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F6B7" w14:textId="18A06FBF" w:rsidR="005F6CDC" w:rsidRPr="000665B0" w:rsidRDefault="005D1A26" w:rsidP="005F6CDC">
      <w:pPr>
        <w:pStyle w:val="Table"/>
      </w:pPr>
      <w:bookmarkStart w:id="0" w:name="_Toc27205979"/>
      <w:bookmarkStart w:id="1" w:name="_Toc93112407"/>
      <w:bookmarkStart w:id="2" w:name="_Toc17681247"/>
      <w:bookmarkStart w:id="3" w:name="_Toc25989195"/>
      <w:bookmarkStart w:id="4" w:name="_Toc25991865"/>
      <w:bookmarkStart w:id="5" w:name="_Toc29095330"/>
      <w:bookmarkStart w:id="6" w:name="_Hlk138249689"/>
      <w:bookmarkStart w:id="7" w:name="_Hlk123834252"/>
      <w:bookmarkStart w:id="8" w:name="_Hlk124845048"/>
      <w:bookmarkStart w:id="9" w:name="_Hlk44421177"/>
      <w:r w:rsidRPr="000665B0">
        <w:t>Table of Contents</w:t>
      </w:r>
      <w:bookmarkEnd w:id="0"/>
      <w:bookmarkEnd w:id="1"/>
    </w:p>
    <w:p w14:paraId="1AA13129" w14:textId="7D4E6080" w:rsidR="00067371" w:rsidRDefault="000F5A15">
      <w:pPr>
        <w:pStyle w:val="TOC1"/>
        <w:tabs>
          <w:tab w:val="left" w:pos="720"/>
        </w:tabs>
        <w:rPr>
          <w:rFonts w:asciiTheme="minorHAnsi" w:eastAsiaTheme="minorEastAsia" w:hAnsiTheme="minorHAnsi" w:cstheme="minorBidi"/>
          <w:b w:val="0"/>
          <w:caps w:val="0"/>
          <w:kern w:val="2"/>
          <w:szCs w:val="24"/>
          <w14:ligatures w14:val="standardContextual"/>
        </w:rPr>
      </w:pPr>
      <w:r w:rsidRPr="000665B0">
        <w:rPr>
          <w:rFonts w:ascii="Arial" w:hAnsi="Arial" w:cs="Arial"/>
        </w:rPr>
        <w:fldChar w:fldCharType="begin"/>
      </w:r>
      <w:r w:rsidR="00B35EE5" w:rsidRPr="000665B0">
        <w:rPr>
          <w:rFonts w:ascii="Arial" w:hAnsi="Arial" w:cs="Arial"/>
        </w:rPr>
        <w:instrText xml:space="preserve"> TOC \o "1-3" \h \z \u </w:instrText>
      </w:r>
      <w:r w:rsidRPr="000665B0">
        <w:rPr>
          <w:rFonts w:ascii="Arial" w:hAnsi="Arial" w:cs="Arial"/>
        </w:rPr>
        <w:fldChar w:fldCharType="separate"/>
      </w:r>
      <w:hyperlink w:anchor="_Toc214283096" w:history="1">
        <w:r w:rsidR="00067371" w:rsidRPr="008F4954">
          <w:rPr>
            <w:rStyle w:val="Hyperlink"/>
          </w:rPr>
          <w:t>1.0</w:t>
        </w:r>
        <w:r w:rsidR="00067371">
          <w:rPr>
            <w:rFonts w:asciiTheme="minorHAnsi" w:eastAsiaTheme="minorEastAsia" w:hAnsiTheme="minorHAnsi" w:cstheme="minorBidi"/>
            <w:b w:val="0"/>
            <w:caps w:val="0"/>
            <w:kern w:val="2"/>
            <w:szCs w:val="24"/>
            <w14:ligatures w14:val="standardContextual"/>
          </w:rPr>
          <w:tab/>
        </w:r>
        <w:r w:rsidR="00067371" w:rsidRPr="008F4954">
          <w:rPr>
            <w:rStyle w:val="Hyperlink"/>
          </w:rPr>
          <w:t>SCOPE</w:t>
        </w:r>
        <w:r w:rsidR="00067371">
          <w:rPr>
            <w:webHidden/>
          </w:rPr>
          <w:tab/>
        </w:r>
        <w:r w:rsidR="00067371">
          <w:rPr>
            <w:webHidden/>
          </w:rPr>
          <w:fldChar w:fldCharType="begin"/>
        </w:r>
        <w:r w:rsidR="00067371">
          <w:rPr>
            <w:webHidden/>
          </w:rPr>
          <w:instrText xml:space="preserve"> PAGEREF _Toc214283096 \h </w:instrText>
        </w:r>
        <w:r w:rsidR="00067371">
          <w:rPr>
            <w:webHidden/>
          </w:rPr>
        </w:r>
        <w:r w:rsidR="00067371">
          <w:rPr>
            <w:webHidden/>
          </w:rPr>
          <w:fldChar w:fldCharType="separate"/>
        </w:r>
        <w:r w:rsidR="00067371">
          <w:rPr>
            <w:webHidden/>
          </w:rPr>
          <w:t>1</w:t>
        </w:r>
        <w:r w:rsidR="00067371">
          <w:rPr>
            <w:webHidden/>
          </w:rPr>
          <w:fldChar w:fldCharType="end"/>
        </w:r>
      </w:hyperlink>
    </w:p>
    <w:p w14:paraId="34E7C1C5" w14:textId="1DD08D39"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097" w:history="1">
        <w:r w:rsidRPr="008F4954">
          <w:rPr>
            <w:rStyle w:val="Hyperlink"/>
          </w:rPr>
          <w:t>1.1</w:t>
        </w:r>
        <w:r>
          <w:rPr>
            <w:rFonts w:asciiTheme="minorHAnsi" w:eastAsiaTheme="minorEastAsia" w:hAnsiTheme="minorHAnsi" w:cstheme="minorBidi"/>
            <w:smallCaps w:val="0"/>
            <w:kern w:val="2"/>
            <w:szCs w:val="24"/>
            <w14:ligatures w14:val="standardContextual"/>
          </w:rPr>
          <w:tab/>
        </w:r>
        <w:r w:rsidRPr="008F4954">
          <w:rPr>
            <w:rStyle w:val="Hyperlink"/>
          </w:rPr>
          <w:t>IDENTIFICATION</w:t>
        </w:r>
        <w:r>
          <w:rPr>
            <w:webHidden/>
          </w:rPr>
          <w:tab/>
        </w:r>
        <w:r>
          <w:rPr>
            <w:webHidden/>
          </w:rPr>
          <w:fldChar w:fldCharType="begin"/>
        </w:r>
        <w:r>
          <w:rPr>
            <w:webHidden/>
          </w:rPr>
          <w:instrText xml:space="preserve"> PAGEREF _Toc214283097 \h </w:instrText>
        </w:r>
        <w:r>
          <w:rPr>
            <w:webHidden/>
          </w:rPr>
        </w:r>
        <w:r>
          <w:rPr>
            <w:webHidden/>
          </w:rPr>
          <w:fldChar w:fldCharType="separate"/>
        </w:r>
        <w:r>
          <w:rPr>
            <w:webHidden/>
          </w:rPr>
          <w:t>1</w:t>
        </w:r>
        <w:r>
          <w:rPr>
            <w:webHidden/>
          </w:rPr>
          <w:fldChar w:fldCharType="end"/>
        </w:r>
      </w:hyperlink>
    </w:p>
    <w:p w14:paraId="3A016E2B" w14:textId="3071CE3C"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098" w:history="1">
        <w:r w:rsidRPr="008F4954">
          <w:rPr>
            <w:rStyle w:val="Hyperlink"/>
          </w:rPr>
          <w:t>1.2</w:t>
        </w:r>
        <w:r>
          <w:rPr>
            <w:rFonts w:asciiTheme="minorHAnsi" w:eastAsiaTheme="minorEastAsia" w:hAnsiTheme="minorHAnsi" w:cstheme="minorBidi"/>
            <w:smallCaps w:val="0"/>
            <w:kern w:val="2"/>
            <w:szCs w:val="24"/>
            <w14:ligatures w14:val="standardContextual"/>
          </w:rPr>
          <w:tab/>
        </w:r>
        <w:r w:rsidRPr="008F4954">
          <w:rPr>
            <w:rStyle w:val="Hyperlink"/>
          </w:rPr>
          <w:t>SYSTEM OVERVIEW</w:t>
        </w:r>
        <w:r>
          <w:rPr>
            <w:webHidden/>
          </w:rPr>
          <w:tab/>
        </w:r>
        <w:r>
          <w:rPr>
            <w:webHidden/>
          </w:rPr>
          <w:fldChar w:fldCharType="begin"/>
        </w:r>
        <w:r>
          <w:rPr>
            <w:webHidden/>
          </w:rPr>
          <w:instrText xml:space="preserve"> PAGEREF _Toc214283098 \h </w:instrText>
        </w:r>
        <w:r>
          <w:rPr>
            <w:webHidden/>
          </w:rPr>
        </w:r>
        <w:r>
          <w:rPr>
            <w:webHidden/>
          </w:rPr>
          <w:fldChar w:fldCharType="separate"/>
        </w:r>
        <w:r>
          <w:rPr>
            <w:webHidden/>
          </w:rPr>
          <w:t>1</w:t>
        </w:r>
        <w:r>
          <w:rPr>
            <w:webHidden/>
          </w:rPr>
          <w:fldChar w:fldCharType="end"/>
        </w:r>
      </w:hyperlink>
    </w:p>
    <w:p w14:paraId="63EC4C06" w14:textId="6D97D89B"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099" w:history="1">
        <w:r w:rsidRPr="008F4954">
          <w:rPr>
            <w:rStyle w:val="Hyperlink"/>
          </w:rPr>
          <w:t>1.3</w:t>
        </w:r>
        <w:r>
          <w:rPr>
            <w:rFonts w:asciiTheme="minorHAnsi" w:eastAsiaTheme="minorEastAsia" w:hAnsiTheme="minorHAnsi" w:cstheme="minorBidi"/>
            <w:smallCaps w:val="0"/>
            <w:kern w:val="2"/>
            <w:szCs w:val="24"/>
            <w14:ligatures w14:val="standardContextual"/>
          </w:rPr>
          <w:tab/>
        </w:r>
        <w:r w:rsidRPr="008F4954">
          <w:rPr>
            <w:rStyle w:val="Hyperlink"/>
          </w:rPr>
          <w:t>DOCUMENT OVERVIEW</w:t>
        </w:r>
        <w:r>
          <w:rPr>
            <w:webHidden/>
          </w:rPr>
          <w:tab/>
        </w:r>
        <w:r>
          <w:rPr>
            <w:webHidden/>
          </w:rPr>
          <w:fldChar w:fldCharType="begin"/>
        </w:r>
        <w:r>
          <w:rPr>
            <w:webHidden/>
          </w:rPr>
          <w:instrText xml:space="preserve"> PAGEREF _Toc214283099 \h </w:instrText>
        </w:r>
        <w:r>
          <w:rPr>
            <w:webHidden/>
          </w:rPr>
        </w:r>
        <w:r>
          <w:rPr>
            <w:webHidden/>
          </w:rPr>
          <w:fldChar w:fldCharType="separate"/>
        </w:r>
        <w:r>
          <w:rPr>
            <w:webHidden/>
          </w:rPr>
          <w:t>1</w:t>
        </w:r>
        <w:r>
          <w:rPr>
            <w:webHidden/>
          </w:rPr>
          <w:fldChar w:fldCharType="end"/>
        </w:r>
      </w:hyperlink>
    </w:p>
    <w:p w14:paraId="7B2D6B4D" w14:textId="21CAB47C" w:rsidR="00067371" w:rsidRDefault="00067371">
      <w:pPr>
        <w:pStyle w:val="TOC1"/>
        <w:tabs>
          <w:tab w:val="left" w:pos="720"/>
        </w:tabs>
        <w:rPr>
          <w:rFonts w:asciiTheme="minorHAnsi" w:eastAsiaTheme="minorEastAsia" w:hAnsiTheme="minorHAnsi" w:cstheme="minorBidi"/>
          <w:b w:val="0"/>
          <w:caps w:val="0"/>
          <w:kern w:val="2"/>
          <w:szCs w:val="24"/>
          <w14:ligatures w14:val="standardContextual"/>
        </w:rPr>
      </w:pPr>
      <w:hyperlink w:anchor="_Toc214283100" w:history="1">
        <w:r w:rsidRPr="008F4954">
          <w:rPr>
            <w:rStyle w:val="Hyperlink"/>
          </w:rPr>
          <w:t>2.0</w:t>
        </w:r>
        <w:r>
          <w:rPr>
            <w:rFonts w:asciiTheme="minorHAnsi" w:eastAsiaTheme="minorEastAsia" w:hAnsiTheme="minorHAnsi" w:cstheme="minorBidi"/>
            <w:b w:val="0"/>
            <w:caps w:val="0"/>
            <w:kern w:val="2"/>
            <w:szCs w:val="24"/>
            <w14:ligatures w14:val="standardContextual"/>
          </w:rPr>
          <w:tab/>
        </w:r>
        <w:r w:rsidRPr="008F4954">
          <w:rPr>
            <w:rStyle w:val="Hyperlink"/>
          </w:rPr>
          <w:t>REFERENCED DOCUMENTS</w:t>
        </w:r>
        <w:r>
          <w:rPr>
            <w:webHidden/>
          </w:rPr>
          <w:tab/>
        </w:r>
        <w:r>
          <w:rPr>
            <w:webHidden/>
          </w:rPr>
          <w:fldChar w:fldCharType="begin"/>
        </w:r>
        <w:r>
          <w:rPr>
            <w:webHidden/>
          </w:rPr>
          <w:instrText xml:space="preserve"> PAGEREF _Toc214283100 \h </w:instrText>
        </w:r>
        <w:r>
          <w:rPr>
            <w:webHidden/>
          </w:rPr>
        </w:r>
        <w:r>
          <w:rPr>
            <w:webHidden/>
          </w:rPr>
          <w:fldChar w:fldCharType="separate"/>
        </w:r>
        <w:r>
          <w:rPr>
            <w:webHidden/>
          </w:rPr>
          <w:t>3</w:t>
        </w:r>
        <w:r>
          <w:rPr>
            <w:webHidden/>
          </w:rPr>
          <w:fldChar w:fldCharType="end"/>
        </w:r>
      </w:hyperlink>
    </w:p>
    <w:p w14:paraId="187A631C" w14:textId="1A2A2973"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01" w:history="1">
        <w:r w:rsidRPr="008F4954">
          <w:rPr>
            <w:rStyle w:val="Hyperlink"/>
          </w:rPr>
          <w:t>2.1</w:t>
        </w:r>
        <w:r>
          <w:rPr>
            <w:rFonts w:asciiTheme="minorHAnsi" w:eastAsiaTheme="minorEastAsia" w:hAnsiTheme="minorHAnsi" w:cstheme="minorBidi"/>
            <w:smallCaps w:val="0"/>
            <w:kern w:val="2"/>
            <w:szCs w:val="24"/>
            <w14:ligatures w14:val="standardContextual"/>
          </w:rPr>
          <w:tab/>
        </w:r>
        <w:r w:rsidRPr="008F4954">
          <w:rPr>
            <w:rStyle w:val="Hyperlink"/>
          </w:rPr>
          <w:t>GOVERNMENT DOCUMENTS</w:t>
        </w:r>
        <w:r>
          <w:rPr>
            <w:webHidden/>
          </w:rPr>
          <w:tab/>
        </w:r>
        <w:r>
          <w:rPr>
            <w:webHidden/>
          </w:rPr>
          <w:fldChar w:fldCharType="begin"/>
        </w:r>
        <w:r>
          <w:rPr>
            <w:webHidden/>
          </w:rPr>
          <w:instrText xml:space="preserve"> PAGEREF _Toc214283101 \h </w:instrText>
        </w:r>
        <w:r>
          <w:rPr>
            <w:webHidden/>
          </w:rPr>
        </w:r>
        <w:r>
          <w:rPr>
            <w:webHidden/>
          </w:rPr>
          <w:fldChar w:fldCharType="separate"/>
        </w:r>
        <w:r>
          <w:rPr>
            <w:webHidden/>
          </w:rPr>
          <w:t>3</w:t>
        </w:r>
        <w:r>
          <w:rPr>
            <w:webHidden/>
          </w:rPr>
          <w:fldChar w:fldCharType="end"/>
        </w:r>
      </w:hyperlink>
    </w:p>
    <w:p w14:paraId="2A38DFA5" w14:textId="2CFCE32D" w:rsidR="00067371" w:rsidRDefault="00067371">
      <w:pPr>
        <w:pStyle w:val="TOC3"/>
        <w:rPr>
          <w:rFonts w:asciiTheme="minorHAnsi" w:eastAsiaTheme="minorEastAsia" w:hAnsiTheme="minorHAnsi" w:cstheme="minorBidi"/>
          <w:kern w:val="2"/>
          <w:sz w:val="24"/>
          <w:szCs w:val="24"/>
          <w14:ligatures w14:val="standardContextual"/>
        </w:rPr>
      </w:pPr>
      <w:hyperlink w:anchor="_Toc214283102" w:history="1">
        <w:r w:rsidRPr="008F4954">
          <w:rPr>
            <w:rStyle w:val="Hyperlink"/>
          </w:rPr>
          <w:t>2.1.1</w:t>
        </w:r>
        <w:r>
          <w:rPr>
            <w:rFonts w:asciiTheme="minorHAnsi" w:eastAsiaTheme="minorEastAsia" w:hAnsiTheme="minorHAnsi" w:cstheme="minorBidi"/>
            <w:kern w:val="2"/>
            <w:sz w:val="24"/>
            <w:szCs w:val="24"/>
            <w14:ligatures w14:val="standardContextual"/>
          </w:rPr>
          <w:tab/>
        </w:r>
        <w:r w:rsidRPr="008F4954">
          <w:rPr>
            <w:rStyle w:val="Hyperlink"/>
          </w:rPr>
          <w:t>Standards</w:t>
        </w:r>
        <w:r>
          <w:rPr>
            <w:webHidden/>
          </w:rPr>
          <w:tab/>
        </w:r>
        <w:r>
          <w:rPr>
            <w:webHidden/>
          </w:rPr>
          <w:fldChar w:fldCharType="begin"/>
        </w:r>
        <w:r>
          <w:rPr>
            <w:webHidden/>
          </w:rPr>
          <w:instrText xml:space="preserve"> PAGEREF _Toc214283102 \h </w:instrText>
        </w:r>
        <w:r>
          <w:rPr>
            <w:webHidden/>
          </w:rPr>
        </w:r>
        <w:r>
          <w:rPr>
            <w:webHidden/>
          </w:rPr>
          <w:fldChar w:fldCharType="separate"/>
        </w:r>
        <w:r>
          <w:rPr>
            <w:webHidden/>
          </w:rPr>
          <w:t>3</w:t>
        </w:r>
        <w:r>
          <w:rPr>
            <w:webHidden/>
          </w:rPr>
          <w:fldChar w:fldCharType="end"/>
        </w:r>
      </w:hyperlink>
    </w:p>
    <w:p w14:paraId="62E898CD" w14:textId="3D0FB44D"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03" w:history="1">
        <w:r w:rsidRPr="008F4954">
          <w:rPr>
            <w:rStyle w:val="Hyperlink"/>
          </w:rPr>
          <w:t>2.2</w:t>
        </w:r>
        <w:r>
          <w:rPr>
            <w:rFonts w:asciiTheme="minorHAnsi" w:eastAsiaTheme="minorEastAsia" w:hAnsiTheme="minorHAnsi" w:cstheme="minorBidi"/>
            <w:smallCaps w:val="0"/>
            <w:kern w:val="2"/>
            <w:szCs w:val="24"/>
            <w14:ligatures w14:val="standardContextual"/>
          </w:rPr>
          <w:tab/>
        </w:r>
        <w:r w:rsidRPr="008F4954">
          <w:rPr>
            <w:rStyle w:val="Hyperlink"/>
          </w:rPr>
          <w:t>NON-GOVERNMENT DOCUMENTS</w:t>
        </w:r>
        <w:r>
          <w:rPr>
            <w:webHidden/>
          </w:rPr>
          <w:tab/>
        </w:r>
        <w:r>
          <w:rPr>
            <w:webHidden/>
          </w:rPr>
          <w:fldChar w:fldCharType="begin"/>
        </w:r>
        <w:r>
          <w:rPr>
            <w:webHidden/>
          </w:rPr>
          <w:instrText xml:space="preserve"> PAGEREF _Toc214283103 \h </w:instrText>
        </w:r>
        <w:r>
          <w:rPr>
            <w:webHidden/>
          </w:rPr>
        </w:r>
        <w:r>
          <w:rPr>
            <w:webHidden/>
          </w:rPr>
          <w:fldChar w:fldCharType="separate"/>
        </w:r>
        <w:r>
          <w:rPr>
            <w:webHidden/>
          </w:rPr>
          <w:t>3</w:t>
        </w:r>
        <w:r>
          <w:rPr>
            <w:webHidden/>
          </w:rPr>
          <w:fldChar w:fldCharType="end"/>
        </w:r>
      </w:hyperlink>
    </w:p>
    <w:p w14:paraId="103AE4D7" w14:textId="63FB6A60" w:rsidR="00067371" w:rsidRDefault="00067371">
      <w:pPr>
        <w:pStyle w:val="TOC3"/>
        <w:rPr>
          <w:rFonts w:asciiTheme="minorHAnsi" w:eastAsiaTheme="minorEastAsia" w:hAnsiTheme="minorHAnsi" w:cstheme="minorBidi"/>
          <w:kern w:val="2"/>
          <w:sz w:val="24"/>
          <w:szCs w:val="24"/>
          <w14:ligatures w14:val="standardContextual"/>
        </w:rPr>
      </w:pPr>
      <w:hyperlink w:anchor="_Toc214283104" w:history="1">
        <w:r w:rsidRPr="008F4954">
          <w:rPr>
            <w:rStyle w:val="Hyperlink"/>
          </w:rPr>
          <w:t>2.2.1</w:t>
        </w:r>
        <w:r>
          <w:rPr>
            <w:rFonts w:asciiTheme="minorHAnsi" w:eastAsiaTheme="minorEastAsia" w:hAnsiTheme="minorHAnsi" w:cstheme="minorBidi"/>
            <w:kern w:val="2"/>
            <w:sz w:val="24"/>
            <w:szCs w:val="24"/>
            <w14:ligatures w14:val="standardContextual"/>
          </w:rPr>
          <w:tab/>
        </w:r>
        <w:r w:rsidRPr="008F4954">
          <w:rPr>
            <w:rStyle w:val="Hyperlink"/>
          </w:rPr>
          <w:t>Other Publications</w:t>
        </w:r>
        <w:r>
          <w:rPr>
            <w:webHidden/>
          </w:rPr>
          <w:tab/>
        </w:r>
        <w:r>
          <w:rPr>
            <w:webHidden/>
          </w:rPr>
          <w:fldChar w:fldCharType="begin"/>
        </w:r>
        <w:r>
          <w:rPr>
            <w:webHidden/>
          </w:rPr>
          <w:instrText xml:space="preserve"> PAGEREF _Toc214283104 \h </w:instrText>
        </w:r>
        <w:r>
          <w:rPr>
            <w:webHidden/>
          </w:rPr>
        </w:r>
        <w:r>
          <w:rPr>
            <w:webHidden/>
          </w:rPr>
          <w:fldChar w:fldCharType="separate"/>
        </w:r>
        <w:r>
          <w:rPr>
            <w:webHidden/>
          </w:rPr>
          <w:t>4</w:t>
        </w:r>
        <w:r>
          <w:rPr>
            <w:webHidden/>
          </w:rPr>
          <w:fldChar w:fldCharType="end"/>
        </w:r>
      </w:hyperlink>
    </w:p>
    <w:p w14:paraId="3E69C2F4" w14:textId="349CED22" w:rsidR="00067371" w:rsidRDefault="00067371">
      <w:pPr>
        <w:pStyle w:val="TOC1"/>
        <w:tabs>
          <w:tab w:val="left" w:pos="720"/>
        </w:tabs>
        <w:rPr>
          <w:rFonts w:asciiTheme="minorHAnsi" w:eastAsiaTheme="minorEastAsia" w:hAnsiTheme="minorHAnsi" w:cstheme="minorBidi"/>
          <w:b w:val="0"/>
          <w:caps w:val="0"/>
          <w:kern w:val="2"/>
          <w:szCs w:val="24"/>
          <w14:ligatures w14:val="standardContextual"/>
        </w:rPr>
      </w:pPr>
      <w:hyperlink w:anchor="_Toc214283105" w:history="1">
        <w:r w:rsidRPr="008F4954">
          <w:rPr>
            <w:rStyle w:val="Hyperlink"/>
          </w:rPr>
          <w:t>3.0</w:t>
        </w:r>
        <w:r>
          <w:rPr>
            <w:rFonts w:asciiTheme="minorHAnsi" w:eastAsiaTheme="minorEastAsia" w:hAnsiTheme="minorHAnsi" w:cstheme="minorBidi"/>
            <w:b w:val="0"/>
            <w:caps w:val="0"/>
            <w:kern w:val="2"/>
            <w:szCs w:val="24"/>
            <w14:ligatures w14:val="standardContextual"/>
          </w:rPr>
          <w:tab/>
        </w:r>
        <w:r w:rsidRPr="008F4954">
          <w:rPr>
            <w:rStyle w:val="Hyperlink"/>
          </w:rPr>
          <w:t>SOFTWARE SUMMARY</w:t>
        </w:r>
        <w:r>
          <w:rPr>
            <w:webHidden/>
          </w:rPr>
          <w:tab/>
        </w:r>
        <w:r>
          <w:rPr>
            <w:webHidden/>
          </w:rPr>
          <w:fldChar w:fldCharType="begin"/>
        </w:r>
        <w:r>
          <w:rPr>
            <w:webHidden/>
          </w:rPr>
          <w:instrText xml:space="preserve"> PAGEREF _Toc214283105 \h </w:instrText>
        </w:r>
        <w:r>
          <w:rPr>
            <w:webHidden/>
          </w:rPr>
        </w:r>
        <w:r>
          <w:rPr>
            <w:webHidden/>
          </w:rPr>
          <w:fldChar w:fldCharType="separate"/>
        </w:r>
        <w:r>
          <w:rPr>
            <w:webHidden/>
          </w:rPr>
          <w:t>5</w:t>
        </w:r>
        <w:r>
          <w:rPr>
            <w:webHidden/>
          </w:rPr>
          <w:fldChar w:fldCharType="end"/>
        </w:r>
      </w:hyperlink>
    </w:p>
    <w:p w14:paraId="7A68E2FA" w14:textId="16F0B145"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06" w:history="1">
        <w:r w:rsidRPr="008F4954">
          <w:rPr>
            <w:rStyle w:val="Hyperlink"/>
          </w:rPr>
          <w:t>3.1</w:t>
        </w:r>
        <w:r>
          <w:rPr>
            <w:rFonts w:asciiTheme="minorHAnsi" w:eastAsiaTheme="minorEastAsia" w:hAnsiTheme="minorHAnsi" w:cstheme="minorBidi"/>
            <w:smallCaps w:val="0"/>
            <w:kern w:val="2"/>
            <w:szCs w:val="24"/>
            <w14:ligatures w14:val="standardContextual"/>
          </w:rPr>
          <w:tab/>
        </w:r>
        <w:r w:rsidRPr="008F4954">
          <w:rPr>
            <w:rStyle w:val="Hyperlink"/>
          </w:rPr>
          <w:t>SOFTWARE APPLICATION</w:t>
        </w:r>
        <w:r>
          <w:rPr>
            <w:webHidden/>
          </w:rPr>
          <w:tab/>
        </w:r>
        <w:r>
          <w:rPr>
            <w:webHidden/>
          </w:rPr>
          <w:fldChar w:fldCharType="begin"/>
        </w:r>
        <w:r>
          <w:rPr>
            <w:webHidden/>
          </w:rPr>
          <w:instrText xml:space="preserve"> PAGEREF _Toc214283106 \h </w:instrText>
        </w:r>
        <w:r>
          <w:rPr>
            <w:webHidden/>
          </w:rPr>
        </w:r>
        <w:r>
          <w:rPr>
            <w:webHidden/>
          </w:rPr>
          <w:fldChar w:fldCharType="separate"/>
        </w:r>
        <w:r>
          <w:rPr>
            <w:webHidden/>
          </w:rPr>
          <w:t>5</w:t>
        </w:r>
        <w:r>
          <w:rPr>
            <w:webHidden/>
          </w:rPr>
          <w:fldChar w:fldCharType="end"/>
        </w:r>
      </w:hyperlink>
    </w:p>
    <w:p w14:paraId="24D896F2" w14:textId="245384C6"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07" w:history="1">
        <w:r w:rsidRPr="008F4954">
          <w:rPr>
            <w:rStyle w:val="Hyperlink"/>
          </w:rPr>
          <w:t>3.2</w:t>
        </w:r>
        <w:r>
          <w:rPr>
            <w:rFonts w:asciiTheme="minorHAnsi" w:eastAsiaTheme="minorEastAsia" w:hAnsiTheme="minorHAnsi" w:cstheme="minorBidi"/>
            <w:smallCaps w:val="0"/>
            <w:kern w:val="2"/>
            <w:szCs w:val="24"/>
            <w14:ligatures w14:val="standardContextual"/>
          </w:rPr>
          <w:tab/>
        </w:r>
        <w:r w:rsidRPr="008F4954">
          <w:rPr>
            <w:rStyle w:val="Hyperlink"/>
          </w:rPr>
          <w:t>SOFTWARE INVENTORY</w:t>
        </w:r>
        <w:r>
          <w:rPr>
            <w:webHidden/>
          </w:rPr>
          <w:tab/>
        </w:r>
        <w:r>
          <w:rPr>
            <w:webHidden/>
          </w:rPr>
          <w:fldChar w:fldCharType="begin"/>
        </w:r>
        <w:r>
          <w:rPr>
            <w:webHidden/>
          </w:rPr>
          <w:instrText xml:space="preserve"> PAGEREF _Toc214283107 \h </w:instrText>
        </w:r>
        <w:r>
          <w:rPr>
            <w:webHidden/>
          </w:rPr>
        </w:r>
        <w:r>
          <w:rPr>
            <w:webHidden/>
          </w:rPr>
          <w:fldChar w:fldCharType="separate"/>
        </w:r>
        <w:r>
          <w:rPr>
            <w:webHidden/>
          </w:rPr>
          <w:t>5</w:t>
        </w:r>
        <w:r>
          <w:rPr>
            <w:webHidden/>
          </w:rPr>
          <w:fldChar w:fldCharType="end"/>
        </w:r>
      </w:hyperlink>
    </w:p>
    <w:p w14:paraId="24237AC9" w14:textId="714D8429"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08" w:history="1">
        <w:r w:rsidRPr="008F4954">
          <w:rPr>
            <w:rStyle w:val="Hyperlink"/>
          </w:rPr>
          <w:t>3.3</w:t>
        </w:r>
        <w:r>
          <w:rPr>
            <w:rFonts w:asciiTheme="minorHAnsi" w:eastAsiaTheme="minorEastAsia" w:hAnsiTheme="minorHAnsi" w:cstheme="minorBidi"/>
            <w:smallCaps w:val="0"/>
            <w:kern w:val="2"/>
            <w:szCs w:val="24"/>
            <w14:ligatures w14:val="standardContextual"/>
          </w:rPr>
          <w:tab/>
        </w:r>
        <w:r w:rsidRPr="008F4954">
          <w:rPr>
            <w:rStyle w:val="Hyperlink"/>
          </w:rPr>
          <w:t>SOFTWARE ENVIRONMENT</w:t>
        </w:r>
        <w:r>
          <w:rPr>
            <w:webHidden/>
          </w:rPr>
          <w:tab/>
        </w:r>
        <w:r>
          <w:rPr>
            <w:webHidden/>
          </w:rPr>
          <w:fldChar w:fldCharType="begin"/>
        </w:r>
        <w:r>
          <w:rPr>
            <w:webHidden/>
          </w:rPr>
          <w:instrText xml:space="preserve"> PAGEREF _Toc214283108 \h </w:instrText>
        </w:r>
        <w:r>
          <w:rPr>
            <w:webHidden/>
          </w:rPr>
        </w:r>
        <w:r>
          <w:rPr>
            <w:webHidden/>
          </w:rPr>
          <w:fldChar w:fldCharType="separate"/>
        </w:r>
        <w:r>
          <w:rPr>
            <w:webHidden/>
          </w:rPr>
          <w:t>5</w:t>
        </w:r>
        <w:r>
          <w:rPr>
            <w:webHidden/>
          </w:rPr>
          <w:fldChar w:fldCharType="end"/>
        </w:r>
      </w:hyperlink>
    </w:p>
    <w:p w14:paraId="002A45B1" w14:textId="74078EEF"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09" w:history="1">
        <w:r w:rsidRPr="008F4954">
          <w:rPr>
            <w:rStyle w:val="Hyperlink"/>
          </w:rPr>
          <w:t>3.4</w:t>
        </w:r>
        <w:r>
          <w:rPr>
            <w:rFonts w:asciiTheme="minorHAnsi" w:eastAsiaTheme="minorEastAsia" w:hAnsiTheme="minorHAnsi" w:cstheme="minorBidi"/>
            <w:smallCaps w:val="0"/>
            <w:kern w:val="2"/>
            <w:szCs w:val="24"/>
            <w14:ligatures w14:val="standardContextual"/>
          </w:rPr>
          <w:tab/>
        </w:r>
        <w:r w:rsidRPr="008F4954">
          <w:rPr>
            <w:rStyle w:val="Hyperlink"/>
          </w:rPr>
          <w:t>SOFTWARE ORGANIZATION</w:t>
        </w:r>
        <w:r>
          <w:rPr>
            <w:webHidden/>
          </w:rPr>
          <w:tab/>
        </w:r>
        <w:r>
          <w:rPr>
            <w:webHidden/>
          </w:rPr>
          <w:fldChar w:fldCharType="begin"/>
        </w:r>
        <w:r>
          <w:rPr>
            <w:webHidden/>
          </w:rPr>
          <w:instrText xml:space="preserve"> PAGEREF _Toc214283109 \h </w:instrText>
        </w:r>
        <w:r>
          <w:rPr>
            <w:webHidden/>
          </w:rPr>
        </w:r>
        <w:r>
          <w:rPr>
            <w:webHidden/>
          </w:rPr>
          <w:fldChar w:fldCharType="separate"/>
        </w:r>
        <w:r>
          <w:rPr>
            <w:webHidden/>
          </w:rPr>
          <w:t>5</w:t>
        </w:r>
        <w:r>
          <w:rPr>
            <w:webHidden/>
          </w:rPr>
          <w:fldChar w:fldCharType="end"/>
        </w:r>
      </w:hyperlink>
    </w:p>
    <w:p w14:paraId="70C05484" w14:textId="585E02D7"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10" w:history="1">
        <w:r w:rsidRPr="008F4954">
          <w:rPr>
            <w:rStyle w:val="Hyperlink"/>
          </w:rPr>
          <w:t>3.5</w:t>
        </w:r>
        <w:r>
          <w:rPr>
            <w:rFonts w:asciiTheme="minorHAnsi" w:eastAsiaTheme="minorEastAsia" w:hAnsiTheme="minorHAnsi" w:cstheme="minorBidi"/>
            <w:smallCaps w:val="0"/>
            <w:kern w:val="2"/>
            <w:szCs w:val="24"/>
            <w14:ligatures w14:val="standardContextual"/>
          </w:rPr>
          <w:tab/>
        </w:r>
        <w:r w:rsidRPr="008F4954">
          <w:rPr>
            <w:rStyle w:val="Hyperlink"/>
          </w:rPr>
          <w:t>CONTINGENCIES AND ALTERNATE MODES OF OPERATION</w:t>
        </w:r>
        <w:r>
          <w:rPr>
            <w:webHidden/>
          </w:rPr>
          <w:tab/>
        </w:r>
        <w:r>
          <w:rPr>
            <w:webHidden/>
          </w:rPr>
          <w:fldChar w:fldCharType="begin"/>
        </w:r>
        <w:r>
          <w:rPr>
            <w:webHidden/>
          </w:rPr>
          <w:instrText xml:space="preserve"> PAGEREF _Toc214283110 \h </w:instrText>
        </w:r>
        <w:r>
          <w:rPr>
            <w:webHidden/>
          </w:rPr>
        </w:r>
        <w:r>
          <w:rPr>
            <w:webHidden/>
          </w:rPr>
          <w:fldChar w:fldCharType="separate"/>
        </w:r>
        <w:r>
          <w:rPr>
            <w:webHidden/>
          </w:rPr>
          <w:t>5</w:t>
        </w:r>
        <w:r>
          <w:rPr>
            <w:webHidden/>
          </w:rPr>
          <w:fldChar w:fldCharType="end"/>
        </w:r>
      </w:hyperlink>
    </w:p>
    <w:p w14:paraId="1D773528" w14:textId="7553D292"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11" w:history="1">
        <w:r w:rsidRPr="008F4954">
          <w:rPr>
            <w:rStyle w:val="Hyperlink"/>
          </w:rPr>
          <w:t>3.6</w:t>
        </w:r>
        <w:r>
          <w:rPr>
            <w:rFonts w:asciiTheme="minorHAnsi" w:eastAsiaTheme="minorEastAsia" w:hAnsiTheme="minorHAnsi" w:cstheme="minorBidi"/>
            <w:smallCaps w:val="0"/>
            <w:kern w:val="2"/>
            <w:szCs w:val="24"/>
            <w14:ligatures w14:val="standardContextual"/>
          </w:rPr>
          <w:tab/>
        </w:r>
        <w:r w:rsidRPr="008F4954">
          <w:rPr>
            <w:rStyle w:val="Hyperlink"/>
          </w:rPr>
          <w:t>SECURITY AND PRIVACY</w:t>
        </w:r>
        <w:r>
          <w:rPr>
            <w:webHidden/>
          </w:rPr>
          <w:tab/>
        </w:r>
        <w:r>
          <w:rPr>
            <w:webHidden/>
          </w:rPr>
          <w:fldChar w:fldCharType="begin"/>
        </w:r>
        <w:r>
          <w:rPr>
            <w:webHidden/>
          </w:rPr>
          <w:instrText xml:space="preserve"> PAGEREF _Toc214283111 \h </w:instrText>
        </w:r>
        <w:r>
          <w:rPr>
            <w:webHidden/>
          </w:rPr>
        </w:r>
        <w:r>
          <w:rPr>
            <w:webHidden/>
          </w:rPr>
          <w:fldChar w:fldCharType="separate"/>
        </w:r>
        <w:r>
          <w:rPr>
            <w:webHidden/>
          </w:rPr>
          <w:t>5</w:t>
        </w:r>
        <w:r>
          <w:rPr>
            <w:webHidden/>
          </w:rPr>
          <w:fldChar w:fldCharType="end"/>
        </w:r>
      </w:hyperlink>
    </w:p>
    <w:p w14:paraId="013F024C" w14:textId="517DACA7"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12" w:history="1">
        <w:r w:rsidRPr="008F4954">
          <w:rPr>
            <w:rStyle w:val="Hyperlink"/>
          </w:rPr>
          <w:t>3.7</w:t>
        </w:r>
        <w:r>
          <w:rPr>
            <w:rFonts w:asciiTheme="minorHAnsi" w:eastAsiaTheme="minorEastAsia" w:hAnsiTheme="minorHAnsi" w:cstheme="minorBidi"/>
            <w:smallCaps w:val="0"/>
            <w:kern w:val="2"/>
            <w:szCs w:val="24"/>
            <w14:ligatures w14:val="standardContextual"/>
          </w:rPr>
          <w:tab/>
        </w:r>
        <w:r w:rsidRPr="008F4954">
          <w:rPr>
            <w:rStyle w:val="Hyperlink"/>
          </w:rPr>
          <w:t>ASSISTANCE AND PROBLEM REPORTING</w:t>
        </w:r>
        <w:r>
          <w:rPr>
            <w:webHidden/>
          </w:rPr>
          <w:tab/>
        </w:r>
        <w:r>
          <w:rPr>
            <w:webHidden/>
          </w:rPr>
          <w:fldChar w:fldCharType="begin"/>
        </w:r>
        <w:r>
          <w:rPr>
            <w:webHidden/>
          </w:rPr>
          <w:instrText xml:space="preserve"> PAGEREF _Toc214283112 \h </w:instrText>
        </w:r>
        <w:r>
          <w:rPr>
            <w:webHidden/>
          </w:rPr>
        </w:r>
        <w:r>
          <w:rPr>
            <w:webHidden/>
          </w:rPr>
          <w:fldChar w:fldCharType="separate"/>
        </w:r>
        <w:r>
          <w:rPr>
            <w:webHidden/>
          </w:rPr>
          <w:t>5</w:t>
        </w:r>
        <w:r>
          <w:rPr>
            <w:webHidden/>
          </w:rPr>
          <w:fldChar w:fldCharType="end"/>
        </w:r>
      </w:hyperlink>
    </w:p>
    <w:p w14:paraId="6947CB04" w14:textId="319C3870" w:rsidR="00067371" w:rsidRDefault="00067371">
      <w:pPr>
        <w:pStyle w:val="TOC1"/>
        <w:tabs>
          <w:tab w:val="left" w:pos="720"/>
        </w:tabs>
        <w:rPr>
          <w:rFonts w:asciiTheme="minorHAnsi" w:eastAsiaTheme="minorEastAsia" w:hAnsiTheme="minorHAnsi" w:cstheme="minorBidi"/>
          <w:b w:val="0"/>
          <w:caps w:val="0"/>
          <w:kern w:val="2"/>
          <w:szCs w:val="24"/>
          <w14:ligatures w14:val="standardContextual"/>
        </w:rPr>
      </w:pPr>
      <w:hyperlink w:anchor="_Toc214283113" w:history="1">
        <w:r w:rsidRPr="008F4954">
          <w:rPr>
            <w:rStyle w:val="Hyperlink"/>
          </w:rPr>
          <w:t>4.0</w:t>
        </w:r>
        <w:r>
          <w:rPr>
            <w:rFonts w:asciiTheme="minorHAnsi" w:eastAsiaTheme="minorEastAsia" w:hAnsiTheme="minorHAnsi" w:cstheme="minorBidi"/>
            <w:b w:val="0"/>
            <w:caps w:val="0"/>
            <w:kern w:val="2"/>
            <w:szCs w:val="24"/>
            <w14:ligatures w14:val="standardContextual"/>
          </w:rPr>
          <w:tab/>
        </w:r>
        <w:r w:rsidRPr="008F4954">
          <w:rPr>
            <w:rStyle w:val="Hyperlink"/>
          </w:rPr>
          <w:t>SOFTWARE ACCESS, INSTALL, DE-INSTALL, AND INITIALIZATION</w:t>
        </w:r>
        <w:r>
          <w:rPr>
            <w:webHidden/>
          </w:rPr>
          <w:tab/>
        </w:r>
        <w:r>
          <w:rPr>
            <w:webHidden/>
          </w:rPr>
          <w:fldChar w:fldCharType="begin"/>
        </w:r>
        <w:r>
          <w:rPr>
            <w:webHidden/>
          </w:rPr>
          <w:instrText xml:space="preserve"> PAGEREF _Toc214283113 \h </w:instrText>
        </w:r>
        <w:r>
          <w:rPr>
            <w:webHidden/>
          </w:rPr>
        </w:r>
        <w:r>
          <w:rPr>
            <w:webHidden/>
          </w:rPr>
          <w:fldChar w:fldCharType="separate"/>
        </w:r>
        <w:r>
          <w:rPr>
            <w:webHidden/>
          </w:rPr>
          <w:t>6</w:t>
        </w:r>
        <w:r>
          <w:rPr>
            <w:webHidden/>
          </w:rPr>
          <w:fldChar w:fldCharType="end"/>
        </w:r>
      </w:hyperlink>
    </w:p>
    <w:p w14:paraId="02443525" w14:textId="6C163D08"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14" w:history="1">
        <w:r w:rsidRPr="008F4954">
          <w:rPr>
            <w:rStyle w:val="Hyperlink"/>
          </w:rPr>
          <w:t>4.1</w:t>
        </w:r>
        <w:r>
          <w:rPr>
            <w:rFonts w:asciiTheme="minorHAnsi" w:eastAsiaTheme="minorEastAsia" w:hAnsiTheme="minorHAnsi" w:cstheme="minorBidi"/>
            <w:smallCaps w:val="0"/>
            <w:kern w:val="2"/>
            <w:szCs w:val="24"/>
            <w14:ligatures w14:val="standardContextual"/>
          </w:rPr>
          <w:tab/>
        </w:r>
        <w:r w:rsidRPr="008F4954">
          <w:rPr>
            <w:rStyle w:val="Hyperlink"/>
          </w:rPr>
          <w:t>MDS OPERATIONAL ENVIRONMENT</w:t>
        </w:r>
        <w:r>
          <w:rPr>
            <w:webHidden/>
          </w:rPr>
          <w:tab/>
        </w:r>
        <w:r>
          <w:rPr>
            <w:webHidden/>
          </w:rPr>
          <w:fldChar w:fldCharType="begin"/>
        </w:r>
        <w:r>
          <w:rPr>
            <w:webHidden/>
          </w:rPr>
          <w:instrText xml:space="preserve"> PAGEREF _Toc214283114 \h </w:instrText>
        </w:r>
        <w:r>
          <w:rPr>
            <w:webHidden/>
          </w:rPr>
        </w:r>
        <w:r>
          <w:rPr>
            <w:webHidden/>
          </w:rPr>
          <w:fldChar w:fldCharType="separate"/>
        </w:r>
        <w:r>
          <w:rPr>
            <w:webHidden/>
          </w:rPr>
          <w:t>6</w:t>
        </w:r>
        <w:r>
          <w:rPr>
            <w:webHidden/>
          </w:rPr>
          <w:fldChar w:fldCharType="end"/>
        </w:r>
      </w:hyperlink>
    </w:p>
    <w:p w14:paraId="0DB77F79" w14:textId="53F1AB06"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15" w:history="1">
        <w:r w:rsidRPr="008F4954">
          <w:rPr>
            <w:rStyle w:val="Hyperlink"/>
          </w:rPr>
          <w:t>4.2</w:t>
        </w:r>
        <w:r>
          <w:rPr>
            <w:rFonts w:asciiTheme="minorHAnsi" w:eastAsiaTheme="minorEastAsia" w:hAnsiTheme="minorHAnsi" w:cstheme="minorBidi"/>
            <w:smallCaps w:val="0"/>
            <w:kern w:val="2"/>
            <w:szCs w:val="24"/>
            <w14:ligatures w14:val="standardContextual"/>
          </w:rPr>
          <w:tab/>
        </w:r>
        <w:r w:rsidRPr="008F4954">
          <w:rPr>
            <w:rStyle w:val="Hyperlink"/>
          </w:rPr>
          <w:t>INSTALLATION/UNINSTALLATION OVERVIEW</w:t>
        </w:r>
        <w:r>
          <w:rPr>
            <w:webHidden/>
          </w:rPr>
          <w:tab/>
        </w:r>
        <w:r>
          <w:rPr>
            <w:webHidden/>
          </w:rPr>
          <w:fldChar w:fldCharType="begin"/>
        </w:r>
        <w:r>
          <w:rPr>
            <w:webHidden/>
          </w:rPr>
          <w:instrText xml:space="preserve"> PAGEREF _Toc214283115 \h </w:instrText>
        </w:r>
        <w:r>
          <w:rPr>
            <w:webHidden/>
          </w:rPr>
        </w:r>
        <w:r>
          <w:rPr>
            <w:webHidden/>
          </w:rPr>
          <w:fldChar w:fldCharType="separate"/>
        </w:r>
        <w:r>
          <w:rPr>
            <w:webHidden/>
          </w:rPr>
          <w:t>6</w:t>
        </w:r>
        <w:r>
          <w:rPr>
            <w:webHidden/>
          </w:rPr>
          <w:fldChar w:fldCharType="end"/>
        </w:r>
      </w:hyperlink>
    </w:p>
    <w:p w14:paraId="53A1ECD2" w14:textId="6168418C"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16" w:history="1">
        <w:r w:rsidRPr="008F4954">
          <w:rPr>
            <w:rStyle w:val="Hyperlink"/>
          </w:rPr>
          <w:t>4.3</w:t>
        </w:r>
        <w:r>
          <w:rPr>
            <w:rFonts w:asciiTheme="minorHAnsi" w:eastAsiaTheme="minorEastAsia" w:hAnsiTheme="minorHAnsi" w:cstheme="minorBidi"/>
            <w:smallCaps w:val="0"/>
            <w:kern w:val="2"/>
            <w:szCs w:val="24"/>
            <w14:ligatures w14:val="standardContextual"/>
          </w:rPr>
          <w:tab/>
        </w:r>
        <w:r w:rsidRPr="008F4954">
          <w:rPr>
            <w:rStyle w:val="Hyperlink"/>
          </w:rPr>
          <w:t>FIRST-TIME USER OF THE SOFTWARE</w:t>
        </w:r>
        <w:r>
          <w:rPr>
            <w:webHidden/>
          </w:rPr>
          <w:tab/>
        </w:r>
        <w:r>
          <w:rPr>
            <w:webHidden/>
          </w:rPr>
          <w:fldChar w:fldCharType="begin"/>
        </w:r>
        <w:r>
          <w:rPr>
            <w:webHidden/>
          </w:rPr>
          <w:instrText xml:space="preserve"> PAGEREF _Toc214283116 \h </w:instrText>
        </w:r>
        <w:r>
          <w:rPr>
            <w:webHidden/>
          </w:rPr>
        </w:r>
        <w:r>
          <w:rPr>
            <w:webHidden/>
          </w:rPr>
          <w:fldChar w:fldCharType="separate"/>
        </w:r>
        <w:r>
          <w:rPr>
            <w:webHidden/>
          </w:rPr>
          <w:t>6</w:t>
        </w:r>
        <w:r>
          <w:rPr>
            <w:webHidden/>
          </w:rPr>
          <w:fldChar w:fldCharType="end"/>
        </w:r>
      </w:hyperlink>
    </w:p>
    <w:p w14:paraId="0607170C" w14:textId="7295BA16" w:rsidR="00067371" w:rsidRDefault="00067371">
      <w:pPr>
        <w:pStyle w:val="TOC3"/>
        <w:rPr>
          <w:rFonts w:asciiTheme="minorHAnsi" w:eastAsiaTheme="minorEastAsia" w:hAnsiTheme="minorHAnsi" w:cstheme="minorBidi"/>
          <w:kern w:val="2"/>
          <w:sz w:val="24"/>
          <w:szCs w:val="24"/>
          <w14:ligatures w14:val="standardContextual"/>
        </w:rPr>
      </w:pPr>
      <w:hyperlink w:anchor="_Toc214283117" w:history="1">
        <w:r w:rsidRPr="008F4954">
          <w:rPr>
            <w:rStyle w:val="Hyperlink"/>
          </w:rPr>
          <w:t>4.3.1</w:t>
        </w:r>
        <w:r>
          <w:rPr>
            <w:rFonts w:asciiTheme="minorHAnsi" w:eastAsiaTheme="minorEastAsia" w:hAnsiTheme="minorHAnsi" w:cstheme="minorBidi"/>
            <w:kern w:val="2"/>
            <w:sz w:val="24"/>
            <w:szCs w:val="24"/>
            <w14:ligatures w14:val="standardContextual"/>
          </w:rPr>
          <w:tab/>
        </w:r>
        <w:r w:rsidRPr="008F4954">
          <w:rPr>
            <w:rStyle w:val="Hyperlink"/>
          </w:rPr>
          <w:t>Equipment Familiarization</w:t>
        </w:r>
        <w:r>
          <w:rPr>
            <w:webHidden/>
          </w:rPr>
          <w:tab/>
        </w:r>
        <w:r>
          <w:rPr>
            <w:webHidden/>
          </w:rPr>
          <w:fldChar w:fldCharType="begin"/>
        </w:r>
        <w:r>
          <w:rPr>
            <w:webHidden/>
          </w:rPr>
          <w:instrText xml:space="preserve"> PAGEREF _Toc214283117 \h </w:instrText>
        </w:r>
        <w:r>
          <w:rPr>
            <w:webHidden/>
          </w:rPr>
        </w:r>
        <w:r>
          <w:rPr>
            <w:webHidden/>
          </w:rPr>
          <w:fldChar w:fldCharType="separate"/>
        </w:r>
        <w:r>
          <w:rPr>
            <w:webHidden/>
          </w:rPr>
          <w:t>6</w:t>
        </w:r>
        <w:r>
          <w:rPr>
            <w:webHidden/>
          </w:rPr>
          <w:fldChar w:fldCharType="end"/>
        </w:r>
      </w:hyperlink>
    </w:p>
    <w:p w14:paraId="590BEA45" w14:textId="21FE035D" w:rsidR="00067371" w:rsidRDefault="00067371">
      <w:pPr>
        <w:pStyle w:val="TOC3"/>
        <w:rPr>
          <w:rFonts w:asciiTheme="minorHAnsi" w:eastAsiaTheme="minorEastAsia" w:hAnsiTheme="minorHAnsi" w:cstheme="minorBidi"/>
          <w:kern w:val="2"/>
          <w:sz w:val="24"/>
          <w:szCs w:val="24"/>
          <w14:ligatures w14:val="standardContextual"/>
        </w:rPr>
      </w:pPr>
      <w:hyperlink w:anchor="_Toc214283118" w:history="1">
        <w:r w:rsidRPr="008F4954">
          <w:rPr>
            <w:rStyle w:val="Hyperlink"/>
          </w:rPr>
          <w:t>4.3.2</w:t>
        </w:r>
        <w:r>
          <w:rPr>
            <w:rFonts w:asciiTheme="minorHAnsi" w:eastAsiaTheme="minorEastAsia" w:hAnsiTheme="minorHAnsi" w:cstheme="minorBidi"/>
            <w:kern w:val="2"/>
            <w:sz w:val="24"/>
            <w:szCs w:val="24"/>
            <w14:ligatures w14:val="standardContextual"/>
          </w:rPr>
          <w:tab/>
        </w:r>
        <w:r w:rsidRPr="008F4954">
          <w:rPr>
            <w:rStyle w:val="Hyperlink"/>
          </w:rPr>
          <w:t>Upgrading Software</w:t>
        </w:r>
        <w:r>
          <w:rPr>
            <w:webHidden/>
          </w:rPr>
          <w:tab/>
        </w:r>
        <w:r>
          <w:rPr>
            <w:webHidden/>
          </w:rPr>
          <w:fldChar w:fldCharType="begin"/>
        </w:r>
        <w:r>
          <w:rPr>
            <w:webHidden/>
          </w:rPr>
          <w:instrText xml:space="preserve"> PAGEREF _Toc214283118 \h </w:instrText>
        </w:r>
        <w:r>
          <w:rPr>
            <w:webHidden/>
          </w:rPr>
        </w:r>
        <w:r>
          <w:rPr>
            <w:webHidden/>
          </w:rPr>
          <w:fldChar w:fldCharType="separate"/>
        </w:r>
        <w:r>
          <w:rPr>
            <w:webHidden/>
          </w:rPr>
          <w:t>6</w:t>
        </w:r>
        <w:r>
          <w:rPr>
            <w:webHidden/>
          </w:rPr>
          <w:fldChar w:fldCharType="end"/>
        </w:r>
      </w:hyperlink>
    </w:p>
    <w:p w14:paraId="39273AC6" w14:textId="5F975740"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19" w:history="1">
        <w:r w:rsidRPr="008F4954">
          <w:rPr>
            <w:rStyle w:val="Hyperlink"/>
          </w:rPr>
          <w:t>4.4</w:t>
        </w:r>
        <w:r>
          <w:rPr>
            <w:rFonts w:asciiTheme="minorHAnsi" w:eastAsiaTheme="minorEastAsia" w:hAnsiTheme="minorHAnsi" w:cstheme="minorBidi"/>
            <w:smallCaps w:val="0"/>
            <w:kern w:val="2"/>
            <w:szCs w:val="24"/>
            <w14:ligatures w14:val="standardContextual"/>
          </w:rPr>
          <w:tab/>
        </w:r>
        <w:r w:rsidRPr="008F4954">
          <w:rPr>
            <w:rStyle w:val="Hyperlink"/>
          </w:rPr>
          <w:t>TMPC DATABASE INITIALIZATION</w:t>
        </w:r>
        <w:r>
          <w:rPr>
            <w:webHidden/>
          </w:rPr>
          <w:tab/>
        </w:r>
        <w:r>
          <w:rPr>
            <w:webHidden/>
          </w:rPr>
          <w:fldChar w:fldCharType="begin"/>
        </w:r>
        <w:r>
          <w:rPr>
            <w:webHidden/>
          </w:rPr>
          <w:instrText xml:space="preserve"> PAGEREF _Toc214283119 \h </w:instrText>
        </w:r>
        <w:r>
          <w:rPr>
            <w:webHidden/>
          </w:rPr>
        </w:r>
        <w:r>
          <w:rPr>
            <w:webHidden/>
          </w:rPr>
          <w:fldChar w:fldCharType="separate"/>
        </w:r>
        <w:r>
          <w:rPr>
            <w:webHidden/>
          </w:rPr>
          <w:t>6</w:t>
        </w:r>
        <w:r>
          <w:rPr>
            <w:webHidden/>
          </w:rPr>
          <w:fldChar w:fldCharType="end"/>
        </w:r>
      </w:hyperlink>
    </w:p>
    <w:p w14:paraId="31069260" w14:textId="79845A98" w:rsidR="00067371" w:rsidRDefault="00067371">
      <w:pPr>
        <w:pStyle w:val="TOC3"/>
        <w:rPr>
          <w:rFonts w:asciiTheme="minorHAnsi" w:eastAsiaTheme="minorEastAsia" w:hAnsiTheme="minorHAnsi" w:cstheme="minorBidi"/>
          <w:kern w:val="2"/>
          <w:sz w:val="24"/>
          <w:szCs w:val="24"/>
          <w14:ligatures w14:val="standardContextual"/>
        </w:rPr>
      </w:pPr>
      <w:hyperlink w:anchor="_Toc214283120" w:history="1">
        <w:r w:rsidRPr="008F4954">
          <w:rPr>
            <w:rStyle w:val="Hyperlink"/>
          </w:rPr>
          <w:t>4.4.1</w:t>
        </w:r>
        <w:r>
          <w:rPr>
            <w:rFonts w:asciiTheme="minorHAnsi" w:eastAsiaTheme="minorEastAsia" w:hAnsiTheme="minorHAnsi" w:cstheme="minorBidi"/>
            <w:kern w:val="2"/>
            <w:sz w:val="24"/>
            <w:szCs w:val="24"/>
            <w14:ligatures w14:val="standardContextual"/>
          </w:rPr>
          <w:tab/>
        </w:r>
        <w:r w:rsidRPr="008F4954">
          <w:rPr>
            <w:rStyle w:val="Hyperlink"/>
          </w:rPr>
          <w:t>Initial Database Population via a CMSA Database Archive</w:t>
        </w:r>
        <w:r>
          <w:rPr>
            <w:webHidden/>
          </w:rPr>
          <w:tab/>
        </w:r>
        <w:r>
          <w:rPr>
            <w:webHidden/>
          </w:rPr>
          <w:fldChar w:fldCharType="begin"/>
        </w:r>
        <w:r>
          <w:rPr>
            <w:webHidden/>
          </w:rPr>
          <w:instrText xml:space="preserve"> PAGEREF _Toc214283120 \h </w:instrText>
        </w:r>
        <w:r>
          <w:rPr>
            <w:webHidden/>
          </w:rPr>
        </w:r>
        <w:r>
          <w:rPr>
            <w:webHidden/>
          </w:rPr>
          <w:fldChar w:fldCharType="separate"/>
        </w:r>
        <w:r>
          <w:rPr>
            <w:webHidden/>
          </w:rPr>
          <w:t>7</w:t>
        </w:r>
        <w:r>
          <w:rPr>
            <w:webHidden/>
          </w:rPr>
          <w:fldChar w:fldCharType="end"/>
        </w:r>
      </w:hyperlink>
    </w:p>
    <w:p w14:paraId="642A3B8C" w14:textId="090098A5" w:rsidR="00067371" w:rsidRDefault="00067371">
      <w:pPr>
        <w:pStyle w:val="TOC3"/>
        <w:rPr>
          <w:rFonts w:asciiTheme="minorHAnsi" w:eastAsiaTheme="minorEastAsia" w:hAnsiTheme="minorHAnsi" w:cstheme="minorBidi"/>
          <w:kern w:val="2"/>
          <w:sz w:val="24"/>
          <w:szCs w:val="24"/>
          <w14:ligatures w14:val="standardContextual"/>
        </w:rPr>
      </w:pPr>
      <w:hyperlink w:anchor="_Toc214283121" w:history="1">
        <w:r w:rsidRPr="008F4954">
          <w:rPr>
            <w:rStyle w:val="Hyperlink"/>
          </w:rPr>
          <w:t>4.4.2</w:t>
        </w:r>
        <w:r>
          <w:rPr>
            <w:rFonts w:asciiTheme="minorHAnsi" w:eastAsiaTheme="minorEastAsia" w:hAnsiTheme="minorHAnsi" w:cstheme="minorBidi"/>
            <w:kern w:val="2"/>
            <w:sz w:val="24"/>
            <w:szCs w:val="24"/>
            <w14:ligatures w14:val="standardContextual"/>
          </w:rPr>
          <w:tab/>
        </w:r>
        <w:r w:rsidRPr="008F4954">
          <w:rPr>
            <w:rStyle w:val="Hyperlink"/>
          </w:rPr>
          <w:t>Updating Data Source Files</w:t>
        </w:r>
        <w:r>
          <w:rPr>
            <w:webHidden/>
          </w:rPr>
          <w:tab/>
        </w:r>
        <w:r>
          <w:rPr>
            <w:webHidden/>
          </w:rPr>
          <w:fldChar w:fldCharType="begin"/>
        </w:r>
        <w:r>
          <w:rPr>
            <w:webHidden/>
          </w:rPr>
          <w:instrText xml:space="preserve"> PAGEREF _Toc214283121 \h </w:instrText>
        </w:r>
        <w:r>
          <w:rPr>
            <w:webHidden/>
          </w:rPr>
        </w:r>
        <w:r>
          <w:rPr>
            <w:webHidden/>
          </w:rPr>
          <w:fldChar w:fldCharType="separate"/>
        </w:r>
        <w:r>
          <w:rPr>
            <w:webHidden/>
          </w:rPr>
          <w:t>7</w:t>
        </w:r>
        <w:r>
          <w:rPr>
            <w:webHidden/>
          </w:rPr>
          <w:fldChar w:fldCharType="end"/>
        </w:r>
      </w:hyperlink>
    </w:p>
    <w:p w14:paraId="433B5F6C" w14:textId="6F566E42"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22" w:history="1">
        <w:r w:rsidRPr="008F4954">
          <w:rPr>
            <w:rStyle w:val="Hyperlink"/>
          </w:rPr>
          <w:t>4.5</w:t>
        </w:r>
        <w:r>
          <w:rPr>
            <w:rFonts w:asciiTheme="minorHAnsi" w:eastAsiaTheme="minorEastAsia" w:hAnsiTheme="minorHAnsi" w:cstheme="minorBidi"/>
            <w:smallCaps w:val="0"/>
            <w:kern w:val="2"/>
            <w:szCs w:val="24"/>
            <w14:ligatures w14:val="standardContextual"/>
          </w:rPr>
          <w:tab/>
        </w:r>
        <w:r w:rsidRPr="008F4954">
          <w:rPr>
            <w:rStyle w:val="Hyperlink"/>
          </w:rPr>
          <w:t>TMPC DATABASE UTILITY</w:t>
        </w:r>
        <w:r>
          <w:rPr>
            <w:webHidden/>
          </w:rPr>
          <w:tab/>
        </w:r>
        <w:r>
          <w:rPr>
            <w:webHidden/>
          </w:rPr>
          <w:fldChar w:fldCharType="begin"/>
        </w:r>
        <w:r>
          <w:rPr>
            <w:webHidden/>
          </w:rPr>
          <w:instrText xml:space="preserve"> PAGEREF _Toc214283122 \h </w:instrText>
        </w:r>
        <w:r>
          <w:rPr>
            <w:webHidden/>
          </w:rPr>
        </w:r>
        <w:r>
          <w:rPr>
            <w:webHidden/>
          </w:rPr>
          <w:fldChar w:fldCharType="separate"/>
        </w:r>
        <w:r>
          <w:rPr>
            <w:webHidden/>
          </w:rPr>
          <w:t>13</w:t>
        </w:r>
        <w:r>
          <w:rPr>
            <w:webHidden/>
          </w:rPr>
          <w:fldChar w:fldCharType="end"/>
        </w:r>
      </w:hyperlink>
    </w:p>
    <w:p w14:paraId="57C88BD9" w14:textId="1FF95A61" w:rsidR="00067371" w:rsidRDefault="00067371">
      <w:pPr>
        <w:pStyle w:val="TOC3"/>
        <w:rPr>
          <w:rFonts w:asciiTheme="minorHAnsi" w:eastAsiaTheme="minorEastAsia" w:hAnsiTheme="minorHAnsi" w:cstheme="minorBidi"/>
          <w:kern w:val="2"/>
          <w:sz w:val="24"/>
          <w:szCs w:val="24"/>
          <w14:ligatures w14:val="standardContextual"/>
        </w:rPr>
      </w:pPr>
      <w:hyperlink w:anchor="_Toc214283123" w:history="1">
        <w:r w:rsidRPr="008F4954">
          <w:rPr>
            <w:rStyle w:val="Hyperlink"/>
          </w:rPr>
          <w:t>4.5.1</w:t>
        </w:r>
        <w:r>
          <w:rPr>
            <w:rFonts w:asciiTheme="minorHAnsi" w:eastAsiaTheme="minorEastAsia" w:hAnsiTheme="minorHAnsi" w:cstheme="minorBidi"/>
            <w:kern w:val="2"/>
            <w:sz w:val="24"/>
            <w:szCs w:val="24"/>
            <w14:ligatures w14:val="standardContextual"/>
          </w:rPr>
          <w:tab/>
        </w:r>
        <w:r w:rsidRPr="008F4954">
          <w:rPr>
            <w:rStyle w:val="Hyperlink"/>
          </w:rPr>
          <w:t>TED Databases</w:t>
        </w:r>
        <w:r>
          <w:rPr>
            <w:webHidden/>
          </w:rPr>
          <w:tab/>
        </w:r>
        <w:r>
          <w:rPr>
            <w:webHidden/>
          </w:rPr>
          <w:fldChar w:fldCharType="begin"/>
        </w:r>
        <w:r>
          <w:rPr>
            <w:webHidden/>
          </w:rPr>
          <w:instrText xml:space="preserve"> PAGEREF _Toc214283123 \h </w:instrText>
        </w:r>
        <w:r>
          <w:rPr>
            <w:webHidden/>
          </w:rPr>
        </w:r>
        <w:r>
          <w:rPr>
            <w:webHidden/>
          </w:rPr>
          <w:fldChar w:fldCharType="separate"/>
        </w:r>
        <w:r>
          <w:rPr>
            <w:webHidden/>
          </w:rPr>
          <w:t>13</w:t>
        </w:r>
        <w:r>
          <w:rPr>
            <w:webHidden/>
          </w:rPr>
          <w:fldChar w:fldCharType="end"/>
        </w:r>
      </w:hyperlink>
    </w:p>
    <w:p w14:paraId="43A9E6F6" w14:textId="5AD4EA1F" w:rsidR="00067371" w:rsidRDefault="00067371">
      <w:pPr>
        <w:pStyle w:val="TOC3"/>
        <w:rPr>
          <w:rFonts w:asciiTheme="minorHAnsi" w:eastAsiaTheme="minorEastAsia" w:hAnsiTheme="minorHAnsi" w:cstheme="minorBidi"/>
          <w:kern w:val="2"/>
          <w:sz w:val="24"/>
          <w:szCs w:val="24"/>
          <w14:ligatures w14:val="standardContextual"/>
        </w:rPr>
      </w:pPr>
      <w:hyperlink w:anchor="_Toc214283124" w:history="1">
        <w:r w:rsidRPr="008F4954">
          <w:rPr>
            <w:rStyle w:val="Hyperlink"/>
          </w:rPr>
          <w:t>4.5.2</w:t>
        </w:r>
        <w:r>
          <w:rPr>
            <w:rFonts w:asciiTheme="minorHAnsi" w:eastAsiaTheme="minorEastAsia" w:hAnsiTheme="minorHAnsi" w:cstheme="minorBidi"/>
            <w:kern w:val="2"/>
            <w:sz w:val="24"/>
            <w:szCs w:val="24"/>
            <w14:ligatures w14:val="standardContextual"/>
          </w:rPr>
          <w:tab/>
        </w:r>
        <w:r w:rsidRPr="008F4954">
          <w:rPr>
            <w:rStyle w:val="Hyperlink"/>
          </w:rPr>
          <w:t>TMPC Database Utility – Interactive Mode</w:t>
        </w:r>
        <w:r>
          <w:rPr>
            <w:webHidden/>
          </w:rPr>
          <w:tab/>
        </w:r>
        <w:r>
          <w:rPr>
            <w:webHidden/>
          </w:rPr>
          <w:fldChar w:fldCharType="begin"/>
        </w:r>
        <w:r>
          <w:rPr>
            <w:webHidden/>
          </w:rPr>
          <w:instrText xml:space="preserve"> PAGEREF _Toc214283124 \h </w:instrText>
        </w:r>
        <w:r>
          <w:rPr>
            <w:webHidden/>
          </w:rPr>
        </w:r>
        <w:r>
          <w:rPr>
            <w:webHidden/>
          </w:rPr>
          <w:fldChar w:fldCharType="separate"/>
        </w:r>
        <w:r>
          <w:rPr>
            <w:webHidden/>
          </w:rPr>
          <w:t>14</w:t>
        </w:r>
        <w:r>
          <w:rPr>
            <w:webHidden/>
          </w:rPr>
          <w:fldChar w:fldCharType="end"/>
        </w:r>
      </w:hyperlink>
    </w:p>
    <w:p w14:paraId="680E511E" w14:textId="21A3AF13" w:rsidR="00067371" w:rsidRDefault="00067371">
      <w:pPr>
        <w:pStyle w:val="TOC3"/>
        <w:rPr>
          <w:rFonts w:asciiTheme="minorHAnsi" w:eastAsiaTheme="minorEastAsia" w:hAnsiTheme="minorHAnsi" w:cstheme="minorBidi"/>
          <w:kern w:val="2"/>
          <w:sz w:val="24"/>
          <w:szCs w:val="24"/>
          <w14:ligatures w14:val="standardContextual"/>
        </w:rPr>
      </w:pPr>
      <w:hyperlink w:anchor="_Toc214283125" w:history="1">
        <w:r w:rsidRPr="008F4954">
          <w:rPr>
            <w:rStyle w:val="Hyperlink"/>
          </w:rPr>
          <w:t>4.5.3</w:t>
        </w:r>
        <w:r>
          <w:rPr>
            <w:rFonts w:asciiTheme="minorHAnsi" w:eastAsiaTheme="minorEastAsia" w:hAnsiTheme="minorHAnsi" w:cstheme="minorBidi"/>
            <w:kern w:val="2"/>
            <w:sz w:val="24"/>
            <w:szCs w:val="24"/>
            <w14:ligatures w14:val="standardContextual"/>
          </w:rPr>
          <w:tab/>
        </w:r>
        <w:r w:rsidRPr="008F4954">
          <w:rPr>
            <w:rStyle w:val="Hyperlink"/>
          </w:rPr>
          <w:t>TMPC Database Utility – Automatic Mode</w:t>
        </w:r>
        <w:r>
          <w:rPr>
            <w:webHidden/>
          </w:rPr>
          <w:tab/>
        </w:r>
        <w:r>
          <w:rPr>
            <w:webHidden/>
          </w:rPr>
          <w:fldChar w:fldCharType="begin"/>
        </w:r>
        <w:r>
          <w:rPr>
            <w:webHidden/>
          </w:rPr>
          <w:instrText xml:space="preserve"> PAGEREF _Toc214283125 \h </w:instrText>
        </w:r>
        <w:r>
          <w:rPr>
            <w:webHidden/>
          </w:rPr>
        </w:r>
        <w:r>
          <w:rPr>
            <w:webHidden/>
          </w:rPr>
          <w:fldChar w:fldCharType="separate"/>
        </w:r>
        <w:r>
          <w:rPr>
            <w:webHidden/>
          </w:rPr>
          <w:t>33</w:t>
        </w:r>
        <w:r>
          <w:rPr>
            <w:webHidden/>
          </w:rPr>
          <w:fldChar w:fldCharType="end"/>
        </w:r>
      </w:hyperlink>
    </w:p>
    <w:p w14:paraId="084ADF5E" w14:textId="15D84905" w:rsidR="00067371" w:rsidRDefault="00067371">
      <w:pPr>
        <w:pStyle w:val="TOC3"/>
        <w:rPr>
          <w:rFonts w:asciiTheme="minorHAnsi" w:eastAsiaTheme="minorEastAsia" w:hAnsiTheme="minorHAnsi" w:cstheme="minorBidi"/>
          <w:kern w:val="2"/>
          <w:sz w:val="24"/>
          <w:szCs w:val="24"/>
          <w14:ligatures w14:val="standardContextual"/>
        </w:rPr>
      </w:pPr>
      <w:hyperlink w:anchor="_Toc214283126" w:history="1">
        <w:r w:rsidRPr="008F4954">
          <w:rPr>
            <w:rStyle w:val="Hyperlink"/>
          </w:rPr>
          <w:t>4.5.4</w:t>
        </w:r>
        <w:r>
          <w:rPr>
            <w:rFonts w:asciiTheme="minorHAnsi" w:eastAsiaTheme="minorEastAsia" w:hAnsiTheme="minorHAnsi" w:cstheme="minorBidi"/>
            <w:kern w:val="2"/>
            <w:sz w:val="24"/>
            <w:szCs w:val="24"/>
            <w14:ligatures w14:val="standardContextual"/>
          </w:rPr>
          <w:tab/>
        </w:r>
        <w:r w:rsidRPr="008F4954">
          <w:rPr>
            <w:rStyle w:val="Hyperlink"/>
          </w:rPr>
          <w:t>Command Parameters</w:t>
        </w:r>
        <w:r>
          <w:rPr>
            <w:webHidden/>
          </w:rPr>
          <w:tab/>
        </w:r>
        <w:r>
          <w:rPr>
            <w:webHidden/>
          </w:rPr>
          <w:fldChar w:fldCharType="begin"/>
        </w:r>
        <w:r>
          <w:rPr>
            <w:webHidden/>
          </w:rPr>
          <w:instrText xml:space="preserve"> PAGEREF _Toc214283126 \h </w:instrText>
        </w:r>
        <w:r>
          <w:rPr>
            <w:webHidden/>
          </w:rPr>
        </w:r>
        <w:r>
          <w:rPr>
            <w:webHidden/>
          </w:rPr>
          <w:fldChar w:fldCharType="separate"/>
        </w:r>
        <w:r>
          <w:rPr>
            <w:webHidden/>
          </w:rPr>
          <w:t>33</w:t>
        </w:r>
        <w:r>
          <w:rPr>
            <w:webHidden/>
          </w:rPr>
          <w:fldChar w:fldCharType="end"/>
        </w:r>
      </w:hyperlink>
    </w:p>
    <w:p w14:paraId="3B67C91A" w14:textId="3A10C36D"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27" w:history="1">
        <w:r w:rsidRPr="008F4954">
          <w:rPr>
            <w:rStyle w:val="Hyperlink"/>
          </w:rPr>
          <w:t>4.6</w:t>
        </w:r>
        <w:r>
          <w:rPr>
            <w:rFonts w:asciiTheme="minorHAnsi" w:eastAsiaTheme="minorEastAsia" w:hAnsiTheme="minorHAnsi" w:cstheme="minorBidi"/>
            <w:smallCaps w:val="0"/>
            <w:kern w:val="2"/>
            <w:szCs w:val="24"/>
            <w14:ligatures w14:val="standardContextual"/>
          </w:rPr>
          <w:tab/>
        </w:r>
        <w:r w:rsidRPr="008F4954">
          <w:rPr>
            <w:rStyle w:val="Hyperlink"/>
          </w:rPr>
          <w:t>MAPPING A NETWORK DRIVE TO THE SAMBA SHARE</w:t>
        </w:r>
        <w:r>
          <w:rPr>
            <w:webHidden/>
          </w:rPr>
          <w:tab/>
        </w:r>
        <w:r>
          <w:rPr>
            <w:webHidden/>
          </w:rPr>
          <w:fldChar w:fldCharType="begin"/>
        </w:r>
        <w:r>
          <w:rPr>
            <w:webHidden/>
          </w:rPr>
          <w:instrText xml:space="preserve"> PAGEREF _Toc214283127 \h </w:instrText>
        </w:r>
        <w:r>
          <w:rPr>
            <w:webHidden/>
          </w:rPr>
        </w:r>
        <w:r>
          <w:rPr>
            <w:webHidden/>
          </w:rPr>
          <w:fldChar w:fldCharType="separate"/>
        </w:r>
        <w:r>
          <w:rPr>
            <w:webHidden/>
          </w:rPr>
          <w:t>38</w:t>
        </w:r>
        <w:r>
          <w:rPr>
            <w:webHidden/>
          </w:rPr>
          <w:fldChar w:fldCharType="end"/>
        </w:r>
      </w:hyperlink>
    </w:p>
    <w:p w14:paraId="179ACDE1" w14:textId="3E53228A"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28" w:history="1">
        <w:r w:rsidRPr="008F4954">
          <w:rPr>
            <w:rStyle w:val="Hyperlink"/>
          </w:rPr>
          <w:t>4.7</w:t>
        </w:r>
        <w:r>
          <w:rPr>
            <w:rFonts w:asciiTheme="minorHAnsi" w:eastAsiaTheme="minorEastAsia" w:hAnsiTheme="minorHAnsi" w:cstheme="minorBidi"/>
            <w:smallCaps w:val="0"/>
            <w:kern w:val="2"/>
            <w:szCs w:val="24"/>
            <w14:ligatures w14:val="standardContextual"/>
          </w:rPr>
          <w:tab/>
        </w:r>
        <w:r w:rsidRPr="008F4954">
          <w:rPr>
            <w:rStyle w:val="Hyperlink"/>
          </w:rPr>
          <w:t>EXITING MDS</w:t>
        </w:r>
        <w:r>
          <w:rPr>
            <w:webHidden/>
          </w:rPr>
          <w:tab/>
        </w:r>
        <w:r>
          <w:rPr>
            <w:webHidden/>
          </w:rPr>
          <w:fldChar w:fldCharType="begin"/>
        </w:r>
        <w:r>
          <w:rPr>
            <w:webHidden/>
          </w:rPr>
          <w:instrText xml:space="preserve"> PAGEREF _Toc214283128 \h </w:instrText>
        </w:r>
        <w:r>
          <w:rPr>
            <w:webHidden/>
          </w:rPr>
        </w:r>
        <w:r>
          <w:rPr>
            <w:webHidden/>
          </w:rPr>
          <w:fldChar w:fldCharType="separate"/>
        </w:r>
        <w:r>
          <w:rPr>
            <w:webHidden/>
          </w:rPr>
          <w:t>40</w:t>
        </w:r>
        <w:r>
          <w:rPr>
            <w:webHidden/>
          </w:rPr>
          <w:fldChar w:fldCharType="end"/>
        </w:r>
      </w:hyperlink>
    </w:p>
    <w:p w14:paraId="28D8E5A4" w14:textId="1EACF4EA" w:rsidR="00067371" w:rsidRDefault="00067371">
      <w:pPr>
        <w:pStyle w:val="TOC1"/>
        <w:tabs>
          <w:tab w:val="left" w:pos="720"/>
        </w:tabs>
        <w:rPr>
          <w:rFonts w:asciiTheme="minorHAnsi" w:eastAsiaTheme="minorEastAsia" w:hAnsiTheme="minorHAnsi" w:cstheme="minorBidi"/>
          <w:b w:val="0"/>
          <w:caps w:val="0"/>
          <w:kern w:val="2"/>
          <w:szCs w:val="24"/>
          <w14:ligatures w14:val="standardContextual"/>
        </w:rPr>
      </w:pPr>
      <w:hyperlink w:anchor="_Toc214283129" w:history="1">
        <w:r w:rsidRPr="008F4954">
          <w:rPr>
            <w:rStyle w:val="Hyperlink"/>
          </w:rPr>
          <w:t>5.0</w:t>
        </w:r>
        <w:r>
          <w:rPr>
            <w:rFonts w:asciiTheme="minorHAnsi" w:eastAsiaTheme="minorEastAsia" w:hAnsiTheme="minorHAnsi" w:cstheme="minorBidi"/>
            <w:b w:val="0"/>
            <w:caps w:val="0"/>
            <w:kern w:val="2"/>
            <w:szCs w:val="24"/>
            <w14:ligatures w14:val="standardContextual"/>
          </w:rPr>
          <w:tab/>
        </w:r>
        <w:r w:rsidRPr="008F4954">
          <w:rPr>
            <w:rStyle w:val="Hyperlink"/>
          </w:rPr>
          <w:t>MDS FUNCTIONS</w:t>
        </w:r>
        <w:r>
          <w:rPr>
            <w:webHidden/>
          </w:rPr>
          <w:tab/>
        </w:r>
        <w:r>
          <w:rPr>
            <w:webHidden/>
          </w:rPr>
          <w:fldChar w:fldCharType="begin"/>
        </w:r>
        <w:r>
          <w:rPr>
            <w:webHidden/>
          </w:rPr>
          <w:instrText xml:space="preserve"> PAGEREF _Toc214283129 \h </w:instrText>
        </w:r>
        <w:r>
          <w:rPr>
            <w:webHidden/>
          </w:rPr>
        </w:r>
        <w:r>
          <w:rPr>
            <w:webHidden/>
          </w:rPr>
          <w:fldChar w:fldCharType="separate"/>
        </w:r>
        <w:r>
          <w:rPr>
            <w:webHidden/>
          </w:rPr>
          <w:t>41</w:t>
        </w:r>
        <w:r>
          <w:rPr>
            <w:webHidden/>
          </w:rPr>
          <w:fldChar w:fldCharType="end"/>
        </w:r>
      </w:hyperlink>
    </w:p>
    <w:p w14:paraId="23EE8132" w14:textId="6763ED7B"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30" w:history="1">
        <w:r w:rsidRPr="008F4954">
          <w:rPr>
            <w:rStyle w:val="Hyperlink"/>
          </w:rPr>
          <w:t>5.1</w:t>
        </w:r>
        <w:r>
          <w:rPr>
            <w:rFonts w:asciiTheme="minorHAnsi" w:eastAsiaTheme="minorEastAsia" w:hAnsiTheme="minorHAnsi" w:cstheme="minorBidi"/>
            <w:smallCaps w:val="0"/>
            <w:kern w:val="2"/>
            <w:szCs w:val="24"/>
            <w14:ligatures w14:val="standardContextual"/>
          </w:rPr>
          <w:tab/>
        </w:r>
        <w:r w:rsidRPr="008F4954">
          <w:rPr>
            <w:rStyle w:val="Hyperlink"/>
          </w:rPr>
          <w:t>MDS TOOLBOX</w:t>
        </w:r>
        <w:r>
          <w:rPr>
            <w:webHidden/>
          </w:rPr>
          <w:tab/>
        </w:r>
        <w:r>
          <w:rPr>
            <w:webHidden/>
          </w:rPr>
          <w:fldChar w:fldCharType="begin"/>
        </w:r>
        <w:r>
          <w:rPr>
            <w:webHidden/>
          </w:rPr>
          <w:instrText xml:space="preserve"> PAGEREF _Toc214283130 \h </w:instrText>
        </w:r>
        <w:r>
          <w:rPr>
            <w:webHidden/>
          </w:rPr>
        </w:r>
        <w:r>
          <w:rPr>
            <w:webHidden/>
          </w:rPr>
          <w:fldChar w:fldCharType="separate"/>
        </w:r>
        <w:r>
          <w:rPr>
            <w:webHidden/>
          </w:rPr>
          <w:t>41</w:t>
        </w:r>
        <w:r>
          <w:rPr>
            <w:webHidden/>
          </w:rPr>
          <w:fldChar w:fldCharType="end"/>
        </w:r>
      </w:hyperlink>
    </w:p>
    <w:p w14:paraId="0FDF32FC" w14:textId="62CF8A00"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31" w:history="1">
        <w:r w:rsidRPr="008F4954">
          <w:rPr>
            <w:rStyle w:val="Hyperlink"/>
          </w:rPr>
          <w:t>5.2</w:t>
        </w:r>
        <w:r>
          <w:rPr>
            <w:rFonts w:asciiTheme="minorHAnsi" w:eastAsiaTheme="minorEastAsia" w:hAnsiTheme="minorHAnsi" w:cstheme="minorBidi"/>
            <w:smallCaps w:val="0"/>
            <w:kern w:val="2"/>
            <w:szCs w:val="24"/>
            <w14:ligatures w14:val="standardContextual"/>
          </w:rPr>
          <w:tab/>
        </w:r>
        <w:r w:rsidRPr="008F4954">
          <w:rPr>
            <w:rStyle w:val="Hyperlink"/>
          </w:rPr>
          <w:t>COMMON WINDOW FEATURES</w:t>
        </w:r>
        <w:r>
          <w:rPr>
            <w:webHidden/>
          </w:rPr>
          <w:tab/>
        </w:r>
        <w:r>
          <w:rPr>
            <w:webHidden/>
          </w:rPr>
          <w:fldChar w:fldCharType="begin"/>
        </w:r>
        <w:r>
          <w:rPr>
            <w:webHidden/>
          </w:rPr>
          <w:instrText xml:space="preserve"> PAGEREF _Toc214283131 \h </w:instrText>
        </w:r>
        <w:r>
          <w:rPr>
            <w:webHidden/>
          </w:rPr>
        </w:r>
        <w:r>
          <w:rPr>
            <w:webHidden/>
          </w:rPr>
          <w:fldChar w:fldCharType="separate"/>
        </w:r>
        <w:r>
          <w:rPr>
            <w:webHidden/>
          </w:rPr>
          <w:t>42</w:t>
        </w:r>
        <w:r>
          <w:rPr>
            <w:webHidden/>
          </w:rPr>
          <w:fldChar w:fldCharType="end"/>
        </w:r>
      </w:hyperlink>
    </w:p>
    <w:p w14:paraId="00B39C88" w14:textId="2046FAB4" w:rsidR="00067371" w:rsidRDefault="00067371">
      <w:pPr>
        <w:pStyle w:val="TOC3"/>
        <w:rPr>
          <w:rFonts w:asciiTheme="minorHAnsi" w:eastAsiaTheme="minorEastAsia" w:hAnsiTheme="minorHAnsi" w:cstheme="minorBidi"/>
          <w:kern w:val="2"/>
          <w:sz w:val="24"/>
          <w:szCs w:val="24"/>
          <w14:ligatures w14:val="standardContextual"/>
        </w:rPr>
      </w:pPr>
      <w:hyperlink w:anchor="_Toc214283132" w:history="1">
        <w:r w:rsidRPr="008F4954">
          <w:rPr>
            <w:rStyle w:val="Hyperlink"/>
          </w:rPr>
          <w:t>5.2.1</w:t>
        </w:r>
        <w:r>
          <w:rPr>
            <w:rFonts w:asciiTheme="minorHAnsi" w:eastAsiaTheme="minorEastAsia" w:hAnsiTheme="minorHAnsi" w:cstheme="minorBidi"/>
            <w:kern w:val="2"/>
            <w:sz w:val="24"/>
            <w:szCs w:val="24"/>
            <w14:ligatures w14:val="standardContextual"/>
          </w:rPr>
          <w:tab/>
        </w:r>
        <w:r w:rsidRPr="008F4954">
          <w:rPr>
            <w:rStyle w:val="Hyperlink"/>
          </w:rPr>
          <w:t>File Menu</w:t>
        </w:r>
        <w:r>
          <w:rPr>
            <w:webHidden/>
          </w:rPr>
          <w:tab/>
        </w:r>
        <w:r>
          <w:rPr>
            <w:webHidden/>
          </w:rPr>
          <w:fldChar w:fldCharType="begin"/>
        </w:r>
        <w:r>
          <w:rPr>
            <w:webHidden/>
          </w:rPr>
          <w:instrText xml:space="preserve"> PAGEREF _Toc214283132 \h </w:instrText>
        </w:r>
        <w:r>
          <w:rPr>
            <w:webHidden/>
          </w:rPr>
        </w:r>
        <w:r>
          <w:rPr>
            <w:webHidden/>
          </w:rPr>
          <w:fldChar w:fldCharType="separate"/>
        </w:r>
        <w:r>
          <w:rPr>
            <w:webHidden/>
          </w:rPr>
          <w:t>42</w:t>
        </w:r>
        <w:r>
          <w:rPr>
            <w:webHidden/>
          </w:rPr>
          <w:fldChar w:fldCharType="end"/>
        </w:r>
      </w:hyperlink>
    </w:p>
    <w:p w14:paraId="0588BC9D" w14:textId="22DE8021" w:rsidR="00067371" w:rsidRDefault="00067371">
      <w:pPr>
        <w:pStyle w:val="TOC3"/>
        <w:rPr>
          <w:rFonts w:asciiTheme="minorHAnsi" w:eastAsiaTheme="minorEastAsia" w:hAnsiTheme="minorHAnsi" w:cstheme="minorBidi"/>
          <w:kern w:val="2"/>
          <w:sz w:val="24"/>
          <w:szCs w:val="24"/>
          <w14:ligatures w14:val="standardContextual"/>
        </w:rPr>
      </w:pPr>
      <w:hyperlink w:anchor="_Toc214283133" w:history="1">
        <w:r w:rsidRPr="008F4954">
          <w:rPr>
            <w:rStyle w:val="Hyperlink"/>
          </w:rPr>
          <w:t>5.2.2</w:t>
        </w:r>
        <w:r>
          <w:rPr>
            <w:rFonts w:asciiTheme="minorHAnsi" w:eastAsiaTheme="minorEastAsia" w:hAnsiTheme="minorHAnsi" w:cstheme="minorBidi"/>
            <w:kern w:val="2"/>
            <w:sz w:val="24"/>
            <w:szCs w:val="24"/>
            <w14:ligatures w14:val="standardContextual"/>
          </w:rPr>
          <w:tab/>
        </w:r>
        <w:r w:rsidRPr="008F4954">
          <w:rPr>
            <w:rStyle w:val="Hyperlink"/>
          </w:rPr>
          <w:t>Edit Menu</w:t>
        </w:r>
        <w:r>
          <w:rPr>
            <w:webHidden/>
          </w:rPr>
          <w:tab/>
        </w:r>
        <w:r>
          <w:rPr>
            <w:webHidden/>
          </w:rPr>
          <w:fldChar w:fldCharType="begin"/>
        </w:r>
        <w:r>
          <w:rPr>
            <w:webHidden/>
          </w:rPr>
          <w:instrText xml:space="preserve"> PAGEREF _Toc214283133 \h </w:instrText>
        </w:r>
        <w:r>
          <w:rPr>
            <w:webHidden/>
          </w:rPr>
        </w:r>
        <w:r>
          <w:rPr>
            <w:webHidden/>
          </w:rPr>
          <w:fldChar w:fldCharType="separate"/>
        </w:r>
        <w:r>
          <w:rPr>
            <w:webHidden/>
          </w:rPr>
          <w:t>50</w:t>
        </w:r>
        <w:r>
          <w:rPr>
            <w:webHidden/>
          </w:rPr>
          <w:fldChar w:fldCharType="end"/>
        </w:r>
      </w:hyperlink>
    </w:p>
    <w:p w14:paraId="69B89725" w14:textId="377F7224" w:rsidR="00067371" w:rsidRDefault="00067371">
      <w:pPr>
        <w:pStyle w:val="TOC3"/>
        <w:rPr>
          <w:rFonts w:asciiTheme="minorHAnsi" w:eastAsiaTheme="minorEastAsia" w:hAnsiTheme="minorHAnsi" w:cstheme="minorBidi"/>
          <w:kern w:val="2"/>
          <w:sz w:val="24"/>
          <w:szCs w:val="24"/>
          <w14:ligatures w14:val="standardContextual"/>
        </w:rPr>
      </w:pPr>
      <w:hyperlink w:anchor="_Toc214283134" w:history="1">
        <w:r w:rsidRPr="008F4954">
          <w:rPr>
            <w:rStyle w:val="Hyperlink"/>
          </w:rPr>
          <w:t>5.2.3</w:t>
        </w:r>
        <w:r>
          <w:rPr>
            <w:rFonts w:asciiTheme="minorHAnsi" w:eastAsiaTheme="minorEastAsia" w:hAnsiTheme="minorHAnsi" w:cstheme="minorBidi"/>
            <w:kern w:val="2"/>
            <w:sz w:val="24"/>
            <w:szCs w:val="24"/>
            <w14:ligatures w14:val="standardContextual"/>
          </w:rPr>
          <w:tab/>
        </w:r>
        <w:r w:rsidRPr="008F4954">
          <w:rPr>
            <w:rStyle w:val="Hyperlink"/>
          </w:rPr>
          <w:t>View Menu</w:t>
        </w:r>
        <w:r>
          <w:rPr>
            <w:webHidden/>
          </w:rPr>
          <w:tab/>
        </w:r>
        <w:r>
          <w:rPr>
            <w:webHidden/>
          </w:rPr>
          <w:fldChar w:fldCharType="begin"/>
        </w:r>
        <w:r>
          <w:rPr>
            <w:webHidden/>
          </w:rPr>
          <w:instrText xml:space="preserve"> PAGEREF _Toc214283134 \h </w:instrText>
        </w:r>
        <w:r>
          <w:rPr>
            <w:webHidden/>
          </w:rPr>
        </w:r>
        <w:r>
          <w:rPr>
            <w:webHidden/>
          </w:rPr>
          <w:fldChar w:fldCharType="separate"/>
        </w:r>
        <w:r>
          <w:rPr>
            <w:webHidden/>
          </w:rPr>
          <w:t>50</w:t>
        </w:r>
        <w:r>
          <w:rPr>
            <w:webHidden/>
          </w:rPr>
          <w:fldChar w:fldCharType="end"/>
        </w:r>
      </w:hyperlink>
    </w:p>
    <w:p w14:paraId="698B500C" w14:textId="5C116A21" w:rsidR="00067371" w:rsidRDefault="00067371">
      <w:pPr>
        <w:pStyle w:val="TOC3"/>
        <w:rPr>
          <w:rFonts w:asciiTheme="minorHAnsi" w:eastAsiaTheme="minorEastAsia" w:hAnsiTheme="minorHAnsi" w:cstheme="minorBidi"/>
          <w:kern w:val="2"/>
          <w:sz w:val="24"/>
          <w:szCs w:val="24"/>
          <w14:ligatures w14:val="standardContextual"/>
        </w:rPr>
      </w:pPr>
      <w:hyperlink w:anchor="_Toc214283135" w:history="1">
        <w:r w:rsidRPr="008F4954">
          <w:rPr>
            <w:rStyle w:val="Hyperlink"/>
          </w:rPr>
          <w:t>5.2.4</w:t>
        </w:r>
        <w:r>
          <w:rPr>
            <w:rFonts w:asciiTheme="minorHAnsi" w:eastAsiaTheme="minorEastAsia" w:hAnsiTheme="minorHAnsi" w:cstheme="minorBidi"/>
            <w:kern w:val="2"/>
            <w:sz w:val="24"/>
            <w:szCs w:val="24"/>
            <w14:ligatures w14:val="standardContextual"/>
          </w:rPr>
          <w:tab/>
        </w:r>
        <w:r w:rsidRPr="008F4954">
          <w:rPr>
            <w:rStyle w:val="Hyperlink"/>
          </w:rPr>
          <w:t>Go Menu</w:t>
        </w:r>
        <w:r>
          <w:rPr>
            <w:webHidden/>
          </w:rPr>
          <w:tab/>
        </w:r>
        <w:r>
          <w:rPr>
            <w:webHidden/>
          </w:rPr>
          <w:fldChar w:fldCharType="begin"/>
        </w:r>
        <w:r>
          <w:rPr>
            <w:webHidden/>
          </w:rPr>
          <w:instrText xml:space="preserve"> PAGEREF _Toc214283135 \h </w:instrText>
        </w:r>
        <w:r>
          <w:rPr>
            <w:webHidden/>
          </w:rPr>
        </w:r>
        <w:r>
          <w:rPr>
            <w:webHidden/>
          </w:rPr>
          <w:fldChar w:fldCharType="separate"/>
        </w:r>
        <w:r>
          <w:rPr>
            <w:webHidden/>
          </w:rPr>
          <w:t>55</w:t>
        </w:r>
        <w:r>
          <w:rPr>
            <w:webHidden/>
          </w:rPr>
          <w:fldChar w:fldCharType="end"/>
        </w:r>
      </w:hyperlink>
    </w:p>
    <w:p w14:paraId="208AC2A4" w14:textId="547658DA" w:rsidR="00067371" w:rsidRDefault="00067371">
      <w:pPr>
        <w:pStyle w:val="TOC3"/>
        <w:rPr>
          <w:rFonts w:asciiTheme="minorHAnsi" w:eastAsiaTheme="minorEastAsia" w:hAnsiTheme="minorHAnsi" w:cstheme="minorBidi"/>
          <w:kern w:val="2"/>
          <w:sz w:val="24"/>
          <w:szCs w:val="24"/>
          <w14:ligatures w14:val="standardContextual"/>
        </w:rPr>
      </w:pPr>
      <w:hyperlink w:anchor="_Toc214283136" w:history="1">
        <w:r w:rsidRPr="008F4954">
          <w:rPr>
            <w:rStyle w:val="Hyperlink"/>
          </w:rPr>
          <w:t>5.2.5</w:t>
        </w:r>
        <w:r>
          <w:rPr>
            <w:rFonts w:asciiTheme="minorHAnsi" w:eastAsiaTheme="minorEastAsia" w:hAnsiTheme="minorHAnsi" w:cstheme="minorBidi"/>
            <w:kern w:val="2"/>
            <w:sz w:val="24"/>
            <w:szCs w:val="24"/>
            <w14:ligatures w14:val="standardContextual"/>
          </w:rPr>
          <w:tab/>
        </w:r>
        <w:r w:rsidRPr="008F4954">
          <w:rPr>
            <w:rStyle w:val="Hyperlink"/>
          </w:rPr>
          <w:t>Tools Menu</w:t>
        </w:r>
        <w:r>
          <w:rPr>
            <w:webHidden/>
          </w:rPr>
          <w:tab/>
        </w:r>
        <w:r>
          <w:rPr>
            <w:webHidden/>
          </w:rPr>
          <w:fldChar w:fldCharType="begin"/>
        </w:r>
        <w:r>
          <w:rPr>
            <w:webHidden/>
          </w:rPr>
          <w:instrText xml:space="preserve"> PAGEREF _Toc214283136 \h </w:instrText>
        </w:r>
        <w:r>
          <w:rPr>
            <w:webHidden/>
          </w:rPr>
        </w:r>
        <w:r>
          <w:rPr>
            <w:webHidden/>
          </w:rPr>
          <w:fldChar w:fldCharType="separate"/>
        </w:r>
        <w:r>
          <w:rPr>
            <w:webHidden/>
          </w:rPr>
          <w:t>56</w:t>
        </w:r>
        <w:r>
          <w:rPr>
            <w:webHidden/>
          </w:rPr>
          <w:fldChar w:fldCharType="end"/>
        </w:r>
      </w:hyperlink>
    </w:p>
    <w:p w14:paraId="0659BEBC" w14:textId="16C236B7" w:rsidR="00067371" w:rsidRDefault="00067371">
      <w:pPr>
        <w:pStyle w:val="TOC3"/>
        <w:rPr>
          <w:rFonts w:asciiTheme="minorHAnsi" w:eastAsiaTheme="minorEastAsia" w:hAnsiTheme="minorHAnsi" w:cstheme="minorBidi"/>
          <w:kern w:val="2"/>
          <w:sz w:val="24"/>
          <w:szCs w:val="24"/>
          <w14:ligatures w14:val="standardContextual"/>
        </w:rPr>
      </w:pPr>
      <w:hyperlink w:anchor="_Toc214283137" w:history="1">
        <w:r w:rsidRPr="008F4954">
          <w:rPr>
            <w:rStyle w:val="Hyperlink"/>
          </w:rPr>
          <w:t>5.2.6</w:t>
        </w:r>
        <w:r>
          <w:rPr>
            <w:rFonts w:asciiTheme="minorHAnsi" w:eastAsiaTheme="minorEastAsia" w:hAnsiTheme="minorHAnsi" w:cstheme="minorBidi"/>
            <w:kern w:val="2"/>
            <w:sz w:val="24"/>
            <w:szCs w:val="24"/>
            <w14:ligatures w14:val="standardContextual"/>
          </w:rPr>
          <w:tab/>
        </w:r>
        <w:r w:rsidRPr="008F4954">
          <w:rPr>
            <w:rStyle w:val="Hyperlink"/>
          </w:rPr>
          <w:t>Help Menu</w:t>
        </w:r>
        <w:r>
          <w:rPr>
            <w:webHidden/>
          </w:rPr>
          <w:tab/>
        </w:r>
        <w:r>
          <w:rPr>
            <w:webHidden/>
          </w:rPr>
          <w:fldChar w:fldCharType="begin"/>
        </w:r>
        <w:r>
          <w:rPr>
            <w:webHidden/>
          </w:rPr>
          <w:instrText xml:space="preserve"> PAGEREF _Toc214283137 \h </w:instrText>
        </w:r>
        <w:r>
          <w:rPr>
            <w:webHidden/>
          </w:rPr>
        </w:r>
        <w:r>
          <w:rPr>
            <w:webHidden/>
          </w:rPr>
          <w:fldChar w:fldCharType="separate"/>
        </w:r>
        <w:r>
          <w:rPr>
            <w:webHidden/>
          </w:rPr>
          <w:t>57</w:t>
        </w:r>
        <w:r>
          <w:rPr>
            <w:webHidden/>
          </w:rPr>
          <w:fldChar w:fldCharType="end"/>
        </w:r>
      </w:hyperlink>
    </w:p>
    <w:p w14:paraId="3BF6EBC4" w14:textId="7BCF8299" w:rsidR="00067371" w:rsidRDefault="00067371">
      <w:pPr>
        <w:pStyle w:val="TOC3"/>
        <w:rPr>
          <w:rFonts w:asciiTheme="minorHAnsi" w:eastAsiaTheme="minorEastAsia" w:hAnsiTheme="minorHAnsi" w:cstheme="minorBidi"/>
          <w:kern w:val="2"/>
          <w:sz w:val="24"/>
          <w:szCs w:val="24"/>
          <w14:ligatures w14:val="standardContextual"/>
        </w:rPr>
      </w:pPr>
      <w:hyperlink w:anchor="_Toc214283138" w:history="1">
        <w:r w:rsidRPr="008F4954">
          <w:rPr>
            <w:rStyle w:val="Hyperlink"/>
          </w:rPr>
          <w:t>5.2.7</w:t>
        </w:r>
        <w:r>
          <w:rPr>
            <w:rFonts w:asciiTheme="minorHAnsi" w:eastAsiaTheme="minorEastAsia" w:hAnsiTheme="minorHAnsi" w:cstheme="minorBidi"/>
            <w:kern w:val="2"/>
            <w:sz w:val="24"/>
            <w:szCs w:val="24"/>
            <w14:ligatures w14:val="standardContextual"/>
          </w:rPr>
          <w:tab/>
        </w:r>
        <w:r w:rsidRPr="008F4954">
          <w:rPr>
            <w:rStyle w:val="Hyperlink"/>
          </w:rPr>
          <w:t>Edit Classification</w:t>
        </w:r>
        <w:r>
          <w:rPr>
            <w:webHidden/>
          </w:rPr>
          <w:tab/>
        </w:r>
        <w:r>
          <w:rPr>
            <w:webHidden/>
          </w:rPr>
          <w:fldChar w:fldCharType="begin"/>
        </w:r>
        <w:r>
          <w:rPr>
            <w:webHidden/>
          </w:rPr>
          <w:instrText xml:space="preserve"> PAGEREF _Toc214283138 \h </w:instrText>
        </w:r>
        <w:r>
          <w:rPr>
            <w:webHidden/>
          </w:rPr>
        </w:r>
        <w:r>
          <w:rPr>
            <w:webHidden/>
          </w:rPr>
          <w:fldChar w:fldCharType="separate"/>
        </w:r>
        <w:r>
          <w:rPr>
            <w:webHidden/>
          </w:rPr>
          <w:t>58</w:t>
        </w:r>
        <w:r>
          <w:rPr>
            <w:webHidden/>
          </w:rPr>
          <w:fldChar w:fldCharType="end"/>
        </w:r>
      </w:hyperlink>
    </w:p>
    <w:p w14:paraId="0ABFA442" w14:textId="32A66345" w:rsidR="00067371" w:rsidRDefault="00067371">
      <w:pPr>
        <w:pStyle w:val="TOC3"/>
        <w:rPr>
          <w:rFonts w:asciiTheme="minorHAnsi" w:eastAsiaTheme="minorEastAsia" w:hAnsiTheme="minorHAnsi" w:cstheme="minorBidi"/>
          <w:kern w:val="2"/>
          <w:sz w:val="24"/>
          <w:szCs w:val="24"/>
          <w14:ligatures w14:val="standardContextual"/>
        </w:rPr>
      </w:pPr>
      <w:hyperlink w:anchor="_Toc214283139" w:history="1">
        <w:r w:rsidRPr="008F4954">
          <w:rPr>
            <w:rStyle w:val="Hyperlink"/>
          </w:rPr>
          <w:t>5.2.8</w:t>
        </w:r>
        <w:r>
          <w:rPr>
            <w:rFonts w:asciiTheme="minorHAnsi" w:eastAsiaTheme="minorEastAsia" w:hAnsiTheme="minorHAnsi" w:cstheme="minorBidi"/>
            <w:kern w:val="2"/>
            <w:sz w:val="24"/>
            <w:szCs w:val="24"/>
            <w14:ligatures w14:val="standardContextual"/>
          </w:rPr>
          <w:tab/>
        </w:r>
        <w:r w:rsidRPr="008F4954">
          <w:rPr>
            <w:rStyle w:val="Hyperlink"/>
          </w:rPr>
          <w:t>Editing Mandatory Fields</w:t>
        </w:r>
        <w:r>
          <w:rPr>
            <w:webHidden/>
          </w:rPr>
          <w:tab/>
        </w:r>
        <w:r>
          <w:rPr>
            <w:webHidden/>
          </w:rPr>
          <w:fldChar w:fldCharType="begin"/>
        </w:r>
        <w:r>
          <w:rPr>
            <w:webHidden/>
          </w:rPr>
          <w:instrText xml:space="preserve"> PAGEREF _Toc214283139 \h </w:instrText>
        </w:r>
        <w:r>
          <w:rPr>
            <w:webHidden/>
          </w:rPr>
        </w:r>
        <w:r>
          <w:rPr>
            <w:webHidden/>
          </w:rPr>
          <w:fldChar w:fldCharType="separate"/>
        </w:r>
        <w:r>
          <w:rPr>
            <w:webHidden/>
          </w:rPr>
          <w:t>60</w:t>
        </w:r>
        <w:r>
          <w:rPr>
            <w:webHidden/>
          </w:rPr>
          <w:fldChar w:fldCharType="end"/>
        </w:r>
      </w:hyperlink>
    </w:p>
    <w:p w14:paraId="750D3A96" w14:textId="590448A8" w:rsidR="00067371" w:rsidRDefault="00067371">
      <w:pPr>
        <w:pStyle w:val="TOC3"/>
        <w:rPr>
          <w:rFonts w:asciiTheme="minorHAnsi" w:eastAsiaTheme="minorEastAsia" w:hAnsiTheme="minorHAnsi" w:cstheme="minorBidi"/>
          <w:kern w:val="2"/>
          <w:sz w:val="24"/>
          <w:szCs w:val="24"/>
          <w14:ligatures w14:val="standardContextual"/>
        </w:rPr>
      </w:pPr>
      <w:hyperlink w:anchor="_Toc214283140" w:history="1">
        <w:r w:rsidRPr="008F4954">
          <w:rPr>
            <w:rStyle w:val="Hyperlink"/>
          </w:rPr>
          <w:t>5.2.9</w:t>
        </w:r>
        <w:r>
          <w:rPr>
            <w:rFonts w:asciiTheme="minorHAnsi" w:eastAsiaTheme="minorEastAsia" w:hAnsiTheme="minorHAnsi" w:cstheme="minorBidi"/>
            <w:kern w:val="2"/>
            <w:sz w:val="24"/>
            <w:szCs w:val="24"/>
            <w14:ligatures w14:val="standardContextual"/>
          </w:rPr>
          <w:tab/>
        </w:r>
        <w:r w:rsidRPr="008F4954">
          <w:rPr>
            <w:rStyle w:val="Hyperlink"/>
          </w:rPr>
          <w:t>Notification of Deleted and Updated Data</w:t>
        </w:r>
        <w:r>
          <w:rPr>
            <w:webHidden/>
          </w:rPr>
          <w:tab/>
        </w:r>
        <w:r>
          <w:rPr>
            <w:webHidden/>
          </w:rPr>
          <w:fldChar w:fldCharType="begin"/>
        </w:r>
        <w:r>
          <w:rPr>
            <w:webHidden/>
          </w:rPr>
          <w:instrText xml:space="preserve"> PAGEREF _Toc214283140 \h </w:instrText>
        </w:r>
        <w:r>
          <w:rPr>
            <w:webHidden/>
          </w:rPr>
        </w:r>
        <w:r>
          <w:rPr>
            <w:webHidden/>
          </w:rPr>
          <w:fldChar w:fldCharType="separate"/>
        </w:r>
        <w:r>
          <w:rPr>
            <w:webHidden/>
          </w:rPr>
          <w:t>60</w:t>
        </w:r>
        <w:r>
          <w:rPr>
            <w:webHidden/>
          </w:rPr>
          <w:fldChar w:fldCharType="end"/>
        </w:r>
      </w:hyperlink>
    </w:p>
    <w:p w14:paraId="178D78B1" w14:textId="623614E1" w:rsidR="00067371" w:rsidRDefault="00067371">
      <w:pPr>
        <w:pStyle w:val="TOC3"/>
        <w:rPr>
          <w:rFonts w:asciiTheme="minorHAnsi" w:eastAsiaTheme="minorEastAsia" w:hAnsiTheme="minorHAnsi" w:cstheme="minorBidi"/>
          <w:kern w:val="2"/>
          <w:sz w:val="24"/>
          <w:szCs w:val="24"/>
          <w14:ligatures w14:val="standardContextual"/>
        </w:rPr>
      </w:pPr>
      <w:hyperlink w:anchor="_Toc214283141" w:history="1">
        <w:r w:rsidRPr="008F4954">
          <w:rPr>
            <w:rStyle w:val="Hyperlink"/>
          </w:rPr>
          <w:t>5.2.10</w:t>
        </w:r>
        <w:r>
          <w:rPr>
            <w:rFonts w:asciiTheme="minorHAnsi" w:eastAsiaTheme="minorEastAsia" w:hAnsiTheme="minorHAnsi" w:cstheme="minorBidi"/>
            <w:kern w:val="2"/>
            <w:sz w:val="24"/>
            <w:szCs w:val="24"/>
            <w14:ligatures w14:val="standardContextual"/>
          </w:rPr>
          <w:tab/>
        </w:r>
        <w:r w:rsidRPr="008F4954">
          <w:rPr>
            <w:rStyle w:val="Hyperlink"/>
          </w:rPr>
          <w:t>Distribution Dashboard</w:t>
        </w:r>
        <w:r>
          <w:rPr>
            <w:webHidden/>
          </w:rPr>
          <w:tab/>
        </w:r>
        <w:r>
          <w:rPr>
            <w:webHidden/>
          </w:rPr>
          <w:fldChar w:fldCharType="begin"/>
        </w:r>
        <w:r>
          <w:rPr>
            <w:webHidden/>
          </w:rPr>
          <w:instrText xml:space="preserve"> PAGEREF _Toc214283141 \h </w:instrText>
        </w:r>
        <w:r>
          <w:rPr>
            <w:webHidden/>
          </w:rPr>
        </w:r>
        <w:r>
          <w:rPr>
            <w:webHidden/>
          </w:rPr>
          <w:fldChar w:fldCharType="separate"/>
        </w:r>
        <w:r>
          <w:rPr>
            <w:webHidden/>
          </w:rPr>
          <w:t>62</w:t>
        </w:r>
        <w:r>
          <w:rPr>
            <w:webHidden/>
          </w:rPr>
          <w:fldChar w:fldCharType="end"/>
        </w:r>
      </w:hyperlink>
    </w:p>
    <w:p w14:paraId="295BDCDE" w14:textId="5E7C0A82" w:rsidR="00067371" w:rsidRDefault="00067371">
      <w:pPr>
        <w:pStyle w:val="TOC3"/>
        <w:rPr>
          <w:rFonts w:asciiTheme="minorHAnsi" w:eastAsiaTheme="minorEastAsia" w:hAnsiTheme="minorHAnsi" w:cstheme="minorBidi"/>
          <w:kern w:val="2"/>
          <w:sz w:val="24"/>
          <w:szCs w:val="24"/>
          <w14:ligatures w14:val="standardContextual"/>
        </w:rPr>
      </w:pPr>
      <w:hyperlink w:anchor="_Toc214283142" w:history="1">
        <w:r w:rsidRPr="008F4954">
          <w:rPr>
            <w:rStyle w:val="Hyperlink"/>
          </w:rPr>
          <w:t>5.2.11</w:t>
        </w:r>
        <w:r>
          <w:rPr>
            <w:rFonts w:asciiTheme="minorHAnsi" w:eastAsiaTheme="minorEastAsia" w:hAnsiTheme="minorHAnsi" w:cstheme="minorBidi"/>
            <w:kern w:val="2"/>
            <w:sz w:val="24"/>
            <w:szCs w:val="24"/>
            <w14:ligatures w14:val="standardContextual"/>
          </w:rPr>
          <w:tab/>
        </w:r>
        <w:r w:rsidRPr="008F4954">
          <w:rPr>
            <w:rStyle w:val="Hyperlink"/>
          </w:rPr>
          <w:t>Additional Information Icon</w:t>
        </w:r>
        <w:r>
          <w:rPr>
            <w:webHidden/>
          </w:rPr>
          <w:tab/>
        </w:r>
        <w:r>
          <w:rPr>
            <w:webHidden/>
          </w:rPr>
          <w:fldChar w:fldCharType="begin"/>
        </w:r>
        <w:r>
          <w:rPr>
            <w:webHidden/>
          </w:rPr>
          <w:instrText xml:space="preserve"> PAGEREF _Toc214283142 \h </w:instrText>
        </w:r>
        <w:r>
          <w:rPr>
            <w:webHidden/>
          </w:rPr>
        </w:r>
        <w:r>
          <w:rPr>
            <w:webHidden/>
          </w:rPr>
          <w:fldChar w:fldCharType="separate"/>
        </w:r>
        <w:r>
          <w:rPr>
            <w:webHidden/>
          </w:rPr>
          <w:t>66</w:t>
        </w:r>
        <w:r>
          <w:rPr>
            <w:webHidden/>
          </w:rPr>
          <w:fldChar w:fldCharType="end"/>
        </w:r>
      </w:hyperlink>
    </w:p>
    <w:p w14:paraId="4434FDD3" w14:textId="7C4EAC0A"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43" w:history="1">
        <w:r w:rsidRPr="008F4954">
          <w:rPr>
            <w:rStyle w:val="Hyperlink"/>
          </w:rPr>
          <w:t>5.3</w:t>
        </w:r>
        <w:r>
          <w:rPr>
            <w:rFonts w:asciiTheme="minorHAnsi" w:eastAsiaTheme="minorEastAsia" w:hAnsiTheme="minorHAnsi" w:cstheme="minorBidi"/>
            <w:smallCaps w:val="0"/>
            <w:kern w:val="2"/>
            <w:szCs w:val="24"/>
            <w14:ligatures w14:val="standardContextual"/>
          </w:rPr>
          <w:tab/>
        </w:r>
        <w:r w:rsidRPr="008F4954">
          <w:rPr>
            <w:rStyle w:val="Hyperlink"/>
          </w:rPr>
          <w:t>DISTRIBUTION SERVICE</w:t>
        </w:r>
        <w:r>
          <w:rPr>
            <w:webHidden/>
          </w:rPr>
          <w:tab/>
        </w:r>
        <w:r>
          <w:rPr>
            <w:webHidden/>
          </w:rPr>
          <w:fldChar w:fldCharType="begin"/>
        </w:r>
        <w:r>
          <w:rPr>
            <w:webHidden/>
          </w:rPr>
          <w:instrText xml:space="preserve"> PAGEREF _Toc214283143 \h </w:instrText>
        </w:r>
        <w:r>
          <w:rPr>
            <w:webHidden/>
          </w:rPr>
        </w:r>
        <w:r>
          <w:rPr>
            <w:webHidden/>
          </w:rPr>
          <w:fldChar w:fldCharType="separate"/>
        </w:r>
        <w:r>
          <w:rPr>
            <w:webHidden/>
          </w:rPr>
          <w:t>68</w:t>
        </w:r>
        <w:r>
          <w:rPr>
            <w:webHidden/>
          </w:rPr>
          <w:fldChar w:fldCharType="end"/>
        </w:r>
      </w:hyperlink>
    </w:p>
    <w:p w14:paraId="3FFA64F0" w14:textId="1B145B02" w:rsidR="00067371" w:rsidRDefault="00067371">
      <w:pPr>
        <w:pStyle w:val="TOC3"/>
        <w:rPr>
          <w:rFonts w:asciiTheme="minorHAnsi" w:eastAsiaTheme="minorEastAsia" w:hAnsiTheme="minorHAnsi" w:cstheme="minorBidi"/>
          <w:kern w:val="2"/>
          <w:sz w:val="24"/>
          <w:szCs w:val="24"/>
          <w14:ligatures w14:val="standardContextual"/>
        </w:rPr>
      </w:pPr>
      <w:hyperlink w:anchor="_Toc214283144" w:history="1">
        <w:r w:rsidRPr="008F4954">
          <w:rPr>
            <w:rStyle w:val="Hyperlink"/>
          </w:rPr>
          <w:t>5.3.1</w:t>
        </w:r>
        <w:r>
          <w:rPr>
            <w:rFonts w:asciiTheme="minorHAnsi" w:eastAsiaTheme="minorEastAsia" w:hAnsiTheme="minorHAnsi" w:cstheme="minorBidi"/>
            <w:kern w:val="2"/>
            <w:sz w:val="24"/>
            <w:szCs w:val="24"/>
            <w14:ligatures w14:val="standardContextual"/>
          </w:rPr>
          <w:tab/>
        </w:r>
        <w:r w:rsidRPr="008F4954">
          <w:rPr>
            <w:rStyle w:val="Hyperlink"/>
          </w:rPr>
          <w:t>Configuring Distribution Service</w:t>
        </w:r>
        <w:r>
          <w:rPr>
            <w:webHidden/>
          </w:rPr>
          <w:tab/>
        </w:r>
        <w:r>
          <w:rPr>
            <w:webHidden/>
          </w:rPr>
          <w:fldChar w:fldCharType="begin"/>
        </w:r>
        <w:r>
          <w:rPr>
            <w:webHidden/>
          </w:rPr>
          <w:instrText xml:space="preserve"> PAGEREF _Toc214283144 \h </w:instrText>
        </w:r>
        <w:r>
          <w:rPr>
            <w:webHidden/>
          </w:rPr>
        </w:r>
        <w:r>
          <w:rPr>
            <w:webHidden/>
          </w:rPr>
          <w:fldChar w:fldCharType="separate"/>
        </w:r>
        <w:r>
          <w:rPr>
            <w:webHidden/>
          </w:rPr>
          <w:t>70</w:t>
        </w:r>
        <w:r>
          <w:rPr>
            <w:webHidden/>
          </w:rPr>
          <w:fldChar w:fldCharType="end"/>
        </w:r>
      </w:hyperlink>
    </w:p>
    <w:p w14:paraId="03FF2A80" w14:textId="0F1CEB5B"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45" w:history="1">
        <w:r w:rsidRPr="008F4954">
          <w:rPr>
            <w:rStyle w:val="Hyperlink"/>
          </w:rPr>
          <w:t>5.4</w:t>
        </w:r>
        <w:r>
          <w:rPr>
            <w:rFonts w:asciiTheme="minorHAnsi" w:eastAsiaTheme="minorEastAsia" w:hAnsiTheme="minorHAnsi" w:cstheme="minorBidi"/>
            <w:smallCaps w:val="0"/>
            <w:kern w:val="2"/>
            <w:szCs w:val="24"/>
            <w14:ligatures w14:val="standardContextual"/>
          </w:rPr>
          <w:tab/>
        </w:r>
        <w:r w:rsidRPr="008F4954">
          <w:rPr>
            <w:rStyle w:val="Hyperlink"/>
          </w:rPr>
          <w:t>TDM MESSAGE LOG TOOL</w:t>
        </w:r>
        <w:r>
          <w:rPr>
            <w:webHidden/>
          </w:rPr>
          <w:tab/>
        </w:r>
        <w:r>
          <w:rPr>
            <w:webHidden/>
          </w:rPr>
          <w:fldChar w:fldCharType="begin"/>
        </w:r>
        <w:r>
          <w:rPr>
            <w:webHidden/>
          </w:rPr>
          <w:instrText xml:space="preserve"> PAGEREF _Toc214283145 \h </w:instrText>
        </w:r>
        <w:r>
          <w:rPr>
            <w:webHidden/>
          </w:rPr>
        </w:r>
        <w:r>
          <w:rPr>
            <w:webHidden/>
          </w:rPr>
          <w:fldChar w:fldCharType="separate"/>
        </w:r>
        <w:r>
          <w:rPr>
            <w:webHidden/>
          </w:rPr>
          <w:t>77</w:t>
        </w:r>
        <w:r>
          <w:rPr>
            <w:webHidden/>
          </w:rPr>
          <w:fldChar w:fldCharType="end"/>
        </w:r>
      </w:hyperlink>
    </w:p>
    <w:p w14:paraId="6F0E25C5" w14:textId="682BA021" w:rsidR="00067371" w:rsidRDefault="00067371">
      <w:pPr>
        <w:pStyle w:val="TOC3"/>
        <w:rPr>
          <w:rFonts w:asciiTheme="minorHAnsi" w:eastAsiaTheme="minorEastAsia" w:hAnsiTheme="minorHAnsi" w:cstheme="minorBidi"/>
          <w:kern w:val="2"/>
          <w:sz w:val="24"/>
          <w:szCs w:val="24"/>
          <w14:ligatures w14:val="standardContextual"/>
        </w:rPr>
      </w:pPr>
      <w:hyperlink w:anchor="_Toc214283146" w:history="1">
        <w:r w:rsidRPr="008F4954">
          <w:rPr>
            <w:rStyle w:val="Hyperlink"/>
          </w:rPr>
          <w:t>5.4.1</w:t>
        </w:r>
        <w:r>
          <w:rPr>
            <w:rFonts w:asciiTheme="minorHAnsi" w:eastAsiaTheme="minorEastAsia" w:hAnsiTheme="minorHAnsi" w:cstheme="minorBidi"/>
            <w:kern w:val="2"/>
            <w:sz w:val="24"/>
            <w:szCs w:val="24"/>
            <w14:ligatures w14:val="standardContextual"/>
          </w:rPr>
          <w:tab/>
        </w:r>
        <w:r w:rsidRPr="008F4954">
          <w:rPr>
            <w:rStyle w:val="Hyperlink"/>
          </w:rPr>
          <w:t>Clear All Log Entries</w:t>
        </w:r>
        <w:r>
          <w:rPr>
            <w:webHidden/>
          </w:rPr>
          <w:tab/>
        </w:r>
        <w:r>
          <w:rPr>
            <w:webHidden/>
          </w:rPr>
          <w:fldChar w:fldCharType="begin"/>
        </w:r>
        <w:r>
          <w:rPr>
            <w:webHidden/>
          </w:rPr>
          <w:instrText xml:space="preserve"> PAGEREF _Toc214283146 \h </w:instrText>
        </w:r>
        <w:r>
          <w:rPr>
            <w:webHidden/>
          </w:rPr>
        </w:r>
        <w:r>
          <w:rPr>
            <w:webHidden/>
          </w:rPr>
          <w:fldChar w:fldCharType="separate"/>
        </w:r>
        <w:r>
          <w:rPr>
            <w:webHidden/>
          </w:rPr>
          <w:t>78</w:t>
        </w:r>
        <w:r>
          <w:rPr>
            <w:webHidden/>
          </w:rPr>
          <w:fldChar w:fldCharType="end"/>
        </w:r>
      </w:hyperlink>
    </w:p>
    <w:p w14:paraId="0CCBFC64" w14:textId="7842065A" w:rsidR="00067371" w:rsidRDefault="00067371">
      <w:pPr>
        <w:pStyle w:val="TOC3"/>
        <w:rPr>
          <w:rFonts w:asciiTheme="minorHAnsi" w:eastAsiaTheme="minorEastAsia" w:hAnsiTheme="minorHAnsi" w:cstheme="minorBidi"/>
          <w:kern w:val="2"/>
          <w:sz w:val="24"/>
          <w:szCs w:val="24"/>
          <w14:ligatures w14:val="standardContextual"/>
        </w:rPr>
      </w:pPr>
      <w:hyperlink w:anchor="_Toc214283147" w:history="1">
        <w:r w:rsidRPr="008F4954">
          <w:rPr>
            <w:rStyle w:val="Hyperlink"/>
          </w:rPr>
          <w:t>5.4.2</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_Toc214283147 \h </w:instrText>
        </w:r>
        <w:r>
          <w:rPr>
            <w:webHidden/>
          </w:rPr>
        </w:r>
        <w:r>
          <w:rPr>
            <w:webHidden/>
          </w:rPr>
          <w:fldChar w:fldCharType="separate"/>
        </w:r>
        <w:r>
          <w:rPr>
            <w:webHidden/>
          </w:rPr>
          <w:t>78</w:t>
        </w:r>
        <w:r>
          <w:rPr>
            <w:webHidden/>
          </w:rPr>
          <w:fldChar w:fldCharType="end"/>
        </w:r>
      </w:hyperlink>
    </w:p>
    <w:p w14:paraId="089E4BB1" w14:textId="04982108" w:rsidR="00067371" w:rsidRDefault="00067371">
      <w:pPr>
        <w:pStyle w:val="TOC3"/>
        <w:rPr>
          <w:rFonts w:asciiTheme="minorHAnsi" w:eastAsiaTheme="minorEastAsia" w:hAnsiTheme="minorHAnsi" w:cstheme="minorBidi"/>
          <w:kern w:val="2"/>
          <w:sz w:val="24"/>
          <w:szCs w:val="24"/>
          <w14:ligatures w14:val="standardContextual"/>
        </w:rPr>
      </w:pPr>
      <w:hyperlink w:anchor="_Toc214283148" w:history="1">
        <w:r w:rsidRPr="008F4954">
          <w:rPr>
            <w:rStyle w:val="Hyperlink"/>
          </w:rPr>
          <w:t>5.4.3</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_Toc214283148 \h </w:instrText>
        </w:r>
        <w:r>
          <w:rPr>
            <w:webHidden/>
          </w:rPr>
        </w:r>
        <w:r>
          <w:rPr>
            <w:webHidden/>
          </w:rPr>
          <w:fldChar w:fldCharType="separate"/>
        </w:r>
        <w:r>
          <w:rPr>
            <w:webHidden/>
          </w:rPr>
          <w:t>78</w:t>
        </w:r>
        <w:r>
          <w:rPr>
            <w:webHidden/>
          </w:rPr>
          <w:fldChar w:fldCharType="end"/>
        </w:r>
      </w:hyperlink>
    </w:p>
    <w:p w14:paraId="3BCA8417" w14:textId="0B5A09EC" w:rsidR="00067371" w:rsidRDefault="00067371">
      <w:pPr>
        <w:pStyle w:val="TOC3"/>
        <w:rPr>
          <w:rFonts w:asciiTheme="minorHAnsi" w:eastAsiaTheme="minorEastAsia" w:hAnsiTheme="minorHAnsi" w:cstheme="minorBidi"/>
          <w:kern w:val="2"/>
          <w:sz w:val="24"/>
          <w:szCs w:val="24"/>
          <w14:ligatures w14:val="standardContextual"/>
        </w:rPr>
      </w:pPr>
      <w:hyperlink w:anchor="_Toc214283149" w:history="1">
        <w:r w:rsidRPr="008F4954">
          <w:rPr>
            <w:rStyle w:val="Hyperlink"/>
          </w:rPr>
          <w:t>5.4.4</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_Toc214283149 \h </w:instrText>
        </w:r>
        <w:r>
          <w:rPr>
            <w:webHidden/>
          </w:rPr>
        </w:r>
        <w:r>
          <w:rPr>
            <w:webHidden/>
          </w:rPr>
          <w:fldChar w:fldCharType="separate"/>
        </w:r>
        <w:r>
          <w:rPr>
            <w:webHidden/>
          </w:rPr>
          <w:t>78</w:t>
        </w:r>
        <w:r>
          <w:rPr>
            <w:webHidden/>
          </w:rPr>
          <w:fldChar w:fldCharType="end"/>
        </w:r>
      </w:hyperlink>
    </w:p>
    <w:p w14:paraId="633A486F" w14:textId="37C60306" w:rsidR="00067371" w:rsidRDefault="00067371">
      <w:pPr>
        <w:pStyle w:val="TOC3"/>
        <w:rPr>
          <w:rFonts w:asciiTheme="minorHAnsi" w:eastAsiaTheme="minorEastAsia" w:hAnsiTheme="minorHAnsi" w:cstheme="minorBidi"/>
          <w:kern w:val="2"/>
          <w:sz w:val="24"/>
          <w:szCs w:val="24"/>
          <w14:ligatures w14:val="standardContextual"/>
        </w:rPr>
      </w:pPr>
      <w:hyperlink w:anchor="_Toc214283150" w:history="1">
        <w:r w:rsidRPr="008F4954">
          <w:rPr>
            <w:rStyle w:val="Hyperlink"/>
          </w:rPr>
          <w:t>5.4.5</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_Toc214283150 \h </w:instrText>
        </w:r>
        <w:r>
          <w:rPr>
            <w:webHidden/>
          </w:rPr>
        </w:r>
        <w:r>
          <w:rPr>
            <w:webHidden/>
          </w:rPr>
          <w:fldChar w:fldCharType="separate"/>
        </w:r>
        <w:r>
          <w:rPr>
            <w:webHidden/>
          </w:rPr>
          <w:t>78</w:t>
        </w:r>
        <w:r>
          <w:rPr>
            <w:webHidden/>
          </w:rPr>
          <w:fldChar w:fldCharType="end"/>
        </w:r>
      </w:hyperlink>
    </w:p>
    <w:p w14:paraId="4DF9C19C" w14:textId="2E087159" w:rsidR="00067371" w:rsidRDefault="00067371">
      <w:pPr>
        <w:pStyle w:val="TOC3"/>
        <w:rPr>
          <w:rFonts w:asciiTheme="minorHAnsi" w:eastAsiaTheme="minorEastAsia" w:hAnsiTheme="minorHAnsi" w:cstheme="minorBidi"/>
          <w:kern w:val="2"/>
          <w:sz w:val="24"/>
          <w:szCs w:val="24"/>
          <w14:ligatures w14:val="standardContextual"/>
        </w:rPr>
      </w:pPr>
      <w:hyperlink w:anchor="_Toc214283151" w:history="1">
        <w:r w:rsidRPr="008F4954">
          <w:rPr>
            <w:rStyle w:val="Hyperlink"/>
          </w:rPr>
          <w:t>5.4.6</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_Toc214283151 \h </w:instrText>
        </w:r>
        <w:r>
          <w:rPr>
            <w:webHidden/>
          </w:rPr>
        </w:r>
        <w:r>
          <w:rPr>
            <w:webHidden/>
          </w:rPr>
          <w:fldChar w:fldCharType="separate"/>
        </w:r>
        <w:r>
          <w:rPr>
            <w:webHidden/>
          </w:rPr>
          <w:t>78</w:t>
        </w:r>
        <w:r>
          <w:rPr>
            <w:webHidden/>
          </w:rPr>
          <w:fldChar w:fldCharType="end"/>
        </w:r>
      </w:hyperlink>
    </w:p>
    <w:p w14:paraId="01855E1C" w14:textId="037D0CEA" w:rsidR="00067371" w:rsidRDefault="00067371">
      <w:pPr>
        <w:pStyle w:val="TOC3"/>
        <w:rPr>
          <w:rFonts w:asciiTheme="minorHAnsi" w:eastAsiaTheme="minorEastAsia" w:hAnsiTheme="minorHAnsi" w:cstheme="minorBidi"/>
          <w:kern w:val="2"/>
          <w:sz w:val="24"/>
          <w:szCs w:val="24"/>
          <w14:ligatures w14:val="standardContextual"/>
        </w:rPr>
      </w:pPr>
      <w:hyperlink w:anchor="_Toc214283152" w:history="1">
        <w:r w:rsidRPr="008F4954">
          <w:rPr>
            <w:rStyle w:val="Hyperlink"/>
          </w:rPr>
          <w:t>5.4.7</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_Toc214283152 \h </w:instrText>
        </w:r>
        <w:r>
          <w:rPr>
            <w:webHidden/>
          </w:rPr>
        </w:r>
        <w:r>
          <w:rPr>
            <w:webHidden/>
          </w:rPr>
          <w:fldChar w:fldCharType="separate"/>
        </w:r>
        <w:r>
          <w:rPr>
            <w:webHidden/>
          </w:rPr>
          <w:t>78</w:t>
        </w:r>
        <w:r>
          <w:rPr>
            <w:webHidden/>
          </w:rPr>
          <w:fldChar w:fldCharType="end"/>
        </w:r>
      </w:hyperlink>
    </w:p>
    <w:p w14:paraId="747802E1" w14:textId="146E344D" w:rsidR="00067371" w:rsidRDefault="00067371">
      <w:pPr>
        <w:pStyle w:val="TOC3"/>
        <w:rPr>
          <w:rFonts w:asciiTheme="minorHAnsi" w:eastAsiaTheme="minorEastAsia" w:hAnsiTheme="minorHAnsi" w:cstheme="minorBidi"/>
          <w:kern w:val="2"/>
          <w:sz w:val="24"/>
          <w:szCs w:val="24"/>
          <w14:ligatures w14:val="standardContextual"/>
        </w:rPr>
      </w:pPr>
      <w:hyperlink w:anchor="_Toc214283153" w:history="1">
        <w:r w:rsidRPr="008F4954">
          <w:rPr>
            <w:rStyle w:val="Hyperlink"/>
          </w:rPr>
          <w:t>5.4.8</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_Toc214283153 \h </w:instrText>
        </w:r>
        <w:r>
          <w:rPr>
            <w:webHidden/>
          </w:rPr>
        </w:r>
        <w:r>
          <w:rPr>
            <w:webHidden/>
          </w:rPr>
          <w:fldChar w:fldCharType="separate"/>
        </w:r>
        <w:r>
          <w:rPr>
            <w:webHidden/>
          </w:rPr>
          <w:t>78</w:t>
        </w:r>
        <w:r>
          <w:rPr>
            <w:webHidden/>
          </w:rPr>
          <w:fldChar w:fldCharType="end"/>
        </w:r>
      </w:hyperlink>
    </w:p>
    <w:p w14:paraId="3B13601C" w14:textId="4071B89A"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54" w:history="1">
        <w:r w:rsidRPr="008F4954">
          <w:rPr>
            <w:rStyle w:val="Hyperlink"/>
          </w:rPr>
          <w:t>5.5</w:t>
        </w:r>
        <w:r>
          <w:rPr>
            <w:rFonts w:asciiTheme="minorHAnsi" w:eastAsiaTheme="minorEastAsia" w:hAnsiTheme="minorHAnsi" w:cstheme="minorBidi"/>
            <w:smallCaps w:val="0"/>
            <w:kern w:val="2"/>
            <w:szCs w:val="24"/>
            <w14:ligatures w14:val="standardContextual"/>
          </w:rPr>
          <w:tab/>
        </w:r>
        <w:r w:rsidRPr="008F4954">
          <w:rPr>
            <w:rStyle w:val="Hyperlink"/>
          </w:rPr>
          <w:t>MISSIONS TOOL</w:t>
        </w:r>
        <w:r>
          <w:rPr>
            <w:webHidden/>
          </w:rPr>
          <w:tab/>
        </w:r>
        <w:r>
          <w:rPr>
            <w:webHidden/>
          </w:rPr>
          <w:fldChar w:fldCharType="begin"/>
        </w:r>
        <w:r>
          <w:rPr>
            <w:webHidden/>
          </w:rPr>
          <w:instrText xml:space="preserve"> PAGEREF _Toc214283154 \h </w:instrText>
        </w:r>
        <w:r>
          <w:rPr>
            <w:webHidden/>
          </w:rPr>
        </w:r>
        <w:r>
          <w:rPr>
            <w:webHidden/>
          </w:rPr>
          <w:fldChar w:fldCharType="separate"/>
        </w:r>
        <w:r>
          <w:rPr>
            <w:webHidden/>
          </w:rPr>
          <w:t>79</w:t>
        </w:r>
        <w:r>
          <w:rPr>
            <w:webHidden/>
          </w:rPr>
          <w:fldChar w:fldCharType="end"/>
        </w:r>
      </w:hyperlink>
    </w:p>
    <w:p w14:paraId="715AE69D" w14:textId="2378F6D4" w:rsidR="00067371" w:rsidRDefault="00067371">
      <w:pPr>
        <w:pStyle w:val="TOC3"/>
        <w:rPr>
          <w:rFonts w:asciiTheme="minorHAnsi" w:eastAsiaTheme="minorEastAsia" w:hAnsiTheme="minorHAnsi" w:cstheme="minorBidi"/>
          <w:kern w:val="2"/>
          <w:sz w:val="24"/>
          <w:szCs w:val="24"/>
          <w14:ligatures w14:val="standardContextual"/>
        </w:rPr>
      </w:pPr>
      <w:hyperlink w:anchor="_Toc214283155" w:history="1">
        <w:r w:rsidRPr="008F4954">
          <w:rPr>
            <w:rStyle w:val="Hyperlink"/>
          </w:rPr>
          <w:t>5.5.1</w:t>
        </w:r>
        <w:r>
          <w:rPr>
            <w:rFonts w:asciiTheme="minorHAnsi" w:eastAsiaTheme="minorEastAsia" w:hAnsiTheme="minorHAnsi" w:cstheme="minorBidi"/>
            <w:kern w:val="2"/>
            <w:sz w:val="24"/>
            <w:szCs w:val="24"/>
            <w14:ligatures w14:val="standardContextual"/>
          </w:rPr>
          <w:tab/>
        </w:r>
        <w:r w:rsidRPr="008F4954">
          <w:rPr>
            <w:rStyle w:val="Hyperlink"/>
          </w:rPr>
          <w:t>Display Mission Textually</w:t>
        </w:r>
        <w:r>
          <w:rPr>
            <w:webHidden/>
          </w:rPr>
          <w:tab/>
        </w:r>
        <w:r>
          <w:rPr>
            <w:webHidden/>
          </w:rPr>
          <w:fldChar w:fldCharType="begin"/>
        </w:r>
        <w:r>
          <w:rPr>
            <w:webHidden/>
          </w:rPr>
          <w:instrText xml:space="preserve"> PAGEREF _Toc214283155 \h </w:instrText>
        </w:r>
        <w:r>
          <w:rPr>
            <w:webHidden/>
          </w:rPr>
        </w:r>
        <w:r>
          <w:rPr>
            <w:webHidden/>
          </w:rPr>
          <w:fldChar w:fldCharType="separate"/>
        </w:r>
        <w:r>
          <w:rPr>
            <w:webHidden/>
          </w:rPr>
          <w:t>81</w:t>
        </w:r>
        <w:r>
          <w:rPr>
            <w:webHidden/>
          </w:rPr>
          <w:fldChar w:fldCharType="end"/>
        </w:r>
      </w:hyperlink>
    </w:p>
    <w:p w14:paraId="474E0A13" w14:textId="4B3A718F" w:rsidR="00067371" w:rsidRDefault="00067371">
      <w:pPr>
        <w:pStyle w:val="TOC3"/>
        <w:rPr>
          <w:rFonts w:asciiTheme="minorHAnsi" w:eastAsiaTheme="minorEastAsia" w:hAnsiTheme="minorHAnsi" w:cstheme="minorBidi"/>
          <w:kern w:val="2"/>
          <w:sz w:val="24"/>
          <w:szCs w:val="24"/>
          <w14:ligatures w14:val="standardContextual"/>
        </w:rPr>
      </w:pPr>
      <w:hyperlink w:anchor="_Toc214283156" w:history="1">
        <w:r w:rsidRPr="008F4954">
          <w:rPr>
            <w:rStyle w:val="Hyperlink"/>
          </w:rPr>
          <w:t>5.5.2</w:t>
        </w:r>
        <w:r>
          <w:rPr>
            <w:rFonts w:asciiTheme="minorHAnsi" w:eastAsiaTheme="minorEastAsia" w:hAnsiTheme="minorHAnsi" w:cstheme="minorBidi"/>
            <w:kern w:val="2"/>
            <w:sz w:val="24"/>
            <w:szCs w:val="24"/>
            <w14:ligatures w14:val="standardContextual"/>
          </w:rPr>
          <w:tab/>
        </w:r>
        <w:r w:rsidRPr="008F4954">
          <w:rPr>
            <w:rStyle w:val="Hyperlink"/>
          </w:rPr>
          <w:t>Display Mission(s) CALA Geographically</w:t>
        </w:r>
        <w:r>
          <w:rPr>
            <w:webHidden/>
          </w:rPr>
          <w:tab/>
        </w:r>
        <w:r>
          <w:rPr>
            <w:webHidden/>
          </w:rPr>
          <w:fldChar w:fldCharType="begin"/>
        </w:r>
        <w:r>
          <w:rPr>
            <w:webHidden/>
          </w:rPr>
          <w:instrText xml:space="preserve"> PAGEREF _Toc214283156 \h </w:instrText>
        </w:r>
        <w:r>
          <w:rPr>
            <w:webHidden/>
          </w:rPr>
        </w:r>
        <w:r>
          <w:rPr>
            <w:webHidden/>
          </w:rPr>
          <w:fldChar w:fldCharType="separate"/>
        </w:r>
        <w:r>
          <w:rPr>
            <w:webHidden/>
          </w:rPr>
          <w:t>90</w:t>
        </w:r>
        <w:r>
          <w:rPr>
            <w:webHidden/>
          </w:rPr>
          <w:fldChar w:fldCharType="end"/>
        </w:r>
      </w:hyperlink>
    </w:p>
    <w:p w14:paraId="17E54A41" w14:textId="1205A03B" w:rsidR="00067371" w:rsidRDefault="00067371">
      <w:pPr>
        <w:pStyle w:val="TOC3"/>
        <w:rPr>
          <w:rFonts w:asciiTheme="minorHAnsi" w:eastAsiaTheme="minorEastAsia" w:hAnsiTheme="minorHAnsi" w:cstheme="minorBidi"/>
          <w:kern w:val="2"/>
          <w:sz w:val="24"/>
          <w:szCs w:val="24"/>
          <w14:ligatures w14:val="standardContextual"/>
        </w:rPr>
      </w:pPr>
      <w:hyperlink w:anchor="_Toc214283157" w:history="1">
        <w:r w:rsidRPr="008F4954">
          <w:rPr>
            <w:rStyle w:val="Hyperlink"/>
          </w:rPr>
          <w:t>5.5.3</w:t>
        </w:r>
        <w:r>
          <w:rPr>
            <w:rFonts w:asciiTheme="minorHAnsi" w:eastAsiaTheme="minorEastAsia" w:hAnsiTheme="minorHAnsi" w:cstheme="minorBidi"/>
            <w:kern w:val="2"/>
            <w:sz w:val="24"/>
            <w:szCs w:val="24"/>
            <w14:ligatures w14:val="standardContextual"/>
          </w:rPr>
          <w:tab/>
        </w:r>
        <w:r w:rsidRPr="008F4954">
          <w:rPr>
            <w:rStyle w:val="Hyperlink"/>
          </w:rPr>
          <w:t>Display Mission(s) Geographically</w:t>
        </w:r>
        <w:r>
          <w:rPr>
            <w:webHidden/>
          </w:rPr>
          <w:tab/>
        </w:r>
        <w:r>
          <w:rPr>
            <w:webHidden/>
          </w:rPr>
          <w:fldChar w:fldCharType="begin"/>
        </w:r>
        <w:r>
          <w:rPr>
            <w:webHidden/>
          </w:rPr>
          <w:instrText xml:space="preserve"> PAGEREF _Toc214283157 \h </w:instrText>
        </w:r>
        <w:r>
          <w:rPr>
            <w:webHidden/>
          </w:rPr>
        </w:r>
        <w:r>
          <w:rPr>
            <w:webHidden/>
          </w:rPr>
          <w:fldChar w:fldCharType="separate"/>
        </w:r>
        <w:r>
          <w:rPr>
            <w:webHidden/>
          </w:rPr>
          <w:t>91</w:t>
        </w:r>
        <w:r>
          <w:rPr>
            <w:webHidden/>
          </w:rPr>
          <w:fldChar w:fldCharType="end"/>
        </w:r>
      </w:hyperlink>
    </w:p>
    <w:p w14:paraId="525E60CD" w14:textId="53AD2B6F" w:rsidR="00067371" w:rsidRDefault="00067371">
      <w:pPr>
        <w:pStyle w:val="TOC3"/>
        <w:rPr>
          <w:rFonts w:asciiTheme="minorHAnsi" w:eastAsiaTheme="minorEastAsia" w:hAnsiTheme="minorHAnsi" w:cstheme="minorBidi"/>
          <w:kern w:val="2"/>
          <w:sz w:val="24"/>
          <w:szCs w:val="24"/>
          <w14:ligatures w14:val="standardContextual"/>
        </w:rPr>
      </w:pPr>
      <w:hyperlink w:anchor="_Toc214283158" w:history="1">
        <w:r w:rsidRPr="008F4954">
          <w:rPr>
            <w:rStyle w:val="Hyperlink"/>
          </w:rPr>
          <w:t>5.5.4</w:t>
        </w:r>
        <w:r>
          <w:rPr>
            <w:rFonts w:asciiTheme="minorHAnsi" w:eastAsiaTheme="minorEastAsia" w:hAnsiTheme="minorHAnsi" w:cstheme="minorBidi"/>
            <w:kern w:val="2"/>
            <w:sz w:val="24"/>
            <w:szCs w:val="24"/>
            <w14:ligatures w14:val="standardContextual"/>
          </w:rPr>
          <w:tab/>
        </w:r>
        <w:r w:rsidRPr="008F4954">
          <w:rPr>
            <w:rStyle w:val="Hyperlink"/>
          </w:rPr>
          <w:t>Display References</w:t>
        </w:r>
        <w:r>
          <w:rPr>
            <w:webHidden/>
          </w:rPr>
          <w:tab/>
        </w:r>
        <w:r>
          <w:rPr>
            <w:webHidden/>
          </w:rPr>
          <w:fldChar w:fldCharType="begin"/>
        </w:r>
        <w:r>
          <w:rPr>
            <w:webHidden/>
          </w:rPr>
          <w:instrText xml:space="preserve"> PAGEREF _Toc214283158 \h </w:instrText>
        </w:r>
        <w:r>
          <w:rPr>
            <w:webHidden/>
          </w:rPr>
        </w:r>
        <w:r>
          <w:rPr>
            <w:webHidden/>
          </w:rPr>
          <w:fldChar w:fldCharType="separate"/>
        </w:r>
        <w:r>
          <w:rPr>
            <w:webHidden/>
          </w:rPr>
          <w:t>93</w:t>
        </w:r>
        <w:r>
          <w:rPr>
            <w:webHidden/>
          </w:rPr>
          <w:fldChar w:fldCharType="end"/>
        </w:r>
      </w:hyperlink>
    </w:p>
    <w:p w14:paraId="09B4735D" w14:textId="77A757C0" w:rsidR="00067371" w:rsidRDefault="00067371">
      <w:pPr>
        <w:pStyle w:val="TOC3"/>
        <w:rPr>
          <w:rFonts w:asciiTheme="minorHAnsi" w:eastAsiaTheme="minorEastAsia" w:hAnsiTheme="minorHAnsi" w:cstheme="minorBidi"/>
          <w:kern w:val="2"/>
          <w:sz w:val="24"/>
          <w:szCs w:val="24"/>
          <w14:ligatures w14:val="standardContextual"/>
        </w:rPr>
      </w:pPr>
      <w:hyperlink w:anchor="_Toc214283159" w:history="1">
        <w:r w:rsidRPr="008F4954">
          <w:rPr>
            <w:rStyle w:val="Hyperlink"/>
          </w:rPr>
          <w:t>5.5.5</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_Toc214283159 \h </w:instrText>
        </w:r>
        <w:r>
          <w:rPr>
            <w:webHidden/>
          </w:rPr>
        </w:r>
        <w:r>
          <w:rPr>
            <w:webHidden/>
          </w:rPr>
          <w:fldChar w:fldCharType="separate"/>
        </w:r>
        <w:r>
          <w:rPr>
            <w:webHidden/>
          </w:rPr>
          <w:t>93</w:t>
        </w:r>
        <w:r>
          <w:rPr>
            <w:webHidden/>
          </w:rPr>
          <w:fldChar w:fldCharType="end"/>
        </w:r>
      </w:hyperlink>
    </w:p>
    <w:p w14:paraId="6ABA76EC" w14:textId="148D7321" w:rsidR="00067371" w:rsidRDefault="00067371">
      <w:pPr>
        <w:pStyle w:val="TOC3"/>
        <w:rPr>
          <w:rFonts w:asciiTheme="minorHAnsi" w:eastAsiaTheme="minorEastAsia" w:hAnsiTheme="minorHAnsi" w:cstheme="minorBidi"/>
          <w:kern w:val="2"/>
          <w:sz w:val="24"/>
          <w:szCs w:val="24"/>
          <w14:ligatures w14:val="standardContextual"/>
        </w:rPr>
      </w:pPr>
      <w:hyperlink w:anchor="_Toc214283160" w:history="1">
        <w:r w:rsidRPr="008F4954">
          <w:rPr>
            <w:rStyle w:val="Hyperlink"/>
          </w:rPr>
          <w:t>5.5.6</w:t>
        </w:r>
        <w:r>
          <w:rPr>
            <w:rFonts w:asciiTheme="minorHAnsi" w:eastAsiaTheme="minorEastAsia" w:hAnsiTheme="minorHAnsi" w:cstheme="minorBidi"/>
            <w:kern w:val="2"/>
            <w:sz w:val="24"/>
            <w:szCs w:val="24"/>
            <w14:ligatures w14:val="standardContextual"/>
          </w:rPr>
          <w:tab/>
        </w:r>
        <w:r w:rsidRPr="008F4954">
          <w:rPr>
            <w:rStyle w:val="Hyperlink"/>
          </w:rPr>
          <w:t>Change Mission(s) State</w:t>
        </w:r>
        <w:r>
          <w:rPr>
            <w:webHidden/>
          </w:rPr>
          <w:tab/>
        </w:r>
        <w:r>
          <w:rPr>
            <w:webHidden/>
          </w:rPr>
          <w:fldChar w:fldCharType="begin"/>
        </w:r>
        <w:r>
          <w:rPr>
            <w:webHidden/>
          </w:rPr>
          <w:instrText xml:space="preserve"> PAGEREF _Toc214283160 \h </w:instrText>
        </w:r>
        <w:r>
          <w:rPr>
            <w:webHidden/>
          </w:rPr>
        </w:r>
        <w:r>
          <w:rPr>
            <w:webHidden/>
          </w:rPr>
          <w:fldChar w:fldCharType="separate"/>
        </w:r>
        <w:r>
          <w:rPr>
            <w:webHidden/>
          </w:rPr>
          <w:t>93</w:t>
        </w:r>
        <w:r>
          <w:rPr>
            <w:webHidden/>
          </w:rPr>
          <w:fldChar w:fldCharType="end"/>
        </w:r>
      </w:hyperlink>
    </w:p>
    <w:p w14:paraId="0E712829" w14:textId="6FD3222E" w:rsidR="00067371" w:rsidRDefault="00067371">
      <w:pPr>
        <w:pStyle w:val="TOC3"/>
        <w:rPr>
          <w:rFonts w:asciiTheme="minorHAnsi" w:eastAsiaTheme="minorEastAsia" w:hAnsiTheme="minorHAnsi" w:cstheme="minorBidi"/>
          <w:kern w:val="2"/>
          <w:sz w:val="24"/>
          <w:szCs w:val="24"/>
          <w14:ligatures w14:val="standardContextual"/>
        </w:rPr>
      </w:pPr>
      <w:hyperlink w:anchor="_Toc214283161" w:history="1">
        <w:r w:rsidRPr="008F4954">
          <w:rPr>
            <w:rStyle w:val="Hyperlink"/>
          </w:rPr>
          <w:t>5.5.7</w:t>
        </w:r>
        <w:r>
          <w:rPr>
            <w:rFonts w:asciiTheme="minorHAnsi" w:eastAsiaTheme="minorEastAsia" w:hAnsiTheme="minorHAnsi" w:cstheme="minorBidi"/>
            <w:kern w:val="2"/>
            <w:sz w:val="24"/>
            <w:szCs w:val="24"/>
            <w14:ligatures w14:val="standardContextual"/>
          </w:rPr>
          <w:tab/>
        </w:r>
        <w:r w:rsidRPr="008F4954">
          <w:rPr>
            <w:rStyle w:val="Hyperlink"/>
          </w:rPr>
          <w:t>Reports</w:t>
        </w:r>
        <w:r>
          <w:rPr>
            <w:webHidden/>
          </w:rPr>
          <w:tab/>
        </w:r>
        <w:r>
          <w:rPr>
            <w:webHidden/>
          </w:rPr>
          <w:fldChar w:fldCharType="begin"/>
        </w:r>
        <w:r>
          <w:rPr>
            <w:webHidden/>
          </w:rPr>
          <w:instrText xml:space="preserve"> PAGEREF _Toc214283161 \h </w:instrText>
        </w:r>
        <w:r>
          <w:rPr>
            <w:webHidden/>
          </w:rPr>
        </w:r>
        <w:r>
          <w:rPr>
            <w:webHidden/>
          </w:rPr>
          <w:fldChar w:fldCharType="separate"/>
        </w:r>
        <w:r>
          <w:rPr>
            <w:webHidden/>
          </w:rPr>
          <w:t>94</w:t>
        </w:r>
        <w:r>
          <w:rPr>
            <w:webHidden/>
          </w:rPr>
          <w:fldChar w:fldCharType="end"/>
        </w:r>
      </w:hyperlink>
    </w:p>
    <w:p w14:paraId="261E5A01" w14:textId="6F0A955F" w:rsidR="00067371" w:rsidRDefault="00067371">
      <w:pPr>
        <w:pStyle w:val="TOC3"/>
        <w:rPr>
          <w:rFonts w:asciiTheme="minorHAnsi" w:eastAsiaTheme="minorEastAsia" w:hAnsiTheme="minorHAnsi" w:cstheme="minorBidi"/>
          <w:kern w:val="2"/>
          <w:sz w:val="24"/>
          <w:szCs w:val="24"/>
          <w14:ligatures w14:val="standardContextual"/>
        </w:rPr>
      </w:pPr>
      <w:hyperlink w:anchor="_Toc214283162" w:history="1">
        <w:r w:rsidRPr="008F4954">
          <w:rPr>
            <w:rStyle w:val="Hyperlink"/>
          </w:rPr>
          <w:t>5.5.8</w:t>
        </w:r>
        <w:r>
          <w:rPr>
            <w:rFonts w:asciiTheme="minorHAnsi" w:eastAsiaTheme="minorEastAsia" w:hAnsiTheme="minorHAnsi" w:cstheme="minorBidi"/>
            <w:kern w:val="2"/>
            <w:sz w:val="24"/>
            <w:szCs w:val="24"/>
            <w14:ligatures w14:val="standardContextual"/>
          </w:rPr>
          <w:tab/>
        </w:r>
        <w:r w:rsidRPr="008F4954">
          <w:rPr>
            <w:rStyle w:val="Hyperlink"/>
          </w:rPr>
          <w:t>Re-IQVC</w:t>
        </w:r>
        <w:r>
          <w:rPr>
            <w:webHidden/>
          </w:rPr>
          <w:tab/>
        </w:r>
        <w:r>
          <w:rPr>
            <w:webHidden/>
          </w:rPr>
          <w:fldChar w:fldCharType="begin"/>
        </w:r>
        <w:r>
          <w:rPr>
            <w:webHidden/>
          </w:rPr>
          <w:instrText xml:space="preserve"> PAGEREF _Toc214283162 \h </w:instrText>
        </w:r>
        <w:r>
          <w:rPr>
            <w:webHidden/>
          </w:rPr>
        </w:r>
        <w:r>
          <w:rPr>
            <w:webHidden/>
          </w:rPr>
          <w:fldChar w:fldCharType="separate"/>
        </w:r>
        <w:r>
          <w:rPr>
            <w:webHidden/>
          </w:rPr>
          <w:t>99</w:t>
        </w:r>
        <w:r>
          <w:rPr>
            <w:webHidden/>
          </w:rPr>
          <w:fldChar w:fldCharType="end"/>
        </w:r>
      </w:hyperlink>
    </w:p>
    <w:p w14:paraId="756F992C" w14:textId="27F4B66F" w:rsidR="00067371" w:rsidRDefault="00067371">
      <w:pPr>
        <w:pStyle w:val="TOC3"/>
        <w:rPr>
          <w:rFonts w:asciiTheme="minorHAnsi" w:eastAsiaTheme="minorEastAsia" w:hAnsiTheme="minorHAnsi" w:cstheme="minorBidi"/>
          <w:kern w:val="2"/>
          <w:sz w:val="24"/>
          <w:szCs w:val="24"/>
          <w14:ligatures w14:val="standardContextual"/>
        </w:rPr>
      </w:pPr>
      <w:hyperlink w:anchor="_Toc214283163" w:history="1">
        <w:r w:rsidRPr="008F4954">
          <w:rPr>
            <w:rStyle w:val="Hyperlink"/>
          </w:rPr>
          <w:t>5.5.9</w:t>
        </w:r>
        <w:r>
          <w:rPr>
            <w:rFonts w:asciiTheme="minorHAnsi" w:eastAsiaTheme="minorEastAsia" w:hAnsiTheme="minorHAnsi" w:cstheme="minorBidi"/>
            <w:kern w:val="2"/>
            <w:sz w:val="24"/>
            <w:szCs w:val="24"/>
            <w14:ligatures w14:val="standardContextual"/>
          </w:rPr>
          <w:tab/>
        </w:r>
        <w:r w:rsidRPr="008F4954">
          <w:rPr>
            <w:rStyle w:val="Hyperlink"/>
          </w:rPr>
          <w:t>Create TMPR</w:t>
        </w:r>
        <w:r>
          <w:rPr>
            <w:webHidden/>
          </w:rPr>
          <w:tab/>
        </w:r>
        <w:r>
          <w:rPr>
            <w:webHidden/>
          </w:rPr>
          <w:fldChar w:fldCharType="begin"/>
        </w:r>
        <w:r>
          <w:rPr>
            <w:webHidden/>
          </w:rPr>
          <w:instrText xml:space="preserve"> PAGEREF _Toc214283163 \h </w:instrText>
        </w:r>
        <w:r>
          <w:rPr>
            <w:webHidden/>
          </w:rPr>
        </w:r>
        <w:r>
          <w:rPr>
            <w:webHidden/>
          </w:rPr>
          <w:fldChar w:fldCharType="separate"/>
        </w:r>
        <w:r>
          <w:rPr>
            <w:webHidden/>
          </w:rPr>
          <w:t>100</w:t>
        </w:r>
        <w:r>
          <w:rPr>
            <w:webHidden/>
          </w:rPr>
          <w:fldChar w:fldCharType="end"/>
        </w:r>
      </w:hyperlink>
    </w:p>
    <w:p w14:paraId="555431C2" w14:textId="283C343C" w:rsidR="00067371" w:rsidRDefault="00067371">
      <w:pPr>
        <w:pStyle w:val="TOC3"/>
        <w:rPr>
          <w:rFonts w:asciiTheme="minorHAnsi" w:eastAsiaTheme="minorEastAsia" w:hAnsiTheme="minorHAnsi" w:cstheme="minorBidi"/>
          <w:kern w:val="2"/>
          <w:sz w:val="24"/>
          <w:szCs w:val="24"/>
          <w14:ligatures w14:val="standardContextual"/>
        </w:rPr>
      </w:pPr>
      <w:hyperlink w:anchor="_Toc214283164" w:history="1">
        <w:r w:rsidRPr="008F4954">
          <w:rPr>
            <w:rStyle w:val="Hyperlink"/>
          </w:rPr>
          <w:t>5.5.10</w:t>
        </w:r>
        <w:r>
          <w:rPr>
            <w:rFonts w:asciiTheme="minorHAnsi" w:eastAsiaTheme="minorEastAsia" w:hAnsiTheme="minorHAnsi" w:cstheme="minorBidi"/>
            <w:kern w:val="2"/>
            <w:sz w:val="24"/>
            <w:szCs w:val="24"/>
            <w14:ligatures w14:val="standardContextual"/>
          </w:rPr>
          <w:tab/>
        </w:r>
        <w:r w:rsidRPr="008F4954">
          <w:rPr>
            <w:rStyle w:val="Hyperlink"/>
          </w:rPr>
          <w:t>Edit Classification</w:t>
        </w:r>
        <w:r>
          <w:rPr>
            <w:webHidden/>
          </w:rPr>
          <w:tab/>
        </w:r>
        <w:r>
          <w:rPr>
            <w:webHidden/>
          </w:rPr>
          <w:fldChar w:fldCharType="begin"/>
        </w:r>
        <w:r>
          <w:rPr>
            <w:webHidden/>
          </w:rPr>
          <w:instrText xml:space="preserve"> PAGEREF _Toc214283164 \h </w:instrText>
        </w:r>
        <w:r>
          <w:rPr>
            <w:webHidden/>
          </w:rPr>
        </w:r>
        <w:r>
          <w:rPr>
            <w:webHidden/>
          </w:rPr>
          <w:fldChar w:fldCharType="separate"/>
        </w:r>
        <w:r>
          <w:rPr>
            <w:webHidden/>
          </w:rPr>
          <w:t>100</w:t>
        </w:r>
        <w:r>
          <w:rPr>
            <w:webHidden/>
          </w:rPr>
          <w:fldChar w:fldCharType="end"/>
        </w:r>
      </w:hyperlink>
    </w:p>
    <w:p w14:paraId="1A05B439" w14:textId="022C15FB" w:rsidR="00067371" w:rsidRDefault="00067371">
      <w:pPr>
        <w:pStyle w:val="TOC3"/>
        <w:rPr>
          <w:rFonts w:asciiTheme="minorHAnsi" w:eastAsiaTheme="minorEastAsia" w:hAnsiTheme="minorHAnsi" w:cstheme="minorBidi"/>
          <w:kern w:val="2"/>
          <w:sz w:val="24"/>
          <w:szCs w:val="24"/>
          <w14:ligatures w14:val="standardContextual"/>
        </w:rPr>
      </w:pPr>
      <w:hyperlink w:anchor="_Toc214283165" w:history="1">
        <w:r w:rsidRPr="008F4954">
          <w:rPr>
            <w:rStyle w:val="Hyperlink"/>
          </w:rPr>
          <w:t>5.5.11</w:t>
        </w:r>
        <w:r>
          <w:rPr>
            <w:rFonts w:asciiTheme="minorHAnsi" w:eastAsiaTheme="minorEastAsia" w:hAnsiTheme="minorHAnsi" w:cstheme="minorBidi"/>
            <w:kern w:val="2"/>
            <w:sz w:val="24"/>
            <w:szCs w:val="24"/>
            <w14:ligatures w14:val="standardContextual"/>
          </w:rPr>
          <w:tab/>
        </w:r>
        <w:r w:rsidRPr="008F4954">
          <w:rPr>
            <w:rStyle w:val="Hyperlink"/>
          </w:rPr>
          <w:t>Multiple Mission Edits</w:t>
        </w:r>
        <w:r>
          <w:rPr>
            <w:webHidden/>
          </w:rPr>
          <w:tab/>
        </w:r>
        <w:r>
          <w:rPr>
            <w:webHidden/>
          </w:rPr>
          <w:fldChar w:fldCharType="begin"/>
        </w:r>
        <w:r>
          <w:rPr>
            <w:webHidden/>
          </w:rPr>
          <w:instrText xml:space="preserve"> PAGEREF _Toc214283165 \h </w:instrText>
        </w:r>
        <w:r>
          <w:rPr>
            <w:webHidden/>
          </w:rPr>
        </w:r>
        <w:r>
          <w:rPr>
            <w:webHidden/>
          </w:rPr>
          <w:fldChar w:fldCharType="separate"/>
        </w:r>
        <w:r>
          <w:rPr>
            <w:webHidden/>
          </w:rPr>
          <w:t>101</w:t>
        </w:r>
        <w:r>
          <w:rPr>
            <w:webHidden/>
          </w:rPr>
          <w:fldChar w:fldCharType="end"/>
        </w:r>
      </w:hyperlink>
    </w:p>
    <w:p w14:paraId="67DFB2E4" w14:textId="61141EED" w:rsidR="00067371" w:rsidRDefault="00067371">
      <w:pPr>
        <w:pStyle w:val="TOC3"/>
        <w:rPr>
          <w:rFonts w:asciiTheme="minorHAnsi" w:eastAsiaTheme="minorEastAsia" w:hAnsiTheme="minorHAnsi" w:cstheme="minorBidi"/>
          <w:kern w:val="2"/>
          <w:sz w:val="24"/>
          <w:szCs w:val="24"/>
          <w14:ligatures w14:val="standardContextual"/>
        </w:rPr>
      </w:pPr>
      <w:hyperlink w:anchor="_Toc214283166" w:history="1">
        <w:r w:rsidRPr="008F4954">
          <w:rPr>
            <w:rStyle w:val="Hyperlink"/>
          </w:rPr>
          <w:t>5.5.12</w:t>
        </w:r>
        <w:r>
          <w:rPr>
            <w:rFonts w:asciiTheme="minorHAnsi" w:eastAsiaTheme="minorEastAsia" w:hAnsiTheme="minorHAnsi" w:cstheme="minorBidi"/>
            <w:kern w:val="2"/>
            <w:sz w:val="24"/>
            <w:szCs w:val="24"/>
            <w14:ligatures w14:val="standardContextual"/>
          </w:rPr>
          <w:tab/>
        </w:r>
        <w:r w:rsidRPr="008F4954">
          <w:rPr>
            <w:rStyle w:val="Hyperlink"/>
          </w:rPr>
          <w:t>Create Mission Library</w:t>
        </w:r>
        <w:r>
          <w:rPr>
            <w:webHidden/>
          </w:rPr>
          <w:tab/>
        </w:r>
        <w:r>
          <w:rPr>
            <w:webHidden/>
          </w:rPr>
          <w:fldChar w:fldCharType="begin"/>
        </w:r>
        <w:r>
          <w:rPr>
            <w:webHidden/>
          </w:rPr>
          <w:instrText xml:space="preserve"> PAGEREF _Toc214283166 \h </w:instrText>
        </w:r>
        <w:r>
          <w:rPr>
            <w:webHidden/>
          </w:rPr>
        </w:r>
        <w:r>
          <w:rPr>
            <w:webHidden/>
          </w:rPr>
          <w:fldChar w:fldCharType="separate"/>
        </w:r>
        <w:r>
          <w:rPr>
            <w:webHidden/>
          </w:rPr>
          <w:t>102</w:t>
        </w:r>
        <w:r>
          <w:rPr>
            <w:webHidden/>
          </w:rPr>
          <w:fldChar w:fldCharType="end"/>
        </w:r>
      </w:hyperlink>
    </w:p>
    <w:p w14:paraId="0BDEB9E9" w14:textId="227BB215" w:rsidR="00067371" w:rsidRDefault="00067371">
      <w:pPr>
        <w:pStyle w:val="TOC3"/>
        <w:rPr>
          <w:rFonts w:asciiTheme="minorHAnsi" w:eastAsiaTheme="minorEastAsia" w:hAnsiTheme="minorHAnsi" w:cstheme="minorBidi"/>
          <w:kern w:val="2"/>
          <w:sz w:val="24"/>
          <w:szCs w:val="24"/>
          <w14:ligatures w14:val="standardContextual"/>
        </w:rPr>
      </w:pPr>
      <w:hyperlink w:anchor="_Toc214283167" w:history="1">
        <w:r w:rsidRPr="008F4954">
          <w:rPr>
            <w:rStyle w:val="Hyperlink"/>
          </w:rPr>
          <w:t>5.5.13</w:t>
        </w:r>
        <w:r>
          <w:rPr>
            <w:rFonts w:asciiTheme="minorHAnsi" w:eastAsiaTheme="minorEastAsia" w:hAnsiTheme="minorHAnsi" w:cstheme="minorBidi"/>
            <w:kern w:val="2"/>
            <w:sz w:val="24"/>
            <w:szCs w:val="24"/>
            <w14:ligatures w14:val="standardContextual"/>
          </w:rPr>
          <w:tab/>
        </w:r>
        <w:r w:rsidRPr="008F4954">
          <w:rPr>
            <w:rStyle w:val="Hyperlink"/>
          </w:rPr>
          <w:t>Create TED Library</w:t>
        </w:r>
        <w:r>
          <w:rPr>
            <w:webHidden/>
          </w:rPr>
          <w:tab/>
        </w:r>
        <w:r>
          <w:rPr>
            <w:webHidden/>
          </w:rPr>
          <w:fldChar w:fldCharType="begin"/>
        </w:r>
        <w:r>
          <w:rPr>
            <w:webHidden/>
          </w:rPr>
          <w:instrText xml:space="preserve"> PAGEREF _Toc214283167 \h </w:instrText>
        </w:r>
        <w:r>
          <w:rPr>
            <w:webHidden/>
          </w:rPr>
        </w:r>
        <w:r>
          <w:rPr>
            <w:webHidden/>
          </w:rPr>
          <w:fldChar w:fldCharType="separate"/>
        </w:r>
        <w:r>
          <w:rPr>
            <w:webHidden/>
          </w:rPr>
          <w:t>103</w:t>
        </w:r>
        <w:r>
          <w:rPr>
            <w:webHidden/>
          </w:rPr>
          <w:fldChar w:fldCharType="end"/>
        </w:r>
      </w:hyperlink>
    </w:p>
    <w:p w14:paraId="7A8ED464" w14:textId="7D57F710" w:rsidR="00067371" w:rsidRDefault="00067371">
      <w:pPr>
        <w:pStyle w:val="TOC3"/>
        <w:rPr>
          <w:rFonts w:asciiTheme="minorHAnsi" w:eastAsiaTheme="minorEastAsia" w:hAnsiTheme="minorHAnsi" w:cstheme="minorBidi"/>
          <w:kern w:val="2"/>
          <w:sz w:val="24"/>
          <w:szCs w:val="24"/>
          <w14:ligatures w14:val="standardContextual"/>
        </w:rPr>
      </w:pPr>
      <w:hyperlink w:anchor="_Toc214283168" w:history="1">
        <w:r w:rsidRPr="008F4954">
          <w:rPr>
            <w:rStyle w:val="Hyperlink"/>
          </w:rPr>
          <w:t>5.5.14</w:t>
        </w:r>
        <w:r>
          <w:rPr>
            <w:rFonts w:asciiTheme="minorHAnsi" w:eastAsiaTheme="minorEastAsia" w:hAnsiTheme="minorHAnsi" w:cstheme="minorBidi"/>
            <w:kern w:val="2"/>
            <w:sz w:val="24"/>
            <w:szCs w:val="24"/>
            <w14:ligatures w14:val="standardContextual"/>
          </w:rPr>
          <w:tab/>
        </w:r>
        <w:r w:rsidRPr="008F4954">
          <w:rPr>
            <w:rStyle w:val="Hyperlink"/>
          </w:rPr>
          <w:t>Save As Route</w:t>
        </w:r>
        <w:r>
          <w:rPr>
            <w:webHidden/>
          </w:rPr>
          <w:tab/>
        </w:r>
        <w:r>
          <w:rPr>
            <w:webHidden/>
          </w:rPr>
          <w:fldChar w:fldCharType="begin"/>
        </w:r>
        <w:r>
          <w:rPr>
            <w:webHidden/>
          </w:rPr>
          <w:instrText xml:space="preserve"> PAGEREF _Toc214283168 \h </w:instrText>
        </w:r>
        <w:r>
          <w:rPr>
            <w:webHidden/>
          </w:rPr>
        </w:r>
        <w:r>
          <w:rPr>
            <w:webHidden/>
          </w:rPr>
          <w:fldChar w:fldCharType="separate"/>
        </w:r>
        <w:r>
          <w:rPr>
            <w:webHidden/>
          </w:rPr>
          <w:t>103</w:t>
        </w:r>
        <w:r>
          <w:rPr>
            <w:webHidden/>
          </w:rPr>
          <w:fldChar w:fldCharType="end"/>
        </w:r>
      </w:hyperlink>
    </w:p>
    <w:p w14:paraId="5476FBBC" w14:textId="5E045EE3" w:rsidR="00067371" w:rsidRDefault="00067371">
      <w:pPr>
        <w:pStyle w:val="TOC3"/>
        <w:rPr>
          <w:rFonts w:asciiTheme="minorHAnsi" w:eastAsiaTheme="minorEastAsia" w:hAnsiTheme="minorHAnsi" w:cstheme="minorBidi"/>
          <w:kern w:val="2"/>
          <w:sz w:val="24"/>
          <w:szCs w:val="24"/>
          <w14:ligatures w14:val="standardContextual"/>
        </w:rPr>
      </w:pPr>
      <w:hyperlink w:anchor="_Toc214283169" w:history="1">
        <w:r w:rsidRPr="008F4954">
          <w:rPr>
            <w:rStyle w:val="Hyperlink"/>
          </w:rPr>
          <w:t>5.5.15</w:t>
        </w:r>
        <w:r>
          <w:rPr>
            <w:rFonts w:asciiTheme="minorHAnsi" w:eastAsiaTheme="minorEastAsia" w:hAnsiTheme="minorHAnsi" w:cstheme="minorBidi"/>
            <w:kern w:val="2"/>
            <w:sz w:val="24"/>
            <w:szCs w:val="24"/>
            <w14:ligatures w14:val="standardContextual"/>
          </w:rPr>
          <w:tab/>
        </w:r>
        <w:r w:rsidRPr="008F4954">
          <w:rPr>
            <w:rStyle w:val="Hyperlink"/>
          </w:rPr>
          <w:t>Send Missions</w:t>
        </w:r>
        <w:r>
          <w:rPr>
            <w:webHidden/>
          </w:rPr>
          <w:tab/>
        </w:r>
        <w:r>
          <w:rPr>
            <w:webHidden/>
          </w:rPr>
          <w:fldChar w:fldCharType="begin"/>
        </w:r>
        <w:r>
          <w:rPr>
            <w:webHidden/>
          </w:rPr>
          <w:instrText xml:space="preserve"> PAGEREF _Toc214283169 \h </w:instrText>
        </w:r>
        <w:r>
          <w:rPr>
            <w:webHidden/>
          </w:rPr>
        </w:r>
        <w:r>
          <w:rPr>
            <w:webHidden/>
          </w:rPr>
          <w:fldChar w:fldCharType="separate"/>
        </w:r>
        <w:r>
          <w:rPr>
            <w:webHidden/>
          </w:rPr>
          <w:t>105</w:t>
        </w:r>
        <w:r>
          <w:rPr>
            <w:webHidden/>
          </w:rPr>
          <w:fldChar w:fldCharType="end"/>
        </w:r>
      </w:hyperlink>
    </w:p>
    <w:p w14:paraId="73A43B6D" w14:textId="1F67F92C" w:rsidR="00067371" w:rsidRDefault="00067371">
      <w:pPr>
        <w:pStyle w:val="TOC3"/>
        <w:rPr>
          <w:rFonts w:asciiTheme="minorHAnsi" w:eastAsiaTheme="minorEastAsia" w:hAnsiTheme="minorHAnsi" w:cstheme="minorBidi"/>
          <w:kern w:val="2"/>
          <w:sz w:val="24"/>
          <w:szCs w:val="24"/>
          <w14:ligatures w14:val="standardContextual"/>
        </w:rPr>
      </w:pPr>
      <w:hyperlink w:anchor="_Toc214283170" w:history="1">
        <w:r w:rsidRPr="008F4954">
          <w:rPr>
            <w:rStyle w:val="Hyperlink"/>
          </w:rPr>
          <w:t>5.5.16</w:t>
        </w:r>
        <w:r>
          <w:rPr>
            <w:rFonts w:asciiTheme="minorHAnsi" w:eastAsiaTheme="minorEastAsia" w:hAnsiTheme="minorHAnsi" w:cstheme="minorBidi"/>
            <w:kern w:val="2"/>
            <w:sz w:val="24"/>
            <w:szCs w:val="24"/>
            <w14:ligatures w14:val="standardContextual"/>
          </w:rPr>
          <w:tab/>
        </w:r>
        <w:r w:rsidRPr="008F4954">
          <w:rPr>
            <w:rStyle w:val="Hyperlink"/>
          </w:rPr>
          <w:t>Delete Mission(s)</w:t>
        </w:r>
        <w:r>
          <w:rPr>
            <w:webHidden/>
          </w:rPr>
          <w:tab/>
        </w:r>
        <w:r>
          <w:rPr>
            <w:webHidden/>
          </w:rPr>
          <w:fldChar w:fldCharType="begin"/>
        </w:r>
        <w:r>
          <w:rPr>
            <w:webHidden/>
          </w:rPr>
          <w:instrText xml:space="preserve"> PAGEREF _Toc214283170 \h </w:instrText>
        </w:r>
        <w:r>
          <w:rPr>
            <w:webHidden/>
          </w:rPr>
        </w:r>
        <w:r>
          <w:rPr>
            <w:webHidden/>
          </w:rPr>
          <w:fldChar w:fldCharType="separate"/>
        </w:r>
        <w:r>
          <w:rPr>
            <w:webHidden/>
          </w:rPr>
          <w:t>105</w:t>
        </w:r>
        <w:r>
          <w:rPr>
            <w:webHidden/>
          </w:rPr>
          <w:fldChar w:fldCharType="end"/>
        </w:r>
      </w:hyperlink>
    </w:p>
    <w:p w14:paraId="7E88C685" w14:textId="00EB1E58" w:rsidR="00067371" w:rsidRDefault="00067371">
      <w:pPr>
        <w:pStyle w:val="TOC3"/>
        <w:rPr>
          <w:rFonts w:asciiTheme="minorHAnsi" w:eastAsiaTheme="minorEastAsia" w:hAnsiTheme="minorHAnsi" w:cstheme="minorBidi"/>
          <w:kern w:val="2"/>
          <w:sz w:val="24"/>
          <w:szCs w:val="24"/>
          <w14:ligatures w14:val="standardContextual"/>
        </w:rPr>
      </w:pPr>
      <w:hyperlink w:anchor="_Toc214283171" w:history="1">
        <w:r w:rsidRPr="008F4954">
          <w:rPr>
            <w:rStyle w:val="Hyperlink"/>
          </w:rPr>
          <w:t>5.5.17</w:t>
        </w:r>
        <w:r>
          <w:rPr>
            <w:rFonts w:asciiTheme="minorHAnsi" w:eastAsiaTheme="minorEastAsia" w:hAnsiTheme="minorHAnsi" w:cstheme="minorBidi"/>
            <w:kern w:val="2"/>
            <w:sz w:val="24"/>
            <w:szCs w:val="24"/>
            <w14:ligatures w14:val="standardContextual"/>
          </w:rPr>
          <w:tab/>
        </w:r>
        <w:r w:rsidRPr="008F4954">
          <w:rPr>
            <w:rStyle w:val="Hyperlink"/>
          </w:rPr>
          <w:t>Mission Notifications</w:t>
        </w:r>
        <w:r>
          <w:rPr>
            <w:webHidden/>
          </w:rPr>
          <w:tab/>
        </w:r>
        <w:r>
          <w:rPr>
            <w:webHidden/>
          </w:rPr>
          <w:fldChar w:fldCharType="begin"/>
        </w:r>
        <w:r>
          <w:rPr>
            <w:webHidden/>
          </w:rPr>
          <w:instrText xml:space="preserve"> PAGEREF _Toc214283171 \h </w:instrText>
        </w:r>
        <w:r>
          <w:rPr>
            <w:webHidden/>
          </w:rPr>
        </w:r>
        <w:r>
          <w:rPr>
            <w:webHidden/>
          </w:rPr>
          <w:fldChar w:fldCharType="separate"/>
        </w:r>
        <w:r>
          <w:rPr>
            <w:webHidden/>
          </w:rPr>
          <w:t>107</w:t>
        </w:r>
        <w:r>
          <w:rPr>
            <w:webHidden/>
          </w:rPr>
          <w:fldChar w:fldCharType="end"/>
        </w:r>
      </w:hyperlink>
    </w:p>
    <w:p w14:paraId="6034DB51" w14:textId="7BE96138" w:rsidR="00067371" w:rsidRDefault="00067371">
      <w:pPr>
        <w:pStyle w:val="TOC3"/>
        <w:rPr>
          <w:rFonts w:asciiTheme="minorHAnsi" w:eastAsiaTheme="minorEastAsia" w:hAnsiTheme="minorHAnsi" w:cstheme="minorBidi"/>
          <w:kern w:val="2"/>
          <w:sz w:val="24"/>
          <w:szCs w:val="24"/>
          <w14:ligatures w14:val="standardContextual"/>
        </w:rPr>
      </w:pPr>
      <w:hyperlink w:anchor="_Toc214283172" w:history="1">
        <w:r w:rsidRPr="008F4954">
          <w:rPr>
            <w:rStyle w:val="Hyperlink"/>
          </w:rPr>
          <w:t>5.5.18</w:t>
        </w:r>
        <w:r>
          <w:rPr>
            <w:rFonts w:asciiTheme="minorHAnsi" w:eastAsiaTheme="minorEastAsia" w:hAnsiTheme="minorHAnsi" w:cstheme="minorBidi"/>
            <w:kern w:val="2"/>
            <w:sz w:val="24"/>
            <w:szCs w:val="24"/>
            <w14:ligatures w14:val="standardContextual"/>
          </w:rPr>
          <w:tab/>
        </w:r>
        <w:r w:rsidRPr="008F4954">
          <w:rPr>
            <w:rStyle w:val="Hyperlink"/>
          </w:rPr>
          <w:t>Display Vertical Flight Profile</w:t>
        </w:r>
        <w:r>
          <w:rPr>
            <w:webHidden/>
          </w:rPr>
          <w:tab/>
        </w:r>
        <w:r>
          <w:rPr>
            <w:webHidden/>
          </w:rPr>
          <w:fldChar w:fldCharType="begin"/>
        </w:r>
        <w:r>
          <w:rPr>
            <w:webHidden/>
          </w:rPr>
          <w:instrText xml:space="preserve"> PAGEREF _Toc214283172 \h </w:instrText>
        </w:r>
        <w:r>
          <w:rPr>
            <w:webHidden/>
          </w:rPr>
        </w:r>
        <w:r>
          <w:rPr>
            <w:webHidden/>
          </w:rPr>
          <w:fldChar w:fldCharType="separate"/>
        </w:r>
        <w:r>
          <w:rPr>
            <w:webHidden/>
          </w:rPr>
          <w:t>107</w:t>
        </w:r>
        <w:r>
          <w:rPr>
            <w:webHidden/>
          </w:rPr>
          <w:fldChar w:fldCharType="end"/>
        </w:r>
      </w:hyperlink>
    </w:p>
    <w:p w14:paraId="66CEAE21" w14:textId="161D583A" w:rsidR="00067371" w:rsidRDefault="00067371">
      <w:pPr>
        <w:pStyle w:val="TOC3"/>
        <w:rPr>
          <w:rFonts w:asciiTheme="minorHAnsi" w:eastAsiaTheme="minorEastAsia" w:hAnsiTheme="minorHAnsi" w:cstheme="minorBidi"/>
          <w:kern w:val="2"/>
          <w:sz w:val="24"/>
          <w:szCs w:val="24"/>
          <w14:ligatures w14:val="standardContextual"/>
        </w:rPr>
      </w:pPr>
      <w:hyperlink w:anchor="_Toc214283173" w:history="1">
        <w:r w:rsidRPr="008F4954">
          <w:rPr>
            <w:rStyle w:val="Hyperlink"/>
          </w:rPr>
          <w:t>5.5.19</w:t>
        </w:r>
        <w:r>
          <w:rPr>
            <w:rFonts w:asciiTheme="minorHAnsi" w:eastAsiaTheme="minorEastAsia" w:hAnsiTheme="minorHAnsi" w:cstheme="minorBidi"/>
            <w:kern w:val="2"/>
            <w:sz w:val="24"/>
            <w:szCs w:val="24"/>
            <w14:ligatures w14:val="standardContextual"/>
          </w:rPr>
          <w:tab/>
        </w:r>
        <w:r w:rsidRPr="008F4954">
          <w:rPr>
            <w:rStyle w:val="Hyperlink"/>
          </w:rPr>
          <w:t>Internal Hold</w:t>
        </w:r>
        <w:r>
          <w:rPr>
            <w:webHidden/>
          </w:rPr>
          <w:tab/>
        </w:r>
        <w:r>
          <w:rPr>
            <w:webHidden/>
          </w:rPr>
          <w:fldChar w:fldCharType="begin"/>
        </w:r>
        <w:r>
          <w:rPr>
            <w:webHidden/>
          </w:rPr>
          <w:instrText xml:space="preserve"> PAGEREF _Toc214283173 \h </w:instrText>
        </w:r>
        <w:r>
          <w:rPr>
            <w:webHidden/>
          </w:rPr>
        </w:r>
        <w:r>
          <w:rPr>
            <w:webHidden/>
          </w:rPr>
          <w:fldChar w:fldCharType="separate"/>
        </w:r>
        <w:r>
          <w:rPr>
            <w:webHidden/>
          </w:rPr>
          <w:t>108</w:t>
        </w:r>
        <w:r>
          <w:rPr>
            <w:webHidden/>
          </w:rPr>
          <w:fldChar w:fldCharType="end"/>
        </w:r>
      </w:hyperlink>
    </w:p>
    <w:p w14:paraId="21FB23EC" w14:textId="4CE3E27D" w:rsidR="00067371" w:rsidRDefault="00067371">
      <w:pPr>
        <w:pStyle w:val="TOC3"/>
        <w:rPr>
          <w:rFonts w:asciiTheme="minorHAnsi" w:eastAsiaTheme="minorEastAsia" w:hAnsiTheme="minorHAnsi" w:cstheme="minorBidi"/>
          <w:kern w:val="2"/>
          <w:sz w:val="24"/>
          <w:szCs w:val="24"/>
          <w14:ligatures w14:val="standardContextual"/>
        </w:rPr>
      </w:pPr>
      <w:hyperlink w:anchor="_Toc214283174" w:history="1">
        <w:r w:rsidRPr="008F4954">
          <w:rPr>
            <w:rStyle w:val="Hyperlink"/>
          </w:rPr>
          <w:t>5.5.20</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_Toc214283174 \h </w:instrText>
        </w:r>
        <w:r>
          <w:rPr>
            <w:webHidden/>
          </w:rPr>
        </w:r>
        <w:r>
          <w:rPr>
            <w:webHidden/>
          </w:rPr>
          <w:fldChar w:fldCharType="separate"/>
        </w:r>
        <w:r>
          <w:rPr>
            <w:webHidden/>
          </w:rPr>
          <w:t>108</w:t>
        </w:r>
        <w:r>
          <w:rPr>
            <w:webHidden/>
          </w:rPr>
          <w:fldChar w:fldCharType="end"/>
        </w:r>
      </w:hyperlink>
    </w:p>
    <w:p w14:paraId="3A9DD8D8" w14:textId="61F52A97" w:rsidR="00067371" w:rsidRDefault="00067371">
      <w:pPr>
        <w:pStyle w:val="TOC3"/>
        <w:rPr>
          <w:rFonts w:asciiTheme="minorHAnsi" w:eastAsiaTheme="minorEastAsia" w:hAnsiTheme="minorHAnsi" w:cstheme="minorBidi"/>
          <w:kern w:val="2"/>
          <w:sz w:val="24"/>
          <w:szCs w:val="24"/>
          <w14:ligatures w14:val="standardContextual"/>
        </w:rPr>
      </w:pPr>
      <w:hyperlink w:anchor="_Toc214283175" w:history="1">
        <w:r w:rsidRPr="008F4954">
          <w:rPr>
            <w:rStyle w:val="Hyperlink"/>
          </w:rPr>
          <w:t>5.5.21</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_Toc214283175 \h </w:instrText>
        </w:r>
        <w:r>
          <w:rPr>
            <w:webHidden/>
          </w:rPr>
        </w:r>
        <w:r>
          <w:rPr>
            <w:webHidden/>
          </w:rPr>
          <w:fldChar w:fldCharType="separate"/>
        </w:r>
        <w:r>
          <w:rPr>
            <w:webHidden/>
          </w:rPr>
          <w:t>108</w:t>
        </w:r>
        <w:r>
          <w:rPr>
            <w:webHidden/>
          </w:rPr>
          <w:fldChar w:fldCharType="end"/>
        </w:r>
      </w:hyperlink>
    </w:p>
    <w:p w14:paraId="5494B494" w14:textId="7E10A304" w:rsidR="00067371" w:rsidRDefault="00067371">
      <w:pPr>
        <w:pStyle w:val="TOC3"/>
        <w:rPr>
          <w:rFonts w:asciiTheme="minorHAnsi" w:eastAsiaTheme="minorEastAsia" w:hAnsiTheme="minorHAnsi" w:cstheme="minorBidi"/>
          <w:kern w:val="2"/>
          <w:sz w:val="24"/>
          <w:szCs w:val="24"/>
          <w14:ligatures w14:val="standardContextual"/>
        </w:rPr>
      </w:pPr>
      <w:hyperlink w:anchor="_Toc214283176" w:history="1">
        <w:r w:rsidRPr="008F4954">
          <w:rPr>
            <w:rStyle w:val="Hyperlink"/>
          </w:rPr>
          <w:t>5.5.22</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_Toc214283176 \h </w:instrText>
        </w:r>
        <w:r>
          <w:rPr>
            <w:webHidden/>
          </w:rPr>
        </w:r>
        <w:r>
          <w:rPr>
            <w:webHidden/>
          </w:rPr>
          <w:fldChar w:fldCharType="separate"/>
        </w:r>
        <w:r>
          <w:rPr>
            <w:webHidden/>
          </w:rPr>
          <w:t>108</w:t>
        </w:r>
        <w:r>
          <w:rPr>
            <w:webHidden/>
          </w:rPr>
          <w:fldChar w:fldCharType="end"/>
        </w:r>
      </w:hyperlink>
    </w:p>
    <w:p w14:paraId="67E070FF" w14:textId="561C38CB" w:rsidR="00067371" w:rsidRDefault="00067371">
      <w:pPr>
        <w:pStyle w:val="TOC3"/>
        <w:rPr>
          <w:rFonts w:asciiTheme="minorHAnsi" w:eastAsiaTheme="minorEastAsia" w:hAnsiTheme="minorHAnsi" w:cstheme="minorBidi"/>
          <w:kern w:val="2"/>
          <w:sz w:val="24"/>
          <w:szCs w:val="24"/>
          <w14:ligatures w14:val="standardContextual"/>
        </w:rPr>
      </w:pPr>
      <w:hyperlink w:anchor="_Toc214283177" w:history="1">
        <w:r w:rsidRPr="008F4954">
          <w:rPr>
            <w:rStyle w:val="Hyperlink"/>
          </w:rPr>
          <w:t>5.5.23</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_Toc214283177 \h </w:instrText>
        </w:r>
        <w:r>
          <w:rPr>
            <w:webHidden/>
          </w:rPr>
        </w:r>
        <w:r>
          <w:rPr>
            <w:webHidden/>
          </w:rPr>
          <w:fldChar w:fldCharType="separate"/>
        </w:r>
        <w:r>
          <w:rPr>
            <w:webHidden/>
          </w:rPr>
          <w:t>108</w:t>
        </w:r>
        <w:r>
          <w:rPr>
            <w:webHidden/>
          </w:rPr>
          <w:fldChar w:fldCharType="end"/>
        </w:r>
      </w:hyperlink>
    </w:p>
    <w:p w14:paraId="285BE1AC" w14:textId="1F123B3F" w:rsidR="00067371" w:rsidRDefault="00067371">
      <w:pPr>
        <w:pStyle w:val="TOC3"/>
        <w:rPr>
          <w:rFonts w:asciiTheme="minorHAnsi" w:eastAsiaTheme="minorEastAsia" w:hAnsiTheme="minorHAnsi" w:cstheme="minorBidi"/>
          <w:kern w:val="2"/>
          <w:sz w:val="24"/>
          <w:szCs w:val="24"/>
          <w14:ligatures w14:val="standardContextual"/>
        </w:rPr>
      </w:pPr>
      <w:hyperlink w:anchor="_Toc214283178" w:history="1">
        <w:r w:rsidRPr="008F4954">
          <w:rPr>
            <w:rStyle w:val="Hyperlink"/>
          </w:rPr>
          <w:t>5.5.24</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_Toc214283178 \h </w:instrText>
        </w:r>
        <w:r>
          <w:rPr>
            <w:webHidden/>
          </w:rPr>
        </w:r>
        <w:r>
          <w:rPr>
            <w:webHidden/>
          </w:rPr>
          <w:fldChar w:fldCharType="separate"/>
        </w:r>
        <w:r>
          <w:rPr>
            <w:webHidden/>
          </w:rPr>
          <w:t>109</w:t>
        </w:r>
        <w:r>
          <w:rPr>
            <w:webHidden/>
          </w:rPr>
          <w:fldChar w:fldCharType="end"/>
        </w:r>
      </w:hyperlink>
    </w:p>
    <w:p w14:paraId="67ED40B3" w14:textId="1B93C601" w:rsidR="00067371" w:rsidRDefault="00067371">
      <w:pPr>
        <w:pStyle w:val="TOC3"/>
        <w:rPr>
          <w:rFonts w:asciiTheme="minorHAnsi" w:eastAsiaTheme="minorEastAsia" w:hAnsiTheme="minorHAnsi" w:cstheme="minorBidi"/>
          <w:kern w:val="2"/>
          <w:sz w:val="24"/>
          <w:szCs w:val="24"/>
          <w14:ligatures w14:val="standardContextual"/>
        </w:rPr>
      </w:pPr>
      <w:hyperlink w:anchor="_Toc214283179" w:history="1">
        <w:r w:rsidRPr="008F4954">
          <w:rPr>
            <w:rStyle w:val="Hyperlink"/>
          </w:rPr>
          <w:t>5.5.25</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_Toc214283179 \h </w:instrText>
        </w:r>
        <w:r>
          <w:rPr>
            <w:webHidden/>
          </w:rPr>
        </w:r>
        <w:r>
          <w:rPr>
            <w:webHidden/>
          </w:rPr>
          <w:fldChar w:fldCharType="separate"/>
        </w:r>
        <w:r>
          <w:rPr>
            <w:webHidden/>
          </w:rPr>
          <w:t>109</w:t>
        </w:r>
        <w:r>
          <w:rPr>
            <w:webHidden/>
          </w:rPr>
          <w:fldChar w:fldCharType="end"/>
        </w:r>
      </w:hyperlink>
    </w:p>
    <w:p w14:paraId="13D7FC3B" w14:textId="50F4B845" w:rsidR="00067371" w:rsidRDefault="00067371">
      <w:pPr>
        <w:pStyle w:val="TOC3"/>
        <w:rPr>
          <w:rFonts w:asciiTheme="minorHAnsi" w:eastAsiaTheme="minorEastAsia" w:hAnsiTheme="minorHAnsi" w:cstheme="minorBidi"/>
          <w:kern w:val="2"/>
          <w:sz w:val="24"/>
          <w:szCs w:val="24"/>
          <w14:ligatures w14:val="standardContextual"/>
        </w:rPr>
      </w:pPr>
      <w:hyperlink w:anchor="_Toc214283180" w:history="1">
        <w:r w:rsidRPr="008F4954">
          <w:rPr>
            <w:rStyle w:val="Hyperlink"/>
          </w:rPr>
          <w:t>5.5.26</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_Toc214283180 \h </w:instrText>
        </w:r>
        <w:r>
          <w:rPr>
            <w:webHidden/>
          </w:rPr>
        </w:r>
        <w:r>
          <w:rPr>
            <w:webHidden/>
          </w:rPr>
          <w:fldChar w:fldCharType="separate"/>
        </w:r>
        <w:r>
          <w:rPr>
            <w:webHidden/>
          </w:rPr>
          <w:t>109</w:t>
        </w:r>
        <w:r>
          <w:rPr>
            <w:webHidden/>
          </w:rPr>
          <w:fldChar w:fldCharType="end"/>
        </w:r>
      </w:hyperlink>
    </w:p>
    <w:p w14:paraId="5FF417CF" w14:textId="6714A553"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81" w:history="1">
        <w:r w:rsidRPr="008F4954">
          <w:rPr>
            <w:rStyle w:val="Hyperlink"/>
          </w:rPr>
          <w:t>5.6</w:t>
        </w:r>
        <w:r>
          <w:rPr>
            <w:rFonts w:asciiTheme="minorHAnsi" w:eastAsiaTheme="minorEastAsia" w:hAnsiTheme="minorHAnsi" w:cstheme="minorBidi"/>
            <w:smallCaps w:val="0"/>
            <w:kern w:val="2"/>
            <w:szCs w:val="24"/>
            <w14:ligatures w14:val="standardContextual"/>
          </w:rPr>
          <w:tab/>
        </w:r>
        <w:r w:rsidRPr="008F4954">
          <w:rPr>
            <w:rStyle w:val="Hyperlink"/>
          </w:rPr>
          <w:t>DSMACS TOOL</w:t>
        </w:r>
        <w:r>
          <w:rPr>
            <w:webHidden/>
          </w:rPr>
          <w:tab/>
        </w:r>
        <w:r>
          <w:rPr>
            <w:webHidden/>
          </w:rPr>
          <w:fldChar w:fldCharType="begin"/>
        </w:r>
        <w:r>
          <w:rPr>
            <w:webHidden/>
          </w:rPr>
          <w:instrText xml:space="preserve"> PAGEREF _Toc214283181 \h </w:instrText>
        </w:r>
        <w:r>
          <w:rPr>
            <w:webHidden/>
          </w:rPr>
        </w:r>
        <w:r>
          <w:rPr>
            <w:webHidden/>
          </w:rPr>
          <w:fldChar w:fldCharType="separate"/>
        </w:r>
        <w:r>
          <w:rPr>
            <w:webHidden/>
          </w:rPr>
          <w:t>110</w:t>
        </w:r>
        <w:r>
          <w:rPr>
            <w:webHidden/>
          </w:rPr>
          <w:fldChar w:fldCharType="end"/>
        </w:r>
      </w:hyperlink>
    </w:p>
    <w:p w14:paraId="324238C4" w14:textId="7CE2CC92" w:rsidR="00067371" w:rsidRDefault="00067371">
      <w:pPr>
        <w:pStyle w:val="TOC3"/>
        <w:rPr>
          <w:rFonts w:asciiTheme="minorHAnsi" w:eastAsiaTheme="minorEastAsia" w:hAnsiTheme="minorHAnsi" w:cstheme="minorBidi"/>
          <w:kern w:val="2"/>
          <w:sz w:val="24"/>
          <w:szCs w:val="24"/>
          <w14:ligatures w14:val="standardContextual"/>
        </w:rPr>
      </w:pPr>
      <w:hyperlink w:anchor="_Toc214283182" w:history="1">
        <w:r w:rsidRPr="008F4954">
          <w:rPr>
            <w:rStyle w:val="Hyperlink"/>
          </w:rPr>
          <w:t>5.6.1</w:t>
        </w:r>
        <w:r>
          <w:rPr>
            <w:rFonts w:asciiTheme="minorHAnsi" w:eastAsiaTheme="minorEastAsia" w:hAnsiTheme="minorHAnsi" w:cstheme="minorBidi"/>
            <w:kern w:val="2"/>
            <w:sz w:val="24"/>
            <w:szCs w:val="24"/>
            <w14:ligatures w14:val="standardContextual"/>
          </w:rPr>
          <w:tab/>
        </w:r>
        <w:r w:rsidRPr="008F4954">
          <w:rPr>
            <w:rStyle w:val="Hyperlink"/>
          </w:rPr>
          <w:t>Display DSMAC(s) Geographically</w:t>
        </w:r>
        <w:r>
          <w:rPr>
            <w:webHidden/>
          </w:rPr>
          <w:tab/>
        </w:r>
        <w:r>
          <w:rPr>
            <w:webHidden/>
          </w:rPr>
          <w:fldChar w:fldCharType="begin"/>
        </w:r>
        <w:r>
          <w:rPr>
            <w:webHidden/>
          </w:rPr>
          <w:instrText xml:space="preserve"> PAGEREF _Toc214283182 \h </w:instrText>
        </w:r>
        <w:r>
          <w:rPr>
            <w:webHidden/>
          </w:rPr>
        </w:r>
        <w:r>
          <w:rPr>
            <w:webHidden/>
          </w:rPr>
          <w:fldChar w:fldCharType="separate"/>
        </w:r>
        <w:r>
          <w:rPr>
            <w:webHidden/>
          </w:rPr>
          <w:t>110</w:t>
        </w:r>
        <w:r>
          <w:rPr>
            <w:webHidden/>
          </w:rPr>
          <w:fldChar w:fldCharType="end"/>
        </w:r>
      </w:hyperlink>
    </w:p>
    <w:p w14:paraId="31888581" w14:textId="560FAE45" w:rsidR="00067371" w:rsidRDefault="00067371">
      <w:pPr>
        <w:pStyle w:val="TOC3"/>
        <w:rPr>
          <w:rFonts w:asciiTheme="minorHAnsi" w:eastAsiaTheme="minorEastAsia" w:hAnsiTheme="minorHAnsi" w:cstheme="minorBidi"/>
          <w:kern w:val="2"/>
          <w:sz w:val="24"/>
          <w:szCs w:val="24"/>
          <w14:ligatures w14:val="standardContextual"/>
        </w:rPr>
      </w:pPr>
      <w:hyperlink w:anchor="_Toc214283183" w:history="1">
        <w:r w:rsidRPr="008F4954">
          <w:rPr>
            <w:rStyle w:val="Hyperlink"/>
          </w:rPr>
          <w:t>5.6.2</w:t>
        </w:r>
        <w:r>
          <w:rPr>
            <w:rFonts w:asciiTheme="minorHAnsi" w:eastAsiaTheme="minorEastAsia" w:hAnsiTheme="minorHAnsi" w:cstheme="minorBidi"/>
            <w:kern w:val="2"/>
            <w:sz w:val="24"/>
            <w:szCs w:val="24"/>
            <w14:ligatures w14:val="standardContextual"/>
          </w:rPr>
          <w:tab/>
        </w:r>
        <w:r w:rsidRPr="008F4954">
          <w:rPr>
            <w:rStyle w:val="Hyperlink"/>
          </w:rPr>
          <w:t>Delete DSMAC(s)</w:t>
        </w:r>
        <w:r>
          <w:rPr>
            <w:webHidden/>
          </w:rPr>
          <w:tab/>
        </w:r>
        <w:r>
          <w:rPr>
            <w:webHidden/>
          </w:rPr>
          <w:fldChar w:fldCharType="begin"/>
        </w:r>
        <w:r>
          <w:rPr>
            <w:webHidden/>
          </w:rPr>
          <w:instrText xml:space="preserve"> PAGEREF _Toc214283183 \h </w:instrText>
        </w:r>
        <w:r>
          <w:rPr>
            <w:webHidden/>
          </w:rPr>
        </w:r>
        <w:r>
          <w:rPr>
            <w:webHidden/>
          </w:rPr>
          <w:fldChar w:fldCharType="separate"/>
        </w:r>
        <w:r>
          <w:rPr>
            <w:webHidden/>
          </w:rPr>
          <w:t>110</w:t>
        </w:r>
        <w:r>
          <w:rPr>
            <w:webHidden/>
          </w:rPr>
          <w:fldChar w:fldCharType="end"/>
        </w:r>
      </w:hyperlink>
    </w:p>
    <w:p w14:paraId="5D767895" w14:textId="5A25D39A" w:rsidR="00067371" w:rsidRDefault="00067371">
      <w:pPr>
        <w:pStyle w:val="TOC3"/>
        <w:rPr>
          <w:rFonts w:asciiTheme="minorHAnsi" w:eastAsiaTheme="minorEastAsia" w:hAnsiTheme="minorHAnsi" w:cstheme="minorBidi"/>
          <w:kern w:val="2"/>
          <w:sz w:val="24"/>
          <w:szCs w:val="24"/>
          <w14:ligatures w14:val="standardContextual"/>
        </w:rPr>
      </w:pPr>
      <w:hyperlink w:anchor="_Toc214283184" w:history="1">
        <w:r w:rsidRPr="008F4954">
          <w:rPr>
            <w:rStyle w:val="Hyperlink"/>
          </w:rPr>
          <w:t>5.6.3</w:t>
        </w:r>
        <w:r>
          <w:rPr>
            <w:rFonts w:asciiTheme="minorHAnsi" w:eastAsiaTheme="minorEastAsia" w:hAnsiTheme="minorHAnsi" w:cstheme="minorBidi"/>
            <w:kern w:val="2"/>
            <w:sz w:val="24"/>
            <w:szCs w:val="24"/>
            <w14:ligatures w14:val="standardContextual"/>
          </w:rPr>
          <w:tab/>
        </w:r>
        <w:r w:rsidRPr="008F4954">
          <w:rPr>
            <w:rStyle w:val="Hyperlink"/>
          </w:rPr>
          <w:t>Send DSMAC(s)</w:t>
        </w:r>
        <w:r>
          <w:rPr>
            <w:webHidden/>
          </w:rPr>
          <w:tab/>
        </w:r>
        <w:r>
          <w:rPr>
            <w:webHidden/>
          </w:rPr>
          <w:fldChar w:fldCharType="begin"/>
        </w:r>
        <w:r>
          <w:rPr>
            <w:webHidden/>
          </w:rPr>
          <w:instrText xml:space="preserve"> PAGEREF _Toc214283184 \h </w:instrText>
        </w:r>
        <w:r>
          <w:rPr>
            <w:webHidden/>
          </w:rPr>
        </w:r>
        <w:r>
          <w:rPr>
            <w:webHidden/>
          </w:rPr>
          <w:fldChar w:fldCharType="separate"/>
        </w:r>
        <w:r>
          <w:rPr>
            <w:webHidden/>
          </w:rPr>
          <w:t>111</w:t>
        </w:r>
        <w:r>
          <w:rPr>
            <w:webHidden/>
          </w:rPr>
          <w:fldChar w:fldCharType="end"/>
        </w:r>
      </w:hyperlink>
    </w:p>
    <w:p w14:paraId="24FCDA5A" w14:textId="6DCB9598" w:rsidR="00067371" w:rsidRDefault="00067371">
      <w:pPr>
        <w:pStyle w:val="TOC3"/>
        <w:rPr>
          <w:rFonts w:asciiTheme="minorHAnsi" w:eastAsiaTheme="minorEastAsia" w:hAnsiTheme="minorHAnsi" w:cstheme="minorBidi"/>
          <w:kern w:val="2"/>
          <w:sz w:val="24"/>
          <w:szCs w:val="24"/>
          <w14:ligatures w14:val="standardContextual"/>
        </w:rPr>
      </w:pPr>
      <w:hyperlink w:anchor="_Toc214283185" w:history="1">
        <w:r w:rsidRPr="008F4954">
          <w:rPr>
            <w:rStyle w:val="Hyperlink"/>
          </w:rPr>
          <w:t>5.6.4</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_Toc214283185 \h </w:instrText>
        </w:r>
        <w:r>
          <w:rPr>
            <w:webHidden/>
          </w:rPr>
        </w:r>
        <w:r>
          <w:rPr>
            <w:webHidden/>
          </w:rPr>
          <w:fldChar w:fldCharType="separate"/>
        </w:r>
        <w:r>
          <w:rPr>
            <w:webHidden/>
          </w:rPr>
          <w:t>111</w:t>
        </w:r>
        <w:r>
          <w:rPr>
            <w:webHidden/>
          </w:rPr>
          <w:fldChar w:fldCharType="end"/>
        </w:r>
      </w:hyperlink>
    </w:p>
    <w:p w14:paraId="13516998" w14:textId="7203DA0D" w:rsidR="00067371" w:rsidRDefault="00067371">
      <w:pPr>
        <w:pStyle w:val="TOC3"/>
        <w:rPr>
          <w:rFonts w:asciiTheme="minorHAnsi" w:eastAsiaTheme="minorEastAsia" w:hAnsiTheme="minorHAnsi" w:cstheme="minorBidi"/>
          <w:kern w:val="2"/>
          <w:sz w:val="24"/>
          <w:szCs w:val="24"/>
          <w14:ligatures w14:val="standardContextual"/>
        </w:rPr>
      </w:pPr>
      <w:hyperlink w:anchor="_Toc214283186" w:history="1">
        <w:r w:rsidRPr="008F4954">
          <w:rPr>
            <w:rStyle w:val="Hyperlink"/>
          </w:rPr>
          <w:t>5.6.5</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_Toc214283186 \h </w:instrText>
        </w:r>
        <w:r>
          <w:rPr>
            <w:webHidden/>
          </w:rPr>
        </w:r>
        <w:r>
          <w:rPr>
            <w:webHidden/>
          </w:rPr>
          <w:fldChar w:fldCharType="separate"/>
        </w:r>
        <w:r>
          <w:rPr>
            <w:webHidden/>
          </w:rPr>
          <w:t>111</w:t>
        </w:r>
        <w:r>
          <w:rPr>
            <w:webHidden/>
          </w:rPr>
          <w:fldChar w:fldCharType="end"/>
        </w:r>
      </w:hyperlink>
    </w:p>
    <w:p w14:paraId="354C96DB" w14:textId="26C534FD" w:rsidR="00067371" w:rsidRDefault="00067371">
      <w:pPr>
        <w:pStyle w:val="TOC3"/>
        <w:rPr>
          <w:rFonts w:asciiTheme="minorHAnsi" w:eastAsiaTheme="minorEastAsia" w:hAnsiTheme="minorHAnsi" w:cstheme="minorBidi"/>
          <w:kern w:val="2"/>
          <w:sz w:val="24"/>
          <w:szCs w:val="24"/>
          <w14:ligatures w14:val="standardContextual"/>
        </w:rPr>
      </w:pPr>
      <w:hyperlink w:anchor="_Toc214283187" w:history="1">
        <w:r w:rsidRPr="008F4954">
          <w:rPr>
            <w:rStyle w:val="Hyperlink"/>
          </w:rPr>
          <w:t>5.6.6</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_Toc214283187 \h </w:instrText>
        </w:r>
        <w:r>
          <w:rPr>
            <w:webHidden/>
          </w:rPr>
        </w:r>
        <w:r>
          <w:rPr>
            <w:webHidden/>
          </w:rPr>
          <w:fldChar w:fldCharType="separate"/>
        </w:r>
        <w:r>
          <w:rPr>
            <w:webHidden/>
          </w:rPr>
          <w:t>111</w:t>
        </w:r>
        <w:r>
          <w:rPr>
            <w:webHidden/>
          </w:rPr>
          <w:fldChar w:fldCharType="end"/>
        </w:r>
      </w:hyperlink>
    </w:p>
    <w:p w14:paraId="56441098" w14:textId="54BB9C7D" w:rsidR="00067371" w:rsidRDefault="00067371">
      <w:pPr>
        <w:pStyle w:val="TOC3"/>
        <w:rPr>
          <w:rFonts w:asciiTheme="minorHAnsi" w:eastAsiaTheme="minorEastAsia" w:hAnsiTheme="minorHAnsi" w:cstheme="minorBidi"/>
          <w:kern w:val="2"/>
          <w:sz w:val="24"/>
          <w:szCs w:val="24"/>
          <w14:ligatures w14:val="standardContextual"/>
        </w:rPr>
      </w:pPr>
      <w:hyperlink w:anchor="_Toc214283188" w:history="1">
        <w:r w:rsidRPr="008F4954">
          <w:rPr>
            <w:rStyle w:val="Hyperlink"/>
          </w:rPr>
          <w:t>5.6.7</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_Toc214283188 \h </w:instrText>
        </w:r>
        <w:r>
          <w:rPr>
            <w:webHidden/>
          </w:rPr>
        </w:r>
        <w:r>
          <w:rPr>
            <w:webHidden/>
          </w:rPr>
          <w:fldChar w:fldCharType="separate"/>
        </w:r>
        <w:r>
          <w:rPr>
            <w:webHidden/>
          </w:rPr>
          <w:t>111</w:t>
        </w:r>
        <w:r>
          <w:rPr>
            <w:webHidden/>
          </w:rPr>
          <w:fldChar w:fldCharType="end"/>
        </w:r>
      </w:hyperlink>
    </w:p>
    <w:p w14:paraId="0C3D8A89" w14:textId="146EB72F" w:rsidR="00067371" w:rsidRDefault="00067371">
      <w:pPr>
        <w:pStyle w:val="TOC3"/>
        <w:rPr>
          <w:rFonts w:asciiTheme="minorHAnsi" w:eastAsiaTheme="minorEastAsia" w:hAnsiTheme="minorHAnsi" w:cstheme="minorBidi"/>
          <w:kern w:val="2"/>
          <w:sz w:val="24"/>
          <w:szCs w:val="24"/>
          <w14:ligatures w14:val="standardContextual"/>
        </w:rPr>
      </w:pPr>
      <w:hyperlink w:anchor="_Toc214283189" w:history="1">
        <w:r w:rsidRPr="008F4954">
          <w:rPr>
            <w:rStyle w:val="Hyperlink"/>
          </w:rPr>
          <w:t>5.6.8</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_Toc214283189 \h </w:instrText>
        </w:r>
        <w:r>
          <w:rPr>
            <w:webHidden/>
          </w:rPr>
        </w:r>
        <w:r>
          <w:rPr>
            <w:webHidden/>
          </w:rPr>
          <w:fldChar w:fldCharType="separate"/>
        </w:r>
        <w:r>
          <w:rPr>
            <w:webHidden/>
          </w:rPr>
          <w:t>111</w:t>
        </w:r>
        <w:r>
          <w:rPr>
            <w:webHidden/>
          </w:rPr>
          <w:fldChar w:fldCharType="end"/>
        </w:r>
      </w:hyperlink>
    </w:p>
    <w:p w14:paraId="2FF87227" w14:textId="2F0F38F8" w:rsidR="00067371" w:rsidRDefault="00067371">
      <w:pPr>
        <w:pStyle w:val="TOC3"/>
        <w:rPr>
          <w:rFonts w:asciiTheme="minorHAnsi" w:eastAsiaTheme="minorEastAsia" w:hAnsiTheme="minorHAnsi" w:cstheme="minorBidi"/>
          <w:kern w:val="2"/>
          <w:sz w:val="24"/>
          <w:szCs w:val="24"/>
          <w14:ligatures w14:val="standardContextual"/>
        </w:rPr>
      </w:pPr>
      <w:hyperlink w:anchor="_Toc214283190" w:history="1">
        <w:r w:rsidRPr="008F4954">
          <w:rPr>
            <w:rStyle w:val="Hyperlink"/>
          </w:rPr>
          <w:t>5.6.9</w:t>
        </w:r>
        <w:r>
          <w:rPr>
            <w:rFonts w:asciiTheme="minorHAnsi" w:eastAsiaTheme="minorEastAsia" w:hAnsiTheme="minorHAnsi" w:cstheme="minorBidi"/>
            <w:kern w:val="2"/>
            <w:sz w:val="24"/>
            <w:szCs w:val="24"/>
            <w14:ligatures w14:val="standardContextual"/>
          </w:rPr>
          <w:tab/>
        </w:r>
        <w:r w:rsidRPr="008F4954">
          <w:rPr>
            <w:rStyle w:val="Hyperlink"/>
          </w:rPr>
          <w:t>Display References</w:t>
        </w:r>
        <w:r>
          <w:rPr>
            <w:webHidden/>
          </w:rPr>
          <w:tab/>
        </w:r>
        <w:r>
          <w:rPr>
            <w:webHidden/>
          </w:rPr>
          <w:fldChar w:fldCharType="begin"/>
        </w:r>
        <w:r>
          <w:rPr>
            <w:webHidden/>
          </w:rPr>
          <w:instrText xml:space="preserve"> PAGEREF _Toc214283190 \h </w:instrText>
        </w:r>
        <w:r>
          <w:rPr>
            <w:webHidden/>
          </w:rPr>
        </w:r>
        <w:r>
          <w:rPr>
            <w:webHidden/>
          </w:rPr>
          <w:fldChar w:fldCharType="separate"/>
        </w:r>
        <w:r>
          <w:rPr>
            <w:webHidden/>
          </w:rPr>
          <w:t>111</w:t>
        </w:r>
        <w:r>
          <w:rPr>
            <w:webHidden/>
          </w:rPr>
          <w:fldChar w:fldCharType="end"/>
        </w:r>
      </w:hyperlink>
    </w:p>
    <w:p w14:paraId="69400779" w14:textId="5B55E854" w:rsidR="00067371" w:rsidRDefault="00067371">
      <w:pPr>
        <w:pStyle w:val="TOC3"/>
        <w:rPr>
          <w:rFonts w:asciiTheme="minorHAnsi" w:eastAsiaTheme="minorEastAsia" w:hAnsiTheme="minorHAnsi" w:cstheme="minorBidi"/>
          <w:kern w:val="2"/>
          <w:sz w:val="24"/>
          <w:szCs w:val="24"/>
          <w14:ligatures w14:val="standardContextual"/>
        </w:rPr>
      </w:pPr>
      <w:hyperlink w:anchor="_Toc214283191" w:history="1">
        <w:r w:rsidRPr="008F4954">
          <w:rPr>
            <w:rStyle w:val="Hyperlink"/>
          </w:rPr>
          <w:t>5.6.10</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_Toc214283191 \h </w:instrText>
        </w:r>
        <w:r>
          <w:rPr>
            <w:webHidden/>
          </w:rPr>
        </w:r>
        <w:r>
          <w:rPr>
            <w:webHidden/>
          </w:rPr>
          <w:fldChar w:fldCharType="separate"/>
        </w:r>
        <w:r>
          <w:rPr>
            <w:webHidden/>
          </w:rPr>
          <w:t>111</w:t>
        </w:r>
        <w:r>
          <w:rPr>
            <w:webHidden/>
          </w:rPr>
          <w:fldChar w:fldCharType="end"/>
        </w:r>
      </w:hyperlink>
    </w:p>
    <w:p w14:paraId="586BADD5" w14:textId="77CCA909" w:rsidR="00067371" w:rsidRDefault="00067371">
      <w:pPr>
        <w:pStyle w:val="TOC3"/>
        <w:rPr>
          <w:rFonts w:asciiTheme="minorHAnsi" w:eastAsiaTheme="minorEastAsia" w:hAnsiTheme="minorHAnsi" w:cstheme="minorBidi"/>
          <w:kern w:val="2"/>
          <w:sz w:val="24"/>
          <w:szCs w:val="24"/>
          <w14:ligatures w14:val="standardContextual"/>
        </w:rPr>
      </w:pPr>
      <w:hyperlink w:anchor="_Toc214283192" w:history="1">
        <w:r w:rsidRPr="008F4954">
          <w:rPr>
            <w:rStyle w:val="Hyperlink"/>
          </w:rPr>
          <w:t>5.6.11</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_Toc214283192 \h </w:instrText>
        </w:r>
        <w:r>
          <w:rPr>
            <w:webHidden/>
          </w:rPr>
        </w:r>
        <w:r>
          <w:rPr>
            <w:webHidden/>
          </w:rPr>
          <w:fldChar w:fldCharType="separate"/>
        </w:r>
        <w:r>
          <w:rPr>
            <w:webHidden/>
          </w:rPr>
          <w:t>111</w:t>
        </w:r>
        <w:r>
          <w:rPr>
            <w:webHidden/>
          </w:rPr>
          <w:fldChar w:fldCharType="end"/>
        </w:r>
      </w:hyperlink>
    </w:p>
    <w:p w14:paraId="35F8AE67" w14:textId="4C35656A"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193" w:history="1">
        <w:r w:rsidRPr="008F4954">
          <w:rPr>
            <w:rStyle w:val="Hyperlink"/>
          </w:rPr>
          <w:t>5.7</w:t>
        </w:r>
        <w:r>
          <w:rPr>
            <w:rFonts w:asciiTheme="minorHAnsi" w:eastAsiaTheme="minorEastAsia" w:hAnsiTheme="minorHAnsi" w:cstheme="minorBidi"/>
            <w:smallCaps w:val="0"/>
            <w:kern w:val="2"/>
            <w:szCs w:val="24"/>
            <w14:ligatures w14:val="standardContextual"/>
          </w:rPr>
          <w:tab/>
        </w:r>
        <w:r w:rsidRPr="008F4954">
          <w:rPr>
            <w:rStyle w:val="Hyperlink"/>
          </w:rPr>
          <w:t>TERCOMS TOOL</w:t>
        </w:r>
        <w:r>
          <w:rPr>
            <w:webHidden/>
          </w:rPr>
          <w:tab/>
        </w:r>
        <w:r>
          <w:rPr>
            <w:webHidden/>
          </w:rPr>
          <w:fldChar w:fldCharType="begin"/>
        </w:r>
        <w:r>
          <w:rPr>
            <w:webHidden/>
          </w:rPr>
          <w:instrText xml:space="preserve"> PAGEREF _Toc214283193 \h </w:instrText>
        </w:r>
        <w:r>
          <w:rPr>
            <w:webHidden/>
          </w:rPr>
        </w:r>
        <w:r>
          <w:rPr>
            <w:webHidden/>
          </w:rPr>
          <w:fldChar w:fldCharType="separate"/>
        </w:r>
        <w:r>
          <w:rPr>
            <w:webHidden/>
          </w:rPr>
          <w:t>112</w:t>
        </w:r>
        <w:r>
          <w:rPr>
            <w:webHidden/>
          </w:rPr>
          <w:fldChar w:fldCharType="end"/>
        </w:r>
      </w:hyperlink>
    </w:p>
    <w:p w14:paraId="20478015" w14:textId="57B00CC8" w:rsidR="00067371" w:rsidRDefault="00067371">
      <w:pPr>
        <w:pStyle w:val="TOC3"/>
        <w:rPr>
          <w:rFonts w:asciiTheme="minorHAnsi" w:eastAsiaTheme="minorEastAsia" w:hAnsiTheme="minorHAnsi" w:cstheme="minorBidi"/>
          <w:kern w:val="2"/>
          <w:sz w:val="24"/>
          <w:szCs w:val="24"/>
          <w14:ligatures w14:val="standardContextual"/>
        </w:rPr>
      </w:pPr>
      <w:hyperlink w:anchor="_Toc214283194" w:history="1">
        <w:r w:rsidRPr="008F4954">
          <w:rPr>
            <w:rStyle w:val="Hyperlink"/>
          </w:rPr>
          <w:t>5.7.1</w:t>
        </w:r>
        <w:r>
          <w:rPr>
            <w:rFonts w:asciiTheme="minorHAnsi" w:eastAsiaTheme="minorEastAsia" w:hAnsiTheme="minorHAnsi" w:cstheme="minorBidi"/>
            <w:kern w:val="2"/>
            <w:sz w:val="24"/>
            <w:szCs w:val="24"/>
            <w14:ligatures w14:val="standardContextual"/>
          </w:rPr>
          <w:tab/>
        </w:r>
        <w:r w:rsidRPr="008F4954">
          <w:rPr>
            <w:rStyle w:val="Hyperlink"/>
          </w:rPr>
          <w:t>Display TERCOM(s) Geographically</w:t>
        </w:r>
        <w:r>
          <w:rPr>
            <w:webHidden/>
          </w:rPr>
          <w:tab/>
        </w:r>
        <w:r>
          <w:rPr>
            <w:webHidden/>
          </w:rPr>
          <w:fldChar w:fldCharType="begin"/>
        </w:r>
        <w:r>
          <w:rPr>
            <w:webHidden/>
          </w:rPr>
          <w:instrText xml:space="preserve"> PAGEREF _Toc214283194 \h </w:instrText>
        </w:r>
        <w:r>
          <w:rPr>
            <w:webHidden/>
          </w:rPr>
        </w:r>
        <w:r>
          <w:rPr>
            <w:webHidden/>
          </w:rPr>
          <w:fldChar w:fldCharType="separate"/>
        </w:r>
        <w:r>
          <w:rPr>
            <w:webHidden/>
          </w:rPr>
          <w:t>112</w:t>
        </w:r>
        <w:r>
          <w:rPr>
            <w:webHidden/>
          </w:rPr>
          <w:fldChar w:fldCharType="end"/>
        </w:r>
      </w:hyperlink>
    </w:p>
    <w:p w14:paraId="72097739" w14:textId="1D95F14A" w:rsidR="00067371" w:rsidRDefault="00067371">
      <w:pPr>
        <w:pStyle w:val="TOC3"/>
        <w:rPr>
          <w:rFonts w:asciiTheme="minorHAnsi" w:eastAsiaTheme="minorEastAsia" w:hAnsiTheme="minorHAnsi" w:cstheme="minorBidi"/>
          <w:kern w:val="2"/>
          <w:sz w:val="24"/>
          <w:szCs w:val="24"/>
          <w14:ligatures w14:val="standardContextual"/>
        </w:rPr>
      </w:pPr>
      <w:hyperlink w:anchor="_Toc214283195" w:history="1">
        <w:r w:rsidRPr="008F4954">
          <w:rPr>
            <w:rStyle w:val="Hyperlink"/>
          </w:rPr>
          <w:t>5.7.2</w:t>
        </w:r>
        <w:r>
          <w:rPr>
            <w:rFonts w:asciiTheme="minorHAnsi" w:eastAsiaTheme="minorEastAsia" w:hAnsiTheme="minorHAnsi" w:cstheme="minorBidi"/>
            <w:kern w:val="2"/>
            <w:sz w:val="24"/>
            <w:szCs w:val="24"/>
            <w14:ligatures w14:val="standardContextual"/>
          </w:rPr>
          <w:tab/>
        </w:r>
        <w:r w:rsidRPr="008F4954">
          <w:rPr>
            <w:rStyle w:val="Hyperlink"/>
          </w:rPr>
          <w:t>Delete TERCOM(s)</w:t>
        </w:r>
        <w:r>
          <w:rPr>
            <w:webHidden/>
          </w:rPr>
          <w:tab/>
        </w:r>
        <w:r>
          <w:rPr>
            <w:webHidden/>
          </w:rPr>
          <w:fldChar w:fldCharType="begin"/>
        </w:r>
        <w:r>
          <w:rPr>
            <w:webHidden/>
          </w:rPr>
          <w:instrText xml:space="preserve"> PAGEREF _Toc214283195 \h </w:instrText>
        </w:r>
        <w:r>
          <w:rPr>
            <w:webHidden/>
          </w:rPr>
        </w:r>
        <w:r>
          <w:rPr>
            <w:webHidden/>
          </w:rPr>
          <w:fldChar w:fldCharType="separate"/>
        </w:r>
        <w:r>
          <w:rPr>
            <w:webHidden/>
          </w:rPr>
          <w:t>113</w:t>
        </w:r>
        <w:r>
          <w:rPr>
            <w:webHidden/>
          </w:rPr>
          <w:fldChar w:fldCharType="end"/>
        </w:r>
      </w:hyperlink>
    </w:p>
    <w:p w14:paraId="702FBE7D" w14:textId="3B0B4BEF" w:rsidR="00067371" w:rsidRDefault="00067371">
      <w:pPr>
        <w:pStyle w:val="TOC3"/>
        <w:rPr>
          <w:rFonts w:asciiTheme="minorHAnsi" w:eastAsiaTheme="minorEastAsia" w:hAnsiTheme="minorHAnsi" w:cstheme="minorBidi"/>
          <w:kern w:val="2"/>
          <w:sz w:val="24"/>
          <w:szCs w:val="24"/>
          <w14:ligatures w14:val="standardContextual"/>
        </w:rPr>
      </w:pPr>
      <w:hyperlink w:anchor="_Toc214283196" w:history="1">
        <w:r w:rsidRPr="008F4954">
          <w:rPr>
            <w:rStyle w:val="Hyperlink"/>
          </w:rPr>
          <w:t>5.7.3</w:t>
        </w:r>
        <w:r>
          <w:rPr>
            <w:rFonts w:asciiTheme="minorHAnsi" w:eastAsiaTheme="minorEastAsia" w:hAnsiTheme="minorHAnsi" w:cstheme="minorBidi"/>
            <w:kern w:val="2"/>
            <w:sz w:val="24"/>
            <w:szCs w:val="24"/>
            <w14:ligatures w14:val="standardContextual"/>
          </w:rPr>
          <w:tab/>
        </w:r>
        <w:r w:rsidRPr="008F4954">
          <w:rPr>
            <w:rStyle w:val="Hyperlink"/>
          </w:rPr>
          <w:t>Send TERCOM(s)</w:t>
        </w:r>
        <w:r>
          <w:rPr>
            <w:webHidden/>
          </w:rPr>
          <w:tab/>
        </w:r>
        <w:r>
          <w:rPr>
            <w:webHidden/>
          </w:rPr>
          <w:fldChar w:fldCharType="begin"/>
        </w:r>
        <w:r>
          <w:rPr>
            <w:webHidden/>
          </w:rPr>
          <w:instrText xml:space="preserve"> PAGEREF _Toc214283196 \h </w:instrText>
        </w:r>
        <w:r>
          <w:rPr>
            <w:webHidden/>
          </w:rPr>
        </w:r>
        <w:r>
          <w:rPr>
            <w:webHidden/>
          </w:rPr>
          <w:fldChar w:fldCharType="separate"/>
        </w:r>
        <w:r>
          <w:rPr>
            <w:webHidden/>
          </w:rPr>
          <w:t>113</w:t>
        </w:r>
        <w:r>
          <w:rPr>
            <w:webHidden/>
          </w:rPr>
          <w:fldChar w:fldCharType="end"/>
        </w:r>
      </w:hyperlink>
    </w:p>
    <w:p w14:paraId="72ABBA1E" w14:textId="5C1EF27F" w:rsidR="00067371" w:rsidRDefault="00067371">
      <w:pPr>
        <w:pStyle w:val="TOC3"/>
        <w:rPr>
          <w:rFonts w:asciiTheme="minorHAnsi" w:eastAsiaTheme="minorEastAsia" w:hAnsiTheme="minorHAnsi" w:cstheme="minorBidi"/>
          <w:kern w:val="2"/>
          <w:sz w:val="24"/>
          <w:szCs w:val="24"/>
          <w14:ligatures w14:val="standardContextual"/>
        </w:rPr>
      </w:pPr>
      <w:hyperlink w:anchor="_Toc214283197" w:history="1">
        <w:r w:rsidRPr="008F4954">
          <w:rPr>
            <w:rStyle w:val="Hyperlink"/>
          </w:rPr>
          <w:t>5.7.4</w:t>
        </w:r>
        <w:r>
          <w:rPr>
            <w:rFonts w:asciiTheme="minorHAnsi" w:eastAsiaTheme="minorEastAsia" w:hAnsiTheme="minorHAnsi" w:cstheme="minorBidi"/>
            <w:kern w:val="2"/>
            <w:sz w:val="24"/>
            <w:szCs w:val="24"/>
            <w14:ligatures w14:val="standardContextual"/>
          </w:rPr>
          <w:tab/>
        </w:r>
        <w:r w:rsidRPr="008F4954">
          <w:rPr>
            <w:rStyle w:val="Hyperlink"/>
          </w:rPr>
          <w:t>Display References</w:t>
        </w:r>
        <w:r>
          <w:rPr>
            <w:webHidden/>
          </w:rPr>
          <w:tab/>
        </w:r>
        <w:r>
          <w:rPr>
            <w:webHidden/>
          </w:rPr>
          <w:fldChar w:fldCharType="begin"/>
        </w:r>
        <w:r>
          <w:rPr>
            <w:webHidden/>
          </w:rPr>
          <w:instrText xml:space="preserve"> PAGEREF _Toc214283197 \h </w:instrText>
        </w:r>
        <w:r>
          <w:rPr>
            <w:webHidden/>
          </w:rPr>
        </w:r>
        <w:r>
          <w:rPr>
            <w:webHidden/>
          </w:rPr>
          <w:fldChar w:fldCharType="separate"/>
        </w:r>
        <w:r>
          <w:rPr>
            <w:webHidden/>
          </w:rPr>
          <w:t>113</w:t>
        </w:r>
        <w:r>
          <w:rPr>
            <w:webHidden/>
          </w:rPr>
          <w:fldChar w:fldCharType="end"/>
        </w:r>
      </w:hyperlink>
    </w:p>
    <w:p w14:paraId="411002B7" w14:textId="703398AC" w:rsidR="00067371" w:rsidRDefault="00067371">
      <w:pPr>
        <w:pStyle w:val="TOC3"/>
        <w:rPr>
          <w:rFonts w:asciiTheme="minorHAnsi" w:eastAsiaTheme="minorEastAsia" w:hAnsiTheme="minorHAnsi" w:cstheme="minorBidi"/>
          <w:kern w:val="2"/>
          <w:sz w:val="24"/>
          <w:szCs w:val="24"/>
          <w14:ligatures w14:val="standardContextual"/>
        </w:rPr>
      </w:pPr>
      <w:hyperlink w:anchor="_Toc214283198" w:history="1">
        <w:r w:rsidRPr="008F4954">
          <w:rPr>
            <w:rStyle w:val="Hyperlink"/>
          </w:rPr>
          <w:t>5.7.5</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_Toc214283198 \h </w:instrText>
        </w:r>
        <w:r>
          <w:rPr>
            <w:webHidden/>
          </w:rPr>
        </w:r>
        <w:r>
          <w:rPr>
            <w:webHidden/>
          </w:rPr>
          <w:fldChar w:fldCharType="separate"/>
        </w:r>
        <w:r>
          <w:rPr>
            <w:webHidden/>
          </w:rPr>
          <w:t>113</w:t>
        </w:r>
        <w:r>
          <w:rPr>
            <w:webHidden/>
          </w:rPr>
          <w:fldChar w:fldCharType="end"/>
        </w:r>
      </w:hyperlink>
    </w:p>
    <w:p w14:paraId="1E44FD06" w14:textId="51F0F0F5" w:rsidR="00067371" w:rsidRDefault="00067371">
      <w:pPr>
        <w:pStyle w:val="TOC3"/>
        <w:rPr>
          <w:rFonts w:asciiTheme="minorHAnsi" w:eastAsiaTheme="minorEastAsia" w:hAnsiTheme="minorHAnsi" w:cstheme="minorBidi"/>
          <w:kern w:val="2"/>
          <w:sz w:val="24"/>
          <w:szCs w:val="24"/>
          <w14:ligatures w14:val="standardContextual"/>
        </w:rPr>
      </w:pPr>
      <w:hyperlink w:anchor="_Toc214283199" w:history="1">
        <w:r w:rsidRPr="008F4954">
          <w:rPr>
            <w:rStyle w:val="Hyperlink"/>
          </w:rPr>
          <w:t>5.7.6</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_Toc214283199 \h </w:instrText>
        </w:r>
        <w:r>
          <w:rPr>
            <w:webHidden/>
          </w:rPr>
        </w:r>
        <w:r>
          <w:rPr>
            <w:webHidden/>
          </w:rPr>
          <w:fldChar w:fldCharType="separate"/>
        </w:r>
        <w:r>
          <w:rPr>
            <w:webHidden/>
          </w:rPr>
          <w:t>113</w:t>
        </w:r>
        <w:r>
          <w:rPr>
            <w:webHidden/>
          </w:rPr>
          <w:fldChar w:fldCharType="end"/>
        </w:r>
      </w:hyperlink>
    </w:p>
    <w:p w14:paraId="57ABA126" w14:textId="22466979" w:rsidR="00067371" w:rsidRDefault="00067371">
      <w:pPr>
        <w:pStyle w:val="TOC3"/>
        <w:rPr>
          <w:rFonts w:asciiTheme="minorHAnsi" w:eastAsiaTheme="minorEastAsia" w:hAnsiTheme="minorHAnsi" w:cstheme="minorBidi"/>
          <w:kern w:val="2"/>
          <w:sz w:val="24"/>
          <w:szCs w:val="24"/>
          <w14:ligatures w14:val="standardContextual"/>
        </w:rPr>
      </w:pPr>
      <w:hyperlink w:anchor="_Toc214283200" w:history="1">
        <w:r w:rsidRPr="008F4954">
          <w:rPr>
            <w:rStyle w:val="Hyperlink"/>
          </w:rPr>
          <w:t>5.7.7</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_Toc214283200 \h </w:instrText>
        </w:r>
        <w:r>
          <w:rPr>
            <w:webHidden/>
          </w:rPr>
        </w:r>
        <w:r>
          <w:rPr>
            <w:webHidden/>
          </w:rPr>
          <w:fldChar w:fldCharType="separate"/>
        </w:r>
        <w:r>
          <w:rPr>
            <w:webHidden/>
          </w:rPr>
          <w:t>113</w:t>
        </w:r>
        <w:r>
          <w:rPr>
            <w:webHidden/>
          </w:rPr>
          <w:fldChar w:fldCharType="end"/>
        </w:r>
      </w:hyperlink>
    </w:p>
    <w:p w14:paraId="6E522411" w14:textId="49BB6C72" w:rsidR="00067371" w:rsidRDefault="00067371">
      <w:pPr>
        <w:pStyle w:val="TOC3"/>
        <w:rPr>
          <w:rFonts w:asciiTheme="minorHAnsi" w:eastAsiaTheme="minorEastAsia" w:hAnsiTheme="minorHAnsi" w:cstheme="minorBidi"/>
          <w:kern w:val="2"/>
          <w:sz w:val="24"/>
          <w:szCs w:val="24"/>
          <w14:ligatures w14:val="standardContextual"/>
        </w:rPr>
      </w:pPr>
      <w:hyperlink w:anchor="_Toc214283201" w:history="1">
        <w:r w:rsidRPr="008F4954">
          <w:rPr>
            <w:rStyle w:val="Hyperlink"/>
          </w:rPr>
          <w:t>5.7.8</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_Toc214283201 \h </w:instrText>
        </w:r>
        <w:r>
          <w:rPr>
            <w:webHidden/>
          </w:rPr>
        </w:r>
        <w:r>
          <w:rPr>
            <w:webHidden/>
          </w:rPr>
          <w:fldChar w:fldCharType="separate"/>
        </w:r>
        <w:r>
          <w:rPr>
            <w:webHidden/>
          </w:rPr>
          <w:t>113</w:t>
        </w:r>
        <w:r>
          <w:rPr>
            <w:webHidden/>
          </w:rPr>
          <w:fldChar w:fldCharType="end"/>
        </w:r>
      </w:hyperlink>
    </w:p>
    <w:p w14:paraId="603E8447" w14:textId="3E655901" w:rsidR="00067371" w:rsidRDefault="00067371">
      <w:pPr>
        <w:pStyle w:val="TOC3"/>
        <w:rPr>
          <w:rFonts w:asciiTheme="minorHAnsi" w:eastAsiaTheme="minorEastAsia" w:hAnsiTheme="minorHAnsi" w:cstheme="minorBidi"/>
          <w:kern w:val="2"/>
          <w:sz w:val="24"/>
          <w:szCs w:val="24"/>
          <w14:ligatures w14:val="standardContextual"/>
        </w:rPr>
      </w:pPr>
      <w:hyperlink w:anchor="_Toc214283202" w:history="1">
        <w:r w:rsidRPr="008F4954">
          <w:rPr>
            <w:rStyle w:val="Hyperlink"/>
          </w:rPr>
          <w:t>5.7.9</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_Toc214283202 \h </w:instrText>
        </w:r>
        <w:r>
          <w:rPr>
            <w:webHidden/>
          </w:rPr>
        </w:r>
        <w:r>
          <w:rPr>
            <w:webHidden/>
          </w:rPr>
          <w:fldChar w:fldCharType="separate"/>
        </w:r>
        <w:r>
          <w:rPr>
            <w:webHidden/>
          </w:rPr>
          <w:t>113</w:t>
        </w:r>
        <w:r>
          <w:rPr>
            <w:webHidden/>
          </w:rPr>
          <w:fldChar w:fldCharType="end"/>
        </w:r>
      </w:hyperlink>
    </w:p>
    <w:p w14:paraId="59658B68" w14:textId="117A9B92" w:rsidR="00067371" w:rsidRDefault="00067371">
      <w:pPr>
        <w:pStyle w:val="TOC3"/>
        <w:rPr>
          <w:rFonts w:asciiTheme="minorHAnsi" w:eastAsiaTheme="minorEastAsia" w:hAnsiTheme="minorHAnsi" w:cstheme="minorBidi"/>
          <w:kern w:val="2"/>
          <w:sz w:val="24"/>
          <w:szCs w:val="24"/>
          <w14:ligatures w14:val="standardContextual"/>
        </w:rPr>
      </w:pPr>
      <w:hyperlink w:anchor="_Toc214283203" w:history="1">
        <w:r w:rsidRPr="008F4954">
          <w:rPr>
            <w:rStyle w:val="Hyperlink"/>
          </w:rPr>
          <w:t>5.7.10</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_Toc214283203 \h </w:instrText>
        </w:r>
        <w:r>
          <w:rPr>
            <w:webHidden/>
          </w:rPr>
        </w:r>
        <w:r>
          <w:rPr>
            <w:webHidden/>
          </w:rPr>
          <w:fldChar w:fldCharType="separate"/>
        </w:r>
        <w:r>
          <w:rPr>
            <w:webHidden/>
          </w:rPr>
          <w:t>113</w:t>
        </w:r>
        <w:r>
          <w:rPr>
            <w:webHidden/>
          </w:rPr>
          <w:fldChar w:fldCharType="end"/>
        </w:r>
      </w:hyperlink>
    </w:p>
    <w:p w14:paraId="27A1F90A" w14:textId="7AD6D692" w:rsidR="00067371" w:rsidRDefault="00067371">
      <w:pPr>
        <w:pStyle w:val="TOC3"/>
        <w:rPr>
          <w:rFonts w:asciiTheme="minorHAnsi" w:eastAsiaTheme="minorEastAsia" w:hAnsiTheme="minorHAnsi" w:cstheme="minorBidi"/>
          <w:kern w:val="2"/>
          <w:sz w:val="24"/>
          <w:szCs w:val="24"/>
          <w14:ligatures w14:val="standardContextual"/>
        </w:rPr>
      </w:pPr>
      <w:hyperlink w:anchor="_Toc214283204" w:history="1">
        <w:r w:rsidRPr="008F4954">
          <w:rPr>
            <w:rStyle w:val="Hyperlink"/>
          </w:rPr>
          <w:t>5.7.11</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_Toc214283204 \h </w:instrText>
        </w:r>
        <w:r>
          <w:rPr>
            <w:webHidden/>
          </w:rPr>
        </w:r>
        <w:r>
          <w:rPr>
            <w:webHidden/>
          </w:rPr>
          <w:fldChar w:fldCharType="separate"/>
        </w:r>
        <w:r>
          <w:rPr>
            <w:webHidden/>
          </w:rPr>
          <w:t>113</w:t>
        </w:r>
        <w:r>
          <w:rPr>
            <w:webHidden/>
          </w:rPr>
          <w:fldChar w:fldCharType="end"/>
        </w:r>
      </w:hyperlink>
    </w:p>
    <w:p w14:paraId="0BDBA976" w14:textId="5C6C63ED"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205" w:history="1">
        <w:r w:rsidRPr="008F4954">
          <w:rPr>
            <w:rStyle w:val="Hyperlink"/>
          </w:rPr>
          <w:t>5.8</w:t>
        </w:r>
        <w:r>
          <w:rPr>
            <w:rFonts w:asciiTheme="minorHAnsi" w:eastAsiaTheme="minorEastAsia" w:hAnsiTheme="minorHAnsi" w:cstheme="minorBidi"/>
            <w:smallCaps w:val="0"/>
            <w:kern w:val="2"/>
            <w:szCs w:val="24"/>
            <w14:ligatures w14:val="standardContextual"/>
          </w:rPr>
          <w:tab/>
        </w:r>
        <w:r w:rsidRPr="008F4954">
          <w:rPr>
            <w:rStyle w:val="Hyperlink"/>
          </w:rPr>
          <w:t>TUMS TOOL</w:t>
        </w:r>
        <w:r>
          <w:rPr>
            <w:webHidden/>
          </w:rPr>
          <w:tab/>
        </w:r>
        <w:r>
          <w:rPr>
            <w:webHidden/>
          </w:rPr>
          <w:fldChar w:fldCharType="begin"/>
        </w:r>
        <w:r>
          <w:rPr>
            <w:webHidden/>
          </w:rPr>
          <w:instrText xml:space="preserve"> PAGEREF _Toc214283205 \h </w:instrText>
        </w:r>
        <w:r>
          <w:rPr>
            <w:webHidden/>
          </w:rPr>
        </w:r>
        <w:r>
          <w:rPr>
            <w:webHidden/>
          </w:rPr>
          <w:fldChar w:fldCharType="separate"/>
        </w:r>
        <w:r>
          <w:rPr>
            <w:webHidden/>
          </w:rPr>
          <w:t>114</w:t>
        </w:r>
        <w:r>
          <w:rPr>
            <w:webHidden/>
          </w:rPr>
          <w:fldChar w:fldCharType="end"/>
        </w:r>
      </w:hyperlink>
    </w:p>
    <w:p w14:paraId="0500C985" w14:textId="1CF7EA68" w:rsidR="00067371" w:rsidRDefault="00067371">
      <w:pPr>
        <w:pStyle w:val="TOC3"/>
        <w:rPr>
          <w:rFonts w:asciiTheme="minorHAnsi" w:eastAsiaTheme="minorEastAsia" w:hAnsiTheme="minorHAnsi" w:cstheme="minorBidi"/>
          <w:kern w:val="2"/>
          <w:sz w:val="24"/>
          <w:szCs w:val="24"/>
          <w14:ligatures w14:val="standardContextual"/>
        </w:rPr>
      </w:pPr>
      <w:hyperlink w:anchor="_Toc214283206" w:history="1">
        <w:r w:rsidRPr="008F4954">
          <w:rPr>
            <w:rStyle w:val="Hyperlink"/>
          </w:rPr>
          <w:t>5.8.1</w:t>
        </w:r>
        <w:r>
          <w:rPr>
            <w:rFonts w:asciiTheme="minorHAnsi" w:eastAsiaTheme="minorEastAsia" w:hAnsiTheme="minorHAnsi" w:cstheme="minorBidi"/>
            <w:kern w:val="2"/>
            <w:sz w:val="24"/>
            <w:szCs w:val="24"/>
            <w14:ligatures w14:val="standardContextual"/>
          </w:rPr>
          <w:tab/>
        </w:r>
        <w:r w:rsidRPr="008F4954">
          <w:rPr>
            <w:rStyle w:val="Hyperlink"/>
          </w:rPr>
          <w:t>Create a New TUM</w:t>
        </w:r>
        <w:r>
          <w:rPr>
            <w:webHidden/>
          </w:rPr>
          <w:tab/>
        </w:r>
        <w:r>
          <w:rPr>
            <w:webHidden/>
          </w:rPr>
          <w:fldChar w:fldCharType="begin"/>
        </w:r>
        <w:r>
          <w:rPr>
            <w:webHidden/>
          </w:rPr>
          <w:instrText xml:space="preserve"> PAGEREF _Toc214283206 \h </w:instrText>
        </w:r>
        <w:r>
          <w:rPr>
            <w:webHidden/>
          </w:rPr>
        </w:r>
        <w:r>
          <w:rPr>
            <w:webHidden/>
          </w:rPr>
          <w:fldChar w:fldCharType="separate"/>
        </w:r>
        <w:r>
          <w:rPr>
            <w:webHidden/>
          </w:rPr>
          <w:t>114</w:t>
        </w:r>
        <w:r>
          <w:rPr>
            <w:webHidden/>
          </w:rPr>
          <w:fldChar w:fldCharType="end"/>
        </w:r>
      </w:hyperlink>
    </w:p>
    <w:p w14:paraId="0A3FA8E5" w14:textId="034E5825" w:rsidR="00067371" w:rsidRDefault="00067371">
      <w:pPr>
        <w:pStyle w:val="TOC3"/>
        <w:rPr>
          <w:rFonts w:asciiTheme="minorHAnsi" w:eastAsiaTheme="minorEastAsia" w:hAnsiTheme="minorHAnsi" w:cstheme="minorBidi"/>
          <w:kern w:val="2"/>
          <w:sz w:val="24"/>
          <w:szCs w:val="24"/>
          <w14:ligatures w14:val="standardContextual"/>
        </w:rPr>
      </w:pPr>
      <w:hyperlink w:anchor="_Toc214283207" w:history="1">
        <w:r w:rsidRPr="008F4954">
          <w:rPr>
            <w:rStyle w:val="Hyperlink"/>
          </w:rPr>
          <w:t>5.8.2</w:t>
        </w:r>
        <w:r>
          <w:rPr>
            <w:rFonts w:asciiTheme="minorHAnsi" w:eastAsiaTheme="minorEastAsia" w:hAnsiTheme="minorHAnsi" w:cstheme="minorBidi"/>
            <w:kern w:val="2"/>
            <w:sz w:val="24"/>
            <w:szCs w:val="24"/>
            <w14:ligatures w14:val="standardContextual"/>
          </w:rPr>
          <w:tab/>
        </w:r>
        <w:r w:rsidRPr="008F4954">
          <w:rPr>
            <w:rStyle w:val="Hyperlink"/>
          </w:rPr>
          <w:t>Display TUM(s) Textually</w:t>
        </w:r>
        <w:r>
          <w:rPr>
            <w:webHidden/>
          </w:rPr>
          <w:tab/>
        </w:r>
        <w:r>
          <w:rPr>
            <w:webHidden/>
          </w:rPr>
          <w:fldChar w:fldCharType="begin"/>
        </w:r>
        <w:r>
          <w:rPr>
            <w:webHidden/>
          </w:rPr>
          <w:instrText xml:space="preserve"> PAGEREF _Toc214283207 \h </w:instrText>
        </w:r>
        <w:r>
          <w:rPr>
            <w:webHidden/>
          </w:rPr>
        </w:r>
        <w:r>
          <w:rPr>
            <w:webHidden/>
          </w:rPr>
          <w:fldChar w:fldCharType="separate"/>
        </w:r>
        <w:r>
          <w:rPr>
            <w:webHidden/>
          </w:rPr>
          <w:t>117</w:t>
        </w:r>
        <w:r>
          <w:rPr>
            <w:webHidden/>
          </w:rPr>
          <w:fldChar w:fldCharType="end"/>
        </w:r>
      </w:hyperlink>
    </w:p>
    <w:p w14:paraId="473F07CC" w14:textId="3CDEAE4A" w:rsidR="00067371" w:rsidRDefault="00067371">
      <w:pPr>
        <w:pStyle w:val="TOC3"/>
        <w:rPr>
          <w:rFonts w:asciiTheme="minorHAnsi" w:eastAsiaTheme="minorEastAsia" w:hAnsiTheme="minorHAnsi" w:cstheme="minorBidi"/>
          <w:kern w:val="2"/>
          <w:sz w:val="24"/>
          <w:szCs w:val="24"/>
          <w14:ligatures w14:val="standardContextual"/>
        </w:rPr>
      </w:pPr>
      <w:hyperlink w:anchor="_Toc214283208" w:history="1">
        <w:r w:rsidRPr="008F4954">
          <w:rPr>
            <w:rStyle w:val="Hyperlink"/>
          </w:rPr>
          <w:t>5.8.3</w:t>
        </w:r>
        <w:r>
          <w:rPr>
            <w:rFonts w:asciiTheme="minorHAnsi" w:eastAsiaTheme="minorEastAsia" w:hAnsiTheme="minorHAnsi" w:cstheme="minorBidi"/>
            <w:kern w:val="2"/>
            <w:sz w:val="24"/>
            <w:szCs w:val="24"/>
            <w14:ligatures w14:val="standardContextual"/>
          </w:rPr>
          <w:tab/>
        </w:r>
        <w:r w:rsidRPr="008F4954">
          <w:rPr>
            <w:rStyle w:val="Hyperlink"/>
          </w:rPr>
          <w:t>Edit the TUM Data (Textual Display)</w:t>
        </w:r>
        <w:r>
          <w:rPr>
            <w:webHidden/>
          </w:rPr>
          <w:tab/>
        </w:r>
        <w:r>
          <w:rPr>
            <w:webHidden/>
          </w:rPr>
          <w:fldChar w:fldCharType="begin"/>
        </w:r>
        <w:r>
          <w:rPr>
            <w:webHidden/>
          </w:rPr>
          <w:instrText xml:space="preserve"> PAGEREF _Toc214283208 \h </w:instrText>
        </w:r>
        <w:r>
          <w:rPr>
            <w:webHidden/>
          </w:rPr>
        </w:r>
        <w:r>
          <w:rPr>
            <w:webHidden/>
          </w:rPr>
          <w:fldChar w:fldCharType="separate"/>
        </w:r>
        <w:r>
          <w:rPr>
            <w:webHidden/>
          </w:rPr>
          <w:t>117</w:t>
        </w:r>
        <w:r>
          <w:rPr>
            <w:webHidden/>
          </w:rPr>
          <w:fldChar w:fldCharType="end"/>
        </w:r>
      </w:hyperlink>
    </w:p>
    <w:p w14:paraId="581AF633" w14:textId="0182B302" w:rsidR="00067371" w:rsidRDefault="00067371">
      <w:pPr>
        <w:pStyle w:val="TOC3"/>
        <w:rPr>
          <w:rFonts w:asciiTheme="minorHAnsi" w:eastAsiaTheme="minorEastAsia" w:hAnsiTheme="minorHAnsi" w:cstheme="minorBidi"/>
          <w:kern w:val="2"/>
          <w:sz w:val="24"/>
          <w:szCs w:val="24"/>
          <w14:ligatures w14:val="standardContextual"/>
        </w:rPr>
      </w:pPr>
      <w:hyperlink w:anchor="_Toc214283209" w:history="1">
        <w:r w:rsidRPr="008F4954">
          <w:rPr>
            <w:rStyle w:val="Hyperlink"/>
          </w:rPr>
          <w:t>5.8.4</w:t>
        </w:r>
        <w:r>
          <w:rPr>
            <w:rFonts w:asciiTheme="minorHAnsi" w:eastAsiaTheme="minorEastAsia" w:hAnsiTheme="minorHAnsi" w:cstheme="minorBidi"/>
            <w:kern w:val="2"/>
            <w:sz w:val="24"/>
            <w:szCs w:val="24"/>
            <w14:ligatures w14:val="standardContextual"/>
          </w:rPr>
          <w:tab/>
        </w:r>
        <w:r w:rsidRPr="008F4954">
          <w:rPr>
            <w:rStyle w:val="Hyperlink"/>
          </w:rPr>
          <w:t>Write to Media</w:t>
        </w:r>
        <w:r>
          <w:rPr>
            <w:webHidden/>
          </w:rPr>
          <w:tab/>
        </w:r>
        <w:r>
          <w:rPr>
            <w:webHidden/>
          </w:rPr>
          <w:fldChar w:fldCharType="begin"/>
        </w:r>
        <w:r>
          <w:rPr>
            <w:webHidden/>
          </w:rPr>
          <w:instrText xml:space="preserve"> PAGEREF _Toc214283209 \h </w:instrText>
        </w:r>
        <w:r>
          <w:rPr>
            <w:webHidden/>
          </w:rPr>
        </w:r>
        <w:r>
          <w:rPr>
            <w:webHidden/>
          </w:rPr>
          <w:fldChar w:fldCharType="separate"/>
        </w:r>
        <w:r>
          <w:rPr>
            <w:webHidden/>
          </w:rPr>
          <w:t>118</w:t>
        </w:r>
        <w:r>
          <w:rPr>
            <w:webHidden/>
          </w:rPr>
          <w:fldChar w:fldCharType="end"/>
        </w:r>
      </w:hyperlink>
    </w:p>
    <w:p w14:paraId="1D63DB3F" w14:textId="15C73C42" w:rsidR="00067371" w:rsidRDefault="00067371">
      <w:pPr>
        <w:pStyle w:val="TOC3"/>
        <w:rPr>
          <w:rFonts w:asciiTheme="minorHAnsi" w:eastAsiaTheme="minorEastAsia" w:hAnsiTheme="minorHAnsi" w:cstheme="minorBidi"/>
          <w:kern w:val="2"/>
          <w:sz w:val="24"/>
          <w:szCs w:val="24"/>
          <w14:ligatures w14:val="standardContextual"/>
        </w:rPr>
      </w:pPr>
      <w:hyperlink w:anchor="_Toc214283210" w:history="1">
        <w:r w:rsidRPr="008F4954">
          <w:rPr>
            <w:rStyle w:val="Hyperlink"/>
          </w:rPr>
          <w:t>5.8.5</w:t>
        </w:r>
        <w:r>
          <w:rPr>
            <w:rFonts w:asciiTheme="minorHAnsi" w:eastAsiaTheme="minorEastAsia" w:hAnsiTheme="minorHAnsi" w:cstheme="minorBidi"/>
            <w:kern w:val="2"/>
            <w:sz w:val="24"/>
            <w:szCs w:val="24"/>
            <w14:ligatures w14:val="standardContextual"/>
          </w:rPr>
          <w:tab/>
        </w:r>
        <w:r w:rsidRPr="008F4954">
          <w:rPr>
            <w:rStyle w:val="Hyperlink"/>
          </w:rPr>
          <w:t>Receive TUM</w:t>
        </w:r>
        <w:r>
          <w:rPr>
            <w:webHidden/>
          </w:rPr>
          <w:tab/>
        </w:r>
        <w:r>
          <w:rPr>
            <w:webHidden/>
          </w:rPr>
          <w:fldChar w:fldCharType="begin"/>
        </w:r>
        <w:r>
          <w:rPr>
            <w:webHidden/>
          </w:rPr>
          <w:instrText xml:space="preserve"> PAGEREF _Toc214283210 \h </w:instrText>
        </w:r>
        <w:r>
          <w:rPr>
            <w:webHidden/>
          </w:rPr>
        </w:r>
        <w:r>
          <w:rPr>
            <w:webHidden/>
          </w:rPr>
          <w:fldChar w:fldCharType="separate"/>
        </w:r>
        <w:r>
          <w:rPr>
            <w:webHidden/>
          </w:rPr>
          <w:t>119</w:t>
        </w:r>
        <w:r>
          <w:rPr>
            <w:webHidden/>
          </w:rPr>
          <w:fldChar w:fldCharType="end"/>
        </w:r>
      </w:hyperlink>
    </w:p>
    <w:p w14:paraId="1ADEB5C3" w14:textId="44331B52" w:rsidR="00067371" w:rsidRDefault="00067371">
      <w:pPr>
        <w:pStyle w:val="TOC3"/>
        <w:rPr>
          <w:rFonts w:asciiTheme="minorHAnsi" w:eastAsiaTheme="minorEastAsia" w:hAnsiTheme="minorHAnsi" w:cstheme="minorBidi"/>
          <w:kern w:val="2"/>
          <w:sz w:val="24"/>
          <w:szCs w:val="24"/>
          <w14:ligatures w14:val="standardContextual"/>
        </w:rPr>
      </w:pPr>
      <w:hyperlink w:anchor="_Toc214283211" w:history="1">
        <w:r w:rsidRPr="008F4954">
          <w:rPr>
            <w:rStyle w:val="Hyperlink"/>
          </w:rPr>
          <w:t>5.8.6</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_Toc214283211 \h </w:instrText>
        </w:r>
        <w:r>
          <w:rPr>
            <w:webHidden/>
          </w:rPr>
        </w:r>
        <w:r>
          <w:rPr>
            <w:webHidden/>
          </w:rPr>
          <w:fldChar w:fldCharType="separate"/>
        </w:r>
        <w:r>
          <w:rPr>
            <w:webHidden/>
          </w:rPr>
          <w:t>119</w:t>
        </w:r>
        <w:r>
          <w:rPr>
            <w:webHidden/>
          </w:rPr>
          <w:fldChar w:fldCharType="end"/>
        </w:r>
      </w:hyperlink>
    </w:p>
    <w:p w14:paraId="6CEFC451" w14:textId="1C6F1648" w:rsidR="00067371" w:rsidRDefault="00067371">
      <w:pPr>
        <w:pStyle w:val="TOC3"/>
        <w:rPr>
          <w:rFonts w:asciiTheme="minorHAnsi" w:eastAsiaTheme="minorEastAsia" w:hAnsiTheme="minorHAnsi" w:cstheme="minorBidi"/>
          <w:kern w:val="2"/>
          <w:sz w:val="24"/>
          <w:szCs w:val="24"/>
          <w14:ligatures w14:val="standardContextual"/>
        </w:rPr>
      </w:pPr>
      <w:hyperlink w:anchor="_Toc214283212" w:history="1">
        <w:r w:rsidRPr="008F4954">
          <w:rPr>
            <w:rStyle w:val="Hyperlink"/>
          </w:rPr>
          <w:t>5.8.7</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_Toc214283212 \h </w:instrText>
        </w:r>
        <w:r>
          <w:rPr>
            <w:webHidden/>
          </w:rPr>
        </w:r>
        <w:r>
          <w:rPr>
            <w:webHidden/>
          </w:rPr>
          <w:fldChar w:fldCharType="separate"/>
        </w:r>
        <w:r>
          <w:rPr>
            <w:webHidden/>
          </w:rPr>
          <w:t>119</w:t>
        </w:r>
        <w:r>
          <w:rPr>
            <w:webHidden/>
          </w:rPr>
          <w:fldChar w:fldCharType="end"/>
        </w:r>
      </w:hyperlink>
    </w:p>
    <w:p w14:paraId="454B4665" w14:textId="2EF9CFCD" w:rsidR="00067371" w:rsidRDefault="00067371">
      <w:pPr>
        <w:pStyle w:val="TOC3"/>
        <w:rPr>
          <w:rFonts w:asciiTheme="minorHAnsi" w:eastAsiaTheme="minorEastAsia" w:hAnsiTheme="minorHAnsi" w:cstheme="minorBidi"/>
          <w:kern w:val="2"/>
          <w:sz w:val="24"/>
          <w:szCs w:val="24"/>
          <w14:ligatures w14:val="standardContextual"/>
        </w:rPr>
      </w:pPr>
      <w:hyperlink w:anchor="_Toc214283213" w:history="1">
        <w:r w:rsidRPr="008F4954">
          <w:rPr>
            <w:rStyle w:val="Hyperlink"/>
          </w:rPr>
          <w:t>5.8.8</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_Toc214283213 \h </w:instrText>
        </w:r>
        <w:r>
          <w:rPr>
            <w:webHidden/>
          </w:rPr>
        </w:r>
        <w:r>
          <w:rPr>
            <w:webHidden/>
          </w:rPr>
          <w:fldChar w:fldCharType="separate"/>
        </w:r>
        <w:r>
          <w:rPr>
            <w:webHidden/>
          </w:rPr>
          <w:t>119</w:t>
        </w:r>
        <w:r>
          <w:rPr>
            <w:webHidden/>
          </w:rPr>
          <w:fldChar w:fldCharType="end"/>
        </w:r>
      </w:hyperlink>
    </w:p>
    <w:p w14:paraId="73D86AFA" w14:textId="31CBE888" w:rsidR="00067371" w:rsidRDefault="00067371">
      <w:pPr>
        <w:pStyle w:val="TOC3"/>
        <w:rPr>
          <w:rFonts w:asciiTheme="minorHAnsi" w:eastAsiaTheme="minorEastAsia" w:hAnsiTheme="minorHAnsi" w:cstheme="minorBidi"/>
          <w:kern w:val="2"/>
          <w:sz w:val="24"/>
          <w:szCs w:val="24"/>
          <w14:ligatures w14:val="standardContextual"/>
        </w:rPr>
      </w:pPr>
      <w:hyperlink w:anchor="_Toc214283214" w:history="1">
        <w:r w:rsidRPr="008F4954">
          <w:rPr>
            <w:rStyle w:val="Hyperlink"/>
          </w:rPr>
          <w:t>5.8.9</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_Toc214283214 \h </w:instrText>
        </w:r>
        <w:r>
          <w:rPr>
            <w:webHidden/>
          </w:rPr>
        </w:r>
        <w:r>
          <w:rPr>
            <w:webHidden/>
          </w:rPr>
          <w:fldChar w:fldCharType="separate"/>
        </w:r>
        <w:r>
          <w:rPr>
            <w:webHidden/>
          </w:rPr>
          <w:t>119</w:t>
        </w:r>
        <w:r>
          <w:rPr>
            <w:webHidden/>
          </w:rPr>
          <w:fldChar w:fldCharType="end"/>
        </w:r>
      </w:hyperlink>
    </w:p>
    <w:p w14:paraId="508CF44D" w14:textId="1C3B4861" w:rsidR="00067371" w:rsidRDefault="00067371">
      <w:pPr>
        <w:pStyle w:val="TOC3"/>
        <w:rPr>
          <w:rFonts w:asciiTheme="minorHAnsi" w:eastAsiaTheme="minorEastAsia" w:hAnsiTheme="minorHAnsi" w:cstheme="minorBidi"/>
          <w:kern w:val="2"/>
          <w:sz w:val="24"/>
          <w:szCs w:val="24"/>
          <w14:ligatures w14:val="standardContextual"/>
        </w:rPr>
      </w:pPr>
      <w:hyperlink w:anchor="_Toc214283215" w:history="1">
        <w:r w:rsidRPr="008F4954">
          <w:rPr>
            <w:rStyle w:val="Hyperlink"/>
          </w:rPr>
          <w:t>5.8.10</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_Toc214283215 \h </w:instrText>
        </w:r>
        <w:r>
          <w:rPr>
            <w:webHidden/>
          </w:rPr>
        </w:r>
        <w:r>
          <w:rPr>
            <w:webHidden/>
          </w:rPr>
          <w:fldChar w:fldCharType="separate"/>
        </w:r>
        <w:r>
          <w:rPr>
            <w:webHidden/>
          </w:rPr>
          <w:t>119</w:t>
        </w:r>
        <w:r>
          <w:rPr>
            <w:webHidden/>
          </w:rPr>
          <w:fldChar w:fldCharType="end"/>
        </w:r>
      </w:hyperlink>
    </w:p>
    <w:p w14:paraId="4A851500" w14:textId="24F09A6E" w:rsidR="00067371" w:rsidRDefault="00067371">
      <w:pPr>
        <w:pStyle w:val="TOC3"/>
        <w:rPr>
          <w:rFonts w:asciiTheme="minorHAnsi" w:eastAsiaTheme="minorEastAsia" w:hAnsiTheme="minorHAnsi" w:cstheme="minorBidi"/>
          <w:kern w:val="2"/>
          <w:sz w:val="24"/>
          <w:szCs w:val="24"/>
          <w14:ligatures w14:val="standardContextual"/>
        </w:rPr>
      </w:pPr>
      <w:hyperlink w:anchor="_Toc214283216" w:history="1">
        <w:r w:rsidRPr="008F4954">
          <w:rPr>
            <w:rStyle w:val="Hyperlink"/>
          </w:rPr>
          <w:t>5.8.11</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_Toc214283216 \h </w:instrText>
        </w:r>
        <w:r>
          <w:rPr>
            <w:webHidden/>
          </w:rPr>
        </w:r>
        <w:r>
          <w:rPr>
            <w:webHidden/>
          </w:rPr>
          <w:fldChar w:fldCharType="separate"/>
        </w:r>
        <w:r>
          <w:rPr>
            <w:webHidden/>
          </w:rPr>
          <w:t>119</w:t>
        </w:r>
        <w:r>
          <w:rPr>
            <w:webHidden/>
          </w:rPr>
          <w:fldChar w:fldCharType="end"/>
        </w:r>
      </w:hyperlink>
    </w:p>
    <w:p w14:paraId="6E837178" w14:textId="57431E32" w:rsidR="00067371" w:rsidRDefault="00067371">
      <w:pPr>
        <w:pStyle w:val="TOC3"/>
        <w:rPr>
          <w:rFonts w:asciiTheme="minorHAnsi" w:eastAsiaTheme="minorEastAsia" w:hAnsiTheme="minorHAnsi" w:cstheme="minorBidi"/>
          <w:kern w:val="2"/>
          <w:sz w:val="24"/>
          <w:szCs w:val="24"/>
          <w14:ligatures w14:val="standardContextual"/>
        </w:rPr>
      </w:pPr>
      <w:hyperlink w:anchor="_Toc214283217" w:history="1">
        <w:r w:rsidRPr="008F4954">
          <w:rPr>
            <w:rStyle w:val="Hyperlink"/>
          </w:rPr>
          <w:t>5.8.12</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_Toc214283217 \h </w:instrText>
        </w:r>
        <w:r>
          <w:rPr>
            <w:webHidden/>
          </w:rPr>
        </w:r>
        <w:r>
          <w:rPr>
            <w:webHidden/>
          </w:rPr>
          <w:fldChar w:fldCharType="separate"/>
        </w:r>
        <w:r>
          <w:rPr>
            <w:webHidden/>
          </w:rPr>
          <w:t>120</w:t>
        </w:r>
        <w:r>
          <w:rPr>
            <w:webHidden/>
          </w:rPr>
          <w:fldChar w:fldCharType="end"/>
        </w:r>
      </w:hyperlink>
    </w:p>
    <w:p w14:paraId="43A50BF1" w14:textId="6C44DC68" w:rsidR="00067371" w:rsidRDefault="00067371">
      <w:pPr>
        <w:pStyle w:val="TOC3"/>
        <w:rPr>
          <w:rFonts w:asciiTheme="minorHAnsi" w:eastAsiaTheme="minorEastAsia" w:hAnsiTheme="minorHAnsi" w:cstheme="minorBidi"/>
          <w:kern w:val="2"/>
          <w:sz w:val="24"/>
          <w:szCs w:val="24"/>
          <w14:ligatures w14:val="standardContextual"/>
        </w:rPr>
      </w:pPr>
      <w:hyperlink w:anchor="_Toc214283218" w:history="1">
        <w:r w:rsidRPr="008F4954">
          <w:rPr>
            <w:rStyle w:val="Hyperlink"/>
          </w:rPr>
          <w:t>5.8.13</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_Toc214283218 \h </w:instrText>
        </w:r>
        <w:r>
          <w:rPr>
            <w:webHidden/>
          </w:rPr>
        </w:r>
        <w:r>
          <w:rPr>
            <w:webHidden/>
          </w:rPr>
          <w:fldChar w:fldCharType="separate"/>
        </w:r>
        <w:r>
          <w:rPr>
            <w:webHidden/>
          </w:rPr>
          <w:t>120</w:t>
        </w:r>
        <w:r>
          <w:rPr>
            <w:webHidden/>
          </w:rPr>
          <w:fldChar w:fldCharType="end"/>
        </w:r>
      </w:hyperlink>
    </w:p>
    <w:p w14:paraId="2DC8066D" w14:textId="2F85AE6A" w:rsidR="00067371" w:rsidRDefault="00067371">
      <w:pPr>
        <w:pStyle w:val="TOC3"/>
        <w:rPr>
          <w:rFonts w:asciiTheme="minorHAnsi" w:eastAsiaTheme="minorEastAsia" w:hAnsiTheme="minorHAnsi" w:cstheme="minorBidi"/>
          <w:kern w:val="2"/>
          <w:sz w:val="24"/>
          <w:szCs w:val="24"/>
          <w14:ligatures w14:val="standardContextual"/>
        </w:rPr>
      </w:pPr>
      <w:hyperlink w:anchor="_Toc214283219" w:history="1">
        <w:r w:rsidRPr="008F4954">
          <w:rPr>
            <w:rStyle w:val="Hyperlink"/>
          </w:rPr>
          <w:t>5.8.14</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_Toc214283219 \h </w:instrText>
        </w:r>
        <w:r>
          <w:rPr>
            <w:webHidden/>
          </w:rPr>
        </w:r>
        <w:r>
          <w:rPr>
            <w:webHidden/>
          </w:rPr>
          <w:fldChar w:fldCharType="separate"/>
        </w:r>
        <w:r>
          <w:rPr>
            <w:webHidden/>
          </w:rPr>
          <w:t>120</w:t>
        </w:r>
        <w:r>
          <w:rPr>
            <w:webHidden/>
          </w:rPr>
          <w:fldChar w:fldCharType="end"/>
        </w:r>
      </w:hyperlink>
    </w:p>
    <w:p w14:paraId="6DAB5052" w14:textId="0B907580"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220" w:history="1">
        <w:r w:rsidRPr="008F4954">
          <w:rPr>
            <w:rStyle w:val="Hyperlink"/>
          </w:rPr>
          <w:t>5.9</w:t>
        </w:r>
        <w:r>
          <w:rPr>
            <w:rFonts w:asciiTheme="minorHAnsi" w:eastAsiaTheme="minorEastAsia" w:hAnsiTheme="minorHAnsi" w:cstheme="minorBidi"/>
            <w:smallCaps w:val="0"/>
            <w:kern w:val="2"/>
            <w:szCs w:val="24"/>
            <w14:ligatures w14:val="standardContextual"/>
          </w:rPr>
          <w:tab/>
        </w:r>
        <w:r w:rsidRPr="008F4954">
          <w:rPr>
            <w:rStyle w:val="Hyperlink"/>
          </w:rPr>
          <w:t>IQVC ERROR LOG TOOL</w:t>
        </w:r>
        <w:r>
          <w:rPr>
            <w:webHidden/>
          </w:rPr>
          <w:tab/>
        </w:r>
        <w:r>
          <w:rPr>
            <w:webHidden/>
          </w:rPr>
          <w:fldChar w:fldCharType="begin"/>
        </w:r>
        <w:r>
          <w:rPr>
            <w:webHidden/>
          </w:rPr>
          <w:instrText xml:space="preserve"> PAGEREF _Toc214283220 \h </w:instrText>
        </w:r>
        <w:r>
          <w:rPr>
            <w:webHidden/>
          </w:rPr>
        </w:r>
        <w:r>
          <w:rPr>
            <w:webHidden/>
          </w:rPr>
          <w:fldChar w:fldCharType="separate"/>
        </w:r>
        <w:r>
          <w:rPr>
            <w:webHidden/>
          </w:rPr>
          <w:t>121</w:t>
        </w:r>
        <w:r>
          <w:rPr>
            <w:webHidden/>
          </w:rPr>
          <w:fldChar w:fldCharType="end"/>
        </w:r>
      </w:hyperlink>
    </w:p>
    <w:p w14:paraId="603559FD" w14:textId="365609DD" w:rsidR="00067371" w:rsidRDefault="00067371">
      <w:pPr>
        <w:pStyle w:val="TOC3"/>
        <w:rPr>
          <w:rFonts w:asciiTheme="minorHAnsi" w:eastAsiaTheme="minorEastAsia" w:hAnsiTheme="minorHAnsi" w:cstheme="minorBidi"/>
          <w:kern w:val="2"/>
          <w:sz w:val="24"/>
          <w:szCs w:val="24"/>
          <w14:ligatures w14:val="standardContextual"/>
        </w:rPr>
      </w:pPr>
      <w:hyperlink w:anchor="_Toc214283221" w:history="1">
        <w:r w:rsidRPr="008F4954">
          <w:rPr>
            <w:rStyle w:val="Hyperlink"/>
          </w:rPr>
          <w:t>5.9.1</w:t>
        </w:r>
        <w:r>
          <w:rPr>
            <w:rFonts w:asciiTheme="minorHAnsi" w:eastAsiaTheme="minorEastAsia" w:hAnsiTheme="minorHAnsi" w:cstheme="minorBidi"/>
            <w:kern w:val="2"/>
            <w:sz w:val="24"/>
            <w:szCs w:val="24"/>
            <w14:ligatures w14:val="standardContextual"/>
          </w:rPr>
          <w:tab/>
        </w:r>
        <w:r w:rsidRPr="008F4954">
          <w:rPr>
            <w:rStyle w:val="Hyperlink"/>
          </w:rPr>
          <w:t>Display IQVC Log Entry</w:t>
        </w:r>
        <w:r>
          <w:rPr>
            <w:webHidden/>
          </w:rPr>
          <w:tab/>
        </w:r>
        <w:r>
          <w:rPr>
            <w:webHidden/>
          </w:rPr>
          <w:fldChar w:fldCharType="begin"/>
        </w:r>
        <w:r>
          <w:rPr>
            <w:webHidden/>
          </w:rPr>
          <w:instrText xml:space="preserve"> PAGEREF _Toc214283221 \h </w:instrText>
        </w:r>
        <w:r>
          <w:rPr>
            <w:webHidden/>
          </w:rPr>
        </w:r>
        <w:r>
          <w:rPr>
            <w:webHidden/>
          </w:rPr>
          <w:fldChar w:fldCharType="separate"/>
        </w:r>
        <w:r>
          <w:rPr>
            <w:webHidden/>
          </w:rPr>
          <w:t>121</w:t>
        </w:r>
        <w:r>
          <w:rPr>
            <w:webHidden/>
          </w:rPr>
          <w:fldChar w:fldCharType="end"/>
        </w:r>
      </w:hyperlink>
    </w:p>
    <w:p w14:paraId="79CA3704" w14:textId="336A9EED" w:rsidR="00067371" w:rsidRDefault="00067371">
      <w:pPr>
        <w:pStyle w:val="TOC3"/>
        <w:rPr>
          <w:rFonts w:asciiTheme="minorHAnsi" w:eastAsiaTheme="minorEastAsia" w:hAnsiTheme="minorHAnsi" w:cstheme="minorBidi"/>
          <w:kern w:val="2"/>
          <w:sz w:val="24"/>
          <w:szCs w:val="24"/>
          <w14:ligatures w14:val="standardContextual"/>
        </w:rPr>
      </w:pPr>
      <w:hyperlink w:anchor="_Toc214283222" w:history="1">
        <w:r w:rsidRPr="008F4954">
          <w:rPr>
            <w:rStyle w:val="Hyperlink"/>
          </w:rPr>
          <w:t>5.9.2</w:t>
        </w:r>
        <w:r>
          <w:rPr>
            <w:rFonts w:asciiTheme="minorHAnsi" w:eastAsiaTheme="minorEastAsia" w:hAnsiTheme="minorHAnsi" w:cstheme="minorBidi"/>
            <w:kern w:val="2"/>
            <w:sz w:val="24"/>
            <w:szCs w:val="24"/>
            <w14:ligatures w14:val="standardContextual"/>
          </w:rPr>
          <w:tab/>
        </w:r>
        <w:r w:rsidRPr="008F4954">
          <w:rPr>
            <w:rStyle w:val="Hyperlink"/>
          </w:rPr>
          <w:t>IQVC Error Notifications</w:t>
        </w:r>
        <w:r>
          <w:rPr>
            <w:webHidden/>
          </w:rPr>
          <w:tab/>
        </w:r>
        <w:r>
          <w:rPr>
            <w:webHidden/>
          </w:rPr>
          <w:fldChar w:fldCharType="begin"/>
        </w:r>
        <w:r>
          <w:rPr>
            <w:webHidden/>
          </w:rPr>
          <w:instrText xml:space="preserve"> PAGEREF _Toc214283222 \h </w:instrText>
        </w:r>
        <w:r>
          <w:rPr>
            <w:webHidden/>
          </w:rPr>
        </w:r>
        <w:r>
          <w:rPr>
            <w:webHidden/>
          </w:rPr>
          <w:fldChar w:fldCharType="separate"/>
        </w:r>
        <w:r>
          <w:rPr>
            <w:webHidden/>
          </w:rPr>
          <w:t>121</w:t>
        </w:r>
        <w:r>
          <w:rPr>
            <w:webHidden/>
          </w:rPr>
          <w:fldChar w:fldCharType="end"/>
        </w:r>
      </w:hyperlink>
    </w:p>
    <w:p w14:paraId="5DAD9B2C" w14:textId="202648C9" w:rsidR="00067371" w:rsidRDefault="00067371">
      <w:pPr>
        <w:pStyle w:val="TOC3"/>
        <w:rPr>
          <w:rFonts w:asciiTheme="minorHAnsi" w:eastAsiaTheme="minorEastAsia" w:hAnsiTheme="minorHAnsi" w:cstheme="minorBidi"/>
          <w:kern w:val="2"/>
          <w:sz w:val="24"/>
          <w:szCs w:val="24"/>
          <w14:ligatures w14:val="standardContextual"/>
        </w:rPr>
      </w:pPr>
      <w:hyperlink w:anchor="_Toc214283223" w:history="1">
        <w:r w:rsidRPr="008F4954">
          <w:rPr>
            <w:rStyle w:val="Hyperlink"/>
          </w:rPr>
          <w:t>5.9.3</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_Toc214283223 \h </w:instrText>
        </w:r>
        <w:r>
          <w:rPr>
            <w:webHidden/>
          </w:rPr>
        </w:r>
        <w:r>
          <w:rPr>
            <w:webHidden/>
          </w:rPr>
          <w:fldChar w:fldCharType="separate"/>
        </w:r>
        <w:r>
          <w:rPr>
            <w:webHidden/>
          </w:rPr>
          <w:t>122</w:t>
        </w:r>
        <w:r>
          <w:rPr>
            <w:webHidden/>
          </w:rPr>
          <w:fldChar w:fldCharType="end"/>
        </w:r>
      </w:hyperlink>
    </w:p>
    <w:p w14:paraId="6826D799" w14:textId="105DF14D" w:rsidR="00067371" w:rsidRDefault="00067371">
      <w:pPr>
        <w:pStyle w:val="TOC3"/>
        <w:rPr>
          <w:rFonts w:asciiTheme="minorHAnsi" w:eastAsiaTheme="minorEastAsia" w:hAnsiTheme="minorHAnsi" w:cstheme="minorBidi"/>
          <w:kern w:val="2"/>
          <w:sz w:val="24"/>
          <w:szCs w:val="24"/>
          <w14:ligatures w14:val="standardContextual"/>
        </w:rPr>
      </w:pPr>
      <w:hyperlink w:anchor="_Toc214283224" w:history="1">
        <w:r w:rsidRPr="008F4954">
          <w:rPr>
            <w:rStyle w:val="Hyperlink"/>
          </w:rPr>
          <w:t>5.9.4</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_Toc214283224 \h </w:instrText>
        </w:r>
        <w:r>
          <w:rPr>
            <w:webHidden/>
          </w:rPr>
        </w:r>
        <w:r>
          <w:rPr>
            <w:webHidden/>
          </w:rPr>
          <w:fldChar w:fldCharType="separate"/>
        </w:r>
        <w:r>
          <w:rPr>
            <w:webHidden/>
          </w:rPr>
          <w:t>122</w:t>
        </w:r>
        <w:r>
          <w:rPr>
            <w:webHidden/>
          </w:rPr>
          <w:fldChar w:fldCharType="end"/>
        </w:r>
      </w:hyperlink>
    </w:p>
    <w:p w14:paraId="352A0903" w14:textId="0F7B7186" w:rsidR="00067371" w:rsidRDefault="00067371">
      <w:pPr>
        <w:pStyle w:val="TOC3"/>
        <w:rPr>
          <w:rFonts w:asciiTheme="minorHAnsi" w:eastAsiaTheme="minorEastAsia" w:hAnsiTheme="minorHAnsi" w:cstheme="minorBidi"/>
          <w:kern w:val="2"/>
          <w:sz w:val="24"/>
          <w:szCs w:val="24"/>
          <w14:ligatures w14:val="standardContextual"/>
        </w:rPr>
      </w:pPr>
      <w:hyperlink w:anchor="_Toc214283225" w:history="1">
        <w:r w:rsidRPr="008F4954">
          <w:rPr>
            <w:rStyle w:val="Hyperlink"/>
          </w:rPr>
          <w:t>5.9.5</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_Toc214283225 \h </w:instrText>
        </w:r>
        <w:r>
          <w:rPr>
            <w:webHidden/>
          </w:rPr>
        </w:r>
        <w:r>
          <w:rPr>
            <w:webHidden/>
          </w:rPr>
          <w:fldChar w:fldCharType="separate"/>
        </w:r>
        <w:r>
          <w:rPr>
            <w:webHidden/>
          </w:rPr>
          <w:t>122</w:t>
        </w:r>
        <w:r>
          <w:rPr>
            <w:webHidden/>
          </w:rPr>
          <w:fldChar w:fldCharType="end"/>
        </w:r>
      </w:hyperlink>
    </w:p>
    <w:p w14:paraId="28A8784E" w14:textId="6B5AC457" w:rsidR="00067371" w:rsidRDefault="00067371">
      <w:pPr>
        <w:pStyle w:val="TOC3"/>
        <w:rPr>
          <w:rFonts w:asciiTheme="minorHAnsi" w:eastAsiaTheme="minorEastAsia" w:hAnsiTheme="minorHAnsi" w:cstheme="minorBidi"/>
          <w:kern w:val="2"/>
          <w:sz w:val="24"/>
          <w:szCs w:val="24"/>
          <w14:ligatures w14:val="standardContextual"/>
        </w:rPr>
      </w:pPr>
      <w:hyperlink w:anchor="_Toc214283226" w:history="1">
        <w:r w:rsidRPr="008F4954">
          <w:rPr>
            <w:rStyle w:val="Hyperlink"/>
          </w:rPr>
          <w:t>5.9.6</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_Toc214283226 \h </w:instrText>
        </w:r>
        <w:r>
          <w:rPr>
            <w:webHidden/>
          </w:rPr>
        </w:r>
        <w:r>
          <w:rPr>
            <w:webHidden/>
          </w:rPr>
          <w:fldChar w:fldCharType="separate"/>
        </w:r>
        <w:r>
          <w:rPr>
            <w:webHidden/>
          </w:rPr>
          <w:t>122</w:t>
        </w:r>
        <w:r>
          <w:rPr>
            <w:webHidden/>
          </w:rPr>
          <w:fldChar w:fldCharType="end"/>
        </w:r>
      </w:hyperlink>
    </w:p>
    <w:p w14:paraId="621C155C" w14:textId="59484772" w:rsidR="00067371" w:rsidRDefault="00067371">
      <w:pPr>
        <w:pStyle w:val="TOC3"/>
        <w:rPr>
          <w:rFonts w:asciiTheme="minorHAnsi" w:eastAsiaTheme="minorEastAsia" w:hAnsiTheme="minorHAnsi" w:cstheme="minorBidi"/>
          <w:kern w:val="2"/>
          <w:sz w:val="24"/>
          <w:szCs w:val="24"/>
          <w14:ligatures w14:val="standardContextual"/>
        </w:rPr>
      </w:pPr>
      <w:hyperlink w:anchor="_Toc214283227" w:history="1">
        <w:r w:rsidRPr="008F4954">
          <w:rPr>
            <w:rStyle w:val="Hyperlink"/>
          </w:rPr>
          <w:t>5.9.7</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_Toc214283227 \h </w:instrText>
        </w:r>
        <w:r>
          <w:rPr>
            <w:webHidden/>
          </w:rPr>
        </w:r>
        <w:r>
          <w:rPr>
            <w:webHidden/>
          </w:rPr>
          <w:fldChar w:fldCharType="separate"/>
        </w:r>
        <w:r>
          <w:rPr>
            <w:webHidden/>
          </w:rPr>
          <w:t>122</w:t>
        </w:r>
        <w:r>
          <w:rPr>
            <w:webHidden/>
          </w:rPr>
          <w:fldChar w:fldCharType="end"/>
        </w:r>
      </w:hyperlink>
    </w:p>
    <w:p w14:paraId="6A6C6022" w14:textId="57E866C6" w:rsidR="00067371" w:rsidRDefault="00067371">
      <w:pPr>
        <w:pStyle w:val="TOC3"/>
        <w:rPr>
          <w:rFonts w:asciiTheme="minorHAnsi" w:eastAsiaTheme="minorEastAsia" w:hAnsiTheme="minorHAnsi" w:cstheme="minorBidi"/>
          <w:kern w:val="2"/>
          <w:sz w:val="24"/>
          <w:szCs w:val="24"/>
          <w14:ligatures w14:val="standardContextual"/>
        </w:rPr>
      </w:pPr>
      <w:hyperlink w:anchor="_Toc214283228" w:history="1">
        <w:r w:rsidRPr="008F4954">
          <w:rPr>
            <w:rStyle w:val="Hyperlink"/>
          </w:rPr>
          <w:t>5.9.8</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_Toc214283228 \h </w:instrText>
        </w:r>
        <w:r>
          <w:rPr>
            <w:webHidden/>
          </w:rPr>
        </w:r>
        <w:r>
          <w:rPr>
            <w:webHidden/>
          </w:rPr>
          <w:fldChar w:fldCharType="separate"/>
        </w:r>
        <w:r>
          <w:rPr>
            <w:webHidden/>
          </w:rPr>
          <w:t>122</w:t>
        </w:r>
        <w:r>
          <w:rPr>
            <w:webHidden/>
          </w:rPr>
          <w:fldChar w:fldCharType="end"/>
        </w:r>
      </w:hyperlink>
    </w:p>
    <w:p w14:paraId="5AB0DFE7" w14:textId="7BEFE06F" w:rsidR="00067371" w:rsidRDefault="00067371">
      <w:pPr>
        <w:pStyle w:val="TOC3"/>
        <w:rPr>
          <w:rFonts w:asciiTheme="minorHAnsi" w:eastAsiaTheme="minorEastAsia" w:hAnsiTheme="minorHAnsi" w:cstheme="minorBidi"/>
          <w:kern w:val="2"/>
          <w:sz w:val="24"/>
          <w:szCs w:val="24"/>
          <w14:ligatures w14:val="standardContextual"/>
        </w:rPr>
      </w:pPr>
      <w:hyperlink w:anchor="_Toc214283229" w:history="1">
        <w:r w:rsidRPr="008F4954">
          <w:rPr>
            <w:rStyle w:val="Hyperlink"/>
          </w:rPr>
          <w:t>5.9.9</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_Toc214283229 \h </w:instrText>
        </w:r>
        <w:r>
          <w:rPr>
            <w:webHidden/>
          </w:rPr>
        </w:r>
        <w:r>
          <w:rPr>
            <w:webHidden/>
          </w:rPr>
          <w:fldChar w:fldCharType="separate"/>
        </w:r>
        <w:r>
          <w:rPr>
            <w:webHidden/>
          </w:rPr>
          <w:t>122</w:t>
        </w:r>
        <w:r>
          <w:rPr>
            <w:webHidden/>
          </w:rPr>
          <w:fldChar w:fldCharType="end"/>
        </w:r>
      </w:hyperlink>
    </w:p>
    <w:p w14:paraId="4E8A7BCE" w14:textId="6196B300" w:rsidR="00067371" w:rsidRDefault="00067371">
      <w:pPr>
        <w:pStyle w:val="TOC3"/>
        <w:rPr>
          <w:rFonts w:asciiTheme="minorHAnsi" w:eastAsiaTheme="minorEastAsia" w:hAnsiTheme="minorHAnsi" w:cstheme="minorBidi"/>
          <w:kern w:val="2"/>
          <w:sz w:val="24"/>
          <w:szCs w:val="24"/>
          <w14:ligatures w14:val="standardContextual"/>
        </w:rPr>
      </w:pPr>
      <w:hyperlink w:anchor="_Toc214283230" w:history="1">
        <w:r w:rsidRPr="008F4954">
          <w:rPr>
            <w:rStyle w:val="Hyperlink"/>
          </w:rPr>
          <w:t>5.9.10</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_Toc214283230 \h </w:instrText>
        </w:r>
        <w:r>
          <w:rPr>
            <w:webHidden/>
          </w:rPr>
        </w:r>
        <w:r>
          <w:rPr>
            <w:webHidden/>
          </w:rPr>
          <w:fldChar w:fldCharType="separate"/>
        </w:r>
        <w:r>
          <w:rPr>
            <w:webHidden/>
          </w:rPr>
          <w:t>122</w:t>
        </w:r>
        <w:r>
          <w:rPr>
            <w:webHidden/>
          </w:rPr>
          <w:fldChar w:fldCharType="end"/>
        </w:r>
      </w:hyperlink>
    </w:p>
    <w:p w14:paraId="31BC7457" w14:textId="46A3FCF9"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231" w:history="1">
        <w:r w:rsidRPr="008F4954">
          <w:rPr>
            <w:rStyle w:val="Hyperlink"/>
          </w:rPr>
          <w:t>5.10</w:t>
        </w:r>
        <w:r>
          <w:rPr>
            <w:rFonts w:asciiTheme="minorHAnsi" w:eastAsiaTheme="minorEastAsia" w:hAnsiTheme="minorHAnsi" w:cstheme="minorBidi"/>
            <w:smallCaps w:val="0"/>
            <w:kern w:val="2"/>
            <w:szCs w:val="24"/>
            <w14:ligatures w14:val="standardContextual"/>
          </w:rPr>
          <w:tab/>
        </w:r>
        <w:r w:rsidRPr="008F4954">
          <w:rPr>
            <w:rStyle w:val="Hyperlink"/>
          </w:rPr>
          <w:t>INCOMPLETE MISSIONS TOOL</w:t>
        </w:r>
        <w:r>
          <w:rPr>
            <w:webHidden/>
          </w:rPr>
          <w:tab/>
        </w:r>
        <w:r>
          <w:rPr>
            <w:webHidden/>
          </w:rPr>
          <w:fldChar w:fldCharType="begin"/>
        </w:r>
        <w:r>
          <w:rPr>
            <w:webHidden/>
          </w:rPr>
          <w:instrText xml:space="preserve"> PAGEREF _Toc214283231 \h </w:instrText>
        </w:r>
        <w:r>
          <w:rPr>
            <w:webHidden/>
          </w:rPr>
        </w:r>
        <w:r>
          <w:rPr>
            <w:webHidden/>
          </w:rPr>
          <w:fldChar w:fldCharType="separate"/>
        </w:r>
        <w:r>
          <w:rPr>
            <w:webHidden/>
          </w:rPr>
          <w:t>123</w:t>
        </w:r>
        <w:r>
          <w:rPr>
            <w:webHidden/>
          </w:rPr>
          <w:fldChar w:fldCharType="end"/>
        </w:r>
      </w:hyperlink>
    </w:p>
    <w:p w14:paraId="25C7F3AA" w14:textId="7C657BBE" w:rsidR="00067371" w:rsidRDefault="00067371">
      <w:pPr>
        <w:pStyle w:val="TOC3"/>
        <w:rPr>
          <w:rFonts w:asciiTheme="minorHAnsi" w:eastAsiaTheme="minorEastAsia" w:hAnsiTheme="minorHAnsi" w:cstheme="minorBidi"/>
          <w:kern w:val="2"/>
          <w:sz w:val="24"/>
          <w:szCs w:val="24"/>
          <w14:ligatures w14:val="standardContextual"/>
        </w:rPr>
      </w:pPr>
      <w:hyperlink w:anchor="_Toc214283232" w:history="1">
        <w:r w:rsidRPr="008F4954">
          <w:rPr>
            <w:rStyle w:val="Hyperlink"/>
          </w:rPr>
          <w:t>5.10.1</w:t>
        </w:r>
        <w:r>
          <w:rPr>
            <w:rFonts w:asciiTheme="minorHAnsi" w:eastAsiaTheme="minorEastAsia" w:hAnsiTheme="minorHAnsi" w:cstheme="minorBidi"/>
            <w:kern w:val="2"/>
            <w:sz w:val="24"/>
            <w:szCs w:val="24"/>
            <w14:ligatures w14:val="standardContextual"/>
          </w:rPr>
          <w:tab/>
        </w:r>
        <w:r w:rsidRPr="008F4954">
          <w:rPr>
            <w:rStyle w:val="Hyperlink"/>
          </w:rPr>
          <w:t>Display Missing Dependencies</w:t>
        </w:r>
        <w:r>
          <w:rPr>
            <w:webHidden/>
          </w:rPr>
          <w:tab/>
        </w:r>
        <w:r>
          <w:rPr>
            <w:webHidden/>
          </w:rPr>
          <w:fldChar w:fldCharType="begin"/>
        </w:r>
        <w:r>
          <w:rPr>
            <w:webHidden/>
          </w:rPr>
          <w:instrText xml:space="preserve"> PAGEREF _Toc214283232 \h </w:instrText>
        </w:r>
        <w:r>
          <w:rPr>
            <w:webHidden/>
          </w:rPr>
        </w:r>
        <w:r>
          <w:rPr>
            <w:webHidden/>
          </w:rPr>
          <w:fldChar w:fldCharType="separate"/>
        </w:r>
        <w:r>
          <w:rPr>
            <w:webHidden/>
          </w:rPr>
          <w:t>123</w:t>
        </w:r>
        <w:r>
          <w:rPr>
            <w:webHidden/>
          </w:rPr>
          <w:fldChar w:fldCharType="end"/>
        </w:r>
      </w:hyperlink>
    </w:p>
    <w:p w14:paraId="02DB943B" w14:textId="7A5D300F" w:rsidR="00067371" w:rsidRDefault="00067371">
      <w:pPr>
        <w:pStyle w:val="TOC3"/>
        <w:rPr>
          <w:rFonts w:asciiTheme="minorHAnsi" w:eastAsiaTheme="minorEastAsia" w:hAnsiTheme="minorHAnsi" w:cstheme="minorBidi"/>
          <w:kern w:val="2"/>
          <w:sz w:val="24"/>
          <w:szCs w:val="24"/>
          <w14:ligatures w14:val="standardContextual"/>
        </w:rPr>
      </w:pPr>
      <w:hyperlink w:anchor="_Toc214283233" w:history="1">
        <w:r w:rsidRPr="008F4954">
          <w:rPr>
            <w:rStyle w:val="Hyperlink"/>
          </w:rPr>
          <w:t>5.10.2</w:t>
        </w:r>
        <w:r>
          <w:rPr>
            <w:rFonts w:asciiTheme="minorHAnsi" w:eastAsiaTheme="minorEastAsia" w:hAnsiTheme="minorHAnsi" w:cstheme="minorBidi"/>
            <w:kern w:val="2"/>
            <w:sz w:val="24"/>
            <w:szCs w:val="24"/>
            <w14:ligatures w14:val="standardContextual"/>
          </w:rPr>
          <w:tab/>
        </w:r>
        <w:r w:rsidRPr="008F4954">
          <w:rPr>
            <w:rStyle w:val="Hyperlink"/>
          </w:rPr>
          <w:t>Install</w:t>
        </w:r>
        <w:r>
          <w:rPr>
            <w:webHidden/>
          </w:rPr>
          <w:tab/>
        </w:r>
        <w:r>
          <w:rPr>
            <w:webHidden/>
          </w:rPr>
          <w:fldChar w:fldCharType="begin"/>
        </w:r>
        <w:r>
          <w:rPr>
            <w:webHidden/>
          </w:rPr>
          <w:instrText xml:space="preserve"> PAGEREF _Toc214283233 \h </w:instrText>
        </w:r>
        <w:r>
          <w:rPr>
            <w:webHidden/>
          </w:rPr>
        </w:r>
        <w:r>
          <w:rPr>
            <w:webHidden/>
          </w:rPr>
          <w:fldChar w:fldCharType="separate"/>
        </w:r>
        <w:r>
          <w:rPr>
            <w:webHidden/>
          </w:rPr>
          <w:t>124</w:t>
        </w:r>
        <w:r>
          <w:rPr>
            <w:webHidden/>
          </w:rPr>
          <w:fldChar w:fldCharType="end"/>
        </w:r>
      </w:hyperlink>
    </w:p>
    <w:p w14:paraId="3CD25C3F" w14:textId="63428460" w:rsidR="00067371" w:rsidRDefault="00067371">
      <w:pPr>
        <w:pStyle w:val="TOC3"/>
        <w:rPr>
          <w:rFonts w:asciiTheme="minorHAnsi" w:eastAsiaTheme="minorEastAsia" w:hAnsiTheme="minorHAnsi" w:cstheme="minorBidi"/>
          <w:kern w:val="2"/>
          <w:sz w:val="24"/>
          <w:szCs w:val="24"/>
          <w14:ligatures w14:val="standardContextual"/>
        </w:rPr>
      </w:pPr>
      <w:hyperlink w:anchor="_Toc214283234" w:history="1">
        <w:r w:rsidRPr="008F4954">
          <w:rPr>
            <w:rStyle w:val="Hyperlink"/>
          </w:rPr>
          <w:t>5.10.3</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_Toc214283234 \h </w:instrText>
        </w:r>
        <w:r>
          <w:rPr>
            <w:webHidden/>
          </w:rPr>
        </w:r>
        <w:r>
          <w:rPr>
            <w:webHidden/>
          </w:rPr>
          <w:fldChar w:fldCharType="separate"/>
        </w:r>
        <w:r>
          <w:rPr>
            <w:webHidden/>
          </w:rPr>
          <w:t>124</w:t>
        </w:r>
        <w:r>
          <w:rPr>
            <w:webHidden/>
          </w:rPr>
          <w:fldChar w:fldCharType="end"/>
        </w:r>
      </w:hyperlink>
    </w:p>
    <w:p w14:paraId="6D29BB4C" w14:textId="082F30CD" w:rsidR="00067371" w:rsidRDefault="00067371">
      <w:pPr>
        <w:pStyle w:val="TOC3"/>
        <w:rPr>
          <w:rFonts w:asciiTheme="minorHAnsi" w:eastAsiaTheme="minorEastAsia" w:hAnsiTheme="minorHAnsi" w:cstheme="minorBidi"/>
          <w:kern w:val="2"/>
          <w:sz w:val="24"/>
          <w:szCs w:val="24"/>
          <w14:ligatures w14:val="standardContextual"/>
        </w:rPr>
      </w:pPr>
      <w:hyperlink w:anchor="_Toc214283235" w:history="1">
        <w:r w:rsidRPr="008F4954">
          <w:rPr>
            <w:rStyle w:val="Hyperlink"/>
          </w:rPr>
          <w:t>5.10.4</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_Toc214283235 \h </w:instrText>
        </w:r>
        <w:r>
          <w:rPr>
            <w:webHidden/>
          </w:rPr>
        </w:r>
        <w:r>
          <w:rPr>
            <w:webHidden/>
          </w:rPr>
          <w:fldChar w:fldCharType="separate"/>
        </w:r>
        <w:r>
          <w:rPr>
            <w:webHidden/>
          </w:rPr>
          <w:t>124</w:t>
        </w:r>
        <w:r>
          <w:rPr>
            <w:webHidden/>
          </w:rPr>
          <w:fldChar w:fldCharType="end"/>
        </w:r>
      </w:hyperlink>
    </w:p>
    <w:p w14:paraId="75033E5A" w14:textId="7D0E4533" w:rsidR="00067371" w:rsidRDefault="00067371">
      <w:pPr>
        <w:pStyle w:val="TOC3"/>
        <w:rPr>
          <w:rFonts w:asciiTheme="minorHAnsi" w:eastAsiaTheme="minorEastAsia" w:hAnsiTheme="minorHAnsi" w:cstheme="minorBidi"/>
          <w:kern w:val="2"/>
          <w:sz w:val="24"/>
          <w:szCs w:val="24"/>
          <w14:ligatures w14:val="standardContextual"/>
        </w:rPr>
      </w:pPr>
      <w:hyperlink w:anchor="_Toc214283236" w:history="1">
        <w:r w:rsidRPr="008F4954">
          <w:rPr>
            <w:rStyle w:val="Hyperlink"/>
          </w:rPr>
          <w:t>5.10.5</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_Toc214283236 \h </w:instrText>
        </w:r>
        <w:r>
          <w:rPr>
            <w:webHidden/>
          </w:rPr>
        </w:r>
        <w:r>
          <w:rPr>
            <w:webHidden/>
          </w:rPr>
          <w:fldChar w:fldCharType="separate"/>
        </w:r>
        <w:r>
          <w:rPr>
            <w:webHidden/>
          </w:rPr>
          <w:t>124</w:t>
        </w:r>
        <w:r>
          <w:rPr>
            <w:webHidden/>
          </w:rPr>
          <w:fldChar w:fldCharType="end"/>
        </w:r>
      </w:hyperlink>
    </w:p>
    <w:p w14:paraId="187C0AB1" w14:textId="34F7C656" w:rsidR="00067371" w:rsidRDefault="00067371">
      <w:pPr>
        <w:pStyle w:val="TOC3"/>
        <w:rPr>
          <w:rFonts w:asciiTheme="minorHAnsi" w:eastAsiaTheme="minorEastAsia" w:hAnsiTheme="minorHAnsi" w:cstheme="minorBidi"/>
          <w:kern w:val="2"/>
          <w:sz w:val="24"/>
          <w:szCs w:val="24"/>
          <w14:ligatures w14:val="standardContextual"/>
        </w:rPr>
      </w:pPr>
      <w:hyperlink w:anchor="_Toc214283237" w:history="1">
        <w:r w:rsidRPr="008F4954">
          <w:rPr>
            <w:rStyle w:val="Hyperlink"/>
          </w:rPr>
          <w:t>5.10.6</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_Toc214283237 \h </w:instrText>
        </w:r>
        <w:r>
          <w:rPr>
            <w:webHidden/>
          </w:rPr>
        </w:r>
        <w:r>
          <w:rPr>
            <w:webHidden/>
          </w:rPr>
          <w:fldChar w:fldCharType="separate"/>
        </w:r>
        <w:r>
          <w:rPr>
            <w:webHidden/>
          </w:rPr>
          <w:t>124</w:t>
        </w:r>
        <w:r>
          <w:rPr>
            <w:webHidden/>
          </w:rPr>
          <w:fldChar w:fldCharType="end"/>
        </w:r>
      </w:hyperlink>
    </w:p>
    <w:p w14:paraId="69B2F5D9" w14:textId="0110CEBF" w:rsidR="00067371" w:rsidRDefault="00067371">
      <w:pPr>
        <w:pStyle w:val="TOC3"/>
        <w:rPr>
          <w:rFonts w:asciiTheme="minorHAnsi" w:eastAsiaTheme="minorEastAsia" w:hAnsiTheme="minorHAnsi" w:cstheme="minorBidi"/>
          <w:kern w:val="2"/>
          <w:sz w:val="24"/>
          <w:szCs w:val="24"/>
          <w14:ligatures w14:val="standardContextual"/>
        </w:rPr>
      </w:pPr>
      <w:hyperlink w:anchor="_Toc214283238" w:history="1">
        <w:r w:rsidRPr="008F4954">
          <w:rPr>
            <w:rStyle w:val="Hyperlink"/>
          </w:rPr>
          <w:t>5.10.7</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_Toc214283238 \h </w:instrText>
        </w:r>
        <w:r>
          <w:rPr>
            <w:webHidden/>
          </w:rPr>
        </w:r>
        <w:r>
          <w:rPr>
            <w:webHidden/>
          </w:rPr>
          <w:fldChar w:fldCharType="separate"/>
        </w:r>
        <w:r>
          <w:rPr>
            <w:webHidden/>
          </w:rPr>
          <w:t>124</w:t>
        </w:r>
        <w:r>
          <w:rPr>
            <w:webHidden/>
          </w:rPr>
          <w:fldChar w:fldCharType="end"/>
        </w:r>
      </w:hyperlink>
    </w:p>
    <w:p w14:paraId="118E85F6" w14:textId="0D50C4B1" w:rsidR="00067371" w:rsidRDefault="00067371">
      <w:pPr>
        <w:pStyle w:val="TOC3"/>
        <w:rPr>
          <w:rFonts w:asciiTheme="minorHAnsi" w:eastAsiaTheme="minorEastAsia" w:hAnsiTheme="minorHAnsi" w:cstheme="minorBidi"/>
          <w:kern w:val="2"/>
          <w:sz w:val="24"/>
          <w:szCs w:val="24"/>
          <w14:ligatures w14:val="standardContextual"/>
        </w:rPr>
      </w:pPr>
      <w:hyperlink w:anchor="_Toc214283239" w:history="1">
        <w:r w:rsidRPr="008F4954">
          <w:rPr>
            <w:rStyle w:val="Hyperlink"/>
          </w:rPr>
          <w:t>5.10.8</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_Toc214283239 \h </w:instrText>
        </w:r>
        <w:r>
          <w:rPr>
            <w:webHidden/>
          </w:rPr>
        </w:r>
        <w:r>
          <w:rPr>
            <w:webHidden/>
          </w:rPr>
          <w:fldChar w:fldCharType="separate"/>
        </w:r>
        <w:r>
          <w:rPr>
            <w:webHidden/>
          </w:rPr>
          <w:t>124</w:t>
        </w:r>
        <w:r>
          <w:rPr>
            <w:webHidden/>
          </w:rPr>
          <w:fldChar w:fldCharType="end"/>
        </w:r>
      </w:hyperlink>
    </w:p>
    <w:p w14:paraId="23B5F913" w14:textId="1DA1EA16" w:rsidR="00067371" w:rsidRDefault="00067371">
      <w:pPr>
        <w:pStyle w:val="TOC3"/>
        <w:rPr>
          <w:rFonts w:asciiTheme="minorHAnsi" w:eastAsiaTheme="minorEastAsia" w:hAnsiTheme="minorHAnsi" w:cstheme="minorBidi"/>
          <w:kern w:val="2"/>
          <w:sz w:val="24"/>
          <w:szCs w:val="24"/>
          <w14:ligatures w14:val="standardContextual"/>
        </w:rPr>
      </w:pPr>
      <w:hyperlink w:anchor="_Toc214283240" w:history="1">
        <w:r w:rsidRPr="008F4954">
          <w:rPr>
            <w:rStyle w:val="Hyperlink"/>
          </w:rPr>
          <w:t>5.10.9</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_Toc214283240 \h </w:instrText>
        </w:r>
        <w:r>
          <w:rPr>
            <w:webHidden/>
          </w:rPr>
        </w:r>
        <w:r>
          <w:rPr>
            <w:webHidden/>
          </w:rPr>
          <w:fldChar w:fldCharType="separate"/>
        </w:r>
        <w:r>
          <w:rPr>
            <w:webHidden/>
          </w:rPr>
          <w:t>124</w:t>
        </w:r>
        <w:r>
          <w:rPr>
            <w:webHidden/>
          </w:rPr>
          <w:fldChar w:fldCharType="end"/>
        </w:r>
      </w:hyperlink>
    </w:p>
    <w:p w14:paraId="1721050D" w14:textId="356B9617"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241" w:history="1">
        <w:r w:rsidRPr="008F4954">
          <w:rPr>
            <w:rStyle w:val="Hyperlink"/>
          </w:rPr>
          <w:t>5.11</w:t>
        </w:r>
        <w:r>
          <w:rPr>
            <w:rFonts w:asciiTheme="minorHAnsi" w:eastAsiaTheme="minorEastAsia" w:hAnsiTheme="minorHAnsi" w:cstheme="minorBidi"/>
            <w:smallCaps w:val="0"/>
            <w:kern w:val="2"/>
            <w:szCs w:val="24"/>
            <w14:ligatures w14:val="standardContextual"/>
          </w:rPr>
          <w:tab/>
        </w:r>
        <w:r w:rsidRPr="008F4954">
          <w:rPr>
            <w:rStyle w:val="Hyperlink"/>
          </w:rPr>
          <w:t>QUERIES TOOL</w:t>
        </w:r>
        <w:r>
          <w:rPr>
            <w:webHidden/>
          </w:rPr>
          <w:tab/>
        </w:r>
        <w:r>
          <w:rPr>
            <w:webHidden/>
          </w:rPr>
          <w:fldChar w:fldCharType="begin"/>
        </w:r>
        <w:r>
          <w:rPr>
            <w:webHidden/>
          </w:rPr>
          <w:instrText xml:space="preserve"> PAGEREF _Toc214283241 \h </w:instrText>
        </w:r>
        <w:r>
          <w:rPr>
            <w:webHidden/>
          </w:rPr>
        </w:r>
        <w:r>
          <w:rPr>
            <w:webHidden/>
          </w:rPr>
          <w:fldChar w:fldCharType="separate"/>
        </w:r>
        <w:r>
          <w:rPr>
            <w:webHidden/>
          </w:rPr>
          <w:t>125</w:t>
        </w:r>
        <w:r>
          <w:rPr>
            <w:webHidden/>
          </w:rPr>
          <w:fldChar w:fldCharType="end"/>
        </w:r>
      </w:hyperlink>
    </w:p>
    <w:p w14:paraId="68CB9192" w14:textId="25D1E294" w:rsidR="00067371" w:rsidRDefault="00067371">
      <w:pPr>
        <w:pStyle w:val="TOC3"/>
        <w:rPr>
          <w:rFonts w:asciiTheme="minorHAnsi" w:eastAsiaTheme="minorEastAsia" w:hAnsiTheme="minorHAnsi" w:cstheme="minorBidi"/>
          <w:kern w:val="2"/>
          <w:sz w:val="24"/>
          <w:szCs w:val="24"/>
          <w14:ligatures w14:val="standardContextual"/>
        </w:rPr>
      </w:pPr>
      <w:hyperlink w:anchor="_Toc214283242" w:history="1">
        <w:r w:rsidRPr="008F4954">
          <w:rPr>
            <w:rStyle w:val="Hyperlink"/>
          </w:rPr>
          <w:t>5.11.1</w:t>
        </w:r>
        <w:r>
          <w:rPr>
            <w:rFonts w:asciiTheme="minorHAnsi" w:eastAsiaTheme="minorEastAsia" w:hAnsiTheme="minorHAnsi" w:cstheme="minorBidi"/>
            <w:kern w:val="2"/>
            <w:sz w:val="24"/>
            <w:szCs w:val="24"/>
            <w14:ligatures w14:val="standardContextual"/>
          </w:rPr>
          <w:tab/>
        </w:r>
        <w:r w:rsidRPr="008F4954">
          <w:rPr>
            <w:rStyle w:val="Hyperlink"/>
          </w:rPr>
          <w:t>New Query</w:t>
        </w:r>
        <w:r>
          <w:rPr>
            <w:webHidden/>
          </w:rPr>
          <w:tab/>
        </w:r>
        <w:r>
          <w:rPr>
            <w:webHidden/>
          </w:rPr>
          <w:fldChar w:fldCharType="begin"/>
        </w:r>
        <w:r>
          <w:rPr>
            <w:webHidden/>
          </w:rPr>
          <w:instrText xml:space="preserve"> PAGEREF _Toc214283242 \h </w:instrText>
        </w:r>
        <w:r>
          <w:rPr>
            <w:webHidden/>
          </w:rPr>
        </w:r>
        <w:r>
          <w:rPr>
            <w:webHidden/>
          </w:rPr>
          <w:fldChar w:fldCharType="separate"/>
        </w:r>
        <w:r>
          <w:rPr>
            <w:webHidden/>
          </w:rPr>
          <w:t>125</w:t>
        </w:r>
        <w:r>
          <w:rPr>
            <w:webHidden/>
          </w:rPr>
          <w:fldChar w:fldCharType="end"/>
        </w:r>
      </w:hyperlink>
    </w:p>
    <w:p w14:paraId="649C83AD" w14:textId="69983680" w:rsidR="00067371" w:rsidRDefault="00067371">
      <w:pPr>
        <w:pStyle w:val="TOC3"/>
        <w:rPr>
          <w:rFonts w:asciiTheme="minorHAnsi" w:eastAsiaTheme="minorEastAsia" w:hAnsiTheme="minorHAnsi" w:cstheme="minorBidi"/>
          <w:kern w:val="2"/>
          <w:sz w:val="24"/>
          <w:szCs w:val="24"/>
          <w14:ligatures w14:val="standardContextual"/>
        </w:rPr>
      </w:pPr>
      <w:hyperlink w:anchor="_Toc214283243" w:history="1">
        <w:r w:rsidRPr="008F4954">
          <w:rPr>
            <w:rStyle w:val="Hyperlink"/>
          </w:rPr>
          <w:t>5.11.2</w:t>
        </w:r>
        <w:r>
          <w:rPr>
            <w:rFonts w:asciiTheme="minorHAnsi" w:eastAsiaTheme="minorEastAsia" w:hAnsiTheme="minorHAnsi" w:cstheme="minorBidi"/>
            <w:kern w:val="2"/>
            <w:sz w:val="24"/>
            <w:szCs w:val="24"/>
            <w14:ligatures w14:val="standardContextual"/>
          </w:rPr>
          <w:tab/>
        </w:r>
        <w:r w:rsidRPr="008F4954">
          <w:rPr>
            <w:rStyle w:val="Hyperlink"/>
          </w:rPr>
          <w:t>Display a Saved Query</w:t>
        </w:r>
        <w:r>
          <w:rPr>
            <w:webHidden/>
          </w:rPr>
          <w:tab/>
        </w:r>
        <w:r>
          <w:rPr>
            <w:webHidden/>
          </w:rPr>
          <w:fldChar w:fldCharType="begin"/>
        </w:r>
        <w:r>
          <w:rPr>
            <w:webHidden/>
          </w:rPr>
          <w:instrText xml:space="preserve"> PAGEREF _Toc214283243 \h </w:instrText>
        </w:r>
        <w:r>
          <w:rPr>
            <w:webHidden/>
          </w:rPr>
        </w:r>
        <w:r>
          <w:rPr>
            <w:webHidden/>
          </w:rPr>
          <w:fldChar w:fldCharType="separate"/>
        </w:r>
        <w:r>
          <w:rPr>
            <w:webHidden/>
          </w:rPr>
          <w:t>130</w:t>
        </w:r>
        <w:r>
          <w:rPr>
            <w:webHidden/>
          </w:rPr>
          <w:fldChar w:fldCharType="end"/>
        </w:r>
      </w:hyperlink>
    </w:p>
    <w:p w14:paraId="6374646E" w14:textId="4DED73FF" w:rsidR="00067371" w:rsidRDefault="00067371">
      <w:pPr>
        <w:pStyle w:val="TOC3"/>
        <w:rPr>
          <w:rFonts w:asciiTheme="minorHAnsi" w:eastAsiaTheme="minorEastAsia" w:hAnsiTheme="minorHAnsi" w:cstheme="minorBidi"/>
          <w:kern w:val="2"/>
          <w:sz w:val="24"/>
          <w:szCs w:val="24"/>
          <w14:ligatures w14:val="standardContextual"/>
        </w:rPr>
      </w:pPr>
      <w:hyperlink w:anchor="_Toc214283244" w:history="1">
        <w:r w:rsidRPr="008F4954">
          <w:rPr>
            <w:rStyle w:val="Hyperlink"/>
          </w:rPr>
          <w:t>5.11.3</w:t>
        </w:r>
        <w:r>
          <w:rPr>
            <w:rFonts w:asciiTheme="minorHAnsi" w:eastAsiaTheme="minorEastAsia" w:hAnsiTheme="minorHAnsi" w:cstheme="minorBidi"/>
            <w:kern w:val="2"/>
            <w:sz w:val="24"/>
            <w:szCs w:val="24"/>
            <w14:ligatures w14:val="standardContextual"/>
          </w:rPr>
          <w:tab/>
        </w:r>
        <w:r w:rsidRPr="008F4954">
          <w:rPr>
            <w:rStyle w:val="Hyperlink"/>
          </w:rPr>
          <w:t>Modify an Existing Query</w:t>
        </w:r>
        <w:r>
          <w:rPr>
            <w:webHidden/>
          </w:rPr>
          <w:tab/>
        </w:r>
        <w:r>
          <w:rPr>
            <w:webHidden/>
          </w:rPr>
          <w:fldChar w:fldCharType="begin"/>
        </w:r>
        <w:r>
          <w:rPr>
            <w:webHidden/>
          </w:rPr>
          <w:instrText xml:space="preserve"> PAGEREF _Toc214283244 \h </w:instrText>
        </w:r>
        <w:r>
          <w:rPr>
            <w:webHidden/>
          </w:rPr>
        </w:r>
        <w:r>
          <w:rPr>
            <w:webHidden/>
          </w:rPr>
          <w:fldChar w:fldCharType="separate"/>
        </w:r>
        <w:r>
          <w:rPr>
            <w:webHidden/>
          </w:rPr>
          <w:t>130</w:t>
        </w:r>
        <w:r>
          <w:rPr>
            <w:webHidden/>
          </w:rPr>
          <w:fldChar w:fldCharType="end"/>
        </w:r>
      </w:hyperlink>
    </w:p>
    <w:p w14:paraId="033DAEF9" w14:textId="59D586D6" w:rsidR="00067371" w:rsidRDefault="00067371">
      <w:pPr>
        <w:pStyle w:val="TOC3"/>
        <w:rPr>
          <w:rFonts w:asciiTheme="minorHAnsi" w:eastAsiaTheme="minorEastAsia" w:hAnsiTheme="minorHAnsi" w:cstheme="minorBidi"/>
          <w:kern w:val="2"/>
          <w:sz w:val="24"/>
          <w:szCs w:val="24"/>
          <w14:ligatures w14:val="standardContextual"/>
        </w:rPr>
      </w:pPr>
      <w:hyperlink w:anchor="_Toc214283245" w:history="1">
        <w:r w:rsidRPr="008F4954">
          <w:rPr>
            <w:rStyle w:val="Hyperlink"/>
          </w:rPr>
          <w:t>5.11.4</w:t>
        </w:r>
        <w:r>
          <w:rPr>
            <w:rFonts w:asciiTheme="minorHAnsi" w:eastAsiaTheme="minorEastAsia" w:hAnsiTheme="minorHAnsi" w:cstheme="minorBidi"/>
            <w:kern w:val="2"/>
            <w:sz w:val="24"/>
            <w:szCs w:val="24"/>
            <w14:ligatures w14:val="standardContextual"/>
          </w:rPr>
          <w:tab/>
        </w:r>
        <w:r w:rsidRPr="008F4954">
          <w:rPr>
            <w:rStyle w:val="Hyperlink"/>
          </w:rPr>
          <w:t>Execute a Saved Query</w:t>
        </w:r>
        <w:r>
          <w:rPr>
            <w:webHidden/>
          </w:rPr>
          <w:tab/>
        </w:r>
        <w:r>
          <w:rPr>
            <w:webHidden/>
          </w:rPr>
          <w:fldChar w:fldCharType="begin"/>
        </w:r>
        <w:r>
          <w:rPr>
            <w:webHidden/>
          </w:rPr>
          <w:instrText xml:space="preserve"> PAGEREF _Toc214283245 \h </w:instrText>
        </w:r>
        <w:r>
          <w:rPr>
            <w:webHidden/>
          </w:rPr>
        </w:r>
        <w:r>
          <w:rPr>
            <w:webHidden/>
          </w:rPr>
          <w:fldChar w:fldCharType="separate"/>
        </w:r>
        <w:r>
          <w:rPr>
            <w:webHidden/>
          </w:rPr>
          <w:t>131</w:t>
        </w:r>
        <w:r>
          <w:rPr>
            <w:webHidden/>
          </w:rPr>
          <w:fldChar w:fldCharType="end"/>
        </w:r>
      </w:hyperlink>
    </w:p>
    <w:p w14:paraId="706E4638" w14:textId="50968500" w:rsidR="00067371" w:rsidRDefault="00067371">
      <w:pPr>
        <w:pStyle w:val="TOC3"/>
        <w:rPr>
          <w:rFonts w:asciiTheme="minorHAnsi" w:eastAsiaTheme="minorEastAsia" w:hAnsiTheme="minorHAnsi" w:cstheme="minorBidi"/>
          <w:kern w:val="2"/>
          <w:sz w:val="24"/>
          <w:szCs w:val="24"/>
          <w14:ligatures w14:val="standardContextual"/>
        </w:rPr>
      </w:pPr>
      <w:hyperlink w:anchor="_Toc214283246" w:history="1">
        <w:r w:rsidRPr="008F4954">
          <w:rPr>
            <w:rStyle w:val="Hyperlink"/>
          </w:rPr>
          <w:t>5.11.5</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_Toc214283246 \h </w:instrText>
        </w:r>
        <w:r>
          <w:rPr>
            <w:webHidden/>
          </w:rPr>
        </w:r>
        <w:r>
          <w:rPr>
            <w:webHidden/>
          </w:rPr>
          <w:fldChar w:fldCharType="separate"/>
        </w:r>
        <w:r>
          <w:rPr>
            <w:webHidden/>
          </w:rPr>
          <w:t>131</w:t>
        </w:r>
        <w:r>
          <w:rPr>
            <w:webHidden/>
          </w:rPr>
          <w:fldChar w:fldCharType="end"/>
        </w:r>
      </w:hyperlink>
    </w:p>
    <w:p w14:paraId="5188C24A" w14:textId="7A2DB799" w:rsidR="00067371" w:rsidRDefault="00067371">
      <w:pPr>
        <w:pStyle w:val="TOC3"/>
        <w:rPr>
          <w:rFonts w:asciiTheme="minorHAnsi" w:eastAsiaTheme="minorEastAsia" w:hAnsiTheme="minorHAnsi" w:cstheme="minorBidi"/>
          <w:kern w:val="2"/>
          <w:sz w:val="24"/>
          <w:szCs w:val="24"/>
          <w14:ligatures w14:val="standardContextual"/>
        </w:rPr>
      </w:pPr>
      <w:hyperlink w:anchor="_Toc214283247" w:history="1">
        <w:r w:rsidRPr="008F4954">
          <w:rPr>
            <w:rStyle w:val="Hyperlink"/>
          </w:rPr>
          <w:t>5.11.6</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_Toc214283247 \h </w:instrText>
        </w:r>
        <w:r>
          <w:rPr>
            <w:webHidden/>
          </w:rPr>
        </w:r>
        <w:r>
          <w:rPr>
            <w:webHidden/>
          </w:rPr>
          <w:fldChar w:fldCharType="separate"/>
        </w:r>
        <w:r>
          <w:rPr>
            <w:webHidden/>
          </w:rPr>
          <w:t>131</w:t>
        </w:r>
        <w:r>
          <w:rPr>
            <w:webHidden/>
          </w:rPr>
          <w:fldChar w:fldCharType="end"/>
        </w:r>
      </w:hyperlink>
    </w:p>
    <w:p w14:paraId="069269AD" w14:textId="04B8E983" w:rsidR="00067371" w:rsidRDefault="00067371">
      <w:pPr>
        <w:pStyle w:val="TOC3"/>
        <w:rPr>
          <w:rFonts w:asciiTheme="minorHAnsi" w:eastAsiaTheme="minorEastAsia" w:hAnsiTheme="minorHAnsi" w:cstheme="minorBidi"/>
          <w:kern w:val="2"/>
          <w:sz w:val="24"/>
          <w:szCs w:val="24"/>
          <w14:ligatures w14:val="standardContextual"/>
        </w:rPr>
      </w:pPr>
      <w:hyperlink w:anchor="_Toc214283248" w:history="1">
        <w:r w:rsidRPr="008F4954">
          <w:rPr>
            <w:rStyle w:val="Hyperlink"/>
          </w:rPr>
          <w:t>5.11.7</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_Toc214283248 \h </w:instrText>
        </w:r>
        <w:r>
          <w:rPr>
            <w:webHidden/>
          </w:rPr>
        </w:r>
        <w:r>
          <w:rPr>
            <w:webHidden/>
          </w:rPr>
          <w:fldChar w:fldCharType="separate"/>
        </w:r>
        <w:r>
          <w:rPr>
            <w:webHidden/>
          </w:rPr>
          <w:t>132</w:t>
        </w:r>
        <w:r>
          <w:rPr>
            <w:webHidden/>
          </w:rPr>
          <w:fldChar w:fldCharType="end"/>
        </w:r>
      </w:hyperlink>
    </w:p>
    <w:p w14:paraId="39ECCEB1" w14:textId="4FB7B158" w:rsidR="00067371" w:rsidRDefault="00067371">
      <w:pPr>
        <w:pStyle w:val="TOC3"/>
        <w:rPr>
          <w:rFonts w:asciiTheme="minorHAnsi" w:eastAsiaTheme="minorEastAsia" w:hAnsiTheme="minorHAnsi" w:cstheme="minorBidi"/>
          <w:kern w:val="2"/>
          <w:sz w:val="24"/>
          <w:szCs w:val="24"/>
          <w14:ligatures w14:val="standardContextual"/>
        </w:rPr>
      </w:pPr>
      <w:hyperlink w:anchor="_Toc214283249" w:history="1">
        <w:r w:rsidRPr="008F4954">
          <w:rPr>
            <w:rStyle w:val="Hyperlink"/>
          </w:rPr>
          <w:t>5.11.8</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_Toc214283249 \h </w:instrText>
        </w:r>
        <w:r>
          <w:rPr>
            <w:webHidden/>
          </w:rPr>
        </w:r>
        <w:r>
          <w:rPr>
            <w:webHidden/>
          </w:rPr>
          <w:fldChar w:fldCharType="separate"/>
        </w:r>
        <w:r>
          <w:rPr>
            <w:webHidden/>
          </w:rPr>
          <w:t>132</w:t>
        </w:r>
        <w:r>
          <w:rPr>
            <w:webHidden/>
          </w:rPr>
          <w:fldChar w:fldCharType="end"/>
        </w:r>
      </w:hyperlink>
    </w:p>
    <w:p w14:paraId="4CC222A8" w14:textId="13C7416B" w:rsidR="00067371" w:rsidRDefault="00067371">
      <w:pPr>
        <w:pStyle w:val="TOC3"/>
        <w:rPr>
          <w:rFonts w:asciiTheme="minorHAnsi" w:eastAsiaTheme="minorEastAsia" w:hAnsiTheme="minorHAnsi" w:cstheme="minorBidi"/>
          <w:kern w:val="2"/>
          <w:sz w:val="24"/>
          <w:szCs w:val="24"/>
          <w14:ligatures w14:val="standardContextual"/>
        </w:rPr>
      </w:pPr>
      <w:hyperlink w:anchor="_Toc214283250" w:history="1">
        <w:r w:rsidRPr="008F4954">
          <w:rPr>
            <w:rStyle w:val="Hyperlink"/>
          </w:rPr>
          <w:t>5.11.9</w:t>
        </w:r>
        <w:r>
          <w:rPr>
            <w:rFonts w:asciiTheme="minorHAnsi" w:eastAsiaTheme="minorEastAsia" w:hAnsiTheme="minorHAnsi" w:cstheme="minorBidi"/>
            <w:kern w:val="2"/>
            <w:sz w:val="24"/>
            <w:szCs w:val="24"/>
            <w14:ligatures w14:val="standardContextual"/>
          </w:rPr>
          <w:tab/>
        </w:r>
        <w:r w:rsidRPr="008F4954">
          <w:rPr>
            <w:rStyle w:val="Hyperlink"/>
          </w:rPr>
          <w:t>Display References</w:t>
        </w:r>
        <w:r>
          <w:rPr>
            <w:webHidden/>
          </w:rPr>
          <w:tab/>
        </w:r>
        <w:r>
          <w:rPr>
            <w:webHidden/>
          </w:rPr>
          <w:fldChar w:fldCharType="begin"/>
        </w:r>
        <w:r>
          <w:rPr>
            <w:webHidden/>
          </w:rPr>
          <w:instrText xml:space="preserve"> PAGEREF _Toc214283250 \h </w:instrText>
        </w:r>
        <w:r>
          <w:rPr>
            <w:webHidden/>
          </w:rPr>
        </w:r>
        <w:r>
          <w:rPr>
            <w:webHidden/>
          </w:rPr>
          <w:fldChar w:fldCharType="separate"/>
        </w:r>
        <w:r>
          <w:rPr>
            <w:webHidden/>
          </w:rPr>
          <w:t>132</w:t>
        </w:r>
        <w:r>
          <w:rPr>
            <w:webHidden/>
          </w:rPr>
          <w:fldChar w:fldCharType="end"/>
        </w:r>
      </w:hyperlink>
    </w:p>
    <w:p w14:paraId="4EB87660" w14:textId="5C3A41F9" w:rsidR="00067371" w:rsidRDefault="00067371">
      <w:pPr>
        <w:pStyle w:val="TOC3"/>
        <w:rPr>
          <w:rFonts w:asciiTheme="minorHAnsi" w:eastAsiaTheme="minorEastAsia" w:hAnsiTheme="minorHAnsi" w:cstheme="minorBidi"/>
          <w:kern w:val="2"/>
          <w:sz w:val="24"/>
          <w:szCs w:val="24"/>
          <w14:ligatures w14:val="standardContextual"/>
        </w:rPr>
      </w:pPr>
      <w:hyperlink w:anchor="_Toc214283251" w:history="1">
        <w:r w:rsidRPr="008F4954">
          <w:rPr>
            <w:rStyle w:val="Hyperlink"/>
          </w:rPr>
          <w:t>5.11.10</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_Toc214283251 \h </w:instrText>
        </w:r>
        <w:r>
          <w:rPr>
            <w:webHidden/>
          </w:rPr>
        </w:r>
        <w:r>
          <w:rPr>
            <w:webHidden/>
          </w:rPr>
          <w:fldChar w:fldCharType="separate"/>
        </w:r>
        <w:r>
          <w:rPr>
            <w:webHidden/>
          </w:rPr>
          <w:t>132</w:t>
        </w:r>
        <w:r>
          <w:rPr>
            <w:webHidden/>
          </w:rPr>
          <w:fldChar w:fldCharType="end"/>
        </w:r>
      </w:hyperlink>
    </w:p>
    <w:p w14:paraId="15A21792" w14:textId="5C5DFCB7" w:rsidR="00067371" w:rsidRDefault="00067371">
      <w:pPr>
        <w:pStyle w:val="TOC3"/>
        <w:rPr>
          <w:rFonts w:asciiTheme="minorHAnsi" w:eastAsiaTheme="minorEastAsia" w:hAnsiTheme="minorHAnsi" w:cstheme="minorBidi"/>
          <w:kern w:val="2"/>
          <w:sz w:val="24"/>
          <w:szCs w:val="24"/>
          <w14:ligatures w14:val="standardContextual"/>
        </w:rPr>
      </w:pPr>
      <w:hyperlink w:anchor="_Toc214283252" w:history="1">
        <w:r w:rsidRPr="008F4954">
          <w:rPr>
            <w:rStyle w:val="Hyperlink"/>
          </w:rPr>
          <w:t>5.11.11</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_Toc214283252 \h </w:instrText>
        </w:r>
        <w:r>
          <w:rPr>
            <w:webHidden/>
          </w:rPr>
        </w:r>
        <w:r>
          <w:rPr>
            <w:webHidden/>
          </w:rPr>
          <w:fldChar w:fldCharType="separate"/>
        </w:r>
        <w:r>
          <w:rPr>
            <w:webHidden/>
          </w:rPr>
          <w:t>132</w:t>
        </w:r>
        <w:r>
          <w:rPr>
            <w:webHidden/>
          </w:rPr>
          <w:fldChar w:fldCharType="end"/>
        </w:r>
      </w:hyperlink>
    </w:p>
    <w:p w14:paraId="066EF596" w14:textId="6287A7D8" w:rsidR="00067371" w:rsidRDefault="00067371">
      <w:pPr>
        <w:pStyle w:val="TOC3"/>
        <w:rPr>
          <w:rFonts w:asciiTheme="minorHAnsi" w:eastAsiaTheme="minorEastAsia" w:hAnsiTheme="minorHAnsi" w:cstheme="minorBidi"/>
          <w:kern w:val="2"/>
          <w:sz w:val="24"/>
          <w:szCs w:val="24"/>
          <w14:ligatures w14:val="standardContextual"/>
        </w:rPr>
      </w:pPr>
      <w:hyperlink w:anchor="_Toc214283253" w:history="1">
        <w:r w:rsidRPr="008F4954">
          <w:rPr>
            <w:rStyle w:val="Hyperlink"/>
          </w:rPr>
          <w:t>5.11.12</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_Toc214283253 \h </w:instrText>
        </w:r>
        <w:r>
          <w:rPr>
            <w:webHidden/>
          </w:rPr>
        </w:r>
        <w:r>
          <w:rPr>
            <w:webHidden/>
          </w:rPr>
          <w:fldChar w:fldCharType="separate"/>
        </w:r>
        <w:r>
          <w:rPr>
            <w:webHidden/>
          </w:rPr>
          <w:t>132</w:t>
        </w:r>
        <w:r>
          <w:rPr>
            <w:webHidden/>
          </w:rPr>
          <w:fldChar w:fldCharType="end"/>
        </w:r>
      </w:hyperlink>
    </w:p>
    <w:p w14:paraId="69D04226" w14:textId="4EDF25A2" w:rsidR="00067371" w:rsidRDefault="00067371">
      <w:pPr>
        <w:pStyle w:val="TOC3"/>
        <w:rPr>
          <w:rFonts w:asciiTheme="minorHAnsi" w:eastAsiaTheme="minorEastAsia" w:hAnsiTheme="minorHAnsi" w:cstheme="minorBidi"/>
          <w:kern w:val="2"/>
          <w:sz w:val="24"/>
          <w:szCs w:val="24"/>
          <w14:ligatures w14:val="standardContextual"/>
        </w:rPr>
      </w:pPr>
      <w:hyperlink w:anchor="_Toc214283254" w:history="1">
        <w:r w:rsidRPr="008F4954">
          <w:rPr>
            <w:rStyle w:val="Hyperlink"/>
          </w:rPr>
          <w:t>5.11.13</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_Toc214283254 \h </w:instrText>
        </w:r>
        <w:r>
          <w:rPr>
            <w:webHidden/>
          </w:rPr>
        </w:r>
        <w:r>
          <w:rPr>
            <w:webHidden/>
          </w:rPr>
          <w:fldChar w:fldCharType="separate"/>
        </w:r>
        <w:r>
          <w:rPr>
            <w:webHidden/>
          </w:rPr>
          <w:t>132</w:t>
        </w:r>
        <w:r>
          <w:rPr>
            <w:webHidden/>
          </w:rPr>
          <w:fldChar w:fldCharType="end"/>
        </w:r>
      </w:hyperlink>
    </w:p>
    <w:p w14:paraId="758690A8" w14:textId="446CBC7E"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255" w:history="1">
        <w:r w:rsidRPr="008F4954">
          <w:rPr>
            <w:rStyle w:val="Hyperlink"/>
          </w:rPr>
          <w:t>5.12</w:t>
        </w:r>
        <w:r>
          <w:rPr>
            <w:rFonts w:asciiTheme="minorHAnsi" w:eastAsiaTheme="minorEastAsia" w:hAnsiTheme="minorHAnsi" w:cstheme="minorBidi"/>
            <w:smallCaps w:val="0"/>
            <w:kern w:val="2"/>
            <w:szCs w:val="24"/>
            <w14:ligatures w14:val="standardContextual"/>
          </w:rPr>
          <w:tab/>
        </w:r>
        <w:r w:rsidRPr="008F4954">
          <w:rPr>
            <w:rStyle w:val="Hyperlink"/>
          </w:rPr>
          <w:t>LIBRARIES TOOL</w:t>
        </w:r>
        <w:r>
          <w:rPr>
            <w:webHidden/>
          </w:rPr>
          <w:tab/>
        </w:r>
        <w:r>
          <w:rPr>
            <w:webHidden/>
          </w:rPr>
          <w:fldChar w:fldCharType="begin"/>
        </w:r>
        <w:r>
          <w:rPr>
            <w:webHidden/>
          </w:rPr>
          <w:instrText xml:space="preserve"> PAGEREF _Toc214283255 \h </w:instrText>
        </w:r>
        <w:r>
          <w:rPr>
            <w:webHidden/>
          </w:rPr>
        </w:r>
        <w:r>
          <w:rPr>
            <w:webHidden/>
          </w:rPr>
          <w:fldChar w:fldCharType="separate"/>
        </w:r>
        <w:r>
          <w:rPr>
            <w:webHidden/>
          </w:rPr>
          <w:t>133</w:t>
        </w:r>
        <w:r>
          <w:rPr>
            <w:webHidden/>
          </w:rPr>
          <w:fldChar w:fldCharType="end"/>
        </w:r>
      </w:hyperlink>
    </w:p>
    <w:p w14:paraId="4668699A" w14:textId="71B26B85" w:rsidR="00067371" w:rsidRDefault="00067371">
      <w:pPr>
        <w:pStyle w:val="TOC3"/>
        <w:rPr>
          <w:rFonts w:asciiTheme="minorHAnsi" w:eastAsiaTheme="minorEastAsia" w:hAnsiTheme="minorHAnsi" w:cstheme="minorBidi"/>
          <w:kern w:val="2"/>
          <w:sz w:val="24"/>
          <w:szCs w:val="24"/>
          <w14:ligatures w14:val="standardContextual"/>
        </w:rPr>
      </w:pPr>
      <w:hyperlink w:anchor="_Toc214283256" w:history="1">
        <w:r w:rsidRPr="008F4954">
          <w:rPr>
            <w:rStyle w:val="Hyperlink"/>
          </w:rPr>
          <w:t>5.12.1</w:t>
        </w:r>
        <w:r>
          <w:rPr>
            <w:rFonts w:asciiTheme="minorHAnsi" w:eastAsiaTheme="minorEastAsia" w:hAnsiTheme="minorHAnsi" w:cstheme="minorBidi"/>
            <w:kern w:val="2"/>
            <w:sz w:val="24"/>
            <w:szCs w:val="24"/>
            <w14:ligatures w14:val="standardContextual"/>
          </w:rPr>
          <w:tab/>
        </w:r>
        <w:r w:rsidRPr="008F4954">
          <w:rPr>
            <w:rStyle w:val="Hyperlink"/>
          </w:rPr>
          <w:t>New Library</w:t>
        </w:r>
        <w:r>
          <w:rPr>
            <w:webHidden/>
          </w:rPr>
          <w:tab/>
        </w:r>
        <w:r>
          <w:rPr>
            <w:webHidden/>
          </w:rPr>
          <w:fldChar w:fldCharType="begin"/>
        </w:r>
        <w:r>
          <w:rPr>
            <w:webHidden/>
          </w:rPr>
          <w:instrText xml:space="preserve"> PAGEREF _Toc214283256 \h </w:instrText>
        </w:r>
        <w:r>
          <w:rPr>
            <w:webHidden/>
          </w:rPr>
        </w:r>
        <w:r>
          <w:rPr>
            <w:webHidden/>
          </w:rPr>
          <w:fldChar w:fldCharType="separate"/>
        </w:r>
        <w:r>
          <w:rPr>
            <w:webHidden/>
          </w:rPr>
          <w:t>134</w:t>
        </w:r>
        <w:r>
          <w:rPr>
            <w:webHidden/>
          </w:rPr>
          <w:fldChar w:fldCharType="end"/>
        </w:r>
      </w:hyperlink>
    </w:p>
    <w:p w14:paraId="2EA81A6E" w14:textId="2BED9F96" w:rsidR="00067371" w:rsidRDefault="00067371">
      <w:pPr>
        <w:pStyle w:val="TOC3"/>
        <w:rPr>
          <w:rFonts w:asciiTheme="minorHAnsi" w:eastAsiaTheme="minorEastAsia" w:hAnsiTheme="minorHAnsi" w:cstheme="minorBidi"/>
          <w:kern w:val="2"/>
          <w:sz w:val="24"/>
          <w:szCs w:val="24"/>
          <w14:ligatures w14:val="standardContextual"/>
        </w:rPr>
      </w:pPr>
      <w:hyperlink w:anchor="_Toc214283257" w:history="1">
        <w:r w:rsidRPr="008F4954">
          <w:rPr>
            <w:rStyle w:val="Hyperlink"/>
          </w:rPr>
          <w:t>5.12.2</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_Toc214283257 \h </w:instrText>
        </w:r>
        <w:r>
          <w:rPr>
            <w:webHidden/>
          </w:rPr>
        </w:r>
        <w:r>
          <w:rPr>
            <w:webHidden/>
          </w:rPr>
          <w:fldChar w:fldCharType="separate"/>
        </w:r>
        <w:r>
          <w:rPr>
            <w:webHidden/>
          </w:rPr>
          <w:t>137</w:t>
        </w:r>
        <w:r>
          <w:rPr>
            <w:webHidden/>
          </w:rPr>
          <w:fldChar w:fldCharType="end"/>
        </w:r>
      </w:hyperlink>
    </w:p>
    <w:p w14:paraId="020AAD81" w14:textId="3F4B2CDB" w:rsidR="00067371" w:rsidRDefault="00067371">
      <w:pPr>
        <w:pStyle w:val="TOC3"/>
        <w:rPr>
          <w:rFonts w:asciiTheme="minorHAnsi" w:eastAsiaTheme="minorEastAsia" w:hAnsiTheme="minorHAnsi" w:cstheme="minorBidi"/>
          <w:kern w:val="2"/>
          <w:sz w:val="24"/>
          <w:szCs w:val="24"/>
          <w14:ligatures w14:val="standardContextual"/>
        </w:rPr>
      </w:pPr>
      <w:hyperlink w:anchor="_Toc214283258" w:history="1">
        <w:r w:rsidRPr="008F4954">
          <w:rPr>
            <w:rStyle w:val="Hyperlink"/>
          </w:rPr>
          <w:t>5.12.3</w:t>
        </w:r>
        <w:r>
          <w:rPr>
            <w:rFonts w:asciiTheme="minorHAnsi" w:eastAsiaTheme="minorEastAsia" w:hAnsiTheme="minorHAnsi" w:cstheme="minorBidi"/>
            <w:kern w:val="2"/>
            <w:sz w:val="24"/>
            <w:szCs w:val="24"/>
            <w14:ligatures w14:val="standardContextual"/>
          </w:rPr>
          <w:tab/>
        </w:r>
        <w:r w:rsidRPr="008F4954">
          <w:rPr>
            <w:rStyle w:val="Hyperlink"/>
          </w:rPr>
          <w:t>Display Standing Launch Sequence Plan (LSP) (Mission Library Only)</w:t>
        </w:r>
        <w:r>
          <w:rPr>
            <w:webHidden/>
          </w:rPr>
          <w:tab/>
        </w:r>
        <w:r>
          <w:rPr>
            <w:webHidden/>
          </w:rPr>
          <w:fldChar w:fldCharType="begin"/>
        </w:r>
        <w:r>
          <w:rPr>
            <w:webHidden/>
          </w:rPr>
          <w:instrText xml:space="preserve"> PAGEREF _Toc214283258 \h </w:instrText>
        </w:r>
        <w:r>
          <w:rPr>
            <w:webHidden/>
          </w:rPr>
        </w:r>
        <w:r>
          <w:rPr>
            <w:webHidden/>
          </w:rPr>
          <w:fldChar w:fldCharType="separate"/>
        </w:r>
        <w:r>
          <w:rPr>
            <w:webHidden/>
          </w:rPr>
          <w:t>138</w:t>
        </w:r>
        <w:r>
          <w:rPr>
            <w:webHidden/>
          </w:rPr>
          <w:fldChar w:fldCharType="end"/>
        </w:r>
      </w:hyperlink>
    </w:p>
    <w:p w14:paraId="6EAEE289" w14:textId="496590E8" w:rsidR="00067371" w:rsidRDefault="00067371">
      <w:pPr>
        <w:pStyle w:val="TOC3"/>
        <w:rPr>
          <w:rFonts w:asciiTheme="minorHAnsi" w:eastAsiaTheme="minorEastAsia" w:hAnsiTheme="minorHAnsi" w:cstheme="minorBidi"/>
          <w:kern w:val="2"/>
          <w:sz w:val="24"/>
          <w:szCs w:val="24"/>
          <w14:ligatures w14:val="standardContextual"/>
        </w:rPr>
      </w:pPr>
      <w:hyperlink w:anchor="_Toc214283259" w:history="1">
        <w:r w:rsidRPr="008F4954">
          <w:rPr>
            <w:rStyle w:val="Hyperlink"/>
          </w:rPr>
          <w:t>5.12.4</w:t>
        </w:r>
        <w:r>
          <w:rPr>
            <w:rFonts w:asciiTheme="minorHAnsi" w:eastAsiaTheme="minorEastAsia" w:hAnsiTheme="minorHAnsi" w:cstheme="minorBidi"/>
            <w:kern w:val="2"/>
            <w:sz w:val="24"/>
            <w:szCs w:val="24"/>
            <w14:ligatures w14:val="standardContextual"/>
          </w:rPr>
          <w:tab/>
        </w:r>
        <w:r w:rsidRPr="008F4954">
          <w:rPr>
            <w:rStyle w:val="Hyperlink"/>
          </w:rPr>
          <w:t>Save As</w:t>
        </w:r>
        <w:r>
          <w:rPr>
            <w:webHidden/>
          </w:rPr>
          <w:tab/>
        </w:r>
        <w:r>
          <w:rPr>
            <w:webHidden/>
          </w:rPr>
          <w:fldChar w:fldCharType="begin"/>
        </w:r>
        <w:r>
          <w:rPr>
            <w:webHidden/>
          </w:rPr>
          <w:instrText xml:space="preserve"> PAGEREF _Toc214283259 \h </w:instrText>
        </w:r>
        <w:r>
          <w:rPr>
            <w:webHidden/>
          </w:rPr>
        </w:r>
        <w:r>
          <w:rPr>
            <w:webHidden/>
          </w:rPr>
          <w:fldChar w:fldCharType="separate"/>
        </w:r>
        <w:r>
          <w:rPr>
            <w:webHidden/>
          </w:rPr>
          <w:t>139</w:t>
        </w:r>
        <w:r>
          <w:rPr>
            <w:webHidden/>
          </w:rPr>
          <w:fldChar w:fldCharType="end"/>
        </w:r>
      </w:hyperlink>
    </w:p>
    <w:p w14:paraId="46359636" w14:textId="171CA13E" w:rsidR="00067371" w:rsidRDefault="00067371">
      <w:pPr>
        <w:pStyle w:val="TOC3"/>
        <w:rPr>
          <w:rFonts w:asciiTheme="minorHAnsi" w:eastAsiaTheme="minorEastAsia" w:hAnsiTheme="minorHAnsi" w:cstheme="minorBidi"/>
          <w:kern w:val="2"/>
          <w:sz w:val="24"/>
          <w:szCs w:val="24"/>
          <w14:ligatures w14:val="standardContextual"/>
        </w:rPr>
      </w:pPr>
      <w:hyperlink w:anchor="_Toc214283260" w:history="1">
        <w:r w:rsidRPr="008F4954">
          <w:rPr>
            <w:rStyle w:val="Hyperlink"/>
          </w:rPr>
          <w:t>5.12.5</w:t>
        </w:r>
        <w:r>
          <w:rPr>
            <w:rFonts w:asciiTheme="minorHAnsi" w:eastAsiaTheme="minorEastAsia" w:hAnsiTheme="minorHAnsi" w:cstheme="minorBidi"/>
            <w:kern w:val="2"/>
            <w:sz w:val="24"/>
            <w:szCs w:val="24"/>
            <w14:ligatures w14:val="standardContextual"/>
          </w:rPr>
          <w:tab/>
        </w:r>
        <w:r w:rsidRPr="008F4954">
          <w:rPr>
            <w:rStyle w:val="Hyperlink"/>
          </w:rPr>
          <w:t>Show Differences</w:t>
        </w:r>
        <w:r>
          <w:rPr>
            <w:webHidden/>
          </w:rPr>
          <w:tab/>
        </w:r>
        <w:r>
          <w:rPr>
            <w:webHidden/>
          </w:rPr>
          <w:fldChar w:fldCharType="begin"/>
        </w:r>
        <w:r>
          <w:rPr>
            <w:webHidden/>
          </w:rPr>
          <w:instrText xml:space="preserve"> PAGEREF _Toc214283260 \h </w:instrText>
        </w:r>
        <w:r>
          <w:rPr>
            <w:webHidden/>
          </w:rPr>
        </w:r>
        <w:r>
          <w:rPr>
            <w:webHidden/>
          </w:rPr>
          <w:fldChar w:fldCharType="separate"/>
        </w:r>
        <w:r>
          <w:rPr>
            <w:webHidden/>
          </w:rPr>
          <w:t>139</w:t>
        </w:r>
        <w:r>
          <w:rPr>
            <w:webHidden/>
          </w:rPr>
          <w:fldChar w:fldCharType="end"/>
        </w:r>
      </w:hyperlink>
    </w:p>
    <w:p w14:paraId="10D06A84" w14:textId="1C3DEA60" w:rsidR="00067371" w:rsidRDefault="00067371">
      <w:pPr>
        <w:pStyle w:val="TOC3"/>
        <w:rPr>
          <w:rFonts w:asciiTheme="minorHAnsi" w:eastAsiaTheme="minorEastAsia" w:hAnsiTheme="minorHAnsi" w:cstheme="minorBidi"/>
          <w:kern w:val="2"/>
          <w:sz w:val="24"/>
          <w:szCs w:val="24"/>
          <w14:ligatures w14:val="standardContextual"/>
        </w:rPr>
      </w:pPr>
      <w:hyperlink w:anchor="_Toc214283261" w:history="1">
        <w:r w:rsidRPr="008F4954">
          <w:rPr>
            <w:rStyle w:val="Hyperlink"/>
          </w:rPr>
          <w:t>5.12.6</w:t>
        </w:r>
        <w:r>
          <w:rPr>
            <w:rFonts w:asciiTheme="minorHAnsi" w:eastAsiaTheme="minorEastAsia" w:hAnsiTheme="minorHAnsi" w:cstheme="minorBidi"/>
            <w:kern w:val="2"/>
            <w:sz w:val="24"/>
            <w:szCs w:val="24"/>
            <w14:ligatures w14:val="standardContextual"/>
          </w:rPr>
          <w:tab/>
        </w:r>
        <w:r w:rsidRPr="008F4954">
          <w:rPr>
            <w:rStyle w:val="Hyperlink"/>
          </w:rPr>
          <w:t>Compare Inventory</w:t>
        </w:r>
        <w:r>
          <w:rPr>
            <w:webHidden/>
          </w:rPr>
          <w:tab/>
        </w:r>
        <w:r>
          <w:rPr>
            <w:webHidden/>
          </w:rPr>
          <w:fldChar w:fldCharType="begin"/>
        </w:r>
        <w:r>
          <w:rPr>
            <w:webHidden/>
          </w:rPr>
          <w:instrText xml:space="preserve"> PAGEREF _Toc214283261 \h </w:instrText>
        </w:r>
        <w:r>
          <w:rPr>
            <w:webHidden/>
          </w:rPr>
        </w:r>
        <w:r>
          <w:rPr>
            <w:webHidden/>
          </w:rPr>
          <w:fldChar w:fldCharType="separate"/>
        </w:r>
        <w:r>
          <w:rPr>
            <w:webHidden/>
          </w:rPr>
          <w:t>140</w:t>
        </w:r>
        <w:r>
          <w:rPr>
            <w:webHidden/>
          </w:rPr>
          <w:fldChar w:fldCharType="end"/>
        </w:r>
      </w:hyperlink>
    </w:p>
    <w:p w14:paraId="2692F5B7" w14:textId="71D62364" w:rsidR="00067371" w:rsidRDefault="00067371">
      <w:pPr>
        <w:pStyle w:val="TOC3"/>
        <w:rPr>
          <w:rFonts w:asciiTheme="minorHAnsi" w:eastAsiaTheme="minorEastAsia" w:hAnsiTheme="minorHAnsi" w:cstheme="minorBidi"/>
          <w:kern w:val="2"/>
          <w:sz w:val="24"/>
          <w:szCs w:val="24"/>
          <w14:ligatures w14:val="standardContextual"/>
        </w:rPr>
      </w:pPr>
      <w:hyperlink w:anchor="_Toc214283262" w:history="1">
        <w:r w:rsidRPr="008F4954">
          <w:rPr>
            <w:rStyle w:val="Hyperlink"/>
          </w:rPr>
          <w:t>5.12.7</w:t>
        </w:r>
        <w:r>
          <w:rPr>
            <w:rFonts w:asciiTheme="minorHAnsi" w:eastAsiaTheme="minorEastAsia" w:hAnsiTheme="minorHAnsi" w:cstheme="minorBidi"/>
            <w:kern w:val="2"/>
            <w:sz w:val="24"/>
            <w:szCs w:val="24"/>
            <w14:ligatures w14:val="standardContextual"/>
          </w:rPr>
          <w:tab/>
        </w:r>
        <w:r w:rsidRPr="008F4954">
          <w:rPr>
            <w:rStyle w:val="Hyperlink"/>
          </w:rPr>
          <w:t>Merge</w:t>
        </w:r>
        <w:r>
          <w:rPr>
            <w:webHidden/>
          </w:rPr>
          <w:tab/>
        </w:r>
        <w:r>
          <w:rPr>
            <w:webHidden/>
          </w:rPr>
          <w:fldChar w:fldCharType="begin"/>
        </w:r>
        <w:r>
          <w:rPr>
            <w:webHidden/>
          </w:rPr>
          <w:instrText xml:space="preserve"> PAGEREF _Toc214283262 \h </w:instrText>
        </w:r>
        <w:r>
          <w:rPr>
            <w:webHidden/>
          </w:rPr>
        </w:r>
        <w:r>
          <w:rPr>
            <w:webHidden/>
          </w:rPr>
          <w:fldChar w:fldCharType="separate"/>
        </w:r>
        <w:r>
          <w:rPr>
            <w:webHidden/>
          </w:rPr>
          <w:t>141</w:t>
        </w:r>
        <w:r>
          <w:rPr>
            <w:webHidden/>
          </w:rPr>
          <w:fldChar w:fldCharType="end"/>
        </w:r>
      </w:hyperlink>
    </w:p>
    <w:p w14:paraId="6EE923F3" w14:textId="2EE63A06" w:rsidR="00067371" w:rsidRDefault="00067371">
      <w:pPr>
        <w:pStyle w:val="TOC3"/>
        <w:rPr>
          <w:rFonts w:asciiTheme="minorHAnsi" w:eastAsiaTheme="minorEastAsia" w:hAnsiTheme="minorHAnsi" w:cstheme="minorBidi"/>
          <w:kern w:val="2"/>
          <w:sz w:val="24"/>
          <w:szCs w:val="24"/>
          <w14:ligatures w14:val="standardContextual"/>
        </w:rPr>
      </w:pPr>
      <w:hyperlink w:anchor="_Toc214283263" w:history="1">
        <w:r w:rsidRPr="008F4954">
          <w:rPr>
            <w:rStyle w:val="Hyperlink"/>
          </w:rPr>
          <w:t>5.12.8</w:t>
        </w:r>
        <w:r>
          <w:rPr>
            <w:rFonts w:asciiTheme="minorHAnsi" w:eastAsiaTheme="minorEastAsia" w:hAnsiTheme="minorHAnsi" w:cstheme="minorBidi"/>
            <w:kern w:val="2"/>
            <w:sz w:val="24"/>
            <w:szCs w:val="24"/>
            <w14:ligatures w14:val="standardContextual"/>
          </w:rPr>
          <w:tab/>
        </w:r>
        <w:r w:rsidRPr="008F4954">
          <w:rPr>
            <w:rStyle w:val="Hyperlink"/>
          </w:rPr>
          <w:t>Query an Existing Library</w:t>
        </w:r>
        <w:r>
          <w:rPr>
            <w:webHidden/>
          </w:rPr>
          <w:tab/>
        </w:r>
        <w:r>
          <w:rPr>
            <w:webHidden/>
          </w:rPr>
          <w:fldChar w:fldCharType="begin"/>
        </w:r>
        <w:r>
          <w:rPr>
            <w:webHidden/>
          </w:rPr>
          <w:instrText xml:space="preserve"> PAGEREF _Toc214283263 \h </w:instrText>
        </w:r>
        <w:r>
          <w:rPr>
            <w:webHidden/>
          </w:rPr>
        </w:r>
        <w:r>
          <w:rPr>
            <w:webHidden/>
          </w:rPr>
          <w:fldChar w:fldCharType="separate"/>
        </w:r>
        <w:r>
          <w:rPr>
            <w:webHidden/>
          </w:rPr>
          <w:t>142</w:t>
        </w:r>
        <w:r>
          <w:rPr>
            <w:webHidden/>
          </w:rPr>
          <w:fldChar w:fldCharType="end"/>
        </w:r>
      </w:hyperlink>
    </w:p>
    <w:p w14:paraId="01152382" w14:textId="08619B2D" w:rsidR="00067371" w:rsidRDefault="00067371">
      <w:pPr>
        <w:pStyle w:val="TOC3"/>
        <w:rPr>
          <w:rFonts w:asciiTheme="minorHAnsi" w:eastAsiaTheme="minorEastAsia" w:hAnsiTheme="minorHAnsi" w:cstheme="minorBidi"/>
          <w:kern w:val="2"/>
          <w:sz w:val="24"/>
          <w:szCs w:val="24"/>
          <w14:ligatures w14:val="standardContextual"/>
        </w:rPr>
      </w:pPr>
      <w:hyperlink w:anchor="_Toc214283264" w:history="1">
        <w:r w:rsidRPr="008F4954">
          <w:rPr>
            <w:rStyle w:val="Hyperlink"/>
          </w:rPr>
          <w:t>5.12.9</w:t>
        </w:r>
        <w:r>
          <w:rPr>
            <w:rFonts w:asciiTheme="minorHAnsi" w:eastAsiaTheme="minorEastAsia" w:hAnsiTheme="minorHAnsi" w:cstheme="minorBidi"/>
            <w:kern w:val="2"/>
            <w:sz w:val="24"/>
            <w:szCs w:val="24"/>
            <w14:ligatures w14:val="standardContextual"/>
          </w:rPr>
          <w:tab/>
        </w:r>
        <w:r w:rsidRPr="008F4954">
          <w:rPr>
            <w:rStyle w:val="Hyperlink"/>
          </w:rPr>
          <w:t>Validate Missions</w:t>
        </w:r>
        <w:r>
          <w:rPr>
            <w:webHidden/>
          </w:rPr>
          <w:tab/>
        </w:r>
        <w:r>
          <w:rPr>
            <w:webHidden/>
          </w:rPr>
          <w:fldChar w:fldCharType="begin"/>
        </w:r>
        <w:r>
          <w:rPr>
            <w:webHidden/>
          </w:rPr>
          <w:instrText xml:space="preserve"> PAGEREF _Toc214283264 \h </w:instrText>
        </w:r>
        <w:r>
          <w:rPr>
            <w:webHidden/>
          </w:rPr>
        </w:r>
        <w:r>
          <w:rPr>
            <w:webHidden/>
          </w:rPr>
          <w:fldChar w:fldCharType="separate"/>
        </w:r>
        <w:r>
          <w:rPr>
            <w:webHidden/>
          </w:rPr>
          <w:t>143</w:t>
        </w:r>
        <w:r>
          <w:rPr>
            <w:webHidden/>
          </w:rPr>
          <w:fldChar w:fldCharType="end"/>
        </w:r>
      </w:hyperlink>
    </w:p>
    <w:p w14:paraId="22FFDA04" w14:textId="1ED77C06" w:rsidR="00067371" w:rsidRDefault="00067371">
      <w:pPr>
        <w:pStyle w:val="TOC3"/>
        <w:rPr>
          <w:rFonts w:asciiTheme="minorHAnsi" w:eastAsiaTheme="minorEastAsia" w:hAnsiTheme="minorHAnsi" w:cstheme="minorBidi"/>
          <w:kern w:val="2"/>
          <w:sz w:val="24"/>
          <w:szCs w:val="24"/>
          <w14:ligatures w14:val="standardContextual"/>
        </w:rPr>
      </w:pPr>
      <w:hyperlink w:anchor="_Toc214283265" w:history="1">
        <w:r w:rsidRPr="008F4954">
          <w:rPr>
            <w:rStyle w:val="Hyperlink"/>
          </w:rPr>
          <w:t>5.12.10</w:t>
        </w:r>
        <w:r>
          <w:rPr>
            <w:rFonts w:asciiTheme="minorHAnsi" w:eastAsiaTheme="minorEastAsia" w:hAnsiTheme="minorHAnsi" w:cstheme="minorBidi"/>
            <w:kern w:val="2"/>
            <w:sz w:val="24"/>
            <w:szCs w:val="24"/>
            <w14:ligatures w14:val="standardContextual"/>
          </w:rPr>
          <w:tab/>
        </w:r>
        <w:r w:rsidRPr="008F4954">
          <w:rPr>
            <w:rStyle w:val="Hyperlink"/>
          </w:rPr>
          <w:t>Distribution Dashboard</w:t>
        </w:r>
        <w:r>
          <w:rPr>
            <w:webHidden/>
          </w:rPr>
          <w:tab/>
        </w:r>
        <w:r>
          <w:rPr>
            <w:webHidden/>
          </w:rPr>
          <w:fldChar w:fldCharType="begin"/>
        </w:r>
        <w:r>
          <w:rPr>
            <w:webHidden/>
          </w:rPr>
          <w:instrText xml:space="preserve"> PAGEREF _Toc214283265 \h </w:instrText>
        </w:r>
        <w:r>
          <w:rPr>
            <w:webHidden/>
          </w:rPr>
        </w:r>
        <w:r>
          <w:rPr>
            <w:webHidden/>
          </w:rPr>
          <w:fldChar w:fldCharType="separate"/>
        </w:r>
        <w:r>
          <w:rPr>
            <w:webHidden/>
          </w:rPr>
          <w:t>144</w:t>
        </w:r>
        <w:r>
          <w:rPr>
            <w:webHidden/>
          </w:rPr>
          <w:fldChar w:fldCharType="end"/>
        </w:r>
      </w:hyperlink>
    </w:p>
    <w:p w14:paraId="4C5B903D" w14:textId="463E078E" w:rsidR="00067371" w:rsidRDefault="00067371">
      <w:pPr>
        <w:pStyle w:val="TOC3"/>
        <w:rPr>
          <w:rFonts w:asciiTheme="minorHAnsi" w:eastAsiaTheme="minorEastAsia" w:hAnsiTheme="minorHAnsi" w:cstheme="minorBidi"/>
          <w:kern w:val="2"/>
          <w:sz w:val="24"/>
          <w:szCs w:val="24"/>
          <w14:ligatures w14:val="standardContextual"/>
        </w:rPr>
      </w:pPr>
      <w:hyperlink w:anchor="_Toc214283266" w:history="1">
        <w:r w:rsidRPr="008F4954">
          <w:rPr>
            <w:rStyle w:val="Hyperlink"/>
          </w:rPr>
          <w:t>5.12.11</w:t>
        </w:r>
        <w:r>
          <w:rPr>
            <w:rFonts w:asciiTheme="minorHAnsi" w:eastAsiaTheme="minorEastAsia" w:hAnsiTheme="minorHAnsi" w:cstheme="minorBidi"/>
            <w:kern w:val="2"/>
            <w:sz w:val="24"/>
            <w:szCs w:val="24"/>
            <w14:ligatures w14:val="standardContextual"/>
          </w:rPr>
          <w:tab/>
        </w:r>
        <w:r w:rsidRPr="008F4954">
          <w:rPr>
            <w:rStyle w:val="Hyperlink"/>
          </w:rPr>
          <w:t>Deconflict Prohibited Areas (Mission Library Only)</w:t>
        </w:r>
        <w:r>
          <w:rPr>
            <w:webHidden/>
          </w:rPr>
          <w:tab/>
        </w:r>
        <w:r>
          <w:rPr>
            <w:webHidden/>
          </w:rPr>
          <w:fldChar w:fldCharType="begin"/>
        </w:r>
        <w:r>
          <w:rPr>
            <w:webHidden/>
          </w:rPr>
          <w:instrText xml:space="preserve"> PAGEREF _Toc214283266 \h </w:instrText>
        </w:r>
        <w:r>
          <w:rPr>
            <w:webHidden/>
          </w:rPr>
        </w:r>
        <w:r>
          <w:rPr>
            <w:webHidden/>
          </w:rPr>
          <w:fldChar w:fldCharType="separate"/>
        </w:r>
        <w:r>
          <w:rPr>
            <w:webHidden/>
          </w:rPr>
          <w:t>144</w:t>
        </w:r>
        <w:r>
          <w:rPr>
            <w:webHidden/>
          </w:rPr>
          <w:fldChar w:fldCharType="end"/>
        </w:r>
      </w:hyperlink>
    </w:p>
    <w:p w14:paraId="6FB94FC2" w14:textId="338C74A8" w:rsidR="00067371" w:rsidRDefault="00067371">
      <w:pPr>
        <w:pStyle w:val="TOC3"/>
        <w:rPr>
          <w:rFonts w:asciiTheme="minorHAnsi" w:eastAsiaTheme="minorEastAsia" w:hAnsiTheme="minorHAnsi" w:cstheme="minorBidi"/>
          <w:kern w:val="2"/>
          <w:sz w:val="24"/>
          <w:szCs w:val="24"/>
          <w14:ligatures w14:val="standardContextual"/>
        </w:rPr>
      </w:pPr>
      <w:hyperlink w:anchor="_Toc214283267" w:history="1">
        <w:r w:rsidRPr="008F4954">
          <w:rPr>
            <w:rStyle w:val="Hyperlink"/>
          </w:rPr>
          <w:t>5.12.12</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_Toc214283267 \h </w:instrText>
        </w:r>
        <w:r>
          <w:rPr>
            <w:webHidden/>
          </w:rPr>
        </w:r>
        <w:r>
          <w:rPr>
            <w:webHidden/>
          </w:rPr>
          <w:fldChar w:fldCharType="separate"/>
        </w:r>
        <w:r>
          <w:rPr>
            <w:webHidden/>
          </w:rPr>
          <w:t>148</w:t>
        </w:r>
        <w:r>
          <w:rPr>
            <w:webHidden/>
          </w:rPr>
          <w:fldChar w:fldCharType="end"/>
        </w:r>
      </w:hyperlink>
    </w:p>
    <w:p w14:paraId="3335B4AC" w14:textId="52F028A4" w:rsidR="00067371" w:rsidRDefault="00067371">
      <w:pPr>
        <w:pStyle w:val="TOC3"/>
        <w:rPr>
          <w:rFonts w:asciiTheme="minorHAnsi" w:eastAsiaTheme="minorEastAsia" w:hAnsiTheme="minorHAnsi" w:cstheme="minorBidi"/>
          <w:kern w:val="2"/>
          <w:sz w:val="24"/>
          <w:szCs w:val="24"/>
          <w14:ligatures w14:val="standardContextual"/>
        </w:rPr>
      </w:pPr>
      <w:hyperlink w:anchor="_Toc214283268" w:history="1">
        <w:r w:rsidRPr="008F4954">
          <w:rPr>
            <w:rStyle w:val="Hyperlink"/>
          </w:rPr>
          <w:t>5.12.13</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_Toc214283268 \h </w:instrText>
        </w:r>
        <w:r>
          <w:rPr>
            <w:webHidden/>
          </w:rPr>
        </w:r>
        <w:r>
          <w:rPr>
            <w:webHidden/>
          </w:rPr>
          <w:fldChar w:fldCharType="separate"/>
        </w:r>
        <w:r>
          <w:rPr>
            <w:webHidden/>
          </w:rPr>
          <w:t>148</w:t>
        </w:r>
        <w:r>
          <w:rPr>
            <w:webHidden/>
          </w:rPr>
          <w:fldChar w:fldCharType="end"/>
        </w:r>
      </w:hyperlink>
    </w:p>
    <w:p w14:paraId="2E60F33E" w14:textId="4B792A58" w:rsidR="00067371" w:rsidRDefault="00067371">
      <w:pPr>
        <w:pStyle w:val="TOC3"/>
        <w:rPr>
          <w:rFonts w:asciiTheme="minorHAnsi" w:eastAsiaTheme="minorEastAsia" w:hAnsiTheme="minorHAnsi" w:cstheme="minorBidi"/>
          <w:kern w:val="2"/>
          <w:sz w:val="24"/>
          <w:szCs w:val="24"/>
          <w14:ligatures w14:val="standardContextual"/>
        </w:rPr>
      </w:pPr>
      <w:hyperlink w:anchor="_Toc214283269" w:history="1">
        <w:r w:rsidRPr="008F4954">
          <w:rPr>
            <w:rStyle w:val="Hyperlink"/>
          </w:rPr>
          <w:t>5.12.14</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_Toc214283269 \h </w:instrText>
        </w:r>
        <w:r>
          <w:rPr>
            <w:webHidden/>
          </w:rPr>
        </w:r>
        <w:r>
          <w:rPr>
            <w:webHidden/>
          </w:rPr>
          <w:fldChar w:fldCharType="separate"/>
        </w:r>
        <w:r>
          <w:rPr>
            <w:webHidden/>
          </w:rPr>
          <w:t>148</w:t>
        </w:r>
        <w:r>
          <w:rPr>
            <w:webHidden/>
          </w:rPr>
          <w:fldChar w:fldCharType="end"/>
        </w:r>
      </w:hyperlink>
    </w:p>
    <w:p w14:paraId="5860534F" w14:textId="5B6349A8" w:rsidR="00067371" w:rsidRDefault="00067371">
      <w:pPr>
        <w:pStyle w:val="TOC3"/>
        <w:rPr>
          <w:rFonts w:asciiTheme="minorHAnsi" w:eastAsiaTheme="minorEastAsia" w:hAnsiTheme="minorHAnsi" w:cstheme="minorBidi"/>
          <w:kern w:val="2"/>
          <w:sz w:val="24"/>
          <w:szCs w:val="24"/>
          <w14:ligatures w14:val="standardContextual"/>
        </w:rPr>
      </w:pPr>
      <w:hyperlink w:anchor="_Toc214283270" w:history="1">
        <w:r w:rsidRPr="008F4954">
          <w:rPr>
            <w:rStyle w:val="Hyperlink"/>
          </w:rPr>
          <w:t>5.12.15</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_Toc214283270 \h </w:instrText>
        </w:r>
        <w:r>
          <w:rPr>
            <w:webHidden/>
          </w:rPr>
        </w:r>
        <w:r>
          <w:rPr>
            <w:webHidden/>
          </w:rPr>
          <w:fldChar w:fldCharType="separate"/>
        </w:r>
        <w:r>
          <w:rPr>
            <w:webHidden/>
          </w:rPr>
          <w:t>148</w:t>
        </w:r>
        <w:r>
          <w:rPr>
            <w:webHidden/>
          </w:rPr>
          <w:fldChar w:fldCharType="end"/>
        </w:r>
      </w:hyperlink>
    </w:p>
    <w:p w14:paraId="0268E9FA" w14:textId="242B96A0" w:rsidR="00067371" w:rsidRDefault="00067371">
      <w:pPr>
        <w:pStyle w:val="TOC3"/>
        <w:rPr>
          <w:rFonts w:asciiTheme="minorHAnsi" w:eastAsiaTheme="minorEastAsia" w:hAnsiTheme="minorHAnsi" w:cstheme="minorBidi"/>
          <w:kern w:val="2"/>
          <w:sz w:val="24"/>
          <w:szCs w:val="24"/>
          <w14:ligatures w14:val="standardContextual"/>
        </w:rPr>
      </w:pPr>
      <w:hyperlink w:anchor="_Toc214283271" w:history="1">
        <w:r w:rsidRPr="008F4954">
          <w:rPr>
            <w:rStyle w:val="Hyperlink"/>
          </w:rPr>
          <w:t>5.12.16</w:t>
        </w:r>
        <w:r>
          <w:rPr>
            <w:rFonts w:asciiTheme="minorHAnsi" w:eastAsiaTheme="minorEastAsia" w:hAnsiTheme="minorHAnsi" w:cstheme="minorBidi"/>
            <w:kern w:val="2"/>
            <w:sz w:val="24"/>
            <w:szCs w:val="24"/>
            <w14:ligatures w14:val="standardContextual"/>
          </w:rPr>
          <w:tab/>
        </w:r>
        <w:r w:rsidRPr="008F4954">
          <w:rPr>
            <w:rStyle w:val="Hyperlink"/>
          </w:rPr>
          <w:t>Display References</w:t>
        </w:r>
        <w:r>
          <w:rPr>
            <w:webHidden/>
          </w:rPr>
          <w:tab/>
        </w:r>
        <w:r>
          <w:rPr>
            <w:webHidden/>
          </w:rPr>
          <w:fldChar w:fldCharType="begin"/>
        </w:r>
        <w:r>
          <w:rPr>
            <w:webHidden/>
          </w:rPr>
          <w:instrText xml:space="preserve"> PAGEREF _Toc214283271 \h </w:instrText>
        </w:r>
        <w:r>
          <w:rPr>
            <w:webHidden/>
          </w:rPr>
        </w:r>
        <w:r>
          <w:rPr>
            <w:webHidden/>
          </w:rPr>
          <w:fldChar w:fldCharType="separate"/>
        </w:r>
        <w:r>
          <w:rPr>
            <w:webHidden/>
          </w:rPr>
          <w:t>149</w:t>
        </w:r>
        <w:r>
          <w:rPr>
            <w:webHidden/>
          </w:rPr>
          <w:fldChar w:fldCharType="end"/>
        </w:r>
      </w:hyperlink>
    </w:p>
    <w:p w14:paraId="0DE4BAFE" w14:textId="69A52763" w:rsidR="00067371" w:rsidRDefault="00067371">
      <w:pPr>
        <w:pStyle w:val="TOC3"/>
        <w:rPr>
          <w:rFonts w:asciiTheme="minorHAnsi" w:eastAsiaTheme="minorEastAsia" w:hAnsiTheme="minorHAnsi" w:cstheme="minorBidi"/>
          <w:kern w:val="2"/>
          <w:sz w:val="24"/>
          <w:szCs w:val="24"/>
          <w14:ligatures w14:val="standardContextual"/>
        </w:rPr>
      </w:pPr>
      <w:hyperlink w:anchor="_Toc214283272" w:history="1">
        <w:r w:rsidRPr="008F4954">
          <w:rPr>
            <w:rStyle w:val="Hyperlink"/>
          </w:rPr>
          <w:t>5.12.17</w:t>
        </w:r>
        <w:r>
          <w:rPr>
            <w:rFonts w:asciiTheme="minorHAnsi" w:eastAsiaTheme="minorEastAsia" w:hAnsiTheme="minorHAnsi" w:cstheme="minorBidi"/>
            <w:kern w:val="2"/>
            <w:sz w:val="24"/>
            <w:szCs w:val="24"/>
            <w14:ligatures w14:val="standardContextual"/>
          </w:rPr>
          <w:tab/>
        </w:r>
        <w:r w:rsidRPr="008F4954">
          <w:rPr>
            <w:rStyle w:val="Hyperlink"/>
          </w:rPr>
          <w:t>Send</w:t>
        </w:r>
        <w:r>
          <w:rPr>
            <w:webHidden/>
          </w:rPr>
          <w:tab/>
        </w:r>
        <w:r>
          <w:rPr>
            <w:webHidden/>
          </w:rPr>
          <w:fldChar w:fldCharType="begin"/>
        </w:r>
        <w:r>
          <w:rPr>
            <w:webHidden/>
          </w:rPr>
          <w:instrText xml:space="preserve"> PAGEREF _Toc214283272 \h </w:instrText>
        </w:r>
        <w:r>
          <w:rPr>
            <w:webHidden/>
          </w:rPr>
        </w:r>
        <w:r>
          <w:rPr>
            <w:webHidden/>
          </w:rPr>
          <w:fldChar w:fldCharType="separate"/>
        </w:r>
        <w:r>
          <w:rPr>
            <w:webHidden/>
          </w:rPr>
          <w:t>149</w:t>
        </w:r>
        <w:r>
          <w:rPr>
            <w:webHidden/>
          </w:rPr>
          <w:fldChar w:fldCharType="end"/>
        </w:r>
      </w:hyperlink>
    </w:p>
    <w:p w14:paraId="1AE66B55" w14:textId="0DC13370" w:rsidR="00067371" w:rsidRDefault="00067371">
      <w:pPr>
        <w:pStyle w:val="TOC3"/>
        <w:rPr>
          <w:rFonts w:asciiTheme="minorHAnsi" w:eastAsiaTheme="minorEastAsia" w:hAnsiTheme="minorHAnsi" w:cstheme="minorBidi"/>
          <w:kern w:val="2"/>
          <w:sz w:val="24"/>
          <w:szCs w:val="24"/>
          <w14:ligatures w14:val="standardContextual"/>
        </w:rPr>
      </w:pPr>
      <w:hyperlink w:anchor="_Toc214283273" w:history="1">
        <w:r w:rsidRPr="008F4954">
          <w:rPr>
            <w:rStyle w:val="Hyperlink"/>
          </w:rPr>
          <w:t>5.12.18</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_Toc214283273 \h </w:instrText>
        </w:r>
        <w:r>
          <w:rPr>
            <w:webHidden/>
          </w:rPr>
        </w:r>
        <w:r>
          <w:rPr>
            <w:webHidden/>
          </w:rPr>
          <w:fldChar w:fldCharType="separate"/>
        </w:r>
        <w:r>
          <w:rPr>
            <w:webHidden/>
          </w:rPr>
          <w:t>149</w:t>
        </w:r>
        <w:r>
          <w:rPr>
            <w:webHidden/>
          </w:rPr>
          <w:fldChar w:fldCharType="end"/>
        </w:r>
      </w:hyperlink>
    </w:p>
    <w:p w14:paraId="14B06A2F" w14:textId="50E83B2C" w:rsidR="00067371" w:rsidRDefault="00067371">
      <w:pPr>
        <w:pStyle w:val="TOC3"/>
        <w:rPr>
          <w:rFonts w:asciiTheme="minorHAnsi" w:eastAsiaTheme="minorEastAsia" w:hAnsiTheme="minorHAnsi" w:cstheme="minorBidi"/>
          <w:kern w:val="2"/>
          <w:sz w:val="24"/>
          <w:szCs w:val="24"/>
          <w14:ligatures w14:val="standardContextual"/>
        </w:rPr>
      </w:pPr>
      <w:hyperlink w:anchor="_Toc214283274" w:history="1">
        <w:r w:rsidRPr="008F4954">
          <w:rPr>
            <w:rStyle w:val="Hyperlink"/>
          </w:rPr>
          <w:t>5.12.19</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_Toc214283274 \h </w:instrText>
        </w:r>
        <w:r>
          <w:rPr>
            <w:webHidden/>
          </w:rPr>
        </w:r>
        <w:r>
          <w:rPr>
            <w:webHidden/>
          </w:rPr>
          <w:fldChar w:fldCharType="separate"/>
        </w:r>
        <w:r>
          <w:rPr>
            <w:webHidden/>
          </w:rPr>
          <w:t>149</w:t>
        </w:r>
        <w:r>
          <w:rPr>
            <w:webHidden/>
          </w:rPr>
          <w:fldChar w:fldCharType="end"/>
        </w:r>
      </w:hyperlink>
    </w:p>
    <w:p w14:paraId="4EE6396E" w14:textId="52ED9011" w:rsidR="00067371" w:rsidRDefault="00067371">
      <w:pPr>
        <w:pStyle w:val="TOC3"/>
        <w:rPr>
          <w:rFonts w:asciiTheme="minorHAnsi" w:eastAsiaTheme="minorEastAsia" w:hAnsiTheme="minorHAnsi" w:cstheme="minorBidi"/>
          <w:kern w:val="2"/>
          <w:sz w:val="24"/>
          <w:szCs w:val="24"/>
          <w14:ligatures w14:val="standardContextual"/>
        </w:rPr>
      </w:pPr>
      <w:hyperlink w:anchor="_Toc214283275" w:history="1">
        <w:r w:rsidRPr="008F4954">
          <w:rPr>
            <w:rStyle w:val="Hyperlink"/>
          </w:rPr>
          <w:t>5.12.20</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_Toc214283275 \h </w:instrText>
        </w:r>
        <w:r>
          <w:rPr>
            <w:webHidden/>
          </w:rPr>
        </w:r>
        <w:r>
          <w:rPr>
            <w:webHidden/>
          </w:rPr>
          <w:fldChar w:fldCharType="separate"/>
        </w:r>
        <w:r>
          <w:rPr>
            <w:webHidden/>
          </w:rPr>
          <w:t>149</w:t>
        </w:r>
        <w:r>
          <w:rPr>
            <w:webHidden/>
          </w:rPr>
          <w:fldChar w:fldCharType="end"/>
        </w:r>
      </w:hyperlink>
    </w:p>
    <w:p w14:paraId="71361F2E" w14:textId="27521821" w:rsidR="00067371" w:rsidRDefault="00067371">
      <w:pPr>
        <w:pStyle w:val="TOC3"/>
        <w:rPr>
          <w:rFonts w:asciiTheme="minorHAnsi" w:eastAsiaTheme="minorEastAsia" w:hAnsiTheme="minorHAnsi" w:cstheme="minorBidi"/>
          <w:kern w:val="2"/>
          <w:sz w:val="24"/>
          <w:szCs w:val="24"/>
          <w14:ligatures w14:val="standardContextual"/>
        </w:rPr>
      </w:pPr>
      <w:hyperlink w:anchor="_Toc214283276" w:history="1">
        <w:r w:rsidRPr="008F4954">
          <w:rPr>
            <w:rStyle w:val="Hyperlink"/>
          </w:rPr>
          <w:t>5.12.21</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_Toc214283276 \h </w:instrText>
        </w:r>
        <w:r>
          <w:rPr>
            <w:webHidden/>
          </w:rPr>
        </w:r>
        <w:r>
          <w:rPr>
            <w:webHidden/>
          </w:rPr>
          <w:fldChar w:fldCharType="separate"/>
        </w:r>
        <w:r>
          <w:rPr>
            <w:webHidden/>
          </w:rPr>
          <w:t>149</w:t>
        </w:r>
        <w:r>
          <w:rPr>
            <w:webHidden/>
          </w:rPr>
          <w:fldChar w:fldCharType="end"/>
        </w:r>
      </w:hyperlink>
    </w:p>
    <w:p w14:paraId="445708F8" w14:textId="74CD51E5" w:rsidR="00067371" w:rsidRDefault="00067371">
      <w:pPr>
        <w:pStyle w:val="TOC3"/>
        <w:rPr>
          <w:rFonts w:asciiTheme="minorHAnsi" w:eastAsiaTheme="minorEastAsia" w:hAnsiTheme="minorHAnsi" w:cstheme="minorBidi"/>
          <w:kern w:val="2"/>
          <w:sz w:val="24"/>
          <w:szCs w:val="24"/>
          <w14:ligatures w14:val="standardContextual"/>
        </w:rPr>
      </w:pPr>
      <w:hyperlink w:anchor="_Toc214283277" w:history="1">
        <w:r w:rsidRPr="008F4954">
          <w:rPr>
            <w:rStyle w:val="Hyperlink"/>
          </w:rPr>
          <w:t>5.12.22</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_Toc214283277 \h </w:instrText>
        </w:r>
        <w:r>
          <w:rPr>
            <w:webHidden/>
          </w:rPr>
        </w:r>
        <w:r>
          <w:rPr>
            <w:webHidden/>
          </w:rPr>
          <w:fldChar w:fldCharType="separate"/>
        </w:r>
        <w:r>
          <w:rPr>
            <w:webHidden/>
          </w:rPr>
          <w:t>149</w:t>
        </w:r>
        <w:r>
          <w:rPr>
            <w:webHidden/>
          </w:rPr>
          <w:fldChar w:fldCharType="end"/>
        </w:r>
      </w:hyperlink>
    </w:p>
    <w:p w14:paraId="59FFE33D" w14:textId="3AB5B60B"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278" w:history="1">
        <w:r w:rsidRPr="008F4954">
          <w:rPr>
            <w:rStyle w:val="Hyperlink"/>
          </w:rPr>
          <w:t>5.13</w:t>
        </w:r>
        <w:r>
          <w:rPr>
            <w:rFonts w:asciiTheme="minorHAnsi" w:eastAsiaTheme="minorEastAsia" w:hAnsiTheme="minorHAnsi" w:cstheme="minorBidi"/>
            <w:smallCaps w:val="0"/>
            <w:kern w:val="2"/>
            <w:szCs w:val="24"/>
            <w14:ligatures w14:val="standardContextual"/>
          </w:rPr>
          <w:tab/>
        </w:r>
        <w:r w:rsidRPr="008F4954">
          <w:rPr>
            <w:rStyle w:val="Hyperlink"/>
          </w:rPr>
          <w:t>PLATFORM MANAGEMENT TOOL</w:t>
        </w:r>
        <w:r>
          <w:rPr>
            <w:webHidden/>
          </w:rPr>
          <w:tab/>
        </w:r>
        <w:r>
          <w:rPr>
            <w:webHidden/>
          </w:rPr>
          <w:fldChar w:fldCharType="begin"/>
        </w:r>
        <w:r>
          <w:rPr>
            <w:webHidden/>
          </w:rPr>
          <w:instrText xml:space="preserve"> PAGEREF _Toc214283278 \h </w:instrText>
        </w:r>
        <w:r>
          <w:rPr>
            <w:webHidden/>
          </w:rPr>
        </w:r>
        <w:r>
          <w:rPr>
            <w:webHidden/>
          </w:rPr>
          <w:fldChar w:fldCharType="separate"/>
        </w:r>
        <w:r>
          <w:rPr>
            <w:webHidden/>
          </w:rPr>
          <w:t>150</w:t>
        </w:r>
        <w:r>
          <w:rPr>
            <w:webHidden/>
          </w:rPr>
          <w:fldChar w:fldCharType="end"/>
        </w:r>
      </w:hyperlink>
    </w:p>
    <w:p w14:paraId="48BD907F" w14:textId="1D8EEC5C" w:rsidR="00067371" w:rsidRDefault="00067371">
      <w:pPr>
        <w:pStyle w:val="TOC3"/>
        <w:rPr>
          <w:rFonts w:asciiTheme="minorHAnsi" w:eastAsiaTheme="minorEastAsia" w:hAnsiTheme="minorHAnsi" w:cstheme="minorBidi"/>
          <w:kern w:val="2"/>
          <w:sz w:val="24"/>
          <w:szCs w:val="24"/>
          <w14:ligatures w14:val="standardContextual"/>
        </w:rPr>
      </w:pPr>
      <w:hyperlink w:anchor="_Toc214283279" w:history="1">
        <w:r w:rsidRPr="008F4954">
          <w:rPr>
            <w:rStyle w:val="Hyperlink"/>
          </w:rPr>
          <w:t>5.13.1</w:t>
        </w:r>
        <w:r>
          <w:rPr>
            <w:rFonts w:asciiTheme="minorHAnsi" w:eastAsiaTheme="minorEastAsia" w:hAnsiTheme="minorHAnsi" w:cstheme="minorBidi"/>
            <w:kern w:val="2"/>
            <w:sz w:val="24"/>
            <w:szCs w:val="24"/>
            <w14:ligatures w14:val="standardContextual"/>
          </w:rPr>
          <w:tab/>
        </w:r>
        <w:r w:rsidRPr="008F4954">
          <w:rPr>
            <w:rStyle w:val="Hyperlink"/>
          </w:rPr>
          <w:t>Basic User Interface and Conventions</w:t>
        </w:r>
        <w:r>
          <w:rPr>
            <w:webHidden/>
          </w:rPr>
          <w:tab/>
        </w:r>
        <w:r>
          <w:rPr>
            <w:webHidden/>
          </w:rPr>
          <w:fldChar w:fldCharType="begin"/>
        </w:r>
        <w:r>
          <w:rPr>
            <w:webHidden/>
          </w:rPr>
          <w:instrText xml:space="preserve"> PAGEREF _Toc214283279 \h </w:instrText>
        </w:r>
        <w:r>
          <w:rPr>
            <w:webHidden/>
          </w:rPr>
        </w:r>
        <w:r>
          <w:rPr>
            <w:webHidden/>
          </w:rPr>
          <w:fldChar w:fldCharType="separate"/>
        </w:r>
        <w:r>
          <w:rPr>
            <w:webHidden/>
          </w:rPr>
          <w:t>150</w:t>
        </w:r>
        <w:r>
          <w:rPr>
            <w:webHidden/>
          </w:rPr>
          <w:fldChar w:fldCharType="end"/>
        </w:r>
      </w:hyperlink>
    </w:p>
    <w:p w14:paraId="2B5D4336" w14:textId="32A91EB3" w:rsidR="00067371" w:rsidRDefault="00067371">
      <w:pPr>
        <w:pStyle w:val="TOC3"/>
        <w:rPr>
          <w:rFonts w:asciiTheme="minorHAnsi" w:eastAsiaTheme="minorEastAsia" w:hAnsiTheme="minorHAnsi" w:cstheme="minorBidi"/>
          <w:kern w:val="2"/>
          <w:sz w:val="24"/>
          <w:szCs w:val="24"/>
          <w14:ligatures w14:val="standardContextual"/>
        </w:rPr>
      </w:pPr>
      <w:hyperlink w:anchor="_Toc214283280" w:history="1">
        <w:r w:rsidRPr="008F4954">
          <w:rPr>
            <w:rStyle w:val="Hyperlink"/>
          </w:rPr>
          <w:t>5.13.2</w:t>
        </w:r>
        <w:r>
          <w:rPr>
            <w:rFonts w:asciiTheme="minorHAnsi" w:eastAsiaTheme="minorEastAsia" w:hAnsiTheme="minorHAnsi" w:cstheme="minorBidi"/>
            <w:kern w:val="2"/>
            <w:sz w:val="24"/>
            <w:szCs w:val="24"/>
            <w14:ligatures w14:val="standardContextual"/>
          </w:rPr>
          <w:tab/>
        </w:r>
        <w:r w:rsidRPr="008F4954">
          <w:rPr>
            <w:rStyle w:val="Hyperlink"/>
          </w:rPr>
          <w:t>Common Navigation Features and Conventions</w:t>
        </w:r>
        <w:r>
          <w:rPr>
            <w:webHidden/>
          </w:rPr>
          <w:tab/>
        </w:r>
        <w:r>
          <w:rPr>
            <w:webHidden/>
          </w:rPr>
          <w:fldChar w:fldCharType="begin"/>
        </w:r>
        <w:r>
          <w:rPr>
            <w:webHidden/>
          </w:rPr>
          <w:instrText xml:space="preserve"> PAGEREF _Toc214283280 \h </w:instrText>
        </w:r>
        <w:r>
          <w:rPr>
            <w:webHidden/>
          </w:rPr>
        </w:r>
        <w:r>
          <w:rPr>
            <w:webHidden/>
          </w:rPr>
          <w:fldChar w:fldCharType="separate"/>
        </w:r>
        <w:r>
          <w:rPr>
            <w:webHidden/>
          </w:rPr>
          <w:t>152</w:t>
        </w:r>
        <w:r>
          <w:rPr>
            <w:webHidden/>
          </w:rPr>
          <w:fldChar w:fldCharType="end"/>
        </w:r>
      </w:hyperlink>
    </w:p>
    <w:p w14:paraId="33E837C0" w14:textId="5C11AE3B" w:rsidR="00067371" w:rsidRDefault="00067371">
      <w:pPr>
        <w:pStyle w:val="TOC3"/>
        <w:rPr>
          <w:rFonts w:asciiTheme="minorHAnsi" w:eastAsiaTheme="minorEastAsia" w:hAnsiTheme="minorHAnsi" w:cstheme="minorBidi"/>
          <w:kern w:val="2"/>
          <w:sz w:val="24"/>
          <w:szCs w:val="24"/>
          <w14:ligatures w14:val="standardContextual"/>
        </w:rPr>
      </w:pPr>
      <w:hyperlink w:anchor="_Toc214283281" w:history="1">
        <w:r w:rsidRPr="008F4954">
          <w:rPr>
            <w:rStyle w:val="Hyperlink"/>
          </w:rPr>
          <w:t>5.13.3</w:t>
        </w:r>
        <w:r>
          <w:rPr>
            <w:rFonts w:asciiTheme="minorHAnsi" w:eastAsiaTheme="minorEastAsia" w:hAnsiTheme="minorHAnsi" w:cstheme="minorBidi"/>
            <w:kern w:val="2"/>
            <w:sz w:val="24"/>
            <w:szCs w:val="24"/>
            <w14:ligatures w14:val="standardContextual"/>
          </w:rPr>
          <w:tab/>
        </w:r>
        <w:r w:rsidRPr="008F4954">
          <w:rPr>
            <w:rStyle w:val="Hyperlink"/>
          </w:rPr>
          <w:t>Platforms</w:t>
        </w:r>
        <w:r>
          <w:rPr>
            <w:webHidden/>
          </w:rPr>
          <w:tab/>
        </w:r>
        <w:r>
          <w:rPr>
            <w:webHidden/>
          </w:rPr>
          <w:fldChar w:fldCharType="begin"/>
        </w:r>
        <w:r>
          <w:rPr>
            <w:webHidden/>
          </w:rPr>
          <w:instrText xml:space="preserve"> PAGEREF _Toc214283281 \h </w:instrText>
        </w:r>
        <w:r>
          <w:rPr>
            <w:webHidden/>
          </w:rPr>
        </w:r>
        <w:r>
          <w:rPr>
            <w:webHidden/>
          </w:rPr>
          <w:fldChar w:fldCharType="separate"/>
        </w:r>
        <w:r>
          <w:rPr>
            <w:webHidden/>
          </w:rPr>
          <w:t>154</w:t>
        </w:r>
        <w:r>
          <w:rPr>
            <w:webHidden/>
          </w:rPr>
          <w:fldChar w:fldCharType="end"/>
        </w:r>
      </w:hyperlink>
    </w:p>
    <w:p w14:paraId="6EAF7F03" w14:textId="544B51F4" w:rsidR="00067371" w:rsidRDefault="00067371">
      <w:pPr>
        <w:pStyle w:val="TOC3"/>
        <w:rPr>
          <w:rFonts w:asciiTheme="minorHAnsi" w:eastAsiaTheme="minorEastAsia" w:hAnsiTheme="minorHAnsi" w:cstheme="minorBidi"/>
          <w:kern w:val="2"/>
          <w:sz w:val="24"/>
          <w:szCs w:val="24"/>
          <w14:ligatures w14:val="standardContextual"/>
        </w:rPr>
      </w:pPr>
      <w:hyperlink w:anchor="_Toc214283282" w:history="1">
        <w:r w:rsidRPr="008F4954">
          <w:rPr>
            <w:rStyle w:val="Hyperlink"/>
          </w:rPr>
          <w:t>5.13.4</w:t>
        </w:r>
        <w:r>
          <w:rPr>
            <w:rFonts w:asciiTheme="minorHAnsi" w:eastAsiaTheme="minorEastAsia" w:hAnsiTheme="minorHAnsi" w:cstheme="minorBidi"/>
            <w:kern w:val="2"/>
            <w:sz w:val="24"/>
            <w:szCs w:val="24"/>
            <w14:ligatures w14:val="standardContextual"/>
          </w:rPr>
          <w:tab/>
        </w:r>
        <w:r w:rsidRPr="008F4954">
          <w:rPr>
            <w:rStyle w:val="Hyperlink"/>
          </w:rPr>
          <w:t>Nodes</w:t>
        </w:r>
        <w:r>
          <w:rPr>
            <w:webHidden/>
          </w:rPr>
          <w:tab/>
        </w:r>
        <w:r>
          <w:rPr>
            <w:webHidden/>
          </w:rPr>
          <w:fldChar w:fldCharType="begin"/>
        </w:r>
        <w:r>
          <w:rPr>
            <w:webHidden/>
          </w:rPr>
          <w:instrText xml:space="preserve"> PAGEREF _Toc214283282 \h </w:instrText>
        </w:r>
        <w:r>
          <w:rPr>
            <w:webHidden/>
          </w:rPr>
        </w:r>
        <w:r>
          <w:rPr>
            <w:webHidden/>
          </w:rPr>
          <w:fldChar w:fldCharType="separate"/>
        </w:r>
        <w:r>
          <w:rPr>
            <w:webHidden/>
          </w:rPr>
          <w:t>167</w:t>
        </w:r>
        <w:r>
          <w:rPr>
            <w:webHidden/>
          </w:rPr>
          <w:fldChar w:fldCharType="end"/>
        </w:r>
      </w:hyperlink>
    </w:p>
    <w:p w14:paraId="5DA8941E" w14:textId="0C032CBF" w:rsidR="00067371" w:rsidRDefault="00067371">
      <w:pPr>
        <w:pStyle w:val="TOC3"/>
        <w:rPr>
          <w:rFonts w:asciiTheme="minorHAnsi" w:eastAsiaTheme="minorEastAsia" w:hAnsiTheme="minorHAnsi" w:cstheme="minorBidi"/>
          <w:kern w:val="2"/>
          <w:sz w:val="24"/>
          <w:szCs w:val="24"/>
          <w14:ligatures w14:val="standardContextual"/>
        </w:rPr>
      </w:pPr>
      <w:hyperlink w:anchor="_Toc214283283" w:history="1">
        <w:r w:rsidRPr="008F4954">
          <w:rPr>
            <w:rStyle w:val="Hyperlink"/>
          </w:rPr>
          <w:t>5.13.5</w:t>
        </w:r>
        <w:r>
          <w:rPr>
            <w:rFonts w:asciiTheme="minorHAnsi" w:eastAsiaTheme="minorEastAsia" w:hAnsiTheme="minorHAnsi" w:cstheme="minorBidi"/>
            <w:kern w:val="2"/>
            <w:sz w:val="24"/>
            <w:szCs w:val="24"/>
            <w14:ligatures w14:val="standardContextual"/>
          </w:rPr>
          <w:tab/>
        </w:r>
        <w:r w:rsidRPr="008F4954">
          <w:rPr>
            <w:rStyle w:val="Hyperlink"/>
          </w:rPr>
          <w:t>Task Organization</w:t>
        </w:r>
        <w:r>
          <w:rPr>
            <w:webHidden/>
          </w:rPr>
          <w:tab/>
        </w:r>
        <w:r>
          <w:rPr>
            <w:webHidden/>
          </w:rPr>
          <w:fldChar w:fldCharType="begin"/>
        </w:r>
        <w:r>
          <w:rPr>
            <w:webHidden/>
          </w:rPr>
          <w:instrText xml:space="preserve"> PAGEREF _Toc214283283 \h </w:instrText>
        </w:r>
        <w:r>
          <w:rPr>
            <w:webHidden/>
          </w:rPr>
        </w:r>
        <w:r>
          <w:rPr>
            <w:webHidden/>
          </w:rPr>
          <w:fldChar w:fldCharType="separate"/>
        </w:r>
        <w:r>
          <w:rPr>
            <w:webHidden/>
          </w:rPr>
          <w:t>180</w:t>
        </w:r>
        <w:r>
          <w:rPr>
            <w:webHidden/>
          </w:rPr>
          <w:fldChar w:fldCharType="end"/>
        </w:r>
      </w:hyperlink>
    </w:p>
    <w:p w14:paraId="274730D2" w14:textId="3478EFEB"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284" w:history="1">
        <w:r w:rsidRPr="008F4954">
          <w:rPr>
            <w:rStyle w:val="Hyperlink"/>
          </w:rPr>
          <w:t>5.14</w:t>
        </w:r>
        <w:r>
          <w:rPr>
            <w:rFonts w:asciiTheme="minorHAnsi" w:eastAsiaTheme="minorEastAsia" w:hAnsiTheme="minorHAnsi" w:cstheme="minorBidi"/>
            <w:smallCaps w:val="0"/>
            <w:kern w:val="2"/>
            <w:szCs w:val="24"/>
            <w14:ligatures w14:val="standardContextual"/>
          </w:rPr>
          <w:tab/>
        </w:r>
        <w:r w:rsidRPr="008F4954">
          <w:rPr>
            <w:rStyle w:val="Hyperlink"/>
          </w:rPr>
          <w:t>MISSILES TOOL</w:t>
        </w:r>
        <w:r>
          <w:rPr>
            <w:webHidden/>
          </w:rPr>
          <w:tab/>
        </w:r>
        <w:r>
          <w:rPr>
            <w:webHidden/>
          </w:rPr>
          <w:fldChar w:fldCharType="begin"/>
        </w:r>
        <w:r>
          <w:rPr>
            <w:webHidden/>
          </w:rPr>
          <w:instrText xml:space="preserve"> PAGEREF _Toc214283284 \h </w:instrText>
        </w:r>
        <w:r>
          <w:rPr>
            <w:webHidden/>
          </w:rPr>
        </w:r>
        <w:r>
          <w:rPr>
            <w:webHidden/>
          </w:rPr>
          <w:fldChar w:fldCharType="separate"/>
        </w:r>
        <w:r>
          <w:rPr>
            <w:webHidden/>
          </w:rPr>
          <w:t>188</w:t>
        </w:r>
        <w:r>
          <w:rPr>
            <w:webHidden/>
          </w:rPr>
          <w:fldChar w:fldCharType="end"/>
        </w:r>
      </w:hyperlink>
    </w:p>
    <w:p w14:paraId="7128ADAC" w14:textId="66392E2C" w:rsidR="00067371" w:rsidRDefault="00067371">
      <w:pPr>
        <w:pStyle w:val="TOC3"/>
        <w:rPr>
          <w:rFonts w:asciiTheme="minorHAnsi" w:eastAsiaTheme="minorEastAsia" w:hAnsiTheme="minorHAnsi" w:cstheme="minorBidi"/>
          <w:kern w:val="2"/>
          <w:sz w:val="24"/>
          <w:szCs w:val="24"/>
          <w14:ligatures w14:val="standardContextual"/>
        </w:rPr>
      </w:pPr>
      <w:hyperlink w:anchor="_Toc214283285" w:history="1">
        <w:r w:rsidRPr="008F4954">
          <w:rPr>
            <w:rStyle w:val="Hyperlink"/>
          </w:rPr>
          <w:t>5.14.1</w:t>
        </w:r>
        <w:r>
          <w:rPr>
            <w:rFonts w:asciiTheme="minorHAnsi" w:eastAsiaTheme="minorEastAsia" w:hAnsiTheme="minorHAnsi" w:cstheme="minorBidi"/>
            <w:kern w:val="2"/>
            <w:sz w:val="24"/>
            <w:szCs w:val="24"/>
            <w14:ligatures w14:val="standardContextual"/>
          </w:rPr>
          <w:tab/>
        </w:r>
        <w:r w:rsidRPr="008F4954">
          <w:rPr>
            <w:rStyle w:val="Hyperlink"/>
          </w:rPr>
          <w:t>4-Character Missile Type Code</w:t>
        </w:r>
        <w:r>
          <w:rPr>
            <w:webHidden/>
          </w:rPr>
          <w:tab/>
        </w:r>
        <w:r>
          <w:rPr>
            <w:webHidden/>
          </w:rPr>
          <w:fldChar w:fldCharType="begin"/>
        </w:r>
        <w:r>
          <w:rPr>
            <w:webHidden/>
          </w:rPr>
          <w:instrText xml:space="preserve"> PAGEREF _Toc214283285 \h </w:instrText>
        </w:r>
        <w:r>
          <w:rPr>
            <w:webHidden/>
          </w:rPr>
        </w:r>
        <w:r>
          <w:rPr>
            <w:webHidden/>
          </w:rPr>
          <w:fldChar w:fldCharType="separate"/>
        </w:r>
        <w:r>
          <w:rPr>
            <w:webHidden/>
          </w:rPr>
          <w:t>188</w:t>
        </w:r>
        <w:r>
          <w:rPr>
            <w:webHidden/>
          </w:rPr>
          <w:fldChar w:fldCharType="end"/>
        </w:r>
      </w:hyperlink>
    </w:p>
    <w:p w14:paraId="409B80F7" w14:textId="23477403" w:rsidR="00067371" w:rsidRDefault="00067371">
      <w:pPr>
        <w:pStyle w:val="TOC3"/>
        <w:rPr>
          <w:rFonts w:asciiTheme="minorHAnsi" w:eastAsiaTheme="minorEastAsia" w:hAnsiTheme="minorHAnsi" w:cstheme="minorBidi"/>
          <w:kern w:val="2"/>
          <w:sz w:val="24"/>
          <w:szCs w:val="24"/>
          <w14:ligatures w14:val="standardContextual"/>
        </w:rPr>
      </w:pPr>
      <w:hyperlink w:anchor="_Toc214283286" w:history="1">
        <w:r w:rsidRPr="008F4954">
          <w:rPr>
            <w:rStyle w:val="Hyperlink"/>
          </w:rPr>
          <w:t>5.14.2</w:t>
        </w:r>
        <w:r>
          <w:rPr>
            <w:rFonts w:asciiTheme="minorHAnsi" w:eastAsiaTheme="minorEastAsia" w:hAnsiTheme="minorHAnsi" w:cstheme="minorBidi"/>
            <w:kern w:val="2"/>
            <w:sz w:val="24"/>
            <w:szCs w:val="24"/>
            <w14:ligatures w14:val="standardContextual"/>
          </w:rPr>
          <w:tab/>
        </w:r>
        <w:r w:rsidRPr="008F4954">
          <w:rPr>
            <w:rStyle w:val="Hyperlink"/>
          </w:rPr>
          <w:t>Display Missile Configuration (Textually)</w:t>
        </w:r>
        <w:r>
          <w:rPr>
            <w:webHidden/>
          </w:rPr>
          <w:tab/>
        </w:r>
        <w:r>
          <w:rPr>
            <w:webHidden/>
          </w:rPr>
          <w:fldChar w:fldCharType="begin"/>
        </w:r>
        <w:r>
          <w:rPr>
            <w:webHidden/>
          </w:rPr>
          <w:instrText xml:space="preserve"> PAGEREF _Toc214283286 \h </w:instrText>
        </w:r>
        <w:r>
          <w:rPr>
            <w:webHidden/>
          </w:rPr>
        </w:r>
        <w:r>
          <w:rPr>
            <w:webHidden/>
          </w:rPr>
          <w:fldChar w:fldCharType="separate"/>
        </w:r>
        <w:r>
          <w:rPr>
            <w:webHidden/>
          </w:rPr>
          <w:t>189</w:t>
        </w:r>
        <w:r>
          <w:rPr>
            <w:webHidden/>
          </w:rPr>
          <w:fldChar w:fldCharType="end"/>
        </w:r>
      </w:hyperlink>
    </w:p>
    <w:p w14:paraId="28AF69B6" w14:textId="6434185C" w:rsidR="00067371" w:rsidRDefault="00067371">
      <w:pPr>
        <w:pStyle w:val="TOC3"/>
        <w:rPr>
          <w:rFonts w:asciiTheme="minorHAnsi" w:eastAsiaTheme="minorEastAsia" w:hAnsiTheme="minorHAnsi" w:cstheme="minorBidi"/>
          <w:kern w:val="2"/>
          <w:sz w:val="24"/>
          <w:szCs w:val="24"/>
          <w14:ligatures w14:val="standardContextual"/>
        </w:rPr>
      </w:pPr>
      <w:hyperlink w:anchor="_Toc214283287" w:history="1">
        <w:r w:rsidRPr="008F4954">
          <w:rPr>
            <w:rStyle w:val="Hyperlink"/>
          </w:rPr>
          <w:t>5.14.3</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_Toc214283287 \h </w:instrText>
        </w:r>
        <w:r>
          <w:rPr>
            <w:webHidden/>
          </w:rPr>
        </w:r>
        <w:r>
          <w:rPr>
            <w:webHidden/>
          </w:rPr>
          <w:fldChar w:fldCharType="separate"/>
        </w:r>
        <w:r>
          <w:rPr>
            <w:webHidden/>
          </w:rPr>
          <w:t>191</w:t>
        </w:r>
        <w:r>
          <w:rPr>
            <w:webHidden/>
          </w:rPr>
          <w:fldChar w:fldCharType="end"/>
        </w:r>
      </w:hyperlink>
    </w:p>
    <w:p w14:paraId="6C7726C2" w14:textId="76C23AE6" w:rsidR="00067371" w:rsidRDefault="00067371">
      <w:pPr>
        <w:pStyle w:val="TOC3"/>
        <w:rPr>
          <w:rFonts w:asciiTheme="minorHAnsi" w:eastAsiaTheme="minorEastAsia" w:hAnsiTheme="minorHAnsi" w:cstheme="minorBidi"/>
          <w:kern w:val="2"/>
          <w:sz w:val="24"/>
          <w:szCs w:val="24"/>
          <w14:ligatures w14:val="standardContextual"/>
        </w:rPr>
      </w:pPr>
      <w:hyperlink w:anchor="_Toc214283288" w:history="1">
        <w:r w:rsidRPr="008F4954">
          <w:rPr>
            <w:rStyle w:val="Hyperlink"/>
          </w:rPr>
          <w:t>5.14.4</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_Toc214283288 \h </w:instrText>
        </w:r>
        <w:r>
          <w:rPr>
            <w:webHidden/>
          </w:rPr>
        </w:r>
        <w:r>
          <w:rPr>
            <w:webHidden/>
          </w:rPr>
          <w:fldChar w:fldCharType="separate"/>
        </w:r>
        <w:r>
          <w:rPr>
            <w:webHidden/>
          </w:rPr>
          <w:t>191</w:t>
        </w:r>
        <w:r>
          <w:rPr>
            <w:webHidden/>
          </w:rPr>
          <w:fldChar w:fldCharType="end"/>
        </w:r>
      </w:hyperlink>
    </w:p>
    <w:p w14:paraId="3216D0CC" w14:textId="708BE769" w:rsidR="00067371" w:rsidRDefault="00067371">
      <w:pPr>
        <w:pStyle w:val="TOC3"/>
        <w:rPr>
          <w:rFonts w:asciiTheme="minorHAnsi" w:eastAsiaTheme="minorEastAsia" w:hAnsiTheme="minorHAnsi" w:cstheme="minorBidi"/>
          <w:kern w:val="2"/>
          <w:sz w:val="24"/>
          <w:szCs w:val="24"/>
          <w14:ligatures w14:val="standardContextual"/>
        </w:rPr>
      </w:pPr>
      <w:hyperlink w:anchor="_Toc214283289" w:history="1">
        <w:r w:rsidRPr="008F4954">
          <w:rPr>
            <w:rStyle w:val="Hyperlink"/>
          </w:rPr>
          <w:t>5.14.5</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_Toc214283289 \h </w:instrText>
        </w:r>
        <w:r>
          <w:rPr>
            <w:webHidden/>
          </w:rPr>
        </w:r>
        <w:r>
          <w:rPr>
            <w:webHidden/>
          </w:rPr>
          <w:fldChar w:fldCharType="separate"/>
        </w:r>
        <w:r>
          <w:rPr>
            <w:webHidden/>
          </w:rPr>
          <w:t>191</w:t>
        </w:r>
        <w:r>
          <w:rPr>
            <w:webHidden/>
          </w:rPr>
          <w:fldChar w:fldCharType="end"/>
        </w:r>
      </w:hyperlink>
    </w:p>
    <w:p w14:paraId="3054E060" w14:textId="36EA491F" w:rsidR="00067371" w:rsidRDefault="00067371">
      <w:pPr>
        <w:pStyle w:val="TOC3"/>
        <w:rPr>
          <w:rFonts w:asciiTheme="minorHAnsi" w:eastAsiaTheme="minorEastAsia" w:hAnsiTheme="minorHAnsi" w:cstheme="minorBidi"/>
          <w:kern w:val="2"/>
          <w:sz w:val="24"/>
          <w:szCs w:val="24"/>
          <w14:ligatures w14:val="standardContextual"/>
        </w:rPr>
      </w:pPr>
      <w:hyperlink w:anchor="_Toc214283290" w:history="1">
        <w:r w:rsidRPr="008F4954">
          <w:rPr>
            <w:rStyle w:val="Hyperlink"/>
          </w:rPr>
          <w:t>5.14.6</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_Toc214283290 \h </w:instrText>
        </w:r>
        <w:r>
          <w:rPr>
            <w:webHidden/>
          </w:rPr>
        </w:r>
        <w:r>
          <w:rPr>
            <w:webHidden/>
          </w:rPr>
          <w:fldChar w:fldCharType="separate"/>
        </w:r>
        <w:r>
          <w:rPr>
            <w:webHidden/>
          </w:rPr>
          <w:t>191</w:t>
        </w:r>
        <w:r>
          <w:rPr>
            <w:webHidden/>
          </w:rPr>
          <w:fldChar w:fldCharType="end"/>
        </w:r>
      </w:hyperlink>
    </w:p>
    <w:p w14:paraId="43309A8B" w14:textId="126C75AB" w:rsidR="00067371" w:rsidRDefault="00067371">
      <w:pPr>
        <w:pStyle w:val="TOC3"/>
        <w:rPr>
          <w:rFonts w:asciiTheme="minorHAnsi" w:eastAsiaTheme="minorEastAsia" w:hAnsiTheme="minorHAnsi" w:cstheme="minorBidi"/>
          <w:kern w:val="2"/>
          <w:sz w:val="24"/>
          <w:szCs w:val="24"/>
          <w14:ligatures w14:val="standardContextual"/>
        </w:rPr>
      </w:pPr>
      <w:hyperlink w:anchor="_Toc214283291" w:history="1">
        <w:r w:rsidRPr="008F4954">
          <w:rPr>
            <w:rStyle w:val="Hyperlink"/>
          </w:rPr>
          <w:t>5.14.7</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_Toc214283291 \h </w:instrText>
        </w:r>
        <w:r>
          <w:rPr>
            <w:webHidden/>
          </w:rPr>
        </w:r>
        <w:r>
          <w:rPr>
            <w:webHidden/>
          </w:rPr>
          <w:fldChar w:fldCharType="separate"/>
        </w:r>
        <w:r>
          <w:rPr>
            <w:webHidden/>
          </w:rPr>
          <w:t>191</w:t>
        </w:r>
        <w:r>
          <w:rPr>
            <w:webHidden/>
          </w:rPr>
          <w:fldChar w:fldCharType="end"/>
        </w:r>
      </w:hyperlink>
    </w:p>
    <w:p w14:paraId="3AA58DE7" w14:textId="7ED08D65" w:rsidR="00067371" w:rsidRDefault="00067371">
      <w:pPr>
        <w:pStyle w:val="TOC3"/>
        <w:rPr>
          <w:rFonts w:asciiTheme="minorHAnsi" w:eastAsiaTheme="minorEastAsia" w:hAnsiTheme="minorHAnsi" w:cstheme="minorBidi"/>
          <w:kern w:val="2"/>
          <w:sz w:val="24"/>
          <w:szCs w:val="24"/>
          <w14:ligatures w14:val="standardContextual"/>
        </w:rPr>
      </w:pPr>
      <w:hyperlink w:anchor="_Toc214283292" w:history="1">
        <w:r w:rsidRPr="008F4954">
          <w:rPr>
            <w:rStyle w:val="Hyperlink"/>
          </w:rPr>
          <w:t>5.14.8</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_Toc214283292 \h </w:instrText>
        </w:r>
        <w:r>
          <w:rPr>
            <w:webHidden/>
          </w:rPr>
        </w:r>
        <w:r>
          <w:rPr>
            <w:webHidden/>
          </w:rPr>
          <w:fldChar w:fldCharType="separate"/>
        </w:r>
        <w:r>
          <w:rPr>
            <w:webHidden/>
          </w:rPr>
          <w:t>191</w:t>
        </w:r>
        <w:r>
          <w:rPr>
            <w:webHidden/>
          </w:rPr>
          <w:fldChar w:fldCharType="end"/>
        </w:r>
      </w:hyperlink>
    </w:p>
    <w:p w14:paraId="7C41B4BA" w14:textId="5D56DD01" w:rsidR="00067371" w:rsidRDefault="00067371">
      <w:pPr>
        <w:pStyle w:val="TOC3"/>
        <w:rPr>
          <w:rFonts w:asciiTheme="minorHAnsi" w:eastAsiaTheme="minorEastAsia" w:hAnsiTheme="minorHAnsi" w:cstheme="minorBidi"/>
          <w:kern w:val="2"/>
          <w:sz w:val="24"/>
          <w:szCs w:val="24"/>
          <w14:ligatures w14:val="standardContextual"/>
        </w:rPr>
      </w:pPr>
      <w:hyperlink w:anchor="_Toc214283293" w:history="1">
        <w:r w:rsidRPr="008F4954">
          <w:rPr>
            <w:rStyle w:val="Hyperlink"/>
          </w:rPr>
          <w:t>5.14.9</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_Toc214283293 \h </w:instrText>
        </w:r>
        <w:r>
          <w:rPr>
            <w:webHidden/>
          </w:rPr>
        </w:r>
        <w:r>
          <w:rPr>
            <w:webHidden/>
          </w:rPr>
          <w:fldChar w:fldCharType="separate"/>
        </w:r>
        <w:r>
          <w:rPr>
            <w:webHidden/>
          </w:rPr>
          <w:t>191</w:t>
        </w:r>
        <w:r>
          <w:rPr>
            <w:webHidden/>
          </w:rPr>
          <w:fldChar w:fldCharType="end"/>
        </w:r>
      </w:hyperlink>
    </w:p>
    <w:p w14:paraId="7FBF2D4A" w14:textId="2CF0219F"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294" w:history="1">
        <w:r w:rsidRPr="008F4954">
          <w:rPr>
            <w:rStyle w:val="Hyperlink"/>
          </w:rPr>
          <w:t>5.15</w:t>
        </w:r>
        <w:r>
          <w:rPr>
            <w:rFonts w:asciiTheme="minorHAnsi" w:eastAsiaTheme="minorEastAsia" w:hAnsiTheme="minorHAnsi" w:cstheme="minorBidi"/>
            <w:smallCaps w:val="0"/>
            <w:kern w:val="2"/>
            <w:szCs w:val="24"/>
            <w14:ligatures w14:val="standardContextual"/>
          </w:rPr>
          <w:tab/>
        </w:r>
        <w:r w:rsidRPr="008F4954">
          <w:rPr>
            <w:rStyle w:val="Hyperlink"/>
          </w:rPr>
          <w:t>CMDO TOOL</w:t>
        </w:r>
        <w:r>
          <w:rPr>
            <w:webHidden/>
          </w:rPr>
          <w:tab/>
        </w:r>
        <w:r>
          <w:rPr>
            <w:webHidden/>
          </w:rPr>
          <w:fldChar w:fldCharType="begin"/>
        </w:r>
        <w:r>
          <w:rPr>
            <w:webHidden/>
          </w:rPr>
          <w:instrText xml:space="preserve"> PAGEREF _Toc214283294 \h </w:instrText>
        </w:r>
        <w:r>
          <w:rPr>
            <w:webHidden/>
          </w:rPr>
        </w:r>
        <w:r>
          <w:rPr>
            <w:webHidden/>
          </w:rPr>
          <w:fldChar w:fldCharType="separate"/>
        </w:r>
        <w:r>
          <w:rPr>
            <w:webHidden/>
          </w:rPr>
          <w:t>192</w:t>
        </w:r>
        <w:r>
          <w:rPr>
            <w:webHidden/>
          </w:rPr>
          <w:fldChar w:fldCharType="end"/>
        </w:r>
      </w:hyperlink>
    </w:p>
    <w:p w14:paraId="64397B79" w14:textId="15E9ABB4" w:rsidR="00067371" w:rsidRDefault="00067371">
      <w:pPr>
        <w:pStyle w:val="TOC3"/>
        <w:rPr>
          <w:rFonts w:asciiTheme="minorHAnsi" w:eastAsiaTheme="minorEastAsia" w:hAnsiTheme="minorHAnsi" w:cstheme="minorBidi"/>
          <w:kern w:val="2"/>
          <w:sz w:val="24"/>
          <w:szCs w:val="24"/>
          <w14:ligatures w14:val="standardContextual"/>
        </w:rPr>
      </w:pPr>
      <w:hyperlink w:anchor="_Toc214283295" w:history="1">
        <w:r w:rsidRPr="008F4954">
          <w:rPr>
            <w:rStyle w:val="Hyperlink"/>
          </w:rPr>
          <w:t>5.15.1</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_Toc214283295 \h </w:instrText>
        </w:r>
        <w:r>
          <w:rPr>
            <w:webHidden/>
          </w:rPr>
        </w:r>
        <w:r>
          <w:rPr>
            <w:webHidden/>
          </w:rPr>
          <w:fldChar w:fldCharType="separate"/>
        </w:r>
        <w:r>
          <w:rPr>
            <w:webHidden/>
          </w:rPr>
          <w:t>193</w:t>
        </w:r>
        <w:r>
          <w:rPr>
            <w:webHidden/>
          </w:rPr>
          <w:fldChar w:fldCharType="end"/>
        </w:r>
      </w:hyperlink>
    </w:p>
    <w:p w14:paraId="0C42BA16" w14:textId="2899780A" w:rsidR="00067371" w:rsidRDefault="00067371">
      <w:pPr>
        <w:pStyle w:val="TOC3"/>
        <w:rPr>
          <w:rFonts w:asciiTheme="minorHAnsi" w:eastAsiaTheme="minorEastAsia" w:hAnsiTheme="minorHAnsi" w:cstheme="minorBidi"/>
          <w:kern w:val="2"/>
          <w:sz w:val="24"/>
          <w:szCs w:val="24"/>
          <w14:ligatures w14:val="standardContextual"/>
        </w:rPr>
      </w:pPr>
      <w:hyperlink w:anchor="_Toc214283296" w:history="1">
        <w:r w:rsidRPr="008F4954">
          <w:rPr>
            <w:rStyle w:val="Hyperlink"/>
          </w:rPr>
          <w:t>5.15.2</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_Toc214283296 \h </w:instrText>
        </w:r>
        <w:r>
          <w:rPr>
            <w:webHidden/>
          </w:rPr>
        </w:r>
        <w:r>
          <w:rPr>
            <w:webHidden/>
          </w:rPr>
          <w:fldChar w:fldCharType="separate"/>
        </w:r>
        <w:r>
          <w:rPr>
            <w:webHidden/>
          </w:rPr>
          <w:t>193</w:t>
        </w:r>
        <w:r>
          <w:rPr>
            <w:webHidden/>
          </w:rPr>
          <w:fldChar w:fldCharType="end"/>
        </w:r>
      </w:hyperlink>
    </w:p>
    <w:p w14:paraId="76E98B65" w14:textId="424A12AE" w:rsidR="00067371" w:rsidRDefault="00067371">
      <w:pPr>
        <w:pStyle w:val="TOC3"/>
        <w:rPr>
          <w:rFonts w:asciiTheme="minorHAnsi" w:eastAsiaTheme="minorEastAsia" w:hAnsiTheme="minorHAnsi" w:cstheme="minorBidi"/>
          <w:kern w:val="2"/>
          <w:sz w:val="24"/>
          <w:szCs w:val="24"/>
          <w14:ligatures w14:val="standardContextual"/>
        </w:rPr>
      </w:pPr>
      <w:hyperlink w:anchor="_Toc214283297" w:history="1">
        <w:r w:rsidRPr="008F4954">
          <w:rPr>
            <w:rStyle w:val="Hyperlink"/>
          </w:rPr>
          <w:t>5.15.3</w:t>
        </w:r>
        <w:r>
          <w:rPr>
            <w:rFonts w:asciiTheme="minorHAnsi" w:eastAsiaTheme="minorEastAsia" w:hAnsiTheme="minorHAnsi" w:cstheme="minorBidi"/>
            <w:kern w:val="2"/>
            <w:sz w:val="24"/>
            <w:szCs w:val="24"/>
            <w14:ligatures w14:val="standardContextual"/>
          </w:rPr>
          <w:tab/>
        </w:r>
        <w:r w:rsidRPr="008F4954">
          <w:rPr>
            <w:rStyle w:val="Hyperlink"/>
          </w:rPr>
          <w:t>Set Distribution Preferences</w:t>
        </w:r>
        <w:r>
          <w:rPr>
            <w:webHidden/>
          </w:rPr>
          <w:tab/>
        </w:r>
        <w:r>
          <w:rPr>
            <w:webHidden/>
          </w:rPr>
          <w:fldChar w:fldCharType="begin"/>
        </w:r>
        <w:r>
          <w:rPr>
            <w:webHidden/>
          </w:rPr>
          <w:instrText xml:space="preserve"> PAGEREF _Toc214283297 \h </w:instrText>
        </w:r>
        <w:r>
          <w:rPr>
            <w:webHidden/>
          </w:rPr>
        </w:r>
        <w:r>
          <w:rPr>
            <w:webHidden/>
          </w:rPr>
          <w:fldChar w:fldCharType="separate"/>
        </w:r>
        <w:r>
          <w:rPr>
            <w:webHidden/>
          </w:rPr>
          <w:t>194</w:t>
        </w:r>
        <w:r>
          <w:rPr>
            <w:webHidden/>
          </w:rPr>
          <w:fldChar w:fldCharType="end"/>
        </w:r>
      </w:hyperlink>
    </w:p>
    <w:p w14:paraId="7895A4BD" w14:textId="664C3C7E" w:rsidR="00067371" w:rsidRDefault="00067371">
      <w:pPr>
        <w:pStyle w:val="TOC3"/>
        <w:rPr>
          <w:rFonts w:asciiTheme="minorHAnsi" w:eastAsiaTheme="minorEastAsia" w:hAnsiTheme="minorHAnsi" w:cstheme="minorBidi"/>
          <w:kern w:val="2"/>
          <w:sz w:val="24"/>
          <w:szCs w:val="24"/>
          <w14:ligatures w14:val="standardContextual"/>
        </w:rPr>
      </w:pPr>
      <w:hyperlink w:anchor="_Toc214283298" w:history="1">
        <w:r w:rsidRPr="008F4954">
          <w:rPr>
            <w:rStyle w:val="Hyperlink"/>
          </w:rPr>
          <w:t>5.15.4</w:t>
        </w:r>
        <w:r>
          <w:rPr>
            <w:rFonts w:asciiTheme="minorHAnsi" w:eastAsiaTheme="minorEastAsia" w:hAnsiTheme="minorHAnsi" w:cstheme="minorBidi"/>
            <w:kern w:val="2"/>
            <w:sz w:val="24"/>
            <w:szCs w:val="24"/>
            <w14:ligatures w14:val="standardContextual"/>
          </w:rPr>
          <w:tab/>
        </w:r>
        <w:r w:rsidRPr="008F4954">
          <w:rPr>
            <w:rStyle w:val="Hyperlink"/>
          </w:rPr>
          <w:t>Distribute CMDO Data</w:t>
        </w:r>
        <w:r>
          <w:rPr>
            <w:webHidden/>
          </w:rPr>
          <w:tab/>
        </w:r>
        <w:r>
          <w:rPr>
            <w:webHidden/>
          </w:rPr>
          <w:fldChar w:fldCharType="begin"/>
        </w:r>
        <w:r>
          <w:rPr>
            <w:webHidden/>
          </w:rPr>
          <w:instrText xml:space="preserve"> PAGEREF _Toc214283298 \h </w:instrText>
        </w:r>
        <w:r>
          <w:rPr>
            <w:webHidden/>
          </w:rPr>
        </w:r>
        <w:r>
          <w:rPr>
            <w:webHidden/>
          </w:rPr>
          <w:fldChar w:fldCharType="separate"/>
        </w:r>
        <w:r>
          <w:rPr>
            <w:webHidden/>
          </w:rPr>
          <w:t>195</w:t>
        </w:r>
        <w:r>
          <w:rPr>
            <w:webHidden/>
          </w:rPr>
          <w:fldChar w:fldCharType="end"/>
        </w:r>
      </w:hyperlink>
    </w:p>
    <w:p w14:paraId="1FDDDB07" w14:textId="0A7D393C" w:rsidR="00067371" w:rsidRDefault="00067371">
      <w:pPr>
        <w:pStyle w:val="TOC3"/>
        <w:rPr>
          <w:rFonts w:asciiTheme="minorHAnsi" w:eastAsiaTheme="minorEastAsia" w:hAnsiTheme="minorHAnsi" w:cstheme="minorBidi"/>
          <w:kern w:val="2"/>
          <w:sz w:val="24"/>
          <w:szCs w:val="24"/>
          <w14:ligatures w14:val="standardContextual"/>
        </w:rPr>
      </w:pPr>
      <w:hyperlink w:anchor="_Toc214283299" w:history="1">
        <w:r w:rsidRPr="008F4954">
          <w:rPr>
            <w:rStyle w:val="Hyperlink"/>
          </w:rPr>
          <w:t>5.15.5</w:t>
        </w:r>
        <w:r>
          <w:rPr>
            <w:rFonts w:asciiTheme="minorHAnsi" w:eastAsiaTheme="minorEastAsia" w:hAnsiTheme="minorHAnsi" w:cstheme="minorBidi"/>
            <w:kern w:val="2"/>
            <w:sz w:val="24"/>
            <w:szCs w:val="24"/>
            <w14:ligatures w14:val="standardContextual"/>
          </w:rPr>
          <w:tab/>
        </w:r>
        <w:r w:rsidRPr="008F4954">
          <w:rPr>
            <w:rStyle w:val="Hyperlink"/>
          </w:rPr>
          <w:t>Validate Missions</w:t>
        </w:r>
        <w:r>
          <w:rPr>
            <w:webHidden/>
          </w:rPr>
          <w:tab/>
        </w:r>
        <w:r>
          <w:rPr>
            <w:webHidden/>
          </w:rPr>
          <w:fldChar w:fldCharType="begin"/>
        </w:r>
        <w:r>
          <w:rPr>
            <w:webHidden/>
          </w:rPr>
          <w:instrText xml:space="preserve"> PAGEREF _Toc214283299 \h </w:instrText>
        </w:r>
        <w:r>
          <w:rPr>
            <w:webHidden/>
          </w:rPr>
        </w:r>
        <w:r>
          <w:rPr>
            <w:webHidden/>
          </w:rPr>
          <w:fldChar w:fldCharType="separate"/>
        </w:r>
        <w:r>
          <w:rPr>
            <w:webHidden/>
          </w:rPr>
          <w:t>195</w:t>
        </w:r>
        <w:r>
          <w:rPr>
            <w:webHidden/>
          </w:rPr>
          <w:fldChar w:fldCharType="end"/>
        </w:r>
      </w:hyperlink>
    </w:p>
    <w:p w14:paraId="1D285278" w14:textId="624BEA17" w:rsidR="00067371" w:rsidRDefault="00067371">
      <w:pPr>
        <w:pStyle w:val="TOC3"/>
        <w:rPr>
          <w:rFonts w:asciiTheme="minorHAnsi" w:eastAsiaTheme="minorEastAsia" w:hAnsiTheme="minorHAnsi" w:cstheme="minorBidi"/>
          <w:kern w:val="2"/>
          <w:sz w:val="24"/>
          <w:szCs w:val="24"/>
          <w14:ligatures w14:val="standardContextual"/>
        </w:rPr>
      </w:pPr>
      <w:hyperlink w:anchor="_Toc214283300" w:history="1">
        <w:r w:rsidRPr="008F4954">
          <w:rPr>
            <w:rStyle w:val="Hyperlink"/>
          </w:rPr>
          <w:t>5.15.6</w:t>
        </w:r>
        <w:r>
          <w:rPr>
            <w:rFonts w:asciiTheme="minorHAnsi" w:eastAsiaTheme="minorEastAsia" w:hAnsiTheme="minorHAnsi" w:cstheme="minorBidi"/>
            <w:kern w:val="2"/>
            <w:sz w:val="24"/>
            <w:szCs w:val="24"/>
            <w14:ligatures w14:val="standardContextual"/>
          </w:rPr>
          <w:tab/>
        </w:r>
        <w:r w:rsidRPr="008F4954">
          <w:rPr>
            <w:rStyle w:val="Hyperlink"/>
          </w:rPr>
          <w:t>Multiple Mission Edits</w:t>
        </w:r>
        <w:r>
          <w:rPr>
            <w:webHidden/>
          </w:rPr>
          <w:tab/>
        </w:r>
        <w:r>
          <w:rPr>
            <w:webHidden/>
          </w:rPr>
          <w:fldChar w:fldCharType="begin"/>
        </w:r>
        <w:r>
          <w:rPr>
            <w:webHidden/>
          </w:rPr>
          <w:instrText xml:space="preserve"> PAGEREF _Toc214283300 \h </w:instrText>
        </w:r>
        <w:r>
          <w:rPr>
            <w:webHidden/>
          </w:rPr>
        </w:r>
        <w:r>
          <w:rPr>
            <w:webHidden/>
          </w:rPr>
          <w:fldChar w:fldCharType="separate"/>
        </w:r>
        <w:r>
          <w:rPr>
            <w:webHidden/>
          </w:rPr>
          <w:t>195</w:t>
        </w:r>
        <w:r>
          <w:rPr>
            <w:webHidden/>
          </w:rPr>
          <w:fldChar w:fldCharType="end"/>
        </w:r>
      </w:hyperlink>
    </w:p>
    <w:p w14:paraId="2EF07E8A" w14:textId="2BC7043D" w:rsidR="00067371" w:rsidRDefault="00067371">
      <w:pPr>
        <w:pStyle w:val="TOC3"/>
        <w:rPr>
          <w:rFonts w:asciiTheme="minorHAnsi" w:eastAsiaTheme="minorEastAsia" w:hAnsiTheme="minorHAnsi" w:cstheme="minorBidi"/>
          <w:kern w:val="2"/>
          <w:sz w:val="24"/>
          <w:szCs w:val="24"/>
          <w14:ligatures w14:val="standardContextual"/>
        </w:rPr>
      </w:pPr>
      <w:hyperlink w:anchor="_Toc214283301" w:history="1">
        <w:r w:rsidRPr="008F4954">
          <w:rPr>
            <w:rStyle w:val="Hyperlink"/>
          </w:rPr>
          <w:t>5.15.7</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_Toc214283301 \h </w:instrText>
        </w:r>
        <w:r>
          <w:rPr>
            <w:webHidden/>
          </w:rPr>
        </w:r>
        <w:r>
          <w:rPr>
            <w:webHidden/>
          </w:rPr>
          <w:fldChar w:fldCharType="separate"/>
        </w:r>
        <w:r>
          <w:rPr>
            <w:webHidden/>
          </w:rPr>
          <w:t>196</w:t>
        </w:r>
        <w:r>
          <w:rPr>
            <w:webHidden/>
          </w:rPr>
          <w:fldChar w:fldCharType="end"/>
        </w:r>
      </w:hyperlink>
    </w:p>
    <w:p w14:paraId="5B334FC5" w14:textId="7E8CC053" w:rsidR="00067371" w:rsidRDefault="00067371">
      <w:pPr>
        <w:pStyle w:val="TOC3"/>
        <w:rPr>
          <w:rFonts w:asciiTheme="minorHAnsi" w:eastAsiaTheme="minorEastAsia" w:hAnsiTheme="minorHAnsi" w:cstheme="minorBidi"/>
          <w:kern w:val="2"/>
          <w:sz w:val="24"/>
          <w:szCs w:val="24"/>
          <w14:ligatures w14:val="standardContextual"/>
        </w:rPr>
      </w:pPr>
      <w:hyperlink w:anchor="_Toc214283302" w:history="1">
        <w:r w:rsidRPr="008F4954">
          <w:rPr>
            <w:rStyle w:val="Hyperlink"/>
          </w:rPr>
          <w:t>5.15.8</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_Toc214283302 \h </w:instrText>
        </w:r>
        <w:r>
          <w:rPr>
            <w:webHidden/>
          </w:rPr>
        </w:r>
        <w:r>
          <w:rPr>
            <w:webHidden/>
          </w:rPr>
          <w:fldChar w:fldCharType="separate"/>
        </w:r>
        <w:r>
          <w:rPr>
            <w:webHidden/>
          </w:rPr>
          <w:t>196</w:t>
        </w:r>
        <w:r>
          <w:rPr>
            <w:webHidden/>
          </w:rPr>
          <w:fldChar w:fldCharType="end"/>
        </w:r>
      </w:hyperlink>
    </w:p>
    <w:p w14:paraId="5A881806" w14:textId="3F662E60" w:rsidR="00067371" w:rsidRDefault="00067371">
      <w:pPr>
        <w:pStyle w:val="TOC3"/>
        <w:rPr>
          <w:rFonts w:asciiTheme="minorHAnsi" w:eastAsiaTheme="minorEastAsia" w:hAnsiTheme="minorHAnsi" w:cstheme="minorBidi"/>
          <w:kern w:val="2"/>
          <w:sz w:val="24"/>
          <w:szCs w:val="24"/>
          <w14:ligatures w14:val="standardContextual"/>
        </w:rPr>
      </w:pPr>
      <w:hyperlink w:anchor="_Toc214283303" w:history="1">
        <w:r w:rsidRPr="008F4954">
          <w:rPr>
            <w:rStyle w:val="Hyperlink"/>
          </w:rPr>
          <w:t>5.15.9</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_Toc214283303 \h </w:instrText>
        </w:r>
        <w:r>
          <w:rPr>
            <w:webHidden/>
          </w:rPr>
        </w:r>
        <w:r>
          <w:rPr>
            <w:webHidden/>
          </w:rPr>
          <w:fldChar w:fldCharType="separate"/>
        </w:r>
        <w:r>
          <w:rPr>
            <w:webHidden/>
          </w:rPr>
          <w:t>196</w:t>
        </w:r>
        <w:r>
          <w:rPr>
            <w:webHidden/>
          </w:rPr>
          <w:fldChar w:fldCharType="end"/>
        </w:r>
      </w:hyperlink>
    </w:p>
    <w:p w14:paraId="320E87C1" w14:textId="08D76023" w:rsidR="00067371" w:rsidRDefault="00067371">
      <w:pPr>
        <w:pStyle w:val="TOC3"/>
        <w:rPr>
          <w:rFonts w:asciiTheme="minorHAnsi" w:eastAsiaTheme="minorEastAsia" w:hAnsiTheme="minorHAnsi" w:cstheme="minorBidi"/>
          <w:kern w:val="2"/>
          <w:sz w:val="24"/>
          <w:szCs w:val="24"/>
          <w14:ligatures w14:val="standardContextual"/>
        </w:rPr>
      </w:pPr>
      <w:hyperlink w:anchor="_Toc214283304" w:history="1">
        <w:r w:rsidRPr="008F4954">
          <w:rPr>
            <w:rStyle w:val="Hyperlink"/>
          </w:rPr>
          <w:t>5.15.10</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_Toc214283304 \h </w:instrText>
        </w:r>
        <w:r>
          <w:rPr>
            <w:webHidden/>
          </w:rPr>
        </w:r>
        <w:r>
          <w:rPr>
            <w:webHidden/>
          </w:rPr>
          <w:fldChar w:fldCharType="separate"/>
        </w:r>
        <w:r>
          <w:rPr>
            <w:webHidden/>
          </w:rPr>
          <w:t>196</w:t>
        </w:r>
        <w:r>
          <w:rPr>
            <w:webHidden/>
          </w:rPr>
          <w:fldChar w:fldCharType="end"/>
        </w:r>
      </w:hyperlink>
    </w:p>
    <w:p w14:paraId="727ACE54" w14:textId="2F625DBF" w:rsidR="00067371" w:rsidRDefault="00067371">
      <w:pPr>
        <w:pStyle w:val="TOC3"/>
        <w:rPr>
          <w:rFonts w:asciiTheme="minorHAnsi" w:eastAsiaTheme="minorEastAsia" w:hAnsiTheme="minorHAnsi" w:cstheme="minorBidi"/>
          <w:kern w:val="2"/>
          <w:sz w:val="24"/>
          <w:szCs w:val="24"/>
          <w14:ligatures w14:val="standardContextual"/>
        </w:rPr>
      </w:pPr>
      <w:hyperlink w:anchor="_Toc214283305" w:history="1">
        <w:r w:rsidRPr="008F4954">
          <w:rPr>
            <w:rStyle w:val="Hyperlink"/>
          </w:rPr>
          <w:t>5.15.11</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_Toc214283305 \h </w:instrText>
        </w:r>
        <w:r>
          <w:rPr>
            <w:webHidden/>
          </w:rPr>
        </w:r>
        <w:r>
          <w:rPr>
            <w:webHidden/>
          </w:rPr>
          <w:fldChar w:fldCharType="separate"/>
        </w:r>
        <w:r>
          <w:rPr>
            <w:webHidden/>
          </w:rPr>
          <w:t>196</w:t>
        </w:r>
        <w:r>
          <w:rPr>
            <w:webHidden/>
          </w:rPr>
          <w:fldChar w:fldCharType="end"/>
        </w:r>
      </w:hyperlink>
    </w:p>
    <w:p w14:paraId="6C4A56D6" w14:textId="56AA409F" w:rsidR="00067371" w:rsidRDefault="00067371">
      <w:pPr>
        <w:pStyle w:val="TOC3"/>
        <w:rPr>
          <w:rFonts w:asciiTheme="minorHAnsi" w:eastAsiaTheme="minorEastAsia" w:hAnsiTheme="minorHAnsi" w:cstheme="minorBidi"/>
          <w:kern w:val="2"/>
          <w:sz w:val="24"/>
          <w:szCs w:val="24"/>
          <w14:ligatures w14:val="standardContextual"/>
        </w:rPr>
      </w:pPr>
      <w:hyperlink w:anchor="_Toc214283306" w:history="1">
        <w:r w:rsidRPr="008F4954">
          <w:rPr>
            <w:rStyle w:val="Hyperlink"/>
          </w:rPr>
          <w:t>5.15.12</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_Toc214283306 \h </w:instrText>
        </w:r>
        <w:r>
          <w:rPr>
            <w:webHidden/>
          </w:rPr>
        </w:r>
        <w:r>
          <w:rPr>
            <w:webHidden/>
          </w:rPr>
          <w:fldChar w:fldCharType="separate"/>
        </w:r>
        <w:r>
          <w:rPr>
            <w:webHidden/>
          </w:rPr>
          <w:t>196</w:t>
        </w:r>
        <w:r>
          <w:rPr>
            <w:webHidden/>
          </w:rPr>
          <w:fldChar w:fldCharType="end"/>
        </w:r>
      </w:hyperlink>
    </w:p>
    <w:p w14:paraId="7AF2465A" w14:textId="674770A6" w:rsidR="00067371" w:rsidRDefault="00067371">
      <w:pPr>
        <w:pStyle w:val="TOC3"/>
        <w:rPr>
          <w:rFonts w:asciiTheme="minorHAnsi" w:eastAsiaTheme="minorEastAsia" w:hAnsiTheme="minorHAnsi" w:cstheme="minorBidi"/>
          <w:kern w:val="2"/>
          <w:sz w:val="24"/>
          <w:szCs w:val="24"/>
          <w14:ligatures w14:val="standardContextual"/>
        </w:rPr>
      </w:pPr>
      <w:hyperlink w:anchor="_Toc214283307" w:history="1">
        <w:r w:rsidRPr="008F4954">
          <w:rPr>
            <w:rStyle w:val="Hyperlink"/>
          </w:rPr>
          <w:t>5.15.13</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_Toc214283307 \h </w:instrText>
        </w:r>
        <w:r>
          <w:rPr>
            <w:webHidden/>
          </w:rPr>
        </w:r>
        <w:r>
          <w:rPr>
            <w:webHidden/>
          </w:rPr>
          <w:fldChar w:fldCharType="separate"/>
        </w:r>
        <w:r>
          <w:rPr>
            <w:webHidden/>
          </w:rPr>
          <w:t>196</w:t>
        </w:r>
        <w:r>
          <w:rPr>
            <w:webHidden/>
          </w:rPr>
          <w:fldChar w:fldCharType="end"/>
        </w:r>
      </w:hyperlink>
    </w:p>
    <w:p w14:paraId="3B81D937" w14:textId="78630581" w:rsidR="00067371" w:rsidRDefault="00067371">
      <w:pPr>
        <w:pStyle w:val="TOC3"/>
        <w:rPr>
          <w:rFonts w:asciiTheme="minorHAnsi" w:eastAsiaTheme="minorEastAsia" w:hAnsiTheme="minorHAnsi" w:cstheme="minorBidi"/>
          <w:kern w:val="2"/>
          <w:sz w:val="24"/>
          <w:szCs w:val="24"/>
          <w14:ligatures w14:val="standardContextual"/>
        </w:rPr>
      </w:pPr>
      <w:hyperlink w:anchor="_Toc214283308" w:history="1">
        <w:r w:rsidRPr="008F4954">
          <w:rPr>
            <w:rStyle w:val="Hyperlink"/>
          </w:rPr>
          <w:t>5.15.14</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_Toc214283308 \h </w:instrText>
        </w:r>
        <w:r>
          <w:rPr>
            <w:webHidden/>
          </w:rPr>
        </w:r>
        <w:r>
          <w:rPr>
            <w:webHidden/>
          </w:rPr>
          <w:fldChar w:fldCharType="separate"/>
        </w:r>
        <w:r>
          <w:rPr>
            <w:webHidden/>
          </w:rPr>
          <w:t>196</w:t>
        </w:r>
        <w:r>
          <w:rPr>
            <w:webHidden/>
          </w:rPr>
          <w:fldChar w:fldCharType="end"/>
        </w:r>
      </w:hyperlink>
    </w:p>
    <w:p w14:paraId="7F76E9D2" w14:textId="1C3E3E8C" w:rsidR="00067371" w:rsidRDefault="00067371">
      <w:pPr>
        <w:pStyle w:val="TOC3"/>
        <w:rPr>
          <w:rFonts w:asciiTheme="minorHAnsi" w:eastAsiaTheme="minorEastAsia" w:hAnsiTheme="minorHAnsi" w:cstheme="minorBidi"/>
          <w:kern w:val="2"/>
          <w:sz w:val="24"/>
          <w:szCs w:val="24"/>
          <w14:ligatures w14:val="standardContextual"/>
        </w:rPr>
      </w:pPr>
      <w:hyperlink w:anchor="_Toc214283309" w:history="1">
        <w:r w:rsidRPr="008F4954">
          <w:rPr>
            <w:rStyle w:val="Hyperlink"/>
          </w:rPr>
          <w:t>5.15.15</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_Toc214283309 \h </w:instrText>
        </w:r>
        <w:r>
          <w:rPr>
            <w:webHidden/>
          </w:rPr>
        </w:r>
        <w:r>
          <w:rPr>
            <w:webHidden/>
          </w:rPr>
          <w:fldChar w:fldCharType="separate"/>
        </w:r>
        <w:r>
          <w:rPr>
            <w:webHidden/>
          </w:rPr>
          <w:t>196</w:t>
        </w:r>
        <w:r>
          <w:rPr>
            <w:webHidden/>
          </w:rPr>
          <w:fldChar w:fldCharType="end"/>
        </w:r>
      </w:hyperlink>
    </w:p>
    <w:p w14:paraId="0FF50B23" w14:textId="5C7A8EA0"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310" w:history="1">
        <w:r w:rsidRPr="008F4954">
          <w:rPr>
            <w:rStyle w:val="Hyperlink"/>
          </w:rPr>
          <w:t>5.16</w:t>
        </w:r>
        <w:r>
          <w:rPr>
            <w:rFonts w:asciiTheme="minorHAnsi" w:eastAsiaTheme="minorEastAsia" w:hAnsiTheme="minorHAnsi" w:cstheme="minorBidi"/>
            <w:smallCaps w:val="0"/>
            <w:kern w:val="2"/>
            <w:szCs w:val="24"/>
            <w14:ligatures w14:val="standardContextual"/>
          </w:rPr>
          <w:tab/>
        </w:r>
        <w:r w:rsidRPr="008F4954">
          <w:rPr>
            <w:rStyle w:val="Hyperlink"/>
          </w:rPr>
          <w:t>DDO TEMPLATES TOOL</w:t>
        </w:r>
        <w:r>
          <w:rPr>
            <w:webHidden/>
          </w:rPr>
          <w:tab/>
        </w:r>
        <w:r>
          <w:rPr>
            <w:webHidden/>
          </w:rPr>
          <w:fldChar w:fldCharType="begin"/>
        </w:r>
        <w:r>
          <w:rPr>
            <w:webHidden/>
          </w:rPr>
          <w:instrText xml:space="preserve"> PAGEREF _Toc214283310 \h </w:instrText>
        </w:r>
        <w:r>
          <w:rPr>
            <w:webHidden/>
          </w:rPr>
        </w:r>
        <w:r>
          <w:rPr>
            <w:webHidden/>
          </w:rPr>
          <w:fldChar w:fldCharType="separate"/>
        </w:r>
        <w:r>
          <w:rPr>
            <w:webHidden/>
          </w:rPr>
          <w:t>197</w:t>
        </w:r>
        <w:r>
          <w:rPr>
            <w:webHidden/>
          </w:rPr>
          <w:fldChar w:fldCharType="end"/>
        </w:r>
      </w:hyperlink>
    </w:p>
    <w:p w14:paraId="46B8FC48" w14:textId="7727E395" w:rsidR="00067371" w:rsidRDefault="00067371">
      <w:pPr>
        <w:pStyle w:val="TOC3"/>
        <w:rPr>
          <w:rFonts w:asciiTheme="minorHAnsi" w:eastAsiaTheme="minorEastAsia" w:hAnsiTheme="minorHAnsi" w:cstheme="minorBidi"/>
          <w:kern w:val="2"/>
          <w:sz w:val="24"/>
          <w:szCs w:val="24"/>
          <w14:ligatures w14:val="standardContextual"/>
        </w:rPr>
      </w:pPr>
      <w:hyperlink w:anchor="_Toc214283311" w:history="1">
        <w:r w:rsidRPr="008F4954">
          <w:rPr>
            <w:rStyle w:val="Hyperlink"/>
          </w:rPr>
          <w:t>5.16.1</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_Toc214283311 \h </w:instrText>
        </w:r>
        <w:r>
          <w:rPr>
            <w:webHidden/>
          </w:rPr>
        </w:r>
        <w:r>
          <w:rPr>
            <w:webHidden/>
          </w:rPr>
          <w:fldChar w:fldCharType="separate"/>
        </w:r>
        <w:r>
          <w:rPr>
            <w:webHidden/>
          </w:rPr>
          <w:t>198</w:t>
        </w:r>
        <w:r>
          <w:rPr>
            <w:webHidden/>
          </w:rPr>
          <w:fldChar w:fldCharType="end"/>
        </w:r>
      </w:hyperlink>
    </w:p>
    <w:p w14:paraId="41B32355" w14:textId="1119072E" w:rsidR="00067371" w:rsidRDefault="00067371">
      <w:pPr>
        <w:pStyle w:val="TOC3"/>
        <w:rPr>
          <w:rFonts w:asciiTheme="minorHAnsi" w:eastAsiaTheme="minorEastAsia" w:hAnsiTheme="minorHAnsi" w:cstheme="minorBidi"/>
          <w:kern w:val="2"/>
          <w:sz w:val="24"/>
          <w:szCs w:val="24"/>
          <w14:ligatures w14:val="standardContextual"/>
        </w:rPr>
      </w:pPr>
      <w:hyperlink w:anchor="_Toc214283312" w:history="1">
        <w:r w:rsidRPr="008F4954">
          <w:rPr>
            <w:rStyle w:val="Hyperlink"/>
          </w:rPr>
          <w:t>5.16.2</w:t>
        </w:r>
        <w:r>
          <w:rPr>
            <w:rFonts w:asciiTheme="minorHAnsi" w:eastAsiaTheme="minorEastAsia" w:hAnsiTheme="minorHAnsi" w:cstheme="minorBidi"/>
            <w:kern w:val="2"/>
            <w:sz w:val="24"/>
            <w:szCs w:val="24"/>
            <w14:ligatures w14:val="standardContextual"/>
          </w:rPr>
          <w:tab/>
        </w:r>
        <w:r w:rsidRPr="008F4954">
          <w:rPr>
            <w:rStyle w:val="Hyperlink"/>
          </w:rPr>
          <w:t>Set Mission Distribution Preferences</w:t>
        </w:r>
        <w:r>
          <w:rPr>
            <w:webHidden/>
          </w:rPr>
          <w:tab/>
        </w:r>
        <w:r>
          <w:rPr>
            <w:webHidden/>
          </w:rPr>
          <w:fldChar w:fldCharType="begin"/>
        </w:r>
        <w:r>
          <w:rPr>
            <w:webHidden/>
          </w:rPr>
          <w:instrText xml:space="preserve"> PAGEREF _Toc214283312 \h </w:instrText>
        </w:r>
        <w:r>
          <w:rPr>
            <w:webHidden/>
          </w:rPr>
        </w:r>
        <w:r>
          <w:rPr>
            <w:webHidden/>
          </w:rPr>
          <w:fldChar w:fldCharType="separate"/>
        </w:r>
        <w:r>
          <w:rPr>
            <w:webHidden/>
          </w:rPr>
          <w:t>199</w:t>
        </w:r>
        <w:r>
          <w:rPr>
            <w:webHidden/>
          </w:rPr>
          <w:fldChar w:fldCharType="end"/>
        </w:r>
      </w:hyperlink>
    </w:p>
    <w:p w14:paraId="105F512B" w14:textId="7C87B818" w:rsidR="00067371" w:rsidRDefault="00067371">
      <w:pPr>
        <w:pStyle w:val="TOC3"/>
        <w:rPr>
          <w:rFonts w:asciiTheme="minorHAnsi" w:eastAsiaTheme="minorEastAsia" w:hAnsiTheme="minorHAnsi" w:cstheme="minorBidi"/>
          <w:kern w:val="2"/>
          <w:sz w:val="24"/>
          <w:szCs w:val="24"/>
          <w14:ligatures w14:val="standardContextual"/>
        </w:rPr>
      </w:pPr>
      <w:hyperlink w:anchor="_Toc214283313" w:history="1">
        <w:r w:rsidRPr="008F4954">
          <w:rPr>
            <w:rStyle w:val="Hyperlink"/>
          </w:rPr>
          <w:t>5.16.3</w:t>
        </w:r>
        <w:r>
          <w:rPr>
            <w:rFonts w:asciiTheme="minorHAnsi" w:eastAsiaTheme="minorEastAsia" w:hAnsiTheme="minorHAnsi" w:cstheme="minorBidi"/>
            <w:kern w:val="2"/>
            <w:sz w:val="24"/>
            <w:szCs w:val="24"/>
            <w14:ligatures w14:val="standardContextual"/>
          </w:rPr>
          <w:tab/>
        </w:r>
        <w:r w:rsidRPr="008F4954">
          <w:rPr>
            <w:rStyle w:val="Hyperlink"/>
          </w:rPr>
          <w:t>Create DDOs</w:t>
        </w:r>
        <w:r>
          <w:rPr>
            <w:webHidden/>
          </w:rPr>
          <w:tab/>
        </w:r>
        <w:r>
          <w:rPr>
            <w:webHidden/>
          </w:rPr>
          <w:fldChar w:fldCharType="begin"/>
        </w:r>
        <w:r>
          <w:rPr>
            <w:webHidden/>
          </w:rPr>
          <w:instrText xml:space="preserve"> PAGEREF _Toc214283313 \h </w:instrText>
        </w:r>
        <w:r>
          <w:rPr>
            <w:webHidden/>
          </w:rPr>
        </w:r>
        <w:r>
          <w:rPr>
            <w:webHidden/>
          </w:rPr>
          <w:fldChar w:fldCharType="separate"/>
        </w:r>
        <w:r>
          <w:rPr>
            <w:webHidden/>
          </w:rPr>
          <w:t>199</w:t>
        </w:r>
        <w:r>
          <w:rPr>
            <w:webHidden/>
          </w:rPr>
          <w:fldChar w:fldCharType="end"/>
        </w:r>
      </w:hyperlink>
    </w:p>
    <w:p w14:paraId="33B99791" w14:textId="26AAD0DE" w:rsidR="00067371" w:rsidRDefault="00067371">
      <w:pPr>
        <w:pStyle w:val="TOC3"/>
        <w:rPr>
          <w:rFonts w:asciiTheme="minorHAnsi" w:eastAsiaTheme="minorEastAsia" w:hAnsiTheme="minorHAnsi" w:cstheme="minorBidi"/>
          <w:kern w:val="2"/>
          <w:sz w:val="24"/>
          <w:szCs w:val="24"/>
          <w14:ligatures w14:val="standardContextual"/>
        </w:rPr>
      </w:pPr>
      <w:hyperlink w:anchor="_Toc214283314" w:history="1">
        <w:r w:rsidRPr="008F4954">
          <w:rPr>
            <w:rStyle w:val="Hyperlink"/>
          </w:rPr>
          <w:t>5.16.4</w:t>
        </w:r>
        <w:r>
          <w:rPr>
            <w:rFonts w:asciiTheme="minorHAnsi" w:eastAsiaTheme="minorEastAsia" w:hAnsiTheme="minorHAnsi" w:cstheme="minorBidi"/>
            <w:kern w:val="2"/>
            <w:sz w:val="24"/>
            <w:szCs w:val="24"/>
            <w14:ligatures w14:val="standardContextual"/>
          </w:rPr>
          <w:tab/>
        </w:r>
        <w:r w:rsidRPr="008F4954">
          <w:rPr>
            <w:rStyle w:val="Hyperlink"/>
          </w:rPr>
          <w:t>Send DDO Template</w:t>
        </w:r>
        <w:r>
          <w:rPr>
            <w:webHidden/>
          </w:rPr>
          <w:tab/>
        </w:r>
        <w:r>
          <w:rPr>
            <w:webHidden/>
          </w:rPr>
          <w:fldChar w:fldCharType="begin"/>
        </w:r>
        <w:r>
          <w:rPr>
            <w:webHidden/>
          </w:rPr>
          <w:instrText xml:space="preserve"> PAGEREF _Toc214283314 \h </w:instrText>
        </w:r>
        <w:r>
          <w:rPr>
            <w:webHidden/>
          </w:rPr>
        </w:r>
        <w:r>
          <w:rPr>
            <w:webHidden/>
          </w:rPr>
          <w:fldChar w:fldCharType="separate"/>
        </w:r>
        <w:r>
          <w:rPr>
            <w:webHidden/>
          </w:rPr>
          <w:t>213</w:t>
        </w:r>
        <w:r>
          <w:rPr>
            <w:webHidden/>
          </w:rPr>
          <w:fldChar w:fldCharType="end"/>
        </w:r>
      </w:hyperlink>
    </w:p>
    <w:p w14:paraId="71F8714F" w14:textId="781664B4" w:rsidR="00067371" w:rsidRDefault="00067371">
      <w:pPr>
        <w:pStyle w:val="TOC3"/>
        <w:rPr>
          <w:rFonts w:asciiTheme="minorHAnsi" w:eastAsiaTheme="minorEastAsia" w:hAnsiTheme="minorHAnsi" w:cstheme="minorBidi"/>
          <w:kern w:val="2"/>
          <w:sz w:val="24"/>
          <w:szCs w:val="24"/>
          <w14:ligatures w14:val="standardContextual"/>
        </w:rPr>
      </w:pPr>
      <w:hyperlink w:anchor="_Toc214283315" w:history="1">
        <w:r w:rsidRPr="008F4954">
          <w:rPr>
            <w:rStyle w:val="Hyperlink"/>
          </w:rPr>
          <w:t>5.16.5</w:t>
        </w:r>
        <w:r>
          <w:rPr>
            <w:rFonts w:asciiTheme="minorHAnsi" w:eastAsiaTheme="minorEastAsia" w:hAnsiTheme="minorHAnsi" w:cstheme="minorBidi"/>
            <w:kern w:val="2"/>
            <w:sz w:val="24"/>
            <w:szCs w:val="24"/>
            <w14:ligatures w14:val="standardContextual"/>
          </w:rPr>
          <w:tab/>
        </w:r>
        <w:r w:rsidRPr="008F4954">
          <w:rPr>
            <w:rStyle w:val="Hyperlink"/>
          </w:rPr>
          <w:t>Distribution Dashboard</w:t>
        </w:r>
        <w:r>
          <w:rPr>
            <w:webHidden/>
          </w:rPr>
          <w:tab/>
        </w:r>
        <w:r>
          <w:rPr>
            <w:webHidden/>
          </w:rPr>
          <w:fldChar w:fldCharType="begin"/>
        </w:r>
        <w:r>
          <w:rPr>
            <w:webHidden/>
          </w:rPr>
          <w:instrText xml:space="preserve"> PAGEREF _Toc214283315 \h </w:instrText>
        </w:r>
        <w:r>
          <w:rPr>
            <w:webHidden/>
          </w:rPr>
        </w:r>
        <w:r>
          <w:rPr>
            <w:webHidden/>
          </w:rPr>
          <w:fldChar w:fldCharType="separate"/>
        </w:r>
        <w:r>
          <w:rPr>
            <w:webHidden/>
          </w:rPr>
          <w:t>216</w:t>
        </w:r>
        <w:r>
          <w:rPr>
            <w:webHidden/>
          </w:rPr>
          <w:fldChar w:fldCharType="end"/>
        </w:r>
      </w:hyperlink>
    </w:p>
    <w:p w14:paraId="631FE985" w14:textId="548EEE53" w:rsidR="00067371" w:rsidRDefault="00067371">
      <w:pPr>
        <w:pStyle w:val="TOC3"/>
        <w:rPr>
          <w:rFonts w:asciiTheme="minorHAnsi" w:eastAsiaTheme="minorEastAsia" w:hAnsiTheme="minorHAnsi" w:cstheme="minorBidi"/>
          <w:kern w:val="2"/>
          <w:sz w:val="24"/>
          <w:szCs w:val="24"/>
          <w14:ligatures w14:val="standardContextual"/>
        </w:rPr>
      </w:pPr>
      <w:hyperlink w:anchor="_Toc214283316" w:history="1">
        <w:r w:rsidRPr="008F4954">
          <w:rPr>
            <w:rStyle w:val="Hyperlink"/>
          </w:rPr>
          <w:t>5.16.6</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_Toc214283316 \h </w:instrText>
        </w:r>
        <w:r>
          <w:rPr>
            <w:webHidden/>
          </w:rPr>
        </w:r>
        <w:r>
          <w:rPr>
            <w:webHidden/>
          </w:rPr>
          <w:fldChar w:fldCharType="separate"/>
        </w:r>
        <w:r>
          <w:rPr>
            <w:webHidden/>
          </w:rPr>
          <w:t>216</w:t>
        </w:r>
        <w:r>
          <w:rPr>
            <w:webHidden/>
          </w:rPr>
          <w:fldChar w:fldCharType="end"/>
        </w:r>
      </w:hyperlink>
    </w:p>
    <w:p w14:paraId="5A4E7D0A" w14:textId="31AB537D" w:rsidR="00067371" w:rsidRDefault="00067371">
      <w:pPr>
        <w:pStyle w:val="TOC3"/>
        <w:rPr>
          <w:rFonts w:asciiTheme="minorHAnsi" w:eastAsiaTheme="minorEastAsia" w:hAnsiTheme="minorHAnsi" w:cstheme="minorBidi"/>
          <w:kern w:val="2"/>
          <w:sz w:val="24"/>
          <w:szCs w:val="24"/>
          <w14:ligatures w14:val="standardContextual"/>
        </w:rPr>
      </w:pPr>
      <w:hyperlink w:anchor="_Toc214283317" w:history="1">
        <w:r w:rsidRPr="008F4954">
          <w:rPr>
            <w:rStyle w:val="Hyperlink"/>
          </w:rPr>
          <w:t>5.16.7</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_Toc214283317 \h </w:instrText>
        </w:r>
        <w:r>
          <w:rPr>
            <w:webHidden/>
          </w:rPr>
        </w:r>
        <w:r>
          <w:rPr>
            <w:webHidden/>
          </w:rPr>
          <w:fldChar w:fldCharType="separate"/>
        </w:r>
        <w:r>
          <w:rPr>
            <w:webHidden/>
          </w:rPr>
          <w:t>216</w:t>
        </w:r>
        <w:r>
          <w:rPr>
            <w:webHidden/>
          </w:rPr>
          <w:fldChar w:fldCharType="end"/>
        </w:r>
      </w:hyperlink>
    </w:p>
    <w:p w14:paraId="101FCDCA" w14:textId="0B84B6F0" w:rsidR="00067371" w:rsidRDefault="00067371">
      <w:pPr>
        <w:pStyle w:val="TOC3"/>
        <w:rPr>
          <w:rFonts w:asciiTheme="minorHAnsi" w:eastAsiaTheme="minorEastAsia" w:hAnsiTheme="minorHAnsi" w:cstheme="minorBidi"/>
          <w:kern w:val="2"/>
          <w:sz w:val="24"/>
          <w:szCs w:val="24"/>
          <w14:ligatures w14:val="standardContextual"/>
        </w:rPr>
      </w:pPr>
      <w:hyperlink w:anchor="_Toc214283318" w:history="1">
        <w:r w:rsidRPr="008F4954">
          <w:rPr>
            <w:rStyle w:val="Hyperlink"/>
          </w:rPr>
          <w:t>5.16.8</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_Toc214283318 \h </w:instrText>
        </w:r>
        <w:r>
          <w:rPr>
            <w:webHidden/>
          </w:rPr>
        </w:r>
        <w:r>
          <w:rPr>
            <w:webHidden/>
          </w:rPr>
          <w:fldChar w:fldCharType="separate"/>
        </w:r>
        <w:r>
          <w:rPr>
            <w:webHidden/>
          </w:rPr>
          <w:t>216</w:t>
        </w:r>
        <w:r>
          <w:rPr>
            <w:webHidden/>
          </w:rPr>
          <w:fldChar w:fldCharType="end"/>
        </w:r>
      </w:hyperlink>
    </w:p>
    <w:p w14:paraId="2F267A1A" w14:textId="06028387" w:rsidR="00067371" w:rsidRDefault="00067371">
      <w:pPr>
        <w:pStyle w:val="TOC3"/>
        <w:rPr>
          <w:rFonts w:asciiTheme="minorHAnsi" w:eastAsiaTheme="minorEastAsia" w:hAnsiTheme="minorHAnsi" w:cstheme="minorBidi"/>
          <w:kern w:val="2"/>
          <w:sz w:val="24"/>
          <w:szCs w:val="24"/>
          <w14:ligatures w14:val="standardContextual"/>
        </w:rPr>
      </w:pPr>
      <w:hyperlink w:anchor="_Toc214283319" w:history="1">
        <w:r w:rsidRPr="008F4954">
          <w:rPr>
            <w:rStyle w:val="Hyperlink"/>
          </w:rPr>
          <w:t>5.16.9</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_Toc214283319 \h </w:instrText>
        </w:r>
        <w:r>
          <w:rPr>
            <w:webHidden/>
          </w:rPr>
        </w:r>
        <w:r>
          <w:rPr>
            <w:webHidden/>
          </w:rPr>
          <w:fldChar w:fldCharType="separate"/>
        </w:r>
        <w:r>
          <w:rPr>
            <w:webHidden/>
          </w:rPr>
          <w:t>216</w:t>
        </w:r>
        <w:r>
          <w:rPr>
            <w:webHidden/>
          </w:rPr>
          <w:fldChar w:fldCharType="end"/>
        </w:r>
      </w:hyperlink>
    </w:p>
    <w:p w14:paraId="7227085D" w14:textId="27D35FBC" w:rsidR="00067371" w:rsidRDefault="00067371">
      <w:pPr>
        <w:pStyle w:val="TOC3"/>
        <w:rPr>
          <w:rFonts w:asciiTheme="minorHAnsi" w:eastAsiaTheme="minorEastAsia" w:hAnsiTheme="minorHAnsi" w:cstheme="minorBidi"/>
          <w:kern w:val="2"/>
          <w:sz w:val="24"/>
          <w:szCs w:val="24"/>
          <w14:ligatures w14:val="standardContextual"/>
        </w:rPr>
      </w:pPr>
      <w:hyperlink w:anchor="_Toc214283320" w:history="1">
        <w:r w:rsidRPr="008F4954">
          <w:rPr>
            <w:rStyle w:val="Hyperlink"/>
          </w:rPr>
          <w:t>5.16.10</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_Toc214283320 \h </w:instrText>
        </w:r>
        <w:r>
          <w:rPr>
            <w:webHidden/>
          </w:rPr>
        </w:r>
        <w:r>
          <w:rPr>
            <w:webHidden/>
          </w:rPr>
          <w:fldChar w:fldCharType="separate"/>
        </w:r>
        <w:r>
          <w:rPr>
            <w:webHidden/>
          </w:rPr>
          <w:t>216</w:t>
        </w:r>
        <w:r>
          <w:rPr>
            <w:webHidden/>
          </w:rPr>
          <w:fldChar w:fldCharType="end"/>
        </w:r>
      </w:hyperlink>
    </w:p>
    <w:p w14:paraId="5E78DE94" w14:textId="3E8F0815" w:rsidR="00067371" w:rsidRDefault="00067371">
      <w:pPr>
        <w:pStyle w:val="TOC3"/>
        <w:rPr>
          <w:rFonts w:asciiTheme="minorHAnsi" w:eastAsiaTheme="minorEastAsia" w:hAnsiTheme="minorHAnsi" w:cstheme="minorBidi"/>
          <w:kern w:val="2"/>
          <w:sz w:val="24"/>
          <w:szCs w:val="24"/>
          <w14:ligatures w14:val="standardContextual"/>
        </w:rPr>
      </w:pPr>
      <w:hyperlink w:anchor="_Toc214283321" w:history="1">
        <w:r w:rsidRPr="008F4954">
          <w:rPr>
            <w:rStyle w:val="Hyperlink"/>
          </w:rPr>
          <w:t>5.16.11</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_Toc214283321 \h </w:instrText>
        </w:r>
        <w:r>
          <w:rPr>
            <w:webHidden/>
          </w:rPr>
        </w:r>
        <w:r>
          <w:rPr>
            <w:webHidden/>
          </w:rPr>
          <w:fldChar w:fldCharType="separate"/>
        </w:r>
        <w:r>
          <w:rPr>
            <w:webHidden/>
          </w:rPr>
          <w:t>216</w:t>
        </w:r>
        <w:r>
          <w:rPr>
            <w:webHidden/>
          </w:rPr>
          <w:fldChar w:fldCharType="end"/>
        </w:r>
      </w:hyperlink>
    </w:p>
    <w:p w14:paraId="5DFFCB46" w14:textId="7F933189" w:rsidR="00067371" w:rsidRDefault="00067371">
      <w:pPr>
        <w:pStyle w:val="TOC3"/>
        <w:rPr>
          <w:rFonts w:asciiTheme="minorHAnsi" w:eastAsiaTheme="minorEastAsia" w:hAnsiTheme="minorHAnsi" w:cstheme="minorBidi"/>
          <w:kern w:val="2"/>
          <w:sz w:val="24"/>
          <w:szCs w:val="24"/>
          <w14:ligatures w14:val="standardContextual"/>
        </w:rPr>
      </w:pPr>
      <w:hyperlink w:anchor="_Toc214283322" w:history="1">
        <w:r w:rsidRPr="008F4954">
          <w:rPr>
            <w:rStyle w:val="Hyperlink"/>
          </w:rPr>
          <w:t>5.16.12</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_Toc214283322 \h </w:instrText>
        </w:r>
        <w:r>
          <w:rPr>
            <w:webHidden/>
          </w:rPr>
        </w:r>
        <w:r>
          <w:rPr>
            <w:webHidden/>
          </w:rPr>
          <w:fldChar w:fldCharType="separate"/>
        </w:r>
        <w:r>
          <w:rPr>
            <w:webHidden/>
          </w:rPr>
          <w:t>217</w:t>
        </w:r>
        <w:r>
          <w:rPr>
            <w:webHidden/>
          </w:rPr>
          <w:fldChar w:fldCharType="end"/>
        </w:r>
      </w:hyperlink>
    </w:p>
    <w:p w14:paraId="392631C5" w14:textId="5778CB90"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323" w:history="1">
        <w:r w:rsidRPr="008F4954">
          <w:rPr>
            <w:rStyle w:val="Hyperlink"/>
          </w:rPr>
          <w:t>5.17</w:t>
        </w:r>
        <w:r>
          <w:rPr>
            <w:rFonts w:asciiTheme="minorHAnsi" w:eastAsiaTheme="minorEastAsia" w:hAnsiTheme="minorHAnsi" w:cstheme="minorBidi"/>
            <w:smallCaps w:val="0"/>
            <w:kern w:val="2"/>
            <w:szCs w:val="24"/>
            <w14:ligatures w14:val="standardContextual"/>
          </w:rPr>
          <w:tab/>
        </w:r>
        <w:r w:rsidRPr="008F4954">
          <w:rPr>
            <w:rStyle w:val="Hyperlink"/>
          </w:rPr>
          <w:t>OUTGOING DDOS TOOL</w:t>
        </w:r>
        <w:r>
          <w:rPr>
            <w:webHidden/>
          </w:rPr>
          <w:tab/>
        </w:r>
        <w:r>
          <w:rPr>
            <w:webHidden/>
          </w:rPr>
          <w:fldChar w:fldCharType="begin"/>
        </w:r>
        <w:r>
          <w:rPr>
            <w:webHidden/>
          </w:rPr>
          <w:instrText xml:space="preserve"> PAGEREF _Toc214283323 \h </w:instrText>
        </w:r>
        <w:r>
          <w:rPr>
            <w:webHidden/>
          </w:rPr>
        </w:r>
        <w:r>
          <w:rPr>
            <w:webHidden/>
          </w:rPr>
          <w:fldChar w:fldCharType="separate"/>
        </w:r>
        <w:r>
          <w:rPr>
            <w:webHidden/>
          </w:rPr>
          <w:t>218</w:t>
        </w:r>
        <w:r>
          <w:rPr>
            <w:webHidden/>
          </w:rPr>
          <w:fldChar w:fldCharType="end"/>
        </w:r>
      </w:hyperlink>
    </w:p>
    <w:p w14:paraId="09501748" w14:textId="63DB601F" w:rsidR="00067371" w:rsidRDefault="00067371">
      <w:pPr>
        <w:pStyle w:val="TOC3"/>
        <w:rPr>
          <w:rFonts w:asciiTheme="minorHAnsi" w:eastAsiaTheme="minorEastAsia" w:hAnsiTheme="minorHAnsi" w:cstheme="minorBidi"/>
          <w:kern w:val="2"/>
          <w:sz w:val="24"/>
          <w:szCs w:val="24"/>
          <w14:ligatures w14:val="standardContextual"/>
        </w:rPr>
      </w:pPr>
      <w:hyperlink w:anchor="_Toc214283324" w:history="1">
        <w:r w:rsidRPr="008F4954">
          <w:rPr>
            <w:rStyle w:val="Hyperlink"/>
          </w:rPr>
          <w:t>5.17.1</w:t>
        </w:r>
        <w:r>
          <w:rPr>
            <w:rFonts w:asciiTheme="minorHAnsi" w:eastAsiaTheme="minorEastAsia" w:hAnsiTheme="minorHAnsi" w:cstheme="minorBidi"/>
            <w:kern w:val="2"/>
            <w:sz w:val="24"/>
            <w:szCs w:val="24"/>
            <w14:ligatures w14:val="standardContextual"/>
          </w:rPr>
          <w:tab/>
        </w:r>
        <w:r w:rsidRPr="008F4954">
          <w:rPr>
            <w:rStyle w:val="Hyperlink"/>
          </w:rPr>
          <w:t>Set Outgoing DDO Sequence Number</w:t>
        </w:r>
        <w:r>
          <w:rPr>
            <w:webHidden/>
          </w:rPr>
          <w:tab/>
        </w:r>
        <w:r>
          <w:rPr>
            <w:webHidden/>
          </w:rPr>
          <w:fldChar w:fldCharType="begin"/>
        </w:r>
        <w:r>
          <w:rPr>
            <w:webHidden/>
          </w:rPr>
          <w:instrText xml:space="preserve"> PAGEREF _Toc214283324 \h </w:instrText>
        </w:r>
        <w:r>
          <w:rPr>
            <w:webHidden/>
          </w:rPr>
        </w:r>
        <w:r>
          <w:rPr>
            <w:webHidden/>
          </w:rPr>
          <w:fldChar w:fldCharType="separate"/>
        </w:r>
        <w:r>
          <w:rPr>
            <w:webHidden/>
          </w:rPr>
          <w:t>219</w:t>
        </w:r>
        <w:r>
          <w:rPr>
            <w:webHidden/>
          </w:rPr>
          <w:fldChar w:fldCharType="end"/>
        </w:r>
      </w:hyperlink>
    </w:p>
    <w:p w14:paraId="6099C7EC" w14:textId="0A9A29A0" w:rsidR="00067371" w:rsidRDefault="00067371">
      <w:pPr>
        <w:pStyle w:val="TOC3"/>
        <w:rPr>
          <w:rFonts w:asciiTheme="minorHAnsi" w:eastAsiaTheme="minorEastAsia" w:hAnsiTheme="minorHAnsi" w:cstheme="minorBidi"/>
          <w:kern w:val="2"/>
          <w:sz w:val="24"/>
          <w:szCs w:val="24"/>
          <w14:ligatures w14:val="standardContextual"/>
        </w:rPr>
      </w:pPr>
      <w:hyperlink w:anchor="_Toc214283325" w:history="1">
        <w:r w:rsidRPr="008F4954">
          <w:rPr>
            <w:rStyle w:val="Hyperlink"/>
          </w:rPr>
          <w:t>5.17.2</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_Toc214283325 \h </w:instrText>
        </w:r>
        <w:r>
          <w:rPr>
            <w:webHidden/>
          </w:rPr>
        </w:r>
        <w:r>
          <w:rPr>
            <w:webHidden/>
          </w:rPr>
          <w:fldChar w:fldCharType="separate"/>
        </w:r>
        <w:r>
          <w:rPr>
            <w:webHidden/>
          </w:rPr>
          <w:t>219</w:t>
        </w:r>
        <w:r>
          <w:rPr>
            <w:webHidden/>
          </w:rPr>
          <w:fldChar w:fldCharType="end"/>
        </w:r>
      </w:hyperlink>
    </w:p>
    <w:p w14:paraId="06978D5E" w14:textId="21C4C305" w:rsidR="00067371" w:rsidRDefault="00067371">
      <w:pPr>
        <w:pStyle w:val="TOC3"/>
        <w:rPr>
          <w:rFonts w:asciiTheme="minorHAnsi" w:eastAsiaTheme="minorEastAsia" w:hAnsiTheme="minorHAnsi" w:cstheme="minorBidi"/>
          <w:kern w:val="2"/>
          <w:sz w:val="24"/>
          <w:szCs w:val="24"/>
          <w14:ligatures w14:val="standardContextual"/>
        </w:rPr>
      </w:pPr>
      <w:hyperlink w:anchor="_Toc214283326" w:history="1">
        <w:r w:rsidRPr="008F4954">
          <w:rPr>
            <w:rStyle w:val="Hyperlink"/>
          </w:rPr>
          <w:t>5.17.3</w:t>
        </w:r>
        <w:r>
          <w:rPr>
            <w:rFonts w:asciiTheme="minorHAnsi" w:eastAsiaTheme="minorEastAsia" w:hAnsiTheme="minorHAnsi" w:cstheme="minorBidi"/>
            <w:kern w:val="2"/>
            <w:sz w:val="24"/>
            <w:szCs w:val="24"/>
            <w14:ligatures w14:val="standardContextual"/>
          </w:rPr>
          <w:tab/>
        </w:r>
        <w:r w:rsidRPr="008F4954">
          <w:rPr>
            <w:rStyle w:val="Hyperlink"/>
          </w:rPr>
          <w:t>Forward DDO Manifest</w:t>
        </w:r>
        <w:r>
          <w:rPr>
            <w:webHidden/>
          </w:rPr>
          <w:tab/>
        </w:r>
        <w:r>
          <w:rPr>
            <w:webHidden/>
          </w:rPr>
          <w:fldChar w:fldCharType="begin"/>
        </w:r>
        <w:r>
          <w:rPr>
            <w:webHidden/>
          </w:rPr>
          <w:instrText xml:space="preserve"> PAGEREF _Toc214283326 \h </w:instrText>
        </w:r>
        <w:r>
          <w:rPr>
            <w:webHidden/>
          </w:rPr>
        </w:r>
        <w:r>
          <w:rPr>
            <w:webHidden/>
          </w:rPr>
          <w:fldChar w:fldCharType="separate"/>
        </w:r>
        <w:r>
          <w:rPr>
            <w:webHidden/>
          </w:rPr>
          <w:t>221</w:t>
        </w:r>
        <w:r>
          <w:rPr>
            <w:webHidden/>
          </w:rPr>
          <w:fldChar w:fldCharType="end"/>
        </w:r>
      </w:hyperlink>
    </w:p>
    <w:p w14:paraId="7F170073" w14:textId="33166A32" w:rsidR="00067371" w:rsidRDefault="00067371">
      <w:pPr>
        <w:pStyle w:val="TOC3"/>
        <w:rPr>
          <w:rFonts w:asciiTheme="minorHAnsi" w:eastAsiaTheme="minorEastAsia" w:hAnsiTheme="minorHAnsi" w:cstheme="minorBidi"/>
          <w:kern w:val="2"/>
          <w:sz w:val="24"/>
          <w:szCs w:val="24"/>
          <w14:ligatures w14:val="standardContextual"/>
        </w:rPr>
      </w:pPr>
      <w:hyperlink w:anchor="_Toc214283327" w:history="1">
        <w:r w:rsidRPr="008F4954">
          <w:rPr>
            <w:rStyle w:val="Hyperlink"/>
          </w:rPr>
          <w:t>5.17.4</w:t>
        </w:r>
        <w:r>
          <w:rPr>
            <w:rFonts w:asciiTheme="minorHAnsi" w:eastAsiaTheme="minorEastAsia" w:hAnsiTheme="minorHAnsi" w:cstheme="minorBidi"/>
            <w:kern w:val="2"/>
            <w:sz w:val="24"/>
            <w:szCs w:val="24"/>
            <w14:ligatures w14:val="standardContextual"/>
          </w:rPr>
          <w:tab/>
        </w:r>
        <w:r w:rsidRPr="008F4954">
          <w:rPr>
            <w:rStyle w:val="Hyperlink"/>
          </w:rPr>
          <w:t>Forward DDO Data</w:t>
        </w:r>
        <w:r>
          <w:rPr>
            <w:webHidden/>
          </w:rPr>
          <w:tab/>
        </w:r>
        <w:r>
          <w:rPr>
            <w:webHidden/>
          </w:rPr>
          <w:fldChar w:fldCharType="begin"/>
        </w:r>
        <w:r>
          <w:rPr>
            <w:webHidden/>
          </w:rPr>
          <w:instrText xml:space="preserve"> PAGEREF _Toc214283327 \h </w:instrText>
        </w:r>
        <w:r>
          <w:rPr>
            <w:webHidden/>
          </w:rPr>
        </w:r>
        <w:r>
          <w:rPr>
            <w:webHidden/>
          </w:rPr>
          <w:fldChar w:fldCharType="separate"/>
        </w:r>
        <w:r>
          <w:rPr>
            <w:webHidden/>
          </w:rPr>
          <w:t>221</w:t>
        </w:r>
        <w:r>
          <w:rPr>
            <w:webHidden/>
          </w:rPr>
          <w:fldChar w:fldCharType="end"/>
        </w:r>
      </w:hyperlink>
    </w:p>
    <w:p w14:paraId="3079298C" w14:textId="31EC919C" w:rsidR="00067371" w:rsidRDefault="00067371">
      <w:pPr>
        <w:pStyle w:val="TOC3"/>
        <w:rPr>
          <w:rFonts w:asciiTheme="minorHAnsi" w:eastAsiaTheme="minorEastAsia" w:hAnsiTheme="minorHAnsi" w:cstheme="minorBidi"/>
          <w:kern w:val="2"/>
          <w:sz w:val="24"/>
          <w:szCs w:val="24"/>
          <w14:ligatures w14:val="standardContextual"/>
        </w:rPr>
      </w:pPr>
      <w:hyperlink w:anchor="_Toc214283328" w:history="1">
        <w:r w:rsidRPr="008F4954">
          <w:rPr>
            <w:rStyle w:val="Hyperlink"/>
          </w:rPr>
          <w:t>5.17.5</w:t>
        </w:r>
        <w:r>
          <w:rPr>
            <w:rFonts w:asciiTheme="minorHAnsi" w:eastAsiaTheme="minorEastAsia" w:hAnsiTheme="minorHAnsi" w:cstheme="minorBidi"/>
            <w:kern w:val="2"/>
            <w:sz w:val="24"/>
            <w:szCs w:val="24"/>
            <w14:ligatures w14:val="standardContextual"/>
          </w:rPr>
          <w:tab/>
        </w:r>
        <w:r w:rsidRPr="008F4954">
          <w:rPr>
            <w:rStyle w:val="Hyperlink"/>
          </w:rPr>
          <w:t>Foreign Releasability</w:t>
        </w:r>
        <w:r>
          <w:rPr>
            <w:webHidden/>
          </w:rPr>
          <w:tab/>
        </w:r>
        <w:r>
          <w:rPr>
            <w:webHidden/>
          </w:rPr>
          <w:fldChar w:fldCharType="begin"/>
        </w:r>
        <w:r>
          <w:rPr>
            <w:webHidden/>
          </w:rPr>
          <w:instrText xml:space="preserve"> PAGEREF _Toc214283328 \h </w:instrText>
        </w:r>
        <w:r>
          <w:rPr>
            <w:webHidden/>
          </w:rPr>
        </w:r>
        <w:r>
          <w:rPr>
            <w:webHidden/>
          </w:rPr>
          <w:fldChar w:fldCharType="separate"/>
        </w:r>
        <w:r>
          <w:rPr>
            <w:webHidden/>
          </w:rPr>
          <w:t>222</w:t>
        </w:r>
        <w:r>
          <w:rPr>
            <w:webHidden/>
          </w:rPr>
          <w:fldChar w:fldCharType="end"/>
        </w:r>
      </w:hyperlink>
    </w:p>
    <w:p w14:paraId="333BBDBF" w14:textId="5FE16792" w:rsidR="00067371" w:rsidRDefault="00067371">
      <w:pPr>
        <w:pStyle w:val="TOC3"/>
        <w:rPr>
          <w:rFonts w:asciiTheme="minorHAnsi" w:eastAsiaTheme="minorEastAsia" w:hAnsiTheme="minorHAnsi" w:cstheme="minorBidi"/>
          <w:kern w:val="2"/>
          <w:sz w:val="24"/>
          <w:szCs w:val="24"/>
          <w14:ligatures w14:val="standardContextual"/>
        </w:rPr>
      </w:pPr>
      <w:hyperlink w:anchor="_Toc214283329" w:history="1">
        <w:r w:rsidRPr="008F4954">
          <w:rPr>
            <w:rStyle w:val="Hyperlink"/>
          </w:rPr>
          <w:t>5.17.6</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_Toc214283329 \h </w:instrText>
        </w:r>
        <w:r>
          <w:rPr>
            <w:webHidden/>
          </w:rPr>
        </w:r>
        <w:r>
          <w:rPr>
            <w:webHidden/>
          </w:rPr>
          <w:fldChar w:fldCharType="separate"/>
        </w:r>
        <w:r>
          <w:rPr>
            <w:webHidden/>
          </w:rPr>
          <w:t>223</w:t>
        </w:r>
        <w:r>
          <w:rPr>
            <w:webHidden/>
          </w:rPr>
          <w:fldChar w:fldCharType="end"/>
        </w:r>
      </w:hyperlink>
    </w:p>
    <w:p w14:paraId="15EB12B8" w14:textId="2C948A90" w:rsidR="00067371" w:rsidRDefault="00067371">
      <w:pPr>
        <w:pStyle w:val="TOC3"/>
        <w:rPr>
          <w:rFonts w:asciiTheme="minorHAnsi" w:eastAsiaTheme="minorEastAsia" w:hAnsiTheme="minorHAnsi" w:cstheme="minorBidi"/>
          <w:kern w:val="2"/>
          <w:sz w:val="24"/>
          <w:szCs w:val="24"/>
          <w14:ligatures w14:val="standardContextual"/>
        </w:rPr>
      </w:pPr>
      <w:hyperlink w:anchor="_Toc214283330" w:history="1">
        <w:r w:rsidRPr="008F4954">
          <w:rPr>
            <w:rStyle w:val="Hyperlink"/>
          </w:rPr>
          <w:t>5.17.7</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_Toc214283330 \h </w:instrText>
        </w:r>
        <w:r>
          <w:rPr>
            <w:webHidden/>
          </w:rPr>
        </w:r>
        <w:r>
          <w:rPr>
            <w:webHidden/>
          </w:rPr>
          <w:fldChar w:fldCharType="separate"/>
        </w:r>
        <w:r>
          <w:rPr>
            <w:webHidden/>
          </w:rPr>
          <w:t>223</w:t>
        </w:r>
        <w:r>
          <w:rPr>
            <w:webHidden/>
          </w:rPr>
          <w:fldChar w:fldCharType="end"/>
        </w:r>
      </w:hyperlink>
    </w:p>
    <w:p w14:paraId="7639D782" w14:textId="2F0FAC05" w:rsidR="00067371" w:rsidRDefault="00067371">
      <w:pPr>
        <w:pStyle w:val="TOC3"/>
        <w:rPr>
          <w:rFonts w:asciiTheme="minorHAnsi" w:eastAsiaTheme="minorEastAsia" w:hAnsiTheme="minorHAnsi" w:cstheme="minorBidi"/>
          <w:kern w:val="2"/>
          <w:sz w:val="24"/>
          <w:szCs w:val="24"/>
          <w14:ligatures w14:val="standardContextual"/>
        </w:rPr>
      </w:pPr>
      <w:hyperlink w:anchor="_Toc214283331" w:history="1">
        <w:r w:rsidRPr="008F4954">
          <w:rPr>
            <w:rStyle w:val="Hyperlink"/>
          </w:rPr>
          <w:t>5.17.8</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_Toc214283331 \h </w:instrText>
        </w:r>
        <w:r>
          <w:rPr>
            <w:webHidden/>
          </w:rPr>
        </w:r>
        <w:r>
          <w:rPr>
            <w:webHidden/>
          </w:rPr>
          <w:fldChar w:fldCharType="separate"/>
        </w:r>
        <w:r>
          <w:rPr>
            <w:webHidden/>
          </w:rPr>
          <w:t>223</w:t>
        </w:r>
        <w:r>
          <w:rPr>
            <w:webHidden/>
          </w:rPr>
          <w:fldChar w:fldCharType="end"/>
        </w:r>
      </w:hyperlink>
    </w:p>
    <w:p w14:paraId="240D9F0C" w14:textId="4B2DF5B0" w:rsidR="00067371" w:rsidRDefault="00067371">
      <w:pPr>
        <w:pStyle w:val="TOC3"/>
        <w:rPr>
          <w:rFonts w:asciiTheme="minorHAnsi" w:eastAsiaTheme="minorEastAsia" w:hAnsiTheme="minorHAnsi" w:cstheme="minorBidi"/>
          <w:kern w:val="2"/>
          <w:sz w:val="24"/>
          <w:szCs w:val="24"/>
          <w14:ligatures w14:val="standardContextual"/>
        </w:rPr>
      </w:pPr>
      <w:hyperlink w:anchor="_Toc214283332" w:history="1">
        <w:r w:rsidRPr="008F4954">
          <w:rPr>
            <w:rStyle w:val="Hyperlink"/>
          </w:rPr>
          <w:t>5.17.9</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_Toc214283332 \h </w:instrText>
        </w:r>
        <w:r>
          <w:rPr>
            <w:webHidden/>
          </w:rPr>
        </w:r>
        <w:r>
          <w:rPr>
            <w:webHidden/>
          </w:rPr>
          <w:fldChar w:fldCharType="separate"/>
        </w:r>
        <w:r>
          <w:rPr>
            <w:webHidden/>
          </w:rPr>
          <w:t>223</w:t>
        </w:r>
        <w:r>
          <w:rPr>
            <w:webHidden/>
          </w:rPr>
          <w:fldChar w:fldCharType="end"/>
        </w:r>
      </w:hyperlink>
    </w:p>
    <w:p w14:paraId="399B5CE9" w14:textId="0C46A56A" w:rsidR="00067371" w:rsidRDefault="00067371">
      <w:pPr>
        <w:pStyle w:val="TOC3"/>
        <w:rPr>
          <w:rFonts w:asciiTheme="minorHAnsi" w:eastAsiaTheme="minorEastAsia" w:hAnsiTheme="minorHAnsi" w:cstheme="minorBidi"/>
          <w:kern w:val="2"/>
          <w:sz w:val="24"/>
          <w:szCs w:val="24"/>
          <w14:ligatures w14:val="standardContextual"/>
        </w:rPr>
      </w:pPr>
      <w:hyperlink w:anchor="_Toc214283333" w:history="1">
        <w:r w:rsidRPr="008F4954">
          <w:rPr>
            <w:rStyle w:val="Hyperlink"/>
          </w:rPr>
          <w:t>5.17.10</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_Toc214283333 \h </w:instrText>
        </w:r>
        <w:r>
          <w:rPr>
            <w:webHidden/>
          </w:rPr>
        </w:r>
        <w:r>
          <w:rPr>
            <w:webHidden/>
          </w:rPr>
          <w:fldChar w:fldCharType="separate"/>
        </w:r>
        <w:r>
          <w:rPr>
            <w:webHidden/>
          </w:rPr>
          <w:t>223</w:t>
        </w:r>
        <w:r>
          <w:rPr>
            <w:webHidden/>
          </w:rPr>
          <w:fldChar w:fldCharType="end"/>
        </w:r>
      </w:hyperlink>
    </w:p>
    <w:p w14:paraId="18483069" w14:textId="1A59F372" w:rsidR="00067371" w:rsidRDefault="00067371">
      <w:pPr>
        <w:pStyle w:val="TOC3"/>
        <w:rPr>
          <w:rFonts w:asciiTheme="minorHAnsi" w:eastAsiaTheme="minorEastAsia" w:hAnsiTheme="minorHAnsi" w:cstheme="minorBidi"/>
          <w:kern w:val="2"/>
          <w:sz w:val="24"/>
          <w:szCs w:val="24"/>
          <w14:ligatures w14:val="standardContextual"/>
        </w:rPr>
      </w:pPr>
      <w:hyperlink w:anchor="_Toc214283334" w:history="1">
        <w:r w:rsidRPr="008F4954">
          <w:rPr>
            <w:rStyle w:val="Hyperlink"/>
          </w:rPr>
          <w:t>5.17.11</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_Toc214283334 \h </w:instrText>
        </w:r>
        <w:r>
          <w:rPr>
            <w:webHidden/>
          </w:rPr>
        </w:r>
        <w:r>
          <w:rPr>
            <w:webHidden/>
          </w:rPr>
          <w:fldChar w:fldCharType="separate"/>
        </w:r>
        <w:r>
          <w:rPr>
            <w:webHidden/>
          </w:rPr>
          <w:t>223</w:t>
        </w:r>
        <w:r>
          <w:rPr>
            <w:webHidden/>
          </w:rPr>
          <w:fldChar w:fldCharType="end"/>
        </w:r>
      </w:hyperlink>
    </w:p>
    <w:p w14:paraId="2475F6DA" w14:textId="460AF742" w:rsidR="00067371" w:rsidRDefault="00067371">
      <w:pPr>
        <w:pStyle w:val="TOC3"/>
        <w:rPr>
          <w:rFonts w:asciiTheme="minorHAnsi" w:eastAsiaTheme="minorEastAsia" w:hAnsiTheme="minorHAnsi" w:cstheme="minorBidi"/>
          <w:kern w:val="2"/>
          <w:sz w:val="24"/>
          <w:szCs w:val="24"/>
          <w14:ligatures w14:val="standardContextual"/>
        </w:rPr>
      </w:pPr>
      <w:hyperlink w:anchor="_Toc214283335" w:history="1">
        <w:r w:rsidRPr="008F4954">
          <w:rPr>
            <w:rStyle w:val="Hyperlink"/>
          </w:rPr>
          <w:t>5.17.12</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_Toc214283335 \h </w:instrText>
        </w:r>
        <w:r>
          <w:rPr>
            <w:webHidden/>
          </w:rPr>
        </w:r>
        <w:r>
          <w:rPr>
            <w:webHidden/>
          </w:rPr>
          <w:fldChar w:fldCharType="separate"/>
        </w:r>
        <w:r>
          <w:rPr>
            <w:webHidden/>
          </w:rPr>
          <w:t>223</w:t>
        </w:r>
        <w:r>
          <w:rPr>
            <w:webHidden/>
          </w:rPr>
          <w:fldChar w:fldCharType="end"/>
        </w:r>
      </w:hyperlink>
    </w:p>
    <w:p w14:paraId="5C8BC057" w14:textId="34F1DEE3" w:rsidR="00067371" w:rsidRDefault="00067371">
      <w:pPr>
        <w:pStyle w:val="TOC3"/>
        <w:rPr>
          <w:rFonts w:asciiTheme="minorHAnsi" w:eastAsiaTheme="minorEastAsia" w:hAnsiTheme="minorHAnsi" w:cstheme="minorBidi"/>
          <w:kern w:val="2"/>
          <w:sz w:val="24"/>
          <w:szCs w:val="24"/>
          <w14:ligatures w14:val="standardContextual"/>
        </w:rPr>
      </w:pPr>
      <w:hyperlink w:anchor="_Toc214283336" w:history="1">
        <w:r w:rsidRPr="008F4954">
          <w:rPr>
            <w:rStyle w:val="Hyperlink"/>
          </w:rPr>
          <w:t>5.17.13</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_Toc214283336 \h </w:instrText>
        </w:r>
        <w:r>
          <w:rPr>
            <w:webHidden/>
          </w:rPr>
        </w:r>
        <w:r>
          <w:rPr>
            <w:webHidden/>
          </w:rPr>
          <w:fldChar w:fldCharType="separate"/>
        </w:r>
        <w:r>
          <w:rPr>
            <w:webHidden/>
          </w:rPr>
          <w:t>223</w:t>
        </w:r>
        <w:r>
          <w:rPr>
            <w:webHidden/>
          </w:rPr>
          <w:fldChar w:fldCharType="end"/>
        </w:r>
      </w:hyperlink>
    </w:p>
    <w:p w14:paraId="785EBDD1" w14:textId="35AF6CB3"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337" w:history="1">
        <w:r w:rsidRPr="008F4954">
          <w:rPr>
            <w:rStyle w:val="Hyperlink"/>
          </w:rPr>
          <w:t>5.18</w:t>
        </w:r>
        <w:r>
          <w:rPr>
            <w:rFonts w:asciiTheme="minorHAnsi" w:eastAsiaTheme="minorEastAsia" w:hAnsiTheme="minorHAnsi" w:cstheme="minorBidi"/>
            <w:smallCaps w:val="0"/>
            <w:kern w:val="2"/>
            <w:szCs w:val="24"/>
            <w14:ligatures w14:val="standardContextual"/>
          </w:rPr>
          <w:tab/>
        </w:r>
        <w:r w:rsidRPr="008F4954">
          <w:rPr>
            <w:rStyle w:val="Hyperlink"/>
          </w:rPr>
          <w:t>INCOMING DDOS TOOL</w:t>
        </w:r>
        <w:r>
          <w:rPr>
            <w:webHidden/>
          </w:rPr>
          <w:tab/>
        </w:r>
        <w:r>
          <w:rPr>
            <w:webHidden/>
          </w:rPr>
          <w:fldChar w:fldCharType="begin"/>
        </w:r>
        <w:r>
          <w:rPr>
            <w:webHidden/>
          </w:rPr>
          <w:instrText xml:space="preserve"> PAGEREF _Toc214283337 \h </w:instrText>
        </w:r>
        <w:r>
          <w:rPr>
            <w:webHidden/>
          </w:rPr>
        </w:r>
        <w:r>
          <w:rPr>
            <w:webHidden/>
          </w:rPr>
          <w:fldChar w:fldCharType="separate"/>
        </w:r>
        <w:r>
          <w:rPr>
            <w:webHidden/>
          </w:rPr>
          <w:t>224</w:t>
        </w:r>
        <w:r>
          <w:rPr>
            <w:webHidden/>
          </w:rPr>
          <w:fldChar w:fldCharType="end"/>
        </w:r>
      </w:hyperlink>
    </w:p>
    <w:p w14:paraId="65A4F090" w14:textId="154D4FBA" w:rsidR="00067371" w:rsidRDefault="00067371">
      <w:pPr>
        <w:pStyle w:val="TOC3"/>
        <w:rPr>
          <w:rFonts w:asciiTheme="minorHAnsi" w:eastAsiaTheme="minorEastAsia" w:hAnsiTheme="minorHAnsi" w:cstheme="minorBidi"/>
          <w:kern w:val="2"/>
          <w:sz w:val="24"/>
          <w:szCs w:val="24"/>
          <w14:ligatures w14:val="standardContextual"/>
        </w:rPr>
      </w:pPr>
      <w:hyperlink w:anchor="_Toc214283338" w:history="1">
        <w:r w:rsidRPr="008F4954">
          <w:rPr>
            <w:rStyle w:val="Hyperlink"/>
          </w:rPr>
          <w:t>5.18.1</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_Toc214283338 \h </w:instrText>
        </w:r>
        <w:r>
          <w:rPr>
            <w:webHidden/>
          </w:rPr>
        </w:r>
        <w:r>
          <w:rPr>
            <w:webHidden/>
          </w:rPr>
          <w:fldChar w:fldCharType="separate"/>
        </w:r>
        <w:r>
          <w:rPr>
            <w:webHidden/>
          </w:rPr>
          <w:t>226</w:t>
        </w:r>
        <w:r>
          <w:rPr>
            <w:webHidden/>
          </w:rPr>
          <w:fldChar w:fldCharType="end"/>
        </w:r>
      </w:hyperlink>
    </w:p>
    <w:p w14:paraId="03ADA50D" w14:textId="3CC68A7B" w:rsidR="00067371" w:rsidRDefault="00067371">
      <w:pPr>
        <w:pStyle w:val="TOC3"/>
        <w:rPr>
          <w:rFonts w:asciiTheme="minorHAnsi" w:eastAsiaTheme="minorEastAsia" w:hAnsiTheme="minorHAnsi" w:cstheme="minorBidi"/>
          <w:kern w:val="2"/>
          <w:sz w:val="24"/>
          <w:szCs w:val="24"/>
          <w14:ligatures w14:val="standardContextual"/>
        </w:rPr>
      </w:pPr>
      <w:hyperlink w:anchor="_Toc214283339" w:history="1">
        <w:r w:rsidRPr="008F4954">
          <w:rPr>
            <w:rStyle w:val="Hyperlink"/>
          </w:rPr>
          <w:t>5.18.2</w:t>
        </w:r>
        <w:r>
          <w:rPr>
            <w:rFonts w:asciiTheme="minorHAnsi" w:eastAsiaTheme="minorEastAsia" w:hAnsiTheme="minorHAnsi" w:cstheme="minorBidi"/>
            <w:kern w:val="2"/>
            <w:sz w:val="24"/>
            <w:szCs w:val="24"/>
            <w14:ligatures w14:val="standardContextual"/>
          </w:rPr>
          <w:tab/>
        </w:r>
        <w:r w:rsidRPr="008F4954">
          <w:rPr>
            <w:rStyle w:val="Hyperlink"/>
          </w:rPr>
          <w:t>Forward DDO Data</w:t>
        </w:r>
        <w:r>
          <w:rPr>
            <w:webHidden/>
          </w:rPr>
          <w:tab/>
        </w:r>
        <w:r>
          <w:rPr>
            <w:webHidden/>
          </w:rPr>
          <w:fldChar w:fldCharType="begin"/>
        </w:r>
        <w:r>
          <w:rPr>
            <w:webHidden/>
          </w:rPr>
          <w:instrText xml:space="preserve"> PAGEREF _Toc214283339 \h </w:instrText>
        </w:r>
        <w:r>
          <w:rPr>
            <w:webHidden/>
          </w:rPr>
        </w:r>
        <w:r>
          <w:rPr>
            <w:webHidden/>
          </w:rPr>
          <w:fldChar w:fldCharType="separate"/>
        </w:r>
        <w:r>
          <w:rPr>
            <w:webHidden/>
          </w:rPr>
          <w:t>231</w:t>
        </w:r>
        <w:r>
          <w:rPr>
            <w:webHidden/>
          </w:rPr>
          <w:fldChar w:fldCharType="end"/>
        </w:r>
      </w:hyperlink>
    </w:p>
    <w:p w14:paraId="37A183F1" w14:textId="5A37BC44" w:rsidR="00067371" w:rsidRDefault="00067371">
      <w:pPr>
        <w:pStyle w:val="TOC3"/>
        <w:rPr>
          <w:rFonts w:asciiTheme="minorHAnsi" w:eastAsiaTheme="minorEastAsia" w:hAnsiTheme="minorHAnsi" w:cstheme="minorBidi"/>
          <w:kern w:val="2"/>
          <w:sz w:val="24"/>
          <w:szCs w:val="24"/>
          <w14:ligatures w14:val="standardContextual"/>
        </w:rPr>
      </w:pPr>
      <w:hyperlink w:anchor="_Toc214283340" w:history="1">
        <w:r w:rsidRPr="008F4954">
          <w:rPr>
            <w:rStyle w:val="Hyperlink"/>
          </w:rPr>
          <w:t>5.18.3</w:t>
        </w:r>
        <w:r>
          <w:rPr>
            <w:rFonts w:asciiTheme="minorHAnsi" w:eastAsiaTheme="minorEastAsia" w:hAnsiTheme="minorHAnsi" w:cstheme="minorBidi"/>
            <w:kern w:val="2"/>
            <w:sz w:val="24"/>
            <w:szCs w:val="24"/>
            <w14:ligatures w14:val="standardContextual"/>
          </w:rPr>
          <w:tab/>
        </w:r>
        <w:r w:rsidRPr="008F4954">
          <w:rPr>
            <w:rStyle w:val="Hyperlink"/>
          </w:rPr>
          <w:t>Forward DDO Manifest</w:t>
        </w:r>
        <w:r>
          <w:rPr>
            <w:webHidden/>
          </w:rPr>
          <w:tab/>
        </w:r>
        <w:r>
          <w:rPr>
            <w:webHidden/>
          </w:rPr>
          <w:fldChar w:fldCharType="begin"/>
        </w:r>
        <w:r>
          <w:rPr>
            <w:webHidden/>
          </w:rPr>
          <w:instrText xml:space="preserve"> PAGEREF _Toc214283340 \h </w:instrText>
        </w:r>
        <w:r>
          <w:rPr>
            <w:webHidden/>
          </w:rPr>
        </w:r>
        <w:r>
          <w:rPr>
            <w:webHidden/>
          </w:rPr>
          <w:fldChar w:fldCharType="separate"/>
        </w:r>
        <w:r>
          <w:rPr>
            <w:webHidden/>
          </w:rPr>
          <w:t>232</w:t>
        </w:r>
        <w:r>
          <w:rPr>
            <w:webHidden/>
          </w:rPr>
          <w:fldChar w:fldCharType="end"/>
        </w:r>
      </w:hyperlink>
    </w:p>
    <w:p w14:paraId="4A4F9270" w14:textId="2098C0FE" w:rsidR="00067371" w:rsidRDefault="00067371">
      <w:pPr>
        <w:pStyle w:val="TOC3"/>
        <w:rPr>
          <w:rFonts w:asciiTheme="minorHAnsi" w:eastAsiaTheme="minorEastAsia" w:hAnsiTheme="minorHAnsi" w:cstheme="minorBidi"/>
          <w:kern w:val="2"/>
          <w:sz w:val="24"/>
          <w:szCs w:val="24"/>
          <w14:ligatures w14:val="standardContextual"/>
        </w:rPr>
      </w:pPr>
      <w:hyperlink w:anchor="_Toc214283341" w:history="1">
        <w:r w:rsidRPr="008F4954">
          <w:rPr>
            <w:rStyle w:val="Hyperlink"/>
          </w:rPr>
          <w:t>5.18.4</w:t>
        </w:r>
        <w:r>
          <w:rPr>
            <w:rFonts w:asciiTheme="minorHAnsi" w:eastAsiaTheme="minorEastAsia" w:hAnsiTheme="minorHAnsi" w:cstheme="minorBidi"/>
            <w:kern w:val="2"/>
            <w:sz w:val="24"/>
            <w:szCs w:val="24"/>
            <w14:ligatures w14:val="standardContextual"/>
          </w:rPr>
          <w:tab/>
        </w:r>
        <w:r w:rsidRPr="008F4954">
          <w:rPr>
            <w:rStyle w:val="Hyperlink"/>
          </w:rPr>
          <w:t>Configuring Automatic DDO Processing</w:t>
        </w:r>
        <w:r>
          <w:rPr>
            <w:webHidden/>
          </w:rPr>
          <w:tab/>
        </w:r>
        <w:r>
          <w:rPr>
            <w:webHidden/>
          </w:rPr>
          <w:fldChar w:fldCharType="begin"/>
        </w:r>
        <w:r>
          <w:rPr>
            <w:webHidden/>
          </w:rPr>
          <w:instrText xml:space="preserve"> PAGEREF _Toc214283341 \h </w:instrText>
        </w:r>
        <w:r>
          <w:rPr>
            <w:webHidden/>
          </w:rPr>
        </w:r>
        <w:r>
          <w:rPr>
            <w:webHidden/>
          </w:rPr>
          <w:fldChar w:fldCharType="separate"/>
        </w:r>
        <w:r>
          <w:rPr>
            <w:webHidden/>
          </w:rPr>
          <w:t>232</w:t>
        </w:r>
        <w:r>
          <w:rPr>
            <w:webHidden/>
          </w:rPr>
          <w:fldChar w:fldCharType="end"/>
        </w:r>
      </w:hyperlink>
    </w:p>
    <w:p w14:paraId="69B19D04" w14:textId="27A7BB78" w:rsidR="00067371" w:rsidRDefault="00067371">
      <w:pPr>
        <w:pStyle w:val="TOC3"/>
        <w:rPr>
          <w:rFonts w:asciiTheme="minorHAnsi" w:eastAsiaTheme="minorEastAsia" w:hAnsiTheme="minorHAnsi" w:cstheme="minorBidi"/>
          <w:kern w:val="2"/>
          <w:sz w:val="24"/>
          <w:szCs w:val="24"/>
          <w14:ligatures w14:val="standardContextual"/>
        </w:rPr>
      </w:pPr>
      <w:hyperlink w:anchor="_Toc214283342" w:history="1">
        <w:r w:rsidRPr="008F4954">
          <w:rPr>
            <w:rStyle w:val="Hyperlink"/>
          </w:rPr>
          <w:t>5.18.5</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_Toc214283342 \h </w:instrText>
        </w:r>
        <w:r>
          <w:rPr>
            <w:webHidden/>
          </w:rPr>
        </w:r>
        <w:r>
          <w:rPr>
            <w:webHidden/>
          </w:rPr>
          <w:fldChar w:fldCharType="separate"/>
        </w:r>
        <w:r>
          <w:rPr>
            <w:webHidden/>
          </w:rPr>
          <w:t>233</w:t>
        </w:r>
        <w:r>
          <w:rPr>
            <w:webHidden/>
          </w:rPr>
          <w:fldChar w:fldCharType="end"/>
        </w:r>
      </w:hyperlink>
    </w:p>
    <w:p w14:paraId="5DE1837C" w14:textId="03C13E3E" w:rsidR="00067371" w:rsidRDefault="00067371">
      <w:pPr>
        <w:pStyle w:val="TOC3"/>
        <w:rPr>
          <w:rFonts w:asciiTheme="minorHAnsi" w:eastAsiaTheme="minorEastAsia" w:hAnsiTheme="minorHAnsi" w:cstheme="minorBidi"/>
          <w:kern w:val="2"/>
          <w:sz w:val="24"/>
          <w:szCs w:val="24"/>
          <w14:ligatures w14:val="standardContextual"/>
        </w:rPr>
      </w:pPr>
      <w:hyperlink w:anchor="_Toc214283343" w:history="1">
        <w:r w:rsidRPr="008F4954">
          <w:rPr>
            <w:rStyle w:val="Hyperlink"/>
          </w:rPr>
          <w:t>5.18.6</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_Toc214283343 \h </w:instrText>
        </w:r>
        <w:r>
          <w:rPr>
            <w:webHidden/>
          </w:rPr>
        </w:r>
        <w:r>
          <w:rPr>
            <w:webHidden/>
          </w:rPr>
          <w:fldChar w:fldCharType="separate"/>
        </w:r>
        <w:r>
          <w:rPr>
            <w:webHidden/>
          </w:rPr>
          <w:t>233</w:t>
        </w:r>
        <w:r>
          <w:rPr>
            <w:webHidden/>
          </w:rPr>
          <w:fldChar w:fldCharType="end"/>
        </w:r>
      </w:hyperlink>
    </w:p>
    <w:p w14:paraId="2F7E0E81" w14:textId="17E9E6E5" w:rsidR="00067371" w:rsidRDefault="00067371">
      <w:pPr>
        <w:pStyle w:val="TOC3"/>
        <w:rPr>
          <w:rFonts w:asciiTheme="minorHAnsi" w:eastAsiaTheme="minorEastAsia" w:hAnsiTheme="minorHAnsi" w:cstheme="minorBidi"/>
          <w:kern w:val="2"/>
          <w:sz w:val="24"/>
          <w:szCs w:val="24"/>
          <w14:ligatures w14:val="standardContextual"/>
        </w:rPr>
      </w:pPr>
      <w:hyperlink w:anchor="_Toc214283344" w:history="1">
        <w:r w:rsidRPr="008F4954">
          <w:rPr>
            <w:rStyle w:val="Hyperlink"/>
          </w:rPr>
          <w:t>5.18.7</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_Toc214283344 \h </w:instrText>
        </w:r>
        <w:r>
          <w:rPr>
            <w:webHidden/>
          </w:rPr>
        </w:r>
        <w:r>
          <w:rPr>
            <w:webHidden/>
          </w:rPr>
          <w:fldChar w:fldCharType="separate"/>
        </w:r>
        <w:r>
          <w:rPr>
            <w:webHidden/>
          </w:rPr>
          <w:t>234</w:t>
        </w:r>
        <w:r>
          <w:rPr>
            <w:webHidden/>
          </w:rPr>
          <w:fldChar w:fldCharType="end"/>
        </w:r>
      </w:hyperlink>
    </w:p>
    <w:p w14:paraId="11FF3844" w14:textId="07B35FDD" w:rsidR="00067371" w:rsidRDefault="00067371">
      <w:pPr>
        <w:pStyle w:val="TOC3"/>
        <w:rPr>
          <w:rFonts w:asciiTheme="minorHAnsi" w:eastAsiaTheme="minorEastAsia" w:hAnsiTheme="minorHAnsi" w:cstheme="minorBidi"/>
          <w:kern w:val="2"/>
          <w:sz w:val="24"/>
          <w:szCs w:val="24"/>
          <w14:ligatures w14:val="standardContextual"/>
        </w:rPr>
      </w:pPr>
      <w:hyperlink w:anchor="_Toc214283345" w:history="1">
        <w:r w:rsidRPr="008F4954">
          <w:rPr>
            <w:rStyle w:val="Hyperlink"/>
          </w:rPr>
          <w:t>5.18.8</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_Toc214283345 \h </w:instrText>
        </w:r>
        <w:r>
          <w:rPr>
            <w:webHidden/>
          </w:rPr>
        </w:r>
        <w:r>
          <w:rPr>
            <w:webHidden/>
          </w:rPr>
          <w:fldChar w:fldCharType="separate"/>
        </w:r>
        <w:r>
          <w:rPr>
            <w:webHidden/>
          </w:rPr>
          <w:t>234</w:t>
        </w:r>
        <w:r>
          <w:rPr>
            <w:webHidden/>
          </w:rPr>
          <w:fldChar w:fldCharType="end"/>
        </w:r>
      </w:hyperlink>
    </w:p>
    <w:p w14:paraId="071E5489" w14:textId="209173BC" w:rsidR="00067371" w:rsidRDefault="00067371">
      <w:pPr>
        <w:pStyle w:val="TOC3"/>
        <w:rPr>
          <w:rFonts w:asciiTheme="minorHAnsi" w:eastAsiaTheme="minorEastAsia" w:hAnsiTheme="minorHAnsi" w:cstheme="minorBidi"/>
          <w:kern w:val="2"/>
          <w:sz w:val="24"/>
          <w:szCs w:val="24"/>
          <w14:ligatures w14:val="standardContextual"/>
        </w:rPr>
      </w:pPr>
      <w:hyperlink w:anchor="_Toc214283346" w:history="1">
        <w:r w:rsidRPr="008F4954">
          <w:rPr>
            <w:rStyle w:val="Hyperlink"/>
          </w:rPr>
          <w:t>5.18.9</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_Toc214283346 \h </w:instrText>
        </w:r>
        <w:r>
          <w:rPr>
            <w:webHidden/>
          </w:rPr>
        </w:r>
        <w:r>
          <w:rPr>
            <w:webHidden/>
          </w:rPr>
          <w:fldChar w:fldCharType="separate"/>
        </w:r>
        <w:r>
          <w:rPr>
            <w:webHidden/>
          </w:rPr>
          <w:t>234</w:t>
        </w:r>
        <w:r>
          <w:rPr>
            <w:webHidden/>
          </w:rPr>
          <w:fldChar w:fldCharType="end"/>
        </w:r>
      </w:hyperlink>
    </w:p>
    <w:p w14:paraId="319DB85A" w14:textId="4C32F450" w:rsidR="00067371" w:rsidRDefault="00067371">
      <w:pPr>
        <w:pStyle w:val="TOC3"/>
        <w:rPr>
          <w:rFonts w:asciiTheme="minorHAnsi" w:eastAsiaTheme="minorEastAsia" w:hAnsiTheme="minorHAnsi" w:cstheme="minorBidi"/>
          <w:kern w:val="2"/>
          <w:sz w:val="24"/>
          <w:szCs w:val="24"/>
          <w14:ligatures w14:val="standardContextual"/>
        </w:rPr>
      </w:pPr>
      <w:hyperlink w:anchor="_Toc214283347" w:history="1">
        <w:r w:rsidRPr="008F4954">
          <w:rPr>
            <w:rStyle w:val="Hyperlink"/>
          </w:rPr>
          <w:t>5.18.10</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_Toc214283347 \h </w:instrText>
        </w:r>
        <w:r>
          <w:rPr>
            <w:webHidden/>
          </w:rPr>
        </w:r>
        <w:r>
          <w:rPr>
            <w:webHidden/>
          </w:rPr>
          <w:fldChar w:fldCharType="separate"/>
        </w:r>
        <w:r>
          <w:rPr>
            <w:webHidden/>
          </w:rPr>
          <w:t>234</w:t>
        </w:r>
        <w:r>
          <w:rPr>
            <w:webHidden/>
          </w:rPr>
          <w:fldChar w:fldCharType="end"/>
        </w:r>
      </w:hyperlink>
    </w:p>
    <w:p w14:paraId="0AB63176" w14:textId="1EF6DA6C" w:rsidR="00067371" w:rsidRDefault="00067371">
      <w:pPr>
        <w:pStyle w:val="TOC3"/>
        <w:rPr>
          <w:rFonts w:asciiTheme="minorHAnsi" w:eastAsiaTheme="minorEastAsia" w:hAnsiTheme="minorHAnsi" w:cstheme="minorBidi"/>
          <w:kern w:val="2"/>
          <w:sz w:val="24"/>
          <w:szCs w:val="24"/>
          <w14:ligatures w14:val="standardContextual"/>
        </w:rPr>
      </w:pPr>
      <w:hyperlink w:anchor="_Toc214283348" w:history="1">
        <w:r w:rsidRPr="008F4954">
          <w:rPr>
            <w:rStyle w:val="Hyperlink"/>
          </w:rPr>
          <w:t>5.18.11</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_Toc214283348 \h </w:instrText>
        </w:r>
        <w:r>
          <w:rPr>
            <w:webHidden/>
          </w:rPr>
        </w:r>
        <w:r>
          <w:rPr>
            <w:webHidden/>
          </w:rPr>
          <w:fldChar w:fldCharType="separate"/>
        </w:r>
        <w:r>
          <w:rPr>
            <w:webHidden/>
          </w:rPr>
          <w:t>234</w:t>
        </w:r>
        <w:r>
          <w:rPr>
            <w:webHidden/>
          </w:rPr>
          <w:fldChar w:fldCharType="end"/>
        </w:r>
      </w:hyperlink>
    </w:p>
    <w:p w14:paraId="0A942A67" w14:textId="767BF32D" w:rsidR="00067371" w:rsidRDefault="00067371">
      <w:pPr>
        <w:pStyle w:val="TOC3"/>
        <w:rPr>
          <w:rFonts w:asciiTheme="minorHAnsi" w:eastAsiaTheme="minorEastAsia" w:hAnsiTheme="minorHAnsi" w:cstheme="minorBidi"/>
          <w:kern w:val="2"/>
          <w:sz w:val="24"/>
          <w:szCs w:val="24"/>
          <w14:ligatures w14:val="standardContextual"/>
        </w:rPr>
      </w:pPr>
      <w:hyperlink w:anchor="_Toc214283349" w:history="1">
        <w:r w:rsidRPr="008F4954">
          <w:rPr>
            <w:rStyle w:val="Hyperlink"/>
          </w:rPr>
          <w:t>5.18.12</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_Toc214283349 \h </w:instrText>
        </w:r>
        <w:r>
          <w:rPr>
            <w:webHidden/>
          </w:rPr>
        </w:r>
        <w:r>
          <w:rPr>
            <w:webHidden/>
          </w:rPr>
          <w:fldChar w:fldCharType="separate"/>
        </w:r>
        <w:r>
          <w:rPr>
            <w:webHidden/>
          </w:rPr>
          <w:t>234</w:t>
        </w:r>
        <w:r>
          <w:rPr>
            <w:webHidden/>
          </w:rPr>
          <w:fldChar w:fldCharType="end"/>
        </w:r>
      </w:hyperlink>
    </w:p>
    <w:p w14:paraId="712B5D2C" w14:textId="37B632E6"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350" w:history="1">
        <w:r w:rsidRPr="008F4954">
          <w:rPr>
            <w:rStyle w:val="Hyperlink"/>
          </w:rPr>
          <w:t>5.19</w:t>
        </w:r>
        <w:r>
          <w:rPr>
            <w:rFonts w:asciiTheme="minorHAnsi" w:eastAsiaTheme="minorEastAsia" w:hAnsiTheme="minorHAnsi" w:cstheme="minorBidi"/>
            <w:smallCaps w:val="0"/>
            <w:kern w:val="2"/>
            <w:szCs w:val="24"/>
            <w14:ligatures w14:val="standardContextual"/>
          </w:rPr>
          <w:tab/>
        </w:r>
        <w:r w:rsidRPr="008F4954">
          <w:rPr>
            <w:rStyle w:val="Hyperlink"/>
          </w:rPr>
          <w:t>PULL DISTRIBUTION TOOL</w:t>
        </w:r>
        <w:r>
          <w:rPr>
            <w:webHidden/>
          </w:rPr>
          <w:tab/>
        </w:r>
        <w:r>
          <w:rPr>
            <w:webHidden/>
          </w:rPr>
          <w:fldChar w:fldCharType="begin"/>
        </w:r>
        <w:r>
          <w:rPr>
            <w:webHidden/>
          </w:rPr>
          <w:instrText xml:space="preserve"> PAGEREF _Toc214283350 \h </w:instrText>
        </w:r>
        <w:r>
          <w:rPr>
            <w:webHidden/>
          </w:rPr>
        </w:r>
        <w:r>
          <w:rPr>
            <w:webHidden/>
          </w:rPr>
          <w:fldChar w:fldCharType="separate"/>
        </w:r>
        <w:r>
          <w:rPr>
            <w:webHidden/>
          </w:rPr>
          <w:t>235</w:t>
        </w:r>
        <w:r>
          <w:rPr>
            <w:webHidden/>
          </w:rPr>
          <w:fldChar w:fldCharType="end"/>
        </w:r>
      </w:hyperlink>
    </w:p>
    <w:p w14:paraId="27A26430" w14:textId="103B4403" w:rsidR="00067371" w:rsidRDefault="00067371">
      <w:pPr>
        <w:pStyle w:val="TOC3"/>
        <w:rPr>
          <w:rFonts w:asciiTheme="minorHAnsi" w:eastAsiaTheme="minorEastAsia" w:hAnsiTheme="minorHAnsi" w:cstheme="minorBidi"/>
          <w:kern w:val="2"/>
          <w:sz w:val="24"/>
          <w:szCs w:val="24"/>
          <w14:ligatures w14:val="standardContextual"/>
        </w:rPr>
      </w:pPr>
      <w:hyperlink w:anchor="_Toc214283351" w:history="1">
        <w:r w:rsidRPr="008F4954">
          <w:rPr>
            <w:rStyle w:val="Hyperlink"/>
          </w:rPr>
          <w:t>5.19.1</w:t>
        </w:r>
        <w:r>
          <w:rPr>
            <w:rFonts w:asciiTheme="minorHAnsi" w:eastAsiaTheme="minorEastAsia" w:hAnsiTheme="minorHAnsi" w:cstheme="minorBidi"/>
            <w:kern w:val="2"/>
            <w:sz w:val="24"/>
            <w:szCs w:val="24"/>
            <w14:ligatures w14:val="standardContextual"/>
          </w:rPr>
          <w:tab/>
        </w:r>
        <w:r w:rsidRPr="008F4954">
          <w:rPr>
            <w:rStyle w:val="Hyperlink"/>
          </w:rPr>
          <w:t>Query for Incoming DDOs</w:t>
        </w:r>
        <w:r>
          <w:rPr>
            <w:webHidden/>
          </w:rPr>
          <w:tab/>
        </w:r>
        <w:r>
          <w:rPr>
            <w:webHidden/>
          </w:rPr>
          <w:fldChar w:fldCharType="begin"/>
        </w:r>
        <w:r>
          <w:rPr>
            <w:webHidden/>
          </w:rPr>
          <w:instrText xml:space="preserve"> PAGEREF _Toc214283351 \h </w:instrText>
        </w:r>
        <w:r>
          <w:rPr>
            <w:webHidden/>
          </w:rPr>
        </w:r>
        <w:r>
          <w:rPr>
            <w:webHidden/>
          </w:rPr>
          <w:fldChar w:fldCharType="separate"/>
        </w:r>
        <w:r>
          <w:rPr>
            <w:webHidden/>
          </w:rPr>
          <w:t>235</w:t>
        </w:r>
        <w:r>
          <w:rPr>
            <w:webHidden/>
          </w:rPr>
          <w:fldChar w:fldCharType="end"/>
        </w:r>
      </w:hyperlink>
    </w:p>
    <w:p w14:paraId="1BEA3B04" w14:textId="214EFB90" w:rsidR="00067371" w:rsidRDefault="00067371">
      <w:pPr>
        <w:pStyle w:val="TOC3"/>
        <w:rPr>
          <w:rFonts w:asciiTheme="minorHAnsi" w:eastAsiaTheme="minorEastAsia" w:hAnsiTheme="minorHAnsi" w:cstheme="minorBidi"/>
          <w:kern w:val="2"/>
          <w:sz w:val="24"/>
          <w:szCs w:val="24"/>
          <w14:ligatures w14:val="standardContextual"/>
        </w:rPr>
      </w:pPr>
      <w:hyperlink w:anchor="_Toc214283352" w:history="1">
        <w:r w:rsidRPr="008F4954">
          <w:rPr>
            <w:rStyle w:val="Hyperlink"/>
          </w:rPr>
          <w:t>5.19.2</w:t>
        </w:r>
        <w:r>
          <w:rPr>
            <w:rFonts w:asciiTheme="minorHAnsi" w:eastAsiaTheme="minorEastAsia" w:hAnsiTheme="minorHAnsi" w:cstheme="minorBidi"/>
            <w:kern w:val="2"/>
            <w:sz w:val="24"/>
            <w:szCs w:val="24"/>
            <w14:ligatures w14:val="standardContextual"/>
          </w:rPr>
          <w:tab/>
        </w:r>
        <w:r w:rsidRPr="008F4954">
          <w:rPr>
            <w:rStyle w:val="Hyperlink"/>
          </w:rPr>
          <w:t>Queue DDOs for Processing</w:t>
        </w:r>
        <w:r>
          <w:rPr>
            <w:webHidden/>
          </w:rPr>
          <w:tab/>
        </w:r>
        <w:r>
          <w:rPr>
            <w:webHidden/>
          </w:rPr>
          <w:fldChar w:fldCharType="begin"/>
        </w:r>
        <w:r>
          <w:rPr>
            <w:webHidden/>
          </w:rPr>
          <w:instrText xml:space="preserve"> PAGEREF _Toc214283352 \h </w:instrText>
        </w:r>
        <w:r>
          <w:rPr>
            <w:webHidden/>
          </w:rPr>
        </w:r>
        <w:r>
          <w:rPr>
            <w:webHidden/>
          </w:rPr>
          <w:fldChar w:fldCharType="separate"/>
        </w:r>
        <w:r>
          <w:rPr>
            <w:webHidden/>
          </w:rPr>
          <w:t>236</w:t>
        </w:r>
        <w:r>
          <w:rPr>
            <w:webHidden/>
          </w:rPr>
          <w:fldChar w:fldCharType="end"/>
        </w:r>
      </w:hyperlink>
    </w:p>
    <w:p w14:paraId="03E6B710" w14:textId="49020EFA"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353" w:history="1">
        <w:r w:rsidRPr="008F4954">
          <w:rPr>
            <w:rStyle w:val="Hyperlink"/>
          </w:rPr>
          <w:t>5.20</w:t>
        </w:r>
        <w:r>
          <w:rPr>
            <w:rFonts w:asciiTheme="minorHAnsi" w:eastAsiaTheme="minorEastAsia" w:hAnsiTheme="minorHAnsi" w:cstheme="minorBidi"/>
            <w:smallCaps w:val="0"/>
            <w:kern w:val="2"/>
            <w:szCs w:val="24"/>
            <w14:ligatures w14:val="standardContextual"/>
          </w:rPr>
          <w:tab/>
        </w:r>
        <w:r w:rsidRPr="008F4954">
          <w:rPr>
            <w:rStyle w:val="Hyperlink"/>
          </w:rPr>
          <w:t>COORDINATION TEMPLATES TOOL</w:t>
        </w:r>
        <w:r>
          <w:rPr>
            <w:webHidden/>
          </w:rPr>
          <w:tab/>
        </w:r>
        <w:r>
          <w:rPr>
            <w:webHidden/>
          </w:rPr>
          <w:fldChar w:fldCharType="begin"/>
        </w:r>
        <w:r>
          <w:rPr>
            <w:webHidden/>
          </w:rPr>
          <w:instrText xml:space="preserve"> PAGEREF _Toc214283353 \h </w:instrText>
        </w:r>
        <w:r>
          <w:rPr>
            <w:webHidden/>
          </w:rPr>
        </w:r>
        <w:r>
          <w:rPr>
            <w:webHidden/>
          </w:rPr>
          <w:fldChar w:fldCharType="separate"/>
        </w:r>
        <w:r>
          <w:rPr>
            <w:webHidden/>
          </w:rPr>
          <w:t>238</w:t>
        </w:r>
        <w:r>
          <w:rPr>
            <w:webHidden/>
          </w:rPr>
          <w:fldChar w:fldCharType="end"/>
        </w:r>
      </w:hyperlink>
    </w:p>
    <w:p w14:paraId="4509938A" w14:textId="3CE9F6F2" w:rsidR="00067371" w:rsidRDefault="00067371">
      <w:pPr>
        <w:pStyle w:val="TOC3"/>
        <w:rPr>
          <w:rFonts w:asciiTheme="minorHAnsi" w:eastAsiaTheme="minorEastAsia" w:hAnsiTheme="minorHAnsi" w:cstheme="minorBidi"/>
          <w:kern w:val="2"/>
          <w:sz w:val="24"/>
          <w:szCs w:val="24"/>
          <w14:ligatures w14:val="standardContextual"/>
        </w:rPr>
      </w:pPr>
      <w:hyperlink w:anchor="_Toc214283354" w:history="1">
        <w:r w:rsidRPr="008F4954">
          <w:rPr>
            <w:rStyle w:val="Hyperlink"/>
          </w:rPr>
          <w:t>5.20.1</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_Toc214283354 \h </w:instrText>
        </w:r>
        <w:r>
          <w:rPr>
            <w:webHidden/>
          </w:rPr>
        </w:r>
        <w:r>
          <w:rPr>
            <w:webHidden/>
          </w:rPr>
          <w:fldChar w:fldCharType="separate"/>
        </w:r>
        <w:r>
          <w:rPr>
            <w:webHidden/>
          </w:rPr>
          <w:t>239</w:t>
        </w:r>
        <w:r>
          <w:rPr>
            <w:webHidden/>
          </w:rPr>
          <w:fldChar w:fldCharType="end"/>
        </w:r>
      </w:hyperlink>
    </w:p>
    <w:p w14:paraId="1B6DEDDA" w14:textId="5FD5DED1" w:rsidR="00067371" w:rsidRDefault="00067371">
      <w:pPr>
        <w:pStyle w:val="TOC3"/>
        <w:rPr>
          <w:rFonts w:asciiTheme="minorHAnsi" w:eastAsiaTheme="minorEastAsia" w:hAnsiTheme="minorHAnsi" w:cstheme="minorBidi"/>
          <w:kern w:val="2"/>
          <w:sz w:val="24"/>
          <w:szCs w:val="24"/>
          <w14:ligatures w14:val="standardContextual"/>
        </w:rPr>
      </w:pPr>
      <w:hyperlink w:anchor="_Toc214283355" w:history="1">
        <w:r w:rsidRPr="008F4954">
          <w:rPr>
            <w:rStyle w:val="Hyperlink"/>
          </w:rPr>
          <w:t>5.20.2</w:t>
        </w:r>
        <w:r>
          <w:rPr>
            <w:rFonts w:asciiTheme="minorHAnsi" w:eastAsiaTheme="minorEastAsia" w:hAnsiTheme="minorHAnsi" w:cstheme="minorBidi"/>
            <w:kern w:val="2"/>
            <w:sz w:val="24"/>
            <w:szCs w:val="24"/>
            <w14:ligatures w14:val="standardContextual"/>
          </w:rPr>
          <w:tab/>
        </w:r>
        <w:r w:rsidRPr="008F4954">
          <w:rPr>
            <w:rStyle w:val="Hyperlink"/>
          </w:rPr>
          <w:t>Creating/Sending a Coordination Template Overview</w:t>
        </w:r>
        <w:r>
          <w:rPr>
            <w:webHidden/>
          </w:rPr>
          <w:tab/>
        </w:r>
        <w:r>
          <w:rPr>
            <w:webHidden/>
          </w:rPr>
          <w:fldChar w:fldCharType="begin"/>
        </w:r>
        <w:r>
          <w:rPr>
            <w:webHidden/>
          </w:rPr>
          <w:instrText xml:space="preserve"> PAGEREF _Toc214283355 \h </w:instrText>
        </w:r>
        <w:r>
          <w:rPr>
            <w:webHidden/>
          </w:rPr>
        </w:r>
        <w:r>
          <w:rPr>
            <w:webHidden/>
          </w:rPr>
          <w:fldChar w:fldCharType="separate"/>
        </w:r>
        <w:r>
          <w:rPr>
            <w:webHidden/>
          </w:rPr>
          <w:t>239</w:t>
        </w:r>
        <w:r>
          <w:rPr>
            <w:webHidden/>
          </w:rPr>
          <w:fldChar w:fldCharType="end"/>
        </w:r>
      </w:hyperlink>
    </w:p>
    <w:p w14:paraId="634A7A11" w14:textId="50A80402" w:rsidR="00067371" w:rsidRDefault="00067371">
      <w:pPr>
        <w:pStyle w:val="TOC3"/>
        <w:rPr>
          <w:rFonts w:asciiTheme="minorHAnsi" w:eastAsiaTheme="minorEastAsia" w:hAnsiTheme="minorHAnsi" w:cstheme="minorBidi"/>
          <w:kern w:val="2"/>
          <w:sz w:val="24"/>
          <w:szCs w:val="24"/>
          <w14:ligatures w14:val="standardContextual"/>
        </w:rPr>
      </w:pPr>
      <w:hyperlink w:anchor="_Toc214283356" w:history="1">
        <w:r w:rsidRPr="008F4954">
          <w:rPr>
            <w:rStyle w:val="Hyperlink"/>
          </w:rPr>
          <w:t>5.20.3</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_Toc214283356 \h </w:instrText>
        </w:r>
        <w:r>
          <w:rPr>
            <w:webHidden/>
          </w:rPr>
        </w:r>
        <w:r>
          <w:rPr>
            <w:webHidden/>
          </w:rPr>
          <w:fldChar w:fldCharType="separate"/>
        </w:r>
        <w:r>
          <w:rPr>
            <w:webHidden/>
          </w:rPr>
          <w:t>256</w:t>
        </w:r>
        <w:r>
          <w:rPr>
            <w:webHidden/>
          </w:rPr>
          <w:fldChar w:fldCharType="end"/>
        </w:r>
      </w:hyperlink>
    </w:p>
    <w:p w14:paraId="3B39CF05" w14:textId="40521CFB" w:rsidR="00067371" w:rsidRDefault="00067371">
      <w:pPr>
        <w:pStyle w:val="TOC3"/>
        <w:rPr>
          <w:rFonts w:asciiTheme="minorHAnsi" w:eastAsiaTheme="minorEastAsia" w:hAnsiTheme="minorHAnsi" w:cstheme="minorBidi"/>
          <w:kern w:val="2"/>
          <w:sz w:val="24"/>
          <w:szCs w:val="24"/>
          <w14:ligatures w14:val="standardContextual"/>
        </w:rPr>
      </w:pPr>
      <w:hyperlink w:anchor="_Toc214283357" w:history="1">
        <w:r w:rsidRPr="008F4954">
          <w:rPr>
            <w:rStyle w:val="Hyperlink"/>
          </w:rPr>
          <w:t>5.20.4</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_Toc214283357 \h </w:instrText>
        </w:r>
        <w:r>
          <w:rPr>
            <w:webHidden/>
          </w:rPr>
        </w:r>
        <w:r>
          <w:rPr>
            <w:webHidden/>
          </w:rPr>
          <w:fldChar w:fldCharType="separate"/>
        </w:r>
        <w:r>
          <w:rPr>
            <w:webHidden/>
          </w:rPr>
          <w:t>256</w:t>
        </w:r>
        <w:r>
          <w:rPr>
            <w:webHidden/>
          </w:rPr>
          <w:fldChar w:fldCharType="end"/>
        </w:r>
      </w:hyperlink>
    </w:p>
    <w:p w14:paraId="33C7BB6C" w14:textId="7EC35CBE" w:rsidR="00067371" w:rsidRDefault="00067371">
      <w:pPr>
        <w:pStyle w:val="TOC3"/>
        <w:rPr>
          <w:rFonts w:asciiTheme="minorHAnsi" w:eastAsiaTheme="minorEastAsia" w:hAnsiTheme="minorHAnsi" w:cstheme="minorBidi"/>
          <w:kern w:val="2"/>
          <w:sz w:val="24"/>
          <w:szCs w:val="24"/>
          <w14:ligatures w14:val="standardContextual"/>
        </w:rPr>
      </w:pPr>
      <w:hyperlink w:anchor="_Toc214283358" w:history="1">
        <w:r w:rsidRPr="008F4954">
          <w:rPr>
            <w:rStyle w:val="Hyperlink"/>
          </w:rPr>
          <w:t>5.20.5</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_Toc214283358 \h </w:instrText>
        </w:r>
        <w:r>
          <w:rPr>
            <w:webHidden/>
          </w:rPr>
        </w:r>
        <w:r>
          <w:rPr>
            <w:webHidden/>
          </w:rPr>
          <w:fldChar w:fldCharType="separate"/>
        </w:r>
        <w:r>
          <w:rPr>
            <w:webHidden/>
          </w:rPr>
          <w:t>256</w:t>
        </w:r>
        <w:r>
          <w:rPr>
            <w:webHidden/>
          </w:rPr>
          <w:fldChar w:fldCharType="end"/>
        </w:r>
      </w:hyperlink>
    </w:p>
    <w:p w14:paraId="106DF874" w14:textId="0720F72F" w:rsidR="00067371" w:rsidRDefault="00067371">
      <w:pPr>
        <w:pStyle w:val="TOC3"/>
        <w:rPr>
          <w:rFonts w:asciiTheme="minorHAnsi" w:eastAsiaTheme="minorEastAsia" w:hAnsiTheme="minorHAnsi" w:cstheme="minorBidi"/>
          <w:kern w:val="2"/>
          <w:sz w:val="24"/>
          <w:szCs w:val="24"/>
          <w14:ligatures w14:val="standardContextual"/>
        </w:rPr>
      </w:pPr>
      <w:hyperlink w:anchor="_Toc214283359" w:history="1">
        <w:r w:rsidRPr="008F4954">
          <w:rPr>
            <w:rStyle w:val="Hyperlink"/>
          </w:rPr>
          <w:t>5.20.6</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_Toc214283359 \h </w:instrText>
        </w:r>
        <w:r>
          <w:rPr>
            <w:webHidden/>
          </w:rPr>
        </w:r>
        <w:r>
          <w:rPr>
            <w:webHidden/>
          </w:rPr>
          <w:fldChar w:fldCharType="separate"/>
        </w:r>
        <w:r>
          <w:rPr>
            <w:webHidden/>
          </w:rPr>
          <w:t>256</w:t>
        </w:r>
        <w:r>
          <w:rPr>
            <w:webHidden/>
          </w:rPr>
          <w:fldChar w:fldCharType="end"/>
        </w:r>
      </w:hyperlink>
    </w:p>
    <w:p w14:paraId="65E121ED" w14:textId="17884A5B" w:rsidR="00067371" w:rsidRDefault="00067371">
      <w:pPr>
        <w:pStyle w:val="TOC3"/>
        <w:rPr>
          <w:rFonts w:asciiTheme="minorHAnsi" w:eastAsiaTheme="minorEastAsia" w:hAnsiTheme="minorHAnsi" w:cstheme="minorBidi"/>
          <w:kern w:val="2"/>
          <w:sz w:val="24"/>
          <w:szCs w:val="24"/>
          <w14:ligatures w14:val="standardContextual"/>
        </w:rPr>
      </w:pPr>
      <w:hyperlink w:anchor="_Toc214283360" w:history="1">
        <w:r w:rsidRPr="008F4954">
          <w:rPr>
            <w:rStyle w:val="Hyperlink"/>
          </w:rPr>
          <w:t>5.20.7</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_Toc214283360 \h </w:instrText>
        </w:r>
        <w:r>
          <w:rPr>
            <w:webHidden/>
          </w:rPr>
        </w:r>
        <w:r>
          <w:rPr>
            <w:webHidden/>
          </w:rPr>
          <w:fldChar w:fldCharType="separate"/>
        </w:r>
        <w:r>
          <w:rPr>
            <w:webHidden/>
          </w:rPr>
          <w:t>256</w:t>
        </w:r>
        <w:r>
          <w:rPr>
            <w:webHidden/>
          </w:rPr>
          <w:fldChar w:fldCharType="end"/>
        </w:r>
      </w:hyperlink>
    </w:p>
    <w:p w14:paraId="08DF6C40" w14:textId="2B45CF81" w:rsidR="00067371" w:rsidRDefault="00067371">
      <w:pPr>
        <w:pStyle w:val="TOC3"/>
        <w:rPr>
          <w:rFonts w:asciiTheme="minorHAnsi" w:eastAsiaTheme="minorEastAsia" w:hAnsiTheme="minorHAnsi" w:cstheme="minorBidi"/>
          <w:kern w:val="2"/>
          <w:sz w:val="24"/>
          <w:szCs w:val="24"/>
          <w14:ligatures w14:val="standardContextual"/>
        </w:rPr>
      </w:pPr>
      <w:hyperlink w:anchor="_Toc214283361" w:history="1">
        <w:r w:rsidRPr="008F4954">
          <w:rPr>
            <w:rStyle w:val="Hyperlink"/>
          </w:rPr>
          <w:t>5.20.8</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_Toc214283361 \h </w:instrText>
        </w:r>
        <w:r>
          <w:rPr>
            <w:webHidden/>
          </w:rPr>
        </w:r>
        <w:r>
          <w:rPr>
            <w:webHidden/>
          </w:rPr>
          <w:fldChar w:fldCharType="separate"/>
        </w:r>
        <w:r>
          <w:rPr>
            <w:webHidden/>
          </w:rPr>
          <w:t>256</w:t>
        </w:r>
        <w:r>
          <w:rPr>
            <w:webHidden/>
          </w:rPr>
          <w:fldChar w:fldCharType="end"/>
        </w:r>
      </w:hyperlink>
    </w:p>
    <w:p w14:paraId="7E487CFB" w14:textId="2DBA1152" w:rsidR="00067371" w:rsidRDefault="00067371">
      <w:pPr>
        <w:pStyle w:val="TOC3"/>
        <w:rPr>
          <w:rFonts w:asciiTheme="minorHAnsi" w:eastAsiaTheme="minorEastAsia" w:hAnsiTheme="minorHAnsi" w:cstheme="minorBidi"/>
          <w:kern w:val="2"/>
          <w:sz w:val="24"/>
          <w:szCs w:val="24"/>
          <w14:ligatures w14:val="standardContextual"/>
        </w:rPr>
      </w:pPr>
      <w:hyperlink w:anchor="_Toc214283362" w:history="1">
        <w:r w:rsidRPr="008F4954">
          <w:rPr>
            <w:rStyle w:val="Hyperlink"/>
          </w:rPr>
          <w:t>5.20.9</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_Toc214283362 \h </w:instrText>
        </w:r>
        <w:r>
          <w:rPr>
            <w:webHidden/>
          </w:rPr>
        </w:r>
        <w:r>
          <w:rPr>
            <w:webHidden/>
          </w:rPr>
          <w:fldChar w:fldCharType="separate"/>
        </w:r>
        <w:r>
          <w:rPr>
            <w:webHidden/>
          </w:rPr>
          <w:t>256</w:t>
        </w:r>
        <w:r>
          <w:rPr>
            <w:webHidden/>
          </w:rPr>
          <w:fldChar w:fldCharType="end"/>
        </w:r>
      </w:hyperlink>
    </w:p>
    <w:p w14:paraId="3DEFB00E" w14:textId="1ED5D370" w:rsidR="00067371" w:rsidRDefault="00067371">
      <w:pPr>
        <w:pStyle w:val="TOC3"/>
        <w:rPr>
          <w:rFonts w:asciiTheme="minorHAnsi" w:eastAsiaTheme="minorEastAsia" w:hAnsiTheme="minorHAnsi" w:cstheme="minorBidi"/>
          <w:kern w:val="2"/>
          <w:sz w:val="24"/>
          <w:szCs w:val="24"/>
          <w14:ligatures w14:val="standardContextual"/>
        </w:rPr>
      </w:pPr>
      <w:hyperlink w:anchor="_Toc214283363" w:history="1">
        <w:r w:rsidRPr="008F4954">
          <w:rPr>
            <w:rStyle w:val="Hyperlink"/>
          </w:rPr>
          <w:t>5.20.10</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_Toc214283363 \h </w:instrText>
        </w:r>
        <w:r>
          <w:rPr>
            <w:webHidden/>
          </w:rPr>
        </w:r>
        <w:r>
          <w:rPr>
            <w:webHidden/>
          </w:rPr>
          <w:fldChar w:fldCharType="separate"/>
        </w:r>
        <w:r>
          <w:rPr>
            <w:webHidden/>
          </w:rPr>
          <w:t>256</w:t>
        </w:r>
        <w:r>
          <w:rPr>
            <w:webHidden/>
          </w:rPr>
          <w:fldChar w:fldCharType="end"/>
        </w:r>
      </w:hyperlink>
    </w:p>
    <w:p w14:paraId="2F41E121" w14:textId="545F397D"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364" w:history="1">
        <w:r w:rsidRPr="008F4954">
          <w:rPr>
            <w:rStyle w:val="Hyperlink"/>
          </w:rPr>
          <w:t>5.21</w:t>
        </w:r>
        <w:r>
          <w:rPr>
            <w:rFonts w:asciiTheme="minorHAnsi" w:eastAsiaTheme="minorEastAsia" w:hAnsiTheme="minorHAnsi" w:cstheme="minorBidi"/>
            <w:smallCaps w:val="0"/>
            <w:kern w:val="2"/>
            <w:szCs w:val="24"/>
            <w14:ligatures w14:val="standardContextual"/>
          </w:rPr>
          <w:tab/>
        </w:r>
        <w:r w:rsidRPr="008F4954">
          <w:rPr>
            <w:rStyle w:val="Hyperlink"/>
          </w:rPr>
          <w:t>VFIL TOOL</w:t>
        </w:r>
        <w:r>
          <w:rPr>
            <w:webHidden/>
          </w:rPr>
          <w:tab/>
        </w:r>
        <w:r>
          <w:rPr>
            <w:webHidden/>
          </w:rPr>
          <w:fldChar w:fldCharType="begin"/>
        </w:r>
        <w:r>
          <w:rPr>
            <w:webHidden/>
          </w:rPr>
          <w:instrText xml:space="preserve"> PAGEREF _Toc214283364 \h </w:instrText>
        </w:r>
        <w:r>
          <w:rPr>
            <w:webHidden/>
          </w:rPr>
        </w:r>
        <w:r>
          <w:rPr>
            <w:webHidden/>
          </w:rPr>
          <w:fldChar w:fldCharType="separate"/>
        </w:r>
        <w:r>
          <w:rPr>
            <w:webHidden/>
          </w:rPr>
          <w:t>257</w:t>
        </w:r>
        <w:r>
          <w:rPr>
            <w:webHidden/>
          </w:rPr>
          <w:fldChar w:fldCharType="end"/>
        </w:r>
      </w:hyperlink>
    </w:p>
    <w:p w14:paraId="0D6672E0" w14:textId="3C0442B4" w:rsidR="00067371" w:rsidRDefault="00067371">
      <w:pPr>
        <w:pStyle w:val="TOC3"/>
        <w:rPr>
          <w:rFonts w:asciiTheme="minorHAnsi" w:eastAsiaTheme="minorEastAsia" w:hAnsiTheme="minorHAnsi" w:cstheme="minorBidi"/>
          <w:kern w:val="2"/>
          <w:sz w:val="24"/>
          <w:szCs w:val="24"/>
          <w14:ligatures w14:val="standardContextual"/>
        </w:rPr>
      </w:pPr>
      <w:hyperlink w:anchor="_Toc214283365" w:history="1">
        <w:r w:rsidRPr="008F4954">
          <w:rPr>
            <w:rStyle w:val="Hyperlink"/>
          </w:rPr>
          <w:t>5.21.1</w:t>
        </w:r>
        <w:r>
          <w:rPr>
            <w:rFonts w:asciiTheme="minorHAnsi" w:eastAsiaTheme="minorEastAsia" w:hAnsiTheme="minorHAnsi" w:cstheme="minorBidi"/>
            <w:kern w:val="2"/>
            <w:sz w:val="24"/>
            <w:szCs w:val="24"/>
            <w14:ligatures w14:val="standardContextual"/>
          </w:rPr>
          <w:tab/>
        </w:r>
        <w:r w:rsidRPr="008F4954">
          <w:rPr>
            <w:rStyle w:val="Hyperlink"/>
          </w:rPr>
          <w:t>Delete Binary Data</w:t>
        </w:r>
        <w:r>
          <w:rPr>
            <w:webHidden/>
          </w:rPr>
          <w:tab/>
        </w:r>
        <w:r>
          <w:rPr>
            <w:webHidden/>
          </w:rPr>
          <w:fldChar w:fldCharType="begin"/>
        </w:r>
        <w:r>
          <w:rPr>
            <w:webHidden/>
          </w:rPr>
          <w:instrText xml:space="preserve"> PAGEREF _Toc214283365 \h </w:instrText>
        </w:r>
        <w:r>
          <w:rPr>
            <w:webHidden/>
          </w:rPr>
        </w:r>
        <w:r>
          <w:rPr>
            <w:webHidden/>
          </w:rPr>
          <w:fldChar w:fldCharType="separate"/>
        </w:r>
        <w:r>
          <w:rPr>
            <w:webHidden/>
          </w:rPr>
          <w:t>257</w:t>
        </w:r>
        <w:r>
          <w:rPr>
            <w:webHidden/>
          </w:rPr>
          <w:fldChar w:fldCharType="end"/>
        </w:r>
      </w:hyperlink>
    </w:p>
    <w:p w14:paraId="2E51C495" w14:textId="61871DE9" w:rsidR="00067371" w:rsidRDefault="00067371">
      <w:pPr>
        <w:pStyle w:val="TOC3"/>
        <w:rPr>
          <w:rFonts w:asciiTheme="minorHAnsi" w:eastAsiaTheme="minorEastAsia" w:hAnsiTheme="minorHAnsi" w:cstheme="minorBidi"/>
          <w:kern w:val="2"/>
          <w:sz w:val="24"/>
          <w:szCs w:val="24"/>
          <w14:ligatures w14:val="standardContextual"/>
        </w:rPr>
      </w:pPr>
      <w:hyperlink w:anchor="_Toc214283366" w:history="1">
        <w:r w:rsidRPr="008F4954">
          <w:rPr>
            <w:rStyle w:val="Hyperlink"/>
          </w:rPr>
          <w:t>5.21.2</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_Toc214283366 \h </w:instrText>
        </w:r>
        <w:r>
          <w:rPr>
            <w:webHidden/>
          </w:rPr>
        </w:r>
        <w:r>
          <w:rPr>
            <w:webHidden/>
          </w:rPr>
          <w:fldChar w:fldCharType="separate"/>
        </w:r>
        <w:r>
          <w:rPr>
            <w:webHidden/>
          </w:rPr>
          <w:t>257</w:t>
        </w:r>
        <w:r>
          <w:rPr>
            <w:webHidden/>
          </w:rPr>
          <w:fldChar w:fldCharType="end"/>
        </w:r>
      </w:hyperlink>
    </w:p>
    <w:p w14:paraId="11EF4D5E" w14:textId="098BFA29" w:rsidR="00067371" w:rsidRDefault="00067371">
      <w:pPr>
        <w:pStyle w:val="TOC3"/>
        <w:rPr>
          <w:rFonts w:asciiTheme="minorHAnsi" w:eastAsiaTheme="minorEastAsia" w:hAnsiTheme="minorHAnsi" w:cstheme="minorBidi"/>
          <w:kern w:val="2"/>
          <w:sz w:val="24"/>
          <w:szCs w:val="24"/>
          <w14:ligatures w14:val="standardContextual"/>
        </w:rPr>
      </w:pPr>
      <w:hyperlink w:anchor="_Toc214283367" w:history="1">
        <w:r w:rsidRPr="008F4954">
          <w:rPr>
            <w:rStyle w:val="Hyperlink"/>
          </w:rPr>
          <w:t>5.21.3</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_Toc214283367 \h </w:instrText>
        </w:r>
        <w:r>
          <w:rPr>
            <w:webHidden/>
          </w:rPr>
        </w:r>
        <w:r>
          <w:rPr>
            <w:webHidden/>
          </w:rPr>
          <w:fldChar w:fldCharType="separate"/>
        </w:r>
        <w:r>
          <w:rPr>
            <w:webHidden/>
          </w:rPr>
          <w:t>257</w:t>
        </w:r>
        <w:r>
          <w:rPr>
            <w:webHidden/>
          </w:rPr>
          <w:fldChar w:fldCharType="end"/>
        </w:r>
      </w:hyperlink>
    </w:p>
    <w:p w14:paraId="2477BC55" w14:textId="1B9C17BE" w:rsidR="00067371" w:rsidRDefault="00067371">
      <w:pPr>
        <w:pStyle w:val="TOC3"/>
        <w:rPr>
          <w:rFonts w:asciiTheme="minorHAnsi" w:eastAsiaTheme="minorEastAsia" w:hAnsiTheme="minorHAnsi" w:cstheme="minorBidi"/>
          <w:kern w:val="2"/>
          <w:sz w:val="24"/>
          <w:szCs w:val="24"/>
          <w14:ligatures w14:val="standardContextual"/>
        </w:rPr>
      </w:pPr>
      <w:hyperlink w:anchor="_Toc214283368" w:history="1">
        <w:r w:rsidRPr="008F4954">
          <w:rPr>
            <w:rStyle w:val="Hyperlink"/>
          </w:rPr>
          <w:t>5.21.4</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_Toc214283368 \h </w:instrText>
        </w:r>
        <w:r>
          <w:rPr>
            <w:webHidden/>
          </w:rPr>
        </w:r>
        <w:r>
          <w:rPr>
            <w:webHidden/>
          </w:rPr>
          <w:fldChar w:fldCharType="separate"/>
        </w:r>
        <w:r>
          <w:rPr>
            <w:webHidden/>
          </w:rPr>
          <w:t>257</w:t>
        </w:r>
        <w:r>
          <w:rPr>
            <w:webHidden/>
          </w:rPr>
          <w:fldChar w:fldCharType="end"/>
        </w:r>
      </w:hyperlink>
    </w:p>
    <w:p w14:paraId="2080D0AA" w14:textId="2D16FDC8" w:rsidR="00067371" w:rsidRDefault="00067371">
      <w:pPr>
        <w:pStyle w:val="TOC3"/>
        <w:rPr>
          <w:rFonts w:asciiTheme="minorHAnsi" w:eastAsiaTheme="minorEastAsia" w:hAnsiTheme="minorHAnsi" w:cstheme="minorBidi"/>
          <w:kern w:val="2"/>
          <w:sz w:val="24"/>
          <w:szCs w:val="24"/>
          <w14:ligatures w14:val="standardContextual"/>
        </w:rPr>
      </w:pPr>
      <w:hyperlink w:anchor="_Toc214283369" w:history="1">
        <w:r w:rsidRPr="008F4954">
          <w:rPr>
            <w:rStyle w:val="Hyperlink"/>
          </w:rPr>
          <w:t>5.21.5</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_Toc214283369 \h </w:instrText>
        </w:r>
        <w:r>
          <w:rPr>
            <w:webHidden/>
          </w:rPr>
        </w:r>
        <w:r>
          <w:rPr>
            <w:webHidden/>
          </w:rPr>
          <w:fldChar w:fldCharType="separate"/>
        </w:r>
        <w:r>
          <w:rPr>
            <w:webHidden/>
          </w:rPr>
          <w:t>258</w:t>
        </w:r>
        <w:r>
          <w:rPr>
            <w:webHidden/>
          </w:rPr>
          <w:fldChar w:fldCharType="end"/>
        </w:r>
      </w:hyperlink>
    </w:p>
    <w:p w14:paraId="08D1BDB0" w14:textId="7390D845" w:rsidR="00067371" w:rsidRDefault="00067371">
      <w:pPr>
        <w:pStyle w:val="TOC3"/>
        <w:rPr>
          <w:rFonts w:asciiTheme="minorHAnsi" w:eastAsiaTheme="minorEastAsia" w:hAnsiTheme="minorHAnsi" w:cstheme="minorBidi"/>
          <w:kern w:val="2"/>
          <w:sz w:val="24"/>
          <w:szCs w:val="24"/>
          <w14:ligatures w14:val="standardContextual"/>
        </w:rPr>
      </w:pPr>
      <w:hyperlink w:anchor="_Toc214283370" w:history="1">
        <w:r w:rsidRPr="008F4954">
          <w:rPr>
            <w:rStyle w:val="Hyperlink"/>
          </w:rPr>
          <w:t>5.21.6</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_Toc214283370 \h </w:instrText>
        </w:r>
        <w:r>
          <w:rPr>
            <w:webHidden/>
          </w:rPr>
        </w:r>
        <w:r>
          <w:rPr>
            <w:webHidden/>
          </w:rPr>
          <w:fldChar w:fldCharType="separate"/>
        </w:r>
        <w:r>
          <w:rPr>
            <w:webHidden/>
          </w:rPr>
          <w:t>258</w:t>
        </w:r>
        <w:r>
          <w:rPr>
            <w:webHidden/>
          </w:rPr>
          <w:fldChar w:fldCharType="end"/>
        </w:r>
      </w:hyperlink>
    </w:p>
    <w:p w14:paraId="7166B7B1" w14:textId="3A4C22D1" w:rsidR="00067371" w:rsidRDefault="00067371">
      <w:pPr>
        <w:pStyle w:val="TOC3"/>
        <w:rPr>
          <w:rFonts w:asciiTheme="minorHAnsi" w:eastAsiaTheme="minorEastAsia" w:hAnsiTheme="minorHAnsi" w:cstheme="minorBidi"/>
          <w:kern w:val="2"/>
          <w:sz w:val="24"/>
          <w:szCs w:val="24"/>
          <w14:ligatures w14:val="standardContextual"/>
        </w:rPr>
      </w:pPr>
      <w:hyperlink w:anchor="_Toc214283371" w:history="1">
        <w:r w:rsidRPr="008F4954">
          <w:rPr>
            <w:rStyle w:val="Hyperlink"/>
          </w:rPr>
          <w:t>5.21.7</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_Toc214283371 \h </w:instrText>
        </w:r>
        <w:r>
          <w:rPr>
            <w:webHidden/>
          </w:rPr>
        </w:r>
        <w:r>
          <w:rPr>
            <w:webHidden/>
          </w:rPr>
          <w:fldChar w:fldCharType="separate"/>
        </w:r>
        <w:r>
          <w:rPr>
            <w:webHidden/>
          </w:rPr>
          <w:t>258</w:t>
        </w:r>
        <w:r>
          <w:rPr>
            <w:webHidden/>
          </w:rPr>
          <w:fldChar w:fldCharType="end"/>
        </w:r>
      </w:hyperlink>
    </w:p>
    <w:p w14:paraId="0CA1E855" w14:textId="5FA9B6B2" w:rsidR="00067371" w:rsidRDefault="00067371">
      <w:pPr>
        <w:pStyle w:val="TOC3"/>
        <w:rPr>
          <w:rFonts w:asciiTheme="minorHAnsi" w:eastAsiaTheme="minorEastAsia" w:hAnsiTheme="minorHAnsi" w:cstheme="minorBidi"/>
          <w:kern w:val="2"/>
          <w:sz w:val="24"/>
          <w:szCs w:val="24"/>
          <w14:ligatures w14:val="standardContextual"/>
        </w:rPr>
      </w:pPr>
      <w:hyperlink w:anchor="_Toc214283372" w:history="1">
        <w:r w:rsidRPr="008F4954">
          <w:rPr>
            <w:rStyle w:val="Hyperlink"/>
          </w:rPr>
          <w:t>5.21.8</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_Toc214283372 \h </w:instrText>
        </w:r>
        <w:r>
          <w:rPr>
            <w:webHidden/>
          </w:rPr>
        </w:r>
        <w:r>
          <w:rPr>
            <w:webHidden/>
          </w:rPr>
          <w:fldChar w:fldCharType="separate"/>
        </w:r>
        <w:r>
          <w:rPr>
            <w:webHidden/>
          </w:rPr>
          <w:t>258</w:t>
        </w:r>
        <w:r>
          <w:rPr>
            <w:webHidden/>
          </w:rPr>
          <w:fldChar w:fldCharType="end"/>
        </w:r>
      </w:hyperlink>
    </w:p>
    <w:p w14:paraId="3A5AAF10" w14:textId="099E87C9" w:rsidR="00067371" w:rsidRDefault="00067371">
      <w:pPr>
        <w:pStyle w:val="TOC3"/>
        <w:rPr>
          <w:rFonts w:asciiTheme="minorHAnsi" w:eastAsiaTheme="minorEastAsia" w:hAnsiTheme="minorHAnsi" w:cstheme="minorBidi"/>
          <w:kern w:val="2"/>
          <w:sz w:val="24"/>
          <w:szCs w:val="24"/>
          <w14:ligatures w14:val="standardContextual"/>
        </w:rPr>
      </w:pPr>
      <w:hyperlink w:anchor="_Toc214283373" w:history="1">
        <w:r w:rsidRPr="008F4954">
          <w:rPr>
            <w:rStyle w:val="Hyperlink"/>
          </w:rPr>
          <w:t>5.21.9</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_Toc214283373 \h </w:instrText>
        </w:r>
        <w:r>
          <w:rPr>
            <w:webHidden/>
          </w:rPr>
        </w:r>
        <w:r>
          <w:rPr>
            <w:webHidden/>
          </w:rPr>
          <w:fldChar w:fldCharType="separate"/>
        </w:r>
        <w:r>
          <w:rPr>
            <w:webHidden/>
          </w:rPr>
          <w:t>258</w:t>
        </w:r>
        <w:r>
          <w:rPr>
            <w:webHidden/>
          </w:rPr>
          <w:fldChar w:fldCharType="end"/>
        </w:r>
      </w:hyperlink>
    </w:p>
    <w:p w14:paraId="43FADCC4" w14:textId="275BA786"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374" w:history="1">
        <w:r w:rsidRPr="008F4954">
          <w:rPr>
            <w:rStyle w:val="Hyperlink"/>
          </w:rPr>
          <w:t>5.22</w:t>
        </w:r>
        <w:r>
          <w:rPr>
            <w:rFonts w:asciiTheme="minorHAnsi" w:eastAsiaTheme="minorEastAsia" w:hAnsiTheme="minorHAnsi" w:cstheme="minorBidi"/>
            <w:smallCaps w:val="0"/>
            <w:kern w:val="2"/>
            <w:szCs w:val="24"/>
            <w14:ligatures w14:val="standardContextual"/>
          </w:rPr>
          <w:tab/>
        </w:r>
        <w:r w:rsidRPr="008F4954">
          <w:rPr>
            <w:rStyle w:val="Hyperlink"/>
          </w:rPr>
          <w:t>OES TOOL</w:t>
        </w:r>
        <w:r>
          <w:rPr>
            <w:webHidden/>
          </w:rPr>
          <w:tab/>
        </w:r>
        <w:r>
          <w:rPr>
            <w:webHidden/>
          </w:rPr>
          <w:fldChar w:fldCharType="begin"/>
        </w:r>
        <w:r>
          <w:rPr>
            <w:webHidden/>
          </w:rPr>
          <w:instrText xml:space="preserve"> PAGEREF _Toc214283374 \h </w:instrText>
        </w:r>
        <w:r>
          <w:rPr>
            <w:webHidden/>
          </w:rPr>
        </w:r>
        <w:r>
          <w:rPr>
            <w:webHidden/>
          </w:rPr>
          <w:fldChar w:fldCharType="separate"/>
        </w:r>
        <w:r>
          <w:rPr>
            <w:webHidden/>
          </w:rPr>
          <w:t>259</w:t>
        </w:r>
        <w:r>
          <w:rPr>
            <w:webHidden/>
          </w:rPr>
          <w:fldChar w:fldCharType="end"/>
        </w:r>
      </w:hyperlink>
    </w:p>
    <w:p w14:paraId="09F430E2" w14:textId="7FC6E1DC" w:rsidR="00067371" w:rsidRDefault="00067371">
      <w:pPr>
        <w:pStyle w:val="TOC3"/>
        <w:rPr>
          <w:rFonts w:asciiTheme="minorHAnsi" w:eastAsiaTheme="minorEastAsia" w:hAnsiTheme="minorHAnsi" w:cstheme="minorBidi"/>
          <w:kern w:val="2"/>
          <w:sz w:val="24"/>
          <w:szCs w:val="24"/>
          <w14:ligatures w14:val="standardContextual"/>
        </w:rPr>
      </w:pPr>
      <w:hyperlink w:anchor="_Toc214283375" w:history="1">
        <w:r w:rsidRPr="008F4954">
          <w:rPr>
            <w:rStyle w:val="Hyperlink"/>
          </w:rPr>
          <w:t>5.22.1</w:t>
        </w:r>
        <w:r>
          <w:rPr>
            <w:rFonts w:asciiTheme="minorHAnsi" w:eastAsiaTheme="minorEastAsia" w:hAnsiTheme="minorHAnsi" w:cstheme="minorBidi"/>
            <w:kern w:val="2"/>
            <w:sz w:val="24"/>
            <w:szCs w:val="24"/>
            <w14:ligatures w14:val="standardContextual"/>
          </w:rPr>
          <w:tab/>
        </w:r>
        <w:r w:rsidRPr="008F4954">
          <w:rPr>
            <w:rStyle w:val="Hyperlink"/>
          </w:rPr>
          <w:t>OES List View</w:t>
        </w:r>
        <w:r>
          <w:rPr>
            <w:webHidden/>
          </w:rPr>
          <w:tab/>
        </w:r>
        <w:r>
          <w:rPr>
            <w:webHidden/>
          </w:rPr>
          <w:fldChar w:fldCharType="begin"/>
        </w:r>
        <w:r>
          <w:rPr>
            <w:webHidden/>
          </w:rPr>
          <w:instrText xml:space="preserve"> PAGEREF _Toc214283375 \h </w:instrText>
        </w:r>
        <w:r>
          <w:rPr>
            <w:webHidden/>
          </w:rPr>
        </w:r>
        <w:r>
          <w:rPr>
            <w:webHidden/>
          </w:rPr>
          <w:fldChar w:fldCharType="separate"/>
        </w:r>
        <w:r>
          <w:rPr>
            <w:webHidden/>
          </w:rPr>
          <w:t>259</w:t>
        </w:r>
        <w:r>
          <w:rPr>
            <w:webHidden/>
          </w:rPr>
          <w:fldChar w:fldCharType="end"/>
        </w:r>
      </w:hyperlink>
    </w:p>
    <w:p w14:paraId="7804143B" w14:textId="555C83EA" w:rsidR="00067371" w:rsidRDefault="00067371">
      <w:pPr>
        <w:pStyle w:val="TOC3"/>
        <w:rPr>
          <w:rFonts w:asciiTheme="minorHAnsi" w:eastAsiaTheme="minorEastAsia" w:hAnsiTheme="minorHAnsi" w:cstheme="minorBidi"/>
          <w:kern w:val="2"/>
          <w:sz w:val="24"/>
          <w:szCs w:val="24"/>
          <w14:ligatures w14:val="standardContextual"/>
        </w:rPr>
      </w:pPr>
      <w:hyperlink w:anchor="_Toc214283376" w:history="1">
        <w:r w:rsidRPr="008F4954">
          <w:rPr>
            <w:rStyle w:val="Hyperlink"/>
          </w:rPr>
          <w:t>5.22.2</w:t>
        </w:r>
        <w:r>
          <w:rPr>
            <w:rFonts w:asciiTheme="minorHAnsi" w:eastAsiaTheme="minorEastAsia" w:hAnsiTheme="minorHAnsi" w:cstheme="minorBidi"/>
            <w:kern w:val="2"/>
            <w:sz w:val="24"/>
            <w:szCs w:val="24"/>
            <w14:ligatures w14:val="standardContextual"/>
          </w:rPr>
          <w:tab/>
        </w:r>
        <w:r w:rsidRPr="008F4954">
          <w:rPr>
            <w:rStyle w:val="Hyperlink"/>
          </w:rPr>
          <w:t>Display OES Textually</w:t>
        </w:r>
        <w:r>
          <w:rPr>
            <w:webHidden/>
          </w:rPr>
          <w:tab/>
        </w:r>
        <w:r>
          <w:rPr>
            <w:webHidden/>
          </w:rPr>
          <w:fldChar w:fldCharType="begin"/>
        </w:r>
        <w:r>
          <w:rPr>
            <w:webHidden/>
          </w:rPr>
          <w:instrText xml:space="preserve"> PAGEREF _Toc214283376 \h </w:instrText>
        </w:r>
        <w:r>
          <w:rPr>
            <w:webHidden/>
          </w:rPr>
        </w:r>
        <w:r>
          <w:rPr>
            <w:webHidden/>
          </w:rPr>
          <w:fldChar w:fldCharType="separate"/>
        </w:r>
        <w:r>
          <w:rPr>
            <w:webHidden/>
          </w:rPr>
          <w:t>260</w:t>
        </w:r>
        <w:r>
          <w:rPr>
            <w:webHidden/>
          </w:rPr>
          <w:fldChar w:fldCharType="end"/>
        </w:r>
      </w:hyperlink>
    </w:p>
    <w:p w14:paraId="4F891C3C" w14:textId="2A2676ED" w:rsidR="00067371" w:rsidRDefault="00067371">
      <w:pPr>
        <w:pStyle w:val="TOC3"/>
        <w:rPr>
          <w:rFonts w:asciiTheme="minorHAnsi" w:eastAsiaTheme="minorEastAsia" w:hAnsiTheme="minorHAnsi" w:cstheme="minorBidi"/>
          <w:kern w:val="2"/>
          <w:sz w:val="24"/>
          <w:szCs w:val="24"/>
          <w14:ligatures w14:val="standardContextual"/>
        </w:rPr>
      </w:pPr>
      <w:hyperlink w:anchor="_Toc214283377" w:history="1">
        <w:r w:rsidRPr="008F4954">
          <w:rPr>
            <w:rStyle w:val="Hyperlink"/>
          </w:rPr>
          <w:t>5.22.3</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_Toc214283377 \h </w:instrText>
        </w:r>
        <w:r>
          <w:rPr>
            <w:webHidden/>
          </w:rPr>
        </w:r>
        <w:r>
          <w:rPr>
            <w:webHidden/>
          </w:rPr>
          <w:fldChar w:fldCharType="separate"/>
        </w:r>
        <w:r>
          <w:rPr>
            <w:webHidden/>
          </w:rPr>
          <w:t>260</w:t>
        </w:r>
        <w:r>
          <w:rPr>
            <w:webHidden/>
          </w:rPr>
          <w:fldChar w:fldCharType="end"/>
        </w:r>
      </w:hyperlink>
    </w:p>
    <w:p w14:paraId="5A0D0CED" w14:textId="2C8E89A7" w:rsidR="00067371" w:rsidRDefault="00067371">
      <w:pPr>
        <w:pStyle w:val="TOC3"/>
        <w:rPr>
          <w:rFonts w:asciiTheme="minorHAnsi" w:eastAsiaTheme="minorEastAsia" w:hAnsiTheme="minorHAnsi" w:cstheme="minorBidi"/>
          <w:kern w:val="2"/>
          <w:sz w:val="24"/>
          <w:szCs w:val="24"/>
          <w14:ligatures w14:val="standardContextual"/>
        </w:rPr>
      </w:pPr>
      <w:hyperlink w:anchor="_Toc214283378" w:history="1">
        <w:r w:rsidRPr="008F4954">
          <w:rPr>
            <w:rStyle w:val="Hyperlink"/>
          </w:rPr>
          <w:t>5.22.4</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_Toc214283378 \h </w:instrText>
        </w:r>
        <w:r>
          <w:rPr>
            <w:webHidden/>
          </w:rPr>
        </w:r>
        <w:r>
          <w:rPr>
            <w:webHidden/>
          </w:rPr>
          <w:fldChar w:fldCharType="separate"/>
        </w:r>
        <w:r>
          <w:rPr>
            <w:webHidden/>
          </w:rPr>
          <w:t>260</w:t>
        </w:r>
        <w:r>
          <w:rPr>
            <w:webHidden/>
          </w:rPr>
          <w:fldChar w:fldCharType="end"/>
        </w:r>
      </w:hyperlink>
    </w:p>
    <w:p w14:paraId="41B5C5DA" w14:textId="016E493A" w:rsidR="00067371" w:rsidRDefault="00067371">
      <w:pPr>
        <w:pStyle w:val="TOC3"/>
        <w:rPr>
          <w:rFonts w:asciiTheme="minorHAnsi" w:eastAsiaTheme="minorEastAsia" w:hAnsiTheme="minorHAnsi" w:cstheme="minorBidi"/>
          <w:kern w:val="2"/>
          <w:sz w:val="24"/>
          <w:szCs w:val="24"/>
          <w14:ligatures w14:val="standardContextual"/>
        </w:rPr>
      </w:pPr>
      <w:hyperlink w:anchor="_Toc214283379" w:history="1">
        <w:r w:rsidRPr="008F4954">
          <w:rPr>
            <w:rStyle w:val="Hyperlink"/>
          </w:rPr>
          <w:t>5.22.5</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_Toc214283379 \h </w:instrText>
        </w:r>
        <w:r>
          <w:rPr>
            <w:webHidden/>
          </w:rPr>
        </w:r>
        <w:r>
          <w:rPr>
            <w:webHidden/>
          </w:rPr>
          <w:fldChar w:fldCharType="separate"/>
        </w:r>
        <w:r>
          <w:rPr>
            <w:webHidden/>
          </w:rPr>
          <w:t>260</w:t>
        </w:r>
        <w:r>
          <w:rPr>
            <w:webHidden/>
          </w:rPr>
          <w:fldChar w:fldCharType="end"/>
        </w:r>
      </w:hyperlink>
    </w:p>
    <w:p w14:paraId="7574094B" w14:textId="2118F316" w:rsidR="00067371" w:rsidRDefault="00067371">
      <w:pPr>
        <w:pStyle w:val="TOC3"/>
        <w:rPr>
          <w:rFonts w:asciiTheme="minorHAnsi" w:eastAsiaTheme="minorEastAsia" w:hAnsiTheme="minorHAnsi" w:cstheme="minorBidi"/>
          <w:kern w:val="2"/>
          <w:sz w:val="24"/>
          <w:szCs w:val="24"/>
          <w14:ligatures w14:val="standardContextual"/>
        </w:rPr>
      </w:pPr>
      <w:hyperlink w:anchor="_Toc214283380" w:history="1">
        <w:r w:rsidRPr="008F4954">
          <w:rPr>
            <w:rStyle w:val="Hyperlink"/>
          </w:rPr>
          <w:t>5.22.6</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_Toc214283380 \h </w:instrText>
        </w:r>
        <w:r>
          <w:rPr>
            <w:webHidden/>
          </w:rPr>
        </w:r>
        <w:r>
          <w:rPr>
            <w:webHidden/>
          </w:rPr>
          <w:fldChar w:fldCharType="separate"/>
        </w:r>
        <w:r>
          <w:rPr>
            <w:webHidden/>
          </w:rPr>
          <w:t>260</w:t>
        </w:r>
        <w:r>
          <w:rPr>
            <w:webHidden/>
          </w:rPr>
          <w:fldChar w:fldCharType="end"/>
        </w:r>
      </w:hyperlink>
    </w:p>
    <w:p w14:paraId="7F957EEC" w14:textId="081914FD" w:rsidR="00067371" w:rsidRDefault="00067371">
      <w:pPr>
        <w:pStyle w:val="TOC3"/>
        <w:rPr>
          <w:rFonts w:asciiTheme="minorHAnsi" w:eastAsiaTheme="minorEastAsia" w:hAnsiTheme="minorHAnsi" w:cstheme="minorBidi"/>
          <w:kern w:val="2"/>
          <w:sz w:val="24"/>
          <w:szCs w:val="24"/>
          <w14:ligatures w14:val="standardContextual"/>
        </w:rPr>
      </w:pPr>
      <w:hyperlink w:anchor="_Toc214283381" w:history="1">
        <w:r w:rsidRPr="008F4954">
          <w:rPr>
            <w:rStyle w:val="Hyperlink"/>
          </w:rPr>
          <w:t>5.22.7</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_Toc214283381 \h </w:instrText>
        </w:r>
        <w:r>
          <w:rPr>
            <w:webHidden/>
          </w:rPr>
        </w:r>
        <w:r>
          <w:rPr>
            <w:webHidden/>
          </w:rPr>
          <w:fldChar w:fldCharType="separate"/>
        </w:r>
        <w:r>
          <w:rPr>
            <w:webHidden/>
          </w:rPr>
          <w:t>260</w:t>
        </w:r>
        <w:r>
          <w:rPr>
            <w:webHidden/>
          </w:rPr>
          <w:fldChar w:fldCharType="end"/>
        </w:r>
      </w:hyperlink>
    </w:p>
    <w:p w14:paraId="25332D88" w14:textId="4C5B17F6" w:rsidR="00067371" w:rsidRDefault="00067371">
      <w:pPr>
        <w:pStyle w:val="TOC3"/>
        <w:rPr>
          <w:rFonts w:asciiTheme="minorHAnsi" w:eastAsiaTheme="minorEastAsia" w:hAnsiTheme="minorHAnsi" w:cstheme="minorBidi"/>
          <w:kern w:val="2"/>
          <w:sz w:val="24"/>
          <w:szCs w:val="24"/>
          <w14:ligatures w14:val="standardContextual"/>
        </w:rPr>
      </w:pPr>
      <w:hyperlink w:anchor="_Toc214283382" w:history="1">
        <w:r w:rsidRPr="008F4954">
          <w:rPr>
            <w:rStyle w:val="Hyperlink"/>
          </w:rPr>
          <w:t>5.22.8</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_Toc214283382 \h </w:instrText>
        </w:r>
        <w:r>
          <w:rPr>
            <w:webHidden/>
          </w:rPr>
        </w:r>
        <w:r>
          <w:rPr>
            <w:webHidden/>
          </w:rPr>
          <w:fldChar w:fldCharType="separate"/>
        </w:r>
        <w:r>
          <w:rPr>
            <w:webHidden/>
          </w:rPr>
          <w:t>260</w:t>
        </w:r>
        <w:r>
          <w:rPr>
            <w:webHidden/>
          </w:rPr>
          <w:fldChar w:fldCharType="end"/>
        </w:r>
      </w:hyperlink>
    </w:p>
    <w:p w14:paraId="37666F62" w14:textId="3C74AE68" w:rsidR="00067371" w:rsidRDefault="00067371">
      <w:pPr>
        <w:pStyle w:val="TOC3"/>
        <w:rPr>
          <w:rFonts w:asciiTheme="minorHAnsi" w:eastAsiaTheme="minorEastAsia" w:hAnsiTheme="minorHAnsi" w:cstheme="minorBidi"/>
          <w:kern w:val="2"/>
          <w:sz w:val="24"/>
          <w:szCs w:val="24"/>
          <w14:ligatures w14:val="standardContextual"/>
        </w:rPr>
      </w:pPr>
      <w:hyperlink w:anchor="_Toc214283383" w:history="1">
        <w:r w:rsidRPr="008F4954">
          <w:rPr>
            <w:rStyle w:val="Hyperlink"/>
          </w:rPr>
          <w:t>5.22.9</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_Toc214283383 \h </w:instrText>
        </w:r>
        <w:r>
          <w:rPr>
            <w:webHidden/>
          </w:rPr>
        </w:r>
        <w:r>
          <w:rPr>
            <w:webHidden/>
          </w:rPr>
          <w:fldChar w:fldCharType="separate"/>
        </w:r>
        <w:r>
          <w:rPr>
            <w:webHidden/>
          </w:rPr>
          <w:t>260</w:t>
        </w:r>
        <w:r>
          <w:rPr>
            <w:webHidden/>
          </w:rPr>
          <w:fldChar w:fldCharType="end"/>
        </w:r>
      </w:hyperlink>
    </w:p>
    <w:p w14:paraId="6FCBC62F" w14:textId="18EEEE7E" w:rsidR="00067371" w:rsidRDefault="00067371">
      <w:pPr>
        <w:pStyle w:val="TOC3"/>
        <w:rPr>
          <w:rFonts w:asciiTheme="minorHAnsi" w:eastAsiaTheme="minorEastAsia" w:hAnsiTheme="minorHAnsi" w:cstheme="minorBidi"/>
          <w:kern w:val="2"/>
          <w:sz w:val="24"/>
          <w:szCs w:val="24"/>
          <w14:ligatures w14:val="standardContextual"/>
        </w:rPr>
      </w:pPr>
      <w:hyperlink w:anchor="_Toc214283384" w:history="1">
        <w:r w:rsidRPr="008F4954">
          <w:rPr>
            <w:rStyle w:val="Hyperlink"/>
          </w:rPr>
          <w:t>5.22.10</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_Toc214283384 \h </w:instrText>
        </w:r>
        <w:r>
          <w:rPr>
            <w:webHidden/>
          </w:rPr>
        </w:r>
        <w:r>
          <w:rPr>
            <w:webHidden/>
          </w:rPr>
          <w:fldChar w:fldCharType="separate"/>
        </w:r>
        <w:r>
          <w:rPr>
            <w:webHidden/>
          </w:rPr>
          <w:t>260</w:t>
        </w:r>
        <w:r>
          <w:rPr>
            <w:webHidden/>
          </w:rPr>
          <w:fldChar w:fldCharType="end"/>
        </w:r>
      </w:hyperlink>
    </w:p>
    <w:p w14:paraId="777EF321" w14:textId="30CE69FE" w:rsidR="00067371" w:rsidRDefault="00067371">
      <w:pPr>
        <w:pStyle w:val="TOC3"/>
        <w:rPr>
          <w:rFonts w:asciiTheme="minorHAnsi" w:eastAsiaTheme="minorEastAsia" w:hAnsiTheme="minorHAnsi" w:cstheme="minorBidi"/>
          <w:kern w:val="2"/>
          <w:sz w:val="24"/>
          <w:szCs w:val="24"/>
          <w14:ligatures w14:val="standardContextual"/>
        </w:rPr>
      </w:pPr>
      <w:hyperlink w:anchor="_Toc214283385" w:history="1">
        <w:r w:rsidRPr="008F4954">
          <w:rPr>
            <w:rStyle w:val="Hyperlink"/>
          </w:rPr>
          <w:t>5.22.11</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_Toc214283385 \h </w:instrText>
        </w:r>
        <w:r>
          <w:rPr>
            <w:webHidden/>
          </w:rPr>
        </w:r>
        <w:r>
          <w:rPr>
            <w:webHidden/>
          </w:rPr>
          <w:fldChar w:fldCharType="separate"/>
        </w:r>
        <w:r>
          <w:rPr>
            <w:webHidden/>
          </w:rPr>
          <w:t>260</w:t>
        </w:r>
        <w:r>
          <w:rPr>
            <w:webHidden/>
          </w:rPr>
          <w:fldChar w:fldCharType="end"/>
        </w:r>
      </w:hyperlink>
    </w:p>
    <w:p w14:paraId="5C423525" w14:textId="1632709C"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386" w:history="1">
        <w:r w:rsidRPr="008F4954">
          <w:rPr>
            <w:rStyle w:val="Hyperlink"/>
          </w:rPr>
          <w:t>5.23</w:t>
        </w:r>
        <w:r>
          <w:rPr>
            <w:rFonts w:asciiTheme="minorHAnsi" w:eastAsiaTheme="minorEastAsia" w:hAnsiTheme="minorHAnsi" w:cstheme="minorBidi"/>
            <w:smallCaps w:val="0"/>
            <w:kern w:val="2"/>
            <w:szCs w:val="24"/>
            <w14:ligatures w14:val="standardContextual"/>
          </w:rPr>
          <w:tab/>
        </w:r>
        <w:r w:rsidRPr="008F4954">
          <w:rPr>
            <w:rStyle w:val="Hyperlink"/>
          </w:rPr>
          <w:t>OES COMPONENT TOOL</w:t>
        </w:r>
        <w:r>
          <w:rPr>
            <w:webHidden/>
          </w:rPr>
          <w:tab/>
        </w:r>
        <w:r>
          <w:rPr>
            <w:webHidden/>
          </w:rPr>
          <w:fldChar w:fldCharType="begin"/>
        </w:r>
        <w:r>
          <w:rPr>
            <w:webHidden/>
          </w:rPr>
          <w:instrText xml:space="preserve"> PAGEREF _Toc214283386 \h </w:instrText>
        </w:r>
        <w:r>
          <w:rPr>
            <w:webHidden/>
          </w:rPr>
        </w:r>
        <w:r>
          <w:rPr>
            <w:webHidden/>
          </w:rPr>
          <w:fldChar w:fldCharType="separate"/>
        </w:r>
        <w:r>
          <w:rPr>
            <w:webHidden/>
          </w:rPr>
          <w:t>261</w:t>
        </w:r>
        <w:r>
          <w:rPr>
            <w:webHidden/>
          </w:rPr>
          <w:fldChar w:fldCharType="end"/>
        </w:r>
      </w:hyperlink>
    </w:p>
    <w:p w14:paraId="72FDA587" w14:textId="0D0530C1" w:rsidR="00067371" w:rsidRDefault="00067371">
      <w:pPr>
        <w:pStyle w:val="TOC3"/>
        <w:rPr>
          <w:rFonts w:asciiTheme="minorHAnsi" w:eastAsiaTheme="minorEastAsia" w:hAnsiTheme="minorHAnsi" w:cstheme="minorBidi"/>
          <w:kern w:val="2"/>
          <w:sz w:val="24"/>
          <w:szCs w:val="24"/>
          <w14:ligatures w14:val="standardContextual"/>
        </w:rPr>
      </w:pPr>
      <w:hyperlink w:anchor="_Toc214283387" w:history="1">
        <w:r w:rsidRPr="008F4954">
          <w:rPr>
            <w:rStyle w:val="Hyperlink"/>
          </w:rPr>
          <w:t>5.23.1</w:t>
        </w:r>
        <w:r>
          <w:rPr>
            <w:rFonts w:asciiTheme="minorHAnsi" w:eastAsiaTheme="minorEastAsia" w:hAnsiTheme="minorHAnsi" w:cstheme="minorBidi"/>
            <w:kern w:val="2"/>
            <w:sz w:val="24"/>
            <w:szCs w:val="24"/>
            <w14:ligatures w14:val="standardContextual"/>
          </w:rPr>
          <w:tab/>
        </w:r>
        <w:r w:rsidRPr="008F4954">
          <w:rPr>
            <w:rStyle w:val="Hyperlink"/>
          </w:rPr>
          <w:t>Display References</w:t>
        </w:r>
        <w:r>
          <w:rPr>
            <w:webHidden/>
          </w:rPr>
          <w:tab/>
        </w:r>
        <w:r>
          <w:rPr>
            <w:webHidden/>
          </w:rPr>
          <w:fldChar w:fldCharType="begin"/>
        </w:r>
        <w:r>
          <w:rPr>
            <w:webHidden/>
          </w:rPr>
          <w:instrText xml:space="preserve"> PAGEREF _Toc214283387 \h </w:instrText>
        </w:r>
        <w:r>
          <w:rPr>
            <w:webHidden/>
          </w:rPr>
        </w:r>
        <w:r>
          <w:rPr>
            <w:webHidden/>
          </w:rPr>
          <w:fldChar w:fldCharType="separate"/>
        </w:r>
        <w:r>
          <w:rPr>
            <w:webHidden/>
          </w:rPr>
          <w:t>261</w:t>
        </w:r>
        <w:r>
          <w:rPr>
            <w:webHidden/>
          </w:rPr>
          <w:fldChar w:fldCharType="end"/>
        </w:r>
      </w:hyperlink>
    </w:p>
    <w:p w14:paraId="07C42B20" w14:textId="06AF0AE4" w:rsidR="00067371" w:rsidRDefault="00067371">
      <w:pPr>
        <w:pStyle w:val="TOC3"/>
        <w:rPr>
          <w:rFonts w:asciiTheme="minorHAnsi" w:eastAsiaTheme="minorEastAsia" w:hAnsiTheme="minorHAnsi" w:cstheme="minorBidi"/>
          <w:kern w:val="2"/>
          <w:sz w:val="24"/>
          <w:szCs w:val="24"/>
          <w14:ligatures w14:val="standardContextual"/>
        </w:rPr>
      </w:pPr>
      <w:hyperlink w:anchor="_Toc214283388" w:history="1">
        <w:r w:rsidRPr="008F4954">
          <w:rPr>
            <w:rStyle w:val="Hyperlink"/>
          </w:rPr>
          <w:t>5.23.2</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_Toc214283388 \h </w:instrText>
        </w:r>
        <w:r>
          <w:rPr>
            <w:webHidden/>
          </w:rPr>
        </w:r>
        <w:r>
          <w:rPr>
            <w:webHidden/>
          </w:rPr>
          <w:fldChar w:fldCharType="separate"/>
        </w:r>
        <w:r>
          <w:rPr>
            <w:webHidden/>
          </w:rPr>
          <w:t>262</w:t>
        </w:r>
        <w:r>
          <w:rPr>
            <w:webHidden/>
          </w:rPr>
          <w:fldChar w:fldCharType="end"/>
        </w:r>
      </w:hyperlink>
    </w:p>
    <w:p w14:paraId="0BB72081" w14:textId="5F150B51" w:rsidR="00067371" w:rsidRDefault="00067371">
      <w:pPr>
        <w:pStyle w:val="TOC3"/>
        <w:rPr>
          <w:rFonts w:asciiTheme="minorHAnsi" w:eastAsiaTheme="minorEastAsia" w:hAnsiTheme="minorHAnsi" w:cstheme="minorBidi"/>
          <w:kern w:val="2"/>
          <w:sz w:val="24"/>
          <w:szCs w:val="24"/>
          <w14:ligatures w14:val="standardContextual"/>
        </w:rPr>
      </w:pPr>
      <w:hyperlink w:anchor="_Toc214283389" w:history="1">
        <w:r w:rsidRPr="008F4954">
          <w:rPr>
            <w:rStyle w:val="Hyperlink"/>
          </w:rPr>
          <w:t>5.23.3</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_Toc214283389 \h </w:instrText>
        </w:r>
        <w:r>
          <w:rPr>
            <w:webHidden/>
          </w:rPr>
        </w:r>
        <w:r>
          <w:rPr>
            <w:webHidden/>
          </w:rPr>
          <w:fldChar w:fldCharType="separate"/>
        </w:r>
        <w:r>
          <w:rPr>
            <w:webHidden/>
          </w:rPr>
          <w:t>262</w:t>
        </w:r>
        <w:r>
          <w:rPr>
            <w:webHidden/>
          </w:rPr>
          <w:fldChar w:fldCharType="end"/>
        </w:r>
      </w:hyperlink>
    </w:p>
    <w:p w14:paraId="0B6698FB" w14:textId="12851E87" w:rsidR="00067371" w:rsidRDefault="00067371">
      <w:pPr>
        <w:pStyle w:val="TOC3"/>
        <w:rPr>
          <w:rFonts w:asciiTheme="minorHAnsi" w:eastAsiaTheme="minorEastAsia" w:hAnsiTheme="minorHAnsi" w:cstheme="minorBidi"/>
          <w:kern w:val="2"/>
          <w:sz w:val="24"/>
          <w:szCs w:val="24"/>
          <w14:ligatures w14:val="standardContextual"/>
        </w:rPr>
      </w:pPr>
      <w:hyperlink w:anchor="_Toc214283390" w:history="1">
        <w:r w:rsidRPr="008F4954">
          <w:rPr>
            <w:rStyle w:val="Hyperlink"/>
          </w:rPr>
          <w:t>5.23.4</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_Toc214283390 \h </w:instrText>
        </w:r>
        <w:r>
          <w:rPr>
            <w:webHidden/>
          </w:rPr>
        </w:r>
        <w:r>
          <w:rPr>
            <w:webHidden/>
          </w:rPr>
          <w:fldChar w:fldCharType="separate"/>
        </w:r>
        <w:r>
          <w:rPr>
            <w:webHidden/>
          </w:rPr>
          <w:t>262</w:t>
        </w:r>
        <w:r>
          <w:rPr>
            <w:webHidden/>
          </w:rPr>
          <w:fldChar w:fldCharType="end"/>
        </w:r>
      </w:hyperlink>
    </w:p>
    <w:p w14:paraId="7A079DC9" w14:textId="0E7A33F5" w:rsidR="00067371" w:rsidRDefault="00067371">
      <w:pPr>
        <w:pStyle w:val="TOC3"/>
        <w:rPr>
          <w:rFonts w:asciiTheme="minorHAnsi" w:eastAsiaTheme="minorEastAsia" w:hAnsiTheme="minorHAnsi" w:cstheme="minorBidi"/>
          <w:kern w:val="2"/>
          <w:sz w:val="24"/>
          <w:szCs w:val="24"/>
          <w14:ligatures w14:val="standardContextual"/>
        </w:rPr>
      </w:pPr>
      <w:hyperlink w:anchor="_Toc214283391" w:history="1">
        <w:r w:rsidRPr="008F4954">
          <w:rPr>
            <w:rStyle w:val="Hyperlink"/>
          </w:rPr>
          <w:t>5.23.5</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_Toc214283391 \h </w:instrText>
        </w:r>
        <w:r>
          <w:rPr>
            <w:webHidden/>
          </w:rPr>
        </w:r>
        <w:r>
          <w:rPr>
            <w:webHidden/>
          </w:rPr>
          <w:fldChar w:fldCharType="separate"/>
        </w:r>
        <w:r>
          <w:rPr>
            <w:webHidden/>
          </w:rPr>
          <w:t>262</w:t>
        </w:r>
        <w:r>
          <w:rPr>
            <w:webHidden/>
          </w:rPr>
          <w:fldChar w:fldCharType="end"/>
        </w:r>
      </w:hyperlink>
    </w:p>
    <w:p w14:paraId="113D289A" w14:textId="727F2357" w:rsidR="00067371" w:rsidRDefault="00067371">
      <w:pPr>
        <w:pStyle w:val="TOC3"/>
        <w:rPr>
          <w:rFonts w:asciiTheme="minorHAnsi" w:eastAsiaTheme="minorEastAsia" w:hAnsiTheme="minorHAnsi" w:cstheme="minorBidi"/>
          <w:kern w:val="2"/>
          <w:sz w:val="24"/>
          <w:szCs w:val="24"/>
          <w14:ligatures w14:val="standardContextual"/>
        </w:rPr>
      </w:pPr>
      <w:hyperlink w:anchor="_Toc214283392" w:history="1">
        <w:r w:rsidRPr="008F4954">
          <w:rPr>
            <w:rStyle w:val="Hyperlink"/>
          </w:rPr>
          <w:t>5.23.6</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_Toc214283392 \h </w:instrText>
        </w:r>
        <w:r>
          <w:rPr>
            <w:webHidden/>
          </w:rPr>
        </w:r>
        <w:r>
          <w:rPr>
            <w:webHidden/>
          </w:rPr>
          <w:fldChar w:fldCharType="separate"/>
        </w:r>
        <w:r>
          <w:rPr>
            <w:webHidden/>
          </w:rPr>
          <w:t>262</w:t>
        </w:r>
        <w:r>
          <w:rPr>
            <w:webHidden/>
          </w:rPr>
          <w:fldChar w:fldCharType="end"/>
        </w:r>
      </w:hyperlink>
    </w:p>
    <w:p w14:paraId="724B43BB" w14:textId="2C50D426" w:rsidR="00067371" w:rsidRDefault="00067371">
      <w:pPr>
        <w:pStyle w:val="TOC3"/>
        <w:rPr>
          <w:rFonts w:asciiTheme="minorHAnsi" w:eastAsiaTheme="minorEastAsia" w:hAnsiTheme="minorHAnsi" w:cstheme="minorBidi"/>
          <w:kern w:val="2"/>
          <w:sz w:val="24"/>
          <w:szCs w:val="24"/>
          <w14:ligatures w14:val="standardContextual"/>
        </w:rPr>
      </w:pPr>
      <w:hyperlink w:anchor="_Toc214283393" w:history="1">
        <w:r w:rsidRPr="008F4954">
          <w:rPr>
            <w:rStyle w:val="Hyperlink"/>
          </w:rPr>
          <w:t>5.23.7</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_Toc214283393 \h </w:instrText>
        </w:r>
        <w:r>
          <w:rPr>
            <w:webHidden/>
          </w:rPr>
        </w:r>
        <w:r>
          <w:rPr>
            <w:webHidden/>
          </w:rPr>
          <w:fldChar w:fldCharType="separate"/>
        </w:r>
        <w:r>
          <w:rPr>
            <w:webHidden/>
          </w:rPr>
          <w:t>262</w:t>
        </w:r>
        <w:r>
          <w:rPr>
            <w:webHidden/>
          </w:rPr>
          <w:fldChar w:fldCharType="end"/>
        </w:r>
      </w:hyperlink>
    </w:p>
    <w:p w14:paraId="4C724815" w14:textId="520086D5" w:rsidR="00067371" w:rsidRDefault="00067371">
      <w:pPr>
        <w:pStyle w:val="TOC3"/>
        <w:rPr>
          <w:rFonts w:asciiTheme="minorHAnsi" w:eastAsiaTheme="minorEastAsia" w:hAnsiTheme="minorHAnsi" w:cstheme="minorBidi"/>
          <w:kern w:val="2"/>
          <w:sz w:val="24"/>
          <w:szCs w:val="24"/>
          <w14:ligatures w14:val="standardContextual"/>
        </w:rPr>
      </w:pPr>
      <w:hyperlink w:anchor="_Toc214283394" w:history="1">
        <w:r w:rsidRPr="008F4954">
          <w:rPr>
            <w:rStyle w:val="Hyperlink"/>
          </w:rPr>
          <w:t>5.23.8</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_Toc214283394 \h </w:instrText>
        </w:r>
        <w:r>
          <w:rPr>
            <w:webHidden/>
          </w:rPr>
        </w:r>
        <w:r>
          <w:rPr>
            <w:webHidden/>
          </w:rPr>
          <w:fldChar w:fldCharType="separate"/>
        </w:r>
        <w:r>
          <w:rPr>
            <w:webHidden/>
          </w:rPr>
          <w:t>262</w:t>
        </w:r>
        <w:r>
          <w:rPr>
            <w:webHidden/>
          </w:rPr>
          <w:fldChar w:fldCharType="end"/>
        </w:r>
      </w:hyperlink>
    </w:p>
    <w:p w14:paraId="57441DE0" w14:textId="613582C3" w:rsidR="00067371" w:rsidRDefault="00067371">
      <w:pPr>
        <w:pStyle w:val="TOC3"/>
        <w:rPr>
          <w:rFonts w:asciiTheme="minorHAnsi" w:eastAsiaTheme="minorEastAsia" w:hAnsiTheme="minorHAnsi" w:cstheme="minorBidi"/>
          <w:kern w:val="2"/>
          <w:sz w:val="24"/>
          <w:szCs w:val="24"/>
          <w14:ligatures w14:val="standardContextual"/>
        </w:rPr>
      </w:pPr>
      <w:hyperlink w:anchor="_Toc214283395" w:history="1">
        <w:r w:rsidRPr="008F4954">
          <w:rPr>
            <w:rStyle w:val="Hyperlink"/>
          </w:rPr>
          <w:t>5.23.9</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_Toc214283395 \h </w:instrText>
        </w:r>
        <w:r>
          <w:rPr>
            <w:webHidden/>
          </w:rPr>
        </w:r>
        <w:r>
          <w:rPr>
            <w:webHidden/>
          </w:rPr>
          <w:fldChar w:fldCharType="separate"/>
        </w:r>
        <w:r>
          <w:rPr>
            <w:webHidden/>
          </w:rPr>
          <w:t>262</w:t>
        </w:r>
        <w:r>
          <w:rPr>
            <w:webHidden/>
          </w:rPr>
          <w:fldChar w:fldCharType="end"/>
        </w:r>
      </w:hyperlink>
    </w:p>
    <w:p w14:paraId="6B3B08D1" w14:textId="0B26B4BB" w:rsidR="00067371" w:rsidRDefault="00067371">
      <w:pPr>
        <w:pStyle w:val="TOC3"/>
        <w:rPr>
          <w:rFonts w:asciiTheme="minorHAnsi" w:eastAsiaTheme="minorEastAsia" w:hAnsiTheme="minorHAnsi" w:cstheme="minorBidi"/>
          <w:kern w:val="2"/>
          <w:sz w:val="24"/>
          <w:szCs w:val="24"/>
          <w14:ligatures w14:val="standardContextual"/>
        </w:rPr>
      </w:pPr>
      <w:hyperlink w:anchor="_Toc214283396" w:history="1">
        <w:r w:rsidRPr="008F4954">
          <w:rPr>
            <w:rStyle w:val="Hyperlink"/>
          </w:rPr>
          <w:t>5.23.10</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_Toc214283396 \h </w:instrText>
        </w:r>
        <w:r>
          <w:rPr>
            <w:webHidden/>
          </w:rPr>
        </w:r>
        <w:r>
          <w:rPr>
            <w:webHidden/>
          </w:rPr>
          <w:fldChar w:fldCharType="separate"/>
        </w:r>
        <w:r>
          <w:rPr>
            <w:webHidden/>
          </w:rPr>
          <w:t>262</w:t>
        </w:r>
        <w:r>
          <w:rPr>
            <w:webHidden/>
          </w:rPr>
          <w:fldChar w:fldCharType="end"/>
        </w:r>
      </w:hyperlink>
    </w:p>
    <w:p w14:paraId="52CE3016" w14:textId="24041E10"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397" w:history="1">
        <w:r w:rsidRPr="008F4954">
          <w:rPr>
            <w:rStyle w:val="Hyperlink"/>
          </w:rPr>
          <w:t>5.24</w:t>
        </w:r>
        <w:r>
          <w:rPr>
            <w:rFonts w:asciiTheme="minorHAnsi" w:eastAsiaTheme="minorEastAsia" w:hAnsiTheme="minorHAnsi" w:cstheme="minorBidi"/>
            <w:smallCaps w:val="0"/>
            <w:kern w:val="2"/>
            <w:szCs w:val="24"/>
            <w14:ligatures w14:val="standardContextual"/>
          </w:rPr>
          <w:tab/>
        </w:r>
        <w:r w:rsidRPr="008F4954">
          <w:rPr>
            <w:rStyle w:val="Hyperlink"/>
          </w:rPr>
          <w:t>ERROR LOG ENTRIES TOOL</w:t>
        </w:r>
        <w:r>
          <w:rPr>
            <w:webHidden/>
          </w:rPr>
          <w:tab/>
        </w:r>
        <w:r>
          <w:rPr>
            <w:webHidden/>
          </w:rPr>
          <w:fldChar w:fldCharType="begin"/>
        </w:r>
        <w:r>
          <w:rPr>
            <w:webHidden/>
          </w:rPr>
          <w:instrText xml:space="preserve"> PAGEREF _Toc214283397 \h </w:instrText>
        </w:r>
        <w:r>
          <w:rPr>
            <w:webHidden/>
          </w:rPr>
        </w:r>
        <w:r>
          <w:rPr>
            <w:webHidden/>
          </w:rPr>
          <w:fldChar w:fldCharType="separate"/>
        </w:r>
        <w:r>
          <w:rPr>
            <w:webHidden/>
          </w:rPr>
          <w:t>263</w:t>
        </w:r>
        <w:r>
          <w:rPr>
            <w:webHidden/>
          </w:rPr>
          <w:fldChar w:fldCharType="end"/>
        </w:r>
      </w:hyperlink>
    </w:p>
    <w:p w14:paraId="4B17A710" w14:textId="60B14B4B" w:rsidR="00067371" w:rsidRDefault="00067371">
      <w:pPr>
        <w:pStyle w:val="TOC3"/>
        <w:rPr>
          <w:rFonts w:asciiTheme="minorHAnsi" w:eastAsiaTheme="minorEastAsia" w:hAnsiTheme="minorHAnsi" w:cstheme="minorBidi"/>
          <w:kern w:val="2"/>
          <w:sz w:val="24"/>
          <w:szCs w:val="24"/>
          <w14:ligatures w14:val="standardContextual"/>
        </w:rPr>
      </w:pPr>
      <w:hyperlink w:anchor="_Toc214283398" w:history="1">
        <w:r w:rsidRPr="008F4954">
          <w:rPr>
            <w:rStyle w:val="Hyperlink"/>
          </w:rPr>
          <w:t>5.24.1</w:t>
        </w:r>
        <w:r>
          <w:rPr>
            <w:rFonts w:asciiTheme="minorHAnsi" w:eastAsiaTheme="minorEastAsia" w:hAnsiTheme="minorHAnsi" w:cstheme="minorBidi"/>
            <w:kern w:val="2"/>
            <w:sz w:val="24"/>
            <w:szCs w:val="24"/>
            <w14:ligatures w14:val="standardContextual"/>
          </w:rPr>
          <w:tab/>
        </w:r>
        <w:r w:rsidRPr="008F4954">
          <w:rPr>
            <w:rStyle w:val="Hyperlink"/>
          </w:rPr>
          <w:t>Save Log</w:t>
        </w:r>
        <w:r>
          <w:rPr>
            <w:webHidden/>
          </w:rPr>
          <w:tab/>
        </w:r>
        <w:r>
          <w:rPr>
            <w:webHidden/>
          </w:rPr>
          <w:fldChar w:fldCharType="begin"/>
        </w:r>
        <w:r>
          <w:rPr>
            <w:webHidden/>
          </w:rPr>
          <w:instrText xml:space="preserve"> PAGEREF _Toc214283398 \h </w:instrText>
        </w:r>
        <w:r>
          <w:rPr>
            <w:webHidden/>
          </w:rPr>
        </w:r>
        <w:r>
          <w:rPr>
            <w:webHidden/>
          </w:rPr>
          <w:fldChar w:fldCharType="separate"/>
        </w:r>
        <w:r>
          <w:rPr>
            <w:webHidden/>
          </w:rPr>
          <w:t>263</w:t>
        </w:r>
        <w:r>
          <w:rPr>
            <w:webHidden/>
          </w:rPr>
          <w:fldChar w:fldCharType="end"/>
        </w:r>
      </w:hyperlink>
    </w:p>
    <w:p w14:paraId="6571004E" w14:textId="4F3FA873" w:rsidR="00067371" w:rsidRDefault="00067371">
      <w:pPr>
        <w:pStyle w:val="TOC3"/>
        <w:rPr>
          <w:rFonts w:asciiTheme="minorHAnsi" w:eastAsiaTheme="minorEastAsia" w:hAnsiTheme="minorHAnsi" w:cstheme="minorBidi"/>
          <w:kern w:val="2"/>
          <w:sz w:val="24"/>
          <w:szCs w:val="24"/>
          <w14:ligatures w14:val="standardContextual"/>
        </w:rPr>
      </w:pPr>
      <w:hyperlink w:anchor="_Toc214283399" w:history="1">
        <w:r w:rsidRPr="008F4954">
          <w:rPr>
            <w:rStyle w:val="Hyperlink"/>
          </w:rPr>
          <w:t>5.24.2</w:t>
        </w:r>
        <w:r>
          <w:rPr>
            <w:rFonts w:asciiTheme="minorHAnsi" w:eastAsiaTheme="minorEastAsia" w:hAnsiTheme="minorHAnsi" w:cstheme="minorBidi"/>
            <w:kern w:val="2"/>
            <w:sz w:val="24"/>
            <w:szCs w:val="24"/>
            <w14:ligatures w14:val="standardContextual"/>
          </w:rPr>
          <w:tab/>
        </w:r>
        <w:r w:rsidRPr="008F4954">
          <w:rPr>
            <w:rStyle w:val="Hyperlink"/>
          </w:rPr>
          <w:t>Clear All Log Entries</w:t>
        </w:r>
        <w:r>
          <w:rPr>
            <w:webHidden/>
          </w:rPr>
          <w:tab/>
        </w:r>
        <w:r>
          <w:rPr>
            <w:webHidden/>
          </w:rPr>
          <w:fldChar w:fldCharType="begin"/>
        </w:r>
        <w:r>
          <w:rPr>
            <w:webHidden/>
          </w:rPr>
          <w:instrText xml:space="preserve"> PAGEREF _Toc214283399 \h </w:instrText>
        </w:r>
        <w:r>
          <w:rPr>
            <w:webHidden/>
          </w:rPr>
        </w:r>
        <w:r>
          <w:rPr>
            <w:webHidden/>
          </w:rPr>
          <w:fldChar w:fldCharType="separate"/>
        </w:r>
        <w:r>
          <w:rPr>
            <w:webHidden/>
          </w:rPr>
          <w:t>264</w:t>
        </w:r>
        <w:r>
          <w:rPr>
            <w:webHidden/>
          </w:rPr>
          <w:fldChar w:fldCharType="end"/>
        </w:r>
      </w:hyperlink>
    </w:p>
    <w:p w14:paraId="3B2594F7" w14:textId="7EC82A52" w:rsidR="00067371" w:rsidRDefault="00067371">
      <w:pPr>
        <w:pStyle w:val="TOC3"/>
        <w:rPr>
          <w:rFonts w:asciiTheme="minorHAnsi" w:eastAsiaTheme="minorEastAsia" w:hAnsiTheme="minorHAnsi" w:cstheme="minorBidi"/>
          <w:kern w:val="2"/>
          <w:sz w:val="24"/>
          <w:szCs w:val="24"/>
          <w14:ligatures w14:val="standardContextual"/>
        </w:rPr>
      </w:pPr>
      <w:hyperlink w:anchor="_Toc214283400" w:history="1">
        <w:r w:rsidRPr="008F4954">
          <w:rPr>
            <w:rStyle w:val="Hyperlink"/>
          </w:rPr>
          <w:t>5.24.3</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_Toc214283400 \h </w:instrText>
        </w:r>
        <w:r>
          <w:rPr>
            <w:webHidden/>
          </w:rPr>
        </w:r>
        <w:r>
          <w:rPr>
            <w:webHidden/>
          </w:rPr>
          <w:fldChar w:fldCharType="separate"/>
        </w:r>
        <w:r>
          <w:rPr>
            <w:webHidden/>
          </w:rPr>
          <w:t>264</w:t>
        </w:r>
        <w:r>
          <w:rPr>
            <w:webHidden/>
          </w:rPr>
          <w:fldChar w:fldCharType="end"/>
        </w:r>
      </w:hyperlink>
    </w:p>
    <w:p w14:paraId="2BD09F66" w14:textId="5E014E65" w:rsidR="00067371" w:rsidRDefault="00067371">
      <w:pPr>
        <w:pStyle w:val="TOC3"/>
        <w:rPr>
          <w:rFonts w:asciiTheme="minorHAnsi" w:eastAsiaTheme="minorEastAsia" w:hAnsiTheme="minorHAnsi" w:cstheme="minorBidi"/>
          <w:kern w:val="2"/>
          <w:sz w:val="24"/>
          <w:szCs w:val="24"/>
          <w14:ligatures w14:val="standardContextual"/>
        </w:rPr>
      </w:pPr>
      <w:hyperlink w:anchor="_Toc214283401" w:history="1">
        <w:r w:rsidRPr="008F4954">
          <w:rPr>
            <w:rStyle w:val="Hyperlink"/>
          </w:rPr>
          <w:t>5.24.4</w:t>
        </w:r>
        <w:r>
          <w:rPr>
            <w:rFonts w:asciiTheme="minorHAnsi" w:eastAsiaTheme="minorEastAsia" w:hAnsiTheme="minorHAnsi" w:cstheme="minorBidi"/>
            <w:kern w:val="2"/>
            <w:sz w:val="24"/>
            <w:szCs w:val="24"/>
            <w14:ligatures w14:val="standardContextual"/>
          </w:rPr>
          <w:tab/>
        </w:r>
        <w:r w:rsidRPr="008F4954">
          <w:rPr>
            <w:rStyle w:val="Hyperlink"/>
          </w:rPr>
          <w:t>Error Notifications</w:t>
        </w:r>
        <w:r>
          <w:rPr>
            <w:webHidden/>
          </w:rPr>
          <w:tab/>
        </w:r>
        <w:r>
          <w:rPr>
            <w:webHidden/>
          </w:rPr>
          <w:fldChar w:fldCharType="begin"/>
        </w:r>
        <w:r>
          <w:rPr>
            <w:webHidden/>
          </w:rPr>
          <w:instrText xml:space="preserve"> PAGEREF _Toc214283401 \h </w:instrText>
        </w:r>
        <w:r>
          <w:rPr>
            <w:webHidden/>
          </w:rPr>
        </w:r>
        <w:r>
          <w:rPr>
            <w:webHidden/>
          </w:rPr>
          <w:fldChar w:fldCharType="separate"/>
        </w:r>
        <w:r>
          <w:rPr>
            <w:webHidden/>
          </w:rPr>
          <w:t>265</w:t>
        </w:r>
        <w:r>
          <w:rPr>
            <w:webHidden/>
          </w:rPr>
          <w:fldChar w:fldCharType="end"/>
        </w:r>
      </w:hyperlink>
    </w:p>
    <w:p w14:paraId="7D7FD375" w14:textId="1757EEA7" w:rsidR="00067371" w:rsidRDefault="00067371">
      <w:pPr>
        <w:pStyle w:val="TOC3"/>
        <w:rPr>
          <w:rFonts w:asciiTheme="minorHAnsi" w:eastAsiaTheme="minorEastAsia" w:hAnsiTheme="minorHAnsi" w:cstheme="minorBidi"/>
          <w:kern w:val="2"/>
          <w:sz w:val="24"/>
          <w:szCs w:val="24"/>
          <w14:ligatures w14:val="standardContextual"/>
        </w:rPr>
      </w:pPr>
      <w:hyperlink w:anchor="_Toc214283402" w:history="1">
        <w:r w:rsidRPr="008F4954">
          <w:rPr>
            <w:rStyle w:val="Hyperlink"/>
          </w:rPr>
          <w:t>5.24.5</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_Toc214283402 \h </w:instrText>
        </w:r>
        <w:r>
          <w:rPr>
            <w:webHidden/>
          </w:rPr>
        </w:r>
        <w:r>
          <w:rPr>
            <w:webHidden/>
          </w:rPr>
          <w:fldChar w:fldCharType="separate"/>
        </w:r>
        <w:r>
          <w:rPr>
            <w:webHidden/>
          </w:rPr>
          <w:t>267</w:t>
        </w:r>
        <w:r>
          <w:rPr>
            <w:webHidden/>
          </w:rPr>
          <w:fldChar w:fldCharType="end"/>
        </w:r>
      </w:hyperlink>
    </w:p>
    <w:p w14:paraId="2BE033AE" w14:textId="649570EB" w:rsidR="00067371" w:rsidRDefault="00067371">
      <w:pPr>
        <w:pStyle w:val="TOC3"/>
        <w:rPr>
          <w:rFonts w:asciiTheme="minorHAnsi" w:eastAsiaTheme="minorEastAsia" w:hAnsiTheme="minorHAnsi" w:cstheme="minorBidi"/>
          <w:kern w:val="2"/>
          <w:sz w:val="24"/>
          <w:szCs w:val="24"/>
          <w14:ligatures w14:val="standardContextual"/>
        </w:rPr>
      </w:pPr>
      <w:hyperlink w:anchor="_Toc214283403" w:history="1">
        <w:r w:rsidRPr="008F4954">
          <w:rPr>
            <w:rStyle w:val="Hyperlink"/>
          </w:rPr>
          <w:t>5.24.6</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_Toc214283403 \h </w:instrText>
        </w:r>
        <w:r>
          <w:rPr>
            <w:webHidden/>
          </w:rPr>
        </w:r>
        <w:r>
          <w:rPr>
            <w:webHidden/>
          </w:rPr>
          <w:fldChar w:fldCharType="separate"/>
        </w:r>
        <w:r>
          <w:rPr>
            <w:webHidden/>
          </w:rPr>
          <w:t>267</w:t>
        </w:r>
        <w:r>
          <w:rPr>
            <w:webHidden/>
          </w:rPr>
          <w:fldChar w:fldCharType="end"/>
        </w:r>
      </w:hyperlink>
    </w:p>
    <w:p w14:paraId="532B5D92" w14:textId="7E5D6086" w:rsidR="00067371" w:rsidRDefault="00067371">
      <w:pPr>
        <w:pStyle w:val="TOC3"/>
        <w:rPr>
          <w:rFonts w:asciiTheme="minorHAnsi" w:eastAsiaTheme="minorEastAsia" w:hAnsiTheme="minorHAnsi" w:cstheme="minorBidi"/>
          <w:kern w:val="2"/>
          <w:sz w:val="24"/>
          <w:szCs w:val="24"/>
          <w14:ligatures w14:val="standardContextual"/>
        </w:rPr>
      </w:pPr>
      <w:hyperlink w:anchor="_Toc214283404" w:history="1">
        <w:r w:rsidRPr="008F4954">
          <w:rPr>
            <w:rStyle w:val="Hyperlink"/>
          </w:rPr>
          <w:t>5.24.7</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_Toc214283404 \h </w:instrText>
        </w:r>
        <w:r>
          <w:rPr>
            <w:webHidden/>
          </w:rPr>
        </w:r>
        <w:r>
          <w:rPr>
            <w:webHidden/>
          </w:rPr>
          <w:fldChar w:fldCharType="separate"/>
        </w:r>
        <w:r>
          <w:rPr>
            <w:webHidden/>
          </w:rPr>
          <w:t>267</w:t>
        </w:r>
        <w:r>
          <w:rPr>
            <w:webHidden/>
          </w:rPr>
          <w:fldChar w:fldCharType="end"/>
        </w:r>
      </w:hyperlink>
    </w:p>
    <w:p w14:paraId="41B18F31" w14:textId="242DACF1" w:rsidR="00067371" w:rsidRDefault="00067371">
      <w:pPr>
        <w:pStyle w:val="TOC3"/>
        <w:rPr>
          <w:rFonts w:asciiTheme="minorHAnsi" w:eastAsiaTheme="minorEastAsia" w:hAnsiTheme="minorHAnsi" w:cstheme="minorBidi"/>
          <w:kern w:val="2"/>
          <w:sz w:val="24"/>
          <w:szCs w:val="24"/>
          <w14:ligatures w14:val="standardContextual"/>
        </w:rPr>
      </w:pPr>
      <w:hyperlink w:anchor="_Toc214283405" w:history="1">
        <w:r w:rsidRPr="008F4954">
          <w:rPr>
            <w:rStyle w:val="Hyperlink"/>
          </w:rPr>
          <w:t>5.24.8</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_Toc214283405 \h </w:instrText>
        </w:r>
        <w:r>
          <w:rPr>
            <w:webHidden/>
          </w:rPr>
        </w:r>
        <w:r>
          <w:rPr>
            <w:webHidden/>
          </w:rPr>
          <w:fldChar w:fldCharType="separate"/>
        </w:r>
        <w:r>
          <w:rPr>
            <w:webHidden/>
          </w:rPr>
          <w:t>267</w:t>
        </w:r>
        <w:r>
          <w:rPr>
            <w:webHidden/>
          </w:rPr>
          <w:fldChar w:fldCharType="end"/>
        </w:r>
      </w:hyperlink>
    </w:p>
    <w:p w14:paraId="53CF2CE2" w14:textId="2EB63692" w:rsidR="00067371" w:rsidRDefault="00067371">
      <w:pPr>
        <w:pStyle w:val="TOC3"/>
        <w:rPr>
          <w:rFonts w:asciiTheme="minorHAnsi" w:eastAsiaTheme="minorEastAsia" w:hAnsiTheme="minorHAnsi" w:cstheme="minorBidi"/>
          <w:kern w:val="2"/>
          <w:sz w:val="24"/>
          <w:szCs w:val="24"/>
          <w14:ligatures w14:val="standardContextual"/>
        </w:rPr>
      </w:pPr>
      <w:hyperlink w:anchor="_Toc214283406" w:history="1">
        <w:r w:rsidRPr="008F4954">
          <w:rPr>
            <w:rStyle w:val="Hyperlink"/>
          </w:rPr>
          <w:t>5.24.9</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_Toc214283406 \h </w:instrText>
        </w:r>
        <w:r>
          <w:rPr>
            <w:webHidden/>
          </w:rPr>
        </w:r>
        <w:r>
          <w:rPr>
            <w:webHidden/>
          </w:rPr>
          <w:fldChar w:fldCharType="separate"/>
        </w:r>
        <w:r>
          <w:rPr>
            <w:webHidden/>
          </w:rPr>
          <w:t>267</w:t>
        </w:r>
        <w:r>
          <w:rPr>
            <w:webHidden/>
          </w:rPr>
          <w:fldChar w:fldCharType="end"/>
        </w:r>
      </w:hyperlink>
    </w:p>
    <w:p w14:paraId="4DF9AB06" w14:textId="182EC5C1" w:rsidR="00067371" w:rsidRDefault="00067371">
      <w:pPr>
        <w:pStyle w:val="TOC3"/>
        <w:rPr>
          <w:rFonts w:asciiTheme="minorHAnsi" w:eastAsiaTheme="minorEastAsia" w:hAnsiTheme="minorHAnsi" w:cstheme="minorBidi"/>
          <w:kern w:val="2"/>
          <w:sz w:val="24"/>
          <w:szCs w:val="24"/>
          <w14:ligatures w14:val="standardContextual"/>
        </w:rPr>
      </w:pPr>
      <w:hyperlink w:anchor="_Toc214283407" w:history="1">
        <w:r w:rsidRPr="008F4954">
          <w:rPr>
            <w:rStyle w:val="Hyperlink"/>
          </w:rPr>
          <w:t>5.24.10</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_Toc214283407 \h </w:instrText>
        </w:r>
        <w:r>
          <w:rPr>
            <w:webHidden/>
          </w:rPr>
        </w:r>
        <w:r>
          <w:rPr>
            <w:webHidden/>
          </w:rPr>
          <w:fldChar w:fldCharType="separate"/>
        </w:r>
        <w:r>
          <w:rPr>
            <w:webHidden/>
          </w:rPr>
          <w:t>267</w:t>
        </w:r>
        <w:r>
          <w:rPr>
            <w:webHidden/>
          </w:rPr>
          <w:fldChar w:fldCharType="end"/>
        </w:r>
      </w:hyperlink>
    </w:p>
    <w:p w14:paraId="7E22E59C" w14:textId="2705B705" w:rsidR="00067371" w:rsidRDefault="00067371">
      <w:pPr>
        <w:pStyle w:val="TOC3"/>
        <w:rPr>
          <w:rFonts w:asciiTheme="minorHAnsi" w:eastAsiaTheme="minorEastAsia" w:hAnsiTheme="minorHAnsi" w:cstheme="minorBidi"/>
          <w:kern w:val="2"/>
          <w:sz w:val="24"/>
          <w:szCs w:val="24"/>
          <w14:ligatures w14:val="standardContextual"/>
        </w:rPr>
      </w:pPr>
      <w:hyperlink w:anchor="_Toc214283408" w:history="1">
        <w:r w:rsidRPr="008F4954">
          <w:rPr>
            <w:rStyle w:val="Hyperlink"/>
          </w:rPr>
          <w:t>5.24.11</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_Toc214283408 \h </w:instrText>
        </w:r>
        <w:r>
          <w:rPr>
            <w:webHidden/>
          </w:rPr>
        </w:r>
        <w:r>
          <w:rPr>
            <w:webHidden/>
          </w:rPr>
          <w:fldChar w:fldCharType="separate"/>
        </w:r>
        <w:r>
          <w:rPr>
            <w:webHidden/>
          </w:rPr>
          <w:t>267</w:t>
        </w:r>
        <w:r>
          <w:rPr>
            <w:webHidden/>
          </w:rPr>
          <w:fldChar w:fldCharType="end"/>
        </w:r>
      </w:hyperlink>
    </w:p>
    <w:p w14:paraId="1BCF891C" w14:textId="551A0898" w:rsidR="00067371" w:rsidRDefault="00067371">
      <w:pPr>
        <w:pStyle w:val="TOC3"/>
        <w:rPr>
          <w:rFonts w:asciiTheme="minorHAnsi" w:eastAsiaTheme="minorEastAsia" w:hAnsiTheme="minorHAnsi" w:cstheme="minorBidi"/>
          <w:kern w:val="2"/>
          <w:sz w:val="24"/>
          <w:szCs w:val="24"/>
          <w14:ligatures w14:val="standardContextual"/>
        </w:rPr>
      </w:pPr>
      <w:hyperlink w:anchor="_Toc214283409" w:history="1">
        <w:r w:rsidRPr="008F4954">
          <w:rPr>
            <w:rStyle w:val="Hyperlink"/>
          </w:rPr>
          <w:t>5.24.12</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_Toc214283409 \h </w:instrText>
        </w:r>
        <w:r>
          <w:rPr>
            <w:webHidden/>
          </w:rPr>
        </w:r>
        <w:r>
          <w:rPr>
            <w:webHidden/>
          </w:rPr>
          <w:fldChar w:fldCharType="separate"/>
        </w:r>
        <w:r>
          <w:rPr>
            <w:webHidden/>
          </w:rPr>
          <w:t>267</w:t>
        </w:r>
        <w:r>
          <w:rPr>
            <w:webHidden/>
          </w:rPr>
          <w:fldChar w:fldCharType="end"/>
        </w:r>
      </w:hyperlink>
    </w:p>
    <w:p w14:paraId="03CBBF55" w14:textId="44E81779"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410" w:history="1">
        <w:r w:rsidRPr="008F4954">
          <w:rPr>
            <w:rStyle w:val="Hyperlink"/>
          </w:rPr>
          <w:t>5.25</w:t>
        </w:r>
        <w:r>
          <w:rPr>
            <w:rFonts w:asciiTheme="minorHAnsi" w:eastAsiaTheme="minorEastAsia" w:hAnsiTheme="minorHAnsi" w:cstheme="minorBidi"/>
            <w:smallCaps w:val="0"/>
            <w:kern w:val="2"/>
            <w:szCs w:val="24"/>
            <w14:ligatures w14:val="standardContextual"/>
          </w:rPr>
          <w:tab/>
        </w:r>
        <w:r w:rsidRPr="008F4954">
          <w:rPr>
            <w:rStyle w:val="Hyperlink"/>
          </w:rPr>
          <w:t>TED UTILITIES</w:t>
        </w:r>
        <w:r>
          <w:rPr>
            <w:webHidden/>
          </w:rPr>
          <w:tab/>
        </w:r>
        <w:r>
          <w:rPr>
            <w:webHidden/>
          </w:rPr>
          <w:fldChar w:fldCharType="begin"/>
        </w:r>
        <w:r>
          <w:rPr>
            <w:webHidden/>
          </w:rPr>
          <w:instrText xml:space="preserve"> PAGEREF _Toc214283410 \h </w:instrText>
        </w:r>
        <w:r>
          <w:rPr>
            <w:webHidden/>
          </w:rPr>
        </w:r>
        <w:r>
          <w:rPr>
            <w:webHidden/>
          </w:rPr>
          <w:fldChar w:fldCharType="separate"/>
        </w:r>
        <w:r>
          <w:rPr>
            <w:webHidden/>
          </w:rPr>
          <w:t>268</w:t>
        </w:r>
        <w:r>
          <w:rPr>
            <w:webHidden/>
          </w:rPr>
          <w:fldChar w:fldCharType="end"/>
        </w:r>
      </w:hyperlink>
    </w:p>
    <w:p w14:paraId="3A77D049" w14:textId="282EE0F3" w:rsidR="00067371" w:rsidRDefault="00067371">
      <w:pPr>
        <w:pStyle w:val="TOC3"/>
        <w:rPr>
          <w:rFonts w:asciiTheme="minorHAnsi" w:eastAsiaTheme="minorEastAsia" w:hAnsiTheme="minorHAnsi" w:cstheme="minorBidi"/>
          <w:kern w:val="2"/>
          <w:sz w:val="24"/>
          <w:szCs w:val="24"/>
          <w14:ligatures w14:val="standardContextual"/>
        </w:rPr>
      </w:pPr>
      <w:hyperlink w:anchor="_Toc214283411" w:history="1">
        <w:r w:rsidRPr="008F4954">
          <w:rPr>
            <w:rStyle w:val="Hyperlink"/>
          </w:rPr>
          <w:t>5.25.1</w:t>
        </w:r>
        <w:r>
          <w:rPr>
            <w:rFonts w:asciiTheme="minorHAnsi" w:eastAsiaTheme="minorEastAsia" w:hAnsiTheme="minorHAnsi" w:cstheme="minorBidi"/>
            <w:kern w:val="2"/>
            <w:sz w:val="24"/>
            <w:szCs w:val="24"/>
            <w14:ligatures w14:val="standardContextual"/>
          </w:rPr>
          <w:tab/>
        </w:r>
        <w:r w:rsidRPr="008F4954">
          <w:rPr>
            <w:rStyle w:val="Hyperlink"/>
          </w:rPr>
          <w:t>Set Country Code Format</w:t>
        </w:r>
        <w:r>
          <w:rPr>
            <w:webHidden/>
          </w:rPr>
          <w:tab/>
        </w:r>
        <w:r>
          <w:rPr>
            <w:webHidden/>
          </w:rPr>
          <w:fldChar w:fldCharType="begin"/>
        </w:r>
        <w:r>
          <w:rPr>
            <w:webHidden/>
          </w:rPr>
          <w:instrText xml:space="preserve"> PAGEREF _Toc214283411 \h </w:instrText>
        </w:r>
        <w:r>
          <w:rPr>
            <w:webHidden/>
          </w:rPr>
        </w:r>
        <w:r>
          <w:rPr>
            <w:webHidden/>
          </w:rPr>
          <w:fldChar w:fldCharType="separate"/>
        </w:r>
        <w:r>
          <w:rPr>
            <w:webHidden/>
          </w:rPr>
          <w:t>268</w:t>
        </w:r>
        <w:r>
          <w:rPr>
            <w:webHidden/>
          </w:rPr>
          <w:fldChar w:fldCharType="end"/>
        </w:r>
      </w:hyperlink>
    </w:p>
    <w:p w14:paraId="217E4109" w14:textId="1387CCB9" w:rsidR="00067371" w:rsidRDefault="00067371">
      <w:pPr>
        <w:pStyle w:val="TOC3"/>
        <w:rPr>
          <w:rFonts w:asciiTheme="minorHAnsi" w:eastAsiaTheme="minorEastAsia" w:hAnsiTheme="minorHAnsi" w:cstheme="minorBidi"/>
          <w:kern w:val="2"/>
          <w:sz w:val="24"/>
          <w:szCs w:val="24"/>
          <w14:ligatures w14:val="standardContextual"/>
        </w:rPr>
      </w:pPr>
      <w:hyperlink w:anchor="_Toc214283412" w:history="1">
        <w:r w:rsidRPr="008F4954">
          <w:rPr>
            <w:rStyle w:val="Hyperlink"/>
          </w:rPr>
          <w:t>5.25.2</w:t>
        </w:r>
        <w:r>
          <w:rPr>
            <w:rFonts w:asciiTheme="minorHAnsi" w:eastAsiaTheme="minorEastAsia" w:hAnsiTheme="minorHAnsi" w:cstheme="minorBidi"/>
            <w:kern w:val="2"/>
            <w:sz w:val="24"/>
            <w:szCs w:val="24"/>
            <w14:ligatures w14:val="standardContextual"/>
          </w:rPr>
          <w:tab/>
        </w:r>
        <w:r w:rsidRPr="008F4954">
          <w:rPr>
            <w:rStyle w:val="Hyperlink"/>
          </w:rPr>
          <w:t>Change TED (Admin Only)</w:t>
        </w:r>
        <w:r>
          <w:rPr>
            <w:webHidden/>
          </w:rPr>
          <w:tab/>
        </w:r>
        <w:r>
          <w:rPr>
            <w:webHidden/>
          </w:rPr>
          <w:fldChar w:fldCharType="begin"/>
        </w:r>
        <w:r>
          <w:rPr>
            <w:webHidden/>
          </w:rPr>
          <w:instrText xml:space="preserve"> PAGEREF _Toc214283412 \h </w:instrText>
        </w:r>
        <w:r>
          <w:rPr>
            <w:webHidden/>
          </w:rPr>
        </w:r>
        <w:r>
          <w:rPr>
            <w:webHidden/>
          </w:rPr>
          <w:fldChar w:fldCharType="separate"/>
        </w:r>
        <w:r>
          <w:rPr>
            <w:webHidden/>
          </w:rPr>
          <w:t>269</w:t>
        </w:r>
        <w:r>
          <w:rPr>
            <w:webHidden/>
          </w:rPr>
          <w:fldChar w:fldCharType="end"/>
        </w:r>
      </w:hyperlink>
    </w:p>
    <w:p w14:paraId="0391B8CF" w14:textId="42B22369" w:rsidR="00067371" w:rsidRDefault="00067371">
      <w:pPr>
        <w:pStyle w:val="TOC3"/>
        <w:rPr>
          <w:rFonts w:asciiTheme="minorHAnsi" w:eastAsiaTheme="minorEastAsia" w:hAnsiTheme="minorHAnsi" w:cstheme="minorBidi"/>
          <w:kern w:val="2"/>
          <w:sz w:val="24"/>
          <w:szCs w:val="24"/>
          <w14:ligatures w14:val="standardContextual"/>
        </w:rPr>
      </w:pPr>
      <w:hyperlink w:anchor="_Toc214283413" w:history="1">
        <w:r w:rsidRPr="008F4954">
          <w:rPr>
            <w:rStyle w:val="Hyperlink"/>
          </w:rPr>
          <w:t>5.25.3</w:t>
        </w:r>
        <w:r>
          <w:rPr>
            <w:rFonts w:asciiTheme="minorHAnsi" w:eastAsiaTheme="minorEastAsia" w:hAnsiTheme="minorHAnsi" w:cstheme="minorBidi"/>
            <w:kern w:val="2"/>
            <w:sz w:val="24"/>
            <w:szCs w:val="24"/>
            <w14:ligatures w14:val="standardContextual"/>
          </w:rPr>
          <w:tab/>
        </w:r>
        <w:r w:rsidRPr="008F4954">
          <w:rPr>
            <w:rStyle w:val="Hyperlink"/>
          </w:rPr>
          <w:t>TED Logs Tab</w:t>
        </w:r>
        <w:r>
          <w:rPr>
            <w:webHidden/>
          </w:rPr>
          <w:tab/>
        </w:r>
        <w:r>
          <w:rPr>
            <w:webHidden/>
          </w:rPr>
          <w:fldChar w:fldCharType="begin"/>
        </w:r>
        <w:r>
          <w:rPr>
            <w:webHidden/>
          </w:rPr>
          <w:instrText xml:space="preserve"> PAGEREF _Toc214283413 \h </w:instrText>
        </w:r>
        <w:r>
          <w:rPr>
            <w:webHidden/>
          </w:rPr>
        </w:r>
        <w:r>
          <w:rPr>
            <w:webHidden/>
          </w:rPr>
          <w:fldChar w:fldCharType="separate"/>
        </w:r>
        <w:r>
          <w:rPr>
            <w:webHidden/>
          </w:rPr>
          <w:t>270</w:t>
        </w:r>
        <w:r>
          <w:rPr>
            <w:webHidden/>
          </w:rPr>
          <w:fldChar w:fldCharType="end"/>
        </w:r>
      </w:hyperlink>
    </w:p>
    <w:p w14:paraId="086B9C11" w14:textId="33CB75AC" w:rsidR="00067371" w:rsidRDefault="00067371">
      <w:pPr>
        <w:pStyle w:val="TOC3"/>
        <w:rPr>
          <w:rFonts w:asciiTheme="minorHAnsi" w:eastAsiaTheme="minorEastAsia" w:hAnsiTheme="minorHAnsi" w:cstheme="minorBidi"/>
          <w:kern w:val="2"/>
          <w:sz w:val="24"/>
          <w:szCs w:val="24"/>
          <w14:ligatures w14:val="standardContextual"/>
        </w:rPr>
      </w:pPr>
      <w:hyperlink w:anchor="_Toc214283414" w:history="1">
        <w:r w:rsidRPr="008F4954">
          <w:rPr>
            <w:rStyle w:val="Hyperlink"/>
          </w:rPr>
          <w:t>5.25.4</w:t>
        </w:r>
        <w:r>
          <w:rPr>
            <w:rFonts w:asciiTheme="minorHAnsi" w:eastAsiaTheme="minorEastAsia" w:hAnsiTheme="minorHAnsi" w:cstheme="minorBidi"/>
            <w:kern w:val="2"/>
            <w:sz w:val="24"/>
            <w:szCs w:val="24"/>
            <w14:ligatures w14:val="standardContextual"/>
          </w:rPr>
          <w:tab/>
        </w:r>
        <w:r w:rsidRPr="008F4954">
          <w:rPr>
            <w:rStyle w:val="Hyperlink"/>
          </w:rPr>
          <w:t>TED Connections Tab</w:t>
        </w:r>
        <w:r>
          <w:rPr>
            <w:webHidden/>
          </w:rPr>
          <w:tab/>
        </w:r>
        <w:r>
          <w:rPr>
            <w:webHidden/>
          </w:rPr>
          <w:fldChar w:fldCharType="begin"/>
        </w:r>
        <w:r>
          <w:rPr>
            <w:webHidden/>
          </w:rPr>
          <w:instrText xml:space="preserve"> PAGEREF _Toc214283414 \h </w:instrText>
        </w:r>
        <w:r>
          <w:rPr>
            <w:webHidden/>
          </w:rPr>
        </w:r>
        <w:r>
          <w:rPr>
            <w:webHidden/>
          </w:rPr>
          <w:fldChar w:fldCharType="separate"/>
        </w:r>
        <w:r>
          <w:rPr>
            <w:webHidden/>
          </w:rPr>
          <w:t>272</w:t>
        </w:r>
        <w:r>
          <w:rPr>
            <w:webHidden/>
          </w:rPr>
          <w:fldChar w:fldCharType="end"/>
        </w:r>
      </w:hyperlink>
    </w:p>
    <w:p w14:paraId="234EFADD" w14:textId="5F9F57B6" w:rsidR="00067371" w:rsidRDefault="00067371">
      <w:pPr>
        <w:pStyle w:val="TOC3"/>
        <w:rPr>
          <w:rFonts w:asciiTheme="minorHAnsi" w:eastAsiaTheme="minorEastAsia" w:hAnsiTheme="minorHAnsi" w:cstheme="minorBidi"/>
          <w:kern w:val="2"/>
          <w:sz w:val="24"/>
          <w:szCs w:val="24"/>
          <w14:ligatures w14:val="standardContextual"/>
        </w:rPr>
      </w:pPr>
      <w:hyperlink w:anchor="_Toc214283415" w:history="1">
        <w:r w:rsidRPr="008F4954">
          <w:rPr>
            <w:rStyle w:val="Hyperlink"/>
          </w:rPr>
          <w:t>5.25.5</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_Toc214283415 \h </w:instrText>
        </w:r>
        <w:r>
          <w:rPr>
            <w:webHidden/>
          </w:rPr>
        </w:r>
        <w:r>
          <w:rPr>
            <w:webHidden/>
          </w:rPr>
          <w:fldChar w:fldCharType="separate"/>
        </w:r>
        <w:r>
          <w:rPr>
            <w:webHidden/>
          </w:rPr>
          <w:t>274</w:t>
        </w:r>
        <w:r>
          <w:rPr>
            <w:webHidden/>
          </w:rPr>
          <w:fldChar w:fldCharType="end"/>
        </w:r>
      </w:hyperlink>
    </w:p>
    <w:p w14:paraId="27FABD17" w14:textId="0E2AF560" w:rsidR="00067371" w:rsidRDefault="00067371">
      <w:pPr>
        <w:pStyle w:val="TOC3"/>
        <w:rPr>
          <w:rFonts w:asciiTheme="minorHAnsi" w:eastAsiaTheme="minorEastAsia" w:hAnsiTheme="minorHAnsi" w:cstheme="minorBidi"/>
          <w:kern w:val="2"/>
          <w:sz w:val="24"/>
          <w:szCs w:val="24"/>
          <w14:ligatures w14:val="standardContextual"/>
        </w:rPr>
      </w:pPr>
      <w:hyperlink w:anchor="_Toc214283416" w:history="1">
        <w:r w:rsidRPr="008F4954">
          <w:rPr>
            <w:rStyle w:val="Hyperlink"/>
          </w:rPr>
          <w:t>5.25.6</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_Toc214283416 \h </w:instrText>
        </w:r>
        <w:r>
          <w:rPr>
            <w:webHidden/>
          </w:rPr>
        </w:r>
        <w:r>
          <w:rPr>
            <w:webHidden/>
          </w:rPr>
          <w:fldChar w:fldCharType="separate"/>
        </w:r>
        <w:r>
          <w:rPr>
            <w:webHidden/>
          </w:rPr>
          <w:t>274</w:t>
        </w:r>
        <w:r>
          <w:rPr>
            <w:webHidden/>
          </w:rPr>
          <w:fldChar w:fldCharType="end"/>
        </w:r>
      </w:hyperlink>
    </w:p>
    <w:p w14:paraId="5934D5CC" w14:textId="1E2F0292" w:rsidR="00067371" w:rsidRDefault="00067371">
      <w:pPr>
        <w:pStyle w:val="TOC3"/>
        <w:rPr>
          <w:rFonts w:asciiTheme="minorHAnsi" w:eastAsiaTheme="minorEastAsia" w:hAnsiTheme="minorHAnsi" w:cstheme="minorBidi"/>
          <w:kern w:val="2"/>
          <w:sz w:val="24"/>
          <w:szCs w:val="24"/>
          <w14:ligatures w14:val="standardContextual"/>
        </w:rPr>
      </w:pPr>
      <w:hyperlink w:anchor="_Toc214283417" w:history="1">
        <w:r w:rsidRPr="008F4954">
          <w:rPr>
            <w:rStyle w:val="Hyperlink"/>
          </w:rPr>
          <w:t>5.25.7</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_Toc214283417 \h </w:instrText>
        </w:r>
        <w:r>
          <w:rPr>
            <w:webHidden/>
          </w:rPr>
        </w:r>
        <w:r>
          <w:rPr>
            <w:webHidden/>
          </w:rPr>
          <w:fldChar w:fldCharType="separate"/>
        </w:r>
        <w:r>
          <w:rPr>
            <w:webHidden/>
          </w:rPr>
          <w:t>274</w:t>
        </w:r>
        <w:r>
          <w:rPr>
            <w:webHidden/>
          </w:rPr>
          <w:fldChar w:fldCharType="end"/>
        </w:r>
      </w:hyperlink>
    </w:p>
    <w:p w14:paraId="5AFAE706" w14:textId="026BFD31" w:rsidR="00067371" w:rsidRDefault="00067371">
      <w:pPr>
        <w:pStyle w:val="TOC3"/>
        <w:rPr>
          <w:rFonts w:asciiTheme="minorHAnsi" w:eastAsiaTheme="minorEastAsia" w:hAnsiTheme="minorHAnsi" w:cstheme="minorBidi"/>
          <w:kern w:val="2"/>
          <w:sz w:val="24"/>
          <w:szCs w:val="24"/>
          <w14:ligatures w14:val="standardContextual"/>
        </w:rPr>
      </w:pPr>
      <w:hyperlink w:anchor="_Toc214283418" w:history="1">
        <w:r w:rsidRPr="008F4954">
          <w:rPr>
            <w:rStyle w:val="Hyperlink"/>
          </w:rPr>
          <w:t>5.25.8</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_Toc214283418 \h </w:instrText>
        </w:r>
        <w:r>
          <w:rPr>
            <w:webHidden/>
          </w:rPr>
        </w:r>
        <w:r>
          <w:rPr>
            <w:webHidden/>
          </w:rPr>
          <w:fldChar w:fldCharType="separate"/>
        </w:r>
        <w:r>
          <w:rPr>
            <w:webHidden/>
          </w:rPr>
          <w:t>274</w:t>
        </w:r>
        <w:r>
          <w:rPr>
            <w:webHidden/>
          </w:rPr>
          <w:fldChar w:fldCharType="end"/>
        </w:r>
      </w:hyperlink>
    </w:p>
    <w:p w14:paraId="667DAAF1" w14:textId="4F1E1342" w:rsidR="00067371" w:rsidRDefault="00067371">
      <w:pPr>
        <w:pStyle w:val="TOC3"/>
        <w:rPr>
          <w:rFonts w:asciiTheme="minorHAnsi" w:eastAsiaTheme="minorEastAsia" w:hAnsiTheme="minorHAnsi" w:cstheme="minorBidi"/>
          <w:kern w:val="2"/>
          <w:sz w:val="24"/>
          <w:szCs w:val="24"/>
          <w14:ligatures w14:val="standardContextual"/>
        </w:rPr>
      </w:pPr>
      <w:hyperlink w:anchor="_Toc214283419" w:history="1">
        <w:r w:rsidRPr="008F4954">
          <w:rPr>
            <w:rStyle w:val="Hyperlink"/>
          </w:rPr>
          <w:t>5.25.9</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_Toc214283419 \h </w:instrText>
        </w:r>
        <w:r>
          <w:rPr>
            <w:webHidden/>
          </w:rPr>
        </w:r>
        <w:r>
          <w:rPr>
            <w:webHidden/>
          </w:rPr>
          <w:fldChar w:fldCharType="separate"/>
        </w:r>
        <w:r>
          <w:rPr>
            <w:webHidden/>
          </w:rPr>
          <w:t>274</w:t>
        </w:r>
        <w:r>
          <w:rPr>
            <w:webHidden/>
          </w:rPr>
          <w:fldChar w:fldCharType="end"/>
        </w:r>
      </w:hyperlink>
    </w:p>
    <w:p w14:paraId="7E13D09D" w14:textId="549B9F01" w:rsidR="00067371" w:rsidRDefault="00067371">
      <w:pPr>
        <w:pStyle w:val="TOC3"/>
        <w:rPr>
          <w:rFonts w:asciiTheme="minorHAnsi" w:eastAsiaTheme="minorEastAsia" w:hAnsiTheme="minorHAnsi" w:cstheme="minorBidi"/>
          <w:kern w:val="2"/>
          <w:sz w:val="24"/>
          <w:szCs w:val="24"/>
          <w14:ligatures w14:val="standardContextual"/>
        </w:rPr>
      </w:pPr>
      <w:hyperlink w:anchor="_Toc214283420" w:history="1">
        <w:r w:rsidRPr="008F4954">
          <w:rPr>
            <w:rStyle w:val="Hyperlink"/>
          </w:rPr>
          <w:t>5.25.10</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_Toc214283420 \h </w:instrText>
        </w:r>
        <w:r>
          <w:rPr>
            <w:webHidden/>
          </w:rPr>
        </w:r>
        <w:r>
          <w:rPr>
            <w:webHidden/>
          </w:rPr>
          <w:fldChar w:fldCharType="separate"/>
        </w:r>
        <w:r>
          <w:rPr>
            <w:webHidden/>
          </w:rPr>
          <w:t>274</w:t>
        </w:r>
        <w:r>
          <w:rPr>
            <w:webHidden/>
          </w:rPr>
          <w:fldChar w:fldCharType="end"/>
        </w:r>
      </w:hyperlink>
    </w:p>
    <w:p w14:paraId="59371AE8" w14:textId="517D06C2" w:rsidR="00067371" w:rsidRDefault="00067371">
      <w:pPr>
        <w:pStyle w:val="TOC3"/>
        <w:rPr>
          <w:rFonts w:asciiTheme="minorHAnsi" w:eastAsiaTheme="minorEastAsia" w:hAnsiTheme="minorHAnsi" w:cstheme="minorBidi"/>
          <w:kern w:val="2"/>
          <w:sz w:val="24"/>
          <w:szCs w:val="24"/>
          <w14:ligatures w14:val="standardContextual"/>
        </w:rPr>
      </w:pPr>
      <w:hyperlink w:anchor="_Toc214283421" w:history="1">
        <w:r w:rsidRPr="008F4954">
          <w:rPr>
            <w:rStyle w:val="Hyperlink"/>
          </w:rPr>
          <w:t>5.25.11</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_Toc214283421 \h </w:instrText>
        </w:r>
        <w:r>
          <w:rPr>
            <w:webHidden/>
          </w:rPr>
        </w:r>
        <w:r>
          <w:rPr>
            <w:webHidden/>
          </w:rPr>
          <w:fldChar w:fldCharType="separate"/>
        </w:r>
        <w:r>
          <w:rPr>
            <w:webHidden/>
          </w:rPr>
          <w:t>274</w:t>
        </w:r>
        <w:r>
          <w:rPr>
            <w:webHidden/>
          </w:rPr>
          <w:fldChar w:fldCharType="end"/>
        </w:r>
      </w:hyperlink>
    </w:p>
    <w:p w14:paraId="32102A7F" w14:textId="76FE8F8F" w:rsidR="00067371" w:rsidRDefault="00067371">
      <w:pPr>
        <w:pStyle w:val="TOC3"/>
        <w:rPr>
          <w:rFonts w:asciiTheme="minorHAnsi" w:eastAsiaTheme="minorEastAsia" w:hAnsiTheme="minorHAnsi" w:cstheme="minorBidi"/>
          <w:kern w:val="2"/>
          <w:sz w:val="24"/>
          <w:szCs w:val="24"/>
          <w14:ligatures w14:val="standardContextual"/>
        </w:rPr>
      </w:pPr>
      <w:hyperlink w:anchor="_Toc214283422" w:history="1">
        <w:r w:rsidRPr="008F4954">
          <w:rPr>
            <w:rStyle w:val="Hyperlink"/>
          </w:rPr>
          <w:t>5.25.12</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_Toc214283422 \h </w:instrText>
        </w:r>
        <w:r>
          <w:rPr>
            <w:webHidden/>
          </w:rPr>
        </w:r>
        <w:r>
          <w:rPr>
            <w:webHidden/>
          </w:rPr>
          <w:fldChar w:fldCharType="separate"/>
        </w:r>
        <w:r>
          <w:rPr>
            <w:webHidden/>
          </w:rPr>
          <w:t>274</w:t>
        </w:r>
        <w:r>
          <w:rPr>
            <w:webHidden/>
          </w:rPr>
          <w:fldChar w:fldCharType="end"/>
        </w:r>
      </w:hyperlink>
    </w:p>
    <w:p w14:paraId="313B1969" w14:textId="1E1E0C2A"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423" w:history="1">
        <w:r w:rsidRPr="008F4954">
          <w:rPr>
            <w:rStyle w:val="Hyperlink"/>
          </w:rPr>
          <w:t>5.26</w:t>
        </w:r>
        <w:r>
          <w:rPr>
            <w:rFonts w:asciiTheme="minorHAnsi" w:eastAsiaTheme="minorEastAsia" w:hAnsiTheme="minorHAnsi" w:cstheme="minorBidi"/>
            <w:smallCaps w:val="0"/>
            <w:kern w:val="2"/>
            <w:szCs w:val="24"/>
            <w14:ligatures w14:val="standardContextual"/>
          </w:rPr>
          <w:tab/>
        </w:r>
        <w:r w:rsidRPr="008F4954">
          <w:rPr>
            <w:rStyle w:val="Hyperlink"/>
          </w:rPr>
          <w:t>GEO DISPLAY TOOL</w:t>
        </w:r>
        <w:r>
          <w:rPr>
            <w:webHidden/>
          </w:rPr>
          <w:tab/>
        </w:r>
        <w:r>
          <w:rPr>
            <w:webHidden/>
          </w:rPr>
          <w:fldChar w:fldCharType="begin"/>
        </w:r>
        <w:r>
          <w:rPr>
            <w:webHidden/>
          </w:rPr>
          <w:instrText xml:space="preserve"> PAGEREF _Toc214283423 \h </w:instrText>
        </w:r>
        <w:r>
          <w:rPr>
            <w:webHidden/>
          </w:rPr>
        </w:r>
        <w:r>
          <w:rPr>
            <w:webHidden/>
          </w:rPr>
          <w:fldChar w:fldCharType="separate"/>
        </w:r>
        <w:r>
          <w:rPr>
            <w:webHidden/>
          </w:rPr>
          <w:t>275</w:t>
        </w:r>
        <w:r>
          <w:rPr>
            <w:webHidden/>
          </w:rPr>
          <w:fldChar w:fldCharType="end"/>
        </w:r>
      </w:hyperlink>
    </w:p>
    <w:p w14:paraId="434AB1BA" w14:textId="0BD4C8DC" w:rsidR="00067371" w:rsidRDefault="00067371">
      <w:pPr>
        <w:pStyle w:val="TOC3"/>
        <w:rPr>
          <w:rFonts w:asciiTheme="minorHAnsi" w:eastAsiaTheme="minorEastAsia" w:hAnsiTheme="minorHAnsi" w:cstheme="minorBidi"/>
          <w:kern w:val="2"/>
          <w:sz w:val="24"/>
          <w:szCs w:val="24"/>
          <w14:ligatures w14:val="standardContextual"/>
        </w:rPr>
      </w:pPr>
      <w:hyperlink w:anchor="_Toc214283424" w:history="1">
        <w:r w:rsidRPr="008F4954">
          <w:rPr>
            <w:rStyle w:val="Hyperlink"/>
          </w:rPr>
          <w:t>5.26.1</w:t>
        </w:r>
        <w:r>
          <w:rPr>
            <w:rFonts w:asciiTheme="minorHAnsi" w:eastAsiaTheme="minorEastAsia" w:hAnsiTheme="minorHAnsi" w:cstheme="minorBidi"/>
            <w:kern w:val="2"/>
            <w:sz w:val="24"/>
            <w:szCs w:val="24"/>
            <w14:ligatures w14:val="standardContextual"/>
          </w:rPr>
          <w:tab/>
        </w:r>
        <w:r w:rsidRPr="008F4954">
          <w:rPr>
            <w:rStyle w:val="Hyperlink"/>
          </w:rPr>
          <w:t>Create New ACMS or Overlay</w:t>
        </w:r>
        <w:r>
          <w:rPr>
            <w:webHidden/>
          </w:rPr>
          <w:tab/>
        </w:r>
        <w:r>
          <w:rPr>
            <w:webHidden/>
          </w:rPr>
          <w:fldChar w:fldCharType="begin"/>
        </w:r>
        <w:r>
          <w:rPr>
            <w:webHidden/>
          </w:rPr>
          <w:instrText xml:space="preserve"> PAGEREF _Toc214283424 \h </w:instrText>
        </w:r>
        <w:r>
          <w:rPr>
            <w:webHidden/>
          </w:rPr>
        </w:r>
        <w:r>
          <w:rPr>
            <w:webHidden/>
          </w:rPr>
          <w:fldChar w:fldCharType="separate"/>
        </w:r>
        <w:r>
          <w:rPr>
            <w:webHidden/>
          </w:rPr>
          <w:t>276</w:t>
        </w:r>
        <w:r>
          <w:rPr>
            <w:webHidden/>
          </w:rPr>
          <w:fldChar w:fldCharType="end"/>
        </w:r>
      </w:hyperlink>
    </w:p>
    <w:p w14:paraId="23910B95" w14:textId="5C44336B" w:rsidR="00067371" w:rsidRDefault="00067371">
      <w:pPr>
        <w:pStyle w:val="TOC3"/>
        <w:rPr>
          <w:rFonts w:asciiTheme="minorHAnsi" w:eastAsiaTheme="minorEastAsia" w:hAnsiTheme="minorHAnsi" w:cstheme="minorBidi"/>
          <w:kern w:val="2"/>
          <w:sz w:val="24"/>
          <w:szCs w:val="24"/>
          <w14:ligatures w14:val="standardContextual"/>
        </w:rPr>
      </w:pPr>
      <w:hyperlink w:anchor="_Toc214283425" w:history="1">
        <w:r w:rsidRPr="008F4954">
          <w:rPr>
            <w:rStyle w:val="Hyperlink"/>
          </w:rPr>
          <w:t>5.26.2</w:t>
        </w:r>
        <w:r>
          <w:rPr>
            <w:rFonts w:asciiTheme="minorHAnsi" w:eastAsiaTheme="minorEastAsia" w:hAnsiTheme="minorHAnsi" w:cstheme="minorBidi"/>
            <w:kern w:val="2"/>
            <w:sz w:val="24"/>
            <w:szCs w:val="24"/>
            <w14:ligatures w14:val="standardContextual"/>
          </w:rPr>
          <w:tab/>
        </w:r>
        <w:r w:rsidRPr="008F4954">
          <w:rPr>
            <w:rStyle w:val="Hyperlink"/>
          </w:rPr>
          <w:t>Manipulating the Display</w:t>
        </w:r>
        <w:r>
          <w:rPr>
            <w:webHidden/>
          </w:rPr>
          <w:tab/>
        </w:r>
        <w:r>
          <w:rPr>
            <w:webHidden/>
          </w:rPr>
          <w:fldChar w:fldCharType="begin"/>
        </w:r>
        <w:r>
          <w:rPr>
            <w:webHidden/>
          </w:rPr>
          <w:instrText xml:space="preserve"> PAGEREF _Toc214283425 \h </w:instrText>
        </w:r>
        <w:r>
          <w:rPr>
            <w:webHidden/>
          </w:rPr>
        </w:r>
        <w:r>
          <w:rPr>
            <w:webHidden/>
          </w:rPr>
          <w:fldChar w:fldCharType="separate"/>
        </w:r>
        <w:r>
          <w:rPr>
            <w:webHidden/>
          </w:rPr>
          <w:t>277</w:t>
        </w:r>
        <w:r>
          <w:rPr>
            <w:webHidden/>
          </w:rPr>
          <w:fldChar w:fldCharType="end"/>
        </w:r>
      </w:hyperlink>
    </w:p>
    <w:p w14:paraId="0E7612E5" w14:textId="16203FE5" w:rsidR="00067371" w:rsidRDefault="00067371">
      <w:pPr>
        <w:pStyle w:val="TOC3"/>
        <w:rPr>
          <w:rFonts w:asciiTheme="minorHAnsi" w:eastAsiaTheme="minorEastAsia" w:hAnsiTheme="minorHAnsi" w:cstheme="minorBidi"/>
          <w:kern w:val="2"/>
          <w:sz w:val="24"/>
          <w:szCs w:val="24"/>
          <w14:ligatures w14:val="standardContextual"/>
        </w:rPr>
      </w:pPr>
      <w:hyperlink w:anchor="_Toc214283426" w:history="1">
        <w:r w:rsidRPr="008F4954">
          <w:rPr>
            <w:rStyle w:val="Hyperlink"/>
          </w:rPr>
          <w:t>5.26.3</w:t>
        </w:r>
        <w:r>
          <w:rPr>
            <w:rFonts w:asciiTheme="minorHAnsi" w:eastAsiaTheme="minorEastAsia" w:hAnsiTheme="minorHAnsi" w:cstheme="minorBidi"/>
            <w:kern w:val="2"/>
            <w:sz w:val="24"/>
            <w:szCs w:val="24"/>
            <w14:ligatures w14:val="standardContextual"/>
          </w:rPr>
          <w:tab/>
        </w:r>
        <w:r w:rsidRPr="008F4954">
          <w:rPr>
            <w:rStyle w:val="Hyperlink"/>
          </w:rPr>
          <w:t>Geo Display Tools</w:t>
        </w:r>
        <w:r>
          <w:rPr>
            <w:webHidden/>
          </w:rPr>
          <w:tab/>
        </w:r>
        <w:r>
          <w:rPr>
            <w:webHidden/>
          </w:rPr>
          <w:fldChar w:fldCharType="begin"/>
        </w:r>
        <w:r>
          <w:rPr>
            <w:webHidden/>
          </w:rPr>
          <w:instrText xml:space="preserve"> PAGEREF _Toc214283426 \h </w:instrText>
        </w:r>
        <w:r>
          <w:rPr>
            <w:webHidden/>
          </w:rPr>
        </w:r>
        <w:r>
          <w:rPr>
            <w:webHidden/>
          </w:rPr>
          <w:fldChar w:fldCharType="separate"/>
        </w:r>
        <w:r>
          <w:rPr>
            <w:webHidden/>
          </w:rPr>
          <w:t>283</w:t>
        </w:r>
        <w:r>
          <w:rPr>
            <w:webHidden/>
          </w:rPr>
          <w:fldChar w:fldCharType="end"/>
        </w:r>
      </w:hyperlink>
    </w:p>
    <w:p w14:paraId="62BFA4C5" w14:textId="27E8F74A" w:rsidR="00067371" w:rsidRDefault="00067371">
      <w:pPr>
        <w:pStyle w:val="TOC3"/>
        <w:rPr>
          <w:rFonts w:asciiTheme="minorHAnsi" w:eastAsiaTheme="minorEastAsia" w:hAnsiTheme="minorHAnsi" w:cstheme="minorBidi"/>
          <w:kern w:val="2"/>
          <w:sz w:val="24"/>
          <w:szCs w:val="24"/>
          <w14:ligatures w14:val="standardContextual"/>
        </w:rPr>
      </w:pPr>
      <w:hyperlink w:anchor="_Toc214283427" w:history="1">
        <w:r w:rsidRPr="008F4954">
          <w:rPr>
            <w:rStyle w:val="Hyperlink"/>
          </w:rPr>
          <w:t>5.26.4</w:t>
        </w:r>
        <w:r>
          <w:rPr>
            <w:rFonts w:asciiTheme="minorHAnsi" w:eastAsiaTheme="minorEastAsia" w:hAnsiTheme="minorHAnsi" w:cstheme="minorBidi"/>
            <w:kern w:val="2"/>
            <w:sz w:val="24"/>
            <w:szCs w:val="24"/>
            <w14:ligatures w14:val="standardContextual"/>
          </w:rPr>
          <w:tab/>
        </w:r>
        <w:r w:rsidRPr="008F4954">
          <w:rPr>
            <w:rStyle w:val="Hyperlink"/>
          </w:rPr>
          <w:t>Print Geo Display</w:t>
        </w:r>
        <w:r>
          <w:rPr>
            <w:webHidden/>
          </w:rPr>
          <w:tab/>
        </w:r>
        <w:r>
          <w:rPr>
            <w:webHidden/>
          </w:rPr>
          <w:fldChar w:fldCharType="begin"/>
        </w:r>
        <w:r>
          <w:rPr>
            <w:webHidden/>
          </w:rPr>
          <w:instrText xml:space="preserve"> PAGEREF _Toc214283427 \h </w:instrText>
        </w:r>
        <w:r>
          <w:rPr>
            <w:webHidden/>
          </w:rPr>
        </w:r>
        <w:r>
          <w:rPr>
            <w:webHidden/>
          </w:rPr>
          <w:fldChar w:fldCharType="separate"/>
        </w:r>
        <w:r>
          <w:rPr>
            <w:webHidden/>
          </w:rPr>
          <w:t>284</w:t>
        </w:r>
        <w:r>
          <w:rPr>
            <w:webHidden/>
          </w:rPr>
          <w:fldChar w:fldCharType="end"/>
        </w:r>
      </w:hyperlink>
    </w:p>
    <w:p w14:paraId="6D2101A4" w14:textId="1CCE34BF" w:rsidR="00067371" w:rsidRDefault="00067371">
      <w:pPr>
        <w:pStyle w:val="TOC3"/>
        <w:rPr>
          <w:rFonts w:asciiTheme="minorHAnsi" w:eastAsiaTheme="minorEastAsia" w:hAnsiTheme="minorHAnsi" w:cstheme="minorBidi"/>
          <w:kern w:val="2"/>
          <w:sz w:val="24"/>
          <w:szCs w:val="24"/>
          <w14:ligatures w14:val="standardContextual"/>
        </w:rPr>
      </w:pPr>
      <w:hyperlink w:anchor="_Toc214283428" w:history="1">
        <w:r w:rsidRPr="008F4954">
          <w:rPr>
            <w:rStyle w:val="Hyperlink"/>
          </w:rPr>
          <w:t>5.26.5</w:t>
        </w:r>
        <w:r>
          <w:rPr>
            <w:rFonts w:asciiTheme="minorHAnsi" w:eastAsiaTheme="minorEastAsia" w:hAnsiTheme="minorHAnsi" w:cstheme="minorBidi"/>
            <w:kern w:val="2"/>
            <w:sz w:val="24"/>
            <w:szCs w:val="24"/>
            <w14:ligatures w14:val="standardContextual"/>
          </w:rPr>
          <w:tab/>
        </w:r>
        <w:r w:rsidRPr="008F4954">
          <w:rPr>
            <w:rStyle w:val="Hyperlink"/>
          </w:rPr>
          <w:t>Export</w:t>
        </w:r>
        <w:r>
          <w:rPr>
            <w:webHidden/>
          </w:rPr>
          <w:tab/>
        </w:r>
        <w:r>
          <w:rPr>
            <w:webHidden/>
          </w:rPr>
          <w:fldChar w:fldCharType="begin"/>
        </w:r>
        <w:r>
          <w:rPr>
            <w:webHidden/>
          </w:rPr>
          <w:instrText xml:space="preserve"> PAGEREF _Toc214283428 \h </w:instrText>
        </w:r>
        <w:r>
          <w:rPr>
            <w:webHidden/>
          </w:rPr>
        </w:r>
        <w:r>
          <w:rPr>
            <w:webHidden/>
          </w:rPr>
          <w:fldChar w:fldCharType="separate"/>
        </w:r>
        <w:r>
          <w:rPr>
            <w:webHidden/>
          </w:rPr>
          <w:t>284</w:t>
        </w:r>
        <w:r>
          <w:rPr>
            <w:webHidden/>
          </w:rPr>
          <w:fldChar w:fldCharType="end"/>
        </w:r>
      </w:hyperlink>
    </w:p>
    <w:p w14:paraId="2648D5E2" w14:textId="41B8CD2E" w:rsidR="00067371" w:rsidRDefault="00067371">
      <w:pPr>
        <w:pStyle w:val="TOC3"/>
        <w:rPr>
          <w:rFonts w:asciiTheme="minorHAnsi" w:eastAsiaTheme="minorEastAsia" w:hAnsiTheme="minorHAnsi" w:cstheme="minorBidi"/>
          <w:kern w:val="2"/>
          <w:sz w:val="24"/>
          <w:szCs w:val="24"/>
          <w14:ligatures w14:val="standardContextual"/>
        </w:rPr>
      </w:pPr>
      <w:hyperlink w:anchor="_Toc214283429" w:history="1">
        <w:r w:rsidRPr="008F4954">
          <w:rPr>
            <w:rStyle w:val="Hyperlink"/>
          </w:rPr>
          <w:t>5.26.6</w:t>
        </w:r>
        <w:r>
          <w:rPr>
            <w:rFonts w:asciiTheme="minorHAnsi" w:eastAsiaTheme="minorEastAsia" w:hAnsiTheme="minorHAnsi" w:cstheme="minorBidi"/>
            <w:kern w:val="2"/>
            <w:sz w:val="24"/>
            <w:szCs w:val="24"/>
            <w14:ligatures w14:val="standardContextual"/>
          </w:rPr>
          <w:tab/>
        </w:r>
        <w:r w:rsidRPr="008F4954">
          <w:rPr>
            <w:rStyle w:val="Hyperlink"/>
          </w:rPr>
          <w:t>Querying Map Features</w:t>
        </w:r>
        <w:r>
          <w:rPr>
            <w:webHidden/>
          </w:rPr>
          <w:tab/>
        </w:r>
        <w:r>
          <w:rPr>
            <w:webHidden/>
          </w:rPr>
          <w:fldChar w:fldCharType="begin"/>
        </w:r>
        <w:r>
          <w:rPr>
            <w:webHidden/>
          </w:rPr>
          <w:instrText xml:space="preserve"> PAGEREF _Toc214283429 \h </w:instrText>
        </w:r>
        <w:r>
          <w:rPr>
            <w:webHidden/>
          </w:rPr>
        </w:r>
        <w:r>
          <w:rPr>
            <w:webHidden/>
          </w:rPr>
          <w:fldChar w:fldCharType="separate"/>
        </w:r>
        <w:r>
          <w:rPr>
            <w:webHidden/>
          </w:rPr>
          <w:t>284</w:t>
        </w:r>
        <w:r>
          <w:rPr>
            <w:webHidden/>
          </w:rPr>
          <w:fldChar w:fldCharType="end"/>
        </w:r>
      </w:hyperlink>
    </w:p>
    <w:p w14:paraId="534208C1" w14:textId="5DEDD722" w:rsidR="00067371" w:rsidRDefault="00067371">
      <w:pPr>
        <w:pStyle w:val="TOC3"/>
        <w:rPr>
          <w:rFonts w:asciiTheme="minorHAnsi" w:eastAsiaTheme="minorEastAsia" w:hAnsiTheme="minorHAnsi" w:cstheme="minorBidi"/>
          <w:kern w:val="2"/>
          <w:sz w:val="24"/>
          <w:szCs w:val="24"/>
          <w14:ligatures w14:val="standardContextual"/>
        </w:rPr>
      </w:pPr>
      <w:hyperlink w:anchor="_Toc214283430" w:history="1">
        <w:r w:rsidRPr="008F4954">
          <w:rPr>
            <w:rStyle w:val="Hyperlink"/>
          </w:rPr>
          <w:t>5.26.7</w:t>
        </w:r>
        <w:r>
          <w:rPr>
            <w:rFonts w:asciiTheme="minorHAnsi" w:eastAsiaTheme="minorEastAsia" w:hAnsiTheme="minorHAnsi" w:cstheme="minorBidi"/>
            <w:kern w:val="2"/>
            <w:sz w:val="24"/>
            <w:szCs w:val="24"/>
            <w14:ligatures w14:val="standardContextual"/>
          </w:rPr>
          <w:tab/>
        </w:r>
        <w:r w:rsidRPr="008F4954">
          <w:rPr>
            <w:rStyle w:val="Hyperlink"/>
          </w:rPr>
          <w:t>Configuring the Geo Display</w:t>
        </w:r>
        <w:r>
          <w:rPr>
            <w:webHidden/>
          </w:rPr>
          <w:tab/>
        </w:r>
        <w:r>
          <w:rPr>
            <w:webHidden/>
          </w:rPr>
          <w:fldChar w:fldCharType="begin"/>
        </w:r>
        <w:r>
          <w:rPr>
            <w:webHidden/>
          </w:rPr>
          <w:instrText xml:space="preserve"> PAGEREF _Toc214283430 \h </w:instrText>
        </w:r>
        <w:r>
          <w:rPr>
            <w:webHidden/>
          </w:rPr>
        </w:r>
        <w:r>
          <w:rPr>
            <w:webHidden/>
          </w:rPr>
          <w:fldChar w:fldCharType="separate"/>
        </w:r>
        <w:r>
          <w:rPr>
            <w:webHidden/>
          </w:rPr>
          <w:t>285</w:t>
        </w:r>
        <w:r>
          <w:rPr>
            <w:webHidden/>
          </w:rPr>
          <w:fldChar w:fldCharType="end"/>
        </w:r>
      </w:hyperlink>
    </w:p>
    <w:p w14:paraId="2756C329" w14:textId="5B769D0A"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431" w:history="1">
        <w:r w:rsidRPr="008F4954">
          <w:rPr>
            <w:rStyle w:val="Hyperlink"/>
          </w:rPr>
          <w:t>5.27</w:t>
        </w:r>
        <w:r>
          <w:rPr>
            <w:rFonts w:asciiTheme="minorHAnsi" w:eastAsiaTheme="minorEastAsia" w:hAnsiTheme="minorHAnsi" w:cstheme="minorBidi"/>
            <w:smallCaps w:val="0"/>
            <w:kern w:val="2"/>
            <w:szCs w:val="24"/>
            <w14:ligatures w14:val="standardContextual"/>
          </w:rPr>
          <w:tab/>
        </w:r>
        <w:r w:rsidRPr="008F4954">
          <w:rPr>
            <w:rStyle w:val="Hyperlink"/>
          </w:rPr>
          <w:t>THREAT TOOL</w:t>
        </w:r>
        <w:r>
          <w:rPr>
            <w:webHidden/>
          </w:rPr>
          <w:tab/>
        </w:r>
        <w:r>
          <w:rPr>
            <w:webHidden/>
          </w:rPr>
          <w:fldChar w:fldCharType="begin"/>
        </w:r>
        <w:r>
          <w:rPr>
            <w:webHidden/>
          </w:rPr>
          <w:instrText xml:space="preserve"> PAGEREF _Toc214283431 \h </w:instrText>
        </w:r>
        <w:r>
          <w:rPr>
            <w:webHidden/>
          </w:rPr>
        </w:r>
        <w:r>
          <w:rPr>
            <w:webHidden/>
          </w:rPr>
          <w:fldChar w:fldCharType="separate"/>
        </w:r>
        <w:r>
          <w:rPr>
            <w:webHidden/>
          </w:rPr>
          <w:t>301</w:t>
        </w:r>
        <w:r>
          <w:rPr>
            <w:webHidden/>
          </w:rPr>
          <w:fldChar w:fldCharType="end"/>
        </w:r>
      </w:hyperlink>
    </w:p>
    <w:p w14:paraId="4689B6B7" w14:textId="1852EE13" w:rsidR="00067371" w:rsidRDefault="00067371">
      <w:pPr>
        <w:pStyle w:val="TOC3"/>
        <w:rPr>
          <w:rFonts w:asciiTheme="minorHAnsi" w:eastAsiaTheme="minorEastAsia" w:hAnsiTheme="minorHAnsi" w:cstheme="minorBidi"/>
          <w:kern w:val="2"/>
          <w:sz w:val="24"/>
          <w:szCs w:val="24"/>
          <w14:ligatures w14:val="standardContextual"/>
        </w:rPr>
      </w:pPr>
      <w:hyperlink w:anchor="_Toc214283432" w:history="1">
        <w:r w:rsidRPr="008F4954">
          <w:rPr>
            <w:rStyle w:val="Hyperlink"/>
          </w:rPr>
          <w:t>5.27.1</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_Toc214283432 \h </w:instrText>
        </w:r>
        <w:r>
          <w:rPr>
            <w:webHidden/>
          </w:rPr>
        </w:r>
        <w:r>
          <w:rPr>
            <w:webHidden/>
          </w:rPr>
          <w:fldChar w:fldCharType="separate"/>
        </w:r>
        <w:r>
          <w:rPr>
            <w:webHidden/>
          </w:rPr>
          <w:t>303</w:t>
        </w:r>
        <w:r>
          <w:rPr>
            <w:webHidden/>
          </w:rPr>
          <w:fldChar w:fldCharType="end"/>
        </w:r>
      </w:hyperlink>
    </w:p>
    <w:p w14:paraId="2C335483" w14:textId="27D9E12E" w:rsidR="00067371" w:rsidRDefault="00067371">
      <w:pPr>
        <w:pStyle w:val="TOC3"/>
        <w:rPr>
          <w:rFonts w:asciiTheme="minorHAnsi" w:eastAsiaTheme="minorEastAsia" w:hAnsiTheme="minorHAnsi" w:cstheme="minorBidi"/>
          <w:kern w:val="2"/>
          <w:sz w:val="24"/>
          <w:szCs w:val="24"/>
          <w14:ligatures w14:val="standardContextual"/>
        </w:rPr>
      </w:pPr>
      <w:hyperlink w:anchor="_Toc214283433" w:history="1">
        <w:r w:rsidRPr="008F4954">
          <w:rPr>
            <w:rStyle w:val="Hyperlink"/>
          </w:rPr>
          <w:t>5.27.2</w:t>
        </w:r>
        <w:r>
          <w:rPr>
            <w:rFonts w:asciiTheme="minorHAnsi" w:eastAsiaTheme="minorEastAsia" w:hAnsiTheme="minorHAnsi" w:cstheme="minorBidi"/>
            <w:kern w:val="2"/>
            <w:sz w:val="24"/>
            <w:szCs w:val="24"/>
            <w14:ligatures w14:val="standardContextual"/>
          </w:rPr>
          <w:tab/>
        </w:r>
        <w:r w:rsidRPr="008F4954">
          <w:rPr>
            <w:rStyle w:val="Hyperlink"/>
          </w:rPr>
          <w:t>Display Geographically</w:t>
        </w:r>
        <w:r>
          <w:rPr>
            <w:webHidden/>
          </w:rPr>
          <w:tab/>
        </w:r>
        <w:r>
          <w:rPr>
            <w:webHidden/>
          </w:rPr>
          <w:fldChar w:fldCharType="begin"/>
        </w:r>
        <w:r>
          <w:rPr>
            <w:webHidden/>
          </w:rPr>
          <w:instrText xml:space="preserve"> PAGEREF _Toc214283433 \h </w:instrText>
        </w:r>
        <w:r>
          <w:rPr>
            <w:webHidden/>
          </w:rPr>
        </w:r>
        <w:r>
          <w:rPr>
            <w:webHidden/>
          </w:rPr>
          <w:fldChar w:fldCharType="separate"/>
        </w:r>
        <w:r>
          <w:rPr>
            <w:webHidden/>
          </w:rPr>
          <w:t>307</w:t>
        </w:r>
        <w:r>
          <w:rPr>
            <w:webHidden/>
          </w:rPr>
          <w:fldChar w:fldCharType="end"/>
        </w:r>
      </w:hyperlink>
    </w:p>
    <w:p w14:paraId="483DEAC0" w14:textId="63CD6099" w:rsidR="00067371" w:rsidRDefault="00067371">
      <w:pPr>
        <w:pStyle w:val="TOC3"/>
        <w:rPr>
          <w:rFonts w:asciiTheme="minorHAnsi" w:eastAsiaTheme="minorEastAsia" w:hAnsiTheme="minorHAnsi" w:cstheme="minorBidi"/>
          <w:kern w:val="2"/>
          <w:sz w:val="24"/>
          <w:szCs w:val="24"/>
          <w14:ligatures w14:val="standardContextual"/>
        </w:rPr>
      </w:pPr>
      <w:hyperlink w:anchor="_Toc214283434" w:history="1">
        <w:r w:rsidRPr="008F4954">
          <w:rPr>
            <w:rStyle w:val="Hyperlink"/>
          </w:rPr>
          <w:t>5.27.3</w:t>
        </w:r>
        <w:r>
          <w:rPr>
            <w:rFonts w:asciiTheme="minorHAnsi" w:eastAsiaTheme="minorEastAsia" w:hAnsiTheme="minorHAnsi" w:cstheme="minorBidi"/>
            <w:kern w:val="2"/>
            <w:sz w:val="24"/>
            <w:szCs w:val="24"/>
            <w14:ligatures w14:val="standardContextual"/>
          </w:rPr>
          <w:tab/>
        </w:r>
        <w:r w:rsidRPr="008F4954">
          <w:rPr>
            <w:rStyle w:val="Hyperlink"/>
          </w:rPr>
          <w:t>Create New Threat</w:t>
        </w:r>
        <w:r>
          <w:rPr>
            <w:webHidden/>
          </w:rPr>
          <w:tab/>
        </w:r>
        <w:r>
          <w:rPr>
            <w:webHidden/>
          </w:rPr>
          <w:fldChar w:fldCharType="begin"/>
        </w:r>
        <w:r>
          <w:rPr>
            <w:webHidden/>
          </w:rPr>
          <w:instrText xml:space="preserve"> PAGEREF _Toc214283434 \h </w:instrText>
        </w:r>
        <w:r>
          <w:rPr>
            <w:webHidden/>
          </w:rPr>
        </w:r>
        <w:r>
          <w:rPr>
            <w:webHidden/>
          </w:rPr>
          <w:fldChar w:fldCharType="separate"/>
        </w:r>
        <w:r>
          <w:rPr>
            <w:webHidden/>
          </w:rPr>
          <w:t>307</w:t>
        </w:r>
        <w:r>
          <w:rPr>
            <w:webHidden/>
          </w:rPr>
          <w:fldChar w:fldCharType="end"/>
        </w:r>
      </w:hyperlink>
    </w:p>
    <w:p w14:paraId="0A639455" w14:textId="6807EF61" w:rsidR="00067371" w:rsidRDefault="00067371">
      <w:pPr>
        <w:pStyle w:val="TOC3"/>
        <w:rPr>
          <w:rFonts w:asciiTheme="minorHAnsi" w:eastAsiaTheme="minorEastAsia" w:hAnsiTheme="minorHAnsi" w:cstheme="minorBidi"/>
          <w:kern w:val="2"/>
          <w:sz w:val="24"/>
          <w:szCs w:val="24"/>
          <w14:ligatures w14:val="standardContextual"/>
        </w:rPr>
      </w:pPr>
      <w:hyperlink w:anchor="_Toc214283435" w:history="1">
        <w:r w:rsidRPr="008F4954">
          <w:rPr>
            <w:rStyle w:val="Hyperlink"/>
          </w:rPr>
          <w:t>5.27.4</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_Toc214283435 \h </w:instrText>
        </w:r>
        <w:r>
          <w:rPr>
            <w:webHidden/>
          </w:rPr>
        </w:r>
        <w:r>
          <w:rPr>
            <w:webHidden/>
          </w:rPr>
          <w:fldChar w:fldCharType="separate"/>
        </w:r>
        <w:r>
          <w:rPr>
            <w:webHidden/>
          </w:rPr>
          <w:t>308</w:t>
        </w:r>
        <w:r>
          <w:rPr>
            <w:webHidden/>
          </w:rPr>
          <w:fldChar w:fldCharType="end"/>
        </w:r>
      </w:hyperlink>
    </w:p>
    <w:p w14:paraId="293E266B" w14:textId="637E7F9A" w:rsidR="00067371" w:rsidRDefault="00067371">
      <w:pPr>
        <w:pStyle w:val="TOC3"/>
        <w:rPr>
          <w:rFonts w:asciiTheme="minorHAnsi" w:eastAsiaTheme="minorEastAsia" w:hAnsiTheme="minorHAnsi" w:cstheme="minorBidi"/>
          <w:kern w:val="2"/>
          <w:sz w:val="24"/>
          <w:szCs w:val="24"/>
          <w14:ligatures w14:val="standardContextual"/>
        </w:rPr>
      </w:pPr>
      <w:hyperlink w:anchor="_Toc214283436" w:history="1">
        <w:r w:rsidRPr="008F4954">
          <w:rPr>
            <w:rStyle w:val="Hyperlink"/>
          </w:rPr>
          <w:t>5.27.5</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_Toc214283436 \h </w:instrText>
        </w:r>
        <w:r>
          <w:rPr>
            <w:webHidden/>
          </w:rPr>
        </w:r>
        <w:r>
          <w:rPr>
            <w:webHidden/>
          </w:rPr>
          <w:fldChar w:fldCharType="separate"/>
        </w:r>
        <w:r>
          <w:rPr>
            <w:webHidden/>
          </w:rPr>
          <w:t>308</w:t>
        </w:r>
        <w:r>
          <w:rPr>
            <w:webHidden/>
          </w:rPr>
          <w:fldChar w:fldCharType="end"/>
        </w:r>
      </w:hyperlink>
    </w:p>
    <w:p w14:paraId="5054B0C9" w14:textId="13579435" w:rsidR="00067371" w:rsidRDefault="00067371">
      <w:pPr>
        <w:pStyle w:val="TOC3"/>
        <w:rPr>
          <w:rFonts w:asciiTheme="minorHAnsi" w:eastAsiaTheme="minorEastAsia" w:hAnsiTheme="minorHAnsi" w:cstheme="minorBidi"/>
          <w:kern w:val="2"/>
          <w:sz w:val="24"/>
          <w:szCs w:val="24"/>
          <w14:ligatures w14:val="standardContextual"/>
        </w:rPr>
      </w:pPr>
      <w:hyperlink w:anchor="_Toc214283437" w:history="1">
        <w:r w:rsidRPr="008F4954">
          <w:rPr>
            <w:rStyle w:val="Hyperlink"/>
          </w:rPr>
          <w:t>5.27.6</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_Toc214283437 \h </w:instrText>
        </w:r>
        <w:r>
          <w:rPr>
            <w:webHidden/>
          </w:rPr>
        </w:r>
        <w:r>
          <w:rPr>
            <w:webHidden/>
          </w:rPr>
          <w:fldChar w:fldCharType="separate"/>
        </w:r>
        <w:r>
          <w:rPr>
            <w:webHidden/>
          </w:rPr>
          <w:t>308</w:t>
        </w:r>
        <w:r>
          <w:rPr>
            <w:webHidden/>
          </w:rPr>
          <w:fldChar w:fldCharType="end"/>
        </w:r>
      </w:hyperlink>
    </w:p>
    <w:p w14:paraId="5C0EE7A9" w14:textId="463B5D47" w:rsidR="00067371" w:rsidRDefault="00067371">
      <w:pPr>
        <w:pStyle w:val="TOC3"/>
        <w:rPr>
          <w:rFonts w:asciiTheme="minorHAnsi" w:eastAsiaTheme="minorEastAsia" w:hAnsiTheme="minorHAnsi" w:cstheme="minorBidi"/>
          <w:kern w:val="2"/>
          <w:sz w:val="24"/>
          <w:szCs w:val="24"/>
          <w14:ligatures w14:val="standardContextual"/>
        </w:rPr>
      </w:pPr>
      <w:hyperlink w:anchor="_Toc214283438" w:history="1">
        <w:r w:rsidRPr="008F4954">
          <w:rPr>
            <w:rStyle w:val="Hyperlink"/>
          </w:rPr>
          <w:t>5.27.7</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_Toc214283438 \h </w:instrText>
        </w:r>
        <w:r>
          <w:rPr>
            <w:webHidden/>
          </w:rPr>
        </w:r>
        <w:r>
          <w:rPr>
            <w:webHidden/>
          </w:rPr>
          <w:fldChar w:fldCharType="separate"/>
        </w:r>
        <w:r>
          <w:rPr>
            <w:webHidden/>
          </w:rPr>
          <w:t>308</w:t>
        </w:r>
        <w:r>
          <w:rPr>
            <w:webHidden/>
          </w:rPr>
          <w:fldChar w:fldCharType="end"/>
        </w:r>
      </w:hyperlink>
    </w:p>
    <w:p w14:paraId="42DA13AA" w14:textId="4AD102E7" w:rsidR="00067371" w:rsidRDefault="00067371">
      <w:pPr>
        <w:pStyle w:val="TOC3"/>
        <w:rPr>
          <w:rFonts w:asciiTheme="minorHAnsi" w:eastAsiaTheme="minorEastAsia" w:hAnsiTheme="minorHAnsi" w:cstheme="minorBidi"/>
          <w:kern w:val="2"/>
          <w:sz w:val="24"/>
          <w:szCs w:val="24"/>
          <w14:ligatures w14:val="standardContextual"/>
        </w:rPr>
      </w:pPr>
      <w:hyperlink w:anchor="_Toc214283439" w:history="1">
        <w:r w:rsidRPr="008F4954">
          <w:rPr>
            <w:rStyle w:val="Hyperlink"/>
          </w:rPr>
          <w:t>5.27.8</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_Toc214283439 \h </w:instrText>
        </w:r>
        <w:r>
          <w:rPr>
            <w:webHidden/>
          </w:rPr>
        </w:r>
        <w:r>
          <w:rPr>
            <w:webHidden/>
          </w:rPr>
          <w:fldChar w:fldCharType="separate"/>
        </w:r>
        <w:r>
          <w:rPr>
            <w:webHidden/>
          </w:rPr>
          <w:t>308</w:t>
        </w:r>
        <w:r>
          <w:rPr>
            <w:webHidden/>
          </w:rPr>
          <w:fldChar w:fldCharType="end"/>
        </w:r>
      </w:hyperlink>
    </w:p>
    <w:p w14:paraId="43312F5C" w14:textId="118FB230" w:rsidR="00067371" w:rsidRDefault="00067371">
      <w:pPr>
        <w:pStyle w:val="TOC3"/>
        <w:rPr>
          <w:rFonts w:asciiTheme="minorHAnsi" w:eastAsiaTheme="minorEastAsia" w:hAnsiTheme="minorHAnsi" w:cstheme="minorBidi"/>
          <w:kern w:val="2"/>
          <w:sz w:val="24"/>
          <w:szCs w:val="24"/>
          <w14:ligatures w14:val="standardContextual"/>
        </w:rPr>
      </w:pPr>
      <w:hyperlink w:anchor="_Toc214283440" w:history="1">
        <w:r w:rsidRPr="008F4954">
          <w:rPr>
            <w:rStyle w:val="Hyperlink"/>
          </w:rPr>
          <w:t>5.27.9</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_Toc214283440 \h </w:instrText>
        </w:r>
        <w:r>
          <w:rPr>
            <w:webHidden/>
          </w:rPr>
        </w:r>
        <w:r>
          <w:rPr>
            <w:webHidden/>
          </w:rPr>
          <w:fldChar w:fldCharType="separate"/>
        </w:r>
        <w:r>
          <w:rPr>
            <w:webHidden/>
          </w:rPr>
          <w:t>309</w:t>
        </w:r>
        <w:r>
          <w:rPr>
            <w:webHidden/>
          </w:rPr>
          <w:fldChar w:fldCharType="end"/>
        </w:r>
      </w:hyperlink>
    </w:p>
    <w:p w14:paraId="50F2A4A7" w14:textId="129E42C5" w:rsidR="00067371" w:rsidRDefault="00067371">
      <w:pPr>
        <w:pStyle w:val="TOC3"/>
        <w:rPr>
          <w:rFonts w:asciiTheme="minorHAnsi" w:eastAsiaTheme="minorEastAsia" w:hAnsiTheme="minorHAnsi" w:cstheme="minorBidi"/>
          <w:kern w:val="2"/>
          <w:sz w:val="24"/>
          <w:szCs w:val="24"/>
          <w14:ligatures w14:val="standardContextual"/>
        </w:rPr>
      </w:pPr>
      <w:hyperlink w:anchor="_Toc214283441" w:history="1">
        <w:r w:rsidRPr="008F4954">
          <w:rPr>
            <w:rStyle w:val="Hyperlink"/>
          </w:rPr>
          <w:t>5.27.10</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_Toc214283441 \h </w:instrText>
        </w:r>
        <w:r>
          <w:rPr>
            <w:webHidden/>
          </w:rPr>
        </w:r>
        <w:r>
          <w:rPr>
            <w:webHidden/>
          </w:rPr>
          <w:fldChar w:fldCharType="separate"/>
        </w:r>
        <w:r>
          <w:rPr>
            <w:webHidden/>
          </w:rPr>
          <w:t>309</w:t>
        </w:r>
        <w:r>
          <w:rPr>
            <w:webHidden/>
          </w:rPr>
          <w:fldChar w:fldCharType="end"/>
        </w:r>
      </w:hyperlink>
    </w:p>
    <w:p w14:paraId="07A37868" w14:textId="72F3665A" w:rsidR="00067371" w:rsidRDefault="00067371">
      <w:pPr>
        <w:pStyle w:val="TOC3"/>
        <w:rPr>
          <w:rFonts w:asciiTheme="minorHAnsi" w:eastAsiaTheme="minorEastAsia" w:hAnsiTheme="minorHAnsi" w:cstheme="minorBidi"/>
          <w:kern w:val="2"/>
          <w:sz w:val="24"/>
          <w:szCs w:val="24"/>
          <w14:ligatures w14:val="standardContextual"/>
        </w:rPr>
      </w:pPr>
      <w:hyperlink w:anchor="_Toc214283442" w:history="1">
        <w:r w:rsidRPr="008F4954">
          <w:rPr>
            <w:rStyle w:val="Hyperlink"/>
          </w:rPr>
          <w:t>5.27.11</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_Toc214283442 \h </w:instrText>
        </w:r>
        <w:r>
          <w:rPr>
            <w:webHidden/>
          </w:rPr>
        </w:r>
        <w:r>
          <w:rPr>
            <w:webHidden/>
          </w:rPr>
          <w:fldChar w:fldCharType="separate"/>
        </w:r>
        <w:r>
          <w:rPr>
            <w:webHidden/>
          </w:rPr>
          <w:t>309</w:t>
        </w:r>
        <w:r>
          <w:rPr>
            <w:webHidden/>
          </w:rPr>
          <w:fldChar w:fldCharType="end"/>
        </w:r>
      </w:hyperlink>
    </w:p>
    <w:p w14:paraId="254EEA2D" w14:textId="6E6EB902"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443" w:history="1">
        <w:r w:rsidRPr="008F4954">
          <w:rPr>
            <w:rStyle w:val="Hyperlink"/>
          </w:rPr>
          <w:t>5.28</w:t>
        </w:r>
        <w:r>
          <w:rPr>
            <w:rFonts w:asciiTheme="minorHAnsi" w:eastAsiaTheme="minorEastAsia" w:hAnsiTheme="minorHAnsi" w:cstheme="minorBidi"/>
            <w:smallCaps w:val="0"/>
            <w:kern w:val="2"/>
            <w:szCs w:val="24"/>
            <w14:ligatures w14:val="standardContextual"/>
          </w:rPr>
          <w:tab/>
        </w:r>
        <w:r w:rsidRPr="008F4954">
          <w:rPr>
            <w:rStyle w:val="Hyperlink"/>
          </w:rPr>
          <w:t>TARGETS TOOL</w:t>
        </w:r>
        <w:r>
          <w:rPr>
            <w:webHidden/>
          </w:rPr>
          <w:tab/>
        </w:r>
        <w:r>
          <w:rPr>
            <w:webHidden/>
          </w:rPr>
          <w:fldChar w:fldCharType="begin"/>
        </w:r>
        <w:r>
          <w:rPr>
            <w:webHidden/>
          </w:rPr>
          <w:instrText xml:space="preserve"> PAGEREF _Toc214283443 \h </w:instrText>
        </w:r>
        <w:r>
          <w:rPr>
            <w:webHidden/>
          </w:rPr>
        </w:r>
        <w:r>
          <w:rPr>
            <w:webHidden/>
          </w:rPr>
          <w:fldChar w:fldCharType="separate"/>
        </w:r>
        <w:r>
          <w:rPr>
            <w:webHidden/>
          </w:rPr>
          <w:t>310</w:t>
        </w:r>
        <w:r>
          <w:rPr>
            <w:webHidden/>
          </w:rPr>
          <w:fldChar w:fldCharType="end"/>
        </w:r>
      </w:hyperlink>
    </w:p>
    <w:p w14:paraId="5F7A8342" w14:textId="6047B66F" w:rsidR="00067371" w:rsidRDefault="00067371">
      <w:pPr>
        <w:pStyle w:val="TOC3"/>
        <w:rPr>
          <w:rFonts w:asciiTheme="minorHAnsi" w:eastAsiaTheme="minorEastAsia" w:hAnsiTheme="minorHAnsi" w:cstheme="minorBidi"/>
          <w:kern w:val="2"/>
          <w:sz w:val="24"/>
          <w:szCs w:val="24"/>
          <w14:ligatures w14:val="standardContextual"/>
        </w:rPr>
      </w:pPr>
      <w:hyperlink w:anchor="_Toc214283444" w:history="1">
        <w:r w:rsidRPr="008F4954">
          <w:rPr>
            <w:rStyle w:val="Hyperlink"/>
          </w:rPr>
          <w:t>5.28.1</w:t>
        </w:r>
        <w:r>
          <w:rPr>
            <w:rFonts w:asciiTheme="minorHAnsi" w:eastAsiaTheme="minorEastAsia" w:hAnsiTheme="minorHAnsi" w:cstheme="minorBidi"/>
            <w:kern w:val="2"/>
            <w:sz w:val="24"/>
            <w:szCs w:val="24"/>
            <w14:ligatures w14:val="standardContextual"/>
          </w:rPr>
          <w:tab/>
        </w:r>
        <w:r w:rsidRPr="008F4954">
          <w:rPr>
            <w:rStyle w:val="Hyperlink"/>
          </w:rPr>
          <w:t>Add New Target</w:t>
        </w:r>
        <w:r>
          <w:rPr>
            <w:webHidden/>
          </w:rPr>
          <w:tab/>
        </w:r>
        <w:r>
          <w:rPr>
            <w:webHidden/>
          </w:rPr>
          <w:fldChar w:fldCharType="begin"/>
        </w:r>
        <w:r>
          <w:rPr>
            <w:webHidden/>
          </w:rPr>
          <w:instrText xml:space="preserve"> PAGEREF _Toc214283444 \h </w:instrText>
        </w:r>
        <w:r>
          <w:rPr>
            <w:webHidden/>
          </w:rPr>
        </w:r>
        <w:r>
          <w:rPr>
            <w:webHidden/>
          </w:rPr>
          <w:fldChar w:fldCharType="separate"/>
        </w:r>
        <w:r>
          <w:rPr>
            <w:webHidden/>
          </w:rPr>
          <w:t>310</w:t>
        </w:r>
        <w:r>
          <w:rPr>
            <w:webHidden/>
          </w:rPr>
          <w:fldChar w:fldCharType="end"/>
        </w:r>
      </w:hyperlink>
    </w:p>
    <w:p w14:paraId="7A0A5CAE" w14:textId="2B6F5151" w:rsidR="00067371" w:rsidRDefault="00067371">
      <w:pPr>
        <w:pStyle w:val="TOC3"/>
        <w:rPr>
          <w:rFonts w:asciiTheme="minorHAnsi" w:eastAsiaTheme="minorEastAsia" w:hAnsiTheme="minorHAnsi" w:cstheme="minorBidi"/>
          <w:kern w:val="2"/>
          <w:sz w:val="24"/>
          <w:szCs w:val="24"/>
          <w14:ligatures w14:val="standardContextual"/>
        </w:rPr>
      </w:pPr>
      <w:hyperlink w:anchor="_Toc214283445" w:history="1">
        <w:r w:rsidRPr="008F4954">
          <w:rPr>
            <w:rStyle w:val="Hyperlink"/>
          </w:rPr>
          <w:t>5.28.2</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_Toc214283445 \h </w:instrText>
        </w:r>
        <w:r>
          <w:rPr>
            <w:webHidden/>
          </w:rPr>
        </w:r>
        <w:r>
          <w:rPr>
            <w:webHidden/>
          </w:rPr>
          <w:fldChar w:fldCharType="separate"/>
        </w:r>
        <w:r>
          <w:rPr>
            <w:webHidden/>
          </w:rPr>
          <w:t>313</w:t>
        </w:r>
        <w:r>
          <w:rPr>
            <w:webHidden/>
          </w:rPr>
          <w:fldChar w:fldCharType="end"/>
        </w:r>
      </w:hyperlink>
    </w:p>
    <w:p w14:paraId="7A927A04" w14:textId="5D68CCDA" w:rsidR="00067371" w:rsidRDefault="00067371">
      <w:pPr>
        <w:pStyle w:val="TOC3"/>
        <w:rPr>
          <w:rFonts w:asciiTheme="minorHAnsi" w:eastAsiaTheme="minorEastAsia" w:hAnsiTheme="minorHAnsi" w:cstheme="minorBidi"/>
          <w:kern w:val="2"/>
          <w:sz w:val="24"/>
          <w:szCs w:val="24"/>
          <w14:ligatures w14:val="standardContextual"/>
        </w:rPr>
      </w:pPr>
      <w:hyperlink w:anchor="_Toc214283446" w:history="1">
        <w:r w:rsidRPr="008F4954">
          <w:rPr>
            <w:rStyle w:val="Hyperlink"/>
          </w:rPr>
          <w:t>5.28.3</w:t>
        </w:r>
        <w:r>
          <w:rPr>
            <w:rFonts w:asciiTheme="minorHAnsi" w:eastAsiaTheme="minorEastAsia" w:hAnsiTheme="minorHAnsi" w:cstheme="minorBidi"/>
            <w:kern w:val="2"/>
            <w:sz w:val="24"/>
            <w:szCs w:val="24"/>
            <w14:ligatures w14:val="standardContextual"/>
          </w:rPr>
          <w:tab/>
        </w:r>
        <w:r w:rsidRPr="008F4954">
          <w:rPr>
            <w:rStyle w:val="Hyperlink"/>
          </w:rPr>
          <w:t>Display Geographically</w:t>
        </w:r>
        <w:r>
          <w:rPr>
            <w:webHidden/>
          </w:rPr>
          <w:tab/>
        </w:r>
        <w:r>
          <w:rPr>
            <w:webHidden/>
          </w:rPr>
          <w:fldChar w:fldCharType="begin"/>
        </w:r>
        <w:r>
          <w:rPr>
            <w:webHidden/>
          </w:rPr>
          <w:instrText xml:space="preserve"> PAGEREF _Toc214283446 \h </w:instrText>
        </w:r>
        <w:r>
          <w:rPr>
            <w:webHidden/>
          </w:rPr>
        </w:r>
        <w:r>
          <w:rPr>
            <w:webHidden/>
          </w:rPr>
          <w:fldChar w:fldCharType="separate"/>
        </w:r>
        <w:r>
          <w:rPr>
            <w:webHidden/>
          </w:rPr>
          <w:t>315</w:t>
        </w:r>
        <w:r>
          <w:rPr>
            <w:webHidden/>
          </w:rPr>
          <w:fldChar w:fldCharType="end"/>
        </w:r>
      </w:hyperlink>
    </w:p>
    <w:p w14:paraId="605FE090" w14:textId="29BD5F77" w:rsidR="00067371" w:rsidRDefault="00067371">
      <w:pPr>
        <w:pStyle w:val="TOC3"/>
        <w:rPr>
          <w:rFonts w:asciiTheme="minorHAnsi" w:eastAsiaTheme="minorEastAsia" w:hAnsiTheme="minorHAnsi" w:cstheme="minorBidi"/>
          <w:kern w:val="2"/>
          <w:sz w:val="24"/>
          <w:szCs w:val="24"/>
          <w14:ligatures w14:val="standardContextual"/>
        </w:rPr>
      </w:pPr>
      <w:hyperlink w:anchor="_Toc214283447" w:history="1">
        <w:r w:rsidRPr="008F4954">
          <w:rPr>
            <w:rStyle w:val="Hyperlink"/>
          </w:rPr>
          <w:t>5.28.4</w:t>
        </w:r>
        <w:r>
          <w:rPr>
            <w:rFonts w:asciiTheme="minorHAnsi" w:eastAsiaTheme="minorEastAsia" w:hAnsiTheme="minorHAnsi" w:cstheme="minorBidi"/>
            <w:kern w:val="2"/>
            <w:sz w:val="24"/>
            <w:szCs w:val="24"/>
            <w14:ligatures w14:val="standardContextual"/>
          </w:rPr>
          <w:tab/>
        </w:r>
        <w:r w:rsidRPr="008F4954">
          <w:rPr>
            <w:rStyle w:val="Hyperlink"/>
          </w:rPr>
          <w:t>Display References</w:t>
        </w:r>
        <w:r>
          <w:rPr>
            <w:webHidden/>
          </w:rPr>
          <w:tab/>
        </w:r>
        <w:r>
          <w:rPr>
            <w:webHidden/>
          </w:rPr>
          <w:fldChar w:fldCharType="begin"/>
        </w:r>
        <w:r>
          <w:rPr>
            <w:webHidden/>
          </w:rPr>
          <w:instrText xml:space="preserve"> PAGEREF _Toc214283447 \h </w:instrText>
        </w:r>
        <w:r>
          <w:rPr>
            <w:webHidden/>
          </w:rPr>
        </w:r>
        <w:r>
          <w:rPr>
            <w:webHidden/>
          </w:rPr>
          <w:fldChar w:fldCharType="separate"/>
        </w:r>
        <w:r>
          <w:rPr>
            <w:webHidden/>
          </w:rPr>
          <w:t>315</w:t>
        </w:r>
        <w:r>
          <w:rPr>
            <w:webHidden/>
          </w:rPr>
          <w:fldChar w:fldCharType="end"/>
        </w:r>
      </w:hyperlink>
    </w:p>
    <w:p w14:paraId="5936F0EB" w14:textId="755B783D" w:rsidR="00067371" w:rsidRDefault="00067371">
      <w:pPr>
        <w:pStyle w:val="TOC3"/>
        <w:rPr>
          <w:rFonts w:asciiTheme="minorHAnsi" w:eastAsiaTheme="minorEastAsia" w:hAnsiTheme="minorHAnsi" w:cstheme="minorBidi"/>
          <w:kern w:val="2"/>
          <w:sz w:val="24"/>
          <w:szCs w:val="24"/>
          <w14:ligatures w14:val="standardContextual"/>
        </w:rPr>
      </w:pPr>
      <w:hyperlink w:anchor="_Toc214283448" w:history="1">
        <w:r w:rsidRPr="008F4954">
          <w:rPr>
            <w:rStyle w:val="Hyperlink"/>
          </w:rPr>
          <w:t>5.28.5</w:t>
        </w:r>
        <w:r>
          <w:rPr>
            <w:rFonts w:asciiTheme="minorHAnsi" w:eastAsiaTheme="minorEastAsia" w:hAnsiTheme="minorHAnsi" w:cstheme="minorBidi"/>
            <w:kern w:val="2"/>
            <w:sz w:val="24"/>
            <w:szCs w:val="24"/>
            <w14:ligatures w14:val="standardContextual"/>
          </w:rPr>
          <w:tab/>
        </w:r>
        <w:r w:rsidRPr="008F4954">
          <w:rPr>
            <w:rStyle w:val="Hyperlink"/>
            <w:bCs/>
          </w:rPr>
          <w:t xml:space="preserve">Display </w:t>
        </w:r>
        <w:r w:rsidRPr="008F4954">
          <w:rPr>
            <w:rStyle w:val="Hyperlink"/>
          </w:rPr>
          <w:t>Target Numbers in Excel</w:t>
        </w:r>
        <w:r>
          <w:rPr>
            <w:webHidden/>
          </w:rPr>
          <w:tab/>
        </w:r>
        <w:r>
          <w:rPr>
            <w:webHidden/>
          </w:rPr>
          <w:fldChar w:fldCharType="begin"/>
        </w:r>
        <w:r>
          <w:rPr>
            <w:webHidden/>
          </w:rPr>
          <w:instrText xml:space="preserve"> PAGEREF _Toc214283448 \h </w:instrText>
        </w:r>
        <w:r>
          <w:rPr>
            <w:webHidden/>
          </w:rPr>
        </w:r>
        <w:r>
          <w:rPr>
            <w:webHidden/>
          </w:rPr>
          <w:fldChar w:fldCharType="separate"/>
        </w:r>
        <w:r>
          <w:rPr>
            <w:webHidden/>
          </w:rPr>
          <w:t>315</w:t>
        </w:r>
        <w:r>
          <w:rPr>
            <w:webHidden/>
          </w:rPr>
          <w:fldChar w:fldCharType="end"/>
        </w:r>
      </w:hyperlink>
    </w:p>
    <w:p w14:paraId="2BC543D6" w14:textId="6F54740D" w:rsidR="00067371" w:rsidRDefault="00067371">
      <w:pPr>
        <w:pStyle w:val="TOC3"/>
        <w:rPr>
          <w:rFonts w:asciiTheme="minorHAnsi" w:eastAsiaTheme="minorEastAsia" w:hAnsiTheme="minorHAnsi" w:cstheme="minorBidi"/>
          <w:kern w:val="2"/>
          <w:sz w:val="24"/>
          <w:szCs w:val="24"/>
          <w14:ligatures w14:val="standardContextual"/>
        </w:rPr>
      </w:pPr>
      <w:hyperlink w:anchor="_Toc214283449" w:history="1">
        <w:r w:rsidRPr="008F4954">
          <w:rPr>
            <w:rStyle w:val="Hyperlink"/>
          </w:rPr>
          <w:t>5.28.6</w:t>
        </w:r>
        <w:r>
          <w:rPr>
            <w:rFonts w:asciiTheme="minorHAnsi" w:eastAsiaTheme="minorEastAsia" w:hAnsiTheme="minorHAnsi" w:cstheme="minorBidi"/>
            <w:kern w:val="2"/>
            <w:sz w:val="24"/>
            <w:szCs w:val="24"/>
            <w14:ligatures w14:val="standardContextual"/>
          </w:rPr>
          <w:tab/>
        </w:r>
        <w:r w:rsidRPr="008F4954">
          <w:rPr>
            <w:rStyle w:val="Hyperlink"/>
          </w:rPr>
          <w:t>Target Number</w:t>
        </w:r>
        <w:r>
          <w:rPr>
            <w:webHidden/>
          </w:rPr>
          <w:tab/>
        </w:r>
        <w:r>
          <w:rPr>
            <w:webHidden/>
          </w:rPr>
          <w:fldChar w:fldCharType="begin"/>
        </w:r>
        <w:r>
          <w:rPr>
            <w:webHidden/>
          </w:rPr>
          <w:instrText xml:space="preserve"> PAGEREF _Toc214283449 \h </w:instrText>
        </w:r>
        <w:r>
          <w:rPr>
            <w:webHidden/>
          </w:rPr>
        </w:r>
        <w:r>
          <w:rPr>
            <w:webHidden/>
          </w:rPr>
          <w:fldChar w:fldCharType="separate"/>
        </w:r>
        <w:r>
          <w:rPr>
            <w:webHidden/>
          </w:rPr>
          <w:t>315</w:t>
        </w:r>
        <w:r>
          <w:rPr>
            <w:webHidden/>
          </w:rPr>
          <w:fldChar w:fldCharType="end"/>
        </w:r>
      </w:hyperlink>
    </w:p>
    <w:p w14:paraId="49C821C3" w14:textId="736C9739" w:rsidR="00067371" w:rsidRDefault="00067371">
      <w:pPr>
        <w:pStyle w:val="TOC3"/>
        <w:rPr>
          <w:rFonts w:asciiTheme="minorHAnsi" w:eastAsiaTheme="minorEastAsia" w:hAnsiTheme="minorHAnsi" w:cstheme="minorBidi"/>
          <w:kern w:val="2"/>
          <w:sz w:val="24"/>
          <w:szCs w:val="24"/>
          <w14:ligatures w14:val="standardContextual"/>
        </w:rPr>
      </w:pPr>
      <w:hyperlink w:anchor="_Toc214283450" w:history="1">
        <w:r w:rsidRPr="008F4954">
          <w:rPr>
            <w:rStyle w:val="Hyperlink"/>
          </w:rPr>
          <w:t>5.28.7</w:t>
        </w:r>
        <w:r>
          <w:rPr>
            <w:rFonts w:asciiTheme="minorHAnsi" w:eastAsiaTheme="minorEastAsia" w:hAnsiTheme="minorHAnsi" w:cstheme="minorBidi"/>
            <w:kern w:val="2"/>
            <w:sz w:val="24"/>
            <w:szCs w:val="24"/>
            <w14:ligatures w14:val="standardContextual"/>
          </w:rPr>
          <w:tab/>
        </w:r>
        <w:r w:rsidRPr="008F4954">
          <w:rPr>
            <w:rStyle w:val="Hyperlink"/>
          </w:rPr>
          <w:t>Create TMPR</w:t>
        </w:r>
        <w:r>
          <w:rPr>
            <w:webHidden/>
          </w:rPr>
          <w:tab/>
        </w:r>
        <w:r>
          <w:rPr>
            <w:webHidden/>
          </w:rPr>
          <w:fldChar w:fldCharType="begin"/>
        </w:r>
        <w:r>
          <w:rPr>
            <w:webHidden/>
          </w:rPr>
          <w:instrText xml:space="preserve"> PAGEREF _Toc214283450 \h </w:instrText>
        </w:r>
        <w:r>
          <w:rPr>
            <w:webHidden/>
          </w:rPr>
        </w:r>
        <w:r>
          <w:rPr>
            <w:webHidden/>
          </w:rPr>
          <w:fldChar w:fldCharType="separate"/>
        </w:r>
        <w:r>
          <w:rPr>
            <w:webHidden/>
          </w:rPr>
          <w:t>316</w:t>
        </w:r>
        <w:r>
          <w:rPr>
            <w:webHidden/>
          </w:rPr>
          <w:fldChar w:fldCharType="end"/>
        </w:r>
      </w:hyperlink>
    </w:p>
    <w:p w14:paraId="1DC41873" w14:textId="176222CF" w:rsidR="00067371" w:rsidRDefault="00067371">
      <w:pPr>
        <w:pStyle w:val="TOC3"/>
        <w:rPr>
          <w:rFonts w:asciiTheme="minorHAnsi" w:eastAsiaTheme="minorEastAsia" w:hAnsiTheme="minorHAnsi" w:cstheme="minorBidi"/>
          <w:kern w:val="2"/>
          <w:sz w:val="24"/>
          <w:szCs w:val="24"/>
          <w14:ligatures w14:val="standardContextual"/>
        </w:rPr>
      </w:pPr>
      <w:hyperlink w:anchor="_Toc214283451" w:history="1">
        <w:r w:rsidRPr="008F4954">
          <w:rPr>
            <w:rStyle w:val="Hyperlink"/>
          </w:rPr>
          <w:t>5.28.8</w:t>
        </w:r>
        <w:r>
          <w:rPr>
            <w:rFonts w:asciiTheme="minorHAnsi" w:eastAsiaTheme="minorEastAsia" w:hAnsiTheme="minorHAnsi" w:cstheme="minorBidi"/>
            <w:kern w:val="2"/>
            <w:sz w:val="24"/>
            <w:szCs w:val="24"/>
            <w14:ligatures w14:val="standardContextual"/>
          </w:rPr>
          <w:tab/>
        </w:r>
        <w:r w:rsidRPr="008F4954">
          <w:rPr>
            <w:rStyle w:val="Hyperlink"/>
          </w:rPr>
          <w:t>Create Target Library</w:t>
        </w:r>
        <w:r>
          <w:rPr>
            <w:webHidden/>
          </w:rPr>
          <w:tab/>
        </w:r>
        <w:r>
          <w:rPr>
            <w:webHidden/>
          </w:rPr>
          <w:fldChar w:fldCharType="begin"/>
        </w:r>
        <w:r>
          <w:rPr>
            <w:webHidden/>
          </w:rPr>
          <w:instrText xml:space="preserve"> PAGEREF _Toc214283451 \h </w:instrText>
        </w:r>
        <w:r>
          <w:rPr>
            <w:webHidden/>
          </w:rPr>
        </w:r>
        <w:r>
          <w:rPr>
            <w:webHidden/>
          </w:rPr>
          <w:fldChar w:fldCharType="separate"/>
        </w:r>
        <w:r>
          <w:rPr>
            <w:webHidden/>
          </w:rPr>
          <w:t>317</w:t>
        </w:r>
        <w:r>
          <w:rPr>
            <w:webHidden/>
          </w:rPr>
          <w:fldChar w:fldCharType="end"/>
        </w:r>
      </w:hyperlink>
    </w:p>
    <w:p w14:paraId="06EAA8C1" w14:textId="24EF637A" w:rsidR="00067371" w:rsidRDefault="00067371">
      <w:pPr>
        <w:pStyle w:val="TOC3"/>
        <w:rPr>
          <w:rFonts w:asciiTheme="minorHAnsi" w:eastAsiaTheme="minorEastAsia" w:hAnsiTheme="minorHAnsi" w:cstheme="minorBidi"/>
          <w:kern w:val="2"/>
          <w:sz w:val="24"/>
          <w:szCs w:val="24"/>
          <w14:ligatures w14:val="standardContextual"/>
        </w:rPr>
      </w:pPr>
      <w:hyperlink w:anchor="_Toc214283452" w:history="1">
        <w:r w:rsidRPr="008F4954">
          <w:rPr>
            <w:rStyle w:val="Hyperlink"/>
          </w:rPr>
          <w:t>5.28.9</w:t>
        </w:r>
        <w:r>
          <w:rPr>
            <w:rFonts w:asciiTheme="minorHAnsi" w:eastAsiaTheme="minorEastAsia" w:hAnsiTheme="minorHAnsi" w:cstheme="minorBidi"/>
            <w:kern w:val="2"/>
            <w:sz w:val="24"/>
            <w:szCs w:val="24"/>
            <w14:ligatures w14:val="standardContextual"/>
          </w:rPr>
          <w:tab/>
        </w:r>
        <w:r w:rsidRPr="008F4954">
          <w:rPr>
            <w:rStyle w:val="Hyperlink"/>
          </w:rPr>
          <w:t>Create TED Library</w:t>
        </w:r>
        <w:r>
          <w:rPr>
            <w:webHidden/>
          </w:rPr>
          <w:tab/>
        </w:r>
        <w:r>
          <w:rPr>
            <w:webHidden/>
          </w:rPr>
          <w:fldChar w:fldCharType="begin"/>
        </w:r>
        <w:r>
          <w:rPr>
            <w:webHidden/>
          </w:rPr>
          <w:instrText xml:space="preserve"> PAGEREF _Toc214283452 \h </w:instrText>
        </w:r>
        <w:r>
          <w:rPr>
            <w:webHidden/>
          </w:rPr>
        </w:r>
        <w:r>
          <w:rPr>
            <w:webHidden/>
          </w:rPr>
          <w:fldChar w:fldCharType="separate"/>
        </w:r>
        <w:r>
          <w:rPr>
            <w:webHidden/>
          </w:rPr>
          <w:t>318</w:t>
        </w:r>
        <w:r>
          <w:rPr>
            <w:webHidden/>
          </w:rPr>
          <w:fldChar w:fldCharType="end"/>
        </w:r>
      </w:hyperlink>
    </w:p>
    <w:p w14:paraId="7358B7B2" w14:textId="2C51F8E3" w:rsidR="00067371" w:rsidRDefault="00067371">
      <w:pPr>
        <w:pStyle w:val="TOC3"/>
        <w:rPr>
          <w:rFonts w:asciiTheme="minorHAnsi" w:eastAsiaTheme="minorEastAsia" w:hAnsiTheme="minorHAnsi" w:cstheme="minorBidi"/>
          <w:kern w:val="2"/>
          <w:sz w:val="24"/>
          <w:szCs w:val="24"/>
          <w14:ligatures w14:val="standardContextual"/>
        </w:rPr>
      </w:pPr>
      <w:hyperlink w:anchor="_Toc214283453" w:history="1">
        <w:r w:rsidRPr="008F4954">
          <w:rPr>
            <w:rStyle w:val="Hyperlink"/>
          </w:rPr>
          <w:t>5.28.10</w:t>
        </w:r>
        <w:r>
          <w:rPr>
            <w:rFonts w:asciiTheme="minorHAnsi" w:eastAsiaTheme="minorEastAsia" w:hAnsiTheme="minorHAnsi" w:cstheme="minorBidi"/>
            <w:kern w:val="2"/>
            <w:sz w:val="24"/>
            <w:szCs w:val="24"/>
            <w14:ligatures w14:val="standardContextual"/>
          </w:rPr>
          <w:tab/>
        </w:r>
        <w:r w:rsidRPr="008F4954">
          <w:rPr>
            <w:rStyle w:val="Hyperlink"/>
          </w:rPr>
          <w:t>JIPTLs</w:t>
        </w:r>
        <w:r>
          <w:rPr>
            <w:webHidden/>
          </w:rPr>
          <w:tab/>
        </w:r>
        <w:r>
          <w:rPr>
            <w:webHidden/>
          </w:rPr>
          <w:fldChar w:fldCharType="begin"/>
        </w:r>
        <w:r>
          <w:rPr>
            <w:webHidden/>
          </w:rPr>
          <w:instrText xml:space="preserve"> PAGEREF _Toc214283453 \h </w:instrText>
        </w:r>
        <w:r>
          <w:rPr>
            <w:webHidden/>
          </w:rPr>
        </w:r>
        <w:r>
          <w:rPr>
            <w:webHidden/>
          </w:rPr>
          <w:fldChar w:fldCharType="separate"/>
        </w:r>
        <w:r>
          <w:rPr>
            <w:webHidden/>
          </w:rPr>
          <w:t>318</w:t>
        </w:r>
        <w:r>
          <w:rPr>
            <w:webHidden/>
          </w:rPr>
          <w:fldChar w:fldCharType="end"/>
        </w:r>
      </w:hyperlink>
    </w:p>
    <w:p w14:paraId="2D8C21B9" w14:textId="48D47C84" w:rsidR="00067371" w:rsidRDefault="00067371">
      <w:pPr>
        <w:pStyle w:val="TOC3"/>
        <w:rPr>
          <w:rFonts w:asciiTheme="minorHAnsi" w:eastAsiaTheme="minorEastAsia" w:hAnsiTheme="minorHAnsi" w:cstheme="minorBidi"/>
          <w:kern w:val="2"/>
          <w:sz w:val="24"/>
          <w:szCs w:val="24"/>
          <w14:ligatures w14:val="standardContextual"/>
        </w:rPr>
      </w:pPr>
      <w:hyperlink w:anchor="_Toc214283454" w:history="1">
        <w:r w:rsidRPr="008F4954">
          <w:rPr>
            <w:rStyle w:val="Hyperlink"/>
          </w:rPr>
          <w:t>5.28.11</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_Toc214283454 \h </w:instrText>
        </w:r>
        <w:r>
          <w:rPr>
            <w:webHidden/>
          </w:rPr>
        </w:r>
        <w:r>
          <w:rPr>
            <w:webHidden/>
          </w:rPr>
          <w:fldChar w:fldCharType="separate"/>
        </w:r>
        <w:r>
          <w:rPr>
            <w:webHidden/>
          </w:rPr>
          <w:t>322</w:t>
        </w:r>
        <w:r>
          <w:rPr>
            <w:webHidden/>
          </w:rPr>
          <w:fldChar w:fldCharType="end"/>
        </w:r>
      </w:hyperlink>
    </w:p>
    <w:p w14:paraId="73F68BFF" w14:textId="60CE7099" w:rsidR="00067371" w:rsidRDefault="00067371">
      <w:pPr>
        <w:pStyle w:val="TOC3"/>
        <w:rPr>
          <w:rFonts w:asciiTheme="minorHAnsi" w:eastAsiaTheme="minorEastAsia" w:hAnsiTheme="minorHAnsi" w:cstheme="minorBidi"/>
          <w:kern w:val="2"/>
          <w:sz w:val="24"/>
          <w:szCs w:val="24"/>
          <w14:ligatures w14:val="standardContextual"/>
        </w:rPr>
      </w:pPr>
      <w:hyperlink w:anchor="_Toc214283455" w:history="1">
        <w:r w:rsidRPr="008F4954">
          <w:rPr>
            <w:rStyle w:val="Hyperlink"/>
          </w:rPr>
          <w:t>5.28.12</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_Toc214283455 \h </w:instrText>
        </w:r>
        <w:r>
          <w:rPr>
            <w:webHidden/>
          </w:rPr>
        </w:r>
        <w:r>
          <w:rPr>
            <w:webHidden/>
          </w:rPr>
          <w:fldChar w:fldCharType="separate"/>
        </w:r>
        <w:r>
          <w:rPr>
            <w:webHidden/>
          </w:rPr>
          <w:t>322</w:t>
        </w:r>
        <w:r>
          <w:rPr>
            <w:webHidden/>
          </w:rPr>
          <w:fldChar w:fldCharType="end"/>
        </w:r>
      </w:hyperlink>
    </w:p>
    <w:p w14:paraId="5465B504" w14:textId="424F51B1" w:rsidR="00067371" w:rsidRDefault="00067371">
      <w:pPr>
        <w:pStyle w:val="TOC3"/>
        <w:rPr>
          <w:rFonts w:asciiTheme="minorHAnsi" w:eastAsiaTheme="minorEastAsia" w:hAnsiTheme="minorHAnsi" w:cstheme="minorBidi"/>
          <w:kern w:val="2"/>
          <w:sz w:val="24"/>
          <w:szCs w:val="24"/>
          <w14:ligatures w14:val="standardContextual"/>
        </w:rPr>
      </w:pPr>
      <w:hyperlink w:anchor="_Toc214283456" w:history="1">
        <w:r w:rsidRPr="008F4954">
          <w:rPr>
            <w:rStyle w:val="Hyperlink"/>
          </w:rPr>
          <w:t>5.28.13</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_Toc214283456 \h </w:instrText>
        </w:r>
        <w:r>
          <w:rPr>
            <w:webHidden/>
          </w:rPr>
        </w:r>
        <w:r>
          <w:rPr>
            <w:webHidden/>
          </w:rPr>
          <w:fldChar w:fldCharType="separate"/>
        </w:r>
        <w:r>
          <w:rPr>
            <w:webHidden/>
          </w:rPr>
          <w:t>323</w:t>
        </w:r>
        <w:r>
          <w:rPr>
            <w:webHidden/>
          </w:rPr>
          <w:fldChar w:fldCharType="end"/>
        </w:r>
      </w:hyperlink>
    </w:p>
    <w:p w14:paraId="5CDE2C33" w14:textId="5BD6B0BA" w:rsidR="00067371" w:rsidRDefault="00067371">
      <w:pPr>
        <w:pStyle w:val="TOC3"/>
        <w:rPr>
          <w:rFonts w:asciiTheme="minorHAnsi" w:eastAsiaTheme="minorEastAsia" w:hAnsiTheme="minorHAnsi" w:cstheme="minorBidi"/>
          <w:kern w:val="2"/>
          <w:sz w:val="24"/>
          <w:szCs w:val="24"/>
          <w14:ligatures w14:val="standardContextual"/>
        </w:rPr>
      </w:pPr>
      <w:hyperlink w:anchor="_Toc214283457" w:history="1">
        <w:r w:rsidRPr="008F4954">
          <w:rPr>
            <w:rStyle w:val="Hyperlink"/>
          </w:rPr>
          <w:t>5.28.14</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_Toc214283457 \h </w:instrText>
        </w:r>
        <w:r>
          <w:rPr>
            <w:webHidden/>
          </w:rPr>
        </w:r>
        <w:r>
          <w:rPr>
            <w:webHidden/>
          </w:rPr>
          <w:fldChar w:fldCharType="separate"/>
        </w:r>
        <w:r>
          <w:rPr>
            <w:webHidden/>
          </w:rPr>
          <w:t>323</w:t>
        </w:r>
        <w:r>
          <w:rPr>
            <w:webHidden/>
          </w:rPr>
          <w:fldChar w:fldCharType="end"/>
        </w:r>
      </w:hyperlink>
    </w:p>
    <w:p w14:paraId="525280E2" w14:textId="72115977" w:rsidR="00067371" w:rsidRDefault="00067371">
      <w:pPr>
        <w:pStyle w:val="TOC3"/>
        <w:rPr>
          <w:rFonts w:asciiTheme="minorHAnsi" w:eastAsiaTheme="minorEastAsia" w:hAnsiTheme="minorHAnsi" w:cstheme="minorBidi"/>
          <w:kern w:val="2"/>
          <w:sz w:val="24"/>
          <w:szCs w:val="24"/>
          <w14:ligatures w14:val="standardContextual"/>
        </w:rPr>
      </w:pPr>
      <w:hyperlink w:anchor="_Toc214283458" w:history="1">
        <w:r w:rsidRPr="008F4954">
          <w:rPr>
            <w:rStyle w:val="Hyperlink"/>
          </w:rPr>
          <w:t>5.28.15</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_Toc214283458 \h </w:instrText>
        </w:r>
        <w:r>
          <w:rPr>
            <w:webHidden/>
          </w:rPr>
        </w:r>
        <w:r>
          <w:rPr>
            <w:webHidden/>
          </w:rPr>
          <w:fldChar w:fldCharType="separate"/>
        </w:r>
        <w:r>
          <w:rPr>
            <w:webHidden/>
          </w:rPr>
          <w:t>323</w:t>
        </w:r>
        <w:r>
          <w:rPr>
            <w:webHidden/>
          </w:rPr>
          <w:fldChar w:fldCharType="end"/>
        </w:r>
      </w:hyperlink>
    </w:p>
    <w:p w14:paraId="42274E92" w14:textId="4DE0FA78" w:rsidR="00067371" w:rsidRDefault="00067371">
      <w:pPr>
        <w:pStyle w:val="TOC3"/>
        <w:rPr>
          <w:rFonts w:asciiTheme="minorHAnsi" w:eastAsiaTheme="minorEastAsia" w:hAnsiTheme="minorHAnsi" w:cstheme="minorBidi"/>
          <w:kern w:val="2"/>
          <w:sz w:val="24"/>
          <w:szCs w:val="24"/>
          <w14:ligatures w14:val="standardContextual"/>
        </w:rPr>
      </w:pPr>
      <w:hyperlink w:anchor="_Toc214283459" w:history="1">
        <w:r w:rsidRPr="008F4954">
          <w:rPr>
            <w:rStyle w:val="Hyperlink"/>
          </w:rPr>
          <w:t>5.28.16</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_Toc214283459 \h </w:instrText>
        </w:r>
        <w:r>
          <w:rPr>
            <w:webHidden/>
          </w:rPr>
        </w:r>
        <w:r>
          <w:rPr>
            <w:webHidden/>
          </w:rPr>
          <w:fldChar w:fldCharType="separate"/>
        </w:r>
        <w:r>
          <w:rPr>
            <w:webHidden/>
          </w:rPr>
          <w:t>323</w:t>
        </w:r>
        <w:r>
          <w:rPr>
            <w:webHidden/>
          </w:rPr>
          <w:fldChar w:fldCharType="end"/>
        </w:r>
      </w:hyperlink>
    </w:p>
    <w:p w14:paraId="78FE032A" w14:textId="4C1F8AC4" w:rsidR="00067371" w:rsidRDefault="00067371">
      <w:pPr>
        <w:pStyle w:val="TOC3"/>
        <w:rPr>
          <w:rFonts w:asciiTheme="minorHAnsi" w:eastAsiaTheme="minorEastAsia" w:hAnsiTheme="minorHAnsi" w:cstheme="minorBidi"/>
          <w:kern w:val="2"/>
          <w:sz w:val="24"/>
          <w:szCs w:val="24"/>
          <w14:ligatures w14:val="standardContextual"/>
        </w:rPr>
      </w:pPr>
      <w:hyperlink w:anchor="_Toc214283460" w:history="1">
        <w:r w:rsidRPr="008F4954">
          <w:rPr>
            <w:rStyle w:val="Hyperlink"/>
          </w:rPr>
          <w:t>5.28.17</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_Toc214283460 \h </w:instrText>
        </w:r>
        <w:r>
          <w:rPr>
            <w:webHidden/>
          </w:rPr>
        </w:r>
        <w:r>
          <w:rPr>
            <w:webHidden/>
          </w:rPr>
          <w:fldChar w:fldCharType="separate"/>
        </w:r>
        <w:r>
          <w:rPr>
            <w:webHidden/>
          </w:rPr>
          <w:t>323</w:t>
        </w:r>
        <w:r>
          <w:rPr>
            <w:webHidden/>
          </w:rPr>
          <w:fldChar w:fldCharType="end"/>
        </w:r>
      </w:hyperlink>
    </w:p>
    <w:p w14:paraId="43CC5114" w14:textId="4024B651" w:rsidR="00067371" w:rsidRDefault="00067371">
      <w:pPr>
        <w:pStyle w:val="TOC3"/>
        <w:rPr>
          <w:rFonts w:asciiTheme="minorHAnsi" w:eastAsiaTheme="minorEastAsia" w:hAnsiTheme="minorHAnsi" w:cstheme="minorBidi"/>
          <w:kern w:val="2"/>
          <w:sz w:val="24"/>
          <w:szCs w:val="24"/>
          <w14:ligatures w14:val="standardContextual"/>
        </w:rPr>
      </w:pPr>
      <w:hyperlink w:anchor="_Toc214283461" w:history="1">
        <w:r w:rsidRPr="008F4954">
          <w:rPr>
            <w:rStyle w:val="Hyperlink"/>
          </w:rPr>
          <w:t>5.28.18</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_Toc214283461 \h </w:instrText>
        </w:r>
        <w:r>
          <w:rPr>
            <w:webHidden/>
          </w:rPr>
        </w:r>
        <w:r>
          <w:rPr>
            <w:webHidden/>
          </w:rPr>
          <w:fldChar w:fldCharType="separate"/>
        </w:r>
        <w:r>
          <w:rPr>
            <w:webHidden/>
          </w:rPr>
          <w:t>323</w:t>
        </w:r>
        <w:r>
          <w:rPr>
            <w:webHidden/>
          </w:rPr>
          <w:fldChar w:fldCharType="end"/>
        </w:r>
      </w:hyperlink>
    </w:p>
    <w:p w14:paraId="104F389F" w14:textId="69D89226"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462" w:history="1">
        <w:r w:rsidRPr="008F4954">
          <w:rPr>
            <w:rStyle w:val="Hyperlink"/>
          </w:rPr>
          <w:t>5.29</w:t>
        </w:r>
        <w:r>
          <w:rPr>
            <w:rFonts w:asciiTheme="minorHAnsi" w:eastAsiaTheme="minorEastAsia" w:hAnsiTheme="minorHAnsi" w:cstheme="minorBidi"/>
            <w:smallCaps w:val="0"/>
            <w:kern w:val="2"/>
            <w:szCs w:val="24"/>
            <w14:ligatures w14:val="standardContextual"/>
          </w:rPr>
          <w:tab/>
        </w:r>
        <w:r w:rsidRPr="008F4954">
          <w:rPr>
            <w:rStyle w:val="Hyperlink"/>
          </w:rPr>
          <w:t>ACMS TOOL</w:t>
        </w:r>
        <w:r>
          <w:rPr>
            <w:webHidden/>
          </w:rPr>
          <w:tab/>
        </w:r>
        <w:r>
          <w:rPr>
            <w:webHidden/>
          </w:rPr>
          <w:fldChar w:fldCharType="begin"/>
        </w:r>
        <w:r>
          <w:rPr>
            <w:webHidden/>
          </w:rPr>
          <w:instrText xml:space="preserve"> PAGEREF _Toc214283462 \h </w:instrText>
        </w:r>
        <w:r>
          <w:rPr>
            <w:webHidden/>
          </w:rPr>
        </w:r>
        <w:r>
          <w:rPr>
            <w:webHidden/>
          </w:rPr>
          <w:fldChar w:fldCharType="separate"/>
        </w:r>
        <w:r>
          <w:rPr>
            <w:webHidden/>
          </w:rPr>
          <w:t>324</w:t>
        </w:r>
        <w:r>
          <w:rPr>
            <w:webHidden/>
          </w:rPr>
          <w:fldChar w:fldCharType="end"/>
        </w:r>
      </w:hyperlink>
    </w:p>
    <w:p w14:paraId="4A3BE2C2" w14:textId="21FC02B7" w:rsidR="00067371" w:rsidRDefault="00067371">
      <w:pPr>
        <w:pStyle w:val="TOC3"/>
        <w:rPr>
          <w:rFonts w:asciiTheme="minorHAnsi" w:eastAsiaTheme="minorEastAsia" w:hAnsiTheme="minorHAnsi" w:cstheme="minorBidi"/>
          <w:kern w:val="2"/>
          <w:sz w:val="24"/>
          <w:szCs w:val="24"/>
          <w14:ligatures w14:val="standardContextual"/>
        </w:rPr>
      </w:pPr>
      <w:hyperlink w:anchor="_Toc214283463" w:history="1">
        <w:r w:rsidRPr="008F4954">
          <w:rPr>
            <w:rStyle w:val="Hyperlink"/>
          </w:rPr>
          <w:t>5.29.1</w:t>
        </w:r>
        <w:r>
          <w:rPr>
            <w:rFonts w:asciiTheme="minorHAnsi" w:eastAsiaTheme="minorEastAsia" w:hAnsiTheme="minorHAnsi" w:cstheme="minorBidi"/>
            <w:kern w:val="2"/>
            <w:sz w:val="24"/>
            <w:szCs w:val="24"/>
            <w14:ligatures w14:val="standardContextual"/>
          </w:rPr>
          <w:tab/>
        </w:r>
        <w:r w:rsidRPr="008F4954">
          <w:rPr>
            <w:rStyle w:val="Hyperlink"/>
          </w:rPr>
          <w:t>Create New ACMS</w:t>
        </w:r>
        <w:r>
          <w:rPr>
            <w:webHidden/>
          </w:rPr>
          <w:tab/>
        </w:r>
        <w:r>
          <w:rPr>
            <w:webHidden/>
          </w:rPr>
          <w:fldChar w:fldCharType="begin"/>
        </w:r>
        <w:r>
          <w:rPr>
            <w:webHidden/>
          </w:rPr>
          <w:instrText xml:space="preserve"> PAGEREF _Toc214283463 \h </w:instrText>
        </w:r>
        <w:r>
          <w:rPr>
            <w:webHidden/>
          </w:rPr>
        </w:r>
        <w:r>
          <w:rPr>
            <w:webHidden/>
          </w:rPr>
          <w:fldChar w:fldCharType="separate"/>
        </w:r>
        <w:r>
          <w:rPr>
            <w:webHidden/>
          </w:rPr>
          <w:t>324</w:t>
        </w:r>
        <w:r>
          <w:rPr>
            <w:webHidden/>
          </w:rPr>
          <w:fldChar w:fldCharType="end"/>
        </w:r>
      </w:hyperlink>
    </w:p>
    <w:p w14:paraId="767712C0" w14:textId="28C49185" w:rsidR="00067371" w:rsidRDefault="00067371">
      <w:pPr>
        <w:pStyle w:val="TOC3"/>
        <w:rPr>
          <w:rFonts w:asciiTheme="minorHAnsi" w:eastAsiaTheme="minorEastAsia" w:hAnsiTheme="minorHAnsi" w:cstheme="minorBidi"/>
          <w:kern w:val="2"/>
          <w:sz w:val="24"/>
          <w:szCs w:val="24"/>
          <w14:ligatures w14:val="standardContextual"/>
        </w:rPr>
      </w:pPr>
      <w:hyperlink w:anchor="_Toc214283464" w:history="1">
        <w:r w:rsidRPr="008F4954">
          <w:rPr>
            <w:rStyle w:val="Hyperlink"/>
          </w:rPr>
          <w:t>5.29.2</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_Toc214283464 \h </w:instrText>
        </w:r>
        <w:r>
          <w:rPr>
            <w:webHidden/>
          </w:rPr>
        </w:r>
        <w:r>
          <w:rPr>
            <w:webHidden/>
          </w:rPr>
          <w:fldChar w:fldCharType="separate"/>
        </w:r>
        <w:r>
          <w:rPr>
            <w:webHidden/>
          </w:rPr>
          <w:t>334</w:t>
        </w:r>
        <w:r>
          <w:rPr>
            <w:webHidden/>
          </w:rPr>
          <w:fldChar w:fldCharType="end"/>
        </w:r>
      </w:hyperlink>
    </w:p>
    <w:p w14:paraId="51174DA1" w14:textId="236D5873" w:rsidR="00067371" w:rsidRDefault="00067371">
      <w:pPr>
        <w:pStyle w:val="TOC3"/>
        <w:rPr>
          <w:rFonts w:asciiTheme="minorHAnsi" w:eastAsiaTheme="minorEastAsia" w:hAnsiTheme="minorHAnsi" w:cstheme="minorBidi"/>
          <w:kern w:val="2"/>
          <w:sz w:val="24"/>
          <w:szCs w:val="24"/>
          <w14:ligatures w14:val="standardContextual"/>
        </w:rPr>
      </w:pPr>
      <w:hyperlink w:anchor="_Toc214283465" w:history="1">
        <w:r w:rsidRPr="008F4954">
          <w:rPr>
            <w:rStyle w:val="Hyperlink"/>
          </w:rPr>
          <w:t>5.29.3</w:t>
        </w:r>
        <w:r>
          <w:rPr>
            <w:rFonts w:asciiTheme="minorHAnsi" w:eastAsiaTheme="minorEastAsia" w:hAnsiTheme="minorHAnsi" w:cstheme="minorBidi"/>
            <w:kern w:val="2"/>
            <w:sz w:val="24"/>
            <w:szCs w:val="24"/>
            <w14:ligatures w14:val="standardContextual"/>
          </w:rPr>
          <w:tab/>
        </w:r>
        <w:r w:rsidRPr="008F4954">
          <w:rPr>
            <w:rStyle w:val="Hyperlink"/>
          </w:rPr>
          <w:t>Display Geographically</w:t>
        </w:r>
        <w:r>
          <w:rPr>
            <w:webHidden/>
          </w:rPr>
          <w:tab/>
        </w:r>
        <w:r>
          <w:rPr>
            <w:webHidden/>
          </w:rPr>
          <w:fldChar w:fldCharType="begin"/>
        </w:r>
        <w:r>
          <w:rPr>
            <w:webHidden/>
          </w:rPr>
          <w:instrText xml:space="preserve"> PAGEREF _Toc214283465 \h </w:instrText>
        </w:r>
        <w:r>
          <w:rPr>
            <w:webHidden/>
          </w:rPr>
        </w:r>
        <w:r>
          <w:rPr>
            <w:webHidden/>
          </w:rPr>
          <w:fldChar w:fldCharType="separate"/>
        </w:r>
        <w:r>
          <w:rPr>
            <w:webHidden/>
          </w:rPr>
          <w:t>334</w:t>
        </w:r>
        <w:r>
          <w:rPr>
            <w:webHidden/>
          </w:rPr>
          <w:fldChar w:fldCharType="end"/>
        </w:r>
      </w:hyperlink>
    </w:p>
    <w:p w14:paraId="0609F953" w14:textId="19483A07" w:rsidR="00067371" w:rsidRDefault="00067371">
      <w:pPr>
        <w:pStyle w:val="TOC3"/>
        <w:rPr>
          <w:rFonts w:asciiTheme="minorHAnsi" w:eastAsiaTheme="minorEastAsia" w:hAnsiTheme="minorHAnsi" w:cstheme="minorBidi"/>
          <w:kern w:val="2"/>
          <w:sz w:val="24"/>
          <w:szCs w:val="24"/>
          <w14:ligatures w14:val="standardContextual"/>
        </w:rPr>
      </w:pPr>
      <w:hyperlink w:anchor="_Toc214283466" w:history="1">
        <w:r w:rsidRPr="008F4954">
          <w:rPr>
            <w:rStyle w:val="Hyperlink"/>
          </w:rPr>
          <w:t>5.29.4</w:t>
        </w:r>
        <w:r>
          <w:rPr>
            <w:rFonts w:asciiTheme="minorHAnsi" w:eastAsiaTheme="minorEastAsia" w:hAnsiTheme="minorHAnsi" w:cstheme="minorBidi"/>
            <w:kern w:val="2"/>
            <w:sz w:val="24"/>
            <w:szCs w:val="24"/>
            <w14:ligatures w14:val="standardContextual"/>
          </w:rPr>
          <w:tab/>
        </w:r>
        <w:r w:rsidRPr="008F4954">
          <w:rPr>
            <w:rStyle w:val="Hyperlink"/>
          </w:rPr>
          <w:t>Filter</w:t>
        </w:r>
        <w:r>
          <w:rPr>
            <w:webHidden/>
          </w:rPr>
          <w:tab/>
        </w:r>
        <w:r>
          <w:rPr>
            <w:webHidden/>
          </w:rPr>
          <w:fldChar w:fldCharType="begin"/>
        </w:r>
        <w:r>
          <w:rPr>
            <w:webHidden/>
          </w:rPr>
          <w:instrText xml:space="preserve"> PAGEREF _Toc214283466 \h </w:instrText>
        </w:r>
        <w:r>
          <w:rPr>
            <w:webHidden/>
          </w:rPr>
        </w:r>
        <w:r>
          <w:rPr>
            <w:webHidden/>
          </w:rPr>
          <w:fldChar w:fldCharType="separate"/>
        </w:r>
        <w:r>
          <w:rPr>
            <w:webHidden/>
          </w:rPr>
          <w:t>334</w:t>
        </w:r>
        <w:r>
          <w:rPr>
            <w:webHidden/>
          </w:rPr>
          <w:fldChar w:fldCharType="end"/>
        </w:r>
      </w:hyperlink>
    </w:p>
    <w:p w14:paraId="47AEA4D7" w14:textId="70862846" w:rsidR="00067371" w:rsidRDefault="00067371">
      <w:pPr>
        <w:pStyle w:val="TOC3"/>
        <w:rPr>
          <w:rFonts w:asciiTheme="minorHAnsi" w:eastAsiaTheme="minorEastAsia" w:hAnsiTheme="minorHAnsi" w:cstheme="minorBidi"/>
          <w:kern w:val="2"/>
          <w:sz w:val="24"/>
          <w:szCs w:val="24"/>
          <w14:ligatures w14:val="standardContextual"/>
        </w:rPr>
      </w:pPr>
      <w:hyperlink w:anchor="_Toc214283467" w:history="1">
        <w:r w:rsidRPr="008F4954">
          <w:rPr>
            <w:rStyle w:val="Hyperlink"/>
          </w:rPr>
          <w:t>5.29.5</w:t>
        </w:r>
        <w:r>
          <w:rPr>
            <w:rFonts w:asciiTheme="minorHAnsi" w:eastAsiaTheme="minorEastAsia" w:hAnsiTheme="minorHAnsi" w:cstheme="minorBidi"/>
            <w:kern w:val="2"/>
            <w:sz w:val="24"/>
            <w:szCs w:val="24"/>
            <w14:ligatures w14:val="standardContextual"/>
          </w:rPr>
          <w:tab/>
        </w:r>
        <w:r w:rsidRPr="008F4954">
          <w:rPr>
            <w:rStyle w:val="Hyperlink"/>
          </w:rPr>
          <w:t>Edit Color, Style, and Width Properties</w:t>
        </w:r>
        <w:r>
          <w:rPr>
            <w:webHidden/>
          </w:rPr>
          <w:tab/>
        </w:r>
        <w:r>
          <w:rPr>
            <w:webHidden/>
          </w:rPr>
          <w:fldChar w:fldCharType="begin"/>
        </w:r>
        <w:r>
          <w:rPr>
            <w:webHidden/>
          </w:rPr>
          <w:instrText xml:space="preserve"> PAGEREF _Toc214283467 \h </w:instrText>
        </w:r>
        <w:r>
          <w:rPr>
            <w:webHidden/>
          </w:rPr>
        </w:r>
        <w:r>
          <w:rPr>
            <w:webHidden/>
          </w:rPr>
          <w:fldChar w:fldCharType="separate"/>
        </w:r>
        <w:r>
          <w:rPr>
            <w:webHidden/>
          </w:rPr>
          <w:t>334</w:t>
        </w:r>
        <w:r>
          <w:rPr>
            <w:webHidden/>
          </w:rPr>
          <w:fldChar w:fldCharType="end"/>
        </w:r>
      </w:hyperlink>
    </w:p>
    <w:p w14:paraId="11F6B515" w14:textId="28EE64FF" w:rsidR="00067371" w:rsidRDefault="00067371">
      <w:pPr>
        <w:pStyle w:val="TOC3"/>
        <w:rPr>
          <w:rFonts w:asciiTheme="minorHAnsi" w:eastAsiaTheme="minorEastAsia" w:hAnsiTheme="minorHAnsi" w:cstheme="minorBidi"/>
          <w:kern w:val="2"/>
          <w:sz w:val="24"/>
          <w:szCs w:val="24"/>
          <w14:ligatures w14:val="standardContextual"/>
        </w:rPr>
      </w:pPr>
      <w:hyperlink w:anchor="_Toc214283468" w:history="1">
        <w:r w:rsidRPr="008F4954">
          <w:rPr>
            <w:rStyle w:val="Hyperlink"/>
          </w:rPr>
          <w:t>5.29.6</w:t>
        </w:r>
        <w:r>
          <w:rPr>
            <w:rFonts w:asciiTheme="minorHAnsi" w:eastAsiaTheme="minorEastAsia" w:hAnsiTheme="minorHAnsi" w:cstheme="minorBidi"/>
            <w:kern w:val="2"/>
            <w:sz w:val="24"/>
            <w:szCs w:val="24"/>
            <w14:ligatures w14:val="standardContextual"/>
          </w:rPr>
          <w:tab/>
        </w:r>
        <w:r w:rsidRPr="008F4954">
          <w:rPr>
            <w:rStyle w:val="Hyperlink"/>
          </w:rPr>
          <w:t>Create ACMS Library</w:t>
        </w:r>
        <w:r>
          <w:rPr>
            <w:webHidden/>
          </w:rPr>
          <w:tab/>
        </w:r>
        <w:r>
          <w:rPr>
            <w:webHidden/>
          </w:rPr>
          <w:fldChar w:fldCharType="begin"/>
        </w:r>
        <w:r>
          <w:rPr>
            <w:webHidden/>
          </w:rPr>
          <w:instrText xml:space="preserve"> PAGEREF _Toc214283468 \h </w:instrText>
        </w:r>
        <w:r>
          <w:rPr>
            <w:webHidden/>
          </w:rPr>
        </w:r>
        <w:r>
          <w:rPr>
            <w:webHidden/>
          </w:rPr>
          <w:fldChar w:fldCharType="separate"/>
        </w:r>
        <w:r>
          <w:rPr>
            <w:webHidden/>
          </w:rPr>
          <w:t>335</w:t>
        </w:r>
        <w:r>
          <w:rPr>
            <w:webHidden/>
          </w:rPr>
          <w:fldChar w:fldCharType="end"/>
        </w:r>
      </w:hyperlink>
    </w:p>
    <w:p w14:paraId="408DAC76" w14:textId="504E8B04" w:rsidR="00067371" w:rsidRDefault="00067371">
      <w:pPr>
        <w:pStyle w:val="TOC3"/>
        <w:rPr>
          <w:rFonts w:asciiTheme="minorHAnsi" w:eastAsiaTheme="minorEastAsia" w:hAnsiTheme="minorHAnsi" w:cstheme="minorBidi"/>
          <w:kern w:val="2"/>
          <w:sz w:val="24"/>
          <w:szCs w:val="24"/>
          <w14:ligatures w14:val="standardContextual"/>
        </w:rPr>
      </w:pPr>
      <w:hyperlink w:anchor="_Toc214283469" w:history="1">
        <w:r w:rsidRPr="008F4954">
          <w:rPr>
            <w:rStyle w:val="Hyperlink"/>
          </w:rPr>
          <w:t>5.29.7</w:t>
        </w:r>
        <w:r>
          <w:rPr>
            <w:rFonts w:asciiTheme="minorHAnsi" w:eastAsiaTheme="minorEastAsia" w:hAnsiTheme="minorHAnsi" w:cstheme="minorBidi"/>
            <w:kern w:val="2"/>
            <w:sz w:val="24"/>
            <w:szCs w:val="24"/>
            <w14:ligatures w14:val="standardContextual"/>
          </w:rPr>
          <w:tab/>
        </w:r>
        <w:r w:rsidRPr="008F4954">
          <w:rPr>
            <w:rStyle w:val="Hyperlink"/>
          </w:rPr>
          <w:t>Create TED Library</w:t>
        </w:r>
        <w:r>
          <w:rPr>
            <w:webHidden/>
          </w:rPr>
          <w:tab/>
        </w:r>
        <w:r>
          <w:rPr>
            <w:webHidden/>
          </w:rPr>
          <w:fldChar w:fldCharType="begin"/>
        </w:r>
        <w:r>
          <w:rPr>
            <w:webHidden/>
          </w:rPr>
          <w:instrText xml:space="preserve"> PAGEREF _Toc214283469 \h </w:instrText>
        </w:r>
        <w:r>
          <w:rPr>
            <w:webHidden/>
          </w:rPr>
        </w:r>
        <w:r>
          <w:rPr>
            <w:webHidden/>
          </w:rPr>
          <w:fldChar w:fldCharType="separate"/>
        </w:r>
        <w:r>
          <w:rPr>
            <w:webHidden/>
          </w:rPr>
          <w:t>336</w:t>
        </w:r>
        <w:r>
          <w:rPr>
            <w:webHidden/>
          </w:rPr>
          <w:fldChar w:fldCharType="end"/>
        </w:r>
      </w:hyperlink>
    </w:p>
    <w:p w14:paraId="161E0FCC" w14:textId="3050B6A6" w:rsidR="00067371" w:rsidRDefault="00067371">
      <w:pPr>
        <w:pStyle w:val="TOC3"/>
        <w:rPr>
          <w:rFonts w:asciiTheme="minorHAnsi" w:eastAsiaTheme="minorEastAsia" w:hAnsiTheme="minorHAnsi" w:cstheme="minorBidi"/>
          <w:kern w:val="2"/>
          <w:sz w:val="24"/>
          <w:szCs w:val="24"/>
          <w14:ligatures w14:val="standardContextual"/>
        </w:rPr>
      </w:pPr>
      <w:hyperlink w:anchor="_Toc214283470" w:history="1">
        <w:r w:rsidRPr="008F4954">
          <w:rPr>
            <w:rStyle w:val="Hyperlink"/>
          </w:rPr>
          <w:t>5.29.8</w:t>
        </w:r>
        <w:r>
          <w:rPr>
            <w:rFonts w:asciiTheme="minorHAnsi" w:eastAsiaTheme="minorEastAsia" w:hAnsiTheme="minorHAnsi" w:cstheme="minorBidi"/>
            <w:kern w:val="2"/>
            <w:sz w:val="24"/>
            <w:szCs w:val="24"/>
            <w14:ligatures w14:val="standardContextual"/>
          </w:rPr>
          <w:tab/>
        </w:r>
        <w:r w:rsidRPr="008F4954">
          <w:rPr>
            <w:rStyle w:val="Hyperlink"/>
          </w:rPr>
          <w:t>Send</w:t>
        </w:r>
        <w:r>
          <w:rPr>
            <w:webHidden/>
          </w:rPr>
          <w:tab/>
        </w:r>
        <w:r>
          <w:rPr>
            <w:webHidden/>
          </w:rPr>
          <w:fldChar w:fldCharType="begin"/>
        </w:r>
        <w:r>
          <w:rPr>
            <w:webHidden/>
          </w:rPr>
          <w:instrText xml:space="preserve"> PAGEREF _Toc214283470 \h </w:instrText>
        </w:r>
        <w:r>
          <w:rPr>
            <w:webHidden/>
          </w:rPr>
        </w:r>
        <w:r>
          <w:rPr>
            <w:webHidden/>
          </w:rPr>
          <w:fldChar w:fldCharType="separate"/>
        </w:r>
        <w:r>
          <w:rPr>
            <w:webHidden/>
          </w:rPr>
          <w:t>336</w:t>
        </w:r>
        <w:r>
          <w:rPr>
            <w:webHidden/>
          </w:rPr>
          <w:fldChar w:fldCharType="end"/>
        </w:r>
      </w:hyperlink>
    </w:p>
    <w:p w14:paraId="1A50D24A" w14:textId="5E6274AB" w:rsidR="00067371" w:rsidRDefault="00067371">
      <w:pPr>
        <w:pStyle w:val="TOC3"/>
        <w:rPr>
          <w:rFonts w:asciiTheme="minorHAnsi" w:eastAsiaTheme="minorEastAsia" w:hAnsiTheme="minorHAnsi" w:cstheme="minorBidi"/>
          <w:kern w:val="2"/>
          <w:sz w:val="24"/>
          <w:szCs w:val="24"/>
          <w14:ligatures w14:val="standardContextual"/>
        </w:rPr>
      </w:pPr>
      <w:hyperlink w:anchor="_Toc214283471" w:history="1">
        <w:r w:rsidRPr="008F4954">
          <w:rPr>
            <w:rStyle w:val="Hyperlink"/>
          </w:rPr>
          <w:t>5.29.9</w:t>
        </w:r>
        <w:r>
          <w:rPr>
            <w:rFonts w:asciiTheme="minorHAnsi" w:eastAsiaTheme="minorEastAsia" w:hAnsiTheme="minorHAnsi" w:cstheme="minorBidi"/>
            <w:kern w:val="2"/>
            <w:sz w:val="24"/>
            <w:szCs w:val="24"/>
            <w14:ligatures w14:val="standardContextual"/>
          </w:rPr>
          <w:tab/>
        </w:r>
        <w:r w:rsidRPr="008F4954">
          <w:rPr>
            <w:rStyle w:val="Hyperlink"/>
          </w:rPr>
          <w:t>Display References</w:t>
        </w:r>
        <w:r>
          <w:rPr>
            <w:webHidden/>
          </w:rPr>
          <w:tab/>
        </w:r>
        <w:r>
          <w:rPr>
            <w:webHidden/>
          </w:rPr>
          <w:fldChar w:fldCharType="begin"/>
        </w:r>
        <w:r>
          <w:rPr>
            <w:webHidden/>
          </w:rPr>
          <w:instrText xml:space="preserve"> PAGEREF _Toc214283471 \h </w:instrText>
        </w:r>
        <w:r>
          <w:rPr>
            <w:webHidden/>
          </w:rPr>
        </w:r>
        <w:r>
          <w:rPr>
            <w:webHidden/>
          </w:rPr>
          <w:fldChar w:fldCharType="separate"/>
        </w:r>
        <w:r>
          <w:rPr>
            <w:webHidden/>
          </w:rPr>
          <w:t>337</w:t>
        </w:r>
        <w:r>
          <w:rPr>
            <w:webHidden/>
          </w:rPr>
          <w:fldChar w:fldCharType="end"/>
        </w:r>
      </w:hyperlink>
    </w:p>
    <w:p w14:paraId="29A017CF" w14:textId="0637EADA" w:rsidR="00067371" w:rsidRDefault="00067371">
      <w:pPr>
        <w:pStyle w:val="TOC3"/>
        <w:rPr>
          <w:rFonts w:asciiTheme="minorHAnsi" w:eastAsiaTheme="minorEastAsia" w:hAnsiTheme="minorHAnsi" w:cstheme="minorBidi"/>
          <w:kern w:val="2"/>
          <w:sz w:val="24"/>
          <w:szCs w:val="24"/>
          <w14:ligatures w14:val="standardContextual"/>
        </w:rPr>
      </w:pPr>
      <w:hyperlink w:anchor="_Toc214283472" w:history="1">
        <w:r w:rsidRPr="008F4954">
          <w:rPr>
            <w:rStyle w:val="Hyperlink"/>
          </w:rPr>
          <w:t>5.29.10</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_Toc214283472 \h </w:instrText>
        </w:r>
        <w:r>
          <w:rPr>
            <w:webHidden/>
          </w:rPr>
        </w:r>
        <w:r>
          <w:rPr>
            <w:webHidden/>
          </w:rPr>
          <w:fldChar w:fldCharType="separate"/>
        </w:r>
        <w:r>
          <w:rPr>
            <w:webHidden/>
          </w:rPr>
          <w:t>337</w:t>
        </w:r>
        <w:r>
          <w:rPr>
            <w:webHidden/>
          </w:rPr>
          <w:fldChar w:fldCharType="end"/>
        </w:r>
      </w:hyperlink>
    </w:p>
    <w:p w14:paraId="7DBE1924" w14:textId="766C8D14" w:rsidR="00067371" w:rsidRDefault="00067371">
      <w:pPr>
        <w:pStyle w:val="TOC3"/>
        <w:rPr>
          <w:rFonts w:asciiTheme="minorHAnsi" w:eastAsiaTheme="minorEastAsia" w:hAnsiTheme="minorHAnsi" w:cstheme="minorBidi"/>
          <w:kern w:val="2"/>
          <w:sz w:val="24"/>
          <w:szCs w:val="24"/>
          <w14:ligatures w14:val="standardContextual"/>
        </w:rPr>
      </w:pPr>
      <w:hyperlink w:anchor="_Toc214283473" w:history="1">
        <w:r w:rsidRPr="008F4954">
          <w:rPr>
            <w:rStyle w:val="Hyperlink"/>
          </w:rPr>
          <w:t>5.29.11</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_Toc214283473 \h </w:instrText>
        </w:r>
        <w:r>
          <w:rPr>
            <w:webHidden/>
          </w:rPr>
        </w:r>
        <w:r>
          <w:rPr>
            <w:webHidden/>
          </w:rPr>
          <w:fldChar w:fldCharType="separate"/>
        </w:r>
        <w:r>
          <w:rPr>
            <w:webHidden/>
          </w:rPr>
          <w:t>337</w:t>
        </w:r>
        <w:r>
          <w:rPr>
            <w:webHidden/>
          </w:rPr>
          <w:fldChar w:fldCharType="end"/>
        </w:r>
      </w:hyperlink>
    </w:p>
    <w:p w14:paraId="00D77C15" w14:textId="20040D80" w:rsidR="00067371" w:rsidRDefault="00067371">
      <w:pPr>
        <w:pStyle w:val="TOC3"/>
        <w:rPr>
          <w:rFonts w:asciiTheme="minorHAnsi" w:eastAsiaTheme="minorEastAsia" w:hAnsiTheme="minorHAnsi" w:cstheme="minorBidi"/>
          <w:kern w:val="2"/>
          <w:sz w:val="24"/>
          <w:szCs w:val="24"/>
          <w14:ligatures w14:val="standardContextual"/>
        </w:rPr>
      </w:pPr>
      <w:hyperlink w:anchor="_Toc214283474" w:history="1">
        <w:r w:rsidRPr="008F4954">
          <w:rPr>
            <w:rStyle w:val="Hyperlink"/>
          </w:rPr>
          <w:t>5.29.12</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_Toc214283474 \h </w:instrText>
        </w:r>
        <w:r>
          <w:rPr>
            <w:webHidden/>
          </w:rPr>
        </w:r>
        <w:r>
          <w:rPr>
            <w:webHidden/>
          </w:rPr>
          <w:fldChar w:fldCharType="separate"/>
        </w:r>
        <w:r>
          <w:rPr>
            <w:webHidden/>
          </w:rPr>
          <w:t>337</w:t>
        </w:r>
        <w:r>
          <w:rPr>
            <w:webHidden/>
          </w:rPr>
          <w:fldChar w:fldCharType="end"/>
        </w:r>
      </w:hyperlink>
    </w:p>
    <w:p w14:paraId="65BFEACC" w14:textId="06A646F8" w:rsidR="00067371" w:rsidRDefault="00067371">
      <w:pPr>
        <w:pStyle w:val="TOC3"/>
        <w:rPr>
          <w:rFonts w:asciiTheme="minorHAnsi" w:eastAsiaTheme="minorEastAsia" w:hAnsiTheme="minorHAnsi" w:cstheme="minorBidi"/>
          <w:kern w:val="2"/>
          <w:sz w:val="24"/>
          <w:szCs w:val="24"/>
          <w14:ligatures w14:val="standardContextual"/>
        </w:rPr>
      </w:pPr>
      <w:hyperlink w:anchor="_Toc214283475" w:history="1">
        <w:r w:rsidRPr="008F4954">
          <w:rPr>
            <w:rStyle w:val="Hyperlink"/>
          </w:rPr>
          <w:t>5.29.13</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_Toc214283475 \h </w:instrText>
        </w:r>
        <w:r>
          <w:rPr>
            <w:webHidden/>
          </w:rPr>
        </w:r>
        <w:r>
          <w:rPr>
            <w:webHidden/>
          </w:rPr>
          <w:fldChar w:fldCharType="separate"/>
        </w:r>
        <w:r>
          <w:rPr>
            <w:webHidden/>
          </w:rPr>
          <w:t>337</w:t>
        </w:r>
        <w:r>
          <w:rPr>
            <w:webHidden/>
          </w:rPr>
          <w:fldChar w:fldCharType="end"/>
        </w:r>
      </w:hyperlink>
    </w:p>
    <w:p w14:paraId="0E9F84A8" w14:textId="15F2E11B" w:rsidR="00067371" w:rsidRDefault="00067371">
      <w:pPr>
        <w:pStyle w:val="TOC3"/>
        <w:rPr>
          <w:rFonts w:asciiTheme="minorHAnsi" w:eastAsiaTheme="minorEastAsia" w:hAnsiTheme="minorHAnsi" w:cstheme="minorBidi"/>
          <w:kern w:val="2"/>
          <w:sz w:val="24"/>
          <w:szCs w:val="24"/>
          <w14:ligatures w14:val="standardContextual"/>
        </w:rPr>
      </w:pPr>
      <w:hyperlink w:anchor="_Toc214283476" w:history="1">
        <w:r w:rsidRPr="008F4954">
          <w:rPr>
            <w:rStyle w:val="Hyperlink"/>
          </w:rPr>
          <w:t>5.29.14</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_Toc214283476 \h </w:instrText>
        </w:r>
        <w:r>
          <w:rPr>
            <w:webHidden/>
          </w:rPr>
        </w:r>
        <w:r>
          <w:rPr>
            <w:webHidden/>
          </w:rPr>
          <w:fldChar w:fldCharType="separate"/>
        </w:r>
        <w:r>
          <w:rPr>
            <w:webHidden/>
          </w:rPr>
          <w:t>337</w:t>
        </w:r>
        <w:r>
          <w:rPr>
            <w:webHidden/>
          </w:rPr>
          <w:fldChar w:fldCharType="end"/>
        </w:r>
      </w:hyperlink>
    </w:p>
    <w:p w14:paraId="18B0D93B" w14:textId="56067D52" w:rsidR="00067371" w:rsidRDefault="00067371">
      <w:pPr>
        <w:pStyle w:val="TOC3"/>
        <w:rPr>
          <w:rFonts w:asciiTheme="minorHAnsi" w:eastAsiaTheme="minorEastAsia" w:hAnsiTheme="minorHAnsi" w:cstheme="minorBidi"/>
          <w:kern w:val="2"/>
          <w:sz w:val="24"/>
          <w:szCs w:val="24"/>
          <w14:ligatures w14:val="standardContextual"/>
        </w:rPr>
      </w:pPr>
      <w:hyperlink w:anchor="_Toc214283477" w:history="1">
        <w:r w:rsidRPr="008F4954">
          <w:rPr>
            <w:rStyle w:val="Hyperlink"/>
          </w:rPr>
          <w:t>5.29.15</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_Toc214283477 \h </w:instrText>
        </w:r>
        <w:r>
          <w:rPr>
            <w:webHidden/>
          </w:rPr>
        </w:r>
        <w:r>
          <w:rPr>
            <w:webHidden/>
          </w:rPr>
          <w:fldChar w:fldCharType="separate"/>
        </w:r>
        <w:r>
          <w:rPr>
            <w:webHidden/>
          </w:rPr>
          <w:t>337</w:t>
        </w:r>
        <w:r>
          <w:rPr>
            <w:webHidden/>
          </w:rPr>
          <w:fldChar w:fldCharType="end"/>
        </w:r>
      </w:hyperlink>
    </w:p>
    <w:p w14:paraId="538A68C0" w14:textId="4A0D094D" w:rsidR="00067371" w:rsidRDefault="00067371">
      <w:pPr>
        <w:pStyle w:val="TOC3"/>
        <w:rPr>
          <w:rFonts w:asciiTheme="minorHAnsi" w:eastAsiaTheme="minorEastAsia" w:hAnsiTheme="minorHAnsi" w:cstheme="minorBidi"/>
          <w:kern w:val="2"/>
          <w:sz w:val="24"/>
          <w:szCs w:val="24"/>
          <w14:ligatures w14:val="standardContextual"/>
        </w:rPr>
      </w:pPr>
      <w:hyperlink w:anchor="_Toc214283478" w:history="1">
        <w:r w:rsidRPr="008F4954">
          <w:rPr>
            <w:rStyle w:val="Hyperlink"/>
          </w:rPr>
          <w:t>5.29.16</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_Toc214283478 \h </w:instrText>
        </w:r>
        <w:r>
          <w:rPr>
            <w:webHidden/>
          </w:rPr>
        </w:r>
        <w:r>
          <w:rPr>
            <w:webHidden/>
          </w:rPr>
          <w:fldChar w:fldCharType="separate"/>
        </w:r>
        <w:r>
          <w:rPr>
            <w:webHidden/>
          </w:rPr>
          <w:t>337</w:t>
        </w:r>
        <w:r>
          <w:rPr>
            <w:webHidden/>
          </w:rPr>
          <w:fldChar w:fldCharType="end"/>
        </w:r>
      </w:hyperlink>
    </w:p>
    <w:p w14:paraId="7FE1700D" w14:textId="0EC00C89" w:rsidR="00067371" w:rsidRDefault="00067371">
      <w:pPr>
        <w:pStyle w:val="TOC3"/>
        <w:rPr>
          <w:rFonts w:asciiTheme="minorHAnsi" w:eastAsiaTheme="minorEastAsia" w:hAnsiTheme="minorHAnsi" w:cstheme="minorBidi"/>
          <w:kern w:val="2"/>
          <w:sz w:val="24"/>
          <w:szCs w:val="24"/>
          <w14:ligatures w14:val="standardContextual"/>
        </w:rPr>
      </w:pPr>
      <w:hyperlink w:anchor="_Toc214283479" w:history="1">
        <w:r w:rsidRPr="008F4954">
          <w:rPr>
            <w:rStyle w:val="Hyperlink"/>
          </w:rPr>
          <w:t>5.29.17</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_Toc214283479 \h </w:instrText>
        </w:r>
        <w:r>
          <w:rPr>
            <w:webHidden/>
          </w:rPr>
        </w:r>
        <w:r>
          <w:rPr>
            <w:webHidden/>
          </w:rPr>
          <w:fldChar w:fldCharType="separate"/>
        </w:r>
        <w:r>
          <w:rPr>
            <w:webHidden/>
          </w:rPr>
          <w:t>337</w:t>
        </w:r>
        <w:r>
          <w:rPr>
            <w:webHidden/>
          </w:rPr>
          <w:fldChar w:fldCharType="end"/>
        </w:r>
      </w:hyperlink>
    </w:p>
    <w:p w14:paraId="0694AEEB" w14:textId="3947BE43" w:rsidR="00067371" w:rsidRDefault="00067371">
      <w:pPr>
        <w:pStyle w:val="TOC3"/>
        <w:rPr>
          <w:rFonts w:asciiTheme="minorHAnsi" w:eastAsiaTheme="minorEastAsia" w:hAnsiTheme="minorHAnsi" w:cstheme="minorBidi"/>
          <w:kern w:val="2"/>
          <w:sz w:val="24"/>
          <w:szCs w:val="24"/>
          <w14:ligatures w14:val="standardContextual"/>
        </w:rPr>
      </w:pPr>
      <w:hyperlink w:anchor="_Toc214283480" w:history="1">
        <w:r w:rsidRPr="008F4954">
          <w:rPr>
            <w:rStyle w:val="Hyperlink"/>
          </w:rPr>
          <w:t>5.29.18</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_Toc214283480 \h </w:instrText>
        </w:r>
        <w:r>
          <w:rPr>
            <w:webHidden/>
          </w:rPr>
        </w:r>
        <w:r>
          <w:rPr>
            <w:webHidden/>
          </w:rPr>
          <w:fldChar w:fldCharType="separate"/>
        </w:r>
        <w:r>
          <w:rPr>
            <w:webHidden/>
          </w:rPr>
          <w:t>337</w:t>
        </w:r>
        <w:r>
          <w:rPr>
            <w:webHidden/>
          </w:rPr>
          <w:fldChar w:fldCharType="end"/>
        </w:r>
      </w:hyperlink>
    </w:p>
    <w:p w14:paraId="11071B28" w14:textId="0ACB38E7"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481" w:history="1">
        <w:r w:rsidRPr="008F4954">
          <w:rPr>
            <w:rStyle w:val="Hyperlink"/>
          </w:rPr>
          <w:t>5.30</w:t>
        </w:r>
        <w:r>
          <w:rPr>
            <w:rFonts w:asciiTheme="minorHAnsi" w:eastAsiaTheme="minorEastAsia" w:hAnsiTheme="minorHAnsi" w:cstheme="minorBidi"/>
            <w:smallCaps w:val="0"/>
            <w:kern w:val="2"/>
            <w:szCs w:val="24"/>
            <w14:ligatures w14:val="standardContextual"/>
          </w:rPr>
          <w:tab/>
        </w:r>
        <w:r w:rsidRPr="008F4954">
          <w:rPr>
            <w:rStyle w:val="Hyperlink"/>
          </w:rPr>
          <w:t>OVERLAYS TOOL</w:t>
        </w:r>
        <w:r>
          <w:rPr>
            <w:webHidden/>
          </w:rPr>
          <w:tab/>
        </w:r>
        <w:r>
          <w:rPr>
            <w:webHidden/>
          </w:rPr>
          <w:fldChar w:fldCharType="begin"/>
        </w:r>
        <w:r>
          <w:rPr>
            <w:webHidden/>
          </w:rPr>
          <w:instrText xml:space="preserve"> PAGEREF _Toc214283481 \h </w:instrText>
        </w:r>
        <w:r>
          <w:rPr>
            <w:webHidden/>
          </w:rPr>
        </w:r>
        <w:r>
          <w:rPr>
            <w:webHidden/>
          </w:rPr>
          <w:fldChar w:fldCharType="separate"/>
        </w:r>
        <w:r>
          <w:rPr>
            <w:webHidden/>
          </w:rPr>
          <w:t>338</w:t>
        </w:r>
        <w:r>
          <w:rPr>
            <w:webHidden/>
          </w:rPr>
          <w:fldChar w:fldCharType="end"/>
        </w:r>
      </w:hyperlink>
    </w:p>
    <w:p w14:paraId="58A98055" w14:textId="4DA07DB0" w:rsidR="00067371" w:rsidRDefault="00067371">
      <w:pPr>
        <w:pStyle w:val="TOC3"/>
        <w:rPr>
          <w:rFonts w:asciiTheme="minorHAnsi" w:eastAsiaTheme="minorEastAsia" w:hAnsiTheme="minorHAnsi" w:cstheme="minorBidi"/>
          <w:kern w:val="2"/>
          <w:sz w:val="24"/>
          <w:szCs w:val="24"/>
          <w14:ligatures w14:val="standardContextual"/>
        </w:rPr>
      </w:pPr>
      <w:hyperlink w:anchor="_Toc214283482" w:history="1">
        <w:r w:rsidRPr="008F4954">
          <w:rPr>
            <w:rStyle w:val="Hyperlink"/>
          </w:rPr>
          <w:t>5.30.1</w:t>
        </w:r>
        <w:r>
          <w:rPr>
            <w:rFonts w:asciiTheme="minorHAnsi" w:eastAsiaTheme="minorEastAsia" w:hAnsiTheme="minorHAnsi" w:cstheme="minorBidi"/>
            <w:kern w:val="2"/>
            <w:sz w:val="24"/>
            <w:szCs w:val="24"/>
            <w14:ligatures w14:val="standardContextual"/>
          </w:rPr>
          <w:tab/>
        </w:r>
        <w:r w:rsidRPr="008F4954">
          <w:rPr>
            <w:rStyle w:val="Hyperlink"/>
          </w:rPr>
          <w:t>Create New Overlay</w:t>
        </w:r>
        <w:r>
          <w:rPr>
            <w:webHidden/>
          </w:rPr>
          <w:tab/>
        </w:r>
        <w:r>
          <w:rPr>
            <w:webHidden/>
          </w:rPr>
          <w:fldChar w:fldCharType="begin"/>
        </w:r>
        <w:r>
          <w:rPr>
            <w:webHidden/>
          </w:rPr>
          <w:instrText xml:space="preserve"> PAGEREF _Toc214283482 \h </w:instrText>
        </w:r>
        <w:r>
          <w:rPr>
            <w:webHidden/>
          </w:rPr>
        </w:r>
        <w:r>
          <w:rPr>
            <w:webHidden/>
          </w:rPr>
          <w:fldChar w:fldCharType="separate"/>
        </w:r>
        <w:r>
          <w:rPr>
            <w:webHidden/>
          </w:rPr>
          <w:t>339</w:t>
        </w:r>
        <w:r>
          <w:rPr>
            <w:webHidden/>
          </w:rPr>
          <w:fldChar w:fldCharType="end"/>
        </w:r>
      </w:hyperlink>
    </w:p>
    <w:p w14:paraId="79AD1C8F" w14:textId="7D2B7DF6" w:rsidR="00067371" w:rsidRDefault="00067371">
      <w:pPr>
        <w:pStyle w:val="TOC3"/>
        <w:rPr>
          <w:rFonts w:asciiTheme="minorHAnsi" w:eastAsiaTheme="minorEastAsia" w:hAnsiTheme="minorHAnsi" w:cstheme="minorBidi"/>
          <w:kern w:val="2"/>
          <w:sz w:val="24"/>
          <w:szCs w:val="24"/>
          <w14:ligatures w14:val="standardContextual"/>
        </w:rPr>
      </w:pPr>
      <w:hyperlink w:anchor="_Toc214283483" w:history="1">
        <w:r w:rsidRPr="008F4954">
          <w:rPr>
            <w:rStyle w:val="Hyperlink"/>
          </w:rPr>
          <w:t>5.30.2</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_Toc214283483 \h </w:instrText>
        </w:r>
        <w:r>
          <w:rPr>
            <w:webHidden/>
          </w:rPr>
        </w:r>
        <w:r>
          <w:rPr>
            <w:webHidden/>
          </w:rPr>
          <w:fldChar w:fldCharType="separate"/>
        </w:r>
        <w:r>
          <w:rPr>
            <w:webHidden/>
          </w:rPr>
          <w:t>343</w:t>
        </w:r>
        <w:r>
          <w:rPr>
            <w:webHidden/>
          </w:rPr>
          <w:fldChar w:fldCharType="end"/>
        </w:r>
      </w:hyperlink>
    </w:p>
    <w:p w14:paraId="012D986F" w14:textId="086AE191" w:rsidR="00067371" w:rsidRDefault="00067371">
      <w:pPr>
        <w:pStyle w:val="TOC3"/>
        <w:rPr>
          <w:rFonts w:asciiTheme="minorHAnsi" w:eastAsiaTheme="minorEastAsia" w:hAnsiTheme="minorHAnsi" w:cstheme="minorBidi"/>
          <w:kern w:val="2"/>
          <w:sz w:val="24"/>
          <w:szCs w:val="24"/>
          <w14:ligatures w14:val="standardContextual"/>
        </w:rPr>
      </w:pPr>
      <w:hyperlink w:anchor="_Toc214283484" w:history="1">
        <w:r w:rsidRPr="008F4954">
          <w:rPr>
            <w:rStyle w:val="Hyperlink"/>
          </w:rPr>
          <w:t>5.30.3</w:t>
        </w:r>
        <w:r>
          <w:rPr>
            <w:rFonts w:asciiTheme="minorHAnsi" w:eastAsiaTheme="minorEastAsia" w:hAnsiTheme="minorHAnsi" w:cstheme="minorBidi"/>
            <w:kern w:val="2"/>
            <w:sz w:val="24"/>
            <w:szCs w:val="24"/>
            <w14:ligatures w14:val="standardContextual"/>
          </w:rPr>
          <w:tab/>
        </w:r>
        <w:r w:rsidRPr="008F4954">
          <w:rPr>
            <w:rStyle w:val="Hyperlink"/>
          </w:rPr>
          <w:t>Display Geographically</w:t>
        </w:r>
        <w:r>
          <w:rPr>
            <w:webHidden/>
          </w:rPr>
          <w:tab/>
        </w:r>
        <w:r>
          <w:rPr>
            <w:webHidden/>
          </w:rPr>
          <w:fldChar w:fldCharType="begin"/>
        </w:r>
        <w:r>
          <w:rPr>
            <w:webHidden/>
          </w:rPr>
          <w:instrText xml:space="preserve"> PAGEREF _Toc214283484 \h </w:instrText>
        </w:r>
        <w:r>
          <w:rPr>
            <w:webHidden/>
          </w:rPr>
        </w:r>
        <w:r>
          <w:rPr>
            <w:webHidden/>
          </w:rPr>
          <w:fldChar w:fldCharType="separate"/>
        </w:r>
        <w:r>
          <w:rPr>
            <w:webHidden/>
          </w:rPr>
          <w:t>343</w:t>
        </w:r>
        <w:r>
          <w:rPr>
            <w:webHidden/>
          </w:rPr>
          <w:fldChar w:fldCharType="end"/>
        </w:r>
      </w:hyperlink>
    </w:p>
    <w:p w14:paraId="4D3D7ED0" w14:textId="74DF351F" w:rsidR="00067371" w:rsidRDefault="00067371">
      <w:pPr>
        <w:pStyle w:val="TOC3"/>
        <w:rPr>
          <w:rFonts w:asciiTheme="minorHAnsi" w:eastAsiaTheme="minorEastAsia" w:hAnsiTheme="minorHAnsi" w:cstheme="minorBidi"/>
          <w:kern w:val="2"/>
          <w:sz w:val="24"/>
          <w:szCs w:val="24"/>
          <w14:ligatures w14:val="standardContextual"/>
        </w:rPr>
      </w:pPr>
      <w:hyperlink w:anchor="_Toc214283485" w:history="1">
        <w:r w:rsidRPr="008F4954">
          <w:rPr>
            <w:rStyle w:val="Hyperlink"/>
          </w:rPr>
          <w:t>5.30.4</w:t>
        </w:r>
        <w:r>
          <w:rPr>
            <w:rFonts w:asciiTheme="minorHAnsi" w:eastAsiaTheme="minorEastAsia" w:hAnsiTheme="minorHAnsi" w:cstheme="minorBidi"/>
            <w:kern w:val="2"/>
            <w:sz w:val="24"/>
            <w:szCs w:val="24"/>
            <w14:ligatures w14:val="standardContextual"/>
          </w:rPr>
          <w:tab/>
        </w:r>
        <w:r w:rsidRPr="008F4954">
          <w:rPr>
            <w:rStyle w:val="Hyperlink"/>
          </w:rPr>
          <w:t>Create Overlay Library</w:t>
        </w:r>
        <w:r>
          <w:rPr>
            <w:webHidden/>
          </w:rPr>
          <w:tab/>
        </w:r>
        <w:r>
          <w:rPr>
            <w:webHidden/>
          </w:rPr>
          <w:fldChar w:fldCharType="begin"/>
        </w:r>
        <w:r>
          <w:rPr>
            <w:webHidden/>
          </w:rPr>
          <w:instrText xml:space="preserve"> PAGEREF _Toc214283485 \h </w:instrText>
        </w:r>
        <w:r>
          <w:rPr>
            <w:webHidden/>
          </w:rPr>
        </w:r>
        <w:r>
          <w:rPr>
            <w:webHidden/>
          </w:rPr>
          <w:fldChar w:fldCharType="separate"/>
        </w:r>
        <w:r>
          <w:rPr>
            <w:webHidden/>
          </w:rPr>
          <w:t>344</w:t>
        </w:r>
        <w:r>
          <w:rPr>
            <w:webHidden/>
          </w:rPr>
          <w:fldChar w:fldCharType="end"/>
        </w:r>
      </w:hyperlink>
    </w:p>
    <w:p w14:paraId="4B36DD03" w14:textId="2883C840" w:rsidR="00067371" w:rsidRDefault="00067371">
      <w:pPr>
        <w:pStyle w:val="TOC3"/>
        <w:rPr>
          <w:rFonts w:asciiTheme="minorHAnsi" w:eastAsiaTheme="minorEastAsia" w:hAnsiTheme="minorHAnsi" w:cstheme="minorBidi"/>
          <w:kern w:val="2"/>
          <w:sz w:val="24"/>
          <w:szCs w:val="24"/>
          <w14:ligatures w14:val="standardContextual"/>
        </w:rPr>
      </w:pPr>
      <w:hyperlink w:anchor="_Toc214283486" w:history="1">
        <w:r w:rsidRPr="008F4954">
          <w:rPr>
            <w:rStyle w:val="Hyperlink"/>
          </w:rPr>
          <w:t>5.30.5</w:t>
        </w:r>
        <w:r>
          <w:rPr>
            <w:rFonts w:asciiTheme="minorHAnsi" w:eastAsiaTheme="minorEastAsia" w:hAnsiTheme="minorHAnsi" w:cstheme="minorBidi"/>
            <w:kern w:val="2"/>
            <w:sz w:val="24"/>
            <w:szCs w:val="24"/>
            <w14:ligatures w14:val="standardContextual"/>
          </w:rPr>
          <w:tab/>
        </w:r>
        <w:r w:rsidRPr="008F4954">
          <w:rPr>
            <w:rStyle w:val="Hyperlink"/>
          </w:rPr>
          <w:t>Create TED Library</w:t>
        </w:r>
        <w:r>
          <w:rPr>
            <w:webHidden/>
          </w:rPr>
          <w:tab/>
        </w:r>
        <w:r>
          <w:rPr>
            <w:webHidden/>
          </w:rPr>
          <w:fldChar w:fldCharType="begin"/>
        </w:r>
        <w:r>
          <w:rPr>
            <w:webHidden/>
          </w:rPr>
          <w:instrText xml:space="preserve"> PAGEREF _Toc214283486 \h </w:instrText>
        </w:r>
        <w:r>
          <w:rPr>
            <w:webHidden/>
          </w:rPr>
        </w:r>
        <w:r>
          <w:rPr>
            <w:webHidden/>
          </w:rPr>
          <w:fldChar w:fldCharType="separate"/>
        </w:r>
        <w:r>
          <w:rPr>
            <w:webHidden/>
          </w:rPr>
          <w:t>344</w:t>
        </w:r>
        <w:r>
          <w:rPr>
            <w:webHidden/>
          </w:rPr>
          <w:fldChar w:fldCharType="end"/>
        </w:r>
      </w:hyperlink>
    </w:p>
    <w:p w14:paraId="12C98D2A" w14:textId="177C8BC8" w:rsidR="00067371" w:rsidRDefault="00067371">
      <w:pPr>
        <w:pStyle w:val="TOC3"/>
        <w:rPr>
          <w:rFonts w:asciiTheme="minorHAnsi" w:eastAsiaTheme="minorEastAsia" w:hAnsiTheme="minorHAnsi" w:cstheme="minorBidi"/>
          <w:kern w:val="2"/>
          <w:sz w:val="24"/>
          <w:szCs w:val="24"/>
          <w14:ligatures w14:val="standardContextual"/>
        </w:rPr>
      </w:pPr>
      <w:hyperlink w:anchor="_Toc214283487" w:history="1">
        <w:r w:rsidRPr="008F4954">
          <w:rPr>
            <w:rStyle w:val="Hyperlink"/>
          </w:rPr>
          <w:t>5.30.6</w:t>
        </w:r>
        <w:r>
          <w:rPr>
            <w:rFonts w:asciiTheme="minorHAnsi" w:eastAsiaTheme="minorEastAsia" w:hAnsiTheme="minorHAnsi" w:cstheme="minorBidi"/>
            <w:kern w:val="2"/>
            <w:sz w:val="24"/>
            <w:szCs w:val="24"/>
            <w14:ligatures w14:val="standardContextual"/>
          </w:rPr>
          <w:tab/>
        </w:r>
        <w:r w:rsidRPr="008F4954">
          <w:rPr>
            <w:rStyle w:val="Hyperlink"/>
          </w:rPr>
          <w:t>Send</w:t>
        </w:r>
        <w:r>
          <w:rPr>
            <w:webHidden/>
          </w:rPr>
          <w:tab/>
        </w:r>
        <w:r>
          <w:rPr>
            <w:webHidden/>
          </w:rPr>
          <w:fldChar w:fldCharType="begin"/>
        </w:r>
        <w:r>
          <w:rPr>
            <w:webHidden/>
          </w:rPr>
          <w:instrText xml:space="preserve"> PAGEREF _Toc214283487 \h </w:instrText>
        </w:r>
        <w:r>
          <w:rPr>
            <w:webHidden/>
          </w:rPr>
        </w:r>
        <w:r>
          <w:rPr>
            <w:webHidden/>
          </w:rPr>
          <w:fldChar w:fldCharType="separate"/>
        </w:r>
        <w:r>
          <w:rPr>
            <w:webHidden/>
          </w:rPr>
          <w:t>344</w:t>
        </w:r>
        <w:r>
          <w:rPr>
            <w:webHidden/>
          </w:rPr>
          <w:fldChar w:fldCharType="end"/>
        </w:r>
      </w:hyperlink>
    </w:p>
    <w:p w14:paraId="59394C43" w14:textId="6AC143A5" w:rsidR="00067371" w:rsidRDefault="00067371">
      <w:pPr>
        <w:pStyle w:val="TOC3"/>
        <w:rPr>
          <w:rFonts w:asciiTheme="minorHAnsi" w:eastAsiaTheme="minorEastAsia" w:hAnsiTheme="minorHAnsi" w:cstheme="minorBidi"/>
          <w:kern w:val="2"/>
          <w:sz w:val="24"/>
          <w:szCs w:val="24"/>
          <w14:ligatures w14:val="standardContextual"/>
        </w:rPr>
      </w:pPr>
      <w:hyperlink w:anchor="_Toc214283488" w:history="1">
        <w:r w:rsidRPr="008F4954">
          <w:rPr>
            <w:rStyle w:val="Hyperlink"/>
          </w:rPr>
          <w:t>5.30.7</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_Toc214283488 \h </w:instrText>
        </w:r>
        <w:r>
          <w:rPr>
            <w:webHidden/>
          </w:rPr>
        </w:r>
        <w:r>
          <w:rPr>
            <w:webHidden/>
          </w:rPr>
          <w:fldChar w:fldCharType="separate"/>
        </w:r>
        <w:r>
          <w:rPr>
            <w:webHidden/>
          </w:rPr>
          <w:t>345</w:t>
        </w:r>
        <w:r>
          <w:rPr>
            <w:webHidden/>
          </w:rPr>
          <w:fldChar w:fldCharType="end"/>
        </w:r>
      </w:hyperlink>
    </w:p>
    <w:p w14:paraId="062F958A" w14:textId="0E442DDE" w:rsidR="00067371" w:rsidRDefault="00067371">
      <w:pPr>
        <w:pStyle w:val="TOC3"/>
        <w:rPr>
          <w:rFonts w:asciiTheme="minorHAnsi" w:eastAsiaTheme="minorEastAsia" w:hAnsiTheme="minorHAnsi" w:cstheme="minorBidi"/>
          <w:kern w:val="2"/>
          <w:sz w:val="24"/>
          <w:szCs w:val="24"/>
          <w14:ligatures w14:val="standardContextual"/>
        </w:rPr>
      </w:pPr>
      <w:hyperlink w:anchor="_Toc214283489" w:history="1">
        <w:r w:rsidRPr="008F4954">
          <w:rPr>
            <w:rStyle w:val="Hyperlink"/>
          </w:rPr>
          <w:t>5.30.8</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_Toc214283489 \h </w:instrText>
        </w:r>
        <w:r>
          <w:rPr>
            <w:webHidden/>
          </w:rPr>
        </w:r>
        <w:r>
          <w:rPr>
            <w:webHidden/>
          </w:rPr>
          <w:fldChar w:fldCharType="separate"/>
        </w:r>
        <w:r>
          <w:rPr>
            <w:webHidden/>
          </w:rPr>
          <w:t>345</w:t>
        </w:r>
        <w:r>
          <w:rPr>
            <w:webHidden/>
          </w:rPr>
          <w:fldChar w:fldCharType="end"/>
        </w:r>
      </w:hyperlink>
    </w:p>
    <w:p w14:paraId="6A887186" w14:textId="69ED6371" w:rsidR="00067371" w:rsidRDefault="00067371">
      <w:pPr>
        <w:pStyle w:val="TOC3"/>
        <w:rPr>
          <w:rFonts w:asciiTheme="minorHAnsi" w:eastAsiaTheme="minorEastAsia" w:hAnsiTheme="minorHAnsi" w:cstheme="minorBidi"/>
          <w:kern w:val="2"/>
          <w:sz w:val="24"/>
          <w:szCs w:val="24"/>
          <w14:ligatures w14:val="standardContextual"/>
        </w:rPr>
      </w:pPr>
      <w:hyperlink w:anchor="_Toc214283490" w:history="1">
        <w:r w:rsidRPr="008F4954">
          <w:rPr>
            <w:rStyle w:val="Hyperlink"/>
          </w:rPr>
          <w:t>5.30.9</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_Toc214283490 \h </w:instrText>
        </w:r>
        <w:r>
          <w:rPr>
            <w:webHidden/>
          </w:rPr>
        </w:r>
        <w:r>
          <w:rPr>
            <w:webHidden/>
          </w:rPr>
          <w:fldChar w:fldCharType="separate"/>
        </w:r>
        <w:r>
          <w:rPr>
            <w:webHidden/>
          </w:rPr>
          <w:t>345</w:t>
        </w:r>
        <w:r>
          <w:rPr>
            <w:webHidden/>
          </w:rPr>
          <w:fldChar w:fldCharType="end"/>
        </w:r>
      </w:hyperlink>
    </w:p>
    <w:p w14:paraId="0F7809D5" w14:textId="2CDC6BF9" w:rsidR="00067371" w:rsidRDefault="00067371">
      <w:pPr>
        <w:pStyle w:val="TOC3"/>
        <w:rPr>
          <w:rFonts w:asciiTheme="minorHAnsi" w:eastAsiaTheme="minorEastAsia" w:hAnsiTheme="minorHAnsi" w:cstheme="minorBidi"/>
          <w:kern w:val="2"/>
          <w:sz w:val="24"/>
          <w:szCs w:val="24"/>
          <w14:ligatures w14:val="standardContextual"/>
        </w:rPr>
      </w:pPr>
      <w:hyperlink w:anchor="_Toc214283491" w:history="1">
        <w:r w:rsidRPr="008F4954">
          <w:rPr>
            <w:rStyle w:val="Hyperlink"/>
          </w:rPr>
          <w:t>5.30.10</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_Toc214283491 \h </w:instrText>
        </w:r>
        <w:r>
          <w:rPr>
            <w:webHidden/>
          </w:rPr>
        </w:r>
        <w:r>
          <w:rPr>
            <w:webHidden/>
          </w:rPr>
          <w:fldChar w:fldCharType="separate"/>
        </w:r>
        <w:r>
          <w:rPr>
            <w:webHidden/>
          </w:rPr>
          <w:t>345</w:t>
        </w:r>
        <w:r>
          <w:rPr>
            <w:webHidden/>
          </w:rPr>
          <w:fldChar w:fldCharType="end"/>
        </w:r>
      </w:hyperlink>
    </w:p>
    <w:p w14:paraId="0B1DF64A" w14:textId="364669AC" w:rsidR="00067371" w:rsidRDefault="00067371">
      <w:pPr>
        <w:pStyle w:val="TOC3"/>
        <w:rPr>
          <w:rFonts w:asciiTheme="minorHAnsi" w:eastAsiaTheme="minorEastAsia" w:hAnsiTheme="minorHAnsi" w:cstheme="minorBidi"/>
          <w:kern w:val="2"/>
          <w:sz w:val="24"/>
          <w:szCs w:val="24"/>
          <w14:ligatures w14:val="standardContextual"/>
        </w:rPr>
      </w:pPr>
      <w:hyperlink w:anchor="_Toc214283492" w:history="1">
        <w:r w:rsidRPr="008F4954">
          <w:rPr>
            <w:rStyle w:val="Hyperlink"/>
          </w:rPr>
          <w:t>5.30.11</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_Toc214283492 \h </w:instrText>
        </w:r>
        <w:r>
          <w:rPr>
            <w:webHidden/>
          </w:rPr>
        </w:r>
        <w:r>
          <w:rPr>
            <w:webHidden/>
          </w:rPr>
          <w:fldChar w:fldCharType="separate"/>
        </w:r>
        <w:r>
          <w:rPr>
            <w:webHidden/>
          </w:rPr>
          <w:t>345</w:t>
        </w:r>
        <w:r>
          <w:rPr>
            <w:webHidden/>
          </w:rPr>
          <w:fldChar w:fldCharType="end"/>
        </w:r>
      </w:hyperlink>
    </w:p>
    <w:p w14:paraId="177E3A6B" w14:textId="225E81F5" w:rsidR="00067371" w:rsidRDefault="00067371">
      <w:pPr>
        <w:pStyle w:val="TOC3"/>
        <w:rPr>
          <w:rFonts w:asciiTheme="minorHAnsi" w:eastAsiaTheme="minorEastAsia" w:hAnsiTheme="minorHAnsi" w:cstheme="minorBidi"/>
          <w:kern w:val="2"/>
          <w:sz w:val="24"/>
          <w:szCs w:val="24"/>
          <w14:ligatures w14:val="standardContextual"/>
        </w:rPr>
      </w:pPr>
      <w:hyperlink w:anchor="_Toc214283493" w:history="1">
        <w:r w:rsidRPr="008F4954">
          <w:rPr>
            <w:rStyle w:val="Hyperlink"/>
          </w:rPr>
          <w:t>5.30.12</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_Toc214283493 \h </w:instrText>
        </w:r>
        <w:r>
          <w:rPr>
            <w:webHidden/>
          </w:rPr>
        </w:r>
        <w:r>
          <w:rPr>
            <w:webHidden/>
          </w:rPr>
          <w:fldChar w:fldCharType="separate"/>
        </w:r>
        <w:r>
          <w:rPr>
            <w:webHidden/>
          </w:rPr>
          <w:t>345</w:t>
        </w:r>
        <w:r>
          <w:rPr>
            <w:webHidden/>
          </w:rPr>
          <w:fldChar w:fldCharType="end"/>
        </w:r>
      </w:hyperlink>
    </w:p>
    <w:p w14:paraId="6093E3ED" w14:textId="5572467F" w:rsidR="00067371" w:rsidRDefault="00067371">
      <w:pPr>
        <w:pStyle w:val="TOC3"/>
        <w:rPr>
          <w:rFonts w:asciiTheme="minorHAnsi" w:eastAsiaTheme="minorEastAsia" w:hAnsiTheme="minorHAnsi" w:cstheme="minorBidi"/>
          <w:kern w:val="2"/>
          <w:sz w:val="24"/>
          <w:szCs w:val="24"/>
          <w14:ligatures w14:val="standardContextual"/>
        </w:rPr>
      </w:pPr>
      <w:hyperlink w:anchor="_Toc214283494" w:history="1">
        <w:r w:rsidRPr="008F4954">
          <w:rPr>
            <w:rStyle w:val="Hyperlink"/>
          </w:rPr>
          <w:t>5.30.13</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_Toc214283494 \h </w:instrText>
        </w:r>
        <w:r>
          <w:rPr>
            <w:webHidden/>
          </w:rPr>
        </w:r>
        <w:r>
          <w:rPr>
            <w:webHidden/>
          </w:rPr>
          <w:fldChar w:fldCharType="separate"/>
        </w:r>
        <w:r>
          <w:rPr>
            <w:webHidden/>
          </w:rPr>
          <w:t>345</w:t>
        </w:r>
        <w:r>
          <w:rPr>
            <w:webHidden/>
          </w:rPr>
          <w:fldChar w:fldCharType="end"/>
        </w:r>
      </w:hyperlink>
    </w:p>
    <w:p w14:paraId="249BD8C3" w14:textId="61B902CA" w:rsidR="00067371" w:rsidRDefault="00067371">
      <w:pPr>
        <w:pStyle w:val="TOC3"/>
        <w:rPr>
          <w:rFonts w:asciiTheme="minorHAnsi" w:eastAsiaTheme="minorEastAsia" w:hAnsiTheme="minorHAnsi" w:cstheme="minorBidi"/>
          <w:kern w:val="2"/>
          <w:sz w:val="24"/>
          <w:szCs w:val="24"/>
          <w14:ligatures w14:val="standardContextual"/>
        </w:rPr>
      </w:pPr>
      <w:hyperlink w:anchor="_Toc214283495" w:history="1">
        <w:r w:rsidRPr="008F4954">
          <w:rPr>
            <w:rStyle w:val="Hyperlink"/>
          </w:rPr>
          <w:t>5.30.14</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_Toc214283495 \h </w:instrText>
        </w:r>
        <w:r>
          <w:rPr>
            <w:webHidden/>
          </w:rPr>
        </w:r>
        <w:r>
          <w:rPr>
            <w:webHidden/>
          </w:rPr>
          <w:fldChar w:fldCharType="separate"/>
        </w:r>
        <w:r>
          <w:rPr>
            <w:webHidden/>
          </w:rPr>
          <w:t>345</w:t>
        </w:r>
        <w:r>
          <w:rPr>
            <w:webHidden/>
          </w:rPr>
          <w:fldChar w:fldCharType="end"/>
        </w:r>
      </w:hyperlink>
    </w:p>
    <w:p w14:paraId="09D76644" w14:textId="31CAF236" w:rsidR="00067371" w:rsidRDefault="00067371">
      <w:pPr>
        <w:pStyle w:val="TOC3"/>
        <w:rPr>
          <w:rFonts w:asciiTheme="minorHAnsi" w:eastAsiaTheme="minorEastAsia" w:hAnsiTheme="minorHAnsi" w:cstheme="minorBidi"/>
          <w:kern w:val="2"/>
          <w:sz w:val="24"/>
          <w:szCs w:val="24"/>
          <w14:ligatures w14:val="standardContextual"/>
        </w:rPr>
      </w:pPr>
      <w:hyperlink w:anchor="_Toc214283496" w:history="1">
        <w:r w:rsidRPr="008F4954">
          <w:rPr>
            <w:rStyle w:val="Hyperlink"/>
          </w:rPr>
          <w:t>5.30.15</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_Toc214283496 \h </w:instrText>
        </w:r>
        <w:r>
          <w:rPr>
            <w:webHidden/>
          </w:rPr>
        </w:r>
        <w:r>
          <w:rPr>
            <w:webHidden/>
          </w:rPr>
          <w:fldChar w:fldCharType="separate"/>
        </w:r>
        <w:r>
          <w:rPr>
            <w:webHidden/>
          </w:rPr>
          <w:t>345</w:t>
        </w:r>
        <w:r>
          <w:rPr>
            <w:webHidden/>
          </w:rPr>
          <w:fldChar w:fldCharType="end"/>
        </w:r>
      </w:hyperlink>
    </w:p>
    <w:p w14:paraId="277B05BD" w14:textId="09148295"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497" w:history="1">
        <w:r w:rsidRPr="008F4954">
          <w:rPr>
            <w:rStyle w:val="Hyperlink"/>
          </w:rPr>
          <w:t>5.31</w:t>
        </w:r>
        <w:r>
          <w:rPr>
            <w:rFonts w:asciiTheme="minorHAnsi" w:eastAsiaTheme="minorEastAsia" w:hAnsiTheme="minorHAnsi" w:cstheme="minorBidi"/>
            <w:smallCaps w:val="0"/>
            <w:kern w:val="2"/>
            <w:szCs w:val="24"/>
            <w14:ligatures w14:val="standardContextual"/>
          </w:rPr>
          <w:tab/>
        </w:r>
        <w:r w:rsidRPr="008F4954">
          <w:rPr>
            <w:rStyle w:val="Hyperlink"/>
          </w:rPr>
          <w:t>TMPR TOOL</w:t>
        </w:r>
        <w:r>
          <w:rPr>
            <w:webHidden/>
          </w:rPr>
          <w:tab/>
        </w:r>
        <w:r>
          <w:rPr>
            <w:webHidden/>
          </w:rPr>
          <w:fldChar w:fldCharType="begin"/>
        </w:r>
        <w:r>
          <w:rPr>
            <w:webHidden/>
          </w:rPr>
          <w:instrText xml:space="preserve"> PAGEREF _Toc214283497 \h </w:instrText>
        </w:r>
        <w:r>
          <w:rPr>
            <w:webHidden/>
          </w:rPr>
        </w:r>
        <w:r>
          <w:rPr>
            <w:webHidden/>
          </w:rPr>
          <w:fldChar w:fldCharType="separate"/>
        </w:r>
        <w:r>
          <w:rPr>
            <w:webHidden/>
          </w:rPr>
          <w:t>346</w:t>
        </w:r>
        <w:r>
          <w:rPr>
            <w:webHidden/>
          </w:rPr>
          <w:fldChar w:fldCharType="end"/>
        </w:r>
      </w:hyperlink>
    </w:p>
    <w:p w14:paraId="3597DEA1" w14:textId="6FE9E739" w:rsidR="00067371" w:rsidRDefault="00067371">
      <w:pPr>
        <w:pStyle w:val="TOC3"/>
        <w:rPr>
          <w:rFonts w:asciiTheme="minorHAnsi" w:eastAsiaTheme="minorEastAsia" w:hAnsiTheme="minorHAnsi" w:cstheme="minorBidi"/>
          <w:kern w:val="2"/>
          <w:sz w:val="24"/>
          <w:szCs w:val="24"/>
          <w14:ligatures w14:val="standardContextual"/>
        </w:rPr>
      </w:pPr>
      <w:hyperlink w:anchor="_Toc214283498" w:history="1">
        <w:r w:rsidRPr="008F4954">
          <w:rPr>
            <w:rStyle w:val="Hyperlink"/>
          </w:rPr>
          <w:t>5.31.1</w:t>
        </w:r>
        <w:r>
          <w:rPr>
            <w:rFonts w:asciiTheme="minorHAnsi" w:eastAsiaTheme="minorEastAsia" w:hAnsiTheme="minorHAnsi" w:cstheme="minorBidi"/>
            <w:kern w:val="2"/>
            <w:sz w:val="24"/>
            <w:szCs w:val="24"/>
            <w14:ligatures w14:val="standardContextual"/>
          </w:rPr>
          <w:tab/>
        </w:r>
        <w:r w:rsidRPr="008F4954">
          <w:rPr>
            <w:rStyle w:val="Hyperlink"/>
          </w:rPr>
          <w:t>Create TMPR (Create Mission)</w:t>
        </w:r>
        <w:r>
          <w:rPr>
            <w:webHidden/>
          </w:rPr>
          <w:tab/>
        </w:r>
        <w:r>
          <w:rPr>
            <w:webHidden/>
          </w:rPr>
          <w:fldChar w:fldCharType="begin"/>
        </w:r>
        <w:r>
          <w:rPr>
            <w:webHidden/>
          </w:rPr>
          <w:instrText xml:space="preserve"> PAGEREF _Toc214283498 \h </w:instrText>
        </w:r>
        <w:r>
          <w:rPr>
            <w:webHidden/>
          </w:rPr>
        </w:r>
        <w:r>
          <w:rPr>
            <w:webHidden/>
          </w:rPr>
          <w:fldChar w:fldCharType="separate"/>
        </w:r>
        <w:r>
          <w:rPr>
            <w:webHidden/>
          </w:rPr>
          <w:t>349</w:t>
        </w:r>
        <w:r>
          <w:rPr>
            <w:webHidden/>
          </w:rPr>
          <w:fldChar w:fldCharType="end"/>
        </w:r>
      </w:hyperlink>
    </w:p>
    <w:p w14:paraId="1E449E75" w14:textId="0B6B4080" w:rsidR="00067371" w:rsidRDefault="00067371">
      <w:pPr>
        <w:pStyle w:val="TOC3"/>
        <w:rPr>
          <w:rFonts w:asciiTheme="minorHAnsi" w:eastAsiaTheme="minorEastAsia" w:hAnsiTheme="minorHAnsi" w:cstheme="minorBidi"/>
          <w:kern w:val="2"/>
          <w:sz w:val="24"/>
          <w:szCs w:val="24"/>
          <w14:ligatures w14:val="standardContextual"/>
        </w:rPr>
      </w:pPr>
      <w:hyperlink w:anchor="_Toc214283499" w:history="1">
        <w:r w:rsidRPr="008F4954">
          <w:rPr>
            <w:rStyle w:val="Hyperlink"/>
          </w:rPr>
          <w:t>5.31.2</w:t>
        </w:r>
        <w:r>
          <w:rPr>
            <w:rFonts w:asciiTheme="minorHAnsi" w:eastAsiaTheme="minorEastAsia" w:hAnsiTheme="minorHAnsi" w:cstheme="minorBidi"/>
            <w:kern w:val="2"/>
            <w:sz w:val="24"/>
            <w:szCs w:val="24"/>
            <w14:ligatures w14:val="standardContextual"/>
          </w:rPr>
          <w:tab/>
        </w:r>
        <w:r w:rsidRPr="008F4954">
          <w:rPr>
            <w:rStyle w:val="Hyperlink"/>
          </w:rPr>
          <w:t>Modify TMPR</w:t>
        </w:r>
        <w:r>
          <w:rPr>
            <w:webHidden/>
          </w:rPr>
          <w:tab/>
        </w:r>
        <w:r>
          <w:rPr>
            <w:webHidden/>
          </w:rPr>
          <w:fldChar w:fldCharType="begin"/>
        </w:r>
        <w:r>
          <w:rPr>
            <w:webHidden/>
          </w:rPr>
          <w:instrText xml:space="preserve"> PAGEREF _Toc214283499 \h </w:instrText>
        </w:r>
        <w:r>
          <w:rPr>
            <w:webHidden/>
          </w:rPr>
        </w:r>
        <w:r>
          <w:rPr>
            <w:webHidden/>
          </w:rPr>
          <w:fldChar w:fldCharType="separate"/>
        </w:r>
        <w:r>
          <w:rPr>
            <w:webHidden/>
          </w:rPr>
          <w:t>367</w:t>
        </w:r>
        <w:r>
          <w:rPr>
            <w:webHidden/>
          </w:rPr>
          <w:fldChar w:fldCharType="end"/>
        </w:r>
      </w:hyperlink>
    </w:p>
    <w:p w14:paraId="497FAB6C" w14:textId="1532560C" w:rsidR="00067371" w:rsidRDefault="00067371">
      <w:pPr>
        <w:pStyle w:val="TOC3"/>
        <w:rPr>
          <w:rFonts w:asciiTheme="minorHAnsi" w:eastAsiaTheme="minorEastAsia" w:hAnsiTheme="minorHAnsi" w:cstheme="minorBidi"/>
          <w:kern w:val="2"/>
          <w:sz w:val="24"/>
          <w:szCs w:val="24"/>
          <w14:ligatures w14:val="standardContextual"/>
        </w:rPr>
      </w:pPr>
      <w:hyperlink w:anchor="_Toc214283500" w:history="1">
        <w:r w:rsidRPr="008F4954">
          <w:rPr>
            <w:rStyle w:val="Hyperlink"/>
          </w:rPr>
          <w:t>5.31.3</w:t>
        </w:r>
        <w:r>
          <w:rPr>
            <w:rFonts w:asciiTheme="minorHAnsi" w:eastAsiaTheme="minorEastAsia" w:hAnsiTheme="minorHAnsi" w:cstheme="minorBidi"/>
            <w:kern w:val="2"/>
            <w:sz w:val="24"/>
            <w:szCs w:val="24"/>
            <w14:ligatures w14:val="standardContextual"/>
          </w:rPr>
          <w:tab/>
        </w:r>
        <w:r w:rsidRPr="008F4954">
          <w:rPr>
            <w:rStyle w:val="Hyperlink"/>
          </w:rPr>
          <w:t>Attack Plan TMPR</w:t>
        </w:r>
        <w:r>
          <w:rPr>
            <w:webHidden/>
          </w:rPr>
          <w:tab/>
        </w:r>
        <w:r>
          <w:rPr>
            <w:webHidden/>
          </w:rPr>
          <w:fldChar w:fldCharType="begin"/>
        </w:r>
        <w:r>
          <w:rPr>
            <w:webHidden/>
          </w:rPr>
          <w:instrText xml:space="preserve"> PAGEREF _Toc214283500 \h </w:instrText>
        </w:r>
        <w:r>
          <w:rPr>
            <w:webHidden/>
          </w:rPr>
        </w:r>
        <w:r>
          <w:rPr>
            <w:webHidden/>
          </w:rPr>
          <w:fldChar w:fldCharType="separate"/>
        </w:r>
        <w:r>
          <w:rPr>
            <w:webHidden/>
          </w:rPr>
          <w:t>379</w:t>
        </w:r>
        <w:r>
          <w:rPr>
            <w:webHidden/>
          </w:rPr>
          <w:fldChar w:fldCharType="end"/>
        </w:r>
      </w:hyperlink>
    </w:p>
    <w:p w14:paraId="41E01B90" w14:textId="128D1B88" w:rsidR="00067371" w:rsidRDefault="00067371">
      <w:pPr>
        <w:pStyle w:val="TOC3"/>
        <w:rPr>
          <w:rFonts w:asciiTheme="minorHAnsi" w:eastAsiaTheme="minorEastAsia" w:hAnsiTheme="minorHAnsi" w:cstheme="minorBidi"/>
          <w:kern w:val="2"/>
          <w:sz w:val="24"/>
          <w:szCs w:val="24"/>
          <w14:ligatures w14:val="standardContextual"/>
        </w:rPr>
      </w:pPr>
      <w:hyperlink w:anchor="_Toc214283501" w:history="1">
        <w:r w:rsidRPr="008F4954">
          <w:rPr>
            <w:rStyle w:val="Hyperlink"/>
          </w:rPr>
          <w:t>5.31.4</w:t>
        </w:r>
        <w:r>
          <w:rPr>
            <w:rFonts w:asciiTheme="minorHAnsi" w:eastAsiaTheme="minorEastAsia" w:hAnsiTheme="minorHAnsi" w:cstheme="minorBidi"/>
            <w:kern w:val="2"/>
            <w:sz w:val="24"/>
            <w:szCs w:val="24"/>
            <w14:ligatures w14:val="standardContextual"/>
          </w:rPr>
          <w:tab/>
        </w:r>
        <w:r w:rsidRPr="008F4954">
          <w:rPr>
            <w:rStyle w:val="Hyperlink"/>
          </w:rPr>
          <w:t>Creating a Retarget TMPR</w:t>
        </w:r>
        <w:r>
          <w:rPr>
            <w:webHidden/>
          </w:rPr>
          <w:tab/>
        </w:r>
        <w:r>
          <w:rPr>
            <w:webHidden/>
          </w:rPr>
          <w:fldChar w:fldCharType="begin"/>
        </w:r>
        <w:r>
          <w:rPr>
            <w:webHidden/>
          </w:rPr>
          <w:instrText xml:space="preserve"> PAGEREF _Toc214283501 \h </w:instrText>
        </w:r>
        <w:r>
          <w:rPr>
            <w:webHidden/>
          </w:rPr>
        </w:r>
        <w:r>
          <w:rPr>
            <w:webHidden/>
          </w:rPr>
          <w:fldChar w:fldCharType="separate"/>
        </w:r>
        <w:r>
          <w:rPr>
            <w:webHidden/>
          </w:rPr>
          <w:t>386</w:t>
        </w:r>
        <w:r>
          <w:rPr>
            <w:webHidden/>
          </w:rPr>
          <w:fldChar w:fldCharType="end"/>
        </w:r>
      </w:hyperlink>
    </w:p>
    <w:p w14:paraId="4D8E282C" w14:textId="44178D6D" w:rsidR="00067371" w:rsidRDefault="00067371">
      <w:pPr>
        <w:pStyle w:val="TOC3"/>
        <w:rPr>
          <w:rFonts w:asciiTheme="minorHAnsi" w:eastAsiaTheme="minorEastAsia" w:hAnsiTheme="minorHAnsi" w:cstheme="minorBidi"/>
          <w:kern w:val="2"/>
          <w:sz w:val="24"/>
          <w:szCs w:val="24"/>
          <w14:ligatures w14:val="standardContextual"/>
        </w:rPr>
      </w:pPr>
      <w:hyperlink w:anchor="_Toc214283502" w:history="1">
        <w:r w:rsidRPr="008F4954">
          <w:rPr>
            <w:rStyle w:val="Hyperlink"/>
          </w:rPr>
          <w:t>5.31.5</w:t>
        </w:r>
        <w:r>
          <w:rPr>
            <w:rFonts w:asciiTheme="minorHAnsi" w:eastAsiaTheme="minorEastAsia" w:hAnsiTheme="minorHAnsi" w:cstheme="minorBidi"/>
            <w:kern w:val="2"/>
            <w:sz w:val="24"/>
            <w:szCs w:val="24"/>
            <w14:ligatures w14:val="standardContextual"/>
          </w:rPr>
          <w:tab/>
        </w:r>
        <w:r w:rsidRPr="008F4954">
          <w:rPr>
            <w:rStyle w:val="Hyperlink"/>
          </w:rPr>
          <w:t>Target Information</w:t>
        </w:r>
        <w:r>
          <w:rPr>
            <w:webHidden/>
          </w:rPr>
          <w:tab/>
        </w:r>
        <w:r>
          <w:rPr>
            <w:webHidden/>
          </w:rPr>
          <w:fldChar w:fldCharType="begin"/>
        </w:r>
        <w:r>
          <w:rPr>
            <w:webHidden/>
          </w:rPr>
          <w:instrText xml:space="preserve"> PAGEREF _Toc214283502 \h </w:instrText>
        </w:r>
        <w:r>
          <w:rPr>
            <w:webHidden/>
          </w:rPr>
        </w:r>
        <w:r>
          <w:rPr>
            <w:webHidden/>
          </w:rPr>
          <w:fldChar w:fldCharType="separate"/>
        </w:r>
        <w:r>
          <w:rPr>
            <w:webHidden/>
          </w:rPr>
          <w:t>395</w:t>
        </w:r>
        <w:r>
          <w:rPr>
            <w:webHidden/>
          </w:rPr>
          <w:fldChar w:fldCharType="end"/>
        </w:r>
      </w:hyperlink>
    </w:p>
    <w:p w14:paraId="61A7F70D" w14:textId="55E6A6C1" w:rsidR="00067371" w:rsidRDefault="00067371">
      <w:pPr>
        <w:pStyle w:val="TOC3"/>
        <w:rPr>
          <w:rFonts w:asciiTheme="minorHAnsi" w:eastAsiaTheme="minorEastAsia" w:hAnsiTheme="minorHAnsi" w:cstheme="minorBidi"/>
          <w:kern w:val="2"/>
          <w:sz w:val="24"/>
          <w:szCs w:val="24"/>
          <w14:ligatures w14:val="standardContextual"/>
        </w:rPr>
      </w:pPr>
      <w:hyperlink w:anchor="_Toc214283503" w:history="1">
        <w:r w:rsidRPr="008F4954">
          <w:rPr>
            <w:rStyle w:val="Hyperlink"/>
          </w:rPr>
          <w:t>5.31.6</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_Toc214283503 \h </w:instrText>
        </w:r>
        <w:r>
          <w:rPr>
            <w:webHidden/>
          </w:rPr>
        </w:r>
        <w:r>
          <w:rPr>
            <w:webHidden/>
          </w:rPr>
          <w:fldChar w:fldCharType="separate"/>
        </w:r>
        <w:r>
          <w:rPr>
            <w:webHidden/>
          </w:rPr>
          <w:t>402</w:t>
        </w:r>
        <w:r>
          <w:rPr>
            <w:webHidden/>
          </w:rPr>
          <w:fldChar w:fldCharType="end"/>
        </w:r>
      </w:hyperlink>
    </w:p>
    <w:p w14:paraId="03BD8A1D" w14:textId="44F11EE5" w:rsidR="00067371" w:rsidRDefault="00067371">
      <w:pPr>
        <w:pStyle w:val="TOC3"/>
        <w:rPr>
          <w:rFonts w:asciiTheme="minorHAnsi" w:eastAsiaTheme="minorEastAsia" w:hAnsiTheme="minorHAnsi" w:cstheme="minorBidi"/>
          <w:kern w:val="2"/>
          <w:sz w:val="24"/>
          <w:szCs w:val="24"/>
          <w14:ligatures w14:val="standardContextual"/>
        </w:rPr>
      </w:pPr>
      <w:hyperlink w:anchor="_Toc214283504" w:history="1">
        <w:r w:rsidRPr="008F4954">
          <w:rPr>
            <w:rStyle w:val="Hyperlink"/>
          </w:rPr>
          <w:t>5.31.7</w:t>
        </w:r>
        <w:r>
          <w:rPr>
            <w:rFonts w:asciiTheme="minorHAnsi" w:eastAsiaTheme="minorEastAsia" w:hAnsiTheme="minorHAnsi" w:cstheme="minorBidi"/>
            <w:kern w:val="2"/>
            <w:sz w:val="24"/>
            <w:szCs w:val="24"/>
            <w14:ligatures w14:val="standardContextual"/>
          </w:rPr>
          <w:tab/>
        </w:r>
        <w:r w:rsidRPr="008F4954">
          <w:rPr>
            <w:rStyle w:val="Hyperlink"/>
          </w:rPr>
          <w:t>Creating TMPR(s) from other Tools</w:t>
        </w:r>
        <w:r>
          <w:rPr>
            <w:webHidden/>
          </w:rPr>
          <w:tab/>
        </w:r>
        <w:r>
          <w:rPr>
            <w:webHidden/>
          </w:rPr>
          <w:fldChar w:fldCharType="begin"/>
        </w:r>
        <w:r>
          <w:rPr>
            <w:webHidden/>
          </w:rPr>
          <w:instrText xml:space="preserve"> PAGEREF _Toc214283504 \h </w:instrText>
        </w:r>
        <w:r>
          <w:rPr>
            <w:webHidden/>
          </w:rPr>
        </w:r>
        <w:r>
          <w:rPr>
            <w:webHidden/>
          </w:rPr>
          <w:fldChar w:fldCharType="separate"/>
        </w:r>
        <w:r>
          <w:rPr>
            <w:webHidden/>
          </w:rPr>
          <w:t>403</w:t>
        </w:r>
        <w:r>
          <w:rPr>
            <w:webHidden/>
          </w:rPr>
          <w:fldChar w:fldCharType="end"/>
        </w:r>
      </w:hyperlink>
    </w:p>
    <w:p w14:paraId="19682C97" w14:textId="009F01E1" w:rsidR="00067371" w:rsidRDefault="00067371">
      <w:pPr>
        <w:pStyle w:val="TOC3"/>
        <w:rPr>
          <w:rFonts w:asciiTheme="minorHAnsi" w:eastAsiaTheme="minorEastAsia" w:hAnsiTheme="minorHAnsi" w:cstheme="minorBidi"/>
          <w:kern w:val="2"/>
          <w:sz w:val="24"/>
          <w:szCs w:val="24"/>
          <w14:ligatures w14:val="standardContextual"/>
        </w:rPr>
      </w:pPr>
      <w:hyperlink w:anchor="_Toc214283505" w:history="1">
        <w:r w:rsidRPr="008F4954">
          <w:rPr>
            <w:rStyle w:val="Hyperlink"/>
          </w:rPr>
          <w:t>5.31.8</w:t>
        </w:r>
        <w:r>
          <w:rPr>
            <w:rFonts w:asciiTheme="minorHAnsi" w:eastAsiaTheme="minorEastAsia" w:hAnsiTheme="minorHAnsi" w:cstheme="minorBidi"/>
            <w:kern w:val="2"/>
            <w:sz w:val="24"/>
            <w:szCs w:val="24"/>
            <w14:ligatures w14:val="standardContextual"/>
          </w:rPr>
          <w:tab/>
        </w:r>
        <w:r w:rsidRPr="008F4954">
          <w:rPr>
            <w:rStyle w:val="Hyperlink"/>
          </w:rPr>
          <w:t>Set TMPR ID Sequence Number</w:t>
        </w:r>
        <w:r>
          <w:rPr>
            <w:webHidden/>
          </w:rPr>
          <w:tab/>
        </w:r>
        <w:r>
          <w:rPr>
            <w:webHidden/>
          </w:rPr>
          <w:fldChar w:fldCharType="begin"/>
        </w:r>
        <w:r>
          <w:rPr>
            <w:webHidden/>
          </w:rPr>
          <w:instrText xml:space="preserve"> PAGEREF _Toc214283505 \h </w:instrText>
        </w:r>
        <w:r>
          <w:rPr>
            <w:webHidden/>
          </w:rPr>
        </w:r>
        <w:r>
          <w:rPr>
            <w:webHidden/>
          </w:rPr>
          <w:fldChar w:fldCharType="separate"/>
        </w:r>
        <w:r>
          <w:rPr>
            <w:webHidden/>
          </w:rPr>
          <w:t>404</w:t>
        </w:r>
        <w:r>
          <w:rPr>
            <w:webHidden/>
          </w:rPr>
          <w:fldChar w:fldCharType="end"/>
        </w:r>
      </w:hyperlink>
    </w:p>
    <w:p w14:paraId="4C835D38" w14:textId="7BAB5735" w:rsidR="00067371" w:rsidRDefault="00067371">
      <w:pPr>
        <w:pStyle w:val="TOC3"/>
        <w:rPr>
          <w:rFonts w:asciiTheme="minorHAnsi" w:eastAsiaTheme="minorEastAsia" w:hAnsiTheme="minorHAnsi" w:cstheme="minorBidi"/>
          <w:kern w:val="2"/>
          <w:sz w:val="24"/>
          <w:szCs w:val="24"/>
          <w14:ligatures w14:val="standardContextual"/>
        </w:rPr>
      </w:pPr>
      <w:hyperlink w:anchor="_Toc214283506" w:history="1">
        <w:r w:rsidRPr="008F4954">
          <w:rPr>
            <w:rStyle w:val="Hyperlink"/>
          </w:rPr>
          <w:t>5.31.9</w:t>
        </w:r>
        <w:r>
          <w:rPr>
            <w:rFonts w:asciiTheme="minorHAnsi" w:eastAsiaTheme="minorEastAsia" w:hAnsiTheme="minorHAnsi" w:cstheme="minorBidi"/>
            <w:kern w:val="2"/>
            <w:sz w:val="24"/>
            <w:szCs w:val="24"/>
            <w14:ligatures w14:val="standardContextual"/>
          </w:rPr>
          <w:tab/>
        </w:r>
        <w:r w:rsidRPr="008F4954">
          <w:rPr>
            <w:rStyle w:val="Hyperlink"/>
          </w:rPr>
          <w:t>Checking the Collocated TPS</w:t>
        </w:r>
        <w:r>
          <w:rPr>
            <w:webHidden/>
          </w:rPr>
          <w:tab/>
        </w:r>
        <w:r>
          <w:rPr>
            <w:webHidden/>
          </w:rPr>
          <w:fldChar w:fldCharType="begin"/>
        </w:r>
        <w:r>
          <w:rPr>
            <w:webHidden/>
          </w:rPr>
          <w:instrText xml:space="preserve"> PAGEREF _Toc214283506 \h </w:instrText>
        </w:r>
        <w:r>
          <w:rPr>
            <w:webHidden/>
          </w:rPr>
        </w:r>
        <w:r>
          <w:rPr>
            <w:webHidden/>
          </w:rPr>
          <w:fldChar w:fldCharType="separate"/>
        </w:r>
        <w:r>
          <w:rPr>
            <w:webHidden/>
          </w:rPr>
          <w:t>404</w:t>
        </w:r>
        <w:r>
          <w:rPr>
            <w:webHidden/>
          </w:rPr>
          <w:fldChar w:fldCharType="end"/>
        </w:r>
      </w:hyperlink>
    </w:p>
    <w:p w14:paraId="669C084E" w14:textId="0C62575D" w:rsidR="00067371" w:rsidRDefault="00067371">
      <w:pPr>
        <w:pStyle w:val="TOC3"/>
        <w:rPr>
          <w:rFonts w:asciiTheme="minorHAnsi" w:eastAsiaTheme="minorEastAsia" w:hAnsiTheme="minorHAnsi" w:cstheme="minorBidi"/>
          <w:kern w:val="2"/>
          <w:sz w:val="24"/>
          <w:szCs w:val="24"/>
          <w14:ligatures w14:val="standardContextual"/>
        </w:rPr>
      </w:pPr>
      <w:hyperlink w:anchor="_Toc214283507" w:history="1">
        <w:r w:rsidRPr="008F4954">
          <w:rPr>
            <w:rStyle w:val="Hyperlink"/>
          </w:rPr>
          <w:t>5.31.10</w:t>
        </w:r>
        <w:r>
          <w:rPr>
            <w:rFonts w:asciiTheme="minorHAnsi" w:eastAsiaTheme="minorEastAsia" w:hAnsiTheme="minorHAnsi" w:cstheme="minorBidi"/>
            <w:kern w:val="2"/>
            <w:sz w:val="24"/>
            <w:szCs w:val="24"/>
            <w14:ligatures w14:val="standardContextual"/>
          </w:rPr>
          <w:tab/>
        </w:r>
        <w:r w:rsidRPr="008F4954">
          <w:rPr>
            <w:rStyle w:val="Hyperlink"/>
          </w:rPr>
          <w:t>Send</w:t>
        </w:r>
        <w:r>
          <w:rPr>
            <w:webHidden/>
          </w:rPr>
          <w:tab/>
        </w:r>
        <w:r>
          <w:rPr>
            <w:webHidden/>
          </w:rPr>
          <w:fldChar w:fldCharType="begin"/>
        </w:r>
        <w:r>
          <w:rPr>
            <w:webHidden/>
          </w:rPr>
          <w:instrText xml:space="preserve"> PAGEREF _Toc214283507 \h </w:instrText>
        </w:r>
        <w:r>
          <w:rPr>
            <w:webHidden/>
          </w:rPr>
        </w:r>
        <w:r>
          <w:rPr>
            <w:webHidden/>
          </w:rPr>
          <w:fldChar w:fldCharType="separate"/>
        </w:r>
        <w:r>
          <w:rPr>
            <w:webHidden/>
          </w:rPr>
          <w:t>404</w:t>
        </w:r>
        <w:r>
          <w:rPr>
            <w:webHidden/>
          </w:rPr>
          <w:fldChar w:fldCharType="end"/>
        </w:r>
      </w:hyperlink>
    </w:p>
    <w:p w14:paraId="0AF785CF" w14:textId="228477BE" w:rsidR="00067371" w:rsidRDefault="00067371">
      <w:pPr>
        <w:pStyle w:val="TOC3"/>
        <w:rPr>
          <w:rFonts w:asciiTheme="minorHAnsi" w:eastAsiaTheme="minorEastAsia" w:hAnsiTheme="minorHAnsi" w:cstheme="minorBidi"/>
          <w:kern w:val="2"/>
          <w:sz w:val="24"/>
          <w:szCs w:val="24"/>
          <w14:ligatures w14:val="standardContextual"/>
        </w:rPr>
      </w:pPr>
      <w:hyperlink w:anchor="_Toc214283508" w:history="1">
        <w:r w:rsidRPr="008F4954">
          <w:rPr>
            <w:rStyle w:val="Hyperlink"/>
          </w:rPr>
          <w:t>5.31.11</w:t>
        </w:r>
        <w:r>
          <w:rPr>
            <w:rFonts w:asciiTheme="minorHAnsi" w:eastAsiaTheme="minorEastAsia" w:hAnsiTheme="minorHAnsi" w:cstheme="minorBidi"/>
            <w:kern w:val="2"/>
            <w:sz w:val="24"/>
            <w:szCs w:val="24"/>
            <w14:ligatures w14:val="standardContextual"/>
          </w:rPr>
          <w:tab/>
        </w:r>
        <w:r w:rsidRPr="008F4954">
          <w:rPr>
            <w:rStyle w:val="Hyperlink"/>
          </w:rPr>
          <w:t>Display References</w:t>
        </w:r>
        <w:r>
          <w:rPr>
            <w:webHidden/>
          </w:rPr>
          <w:tab/>
        </w:r>
        <w:r>
          <w:rPr>
            <w:webHidden/>
          </w:rPr>
          <w:fldChar w:fldCharType="begin"/>
        </w:r>
        <w:r>
          <w:rPr>
            <w:webHidden/>
          </w:rPr>
          <w:instrText xml:space="preserve"> PAGEREF _Toc214283508 \h </w:instrText>
        </w:r>
        <w:r>
          <w:rPr>
            <w:webHidden/>
          </w:rPr>
        </w:r>
        <w:r>
          <w:rPr>
            <w:webHidden/>
          </w:rPr>
          <w:fldChar w:fldCharType="separate"/>
        </w:r>
        <w:r>
          <w:rPr>
            <w:webHidden/>
          </w:rPr>
          <w:t>404</w:t>
        </w:r>
        <w:r>
          <w:rPr>
            <w:webHidden/>
          </w:rPr>
          <w:fldChar w:fldCharType="end"/>
        </w:r>
      </w:hyperlink>
    </w:p>
    <w:p w14:paraId="54D51823" w14:textId="44AD28D8" w:rsidR="00067371" w:rsidRDefault="00067371">
      <w:pPr>
        <w:pStyle w:val="TOC3"/>
        <w:rPr>
          <w:rFonts w:asciiTheme="minorHAnsi" w:eastAsiaTheme="minorEastAsia" w:hAnsiTheme="minorHAnsi" w:cstheme="minorBidi"/>
          <w:kern w:val="2"/>
          <w:sz w:val="24"/>
          <w:szCs w:val="24"/>
          <w14:ligatures w14:val="standardContextual"/>
        </w:rPr>
      </w:pPr>
      <w:hyperlink w:anchor="_Toc214283509" w:history="1">
        <w:r w:rsidRPr="008F4954">
          <w:rPr>
            <w:rStyle w:val="Hyperlink"/>
          </w:rPr>
          <w:t>5.31.12</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_Toc214283509 \h </w:instrText>
        </w:r>
        <w:r>
          <w:rPr>
            <w:webHidden/>
          </w:rPr>
        </w:r>
        <w:r>
          <w:rPr>
            <w:webHidden/>
          </w:rPr>
          <w:fldChar w:fldCharType="separate"/>
        </w:r>
        <w:r>
          <w:rPr>
            <w:webHidden/>
          </w:rPr>
          <w:t>404</w:t>
        </w:r>
        <w:r>
          <w:rPr>
            <w:webHidden/>
          </w:rPr>
          <w:fldChar w:fldCharType="end"/>
        </w:r>
      </w:hyperlink>
    </w:p>
    <w:p w14:paraId="0E0BCA90" w14:textId="4BA2E4C0" w:rsidR="00067371" w:rsidRDefault="00067371">
      <w:pPr>
        <w:pStyle w:val="TOC3"/>
        <w:rPr>
          <w:rFonts w:asciiTheme="minorHAnsi" w:eastAsiaTheme="minorEastAsia" w:hAnsiTheme="minorHAnsi" w:cstheme="minorBidi"/>
          <w:kern w:val="2"/>
          <w:sz w:val="24"/>
          <w:szCs w:val="24"/>
          <w14:ligatures w14:val="standardContextual"/>
        </w:rPr>
      </w:pPr>
      <w:hyperlink w:anchor="_Toc214283510" w:history="1">
        <w:r w:rsidRPr="008F4954">
          <w:rPr>
            <w:rStyle w:val="Hyperlink"/>
          </w:rPr>
          <w:t>5.31.13</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_Toc214283510 \h </w:instrText>
        </w:r>
        <w:r>
          <w:rPr>
            <w:webHidden/>
          </w:rPr>
        </w:r>
        <w:r>
          <w:rPr>
            <w:webHidden/>
          </w:rPr>
          <w:fldChar w:fldCharType="separate"/>
        </w:r>
        <w:r>
          <w:rPr>
            <w:webHidden/>
          </w:rPr>
          <w:t>404</w:t>
        </w:r>
        <w:r>
          <w:rPr>
            <w:webHidden/>
          </w:rPr>
          <w:fldChar w:fldCharType="end"/>
        </w:r>
      </w:hyperlink>
    </w:p>
    <w:p w14:paraId="7566B39A" w14:textId="67F87AD2" w:rsidR="00067371" w:rsidRDefault="00067371">
      <w:pPr>
        <w:pStyle w:val="TOC3"/>
        <w:rPr>
          <w:rFonts w:asciiTheme="minorHAnsi" w:eastAsiaTheme="minorEastAsia" w:hAnsiTheme="minorHAnsi" w:cstheme="minorBidi"/>
          <w:kern w:val="2"/>
          <w:sz w:val="24"/>
          <w:szCs w:val="24"/>
          <w14:ligatures w14:val="standardContextual"/>
        </w:rPr>
      </w:pPr>
      <w:hyperlink w:anchor="_Toc214283511" w:history="1">
        <w:r w:rsidRPr="008F4954">
          <w:rPr>
            <w:rStyle w:val="Hyperlink"/>
          </w:rPr>
          <w:t>5.31.14</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_Toc214283511 \h </w:instrText>
        </w:r>
        <w:r>
          <w:rPr>
            <w:webHidden/>
          </w:rPr>
        </w:r>
        <w:r>
          <w:rPr>
            <w:webHidden/>
          </w:rPr>
          <w:fldChar w:fldCharType="separate"/>
        </w:r>
        <w:r>
          <w:rPr>
            <w:webHidden/>
          </w:rPr>
          <w:t>405</w:t>
        </w:r>
        <w:r>
          <w:rPr>
            <w:webHidden/>
          </w:rPr>
          <w:fldChar w:fldCharType="end"/>
        </w:r>
      </w:hyperlink>
    </w:p>
    <w:p w14:paraId="00050B1E" w14:textId="28DD5386" w:rsidR="00067371" w:rsidRDefault="00067371">
      <w:pPr>
        <w:pStyle w:val="TOC3"/>
        <w:rPr>
          <w:rFonts w:asciiTheme="minorHAnsi" w:eastAsiaTheme="minorEastAsia" w:hAnsiTheme="minorHAnsi" w:cstheme="minorBidi"/>
          <w:kern w:val="2"/>
          <w:sz w:val="24"/>
          <w:szCs w:val="24"/>
          <w14:ligatures w14:val="standardContextual"/>
        </w:rPr>
      </w:pPr>
      <w:hyperlink w:anchor="_Toc214283512" w:history="1">
        <w:r w:rsidRPr="008F4954">
          <w:rPr>
            <w:rStyle w:val="Hyperlink"/>
          </w:rPr>
          <w:t>5.31.15</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_Toc214283512 \h </w:instrText>
        </w:r>
        <w:r>
          <w:rPr>
            <w:webHidden/>
          </w:rPr>
        </w:r>
        <w:r>
          <w:rPr>
            <w:webHidden/>
          </w:rPr>
          <w:fldChar w:fldCharType="separate"/>
        </w:r>
        <w:r>
          <w:rPr>
            <w:webHidden/>
          </w:rPr>
          <w:t>405</w:t>
        </w:r>
        <w:r>
          <w:rPr>
            <w:webHidden/>
          </w:rPr>
          <w:fldChar w:fldCharType="end"/>
        </w:r>
      </w:hyperlink>
    </w:p>
    <w:p w14:paraId="5C882E3A" w14:textId="3FE33EBC" w:rsidR="00067371" w:rsidRDefault="00067371">
      <w:pPr>
        <w:pStyle w:val="TOC3"/>
        <w:rPr>
          <w:rFonts w:asciiTheme="minorHAnsi" w:eastAsiaTheme="minorEastAsia" w:hAnsiTheme="minorHAnsi" w:cstheme="minorBidi"/>
          <w:kern w:val="2"/>
          <w:sz w:val="24"/>
          <w:szCs w:val="24"/>
          <w14:ligatures w14:val="standardContextual"/>
        </w:rPr>
      </w:pPr>
      <w:hyperlink w:anchor="_Toc214283513" w:history="1">
        <w:r w:rsidRPr="008F4954">
          <w:rPr>
            <w:rStyle w:val="Hyperlink"/>
          </w:rPr>
          <w:t>5.31.16</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_Toc214283513 \h </w:instrText>
        </w:r>
        <w:r>
          <w:rPr>
            <w:webHidden/>
          </w:rPr>
        </w:r>
        <w:r>
          <w:rPr>
            <w:webHidden/>
          </w:rPr>
          <w:fldChar w:fldCharType="separate"/>
        </w:r>
        <w:r>
          <w:rPr>
            <w:webHidden/>
          </w:rPr>
          <w:t>405</w:t>
        </w:r>
        <w:r>
          <w:rPr>
            <w:webHidden/>
          </w:rPr>
          <w:fldChar w:fldCharType="end"/>
        </w:r>
      </w:hyperlink>
    </w:p>
    <w:p w14:paraId="6F6246FA" w14:textId="3E4E8090" w:rsidR="00067371" w:rsidRDefault="00067371">
      <w:pPr>
        <w:pStyle w:val="TOC3"/>
        <w:rPr>
          <w:rFonts w:asciiTheme="minorHAnsi" w:eastAsiaTheme="minorEastAsia" w:hAnsiTheme="minorHAnsi" w:cstheme="minorBidi"/>
          <w:kern w:val="2"/>
          <w:sz w:val="24"/>
          <w:szCs w:val="24"/>
          <w14:ligatures w14:val="standardContextual"/>
        </w:rPr>
      </w:pPr>
      <w:hyperlink w:anchor="_Toc214283514" w:history="1">
        <w:r w:rsidRPr="008F4954">
          <w:rPr>
            <w:rStyle w:val="Hyperlink"/>
          </w:rPr>
          <w:t>5.31.17</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_Toc214283514 \h </w:instrText>
        </w:r>
        <w:r>
          <w:rPr>
            <w:webHidden/>
          </w:rPr>
        </w:r>
        <w:r>
          <w:rPr>
            <w:webHidden/>
          </w:rPr>
          <w:fldChar w:fldCharType="separate"/>
        </w:r>
        <w:r>
          <w:rPr>
            <w:webHidden/>
          </w:rPr>
          <w:t>405</w:t>
        </w:r>
        <w:r>
          <w:rPr>
            <w:webHidden/>
          </w:rPr>
          <w:fldChar w:fldCharType="end"/>
        </w:r>
      </w:hyperlink>
    </w:p>
    <w:p w14:paraId="2849DFB4" w14:textId="719570A6" w:rsidR="00067371" w:rsidRDefault="00067371">
      <w:pPr>
        <w:pStyle w:val="TOC3"/>
        <w:rPr>
          <w:rFonts w:asciiTheme="minorHAnsi" w:eastAsiaTheme="minorEastAsia" w:hAnsiTheme="minorHAnsi" w:cstheme="minorBidi"/>
          <w:kern w:val="2"/>
          <w:sz w:val="24"/>
          <w:szCs w:val="24"/>
          <w14:ligatures w14:val="standardContextual"/>
        </w:rPr>
      </w:pPr>
      <w:hyperlink w:anchor="_Toc214283515" w:history="1">
        <w:r w:rsidRPr="008F4954">
          <w:rPr>
            <w:rStyle w:val="Hyperlink"/>
          </w:rPr>
          <w:t>5.31.18</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_Toc214283515 \h </w:instrText>
        </w:r>
        <w:r>
          <w:rPr>
            <w:webHidden/>
          </w:rPr>
        </w:r>
        <w:r>
          <w:rPr>
            <w:webHidden/>
          </w:rPr>
          <w:fldChar w:fldCharType="separate"/>
        </w:r>
        <w:r>
          <w:rPr>
            <w:webHidden/>
          </w:rPr>
          <w:t>405</w:t>
        </w:r>
        <w:r>
          <w:rPr>
            <w:webHidden/>
          </w:rPr>
          <w:fldChar w:fldCharType="end"/>
        </w:r>
      </w:hyperlink>
    </w:p>
    <w:p w14:paraId="3517D209" w14:textId="28E2A014" w:rsidR="00067371" w:rsidRDefault="00067371">
      <w:pPr>
        <w:pStyle w:val="TOC3"/>
        <w:rPr>
          <w:rFonts w:asciiTheme="minorHAnsi" w:eastAsiaTheme="minorEastAsia" w:hAnsiTheme="minorHAnsi" w:cstheme="minorBidi"/>
          <w:kern w:val="2"/>
          <w:sz w:val="24"/>
          <w:szCs w:val="24"/>
          <w14:ligatures w14:val="standardContextual"/>
        </w:rPr>
      </w:pPr>
      <w:hyperlink w:anchor="_Toc214283516" w:history="1">
        <w:r w:rsidRPr="008F4954">
          <w:rPr>
            <w:rStyle w:val="Hyperlink"/>
          </w:rPr>
          <w:t>5.31.19</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_Toc214283516 \h </w:instrText>
        </w:r>
        <w:r>
          <w:rPr>
            <w:webHidden/>
          </w:rPr>
        </w:r>
        <w:r>
          <w:rPr>
            <w:webHidden/>
          </w:rPr>
          <w:fldChar w:fldCharType="separate"/>
        </w:r>
        <w:r>
          <w:rPr>
            <w:webHidden/>
          </w:rPr>
          <w:t>405</w:t>
        </w:r>
        <w:r>
          <w:rPr>
            <w:webHidden/>
          </w:rPr>
          <w:fldChar w:fldCharType="end"/>
        </w:r>
      </w:hyperlink>
    </w:p>
    <w:p w14:paraId="6DE16E58" w14:textId="12A5832B" w:rsidR="00067371" w:rsidRDefault="00067371">
      <w:pPr>
        <w:pStyle w:val="TOC3"/>
        <w:rPr>
          <w:rFonts w:asciiTheme="minorHAnsi" w:eastAsiaTheme="minorEastAsia" w:hAnsiTheme="minorHAnsi" w:cstheme="minorBidi"/>
          <w:kern w:val="2"/>
          <w:sz w:val="24"/>
          <w:szCs w:val="24"/>
          <w14:ligatures w14:val="standardContextual"/>
        </w:rPr>
      </w:pPr>
      <w:hyperlink w:anchor="_Toc214283517" w:history="1">
        <w:r w:rsidRPr="008F4954">
          <w:rPr>
            <w:rStyle w:val="Hyperlink"/>
          </w:rPr>
          <w:t>5.31.20</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_Toc214283517 \h </w:instrText>
        </w:r>
        <w:r>
          <w:rPr>
            <w:webHidden/>
          </w:rPr>
        </w:r>
        <w:r>
          <w:rPr>
            <w:webHidden/>
          </w:rPr>
          <w:fldChar w:fldCharType="separate"/>
        </w:r>
        <w:r>
          <w:rPr>
            <w:webHidden/>
          </w:rPr>
          <w:t>405</w:t>
        </w:r>
        <w:r>
          <w:rPr>
            <w:webHidden/>
          </w:rPr>
          <w:fldChar w:fldCharType="end"/>
        </w:r>
      </w:hyperlink>
    </w:p>
    <w:p w14:paraId="7C532651" w14:textId="5A4AC6F8"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518" w:history="1">
        <w:r w:rsidRPr="008F4954">
          <w:rPr>
            <w:rStyle w:val="Hyperlink"/>
          </w:rPr>
          <w:t>5.32</w:t>
        </w:r>
        <w:r>
          <w:rPr>
            <w:rFonts w:asciiTheme="minorHAnsi" w:eastAsiaTheme="minorEastAsia" w:hAnsiTheme="minorHAnsi" w:cstheme="minorBidi"/>
            <w:smallCaps w:val="0"/>
            <w:kern w:val="2"/>
            <w:szCs w:val="24"/>
            <w14:ligatures w14:val="standardContextual"/>
          </w:rPr>
          <w:tab/>
        </w:r>
        <w:r w:rsidRPr="008F4954">
          <w:rPr>
            <w:rStyle w:val="Hyperlink"/>
          </w:rPr>
          <w:t>TRACKS TOOL</w:t>
        </w:r>
        <w:r>
          <w:rPr>
            <w:webHidden/>
          </w:rPr>
          <w:tab/>
        </w:r>
        <w:r>
          <w:rPr>
            <w:webHidden/>
          </w:rPr>
          <w:fldChar w:fldCharType="begin"/>
        </w:r>
        <w:r>
          <w:rPr>
            <w:webHidden/>
          </w:rPr>
          <w:instrText xml:space="preserve"> PAGEREF _Toc214283518 \h </w:instrText>
        </w:r>
        <w:r>
          <w:rPr>
            <w:webHidden/>
          </w:rPr>
        </w:r>
        <w:r>
          <w:rPr>
            <w:webHidden/>
          </w:rPr>
          <w:fldChar w:fldCharType="separate"/>
        </w:r>
        <w:r>
          <w:rPr>
            <w:webHidden/>
          </w:rPr>
          <w:t>406</w:t>
        </w:r>
        <w:r>
          <w:rPr>
            <w:webHidden/>
          </w:rPr>
          <w:fldChar w:fldCharType="end"/>
        </w:r>
      </w:hyperlink>
    </w:p>
    <w:p w14:paraId="1CF1F77A" w14:textId="3E6E8FF1" w:rsidR="00067371" w:rsidRDefault="00067371">
      <w:pPr>
        <w:pStyle w:val="TOC3"/>
        <w:rPr>
          <w:rFonts w:asciiTheme="minorHAnsi" w:eastAsiaTheme="minorEastAsia" w:hAnsiTheme="minorHAnsi" w:cstheme="minorBidi"/>
          <w:kern w:val="2"/>
          <w:sz w:val="24"/>
          <w:szCs w:val="24"/>
          <w14:ligatures w14:val="standardContextual"/>
        </w:rPr>
      </w:pPr>
      <w:hyperlink w:anchor="_Toc214283519" w:history="1">
        <w:r w:rsidRPr="008F4954">
          <w:rPr>
            <w:rStyle w:val="Hyperlink"/>
          </w:rPr>
          <w:t>5.32.1</w:t>
        </w:r>
        <w:r>
          <w:rPr>
            <w:rFonts w:asciiTheme="minorHAnsi" w:eastAsiaTheme="minorEastAsia" w:hAnsiTheme="minorHAnsi" w:cstheme="minorBidi"/>
            <w:kern w:val="2"/>
            <w:sz w:val="24"/>
            <w:szCs w:val="24"/>
            <w14:ligatures w14:val="standardContextual"/>
          </w:rPr>
          <w:tab/>
        </w:r>
        <w:r w:rsidRPr="008F4954">
          <w:rPr>
            <w:rStyle w:val="Hyperlink"/>
          </w:rPr>
          <w:t>Filters</w:t>
        </w:r>
        <w:r>
          <w:rPr>
            <w:webHidden/>
          </w:rPr>
          <w:tab/>
        </w:r>
        <w:r>
          <w:rPr>
            <w:webHidden/>
          </w:rPr>
          <w:fldChar w:fldCharType="begin"/>
        </w:r>
        <w:r>
          <w:rPr>
            <w:webHidden/>
          </w:rPr>
          <w:instrText xml:space="preserve"> PAGEREF _Toc214283519 \h </w:instrText>
        </w:r>
        <w:r>
          <w:rPr>
            <w:webHidden/>
          </w:rPr>
        </w:r>
        <w:r>
          <w:rPr>
            <w:webHidden/>
          </w:rPr>
          <w:fldChar w:fldCharType="separate"/>
        </w:r>
        <w:r>
          <w:rPr>
            <w:webHidden/>
          </w:rPr>
          <w:t>408</w:t>
        </w:r>
        <w:r>
          <w:rPr>
            <w:webHidden/>
          </w:rPr>
          <w:fldChar w:fldCharType="end"/>
        </w:r>
      </w:hyperlink>
    </w:p>
    <w:p w14:paraId="09AFB527" w14:textId="14A935C0" w:rsidR="00067371" w:rsidRDefault="00067371">
      <w:pPr>
        <w:pStyle w:val="TOC3"/>
        <w:rPr>
          <w:rFonts w:asciiTheme="minorHAnsi" w:eastAsiaTheme="minorEastAsia" w:hAnsiTheme="minorHAnsi" w:cstheme="minorBidi"/>
          <w:kern w:val="2"/>
          <w:sz w:val="24"/>
          <w:szCs w:val="24"/>
          <w14:ligatures w14:val="standardContextual"/>
        </w:rPr>
      </w:pPr>
      <w:hyperlink w:anchor="_Toc214283520" w:history="1">
        <w:r w:rsidRPr="008F4954">
          <w:rPr>
            <w:rStyle w:val="Hyperlink"/>
          </w:rPr>
          <w:t>5.32.2</w:t>
        </w:r>
        <w:r>
          <w:rPr>
            <w:rFonts w:asciiTheme="minorHAnsi" w:eastAsiaTheme="minorEastAsia" w:hAnsiTheme="minorHAnsi" w:cstheme="minorBidi"/>
            <w:kern w:val="2"/>
            <w:sz w:val="24"/>
            <w:szCs w:val="24"/>
            <w14:ligatures w14:val="standardContextual"/>
          </w:rPr>
          <w:tab/>
        </w:r>
        <w:r w:rsidRPr="008F4954">
          <w:rPr>
            <w:rStyle w:val="Hyperlink"/>
          </w:rPr>
          <w:t>Create New Filter</w:t>
        </w:r>
        <w:r>
          <w:rPr>
            <w:webHidden/>
          </w:rPr>
          <w:tab/>
        </w:r>
        <w:r>
          <w:rPr>
            <w:webHidden/>
          </w:rPr>
          <w:fldChar w:fldCharType="begin"/>
        </w:r>
        <w:r>
          <w:rPr>
            <w:webHidden/>
          </w:rPr>
          <w:instrText xml:space="preserve"> PAGEREF _Toc214283520 \h </w:instrText>
        </w:r>
        <w:r>
          <w:rPr>
            <w:webHidden/>
          </w:rPr>
        </w:r>
        <w:r>
          <w:rPr>
            <w:webHidden/>
          </w:rPr>
          <w:fldChar w:fldCharType="separate"/>
        </w:r>
        <w:r>
          <w:rPr>
            <w:webHidden/>
          </w:rPr>
          <w:t>410</w:t>
        </w:r>
        <w:r>
          <w:rPr>
            <w:webHidden/>
          </w:rPr>
          <w:fldChar w:fldCharType="end"/>
        </w:r>
      </w:hyperlink>
    </w:p>
    <w:p w14:paraId="34C544A1" w14:textId="511534DF" w:rsidR="00067371" w:rsidRDefault="00067371">
      <w:pPr>
        <w:pStyle w:val="TOC3"/>
        <w:rPr>
          <w:rFonts w:asciiTheme="minorHAnsi" w:eastAsiaTheme="minorEastAsia" w:hAnsiTheme="minorHAnsi" w:cstheme="minorBidi"/>
          <w:kern w:val="2"/>
          <w:sz w:val="24"/>
          <w:szCs w:val="24"/>
          <w14:ligatures w14:val="standardContextual"/>
        </w:rPr>
      </w:pPr>
      <w:hyperlink w:anchor="_Toc214283521" w:history="1">
        <w:r w:rsidRPr="008F4954">
          <w:rPr>
            <w:rStyle w:val="Hyperlink"/>
          </w:rPr>
          <w:t>5.32.3</w:t>
        </w:r>
        <w:r>
          <w:rPr>
            <w:rFonts w:asciiTheme="minorHAnsi" w:eastAsiaTheme="minorEastAsia" w:hAnsiTheme="minorHAnsi" w:cstheme="minorBidi"/>
            <w:kern w:val="2"/>
            <w:sz w:val="24"/>
            <w:szCs w:val="24"/>
            <w14:ligatures w14:val="standardContextual"/>
          </w:rPr>
          <w:tab/>
        </w:r>
        <w:r w:rsidRPr="008F4954">
          <w:rPr>
            <w:rStyle w:val="Hyperlink"/>
          </w:rPr>
          <w:t>Track Filter Status</w:t>
        </w:r>
        <w:r>
          <w:rPr>
            <w:webHidden/>
          </w:rPr>
          <w:tab/>
        </w:r>
        <w:r>
          <w:rPr>
            <w:webHidden/>
          </w:rPr>
          <w:fldChar w:fldCharType="begin"/>
        </w:r>
        <w:r>
          <w:rPr>
            <w:webHidden/>
          </w:rPr>
          <w:instrText xml:space="preserve"> PAGEREF _Toc214283521 \h </w:instrText>
        </w:r>
        <w:r>
          <w:rPr>
            <w:webHidden/>
          </w:rPr>
        </w:r>
        <w:r>
          <w:rPr>
            <w:webHidden/>
          </w:rPr>
          <w:fldChar w:fldCharType="separate"/>
        </w:r>
        <w:r>
          <w:rPr>
            <w:webHidden/>
          </w:rPr>
          <w:t>411</w:t>
        </w:r>
        <w:r>
          <w:rPr>
            <w:webHidden/>
          </w:rPr>
          <w:fldChar w:fldCharType="end"/>
        </w:r>
      </w:hyperlink>
    </w:p>
    <w:p w14:paraId="0EE69574" w14:textId="76AADE87" w:rsidR="00067371" w:rsidRDefault="00067371">
      <w:pPr>
        <w:pStyle w:val="TOC3"/>
        <w:rPr>
          <w:rFonts w:asciiTheme="minorHAnsi" w:eastAsiaTheme="minorEastAsia" w:hAnsiTheme="minorHAnsi" w:cstheme="minorBidi"/>
          <w:kern w:val="2"/>
          <w:sz w:val="24"/>
          <w:szCs w:val="24"/>
          <w14:ligatures w14:val="standardContextual"/>
        </w:rPr>
      </w:pPr>
      <w:hyperlink w:anchor="_Toc214283522" w:history="1">
        <w:r w:rsidRPr="008F4954">
          <w:rPr>
            <w:rStyle w:val="Hyperlink"/>
          </w:rPr>
          <w:t>5.32.4</w:t>
        </w:r>
        <w:r>
          <w:rPr>
            <w:rFonts w:asciiTheme="minorHAnsi" w:eastAsiaTheme="minorEastAsia" w:hAnsiTheme="minorHAnsi" w:cstheme="minorBidi"/>
            <w:kern w:val="2"/>
            <w:sz w:val="24"/>
            <w:szCs w:val="24"/>
            <w14:ligatures w14:val="standardContextual"/>
          </w:rPr>
          <w:tab/>
        </w:r>
        <w:r w:rsidRPr="008F4954">
          <w:rPr>
            <w:rStyle w:val="Hyperlink"/>
          </w:rPr>
          <w:t>Filter Displayed Tracks</w:t>
        </w:r>
        <w:r>
          <w:rPr>
            <w:webHidden/>
          </w:rPr>
          <w:tab/>
        </w:r>
        <w:r>
          <w:rPr>
            <w:webHidden/>
          </w:rPr>
          <w:fldChar w:fldCharType="begin"/>
        </w:r>
        <w:r>
          <w:rPr>
            <w:webHidden/>
          </w:rPr>
          <w:instrText xml:space="preserve"> PAGEREF _Toc214283522 \h </w:instrText>
        </w:r>
        <w:r>
          <w:rPr>
            <w:webHidden/>
          </w:rPr>
        </w:r>
        <w:r>
          <w:rPr>
            <w:webHidden/>
          </w:rPr>
          <w:fldChar w:fldCharType="separate"/>
        </w:r>
        <w:r>
          <w:rPr>
            <w:webHidden/>
          </w:rPr>
          <w:t>411</w:t>
        </w:r>
        <w:r>
          <w:rPr>
            <w:webHidden/>
          </w:rPr>
          <w:fldChar w:fldCharType="end"/>
        </w:r>
      </w:hyperlink>
    </w:p>
    <w:p w14:paraId="3F004920" w14:textId="5763B1F1" w:rsidR="00067371" w:rsidRDefault="00067371">
      <w:pPr>
        <w:pStyle w:val="TOC3"/>
        <w:rPr>
          <w:rFonts w:asciiTheme="minorHAnsi" w:eastAsiaTheme="minorEastAsia" w:hAnsiTheme="minorHAnsi" w:cstheme="minorBidi"/>
          <w:kern w:val="2"/>
          <w:sz w:val="24"/>
          <w:szCs w:val="24"/>
          <w14:ligatures w14:val="standardContextual"/>
        </w:rPr>
      </w:pPr>
      <w:hyperlink w:anchor="_Toc214283523" w:history="1">
        <w:r w:rsidRPr="008F4954">
          <w:rPr>
            <w:rStyle w:val="Hyperlink"/>
          </w:rPr>
          <w:t>5.32.5</w:t>
        </w:r>
        <w:r>
          <w:rPr>
            <w:rFonts w:asciiTheme="minorHAnsi" w:eastAsiaTheme="minorEastAsia" w:hAnsiTheme="minorHAnsi" w:cstheme="minorBidi"/>
            <w:kern w:val="2"/>
            <w:sz w:val="24"/>
            <w:szCs w:val="24"/>
            <w14:ligatures w14:val="standardContextual"/>
          </w:rPr>
          <w:tab/>
        </w:r>
        <w:r w:rsidRPr="008F4954">
          <w:rPr>
            <w:rStyle w:val="Hyperlink"/>
          </w:rPr>
          <w:t>Search filter</w:t>
        </w:r>
        <w:r>
          <w:rPr>
            <w:webHidden/>
          </w:rPr>
          <w:tab/>
        </w:r>
        <w:r>
          <w:rPr>
            <w:webHidden/>
          </w:rPr>
          <w:fldChar w:fldCharType="begin"/>
        </w:r>
        <w:r>
          <w:rPr>
            <w:webHidden/>
          </w:rPr>
          <w:instrText xml:space="preserve"> PAGEREF _Toc214283523 \h </w:instrText>
        </w:r>
        <w:r>
          <w:rPr>
            <w:webHidden/>
          </w:rPr>
        </w:r>
        <w:r>
          <w:rPr>
            <w:webHidden/>
          </w:rPr>
          <w:fldChar w:fldCharType="separate"/>
        </w:r>
        <w:r>
          <w:rPr>
            <w:webHidden/>
          </w:rPr>
          <w:t>412</w:t>
        </w:r>
        <w:r>
          <w:rPr>
            <w:webHidden/>
          </w:rPr>
          <w:fldChar w:fldCharType="end"/>
        </w:r>
      </w:hyperlink>
    </w:p>
    <w:p w14:paraId="09021D21" w14:textId="095F8107" w:rsidR="00067371" w:rsidRDefault="00067371">
      <w:pPr>
        <w:pStyle w:val="TOC3"/>
        <w:rPr>
          <w:rFonts w:asciiTheme="minorHAnsi" w:eastAsiaTheme="minorEastAsia" w:hAnsiTheme="minorHAnsi" w:cstheme="minorBidi"/>
          <w:kern w:val="2"/>
          <w:sz w:val="24"/>
          <w:szCs w:val="24"/>
          <w14:ligatures w14:val="standardContextual"/>
        </w:rPr>
      </w:pPr>
      <w:hyperlink w:anchor="_Toc214283524" w:history="1">
        <w:r w:rsidRPr="008F4954">
          <w:rPr>
            <w:rStyle w:val="Hyperlink"/>
          </w:rPr>
          <w:t>5.32.6</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_Toc214283524 \h </w:instrText>
        </w:r>
        <w:r>
          <w:rPr>
            <w:webHidden/>
          </w:rPr>
        </w:r>
        <w:r>
          <w:rPr>
            <w:webHidden/>
          </w:rPr>
          <w:fldChar w:fldCharType="separate"/>
        </w:r>
        <w:r>
          <w:rPr>
            <w:webHidden/>
          </w:rPr>
          <w:t>412</w:t>
        </w:r>
        <w:r>
          <w:rPr>
            <w:webHidden/>
          </w:rPr>
          <w:fldChar w:fldCharType="end"/>
        </w:r>
      </w:hyperlink>
    </w:p>
    <w:p w14:paraId="31243FEC" w14:textId="14729543" w:rsidR="00067371" w:rsidRDefault="00067371">
      <w:pPr>
        <w:pStyle w:val="TOC3"/>
        <w:rPr>
          <w:rFonts w:asciiTheme="minorHAnsi" w:eastAsiaTheme="minorEastAsia" w:hAnsiTheme="minorHAnsi" w:cstheme="minorBidi"/>
          <w:kern w:val="2"/>
          <w:sz w:val="24"/>
          <w:szCs w:val="24"/>
          <w14:ligatures w14:val="standardContextual"/>
        </w:rPr>
      </w:pPr>
      <w:hyperlink w:anchor="_Toc214283525" w:history="1">
        <w:r w:rsidRPr="008F4954">
          <w:rPr>
            <w:rStyle w:val="Hyperlink"/>
          </w:rPr>
          <w:t>5.32.7</w:t>
        </w:r>
        <w:r>
          <w:rPr>
            <w:rFonts w:asciiTheme="minorHAnsi" w:eastAsiaTheme="minorEastAsia" w:hAnsiTheme="minorHAnsi" w:cstheme="minorBidi"/>
            <w:kern w:val="2"/>
            <w:sz w:val="24"/>
            <w:szCs w:val="24"/>
            <w14:ligatures w14:val="standardContextual"/>
          </w:rPr>
          <w:tab/>
        </w:r>
        <w:r w:rsidRPr="008F4954">
          <w:rPr>
            <w:rStyle w:val="Hyperlink"/>
          </w:rPr>
          <w:t>Display Geographically</w:t>
        </w:r>
        <w:r>
          <w:rPr>
            <w:webHidden/>
          </w:rPr>
          <w:tab/>
        </w:r>
        <w:r>
          <w:rPr>
            <w:webHidden/>
          </w:rPr>
          <w:fldChar w:fldCharType="begin"/>
        </w:r>
        <w:r>
          <w:rPr>
            <w:webHidden/>
          </w:rPr>
          <w:instrText xml:space="preserve"> PAGEREF _Toc214283525 \h </w:instrText>
        </w:r>
        <w:r>
          <w:rPr>
            <w:webHidden/>
          </w:rPr>
        </w:r>
        <w:r>
          <w:rPr>
            <w:webHidden/>
          </w:rPr>
          <w:fldChar w:fldCharType="separate"/>
        </w:r>
        <w:r>
          <w:rPr>
            <w:webHidden/>
          </w:rPr>
          <w:t>413</w:t>
        </w:r>
        <w:r>
          <w:rPr>
            <w:webHidden/>
          </w:rPr>
          <w:fldChar w:fldCharType="end"/>
        </w:r>
      </w:hyperlink>
    </w:p>
    <w:p w14:paraId="56B51EC5" w14:textId="24BF5ABA" w:rsidR="00067371" w:rsidRDefault="00067371">
      <w:pPr>
        <w:pStyle w:val="TOC3"/>
        <w:rPr>
          <w:rFonts w:asciiTheme="minorHAnsi" w:eastAsiaTheme="minorEastAsia" w:hAnsiTheme="minorHAnsi" w:cstheme="minorBidi"/>
          <w:kern w:val="2"/>
          <w:sz w:val="24"/>
          <w:szCs w:val="24"/>
          <w14:ligatures w14:val="standardContextual"/>
        </w:rPr>
      </w:pPr>
      <w:hyperlink w:anchor="_Toc214283526" w:history="1">
        <w:r w:rsidRPr="008F4954">
          <w:rPr>
            <w:rStyle w:val="Hyperlink"/>
          </w:rPr>
          <w:t>5.32.8</w:t>
        </w:r>
        <w:r>
          <w:rPr>
            <w:rFonts w:asciiTheme="minorHAnsi" w:eastAsiaTheme="minorEastAsia" w:hAnsiTheme="minorHAnsi" w:cstheme="minorBidi"/>
            <w:kern w:val="2"/>
            <w:sz w:val="24"/>
            <w:szCs w:val="24"/>
            <w14:ligatures w14:val="standardContextual"/>
          </w:rPr>
          <w:tab/>
        </w:r>
        <w:r w:rsidRPr="008F4954">
          <w:rPr>
            <w:rStyle w:val="Hyperlink"/>
          </w:rPr>
          <w:t>Set as Track of Interest</w:t>
        </w:r>
        <w:r>
          <w:rPr>
            <w:webHidden/>
          </w:rPr>
          <w:tab/>
        </w:r>
        <w:r>
          <w:rPr>
            <w:webHidden/>
          </w:rPr>
          <w:fldChar w:fldCharType="begin"/>
        </w:r>
        <w:r>
          <w:rPr>
            <w:webHidden/>
          </w:rPr>
          <w:instrText xml:space="preserve"> PAGEREF _Toc214283526 \h </w:instrText>
        </w:r>
        <w:r>
          <w:rPr>
            <w:webHidden/>
          </w:rPr>
        </w:r>
        <w:r>
          <w:rPr>
            <w:webHidden/>
          </w:rPr>
          <w:fldChar w:fldCharType="separate"/>
        </w:r>
        <w:r>
          <w:rPr>
            <w:webHidden/>
          </w:rPr>
          <w:t>414</w:t>
        </w:r>
        <w:r>
          <w:rPr>
            <w:webHidden/>
          </w:rPr>
          <w:fldChar w:fldCharType="end"/>
        </w:r>
      </w:hyperlink>
    </w:p>
    <w:p w14:paraId="7D6A43D4" w14:textId="47F3E500" w:rsidR="00067371" w:rsidRDefault="00067371">
      <w:pPr>
        <w:pStyle w:val="TOC3"/>
        <w:rPr>
          <w:rFonts w:asciiTheme="minorHAnsi" w:eastAsiaTheme="minorEastAsia" w:hAnsiTheme="minorHAnsi" w:cstheme="minorBidi"/>
          <w:kern w:val="2"/>
          <w:sz w:val="24"/>
          <w:szCs w:val="24"/>
          <w14:ligatures w14:val="standardContextual"/>
        </w:rPr>
      </w:pPr>
      <w:hyperlink w:anchor="_Toc214283527" w:history="1">
        <w:r w:rsidRPr="008F4954">
          <w:rPr>
            <w:rStyle w:val="Hyperlink"/>
          </w:rPr>
          <w:t>5.32.9</w:t>
        </w:r>
        <w:r>
          <w:rPr>
            <w:rFonts w:asciiTheme="minorHAnsi" w:eastAsiaTheme="minorEastAsia" w:hAnsiTheme="minorHAnsi" w:cstheme="minorBidi"/>
            <w:kern w:val="2"/>
            <w:sz w:val="24"/>
            <w:szCs w:val="24"/>
            <w14:ligatures w14:val="standardContextual"/>
          </w:rPr>
          <w:tab/>
        </w:r>
        <w:r w:rsidRPr="008F4954">
          <w:rPr>
            <w:rStyle w:val="Hyperlink"/>
          </w:rPr>
          <w:t>Add/Edit (Manual) Track</w:t>
        </w:r>
        <w:r>
          <w:rPr>
            <w:webHidden/>
          </w:rPr>
          <w:tab/>
        </w:r>
        <w:r>
          <w:rPr>
            <w:webHidden/>
          </w:rPr>
          <w:fldChar w:fldCharType="begin"/>
        </w:r>
        <w:r>
          <w:rPr>
            <w:webHidden/>
          </w:rPr>
          <w:instrText xml:space="preserve"> PAGEREF _Toc214283527 \h </w:instrText>
        </w:r>
        <w:r>
          <w:rPr>
            <w:webHidden/>
          </w:rPr>
        </w:r>
        <w:r>
          <w:rPr>
            <w:webHidden/>
          </w:rPr>
          <w:fldChar w:fldCharType="separate"/>
        </w:r>
        <w:r>
          <w:rPr>
            <w:webHidden/>
          </w:rPr>
          <w:t>414</w:t>
        </w:r>
        <w:r>
          <w:rPr>
            <w:webHidden/>
          </w:rPr>
          <w:fldChar w:fldCharType="end"/>
        </w:r>
      </w:hyperlink>
    </w:p>
    <w:p w14:paraId="70B91B2B" w14:textId="410DC6BC" w:rsidR="00067371" w:rsidRDefault="00067371">
      <w:pPr>
        <w:pStyle w:val="TOC3"/>
        <w:rPr>
          <w:rFonts w:asciiTheme="minorHAnsi" w:eastAsiaTheme="minorEastAsia" w:hAnsiTheme="minorHAnsi" w:cstheme="minorBidi"/>
          <w:kern w:val="2"/>
          <w:sz w:val="24"/>
          <w:szCs w:val="24"/>
          <w14:ligatures w14:val="standardContextual"/>
        </w:rPr>
      </w:pPr>
      <w:hyperlink w:anchor="_Toc214283528" w:history="1">
        <w:r w:rsidRPr="008F4954">
          <w:rPr>
            <w:rStyle w:val="Hyperlink"/>
          </w:rPr>
          <w:t>5.32.10</w:t>
        </w:r>
        <w:r>
          <w:rPr>
            <w:rFonts w:asciiTheme="minorHAnsi" w:eastAsiaTheme="minorEastAsia" w:hAnsiTheme="minorHAnsi" w:cstheme="minorBidi"/>
            <w:kern w:val="2"/>
            <w:sz w:val="24"/>
            <w:szCs w:val="24"/>
            <w14:ligatures w14:val="standardContextual"/>
          </w:rPr>
          <w:tab/>
        </w:r>
        <w:r w:rsidRPr="008F4954">
          <w:rPr>
            <w:rStyle w:val="Hyperlink"/>
          </w:rPr>
          <w:t>Associate Tracks</w:t>
        </w:r>
        <w:r>
          <w:rPr>
            <w:webHidden/>
          </w:rPr>
          <w:tab/>
        </w:r>
        <w:r>
          <w:rPr>
            <w:webHidden/>
          </w:rPr>
          <w:fldChar w:fldCharType="begin"/>
        </w:r>
        <w:r>
          <w:rPr>
            <w:webHidden/>
          </w:rPr>
          <w:instrText xml:space="preserve"> PAGEREF _Toc214283528 \h </w:instrText>
        </w:r>
        <w:r>
          <w:rPr>
            <w:webHidden/>
          </w:rPr>
        </w:r>
        <w:r>
          <w:rPr>
            <w:webHidden/>
          </w:rPr>
          <w:fldChar w:fldCharType="separate"/>
        </w:r>
        <w:r>
          <w:rPr>
            <w:webHidden/>
          </w:rPr>
          <w:t>417</w:t>
        </w:r>
        <w:r>
          <w:rPr>
            <w:webHidden/>
          </w:rPr>
          <w:fldChar w:fldCharType="end"/>
        </w:r>
      </w:hyperlink>
    </w:p>
    <w:p w14:paraId="085423E8" w14:textId="07B68195" w:rsidR="00067371" w:rsidRDefault="00067371">
      <w:pPr>
        <w:pStyle w:val="TOC3"/>
        <w:rPr>
          <w:rFonts w:asciiTheme="minorHAnsi" w:eastAsiaTheme="minorEastAsia" w:hAnsiTheme="minorHAnsi" w:cstheme="minorBidi"/>
          <w:kern w:val="2"/>
          <w:sz w:val="24"/>
          <w:szCs w:val="24"/>
          <w14:ligatures w14:val="standardContextual"/>
        </w:rPr>
      </w:pPr>
      <w:hyperlink w:anchor="_Toc214283529" w:history="1">
        <w:r w:rsidRPr="008F4954">
          <w:rPr>
            <w:rStyle w:val="Hyperlink"/>
          </w:rPr>
          <w:t>5.32.11</w:t>
        </w:r>
        <w:r>
          <w:rPr>
            <w:rFonts w:asciiTheme="minorHAnsi" w:eastAsiaTheme="minorEastAsia" w:hAnsiTheme="minorHAnsi" w:cstheme="minorBidi"/>
            <w:kern w:val="2"/>
            <w:sz w:val="24"/>
            <w:szCs w:val="24"/>
            <w14:ligatures w14:val="standardContextual"/>
          </w:rPr>
          <w:tab/>
        </w:r>
        <w:r w:rsidRPr="008F4954">
          <w:rPr>
            <w:rStyle w:val="Hyperlink"/>
          </w:rPr>
          <w:t>Disassociate Tracks</w:t>
        </w:r>
        <w:r>
          <w:rPr>
            <w:webHidden/>
          </w:rPr>
          <w:tab/>
        </w:r>
        <w:r>
          <w:rPr>
            <w:webHidden/>
          </w:rPr>
          <w:fldChar w:fldCharType="begin"/>
        </w:r>
        <w:r>
          <w:rPr>
            <w:webHidden/>
          </w:rPr>
          <w:instrText xml:space="preserve"> PAGEREF _Toc214283529 \h </w:instrText>
        </w:r>
        <w:r>
          <w:rPr>
            <w:webHidden/>
          </w:rPr>
        </w:r>
        <w:r>
          <w:rPr>
            <w:webHidden/>
          </w:rPr>
          <w:fldChar w:fldCharType="separate"/>
        </w:r>
        <w:r>
          <w:rPr>
            <w:webHidden/>
          </w:rPr>
          <w:t>418</w:t>
        </w:r>
        <w:r>
          <w:rPr>
            <w:webHidden/>
          </w:rPr>
          <w:fldChar w:fldCharType="end"/>
        </w:r>
      </w:hyperlink>
    </w:p>
    <w:p w14:paraId="1EF22252" w14:textId="341F639A" w:rsidR="00067371" w:rsidRDefault="00067371">
      <w:pPr>
        <w:pStyle w:val="TOC3"/>
        <w:rPr>
          <w:rFonts w:asciiTheme="minorHAnsi" w:eastAsiaTheme="minorEastAsia" w:hAnsiTheme="minorHAnsi" w:cstheme="minorBidi"/>
          <w:kern w:val="2"/>
          <w:sz w:val="24"/>
          <w:szCs w:val="24"/>
          <w14:ligatures w14:val="standardContextual"/>
        </w:rPr>
      </w:pPr>
      <w:hyperlink w:anchor="_Toc214283530" w:history="1">
        <w:r w:rsidRPr="008F4954">
          <w:rPr>
            <w:rStyle w:val="Hyperlink"/>
          </w:rPr>
          <w:t>5.32.12</w:t>
        </w:r>
        <w:r>
          <w:rPr>
            <w:rFonts w:asciiTheme="minorHAnsi" w:eastAsiaTheme="minorEastAsia" w:hAnsiTheme="minorHAnsi" w:cstheme="minorBidi"/>
            <w:kern w:val="2"/>
            <w:sz w:val="24"/>
            <w:szCs w:val="24"/>
            <w14:ligatures w14:val="standardContextual"/>
          </w:rPr>
          <w:tab/>
        </w:r>
        <w:r w:rsidRPr="008F4954">
          <w:rPr>
            <w:rStyle w:val="Hyperlink"/>
          </w:rPr>
          <w:t>Show Filtered Tracks</w:t>
        </w:r>
        <w:r>
          <w:rPr>
            <w:webHidden/>
          </w:rPr>
          <w:tab/>
        </w:r>
        <w:r>
          <w:rPr>
            <w:webHidden/>
          </w:rPr>
          <w:fldChar w:fldCharType="begin"/>
        </w:r>
        <w:r>
          <w:rPr>
            <w:webHidden/>
          </w:rPr>
          <w:instrText xml:space="preserve"> PAGEREF _Toc214283530 \h </w:instrText>
        </w:r>
        <w:r>
          <w:rPr>
            <w:webHidden/>
          </w:rPr>
        </w:r>
        <w:r>
          <w:rPr>
            <w:webHidden/>
          </w:rPr>
          <w:fldChar w:fldCharType="separate"/>
        </w:r>
        <w:r>
          <w:rPr>
            <w:webHidden/>
          </w:rPr>
          <w:t>418</w:t>
        </w:r>
        <w:r>
          <w:rPr>
            <w:webHidden/>
          </w:rPr>
          <w:fldChar w:fldCharType="end"/>
        </w:r>
      </w:hyperlink>
    </w:p>
    <w:p w14:paraId="4A1B6F9E" w14:textId="4221C4B1" w:rsidR="00067371" w:rsidRDefault="00067371">
      <w:pPr>
        <w:pStyle w:val="TOC3"/>
        <w:rPr>
          <w:rFonts w:asciiTheme="minorHAnsi" w:eastAsiaTheme="minorEastAsia" w:hAnsiTheme="minorHAnsi" w:cstheme="minorBidi"/>
          <w:kern w:val="2"/>
          <w:sz w:val="24"/>
          <w:szCs w:val="24"/>
          <w14:ligatures w14:val="standardContextual"/>
        </w:rPr>
      </w:pPr>
      <w:hyperlink w:anchor="_Toc214283531" w:history="1">
        <w:r w:rsidRPr="008F4954">
          <w:rPr>
            <w:rStyle w:val="Hyperlink"/>
          </w:rPr>
          <w:t>5.32.13</w:t>
        </w:r>
        <w:r>
          <w:rPr>
            <w:rFonts w:asciiTheme="minorHAnsi" w:eastAsiaTheme="minorEastAsia" w:hAnsiTheme="minorHAnsi" w:cstheme="minorBidi"/>
            <w:kern w:val="2"/>
            <w:sz w:val="24"/>
            <w:szCs w:val="24"/>
            <w14:ligatures w14:val="standardContextual"/>
          </w:rPr>
          <w:tab/>
        </w:r>
        <w:r w:rsidRPr="008F4954">
          <w:rPr>
            <w:rStyle w:val="Hyperlink"/>
          </w:rPr>
          <w:t>Track Connections Status Bar</w:t>
        </w:r>
        <w:r>
          <w:rPr>
            <w:webHidden/>
          </w:rPr>
          <w:tab/>
        </w:r>
        <w:r>
          <w:rPr>
            <w:webHidden/>
          </w:rPr>
          <w:fldChar w:fldCharType="begin"/>
        </w:r>
        <w:r>
          <w:rPr>
            <w:webHidden/>
          </w:rPr>
          <w:instrText xml:space="preserve"> PAGEREF _Toc214283531 \h </w:instrText>
        </w:r>
        <w:r>
          <w:rPr>
            <w:webHidden/>
          </w:rPr>
        </w:r>
        <w:r>
          <w:rPr>
            <w:webHidden/>
          </w:rPr>
          <w:fldChar w:fldCharType="separate"/>
        </w:r>
        <w:r>
          <w:rPr>
            <w:webHidden/>
          </w:rPr>
          <w:t>418</w:t>
        </w:r>
        <w:r>
          <w:rPr>
            <w:webHidden/>
          </w:rPr>
          <w:fldChar w:fldCharType="end"/>
        </w:r>
      </w:hyperlink>
    </w:p>
    <w:p w14:paraId="1995D359" w14:textId="66C5BB86" w:rsidR="00067371" w:rsidRDefault="00067371">
      <w:pPr>
        <w:pStyle w:val="TOC3"/>
        <w:rPr>
          <w:rFonts w:asciiTheme="minorHAnsi" w:eastAsiaTheme="minorEastAsia" w:hAnsiTheme="minorHAnsi" w:cstheme="minorBidi"/>
          <w:kern w:val="2"/>
          <w:sz w:val="24"/>
          <w:szCs w:val="24"/>
          <w14:ligatures w14:val="standardContextual"/>
        </w:rPr>
      </w:pPr>
      <w:hyperlink w:anchor="_Toc214283532" w:history="1">
        <w:r w:rsidRPr="008F4954">
          <w:rPr>
            <w:rStyle w:val="Hyperlink"/>
          </w:rPr>
          <w:t>5.32.14</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_Toc214283532 \h </w:instrText>
        </w:r>
        <w:r>
          <w:rPr>
            <w:webHidden/>
          </w:rPr>
        </w:r>
        <w:r>
          <w:rPr>
            <w:webHidden/>
          </w:rPr>
          <w:fldChar w:fldCharType="separate"/>
        </w:r>
        <w:r>
          <w:rPr>
            <w:webHidden/>
          </w:rPr>
          <w:t>420</w:t>
        </w:r>
        <w:r>
          <w:rPr>
            <w:webHidden/>
          </w:rPr>
          <w:fldChar w:fldCharType="end"/>
        </w:r>
      </w:hyperlink>
    </w:p>
    <w:p w14:paraId="23D9B3BB" w14:textId="0E5D5F17" w:rsidR="00067371" w:rsidRDefault="00067371">
      <w:pPr>
        <w:pStyle w:val="TOC3"/>
        <w:rPr>
          <w:rFonts w:asciiTheme="minorHAnsi" w:eastAsiaTheme="minorEastAsia" w:hAnsiTheme="minorHAnsi" w:cstheme="minorBidi"/>
          <w:kern w:val="2"/>
          <w:sz w:val="24"/>
          <w:szCs w:val="24"/>
          <w14:ligatures w14:val="standardContextual"/>
        </w:rPr>
      </w:pPr>
      <w:hyperlink w:anchor="_Toc214283533" w:history="1">
        <w:r w:rsidRPr="008F4954">
          <w:rPr>
            <w:rStyle w:val="Hyperlink"/>
          </w:rPr>
          <w:t>5.32.15</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_Toc214283533 \h </w:instrText>
        </w:r>
        <w:r>
          <w:rPr>
            <w:webHidden/>
          </w:rPr>
        </w:r>
        <w:r>
          <w:rPr>
            <w:webHidden/>
          </w:rPr>
          <w:fldChar w:fldCharType="separate"/>
        </w:r>
        <w:r>
          <w:rPr>
            <w:webHidden/>
          </w:rPr>
          <w:t>420</w:t>
        </w:r>
        <w:r>
          <w:rPr>
            <w:webHidden/>
          </w:rPr>
          <w:fldChar w:fldCharType="end"/>
        </w:r>
      </w:hyperlink>
    </w:p>
    <w:p w14:paraId="71D0E1D3" w14:textId="6E08F8E4" w:rsidR="00067371" w:rsidRDefault="00067371">
      <w:pPr>
        <w:pStyle w:val="TOC3"/>
        <w:rPr>
          <w:rFonts w:asciiTheme="minorHAnsi" w:eastAsiaTheme="minorEastAsia" w:hAnsiTheme="minorHAnsi" w:cstheme="minorBidi"/>
          <w:kern w:val="2"/>
          <w:sz w:val="24"/>
          <w:szCs w:val="24"/>
          <w14:ligatures w14:val="standardContextual"/>
        </w:rPr>
      </w:pPr>
      <w:hyperlink w:anchor="_Toc214283534" w:history="1">
        <w:r w:rsidRPr="008F4954">
          <w:rPr>
            <w:rStyle w:val="Hyperlink"/>
          </w:rPr>
          <w:t>5.32.16</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_Toc214283534 \h </w:instrText>
        </w:r>
        <w:r>
          <w:rPr>
            <w:webHidden/>
          </w:rPr>
        </w:r>
        <w:r>
          <w:rPr>
            <w:webHidden/>
          </w:rPr>
          <w:fldChar w:fldCharType="separate"/>
        </w:r>
        <w:r>
          <w:rPr>
            <w:webHidden/>
          </w:rPr>
          <w:t>420</w:t>
        </w:r>
        <w:r>
          <w:rPr>
            <w:webHidden/>
          </w:rPr>
          <w:fldChar w:fldCharType="end"/>
        </w:r>
      </w:hyperlink>
    </w:p>
    <w:p w14:paraId="75745422" w14:textId="071462E6" w:rsidR="00067371" w:rsidRDefault="00067371">
      <w:pPr>
        <w:pStyle w:val="TOC3"/>
        <w:rPr>
          <w:rFonts w:asciiTheme="minorHAnsi" w:eastAsiaTheme="minorEastAsia" w:hAnsiTheme="minorHAnsi" w:cstheme="minorBidi"/>
          <w:kern w:val="2"/>
          <w:sz w:val="24"/>
          <w:szCs w:val="24"/>
          <w14:ligatures w14:val="standardContextual"/>
        </w:rPr>
      </w:pPr>
      <w:hyperlink w:anchor="_Toc214283535" w:history="1">
        <w:r w:rsidRPr="008F4954">
          <w:rPr>
            <w:rStyle w:val="Hyperlink"/>
          </w:rPr>
          <w:t>5.32.17</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_Toc214283535 \h </w:instrText>
        </w:r>
        <w:r>
          <w:rPr>
            <w:webHidden/>
          </w:rPr>
        </w:r>
        <w:r>
          <w:rPr>
            <w:webHidden/>
          </w:rPr>
          <w:fldChar w:fldCharType="separate"/>
        </w:r>
        <w:r>
          <w:rPr>
            <w:webHidden/>
          </w:rPr>
          <w:t>420</w:t>
        </w:r>
        <w:r>
          <w:rPr>
            <w:webHidden/>
          </w:rPr>
          <w:fldChar w:fldCharType="end"/>
        </w:r>
      </w:hyperlink>
    </w:p>
    <w:p w14:paraId="0ACC9F8E" w14:textId="35FEA94B" w:rsidR="00067371" w:rsidRDefault="00067371">
      <w:pPr>
        <w:pStyle w:val="TOC3"/>
        <w:rPr>
          <w:rFonts w:asciiTheme="minorHAnsi" w:eastAsiaTheme="minorEastAsia" w:hAnsiTheme="minorHAnsi" w:cstheme="minorBidi"/>
          <w:kern w:val="2"/>
          <w:sz w:val="24"/>
          <w:szCs w:val="24"/>
          <w14:ligatures w14:val="standardContextual"/>
        </w:rPr>
      </w:pPr>
      <w:hyperlink w:anchor="_Toc214283536" w:history="1">
        <w:r w:rsidRPr="008F4954">
          <w:rPr>
            <w:rStyle w:val="Hyperlink"/>
          </w:rPr>
          <w:t>5.32.18</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_Toc214283536 \h </w:instrText>
        </w:r>
        <w:r>
          <w:rPr>
            <w:webHidden/>
          </w:rPr>
        </w:r>
        <w:r>
          <w:rPr>
            <w:webHidden/>
          </w:rPr>
          <w:fldChar w:fldCharType="separate"/>
        </w:r>
        <w:r>
          <w:rPr>
            <w:webHidden/>
          </w:rPr>
          <w:t>421</w:t>
        </w:r>
        <w:r>
          <w:rPr>
            <w:webHidden/>
          </w:rPr>
          <w:fldChar w:fldCharType="end"/>
        </w:r>
      </w:hyperlink>
    </w:p>
    <w:p w14:paraId="6711C028" w14:textId="03B31806" w:rsidR="00067371" w:rsidRDefault="00067371">
      <w:pPr>
        <w:pStyle w:val="TOC3"/>
        <w:rPr>
          <w:rFonts w:asciiTheme="minorHAnsi" w:eastAsiaTheme="minorEastAsia" w:hAnsiTheme="minorHAnsi" w:cstheme="minorBidi"/>
          <w:kern w:val="2"/>
          <w:sz w:val="24"/>
          <w:szCs w:val="24"/>
          <w14:ligatures w14:val="standardContextual"/>
        </w:rPr>
      </w:pPr>
      <w:hyperlink w:anchor="_Toc214283537" w:history="1">
        <w:r w:rsidRPr="008F4954">
          <w:rPr>
            <w:rStyle w:val="Hyperlink"/>
          </w:rPr>
          <w:t>5.32.19</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_Toc214283537 \h </w:instrText>
        </w:r>
        <w:r>
          <w:rPr>
            <w:webHidden/>
          </w:rPr>
        </w:r>
        <w:r>
          <w:rPr>
            <w:webHidden/>
          </w:rPr>
          <w:fldChar w:fldCharType="separate"/>
        </w:r>
        <w:r>
          <w:rPr>
            <w:webHidden/>
          </w:rPr>
          <w:t>421</w:t>
        </w:r>
        <w:r>
          <w:rPr>
            <w:webHidden/>
          </w:rPr>
          <w:fldChar w:fldCharType="end"/>
        </w:r>
      </w:hyperlink>
    </w:p>
    <w:p w14:paraId="2F05B9DD" w14:textId="7BA11185" w:rsidR="00067371" w:rsidRDefault="00067371">
      <w:pPr>
        <w:pStyle w:val="TOC3"/>
        <w:rPr>
          <w:rFonts w:asciiTheme="minorHAnsi" w:eastAsiaTheme="minorEastAsia" w:hAnsiTheme="minorHAnsi" w:cstheme="minorBidi"/>
          <w:kern w:val="2"/>
          <w:sz w:val="24"/>
          <w:szCs w:val="24"/>
          <w14:ligatures w14:val="standardContextual"/>
        </w:rPr>
      </w:pPr>
      <w:hyperlink w:anchor="_Toc214283538" w:history="1">
        <w:r w:rsidRPr="008F4954">
          <w:rPr>
            <w:rStyle w:val="Hyperlink"/>
          </w:rPr>
          <w:t>5.32.20</w:t>
        </w:r>
        <w:r>
          <w:rPr>
            <w:rFonts w:asciiTheme="minorHAnsi" w:eastAsiaTheme="minorEastAsia" w:hAnsiTheme="minorHAnsi" w:cstheme="minorBidi"/>
            <w:kern w:val="2"/>
            <w:sz w:val="24"/>
            <w:szCs w:val="24"/>
            <w14:ligatures w14:val="standardContextual"/>
          </w:rPr>
          <w:tab/>
        </w:r>
        <w:r w:rsidRPr="008F4954">
          <w:rPr>
            <w:rStyle w:val="Hyperlink"/>
          </w:rPr>
          <w:t>Importing an SCNF</w:t>
        </w:r>
        <w:r>
          <w:rPr>
            <w:webHidden/>
          </w:rPr>
          <w:tab/>
        </w:r>
        <w:r>
          <w:rPr>
            <w:webHidden/>
          </w:rPr>
          <w:fldChar w:fldCharType="begin"/>
        </w:r>
        <w:r>
          <w:rPr>
            <w:webHidden/>
          </w:rPr>
          <w:instrText xml:space="preserve"> PAGEREF _Toc214283538 \h </w:instrText>
        </w:r>
        <w:r>
          <w:rPr>
            <w:webHidden/>
          </w:rPr>
        </w:r>
        <w:r>
          <w:rPr>
            <w:webHidden/>
          </w:rPr>
          <w:fldChar w:fldCharType="separate"/>
        </w:r>
        <w:r>
          <w:rPr>
            <w:webHidden/>
          </w:rPr>
          <w:t>424</w:t>
        </w:r>
        <w:r>
          <w:rPr>
            <w:webHidden/>
          </w:rPr>
          <w:fldChar w:fldCharType="end"/>
        </w:r>
      </w:hyperlink>
    </w:p>
    <w:p w14:paraId="09B82C61" w14:textId="0268FAC3"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539" w:history="1">
        <w:r w:rsidRPr="008F4954">
          <w:rPr>
            <w:rStyle w:val="Hyperlink"/>
          </w:rPr>
          <w:t>5.33</w:t>
        </w:r>
        <w:r>
          <w:rPr>
            <w:rFonts w:asciiTheme="minorHAnsi" w:eastAsiaTheme="minorEastAsia" w:hAnsiTheme="minorHAnsi" w:cstheme="minorBidi"/>
            <w:smallCaps w:val="0"/>
            <w:kern w:val="2"/>
            <w:szCs w:val="24"/>
            <w14:ligatures w14:val="standardContextual"/>
          </w:rPr>
          <w:tab/>
        </w:r>
        <w:r w:rsidRPr="008F4954">
          <w:rPr>
            <w:rStyle w:val="Hyperlink"/>
          </w:rPr>
          <w:t>TASK ORGANIZATIONS TOOL</w:t>
        </w:r>
        <w:r>
          <w:rPr>
            <w:webHidden/>
          </w:rPr>
          <w:tab/>
        </w:r>
        <w:r>
          <w:rPr>
            <w:webHidden/>
          </w:rPr>
          <w:fldChar w:fldCharType="begin"/>
        </w:r>
        <w:r>
          <w:rPr>
            <w:webHidden/>
          </w:rPr>
          <w:instrText xml:space="preserve"> PAGEREF _Toc214283539 \h </w:instrText>
        </w:r>
        <w:r>
          <w:rPr>
            <w:webHidden/>
          </w:rPr>
        </w:r>
        <w:r>
          <w:rPr>
            <w:webHidden/>
          </w:rPr>
          <w:fldChar w:fldCharType="separate"/>
        </w:r>
        <w:r>
          <w:rPr>
            <w:webHidden/>
          </w:rPr>
          <w:t>427</w:t>
        </w:r>
        <w:r>
          <w:rPr>
            <w:webHidden/>
          </w:rPr>
          <w:fldChar w:fldCharType="end"/>
        </w:r>
      </w:hyperlink>
    </w:p>
    <w:p w14:paraId="798B3796" w14:textId="1C010A9F" w:rsidR="00067371" w:rsidRDefault="00067371">
      <w:pPr>
        <w:pStyle w:val="TOC3"/>
        <w:rPr>
          <w:rFonts w:asciiTheme="minorHAnsi" w:eastAsiaTheme="minorEastAsia" w:hAnsiTheme="minorHAnsi" w:cstheme="minorBidi"/>
          <w:kern w:val="2"/>
          <w:sz w:val="24"/>
          <w:szCs w:val="24"/>
          <w14:ligatures w14:val="standardContextual"/>
        </w:rPr>
      </w:pPr>
      <w:hyperlink w:anchor="_Toc214283540" w:history="1">
        <w:r w:rsidRPr="008F4954">
          <w:rPr>
            <w:rStyle w:val="Hyperlink"/>
          </w:rPr>
          <w:t>5.33.1</w:t>
        </w:r>
        <w:r>
          <w:rPr>
            <w:rFonts w:asciiTheme="minorHAnsi" w:eastAsiaTheme="minorEastAsia" w:hAnsiTheme="minorHAnsi" w:cstheme="minorBidi"/>
            <w:kern w:val="2"/>
            <w:sz w:val="24"/>
            <w:szCs w:val="24"/>
            <w14:ligatures w14:val="standardContextual"/>
          </w:rPr>
          <w:tab/>
        </w:r>
        <w:r w:rsidRPr="008F4954">
          <w:rPr>
            <w:rStyle w:val="Hyperlink"/>
          </w:rPr>
          <w:t>Create a Task Organization</w:t>
        </w:r>
        <w:r>
          <w:rPr>
            <w:webHidden/>
          </w:rPr>
          <w:tab/>
        </w:r>
        <w:r>
          <w:rPr>
            <w:webHidden/>
          </w:rPr>
          <w:fldChar w:fldCharType="begin"/>
        </w:r>
        <w:r>
          <w:rPr>
            <w:webHidden/>
          </w:rPr>
          <w:instrText xml:space="preserve"> PAGEREF _Toc214283540 \h </w:instrText>
        </w:r>
        <w:r>
          <w:rPr>
            <w:webHidden/>
          </w:rPr>
        </w:r>
        <w:r>
          <w:rPr>
            <w:webHidden/>
          </w:rPr>
          <w:fldChar w:fldCharType="separate"/>
        </w:r>
        <w:r>
          <w:rPr>
            <w:webHidden/>
          </w:rPr>
          <w:t>428</w:t>
        </w:r>
        <w:r>
          <w:rPr>
            <w:webHidden/>
          </w:rPr>
          <w:fldChar w:fldCharType="end"/>
        </w:r>
      </w:hyperlink>
    </w:p>
    <w:p w14:paraId="6CE07817" w14:textId="1D581B26" w:rsidR="00067371" w:rsidRDefault="00067371">
      <w:pPr>
        <w:pStyle w:val="TOC3"/>
        <w:rPr>
          <w:rFonts w:asciiTheme="minorHAnsi" w:eastAsiaTheme="minorEastAsia" w:hAnsiTheme="minorHAnsi" w:cstheme="minorBidi"/>
          <w:kern w:val="2"/>
          <w:sz w:val="24"/>
          <w:szCs w:val="24"/>
          <w14:ligatures w14:val="standardContextual"/>
        </w:rPr>
      </w:pPr>
      <w:hyperlink w:anchor="_Toc214283541" w:history="1">
        <w:r w:rsidRPr="008F4954">
          <w:rPr>
            <w:rStyle w:val="Hyperlink"/>
          </w:rPr>
          <w:t>5.33.2</w:t>
        </w:r>
        <w:r>
          <w:rPr>
            <w:rFonts w:asciiTheme="minorHAnsi" w:eastAsiaTheme="minorEastAsia" w:hAnsiTheme="minorHAnsi" w:cstheme="minorBidi"/>
            <w:kern w:val="2"/>
            <w:sz w:val="24"/>
            <w:szCs w:val="24"/>
            <w14:ligatures w14:val="standardContextual"/>
          </w:rPr>
          <w:tab/>
        </w:r>
        <w:r w:rsidRPr="008F4954">
          <w:rPr>
            <w:rStyle w:val="Hyperlink"/>
          </w:rPr>
          <w:t>Display Task Organization Textually</w:t>
        </w:r>
        <w:r>
          <w:rPr>
            <w:webHidden/>
          </w:rPr>
          <w:tab/>
        </w:r>
        <w:r>
          <w:rPr>
            <w:webHidden/>
          </w:rPr>
          <w:fldChar w:fldCharType="begin"/>
        </w:r>
        <w:r>
          <w:rPr>
            <w:webHidden/>
          </w:rPr>
          <w:instrText xml:space="preserve"> PAGEREF _Toc214283541 \h </w:instrText>
        </w:r>
        <w:r>
          <w:rPr>
            <w:webHidden/>
          </w:rPr>
        </w:r>
        <w:r>
          <w:rPr>
            <w:webHidden/>
          </w:rPr>
          <w:fldChar w:fldCharType="separate"/>
        </w:r>
        <w:r>
          <w:rPr>
            <w:webHidden/>
          </w:rPr>
          <w:t>430</w:t>
        </w:r>
        <w:r>
          <w:rPr>
            <w:webHidden/>
          </w:rPr>
          <w:fldChar w:fldCharType="end"/>
        </w:r>
      </w:hyperlink>
    </w:p>
    <w:p w14:paraId="7A6BFB45" w14:textId="6ABD5356" w:rsidR="00067371" w:rsidRDefault="00067371">
      <w:pPr>
        <w:pStyle w:val="TOC3"/>
        <w:rPr>
          <w:rFonts w:asciiTheme="minorHAnsi" w:eastAsiaTheme="minorEastAsia" w:hAnsiTheme="minorHAnsi" w:cstheme="minorBidi"/>
          <w:kern w:val="2"/>
          <w:sz w:val="24"/>
          <w:szCs w:val="24"/>
          <w14:ligatures w14:val="standardContextual"/>
        </w:rPr>
      </w:pPr>
      <w:hyperlink w:anchor="_Toc214283542" w:history="1">
        <w:r w:rsidRPr="008F4954">
          <w:rPr>
            <w:rStyle w:val="Hyperlink"/>
          </w:rPr>
          <w:t>5.33.3</w:t>
        </w:r>
        <w:r>
          <w:rPr>
            <w:rFonts w:asciiTheme="minorHAnsi" w:eastAsiaTheme="minorEastAsia" w:hAnsiTheme="minorHAnsi" w:cstheme="minorBidi"/>
            <w:kern w:val="2"/>
            <w:sz w:val="24"/>
            <w:szCs w:val="24"/>
            <w14:ligatures w14:val="standardContextual"/>
          </w:rPr>
          <w:tab/>
        </w:r>
        <w:r w:rsidRPr="008F4954">
          <w:rPr>
            <w:rStyle w:val="Hyperlink"/>
          </w:rPr>
          <w:t>Send</w:t>
        </w:r>
        <w:r>
          <w:rPr>
            <w:webHidden/>
          </w:rPr>
          <w:tab/>
        </w:r>
        <w:r>
          <w:rPr>
            <w:webHidden/>
          </w:rPr>
          <w:fldChar w:fldCharType="begin"/>
        </w:r>
        <w:r>
          <w:rPr>
            <w:webHidden/>
          </w:rPr>
          <w:instrText xml:space="preserve"> PAGEREF _Toc214283542 \h </w:instrText>
        </w:r>
        <w:r>
          <w:rPr>
            <w:webHidden/>
          </w:rPr>
        </w:r>
        <w:r>
          <w:rPr>
            <w:webHidden/>
          </w:rPr>
          <w:fldChar w:fldCharType="separate"/>
        </w:r>
        <w:r>
          <w:rPr>
            <w:webHidden/>
          </w:rPr>
          <w:t>436</w:t>
        </w:r>
        <w:r>
          <w:rPr>
            <w:webHidden/>
          </w:rPr>
          <w:fldChar w:fldCharType="end"/>
        </w:r>
      </w:hyperlink>
    </w:p>
    <w:p w14:paraId="1B937C15" w14:textId="4D5846C2" w:rsidR="00067371" w:rsidRDefault="00067371">
      <w:pPr>
        <w:pStyle w:val="TOC3"/>
        <w:rPr>
          <w:rFonts w:asciiTheme="minorHAnsi" w:eastAsiaTheme="minorEastAsia" w:hAnsiTheme="minorHAnsi" w:cstheme="minorBidi"/>
          <w:kern w:val="2"/>
          <w:sz w:val="24"/>
          <w:szCs w:val="24"/>
          <w14:ligatures w14:val="standardContextual"/>
        </w:rPr>
      </w:pPr>
      <w:hyperlink w:anchor="_Toc214283543" w:history="1">
        <w:r w:rsidRPr="008F4954">
          <w:rPr>
            <w:rStyle w:val="Hyperlink"/>
          </w:rPr>
          <w:t>5.33.4</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_Toc214283543 \h </w:instrText>
        </w:r>
        <w:r>
          <w:rPr>
            <w:webHidden/>
          </w:rPr>
        </w:r>
        <w:r>
          <w:rPr>
            <w:webHidden/>
          </w:rPr>
          <w:fldChar w:fldCharType="separate"/>
        </w:r>
        <w:r>
          <w:rPr>
            <w:webHidden/>
          </w:rPr>
          <w:t>437</w:t>
        </w:r>
        <w:r>
          <w:rPr>
            <w:webHidden/>
          </w:rPr>
          <w:fldChar w:fldCharType="end"/>
        </w:r>
      </w:hyperlink>
    </w:p>
    <w:p w14:paraId="040BE868" w14:textId="52A9237A" w:rsidR="00067371" w:rsidRDefault="00067371">
      <w:pPr>
        <w:pStyle w:val="TOC3"/>
        <w:rPr>
          <w:rFonts w:asciiTheme="minorHAnsi" w:eastAsiaTheme="minorEastAsia" w:hAnsiTheme="minorHAnsi" w:cstheme="minorBidi"/>
          <w:kern w:val="2"/>
          <w:sz w:val="24"/>
          <w:szCs w:val="24"/>
          <w14:ligatures w14:val="standardContextual"/>
        </w:rPr>
      </w:pPr>
      <w:hyperlink w:anchor="_Toc214283544" w:history="1">
        <w:r w:rsidRPr="008F4954">
          <w:rPr>
            <w:rStyle w:val="Hyperlink"/>
          </w:rPr>
          <w:t>5.33.5</w:t>
        </w:r>
        <w:r>
          <w:rPr>
            <w:rFonts w:asciiTheme="minorHAnsi" w:eastAsiaTheme="minorEastAsia" w:hAnsiTheme="minorHAnsi" w:cstheme="minorBidi"/>
            <w:kern w:val="2"/>
            <w:sz w:val="24"/>
            <w:szCs w:val="24"/>
            <w14:ligatures w14:val="standardContextual"/>
          </w:rPr>
          <w:tab/>
        </w:r>
        <w:r w:rsidRPr="008F4954">
          <w:rPr>
            <w:rStyle w:val="Hyperlink"/>
          </w:rPr>
          <w:t>Display References</w:t>
        </w:r>
        <w:r>
          <w:rPr>
            <w:webHidden/>
          </w:rPr>
          <w:tab/>
        </w:r>
        <w:r>
          <w:rPr>
            <w:webHidden/>
          </w:rPr>
          <w:fldChar w:fldCharType="begin"/>
        </w:r>
        <w:r>
          <w:rPr>
            <w:webHidden/>
          </w:rPr>
          <w:instrText xml:space="preserve"> PAGEREF _Toc214283544 \h </w:instrText>
        </w:r>
        <w:r>
          <w:rPr>
            <w:webHidden/>
          </w:rPr>
        </w:r>
        <w:r>
          <w:rPr>
            <w:webHidden/>
          </w:rPr>
          <w:fldChar w:fldCharType="separate"/>
        </w:r>
        <w:r>
          <w:rPr>
            <w:webHidden/>
          </w:rPr>
          <w:t>437</w:t>
        </w:r>
        <w:r>
          <w:rPr>
            <w:webHidden/>
          </w:rPr>
          <w:fldChar w:fldCharType="end"/>
        </w:r>
      </w:hyperlink>
    </w:p>
    <w:p w14:paraId="57DF88CA" w14:textId="76F50CDB" w:rsidR="00067371" w:rsidRDefault="00067371">
      <w:pPr>
        <w:pStyle w:val="TOC3"/>
        <w:rPr>
          <w:rFonts w:asciiTheme="minorHAnsi" w:eastAsiaTheme="minorEastAsia" w:hAnsiTheme="minorHAnsi" w:cstheme="minorBidi"/>
          <w:kern w:val="2"/>
          <w:sz w:val="24"/>
          <w:szCs w:val="24"/>
          <w14:ligatures w14:val="standardContextual"/>
        </w:rPr>
      </w:pPr>
      <w:hyperlink w:anchor="_Toc214283545" w:history="1">
        <w:r w:rsidRPr="008F4954">
          <w:rPr>
            <w:rStyle w:val="Hyperlink"/>
          </w:rPr>
          <w:t>5.33.6</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_Toc214283545 \h </w:instrText>
        </w:r>
        <w:r>
          <w:rPr>
            <w:webHidden/>
          </w:rPr>
        </w:r>
        <w:r>
          <w:rPr>
            <w:webHidden/>
          </w:rPr>
          <w:fldChar w:fldCharType="separate"/>
        </w:r>
        <w:r>
          <w:rPr>
            <w:webHidden/>
          </w:rPr>
          <w:t>437</w:t>
        </w:r>
        <w:r>
          <w:rPr>
            <w:webHidden/>
          </w:rPr>
          <w:fldChar w:fldCharType="end"/>
        </w:r>
      </w:hyperlink>
    </w:p>
    <w:p w14:paraId="358F9143" w14:textId="0C735F74" w:rsidR="00067371" w:rsidRDefault="00067371">
      <w:pPr>
        <w:pStyle w:val="TOC3"/>
        <w:rPr>
          <w:rFonts w:asciiTheme="minorHAnsi" w:eastAsiaTheme="minorEastAsia" w:hAnsiTheme="minorHAnsi" w:cstheme="minorBidi"/>
          <w:kern w:val="2"/>
          <w:sz w:val="24"/>
          <w:szCs w:val="24"/>
          <w14:ligatures w14:val="standardContextual"/>
        </w:rPr>
      </w:pPr>
      <w:hyperlink w:anchor="_Toc214283546" w:history="1">
        <w:r w:rsidRPr="008F4954">
          <w:rPr>
            <w:rStyle w:val="Hyperlink"/>
          </w:rPr>
          <w:t>5.33.7</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_Toc214283546 \h </w:instrText>
        </w:r>
        <w:r>
          <w:rPr>
            <w:webHidden/>
          </w:rPr>
        </w:r>
        <w:r>
          <w:rPr>
            <w:webHidden/>
          </w:rPr>
          <w:fldChar w:fldCharType="separate"/>
        </w:r>
        <w:r>
          <w:rPr>
            <w:webHidden/>
          </w:rPr>
          <w:t>437</w:t>
        </w:r>
        <w:r>
          <w:rPr>
            <w:webHidden/>
          </w:rPr>
          <w:fldChar w:fldCharType="end"/>
        </w:r>
      </w:hyperlink>
    </w:p>
    <w:p w14:paraId="5FC4960C" w14:textId="3F5EE8CA" w:rsidR="00067371" w:rsidRDefault="00067371">
      <w:pPr>
        <w:pStyle w:val="TOC3"/>
        <w:rPr>
          <w:rFonts w:asciiTheme="minorHAnsi" w:eastAsiaTheme="minorEastAsia" w:hAnsiTheme="minorHAnsi" w:cstheme="minorBidi"/>
          <w:kern w:val="2"/>
          <w:sz w:val="24"/>
          <w:szCs w:val="24"/>
          <w14:ligatures w14:val="standardContextual"/>
        </w:rPr>
      </w:pPr>
      <w:hyperlink w:anchor="_Toc214283547" w:history="1">
        <w:r w:rsidRPr="008F4954">
          <w:rPr>
            <w:rStyle w:val="Hyperlink"/>
          </w:rPr>
          <w:t>5.33.8</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_Toc214283547 \h </w:instrText>
        </w:r>
        <w:r>
          <w:rPr>
            <w:webHidden/>
          </w:rPr>
        </w:r>
        <w:r>
          <w:rPr>
            <w:webHidden/>
          </w:rPr>
          <w:fldChar w:fldCharType="separate"/>
        </w:r>
        <w:r>
          <w:rPr>
            <w:webHidden/>
          </w:rPr>
          <w:t>437</w:t>
        </w:r>
        <w:r>
          <w:rPr>
            <w:webHidden/>
          </w:rPr>
          <w:fldChar w:fldCharType="end"/>
        </w:r>
      </w:hyperlink>
    </w:p>
    <w:p w14:paraId="13BD3AFB" w14:textId="4973BAE8" w:rsidR="00067371" w:rsidRDefault="00067371">
      <w:pPr>
        <w:pStyle w:val="TOC3"/>
        <w:rPr>
          <w:rFonts w:asciiTheme="minorHAnsi" w:eastAsiaTheme="minorEastAsia" w:hAnsiTheme="minorHAnsi" w:cstheme="minorBidi"/>
          <w:kern w:val="2"/>
          <w:sz w:val="24"/>
          <w:szCs w:val="24"/>
          <w14:ligatures w14:val="standardContextual"/>
        </w:rPr>
      </w:pPr>
      <w:hyperlink w:anchor="_Toc214283548" w:history="1">
        <w:r w:rsidRPr="008F4954">
          <w:rPr>
            <w:rStyle w:val="Hyperlink"/>
          </w:rPr>
          <w:t>5.33.9</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_Toc214283548 \h </w:instrText>
        </w:r>
        <w:r>
          <w:rPr>
            <w:webHidden/>
          </w:rPr>
        </w:r>
        <w:r>
          <w:rPr>
            <w:webHidden/>
          </w:rPr>
          <w:fldChar w:fldCharType="separate"/>
        </w:r>
        <w:r>
          <w:rPr>
            <w:webHidden/>
          </w:rPr>
          <w:t>437</w:t>
        </w:r>
        <w:r>
          <w:rPr>
            <w:webHidden/>
          </w:rPr>
          <w:fldChar w:fldCharType="end"/>
        </w:r>
      </w:hyperlink>
    </w:p>
    <w:p w14:paraId="5D8C62E2" w14:textId="70347918" w:rsidR="00067371" w:rsidRDefault="00067371">
      <w:pPr>
        <w:pStyle w:val="TOC3"/>
        <w:rPr>
          <w:rFonts w:asciiTheme="minorHAnsi" w:eastAsiaTheme="minorEastAsia" w:hAnsiTheme="minorHAnsi" w:cstheme="minorBidi"/>
          <w:kern w:val="2"/>
          <w:sz w:val="24"/>
          <w:szCs w:val="24"/>
          <w14:ligatures w14:val="standardContextual"/>
        </w:rPr>
      </w:pPr>
      <w:hyperlink w:anchor="_Toc214283549" w:history="1">
        <w:r w:rsidRPr="008F4954">
          <w:rPr>
            <w:rStyle w:val="Hyperlink"/>
          </w:rPr>
          <w:t>5.33.10</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_Toc214283549 \h </w:instrText>
        </w:r>
        <w:r>
          <w:rPr>
            <w:webHidden/>
          </w:rPr>
        </w:r>
        <w:r>
          <w:rPr>
            <w:webHidden/>
          </w:rPr>
          <w:fldChar w:fldCharType="separate"/>
        </w:r>
        <w:r>
          <w:rPr>
            <w:webHidden/>
          </w:rPr>
          <w:t>437</w:t>
        </w:r>
        <w:r>
          <w:rPr>
            <w:webHidden/>
          </w:rPr>
          <w:fldChar w:fldCharType="end"/>
        </w:r>
      </w:hyperlink>
    </w:p>
    <w:p w14:paraId="6DBA5EAD" w14:textId="0169C9DA" w:rsidR="00067371" w:rsidRDefault="00067371">
      <w:pPr>
        <w:pStyle w:val="TOC3"/>
        <w:rPr>
          <w:rFonts w:asciiTheme="minorHAnsi" w:eastAsiaTheme="minorEastAsia" w:hAnsiTheme="minorHAnsi" w:cstheme="minorBidi"/>
          <w:kern w:val="2"/>
          <w:sz w:val="24"/>
          <w:szCs w:val="24"/>
          <w14:ligatures w14:val="standardContextual"/>
        </w:rPr>
      </w:pPr>
      <w:hyperlink w:anchor="_Toc214283550" w:history="1">
        <w:r w:rsidRPr="008F4954">
          <w:rPr>
            <w:rStyle w:val="Hyperlink"/>
          </w:rPr>
          <w:t>5.33.11</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_Toc214283550 \h </w:instrText>
        </w:r>
        <w:r>
          <w:rPr>
            <w:webHidden/>
          </w:rPr>
        </w:r>
        <w:r>
          <w:rPr>
            <w:webHidden/>
          </w:rPr>
          <w:fldChar w:fldCharType="separate"/>
        </w:r>
        <w:r>
          <w:rPr>
            <w:webHidden/>
          </w:rPr>
          <w:t>437</w:t>
        </w:r>
        <w:r>
          <w:rPr>
            <w:webHidden/>
          </w:rPr>
          <w:fldChar w:fldCharType="end"/>
        </w:r>
      </w:hyperlink>
    </w:p>
    <w:p w14:paraId="21CF063D" w14:textId="625FF6C9" w:rsidR="00067371" w:rsidRDefault="00067371">
      <w:pPr>
        <w:pStyle w:val="TOC3"/>
        <w:rPr>
          <w:rFonts w:asciiTheme="minorHAnsi" w:eastAsiaTheme="minorEastAsia" w:hAnsiTheme="minorHAnsi" w:cstheme="minorBidi"/>
          <w:kern w:val="2"/>
          <w:sz w:val="24"/>
          <w:szCs w:val="24"/>
          <w14:ligatures w14:val="standardContextual"/>
        </w:rPr>
      </w:pPr>
      <w:hyperlink w:anchor="_Toc214283551" w:history="1">
        <w:r w:rsidRPr="008F4954">
          <w:rPr>
            <w:rStyle w:val="Hyperlink"/>
          </w:rPr>
          <w:t>5.33.12</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_Toc214283551 \h </w:instrText>
        </w:r>
        <w:r>
          <w:rPr>
            <w:webHidden/>
          </w:rPr>
        </w:r>
        <w:r>
          <w:rPr>
            <w:webHidden/>
          </w:rPr>
          <w:fldChar w:fldCharType="separate"/>
        </w:r>
        <w:r>
          <w:rPr>
            <w:webHidden/>
          </w:rPr>
          <w:t>437</w:t>
        </w:r>
        <w:r>
          <w:rPr>
            <w:webHidden/>
          </w:rPr>
          <w:fldChar w:fldCharType="end"/>
        </w:r>
      </w:hyperlink>
    </w:p>
    <w:p w14:paraId="1E2F2183" w14:textId="7E27DE35" w:rsidR="00067371" w:rsidRDefault="00067371">
      <w:pPr>
        <w:pStyle w:val="TOC3"/>
        <w:rPr>
          <w:rFonts w:asciiTheme="minorHAnsi" w:eastAsiaTheme="minorEastAsia" w:hAnsiTheme="minorHAnsi" w:cstheme="minorBidi"/>
          <w:kern w:val="2"/>
          <w:sz w:val="24"/>
          <w:szCs w:val="24"/>
          <w14:ligatures w14:val="standardContextual"/>
        </w:rPr>
      </w:pPr>
      <w:hyperlink w:anchor="_Toc214283552" w:history="1">
        <w:r w:rsidRPr="008F4954">
          <w:rPr>
            <w:rStyle w:val="Hyperlink"/>
          </w:rPr>
          <w:t>5.33.13</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_Toc214283552 \h </w:instrText>
        </w:r>
        <w:r>
          <w:rPr>
            <w:webHidden/>
          </w:rPr>
        </w:r>
        <w:r>
          <w:rPr>
            <w:webHidden/>
          </w:rPr>
          <w:fldChar w:fldCharType="separate"/>
        </w:r>
        <w:r>
          <w:rPr>
            <w:webHidden/>
          </w:rPr>
          <w:t>437</w:t>
        </w:r>
        <w:r>
          <w:rPr>
            <w:webHidden/>
          </w:rPr>
          <w:fldChar w:fldCharType="end"/>
        </w:r>
      </w:hyperlink>
    </w:p>
    <w:p w14:paraId="11255FC8" w14:textId="297A0EDC"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553" w:history="1">
        <w:r w:rsidRPr="008F4954">
          <w:rPr>
            <w:rStyle w:val="Hyperlink"/>
          </w:rPr>
          <w:t>5.34</w:t>
        </w:r>
        <w:r>
          <w:rPr>
            <w:rFonts w:asciiTheme="minorHAnsi" w:eastAsiaTheme="minorEastAsia" w:hAnsiTheme="minorHAnsi" w:cstheme="minorBidi"/>
            <w:smallCaps w:val="0"/>
            <w:kern w:val="2"/>
            <w:szCs w:val="24"/>
            <w14:ligatures w14:val="standardContextual"/>
          </w:rPr>
          <w:tab/>
        </w:r>
        <w:r w:rsidRPr="008F4954">
          <w:rPr>
            <w:rStyle w:val="Hyperlink"/>
          </w:rPr>
          <w:t>STRIKE FOLDERS TOOL</w:t>
        </w:r>
        <w:r>
          <w:rPr>
            <w:webHidden/>
          </w:rPr>
          <w:tab/>
        </w:r>
        <w:r>
          <w:rPr>
            <w:webHidden/>
          </w:rPr>
          <w:fldChar w:fldCharType="begin"/>
        </w:r>
        <w:r>
          <w:rPr>
            <w:webHidden/>
          </w:rPr>
          <w:instrText xml:space="preserve"> PAGEREF _Toc214283553 \h </w:instrText>
        </w:r>
        <w:r>
          <w:rPr>
            <w:webHidden/>
          </w:rPr>
        </w:r>
        <w:r>
          <w:rPr>
            <w:webHidden/>
          </w:rPr>
          <w:fldChar w:fldCharType="separate"/>
        </w:r>
        <w:r>
          <w:rPr>
            <w:webHidden/>
          </w:rPr>
          <w:t>438</w:t>
        </w:r>
        <w:r>
          <w:rPr>
            <w:webHidden/>
          </w:rPr>
          <w:fldChar w:fldCharType="end"/>
        </w:r>
      </w:hyperlink>
    </w:p>
    <w:p w14:paraId="61D8302E" w14:textId="63C6FAA0" w:rsidR="00067371" w:rsidRDefault="00067371">
      <w:pPr>
        <w:pStyle w:val="TOC3"/>
        <w:rPr>
          <w:rFonts w:asciiTheme="minorHAnsi" w:eastAsiaTheme="minorEastAsia" w:hAnsiTheme="minorHAnsi" w:cstheme="minorBidi"/>
          <w:kern w:val="2"/>
          <w:sz w:val="24"/>
          <w:szCs w:val="24"/>
          <w14:ligatures w14:val="standardContextual"/>
        </w:rPr>
      </w:pPr>
      <w:hyperlink w:anchor="_Toc214283554" w:history="1">
        <w:r w:rsidRPr="008F4954">
          <w:rPr>
            <w:rStyle w:val="Hyperlink"/>
          </w:rPr>
          <w:t>5.34.1</w:t>
        </w:r>
        <w:r>
          <w:rPr>
            <w:rFonts w:asciiTheme="minorHAnsi" w:eastAsiaTheme="minorEastAsia" w:hAnsiTheme="minorHAnsi" w:cstheme="minorBidi"/>
            <w:kern w:val="2"/>
            <w:sz w:val="24"/>
            <w:szCs w:val="24"/>
            <w14:ligatures w14:val="standardContextual"/>
          </w:rPr>
          <w:tab/>
        </w:r>
        <w:r w:rsidRPr="008F4954">
          <w:rPr>
            <w:rStyle w:val="Hyperlink"/>
          </w:rPr>
          <w:t>Strike Properties</w:t>
        </w:r>
        <w:r>
          <w:rPr>
            <w:webHidden/>
          </w:rPr>
          <w:tab/>
        </w:r>
        <w:r>
          <w:rPr>
            <w:webHidden/>
          </w:rPr>
          <w:fldChar w:fldCharType="begin"/>
        </w:r>
        <w:r>
          <w:rPr>
            <w:webHidden/>
          </w:rPr>
          <w:instrText xml:space="preserve"> PAGEREF _Toc214283554 \h </w:instrText>
        </w:r>
        <w:r>
          <w:rPr>
            <w:webHidden/>
          </w:rPr>
        </w:r>
        <w:r>
          <w:rPr>
            <w:webHidden/>
          </w:rPr>
          <w:fldChar w:fldCharType="separate"/>
        </w:r>
        <w:r>
          <w:rPr>
            <w:webHidden/>
          </w:rPr>
          <w:t>442</w:t>
        </w:r>
        <w:r>
          <w:rPr>
            <w:webHidden/>
          </w:rPr>
          <w:fldChar w:fldCharType="end"/>
        </w:r>
      </w:hyperlink>
    </w:p>
    <w:p w14:paraId="3DBD3B37" w14:textId="37653037" w:rsidR="00067371" w:rsidRDefault="00067371">
      <w:pPr>
        <w:pStyle w:val="TOC3"/>
        <w:rPr>
          <w:rFonts w:asciiTheme="minorHAnsi" w:eastAsiaTheme="minorEastAsia" w:hAnsiTheme="minorHAnsi" w:cstheme="minorBidi"/>
          <w:kern w:val="2"/>
          <w:sz w:val="24"/>
          <w:szCs w:val="24"/>
          <w14:ligatures w14:val="standardContextual"/>
        </w:rPr>
      </w:pPr>
      <w:hyperlink w:anchor="_Toc214283555" w:history="1">
        <w:r w:rsidRPr="008F4954">
          <w:rPr>
            <w:rStyle w:val="Hyperlink"/>
          </w:rPr>
          <w:t>5.34.2</w:t>
        </w:r>
        <w:r>
          <w:rPr>
            <w:rFonts w:asciiTheme="minorHAnsi" w:eastAsiaTheme="minorEastAsia" w:hAnsiTheme="minorHAnsi" w:cstheme="minorBidi"/>
            <w:kern w:val="2"/>
            <w:sz w:val="24"/>
            <w:szCs w:val="24"/>
            <w14:ligatures w14:val="standardContextual"/>
          </w:rPr>
          <w:tab/>
        </w:r>
        <w:r w:rsidRPr="008F4954">
          <w:rPr>
            <w:rStyle w:val="Hyperlink"/>
          </w:rPr>
          <w:t>Create New Strike Folder</w:t>
        </w:r>
        <w:r>
          <w:rPr>
            <w:webHidden/>
          </w:rPr>
          <w:tab/>
        </w:r>
        <w:r>
          <w:rPr>
            <w:webHidden/>
          </w:rPr>
          <w:fldChar w:fldCharType="begin"/>
        </w:r>
        <w:r>
          <w:rPr>
            <w:webHidden/>
          </w:rPr>
          <w:instrText xml:space="preserve"> PAGEREF _Toc214283555 \h </w:instrText>
        </w:r>
        <w:r>
          <w:rPr>
            <w:webHidden/>
          </w:rPr>
        </w:r>
        <w:r>
          <w:rPr>
            <w:webHidden/>
          </w:rPr>
          <w:fldChar w:fldCharType="separate"/>
        </w:r>
        <w:r>
          <w:rPr>
            <w:webHidden/>
          </w:rPr>
          <w:t>468</w:t>
        </w:r>
        <w:r>
          <w:rPr>
            <w:webHidden/>
          </w:rPr>
          <w:fldChar w:fldCharType="end"/>
        </w:r>
      </w:hyperlink>
    </w:p>
    <w:p w14:paraId="1F95730A" w14:textId="1602B663" w:rsidR="00067371" w:rsidRDefault="00067371">
      <w:pPr>
        <w:pStyle w:val="TOC3"/>
        <w:rPr>
          <w:rFonts w:asciiTheme="minorHAnsi" w:eastAsiaTheme="minorEastAsia" w:hAnsiTheme="minorHAnsi" w:cstheme="minorBidi"/>
          <w:kern w:val="2"/>
          <w:sz w:val="24"/>
          <w:szCs w:val="24"/>
          <w14:ligatures w14:val="standardContextual"/>
        </w:rPr>
      </w:pPr>
      <w:hyperlink w:anchor="_Toc214283556" w:history="1">
        <w:r w:rsidRPr="008F4954">
          <w:rPr>
            <w:rStyle w:val="Hyperlink"/>
          </w:rPr>
          <w:t>5.34.3</w:t>
        </w:r>
        <w:r>
          <w:rPr>
            <w:rFonts w:asciiTheme="minorHAnsi" w:eastAsiaTheme="minorEastAsia" w:hAnsiTheme="minorHAnsi" w:cstheme="minorBidi"/>
            <w:kern w:val="2"/>
            <w:sz w:val="24"/>
            <w:szCs w:val="24"/>
            <w14:ligatures w14:val="standardContextual"/>
          </w:rPr>
          <w:tab/>
        </w:r>
        <w:r w:rsidRPr="008F4954">
          <w:rPr>
            <w:rStyle w:val="Hyperlink"/>
          </w:rPr>
          <w:t>Tasking</w:t>
        </w:r>
        <w:r>
          <w:rPr>
            <w:webHidden/>
          </w:rPr>
          <w:tab/>
        </w:r>
        <w:r>
          <w:rPr>
            <w:webHidden/>
          </w:rPr>
          <w:fldChar w:fldCharType="begin"/>
        </w:r>
        <w:r>
          <w:rPr>
            <w:webHidden/>
          </w:rPr>
          <w:instrText xml:space="preserve"> PAGEREF _Toc214283556 \h </w:instrText>
        </w:r>
        <w:r>
          <w:rPr>
            <w:webHidden/>
          </w:rPr>
        </w:r>
        <w:r>
          <w:rPr>
            <w:webHidden/>
          </w:rPr>
          <w:fldChar w:fldCharType="separate"/>
        </w:r>
        <w:r>
          <w:rPr>
            <w:webHidden/>
          </w:rPr>
          <w:t>475</w:t>
        </w:r>
        <w:r>
          <w:rPr>
            <w:webHidden/>
          </w:rPr>
          <w:fldChar w:fldCharType="end"/>
        </w:r>
      </w:hyperlink>
    </w:p>
    <w:p w14:paraId="436B1A1A" w14:textId="1DED8079" w:rsidR="00067371" w:rsidRDefault="00067371">
      <w:pPr>
        <w:pStyle w:val="TOC3"/>
        <w:rPr>
          <w:rFonts w:asciiTheme="minorHAnsi" w:eastAsiaTheme="minorEastAsia" w:hAnsiTheme="minorHAnsi" w:cstheme="minorBidi"/>
          <w:kern w:val="2"/>
          <w:sz w:val="24"/>
          <w:szCs w:val="24"/>
          <w14:ligatures w14:val="standardContextual"/>
        </w:rPr>
      </w:pPr>
      <w:hyperlink w:anchor="_Toc214283557" w:history="1">
        <w:r w:rsidRPr="008F4954">
          <w:rPr>
            <w:rStyle w:val="Hyperlink"/>
          </w:rPr>
          <w:t>5.34.4</w:t>
        </w:r>
        <w:r>
          <w:rPr>
            <w:rFonts w:asciiTheme="minorHAnsi" w:eastAsiaTheme="minorEastAsia" w:hAnsiTheme="minorHAnsi" w:cstheme="minorBidi"/>
            <w:kern w:val="2"/>
            <w:sz w:val="24"/>
            <w:szCs w:val="24"/>
            <w14:ligatures w14:val="standardContextual"/>
          </w:rPr>
          <w:tab/>
        </w:r>
        <w:r w:rsidRPr="008F4954">
          <w:rPr>
            <w:rStyle w:val="Hyperlink"/>
          </w:rPr>
          <w:t>Geographic Resources</w:t>
        </w:r>
        <w:r>
          <w:rPr>
            <w:webHidden/>
          </w:rPr>
          <w:tab/>
        </w:r>
        <w:r>
          <w:rPr>
            <w:webHidden/>
          </w:rPr>
          <w:fldChar w:fldCharType="begin"/>
        </w:r>
        <w:r>
          <w:rPr>
            <w:webHidden/>
          </w:rPr>
          <w:instrText xml:space="preserve"> PAGEREF _Toc214283557 \h </w:instrText>
        </w:r>
        <w:r>
          <w:rPr>
            <w:webHidden/>
          </w:rPr>
        </w:r>
        <w:r>
          <w:rPr>
            <w:webHidden/>
          </w:rPr>
          <w:fldChar w:fldCharType="separate"/>
        </w:r>
        <w:r>
          <w:rPr>
            <w:webHidden/>
          </w:rPr>
          <w:t>482</w:t>
        </w:r>
        <w:r>
          <w:rPr>
            <w:webHidden/>
          </w:rPr>
          <w:fldChar w:fldCharType="end"/>
        </w:r>
      </w:hyperlink>
    </w:p>
    <w:p w14:paraId="7ED53E9E" w14:textId="639A15F3" w:rsidR="00067371" w:rsidRDefault="00067371">
      <w:pPr>
        <w:pStyle w:val="TOC3"/>
        <w:rPr>
          <w:rFonts w:asciiTheme="minorHAnsi" w:eastAsiaTheme="minorEastAsia" w:hAnsiTheme="minorHAnsi" w:cstheme="minorBidi"/>
          <w:kern w:val="2"/>
          <w:sz w:val="24"/>
          <w:szCs w:val="24"/>
          <w14:ligatures w14:val="standardContextual"/>
        </w:rPr>
      </w:pPr>
      <w:hyperlink w:anchor="_Toc214283558" w:history="1">
        <w:r w:rsidRPr="008F4954">
          <w:rPr>
            <w:rStyle w:val="Hyperlink"/>
          </w:rPr>
          <w:t>5.34.5</w:t>
        </w:r>
        <w:r>
          <w:rPr>
            <w:rFonts w:asciiTheme="minorHAnsi" w:eastAsiaTheme="minorEastAsia" w:hAnsiTheme="minorHAnsi" w:cstheme="minorBidi"/>
            <w:kern w:val="2"/>
            <w:sz w:val="24"/>
            <w:szCs w:val="24"/>
            <w14:ligatures w14:val="standardContextual"/>
          </w:rPr>
          <w:tab/>
        </w:r>
        <w:r w:rsidRPr="008F4954">
          <w:rPr>
            <w:rStyle w:val="Hyperlink"/>
          </w:rPr>
          <w:t>Candidates Matrix</w:t>
        </w:r>
        <w:r>
          <w:rPr>
            <w:webHidden/>
          </w:rPr>
          <w:tab/>
        </w:r>
        <w:r>
          <w:rPr>
            <w:webHidden/>
          </w:rPr>
          <w:fldChar w:fldCharType="begin"/>
        </w:r>
        <w:r>
          <w:rPr>
            <w:webHidden/>
          </w:rPr>
          <w:instrText xml:space="preserve"> PAGEREF _Toc214283558 \h </w:instrText>
        </w:r>
        <w:r>
          <w:rPr>
            <w:webHidden/>
          </w:rPr>
        </w:r>
        <w:r>
          <w:rPr>
            <w:webHidden/>
          </w:rPr>
          <w:fldChar w:fldCharType="separate"/>
        </w:r>
        <w:r>
          <w:rPr>
            <w:webHidden/>
          </w:rPr>
          <w:t>483</w:t>
        </w:r>
        <w:r>
          <w:rPr>
            <w:webHidden/>
          </w:rPr>
          <w:fldChar w:fldCharType="end"/>
        </w:r>
      </w:hyperlink>
    </w:p>
    <w:p w14:paraId="55D0382C" w14:textId="6CB59FA1" w:rsidR="00067371" w:rsidRDefault="00067371">
      <w:pPr>
        <w:pStyle w:val="TOC3"/>
        <w:rPr>
          <w:rFonts w:asciiTheme="minorHAnsi" w:eastAsiaTheme="minorEastAsia" w:hAnsiTheme="minorHAnsi" w:cstheme="minorBidi"/>
          <w:kern w:val="2"/>
          <w:sz w:val="24"/>
          <w:szCs w:val="24"/>
          <w14:ligatures w14:val="standardContextual"/>
        </w:rPr>
      </w:pPr>
      <w:hyperlink w:anchor="_Toc214283559" w:history="1">
        <w:r w:rsidRPr="008F4954">
          <w:rPr>
            <w:rStyle w:val="Hyperlink"/>
          </w:rPr>
          <w:t>5.34.6</w:t>
        </w:r>
        <w:r>
          <w:rPr>
            <w:rFonts w:asciiTheme="minorHAnsi" w:eastAsiaTheme="minorEastAsia" w:hAnsiTheme="minorHAnsi" w:cstheme="minorBidi"/>
            <w:kern w:val="2"/>
            <w:sz w:val="24"/>
            <w:szCs w:val="24"/>
            <w14:ligatures w14:val="standardContextual"/>
          </w:rPr>
          <w:tab/>
        </w:r>
        <w:r w:rsidRPr="008F4954">
          <w:rPr>
            <w:rStyle w:val="Hyperlink"/>
          </w:rPr>
          <w:t>Organization</w:t>
        </w:r>
        <w:r>
          <w:rPr>
            <w:webHidden/>
          </w:rPr>
          <w:tab/>
        </w:r>
        <w:r>
          <w:rPr>
            <w:webHidden/>
          </w:rPr>
          <w:fldChar w:fldCharType="begin"/>
        </w:r>
        <w:r>
          <w:rPr>
            <w:webHidden/>
          </w:rPr>
          <w:instrText xml:space="preserve"> PAGEREF _Toc214283559 \h </w:instrText>
        </w:r>
        <w:r>
          <w:rPr>
            <w:webHidden/>
          </w:rPr>
        </w:r>
        <w:r>
          <w:rPr>
            <w:webHidden/>
          </w:rPr>
          <w:fldChar w:fldCharType="separate"/>
        </w:r>
        <w:r>
          <w:rPr>
            <w:webHidden/>
          </w:rPr>
          <w:t>500</w:t>
        </w:r>
        <w:r>
          <w:rPr>
            <w:webHidden/>
          </w:rPr>
          <w:fldChar w:fldCharType="end"/>
        </w:r>
      </w:hyperlink>
    </w:p>
    <w:p w14:paraId="3007C4BB" w14:textId="08CBD83B" w:rsidR="00067371" w:rsidRDefault="00067371">
      <w:pPr>
        <w:pStyle w:val="TOC3"/>
        <w:rPr>
          <w:rFonts w:asciiTheme="minorHAnsi" w:eastAsiaTheme="minorEastAsia" w:hAnsiTheme="minorHAnsi" w:cstheme="minorBidi"/>
          <w:kern w:val="2"/>
          <w:sz w:val="24"/>
          <w:szCs w:val="24"/>
          <w14:ligatures w14:val="standardContextual"/>
        </w:rPr>
      </w:pPr>
      <w:hyperlink w:anchor="_Toc214283560" w:history="1">
        <w:r w:rsidRPr="008F4954">
          <w:rPr>
            <w:rStyle w:val="Hyperlink"/>
          </w:rPr>
          <w:t>5.34.7</w:t>
        </w:r>
        <w:r>
          <w:rPr>
            <w:rFonts w:asciiTheme="minorHAnsi" w:eastAsiaTheme="minorEastAsia" w:hAnsiTheme="minorHAnsi" w:cstheme="minorBidi"/>
            <w:kern w:val="2"/>
            <w:sz w:val="24"/>
            <w:szCs w:val="24"/>
            <w14:ligatures w14:val="standardContextual"/>
          </w:rPr>
          <w:tab/>
        </w:r>
        <w:r w:rsidRPr="008F4954">
          <w:rPr>
            <w:rStyle w:val="Hyperlink"/>
          </w:rPr>
          <w:t>Options</w:t>
        </w:r>
        <w:r>
          <w:rPr>
            <w:webHidden/>
          </w:rPr>
          <w:tab/>
        </w:r>
        <w:r>
          <w:rPr>
            <w:webHidden/>
          </w:rPr>
          <w:fldChar w:fldCharType="begin"/>
        </w:r>
        <w:r>
          <w:rPr>
            <w:webHidden/>
          </w:rPr>
          <w:instrText xml:space="preserve"> PAGEREF _Toc214283560 \h </w:instrText>
        </w:r>
        <w:r>
          <w:rPr>
            <w:webHidden/>
          </w:rPr>
        </w:r>
        <w:r>
          <w:rPr>
            <w:webHidden/>
          </w:rPr>
          <w:fldChar w:fldCharType="separate"/>
        </w:r>
        <w:r>
          <w:rPr>
            <w:webHidden/>
          </w:rPr>
          <w:t>503</w:t>
        </w:r>
        <w:r>
          <w:rPr>
            <w:webHidden/>
          </w:rPr>
          <w:fldChar w:fldCharType="end"/>
        </w:r>
      </w:hyperlink>
    </w:p>
    <w:p w14:paraId="3512FE1F" w14:textId="347C0560" w:rsidR="00067371" w:rsidRDefault="00067371">
      <w:pPr>
        <w:pStyle w:val="TOC3"/>
        <w:rPr>
          <w:rFonts w:asciiTheme="minorHAnsi" w:eastAsiaTheme="minorEastAsia" w:hAnsiTheme="minorHAnsi" w:cstheme="minorBidi"/>
          <w:kern w:val="2"/>
          <w:sz w:val="24"/>
          <w:szCs w:val="24"/>
          <w14:ligatures w14:val="standardContextual"/>
        </w:rPr>
      </w:pPr>
      <w:hyperlink w:anchor="_Toc214283561" w:history="1">
        <w:r w:rsidRPr="008F4954">
          <w:rPr>
            <w:rStyle w:val="Hyperlink"/>
          </w:rPr>
          <w:t>5.34.8</w:t>
        </w:r>
        <w:r>
          <w:rPr>
            <w:rFonts w:asciiTheme="minorHAnsi" w:eastAsiaTheme="minorEastAsia" w:hAnsiTheme="minorHAnsi" w:cstheme="minorBidi"/>
            <w:kern w:val="2"/>
            <w:sz w:val="24"/>
            <w:szCs w:val="24"/>
            <w14:ligatures w14:val="standardContextual"/>
          </w:rPr>
          <w:tab/>
        </w:r>
        <w:r w:rsidRPr="008F4954">
          <w:rPr>
            <w:rStyle w:val="Hyperlink"/>
          </w:rPr>
          <w:t>LMOs</w:t>
        </w:r>
        <w:r>
          <w:rPr>
            <w:webHidden/>
          </w:rPr>
          <w:tab/>
        </w:r>
        <w:r>
          <w:rPr>
            <w:webHidden/>
          </w:rPr>
          <w:fldChar w:fldCharType="begin"/>
        </w:r>
        <w:r>
          <w:rPr>
            <w:webHidden/>
          </w:rPr>
          <w:instrText xml:space="preserve"> PAGEREF _Toc214283561 \h </w:instrText>
        </w:r>
        <w:r>
          <w:rPr>
            <w:webHidden/>
          </w:rPr>
        </w:r>
        <w:r>
          <w:rPr>
            <w:webHidden/>
          </w:rPr>
          <w:fldChar w:fldCharType="separate"/>
        </w:r>
        <w:r>
          <w:rPr>
            <w:webHidden/>
          </w:rPr>
          <w:t>627</w:t>
        </w:r>
        <w:r>
          <w:rPr>
            <w:webHidden/>
          </w:rPr>
          <w:fldChar w:fldCharType="end"/>
        </w:r>
      </w:hyperlink>
    </w:p>
    <w:p w14:paraId="34ABA9FA" w14:textId="7E8A5CB6" w:rsidR="00067371" w:rsidRDefault="00067371">
      <w:pPr>
        <w:pStyle w:val="TOC3"/>
        <w:rPr>
          <w:rFonts w:asciiTheme="minorHAnsi" w:eastAsiaTheme="minorEastAsia" w:hAnsiTheme="minorHAnsi" w:cstheme="minorBidi"/>
          <w:kern w:val="2"/>
          <w:sz w:val="24"/>
          <w:szCs w:val="24"/>
          <w14:ligatures w14:val="standardContextual"/>
        </w:rPr>
      </w:pPr>
      <w:hyperlink w:anchor="_Toc214283562" w:history="1">
        <w:r w:rsidRPr="008F4954">
          <w:rPr>
            <w:rStyle w:val="Hyperlink"/>
            <w:caps/>
          </w:rPr>
          <w:t>5.34.9</w:t>
        </w:r>
        <w:r>
          <w:rPr>
            <w:rFonts w:asciiTheme="minorHAnsi" w:eastAsiaTheme="minorEastAsia" w:hAnsiTheme="minorHAnsi" w:cstheme="minorBidi"/>
            <w:kern w:val="2"/>
            <w:sz w:val="24"/>
            <w:szCs w:val="24"/>
            <w14:ligatures w14:val="standardContextual"/>
          </w:rPr>
          <w:tab/>
        </w:r>
        <w:r w:rsidRPr="008F4954">
          <w:rPr>
            <w:rStyle w:val="Hyperlink"/>
          </w:rPr>
          <w:t>Attachments</w:t>
        </w:r>
        <w:r>
          <w:rPr>
            <w:webHidden/>
          </w:rPr>
          <w:tab/>
        </w:r>
        <w:r>
          <w:rPr>
            <w:webHidden/>
          </w:rPr>
          <w:fldChar w:fldCharType="begin"/>
        </w:r>
        <w:r>
          <w:rPr>
            <w:webHidden/>
          </w:rPr>
          <w:instrText xml:space="preserve"> PAGEREF _Toc214283562 \h </w:instrText>
        </w:r>
        <w:r>
          <w:rPr>
            <w:webHidden/>
          </w:rPr>
        </w:r>
        <w:r>
          <w:rPr>
            <w:webHidden/>
          </w:rPr>
          <w:fldChar w:fldCharType="separate"/>
        </w:r>
        <w:r>
          <w:rPr>
            <w:webHidden/>
          </w:rPr>
          <w:t>635</w:t>
        </w:r>
        <w:r>
          <w:rPr>
            <w:webHidden/>
          </w:rPr>
          <w:fldChar w:fldCharType="end"/>
        </w:r>
      </w:hyperlink>
    </w:p>
    <w:p w14:paraId="38A4B6EF" w14:textId="156AFF9C" w:rsidR="00067371" w:rsidRDefault="00067371">
      <w:pPr>
        <w:pStyle w:val="TOC3"/>
        <w:rPr>
          <w:rFonts w:asciiTheme="minorHAnsi" w:eastAsiaTheme="minorEastAsia" w:hAnsiTheme="minorHAnsi" w:cstheme="minorBidi"/>
          <w:kern w:val="2"/>
          <w:sz w:val="24"/>
          <w:szCs w:val="24"/>
          <w14:ligatures w14:val="standardContextual"/>
        </w:rPr>
      </w:pPr>
      <w:hyperlink w:anchor="_Toc214283563" w:history="1">
        <w:r w:rsidRPr="008F4954">
          <w:rPr>
            <w:rStyle w:val="Hyperlink"/>
            <w:caps/>
          </w:rPr>
          <w:t>5.34.10</w:t>
        </w:r>
        <w:r>
          <w:rPr>
            <w:rFonts w:asciiTheme="minorHAnsi" w:eastAsiaTheme="minorEastAsia" w:hAnsiTheme="minorHAnsi" w:cstheme="minorBidi"/>
            <w:kern w:val="2"/>
            <w:sz w:val="24"/>
            <w:szCs w:val="24"/>
            <w14:ligatures w14:val="standardContextual"/>
          </w:rPr>
          <w:tab/>
        </w:r>
        <w:r w:rsidRPr="008F4954">
          <w:rPr>
            <w:rStyle w:val="Hyperlink"/>
          </w:rPr>
          <w:t>History Log</w:t>
        </w:r>
        <w:r>
          <w:rPr>
            <w:webHidden/>
          </w:rPr>
          <w:tab/>
        </w:r>
        <w:r>
          <w:rPr>
            <w:webHidden/>
          </w:rPr>
          <w:fldChar w:fldCharType="begin"/>
        </w:r>
        <w:r>
          <w:rPr>
            <w:webHidden/>
          </w:rPr>
          <w:instrText xml:space="preserve"> PAGEREF _Toc214283563 \h </w:instrText>
        </w:r>
        <w:r>
          <w:rPr>
            <w:webHidden/>
          </w:rPr>
        </w:r>
        <w:r>
          <w:rPr>
            <w:webHidden/>
          </w:rPr>
          <w:fldChar w:fldCharType="separate"/>
        </w:r>
        <w:r>
          <w:rPr>
            <w:webHidden/>
          </w:rPr>
          <w:t>637</w:t>
        </w:r>
        <w:r>
          <w:rPr>
            <w:webHidden/>
          </w:rPr>
          <w:fldChar w:fldCharType="end"/>
        </w:r>
      </w:hyperlink>
    </w:p>
    <w:p w14:paraId="220AC3DF" w14:textId="6217A23A" w:rsidR="00067371" w:rsidRDefault="00067371">
      <w:pPr>
        <w:pStyle w:val="TOC3"/>
        <w:rPr>
          <w:rFonts w:asciiTheme="minorHAnsi" w:eastAsiaTheme="minorEastAsia" w:hAnsiTheme="minorHAnsi" w:cstheme="minorBidi"/>
          <w:kern w:val="2"/>
          <w:sz w:val="24"/>
          <w:szCs w:val="24"/>
          <w14:ligatures w14:val="standardContextual"/>
        </w:rPr>
      </w:pPr>
      <w:hyperlink w:anchor="_Toc214283564" w:history="1">
        <w:r w:rsidRPr="008F4954">
          <w:rPr>
            <w:rStyle w:val="Hyperlink"/>
          </w:rPr>
          <w:t>5.34.11</w:t>
        </w:r>
        <w:r>
          <w:rPr>
            <w:rFonts w:asciiTheme="minorHAnsi" w:eastAsiaTheme="minorEastAsia" w:hAnsiTheme="minorHAnsi" w:cstheme="minorBidi"/>
            <w:kern w:val="2"/>
            <w:sz w:val="24"/>
            <w:szCs w:val="24"/>
            <w14:ligatures w14:val="standardContextual"/>
          </w:rPr>
          <w:tab/>
        </w:r>
        <w:r w:rsidRPr="008F4954">
          <w:rPr>
            <w:rStyle w:val="Hyperlink"/>
          </w:rPr>
          <w:t>Send</w:t>
        </w:r>
        <w:r>
          <w:rPr>
            <w:webHidden/>
          </w:rPr>
          <w:tab/>
        </w:r>
        <w:r>
          <w:rPr>
            <w:webHidden/>
          </w:rPr>
          <w:fldChar w:fldCharType="begin"/>
        </w:r>
        <w:r>
          <w:rPr>
            <w:webHidden/>
          </w:rPr>
          <w:instrText xml:space="preserve"> PAGEREF _Toc214283564 \h </w:instrText>
        </w:r>
        <w:r>
          <w:rPr>
            <w:webHidden/>
          </w:rPr>
        </w:r>
        <w:r>
          <w:rPr>
            <w:webHidden/>
          </w:rPr>
          <w:fldChar w:fldCharType="separate"/>
        </w:r>
        <w:r>
          <w:rPr>
            <w:webHidden/>
          </w:rPr>
          <w:t>639</w:t>
        </w:r>
        <w:r>
          <w:rPr>
            <w:webHidden/>
          </w:rPr>
          <w:fldChar w:fldCharType="end"/>
        </w:r>
      </w:hyperlink>
    </w:p>
    <w:p w14:paraId="1208FBB6" w14:textId="7A3F6975" w:rsidR="00067371" w:rsidRDefault="00067371">
      <w:pPr>
        <w:pStyle w:val="TOC3"/>
        <w:rPr>
          <w:rFonts w:asciiTheme="minorHAnsi" w:eastAsiaTheme="minorEastAsia" w:hAnsiTheme="minorHAnsi" w:cstheme="minorBidi"/>
          <w:kern w:val="2"/>
          <w:sz w:val="24"/>
          <w:szCs w:val="24"/>
          <w14:ligatures w14:val="standardContextual"/>
        </w:rPr>
      </w:pPr>
      <w:hyperlink w:anchor="_Toc214283565" w:history="1">
        <w:r w:rsidRPr="008F4954">
          <w:rPr>
            <w:rStyle w:val="Hyperlink"/>
          </w:rPr>
          <w:t>5.34.12</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_Toc214283565 \h </w:instrText>
        </w:r>
        <w:r>
          <w:rPr>
            <w:webHidden/>
          </w:rPr>
        </w:r>
        <w:r>
          <w:rPr>
            <w:webHidden/>
          </w:rPr>
          <w:fldChar w:fldCharType="separate"/>
        </w:r>
        <w:r>
          <w:rPr>
            <w:webHidden/>
          </w:rPr>
          <w:t>644</w:t>
        </w:r>
        <w:r>
          <w:rPr>
            <w:webHidden/>
          </w:rPr>
          <w:fldChar w:fldCharType="end"/>
        </w:r>
      </w:hyperlink>
    </w:p>
    <w:p w14:paraId="7DAD2358" w14:textId="226FD70D" w:rsidR="00067371" w:rsidRDefault="00067371">
      <w:pPr>
        <w:pStyle w:val="TOC3"/>
        <w:rPr>
          <w:rFonts w:asciiTheme="minorHAnsi" w:eastAsiaTheme="minorEastAsia" w:hAnsiTheme="minorHAnsi" w:cstheme="minorBidi"/>
          <w:kern w:val="2"/>
          <w:sz w:val="24"/>
          <w:szCs w:val="24"/>
          <w14:ligatures w14:val="standardContextual"/>
        </w:rPr>
      </w:pPr>
      <w:hyperlink w:anchor="_Toc214283566" w:history="1">
        <w:r w:rsidRPr="008F4954">
          <w:rPr>
            <w:rStyle w:val="Hyperlink"/>
          </w:rPr>
          <w:t>5.34.13</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_Toc214283566 \h </w:instrText>
        </w:r>
        <w:r>
          <w:rPr>
            <w:webHidden/>
          </w:rPr>
        </w:r>
        <w:r>
          <w:rPr>
            <w:webHidden/>
          </w:rPr>
          <w:fldChar w:fldCharType="separate"/>
        </w:r>
        <w:r>
          <w:rPr>
            <w:webHidden/>
          </w:rPr>
          <w:t>645</w:t>
        </w:r>
        <w:r>
          <w:rPr>
            <w:webHidden/>
          </w:rPr>
          <w:fldChar w:fldCharType="end"/>
        </w:r>
      </w:hyperlink>
    </w:p>
    <w:p w14:paraId="7631E9F1" w14:textId="21590A68" w:rsidR="00067371" w:rsidRDefault="00067371">
      <w:pPr>
        <w:pStyle w:val="TOC3"/>
        <w:rPr>
          <w:rFonts w:asciiTheme="minorHAnsi" w:eastAsiaTheme="minorEastAsia" w:hAnsiTheme="minorHAnsi" w:cstheme="minorBidi"/>
          <w:kern w:val="2"/>
          <w:sz w:val="24"/>
          <w:szCs w:val="24"/>
          <w14:ligatures w14:val="standardContextual"/>
        </w:rPr>
      </w:pPr>
      <w:hyperlink w:anchor="_Toc214283567" w:history="1">
        <w:r w:rsidRPr="008F4954">
          <w:rPr>
            <w:rStyle w:val="Hyperlink"/>
          </w:rPr>
          <w:t>5.34.14</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_Toc214283567 \h </w:instrText>
        </w:r>
        <w:r>
          <w:rPr>
            <w:webHidden/>
          </w:rPr>
        </w:r>
        <w:r>
          <w:rPr>
            <w:webHidden/>
          </w:rPr>
          <w:fldChar w:fldCharType="separate"/>
        </w:r>
        <w:r>
          <w:rPr>
            <w:webHidden/>
          </w:rPr>
          <w:t>645</w:t>
        </w:r>
        <w:r>
          <w:rPr>
            <w:webHidden/>
          </w:rPr>
          <w:fldChar w:fldCharType="end"/>
        </w:r>
      </w:hyperlink>
    </w:p>
    <w:p w14:paraId="73E8AFDE" w14:textId="0C6C2763" w:rsidR="00067371" w:rsidRDefault="00067371">
      <w:pPr>
        <w:pStyle w:val="TOC3"/>
        <w:rPr>
          <w:rFonts w:asciiTheme="minorHAnsi" w:eastAsiaTheme="minorEastAsia" w:hAnsiTheme="minorHAnsi" w:cstheme="minorBidi"/>
          <w:kern w:val="2"/>
          <w:sz w:val="24"/>
          <w:szCs w:val="24"/>
          <w14:ligatures w14:val="standardContextual"/>
        </w:rPr>
      </w:pPr>
      <w:hyperlink w:anchor="_Toc214283568" w:history="1">
        <w:r w:rsidRPr="008F4954">
          <w:rPr>
            <w:rStyle w:val="Hyperlink"/>
          </w:rPr>
          <w:t>5.34.15</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_Toc214283568 \h </w:instrText>
        </w:r>
        <w:r>
          <w:rPr>
            <w:webHidden/>
          </w:rPr>
        </w:r>
        <w:r>
          <w:rPr>
            <w:webHidden/>
          </w:rPr>
          <w:fldChar w:fldCharType="separate"/>
        </w:r>
        <w:r>
          <w:rPr>
            <w:webHidden/>
          </w:rPr>
          <w:t>645</w:t>
        </w:r>
        <w:r>
          <w:rPr>
            <w:webHidden/>
          </w:rPr>
          <w:fldChar w:fldCharType="end"/>
        </w:r>
      </w:hyperlink>
    </w:p>
    <w:p w14:paraId="40AFD873" w14:textId="3F690ADC" w:rsidR="00067371" w:rsidRDefault="00067371">
      <w:pPr>
        <w:pStyle w:val="TOC3"/>
        <w:rPr>
          <w:rFonts w:asciiTheme="minorHAnsi" w:eastAsiaTheme="minorEastAsia" w:hAnsiTheme="minorHAnsi" w:cstheme="minorBidi"/>
          <w:kern w:val="2"/>
          <w:sz w:val="24"/>
          <w:szCs w:val="24"/>
          <w14:ligatures w14:val="standardContextual"/>
        </w:rPr>
      </w:pPr>
      <w:hyperlink w:anchor="_Toc214283569" w:history="1">
        <w:r w:rsidRPr="008F4954">
          <w:rPr>
            <w:rStyle w:val="Hyperlink"/>
          </w:rPr>
          <w:t>5.34.16</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_Toc214283569 \h </w:instrText>
        </w:r>
        <w:r>
          <w:rPr>
            <w:webHidden/>
          </w:rPr>
        </w:r>
        <w:r>
          <w:rPr>
            <w:webHidden/>
          </w:rPr>
          <w:fldChar w:fldCharType="separate"/>
        </w:r>
        <w:r>
          <w:rPr>
            <w:webHidden/>
          </w:rPr>
          <w:t>646</w:t>
        </w:r>
        <w:r>
          <w:rPr>
            <w:webHidden/>
          </w:rPr>
          <w:fldChar w:fldCharType="end"/>
        </w:r>
      </w:hyperlink>
    </w:p>
    <w:p w14:paraId="350F96E9" w14:textId="10D5B25D" w:rsidR="00067371" w:rsidRDefault="00067371">
      <w:pPr>
        <w:pStyle w:val="TOC3"/>
        <w:rPr>
          <w:rFonts w:asciiTheme="minorHAnsi" w:eastAsiaTheme="minorEastAsia" w:hAnsiTheme="minorHAnsi" w:cstheme="minorBidi"/>
          <w:kern w:val="2"/>
          <w:sz w:val="24"/>
          <w:szCs w:val="24"/>
          <w14:ligatures w14:val="standardContextual"/>
        </w:rPr>
      </w:pPr>
      <w:hyperlink w:anchor="_Toc214283570" w:history="1">
        <w:r w:rsidRPr="008F4954">
          <w:rPr>
            <w:rStyle w:val="Hyperlink"/>
          </w:rPr>
          <w:t>5.34.17</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_Toc214283570 \h </w:instrText>
        </w:r>
        <w:r>
          <w:rPr>
            <w:webHidden/>
          </w:rPr>
        </w:r>
        <w:r>
          <w:rPr>
            <w:webHidden/>
          </w:rPr>
          <w:fldChar w:fldCharType="separate"/>
        </w:r>
        <w:r>
          <w:rPr>
            <w:webHidden/>
          </w:rPr>
          <w:t>646</w:t>
        </w:r>
        <w:r>
          <w:rPr>
            <w:webHidden/>
          </w:rPr>
          <w:fldChar w:fldCharType="end"/>
        </w:r>
      </w:hyperlink>
    </w:p>
    <w:p w14:paraId="321D2809" w14:textId="33BB42E8" w:rsidR="00067371" w:rsidRDefault="00067371">
      <w:pPr>
        <w:pStyle w:val="TOC3"/>
        <w:rPr>
          <w:rFonts w:asciiTheme="minorHAnsi" w:eastAsiaTheme="minorEastAsia" w:hAnsiTheme="minorHAnsi" w:cstheme="minorBidi"/>
          <w:kern w:val="2"/>
          <w:sz w:val="24"/>
          <w:szCs w:val="24"/>
          <w14:ligatures w14:val="standardContextual"/>
        </w:rPr>
      </w:pPr>
      <w:hyperlink w:anchor="_Toc214283571" w:history="1">
        <w:r w:rsidRPr="008F4954">
          <w:rPr>
            <w:rStyle w:val="Hyperlink"/>
          </w:rPr>
          <w:t>5.34.18</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_Toc214283571 \h </w:instrText>
        </w:r>
        <w:r>
          <w:rPr>
            <w:webHidden/>
          </w:rPr>
        </w:r>
        <w:r>
          <w:rPr>
            <w:webHidden/>
          </w:rPr>
          <w:fldChar w:fldCharType="separate"/>
        </w:r>
        <w:r>
          <w:rPr>
            <w:webHidden/>
          </w:rPr>
          <w:t>646</w:t>
        </w:r>
        <w:r>
          <w:rPr>
            <w:webHidden/>
          </w:rPr>
          <w:fldChar w:fldCharType="end"/>
        </w:r>
      </w:hyperlink>
    </w:p>
    <w:p w14:paraId="2395AE5F" w14:textId="284DB20A" w:rsidR="00067371" w:rsidRDefault="00067371">
      <w:pPr>
        <w:pStyle w:val="TOC3"/>
        <w:rPr>
          <w:rFonts w:asciiTheme="minorHAnsi" w:eastAsiaTheme="minorEastAsia" w:hAnsiTheme="minorHAnsi" w:cstheme="minorBidi"/>
          <w:kern w:val="2"/>
          <w:sz w:val="24"/>
          <w:szCs w:val="24"/>
          <w14:ligatures w14:val="standardContextual"/>
        </w:rPr>
      </w:pPr>
      <w:hyperlink w:anchor="_Toc214283572" w:history="1">
        <w:r w:rsidRPr="008F4954">
          <w:rPr>
            <w:rStyle w:val="Hyperlink"/>
          </w:rPr>
          <w:t>5.34.19</w:t>
        </w:r>
        <w:r>
          <w:rPr>
            <w:rFonts w:asciiTheme="minorHAnsi" w:eastAsiaTheme="minorEastAsia" w:hAnsiTheme="minorHAnsi" w:cstheme="minorBidi"/>
            <w:kern w:val="2"/>
            <w:sz w:val="24"/>
            <w:szCs w:val="24"/>
            <w14:ligatures w14:val="standardContextual"/>
          </w:rPr>
          <w:tab/>
        </w:r>
        <w:r w:rsidRPr="008F4954">
          <w:rPr>
            <w:rStyle w:val="Hyperlink"/>
          </w:rPr>
          <w:t>Strike Folder FAQ</w:t>
        </w:r>
        <w:r>
          <w:rPr>
            <w:webHidden/>
          </w:rPr>
          <w:tab/>
        </w:r>
        <w:r>
          <w:rPr>
            <w:webHidden/>
          </w:rPr>
          <w:fldChar w:fldCharType="begin"/>
        </w:r>
        <w:r>
          <w:rPr>
            <w:webHidden/>
          </w:rPr>
          <w:instrText xml:space="preserve"> PAGEREF _Toc214283572 \h </w:instrText>
        </w:r>
        <w:r>
          <w:rPr>
            <w:webHidden/>
          </w:rPr>
        </w:r>
        <w:r>
          <w:rPr>
            <w:webHidden/>
          </w:rPr>
          <w:fldChar w:fldCharType="separate"/>
        </w:r>
        <w:r>
          <w:rPr>
            <w:webHidden/>
          </w:rPr>
          <w:t>646</w:t>
        </w:r>
        <w:r>
          <w:rPr>
            <w:webHidden/>
          </w:rPr>
          <w:fldChar w:fldCharType="end"/>
        </w:r>
      </w:hyperlink>
    </w:p>
    <w:p w14:paraId="404F48D4" w14:textId="5D77E756"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573" w:history="1">
        <w:r w:rsidRPr="008F4954">
          <w:rPr>
            <w:rStyle w:val="Hyperlink"/>
          </w:rPr>
          <w:t>5.35</w:t>
        </w:r>
        <w:r>
          <w:rPr>
            <w:rFonts w:asciiTheme="minorHAnsi" w:eastAsiaTheme="minorEastAsia" w:hAnsiTheme="minorHAnsi" w:cstheme="minorBidi"/>
            <w:smallCaps w:val="0"/>
            <w:kern w:val="2"/>
            <w:szCs w:val="24"/>
            <w14:ligatures w14:val="standardContextual"/>
          </w:rPr>
          <w:tab/>
        </w:r>
        <w:r w:rsidRPr="008F4954">
          <w:rPr>
            <w:rStyle w:val="Hyperlink"/>
          </w:rPr>
          <w:t>STRIKE EXECUTION</w:t>
        </w:r>
        <w:r>
          <w:rPr>
            <w:webHidden/>
          </w:rPr>
          <w:tab/>
        </w:r>
        <w:r>
          <w:rPr>
            <w:webHidden/>
          </w:rPr>
          <w:fldChar w:fldCharType="begin"/>
        </w:r>
        <w:r>
          <w:rPr>
            <w:webHidden/>
          </w:rPr>
          <w:instrText xml:space="preserve"> PAGEREF _Toc214283573 \h </w:instrText>
        </w:r>
        <w:r>
          <w:rPr>
            <w:webHidden/>
          </w:rPr>
        </w:r>
        <w:r>
          <w:rPr>
            <w:webHidden/>
          </w:rPr>
          <w:fldChar w:fldCharType="separate"/>
        </w:r>
        <w:r>
          <w:rPr>
            <w:webHidden/>
          </w:rPr>
          <w:t>647</w:t>
        </w:r>
        <w:r>
          <w:rPr>
            <w:webHidden/>
          </w:rPr>
          <w:fldChar w:fldCharType="end"/>
        </w:r>
      </w:hyperlink>
    </w:p>
    <w:p w14:paraId="3CA9D072" w14:textId="0BF547F4" w:rsidR="00067371" w:rsidRDefault="00067371">
      <w:pPr>
        <w:pStyle w:val="TOC3"/>
        <w:rPr>
          <w:rFonts w:asciiTheme="minorHAnsi" w:eastAsiaTheme="minorEastAsia" w:hAnsiTheme="minorHAnsi" w:cstheme="minorBidi"/>
          <w:kern w:val="2"/>
          <w:sz w:val="24"/>
          <w:szCs w:val="24"/>
          <w14:ligatures w14:val="standardContextual"/>
        </w:rPr>
      </w:pPr>
      <w:hyperlink w:anchor="_Toc214283574" w:history="1">
        <w:r w:rsidRPr="008F4954">
          <w:rPr>
            <w:rStyle w:val="Hyperlink"/>
          </w:rPr>
          <w:t>5.35.1</w:t>
        </w:r>
        <w:r>
          <w:rPr>
            <w:rFonts w:asciiTheme="minorHAnsi" w:eastAsiaTheme="minorEastAsia" w:hAnsiTheme="minorHAnsi" w:cstheme="minorBidi"/>
            <w:kern w:val="2"/>
            <w:sz w:val="24"/>
            <w:szCs w:val="24"/>
            <w14:ligatures w14:val="standardContextual"/>
          </w:rPr>
          <w:tab/>
        </w:r>
        <w:r w:rsidRPr="008F4954">
          <w:rPr>
            <w:rStyle w:val="Hyperlink"/>
          </w:rPr>
          <w:t>Create a New Strike Execution Folder</w:t>
        </w:r>
        <w:r>
          <w:rPr>
            <w:webHidden/>
          </w:rPr>
          <w:tab/>
        </w:r>
        <w:r>
          <w:rPr>
            <w:webHidden/>
          </w:rPr>
          <w:fldChar w:fldCharType="begin"/>
        </w:r>
        <w:r>
          <w:rPr>
            <w:webHidden/>
          </w:rPr>
          <w:instrText xml:space="preserve"> PAGEREF _Toc214283574 \h </w:instrText>
        </w:r>
        <w:r>
          <w:rPr>
            <w:webHidden/>
          </w:rPr>
        </w:r>
        <w:r>
          <w:rPr>
            <w:webHidden/>
          </w:rPr>
          <w:fldChar w:fldCharType="separate"/>
        </w:r>
        <w:r>
          <w:rPr>
            <w:webHidden/>
          </w:rPr>
          <w:t>651</w:t>
        </w:r>
        <w:r>
          <w:rPr>
            <w:webHidden/>
          </w:rPr>
          <w:fldChar w:fldCharType="end"/>
        </w:r>
      </w:hyperlink>
    </w:p>
    <w:p w14:paraId="59AE80AD" w14:textId="3E2002CB" w:rsidR="00067371" w:rsidRDefault="00067371">
      <w:pPr>
        <w:pStyle w:val="TOC3"/>
        <w:rPr>
          <w:rFonts w:asciiTheme="minorHAnsi" w:eastAsiaTheme="minorEastAsia" w:hAnsiTheme="minorHAnsi" w:cstheme="minorBidi"/>
          <w:kern w:val="2"/>
          <w:sz w:val="24"/>
          <w:szCs w:val="24"/>
          <w14:ligatures w14:val="standardContextual"/>
        </w:rPr>
      </w:pPr>
      <w:hyperlink w:anchor="_Toc214283575" w:history="1">
        <w:r w:rsidRPr="008F4954">
          <w:rPr>
            <w:rStyle w:val="Hyperlink"/>
          </w:rPr>
          <w:t>5.35.2</w:t>
        </w:r>
        <w:r>
          <w:rPr>
            <w:rFonts w:asciiTheme="minorHAnsi" w:eastAsiaTheme="minorEastAsia" w:hAnsiTheme="minorHAnsi" w:cstheme="minorBidi"/>
            <w:kern w:val="2"/>
            <w:sz w:val="24"/>
            <w:szCs w:val="24"/>
            <w14:ligatures w14:val="standardContextual"/>
          </w:rPr>
          <w:tab/>
        </w:r>
        <w:r w:rsidRPr="008F4954">
          <w:rPr>
            <w:rStyle w:val="Hyperlink"/>
          </w:rPr>
          <w:t>Delete a Strike Execution Folder</w:t>
        </w:r>
        <w:r>
          <w:rPr>
            <w:webHidden/>
          </w:rPr>
          <w:tab/>
        </w:r>
        <w:r>
          <w:rPr>
            <w:webHidden/>
          </w:rPr>
          <w:fldChar w:fldCharType="begin"/>
        </w:r>
        <w:r>
          <w:rPr>
            <w:webHidden/>
          </w:rPr>
          <w:instrText xml:space="preserve"> PAGEREF _Toc214283575 \h </w:instrText>
        </w:r>
        <w:r>
          <w:rPr>
            <w:webHidden/>
          </w:rPr>
        </w:r>
        <w:r>
          <w:rPr>
            <w:webHidden/>
          </w:rPr>
          <w:fldChar w:fldCharType="separate"/>
        </w:r>
        <w:r>
          <w:rPr>
            <w:webHidden/>
          </w:rPr>
          <w:t>652</w:t>
        </w:r>
        <w:r>
          <w:rPr>
            <w:webHidden/>
          </w:rPr>
          <w:fldChar w:fldCharType="end"/>
        </w:r>
      </w:hyperlink>
    </w:p>
    <w:p w14:paraId="168B4FD5" w14:textId="4EAED867" w:rsidR="00067371" w:rsidRDefault="00067371">
      <w:pPr>
        <w:pStyle w:val="TOC3"/>
        <w:rPr>
          <w:rFonts w:asciiTheme="minorHAnsi" w:eastAsiaTheme="minorEastAsia" w:hAnsiTheme="minorHAnsi" w:cstheme="minorBidi"/>
          <w:kern w:val="2"/>
          <w:sz w:val="24"/>
          <w:szCs w:val="24"/>
          <w14:ligatures w14:val="standardContextual"/>
        </w:rPr>
      </w:pPr>
      <w:hyperlink w:anchor="_Toc214283576" w:history="1">
        <w:r w:rsidRPr="008F4954">
          <w:rPr>
            <w:rStyle w:val="Hyperlink"/>
          </w:rPr>
          <w:t>5.35.3</w:t>
        </w:r>
        <w:r>
          <w:rPr>
            <w:rFonts w:asciiTheme="minorHAnsi" w:eastAsiaTheme="minorEastAsia" w:hAnsiTheme="minorHAnsi" w:cstheme="minorBidi"/>
            <w:kern w:val="2"/>
            <w:sz w:val="24"/>
            <w:szCs w:val="24"/>
            <w14:ligatures w14:val="standardContextual"/>
          </w:rPr>
          <w:tab/>
        </w:r>
        <w:r w:rsidRPr="008F4954">
          <w:rPr>
            <w:rStyle w:val="Hyperlink"/>
          </w:rPr>
          <w:t>Activate a Strike Execution Folder</w:t>
        </w:r>
        <w:r>
          <w:rPr>
            <w:webHidden/>
          </w:rPr>
          <w:tab/>
        </w:r>
        <w:r>
          <w:rPr>
            <w:webHidden/>
          </w:rPr>
          <w:fldChar w:fldCharType="begin"/>
        </w:r>
        <w:r>
          <w:rPr>
            <w:webHidden/>
          </w:rPr>
          <w:instrText xml:space="preserve"> PAGEREF _Toc214283576 \h </w:instrText>
        </w:r>
        <w:r>
          <w:rPr>
            <w:webHidden/>
          </w:rPr>
        </w:r>
        <w:r>
          <w:rPr>
            <w:webHidden/>
          </w:rPr>
          <w:fldChar w:fldCharType="separate"/>
        </w:r>
        <w:r>
          <w:rPr>
            <w:webHidden/>
          </w:rPr>
          <w:t>652</w:t>
        </w:r>
        <w:r>
          <w:rPr>
            <w:webHidden/>
          </w:rPr>
          <w:fldChar w:fldCharType="end"/>
        </w:r>
      </w:hyperlink>
    </w:p>
    <w:p w14:paraId="79824FD4" w14:textId="2C714CF6" w:rsidR="00067371" w:rsidRDefault="00067371">
      <w:pPr>
        <w:pStyle w:val="TOC3"/>
        <w:rPr>
          <w:rFonts w:asciiTheme="minorHAnsi" w:eastAsiaTheme="minorEastAsia" w:hAnsiTheme="minorHAnsi" w:cstheme="minorBidi"/>
          <w:kern w:val="2"/>
          <w:sz w:val="24"/>
          <w:szCs w:val="24"/>
          <w14:ligatures w14:val="standardContextual"/>
        </w:rPr>
      </w:pPr>
      <w:hyperlink w:anchor="_Toc214283577" w:history="1">
        <w:r w:rsidRPr="008F4954">
          <w:rPr>
            <w:rStyle w:val="Hyperlink"/>
          </w:rPr>
          <w:t>5.35.4</w:t>
        </w:r>
        <w:r>
          <w:rPr>
            <w:rFonts w:asciiTheme="minorHAnsi" w:eastAsiaTheme="minorEastAsia" w:hAnsiTheme="minorHAnsi" w:cstheme="minorBidi"/>
            <w:kern w:val="2"/>
            <w:sz w:val="24"/>
            <w:szCs w:val="24"/>
            <w14:ligatures w14:val="standardContextual"/>
          </w:rPr>
          <w:tab/>
        </w:r>
        <w:r w:rsidRPr="008F4954">
          <w:rPr>
            <w:rStyle w:val="Hyperlink"/>
          </w:rPr>
          <w:t>Save as CTN</w:t>
        </w:r>
        <w:r>
          <w:rPr>
            <w:webHidden/>
          </w:rPr>
          <w:tab/>
        </w:r>
        <w:r>
          <w:rPr>
            <w:webHidden/>
          </w:rPr>
          <w:fldChar w:fldCharType="begin"/>
        </w:r>
        <w:r>
          <w:rPr>
            <w:webHidden/>
          </w:rPr>
          <w:instrText xml:space="preserve"> PAGEREF _Toc214283577 \h </w:instrText>
        </w:r>
        <w:r>
          <w:rPr>
            <w:webHidden/>
          </w:rPr>
        </w:r>
        <w:r>
          <w:rPr>
            <w:webHidden/>
          </w:rPr>
          <w:fldChar w:fldCharType="separate"/>
        </w:r>
        <w:r>
          <w:rPr>
            <w:webHidden/>
          </w:rPr>
          <w:t>770</w:t>
        </w:r>
        <w:r>
          <w:rPr>
            <w:webHidden/>
          </w:rPr>
          <w:fldChar w:fldCharType="end"/>
        </w:r>
      </w:hyperlink>
    </w:p>
    <w:p w14:paraId="173D73BA" w14:textId="17205AD0" w:rsidR="00067371" w:rsidRDefault="00067371">
      <w:pPr>
        <w:pStyle w:val="TOC3"/>
        <w:rPr>
          <w:rFonts w:asciiTheme="minorHAnsi" w:eastAsiaTheme="minorEastAsia" w:hAnsiTheme="minorHAnsi" w:cstheme="minorBidi"/>
          <w:kern w:val="2"/>
          <w:sz w:val="24"/>
          <w:szCs w:val="24"/>
          <w14:ligatures w14:val="standardContextual"/>
        </w:rPr>
      </w:pPr>
      <w:hyperlink w:anchor="_Toc214283578" w:history="1">
        <w:r w:rsidRPr="008F4954">
          <w:rPr>
            <w:rStyle w:val="Hyperlink"/>
          </w:rPr>
          <w:t>5.35.5</w:t>
        </w:r>
        <w:r>
          <w:rPr>
            <w:rFonts w:asciiTheme="minorHAnsi" w:eastAsiaTheme="minorEastAsia" w:hAnsiTheme="minorHAnsi" w:cstheme="minorBidi"/>
            <w:kern w:val="2"/>
            <w:sz w:val="24"/>
            <w:szCs w:val="24"/>
            <w14:ligatures w14:val="standardContextual"/>
          </w:rPr>
          <w:tab/>
        </w:r>
        <w:r w:rsidRPr="008F4954">
          <w:rPr>
            <w:rStyle w:val="Hyperlink"/>
          </w:rPr>
          <w:t>Strike Execution Folder Textual</w:t>
        </w:r>
        <w:r>
          <w:rPr>
            <w:webHidden/>
          </w:rPr>
          <w:tab/>
        </w:r>
        <w:r>
          <w:rPr>
            <w:webHidden/>
          </w:rPr>
          <w:fldChar w:fldCharType="begin"/>
        </w:r>
        <w:r>
          <w:rPr>
            <w:webHidden/>
          </w:rPr>
          <w:instrText xml:space="preserve"> PAGEREF _Toc214283578 \h </w:instrText>
        </w:r>
        <w:r>
          <w:rPr>
            <w:webHidden/>
          </w:rPr>
        </w:r>
        <w:r>
          <w:rPr>
            <w:webHidden/>
          </w:rPr>
          <w:fldChar w:fldCharType="separate"/>
        </w:r>
        <w:r>
          <w:rPr>
            <w:webHidden/>
          </w:rPr>
          <w:t>771</w:t>
        </w:r>
        <w:r>
          <w:rPr>
            <w:webHidden/>
          </w:rPr>
          <w:fldChar w:fldCharType="end"/>
        </w:r>
      </w:hyperlink>
    </w:p>
    <w:p w14:paraId="2B8D55DA" w14:textId="315AD6FE" w:rsidR="00067371" w:rsidRDefault="00067371">
      <w:pPr>
        <w:pStyle w:val="TOC3"/>
        <w:rPr>
          <w:rFonts w:asciiTheme="minorHAnsi" w:eastAsiaTheme="minorEastAsia" w:hAnsiTheme="minorHAnsi" w:cstheme="minorBidi"/>
          <w:kern w:val="2"/>
          <w:sz w:val="24"/>
          <w:szCs w:val="24"/>
          <w14:ligatures w14:val="standardContextual"/>
        </w:rPr>
      </w:pPr>
      <w:hyperlink w:anchor="_Toc214283579" w:history="1">
        <w:r w:rsidRPr="008F4954">
          <w:rPr>
            <w:rStyle w:val="Hyperlink"/>
          </w:rPr>
          <w:t>5.35.6</w:t>
        </w:r>
        <w:r>
          <w:rPr>
            <w:rFonts w:asciiTheme="minorHAnsi" w:eastAsiaTheme="minorEastAsia" w:hAnsiTheme="minorHAnsi" w:cstheme="minorBidi"/>
            <w:kern w:val="2"/>
            <w:sz w:val="24"/>
            <w:szCs w:val="24"/>
            <w14:ligatures w14:val="standardContextual"/>
          </w:rPr>
          <w:tab/>
        </w:r>
        <w:r w:rsidRPr="008F4954">
          <w:rPr>
            <w:rStyle w:val="Hyperlink"/>
          </w:rPr>
          <w:t>Archive and Restore Completed Strike</w:t>
        </w:r>
        <w:r>
          <w:rPr>
            <w:webHidden/>
          </w:rPr>
          <w:tab/>
        </w:r>
        <w:r>
          <w:rPr>
            <w:webHidden/>
          </w:rPr>
          <w:fldChar w:fldCharType="begin"/>
        </w:r>
        <w:r>
          <w:rPr>
            <w:webHidden/>
          </w:rPr>
          <w:instrText xml:space="preserve"> PAGEREF _Toc214283579 \h </w:instrText>
        </w:r>
        <w:r>
          <w:rPr>
            <w:webHidden/>
          </w:rPr>
        </w:r>
        <w:r>
          <w:rPr>
            <w:webHidden/>
          </w:rPr>
          <w:fldChar w:fldCharType="separate"/>
        </w:r>
        <w:r>
          <w:rPr>
            <w:webHidden/>
          </w:rPr>
          <w:t>777</w:t>
        </w:r>
        <w:r>
          <w:rPr>
            <w:webHidden/>
          </w:rPr>
          <w:fldChar w:fldCharType="end"/>
        </w:r>
      </w:hyperlink>
    </w:p>
    <w:p w14:paraId="68235745" w14:textId="01C51E71" w:rsidR="00067371" w:rsidRDefault="00067371">
      <w:pPr>
        <w:pStyle w:val="TOC3"/>
        <w:rPr>
          <w:rFonts w:asciiTheme="minorHAnsi" w:eastAsiaTheme="minorEastAsia" w:hAnsiTheme="minorHAnsi" w:cstheme="minorBidi"/>
          <w:kern w:val="2"/>
          <w:sz w:val="24"/>
          <w:szCs w:val="24"/>
          <w14:ligatures w14:val="standardContextual"/>
        </w:rPr>
      </w:pPr>
      <w:hyperlink w:anchor="_Toc214283580" w:history="1">
        <w:r w:rsidRPr="008F4954">
          <w:rPr>
            <w:rStyle w:val="Hyperlink"/>
          </w:rPr>
          <w:t>5.35.7</w:t>
        </w:r>
        <w:r>
          <w:rPr>
            <w:rFonts w:asciiTheme="minorHAnsi" w:eastAsiaTheme="minorEastAsia" w:hAnsiTheme="minorHAnsi" w:cstheme="minorBidi"/>
            <w:kern w:val="2"/>
            <w:sz w:val="24"/>
            <w:szCs w:val="24"/>
            <w14:ligatures w14:val="standardContextual"/>
          </w:rPr>
          <w:tab/>
        </w:r>
        <w:r w:rsidRPr="008F4954">
          <w:rPr>
            <w:rStyle w:val="Hyperlink"/>
          </w:rPr>
          <w:t>Strike Execution FAQ</w:t>
        </w:r>
        <w:r>
          <w:rPr>
            <w:webHidden/>
          </w:rPr>
          <w:tab/>
        </w:r>
        <w:r>
          <w:rPr>
            <w:webHidden/>
          </w:rPr>
          <w:fldChar w:fldCharType="begin"/>
        </w:r>
        <w:r>
          <w:rPr>
            <w:webHidden/>
          </w:rPr>
          <w:instrText xml:space="preserve"> PAGEREF _Toc214283580 \h </w:instrText>
        </w:r>
        <w:r>
          <w:rPr>
            <w:webHidden/>
          </w:rPr>
        </w:r>
        <w:r>
          <w:rPr>
            <w:webHidden/>
          </w:rPr>
          <w:fldChar w:fldCharType="separate"/>
        </w:r>
        <w:r>
          <w:rPr>
            <w:webHidden/>
          </w:rPr>
          <w:t>778</w:t>
        </w:r>
        <w:r>
          <w:rPr>
            <w:webHidden/>
          </w:rPr>
          <w:fldChar w:fldCharType="end"/>
        </w:r>
      </w:hyperlink>
    </w:p>
    <w:p w14:paraId="2ED7F26C" w14:textId="264906D3" w:rsidR="00067371" w:rsidRDefault="00067371">
      <w:pPr>
        <w:pStyle w:val="TOC3"/>
        <w:rPr>
          <w:rFonts w:asciiTheme="minorHAnsi" w:eastAsiaTheme="minorEastAsia" w:hAnsiTheme="minorHAnsi" w:cstheme="minorBidi"/>
          <w:kern w:val="2"/>
          <w:sz w:val="24"/>
          <w:szCs w:val="24"/>
          <w14:ligatures w14:val="standardContextual"/>
        </w:rPr>
      </w:pPr>
      <w:hyperlink w:anchor="_Toc214283581" w:history="1">
        <w:r w:rsidRPr="008F4954">
          <w:rPr>
            <w:rStyle w:val="Hyperlink"/>
          </w:rPr>
          <w:t>5.35.8</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_Toc214283581 \h </w:instrText>
        </w:r>
        <w:r>
          <w:rPr>
            <w:webHidden/>
          </w:rPr>
        </w:r>
        <w:r>
          <w:rPr>
            <w:webHidden/>
          </w:rPr>
          <w:fldChar w:fldCharType="separate"/>
        </w:r>
        <w:r>
          <w:rPr>
            <w:webHidden/>
          </w:rPr>
          <w:t>778</w:t>
        </w:r>
        <w:r>
          <w:rPr>
            <w:webHidden/>
          </w:rPr>
          <w:fldChar w:fldCharType="end"/>
        </w:r>
      </w:hyperlink>
    </w:p>
    <w:p w14:paraId="2D7BD27B" w14:textId="04B5CC25" w:rsidR="00067371" w:rsidRDefault="00067371">
      <w:pPr>
        <w:pStyle w:val="TOC3"/>
        <w:rPr>
          <w:rFonts w:asciiTheme="minorHAnsi" w:eastAsiaTheme="minorEastAsia" w:hAnsiTheme="minorHAnsi" w:cstheme="minorBidi"/>
          <w:kern w:val="2"/>
          <w:sz w:val="24"/>
          <w:szCs w:val="24"/>
          <w14:ligatures w14:val="standardContextual"/>
        </w:rPr>
      </w:pPr>
      <w:hyperlink w:anchor="_Toc214283582" w:history="1">
        <w:r w:rsidRPr="008F4954">
          <w:rPr>
            <w:rStyle w:val="Hyperlink"/>
          </w:rPr>
          <w:t>5.35.9</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_Toc214283582 \h </w:instrText>
        </w:r>
        <w:r>
          <w:rPr>
            <w:webHidden/>
          </w:rPr>
        </w:r>
        <w:r>
          <w:rPr>
            <w:webHidden/>
          </w:rPr>
          <w:fldChar w:fldCharType="separate"/>
        </w:r>
        <w:r>
          <w:rPr>
            <w:webHidden/>
          </w:rPr>
          <w:t>778</w:t>
        </w:r>
        <w:r>
          <w:rPr>
            <w:webHidden/>
          </w:rPr>
          <w:fldChar w:fldCharType="end"/>
        </w:r>
      </w:hyperlink>
    </w:p>
    <w:p w14:paraId="024689D6" w14:textId="443E1C77" w:rsidR="00067371" w:rsidRDefault="00067371">
      <w:pPr>
        <w:pStyle w:val="TOC3"/>
        <w:rPr>
          <w:rFonts w:asciiTheme="minorHAnsi" w:eastAsiaTheme="minorEastAsia" w:hAnsiTheme="minorHAnsi" w:cstheme="minorBidi"/>
          <w:kern w:val="2"/>
          <w:sz w:val="24"/>
          <w:szCs w:val="24"/>
          <w14:ligatures w14:val="standardContextual"/>
        </w:rPr>
      </w:pPr>
      <w:hyperlink w:anchor="_Toc214283583" w:history="1">
        <w:r w:rsidRPr="008F4954">
          <w:rPr>
            <w:rStyle w:val="Hyperlink"/>
          </w:rPr>
          <w:t>5.35.10</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_Toc214283583 \h </w:instrText>
        </w:r>
        <w:r>
          <w:rPr>
            <w:webHidden/>
          </w:rPr>
        </w:r>
        <w:r>
          <w:rPr>
            <w:webHidden/>
          </w:rPr>
          <w:fldChar w:fldCharType="separate"/>
        </w:r>
        <w:r>
          <w:rPr>
            <w:webHidden/>
          </w:rPr>
          <w:t>778</w:t>
        </w:r>
        <w:r>
          <w:rPr>
            <w:webHidden/>
          </w:rPr>
          <w:fldChar w:fldCharType="end"/>
        </w:r>
      </w:hyperlink>
    </w:p>
    <w:p w14:paraId="67227F5A" w14:textId="579927F5" w:rsidR="00067371" w:rsidRDefault="00067371">
      <w:pPr>
        <w:pStyle w:val="TOC3"/>
        <w:rPr>
          <w:rFonts w:asciiTheme="minorHAnsi" w:eastAsiaTheme="minorEastAsia" w:hAnsiTheme="minorHAnsi" w:cstheme="minorBidi"/>
          <w:kern w:val="2"/>
          <w:sz w:val="24"/>
          <w:szCs w:val="24"/>
          <w14:ligatures w14:val="standardContextual"/>
        </w:rPr>
      </w:pPr>
      <w:hyperlink w:anchor="_Toc214283584" w:history="1">
        <w:r w:rsidRPr="008F4954">
          <w:rPr>
            <w:rStyle w:val="Hyperlink"/>
          </w:rPr>
          <w:t>5.35.11</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_Toc214283584 \h </w:instrText>
        </w:r>
        <w:r>
          <w:rPr>
            <w:webHidden/>
          </w:rPr>
        </w:r>
        <w:r>
          <w:rPr>
            <w:webHidden/>
          </w:rPr>
          <w:fldChar w:fldCharType="separate"/>
        </w:r>
        <w:r>
          <w:rPr>
            <w:webHidden/>
          </w:rPr>
          <w:t>778</w:t>
        </w:r>
        <w:r>
          <w:rPr>
            <w:webHidden/>
          </w:rPr>
          <w:fldChar w:fldCharType="end"/>
        </w:r>
      </w:hyperlink>
    </w:p>
    <w:p w14:paraId="317C8AC5" w14:textId="4D4AD498" w:rsidR="00067371" w:rsidRDefault="00067371">
      <w:pPr>
        <w:pStyle w:val="TOC3"/>
        <w:rPr>
          <w:rFonts w:asciiTheme="minorHAnsi" w:eastAsiaTheme="minorEastAsia" w:hAnsiTheme="minorHAnsi" w:cstheme="minorBidi"/>
          <w:kern w:val="2"/>
          <w:sz w:val="24"/>
          <w:szCs w:val="24"/>
          <w14:ligatures w14:val="standardContextual"/>
        </w:rPr>
      </w:pPr>
      <w:hyperlink w:anchor="_Toc214283585" w:history="1">
        <w:r w:rsidRPr="008F4954">
          <w:rPr>
            <w:rStyle w:val="Hyperlink"/>
          </w:rPr>
          <w:t>5.35.12</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_Toc214283585 \h </w:instrText>
        </w:r>
        <w:r>
          <w:rPr>
            <w:webHidden/>
          </w:rPr>
        </w:r>
        <w:r>
          <w:rPr>
            <w:webHidden/>
          </w:rPr>
          <w:fldChar w:fldCharType="separate"/>
        </w:r>
        <w:r>
          <w:rPr>
            <w:webHidden/>
          </w:rPr>
          <w:t>778</w:t>
        </w:r>
        <w:r>
          <w:rPr>
            <w:webHidden/>
          </w:rPr>
          <w:fldChar w:fldCharType="end"/>
        </w:r>
      </w:hyperlink>
    </w:p>
    <w:p w14:paraId="11E487B4" w14:textId="5922B987" w:rsidR="00067371" w:rsidRDefault="00067371">
      <w:pPr>
        <w:pStyle w:val="TOC3"/>
        <w:rPr>
          <w:rFonts w:asciiTheme="minorHAnsi" w:eastAsiaTheme="minorEastAsia" w:hAnsiTheme="minorHAnsi" w:cstheme="minorBidi"/>
          <w:kern w:val="2"/>
          <w:sz w:val="24"/>
          <w:szCs w:val="24"/>
          <w14:ligatures w14:val="standardContextual"/>
        </w:rPr>
      </w:pPr>
      <w:hyperlink w:anchor="_Toc214283586" w:history="1">
        <w:r w:rsidRPr="008F4954">
          <w:rPr>
            <w:rStyle w:val="Hyperlink"/>
          </w:rPr>
          <w:t>5.35.13</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_Toc214283586 \h </w:instrText>
        </w:r>
        <w:r>
          <w:rPr>
            <w:webHidden/>
          </w:rPr>
        </w:r>
        <w:r>
          <w:rPr>
            <w:webHidden/>
          </w:rPr>
          <w:fldChar w:fldCharType="separate"/>
        </w:r>
        <w:r>
          <w:rPr>
            <w:webHidden/>
          </w:rPr>
          <w:t>778</w:t>
        </w:r>
        <w:r>
          <w:rPr>
            <w:webHidden/>
          </w:rPr>
          <w:fldChar w:fldCharType="end"/>
        </w:r>
      </w:hyperlink>
    </w:p>
    <w:p w14:paraId="0736B998" w14:textId="077E7832" w:rsidR="00067371" w:rsidRDefault="00067371">
      <w:pPr>
        <w:pStyle w:val="TOC3"/>
        <w:rPr>
          <w:rFonts w:asciiTheme="minorHAnsi" w:eastAsiaTheme="minorEastAsia" w:hAnsiTheme="minorHAnsi" w:cstheme="minorBidi"/>
          <w:kern w:val="2"/>
          <w:sz w:val="24"/>
          <w:szCs w:val="24"/>
          <w14:ligatures w14:val="standardContextual"/>
        </w:rPr>
      </w:pPr>
      <w:hyperlink w:anchor="_Toc214283587" w:history="1">
        <w:r w:rsidRPr="008F4954">
          <w:rPr>
            <w:rStyle w:val="Hyperlink"/>
          </w:rPr>
          <w:t>5.35.14</w:t>
        </w:r>
        <w:r>
          <w:rPr>
            <w:rFonts w:asciiTheme="minorHAnsi" w:eastAsiaTheme="minorEastAsia" w:hAnsiTheme="minorHAnsi" w:cstheme="minorBidi"/>
            <w:kern w:val="2"/>
            <w:sz w:val="24"/>
            <w:szCs w:val="24"/>
            <w14:ligatures w14:val="standardContextual"/>
          </w:rPr>
          <w:tab/>
        </w:r>
        <w:r w:rsidRPr="008F4954">
          <w:rPr>
            <w:rStyle w:val="Hyperlink"/>
          </w:rPr>
          <w:t>Dockable Windows</w:t>
        </w:r>
        <w:r>
          <w:rPr>
            <w:webHidden/>
          </w:rPr>
          <w:tab/>
        </w:r>
        <w:r>
          <w:rPr>
            <w:webHidden/>
          </w:rPr>
          <w:fldChar w:fldCharType="begin"/>
        </w:r>
        <w:r>
          <w:rPr>
            <w:webHidden/>
          </w:rPr>
          <w:instrText xml:space="preserve"> PAGEREF _Toc214283587 \h </w:instrText>
        </w:r>
        <w:r>
          <w:rPr>
            <w:webHidden/>
          </w:rPr>
        </w:r>
        <w:r>
          <w:rPr>
            <w:webHidden/>
          </w:rPr>
          <w:fldChar w:fldCharType="separate"/>
        </w:r>
        <w:r>
          <w:rPr>
            <w:webHidden/>
          </w:rPr>
          <w:t>779</w:t>
        </w:r>
        <w:r>
          <w:rPr>
            <w:webHidden/>
          </w:rPr>
          <w:fldChar w:fldCharType="end"/>
        </w:r>
      </w:hyperlink>
    </w:p>
    <w:p w14:paraId="597AAE58" w14:textId="3B1279D4" w:rsidR="00067371" w:rsidRDefault="00067371">
      <w:pPr>
        <w:pStyle w:val="TOC3"/>
        <w:rPr>
          <w:rFonts w:asciiTheme="minorHAnsi" w:eastAsiaTheme="minorEastAsia" w:hAnsiTheme="minorHAnsi" w:cstheme="minorBidi"/>
          <w:kern w:val="2"/>
          <w:sz w:val="24"/>
          <w:szCs w:val="24"/>
          <w14:ligatures w14:val="standardContextual"/>
        </w:rPr>
      </w:pPr>
      <w:hyperlink w:anchor="_Toc214283588" w:history="1">
        <w:r w:rsidRPr="008F4954">
          <w:rPr>
            <w:rStyle w:val="Hyperlink"/>
          </w:rPr>
          <w:t>5.35.15</w:t>
        </w:r>
        <w:r>
          <w:rPr>
            <w:rFonts w:asciiTheme="minorHAnsi" w:eastAsiaTheme="minorEastAsia" w:hAnsiTheme="minorHAnsi" w:cstheme="minorBidi"/>
            <w:kern w:val="2"/>
            <w:sz w:val="24"/>
            <w:szCs w:val="24"/>
            <w14:ligatures w14:val="standardContextual"/>
          </w:rPr>
          <w:tab/>
        </w:r>
        <w:r w:rsidRPr="008F4954">
          <w:rPr>
            <w:rStyle w:val="Hyperlink"/>
          </w:rPr>
          <w:t>The Alternate Tomahawk Strike Coordinator (ATSC) Role</w:t>
        </w:r>
        <w:r>
          <w:rPr>
            <w:webHidden/>
          </w:rPr>
          <w:tab/>
        </w:r>
        <w:r>
          <w:rPr>
            <w:webHidden/>
          </w:rPr>
          <w:fldChar w:fldCharType="begin"/>
        </w:r>
        <w:r>
          <w:rPr>
            <w:webHidden/>
          </w:rPr>
          <w:instrText xml:space="preserve"> PAGEREF _Toc214283588 \h </w:instrText>
        </w:r>
        <w:r>
          <w:rPr>
            <w:webHidden/>
          </w:rPr>
        </w:r>
        <w:r>
          <w:rPr>
            <w:webHidden/>
          </w:rPr>
          <w:fldChar w:fldCharType="separate"/>
        </w:r>
        <w:r>
          <w:rPr>
            <w:webHidden/>
          </w:rPr>
          <w:t>787</w:t>
        </w:r>
        <w:r>
          <w:rPr>
            <w:webHidden/>
          </w:rPr>
          <w:fldChar w:fldCharType="end"/>
        </w:r>
      </w:hyperlink>
    </w:p>
    <w:p w14:paraId="527F53AA" w14:textId="61EA158E" w:rsidR="00067371" w:rsidRDefault="00067371">
      <w:pPr>
        <w:pStyle w:val="TOC3"/>
        <w:rPr>
          <w:rFonts w:asciiTheme="minorHAnsi" w:eastAsiaTheme="minorEastAsia" w:hAnsiTheme="minorHAnsi" w:cstheme="minorBidi"/>
          <w:kern w:val="2"/>
          <w:sz w:val="24"/>
          <w:szCs w:val="24"/>
          <w14:ligatures w14:val="standardContextual"/>
        </w:rPr>
      </w:pPr>
      <w:hyperlink w:anchor="_Toc214283589" w:history="1">
        <w:r w:rsidRPr="008F4954">
          <w:rPr>
            <w:rStyle w:val="Hyperlink"/>
          </w:rPr>
          <w:t>5.35.16</w:t>
        </w:r>
        <w:r>
          <w:rPr>
            <w:rFonts w:asciiTheme="minorHAnsi" w:eastAsiaTheme="minorEastAsia" w:hAnsiTheme="minorHAnsi" w:cstheme="minorBidi"/>
            <w:kern w:val="2"/>
            <w:sz w:val="24"/>
            <w:szCs w:val="24"/>
            <w14:ligatures w14:val="standardContextual"/>
          </w:rPr>
          <w:tab/>
        </w:r>
        <w:r w:rsidRPr="008F4954">
          <w:rPr>
            <w:rStyle w:val="Hyperlink"/>
          </w:rPr>
          <w:t>What Time Needs to be Considered when Shifting Times?</w:t>
        </w:r>
        <w:r>
          <w:rPr>
            <w:webHidden/>
          </w:rPr>
          <w:tab/>
        </w:r>
        <w:r>
          <w:rPr>
            <w:webHidden/>
          </w:rPr>
          <w:fldChar w:fldCharType="begin"/>
        </w:r>
        <w:r>
          <w:rPr>
            <w:webHidden/>
          </w:rPr>
          <w:instrText xml:space="preserve"> PAGEREF _Toc214283589 \h </w:instrText>
        </w:r>
        <w:r>
          <w:rPr>
            <w:webHidden/>
          </w:rPr>
        </w:r>
        <w:r>
          <w:rPr>
            <w:webHidden/>
          </w:rPr>
          <w:fldChar w:fldCharType="separate"/>
        </w:r>
        <w:r>
          <w:rPr>
            <w:webHidden/>
          </w:rPr>
          <w:t>788</w:t>
        </w:r>
        <w:r>
          <w:rPr>
            <w:webHidden/>
          </w:rPr>
          <w:fldChar w:fldCharType="end"/>
        </w:r>
      </w:hyperlink>
    </w:p>
    <w:p w14:paraId="79B97799" w14:textId="648F42F3" w:rsidR="00067371" w:rsidRDefault="00067371">
      <w:pPr>
        <w:pStyle w:val="TOC3"/>
        <w:rPr>
          <w:rFonts w:asciiTheme="minorHAnsi" w:eastAsiaTheme="minorEastAsia" w:hAnsiTheme="minorHAnsi" w:cstheme="minorBidi"/>
          <w:kern w:val="2"/>
          <w:sz w:val="24"/>
          <w:szCs w:val="24"/>
          <w14:ligatures w14:val="standardContextual"/>
        </w:rPr>
      </w:pPr>
      <w:hyperlink w:anchor="_Toc214283590" w:history="1">
        <w:r w:rsidRPr="008F4954">
          <w:rPr>
            <w:rStyle w:val="Hyperlink"/>
          </w:rPr>
          <w:t>5.35.17</w:t>
        </w:r>
        <w:r>
          <w:rPr>
            <w:rFonts w:asciiTheme="minorHAnsi" w:eastAsiaTheme="minorEastAsia" w:hAnsiTheme="minorHAnsi" w:cstheme="minorBidi"/>
            <w:kern w:val="2"/>
            <w:sz w:val="24"/>
            <w:szCs w:val="24"/>
            <w14:ligatures w14:val="standardContextual"/>
          </w:rPr>
          <w:tab/>
        </w:r>
        <w:r w:rsidRPr="008F4954">
          <w:rPr>
            <w:rStyle w:val="Hyperlink"/>
          </w:rPr>
          <w:t>ACA Advance Coordination Filter Messages</w:t>
        </w:r>
        <w:r>
          <w:rPr>
            <w:webHidden/>
          </w:rPr>
          <w:tab/>
        </w:r>
        <w:r>
          <w:rPr>
            <w:webHidden/>
          </w:rPr>
          <w:fldChar w:fldCharType="begin"/>
        </w:r>
        <w:r>
          <w:rPr>
            <w:webHidden/>
          </w:rPr>
          <w:instrText xml:space="preserve"> PAGEREF _Toc214283590 \h </w:instrText>
        </w:r>
        <w:r>
          <w:rPr>
            <w:webHidden/>
          </w:rPr>
        </w:r>
        <w:r>
          <w:rPr>
            <w:webHidden/>
          </w:rPr>
          <w:fldChar w:fldCharType="separate"/>
        </w:r>
        <w:r>
          <w:rPr>
            <w:webHidden/>
          </w:rPr>
          <w:t>789</w:t>
        </w:r>
        <w:r>
          <w:rPr>
            <w:webHidden/>
          </w:rPr>
          <w:fldChar w:fldCharType="end"/>
        </w:r>
      </w:hyperlink>
    </w:p>
    <w:p w14:paraId="5B2E166D" w14:textId="447CFCF7" w:rsidR="00067371" w:rsidRDefault="00067371">
      <w:pPr>
        <w:pStyle w:val="TOC3"/>
        <w:rPr>
          <w:rFonts w:asciiTheme="minorHAnsi" w:eastAsiaTheme="minorEastAsia" w:hAnsiTheme="minorHAnsi" w:cstheme="minorBidi"/>
          <w:kern w:val="2"/>
          <w:sz w:val="24"/>
          <w:szCs w:val="24"/>
          <w14:ligatures w14:val="standardContextual"/>
        </w:rPr>
      </w:pPr>
      <w:hyperlink w:anchor="_Toc214283591" w:history="1">
        <w:r w:rsidRPr="008F4954">
          <w:rPr>
            <w:rStyle w:val="Hyperlink"/>
          </w:rPr>
          <w:t>5.35.18</w:t>
        </w:r>
        <w:r>
          <w:rPr>
            <w:rFonts w:asciiTheme="minorHAnsi" w:eastAsiaTheme="minorEastAsia" w:hAnsiTheme="minorHAnsi" w:cstheme="minorBidi"/>
            <w:kern w:val="2"/>
            <w:sz w:val="24"/>
            <w:szCs w:val="24"/>
            <w14:ligatures w14:val="standardContextual"/>
          </w:rPr>
          <w:tab/>
        </w:r>
        <w:r w:rsidRPr="008F4954">
          <w:rPr>
            <w:rStyle w:val="Hyperlink"/>
          </w:rPr>
          <w:t>MTO – Message to Observer</w:t>
        </w:r>
        <w:r>
          <w:rPr>
            <w:webHidden/>
          </w:rPr>
          <w:tab/>
        </w:r>
        <w:r>
          <w:rPr>
            <w:webHidden/>
          </w:rPr>
          <w:fldChar w:fldCharType="begin"/>
        </w:r>
        <w:r>
          <w:rPr>
            <w:webHidden/>
          </w:rPr>
          <w:instrText xml:space="preserve"> PAGEREF _Toc214283591 \h </w:instrText>
        </w:r>
        <w:r>
          <w:rPr>
            <w:webHidden/>
          </w:rPr>
        </w:r>
        <w:r>
          <w:rPr>
            <w:webHidden/>
          </w:rPr>
          <w:fldChar w:fldCharType="separate"/>
        </w:r>
        <w:r>
          <w:rPr>
            <w:webHidden/>
          </w:rPr>
          <w:t>791</w:t>
        </w:r>
        <w:r>
          <w:rPr>
            <w:webHidden/>
          </w:rPr>
          <w:fldChar w:fldCharType="end"/>
        </w:r>
      </w:hyperlink>
    </w:p>
    <w:p w14:paraId="121F3887" w14:textId="719DEA55"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592" w:history="1">
        <w:r w:rsidRPr="008F4954">
          <w:rPr>
            <w:rStyle w:val="Hyperlink"/>
          </w:rPr>
          <w:t>5.36</w:t>
        </w:r>
        <w:r>
          <w:rPr>
            <w:rFonts w:asciiTheme="minorHAnsi" w:eastAsiaTheme="minorEastAsia" w:hAnsiTheme="minorHAnsi" w:cstheme="minorBidi"/>
            <w:smallCaps w:val="0"/>
            <w:kern w:val="2"/>
            <w:szCs w:val="24"/>
            <w14:ligatures w14:val="standardContextual"/>
          </w:rPr>
          <w:tab/>
        </w:r>
        <w:r w:rsidRPr="008F4954">
          <w:rPr>
            <w:rStyle w:val="Hyperlink"/>
          </w:rPr>
          <w:t>QUICK STRIKE TOOL</w:t>
        </w:r>
        <w:r>
          <w:rPr>
            <w:webHidden/>
          </w:rPr>
          <w:tab/>
        </w:r>
        <w:r>
          <w:rPr>
            <w:webHidden/>
          </w:rPr>
          <w:fldChar w:fldCharType="begin"/>
        </w:r>
        <w:r>
          <w:rPr>
            <w:webHidden/>
          </w:rPr>
          <w:instrText xml:space="preserve"> PAGEREF _Toc214283592 \h </w:instrText>
        </w:r>
        <w:r>
          <w:rPr>
            <w:webHidden/>
          </w:rPr>
        </w:r>
        <w:r>
          <w:rPr>
            <w:webHidden/>
          </w:rPr>
          <w:fldChar w:fldCharType="separate"/>
        </w:r>
        <w:r>
          <w:rPr>
            <w:webHidden/>
          </w:rPr>
          <w:t>794</w:t>
        </w:r>
        <w:r>
          <w:rPr>
            <w:webHidden/>
          </w:rPr>
          <w:fldChar w:fldCharType="end"/>
        </w:r>
      </w:hyperlink>
    </w:p>
    <w:p w14:paraId="52C86038" w14:textId="23173E55" w:rsidR="00067371" w:rsidRDefault="00067371">
      <w:pPr>
        <w:pStyle w:val="TOC3"/>
        <w:rPr>
          <w:rFonts w:asciiTheme="minorHAnsi" w:eastAsiaTheme="minorEastAsia" w:hAnsiTheme="minorHAnsi" w:cstheme="minorBidi"/>
          <w:kern w:val="2"/>
          <w:sz w:val="24"/>
          <w:szCs w:val="24"/>
          <w14:ligatures w14:val="standardContextual"/>
        </w:rPr>
      </w:pPr>
      <w:hyperlink w:anchor="_Toc214283593" w:history="1">
        <w:r w:rsidRPr="008F4954">
          <w:rPr>
            <w:rStyle w:val="Hyperlink"/>
          </w:rPr>
          <w:t>5.36.1</w:t>
        </w:r>
        <w:r>
          <w:rPr>
            <w:rFonts w:asciiTheme="minorHAnsi" w:eastAsiaTheme="minorEastAsia" w:hAnsiTheme="minorHAnsi" w:cstheme="minorBidi"/>
            <w:kern w:val="2"/>
            <w:sz w:val="24"/>
            <w:szCs w:val="24"/>
            <w14:ligatures w14:val="standardContextual"/>
          </w:rPr>
          <w:tab/>
        </w:r>
        <w:r w:rsidRPr="008F4954">
          <w:rPr>
            <w:rStyle w:val="Hyperlink"/>
          </w:rPr>
          <w:t>Install the Quick Strike Tool</w:t>
        </w:r>
        <w:r>
          <w:rPr>
            <w:webHidden/>
          </w:rPr>
          <w:tab/>
        </w:r>
        <w:r>
          <w:rPr>
            <w:webHidden/>
          </w:rPr>
          <w:fldChar w:fldCharType="begin"/>
        </w:r>
        <w:r>
          <w:rPr>
            <w:webHidden/>
          </w:rPr>
          <w:instrText xml:space="preserve"> PAGEREF _Toc214283593 \h </w:instrText>
        </w:r>
        <w:r>
          <w:rPr>
            <w:webHidden/>
          </w:rPr>
        </w:r>
        <w:r>
          <w:rPr>
            <w:webHidden/>
          </w:rPr>
          <w:fldChar w:fldCharType="separate"/>
        </w:r>
        <w:r>
          <w:rPr>
            <w:webHidden/>
          </w:rPr>
          <w:t>796</w:t>
        </w:r>
        <w:r>
          <w:rPr>
            <w:webHidden/>
          </w:rPr>
          <w:fldChar w:fldCharType="end"/>
        </w:r>
      </w:hyperlink>
    </w:p>
    <w:p w14:paraId="6C2021A1" w14:textId="322EB088" w:rsidR="00067371" w:rsidRDefault="00067371">
      <w:pPr>
        <w:pStyle w:val="TOC3"/>
        <w:rPr>
          <w:rFonts w:asciiTheme="minorHAnsi" w:eastAsiaTheme="minorEastAsia" w:hAnsiTheme="minorHAnsi" w:cstheme="minorBidi"/>
          <w:kern w:val="2"/>
          <w:sz w:val="24"/>
          <w:szCs w:val="24"/>
          <w14:ligatures w14:val="standardContextual"/>
        </w:rPr>
      </w:pPr>
      <w:hyperlink w:anchor="_Toc214283594" w:history="1">
        <w:r w:rsidRPr="008F4954">
          <w:rPr>
            <w:rStyle w:val="Hyperlink"/>
          </w:rPr>
          <w:t>5.36.2</w:t>
        </w:r>
        <w:r>
          <w:rPr>
            <w:rFonts w:asciiTheme="minorHAnsi" w:eastAsiaTheme="minorEastAsia" w:hAnsiTheme="minorHAnsi" w:cstheme="minorBidi"/>
            <w:kern w:val="2"/>
            <w:sz w:val="24"/>
            <w:szCs w:val="24"/>
            <w14:ligatures w14:val="standardContextual"/>
          </w:rPr>
          <w:tab/>
        </w:r>
        <w:r w:rsidRPr="008F4954">
          <w:rPr>
            <w:rStyle w:val="Hyperlink"/>
          </w:rPr>
          <w:t>Create New Quick Strike</w:t>
        </w:r>
        <w:r>
          <w:rPr>
            <w:webHidden/>
          </w:rPr>
          <w:tab/>
        </w:r>
        <w:r>
          <w:rPr>
            <w:webHidden/>
          </w:rPr>
          <w:fldChar w:fldCharType="begin"/>
        </w:r>
        <w:r>
          <w:rPr>
            <w:webHidden/>
          </w:rPr>
          <w:instrText xml:space="preserve"> PAGEREF _Toc214283594 \h </w:instrText>
        </w:r>
        <w:r>
          <w:rPr>
            <w:webHidden/>
          </w:rPr>
        </w:r>
        <w:r>
          <w:rPr>
            <w:webHidden/>
          </w:rPr>
          <w:fldChar w:fldCharType="separate"/>
        </w:r>
        <w:r>
          <w:rPr>
            <w:webHidden/>
          </w:rPr>
          <w:t>796</w:t>
        </w:r>
        <w:r>
          <w:rPr>
            <w:webHidden/>
          </w:rPr>
          <w:fldChar w:fldCharType="end"/>
        </w:r>
      </w:hyperlink>
    </w:p>
    <w:p w14:paraId="27B6FCCD" w14:textId="147176D4" w:rsidR="00067371" w:rsidRDefault="00067371">
      <w:pPr>
        <w:pStyle w:val="TOC3"/>
        <w:rPr>
          <w:rFonts w:asciiTheme="minorHAnsi" w:eastAsiaTheme="minorEastAsia" w:hAnsiTheme="minorHAnsi" w:cstheme="minorBidi"/>
          <w:kern w:val="2"/>
          <w:sz w:val="24"/>
          <w:szCs w:val="24"/>
          <w14:ligatures w14:val="standardContextual"/>
        </w:rPr>
      </w:pPr>
      <w:hyperlink w:anchor="_Toc214283595" w:history="1">
        <w:r w:rsidRPr="008F4954">
          <w:rPr>
            <w:rStyle w:val="Hyperlink"/>
          </w:rPr>
          <w:t>5.36.3</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_Toc214283595 \h </w:instrText>
        </w:r>
        <w:r>
          <w:rPr>
            <w:webHidden/>
          </w:rPr>
        </w:r>
        <w:r>
          <w:rPr>
            <w:webHidden/>
          </w:rPr>
          <w:fldChar w:fldCharType="separate"/>
        </w:r>
        <w:r>
          <w:rPr>
            <w:webHidden/>
          </w:rPr>
          <w:t>804</w:t>
        </w:r>
        <w:r>
          <w:rPr>
            <w:webHidden/>
          </w:rPr>
          <w:fldChar w:fldCharType="end"/>
        </w:r>
      </w:hyperlink>
    </w:p>
    <w:p w14:paraId="320CF9BF" w14:textId="6FB54CA8" w:rsidR="00067371" w:rsidRDefault="00067371">
      <w:pPr>
        <w:pStyle w:val="TOC3"/>
        <w:rPr>
          <w:rFonts w:asciiTheme="minorHAnsi" w:eastAsiaTheme="minorEastAsia" w:hAnsiTheme="minorHAnsi" w:cstheme="minorBidi"/>
          <w:kern w:val="2"/>
          <w:sz w:val="24"/>
          <w:szCs w:val="24"/>
          <w14:ligatures w14:val="standardContextual"/>
        </w:rPr>
      </w:pPr>
      <w:hyperlink w:anchor="_Toc214283596" w:history="1">
        <w:r w:rsidRPr="008F4954">
          <w:rPr>
            <w:rStyle w:val="Hyperlink"/>
          </w:rPr>
          <w:t>5.36.4</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_Toc214283596 \h </w:instrText>
        </w:r>
        <w:r>
          <w:rPr>
            <w:webHidden/>
          </w:rPr>
        </w:r>
        <w:r>
          <w:rPr>
            <w:webHidden/>
          </w:rPr>
          <w:fldChar w:fldCharType="separate"/>
        </w:r>
        <w:r>
          <w:rPr>
            <w:webHidden/>
          </w:rPr>
          <w:t>805</w:t>
        </w:r>
        <w:r>
          <w:rPr>
            <w:webHidden/>
          </w:rPr>
          <w:fldChar w:fldCharType="end"/>
        </w:r>
      </w:hyperlink>
    </w:p>
    <w:p w14:paraId="36D5F3D9" w14:textId="652AF3B6" w:rsidR="00067371" w:rsidRDefault="00067371">
      <w:pPr>
        <w:pStyle w:val="TOC3"/>
        <w:rPr>
          <w:rFonts w:asciiTheme="minorHAnsi" w:eastAsiaTheme="minorEastAsia" w:hAnsiTheme="minorHAnsi" w:cstheme="minorBidi"/>
          <w:kern w:val="2"/>
          <w:sz w:val="24"/>
          <w:szCs w:val="24"/>
          <w14:ligatures w14:val="standardContextual"/>
        </w:rPr>
      </w:pPr>
      <w:hyperlink w:anchor="_Toc214283597" w:history="1">
        <w:r w:rsidRPr="008F4954">
          <w:rPr>
            <w:rStyle w:val="Hyperlink"/>
          </w:rPr>
          <w:t>5.36.5</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_Toc214283597 \h </w:instrText>
        </w:r>
        <w:r>
          <w:rPr>
            <w:webHidden/>
          </w:rPr>
        </w:r>
        <w:r>
          <w:rPr>
            <w:webHidden/>
          </w:rPr>
          <w:fldChar w:fldCharType="separate"/>
        </w:r>
        <w:r>
          <w:rPr>
            <w:webHidden/>
          </w:rPr>
          <w:t>805</w:t>
        </w:r>
        <w:r>
          <w:rPr>
            <w:webHidden/>
          </w:rPr>
          <w:fldChar w:fldCharType="end"/>
        </w:r>
      </w:hyperlink>
    </w:p>
    <w:p w14:paraId="48F88F0B" w14:textId="61F10EF9" w:rsidR="00067371" w:rsidRDefault="00067371">
      <w:pPr>
        <w:pStyle w:val="TOC3"/>
        <w:rPr>
          <w:rFonts w:asciiTheme="minorHAnsi" w:eastAsiaTheme="minorEastAsia" w:hAnsiTheme="minorHAnsi" w:cstheme="minorBidi"/>
          <w:kern w:val="2"/>
          <w:sz w:val="24"/>
          <w:szCs w:val="24"/>
          <w14:ligatures w14:val="standardContextual"/>
        </w:rPr>
      </w:pPr>
      <w:hyperlink w:anchor="_Toc214283598" w:history="1">
        <w:r w:rsidRPr="008F4954">
          <w:rPr>
            <w:rStyle w:val="Hyperlink"/>
          </w:rPr>
          <w:t>5.36.6</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_Toc214283598 \h </w:instrText>
        </w:r>
        <w:r>
          <w:rPr>
            <w:webHidden/>
          </w:rPr>
        </w:r>
        <w:r>
          <w:rPr>
            <w:webHidden/>
          </w:rPr>
          <w:fldChar w:fldCharType="separate"/>
        </w:r>
        <w:r>
          <w:rPr>
            <w:webHidden/>
          </w:rPr>
          <w:t>805</w:t>
        </w:r>
        <w:r>
          <w:rPr>
            <w:webHidden/>
          </w:rPr>
          <w:fldChar w:fldCharType="end"/>
        </w:r>
      </w:hyperlink>
    </w:p>
    <w:p w14:paraId="02947037" w14:textId="3E35D4A3" w:rsidR="00067371" w:rsidRDefault="00067371">
      <w:pPr>
        <w:pStyle w:val="TOC3"/>
        <w:rPr>
          <w:rFonts w:asciiTheme="minorHAnsi" w:eastAsiaTheme="minorEastAsia" w:hAnsiTheme="minorHAnsi" w:cstheme="minorBidi"/>
          <w:kern w:val="2"/>
          <w:sz w:val="24"/>
          <w:szCs w:val="24"/>
          <w14:ligatures w14:val="standardContextual"/>
        </w:rPr>
      </w:pPr>
      <w:hyperlink w:anchor="_Toc214283599" w:history="1">
        <w:r w:rsidRPr="008F4954">
          <w:rPr>
            <w:rStyle w:val="Hyperlink"/>
          </w:rPr>
          <w:t>5.36.7</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_Toc214283599 \h </w:instrText>
        </w:r>
        <w:r>
          <w:rPr>
            <w:webHidden/>
          </w:rPr>
        </w:r>
        <w:r>
          <w:rPr>
            <w:webHidden/>
          </w:rPr>
          <w:fldChar w:fldCharType="separate"/>
        </w:r>
        <w:r>
          <w:rPr>
            <w:webHidden/>
          </w:rPr>
          <w:t>805</w:t>
        </w:r>
        <w:r>
          <w:rPr>
            <w:webHidden/>
          </w:rPr>
          <w:fldChar w:fldCharType="end"/>
        </w:r>
      </w:hyperlink>
    </w:p>
    <w:p w14:paraId="13A1B1F2" w14:textId="3EC64DF8" w:rsidR="00067371" w:rsidRDefault="00067371">
      <w:pPr>
        <w:pStyle w:val="TOC3"/>
        <w:rPr>
          <w:rFonts w:asciiTheme="minorHAnsi" w:eastAsiaTheme="minorEastAsia" w:hAnsiTheme="minorHAnsi" w:cstheme="minorBidi"/>
          <w:kern w:val="2"/>
          <w:sz w:val="24"/>
          <w:szCs w:val="24"/>
          <w14:ligatures w14:val="standardContextual"/>
        </w:rPr>
      </w:pPr>
      <w:hyperlink w:anchor="_Toc214283600" w:history="1">
        <w:r w:rsidRPr="008F4954">
          <w:rPr>
            <w:rStyle w:val="Hyperlink"/>
          </w:rPr>
          <w:t>5.36.8</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_Toc214283600 \h </w:instrText>
        </w:r>
        <w:r>
          <w:rPr>
            <w:webHidden/>
          </w:rPr>
        </w:r>
        <w:r>
          <w:rPr>
            <w:webHidden/>
          </w:rPr>
          <w:fldChar w:fldCharType="separate"/>
        </w:r>
        <w:r>
          <w:rPr>
            <w:webHidden/>
          </w:rPr>
          <w:t>805</w:t>
        </w:r>
        <w:r>
          <w:rPr>
            <w:webHidden/>
          </w:rPr>
          <w:fldChar w:fldCharType="end"/>
        </w:r>
      </w:hyperlink>
    </w:p>
    <w:p w14:paraId="3D343ABA" w14:textId="0CBAEA1A" w:rsidR="00067371" w:rsidRDefault="00067371">
      <w:pPr>
        <w:pStyle w:val="TOC3"/>
        <w:rPr>
          <w:rFonts w:asciiTheme="minorHAnsi" w:eastAsiaTheme="minorEastAsia" w:hAnsiTheme="minorHAnsi" w:cstheme="minorBidi"/>
          <w:kern w:val="2"/>
          <w:sz w:val="24"/>
          <w:szCs w:val="24"/>
          <w14:ligatures w14:val="standardContextual"/>
        </w:rPr>
      </w:pPr>
      <w:hyperlink w:anchor="_Toc214283601" w:history="1">
        <w:r w:rsidRPr="008F4954">
          <w:rPr>
            <w:rStyle w:val="Hyperlink"/>
          </w:rPr>
          <w:t>5.36.9</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_Toc214283601 \h </w:instrText>
        </w:r>
        <w:r>
          <w:rPr>
            <w:webHidden/>
          </w:rPr>
        </w:r>
        <w:r>
          <w:rPr>
            <w:webHidden/>
          </w:rPr>
          <w:fldChar w:fldCharType="separate"/>
        </w:r>
        <w:r>
          <w:rPr>
            <w:webHidden/>
          </w:rPr>
          <w:t>805</w:t>
        </w:r>
        <w:r>
          <w:rPr>
            <w:webHidden/>
          </w:rPr>
          <w:fldChar w:fldCharType="end"/>
        </w:r>
      </w:hyperlink>
    </w:p>
    <w:p w14:paraId="17BDC9B0" w14:textId="7C398B29"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02" w:history="1">
        <w:r w:rsidRPr="008F4954">
          <w:rPr>
            <w:rStyle w:val="Hyperlink"/>
          </w:rPr>
          <w:t>5.37</w:t>
        </w:r>
        <w:r>
          <w:rPr>
            <w:rFonts w:asciiTheme="minorHAnsi" w:eastAsiaTheme="minorEastAsia" w:hAnsiTheme="minorHAnsi" w:cstheme="minorBidi"/>
            <w:smallCaps w:val="0"/>
            <w:kern w:val="2"/>
            <w:szCs w:val="24"/>
            <w14:ligatures w14:val="standardContextual"/>
          </w:rPr>
          <w:tab/>
        </w:r>
        <w:r w:rsidRPr="008F4954">
          <w:rPr>
            <w:rStyle w:val="Hyperlink"/>
          </w:rPr>
          <w:t>TSRT SCENARIO DIRECTOR</w:t>
        </w:r>
        <w:r>
          <w:rPr>
            <w:webHidden/>
          </w:rPr>
          <w:tab/>
        </w:r>
        <w:r>
          <w:rPr>
            <w:webHidden/>
          </w:rPr>
          <w:fldChar w:fldCharType="begin"/>
        </w:r>
        <w:r>
          <w:rPr>
            <w:webHidden/>
          </w:rPr>
          <w:instrText xml:space="preserve"> PAGEREF _Toc214283602 \h </w:instrText>
        </w:r>
        <w:r>
          <w:rPr>
            <w:webHidden/>
          </w:rPr>
        </w:r>
        <w:r>
          <w:rPr>
            <w:webHidden/>
          </w:rPr>
          <w:fldChar w:fldCharType="separate"/>
        </w:r>
        <w:r>
          <w:rPr>
            <w:webHidden/>
          </w:rPr>
          <w:t>806</w:t>
        </w:r>
        <w:r>
          <w:rPr>
            <w:webHidden/>
          </w:rPr>
          <w:fldChar w:fldCharType="end"/>
        </w:r>
      </w:hyperlink>
    </w:p>
    <w:p w14:paraId="66EF2FCA" w14:textId="7F8744E6" w:rsidR="00067371" w:rsidRDefault="00067371">
      <w:pPr>
        <w:pStyle w:val="TOC3"/>
        <w:rPr>
          <w:rFonts w:asciiTheme="minorHAnsi" w:eastAsiaTheme="minorEastAsia" w:hAnsiTheme="minorHAnsi" w:cstheme="minorBidi"/>
          <w:kern w:val="2"/>
          <w:sz w:val="24"/>
          <w:szCs w:val="24"/>
          <w14:ligatures w14:val="standardContextual"/>
        </w:rPr>
      </w:pPr>
      <w:hyperlink w:anchor="_Toc214283603" w:history="1">
        <w:r w:rsidRPr="008F4954">
          <w:rPr>
            <w:rStyle w:val="Hyperlink"/>
          </w:rPr>
          <w:t>5.37.1</w:t>
        </w:r>
        <w:r>
          <w:rPr>
            <w:rFonts w:asciiTheme="minorHAnsi" w:eastAsiaTheme="minorEastAsia" w:hAnsiTheme="minorHAnsi" w:cstheme="minorBidi"/>
            <w:kern w:val="2"/>
            <w:sz w:val="24"/>
            <w:szCs w:val="24"/>
            <w14:ligatures w14:val="standardContextual"/>
          </w:rPr>
          <w:tab/>
        </w:r>
        <w:r w:rsidRPr="008F4954">
          <w:rPr>
            <w:rStyle w:val="Hyperlink"/>
          </w:rPr>
          <w:t>Gantt Chart/Icon Definitions</w:t>
        </w:r>
        <w:r>
          <w:rPr>
            <w:webHidden/>
          </w:rPr>
          <w:tab/>
        </w:r>
        <w:r>
          <w:rPr>
            <w:webHidden/>
          </w:rPr>
          <w:fldChar w:fldCharType="begin"/>
        </w:r>
        <w:r>
          <w:rPr>
            <w:webHidden/>
          </w:rPr>
          <w:instrText xml:space="preserve"> PAGEREF _Toc214283603 \h </w:instrText>
        </w:r>
        <w:r>
          <w:rPr>
            <w:webHidden/>
          </w:rPr>
        </w:r>
        <w:r>
          <w:rPr>
            <w:webHidden/>
          </w:rPr>
          <w:fldChar w:fldCharType="separate"/>
        </w:r>
        <w:r>
          <w:rPr>
            <w:webHidden/>
          </w:rPr>
          <w:t>811</w:t>
        </w:r>
        <w:r>
          <w:rPr>
            <w:webHidden/>
          </w:rPr>
          <w:fldChar w:fldCharType="end"/>
        </w:r>
      </w:hyperlink>
    </w:p>
    <w:p w14:paraId="010943D6" w14:textId="4063AFD8" w:rsidR="00067371" w:rsidRDefault="00067371">
      <w:pPr>
        <w:pStyle w:val="TOC3"/>
        <w:rPr>
          <w:rFonts w:asciiTheme="minorHAnsi" w:eastAsiaTheme="minorEastAsia" w:hAnsiTheme="minorHAnsi" w:cstheme="minorBidi"/>
          <w:kern w:val="2"/>
          <w:sz w:val="24"/>
          <w:szCs w:val="24"/>
          <w14:ligatures w14:val="standardContextual"/>
        </w:rPr>
      </w:pPr>
      <w:hyperlink w:anchor="_Toc214283604" w:history="1">
        <w:r w:rsidRPr="008F4954">
          <w:rPr>
            <w:rStyle w:val="Hyperlink"/>
          </w:rPr>
          <w:t>5.37.2</w:t>
        </w:r>
        <w:r>
          <w:rPr>
            <w:rFonts w:asciiTheme="minorHAnsi" w:eastAsiaTheme="minorEastAsia" w:hAnsiTheme="minorHAnsi" w:cstheme="minorBidi"/>
            <w:kern w:val="2"/>
            <w:sz w:val="24"/>
            <w:szCs w:val="24"/>
            <w14:ligatures w14:val="standardContextual"/>
          </w:rPr>
          <w:tab/>
        </w:r>
        <w:r w:rsidRPr="008F4954">
          <w:rPr>
            <w:rStyle w:val="Hyperlink"/>
          </w:rPr>
          <w:t>TSRT Time Controls</w:t>
        </w:r>
        <w:r>
          <w:rPr>
            <w:webHidden/>
          </w:rPr>
          <w:tab/>
        </w:r>
        <w:r>
          <w:rPr>
            <w:webHidden/>
          </w:rPr>
          <w:fldChar w:fldCharType="begin"/>
        </w:r>
        <w:r>
          <w:rPr>
            <w:webHidden/>
          </w:rPr>
          <w:instrText xml:space="preserve"> PAGEREF _Toc214283604 \h </w:instrText>
        </w:r>
        <w:r>
          <w:rPr>
            <w:webHidden/>
          </w:rPr>
        </w:r>
        <w:r>
          <w:rPr>
            <w:webHidden/>
          </w:rPr>
          <w:fldChar w:fldCharType="separate"/>
        </w:r>
        <w:r>
          <w:rPr>
            <w:webHidden/>
          </w:rPr>
          <w:t>817</w:t>
        </w:r>
        <w:r>
          <w:rPr>
            <w:webHidden/>
          </w:rPr>
          <w:fldChar w:fldCharType="end"/>
        </w:r>
      </w:hyperlink>
    </w:p>
    <w:p w14:paraId="5B7C07FC" w14:textId="66FD1680" w:rsidR="00067371" w:rsidRDefault="00067371">
      <w:pPr>
        <w:pStyle w:val="TOC3"/>
        <w:rPr>
          <w:rFonts w:asciiTheme="minorHAnsi" w:eastAsiaTheme="minorEastAsia" w:hAnsiTheme="minorHAnsi" w:cstheme="minorBidi"/>
          <w:kern w:val="2"/>
          <w:sz w:val="24"/>
          <w:szCs w:val="24"/>
          <w14:ligatures w14:val="standardContextual"/>
        </w:rPr>
      </w:pPr>
      <w:hyperlink w:anchor="_Toc214283605" w:history="1">
        <w:r w:rsidRPr="008F4954">
          <w:rPr>
            <w:rStyle w:val="Hyperlink"/>
          </w:rPr>
          <w:t>5.37.3</w:t>
        </w:r>
        <w:r>
          <w:rPr>
            <w:rFonts w:asciiTheme="minorHAnsi" w:eastAsiaTheme="minorEastAsia" w:hAnsiTheme="minorHAnsi" w:cstheme="minorBidi"/>
            <w:kern w:val="2"/>
            <w:sz w:val="24"/>
            <w:szCs w:val="24"/>
            <w14:ligatures w14:val="standardContextual"/>
          </w:rPr>
          <w:tab/>
        </w:r>
        <w:r w:rsidRPr="008F4954">
          <w:rPr>
            <w:rStyle w:val="Hyperlink"/>
          </w:rPr>
          <w:t>TSRT Geo</w:t>
        </w:r>
        <w:r>
          <w:rPr>
            <w:webHidden/>
          </w:rPr>
          <w:tab/>
        </w:r>
        <w:r>
          <w:rPr>
            <w:webHidden/>
          </w:rPr>
          <w:fldChar w:fldCharType="begin"/>
        </w:r>
        <w:r>
          <w:rPr>
            <w:webHidden/>
          </w:rPr>
          <w:instrText xml:space="preserve"> PAGEREF _Toc214283605 \h </w:instrText>
        </w:r>
        <w:r>
          <w:rPr>
            <w:webHidden/>
          </w:rPr>
        </w:r>
        <w:r>
          <w:rPr>
            <w:webHidden/>
          </w:rPr>
          <w:fldChar w:fldCharType="separate"/>
        </w:r>
        <w:r>
          <w:rPr>
            <w:webHidden/>
          </w:rPr>
          <w:t>819</w:t>
        </w:r>
        <w:r>
          <w:rPr>
            <w:webHidden/>
          </w:rPr>
          <w:fldChar w:fldCharType="end"/>
        </w:r>
      </w:hyperlink>
    </w:p>
    <w:p w14:paraId="404B44EF" w14:textId="5A14446B" w:rsidR="00067371" w:rsidRDefault="00067371">
      <w:pPr>
        <w:pStyle w:val="TOC3"/>
        <w:rPr>
          <w:rFonts w:asciiTheme="minorHAnsi" w:eastAsiaTheme="minorEastAsia" w:hAnsiTheme="minorHAnsi" w:cstheme="minorBidi"/>
          <w:kern w:val="2"/>
          <w:sz w:val="24"/>
          <w:szCs w:val="24"/>
          <w14:ligatures w14:val="standardContextual"/>
        </w:rPr>
      </w:pPr>
      <w:hyperlink w:anchor="_Toc214283606" w:history="1">
        <w:r w:rsidRPr="008F4954">
          <w:rPr>
            <w:rStyle w:val="Hyperlink"/>
          </w:rPr>
          <w:t>5.37.4</w:t>
        </w:r>
        <w:r>
          <w:rPr>
            <w:rFonts w:asciiTheme="minorHAnsi" w:eastAsiaTheme="minorEastAsia" w:hAnsiTheme="minorHAnsi" w:cstheme="minorBidi"/>
            <w:kern w:val="2"/>
            <w:sz w:val="24"/>
            <w:szCs w:val="24"/>
            <w14:ligatures w14:val="standardContextual"/>
          </w:rPr>
          <w:tab/>
        </w:r>
        <w:r w:rsidRPr="008F4954">
          <w:rPr>
            <w:rStyle w:val="Hyperlink"/>
          </w:rPr>
          <w:t>FRU Status</w:t>
        </w:r>
        <w:r>
          <w:rPr>
            <w:webHidden/>
          </w:rPr>
          <w:tab/>
        </w:r>
        <w:r>
          <w:rPr>
            <w:webHidden/>
          </w:rPr>
          <w:fldChar w:fldCharType="begin"/>
        </w:r>
        <w:r>
          <w:rPr>
            <w:webHidden/>
          </w:rPr>
          <w:instrText xml:space="preserve"> PAGEREF _Toc214283606 \h </w:instrText>
        </w:r>
        <w:r>
          <w:rPr>
            <w:webHidden/>
          </w:rPr>
        </w:r>
        <w:r>
          <w:rPr>
            <w:webHidden/>
          </w:rPr>
          <w:fldChar w:fldCharType="separate"/>
        </w:r>
        <w:r>
          <w:rPr>
            <w:webHidden/>
          </w:rPr>
          <w:t>825</w:t>
        </w:r>
        <w:r>
          <w:rPr>
            <w:webHidden/>
          </w:rPr>
          <w:fldChar w:fldCharType="end"/>
        </w:r>
      </w:hyperlink>
    </w:p>
    <w:p w14:paraId="22A069D4" w14:textId="2C749D17" w:rsidR="00067371" w:rsidRDefault="00067371">
      <w:pPr>
        <w:pStyle w:val="TOC3"/>
        <w:rPr>
          <w:rFonts w:asciiTheme="minorHAnsi" w:eastAsiaTheme="minorEastAsia" w:hAnsiTheme="minorHAnsi" w:cstheme="minorBidi"/>
          <w:kern w:val="2"/>
          <w:sz w:val="24"/>
          <w:szCs w:val="24"/>
          <w14:ligatures w14:val="standardContextual"/>
        </w:rPr>
      </w:pPr>
      <w:hyperlink w:anchor="_Toc214283607" w:history="1">
        <w:r w:rsidRPr="008F4954">
          <w:rPr>
            <w:rStyle w:val="Hyperlink"/>
          </w:rPr>
          <w:t>5.37.5</w:t>
        </w:r>
        <w:r>
          <w:rPr>
            <w:rFonts w:asciiTheme="minorHAnsi" w:eastAsiaTheme="minorEastAsia" w:hAnsiTheme="minorHAnsi" w:cstheme="minorBidi"/>
            <w:kern w:val="2"/>
            <w:sz w:val="24"/>
            <w:szCs w:val="24"/>
            <w14:ligatures w14:val="standardContextual"/>
          </w:rPr>
          <w:tab/>
        </w:r>
        <w:r w:rsidRPr="008F4954">
          <w:rPr>
            <w:rStyle w:val="Hyperlink"/>
          </w:rPr>
          <w:t>Missile Status</w:t>
        </w:r>
        <w:r>
          <w:rPr>
            <w:webHidden/>
          </w:rPr>
          <w:tab/>
        </w:r>
        <w:r>
          <w:rPr>
            <w:webHidden/>
          </w:rPr>
          <w:fldChar w:fldCharType="begin"/>
        </w:r>
        <w:r>
          <w:rPr>
            <w:webHidden/>
          </w:rPr>
          <w:instrText xml:space="preserve"> PAGEREF _Toc214283607 \h </w:instrText>
        </w:r>
        <w:r>
          <w:rPr>
            <w:webHidden/>
          </w:rPr>
        </w:r>
        <w:r>
          <w:rPr>
            <w:webHidden/>
          </w:rPr>
          <w:fldChar w:fldCharType="separate"/>
        </w:r>
        <w:r>
          <w:rPr>
            <w:webHidden/>
          </w:rPr>
          <w:t>836</w:t>
        </w:r>
        <w:r>
          <w:rPr>
            <w:webHidden/>
          </w:rPr>
          <w:fldChar w:fldCharType="end"/>
        </w:r>
      </w:hyperlink>
    </w:p>
    <w:p w14:paraId="7F08BE28" w14:textId="7AB533E1" w:rsidR="00067371" w:rsidRDefault="00067371">
      <w:pPr>
        <w:pStyle w:val="TOC3"/>
        <w:rPr>
          <w:rFonts w:asciiTheme="minorHAnsi" w:eastAsiaTheme="minorEastAsia" w:hAnsiTheme="minorHAnsi" w:cstheme="minorBidi"/>
          <w:kern w:val="2"/>
          <w:sz w:val="24"/>
          <w:szCs w:val="24"/>
          <w14:ligatures w14:val="standardContextual"/>
        </w:rPr>
      </w:pPr>
      <w:hyperlink w:anchor="_Toc214283608" w:history="1">
        <w:r w:rsidRPr="008F4954">
          <w:rPr>
            <w:rStyle w:val="Hyperlink"/>
          </w:rPr>
          <w:t>5.37.6</w:t>
        </w:r>
        <w:r>
          <w:rPr>
            <w:rFonts w:asciiTheme="minorHAnsi" w:eastAsiaTheme="minorEastAsia" w:hAnsiTheme="minorHAnsi" w:cstheme="minorBidi"/>
            <w:kern w:val="2"/>
            <w:sz w:val="24"/>
            <w:szCs w:val="24"/>
            <w14:ligatures w14:val="standardContextual"/>
          </w:rPr>
          <w:tab/>
        </w:r>
        <w:r w:rsidRPr="008F4954">
          <w:rPr>
            <w:rStyle w:val="Hyperlink"/>
          </w:rPr>
          <w:t>Complications</w:t>
        </w:r>
        <w:r>
          <w:rPr>
            <w:webHidden/>
          </w:rPr>
          <w:tab/>
        </w:r>
        <w:r>
          <w:rPr>
            <w:webHidden/>
          </w:rPr>
          <w:fldChar w:fldCharType="begin"/>
        </w:r>
        <w:r>
          <w:rPr>
            <w:webHidden/>
          </w:rPr>
          <w:instrText xml:space="preserve"> PAGEREF _Toc214283608 \h </w:instrText>
        </w:r>
        <w:r>
          <w:rPr>
            <w:webHidden/>
          </w:rPr>
        </w:r>
        <w:r>
          <w:rPr>
            <w:webHidden/>
          </w:rPr>
          <w:fldChar w:fldCharType="separate"/>
        </w:r>
        <w:r>
          <w:rPr>
            <w:webHidden/>
          </w:rPr>
          <w:t>837</w:t>
        </w:r>
        <w:r>
          <w:rPr>
            <w:webHidden/>
          </w:rPr>
          <w:fldChar w:fldCharType="end"/>
        </w:r>
      </w:hyperlink>
    </w:p>
    <w:p w14:paraId="0D740410" w14:textId="16D20EC8" w:rsidR="00067371" w:rsidRDefault="00067371">
      <w:pPr>
        <w:pStyle w:val="TOC3"/>
        <w:rPr>
          <w:rFonts w:asciiTheme="minorHAnsi" w:eastAsiaTheme="minorEastAsia" w:hAnsiTheme="minorHAnsi" w:cstheme="minorBidi"/>
          <w:kern w:val="2"/>
          <w:sz w:val="24"/>
          <w:szCs w:val="24"/>
          <w14:ligatures w14:val="standardContextual"/>
        </w:rPr>
      </w:pPr>
      <w:hyperlink w:anchor="_Toc214283609" w:history="1">
        <w:r w:rsidRPr="008F4954">
          <w:rPr>
            <w:rStyle w:val="Hyperlink"/>
          </w:rPr>
          <w:t>5.37.7</w:t>
        </w:r>
        <w:r>
          <w:rPr>
            <w:rFonts w:asciiTheme="minorHAnsi" w:eastAsiaTheme="minorEastAsia" w:hAnsiTheme="minorHAnsi" w:cstheme="minorBidi"/>
            <w:kern w:val="2"/>
            <w:sz w:val="24"/>
            <w:szCs w:val="24"/>
            <w14:ligatures w14:val="standardContextual"/>
          </w:rPr>
          <w:tab/>
        </w:r>
        <w:r w:rsidRPr="008F4954">
          <w:rPr>
            <w:rStyle w:val="Hyperlink"/>
          </w:rPr>
          <w:t>Missile Log</w:t>
        </w:r>
        <w:r>
          <w:rPr>
            <w:webHidden/>
          </w:rPr>
          <w:tab/>
        </w:r>
        <w:r>
          <w:rPr>
            <w:webHidden/>
          </w:rPr>
          <w:fldChar w:fldCharType="begin"/>
        </w:r>
        <w:r>
          <w:rPr>
            <w:webHidden/>
          </w:rPr>
          <w:instrText xml:space="preserve"> PAGEREF _Toc214283609 \h </w:instrText>
        </w:r>
        <w:r>
          <w:rPr>
            <w:webHidden/>
          </w:rPr>
        </w:r>
        <w:r>
          <w:rPr>
            <w:webHidden/>
          </w:rPr>
          <w:fldChar w:fldCharType="separate"/>
        </w:r>
        <w:r>
          <w:rPr>
            <w:webHidden/>
          </w:rPr>
          <w:t>838</w:t>
        </w:r>
        <w:r>
          <w:rPr>
            <w:webHidden/>
          </w:rPr>
          <w:fldChar w:fldCharType="end"/>
        </w:r>
      </w:hyperlink>
    </w:p>
    <w:p w14:paraId="36CC9349" w14:textId="3FA28C6E" w:rsidR="00067371" w:rsidRDefault="00067371">
      <w:pPr>
        <w:pStyle w:val="TOC3"/>
        <w:rPr>
          <w:rFonts w:asciiTheme="minorHAnsi" w:eastAsiaTheme="minorEastAsia" w:hAnsiTheme="minorHAnsi" w:cstheme="minorBidi"/>
          <w:kern w:val="2"/>
          <w:sz w:val="24"/>
          <w:szCs w:val="24"/>
          <w14:ligatures w14:val="standardContextual"/>
        </w:rPr>
      </w:pPr>
      <w:hyperlink w:anchor="_Toc214283610" w:history="1">
        <w:r w:rsidRPr="008F4954">
          <w:rPr>
            <w:rStyle w:val="Hyperlink"/>
          </w:rPr>
          <w:t>5.37.8</w:t>
        </w:r>
        <w:r>
          <w:rPr>
            <w:rFonts w:asciiTheme="minorHAnsi" w:eastAsiaTheme="minorEastAsia" w:hAnsiTheme="minorHAnsi" w:cstheme="minorBidi"/>
            <w:kern w:val="2"/>
            <w:sz w:val="24"/>
            <w:szCs w:val="24"/>
            <w14:ligatures w14:val="standardContextual"/>
          </w:rPr>
          <w:tab/>
        </w:r>
        <w:r w:rsidRPr="008F4954">
          <w:rPr>
            <w:rStyle w:val="Hyperlink"/>
          </w:rPr>
          <w:t>FRU Log</w:t>
        </w:r>
        <w:r>
          <w:rPr>
            <w:webHidden/>
          </w:rPr>
          <w:tab/>
        </w:r>
        <w:r>
          <w:rPr>
            <w:webHidden/>
          </w:rPr>
          <w:fldChar w:fldCharType="begin"/>
        </w:r>
        <w:r>
          <w:rPr>
            <w:webHidden/>
          </w:rPr>
          <w:instrText xml:space="preserve"> PAGEREF _Toc214283610 \h </w:instrText>
        </w:r>
        <w:r>
          <w:rPr>
            <w:webHidden/>
          </w:rPr>
        </w:r>
        <w:r>
          <w:rPr>
            <w:webHidden/>
          </w:rPr>
          <w:fldChar w:fldCharType="separate"/>
        </w:r>
        <w:r>
          <w:rPr>
            <w:webHidden/>
          </w:rPr>
          <w:t>838</w:t>
        </w:r>
        <w:r>
          <w:rPr>
            <w:webHidden/>
          </w:rPr>
          <w:fldChar w:fldCharType="end"/>
        </w:r>
      </w:hyperlink>
    </w:p>
    <w:p w14:paraId="613B1735" w14:textId="3B423916" w:rsidR="00067371" w:rsidRDefault="00067371">
      <w:pPr>
        <w:pStyle w:val="TOC3"/>
        <w:rPr>
          <w:rFonts w:asciiTheme="minorHAnsi" w:eastAsiaTheme="minorEastAsia" w:hAnsiTheme="minorHAnsi" w:cstheme="minorBidi"/>
          <w:kern w:val="2"/>
          <w:sz w:val="24"/>
          <w:szCs w:val="24"/>
          <w14:ligatures w14:val="standardContextual"/>
        </w:rPr>
      </w:pPr>
      <w:hyperlink w:anchor="_Toc214283611" w:history="1">
        <w:r w:rsidRPr="008F4954">
          <w:rPr>
            <w:rStyle w:val="Hyperlink"/>
          </w:rPr>
          <w:t>5.37.9</w:t>
        </w:r>
        <w:r>
          <w:rPr>
            <w:rFonts w:asciiTheme="minorHAnsi" w:eastAsiaTheme="minorEastAsia" w:hAnsiTheme="minorHAnsi" w:cstheme="minorBidi"/>
            <w:kern w:val="2"/>
            <w:sz w:val="24"/>
            <w:szCs w:val="24"/>
            <w14:ligatures w14:val="standardContextual"/>
          </w:rPr>
          <w:tab/>
        </w:r>
        <w:r w:rsidRPr="008F4954">
          <w:rPr>
            <w:rStyle w:val="Hyperlink"/>
          </w:rPr>
          <w:t>Health and Status Log</w:t>
        </w:r>
        <w:r>
          <w:rPr>
            <w:webHidden/>
          </w:rPr>
          <w:tab/>
        </w:r>
        <w:r>
          <w:rPr>
            <w:webHidden/>
          </w:rPr>
          <w:fldChar w:fldCharType="begin"/>
        </w:r>
        <w:r>
          <w:rPr>
            <w:webHidden/>
          </w:rPr>
          <w:instrText xml:space="preserve"> PAGEREF _Toc214283611 \h </w:instrText>
        </w:r>
        <w:r>
          <w:rPr>
            <w:webHidden/>
          </w:rPr>
        </w:r>
        <w:r>
          <w:rPr>
            <w:webHidden/>
          </w:rPr>
          <w:fldChar w:fldCharType="separate"/>
        </w:r>
        <w:r>
          <w:rPr>
            <w:webHidden/>
          </w:rPr>
          <w:t>838</w:t>
        </w:r>
        <w:r>
          <w:rPr>
            <w:webHidden/>
          </w:rPr>
          <w:fldChar w:fldCharType="end"/>
        </w:r>
      </w:hyperlink>
    </w:p>
    <w:p w14:paraId="32F6353B" w14:textId="454EA990" w:rsidR="00067371" w:rsidRDefault="00067371">
      <w:pPr>
        <w:pStyle w:val="TOC3"/>
        <w:rPr>
          <w:rFonts w:asciiTheme="minorHAnsi" w:eastAsiaTheme="minorEastAsia" w:hAnsiTheme="minorHAnsi" w:cstheme="minorBidi"/>
          <w:kern w:val="2"/>
          <w:sz w:val="24"/>
          <w:szCs w:val="24"/>
          <w14:ligatures w14:val="standardContextual"/>
        </w:rPr>
      </w:pPr>
      <w:hyperlink w:anchor="_Toc214283612" w:history="1">
        <w:r w:rsidRPr="008F4954">
          <w:rPr>
            <w:rStyle w:val="Hyperlink"/>
          </w:rPr>
          <w:t>5.37.10</w:t>
        </w:r>
        <w:r>
          <w:rPr>
            <w:rFonts w:asciiTheme="minorHAnsi" w:eastAsiaTheme="minorEastAsia" w:hAnsiTheme="minorHAnsi" w:cstheme="minorBidi"/>
            <w:kern w:val="2"/>
            <w:sz w:val="24"/>
            <w:szCs w:val="24"/>
            <w14:ligatures w14:val="standardContextual"/>
          </w:rPr>
          <w:tab/>
        </w:r>
        <w:r w:rsidRPr="008F4954">
          <w:rPr>
            <w:rStyle w:val="Hyperlink"/>
          </w:rPr>
          <w:t>IMMM Log</w:t>
        </w:r>
        <w:r>
          <w:rPr>
            <w:webHidden/>
          </w:rPr>
          <w:tab/>
        </w:r>
        <w:r>
          <w:rPr>
            <w:webHidden/>
          </w:rPr>
          <w:fldChar w:fldCharType="begin"/>
        </w:r>
        <w:r>
          <w:rPr>
            <w:webHidden/>
          </w:rPr>
          <w:instrText xml:space="preserve"> PAGEREF _Toc214283612 \h </w:instrText>
        </w:r>
        <w:r>
          <w:rPr>
            <w:webHidden/>
          </w:rPr>
        </w:r>
        <w:r>
          <w:rPr>
            <w:webHidden/>
          </w:rPr>
          <w:fldChar w:fldCharType="separate"/>
        </w:r>
        <w:r>
          <w:rPr>
            <w:webHidden/>
          </w:rPr>
          <w:t>852</w:t>
        </w:r>
        <w:r>
          <w:rPr>
            <w:webHidden/>
          </w:rPr>
          <w:fldChar w:fldCharType="end"/>
        </w:r>
      </w:hyperlink>
    </w:p>
    <w:p w14:paraId="2A64DE45" w14:textId="27819011" w:rsidR="00067371" w:rsidRDefault="00067371">
      <w:pPr>
        <w:pStyle w:val="TOC3"/>
        <w:rPr>
          <w:rFonts w:asciiTheme="minorHAnsi" w:eastAsiaTheme="minorEastAsia" w:hAnsiTheme="minorHAnsi" w:cstheme="minorBidi"/>
          <w:kern w:val="2"/>
          <w:sz w:val="24"/>
          <w:szCs w:val="24"/>
          <w14:ligatures w14:val="standardContextual"/>
        </w:rPr>
      </w:pPr>
      <w:hyperlink w:anchor="_Toc214283613" w:history="1">
        <w:r w:rsidRPr="008F4954">
          <w:rPr>
            <w:rStyle w:val="Hyperlink"/>
          </w:rPr>
          <w:t>5.37.11</w:t>
        </w:r>
        <w:r>
          <w:rPr>
            <w:rFonts w:asciiTheme="minorHAnsi" w:eastAsiaTheme="minorEastAsia" w:hAnsiTheme="minorHAnsi" w:cstheme="minorBidi"/>
            <w:kern w:val="2"/>
            <w:sz w:val="24"/>
            <w:szCs w:val="24"/>
            <w14:ligatures w14:val="standardContextual"/>
          </w:rPr>
          <w:tab/>
        </w:r>
        <w:r w:rsidRPr="008F4954">
          <w:rPr>
            <w:rStyle w:val="Hyperlink"/>
          </w:rPr>
          <w:t>Ping Log</w:t>
        </w:r>
        <w:r>
          <w:rPr>
            <w:webHidden/>
          </w:rPr>
          <w:tab/>
        </w:r>
        <w:r>
          <w:rPr>
            <w:webHidden/>
          </w:rPr>
          <w:fldChar w:fldCharType="begin"/>
        </w:r>
        <w:r>
          <w:rPr>
            <w:webHidden/>
          </w:rPr>
          <w:instrText xml:space="preserve"> PAGEREF _Toc214283613 \h </w:instrText>
        </w:r>
        <w:r>
          <w:rPr>
            <w:webHidden/>
          </w:rPr>
        </w:r>
        <w:r>
          <w:rPr>
            <w:webHidden/>
          </w:rPr>
          <w:fldChar w:fldCharType="separate"/>
        </w:r>
        <w:r>
          <w:rPr>
            <w:webHidden/>
          </w:rPr>
          <w:t>861</w:t>
        </w:r>
        <w:r>
          <w:rPr>
            <w:webHidden/>
          </w:rPr>
          <w:fldChar w:fldCharType="end"/>
        </w:r>
      </w:hyperlink>
    </w:p>
    <w:p w14:paraId="7AAFBBA1" w14:textId="510DB494" w:rsidR="00067371" w:rsidRDefault="00067371">
      <w:pPr>
        <w:pStyle w:val="TOC3"/>
        <w:rPr>
          <w:rFonts w:asciiTheme="minorHAnsi" w:eastAsiaTheme="minorEastAsia" w:hAnsiTheme="minorHAnsi" w:cstheme="minorBidi"/>
          <w:kern w:val="2"/>
          <w:sz w:val="24"/>
          <w:szCs w:val="24"/>
          <w14:ligatures w14:val="standardContextual"/>
        </w:rPr>
      </w:pPr>
      <w:hyperlink w:anchor="_Toc214283614" w:history="1">
        <w:r w:rsidRPr="008F4954">
          <w:rPr>
            <w:rStyle w:val="Hyperlink"/>
          </w:rPr>
          <w:t>5.37.12</w:t>
        </w:r>
        <w:r>
          <w:rPr>
            <w:rFonts w:asciiTheme="minorHAnsi" w:eastAsiaTheme="minorEastAsia" w:hAnsiTheme="minorHAnsi" w:cstheme="minorBidi"/>
            <w:kern w:val="2"/>
            <w:sz w:val="24"/>
            <w:szCs w:val="24"/>
            <w14:ligatures w14:val="standardContextual"/>
          </w:rPr>
          <w:tab/>
        </w:r>
        <w:r w:rsidRPr="008F4954">
          <w:rPr>
            <w:rStyle w:val="Hyperlink"/>
          </w:rPr>
          <w:t>ACA Log</w:t>
        </w:r>
        <w:r>
          <w:rPr>
            <w:webHidden/>
          </w:rPr>
          <w:tab/>
        </w:r>
        <w:r>
          <w:rPr>
            <w:webHidden/>
          </w:rPr>
          <w:fldChar w:fldCharType="begin"/>
        </w:r>
        <w:r>
          <w:rPr>
            <w:webHidden/>
          </w:rPr>
          <w:instrText xml:space="preserve"> PAGEREF _Toc214283614 \h </w:instrText>
        </w:r>
        <w:r>
          <w:rPr>
            <w:webHidden/>
          </w:rPr>
        </w:r>
        <w:r>
          <w:rPr>
            <w:webHidden/>
          </w:rPr>
          <w:fldChar w:fldCharType="separate"/>
        </w:r>
        <w:r>
          <w:rPr>
            <w:webHidden/>
          </w:rPr>
          <w:t>861</w:t>
        </w:r>
        <w:r>
          <w:rPr>
            <w:webHidden/>
          </w:rPr>
          <w:fldChar w:fldCharType="end"/>
        </w:r>
      </w:hyperlink>
    </w:p>
    <w:p w14:paraId="42BE0307" w14:textId="3806A58D" w:rsidR="00067371" w:rsidRDefault="00067371">
      <w:pPr>
        <w:pStyle w:val="TOC3"/>
        <w:rPr>
          <w:rFonts w:asciiTheme="minorHAnsi" w:eastAsiaTheme="minorEastAsia" w:hAnsiTheme="minorHAnsi" w:cstheme="minorBidi"/>
          <w:kern w:val="2"/>
          <w:sz w:val="24"/>
          <w:szCs w:val="24"/>
          <w14:ligatures w14:val="standardContextual"/>
        </w:rPr>
      </w:pPr>
      <w:hyperlink w:anchor="_Toc214283615" w:history="1">
        <w:r w:rsidRPr="008F4954">
          <w:rPr>
            <w:rStyle w:val="Hyperlink"/>
          </w:rPr>
          <w:t>5.37.13</w:t>
        </w:r>
        <w:r>
          <w:rPr>
            <w:rFonts w:asciiTheme="minorHAnsi" w:eastAsiaTheme="minorEastAsia" w:hAnsiTheme="minorHAnsi" w:cstheme="minorBidi"/>
            <w:kern w:val="2"/>
            <w:sz w:val="24"/>
            <w:szCs w:val="24"/>
            <w14:ligatures w14:val="standardContextual"/>
          </w:rPr>
          <w:tab/>
        </w:r>
        <w:r w:rsidRPr="008F4954">
          <w:rPr>
            <w:rStyle w:val="Hyperlink"/>
          </w:rPr>
          <w:t>FDU Log</w:t>
        </w:r>
        <w:r>
          <w:rPr>
            <w:webHidden/>
          </w:rPr>
          <w:tab/>
        </w:r>
        <w:r>
          <w:rPr>
            <w:webHidden/>
          </w:rPr>
          <w:fldChar w:fldCharType="begin"/>
        </w:r>
        <w:r>
          <w:rPr>
            <w:webHidden/>
          </w:rPr>
          <w:instrText xml:space="preserve"> PAGEREF _Toc214283615 \h </w:instrText>
        </w:r>
        <w:r>
          <w:rPr>
            <w:webHidden/>
          </w:rPr>
        </w:r>
        <w:r>
          <w:rPr>
            <w:webHidden/>
          </w:rPr>
          <w:fldChar w:fldCharType="separate"/>
        </w:r>
        <w:r>
          <w:rPr>
            <w:webHidden/>
          </w:rPr>
          <w:t>862</w:t>
        </w:r>
        <w:r>
          <w:rPr>
            <w:webHidden/>
          </w:rPr>
          <w:fldChar w:fldCharType="end"/>
        </w:r>
      </w:hyperlink>
    </w:p>
    <w:p w14:paraId="0E8700FB" w14:textId="7EAF9624" w:rsidR="00067371" w:rsidRDefault="00067371">
      <w:pPr>
        <w:pStyle w:val="TOC3"/>
        <w:rPr>
          <w:rFonts w:asciiTheme="minorHAnsi" w:eastAsiaTheme="minorEastAsia" w:hAnsiTheme="minorHAnsi" w:cstheme="minorBidi"/>
          <w:kern w:val="2"/>
          <w:sz w:val="24"/>
          <w:szCs w:val="24"/>
          <w14:ligatures w14:val="standardContextual"/>
        </w:rPr>
      </w:pPr>
      <w:hyperlink w:anchor="_Toc214283616" w:history="1">
        <w:r w:rsidRPr="008F4954">
          <w:rPr>
            <w:rStyle w:val="Hyperlink"/>
          </w:rPr>
          <w:t>5.37.14</w:t>
        </w:r>
        <w:r>
          <w:rPr>
            <w:rFonts w:asciiTheme="minorHAnsi" w:eastAsiaTheme="minorEastAsia" w:hAnsiTheme="minorHAnsi" w:cstheme="minorBidi"/>
            <w:kern w:val="2"/>
            <w:sz w:val="24"/>
            <w:szCs w:val="24"/>
            <w14:ligatures w14:val="standardContextual"/>
          </w:rPr>
          <w:tab/>
        </w:r>
        <w:r w:rsidRPr="008F4954">
          <w:rPr>
            <w:rStyle w:val="Hyperlink"/>
          </w:rPr>
          <w:t>Complications</w:t>
        </w:r>
        <w:r>
          <w:rPr>
            <w:webHidden/>
          </w:rPr>
          <w:tab/>
        </w:r>
        <w:r>
          <w:rPr>
            <w:webHidden/>
          </w:rPr>
          <w:fldChar w:fldCharType="begin"/>
        </w:r>
        <w:r>
          <w:rPr>
            <w:webHidden/>
          </w:rPr>
          <w:instrText xml:space="preserve"> PAGEREF _Toc214283616 \h </w:instrText>
        </w:r>
        <w:r>
          <w:rPr>
            <w:webHidden/>
          </w:rPr>
        </w:r>
        <w:r>
          <w:rPr>
            <w:webHidden/>
          </w:rPr>
          <w:fldChar w:fldCharType="separate"/>
        </w:r>
        <w:r>
          <w:rPr>
            <w:webHidden/>
          </w:rPr>
          <w:t>862</w:t>
        </w:r>
        <w:r>
          <w:rPr>
            <w:webHidden/>
          </w:rPr>
          <w:fldChar w:fldCharType="end"/>
        </w:r>
      </w:hyperlink>
    </w:p>
    <w:p w14:paraId="6C3D6410" w14:textId="2E1D2164" w:rsidR="00067371" w:rsidRDefault="00067371">
      <w:pPr>
        <w:pStyle w:val="TOC3"/>
        <w:rPr>
          <w:rFonts w:asciiTheme="minorHAnsi" w:eastAsiaTheme="minorEastAsia" w:hAnsiTheme="minorHAnsi" w:cstheme="minorBidi"/>
          <w:kern w:val="2"/>
          <w:sz w:val="24"/>
          <w:szCs w:val="24"/>
          <w14:ligatures w14:val="standardContextual"/>
        </w:rPr>
      </w:pPr>
      <w:hyperlink w:anchor="_Toc214283617" w:history="1">
        <w:r w:rsidRPr="008F4954">
          <w:rPr>
            <w:rStyle w:val="Hyperlink"/>
          </w:rPr>
          <w:t>5.37.15</w:t>
        </w:r>
        <w:r>
          <w:rPr>
            <w:rFonts w:asciiTheme="minorHAnsi" w:eastAsiaTheme="minorEastAsia" w:hAnsiTheme="minorHAnsi" w:cstheme="minorBidi"/>
            <w:kern w:val="2"/>
            <w:sz w:val="24"/>
            <w:szCs w:val="24"/>
            <w14:ligatures w14:val="standardContextual"/>
          </w:rPr>
          <w:tab/>
        </w:r>
        <w:r w:rsidRPr="008F4954">
          <w:rPr>
            <w:rStyle w:val="Hyperlink"/>
          </w:rPr>
          <w:t>Tactical Data Generator</w:t>
        </w:r>
        <w:r>
          <w:rPr>
            <w:webHidden/>
          </w:rPr>
          <w:tab/>
        </w:r>
        <w:r>
          <w:rPr>
            <w:webHidden/>
          </w:rPr>
          <w:fldChar w:fldCharType="begin"/>
        </w:r>
        <w:r>
          <w:rPr>
            <w:webHidden/>
          </w:rPr>
          <w:instrText xml:space="preserve"> PAGEREF _Toc214283617 \h </w:instrText>
        </w:r>
        <w:r>
          <w:rPr>
            <w:webHidden/>
          </w:rPr>
        </w:r>
        <w:r>
          <w:rPr>
            <w:webHidden/>
          </w:rPr>
          <w:fldChar w:fldCharType="separate"/>
        </w:r>
        <w:r>
          <w:rPr>
            <w:webHidden/>
          </w:rPr>
          <w:t>874</w:t>
        </w:r>
        <w:r>
          <w:rPr>
            <w:webHidden/>
          </w:rPr>
          <w:fldChar w:fldCharType="end"/>
        </w:r>
      </w:hyperlink>
    </w:p>
    <w:p w14:paraId="0A34B393" w14:textId="66983F2F" w:rsidR="00067371" w:rsidRDefault="00067371">
      <w:pPr>
        <w:pStyle w:val="TOC3"/>
        <w:rPr>
          <w:rFonts w:asciiTheme="minorHAnsi" w:eastAsiaTheme="minorEastAsia" w:hAnsiTheme="minorHAnsi" w:cstheme="minorBidi"/>
          <w:kern w:val="2"/>
          <w:sz w:val="24"/>
          <w:szCs w:val="24"/>
          <w14:ligatures w14:val="standardContextual"/>
        </w:rPr>
      </w:pPr>
      <w:hyperlink w:anchor="_Toc214283618" w:history="1">
        <w:r w:rsidRPr="008F4954">
          <w:rPr>
            <w:rStyle w:val="Hyperlink"/>
          </w:rPr>
          <w:t>5.37.16</w:t>
        </w:r>
        <w:r>
          <w:rPr>
            <w:rFonts w:asciiTheme="minorHAnsi" w:eastAsiaTheme="minorEastAsia" w:hAnsiTheme="minorHAnsi" w:cstheme="minorBidi"/>
            <w:kern w:val="2"/>
            <w:sz w:val="24"/>
            <w:szCs w:val="24"/>
            <w14:ligatures w14:val="standardContextual"/>
          </w:rPr>
          <w:tab/>
        </w:r>
        <w:r w:rsidRPr="008F4954">
          <w:rPr>
            <w:rStyle w:val="Hyperlink"/>
          </w:rPr>
          <w:t>Miscellaneous TSRT Topics</w:t>
        </w:r>
        <w:r>
          <w:rPr>
            <w:webHidden/>
          </w:rPr>
          <w:tab/>
        </w:r>
        <w:r>
          <w:rPr>
            <w:webHidden/>
          </w:rPr>
          <w:fldChar w:fldCharType="begin"/>
        </w:r>
        <w:r>
          <w:rPr>
            <w:webHidden/>
          </w:rPr>
          <w:instrText xml:space="preserve"> PAGEREF _Toc214283618 \h </w:instrText>
        </w:r>
        <w:r>
          <w:rPr>
            <w:webHidden/>
          </w:rPr>
        </w:r>
        <w:r>
          <w:rPr>
            <w:webHidden/>
          </w:rPr>
          <w:fldChar w:fldCharType="separate"/>
        </w:r>
        <w:r>
          <w:rPr>
            <w:webHidden/>
          </w:rPr>
          <w:t>875</w:t>
        </w:r>
        <w:r>
          <w:rPr>
            <w:webHidden/>
          </w:rPr>
          <w:fldChar w:fldCharType="end"/>
        </w:r>
      </w:hyperlink>
    </w:p>
    <w:p w14:paraId="22D9C853" w14:textId="5F9DD082" w:rsidR="00067371" w:rsidRDefault="00067371">
      <w:pPr>
        <w:pStyle w:val="TOC3"/>
        <w:rPr>
          <w:rFonts w:asciiTheme="minorHAnsi" w:eastAsiaTheme="minorEastAsia" w:hAnsiTheme="minorHAnsi" w:cstheme="minorBidi"/>
          <w:kern w:val="2"/>
          <w:sz w:val="24"/>
          <w:szCs w:val="24"/>
          <w14:ligatures w14:val="standardContextual"/>
        </w:rPr>
      </w:pPr>
      <w:hyperlink w:anchor="_Toc214283619" w:history="1">
        <w:r w:rsidRPr="008F4954">
          <w:rPr>
            <w:rStyle w:val="Hyperlink"/>
          </w:rPr>
          <w:t>5.37.17</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_Toc214283619 \h </w:instrText>
        </w:r>
        <w:r>
          <w:rPr>
            <w:webHidden/>
          </w:rPr>
        </w:r>
        <w:r>
          <w:rPr>
            <w:webHidden/>
          </w:rPr>
          <w:fldChar w:fldCharType="separate"/>
        </w:r>
        <w:r>
          <w:rPr>
            <w:webHidden/>
          </w:rPr>
          <w:t>878</w:t>
        </w:r>
        <w:r>
          <w:rPr>
            <w:webHidden/>
          </w:rPr>
          <w:fldChar w:fldCharType="end"/>
        </w:r>
      </w:hyperlink>
    </w:p>
    <w:p w14:paraId="17E6DB4A" w14:textId="08ED02F4" w:rsidR="00067371" w:rsidRDefault="00067371">
      <w:pPr>
        <w:pStyle w:val="TOC3"/>
        <w:rPr>
          <w:rFonts w:asciiTheme="minorHAnsi" w:eastAsiaTheme="minorEastAsia" w:hAnsiTheme="minorHAnsi" w:cstheme="minorBidi"/>
          <w:kern w:val="2"/>
          <w:sz w:val="24"/>
          <w:szCs w:val="24"/>
          <w14:ligatures w14:val="standardContextual"/>
        </w:rPr>
      </w:pPr>
      <w:hyperlink w:anchor="_Toc214283620" w:history="1">
        <w:r w:rsidRPr="008F4954">
          <w:rPr>
            <w:rStyle w:val="Hyperlink"/>
          </w:rPr>
          <w:t>5.37.18</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_Toc214283620 \h </w:instrText>
        </w:r>
        <w:r>
          <w:rPr>
            <w:webHidden/>
          </w:rPr>
        </w:r>
        <w:r>
          <w:rPr>
            <w:webHidden/>
          </w:rPr>
          <w:fldChar w:fldCharType="separate"/>
        </w:r>
        <w:r>
          <w:rPr>
            <w:webHidden/>
          </w:rPr>
          <w:t>878</w:t>
        </w:r>
        <w:r>
          <w:rPr>
            <w:webHidden/>
          </w:rPr>
          <w:fldChar w:fldCharType="end"/>
        </w:r>
      </w:hyperlink>
    </w:p>
    <w:p w14:paraId="0E777622" w14:textId="473ACF96" w:rsidR="00067371" w:rsidRDefault="00067371">
      <w:pPr>
        <w:pStyle w:val="TOC3"/>
        <w:rPr>
          <w:rFonts w:asciiTheme="minorHAnsi" w:eastAsiaTheme="minorEastAsia" w:hAnsiTheme="minorHAnsi" w:cstheme="minorBidi"/>
          <w:kern w:val="2"/>
          <w:sz w:val="24"/>
          <w:szCs w:val="24"/>
          <w14:ligatures w14:val="standardContextual"/>
        </w:rPr>
      </w:pPr>
      <w:hyperlink w:anchor="_Toc214283621" w:history="1">
        <w:r w:rsidRPr="008F4954">
          <w:rPr>
            <w:rStyle w:val="Hyperlink"/>
          </w:rPr>
          <w:t>5.37.19</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_Toc214283621 \h </w:instrText>
        </w:r>
        <w:r>
          <w:rPr>
            <w:webHidden/>
          </w:rPr>
        </w:r>
        <w:r>
          <w:rPr>
            <w:webHidden/>
          </w:rPr>
          <w:fldChar w:fldCharType="separate"/>
        </w:r>
        <w:r>
          <w:rPr>
            <w:webHidden/>
          </w:rPr>
          <w:t>878</w:t>
        </w:r>
        <w:r>
          <w:rPr>
            <w:webHidden/>
          </w:rPr>
          <w:fldChar w:fldCharType="end"/>
        </w:r>
      </w:hyperlink>
    </w:p>
    <w:p w14:paraId="17FBBE6F" w14:textId="7F7A8D22" w:rsidR="00067371" w:rsidRDefault="00067371">
      <w:pPr>
        <w:pStyle w:val="TOC3"/>
        <w:rPr>
          <w:rFonts w:asciiTheme="minorHAnsi" w:eastAsiaTheme="minorEastAsia" w:hAnsiTheme="minorHAnsi" w:cstheme="minorBidi"/>
          <w:kern w:val="2"/>
          <w:sz w:val="24"/>
          <w:szCs w:val="24"/>
          <w14:ligatures w14:val="standardContextual"/>
        </w:rPr>
      </w:pPr>
      <w:hyperlink w:anchor="_Toc214283622" w:history="1">
        <w:r w:rsidRPr="008F4954">
          <w:rPr>
            <w:rStyle w:val="Hyperlink"/>
          </w:rPr>
          <w:t>5.37.20</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_Toc214283622 \h </w:instrText>
        </w:r>
        <w:r>
          <w:rPr>
            <w:webHidden/>
          </w:rPr>
        </w:r>
        <w:r>
          <w:rPr>
            <w:webHidden/>
          </w:rPr>
          <w:fldChar w:fldCharType="separate"/>
        </w:r>
        <w:r>
          <w:rPr>
            <w:webHidden/>
          </w:rPr>
          <w:t>878</w:t>
        </w:r>
        <w:r>
          <w:rPr>
            <w:webHidden/>
          </w:rPr>
          <w:fldChar w:fldCharType="end"/>
        </w:r>
      </w:hyperlink>
    </w:p>
    <w:p w14:paraId="2FC57820" w14:textId="62B95BCD" w:rsidR="00067371" w:rsidRDefault="00067371">
      <w:pPr>
        <w:pStyle w:val="TOC3"/>
        <w:rPr>
          <w:rFonts w:asciiTheme="minorHAnsi" w:eastAsiaTheme="minorEastAsia" w:hAnsiTheme="minorHAnsi" w:cstheme="minorBidi"/>
          <w:kern w:val="2"/>
          <w:sz w:val="24"/>
          <w:szCs w:val="24"/>
          <w14:ligatures w14:val="standardContextual"/>
        </w:rPr>
      </w:pPr>
      <w:hyperlink w:anchor="_Toc214283623" w:history="1">
        <w:r w:rsidRPr="008F4954">
          <w:rPr>
            <w:rStyle w:val="Hyperlink"/>
          </w:rPr>
          <w:t>5.37.21</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_Toc214283623 \h </w:instrText>
        </w:r>
        <w:r>
          <w:rPr>
            <w:webHidden/>
          </w:rPr>
        </w:r>
        <w:r>
          <w:rPr>
            <w:webHidden/>
          </w:rPr>
          <w:fldChar w:fldCharType="separate"/>
        </w:r>
        <w:r>
          <w:rPr>
            <w:webHidden/>
          </w:rPr>
          <w:t>878</w:t>
        </w:r>
        <w:r>
          <w:rPr>
            <w:webHidden/>
          </w:rPr>
          <w:fldChar w:fldCharType="end"/>
        </w:r>
      </w:hyperlink>
    </w:p>
    <w:p w14:paraId="459E2842" w14:textId="32532B9B"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24" w:history="1">
        <w:r w:rsidRPr="008F4954">
          <w:rPr>
            <w:rStyle w:val="Hyperlink"/>
          </w:rPr>
          <w:t>5.38</w:t>
        </w:r>
        <w:r>
          <w:rPr>
            <w:rFonts w:asciiTheme="minorHAnsi" w:eastAsiaTheme="minorEastAsia" w:hAnsiTheme="minorHAnsi" w:cstheme="minorBidi"/>
            <w:smallCaps w:val="0"/>
            <w:kern w:val="2"/>
            <w:szCs w:val="24"/>
            <w14:ligatures w14:val="standardContextual"/>
          </w:rPr>
          <w:tab/>
        </w:r>
        <w:r w:rsidRPr="008F4954">
          <w:rPr>
            <w:rStyle w:val="Hyperlink"/>
          </w:rPr>
          <w:t>TSRT ACTIVITY TOOL</w:t>
        </w:r>
        <w:r>
          <w:rPr>
            <w:webHidden/>
          </w:rPr>
          <w:tab/>
        </w:r>
        <w:r>
          <w:rPr>
            <w:webHidden/>
          </w:rPr>
          <w:fldChar w:fldCharType="begin"/>
        </w:r>
        <w:r>
          <w:rPr>
            <w:webHidden/>
          </w:rPr>
          <w:instrText xml:space="preserve"> PAGEREF _Toc214283624 \h </w:instrText>
        </w:r>
        <w:r>
          <w:rPr>
            <w:webHidden/>
          </w:rPr>
        </w:r>
        <w:r>
          <w:rPr>
            <w:webHidden/>
          </w:rPr>
          <w:fldChar w:fldCharType="separate"/>
        </w:r>
        <w:r>
          <w:rPr>
            <w:webHidden/>
          </w:rPr>
          <w:t>879</w:t>
        </w:r>
        <w:r>
          <w:rPr>
            <w:webHidden/>
          </w:rPr>
          <w:fldChar w:fldCharType="end"/>
        </w:r>
      </w:hyperlink>
    </w:p>
    <w:p w14:paraId="5F7B5480" w14:textId="5085123C" w:rsidR="00067371" w:rsidRDefault="00067371">
      <w:pPr>
        <w:pStyle w:val="TOC3"/>
        <w:rPr>
          <w:rFonts w:asciiTheme="minorHAnsi" w:eastAsiaTheme="minorEastAsia" w:hAnsiTheme="minorHAnsi" w:cstheme="minorBidi"/>
          <w:kern w:val="2"/>
          <w:sz w:val="24"/>
          <w:szCs w:val="24"/>
          <w14:ligatures w14:val="standardContextual"/>
        </w:rPr>
      </w:pPr>
      <w:hyperlink w:anchor="_Toc214283625" w:history="1">
        <w:r w:rsidRPr="008F4954">
          <w:rPr>
            <w:rStyle w:val="Hyperlink"/>
          </w:rPr>
          <w:t>5.38.1</w:t>
        </w:r>
        <w:r>
          <w:rPr>
            <w:rFonts w:asciiTheme="minorHAnsi" w:eastAsiaTheme="minorEastAsia" w:hAnsiTheme="minorHAnsi" w:cstheme="minorBidi"/>
            <w:kern w:val="2"/>
            <w:sz w:val="24"/>
            <w:szCs w:val="24"/>
            <w14:ligatures w14:val="standardContextual"/>
          </w:rPr>
          <w:tab/>
        </w:r>
        <w:r w:rsidRPr="008F4954">
          <w:rPr>
            <w:rStyle w:val="Hyperlink"/>
          </w:rPr>
          <w:t>Strike Rehearsal Options</w:t>
        </w:r>
        <w:r>
          <w:rPr>
            <w:webHidden/>
          </w:rPr>
          <w:tab/>
        </w:r>
        <w:r>
          <w:rPr>
            <w:webHidden/>
          </w:rPr>
          <w:fldChar w:fldCharType="begin"/>
        </w:r>
        <w:r>
          <w:rPr>
            <w:webHidden/>
          </w:rPr>
          <w:instrText xml:space="preserve"> PAGEREF _Toc214283625 \h </w:instrText>
        </w:r>
        <w:r>
          <w:rPr>
            <w:webHidden/>
          </w:rPr>
        </w:r>
        <w:r>
          <w:rPr>
            <w:webHidden/>
          </w:rPr>
          <w:fldChar w:fldCharType="separate"/>
        </w:r>
        <w:r>
          <w:rPr>
            <w:webHidden/>
          </w:rPr>
          <w:t>879</w:t>
        </w:r>
        <w:r>
          <w:rPr>
            <w:webHidden/>
          </w:rPr>
          <w:fldChar w:fldCharType="end"/>
        </w:r>
      </w:hyperlink>
    </w:p>
    <w:p w14:paraId="19659B41" w14:textId="17419F2E" w:rsidR="00067371" w:rsidRDefault="00067371">
      <w:pPr>
        <w:pStyle w:val="TOC3"/>
        <w:rPr>
          <w:rFonts w:asciiTheme="minorHAnsi" w:eastAsiaTheme="minorEastAsia" w:hAnsiTheme="minorHAnsi" w:cstheme="minorBidi"/>
          <w:kern w:val="2"/>
          <w:sz w:val="24"/>
          <w:szCs w:val="24"/>
          <w14:ligatures w14:val="standardContextual"/>
        </w:rPr>
      </w:pPr>
      <w:hyperlink w:anchor="_Toc214283626" w:history="1">
        <w:r w:rsidRPr="008F4954">
          <w:rPr>
            <w:rStyle w:val="Hyperlink"/>
          </w:rPr>
          <w:t>5.38.2</w:t>
        </w:r>
        <w:r>
          <w:rPr>
            <w:rFonts w:asciiTheme="minorHAnsi" w:eastAsiaTheme="minorEastAsia" w:hAnsiTheme="minorHAnsi" w:cstheme="minorBidi"/>
            <w:kern w:val="2"/>
            <w:sz w:val="24"/>
            <w:szCs w:val="24"/>
            <w14:ligatures w14:val="standardContextual"/>
          </w:rPr>
          <w:tab/>
        </w:r>
        <w:r w:rsidRPr="008F4954">
          <w:rPr>
            <w:rStyle w:val="Hyperlink"/>
          </w:rPr>
          <w:t>Rehearsing a Strike</w:t>
        </w:r>
        <w:r>
          <w:rPr>
            <w:webHidden/>
          </w:rPr>
          <w:tab/>
        </w:r>
        <w:r>
          <w:rPr>
            <w:webHidden/>
          </w:rPr>
          <w:fldChar w:fldCharType="begin"/>
        </w:r>
        <w:r>
          <w:rPr>
            <w:webHidden/>
          </w:rPr>
          <w:instrText xml:space="preserve"> PAGEREF _Toc214283626 \h </w:instrText>
        </w:r>
        <w:r>
          <w:rPr>
            <w:webHidden/>
          </w:rPr>
        </w:r>
        <w:r>
          <w:rPr>
            <w:webHidden/>
          </w:rPr>
          <w:fldChar w:fldCharType="separate"/>
        </w:r>
        <w:r>
          <w:rPr>
            <w:webHidden/>
          </w:rPr>
          <w:t>882</w:t>
        </w:r>
        <w:r>
          <w:rPr>
            <w:webHidden/>
          </w:rPr>
          <w:fldChar w:fldCharType="end"/>
        </w:r>
      </w:hyperlink>
    </w:p>
    <w:p w14:paraId="6A01BD8A" w14:textId="307A08CD" w:rsidR="00067371" w:rsidRDefault="00067371">
      <w:pPr>
        <w:pStyle w:val="TOC3"/>
        <w:rPr>
          <w:rFonts w:asciiTheme="minorHAnsi" w:eastAsiaTheme="minorEastAsia" w:hAnsiTheme="minorHAnsi" w:cstheme="minorBidi"/>
          <w:kern w:val="2"/>
          <w:sz w:val="24"/>
          <w:szCs w:val="24"/>
          <w14:ligatures w14:val="standardContextual"/>
        </w:rPr>
      </w:pPr>
      <w:hyperlink w:anchor="_Toc214283627" w:history="1">
        <w:r w:rsidRPr="008F4954">
          <w:rPr>
            <w:rStyle w:val="Hyperlink"/>
          </w:rPr>
          <w:t>5.38.3</w:t>
        </w:r>
        <w:r>
          <w:rPr>
            <w:rFonts w:asciiTheme="minorHAnsi" w:eastAsiaTheme="minorEastAsia" w:hAnsiTheme="minorHAnsi" w:cstheme="minorBidi"/>
            <w:kern w:val="2"/>
            <w:sz w:val="24"/>
            <w:szCs w:val="24"/>
            <w14:ligatures w14:val="standardContextual"/>
          </w:rPr>
          <w:tab/>
        </w:r>
        <w:r w:rsidRPr="008F4954">
          <w:rPr>
            <w:rStyle w:val="Hyperlink"/>
          </w:rPr>
          <w:t>Scenario Menu Features</w:t>
        </w:r>
        <w:r>
          <w:rPr>
            <w:webHidden/>
          </w:rPr>
          <w:tab/>
        </w:r>
        <w:r>
          <w:rPr>
            <w:webHidden/>
          </w:rPr>
          <w:fldChar w:fldCharType="begin"/>
        </w:r>
        <w:r>
          <w:rPr>
            <w:webHidden/>
          </w:rPr>
          <w:instrText xml:space="preserve"> PAGEREF _Toc214283627 \h </w:instrText>
        </w:r>
        <w:r>
          <w:rPr>
            <w:webHidden/>
          </w:rPr>
        </w:r>
        <w:r>
          <w:rPr>
            <w:webHidden/>
          </w:rPr>
          <w:fldChar w:fldCharType="separate"/>
        </w:r>
        <w:r>
          <w:rPr>
            <w:webHidden/>
          </w:rPr>
          <w:t>883</w:t>
        </w:r>
        <w:r>
          <w:rPr>
            <w:webHidden/>
          </w:rPr>
          <w:fldChar w:fldCharType="end"/>
        </w:r>
      </w:hyperlink>
    </w:p>
    <w:p w14:paraId="5FD1486C" w14:textId="0D071224" w:rsidR="00067371" w:rsidRDefault="00067371">
      <w:pPr>
        <w:pStyle w:val="TOC3"/>
        <w:rPr>
          <w:rFonts w:asciiTheme="minorHAnsi" w:eastAsiaTheme="minorEastAsia" w:hAnsiTheme="minorHAnsi" w:cstheme="minorBidi"/>
          <w:kern w:val="2"/>
          <w:sz w:val="24"/>
          <w:szCs w:val="24"/>
          <w14:ligatures w14:val="standardContextual"/>
        </w:rPr>
      </w:pPr>
      <w:hyperlink w:anchor="_Toc214283628" w:history="1">
        <w:r w:rsidRPr="008F4954">
          <w:rPr>
            <w:rStyle w:val="Hyperlink"/>
          </w:rPr>
          <w:t>5.38.4</w:t>
        </w:r>
        <w:r>
          <w:rPr>
            <w:rFonts w:asciiTheme="minorHAnsi" w:eastAsiaTheme="minorEastAsia" w:hAnsiTheme="minorHAnsi" w:cstheme="minorBidi"/>
            <w:kern w:val="2"/>
            <w:sz w:val="24"/>
            <w:szCs w:val="24"/>
            <w14:ligatures w14:val="standardContextual"/>
          </w:rPr>
          <w:tab/>
        </w:r>
        <w:r w:rsidRPr="008F4954">
          <w:rPr>
            <w:rStyle w:val="Hyperlink"/>
          </w:rPr>
          <w:t>TSRT Historical View</w:t>
        </w:r>
        <w:r>
          <w:rPr>
            <w:webHidden/>
          </w:rPr>
          <w:tab/>
        </w:r>
        <w:r>
          <w:rPr>
            <w:webHidden/>
          </w:rPr>
          <w:fldChar w:fldCharType="begin"/>
        </w:r>
        <w:r>
          <w:rPr>
            <w:webHidden/>
          </w:rPr>
          <w:instrText xml:space="preserve"> PAGEREF _Toc214283628 \h </w:instrText>
        </w:r>
        <w:r>
          <w:rPr>
            <w:webHidden/>
          </w:rPr>
        </w:r>
        <w:r>
          <w:rPr>
            <w:webHidden/>
          </w:rPr>
          <w:fldChar w:fldCharType="separate"/>
        </w:r>
        <w:r>
          <w:rPr>
            <w:webHidden/>
          </w:rPr>
          <w:t>894</w:t>
        </w:r>
        <w:r>
          <w:rPr>
            <w:webHidden/>
          </w:rPr>
          <w:fldChar w:fldCharType="end"/>
        </w:r>
      </w:hyperlink>
    </w:p>
    <w:p w14:paraId="7AD449A6" w14:textId="013E71B6" w:rsidR="00067371" w:rsidRDefault="00067371">
      <w:pPr>
        <w:pStyle w:val="TOC3"/>
        <w:rPr>
          <w:rFonts w:asciiTheme="minorHAnsi" w:eastAsiaTheme="minorEastAsia" w:hAnsiTheme="minorHAnsi" w:cstheme="minorBidi"/>
          <w:kern w:val="2"/>
          <w:sz w:val="24"/>
          <w:szCs w:val="24"/>
          <w14:ligatures w14:val="standardContextual"/>
        </w:rPr>
      </w:pPr>
      <w:hyperlink w:anchor="_Toc214283629" w:history="1">
        <w:r w:rsidRPr="008F4954">
          <w:rPr>
            <w:rStyle w:val="Hyperlink"/>
          </w:rPr>
          <w:t>5.38.5</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_Toc214283629 \h </w:instrText>
        </w:r>
        <w:r>
          <w:rPr>
            <w:webHidden/>
          </w:rPr>
        </w:r>
        <w:r>
          <w:rPr>
            <w:webHidden/>
          </w:rPr>
          <w:fldChar w:fldCharType="separate"/>
        </w:r>
        <w:r>
          <w:rPr>
            <w:webHidden/>
          </w:rPr>
          <w:t>895</w:t>
        </w:r>
        <w:r>
          <w:rPr>
            <w:webHidden/>
          </w:rPr>
          <w:fldChar w:fldCharType="end"/>
        </w:r>
      </w:hyperlink>
    </w:p>
    <w:p w14:paraId="3D1A4D28" w14:textId="48581ACF" w:rsidR="00067371" w:rsidRDefault="00067371">
      <w:pPr>
        <w:pStyle w:val="TOC3"/>
        <w:rPr>
          <w:rFonts w:asciiTheme="minorHAnsi" w:eastAsiaTheme="minorEastAsia" w:hAnsiTheme="minorHAnsi" w:cstheme="minorBidi"/>
          <w:kern w:val="2"/>
          <w:sz w:val="24"/>
          <w:szCs w:val="24"/>
          <w14:ligatures w14:val="standardContextual"/>
        </w:rPr>
      </w:pPr>
      <w:hyperlink w:anchor="_Toc214283630" w:history="1">
        <w:r w:rsidRPr="008F4954">
          <w:rPr>
            <w:rStyle w:val="Hyperlink"/>
          </w:rPr>
          <w:t>5.38.6</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_Toc214283630 \h </w:instrText>
        </w:r>
        <w:r>
          <w:rPr>
            <w:webHidden/>
          </w:rPr>
        </w:r>
        <w:r>
          <w:rPr>
            <w:webHidden/>
          </w:rPr>
          <w:fldChar w:fldCharType="separate"/>
        </w:r>
        <w:r>
          <w:rPr>
            <w:webHidden/>
          </w:rPr>
          <w:t>895</w:t>
        </w:r>
        <w:r>
          <w:rPr>
            <w:webHidden/>
          </w:rPr>
          <w:fldChar w:fldCharType="end"/>
        </w:r>
      </w:hyperlink>
    </w:p>
    <w:p w14:paraId="350EC815" w14:textId="3A7CA98F" w:rsidR="00067371" w:rsidRDefault="00067371">
      <w:pPr>
        <w:pStyle w:val="TOC3"/>
        <w:rPr>
          <w:rFonts w:asciiTheme="minorHAnsi" w:eastAsiaTheme="minorEastAsia" w:hAnsiTheme="minorHAnsi" w:cstheme="minorBidi"/>
          <w:kern w:val="2"/>
          <w:sz w:val="24"/>
          <w:szCs w:val="24"/>
          <w14:ligatures w14:val="standardContextual"/>
        </w:rPr>
      </w:pPr>
      <w:hyperlink w:anchor="_Toc214283631" w:history="1">
        <w:r w:rsidRPr="008F4954">
          <w:rPr>
            <w:rStyle w:val="Hyperlink"/>
          </w:rPr>
          <w:t>5.38.7</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_Toc214283631 \h </w:instrText>
        </w:r>
        <w:r>
          <w:rPr>
            <w:webHidden/>
          </w:rPr>
        </w:r>
        <w:r>
          <w:rPr>
            <w:webHidden/>
          </w:rPr>
          <w:fldChar w:fldCharType="separate"/>
        </w:r>
        <w:r>
          <w:rPr>
            <w:webHidden/>
          </w:rPr>
          <w:t>895</w:t>
        </w:r>
        <w:r>
          <w:rPr>
            <w:webHidden/>
          </w:rPr>
          <w:fldChar w:fldCharType="end"/>
        </w:r>
      </w:hyperlink>
    </w:p>
    <w:p w14:paraId="131E8B39" w14:textId="14FD3F07" w:rsidR="00067371" w:rsidRDefault="00067371">
      <w:pPr>
        <w:pStyle w:val="TOC3"/>
        <w:rPr>
          <w:rFonts w:asciiTheme="minorHAnsi" w:eastAsiaTheme="minorEastAsia" w:hAnsiTheme="minorHAnsi" w:cstheme="minorBidi"/>
          <w:kern w:val="2"/>
          <w:sz w:val="24"/>
          <w:szCs w:val="24"/>
          <w14:ligatures w14:val="standardContextual"/>
        </w:rPr>
      </w:pPr>
      <w:hyperlink w:anchor="_Toc214283632" w:history="1">
        <w:r w:rsidRPr="008F4954">
          <w:rPr>
            <w:rStyle w:val="Hyperlink"/>
          </w:rPr>
          <w:t>5.38.8</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_Toc214283632 \h </w:instrText>
        </w:r>
        <w:r>
          <w:rPr>
            <w:webHidden/>
          </w:rPr>
        </w:r>
        <w:r>
          <w:rPr>
            <w:webHidden/>
          </w:rPr>
          <w:fldChar w:fldCharType="separate"/>
        </w:r>
        <w:r>
          <w:rPr>
            <w:webHidden/>
          </w:rPr>
          <w:t>895</w:t>
        </w:r>
        <w:r>
          <w:rPr>
            <w:webHidden/>
          </w:rPr>
          <w:fldChar w:fldCharType="end"/>
        </w:r>
      </w:hyperlink>
    </w:p>
    <w:p w14:paraId="15CFC906" w14:textId="6FD6E69A" w:rsidR="00067371" w:rsidRDefault="00067371">
      <w:pPr>
        <w:pStyle w:val="TOC3"/>
        <w:rPr>
          <w:rFonts w:asciiTheme="minorHAnsi" w:eastAsiaTheme="minorEastAsia" w:hAnsiTheme="minorHAnsi" w:cstheme="minorBidi"/>
          <w:kern w:val="2"/>
          <w:sz w:val="24"/>
          <w:szCs w:val="24"/>
          <w14:ligatures w14:val="standardContextual"/>
        </w:rPr>
      </w:pPr>
      <w:hyperlink w:anchor="_Toc214283633" w:history="1">
        <w:r w:rsidRPr="008F4954">
          <w:rPr>
            <w:rStyle w:val="Hyperlink"/>
          </w:rPr>
          <w:t>5.38.9</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_Toc214283633 \h </w:instrText>
        </w:r>
        <w:r>
          <w:rPr>
            <w:webHidden/>
          </w:rPr>
        </w:r>
        <w:r>
          <w:rPr>
            <w:webHidden/>
          </w:rPr>
          <w:fldChar w:fldCharType="separate"/>
        </w:r>
        <w:r>
          <w:rPr>
            <w:webHidden/>
          </w:rPr>
          <w:t>895</w:t>
        </w:r>
        <w:r>
          <w:rPr>
            <w:webHidden/>
          </w:rPr>
          <w:fldChar w:fldCharType="end"/>
        </w:r>
      </w:hyperlink>
    </w:p>
    <w:p w14:paraId="5F5FB150" w14:textId="62C867E5" w:rsidR="00067371" w:rsidRDefault="00067371">
      <w:pPr>
        <w:pStyle w:val="TOC3"/>
        <w:rPr>
          <w:rFonts w:asciiTheme="minorHAnsi" w:eastAsiaTheme="minorEastAsia" w:hAnsiTheme="minorHAnsi" w:cstheme="minorBidi"/>
          <w:kern w:val="2"/>
          <w:sz w:val="24"/>
          <w:szCs w:val="24"/>
          <w14:ligatures w14:val="standardContextual"/>
        </w:rPr>
      </w:pPr>
      <w:hyperlink w:anchor="_Toc214283634" w:history="1">
        <w:r w:rsidRPr="008F4954">
          <w:rPr>
            <w:rStyle w:val="Hyperlink"/>
          </w:rPr>
          <w:t>5.38.10</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_Toc214283634 \h </w:instrText>
        </w:r>
        <w:r>
          <w:rPr>
            <w:webHidden/>
          </w:rPr>
        </w:r>
        <w:r>
          <w:rPr>
            <w:webHidden/>
          </w:rPr>
          <w:fldChar w:fldCharType="separate"/>
        </w:r>
        <w:r>
          <w:rPr>
            <w:webHidden/>
          </w:rPr>
          <w:t>895</w:t>
        </w:r>
        <w:r>
          <w:rPr>
            <w:webHidden/>
          </w:rPr>
          <w:fldChar w:fldCharType="end"/>
        </w:r>
      </w:hyperlink>
    </w:p>
    <w:p w14:paraId="7522247F" w14:textId="5C5A7003"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35" w:history="1">
        <w:r w:rsidRPr="008F4954">
          <w:rPr>
            <w:rStyle w:val="Hyperlink"/>
          </w:rPr>
          <w:t>5.39</w:t>
        </w:r>
        <w:r>
          <w:rPr>
            <w:rFonts w:asciiTheme="minorHAnsi" w:eastAsiaTheme="minorEastAsia" w:hAnsiTheme="minorHAnsi" w:cstheme="minorBidi"/>
            <w:smallCaps w:val="0"/>
            <w:kern w:val="2"/>
            <w:szCs w:val="24"/>
            <w14:ligatures w14:val="standardContextual"/>
          </w:rPr>
          <w:tab/>
        </w:r>
        <w:r w:rsidRPr="008F4954">
          <w:rPr>
            <w:rStyle w:val="Hyperlink"/>
          </w:rPr>
          <w:t>CRYPTO TOOL</w:t>
        </w:r>
        <w:r>
          <w:rPr>
            <w:webHidden/>
          </w:rPr>
          <w:tab/>
        </w:r>
        <w:r>
          <w:rPr>
            <w:webHidden/>
          </w:rPr>
          <w:fldChar w:fldCharType="begin"/>
        </w:r>
        <w:r>
          <w:rPr>
            <w:webHidden/>
          </w:rPr>
          <w:instrText xml:space="preserve"> PAGEREF _Toc214283635 \h </w:instrText>
        </w:r>
        <w:r>
          <w:rPr>
            <w:webHidden/>
          </w:rPr>
        </w:r>
        <w:r>
          <w:rPr>
            <w:webHidden/>
          </w:rPr>
          <w:fldChar w:fldCharType="separate"/>
        </w:r>
        <w:r>
          <w:rPr>
            <w:webHidden/>
          </w:rPr>
          <w:t>896</w:t>
        </w:r>
        <w:r>
          <w:rPr>
            <w:webHidden/>
          </w:rPr>
          <w:fldChar w:fldCharType="end"/>
        </w:r>
      </w:hyperlink>
    </w:p>
    <w:p w14:paraId="39DF258E" w14:textId="3FEAE90A" w:rsidR="00067371" w:rsidRDefault="00067371">
      <w:pPr>
        <w:pStyle w:val="TOC3"/>
        <w:rPr>
          <w:rFonts w:asciiTheme="minorHAnsi" w:eastAsiaTheme="minorEastAsia" w:hAnsiTheme="minorHAnsi" w:cstheme="minorBidi"/>
          <w:kern w:val="2"/>
          <w:sz w:val="24"/>
          <w:szCs w:val="24"/>
          <w14:ligatures w14:val="standardContextual"/>
        </w:rPr>
      </w:pPr>
      <w:hyperlink w:anchor="_Toc214283636" w:history="1">
        <w:r w:rsidRPr="008F4954">
          <w:rPr>
            <w:rStyle w:val="Hyperlink"/>
          </w:rPr>
          <w:t>5.39.1</w:t>
        </w:r>
        <w:r>
          <w:rPr>
            <w:rFonts w:asciiTheme="minorHAnsi" w:eastAsiaTheme="minorEastAsia" w:hAnsiTheme="minorHAnsi" w:cstheme="minorBidi"/>
            <w:kern w:val="2"/>
            <w:sz w:val="24"/>
            <w:szCs w:val="24"/>
            <w14:ligatures w14:val="standardContextual"/>
          </w:rPr>
          <w:tab/>
        </w:r>
        <w:r w:rsidRPr="008F4954">
          <w:rPr>
            <w:rStyle w:val="Hyperlink"/>
          </w:rPr>
          <w:t>Create New Crypto Key</w:t>
        </w:r>
        <w:r>
          <w:rPr>
            <w:webHidden/>
          </w:rPr>
          <w:tab/>
        </w:r>
        <w:r>
          <w:rPr>
            <w:webHidden/>
          </w:rPr>
          <w:fldChar w:fldCharType="begin"/>
        </w:r>
        <w:r>
          <w:rPr>
            <w:webHidden/>
          </w:rPr>
          <w:instrText xml:space="preserve"> PAGEREF _Toc214283636 \h </w:instrText>
        </w:r>
        <w:r>
          <w:rPr>
            <w:webHidden/>
          </w:rPr>
        </w:r>
        <w:r>
          <w:rPr>
            <w:webHidden/>
          </w:rPr>
          <w:fldChar w:fldCharType="separate"/>
        </w:r>
        <w:r>
          <w:rPr>
            <w:webHidden/>
          </w:rPr>
          <w:t>897</w:t>
        </w:r>
        <w:r>
          <w:rPr>
            <w:webHidden/>
          </w:rPr>
          <w:fldChar w:fldCharType="end"/>
        </w:r>
      </w:hyperlink>
    </w:p>
    <w:p w14:paraId="40B09785" w14:textId="0382EAD5" w:rsidR="00067371" w:rsidRDefault="00067371">
      <w:pPr>
        <w:pStyle w:val="TOC3"/>
        <w:rPr>
          <w:rFonts w:asciiTheme="minorHAnsi" w:eastAsiaTheme="minorEastAsia" w:hAnsiTheme="minorHAnsi" w:cstheme="minorBidi"/>
          <w:kern w:val="2"/>
          <w:sz w:val="24"/>
          <w:szCs w:val="24"/>
          <w14:ligatures w14:val="standardContextual"/>
        </w:rPr>
      </w:pPr>
      <w:hyperlink w:anchor="_Toc214283637" w:history="1">
        <w:r w:rsidRPr="008F4954">
          <w:rPr>
            <w:rStyle w:val="Hyperlink"/>
          </w:rPr>
          <w:t>5.39.2</w:t>
        </w:r>
        <w:r>
          <w:rPr>
            <w:rFonts w:asciiTheme="minorHAnsi" w:eastAsiaTheme="minorEastAsia" w:hAnsiTheme="minorHAnsi" w:cstheme="minorBidi"/>
            <w:kern w:val="2"/>
            <w:sz w:val="24"/>
            <w:szCs w:val="24"/>
            <w14:ligatures w14:val="standardContextual"/>
          </w:rPr>
          <w:tab/>
        </w:r>
        <w:r w:rsidRPr="008F4954">
          <w:rPr>
            <w:rStyle w:val="Hyperlink"/>
          </w:rPr>
          <w:t>Display Crypto(s) Textually</w:t>
        </w:r>
        <w:r>
          <w:rPr>
            <w:webHidden/>
          </w:rPr>
          <w:tab/>
        </w:r>
        <w:r>
          <w:rPr>
            <w:webHidden/>
          </w:rPr>
          <w:fldChar w:fldCharType="begin"/>
        </w:r>
        <w:r>
          <w:rPr>
            <w:webHidden/>
          </w:rPr>
          <w:instrText xml:space="preserve"> PAGEREF _Toc214283637 \h </w:instrText>
        </w:r>
        <w:r>
          <w:rPr>
            <w:webHidden/>
          </w:rPr>
        </w:r>
        <w:r>
          <w:rPr>
            <w:webHidden/>
          </w:rPr>
          <w:fldChar w:fldCharType="separate"/>
        </w:r>
        <w:r>
          <w:rPr>
            <w:webHidden/>
          </w:rPr>
          <w:t>903</w:t>
        </w:r>
        <w:r>
          <w:rPr>
            <w:webHidden/>
          </w:rPr>
          <w:fldChar w:fldCharType="end"/>
        </w:r>
      </w:hyperlink>
    </w:p>
    <w:p w14:paraId="51B1A879" w14:textId="19F81100" w:rsidR="00067371" w:rsidRDefault="00067371">
      <w:pPr>
        <w:pStyle w:val="TOC3"/>
        <w:rPr>
          <w:rFonts w:asciiTheme="minorHAnsi" w:eastAsiaTheme="minorEastAsia" w:hAnsiTheme="minorHAnsi" w:cstheme="minorBidi"/>
          <w:kern w:val="2"/>
          <w:sz w:val="24"/>
          <w:szCs w:val="24"/>
          <w14:ligatures w14:val="standardContextual"/>
        </w:rPr>
      </w:pPr>
      <w:hyperlink w:anchor="_Toc214283638" w:history="1">
        <w:r w:rsidRPr="008F4954">
          <w:rPr>
            <w:rStyle w:val="Hyperlink"/>
          </w:rPr>
          <w:t>5.39.3</w:t>
        </w:r>
        <w:r>
          <w:rPr>
            <w:rFonts w:asciiTheme="minorHAnsi" w:eastAsiaTheme="minorEastAsia" w:hAnsiTheme="minorHAnsi" w:cstheme="minorBidi"/>
            <w:kern w:val="2"/>
            <w:sz w:val="24"/>
            <w:szCs w:val="24"/>
            <w14:ligatures w14:val="standardContextual"/>
          </w:rPr>
          <w:tab/>
        </w:r>
        <w:r w:rsidRPr="008F4954">
          <w:rPr>
            <w:rStyle w:val="Hyperlink"/>
          </w:rPr>
          <w:t>Delete Crypto(s)</w:t>
        </w:r>
        <w:r>
          <w:rPr>
            <w:webHidden/>
          </w:rPr>
          <w:tab/>
        </w:r>
        <w:r>
          <w:rPr>
            <w:webHidden/>
          </w:rPr>
          <w:fldChar w:fldCharType="begin"/>
        </w:r>
        <w:r>
          <w:rPr>
            <w:webHidden/>
          </w:rPr>
          <w:instrText xml:space="preserve"> PAGEREF _Toc214283638 \h </w:instrText>
        </w:r>
        <w:r>
          <w:rPr>
            <w:webHidden/>
          </w:rPr>
        </w:r>
        <w:r>
          <w:rPr>
            <w:webHidden/>
          </w:rPr>
          <w:fldChar w:fldCharType="separate"/>
        </w:r>
        <w:r>
          <w:rPr>
            <w:webHidden/>
          </w:rPr>
          <w:t>904</w:t>
        </w:r>
        <w:r>
          <w:rPr>
            <w:webHidden/>
          </w:rPr>
          <w:fldChar w:fldCharType="end"/>
        </w:r>
      </w:hyperlink>
    </w:p>
    <w:p w14:paraId="27991E06" w14:textId="07B7A479" w:rsidR="00067371" w:rsidRDefault="00067371">
      <w:pPr>
        <w:pStyle w:val="TOC3"/>
        <w:rPr>
          <w:rFonts w:asciiTheme="minorHAnsi" w:eastAsiaTheme="minorEastAsia" w:hAnsiTheme="minorHAnsi" w:cstheme="minorBidi"/>
          <w:kern w:val="2"/>
          <w:sz w:val="24"/>
          <w:szCs w:val="24"/>
          <w14:ligatures w14:val="standardContextual"/>
        </w:rPr>
      </w:pPr>
      <w:hyperlink w:anchor="_Toc214283639" w:history="1">
        <w:r w:rsidRPr="008F4954">
          <w:rPr>
            <w:rStyle w:val="Hyperlink"/>
          </w:rPr>
          <w:t>5.39.4</w:t>
        </w:r>
        <w:r>
          <w:rPr>
            <w:rFonts w:asciiTheme="minorHAnsi" w:eastAsiaTheme="minorEastAsia" w:hAnsiTheme="minorHAnsi" w:cstheme="minorBidi"/>
            <w:kern w:val="2"/>
            <w:sz w:val="24"/>
            <w:szCs w:val="24"/>
            <w14:ligatures w14:val="standardContextual"/>
          </w:rPr>
          <w:tab/>
        </w:r>
        <w:r w:rsidRPr="008F4954">
          <w:rPr>
            <w:rStyle w:val="Hyperlink"/>
          </w:rPr>
          <w:t>Send Crypto(s)</w:t>
        </w:r>
        <w:r>
          <w:rPr>
            <w:webHidden/>
          </w:rPr>
          <w:tab/>
        </w:r>
        <w:r>
          <w:rPr>
            <w:webHidden/>
          </w:rPr>
          <w:fldChar w:fldCharType="begin"/>
        </w:r>
        <w:r>
          <w:rPr>
            <w:webHidden/>
          </w:rPr>
          <w:instrText xml:space="preserve"> PAGEREF _Toc214283639 \h </w:instrText>
        </w:r>
        <w:r>
          <w:rPr>
            <w:webHidden/>
          </w:rPr>
        </w:r>
        <w:r>
          <w:rPr>
            <w:webHidden/>
          </w:rPr>
          <w:fldChar w:fldCharType="separate"/>
        </w:r>
        <w:r>
          <w:rPr>
            <w:webHidden/>
          </w:rPr>
          <w:t>905</w:t>
        </w:r>
        <w:r>
          <w:rPr>
            <w:webHidden/>
          </w:rPr>
          <w:fldChar w:fldCharType="end"/>
        </w:r>
      </w:hyperlink>
    </w:p>
    <w:p w14:paraId="38218D85" w14:textId="06698D90" w:rsidR="00067371" w:rsidRDefault="00067371">
      <w:pPr>
        <w:pStyle w:val="TOC3"/>
        <w:rPr>
          <w:rFonts w:asciiTheme="minorHAnsi" w:eastAsiaTheme="minorEastAsia" w:hAnsiTheme="minorHAnsi" w:cstheme="minorBidi"/>
          <w:kern w:val="2"/>
          <w:sz w:val="24"/>
          <w:szCs w:val="24"/>
          <w14:ligatures w14:val="standardContextual"/>
        </w:rPr>
      </w:pPr>
      <w:hyperlink w:anchor="_Toc214283640" w:history="1">
        <w:r w:rsidRPr="008F4954">
          <w:rPr>
            <w:rStyle w:val="Hyperlink"/>
          </w:rPr>
          <w:t>5.39.5</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_Toc214283640 \h </w:instrText>
        </w:r>
        <w:r>
          <w:rPr>
            <w:webHidden/>
          </w:rPr>
        </w:r>
        <w:r>
          <w:rPr>
            <w:webHidden/>
          </w:rPr>
          <w:fldChar w:fldCharType="separate"/>
        </w:r>
        <w:r>
          <w:rPr>
            <w:webHidden/>
          </w:rPr>
          <w:t>905</w:t>
        </w:r>
        <w:r>
          <w:rPr>
            <w:webHidden/>
          </w:rPr>
          <w:fldChar w:fldCharType="end"/>
        </w:r>
      </w:hyperlink>
    </w:p>
    <w:p w14:paraId="7A3EE9C6" w14:textId="36863287" w:rsidR="00067371" w:rsidRDefault="00067371">
      <w:pPr>
        <w:pStyle w:val="TOC3"/>
        <w:rPr>
          <w:rFonts w:asciiTheme="minorHAnsi" w:eastAsiaTheme="minorEastAsia" w:hAnsiTheme="minorHAnsi" w:cstheme="minorBidi"/>
          <w:kern w:val="2"/>
          <w:sz w:val="24"/>
          <w:szCs w:val="24"/>
          <w14:ligatures w14:val="standardContextual"/>
        </w:rPr>
      </w:pPr>
      <w:hyperlink w:anchor="_Toc214283641" w:history="1">
        <w:r w:rsidRPr="008F4954">
          <w:rPr>
            <w:rStyle w:val="Hyperlink"/>
          </w:rPr>
          <w:t>5.39.6</w:t>
        </w:r>
        <w:r>
          <w:rPr>
            <w:rFonts w:asciiTheme="minorHAnsi" w:eastAsiaTheme="minorEastAsia" w:hAnsiTheme="minorHAnsi" w:cstheme="minorBidi"/>
            <w:kern w:val="2"/>
            <w:sz w:val="24"/>
            <w:szCs w:val="24"/>
            <w14:ligatures w14:val="standardContextual"/>
          </w:rPr>
          <w:tab/>
        </w:r>
        <w:r w:rsidRPr="008F4954">
          <w:rPr>
            <w:rStyle w:val="Hyperlink"/>
          </w:rPr>
          <w:t>Plugin Tool</w:t>
        </w:r>
        <w:r>
          <w:rPr>
            <w:webHidden/>
          </w:rPr>
          <w:tab/>
        </w:r>
        <w:r>
          <w:rPr>
            <w:webHidden/>
          </w:rPr>
          <w:fldChar w:fldCharType="begin"/>
        </w:r>
        <w:r>
          <w:rPr>
            <w:webHidden/>
          </w:rPr>
          <w:instrText xml:space="preserve"> PAGEREF _Toc214283641 \h </w:instrText>
        </w:r>
        <w:r>
          <w:rPr>
            <w:webHidden/>
          </w:rPr>
        </w:r>
        <w:r>
          <w:rPr>
            <w:webHidden/>
          </w:rPr>
          <w:fldChar w:fldCharType="separate"/>
        </w:r>
        <w:r>
          <w:rPr>
            <w:webHidden/>
          </w:rPr>
          <w:t>905</w:t>
        </w:r>
        <w:r>
          <w:rPr>
            <w:webHidden/>
          </w:rPr>
          <w:fldChar w:fldCharType="end"/>
        </w:r>
      </w:hyperlink>
    </w:p>
    <w:p w14:paraId="5A9B558D" w14:textId="10C286A5" w:rsidR="00067371" w:rsidRDefault="00067371">
      <w:pPr>
        <w:pStyle w:val="TOC3"/>
        <w:rPr>
          <w:rFonts w:asciiTheme="minorHAnsi" w:eastAsiaTheme="minorEastAsia" w:hAnsiTheme="minorHAnsi" w:cstheme="minorBidi"/>
          <w:kern w:val="2"/>
          <w:sz w:val="24"/>
          <w:szCs w:val="24"/>
          <w14:ligatures w14:val="standardContextual"/>
        </w:rPr>
      </w:pPr>
      <w:hyperlink w:anchor="_Toc214283642" w:history="1">
        <w:r w:rsidRPr="008F4954">
          <w:rPr>
            <w:rStyle w:val="Hyperlink"/>
          </w:rPr>
          <w:t>5.39.7</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_Toc214283642 \h </w:instrText>
        </w:r>
        <w:r>
          <w:rPr>
            <w:webHidden/>
          </w:rPr>
        </w:r>
        <w:r>
          <w:rPr>
            <w:webHidden/>
          </w:rPr>
          <w:fldChar w:fldCharType="separate"/>
        </w:r>
        <w:r>
          <w:rPr>
            <w:webHidden/>
          </w:rPr>
          <w:t>905</w:t>
        </w:r>
        <w:r>
          <w:rPr>
            <w:webHidden/>
          </w:rPr>
          <w:fldChar w:fldCharType="end"/>
        </w:r>
      </w:hyperlink>
    </w:p>
    <w:p w14:paraId="142DEF8C" w14:textId="47F6ADBD" w:rsidR="00067371" w:rsidRDefault="00067371">
      <w:pPr>
        <w:pStyle w:val="TOC3"/>
        <w:rPr>
          <w:rFonts w:asciiTheme="minorHAnsi" w:eastAsiaTheme="minorEastAsia" w:hAnsiTheme="minorHAnsi" w:cstheme="minorBidi"/>
          <w:kern w:val="2"/>
          <w:sz w:val="24"/>
          <w:szCs w:val="24"/>
          <w14:ligatures w14:val="standardContextual"/>
        </w:rPr>
      </w:pPr>
      <w:hyperlink w:anchor="_Toc214283643" w:history="1">
        <w:r w:rsidRPr="008F4954">
          <w:rPr>
            <w:rStyle w:val="Hyperlink"/>
          </w:rPr>
          <w:t>5.39.8</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_Toc214283643 \h </w:instrText>
        </w:r>
        <w:r>
          <w:rPr>
            <w:webHidden/>
          </w:rPr>
        </w:r>
        <w:r>
          <w:rPr>
            <w:webHidden/>
          </w:rPr>
          <w:fldChar w:fldCharType="separate"/>
        </w:r>
        <w:r>
          <w:rPr>
            <w:webHidden/>
          </w:rPr>
          <w:t>905</w:t>
        </w:r>
        <w:r>
          <w:rPr>
            <w:webHidden/>
          </w:rPr>
          <w:fldChar w:fldCharType="end"/>
        </w:r>
      </w:hyperlink>
    </w:p>
    <w:p w14:paraId="414B81DC" w14:textId="4665B849" w:rsidR="00067371" w:rsidRDefault="00067371">
      <w:pPr>
        <w:pStyle w:val="TOC3"/>
        <w:rPr>
          <w:rFonts w:asciiTheme="minorHAnsi" w:eastAsiaTheme="minorEastAsia" w:hAnsiTheme="minorHAnsi" w:cstheme="minorBidi"/>
          <w:kern w:val="2"/>
          <w:sz w:val="24"/>
          <w:szCs w:val="24"/>
          <w14:ligatures w14:val="standardContextual"/>
        </w:rPr>
      </w:pPr>
      <w:hyperlink w:anchor="_Toc214283644" w:history="1">
        <w:r w:rsidRPr="008F4954">
          <w:rPr>
            <w:rStyle w:val="Hyperlink"/>
          </w:rPr>
          <w:t>5.39.9</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_Toc214283644 \h </w:instrText>
        </w:r>
        <w:r>
          <w:rPr>
            <w:webHidden/>
          </w:rPr>
        </w:r>
        <w:r>
          <w:rPr>
            <w:webHidden/>
          </w:rPr>
          <w:fldChar w:fldCharType="separate"/>
        </w:r>
        <w:r>
          <w:rPr>
            <w:webHidden/>
          </w:rPr>
          <w:t>905</w:t>
        </w:r>
        <w:r>
          <w:rPr>
            <w:webHidden/>
          </w:rPr>
          <w:fldChar w:fldCharType="end"/>
        </w:r>
      </w:hyperlink>
    </w:p>
    <w:p w14:paraId="08C1B103" w14:textId="20D81BF3" w:rsidR="00067371" w:rsidRDefault="00067371">
      <w:pPr>
        <w:pStyle w:val="TOC3"/>
        <w:rPr>
          <w:rFonts w:asciiTheme="minorHAnsi" w:eastAsiaTheme="minorEastAsia" w:hAnsiTheme="minorHAnsi" w:cstheme="minorBidi"/>
          <w:kern w:val="2"/>
          <w:sz w:val="24"/>
          <w:szCs w:val="24"/>
          <w14:ligatures w14:val="standardContextual"/>
        </w:rPr>
      </w:pPr>
      <w:hyperlink w:anchor="_Toc214283645" w:history="1">
        <w:r w:rsidRPr="008F4954">
          <w:rPr>
            <w:rStyle w:val="Hyperlink"/>
          </w:rPr>
          <w:t>5.39.10</w:t>
        </w:r>
        <w:r>
          <w:rPr>
            <w:rFonts w:asciiTheme="minorHAnsi" w:eastAsiaTheme="minorEastAsia" w:hAnsiTheme="minorHAnsi" w:cstheme="minorBidi"/>
            <w:kern w:val="2"/>
            <w:sz w:val="24"/>
            <w:szCs w:val="24"/>
            <w14:ligatures w14:val="standardContextual"/>
          </w:rPr>
          <w:tab/>
        </w:r>
        <w:r w:rsidRPr="008F4954">
          <w:rPr>
            <w:rStyle w:val="Hyperlink"/>
          </w:rPr>
          <w:t>Display References</w:t>
        </w:r>
        <w:r>
          <w:rPr>
            <w:webHidden/>
          </w:rPr>
          <w:tab/>
        </w:r>
        <w:r>
          <w:rPr>
            <w:webHidden/>
          </w:rPr>
          <w:fldChar w:fldCharType="begin"/>
        </w:r>
        <w:r>
          <w:rPr>
            <w:webHidden/>
          </w:rPr>
          <w:instrText xml:space="preserve"> PAGEREF _Toc214283645 \h </w:instrText>
        </w:r>
        <w:r>
          <w:rPr>
            <w:webHidden/>
          </w:rPr>
        </w:r>
        <w:r>
          <w:rPr>
            <w:webHidden/>
          </w:rPr>
          <w:fldChar w:fldCharType="separate"/>
        </w:r>
        <w:r>
          <w:rPr>
            <w:webHidden/>
          </w:rPr>
          <w:t>905</w:t>
        </w:r>
        <w:r>
          <w:rPr>
            <w:webHidden/>
          </w:rPr>
          <w:fldChar w:fldCharType="end"/>
        </w:r>
      </w:hyperlink>
    </w:p>
    <w:p w14:paraId="09B07CA3" w14:textId="44D6ACA7" w:rsidR="00067371" w:rsidRDefault="00067371">
      <w:pPr>
        <w:pStyle w:val="TOC3"/>
        <w:rPr>
          <w:rFonts w:asciiTheme="minorHAnsi" w:eastAsiaTheme="minorEastAsia" w:hAnsiTheme="minorHAnsi" w:cstheme="minorBidi"/>
          <w:kern w:val="2"/>
          <w:sz w:val="24"/>
          <w:szCs w:val="24"/>
          <w14:ligatures w14:val="standardContextual"/>
        </w:rPr>
      </w:pPr>
      <w:hyperlink w:anchor="_Toc214283646" w:history="1">
        <w:r w:rsidRPr="008F4954">
          <w:rPr>
            <w:rStyle w:val="Hyperlink"/>
          </w:rPr>
          <w:t>5.39.11</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_Toc214283646 \h </w:instrText>
        </w:r>
        <w:r>
          <w:rPr>
            <w:webHidden/>
          </w:rPr>
        </w:r>
        <w:r>
          <w:rPr>
            <w:webHidden/>
          </w:rPr>
          <w:fldChar w:fldCharType="separate"/>
        </w:r>
        <w:r>
          <w:rPr>
            <w:webHidden/>
          </w:rPr>
          <w:t>905</w:t>
        </w:r>
        <w:r>
          <w:rPr>
            <w:webHidden/>
          </w:rPr>
          <w:fldChar w:fldCharType="end"/>
        </w:r>
      </w:hyperlink>
    </w:p>
    <w:p w14:paraId="52AA23B3" w14:textId="71C8FA22" w:rsidR="00067371" w:rsidRDefault="00067371">
      <w:pPr>
        <w:pStyle w:val="TOC3"/>
        <w:rPr>
          <w:rFonts w:asciiTheme="minorHAnsi" w:eastAsiaTheme="minorEastAsia" w:hAnsiTheme="minorHAnsi" w:cstheme="minorBidi"/>
          <w:kern w:val="2"/>
          <w:sz w:val="24"/>
          <w:szCs w:val="24"/>
          <w14:ligatures w14:val="standardContextual"/>
        </w:rPr>
      </w:pPr>
      <w:hyperlink w:anchor="_Toc214283647" w:history="1">
        <w:r w:rsidRPr="008F4954">
          <w:rPr>
            <w:rStyle w:val="Hyperlink"/>
          </w:rPr>
          <w:t>5.39.12</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_Toc214283647 \h </w:instrText>
        </w:r>
        <w:r>
          <w:rPr>
            <w:webHidden/>
          </w:rPr>
        </w:r>
        <w:r>
          <w:rPr>
            <w:webHidden/>
          </w:rPr>
          <w:fldChar w:fldCharType="separate"/>
        </w:r>
        <w:r>
          <w:rPr>
            <w:webHidden/>
          </w:rPr>
          <w:t>905</w:t>
        </w:r>
        <w:r>
          <w:rPr>
            <w:webHidden/>
          </w:rPr>
          <w:fldChar w:fldCharType="end"/>
        </w:r>
      </w:hyperlink>
    </w:p>
    <w:p w14:paraId="6428637D" w14:textId="5B52F5F9" w:rsidR="00067371" w:rsidRDefault="00067371">
      <w:pPr>
        <w:pStyle w:val="TOC3"/>
        <w:rPr>
          <w:rFonts w:asciiTheme="minorHAnsi" w:eastAsiaTheme="minorEastAsia" w:hAnsiTheme="minorHAnsi" w:cstheme="minorBidi"/>
          <w:kern w:val="2"/>
          <w:sz w:val="24"/>
          <w:szCs w:val="24"/>
          <w14:ligatures w14:val="standardContextual"/>
        </w:rPr>
      </w:pPr>
      <w:hyperlink w:anchor="_Toc214283648" w:history="1">
        <w:r w:rsidRPr="008F4954">
          <w:rPr>
            <w:rStyle w:val="Hyperlink"/>
          </w:rPr>
          <w:t>5.39.13</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_Toc214283648 \h </w:instrText>
        </w:r>
        <w:r>
          <w:rPr>
            <w:webHidden/>
          </w:rPr>
        </w:r>
        <w:r>
          <w:rPr>
            <w:webHidden/>
          </w:rPr>
          <w:fldChar w:fldCharType="separate"/>
        </w:r>
        <w:r>
          <w:rPr>
            <w:webHidden/>
          </w:rPr>
          <w:t>905</w:t>
        </w:r>
        <w:r>
          <w:rPr>
            <w:webHidden/>
          </w:rPr>
          <w:fldChar w:fldCharType="end"/>
        </w:r>
      </w:hyperlink>
    </w:p>
    <w:p w14:paraId="7C7DADF7" w14:textId="2E48A07F"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49" w:history="1">
        <w:r w:rsidRPr="008F4954">
          <w:rPr>
            <w:rStyle w:val="Hyperlink"/>
          </w:rPr>
          <w:t>5.40</w:t>
        </w:r>
        <w:r>
          <w:rPr>
            <w:rFonts w:asciiTheme="minorHAnsi" w:eastAsiaTheme="minorEastAsia" w:hAnsiTheme="minorHAnsi" w:cstheme="minorBidi"/>
            <w:smallCaps w:val="0"/>
            <w:kern w:val="2"/>
            <w:szCs w:val="24"/>
            <w14:ligatures w14:val="standardContextual"/>
          </w:rPr>
          <w:tab/>
        </w:r>
        <w:r w:rsidRPr="008F4954">
          <w:rPr>
            <w:rStyle w:val="Hyperlink"/>
          </w:rPr>
          <w:t>AIRSPACE MANAGEMENT TOOL</w:t>
        </w:r>
        <w:r>
          <w:rPr>
            <w:webHidden/>
          </w:rPr>
          <w:tab/>
        </w:r>
        <w:r>
          <w:rPr>
            <w:webHidden/>
          </w:rPr>
          <w:fldChar w:fldCharType="begin"/>
        </w:r>
        <w:r>
          <w:rPr>
            <w:webHidden/>
          </w:rPr>
          <w:instrText xml:space="preserve"> PAGEREF _Toc214283649 \h </w:instrText>
        </w:r>
        <w:r>
          <w:rPr>
            <w:webHidden/>
          </w:rPr>
        </w:r>
        <w:r>
          <w:rPr>
            <w:webHidden/>
          </w:rPr>
          <w:fldChar w:fldCharType="separate"/>
        </w:r>
        <w:r>
          <w:rPr>
            <w:webHidden/>
          </w:rPr>
          <w:t>906</w:t>
        </w:r>
        <w:r>
          <w:rPr>
            <w:webHidden/>
          </w:rPr>
          <w:fldChar w:fldCharType="end"/>
        </w:r>
      </w:hyperlink>
    </w:p>
    <w:p w14:paraId="7C87CAB9" w14:textId="03C0631D" w:rsidR="00067371" w:rsidRDefault="00067371">
      <w:pPr>
        <w:pStyle w:val="TOC3"/>
        <w:rPr>
          <w:rFonts w:asciiTheme="minorHAnsi" w:eastAsiaTheme="minorEastAsia" w:hAnsiTheme="minorHAnsi" w:cstheme="minorBidi"/>
          <w:kern w:val="2"/>
          <w:sz w:val="24"/>
          <w:szCs w:val="24"/>
          <w14:ligatures w14:val="standardContextual"/>
        </w:rPr>
      </w:pPr>
      <w:hyperlink w:anchor="_Toc214283650" w:history="1">
        <w:r w:rsidRPr="008F4954">
          <w:rPr>
            <w:rStyle w:val="Hyperlink"/>
          </w:rPr>
          <w:t>5.40.1</w:t>
        </w:r>
        <w:r>
          <w:rPr>
            <w:rFonts w:asciiTheme="minorHAnsi" w:eastAsiaTheme="minorEastAsia" w:hAnsiTheme="minorHAnsi" w:cstheme="minorBidi"/>
            <w:kern w:val="2"/>
            <w:sz w:val="24"/>
            <w:szCs w:val="24"/>
            <w14:ligatures w14:val="standardContextual"/>
          </w:rPr>
          <w:tab/>
        </w:r>
        <w:r w:rsidRPr="008F4954">
          <w:rPr>
            <w:rStyle w:val="Hyperlink"/>
          </w:rPr>
          <w:t>Airspace Management Menu Options/Tool Bar Buttons</w:t>
        </w:r>
        <w:r>
          <w:rPr>
            <w:webHidden/>
          </w:rPr>
          <w:tab/>
        </w:r>
        <w:r>
          <w:rPr>
            <w:webHidden/>
          </w:rPr>
          <w:fldChar w:fldCharType="begin"/>
        </w:r>
        <w:r>
          <w:rPr>
            <w:webHidden/>
          </w:rPr>
          <w:instrText xml:space="preserve"> PAGEREF _Toc214283650 \h </w:instrText>
        </w:r>
        <w:r>
          <w:rPr>
            <w:webHidden/>
          </w:rPr>
        </w:r>
        <w:r>
          <w:rPr>
            <w:webHidden/>
          </w:rPr>
          <w:fldChar w:fldCharType="separate"/>
        </w:r>
        <w:r>
          <w:rPr>
            <w:webHidden/>
          </w:rPr>
          <w:t>908</w:t>
        </w:r>
        <w:r>
          <w:rPr>
            <w:webHidden/>
          </w:rPr>
          <w:fldChar w:fldCharType="end"/>
        </w:r>
      </w:hyperlink>
    </w:p>
    <w:p w14:paraId="00790DED" w14:textId="4DCCD70D" w:rsidR="00067371" w:rsidRDefault="00067371">
      <w:pPr>
        <w:pStyle w:val="TOC3"/>
        <w:rPr>
          <w:rFonts w:asciiTheme="minorHAnsi" w:eastAsiaTheme="minorEastAsia" w:hAnsiTheme="minorHAnsi" w:cstheme="minorBidi"/>
          <w:kern w:val="2"/>
          <w:sz w:val="24"/>
          <w:szCs w:val="24"/>
          <w14:ligatures w14:val="standardContextual"/>
        </w:rPr>
      </w:pPr>
      <w:hyperlink w:anchor="_Toc214283651" w:history="1">
        <w:r w:rsidRPr="008F4954">
          <w:rPr>
            <w:rStyle w:val="Hyperlink"/>
          </w:rPr>
          <w:t>5.40.2</w:t>
        </w:r>
        <w:r>
          <w:rPr>
            <w:rFonts w:asciiTheme="minorHAnsi" w:eastAsiaTheme="minorEastAsia" w:hAnsiTheme="minorHAnsi" w:cstheme="minorBidi"/>
            <w:kern w:val="2"/>
            <w:sz w:val="24"/>
            <w:szCs w:val="24"/>
            <w14:ligatures w14:val="standardContextual"/>
          </w:rPr>
          <w:tab/>
        </w:r>
        <w:r w:rsidRPr="008F4954">
          <w:rPr>
            <w:rStyle w:val="Hyperlink"/>
          </w:rPr>
          <w:t>Airspace Control Orders (ACOs)</w:t>
        </w:r>
        <w:r>
          <w:rPr>
            <w:webHidden/>
          </w:rPr>
          <w:tab/>
        </w:r>
        <w:r>
          <w:rPr>
            <w:webHidden/>
          </w:rPr>
          <w:fldChar w:fldCharType="begin"/>
        </w:r>
        <w:r>
          <w:rPr>
            <w:webHidden/>
          </w:rPr>
          <w:instrText xml:space="preserve"> PAGEREF _Toc214283651 \h </w:instrText>
        </w:r>
        <w:r>
          <w:rPr>
            <w:webHidden/>
          </w:rPr>
        </w:r>
        <w:r>
          <w:rPr>
            <w:webHidden/>
          </w:rPr>
          <w:fldChar w:fldCharType="separate"/>
        </w:r>
        <w:r>
          <w:rPr>
            <w:webHidden/>
          </w:rPr>
          <w:t>908</w:t>
        </w:r>
        <w:r>
          <w:rPr>
            <w:webHidden/>
          </w:rPr>
          <w:fldChar w:fldCharType="end"/>
        </w:r>
      </w:hyperlink>
    </w:p>
    <w:p w14:paraId="3F17F42C" w14:textId="595D87E0" w:rsidR="00067371" w:rsidRDefault="00067371">
      <w:pPr>
        <w:pStyle w:val="TOC3"/>
        <w:rPr>
          <w:rFonts w:asciiTheme="minorHAnsi" w:eastAsiaTheme="minorEastAsia" w:hAnsiTheme="minorHAnsi" w:cstheme="minorBidi"/>
          <w:kern w:val="2"/>
          <w:sz w:val="24"/>
          <w:szCs w:val="24"/>
          <w14:ligatures w14:val="standardContextual"/>
        </w:rPr>
      </w:pPr>
      <w:hyperlink w:anchor="_Toc214283652" w:history="1">
        <w:r w:rsidRPr="008F4954">
          <w:rPr>
            <w:rStyle w:val="Hyperlink"/>
          </w:rPr>
          <w:t>5.40.3</w:t>
        </w:r>
        <w:r>
          <w:rPr>
            <w:rFonts w:asciiTheme="minorHAnsi" w:eastAsiaTheme="minorEastAsia" w:hAnsiTheme="minorHAnsi" w:cstheme="minorBidi"/>
            <w:kern w:val="2"/>
            <w:sz w:val="24"/>
            <w:szCs w:val="24"/>
            <w14:ligatures w14:val="standardContextual"/>
          </w:rPr>
          <w:tab/>
        </w:r>
        <w:r w:rsidRPr="008F4954">
          <w:rPr>
            <w:rStyle w:val="Hyperlink"/>
          </w:rPr>
          <w:t>Air Plans</w:t>
        </w:r>
        <w:r>
          <w:rPr>
            <w:webHidden/>
          </w:rPr>
          <w:tab/>
        </w:r>
        <w:r>
          <w:rPr>
            <w:webHidden/>
          </w:rPr>
          <w:fldChar w:fldCharType="begin"/>
        </w:r>
        <w:r>
          <w:rPr>
            <w:webHidden/>
          </w:rPr>
          <w:instrText xml:space="preserve"> PAGEREF _Toc214283652 \h </w:instrText>
        </w:r>
        <w:r>
          <w:rPr>
            <w:webHidden/>
          </w:rPr>
        </w:r>
        <w:r>
          <w:rPr>
            <w:webHidden/>
          </w:rPr>
          <w:fldChar w:fldCharType="separate"/>
        </w:r>
        <w:r>
          <w:rPr>
            <w:webHidden/>
          </w:rPr>
          <w:t>910</w:t>
        </w:r>
        <w:r>
          <w:rPr>
            <w:webHidden/>
          </w:rPr>
          <w:fldChar w:fldCharType="end"/>
        </w:r>
      </w:hyperlink>
    </w:p>
    <w:p w14:paraId="14FF02DF" w14:textId="4EF0CD86"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53" w:history="1">
        <w:r w:rsidRPr="008F4954">
          <w:rPr>
            <w:rStyle w:val="Hyperlink"/>
          </w:rPr>
          <w:t>5.41</w:t>
        </w:r>
        <w:r>
          <w:rPr>
            <w:rFonts w:asciiTheme="minorHAnsi" w:eastAsiaTheme="minorEastAsia" w:hAnsiTheme="minorHAnsi" w:cstheme="minorBidi"/>
            <w:smallCaps w:val="0"/>
            <w:kern w:val="2"/>
            <w:szCs w:val="24"/>
            <w14:ligatures w14:val="standardContextual"/>
          </w:rPr>
          <w:tab/>
        </w:r>
        <w:r w:rsidRPr="008F4954">
          <w:rPr>
            <w:rStyle w:val="Hyperlink"/>
          </w:rPr>
          <w:t>TAWS TOOL</w:t>
        </w:r>
        <w:r>
          <w:rPr>
            <w:webHidden/>
          </w:rPr>
          <w:tab/>
        </w:r>
        <w:r>
          <w:rPr>
            <w:webHidden/>
          </w:rPr>
          <w:fldChar w:fldCharType="begin"/>
        </w:r>
        <w:r>
          <w:rPr>
            <w:webHidden/>
          </w:rPr>
          <w:instrText xml:space="preserve"> PAGEREF _Toc214283653 \h </w:instrText>
        </w:r>
        <w:r>
          <w:rPr>
            <w:webHidden/>
          </w:rPr>
        </w:r>
        <w:r>
          <w:rPr>
            <w:webHidden/>
          </w:rPr>
          <w:fldChar w:fldCharType="separate"/>
        </w:r>
        <w:r>
          <w:rPr>
            <w:webHidden/>
          </w:rPr>
          <w:t>919</w:t>
        </w:r>
        <w:r>
          <w:rPr>
            <w:webHidden/>
          </w:rPr>
          <w:fldChar w:fldCharType="end"/>
        </w:r>
      </w:hyperlink>
    </w:p>
    <w:p w14:paraId="161DDD83" w14:textId="0E28B2C0" w:rsidR="00067371" w:rsidRDefault="00067371">
      <w:pPr>
        <w:pStyle w:val="TOC3"/>
        <w:rPr>
          <w:rFonts w:asciiTheme="minorHAnsi" w:eastAsiaTheme="minorEastAsia" w:hAnsiTheme="minorHAnsi" w:cstheme="minorBidi"/>
          <w:kern w:val="2"/>
          <w:sz w:val="24"/>
          <w:szCs w:val="24"/>
          <w14:ligatures w14:val="standardContextual"/>
        </w:rPr>
      </w:pPr>
      <w:hyperlink w:anchor="_Toc214283654" w:history="1">
        <w:r w:rsidRPr="008F4954">
          <w:rPr>
            <w:rStyle w:val="Hyperlink"/>
          </w:rPr>
          <w:t>5.41.1</w:t>
        </w:r>
        <w:r>
          <w:rPr>
            <w:rFonts w:asciiTheme="minorHAnsi" w:eastAsiaTheme="minorEastAsia" w:hAnsiTheme="minorHAnsi" w:cstheme="minorBidi"/>
            <w:kern w:val="2"/>
            <w:sz w:val="24"/>
            <w:szCs w:val="24"/>
            <w14:ligatures w14:val="standardContextual"/>
          </w:rPr>
          <w:tab/>
        </w:r>
        <w:r w:rsidRPr="008F4954">
          <w:rPr>
            <w:rStyle w:val="Hyperlink"/>
          </w:rPr>
          <w:t>Display Textually</w:t>
        </w:r>
        <w:r>
          <w:rPr>
            <w:webHidden/>
          </w:rPr>
          <w:tab/>
        </w:r>
        <w:r>
          <w:rPr>
            <w:webHidden/>
          </w:rPr>
          <w:fldChar w:fldCharType="begin"/>
        </w:r>
        <w:r>
          <w:rPr>
            <w:webHidden/>
          </w:rPr>
          <w:instrText xml:space="preserve"> PAGEREF _Toc214283654 \h </w:instrText>
        </w:r>
        <w:r>
          <w:rPr>
            <w:webHidden/>
          </w:rPr>
        </w:r>
        <w:r>
          <w:rPr>
            <w:webHidden/>
          </w:rPr>
          <w:fldChar w:fldCharType="separate"/>
        </w:r>
        <w:r>
          <w:rPr>
            <w:webHidden/>
          </w:rPr>
          <w:t>920</w:t>
        </w:r>
        <w:r>
          <w:rPr>
            <w:webHidden/>
          </w:rPr>
          <w:fldChar w:fldCharType="end"/>
        </w:r>
      </w:hyperlink>
    </w:p>
    <w:p w14:paraId="12C79C6C" w14:textId="1AF85D09" w:rsidR="00067371" w:rsidRDefault="00067371">
      <w:pPr>
        <w:pStyle w:val="TOC3"/>
        <w:rPr>
          <w:rFonts w:asciiTheme="minorHAnsi" w:eastAsiaTheme="minorEastAsia" w:hAnsiTheme="minorHAnsi" w:cstheme="minorBidi"/>
          <w:kern w:val="2"/>
          <w:sz w:val="24"/>
          <w:szCs w:val="24"/>
          <w14:ligatures w14:val="standardContextual"/>
        </w:rPr>
      </w:pPr>
      <w:hyperlink w:anchor="_Toc214283655" w:history="1">
        <w:r w:rsidRPr="008F4954">
          <w:rPr>
            <w:rStyle w:val="Hyperlink"/>
          </w:rPr>
          <w:t>5.41.2</w:t>
        </w:r>
        <w:r>
          <w:rPr>
            <w:rFonts w:asciiTheme="minorHAnsi" w:eastAsiaTheme="minorEastAsia" w:hAnsiTheme="minorHAnsi" w:cstheme="minorBidi"/>
            <w:kern w:val="2"/>
            <w:sz w:val="24"/>
            <w:szCs w:val="24"/>
            <w14:ligatures w14:val="standardContextual"/>
          </w:rPr>
          <w:tab/>
        </w:r>
        <w:r w:rsidRPr="008F4954">
          <w:rPr>
            <w:rStyle w:val="Hyperlink"/>
          </w:rPr>
          <w:t>Create Target</w:t>
        </w:r>
        <w:r>
          <w:rPr>
            <w:webHidden/>
          </w:rPr>
          <w:tab/>
        </w:r>
        <w:r>
          <w:rPr>
            <w:webHidden/>
          </w:rPr>
          <w:fldChar w:fldCharType="begin"/>
        </w:r>
        <w:r>
          <w:rPr>
            <w:webHidden/>
          </w:rPr>
          <w:instrText xml:space="preserve"> PAGEREF _Toc214283655 \h </w:instrText>
        </w:r>
        <w:r>
          <w:rPr>
            <w:webHidden/>
          </w:rPr>
        </w:r>
        <w:r>
          <w:rPr>
            <w:webHidden/>
          </w:rPr>
          <w:fldChar w:fldCharType="separate"/>
        </w:r>
        <w:r>
          <w:rPr>
            <w:webHidden/>
          </w:rPr>
          <w:t>921</w:t>
        </w:r>
        <w:r>
          <w:rPr>
            <w:webHidden/>
          </w:rPr>
          <w:fldChar w:fldCharType="end"/>
        </w:r>
      </w:hyperlink>
    </w:p>
    <w:p w14:paraId="0EC886B2" w14:textId="7284C8BF" w:rsidR="00067371" w:rsidRDefault="00067371">
      <w:pPr>
        <w:pStyle w:val="TOC3"/>
        <w:rPr>
          <w:rFonts w:asciiTheme="minorHAnsi" w:eastAsiaTheme="minorEastAsia" w:hAnsiTheme="minorHAnsi" w:cstheme="minorBidi"/>
          <w:kern w:val="2"/>
          <w:sz w:val="24"/>
          <w:szCs w:val="24"/>
          <w14:ligatures w14:val="standardContextual"/>
        </w:rPr>
      </w:pPr>
      <w:hyperlink w:anchor="_Toc214283656" w:history="1">
        <w:r w:rsidRPr="008F4954">
          <w:rPr>
            <w:rStyle w:val="Hyperlink"/>
          </w:rPr>
          <w:t>5.41.3</w:t>
        </w:r>
        <w:r>
          <w:rPr>
            <w:rFonts w:asciiTheme="minorHAnsi" w:eastAsiaTheme="minorEastAsia" w:hAnsiTheme="minorHAnsi" w:cstheme="minorBidi"/>
            <w:kern w:val="2"/>
            <w:sz w:val="24"/>
            <w:szCs w:val="24"/>
            <w14:ligatures w14:val="standardContextual"/>
          </w:rPr>
          <w:tab/>
        </w:r>
        <w:r w:rsidRPr="008F4954">
          <w:rPr>
            <w:rStyle w:val="Hyperlink"/>
          </w:rPr>
          <w:t>Create TMPR</w:t>
        </w:r>
        <w:r>
          <w:rPr>
            <w:webHidden/>
          </w:rPr>
          <w:tab/>
        </w:r>
        <w:r>
          <w:rPr>
            <w:webHidden/>
          </w:rPr>
          <w:fldChar w:fldCharType="begin"/>
        </w:r>
        <w:r>
          <w:rPr>
            <w:webHidden/>
          </w:rPr>
          <w:instrText xml:space="preserve"> PAGEREF _Toc214283656 \h </w:instrText>
        </w:r>
        <w:r>
          <w:rPr>
            <w:webHidden/>
          </w:rPr>
        </w:r>
        <w:r>
          <w:rPr>
            <w:webHidden/>
          </w:rPr>
          <w:fldChar w:fldCharType="separate"/>
        </w:r>
        <w:r>
          <w:rPr>
            <w:webHidden/>
          </w:rPr>
          <w:t>922</w:t>
        </w:r>
        <w:r>
          <w:rPr>
            <w:webHidden/>
          </w:rPr>
          <w:fldChar w:fldCharType="end"/>
        </w:r>
      </w:hyperlink>
    </w:p>
    <w:p w14:paraId="3DE41BA1" w14:textId="4C7B2F01" w:rsidR="00067371" w:rsidRDefault="00067371">
      <w:pPr>
        <w:pStyle w:val="TOC3"/>
        <w:rPr>
          <w:rFonts w:asciiTheme="minorHAnsi" w:eastAsiaTheme="minorEastAsia" w:hAnsiTheme="minorHAnsi" w:cstheme="minorBidi"/>
          <w:kern w:val="2"/>
          <w:sz w:val="24"/>
          <w:szCs w:val="24"/>
          <w14:ligatures w14:val="standardContextual"/>
        </w:rPr>
      </w:pPr>
      <w:hyperlink w:anchor="_Toc214283657" w:history="1">
        <w:r w:rsidRPr="008F4954">
          <w:rPr>
            <w:rStyle w:val="Hyperlink"/>
          </w:rPr>
          <w:t>5.41.4</w:t>
        </w:r>
        <w:r>
          <w:rPr>
            <w:rFonts w:asciiTheme="minorHAnsi" w:eastAsiaTheme="minorEastAsia" w:hAnsiTheme="minorHAnsi" w:cstheme="minorBidi"/>
            <w:kern w:val="2"/>
            <w:sz w:val="24"/>
            <w:szCs w:val="24"/>
            <w14:ligatures w14:val="standardContextual"/>
          </w:rPr>
          <w:tab/>
        </w:r>
        <w:r w:rsidRPr="008F4954">
          <w:rPr>
            <w:rStyle w:val="Hyperlink"/>
          </w:rPr>
          <w:t>Create TED Library</w:t>
        </w:r>
        <w:r>
          <w:rPr>
            <w:webHidden/>
          </w:rPr>
          <w:tab/>
        </w:r>
        <w:r>
          <w:rPr>
            <w:webHidden/>
          </w:rPr>
          <w:fldChar w:fldCharType="begin"/>
        </w:r>
        <w:r>
          <w:rPr>
            <w:webHidden/>
          </w:rPr>
          <w:instrText xml:space="preserve"> PAGEREF _Toc214283657 \h </w:instrText>
        </w:r>
        <w:r>
          <w:rPr>
            <w:webHidden/>
          </w:rPr>
        </w:r>
        <w:r>
          <w:rPr>
            <w:webHidden/>
          </w:rPr>
          <w:fldChar w:fldCharType="separate"/>
        </w:r>
        <w:r>
          <w:rPr>
            <w:webHidden/>
          </w:rPr>
          <w:t>922</w:t>
        </w:r>
        <w:r>
          <w:rPr>
            <w:webHidden/>
          </w:rPr>
          <w:fldChar w:fldCharType="end"/>
        </w:r>
      </w:hyperlink>
    </w:p>
    <w:p w14:paraId="7304B578" w14:textId="6D6935DA" w:rsidR="00067371" w:rsidRDefault="00067371">
      <w:pPr>
        <w:pStyle w:val="TOC3"/>
        <w:rPr>
          <w:rFonts w:asciiTheme="minorHAnsi" w:eastAsiaTheme="minorEastAsia" w:hAnsiTheme="minorHAnsi" w:cstheme="minorBidi"/>
          <w:kern w:val="2"/>
          <w:sz w:val="24"/>
          <w:szCs w:val="24"/>
          <w14:ligatures w14:val="standardContextual"/>
        </w:rPr>
      </w:pPr>
      <w:hyperlink w:anchor="_Toc214283658" w:history="1">
        <w:r w:rsidRPr="008F4954">
          <w:rPr>
            <w:rStyle w:val="Hyperlink"/>
          </w:rPr>
          <w:t>5.41.5</w:t>
        </w:r>
        <w:r>
          <w:rPr>
            <w:rFonts w:asciiTheme="minorHAnsi" w:eastAsiaTheme="minorEastAsia" w:hAnsiTheme="minorHAnsi" w:cstheme="minorBidi"/>
            <w:kern w:val="2"/>
            <w:sz w:val="24"/>
            <w:szCs w:val="24"/>
            <w14:ligatures w14:val="standardContextual"/>
          </w:rPr>
          <w:tab/>
        </w:r>
        <w:r w:rsidRPr="008F4954">
          <w:rPr>
            <w:rStyle w:val="Hyperlink"/>
          </w:rPr>
          <w:t>Display All in Excel</w:t>
        </w:r>
        <w:r>
          <w:rPr>
            <w:webHidden/>
          </w:rPr>
          <w:tab/>
        </w:r>
        <w:r>
          <w:rPr>
            <w:webHidden/>
          </w:rPr>
          <w:fldChar w:fldCharType="begin"/>
        </w:r>
        <w:r>
          <w:rPr>
            <w:webHidden/>
          </w:rPr>
          <w:instrText xml:space="preserve"> PAGEREF _Toc214283658 \h </w:instrText>
        </w:r>
        <w:r>
          <w:rPr>
            <w:webHidden/>
          </w:rPr>
        </w:r>
        <w:r>
          <w:rPr>
            <w:webHidden/>
          </w:rPr>
          <w:fldChar w:fldCharType="separate"/>
        </w:r>
        <w:r>
          <w:rPr>
            <w:webHidden/>
          </w:rPr>
          <w:t>923</w:t>
        </w:r>
        <w:r>
          <w:rPr>
            <w:webHidden/>
          </w:rPr>
          <w:fldChar w:fldCharType="end"/>
        </w:r>
      </w:hyperlink>
    </w:p>
    <w:p w14:paraId="16B2AF76" w14:textId="5E86712F" w:rsidR="00067371" w:rsidRDefault="00067371">
      <w:pPr>
        <w:pStyle w:val="TOC3"/>
        <w:rPr>
          <w:rFonts w:asciiTheme="minorHAnsi" w:eastAsiaTheme="minorEastAsia" w:hAnsiTheme="minorHAnsi" w:cstheme="minorBidi"/>
          <w:kern w:val="2"/>
          <w:sz w:val="24"/>
          <w:szCs w:val="24"/>
          <w14:ligatures w14:val="standardContextual"/>
        </w:rPr>
      </w:pPr>
      <w:hyperlink w:anchor="_Toc214283659" w:history="1">
        <w:r w:rsidRPr="008F4954">
          <w:rPr>
            <w:rStyle w:val="Hyperlink"/>
          </w:rPr>
          <w:t>5.41.6</w:t>
        </w:r>
        <w:r>
          <w:rPr>
            <w:rFonts w:asciiTheme="minorHAnsi" w:eastAsiaTheme="minorEastAsia" w:hAnsiTheme="minorHAnsi" w:cstheme="minorBidi"/>
            <w:kern w:val="2"/>
            <w:sz w:val="24"/>
            <w:szCs w:val="24"/>
            <w14:ligatures w14:val="standardContextual"/>
          </w:rPr>
          <w:tab/>
        </w:r>
        <w:r w:rsidRPr="008F4954">
          <w:rPr>
            <w:rStyle w:val="Hyperlink"/>
          </w:rPr>
          <w:t>Send</w:t>
        </w:r>
        <w:r>
          <w:rPr>
            <w:webHidden/>
          </w:rPr>
          <w:tab/>
        </w:r>
        <w:r>
          <w:rPr>
            <w:webHidden/>
          </w:rPr>
          <w:fldChar w:fldCharType="begin"/>
        </w:r>
        <w:r>
          <w:rPr>
            <w:webHidden/>
          </w:rPr>
          <w:instrText xml:space="preserve"> PAGEREF _Toc214283659 \h </w:instrText>
        </w:r>
        <w:r>
          <w:rPr>
            <w:webHidden/>
          </w:rPr>
        </w:r>
        <w:r>
          <w:rPr>
            <w:webHidden/>
          </w:rPr>
          <w:fldChar w:fldCharType="separate"/>
        </w:r>
        <w:r>
          <w:rPr>
            <w:webHidden/>
          </w:rPr>
          <w:t>923</w:t>
        </w:r>
        <w:r>
          <w:rPr>
            <w:webHidden/>
          </w:rPr>
          <w:fldChar w:fldCharType="end"/>
        </w:r>
      </w:hyperlink>
    </w:p>
    <w:p w14:paraId="600206E0" w14:textId="2DBBE9FE" w:rsidR="00067371" w:rsidRDefault="00067371">
      <w:pPr>
        <w:pStyle w:val="TOC3"/>
        <w:rPr>
          <w:rFonts w:asciiTheme="minorHAnsi" w:eastAsiaTheme="minorEastAsia" w:hAnsiTheme="minorHAnsi" w:cstheme="minorBidi"/>
          <w:kern w:val="2"/>
          <w:sz w:val="24"/>
          <w:szCs w:val="24"/>
          <w14:ligatures w14:val="standardContextual"/>
        </w:rPr>
      </w:pPr>
      <w:hyperlink w:anchor="_Toc214283660" w:history="1">
        <w:r w:rsidRPr="008F4954">
          <w:rPr>
            <w:rStyle w:val="Hyperlink"/>
          </w:rPr>
          <w:t>5.41.7</w:t>
        </w:r>
        <w:r>
          <w:rPr>
            <w:rFonts w:asciiTheme="minorHAnsi" w:eastAsiaTheme="minorEastAsia" w:hAnsiTheme="minorHAnsi" w:cstheme="minorBidi"/>
            <w:kern w:val="2"/>
            <w:sz w:val="24"/>
            <w:szCs w:val="24"/>
            <w14:ligatures w14:val="standardContextual"/>
          </w:rPr>
          <w:tab/>
        </w:r>
        <w:r w:rsidRPr="008F4954">
          <w:rPr>
            <w:rStyle w:val="Hyperlink"/>
          </w:rPr>
          <w:t>Print All</w:t>
        </w:r>
        <w:r>
          <w:rPr>
            <w:webHidden/>
          </w:rPr>
          <w:tab/>
        </w:r>
        <w:r>
          <w:rPr>
            <w:webHidden/>
          </w:rPr>
          <w:fldChar w:fldCharType="begin"/>
        </w:r>
        <w:r>
          <w:rPr>
            <w:webHidden/>
          </w:rPr>
          <w:instrText xml:space="preserve"> PAGEREF _Toc214283660 \h </w:instrText>
        </w:r>
        <w:r>
          <w:rPr>
            <w:webHidden/>
          </w:rPr>
        </w:r>
        <w:r>
          <w:rPr>
            <w:webHidden/>
          </w:rPr>
          <w:fldChar w:fldCharType="separate"/>
        </w:r>
        <w:r>
          <w:rPr>
            <w:webHidden/>
          </w:rPr>
          <w:t>923</w:t>
        </w:r>
        <w:r>
          <w:rPr>
            <w:webHidden/>
          </w:rPr>
          <w:fldChar w:fldCharType="end"/>
        </w:r>
      </w:hyperlink>
    </w:p>
    <w:p w14:paraId="48CEA461" w14:textId="019C8E19" w:rsidR="00067371" w:rsidRDefault="00067371">
      <w:pPr>
        <w:pStyle w:val="TOC3"/>
        <w:rPr>
          <w:rFonts w:asciiTheme="minorHAnsi" w:eastAsiaTheme="minorEastAsia" w:hAnsiTheme="minorHAnsi" w:cstheme="minorBidi"/>
          <w:kern w:val="2"/>
          <w:sz w:val="24"/>
          <w:szCs w:val="24"/>
          <w14:ligatures w14:val="standardContextual"/>
        </w:rPr>
      </w:pPr>
      <w:hyperlink w:anchor="_Toc214283661" w:history="1">
        <w:r w:rsidRPr="008F4954">
          <w:rPr>
            <w:rStyle w:val="Hyperlink"/>
          </w:rPr>
          <w:t>5.41.8</w:t>
        </w:r>
        <w:r>
          <w:rPr>
            <w:rFonts w:asciiTheme="minorHAnsi" w:eastAsiaTheme="minorEastAsia" w:hAnsiTheme="minorHAnsi" w:cstheme="minorBidi"/>
            <w:kern w:val="2"/>
            <w:sz w:val="24"/>
            <w:szCs w:val="24"/>
            <w14:ligatures w14:val="standardContextual"/>
          </w:rPr>
          <w:tab/>
        </w:r>
        <w:r w:rsidRPr="008F4954">
          <w:rPr>
            <w:rStyle w:val="Hyperlink"/>
          </w:rPr>
          <w:t>Delete</w:t>
        </w:r>
        <w:r>
          <w:rPr>
            <w:webHidden/>
          </w:rPr>
          <w:tab/>
        </w:r>
        <w:r>
          <w:rPr>
            <w:webHidden/>
          </w:rPr>
          <w:fldChar w:fldCharType="begin"/>
        </w:r>
        <w:r>
          <w:rPr>
            <w:webHidden/>
          </w:rPr>
          <w:instrText xml:space="preserve"> PAGEREF _Toc214283661 \h </w:instrText>
        </w:r>
        <w:r>
          <w:rPr>
            <w:webHidden/>
          </w:rPr>
        </w:r>
        <w:r>
          <w:rPr>
            <w:webHidden/>
          </w:rPr>
          <w:fldChar w:fldCharType="separate"/>
        </w:r>
        <w:r>
          <w:rPr>
            <w:webHidden/>
          </w:rPr>
          <w:t>923</w:t>
        </w:r>
        <w:r>
          <w:rPr>
            <w:webHidden/>
          </w:rPr>
          <w:fldChar w:fldCharType="end"/>
        </w:r>
      </w:hyperlink>
    </w:p>
    <w:p w14:paraId="3A84F162" w14:textId="29734286" w:rsidR="00067371" w:rsidRDefault="00067371">
      <w:pPr>
        <w:pStyle w:val="TOC3"/>
        <w:rPr>
          <w:rFonts w:asciiTheme="minorHAnsi" w:eastAsiaTheme="minorEastAsia" w:hAnsiTheme="minorHAnsi" w:cstheme="minorBidi"/>
          <w:kern w:val="2"/>
          <w:sz w:val="24"/>
          <w:szCs w:val="24"/>
          <w14:ligatures w14:val="standardContextual"/>
        </w:rPr>
      </w:pPr>
      <w:hyperlink w:anchor="_Toc214283662" w:history="1">
        <w:r w:rsidRPr="008F4954">
          <w:rPr>
            <w:rStyle w:val="Hyperlink"/>
          </w:rPr>
          <w:t>5.41.9</w:t>
        </w:r>
        <w:r>
          <w:rPr>
            <w:rFonts w:asciiTheme="minorHAnsi" w:eastAsiaTheme="minorEastAsia" w:hAnsiTheme="minorHAnsi" w:cstheme="minorBidi"/>
            <w:kern w:val="2"/>
            <w:sz w:val="24"/>
            <w:szCs w:val="24"/>
            <w14:ligatures w14:val="standardContextual"/>
          </w:rPr>
          <w:tab/>
        </w:r>
        <w:r w:rsidRPr="008F4954">
          <w:rPr>
            <w:rStyle w:val="Hyperlink"/>
          </w:rPr>
          <w:t>Receive File</w:t>
        </w:r>
        <w:r>
          <w:rPr>
            <w:webHidden/>
          </w:rPr>
          <w:tab/>
        </w:r>
        <w:r>
          <w:rPr>
            <w:webHidden/>
          </w:rPr>
          <w:fldChar w:fldCharType="begin"/>
        </w:r>
        <w:r>
          <w:rPr>
            <w:webHidden/>
          </w:rPr>
          <w:instrText xml:space="preserve"> PAGEREF _Toc214283662 \h </w:instrText>
        </w:r>
        <w:r>
          <w:rPr>
            <w:webHidden/>
          </w:rPr>
        </w:r>
        <w:r>
          <w:rPr>
            <w:webHidden/>
          </w:rPr>
          <w:fldChar w:fldCharType="separate"/>
        </w:r>
        <w:r>
          <w:rPr>
            <w:webHidden/>
          </w:rPr>
          <w:t>923</w:t>
        </w:r>
        <w:r>
          <w:rPr>
            <w:webHidden/>
          </w:rPr>
          <w:fldChar w:fldCharType="end"/>
        </w:r>
      </w:hyperlink>
    </w:p>
    <w:p w14:paraId="192D15C5" w14:textId="3887A04D" w:rsidR="00067371" w:rsidRDefault="00067371">
      <w:pPr>
        <w:pStyle w:val="TOC3"/>
        <w:rPr>
          <w:rFonts w:asciiTheme="minorHAnsi" w:eastAsiaTheme="minorEastAsia" w:hAnsiTheme="minorHAnsi" w:cstheme="minorBidi"/>
          <w:kern w:val="2"/>
          <w:sz w:val="24"/>
          <w:szCs w:val="24"/>
          <w14:ligatures w14:val="standardContextual"/>
        </w:rPr>
      </w:pPr>
      <w:hyperlink w:anchor="_Toc214283663" w:history="1">
        <w:r w:rsidRPr="008F4954">
          <w:rPr>
            <w:rStyle w:val="Hyperlink"/>
          </w:rPr>
          <w:t>5.41.10</w:t>
        </w:r>
        <w:r>
          <w:rPr>
            <w:rFonts w:asciiTheme="minorHAnsi" w:eastAsiaTheme="minorEastAsia" w:hAnsiTheme="minorHAnsi" w:cstheme="minorBidi"/>
            <w:kern w:val="2"/>
            <w:sz w:val="24"/>
            <w:szCs w:val="24"/>
            <w14:ligatures w14:val="standardContextual"/>
          </w:rPr>
          <w:tab/>
        </w:r>
        <w:r w:rsidRPr="008F4954">
          <w:rPr>
            <w:rStyle w:val="Hyperlink"/>
          </w:rPr>
          <w:t>Find</w:t>
        </w:r>
        <w:r>
          <w:rPr>
            <w:webHidden/>
          </w:rPr>
          <w:tab/>
        </w:r>
        <w:r>
          <w:rPr>
            <w:webHidden/>
          </w:rPr>
          <w:fldChar w:fldCharType="begin"/>
        </w:r>
        <w:r>
          <w:rPr>
            <w:webHidden/>
          </w:rPr>
          <w:instrText xml:space="preserve"> PAGEREF _Toc214283663 \h </w:instrText>
        </w:r>
        <w:r>
          <w:rPr>
            <w:webHidden/>
          </w:rPr>
        </w:r>
        <w:r>
          <w:rPr>
            <w:webHidden/>
          </w:rPr>
          <w:fldChar w:fldCharType="separate"/>
        </w:r>
        <w:r>
          <w:rPr>
            <w:webHidden/>
          </w:rPr>
          <w:t>923</w:t>
        </w:r>
        <w:r>
          <w:rPr>
            <w:webHidden/>
          </w:rPr>
          <w:fldChar w:fldCharType="end"/>
        </w:r>
      </w:hyperlink>
    </w:p>
    <w:p w14:paraId="71A8DFE2" w14:textId="7664C813" w:rsidR="00067371" w:rsidRDefault="00067371">
      <w:pPr>
        <w:pStyle w:val="TOC3"/>
        <w:rPr>
          <w:rFonts w:asciiTheme="minorHAnsi" w:eastAsiaTheme="minorEastAsia" w:hAnsiTheme="minorHAnsi" w:cstheme="minorBidi"/>
          <w:kern w:val="2"/>
          <w:sz w:val="24"/>
          <w:szCs w:val="24"/>
          <w14:ligatures w14:val="standardContextual"/>
        </w:rPr>
      </w:pPr>
      <w:hyperlink w:anchor="_Toc214283664" w:history="1">
        <w:r w:rsidRPr="008F4954">
          <w:rPr>
            <w:rStyle w:val="Hyperlink"/>
          </w:rPr>
          <w:t>5.41.11</w:t>
        </w:r>
        <w:r>
          <w:rPr>
            <w:rFonts w:asciiTheme="minorHAnsi" w:eastAsiaTheme="minorEastAsia" w:hAnsiTheme="minorHAnsi" w:cstheme="minorBidi"/>
            <w:kern w:val="2"/>
            <w:sz w:val="24"/>
            <w:szCs w:val="24"/>
            <w14:ligatures w14:val="standardContextual"/>
          </w:rPr>
          <w:tab/>
        </w:r>
        <w:r w:rsidRPr="008F4954">
          <w:rPr>
            <w:rStyle w:val="Hyperlink"/>
          </w:rPr>
          <w:t>Select All</w:t>
        </w:r>
        <w:r>
          <w:rPr>
            <w:webHidden/>
          </w:rPr>
          <w:tab/>
        </w:r>
        <w:r>
          <w:rPr>
            <w:webHidden/>
          </w:rPr>
          <w:fldChar w:fldCharType="begin"/>
        </w:r>
        <w:r>
          <w:rPr>
            <w:webHidden/>
          </w:rPr>
          <w:instrText xml:space="preserve"> PAGEREF _Toc214283664 \h </w:instrText>
        </w:r>
        <w:r>
          <w:rPr>
            <w:webHidden/>
          </w:rPr>
        </w:r>
        <w:r>
          <w:rPr>
            <w:webHidden/>
          </w:rPr>
          <w:fldChar w:fldCharType="separate"/>
        </w:r>
        <w:r>
          <w:rPr>
            <w:webHidden/>
          </w:rPr>
          <w:t>923</w:t>
        </w:r>
        <w:r>
          <w:rPr>
            <w:webHidden/>
          </w:rPr>
          <w:fldChar w:fldCharType="end"/>
        </w:r>
      </w:hyperlink>
    </w:p>
    <w:p w14:paraId="76A1DF94" w14:textId="5E30C1CC" w:rsidR="00067371" w:rsidRDefault="00067371">
      <w:pPr>
        <w:pStyle w:val="TOC3"/>
        <w:rPr>
          <w:rFonts w:asciiTheme="minorHAnsi" w:eastAsiaTheme="minorEastAsia" w:hAnsiTheme="minorHAnsi" w:cstheme="minorBidi"/>
          <w:kern w:val="2"/>
          <w:sz w:val="24"/>
          <w:szCs w:val="24"/>
          <w14:ligatures w14:val="standardContextual"/>
        </w:rPr>
      </w:pPr>
      <w:hyperlink w:anchor="_Toc214283665" w:history="1">
        <w:r w:rsidRPr="008F4954">
          <w:rPr>
            <w:rStyle w:val="Hyperlink"/>
          </w:rPr>
          <w:t>5.41.12</w:t>
        </w:r>
        <w:r>
          <w:rPr>
            <w:rFonts w:asciiTheme="minorHAnsi" w:eastAsiaTheme="minorEastAsia" w:hAnsiTheme="minorHAnsi" w:cstheme="minorBidi"/>
            <w:kern w:val="2"/>
            <w:sz w:val="24"/>
            <w:szCs w:val="24"/>
            <w14:ligatures w14:val="standardContextual"/>
          </w:rPr>
          <w:tab/>
        </w:r>
        <w:r w:rsidRPr="008F4954">
          <w:rPr>
            <w:rStyle w:val="Hyperlink"/>
          </w:rPr>
          <w:t>Properties</w:t>
        </w:r>
        <w:r>
          <w:rPr>
            <w:webHidden/>
          </w:rPr>
          <w:tab/>
        </w:r>
        <w:r>
          <w:rPr>
            <w:webHidden/>
          </w:rPr>
          <w:fldChar w:fldCharType="begin"/>
        </w:r>
        <w:r>
          <w:rPr>
            <w:webHidden/>
          </w:rPr>
          <w:instrText xml:space="preserve"> PAGEREF _Toc214283665 \h </w:instrText>
        </w:r>
        <w:r>
          <w:rPr>
            <w:webHidden/>
          </w:rPr>
        </w:r>
        <w:r>
          <w:rPr>
            <w:webHidden/>
          </w:rPr>
          <w:fldChar w:fldCharType="separate"/>
        </w:r>
        <w:r>
          <w:rPr>
            <w:webHidden/>
          </w:rPr>
          <w:t>923</w:t>
        </w:r>
        <w:r>
          <w:rPr>
            <w:webHidden/>
          </w:rPr>
          <w:fldChar w:fldCharType="end"/>
        </w:r>
      </w:hyperlink>
    </w:p>
    <w:p w14:paraId="3B0B21FC" w14:textId="5EAEB7A9" w:rsidR="00067371" w:rsidRDefault="00067371">
      <w:pPr>
        <w:pStyle w:val="TOC3"/>
        <w:rPr>
          <w:rFonts w:asciiTheme="minorHAnsi" w:eastAsiaTheme="minorEastAsia" w:hAnsiTheme="minorHAnsi" w:cstheme="minorBidi"/>
          <w:kern w:val="2"/>
          <w:sz w:val="24"/>
          <w:szCs w:val="24"/>
          <w14:ligatures w14:val="standardContextual"/>
        </w:rPr>
      </w:pPr>
      <w:hyperlink w:anchor="_Toc214283666" w:history="1">
        <w:r w:rsidRPr="008F4954">
          <w:rPr>
            <w:rStyle w:val="Hyperlink"/>
          </w:rPr>
          <w:t>5.41.13</w:t>
        </w:r>
        <w:r>
          <w:rPr>
            <w:rFonts w:asciiTheme="minorHAnsi" w:eastAsiaTheme="minorEastAsia" w:hAnsiTheme="minorHAnsi" w:cstheme="minorBidi"/>
            <w:kern w:val="2"/>
            <w:sz w:val="24"/>
            <w:szCs w:val="24"/>
            <w14:ligatures w14:val="standardContextual"/>
          </w:rPr>
          <w:tab/>
        </w:r>
        <w:r w:rsidRPr="008F4954">
          <w:rPr>
            <w:rStyle w:val="Hyperlink"/>
          </w:rPr>
          <w:t>Sort</w:t>
        </w:r>
        <w:r>
          <w:rPr>
            <w:webHidden/>
          </w:rPr>
          <w:tab/>
        </w:r>
        <w:r>
          <w:rPr>
            <w:webHidden/>
          </w:rPr>
          <w:fldChar w:fldCharType="begin"/>
        </w:r>
        <w:r>
          <w:rPr>
            <w:webHidden/>
          </w:rPr>
          <w:instrText xml:space="preserve"> PAGEREF _Toc214283666 \h </w:instrText>
        </w:r>
        <w:r>
          <w:rPr>
            <w:webHidden/>
          </w:rPr>
        </w:r>
        <w:r>
          <w:rPr>
            <w:webHidden/>
          </w:rPr>
          <w:fldChar w:fldCharType="separate"/>
        </w:r>
        <w:r>
          <w:rPr>
            <w:webHidden/>
          </w:rPr>
          <w:t>923</w:t>
        </w:r>
        <w:r>
          <w:rPr>
            <w:webHidden/>
          </w:rPr>
          <w:fldChar w:fldCharType="end"/>
        </w:r>
      </w:hyperlink>
    </w:p>
    <w:p w14:paraId="352385B5" w14:textId="046B839D"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67" w:history="1">
        <w:r w:rsidRPr="008F4954">
          <w:rPr>
            <w:rStyle w:val="Hyperlink"/>
          </w:rPr>
          <w:t>5.42</w:t>
        </w:r>
        <w:r>
          <w:rPr>
            <w:rFonts w:asciiTheme="minorHAnsi" w:eastAsiaTheme="minorEastAsia" w:hAnsiTheme="minorHAnsi" w:cstheme="minorBidi"/>
            <w:smallCaps w:val="0"/>
            <w:kern w:val="2"/>
            <w:szCs w:val="24"/>
            <w14:ligatures w14:val="standardContextual"/>
          </w:rPr>
          <w:tab/>
        </w:r>
        <w:r w:rsidRPr="008F4954">
          <w:rPr>
            <w:rStyle w:val="Hyperlink"/>
          </w:rPr>
          <w:t>SOUND AND POP-UP NOTIFICATIONS</w:t>
        </w:r>
        <w:r>
          <w:rPr>
            <w:webHidden/>
          </w:rPr>
          <w:tab/>
        </w:r>
        <w:r>
          <w:rPr>
            <w:webHidden/>
          </w:rPr>
          <w:fldChar w:fldCharType="begin"/>
        </w:r>
        <w:r>
          <w:rPr>
            <w:webHidden/>
          </w:rPr>
          <w:instrText xml:space="preserve"> PAGEREF _Toc214283667 \h </w:instrText>
        </w:r>
        <w:r>
          <w:rPr>
            <w:webHidden/>
          </w:rPr>
        </w:r>
        <w:r>
          <w:rPr>
            <w:webHidden/>
          </w:rPr>
          <w:fldChar w:fldCharType="separate"/>
        </w:r>
        <w:r>
          <w:rPr>
            <w:webHidden/>
          </w:rPr>
          <w:t>924</w:t>
        </w:r>
        <w:r>
          <w:rPr>
            <w:webHidden/>
          </w:rPr>
          <w:fldChar w:fldCharType="end"/>
        </w:r>
      </w:hyperlink>
    </w:p>
    <w:p w14:paraId="2ECD3D55" w14:textId="6C87E5F3" w:rsidR="00067371" w:rsidRDefault="00067371">
      <w:pPr>
        <w:pStyle w:val="TOC3"/>
        <w:rPr>
          <w:rFonts w:asciiTheme="minorHAnsi" w:eastAsiaTheme="minorEastAsia" w:hAnsiTheme="minorHAnsi" w:cstheme="minorBidi"/>
          <w:kern w:val="2"/>
          <w:sz w:val="24"/>
          <w:szCs w:val="24"/>
          <w14:ligatures w14:val="standardContextual"/>
        </w:rPr>
      </w:pPr>
      <w:hyperlink w:anchor="_Toc214283668" w:history="1">
        <w:r w:rsidRPr="008F4954">
          <w:rPr>
            <w:rStyle w:val="Hyperlink"/>
          </w:rPr>
          <w:t>5.42.1</w:t>
        </w:r>
        <w:r>
          <w:rPr>
            <w:rFonts w:asciiTheme="minorHAnsi" w:eastAsiaTheme="minorEastAsia" w:hAnsiTheme="minorHAnsi" w:cstheme="minorBidi"/>
            <w:kern w:val="2"/>
            <w:sz w:val="24"/>
            <w:szCs w:val="24"/>
            <w14:ligatures w14:val="standardContextual"/>
          </w:rPr>
          <w:tab/>
        </w:r>
        <w:r w:rsidRPr="008F4954">
          <w:rPr>
            <w:rStyle w:val="Hyperlink"/>
          </w:rPr>
          <w:t>Common Notification Properties</w:t>
        </w:r>
        <w:r>
          <w:rPr>
            <w:webHidden/>
          </w:rPr>
          <w:tab/>
        </w:r>
        <w:r>
          <w:rPr>
            <w:webHidden/>
          </w:rPr>
          <w:fldChar w:fldCharType="begin"/>
        </w:r>
        <w:r>
          <w:rPr>
            <w:webHidden/>
          </w:rPr>
          <w:instrText xml:space="preserve"> PAGEREF _Toc214283668 \h </w:instrText>
        </w:r>
        <w:r>
          <w:rPr>
            <w:webHidden/>
          </w:rPr>
        </w:r>
        <w:r>
          <w:rPr>
            <w:webHidden/>
          </w:rPr>
          <w:fldChar w:fldCharType="separate"/>
        </w:r>
        <w:r>
          <w:rPr>
            <w:webHidden/>
          </w:rPr>
          <w:t>924</w:t>
        </w:r>
        <w:r>
          <w:rPr>
            <w:webHidden/>
          </w:rPr>
          <w:fldChar w:fldCharType="end"/>
        </w:r>
      </w:hyperlink>
    </w:p>
    <w:p w14:paraId="12B6B1C9" w14:textId="35EEE250" w:rsidR="00067371" w:rsidRDefault="00067371">
      <w:pPr>
        <w:pStyle w:val="TOC1"/>
        <w:tabs>
          <w:tab w:val="left" w:pos="720"/>
        </w:tabs>
        <w:rPr>
          <w:rFonts w:asciiTheme="minorHAnsi" w:eastAsiaTheme="minorEastAsia" w:hAnsiTheme="minorHAnsi" w:cstheme="minorBidi"/>
          <w:b w:val="0"/>
          <w:caps w:val="0"/>
          <w:kern w:val="2"/>
          <w:szCs w:val="24"/>
          <w14:ligatures w14:val="standardContextual"/>
        </w:rPr>
      </w:pPr>
      <w:hyperlink w:anchor="_Toc214283669" w:history="1">
        <w:r w:rsidRPr="008F4954">
          <w:rPr>
            <w:rStyle w:val="Hyperlink"/>
          </w:rPr>
          <w:t>6.0</w:t>
        </w:r>
        <w:r>
          <w:rPr>
            <w:rFonts w:asciiTheme="minorHAnsi" w:eastAsiaTheme="minorEastAsia" w:hAnsiTheme="minorHAnsi" w:cstheme="minorBidi"/>
            <w:b w:val="0"/>
            <w:caps w:val="0"/>
            <w:kern w:val="2"/>
            <w:szCs w:val="24"/>
            <w14:ligatures w14:val="standardContextual"/>
          </w:rPr>
          <w:tab/>
        </w:r>
        <w:r w:rsidRPr="008F4954">
          <w:rPr>
            <w:rStyle w:val="Hyperlink"/>
          </w:rPr>
          <w:t>GEOTRANS</w:t>
        </w:r>
        <w:r>
          <w:rPr>
            <w:webHidden/>
          </w:rPr>
          <w:tab/>
        </w:r>
        <w:r>
          <w:rPr>
            <w:webHidden/>
          </w:rPr>
          <w:fldChar w:fldCharType="begin"/>
        </w:r>
        <w:r>
          <w:rPr>
            <w:webHidden/>
          </w:rPr>
          <w:instrText xml:space="preserve"> PAGEREF _Toc214283669 \h </w:instrText>
        </w:r>
        <w:r>
          <w:rPr>
            <w:webHidden/>
          </w:rPr>
        </w:r>
        <w:r>
          <w:rPr>
            <w:webHidden/>
          </w:rPr>
          <w:fldChar w:fldCharType="separate"/>
        </w:r>
        <w:r>
          <w:rPr>
            <w:webHidden/>
          </w:rPr>
          <w:t>928</w:t>
        </w:r>
        <w:r>
          <w:rPr>
            <w:webHidden/>
          </w:rPr>
          <w:fldChar w:fldCharType="end"/>
        </w:r>
      </w:hyperlink>
    </w:p>
    <w:p w14:paraId="05CF1F93" w14:textId="758B0949"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70" w:history="1">
        <w:r w:rsidRPr="008F4954">
          <w:rPr>
            <w:rStyle w:val="Hyperlink"/>
          </w:rPr>
          <w:t>6.1</w:t>
        </w:r>
        <w:r>
          <w:rPr>
            <w:rFonts w:asciiTheme="minorHAnsi" w:eastAsiaTheme="minorEastAsia" w:hAnsiTheme="minorHAnsi" w:cstheme="minorBidi"/>
            <w:smallCaps w:val="0"/>
            <w:kern w:val="2"/>
            <w:szCs w:val="24"/>
            <w14:ligatures w14:val="standardContextual"/>
          </w:rPr>
          <w:tab/>
        </w:r>
        <w:r w:rsidRPr="008F4954">
          <w:rPr>
            <w:rStyle w:val="Hyperlink"/>
          </w:rPr>
          <w:t>GEOTRANS UTILITY</w:t>
        </w:r>
        <w:r>
          <w:rPr>
            <w:webHidden/>
          </w:rPr>
          <w:tab/>
        </w:r>
        <w:r>
          <w:rPr>
            <w:webHidden/>
          </w:rPr>
          <w:fldChar w:fldCharType="begin"/>
        </w:r>
        <w:r>
          <w:rPr>
            <w:webHidden/>
          </w:rPr>
          <w:instrText xml:space="preserve"> PAGEREF _Toc214283670 \h </w:instrText>
        </w:r>
        <w:r>
          <w:rPr>
            <w:webHidden/>
          </w:rPr>
        </w:r>
        <w:r>
          <w:rPr>
            <w:webHidden/>
          </w:rPr>
          <w:fldChar w:fldCharType="separate"/>
        </w:r>
        <w:r>
          <w:rPr>
            <w:webHidden/>
          </w:rPr>
          <w:t>928</w:t>
        </w:r>
        <w:r>
          <w:rPr>
            <w:webHidden/>
          </w:rPr>
          <w:fldChar w:fldCharType="end"/>
        </w:r>
      </w:hyperlink>
    </w:p>
    <w:p w14:paraId="75FAFCAD" w14:textId="278BE90E" w:rsidR="00067371" w:rsidRDefault="00067371">
      <w:pPr>
        <w:pStyle w:val="TOC3"/>
        <w:rPr>
          <w:rFonts w:asciiTheme="minorHAnsi" w:eastAsiaTheme="minorEastAsia" w:hAnsiTheme="minorHAnsi" w:cstheme="minorBidi"/>
          <w:kern w:val="2"/>
          <w:sz w:val="24"/>
          <w:szCs w:val="24"/>
          <w14:ligatures w14:val="standardContextual"/>
        </w:rPr>
      </w:pPr>
      <w:hyperlink w:anchor="_Toc214283671" w:history="1">
        <w:r w:rsidRPr="008F4954">
          <w:rPr>
            <w:rStyle w:val="Hyperlink"/>
          </w:rPr>
          <w:t>6.1.1</w:t>
        </w:r>
        <w:r>
          <w:rPr>
            <w:rFonts w:asciiTheme="minorHAnsi" w:eastAsiaTheme="minorEastAsia" w:hAnsiTheme="minorHAnsi" w:cstheme="minorBidi"/>
            <w:kern w:val="2"/>
            <w:sz w:val="24"/>
            <w:szCs w:val="24"/>
            <w14:ligatures w14:val="standardContextual"/>
          </w:rPr>
          <w:tab/>
        </w:r>
        <w:r w:rsidRPr="008F4954">
          <w:rPr>
            <w:rStyle w:val="Hyperlink"/>
          </w:rPr>
          <w:t>MGRS Conversion</w:t>
        </w:r>
        <w:r>
          <w:rPr>
            <w:webHidden/>
          </w:rPr>
          <w:tab/>
        </w:r>
        <w:r>
          <w:rPr>
            <w:webHidden/>
          </w:rPr>
          <w:fldChar w:fldCharType="begin"/>
        </w:r>
        <w:r>
          <w:rPr>
            <w:webHidden/>
          </w:rPr>
          <w:instrText xml:space="preserve"> PAGEREF _Toc214283671 \h </w:instrText>
        </w:r>
        <w:r>
          <w:rPr>
            <w:webHidden/>
          </w:rPr>
        </w:r>
        <w:r>
          <w:rPr>
            <w:webHidden/>
          </w:rPr>
          <w:fldChar w:fldCharType="separate"/>
        </w:r>
        <w:r>
          <w:rPr>
            <w:webHidden/>
          </w:rPr>
          <w:t>928</w:t>
        </w:r>
        <w:r>
          <w:rPr>
            <w:webHidden/>
          </w:rPr>
          <w:fldChar w:fldCharType="end"/>
        </w:r>
      </w:hyperlink>
    </w:p>
    <w:p w14:paraId="38BC747B" w14:textId="55BCB887" w:rsidR="00067371" w:rsidRDefault="00067371">
      <w:pPr>
        <w:pStyle w:val="TOC3"/>
        <w:rPr>
          <w:rFonts w:asciiTheme="minorHAnsi" w:eastAsiaTheme="minorEastAsia" w:hAnsiTheme="minorHAnsi" w:cstheme="minorBidi"/>
          <w:kern w:val="2"/>
          <w:sz w:val="24"/>
          <w:szCs w:val="24"/>
          <w14:ligatures w14:val="standardContextual"/>
        </w:rPr>
      </w:pPr>
      <w:hyperlink w:anchor="_Toc214283672" w:history="1">
        <w:r w:rsidRPr="008F4954">
          <w:rPr>
            <w:rStyle w:val="Hyperlink"/>
          </w:rPr>
          <w:t>6.1.2</w:t>
        </w:r>
        <w:r>
          <w:rPr>
            <w:rFonts w:asciiTheme="minorHAnsi" w:eastAsiaTheme="minorEastAsia" w:hAnsiTheme="minorHAnsi" w:cstheme="minorBidi"/>
            <w:kern w:val="2"/>
            <w:sz w:val="24"/>
            <w:szCs w:val="24"/>
            <w14:ligatures w14:val="standardContextual"/>
          </w:rPr>
          <w:tab/>
        </w:r>
        <w:r w:rsidRPr="008F4954">
          <w:rPr>
            <w:rStyle w:val="Hyperlink"/>
          </w:rPr>
          <w:t>UTM Conversion</w:t>
        </w:r>
        <w:r>
          <w:rPr>
            <w:webHidden/>
          </w:rPr>
          <w:tab/>
        </w:r>
        <w:r>
          <w:rPr>
            <w:webHidden/>
          </w:rPr>
          <w:fldChar w:fldCharType="begin"/>
        </w:r>
        <w:r>
          <w:rPr>
            <w:webHidden/>
          </w:rPr>
          <w:instrText xml:space="preserve"> PAGEREF _Toc214283672 \h </w:instrText>
        </w:r>
        <w:r>
          <w:rPr>
            <w:webHidden/>
          </w:rPr>
        </w:r>
        <w:r>
          <w:rPr>
            <w:webHidden/>
          </w:rPr>
          <w:fldChar w:fldCharType="separate"/>
        </w:r>
        <w:r>
          <w:rPr>
            <w:webHidden/>
          </w:rPr>
          <w:t>929</w:t>
        </w:r>
        <w:r>
          <w:rPr>
            <w:webHidden/>
          </w:rPr>
          <w:fldChar w:fldCharType="end"/>
        </w:r>
      </w:hyperlink>
    </w:p>
    <w:p w14:paraId="30CD616F" w14:textId="4EAD8F10" w:rsidR="00067371" w:rsidRDefault="00067371">
      <w:pPr>
        <w:pStyle w:val="TOC3"/>
        <w:rPr>
          <w:rFonts w:asciiTheme="minorHAnsi" w:eastAsiaTheme="minorEastAsia" w:hAnsiTheme="minorHAnsi" w:cstheme="minorBidi"/>
          <w:kern w:val="2"/>
          <w:sz w:val="24"/>
          <w:szCs w:val="24"/>
          <w14:ligatures w14:val="standardContextual"/>
        </w:rPr>
      </w:pPr>
      <w:hyperlink w:anchor="_Toc214283673" w:history="1">
        <w:r w:rsidRPr="008F4954">
          <w:rPr>
            <w:rStyle w:val="Hyperlink"/>
          </w:rPr>
          <w:t>6.1.3</w:t>
        </w:r>
        <w:r>
          <w:rPr>
            <w:rFonts w:asciiTheme="minorHAnsi" w:eastAsiaTheme="minorEastAsia" w:hAnsiTheme="minorHAnsi" w:cstheme="minorBidi"/>
            <w:kern w:val="2"/>
            <w:sz w:val="24"/>
            <w:szCs w:val="24"/>
            <w14:ligatures w14:val="standardContextual"/>
          </w:rPr>
          <w:tab/>
        </w:r>
        <w:r w:rsidRPr="008F4954">
          <w:rPr>
            <w:rStyle w:val="Hyperlink"/>
          </w:rPr>
          <w:t>Other GeoTrans Operations</w:t>
        </w:r>
        <w:r>
          <w:rPr>
            <w:webHidden/>
          </w:rPr>
          <w:tab/>
        </w:r>
        <w:r>
          <w:rPr>
            <w:webHidden/>
          </w:rPr>
          <w:fldChar w:fldCharType="begin"/>
        </w:r>
        <w:r>
          <w:rPr>
            <w:webHidden/>
          </w:rPr>
          <w:instrText xml:space="preserve"> PAGEREF _Toc214283673 \h </w:instrText>
        </w:r>
        <w:r>
          <w:rPr>
            <w:webHidden/>
          </w:rPr>
        </w:r>
        <w:r>
          <w:rPr>
            <w:webHidden/>
          </w:rPr>
          <w:fldChar w:fldCharType="separate"/>
        </w:r>
        <w:r>
          <w:rPr>
            <w:webHidden/>
          </w:rPr>
          <w:t>931</w:t>
        </w:r>
        <w:r>
          <w:rPr>
            <w:webHidden/>
          </w:rPr>
          <w:fldChar w:fldCharType="end"/>
        </w:r>
      </w:hyperlink>
    </w:p>
    <w:p w14:paraId="521FB57E" w14:textId="4DB0F907"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674" w:history="1">
        <w:r w:rsidRPr="008F4954">
          <w:rPr>
            <w:rStyle w:val="Hyperlink"/>
          </w:rPr>
          <w:t>APPENDIX A ACRONYMS/DEFINITIONS OF ACRONYMS</w:t>
        </w:r>
        <w:r>
          <w:rPr>
            <w:webHidden/>
          </w:rPr>
          <w:tab/>
        </w:r>
        <w:r>
          <w:rPr>
            <w:webHidden/>
          </w:rPr>
          <w:fldChar w:fldCharType="begin"/>
        </w:r>
        <w:r>
          <w:rPr>
            <w:webHidden/>
          </w:rPr>
          <w:instrText xml:space="preserve"> PAGEREF _Toc214283674 \h </w:instrText>
        </w:r>
        <w:r>
          <w:rPr>
            <w:webHidden/>
          </w:rPr>
        </w:r>
        <w:r>
          <w:rPr>
            <w:webHidden/>
          </w:rPr>
          <w:fldChar w:fldCharType="separate"/>
        </w:r>
        <w:r>
          <w:rPr>
            <w:webHidden/>
          </w:rPr>
          <w:t>A-1</w:t>
        </w:r>
        <w:r>
          <w:rPr>
            <w:webHidden/>
          </w:rPr>
          <w:fldChar w:fldCharType="end"/>
        </w:r>
      </w:hyperlink>
    </w:p>
    <w:p w14:paraId="25827845" w14:textId="6F8FFF33"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675" w:history="1">
        <w:r w:rsidRPr="008F4954">
          <w:rPr>
            <w:rStyle w:val="Hyperlink"/>
          </w:rPr>
          <w:t>APPENDIX B GLOSSARY</w:t>
        </w:r>
        <w:r>
          <w:rPr>
            <w:webHidden/>
          </w:rPr>
          <w:tab/>
        </w:r>
        <w:r>
          <w:rPr>
            <w:webHidden/>
          </w:rPr>
          <w:fldChar w:fldCharType="begin"/>
        </w:r>
        <w:r>
          <w:rPr>
            <w:webHidden/>
          </w:rPr>
          <w:instrText xml:space="preserve"> PAGEREF _Toc214283675 \h </w:instrText>
        </w:r>
        <w:r>
          <w:rPr>
            <w:webHidden/>
          </w:rPr>
        </w:r>
        <w:r>
          <w:rPr>
            <w:webHidden/>
          </w:rPr>
          <w:fldChar w:fldCharType="separate"/>
        </w:r>
        <w:r>
          <w:rPr>
            <w:webHidden/>
          </w:rPr>
          <w:t>B-1</w:t>
        </w:r>
        <w:r>
          <w:rPr>
            <w:webHidden/>
          </w:rPr>
          <w:fldChar w:fldCharType="end"/>
        </w:r>
      </w:hyperlink>
    </w:p>
    <w:p w14:paraId="194CAC36" w14:textId="2938EF5B"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676" w:history="1">
        <w:r w:rsidRPr="008F4954">
          <w:rPr>
            <w:rStyle w:val="Hyperlink"/>
          </w:rPr>
          <w:t>APPENDIX C COUNTRY CODE FORMAT AND COUNTRY SELECTION/DISPLAY</w:t>
        </w:r>
        <w:r>
          <w:rPr>
            <w:webHidden/>
          </w:rPr>
          <w:tab/>
        </w:r>
        <w:r>
          <w:rPr>
            <w:webHidden/>
          </w:rPr>
          <w:fldChar w:fldCharType="begin"/>
        </w:r>
        <w:r>
          <w:rPr>
            <w:webHidden/>
          </w:rPr>
          <w:instrText xml:space="preserve"> PAGEREF _Toc214283676 \h </w:instrText>
        </w:r>
        <w:r>
          <w:rPr>
            <w:webHidden/>
          </w:rPr>
        </w:r>
        <w:r>
          <w:rPr>
            <w:webHidden/>
          </w:rPr>
          <w:fldChar w:fldCharType="separate"/>
        </w:r>
        <w:r>
          <w:rPr>
            <w:webHidden/>
          </w:rPr>
          <w:t>C-1</w:t>
        </w:r>
        <w:r>
          <w:rPr>
            <w:webHidden/>
          </w:rPr>
          <w:fldChar w:fldCharType="end"/>
        </w:r>
      </w:hyperlink>
    </w:p>
    <w:p w14:paraId="2D774F7D" w14:textId="179F8747"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77" w:history="1">
        <w:r w:rsidRPr="008F4954">
          <w:rPr>
            <w:rStyle w:val="Hyperlink"/>
          </w:rPr>
          <w:t>C.1</w:t>
        </w:r>
        <w:r>
          <w:rPr>
            <w:rFonts w:asciiTheme="minorHAnsi" w:eastAsiaTheme="minorEastAsia" w:hAnsiTheme="minorHAnsi" w:cstheme="minorBidi"/>
            <w:smallCaps w:val="0"/>
            <w:kern w:val="2"/>
            <w:szCs w:val="24"/>
            <w14:ligatures w14:val="standardContextual"/>
          </w:rPr>
          <w:tab/>
        </w:r>
        <w:r w:rsidRPr="008F4954">
          <w:rPr>
            <w:rStyle w:val="Hyperlink"/>
          </w:rPr>
          <w:t>INTRODUCTION</w:t>
        </w:r>
        <w:r>
          <w:rPr>
            <w:webHidden/>
          </w:rPr>
          <w:tab/>
        </w:r>
        <w:r>
          <w:rPr>
            <w:webHidden/>
          </w:rPr>
          <w:fldChar w:fldCharType="begin"/>
        </w:r>
        <w:r>
          <w:rPr>
            <w:webHidden/>
          </w:rPr>
          <w:instrText xml:space="preserve"> PAGEREF _Toc214283677 \h </w:instrText>
        </w:r>
        <w:r>
          <w:rPr>
            <w:webHidden/>
          </w:rPr>
        </w:r>
        <w:r>
          <w:rPr>
            <w:webHidden/>
          </w:rPr>
          <w:fldChar w:fldCharType="separate"/>
        </w:r>
        <w:r>
          <w:rPr>
            <w:webHidden/>
          </w:rPr>
          <w:t>C-1</w:t>
        </w:r>
        <w:r>
          <w:rPr>
            <w:webHidden/>
          </w:rPr>
          <w:fldChar w:fldCharType="end"/>
        </w:r>
      </w:hyperlink>
    </w:p>
    <w:p w14:paraId="553126E8" w14:textId="77B7E818" w:rsidR="00067371" w:rsidRDefault="00067371">
      <w:pPr>
        <w:pStyle w:val="TOC3"/>
        <w:rPr>
          <w:rFonts w:asciiTheme="minorHAnsi" w:eastAsiaTheme="minorEastAsia" w:hAnsiTheme="minorHAnsi" w:cstheme="minorBidi"/>
          <w:kern w:val="2"/>
          <w:sz w:val="24"/>
          <w:szCs w:val="24"/>
          <w14:ligatures w14:val="standardContextual"/>
        </w:rPr>
      </w:pPr>
      <w:hyperlink w:anchor="_Toc214283678" w:history="1">
        <w:r w:rsidRPr="008F4954">
          <w:rPr>
            <w:rStyle w:val="Hyperlink"/>
          </w:rPr>
          <w:t>C.1.1</w:t>
        </w:r>
        <w:r>
          <w:rPr>
            <w:rFonts w:asciiTheme="minorHAnsi" w:eastAsiaTheme="minorEastAsia" w:hAnsiTheme="minorHAnsi" w:cstheme="minorBidi"/>
            <w:kern w:val="2"/>
            <w:sz w:val="24"/>
            <w:szCs w:val="24"/>
            <w14:ligatures w14:val="standardContextual"/>
          </w:rPr>
          <w:tab/>
        </w:r>
        <w:r w:rsidRPr="008F4954">
          <w:rPr>
            <w:rStyle w:val="Hyperlink"/>
          </w:rPr>
          <w:t>Exceptions and Invalid Data Selection Scenarios</w:t>
        </w:r>
        <w:r>
          <w:rPr>
            <w:webHidden/>
          </w:rPr>
          <w:tab/>
        </w:r>
        <w:r>
          <w:rPr>
            <w:webHidden/>
          </w:rPr>
          <w:fldChar w:fldCharType="begin"/>
        </w:r>
        <w:r>
          <w:rPr>
            <w:webHidden/>
          </w:rPr>
          <w:instrText xml:space="preserve"> PAGEREF _Toc214283678 \h </w:instrText>
        </w:r>
        <w:r>
          <w:rPr>
            <w:webHidden/>
          </w:rPr>
        </w:r>
        <w:r>
          <w:rPr>
            <w:webHidden/>
          </w:rPr>
          <w:fldChar w:fldCharType="separate"/>
        </w:r>
        <w:r>
          <w:rPr>
            <w:webHidden/>
          </w:rPr>
          <w:t>C-1</w:t>
        </w:r>
        <w:r>
          <w:rPr>
            <w:webHidden/>
          </w:rPr>
          <w:fldChar w:fldCharType="end"/>
        </w:r>
      </w:hyperlink>
    </w:p>
    <w:p w14:paraId="59AE6A78" w14:textId="43A598CB"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679" w:history="1">
        <w:r w:rsidRPr="008F4954">
          <w:rPr>
            <w:rStyle w:val="Hyperlink"/>
          </w:rPr>
          <w:t>APPENDIX D DATA SENT FROM MDS</w:t>
        </w:r>
        <w:r>
          <w:rPr>
            <w:webHidden/>
          </w:rPr>
          <w:tab/>
        </w:r>
        <w:r>
          <w:rPr>
            <w:webHidden/>
          </w:rPr>
          <w:fldChar w:fldCharType="begin"/>
        </w:r>
        <w:r>
          <w:rPr>
            <w:webHidden/>
          </w:rPr>
          <w:instrText xml:space="preserve"> PAGEREF _Toc214283679 \h </w:instrText>
        </w:r>
        <w:r>
          <w:rPr>
            <w:webHidden/>
          </w:rPr>
        </w:r>
        <w:r>
          <w:rPr>
            <w:webHidden/>
          </w:rPr>
          <w:fldChar w:fldCharType="separate"/>
        </w:r>
        <w:r>
          <w:rPr>
            <w:webHidden/>
          </w:rPr>
          <w:t>D-1</w:t>
        </w:r>
        <w:r>
          <w:rPr>
            <w:webHidden/>
          </w:rPr>
          <w:fldChar w:fldCharType="end"/>
        </w:r>
      </w:hyperlink>
    </w:p>
    <w:p w14:paraId="133775C8" w14:textId="2BC8DB81"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680" w:history="1">
        <w:r w:rsidRPr="008F4954">
          <w:rPr>
            <w:rStyle w:val="Hyperlink"/>
          </w:rPr>
          <w:t>APPENDIX E DATA RECEIVED BY MDS</w:t>
        </w:r>
        <w:r>
          <w:rPr>
            <w:webHidden/>
          </w:rPr>
          <w:tab/>
        </w:r>
        <w:r>
          <w:rPr>
            <w:webHidden/>
          </w:rPr>
          <w:fldChar w:fldCharType="begin"/>
        </w:r>
        <w:r>
          <w:rPr>
            <w:webHidden/>
          </w:rPr>
          <w:instrText xml:space="preserve"> PAGEREF _Toc214283680 \h </w:instrText>
        </w:r>
        <w:r>
          <w:rPr>
            <w:webHidden/>
          </w:rPr>
        </w:r>
        <w:r>
          <w:rPr>
            <w:webHidden/>
          </w:rPr>
          <w:fldChar w:fldCharType="separate"/>
        </w:r>
        <w:r>
          <w:rPr>
            <w:webHidden/>
          </w:rPr>
          <w:t>E-1</w:t>
        </w:r>
        <w:r>
          <w:rPr>
            <w:webHidden/>
          </w:rPr>
          <w:fldChar w:fldCharType="end"/>
        </w:r>
      </w:hyperlink>
    </w:p>
    <w:p w14:paraId="51AE3A9E" w14:textId="47C28598"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681" w:history="1">
        <w:r w:rsidRPr="008F4954">
          <w:rPr>
            <w:rStyle w:val="Hyperlink"/>
          </w:rPr>
          <w:t>APPENDIX F COORDINATION TEMPLATE COMPATIBILITY MATRIX</w:t>
        </w:r>
        <w:r>
          <w:rPr>
            <w:webHidden/>
          </w:rPr>
          <w:tab/>
        </w:r>
        <w:r>
          <w:rPr>
            <w:webHidden/>
          </w:rPr>
          <w:fldChar w:fldCharType="begin"/>
        </w:r>
        <w:r>
          <w:rPr>
            <w:webHidden/>
          </w:rPr>
          <w:instrText xml:space="preserve"> PAGEREF _Toc214283681 \h </w:instrText>
        </w:r>
        <w:r>
          <w:rPr>
            <w:webHidden/>
          </w:rPr>
        </w:r>
        <w:r>
          <w:rPr>
            <w:webHidden/>
          </w:rPr>
          <w:fldChar w:fldCharType="separate"/>
        </w:r>
        <w:r>
          <w:rPr>
            <w:webHidden/>
          </w:rPr>
          <w:t>F-1</w:t>
        </w:r>
        <w:r>
          <w:rPr>
            <w:webHidden/>
          </w:rPr>
          <w:fldChar w:fldCharType="end"/>
        </w:r>
      </w:hyperlink>
    </w:p>
    <w:p w14:paraId="240BABBF" w14:textId="70929274"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682" w:history="1">
        <w:r w:rsidRPr="008F4954">
          <w:rPr>
            <w:rStyle w:val="Hyperlink"/>
          </w:rPr>
          <w:t>APPENDIX G QUERY ITEM DEFINITIONS</w:t>
        </w:r>
        <w:r>
          <w:rPr>
            <w:webHidden/>
          </w:rPr>
          <w:tab/>
        </w:r>
        <w:r>
          <w:rPr>
            <w:webHidden/>
          </w:rPr>
          <w:fldChar w:fldCharType="begin"/>
        </w:r>
        <w:r>
          <w:rPr>
            <w:webHidden/>
          </w:rPr>
          <w:instrText xml:space="preserve"> PAGEREF _Toc214283682 \h </w:instrText>
        </w:r>
        <w:r>
          <w:rPr>
            <w:webHidden/>
          </w:rPr>
        </w:r>
        <w:r>
          <w:rPr>
            <w:webHidden/>
          </w:rPr>
          <w:fldChar w:fldCharType="separate"/>
        </w:r>
        <w:r>
          <w:rPr>
            <w:webHidden/>
          </w:rPr>
          <w:t>G-1</w:t>
        </w:r>
        <w:r>
          <w:rPr>
            <w:webHidden/>
          </w:rPr>
          <w:fldChar w:fldCharType="end"/>
        </w:r>
      </w:hyperlink>
    </w:p>
    <w:p w14:paraId="6EC88AE3" w14:textId="7D5AAB7A"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83" w:history="1">
        <w:r w:rsidRPr="008F4954">
          <w:rPr>
            <w:rStyle w:val="Hyperlink"/>
          </w:rPr>
          <w:t>G.1</w:t>
        </w:r>
        <w:r>
          <w:rPr>
            <w:rFonts w:asciiTheme="minorHAnsi" w:eastAsiaTheme="minorEastAsia" w:hAnsiTheme="minorHAnsi" w:cstheme="minorBidi"/>
            <w:smallCaps w:val="0"/>
            <w:kern w:val="2"/>
            <w:szCs w:val="24"/>
            <w14:ligatures w14:val="standardContextual"/>
          </w:rPr>
          <w:tab/>
        </w:r>
        <w:r w:rsidRPr="008F4954">
          <w:rPr>
            <w:rStyle w:val="Hyperlink"/>
          </w:rPr>
          <w:t>QUERY ELEMENT DEFINITIONS</w:t>
        </w:r>
        <w:r>
          <w:rPr>
            <w:webHidden/>
          </w:rPr>
          <w:tab/>
        </w:r>
        <w:r>
          <w:rPr>
            <w:webHidden/>
          </w:rPr>
          <w:fldChar w:fldCharType="begin"/>
        </w:r>
        <w:r>
          <w:rPr>
            <w:webHidden/>
          </w:rPr>
          <w:instrText xml:space="preserve"> PAGEREF _Toc214283683 \h </w:instrText>
        </w:r>
        <w:r>
          <w:rPr>
            <w:webHidden/>
          </w:rPr>
        </w:r>
        <w:r>
          <w:rPr>
            <w:webHidden/>
          </w:rPr>
          <w:fldChar w:fldCharType="separate"/>
        </w:r>
        <w:r>
          <w:rPr>
            <w:webHidden/>
          </w:rPr>
          <w:t>G-2</w:t>
        </w:r>
        <w:r>
          <w:rPr>
            <w:webHidden/>
          </w:rPr>
          <w:fldChar w:fldCharType="end"/>
        </w:r>
      </w:hyperlink>
    </w:p>
    <w:p w14:paraId="1E8511C4" w14:textId="08A393C7" w:rsidR="00067371" w:rsidRDefault="00067371">
      <w:pPr>
        <w:pStyle w:val="TOC3"/>
        <w:rPr>
          <w:rFonts w:asciiTheme="minorHAnsi" w:eastAsiaTheme="minorEastAsia" w:hAnsiTheme="minorHAnsi" w:cstheme="minorBidi"/>
          <w:kern w:val="2"/>
          <w:sz w:val="24"/>
          <w:szCs w:val="24"/>
          <w14:ligatures w14:val="standardContextual"/>
        </w:rPr>
      </w:pPr>
      <w:hyperlink w:anchor="_Toc214283684" w:history="1">
        <w:r w:rsidRPr="008F4954">
          <w:rPr>
            <w:rStyle w:val="Hyperlink"/>
          </w:rPr>
          <w:t>G.1.1</w:t>
        </w:r>
        <w:r>
          <w:rPr>
            <w:rFonts w:asciiTheme="minorHAnsi" w:eastAsiaTheme="minorEastAsia" w:hAnsiTheme="minorHAnsi" w:cstheme="minorBidi"/>
            <w:kern w:val="2"/>
            <w:sz w:val="24"/>
            <w:szCs w:val="24"/>
            <w14:ligatures w14:val="standardContextual"/>
          </w:rPr>
          <w:tab/>
        </w:r>
        <w:r w:rsidRPr="008F4954">
          <w:rPr>
            <w:rStyle w:val="Hyperlink"/>
          </w:rPr>
          <w:t>Mission Query</w:t>
        </w:r>
        <w:r>
          <w:rPr>
            <w:webHidden/>
          </w:rPr>
          <w:tab/>
        </w:r>
        <w:r>
          <w:rPr>
            <w:webHidden/>
          </w:rPr>
          <w:fldChar w:fldCharType="begin"/>
        </w:r>
        <w:r>
          <w:rPr>
            <w:webHidden/>
          </w:rPr>
          <w:instrText xml:space="preserve"> PAGEREF _Toc214283684 \h </w:instrText>
        </w:r>
        <w:r>
          <w:rPr>
            <w:webHidden/>
          </w:rPr>
        </w:r>
        <w:r>
          <w:rPr>
            <w:webHidden/>
          </w:rPr>
          <w:fldChar w:fldCharType="separate"/>
        </w:r>
        <w:r>
          <w:rPr>
            <w:webHidden/>
          </w:rPr>
          <w:t>G-2</w:t>
        </w:r>
        <w:r>
          <w:rPr>
            <w:webHidden/>
          </w:rPr>
          <w:fldChar w:fldCharType="end"/>
        </w:r>
      </w:hyperlink>
    </w:p>
    <w:p w14:paraId="720743DF" w14:textId="0144BF45" w:rsidR="00067371" w:rsidRDefault="00067371">
      <w:pPr>
        <w:pStyle w:val="TOC3"/>
        <w:rPr>
          <w:rFonts w:asciiTheme="minorHAnsi" w:eastAsiaTheme="minorEastAsia" w:hAnsiTheme="minorHAnsi" w:cstheme="minorBidi"/>
          <w:kern w:val="2"/>
          <w:sz w:val="24"/>
          <w:szCs w:val="24"/>
          <w14:ligatures w14:val="standardContextual"/>
        </w:rPr>
      </w:pPr>
      <w:hyperlink w:anchor="_Toc214283685" w:history="1">
        <w:r w:rsidRPr="008F4954">
          <w:rPr>
            <w:rStyle w:val="Hyperlink"/>
          </w:rPr>
          <w:t>G.1.2</w:t>
        </w:r>
        <w:r>
          <w:rPr>
            <w:rFonts w:asciiTheme="minorHAnsi" w:eastAsiaTheme="minorEastAsia" w:hAnsiTheme="minorHAnsi" w:cstheme="minorBidi"/>
            <w:kern w:val="2"/>
            <w:sz w:val="24"/>
            <w:szCs w:val="24"/>
            <w14:ligatures w14:val="standardContextual"/>
          </w:rPr>
          <w:tab/>
        </w:r>
        <w:r w:rsidRPr="008F4954">
          <w:rPr>
            <w:rStyle w:val="Hyperlink"/>
          </w:rPr>
          <w:t>Target Query</w:t>
        </w:r>
        <w:r>
          <w:rPr>
            <w:webHidden/>
          </w:rPr>
          <w:tab/>
        </w:r>
        <w:r>
          <w:rPr>
            <w:webHidden/>
          </w:rPr>
          <w:fldChar w:fldCharType="begin"/>
        </w:r>
        <w:r>
          <w:rPr>
            <w:webHidden/>
          </w:rPr>
          <w:instrText xml:space="preserve"> PAGEREF _Toc214283685 \h </w:instrText>
        </w:r>
        <w:r>
          <w:rPr>
            <w:webHidden/>
          </w:rPr>
        </w:r>
        <w:r>
          <w:rPr>
            <w:webHidden/>
          </w:rPr>
          <w:fldChar w:fldCharType="separate"/>
        </w:r>
        <w:r>
          <w:rPr>
            <w:webHidden/>
          </w:rPr>
          <w:t>G-32</w:t>
        </w:r>
        <w:r>
          <w:rPr>
            <w:webHidden/>
          </w:rPr>
          <w:fldChar w:fldCharType="end"/>
        </w:r>
      </w:hyperlink>
    </w:p>
    <w:p w14:paraId="1BC3C0A5" w14:textId="1ED9A098" w:rsidR="00067371" w:rsidRDefault="00067371">
      <w:pPr>
        <w:pStyle w:val="TOC3"/>
        <w:rPr>
          <w:rFonts w:asciiTheme="minorHAnsi" w:eastAsiaTheme="minorEastAsia" w:hAnsiTheme="minorHAnsi" w:cstheme="minorBidi"/>
          <w:kern w:val="2"/>
          <w:sz w:val="24"/>
          <w:szCs w:val="24"/>
          <w14:ligatures w14:val="standardContextual"/>
        </w:rPr>
      </w:pPr>
      <w:hyperlink w:anchor="_Toc214283686" w:history="1">
        <w:r w:rsidRPr="008F4954">
          <w:rPr>
            <w:rStyle w:val="Hyperlink"/>
          </w:rPr>
          <w:t>G.1.3</w:t>
        </w:r>
        <w:r>
          <w:rPr>
            <w:rFonts w:asciiTheme="minorHAnsi" w:eastAsiaTheme="minorEastAsia" w:hAnsiTheme="minorHAnsi" w:cstheme="minorBidi"/>
            <w:kern w:val="2"/>
            <w:sz w:val="24"/>
            <w:szCs w:val="24"/>
            <w14:ligatures w14:val="standardContextual"/>
          </w:rPr>
          <w:tab/>
        </w:r>
        <w:r w:rsidRPr="008F4954">
          <w:rPr>
            <w:rStyle w:val="Hyperlink"/>
          </w:rPr>
          <w:t>Strike Folder Query</w:t>
        </w:r>
        <w:r>
          <w:rPr>
            <w:webHidden/>
          </w:rPr>
          <w:tab/>
        </w:r>
        <w:r>
          <w:rPr>
            <w:webHidden/>
          </w:rPr>
          <w:fldChar w:fldCharType="begin"/>
        </w:r>
        <w:r>
          <w:rPr>
            <w:webHidden/>
          </w:rPr>
          <w:instrText xml:space="preserve"> PAGEREF _Toc214283686 \h </w:instrText>
        </w:r>
        <w:r>
          <w:rPr>
            <w:webHidden/>
          </w:rPr>
        </w:r>
        <w:r>
          <w:rPr>
            <w:webHidden/>
          </w:rPr>
          <w:fldChar w:fldCharType="separate"/>
        </w:r>
        <w:r>
          <w:rPr>
            <w:webHidden/>
          </w:rPr>
          <w:t>G-36</w:t>
        </w:r>
        <w:r>
          <w:rPr>
            <w:webHidden/>
          </w:rPr>
          <w:fldChar w:fldCharType="end"/>
        </w:r>
      </w:hyperlink>
    </w:p>
    <w:p w14:paraId="3FC22C85" w14:textId="01D7514D" w:rsidR="00067371" w:rsidRDefault="00067371">
      <w:pPr>
        <w:pStyle w:val="TOC3"/>
        <w:rPr>
          <w:rFonts w:asciiTheme="minorHAnsi" w:eastAsiaTheme="minorEastAsia" w:hAnsiTheme="minorHAnsi" w:cstheme="minorBidi"/>
          <w:kern w:val="2"/>
          <w:sz w:val="24"/>
          <w:szCs w:val="24"/>
          <w14:ligatures w14:val="standardContextual"/>
        </w:rPr>
      </w:pPr>
      <w:hyperlink w:anchor="_Toc214283687" w:history="1">
        <w:r w:rsidRPr="008F4954">
          <w:rPr>
            <w:rStyle w:val="Hyperlink"/>
          </w:rPr>
          <w:t>G.1.4</w:t>
        </w:r>
        <w:r>
          <w:rPr>
            <w:rFonts w:asciiTheme="minorHAnsi" w:eastAsiaTheme="minorEastAsia" w:hAnsiTheme="minorHAnsi" w:cstheme="minorBidi"/>
            <w:kern w:val="2"/>
            <w:sz w:val="24"/>
            <w:szCs w:val="24"/>
            <w14:ligatures w14:val="standardContextual"/>
          </w:rPr>
          <w:tab/>
        </w:r>
        <w:r w:rsidRPr="008F4954">
          <w:rPr>
            <w:rStyle w:val="Hyperlink"/>
          </w:rPr>
          <w:t>Strike Option Query</w:t>
        </w:r>
        <w:r>
          <w:rPr>
            <w:webHidden/>
          </w:rPr>
          <w:tab/>
        </w:r>
        <w:r>
          <w:rPr>
            <w:webHidden/>
          </w:rPr>
          <w:fldChar w:fldCharType="begin"/>
        </w:r>
        <w:r>
          <w:rPr>
            <w:webHidden/>
          </w:rPr>
          <w:instrText xml:space="preserve"> PAGEREF _Toc214283687 \h </w:instrText>
        </w:r>
        <w:r>
          <w:rPr>
            <w:webHidden/>
          </w:rPr>
        </w:r>
        <w:r>
          <w:rPr>
            <w:webHidden/>
          </w:rPr>
          <w:fldChar w:fldCharType="separate"/>
        </w:r>
        <w:r>
          <w:rPr>
            <w:webHidden/>
          </w:rPr>
          <w:t>G-40</w:t>
        </w:r>
        <w:r>
          <w:rPr>
            <w:webHidden/>
          </w:rPr>
          <w:fldChar w:fldCharType="end"/>
        </w:r>
      </w:hyperlink>
    </w:p>
    <w:p w14:paraId="1732B519" w14:textId="650681BE" w:rsidR="00067371" w:rsidRDefault="00067371">
      <w:pPr>
        <w:pStyle w:val="TOC3"/>
        <w:rPr>
          <w:rFonts w:asciiTheme="minorHAnsi" w:eastAsiaTheme="minorEastAsia" w:hAnsiTheme="minorHAnsi" w:cstheme="minorBidi"/>
          <w:kern w:val="2"/>
          <w:sz w:val="24"/>
          <w:szCs w:val="24"/>
          <w14:ligatures w14:val="standardContextual"/>
        </w:rPr>
      </w:pPr>
      <w:hyperlink w:anchor="_Toc214283688" w:history="1">
        <w:r w:rsidRPr="008F4954">
          <w:rPr>
            <w:rStyle w:val="Hyperlink"/>
          </w:rPr>
          <w:t>G.1.5</w:t>
        </w:r>
        <w:r>
          <w:rPr>
            <w:rFonts w:asciiTheme="minorHAnsi" w:eastAsiaTheme="minorEastAsia" w:hAnsiTheme="minorHAnsi" w:cstheme="minorBidi"/>
            <w:kern w:val="2"/>
            <w:sz w:val="24"/>
            <w:szCs w:val="24"/>
            <w14:ligatures w14:val="standardContextual"/>
          </w:rPr>
          <w:tab/>
        </w:r>
        <w:r w:rsidRPr="008F4954">
          <w:rPr>
            <w:rStyle w:val="Hyperlink"/>
          </w:rPr>
          <w:t>ACMS Query</w:t>
        </w:r>
        <w:r>
          <w:rPr>
            <w:webHidden/>
          </w:rPr>
          <w:tab/>
        </w:r>
        <w:r>
          <w:rPr>
            <w:webHidden/>
          </w:rPr>
          <w:fldChar w:fldCharType="begin"/>
        </w:r>
        <w:r>
          <w:rPr>
            <w:webHidden/>
          </w:rPr>
          <w:instrText xml:space="preserve"> PAGEREF _Toc214283688 \h </w:instrText>
        </w:r>
        <w:r>
          <w:rPr>
            <w:webHidden/>
          </w:rPr>
        </w:r>
        <w:r>
          <w:rPr>
            <w:webHidden/>
          </w:rPr>
          <w:fldChar w:fldCharType="separate"/>
        </w:r>
        <w:r>
          <w:rPr>
            <w:webHidden/>
          </w:rPr>
          <w:t>G-47</w:t>
        </w:r>
        <w:r>
          <w:rPr>
            <w:webHidden/>
          </w:rPr>
          <w:fldChar w:fldCharType="end"/>
        </w:r>
      </w:hyperlink>
    </w:p>
    <w:p w14:paraId="0F5A3E33" w14:textId="7ADD15A2"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689" w:history="1">
        <w:r w:rsidRPr="008F4954">
          <w:rPr>
            <w:rStyle w:val="Hyperlink"/>
          </w:rPr>
          <w:t>APPENDIX H LISTING OF IQVC AND VERIFICATIONS PERFORMED ON MISSION DATA</w:t>
        </w:r>
        <w:r>
          <w:rPr>
            <w:webHidden/>
          </w:rPr>
          <w:tab/>
        </w:r>
        <w:r>
          <w:rPr>
            <w:webHidden/>
          </w:rPr>
          <w:fldChar w:fldCharType="begin"/>
        </w:r>
        <w:r>
          <w:rPr>
            <w:webHidden/>
          </w:rPr>
          <w:instrText xml:space="preserve"> PAGEREF _Toc214283689 \h </w:instrText>
        </w:r>
        <w:r>
          <w:rPr>
            <w:webHidden/>
          </w:rPr>
        </w:r>
        <w:r>
          <w:rPr>
            <w:webHidden/>
          </w:rPr>
          <w:fldChar w:fldCharType="separate"/>
        </w:r>
        <w:r>
          <w:rPr>
            <w:webHidden/>
          </w:rPr>
          <w:t>H-1</w:t>
        </w:r>
        <w:r>
          <w:rPr>
            <w:webHidden/>
          </w:rPr>
          <w:fldChar w:fldCharType="end"/>
        </w:r>
      </w:hyperlink>
    </w:p>
    <w:p w14:paraId="1410F443" w14:textId="5ACA17CD"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690" w:history="1">
        <w:r w:rsidRPr="008F4954">
          <w:rPr>
            <w:rStyle w:val="Hyperlink"/>
          </w:rPr>
          <w:t>APPENDIX I PRECISION STRIKE TOMAHAWK (PST)</w:t>
        </w:r>
        <w:r>
          <w:rPr>
            <w:webHidden/>
          </w:rPr>
          <w:tab/>
        </w:r>
        <w:r>
          <w:rPr>
            <w:webHidden/>
          </w:rPr>
          <w:fldChar w:fldCharType="begin"/>
        </w:r>
        <w:r>
          <w:rPr>
            <w:webHidden/>
          </w:rPr>
          <w:instrText xml:space="preserve"> PAGEREF _Toc214283690 \h </w:instrText>
        </w:r>
        <w:r>
          <w:rPr>
            <w:webHidden/>
          </w:rPr>
        </w:r>
        <w:r>
          <w:rPr>
            <w:webHidden/>
          </w:rPr>
          <w:fldChar w:fldCharType="separate"/>
        </w:r>
        <w:r>
          <w:rPr>
            <w:webHidden/>
          </w:rPr>
          <w:t>I-1</w:t>
        </w:r>
        <w:r>
          <w:rPr>
            <w:webHidden/>
          </w:rPr>
          <w:fldChar w:fldCharType="end"/>
        </w:r>
      </w:hyperlink>
    </w:p>
    <w:p w14:paraId="697757A0" w14:textId="17457BF8"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91" w:history="1">
        <w:r w:rsidRPr="008F4954">
          <w:rPr>
            <w:rStyle w:val="Hyperlink"/>
          </w:rPr>
          <w:t>I.1</w:t>
        </w:r>
        <w:r>
          <w:rPr>
            <w:rFonts w:asciiTheme="minorHAnsi" w:eastAsiaTheme="minorEastAsia" w:hAnsiTheme="minorHAnsi" w:cstheme="minorBidi"/>
            <w:smallCaps w:val="0"/>
            <w:kern w:val="2"/>
            <w:szCs w:val="24"/>
            <w14:ligatures w14:val="standardContextual"/>
          </w:rPr>
          <w:tab/>
        </w:r>
        <w:r w:rsidRPr="008F4954">
          <w:rPr>
            <w:rStyle w:val="Hyperlink"/>
          </w:rPr>
          <w:t>INTRODUCTION</w:t>
        </w:r>
        <w:r>
          <w:rPr>
            <w:webHidden/>
          </w:rPr>
          <w:tab/>
        </w:r>
        <w:r>
          <w:rPr>
            <w:webHidden/>
          </w:rPr>
          <w:fldChar w:fldCharType="begin"/>
        </w:r>
        <w:r>
          <w:rPr>
            <w:webHidden/>
          </w:rPr>
          <w:instrText xml:space="preserve"> PAGEREF _Toc214283691 \h </w:instrText>
        </w:r>
        <w:r>
          <w:rPr>
            <w:webHidden/>
          </w:rPr>
        </w:r>
        <w:r>
          <w:rPr>
            <w:webHidden/>
          </w:rPr>
          <w:fldChar w:fldCharType="separate"/>
        </w:r>
        <w:r>
          <w:rPr>
            <w:webHidden/>
          </w:rPr>
          <w:t>I-1</w:t>
        </w:r>
        <w:r>
          <w:rPr>
            <w:webHidden/>
          </w:rPr>
          <w:fldChar w:fldCharType="end"/>
        </w:r>
      </w:hyperlink>
    </w:p>
    <w:p w14:paraId="22697230" w14:textId="3AA3E09D"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92" w:history="1">
        <w:r w:rsidRPr="008F4954">
          <w:rPr>
            <w:rStyle w:val="Hyperlink"/>
          </w:rPr>
          <w:t>I.2</w:t>
        </w:r>
        <w:r>
          <w:rPr>
            <w:rFonts w:asciiTheme="minorHAnsi" w:eastAsiaTheme="minorEastAsia" w:hAnsiTheme="minorHAnsi" w:cstheme="minorBidi"/>
            <w:smallCaps w:val="0"/>
            <w:kern w:val="2"/>
            <w:szCs w:val="24"/>
            <w14:ligatures w14:val="standardContextual"/>
          </w:rPr>
          <w:tab/>
        </w:r>
        <w:r w:rsidRPr="008F4954">
          <w:rPr>
            <w:rStyle w:val="Hyperlink"/>
          </w:rPr>
          <w:t>ALL UP ROUND (AUR)</w:t>
        </w:r>
        <w:r>
          <w:rPr>
            <w:webHidden/>
          </w:rPr>
          <w:tab/>
        </w:r>
        <w:r>
          <w:rPr>
            <w:webHidden/>
          </w:rPr>
          <w:fldChar w:fldCharType="begin"/>
        </w:r>
        <w:r>
          <w:rPr>
            <w:webHidden/>
          </w:rPr>
          <w:instrText xml:space="preserve"> PAGEREF _Toc214283692 \h </w:instrText>
        </w:r>
        <w:r>
          <w:rPr>
            <w:webHidden/>
          </w:rPr>
        </w:r>
        <w:r>
          <w:rPr>
            <w:webHidden/>
          </w:rPr>
          <w:fldChar w:fldCharType="separate"/>
        </w:r>
        <w:r>
          <w:rPr>
            <w:webHidden/>
          </w:rPr>
          <w:t>I-1</w:t>
        </w:r>
        <w:r>
          <w:rPr>
            <w:webHidden/>
          </w:rPr>
          <w:fldChar w:fldCharType="end"/>
        </w:r>
      </w:hyperlink>
    </w:p>
    <w:p w14:paraId="424E65D7" w14:textId="064B308F" w:rsidR="00067371" w:rsidRDefault="00067371">
      <w:pPr>
        <w:pStyle w:val="TOC3"/>
        <w:rPr>
          <w:rFonts w:asciiTheme="minorHAnsi" w:eastAsiaTheme="minorEastAsia" w:hAnsiTheme="minorHAnsi" w:cstheme="minorBidi"/>
          <w:kern w:val="2"/>
          <w:sz w:val="24"/>
          <w:szCs w:val="24"/>
          <w14:ligatures w14:val="standardContextual"/>
        </w:rPr>
      </w:pPr>
      <w:hyperlink w:anchor="_Toc214283693" w:history="1">
        <w:r w:rsidRPr="008F4954">
          <w:rPr>
            <w:rStyle w:val="Hyperlink"/>
          </w:rPr>
          <w:t>I.2.1</w:t>
        </w:r>
        <w:r>
          <w:rPr>
            <w:rFonts w:asciiTheme="minorHAnsi" w:eastAsiaTheme="minorEastAsia" w:hAnsiTheme="minorHAnsi" w:cstheme="minorBidi"/>
            <w:kern w:val="2"/>
            <w:sz w:val="24"/>
            <w:szCs w:val="24"/>
            <w14:ligatures w14:val="standardContextual"/>
          </w:rPr>
          <w:tab/>
        </w:r>
        <w:r w:rsidRPr="008F4954">
          <w:rPr>
            <w:rStyle w:val="Hyperlink"/>
          </w:rPr>
          <w:t>Pre-Launch</w:t>
        </w:r>
        <w:r>
          <w:rPr>
            <w:webHidden/>
          </w:rPr>
          <w:tab/>
        </w:r>
        <w:r>
          <w:rPr>
            <w:webHidden/>
          </w:rPr>
          <w:fldChar w:fldCharType="begin"/>
        </w:r>
        <w:r>
          <w:rPr>
            <w:webHidden/>
          </w:rPr>
          <w:instrText xml:space="preserve"> PAGEREF _Toc214283693 \h </w:instrText>
        </w:r>
        <w:r>
          <w:rPr>
            <w:webHidden/>
          </w:rPr>
        </w:r>
        <w:r>
          <w:rPr>
            <w:webHidden/>
          </w:rPr>
          <w:fldChar w:fldCharType="separate"/>
        </w:r>
        <w:r>
          <w:rPr>
            <w:webHidden/>
          </w:rPr>
          <w:t>I-1</w:t>
        </w:r>
        <w:r>
          <w:rPr>
            <w:webHidden/>
          </w:rPr>
          <w:fldChar w:fldCharType="end"/>
        </w:r>
      </w:hyperlink>
    </w:p>
    <w:p w14:paraId="54A5D11B" w14:textId="48BCCCF8" w:rsidR="00067371" w:rsidRDefault="00067371">
      <w:pPr>
        <w:pStyle w:val="TOC3"/>
        <w:rPr>
          <w:rFonts w:asciiTheme="minorHAnsi" w:eastAsiaTheme="minorEastAsia" w:hAnsiTheme="minorHAnsi" w:cstheme="minorBidi"/>
          <w:kern w:val="2"/>
          <w:sz w:val="24"/>
          <w:szCs w:val="24"/>
          <w14:ligatures w14:val="standardContextual"/>
        </w:rPr>
      </w:pPr>
      <w:hyperlink w:anchor="_Toc214283694" w:history="1">
        <w:r w:rsidRPr="008F4954">
          <w:rPr>
            <w:rStyle w:val="Hyperlink"/>
          </w:rPr>
          <w:t>I.2.2</w:t>
        </w:r>
        <w:r>
          <w:rPr>
            <w:rFonts w:asciiTheme="minorHAnsi" w:eastAsiaTheme="minorEastAsia" w:hAnsiTheme="minorHAnsi" w:cstheme="minorBidi"/>
            <w:kern w:val="2"/>
            <w:sz w:val="24"/>
            <w:szCs w:val="24"/>
            <w14:ligatures w14:val="standardContextual"/>
          </w:rPr>
          <w:tab/>
        </w:r>
        <w:r w:rsidRPr="008F4954">
          <w:rPr>
            <w:rStyle w:val="Hyperlink"/>
          </w:rPr>
          <w:t>In-Flight</w:t>
        </w:r>
        <w:r>
          <w:rPr>
            <w:webHidden/>
          </w:rPr>
          <w:tab/>
        </w:r>
        <w:r>
          <w:rPr>
            <w:webHidden/>
          </w:rPr>
          <w:fldChar w:fldCharType="begin"/>
        </w:r>
        <w:r>
          <w:rPr>
            <w:webHidden/>
          </w:rPr>
          <w:instrText xml:space="preserve"> PAGEREF _Toc214283694 \h </w:instrText>
        </w:r>
        <w:r>
          <w:rPr>
            <w:webHidden/>
          </w:rPr>
        </w:r>
        <w:r>
          <w:rPr>
            <w:webHidden/>
          </w:rPr>
          <w:fldChar w:fldCharType="separate"/>
        </w:r>
        <w:r>
          <w:rPr>
            <w:webHidden/>
          </w:rPr>
          <w:t>I-1</w:t>
        </w:r>
        <w:r>
          <w:rPr>
            <w:webHidden/>
          </w:rPr>
          <w:fldChar w:fldCharType="end"/>
        </w:r>
      </w:hyperlink>
    </w:p>
    <w:p w14:paraId="7853D724" w14:textId="1E8E6401"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95" w:history="1">
        <w:r w:rsidRPr="008F4954">
          <w:rPr>
            <w:rStyle w:val="Hyperlink"/>
          </w:rPr>
          <w:t>I.3</w:t>
        </w:r>
        <w:r>
          <w:rPr>
            <w:rFonts w:asciiTheme="minorHAnsi" w:eastAsiaTheme="minorEastAsia" w:hAnsiTheme="minorHAnsi" w:cstheme="minorBidi"/>
            <w:smallCaps w:val="0"/>
            <w:kern w:val="2"/>
            <w:szCs w:val="24"/>
            <w14:ligatures w14:val="standardContextual"/>
          </w:rPr>
          <w:tab/>
        </w:r>
        <w:r w:rsidRPr="008F4954">
          <w:rPr>
            <w:rStyle w:val="Hyperlink"/>
          </w:rPr>
          <w:t>MISSION PLANNING AND C2 SYSTEMS</w:t>
        </w:r>
        <w:r>
          <w:rPr>
            <w:webHidden/>
          </w:rPr>
          <w:tab/>
        </w:r>
        <w:r>
          <w:rPr>
            <w:webHidden/>
          </w:rPr>
          <w:fldChar w:fldCharType="begin"/>
        </w:r>
        <w:r>
          <w:rPr>
            <w:webHidden/>
          </w:rPr>
          <w:instrText xml:space="preserve"> PAGEREF _Toc214283695 \h </w:instrText>
        </w:r>
        <w:r>
          <w:rPr>
            <w:webHidden/>
          </w:rPr>
        </w:r>
        <w:r>
          <w:rPr>
            <w:webHidden/>
          </w:rPr>
          <w:fldChar w:fldCharType="separate"/>
        </w:r>
        <w:r>
          <w:rPr>
            <w:webHidden/>
          </w:rPr>
          <w:t>I-1</w:t>
        </w:r>
        <w:r>
          <w:rPr>
            <w:webHidden/>
          </w:rPr>
          <w:fldChar w:fldCharType="end"/>
        </w:r>
      </w:hyperlink>
    </w:p>
    <w:p w14:paraId="43717438" w14:textId="11A2B7CA" w:rsidR="00067371" w:rsidRDefault="00067371">
      <w:pPr>
        <w:pStyle w:val="TOC3"/>
        <w:rPr>
          <w:rFonts w:asciiTheme="minorHAnsi" w:eastAsiaTheme="minorEastAsia" w:hAnsiTheme="minorHAnsi" w:cstheme="minorBidi"/>
          <w:kern w:val="2"/>
          <w:sz w:val="24"/>
          <w:szCs w:val="24"/>
          <w14:ligatures w14:val="standardContextual"/>
        </w:rPr>
      </w:pPr>
      <w:hyperlink w:anchor="_Toc214283696" w:history="1">
        <w:r w:rsidRPr="008F4954">
          <w:rPr>
            <w:rStyle w:val="Hyperlink"/>
          </w:rPr>
          <w:t>I.3.1</w:t>
        </w:r>
        <w:r>
          <w:rPr>
            <w:rFonts w:asciiTheme="minorHAnsi" w:eastAsiaTheme="minorEastAsia" w:hAnsiTheme="minorHAnsi" w:cstheme="minorBidi"/>
            <w:kern w:val="2"/>
            <w:sz w:val="24"/>
            <w:szCs w:val="24"/>
            <w14:ligatures w14:val="standardContextual"/>
          </w:rPr>
          <w:tab/>
        </w:r>
        <w:r w:rsidRPr="008F4954">
          <w:rPr>
            <w:rStyle w:val="Hyperlink"/>
          </w:rPr>
          <w:t>Safe Route</w:t>
        </w:r>
        <w:r>
          <w:rPr>
            <w:webHidden/>
          </w:rPr>
          <w:tab/>
        </w:r>
        <w:r>
          <w:rPr>
            <w:webHidden/>
          </w:rPr>
          <w:fldChar w:fldCharType="begin"/>
        </w:r>
        <w:r>
          <w:rPr>
            <w:webHidden/>
          </w:rPr>
          <w:instrText xml:space="preserve"> PAGEREF _Toc214283696 \h </w:instrText>
        </w:r>
        <w:r>
          <w:rPr>
            <w:webHidden/>
          </w:rPr>
        </w:r>
        <w:r>
          <w:rPr>
            <w:webHidden/>
          </w:rPr>
          <w:fldChar w:fldCharType="separate"/>
        </w:r>
        <w:r>
          <w:rPr>
            <w:webHidden/>
          </w:rPr>
          <w:t>I-2</w:t>
        </w:r>
        <w:r>
          <w:rPr>
            <w:webHidden/>
          </w:rPr>
          <w:fldChar w:fldCharType="end"/>
        </w:r>
      </w:hyperlink>
    </w:p>
    <w:p w14:paraId="728450CC" w14:textId="5CA4BA08" w:rsidR="00067371" w:rsidRDefault="00067371">
      <w:pPr>
        <w:pStyle w:val="TOC3"/>
        <w:rPr>
          <w:rFonts w:asciiTheme="minorHAnsi" w:eastAsiaTheme="minorEastAsia" w:hAnsiTheme="minorHAnsi" w:cstheme="minorBidi"/>
          <w:kern w:val="2"/>
          <w:sz w:val="24"/>
          <w:szCs w:val="24"/>
          <w14:ligatures w14:val="standardContextual"/>
        </w:rPr>
      </w:pPr>
      <w:hyperlink w:anchor="_Toc214283697" w:history="1">
        <w:r w:rsidRPr="008F4954">
          <w:rPr>
            <w:rStyle w:val="Hyperlink"/>
          </w:rPr>
          <w:t>I.3.2</w:t>
        </w:r>
        <w:r>
          <w:rPr>
            <w:rFonts w:asciiTheme="minorHAnsi" w:eastAsiaTheme="minorEastAsia" w:hAnsiTheme="minorHAnsi" w:cstheme="minorBidi"/>
            <w:kern w:val="2"/>
            <w:sz w:val="24"/>
            <w:szCs w:val="24"/>
            <w14:ligatures w14:val="standardContextual"/>
          </w:rPr>
          <w:tab/>
        </w:r>
        <w:r w:rsidRPr="008F4954">
          <w:rPr>
            <w:rStyle w:val="Hyperlink"/>
          </w:rPr>
          <w:t>Off-Route Divert Area</w:t>
        </w:r>
        <w:r>
          <w:rPr>
            <w:webHidden/>
          </w:rPr>
          <w:tab/>
        </w:r>
        <w:r>
          <w:rPr>
            <w:webHidden/>
          </w:rPr>
          <w:fldChar w:fldCharType="begin"/>
        </w:r>
        <w:r>
          <w:rPr>
            <w:webHidden/>
          </w:rPr>
          <w:instrText xml:space="preserve"> PAGEREF _Toc214283697 \h </w:instrText>
        </w:r>
        <w:r>
          <w:rPr>
            <w:webHidden/>
          </w:rPr>
        </w:r>
        <w:r>
          <w:rPr>
            <w:webHidden/>
          </w:rPr>
          <w:fldChar w:fldCharType="separate"/>
        </w:r>
        <w:r>
          <w:rPr>
            <w:webHidden/>
          </w:rPr>
          <w:t>I-2</w:t>
        </w:r>
        <w:r>
          <w:rPr>
            <w:webHidden/>
          </w:rPr>
          <w:fldChar w:fldCharType="end"/>
        </w:r>
      </w:hyperlink>
    </w:p>
    <w:p w14:paraId="591C94C0" w14:textId="2A798019" w:rsidR="00067371" w:rsidRDefault="00067371">
      <w:pPr>
        <w:pStyle w:val="TOC3"/>
        <w:rPr>
          <w:rFonts w:asciiTheme="minorHAnsi" w:eastAsiaTheme="minorEastAsia" w:hAnsiTheme="minorHAnsi" w:cstheme="minorBidi"/>
          <w:kern w:val="2"/>
          <w:sz w:val="24"/>
          <w:szCs w:val="24"/>
          <w14:ligatures w14:val="standardContextual"/>
        </w:rPr>
      </w:pPr>
      <w:hyperlink w:anchor="_Toc214283698" w:history="1">
        <w:r w:rsidRPr="008F4954">
          <w:rPr>
            <w:rStyle w:val="Hyperlink"/>
          </w:rPr>
          <w:t>I.3.3</w:t>
        </w:r>
        <w:r>
          <w:rPr>
            <w:rFonts w:asciiTheme="minorHAnsi" w:eastAsiaTheme="minorEastAsia" w:hAnsiTheme="minorHAnsi" w:cstheme="minorBidi"/>
            <w:kern w:val="2"/>
            <w:sz w:val="24"/>
            <w:szCs w:val="24"/>
            <w14:ligatures w14:val="standardContextual"/>
          </w:rPr>
          <w:tab/>
        </w:r>
        <w:r w:rsidRPr="008F4954">
          <w:rPr>
            <w:rStyle w:val="Hyperlink"/>
          </w:rPr>
          <w:t>Alternate Aimpoints</w:t>
        </w:r>
        <w:r>
          <w:rPr>
            <w:webHidden/>
          </w:rPr>
          <w:tab/>
        </w:r>
        <w:r>
          <w:rPr>
            <w:webHidden/>
          </w:rPr>
          <w:fldChar w:fldCharType="begin"/>
        </w:r>
        <w:r>
          <w:rPr>
            <w:webHidden/>
          </w:rPr>
          <w:instrText xml:space="preserve"> PAGEREF _Toc214283698 \h </w:instrText>
        </w:r>
        <w:r>
          <w:rPr>
            <w:webHidden/>
          </w:rPr>
        </w:r>
        <w:r>
          <w:rPr>
            <w:webHidden/>
          </w:rPr>
          <w:fldChar w:fldCharType="separate"/>
        </w:r>
        <w:r>
          <w:rPr>
            <w:webHidden/>
          </w:rPr>
          <w:t>I-2</w:t>
        </w:r>
        <w:r>
          <w:rPr>
            <w:webHidden/>
          </w:rPr>
          <w:fldChar w:fldCharType="end"/>
        </w:r>
      </w:hyperlink>
    </w:p>
    <w:p w14:paraId="3883604B" w14:textId="6FD8B381"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699" w:history="1">
        <w:r w:rsidRPr="008F4954">
          <w:rPr>
            <w:rStyle w:val="Hyperlink"/>
          </w:rPr>
          <w:t>I.4</w:t>
        </w:r>
        <w:r>
          <w:rPr>
            <w:rFonts w:asciiTheme="minorHAnsi" w:eastAsiaTheme="minorEastAsia" w:hAnsiTheme="minorHAnsi" w:cstheme="minorBidi"/>
            <w:smallCaps w:val="0"/>
            <w:kern w:val="2"/>
            <w:szCs w:val="24"/>
            <w14:ligatures w14:val="standardContextual"/>
          </w:rPr>
          <w:tab/>
        </w:r>
        <w:r w:rsidRPr="008F4954">
          <w:rPr>
            <w:rStyle w:val="Hyperlink"/>
          </w:rPr>
          <w:t>FIRE CONTROL SYSTEM (FCS)</w:t>
        </w:r>
        <w:r>
          <w:rPr>
            <w:webHidden/>
          </w:rPr>
          <w:tab/>
        </w:r>
        <w:r>
          <w:rPr>
            <w:webHidden/>
          </w:rPr>
          <w:fldChar w:fldCharType="begin"/>
        </w:r>
        <w:r>
          <w:rPr>
            <w:webHidden/>
          </w:rPr>
          <w:instrText xml:space="preserve"> PAGEREF _Toc214283699 \h </w:instrText>
        </w:r>
        <w:r>
          <w:rPr>
            <w:webHidden/>
          </w:rPr>
        </w:r>
        <w:r>
          <w:rPr>
            <w:webHidden/>
          </w:rPr>
          <w:fldChar w:fldCharType="separate"/>
        </w:r>
        <w:r>
          <w:rPr>
            <w:webHidden/>
          </w:rPr>
          <w:t>I-2</w:t>
        </w:r>
        <w:r>
          <w:rPr>
            <w:webHidden/>
          </w:rPr>
          <w:fldChar w:fldCharType="end"/>
        </w:r>
      </w:hyperlink>
    </w:p>
    <w:p w14:paraId="2311EF38" w14:textId="1A874312"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00" w:history="1">
        <w:r w:rsidRPr="008F4954">
          <w:rPr>
            <w:rStyle w:val="Hyperlink"/>
          </w:rPr>
          <w:t>I.5</w:t>
        </w:r>
        <w:r>
          <w:rPr>
            <w:rFonts w:asciiTheme="minorHAnsi" w:eastAsiaTheme="minorEastAsia" w:hAnsiTheme="minorHAnsi" w:cstheme="minorBidi"/>
            <w:smallCaps w:val="0"/>
            <w:kern w:val="2"/>
            <w:szCs w:val="24"/>
            <w14:ligatures w14:val="standardContextual"/>
          </w:rPr>
          <w:tab/>
        </w:r>
        <w:r w:rsidRPr="008F4954">
          <w:rPr>
            <w:rStyle w:val="Hyperlink"/>
          </w:rPr>
          <w:t>EMPLOYMENT CONSIDERATIONS</w:t>
        </w:r>
        <w:r>
          <w:rPr>
            <w:webHidden/>
          </w:rPr>
          <w:tab/>
        </w:r>
        <w:r>
          <w:rPr>
            <w:webHidden/>
          </w:rPr>
          <w:fldChar w:fldCharType="begin"/>
        </w:r>
        <w:r>
          <w:rPr>
            <w:webHidden/>
          </w:rPr>
          <w:instrText xml:space="preserve"> PAGEREF _Toc214283700 \h </w:instrText>
        </w:r>
        <w:r>
          <w:rPr>
            <w:webHidden/>
          </w:rPr>
        </w:r>
        <w:r>
          <w:rPr>
            <w:webHidden/>
          </w:rPr>
          <w:fldChar w:fldCharType="separate"/>
        </w:r>
        <w:r>
          <w:rPr>
            <w:webHidden/>
          </w:rPr>
          <w:t>I-2</w:t>
        </w:r>
        <w:r>
          <w:rPr>
            <w:webHidden/>
          </w:rPr>
          <w:fldChar w:fldCharType="end"/>
        </w:r>
      </w:hyperlink>
    </w:p>
    <w:p w14:paraId="0213063F" w14:textId="66153864" w:rsidR="00067371" w:rsidRDefault="00067371">
      <w:pPr>
        <w:pStyle w:val="TOC3"/>
        <w:rPr>
          <w:rFonts w:asciiTheme="minorHAnsi" w:eastAsiaTheme="minorEastAsia" w:hAnsiTheme="minorHAnsi" w:cstheme="minorBidi"/>
          <w:kern w:val="2"/>
          <w:sz w:val="24"/>
          <w:szCs w:val="24"/>
          <w14:ligatures w14:val="standardContextual"/>
        </w:rPr>
      </w:pPr>
      <w:hyperlink w:anchor="_Toc214283701" w:history="1">
        <w:r w:rsidRPr="008F4954">
          <w:rPr>
            <w:rStyle w:val="Hyperlink"/>
          </w:rPr>
          <w:t>I.5.1</w:t>
        </w:r>
        <w:r>
          <w:rPr>
            <w:rFonts w:asciiTheme="minorHAnsi" w:eastAsiaTheme="minorEastAsia" w:hAnsiTheme="minorHAnsi" w:cstheme="minorBidi"/>
            <w:kern w:val="2"/>
            <w:sz w:val="24"/>
            <w:szCs w:val="24"/>
            <w14:ligatures w14:val="standardContextual"/>
          </w:rPr>
          <w:tab/>
        </w:r>
        <w:r w:rsidRPr="008F4954">
          <w:rPr>
            <w:rStyle w:val="Hyperlink"/>
          </w:rPr>
          <w:t>PST Command Word</w:t>
        </w:r>
        <w:r>
          <w:rPr>
            <w:webHidden/>
          </w:rPr>
          <w:tab/>
        </w:r>
        <w:r>
          <w:rPr>
            <w:webHidden/>
          </w:rPr>
          <w:fldChar w:fldCharType="begin"/>
        </w:r>
        <w:r>
          <w:rPr>
            <w:webHidden/>
          </w:rPr>
          <w:instrText xml:space="preserve"> PAGEREF _Toc214283701 \h </w:instrText>
        </w:r>
        <w:r>
          <w:rPr>
            <w:webHidden/>
          </w:rPr>
        </w:r>
        <w:r>
          <w:rPr>
            <w:webHidden/>
          </w:rPr>
          <w:fldChar w:fldCharType="separate"/>
        </w:r>
        <w:r>
          <w:rPr>
            <w:webHidden/>
          </w:rPr>
          <w:t>I-3</w:t>
        </w:r>
        <w:r>
          <w:rPr>
            <w:webHidden/>
          </w:rPr>
          <w:fldChar w:fldCharType="end"/>
        </w:r>
      </w:hyperlink>
    </w:p>
    <w:p w14:paraId="2EE35CA1" w14:textId="3205B5FD"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02" w:history="1">
        <w:r w:rsidRPr="008F4954">
          <w:rPr>
            <w:rStyle w:val="Hyperlink"/>
          </w:rPr>
          <w:t>APPENDIX J DISTRIBUTION OF TCIDBS TO A TTWCS PLATFORM</w:t>
        </w:r>
        <w:r>
          <w:rPr>
            <w:webHidden/>
          </w:rPr>
          <w:tab/>
        </w:r>
        <w:r>
          <w:rPr>
            <w:webHidden/>
          </w:rPr>
          <w:fldChar w:fldCharType="begin"/>
        </w:r>
        <w:r>
          <w:rPr>
            <w:webHidden/>
          </w:rPr>
          <w:instrText xml:space="preserve"> PAGEREF _Toc214283702 \h </w:instrText>
        </w:r>
        <w:r>
          <w:rPr>
            <w:webHidden/>
          </w:rPr>
        </w:r>
        <w:r>
          <w:rPr>
            <w:webHidden/>
          </w:rPr>
          <w:fldChar w:fldCharType="separate"/>
        </w:r>
        <w:r>
          <w:rPr>
            <w:webHidden/>
          </w:rPr>
          <w:t>J-1</w:t>
        </w:r>
        <w:r>
          <w:rPr>
            <w:webHidden/>
          </w:rPr>
          <w:fldChar w:fldCharType="end"/>
        </w:r>
      </w:hyperlink>
    </w:p>
    <w:p w14:paraId="636559BD" w14:textId="0BB741CC"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03" w:history="1">
        <w:r w:rsidRPr="008F4954">
          <w:rPr>
            <w:rStyle w:val="Hyperlink"/>
            <w:bCs/>
          </w:rPr>
          <w:t>APPENDIX K</w:t>
        </w:r>
        <w:r w:rsidRPr="008F4954">
          <w:rPr>
            <w:rStyle w:val="Hyperlink"/>
          </w:rPr>
          <w:t xml:space="preserve"> DISTRIBUTION LIMITATION NOTES</w:t>
        </w:r>
        <w:r>
          <w:rPr>
            <w:webHidden/>
          </w:rPr>
          <w:tab/>
        </w:r>
        <w:r>
          <w:rPr>
            <w:webHidden/>
          </w:rPr>
          <w:fldChar w:fldCharType="begin"/>
        </w:r>
        <w:r>
          <w:rPr>
            <w:webHidden/>
          </w:rPr>
          <w:instrText xml:space="preserve"> PAGEREF _Toc214283703 \h </w:instrText>
        </w:r>
        <w:r>
          <w:rPr>
            <w:webHidden/>
          </w:rPr>
        </w:r>
        <w:r>
          <w:rPr>
            <w:webHidden/>
          </w:rPr>
          <w:fldChar w:fldCharType="separate"/>
        </w:r>
        <w:r>
          <w:rPr>
            <w:webHidden/>
          </w:rPr>
          <w:t>K-1</w:t>
        </w:r>
        <w:r>
          <w:rPr>
            <w:webHidden/>
          </w:rPr>
          <w:fldChar w:fldCharType="end"/>
        </w:r>
      </w:hyperlink>
    </w:p>
    <w:p w14:paraId="4230A2EB" w14:textId="6642A045"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04" w:history="1">
        <w:r w:rsidRPr="008F4954">
          <w:rPr>
            <w:rStyle w:val="Hyperlink"/>
          </w:rPr>
          <w:t>APPENDIX L MDS TROUBLESHOOTING GUIDE</w:t>
        </w:r>
        <w:r>
          <w:rPr>
            <w:webHidden/>
          </w:rPr>
          <w:tab/>
        </w:r>
        <w:r>
          <w:rPr>
            <w:webHidden/>
          </w:rPr>
          <w:fldChar w:fldCharType="begin"/>
        </w:r>
        <w:r>
          <w:rPr>
            <w:webHidden/>
          </w:rPr>
          <w:instrText xml:space="preserve"> PAGEREF _Toc214283704 \h </w:instrText>
        </w:r>
        <w:r>
          <w:rPr>
            <w:webHidden/>
          </w:rPr>
        </w:r>
        <w:r>
          <w:rPr>
            <w:webHidden/>
          </w:rPr>
          <w:fldChar w:fldCharType="separate"/>
        </w:r>
        <w:r>
          <w:rPr>
            <w:webHidden/>
          </w:rPr>
          <w:t>L-1</w:t>
        </w:r>
        <w:r>
          <w:rPr>
            <w:webHidden/>
          </w:rPr>
          <w:fldChar w:fldCharType="end"/>
        </w:r>
      </w:hyperlink>
    </w:p>
    <w:p w14:paraId="5EE6E37E" w14:textId="411FA3F1"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05" w:history="1">
        <w:r w:rsidRPr="008F4954">
          <w:rPr>
            <w:rStyle w:val="Hyperlink"/>
          </w:rPr>
          <w:t>L.1</w:t>
        </w:r>
        <w:r>
          <w:rPr>
            <w:rFonts w:asciiTheme="minorHAnsi" w:eastAsiaTheme="minorEastAsia" w:hAnsiTheme="minorHAnsi" w:cstheme="minorBidi"/>
            <w:smallCaps w:val="0"/>
            <w:kern w:val="2"/>
            <w:szCs w:val="24"/>
            <w14:ligatures w14:val="standardContextual"/>
          </w:rPr>
          <w:tab/>
        </w:r>
        <w:r w:rsidRPr="008F4954">
          <w:rPr>
            <w:rStyle w:val="Hyperlink"/>
          </w:rPr>
          <w:t>MDS TROUBLESHOOTING</w:t>
        </w:r>
        <w:r>
          <w:rPr>
            <w:webHidden/>
          </w:rPr>
          <w:tab/>
        </w:r>
        <w:r>
          <w:rPr>
            <w:webHidden/>
          </w:rPr>
          <w:fldChar w:fldCharType="begin"/>
        </w:r>
        <w:r>
          <w:rPr>
            <w:webHidden/>
          </w:rPr>
          <w:instrText xml:space="preserve"> PAGEREF _Toc214283705 \h </w:instrText>
        </w:r>
        <w:r>
          <w:rPr>
            <w:webHidden/>
          </w:rPr>
        </w:r>
        <w:r>
          <w:rPr>
            <w:webHidden/>
          </w:rPr>
          <w:fldChar w:fldCharType="separate"/>
        </w:r>
        <w:r>
          <w:rPr>
            <w:webHidden/>
          </w:rPr>
          <w:t>L-2</w:t>
        </w:r>
        <w:r>
          <w:rPr>
            <w:webHidden/>
          </w:rPr>
          <w:fldChar w:fldCharType="end"/>
        </w:r>
      </w:hyperlink>
    </w:p>
    <w:p w14:paraId="5AB2359C" w14:textId="59397575"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06" w:history="1">
        <w:r w:rsidRPr="008F4954">
          <w:rPr>
            <w:rStyle w:val="Hyperlink"/>
          </w:rPr>
          <w:t>L.2</w:t>
        </w:r>
        <w:r>
          <w:rPr>
            <w:rFonts w:asciiTheme="minorHAnsi" w:eastAsiaTheme="minorEastAsia" w:hAnsiTheme="minorHAnsi" w:cstheme="minorBidi"/>
            <w:smallCaps w:val="0"/>
            <w:kern w:val="2"/>
            <w:szCs w:val="24"/>
            <w14:ligatures w14:val="standardContextual"/>
          </w:rPr>
          <w:tab/>
        </w:r>
        <w:r w:rsidRPr="008F4954">
          <w:rPr>
            <w:rStyle w:val="Hyperlink"/>
          </w:rPr>
          <w:t>VERIFY/SET AUTO CLOSE</w:t>
        </w:r>
        <w:r>
          <w:rPr>
            <w:webHidden/>
          </w:rPr>
          <w:tab/>
        </w:r>
        <w:r>
          <w:rPr>
            <w:webHidden/>
          </w:rPr>
          <w:fldChar w:fldCharType="begin"/>
        </w:r>
        <w:r>
          <w:rPr>
            <w:webHidden/>
          </w:rPr>
          <w:instrText xml:space="preserve"> PAGEREF _Toc214283706 \h </w:instrText>
        </w:r>
        <w:r>
          <w:rPr>
            <w:webHidden/>
          </w:rPr>
        </w:r>
        <w:r>
          <w:rPr>
            <w:webHidden/>
          </w:rPr>
          <w:fldChar w:fldCharType="separate"/>
        </w:r>
        <w:r>
          <w:rPr>
            <w:webHidden/>
          </w:rPr>
          <w:t>L-3</w:t>
        </w:r>
        <w:r>
          <w:rPr>
            <w:webHidden/>
          </w:rPr>
          <w:fldChar w:fldCharType="end"/>
        </w:r>
      </w:hyperlink>
    </w:p>
    <w:p w14:paraId="01BF7D8A" w14:textId="3F01D80D"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07" w:history="1">
        <w:r w:rsidRPr="008F4954">
          <w:rPr>
            <w:rStyle w:val="Hyperlink"/>
          </w:rPr>
          <w:t>L.3</w:t>
        </w:r>
        <w:r>
          <w:rPr>
            <w:rFonts w:asciiTheme="minorHAnsi" w:eastAsiaTheme="minorEastAsia" w:hAnsiTheme="minorHAnsi" w:cstheme="minorBidi"/>
            <w:smallCaps w:val="0"/>
            <w:kern w:val="2"/>
            <w:szCs w:val="24"/>
            <w14:ligatures w14:val="standardContextual"/>
          </w:rPr>
          <w:tab/>
        </w:r>
        <w:r w:rsidRPr="008F4954">
          <w:rPr>
            <w:rStyle w:val="Hyperlink"/>
          </w:rPr>
          <w:t>TED CONNECTION TROUBLESHOOTING</w:t>
        </w:r>
        <w:r>
          <w:rPr>
            <w:webHidden/>
          </w:rPr>
          <w:tab/>
        </w:r>
        <w:r>
          <w:rPr>
            <w:webHidden/>
          </w:rPr>
          <w:fldChar w:fldCharType="begin"/>
        </w:r>
        <w:r>
          <w:rPr>
            <w:webHidden/>
          </w:rPr>
          <w:instrText xml:space="preserve"> PAGEREF _Toc214283707 \h </w:instrText>
        </w:r>
        <w:r>
          <w:rPr>
            <w:webHidden/>
          </w:rPr>
        </w:r>
        <w:r>
          <w:rPr>
            <w:webHidden/>
          </w:rPr>
          <w:fldChar w:fldCharType="separate"/>
        </w:r>
        <w:r>
          <w:rPr>
            <w:webHidden/>
          </w:rPr>
          <w:t>L-4</w:t>
        </w:r>
        <w:r>
          <w:rPr>
            <w:webHidden/>
          </w:rPr>
          <w:fldChar w:fldCharType="end"/>
        </w:r>
      </w:hyperlink>
    </w:p>
    <w:p w14:paraId="2A3FBEC6" w14:textId="1E3C5F6B" w:rsidR="00067371" w:rsidRDefault="00067371">
      <w:pPr>
        <w:pStyle w:val="TOC3"/>
        <w:rPr>
          <w:rFonts w:asciiTheme="minorHAnsi" w:eastAsiaTheme="minorEastAsia" w:hAnsiTheme="minorHAnsi" w:cstheme="minorBidi"/>
          <w:kern w:val="2"/>
          <w:sz w:val="24"/>
          <w:szCs w:val="24"/>
          <w14:ligatures w14:val="standardContextual"/>
        </w:rPr>
      </w:pPr>
      <w:hyperlink w:anchor="_Toc214283708" w:history="1">
        <w:r w:rsidRPr="008F4954">
          <w:rPr>
            <w:rStyle w:val="Hyperlink"/>
          </w:rPr>
          <w:t>L.3.1</w:t>
        </w:r>
        <w:r>
          <w:rPr>
            <w:rFonts w:asciiTheme="minorHAnsi" w:eastAsiaTheme="minorEastAsia" w:hAnsiTheme="minorHAnsi" w:cstheme="minorBidi"/>
            <w:kern w:val="2"/>
            <w:sz w:val="24"/>
            <w:szCs w:val="24"/>
            <w14:ligatures w14:val="standardContextual"/>
          </w:rPr>
          <w:tab/>
        </w:r>
        <w:r w:rsidRPr="008F4954">
          <w:rPr>
            <w:rStyle w:val="Hyperlink"/>
          </w:rPr>
          <w:t>SQL Server Error 3417</w:t>
        </w:r>
        <w:r>
          <w:rPr>
            <w:webHidden/>
          </w:rPr>
          <w:tab/>
        </w:r>
        <w:r>
          <w:rPr>
            <w:webHidden/>
          </w:rPr>
          <w:fldChar w:fldCharType="begin"/>
        </w:r>
        <w:r>
          <w:rPr>
            <w:webHidden/>
          </w:rPr>
          <w:instrText xml:space="preserve"> PAGEREF _Toc214283708 \h </w:instrText>
        </w:r>
        <w:r>
          <w:rPr>
            <w:webHidden/>
          </w:rPr>
        </w:r>
        <w:r>
          <w:rPr>
            <w:webHidden/>
          </w:rPr>
          <w:fldChar w:fldCharType="separate"/>
        </w:r>
        <w:r>
          <w:rPr>
            <w:webHidden/>
          </w:rPr>
          <w:t>L-20</w:t>
        </w:r>
        <w:r>
          <w:rPr>
            <w:webHidden/>
          </w:rPr>
          <w:fldChar w:fldCharType="end"/>
        </w:r>
      </w:hyperlink>
    </w:p>
    <w:p w14:paraId="6A8668C7" w14:textId="6BDBE9E5" w:rsidR="00067371" w:rsidRDefault="00067371">
      <w:pPr>
        <w:pStyle w:val="TOC3"/>
        <w:rPr>
          <w:rFonts w:asciiTheme="minorHAnsi" w:eastAsiaTheme="minorEastAsia" w:hAnsiTheme="minorHAnsi" w:cstheme="minorBidi"/>
          <w:kern w:val="2"/>
          <w:sz w:val="24"/>
          <w:szCs w:val="24"/>
          <w14:ligatures w14:val="standardContextual"/>
        </w:rPr>
      </w:pPr>
      <w:hyperlink w:anchor="_Toc214283709" w:history="1">
        <w:r w:rsidRPr="008F4954">
          <w:rPr>
            <w:rStyle w:val="Hyperlink"/>
          </w:rPr>
          <w:t>L.3.2</w:t>
        </w:r>
        <w:r>
          <w:rPr>
            <w:rFonts w:asciiTheme="minorHAnsi" w:eastAsiaTheme="minorEastAsia" w:hAnsiTheme="minorHAnsi" w:cstheme="minorBidi"/>
            <w:kern w:val="2"/>
            <w:sz w:val="24"/>
            <w:szCs w:val="24"/>
            <w14:ligatures w14:val="standardContextual"/>
          </w:rPr>
          <w:tab/>
        </w:r>
        <w:r w:rsidRPr="008F4954">
          <w:rPr>
            <w:rStyle w:val="Hyperlink"/>
          </w:rPr>
          <w:t>TED’s Location Code Is Not Set</w:t>
        </w:r>
        <w:r>
          <w:rPr>
            <w:webHidden/>
          </w:rPr>
          <w:tab/>
        </w:r>
        <w:r>
          <w:rPr>
            <w:webHidden/>
          </w:rPr>
          <w:fldChar w:fldCharType="begin"/>
        </w:r>
        <w:r>
          <w:rPr>
            <w:webHidden/>
          </w:rPr>
          <w:instrText xml:space="preserve"> PAGEREF _Toc214283709 \h </w:instrText>
        </w:r>
        <w:r>
          <w:rPr>
            <w:webHidden/>
          </w:rPr>
        </w:r>
        <w:r>
          <w:rPr>
            <w:webHidden/>
          </w:rPr>
          <w:fldChar w:fldCharType="separate"/>
        </w:r>
        <w:r>
          <w:rPr>
            <w:webHidden/>
          </w:rPr>
          <w:t>L-22</w:t>
        </w:r>
        <w:r>
          <w:rPr>
            <w:webHidden/>
          </w:rPr>
          <w:fldChar w:fldCharType="end"/>
        </w:r>
      </w:hyperlink>
    </w:p>
    <w:p w14:paraId="416E89A3" w14:textId="60103452"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10" w:history="1">
        <w:r w:rsidRPr="008F4954">
          <w:rPr>
            <w:rStyle w:val="Hyperlink"/>
          </w:rPr>
          <w:t>L.4</w:t>
        </w:r>
        <w:r>
          <w:rPr>
            <w:rFonts w:asciiTheme="minorHAnsi" w:eastAsiaTheme="minorEastAsia" w:hAnsiTheme="minorHAnsi" w:cstheme="minorBidi"/>
            <w:smallCaps w:val="0"/>
            <w:kern w:val="2"/>
            <w:szCs w:val="24"/>
            <w14:ligatures w14:val="standardContextual"/>
          </w:rPr>
          <w:tab/>
        </w:r>
        <w:r w:rsidRPr="008F4954">
          <w:rPr>
            <w:rStyle w:val="Hyperlink"/>
          </w:rPr>
          <w:t>TMPR FAILS TO CREATE A MISSION</w:t>
        </w:r>
        <w:r>
          <w:rPr>
            <w:webHidden/>
          </w:rPr>
          <w:tab/>
        </w:r>
        <w:r>
          <w:rPr>
            <w:webHidden/>
          </w:rPr>
          <w:fldChar w:fldCharType="begin"/>
        </w:r>
        <w:r>
          <w:rPr>
            <w:webHidden/>
          </w:rPr>
          <w:instrText xml:space="preserve"> PAGEREF _Toc214283710 \h </w:instrText>
        </w:r>
        <w:r>
          <w:rPr>
            <w:webHidden/>
          </w:rPr>
        </w:r>
        <w:r>
          <w:rPr>
            <w:webHidden/>
          </w:rPr>
          <w:fldChar w:fldCharType="separate"/>
        </w:r>
        <w:r>
          <w:rPr>
            <w:webHidden/>
          </w:rPr>
          <w:t>L-22</w:t>
        </w:r>
        <w:r>
          <w:rPr>
            <w:webHidden/>
          </w:rPr>
          <w:fldChar w:fldCharType="end"/>
        </w:r>
      </w:hyperlink>
    </w:p>
    <w:p w14:paraId="48A308E8" w14:textId="5F672835" w:rsidR="00067371" w:rsidRDefault="00067371">
      <w:pPr>
        <w:pStyle w:val="TOC3"/>
        <w:rPr>
          <w:rFonts w:asciiTheme="minorHAnsi" w:eastAsiaTheme="minorEastAsia" w:hAnsiTheme="minorHAnsi" w:cstheme="minorBidi"/>
          <w:kern w:val="2"/>
          <w:sz w:val="24"/>
          <w:szCs w:val="24"/>
          <w14:ligatures w14:val="standardContextual"/>
        </w:rPr>
      </w:pPr>
      <w:hyperlink w:anchor="_Toc214283711" w:history="1">
        <w:r w:rsidRPr="008F4954">
          <w:rPr>
            <w:rStyle w:val="Hyperlink"/>
          </w:rPr>
          <w:t>L.4.1</w:t>
        </w:r>
        <w:r>
          <w:rPr>
            <w:rFonts w:asciiTheme="minorHAnsi" w:eastAsiaTheme="minorEastAsia" w:hAnsiTheme="minorHAnsi" w:cstheme="minorBidi"/>
            <w:kern w:val="2"/>
            <w:sz w:val="24"/>
            <w:szCs w:val="24"/>
            <w14:ligatures w14:val="standardContextual"/>
          </w:rPr>
          <w:tab/>
        </w:r>
        <w:r w:rsidRPr="008F4954">
          <w:rPr>
            <w:rStyle w:val="Hyperlink"/>
          </w:rPr>
          <w:t>TMPR Stuck in “Submitted”</w:t>
        </w:r>
        <w:r>
          <w:rPr>
            <w:webHidden/>
          </w:rPr>
          <w:tab/>
        </w:r>
        <w:r>
          <w:rPr>
            <w:webHidden/>
          </w:rPr>
          <w:fldChar w:fldCharType="begin"/>
        </w:r>
        <w:r>
          <w:rPr>
            <w:webHidden/>
          </w:rPr>
          <w:instrText xml:space="preserve"> PAGEREF _Toc214283711 \h </w:instrText>
        </w:r>
        <w:r>
          <w:rPr>
            <w:webHidden/>
          </w:rPr>
        </w:r>
        <w:r>
          <w:rPr>
            <w:webHidden/>
          </w:rPr>
          <w:fldChar w:fldCharType="separate"/>
        </w:r>
        <w:r>
          <w:rPr>
            <w:webHidden/>
          </w:rPr>
          <w:t>L-23</w:t>
        </w:r>
        <w:r>
          <w:rPr>
            <w:webHidden/>
          </w:rPr>
          <w:fldChar w:fldCharType="end"/>
        </w:r>
      </w:hyperlink>
    </w:p>
    <w:p w14:paraId="31998C31" w14:textId="73A4EA97" w:rsidR="00067371" w:rsidRDefault="00067371">
      <w:pPr>
        <w:pStyle w:val="TOC3"/>
        <w:rPr>
          <w:rFonts w:asciiTheme="minorHAnsi" w:eastAsiaTheme="minorEastAsia" w:hAnsiTheme="minorHAnsi" w:cstheme="minorBidi"/>
          <w:kern w:val="2"/>
          <w:sz w:val="24"/>
          <w:szCs w:val="24"/>
          <w14:ligatures w14:val="standardContextual"/>
        </w:rPr>
      </w:pPr>
      <w:hyperlink w:anchor="_Toc214283712" w:history="1">
        <w:r w:rsidRPr="008F4954">
          <w:rPr>
            <w:rStyle w:val="Hyperlink"/>
          </w:rPr>
          <w:t>L.4.2</w:t>
        </w:r>
        <w:r>
          <w:rPr>
            <w:rFonts w:asciiTheme="minorHAnsi" w:eastAsiaTheme="minorEastAsia" w:hAnsiTheme="minorHAnsi" w:cstheme="minorBidi"/>
            <w:kern w:val="2"/>
            <w:sz w:val="24"/>
            <w:szCs w:val="24"/>
            <w14:ligatures w14:val="standardContextual"/>
          </w:rPr>
          <w:tab/>
        </w:r>
        <w:r w:rsidRPr="008F4954">
          <w:rPr>
            <w:rStyle w:val="Hyperlink"/>
          </w:rPr>
          <w:t>TMPR Returns “Infeasible”</w:t>
        </w:r>
        <w:r>
          <w:rPr>
            <w:webHidden/>
          </w:rPr>
          <w:tab/>
        </w:r>
        <w:r>
          <w:rPr>
            <w:webHidden/>
          </w:rPr>
          <w:fldChar w:fldCharType="begin"/>
        </w:r>
        <w:r>
          <w:rPr>
            <w:webHidden/>
          </w:rPr>
          <w:instrText xml:space="preserve"> PAGEREF _Toc214283712 \h </w:instrText>
        </w:r>
        <w:r>
          <w:rPr>
            <w:webHidden/>
          </w:rPr>
        </w:r>
        <w:r>
          <w:rPr>
            <w:webHidden/>
          </w:rPr>
          <w:fldChar w:fldCharType="separate"/>
        </w:r>
        <w:r>
          <w:rPr>
            <w:webHidden/>
          </w:rPr>
          <w:t>L-32</w:t>
        </w:r>
        <w:r>
          <w:rPr>
            <w:webHidden/>
          </w:rPr>
          <w:fldChar w:fldCharType="end"/>
        </w:r>
      </w:hyperlink>
    </w:p>
    <w:p w14:paraId="6AA3FA75" w14:textId="62C597F9" w:rsidR="00067371" w:rsidRDefault="00067371">
      <w:pPr>
        <w:pStyle w:val="TOC3"/>
        <w:rPr>
          <w:rFonts w:asciiTheme="minorHAnsi" w:eastAsiaTheme="minorEastAsia" w:hAnsiTheme="minorHAnsi" w:cstheme="minorBidi"/>
          <w:kern w:val="2"/>
          <w:sz w:val="24"/>
          <w:szCs w:val="24"/>
          <w14:ligatures w14:val="standardContextual"/>
        </w:rPr>
      </w:pPr>
      <w:hyperlink w:anchor="_Toc214283713" w:history="1">
        <w:r w:rsidRPr="008F4954">
          <w:rPr>
            <w:rStyle w:val="Hyperlink"/>
          </w:rPr>
          <w:t>L.4.3</w:t>
        </w:r>
        <w:r>
          <w:rPr>
            <w:rFonts w:asciiTheme="minorHAnsi" w:eastAsiaTheme="minorEastAsia" w:hAnsiTheme="minorHAnsi" w:cstheme="minorBidi"/>
            <w:kern w:val="2"/>
            <w:sz w:val="24"/>
            <w:szCs w:val="24"/>
            <w14:ligatures w14:val="standardContextual"/>
          </w:rPr>
          <w:tab/>
        </w:r>
        <w:r w:rsidRPr="008F4954">
          <w:rPr>
            <w:rStyle w:val="Hyperlink"/>
          </w:rPr>
          <w:t>TMPR Returns “Infeasible/Error Determining Op Area to use for the mission”</w:t>
        </w:r>
        <w:r>
          <w:rPr>
            <w:webHidden/>
          </w:rPr>
          <w:tab/>
        </w:r>
        <w:r>
          <w:rPr>
            <w:webHidden/>
          </w:rPr>
          <w:fldChar w:fldCharType="begin"/>
        </w:r>
        <w:r>
          <w:rPr>
            <w:webHidden/>
          </w:rPr>
          <w:instrText xml:space="preserve"> PAGEREF _Toc214283713 \h </w:instrText>
        </w:r>
        <w:r>
          <w:rPr>
            <w:webHidden/>
          </w:rPr>
        </w:r>
        <w:r>
          <w:rPr>
            <w:webHidden/>
          </w:rPr>
          <w:fldChar w:fldCharType="separate"/>
        </w:r>
        <w:r>
          <w:rPr>
            <w:webHidden/>
          </w:rPr>
          <w:t>L-36</w:t>
        </w:r>
        <w:r>
          <w:rPr>
            <w:webHidden/>
          </w:rPr>
          <w:fldChar w:fldCharType="end"/>
        </w:r>
      </w:hyperlink>
    </w:p>
    <w:p w14:paraId="2FCC3F5C" w14:textId="06C1540D"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14" w:history="1">
        <w:r w:rsidRPr="008F4954">
          <w:rPr>
            <w:rStyle w:val="Hyperlink"/>
          </w:rPr>
          <w:t>L.5</w:t>
        </w:r>
        <w:r>
          <w:rPr>
            <w:rFonts w:asciiTheme="minorHAnsi" w:eastAsiaTheme="minorEastAsia" w:hAnsiTheme="minorHAnsi" w:cstheme="minorBidi"/>
            <w:smallCaps w:val="0"/>
            <w:kern w:val="2"/>
            <w:szCs w:val="24"/>
            <w14:ligatures w14:val="standardContextual"/>
          </w:rPr>
          <w:tab/>
        </w:r>
        <w:r w:rsidRPr="008F4954">
          <w:rPr>
            <w:rStyle w:val="Hyperlink"/>
          </w:rPr>
          <w:t>MICROSOFT MESSAGE QUEUING TROUBLESHOOTING</w:t>
        </w:r>
        <w:r>
          <w:rPr>
            <w:webHidden/>
          </w:rPr>
          <w:tab/>
        </w:r>
        <w:r>
          <w:rPr>
            <w:webHidden/>
          </w:rPr>
          <w:fldChar w:fldCharType="begin"/>
        </w:r>
        <w:r>
          <w:rPr>
            <w:webHidden/>
          </w:rPr>
          <w:instrText xml:space="preserve"> PAGEREF _Toc214283714 \h </w:instrText>
        </w:r>
        <w:r>
          <w:rPr>
            <w:webHidden/>
          </w:rPr>
        </w:r>
        <w:r>
          <w:rPr>
            <w:webHidden/>
          </w:rPr>
          <w:fldChar w:fldCharType="separate"/>
        </w:r>
        <w:r>
          <w:rPr>
            <w:webHidden/>
          </w:rPr>
          <w:t>L-37</w:t>
        </w:r>
        <w:r>
          <w:rPr>
            <w:webHidden/>
          </w:rPr>
          <w:fldChar w:fldCharType="end"/>
        </w:r>
      </w:hyperlink>
    </w:p>
    <w:p w14:paraId="49A772A1" w14:textId="4FF0E2AD" w:rsidR="00067371" w:rsidRDefault="00067371">
      <w:pPr>
        <w:pStyle w:val="TOC3"/>
        <w:rPr>
          <w:rFonts w:asciiTheme="minorHAnsi" w:eastAsiaTheme="minorEastAsia" w:hAnsiTheme="minorHAnsi" w:cstheme="minorBidi"/>
          <w:kern w:val="2"/>
          <w:sz w:val="24"/>
          <w:szCs w:val="24"/>
          <w14:ligatures w14:val="standardContextual"/>
        </w:rPr>
      </w:pPr>
      <w:hyperlink w:anchor="_Toc214283715" w:history="1">
        <w:r w:rsidRPr="008F4954">
          <w:rPr>
            <w:rStyle w:val="Hyperlink"/>
          </w:rPr>
          <w:t>L.5.1</w:t>
        </w:r>
        <w:r>
          <w:rPr>
            <w:rFonts w:asciiTheme="minorHAnsi" w:eastAsiaTheme="minorEastAsia" w:hAnsiTheme="minorHAnsi" w:cstheme="minorBidi"/>
            <w:kern w:val="2"/>
            <w:sz w:val="24"/>
            <w:szCs w:val="24"/>
            <w14:ligatures w14:val="standardContextual"/>
          </w:rPr>
          <w:tab/>
        </w:r>
        <w:r w:rsidRPr="008F4954">
          <w:rPr>
            <w:rStyle w:val="Hyperlink"/>
          </w:rPr>
          <w:t>Verify the Connection to the Message Queue</w:t>
        </w:r>
        <w:r>
          <w:rPr>
            <w:webHidden/>
          </w:rPr>
          <w:tab/>
        </w:r>
        <w:r>
          <w:rPr>
            <w:webHidden/>
          </w:rPr>
          <w:fldChar w:fldCharType="begin"/>
        </w:r>
        <w:r>
          <w:rPr>
            <w:webHidden/>
          </w:rPr>
          <w:instrText xml:space="preserve"> PAGEREF _Toc214283715 \h </w:instrText>
        </w:r>
        <w:r>
          <w:rPr>
            <w:webHidden/>
          </w:rPr>
        </w:r>
        <w:r>
          <w:rPr>
            <w:webHidden/>
          </w:rPr>
          <w:fldChar w:fldCharType="separate"/>
        </w:r>
        <w:r>
          <w:rPr>
            <w:webHidden/>
          </w:rPr>
          <w:t>L-38</w:t>
        </w:r>
        <w:r>
          <w:rPr>
            <w:webHidden/>
          </w:rPr>
          <w:fldChar w:fldCharType="end"/>
        </w:r>
      </w:hyperlink>
    </w:p>
    <w:p w14:paraId="37E56BE5" w14:textId="70D3862B" w:rsidR="00067371" w:rsidRDefault="00067371">
      <w:pPr>
        <w:pStyle w:val="TOC3"/>
        <w:rPr>
          <w:rFonts w:asciiTheme="minorHAnsi" w:eastAsiaTheme="minorEastAsia" w:hAnsiTheme="minorHAnsi" w:cstheme="minorBidi"/>
          <w:kern w:val="2"/>
          <w:sz w:val="24"/>
          <w:szCs w:val="24"/>
          <w14:ligatures w14:val="standardContextual"/>
        </w:rPr>
      </w:pPr>
      <w:hyperlink w:anchor="_Toc214283716" w:history="1">
        <w:r w:rsidRPr="008F4954">
          <w:rPr>
            <w:rStyle w:val="Hyperlink"/>
          </w:rPr>
          <w:t>L.5.2</w:t>
        </w:r>
        <w:r>
          <w:rPr>
            <w:rFonts w:asciiTheme="minorHAnsi" w:eastAsiaTheme="minorEastAsia" w:hAnsiTheme="minorHAnsi" w:cstheme="minorBidi"/>
            <w:kern w:val="2"/>
            <w:sz w:val="24"/>
            <w:szCs w:val="24"/>
            <w14:ligatures w14:val="standardContextual"/>
          </w:rPr>
          <w:tab/>
        </w:r>
        <w:r w:rsidRPr="008F4954">
          <w:rPr>
            <w:rStyle w:val="Hyperlink"/>
          </w:rPr>
          <w:t>Ensure That the MSMQ Service is Running</w:t>
        </w:r>
        <w:r>
          <w:rPr>
            <w:webHidden/>
          </w:rPr>
          <w:tab/>
        </w:r>
        <w:r>
          <w:rPr>
            <w:webHidden/>
          </w:rPr>
          <w:fldChar w:fldCharType="begin"/>
        </w:r>
        <w:r>
          <w:rPr>
            <w:webHidden/>
          </w:rPr>
          <w:instrText xml:space="preserve"> PAGEREF _Toc214283716 \h </w:instrText>
        </w:r>
        <w:r>
          <w:rPr>
            <w:webHidden/>
          </w:rPr>
        </w:r>
        <w:r>
          <w:rPr>
            <w:webHidden/>
          </w:rPr>
          <w:fldChar w:fldCharType="separate"/>
        </w:r>
        <w:r>
          <w:rPr>
            <w:webHidden/>
          </w:rPr>
          <w:t>L-39</w:t>
        </w:r>
        <w:r>
          <w:rPr>
            <w:webHidden/>
          </w:rPr>
          <w:fldChar w:fldCharType="end"/>
        </w:r>
      </w:hyperlink>
    </w:p>
    <w:p w14:paraId="77690F1F" w14:textId="0E694EF3" w:rsidR="00067371" w:rsidRDefault="00067371">
      <w:pPr>
        <w:pStyle w:val="TOC3"/>
        <w:rPr>
          <w:rFonts w:asciiTheme="minorHAnsi" w:eastAsiaTheme="minorEastAsia" w:hAnsiTheme="minorHAnsi" w:cstheme="minorBidi"/>
          <w:kern w:val="2"/>
          <w:sz w:val="24"/>
          <w:szCs w:val="24"/>
          <w14:ligatures w14:val="standardContextual"/>
        </w:rPr>
      </w:pPr>
      <w:hyperlink w:anchor="_Toc214283717" w:history="1">
        <w:r w:rsidRPr="008F4954">
          <w:rPr>
            <w:rStyle w:val="Hyperlink"/>
          </w:rPr>
          <w:t>L.5.3</w:t>
        </w:r>
        <w:r>
          <w:rPr>
            <w:rFonts w:asciiTheme="minorHAnsi" w:eastAsiaTheme="minorEastAsia" w:hAnsiTheme="minorHAnsi" w:cstheme="minorBidi"/>
            <w:kern w:val="2"/>
            <w:sz w:val="24"/>
            <w:szCs w:val="24"/>
            <w14:ligatures w14:val="standardContextual"/>
          </w:rPr>
          <w:tab/>
        </w:r>
        <w:r w:rsidRPr="008F4954">
          <w:rPr>
            <w:rStyle w:val="Hyperlink"/>
          </w:rPr>
          <w:t>Check the Message Queue Storage File Size (Message Quota and Disk Space)</w:t>
        </w:r>
        <w:r>
          <w:rPr>
            <w:webHidden/>
          </w:rPr>
          <w:tab/>
        </w:r>
        <w:r>
          <w:rPr>
            <w:webHidden/>
          </w:rPr>
          <w:fldChar w:fldCharType="begin"/>
        </w:r>
        <w:r>
          <w:rPr>
            <w:webHidden/>
          </w:rPr>
          <w:instrText xml:space="preserve"> PAGEREF _Toc214283717 \h </w:instrText>
        </w:r>
        <w:r>
          <w:rPr>
            <w:webHidden/>
          </w:rPr>
        </w:r>
        <w:r>
          <w:rPr>
            <w:webHidden/>
          </w:rPr>
          <w:fldChar w:fldCharType="separate"/>
        </w:r>
        <w:r>
          <w:rPr>
            <w:webHidden/>
          </w:rPr>
          <w:t>L-40</w:t>
        </w:r>
        <w:r>
          <w:rPr>
            <w:webHidden/>
          </w:rPr>
          <w:fldChar w:fldCharType="end"/>
        </w:r>
      </w:hyperlink>
    </w:p>
    <w:p w14:paraId="14761DC9" w14:textId="0AFD5D79" w:rsidR="00067371" w:rsidRDefault="00067371">
      <w:pPr>
        <w:pStyle w:val="TOC3"/>
        <w:rPr>
          <w:rFonts w:asciiTheme="minorHAnsi" w:eastAsiaTheme="minorEastAsia" w:hAnsiTheme="minorHAnsi" w:cstheme="minorBidi"/>
          <w:kern w:val="2"/>
          <w:sz w:val="24"/>
          <w:szCs w:val="24"/>
          <w14:ligatures w14:val="standardContextual"/>
        </w:rPr>
      </w:pPr>
      <w:hyperlink w:anchor="_Toc214283718" w:history="1">
        <w:r w:rsidRPr="008F4954">
          <w:rPr>
            <w:rStyle w:val="Hyperlink"/>
          </w:rPr>
          <w:t>L.5.4</w:t>
        </w:r>
        <w:r>
          <w:rPr>
            <w:rFonts w:asciiTheme="minorHAnsi" w:eastAsiaTheme="minorEastAsia" w:hAnsiTheme="minorHAnsi" w:cstheme="minorBidi"/>
            <w:kern w:val="2"/>
            <w:sz w:val="24"/>
            <w:szCs w:val="24"/>
            <w14:ligatures w14:val="standardContextual"/>
          </w:rPr>
          <w:tab/>
        </w:r>
        <w:r w:rsidRPr="008F4954">
          <w:rPr>
            <w:rStyle w:val="Hyperlink"/>
          </w:rPr>
          <w:t>Identify Unused Queues from Renamed or Removed Machine Names</w:t>
        </w:r>
        <w:r>
          <w:rPr>
            <w:webHidden/>
          </w:rPr>
          <w:tab/>
        </w:r>
        <w:r>
          <w:rPr>
            <w:webHidden/>
          </w:rPr>
          <w:fldChar w:fldCharType="begin"/>
        </w:r>
        <w:r>
          <w:rPr>
            <w:webHidden/>
          </w:rPr>
          <w:instrText xml:space="preserve"> PAGEREF _Toc214283718 \h </w:instrText>
        </w:r>
        <w:r>
          <w:rPr>
            <w:webHidden/>
          </w:rPr>
        </w:r>
        <w:r>
          <w:rPr>
            <w:webHidden/>
          </w:rPr>
          <w:fldChar w:fldCharType="separate"/>
        </w:r>
        <w:r>
          <w:rPr>
            <w:webHidden/>
          </w:rPr>
          <w:t>L-43</w:t>
        </w:r>
        <w:r>
          <w:rPr>
            <w:webHidden/>
          </w:rPr>
          <w:fldChar w:fldCharType="end"/>
        </w:r>
      </w:hyperlink>
    </w:p>
    <w:p w14:paraId="126175E0" w14:textId="1C7443C1" w:rsidR="00067371" w:rsidRDefault="00067371">
      <w:pPr>
        <w:pStyle w:val="TOC3"/>
        <w:rPr>
          <w:rFonts w:asciiTheme="minorHAnsi" w:eastAsiaTheme="minorEastAsia" w:hAnsiTheme="minorHAnsi" w:cstheme="minorBidi"/>
          <w:kern w:val="2"/>
          <w:sz w:val="24"/>
          <w:szCs w:val="24"/>
          <w14:ligatures w14:val="standardContextual"/>
        </w:rPr>
      </w:pPr>
      <w:hyperlink w:anchor="_Toc214283719" w:history="1">
        <w:r w:rsidRPr="008F4954">
          <w:rPr>
            <w:rStyle w:val="Hyperlink"/>
          </w:rPr>
          <w:t>L.5.5</w:t>
        </w:r>
        <w:r>
          <w:rPr>
            <w:rFonts w:asciiTheme="minorHAnsi" w:eastAsiaTheme="minorEastAsia" w:hAnsiTheme="minorHAnsi" w:cstheme="minorBidi"/>
            <w:kern w:val="2"/>
            <w:sz w:val="24"/>
            <w:szCs w:val="24"/>
            <w14:ligatures w14:val="standardContextual"/>
          </w:rPr>
          <w:tab/>
        </w:r>
        <w:r w:rsidRPr="008F4954">
          <w:rPr>
            <w:rStyle w:val="Hyperlink"/>
          </w:rPr>
          <w:t>Verify the Network Connection</w:t>
        </w:r>
        <w:r>
          <w:rPr>
            <w:webHidden/>
          </w:rPr>
          <w:tab/>
        </w:r>
        <w:r>
          <w:rPr>
            <w:webHidden/>
          </w:rPr>
          <w:fldChar w:fldCharType="begin"/>
        </w:r>
        <w:r>
          <w:rPr>
            <w:webHidden/>
          </w:rPr>
          <w:instrText xml:space="preserve"> PAGEREF _Toc214283719 \h </w:instrText>
        </w:r>
        <w:r>
          <w:rPr>
            <w:webHidden/>
          </w:rPr>
        </w:r>
        <w:r>
          <w:rPr>
            <w:webHidden/>
          </w:rPr>
          <w:fldChar w:fldCharType="separate"/>
        </w:r>
        <w:r>
          <w:rPr>
            <w:webHidden/>
          </w:rPr>
          <w:t>L-45</w:t>
        </w:r>
        <w:r>
          <w:rPr>
            <w:webHidden/>
          </w:rPr>
          <w:fldChar w:fldCharType="end"/>
        </w:r>
      </w:hyperlink>
    </w:p>
    <w:p w14:paraId="3FF3BB49" w14:textId="538CEEA5" w:rsidR="00067371" w:rsidRDefault="00067371">
      <w:pPr>
        <w:pStyle w:val="TOC3"/>
        <w:rPr>
          <w:rFonts w:asciiTheme="minorHAnsi" w:eastAsiaTheme="minorEastAsia" w:hAnsiTheme="minorHAnsi" w:cstheme="minorBidi"/>
          <w:kern w:val="2"/>
          <w:sz w:val="24"/>
          <w:szCs w:val="24"/>
          <w14:ligatures w14:val="standardContextual"/>
        </w:rPr>
      </w:pPr>
      <w:hyperlink w:anchor="_Toc214283720" w:history="1">
        <w:r w:rsidRPr="008F4954">
          <w:rPr>
            <w:rStyle w:val="Hyperlink"/>
          </w:rPr>
          <w:t>L.5.6</w:t>
        </w:r>
        <w:r>
          <w:rPr>
            <w:rFonts w:asciiTheme="minorHAnsi" w:eastAsiaTheme="minorEastAsia" w:hAnsiTheme="minorHAnsi" w:cstheme="minorBidi"/>
            <w:kern w:val="2"/>
            <w:sz w:val="24"/>
            <w:szCs w:val="24"/>
            <w14:ligatures w14:val="standardContextual"/>
          </w:rPr>
          <w:tab/>
        </w:r>
        <w:r w:rsidRPr="008F4954">
          <w:rPr>
            <w:rStyle w:val="Hyperlink"/>
          </w:rPr>
          <w:t>Restart the MDS Application</w:t>
        </w:r>
        <w:r>
          <w:rPr>
            <w:webHidden/>
          </w:rPr>
          <w:tab/>
        </w:r>
        <w:r>
          <w:rPr>
            <w:webHidden/>
          </w:rPr>
          <w:fldChar w:fldCharType="begin"/>
        </w:r>
        <w:r>
          <w:rPr>
            <w:webHidden/>
          </w:rPr>
          <w:instrText xml:space="preserve"> PAGEREF _Toc214283720 \h </w:instrText>
        </w:r>
        <w:r>
          <w:rPr>
            <w:webHidden/>
          </w:rPr>
        </w:r>
        <w:r>
          <w:rPr>
            <w:webHidden/>
          </w:rPr>
          <w:fldChar w:fldCharType="separate"/>
        </w:r>
        <w:r>
          <w:rPr>
            <w:webHidden/>
          </w:rPr>
          <w:t>L-45</w:t>
        </w:r>
        <w:r>
          <w:rPr>
            <w:webHidden/>
          </w:rPr>
          <w:fldChar w:fldCharType="end"/>
        </w:r>
      </w:hyperlink>
    </w:p>
    <w:p w14:paraId="0464C01B" w14:textId="421A19AD"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21" w:history="1">
        <w:r w:rsidRPr="008F4954">
          <w:rPr>
            <w:rStyle w:val="Hyperlink"/>
          </w:rPr>
          <w:t>L.6</w:t>
        </w:r>
        <w:r>
          <w:rPr>
            <w:rFonts w:asciiTheme="minorHAnsi" w:eastAsiaTheme="minorEastAsia" w:hAnsiTheme="minorHAnsi" w:cstheme="minorBidi"/>
            <w:smallCaps w:val="0"/>
            <w:kern w:val="2"/>
            <w:szCs w:val="24"/>
            <w14:ligatures w14:val="standardContextual"/>
          </w:rPr>
          <w:tab/>
        </w:r>
        <w:r w:rsidRPr="008F4954">
          <w:rPr>
            <w:rStyle w:val="Hyperlink"/>
          </w:rPr>
          <w:t>DELETE OVERCLASSIFIED DATA</w:t>
        </w:r>
        <w:r>
          <w:rPr>
            <w:webHidden/>
          </w:rPr>
          <w:tab/>
        </w:r>
        <w:r>
          <w:rPr>
            <w:webHidden/>
          </w:rPr>
          <w:fldChar w:fldCharType="begin"/>
        </w:r>
        <w:r>
          <w:rPr>
            <w:webHidden/>
          </w:rPr>
          <w:instrText xml:space="preserve"> PAGEREF _Toc214283721 \h </w:instrText>
        </w:r>
        <w:r>
          <w:rPr>
            <w:webHidden/>
          </w:rPr>
        </w:r>
        <w:r>
          <w:rPr>
            <w:webHidden/>
          </w:rPr>
          <w:fldChar w:fldCharType="separate"/>
        </w:r>
        <w:r>
          <w:rPr>
            <w:webHidden/>
          </w:rPr>
          <w:t>L-46</w:t>
        </w:r>
        <w:r>
          <w:rPr>
            <w:webHidden/>
          </w:rPr>
          <w:fldChar w:fldCharType="end"/>
        </w:r>
      </w:hyperlink>
    </w:p>
    <w:p w14:paraId="282A8475" w14:textId="092C9C4A"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22" w:history="1">
        <w:r w:rsidRPr="008F4954">
          <w:rPr>
            <w:rStyle w:val="Hyperlink"/>
          </w:rPr>
          <w:t>APPENDIX M DISTRIBUTION SERVICE TROUBLESHOOTING GUIDE</w:t>
        </w:r>
        <w:r>
          <w:rPr>
            <w:webHidden/>
          </w:rPr>
          <w:tab/>
        </w:r>
        <w:r>
          <w:rPr>
            <w:webHidden/>
          </w:rPr>
          <w:fldChar w:fldCharType="begin"/>
        </w:r>
        <w:r>
          <w:rPr>
            <w:webHidden/>
          </w:rPr>
          <w:instrText xml:space="preserve"> PAGEREF _Toc214283722 \h </w:instrText>
        </w:r>
        <w:r>
          <w:rPr>
            <w:webHidden/>
          </w:rPr>
        </w:r>
        <w:r>
          <w:rPr>
            <w:webHidden/>
          </w:rPr>
          <w:fldChar w:fldCharType="separate"/>
        </w:r>
        <w:r>
          <w:rPr>
            <w:webHidden/>
          </w:rPr>
          <w:t>M-1</w:t>
        </w:r>
        <w:r>
          <w:rPr>
            <w:webHidden/>
          </w:rPr>
          <w:fldChar w:fldCharType="end"/>
        </w:r>
      </w:hyperlink>
    </w:p>
    <w:p w14:paraId="02283C46" w14:textId="01CAFAA6"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23" w:history="1">
        <w:r w:rsidRPr="008F4954">
          <w:rPr>
            <w:rStyle w:val="Hyperlink"/>
          </w:rPr>
          <w:t>APPENDIX N STRIKE PLANNING GUIDELINES</w:t>
        </w:r>
        <w:r>
          <w:rPr>
            <w:webHidden/>
          </w:rPr>
          <w:tab/>
        </w:r>
        <w:r>
          <w:rPr>
            <w:webHidden/>
          </w:rPr>
          <w:fldChar w:fldCharType="begin"/>
        </w:r>
        <w:r>
          <w:rPr>
            <w:webHidden/>
          </w:rPr>
          <w:instrText xml:space="preserve"> PAGEREF _Toc214283723 \h </w:instrText>
        </w:r>
        <w:r>
          <w:rPr>
            <w:webHidden/>
          </w:rPr>
        </w:r>
        <w:r>
          <w:rPr>
            <w:webHidden/>
          </w:rPr>
          <w:fldChar w:fldCharType="separate"/>
        </w:r>
        <w:r>
          <w:rPr>
            <w:webHidden/>
          </w:rPr>
          <w:t>N-1</w:t>
        </w:r>
        <w:r>
          <w:rPr>
            <w:webHidden/>
          </w:rPr>
          <w:fldChar w:fldCharType="end"/>
        </w:r>
      </w:hyperlink>
    </w:p>
    <w:p w14:paraId="5C9CECA5" w14:textId="562BA8F7"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24" w:history="1">
        <w:r w:rsidRPr="008F4954">
          <w:rPr>
            <w:rStyle w:val="Hyperlink"/>
          </w:rPr>
          <w:t>APPENDIX O STRIKE COMMS SETUP GUIDELINES</w:t>
        </w:r>
        <w:r>
          <w:rPr>
            <w:webHidden/>
          </w:rPr>
          <w:tab/>
        </w:r>
        <w:r>
          <w:rPr>
            <w:webHidden/>
          </w:rPr>
          <w:fldChar w:fldCharType="begin"/>
        </w:r>
        <w:r>
          <w:rPr>
            <w:webHidden/>
          </w:rPr>
          <w:instrText xml:space="preserve"> PAGEREF _Toc214283724 \h </w:instrText>
        </w:r>
        <w:r>
          <w:rPr>
            <w:webHidden/>
          </w:rPr>
        </w:r>
        <w:r>
          <w:rPr>
            <w:webHidden/>
          </w:rPr>
          <w:fldChar w:fldCharType="separate"/>
        </w:r>
        <w:r>
          <w:rPr>
            <w:webHidden/>
          </w:rPr>
          <w:t>O-1</w:t>
        </w:r>
        <w:r>
          <w:rPr>
            <w:webHidden/>
          </w:rPr>
          <w:fldChar w:fldCharType="end"/>
        </w:r>
      </w:hyperlink>
    </w:p>
    <w:p w14:paraId="0B2F5E06" w14:textId="20486D99"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25" w:history="1">
        <w:r w:rsidRPr="008F4954">
          <w:rPr>
            <w:rStyle w:val="Hyperlink"/>
          </w:rPr>
          <w:t>APPENDIX P STRIKE EXECUTION GUIDELINES</w:t>
        </w:r>
        <w:r>
          <w:rPr>
            <w:webHidden/>
          </w:rPr>
          <w:tab/>
        </w:r>
        <w:r>
          <w:rPr>
            <w:webHidden/>
          </w:rPr>
          <w:fldChar w:fldCharType="begin"/>
        </w:r>
        <w:r>
          <w:rPr>
            <w:webHidden/>
          </w:rPr>
          <w:instrText xml:space="preserve"> PAGEREF _Toc214283725 \h </w:instrText>
        </w:r>
        <w:r>
          <w:rPr>
            <w:webHidden/>
          </w:rPr>
        </w:r>
        <w:r>
          <w:rPr>
            <w:webHidden/>
          </w:rPr>
          <w:fldChar w:fldCharType="separate"/>
        </w:r>
        <w:r>
          <w:rPr>
            <w:webHidden/>
          </w:rPr>
          <w:t>P-1</w:t>
        </w:r>
        <w:r>
          <w:rPr>
            <w:webHidden/>
          </w:rPr>
          <w:fldChar w:fldCharType="end"/>
        </w:r>
      </w:hyperlink>
    </w:p>
    <w:p w14:paraId="3336BBC3" w14:textId="68CC5A1F"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26" w:history="1">
        <w:r w:rsidRPr="008F4954">
          <w:rPr>
            <w:rStyle w:val="Hyperlink"/>
          </w:rPr>
          <w:t>P.1</w:t>
        </w:r>
        <w:r>
          <w:rPr>
            <w:rFonts w:asciiTheme="minorHAnsi" w:eastAsiaTheme="minorEastAsia" w:hAnsiTheme="minorHAnsi" w:cstheme="minorBidi"/>
            <w:smallCaps w:val="0"/>
            <w:kern w:val="2"/>
            <w:szCs w:val="24"/>
            <w14:ligatures w14:val="standardContextual"/>
          </w:rPr>
          <w:tab/>
        </w:r>
        <w:r w:rsidRPr="008F4954">
          <w:rPr>
            <w:rStyle w:val="Hyperlink"/>
          </w:rPr>
          <w:t>CASE A: SIMPLE STRIKE REHEARSAL</w:t>
        </w:r>
        <w:r>
          <w:rPr>
            <w:webHidden/>
          </w:rPr>
          <w:tab/>
        </w:r>
        <w:r>
          <w:rPr>
            <w:webHidden/>
          </w:rPr>
          <w:fldChar w:fldCharType="begin"/>
        </w:r>
        <w:r>
          <w:rPr>
            <w:webHidden/>
          </w:rPr>
          <w:instrText xml:space="preserve"> PAGEREF _Toc214283726 \h </w:instrText>
        </w:r>
        <w:r>
          <w:rPr>
            <w:webHidden/>
          </w:rPr>
        </w:r>
        <w:r>
          <w:rPr>
            <w:webHidden/>
          </w:rPr>
          <w:fldChar w:fldCharType="separate"/>
        </w:r>
        <w:r>
          <w:rPr>
            <w:webHidden/>
          </w:rPr>
          <w:t>P-2</w:t>
        </w:r>
        <w:r>
          <w:rPr>
            <w:webHidden/>
          </w:rPr>
          <w:fldChar w:fldCharType="end"/>
        </w:r>
      </w:hyperlink>
    </w:p>
    <w:p w14:paraId="55CDE86D" w14:textId="5B8B662B"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27" w:history="1">
        <w:r w:rsidRPr="008F4954">
          <w:rPr>
            <w:rStyle w:val="Hyperlink"/>
          </w:rPr>
          <w:t>P.2</w:t>
        </w:r>
        <w:r>
          <w:rPr>
            <w:rFonts w:asciiTheme="minorHAnsi" w:eastAsiaTheme="minorEastAsia" w:hAnsiTheme="minorHAnsi" w:cstheme="minorBidi"/>
            <w:smallCaps w:val="0"/>
            <w:kern w:val="2"/>
            <w:szCs w:val="24"/>
            <w14:ligatures w14:val="standardContextual"/>
          </w:rPr>
          <w:tab/>
        </w:r>
        <w:r w:rsidRPr="008F4954">
          <w:rPr>
            <w:rStyle w:val="Hyperlink"/>
          </w:rPr>
          <w:t>CASE B: STRIKE REHEARSAL WITH TIME SHIFTS, REASSIGNMENTS, AND GHOST ASSIGNMENT</w:t>
        </w:r>
        <w:r>
          <w:rPr>
            <w:webHidden/>
          </w:rPr>
          <w:tab/>
        </w:r>
        <w:r>
          <w:rPr>
            <w:webHidden/>
          </w:rPr>
          <w:fldChar w:fldCharType="begin"/>
        </w:r>
        <w:r>
          <w:rPr>
            <w:webHidden/>
          </w:rPr>
          <w:instrText xml:space="preserve"> PAGEREF _Toc214283727 \h </w:instrText>
        </w:r>
        <w:r>
          <w:rPr>
            <w:webHidden/>
          </w:rPr>
        </w:r>
        <w:r>
          <w:rPr>
            <w:webHidden/>
          </w:rPr>
          <w:fldChar w:fldCharType="separate"/>
        </w:r>
        <w:r>
          <w:rPr>
            <w:webHidden/>
          </w:rPr>
          <w:t>P-9</w:t>
        </w:r>
        <w:r>
          <w:rPr>
            <w:webHidden/>
          </w:rPr>
          <w:fldChar w:fldCharType="end"/>
        </w:r>
      </w:hyperlink>
    </w:p>
    <w:p w14:paraId="575A8D77" w14:textId="3614A93D"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28" w:history="1">
        <w:r w:rsidRPr="008F4954">
          <w:rPr>
            <w:rStyle w:val="Hyperlink"/>
          </w:rPr>
          <w:t>P.3</w:t>
        </w:r>
        <w:r>
          <w:rPr>
            <w:rFonts w:asciiTheme="minorHAnsi" w:eastAsiaTheme="minorEastAsia" w:hAnsiTheme="minorHAnsi" w:cstheme="minorBidi"/>
            <w:smallCaps w:val="0"/>
            <w:kern w:val="2"/>
            <w:szCs w:val="24"/>
            <w14:ligatures w14:val="standardContextual"/>
          </w:rPr>
          <w:tab/>
        </w:r>
        <w:r w:rsidRPr="008F4954">
          <w:rPr>
            <w:rStyle w:val="Hyperlink"/>
          </w:rPr>
          <w:t>CASE C: STRIKE REHEARSAL WITH TIME EDIT, LAUNCH OF BACKUPS, SEND TO POOL, AND COMPLICATIONS</w:t>
        </w:r>
        <w:r>
          <w:rPr>
            <w:webHidden/>
          </w:rPr>
          <w:tab/>
        </w:r>
        <w:r>
          <w:rPr>
            <w:webHidden/>
          </w:rPr>
          <w:fldChar w:fldCharType="begin"/>
        </w:r>
        <w:r>
          <w:rPr>
            <w:webHidden/>
          </w:rPr>
          <w:instrText xml:space="preserve"> PAGEREF _Toc214283728 \h </w:instrText>
        </w:r>
        <w:r>
          <w:rPr>
            <w:webHidden/>
          </w:rPr>
        </w:r>
        <w:r>
          <w:rPr>
            <w:webHidden/>
          </w:rPr>
          <w:fldChar w:fldCharType="separate"/>
        </w:r>
        <w:r>
          <w:rPr>
            <w:webHidden/>
          </w:rPr>
          <w:t>P-11</w:t>
        </w:r>
        <w:r>
          <w:rPr>
            <w:webHidden/>
          </w:rPr>
          <w:fldChar w:fldCharType="end"/>
        </w:r>
      </w:hyperlink>
    </w:p>
    <w:p w14:paraId="47F1EF56" w14:textId="006EAEB3"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29" w:history="1">
        <w:r w:rsidRPr="008F4954">
          <w:rPr>
            <w:rStyle w:val="Hyperlink"/>
          </w:rPr>
          <w:t>P.4</w:t>
        </w:r>
        <w:r>
          <w:rPr>
            <w:rFonts w:asciiTheme="minorHAnsi" w:eastAsiaTheme="minorEastAsia" w:hAnsiTheme="minorHAnsi" w:cstheme="minorBidi"/>
            <w:smallCaps w:val="0"/>
            <w:kern w:val="2"/>
            <w:szCs w:val="24"/>
            <w14:ligatures w14:val="standardContextual"/>
          </w:rPr>
          <w:tab/>
        </w:r>
        <w:r w:rsidRPr="008F4954">
          <w:rPr>
            <w:rStyle w:val="Hyperlink"/>
          </w:rPr>
          <w:t>CASE D: CREATE AND ADD AN AD-HOC OPTION TO AN EXECUTING MULTI-STRIKE AS THE ATSC</w:t>
        </w:r>
        <w:r>
          <w:rPr>
            <w:webHidden/>
          </w:rPr>
          <w:tab/>
        </w:r>
        <w:r>
          <w:rPr>
            <w:webHidden/>
          </w:rPr>
          <w:fldChar w:fldCharType="begin"/>
        </w:r>
        <w:r>
          <w:rPr>
            <w:webHidden/>
          </w:rPr>
          <w:instrText xml:space="preserve"> PAGEREF _Toc214283729 \h </w:instrText>
        </w:r>
        <w:r>
          <w:rPr>
            <w:webHidden/>
          </w:rPr>
        </w:r>
        <w:r>
          <w:rPr>
            <w:webHidden/>
          </w:rPr>
          <w:fldChar w:fldCharType="separate"/>
        </w:r>
        <w:r>
          <w:rPr>
            <w:webHidden/>
          </w:rPr>
          <w:t>P-14</w:t>
        </w:r>
        <w:r>
          <w:rPr>
            <w:webHidden/>
          </w:rPr>
          <w:fldChar w:fldCharType="end"/>
        </w:r>
      </w:hyperlink>
    </w:p>
    <w:p w14:paraId="27779FAB" w14:textId="33440EFD"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30" w:history="1">
        <w:r w:rsidRPr="008F4954">
          <w:rPr>
            <w:rStyle w:val="Hyperlink"/>
          </w:rPr>
          <w:t>P.5</w:t>
        </w:r>
        <w:r>
          <w:rPr>
            <w:rFonts w:asciiTheme="minorHAnsi" w:eastAsiaTheme="minorEastAsia" w:hAnsiTheme="minorHAnsi" w:cstheme="minorBidi"/>
            <w:smallCaps w:val="0"/>
            <w:kern w:val="2"/>
            <w:szCs w:val="24"/>
            <w14:ligatures w14:val="standardContextual"/>
          </w:rPr>
          <w:tab/>
        </w:r>
        <w:r w:rsidRPr="008F4954">
          <w:rPr>
            <w:rStyle w:val="Hyperlink"/>
          </w:rPr>
          <w:t>CASE E: STRIKE REHEARSAL WITH FLEX (CHANGE OUTCOME) AND MDS DIRECT AIMPOINT UPDATE</w:t>
        </w:r>
        <w:r>
          <w:rPr>
            <w:webHidden/>
          </w:rPr>
          <w:tab/>
        </w:r>
        <w:r>
          <w:rPr>
            <w:webHidden/>
          </w:rPr>
          <w:fldChar w:fldCharType="begin"/>
        </w:r>
        <w:r>
          <w:rPr>
            <w:webHidden/>
          </w:rPr>
          <w:instrText xml:space="preserve"> PAGEREF _Toc214283730 \h </w:instrText>
        </w:r>
        <w:r>
          <w:rPr>
            <w:webHidden/>
          </w:rPr>
        </w:r>
        <w:r>
          <w:rPr>
            <w:webHidden/>
          </w:rPr>
          <w:fldChar w:fldCharType="separate"/>
        </w:r>
        <w:r>
          <w:rPr>
            <w:webHidden/>
          </w:rPr>
          <w:t>P-16</w:t>
        </w:r>
        <w:r>
          <w:rPr>
            <w:webHidden/>
          </w:rPr>
          <w:fldChar w:fldCharType="end"/>
        </w:r>
      </w:hyperlink>
    </w:p>
    <w:p w14:paraId="33352C67" w14:textId="75DD01A8"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31" w:history="1">
        <w:r w:rsidRPr="008F4954">
          <w:rPr>
            <w:rStyle w:val="Hyperlink"/>
          </w:rPr>
          <w:t>P.6</w:t>
        </w:r>
        <w:r>
          <w:rPr>
            <w:rFonts w:asciiTheme="minorHAnsi" w:eastAsiaTheme="minorEastAsia" w:hAnsiTheme="minorHAnsi" w:cstheme="minorBidi"/>
            <w:smallCaps w:val="0"/>
            <w:kern w:val="2"/>
            <w:szCs w:val="24"/>
            <w14:ligatures w14:val="standardContextual"/>
          </w:rPr>
          <w:tab/>
        </w:r>
        <w:r w:rsidRPr="008F4954">
          <w:rPr>
            <w:rStyle w:val="Hyperlink"/>
          </w:rPr>
          <w:t>CASE F: STRIKE REHEARSAL WITH RETARGET AND AIMPOINT UPDATE USING TPS</w:t>
        </w:r>
        <w:r>
          <w:rPr>
            <w:webHidden/>
          </w:rPr>
          <w:tab/>
        </w:r>
        <w:r>
          <w:rPr>
            <w:webHidden/>
          </w:rPr>
          <w:fldChar w:fldCharType="begin"/>
        </w:r>
        <w:r>
          <w:rPr>
            <w:webHidden/>
          </w:rPr>
          <w:instrText xml:space="preserve"> PAGEREF _Toc214283731 \h </w:instrText>
        </w:r>
        <w:r>
          <w:rPr>
            <w:webHidden/>
          </w:rPr>
        </w:r>
        <w:r>
          <w:rPr>
            <w:webHidden/>
          </w:rPr>
          <w:fldChar w:fldCharType="separate"/>
        </w:r>
        <w:r>
          <w:rPr>
            <w:webHidden/>
          </w:rPr>
          <w:t>P-20</w:t>
        </w:r>
        <w:r>
          <w:rPr>
            <w:webHidden/>
          </w:rPr>
          <w:fldChar w:fldCharType="end"/>
        </w:r>
      </w:hyperlink>
    </w:p>
    <w:p w14:paraId="19F5379F" w14:textId="14F65C35"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32" w:history="1">
        <w:r w:rsidRPr="008F4954">
          <w:rPr>
            <w:rStyle w:val="Hyperlink"/>
          </w:rPr>
          <w:t>P.7</w:t>
        </w:r>
        <w:r>
          <w:rPr>
            <w:rFonts w:asciiTheme="minorHAnsi" w:eastAsiaTheme="minorEastAsia" w:hAnsiTheme="minorHAnsi" w:cstheme="minorBidi"/>
            <w:smallCaps w:val="0"/>
            <w:kern w:val="2"/>
            <w:szCs w:val="24"/>
            <w14:ligatures w14:val="standardContextual"/>
          </w:rPr>
          <w:tab/>
        </w:r>
        <w:r w:rsidRPr="008F4954">
          <w:rPr>
            <w:rStyle w:val="Hyperlink"/>
          </w:rPr>
          <w:t>CASE G: STRIKE REHEARSAL WITH TTWCS TACTICAL CHANGE LMO AND EXECUTE CFF TASKING</w:t>
        </w:r>
        <w:r>
          <w:rPr>
            <w:webHidden/>
          </w:rPr>
          <w:tab/>
        </w:r>
        <w:r>
          <w:rPr>
            <w:webHidden/>
          </w:rPr>
          <w:fldChar w:fldCharType="begin"/>
        </w:r>
        <w:r>
          <w:rPr>
            <w:webHidden/>
          </w:rPr>
          <w:instrText xml:space="preserve"> PAGEREF _Toc214283732 \h </w:instrText>
        </w:r>
        <w:r>
          <w:rPr>
            <w:webHidden/>
          </w:rPr>
        </w:r>
        <w:r>
          <w:rPr>
            <w:webHidden/>
          </w:rPr>
          <w:fldChar w:fldCharType="separate"/>
        </w:r>
        <w:r>
          <w:rPr>
            <w:webHidden/>
          </w:rPr>
          <w:t>P-22</w:t>
        </w:r>
        <w:r>
          <w:rPr>
            <w:webHidden/>
          </w:rPr>
          <w:fldChar w:fldCharType="end"/>
        </w:r>
      </w:hyperlink>
    </w:p>
    <w:p w14:paraId="6F639E2F" w14:textId="7CCDCDF0"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33" w:history="1">
        <w:r w:rsidRPr="008F4954">
          <w:rPr>
            <w:rStyle w:val="Hyperlink"/>
          </w:rPr>
          <w:t>APPENDIX Q MAINTENANCE GUIDANCE</w:t>
        </w:r>
        <w:r>
          <w:rPr>
            <w:webHidden/>
          </w:rPr>
          <w:tab/>
        </w:r>
        <w:r>
          <w:rPr>
            <w:webHidden/>
          </w:rPr>
          <w:fldChar w:fldCharType="begin"/>
        </w:r>
        <w:r>
          <w:rPr>
            <w:webHidden/>
          </w:rPr>
          <w:instrText xml:space="preserve"> PAGEREF _Toc214283733 \h </w:instrText>
        </w:r>
        <w:r>
          <w:rPr>
            <w:webHidden/>
          </w:rPr>
        </w:r>
        <w:r>
          <w:rPr>
            <w:webHidden/>
          </w:rPr>
          <w:fldChar w:fldCharType="separate"/>
        </w:r>
        <w:r>
          <w:rPr>
            <w:webHidden/>
          </w:rPr>
          <w:t>Q-1</w:t>
        </w:r>
        <w:r>
          <w:rPr>
            <w:webHidden/>
          </w:rPr>
          <w:fldChar w:fldCharType="end"/>
        </w:r>
      </w:hyperlink>
    </w:p>
    <w:p w14:paraId="5BB85F98" w14:textId="22F14D52"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34" w:history="1">
        <w:r w:rsidRPr="008F4954">
          <w:rPr>
            <w:rStyle w:val="Hyperlink"/>
          </w:rPr>
          <w:t>Q.1</w:t>
        </w:r>
        <w:r>
          <w:rPr>
            <w:rFonts w:asciiTheme="minorHAnsi" w:eastAsiaTheme="minorEastAsia" w:hAnsiTheme="minorHAnsi" w:cstheme="minorBidi"/>
            <w:smallCaps w:val="0"/>
            <w:kern w:val="2"/>
            <w:szCs w:val="24"/>
            <w14:ligatures w14:val="standardContextual"/>
          </w:rPr>
          <w:tab/>
        </w:r>
        <w:r w:rsidRPr="008F4954">
          <w:rPr>
            <w:rStyle w:val="Hyperlink"/>
          </w:rPr>
          <w:t>IDENTIFICATION</w:t>
        </w:r>
        <w:r>
          <w:rPr>
            <w:webHidden/>
          </w:rPr>
          <w:tab/>
        </w:r>
        <w:r>
          <w:rPr>
            <w:webHidden/>
          </w:rPr>
          <w:fldChar w:fldCharType="begin"/>
        </w:r>
        <w:r>
          <w:rPr>
            <w:webHidden/>
          </w:rPr>
          <w:instrText xml:space="preserve"> PAGEREF _Toc214283734 \h </w:instrText>
        </w:r>
        <w:r>
          <w:rPr>
            <w:webHidden/>
          </w:rPr>
        </w:r>
        <w:r>
          <w:rPr>
            <w:webHidden/>
          </w:rPr>
          <w:fldChar w:fldCharType="separate"/>
        </w:r>
        <w:r>
          <w:rPr>
            <w:webHidden/>
          </w:rPr>
          <w:t>Q-1</w:t>
        </w:r>
        <w:r>
          <w:rPr>
            <w:webHidden/>
          </w:rPr>
          <w:fldChar w:fldCharType="end"/>
        </w:r>
      </w:hyperlink>
    </w:p>
    <w:p w14:paraId="4B38210F" w14:textId="31CAD795"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35" w:history="1">
        <w:r w:rsidRPr="008F4954">
          <w:rPr>
            <w:rStyle w:val="Hyperlink"/>
          </w:rPr>
          <w:t>Q.2</w:t>
        </w:r>
        <w:r>
          <w:rPr>
            <w:rFonts w:asciiTheme="minorHAnsi" w:eastAsiaTheme="minorEastAsia" w:hAnsiTheme="minorHAnsi" w:cstheme="minorBidi"/>
            <w:smallCaps w:val="0"/>
            <w:kern w:val="2"/>
            <w:szCs w:val="24"/>
            <w14:ligatures w14:val="standardContextual"/>
          </w:rPr>
          <w:tab/>
        </w:r>
        <w:r w:rsidRPr="008F4954">
          <w:rPr>
            <w:rStyle w:val="Hyperlink"/>
          </w:rPr>
          <w:t>LOGIN TERMINOLOGY</w:t>
        </w:r>
        <w:r>
          <w:rPr>
            <w:webHidden/>
          </w:rPr>
          <w:tab/>
        </w:r>
        <w:r>
          <w:rPr>
            <w:webHidden/>
          </w:rPr>
          <w:fldChar w:fldCharType="begin"/>
        </w:r>
        <w:r>
          <w:rPr>
            <w:webHidden/>
          </w:rPr>
          <w:instrText xml:space="preserve"> PAGEREF _Toc214283735 \h </w:instrText>
        </w:r>
        <w:r>
          <w:rPr>
            <w:webHidden/>
          </w:rPr>
        </w:r>
        <w:r>
          <w:rPr>
            <w:webHidden/>
          </w:rPr>
          <w:fldChar w:fldCharType="separate"/>
        </w:r>
        <w:r>
          <w:rPr>
            <w:webHidden/>
          </w:rPr>
          <w:t>Q-1</w:t>
        </w:r>
        <w:r>
          <w:rPr>
            <w:webHidden/>
          </w:rPr>
          <w:fldChar w:fldCharType="end"/>
        </w:r>
      </w:hyperlink>
    </w:p>
    <w:p w14:paraId="43592A4B" w14:textId="6FD378B7"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36" w:history="1">
        <w:r w:rsidRPr="008F4954">
          <w:rPr>
            <w:rStyle w:val="Hyperlink"/>
          </w:rPr>
          <w:t>Q.3</w:t>
        </w:r>
        <w:r>
          <w:rPr>
            <w:rFonts w:asciiTheme="minorHAnsi" w:eastAsiaTheme="minorEastAsia" w:hAnsiTheme="minorHAnsi" w:cstheme="minorBidi"/>
            <w:smallCaps w:val="0"/>
            <w:kern w:val="2"/>
            <w:szCs w:val="24"/>
            <w14:ligatures w14:val="standardContextual"/>
          </w:rPr>
          <w:tab/>
        </w:r>
        <w:r w:rsidRPr="008F4954">
          <w:rPr>
            <w:rStyle w:val="Hyperlink"/>
          </w:rPr>
          <w:t>BASIC SKILLS</w:t>
        </w:r>
        <w:r>
          <w:rPr>
            <w:webHidden/>
          </w:rPr>
          <w:tab/>
        </w:r>
        <w:r>
          <w:rPr>
            <w:webHidden/>
          </w:rPr>
          <w:fldChar w:fldCharType="begin"/>
        </w:r>
        <w:r>
          <w:rPr>
            <w:webHidden/>
          </w:rPr>
          <w:instrText xml:space="preserve"> PAGEREF _Toc214283736 \h </w:instrText>
        </w:r>
        <w:r>
          <w:rPr>
            <w:webHidden/>
          </w:rPr>
        </w:r>
        <w:r>
          <w:rPr>
            <w:webHidden/>
          </w:rPr>
          <w:fldChar w:fldCharType="separate"/>
        </w:r>
        <w:r>
          <w:rPr>
            <w:webHidden/>
          </w:rPr>
          <w:t>Q-1</w:t>
        </w:r>
        <w:r>
          <w:rPr>
            <w:webHidden/>
          </w:rPr>
          <w:fldChar w:fldCharType="end"/>
        </w:r>
      </w:hyperlink>
    </w:p>
    <w:p w14:paraId="4EB86406" w14:textId="69FEA7AB" w:rsidR="00067371" w:rsidRDefault="00067371">
      <w:pPr>
        <w:pStyle w:val="TOC3"/>
        <w:rPr>
          <w:rFonts w:asciiTheme="minorHAnsi" w:eastAsiaTheme="minorEastAsia" w:hAnsiTheme="minorHAnsi" w:cstheme="minorBidi"/>
          <w:kern w:val="2"/>
          <w:sz w:val="24"/>
          <w:szCs w:val="24"/>
          <w14:ligatures w14:val="standardContextual"/>
        </w:rPr>
      </w:pPr>
      <w:hyperlink w:anchor="_Toc214283737" w:history="1">
        <w:r w:rsidRPr="008F4954">
          <w:rPr>
            <w:rStyle w:val="Hyperlink"/>
          </w:rPr>
          <w:t>Q.3.1</w:t>
        </w:r>
        <w:r>
          <w:rPr>
            <w:rFonts w:asciiTheme="minorHAnsi" w:eastAsiaTheme="minorEastAsia" w:hAnsiTheme="minorHAnsi" w:cstheme="minorBidi"/>
            <w:kern w:val="2"/>
            <w:sz w:val="24"/>
            <w:szCs w:val="24"/>
            <w14:ligatures w14:val="standardContextual"/>
          </w:rPr>
          <w:tab/>
        </w:r>
        <w:r w:rsidRPr="008F4954">
          <w:rPr>
            <w:rStyle w:val="Hyperlink"/>
          </w:rPr>
          <w:t>“Run As Administrator”</w:t>
        </w:r>
        <w:r>
          <w:rPr>
            <w:webHidden/>
          </w:rPr>
          <w:tab/>
        </w:r>
        <w:r>
          <w:rPr>
            <w:webHidden/>
          </w:rPr>
          <w:fldChar w:fldCharType="begin"/>
        </w:r>
        <w:r>
          <w:rPr>
            <w:webHidden/>
          </w:rPr>
          <w:instrText xml:space="preserve"> PAGEREF _Toc214283737 \h </w:instrText>
        </w:r>
        <w:r>
          <w:rPr>
            <w:webHidden/>
          </w:rPr>
        </w:r>
        <w:r>
          <w:rPr>
            <w:webHidden/>
          </w:rPr>
          <w:fldChar w:fldCharType="separate"/>
        </w:r>
        <w:r>
          <w:rPr>
            <w:webHidden/>
          </w:rPr>
          <w:t>Q-1</w:t>
        </w:r>
        <w:r>
          <w:rPr>
            <w:webHidden/>
          </w:rPr>
          <w:fldChar w:fldCharType="end"/>
        </w:r>
      </w:hyperlink>
    </w:p>
    <w:p w14:paraId="12E21FC9" w14:textId="054EB5A6" w:rsidR="00067371" w:rsidRDefault="00067371">
      <w:pPr>
        <w:pStyle w:val="TOC3"/>
        <w:rPr>
          <w:rFonts w:asciiTheme="minorHAnsi" w:eastAsiaTheme="minorEastAsia" w:hAnsiTheme="minorHAnsi" w:cstheme="minorBidi"/>
          <w:kern w:val="2"/>
          <w:sz w:val="24"/>
          <w:szCs w:val="24"/>
          <w14:ligatures w14:val="standardContextual"/>
        </w:rPr>
      </w:pPr>
      <w:hyperlink w:anchor="_Toc214283738" w:history="1">
        <w:r w:rsidRPr="008F4954">
          <w:rPr>
            <w:rStyle w:val="Hyperlink"/>
          </w:rPr>
          <w:t>Q.3.2</w:t>
        </w:r>
        <w:r>
          <w:rPr>
            <w:rFonts w:asciiTheme="minorHAnsi" w:eastAsiaTheme="minorEastAsia" w:hAnsiTheme="minorHAnsi" w:cstheme="minorBidi"/>
            <w:kern w:val="2"/>
            <w:sz w:val="24"/>
            <w:szCs w:val="24"/>
            <w14:ligatures w14:val="standardContextual"/>
          </w:rPr>
          <w:tab/>
        </w:r>
        <w:r w:rsidRPr="008F4954">
          <w:rPr>
            <w:rStyle w:val="Hyperlink"/>
          </w:rPr>
          <w:t>Run “PowerShell As Administrator”</w:t>
        </w:r>
        <w:r>
          <w:rPr>
            <w:webHidden/>
          </w:rPr>
          <w:tab/>
        </w:r>
        <w:r>
          <w:rPr>
            <w:webHidden/>
          </w:rPr>
          <w:fldChar w:fldCharType="begin"/>
        </w:r>
        <w:r>
          <w:rPr>
            <w:webHidden/>
          </w:rPr>
          <w:instrText xml:space="preserve"> PAGEREF _Toc214283738 \h </w:instrText>
        </w:r>
        <w:r>
          <w:rPr>
            <w:webHidden/>
          </w:rPr>
        </w:r>
        <w:r>
          <w:rPr>
            <w:webHidden/>
          </w:rPr>
          <w:fldChar w:fldCharType="separate"/>
        </w:r>
        <w:r>
          <w:rPr>
            <w:webHidden/>
          </w:rPr>
          <w:t>Q-3</w:t>
        </w:r>
        <w:r>
          <w:rPr>
            <w:webHidden/>
          </w:rPr>
          <w:fldChar w:fldCharType="end"/>
        </w:r>
      </w:hyperlink>
    </w:p>
    <w:p w14:paraId="07EA2130" w14:textId="5EB11B93" w:rsidR="00067371" w:rsidRDefault="00067371">
      <w:pPr>
        <w:pStyle w:val="TOC3"/>
        <w:rPr>
          <w:rFonts w:asciiTheme="minorHAnsi" w:eastAsiaTheme="minorEastAsia" w:hAnsiTheme="minorHAnsi" w:cstheme="minorBidi"/>
          <w:kern w:val="2"/>
          <w:sz w:val="24"/>
          <w:szCs w:val="24"/>
          <w14:ligatures w14:val="standardContextual"/>
        </w:rPr>
      </w:pPr>
      <w:hyperlink w:anchor="_Toc214283739" w:history="1">
        <w:r w:rsidRPr="008F4954">
          <w:rPr>
            <w:rStyle w:val="Hyperlink"/>
          </w:rPr>
          <w:t>Q.3.3</w:t>
        </w:r>
        <w:r>
          <w:rPr>
            <w:rFonts w:asciiTheme="minorHAnsi" w:eastAsiaTheme="minorEastAsia" w:hAnsiTheme="minorHAnsi" w:cstheme="minorBidi"/>
            <w:kern w:val="2"/>
            <w:sz w:val="24"/>
            <w:szCs w:val="24"/>
            <w14:ligatures w14:val="standardContextual"/>
          </w:rPr>
          <w:tab/>
        </w:r>
        <w:r w:rsidRPr="008F4954">
          <w:rPr>
            <w:rStyle w:val="Hyperlink"/>
          </w:rPr>
          <w:t>Using WinZip</w:t>
        </w:r>
        <w:r>
          <w:rPr>
            <w:webHidden/>
          </w:rPr>
          <w:tab/>
        </w:r>
        <w:r>
          <w:rPr>
            <w:webHidden/>
          </w:rPr>
          <w:fldChar w:fldCharType="begin"/>
        </w:r>
        <w:r>
          <w:rPr>
            <w:webHidden/>
          </w:rPr>
          <w:instrText xml:space="preserve"> PAGEREF _Toc214283739 \h </w:instrText>
        </w:r>
        <w:r>
          <w:rPr>
            <w:webHidden/>
          </w:rPr>
        </w:r>
        <w:r>
          <w:rPr>
            <w:webHidden/>
          </w:rPr>
          <w:fldChar w:fldCharType="separate"/>
        </w:r>
        <w:r>
          <w:rPr>
            <w:webHidden/>
          </w:rPr>
          <w:t>Q-4</w:t>
        </w:r>
        <w:r>
          <w:rPr>
            <w:webHidden/>
          </w:rPr>
          <w:fldChar w:fldCharType="end"/>
        </w:r>
      </w:hyperlink>
    </w:p>
    <w:p w14:paraId="3C07E6A2" w14:textId="658390E8" w:rsidR="00067371" w:rsidRDefault="00067371">
      <w:pPr>
        <w:pStyle w:val="TOC3"/>
        <w:rPr>
          <w:rFonts w:asciiTheme="minorHAnsi" w:eastAsiaTheme="minorEastAsia" w:hAnsiTheme="minorHAnsi" w:cstheme="minorBidi"/>
          <w:kern w:val="2"/>
          <w:sz w:val="24"/>
          <w:szCs w:val="24"/>
          <w14:ligatures w14:val="standardContextual"/>
        </w:rPr>
      </w:pPr>
      <w:hyperlink w:anchor="_Toc214283740" w:history="1">
        <w:r w:rsidRPr="008F4954">
          <w:rPr>
            <w:rStyle w:val="Hyperlink"/>
          </w:rPr>
          <w:t>Q.3.4</w:t>
        </w:r>
        <w:r>
          <w:rPr>
            <w:rFonts w:asciiTheme="minorHAnsi" w:eastAsiaTheme="minorEastAsia" w:hAnsiTheme="minorHAnsi" w:cstheme="minorBidi"/>
            <w:kern w:val="2"/>
            <w:sz w:val="24"/>
            <w:szCs w:val="24"/>
            <w14:ligatures w14:val="standardContextual"/>
          </w:rPr>
          <w:tab/>
        </w:r>
        <w:r w:rsidRPr="008F4954">
          <w:rPr>
            <w:rStyle w:val="Hyperlink"/>
          </w:rPr>
          <w:t>Using Event Viewer</w:t>
        </w:r>
        <w:r>
          <w:rPr>
            <w:webHidden/>
          </w:rPr>
          <w:tab/>
        </w:r>
        <w:r>
          <w:rPr>
            <w:webHidden/>
          </w:rPr>
          <w:fldChar w:fldCharType="begin"/>
        </w:r>
        <w:r>
          <w:rPr>
            <w:webHidden/>
          </w:rPr>
          <w:instrText xml:space="preserve"> PAGEREF _Toc214283740 \h </w:instrText>
        </w:r>
        <w:r>
          <w:rPr>
            <w:webHidden/>
          </w:rPr>
        </w:r>
        <w:r>
          <w:rPr>
            <w:webHidden/>
          </w:rPr>
          <w:fldChar w:fldCharType="separate"/>
        </w:r>
        <w:r>
          <w:rPr>
            <w:webHidden/>
          </w:rPr>
          <w:t>Q-5</w:t>
        </w:r>
        <w:r>
          <w:rPr>
            <w:webHidden/>
          </w:rPr>
          <w:fldChar w:fldCharType="end"/>
        </w:r>
      </w:hyperlink>
    </w:p>
    <w:p w14:paraId="1627B789" w14:textId="54483798"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41" w:history="1">
        <w:r w:rsidRPr="008F4954">
          <w:rPr>
            <w:rStyle w:val="Hyperlink"/>
          </w:rPr>
          <w:t>Q.4</w:t>
        </w:r>
        <w:r>
          <w:rPr>
            <w:rFonts w:asciiTheme="minorHAnsi" w:eastAsiaTheme="minorEastAsia" w:hAnsiTheme="minorHAnsi" w:cstheme="minorBidi"/>
            <w:smallCaps w:val="0"/>
            <w:kern w:val="2"/>
            <w:szCs w:val="24"/>
            <w14:ligatures w14:val="standardContextual"/>
          </w:rPr>
          <w:tab/>
        </w:r>
        <w:r w:rsidRPr="008F4954">
          <w:rPr>
            <w:rStyle w:val="Hyperlink"/>
          </w:rPr>
          <w:t>SECURITY MAINTENANCE</w:t>
        </w:r>
        <w:r>
          <w:rPr>
            <w:webHidden/>
          </w:rPr>
          <w:tab/>
        </w:r>
        <w:r>
          <w:rPr>
            <w:webHidden/>
          </w:rPr>
          <w:fldChar w:fldCharType="begin"/>
        </w:r>
        <w:r>
          <w:rPr>
            <w:webHidden/>
          </w:rPr>
          <w:instrText xml:space="preserve"> PAGEREF _Toc214283741 \h </w:instrText>
        </w:r>
        <w:r>
          <w:rPr>
            <w:webHidden/>
          </w:rPr>
        </w:r>
        <w:r>
          <w:rPr>
            <w:webHidden/>
          </w:rPr>
          <w:fldChar w:fldCharType="separate"/>
        </w:r>
        <w:r>
          <w:rPr>
            <w:webHidden/>
          </w:rPr>
          <w:t>Q-7</w:t>
        </w:r>
        <w:r>
          <w:rPr>
            <w:webHidden/>
          </w:rPr>
          <w:fldChar w:fldCharType="end"/>
        </w:r>
      </w:hyperlink>
    </w:p>
    <w:p w14:paraId="0CB8BEB7" w14:textId="48B8CBA9" w:rsidR="00067371" w:rsidRDefault="00067371">
      <w:pPr>
        <w:pStyle w:val="TOC3"/>
        <w:rPr>
          <w:rFonts w:asciiTheme="minorHAnsi" w:eastAsiaTheme="minorEastAsia" w:hAnsiTheme="minorHAnsi" w:cstheme="minorBidi"/>
          <w:kern w:val="2"/>
          <w:sz w:val="24"/>
          <w:szCs w:val="24"/>
          <w14:ligatures w14:val="standardContextual"/>
        </w:rPr>
      </w:pPr>
      <w:hyperlink w:anchor="_Toc214283742" w:history="1">
        <w:r w:rsidRPr="008F4954">
          <w:rPr>
            <w:rStyle w:val="Hyperlink"/>
          </w:rPr>
          <w:t>Q.4.1</w:t>
        </w:r>
        <w:r>
          <w:rPr>
            <w:rFonts w:asciiTheme="minorHAnsi" w:eastAsiaTheme="minorEastAsia" w:hAnsiTheme="minorHAnsi" w:cstheme="minorBidi"/>
            <w:kern w:val="2"/>
            <w:sz w:val="24"/>
            <w:szCs w:val="24"/>
            <w14:ligatures w14:val="standardContextual"/>
          </w:rPr>
          <w:tab/>
        </w:r>
        <w:r w:rsidRPr="008F4954">
          <w:rPr>
            <w:rStyle w:val="Hyperlink"/>
          </w:rPr>
          <w:t>Security Updates</w:t>
        </w:r>
        <w:r>
          <w:rPr>
            <w:webHidden/>
          </w:rPr>
          <w:tab/>
        </w:r>
        <w:r>
          <w:rPr>
            <w:webHidden/>
          </w:rPr>
          <w:fldChar w:fldCharType="begin"/>
        </w:r>
        <w:r>
          <w:rPr>
            <w:webHidden/>
          </w:rPr>
          <w:instrText xml:space="preserve"> PAGEREF _Toc214283742 \h </w:instrText>
        </w:r>
        <w:r>
          <w:rPr>
            <w:webHidden/>
          </w:rPr>
        </w:r>
        <w:r>
          <w:rPr>
            <w:webHidden/>
          </w:rPr>
          <w:fldChar w:fldCharType="separate"/>
        </w:r>
        <w:r>
          <w:rPr>
            <w:webHidden/>
          </w:rPr>
          <w:t>Q-7</w:t>
        </w:r>
        <w:r>
          <w:rPr>
            <w:webHidden/>
          </w:rPr>
          <w:fldChar w:fldCharType="end"/>
        </w:r>
      </w:hyperlink>
    </w:p>
    <w:p w14:paraId="267931F2" w14:textId="21672B24" w:rsidR="00067371" w:rsidRDefault="00067371">
      <w:pPr>
        <w:pStyle w:val="TOC3"/>
        <w:rPr>
          <w:rFonts w:asciiTheme="minorHAnsi" w:eastAsiaTheme="minorEastAsia" w:hAnsiTheme="minorHAnsi" w:cstheme="minorBidi"/>
          <w:kern w:val="2"/>
          <w:sz w:val="24"/>
          <w:szCs w:val="24"/>
          <w14:ligatures w14:val="standardContextual"/>
        </w:rPr>
      </w:pPr>
      <w:hyperlink w:anchor="_Toc214283743" w:history="1">
        <w:r w:rsidRPr="008F4954">
          <w:rPr>
            <w:rStyle w:val="Hyperlink"/>
          </w:rPr>
          <w:t>Q.4.2</w:t>
        </w:r>
        <w:r>
          <w:rPr>
            <w:rFonts w:asciiTheme="minorHAnsi" w:eastAsiaTheme="minorEastAsia" w:hAnsiTheme="minorHAnsi" w:cstheme="minorBidi"/>
            <w:kern w:val="2"/>
            <w:sz w:val="24"/>
            <w:szCs w:val="24"/>
            <w14:ligatures w14:val="standardContextual"/>
          </w:rPr>
          <w:tab/>
        </w:r>
        <w:r w:rsidRPr="008F4954">
          <w:rPr>
            <w:rStyle w:val="Hyperlink"/>
          </w:rPr>
          <w:t>McAfee Antivirus Definition Updates</w:t>
        </w:r>
        <w:r>
          <w:rPr>
            <w:webHidden/>
          </w:rPr>
          <w:tab/>
        </w:r>
        <w:r>
          <w:rPr>
            <w:webHidden/>
          </w:rPr>
          <w:fldChar w:fldCharType="begin"/>
        </w:r>
        <w:r>
          <w:rPr>
            <w:webHidden/>
          </w:rPr>
          <w:instrText xml:space="preserve"> PAGEREF _Toc214283743 \h </w:instrText>
        </w:r>
        <w:r>
          <w:rPr>
            <w:webHidden/>
          </w:rPr>
        </w:r>
        <w:r>
          <w:rPr>
            <w:webHidden/>
          </w:rPr>
          <w:fldChar w:fldCharType="separate"/>
        </w:r>
        <w:r>
          <w:rPr>
            <w:webHidden/>
          </w:rPr>
          <w:t>Q-8</w:t>
        </w:r>
        <w:r>
          <w:rPr>
            <w:webHidden/>
          </w:rPr>
          <w:fldChar w:fldCharType="end"/>
        </w:r>
      </w:hyperlink>
    </w:p>
    <w:p w14:paraId="127DE4FD" w14:textId="1AC80B77" w:rsidR="00067371" w:rsidRDefault="00067371">
      <w:pPr>
        <w:pStyle w:val="TOC3"/>
        <w:rPr>
          <w:rFonts w:asciiTheme="minorHAnsi" w:eastAsiaTheme="minorEastAsia" w:hAnsiTheme="minorHAnsi" w:cstheme="minorBidi"/>
          <w:kern w:val="2"/>
          <w:sz w:val="24"/>
          <w:szCs w:val="24"/>
          <w14:ligatures w14:val="standardContextual"/>
        </w:rPr>
      </w:pPr>
      <w:hyperlink w:anchor="_Toc214283744" w:history="1">
        <w:r w:rsidRPr="008F4954">
          <w:rPr>
            <w:rStyle w:val="Hyperlink"/>
          </w:rPr>
          <w:t>Q.4.3</w:t>
        </w:r>
        <w:r>
          <w:rPr>
            <w:rFonts w:asciiTheme="minorHAnsi" w:eastAsiaTheme="minorEastAsia" w:hAnsiTheme="minorHAnsi" w:cstheme="minorBidi"/>
            <w:kern w:val="2"/>
            <w:sz w:val="24"/>
            <w:szCs w:val="24"/>
            <w14:ligatures w14:val="standardContextual"/>
          </w:rPr>
          <w:tab/>
        </w:r>
        <w:r w:rsidRPr="008F4954">
          <w:rPr>
            <w:rStyle w:val="Hyperlink"/>
          </w:rPr>
          <w:t>Audit Logs Archive</w:t>
        </w:r>
        <w:r>
          <w:rPr>
            <w:webHidden/>
          </w:rPr>
          <w:tab/>
        </w:r>
        <w:r>
          <w:rPr>
            <w:webHidden/>
          </w:rPr>
          <w:fldChar w:fldCharType="begin"/>
        </w:r>
        <w:r>
          <w:rPr>
            <w:webHidden/>
          </w:rPr>
          <w:instrText xml:space="preserve"> PAGEREF _Toc214283744 \h </w:instrText>
        </w:r>
        <w:r>
          <w:rPr>
            <w:webHidden/>
          </w:rPr>
        </w:r>
        <w:r>
          <w:rPr>
            <w:webHidden/>
          </w:rPr>
          <w:fldChar w:fldCharType="separate"/>
        </w:r>
        <w:r>
          <w:rPr>
            <w:webHidden/>
          </w:rPr>
          <w:t>Q-10</w:t>
        </w:r>
        <w:r>
          <w:rPr>
            <w:webHidden/>
          </w:rPr>
          <w:fldChar w:fldCharType="end"/>
        </w:r>
      </w:hyperlink>
    </w:p>
    <w:p w14:paraId="02C669BF" w14:textId="6D8D0F29"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45" w:history="1">
        <w:r w:rsidRPr="008F4954">
          <w:rPr>
            <w:rStyle w:val="Hyperlink"/>
          </w:rPr>
          <w:t>Q.5</w:t>
        </w:r>
        <w:r>
          <w:rPr>
            <w:rFonts w:asciiTheme="minorHAnsi" w:eastAsiaTheme="minorEastAsia" w:hAnsiTheme="minorHAnsi" w:cstheme="minorBidi"/>
            <w:smallCaps w:val="0"/>
            <w:kern w:val="2"/>
            <w:szCs w:val="24"/>
            <w14:ligatures w14:val="standardContextual"/>
          </w:rPr>
          <w:tab/>
        </w:r>
        <w:r w:rsidRPr="008F4954">
          <w:rPr>
            <w:rStyle w:val="Hyperlink"/>
          </w:rPr>
          <w:t>SYSTEM MAINTENANCE</w:t>
        </w:r>
        <w:r>
          <w:rPr>
            <w:webHidden/>
          </w:rPr>
          <w:tab/>
        </w:r>
        <w:r>
          <w:rPr>
            <w:webHidden/>
          </w:rPr>
          <w:fldChar w:fldCharType="begin"/>
        </w:r>
        <w:r>
          <w:rPr>
            <w:webHidden/>
          </w:rPr>
          <w:instrText xml:space="preserve"> PAGEREF _Toc214283745 \h </w:instrText>
        </w:r>
        <w:r>
          <w:rPr>
            <w:webHidden/>
          </w:rPr>
        </w:r>
        <w:r>
          <w:rPr>
            <w:webHidden/>
          </w:rPr>
          <w:fldChar w:fldCharType="separate"/>
        </w:r>
        <w:r>
          <w:rPr>
            <w:webHidden/>
          </w:rPr>
          <w:t>Q-10</w:t>
        </w:r>
        <w:r>
          <w:rPr>
            <w:webHidden/>
          </w:rPr>
          <w:fldChar w:fldCharType="end"/>
        </w:r>
      </w:hyperlink>
    </w:p>
    <w:p w14:paraId="10D381D5" w14:textId="1DD5F12E" w:rsidR="00067371" w:rsidRDefault="00067371">
      <w:pPr>
        <w:pStyle w:val="TOC3"/>
        <w:rPr>
          <w:rFonts w:asciiTheme="minorHAnsi" w:eastAsiaTheme="minorEastAsia" w:hAnsiTheme="minorHAnsi" w:cstheme="minorBidi"/>
          <w:kern w:val="2"/>
          <w:sz w:val="24"/>
          <w:szCs w:val="24"/>
          <w14:ligatures w14:val="standardContextual"/>
        </w:rPr>
      </w:pPr>
      <w:hyperlink w:anchor="_Toc214283746" w:history="1">
        <w:r w:rsidRPr="008F4954">
          <w:rPr>
            <w:rStyle w:val="Hyperlink"/>
          </w:rPr>
          <w:t>Q.5.1</w:t>
        </w:r>
        <w:r>
          <w:rPr>
            <w:rFonts w:asciiTheme="minorHAnsi" w:eastAsiaTheme="minorEastAsia" w:hAnsiTheme="minorHAnsi" w:cstheme="minorBidi"/>
            <w:kern w:val="2"/>
            <w:sz w:val="24"/>
            <w:szCs w:val="24"/>
            <w14:ligatures w14:val="standardContextual"/>
          </w:rPr>
          <w:tab/>
        </w:r>
        <w:r w:rsidRPr="008F4954">
          <w:rPr>
            <w:rStyle w:val="Hyperlink"/>
          </w:rPr>
          <w:t>Log Files</w:t>
        </w:r>
        <w:r>
          <w:rPr>
            <w:webHidden/>
          </w:rPr>
          <w:tab/>
        </w:r>
        <w:r>
          <w:rPr>
            <w:webHidden/>
          </w:rPr>
          <w:fldChar w:fldCharType="begin"/>
        </w:r>
        <w:r>
          <w:rPr>
            <w:webHidden/>
          </w:rPr>
          <w:instrText xml:space="preserve"> PAGEREF _Toc214283746 \h </w:instrText>
        </w:r>
        <w:r>
          <w:rPr>
            <w:webHidden/>
          </w:rPr>
        </w:r>
        <w:r>
          <w:rPr>
            <w:webHidden/>
          </w:rPr>
          <w:fldChar w:fldCharType="separate"/>
        </w:r>
        <w:r>
          <w:rPr>
            <w:webHidden/>
          </w:rPr>
          <w:t>Q-10</w:t>
        </w:r>
        <w:r>
          <w:rPr>
            <w:webHidden/>
          </w:rPr>
          <w:fldChar w:fldCharType="end"/>
        </w:r>
      </w:hyperlink>
    </w:p>
    <w:p w14:paraId="1D2879C3" w14:textId="0C9A66B8" w:rsidR="00067371" w:rsidRDefault="00067371">
      <w:pPr>
        <w:pStyle w:val="TOC3"/>
        <w:rPr>
          <w:rFonts w:asciiTheme="minorHAnsi" w:eastAsiaTheme="minorEastAsia" w:hAnsiTheme="minorHAnsi" w:cstheme="minorBidi"/>
          <w:kern w:val="2"/>
          <w:sz w:val="24"/>
          <w:szCs w:val="24"/>
          <w14:ligatures w14:val="standardContextual"/>
        </w:rPr>
      </w:pPr>
      <w:hyperlink w:anchor="_Toc214283747" w:history="1">
        <w:r w:rsidRPr="008F4954">
          <w:rPr>
            <w:rStyle w:val="Hyperlink"/>
          </w:rPr>
          <w:t>Q.5.2</w:t>
        </w:r>
        <w:r>
          <w:rPr>
            <w:rFonts w:asciiTheme="minorHAnsi" w:eastAsiaTheme="minorEastAsia" w:hAnsiTheme="minorHAnsi" w:cstheme="minorBidi"/>
            <w:kern w:val="2"/>
            <w:sz w:val="24"/>
            <w:szCs w:val="24"/>
            <w14:ligatures w14:val="standardContextual"/>
          </w:rPr>
          <w:tab/>
        </w:r>
        <w:r w:rsidRPr="008F4954">
          <w:rPr>
            <w:rStyle w:val="Hyperlink"/>
          </w:rPr>
          <w:t>Temporary Files</w:t>
        </w:r>
        <w:r>
          <w:rPr>
            <w:webHidden/>
          </w:rPr>
          <w:tab/>
        </w:r>
        <w:r>
          <w:rPr>
            <w:webHidden/>
          </w:rPr>
          <w:fldChar w:fldCharType="begin"/>
        </w:r>
        <w:r>
          <w:rPr>
            <w:webHidden/>
          </w:rPr>
          <w:instrText xml:space="preserve"> PAGEREF _Toc214283747 \h </w:instrText>
        </w:r>
        <w:r>
          <w:rPr>
            <w:webHidden/>
          </w:rPr>
        </w:r>
        <w:r>
          <w:rPr>
            <w:webHidden/>
          </w:rPr>
          <w:fldChar w:fldCharType="separate"/>
        </w:r>
        <w:r>
          <w:rPr>
            <w:webHidden/>
          </w:rPr>
          <w:t>Q-15</w:t>
        </w:r>
        <w:r>
          <w:rPr>
            <w:webHidden/>
          </w:rPr>
          <w:fldChar w:fldCharType="end"/>
        </w:r>
      </w:hyperlink>
    </w:p>
    <w:p w14:paraId="34D3ECDB" w14:textId="71476CB5" w:rsidR="00067371" w:rsidRDefault="00067371">
      <w:pPr>
        <w:pStyle w:val="TOC3"/>
        <w:rPr>
          <w:rFonts w:asciiTheme="minorHAnsi" w:eastAsiaTheme="minorEastAsia" w:hAnsiTheme="minorHAnsi" w:cstheme="minorBidi"/>
          <w:kern w:val="2"/>
          <w:sz w:val="24"/>
          <w:szCs w:val="24"/>
          <w14:ligatures w14:val="standardContextual"/>
        </w:rPr>
      </w:pPr>
      <w:hyperlink w:anchor="_Toc214283748" w:history="1">
        <w:r w:rsidRPr="008F4954">
          <w:rPr>
            <w:rStyle w:val="Hyperlink"/>
          </w:rPr>
          <w:t>Q.5.3</w:t>
        </w:r>
        <w:r>
          <w:rPr>
            <w:rFonts w:asciiTheme="minorHAnsi" w:eastAsiaTheme="minorEastAsia" w:hAnsiTheme="minorHAnsi" w:cstheme="minorBidi"/>
            <w:kern w:val="2"/>
            <w:sz w:val="24"/>
            <w:szCs w:val="24"/>
            <w14:ligatures w14:val="standardContextual"/>
          </w:rPr>
          <w:tab/>
        </w:r>
        <w:r w:rsidRPr="008F4954">
          <w:rPr>
            <w:rStyle w:val="Hyperlink"/>
          </w:rPr>
          <w:t>Other Files</w:t>
        </w:r>
        <w:r>
          <w:rPr>
            <w:webHidden/>
          </w:rPr>
          <w:tab/>
        </w:r>
        <w:r>
          <w:rPr>
            <w:webHidden/>
          </w:rPr>
          <w:fldChar w:fldCharType="begin"/>
        </w:r>
        <w:r>
          <w:rPr>
            <w:webHidden/>
          </w:rPr>
          <w:instrText xml:space="preserve"> PAGEREF _Toc214283748 \h </w:instrText>
        </w:r>
        <w:r>
          <w:rPr>
            <w:webHidden/>
          </w:rPr>
        </w:r>
        <w:r>
          <w:rPr>
            <w:webHidden/>
          </w:rPr>
          <w:fldChar w:fldCharType="separate"/>
        </w:r>
        <w:r>
          <w:rPr>
            <w:webHidden/>
          </w:rPr>
          <w:t>Q-16</w:t>
        </w:r>
        <w:r>
          <w:rPr>
            <w:webHidden/>
          </w:rPr>
          <w:fldChar w:fldCharType="end"/>
        </w:r>
      </w:hyperlink>
    </w:p>
    <w:p w14:paraId="41325E2F" w14:textId="29CD5EC1" w:rsidR="00067371" w:rsidRDefault="00067371">
      <w:pPr>
        <w:pStyle w:val="TOC3"/>
        <w:rPr>
          <w:rFonts w:asciiTheme="minorHAnsi" w:eastAsiaTheme="minorEastAsia" w:hAnsiTheme="minorHAnsi" w:cstheme="minorBidi"/>
          <w:kern w:val="2"/>
          <w:sz w:val="24"/>
          <w:szCs w:val="24"/>
          <w14:ligatures w14:val="standardContextual"/>
        </w:rPr>
      </w:pPr>
      <w:hyperlink w:anchor="_Toc214283749" w:history="1">
        <w:r w:rsidRPr="008F4954">
          <w:rPr>
            <w:rStyle w:val="Hyperlink"/>
          </w:rPr>
          <w:t>Q.5.4</w:t>
        </w:r>
        <w:r>
          <w:rPr>
            <w:rFonts w:asciiTheme="minorHAnsi" w:eastAsiaTheme="minorEastAsia" w:hAnsiTheme="minorHAnsi" w:cstheme="minorBidi"/>
            <w:kern w:val="2"/>
            <w:sz w:val="24"/>
            <w:szCs w:val="24"/>
            <w14:ligatures w14:val="standardContextual"/>
          </w:rPr>
          <w:tab/>
        </w:r>
        <w:r w:rsidRPr="008F4954">
          <w:rPr>
            <w:rStyle w:val="Hyperlink"/>
          </w:rPr>
          <w:t>Database Backups</w:t>
        </w:r>
        <w:r>
          <w:rPr>
            <w:webHidden/>
          </w:rPr>
          <w:tab/>
        </w:r>
        <w:r>
          <w:rPr>
            <w:webHidden/>
          </w:rPr>
          <w:fldChar w:fldCharType="begin"/>
        </w:r>
        <w:r>
          <w:rPr>
            <w:webHidden/>
          </w:rPr>
          <w:instrText xml:space="preserve"> PAGEREF _Toc214283749 \h </w:instrText>
        </w:r>
        <w:r>
          <w:rPr>
            <w:webHidden/>
          </w:rPr>
        </w:r>
        <w:r>
          <w:rPr>
            <w:webHidden/>
          </w:rPr>
          <w:fldChar w:fldCharType="separate"/>
        </w:r>
        <w:r>
          <w:rPr>
            <w:webHidden/>
          </w:rPr>
          <w:t>Q-17</w:t>
        </w:r>
        <w:r>
          <w:rPr>
            <w:webHidden/>
          </w:rPr>
          <w:fldChar w:fldCharType="end"/>
        </w:r>
      </w:hyperlink>
    </w:p>
    <w:p w14:paraId="4453F5A2" w14:textId="3D71F622" w:rsidR="00067371" w:rsidRDefault="00067371">
      <w:pPr>
        <w:pStyle w:val="TOC3"/>
        <w:rPr>
          <w:rFonts w:asciiTheme="minorHAnsi" w:eastAsiaTheme="minorEastAsia" w:hAnsiTheme="minorHAnsi" w:cstheme="minorBidi"/>
          <w:kern w:val="2"/>
          <w:sz w:val="24"/>
          <w:szCs w:val="24"/>
          <w14:ligatures w14:val="standardContextual"/>
        </w:rPr>
      </w:pPr>
      <w:hyperlink w:anchor="_Toc214283750" w:history="1">
        <w:r w:rsidRPr="008F4954">
          <w:rPr>
            <w:rStyle w:val="Hyperlink"/>
          </w:rPr>
          <w:t>Q.5.5</w:t>
        </w:r>
        <w:r>
          <w:rPr>
            <w:rFonts w:asciiTheme="minorHAnsi" w:eastAsiaTheme="minorEastAsia" w:hAnsiTheme="minorHAnsi" w:cstheme="minorBidi"/>
            <w:kern w:val="2"/>
            <w:sz w:val="24"/>
            <w:szCs w:val="24"/>
            <w14:ligatures w14:val="standardContextual"/>
          </w:rPr>
          <w:tab/>
        </w:r>
        <w:r w:rsidRPr="008F4954">
          <w:rPr>
            <w:rStyle w:val="Hyperlink"/>
          </w:rPr>
          <w:t>User Account Management</w:t>
        </w:r>
        <w:r>
          <w:rPr>
            <w:webHidden/>
          </w:rPr>
          <w:tab/>
        </w:r>
        <w:r>
          <w:rPr>
            <w:webHidden/>
          </w:rPr>
          <w:fldChar w:fldCharType="begin"/>
        </w:r>
        <w:r>
          <w:rPr>
            <w:webHidden/>
          </w:rPr>
          <w:instrText xml:space="preserve"> PAGEREF _Toc214283750 \h </w:instrText>
        </w:r>
        <w:r>
          <w:rPr>
            <w:webHidden/>
          </w:rPr>
        </w:r>
        <w:r>
          <w:rPr>
            <w:webHidden/>
          </w:rPr>
          <w:fldChar w:fldCharType="separate"/>
        </w:r>
        <w:r>
          <w:rPr>
            <w:webHidden/>
          </w:rPr>
          <w:t>Q-18</w:t>
        </w:r>
        <w:r>
          <w:rPr>
            <w:webHidden/>
          </w:rPr>
          <w:fldChar w:fldCharType="end"/>
        </w:r>
      </w:hyperlink>
    </w:p>
    <w:p w14:paraId="64032968" w14:textId="073E06B9"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51" w:history="1">
        <w:r w:rsidRPr="008F4954">
          <w:rPr>
            <w:rStyle w:val="Hyperlink"/>
          </w:rPr>
          <w:t>APPENDIX R TSRT CONFIGURATION GUIDE</w:t>
        </w:r>
        <w:r>
          <w:rPr>
            <w:webHidden/>
          </w:rPr>
          <w:tab/>
        </w:r>
        <w:r>
          <w:rPr>
            <w:webHidden/>
          </w:rPr>
          <w:fldChar w:fldCharType="begin"/>
        </w:r>
        <w:r>
          <w:rPr>
            <w:webHidden/>
          </w:rPr>
          <w:instrText xml:space="preserve"> PAGEREF _Toc214283751 \h </w:instrText>
        </w:r>
        <w:r>
          <w:rPr>
            <w:webHidden/>
          </w:rPr>
        </w:r>
        <w:r>
          <w:rPr>
            <w:webHidden/>
          </w:rPr>
          <w:fldChar w:fldCharType="separate"/>
        </w:r>
        <w:r>
          <w:rPr>
            <w:webHidden/>
          </w:rPr>
          <w:t>R-1</w:t>
        </w:r>
        <w:r>
          <w:rPr>
            <w:webHidden/>
          </w:rPr>
          <w:fldChar w:fldCharType="end"/>
        </w:r>
      </w:hyperlink>
    </w:p>
    <w:p w14:paraId="685867A6" w14:textId="6F5D81F5"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52" w:history="1">
        <w:r w:rsidRPr="008F4954">
          <w:rPr>
            <w:rStyle w:val="Hyperlink"/>
          </w:rPr>
          <w:t>R.1</w:t>
        </w:r>
        <w:r>
          <w:rPr>
            <w:rFonts w:asciiTheme="minorHAnsi" w:eastAsiaTheme="minorEastAsia" w:hAnsiTheme="minorHAnsi" w:cstheme="minorBidi"/>
            <w:smallCaps w:val="0"/>
            <w:kern w:val="2"/>
            <w:szCs w:val="24"/>
            <w14:ligatures w14:val="standardContextual"/>
          </w:rPr>
          <w:tab/>
        </w:r>
        <w:r w:rsidRPr="008F4954">
          <w:rPr>
            <w:rStyle w:val="Hyperlink"/>
          </w:rPr>
          <w:t>TSRT CONFIGURATION OVERVIEW</w:t>
        </w:r>
        <w:r>
          <w:rPr>
            <w:webHidden/>
          </w:rPr>
          <w:tab/>
        </w:r>
        <w:r>
          <w:rPr>
            <w:webHidden/>
          </w:rPr>
          <w:fldChar w:fldCharType="begin"/>
        </w:r>
        <w:r>
          <w:rPr>
            <w:webHidden/>
          </w:rPr>
          <w:instrText xml:space="preserve"> PAGEREF _Toc214283752 \h </w:instrText>
        </w:r>
        <w:r>
          <w:rPr>
            <w:webHidden/>
          </w:rPr>
        </w:r>
        <w:r>
          <w:rPr>
            <w:webHidden/>
          </w:rPr>
          <w:fldChar w:fldCharType="separate"/>
        </w:r>
        <w:r>
          <w:rPr>
            <w:webHidden/>
          </w:rPr>
          <w:t>R-2</w:t>
        </w:r>
        <w:r>
          <w:rPr>
            <w:webHidden/>
          </w:rPr>
          <w:fldChar w:fldCharType="end"/>
        </w:r>
      </w:hyperlink>
    </w:p>
    <w:p w14:paraId="228D4896" w14:textId="1112F3C0" w:rsidR="00067371" w:rsidRDefault="00067371">
      <w:pPr>
        <w:pStyle w:val="TOC3"/>
        <w:rPr>
          <w:rFonts w:asciiTheme="minorHAnsi" w:eastAsiaTheme="minorEastAsia" w:hAnsiTheme="minorHAnsi" w:cstheme="minorBidi"/>
          <w:kern w:val="2"/>
          <w:sz w:val="24"/>
          <w:szCs w:val="24"/>
          <w14:ligatures w14:val="standardContextual"/>
        </w:rPr>
      </w:pPr>
      <w:hyperlink w:anchor="_Toc214283753" w:history="1">
        <w:r w:rsidRPr="008F4954">
          <w:rPr>
            <w:rStyle w:val="Hyperlink"/>
          </w:rPr>
          <w:t>R.1.1</w:t>
        </w:r>
        <w:r>
          <w:rPr>
            <w:rFonts w:asciiTheme="minorHAnsi" w:eastAsiaTheme="minorEastAsia" w:hAnsiTheme="minorHAnsi" w:cstheme="minorBidi"/>
            <w:kern w:val="2"/>
            <w:sz w:val="24"/>
            <w:szCs w:val="24"/>
            <w14:ligatures w14:val="standardContextual"/>
          </w:rPr>
          <w:tab/>
        </w:r>
        <w:r w:rsidRPr="008F4954">
          <w:rPr>
            <w:rStyle w:val="Hyperlink"/>
          </w:rPr>
          <w:t>TSRT Tool</w:t>
        </w:r>
        <w:r>
          <w:rPr>
            <w:webHidden/>
          </w:rPr>
          <w:tab/>
        </w:r>
        <w:r>
          <w:rPr>
            <w:webHidden/>
          </w:rPr>
          <w:fldChar w:fldCharType="begin"/>
        </w:r>
        <w:r>
          <w:rPr>
            <w:webHidden/>
          </w:rPr>
          <w:instrText xml:space="preserve"> PAGEREF _Toc214283753 \h </w:instrText>
        </w:r>
        <w:r>
          <w:rPr>
            <w:webHidden/>
          </w:rPr>
        </w:r>
        <w:r>
          <w:rPr>
            <w:webHidden/>
          </w:rPr>
          <w:fldChar w:fldCharType="separate"/>
        </w:r>
        <w:r>
          <w:rPr>
            <w:webHidden/>
          </w:rPr>
          <w:t>R-2</w:t>
        </w:r>
        <w:r>
          <w:rPr>
            <w:webHidden/>
          </w:rPr>
          <w:fldChar w:fldCharType="end"/>
        </w:r>
      </w:hyperlink>
    </w:p>
    <w:p w14:paraId="212670F2" w14:textId="55586C3D" w:rsidR="00067371" w:rsidRDefault="00067371">
      <w:pPr>
        <w:pStyle w:val="TOC3"/>
        <w:rPr>
          <w:rFonts w:asciiTheme="minorHAnsi" w:eastAsiaTheme="minorEastAsia" w:hAnsiTheme="minorHAnsi" w:cstheme="minorBidi"/>
          <w:kern w:val="2"/>
          <w:sz w:val="24"/>
          <w:szCs w:val="24"/>
          <w14:ligatures w14:val="standardContextual"/>
        </w:rPr>
      </w:pPr>
      <w:hyperlink w:anchor="_Toc214283754" w:history="1">
        <w:r w:rsidRPr="008F4954">
          <w:rPr>
            <w:rStyle w:val="Hyperlink"/>
          </w:rPr>
          <w:t>R.1.2</w:t>
        </w:r>
        <w:r>
          <w:rPr>
            <w:rFonts w:asciiTheme="minorHAnsi" w:eastAsiaTheme="minorEastAsia" w:hAnsiTheme="minorHAnsi" w:cstheme="minorBidi"/>
            <w:kern w:val="2"/>
            <w:sz w:val="24"/>
            <w:szCs w:val="24"/>
            <w14:ligatures w14:val="standardContextual"/>
          </w:rPr>
          <w:tab/>
        </w:r>
        <w:r w:rsidRPr="008F4954">
          <w:rPr>
            <w:rStyle w:val="Hyperlink"/>
          </w:rPr>
          <w:t>Strike Execution Folder</w:t>
        </w:r>
        <w:r>
          <w:rPr>
            <w:webHidden/>
          </w:rPr>
          <w:tab/>
        </w:r>
        <w:r>
          <w:rPr>
            <w:webHidden/>
          </w:rPr>
          <w:fldChar w:fldCharType="begin"/>
        </w:r>
        <w:r>
          <w:rPr>
            <w:webHidden/>
          </w:rPr>
          <w:instrText xml:space="preserve"> PAGEREF _Toc214283754 \h </w:instrText>
        </w:r>
        <w:r>
          <w:rPr>
            <w:webHidden/>
          </w:rPr>
        </w:r>
        <w:r>
          <w:rPr>
            <w:webHidden/>
          </w:rPr>
          <w:fldChar w:fldCharType="separate"/>
        </w:r>
        <w:r>
          <w:rPr>
            <w:webHidden/>
          </w:rPr>
          <w:t>R-2</w:t>
        </w:r>
        <w:r>
          <w:rPr>
            <w:webHidden/>
          </w:rPr>
          <w:fldChar w:fldCharType="end"/>
        </w:r>
      </w:hyperlink>
    </w:p>
    <w:p w14:paraId="5AC7AE35" w14:textId="159BD004" w:rsidR="00067371" w:rsidRDefault="00067371">
      <w:pPr>
        <w:pStyle w:val="TOC3"/>
        <w:rPr>
          <w:rFonts w:asciiTheme="minorHAnsi" w:eastAsiaTheme="minorEastAsia" w:hAnsiTheme="minorHAnsi" w:cstheme="minorBidi"/>
          <w:kern w:val="2"/>
          <w:sz w:val="24"/>
          <w:szCs w:val="24"/>
          <w14:ligatures w14:val="standardContextual"/>
        </w:rPr>
      </w:pPr>
      <w:hyperlink w:anchor="_Toc214283755" w:history="1">
        <w:r w:rsidRPr="008F4954">
          <w:rPr>
            <w:rStyle w:val="Hyperlink"/>
          </w:rPr>
          <w:t>R.1.3</w:t>
        </w:r>
        <w:r>
          <w:rPr>
            <w:rFonts w:asciiTheme="minorHAnsi" w:eastAsiaTheme="minorEastAsia" w:hAnsiTheme="minorHAnsi" w:cstheme="minorBidi"/>
            <w:kern w:val="2"/>
            <w:sz w:val="24"/>
            <w:szCs w:val="24"/>
            <w14:ligatures w14:val="standardContextual"/>
          </w:rPr>
          <w:tab/>
        </w:r>
        <w:r w:rsidRPr="008F4954">
          <w:rPr>
            <w:rStyle w:val="Hyperlink"/>
          </w:rPr>
          <w:t>Communications</w:t>
        </w:r>
        <w:r>
          <w:rPr>
            <w:webHidden/>
          </w:rPr>
          <w:tab/>
        </w:r>
        <w:r>
          <w:rPr>
            <w:webHidden/>
          </w:rPr>
          <w:fldChar w:fldCharType="begin"/>
        </w:r>
        <w:r>
          <w:rPr>
            <w:webHidden/>
          </w:rPr>
          <w:instrText xml:space="preserve"> PAGEREF _Toc214283755 \h </w:instrText>
        </w:r>
        <w:r>
          <w:rPr>
            <w:webHidden/>
          </w:rPr>
        </w:r>
        <w:r>
          <w:rPr>
            <w:webHidden/>
          </w:rPr>
          <w:fldChar w:fldCharType="separate"/>
        </w:r>
        <w:r>
          <w:rPr>
            <w:webHidden/>
          </w:rPr>
          <w:t>R-2</w:t>
        </w:r>
        <w:r>
          <w:rPr>
            <w:webHidden/>
          </w:rPr>
          <w:fldChar w:fldCharType="end"/>
        </w:r>
      </w:hyperlink>
    </w:p>
    <w:p w14:paraId="39730D3B" w14:textId="1BFEFC6C"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56" w:history="1">
        <w:r w:rsidRPr="008F4954">
          <w:rPr>
            <w:rStyle w:val="Hyperlink"/>
          </w:rPr>
          <w:t>R.2</w:t>
        </w:r>
        <w:r>
          <w:rPr>
            <w:rFonts w:asciiTheme="minorHAnsi" w:eastAsiaTheme="minorEastAsia" w:hAnsiTheme="minorHAnsi" w:cstheme="minorBidi"/>
            <w:smallCaps w:val="0"/>
            <w:kern w:val="2"/>
            <w:szCs w:val="24"/>
            <w14:ligatures w14:val="standardContextual"/>
          </w:rPr>
          <w:tab/>
        </w:r>
        <w:r w:rsidRPr="008F4954">
          <w:rPr>
            <w:rStyle w:val="Hyperlink"/>
          </w:rPr>
          <w:t>CONFIGURING THE TSRT TOOL</w:t>
        </w:r>
        <w:r>
          <w:rPr>
            <w:webHidden/>
          </w:rPr>
          <w:tab/>
        </w:r>
        <w:r>
          <w:rPr>
            <w:webHidden/>
          </w:rPr>
          <w:fldChar w:fldCharType="begin"/>
        </w:r>
        <w:r>
          <w:rPr>
            <w:webHidden/>
          </w:rPr>
          <w:instrText xml:space="preserve"> PAGEREF _Toc214283756 \h </w:instrText>
        </w:r>
        <w:r>
          <w:rPr>
            <w:webHidden/>
          </w:rPr>
        </w:r>
        <w:r>
          <w:rPr>
            <w:webHidden/>
          </w:rPr>
          <w:fldChar w:fldCharType="separate"/>
        </w:r>
        <w:r>
          <w:rPr>
            <w:webHidden/>
          </w:rPr>
          <w:t>R-2</w:t>
        </w:r>
        <w:r>
          <w:rPr>
            <w:webHidden/>
          </w:rPr>
          <w:fldChar w:fldCharType="end"/>
        </w:r>
      </w:hyperlink>
    </w:p>
    <w:p w14:paraId="0DCF7271" w14:textId="015A60CA" w:rsidR="00067371" w:rsidRDefault="00067371">
      <w:pPr>
        <w:pStyle w:val="TOC3"/>
        <w:rPr>
          <w:rFonts w:asciiTheme="minorHAnsi" w:eastAsiaTheme="minorEastAsia" w:hAnsiTheme="minorHAnsi" w:cstheme="minorBidi"/>
          <w:kern w:val="2"/>
          <w:sz w:val="24"/>
          <w:szCs w:val="24"/>
          <w14:ligatures w14:val="standardContextual"/>
        </w:rPr>
      </w:pPr>
      <w:hyperlink w:anchor="_Toc214283757" w:history="1">
        <w:r w:rsidRPr="008F4954">
          <w:rPr>
            <w:rStyle w:val="Hyperlink"/>
          </w:rPr>
          <w:t>R.2.1</w:t>
        </w:r>
        <w:r>
          <w:rPr>
            <w:rFonts w:asciiTheme="minorHAnsi" w:eastAsiaTheme="minorEastAsia" w:hAnsiTheme="minorHAnsi" w:cstheme="minorBidi"/>
            <w:kern w:val="2"/>
            <w:sz w:val="24"/>
            <w:szCs w:val="24"/>
            <w14:ligatures w14:val="standardContextual"/>
          </w:rPr>
          <w:tab/>
        </w:r>
        <w:r w:rsidRPr="008F4954">
          <w:rPr>
            <w:rStyle w:val="Hyperlink"/>
          </w:rPr>
          <w:t>TSRT Comms Configuration</w:t>
        </w:r>
        <w:r>
          <w:rPr>
            <w:webHidden/>
          </w:rPr>
          <w:tab/>
        </w:r>
        <w:r>
          <w:rPr>
            <w:webHidden/>
          </w:rPr>
          <w:fldChar w:fldCharType="begin"/>
        </w:r>
        <w:r>
          <w:rPr>
            <w:webHidden/>
          </w:rPr>
          <w:instrText xml:space="preserve"> PAGEREF _Toc214283757 \h </w:instrText>
        </w:r>
        <w:r>
          <w:rPr>
            <w:webHidden/>
          </w:rPr>
        </w:r>
        <w:r>
          <w:rPr>
            <w:webHidden/>
          </w:rPr>
          <w:fldChar w:fldCharType="separate"/>
        </w:r>
        <w:r>
          <w:rPr>
            <w:webHidden/>
          </w:rPr>
          <w:t>R-2</w:t>
        </w:r>
        <w:r>
          <w:rPr>
            <w:webHidden/>
          </w:rPr>
          <w:fldChar w:fldCharType="end"/>
        </w:r>
      </w:hyperlink>
    </w:p>
    <w:p w14:paraId="6A662301" w14:textId="412A9BB8" w:rsidR="00067371" w:rsidRDefault="00067371">
      <w:pPr>
        <w:pStyle w:val="TOC3"/>
        <w:rPr>
          <w:rFonts w:asciiTheme="minorHAnsi" w:eastAsiaTheme="minorEastAsia" w:hAnsiTheme="minorHAnsi" w:cstheme="minorBidi"/>
          <w:kern w:val="2"/>
          <w:sz w:val="24"/>
          <w:szCs w:val="24"/>
          <w14:ligatures w14:val="standardContextual"/>
        </w:rPr>
      </w:pPr>
      <w:hyperlink w:anchor="_Toc214283758" w:history="1">
        <w:r w:rsidRPr="008F4954">
          <w:rPr>
            <w:rStyle w:val="Hyperlink"/>
          </w:rPr>
          <w:t>R.2.2</w:t>
        </w:r>
        <w:r>
          <w:rPr>
            <w:rFonts w:asciiTheme="minorHAnsi" w:eastAsiaTheme="minorEastAsia" w:hAnsiTheme="minorHAnsi" w:cstheme="minorBidi"/>
            <w:kern w:val="2"/>
            <w:sz w:val="24"/>
            <w:szCs w:val="24"/>
            <w14:ligatures w14:val="standardContextual"/>
          </w:rPr>
          <w:tab/>
        </w:r>
        <w:r w:rsidRPr="008F4954">
          <w:rPr>
            <w:rStyle w:val="Hyperlink"/>
          </w:rPr>
          <w:t>TSRT Geographic Display Configuration</w:t>
        </w:r>
        <w:r>
          <w:rPr>
            <w:webHidden/>
          </w:rPr>
          <w:tab/>
        </w:r>
        <w:r>
          <w:rPr>
            <w:webHidden/>
          </w:rPr>
          <w:fldChar w:fldCharType="begin"/>
        </w:r>
        <w:r>
          <w:rPr>
            <w:webHidden/>
          </w:rPr>
          <w:instrText xml:space="preserve"> PAGEREF _Toc214283758 \h </w:instrText>
        </w:r>
        <w:r>
          <w:rPr>
            <w:webHidden/>
          </w:rPr>
        </w:r>
        <w:r>
          <w:rPr>
            <w:webHidden/>
          </w:rPr>
          <w:fldChar w:fldCharType="separate"/>
        </w:r>
        <w:r>
          <w:rPr>
            <w:webHidden/>
          </w:rPr>
          <w:t>R-3</w:t>
        </w:r>
        <w:r>
          <w:rPr>
            <w:webHidden/>
          </w:rPr>
          <w:fldChar w:fldCharType="end"/>
        </w:r>
      </w:hyperlink>
    </w:p>
    <w:p w14:paraId="6B59C1EA" w14:textId="3CAE341F" w:rsidR="00067371" w:rsidRDefault="00067371">
      <w:pPr>
        <w:pStyle w:val="TOC3"/>
        <w:rPr>
          <w:rFonts w:asciiTheme="minorHAnsi" w:eastAsiaTheme="minorEastAsia" w:hAnsiTheme="minorHAnsi" w:cstheme="minorBidi"/>
          <w:kern w:val="2"/>
          <w:sz w:val="24"/>
          <w:szCs w:val="24"/>
          <w14:ligatures w14:val="standardContextual"/>
        </w:rPr>
      </w:pPr>
      <w:hyperlink w:anchor="_Toc214283759" w:history="1">
        <w:r w:rsidRPr="008F4954">
          <w:rPr>
            <w:rStyle w:val="Hyperlink"/>
          </w:rPr>
          <w:t>R.2.3</w:t>
        </w:r>
        <w:r>
          <w:rPr>
            <w:rFonts w:asciiTheme="minorHAnsi" w:eastAsiaTheme="minorEastAsia" w:hAnsiTheme="minorHAnsi" w:cstheme="minorBidi"/>
            <w:kern w:val="2"/>
            <w:sz w:val="24"/>
            <w:szCs w:val="24"/>
            <w14:ligatures w14:val="standardContextual"/>
          </w:rPr>
          <w:tab/>
        </w:r>
        <w:r w:rsidRPr="008F4954">
          <w:rPr>
            <w:rStyle w:val="Hyperlink"/>
          </w:rPr>
          <w:t>TSRT Live FRU Configuration</w:t>
        </w:r>
        <w:r>
          <w:rPr>
            <w:webHidden/>
          </w:rPr>
          <w:tab/>
        </w:r>
        <w:r>
          <w:rPr>
            <w:webHidden/>
          </w:rPr>
          <w:fldChar w:fldCharType="begin"/>
        </w:r>
        <w:r>
          <w:rPr>
            <w:webHidden/>
          </w:rPr>
          <w:instrText xml:space="preserve"> PAGEREF _Toc214283759 \h </w:instrText>
        </w:r>
        <w:r>
          <w:rPr>
            <w:webHidden/>
          </w:rPr>
        </w:r>
        <w:r>
          <w:rPr>
            <w:webHidden/>
          </w:rPr>
          <w:fldChar w:fldCharType="separate"/>
        </w:r>
        <w:r>
          <w:rPr>
            <w:webHidden/>
          </w:rPr>
          <w:t>R-5</w:t>
        </w:r>
        <w:r>
          <w:rPr>
            <w:webHidden/>
          </w:rPr>
          <w:fldChar w:fldCharType="end"/>
        </w:r>
      </w:hyperlink>
    </w:p>
    <w:p w14:paraId="6D712511" w14:textId="1684CD37" w:rsidR="00067371" w:rsidRDefault="00067371">
      <w:pPr>
        <w:pStyle w:val="TOC3"/>
        <w:rPr>
          <w:rFonts w:asciiTheme="minorHAnsi" w:eastAsiaTheme="minorEastAsia" w:hAnsiTheme="minorHAnsi" w:cstheme="minorBidi"/>
          <w:kern w:val="2"/>
          <w:sz w:val="24"/>
          <w:szCs w:val="24"/>
          <w14:ligatures w14:val="standardContextual"/>
        </w:rPr>
      </w:pPr>
      <w:hyperlink w:anchor="_Toc214283760" w:history="1">
        <w:r w:rsidRPr="008F4954">
          <w:rPr>
            <w:rStyle w:val="Hyperlink"/>
          </w:rPr>
          <w:t>R.2.4</w:t>
        </w:r>
        <w:r>
          <w:rPr>
            <w:rFonts w:asciiTheme="minorHAnsi" w:eastAsiaTheme="minorEastAsia" w:hAnsiTheme="minorHAnsi" w:cstheme="minorBidi"/>
            <w:kern w:val="2"/>
            <w:sz w:val="24"/>
            <w:szCs w:val="24"/>
            <w14:ligatures w14:val="standardContextual"/>
          </w:rPr>
          <w:tab/>
        </w:r>
        <w:r w:rsidRPr="008F4954">
          <w:rPr>
            <w:rStyle w:val="Hyperlink"/>
          </w:rPr>
          <w:t>TSRT Response Times Configuration</w:t>
        </w:r>
        <w:r>
          <w:rPr>
            <w:webHidden/>
          </w:rPr>
          <w:tab/>
        </w:r>
        <w:r>
          <w:rPr>
            <w:webHidden/>
          </w:rPr>
          <w:fldChar w:fldCharType="begin"/>
        </w:r>
        <w:r>
          <w:rPr>
            <w:webHidden/>
          </w:rPr>
          <w:instrText xml:space="preserve"> PAGEREF _Toc214283760 \h </w:instrText>
        </w:r>
        <w:r>
          <w:rPr>
            <w:webHidden/>
          </w:rPr>
        </w:r>
        <w:r>
          <w:rPr>
            <w:webHidden/>
          </w:rPr>
          <w:fldChar w:fldCharType="separate"/>
        </w:r>
        <w:r>
          <w:rPr>
            <w:webHidden/>
          </w:rPr>
          <w:t>R-5</w:t>
        </w:r>
        <w:r>
          <w:rPr>
            <w:webHidden/>
          </w:rPr>
          <w:fldChar w:fldCharType="end"/>
        </w:r>
      </w:hyperlink>
    </w:p>
    <w:p w14:paraId="28A7EF25" w14:textId="3B79C388" w:rsidR="00067371" w:rsidRDefault="00067371">
      <w:pPr>
        <w:pStyle w:val="TOC3"/>
        <w:rPr>
          <w:rFonts w:asciiTheme="minorHAnsi" w:eastAsiaTheme="minorEastAsia" w:hAnsiTheme="minorHAnsi" w:cstheme="minorBidi"/>
          <w:kern w:val="2"/>
          <w:sz w:val="24"/>
          <w:szCs w:val="24"/>
          <w14:ligatures w14:val="standardContextual"/>
        </w:rPr>
      </w:pPr>
      <w:hyperlink w:anchor="_Toc214283761" w:history="1">
        <w:r w:rsidRPr="008F4954">
          <w:rPr>
            <w:rStyle w:val="Hyperlink"/>
          </w:rPr>
          <w:t>R.2.5</w:t>
        </w:r>
        <w:r>
          <w:rPr>
            <w:rFonts w:asciiTheme="minorHAnsi" w:eastAsiaTheme="minorEastAsia" w:hAnsiTheme="minorHAnsi" w:cstheme="minorBidi"/>
            <w:kern w:val="2"/>
            <w:sz w:val="24"/>
            <w:szCs w:val="24"/>
            <w14:ligatures w14:val="standardContextual"/>
          </w:rPr>
          <w:tab/>
        </w:r>
        <w:r w:rsidRPr="008F4954">
          <w:rPr>
            <w:rStyle w:val="Hyperlink"/>
          </w:rPr>
          <w:t>Finishing Up</w:t>
        </w:r>
        <w:r>
          <w:rPr>
            <w:webHidden/>
          </w:rPr>
          <w:tab/>
        </w:r>
        <w:r>
          <w:rPr>
            <w:webHidden/>
          </w:rPr>
          <w:fldChar w:fldCharType="begin"/>
        </w:r>
        <w:r>
          <w:rPr>
            <w:webHidden/>
          </w:rPr>
          <w:instrText xml:space="preserve"> PAGEREF _Toc214283761 \h </w:instrText>
        </w:r>
        <w:r>
          <w:rPr>
            <w:webHidden/>
          </w:rPr>
        </w:r>
        <w:r>
          <w:rPr>
            <w:webHidden/>
          </w:rPr>
          <w:fldChar w:fldCharType="separate"/>
        </w:r>
        <w:r>
          <w:rPr>
            <w:webHidden/>
          </w:rPr>
          <w:t>R-7</w:t>
        </w:r>
        <w:r>
          <w:rPr>
            <w:webHidden/>
          </w:rPr>
          <w:fldChar w:fldCharType="end"/>
        </w:r>
      </w:hyperlink>
    </w:p>
    <w:p w14:paraId="4D8E1C8E" w14:textId="78175C98" w:rsidR="00067371" w:rsidRDefault="00067371">
      <w:pPr>
        <w:pStyle w:val="TOC3"/>
        <w:rPr>
          <w:rFonts w:asciiTheme="minorHAnsi" w:eastAsiaTheme="minorEastAsia" w:hAnsiTheme="minorHAnsi" w:cstheme="minorBidi"/>
          <w:kern w:val="2"/>
          <w:sz w:val="24"/>
          <w:szCs w:val="24"/>
          <w14:ligatures w14:val="standardContextual"/>
        </w:rPr>
      </w:pPr>
      <w:hyperlink w:anchor="_Toc214283762" w:history="1">
        <w:r w:rsidRPr="008F4954">
          <w:rPr>
            <w:rStyle w:val="Hyperlink"/>
          </w:rPr>
          <w:t>R.2.6</w:t>
        </w:r>
        <w:r>
          <w:rPr>
            <w:rFonts w:asciiTheme="minorHAnsi" w:eastAsiaTheme="minorEastAsia" w:hAnsiTheme="minorHAnsi" w:cstheme="minorBidi"/>
            <w:kern w:val="2"/>
            <w:sz w:val="24"/>
            <w:szCs w:val="24"/>
            <w14:ligatures w14:val="standardContextual"/>
          </w:rPr>
          <w:tab/>
        </w:r>
        <w:r w:rsidRPr="008F4954">
          <w:rPr>
            <w:rStyle w:val="Hyperlink"/>
          </w:rPr>
          <w:t>Configuring TSN SOM Header Type</w:t>
        </w:r>
        <w:r>
          <w:rPr>
            <w:webHidden/>
          </w:rPr>
          <w:tab/>
        </w:r>
        <w:r>
          <w:rPr>
            <w:webHidden/>
          </w:rPr>
          <w:fldChar w:fldCharType="begin"/>
        </w:r>
        <w:r>
          <w:rPr>
            <w:webHidden/>
          </w:rPr>
          <w:instrText xml:space="preserve"> PAGEREF _Toc214283762 \h </w:instrText>
        </w:r>
        <w:r>
          <w:rPr>
            <w:webHidden/>
          </w:rPr>
        </w:r>
        <w:r>
          <w:rPr>
            <w:webHidden/>
          </w:rPr>
          <w:fldChar w:fldCharType="separate"/>
        </w:r>
        <w:r>
          <w:rPr>
            <w:webHidden/>
          </w:rPr>
          <w:t>R-7</w:t>
        </w:r>
        <w:r>
          <w:rPr>
            <w:webHidden/>
          </w:rPr>
          <w:fldChar w:fldCharType="end"/>
        </w:r>
      </w:hyperlink>
    </w:p>
    <w:p w14:paraId="5FEA63AD" w14:textId="6FEFF5C3"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63" w:history="1">
        <w:r w:rsidRPr="008F4954">
          <w:rPr>
            <w:rStyle w:val="Hyperlink"/>
          </w:rPr>
          <w:t>R.3</w:t>
        </w:r>
        <w:r>
          <w:rPr>
            <w:rFonts w:asciiTheme="minorHAnsi" w:eastAsiaTheme="minorEastAsia" w:hAnsiTheme="minorHAnsi" w:cstheme="minorBidi"/>
            <w:smallCaps w:val="0"/>
            <w:kern w:val="2"/>
            <w:szCs w:val="24"/>
            <w14:ligatures w14:val="standardContextual"/>
          </w:rPr>
          <w:tab/>
        </w:r>
        <w:r w:rsidRPr="008F4954">
          <w:rPr>
            <w:rStyle w:val="Hyperlink"/>
          </w:rPr>
          <w:t>CONFIGURING A STRIKE FOR TSRT</w:t>
        </w:r>
        <w:r>
          <w:rPr>
            <w:webHidden/>
          </w:rPr>
          <w:tab/>
        </w:r>
        <w:r>
          <w:rPr>
            <w:webHidden/>
          </w:rPr>
          <w:fldChar w:fldCharType="begin"/>
        </w:r>
        <w:r>
          <w:rPr>
            <w:webHidden/>
          </w:rPr>
          <w:instrText xml:space="preserve"> PAGEREF _Toc214283763 \h </w:instrText>
        </w:r>
        <w:r>
          <w:rPr>
            <w:webHidden/>
          </w:rPr>
        </w:r>
        <w:r>
          <w:rPr>
            <w:webHidden/>
          </w:rPr>
          <w:fldChar w:fldCharType="separate"/>
        </w:r>
        <w:r>
          <w:rPr>
            <w:webHidden/>
          </w:rPr>
          <w:t>R-8</w:t>
        </w:r>
        <w:r>
          <w:rPr>
            <w:webHidden/>
          </w:rPr>
          <w:fldChar w:fldCharType="end"/>
        </w:r>
      </w:hyperlink>
    </w:p>
    <w:p w14:paraId="3DFED9DC" w14:textId="0F861ED3" w:rsidR="00067371" w:rsidRDefault="00067371">
      <w:pPr>
        <w:pStyle w:val="TOC3"/>
        <w:rPr>
          <w:rFonts w:asciiTheme="minorHAnsi" w:eastAsiaTheme="minorEastAsia" w:hAnsiTheme="minorHAnsi" w:cstheme="minorBidi"/>
          <w:kern w:val="2"/>
          <w:sz w:val="24"/>
          <w:szCs w:val="24"/>
          <w14:ligatures w14:val="standardContextual"/>
        </w:rPr>
      </w:pPr>
      <w:hyperlink w:anchor="_Toc214283764" w:history="1">
        <w:r w:rsidRPr="008F4954">
          <w:rPr>
            <w:rStyle w:val="Hyperlink"/>
          </w:rPr>
          <w:t>R.3.1</w:t>
        </w:r>
        <w:r>
          <w:rPr>
            <w:rFonts w:asciiTheme="minorHAnsi" w:eastAsiaTheme="minorEastAsia" w:hAnsiTheme="minorHAnsi" w:cstheme="minorBidi"/>
            <w:kern w:val="2"/>
            <w:sz w:val="24"/>
            <w:szCs w:val="24"/>
            <w14:ligatures w14:val="standardContextual"/>
          </w:rPr>
          <w:tab/>
        </w:r>
        <w:r w:rsidRPr="008F4954">
          <w:rPr>
            <w:rStyle w:val="Hyperlink"/>
          </w:rPr>
          <w:t>Before You Begin</w:t>
        </w:r>
        <w:r>
          <w:rPr>
            <w:webHidden/>
          </w:rPr>
          <w:tab/>
        </w:r>
        <w:r>
          <w:rPr>
            <w:webHidden/>
          </w:rPr>
          <w:fldChar w:fldCharType="begin"/>
        </w:r>
        <w:r>
          <w:rPr>
            <w:webHidden/>
          </w:rPr>
          <w:instrText xml:space="preserve"> PAGEREF _Toc214283764 \h </w:instrText>
        </w:r>
        <w:r>
          <w:rPr>
            <w:webHidden/>
          </w:rPr>
        </w:r>
        <w:r>
          <w:rPr>
            <w:webHidden/>
          </w:rPr>
          <w:fldChar w:fldCharType="separate"/>
        </w:r>
        <w:r>
          <w:rPr>
            <w:webHidden/>
          </w:rPr>
          <w:t>R-8</w:t>
        </w:r>
        <w:r>
          <w:rPr>
            <w:webHidden/>
          </w:rPr>
          <w:fldChar w:fldCharType="end"/>
        </w:r>
      </w:hyperlink>
    </w:p>
    <w:p w14:paraId="74F8A9FB" w14:textId="2597327B" w:rsidR="00067371" w:rsidRDefault="00067371">
      <w:pPr>
        <w:pStyle w:val="TOC3"/>
        <w:rPr>
          <w:rFonts w:asciiTheme="minorHAnsi" w:eastAsiaTheme="minorEastAsia" w:hAnsiTheme="minorHAnsi" w:cstheme="minorBidi"/>
          <w:kern w:val="2"/>
          <w:sz w:val="24"/>
          <w:szCs w:val="24"/>
          <w14:ligatures w14:val="standardContextual"/>
        </w:rPr>
      </w:pPr>
      <w:hyperlink w:anchor="_Toc214283765" w:history="1">
        <w:r w:rsidRPr="008F4954">
          <w:rPr>
            <w:rStyle w:val="Hyperlink"/>
          </w:rPr>
          <w:t>R.3.2</w:t>
        </w:r>
        <w:r>
          <w:rPr>
            <w:rFonts w:asciiTheme="minorHAnsi" w:eastAsiaTheme="minorEastAsia" w:hAnsiTheme="minorHAnsi" w:cstheme="minorBidi"/>
            <w:kern w:val="2"/>
            <w:sz w:val="24"/>
            <w:szCs w:val="24"/>
            <w14:ligatures w14:val="standardContextual"/>
          </w:rPr>
          <w:tab/>
        </w:r>
        <w:r w:rsidRPr="008F4954">
          <w:rPr>
            <w:rStyle w:val="Hyperlink"/>
          </w:rPr>
          <w:t>TSRT Strike Configuration</w:t>
        </w:r>
        <w:r>
          <w:rPr>
            <w:webHidden/>
          </w:rPr>
          <w:tab/>
        </w:r>
        <w:r>
          <w:rPr>
            <w:webHidden/>
          </w:rPr>
          <w:fldChar w:fldCharType="begin"/>
        </w:r>
        <w:r>
          <w:rPr>
            <w:webHidden/>
          </w:rPr>
          <w:instrText xml:space="preserve"> PAGEREF _Toc214283765 \h </w:instrText>
        </w:r>
        <w:r>
          <w:rPr>
            <w:webHidden/>
          </w:rPr>
        </w:r>
        <w:r>
          <w:rPr>
            <w:webHidden/>
          </w:rPr>
          <w:fldChar w:fldCharType="separate"/>
        </w:r>
        <w:r>
          <w:rPr>
            <w:webHidden/>
          </w:rPr>
          <w:t>R-8</w:t>
        </w:r>
        <w:r>
          <w:rPr>
            <w:webHidden/>
          </w:rPr>
          <w:fldChar w:fldCharType="end"/>
        </w:r>
      </w:hyperlink>
    </w:p>
    <w:p w14:paraId="029DF2F4" w14:textId="08225AA5"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66" w:history="1">
        <w:r w:rsidRPr="008F4954">
          <w:rPr>
            <w:rStyle w:val="Hyperlink"/>
          </w:rPr>
          <w:t>R.4</w:t>
        </w:r>
        <w:r>
          <w:rPr>
            <w:rFonts w:asciiTheme="minorHAnsi" w:eastAsiaTheme="minorEastAsia" w:hAnsiTheme="minorHAnsi" w:cstheme="minorBidi"/>
            <w:smallCaps w:val="0"/>
            <w:kern w:val="2"/>
            <w:szCs w:val="24"/>
            <w14:ligatures w14:val="standardContextual"/>
          </w:rPr>
          <w:tab/>
        </w:r>
        <w:r w:rsidRPr="008F4954">
          <w:rPr>
            <w:rStyle w:val="Hyperlink"/>
          </w:rPr>
          <w:t>CONFIGURING COMMUNICATIONS BETWEEN STRIKE PARTICIPANTS</w:t>
        </w:r>
        <w:r>
          <w:rPr>
            <w:webHidden/>
          </w:rPr>
          <w:tab/>
        </w:r>
        <w:r>
          <w:rPr>
            <w:webHidden/>
          </w:rPr>
          <w:fldChar w:fldCharType="begin"/>
        </w:r>
        <w:r>
          <w:rPr>
            <w:webHidden/>
          </w:rPr>
          <w:instrText xml:space="preserve"> PAGEREF _Toc214283766 \h </w:instrText>
        </w:r>
        <w:r>
          <w:rPr>
            <w:webHidden/>
          </w:rPr>
        </w:r>
        <w:r>
          <w:rPr>
            <w:webHidden/>
          </w:rPr>
          <w:fldChar w:fldCharType="separate"/>
        </w:r>
        <w:r>
          <w:rPr>
            <w:webHidden/>
          </w:rPr>
          <w:t>R-18</w:t>
        </w:r>
        <w:r>
          <w:rPr>
            <w:webHidden/>
          </w:rPr>
          <w:fldChar w:fldCharType="end"/>
        </w:r>
      </w:hyperlink>
    </w:p>
    <w:p w14:paraId="007E3C5B" w14:textId="6BF7B5E9" w:rsidR="00067371" w:rsidRDefault="00067371">
      <w:pPr>
        <w:pStyle w:val="TOC3"/>
        <w:rPr>
          <w:rFonts w:asciiTheme="minorHAnsi" w:eastAsiaTheme="minorEastAsia" w:hAnsiTheme="minorHAnsi" w:cstheme="minorBidi"/>
          <w:kern w:val="2"/>
          <w:sz w:val="24"/>
          <w:szCs w:val="24"/>
          <w14:ligatures w14:val="standardContextual"/>
        </w:rPr>
      </w:pPr>
      <w:hyperlink w:anchor="_Toc214283767" w:history="1">
        <w:r w:rsidRPr="008F4954">
          <w:rPr>
            <w:rStyle w:val="Hyperlink"/>
          </w:rPr>
          <w:t>R.4.1</w:t>
        </w:r>
        <w:r>
          <w:rPr>
            <w:rFonts w:asciiTheme="minorHAnsi" w:eastAsiaTheme="minorEastAsia" w:hAnsiTheme="minorHAnsi" w:cstheme="minorBidi"/>
            <w:kern w:val="2"/>
            <w:sz w:val="24"/>
            <w:szCs w:val="24"/>
            <w14:ligatures w14:val="standardContextual"/>
          </w:rPr>
          <w:tab/>
        </w:r>
        <w:r w:rsidRPr="008F4954">
          <w:rPr>
            <w:rStyle w:val="Hyperlink"/>
          </w:rPr>
          <w:t>Communications Overview</w:t>
        </w:r>
        <w:r>
          <w:rPr>
            <w:webHidden/>
          </w:rPr>
          <w:tab/>
        </w:r>
        <w:r>
          <w:rPr>
            <w:webHidden/>
          </w:rPr>
          <w:fldChar w:fldCharType="begin"/>
        </w:r>
        <w:r>
          <w:rPr>
            <w:webHidden/>
          </w:rPr>
          <w:instrText xml:space="preserve"> PAGEREF _Toc214283767 \h </w:instrText>
        </w:r>
        <w:r>
          <w:rPr>
            <w:webHidden/>
          </w:rPr>
        </w:r>
        <w:r>
          <w:rPr>
            <w:webHidden/>
          </w:rPr>
          <w:fldChar w:fldCharType="separate"/>
        </w:r>
        <w:r>
          <w:rPr>
            <w:webHidden/>
          </w:rPr>
          <w:t>R-18</w:t>
        </w:r>
        <w:r>
          <w:rPr>
            <w:webHidden/>
          </w:rPr>
          <w:fldChar w:fldCharType="end"/>
        </w:r>
      </w:hyperlink>
    </w:p>
    <w:p w14:paraId="05DE2E01" w14:textId="476CECA7" w:rsidR="00067371" w:rsidRDefault="00067371">
      <w:pPr>
        <w:pStyle w:val="TOC3"/>
        <w:rPr>
          <w:rFonts w:asciiTheme="minorHAnsi" w:eastAsiaTheme="minorEastAsia" w:hAnsiTheme="minorHAnsi" w:cstheme="minorBidi"/>
          <w:kern w:val="2"/>
          <w:sz w:val="24"/>
          <w:szCs w:val="24"/>
          <w14:ligatures w14:val="standardContextual"/>
        </w:rPr>
      </w:pPr>
      <w:hyperlink w:anchor="_Toc214283768" w:history="1">
        <w:r w:rsidRPr="008F4954">
          <w:rPr>
            <w:rStyle w:val="Hyperlink"/>
          </w:rPr>
          <w:t>R.4.2</w:t>
        </w:r>
        <w:r>
          <w:rPr>
            <w:rFonts w:asciiTheme="minorHAnsi" w:eastAsiaTheme="minorEastAsia" w:hAnsiTheme="minorHAnsi" w:cstheme="minorBidi"/>
            <w:kern w:val="2"/>
            <w:sz w:val="24"/>
            <w:szCs w:val="24"/>
            <w14:ligatures w14:val="standardContextual"/>
          </w:rPr>
          <w:tab/>
        </w:r>
        <w:r w:rsidRPr="008F4954">
          <w:rPr>
            <w:rStyle w:val="Hyperlink"/>
          </w:rPr>
          <w:t>Communications and Simulation</w:t>
        </w:r>
        <w:r>
          <w:rPr>
            <w:webHidden/>
          </w:rPr>
          <w:tab/>
        </w:r>
        <w:r>
          <w:rPr>
            <w:webHidden/>
          </w:rPr>
          <w:fldChar w:fldCharType="begin"/>
        </w:r>
        <w:r>
          <w:rPr>
            <w:webHidden/>
          </w:rPr>
          <w:instrText xml:space="preserve"> PAGEREF _Toc214283768 \h </w:instrText>
        </w:r>
        <w:r>
          <w:rPr>
            <w:webHidden/>
          </w:rPr>
        </w:r>
        <w:r>
          <w:rPr>
            <w:webHidden/>
          </w:rPr>
          <w:fldChar w:fldCharType="separate"/>
        </w:r>
        <w:r>
          <w:rPr>
            <w:webHidden/>
          </w:rPr>
          <w:t>R-22</w:t>
        </w:r>
        <w:r>
          <w:rPr>
            <w:webHidden/>
          </w:rPr>
          <w:fldChar w:fldCharType="end"/>
        </w:r>
      </w:hyperlink>
    </w:p>
    <w:p w14:paraId="379796A7" w14:textId="2B230A8B" w:rsidR="00067371" w:rsidRDefault="00067371">
      <w:pPr>
        <w:pStyle w:val="TOC3"/>
        <w:rPr>
          <w:rFonts w:asciiTheme="minorHAnsi" w:eastAsiaTheme="minorEastAsia" w:hAnsiTheme="minorHAnsi" w:cstheme="minorBidi"/>
          <w:kern w:val="2"/>
          <w:sz w:val="24"/>
          <w:szCs w:val="24"/>
          <w14:ligatures w14:val="standardContextual"/>
        </w:rPr>
      </w:pPr>
      <w:hyperlink w:anchor="_Toc214283769" w:history="1">
        <w:r w:rsidRPr="008F4954">
          <w:rPr>
            <w:rStyle w:val="Hyperlink"/>
          </w:rPr>
          <w:t>R.4.3</w:t>
        </w:r>
        <w:r>
          <w:rPr>
            <w:rFonts w:asciiTheme="minorHAnsi" w:eastAsiaTheme="minorEastAsia" w:hAnsiTheme="minorHAnsi" w:cstheme="minorBidi"/>
            <w:kern w:val="2"/>
            <w:sz w:val="24"/>
            <w:szCs w:val="24"/>
            <w14:ligatures w14:val="standardContextual"/>
          </w:rPr>
          <w:tab/>
        </w:r>
        <w:r w:rsidRPr="008F4954">
          <w:rPr>
            <w:rStyle w:val="Hyperlink"/>
          </w:rPr>
          <w:t>Rehearsal Configurations</w:t>
        </w:r>
        <w:r>
          <w:rPr>
            <w:webHidden/>
          </w:rPr>
          <w:tab/>
        </w:r>
        <w:r>
          <w:rPr>
            <w:webHidden/>
          </w:rPr>
          <w:fldChar w:fldCharType="begin"/>
        </w:r>
        <w:r>
          <w:rPr>
            <w:webHidden/>
          </w:rPr>
          <w:instrText xml:space="preserve"> PAGEREF _Toc214283769 \h </w:instrText>
        </w:r>
        <w:r>
          <w:rPr>
            <w:webHidden/>
          </w:rPr>
        </w:r>
        <w:r>
          <w:rPr>
            <w:webHidden/>
          </w:rPr>
          <w:fldChar w:fldCharType="separate"/>
        </w:r>
        <w:r>
          <w:rPr>
            <w:webHidden/>
          </w:rPr>
          <w:t>R-23</w:t>
        </w:r>
        <w:r>
          <w:rPr>
            <w:webHidden/>
          </w:rPr>
          <w:fldChar w:fldCharType="end"/>
        </w:r>
      </w:hyperlink>
    </w:p>
    <w:p w14:paraId="4D7B5785" w14:textId="296DA0A6" w:rsidR="00067371" w:rsidRDefault="00067371">
      <w:pPr>
        <w:pStyle w:val="TOC3"/>
        <w:rPr>
          <w:rFonts w:asciiTheme="minorHAnsi" w:eastAsiaTheme="minorEastAsia" w:hAnsiTheme="minorHAnsi" w:cstheme="minorBidi"/>
          <w:kern w:val="2"/>
          <w:sz w:val="24"/>
          <w:szCs w:val="24"/>
          <w14:ligatures w14:val="standardContextual"/>
        </w:rPr>
      </w:pPr>
      <w:hyperlink w:anchor="_Toc214283770" w:history="1">
        <w:r w:rsidRPr="008F4954">
          <w:rPr>
            <w:rStyle w:val="Hyperlink"/>
          </w:rPr>
          <w:t>R.4.4</w:t>
        </w:r>
        <w:r>
          <w:rPr>
            <w:rFonts w:asciiTheme="minorHAnsi" w:eastAsiaTheme="minorEastAsia" w:hAnsiTheme="minorHAnsi" w:cstheme="minorBidi"/>
            <w:kern w:val="2"/>
            <w:sz w:val="24"/>
            <w:szCs w:val="24"/>
            <w14:ligatures w14:val="standardContextual"/>
          </w:rPr>
          <w:tab/>
        </w:r>
        <w:r w:rsidRPr="008F4954">
          <w:rPr>
            <w:rStyle w:val="Hyperlink"/>
          </w:rPr>
          <w:t>Configuring Communications: Standalone without TCIP</w:t>
        </w:r>
        <w:r>
          <w:rPr>
            <w:webHidden/>
          </w:rPr>
          <w:tab/>
        </w:r>
        <w:r>
          <w:rPr>
            <w:webHidden/>
          </w:rPr>
          <w:fldChar w:fldCharType="begin"/>
        </w:r>
        <w:r>
          <w:rPr>
            <w:webHidden/>
          </w:rPr>
          <w:instrText xml:space="preserve"> PAGEREF _Toc214283770 \h </w:instrText>
        </w:r>
        <w:r>
          <w:rPr>
            <w:webHidden/>
          </w:rPr>
        </w:r>
        <w:r>
          <w:rPr>
            <w:webHidden/>
          </w:rPr>
          <w:fldChar w:fldCharType="separate"/>
        </w:r>
        <w:r>
          <w:rPr>
            <w:webHidden/>
          </w:rPr>
          <w:t>R-28</w:t>
        </w:r>
        <w:r>
          <w:rPr>
            <w:webHidden/>
          </w:rPr>
          <w:fldChar w:fldCharType="end"/>
        </w:r>
      </w:hyperlink>
    </w:p>
    <w:p w14:paraId="0FD966FB" w14:textId="646533D7" w:rsidR="00067371" w:rsidRDefault="00067371">
      <w:pPr>
        <w:pStyle w:val="TOC3"/>
        <w:rPr>
          <w:rFonts w:asciiTheme="minorHAnsi" w:eastAsiaTheme="minorEastAsia" w:hAnsiTheme="minorHAnsi" w:cstheme="minorBidi"/>
          <w:kern w:val="2"/>
          <w:sz w:val="24"/>
          <w:szCs w:val="24"/>
          <w14:ligatures w14:val="standardContextual"/>
        </w:rPr>
      </w:pPr>
      <w:hyperlink w:anchor="_Toc214283771" w:history="1">
        <w:r w:rsidRPr="008F4954">
          <w:rPr>
            <w:rStyle w:val="Hyperlink"/>
          </w:rPr>
          <w:t>R.4.5</w:t>
        </w:r>
        <w:r>
          <w:rPr>
            <w:rFonts w:asciiTheme="minorHAnsi" w:eastAsiaTheme="minorEastAsia" w:hAnsiTheme="minorHAnsi" w:cstheme="minorBidi"/>
            <w:kern w:val="2"/>
            <w:sz w:val="24"/>
            <w:szCs w:val="24"/>
            <w14:ligatures w14:val="standardContextual"/>
          </w:rPr>
          <w:tab/>
        </w:r>
        <w:r w:rsidRPr="008F4954">
          <w:rPr>
            <w:rStyle w:val="Hyperlink"/>
          </w:rPr>
          <w:t>Configuring Communications: Standalone with TCIP</w:t>
        </w:r>
        <w:r>
          <w:rPr>
            <w:webHidden/>
          </w:rPr>
          <w:tab/>
        </w:r>
        <w:r>
          <w:rPr>
            <w:webHidden/>
          </w:rPr>
          <w:fldChar w:fldCharType="begin"/>
        </w:r>
        <w:r>
          <w:rPr>
            <w:webHidden/>
          </w:rPr>
          <w:instrText xml:space="preserve"> PAGEREF _Toc214283771 \h </w:instrText>
        </w:r>
        <w:r>
          <w:rPr>
            <w:webHidden/>
          </w:rPr>
        </w:r>
        <w:r>
          <w:rPr>
            <w:webHidden/>
          </w:rPr>
          <w:fldChar w:fldCharType="separate"/>
        </w:r>
        <w:r>
          <w:rPr>
            <w:webHidden/>
          </w:rPr>
          <w:t>R-35</w:t>
        </w:r>
        <w:r>
          <w:rPr>
            <w:webHidden/>
          </w:rPr>
          <w:fldChar w:fldCharType="end"/>
        </w:r>
      </w:hyperlink>
    </w:p>
    <w:p w14:paraId="2250609C" w14:textId="45122C7A" w:rsidR="00067371" w:rsidRDefault="00067371">
      <w:pPr>
        <w:pStyle w:val="TOC3"/>
        <w:rPr>
          <w:rFonts w:asciiTheme="minorHAnsi" w:eastAsiaTheme="minorEastAsia" w:hAnsiTheme="minorHAnsi" w:cstheme="minorBidi"/>
          <w:kern w:val="2"/>
          <w:sz w:val="24"/>
          <w:szCs w:val="24"/>
          <w14:ligatures w14:val="standardContextual"/>
        </w:rPr>
      </w:pPr>
      <w:hyperlink w:anchor="_Toc214283772" w:history="1">
        <w:r w:rsidRPr="008F4954">
          <w:rPr>
            <w:rStyle w:val="Hyperlink"/>
          </w:rPr>
          <w:t>R.4.6</w:t>
        </w:r>
        <w:r>
          <w:rPr>
            <w:rFonts w:asciiTheme="minorHAnsi" w:eastAsiaTheme="minorEastAsia" w:hAnsiTheme="minorHAnsi" w:cstheme="minorBidi"/>
            <w:kern w:val="2"/>
            <w:sz w:val="24"/>
            <w:szCs w:val="24"/>
            <w14:ligatures w14:val="standardContextual"/>
          </w:rPr>
          <w:tab/>
        </w:r>
        <w:r w:rsidRPr="008F4954">
          <w:rPr>
            <w:rStyle w:val="Hyperlink"/>
          </w:rPr>
          <w:t>Configuring Communications: Networked with One TCIP</w:t>
        </w:r>
        <w:r>
          <w:rPr>
            <w:webHidden/>
          </w:rPr>
          <w:tab/>
        </w:r>
        <w:r>
          <w:rPr>
            <w:webHidden/>
          </w:rPr>
          <w:fldChar w:fldCharType="begin"/>
        </w:r>
        <w:r>
          <w:rPr>
            <w:webHidden/>
          </w:rPr>
          <w:instrText xml:space="preserve"> PAGEREF _Toc214283772 \h </w:instrText>
        </w:r>
        <w:r>
          <w:rPr>
            <w:webHidden/>
          </w:rPr>
        </w:r>
        <w:r>
          <w:rPr>
            <w:webHidden/>
          </w:rPr>
          <w:fldChar w:fldCharType="separate"/>
        </w:r>
        <w:r>
          <w:rPr>
            <w:webHidden/>
          </w:rPr>
          <w:t>R-52</w:t>
        </w:r>
        <w:r>
          <w:rPr>
            <w:webHidden/>
          </w:rPr>
          <w:fldChar w:fldCharType="end"/>
        </w:r>
      </w:hyperlink>
    </w:p>
    <w:p w14:paraId="009707B5" w14:textId="10FD7C3D" w:rsidR="00067371" w:rsidRDefault="00067371">
      <w:pPr>
        <w:pStyle w:val="TOC3"/>
        <w:rPr>
          <w:rFonts w:asciiTheme="minorHAnsi" w:eastAsiaTheme="minorEastAsia" w:hAnsiTheme="minorHAnsi" w:cstheme="minorBidi"/>
          <w:kern w:val="2"/>
          <w:sz w:val="24"/>
          <w:szCs w:val="24"/>
          <w14:ligatures w14:val="standardContextual"/>
        </w:rPr>
      </w:pPr>
      <w:hyperlink w:anchor="_Toc214283773" w:history="1">
        <w:r w:rsidRPr="008F4954">
          <w:rPr>
            <w:rStyle w:val="Hyperlink"/>
          </w:rPr>
          <w:t>R.4.7</w:t>
        </w:r>
        <w:r>
          <w:rPr>
            <w:rFonts w:asciiTheme="minorHAnsi" w:eastAsiaTheme="minorEastAsia" w:hAnsiTheme="minorHAnsi" w:cstheme="minorBidi"/>
            <w:kern w:val="2"/>
            <w:sz w:val="24"/>
            <w:szCs w:val="24"/>
            <w14:ligatures w14:val="standardContextual"/>
          </w:rPr>
          <w:tab/>
        </w:r>
        <w:r w:rsidRPr="008F4954">
          <w:rPr>
            <w:rStyle w:val="Hyperlink"/>
          </w:rPr>
          <w:t>Configuring Communications: Networked with Different TCIPs</w:t>
        </w:r>
        <w:r>
          <w:rPr>
            <w:webHidden/>
          </w:rPr>
          <w:tab/>
        </w:r>
        <w:r>
          <w:rPr>
            <w:webHidden/>
          </w:rPr>
          <w:fldChar w:fldCharType="begin"/>
        </w:r>
        <w:r>
          <w:rPr>
            <w:webHidden/>
          </w:rPr>
          <w:instrText xml:space="preserve"> PAGEREF _Toc214283773 \h </w:instrText>
        </w:r>
        <w:r>
          <w:rPr>
            <w:webHidden/>
          </w:rPr>
        </w:r>
        <w:r>
          <w:rPr>
            <w:webHidden/>
          </w:rPr>
          <w:fldChar w:fldCharType="separate"/>
        </w:r>
        <w:r>
          <w:rPr>
            <w:webHidden/>
          </w:rPr>
          <w:t>R-74</w:t>
        </w:r>
        <w:r>
          <w:rPr>
            <w:webHidden/>
          </w:rPr>
          <w:fldChar w:fldCharType="end"/>
        </w:r>
      </w:hyperlink>
    </w:p>
    <w:p w14:paraId="3D0F65B9" w14:textId="30542D18"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74" w:history="1">
        <w:r w:rsidRPr="008F4954">
          <w:rPr>
            <w:rStyle w:val="Hyperlink"/>
          </w:rPr>
          <w:t>APPENDIX S TSRT MSTM MODEL DETAILS</w:t>
        </w:r>
        <w:r>
          <w:rPr>
            <w:webHidden/>
          </w:rPr>
          <w:tab/>
        </w:r>
        <w:r>
          <w:rPr>
            <w:webHidden/>
          </w:rPr>
          <w:fldChar w:fldCharType="begin"/>
        </w:r>
        <w:r>
          <w:rPr>
            <w:webHidden/>
          </w:rPr>
          <w:instrText xml:space="preserve"> PAGEREF _Toc214283774 \h </w:instrText>
        </w:r>
        <w:r>
          <w:rPr>
            <w:webHidden/>
          </w:rPr>
        </w:r>
        <w:r>
          <w:rPr>
            <w:webHidden/>
          </w:rPr>
          <w:fldChar w:fldCharType="separate"/>
        </w:r>
        <w:r>
          <w:rPr>
            <w:webHidden/>
          </w:rPr>
          <w:t>S-1</w:t>
        </w:r>
        <w:r>
          <w:rPr>
            <w:webHidden/>
          </w:rPr>
          <w:fldChar w:fldCharType="end"/>
        </w:r>
      </w:hyperlink>
    </w:p>
    <w:p w14:paraId="12BE422D" w14:textId="09865393"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75" w:history="1">
        <w:r w:rsidRPr="008F4954">
          <w:rPr>
            <w:rStyle w:val="Hyperlink"/>
          </w:rPr>
          <w:t>APPENDIX T PULL DISTRIBUTION PROCEDURE</w:t>
        </w:r>
        <w:r>
          <w:rPr>
            <w:webHidden/>
          </w:rPr>
          <w:tab/>
        </w:r>
        <w:r>
          <w:rPr>
            <w:webHidden/>
          </w:rPr>
          <w:fldChar w:fldCharType="begin"/>
        </w:r>
        <w:r>
          <w:rPr>
            <w:webHidden/>
          </w:rPr>
          <w:instrText xml:space="preserve"> PAGEREF _Toc214283775 \h </w:instrText>
        </w:r>
        <w:r>
          <w:rPr>
            <w:webHidden/>
          </w:rPr>
        </w:r>
        <w:r>
          <w:rPr>
            <w:webHidden/>
          </w:rPr>
          <w:fldChar w:fldCharType="separate"/>
        </w:r>
        <w:r>
          <w:rPr>
            <w:webHidden/>
          </w:rPr>
          <w:t>T-1</w:t>
        </w:r>
        <w:r>
          <w:rPr>
            <w:webHidden/>
          </w:rPr>
          <w:fldChar w:fldCharType="end"/>
        </w:r>
      </w:hyperlink>
    </w:p>
    <w:p w14:paraId="27FD80BB" w14:textId="33652C8C"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76" w:history="1">
        <w:r w:rsidRPr="008F4954">
          <w:rPr>
            <w:rStyle w:val="Hyperlink"/>
          </w:rPr>
          <w:t>T.1</w:t>
        </w:r>
        <w:r>
          <w:rPr>
            <w:rFonts w:asciiTheme="minorHAnsi" w:eastAsiaTheme="minorEastAsia" w:hAnsiTheme="minorHAnsi" w:cstheme="minorBidi"/>
            <w:smallCaps w:val="0"/>
            <w:kern w:val="2"/>
            <w:szCs w:val="24"/>
            <w14:ligatures w14:val="standardContextual"/>
          </w:rPr>
          <w:tab/>
        </w:r>
        <w:r w:rsidRPr="008F4954">
          <w:rPr>
            <w:rStyle w:val="Hyperlink"/>
          </w:rPr>
          <w:t>PREREQUISITES</w:t>
        </w:r>
        <w:r>
          <w:rPr>
            <w:webHidden/>
          </w:rPr>
          <w:tab/>
        </w:r>
        <w:r>
          <w:rPr>
            <w:webHidden/>
          </w:rPr>
          <w:fldChar w:fldCharType="begin"/>
        </w:r>
        <w:r>
          <w:rPr>
            <w:webHidden/>
          </w:rPr>
          <w:instrText xml:space="preserve"> PAGEREF _Toc214283776 \h </w:instrText>
        </w:r>
        <w:r>
          <w:rPr>
            <w:webHidden/>
          </w:rPr>
        </w:r>
        <w:r>
          <w:rPr>
            <w:webHidden/>
          </w:rPr>
          <w:fldChar w:fldCharType="separate"/>
        </w:r>
        <w:r>
          <w:rPr>
            <w:webHidden/>
          </w:rPr>
          <w:t>T-1</w:t>
        </w:r>
        <w:r>
          <w:rPr>
            <w:webHidden/>
          </w:rPr>
          <w:fldChar w:fldCharType="end"/>
        </w:r>
      </w:hyperlink>
    </w:p>
    <w:p w14:paraId="43404B3E" w14:textId="58FB210C"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77" w:history="1">
        <w:r w:rsidRPr="008F4954">
          <w:rPr>
            <w:rStyle w:val="Hyperlink"/>
          </w:rPr>
          <w:t>T.2</w:t>
        </w:r>
        <w:r>
          <w:rPr>
            <w:rFonts w:asciiTheme="minorHAnsi" w:eastAsiaTheme="minorEastAsia" w:hAnsiTheme="minorHAnsi" w:cstheme="minorBidi"/>
            <w:smallCaps w:val="0"/>
            <w:kern w:val="2"/>
            <w:szCs w:val="24"/>
            <w14:ligatures w14:val="standardContextual"/>
          </w:rPr>
          <w:tab/>
        </w:r>
        <w:r w:rsidRPr="008F4954">
          <w:rPr>
            <w:rStyle w:val="Hyperlink"/>
          </w:rPr>
          <w:t>SENDING DDOS UTILIZING PULL DISTRIBUTION</w:t>
        </w:r>
        <w:r>
          <w:rPr>
            <w:webHidden/>
          </w:rPr>
          <w:tab/>
        </w:r>
        <w:r>
          <w:rPr>
            <w:webHidden/>
          </w:rPr>
          <w:fldChar w:fldCharType="begin"/>
        </w:r>
        <w:r>
          <w:rPr>
            <w:webHidden/>
          </w:rPr>
          <w:instrText xml:space="preserve"> PAGEREF _Toc214283777 \h </w:instrText>
        </w:r>
        <w:r>
          <w:rPr>
            <w:webHidden/>
          </w:rPr>
        </w:r>
        <w:r>
          <w:rPr>
            <w:webHidden/>
          </w:rPr>
          <w:fldChar w:fldCharType="separate"/>
        </w:r>
        <w:r>
          <w:rPr>
            <w:webHidden/>
          </w:rPr>
          <w:t>T-1</w:t>
        </w:r>
        <w:r>
          <w:rPr>
            <w:webHidden/>
          </w:rPr>
          <w:fldChar w:fldCharType="end"/>
        </w:r>
      </w:hyperlink>
    </w:p>
    <w:p w14:paraId="1493640A" w14:textId="0357A1E1" w:rsidR="00067371" w:rsidRDefault="00067371">
      <w:pPr>
        <w:pStyle w:val="TOC2"/>
        <w:rPr>
          <w:rFonts w:asciiTheme="minorHAnsi" w:eastAsiaTheme="minorEastAsia" w:hAnsiTheme="minorHAnsi" w:cstheme="minorBidi"/>
          <w:smallCaps w:val="0"/>
          <w:kern w:val="2"/>
          <w:szCs w:val="24"/>
          <w14:ligatures w14:val="standardContextual"/>
        </w:rPr>
      </w:pPr>
      <w:hyperlink w:anchor="_Toc214283778" w:history="1">
        <w:r w:rsidRPr="008F4954">
          <w:rPr>
            <w:rStyle w:val="Hyperlink"/>
          </w:rPr>
          <w:t>T.3</w:t>
        </w:r>
        <w:r>
          <w:rPr>
            <w:rFonts w:asciiTheme="minorHAnsi" w:eastAsiaTheme="minorEastAsia" w:hAnsiTheme="minorHAnsi" w:cstheme="minorBidi"/>
            <w:smallCaps w:val="0"/>
            <w:kern w:val="2"/>
            <w:szCs w:val="24"/>
            <w14:ligatures w14:val="standardContextual"/>
          </w:rPr>
          <w:tab/>
        </w:r>
        <w:r w:rsidRPr="008F4954">
          <w:rPr>
            <w:rStyle w:val="Hyperlink"/>
          </w:rPr>
          <w:t>RECEIVING DDOS UTILIZING PULL DISTRIBUTION</w:t>
        </w:r>
        <w:r>
          <w:rPr>
            <w:webHidden/>
          </w:rPr>
          <w:tab/>
        </w:r>
        <w:r>
          <w:rPr>
            <w:webHidden/>
          </w:rPr>
          <w:fldChar w:fldCharType="begin"/>
        </w:r>
        <w:r>
          <w:rPr>
            <w:webHidden/>
          </w:rPr>
          <w:instrText xml:space="preserve"> PAGEREF _Toc214283778 \h </w:instrText>
        </w:r>
        <w:r>
          <w:rPr>
            <w:webHidden/>
          </w:rPr>
        </w:r>
        <w:r>
          <w:rPr>
            <w:webHidden/>
          </w:rPr>
          <w:fldChar w:fldCharType="separate"/>
        </w:r>
        <w:r>
          <w:rPr>
            <w:webHidden/>
          </w:rPr>
          <w:t>T-2</w:t>
        </w:r>
        <w:r>
          <w:rPr>
            <w:webHidden/>
          </w:rPr>
          <w:fldChar w:fldCharType="end"/>
        </w:r>
      </w:hyperlink>
    </w:p>
    <w:p w14:paraId="7571974A" w14:textId="4F813786" w:rsidR="00067371" w:rsidRDefault="00067371">
      <w:pPr>
        <w:pStyle w:val="TOC1"/>
        <w:rPr>
          <w:rFonts w:asciiTheme="minorHAnsi" w:eastAsiaTheme="minorEastAsia" w:hAnsiTheme="minorHAnsi" w:cstheme="minorBidi"/>
          <w:b w:val="0"/>
          <w:caps w:val="0"/>
          <w:kern w:val="2"/>
          <w:szCs w:val="24"/>
          <w14:ligatures w14:val="standardContextual"/>
        </w:rPr>
      </w:pPr>
      <w:hyperlink w:anchor="_Toc214283779" w:history="1">
        <w:r w:rsidRPr="008F4954">
          <w:rPr>
            <w:rStyle w:val="Hyperlink"/>
          </w:rPr>
          <w:t>APPENDIX U TMPC HELP DESK AND CONTACTS</w:t>
        </w:r>
        <w:r>
          <w:rPr>
            <w:webHidden/>
          </w:rPr>
          <w:tab/>
        </w:r>
        <w:r>
          <w:rPr>
            <w:webHidden/>
          </w:rPr>
          <w:fldChar w:fldCharType="begin"/>
        </w:r>
        <w:r>
          <w:rPr>
            <w:webHidden/>
          </w:rPr>
          <w:instrText xml:space="preserve"> PAGEREF _Toc214283779 \h </w:instrText>
        </w:r>
        <w:r>
          <w:rPr>
            <w:webHidden/>
          </w:rPr>
        </w:r>
        <w:r>
          <w:rPr>
            <w:webHidden/>
          </w:rPr>
          <w:fldChar w:fldCharType="separate"/>
        </w:r>
        <w:r>
          <w:rPr>
            <w:webHidden/>
          </w:rPr>
          <w:t>U-1</w:t>
        </w:r>
        <w:r>
          <w:rPr>
            <w:webHidden/>
          </w:rPr>
          <w:fldChar w:fldCharType="end"/>
        </w:r>
      </w:hyperlink>
    </w:p>
    <w:p w14:paraId="145A31EB" w14:textId="77777777" w:rsidR="00A316EA" w:rsidRDefault="000F5A15" w:rsidP="006D5A65">
      <w:pPr>
        <w:pStyle w:val="Heading1"/>
      </w:pPr>
      <w:r w:rsidRPr="000665B0">
        <w:rPr>
          <w:rFonts w:cs="Arial"/>
        </w:rPr>
        <w:fldChar w:fldCharType="end"/>
      </w:r>
      <w:bookmarkStart w:id="10" w:name="_PC-MDS_4.2.1"/>
      <w:bookmarkStart w:id="11" w:name="_Uninstalling_MSDSE"/>
      <w:bookmarkStart w:id="12" w:name="_Dropping_the_PC-MDS"/>
      <w:bookmarkStart w:id="13" w:name="_Uninstalling_MSDE"/>
      <w:bookmarkStart w:id="14" w:name="_Uninstalling_PC-MDS_4.2.2"/>
      <w:bookmarkStart w:id="15" w:name="_Uninstalling_Map_Data"/>
      <w:bookmarkStart w:id="16" w:name="_Valid_Missile_ID_List_(VMIL)"/>
      <w:bookmarkStart w:id="17" w:name="_Pattern_Control_Table_Reference_Fil"/>
      <w:bookmarkStart w:id="18" w:name="_Platform_Information"/>
      <w:bookmarkStart w:id="19" w:name="_Initial_Mission_Population"/>
      <w:bookmarkEnd w:id="10"/>
      <w:bookmarkEnd w:id="11"/>
      <w:bookmarkEnd w:id="12"/>
      <w:bookmarkEnd w:id="13"/>
      <w:bookmarkEnd w:id="14"/>
      <w:bookmarkEnd w:id="15"/>
      <w:bookmarkEnd w:id="16"/>
      <w:bookmarkEnd w:id="17"/>
      <w:bookmarkEnd w:id="18"/>
      <w:bookmarkEnd w:id="19"/>
      <w:r w:rsidR="00A316EA">
        <w:br w:type="page"/>
      </w:r>
      <w:bookmarkStart w:id="20" w:name="_Section_1_Scope"/>
      <w:bookmarkStart w:id="21" w:name="_Toc96169692"/>
      <w:bookmarkStart w:id="22" w:name="_Toc96233737"/>
      <w:bookmarkStart w:id="23" w:name="_Toc112733152"/>
      <w:bookmarkStart w:id="24" w:name="_Toc289328096"/>
      <w:bookmarkStart w:id="25" w:name="_Toc312331608"/>
      <w:bookmarkStart w:id="26" w:name="_Toc483631425"/>
      <w:bookmarkStart w:id="27" w:name="_Toc492794139"/>
      <w:bookmarkStart w:id="28" w:name="_Toc492794700"/>
      <w:bookmarkStart w:id="29" w:name="_Toc492794881"/>
      <w:bookmarkStart w:id="30" w:name="_Toc492795268"/>
      <w:bookmarkStart w:id="31" w:name="_Toc492795371"/>
      <w:bookmarkStart w:id="32" w:name="_Toc492795453"/>
      <w:bookmarkStart w:id="33" w:name="_Toc492795539"/>
      <w:bookmarkStart w:id="34" w:name="_Toc492795625"/>
      <w:bookmarkStart w:id="35" w:name="_Toc492796155"/>
      <w:bookmarkStart w:id="36" w:name="_Toc492796308"/>
      <w:bookmarkStart w:id="37" w:name="_Toc492796799"/>
      <w:bookmarkStart w:id="38" w:name="_Toc492797414"/>
      <w:bookmarkStart w:id="39" w:name="_Toc492797885"/>
      <w:bookmarkStart w:id="40" w:name="_Toc492797975"/>
      <w:bookmarkStart w:id="41" w:name="_Toc492798062"/>
      <w:bookmarkStart w:id="42" w:name="_Toc492798518"/>
      <w:bookmarkStart w:id="43" w:name="_Toc492881895"/>
      <w:bookmarkStart w:id="44" w:name="_Toc493009234"/>
      <w:bookmarkStart w:id="45" w:name="_Toc493466421"/>
      <w:bookmarkStart w:id="46" w:name="_Toc493466672"/>
      <w:bookmarkStart w:id="47" w:name="_Toc493466881"/>
      <w:bookmarkStart w:id="48" w:name="_Toc493467176"/>
      <w:bookmarkStart w:id="49" w:name="_Toc493467314"/>
      <w:bookmarkStart w:id="50" w:name="_Toc493467383"/>
      <w:bookmarkStart w:id="51" w:name="_Toc493473545"/>
      <w:bookmarkStart w:id="52" w:name="_Toc493474252"/>
      <w:bookmarkStart w:id="53" w:name="_Toc493474429"/>
      <w:bookmarkStart w:id="54" w:name="_Toc493486259"/>
      <w:bookmarkStart w:id="55" w:name="_Toc493555451"/>
      <w:bookmarkStart w:id="56" w:name="_Toc494170667"/>
      <w:bookmarkStart w:id="57" w:name="_Toc494171205"/>
      <w:bookmarkStart w:id="58" w:name="_Toc494171283"/>
      <w:bookmarkStart w:id="59" w:name="_Toc494171361"/>
      <w:bookmarkStart w:id="60" w:name="_Toc494905407"/>
      <w:bookmarkStart w:id="61" w:name="_Toc495112311"/>
      <w:bookmarkStart w:id="62" w:name="_Toc536597766"/>
      <w:bookmarkStart w:id="63" w:name="_Toc214283096"/>
      <w:bookmarkEnd w:id="20"/>
      <w:r w:rsidR="009319FE" w:rsidRPr="000665B0">
        <w:lastRenderedPageBreak/>
        <w:t>SCOPE</w:t>
      </w:r>
      <w:bookmarkEnd w:id="2"/>
      <w:bookmarkEnd w:id="3"/>
      <w:bookmarkEnd w:id="4"/>
      <w:bookmarkEnd w:id="5"/>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1D64B891" w14:textId="278A67E8" w:rsidR="00115FA5" w:rsidRPr="003604C5" w:rsidRDefault="00115FA5" w:rsidP="006D5A65">
      <w:pPr>
        <w:pStyle w:val="Heading2"/>
      </w:pPr>
      <w:bookmarkStart w:id="64" w:name="_Toc192556360"/>
      <w:bookmarkStart w:id="65" w:name="_Toc214283097"/>
      <w:r w:rsidRPr="003604C5">
        <w:t>IDENTIFICATION</w:t>
      </w:r>
      <w:bookmarkEnd w:id="64"/>
      <w:bookmarkEnd w:id="65"/>
    </w:p>
    <w:p w14:paraId="3C0954C3" w14:textId="7EBC0D44" w:rsidR="00115FA5" w:rsidRPr="000665B0" w:rsidRDefault="00115FA5" w:rsidP="006D5A65">
      <w:r w:rsidRPr="000665B0">
        <w:t>This Software User’s Manual (</w:t>
      </w:r>
      <w:r w:rsidRPr="000665B0">
        <w:rPr>
          <w:b/>
        </w:rPr>
        <w:t>SUM</w:t>
      </w:r>
      <w:r w:rsidRPr="000665B0">
        <w:t xml:space="preserve">) describes the instructions for operator use of the </w:t>
      </w:r>
      <w:r w:rsidR="001601DF">
        <w:t>8</w:t>
      </w:r>
      <w:r w:rsidR="00EA12C2" w:rsidRPr="000665B0">
        <w:t>.0</w:t>
      </w:r>
      <w:r w:rsidR="0053446F">
        <w:t>.x</w:t>
      </w:r>
      <w:r w:rsidRPr="000665B0">
        <w:t xml:space="preserve"> release of the Mission Distribution System (</w:t>
      </w:r>
      <w:r w:rsidRPr="000665B0">
        <w:rPr>
          <w:b/>
        </w:rPr>
        <w:t>MDS</w:t>
      </w:r>
      <w:r w:rsidRPr="000665B0">
        <w:t>). The MDS consists of the following Government Off The Shelf (</w:t>
      </w:r>
      <w:r w:rsidRPr="000665B0">
        <w:rPr>
          <w:b/>
        </w:rPr>
        <w:t>GOTS</w:t>
      </w:r>
      <w:r w:rsidRPr="000665B0">
        <w:t>) products:</w:t>
      </w:r>
    </w:p>
    <w:p w14:paraId="4D059E9F" w14:textId="77777777" w:rsidR="00115FA5" w:rsidRPr="000665B0" w:rsidRDefault="00115FA5" w:rsidP="006D5A65">
      <w:r w:rsidRPr="000665B0">
        <w:t>MDS</w:t>
      </w:r>
    </w:p>
    <w:p w14:paraId="6BA3152C" w14:textId="77777777" w:rsidR="00115FA5" w:rsidRPr="000665B0" w:rsidRDefault="00115FA5" w:rsidP="006D5A65">
      <w:r w:rsidRPr="000665B0">
        <w:t>TSRT (</w:t>
      </w:r>
      <w:r w:rsidRPr="000665B0">
        <w:rPr>
          <w:b/>
        </w:rPr>
        <w:t>Tomahawk Strike Rehearsal Tool</w:t>
      </w:r>
      <w:r w:rsidRPr="000665B0">
        <w:t>)</w:t>
      </w:r>
    </w:p>
    <w:p w14:paraId="6A7029E6" w14:textId="77777777" w:rsidR="00115FA5" w:rsidRPr="000665B0" w:rsidRDefault="00115FA5" w:rsidP="006D5A65">
      <w:r w:rsidRPr="000665B0">
        <w:t>Commercial Off The Shelf (</w:t>
      </w:r>
      <w:r w:rsidRPr="000665B0">
        <w:rPr>
          <w:b/>
        </w:rPr>
        <w:t>COTS</w:t>
      </w:r>
      <w:r w:rsidRPr="000665B0">
        <w:t>) products to support additional functionality such as:</w:t>
      </w:r>
    </w:p>
    <w:p w14:paraId="6C045290" w14:textId="77777777" w:rsidR="00115FA5" w:rsidRPr="000665B0" w:rsidRDefault="00115FA5" w:rsidP="006D5A65">
      <w:r w:rsidRPr="000665B0">
        <w:t>Report Functions</w:t>
      </w:r>
    </w:p>
    <w:p w14:paraId="7CE061BC" w14:textId="77777777" w:rsidR="00115FA5" w:rsidRPr="000665B0" w:rsidRDefault="00115FA5" w:rsidP="006D5A65">
      <w:r w:rsidRPr="000665B0">
        <w:t>Printing Functions</w:t>
      </w:r>
    </w:p>
    <w:p w14:paraId="47125A37" w14:textId="77777777" w:rsidR="00011B7B" w:rsidRPr="000665B0" w:rsidRDefault="00011B7B" w:rsidP="00011B7B">
      <w:pPr>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261BBFA2" w14:textId="77777777" w:rsidR="00011B7B" w:rsidRPr="000665B0" w:rsidRDefault="00011B7B" w:rsidP="00011B7B">
      <w:pPr>
        <w:pBdr>
          <w:top w:val="single" w:sz="12" w:space="1" w:color="auto"/>
          <w:left w:val="single" w:sz="12" w:space="4" w:color="auto"/>
          <w:bottom w:val="single" w:sz="12" w:space="0" w:color="auto"/>
          <w:right w:val="single" w:sz="12" w:space="4" w:color="auto"/>
        </w:pBdr>
        <w:shd w:val="clear" w:color="auto" w:fill="D9D9D9"/>
        <w:jc w:val="center"/>
        <w:rPr>
          <w:b/>
        </w:rPr>
      </w:pPr>
      <w:r w:rsidRPr="000665B0">
        <w:rPr>
          <w:b/>
        </w:rPr>
        <w:t>Due to differences in look and feel between Operating Systems and system settings, screen captures in this document may appear slightly different than actual screens. Differences should be purely cosmetic. All functionality should be accurately represented.</w:t>
      </w:r>
    </w:p>
    <w:p w14:paraId="1193608D" w14:textId="5EA8AD26" w:rsidR="005E405E" w:rsidRPr="000665B0" w:rsidRDefault="005124C5" w:rsidP="00C32ED9">
      <w:pPr>
        <w:pStyle w:val="Heading2"/>
        <w:spacing w:before="240"/>
      </w:pPr>
      <w:bookmarkStart w:id="66" w:name="_1.2__SYSTEM"/>
      <w:bookmarkStart w:id="67" w:name="_SYSTEM_OVERVIEW"/>
      <w:bookmarkStart w:id="68" w:name="_Toc497808931"/>
      <w:bookmarkStart w:id="69" w:name="_Toc514034272"/>
      <w:bookmarkStart w:id="70" w:name="_Toc12081555"/>
      <w:bookmarkStart w:id="71" w:name="_Toc27818417"/>
      <w:bookmarkStart w:id="72" w:name="_Toc78606740"/>
      <w:bookmarkStart w:id="73" w:name="_Toc87153744"/>
      <w:bookmarkStart w:id="74" w:name="_Toc90957176"/>
      <w:bookmarkStart w:id="75" w:name="_Toc96169694"/>
      <w:bookmarkStart w:id="76" w:name="_Toc96233739"/>
      <w:bookmarkStart w:id="77" w:name="_Toc112733154"/>
      <w:bookmarkStart w:id="78" w:name="_Toc192556361"/>
      <w:bookmarkStart w:id="79" w:name="_Toc483631427"/>
      <w:bookmarkStart w:id="80" w:name="_Toc492794141"/>
      <w:bookmarkStart w:id="81" w:name="_Toc492794702"/>
      <w:bookmarkStart w:id="82" w:name="_Toc492794883"/>
      <w:bookmarkStart w:id="83" w:name="_Toc492795270"/>
      <w:bookmarkStart w:id="84" w:name="_Toc492795373"/>
      <w:bookmarkStart w:id="85" w:name="_Toc492795455"/>
      <w:bookmarkStart w:id="86" w:name="_Toc492795541"/>
      <w:bookmarkStart w:id="87" w:name="_Toc492795627"/>
      <w:bookmarkStart w:id="88" w:name="_Toc492796157"/>
      <w:bookmarkStart w:id="89" w:name="_Toc492796310"/>
      <w:bookmarkStart w:id="90" w:name="_Toc492796801"/>
      <w:bookmarkStart w:id="91" w:name="_Toc492797416"/>
      <w:bookmarkStart w:id="92" w:name="_Toc492797887"/>
      <w:bookmarkStart w:id="93" w:name="_Toc492797977"/>
      <w:bookmarkStart w:id="94" w:name="_Toc492798064"/>
      <w:bookmarkStart w:id="95" w:name="_Toc492798520"/>
      <w:bookmarkStart w:id="96" w:name="_Toc492881897"/>
      <w:bookmarkStart w:id="97" w:name="_Toc493009236"/>
      <w:bookmarkStart w:id="98" w:name="_Toc493466423"/>
      <w:bookmarkStart w:id="99" w:name="_Toc493466674"/>
      <w:bookmarkStart w:id="100" w:name="_Toc493466883"/>
      <w:bookmarkStart w:id="101" w:name="_Toc493467178"/>
      <w:bookmarkStart w:id="102" w:name="_Toc493467316"/>
      <w:bookmarkStart w:id="103" w:name="_Toc493467385"/>
      <w:bookmarkStart w:id="104" w:name="_Toc493473547"/>
      <w:bookmarkStart w:id="105" w:name="_Toc493474254"/>
      <w:bookmarkStart w:id="106" w:name="_Toc493474431"/>
      <w:bookmarkStart w:id="107" w:name="_Toc493486261"/>
      <w:bookmarkStart w:id="108" w:name="_Toc493555453"/>
      <w:bookmarkStart w:id="109" w:name="_Toc494170669"/>
      <w:bookmarkStart w:id="110" w:name="_Toc494171207"/>
      <w:bookmarkStart w:id="111" w:name="_Toc494171285"/>
      <w:bookmarkStart w:id="112" w:name="_Toc494171363"/>
      <w:bookmarkStart w:id="113" w:name="_Toc494905409"/>
      <w:bookmarkStart w:id="114" w:name="_Toc495112313"/>
      <w:bookmarkStart w:id="115" w:name="_Toc536597768"/>
      <w:bookmarkStart w:id="116" w:name="_Toc17030098"/>
      <w:bookmarkStart w:id="117" w:name="_Toc17681249"/>
      <w:bookmarkStart w:id="118" w:name="_Toc25989197"/>
      <w:bookmarkStart w:id="119" w:name="_Toc25991867"/>
      <w:bookmarkStart w:id="120" w:name="_Toc29095332"/>
      <w:bookmarkStart w:id="121" w:name="_Toc214283098"/>
      <w:bookmarkEnd w:id="66"/>
      <w:bookmarkEnd w:id="67"/>
      <w:r w:rsidRPr="000665B0">
        <w:t>SYSTEM OVERVIEW</w:t>
      </w:r>
      <w:bookmarkStart w:id="122" w:name="_1.2.1__Mission"/>
      <w:bookmarkStart w:id="123" w:name="_1.2.3.2__TC2S"/>
      <w:bookmarkStart w:id="124" w:name="_Toc483631428"/>
      <w:bookmarkStart w:id="125" w:name="_Toc492794142"/>
      <w:bookmarkStart w:id="126" w:name="_Toc492794703"/>
      <w:bookmarkStart w:id="127" w:name="_Toc492794884"/>
      <w:bookmarkStart w:id="128" w:name="_Toc492795271"/>
      <w:bookmarkStart w:id="129" w:name="_Toc492795374"/>
      <w:bookmarkStart w:id="130" w:name="_Toc492795456"/>
      <w:bookmarkStart w:id="131" w:name="_Toc492795542"/>
      <w:bookmarkStart w:id="132" w:name="_Toc492795628"/>
      <w:bookmarkStart w:id="133" w:name="_Toc492796158"/>
      <w:bookmarkStart w:id="134" w:name="_Toc492796311"/>
      <w:bookmarkStart w:id="135" w:name="_Toc492796802"/>
      <w:bookmarkStart w:id="136" w:name="_Toc492797417"/>
      <w:bookmarkStart w:id="137" w:name="_Toc492797888"/>
      <w:bookmarkStart w:id="138" w:name="_Toc492797978"/>
      <w:bookmarkStart w:id="139" w:name="_Toc492798065"/>
      <w:bookmarkStart w:id="140" w:name="_Toc492798521"/>
      <w:bookmarkStart w:id="141" w:name="_Toc492881898"/>
      <w:bookmarkStart w:id="142" w:name="_Toc493009237"/>
      <w:bookmarkStart w:id="143" w:name="_Toc493466424"/>
      <w:bookmarkStart w:id="144" w:name="_Toc493466675"/>
      <w:bookmarkStart w:id="145" w:name="_Toc493466884"/>
      <w:bookmarkStart w:id="146" w:name="_Toc493467179"/>
      <w:bookmarkStart w:id="147" w:name="_Toc493467317"/>
      <w:bookmarkStart w:id="148" w:name="_Toc493467386"/>
      <w:bookmarkStart w:id="149" w:name="_Toc493473548"/>
      <w:bookmarkStart w:id="150" w:name="_Toc493474255"/>
      <w:bookmarkStart w:id="151" w:name="_Toc493474432"/>
      <w:bookmarkStart w:id="152" w:name="_Toc493486262"/>
      <w:bookmarkStart w:id="153" w:name="_Toc493555454"/>
      <w:bookmarkStart w:id="154" w:name="_Toc494170670"/>
      <w:bookmarkStart w:id="155" w:name="_Toc494171208"/>
      <w:bookmarkStart w:id="156" w:name="_Toc494171286"/>
      <w:bookmarkStart w:id="157" w:name="_Toc494171364"/>
      <w:bookmarkStart w:id="158" w:name="_Toc494905410"/>
      <w:bookmarkStart w:id="159" w:name="_Toc495112314"/>
      <w:bookmarkStart w:id="160" w:name="_Toc536597775"/>
      <w:bookmarkStart w:id="161" w:name="_Toc17030105"/>
      <w:bookmarkStart w:id="162" w:name="_Toc17681256"/>
      <w:bookmarkStart w:id="163" w:name="_Toc25989201"/>
      <w:bookmarkStart w:id="164" w:name="_Toc25991871"/>
      <w:bookmarkStart w:id="165" w:name="_Toc29095339"/>
      <w:bookmarkStart w:id="166" w:name="_Toc96169708"/>
      <w:bookmarkStart w:id="167" w:name="_Toc96233753"/>
      <w:bookmarkStart w:id="168" w:name="_Toc112733167"/>
      <w:bookmarkStart w:id="169" w:name="_Toc192556374"/>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1D8DB711" w14:textId="77777777" w:rsidR="00BE75AD" w:rsidRPr="000665B0" w:rsidRDefault="00BE75AD" w:rsidP="00BE75AD">
      <w:r w:rsidRPr="000665B0">
        <w:t>The Theater Mission Planning Center (TMPC) is the mission planning segment for the Tomahawk Weapon System (TWS). The TMPC is the collection of systems that provides precision targeting, mission planning, mission distribution, and strike management of Tomahawk cruise missile missions from sites located ashore and afloat. The TMPC enables Maritime Component Commanders the capability to plan or to modify conventional TLAM missions. The TMPC optimizes all aspects of the Tomahawk missile mission to successfully engage a target. The TMPC has evolved into four scalable configurations deployed at 187 sites, to include, Cruise Missile Support Activities (CMSAs); Tomahawk Strike Mission Planning Cells (TSMPCs); Carrier Strike Groups (CSGs); and Firing Units (FRUs). Additionally, there are labs and training classrooms that contain various combinations of the four con</w:t>
      </w:r>
      <w:r w:rsidRPr="000665B0">
        <w:rPr>
          <w:sz w:val="23"/>
          <w:szCs w:val="23"/>
        </w:rPr>
        <w:t>figurations. The TMPC is also deployed at Foreign Military Sales (FMS) customer sites.</w:t>
      </w:r>
    </w:p>
    <w:p w14:paraId="207BDCB3" w14:textId="5243DF24" w:rsidR="00115FA5" w:rsidRPr="000665B0" w:rsidRDefault="00115FA5" w:rsidP="002A12BD">
      <w:pPr>
        <w:pStyle w:val="Heading2"/>
        <w:spacing w:before="240"/>
      </w:pPr>
      <w:bookmarkStart w:id="170" w:name="_Toc61358619"/>
      <w:bookmarkStart w:id="171" w:name="_Toc63168071"/>
      <w:bookmarkStart w:id="172" w:name="_Toc67400981"/>
      <w:bookmarkStart w:id="173" w:name="_Toc69207618"/>
      <w:bookmarkStart w:id="174" w:name="_Toc70071172"/>
      <w:bookmarkStart w:id="175" w:name="_Toc71011953"/>
      <w:bookmarkStart w:id="176" w:name="_Toc71808622"/>
      <w:bookmarkStart w:id="177" w:name="_Toc61358620"/>
      <w:bookmarkStart w:id="178" w:name="_Toc63168072"/>
      <w:bookmarkStart w:id="179" w:name="_Toc67400982"/>
      <w:bookmarkStart w:id="180" w:name="_Toc69207619"/>
      <w:bookmarkStart w:id="181" w:name="_Toc70071173"/>
      <w:bookmarkStart w:id="182" w:name="_Toc71011954"/>
      <w:bookmarkStart w:id="183" w:name="_Toc71808623"/>
      <w:bookmarkStart w:id="184" w:name="_1.3.1.3__Mission_1"/>
      <w:bookmarkStart w:id="185" w:name="_1.3.1.4__Mission"/>
      <w:bookmarkStart w:id="186" w:name="_Toc61358625"/>
      <w:bookmarkStart w:id="187" w:name="_Toc63168077"/>
      <w:bookmarkStart w:id="188" w:name="_Toc67400987"/>
      <w:bookmarkStart w:id="189" w:name="_Toc69207624"/>
      <w:bookmarkStart w:id="190" w:name="_Toc70071178"/>
      <w:bookmarkStart w:id="191" w:name="_Toc71011959"/>
      <w:bookmarkStart w:id="192" w:name="_Toc71808628"/>
      <w:bookmarkStart w:id="193" w:name="_Toc61358626"/>
      <w:bookmarkStart w:id="194" w:name="_Toc63168078"/>
      <w:bookmarkStart w:id="195" w:name="_Toc67400988"/>
      <w:bookmarkStart w:id="196" w:name="_Toc69207625"/>
      <w:bookmarkStart w:id="197" w:name="_Toc70071179"/>
      <w:bookmarkStart w:id="198" w:name="_Toc71011960"/>
      <w:bookmarkStart w:id="199" w:name="_Toc71808629"/>
      <w:bookmarkStart w:id="200" w:name="_1.3.1.5__TC2S"/>
      <w:bookmarkStart w:id="201" w:name="_Toc61358629"/>
      <w:bookmarkStart w:id="202" w:name="_Toc63168081"/>
      <w:bookmarkStart w:id="203" w:name="_Toc67400991"/>
      <w:bookmarkStart w:id="204" w:name="_Toc69207628"/>
      <w:bookmarkStart w:id="205" w:name="_Toc70071182"/>
      <w:bookmarkStart w:id="206" w:name="_Toc71011963"/>
      <w:bookmarkStart w:id="207" w:name="_Toc71808632"/>
      <w:bookmarkStart w:id="208" w:name="_Toc61358630"/>
      <w:bookmarkStart w:id="209" w:name="_Toc63168082"/>
      <w:bookmarkStart w:id="210" w:name="_Toc67400992"/>
      <w:bookmarkStart w:id="211" w:name="_Toc69207629"/>
      <w:bookmarkStart w:id="212" w:name="_Toc70071183"/>
      <w:bookmarkStart w:id="213" w:name="_Toc71011964"/>
      <w:bookmarkStart w:id="214" w:name="_Toc71808633"/>
      <w:bookmarkStart w:id="215" w:name="_Toc61358631"/>
      <w:bookmarkStart w:id="216" w:name="_Toc63168083"/>
      <w:bookmarkStart w:id="217" w:name="_Toc67400993"/>
      <w:bookmarkStart w:id="218" w:name="_Toc69207630"/>
      <w:bookmarkStart w:id="219" w:name="_Toc70071184"/>
      <w:bookmarkStart w:id="220" w:name="_Toc71011965"/>
      <w:bookmarkStart w:id="221" w:name="_Toc71808634"/>
      <w:bookmarkStart w:id="222" w:name="_Toc61358632"/>
      <w:bookmarkStart w:id="223" w:name="_Toc63168084"/>
      <w:bookmarkStart w:id="224" w:name="_Toc67400994"/>
      <w:bookmarkStart w:id="225" w:name="_Toc69207631"/>
      <w:bookmarkStart w:id="226" w:name="_Toc70071185"/>
      <w:bookmarkStart w:id="227" w:name="_Toc71011966"/>
      <w:bookmarkStart w:id="228" w:name="_Toc71808635"/>
      <w:bookmarkStart w:id="229" w:name="_Toc61358633"/>
      <w:bookmarkStart w:id="230" w:name="_Toc63168085"/>
      <w:bookmarkStart w:id="231" w:name="_Toc67400995"/>
      <w:bookmarkStart w:id="232" w:name="_Toc69207632"/>
      <w:bookmarkStart w:id="233" w:name="_Toc70071186"/>
      <w:bookmarkStart w:id="234" w:name="_Toc71011967"/>
      <w:bookmarkStart w:id="235" w:name="_Toc71808636"/>
      <w:bookmarkStart w:id="236" w:name="_Toc61358634"/>
      <w:bookmarkStart w:id="237" w:name="_Toc63168086"/>
      <w:bookmarkStart w:id="238" w:name="_Toc67400996"/>
      <w:bookmarkStart w:id="239" w:name="_Toc69207633"/>
      <w:bookmarkStart w:id="240" w:name="_Toc70071187"/>
      <w:bookmarkStart w:id="241" w:name="_Toc71011968"/>
      <w:bookmarkStart w:id="242" w:name="_Toc71808637"/>
      <w:bookmarkStart w:id="243" w:name="_Toc61358635"/>
      <w:bookmarkStart w:id="244" w:name="_Toc63168087"/>
      <w:bookmarkStart w:id="245" w:name="_Toc67400997"/>
      <w:bookmarkStart w:id="246" w:name="_Toc69207634"/>
      <w:bookmarkStart w:id="247" w:name="_Toc70071188"/>
      <w:bookmarkStart w:id="248" w:name="_Toc71011969"/>
      <w:bookmarkStart w:id="249" w:name="_Toc71808638"/>
      <w:bookmarkStart w:id="250" w:name="_1.3.1.10__Data"/>
      <w:bookmarkStart w:id="251" w:name="_1.3.1.12__Data"/>
      <w:bookmarkStart w:id="252" w:name="_1.3.1.3__Mission"/>
      <w:bookmarkStart w:id="253" w:name="_Toc61358636"/>
      <w:bookmarkStart w:id="254" w:name="_Toc63168088"/>
      <w:bookmarkStart w:id="255" w:name="_Toc67400998"/>
      <w:bookmarkStart w:id="256" w:name="_Toc69207635"/>
      <w:bookmarkStart w:id="257" w:name="_Toc70071189"/>
      <w:bookmarkStart w:id="258" w:name="_Toc71011970"/>
      <w:bookmarkStart w:id="259" w:name="_Toc71808639"/>
      <w:bookmarkStart w:id="260" w:name="_Toc21428309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r w:rsidRPr="000665B0">
        <w:t>DOCUMENT OVERVIEW</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260"/>
    </w:p>
    <w:p w14:paraId="0254278D" w14:textId="44BDDB93" w:rsidR="000F669B" w:rsidRDefault="000F669B" w:rsidP="000F669B">
      <w:r>
        <w:t xml:space="preserve">This manual is to be used as a reference document for the MDS operator and administrator. </w:t>
      </w:r>
    </w:p>
    <w:p w14:paraId="717DFA27" w14:textId="5E9B6702" w:rsidR="000F669B" w:rsidRDefault="000F669B" w:rsidP="000F669B">
      <w:hyperlink w:anchor="_Section_1_Scope" w:history="1">
        <w:r w:rsidRPr="00474140">
          <w:rPr>
            <w:rStyle w:val="Hyperlink"/>
          </w:rPr>
          <w:t>Section 1</w:t>
        </w:r>
      </w:hyperlink>
      <w:r>
        <w:t xml:space="preserve"> –</w:t>
      </w:r>
      <w:r w:rsidR="00A67C75">
        <w:t xml:space="preserve"> </w:t>
      </w:r>
      <w:r>
        <w:t>Describes the purpose and contents of this document, gives an overview of the MDS as well as the TMPC systems and software.</w:t>
      </w:r>
    </w:p>
    <w:p w14:paraId="08F29146" w14:textId="3FE10ABC" w:rsidR="000F669B" w:rsidRDefault="000F669B" w:rsidP="000F669B">
      <w:hyperlink w:anchor="_Section_2_REFERENCED" w:history="1">
        <w:r w:rsidRPr="00474140">
          <w:rPr>
            <w:rStyle w:val="Hyperlink"/>
          </w:rPr>
          <w:t>Section 2</w:t>
        </w:r>
      </w:hyperlink>
      <w:r>
        <w:t xml:space="preserve"> – Lists all government and non-government specifications, manuals, standards, and furnished documents used as references for the SUM</w:t>
      </w:r>
      <w:r w:rsidR="00E3731C">
        <w:t>.</w:t>
      </w:r>
    </w:p>
    <w:p w14:paraId="5CBBF296" w14:textId="5112C258" w:rsidR="000F669B" w:rsidRDefault="000F669B" w:rsidP="000F669B">
      <w:hyperlink w:anchor="_SOFTWARE_SUMMARY_2" w:history="1">
        <w:r w:rsidRPr="00474140">
          <w:rPr>
            <w:rStyle w:val="Hyperlink"/>
          </w:rPr>
          <w:t>Section 3</w:t>
        </w:r>
      </w:hyperlink>
      <w:r>
        <w:t xml:space="preserve"> – Describes the MDS software</w:t>
      </w:r>
      <w:r w:rsidR="00E3731C">
        <w:t>.</w:t>
      </w:r>
    </w:p>
    <w:p w14:paraId="31563B43" w14:textId="1169BCAD" w:rsidR="000F669B" w:rsidRDefault="000F669B" w:rsidP="000F669B">
      <w:hyperlink w:anchor="_SECTION_4_SOFTWARE_1" w:history="1">
        <w:r w:rsidRPr="00DE01FD">
          <w:rPr>
            <w:rStyle w:val="Hyperlink"/>
          </w:rPr>
          <w:t>Section 4</w:t>
        </w:r>
      </w:hyperlink>
      <w:r>
        <w:t xml:space="preserve"> –</w:t>
      </w:r>
      <w:r w:rsidR="00A67C75">
        <w:t xml:space="preserve"> </w:t>
      </w:r>
      <w:r>
        <w:t>Access information and information on installation, de-installation, and database initialization</w:t>
      </w:r>
      <w:r w:rsidR="00E3731C">
        <w:t>.</w:t>
      </w:r>
    </w:p>
    <w:p w14:paraId="542C39DA" w14:textId="31FA319D" w:rsidR="000F669B" w:rsidRDefault="000F669B" w:rsidP="000F669B">
      <w:hyperlink w:anchor="_Section_5_MDS" w:history="1">
        <w:r w:rsidRPr="00474140">
          <w:rPr>
            <w:rStyle w:val="Hyperlink"/>
          </w:rPr>
          <w:t>Section 5</w:t>
        </w:r>
      </w:hyperlink>
      <w:r>
        <w:t xml:space="preserve"> – Procedures for using the software application</w:t>
      </w:r>
      <w:r w:rsidR="00E3731C">
        <w:t>.</w:t>
      </w:r>
    </w:p>
    <w:p w14:paraId="3FB44918" w14:textId="5CF2C232" w:rsidR="000F669B" w:rsidRDefault="000F669B" w:rsidP="000F669B">
      <w:hyperlink w:anchor="_section_6_geotrans_1" w:history="1">
        <w:r w:rsidRPr="00080A43">
          <w:rPr>
            <w:rStyle w:val="Hyperlink"/>
          </w:rPr>
          <w:t>Section 6</w:t>
        </w:r>
      </w:hyperlink>
      <w:r>
        <w:t xml:space="preserve"> – Describes the GeoTrans utility that translates geo-coordinates.</w:t>
      </w:r>
    </w:p>
    <w:p w14:paraId="026502F3" w14:textId="6C3AB528" w:rsidR="000F669B" w:rsidRDefault="000F669B" w:rsidP="000F669B">
      <w:pPr>
        <w:rPr>
          <w:rFonts w:ascii="Arial Unicode MS" w:hAnsi="Arial Unicode MS"/>
          <w:szCs w:val="24"/>
        </w:rPr>
      </w:pPr>
      <w:hyperlink w:anchor="_Appendix_A_Acronyms/Definitions" w:history="1">
        <w:r w:rsidRPr="00474140">
          <w:rPr>
            <w:rStyle w:val="Hyperlink"/>
          </w:rPr>
          <w:t>Appendix A</w:t>
        </w:r>
      </w:hyperlink>
      <w:r>
        <w:t xml:space="preserve"> – Defines acronyms used in this document.</w:t>
      </w:r>
    </w:p>
    <w:p w14:paraId="782EE6F6" w14:textId="1DD5D3FB" w:rsidR="000F669B" w:rsidRDefault="000F669B" w:rsidP="000F669B">
      <w:hyperlink w:anchor="_Appendix_B_GLOSSARY_1" w:history="1">
        <w:r w:rsidRPr="00474140">
          <w:rPr>
            <w:rStyle w:val="Hyperlink"/>
          </w:rPr>
          <w:t>Appendix B</w:t>
        </w:r>
      </w:hyperlink>
      <w:r>
        <w:t xml:space="preserve"> – Defines terms (other than acronyms) used in this document.</w:t>
      </w:r>
    </w:p>
    <w:p w14:paraId="3A5F5E89" w14:textId="2F71CC77" w:rsidR="000F669B" w:rsidRDefault="000F669B" w:rsidP="000F669B">
      <w:hyperlink w:anchor="_Appendix_C_" w:history="1">
        <w:r w:rsidRPr="00474140">
          <w:rPr>
            <w:rStyle w:val="Hyperlink"/>
          </w:rPr>
          <w:t>Appendix C</w:t>
        </w:r>
      </w:hyperlink>
      <w:r>
        <w:t xml:space="preserve"> –</w:t>
      </w:r>
      <w:r w:rsidR="00A67C75">
        <w:t xml:space="preserve"> </w:t>
      </w:r>
      <w:r>
        <w:t>Country Codes and country names used during system operation</w:t>
      </w:r>
      <w:r w:rsidR="00E3731C">
        <w:t>.</w:t>
      </w:r>
    </w:p>
    <w:p w14:paraId="77BA7F37" w14:textId="7BDF1ACD" w:rsidR="000F669B" w:rsidRDefault="000F669B" w:rsidP="000F669B">
      <w:hyperlink w:anchor="_Appendix_D_" w:history="1">
        <w:r w:rsidRPr="00474140">
          <w:rPr>
            <w:rStyle w:val="Hyperlink"/>
          </w:rPr>
          <w:t>Appendix D</w:t>
        </w:r>
      </w:hyperlink>
      <w:r>
        <w:t xml:space="preserve"> – A reference chart of data sent from an MDS and compatible platform types</w:t>
      </w:r>
      <w:r w:rsidR="00E3731C">
        <w:t>.</w:t>
      </w:r>
    </w:p>
    <w:p w14:paraId="48AF4BD4" w14:textId="55BEA048" w:rsidR="000F669B" w:rsidRDefault="000F669B" w:rsidP="000F669B">
      <w:hyperlink w:anchor="_Appendix_E_" w:history="1">
        <w:r w:rsidRPr="00474140">
          <w:rPr>
            <w:rStyle w:val="Hyperlink"/>
          </w:rPr>
          <w:t>Appendix E</w:t>
        </w:r>
      </w:hyperlink>
      <w:r>
        <w:t xml:space="preserve"> –</w:t>
      </w:r>
      <w:r w:rsidR="00A67C75">
        <w:t xml:space="preserve"> </w:t>
      </w:r>
      <w:r>
        <w:t>A reference chart of data received by an MDS and a compatible originating platform type</w:t>
      </w:r>
      <w:r w:rsidR="00E3731C">
        <w:t>.</w:t>
      </w:r>
    </w:p>
    <w:p w14:paraId="07FCDEC2" w14:textId="63F1FD5E" w:rsidR="000F669B" w:rsidRDefault="000F669B" w:rsidP="000F669B">
      <w:hyperlink w:anchor="_Appendix_F_" w:history="1">
        <w:r w:rsidRPr="00474140">
          <w:rPr>
            <w:rStyle w:val="Hyperlink"/>
          </w:rPr>
          <w:t>Appendix F</w:t>
        </w:r>
      </w:hyperlink>
      <w:r>
        <w:t xml:space="preserve"> – A coordination template compatibility matrix</w:t>
      </w:r>
      <w:r w:rsidR="00E3731C">
        <w:t>.</w:t>
      </w:r>
    </w:p>
    <w:p w14:paraId="0AFA6AAF" w14:textId="5968FA9F" w:rsidR="000F669B" w:rsidRDefault="000F669B" w:rsidP="000F669B">
      <w:hyperlink w:anchor="_Appendix_G_" w:history="1">
        <w:r w:rsidRPr="00474140">
          <w:rPr>
            <w:rStyle w:val="Hyperlink"/>
          </w:rPr>
          <w:t>Appendix G</w:t>
        </w:r>
      </w:hyperlink>
      <w:r>
        <w:t xml:space="preserve"> – Defines query items</w:t>
      </w:r>
      <w:r w:rsidR="00E3731C">
        <w:t>.</w:t>
      </w:r>
    </w:p>
    <w:p w14:paraId="43DB6383" w14:textId="249B97AD" w:rsidR="000F669B" w:rsidRDefault="000F669B" w:rsidP="000F669B">
      <w:hyperlink w:anchor="_Appendix_H_LISTING" w:history="1">
        <w:r w:rsidRPr="00474140">
          <w:rPr>
            <w:rStyle w:val="Hyperlink"/>
          </w:rPr>
          <w:t>Appendix H</w:t>
        </w:r>
      </w:hyperlink>
      <w:r>
        <w:t xml:space="preserve"> – Independent Quality Verification Check(s) (</w:t>
      </w:r>
      <w:r w:rsidRPr="00DF726D">
        <w:rPr>
          <w:b/>
        </w:rPr>
        <w:t>IQVC</w:t>
      </w:r>
      <w:r>
        <w:t>(s)) performed by MDS on mission data</w:t>
      </w:r>
      <w:r w:rsidR="00E3731C">
        <w:t>.</w:t>
      </w:r>
    </w:p>
    <w:p w14:paraId="52856B4F" w14:textId="7ECA142B" w:rsidR="000F669B" w:rsidRDefault="000F669B" w:rsidP="000F669B">
      <w:hyperlink w:anchor="Appendix_I" w:history="1">
        <w:r w:rsidRPr="00474140">
          <w:rPr>
            <w:rStyle w:val="Hyperlink"/>
          </w:rPr>
          <w:t>Appendix I</w:t>
        </w:r>
      </w:hyperlink>
      <w:r>
        <w:t xml:space="preserve"> – Details of the Precision Strike Tomahawk (</w:t>
      </w:r>
      <w:r w:rsidRPr="00DF726D">
        <w:rPr>
          <w:b/>
        </w:rPr>
        <w:t>PST</w:t>
      </w:r>
      <w:r>
        <w:t>)</w:t>
      </w:r>
      <w:r w:rsidR="00E3731C">
        <w:t>.</w:t>
      </w:r>
    </w:p>
    <w:p w14:paraId="6372A3EB" w14:textId="7B2E791A" w:rsidR="000F669B" w:rsidRDefault="000F669B" w:rsidP="000F669B">
      <w:hyperlink w:anchor="_Appendix_J_" w:history="1">
        <w:r w:rsidRPr="00474140">
          <w:rPr>
            <w:rStyle w:val="Hyperlink"/>
          </w:rPr>
          <w:t>Appendix J</w:t>
        </w:r>
      </w:hyperlink>
      <w:r>
        <w:t xml:space="preserve"> – Details needed to create TCI Database (</w:t>
      </w:r>
      <w:r w:rsidRPr="00DF726D">
        <w:rPr>
          <w:b/>
        </w:rPr>
        <w:t>TCIDB</w:t>
      </w:r>
      <w:r>
        <w:t>) CDs for TTWCS platforms</w:t>
      </w:r>
      <w:r w:rsidR="00E3731C">
        <w:t>.</w:t>
      </w:r>
    </w:p>
    <w:p w14:paraId="40074FA1" w14:textId="401BC3D9" w:rsidR="000F669B" w:rsidRDefault="000F669B" w:rsidP="000F669B">
      <w:pPr>
        <w:rPr>
          <w:noProof/>
        </w:rPr>
      </w:pPr>
      <w:hyperlink w:anchor="_appendix_K_" w:history="1">
        <w:r w:rsidRPr="00474140">
          <w:rPr>
            <w:rStyle w:val="Hyperlink"/>
          </w:rPr>
          <w:t>Appendix K</w:t>
        </w:r>
      </w:hyperlink>
      <w:r>
        <w:t xml:space="preserve"> –</w:t>
      </w:r>
      <w:r w:rsidR="00A67C75">
        <w:t xml:space="preserve"> </w:t>
      </w:r>
      <w:r>
        <w:rPr>
          <w:noProof/>
        </w:rPr>
        <w:t>Distribution limitation notes</w:t>
      </w:r>
      <w:r w:rsidR="00E3731C">
        <w:rPr>
          <w:noProof/>
        </w:rPr>
        <w:t>.</w:t>
      </w:r>
    </w:p>
    <w:p w14:paraId="7386A47C" w14:textId="07A9810D" w:rsidR="000F669B" w:rsidRDefault="000F669B" w:rsidP="000F669B">
      <w:pPr>
        <w:rPr>
          <w:noProof/>
        </w:rPr>
      </w:pPr>
      <w:hyperlink w:anchor="_Appendix_L_MDS" w:history="1">
        <w:r w:rsidRPr="00474140">
          <w:rPr>
            <w:rStyle w:val="Hyperlink"/>
            <w:noProof/>
          </w:rPr>
          <w:t>Appendix L</w:t>
        </w:r>
      </w:hyperlink>
      <w:r>
        <w:rPr>
          <w:noProof/>
        </w:rPr>
        <w:t xml:space="preserve"> –</w:t>
      </w:r>
      <w:r w:rsidR="00A67C75">
        <w:rPr>
          <w:noProof/>
        </w:rPr>
        <w:t xml:space="preserve"> </w:t>
      </w:r>
      <w:r>
        <w:rPr>
          <w:noProof/>
        </w:rPr>
        <w:t>MDS troubleshooting guide</w:t>
      </w:r>
      <w:r w:rsidR="00E3731C">
        <w:rPr>
          <w:noProof/>
        </w:rPr>
        <w:t>.</w:t>
      </w:r>
    </w:p>
    <w:p w14:paraId="0F611074" w14:textId="00BA8B98" w:rsidR="000F669B" w:rsidRDefault="000F669B" w:rsidP="000F669B">
      <w:pPr>
        <w:rPr>
          <w:noProof/>
        </w:rPr>
      </w:pPr>
      <w:hyperlink w:anchor="_Appendix_M_TDM" w:history="1">
        <w:r w:rsidRPr="00474140">
          <w:rPr>
            <w:rStyle w:val="Hyperlink"/>
            <w:noProof/>
          </w:rPr>
          <w:t>Appendix M</w:t>
        </w:r>
      </w:hyperlink>
      <w:r>
        <w:rPr>
          <w:noProof/>
        </w:rPr>
        <w:t xml:space="preserve"> –</w:t>
      </w:r>
      <w:r w:rsidR="00A67C75">
        <w:rPr>
          <w:noProof/>
        </w:rPr>
        <w:t xml:space="preserve"> </w:t>
      </w:r>
      <w:r>
        <w:rPr>
          <w:noProof/>
        </w:rPr>
        <w:t>Distribution service troubleshooting guide</w:t>
      </w:r>
      <w:r w:rsidR="00E3731C">
        <w:rPr>
          <w:noProof/>
        </w:rPr>
        <w:t>.</w:t>
      </w:r>
    </w:p>
    <w:p w14:paraId="19C0D8BB" w14:textId="3C9303F3" w:rsidR="000F669B" w:rsidRDefault="000F669B" w:rsidP="000F669B">
      <w:pPr>
        <w:rPr>
          <w:bCs/>
        </w:rPr>
      </w:pPr>
      <w:hyperlink w:anchor="_Appendix_O_Strike" w:history="1">
        <w:r w:rsidRPr="00474140">
          <w:rPr>
            <w:rStyle w:val="Hyperlink"/>
          </w:rPr>
          <w:t xml:space="preserve">Appendix </w:t>
        </w:r>
        <w:r>
          <w:rPr>
            <w:rStyle w:val="Hyperlink"/>
          </w:rPr>
          <w:t>N</w:t>
        </w:r>
      </w:hyperlink>
      <w:r>
        <w:t xml:space="preserve"> –</w:t>
      </w:r>
      <w:r w:rsidR="00A67C75">
        <w:t xml:space="preserve"> </w:t>
      </w:r>
      <w:r w:rsidRPr="00226CC7">
        <w:rPr>
          <w:bCs/>
          <w:szCs w:val="24"/>
        </w:rPr>
        <w:t xml:space="preserve">Strike </w:t>
      </w:r>
      <w:r>
        <w:rPr>
          <w:bCs/>
          <w:szCs w:val="24"/>
        </w:rPr>
        <w:t>p</w:t>
      </w:r>
      <w:r w:rsidRPr="00226CC7">
        <w:rPr>
          <w:bCs/>
          <w:szCs w:val="24"/>
        </w:rPr>
        <w:t xml:space="preserve">lanning </w:t>
      </w:r>
      <w:r>
        <w:rPr>
          <w:bCs/>
          <w:szCs w:val="24"/>
        </w:rPr>
        <w:t>g</w:t>
      </w:r>
      <w:r w:rsidRPr="00226CC7">
        <w:rPr>
          <w:bCs/>
          <w:szCs w:val="24"/>
        </w:rPr>
        <w:t>uidelines</w:t>
      </w:r>
      <w:r w:rsidR="00E3731C">
        <w:rPr>
          <w:bCs/>
          <w:szCs w:val="24"/>
        </w:rPr>
        <w:t>.</w:t>
      </w:r>
    </w:p>
    <w:p w14:paraId="16474651" w14:textId="1EDAB052" w:rsidR="000F669B" w:rsidRDefault="000F669B" w:rsidP="000F669B">
      <w:hyperlink w:anchor="_Appendix_Q_Strike" w:history="1">
        <w:r w:rsidRPr="00320A9A">
          <w:rPr>
            <w:rStyle w:val="Hyperlink"/>
            <w:bCs/>
          </w:rPr>
          <w:t xml:space="preserve">Appendix </w:t>
        </w:r>
        <w:r>
          <w:rPr>
            <w:rStyle w:val="Hyperlink"/>
            <w:bCs/>
          </w:rPr>
          <w:t>O</w:t>
        </w:r>
      </w:hyperlink>
      <w:r>
        <w:rPr>
          <w:bCs/>
        </w:rPr>
        <w:t xml:space="preserve"> –</w:t>
      </w:r>
      <w:r w:rsidR="00A67C75">
        <w:rPr>
          <w:bCs/>
        </w:rPr>
        <w:t xml:space="preserve"> </w:t>
      </w:r>
      <w:r w:rsidRPr="00226CC7">
        <w:rPr>
          <w:bCs/>
          <w:szCs w:val="24"/>
        </w:rPr>
        <w:t>Strike execution comms setup guidelines</w:t>
      </w:r>
      <w:r w:rsidR="00E3731C">
        <w:rPr>
          <w:bCs/>
          <w:szCs w:val="24"/>
        </w:rPr>
        <w:t>.</w:t>
      </w:r>
    </w:p>
    <w:p w14:paraId="476156BC" w14:textId="27209295" w:rsidR="000F669B" w:rsidRDefault="000F669B" w:rsidP="000F669B">
      <w:pPr>
        <w:rPr>
          <w:bCs/>
        </w:rPr>
      </w:pPr>
      <w:hyperlink w:anchor="_Appendix_R_Strike" w:history="1">
        <w:r w:rsidRPr="00320A9A">
          <w:rPr>
            <w:rStyle w:val="Hyperlink"/>
          </w:rPr>
          <w:t xml:space="preserve">Appendix </w:t>
        </w:r>
        <w:r>
          <w:rPr>
            <w:rStyle w:val="Hyperlink"/>
          </w:rPr>
          <w:t>P</w:t>
        </w:r>
      </w:hyperlink>
      <w:r>
        <w:t xml:space="preserve"> –</w:t>
      </w:r>
      <w:r w:rsidR="00A67C75">
        <w:t xml:space="preserve"> </w:t>
      </w:r>
      <w:r>
        <w:rPr>
          <w:noProof/>
        </w:rPr>
        <w:t>S</w:t>
      </w:r>
      <w:r w:rsidRPr="00226CC7">
        <w:rPr>
          <w:bCs/>
          <w:szCs w:val="24"/>
        </w:rPr>
        <w:t xml:space="preserve">trike </w:t>
      </w:r>
      <w:r>
        <w:rPr>
          <w:bCs/>
          <w:szCs w:val="24"/>
        </w:rPr>
        <w:t>e</w:t>
      </w:r>
      <w:r w:rsidRPr="00226CC7">
        <w:rPr>
          <w:bCs/>
          <w:szCs w:val="24"/>
        </w:rPr>
        <w:t xml:space="preserve">xecution </w:t>
      </w:r>
      <w:r>
        <w:rPr>
          <w:bCs/>
          <w:szCs w:val="24"/>
        </w:rPr>
        <w:t>g</w:t>
      </w:r>
      <w:r w:rsidRPr="00226CC7">
        <w:rPr>
          <w:bCs/>
          <w:szCs w:val="24"/>
        </w:rPr>
        <w:t>uidelines</w:t>
      </w:r>
      <w:r w:rsidR="00E3731C">
        <w:rPr>
          <w:bCs/>
          <w:szCs w:val="24"/>
        </w:rPr>
        <w:t>.</w:t>
      </w:r>
    </w:p>
    <w:p w14:paraId="7C4944CF" w14:textId="60324BB7" w:rsidR="000F669B" w:rsidRDefault="000F669B" w:rsidP="000F669B">
      <w:pPr>
        <w:rPr>
          <w:bCs/>
        </w:rPr>
      </w:pPr>
      <w:hyperlink w:anchor="_Appendix_R_Maintenance" w:history="1">
        <w:r w:rsidRPr="00A02D7E">
          <w:rPr>
            <w:rStyle w:val="Hyperlink"/>
            <w:bCs/>
          </w:rPr>
          <w:t xml:space="preserve">Appendix </w:t>
        </w:r>
        <w:r>
          <w:rPr>
            <w:rStyle w:val="Hyperlink"/>
            <w:bCs/>
          </w:rPr>
          <w:t>Q</w:t>
        </w:r>
      </w:hyperlink>
      <w:r>
        <w:rPr>
          <w:bCs/>
        </w:rPr>
        <w:t xml:space="preserve"> –</w:t>
      </w:r>
      <w:r w:rsidR="00A67C75">
        <w:rPr>
          <w:bCs/>
        </w:rPr>
        <w:t xml:space="preserve"> </w:t>
      </w:r>
      <w:r>
        <w:rPr>
          <w:bCs/>
        </w:rPr>
        <w:t>Maintenance guide</w:t>
      </w:r>
      <w:r w:rsidR="00E3731C">
        <w:rPr>
          <w:bCs/>
        </w:rPr>
        <w:t>.</w:t>
      </w:r>
    </w:p>
    <w:p w14:paraId="21E1A33A" w14:textId="13395299" w:rsidR="000F669B" w:rsidRDefault="000F669B" w:rsidP="000F669B">
      <w:pPr>
        <w:rPr>
          <w:bCs/>
        </w:rPr>
      </w:pPr>
      <w:hyperlink w:anchor="_APPENDIX_S_" w:history="1">
        <w:r w:rsidRPr="00F86FFD">
          <w:rPr>
            <w:rStyle w:val="Hyperlink"/>
            <w:bCs/>
          </w:rPr>
          <w:t xml:space="preserve">Appendix </w:t>
        </w:r>
        <w:r>
          <w:rPr>
            <w:rStyle w:val="Hyperlink"/>
            <w:bCs/>
          </w:rPr>
          <w:t>R</w:t>
        </w:r>
      </w:hyperlink>
      <w:r>
        <w:rPr>
          <w:bCs/>
        </w:rPr>
        <w:t xml:space="preserve"> –</w:t>
      </w:r>
      <w:r w:rsidR="00A67C75">
        <w:rPr>
          <w:bCs/>
        </w:rPr>
        <w:t xml:space="preserve"> </w:t>
      </w:r>
      <w:r>
        <w:rPr>
          <w:bCs/>
        </w:rPr>
        <w:t>TSRT configuration guide</w:t>
      </w:r>
      <w:r w:rsidR="00E3731C">
        <w:rPr>
          <w:bCs/>
        </w:rPr>
        <w:t>.</w:t>
      </w:r>
    </w:p>
    <w:p w14:paraId="263FA9A7" w14:textId="5B578EC1" w:rsidR="008676FB" w:rsidRDefault="008676FB" w:rsidP="00190993">
      <w:pPr>
        <w:rPr>
          <w:bCs/>
        </w:rPr>
      </w:pPr>
      <w:hyperlink w:anchor="Appendix_TSRT_MSTM_Model_Details" w:history="1">
        <w:r w:rsidRPr="008676FB">
          <w:rPr>
            <w:rStyle w:val="Hyperlink"/>
            <w:bCs/>
          </w:rPr>
          <w:t>Appendix S</w:t>
        </w:r>
      </w:hyperlink>
      <w:r>
        <w:rPr>
          <w:bCs/>
        </w:rPr>
        <w:t xml:space="preserve"> – Provides TSRT MSTM Model details.</w:t>
      </w:r>
    </w:p>
    <w:p w14:paraId="46502F79" w14:textId="7BC2DF34" w:rsidR="00661809" w:rsidRDefault="00655336" w:rsidP="00190993">
      <w:pPr>
        <w:rPr>
          <w:bCs/>
        </w:rPr>
      </w:pPr>
      <w:hyperlink w:anchor="Appendix_T" w:history="1">
        <w:r w:rsidRPr="000665B0">
          <w:rPr>
            <w:rStyle w:val="Hyperlink"/>
            <w:bCs/>
          </w:rPr>
          <w:t xml:space="preserve">Appendix </w:t>
        </w:r>
        <w:r w:rsidR="008676FB">
          <w:rPr>
            <w:rStyle w:val="Hyperlink"/>
            <w:bCs/>
          </w:rPr>
          <w:t>T</w:t>
        </w:r>
      </w:hyperlink>
      <w:r w:rsidRPr="000665B0">
        <w:rPr>
          <w:bCs/>
        </w:rPr>
        <w:t xml:space="preserve"> </w:t>
      </w:r>
      <w:r w:rsidR="00661809" w:rsidRPr="000665B0">
        <w:rPr>
          <w:bCs/>
        </w:rPr>
        <w:t>–</w:t>
      </w:r>
      <w:r w:rsidR="00A67C75">
        <w:rPr>
          <w:bCs/>
        </w:rPr>
        <w:t xml:space="preserve"> </w:t>
      </w:r>
      <w:r w:rsidR="00943F47">
        <w:rPr>
          <w:bCs/>
        </w:rPr>
        <w:t>Describes the Pull Distribution Procedure.</w:t>
      </w:r>
    </w:p>
    <w:p w14:paraId="1EF0F68D" w14:textId="3A23904B" w:rsidR="00943F47" w:rsidRPr="000665B0" w:rsidRDefault="00943F47" w:rsidP="00190993">
      <w:pPr>
        <w:rPr>
          <w:bCs/>
        </w:rPr>
      </w:pPr>
      <w:hyperlink w:anchor="Appendix_U" w:history="1">
        <w:r w:rsidRPr="00943F47">
          <w:rPr>
            <w:rStyle w:val="Hyperlink"/>
            <w:bCs/>
          </w:rPr>
          <w:t>Appendix U</w:t>
        </w:r>
      </w:hyperlink>
      <w:r>
        <w:rPr>
          <w:bCs/>
        </w:rPr>
        <w:t xml:space="preserve"> </w:t>
      </w:r>
      <w:r w:rsidR="008721B3" w:rsidRPr="000665B0">
        <w:rPr>
          <w:bCs/>
        </w:rPr>
        <w:t>–</w:t>
      </w:r>
      <w:r>
        <w:rPr>
          <w:bCs/>
        </w:rPr>
        <w:t xml:space="preserve"> TMPC </w:t>
      </w:r>
      <w:r w:rsidRPr="000665B0">
        <w:rPr>
          <w:bCs/>
        </w:rPr>
        <w:t xml:space="preserve">Help </w:t>
      </w:r>
      <w:r>
        <w:rPr>
          <w:bCs/>
        </w:rPr>
        <w:t>D</w:t>
      </w:r>
      <w:r w:rsidRPr="000665B0">
        <w:rPr>
          <w:bCs/>
        </w:rPr>
        <w:t xml:space="preserve">esk and </w:t>
      </w:r>
      <w:r>
        <w:rPr>
          <w:bCs/>
        </w:rPr>
        <w:t>c</w:t>
      </w:r>
      <w:r w:rsidRPr="000665B0">
        <w:rPr>
          <w:bCs/>
        </w:rPr>
        <w:t xml:space="preserve">ontact </w:t>
      </w:r>
      <w:r>
        <w:rPr>
          <w:bCs/>
        </w:rPr>
        <w:t>i</w:t>
      </w:r>
      <w:r w:rsidRPr="000665B0">
        <w:rPr>
          <w:bCs/>
        </w:rPr>
        <w:t>nformation.</w:t>
      </w:r>
    </w:p>
    <w:p w14:paraId="0D3A0429" w14:textId="77777777" w:rsidR="00AA6DCB" w:rsidRPr="000665B0" w:rsidRDefault="00AA6DCB" w:rsidP="00190993">
      <w:pPr>
        <w:rPr>
          <w:noProof/>
        </w:rPr>
      </w:pPr>
    </w:p>
    <w:p w14:paraId="6339B992" w14:textId="77777777" w:rsidR="00A316EA" w:rsidRDefault="00A316EA" w:rsidP="006D5A65">
      <w:pPr>
        <w:pStyle w:val="Heading1"/>
        <w:rPr>
          <w:noProof/>
        </w:rPr>
      </w:pPr>
      <w:r>
        <w:br w:type="page"/>
      </w:r>
      <w:bookmarkStart w:id="261" w:name="_Section_2_REFERENCED"/>
      <w:bookmarkStart w:id="262" w:name="_Section_3_HARDWARE,"/>
      <w:bookmarkStart w:id="263" w:name="_Section_3_HARDWARE,_software,_DATAB"/>
      <w:bookmarkStart w:id="264" w:name="_Section_4_software"/>
      <w:bookmarkStart w:id="265" w:name="_SOFTWARE_SUMMARY"/>
      <w:bookmarkStart w:id="266" w:name="_Toc483631429"/>
      <w:bookmarkStart w:id="267" w:name="_Toc492794704"/>
      <w:bookmarkStart w:id="268" w:name="_Toc492794885"/>
      <w:bookmarkStart w:id="269" w:name="_Toc492795272"/>
      <w:bookmarkStart w:id="270" w:name="_Toc492795375"/>
      <w:bookmarkStart w:id="271" w:name="_Toc492795457"/>
      <w:bookmarkStart w:id="272" w:name="_Toc492795543"/>
      <w:bookmarkStart w:id="273" w:name="_Toc492795629"/>
      <w:bookmarkStart w:id="274" w:name="_Toc492796159"/>
      <w:bookmarkStart w:id="275" w:name="_Toc492796312"/>
      <w:bookmarkStart w:id="276" w:name="_Toc492796803"/>
      <w:bookmarkStart w:id="277" w:name="_Toc492797418"/>
      <w:bookmarkStart w:id="278" w:name="_Toc492797889"/>
      <w:bookmarkStart w:id="279" w:name="_Toc492797979"/>
      <w:bookmarkStart w:id="280" w:name="_Toc492798066"/>
      <w:bookmarkStart w:id="281" w:name="_Toc492798522"/>
      <w:bookmarkStart w:id="282" w:name="_Toc492881899"/>
      <w:bookmarkStart w:id="283" w:name="_Toc493009238"/>
      <w:bookmarkStart w:id="284" w:name="_Toc493466425"/>
      <w:bookmarkStart w:id="285" w:name="_Toc493466676"/>
      <w:bookmarkStart w:id="286" w:name="_Toc493466885"/>
      <w:bookmarkStart w:id="287" w:name="_Toc493467180"/>
      <w:bookmarkStart w:id="288" w:name="_Toc493467318"/>
      <w:bookmarkStart w:id="289" w:name="_Toc493467387"/>
      <w:bookmarkStart w:id="290" w:name="_Toc493473549"/>
      <w:bookmarkStart w:id="291" w:name="_Toc493474256"/>
      <w:bookmarkStart w:id="292" w:name="_Toc493474433"/>
      <w:bookmarkStart w:id="293" w:name="_Toc493486263"/>
      <w:bookmarkStart w:id="294" w:name="_Toc493555455"/>
      <w:bookmarkStart w:id="295" w:name="_Toc494170671"/>
      <w:bookmarkStart w:id="296" w:name="_Toc494171209"/>
      <w:bookmarkStart w:id="297" w:name="_Toc494171287"/>
      <w:bookmarkStart w:id="298" w:name="_Toc494171365"/>
      <w:bookmarkStart w:id="299" w:name="_Toc494905411"/>
      <w:bookmarkStart w:id="300" w:name="_Toc495112315"/>
      <w:bookmarkStart w:id="301" w:name="_Toc536597776"/>
      <w:bookmarkStart w:id="302" w:name="_Toc17030106"/>
      <w:bookmarkStart w:id="303" w:name="_Toc17681257"/>
      <w:bookmarkStart w:id="304" w:name="_Toc25989202"/>
      <w:bookmarkStart w:id="305" w:name="_Toc25991872"/>
      <w:bookmarkStart w:id="306" w:name="_Toc29095340"/>
      <w:bookmarkStart w:id="307" w:name="_Toc96169709"/>
      <w:bookmarkStart w:id="308" w:name="_Toc96233754"/>
      <w:bookmarkStart w:id="309" w:name="_Toc112733168"/>
      <w:bookmarkStart w:id="310" w:name="_Toc289328111"/>
      <w:bookmarkStart w:id="311" w:name="_Toc312331616"/>
      <w:bookmarkStart w:id="312" w:name="_Toc214283100"/>
      <w:bookmarkStart w:id="313" w:name="_Toc303082378"/>
      <w:bookmarkStart w:id="314" w:name="_Toc96169718"/>
      <w:bookmarkStart w:id="315" w:name="_Toc96233763"/>
      <w:bookmarkStart w:id="316" w:name="_Toc112733177"/>
      <w:bookmarkStart w:id="317" w:name="_Toc289328120"/>
      <w:bookmarkStart w:id="318" w:name="_Toc312331625"/>
      <w:bookmarkEnd w:id="261"/>
      <w:bookmarkEnd w:id="262"/>
      <w:bookmarkEnd w:id="263"/>
      <w:bookmarkEnd w:id="264"/>
      <w:bookmarkEnd w:id="265"/>
      <w:r w:rsidR="00B6111A" w:rsidRPr="003604C5">
        <w:lastRenderedPageBreak/>
        <w:t>REFERENCED</w:t>
      </w:r>
      <w:r w:rsidR="00B6111A" w:rsidRPr="000665B0">
        <w:t xml:space="preserve"> DOCUMENTS</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34CFB7DF" w14:textId="77777777" w:rsidR="00B6111A" w:rsidRPr="000665B0" w:rsidRDefault="00B6111A" w:rsidP="00B6111A">
      <w:pPr>
        <w:spacing w:after="0"/>
      </w:pPr>
      <w:r w:rsidRPr="000665B0">
        <w:t>The following documents of the exact issue shown form a part of this SUM to the extent specified herein.</w:t>
      </w:r>
    </w:p>
    <w:p w14:paraId="1FCDC2A0" w14:textId="77777777" w:rsidR="00B6111A" w:rsidRPr="000665B0" w:rsidRDefault="00B6111A" w:rsidP="00C32ED9">
      <w:pPr>
        <w:pStyle w:val="Heading2"/>
        <w:spacing w:before="240"/>
      </w:pPr>
      <w:bookmarkStart w:id="319" w:name="_Toc483631430"/>
      <w:bookmarkStart w:id="320" w:name="_Toc492795458"/>
      <w:bookmarkStart w:id="321" w:name="_Toc492795544"/>
      <w:bookmarkStart w:id="322" w:name="_Toc492795630"/>
      <w:bookmarkStart w:id="323" w:name="_Toc492796160"/>
      <w:bookmarkStart w:id="324" w:name="_Toc492796313"/>
      <w:bookmarkStart w:id="325" w:name="_Toc492796804"/>
      <w:bookmarkStart w:id="326" w:name="_Toc492797419"/>
      <w:bookmarkStart w:id="327" w:name="_Toc492797890"/>
      <w:bookmarkStart w:id="328" w:name="_Toc492797980"/>
      <w:bookmarkStart w:id="329" w:name="_Toc492798067"/>
      <w:bookmarkStart w:id="330" w:name="_Toc492798523"/>
      <w:bookmarkStart w:id="331" w:name="_Toc492881900"/>
      <w:bookmarkStart w:id="332" w:name="_Toc493009239"/>
      <w:bookmarkStart w:id="333" w:name="_Toc493466426"/>
      <w:bookmarkStart w:id="334" w:name="_Toc493466677"/>
      <w:bookmarkStart w:id="335" w:name="_Toc493466886"/>
      <w:bookmarkStart w:id="336" w:name="_Toc493467181"/>
      <w:bookmarkStart w:id="337" w:name="_Toc493467319"/>
      <w:bookmarkStart w:id="338" w:name="_Toc493467388"/>
      <w:bookmarkStart w:id="339" w:name="_Toc493473550"/>
      <w:bookmarkStart w:id="340" w:name="_Toc493474257"/>
      <w:bookmarkStart w:id="341" w:name="_Toc493474434"/>
      <w:bookmarkStart w:id="342" w:name="_Toc493486264"/>
      <w:bookmarkStart w:id="343" w:name="_Toc493555456"/>
      <w:bookmarkStart w:id="344" w:name="_Toc494170672"/>
      <w:bookmarkStart w:id="345" w:name="_Toc494171210"/>
      <w:bookmarkStart w:id="346" w:name="_Toc494171288"/>
      <w:bookmarkStart w:id="347" w:name="_Toc494171366"/>
      <w:bookmarkStart w:id="348" w:name="_Toc494905412"/>
      <w:bookmarkStart w:id="349" w:name="_Toc495112316"/>
      <w:bookmarkStart w:id="350" w:name="_Toc536597777"/>
      <w:bookmarkStart w:id="351" w:name="_Toc17030107"/>
      <w:bookmarkStart w:id="352" w:name="_Toc17681258"/>
      <w:bookmarkStart w:id="353" w:name="_Toc25989203"/>
      <w:bookmarkStart w:id="354" w:name="_Toc25991873"/>
      <w:bookmarkStart w:id="355" w:name="_Toc29095341"/>
      <w:bookmarkStart w:id="356" w:name="_Toc96169710"/>
      <w:bookmarkStart w:id="357" w:name="_Toc96233755"/>
      <w:bookmarkStart w:id="358" w:name="_Toc112733169"/>
      <w:bookmarkStart w:id="359" w:name="_Toc289328112"/>
      <w:bookmarkStart w:id="360" w:name="_Toc312331617"/>
      <w:bookmarkStart w:id="361" w:name="_Toc214283101"/>
      <w:r w:rsidRPr="000665B0">
        <w:t>GOVERNMENT DOCUMENTS</w:t>
      </w:r>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33B03B15" w14:textId="77777777" w:rsidR="00B6111A" w:rsidRPr="000665B0" w:rsidRDefault="00B6111A" w:rsidP="00B6111A">
      <w:pPr>
        <w:ind w:left="2520" w:hanging="2520"/>
      </w:pPr>
      <w:bookmarkStart w:id="362" w:name="_Toc17598810"/>
      <w:bookmarkStart w:id="363" w:name="_Toc483631431"/>
      <w:bookmarkStart w:id="364" w:name="_Toc492795459"/>
      <w:bookmarkStart w:id="365" w:name="_Toc492795545"/>
      <w:bookmarkStart w:id="366" w:name="_Toc492795631"/>
      <w:bookmarkStart w:id="367" w:name="_Toc492796161"/>
      <w:bookmarkStart w:id="368" w:name="_Toc492796314"/>
      <w:bookmarkStart w:id="369" w:name="_Toc492796805"/>
      <w:bookmarkStart w:id="370" w:name="_Toc492797420"/>
      <w:bookmarkStart w:id="371" w:name="_Toc492797891"/>
      <w:bookmarkStart w:id="372" w:name="_Toc492797981"/>
      <w:bookmarkStart w:id="373" w:name="_Toc492798068"/>
      <w:bookmarkStart w:id="374" w:name="_Toc492798524"/>
      <w:bookmarkStart w:id="375" w:name="_Toc492881901"/>
      <w:bookmarkStart w:id="376" w:name="_Toc493009240"/>
      <w:bookmarkStart w:id="377" w:name="_Toc493466427"/>
      <w:bookmarkStart w:id="378" w:name="_Toc493466678"/>
      <w:bookmarkStart w:id="379" w:name="_Toc493466887"/>
      <w:bookmarkStart w:id="380" w:name="_Toc493467182"/>
      <w:bookmarkStart w:id="381" w:name="_Toc493467320"/>
      <w:bookmarkStart w:id="382" w:name="_Toc493467389"/>
      <w:bookmarkStart w:id="383" w:name="_Toc493473551"/>
      <w:bookmarkStart w:id="384" w:name="_Toc493474258"/>
      <w:bookmarkStart w:id="385" w:name="_Toc493474435"/>
      <w:bookmarkStart w:id="386" w:name="_Toc493486265"/>
      <w:bookmarkStart w:id="387" w:name="_Toc493555457"/>
      <w:bookmarkStart w:id="388" w:name="_Toc494170673"/>
      <w:bookmarkStart w:id="389" w:name="_Toc494171211"/>
      <w:bookmarkStart w:id="390" w:name="_Toc494171289"/>
      <w:bookmarkStart w:id="391" w:name="_Toc494171367"/>
      <w:bookmarkStart w:id="392" w:name="_Toc494905413"/>
      <w:bookmarkStart w:id="393" w:name="_Toc495112317"/>
      <w:bookmarkStart w:id="394" w:name="_Toc536597778"/>
      <w:bookmarkStart w:id="395" w:name="_Toc17030108"/>
      <w:bookmarkStart w:id="396" w:name="_Toc17681259"/>
      <w:bookmarkStart w:id="397" w:name="_Toc25989204"/>
      <w:bookmarkStart w:id="398" w:name="_Toc25991874"/>
      <w:bookmarkStart w:id="399" w:name="_Toc29095342"/>
      <w:bookmarkStart w:id="400" w:name="_Toc96169711"/>
      <w:bookmarkStart w:id="401" w:name="_Toc96233756"/>
      <w:bookmarkStart w:id="402" w:name="_Toc112733170"/>
      <w:bookmarkStart w:id="403" w:name="_Toc289328113"/>
      <w:r w:rsidRPr="000665B0">
        <w:t>PEO(U&amp;W) 3900/133</w:t>
      </w:r>
      <w:r w:rsidRPr="000665B0">
        <w:tab/>
        <w:t>System Specification for the Tomahawk Command and Control System (TC2S) Information Assurance (IA), Protection, and Security Requirements, Revision D, 20 February 2013, SCN-D1, dated 17 October 2013.</w:t>
      </w:r>
    </w:p>
    <w:p w14:paraId="0AD76EFF" w14:textId="77777777" w:rsidR="00B6111A" w:rsidRPr="000665B0" w:rsidRDefault="00B6111A" w:rsidP="00B6111A">
      <w:pPr>
        <w:spacing w:after="240"/>
        <w:ind w:left="2520" w:hanging="2520"/>
      </w:pPr>
      <w:r w:rsidRPr="000665B0">
        <w:t>PEO(U&amp;W) 3900/183</w:t>
      </w:r>
      <w:r w:rsidRPr="000665B0">
        <w:tab/>
        <w:t>Interface Requirements Specification/Modified (IRS/M) for the Tomahawk Weapon System (TWS) Enterprise Databases (TED) Interfaces (U), Revision B (SECRET), 1 June 2012, and applicable ICNs.</w:t>
      </w:r>
    </w:p>
    <w:p w14:paraId="05C9E25D" w14:textId="77777777" w:rsidR="00B6111A" w:rsidRPr="000665B0" w:rsidRDefault="00B6111A" w:rsidP="00B6111A">
      <w:pPr>
        <w:spacing w:after="240"/>
        <w:ind w:left="2520" w:hanging="2520"/>
      </w:pPr>
      <w:r w:rsidRPr="000665B0">
        <w:t>PEO(U&amp;W) 3900/114</w:t>
      </w:r>
      <w:r w:rsidRPr="000665B0">
        <w:tab/>
        <w:t>Modified Interface Requirements Specification (IRS/M) for Tomahawk Strike Coordination Interfaces, Rev D, 24 August 2009, and applicable ICNs.</w:t>
      </w:r>
    </w:p>
    <w:p w14:paraId="2CFDC654" w14:textId="77777777" w:rsidR="00B6111A" w:rsidRPr="000665B0" w:rsidRDefault="00B6111A" w:rsidP="00B6111A">
      <w:pPr>
        <w:ind w:left="2520" w:hanging="2520"/>
      </w:pPr>
      <w:r w:rsidRPr="000665B0">
        <w:t>PEO(U&amp;W) 3900/146</w:t>
      </w:r>
      <w:r w:rsidRPr="000665B0">
        <w:tab/>
        <w:t>Modified Interface Requirements Specification (IRS/M) for the Tomahawk Command and Control System (TC2S) and Tactical Tomahawk Weapon Control System (TTWCS), Rev B, 9 September 2009, and applicable ICNs.</w:t>
      </w:r>
    </w:p>
    <w:p w14:paraId="1EAE555E" w14:textId="77777777" w:rsidR="00B6111A" w:rsidRPr="000665B0" w:rsidRDefault="00B6111A" w:rsidP="00B6111A">
      <w:pPr>
        <w:ind w:left="2520" w:hanging="2520"/>
      </w:pPr>
      <w:r w:rsidRPr="000665B0">
        <w:t>PEO(U&amp;W) 3900/205</w:t>
      </w:r>
      <w:r w:rsidRPr="000665B0">
        <w:tab/>
        <w:t>Theater Mission Planning Center (TMPC) Hardware Specification,</w:t>
      </w:r>
      <w:r w:rsidRPr="000665B0">
        <w:br/>
        <w:t>27 February 2013.</w:t>
      </w:r>
    </w:p>
    <w:p w14:paraId="210DAA40" w14:textId="77777777" w:rsidR="00B6111A" w:rsidRPr="000665B0" w:rsidRDefault="00B6111A" w:rsidP="00B6111A">
      <w:r w:rsidRPr="000665B0">
        <w:t xml:space="preserve">Cruise Missile Mission Planning Training and Operating Procedures Standardization (CTOPS). </w:t>
      </w:r>
    </w:p>
    <w:p w14:paraId="24492E72" w14:textId="77777777" w:rsidR="00B6111A" w:rsidRPr="000665B0" w:rsidRDefault="00B6111A" w:rsidP="00B6111A">
      <w:r w:rsidRPr="000665B0">
        <w:t>Tomahawk Technical Description Document (T2D2).</w:t>
      </w:r>
    </w:p>
    <w:p w14:paraId="2687930C" w14:textId="77777777" w:rsidR="00B6111A" w:rsidRPr="000665B0" w:rsidRDefault="00B6111A" w:rsidP="00B6111A">
      <w:pPr>
        <w:ind w:left="2520" w:hanging="2520"/>
        <w:rPr>
          <w:szCs w:val="24"/>
        </w:rPr>
      </w:pPr>
      <w:r w:rsidRPr="000665B0">
        <w:rPr>
          <w:szCs w:val="24"/>
        </w:rPr>
        <w:t>SCG ID# 02-071.6</w:t>
      </w:r>
      <w:r w:rsidRPr="000665B0">
        <w:rPr>
          <w:szCs w:val="24"/>
        </w:rPr>
        <w:tab/>
        <w:t>Tomahawk Security Classification Guide, 09 October 2018.</w:t>
      </w:r>
    </w:p>
    <w:p w14:paraId="3A20FFB6" w14:textId="77777777" w:rsidR="00B6111A" w:rsidRPr="000665B0" w:rsidRDefault="00B6111A" w:rsidP="00B6111A">
      <w:pPr>
        <w:ind w:left="2520" w:hanging="2520"/>
        <w:rPr>
          <w:szCs w:val="24"/>
        </w:rPr>
      </w:pPr>
      <w:bookmarkStart w:id="404" w:name="_Hlk33448035"/>
      <w:r w:rsidRPr="000665B0">
        <w:rPr>
          <w:szCs w:val="24"/>
        </w:rPr>
        <w:t>NTTP 3-03.1</w:t>
      </w:r>
      <w:r w:rsidRPr="000665B0">
        <w:rPr>
          <w:szCs w:val="24"/>
        </w:rPr>
        <w:tab/>
        <w:t>Tomahawk Land-Attack Missile (TLAM-C/D/E) Employment Manual (U).</w:t>
      </w:r>
    </w:p>
    <w:p w14:paraId="1EFEC67B" w14:textId="77777777" w:rsidR="00B6111A" w:rsidRPr="000665B0" w:rsidRDefault="00B6111A" w:rsidP="00B6111A">
      <w:pPr>
        <w:ind w:left="2520" w:hanging="2520"/>
      </w:pPr>
      <w:r w:rsidRPr="000665B0">
        <w:rPr>
          <w:noProof/>
        </w:rPr>
        <w:t>JCM 2038</w:t>
      </w:r>
      <w:r w:rsidRPr="000665B0">
        <w:rPr>
          <w:noProof/>
        </w:rPr>
        <w:tab/>
        <w:t xml:space="preserve">Tomahawk Weapons System AUR Configuration &amp; Identification Interface Requirements Document, Rev. H. </w:t>
      </w:r>
    </w:p>
    <w:p w14:paraId="2F111C99" w14:textId="77777777" w:rsidR="00B6111A" w:rsidRPr="000665B0" w:rsidRDefault="00B6111A" w:rsidP="00B6111A">
      <w:pPr>
        <w:pStyle w:val="Heading3"/>
      </w:pPr>
      <w:bookmarkStart w:id="405" w:name="_Toc312331618"/>
      <w:bookmarkStart w:id="406" w:name="_Toc214283102"/>
      <w:bookmarkEnd w:id="362"/>
      <w:bookmarkEnd w:id="404"/>
      <w:r w:rsidRPr="000665B0">
        <w:t>Standards</w:t>
      </w:r>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5"/>
      <w:bookmarkEnd w:id="406"/>
    </w:p>
    <w:p w14:paraId="3E82F119" w14:textId="647DA090" w:rsidR="00B6111A" w:rsidRPr="000665B0" w:rsidRDefault="00B6111A" w:rsidP="00B6111A">
      <w:pPr>
        <w:spacing w:after="0"/>
      </w:pPr>
      <w:bookmarkStart w:id="407" w:name="_Hlk127180359"/>
      <w:r w:rsidRPr="000665B0">
        <w:t>N/A</w:t>
      </w:r>
    </w:p>
    <w:p w14:paraId="40682BEA" w14:textId="77777777" w:rsidR="00B6111A" w:rsidRDefault="00B6111A" w:rsidP="00C32ED9">
      <w:pPr>
        <w:pStyle w:val="Heading2"/>
        <w:spacing w:before="240"/>
      </w:pPr>
      <w:bookmarkStart w:id="408" w:name="_Toc483631432"/>
      <w:bookmarkStart w:id="409" w:name="_Toc492795460"/>
      <w:bookmarkStart w:id="410" w:name="_Toc492795546"/>
      <w:bookmarkStart w:id="411" w:name="_Toc492795632"/>
      <w:bookmarkStart w:id="412" w:name="_Toc492796162"/>
      <w:bookmarkStart w:id="413" w:name="_Toc492796315"/>
      <w:bookmarkStart w:id="414" w:name="_Toc492796806"/>
      <w:bookmarkStart w:id="415" w:name="_Toc492797421"/>
      <w:bookmarkStart w:id="416" w:name="_Toc492797892"/>
      <w:bookmarkStart w:id="417" w:name="_Toc492797982"/>
      <w:bookmarkStart w:id="418" w:name="_Toc492798069"/>
      <w:bookmarkStart w:id="419" w:name="_Toc492798525"/>
      <w:bookmarkStart w:id="420" w:name="_Toc492881902"/>
      <w:bookmarkStart w:id="421" w:name="_Toc493009241"/>
      <w:bookmarkStart w:id="422" w:name="_Toc493466428"/>
      <w:bookmarkStart w:id="423" w:name="_Toc493466679"/>
      <w:bookmarkStart w:id="424" w:name="_Toc493466888"/>
      <w:bookmarkStart w:id="425" w:name="_Toc493467183"/>
      <w:bookmarkStart w:id="426" w:name="_Toc493467321"/>
      <w:bookmarkStart w:id="427" w:name="_Toc493467390"/>
      <w:bookmarkStart w:id="428" w:name="_Toc493473552"/>
      <w:bookmarkStart w:id="429" w:name="_Toc493474259"/>
      <w:bookmarkStart w:id="430" w:name="_Toc493474436"/>
      <w:bookmarkStart w:id="431" w:name="_Toc493486266"/>
      <w:bookmarkStart w:id="432" w:name="_Toc493555458"/>
      <w:bookmarkStart w:id="433" w:name="_Toc494170674"/>
      <w:bookmarkStart w:id="434" w:name="_Toc494171212"/>
      <w:bookmarkStart w:id="435" w:name="_Toc494171290"/>
      <w:bookmarkStart w:id="436" w:name="_Toc494171368"/>
      <w:bookmarkStart w:id="437" w:name="_Toc494905414"/>
      <w:bookmarkStart w:id="438" w:name="_Toc495112318"/>
      <w:bookmarkStart w:id="439" w:name="_Toc536597779"/>
      <w:bookmarkStart w:id="440" w:name="_Toc17030109"/>
      <w:bookmarkStart w:id="441" w:name="_Toc17681260"/>
      <w:bookmarkStart w:id="442" w:name="_Toc25989205"/>
      <w:bookmarkStart w:id="443" w:name="_Toc25991875"/>
      <w:bookmarkStart w:id="444" w:name="_Toc29095343"/>
      <w:bookmarkStart w:id="445" w:name="_Toc96169712"/>
      <w:bookmarkStart w:id="446" w:name="_Toc96233757"/>
      <w:bookmarkStart w:id="447" w:name="_Toc112733171"/>
      <w:bookmarkStart w:id="448" w:name="_Toc289328114"/>
      <w:bookmarkStart w:id="449" w:name="_Toc312331619"/>
      <w:bookmarkStart w:id="450" w:name="_Toc214283103"/>
      <w:bookmarkStart w:id="451" w:name="_Hlk127260453"/>
      <w:r w:rsidRPr="000665B0">
        <w:t>NON-GOVERNMENT DOCUMENTS</w:t>
      </w:r>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14:paraId="0CA75A88" w14:textId="0A7589C9" w:rsidR="004C17D9" w:rsidRPr="004C17D9" w:rsidRDefault="004C17D9" w:rsidP="004C17D9">
      <w:pPr>
        <w:ind w:left="1440" w:hanging="1440"/>
      </w:pPr>
      <w:r w:rsidRPr="004C17D9">
        <w:t>SD-</w:t>
      </w:r>
      <w:r w:rsidR="00624EE7">
        <w:t>00345</w:t>
      </w:r>
      <w:r w:rsidRPr="004C17D9">
        <w:tab/>
        <w:t>Software User’s Manual (SUM) for MDS Version 8.0, Appendix S: TSRT MSTM Model Details</w:t>
      </w:r>
    </w:p>
    <w:p w14:paraId="7E4022D0" w14:textId="77777777" w:rsidR="00600F27" w:rsidRPr="00285DBF" w:rsidRDefault="00600F27" w:rsidP="00600F27">
      <w:pPr>
        <w:ind w:left="1440" w:hanging="1440"/>
      </w:pPr>
      <w:bookmarkStart w:id="452" w:name="_Toc25989206"/>
      <w:bookmarkStart w:id="453" w:name="_Hlk54084106"/>
      <w:bookmarkStart w:id="454" w:name="_Toc25991876"/>
      <w:bookmarkStart w:id="455" w:name="_Toc29095344"/>
      <w:bookmarkStart w:id="456" w:name="_Toc96169713"/>
      <w:bookmarkStart w:id="457" w:name="_Toc96233758"/>
      <w:bookmarkStart w:id="458" w:name="_Toc112733172"/>
      <w:bookmarkStart w:id="459" w:name="_Toc289328115"/>
      <w:r w:rsidRPr="00513272">
        <w:t>UD-</w:t>
      </w:r>
      <w:r>
        <w:t>05801</w:t>
      </w:r>
      <w:r>
        <w:tab/>
        <w:t>Installation and Setup Procedures (</w:t>
      </w:r>
      <w:r w:rsidRPr="002C7F99">
        <w:t>ISP</w:t>
      </w:r>
      <w:r>
        <w:t>)</w:t>
      </w:r>
      <w:r w:rsidRPr="002C7F99">
        <w:t xml:space="preserve"> for the </w:t>
      </w:r>
      <w:r>
        <w:t>Theater Mission Planning Center (TMPC) 1.1.0</w:t>
      </w:r>
      <w:r w:rsidRPr="00513272">
        <w:t xml:space="preserve"> Services Server (TS2)</w:t>
      </w:r>
    </w:p>
    <w:p w14:paraId="78846A7F" w14:textId="77777777" w:rsidR="00600F27" w:rsidRPr="007333EE" w:rsidRDefault="00600F27" w:rsidP="00600F27">
      <w:pPr>
        <w:ind w:left="1440" w:hanging="1440"/>
        <w:rPr>
          <w:szCs w:val="24"/>
          <w:shd w:val="clear" w:color="auto" w:fill="FFFFFF"/>
        </w:rPr>
      </w:pPr>
      <w:r w:rsidRPr="007333EE">
        <w:rPr>
          <w:szCs w:val="24"/>
          <w:shd w:val="clear" w:color="auto" w:fill="FFFFFF"/>
        </w:rPr>
        <w:lastRenderedPageBreak/>
        <w:t>UD-</w:t>
      </w:r>
      <w:r>
        <w:rPr>
          <w:szCs w:val="24"/>
          <w:shd w:val="clear" w:color="auto" w:fill="FFFFFF"/>
        </w:rPr>
        <w:t>05800</w:t>
      </w:r>
      <w:r w:rsidRPr="007333EE">
        <w:rPr>
          <w:szCs w:val="24"/>
          <w:shd w:val="clear" w:color="auto" w:fill="FFFFFF"/>
        </w:rPr>
        <w:tab/>
        <w:t xml:space="preserve">Installation and Setup Procedures (ISP) for the Theater Mission Planning Center (TMPC) Version </w:t>
      </w:r>
      <w:r>
        <w:rPr>
          <w:szCs w:val="24"/>
          <w:shd w:val="clear" w:color="auto" w:fill="FFFFFF"/>
        </w:rPr>
        <w:t>8</w:t>
      </w:r>
      <w:r w:rsidRPr="007333EE">
        <w:rPr>
          <w:szCs w:val="24"/>
          <w:shd w:val="clear" w:color="auto" w:fill="FFFFFF"/>
        </w:rPr>
        <w:t>.0.</w:t>
      </w:r>
      <w:r>
        <w:rPr>
          <w:szCs w:val="24"/>
          <w:shd w:val="clear" w:color="auto" w:fill="FFFFFF"/>
        </w:rPr>
        <w:t>0</w:t>
      </w:r>
      <w:r w:rsidRPr="007333EE">
        <w:rPr>
          <w:szCs w:val="24"/>
          <w:shd w:val="clear" w:color="auto" w:fill="FFFFFF"/>
        </w:rPr>
        <w:t xml:space="preserve"> CSG Configuration</w:t>
      </w:r>
    </w:p>
    <w:p w14:paraId="6919B759" w14:textId="77777777" w:rsidR="00600F27" w:rsidRPr="007333EE" w:rsidRDefault="00600F27" w:rsidP="00600F27">
      <w:pPr>
        <w:ind w:left="1440" w:hanging="1440"/>
        <w:rPr>
          <w:szCs w:val="24"/>
          <w:shd w:val="clear" w:color="auto" w:fill="FFFFFF"/>
        </w:rPr>
      </w:pPr>
      <w:r w:rsidRPr="007333EE">
        <w:rPr>
          <w:szCs w:val="24"/>
          <w:shd w:val="clear" w:color="auto" w:fill="FFFFFF"/>
        </w:rPr>
        <w:t>UD-</w:t>
      </w:r>
      <w:r>
        <w:rPr>
          <w:szCs w:val="24"/>
          <w:shd w:val="clear" w:color="auto" w:fill="FFFFFF"/>
        </w:rPr>
        <w:t>05799</w:t>
      </w:r>
      <w:r w:rsidRPr="007333EE">
        <w:rPr>
          <w:szCs w:val="24"/>
          <w:shd w:val="clear" w:color="auto" w:fill="FFFFFF"/>
        </w:rPr>
        <w:tab/>
        <w:t xml:space="preserve">Installation and Setup Procedures (ISP) for the Theater Mission Planning Center (TMPC) Version </w:t>
      </w:r>
      <w:r>
        <w:rPr>
          <w:szCs w:val="24"/>
          <w:shd w:val="clear" w:color="auto" w:fill="FFFFFF"/>
        </w:rPr>
        <w:t>8</w:t>
      </w:r>
      <w:r w:rsidRPr="007333EE">
        <w:rPr>
          <w:szCs w:val="24"/>
          <w:shd w:val="clear" w:color="auto" w:fill="FFFFFF"/>
        </w:rPr>
        <w:t>.0.</w:t>
      </w:r>
      <w:r>
        <w:rPr>
          <w:szCs w:val="24"/>
          <w:shd w:val="clear" w:color="auto" w:fill="FFFFFF"/>
        </w:rPr>
        <w:t>0</w:t>
      </w:r>
      <w:r w:rsidRPr="007333EE">
        <w:rPr>
          <w:szCs w:val="24"/>
          <w:shd w:val="clear" w:color="auto" w:fill="FFFFFF"/>
        </w:rPr>
        <w:t xml:space="preserve"> Standalone MDS Configuration</w:t>
      </w:r>
    </w:p>
    <w:p w14:paraId="7769960F" w14:textId="18F5742D" w:rsidR="00B6111A" w:rsidRPr="007333EE" w:rsidRDefault="00B6111A" w:rsidP="00B6111A">
      <w:pPr>
        <w:ind w:left="1440" w:hanging="1440"/>
        <w:rPr>
          <w:szCs w:val="24"/>
          <w:shd w:val="clear" w:color="auto" w:fill="FFFFFF"/>
        </w:rPr>
      </w:pPr>
      <w:r w:rsidRPr="007333EE">
        <w:rPr>
          <w:szCs w:val="24"/>
          <w:shd w:val="clear" w:color="auto" w:fill="FFFFFF"/>
        </w:rPr>
        <w:t>UD-</w:t>
      </w:r>
      <w:r w:rsidR="0043211C">
        <w:rPr>
          <w:szCs w:val="24"/>
          <w:shd w:val="clear" w:color="auto" w:fill="FFFFFF"/>
        </w:rPr>
        <w:t>05798</w:t>
      </w:r>
      <w:r w:rsidRPr="007333EE">
        <w:rPr>
          <w:szCs w:val="24"/>
          <w:shd w:val="clear" w:color="auto" w:fill="FFFFFF"/>
        </w:rPr>
        <w:tab/>
        <w:t xml:space="preserve">Installation and Setup Procedures (ISP) for the Theater Mission Planning Center (TMPC) Version </w:t>
      </w:r>
      <w:r>
        <w:rPr>
          <w:szCs w:val="24"/>
          <w:shd w:val="clear" w:color="auto" w:fill="FFFFFF"/>
        </w:rPr>
        <w:t>8</w:t>
      </w:r>
      <w:r w:rsidRPr="007333EE">
        <w:rPr>
          <w:szCs w:val="24"/>
          <w:shd w:val="clear" w:color="auto" w:fill="FFFFFF"/>
        </w:rPr>
        <w:t>.0.</w:t>
      </w:r>
      <w:r>
        <w:rPr>
          <w:szCs w:val="24"/>
          <w:shd w:val="clear" w:color="auto" w:fill="FFFFFF"/>
        </w:rPr>
        <w:t>0</w:t>
      </w:r>
      <w:r w:rsidRPr="007333EE">
        <w:rPr>
          <w:szCs w:val="24"/>
          <w:shd w:val="clear" w:color="auto" w:fill="FFFFFF"/>
        </w:rPr>
        <w:t xml:space="preserve"> FRU Configuration</w:t>
      </w:r>
    </w:p>
    <w:p w14:paraId="026365C4" w14:textId="4AE6466F" w:rsidR="00B6111A" w:rsidRDefault="00B6111A" w:rsidP="00B6111A">
      <w:pPr>
        <w:ind w:left="1440" w:hanging="1440"/>
        <w:rPr>
          <w:szCs w:val="24"/>
          <w:shd w:val="clear" w:color="auto" w:fill="FFFFFF"/>
        </w:rPr>
      </w:pPr>
      <w:r w:rsidRPr="007333EE">
        <w:rPr>
          <w:szCs w:val="24"/>
          <w:shd w:val="clear" w:color="auto" w:fill="FFFFFF"/>
        </w:rPr>
        <w:t>UD-</w:t>
      </w:r>
      <w:r w:rsidR="0043211C">
        <w:rPr>
          <w:szCs w:val="24"/>
          <w:shd w:val="clear" w:color="auto" w:fill="FFFFFF"/>
        </w:rPr>
        <w:t>05797</w:t>
      </w:r>
      <w:r w:rsidRPr="007333EE">
        <w:rPr>
          <w:szCs w:val="24"/>
          <w:shd w:val="clear" w:color="auto" w:fill="FFFFFF"/>
        </w:rPr>
        <w:tab/>
        <w:t xml:space="preserve">Installation and Setup Procedures (ISP) for the Theater Mission Planning Center (TMPC) Version </w:t>
      </w:r>
      <w:r>
        <w:rPr>
          <w:szCs w:val="24"/>
          <w:shd w:val="clear" w:color="auto" w:fill="FFFFFF"/>
        </w:rPr>
        <w:t>8.</w:t>
      </w:r>
      <w:r w:rsidRPr="007333EE">
        <w:rPr>
          <w:szCs w:val="24"/>
          <w:shd w:val="clear" w:color="auto" w:fill="FFFFFF"/>
        </w:rPr>
        <w:t>0.</w:t>
      </w:r>
      <w:r>
        <w:rPr>
          <w:szCs w:val="24"/>
          <w:shd w:val="clear" w:color="auto" w:fill="FFFFFF"/>
        </w:rPr>
        <w:t>0</w:t>
      </w:r>
      <w:r w:rsidRPr="007333EE">
        <w:rPr>
          <w:szCs w:val="24"/>
          <w:shd w:val="clear" w:color="auto" w:fill="FFFFFF"/>
        </w:rPr>
        <w:t xml:space="preserve"> CMSA Configuration</w:t>
      </w:r>
    </w:p>
    <w:p w14:paraId="03B615FD" w14:textId="77777777" w:rsidR="00B6111A" w:rsidRPr="000665B0" w:rsidRDefault="00B6111A" w:rsidP="00B6111A">
      <w:pPr>
        <w:pStyle w:val="Heading3"/>
      </w:pPr>
      <w:bookmarkStart w:id="460" w:name="_Toc312331620"/>
      <w:bookmarkStart w:id="461" w:name="_Toc483631433"/>
      <w:bookmarkStart w:id="462" w:name="_Toc492795461"/>
      <w:bookmarkStart w:id="463" w:name="_Toc492795547"/>
      <w:bookmarkStart w:id="464" w:name="_Toc492795633"/>
      <w:bookmarkStart w:id="465" w:name="_Toc492796163"/>
      <w:bookmarkStart w:id="466" w:name="_Toc492796316"/>
      <w:bookmarkStart w:id="467" w:name="_Toc492796807"/>
      <w:bookmarkStart w:id="468" w:name="_Toc492797422"/>
      <w:bookmarkStart w:id="469" w:name="_Toc492797893"/>
      <w:bookmarkStart w:id="470" w:name="_Toc492797983"/>
      <w:bookmarkStart w:id="471" w:name="_Toc492798070"/>
      <w:bookmarkStart w:id="472" w:name="_Toc492798526"/>
      <w:bookmarkStart w:id="473" w:name="_Toc492881903"/>
      <w:bookmarkStart w:id="474" w:name="_Toc493009242"/>
      <w:bookmarkStart w:id="475" w:name="_Toc493466429"/>
      <w:bookmarkStart w:id="476" w:name="_Toc493466680"/>
      <w:bookmarkStart w:id="477" w:name="_Toc493466889"/>
      <w:bookmarkStart w:id="478" w:name="_Toc493467184"/>
      <w:bookmarkStart w:id="479" w:name="_Toc493467322"/>
      <w:bookmarkStart w:id="480" w:name="_Toc493467391"/>
      <w:bookmarkStart w:id="481" w:name="_Toc493473553"/>
      <w:bookmarkStart w:id="482" w:name="_Toc493474260"/>
      <w:bookmarkStart w:id="483" w:name="_Toc493474437"/>
      <w:bookmarkStart w:id="484" w:name="_Toc493486267"/>
      <w:bookmarkStart w:id="485" w:name="_Toc493555459"/>
      <w:bookmarkStart w:id="486" w:name="_Toc494170675"/>
      <w:bookmarkStart w:id="487" w:name="_Toc494171213"/>
      <w:bookmarkStart w:id="488" w:name="_Toc494171291"/>
      <w:bookmarkStart w:id="489" w:name="_Toc494171369"/>
      <w:bookmarkStart w:id="490" w:name="_Toc494905415"/>
      <w:bookmarkStart w:id="491" w:name="_Toc495112319"/>
      <w:bookmarkStart w:id="492" w:name="_Toc536597780"/>
      <w:bookmarkStart w:id="493" w:name="_Toc17030110"/>
      <w:bookmarkStart w:id="494" w:name="_Toc17681261"/>
      <w:bookmarkStart w:id="495" w:name="_Toc25989207"/>
      <w:bookmarkStart w:id="496" w:name="_Toc214283104"/>
      <w:bookmarkEnd w:id="407"/>
      <w:bookmarkEnd w:id="451"/>
      <w:bookmarkEnd w:id="452"/>
      <w:bookmarkEnd w:id="453"/>
      <w:r w:rsidRPr="000665B0">
        <w:t>Other Publications</w:t>
      </w:r>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14:paraId="7B7648DF" w14:textId="1A9BC267" w:rsidR="00B6111A" w:rsidRPr="000665B0" w:rsidRDefault="00B6111A" w:rsidP="00B6111A">
      <w:pPr>
        <w:spacing w:after="0"/>
      </w:pPr>
      <w:r w:rsidRPr="000665B0">
        <w:t>N/A</w:t>
      </w:r>
    </w:p>
    <w:p w14:paraId="3890EE88" w14:textId="77777777" w:rsidR="00A316EA" w:rsidRDefault="00A316EA" w:rsidP="007107FA">
      <w:pPr>
        <w:pStyle w:val="Heading1"/>
      </w:pPr>
      <w:bookmarkStart w:id="497" w:name="_SOFTWARE_SUMMARY_1"/>
      <w:bookmarkEnd w:id="497"/>
      <w:r>
        <w:br w:type="page"/>
      </w:r>
      <w:bookmarkStart w:id="498" w:name="_SOFTWARE_SUMMARY_2"/>
      <w:bookmarkStart w:id="499" w:name="_Toc214283105"/>
      <w:bookmarkEnd w:id="498"/>
      <w:r w:rsidR="009319FE" w:rsidRPr="000665B0">
        <w:lastRenderedPageBreak/>
        <w:t>SOFTWARE</w:t>
      </w:r>
      <w:bookmarkEnd w:id="313"/>
      <w:r w:rsidR="009319FE" w:rsidRPr="000665B0">
        <w:t xml:space="preserve"> SUMMARY</w:t>
      </w:r>
      <w:bookmarkEnd w:id="499"/>
    </w:p>
    <w:p w14:paraId="026C3594" w14:textId="3B4B3865" w:rsidR="008264B4" w:rsidRPr="000665B0" w:rsidRDefault="008264B4" w:rsidP="007107FA">
      <w:pPr>
        <w:pStyle w:val="Heading2"/>
        <w:spacing w:before="240"/>
      </w:pPr>
      <w:bookmarkStart w:id="500" w:name="_Toc214283106"/>
      <w:r w:rsidRPr="000665B0">
        <w:t>SOFTWARE APPLICATION</w:t>
      </w:r>
      <w:bookmarkEnd w:id="500"/>
    </w:p>
    <w:p w14:paraId="0C502099" w14:textId="714CA053" w:rsidR="008264B4" w:rsidRPr="000665B0" w:rsidRDefault="009E4B58" w:rsidP="002530CA">
      <w:pPr>
        <w:spacing w:before="120"/>
      </w:pPr>
      <w:r w:rsidRPr="000665B0">
        <w:t xml:space="preserve">See </w:t>
      </w:r>
      <w:hyperlink w:anchor="_SYSTEM_OVERVIEW" w:history="1">
        <w:r w:rsidRPr="000665B0">
          <w:rPr>
            <w:rStyle w:val="Hyperlink"/>
          </w:rPr>
          <w:t>Section 1.2</w:t>
        </w:r>
      </w:hyperlink>
      <w:r w:rsidRPr="000665B0">
        <w:t xml:space="preserve"> for a description of t</w:t>
      </w:r>
      <w:r w:rsidR="008264B4" w:rsidRPr="000665B0">
        <w:t xml:space="preserve">he intended use of the MDS </w:t>
      </w:r>
      <w:r w:rsidR="00194841">
        <w:t>8</w:t>
      </w:r>
      <w:r w:rsidR="00EA12C2" w:rsidRPr="000665B0">
        <w:t>.0</w:t>
      </w:r>
      <w:r w:rsidR="008264B4" w:rsidRPr="000665B0">
        <w:t xml:space="preserve"> software</w:t>
      </w:r>
      <w:r w:rsidR="00320ABA" w:rsidRPr="000665B0">
        <w:t>.</w:t>
      </w:r>
      <w:r w:rsidR="008264B4" w:rsidRPr="000665B0">
        <w:t xml:space="preserve"> </w:t>
      </w:r>
    </w:p>
    <w:p w14:paraId="78FF390A" w14:textId="4FBF441F" w:rsidR="008264B4" w:rsidRPr="000665B0" w:rsidRDefault="008264B4" w:rsidP="007107FA">
      <w:pPr>
        <w:pStyle w:val="Heading2"/>
        <w:spacing w:before="240"/>
      </w:pPr>
      <w:bookmarkStart w:id="501" w:name="_Toc214283107"/>
      <w:r w:rsidRPr="000665B0">
        <w:t>SOFTWARE INVENTORY</w:t>
      </w:r>
      <w:bookmarkEnd w:id="501"/>
    </w:p>
    <w:p w14:paraId="723C32F3" w14:textId="3D93772A" w:rsidR="008264B4" w:rsidRPr="000665B0" w:rsidRDefault="008264B4" w:rsidP="002530CA">
      <w:pPr>
        <w:spacing w:before="120"/>
      </w:pPr>
      <w:r w:rsidRPr="000665B0">
        <w:t xml:space="preserve">The software files necessary for installation of the application for the software to operate are identified in the Installation and Setup Procedures (ISP) documents for the various configurations (CMSA/TSMPC, CSG, </w:t>
      </w:r>
      <w:r w:rsidR="008D07DB" w:rsidRPr="000665B0">
        <w:t>Standalone MDS</w:t>
      </w:r>
      <w:r w:rsidRPr="000665B0">
        <w:t>, and FRU). Refer to the ISP pertaining to the site configuration for the list of files and instructions for installation.</w:t>
      </w:r>
      <w:r w:rsidR="009651B0">
        <w:t xml:space="preserve"> </w:t>
      </w:r>
    </w:p>
    <w:p w14:paraId="0A7B8ECA" w14:textId="77777777" w:rsidR="008264B4" w:rsidRPr="000665B0" w:rsidRDefault="008264B4" w:rsidP="002530CA">
      <w:pPr>
        <w:spacing w:before="120"/>
      </w:pPr>
      <w:r w:rsidRPr="000665B0">
        <w:t>The MDS application file is classified at the Secret level. Refer to the ISP for classification of the system and software files.</w:t>
      </w:r>
    </w:p>
    <w:p w14:paraId="41218E42" w14:textId="77A53366" w:rsidR="008264B4" w:rsidRPr="000665B0" w:rsidRDefault="008264B4" w:rsidP="00C32ED9">
      <w:pPr>
        <w:pStyle w:val="Heading2"/>
        <w:spacing w:before="240"/>
      </w:pPr>
      <w:bookmarkStart w:id="502" w:name="_Toc214283108"/>
      <w:r w:rsidRPr="000665B0">
        <w:t>SOFTWARE ENVIRONMENT</w:t>
      </w:r>
      <w:bookmarkEnd w:id="502"/>
    </w:p>
    <w:p w14:paraId="3F5B60A1" w14:textId="77777777" w:rsidR="008264B4" w:rsidRPr="000665B0" w:rsidRDefault="008264B4" w:rsidP="008264B4">
      <w:r w:rsidRPr="000665B0">
        <w:t>The hardware, software and other resources needed for a user to install and run the software are identified in the IS</w:t>
      </w:r>
      <w:r w:rsidR="00A063AB" w:rsidRPr="000665B0">
        <w:t xml:space="preserve">P for each site configuration. </w:t>
      </w:r>
      <w:r w:rsidRPr="000665B0">
        <w:t>The runtime environment software (operating system, database files, etc.), ancillary applications (document format reader, virus protection software, etc.) and Government-Off-The-Shelf (GOTS) software (applications, etc.) are listed. Information necessary for installation of the software is also provided in these documents.</w:t>
      </w:r>
    </w:p>
    <w:p w14:paraId="2F96D47C" w14:textId="17B1BD9A" w:rsidR="008264B4" w:rsidRPr="000665B0" w:rsidRDefault="008264B4" w:rsidP="00C32ED9">
      <w:pPr>
        <w:pStyle w:val="Heading2"/>
        <w:spacing w:before="240"/>
      </w:pPr>
      <w:bookmarkStart w:id="503" w:name="_Toc214283109"/>
      <w:r w:rsidRPr="000665B0">
        <w:t>SOFTWARE ORGANIZATION</w:t>
      </w:r>
      <w:bookmarkEnd w:id="503"/>
    </w:p>
    <w:p w14:paraId="48626446" w14:textId="3B1A271E" w:rsidR="008264B4" w:rsidRPr="000665B0" w:rsidRDefault="009E4B58" w:rsidP="00A92A67">
      <w:r w:rsidRPr="000665B0">
        <w:t xml:space="preserve">See </w:t>
      </w:r>
      <w:hyperlink w:anchor="_MDS_FUNCTIONS" w:history="1">
        <w:r w:rsidRPr="000665B0">
          <w:rPr>
            <w:rStyle w:val="Hyperlink"/>
          </w:rPr>
          <w:t xml:space="preserve">Section </w:t>
        </w:r>
        <w:r w:rsidR="00F95BC9" w:rsidRPr="000665B0">
          <w:rPr>
            <w:rStyle w:val="Hyperlink"/>
          </w:rPr>
          <w:t>5.0</w:t>
        </w:r>
      </w:hyperlink>
      <w:r w:rsidRPr="000665B0">
        <w:t xml:space="preserve"> for a description of t</w:t>
      </w:r>
      <w:r w:rsidR="008264B4" w:rsidRPr="000665B0">
        <w:t>he organization and operation of the MDS software from a user’s perspective</w:t>
      </w:r>
      <w:r w:rsidR="00DB0281" w:rsidRPr="000665B0">
        <w:t>.</w:t>
      </w:r>
    </w:p>
    <w:p w14:paraId="01ADB95C" w14:textId="18C38601" w:rsidR="008264B4" w:rsidRPr="000665B0" w:rsidRDefault="008264B4" w:rsidP="00C32ED9">
      <w:pPr>
        <w:pStyle w:val="Heading2"/>
        <w:spacing w:before="240"/>
      </w:pPr>
      <w:bookmarkStart w:id="504" w:name="_Toc214283110"/>
      <w:r w:rsidRPr="000665B0">
        <w:t>CONTINGENCIES AND ALTERNATE MODES OF OPERATION</w:t>
      </w:r>
      <w:bookmarkEnd w:id="504"/>
    </w:p>
    <w:p w14:paraId="00ACAF6E" w14:textId="77777777" w:rsidR="008264B4" w:rsidRPr="000665B0" w:rsidRDefault="008264B4" w:rsidP="008264B4">
      <w:r w:rsidRPr="000665B0">
        <w:t>Not applicable.</w:t>
      </w:r>
    </w:p>
    <w:p w14:paraId="57C6759D" w14:textId="77777777" w:rsidR="00F15C2C" w:rsidRPr="000665B0" w:rsidRDefault="00F15C2C" w:rsidP="00C32ED9">
      <w:pPr>
        <w:pStyle w:val="Heading2"/>
        <w:spacing w:before="240"/>
      </w:pPr>
      <w:bookmarkStart w:id="505" w:name="_Toc214283111"/>
      <w:r w:rsidRPr="000665B0">
        <w:t>SECURITY AND PRIVACY</w:t>
      </w:r>
      <w:bookmarkEnd w:id="505"/>
      <w:r w:rsidRPr="000665B0">
        <w:t xml:space="preserve"> </w:t>
      </w:r>
    </w:p>
    <w:p w14:paraId="739AE518" w14:textId="35A95871" w:rsidR="00F15C2C" w:rsidRPr="000665B0" w:rsidRDefault="00F15C2C" w:rsidP="00F15C2C">
      <w:r w:rsidRPr="000665B0">
        <w:t>Security procedures are applied to the TMPC software application of which this MDS software is a component.</w:t>
      </w:r>
    </w:p>
    <w:p w14:paraId="1853BA7D" w14:textId="77777777" w:rsidR="00F15C2C" w:rsidRPr="000665B0" w:rsidRDefault="00F15C2C" w:rsidP="00F15C2C">
      <w:r w:rsidRPr="000665B0">
        <w:t>There are no other applicable contingencies or alternate states or modes of operation.</w:t>
      </w:r>
    </w:p>
    <w:p w14:paraId="43BD91EC" w14:textId="1D12AE2F" w:rsidR="008264B4" w:rsidRPr="000665B0" w:rsidRDefault="008264B4" w:rsidP="00C32ED9">
      <w:pPr>
        <w:pStyle w:val="Heading2"/>
        <w:spacing w:before="240"/>
      </w:pPr>
      <w:bookmarkStart w:id="506" w:name="_Toc214283112"/>
      <w:r w:rsidRPr="000665B0">
        <w:t>ASSISTANCE AND PROBLEM REPORTING</w:t>
      </w:r>
      <w:bookmarkEnd w:id="506"/>
    </w:p>
    <w:p w14:paraId="5A93DB22" w14:textId="548BC7CE" w:rsidR="008264B4" w:rsidRPr="000665B0" w:rsidRDefault="008264B4" w:rsidP="008264B4">
      <w:r w:rsidRPr="000665B0">
        <w:t xml:space="preserve">Refer to the </w:t>
      </w:r>
      <w:r w:rsidR="007F55D3">
        <w:t>TMPC</w:t>
      </w:r>
      <w:r w:rsidRPr="000665B0">
        <w:t xml:space="preserve"> Help</w:t>
      </w:r>
      <w:r w:rsidR="00C978A8" w:rsidRPr="000665B0">
        <w:t xml:space="preserve"> </w:t>
      </w:r>
      <w:r w:rsidRPr="000665B0">
        <w:t>Desk and Contact</w:t>
      </w:r>
      <w:r w:rsidR="00BF3552">
        <w:t>s</w:t>
      </w:r>
      <w:r w:rsidRPr="000665B0">
        <w:t xml:space="preserve"> information </w:t>
      </w:r>
      <w:r w:rsidR="009E4B58" w:rsidRPr="000665B0">
        <w:t>(see</w:t>
      </w:r>
      <w:r w:rsidRPr="000665B0">
        <w:t xml:space="preserve"> </w:t>
      </w:r>
      <w:hyperlink w:anchor="Appendix_U" w:history="1">
        <w:r w:rsidR="003E57B7" w:rsidRPr="000665B0">
          <w:rPr>
            <w:rStyle w:val="Hyperlink"/>
          </w:rPr>
          <w:t xml:space="preserve">Appendix </w:t>
        </w:r>
        <w:r w:rsidR="007F55D3">
          <w:rPr>
            <w:rStyle w:val="Hyperlink"/>
          </w:rPr>
          <w:t>U</w:t>
        </w:r>
      </w:hyperlink>
      <w:r w:rsidR="009E4B58" w:rsidRPr="00E3731C">
        <w:rPr>
          <w:rStyle w:val="Hyperlink"/>
          <w:color w:val="auto"/>
          <w:u w:val="none"/>
        </w:rPr>
        <w:t>)</w:t>
      </w:r>
      <w:r w:rsidR="003E57B7" w:rsidRPr="000665B0">
        <w:t xml:space="preserve"> </w:t>
      </w:r>
      <w:r w:rsidRPr="000665B0">
        <w:t>for assistance and problem reporting.</w:t>
      </w:r>
    </w:p>
    <w:p w14:paraId="754A7D5E" w14:textId="77777777" w:rsidR="008264B4" w:rsidRPr="000665B0" w:rsidRDefault="008264B4" w:rsidP="008264B4"/>
    <w:p w14:paraId="2B1B9EBD" w14:textId="77777777" w:rsidR="00A316EA" w:rsidRDefault="00A316EA" w:rsidP="006D5A65">
      <w:pPr>
        <w:pStyle w:val="Heading1"/>
      </w:pPr>
      <w:r>
        <w:br w:type="page"/>
      </w:r>
      <w:bookmarkStart w:id="507" w:name="_SECTION_4_SOFTWARE_1"/>
      <w:bookmarkStart w:id="508" w:name="_Toc214283113"/>
      <w:bookmarkEnd w:id="507"/>
      <w:r w:rsidR="009319FE" w:rsidRPr="000665B0">
        <w:lastRenderedPageBreak/>
        <w:t>SOFTWARE ACCESS, INSTALL, DE-INSTALL, AND INITIALIZATION</w:t>
      </w:r>
      <w:bookmarkEnd w:id="314"/>
      <w:bookmarkEnd w:id="315"/>
      <w:bookmarkEnd w:id="316"/>
      <w:bookmarkEnd w:id="317"/>
      <w:bookmarkEnd w:id="318"/>
      <w:bookmarkEnd w:id="508"/>
    </w:p>
    <w:p w14:paraId="74C1EF15" w14:textId="70B1081B" w:rsidR="001077CA" w:rsidRPr="000665B0" w:rsidRDefault="001077CA" w:rsidP="00C32ED9">
      <w:pPr>
        <w:pStyle w:val="Heading2"/>
        <w:spacing w:before="240"/>
        <w:rPr>
          <w:szCs w:val="24"/>
        </w:rPr>
      </w:pPr>
      <w:bookmarkStart w:id="509" w:name="_4.4.1__Valid"/>
      <w:bookmarkStart w:id="510" w:name="_Toc214283114"/>
      <w:bookmarkStart w:id="511" w:name="_Toc96169719"/>
      <w:bookmarkStart w:id="512" w:name="_Toc96233764"/>
      <w:bookmarkStart w:id="513" w:name="_Toc112733178"/>
      <w:bookmarkStart w:id="514" w:name="_Toc171731831"/>
      <w:bookmarkStart w:id="515" w:name="_Toc192556385"/>
      <w:bookmarkEnd w:id="509"/>
      <w:r w:rsidRPr="000665B0">
        <w:t>MDS OPERATIONAL ENVIRONMENT</w:t>
      </w:r>
      <w:bookmarkEnd w:id="510"/>
    </w:p>
    <w:p w14:paraId="4EFE00C6" w14:textId="77777777" w:rsidR="00B214AE" w:rsidRPr="000665B0" w:rsidRDefault="00B214AE" w:rsidP="00B214AE">
      <w:pPr>
        <w:autoSpaceDE w:val="0"/>
        <w:autoSpaceDN w:val="0"/>
        <w:adjustRightInd w:val="0"/>
        <w:rPr>
          <w:szCs w:val="24"/>
        </w:rPr>
      </w:pPr>
      <w:r w:rsidRPr="000665B0">
        <w:rPr>
          <w:szCs w:val="24"/>
        </w:rPr>
        <w:t>The MDS is a computer-based system dedicated to the function of performing the tasks required for planning Launch Area Coordination (</w:t>
      </w:r>
      <w:r w:rsidRPr="000665B0">
        <w:rPr>
          <w:b/>
          <w:szCs w:val="24"/>
        </w:rPr>
        <w:t>LAC</w:t>
      </w:r>
      <w:r w:rsidRPr="000665B0">
        <w:rPr>
          <w:szCs w:val="24"/>
        </w:rPr>
        <w:t>), generating Electronic Strike Plans (</w:t>
      </w:r>
      <w:r w:rsidRPr="000665B0">
        <w:rPr>
          <w:b/>
          <w:szCs w:val="24"/>
        </w:rPr>
        <w:t>ESPs</w:t>
      </w:r>
      <w:r w:rsidRPr="000665B0">
        <w:rPr>
          <w:szCs w:val="24"/>
        </w:rPr>
        <w:t>) and missions in support of the Tomahawk system, but this MDS computer can also be used for LAC functions.</w:t>
      </w:r>
    </w:p>
    <w:p w14:paraId="0170876C" w14:textId="77777777" w:rsidR="00B214AE" w:rsidRPr="000665B0" w:rsidRDefault="00B214AE" w:rsidP="00B214AE">
      <w:pPr>
        <w:autoSpaceDE w:val="0"/>
        <w:autoSpaceDN w:val="0"/>
        <w:adjustRightInd w:val="0"/>
        <w:rPr>
          <w:szCs w:val="24"/>
        </w:rPr>
      </w:pPr>
      <w:r w:rsidRPr="000665B0">
        <w:rPr>
          <w:szCs w:val="24"/>
        </w:rPr>
        <w:t xml:space="preserve">When housed at a CMSA, </w:t>
      </w:r>
      <w:r w:rsidR="004F6AE2" w:rsidRPr="000665B0">
        <w:rPr>
          <w:szCs w:val="24"/>
        </w:rPr>
        <w:t>TSMPC</w:t>
      </w:r>
      <w:r w:rsidRPr="000665B0">
        <w:rPr>
          <w:szCs w:val="24"/>
        </w:rPr>
        <w:t xml:space="preserve">, or </w:t>
      </w:r>
      <w:r w:rsidR="00262350" w:rsidRPr="000665B0">
        <w:rPr>
          <w:szCs w:val="24"/>
        </w:rPr>
        <w:t xml:space="preserve">Standalone MDS </w:t>
      </w:r>
      <w:r w:rsidRPr="000665B0">
        <w:rPr>
          <w:szCs w:val="24"/>
        </w:rPr>
        <w:t xml:space="preserve">node, MDS runs at the Top Secret level in a Top Secret environment. As such, MDS will adhere to the physical security policies of the local site. </w:t>
      </w:r>
    </w:p>
    <w:p w14:paraId="5507E564" w14:textId="5C8CF9F7" w:rsidR="001077CA" w:rsidRPr="000665B0" w:rsidRDefault="00A42822" w:rsidP="00A92A67">
      <w:pPr>
        <w:autoSpaceDE w:val="0"/>
        <w:autoSpaceDN w:val="0"/>
        <w:adjustRightInd w:val="0"/>
        <w:rPr>
          <w:szCs w:val="24"/>
        </w:rPr>
      </w:pPr>
      <w:r w:rsidRPr="000665B0">
        <w:rPr>
          <w:szCs w:val="24"/>
        </w:rPr>
        <w:t>When on a Tomahawk FRU, the MDS equipment is housed in the Combat Information Center (</w:t>
      </w:r>
      <w:r w:rsidRPr="000665B0">
        <w:rPr>
          <w:b/>
          <w:szCs w:val="24"/>
        </w:rPr>
        <w:t>CIC</w:t>
      </w:r>
      <w:r w:rsidRPr="000665B0">
        <w:rPr>
          <w:szCs w:val="24"/>
        </w:rPr>
        <w:t xml:space="preserve">). The CIC is cleared to operate at a security classification level of “open” Secret. This means no special action is required to protect or obscure from view this </w:t>
      </w:r>
      <w:r w:rsidR="00553AE7" w:rsidRPr="000665B0">
        <w:rPr>
          <w:szCs w:val="24"/>
        </w:rPr>
        <w:t>S</w:t>
      </w:r>
      <w:r w:rsidRPr="000665B0">
        <w:rPr>
          <w:szCs w:val="24"/>
        </w:rPr>
        <w:t>ecret data</w:t>
      </w:r>
      <w:r w:rsidR="00553AE7" w:rsidRPr="000665B0">
        <w:rPr>
          <w:szCs w:val="24"/>
        </w:rPr>
        <w:t>,</w:t>
      </w:r>
      <w:r w:rsidRPr="000665B0">
        <w:rPr>
          <w:szCs w:val="24"/>
        </w:rPr>
        <w:t xml:space="preserve"> since personnel authorized to be in the CIC are cleared for at least </w:t>
      </w:r>
      <w:r w:rsidR="00553AE7" w:rsidRPr="000665B0">
        <w:rPr>
          <w:szCs w:val="24"/>
        </w:rPr>
        <w:t>S</w:t>
      </w:r>
      <w:r w:rsidRPr="000665B0">
        <w:rPr>
          <w:szCs w:val="24"/>
        </w:rPr>
        <w:t>ecret data</w:t>
      </w:r>
      <w:r w:rsidR="0043477C">
        <w:rPr>
          <w:szCs w:val="24"/>
        </w:rPr>
        <w:t>.</w:t>
      </w:r>
    </w:p>
    <w:p w14:paraId="2AF81F26" w14:textId="5290D524" w:rsidR="001077CA" w:rsidRPr="000665B0" w:rsidRDefault="001077CA" w:rsidP="00C32ED9">
      <w:pPr>
        <w:pStyle w:val="Heading2"/>
        <w:spacing w:before="240"/>
      </w:pPr>
      <w:bookmarkStart w:id="516" w:name="_Toc96169720"/>
      <w:bookmarkStart w:id="517" w:name="_Toc96233765"/>
      <w:bookmarkStart w:id="518" w:name="_Toc112733179"/>
      <w:bookmarkStart w:id="519" w:name="_Toc214283115"/>
      <w:r w:rsidRPr="000665B0">
        <w:t>INSTALLATION/UNINSTALLATION OVERVIEW</w:t>
      </w:r>
      <w:bookmarkEnd w:id="516"/>
      <w:bookmarkEnd w:id="517"/>
      <w:bookmarkEnd w:id="518"/>
      <w:bookmarkEnd w:id="519"/>
    </w:p>
    <w:p w14:paraId="0BCFB060" w14:textId="77777777" w:rsidR="001077CA" w:rsidRPr="000665B0" w:rsidRDefault="001077CA" w:rsidP="001077CA">
      <w:r w:rsidRPr="000665B0">
        <w:t xml:space="preserve">Before installing any MDS software, it is mandatory that any current version on the system be removed. </w:t>
      </w:r>
    </w:p>
    <w:p w14:paraId="39AE15DD" w14:textId="77777777" w:rsidR="001077CA" w:rsidRPr="000665B0" w:rsidRDefault="001077CA" w:rsidP="001077CA">
      <w:pPr>
        <w:spacing w:after="0"/>
      </w:pPr>
      <w:r w:rsidRPr="000665B0">
        <w:t>If re-installing or upgrading from a previous version, backup the existing database to prevent data loss. Upon completion of backups and uninstall, MDS can be safely installed. For instructions on how to Install/Uninstall MDS refer to the appropriate ISP.</w:t>
      </w:r>
    </w:p>
    <w:p w14:paraId="66898198" w14:textId="194D9E1F" w:rsidR="001077CA" w:rsidRPr="000665B0" w:rsidRDefault="001077CA" w:rsidP="00C32ED9">
      <w:pPr>
        <w:pStyle w:val="Heading2"/>
        <w:spacing w:before="240"/>
      </w:pPr>
      <w:bookmarkStart w:id="520" w:name="_Toc96169721"/>
      <w:bookmarkStart w:id="521" w:name="_Toc96233766"/>
      <w:bookmarkStart w:id="522" w:name="_Toc112733180"/>
      <w:bookmarkStart w:id="523" w:name="_Toc214283116"/>
      <w:r w:rsidRPr="000665B0">
        <w:t>FIRST-TIME USER OF THE SOFTWARE</w:t>
      </w:r>
      <w:bookmarkEnd w:id="520"/>
      <w:bookmarkEnd w:id="521"/>
      <w:bookmarkEnd w:id="522"/>
      <w:bookmarkEnd w:id="523"/>
    </w:p>
    <w:p w14:paraId="443D9AE8" w14:textId="68EAEED1" w:rsidR="001077CA" w:rsidRPr="000665B0" w:rsidRDefault="001077CA" w:rsidP="009570CA">
      <w:pPr>
        <w:pStyle w:val="Heading3"/>
        <w:keepNext w:val="0"/>
      </w:pPr>
      <w:bookmarkStart w:id="524" w:name="_Toc96169722"/>
      <w:bookmarkStart w:id="525" w:name="_Toc96233767"/>
      <w:bookmarkStart w:id="526" w:name="_Toc112733181"/>
      <w:bookmarkStart w:id="527" w:name="_Toc214283117"/>
      <w:r w:rsidRPr="000665B0">
        <w:t>Equipment Familiarization</w:t>
      </w:r>
      <w:bookmarkEnd w:id="524"/>
      <w:bookmarkEnd w:id="525"/>
      <w:bookmarkEnd w:id="526"/>
      <w:bookmarkEnd w:id="527"/>
      <w:r w:rsidRPr="000665B0">
        <w:t xml:space="preserve"> </w:t>
      </w:r>
    </w:p>
    <w:p w14:paraId="0A6C8556" w14:textId="626E6865" w:rsidR="001077CA" w:rsidRPr="000665B0" w:rsidRDefault="001077CA" w:rsidP="001077CA">
      <w:pPr>
        <w:spacing w:after="0"/>
      </w:pPr>
      <w:bookmarkStart w:id="528" w:name="_Toc96169723"/>
      <w:bookmarkStart w:id="529" w:name="_Toc96233768"/>
      <w:bookmarkStart w:id="530" w:name="_Toc112733182"/>
      <w:r w:rsidRPr="000665B0">
        <w:t xml:space="preserve">MDS </w:t>
      </w:r>
      <w:r w:rsidR="00194841">
        <w:t>8</w:t>
      </w:r>
      <w:r w:rsidR="00EA12C2" w:rsidRPr="000665B0">
        <w:t>.0</w:t>
      </w:r>
      <w:r w:rsidR="00397D21">
        <w:t xml:space="preserve">.x </w:t>
      </w:r>
      <w:r w:rsidRPr="000665B0">
        <w:t>may be installed on desktop and laptop systems running Windows</w:t>
      </w:r>
      <w:r w:rsidR="00A2147F" w:rsidRPr="000665B0">
        <w:t xml:space="preserve"> </w:t>
      </w:r>
      <w:r w:rsidRPr="000665B0">
        <w:t xml:space="preserve">operating systems (refer to the appropriate configuration ISP documentation). </w:t>
      </w:r>
    </w:p>
    <w:p w14:paraId="0043D990" w14:textId="17D8A48A" w:rsidR="001077CA" w:rsidRPr="000665B0" w:rsidRDefault="001077CA" w:rsidP="009570CA">
      <w:pPr>
        <w:pStyle w:val="Heading3"/>
        <w:keepNext w:val="0"/>
      </w:pPr>
      <w:bookmarkStart w:id="531" w:name="_Toc214283118"/>
      <w:r w:rsidRPr="000665B0">
        <w:t>Upgrading Software</w:t>
      </w:r>
      <w:bookmarkEnd w:id="528"/>
      <w:bookmarkEnd w:id="529"/>
      <w:bookmarkEnd w:id="530"/>
      <w:bookmarkEnd w:id="531"/>
    </w:p>
    <w:p w14:paraId="7C56D95D" w14:textId="41440AE9" w:rsidR="001077CA" w:rsidRPr="000665B0" w:rsidRDefault="009A4A04" w:rsidP="00172AD0">
      <w:pPr>
        <w:spacing w:after="0"/>
      </w:pPr>
      <w:r w:rsidRPr="000665B0">
        <w:t>Refer to the ISP pertaining to the site configuration for the instructions on re-installing MDS and migrating TED data.</w:t>
      </w:r>
    </w:p>
    <w:p w14:paraId="2ADDBEFF" w14:textId="51B7CF25" w:rsidR="001077CA" w:rsidRPr="000665B0" w:rsidRDefault="00165382" w:rsidP="00C32ED9">
      <w:pPr>
        <w:pStyle w:val="Heading2"/>
        <w:spacing w:before="240"/>
      </w:pPr>
      <w:bookmarkStart w:id="532" w:name="_Toc96169724"/>
      <w:bookmarkStart w:id="533" w:name="_Toc96233769"/>
      <w:bookmarkStart w:id="534" w:name="_Toc112733183"/>
      <w:bookmarkStart w:id="535" w:name="_Toc214283119"/>
      <w:r w:rsidRPr="000665B0">
        <w:t xml:space="preserve">TMPC </w:t>
      </w:r>
      <w:r w:rsidR="001077CA" w:rsidRPr="000665B0">
        <w:t>DATABASE INITIALIZATION</w:t>
      </w:r>
      <w:bookmarkEnd w:id="532"/>
      <w:bookmarkEnd w:id="533"/>
      <w:bookmarkEnd w:id="534"/>
      <w:bookmarkEnd w:id="535"/>
    </w:p>
    <w:p w14:paraId="17F4FA01" w14:textId="389FEA54" w:rsidR="001077CA" w:rsidRPr="000665B0" w:rsidRDefault="001077CA" w:rsidP="001077CA">
      <w:pPr>
        <w:spacing w:after="0"/>
      </w:pPr>
      <w:r w:rsidRPr="000665B0">
        <w:t xml:space="preserve">Once the installation of all software is complete, the </w:t>
      </w:r>
      <w:r w:rsidR="00165382" w:rsidRPr="000665B0">
        <w:t xml:space="preserve">TMPC </w:t>
      </w:r>
      <w:r w:rsidRPr="000665B0">
        <w:t xml:space="preserve">Database must be initialized before Mission Data can be processed. Please access the </w:t>
      </w:r>
      <w:r w:rsidR="00B214AE" w:rsidRPr="000665B0">
        <w:t>Software Support Activity’s (</w:t>
      </w:r>
      <w:r w:rsidR="00B214AE" w:rsidRPr="000665B0">
        <w:rPr>
          <w:b/>
        </w:rPr>
        <w:t>SSA</w:t>
      </w:r>
      <w:r w:rsidR="00B214AE" w:rsidRPr="000665B0">
        <w:t xml:space="preserve">) TCI </w:t>
      </w:r>
      <w:r w:rsidRPr="000665B0">
        <w:rPr>
          <w:color w:val="000000"/>
        </w:rPr>
        <w:t>SIPRNET</w:t>
      </w:r>
      <w:r w:rsidRPr="000665B0">
        <w:t xml:space="preserve"> website at: </w:t>
      </w:r>
      <w:r w:rsidRPr="00BF3552">
        <w:rPr>
          <w:b/>
          <w:bCs/>
        </w:rPr>
        <w:t>http://tci.navy.smil.mil</w:t>
      </w:r>
      <w:r w:rsidRPr="000665B0">
        <w:t xml:space="preserve"> and download the most current file(s).</w:t>
      </w:r>
    </w:p>
    <w:p w14:paraId="2C27C923" w14:textId="6D2D0916" w:rsidR="001077CA" w:rsidRPr="000665B0" w:rsidRDefault="001077CA" w:rsidP="00C32ED9">
      <w:pPr>
        <w:pStyle w:val="Heading3"/>
        <w:keepNext w:val="0"/>
        <w:pageBreakBefore/>
        <w:spacing w:before="0"/>
      </w:pPr>
      <w:bookmarkStart w:id="536" w:name="_Toc214283120"/>
      <w:bookmarkStart w:id="537" w:name="_Toc96169725"/>
      <w:bookmarkStart w:id="538" w:name="_Toc96233770"/>
      <w:bookmarkStart w:id="539" w:name="_Toc112733184"/>
      <w:r w:rsidRPr="000665B0">
        <w:lastRenderedPageBreak/>
        <w:t>Initial Database Population via a CMSA Database Archive</w:t>
      </w:r>
      <w:bookmarkEnd w:id="536"/>
      <w:r w:rsidRPr="000665B0">
        <w:t xml:space="preserve"> </w:t>
      </w:r>
    </w:p>
    <w:p w14:paraId="0D5C1637" w14:textId="77777777" w:rsidR="001077CA" w:rsidRPr="000665B0" w:rsidRDefault="001077CA" w:rsidP="001077CA">
      <w:r w:rsidRPr="000665B0">
        <w:t xml:space="preserve">To accomplish a whole Database install, the supporting CMSA will distribute a Database Archive for the site to use. </w:t>
      </w:r>
    </w:p>
    <w:p w14:paraId="20CCEEEF" w14:textId="77777777" w:rsidR="001077CA" w:rsidRPr="000665B0" w:rsidRDefault="001077CA" w:rsidP="001077CA">
      <w:r w:rsidRPr="000665B0">
        <w:t>To install via a CMSA provided Database Archive:</w:t>
      </w:r>
    </w:p>
    <w:p w14:paraId="70F70E14" w14:textId="02AFA4C9" w:rsidR="001077CA" w:rsidRPr="000665B0" w:rsidRDefault="008D1FAA" w:rsidP="001077CA">
      <w:pPr>
        <w:pStyle w:val="Number0205"/>
        <w:spacing w:after="0"/>
        <w:ind w:left="360" w:firstLine="0"/>
      </w:pPr>
      <w:r w:rsidRPr="000665B0">
        <w:t>See</w:t>
      </w:r>
      <w:r w:rsidR="001077CA" w:rsidRPr="000665B0">
        <w:t xml:space="preserve"> </w:t>
      </w:r>
      <w:hyperlink w:anchor="_4.5.2.1.9__Restore" w:history="1">
        <w:r w:rsidR="00D50799" w:rsidRPr="000665B0">
          <w:rPr>
            <w:rStyle w:val="Hyperlink"/>
          </w:rPr>
          <w:t>Section 4.5.2.1.8</w:t>
        </w:r>
      </w:hyperlink>
      <w:r w:rsidR="00D50799" w:rsidRPr="000665B0">
        <w:t xml:space="preserve"> </w:t>
      </w:r>
      <w:r w:rsidR="001077CA" w:rsidRPr="000665B0">
        <w:t>for steps to restore a database.</w:t>
      </w:r>
    </w:p>
    <w:p w14:paraId="50E40B80" w14:textId="73C291B7" w:rsidR="001077CA" w:rsidRPr="000665B0" w:rsidRDefault="001077CA" w:rsidP="009570CA">
      <w:pPr>
        <w:pStyle w:val="Heading3"/>
        <w:keepNext w:val="0"/>
        <w:rPr>
          <w:color w:val="000000"/>
        </w:rPr>
      </w:pPr>
      <w:bookmarkStart w:id="540" w:name="_Toc214283121"/>
      <w:r w:rsidRPr="000665B0">
        <w:rPr>
          <w:color w:val="000000"/>
        </w:rPr>
        <w:t>Updating Data Source Files</w:t>
      </w:r>
      <w:bookmarkEnd w:id="540"/>
    </w:p>
    <w:p w14:paraId="579A1F9D" w14:textId="540F8CD3" w:rsidR="001077CA" w:rsidRPr="000665B0" w:rsidRDefault="001077CA" w:rsidP="001077CA">
      <w:r w:rsidRPr="000665B0">
        <w:t>As the need arises, the data source files (VMIL, PCTRF, Valid Platform List</w:t>
      </w:r>
      <w:r w:rsidR="00D57022">
        <w:t>, and MTIF</w:t>
      </w:r>
      <w:r w:rsidRPr="000665B0">
        <w:t>) will require updating. These files will be provided separately on the SSA delivered CD (or available on the SSA’s TCI SIPRNET website:</w:t>
      </w:r>
      <w:r w:rsidRPr="000665B0">
        <w:rPr>
          <w:b/>
        </w:rPr>
        <w:t xml:space="preserve"> </w:t>
      </w:r>
      <w:r w:rsidRPr="00BF3552">
        <w:rPr>
          <w:b/>
          <w:bCs/>
        </w:rPr>
        <w:t>http://tci.navy.smil.mil</w:t>
      </w:r>
      <w:r w:rsidRPr="000665B0">
        <w:t>). Each site is responsible for accessing and downloading these files on a regular basis. Once downloaded, the VMIL, PCTRF, Valid Platform List</w:t>
      </w:r>
      <w:r w:rsidR="00D57022">
        <w:t>,</w:t>
      </w:r>
      <w:r w:rsidRPr="000665B0">
        <w:t xml:space="preserve"> XPL</w:t>
      </w:r>
      <w:r w:rsidR="00D57022">
        <w:t>, and MTIF</w:t>
      </w:r>
      <w:r w:rsidRPr="000665B0">
        <w:t xml:space="preserve"> files can be installed via the </w:t>
      </w:r>
      <w:r w:rsidRPr="000665B0">
        <w:rPr>
          <w:b/>
        </w:rPr>
        <w:t>Receive File</w:t>
      </w:r>
      <w:r w:rsidRPr="000665B0">
        <w:t xml:space="preserve"> function. The data source files can be installed individually or all at once. To install the files all at once follow the instructions below, for instructions on installing individual files follow the instructions provided in the appropriate subsections.</w:t>
      </w:r>
    </w:p>
    <w:p w14:paraId="4EBBBC60" w14:textId="77777777" w:rsidR="001077CA" w:rsidRPr="000665B0" w:rsidRDefault="001077CA" w:rsidP="001E4D8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13368FC3" w14:textId="76E77E0D" w:rsidR="001077CA" w:rsidRPr="000665B0" w:rsidRDefault="001077CA" w:rsidP="001E4D8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rPr>
      </w:pPr>
      <w:r w:rsidRPr="000665B0">
        <w:rPr>
          <w:b/>
        </w:rPr>
        <w:t xml:space="preserve">MDS offers the capability to automatically process the data items from an Incoming DDO once they are received from another node. For information on how to perform Automatic DDO Processing, see </w:t>
      </w:r>
      <w:hyperlink w:anchor="_5.23.4__Incoming_DDOs_Notifications" w:history="1">
        <w:r w:rsidR="00BD0FCA" w:rsidRPr="000665B0">
          <w:rPr>
            <w:rStyle w:val="Hyperlink"/>
            <w:b/>
          </w:rPr>
          <w:t>S</w:t>
        </w:r>
        <w:r w:rsidRPr="000665B0">
          <w:rPr>
            <w:rStyle w:val="Hyperlink"/>
            <w:b/>
          </w:rPr>
          <w:t xml:space="preserve">ection </w:t>
        </w:r>
        <w:r w:rsidR="004231CC">
          <w:rPr>
            <w:rStyle w:val="Hyperlink"/>
            <w:b/>
          </w:rPr>
          <w:t>5.18</w:t>
        </w:r>
        <w:r w:rsidRPr="000665B0">
          <w:rPr>
            <w:rStyle w:val="Hyperlink"/>
            <w:b/>
          </w:rPr>
          <w:t>.4</w:t>
        </w:r>
      </w:hyperlink>
      <w:r w:rsidRPr="000665B0">
        <w:rPr>
          <w:b/>
        </w:rPr>
        <w:t>.</w:t>
      </w:r>
    </w:p>
    <w:p w14:paraId="2F35D9FF" w14:textId="77777777" w:rsidR="001077CA" w:rsidRPr="000665B0" w:rsidRDefault="001077CA" w:rsidP="006D5A65">
      <w:pPr>
        <w:pStyle w:val="Heading1"/>
      </w:pPr>
      <w:r w:rsidRPr="000665B0">
        <w:t>To import all the Data Source Files: Logon to the system.</w:t>
      </w:r>
    </w:p>
    <w:p w14:paraId="3FF8E148" w14:textId="77777777" w:rsidR="00B214AE" w:rsidRPr="000665B0" w:rsidRDefault="00850872" w:rsidP="006D5A65">
      <w:pPr>
        <w:pStyle w:val="Heading1"/>
      </w:pPr>
      <w:r w:rsidRPr="000665B0">
        <w:t xml:space="preserve">Right-click on the MDS Toolbox desktop shortcut icon </w:t>
      </w:r>
      <w:r w:rsidRPr="000665B0">
        <w:rPr>
          <w:noProof/>
        </w:rPr>
        <w:drawing>
          <wp:inline distT="0" distB="0" distL="0" distR="0" wp14:anchorId="60326F53" wp14:editId="5C13EAD9">
            <wp:extent cx="276225" cy="247650"/>
            <wp:effectExtent l="19050" t="0" r="9525" b="0"/>
            <wp:docPr id="26"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0665B0">
        <w:t xml:space="preserve"> and select Run as administrator from the resulting pop-up menu.</w:t>
      </w:r>
    </w:p>
    <w:p w14:paraId="49E7523C" w14:textId="77777777" w:rsidR="001077CA" w:rsidRPr="000665B0" w:rsidRDefault="001077CA" w:rsidP="006D5A65">
      <w:pPr>
        <w:pStyle w:val="Heading1"/>
      </w:pPr>
      <w:r w:rsidRPr="000665B0">
        <w:t xml:space="preserve">From the </w:t>
      </w:r>
      <w:r w:rsidRPr="000665B0">
        <w:rPr>
          <w:bCs/>
        </w:rPr>
        <w:t>File</w:t>
      </w:r>
      <w:r w:rsidRPr="000665B0">
        <w:t xml:space="preserve"> menu select </w:t>
      </w:r>
      <w:r w:rsidRPr="000665B0">
        <w:rPr>
          <w:bCs/>
        </w:rPr>
        <w:t>Receive File</w:t>
      </w:r>
      <w:r w:rsidRPr="000665B0">
        <w:t xml:space="preserve">. The </w:t>
      </w:r>
      <w:r w:rsidRPr="000665B0">
        <w:rPr>
          <w:i/>
          <w:iCs/>
        </w:rPr>
        <w:t>Please Select File</w:t>
      </w:r>
      <w:r w:rsidRPr="000665B0">
        <w:t xml:space="preserve"> window is displayed.</w:t>
      </w:r>
    </w:p>
    <w:p w14:paraId="4A4AA1C9" w14:textId="5A12A5CA" w:rsidR="00B214AE" w:rsidRPr="000665B0" w:rsidRDefault="00B214AE" w:rsidP="006D5A65">
      <w:pPr>
        <w:pStyle w:val="Heading1"/>
      </w:pPr>
      <w:r w:rsidRPr="000665B0">
        <w:t xml:space="preserve">Navigate to the appropriate directory of the file structure. Select a file in the File name </w:t>
      </w:r>
      <w:r w:rsidR="002D0A09" w:rsidRPr="000665B0">
        <w:t>field and</w:t>
      </w:r>
      <w:r w:rsidRPr="000665B0">
        <w:t xml:space="preserve"> click the Open button. To add multiple fields, hold down the CTRL key while highlighting the appropriate files. </w:t>
      </w:r>
    </w:p>
    <w:p w14:paraId="2C2D7BA1" w14:textId="77777777" w:rsidR="001077CA" w:rsidRPr="000665B0" w:rsidRDefault="001077CA" w:rsidP="006D5A65">
      <w:pPr>
        <w:pStyle w:val="Heading1"/>
      </w:pPr>
      <w:r w:rsidRPr="000665B0">
        <w:t>Click the Open button to initiate processing. If the DDO is not set to automatically process proceed with the remainder of the steps.</w:t>
      </w:r>
    </w:p>
    <w:p w14:paraId="67ECA0A2" w14:textId="77777777" w:rsidR="001077CA" w:rsidRPr="000665B0" w:rsidRDefault="001077CA" w:rsidP="006D5A65">
      <w:pPr>
        <w:pStyle w:val="Heading1"/>
      </w:pPr>
      <w:r w:rsidRPr="000665B0">
        <w:t>Navigate to the Incoming DDOs Tool.</w:t>
      </w:r>
    </w:p>
    <w:p w14:paraId="7BDB5C30" w14:textId="2929B1FD" w:rsidR="001077CA" w:rsidRPr="000665B0" w:rsidRDefault="00B214AE" w:rsidP="006D5A65">
      <w:pPr>
        <w:pStyle w:val="Heading1"/>
      </w:pPr>
      <w:r w:rsidRPr="000665B0">
        <w:t>Highlight the desired Incoming DDO and invoke the context menu (</w:t>
      </w:r>
      <w:r w:rsidR="00D71804" w:rsidRPr="000665B0">
        <w:t>right-click</w:t>
      </w:r>
      <w:r w:rsidRPr="000665B0">
        <w:t xml:space="preserve"> the mouse) and select </w:t>
      </w:r>
      <w:r w:rsidRPr="000665B0">
        <w:rPr>
          <w:bCs/>
        </w:rPr>
        <w:t xml:space="preserve">Display </w:t>
      </w:r>
      <w:r w:rsidRPr="000665B0">
        <w:sym w:font="Wingdings" w:char="F0E0"/>
      </w:r>
      <w:r w:rsidRPr="000665B0">
        <w:rPr>
          <w:bCs/>
        </w:rPr>
        <w:t xml:space="preserve"> Textually</w:t>
      </w:r>
      <w:r w:rsidRPr="000665B0">
        <w:t xml:space="preserve">. The </w:t>
      </w:r>
      <w:r w:rsidRPr="000665B0">
        <w:rPr>
          <w:i/>
        </w:rPr>
        <w:t xml:space="preserve">Incoming </w:t>
      </w:r>
      <w:r w:rsidRPr="000665B0">
        <w:rPr>
          <w:i/>
          <w:iCs/>
        </w:rPr>
        <w:t>DDO:nnnnn-nnnnn</w:t>
      </w:r>
      <w:r w:rsidRPr="000665B0">
        <w:rPr>
          <w:i/>
        </w:rPr>
        <w:t xml:space="preserve"> </w:t>
      </w:r>
      <w:r w:rsidRPr="000665B0">
        <w:t>window is displayed providing details about the DDO along with listing</w:t>
      </w:r>
      <w:r w:rsidR="001077CA" w:rsidRPr="000665B0">
        <w:t xml:space="preserve"> the contents. </w:t>
      </w:r>
    </w:p>
    <w:p w14:paraId="296C8883" w14:textId="249B30FF" w:rsidR="001077CA" w:rsidRPr="000665B0" w:rsidRDefault="00B214AE" w:rsidP="006D5A65">
      <w:pPr>
        <w:pStyle w:val="Heading1"/>
      </w:pPr>
      <w:r w:rsidRPr="000665B0">
        <w:t xml:space="preserve">From the File menu select </w:t>
      </w:r>
      <w:r w:rsidRPr="000665B0">
        <w:rPr>
          <w:bCs/>
        </w:rPr>
        <w:t>Process All</w:t>
      </w:r>
      <w:r w:rsidRPr="000665B0">
        <w:t xml:space="preserve">, click the Process All </w:t>
      </w:r>
      <w:r w:rsidRPr="000665B0">
        <w:rPr>
          <w:noProof/>
        </w:rPr>
        <w:drawing>
          <wp:inline distT="0" distB="0" distL="0" distR="0" wp14:anchorId="4C8A627E" wp14:editId="03255FDA">
            <wp:extent cx="243840" cy="243840"/>
            <wp:effectExtent l="0" t="0" r="3810" b="3810"/>
            <wp:docPr id="44" name="Picture 44" descr="Description: ProcessAllD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Description: ProcessAllDDOs"/>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43840" cy="243840"/>
                    </a:xfrm>
                    <a:prstGeom prst="rect">
                      <a:avLst/>
                    </a:prstGeom>
                    <a:noFill/>
                    <a:ln>
                      <a:noFill/>
                    </a:ln>
                  </pic:spPr>
                </pic:pic>
              </a:graphicData>
            </a:graphic>
          </wp:inline>
        </w:drawing>
      </w:r>
      <w:r w:rsidRPr="000665B0">
        <w:t xml:space="preserve"> icon on the toolbar or highlight the files in the list view, </w:t>
      </w:r>
      <w:r w:rsidRPr="000665B0">
        <w:lastRenderedPageBreak/>
        <w:t>invoke the context menu (</w:t>
      </w:r>
      <w:r w:rsidR="00D71804" w:rsidRPr="000665B0">
        <w:t>right-click</w:t>
      </w:r>
      <w:r w:rsidRPr="000665B0">
        <w:t xml:space="preserve"> the mouse) and select</w:t>
      </w:r>
      <w:r w:rsidR="001077CA" w:rsidRPr="000665B0">
        <w:t xml:space="preserve"> </w:t>
      </w:r>
      <w:r w:rsidR="001077CA" w:rsidRPr="000665B0">
        <w:rPr>
          <w:bCs/>
        </w:rPr>
        <w:t>Process</w:t>
      </w:r>
      <w:r w:rsidR="001077CA" w:rsidRPr="000665B0">
        <w:t xml:space="preserve">. </w:t>
      </w:r>
    </w:p>
    <w:p w14:paraId="43BDD2CB" w14:textId="77777777" w:rsidR="001077CA" w:rsidRPr="000665B0" w:rsidRDefault="00B214AE" w:rsidP="006D5A65">
      <w:pPr>
        <w:pStyle w:val="Heading1"/>
      </w:pPr>
      <w:r w:rsidRPr="000665B0">
        <w:t xml:space="preserve">Click the Yes button in the </w:t>
      </w:r>
      <w:r w:rsidRPr="000665B0">
        <w:rPr>
          <w:i/>
        </w:rPr>
        <w:t>Incoming DDO Data Items</w:t>
      </w:r>
      <w:r w:rsidRPr="000665B0">
        <w:t xml:space="preserve"> window. When the installation is successful, the status column changes from Formatted to Processed</w:t>
      </w:r>
      <w:r w:rsidR="001077CA" w:rsidRPr="000665B0">
        <w:t xml:space="preserve">. </w:t>
      </w:r>
    </w:p>
    <w:p w14:paraId="644CA157" w14:textId="10EF8313" w:rsidR="001077CA" w:rsidRPr="000665B0" w:rsidRDefault="001077CA" w:rsidP="009570CA">
      <w:pPr>
        <w:pStyle w:val="Heading4"/>
      </w:pPr>
      <w:bookmarkStart w:id="541" w:name="_4.4.2.1__Valid"/>
      <w:bookmarkEnd w:id="541"/>
      <w:r w:rsidRPr="000665B0">
        <w:t>Valid Missile ID List (VMIL)</w:t>
      </w:r>
      <w:bookmarkEnd w:id="537"/>
      <w:bookmarkEnd w:id="538"/>
      <w:bookmarkEnd w:id="539"/>
    </w:p>
    <w:p w14:paraId="6AD68083" w14:textId="06AA6948" w:rsidR="00EE6C56" w:rsidRPr="000665B0" w:rsidRDefault="00EE6C56" w:rsidP="00EE6C56">
      <w:r w:rsidRPr="000665B0">
        <w:t>The VMIL contains all missile IDs considered valid by the system. The VMIL is maintained by the SSA center (Washington Planning Center [</w:t>
      </w:r>
      <w:r w:rsidRPr="000665B0">
        <w:rPr>
          <w:b/>
        </w:rPr>
        <w:t>WPC</w:t>
      </w:r>
      <w:r w:rsidRPr="000665B0">
        <w:t>]</w:t>
      </w:r>
      <w:r w:rsidR="002D0A09" w:rsidRPr="000665B0">
        <w:t>) and</w:t>
      </w:r>
      <w:r w:rsidRPr="000665B0">
        <w:t xml:space="preserve"> cannot be modified by any other site. The SSA distributes a new VMIL when a missile is added or deleted from the list by putting the new file on the TCI SIPRNET website at: </w:t>
      </w:r>
      <w:r w:rsidRPr="00BF3552">
        <w:rPr>
          <w:b/>
          <w:bCs/>
          <w:color w:val="000000" w:themeColor="text1"/>
        </w:rPr>
        <w:t>http://tci.navy.smil.mil</w:t>
      </w:r>
      <w:r w:rsidRPr="00BF3552">
        <w:t>.</w:t>
      </w:r>
      <w:r w:rsidRPr="000665B0">
        <w:t xml:space="preserve"> When a VMIL is received, missions in the database are revalidated automatically in order to update the missiles for each mission.</w:t>
      </w:r>
    </w:p>
    <w:p w14:paraId="420D0FBC" w14:textId="77777777" w:rsidR="001077CA" w:rsidRPr="000665B0" w:rsidRDefault="001077CA" w:rsidP="001077CA">
      <w:r w:rsidRPr="000665B0">
        <w:t>An Extensible Markup Language (</w:t>
      </w:r>
      <w:r w:rsidRPr="000665B0">
        <w:rPr>
          <w:b/>
        </w:rPr>
        <w:t>XML</w:t>
      </w:r>
      <w:r w:rsidRPr="000665B0">
        <w:t xml:space="preserve">) file is used to import the VMIL. This file </w:t>
      </w:r>
      <w:r w:rsidRPr="000665B0">
        <w:rPr>
          <w:b/>
          <w:bCs/>
          <w:i/>
          <w:iCs/>
        </w:rPr>
        <w:t>must</w:t>
      </w:r>
      <w:r w:rsidRPr="000665B0">
        <w:t xml:space="preserve"> be present in the database in order to load missions successfully.</w:t>
      </w:r>
    </w:p>
    <w:p w14:paraId="0A2179BD" w14:textId="77777777" w:rsidR="001077CA" w:rsidRPr="000665B0" w:rsidRDefault="001077CA" w:rsidP="001077CA">
      <w:r w:rsidRPr="000665B0">
        <w:t xml:space="preserve">To import the VMIL: </w:t>
      </w:r>
    </w:p>
    <w:p w14:paraId="4148045A" w14:textId="77777777" w:rsidR="001077CA" w:rsidRPr="000665B0" w:rsidRDefault="001077CA" w:rsidP="006D5A65">
      <w:pPr>
        <w:pStyle w:val="Heading1"/>
      </w:pPr>
      <w:r w:rsidRPr="000665B0">
        <w:t>Logon to the system.</w:t>
      </w:r>
    </w:p>
    <w:p w14:paraId="02DBCF7C" w14:textId="77777777" w:rsidR="00EE6C56" w:rsidRPr="000665B0" w:rsidRDefault="00850872" w:rsidP="006D5A65">
      <w:pPr>
        <w:pStyle w:val="Heading1"/>
      </w:pPr>
      <w:r w:rsidRPr="000665B0">
        <w:t xml:space="preserve">Right-click on the MDS Toolbox desktop shortcut icon </w:t>
      </w:r>
      <w:r w:rsidRPr="000665B0">
        <w:rPr>
          <w:noProof/>
        </w:rPr>
        <w:drawing>
          <wp:inline distT="0" distB="0" distL="0" distR="0" wp14:anchorId="0BD300B2" wp14:editId="4BDAD994">
            <wp:extent cx="276225" cy="247650"/>
            <wp:effectExtent l="19050" t="0" r="9525" b="0"/>
            <wp:docPr id="189"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0665B0">
        <w:t xml:space="preserve"> and select Run as administrator from the resulting pop-up menu.</w:t>
      </w:r>
    </w:p>
    <w:p w14:paraId="45B372E8" w14:textId="77777777" w:rsidR="001077CA" w:rsidRPr="000665B0" w:rsidRDefault="001077CA" w:rsidP="006D5A65">
      <w:pPr>
        <w:pStyle w:val="Heading1"/>
      </w:pPr>
      <w:r w:rsidRPr="000665B0">
        <w:t xml:space="preserve">From the </w:t>
      </w:r>
      <w:r w:rsidRPr="000665B0">
        <w:rPr>
          <w:bCs/>
        </w:rPr>
        <w:t>File</w:t>
      </w:r>
      <w:r w:rsidRPr="000665B0">
        <w:t xml:space="preserve"> menu select </w:t>
      </w:r>
      <w:r w:rsidRPr="000665B0">
        <w:rPr>
          <w:bCs/>
        </w:rPr>
        <w:t>Receive File</w:t>
      </w:r>
      <w:r w:rsidRPr="000665B0">
        <w:t>.</w:t>
      </w:r>
    </w:p>
    <w:p w14:paraId="104C043B" w14:textId="4F7C0A52" w:rsidR="001077CA" w:rsidRPr="000665B0" w:rsidRDefault="001077CA" w:rsidP="006D5A65">
      <w:pPr>
        <w:pStyle w:val="Heading1"/>
      </w:pPr>
      <w:r w:rsidRPr="000665B0">
        <w:t xml:space="preserve">Locate and select the </w:t>
      </w:r>
      <w:r w:rsidRPr="000665B0">
        <w:rPr>
          <w:color w:val="000000"/>
        </w:rPr>
        <w:t>VMIL</w:t>
      </w:r>
      <w:r w:rsidRPr="000665B0">
        <w:t xml:space="preserve"> file provided separately on the SSA delivered CD (or download the most current file available on the SSAs TCI </w:t>
      </w:r>
      <w:r w:rsidRPr="000665B0">
        <w:rPr>
          <w:color w:val="000000"/>
        </w:rPr>
        <w:t>SIPRNET</w:t>
      </w:r>
      <w:r w:rsidRPr="000665B0">
        <w:t xml:space="preserve"> website at: </w:t>
      </w:r>
      <w:r w:rsidRPr="00BF3552">
        <w:rPr>
          <w:bCs/>
        </w:rPr>
        <w:t>http://tci.navy.smil.mil</w:t>
      </w:r>
      <w:r w:rsidRPr="000665B0">
        <w:t>).</w:t>
      </w:r>
    </w:p>
    <w:p w14:paraId="4F4AFCA9" w14:textId="77777777" w:rsidR="001077CA" w:rsidRPr="000665B0" w:rsidRDefault="001077CA" w:rsidP="006D5A65">
      <w:pPr>
        <w:pStyle w:val="Heading1"/>
      </w:pPr>
      <w:r w:rsidRPr="000665B0">
        <w:t>Click the Open button to initiate processing. If the DDO is not set to automatically process proceed with the remainder of the steps.</w:t>
      </w:r>
    </w:p>
    <w:p w14:paraId="0ACBC633" w14:textId="77777777" w:rsidR="001077CA" w:rsidRPr="000665B0" w:rsidRDefault="001077CA" w:rsidP="006D5A65">
      <w:pPr>
        <w:pStyle w:val="Heading1"/>
      </w:pPr>
      <w:r w:rsidRPr="000665B0">
        <w:t>Navigate to the Incoming DDOs Tool.</w:t>
      </w:r>
    </w:p>
    <w:p w14:paraId="467F4E18" w14:textId="62FDD2C2" w:rsidR="001077CA" w:rsidRPr="000665B0" w:rsidRDefault="008F5D6B" w:rsidP="006D5A65">
      <w:pPr>
        <w:pStyle w:val="Heading1"/>
      </w:pPr>
      <w:r w:rsidRPr="000665B0">
        <w:t>Highlight the desired Incoming DDO and invoke the context menu (</w:t>
      </w:r>
      <w:r w:rsidR="00D71804" w:rsidRPr="000665B0">
        <w:t>right-click</w:t>
      </w:r>
      <w:r w:rsidRPr="000665B0">
        <w:t xml:space="preserve"> the mouse) and select </w:t>
      </w:r>
      <w:r w:rsidRPr="000665B0">
        <w:rPr>
          <w:bCs/>
        </w:rPr>
        <w:t xml:space="preserve">Display </w:t>
      </w:r>
      <w:r w:rsidRPr="000665B0">
        <w:sym w:font="Wingdings" w:char="F0E0"/>
      </w:r>
      <w:r w:rsidRPr="000665B0">
        <w:rPr>
          <w:bCs/>
        </w:rPr>
        <w:t xml:space="preserve"> Textually</w:t>
      </w:r>
      <w:r w:rsidRPr="000665B0">
        <w:t xml:space="preserve">. The </w:t>
      </w:r>
      <w:r w:rsidRPr="000665B0">
        <w:rPr>
          <w:i/>
        </w:rPr>
        <w:t xml:space="preserve">Incoming </w:t>
      </w:r>
      <w:r w:rsidRPr="000665B0">
        <w:rPr>
          <w:i/>
          <w:iCs/>
        </w:rPr>
        <w:t>DDO:nnnnn-nnnnn</w:t>
      </w:r>
      <w:r w:rsidRPr="000665B0">
        <w:rPr>
          <w:i/>
        </w:rPr>
        <w:t xml:space="preserve"> </w:t>
      </w:r>
      <w:r w:rsidRPr="000665B0">
        <w:t>window is displayed providing details about the DDO along with listing the contents.</w:t>
      </w:r>
      <w:r w:rsidR="009651B0">
        <w:t xml:space="preserve"> </w:t>
      </w:r>
    </w:p>
    <w:p w14:paraId="1CE3D812" w14:textId="5F2CA7B3" w:rsidR="001077CA" w:rsidRPr="000665B0" w:rsidRDefault="008F5D6B" w:rsidP="006D5A65">
      <w:pPr>
        <w:pStyle w:val="Heading1"/>
      </w:pPr>
      <w:r w:rsidRPr="000665B0">
        <w:t xml:space="preserve">From the File menu select </w:t>
      </w:r>
      <w:r w:rsidRPr="000665B0">
        <w:rPr>
          <w:bCs/>
        </w:rPr>
        <w:t>Process All</w:t>
      </w:r>
      <w:r w:rsidRPr="000665B0">
        <w:t xml:space="preserve">, click the Process All </w:t>
      </w:r>
      <w:r w:rsidRPr="000665B0">
        <w:rPr>
          <w:noProof/>
        </w:rPr>
        <w:drawing>
          <wp:inline distT="0" distB="0" distL="0" distR="0" wp14:anchorId="5F14A4B7" wp14:editId="25D9E321">
            <wp:extent cx="243840" cy="243840"/>
            <wp:effectExtent l="0" t="0" r="3810" b="3810"/>
            <wp:docPr id="98" name="Picture 98" descr="Description: ProcessAllD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Description: ProcessAllDDOs"/>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43840" cy="243840"/>
                    </a:xfrm>
                    <a:prstGeom prst="rect">
                      <a:avLst/>
                    </a:prstGeom>
                    <a:noFill/>
                    <a:ln>
                      <a:noFill/>
                    </a:ln>
                  </pic:spPr>
                </pic:pic>
              </a:graphicData>
            </a:graphic>
          </wp:inline>
        </w:drawing>
      </w:r>
      <w:r w:rsidRPr="000665B0">
        <w:t xml:space="preserve"> icon on the toolbar or highlight the files in the list view, </w:t>
      </w:r>
      <w:r w:rsidRPr="000665B0">
        <w:lastRenderedPageBreak/>
        <w:t>invoke the context menu (</w:t>
      </w:r>
      <w:r w:rsidR="00D71804" w:rsidRPr="000665B0">
        <w:t>right-click</w:t>
      </w:r>
      <w:r w:rsidRPr="000665B0">
        <w:t xml:space="preserve"> the mouse) and select </w:t>
      </w:r>
      <w:r w:rsidRPr="000665B0">
        <w:rPr>
          <w:bCs/>
        </w:rPr>
        <w:t>Process</w:t>
      </w:r>
      <w:r w:rsidRPr="000665B0">
        <w:t>.</w:t>
      </w:r>
    </w:p>
    <w:p w14:paraId="6BE4ECD9" w14:textId="77777777" w:rsidR="001077CA" w:rsidRPr="000665B0" w:rsidRDefault="008F5D6B" w:rsidP="006D5A65">
      <w:pPr>
        <w:pStyle w:val="Heading1"/>
      </w:pPr>
      <w:r w:rsidRPr="000665B0">
        <w:t xml:space="preserve">Click the Yes button in the </w:t>
      </w:r>
      <w:r w:rsidRPr="000665B0">
        <w:rPr>
          <w:i/>
        </w:rPr>
        <w:t>Incoming DDO Data Items</w:t>
      </w:r>
      <w:r w:rsidRPr="000665B0">
        <w:t xml:space="preserve"> window. When the installation is successful, the status column changes from Formatted to Processed.</w:t>
      </w:r>
      <w:r w:rsidR="001077CA" w:rsidRPr="000665B0">
        <w:t xml:space="preserve"> </w:t>
      </w:r>
    </w:p>
    <w:p w14:paraId="485F3785" w14:textId="77777777" w:rsidR="001077CA" w:rsidRPr="000665B0" w:rsidRDefault="001077CA" w:rsidP="006D5A65">
      <w:pPr>
        <w:pStyle w:val="Heading1"/>
      </w:pPr>
      <w:r w:rsidRPr="000665B0">
        <w:t>From the Go menu select Missiles to verify a successful import. (If no missiles are visible, then re-attempt the process.)</w:t>
      </w:r>
    </w:p>
    <w:p w14:paraId="07E1B85F" w14:textId="4F843C1B" w:rsidR="001077CA" w:rsidRPr="000665B0" w:rsidRDefault="001077CA" w:rsidP="009570CA">
      <w:pPr>
        <w:pStyle w:val="Heading4"/>
      </w:pPr>
      <w:bookmarkStart w:id="542" w:name="_4.4.2.2__Pattern"/>
      <w:bookmarkStart w:id="543" w:name="_Toc96169726"/>
      <w:bookmarkStart w:id="544" w:name="_Toc96233771"/>
      <w:bookmarkStart w:id="545" w:name="_Toc112733185"/>
      <w:bookmarkEnd w:id="542"/>
      <w:r w:rsidRPr="000665B0">
        <w:t>Pattern Control Table Reference File (PCTRF)</w:t>
      </w:r>
      <w:bookmarkEnd w:id="543"/>
      <w:bookmarkEnd w:id="544"/>
      <w:bookmarkEnd w:id="545"/>
    </w:p>
    <w:p w14:paraId="796AB9D3" w14:textId="33D61ECB" w:rsidR="001077CA" w:rsidRPr="000665B0" w:rsidRDefault="001077CA" w:rsidP="001077CA">
      <w:pPr>
        <w:rPr>
          <w:color w:val="000000"/>
        </w:rPr>
      </w:pPr>
      <w:r w:rsidRPr="000665B0">
        <w:t xml:space="preserve">A PCT is a set of instructions used by the system to determine which missiles in the Valid Missile ID List match the missile characteristics for a mission. While adding missions, the system either validates or assigns a PCT to each mission. The PCTRF is maintained by the SSA </w:t>
      </w:r>
      <w:r w:rsidR="002D0A09" w:rsidRPr="000665B0">
        <w:t>center and</w:t>
      </w:r>
      <w:r w:rsidRPr="000665B0">
        <w:t xml:space="preserve"> cannot be modified by any other site. If a new PCT is required, only the SSA can add it. When this occurs, the SSA then makes the updated PCTRF available to all sites</w:t>
      </w:r>
      <w:r w:rsidRPr="000665B0">
        <w:rPr>
          <w:color w:val="000000"/>
        </w:rPr>
        <w:t xml:space="preserve"> by placing it on the SIPRNET website at:</w:t>
      </w:r>
      <w:r w:rsidRPr="000665B0">
        <w:t xml:space="preserve"> </w:t>
      </w:r>
      <w:r w:rsidRPr="00BF3552">
        <w:rPr>
          <w:b/>
          <w:bCs/>
        </w:rPr>
        <w:t>http://tci.navy.smil.mil</w:t>
      </w:r>
      <w:r w:rsidRPr="000665B0">
        <w:rPr>
          <w:color w:val="000000"/>
        </w:rPr>
        <w:t>.</w:t>
      </w:r>
    </w:p>
    <w:p w14:paraId="0E67BF07" w14:textId="77777777" w:rsidR="001077CA" w:rsidRPr="000665B0" w:rsidRDefault="001077CA" w:rsidP="001077CA">
      <w:r w:rsidRPr="000665B0">
        <w:t xml:space="preserve">An XML file is used to import the PCTRF. This file </w:t>
      </w:r>
      <w:r w:rsidRPr="000665B0">
        <w:rPr>
          <w:b/>
          <w:bCs/>
          <w:i/>
          <w:iCs/>
        </w:rPr>
        <w:t>must</w:t>
      </w:r>
      <w:r w:rsidRPr="000665B0">
        <w:t xml:space="preserve"> be present in the database in order to load missions successfully.</w:t>
      </w:r>
    </w:p>
    <w:p w14:paraId="3D182E42" w14:textId="77777777" w:rsidR="001077CA" w:rsidRPr="000665B0" w:rsidRDefault="001077CA" w:rsidP="001077CA">
      <w:r w:rsidRPr="000665B0">
        <w:t>To import the PCTRF:</w:t>
      </w:r>
    </w:p>
    <w:p w14:paraId="63B37516" w14:textId="77777777" w:rsidR="001077CA" w:rsidRPr="000665B0" w:rsidRDefault="001077CA" w:rsidP="006D5A65">
      <w:pPr>
        <w:pStyle w:val="Heading2"/>
      </w:pPr>
      <w:r w:rsidRPr="000665B0">
        <w:t>Logon to the system as a user with local administrative privileges.</w:t>
      </w:r>
    </w:p>
    <w:p w14:paraId="769FC865" w14:textId="77777777" w:rsidR="00250123" w:rsidRPr="000665B0" w:rsidRDefault="00850872" w:rsidP="006D5A65">
      <w:pPr>
        <w:pStyle w:val="Heading1"/>
      </w:pPr>
      <w:r w:rsidRPr="000665B0">
        <w:t xml:space="preserve">Right-click on the MDS Toolbox desktop shortcut icon </w:t>
      </w:r>
      <w:r w:rsidRPr="000665B0">
        <w:rPr>
          <w:noProof/>
        </w:rPr>
        <w:drawing>
          <wp:inline distT="0" distB="0" distL="0" distR="0" wp14:anchorId="36CB6668" wp14:editId="32EB23BC">
            <wp:extent cx="276225" cy="247650"/>
            <wp:effectExtent l="19050" t="0" r="9525" b="0"/>
            <wp:docPr id="236"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0665B0">
        <w:t xml:space="preserve"> and select Run as administrator from the resulting pop-up menu.</w:t>
      </w:r>
    </w:p>
    <w:p w14:paraId="6AD7D11C" w14:textId="77777777" w:rsidR="00250123" w:rsidRPr="000665B0" w:rsidRDefault="00250123" w:rsidP="006D5A65">
      <w:pPr>
        <w:pStyle w:val="Heading1"/>
      </w:pPr>
      <w:r w:rsidRPr="000665B0">
        <w:t xml:space="preserve">From the </w:t>
      </w:r>
      <w:r w:rsidRPr="000665B0">
        <w:rPr>
          <w:bCs/>
        </w:rPr>
        <w:t>File</w:t>
      </w:r>
      <w:r w:rsidRPr="000665B0">
        <w:t xml:space="preserve"> menu select </w:t>
      </w:r>
      <w:r w:rsidRPr="000665B0">
        <w:rPr>
          <w:bCs/>
        </w:rPr>
        <w:t>Receive File</w:t>
      </w:r>
      <w:r w:rsidRPr="000665B0">
        <w:t>.</w:t>
      </w:r>
    </w:p>
    <w:p w14:paraId="747E1A47" w14:textId="029BC788" w:rsidR="00250123" w:rsidRPr="000665B0" w:rsidRDefault="00250123" w:rsidP="006D5A65">
      <w:pPr>
        <w:pStyle w:val="Heading1"/>
      </w:pPr>
      <w:r w:rsidRPr="000665B0">
        <w:t xml:space="preserve">Locate and select the </w:t>
      </w:r>
      <w:r w:rsidRPr="000665B0">
        <w:rPr>
          <w:color w:val="000000"/>
        </w:rPr>
        <w:t>PCTRF</w:t>
      </w:r>
      <w:r w:rsidRPr="000665B0">
        <w:t xml:space="preserve"> file provided separately on the SSA delivered CD (or download the most current file available on the SSAs TCI </w:t>
      </w:r>
      <w:r w:rsidRPr="000665B0">
        <w:rPr>
          <w:color w:val="000000"/>
        </w:rPr>
        <w:t>SIPRNET</w:t>
      </w:r>
      <w:r w:rsidRPr="000665B0">
        <w:t xml:space="preserve"> website at: </w:t>
      </w:r>
      <w:r w:rsidRPr="00BF3552">
        <w:rPr>
          <w:bCs/>
          <w:color w:val="000000" w:themeColor="text1"/>
        </w:rPr>
        <w:t>http://tci.navy.smil.mil</w:t>
      </w:r>
      <w:r w:rsidRPr="000665B0">
        <w:t>).</w:t>
      </w:r>
    </w:p>
    <w:p w14:paraId="24C3006B" w14:textId="77777777" w:rsidR="00250123" w:rsidRPr="000665B0" w:rsidRDefault="00250123" w:rsidP="006D5A65">
      <w:pPr>
        <w:pStyle w:val="Heading1"/>
      </w:pPr>
      <w:r w:rsidRPr="000665B0">
        <w:t>Click the Open button to initiate processing. If the DDO is not set to automatically process proceed with the remainder of the steps.</w:t>
      </w:r>
    </w:p>
    <w:p w14:paraId="67F3CEA1" w14:textId="77777777" w:rsidR="00250123" w:rsidRPr="000665B0" w:rsidRDefault="00250123" w:rsidP="006D5A65">
      <w:pPr>
        <w:pStyle w:val="Heading1"/>
      </w:pPr>
      <w:r w:rsidRPr="000665B0">
        <w:t>Navigate to the Incoming DDOs Tool.</w:t>
      </w:r>
    </w:p>
    <w:p w14:paraId="0F4AD474" w14:textId="53A47D90" w:rsidR="00250123" w:rsidRPr="000665B0" w:rsidRDefault="00250123" w:rsidP="006D5A65">
      <w:pPr>
        <w:pStyle w:val="Heading1"/>
      </w:pPr>
      <w:r w:rsidRPr="000665B0">
        <w:t>Highlight the desired Incoming DDO and invoke the context menu (</w:t>
      </w:r>
      <w:r w:rsidR="00D71804" w:rsidRPr="000665B0">
        <w:t>right-click</w:t>
      </w:r>
      <w:r w:rsidRPr="000665B0">
        <w:t xml:space="preserve"> the mouse) and select </w:t>
      </w:r>
      <w:r w:rsidRPr="000665B0">
        <w:rPr>
          <w:bCs/>
        </w:rPr>
        <w:t xml:space="preserve">Display </w:t>
      </w:r>
      <w:r w:rsidRPr="000665B0">
        <w:sym w:font="Wingdings" w:char="F0E0"/>
      </w:r>
      <w:r w:rsidRPr="000665B0">
        <w:rPr>
          <w:bCs/>
        </w:rPr>
        <w:t xml:space="preserve"> Textually</w:t>
      </w:r>
      <w:r w:rsidRPr="000665B0">
        <w:t xml:space="preserve">. The </w:t>
      </w:r>
      <w:r w:rsidRPr="000665B0">
        <w:rPr>
          <w:i/>
        </w:rPr>
        <w:t xml:space="preserve">Incoming </w:t>
      </w:r>
      <w:r w:rsidRPr="000665B0">
        <w:rPr>
          <w:i/>
          <w:iCs/>
        </w:rPr>
        <w:t>DDO:nnnnn-nnnnn</w:t>
      </w:r>
      <w:r w:rsidRPr="000665B0">
        <w:rPr>
          <w:i/>
        </w:rPr>
        <w:t xml:space="preserve"> </w:t>
      </w:r>
      <w:r w:rsidRPr="000665B0">
        <w:t xml:space="preserve">window is displayed providing details about the DDO along with listing the contents. </w:t>
      </w:r>
    </w:p>
    <w:p w14:paraId="44C51113" w14:textId="47992C99" w:rsidR="00250123" w:rsidRPr="000665B0" w:rsidRDefault="00250123" w:rsidP="006D5A65">
      <w:pPr>
        <w:pStyle w:val="Heading1"/>
      </w:pPr>
      <w:r w:rsidRPr="000665B0">
        <w:t xml:space="preserve">From the File menu select </w:t>
      </w:r>
      <w:r w:rsidRPr="000665B0">
        <w:rPr>
          <w:bCs/>
        </w:rPr>
        <w:t>Process All</w:t>
      </w:r>
      <w:r w:rsidRPr="000665B0">
        <w:t xml:space="preserve">, click the Process All </w:t>
      </w:r>
      <w:r w:rsidRPr="000665B0">
        <w:rPr>
          <w:noProof/>
        </w:rPr>
        <w:drawing>
          <wp:inline distT="0" distB="0" distL="0" distR="0" wp14:anchorId="74592C6F" wp14:editId="01C6A65D">
            <wp:extent cx="247650" cy="247650"/>
            <wp:effectExtent l="0" t="0" r="0" b="0"/>
            <wp:docPr id="123" name="Picture 123" descr="Description: ProcessAllD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Description: ProcessAllDDOs"/>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47650" cy="247650"/>
                    </a:xfrm>
                    <a:prstGeom prst="rect">
                      <a:avLst/>
                    </a:prstGeom>
                    <a:noFill/>
                    <a:ln>
                      <a:noFill/>
                    </a:ln>
                  </pic:spPr>
                </pic:pic>
              </a:graphicData>
            </a:graphic>
          </wp:inline>
        </w:drawing>
      </w:r>
      <w:r w:rsidRPr="000665B0">
        <w:t xml:space="preserve"> icon on the toolbar or highlight the files in the list view, </w:t>
      </w:r>
      <w:r w:rsidRPr="000665B0">
        <w:lastRenderedPageBreak/>
        <w:t>invoke the context menu (</w:t>
      </w:r>
      <w:r w:rsidR="00D71804" w:rsidRPr="000665B0">
        <w:t>right-click</w:t>
      </w:r>
      <w:r w:rsidRPr="000665B0">
        <w:t xml:space="preserve"> the mouse) and select </w:t>
      </w:r>
      <w:r w:rsidRPr="000665B0">
        <w:rPr>
          <w:bCs/>
        </w:rPr>
        <w:t>Process</w:t>
      </w:r>
      <w:r w:rsidRPr="000665B0">
        <w:t xml:space="preserve">. </w:t>
      </w:r>
    </w:p>
    <w:p w14:paraId="572CE2D0" w14:textId="77777777" w:rsidR="00250123" w:rsidRPr="000665B0" w:rsidRDefault="00250123" w:rsidP="006D5A65">
      <w:pPr>
        <w:pStyle w:val="Heading1"/>
      </w:pPr>
      <w:r w:rsidRPr="000665B0">
        <w:t xml:space="preserve">Click the Yes button in the </w:t>
      </w:r>
      <w:r w:rsidRPr="000665B0">
        <w:rPr>
          <w:i/>
        </w:rPr>
        <w:t>Incoming DDO Data Items</w:t>
      </w:r>
      <w:r w:rsidRPr="000665B0">
        <w:t xml:space="preserve"> window. When the installation is successful, the status column changes from Formatted to Processed. </w:t>
      </w:r>
    </w:p>
    <w:p w14:paraId="70062864" w14:textId="77777777" w:rsidR="00250123" w:rsidRPr="000665B0" w:rsidRDefault="00250123" w:rsidP="006D5A65">
      <w:pPr>
        <w:pStyle w:val="Heading1"/>
      </w:pPr>
      <w:r w:rsidRPr="000665B0">
        <w:t>From the Go menu select DDO Templates.</w:t>
      </w:r>
    </w:p>
    <w:p w14:paraId="37487492" w14:textId="3DD3B04C" w:rsidR="001077CA" w:rsidRPr="000665B0" w:rsidRDefault="00250123" w:rsidP="006D5A65">
      <w:pPr>
        <w:pStyle w:val="Heading1"/>
      </w:pPr>
      <w:r w:rsidRPr="000665B0">
        <w:t>From the File menu select New</w:t>
      </w:r>
      <w:r w:rsidR="00A10C7E" w:rsidRPr="000665B0">
        <w:t>. C</w:t>
      </w:r>
      <w:r w:rsidRPr="000665B0">
        <w:t xml:space="preserve">lick on the </w:t>
      </w:r>
      <w:r w:rsidRPr="000665B0">
        <w:rPr>
          <w:i/>
        </w:rPr>
        <w:t>PCTs</w:t>
      </w:r>
      <w:r w:rsidRPr="000665B0">
        <w:t xml:space="preserve"> tab</w:t>
      </w:r>
      <w:r w:rsidR="00A10C7E" w:rsidRPr="000665B0">
        <w:t>,</w:t>
      </w:r>
      <w:r w:rsidRPr="000665B0">
        <w:t xml:space="preserve"> invoke the context menu (</w:t>
      </w:r>
      <w:r w:rsidR="00D71804" w:rsidRPr="000665B0">
        <w:t>right-click</w:t>
      </w:r>
      <w:r w:rsidRPr="000665B0">
        <w:t>)</w:t>
      </w:r>
      <w:r w:rsidR="00A10C7E" w:rsidRPr="000665B0">
        <w:t>,</w:t>
      </w:r>
      <w:r w:rsidRPr="000665B0">
        <w:t xml:space="preserve"> and select Add to verify a successful import. (If no missiles are visible, then re-attempt the process.)</w:t>
      </w:r>
    </w:p>
    <w:p w14:paraId="71ACE2C6" w14:textId="1F02A73C" w:rsidR="001077CA" w:rsidRPr="000665B0" w:rsidRDefault="001077CA" w:rsidP="009570CA">
      <w:pPr>
        <w:pStyle w:val="Heading4"/>
      </w:pPr>
      <w:bookmarkStart w:id="546" w:name="_4.4.2.3__Valid"/>
      <w:bookmarkStart w:id="547" w:name="_Toc96169727"/>
      <w:bookmarkStart w:id="548" w:name="_Toc96233772"/>
      <w:bookmarkStart w:id="549" w:name="_Toc112733186"/>
      <w:bookmarkEnd w:id="546"/>
      <w:r w:rsidRPr="000665B0">
        <w:t xml:space="preserve">Valid Platform </w:t>
      </w:r>
      <w:bookmarkEnd w:id="547"/>
      <w:bookmarkEnd w:id="548"/>
      <w:bookmarkEnd w:id="549"/>
      <w:r w:rsidRPr="000665B0">
        <w:t>List (VPL)</w:t>
      </w:r>
    </w:p>
    <w:p w14:paraId="32217541" w14:textId="5175B725" w:rsidR="00B92276" w:rsidRDefault="00250123" w:rsidP="001077CA">
      <w:r w:rsidRPr="000665B0">
        <w:t xml:space="preserve">A </w:t>
      </w:r>
      <w:r w:rsidRPr="000665B0">
        <w:rPr>
          <w:i/>
        </w:rPr>
        <w:t>Valid Platform List</w:t>
      </w:r>
      <w:r w:rsidRPr="000665B0">
        <w:t xml:space="preserve"> file is used to import the Platforms list, which in turn populates the Platform and Node</w:t>
      </w:r>
      <w:r w:rsidR="00EB723A" w:rsidRPr="000665B0">
        <w:t>s</w:t>
      </w:r>
      <w:r w:rsidRPr="000665B0">
        <w:t xml:space="preserve"> Tools. This master file, which contains all the valid locations to include MDS, TTWCS, and shore sites such as CMSAs and Developmental/Testing sites, is maintained by the SSA (i.e., WPC).</w:t>
      </w:r>
      <w:r w:rsidR="001077CA" w:rsidRPr="000665B0">
        <w:t xml:space="preserve"> The SSA makes the updated Platforms list available to all sites by placing it on the SIPRNET website at: </w:t>
      </w:r>
      <w:r w:rsidR="001077CA" w:rsidRPr="00BF3552">
        <w:rPr>
          <w:b/>
          <w:bCs/>
        </w:rPr>
        <w:t>http://tci.navy.smil.mil</w:t>
      </w:r>
      <w:r w:rsidR="001077CA" w:rsidRPr="000665B0">
        <w:t>.</w:t>
      </w:r>
    </w:p>
    <w:p w14:paraId="4C482AFF" w14:textId="0FE87B88" w:rsidR="001077CA" w:rsidRPr="000665B0" w:rsidRDefault="001077CA" w:rsidP="001077CA">
      <w:r w:rsidRPr="000665B0">
        <w:t>To import the Platform list:</w:t>
      </w:r>
    </w:p>
    <w:p w14:paraId="07A66849" w14:textId="77777777" w:rsidR="001077CA" w:rsidRPr="000665B0" w:rsidRDefault="001077CA" w:rsidP="006D5A65">
      <w:pPr>
        <w:pStyle w:val="Heading4"/>
      </w:pPr>
      <w:r w:rsidRPr="000665B0">
        <w:t>Logon to the system.</w:t>
      </w:r>
    </w:p>
    <w:p w14:paraId="15FB5E5C" w14:textId="77777777" w:rsidR="00250123" w:rsidRPr="000665B0" w:rsidRDefault="00850872" w:rsidP="006D5A65">
      <w:pPr>
        <w:pStyle w:val="Heading2"/>
      </w:pPr>
      <w:r w:rsidRPr="000665B0">
        <w:t xml:space="preserve">Right-click on the MDS Toolbox desktop shortcut icon </w:t>
      </w:r>
      <w:r w:rsidRPr="000665B0">
        <w:rPr>
          <w:noProof/>
        </w:rPr>
        <w:drawing>
          <wp:inline distT="0" distB="0" distL="0" distR="0" wp14:anchorId="5DEC38BD" wp14:editId="3CE8E0B4">
            <wp:extent cx="276225" cy="247650"/>
            <wp:effectExtent l="19050" t="0" r="9525" b="0"/>
            <wp:docPr id="239"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0665B0">
        <w:t xml:space="preserve"> and select Run as administrator from the resulting pop-up menu.</w:t>
      </w:r>
    </w:p>
    <w:p w14:paraId="675FBED8" w14:textId="77777777" w:rsidR="00250123" w:rsidRDefault="00250123" w:rsidP="006D5A65">
      <w:pPr>
        <w:pStyle w:val="Heading2"/>
      </w:pPr>
      <w:r w:rsidRPr="000665B0">
        <w:t xml:space="preserve">From the </w:t>
      </w:r>
      <w:r w:rsidRPr="000665B0">
        <w:rPr>
          <w:bCs/>
        </w:rPr>
        <w:t>File</w:t>
      </w:r>
      <w:r w:rsidRPr="000665B0">
        <w:t xml:space="preserve"> menu select </w:t>
      </w:r>
      <w:r w:rsidRPr="000665B0">
        <w:rPr>
          <w:bCs/>
        </w:rPr>
        <w:t>Receive File</w:t>
      </w:r>
      <w:r w:rsidRPr="000665B0">
        <w:t>.</w:t>
      </w:r>
    </w:p>
    <w:p w14:paraId="61B0F346" w14:textId="77777777" w:rsidR="00D6611E" w:rsidRPr="007B6DDB" w:rsidRDefault="00D6611E" w:rsidP="008777A7">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7B6DDB">
        <w:rPr>
          <w:b/>
        </w:rPr>
        <w:t>Note:</w:t>
      </w:r>
    </w:p>
    <w:p w14:paraId="66B4777F" w14:textId="7D590C70" w:rsidR="00D6611E" w:rsidRPr="008777A7" w:rsidRDefault="00D6611E" w:rsidP="008777A7">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rPr>
      </w:pPr>
      <w:r w:rsidRPr="007B6DDB">
        <w:rPr>
          <w:b/>
        </w:rPr>
        <w:t>When importing a VPL with Platforms missing that were previously available on the system, the Platform’s missile inventory was not cleared in builds prior to 7.0.2. To prevent errors due to duplicate missile serial and/or tail numbers, please ensure that the missile inventories of the removed Platforms are removed prior to importing the VPL. For further assistance please contact the SSA for information on the VPL in question.</w:t>
      </w:r>
    </w:p>
    <w:p w14:paraId="5F2952FD" w14:textId="142C22AD" w:rsidR="00250123" w:rsidRPr="000665B0" w:rsidRDefault="00250123" w:rsidP="006D5A65">
      <w:pPr>
        <w:pStyle w:val="Heading2"/>
      </w:pPr>
      <w:r w:rsidRPr="000665B0">
        <w:t xml:space="preserve">Locate and select the Valid Platform List file provided separately on the SSA delivered CD (or download the most current file available on the SSAs TCI SIPRNET website at: </w:t>
      </w:r>
      <w:r w:rsidRPr="00BF3552">
        <w:rPr>
          <w:bCs/>
          <w:color w:val="000000" w:themeColor="text1"/>
        </w:rPr>
        <w:t>http://tci.navy.smil.mil</w:t>
      </w:r>
      <w:r w:rsidRPr="000665B0">
        <w:t>).</w:t>
      </w:r>
    </w:p>
    <w:p w14:paraId="4F618AAD" w14:textId="77777777" w:rsidR="00250123" w:rsidRPr="000665B0" w:rsidRDefault="00250123" w:rsidP="006D5A65">
      <w:pPr>
        <w:pStyle w:val="Heading2"/>
      </w:pPr>
      <w:r w:rsidRPr="000665B0">
        <w:t>Click the Open button to initiate processing. If the DDO is not set to automatically process proceed with the remainder of the steps.</w:t>
      </w:r>
    </w:p>
    <w:p w14:paraId="6C11F5B9" w14:textId="77777777" w:rsidR="00250123" w:rsidRPr="000665B0" w:rsidRDefault="00250123" w:rsidP="006D5A65">
      <w:pPr>
        <w:pStyle w:val="Heading1"/>
      </w:pPr>
      <w:r w:rsidRPr="000665B0">
        <w:lastRenderedPageBreak/>
        <w:t>Navigate to the Incoming DDOs Tool.</w:t>
      </w:r>
    </w:p>
    <w:p w14:paraId="080CA31C" w14:textId="3027EA68" w:rsidR="00250123" w:rsidRPr="000665B0" w:rsidRDefault="00250123" w:rsidP="006D5A65">
      <w:pPr>
        <w:pStyle w:val="Heading1"/>
      </w:pPr>
      <w:r w:rsidRPr="000665B0">
        <w:t>Highlight the desired Incoming DDO and invoke the context menu (</w:t>
      </w:r>
      <w:r w:rsidR="00D71804" w:rsidRPr="000665B0">
        <w:t>right-click</w:t>
      </w:r>
      <w:r w:rsidRPr="000665B0">
        <w:t xml:space="preserve"> the mouse) and select Display </w:t>
      </w:r>
      <w:r w:rsidRPr="000665B0">
        <w:rPr>
          <w:rFonts w:cs="Arial"/>
          <w:sz w:val="20"/>
        </w:rPr>
        <w:sym w:font="Wingdings" w:char="F0E0"/>
      </w:r>
      <w:r w:rsidRPr="000665B0">
        <w:t xml:space="preserve"> Textually. The </w:t>
      </w:r>
      <w:r w:rsidRPr="000665B0">
        <w:rPr>
          <w:i/>
        </w:rPr>
        <w:t>Incoming DDO:nnnnn-nnnnn</w:t>
      </w:r>
      <w:r w:rsidRPr="000665B0">
        <w:t xml:space="preserve"> window is displayed providing details about the DDO along with listing the contents. </w:t>
      </w:r>
    </w:p>
    <w:p w14:paraId="67DA2809" w14:textId="6034BAEF" w:rsidR="00250123" w:rsidRPr="000665B0" w:rsidRDefault="00250123" w:rsidP="006D5A65">
      <w:pPr>
        <w:pStyle w:val="Heading1"/>
      </w:pPr>
      <w:r w:rsidRPr="000665B0">
        <w:t xml:space="preserve">From the File menu select Process All, click the Process All </w:t>
      </w:r>
      <w:r w:rsidRPr="000665B0">
        <w:rPr>
          <w:noProof/>
        </w:rPr>
        <w:drawing>
          <wp:inline distT="0" distB="0" distL="0" distR="0" wp14:anchorId="0210CCCE" wp14:editId="4D012598">
            <wp:extent cx="247650" cy="247650"/>
            <wp:effectExtent l="0" t="0" r="0" b="0"/>
            <wp:docPr id="125" name="Picture 125" descr="Description: ProcessAllD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Description: ProcessAllDDOs"/>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47650" cy="247650"/>
                    </a:xfrm>
                    <a:prstGeom prst="rect">
                      <a:avLst/>
                    </a:prstGeom>
                    <a:noFill/>
                    <a:ln>
                      <a:noFill/>
                    </a:ln>
                  </pic:spPr>
                </pic:pic>
              </a:graphicData>
            </a:graphic>
          </wp:inline>
        </w:drawing>
      </w:r>
      <w:r w:rsidRPr="000665B0">
        <w:t xml:space="preserve"> icon on the toolbar or highlight the files in the list view, invoke the context menu (</w:t>
      </w:r>
      <w:r w:rsidR="00D71804" w:rsidRPr="000665B0">
        <w:t>right-click</w:t>
      </w:r>
      <w:r w:rsidRPr="000665B0">
        <w:t xml:space="preserve"> the mouse) and select Process. </w:t>
      </w:r>
    </w:p>
    <w:p w14:paraId="373ECA52" w14:textId="77777777" w:rsidR="00250123" w:rsidRPr="000665B0" w:rsidRDefault="00250123" w:rsidP="006D5A65">
      <w:pPr>
        <w:pStyle w:val="Heading1"/>
      </w:pPr>
      <w:r w:rsidRPr="000665B0">
        <w:t xml:space="preserve">Click the Yes button in the </w:t>
      </w:r>
      <w:r w:rsidRPr="000665B0">
        <w:rPr>
          <w:i/>
        </w:rPr>
        <w:t>Incoming DDO Data Items</w:t>
      </w:r>
      <w:r w:rsidRPr="000665B0">
        <w:t xml:space="preserve"> window. When the installation is successful, the status column changes from Formatted to Processed. </w:t>
      </w:r>
    </w:p>
    <w:p w14:paraId="7EE47896" w14:textId="77777777" w:rsidR="001077CA" w:rsidRPr="000665B0" w:rsidRDefault="00250123" w:rsidP="006D5A65">
      <w:pPr>
        <w:pStyle w:val="Heading1"/>
      </w:pPr>
      <w:r w:rsidRPr="000665B0">
        <w:t>From the Go menu select Platforms to verify a successful import. (If no platforms are visible, then re-attempt the process.)</w:t>
      </w:r>
    </w:p>
    <w:p w14:paraId="1DF319AA" w14:textId="229DFFB1" w:rsidR="001077CA" w:rsidRPr="000665B0" w:rsidRDefault="001077CA" w:rsidP="009570CA">
      <w:pPr>
        <w:pStyle w:val="Heading4"/>
      </w:pPr>
      <w:bookmarkStart w:id="550" w:name="_4.4.2.4__Extended"/>
      <w:bookmarkStart w:id="551" w:name="_Toc96169728"/>
      <w:bookmarkStart w:id="552" w:name="_Toc96233773"/>
      <w:bookmarkStart w:id="553" w:name="_Toc112733187"/>
      <w:bookmarkEnd w:id="550"/>
      <w:r w:rsidRPr="000665B0">
        <w:t>Extended Platform List (XPL)</w:t>
      </w:r>
    </w:p>
    <w:p w14:paraId="122C5C50" w14:textId="4E77D492" w:rsidR="001077CA" w:rsidRPr="000665B0" w:rsidRDefault="001077CA" w:rsidP="001077CA">
      <w:pPr>
        <w:rPr>
          <w:rFonts w:eastAsia="Calibri"/>
        </w:rPr>
      </w:pPr>
      <w:r w:rsidRPr="000665B0">
        <w:t>A</w:t>
      </w:r>
      <w:r w:rsidRPr="000665B0">
        <w:rPr>
          <w:bCs/>
          <w:iCs/>
        </w:rPr>
        <w:t xml:space="preserve">n </w:t>
      </w:r>
      <w:r w:rsidRPr="000665B0">
        <w:rPr>
          <w:i/>
          <w:iCs/>
        </w:rPr>
        <w:t>Extended Platform List</w:t>
      </w:r>
      <w:r w:rsidRPr="000665B0">
        <w:t xml:space="preserve"> file is used to import the Platforms information, which in turn populates the Platform and Node</w:t>
      </w:r>
      <w:r w:rsidR="00EB723A" w:rsidRPr="000665B0">
        <w:t>s</w:t>
      </w:r>
      <w:r w:rsidRPr="000665B0">
        <w:t xml:space="preserve"> Tools. This master file, which contains all updatable Platform and Node information include MDS, TTWCS</w:t>
      </w:r>
      <w:r w:rsidR="00352384" w:rsidRPr="000665B0">
        <w:t>,</w:t>
      </w:r>
      <w:r w:rsidRPr="000665B0">
        <w:t xml:space="preserve"> and shore sites such as CMSAs and Developmental/Testing sites, is maintained by the SSA (i.e., WPC). The SSA makes the updated XPL available to all sites by placing it on the SIPRNET website at: </w:t>
      </w:r>
      <w:r w:rsidRPr="00BF3552">
        <w:rPr>
          <w:b/>
          <w:bCs/>
        </w:rPr>
        <w:t>http://tci.navy.smil.mil</w:t>
      </w:r>
      <w:r w:rsidRPr="000665B0">
        <w:t>.</w:t>
      </w:r>
    </w:p>
    <w:p w14:paraId="4ADE1C77" w14:textId="77777777" w:rsidR="001077CA" w:rsidRPr="000665B0" w:rsidRDefault="001077CA" w:rsidP="0058307F">
      <w:pPr>
        <w:keepNext/>
      </w:pPr>
      <w:r w:rsidRPr="000665B0">
        <w:t>To import the Extended Platform list:</w:t>
      </w:r>
    </w:p>
    <w:p w14:paraId="45F6CBEF" w14:textId="77777777" w:rsidR="001077CA" w:rsidRPr="000665B0" w:rsidRDefault="001077CA" w:rsidP="006D5A65">
      <w:pPr>
        <w:pStyle w:val="Heading4"/>
      </w:pPr>
      <w:r w:rsidRPr="000665B0">
        <w:t>Logon to the system.</w:t>
      </w:r>
    </w:p>
    <w:p w14:paraId="27FA6D56" w14:textId="77777777" w:rsidR="00E71885" w:rsidRPr="000665B0" w:rsidRDefault="00850872" w:rsidP="006D5A65">
      <w:pPr>
        <w:pStyle w:val="Heading2"/>
      </w:pPr>
      <w:r w:rsidRPr="000665B0">
        <w:t xml:space="preserve">Right-click on the MDS Toolbox desktop shortcut icon </w:t>
      </w:r>
      <w:r w:rsidRPr="000665B0">
        <w:rPr>
          <w:noProof/>
        </w:rPr>
        <w:drawing>
          <wp:inline distT="0" distB="0" distL="0" distR="0" wp14:anchorId="2A9EADA9" wp14:editId="400C1EA5">
            <wp:extent cx="276225" cy="247650"/>
            <wp:effectExtent l="19050" t="0" r="9525" b="0"/>
            <wp:docPr id="240"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0665B0">
        <w:t xml:space="preserve"> and select Run as administrator from the resulting pop-up menu.</w:t>
      </w:r>
    </w:p>
    <w:p w14:paraId="4D414A18" w14:textId="77777777" w:rsidR="001077CA" w:rsidRPr="000665B0" w:rsidRDefault="001077CA" w:rsidP="006D5A65">
      <w:pPr>
        <w:pStyle w:val="Heading2"/>
      </w:pPr>
      <w:r w:rsidRPr="000665B0">
        <w:t xml:space="preserve">From the </w:t>
      </w:r>
      <w:r w:rsidRPr="000665B0">
        <w:rPr>
          <w:bCs/>
        </w:rPr>
        <w:t>File</w:t>
      </w:r>
      <w:r w:rsidRPr="000665B0">
        <w:t xml:space="preserve"> menu select </w:t>
      </w:r>
      <w:r w:rsidRPr="000665B0">
        <w:rPr>
          <w:bCs/>
        </w:rPr>
        <w:t>Receive File</w:t>
      </w:r>
      <w:r w:rsidRPr="000665B0">
        <w:t>.</w:t>
      </w:r>
    </w:p>
    <w:p w14:paraId="5CC449FE" w14:textId="5C63A208" w:rsidR="001077CA" w:rsidRPr="000665B0" w:rsidRDefault="005F7387" w:rsidP="006D5A65">
      <w:pPr>
        <w:pStyle w:val="Heading2"/>
      </w:pPr>
      <w:r w:rsidRPr="000665B0">
        <w:t xml:space="preserve">Locate and select the Extended Platform List file provided separately on the SSA delivered CD (or download the most current file available on the SSAs TCI SIPRNET website at: </w:t>
      </w:r>
      <w:r w:rsidRPr="00BF3552">
        <w:rPr>
          <w:bCs/>
          <w:color w:val="000000" w:themeColor="text1"/>
        </w:rPr>
        <w:t>http://tci.navy.smil.mil</w:t>
      </w:r>
      <w:r w:rsidRPr="000665B0">
        <w:t>).</w:t>
      </w:r>
    </w:p>
    <w:p w14:paraId="715775DA" w14:textId="77777777" w:rsidR="001077CA" w:rsidRPr="000665B0" w:rsidRDefault="001077CA" w:rsidP="006D5A65">
      <w:pPr>
        <w:pStyle w:val="Heading2"/>
      </w:pPr>
      <w:r w:rsidRPr="000665B0">
        <w:t>Click the Open button to initiate processing. If the DDO is not set to automatically process proceed with the remainder of the steps.</w:t>
      </w:r>
    </w:p>
    <w:p w14:paraId="43513191" w14:textId="77777777" w:rsidR="001077CA" w:rsidRPr="000665B0" w:rsidRDefault="001077CA" w:rsidP="006D5A65">
      <w:pPr>
        <w:pStyle w:val="Heading2"/>
      </w:pPr>
      <w:r w:rsidRPr="000665B0">
        <w:t>Navigate to the Incoming DDOs Tool.</w:t>
      </w:r>
    </w:p>
    <w:p w14:paraId="1CE76DCE" w14:textId="124F511B" w:rsidR="001077CA" w:rsidRPr="000665B0" w:rsidRDefault="005F7387" w:rsidP="006D5A65">
      <w:pPr>
        <w:pStyle w:val="Heading2"/>
      </w:pPr>
      <w:r w:rsidRPr="000665B0">
        <w:lastRenderedPageBreak/>
        <w:t>Highlight the desired Incoming DDO and invoke the context menu (</w:t>
      </w:r>
      <w:r w:rsidR="00D71804" w:rsidRPr="000665B0">
        <w:t>right-click</w:t>
      </w:r>
      <w:r w:rsidRPr="000665B0">
        <w:t xml:space="preserve"> the mouse) and select Display </w:t>
      </w:r>
      <w:r w:rsidRPr="000665B0">
        <w:rPr>
          <w:rFonts w:cs="Arial"/>
          <w:sz w:val="20"/>
        </w:rPr>
        <w:sym w:font="Wingdings" w:char="F0E0"/>
      </w:r>
      <w:r w:rsidRPr="000665B0">
        <w:t xml:space="preserve"> Textually. The </w:t>
      </w:r>
      <w:r w:rsidRPr="000665B0">
        <w:rPr>
          <w:i/>
        </w:rPr>
        <w:t>Incoming DDO:nnnnn-nnnnn</w:t>
      </w:r>
      <w:r w:rsidRPr="000665B0">
        <w:t xml:space="preserve"> window is displayed providing details about the DDO along with listing the contents.</w:t>
      </w:r>
      <w:r w:rsidR="001077CA" w:rsidRPr="000665B0">
        <w:t xml:space="preserve"> </w:t>
      </w:r>
    </w:p>
    <w:p w14:paraId="756C416A" w14:textId="1C5AC8AB" w:rsidR="001077CA" w:rsidRPr="000665B0" w:rsidRDefault="005F7387" w:rsidP="006D5A65">
      <w:pPr>
        <w:pStyle w:val="Heading2"/>
      </w:pPr>
      <w:r w:rsidRPr="000665B0">
        <w:t xml:space="preserve">From the File menu select Process All, click the Process All </w:t>
      </w:r>
      <w:r w:rsidRPr="000665B0">
        <w:rPr>
          <w:noProof/>
        </w:rPr>
        <w:drawing>
          <wp:inline distT="0" distB="0" distL="0" distR="0" wp14:anchorId="51F0FD78" wp14:editId="2C008565">
            <wp:extent cx="243840" cy="243840"/>
            <wp:effectExtent l="0" t="0" r="3810" b="3810"/>
            <wp:docPr id="151" name="Picture 151" descr="Description: ProcessAllD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Description: ProcessAllDDOs"/>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43840" cy="243840"/>
                    </a:xfrm>
                    <a:prstGeom prst="rect">
                      <a:avLst/>
                    </a:prstGeom>
                    <a:noFill/>
                    <a:ln>
                      <a:noFill/>
                    </a:ln>
                  </pic:spPr>
                </pic:pic>
              </a:graphicData>
            </a:graphic>
          </wp:inline>
        </w:drawing>
      </w:r>
      <w:r w:rsidRPr="000665B0">
        <w:t xml:space="preserve"> icon on the toolbar or highlight the files in the list view, invoke the context menu (</w:t>
      </w:r>
      <w:r w:rsidR="00D71804" w:rsidRPr="000665B0">
        <w:t>right-click</w:t>
      </w:r>
      <w:r w:rsidRPr="000665B0">
        <w:t xml:space="preserve"> the mouse) and select Process.</w:t>
      </w:r>
      <w:r w:rsidR="001077CA" w:rsidRPr="000665B0">
        <w:t xml:space="preserve"> </w:t>
      </w:r>
    </w:p>
    <w:p w14:paraId="55166795" w14:textId="77777777" w:rsidR="001077CA" w:rsidRPr="000665B0" w:rsidRDefault="005F7387" w:rsidP="006D5A65">
      <w:pPr>
        <w:pStyle w:val="Heading2"/>
      </w:pPr>
      <w:r w:rsidRPr="000665B0">
        <w:t xml:space="preserve">Click the Yes button in the </w:t>
      </w:r>
      <w:r w:rsidRPr="000665B0">
        <w:rPr>
          <w:i/>
        </w:rPr>
        <w:t>Incoming DDO Data Items</w:t>
      </w:r>
      <w:r w:rsidRPr="000665B0">
        <w:t xml:space="preserve"> window. When the installation is successful, the status column changes from Formatted to Processed.</w:t>
      </w:r>
    </w:p>
    <w:p w14:paraId="5790A481" w14:textId="77777777" w:rsidR="001077CA" w:rsidRPr="000665B0" w:rsidRDefault="001077CA" w:rsidP="006D5A65">
      <w:pPr>
        <w:pStyle w:val="Heading2"/>
      </w:pPr>
      <w:r w:rsidRPr="000665B0">
        <w:t>From the Go menu select Platforms to verify a successful import. (If no platforms are visible, then re-attempt the process.)</w:t>
      </w:r>
    </w:p>
    <w:p w14:paraId="6303DFD9" w14:textId="2266EBFD" w:rsidR="001077CA" w:rsidRPr="000665B0" w:rsidRDefault="001077CA" w:rsidP="009570CA">
      <w:pPr>
        <w:pStyle w:val="Heading4"/>
      </w:pPr>
      <w:bookmarkStart w:id="554" w:name="_4.4.5__2.5"/>
      <w:bookmarkEnd w:id="554"/>
      <w:r w:rsidRPr="000665B0">
        <w:t>Initial Mission Population</w:t>
      </w:r>
      <w:bookmarkEnd w:id="551"/>
      <w:bookmarkEnd w:id="552"/>
      <w:bookmarkEnd w:id="553"/>
    </w:p>
    <w:p w14:paraId="26AF72C2" w14:textId="77777777" w:rsidR="001077CA" w:rsidRPr="000665B0" w:rsidRDefault="001077CA" w:rsidP="001077CA">
      <w:r w:rsidRPr="000665B0">
        <w:t>Once the MDS application is successfully installed, and the preliminary database initialization files (VMIL and PCTRF files) are loaded, the database can be populated with missions. Although the VFIL and Valid Platform List files will have to be loaded to perform various MDS functions, they are not required for successfully loading missions.</w:t>
      </w:r>
    </w:p>
    <w:p w14:paraId="33D237AC" w14:textId="77777777" w:rsidR="001077CA" w:rsidRPr="000665B0" w:rsidRDefault="001077CA" w:rsidP="001077CA">
      <w:r w:rsidRPr="000665B0">
        <w:t>Initial missions are generated by the CMSAs and distributed to sites for importing. This will be via a CDROM, magnetic disk, or through TCI NET (for those sites with this connectivity capability).</w:t>
      </w:r>
    </w:p>
    <w:p w14:paraId="22AE87FE" w14:textId="77777777" w:rsidR="001077CA" w:rsidRPr="000665B0" w:rsidRDefault="001077CA" w:rsidP="001077CA">
      <w:r w:rsidRPr="000665B0">
        <w:t>To import the Mission list:</w:t>
      </w:r>
    </w:p>
    <w:p w14:paraId="1CA3F231" w14:textId="77777777" w:rsidR="001077CA" w:rsidRPr="000665B0" w:rsidRDefault="001077CA" w:rsidP="006D5A65">
      <w:pPr>
        <w:pStyle w:val="Heading1"/>
      </w:pPr>
      <w:r w:rsidRPr="000665B0">
        <w:t>Logon to the system.</w:t>
      </w:r>
    </w:p>
    <w:p w14:paraId="588F1040" w14:textId="77777777" w:rsidR="00C43EA9" w:rsidRPr="000665B0" w:rsidRDefault="00850872" w:rsidP="006D5A65">
      <w:pPr>
        <w:pStyle w:val="Heading1"/>
      </w:pPr>
      <w:r w:rsidRPr="000665B0">
        <w:t xml:space="preserve">Right-click on the MDS Toolbox desktop shortcut icon </w:t>
      </w:r>
      <w:r w:rsidRPr="000665B0">
        <w:rPr>
          <w:noProof/>
        </w:rPr>
        <w:drawing>
          <wp:inline distT="0" distB="0" distL="0" distR="0" wp14:anchorId="0CDD3AC7" wp14:editId="2B0A4B49">
            <wp:extent cx="276225" cy="247650"/>
            <wp:effectExtent l="19050" t="0" r="9525" b="0"/>
            <wp:docPr id="265"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0665B0">
        <w:t xml:space="preserve"> and select Run as administrator from the resulting pop-up menu.</w:t>
      </w:r>
    </w:p>
    <w:p w14:paraId="036F47E9" w14:textId="77777777" w:rsidR="001077CA" w:rsidRPr="000665B0" w:rsidRDefault="001077CA" w:rsidP="006D5A65">
      <w:pPr>
        <w:pStyle w:val="Heading1"/>
      </w:pPr>
      <w:r w:rsidRPr="000665B0">
        <w:t xml:space="preserve">From the </w:t>
      </w:r>
      <w:r w:rsidRPr="000665B0">
        <w:rPr>
          <w:bCs/>
        </w:rPr>
        <w:t>File</w:t>
      </w:r>
      <w:r w:rsidRPr="000665B0">
        <w:t xml:space="preserve"> menu select </w:t>
      </w:r>
      <w:r w:rsidRPr="000665B0">
        <w:rPr>
          <w:bCs/>
        </w:rPr>
        <w:t>Receive File</w:t>
      </w:r>
      <w:r w:rsidRPr="000665B0">
        <w:t>.</w:t>
      </w:r>
    </w:p>
    <w:p w14:paraId="5F267542" w14:textId="1998E51F" w:rsidR="001077CA" w:rsidRPr="000665B0" w:rsidRDefault="001077CA" w:rsidP="006D5A65">
      <w:pPr>
        <w:pStyle w:val="Heading1"/>
      </w:pPr>
      <w:r w:rsidRPr="000665B0">
        <w:t xml:space="preserve">Locate and select the Missions file provided separately on the SSA delivered CD (or download the most current file available on the SSAs TCI SIPRNET website at: </w:t>
      </w:r>
      <w:r w:rsidR="00BF53F2" w:rsidRPr="00BF3552">
        <w:rPr>
          <w:bCs/>
          <w:color w:val="000000" w:themeColor="text1"/>
        </w:rPr>
        <w:t>http://tci.navy.smil.mil</w:t>
      </w:r>
      <w:r w:rsidRPr="000665B0">
        <w:t>).</w:t>
      </w:r>
    </w:p>
    <w:p w14:paraId="616D46FB" w14:textId="77777777" w:rsidR="001077CA" w:rsidRPr="000665B0" w:rsidRDefault="001077CA" w:rsidP="006D5A65">
      <w:pPr>
        <w:pStyle w:val="Heading1"/>
      </w:pPr>
      <w:r w:rsidRPr="000665B0">
        <w:t>Click the Open button to initiate processing. If the DDO is not set to automatically process proceed with the remainder of the steps.</w:t>
      </w:r>
    </w:p>
    <w:p w14:paraId="3848FB80" w14:textId="77777777" w:rsidR="001077CA" w:rsidRPr="000665B0" w:rsidRDefault="001077CA" w:rsidP="006D5A65">
      <w:pPr>
        <w:pStyle w:val="Heading1"/>
      </w:pPr>
      <w:r w:rsidRPr="000665B0">
        <w:t>Navigate to the Incoming DDOs Tool.</w:t>
      </w:r>
    </w:p>
    <w:p w14:paraId="62E5420D" w14:textId="7A695030" w:rsidR="001077CA" w:rsidRPr="000665B0" w:rsidRDefault="00C43EA9" w:rsidP="006D5A65">
      <w:pPr>
        <w:pStyle w:val="Heading1"/>
      </w:pPr>
      <w:r w:rsidRPr="000665B0">
        <w:t>Highlight the desired Incoming DDO and invoke the context menu (</w:t>
      </w:r>
      <w:r w:rsidR="00D71804" w:rsidRPr="000665B0">
        <w:t>right-click</w:t>
      </w:r>
      <w:r w:rsidRPr="000665B0">
        <w:t xml:space="preserve"> the mouse) and select </w:t>
      </w:r>
      <w:r w:rsidRPr="000665B0">
        <w:rPr>
          <w:bCs/>
        </w:rPr>
        <w:t xml:space="preserve">Display </w:t>
      </w:r>
      <w:r w:rsidRPr="000665B0">
        <w:sym w:font="Wingdings" w:char="F0E0"/>
      </w:r>
      <w:r w:rsidRPr="000665B0">
        <w:rPr>
          <w:bCs/>
        </w:rPr>
        <w:t xml:space="preserve"> Textually</w:t>
      </w:r>
      <w:r w:rsidRPr="000665B0">
        <w:t xml:space="preserve">. </w:t>
      </w:r>
      <w:r w:rsidRPr="000665B0">
        <w:lastRenderedPageBreak/>
        <w:t xml:space="preserve">The </w:t>
      </w:r>
      <w:r w:rsidRPr="000665B0">
        <w:rPr>
          <w:i/>
        </w:rPr>
        <w:t xml:space="preserve">Incoming </w:t>
      </w:r>
      <w:r w:rsidRPr="000665B0">
        <w:rPr>
          <w:i/>
          <w:iCs/>
        </w:rPr>
        <w:t>DDO:nnnnn-nnnnn</w:t>
      </w:r>
      <w:r w:rsidRPr="000665B0">
        <w:rPr>
          <w:i/>
        </w:rPr>
        <w:t xml:space="preserve"> </w:t>
      </w:r>
      <w:r w:rsidRPr="000665B0">
        <w:t>window is displayed providing details about the DDO along with listing the contents</w:t>
      </w:r>
      <w:r w:rsidR="001077CA" w:rsidRPr="000665B0">
        <w:t xml:space="preserve">. </w:t>
      </w:r>
    </w:p>
    <w:p w14:paraId="1023E3C9" w14:textId="32FB0EAE" w:rsidR="001077CA" w:rsidRPr="000665B0" w:rsidRDefault="001077CA" w:rsidP="006D5A65">
      <w:pPr>
        <w:pStyle w:val="Heading1"/>
      </w:pPr>
      <w:r w:rsidRPr="000665B0">
        <w:t xml:space="preserve">From the File menu select </w:t>
      </w:r>
      <w:r w:rsidRPr="000665B0">
        <w:rPr>
          <w:bCs/>
        </w:rPr>
        <w:t>Process All</w:t>
      </w:r>
      <w:r w:rsidRPr="000665B0">
        <w:t xml:space="preserve">, click the Process All </w:t>
      </w:r>
      <w:r w:rsidRPr="000665B0">
        <w:rPr>
          <w:noProof/>
        </w:rPr>
        <w:drawing>
          <wp:inline distT="0" distB="0" distL="0" distR="0" wp14:anchorId="7AC2CA8C" wp14:editId="44F6EFF5">
            <wp:extent cx="247650" cy="247650"/>
            <wp:effectExtent l="0" t="0" r="0" b="0"/>
            <wp:docPr id="191" name="Picture 191" descr="Description: ProcessAllD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Description: ProcessAllDDOs"/>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47650" cy="247650"/>
                    </a:xfrm>
                    <a:prstGeom prst="rect">
                      <a:avLst/>
                    </a:prstGeom>
                    <a:noFill/>
                    <a:ln>
                      <a:noFill/>
                    </a:ln>
                  </pic:spPr>
                </pic:pic>
              </a:graphicData>
            </a:graphic>
          </wp:inline>
        </w:drawing>
      </w:r>
      <w:r w:rsidRPr="000665B0">
        <w:t xml:space="preserve"> </w:t>
      </w:r>
      <w:r w:rsidR="00C43EA9" w:rsidRPr="000665B0">
        <w:t>icon on the toolbar or highlight the files in the list view, invoke the context menu (</w:t>
      </w:r>
      <w:r w:rsidR="00D71804" w:rsidRPr="000665B0">
        <w:t>right-click</w:t>
      </w:r>
      <w:r w:rsidR="00C43EA9" w:rsidRPr="000665B0">
        <w:t xml:space="preserve"> the mouse) and select </w:t>
      </w:r>
      <w:r w:rsidR="00C43EA9" w:rsidRPr="000665B0">
        <w:rPr>
          <w:bCs/>
        </w:rPr>
        <w:t>Process</w:t>
      </w:r>
      <w:r w:rsidR="00C43EA9" w:rsidRPr="000665B0">
        <w:t>.</w:t>
      </w:r>
      <w:r w:rsidRPr="000665B0">
        <w:t xml:space="preserve"> </w:t>
      </w:r>
    </w:p>
    <w:p w14:paraId="4BE6618C" w14:textId="77777777" w:rsidR="001077CA" w:rsidRPr="000665B0" w:rsidRDefault="000B397E" w:rsidP="006D5A65">
      <w:pPr>
        <w:pStyle w:val="Heading1"/>
      </w:pPr>
      <w:r w:rsidRPr="000665B0">
        <w:t xml:space="preserve">Click the Yes button in the </w:t>
      </w:r>
      <w:r w:rsidRPr="000665B0">
        <w:rPr>
          <w:i/>
        </w:rPr>
        <w:t>Incoming DDO Data Items</w:t>
      </w:r>
      <w:r w:rsidRPr="000665B0">
        <w:t xml:space="preserve"> window. When the installation is successful, the status column changes from Formatted to Processed.</w:t>
      </w:r>
    </w:p>
    <w:p w14:paraId="4CDBDE22" w14:textId="62B1BCBA" w:rsidR="0012567C" w:rsidRDefault="001077CA" w:rsidP="006D5A65">
      <w:pPr>
        <w:pStyle w:val="Heading1"/>
      </w:pPr>
      <w:r w:rsidRPr="000665B0">
        <w:t>From the Go menu select Missions to verify a successful import. (If no missions are visible, then re-attempt the process.)</w:t>
      </w:r>
    </w:p>
    <w:p w14:paraId="3D31DFCB" w14:textId="35FDFAEE" w:rsidR="0012567C" w:rsidRDefault="0012567C" w:rsidP="009570CA">
      <w:pPr>
        <w:pStyle w:val="Heading4"/>
      </w:pPr>
      <w:r>
        <w:t>Maritime</w:t>
      </w:r>
      <w:r w:rsidR="00C36B36">
        <w:t xml:space="preserve"> Target</w:t>
      </w:r>
      <w:r>
        <w:t xml:space="preserve"> Information File (MTIF)</w:t>
      </w:r>
    </w:p>
    <w:p w14:paraId="29DAFFC1" w14:textId="0019F19D" w:rsidR="0012567C" w:rsidRDefault="0012567C" w:rsidP="0012567C">
      <w:r>
        <w:t>Maritime Target Information files (Seeker Data File – Active (SDFA), Seeker Data File – Passive (SDFP), Tactical Decision Aid (TDA)</w:t>
      </w:r>
      <w:r w:rsidR="00F1771E">
        <w:t>,</w:t>
      </w:r>
      <w:r>
        <w:t xml:space="preserve"> and Target Class Index List (TCIL)) are necessary for track management (TCIL) and assist TSRT in rehearsal scenarios (SDFA, SDFP</w:t>
      </w:r>
      <w:r w:rsidR="00F1771E">
        <w:t>,</w:t>
      </w:r>
      <w:r>
        <w:t xml:space="preserve"> and TDA). The MTIF Compatibility File (MCF) is also included in the MTIF and contains version information for the various files.</w:t>
      </w:r>
    </w:p>
    <w:p w14:paraId="7924868F" w14:textId="38379E94" w:rsidR="0012567C" w:rsidRDefault="0012567C" w:rsidP="0012567C">
      <w:r>
        <w:t xml:space="preserve"> The Mission Support Cell (MSC) shall distribute these files in a single zipped file.</w:t>
      </w:r>
    </w:p>
    <w:p w14:paraId="094B1749" w14:textId="77777777" w:rsidR="0012567C" w:rsidRDefault="0012567C" w:rsidP="0012567C">
      <w:r>
        <w:t>To import MTIF files:</w:t>
      </w:r>
    </w:p>
    <w:p w14:paraId="20C8FE66" w14:textId="77777777" w:rsidR="0012567C" w:rsidRDefault="0012567C" w:rsidP="006D5A65">
      <w:pPr>
        <w:pStyle w:val="Heading1"/>
      </w:pPr>
      <w:r>
        <w:t>Logon to the system.</w:t>
      </w:r>
    </w:p>
    <w:p w14:paraId="59D44F58" w14:textId="3CCA84B7" w:rsidR="0012567C" w:rsidRDefault="0012567C" w:rsidP="006D5A65">
      <w:pPr>
        <w:pStyle w:val="Heading1"/>
      </w:pPr>
      <w:r>
        <w:t xml:space="preserve">Right-click on the MDS Toolbox desktop shortcut icon </w:t>
      </w:r>
      <w:r>
        <w:rPr>
          <w:noProof/>
        </w:rPr>
        <w:drawing>
          <wp:inline distT="0" distB="0" distL="0" distR="0" wp14:anchorId="75596EB3" wp14:editId="40D815D6">
            <wp:extent cx="276225" cy="247650"/>
            <wp:effectExtent l="0" t="0" r="9525" b="0"/>
            <wp:docPr id="956604484" name="Picture 2"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276225" cy="247650"/>
                    </a:xfrm>
                    <a:prstGeom prst="rect">
                      <a:avLst/>
                    </a:prstGeom>
                    <a:noFill/>
                    <a:ln>
                      <a:noFill/>
                    </a:ln>
                  </pic:spPr>
                </pic:pic>
              </a:graphicData>
            </a:graphic>
          </wp:inline>
        </w:drawing>
      </w:r>
      <w:r>
        <w:t xml:space="preserve"> and select Run as administrator from the resulting pop-up menu.</w:t>
      </w:r>
    </w:p>
    <w:p w14:paraId="40F4B6F7" w14:textId="77777777" w:rsidR="0012567C" w:rsidRDefault="0012567C" w:rsidP="006D5A65">
      <w:pPr>
        <w:pStyle w:val="Heading1"/>
      </w:pPr>
      <w:r>
        <w:t xml:space="preserve">From the </w:t>
      </w:r>
      <w:r>
        <w:rPr>
          <w:bCs/>
        </w:rPr>
        <w:t>File</w:t>
      </w:r>
      <w:r>
        <w:t xml:space="preserve"> menu select </w:t>
      </w:r>
      <w:r>
        <w:rPr>
          <w:bCs/>
        </w:rPr>
        <w:t>Receive File</w:t>
      </w:r>
      <w:r>
        <w:t>.</w:t>
      </w:r>
    </w:p>
    <w:p w14:paraId="071BECF6" w14:textId="1492D67B" w:rsidR="0012567C" w:rsidRDefault="0012567C" w:rsidP="006D5A65">
      <w:pPr>
        <w:pStyle w:val="Heading1"/>
      </w:pPr>
      <w:r>
        <w:t>Locate and select the MTIF files provided separately on the SSA delivered CD (or download the most current file available on the SSA</w:t>
      </w:r>
      <w:r w:rsidR="00F1771E">
        <w:t>’</w:t>
      </w:r>
      <w:r>
        <w:t xml:space="preserve">s TCI SIPRNET website at: </w:t>
      </w:r>
      <w:r w:rsidRPr="00BF3552">
        <w:rPr>
          <w:bCs/>
          <w:color w:val="000000" w:themeColor="text1"/>
        </w:rPr>
        <w:t>http://tci.navy.smil.mil</w:t>
      </w:r>
      <w:r>
        <w:t>).</w:t>
      </w:r>
    </w:p>
    <w:p w14:paraId="555E5AEE" w14:textId="33700C0E" w:rsidR="0012567C" w:rsidRDefault="0012567C" w:rsidP="006D5A65">
      <w:pPr>
        <w:pStyle w:val="Heading1"/>
      </w:pPr>
      <w:r>
        <w:t>Click the Open button to initiate processing. If the DDO is not set to automatically process</w:t>
      </w:r>
      <w:r w:rsidR="00F1771E">
        <w:t>,</w:t>
      </w:r>
      <w:r>
        <w:t xml:space="preserve"> proceed with the remainder of the steps.</w:t>
      </w:r>
    </w:p>
    <w:p w14:paraId="1FD333D4" w14:textId="77777777" w:rsidR="0012567C" w:rsidRDefault="0012567C" w:rsidP="006D5A65">
      <w:pPr>
        <w:pStyle w:val="Heading1"/>
      </w:pPr>
      <w:r>
        <w:t>Navigate to the Incoming DDOs Tool.</w:t>
      </w:r>
    </w:p>
    <w:p w14:paraId="04781DEB" w14:textId="77777777" w:rsidR="0012567C" w:rsidRDefault="0012567C" w:rsidP="006D5A65">
      <w:pPr>
        <w:pStyle w:val="Heading1"/>
      </w:pPr>
      <w:r>
        <w:t xml:space="preserve">Highlight the desired Incoming DDO and invoke the context menu (right-click the mouse) and select </w:t>
      </w:r>
      <w:r>
        <w:rPr>
          <w:bCs/>
        </w:rPr>
        <w:t xml:space="preserve">Display </w:t>
      </w:r>
      <w:r>
        <w:sym w:font="Wingdings" w:char="F0E0"/>
      </w:r>
      <w:r>
        <w:rPr>
          <w:bCs/>
        </w:rPr>
        <w:t xml:space="preserve"> Textually</w:t>
      </w:r>
      <w:r>
        <w:t xml:space="preserve">. The </w:t>
      </w:r>
      <w:r>
        <w:rPr>
          <w:i/>
        </w:rPr>
        <w:t xml:space="preserve">Incoming </w:t>
      </w:r>
      <w:r>
        <w:rPr>
          <w:i/>
          <w:iCs/>
        </w:rPr>
        <w:t>DDO:nnnnn-nnnnn</w:t>
      </w:r>
      <w:r>
        <w:rPr>
          <w:i/>
        </w:rPr>
        <w:t xml:space="preserve"> </w:t>
      </w:r>
      <w:r>
        <w:t xml:space="preserve">window is displayed providing details about the DDO along with listing the contents. </w:t>
      </w:r>
    </w:p>
    <w:p w14:paraId="0F2061F1" w14:textId="3243E08F" w:rsidR="0012567C" w:rsidRDefault="0012567C" w:rsidP="006D5A65">
      <w:pPr>
        <w:pStyle w:val="Heading1"/>
      </w:pPr>
      <w:r>
        <w:t>From the File menu</w:t>
      </w:r>
      <w:r w:rsidR="00F1771E">
        <w:t>,</w:t>
      </w:r>
      <w:r>
        <w:t xml:space="preserve"> select </w:t>
      </w:r>
      <w:r>
        <w:rPr>
          <w:bCs/>
        </w:rPr>
        <w:t>Process All</w:t>
      </w:r>
      <w:r>
        <w:t xml:space="preserve">, click the Process All </w:t>
      </w:r>
      <w:r>
        <w:rPr>
          <w:noProof/>
        </w:rPr>
        <w:drawing>
          <wp:inline distT="0" distB="0" distL="0" distR="0" wp14:anchorId="02F8C08B" wp14:editId="1C5A515F">
            <wp:extent cx="247650" cy="247650"/>
            <wp:effectExtent l="0" t="0" r="0" b="0"/>
            <wp:docPr id="1188133332" name="Picture 1" descr="Description: ProcessAllD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80360" descr="Description: ProcessAllDDOs"/>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icon on the toolbar</w:t>
      </w:r>
      <w:r w:rsidR="00F1771E">
        <w:t>,</w:t>
      </w:r>
      <w:r>
        <w:t xml:space="preserve"> or highlight the files in the list view, </w:t>
      </w:r>
      <w:r>
        <w:lastRenderedPageBreak/>
        <w:t xml:space="preserve">invoke the context menu (right-click the mouse) and select </w:t>
      </w:r>
      <w:r>
        <w:rPr>
          <w:bCs/>
        </w:rPr>
        <w:t>Process</w:t>
      </w:r>
      <w:r>
        <w:t xml:space="preserve">. </w:t>
      </w:r>
    </w:p>
    <w:p w14:paraId="685A1C69" w14:textId="77777777" w:rsidR="0012567C" w:rsidRDefault="0012567C" w:rsidP="006D5A65">
      <w:pPr>
        <w:pStyle w:val="Heading1"/>
      </w:pPr>
      <w:r>
        <w:t xml:space="preserve">Click the Yes button in the </w:t>
      </w:r>
      <w:r>
        <w:rPr>
          <w:i/>
        </w:rPr>
        <w:t>Incoming DDO Data Items</w:t>
      </w:r>
      <w:r>
        <w:t xml:space="preserve"> window. When the installation is successful, the status column changes from Formatted to Processed.</w:t>
      </w:r>
    </w:p>
    <w:p w14:paraId="46A15B80" w14:textId="0C56AC81" w:rsidR="0012567C" w:rsidRPr="0012567C" w:rsidRDefault="0012567C" w:rsidP="006D5A65">
      <w:pPr>
        <w:pStyle w:val="Heading1"/>
      </w:pPr>
      <w:r>
        <w:t>From the Go menu select Tracks</w:t>
      </w:r>
      <w:r>
        <w:rPr>
          <w:bCs/>
        </w:rPr>
        <w:t xml:space="preserve">, right-click on an empty area of the Track Tool and select </w:t>
      </w:r>
      <w:r>
        <w:t>Add Track. To verify a successful import of TCIL data ensure the Track Ship Class list of the Add Track dialog is populated. (If no ship classes are visible, then re-attempt the process.)</w:t>
      </w:r>
    </w:p>
    <w:p w14:paraId="08F2CB7F" w14:textId="1392AE03" w:rsidR="00C43EA9" w:rsidRPr="000665B0" w:rsidRDefault="00757321" w:rsidP="00C32ED9">
      <w:pPr>
        <w:pStyle w:val="Heading2"/>
        <w:spacing w:before="240"/>
      </w:pPr>
      <w:bookmarkStart w:id="555" w:name="_4.5__TC2S"/>
      <w:bookmarkStart w:id="556" w:name="_4__"/>
      <w:bookmarkStart w:id="557" w:name="_Toc112733190"/>
      <w:bookmarkStart w:id="558" w:name="_Toc145397783"/>
      <w:bookmarkStart w:id="559" w:name="_Toc214283122"/>
      <w:bookmarkStart w:id="560" w:name="_Hlk59690434"/>
      <w:bookmarkStart w:id="561" w:name="_Toc96169731"/>
      <w:bookmarkStart w:id="562" w:name="_Toc96233776"/>
      <w:bookmarkStart w:id="563" w:name="_Toc112733202"/>
      <w:bookmarkEnd w:id="555"/>
      <w:bookmarkEnd w:id="556"/>
      <w:r w:rsidRPr="000665B0">
        <w:t xml:space="preserve">TMPC </w:t>
      </w:r>
      <w:r w:rsidR="009947A2" w:rsidRPr="000665B0">
        <w:t>DATABASE UTILITY</w:t>
      </w:r>
      <w:bookmarkEnd w:id="557"/>
      <w:bookmarkEnd w:id="558"/>
      <w:bookmarkEnd w:id="559"/>
    </w:p>
    <w:p w14:paraId="6575742B" w14:textId="2ACB1B39" w:rsidR="001077CA" w:rsidRPr="000665B0" w:rsidRDefault="001077CA" w:rsidP="001077CA">
      <w:pPr>
        <w:rPr>
          <w:b/>
          <w:i/>
        </w:rPr>
      </w:pPr>
      <w:r w:rsidRPr="000665B0">
        <w:t xml:space="preserve">The </w:t>
      </w:r>
      <w:r w:rsidR="00757321" w:rsidRPr="000665B0">
        <w:rPr>
          <w:b/>
        </w:rPr>
        <w:t xml:space="preserve">TMPC </w:t>
      </w:r>
      <w:r w:rsidRPr="000665B0">
        <w:rPr>
          <w:b/>
        </w:rPr>
        <w:t>Database Utility</w:t>
      </w:r>
      <w:r w:rsidRPr="000665B0">
        <w:t xml:space="preserve"> is a standalone application that provides an operator with System Administrator privileges to create, delete, </w:t>
      </w:r>
      <w:r w:rsidR="00B93D25" w:rsidRPr="000665B0">
        <w:t xml:space="preserve">upgrade, </w:t>
      </w:r>
      <w:r w:rsidRPr="000665B0">
        <w:t xml:space="preserve">archive and restore local databases that comprise the </w:t>
      </w:r>
      <w:r w:rsidR="00757321" w:rsidRPr="000665B0">
        <w:t xml:space="preserve">TMPC </w:t>
      </w:r>
      <w:r w:rsidRPr="000665B0">
        <w:t>Databases</w:t>
      </w:r>
      <w:r w:rsidRPr="000665B0">
        <w:rPr>
          <w:lang w:eastAsia="ko-KR"/>
        </w:rPr>
        <w:t xml:space="preserve">. </w:t>
      </w:r>
      <w:r w:rsidRPr="000665B0">
        <w:t xml:space="preserve">The location of the local database is determined by the SQL Server\Instance information. It must be executing on the same computer as the </w:t>
      </w:r>
      <w:r w:rsidR="00757321" w:rsidRPr="000665B0">
        <w:t>TMPC</w:t>
      </w:r>
      <w:r w:rsidR="00757321" w:rsidRPr="000665B0" w:rsidDel="00757321">
        <w:t xml:space="preserve"> </w:t>
      </w:r>
      <w:r w:rsidRPr="000665B0">
        <w:t xml:space="preserve">Database Utility Application, ex: </w:t>
      </w:r>
      <w:r w:rsidRPr="000665B0">
        <w:rPr>
          <w:b/>
          <w:i/>
        </w:rPr>
        <w:t xml:space="preserve">MyComputerName\TC2S. </w:t>
      </w:r>
    </w:p>
    <w:p w14:paraId="65F675D4" w14:textId="77777777" w:rsidR="001077CA" w:rsidRPr="000665B0" w:rsidRDefault="001077CA" w:rsidP="001077CA">
      <w:r w:rsidRPr="000665B0">
        <w:t xml:space="preserve">The </w:t>
      </w:r>
      <w:r w:rsidR="00757321" w:rsidRPr="000665B0">
        <w:t xml:space="preserve">TMPC </w:t>
      </w:r>
      <w:r w:rsidRPr="000665B0">
        <w:t xml:space="preserve">Database Utility can be executed in interactive or automatic mode. Interactive mode is initiated by running the </w:t>
      </w:r>
      <w:r w:rsidR="005D5887" w:rsidRPr="000665B0">
        <w:t>Tc2sDatabaseUtility</w:t>
      </w:r>
      <w:r w:rsidRPr="000665B0">
        <w:t>.exe directly</w:t>
      </w:r>
      <w:r w:rsidR="00A7181B" w:rsidRPr="000665B0">
        <w:t xml:space="preserve"> which</w:t>
      </w:r>
      <w:r w:rsidRPr="000665B0">
        <w:t xml:space="preserve"> brings up a GUI. Automatic mode is used by the Installer program.</w:t>
      </w:r>
    </w:p>
    <w:p w14:paraId="3B13288C" w14:textId="77777777" w:rsidR="00B575C7" w:rsidRPr="000665B0" w:rsidRDefault="00B575C7" w:rsidP="00B575C7">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6907573A" w14:textId="56DA4A88" w:rsidR="00A522F2" w:rsidRPr="000665B0" w:rsidRDefault="00A522F2" w:rsidP="00B575C7">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MDS</w:t>
      </w:r>
      <w:r w:rsidR="00C70AD7" w:rsidRPr="000665B0">
        <w:rPr>
          <w:b/>
        </w:rPr>
        <w:t>/</w:t>
      </w:r>
      <w:r w:rsidR="00306E14" w:rsidRPr="000665B0">
        <w:rPr>
          <w:b/>
        </w:rPr>
        <w:t>TM</w:t>
      </w:r>
      <w:r w:rsidR="00E22582" w:rsidRPr="000665B0">
        <w:rPr>
          <w:b/>
        </w:rPr>
        <w:t>/ISAT</w:t>
      </w:r>
      <w:r w:rsidRPr="000665B0">
        <w:rPr>
          <w:b/>
        </w:rPr>
        <w:t xml:space="preserve"> software should be shut down prior to performing TED</w:t>
      </w:r>
      <w:r w:rsidR="00275A25">
        <w:rPr>
          <w:b/>
        </w:rPr>
        <w:br/>
      </w:r>
      <w:r w:rsidRPr="000665B0">
        <w:rPr>
          <w:b/>
        </w:rPr>
        <w:t>administrative tasks.</w:t>
      </w:r>
    </w:p>
    <w:p w14:paraId="59AA3A24" w14:textId="77777777" w:rsidR="00B575C7" w:rsidRPr="000665B0" w:rsidRDefault="00B575C7" w:rsidP="008777A7">
      <w:pPr>
        <w:spacing w:after="0"/>
        <w:jc w:val="center"/>
        <w:rPr>
          <w:b/>
        </w:rPr>
      </w:pPr>
    </w:p>
    <w:p w14:paraId="72854A65" w14:textId="77777777" w:rsidR="001077CA" w:rsidRPr="000665B0" w:rsidRDefault="001077CA" w:rsidP="001E4D8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7E84044A" w14:textId="77777777" w:rsidR="001077CA" w:rsidRPr="000665B0" w:rsidRDefault="001077CA" w:rsidP="001E4D8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 xml:space="preserve">The </w:t>
      </w:r>
      <w:r w:rsidR="00757321" w:rsidRPr="000665B0">
        <w:rPr>
          <w:b/>
        </w:rPr>
        <w:t xml:space="preserve">TMPC </w:t>
      </w:r>
      <w:r w:rsidRPr="000665B0">
        <w:rPr>
          <w:b/>
        </w:rPr>
        <w:t>Database Utility can only be run by a user who has Administrator Privileges.</w:t>
      </w:r>
    </w:p>
    <w:p w14:paraId="4BC06FCC" w14:textId="05591A75" w:rsidR="001077CA" w:rsidRPr="000665B0" w:rsidRDefault="00950D81" w:rsidP="009570CA">
      <w:pPr>
        <w:pStyle w:val="Heading3"/>
      </w:pPr>
      <w:bookmarkStart w:id="564" w:name="_Toc18058382"/>
      <w:bookmarkStart w:id="565" w:name="_Toc18058383"/>
      <w:bookmarkStart w:id="566" w:name="_Toc18058384"/>
      <w:bookmarkStart w:id="567" w:name="_4.5.1__TC2S"/>
      <w:bookmarkStart w:id="568" w:name="_TED_Databases"/>
      <w:bookmarkStart w:id="569" w:name="_TED_Databases_1"/>
      <w:bookmarkStart w:id="570" w:name="_Toc214283123"/>
      <w:bookmarkEnd w:id="564"/>
      <w:bookmarkEnd w:id="565"/>
      <w:bookmarkEnd w:id="566"/>
      <w:bookmarkEnd w:id="567"/>
      <w:bookmarkEnd w:id="568"/>
      <w:bookmarkEnd w:id="569"/>
      <w:r w:rsidRPr="000665B0">
        <w:t xml:space="preserve">TED </w:t>
      </w:r>
      <w:r w:rsidR="001077CA" w:rsidRPr="000665B0">
        <w:t>Databases</w:t>
      </w:r>
      <w:bookmarkEnd w:id="570"/>
    </w:p>
    <w:p w14:paraId="308DB954" w14:textId="2E7BB955" w:rsidR="001077CA" w:rsidRPr="000665B0" w:rsidRDefault="0022151D" w:rsidP="005839F3">
      <w:pPr>
        <w:keepNext/>
        <w:rPr>
          <w:lang w:eastAsia="ko-KR"/>
        </w:rPr>
      </w:pPr>
      <w:r w:rsidRPr="000665B0">
        <w:rPr>
          <w:lang w:eastAsia="ko-KR"/>
        </w:rPr>
        <w:t>The following table lists</w:t>
      </w:r>
      <w:r w:rsidR="001077CA" w:rsidRPr="000665B0">
        <w:rPr>
          <w:lang w:eastAsia="ko-KR"/>
        </w:rPr>
        <w:t xml:space="preserve"> the databases that </w:t>
      </w:r>
      <w:r w:rsidR="00A9686D" w:rsidRPr="000665B0">
        <w:rPr>
          <w:lang w:eastAsia="ko-KR"/>
        </w:rPr>
        <w:t xml:space="preserve">are managed by </w:t>
      </w:r>
      <w:r w:rsidR="00EE346F" w:rsidRPr="000665B0">
        <w:rPr>
          <w:lang w:eastAsia="ko-KR"/>
        </w:rPr>
        <w:t xml:space="preserve">the </w:t>
      </w:r>
      <w:r w:rsidR="002A5F17" w:rsidRPr="000665B0">
        <w:rPr>
          <w:lang w:eastAsia="ko-KR"/>
        </w:rPr>
        <w:t xml:space="preserve">TMPC </w:t>
      </w:r>
      <w:r w:rsidR="00A9686D" w:rsidRPr="000665B0">
        <w:rPr>
          <w:lang w:eastAsia="ko-KR"/>
        </w:rPr>
        <w:t>D</w:t>
      </w:r>
      <w:r w:rsidR="00EE346F" w:rsidRPr="000665B0">
        <w:rPr>
          <w:lang w:eastAsia="ko-KR"/>
        </w:rPr>
        <w:t>atabase</w:t>
      </w:r>
      <w:r w:rsidR="00A9686D" w:rsidRPr="000665B0">
        <w:rPr>
          <w:lang w:eastAsia="ko-KR"/>
        </w:rPr>
        <w:t xml:space="preserve"> Util</w:t>
      </w:r>
      <w:r w:rsidR="00EE346F" w:rsidRPr="000665B0">
        <w:rPr>
          <w:lang w:eastAsia="ko-KR"/>
        </w:rPr>
        <w:t>ity</w:t>
      </w:r>
      <w:r w:rsidR="005C1467" w:rsidRPr="000665B0">
        <w:rPr>
          <w:lang w:eastAsia="ko-KR"/>
        </w:rPr>
        <w:t xml:space="preserve"> (other databases are listed in the Database Utility</w:t>
      </w:r>
      <w:r w:rsidR="00E50C49" w:rsidRPr="000665B0">
        <w:rPr>
          <w:lang w:eastAsia="ko-KR"/>
        </w:rPr>
        <w:t xml:space="preserve"> Tool</w:t>
      </w:r>
      <w:r w:rsidR="005C1467" w:rsidRPr="000665B0">
        <w:rPr>
          <w:lang w:eastAsia="ko-KR"/>
        </w:rPr>
        <w:t xml:space="preserve"> but are not “managed” by the Database Utility)</w:t>
      </w:r>
      <w:r w:rsidR="00373B3D" w:rsidRPr="000665B0">
        <w:rPr>
          <w:lang w:eastAsia="ko-KR"/>
        </w:rPr>
        <w:t xml:space="preserve">. </w:t>
      </w:r>
    </w:p>
    <w:tbl>
      <w:tblPr>
        <w:tblW w:w="4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3060"/>
      </w:tblGrid>
      <w:tr w:rsidR="00950D81" w:rsidRPr="000665B0" w14:paraId="550D4F23" w14:textId="77777777" w:rsidTr="00410EA4">
        <w:trPr>
          <w:tblHeader/>
          <w:jc w:val="center"/>
        </w:trPr>
        <w:tc>
          <w:tcPr>
            <w:tcW w:w="1620" w:type="dxa"/>
            <w:shd w:val="clear" w:color="auto" w:fill="D9D9D9" w:themeFill="background1" w:themeFillShade="D9"/>
            <w:vAlign w:val="center"/>
          </w:tcPr>
          <w:p w14:paraId="480BABA6" w14:textId="77777777" w:rsidR="00950D81" w:rsidRPr="000665B0" w:rsidRDefault="00950D81" w:rsidP="00C63237">
            <w:pPr>
              <w:keepNext/>
              <w:spacing w:before="60" w:after="60" w:line="240" w:lineRule="auto"/>
              <w:jc w:val="center"/>
              <w:rPr>
                <w:rFonts w:ascii="Arial" w:hAnsi="Arial" w:cs="Arial"/>
                <w:b/>
                <w:sz w:val="22"/>
                <w:szCs w:val="22"/>
              </w:rPr>
            </w:pPr>
            <w:r w:rsidRPr="000665B0">
              <w:rPr>
                <w:rFonts w:ascii="Arial" w:hAnsi="Arial" w:cs="Arial"/>
                <w:b/>
                <w:sz w:val="22"/>
                <w:szCs w:val="22"/>
              </w:rPr>
              <w:t>TED Service</w:t>
            </w:r>
          </w:p>
        </w:tc>
        <w:tc>
          <w:tcPr>
            <w:tcW w:w="3060" w:type="dxa"/>
            <w:shd w:val="clear" w:color="auto" w:fill="D9D9D9" w:themeFill="background1" w:themeFillShade="D9"/>
            <w:vAlign w:val="center"/>
          </w:tcPr>
          <w:p w14:paraId="02C4DADF" w14:textId="77777777" w:rsidR="00950D81" w:rsidRPr="000665B0" w:rsidRDefault="00950D81" w:rsidP="00C63237">
            <w:pPr>
              <w:keepNext/>
              <w:spacing w:before="60" w:after="60" w:line="240" w:lineRule="auto"/>
              <w:jc w:val="center"/>
              <w:rPr>
                <w:rFonts w:ascii="Arial" w:hAnsi="Arial" w:cs="Arial"/>
                <w:b/>
                <w:sz w:val="22"/>
                <w:szCs w:val="22"/>
              </w:rPr>
            </w:pPr>
            <w:r w:rsidRPr="000665B0">
              <w:rPr>
                <w:rFonts w:ascii="Arial" w:hAnsi="Arial" w:cs="Arial"/>
                <w:b/>
                <w:sz w:val="22"/>
                <w:szCs w:val="22"/>
              </w:rPr>
              <w:t>SQL Database Name</w:t>
            </w:r>
          </w:p>
        </w:tc>
      </w:tr>
      <w:tr w:rsidR="002A4E3A" w:rsidRPr="000665B0" w14:paraId="616D4AD6" w14:textId="77777777" w:rsidTr="00410EA4">
        <w:trPr>
          <w:cantSplit/>
          <w:jc w:val="center"/>
        </w:trPr>
        <w:tc>
          <w:tcPr>
            <w:tcW w:w="1620" w:type="dxa"/>
            <w:vAlign w:val="center"/>
          </w:tcPr>
          <w:p w14:paraId="7AA1DF69" w14:textId="77777777" w:rsidR="002A4E3A" w:rsidRPr="000665B0" w:rsidRDefault="002A4E3A" w:rsidP="005839F3">
            <w:pPr>
              <w:keepNext/>
              <w:spacing w:before="60" w:after="60" w:line="240" w:lineRule="auto"/>
              <w:rPr>
                <w:rFonts w:ascii="Arial" w:hAnsi="Arial" w:cs="Arial"/>
                <w:sz w:val="20"/>
              </w:rPr>
            </w:pPr>
            <w:r w:rsidRPr="000665B0">
              <w:rPr>
                <w:rFonts w:ascii="Arial" w:hAnsi="Arial" w:cs="Arial"/>
                <w:sz w:val="20"/>
              </w:rPr>
              <w:t>ACMS</w:t>
            </w:r>
          </w:p>
        </w:tc>
        <w:tc>
          <w:tcPr>
            <w:tcW w:w="3060" w:type="dxa"/>
            <w:vAlign w:val="center"/>
          </w:tcPr>
          <w:p w14:paraId="2F04ACFE" w14:textId="77777777" w:rsidR="002A4E3A" w:rsidRPr="000665B0" w:rsidRDefault="002A4E3A" w:rsidP="005839F3">
            <w:pPr>
              <w:keepNext/>
              <w:spacing w:before="60" w:after="60" w:line="240" w:lineRule="auto"/>
              <w:rPr>
                <w:rFonts w:ascii="Arial" w:hAnsi="Arial" w:cs="Arial"/>
                <w:sz w:val="20"/>
              </w:rPr>
            </w:pPr>
            <w:r w:rsidRPr="000665B0">
              <w:rPr>
                <w:rFonts w:ascii="Arial" w:hAnsi="Arial" w:cs="Arial"/>
                <w:sz w:val="20"/>
              </w:rPr>
              <w:t>TED_ACMS_DB50</w:t>
            </w:r>
          </w:p>
        </w:tc>
      </w:tr>
      <w:tr w:rsidR="002A4E3A" w:rsidRPr="000665B0" w14:paraId="3A0958DB" w14:textId="77777777" w:rsidTr="00410EA4">
        <w:trPr>
          <w:cantSplit/>
          <w:jc w:val="center"/>
        </w:trPr>
        <w:tc>
          <w:tcPr>
            <w:tcW w:w="1620" w:type="dxa"/>
            <w:vAlign w:val="center"/>
          </w:tcPr>
          <w:p w14:paraId="4C281D0F" w14:textId="77777777" w:rsidR="002A4E3A" w:rsidRPr="000665B0" w:rsidRDefault="002A4E3A" w:rsidP="005839F3">
            <w:pPr>
              <w:keepNext/>
              <w:spacing w:before="60" w:after="60" w:line="240" w:lineRule="auto"/>
              <w:rPr>
                <w:rFonts w:ascii="Arial" w:hAnsi="Arial" w:cs="Arial"/>
                <w:sz w:val="20"/>
              </w:rPr>
            </w:pPr>
            <w:r w:rsidRPr="000665B0">
              <w:rPr>
                <w:rFonts w:ascii="Arial" w:hAnsi="Arial" w:cs="Arial"/>
                <w:sz w:val="20"/>
              </w:rPr>
              <w:t>Distribution</w:t>
            </w:r>
          </w:p>
        </w:tc>
        <w:tc>
          <w:tcPr>
            <w:tcW w:w="3060" w:type="dxa"/>
            <w:vAlign w:val="center"/>
          </w:tcPr>
          <w:p w14:paraId="39EFA7E9" w14:textId="77777777" w:rsidR="002A4E3A" w:rsidRPr="000665B0" w:rsidRDefault="002A4E3A" w:rsidP="005839F3">
            <w:pPr>
              <w:keepNext/>
              <w:spacing w:before="60" w:after="60" w:line="240" w:lineRule="auto"/>
              <w:rPr>
                <w:rFonts w:ascii="Arial" w:hAnsi="Arial" w:cs="Arial"/>
                <w:sz w:val="20"/>
              </w:rPr>
            </w:pPr>
            <w:r w:rsidRPr="000665B0">
              <w:rPr>
                <w:rFonts w:ascii="Arial" w:hAnsi="Arial" w:cs="Arial"/>
                <w:sz w:val="20"/>
              </w:rPr>
              <w:t>TED_DISTRIBUTION_DB50</w:t>
            </w:r>
          </w:p>
        </w:tc>
      </w:tr>
      <w:tr w:rsidR="005C1467" w:rsidRPr="000665B0" w14:paraId="7D4B1D77" w14:textId="77777777" w:rsidTr="00410EA4">
        <w:trPr>
          <w:cantSplit/>
          <w:jc w:val="center"/>
        </w:trPr>
        <w:tc>
          <w:tcPr>
            <w:tcW w:w="1620" w:type="dxa"/>
            <w:vAlign w:val="center"/>
          </w:tcPr>
          <w:p w14:paraId="097F11A6" w14:textId="350157D0" w:rsidR="005C1467" w:rsidRPr="000665B0" w:rsidRDefault="005C1467" w:rsidP="00B17969">
            <w:pPr>
              <w:spacing w:before="60" w:after="60" w:line="240" w:lineRule="auto"/>
              <w:rPr>
                <w:rFonts w:ascii="Arial" w:hAnsi="Arial" w:cs="Arial"/>
                <w:sz w:val="20"/>
              </w:rPr>
            </w:pPr>
            <w:r w:rsidRPr="000665B0">
              <w:rPr>
                <w:rFonts w:ascii="Arial" w:hAnsi="Arial" w:cs="Arial"/>
                <w:sz w:val="20"/>
              </w:rPr>
              <w:t>Geography</w:t>
            </w:r>
          </w:p>
        </w:tc>
        <w:tc>
          <w:tcPr>
            <w:tcW w:w="3060" w:type="dxa"/>
            <w:vAlign w:val="center"/>
          </w:tcPr>
          <w:p w14:paraId="6AD4B5B0" w14:textId="2B6C729F" w:rsidR="005C1467" w:rsidRPr="000665B0" w:rsidRDefault="005C1467" w:rsidP="00B17969">
            <w:pPr>
              <w:spacing w:before="60" w:after="60" w:line="240" w:lineRule="auto"/>
              <w:rPr>
                <w:rFonts w:ascii="Arial" w:hAnsi="Arial" w:cs="Arial"/>
                <w:sz w:val="20"/>
              </w:rPr>
            </w:pPr>
            <w:r w:rsidRPr="000665B0">
              <w:rPr>
                <w:rFonts w:ascii="Arial" w:hAnsi="Arial" w:cs="Arial"/>
                <w:sz w:val="20"/>
              </w:rPr>
              <w:t>TED_GEOGRAPHY_DB50</w:t>
            </w:r>
          </w:p>
        </w:tc>
      </w:tr>
      <w:tr w:rsidR="002A4E3A" w:rsidRPr="000665B0" w14:paraId="0A44FCB6" w14:textId="77777777" w:rsidTr="00410EA4">
        <w:trPr>
          <w:cantSplit/>
          <w:jc w:val="center"/>
        </w:trPr>
        <w:tc>
          <w:tcPr>
            <w:tcW w:w="1620" w:type="dxa"/>
            <w:vAlign w:val="center"/>
          </w:tcPr>
          <w:p w14:paraId="49A5257F" w14:textId="77777777" w:rsidR="002A4E3A" w:rsidRPr="000665B0" w:rsidRDefault="002A4E3A" w:rsidP="00B17969">
            <w:pPr>
              <w:spacing w:before="60" w:after="60" w:line="240" w:lineRule="auto"/>
              <w:rPr>
                <w:rFonts w:ascii="Arial" w:hAnsi="Arial" w:cs="Arial"/>
                <w:sz w:val="20"/>
              </w:rPr>
            </w:pPr>
            <w:r w:rsidRPr="000665B0">
              <w:rPr>
                <w:rFonts w:ascii="Arial" w:hAnsi="Arial" w:cs="Arial"/>
                <w:sz w:val="20"/>
              </w:rPr>
              <w:t>Management</w:t>
            </w:r>
          </w:p>
        </w:tc>
        <w:tc>
          <w:tcPr>
            <w:tcW w:w="3060" w:type="dxa"/>
            <w:vAlign w:val="center"/>
          </w:tcPr>
          <w:p w14:paraId="5F9C4D0E" w14:textId="77777777" w:rsidR="002A4E3A" w:rsidRPr="000665B0" w:rsidRDefault="002A4E3A" w:rsidP="00B17969">
            <w:pPr>
              <w:spacing w:before="60" w:after="60" w:line="240" w:lineRule="auto"/>
              <w:rPr>
                <w:rFonts w:ascii="Arial" w:hAnsi="Arial" w:cs="Arial"/>
                <w:sz w:val="20"/>
              </w:rPr>
            </w:pPr>
            <w:r w:rsidRPr="000665B0">
              <w:rPr>
                <w:rFonts w:ascii="Arial" w:hAnsi="Arial" w:cs="Arial"/>
                <w:sz w:val="20"/>
              </w:rPr>
              <w:t>TED_MANAGEMENT_DB50</w:t>
            </w:r>
          </w:p>
        </w:tc>
      </w:tr>
      <w:tr w:rsidR="002A4E3A" w:rsidRPr="000665B0" w14:paraId="54F42CA6" w14:textId="77777777" w:rsidTr="00410EA4">
        <w:trPr>
          <w:cantSplit/>
          <w:jc w:val="center"/>
        </w:trPr>
        <w:tc>
          <w:tcPr>
            <w:tcW w:w="1620" w:type="dxa"/>
            <w:vAlign w:val="center"/>
          </w:tcPr>
          <w:p w14:paraId="139F97CE" w14:textId="77777777" w:rsidR="002A4E3A" w:rsidRPr="000665B0" w:rsidRDefault="002A4E3A" w:rsidP="00B17969">
            <w:pPr>
              <w:spacing w:before="60" w:after="60" w:line="240" w:lineRule="auto"/>
              <w:rPr>
                <w:rFonts w:ascii="Arial" w:hAnsi="Arial" w:cs="Arial"/>
                <w:sz w:val="20"/>
              </w:rPr>
            </w:pPr>
            <w:r w:rsidRPr="000665B0">
              <w:rPr>
                <w:rFonts w:ascii="Arial" w:hAnsi="Arial" w:cs="Arial"/>
                <w:sz w:val="20"/>
              </w:rPr>
              <w:t>Mission</w:t>
            </w:r>
          </w:p>
        </w:tc>
        <w:tc>
          <w:tcPr>
            <w:tcW w:w="3060" w:type="dxa"/>
            <w:vAlign w:val="center"/>
          </w:tcPr>
          <w:p w14:paraId="6C8F6A76" w14:textId="77777777" w:rsidR="002A4E3A" w:rsidRPr="000665B0" w:rsidRDefault="002A4E3A" w:rsidP="00B17969">
            <w:pPr>
              <w:spacing w:before="60" w:after="60" w:line="240" w:lineRule="auto"/>
              <w:rPr>
                <w:rFonts w:ascii="Arial" w:hAnsi="Arial" w:cs="Arial"/>
                <w:sz w:val="20"/>
              </w:rPr>
            </w:pPr>
            <w:r w:rsidRPr="000665B0">
              <w:rPr>
                <w:rFonts w:ascii="Arial" w:hAnsi="Arial" w:cs="Arial"/>
                <w:sz w:val="20"/>
              </w:rPr>
              <w:t>TED_MD_DB50</w:t>
            </w:r>
          </w:p>
        </w:tc>
      </w:tr>
      <w:tr w:rsidR="002A4E3A" w:rsidRPr="000665B0" w14:paraId="4E1ADA6A" w14:textId="77777777" w:rsidTr="00410EA4">
        <w:trPr>
          <w:cantSplit/>
          <w:jc w:val="center"/>
        </w:trPr>
        <w:tc>
          <w:tcPr>
            <w:tcW w:w="1620" w:type="dxa"/>
            <w:vAlign w:val="center"/>
          </w:tcPr>
          <w:p w14:paraId="4B7FE76B" w14:textId="77777777" w:rsidR="002A4E3A" w:rsidRPr="000665B0" w:rsidRDefault="002A4E3A" w:rsidP="00B17969">
            <w:pPr>
              <w:spacing w:before="60" w:after="60" w:line="240" w:lineRule="auto"/>
              <w:rPr>
                <w:rFonts w:ascii="Arial" w:hAnsi="Arial" w:cs="Arial"/>
                <w:sz w:val="20"/>
              </w:rPr>
            </w:pPr>
            <w:r w:rsidRPr="000665B0">
              <w:rPr>
                <w:rFonts w:ascii="Arial" w:hAnsi="Arial" w:cs="Arial"/>
                <w:sz w:val="20"/>
              </w:rPr>
              <w:t>Platform</w:t>
            </w:r>
          </w:p>
        </w:tc>
        <w:tc>
          <w:tcPr>
            <w:tcW w:w="3060" w:type="dxa"/>
            <w:vAlign w:val="center"/>
          </w:tcPr>
          <w:p w14:paraId="04DDDAAD" w14:textId="77777777" w:rsidR="002A4E3A" w:rsidRPr="000665B0" w:rsidRDefault="002A4E3A" w:rsidP="00B17969">
            <w:pPr>
              <w:spacing w:before="60" w:after="60" w:line="240" w:lineRule="auto"/>
              <w:rPr>
                <w:rFonts w:ascii="Arial" w:hAnsi="Arial" w:cs="Arial"/>
                <w:sz w:val="20"/>
              </w:rPr>
            </w:pPr>
            <w:r w:rsidRPr="000665B0">
              <w:rPr>
                <w:rFonts w:ascii="Arial" w:hAnsi="Arial" w:cs="Arial"/>
                <w:sz w:val="20"/>
              </w:rPr>
              <w:t>TED_PLATFORM_DB50</w:t>
            </w:r>
          </w:p>
        </w:tc>
      </w:tr>
      <w:tr w:rsidR="002A4E3A" w:rsidRPr="000665B0" w14:paraId="7081633C" w14:textId="77777777" w:rsidTr="00410EA4">
        <w:trPr>
          <w:cantSplit/>
          <w:jc w:val="center"/>
        </w:trPr>
        <w:tc>
          <w:tcPr>
            <w:tcW w:w="1620" w:type="dxa"/>
            <w:vAlign w:val="center"/>
          </w:tcPr>
          <w:p w14:paraId="3697252F" w14:textId="77777777" w:rsidR="002A4E3A" w:rsidRPr="000665B0" w:rsidRDefault="002A4E3A" w:rsidP="00B17969">
            <w:pPr>
              <w:spacing w:before="60" w:after="60" w:line="240" w:lineRule="auto"/>
              <w:rPr>
                <w:rFonts w:ascii="Arial" w:hAnsi="Arial" w:cs="Arial"/>
                <w:sz w:val="20"/>
              </w:rPr>
            </w:pPr>
            <w:r w:rsidRPr="000665B0">
              <w:rPr>
                <w:rFonts w:ascii="Arial" w:hAnsi="Arial" w:cs="Arial"/>
                <w:sz w:val="20"/>
              </w:rPr>
              <w:t>Strike</w:t>
            </w:r>
          </w:p>
        </w:tc>
        <w:tc>
          <w:tcPr>
            <w:tcW w:w="3060" w:type="dxa"/>
            <w:vAlign w:val="center"/>
          </w:tcPr>
          <w:p w14:paraId="5F7A43A1" w14:textId="77777777" w:rsidR="002A4E3A" w:rsidRPr="000665B0" w:rsidRDefault="002A4E3A" w:rsidP="00B17969">
            <w:pPr>
              <w:spacing w:before="60" w:after="60" w:line="240" w:lineRule="auto"/>
              <w:rPr>
                <w:rFonts w:ascii="Arial" w:hAnsi="Arial" w:cs="Arial"/>
                <w:sz w:val="20"/>
              </w:rPr>
            </w:pPr>
            <w:r w:rsidRPr="000665B0">
              <w:rPr>
                <w:rFonts w:ascii="Arial" w:hAnsi="Arial" w:cs="Arial"/>
                <w:sz w:val="20"/>
              </w:rPr>
              <w:t>TED_STRIKE_DB50</w:t>
            </w:r>
          </w:p>
        </w:tc>
      </w:tr>
      <w:tr w:rsidR="0022151D" w:rsidRPr="000665B0" w14:paraId="4346D43C" w14:textId="77777777" w:rsidTr="00410EA4">
        <w:trPr>
          <w:cantSplit/>
          <w:jc w:val="center"/>
        </w:trPr>
        <w:tc>
          <w:tcPr>
            <w:tcW w:w="1620" w:type="dxa"/>
            <w:vAlign w:val="center"/>
          </w:tcPr>
          <w:p w14:paraId="76EB8A08" w14:textId="5B81BF21" w:rsidR="0022151D" w:rsidRPr="000665B0" w:rsidRDefault="0022151D" w:rsidP="0022151D">
            <w:pPr>
              <w:spacing w:before="60" w:after="60" w:line="240" w:lineRule="auto"/>
              <w:rPr>
                <w:rFonts w:ascii="Arial" w:hAnsi="Arial" w:cs="Arial"/>
                <w:sz w:val="20"/>
              </w:rPr>
            </w:pPr>
            <w:r w:rsidRPr="000665B0">
              <w:rPr>
                <w:rFonts w:ascii="Arial" w:hAnsi="Arial" w:cs="Arial"/>
                <w:sz w:val="20"/>
              </w:rPr>
              <w:t>T</w:t>
            </w:r>
            <w:r w:rsidR="005C1467" w:rsidRPr="000665B0">
              <w:rPr>
                <w:rFonts w:ascii="Arial" w:hAnsi="Arial" w:cs="Arial"/>
                <w:sz w:val="20"/>
              </w:rPr>
              <w:t>ask</w:t>
            </w:r>
          </w:p>
        </w:tc>
        <w:tc>
          <w:tcPr>
            <w:tcW w:w="3060" w:type="dxa"/>
            <w:vAlign w:val="center"/>
          </w:tcPr>
          <w:p w14:paraId="451B4C31" w14:textId="3A36DAB6" w:rsidR="0022151D" w:rsidRPr="000665B0" w:rsidRDefault="0022151D" w:rsidP="0022151D">
            <w:pPr>
              <w:spacing w:before="60" w:after="60" w:line="240" w:lineRule="auto"/>
              <w:rPr>
                <w:rFonts w:ascii="Arial" w:hAnsi="Arial" w:cs="Arial"/>
                <w:sz w:val="20"/>
              </w:rPr>
            </w:pPr>
            <w:r w:rsidRPr="000665B0">
              <w:rPr>
                <w:rFonts w:ascii="Arial" w:hAnsi="Arial" w:cs="Arial"/>
                <w:sz w:val="20"/>
              </w:rPr>
              <w:t>TED_TASK_DB</w:t>
            </w:r>
          </w:p>
        </w:tc>
      </w:tr>
      <w:tr w:rsidR="0022151D" w:rsidRPr="000665B0" w14:paraId="1CBB3293" w14:textId="77777777" w:rsidTr="00410EA4">
        <w:trPr>
          <w:jc w:val="center"/>
        </w:trPr>
        <w:tc>
          <w:tcPr>
            <w:tcW w:w="1620" w:type="dxa"/>
            <w:vAlign w:val="center"/>
          </w:tcPr>
          <w:p w14:paraId="2EC8D648" w14:textId="2EDC89E5" w:rsidR="0022151D" w:rsidRPr="000665B0" w:rsidRDefault="00E75AC3" w:rsidP="0022151D">
            <w:pPr>
              <w:spacing w:before="60" w:after="60" w:line="240" w:lineRule="auto"/>
              <w:rPr>
                <w:rFonts w:ascii="Arial" w:hAnsi="Arial" w:cs="Arial"/>
                <w:sz w:val="20"/>
              </w:rPr>
            </w:pPr>
            <w:r>
              <w:rPr>
                <w:rFonts w:ascii="Arial" w:hAnsi="Arial" w:cs="Arial"/>
                <w:sz w:val="20"/>
              </w:rPr>
              <w:lastRenderedPageBreak/>
              <w:t>TAWS</w:t>
            </w:r>
          </w:p>
        </w:tc>
        <w:tc>
          <w:tcPr>
            <w:tcW w:w="3060" w:type="dxa"/>
            <w:vAlign w:val="center"/>
          </w:tcPr>
          <w:p w14:paraId="69D147C5" w14:textId="77777777" w:rsidR="0022151D" w:rsidRPr="000665B0" w:rsidRDefault="0022151D" w:rsidP="0022151D">
            <w:pPr>
              <w:spacing w:before="60" w:after="60" w:line="240" w:lineRule="auto"/>
              <w:rPr>
                <w:rFonts w:ascii="Arial" w:hAnsi="Arial" w:cs="Arial"/>
                <w:sz w:val="20"/>
              </w:rPr>
            </w:pPr>
            <w:r w:rsidRPr="000665B0">
              <w:rPr>
                <w:rFonts w:ascii="Arial" w:hAnsi="Arial" w:cs="Arial"/>
                <w:sz w:val="20"/>
              </w:rPr>
              <w:t>TED_TAWSOBJ_DB50</w:t>
            </w:r>
          </w:p>
        </w:tc>
      </w:tr>
      <w:tr w:rsidR="0022151D" w:rsidRPr="000665B0" w14:paraId="5550935F" w14:textId="77777777" w:rsidTr="00410EA4">
        <w:trPr>
          <w:jc w:val="center"/>
        </w:trPr>
        <w:tc>
          <w:tcPr>
            <w:tcW w:w="1620" w:type="dxa"/>
            <w:vAlign w:val="center"/>
          </w:tcPr>
          <w:p w14:paraId="49104080" w14:textId="77777777" w:rsidR="0022151D" w:rsidRPr="000665B0" w:rsidRDefault="0022151D" w:rsidP="0022151D">
            <w:pPr>
              <w:spacing w:before="60" w:after="60" w:line="240" w:lineRule="auto"/>
              <w:rPr>
                <w:rFonts w:ascii="Arial" w:hAnsi="Arial" w:cs="Arial"/>
                <w:sz w:val="20"/>
              </w:rPr>
            </w:pPr>
            <w:r w:rsidRPr="000665B0">
              <w:rPr>
                <w:rFonts w:ascii="Arial" w:hAnsi="Arial" w:cs="Arial"/>
                <w:sz w:val="20"/>
              </w:rPr>
              <w:t>Threat</w:t>
            </w:r>
          </w:p>
        </w:tc>
        <w:tc>
          <w:tcPr>
            <w:tcW w:w="3060" w:type="dxa"/>
            <w:vAlign w:val="center"/>
          </w:tcPr>
          <w:p w14:paraId="0F87518F" w14:textId="77777777" w:rsidR="0022151D" w:rsidRPr="000665B0" w:rsidRDefault="0022151D" w:rsidP="0022151D">
            <w:pPr>
              <w:spacing w:before="60" w:after="60" w:line="240" w:lineRule="auto"/>
              <w:rPr>
                <w:rFonts w:ascii="Arial" w:hAnsi="Arial" w:cs="Arial"/>
                <w:sz w:val="20"/>
              </w:rPr>
            </w:pPr>
            <w:r w:rsidRPr="000665B0">
              <w:rPr>
                <w:rFonts w:ascii="Arial" w:hAnsi="Arial" w:cs="Arial"/>
                <w:sz w:val="20"/>
              </w:rPr>
              <w:t>TED_THREAT_DB50</w:t>
            </w:r>
          </w:p>
        </w:tc>
      </w:tr>
      <w:tr w:rsidR="0022151D" w:rsidRPr="000665B0" w14:paraId="1C1BB187" w14:textId="77777777" w:rsidTr="00410EA4">
        <w:trPr>
          <w:jc w:val="center"/>
        </w:trPr>
        <w:tc>
          <w:tcPr>
            <w:tcW w:w="1620" w:type="dxa"/>
            <w:vAlign w:val="center"/>
          </w:tcPr>
          <w:p w14:paraId="61284A87" w14:textId="7201E5CB" w:rsidR="0022151D" w:rsidRPr="000665B0" w:rsidRDefault="0022151D" w:rsidP="0022151D">
            <w:pPr>
              <w:spacing w:before="60" w:after="60" w:line="240" w:lineRule="auto"/>
              <w:rPr>
                <w:rFonts w:ascii="Arial" w:hAnsi="Arial" w:cs="Arial"/>
                <w:sz w:val="20"/>
              </w:rPr>
            </w:pPr>
            <w:r w:rsidRPr="000665B0">
              <w:rPr>
                <w:rFonts w:ascii="Arial" w:hAnsi="Arial" w:cs="Arial"/>
                <w:sz w:val="20"/>
              </w:rPr>
              <w:t>TM</w:t>
            </w:r>
          </w:p>
        </w:tc>
        <w:tc>
          <w:tcPr>
            <w:tcW w:w="3060" w:type="dxa"/>
            <w:vAlign w:val="center"/>
          </w:tcPr>
          <w:p w14:paraId="61BFF4B5" w14:textId="326627A3" w:rsidR="0022151D" w:rsidRPr="000665B0" w:rsidRDefault="0022151D" w:rsidP="0022151D">
            <w:pPr>
              <w:spacing w:before="60" w:after="60" w:line="240" w:lineRule="auto"/>
              <w:rPr>
                <w:rFonts w:ascii="Arial" w:hAnsi="Arial" w:cs="Arial"/>
                <w:sz w:val="20"/>
              </w:rPr>
            </w:pPr>
            <w:r w:rsidRPr="000665B0">
              <w:rPr>
                <w:rFonts w:ascii="Arial" w:hAnsi="Arial" w:cs="Arial"/>
                <w:sz w:val="20"/>
              </w:rPr>
              <w:t>TED_TM_DB50</w:t>
            </w:r>
          </w:p>
        </w:tc>
      </w:tr>
      <w:tr w:rsidR="00EC6613" w:rsidRPr="000665B0" w14:paraId="48CC5767" w14:textId="77777777" w:rsidTr="00410EA4">
        <w:trPr>
          <w:jc w:val="center"/>
        </w:trPr>
        <w:tc>
          <w:tcPr>
            <w:tcW w:w="1620" w:type="dxa"/>
            <w:vAlign w:val="center"/>
          </w:tcPr>
          <w:p w14:paraId="5779ED13" w14:textId="335D6558" w:rsidR="00EC6613" w:rsidRPr="000665B0" w:rsidRDefault="00EC6613" w:rsidP="0022151D">
            <w:pPr>
              <w:spacing w:before="60" w:after="60" w:line="240" w:lineRule="auto"/>
              <w:rPr>
                <w:rFonts w:ascii="Arial" w:hAnsi="Arial" w:cs="Arial"/>
                <w:sz w:val="20"/>
              </w:rPr>
            </w:pPr>
            <w:r w:rsidRPr="000665B0">
              <w:rPr>
                <w:rFonts w:ascii="Arial" w:hAnsi="Arial" w:cs="Arial"/>
                <w:sz w:val="20"/>
              </w:rPr>
              <w:t>Track</w:t>
            </w:r>
          </w:p>
        </w:tc>
        <w:tc>
          <w:tcPr>
            <w:tcW w:w="3060" w:type="dxa"/>
            <w:vAlign w:val="center"/>
          </w:tcPr>
          <w:p w14:paraId="7B88C3CC" w14:textId="0315A3F4" w:rsidR="00EC6613" w:rsidRPr="000665B0" w:rsidRDefault="00EC6613" w:rsidP="0022151D">
            <w:pPr>
              <w:spacing w:before="60" w:after="60" w:line="240" w:lineRule="auto"/>
              <w:rPr>
                <w:rFonts w:ascii="Arial" w:hAnsi="Arial" w:cs="Arial"/>
                <w:sz w:val="20"/>
              </w:rPr>
            </w:pPr>
            <w:r w:rsidRPr="000665B0">
              <w:rPr>
                <w:rFonts w:ascii="Arial" w:hAnsi="Arial" w:cs="Arial"/>
                <w:sz w:val="20"/>
              </w:rPr>
              <w:t>TED_TRACK_DB50</w:t>
            </w:r>
          </w:p>
        </w:tc>
      </w:tr>
      <w:tr w:rsidR="005C1467" w:rsidRPr="000665B0" w14:paraId="1F7A7AF4" w14:textId="77777777" w:rsidTr="00410EA4">
        <w:trPr>
          <w:jc w:val="center"/>
        </w:trPr>
        <w:tc>
          <w:tcPr>
            <w:tcW w:w="1620" w:type="dxa"/>
            <w:vAlign w:val="center"/>
          </w:tcPr>
          <w:p w14:paraId="24F02E33" w14:textId="58001DAE" w:rsidR="005C1467" w:rsidRPr="000665B0" w:rsidRDefault="005C1467" w:rsidP="0022151D">
            <w:pPr>
              <w:spacing w:before="60" w:after="60" w:line="240" w:lineRule="auto"/>
              <w:rPr>
                <w:rFonts w:ascii="Arial" w:hAnsi="Arial" w:cs="Arial"/>
                <w:sz w:val="20"/>
              </w:rPr>
            </w:pPr>
            <w:r w:rsidRPr="000665B0">
              <w:rPr>
                <w:rFonts w:ascii="Arial" w:hAnsi="Arial" w:cs="Arial"/>
                <w:sz w:val="20"/>
              </w:rPr>
              <w:t>TSRT</w:t>
            </w:r>
          </w:p>
        </w:tc>
        <w:tc>
          <w:tcPr>
            <w:tcW w:w="3060" w:type="dxa"/>
            <w:vAlign w:val="center"/>
          </w:tcPr>
          <w:p w14:paraId="2D292B9A" w14:textId="3D5E9B30" w:rsidR="005C1467" w:rsidRPr="000665B0" w:rsidRDefault="005C1467" w:rsidP="0022151D">
            <w:pPr>
              <w:spacing w:before="60" w:after="60" w:line="240" w:lineRule="auto"/>
              <w:rPr>
                <w:rFonts w:ascii="Arial" w:hAnsi="Arial" w:cs="Arial"/>
                <w:sz w:val="20"/>
              </w:rPr>
            </w:pPr>
            <w:r w:rsidRPr="000665B0">
              <w:rPr>
                <w:rFonts w:ascii="Arial" w:hAnsi="Arial" w:cs="Arial"/>
                <w:sz w:val="20"/>
              </w:rPr>
              <w:t>TED_TSRT_DB50</w:t>
            </w:r>
          </w:p>
        </w:tc>
      </w:tr>
      <w:tr w:rsidR="0022151D" w:rsidRPr="000665B0" w14:paraId="0A640B16" w14:textId="77777777" w:rsidTr="001D5D3D">
        <w:trPr>
          <w:cantSplit/>
          <w:trHeight w:val="70"/>
          <w:jc w:val="center"/>
        </w:trPr>
        <w:tc>
          <w:tcPr>
            <w:tcW w:w="1620" w:type="dxa"/>
            <w:vAlign w:val="center"/>
          </w:tcPr>
          <w:p w14:paraId="21FDF70B" w14:textId="77777777" w:rsidR="0022151D" w:rsidRPr="000665B0" w:rsidRDefault="0022151D" w:rsidP="0022151D">
            <w:pPr>
              <w:spacing w:before="60" w:after="60" w:line="240" w:lineRule="auto"/>
              <w:rPr>
                <w:rFonts w:ascii="Arial" w:hAnsi="Arial" w:cs="Arial"/>
                <w:sz w:val="20"/>
              </w:rPr>
            </w:pPr>
            <w:r w:rsidRPr="000665B0">
              <w:rPr>
                <w:rFonts w:ascii="Arial" w:hAnsi="Arial" w:cs="Arial"/>
                <w:sz w:val="20"/>
              </w:rPr>
              <w:t>Valid List</w:t>
            </w:r>
          </w:p>
        </w:tc>
        <w:tc>
          <w:tcPr>
            <w:tcW w:w="3060" w:type="dxa"/>
            <w:vAlign w:val="center"/>
          </w:tcPr>
          <w:p w14:paraId="26FB1BBE" w14:textId="77777777" w:rsidR="0022151D" w:rsidRPr="000665B0" w:rsidRDefault="0022151D" w:rsidP="0022151D">
            <w:pPr>
              <w:spacing w:before="60" w:after="60" w:line="240" w:lineRule="auto"/>
              <w:rPr>
                <w:rFonts w:ascii="Arial" w:hAnsi="Arial" w:cs="Arial"/>
                <w:sz w:val="20"/>
              </w:rPr>
            </w:pPr>
            <w:r w:rsidRPr="000665B0">
              <w:rPr>
                <w:rFonts w:ascii="Arial" w:hAnsi="Arial" w:cs="Arial"/>
                <w:sz w:val="20"/>
              </w:rPr>
              <w:t>TED_VL_DB50</w:t>
            </w:r>
          </w:p>
        </w:tc>
      </w:tr>
    </w:tbl>
    <w:p w14:paraId="68D41EF2" w14:textId="310B1C2F" w:rsidR="001077CA" w:rsidRPr="000665B0" w:rsidRDefault="00757321" w:rsidP="009570CA">
      <w:pPr>
        <w:pStyle w:val="Heading3"/>
        <w:rPr>
          <w:color w:val="000000"/>
        </w:rPr>
      </w:pPr>
      <w:bookmarkStart w:id="571" w:name="_4.5.2__TMPC"/>
      <w:bookmarkStart w:id="572" w:name="_Toc201388320"/>
      <w:bookmarkStart w:id="573" w:name="_Toc214283124"/>
      <w:bookmarkStart w:id="574" w:name="_Toc102356669"/>
      <w:bookmarkStart w:id="575" w:name="_Toc112733194"/>
      <w:bookmarkStart w:id="576" w:name="_Toc145397787"/>
      <w:bookmarkStart w:id="577" w:name="_Toc112733195"/>
      <w:bookmarkEnd w:id="571"/>
      <w:r w:rsidRPr="000665B0">
        <w:rPr>
          <w:color w:val="000000"/>
        </w:rPr>
        <w:t xml:space="preserve">TMPC </w:t>
      </w:r>
      <w:r w:rsidR="001077CA" w:rsidRPr="000665B0">
        <w:rPr>
          <w:color w:val="000000"/>
        </w:rPr>
        <w:t>Database Utility – Interactive Mode</w:t>
      </w:r>
      <w:bookmarkEnd w:id="572"/>
      <w:bookmarkEnd w:id="573"/>
    </w:p>
    <w:p w14:paraId="2CB4270C" w14:textId="77777777" w:rsidR="001077CA" w:rsidRDefault="001077CA" w:rsidP="009570CA">
      <w:r w:rsidRPr="000665B0">
        <w:t xml:space="preserve">In interactive mode, the following database information </w:t>
      </w:r>
      <w:r w:rsidR="00250B8F" w:rsidRPr="000665B0">
        <w:t>is</w:t>
      </w:r>
      <w:r w:rsidRPr="000665B0">
        <w:t xml:space="preserve"> displayed.</w:t>
      </w:r>
    </w:p>
    <w:p w14:paraId="164AB7E0" w14:textId="3E5074E4" w:rsidR="001077CA" w:rsidRPr="000665B0" w:rsidRDefault="00DB0437" w:rsidP="00DB0437">
      <w:pPr>
        <w:jc w:val="center"/>
      </w:pPr>
      <w:r w:rsidRPr="000665B0">
        <w:rPr>
          <w:noProof/>
        </w:rPr>
        <w:drawing>
          <wp:inline distT="0" distB="0" distL="0" distR="0" wp14:anchorId="32846658" wp14:editId="1C571F9A">
            <wp:extent cx="4983480" cy="1856232"/>
            <wp:effectExtent l="0" t="0" r="0" b="0"/>
            <wp:docPr id="1810589552" name="Picture 1810589552" descr="cid:image001.png@01D55291.79ED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55291.79EDC9A0"/>
                    <pic:cNvPicPr>
                      <a:picLocks noChangeAspect="1" noChangeArrowheads="1"/>
                    </pic:cNvPicPr>
                  </pic:nvPicPr>
                  <pic:blipFill>
                    <a:blip r:link="rId12" cstate="screen">
                      <a:extLst>
                        <a:ext uri="{28A0092B-C50C-407E-A947-70E740481C1C}">
                          <a14:useLocalDpi xmlns:a14="http://schemas.microsoft.com/office/drawing/2010/main"/>
                        </a:ext>
                      </a:extLst>
                    </a:blip>
                    <a:srcRect/>
                    <a:stretch>
                      <a:fillRect/>
                    </a:stretch>
                  </pic:blipFill>
                  <pic:spPr bwMode="auto">
                    <a:xfrm>
                      <a:off x="0" y="0"/>
                      <a:ext cx="4983480" cy="1856232"/>
                    </a:xfrm>
                    <a:prstGeom prst="rect">
                      <a:avLst/>
                    </a:prstGeom>
                    <a:noFill/>
                    <a:ln>
                      <a:noFill/>
                    </a:ln>
                  </pic:spPr>
                </pic:pic>
              </a:graphicData>
            </a:graphic>
          </wp:inline>
        </w:drawing>
      </w:r>
    </w:p>
    <w:p w14:paraId="4B7CCEE9" w14:textId="77777777" w:rsidR="001077CA" w:rsidRPr="000665B0" w:rsidRDefault="001077CA" w:rsidP="006D5A65">
      <w:pPr>
        <w:pStyle w:val="Heading1"/>
      </w:pPr>
      <w:r w:rsidRPr="000665B0">
        <w:t>SQL Server\Instance – The SQL Server Instance.</w:t>
      </w:r>
    </w:p>
    <w:p w14:paraId="0E1AA5E0" w14:textId="77777777" w:rsidR="001077CA" w:rsidRPr="000665B0" w:rsidRDefault="001077CA" w:rsidP="006D5A65">
      <w:pPr>
        <w:pStyle w:val="Heading1"/>
      </w:pPr>
      <w:r w:rsidRPr="000665B0">
        <w:t>SQL Login ID</w:t>
      </w:r>
      <w:r w:rsidR="00455EF1" w:rsidRPr="000665B0">
        <w:t xml:space="preserve"> –</w:t>
      </w:r>
      <w:r w:rsidRPr="000665B0">
        <w:t xml:space="preserve"> The SQL Server Login ID or Windows Authentication</w:t>
      </w:r>
      <w:r w:rsidR="00455EF1" w:rsidRPr="000665B0">
        <w:t>.</w:t>
      </w:r>
    </w:p>
    <w:p w14:paraId="2F5A4510" w14:textId="77777777" w:rsidR="00455EF1" w:rsidRPr="000665B0" w:rsidRDefault="00455EF1" w:rsidP="006D5A65">
      <w:pPr>
        <w:pStyle w:val="Heading1"/>
      </w:pPr>
      <w:r w:rsidRPr="000665B0">
        <w:t>Country Code Format – The current Country Code Format.</w:t>
      </w:r>
    </w:p>
    <w:p w14:paraId="3518439D" w14:textId="77777777" w:rsidR="001077CA" w:rsidRPr="000665B0" w:rsidRDefault="001077CA" w:rsidP="009570CA">
      <w:r w:rsidRPr="000665B0">
        <w:t>The List View contains the following information:</w:t>
      </w:r>
    </w:p>
    <w:p w14:paraId="7EE6BED7" w14:textId="77777777" w:rsidR="001077CA" w:rsidRPr="000665B0" w:rsidRDefault="001077CA" w:rsidP="006D5A65">
      <w:pPr>
        <w:pStyle w:val="Heading1"/>
      </w:pPr>
      <w:r w:rsidRPr="000665B0">
        <w:lastRenderedPageBreak/>
        <w:t xml:space="preserve">Database Name – The name of the database. </w:t>
      </w:r>
    </w:p>
    <w:p w14:paraId="75343204" w14:textId="6A6352C6" w:rsidR="001077CA" w:rsidRPr="000665B0" w:rsidRDefault="001077CA" w:rsidP="006D5A65">
      <w:pPr>
        <w:pStyle w:val="Heading1"/>
      </w:pPr>
      <w:r w:rsidRPr="000665B0">
        <w:t xml:space="preserve">Type </w:t>
      </w:r>
      <w:r w:rsidR="002E7FDC" w:rsidRPr="000665B0">
        <w:t>–</w:t>
      </w:r>
      <w:r w:rsidRPr="000665B0">
        <w:t xml:space="preserve"> The type of database.</w:t>
      </w:r>
    </w:p>
    <w:p w14:paraId="6E6FC3A7" w14:textId="77777777" w:rsidR="00B732D9" w:rsidRPr="000665B0" w:rsidRDefault="00B732D9" w:rsidP="006D5A65">
      <w:pPr>
        <w:pStyle w:val="Heading1"/>
      </w:pPr>
      <w:r w:rsidRPr="000665B0">
        <w:t>System MAX Classification – The maximum classification of the data that can be stored in the database.</w:t>
      </w:r>
    </w:p>
    <w:p w14:paraId="50B1D5C7" w14:textId="77777777" w:rsidR="001077CA" w:rsidRPr="000665B0" w:rsidRDefault="001077CA" w:rsidP="006D5A65">
      <w:pPr>
        <w:pStyle w:val="Heading1"/>
      </w:pPr>
      <w:r w:rsidRPr="000665B0">
        <w:t>System High Classification – The current highest classification of all data in this database.</w:t>
      </w:r>
    </w:p>
    <w:p w14:paraId="516313BA" w14:textId="353920E7" w:rsidR="005D5887" w:rsidRPr="000665B0" w:rsidRDefault="005D5887" w:rsidP="006D5A65">
      <w:pPr>
        <w:pStyle w:val="Heading1"/>
      </w:pPr>
      <w:r w:rsidRPr="000665B0">
        <w:t xml:space="preserve">Location Code – The location code associated with the TED </w:t>
      </w:r>
      <w:r w:rsidR="002D0A09" w:rsidRPr="000665B0">
        <w:t>node.</w:t>
      </w:r>
    </w:p>
    <w:p w14:paraId="60F897A4" w14:textId="77777777" w:rsidR="001077CA" w:rsidRPr="000665B0" w:rsidRDefault="001077CA" w:rsidP="006D5A65">
      <w:pPr>
        <w:pStyle w:val="Heading1"/>
      </w:pPr>
      <w:r w:rsidRPr="000665B0">
        <w:t>Creation DTG – When the database was created.</w:t>
      </w:r>
    </w:p>
    <w:p w14:paraId="3BDE5CF3" w14:textId="77777777" w:rsidR="001077CA" w:rsidRPr="000665B0" w:rsidRDefault="001077CA" w:rsidP="006D5A65">
      <w:pPr>
        <w:pStyle w:val="Heading1"/>
      </w:pPr>
      <w:r w:rsidRPr="000665B0">
        <w:t>Size</w:t>
      </w:r>
      <w:r w:rsidR="005D5887" w:rsidRPr="000665B0">
        <w:t xml:space="preserve"> (db &amp; log)</w:t>
      </w:r>
      <w:r w:rsidRPr="000665B0">
        <w:t xml:space="preserve"> – The physical size of the database.</w:t>
      </w:r>
    </w:p>
    <w:p w14:paraId="5CA09F1B" w14:textId="7F6B76BA" w:rsidR="001077CA" w:rsidRPr="000665B0" w:rsidRDefault="001077CA" w:rsidP="006D5A65">
      <w:pPr>
        <w:pStyle w:val="Heading1"/>
      </w:pPr>
      <w:r w:rsidRPr="000665B0">
        <w:t xml:space="preserve">Approx Usage </w:t>
      </w:r>
      <w:r w:rsidR="002E7FDC" w:rsidRPr="000665B0">
        <w:t>–</w:t>
      </w:r>
      <w:r w:rsidRPr="000665B0">
        <w:t xml:space="preserve"> The approximate physical space in use by the database and transaction log. </w:t>
      </w:r>
    </w:p>
    <w:p w14:paraId="1904BDEE" w14:textId="77777777" w:rsidR="001077CA" w:rsidRPr="000665B0" w:rsidRDefault="001077CA" w:rsidP="006D5A65">
      <w:pPr>
        <w:pStyle w:val="Heading1"/>
      </w:pPr>
      <w:r w:rsidRPr="000665B0">
        <w:t># Tables – The number of tables in the database.</w:t>
      </w:r>
    </w:p>
    <w:p w14:paraId="65F7153F" w14:textId="77777777" w:rsidR="001077CA" w:rsidRPr="000665B0" w:rsidRDefault="001077CA" w:rsidP="006D5A65">
      <w:pPr>
        <w:pStyle w:val="Heading1"/>
      </w:pPr>
      <w:r w:rsidRPr="000665B0">
        <w:t># Stored Procs – The number of stored procedures in the database.</w:t>
      </w:r>
    </w:p>
    <w:p w14:paraId="52F6FE28" w14:textId="77777777" w:rsidR="001077CA" w:rsidRPr="000665B0" w:rsidRDefault="001077CA" w:rsidP="006D5A65">
      <w:pPr>
        <w:pStyle w:val="Heading1"/>
      </w:pPr>
      <w:r w:rsidRPr="000665B0">
        <w:t>Status – Displays info regarding Recovery Mode and Auto Close.</w:t>
      </w:r>
    </w:p>
    <w:p w14:paraId="6881306D" w14:textId="77777777" w:rsidR="001077CA" w:rsidRPr="000665B0" w:rsidRDefault="001077CA" w:rsidP="009570CA">
      <w:pPr>
        <w:spacing w:after="0"/>
      </w:pPr>
      <w:r w:rsidRPr="000665B0">
        <w:t>Upon application start, configuration files (</w:t>
      </w:r>
      <w:r w:rsidR="005D5887" w:rsidRPr="000665B0">
        <w:t>Tc2sDatabaseUtility</w:t>
      </w:r>
      <w:r w:rsidRPr="000665B0">
        <w:t xml:space="preserve">.exe.config and MdsToolbox.exe.app.config) are loaded and the information </w:t>
      </w:r>
      <w:r w:rsidRPr="000665B0" w:rsidDel="00C005EE">
        <w:t>is</w:t>
      </w:r>
      <w:r w:rsidRPr="000665B0">
        <w:t xml:space="preserve"> used to connect to the SQL Server and retrieve the list of non-system databases and their associated information. The information is then used to populate the displayed list. These files are not modified when changing SQL Servers.</w:t>
      </w:r>
    </w:p>
    <w:p w14:paraId="3F2BB504" w14:textId="5F9290E9" w:rsidR="001077CA" w:rsidRPr="000665B0" w:rsidRDefault="001077CA" w:rsidP="009570CA">
      <w:pPr>
        <w:pStyle w:val="Heading4"/>
        <w:keepNext w:val="0"/>
      </w:pPr>
      <w:bookmarkStart w:id="578" w:name="_File_Menu"/>
      <w:bookmarkEnd w:id="574"/>
      <w:bookmarkEnd w:id="575"/>
      <w:bookmarkEnd w:id="576"/>
      <w:bookmarkEnd w:id="578"/>
      <w:r w:rsidRPr="000665B0">
        <w:t xml:space="preserve">File Menu </w:t>
      </w:r>
    </w:p>
    <w:p w14:paraId="0ACC381E" w14:textId="77777777" w:rsidR="001077CA" w:rsidRPr="000665B0" w:rsidRDefault="001077CA" w:rsidP="009570CA">
      <w:r w:rsidRPr="000665B0">
        <w:t>Detailed below are the criteria to be met for a menu option to be enabled.</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5"/>
        <w:gridCol w:w="5130"/>
        <w:gridCol w:w="1710"/>
      </w:tblGrid>
      <w:tr w:rsidR="001077CA" w:rsidRPr="000665B0" w14:paraId="230014C0" w14:textId="77777777" w:rsidTr="00410EA4">
        <w:trPr>
          <w:trHeight w:val="297"/>
          <w:tblHeader/>
        </w:trPr>
        <w:tc>
          <w:tcPr>
            <w:tcW w:w="2605" w:type="dxa"/>
            <w:shd w:val="clear" w:color="auto" w:fill="D9D9D9" w:themeFill="background1" w:themeFillShade="D9"/>
          </w:tcPr>
          <w:p w14:paraId="57918C52" w14:textId="77777777" w:rsidR="001077CA" w:rsidRPr="000665B0" w:rsidRDefault="001077CA" w:rsidP="0062060B">
            <w:pPr>
              <w:spacing w:before="60" w:after="60"/>
              <w:jc w:val="center"/>
              <w:rPr>
                <w:rFonts w:ascii="Arial" w:hAnsi="Arial" w:cs="Arial"/>
                <w:b/>
                <w:sz w:val="22"/>
                <w:szCs w:val="22"/>
              </w:rPr>
            </w:pPr>
            <w:r w:rsidRPr="000665B0">
              <w:rPr>
                <w:rFonts w:ascii="Arial" w:hAnsi="Arial" w:cs="Arial"/>
                <w:b/>
                <w:sz w:val="22"/>
                <w:szCs w:val="22"/>
              </w:rPr>
              <w:t>Menu Option</w:t>
            </w:r>
          </w:p>
        </w:tc>
        <w:tc>
          <w:tcPr>
            <w:tcW w:w="5130" w:type="dxa"/>
            <w:shd w:val="clear" w:color="auto" w:fill="D9D9D9" w:themeFill="background1" w:themeFillShade="D9"/>
          </w:tcPr>
          <w:p w14:paraId="05C11330" w14:textId="77777777" w:rsidR="001077CA" w:rsidRPr="000665B0" w:rsidRDefault="001077CA" w:rsidP="0062060B">
            <w:pPr>
              <w:spacing w:before="60" w:after="60"/>
              <w:jc w:val="center"/>
              <w:rPr>
                <w:rFonts w:ascii="Arial" w:hAnsi="Arial" w:cs="Arial"/>
                <w:b/>
                <w:sz w:val="22"/>
                <w:szCs w:val="22"/>
              </w:rPr>
            </w:pPr>
            <w:r w:rsidRPr="000665B0">
              <w:rPr>
                <w:rFonts w:ascii="Arial" w:hAnsi="Arial" w:cs="Arial"/>
                <w:b/>
                <w:sz w:val="22"/>
                <w:szCs w:val="22"/>
              </w:rPr>
              <w:t>Enable Criteria</w:t>
            </w:r>
          </w:p>
        </w:tc>
        <w:tc>
          <w:tcPr>
            <w:tcW w:w="1710" w:type="dxa"/>
            <w:shd w:val="clear" w:color="auto" w:fill="D9D9D9" w:themeFill="background1" w:themeFillShade="D9"/>
          </w:tcPr>
          <w:p w14:paraId="5B09D368" w14:textId="77777777" w:rsidR="001077CA" w:rsidRPr="000665B0" w:rsidRDefault="005E671D" w:rsidP="0062060B">
            <w:pPr>
              <w:spacing w:before="60" w:after="60"/>
              <w:jc w:val="center"/>
              <w:rPr>
                <w:rFonts w:ascii="Arial" w:hAnsi="Arial" w:cs="Arial"/>
                <w:b/>
                <w:sz w:val="22"/>
                <w:szCs w:val="22"/>
              </w:rPr>
            </w:pPr>
            <w:r w:rsidRPr="000665B0">
              <w:rPr>
                <w:rFonts w:ascii="Arial" w:hAnsi="Arial" w:cs="Arial"/>
                <w:b/>
                <w:sz w:val="22"/>
                <w:szCs w:val="22"/>
              </w:rPr>
              <w:t>List View</w:t>
            </w:r>
            <w:r w:rsidR="001077CA" w:rsidRPr="000665B0">
              <w:rPr>
                <w:rFonts w:ascii="Arial" w:hAnsi="Arial" w:cs="Arial"/>
                <w:b/>
                <w:sz w:val="22"/>
                <w:szCs w:val="22"/>
              </w:rPr>
              <w:t xml:space="preserve"> Context Menu</w:t>
            </w:r>
          </w:p>
        </w:tc>
      </w:tr>
      <w:tr w:rsidR="001077CA" w:rsidRPr="000665B0" w14:paraId="222BB749" w14:textId="77777777" w:rsidTr="00410EA4">
        <w:trPr>
          <w:trHeight w:val="197"/>
        </w:trPr>
        <w:tc>
          <w:tcPr>
            <w:tcW w:w="2605" w:type="dxa"/>
          </w:tcPr>
          <w:p w14:paraId="5528C6AA" w14:textId="77777777" w:rsidR="001077CA" w:rsidRPr="000665B0" w:rsidRDefault="001077CA" w:rsidP="0062060B">
            <w:pPr>
              <w:spacing w:before="60" w:after="60"/>
              <w:rPr>
                <w:rFonts w:ascii="Arial" w:hAnsi="Arial" w:cs="Arial"/>
                <w:sz w:val="20"/>
              </w:rPr>
            </w:pPr>
            <w:r w:rsidRPr="000665B0">
              <w:rPr>
                <w:rFonts w:ascii="Arial" w:hAnsi="Arial" w:cs="Arial"/>
                <w:sz w:val="20"/>
              </w:rPr>
              <w:t>New (and sub menus)</w:t>
            </w:r>
          </w:p>
        </w:tc>
        <w:tc>
          <w:tcPr>
            <w:tcW w:w="5130" w:type="dxa"/>
          </w:tcPr>
          <w:p w14:paraId="185A5B73" w14:textId="77777777" w:rsidR="001077CA" w:rsidRPr="000665B0" w:rsidRDefault="001077CA" w:rsidP="0062060B">
            <w:pPr>
              <w:spacing w:before="60" w:after="60"/>
              <w:rPr>
                <w:rFonts w:ascii="Arial" w:hAnsi="Arial" w:cs="Arial"/>
                <w:sz w:val="20"/>
              </w:rPr>
            </w:pPr>
            <w:r w:rsidRPr="000665B0">
              <w:rPr>
                <w:rFonts w:ascii="Arial" w:hAnsi="Arial" w:cs="Arial"/>
                <w:sz w:val="20"/>
              </w:rPr>
              <w:t>Local SQL Server instance</w:t>
            </w:r>
          </w:p>
        </w:tc>
        <w:tc>
          <w:tcPr>
            <w:tcW w:w="1710" w:type="dxa"/>
          </w:tcPr>
          <w:p w14:paraId="5D730FA3" w14:textId="77777777" w:rsidR="001077CA" w:rsidRPr="000665B0" w:rsidRDefault="001077CA" w:rsidP="0062060B">
            <w:pPr>
              <w:spacing w:before="60" w:after="60"/>
              <w:jc w:val="center"/>
              <w:rPr>
                <w:rFonts w:ascii="Arial" w:hAnsi="Arial" w:cs="Arial"/>
                <w:sz w:val="20"/>
              </w:rPr>
            </w:pPr>
          </w:p>
        </w:tc>
      </w:tr>
      <w:tr w:rsidR="001077CA" w:rsidRPr="000665B0" w14:paraId="1ED9A6FE" w14:textId="77777777" w:rsidTr="00410EA4">
        <w:trPr>
          <w:trHeight w:val="178"/>
        </w:trPr>
        <w:tc>
          <w:tcPr>
            <w:tcW w:w="2605" w:type="dxa"/>
          </w:tcPr>
          <w:p w14:paraId="2CA848BA" w14:textId="77777777" w:rsidR="001077CA" w:rsidRPr="000665B0" w:rsidRDefault="001077CA" w:rsidP="0062060B">
            <w:pPr>
              <w:spacing w:before="60" w:after="60"/>
              <w:rPr>
                <w:rFonts w:ascii="Arial" w:hAnsi="Arial" w:cs="Arial"/>
                <w:sz w:val="20"/>
              </w:rPr>
            </w:pPr>
            <w:r w:rsidRPr="000665B0">
              <w:rPr>
                <w:rFonts w:ascii="Arial" w:hAnsi="Arial" w:cs="Arial"/>
                <w:sz w:val="20"/>
              </w:rPr>
              <w:t>Change SQL Server</w:t>
            </w:r>
          </w:p>
        </w:tc>
        <w:tc>
          <w:tcPr>
            <w:tcW w:w="5130" w:type="dxa"/>
          </w:tcPr>
          <w:p w14:paraId="4EFACA55" w14:textId="77777777" w:rsidR="001077CA" w:rsidRPr="000665B0" w:rsidRDefault="001077CA" w:rsidP="0062060B">
            <w:pPr>
              <w:spacing w:before="60" w:after="60"/>
              <w:rPr>
                <w:rFonts w:ascii="Arial" w:hAnsi="Arial" w:cs="Arial"/>
                <w:sz w:val="20"/>
              </w:rPr>
            </w:pPr>
            <w:r w:rsidRPr="000665B0">
              <w:rPr>
                <w:rFonts w:ascii="Arial" w:hAnsi="Arial" w:cs="Arial"/>
                <w:sz w:val="20"/>
              </w:rPr>
              <w:t>Always enabled</w:t>
            </w:r>
          </w:p>
        </w:tc>
        <w:tc>
          <w:tcPr>
            <w:tcW w:w="1710" w:type="dxa"/>
          </w:tcPr>
          <w:p w14:paraId="0630F2A7" w14:textId="77777777" w:rsidR="001077CA" w:rsidRPr="000665B0" w:rsidRDefault="001077CA" w:rsidP="0062060B">
            <w:pPr>
              <w:spacing w:before="60" w:after="60"/>
              <w:jc w:val="center"/>
              <w:rPr>
                <w:rFonts w:ascii="Arial" w:hAnsi="Arial" w:cs="Arial"/>
                <w:sz w:val="20"/>
              </w:rPr>
            </w:pPr>
          </w:p>
        </w:tc>
      </w:tr>
      <w:tr w:rsidR="001077CA" w:rsidRPr="000665B0" w14:paraId="6C0E2BED" w14:textId="77777777" w:rsidTr="00410EA4">
        <w:trPr>
          <w:trHeight w:val="159"/>
        </w:trPr>
        <w:tc>
          <w:tcPr>
            <w:tcW w:w="2605" w:type="dxa"/>
            <w:vAlign w:val="bottom"/>
          </w:tcPr>
          <w:p w14:paraId="1EE82C34" w14:textId="47B551ED" w:rsidR="001077CA" w:rsidRPr="000665B0" w:rsidRDefault="001077CA" w:rsidP="0062060B">
            <w:pPr>
              <w:spacing w:before="60" w:after="60"/>
              <w:rPr>
                <w:rFonts w:ascii="Arial" w:hAnsi="Arial" w:cs="Arial"/>
                <w:sz w:val="20"/>
              </w:rPr>
            </w:pPr>
            <w:r w:rsidRPr="000665B0">
              <w:rPr>
                <w:rFonts w:ascii="Arial" w:hAnsi="Arial" w:cs="Arial"/>
                <w:sz w:val="20"/>
              </w:rPr>
              <w:t>Set Location Code</w:t>
            </w:r>
          </w:p>
        </w:tc>
        <w:tc>
          <w:tcPr>
            <w:tcW w:w="5130" w:type="dxa"/>
            <w:vAlign w:val="bottom"/>
          </w:tcPr>
          <w:p w14:paraId="4BF476C5" w14:textId="77777777" w:rsidR="001077CA" w:rsidRPr="000665B0" w:rsidRDefault="001077CA" w:rsidP="0062060B">
            <w:pPr>
              <w:spacing w:before="60" w:after="60"/>
              <w:rPr>
                <w:rFonts w:ascii="Arial" w:hAnsi="Arial" w:cs="Arial"/>
                <w:sz w:val="20"/>
              </w:rPr>
            </w:pPr>
            <w:r w:rsidRPr="000665B0">
              <w:rPr>
                <w:rFonts w:ascii="Arial" w:hAnsi="Arial" w:cs="Arial"/>
                <w:sz w:val="20"/>
              </w:rPr>
              <w:t>Enabled if not in the middle of DB creation or deletion</w:t>
            </w:r>
          </w:p>
        </w:tc>
        <w:tc>
          <w:tcPr>
            <w:tcW w:w="1710" w:type="dxa"/>
          </w:tcPr>
          <w:p w14:paraId="7C7D4006" w14:textId="77777777" w:rsidR="001077CA" w:rsidRPr="000665B0" w:rsidRDefault="001077CA" w:rsidP="0062060B">
            <w:pPr>
              <w:spacing w:before="60" w:after="60"/>
              <w:jc w:val="center"/>
              <w:rPr>
                <w:rFonts w:ascii="Arial" w:hAnsi="Arial" w:cs="Arial"/>
                <w:sz w:val="20"/>
              </w:rPr>
            </w:pPr>
          </w:p>
        </w:tc>
      </w:tr>
      <w:tr w:rsidR="001077CA" w:rsidRPr="000665B0" w14:paraId="12A6EDFA" w14:textId="77777777" w:rsidTr="00410EA4">
        <w:trPr>
          <w:trHeight w:val="159"/>
        </w:trPr>
        <w:tc>
          <w:tcPr>
            <w:tcW w:w="2605" w:type="dxa"/>
            <w:vAlign w:val="bottom"/>
          </w:tcPr>
          <w:p w14:paraId="76B805C6" w14:textId="77777777" w:rsidR="001077CA" w:rsidRPr="000665B0" w:rsidRDefault="001077CA" w:rsidP="0062060B">
            <w:pPr>
              <w:spacing w:before="60" w:after="60"/>
              <w:rPr>
                <w:rFonts w:ascii="Arial" w:hAnsi="Arial" w:cs="Arial"/>
                <w:sz w:val="20"/>
              </w:rPr>
            </w:pPr>
            <w:r w:rsidRPr="000665B0">
              <w:rPr>
                <w:rFonts w:ascii="Arial" w:hAnsi="Arial" w:cs="Arial"/>
                <w:sz w:val="20"/>
              </w:rPr>
              <w:t>Set System MAX Classification</w:t>
            </w:r>
          </w:p>
        </w:tc>
        <w:tc>
          <w:tcPr>
            <w:tcW w:w="5130" w:type="dxa"/>
            <w:vAlign w:val="bottom"/>
          </w:tcPr>
          <w:p w14:paraId="0CC285AD" w14:textId="77777777" w:rsidR="001077CA" w:rsidRPr="000665B0" w:rsidRDefault="001077CA" w:rsidP="0062060B">
            <w:pPr>
              <w:spacing w:before="60" w:after="60"/>
              <w:rPr>
                <w:rFonts w:ascii="Arial" w:hAnsi="Arial" w:cs="Arial"/>
                <w:sz w:val="20"/>
              </w:rPr>
            </w:pPr>
            <w:r w:rsidRPr="000665B0">
              <w:rPr>
                <w:rFonts w:ascii="Arial" w:hAnsi="Arial" w:cs="Arial"/>
                <w:sz w:val="20"/>
              </w:rPr>
              <w:t xml:space="preserve">The maximum classification of the data </w:t>
            </w:r>
            <w:r w:rsidR="00B732D9" w:rsidRPr="000665B0">
              <w:rPr>
                <w:rFonts w:ascii="Arial" w:hAnsi="Arial" w:cs="Arial"/>
                <w:sz w:val="20"/>
              </w:rPr>
              <w:t xml:space="preserve">that </w:t>
            </w:r>
            <w:r w:rsidRPr="000665B0">
              <w:rPr>
                <w:rFonts w:ascii="Arial" w:hAnsi="Arial" w:cs="Arial"/>
                <w:sz w:val="20"/>
              </w:rPr>
              <w:t>can be stored in TED</w:t>
            </w:r>
          </w:p>
        </w:tc>
        <w:tc>
          <w:tcPr>
            <w:tcW w:w="1710" w:type="dxa"/>
          </w:tcPr>
          <w:p w14:paraId="1D8F045C" w14:textId="77777777" w:rsidR="001077CA" w:rsidRPr="000665B0" w:rsidRDefault="001077CA" w:rsidP="0062060B">
            <w:pPr>
              <w:spacing w:before="60" w:after="60"/>
              <w:jc w:val="center"/>
              <w:rPr>
                <w:rFonts w:ascii="Arial" w:hAnsi="Arial" w:cs="Arial"/>
                <w:sz w:val="20"/>
              </w:rPr>
            </w:pPr>
          </w:p>
        </w:tc>
      </w:tr>
      <w:tr w:rsidR="00034712" w:rsidRPr="000665B0" w14:paraId="22CAB515" w14:textId="77777777" w:rsidTr="00410EA4">
        <w:trPr>
          <w:trHeight w:val="159"/>
        </w:trPr>
        <w:tc>
          <w:tcPr>
            <w:tcW w:w="2605" w:type="dxa"/>
          </w:tcPr>
          <w:p w14:paraId="29045E46" w14:textId="77777777" w:rsidR="00034712" w:rsidRPr="000665B0" w:rsidRDefault="00034712" w:rsidP="0062060B">
            <w:pPr>
              <w:spacing w:before="60" w:after="60"/>
              <w:rPr>
                <w:rFonts w:ascii="Arial" w:hAnsi="Arial" w:cs="Arial"/>
                <w:sz w:val="20"/>
              </w:rPr>
            </w:pPr>
            <w:r w:rsidRPr="000665B0">
              <w:rPr>
                <w:rFonts w:ascii="Arial" w:hAnsi="Arial" w:cs="Arial"/>
                <w:sz w:val="20"/>
              </w:rPr>
              <w:t>Set Country Code Format</w:t>
            </w:r>
          </w:p>
        </w:tc>
        <w:tc>
          <w:tcPr>
            <w:tcW w:w="5130" w:type="dxa"/>
          </w:tcPr>
          <w:p w14:paraId="27A15DBA" w14:textId="77777777" w:rsidR="00034712" w:rsidRPr="000665B0" w:rsidRDefault="00E70804" w:rsidP="0062060B">
            <w:pPr>
              <w:spacing w:before="60" w:after="60"/>
              <w:rPr>
                <w:rFonts w:ascii="Arial" w:hAnsi="Arial" w:cs="Arial"/>
                <w:sz w:val="20"/>
              </w:rPr>
            </w:pPr>
            <w:r w:rsidRPr="000665B0">
              <w:rPr>
                <w:rFonts w:ascii="Arial" w:hAnsi="Arial" w:cs="Arial"/>
                <w:sz w:val="20"/>
              </w:rPr>
              <w:t xml:space="preserve">Always enabled. Allows user to set the Country Code </w:t>
            </w:r>
            <w:r w:rsidR="00833C33" w:rsidRPr="000665B0">
              <w:rPr>
                <w:rFonts w:ascii="Arial" w:hAnsi="Arial" w:cs="Arial"/>
                <w:sz w:val="20"/>
              </w:rPr>
              <w:t>F</w:t>
            </w:r>
            <w:r w:rsidRPr="000665B0">
              <w:rPr>
                <w:rFonts w:ascii="Arial" w:hAnsi="Arial" w:cs="Arial"/>
                <w:sz w:val="20"/>
              </w:rPr>
              <w:t>ormat to GEC, GENC2</w:t>
            </w:r>
            <w:r w:rsidR="00E42184" w:rsidRPr="000665B0">
              <w:rPr>
                <w:rFonts w:ascii="Arial" w:hAnsi="Arial" w:cs="Arial"/>
                <w:sz w:val="20"/>
              </w:rPr>
              <w:t xml:space="preserve"> (default)</w:t>
            </w:r>
            <w:r w:rsidRPr="000665B0">
              <w:rPr>
                <w:rFonts w:ascii="Arial" w:hAnsi="Arial" w:cs="Arial"/>
                <w:sz w:val="20"/>
              </w:rPr>
              <w:t>, or GENC3</w:t>
            </w:r>
          </w:p>
        </w:tc>
        <w:tc>
          <w:tcPr>
            <w:tcW w:w="1710" w:type="dxa"/>
          </w:tcPr>
          <w:p w14:paraId="7495682E" w14:textId="77777777" w:rsidR="00034712" w:rsidRPr="000665B0" w:rsidRDefault="00034712" w:rsidP="0062060B">
            <w:pPr>
              <w:spacing w:before="60" w:after="60"/>
              <w:jc w:val="center"/>
              <w:rPr>
                <w:rFonts w:ascii="Arial" w:hAnsi="Arial" w:cs="Arial"/>
                <w:sz w:val="20"/>
              </w:rPr>
            </w:pPr>
          </w:p>
        </w:tc>
      </w:tr>
      <w:tr w:rsidR="001077CA" w:rsidRPr="000665B0" w14:paraId="681952F5" w14:textId="77777777" w:rsidTr="00410EA4">
        <w:trPr>
          <w:trHeight w:val="159"/>
        </w:trPr>
        <w:tc>
          <w:tcPr>
            <w:tcW w:w="2605" w:type="dxa"/>
          </w:tcPr>
          <w:p w14:paraId="5591B095" w14:textId="77777777" w:rsidR="001077CA" w:rsidRPr="000665B0" w:rsidRDefault="001077CA" w:rsidP="0062060B">
            <w:pPr>
              <w:spacing w:before="60" w:after="60"/>
              <w:rPr>
                <w:rFonts w:ascii="Arial" w:hAnsi="Arial" w:cs="Arial"/>
                <w:sz w:val="20"/>
              </w:rPr>
            </w:pPr>
            <w:r w:rsidRPr="000665B0">
              <w:rPr>
                <w:rFonts w:ascii="Arial" w:hAnsi="Arial" w:cs="Arial"/>
                <w:sz w:val="20"/>
              </w:rPr>
              <w:t>Properties</w:t>
            </w:r>
          </w:p>
        </w:tc>
        <w:tc>
          <w:tcPr>
            <w:tcW w:w="5130" w:type="dxa"/>
          </w:tcPr>
          <w:p w14:paraId="513028AF" w14:textId="77777777" w:rsidR="001077CA" w:rsidRPr="000665B0" w:rsidRDefault="001077CA" w:rsidP="0062060B">
            <w:pPr>
              <w:spacing w:before="60" w:after="60"/>
              <w:rPr>
                <w:rFonts w:ascii="Arial" w:hAnsi="Arial" w:cs="Arial"/>
                <w:sz w:val="20"/>
              </w:rPr>
            </w:pPr>
            <w:r w:rsidRPr="000665B0">
              <w:rPr>
                <w:rFonts w:ascii="Arial" w:hAnsi="Arial" w:cs="Arial"/>
                <w:sz w:val="20"/>
              </w:rPr>
              <w:t>Local SQL Server instance, 1 database selected</w:t>
            </w:r>
          </w:p>
        </w:tc>
        <w:tc>
          <w:tcPr>
            <w:tcW w:w="1710" w:type="dxa"/>
          </w:tcPr>
          <w:p w14:paraId="3F959246" w14:textId="77777777" w:rsidR="001077CA" w:rsidRPr="000665B0" w:rsidRDefault="001077CA" w:rsidP="0062060B">
            <w:pPr>
              <w:spacing w:before="60" w:after="60"/>
              <w:jc w:val="center"/>
              <w:rPr>
                <w:rFonts w:ascii="Arial" w:hAnsi="Arial" w:cs="Arial"/>
                <w:sz w:val="20"/>
              </w:rPr>
            </w:pPr>
            <w:r w:rsidRPr="000665B0">
              <w:rPr>
                <w:rFonts w:ascii="Arial" w:hAnsi="Arial" w:cs="Arial"/>
                <w:sz w:val="20"/>
              </w:rPr>
              <w:t>X</w:t>
            </w:r>
          </w:p>
        </w:tc>
      </w:tr>
      <w:tr w:rsidR="001077CA" w:rsidRPr="000665B0" w14:paraId="244ECBA1" w14:textId="77777777" w:rsidTr="00410EA4">
        <w:trPr>
          <w:trHeight w:val="178"/>
        </w:trPr>
        <w:tc>
          <w:tcPr>
            <w:tcW w:w="2605" w:type="dxa"/>
          </w:tcPr>
          <w:p w14:paraId="2E905E71" w14:textId="77777777" w:rsidR="001077CA" w:rsidRPr="000665B0" w:rsidRDefault="001077CA" w:rsidP="0062060B">
            <w:pPr>
              <w:spacing w:before="60" w:after="60"/>
              <w:rPr>
                <w:rFonts w:ascii="Arial" w:hAnsi="Arial" w:cs="Arial"/>
                <w:sz w:val="20"/>
              </w:rPr>
            </w:pPr>
            <w:r w:rsidRPr="000665B0">
              <w:rPr>
                <w:rFonts w:ascii="Arial" w:hAnsi="Arial" w:cs="Arial"/>
                <w:sz w:val="20"/>
              </w:rPr>
              <w:t>Archive</w:t>
            </w:r>
          </w:p>
        </w:tc>
        <w:tc>
          <w:tcPr>
            <w:tcW w:w="5130" w:type="dxa"/>
          </w:tcPr>
          <w:p w14:paraId="7383DBEE" w14:textId="77777777" w:rsidR="001077CA" w:rsidRPr="000665B0" w:rsidRDefault="001077CA" w:rsidP="0062060B">
            <w:pPr>
              <w:spacing w:before="60" w:after="60"/>
              <w:rPr>
                <w:rFonts w:ascii="Arial" w:hAnsi="Arial" w:cs="Arial"/>
                <w:sz w:val="20"/>
              </w:rPr>
            </w:pPr>
            <w:r w:rsidRPr="000665B0">
              <w:rPr>
                <w:rFonts w:ascii="Arial" w:hAnsi="Arial" w:cs="Arial"/>
                <w:sz w:val="20"/>
              </w:rPr>
              <w:t>Local SQL Server instance, 1 or more databases selected</w:t>
            </w:r>
          </w:p>
        </w:tc>
        <w:tc>
          <w:tcPr>
            <w:tcW w:w="1710" w:type="dxa"/>
          </w:tcPr>
          <w:p w14:paraId="24993339" w14:textId="77777777" w:rsidR="001077CA" w:rsidRPr="000665B0" w:rsidRDefault="001077CA" w:rsidP="0062060B">
            <w:pPr>
              <w:spacing w:before="60" w:after="60"/>
              <w:jc w:val="center"/>
              <w:rPr>
                <w:rFonts w:ascii="Arial" w:hAnsi="Arial" w:cs="Arial"/>
                <w:sz w:val="20"/>
              </w:rPr>
            </w:pPr>
            <w:r w:rsidRPr="000665B0">
              <w:rPr>
                <w:rFonts w:ascii="Arial" w:hAnsi="Arial" w:cs="Arial"/>
                <w:sz w:val="20"/>
              </w:rPr>
              <w:t>X</w:t>
            </w:r>
          </w:p>
        </w:tc>
      </w:tr>
      <w:tr w:rsidR="001077CA" w:rsidRPr="000665B0" w14:paraId="55646CAC" w14:textId="77777777" w:rsidTr="00410EA4">
        <w:trPr>
          <w:trHeight w:val="297"/>
        </w:trPr>
        <w:tc>
          <w:tcPr>
            <w:tcW w:w="2605" w:type="dxa"/>
          </w:tcPr>
          <w:p w14:paraId="7DE6A29F" w14:textId="77777777" w:rsidR="001077CA" w:rsidRPr="000665B0" w:rsidRDefault="001077CA" w:rsidP="0062060B">
            <w:pPr>
              <w:spacing w:before="60" w:after="60"/>
              <w:rPr>
                <w:rFonts w:ascii="Arial" w:hAnsi="Arial" w:cs="Arial"/>
                <w:sz w:val="20"/>
              </w:rPr>
            </w:pPr>
            <w:r w:rsidRPr="000665B0">
              <w:rPr>
                <w:rFonts w:ascii="Arial" w:hAnsi="Arial" w:cs="Arial"/>
                <w:sz w:val="20"/>
              </w:rPr>
              <w:t>Restore</w:t>
            </w:r>
          </w:p>
        </w:tc>
        <w:tc>
          <w:tcPr>
            <w:tcW w:w="5130" w:type="dxa"/>
          </w:tcPr>
          <w:p w14:paraId="13F9A460" w14:textId="77777777" w:rsidR="001077CA" w:rsidRPr="000665B0" w:rsidRDefault="001077CA" w:rsidP="0062060B">
            <w:pPr>
              <w:spacing w:before="60" w:after="60"/>
              <w:rPr>
                <w:rFonts w:ascii="Arial" w:hAnsi="Arial" w:cs="Arial"/>
                <w:sz w:val="20"/>
              </w:rPr>
            </w:pPr>
            <w:r w:rsidRPr="000665B0">
              <w:rPr>
                <w:rFonts w:ascii="Arial" w:hAnsi="Arial" w:cs="Arial"/>
                <w:sz w:val="20"/>
              </w:rPr>
              <w:t>Local SQL Server instance</w:t>
            </w:r>
          </w:p>
        </w:tc>
        <w:tc>
          <w:tcPr>
            <w:tcW w:w="1710" w:type="dxa"/>
          </w:tcPr>
          <w:p w14:paraId="6B23BF07" w14:textId="77777777" w:rsidR="001077CA" w:rsidRPr="000665B0" w:rsidRDefault="001077CA" w:rsidP="0062060B">
            <w:pPr>
              <w:spacing w:before="60" w:after="60"/>
              <w:jc w:val="center"/>
              <w:rPr>
                <w:rFonts w:ascii="Arial" w:hAnsi="Arial" w:cs="Arial"/>
                <w:sz w:val="20"/>
              </w:rPr>
            </w:pPr>
          </w:p>
        </w:tc>
      </w:tr>
      <w:tr w:rsidR="001077CA" w:rsidRPr="000665B0" w14:paraId="767F84FB" w14:textId="77777777" w:rsidTr="00410EA4">
        <w:trPr>
          <w:trHeight w:val="244"/>
        </w:trPr>
        <w:tc>
          <w:tcPr>
            <w:tcW w:w="2605" w:type="dxa"/>
          </w:tcPr>
          <w:p w14:paraId="08A9E984" w14:textId="77777777" w:rsidR="001077CA" w:rsidRPr="000665B0" w:rsidRDefault="001077CA" w:rsidP="0062060B">
            <w:pPr>
              <w:spacing w:before="60" w:after="60"/>
              <w:rPr>
                <w:rFonts w:ascii="Arial" w:hAnsi="Arial" w:cs="Arial"/>
                <w:sz w:val="20"/>
              </w:rPr>
            </w:pPr>
            <w:r w:rsidRPr="000665B0">
              <w:rPr>
                <w:rFonts w:ascii="Arial" w:hAnsi="Arial" w:cs="Arial"/>
                <w:sz w:val="20"/>
              </w:rPr>
              <w:t>Upgrade</w:t>
            </w:r>
          </w:p>
        </w:tc>
        <w:tc>
          <w:tcPr>
            <w:tcW w:w="5130" w:type="dxa"/>
          </w:tcPr>
          <w:p w14:paraId="7970170F" w14:textId="681DDDB9" w:rsidR="001077CA" w:rsidRPr="000665B0" w:rsidRDefault="007D3269" w:rsidP="0062060B">
            <w:pPr>
              <w:spacing w:before="60" w:after="60"/>
              <w:rPr>
                <w:rFonts w:ascii="Arial" w:hAnsi="Arial" w:cs="Arial"/>
                <w:sz w:val="20"/>
              </w:rPr>
            </w:pPr>
            <w:r w:rsidRPr="000665B0">
              <w:rPr>
                <w:rFonts w:ascii="Arial" w:hAnsi="Arial" w:cs="Arial"/>
                <w:sz w:val="20"/>
              </w:rPr>
              <w:t>Always enabled</w:t>
            </w:r>
          </w:p>
        </w:tc>
        <w:tc>
          <w:tcPr>
            <w:tcW w:w="1710" w:type="dxa"/>
          </w:tcPr>
          <w:p w14:paraId="5C319DCC" w14:textId="77777777" w:rsidR="001077CA" w:rsidRPr="000665B0" w:rsidRDefault="001077CA" w:rsidP="0062060B">
            <w:pPr>
              <w:spacing w:before="60" w:after="60"/>
              <w:jc w:val="center"/>
              <w:rPr>
                <w:rFonts w:ascii="Arial" w:hAnsi="Arial" w:cs="Arial"/>
                <w:sz w:val="20"/>
              </w:rPr>
            </w:pPr>
            <w:r w:rsidRPr="000665B0">
              <w:rPr>
                <w:rFonts w:ascii="Arial" w:hAnsi="Arial" w:cs="Arial"/>
                <w:sz w:val="20"/>
              </w:rPr>
              <w:t>X</w:t>
            </w:r>
          </w:p>
        </w:tc>
      </w:tr>
      <w:tr w:rsidR="001077CA" w:rsidRPr="000665B0" w14:paraId="10C4970E" w14:textId="77777777" w:rsidTr="00410EA4">
        <w:trPr>
          <w:trHeight w:val="314"/>
        </w:trPr>
        <w:tc>
          <w:tcPr>
            <w:tcW w:w="2605" w:type="dxa"/>
          </w:tcPr>
          <w:p w14:paraId="151D8447" w14:textId="77777777" w:rsidR="001077CA" w:rsidRPr="000665B0" w:rsidRDefault="001077CA" w:rsidP="0062060B">
            <w:pPr>
              <w:spacing w:before="60" w:after="60"/>
              <w:rPr>
                <w:rFonts w:ascii="Arial" w:hAnsi="Arial" w:cs="Arial"/>
                <w:sz w:val="20"/>
              </w:rPr>
            </w:pPr>
            <w:r w:rsidRPr="000665B0">
              <w:rPr>
                <w:rFonts w:ascii="Arial" w:hAnsi="Arial" w:cs="Arial"/>
                <w:sz w:val="20"/>
              </w:rPr>
              <w:t>Print/Print All</w:t>
            </w:r>
          </w:p>
        </w:tc>
        <w:tc>
          <w:tcPr>
            <w:tcW w:w="5130" w:type="dxa"/>
          </w:tcPr>
          <w:p w14:paraId="28684B45" w14:textId="77777777" w:rsidR="001077CA" w:rsidRPr="000665B0" w:rsidRDefault="001077CA" w:rsidP="0062060B">
            <w:pPr>
              <w:spacing w:before="60" w:after="60"/>
              <w:rPr>
                <w:rFonts w:ascii="Arial" w:hAnsi="Arial" w:cs="Arial"/>
                <w:sz w:val="20"/>
              </w:rPr>
            </w:pPr>
            <w:r w:rsidRPr="000665B0">
              <w:rPr>
                <w:rFonts w:ascii="Arial" w:hAnsi="Arial" w:cs="Arial"/>
                <w:sz w:val="20"/>
              </w:rPr>
              <w:t>Always enabled</w:t>
            </w:r>
          </w:p>
        </w:tc>
        <w:tc>
          <w:tcPr>
            <w:tcW w:w="1710" w:type="dxa"/>
          </w:tcPr>
          <w:p w14:paraId="441C67BD" w14:textId="77777777" w:rsidR="001077CA" w:rsidRPr="000665B0" w:rsidRDefault="001077CA" w:rsidP="0062060B">
            <w:pPr>
              <w:spacing w:before="60" w:after="60"/>
              <w:jc w:val="center"/>
              <w:rPr>
                <w:rFonts w:ascii="Arial" w:hAnsi="Arial" w:cs="Arial"/>
                <w:sz w:val="20"/>
              </w:rPr>
            </w:pPr>
            <w:r w:rsidRPr="000665B0">
              <w:rPr>
                <w:rFonts w:ascii="Arial" w:hAnsi="Arial" w:cs="Arial"/>
                <w:sz w:val="20"/>
              </w:rPr>
              <w:t>X</w:t>
            </w:r>
          </w:p>
        </w:tc>
      </w:tr>
      <w:tr w:rsidR="001077CA" w:rsidRPr="000665B0" w14:paraId="720371FB" w14:textId="77777777" w:rsidTr="00410EA4">
        <w:trPr>
          <w:trHeight w:val="244"/>
        </w:trPr>
        <w:tc>
          <w:tcPr>
            <w:tcW w:w="2605" w:type="dxa"/>
          </w:tcPr>
          <w:p w14:paraId="60E39BF2" w14:textId="77777777" w:rsidR="001077CA" w:rsidRPr="000665B0" w:rsidRDefault="001077CA" w:rsidP="0062060B">
            <w:pPr>
              <w:spacing w:before="60" w:after="60"/>
              <w:rPr>
                <w:rFonts w:ascii="Arial" w:hAnsi="Arial" w:cs="Arial"/>
                <w:sz w:val="20"/>
              </w:rPr>
            </w:pPr>
            <w:r w:rsidRPr="000665B0">
              <w:rPr>
                <w:rFonts w:ascii="Arial" w:hAnsi="Arial" w:cs="Arial"/>
                <w:sz w:val="20"/>
              </w:rPr>
              <w:lastRenderedPageBreak/>
              <w:t>Delete</w:t>
            </w:r>
          </w:p>
        </w:tc>
        <w:tc>
          <w:tcPr>
            <w:tcW w:w="5130" w:type="dxa"/>
          </w:tcPr>
          <w:p w14:paraId="16E28508" w14:textId="77777777" w:rsidR="001077CA" w:rsidRPr="000665B0" w:rsidRDefault="001077CA" w:rsidP="0062060B">
            <w:pPr>
              <w:spacing w:before="60" w:after="60"/>
              <w:rPr>
                <w:rFonts w:ascii="Arial" w:hAnsi="Arial" w:cs="Arial"/>
                <w:sz w:val="20"/>
              </w:rPr>
            </w:pPr>
            <w:r w:rsidRPr="000665B0">
              <w:rPr>
                <w:rFonts w:ascii="Arial" w:hAnsi="Arial" w:cs="Arial"/>
                <w:sz w:val="20"/>
              </w:rPr>
              <w:t>Local SQL Server instance, 1 or more databases selected</w:t>
            </w:r>
          </w:p>
        </w:tc>
        <w:tc>
          <w:tcPr>
            <w:tcW w:w="1710" w:type="dxa"/>
          </w:tcPr>
          <w:p w14:paraId="0B164FE3" w14:textId="77777777" w:rsidR="001077CA" w:rsidRPr="000665B0" w:rsidRDefault="001077CA" w:rsidP="0062060B">
            <w:pPr>
              <w:spacing w:before="60" w:after="60"/>
              <w:jc w:val="center"/>
              <w:rPr>
                <w:rFonts w:ascii="Arial" w:hAnsi="Arial" w:cs="Arial"/>
                <w:sz w:val="20"/>
              </w:rPr>
            </w:pPr>
            <w:r w:rsidRPr="000665B0">
              <w:rPr>
                <w:rFonts w:ascii="Arial" w:hAnsi="Arial" w:cs="Arial"/>
                <w:sz w:val="20"/>
              </w:rPr>
              <w:t>X</w:t>
            </w:r>
          </w:p>
        </w:tc>
      </w:tr>
      <w:tr w:rsidR="001077CA" w:rsidRPr="000665B0" w14:paraId="72D4A922" w14:textId="77777777" w:rsidTr="00410EA4">
        <w:trPr>
          <w:trHeight w:val="314"/>
        </w:trPr>
        <w:tc>
          <w:tcPr>
            <w:tcW w:w="2605" w:type="dxa"/>
          </w:tcPr>
          <w:p w14:paraId="0938A512" w14:textId="77777777" w:rsidR="001077CA" w:rsidRPr="000665B0" w:rsidRDefault="001077CA" w:rsidP="0062060B">
            <w:pPr>
              <w:spacing w:before="60" w:after="60"/>
              <w:rPr>
                <w:rFonts w:ascii="Arial" w:hAnsi="Arial" w:cs="Arial"/>
                <w:sz w:val="20"/>
              </w:rPr>
            </w:pPr>
            <w:r w:rsidRPr="000665B0">
              <w:rPr>
                <w:rFonts w:ascii="Arial" w:hAnsi="Arial" w:cs="Arial"/>
                <w:sz w:val="20"/>
              </w:rPr>
              <w:t>Exit</w:t>
            </w:r>
          </w:p>
        </w:tc>
        <w:tc>
          <w:tcPr>
            <w:tcW w:w="5130" w:type="dxa"/>
          </w:tcPr>
          <w:p w14:paraId="5D2152D1" w14:textId="77777777" w:rsidR="001077CA" w:rsidRPr="000665B0" w:rsidRDefault="001077CA" w:rsidP="0062060B">
            <w:pPr>
              <w:spacing w:before="60" w:after="60"/>
              <w:rPr>
                <w:rFonts w:ascii="Arial" w:hAnsi="Arial" w:cs="Arial"/>
                <w:sz w:val="20"/>
              </w:rPr>
            </w:pPr>
            <w:r w:rsidRPr="000665B0">
              <w:rPr>
                <w:rFonts w:ascii="Arial" w:hAnsi="Arial" w:cs="Arial"/>
                <w:sz w:val="20"/>
              </w:rPr>
              <w:t>Always enabled</w:t>
            </w:r>
          </w:p>
        </w:tc>
        <w:tc>
          <w:tcPr>
            <w:tcW w:w="1710" w:type="dxa"/>
          </w:tcPr>
          <w:p w14:paraId="62730D5E" w14:textId="77777777" w:rsidR="001077CA" w:rsidRPr="000665B0" w:rsidRDefault="001077CA" w:rsidP="0062060B">
            <w:pPr>
              <w:spacing w:before="60" w:after="60"/>
              <w:jc w:val="center"/>
              <w:rPr>
                <w:rFonts w:ascii="Arial" w:hAnsi="Arial" w:cs="Arial"/>
                <w:sz w:val="20"/>
              </w:rPr>
            </w:pPr>
          </w:p>
        </w:tc>
      </w:tr>
      <w:tr w:rsidR="005D5887" w:rsidRPr="000665B0" w14:paraId="5351BEFC" w14:textId="77777777" w:rsidTr="00410EA4">
        <w:trPr>
          <w:trHeight w:val="314"/>
        </w:trPr>
        <w:tc>
          <w:tcPr>
            <w:tcW w:w="2605" w:type="dxa"/>
          </w:tcPr>
          <w:p w14:paraId="63698352" w14:textId="77777777" w:rsidR="005D5887" w:rsidRPr="000665B0" w:rsidRDefault="005D5887" w:rsidP="0062060B">
            <w:pPr>
              <w:spacing w:before="60" w:after="60"/>
              <w:rPr>
                <w:rFonts w:ascii="Arial" w:hAnsi="Arial" w:cs="Arial"/>
                <w:sz w:val="20"/>
              </w:rPr>
            </w:pPr>
            <w:r w:rsidRPr="000665B0">
              <w:rPr>
                <w:rFonts w:ascii="Arial" w:hAnsi="Arial" w:cs="Arial"/>
                <w:sz w:val="20"/>
              </w:rPr>
              <w:t>*Data ID Sequence Number Maintenance</w:t>
            </w:r>
          </w:p>
        </w:tc>
        <w:tc>
          <w:tcPr>
            <w:tcW w:w="5130" w:type="dxa"/>
          </w:tcPr>
          <w:p w14:paraId="61DFD84C" w14:textId="316F7989" w:rsidR="005D5887" w:rsidRPr="000665B0" w:rsidRDefault="005D5887" w:rsidP="0062060B">
            <w:pPr>
              <w:spacing w:before="60" w:after="60"/>
              <w:rPr>
                <w:rFonts w:ascii="Arial" w:hAnsi="Arial" w:cs="Arial"/>
                <w:sz w:val="20"/>
              </w:rPr>
            </w:pPr>
            <w:r w:rsidRPr="000665B0">
              <w:rPr>
                <w:rFonts w:ascii="Arial" w:hAnsi="Arial" w:cs="Arial"/>
                <w:sz w:val="20"/>
              </w:rPr>
              <w:t xml:space="preserve">When only 1 db selected and db is of type TED_DISTRUBUTION_DB, TED_MANAGEMENT_DB, TED_MD_DB, TED_STRIKE_DB, </w:t>
            </w:r>
            <w:r w:rsidR="003A36AB" w:rsidRPr="000665B0">
              <w:rPr>
                <w:rFonts w:ascii="Arial" w:hAnsi="Arial" w:cs="Arial"/>
                <w:sz w:val="20"/>
              </w:rPr>
              <w:t xml:space="preserve">TED_TASK_DB, </w:t>
            </w:r>
            <w:r w:rsidRPr="000665B0">
              <w:rPr>
                <w:rFonts w:ascii="Arial" w:hAnsi="Arial" w:cs="Arial"/>
                <w:sz w:val="20"/>
              </w:rPr>
              <w:t>TED_TAWSOBJ_DB</w:t>
            </w:r>
            <w:r w:rsidR="003A36AB" w:rsidRPr="000665B0">
              <w:rPr>
                <w:rFonts w:ascii="Arial" w:hAnsi="Arial" w:cs="Arial"/>
                <w:sz w:val="20"/>
              </w:rPr>
              <w:t>,</w:t>
            </w:r>
            <w:r w:rsidRPr="000665B0">
              <w:rPr>
                <w:rFonts w:ascii="Arial" w:hAnsi="Arial" w:cs="Arial"/>
                <w:sz w:val="20"/>
              </w:rPr>
              <w:t xml:space="preserve"> TED_</w:t>
            </w:r>
            <w:r w:rsidR="003A36AB" w:rsidRPr="000665B0">
              <w:rPr>
                <w:rFonts w:ascii="Arial" w:hAnsi="Arial" w:cs="Arial"/>
                <w:sz w:val="20"/>
              </w:rPr>
              <w:t>TM</w:t>
            </w:r>
            <w:r w:rsidRPr="000665B0">
              <w:rPr>
                <w:rFonts w:ascii="Arial" w:hAnsi="Arial" w:cs="Arial"/>
                <w:sz w:val="20"/>
              </w:rPr>
              <w:t>_DB</w:t>
            </w:r>
            <w:r w:rsidR="003A36AB" w:rsidRPr="000665B0">
              <w:rPr>
                <w:rFonts w:ascii="Arial" w:hAnsi="Arial" w:cs="Arial"/>
                <w:sz w:val="20"/>
              </w:rPr>
              <w:t>, TED_TRACK_DB, or TED_TSRT_DB.</w:t>
            </w:r>
          </w:p>
        </w:tc>
        <w:tc>
          <w:tcPr>
            <w:tcW w:w="1710" w:type="dxa"/>
          </w:tcPr>
          <w:p w14:paraId="6379D0F2" w14:textId="77777777" w:rsidR="005D5887" w:rsidRPr="000665B0" w:rsidRDefault="005D5887" w:rsidP="0062060B">
            <w:pPr>
              <w:spacing w:before="60" w:after="60"/>
              <w:jc w:val="center"/>
              <w:rPr>
                <w:rFonts w:ascii="Arial" w:hAnsi="Arial" w:cs="Arial"/>
                <w:sz w:val="20"/>
              </w:rPr>
            </w:pPr>
            <w:r w:rsidRPr="000665B0">
              <w:rPr>
                <w:rFonts w:ascii="Arial" w:hAnsi="Arial" w:cs="Arial"/>
                <w:sz w:val="20"/>
              </w:rPr>
              <w:t>X</w:t>
            </w:r>
          </w:p>
        </w:tc>
      </w:tr>
      <w:tr w:rsidR="005D5887" w:rsidRPr="000665B0" w14:paraId="02904E9C" w14:textId="77777777" w:rsidTr="00410EA4">
        <w:trPr>
          <w:trHeight w:val="314"/>
        </w:trPr>
        <w:tc>
          <w:tcPr>
            <w:tcW w:w="9445" w:type="dxa"/>
            <w:gridSpan w:val="3"/>
          </w:tcPr>
          <w:p w14:paraId="2513C599" w14:textId="77777777" w:rsidR="005D5887" w:rsidRPr="000665B0" w:rsidRDefault="005D5887" w:rsidP="0062060B">
            <w:pPr>
              <w:spacing w:before="60" w:after="60"/>
              <w:rPr>
                <w:rFonts w:ascii="Arial" w:hAnsi="Arial" w:cs="Arial"/>
                <w:sz w:val="20"/>
              </w:rPr>
            </w:pPr>
            <w:r w:rsidRPr="000665B0">
              <w:rPr>
                <w:rFonts w:ascii="Arial" w:hAnsi="Arial" w:cs="Arial"/>
                <w:sz w:val="20"/>
              </w:rPr>
              <w:t>* Available from Context menu only</w:t>
            </w:r>
          </w:p>
        </w:tc>
      </w:tr>
    </w:tbl>
    <w:p w14:paraId="10FD8600" w14:textId="77777777" w:rsidR="00C70AD7" w:rsidRPr="000665B0" w:rsidRDefault="0070686A" w:rsidP="001D5D3D">
      <w:pPr>
        <w:spacing w:before="120"/>
      </w:pPr>
      <w:bookmarkStart w:id="579" w:name="_4.5.2.1.1__New"/>
      <w:bookmarkStart w:id="580" w:name="_Toc201388322"/>
      <w:bookmarkEnd w:id="579"/>
      <w:r w:rsidRPr="000665B0">
        <w:t xml:space="preserve">When </w:t>
      </w:r>
      <w:r w:rsidR="00263474" w:rsidRPr="000665B0">
        <w:t xml:space="preserve">database changes are made using </w:t>
      </w:r>
      <w:r w:rsidR="00FC6685" w:rsidRPr="000665B0">
        <w:t>several</w:t>
      </w:r>
      <w:r w:rsidR="00263474" w:rsidRPr="000665B0">
        <w:t xml:space="preserve"> </w:t>
      </w:r>
      <w:r w:rsidR="00263474" w:rsidRPr="000665B0">
        <w:rPr>
          <w:b/>
        </w:rPr>
        <w:t>File</w:t>
      </w:r>
      <w:r w:rsidR="00263474" w:rsidRPr="000665B0">
        <w:t xml:space="preserve"> menu commands</w:t>
      </w:r>
      <w:r w:rsidRPr="000665B0">
        <w:t xml:space="preserve">, </w:t>
      </w:r>
      <w:r w:rsidR="000112DC" w:rsidRPr="000665B0">
        <w:t xml:space="preserve">it may be necessary to recycle </w:t>
      </w:r>
      <w:r w:rsidRPr="000665B0">
        <w:t>the Ted App</w:t>
      </w:r>
      <w:r w:rsidR="002476FF" w:rsidRPr="000665B0">
        <w:t>lication</w:t>
      </w:r>
      <w:r w:rsidRPr="000665B0">
        <w:t xml:space="preserve"> Pool </w:t>
      </w:r>
      <w:r w:rsidR="00653042" w:rsidRPr="000665B0">
        <w:t>and</w:t>
      </w:r>
      <w:r w:rsidR="002476FF" w:rsidRPr="000665B0">
        <w:t xml:space="preserve"> the </w:t>
      </w:r>
      <w:r w:rsidR="00E94A56" w:rsidRPr="000665B0">
        <w:t xml:space="preserve">TM </w:t>
      </w:r>
      <w:r w:rsidR="002476FF" w:rsidRPr="000665B0">
        <w:t xml:space="preserve">Application Pool </w:t>
      </w:r>
      <w:r w:rsidRPr="000665B0">
        <w:t xml:space="preserve">for </w:t>
      </w:r>
      <w:r w:rsidR="0005381D" w:rsidRPr="000665B0">
        <w:t xml:space="preserve">the </w:t>
      </w:r>
      <w:r w:rsidRPr="000665B0">
        <w:t>changes to take effect</w:t>
      </w:r>
      <w:r w:rsidR="00263474" w:rsidRPr="000665B0">
        <w:t xml:space="preserve">. </w:t>
      </w:r>
      <w:r w:rsidR="00C70AD7" w:rsidRPr="000665B0">
        <w:t xml:space="preserve">After changes are made </w:t>
      </w:r>
      <w:r w:rsidR="00D14F71" w:rsidRPr="000665B0">
        <w:t>and</w:t>
      </w:r>
      <w:r w:rsidR="00FE7186" w:rsidRPr="000665B0">
        <w:t xml:space="preserve"> </w:t>
      </w:r>
      <w:r w:rsidR="00C70AD7" w:rsidRPr="000665B0">
        <w:t xml:space="preserve">the TMPC Database Utility is closed, </w:t>
      </w:r>
      <w:r w:rsidR="00A50A9D" w:rsidRPr="000665B0">
        <w:t xml:space="preserve">the </w:t>
      </w:r>
      <w:r w:rsidR="00A31E1B" w:rsidRPr="000665B0">
        <w:t>system may display instructions</w:t>
      </w:r>
      <w:r w:rsidR="00A50A9D" w:rsidRPr="000665B0">
        <w:t xml:space="preserve"> to restart IIS, similar to the window below.</w:t>
      </w:r>
      <w:r w:rsidR="00C70AD7" w:rsidRPr="000665B0">
        <w:t xml:space="preserve"> </w:t>
      </w:r>
    </w:p>
    <w:p w14:paraId="690A6239" w14:textId="1C964B4C" w:rsidR="00A50A9D" w:rsidRPr="000665B0" w:rsidRDefault="00E21C8E" w:rsidP="009570CA">
      <w:pPr>
        <w:jc w:val="center"/>
      </w:pPr>
      <w:r w:rsidRPr="000665B0">
        <w:rPr>
          <w:noProof/>
        </w:rPr>
        <w:drawing>
          <wp:inline distT="0" distB="0" distL="0" distR="0" wp14:anchorId="5DC90EB4" wp14:editId="35038C48">
            <wp:extent cx="3154680" cy="1197864"/>
            <wp:effectExtent l="0" t="0" r="0" b="0"/>
            <wp:docPr id="1981" name="Picture 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197864"/>
                    </a:xfrm>
                    <a:prstGeom prst="rect">
                      <a:avLst/>
                    </a:prstGeom>
                  </pic:spPr>
                </pic:pic>
              </a:graphicData>
            </a:graphic>
          </wp:inline>
        </w:drawing>
      </w:r>
    </w:p>
    <w:p w14:paraId="4E6715B3" w14:textId="77777777" w:rsidR="00380B2C" w:rsidRPr="000665B0" w:rsidRDefault="00A50A9D" w:rsidP="008C6571">
      <w:r w:rsidRPr="000665B0">
        <w:rPr>
          <w:b/>
          <w:i/>
        </w:rPr>
        <w:t>The instructions to restart IIS are incorrect.</w:t>
      </w:r>
      <w:r w:rsidRPr="000665B0">
        <w:t xml:space="preserve"> </w:t>
      </w:r>
    </w:p>
    <w:p w14:paraId="63B84A91" w14:textId="351008EB" w:rsidR="00A50A9D" w:rsidRPr="000665B0" w:rsidRDefault="00263474" w:rsidP="009570CA">
      <w:r w:rsidRPr="000665B0">
        <w:t>If this window is displayed</w:t>
      </w:r>
      <w:r w:rsidR="00A50A9D" w:rsidRPr="000665B0">
        <w:t xml:space="preserve">, </w:t>
      </w:r>
      <w:r w:rsidRPr="000665B0">
        <w:t>do</w:t>
      </w:r>
      <w:r w:rsidR="00EB675D" w:rsidRPr="000665B0">
        <w:t xml:space="preserve"> </w:t>
      </w:r>
      <w:r w:rsidRPr="000665B0">
        <w:t>not restart IIS</w:t>
      </w:r>
      <w:r w:rsidR="00505AF9" w:rsidRPr="000665B0">
        <w:t>. I</w:t>
      </w:r>
      <w:r w:rsidRPr="000665B0">
        <w:t xml:space="preserve">nstead, recycle </w:t>
      </w:r>
      <w:r w:rsidR="00A50A9D" w:rsidRPr="000665B0">
        <w:t xml:space="preserve">the Ted Application Pool and the </w:t>
      </w:r>
      <w:r w:rsidR="00E94A56" w:rsidRPr="000665B0">
        <w:t xml:space="preserve">TM </w:t>
      </w:r>
      <w:r w:rsidR="00A50A9D" w:rsidRPr="000665B0">
        <w:t>Application Pool.</w:t>
      </w:r>
      <w:r w:rsidR="000112DC" w:rsidRPr="000665B0">
        <w:t xml:space="preserve"> If the window is not displayed, it is not necessary to recy</w:t>
      </w:r>
      <w:r w:rsidR="00874B1F" w:rsidRPr="000665B0">
        <w:t>c</w:t>
      </w:r>
      <w:r w:rsidR="000112DC" w:rsidRPr="000665B0">
        <w:t>le the Application Pools</w:t>
      </w:r>
      <w:r w:rsidR="00930A8D" w:rsidRPr="000665B0">
        <w:t>.</w:t>
      </w:r>
    </w:p>
    <w:p w14:paraId="30119503" w14:textId="77777777" w:rsidR="00B92856" w:rsidRPr="000665B0" w:rsidRDefault="00B92856" w:rsidP="009570CA">
      <w:r w:rsidRPr="000665B0">
        <w:t>To recycle the Ted</w:t>
      </w:r>
      <w:r w:rsidR="002476FF" w:rsidRPr="000665B0">
        <w:t xml:space="preserve"> </w:t>
      </w:r>
      <w:r w:rsidR="000B7A5A" w:rsidRPr="000665B0">
        <w:t xml:space="preserve">Application Pool </w:t>
      </w:r>
      <w:r w:rsidR="00653042" w:rsidRPr="000665B0">
        <w:t>and</w:t>
      </w:r>
      <w:r w:rsidR="002476FF" w:rsidRPr="000665B0">
        <w:t xml:space="preserve"> </w:t>
      </w:r>
      <w:r w:rsidR="000B7A5A" w:rsidRPr="000665B0">
        <w:t xml:space="preserve">the </w:t>
      </w:r>
      <w:r w:rsidR="00E94A56" w:rsidRPr="000665B0">
        <w:t xml:space="preserve">TM </w:t>
      </w:r>
      <w:r w:rsidRPr="000665B0">
        <w:t>App</w:t>
      </w:r>
      <w:r w:rsidR="0005381D" w:rsidRPr="000665B0">
        <w:t>lication</w:t>
      </w:r>
      <w:r w:rsidRPr="000665B0">
        <w:t xml:space="preserve"> Pool</w:t>
      </w:r>
      <w:r w:rsidR="00706BF6" w:rsidRPr="000665B0">
        <w:t>:</w:t>
      </w:r>
    </w:p>
    <w:p w14:paraId="2D8E62FE" w14:textId="77777777" w:rsidR="00B92856" w:rsidRPr="000665B0" w:rsidRDefault="00B92856" w:rsidP="006D5A65">
      <w:pPr>
        <w:pStyle w:val="Heading1"/>
        <w:rPr>
          <w:bCs/>
        </w:rPr>
      </w:pPr>
      <w:r w:rsidRPr="000665B0">
        <w:t>On the TED</w:t>
      </w:r>
      <w:r w:rsidR="002476FF" w:rsidRPr="000665B0">
        <w:t xml:space="preserve"> </w:t>
      </w:r>
      <w:r w:rsidRPr="000665B0">
        <w:t xml:space="preserve">server, right-click the </w:t>
      </w:r>
      <w:r w:rsidRPr="000665B0">
        <w:rPr>
          <w:noProof/>
        </w:rPr>
        <w:drawing>
          <wp:inline distT="0" distB="0" distL="0" distR="0" wp14:anchorId="74644564" wp14:editId="571615A8">
            <wp:extent cx="182880" cy="178068"/>
            <wp:effectExtent l="0" t="0" r="762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0665B0">
        <w:t xml:space="preserve"> icon and select Computer Management from the pop-up menu. </w:t>
      </w:r>
    </w:p>
    <w:p w14:paraId="4A786804" w14:textId="77777777" w:rsidR="00B92856" w:rsidRPr="000665B0" w:rsidRDefault="0005381D" w:rsidP="006D5A65">
      <w:pPr>
        <w:pStyle w:val="Heading1"/>
      </w:pPr>
      <w:r w:rsidRPr="000665B0">
        <w:t>In</w:t>
      </w:r>
      <w:r w:rsidR="00B92856" w:rsidRPr="000665B0">
        <w:t xml:space="preserve"> the </w:t>
      </w:r>
      <w:r w:rsidR="00B92856" w:rsidRPr="000665B0">
        <w:rPr>
          <w:i/>
        </w:rPr>
        <w:t>Computer Management</w:t>
      </w:r>
      <w:r w:rsidR="00B92856" w:rsidRPr="000665B0">
        <w:t xml:space="preserve"> window left pane, expand Services and Applications and select Internet Information Services (IIS) Manager. </w:t>
      </w:r>
      <w:r w:rsidR="00A31E1B" w:rsidRPr="000665B0">
        <w:t xml:space="preserve">In the Connections pane, expand the &lt;server name&gt;. Acknowledge the </w:t>
      </w:r>
      <w:r w:rsidR="00A31E1B" w:rsidRPr="000665B0">
        <w:rPr>
          <w:i/>
        </w:rPr>
        <w:t xml:space="preserve">Internet Information Services (IIS) Manager </w:t>
      </w:r>
      <w:r w:rsidR="00A31E1B" w:rsidRPr="000665B0">
        <w:t xml:space="preserve">window (if displayed) </w:t>
      </w:r>
      <w:r w:rsidR="00D14F71" w:rsidRPr="000665B0">
        <w:t xml:space="preserve">and select Application Pools. </w:t>
      </w:r>
    </w:p>
    <w:p w14:paraId="083B2EB5" w14:textId="01DB3C8F" w:rsidR="00B92856" w:rsidRPr="000665B0" w:rsidRDefault="00B92856" w:rsidP="006D5A65">
      <w:pPr>
        <w:pStyle w:val="Heading1"/>
      </w:pPr>
      <w:r w:rsidRPr="000665B0">
        <w:t>In the Application Pools pane, right-click</w:t>
      </w:r>
      <w:r w:rsidR="002476FF" w:rsidRPr="000665B0">
        <w:t xml:space="preserve"> the</w:t>
      </w:r>
      <w:r w:rsidRPr="000665B0">
        <w:t xml:space="preserve"> QQ </w:t>
      </w:r>
      <w:r w:rsidR="00FA2441" w:rsidRPr="000665B0">
        <w:t>TED</w:t>
      </w:r>
      <w:r w:rsidRPr="000665B0">
        <w:t xml:space="preserve"> AppPool and select Recycle…. There is no visual confirmation that the recycle has completed; it is recommended to wait about one minute for the recycle to complete. As an alternative, right-</w:t>
      </w:r>
      <w:r w:rsidRPr="000665B0">
        <w:lastRenderedPageBreak/>
        <w:t>click</w:t>
      </w:r>
      <w:r w:rsidR="002476FF" w:rsidRPr="000665B0">
        <w:t xml:space="preserve"> the</w:t>
      </w:r>
      <w:r w:rsidRPr="000665B0">
        <w:t xml:space="preserve"> QQ T</w:t>
      </w:r>
      <w:r w:rsidR="00FA2441" w:rsidRPr="000665B0">
        <w:t>ED</w:t>
      </w:r>
      <w:r w:rsidRPr="000665B0">
        <w:t xml:space="preserve"> AppPool and select Stop. Wait 30 seconds, then right-click</w:t>
      </w:r>
      <w:r w:rsidR="002476FF" w:rsidRPr="000665B0">
        <w:t xml:space="preserve"> the</w:t>
      </w:r>
      <w:r w:rsidRPr="000665B0">
        <w:t xml:space="preserve"> QQ T</w:t>
      </w:r>
      <w:r w:rsidR="00FA2441" w:rsidRPr="000665B0">
        <w:t>ED</w:t>
      </w:r>
      <w:r w:rsidRPr="000665B0">
        <w:t xml:space="preserve"> AppPool and select Start.</w:t>
      </w:r>
    </w:p>
    <w:p w14:paraId="617B93A5" w14:textId="52AEE628" w:rsidR="008B798D" w:rsidRPr="000665B0" w:rsidRDefault="00E44885" w:rsidP="009570CA">
      <w:pPr>
        <w:jc w:val="center"/>
      </w:pPr>
      <w:r w:rsidRPr="000665B0">
        <w:rPr>
          <w:noProof/>
        </w:rPr>
        <w:drawing>
          <wp:inline distT="0" distB="0" distL="0" distR="0" wp14:anchorId="73311100" wp14:editId="1BFFF9B6">
            <wp:extent cx="4679208" cy="3382768"/>
            <wp:effectExtent l="0" t="0" r="0" b="0"/>
            <wp:docPr id="1441" name="Picture 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683204" cy="3385657"/>
                    </a:xfrm>
                    <a:prstGeom prst="rect">
                      <a:avLst/>
                    </a:prstGeom>
                  </pic:spPr>
                </pic:pic>
              </a:graphicData>
            </a:graphic>
          </wp:inline>
        </w:drawing>
      </w:r>
    </w:p>
    <w:p w14:paraId="5CDBFC21" w14:textId="24DA3922" w:rsidR="00CF7807" w:rsidRPr="000665B0" w:rsidRDefault="006609CD" w:rsidP="006D5A65">
      <w:pPr>
        <w:pStyle w:val="Heading1"/>
      </w:pPr>
      <w:r w:rsidRPr="000665B0">
        <w:t>If it is present, r</w:t>
      </w:r>
      <w:r w:rsidR="00653042" w:rsidRPr="000665B0">
        <w:t xml:space="preserve">epeat Step 3 for the QQ </w:t>
      </w:r>
      <w:r w:rsidR="002508A9" w:rsidRPr="000665B0">
        <w:t>TM</w:t>
      </w:r>
      <w:r w:rsidR="00653042" w:rsidRPr="000665B0">
        <w:t xml:space="preserve"> AppPool.</w:t>
      </w:r>
      <w:r w:rsidR="008B798D" w:rsidRPr="000665B0">
        <w:t xml:space="preserve"> </w:t>
      </w:r>
    </w:p>
    <w:p w14:paraId="7E6459FF" w14:textId="77777777" w:rsidR="00653042" w:rsidRPr="000665B0" w:rsidRDefault="00163EDE" w:rsidP="006D5A65">
      <w:pPr>
        <w:pStyle w:val="Heading1"/>
      </w:pPr>
      <w:r w:rsidRPr="000665B0">
        <w:t xml:space="preserve">For </w:t>
      </w:r>
      <w:r w:rsidR="00306E14" w:rsidRPr="000665B0">
        <w:t xml:space="preserve">TM </w:t>
      </w:r>
      <w:r w:rsidRPr="000665B0">
        <w:t>applications</w:t>
      </w:r>
      <w:r w:rsidR="008B798D" w:rsidRPr="000665B0">
        <w:t>, perform Steps 1–</w:t>
      </w:r>
      <w:r w:rsidR="00CF7807" w:rsidRPr="000665B0">
        <w:t>4</w:t>
      </w:r>
      <w:r w:rsidR="008B798D" w:rsidRPr="000665B0">
        <w:t xml:space="preserve"> on the </w:t>
      </w:r>
      <w:r w:rsidR="00306E14" w:rsidRPr="000665B0">
        <w:t>T</w:t>
      </w:r>
      <w:r w:rsidR="002508A9" w:rsidRPr="000665B0">
        <w:t>omahawk Tasking Manager</w:t>
      </w:r>
      <w:r w:rsidR="008B798D" w:rsidRPr="000665B0">
        <w:t xml:space="preserve"> server.</w:t>
      </w:r>
    </w:p>
    <w:p w14:paraId="6ADD8DEF" w14:textId="77777777" w:rsidR="00196357" w:rsidRPr="000665B0" w:rsidRDefault="00196357" w:rsidP="006D5A65">
      <w:pPr>
        <w:pStyle w:val="Heading1"/>
      </w:pPr>
      <w:r w:rsidRPr="000665B0">
        <w:t xml:space="preserve">Click the </w:t>
      </w:r>
      <w:r w:rsidRPr="000665B0">
        <w:rPr>
          <w:noProof/>
        </w:rPr>
        <w:drawing>
          <wp:inline distT="0" distB="0" distL="0" distR="0" wp14:anchorId="332C4020" wp14:editId="7A0C95E4">
            <wp:extent cx="171450" cy="1524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Button.jpg"/>
                    <pic:cNvPicPr/>
                  </pic:nvPicPr>
                  <pic:blipFill>
                    <a:blip>
                      <a:extLst>
                        <a:ext uri="{28A0092B-C50C-407E-A947-70E740481C1C}">
                          <a14:useLocalDpi xmlns:a14="http://schemas.microsoft.com/office/drawing/2010/main"/>
                        </a:ext>
                      </a:extLst>
                    </a:blip>
                    <a:stretch>
                      <a:fillRect/>
                    </a:stretch>
                  </pic:blipFill>
                  <pic:spPr>
                    <a:xfrm>
                      <a:off x="0" y="0"/>
                      <a:ext cx="171450" cy="152400"/>
                    </a:xfrm>
                    <a:prstGeom prst="rect">
                      <a:avLst/>
                    </a:prstGeom>
                  </pic:spPr>
                </pic:pic>
              </a:graphicData>
            </a:graphic>
          </wp:inline>
        </w:drawing>
      </w:r>
      <w:r w:rsidRPr="000665B0">
        <w:t xml:space="preserve"> button to close the </w:t>
      </w:r>
      <w:r w:rsidRPr="000665B0">
        <w:rPr>
          <w:i/>
        </w:rPr>
        <w:t xml:space="preserve">Computer Management </w:t>
      </w:r>
      <w:r w:rsidRPr="000665B0">
        <w:t xml:space="preserve">window. </w:t>
      </w:r>
    </w:p>
    <w:p w14:paraId="509B053B" w14:textId="34989AAD" w:rsidR="001077CA" w:rsidRPr="000665B0" w:rsidRDefault="001077CA" w:rsidP="009570CA">
      <w:pPr>
        <w:pStyle w:val="Heading5"/>
      </w:pPr>
      <w:bookmarkStart w:id="581" w:name="_4.5.2.1.1__New_1"/>
      <w:bookmarkEnd w:id="581"/>
      <w:r w:rsidRPr="000665B0">
        <w:t>New</w:t>
      </w:r>
      <w:bookmarkEnd w:id="580"/>
    </w:p>
    <w:p w14:paraId="66248891" w14:textId="77777777" w:rsidR="001077CA" w:rsidRPr="000665B0" w:rsidRDefault="001077CA" w:rsidP="009570CA">
      <w:r w:rsidRPr="000665B0">
        <w:rPr>
          <w:b/>
        </w:rPr>
        <w:t>New</w:t>
      </w:r>
      <w:r w:rsidRPr="000665B0">
        <w:t xml:space="preserve"> provides the capability to create a single </w:t>
      </w:r>
      <w:r w:rsidR="00757321" w:rsidRPr="000665B0">
        <w:t xml:space="preserve">TMPC </w:t>
      </w:r>
      <w:r w:rsidRPr="000665B0">
        <w:t>database or all databases in a single operation.</w:t>
      </w:r>
    </w:p>
    <w:p w14:paraId="2297FE3E" w14:textId="77777777" w:rsidR="001077CA" w:rsidRPr="000665B0" w:rsidRDefault="001077CA" w:rsidP="009570CA">
      <w:r w:rsidRPr="000665B0">
        <w:t>The database(s) are created by restoring an archive file that was provided as part of the installation. The database version of the newly created database will be the version that was current at the time of installation.</w:t>
      </w:r>
    </w:p>
    <w:p w14:paraId="3C0142A7" w14:textId="6BB010DC" w:rsidR="001077CA" w:rsidRPr="000665B0" w:rsidRDefault="001077CA" w:rsidP="009570CA">
      <w:r w:rsidRPr="000665B0">
        <w:t xml:space="preserve">During database creation, if the database already exists, the operator </w:t>
      </w:r>
      <w:r w:rsidR="00250B8F" w:rsidRPr="000665B0">
        <w:t>is</w:t>
      </w:r>
      <w:r w:rsidRPr="000665B0">
        <w:t xml:space="preserve"> warned and prompted to continue. Upon confirmation, the pre-existing database </w:t>
      </w:r>
      <w:r w:rsidR="00250B8F" w:rsidRPr="000665B0">
        <w:t>is</w:t>
      </w:r>
      <w:r w:rsidRPr="000665B0">
        <w:t xml:space="preserve"> </w:t>
      </w:r>
      <w:r w:rsidR="009268B1" w:rsidRPr="000665B0">
        <w:t>deleted,</w:t>
      </w:r>
      <w:r w:rsidRPr="000665B0">
        <w:t xml:space="preserve"> and the new database created.</w:t>
      </w:r>
    </w:p>
    <w:p w14:paraId="1766C801" w14:textId="4FC2C850" w:rsidR="001077CA" w:rsidRPr="000665B0" w:rsidRDefault="001077CA" w:rsidP="009570CA">
      <w:r w:rsidRPr="000665B0">
        <w:t xml:space="preserve">If there are open connections to the pre-existing database, the operator </w:t>
      </w:r>
      <w:r w:rsidR="00250B8F" w:rsidRPr="000665B0">
        <w:t>is</w:t>
      </w:r>
      <w:r w:rsidRPr="000665B0">
        <w:t xml:space="preserve"> warned and prompted to continue. Upon confirmation, the open connections </w:t>
      </w:r>
      <w:r w:rsidR="00250B8F" w:rsidRPr="000665B0">
        <w:t>are</w:t>
      </w:r>
      <w:r w:rsidRPr="000665B0">
        <w:t xml:space="preserve"> disconnected, the pre-existing database deleted</w:t>
      </w:r>
      <w:r w:rsidR="00250B8F" w:rsidRPr="000665B0">
        <w:t>,</w:t>
      </w:r>
      <w:r w:rsidRPr="000665B0">
        <w:t xml:space="preserve"> and the new database </w:t>
      </w:r>
      <w:r w:rsidR="00250B8F" w:rsidRPr="000665B0">
        <w:t>is</w:t>
      </w:r>
      <w:r w:rsidRPr="000665B0">
        <w:t xml:space="preserve"> created.</w:t>
      </w:r>
    </w:p>
    <w:p w14:paraId="24883318" w14:textId="1AC06CD2" w:rsidR="00FA0E95" w:rsidRPr="000665B0" w:rsidRDefault="00474561" w:rsidP="009570CA">
      <w:pPr>
        <w:spacing w:after="240"/>
        <w:jc w:val="center"/>
        <w:rPr>
          <w:b/>
        </w:rPr>
      </w:pPr>
      <w:r w:rsidRPr="000665B0">
        <w:rPr>
          <w:noProof/>
        </w:rPr>
        <w:lastRenderedPageBreak/>
        <w:drawing>
          <wp:inline distT="0" distB="0" distL="0" distR="0" wp14:anchorId="7165F899" wp14:editId="0EED041D">
            <wp:extent cx="4983480" cy="2688336"/>
            <wp:effectExtent l="0" t="0" r="0" b="0"/>
            <wp:docPr id="1287" name="Picture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2688336"/>
                    </a:xfrm>
                    <a:prstGeom prst="rect">
                      <a:avLst/>
                    </a:prstGeom>
                  </pic:spPr>
                </pic:pic>
              </a:graphicData>
            </a:graphic>
          </wp:inline>
        </w:drawing>
      </w:r>
    </w:p>
    <w:p w14:paraId="4FF5EBF3" w14:textId="77777777" w:rsidR="001077CA" w:rsidRPr="000665B0" w:rsidRDefault="001077CA" w:rsidP="009570CA">
      <w:pPr>
        <w:keepNext/>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2869AE0F" w14:textId="50BA4A11" w:rsidR="00B732D9" w:rsidRPr="000665B0" w:rsidRDefault="00B732D9"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rPr>
      </w:pPr>
      <w:bookmarkStart w:id="582" w:name="_Toc201388323"/>
      <w:r w:rsidRPr="000665B0">
        <w:rPr>
          <w:b/>
        </w:rPr>
        <w:t xml:space="preserve">Each </w:t>
      </w:r>
      <w:r w:rsidR="00757321" w:rsidRPr="000665B0">
        <w:rPr>
          <w:b/>
        </w:rPr>
        <w:t xml:space="preserve">TMPC </w:t>
      </w:r>
      <w:r w:rsidRPr="000665B0">
        <w:rPr>
          <w:b/>
        </w:rPr>
        <w:t xml:space="preserve">database has a pre-defined database name. </w:t>
      </w:r>
      <w:r w:rsidR="00474561" w:rsidRPr="000665B0">
        <w:rPr>
          <w:b/>
        </w:rPr>
        <w:t xml:space="preserve">Most </w:t>
      </w:r>
      <w:r w:rsidRPr="000665B0">
        <w:rPr>
          <w:b/>
        </w:rPr>
        <w:t>database name</w:t>
      </w:r>
      <w:r w:rsidR="00474561" w:rsidRPr="000665B0">
        <w:rPr>
          <w:b/>
        </w:rPr>
        <w:t>s</w:t>
      </w:r>
      <w:r w:rsidRPr="000665B0">
        <w:rPr>
          <w:b/>
        </w:rPr>
        <w:t xml:space="preserve"> </w:t>
      </w:r>
      <w:r w:rsidR="00D21E84" w:rsidRPr="000665B0">
        <w:rPr>
          <w:b/>
        </w:rPr>
        <w:t>consist of</w:t>
      </w:r>
      <w:r w:rsidR="00474561" w:rsidRPr="000665B0">
        <w:rPr>
          <w:b/>
        </w:rPr>
        <w:t xml:space="preserve"> their </w:t>
      </w:r>
      <w:r w:rsidR="00A54A23" w:rsidRPr="000665B0">
        <w:rPr>
          <w:b/>
        </w:rPr>
        <w:t xml:space="preserve">database type appended with </w:t>
      </w:r>
      <w:r w:rsidR="007333BF" w:rsidRPr="000665B0">
        <w:rPr>
          <w:b/>
        </w:rPr>
        <w:t>“</w:t>
      </w:r>
      <w:r w:rsidR="00A54A23" w:rsidRPr="000665B0">
        <w:rPr>
          <w:b/>
        </w:rPr>
        <w:t>50.</w:t>
      </w:r>
      <w:r w:rsidR="007333BF" w:rsidRPr="000665B0">
        <w:rPr>
          <w:b/>
        </w:rPr>
        <w:t>”</w:t>
      </w:r>
      <w:r w:rsidRPr="000665B0">
        <w:rPr>
          <w:b/>
        </w:rPr>
        <w:t xml:space="preserve"> For example: A </w:t>
      </w:r>
      <w:r w:rsidR="00A54A23" w:rsidRPr="000665B0">
        <w:rPr>
          <w:b/>
        </w:rPr>
        <w:t>TED_ACMS_DB</w:t>
      </w:r>
      <w:r w:rsidR="00A54A23" w:rsidRPr="000665B0" w:rsidDel="00A54A23">
        <w:rPr>
          <w:b/>
        </w:rPr>
        <w:t xml:space="preserve"> </w:t>
      </w:r>
      <w:r w:rsidRPr="000665B0">
        <w:rPr>
          <w:b/>
        </w:rPr>
        <w:t xml:space="preserve">database </w:t>
      </w:r>
      <w:r w:rsidR="00D21E84" w:rsidRPr="000665B0">
        <w:rPr>
          <w:b/>
        </w:rPr>
        <w:t>has</w:t>
      </w:r>
      <w:r w:rsidRPr="000665B0">
        <w:rPr>
          <w:b/>
        </w:rPr>
        <w:t xml:space="preserve"> </w:t>
      </w:r>
      <w:r w:rsidR="00D21E84" w:rsidRPr="000665B0">
        <w:rPr>
          <w:b/>
        </w:rPr>
        <w:t xml:space="preserve">the </w:t>
      </w:r>
      <w:r w:rsidRPr="000665B0">
        <w:rPr>
          <w:b/>
        </w:rPr>
        <w:t>database name of “</w:t>
      </w:r>
      <w:r w:rsidR="00A54A23" w:rsidRPr="000665B0">
        <w:rPr>
          <w:b/>
        </w:rPr>
        <w:t>TED_ACMS_DB50</w:t>
      </w:r>
      <w:r w:rsidRPr="000665B0">
        <w:rPr>
          <w:b/>
        </w:rPr>
        <w:t>.”</w:t>
      </w:r>
    </w:p>
    <w:bookmarkEnd w:id="582"/>
    <w:p w14:paraId="794734AF" w14:textId="30998E2D" w:rsidR="00B732D9" w:rsidRPr="000665B0" w:rsidRDefault="00B732D9" w:rsidP="001D5D3D">
      <w:pPr>
        <w:pStyle w:val="Heading6"/>
        <w:pageBreakBefore/>
      </w:pPr>
      <w:r w:rsidRPr="000665B0">
        <w:lastRenderedPageBreak/>
        <w:t xml:space="preserve">New </w:t>
      </w:r>
      <w:r w:rsidRPr="000665B0">
        <w:rPr>
          <w:rFonts w:cs="Arial"/>
          <w:sz w:val="20"/>
        </w:rPr>
        <w:sym w:font="Wingdings" w:char="F0E0"/>
      </w:r>
      <w:r w:rsidRPr="000665B0">
        <w:t xml:space="preserve"> All Databases</w:t>
      </w:r>
    </w:p>
    <w:p w14:paraId="3BBD2977" w14:textId="77777777" w:rsidR="00B732D9" w:rsidRPr="000665B0" w:rsidRDefault="00B732D9" w:rsidP="009570CA">
      <w:r w:rsidRPr="000665B0">
        <w:rPr>
          <w:b/>
        </w:rPr>
        <w:t xml:space="preserve">New </w:t>
      </w:r>
      <w:r w:rsidRPr="000665B0">
        <w:rPr>
          <w:rFonts w:ascii="Arial" w:hAnsi="Arial" w:cs="Arial"/>
          <w:b/>
          <w:sz w:val="20"/>
        </w:rPr>
        <w:sym w:font="Wingdings" w:char="F0E0"/>
      </w:r>
      <w:r w:rsidRPr="000665B0">
        <w:rPr>
          <w:b/>
        </w:rPr>
        <w:t xml:space="preserve"> All Databases</w:t>
      </w:r>
      <w:r w:rsidRPr="000665B0">
        <w:t xml:space="preserve"> create</w:t>
      </w:r>
      <w:r w:rsidR="00250B8F" w:rsidRPr="000665B0">
        <w:t>s</w:t>
      </w:r>
      <w:r w:rsidRPr="000665B0">
        <w:t xml:space="preserve"> and initialize</w:t>
      </w:r>
      <w:r w:rsidR="004552F3" w:rsidRPr="000665B0">
        <w:t>s</w:t>
      </w:r>
      <w:r w:rsidRPr="000665B0">
        <w:t xml:space="preserve"> </w:t>
      </w:r>
      <w:r w:rsidR="00757321" w:rsidRPr="000665B0">
        <w:t>TMPC</w:t>
      </w:r>
      <w:r w:rsidR="00757321" w:rsidRPr="000665B0" w:rsidDel="00757321">
        <w:t xml:space="preserve"> </w:t>
      </w:r>
      <w:r w:rsidRPr="000665B0">
        <w:t>databases using the displayed database name.</w:t>
      </w:r>
    </w:p>
    <w:p w14:paraId="62EC98DD" w14:textId="15B84E16" w:rsidR="001077CA" w:rsidRPr="000665B0" w:rsidRDefault="00D21E84" w:rsidP="009570CA">
      <w:pPr>
        <w:jc w:val="center"/>
      </w:pPr>
      <w:r w:rsidRPr="000665B0">
        <w:rPr>
          <w:noProof/>
        </w:rPr>
        <w:drawing>
          <wp:inline distT="0" distB="0" distL="0" distR="0" wp14:anchorId="570495D0" wp14:editId="5932ADD1">
            <wp:extent cx="3154680" cy="941832"/>
            <wp:effectExtent l="0" t="0" r="0" b="0"/>
            <wp:docPr id="1288" name="Picture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941832"/>
                    </a:xfrm>
                    <a:prstGeom prst="rect">
                      <a:avLst/>
                    </a:prstGeom>
                  </pic:spPr>
                </pic:pic>
              </a:graphicData>
            </a:graphic>
          </wp:inline>
        </w:drawing>
      </w:r>
    </w:p>
    <w:p w14:paraId="29B13FF0" w14:textId="3E8B59FB" w:rsidR="001077CA" w:rsidRPr="000665B0" w:rsidRDefault="001077CA" w:rsidP="009570CA">
      <w:r w:rsidRPr="000665B0">
        <w:t xml:space="preserve">Upon selection of the </w:t>
      </w:r>
      <w:r w:rsidRPr="000665B0">
        <w:rPr>
          <w:b/>
        </w:rPr>
        <w:t>OK</w:t>
      </w:r>
      <w:r w:rsidRPr="000665B0">
        <w:t xml:space="preserve"> button, if there is an existing database with the same name, the operator </w:t>
      </w:r>
      <w:r w:rsidR="00250B8F" w:rsidRPr="000665B0">
        <w:t>is</w:t>
      </w:r>
      <w:r w:rsidRPr="000665B0">
        <w:t xml:space="preserve"> warned and prompted on how to proceed.</w:t>
      </w:r>
      <w:r w:rsidR="009651B0">
        <w:t xml:space="preserve"> </w:t>
      </w:r>
    </w:p>
    <w:p w14:paraId="0FEE9203" w14:textId="5A9868A6" w:rsidR="001077CA" w:rsidRPr="000665B0" w:rsidRDefault="00683122" w:rsidP="009570CA">
      <w:pPr>
        <w:tabs>
          <w:tab w:val="left" w:pos="6930"/>
        </w:tabs>
        <w:jc w:val="center"/>
      </w:pPr>
      <w:r w:rsidRPr="000665B0">
        <w:rPr>
          <w:noProof/>
        </w:rPr>
        <w:drawing>
          <wp:inline distT="0" distB="0" distL="0" distR="0" wp14:anchorId="31F40552" wp14:editId="495A339A">
            <wp:extent cx="3154680" cy="2002536"/>
            <wp:effectExtent l="0" t="0" r="0" b="0"/>
            <wp:docPr id="2176" name="Picture 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002536"/>
                    </a:xfrm>
                    <a:prstGeom prst="rect">
                      <a:avLst/>
                    </a:prstGeom>
                  </pic:spPr>
                </pic:pic>
              </a:graphicData>
            </a:graphic>
          </wp:inline>
        </w:drawing>
      </w:r>
    </w:p>
    <w:p w14:paraId="4E643CEE" w14:textId="0307D58B" w:rsidR="001077CA" w:rsidRPr="000665B0" w:rsidRDefault="001077CA" w:rsidP="009570CA">
      <w:r w:rsidRPr="000665B0">
        <w:rPr>
          <w:b/>
        </w:rPr>
        <w:t xml:space="preserve">Overwrite </w:t>
      </w:r>
      <w:r w:rsidRPr="000665B0">
        <w:t>deletes the pre-existing database and creates a new database.</w:t>
      </w:r>
      <w:r w:rsidR="009651B0">
        <w:t xml:space="preserve"> </w:t>
      </w:r>
    </w:p>
    <w:p w14:paraId="76824701" w14:textId="77777777" w:rsidR="001077CA" w:rsidRPr="000665B0" w:rsidRDefault="001077CA" w:rsidP="009570CA">
      <w:r w:rsidRPr="000665B0">
        <w:rPr>
          <w:b/>
        </w:rPr>
        <w:t>Use Existing</w:t>
      </w:r>
      <w:r w:rsidRPr="000665B0">
        <w:t xml:space="preserve"> skips the database creation and keeps the pre-existing database.</w:t>
      </w:r>
    </w:p>
    <w:p w14:paraId="17C6280B" w14:textId="77777777" w:rsidR="000112DC" w:rsidRPr="000665B0" w:rsidRDefault="000112DC" w:rsidP="009570CA">
      <w:r w:rsidRPr="000665B0">
        <w:t>After changes are made and the TMPC Database Utility is closed, the system may display instructions</w:t>
      </w:r>
      <w:r w:rsidR="00930A8D" w:rsidRPr="000665B0">
        <w:t xml:space="preserve"> to restart IIS</w:t>
      </w:r>
      <w:r w:rsidRPr="000665B0">
        <w:t xml:space="preserve">, similar to the window below. </w:t>
      </w:r>
    </w:p>
    <w:p w14:paraId="27FADBC7" w14:textId="10FA1D3A" w:rsidR="000112DC" w:rsidRPr="000665B0" w:rsidRDefault="00E21C8E" w:rsidP="009570CA">
      <w:pPr>
        <w:jc w:val="center"/>
      </w:pPr>
      <w:r w:rsidRPr="000665B0">
        <w:rPr>
          <w:noProof/>
        </w:rPr>
        <w:drawing>
          <wp:inline distT="0" distB="0" distL="0" distR="0" wp14:anchorId="21FFD87D" wp14:editId="45A3BAE3">
            <wp:extent cx="3154680" cy="1197864"/>
            <wp:effectExtent l="0" t="0" r="0" b="0"/>
            <wp:docPr id="1983" name="Picture 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197864"/>
                    </a:xfrm>
                    <a:prstGeom prst="rect">
                      <a:avLst/>
                    </a:prstGeom>
                  </pic:spPr>
                </pic:pic>
              </a:graphicData>
            </a:graphic>
          </wp:inline>
        </w:drawing>
      </w:r>
    </w:p>
    <w:p w14:paraId="5DCE3A75" w14:textId="77777777" w:rsidR="000112DC" w:rsidRPr="000665B0" w:rsidRDefault="000112DC" w:rsidP="009570CA">
      <w:r w:rsidRPr="000665B0">
        <w:rPr>
          <w:b/>
          <w:i/>
        </w:rPr>
        <w:t>The instructions to restart IIS are incorrect.</w:t>
      </w:r>
      <w:r w:rsidRPr="000665B0">
        <w:t xml:space="preserve"> </w:t>
      </w:r>
    </w:p>
    <w:p w14:paraId="4BA57A30" w14:textId="6DB10980" w:rsidR="000112DC" w:rsidRPr="000665B0" w:rsidRDefault="000112DC" w:rsidP="009570CA">
      <w:r w:rsidRPr="000665B0">
        <w:t xml:space="preserve">Instead, the Ted Application Pool and the </w:t>
      </w:r>
      <w:r w:rsidR="00E94A56" w:rsidRPr="000665B0">
        <w:t xml:space="preserve">TM </w:t>
      </w:r>
      <w:r w:rsidRPr="000665B0">
        <w:t>Application Pool must be recycled for the changes to take effect</w:t>
      </w:r>
      <w:r w:rsidRPr="000665B0">
        <w:rPr>
          <w:noProof/>
        </w:rPr>
        <w:t xml:space="preserve"> (see </w:t>
      </w:r>
      <w:hyperlink w:anchor="_File_Menu" w:history="1">
        <w:r w:rsidRPr="00934CC7">
          <w:rPr>
            <w:rStyle w:val="Hyperlink"/>
            <w:noProof/>
          </w:rPr>
          <w:t>Section 4.5.2.1</w:t>
        </w:r>
      </w:hyperlink>
      <w:r w:rsidRPr="000665B0">
        <w:rPr>
          <w:noProof/>
        </w:rPr>
        <w:t>). If the window is not displayed, it is not necessary to recycle the Application Pools.</w:t>
      </w:r>
    </w:p>
    <w:p w14:paraId="264D5B8E" w14:textId="0DF01504" w:rsidR="001077CA" w:rsidRPr="000665B0" w:rsidRDefault="00B732D9" w:rsidP="00306174">
      <w:pPr>
        <w:pStyle w:val="Heading6"/>
      </w:pPr>
      <w:r w:rsidRPr="000665B0">
        <w:t xml:space="preserve">New </w:t>
      </w:r>
      <w:r w:rsidRPr="000665B0">
        <w:rPr>
          <w:rFonts w:cs="Arial"/>
          <w:sz w:val="20"/>
        </w:rPr>
        <w:sym w:font="Wingdings" w:char="F0E0"/>
      </w:r>
      <w:r w:rsidRPr="000665B0">
        <w:t xml:space="preserve"> TED_</w:t>
      </w:r>
      <w:r w:rsidRPr="000665B0">
        <w:rPr>
          <w:i/>
        </w:rPr>
        <w:t>DBName</w:t>
      </w:r>
    </w:p>
    <w:p w14:paraId="00BE2172" w14:textId="5E97E36D" w:rsidR="00B732D9" w:rsidRPr="000665B0" w:rsidRDefault="00B732D9" w:rsidP="009570CA">
      <w:r w:rsidRPr="000665B0">
        <w:rPr>
          <w:b/>
        </w:rPr>
        <w:t xml:space="preserve">New </w:t>
      </w:r>
      <w:r w:rsidRPr="000665B0">
        <w:rPr>
          <w:rFonts w:ascii="Arial" w:hAnsi="Arial" w:cs="Arial"/>
          <w:b/>
          <w:sz w:val="20"/>
        </w:rPr>
        <w:sym w:font="Wingdings" w:char="F0E0"/>
      </w:r>
      <w:r w:rsidRPr="000665B0">
        <w:rPr>
          <w:b/>
        </w:rPr>
        <w:t xml:space="preserve"> TED</w:t>
      </w:r>
      <w:r w:rsidRPr="000665B0">
        <w:t>_</w:t>
      </w:r>
      <w:r w:rsidR="00543B6E" w:rsidRPr="000665B0">
        <w:t>[</w:t>
      </w:r>
      <w:r w:rsidRPr="000665B0">
        <w:rPr>
          <w:b/>
        </w:rPr>
        <w:t>DBName</w:t>
      </w:r>
      <w:r w:rsidR="00543B6E" w:rsidRPr="000665B0">
        <w:rPr>
          <w:b/>
        </w:rPr>
        <w:t>]</w:t>
      </w:r>
      <w:r w:rsidRPr="000665B0">
        <w:rPr>
          <w:b/>
        </w:rPr>
        <w:t xml:space="preserve"> </w:t>
      </w:r>
      <w:r w:rsidRPr="000665B0">
        <w:t>create</w:t>
      </w:r>
      <w:r w:rsidR="00250B8F" w:rsidRPr="000665B0">
        <w:t>s</w:t>
      </w:r>
      <w:r w:rsidRPr="000665B0">
        <w:t xml:space="preserve"> a new database of type TED. The operator is given the opportunity to enter in a unique name.</w:t>
      </w:r>
      <w:r w:rsidR="009651B0">
        <w:t xml:space="preserve"> </w:t>
      </w:r>
    </w:p>
    <w:p w14:paraId="1915B123" w14:textId="663FE860" w:rsidR="001077CA" w:rsidRPr="000665B0" w:rsidRDefault="00543B6E" w:rsidP="009570CA">
      <w:pPr>
        <w:jc w:val="center"/>
      </w:pPr>
      <w:r w:rsidRPr="000665B0">
        <w:rPr>
          <w:noProof/>
        </w:rPr>
        <w:lastRenderedPageBreak/>
        <w:drawing>
          <wp:inline distT="0" distB="0" distL="0" distR="0" wp14:anchorId="15B9C486" wp14:editId="1FFF2B8E">
            <wp:extent cx="3154680" cy="932688"/>
            <wp:effectExtent l="0" t="0" r="0" b="0"/>
            <wp:docPr id="2172" name="Picture 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932688"/>
                    </a:xfrm>
                    <a:prstGeom prst="rect">
                      <a:avLst/>
                    </a:prstGeom>
                  </pic:spPr>
                </pic:pic>
              </a:graphicData>
            </a:graphic>
          </wp:inline>
        </w:drawing>
      </w:r>
    </w:p>
    <w:p w14:paraId="70395152" w14:textId="77777777" w:rsidR="00A54A23" w:rsidRPr="000665B0" w:rsidRDefault="00A54A23" w:rsidP="009570CA">
      <w:r w:rsidRPr="000665B0">
        <w:t xml:space="preserve">Upon selection of the </w:t>
      </w:r>
      <w:r w:rsidRPr="000665B0">
        <w:rPr>
          <w:b/>
        </w:rPr>
        <w:t>OK</w:t>
      </w:r>
      <w:r w:rsidRPr="000665B0">
        <w:t xml:space="preserve"> button, if there is an existing database with the same name, the operator </w:t>
      </w:r>
      <w:r w:rsidR="0072214F" w:rsidRPr="000665B0">
        <w:t>is</w:t>
      </w:r>
      <w:r w:rsidRPr="000665B0">
        <w:t xml:space="preserve"> warned and prompted on how to proceed.</w:t>
      </w:r>
    </w:p>
    <w:p w14:paraId="61F1B8AD" w14:textId="3CC28E75" w:rsidR="00A54A23" w:rsidRPr="000665B0" w:rsidRDefault="00543B6E" w:rsidP="009570CA">
      <w:pPr>
        <w:jc w:val="center"/>
      </w:pPr>
      <w:r w:rsidRPr="000665B0">
        <w:rPr>
          <w:noProof/>
        </w:rPr>
        <w:drawing>
          <wp:inline distT="0" distB="0" distL="0" distR="0" wp14:anchorId="297F6A8D" wp14:editId="5C2CEF73">
            <wp:extent cx="3154680" cy="2002536"/>
            <wp:effectExtent l="0" t="0" r="0" b="0"/>
            <wp:docPr id="2173" name="Picture 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002536"/>
                    </a:xfrm>
                    <a:prstGeom prst="rect">
                      <a:avLst/>
                    </a:prstGeom>
                  </pic:spPr>
                </pic:pic>
              </a:graphicData>
            </a:graphic>
          </wp:inline>
        </w:drawing>
      </w:r>
    </w:p>
    <w:p w14:paraId="5F408D53" w14:textId="03FCB3B5" w:rsidR="00543B6E" w:rsidRPr="000665B0" w:rsidRDefault="00543B6E" w:rsidP="009570CA">
      <w:r w:rsidRPr="000665B0">
        <w:rPr>
          <w:b/>
        </w:rPr>
        <w:t xml:space="preserve">Overwrite </w:t>
      </w:r>
      <w:r w:rsidRPr="000665B0">
        <w:t>deletes the pre-existing database and creates a new database.</w:t>
      </w:r>
      <w:r w:rsidR="009651B0">
        <w:t xml:space="preserve"> </w:t>
      </w:r>
    </w:p>
    <w:p w14:paraId="346B7EB1" w14:textId="77777777" w:rsidR="00543B6E" w:rsidRPr="000665B0" w:rsidRDefault="00543B6E" w:rsidP="009570CA">
      <w:r w:rsidRPr="000665B0">
        <w:rPr>
          <w:b/>
        </w:rPr>
        <w:t>Use Existing</w:t>
      </w:r>
      <w:r w:rsidRPr="000665B0">
        <w:t xml:space="preserve"> skips the database creation and keeps the pre-existing database.</w:t>
      </w:r>
    </w:p>
    <w:p w14:paraId="1146AD13" w14:textId="30A7E791" w:rsidR="000112DC" w:rsidRPr="000665B0" w:rsidRDefault="000112DC" w:rsidP="009570CA">
      <w:r w:rsidRPr="000665B0">
        <w:t xml:space="preserve">After changes are made and the TMPC Database Utility is closed, the system may display instructions to restart IIS, similar to the window below. </w:t>
      </w:r>
    </w:p>
    <w:p w14:paraId="5F6A7EC7" w14:textId="0EDFE158" w:rsidR="000112DC" w:rsidRPr="000665B0" w:rsidRDefault="00E21C8E" w:rsidP="009570CA">
      <w:pPr>
        <w:jc w:val="center"/>
      </w:pPr>
      <w:r w:rsidRPr="000665B0">
        <w:rPr>
          <w:noProof/>
        </w:rPr>
        <w:drawing>
          <wp:inline distT="0" distB="0" distL="0" distR="0" wp14:anchorId="1B9927FD" wp14:editId="04870B52">
            <wp:extent cx="3154680" cy="1197864"/>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197864"/>
                    </a:xfrm>
                    <a:prstGeom prst="rect">
                      <a:avLst/>
                    </a:prstGeom>
                  </pic:spPr>
                </pic:pic>
              </a:graphicData>
            </a:graphic>
          </wp:inline>
        </w:drawing>
      </w:r>
    </w:p>
    <w:p w14:paraId="138E8012" w14:textId="77777777" w:rsidR="000112DC" w:rsidRPr="000665B0" w:rsidRDefault="000112DC" w:rsidP="009570CA">
      <w:r w:rsidRPr="000665B0">
        <w:rPr>
          <w:b/>
          <w:i/>
        </w:rPr>
        <w:t>The instructions to restart IIS are incorrect.</w:t>
      </w:r>
      <w:r w:rsidRPr="000665B0">
        <w:t xml:space="preserve"> </w:t>
      </w:r>
    </w:p>
    <w:p w14:paraId="5CD3FBF8" w14:textId="441E5712" w:rsidR="000112DC" w:rsidRPr="000665B0" w:rsidRDefault="000112DC" w:rsidP="009570CA">
      <w:r w:rsidRPr="000665B0">
        <w:t xml:space="preserve">Instead, the Ted Application Pool and the </w:t>
      </w:r>
      <w:r w:rsidR="00E94A56" w:rsidRPr="000665B0">
        <w:t xml:space="preserve">TM </w:t>
      </w:r>
      <w:r w:rsidRPr="000665B0">
        <w:t>Application Pool must be recycled for the changes to take effect</w:t>
      </w:r>
      <w:r w:rsidRPr="000665B0">
        <w:rPr>
          <w:noProof/>
        </w:rPr>
        <w:t xml:space="preserve"> (see </w:t>
      </w:r>
      <w:r w:rsidR="00934CC7" w:rsidRPr="000665B0">
        <w:rPr>
          <w:noProof/>
        </w:rPr>
        <w:t xml:space="preserve">see </w:t>
      </w:r>
      <w:hyperlink w:anchor="_File_Menu" w:history="1">
        <w:r w:rsidR="00934CC7" w:rsidRPr="00934CC7">
          <w:rPr>
            <w:rStyle w:val="Hyperlink"/>
            <w:noProof/>
          </w:rPr>
          <w:t>Section 4.5.2.1</w:t>
        </w:r>
      </w:hyperlink>
      <w:r w:rsidRPr="000665B0">
        <w:rPr>
          <w:noProof/>
        </w:rPr>
        <w:t>). If the window is not displayed, it is not necessary to recycle the Application Pools.</w:t>
      </w:r>
    </w:p>
    <w:p w14:paraId="4B76333B" w14:textId="5D72A760" w:rsidR="001077CA" w:rsidRPr="000665B0" w:rsidRDefault="001077CA" w:rsidP="009570CA">
      <w:pPr>
        <w:pStyle w:val="Heading5"/>
      </w:pPr>
      <w:bookmarkStart w:id="583" w:name="_Toc201388326"/>
      <w:r w:rsidRPr="000665B0">
        <w:t>Change SQL Server</w:t>
      </w:r>
      <w:bookmarkEnd w:id="583"/>
    </w:p>
    <w:p w14:paraId="10984BFB" w14:textId="5C83CB0C" w:rsidR="001077CA" w:rsidRPr="000665B0" w:rsidRDefault="001077CA" w:rsidP="009570CA">
      <w:r w:rsidRPr="000665B0">
        <w:t>Change</w:t>
      </w:r>
      <w:r w:rsidRPr="000665B0">
        <w:rPr>
          <w:b/>
        </w:rPr>
        <w:t xml:space="preserve"> SQL Server</w:t>
      </w:r>
      <w:r w:rsidRPr="000665B0">
        <w:t xml:space="preserve"> provides the capability to change the SQL Server and authentication information. The SQL Server\Instance must be a local instance. Upon selection of the </w:t>
      </w:r>
      <w:r w:rsidRPr="000665B0">
        <w:rPr>
          <w:b/>
        </w:rPr>
        <w:t>OK</w:t>
      </w:r>
      <w:r w:rsidRPr="000665B0">
        <w:rPr>
          <w:i/>
        </w:rPr>
        <w:t xml:space="preserve"> </w:t>
      </w:r>
      <w:r w:rsidRPr="000665B0">
        <w:t xml:space="preserve">button, the SQL Server\Instance is validated to be a local instance and then a connection is established to retrieve current database information. The display is then </w:t>
      </w:r>
      <w:r w:rsidR="009268B1" w:rsidRPr="000665B0">
        <w:t>closed,</w:t>
      </w:r>
      <w:r w:rsidRPr="000665B0">
        <w:t xml:space="preserve"> and the main database display </w:t>
      </w:r>
      <w:r w:rsidR="00250B8F" w:rsidRPr="000665B0">
        <w:t>is</w:t>
      </w:r>
      <w:r w:rsidRPr="000665B0">
        <w:t xml:space="preserve"> updated. </w:t>
      </w:r>
    </w:p>
    <w:p w14:paraId="3DA7A517" w14:textId="3DD4A158" w:rsidR="001077CA" w:rsidRPr="000665B0" w:rsidRDefault="00E21C8E" w:rsidP="009570CA">
      <w:pPr>
        <w:jc w:val="center"/>
      </w:pPr>
      <w:r w:rsidRPr="000665B0">
        <w:rPr>
          <w:noProof/>
        </w:rPr>
        <w:lastRenderedPageBreak/>
        <w:drawing>
          <wp:inline distT="0" distB="0" distL="0" distR="0" wp14:anchorId="33FEE277" wp14:editId="66BED29E">
            <wp:extent cx="3154680" cy="1645920"/>
            <wp:effectExtent l="0" t="0" r="0" b="0"/>
            <wp:docPr id="2099" name="Picture 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645920"/>
                    </a:xfrm>
                    <a:prstGeom prst="rect">
                      <a:avLst/>
                    </a:prstGeom>
                  </pic:spPr>
                </pic:pic>
              </a:graphicData>
            </a:graphic>
          </wp:inline>
        </w:drawing>
      </w:r>
    </w:p>
    <w:p w14:paraId="63753314" w14:textId="77777777" w:rsidR="000112DC" w:rsidRPr="000665B0" w:rsidRDefault="000112DC" w:rsidP="009570CA">
      <w:r w:rsidRPr="000665B0">
        <w:t xml:space="preserve">After changes are made and the TMPC Database Utility is closed, the system may display instructions to restart IIS, similar to the window below. </w:t>
      </w:r>
    </w:p>
    <w:p w14:paraId="22356A4C" w14:textId="213E8589" w:rsidR="000112DC" w:rsidRPr="000665B0" w:rsidRDefault="00E21C8E" w:rsidP="009570CA">
      <w:pPr>
        <w:jc w:val="center"/>
      </w:pPr>
      <w:r w:rsidRPr="000665B0">
        <w:rPr>
          <w:noProof/>
        </w:rPr>
        <w:drawing>
          <wp:inline distT="0" distB="0" distL="0" distR="0" wp14:anchorId="6EA038E6" wp14:editId="5FB6B13C">
            <wp:extent cx="3154680" cy="1197864"/>
            <wp:effectExtent l="0" t="0" r="0" b="0"/>
            <wp:docPr id="2021" name="Pictur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197864"/>
                    </a:xfrm>
                    <a:prstGeom prst="rect">
                      <a:avLst/>
                    </a:prstGeom>
                  </pic:spPr>
                </pic:pic>
              </a:graphicData>
            </a:graphic>
          </wp:inline>
        </w:drawing>
      </w:r>
    </w:p>
    <w:p w14:paraId="763BABE4" w14:textId="77777777" w:rsidR="000112DC" w:rsidRPr="000665B0" w:rsidRDefault="000112DC" w:rsidP="009570CA">
      <w:r w:rsidRPr="000665B0">
        <w:rPr>
          <w:b/>
          <w:i/>
        </w:rPr>
        <w:t>The instructions to restart IIS are incorrect.</w:t>
      </w:r>
      <w:r w:rsidRPr="000665B0">
        <w:t xml:space="preserve"> </w:t>
      </w:r>
    </w:p>
    <w:p w14:paraId="6A3E3233" w14:textId="0965A81D" w:rsidR="000112DC" w:rsidRPr="000665B0" w:rsidRDefault="000112DC" w:rsidP="009570CA">
      <w:r w:rsidRPr="000665B0">
        <w:t xml:space="preserve">Instead, the Ted Application Pool and the </w:t>
      </w:r>
      <w:r w:rsidR="00E94A56" w:rsidRPr="000665B0">
        <w:t xml:space="preserve">TM </w:t>
      </w:r>
      <w:r w:rsidRPr="000665B0">
        <w:t>Application Pool must be recycled for the changes to take effect</w:t>
      </w:r>
      <w:r w:rsidRPr="000665B0">
        <w:rPr>
          <w:noProof/>
        </w:rPr>
        <w:t xml:space="preserve"> (see </w:t>
      </w:r>
      <w:hyperlink w:anchor="_File_Menu" w:history="1">
        <w:r w:rsidRPr="000665B0">
          <w:rPr>
            <w:rStyle w:val="Hyperlink"/>
            <w:noProof/>
          </w:rPr>
          <w:t>Section 4.5.2.1</w:t>
        </w:r>
      </w:hyperlink>
      <w:r w:rsidRPr="000665B0">
        <w:rPr>
          <w:noProof/>
        </w:rPr>
        <w:t>). If the window is not displayed, it is not necessary to recycle the Application Pools.</w:t>
      </w:r>
    </w:p>
    <w:p w14:paraId="3978C018" w14:textId="2107F252" w:rsidR="001077CA" w:rsidRPr="000665B0" w:rsidRDefault="001077CA" w:rsidP="009570CA">
      <w:pPr>
        <w:pStyle w:val="Heading5"/>
      </w:pPr>
      <w:bookmarkStart w:id="584" w:name="_4.5.2.1.4__Set"/>
      <w:bookmarkStart w:id="585" w:name="_Toc201388327"/>
      <w:bookmarkEnd w:id="584"/>
      <w:r w:rsidRPr="000665B0">
        <w:t>Set Location Code</w:t>
      </w:r>
      <w:bookmarkEnd w:id="585"/>
    </w:p>
    <w:p w14:paraId="686E1988" w14:textId="2D71B06A" w:rsidR="001077CA" w:rsidRPr="000665B0" w:rsidRDefault="001077CA" w:rsidP="009570CA">
      <w:bookmarkStart w:id="586" w:name="_Hlk61602393"/>
      <w:r w:rsidRPr="000665B0">
        <w:t>Set the TED location code during installation. The location code can be typed in if known or it can be selected.</w:t>
      </w:r>
      <w:r w:rsidR="00514B96" w:rsidRPr="000665B0">
        <w:t xml:space="preserve"> Refer to the ISP pertaining to the site configuration for additional information</w:t>
      </w:r>
      <w:bookmarkEnd w:id="586"/>
      <w:r w:rsidR="00514B96" w:rsidRPr="000665B0">
        <w:t>.</w:t>
      </w:r>
    </w:p>
    <w:p w14:paraId="62D654D0" w14:textId="1C6B481F" w:rsidR="001077CA" w:rsidRPr="000665B0" w:rsidRDefault="00687B8F" w:rsidP="009570CA">
      <w:pPr>
        <w:jc w:val="center"/>
      </w:pPr>
      <w:r w:rsidRPr="000665B0">
        <w:rPr>
          <w:noProof/>
        </w:rPr>
        <w:drawing>
          <wp:inline distT="0" distB="0" distL="0" distR="0" wp14:anchorId="50FCFCFE" wp14:editId="04AECA5D">
            <wp:extent cx="2432304" cy="914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432304" cy="914400"/>
                    </a:xfrm>
                    <a:prstGeom prst="rect">
                      <a:avLst/>
                    </a:prstGeom>
                  </pic:spPr>
                </pic:pic>
              </a:graphicData>
            </a:graphic>
          </wp:inline>
        </w:drawing>
      </w:r>
    </w:p>
    <w:p w14:paraId="5380AAAB" w14:textId="47116067" w:rsidR="001077CA" w:rsidRPr="000665B0" w:rsidRDefault="001077CA" w:rsidP="006D5A65">
      <w:pPr>
        <w:pStyle w:val="Heading1"/>
      </w:pPr>
      <w:r w:rsidRPr="000665B0">
        <w:t xml:space="preserve">To select the location code by Node name, click the Browse… </w:t>
      </w:r>
      <w:r w:rsidR="00835B18" w:rsidRPr="000665B0">
        <w:rPr>
          <w:noProof/>
        </w:rPr>
        <w:drawing>
          <wp:inline distT="0" distB="0" distL="0" distR="0" wp14:anchorId="3839DECF" wp14:editId="363A5ECD">
            <wp:extent cx="352425" cy="206858"/>
            <wp:effectExtent l="0" t="0" r="0" b="317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352425" cy="206858"/>
                    </a:xfrm>
                    <a:prstGeom prst="rect">
                      <a:avLst/>
                    </a:prstGeom>
                  </pic:spPr>
                </pic:pic>
              </a:graphicData>
            </a:graphic>
          </wp:inline>
        </w:drawing>
      </w:r>
      <w:r w:rsidR="00835B18" w:rsidRPr="000665B0">
        <w:t xml:space="preserve"> </w:t>
      </w:r>
      <w:r w:rsidRPr="000665B0">
        <w:t xml:space="preserve">button. The </w:t>
      </w:r>
      <w:r w:rsidRPr="000665B0">
        <w:rPr>
          <w:i/>
        </w:rPr>
        <w:t>Select Valid Platform List</w:t>
      </w:r>
      <w:r w:rsidRPr="000665B0">
        <w:t xml:space="preserve"> window is displayed.</w:t>
      </w:r>
      <w:r w:rsidR="00AA7F76" w:rsidRPr="000665B0">
        <w:t xml:space="preserve"> Navigate to the appropriate directory of the file </w:t>
      </w:r>
      <w:r w:rsidR="00AA7F76" w:rsidRPr="000665B0">
        <w:lastRenderedPageBreak/>
        <w:t xml:space="preserve">structure. Select the VPL file in the </w:t>
      </w:r>
      <w:r w:rsidR="00AA7F76" w:rsidRPr="000665B0">
        <w:rPr>
          <w:bCs/>
        </w:rPr>
        <w:t>File name</w:t>
      </w:r>
      <w:r w:rsidR="00AA7F76" w:rsidRPr="000665B0">
        <w:t xml:space="preserve"> </w:t>
      </w:r>
      <w:r w:rsidR="00250357" w:rsidRPr="000665B0">
        <w:t>field and</w:t>
      </w:r>
      <w:r w:rsidR="00AA7F76" w:rsidRPr="000665B0">
        <w:t xml:space="preserve"> click the </w:t>
      </w:r>
      <w:r w:rsidR="00AA7F76" w:rsidRPr="000665B0">
        <w:rPr>
          <w:bCs/>
        </w:rPr>
        <w:t>Open</w:t>
      </w:r>
      <w:r w:rsidR="00AA7F76" w:rsidRPr="000665B0">
        <w:t xml:space="preserve"> button.</w:t>
      </w:r>
    </w:p>
    <w:p w14:paraId="142A2134" w14:textId="7695A711" w:rsidR="001077CA" w:rsidRPr="000665B0" w:rsidRDefault="001077CA" w:rsidP="006D5A65">
      <w:pPr>
        <w:pStyle w:val="Heading1"/>
      </w:pPr>
      <w:r w:rsidRPr="000665B0">
        <w:t xml:space="preserve">The </w:t>
      </w:r>
      <w:r w:rsidRPr="000665B0">
        <w:rPr>
          <w:i/>
        </w:rPr>
        <w:t>Select Own Node</w:t>
      </w:r>
      <w:r w:rsidRPr="000665B0">
        <w:t xml:space="preserve"> window </w:t>
      </w:r>
      <w:r w:rsidR="00250B8F" w:rsidRPr="000665B0">
        <w:t>is</w:t>
      </w:r>
      <w:r w:rsidRPr="000665B0">
        <w:t xml:space="preserve"> displayed.</w:t>
      </w:r>
    </w:p>
    <w:p w14:paraId="2F487CA4" w14:textId="6E434232" w:rsidR="001077CA" w:rsidRPr="000665B0" w:rsidRDefault="00793EC0" w:rsidP="009570CA">
      <w:pPr>
        <w:jc w:val="center"/>
      </w:pPr>
      <w:r w:rsidRPr="000665B0">
        <w:rPr>
          <w:noProof/>
        </w:rPr>
        <w:drawing>
          <wp:inline distT="0" distB="0" distL="0" distR="0" wp14:anchorId="37962771" wp14:editId="4087D7C0">
            <wp:extent cx="3154680" cy="3621024"/>
            <wp:effectExtent l="0" t="0" r="0" b="0"/>
            <wp:docPr id="1330" name="Picture 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3621024"/>
                    </a:xfrm>
                    <a:prstGeom prst="rect">
                      <a:avLst/>
                    </a:prstGeom>
                  </pic:spPr>
                </pic:pic>
              </a:graphicData>
            </a:graphic>
          </wp:inline>
        </w:drawing>
      </w:r>
      <w:r w:rsidRPr="000665B0">
        <w:rPr>
          <w:noProof/>
        </w:rPr>
        <w:t xml:space="preserve"> </w:t>
      </w:r>
    </w:p>
    <w:p w14:paraId="0AE274A0" w14:textId="77777777" w:rsidR="001077CA" w:rsidRPr="000665B0" w:rsidRDefault="001077CA" w:rsidP="006D5A65">
      <w:pPr>
        <w:pStyle w:val="Heading1"/>
      </w:pPr>
      <w:r w:rsidRPr="000665B0">
        <w:t xml:space="preserve">Select the correct location code or node and click the OK button. The </w:t>
      </w:r>
      <w:r w:rsidRPr="000665B0">
        <w:rPr>
          <w:i/>
        </w:rPr>
        <w:t>Set TED Location Code</w:t>
      </w:r>
      <w:r w:rsidRPr="000665B0">
        <w:t xml:space="preserve"> window </w:t>
      </w:r>
      <w:r w:rsidR="00250B8F" w:rsidRPr="000665B0">
        <w:t>is</w:t>
      </w:r>
      <w:r w:rsidRPr="000665B0">
        <w:t xml:space="preserve"> displayed.</w:t>
      </w:r>
    </w:p>
    <w:p w14:paraId="2CA0D7D2" w14:textId="254F596C" w:rsidR="001077CA" w:rsidRPr="000665B0" w:rsidRDefault="00793EC0" w:rsidP="009570CA">
      <w:pPr>
        <w:jc w:val="center"/>
      </w:pPr>
      <w:r w:rsidRPr="000665B0">
        <w:rPr>
          <w:noProof/>
        </w:rPr>
        <w:drawing>
          <wp:inline distT="0" distB="0" distL="0" distR="0" wp14:anchorId="0B1BD081" wp14:editId="4D4A3DD4">
            <wp:extent cx="2322576" cy="914400"/>
            <wp:effectExtent l="0" t="0" r="0" b="0"/>
            <wp:docPr id="1333" name="Picture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322576" cy="914400"/>
                    </a:xfrm>
                    <a:prstGeom prst="rect">
                      <a:avLst/>
                    </a:prstGeom>
                  </pic:spPr>
                </pic:pic>
              </a:graphicData>
            </a:graphic>
          </wp:inline>
        </w:drawing>
      </w:r>
    </w:p>
    <w:p w14:paraId="318467E2" w14:textId="77777777" w:rsidR="001077CA" w:rsidRPr="000665B0" w:rsidRDefault="001077CA" w:rsidP="006D5A65">
      <w:pPr>
        <w:pStyle w:val="Heading1"/>
      </w:pPr>
      <w:r w:rsidRPr="000665B0">
        <w:lastRenderedPageBreak/>
        <w:t xml:space="preserve">The location code is auto populated based on selection. Click the OK button to save it in the database, the following confirmation message </w:t>
      </w:r>
      <w:r w:rsidR="00250B8F" w:rsidRPr="000665B0">
        <w:t>is</w:t>
      </w:r>
      <w:r w:rsidRPr="000665B0">
        <w:t xml:space="preserve"> displayed.</w:t>
      </w:r>
    </w:p>
    <w:p w14:paraId="3F9225B7" w14:textId="70265561" w:rsidR="00135398" w:rsidRPr="000665B0" w:rsidRDefault="00793EC0" w:rsidP="009570CA">
      <w:pPr>
        <w:jc w:val="center"/>
      </w:pPr>
      <w:r w:rsidRPr="000665B0">
        <w:rPr>
          <w:noProof/>
        </w:rPr>
        <w:drawing>
          <wp:inline distT="0" distB="0" distL="0" distR="0" wp14:anchorId="67B48569" wp14:editId="593712DC">
            <wp:extent cx="1828800" cy="2039112"/>
            <wp:effectExtent l="0" t="0" r="0" b="0"/>
            <wp:docPr id="1337" name="Picture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2039112"/>
                    </a:xfrm>
                    <a:prstGeom prst="rect">
                      <a:avLst/>
                    </a:prstGeom>
                  </pic:spPr>
                </pic:pic>
              </a:graphicData>
            </a:graphic>
          </wp:inline>
        </w:drawing>
      </w:r>
      <w:r w:rsidRPr="000665B0">
        <w:rPr>
          <w:noProof/>
        </w:rPr>
        <w:t xml:space="preserve"> </w:t>
      </w:r>
    </w:p>
    <w:p w14:paraId="64BDA470" w14:textId="77777777" w:rsidR="00135398" w:rsidRPr="000665B0" w:rsidRDefault="00135398" w:rsidP="006D5A65">
      <w:pPr>
        <w:pStyle w:val="Heading1"/>
      </w:pPr>
      <w:r w:rsidRPr="000665B0">
        <w:t xml:space="preserve">Click OK to close the </w:t>
      </w:r>
      <w:r w:rsidRPr="000665B0">
        <w:rPr>
          <w:i/>
        </w:rPr>
        <w:t>TC2S Database Utility</w:t>
      </w:r>
      <w:r w:rsidRPr="000665B0">
        <w:t xml:space="preserve"> window.</w:t>
      </w:r>
    </w:p>
    <w:p w14:paraId="5A5A370D" w14:textId="77777777" w:rsidR="00FE7186" w:rsidRPr="000665B0" w:rsidRDefault="00FE7186" w:rsidP="006D5A65">
      <w:pPr>
        <w:pStyle w:val="Heading1"/>
      </w:pPr>
      <w:r w:rsidRPr="000665B0">
        <w:t>After changes are made</w:t>
      </w:r>
      <w:r w:rsidR="00591DC1" w:rsidRPr="000665B0">
        <w:t xml:space="preserve"> and</w:t>
      </w:r>
      <w:r w:rsidRPr="000665B0">
        <w:t xml:space="preserve"> the TMPC Database Utility is closed, the </w:t>
      </w:r>
      <w:r w:rsidR="00591DC1" w:rsidRPr="000665B0">
        <w:t>system may display instructions to</w:t>
      </w:r>
      <w:r w:rsidRPr="000665B0">
        <w:t xml:space="preserve"> restart IIS, similar to the window below. </w:t>
      </w:r>
    </w:p>
    <w:p w14:paraId="51FEC9CF" w14:textId="09A65F94" w:rsidR="00FE7186" w:rsidRPr="000665B0" w:rsidRDefault="0085523C" w:rsidP="009570CA">
      <w:pPr>
        <w:jc w:val="center"/>
      </w:pPr>
      <w:r w:rsidRPr="000665B0">
        <w:rPr>
          <w:noProof/>
        </w:rPr>
        <w:drawing>
          <wp:inline distT="0" distB="0" distL="0" distR="0" wp14:anchorId="6170219C" wp14:editId="46A0A1A6">
            <wp:extent cx="3154680" cy="1197864"/>
            <wp:effectExtent l="0" t="0" r="0" b="0"/>
            <wp:docPr id="2136" name="Picture 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197864"/>
                    </a:xfrm>
                    <a:prstGeom prst="rect">
                      <a:avLst/>
                    </a:prstGeom>
                  </pic:spPr>
                </pic:pic>
              </a:graphicData>
            </a:graphic>
          </wp:inline>
        </w:drawing>
      </w:r>
    </w:p>
    <w:p w14:paraId="3690ED1B" w14:textId="77777777" w:rsidR="008716A4" w:rsidRPr="000665B0" w:rsidRDefault="00FE7186" w:rsidP="009570CA">
      <w:pPr>
        <w:ind w:left="720"/>
      </w:pPr>
      <w:r w:rsidRPr="000665B0">
        <w:rPr>
          <w:b/>
          <w:i/>
        </w:rPr>
        <w:t>The instructions to restart IIS are incorrect.</w:t>
      </w:r>
      <w:r w:rsidRPr="000665B0">
        <w:t xml:space="preserve"> </w:t>
      </w:r>
    </w:p>
    <w:p w14:paraId="70E4F5A7" w14:textId="3CCE750C" w:rsidR="001077CA" w:rsidRPr="000665B0" w:rsidRDefault="00FE7186" w:rsidP="009570CA">
      <w:pPr>
        <w:ind w:left="720"/>
      </w:pPr>
      <w:r w:rsidRPr="000665B0">
        <w:t xml:space="preserve">Instead, the Ted Application Pool and the </w:t>
      </w:r>
      <w:r w:rsidR="00E94A56" w:rsidRPr="000665B0">
        <w:t xml:space="preserve">TM </w:t>
      </w:r>
      <w:r w:rsidRPr="000665B0">
        <w:t>Application Pool must be recycled for the changes to take effect</w:t>
      </w:r>
      <w:r w:rsidR="004D0025" w:rsidRPr="000665B0">
        <w:rPr>
          <w:noProof/>
        </w:rPr>
        <w:t xml:space="preserve"> </w:t>
      </w:r>
      <w:r w:rsidR="00135398" w:rsidRPr="000665B0">
        <w:rPr>
          <w:noProof/>
        </w:rPr>
        <w:t xml:space="preserve">(see </w:t>
      </w:r>
      <w:hyperlink w:anchor="_File_Menu" w:history="1">
        <w:r w:rsidR="00135398" w:rsidRPr="000665B0">
          <w:rPr>
            <w:rStyle w:val="Hyperlink"/>
            <w:noProof/>
          </w:rPr>
          <w:t>Section 4.5.2.1</w:t>
        </w:r>
      </w:hyperlink>
      <w:r w:rsidR="00135398" w:rsidRPr="000665B0">
        <w:rPr>
          <w:noProof/>
        </w:rPr>
        <w:t>).</w:t>
      </w:r>
      <w:r w:rsidR="000112DC" w:rsidRPr="000665B0">
        <w:rPr>
          <w:noProof/>
        </w:rPr>
        <w:t>If the window is not displayed, it is not necessary to recy</w:t>
      </w:r>
      <w:r w:rsidR="00874B1F" w:rsidRPr="000665B0">
        <w:rPr>
          <w:noProof/>
        </w:rPr>
        <w:t>c</w:t>
      </w:r>
      <w:r w:rsidR="000112DC" w:rsidRPr="000665B0">
        <w:rPr>
          <w:noProof/>
        </w:rPr>
        <w:t>le the Application Pools.</w:t>
      </w:r>
    </w:p>
    <w:p w14:paraId="1AB10780" w14:textId="48E7F833" w:rsidR="001077CA" w:rsidRPr="000665B0" w:rsidRDefault="001077CA" w:rsidP="009570CA">
      <w:pPr>
        <w:pStyle w:val="Heading5"/>
      </w:pPr>
      <w:bookmarkStart w:id="587" w:name="_4.5.2.1.4__Database"/>
      <w:bookmarkStart w:id="588" w:name="_Toc201388328"/>
      <w:bookmarkEnd w:id="587"/>
      <w:r w:rsidRPr="000665B0">
        <w:t>Database Properties</w:t>
      </w:r>
      <w:bookmarkEnd w:id="588"/>
    </w:p>
    <w:p w14:paraId="1479687C" w14:textId="693B6F60" w:rsidR="001077CA" w:rsidRPr="000665B0" w:rsidRDefault="001077CA" w:rsidP="009570CA">
      <w:r w:rsidRPr="000665B0">
        <w:rPr>
          <w:b/>
        </w:rPr>
        <w:t>Properties</w:t>
      </w:r>
      <w:r w:rsidRPr="000665B0">
        <w:t xml:space="preserve"> displays the database name, database type</w:t>
      </w:r>
      <w:r w:rsidR="000969E7" w:rsidRPr="000665B0">
        <w:t>,</w:t>
      </w:r>
      <w:r w:rsidRPr="000665B0">
        <w:t xml:space="preserve"> and version for the selected database. </w:t>
      </w:r>
    </w:p>
    <w:p w14:paraId="282CA884" w14:textId="30546164" w:rsidR="006C522A" w:rsidRPr="000665B0" w:rsidRDefault="006C522A" w:rsidP="009570CA">
      <w:pPr>
        <w:jc w:val="center"/>
      </w:pPr>
      <w:r w:rsidRPr="000665B0">
        <w:rPr>
          <w:noProof/>
        </w:rPr>
        <w:drawing>
          <wp:inline distT="0" distB="0" distL="0" distR="0" wp14:anchorId="6ED9343D" wp14:editId="55D20AC7">
            <wp:extent cx="3154680" cy="1353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3154680" cy="1353312"/>
                    </a:xfrm>
                    <a:prstGeom prst="rect">
                      <a:avLst/>
                    </a:prstGeom>
                    <a:noFill/>
                    <a:ln>
                      <a:noFill/>
                    </a:ln>
                  </pic:spPr>
                </pic:pic>
              </a:graphicData>
            </a:graphic>
          </wp:inline>
        </w:drawing>
      </w:r>
    </w:p>
    <w:p w14:paraId="66A4DDB9" w14:textId="77777777" w:rsidR="001077CA" w:rsidRPr="000665B0" w:rsidRDefault="001077CA" w:rsidP="006D5A65">
      <w:pPr>
        <w:pStyle w:val="Heading1"/>
      </w:pPr>
      <w:r w:rsidRPr="000665B0">
        <w:lastRenderedPageBreak/>
        <w:t>Database Name – The name of the database.</w:t>
      </w:r>
    </w:p>
    <w:p w14:paraId="5DDAE051" w14:textId="23D900E6" w:rsidR="001077CA" w:rsidRPr="000665B0" w:rsidRDefault="001077CA" w:rsidP="006D5A65">
      <w:pPr>
        <w:pStyle w:val="Heading1"/>
      </w:pPr>
      <w:r w:rsidRPr="000665B0">
        <w:t>Database Type – The type of database (usually the same as the database name).</w:t>
      </w:r>
    </w:p>
    <w:p w14:paraId="30DC62A9" w14:textId="57044FE5" w:rsidR="001077CA" w:rsidRPr="000665B0" w:rsidRDefault="005C1467" w:rsidP="006D5A65">
      <w:pPr>
        <w:pStyle w:val="Heading1"/>
      </w:pPr>
      <w:r w:rsidRPr="000665B0">
        <w:t xml:space="preserve">TC2S </w:t>
      </w:r>
      <w:r w:rsidR="001077CA" w:rsidRPr="000665B0">
        <w:t xml:space="preserve">Version – The version of the </w:t>
      </w:r>
      <w:r w:rsidR="00757321" w:rsidRPr="000665B0">
        <w:t>TMPC</w:t>
      </w:r>
      <w:r w:rsidR="001077CA" w:rsidRPr="000665B0">
        <w:t xml:space="preserve"> release. </w:t>
      </w:r>
      <w:bookmarkStart w:id="589" w:name="_Toc201388329"/>
    </w:p>
    <w:p w14:paraId="37A293ED" w14:textId="274B0887" w:rsidR="00D01C1E" w:rsidRPr="000665B0" w:rsidRDefault="00D01C1E" w:rsidP="006D5A65">
      <w:pPr>
        <w:pStyle w:val="Heading1"/>
      </w:pPr>
      <w:r w:rsidRPr="000665B0">
        <w:t>Schema Version – The version of the database schema (internal use).</w:t>
      </w:r>
    </w:p>
    <w:p w14:paraId="11C1C211" w14:textId="06299027" w:rsidR="001077CA" w:rsidRPr="000665B0" w:rsidDel="007321EE" w:rsidRDefault="001077CA" w:rsidP="009570CA">
      <w:pPr>
        <w:pStyle w:val="Heading5"/>
      </w:pPr>
      <w:bookmarkStart w:id="590" w:name="_4.5.2.1.6__Set"/>
      <w:bookmarkEnd w:id="590"/>
      <w:r w:rsidRPr="000665B0" w:rsidDel="007321EE">
        <w:t>Set System Max Classification</w:t>
      </w:r>
    </w:p>
    <w:p w14:paraId="513EC364" w14:textId="77777777" w:rsidR="001077CA" w:rsidRPr="000665B0" w:rsidDel="007321EE" w:rsidRDefault="001077CA" w:rsidP="009570CA">
      <w:r w:rsidRPr="000665B0" w:rsidDel="007321EE">
        <w:rPr>
          <w:b/>
        </w:rPr>
        <w:t>Set System Max Classification</w:t>
      </w:r>
      <w:r w:rsidRPr="000665B0" w:rsidDel="007321EE">
        <w:t xml:space="preserve"> provides the capability to set the maximum classification level</w:t>
      </w:r>
      <w:r w:rsidR="00641557" w:rsidRPr="000665B0" w:rsidDel="007321EE">
        <w:t xml:space="preserve"> of data to be stored in the database</w:t>
      </w:r>
      <w:r w:rsidRPr="000665B0" w:rsidDel="007321EE">
        <w:t>.</w:t>
      </w:r>
    </w:p>
    <w:p w14:paraId="6FDABC86" w14:textId="4EAD75A0" w:rsidR="001077CA" w:rsidRPr="000665B0" w:rsidRDefault="0085523C" w:rsidP="009570CA">
      <w:pPr>
        <w:jc w:val="center"/>
      </w:pPr>
      <w:r w:rsidRPr="000665B0">
        <w:rPr>
          <w:noProof/>
        </w:rPr>
        <w:drawing>
          <wp:inline distT="0" distB="0" distL="0" distR="0" wp14:anchorId="326072A7" wp14:editId="10029A67">
            <wp:extent cx="2267712" cy="914400"/>
            <wp:effectExtent l="0" t="0" r="0" b="0"/>
            <wp:docPr id="2161" name="Picture 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67712" cy="914400"/>
                    </a:xfrm>
                    <a:prstGeom prst="rect">
                      <a:avLst/>
                    </a:prstGeom>
                  </pic:spPr>
                </pic:pic>
              </a:graphicData>
            </a:graphic>
          </wp:inline>
        </w:drawing>
      </w:r>
    </w:p>
    <w:p w14:paraId="357F61C8" w14:textId="77777777" w:rsidR="00FE7186" w:rsidRPr="000665B0" w:rsidRDefault="00FE7186" w:rsidP="009570CA">
      <w:bookmarkStart w:id="591" w:name="_4.5.2.1.6__Archive"/>
      <w:bookmarkStart w:id="592" w:name="_4_.5.2.1.7_"/>
      <w:bookmarkStart w:id="593" w:name="_4.5.2.1.7__Set"/>
      <w:bookmarkEnd w:id="591"/>
      <w:bookmarkEnd w:id="592"/>
      <w:bookmarkEnd w:id="593"/>
      <w:r w:rsidRPr="000665B0">
        <w:t>After changes are made</w:t>
      </w:r>
      <w:r w:rsidR="00591DC1" w:rsidRPr="000665B0">
        <w:t xml:space="preserve"> and</w:t>
      </w:r>
      <w:r w:rsidRPr="000665B0">
        <w:t xml:space="preserve"> the TMPC Database Utility is closed, </w:t>
      </w:r>
      <w:r w:rsidR="00591DC1" w:rsidRPr="000665B0">
        <w:t>the system may display instructions</w:t>
      </w:r>
      <w:r w:rsidRPr="000665B0">
        <w:t xml:space="preserve"> to restart IIS, similar to the window below. </w:t>
      </w:r>
    </w:p>
    <w:p w14:paraId="72D70E4B" w14:textId="6F865230" w:rsidR="00FE7186" w:rsidRPr="000665B0" w:rsidRDefault="0085523C" w:rsidP="009570CA">
      <w:pPr>
        <w:jc w:val="center"/>
      </w:pPr>
      <w:r w:rsidRPr="000665B0">
        <w:rPr>
          <w:noProof/>
        </w:rPr>
        <w:drawing>
          <wp:inline distT="0" distB="0" distL="0" distR="0" wp14:anchorId="7CCFDA0C" wp14:editId="372B305B">
            <wp:extent cx="3154680" cy="1197864"/>
            <wp:effectExtent l="0" t="0" r="0" b="0"/>
            <wp:docPr id="2137" name="Picture 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197864"/>
                    </a:xfrm>
                    <a:prstGeom prst="rect">
                      <a:avLst/>
                    </a:prstGeom>
                  </pic:spPr>
                </pic:pic>
              </a:graphicData>
            </a:graphic>
          </wp:inline>
        </w:drawing>
      </w:r>
    </w:p>
    <w:p w14:paraId="3F4C4EE1" w14:textId="77777777" w:rsidR="008716A4" w:rsidRPr="000665B0" w:rsidRDefault="00FE7186" w:rsidP="009570CA">
      <w:r w:rsidRPr="000665B0">
        <w:rPr>
          <w:b/>
          <w:i/>
        </w:rPr>
        <w:t>The instructions to restart IIS are incorrect.</w:t>
      </w:r>
      <w:r w:rsidRPr="000665B0">
        <w:t xml:space="preserve"> </w:t>
      </w:r>
    </w:p>
    <w:p w14:paraId="6D7ADC7C" w14:textId="12A23466" w:rsidR="00FE7186" w:rsidRPr="000665B0" w:rsidRDefault="00FE7186" w:rsidP="009570CA">
      <w:r w:rsidRPr="000665B0">
        <w:t xml:space="preserve">Instead, the Ted Application Pool and the </w:t>
      </w:r>
      <w:r w:rsidR="00E94A56" w:rsidRPr="000665B0">
        <w:t xml:space="preserve">TM </w:t>
      </w:r>
      <w:r w:rsidRPr="000665B0">
        <w:t>Application Pool must be recycled for the changes to take effect</w:t>
      </w:r>
      <w:r w:rsidRPr="000665B0">
        <w:rPr>
          <w:noProof/>
        </w:rPr>
        <w:t xml:space="preserve"> (</w:t>
      </w:r>
      <w:r w:rsidR="00934CC7" w:rsidRPr="000665B0">
        <w:rPr>
          <w:noProof/>
        </w:rPr>
        <w:t xml:space="preserve">see </w:t>
      </w:r>
      <w:hyperlink w:anchor="_File_Menu" w:history="1">
        <w:r w:rsidR="00934CC7" w:rsidRPr="00934CC7">
          <w:rPr>
            <w:rStyle w:val="Hyperlink"/>
            <w:noProof/>
          </w:rPr>
          <w:t>Section 4.5.2.1</w:t>
        </w:r>
      </w:hyperlink>
      <w:r w:rsidRPr="000665B0">
        <w:rPr>
          <w:noProof/>
        </w:rPr>
        <w:t>).</w:t>
      </w:r>
      <w:r w:rsidR="0033275E" w:rsidRPr="000665B0">
        <w:rPr>
          <w:noProof/>
        </w:rPr>
        <w:t xml:space="preserve"> If the window is not displayed, it is not necessary to recycle the Application Pools.</w:t>
      </w:r>
    </w:p>
    <w:p w14:paraId="1D697D95" w14:textId="038BD08F" w:rsidR="00034712" w:rsidRPr="000665B0" w:rsidRDefault="00034712" w:rsidP="009570CA">
      <w:pPr>
        <w:pStyle w:val="Heading5"/>
      </w:pPr>
      <w:bookmarkStart w:id="594" w:name="_4_.5.2.1.7__1"/>
      <w:bookmarkStart w:id="595" w:name="_Set_Country_Code"/>
      <w:bookmarkEnd w:id="594"/>
      <w:bookmarkEnd w:id="595"/>
      <w:r w:rsidRPr="000665B0">
        <w:t xml:space="preserve">Set Country Code Format </w:t>
      </w:r>
    </w:p>
    <w:p w14:paraId="73036C68" w14:textId="79812ED8" w:rsidR="0095277A" w:rsidRPr="000665B0" w:rsidRDefault="00F85D4A" w:rsidP="009570CA">
      <w:r w:rsidRPr="000665B0">
        <w:rPr>
          <w:b/>
        </w:rPr>
        <w:t>Set Country Code Format</w:t>
      </w:r>
      <w:r w:rsidRPr="000665B0">
        <w:t xml:space="preserve"> provides the </w:t>
      </w:r>
      <w:r w:rsidR="00CE357F" w:rsidRPr="000665B0">
        <w:t xml:space="preserve">administrator the </w:t>
      </w:r>
      <w:r w:rsidRPr="000665B0">
        <w:t xml:space="preserve">capability to </w:t>
      </w:r>
      <w:r w:rsidR="00080B9B" w:rsidRPr="000665B0">
        <w:t xml:space="preserve">set the </w:t>
      </w:r>
      <w:r w:rsidR="00CE357F" w:rsidRPr="000665B0">
        <w:t xml:space="preserve">default </w:t>
      </w:r>
      <w:r w:rsidR="00080B9B" w:rsidRPr="000665B0">
        <w:t xml:space="preserve">Country Code </w:t>
      </w:r>
      <w:r w:rsidR="00E172DC" w:rsidRPr="000665B0">
        <w:t>F</w:t>
      </w:r>
      <w:r w:rsidR="00080B9B" w:rsidRPr="000665B0">
        <w:t>ormat</w:t>
      </w:r>
      <w:r w:rsidR="00CE357F" w:rsidRPr="000665B0">
        <w:t xml:space="preserve"> for all users connected to this database, but individual users can change the Country Code Format to suit their preference (see </w:t>
      </w:r>
      <w:hyperlink w:anchor="_5.29.1__Set" w:history="1">
        <w:r w:rsidR="00CE357F" w:rsidRPr="000665B0">
          <w:rPr>
            <w:rStyle w:val="Hyperlink"/>
          </w:rPr>
          <w:t xml:space="preserve">Section </w:t>
        </w:r>
        <w:r w:rsidR="004231CC">
          <w:rPr>
            <w:rStyle w:val="Hyperlink"/>
          </w:rPr>
          <w:t>5.25</w:t>
        </w:r>
        <w:r w:rsidR="00CE357F" w:rsidRPr="000665B0">
          <w:rPr>
            <w:rStyle w:val="Hyperlink"/>
          </w:rPr>
          <w:t>.1</w:t>
        </w:r>
      </w:hyperlink>
      <w:r w:rsidR="00923E12">
        <w:t>).</w:t>
      </w:r>
      <w:r w:rsidR="00080B9B" w:rsidRPr="000665B0">
        <w:t xml:space="preserve"> </w:t>
      </w:r>
    </w:p>
    <w:p w14:paraId="6562C339" w14:textId="77777777" w:rsidR="00EB2033" w:rsidRPr="000665B0" w:rsidRDefault="00EB2033" w:rsidP="009570CA">
      <w:pPr>
        <w:rPr>
          <w:b/>
        </w:rPr>
      </w:pPr>
      <w:r w:rsidRPr="000665B0">
        <w:t xml:space="preserve">During system operation, the Country Code is selected from a pre-populated menu. In addition to the Country Code, the country name is also displayed in all menus and list views in the format of </w:t>
      </w:r>
      <w:r w:rsidRPr="000665B0">
        <w:rPr>
          <w:b/>
        </w:rPr>
        <w:t>[COUNTRY CODE] - [COUNTRY NAME].</w:t>
      </w:r>
    </w:p>
    <w:p w14:paraId="18E83BD9" w14:textId="77777777" w:rsidR="00704A81" w:rsidRPr="000665B0" w:rsidRDefault="0095277A" w:rsidP="009570CA">
      <w:pPr>
        <w:rPr>
          <w:szCs w:val="24"/>
        </w:rPr>
      </w:pPr>
      <w:r w:rsidRPr="000665B0">
        <w:t>The Country Code Format is displayed in the Geopolitical Entities, Names, and Codes (GENC) Standard.</w:t>
      </w:r>
      <w:r w:rsidRPr="000665B0">
        <w:rPr>
          <w:szCs w:val="24"/>
        </w:rPr>
        <w:t xml:space="preserve"> The </w:t>
      </w:r>
      <w:r w:rsidR="00757321" w:rsidRPr="000665B0">
        <w:t>TMPC</w:t>
      </w:r>
      <w:r w:rsidRPr="000665B0">
        <w:rPr>
          <w:szCs w:val="24"/>
        </w:rPr>
        <w:t xml:space="preserve"> Database Utility is used to configure the Country Code Format to </w:t>
      </w:r>
      <w:r w:rsidR="00704A81" w:rsidRPr="000665B0">
        <w:rPr>
          <w:szCs w:val="24"/>
        </w:rPr>
        <w:t>either:</w:t>
      </w:r>
    </w:p>
    <w:p w14:paraId="204CBB04" w14:textId="6FCCED51" w:rsidR="00704A81" w:rsidRPr="000665B0" w:rsidRDefault="00704A81" w:rsidP="006D5A65">
      <w:pPr>
        <w:pStyle w:val="Heading1"/>
      </w:pPr>
      <w:r w:rsidRPr="000665B0">
        <w:lastRenderedPageBreak/>
        <w:t>GEC (Geopolitical Entities and Codes)</w:t>
      </w:r>
    </w:p>
    <w:p w14:paraId="3AAF515C" w14:textId="23B92F5E" w:rsidR="00704A81" w:rsidRPr="000665B0" w:rsidRDefault="00704A81" w:rsidP="006D5A65">
      <w:pPr>
        <w:pStyle w:val="Heading1"/>
      </w:pPr>
      <w:r w:rsidRPr="000665B0">
        <w:t>GENC2 (GENC 2-Character) (Default)</w:t>
      </w:r>
    </w:p>
    <w:p w14:paraId="72D10625" w14:textId="467D8D61" w:rsidR="0095277A" w:rsidRPr="000665B0" w:rsidRDefault="00704A81" w:rsidP="006D5A65">
      <w:pPr>
        <w:pStyle w:val="Heading1"/>
      </w:pPr>
      <w:r w:rsidRPr="000665B0">
        <w:t>GENC3 (GENC 3-Character)</w:t>
      </w:r>
    </w:p>
    <w:p w14:paraId="57E59D78" w14:textId="0D6B72D5" w:rsidR="00B35C1D" w:rsidRPr="000665B0" w:rsidRDefault="00B35C1D" w:rsidP="009570CA">
      <w:r w:rsidRPr="000665B0">
        <w:t xml:space="preserve">For information about </w:t>
      </w:r>
      <w:r w:rsidR="00D7153A" w:rsidRPr="000665B0">
        <w:t>the selection and display of Country Codes and country names during system operation</w:t>
      </w:r>
      <w:r w:rsidRPr="000665B0">
        <w:t xml:space="preserve">, see </w:t>
      </w:r>
      <w:hyperlink w:anchor="_Appendix_C__Country_Codes__(SORTED__1" w:history="1">
        <w:r w:rsidRPr="000665B0">
          <w:rPr>
            <w:rStyle w:val="Hyperlink"/>
          </w:rPr>
          <w:t>Appendix C</w:t>
        </w:r>
      </w:hyperlink>
      <w:r w:rsidRPr="000665B0">
        <w:t>.</w:t>
      </w:r>
      <w:r w:rsidR="009651B0">
        <w:t xml:space="preserve"> </w:t>
      </w:r>
    </w:p>
    <w:p w14:paraId="1ED6F151" w14:textId="77777777" w:rsidR="00AA2675" w:rsidRPr="000665B0" w:rsidRDefault="00080B9B" w:rsidP="009570CA">
      <w:r w:rsidRPr="000665B0">
        <w:t xml:space="preserve">If the Country Code </w:t>
      </w:r>
      <w:r w:rsidR="00E172DC" w:rsidRPr="000665B0">
        <w:t>F</w:t>
      </w:r>
      <w:r w:rsidRPr="000665B0">
        <w:t>ormat is updated</w:t>
      </w:r>
      <w:r w:rsidR="00455EF1" w:rsidRPr="000665B0">
        <w:t xml:space="preserve"> or the Country Code list is updated </w:t>
      </w:r>
      <w:r w:rsidR="00CE357F" w:rsidRPr="000665B0">
        <w:t xml:space="preserve">by an administrator </w:t>
      </w:r>
      <w:r w:rsidR="00455EF1" w:rsidRPr="000665B0">
        <w:t>during maintenance</w:t>
      </w:r>
      <w:r w:rsidRPr="000665B0">
        <w:t>, existing displays are not automatically refreshed</w:t>
      </w:r>
      <w:r w:rsidR="004261CF" w:rsidRPr="000665B0">
        <w:t>.</w:t>
      </w:r>
      <w:r w:rsidRPr="000665B0">
        <w:t xml:space="preserve"> </w:t>
      </w:r>
      <w:r w:rsidR="004261CF" w:rsidRPr="000665B0">
        <w:t>T</w:t>
      </w:r>
      <w:r w:rsidR="00A86834" w:rsidRPr="000665B0">
        <w:t xml:space="preserve">he </w:t>
      </w:r>
      <w:r w:rsidR="003C6570" w:rsidRPr="000665B0">
        <w:t xml:space="preserve">Ted Application Pool and the </w:t>
      </w:r>
      <w:r w:rsidR="00E94A56" w:rsidRPr="000665B0">
        <w:t xml:space="preserve">TM </w:t>
      </w:r>
      <w:r w:rsidR="003C6570" w:rsidRPr="000665B0">
        <w:t>Application Pool must be recycled for the changes to take effect</w:t>
      </w:r>
      <w:r w:rsidR="00411705" w:rsidRPr="000665B0">
        <w:t>.</w:t>
      </w:r>
    </w:p>
    <w:p w14:paraId="36F47968" w14:textId="77777777" w:rsidR="00AA2675" w:rsidRPr="000665B0" w:rsidRDefault="00AA2675" w:rsidP="009570CA">
      <w:r w:rsidRPr="000665B0">
        <w:t>To configure the Country Code Format:</w:t>
      </w:r>
    </w:p>
    <w:p w14:paraId="5BE26179" w14:textId="3C1D907E" w:rsidR="000550C7" w:rsidRPr="000665B0" w:rsidRDefault="000550C7" w:rsidP="006D5A65">
      <w:pPr>
        <w:pStyle w:val="Heading1"/>
      </w:pPr>
      <w:r w:rsidRPr="000665B0">
        <w:t>From the File menu, select Set Country Code Format….</w:t>
      </w:r>
    </w:p>
    <w:p w14:paraId="32DB4D06" w14:textId="17BE24CC" w:rsidR="00FA0E95" w:rsidRPr="000665B0" w:rsidRDefault="00E44885" w:rsidP="009570CA">
      <w:pPr>
        <w:jc w:val="center"/>
      </w:pPr>
      <w:r w:rsidRPr="000665B0">
        <w:rPr>
          <w:noProof/>
        </w:rPr>
        <w:drawing>
          <wp:inline distT="0" distB="0" distL="0" distR="0" wp14:anchorId="5D2C16C0" wp14:editId="03310B2E">
            <wp:extent cx="4983480" cy="1975104"/>
            <wp:effectExtent l="0" t="0" r="0" b="0"/>
            <wp:docPr id="1440" name="Picture 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975104"/>
                    </a:xfrm>
                    <a:prstGeom prst="rect">
                      <a:avLst/>
                    </a:prstGeom>
                  </pic:spPr>
                </pic:pic>
              </a:graphicData>
            </a:graphic>
          </wp:inline>
        </w:drawing>
      </w:r>
    </w:p>
    <w:p w14:paraId="34F2914F" w14:textId="00AC2F7B" w:rsidR="000550C7" w:rsidRPr="000665B0" w:rsidRDefault="007321EE" w:rsidP="006D5A65">
      <w:pPr>
        <w:pStyle w:val="Heading1"/>
      </w:pPr>
      <w:r w:rsidRPr="000665B0">
        <w:t xml:space="preserve">The </w:t>
      </w:r>
      <w:r w:rsidRPr="000665B0">
        <w:rPr>
          <w:i/>
        </w:rPr>
        <w:t>Set Country Code Format</w:t>
      </w:r>
      <w:r w:rsidRPr="000665B0">
        <w:t xml:space="preserve"> window is displayed. </w:t>
      </w:r>
      <w:r w:rsidR="000550C7" w:rsidRPr="000665B0">
        <w:t xml:space="preserve">From the </w:t>
      </w:r>
      <w:r w:rsidR="00D54228" w:rsidRPr="000665B0">
        <w:t>pull-down</w:t>
      </w:r>
      <w:r w:rsidR="000550C7" w:rsidRPr="000665B0">
        <w:t xml:space="preserve"> menu, select the Country Code Format and click OK.</w:t>
      </w:r>
      <w:r w:rsidR="005D0DC5" w:rsidRPr="000665B0">
        <w:t xml:space="preserve"> </w:t>
      </w:r>
    </w:p>
    <w:p w14:paraId="58BD4230" w14:textId="77777777" w:rsidR="000550C7" w:rsidRPr="000665B0" w:rsidRDefault="000550C7" w:rsidP="006D5A65">
      <w:pPr>
        <w:pStyle w:val="Heading1"/>
      </w:pPr>
      <w:r w:rsidRPr="000665B0">
        <w:t>GEC</w:t>
      </w:r>
      <w:r w:rsidR="0072617E" w:rsidRPr="000665B0">
        <w:t xml:space="preserve"> (Geopolitical Entities and Codes)</w:t>
      </w:r>
    </w:p>
    <w:p w14:paraId="6FA11802" w14:textId="77777777" w:rsidR="000550C7" w:rsidRPr="000665B0" w:rsidRDefault="000550C7" w:rsidP="006D5A65">
      <w:pPr>
        <w:pStyle w:val="Heading1"/>
      </w:pPr>
      <w:r w:rsidRPr="000665B0">
        <w:t xml:space="preserve">GENC2 </w:t>
      </w:r>
      <w:r w:rsidR="0072617E" w:rsidRPr="000665B0">
        <w:t xml:space="preserve">(GENC 2-Character) </w:t>
      </w:r>
      <w:r w:rsidRPr="000665B0">
        <w:t>(Default)</w:t>
      </w:r>
    </w:p>
    <w:p w14:paraId="1222E623" w14:textId="77777777" w:rsidR="000550C7" w:rsidRPr="000665B0" w:rsidRDefault="000550C7" w:rsidP="006D5A65">
      <w:pPr>
        <w:pStyle w:val="Heading1"/>
      </w:pPr>
      <w:r w:rsidRPr="000665B0">
        <w:t>GENC3</w:t>
      </w:r>
      <w:r w:rsidR="0072617E" w:rsidRPr="000665B0">
        <w:t xml:space="preserve"> (GENC 3-Character)</w:t>
      </w:r>
    </w:p>
    <w:p w14:paraId="5FE38549" w14:textId="1F895384" w:rsidR="000550C7" w:rsidRPr="000665B0" w:rsidRDefault="00FA6C1D" w:rsidP="009570CA">
      <w:pPr>
        <w:jc w:val="center"/>
      </w:pPr>
      <w:r w:rsidRPr="000665B0">
        <w:rPr>
          <w:noProof/>
        </w:rPr>
        <w:drawing>
          <wp:inline distT="0" distB="0" distL="0" distR="0" wp14:anchorId="1A76EA12" wp14:editId="0409A786">
            <wp:extent cx="2286000" cy="88696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886968"/>
                    </a:xfrm>
                    <a:prstGeom prst="rect">
                      <a:avLst/>
                    </a:prstGeom>
                  </pic:spPr>
                </pic:pic>
              </a:graphicData>
            </a:graphic>
          </wp:inline>
        </w:drawing>
      </w:r>
    </w:p>
    <w:p w14:paraId="367D20AE" w14:textId="77777777" w:rsidR="005D0DC5" w:rsidRPr="000665B0" w:rsidRDefault="005D0DC5" w:rsidP="006D5A65">
      <w:pPr>
        <w:pStyle w:val="Heading1"/>
      </w:pPr>
      <w:r w:rsidRPr="000665B0">
        <w:t xml:space="preserve">Click the </w:t>
      </w:r>
      <w:r w:rsidRPr="000665B0">
        <w:rPr>
          <w:noProof/>
        </w:rPr>
        <w:drawing>
          <wp:inline distT="0" distB="0" distL="0" distR="0" wp14:anchorId="7E1E2C67" wp14:editId="3D7F1590">
            <wp:extent cx="171450" cy="152400"/>
            <wp:effectExtent l="0" t="0" r="0" b="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Button.jpg"/>
                    <pic:cNvPicPr/>
                  </pic:nvPicPr>
                  <pic:blipFill>
                    <a:blip>
                      <a:extLst>
                        <a:ext uri="{28A0092B-C50C-407E-A947-70E740481C1C}">
                          <a14:useLocalDpi xmlns:a14="http://schemas.microsoft.com/office/drawing/2010/main"/>
                        </a:ext>
                      </a:extLst>
                    </a:blip>
                    <a:stretch>
                      <a:fillRect/>
                    </a:stretch>
                  </pic:blipFill>
                  <pic:spPr>
                    <a:xfrm>
                      <a:off x="0" y="0"/>
                      <a:ext cx="171450" cy="152400"/>
                    </a:xfrm>
                    <a:prstGeom prst="rect">
                      <a:avLst/>
                    </a:prstGeom>
                  </pic:spPr>
                </pic:pic>
              </a:graphicData>
            </a:graphic>
          </wp:inline>
        </w:drawing>
      </w:r>
      <w:r w:rsidRPr="000665B0">
        <w:t xml:space="preserve"> button to close the </w:t>
      </w:r>
      <w:r w:rsidRPr="000665B0">
        <w:rPr>
          <w:i/>
        </w:rPr>
        <w:t>TC2S Database Utility</w:t>
      </w:r>
      <w:r w:rsidRPr="000665B0">
        <w:t xml:space="preserve"> window.</w:t>
      </w:r>
    </w:p>
    <w:p w14:paraId="795B80E9" w14:textId="77777777" w:rsidR="00FE7186" w:rsidRPr="000665B0" w:rsidRDefault="00591DC1" w:rsidP="006D5A65">
      <w:pPr>
        <w:pStyle w:val="Heading1"/>
      </w:pPr>
      <w:r w:rsidRPr="000665B0">
        <w:t>After changes are made and the TMPC Database Utility is closed, the system may display instructions to restart IIS, similar to the window below.</w:t>
      </w:r>
      <w:r w:rsidR="00FE7186" w:rsidRPr="000665B0">
        <w:t xml:space="preserve"> </w:t>
      </w:r>
    </w:p>
    <w:p w14:paraId="466D5258" w14:textId="74965696" w:rsidR="00FE7186" w:rsidRPr="000665B0" w:rsidRDefault="0085523C" w:rsidP="009570CA">
      <w:pPr>
        <w:jc w:val="center"/>
      </w:pPr>
      <w:r w:rsidRPr="000665B0">
        <w:rPr>
          <w:noProof/>
        </w:rPr>
        <w:drawing>
          <wp:inline distT="0" distB="0" distL="0" distR="0" wp14:anchorId="403E52E7" wp14:editId="7534E321">
            <wp:extent cx="2960021" cy="1123950"/>
            <wp:effectExtent l="0" t="0" r="0" b="0"/>
            <wp:docPr id="2162" name="Picture 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987863" cy="1134522"/>
                    </a:xfrm>
                    <a:prstGeom prst="rect">
                      <a:avLst/>
                    </a:prstGeom>
                  </pic:spPr>
                </pic:pic>
              </a:graphicData>
            </a:graphic>
          </wp:inline>
        </w:drawing>
      </w:r>
    </w:p>
    <w:p w14:paraId="6AFCE2CB" w14:textId="77777777" w:rsidR="008716A4" w:rsidRPr="000665B0" w:rsidRDefault="000321A4" w:rsidP="009570CA">
      <w:pPr>
        <w:keepNext/>
        <w:ind w:left="720"/>
      </w:pPr>
      <w:r w:rsidRPr="000665B0">
        <w:rPr>
          <w:b/>
          <w:i/>
        </w:rPr>
        <w:lastRenderedPageBreak/>
        <w:t>The instructions to restart IIS are incorrect.</w:t>
      </w:r>
      <w:r w:rsidRPr="000665B0">
        <w:t xml:space="preserve"> </w:t>
      </w:r>
    </w:p>
    <w:p w14:paraId="02956403" w14:textId="03D9512F" w:rsidR="000321A4" w:rsidRPr="000665B0" w:rsidRDefault="000321A4" w:rsidP="009570CA">
      <w:pPr>
        <w:ind w:left="720"/>
      </w:pPr>
      <w:r w:rsidRPr="000665B0">
        <w:t xml:space="preserve">Instead, the Ted Application Pool and the </w:t>
      </w:r>
      <w:r w:rsidR="00E94A56" w:rsidRPr="000665B0">
        <w:t xml:space="preserve">TM </w:t>
      </w:r>
      <w:r w:rsidRPr="000665B0">
        <w:t>Application Pool must be recycled for the changes to take effect</w:t>
      </w:r>
      <w:r w:rsidRPr="000665B0">
        <w:rPr>
          <w:noProof/>
        </w:rPr>
        <w:t xml:space="preserve"> (</w:t>
      </w:r>
      <w:r w:rsidR="00934CC7" w:rsidRPr="000665B0">
        <w:rPr>
          <w:noProof/>
        </w:rPr>
        <w:t xml:space="preserve">see </w:t>
      </w:r>
      <w:hyperlink w:anchor="_File_Menu" w:history="1">
        <w:r w:rsidR="00934CC7" w:rsidRPr="00934CC7">
          <w:rPr>
            <w:rStyle w:val="Hyperlink"/>
            <w:noProof/>
          </w:rPr>
          <w:t>Section 4.5.2.1</w:t>
        </w:r>
      </w:hyperlink>
      <w:r w:rsidRPr="000665B0">
        <w:rPr>
          <w:noProof/>
        </w:rPr>
        <w:t>).</w:t>
      </w:r>
      <w:r w:rsidR="000112DC" w:rsidRPr="000665B0">
        <w:rPr>
          <w:noProof/>
        </w:rPr>
        <w:t xml:space="preserve"> If the window is not displayed, it is not necessary to recycle the Application Pools.</w:t>
      </w:r>
    </w:p>
    <w:p w14:paraId="382A67AF" w14:textId="25CCADC1" w:rsidR="001077CA" w:rsidRPr="000665B0" w:rsidRDefault="001077CA" w:rsidP="009570CA">
      <w:pPr>
        <w:pStyle w:val="Heading5"/>
      </w:pPr>
      <w:bookmarkStart w:id="596" w:name="_4.5.2.1.8__Archive"/>
      <w:bookmarkEnd w:id="596"/>
      <w:r w:rsidRPr="000665B0">
        <w:t>Archive</w:t>
      </w:r>
      <w:bookmarkEnd w:id="589"/>
      <w:r w:rsidR="00E20AEC" w:rsidRPr="000665B0">
        <w:t xml:space="preserve"> </w:t>
      </w:r>
    </w:p>
    <w:p w14:paraId="4DD87EF1" w14:textId="77777777" w:rsidR="001077CA" w:rsidRPr="000665B0" w:rsidRDefault="001077CA" w:rsidP="009570CA">
      <w:r w:rsidRPr="000665B0">
        <w:rPr>
          <w:b/>
        </w:rPr>
        <w:t>Archive</w:t>
      </w:r>
      <w:r w:rsidRPr="000665B0">
        <w:t xml:space="preserve"> database provides the capability to archive one or more locally managed databases</w:t>
      </w:r>
      <w:r w:rsidR="00AE0B4E" w:rsidRPr="000665B0">
        <w:t>. Each archived database generates an individual file, with the database name appended to the end of the</w:t>
      </w:r>
      <w:r w:rsidR="00AE0B4E" w:rsidRPr="000665B0" w:rsidDel="00AE0B4E">
        <w:t xml:space="preserve"> </w:t>
      </w:r>
      <w:r w:rsidRPr="000665B0">
        <w:t xml:space="preserve">filename. </w:t>
      </w:r>
    </w:p>
    <w:p w14:paraId="3D485F3F" w14:textId="77777777" w:rsidR="004D19DD" w:rsidRDefault="003446D4" w:rsidP="004D19DD">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7CF963F0" w14:textId="77777777" w:rsidR="004D19DD" w:rsidRDefault="000C7B3E" w:rsidP="004D19DD">
      <w:pPr>
        <w:pBdr>
          <w:top w:val="single" w:sz="12" w:space="1" w:color="auto"/>
          <w:left w:val="single" w:sz="12" w:space="4" w:color="auto"/>
          <w:bottom w:val="single" w:sz="12" w:space="1" w:color="auto"/>
          <w:right w:val="single" w:sz="12" w:space="4" w:color="auto"/>
        </w:pBdr>
        <w:shd w:val="clear" w:color="auto" w:fill="D9D9D9"/>
        <w:spacing w:after="0"/>
        <w:jc w:val="center"/>
        <w:rPr>
          <w:b/>
          <w:noProof/>
        </w:rPr>
      </w:pPr>
      <w:r>
        <w:rPr>
          <w:b/>
          <w:noProof/>
        </w:rPr>
        <w:t>Add folder permissions for the SQL Server User rather than the user that is running</w:t>
      </w:r>
    </w:p>
    <w:p w14:paraId="5FF067E1" w14:textId="58FE29B7" w:rsidR="00C0594D" w:rsidRDefault="000C7B3E" w:rsidP="006966D9">
      <w:pPr>
        <w:pBdr>
          <w:top w:val="single" w:sz="12" w:space="1" w:color="auto"/>
          <w:left w:val="single" w:sz="12" w:space="4" w:color="auto"/>
          <w:bottom w:val="single" w:sz="12" w:space="1" w:color="auto"/>
          <w:right w:val="single" w:sz="12" w:space="4" w:color="auto"/>
        </w:pBdr>
        <w:shd w:val="clear" w:color="auto" w:fill="D9D9D9"/>
        <w:jc w:val="center"/>
        <w:rPr>
          <w:b/>
        </w:rPr>
      </w:pPr>
      <w:r>
        <w:rPr>
          <w:b/>
          <w:noProof/>
        </w:rPr>
        <w:t>the DB Util.</w:t>
      </w:r>
    </w:p>
    <w:p w14:paraId="5E1A3B11" w14:textId="15726098" w:rsidR="001077CA" w:rsidRPr="000665B0" w:rsidRDefault="001077CA" w:rsidP="00C0594D">
      <w:pPr>
        <w:keepNext/>
        <w:jc w:val="center"/>
        <w:rPr>
          <w:b/>
        </w:rPr>
      </w:pPr>
      <w:r w:rsidRPr="000665B0">
        <w:rPr>
          <w:b/>
        </w:rPr>
        <w:t>One DB selected:</w:t>
      </w:r>
    </w:p>
    <w:p w14:paraId="11B7F964" w14:textId="1E951974" w:rsidR="00C0594D" w:rsidRDefault="007C70F0" w:rsidP="00C0594D">
      <w:pPr>
        <w:jc w:val="center"/>
        <w:rPr>
          <w:b/>
        </w:rPr>
      </w:pPr>
      <w:r w:rsidRPr="000665B0">
        <w:rPr>
          <w:noProof/>
        </w:rPr>
        <w:drawing>
          <wp:inline distT="0" distB="0" distL="0" distR="0" wp14:anchorId="2B857578" wp14:editId="1EA9C532">
            <wp:extent cx="4114800" cy="1435608"/>
            <wp:effectExtent l="0" t="0" r="0" b="0"/>
            <wp:docPr id="1321" name="Picture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1435608"/>
                    </a:xfrm>
                    <a:prstGeom prst="rect">
                      <a:avLst/>
                    </a:prstGeom>
                  </pic:spPr>
                </pic:pic>
              </a:graphicData>
            </a:graphic>
          </wp:inline>
        </w:drawing>
      </w:r>
    </w:p>
    <w:p w14:paraId="01F5DDD5" w14:textId="24CE1994" w:rsidR="001077CA" w:rsidRPr="000665B0" w:rsidRDefault="001077CA" w:rsidP="00C0594D">
      <w:pPr>
        <w:keepNext/>
        <w:jc w:val="center"/>
        <w:rPr>
          <w:b/>
        </w:rPr>
      </w:pPr>
      <w:r w:rsidRPr="000665B0">
        <w:rPr>
          <w:b/>
        </w:rPr>
        <w:t>Multiple DBs selected:</w:t>
      </w:r>
    </w:p>
    <w:p w14:paraId="5A6B6E79" w14:textId="6679FAC9" w:rsidR="00C0594D" w:rsidRPr="000665B0" w:rsidRDefault="007C70F0" w:rsidP="00C0594D">
      <w:pPr>
        <w:spacing w:after="240"/>
        <w:jc w:val="center"/>
        <w:rPr>
          <w:b/>
        </w:rPr>
      </w:pPr>
      <w:r w:rsidRPr="000665B0">
        <w:rPr>
          <w:noProof/>
        </w:rPr>
        <w:drawing>
          <wp:inline distT="0" distB="0" distL="0" distR="0" wp14:anchorId="487DA2CF" wp14:editId="0DF9FC4C">
            <wp:extent cx="4114800" cy="1408176"/>
            <wp:effectExtent l="0" t="0" r="0" b="0"/>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1408176"/>
                    </a:xfrm>
                    <a:prstGeom prst="rect">
                      <a:avLst/>
                    </a:prstGeom>
                  </pic:spPr>
                </pic:pic>
              </a:graphicData>
            </a:graphic>
          </wp:inline>
        </w:drawing>
      </w:r>
    </w:p>
    <w:p w14:paraId="0858AD46" w14:textId="77777777" w:rsidR="001077CA" w:rsidRPr="000665B0" w:rsidRDefault="001077CA" w:rsidP="009570CA">
      <w:pPr>
        <w:keepNext/>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4CFC1811" w14:textId="77777777" w:rsidR="001077CA" w:rsidRPr="000665B0" w:rsidRDefault="001077CA"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240"/>
        <w:jc w:val="center"/>
        <w:rPr>
          <w:b/>
        </w:rPr>
      </w:pPr>
      <w:r w:rsidRPr="000665B0">
        <w:rPr>
          <w:b/>
        </w:rPr>
        <w:t xml:space="preserve">Until the Archive is run by clicking on the OK button, the only list view column populated </w:t>
      </w:r>
      <w:r w:rsidR="00250B8F" w:rsidRPr="000665B0">
        <w:rPr>
          <w:b/>
        </w:rPr>
        <w:t>is</w:t>
      </w:r>
      <w:r w:rsidRPr="000665B0">
        <w:rPr>
          <w:b/>
        </w:rPr>
        <w:t xml:space="preserve"> the Database Name.</w:t>
      </w:r>
    </w:p>
    <w:p w14:paraId="7E342282" w14:textId="6DD56328" w:rsidR="00743015" w:rsidRPr="000665B0" w:rsidRDefault="007C70F0" w:rsidP="009570CA">
      <w:pPr>
        <w:jc w:val="center"/>
      </w:pPr>
      <w:r w:rsidRPr="000665B0">
        <w:rPr>
          <w:noProof/>
        </w:rPr>
        <w:lastRenderedPageBreak/>
        <w:drawing>
          <wp:inline distT="0" distB="0" distL="0" distR="0" wp14:anchorId="2773EAB1" wp14:editId="3CE3DDFC">
            <wp:extent cx="4114800" cy="1645920"/>
            <wp:effectExtent l="0" t="0" r="0" b="0"/>
            <wp:docPr id="1309"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1645920"/>
                    </a:xfrm>
                    <a:prstGeom prst="rect">
                      <a:avLst/>
                    </a:prstGeom>
                  </pic:spPr>
                </pic:pic>
              </a:graphicData>
            </a:graphic>
          </wp:inline>
        </w:drawing>
      </w:r>
    </w:p>
    <w:p w14:paraId="311CC95E" w14:textId="77777777" w:rsidR="001077CA" w:rsidRPr="000665B0" w:rsidRDefault="001077CA" w:rsidP="009570CA">
      <w:pPr>
        <w:keepNext/>
      </w:pPr>
      <w:r w:rsidRPr="000665B0">
        <w:t>The List View contains the following information:</w:t>
      </w:r>
    </w:p>
    <w:p w14:paraId="3865E39B" w14:textId="77777777" w:rsidR="001077CA" w:rsidRPr="000665B0" w:rsidRDefault="001077CA" w:rsidP="006D5A65">
      <w:pPr>
        <w:pStyle w:val="Heading1"/>
      </w:pPr>
      <w:r w:rsidRPr="000665B0">
        <w:t xml:space="preserve">Database Name – The name of the database. </w:t>
      </w:r>
    </w:p>
    <w:p w14:paraId="37D97D96" w14:textId="77777777" w:rsidR="001077CA" w:rsidRPr="000665B0" w:rsidRDefault="001077CA" w:rsidP="006D5A65">
      <w:pPr>
        <w:pStyle w:val="Heading1"/>
      </w:pPr>
      <w:r w:rsidRPr="000665B0">
        <w:t>Database Type – The type of database (usually the same as the database name).</w:t>
      </w:r>
    </w:p>
    <w:p w14:paraId="2DB3B9E3" w14:textId="77777777" w:rsidR="001077CA" w:rsidRPr="000665B0" w:rsidRDefault="001077CA" w:rsidP="006D5A65">
      <w:pPr>
        <w:pStyle w:val="Heading1"/>
      </w:pPr>
      <w:r w:rsidRPr="000665B0">
        <w:t xml:space="preserve">Version – The version of the </w:t>
      </w:r>
      <w:r w:rsidR="00757321" w:rsidRPr="000665B0">
        <w:t>TMPC</w:t>
      </w:r>
      <w:r w:rsidRPr="000665B0">
        <w:t xml:space="preserve"> release.</w:t>
      </w:r>
    </w:p>
    <w:p w14:paraId="62EEFD7F" w14:textId="77777777" w:rsidR="001077CA" w:rsidRPr="000665B0" w:rsidRDefault="001077CA" w:rsidP="006D5A65">
      <w:pPr>
        <w:pStyle w:val="Heading1"/>
      </w:pPr>
      <w:r w:rsidRPr="000665B0">
        <w:t>Archive Status – If the archive was successful, the status is created with the filename. If it fails, the status is Backup Failed with a detailed reason.</w:t>
      </w:r>
    </w:p>
    <w:p w14:paraId="057FEEA5" w14:textId="77777777" w:rsidR="001077CA" w:rsidRPr="000665B0" w:rsidRDefault="001077CA" w:rsidP="009570CA">
      <w:r w:rsidRPr="000665B0">
        <w:t xml:space="preserve">It is important to perform an archive before installation and prior to loading of large amounts of data. Archives may also be generated to provide an initial load out for another MDS node. </w:t>
      </w:r>
    </w:p>
    <w:p w14:paraId="17F2ECF0" w14:textId="77777777" w:rsidR="001077CA" w:rsidRPr="000665B0" w:rsidRDefault="001077CA" w:rsidP="009570CA">
      <w:pPr>
        <w:spacing w:after="0"/>
      </w:pPr>
      <w:r w:rsidRPr="000665B0">
        <w:t xml:space="preserve">Each </w:t>
      </w:r>
      <w:r w:rsidR="00F77360" w:rsidRPr="000665B0">
        <w:t xml:space="preserve">TMPC </w:t>
      </w:r>
      <w:r w:rsidRPr="000665B0">
        <w:t>site should develop an archive strategy, which describes when archives should occur and who should perform them. Weekly MDS archives are recommended.</w:t>
      </w:r>
    </w:p>
    <w:p w14:paraId="5D78611E" w14:textId="17AB7481" w:rsidR="001077CA" w:rsidRPr="000665B0" w:rsidRDefault="001077CA" w:rsidP="009570CA">
      <w:pPr>
        <w:pStyle w:val="Heading5"/>
      </w:pPr>
      <w:bookmarkStart w:id="597" w:name="_4.5.2.1.7__Restore"/>
      <w:bookmarkStart w:id="598" w:name="_4.5.2.1.9__Restore"/>
      <w:bookmarkStart w:id="599" w:name="_Restore"/>
      <w:bookmarkStart w:id="600" w:name="_Toc201388330"/>
      <w:bookmarkEnd w:id="597"/>
      <w:bookmarkEnd w:id="598"/>
      <w:bookmarkEnd w:id="599"/>
      <w:r w:rsidRPr="000665B0">
        <w:t>Restore</w:t>
      </w:r>
      <w:bookmarkEnd w:id="600"/>
    </w:p>
    <w:p w14:paraId="6E32A2FF" w14:textId="4488168D" w:rsidR="001077CA" w:rsidRPr="000665B0" w:rsidRDefault="001077CA" w:rsidP="009570CA">
      <w:r w:rsidRPr="000665B0">
        <w:rPr>
          <w:b/>
        </w:rPr>
        <w:t>Restore</w:t>
      </w:r>
      <w:r w:rsidRPr="000665B0">
        <w:t xml:space="preserve"> database provides the capability to restore a managed database archive. A database archive is recognized as “managed” if it was created by the </w:t>
      </w:r>
      <w:r w:rsidR="00757321" w:rsidRPr="000665B0">
        <w:t>TMPC</w:t>
      </w:r>
      <w:r w:rsidRPr="000665B0">
        <w:t xml:space="preserve"> Database Utility application</w:t>
      </w:r>
      <w:r w:rsidR="002E7FDC" w:rsidRPr="000665B0">
        <w:t xml:space="preserve"> (see </w:t>
      </w:r>
      <w:hyperlink w:anchor="_TED_Databases_1" w:history="1">
        <w:r w:rsidR="002E7FDC" w:rsidRPr="000665B0">
          <w:rPr>
            <w:rStyle w:val="Hyperlink"/>
          </w:rPr>
          <w:t>Section 4.5.1</w:t>
        </w:r>
      </w:hyperlink>
      <w:r w:rsidR="002E7FDC" w:rsidRPr="000665B0">
        <w:t>)</w:t>
      </w:r>
      <w:r w:rsidRPr="000665B0">
        <w:t xml:space="preserve">. The archive file </w:t>
      </w:r>
      <w:r w:rsidR="00250B8F" w:rsidRPr="000665B0">
        <w:t>is</w:t>
      </w:r>
      <w:r w:rsidRPr="000665B0">
        <w:t xml:space="preserve"> restored to its predefined database name, except in the case of an MDS database, in which the operator can choose a different database name.</w:t>
      </w:r>
    </w:p>
    <w:p w14:paraId="27A40E71" w14:textId="31EBF60E" w:rsidR="001077CA" w:rsidRPr="000665B0" w:rsidRDefault="001077CA" w:rsidP="009570CA">
      <w:r w:rsidRPr="000665B0">
        <w:t xml:space="preserve">If there is a pre-existing database with the same name, then the archive file </w:t>
      </w:r>
      <w:r w:rsidR="00250B8F" w:rsidRPr="000665B0">
        <w:t>is</w:t>
      </w:r>
      <w:r w:rsidRPr="000665B0">
        <w:t xml:space="preserve"> restored </w:t>
      </w:r>
      <w:r w:rsidRPr="000665B0">
        <w:rPr>
          <w:i/>
        </w:rPr>
        <w:t>if and only if</w:t>
      </w:r>
      <w:r w:rsidRPr="000665B0">
        <w:t xml:space="preserve"> the pre-existing database type and version match the archive file type and version. The </w:t>
      </w:r>
      <w:r w:rsidR="00334492" w:rsidRPr="000665B0">
        <w:t xml:space="preserve">user </w:t>
      </w:r>
      <w:r w:rsidR="00250B8F" w:rsidRPr="000665B0">
        <w:t>is</w:t>
      </w:r>
      <w:r w:rsidRPr="000665B0">
        <w:t xml:space="preserve"> warned that there is a pre-existing database and prompted to continue.</w:t>
      </w:r>
      <w:r w:rsidR="00D20915" w:rsidRPr="000665B0">
        <w:t xml:space="preserve"> After restoring a database, check the database to determine whether it needs to be upgraded (see </w:t>
      </w:r>
      <w:hyperlink w:anchor="_4_.5.2.1.10_" w:history="1">
        <w:r w:rsidR="00B14F4A" w:rsidRPr="000665B0">
          <w:rPr>
            <w:rStyle w:val="Hyperlink"/>
          </w:rPr>
          <w:t>Section 4.5.2.1.9</w:t>
        </w:r>
      </w:hyperlink>
      <w:r w:rsidR="00D20915" w:rsidRPr="000665B0">
        <w:t>)</w:t>
      </w:r>
      <w:r w:rsidR="002E7FDC" w:rsidRPr="000665B0">
        <w:t xml:space="preserve"> as</w:t>
      </w:r>
      <w:r w:rsidR="00D20915" w:rsidRPr="000665B0">
        <w:t xml:space="preserve"> </w:t>
      </w:r>
      <w:r w:rsidR="002E7FDC" w:rsidRPr="000665B0">
        <w:t>TED will only work with the matching database version</w:t>
      </w:r>
      <w:r w:rsidR="00D20915" w:rsidRPr="000665B0">
        <w:t>.</w:t>
      </w:r>
    </w:p>
    <w:p w14:paraId="5BCADDFD" w14:textId="77777777" w:rsidR="006C08FC" w:rsidRPr="000665B0" w:rsidRDefault="006C08FC"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437AEB34" w14:textId="181069E9" w:rsidR="006C08FC" w:rsidRPr="00C0594D" w:rsidRDefault="006C08FC" w:rsidP="00C0594D">
      <w:pPr>
        <w:pBdr>
          <w:top w:val="single" w:sz="12" w:space="1" w:color="auto"/>
          <w:left w:val="single" w:sz="12" w:space="4" w:color="auto"/>
          <w:bottom w:val="single" w:sz="12" w:space="1" w:color="auto"/>
          <w:right w:val="single" w:sz="12" w:space="4" w:color="auto"/>
        </w:pBdr>
        <w:shd w:val="clear" w:color="auto" w:fill="D9D9D9"/>
        <w:spacing w:after="0"/>
        <w:jc w:val="center"/>
        <w:rPr>
          <w:b/>
          <w:noProof/>
        </w:rPr>
      </w:pPr>
      <w:r w:rsidRPr="000665B0">
        <w:rPr>
          <w:b/>
          <w:noProof/>
        </w:rPr>
        <w:t xml:space="preserve">Of the databases that comprise </w:t>
      </w:r>
      <w:r w:rsidR="00757321" w:rsidRPr="000665B0">
        <w:rPr>
          <w:b/>
          <w:noProof/>
        </w:rPr>
        <w:t xml:space="preserve">TMPC </w:t>
      </w:r>
      <w:r w:rsidRPr="000665B0">
        <w:rPr>
          <w:b/>
          <w:noProof/>
        </w:rPr>
        <w:t xml:space="preserve">(see </w:t>
      </w:r>
      <w:hyperlink w:anchor="_TED_Databases_1" w:history="1">
        <w:r w:rsidRPr="001D5D3D">
          <w:rPr>
            <w:rStyle w:val="Hyperlink"/>
            <w:b/>
            <w:bCs/>
            <w:noProof/>
          </w:rPr>
          <w:t>Section 4.5.1</w:t>
        </w:r>
      </w:hyperlink>
      <w:r w:rsidRPr="001D5D3D">
        <w:rPr>
          <w:b/>
          <w:bCs/>
          <w:noProof/>
        </w:rPr>
        <w:t>),</w:t>
      </w:r>
      <w:r w:rsidRPr="000665B0">
        <w:rPr>
          <w:b/>
          <w:noProof/>
        </w:rPr>
        <w:t xml:space="preserve"> the operator may restore these databases by name.</w:t>
      </w:r>
    </w:p>
    <w:p w14:paraId="5D9DF39E" w14:textId="77777777" w:rsidR="001077CA" w:rsidRPr="000665B0" w:rsidRDefault="001077CA" w:rsidP="00DC37ED">
      <w:pPr>
        <w:keepNext/>
        <w:spacing w:before="120"/>
        <w:jc w:val="center"/>
        <w:rPr>
          <w:b/>
        </w:rPr>
      </w:pPr>
      <w:r w:rsidRPr="000665B0">
        <w:rPr>
          <w:b/>
        </w:rPr>
        <w:lastRenderedPageBreak/>
        <w:t>TED DB:</w:t>
      </w:r>
    </w:p>
    <w:p w14:paraId="0F97EA6A" w14:textId="2E49F92F" w:rsidR="001077CA" w:rsidRPr="000665B0" w:rsidRDefault="004F5A8D" w:rsidP="009570CA">
      <w:pPr>
        <w:spacing w:after="240"/>
        <w:jc w:val="center"/>
      </w:pPr>
      <w:r w:rsidRPr="000665B0">
        <w:rPr>
          <w:noProof/>
        </w:rPr>
        <w:drawing>
          <wp:inline distT="0" distB="0" distL="0" distR="0" wp14:anchorId="0201D951" wp14:editId="14FBDF30">
            <wp:extent cx="3154680" cy="2221992"/>
            <wp:effectExtent l="0" t="0" r="0" b="0"/>
            <wp:docPr id="1322" name="Picture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2221992"/>
                    </a:xfrm>
                    <a:prstGeom prst="rect">
                      <a:avLst/>
                    </a:prstGeom>
                  </pic:spPr>
                </pic:pic>
              </a:graphicData>
            </a:graphic>
          </wp:inline>
        </w:drawing>
      </w:r>
    </w:p>
    <w:p w14:paraId="1F738A85" w14:textId="1A649A2B" w:rsidR="00EC031A" w:rsidRPr="000665B0" w:rsidRDefault="005345E2" w:rsidP="00306174">
      <w:pPr>
        <w:pStyle w:val="Heading6"/>
      </w:pPr>
      <w:r w:rsidRPr="000665B0">
        <w:t>TMPC</w:t>
      </w:r>
      <w:r w:rsidR="00EC031A" w:rsidRPr="000665B0">
        <w:t xml:space="preserve"> Switch Over Procedure</w:t>
      </w:r>
    </w:p>
    <w:p w14:paraId="2E95C810" w14:textId="276BB579" w:rsidR="00EC031A" w:rsidRPr="000665B0" w:rsidRDefault="00EC031A" w:rsidP="009570CA">
      <w:r w:rsidRPr="000665B0">
        <w:t xml:space="preserve">This section describes the switch over procedure for failures associated with the TMPC primary database. Switch over occurs when there is a catastrophic occurrence on the </w:t>
      </w:r>
      <w:r w:rsidR="00EC1F33" w:rsidRPr="000665B0">
        <w:t>primary</w:t>
      </w:r>
      <w:r w:rsidRPr="000665B0">
        <w:t xml:space="preserve"> </w:t>
      </w:r>
      <w:r w:rsidR="005345E2" w:rsidRPr="000665B0">
        <w:t>TMPC</w:t>
      </w:r>
      <w:r w:rsidRPr="000665B0">
        <w:t>.</w:t>
      </w:r>
    </w:p>
    <w:p w14:paraId="4328ED0C" w14:textId="435C10A0" w:rsidR="00EC031A" w:rsidRPr="000665B0" w:rsidRDefault="00EC031A" w:rsidP="009570CA">
      <w:r w:rsidRPr="000665B0">
        <w:t>The procedure applies to the standard US FRU configuration only</w:t>
      </w:r>
      <w:r w:rsidR="00EC1F33" w:rsidRPr="000665B0">
        <w:t>,</w:t>
      </w:r>
      <w:r w:rsidRPr="000665B0">
        <w:t xml:space="preserve"> </w:t>
      </w:r>
      <w:r w:rsidR="00EC1F33" w:rsidRPr="000665B0">
        <w:t xml:space="preserve">where both FRU-A and </w:t>
      </w:r>
      <w:r w:rsidR="00EC1F33" w:rsidRPr="000665B0">
        <w:br/>
        <w:t>FRU-B are powered up and MDS-B is pointed to TED-A.</w:t>
      </w:r>
    </w:p>
    <w:p w14:paraId="141ABA08" w14:textId="5F442FB0" w:rsidR="00EC031A" w:rsidRPr="000665B0" w:rsidRDefault="00EC031A" w:rsidP="006D5A65">
      <w:pPr>
        <w:pStyle w:val="Heading1"/>
        <w:rPr>
          <w:sz w:val="22"/>
        </w:rPr>
      </w:pPr>
      <w:r w:rsidRPr="000665B0">
        <w:t xml:space="preserve">Power OFF </w:t>
      </w:r>
      <w:r w:rsidR="00EC1F33" w:rsidRPr="000665B0">
        <w:t>FRU</w:t>
      </w:r>
      <w:r w:rsidR="002E7FDC" w:rsidRPr="000665B0">
        <w:t>-A</w:t>
      </w:r>
      <w:r w:rsidRPr="000665B0">
        <w:t>.</w:t>
      </w:r>
    </w:p>
    <w:p w14:paraId="4B0FC876" w14:textId="68ABF1BD" w:rsidR="00EC031A" w:rsidRPr="000665B0" w:rsidRDefault="00EC031A" w:rsidP="006D5A65">
      <w:pPr>
        <w:pStyle w:val="Heading1"/>
      </w:pPr>
      <w:r w:rsidRPr="000665B0">
        <w:t xml:space="preserve">Restore the latest database archive from the failed machine onto </w:t>
      </w:r>
      <w:r w:rsidR="00EC1F33" w:rsidRPr="000665B0">
        <w:t>TED-B</w:t>
      </w:r>
      <w:r w:rsidRPr="000665B0">
        <w:t xml:space="preserve"> </w:t>
      </w:r>
      <w:r w:rsidR="009E4B58" w:rsidRPr="000665B0">
        <w:t xml:space="preserve">(see </w:t>
      </w:r>
      <w:hyperlink w:anchor="_Restore" w:history="1">
        <w:r w:rsidRPr="000665B0">
          <w:rPr>
            <w:rStyle w:val="Hyperlink"/>
          </w:rPr>
          <w:t>Section 4.5.2.1.8</w:t>
        </w:r>
      </w:hyperlink>
      <w:r w:rsidR="009E4B58" w:rsidRPr="000665B0">
        <w:rPr>
          <w:rStyle w:val="Hyperlink"/>
        </w:rPr>
        <w:t>)</w:t>
      </w:r>
      <w:r w:rsidRPr="000665B0">
        <w:t>.</w:t>
      </w:r>
    </w:p>
    <w:p w14:paraId="68A2F0DD" w14:textId="677219C5" w:rsidR="00EC1F33" w:rsidRPr="000665B0" w:rsidRDefault="00EC1F33" w:rsidP="006D5A65">
      <w:pPr>
        <w:pStyle w:val="Heading1"/>
      </w:pPr>
      <w:r w:rsidRPr="000665B0">
        <w:t>Point MDS-B to TED-B.</w:t>
      </w:r>
    </w:p>
    <w:p w14:paraId="3A1C6320" w14:textId="063751ED" w:rsidR="001077CA" w:rsidRPr="000665B0" w:rsidRDefault="001077CA" w:rsidP="009570CA">
      <w:pPr>
        <w:pStyle w:val="Heading5"/>
      </w:pPr>
      <w:bookmarkStart w:id="601" w:name="_4_.5.2.1.10_"/>
      <w:bookmarkStart w:id="602" w:name="_Toc201388331"/>
      <w:bookmarkEnd w:id="601"/>
      <w:r w:rsidRPr="000665B0">
        <w:t>Upgrade</w:t>
      </w:r>
      <w:bookmarkEnd w:id="602"/>
    </w:p>
    <w:p w14:paraId="7B54BF04" w14:textId="01676D59" w:rsidR="000751D4" w:rsidRPr="000665B0" w:rsidRDefault="00641557" w:rsidP="009570CA">
      <w:r w:rsidRPr="000665B0">
        <w:t xml:space="preserve">This feature </w:t>
      </w:r>
      <w:r w:rsidR="001077CA" w:rsidRPr="000665B0">
        <w:t>provides the capability to upgrade a pre-existing database to the current version</w:t>
      </w:r>
      <w:r w:rsidR="000751D4" w:rsidRPr="000665B0">
        <w:t xml:space="preserve"> and can be used to facilitate data migration </w:t>
      </w:r>
      <w:r w:rsidR="00F77360" w:rsidRPr="000665B0">
        <w:t xml:space="preserve">from TMPC </w:t>
      </w:r>
      <w:r w:rsidR="00194841">
        <w:t>7</w:t>
      </w:r>
      <w:r w:rsidR="00E966FD" w:rsidRPr="000665B0">
        <w:t>.x</w:t>
      </w:r>
      <w:r w:rsidR="00B33908" w:rsidRPr="000665B0">
        <w:t xml:space="preserve"> </w:t>
      </w:r>
      <w:r w:rsidR="000751D4" w:rsidRPr="000665B0">
        <w:t xml:space="preserve">to </w:t>
      </w:r>
      <w:r w:rsidR="00F77360" w:rsidRPr="000665B0">
        <w:t xml:space="preserve">TMPC </w:t>
      </w:r>
      <w:r w:rsidR="00194841">
        <w:t>8</w:t>
      </w:r>
      <w:r w:rsidR="000751D4" w:rsidRPr="000665B0">
        <w:t>.0.</w:t>
      </w:r>
      <w:r w:rsidR="0053446F">
        <w:t>x</w:t>
      </w:r>
      <w:r w:rsidR="000751D4" w:rsidRPr="000665B0">
        <w:t xml:space="preserve">. The Upgrade </w:t>
      </w:r>
      <w:r w:rsidR="00F37D73" w:rsidRPr="000665B0">
        <w:t>procedure</w:t>
      </w:r>
      <w:r w:rsidR="000751D4" w:rsidRPr="000665B0">
        <w:t xml:space="preserve"> can be performed only when existing databases were retained during the </w:t>
      </w:r>
      <w:r w:rsidR="00757321" w:rsidRPr="000665B0">
        <w:t>TMPC</w:t>
      </w:r>
      <w:r w:rsidR="000751D4" w:rsidRPr="000665B0">
        <w:t xml:space="preserve"> Database Utility installation. </w:t>
      </w:r>
    </w:p>
    <w:p w14:paraId="7D30EDD1" w14:textId="4EC5BFD2" w:rsidR="00244D5B" w:rsidRPr="000665B0" w:rsidRDefault="00244D5B" w:rsidP="001D5D3D">
      <w:r w:rsidRPr="000665B0">
        <w:t>To upgrade a pre-existing database:</w:t>
      </w:r>
    </w:p>
    <w:p w14:paraId="59206462" w14:textId="77777777" w:rsidR="00244D5B" w:rsidRPr="000665B0" w:rsidRDefault="00356206" w:rsidP="006D5A65">
      <w:pPr>
        <w:pStyle w:val="Heading1"/>
      </w:pPr>
      <w:r w:rsidRPr="000665B0">
        <w:t xml:space="preserve">Right-click the </w:t>
      </w:r>
      <w:r w:rsidRPr="000665B0">
        <w:rPr>
          <w:noProof/>
        </w:rPr>
        <w:drawing>
          <wp:inline distT="0" distB="0" distL="0" distR="0" wp14:anchorId="1A970947" wp14:editId="387BA5E2">
            <wp:extent cx="182880" cy="178068"/>
            <wp:effectExtent l="0" t="0" r="762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0665B0">
        <w:t xml:space="preserve"> icon and select Search from the pop-up menu. Type TC2S Database Utility in the Search field, and then right-click TC2S Database Utility in the results list and select </w:t>
      </w:r>
      <w:r w:rsidRPr="000665B0">
        <w:lastRenderedPageBreak/>
        <w:t>Run as administrator from the pop-up menu.</w:t>
      </w:r>
      <w:r w:rsidR="00244D5B" w:rsidRPr="000665B0">
        <w:t xml:space="preserve"> The </w:t>
      </w:r>
      <w:r w:rsidR="00244D5B" w:rsidRPr="000665B0">
        <w:rPr>
          <w:i/>
        </w:rPr>
        <w:t>TC2S Database Utility</w:t>
      </w:r>
      <w:r w:rsidR="00244D5B" w:rsidRPr="000665B0">
        <w:t xml:space="preserve"> window is displayed</w:t>
      </w:r>
      <w:r w:rsidR="002221D2" w:rsidRPr="000665B0">
        <w:t>.</w:t>
      </w:r>
      <w:r w:rsidR="00244D5B" w:rsidRPr="000665B0">
        <w:t xml:space="preserve"> </w:t>
      </w:r>
    </w:p>
    <w:p w14:paraId="4AB7EE60" w14:textId="4A89009F" w:rsidR="00244D5B" w:rsidRPr="000665B0" w:rsidRDefault="00244D5B" w:rsidP="006D5A65">
      <w:pPr>
        <w:pStyle w:val="Heading1"/>
      </w:pPr>
      <w:r w:rsidRPr="000665B0">
        <w:t xml:space="preserve">Select one of the databases that can be upgraded. From the </w:t>
      </w:r>
      <w:r w:rsidRPr="000665B0">
        <w:rPr>
          <w:bCs/>
        </w:rPr>
        <w:t>File</w:t>
      </w:r>
      <w:r w:rsidRPr="000665B0">
        <w:t xml:space="preserve"> menu select </w:t>
      </w:r>
      <w:r w:rsidRPr="000665B0">
        <w:rPr>
          <w:bCs/>
        </w:rPr>
        <w:t>Upgrade</w:t>
      </w:r>
      <w:r w:rsidR="00D54228" w:rsidRPr="000665B0">
        <w:rPr>
          <w:bCs/>
        </w:rPr>
        <w:t>…</w:t>
      </w:r>
      <w:r w:rsidR="00D54228" w:rsidRPr="000665B0">
        <w:t xml:space="preserve"> or</w:t>
      </w:r>
      <w:r w:rsidRPr="000665B0">
        <w:t xml:space="preserve"> invoke the context menu (</w:t>
      </w:r>
      <w:r w:rsidR="00D71804" w:rsidRPr="000665B0">
        <w:t>right-click</w:t>
      </w:r>
      <w:r w:rsidRPr="000665B0">
        <w:t xml:space="preserve"> the mouse) and select </w:t>
      </w:r>
      <w:r w:rsidRPr="000665B0">
        <w:rPr>
          <w:bCs/>
        </w:rPr>
        <w:t>Upgrade….</w:t>
      </w:r>
    </w:p>
    <w:p w14:paraId="0D40AC80" w14:textId="5313611E" w:rsidR="00566DD2" w:rsidRPr="000665B0" w:rsidRDefault="000B2A5C" w:rsidP="009570CA">
      <w:pPr>
        <w:jc w:val="center"/>
      </w:pPr>
      <w:r w:rsidRPr="000665B0">
        <w:rPr>
          <w:noProof/>
        </w:rPr>
        <w:drawing>
          <wp:inline distT="0" distB="0" distL="0" distR="0" wp14:anchorId="447B009A" wp14:editId="20FB0DEA">
            <wp:extent cx="3154680" cy="1426464"/>
            <wp:effectExtent l="0" t="0" r="0" b="0"/>
            <wp:docPr id="1326" name="Picture 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l="-392"/>
                    <a:stretch/>
                  </pic:blipFill>
                  <pic:spPr bwMode="auto">
                    <a:xfrm>
                      <a:off x="0" y="0"/>
                      <a:ext cx="3154680" cy="1426464"/>
                    </a:xfrm>
                    <a:prstGeom prst="rect">
                      <a:avLst/>
                    </a:prstGeom>
                    <a:ln>
                      <a:noFill/>
                    </a:ln>
                    <a:extLst>
                      <a:ext uri="{53640926-AAD7-44D8-BBD7-CCE9431645EC}">
                        <a14:shadowObscured xmlns:a14="http://schemas.microsoft.com/office/drawing/2010/main"/>
                      </a:ext>
                    </a:extLst>
                  </pic:spPr>
                </pic:pic>
              </a:graphicData>
            </a:graphic>
          </wp:inline>
        </w:drawing>
      </w:r>
    </w:p>
    <w:p w14:paraId="052652E4" w14:textId="3F7AA576" w:rsidR="0067792B" w:rsidRPr="000665B0" w:rsidRDefault="0067792B" w:rsidP="006D5A65">
      <w:pPr>
        <w:pStyle w:val="Heading1"/>
      </w:pPr>
      <w:r w:rsidRPr="000665B0">
        <w:t xml:space="preserve">The </w:t>
      </w:r>
      <w:r w:rsidRPr="000665B0">
        <w:rPr>
          <w:i/>
        </w:rPr>
        <w:t>Upgrade Database</w:t>
      </w:r>
      <w:r w:rsidRPr="000665B0">
        <w:t xml:space="preserve"> window is displayed that shows the current and proposed upgrade </w:t>
      </w:r>
      <w:r w:rsidR="00757321" w:rsidRPr="000665B0">
        <w:t>TMPC</w:t>
      </w:r>
      <w:r w:rsidRPr="000665B0">
        <w:t xml:space="preserve"> version. Ensure that the </w:t>
      </w:r>
      <w:r w:rsidR="008651A6" w:rsidRPr="000665B0">
        <w:t xml:space="preserve">current and proposed </w:t>
      </w:r>
      <w:r w:rsidRPr="000665B0">
        <w:t>versions are correct and click OK.</w:t>
      </w:r>
      <w:r w:rsidR="00DD25D4" w:rsidRPr="000665B0">
        <w:t xml:space="preserve"> </w:t>
      </w:r>
    </w:p>
    <w:p w14:paraId="7326B058" w14:textId="77777777" w:rsidR="0067792B" w:rsidRPr="000665B0" w:rsidRDefault="0067792B" w:rsidP="006D5A65">
      <w:pPr>
        <w:pStyle w:val="Heading1"/>
      </w:pPr>
      <w:r w:rsidRPr="000665B0">
        <w:t xml:space="preserve">When the upgrade is complete, the </w:t>
      </w:r>
      <w:r w:rsidRPr="000665B0">
        <w:rPr>
          <w:i/>
        </w:rPr>
        <w:t>Upgrade Database</w:t>
      </w:r>
      <w:r w:rsidRPr="000665B0">
        <w:t xml:space="preserve"> window is displayed</w:t>
      </w:r>
      <w:r w:rsidR="00DD25D4" w:rsidRPr="000665B0">
        <w:t xml:space="preserve"> to confirm completion of the upgrade</w:t>
      </w:r>
      <w:r w:rsidRPr="000665B0">
        <w:t>. Click OK.</w:t>
      </w:r>
    </w:p>
    <w:p w14:paraId="2E48037A" w14:textId="5E4E3FBF" w:rsidR="0067792B" w:rsidRPr="000665B0" w:rsidRDefault="000A22C7" w:rsidP="009570CA">
      <w:pPr>
        <w:jc w:val="center"/>
      </w:pPr>
      <w:r w:rsidRPr="000665B0">
        <w:rPr>
          <w:noProof/>
        </w:rPr>
        <w:drawing>
          <wp:inline distT="0" distB="0" distL="0" distR="0" wp14:anchorId="60EE024A" wp14:editId="4164676A">
            <wp:extent cx="3154680" cy="87782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877824"/>
                    </a:xfrm>
                    <a:prstGeom prst="rect">
                      <a:avLst/>
                    </a:prstGeom>
                  </pic:spPr>
                </pic:pic>
              </a:graphicData>
            </a:graphic>
          </wp:inline>
        </w:drawing>
      </w:r>
    </w:p>
    <w:p w14:paraId="1BBA1B31" w14:textId="5355EE29" w:rsidR="0067792B" w:rsidRPr="000665B0" w:rsidRDefault="0067792B" w:rsidP="006D5A65">
      <w:pPr>
        <w:pStyle w:val="Heading1"/>
      </w:pPr>
      <w:r w:rsidRPr="000665B0">
        <w:t xml:space="preserve">Verify that the upgrade </w:t>
      </w:r>
      <w:r w:rsidR="00F37D73" w:rsidRPr="000665B0">
        <w:t>was</w:t>
      </w:r>
      <w:r w:rsidRPr="000665B0">
        <w:t xml:space="preserve"> successful. In the </w:t>
      </w:r>
      <w:r w:rsidRPr="000665B0">
        <w:rPr>
          <w:i/>
        </w:rPr>
        <w:t>TC2S Database Utility</w:t>
      </w:r>
      <w:r w:rsidRPr="000665B0">
        <w:t xml:space="preserve"> window, </w:t>
      </w:r>
      <w:r w:rsidR="00702809" w:rsidRPr="000665B0">
        <w:t>select the database that was upgraded</w:t>
      </w:r>
      <w:r w:rsidR="00447080" w:rsidRPr="000665B0">
        <w:t>. I</w:t>
      </w:r>
      <w:r w:rsidRPr="000665B0">
        <w:t>nvoke the context menu</w:t>
      </w:r>
      <w:r w:rsidR="00447080" w:rsidRPr="000665B0">
        <w:t xml:space="preserve"> (</w:t>
      </w:r>
      <w:r w:rsidR="00D71804" w:rsidRPr="000665B0">
        <w:t>right-click</w:t>
      </w:r>
      <w:r w:rsidR="00447080" w:rsidRPr="000665B0">
        <w:t xml:space="preserve"> the mouse)</w:t>
      </w:r>
      <w:r w:rsidRPr="000665B0">
        <w:t xml:space="preserve"> and select Properties. The </w:t>
      </w:r>
      <w:r w:rsidRPr="000665B0">
        <w:rPr>
          <w:i/>
        </w:rPr>
        <w:t>Database Properties</w:t>
      </w:r>
      <w:r w:rsidRPr="000665B0">
        <w:t xml:space="preserve"> window is displayed </w:t>
      </w:r>
      <w:r w:rsidR="00702809" w:rsidRPr="000665B0">
        <w:t>with</w:t>
      </w:r>
      <w:r w:rsidRPr="000665B0">
        <w:t xml:space="preserve"> the updated </w:t>
      </w:r>
      <w:r w:rsidR="00757321" w:rsidRPr="000665B0">
        <w:t>TMPC</w:t>
      </w:r>
      <w:r w:rsidRPr="000665B0">
        <w:t xml:space="preserve"> version.</w:t>
      </w:r>
    </w:p>
    <w:p w14:paraId="229E8DFD" w14:textId="6F6265A2" w:rsidR="00525CA6" w:rsidRPr="000665B0" w:rsidRDefault="00525CA6" w:rsidP="009570CA">
      <w:pPr>
        <w:jc w:val="center"/>
      </w:pPr>
      <w:r w:rsidRPr="000665B0">
        <w:rPr>
          <w:noProof/>
        </w:rPr>
        <w:drawing>
          <wp:inline distT="0" distB="0" distL="0" distR="0" wp14:anchorId="2CE1F79B" wp14:editId="1382FD22">
            <wp:extent cx="3154680" cy="13533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3154680" cy="1353312"/>
                    </a:xfrm>
                    <a:prstGeom prst="rect">
                      <a:avLst/>
                    </a:prstGeom>
                    <a:noFill/>
                    <a:ln>
                      <a:noFill/>
                    </a:ln>
                  </pic:spPr>
                </pic:pic>
              </a:graphicData>
            </a:graphic>
          </wp:inline>
        </w:drawing>
      </w:r>
    </w:p>
    <w:p w14:paraId="3BD03ECD" w14:textId="77777777" w:rsidR="0067792B" w:rsidRPr="000665B0" w:rsidRDefault="0067792B" w:rsidP="006D5A65">
      <w:pPr>
        <w:pStyle w:val="Heading1"/>
      </w:pPr>
      <w:r w:rsidRPr="000665B0">
        <w:lastRenderedPageBreak/>
        <w:t xml:space="preserve">Repeat </w:t>
      </w:r>
      <w:r w:rsidR="00476461" w:rsidRPr="000665B0">
        <w:t>Steps 2-</w:t>
      </w:r>
      <w:r w:rsidRPr="000665B0">
        <w:t>5 for each database.</w:t>
      </w:r>
    </w:p>
    <w:p w14:paraId="3F06104B" w14:textId="77777777" w:rsidR="001077CA" w:rsidRPr="000665B0" w:rsidRDefault="00702809" w:rsidP="006D5A65">
      <w:pPr>
        <w:pStyle w:val="Heading1"/>
      </w:pPr>
      <w:r w:rsidRPr="000665B0">
        <w:t xml:space="preserve">From the File menu of the </w:t>
      </w:r>
      <w:r w:rsidRPr="000665B0">
        <w:rPr>
          <w:i/>
        </w:rPr>
        <w:t>TC2S Database Utility</w:t>
      </w:r>
      <w:r w:rsidRPr="000665B0">
        <w:t xml:space="preserve"> window, select Exit.</w:t>
      </w:r>
    </w:p>
    <w:p w14:paraId="66ABF492" w14:textId="77777777" w:rsidR="000112DC" w:rsidRPr="000665B0" w:rsidRDefault="000112DC" w:rsidP="006D5A65">
      <w:pPr>
        <w:pStyle w:val="Heading1"/>
      </w:pPr>
      <w:r w:rsidRPr="000665B0">
        <w:t xml:space="preserve">After changes are made and the TMPC Database Utility is closed, the system may display instructions to restart IIS, similar to the window below. </w:t>
      </w:r>
    </w:p>
    <w:p w14:paraId="6DD27162" w14:textId="5001E748" w:rsidR="000112DC" w:rsidRPr="000665B0" w:rsidRDefault="0085523C" w:rsidP="009570CA">
      <w:pPr>
        <w:jc w:val="center"/>
      </w:pPr>
      <w:r w:rsidRPr="000665B0">
        <w:rPr>
          <w:noProof/>
        </w:rPr>
        <w:drawing>
          <wp:inline distT="0" distB="0" distL="0" distR="0" wp14:anchorId="48556765" wp14:editId="60604E30">
            <wp:extent cx="3154680" cy="1197864"/>
            <wp:effectExtent l="0" t="0" r="0" b="0"/>
            <wp:docPr id="2165" name="Picture 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197864"/>
                    </a:xfrm>
                    <a:prstGeom prst="rect">
                      <a:avLst/>
                    </a:prstGeom>
                  </pic:spPr>
                </pic:pic>
              </a:graphicData>
            </a:graphic>
          </wp:inline>
        </w:drawing>
      </w:r>
    </w:p>
    <w:p w14:paraId="3D54AF78" w14:textId="77777777" w:rsidR="000112DC" w:rsidRPr="000665B0" w:rsidRDefault="000112DC" w:rsidP="009570CA">
      <w:pPr>
        <w:ind w:left="720"/>
      </w:pPr>
      <w:r w:rsidRPr="000665B0">
        <w:rPr>
          <w:b/>
          <w:i/>
        </w:rPr>
        <w:t>The instructions to restart IIS are incorrect.</w:t>
      </w:r>
      <w:r w:rsidRPr="000665B0">
        <w:t xml:space="preserve"> </w:t>
      </w:r>
    </w:p>
    <w:p w14:paraId="74DC539A" w14:textId="07D18F6A" w:rsidR="000112DC" w:rsidRPr="000665B0" w:rsidRDefault="000112DC" w:rsidP="009570CA">
      <w:pPr>
        <w:ind w:left="720"/>
      </w:pPr>
      <w:r w:rsidRPr="000665B0">
        <w:t xml:space="preserve">Instead, the Ted Application Pool and the </w:t>
      </w:r>
      <w:r w:rsidR="00E94A56" w:rsidRPr="000665B0">
        <w:t xml:space="preserve">TM </w:t>
      </w:r>
      <w:r w:rsidRPr="000665B0">
        <w:t>Application Pool must be recycled for the changes to take effect</w:t>
      </w:r>
      <w:r w:rsidRPr="000665B0">
        <w:rPr>
          <w:noProof/>
        </w:rPr>
        <w:t xml:space="preserve"> (see </w:t>
      </w:r>
      <w:r w:rsidR="00934CC7" w:rsidRPr="000665B0">
        <w:rPr>
          <w:noProof/>
        </w:rPr>
        <w:t xml:space="preserve">see </w:t>
      </w:r>
      <w:hyperlink w:anchor="_File_Menu" w:history="1">
        <w:r w:rsidR="00934CC7" w:rsidRPr="00934CC7">
          <w:rPr>
            <w:rStyle w:val="Hyperlink"/>
            <w:noProof/>
          </w:rPr>
          <w:t>Section 4.5.2.1</w:t>
        </w:r>
      </w:hyperlink>
      <w:r w:rsidRPr="000665B0">
        <w:rPr>
          <w:noProof/>
        </w:rPr>
        <w:t>). If the window is not displayed, it is not necessary to recycle the Application Pools.</w:t>
      </w:r>
    </w:p>
    <w:p w14:paraId="43801FF3" w14:textId="134EA3D4" w:rsidR="001077CA" w:rsidRPr="000665B0" w:rsidRDefault="001077CA" w:rsidP="009570CA">
      <w:pPr>
        <w:pStyle w:val="Heading5"/>
      </w:pPr>
      <w:bookmarkStart w:id="603" w:name="_Toc201388332"/>
      <w:r w:rsidRPr="000665B0">
        <w:t>Print All</w:t>
      </w:r>
      <w:bookmarkEnd w:id="603"/>
    </w:p>
    <w:p w14:paraId="2556816C" w14:textId="77777777" w:rsidR="001077CA" w:rsidRPr="000665B0" w:rsidRDefault="001077CA" w:rsidP="009570CA">
      <w:pPr>
        <w:spacing w:after="0"/>
      </w:pPr>
      <w:r w:rsidRPr="000665B0">
        <w:rPr>
          <w:b/>
        </w:rPr>
        <w:t xml:space="preserve">Print All </w:t>
      </w:r>
      <w:r w:rsidRPr="000665B0">
        <w:t>provides the capability to print the displayed information: SQL Server\Instance, SQL Login ID, and the database list.</w:t>
      </w:r>
    </w:p>
    <w:p w14:paraId="02AFE567" w14:textId="4AEFAE5E" w:rsidR="001077CA" w:rsidRPr="000665B0" w:rsidRDefault="001077CA" w:rsidP="009570CA">
      <w:pPr>
        <w:pStyle w:val="Heading5"/>
      </w:pPr>
      <w:bookmarkStart w:id="604" w:name="_Toc201388333"/>
      <w:r w:rsidRPr="000665B0">
        <w:t>Delete</w:t>
      </w:r>
      <w:bookmarkEnd w:id="604"/>
    </w:p>
    <w:p w14:paraId="310059BD" w14:textId="07F053B5" w:rsidR="001077CA" w:rsidRPr="000665B0" w:rsidRDefault="001077CA" w:rsidP="009570CA">
      <w:r w:rsidRPr="000665B0">
        <w:rPr>
          <w:b/>
        </w:rPr>
        <w:t xml:space="preserve">Delete </w:t>
      </w:r>
      <w:r w:rsidRPr="000665B0">
        <w:t>provides the capability to delete one or more local databases</w:t>
      </w:r>
      <w:r w:rsidR="00693A80" w:rsidRPr="000665B0">
        <w:t xml:space="preserve"> that are selected in the list view</w:t>
      </w:r>
      <w:r w:rsidRPr="000665B0">
        <w:t xml:space="preserve">. Upon selection, the operator is warned that this is an unrecoverable operation and prompted for confirmation. </w:t>
      </w:r>
    </w:p>
    <w:p w14:paraId="757F7FC6" w14:textId="29C80120" w:rsidR="001077CA" w:rsidRPr="000665B0" w:rsidRDefault="00A93E3C" w:rsidP="009570CA">
      <w:pPr>
        <w:jc w:val="center"/>
      </w:pPr>
      <w:r w:rsidRPr="000665B0">
        <w:rPr>
          <w:noProof/>
        </w:rPr>
        <w:drawing>
          <wp:inline distT="0" distB="0" distL="0" distR="0" wp14:anchorId="34C20FEF" wp14:editId="4B547A0E">
            <wp:extent cx="3154680" cy="1380744"/>
            <wp:effectExtent l="0" t="0" r="0" b="0"/>
            <wp:docPr id="2185" name="Picture 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1380744"/>
                    </a:xfrm>
                    <a:prstGeom prst="rect">
                      <a:avLst/>
                    </a:prstGeom>
                  </pic:spPr>
                </pic:pic>
              </a:graphicData>
            </a:graphic>
          </wp:inline>
        </w:drawing>
      </w:r>
    </w:p>
    <w:p w14:paraId="3755D726" w14:textId="77777777" w:rsidR="001077CA" w:rsidRPr="000665B0" w:rsidRDefault="001077CA" w:rsidP="009570CA">
      <w:r w:rsidRPr="000665B0">
        <w:t>If the selected databases are not recognized as a managed database, the operator is warned and prompted for confirmation to continue deletion.</w:t>
      </w:r>
    </w:p>
    <w:p w14:paraId="732BAF55" w14:textId="00F59BB0" w:rsidR="00B651B0" w:rsidRPr="000665B0" w:rsidRDefault="00B651B0" w:rsidP="009570CA">
      <w:pPr>
        <w:rPr>
          <w:b/>
        </w:rPr>
      </w:pPr>
      <w:r w:rsidRPr="000665B0">
        <w:rPr>
          <w:b/>
        </w:rPr>
        <w:t xml:space="preserve">Warning: This tool only manages databases listed under the File </w:t>
      </w:r>
      <w:r w:rsidRPr="000665B0">
        <w:rPr>
          <w:b/>
        </w:rPr>
        <w:sym w:font="Wingdings" w:char="F0E0"/>
      </w:r>
      <w:r w:rsidRPr="000665B0">
        <w:rPr>
          <w:b/>
        </w:rPr>
        <w:t xml:space="preserve"> New menu. Other databases not in this list are considered “Not Managed” and this tool does not have the ability to recreate them.</w:t>
      </w:r>
    </w:p>
    <w:p w14:paraId="6DF24A9C" w14:textId="77777777" w:rsidR="001077CA" w:rsidRPr="000665B0" w:rsidRDefault="001077CA" w:rsidP="009570CA">
      <w:pPr>
        <w:jc w:val="center"/>
      </w:pPr>
      <w:r w:rsidRPr="000665B0">
        <w:rPr>
          <w:noProof/>
        </w:rPr>
        <w:lastRenderedPageBreak/>
        <w:drawing>
          <wp:inline distT="0" distB="0" distL="0" distR="0" wp14:anchorId="3C840C52" wp14:editId="4BDD1DB5">
            <wp:extent cx="3154680" cy="8046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3154680" cy="804672"/>
                    </a:xfrm>
                    <a:prstGeom prst="rect">
                      <a:avLst/>
                    </a:prstGeom>
                    <a:noFill/>
                    <a:ln>
                      <a:noFill/>
                    </a:ln>
                  </pic:spPr>
                </pic:pic>
              </a:graphicData>
            </a:graphic>
          </wp:inline>
        </w:drawing>
      </w:r>
    </w:p>
    <w:p w14:paraId="032530E5" w14:textId="77777777" w:rsidR="001077CA" w:rsidRPr="000665B0" w:rsidRDefault="001077CA" w:rsidP="009570CA">
      <w:r w:rsidRPr="000665B0">
        <w:t>If there are open connections to the database, the operator is warned and prompted for confirmation to continue deletion.</w:t>
      </w:r>
    </w:p>
    <w:p w14:paraId="44D17C29" w14:textId="77777777" w:rsidR="001077CA" w:rsidRPr="000665B0" w:rsidRDefault="001077CA" w:rsidP="009570CA">
      <w:pPr>
        <w:jc w:val="center"/>
      </w:pPr>
      <w:r w:rsidRPr="000665B0">
        <w:rPr>
          <w:noProof/>
        </w:rPr>
        <w:drawing>
          <wp:inline distT="0" distB="0" distL="0" distR="0" wp14:anchorId="219DA533" wp14:editId="76629294">
            <wp:extent cx="3154680" cy="6766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3154680" cy="676656"/>
                    </a:xfrm>
                    <a:prstGeom prst="rect">
                      <a:avLst/>
                    </a:prstGeom>
                    <a:noFill/>
                    <a:ln>
                      <a:noFill/>
                    </a:ln>
                  </pic:spPr>
                </pic:pic>
              </a:graphicData>
            </a:graphic>
          </wp:inline>
        </w:drawing>
      </w:r>
    </w:p>
    <w:p w14:paraId="339508DD" w14:textId="77777777" w:rsidR="000112DC" w:rsidRPr="000665B0" w:rsidRDefault="000112DC" w:rsidP="009570CA">
      <w:r w:rsidRPr="000665B0">
        <w:t xml:space="preserve">After changes are made and the TMPC Database Utility is closed, the system may display instructions to restart IIS, similar to the window below. </w:t>
      </w:r>
    </w:p>
    <w:p w14:paraId="7781DA34" w14:textId="696266E8" w:rsidR="000112DC" w:rsidRPr="000665B0" w:rsidRDefault="0085523C" w:rsidP="009570CA">
      <w:pPr>
        <w:jc w:val="center"/>
      </w:pPr>
      <w:r w:rsidRPr="000665B0">
        <w:rPr>
          <w:noProof/>
        </w:rPr>
        <w:drawing>
          <wp:inline distT="0" distB="0" distL="0" distR="0" wp14:anchorId="1365C392" wp14:editId="100D9842">
            <wp:extent cx="3154680" cy="1197864"/>
            <wp:effectExtent l="0" t="0" r="0" b="0"/>
            <wp:docPr id="2166" name="Picture 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197864"/>
                    </a:xfrm>
                    <a:prstGeom prst="rect">
                      <a:avLst/>
                    </a:prstGeom>
                  </pic:spPr>
                </pic:pic>
              </a:graphicData>
            </a:graphic>
          </wp:inline>
        </w:drawing>
      </w:r>
    </w:p>
    <w:p w14:paraId="4B9CE783" w14:textId="77777777" w:rsidR="000112DC" w:rsidRPr="000665B0" w:rsidRDefault="000112DC" w:rsidP="009570CA">
      <w:r w:rsidRPr="000665B0">
        <w:rPr>
          <w:b/>
          <w:i/>
        </w:rPr>
        <w:t>The instructions to restart IIS are incorrect.</w:t>
      </w:r>
      <w:r w:rsidRPr="000665B0">
        <w:t xml:space="preserve"> </w:t>
      </w:r>
    </w:p>
    <w:p w14:paraId="5D6A78B6" w14:textId="3BA1564F" w:rsidR="000112DC" w:rsidRPr="000665B0" w:rsidRDefault="000112DC" w:rsidP="009570CA">
      <w:r w:rsidRPr="000665B0">
        <w:t xml:space="preserve">Instead, the Ted Application Pool and the </w:t>
      </w:r>
      <w:r w:rsidR="00E94A56" w:rsidRPr="000665B0">
        <w:t xml:space="preserve">TM </w:t>
      </w:r>
      <w:r w:rsidRPr="000665B0">
        <w:t>Application Pool must be recycled for the changes to take effect</w:t>
      </w:r>
      <w:r w:rsidRPr="000665B0">
        <w:rPr>
          <w:noProof/>
        </w:rPr>
        <w:t xml:space="preserve"> (</w:t>
      </w:r>
      <w:r w:rsidR="00934CC7" w:rsidRPr="000665B0">
        <w:rPr>
          <w:noProof/>
        </w:rPr>
        <w:t xml:space="preserve">see </w:t>
      </w:r>
      <w:hyperlink w:anchor="_File_Menu" w:history="1">
        <w:r w:rsidR="00934CC7" w:rsidRPr="00934CC7">
          <w:rPr>
            <w:rStyle w:val="Hyperlink"/>
            <w:noProof/>
          </w:rPr>
          <w:t>Section 4.5.2.1</w:t>
        </w:r>
      </w:hyperlink>
      <w:r w:rsidRPr="000665B0">
        <w:rPr>
          <w:noProof/>
        </w:rPr>
        <w:t>). If the window is not displayed, it is not necessary to recycle the Application Pools.</w:t>
      </w:r>
    </w:p>
    <w:p w14:paraId="58A5BC13" w14:textId="68012862" w:rsidR="001077CA" w:rsidRPr="000665B0" w:rsidRDefault="001077CA" w:rsidP="009570CA">
      <w:pPr>
        <w:pStyle w:val="Heading5"/>
      </w:pPr>
      <w:bookmarkStart w:id="605" w:name="_4.5.2.1.11__Data"/>
      <w:bookmarkStart w:id="606" w:name="_4.5.2.1.13__Data"/>
      <w:bookmarkStart w:id="607" w:name="_Toc201388334"/>
      <w:bookmarkEnd w:id="605"/>
      <w:bookmarkEnd w:id="606"/>
      <w:r w:rsidRPr="000665B0">
        <w:t>Data ID Sequence Number Maintenance</w:t>
      </w:r>
    </w:p>
    <w:p w14:paraId="692D1C90" w14:textId="746D28E8" w:rsidR="001077CA" w:rsidRPr="000665B0" w:rsidRDefault="001077CA" w:rsidP="009570CA">
      <w:r w:rsidRPr="000665B0">
        <w:t xml:space="preserve">The </w:t>
      </w:r>
      <w:r w:rsidRPr="000665B0">
        <w:rPr>
          <w:b/>
        </w:rPr>
        <w:t>Data ID Sequence Number Maintenance</w:t>
      </w:r>
      <w:r w:rsidRPr="000665B0">
        <w:t xml:space="preserve"> provides the capability to </w:t>
      </w:r>
      <w:r w:rsidRPr="000665B0">
        <w:rPr>
          <w:rFonts w:cs="Arial"/>
          <w:color w:val="000000"/>
        </w:rPr>
        <w:t>control starting id sequence numbers contained in the TED_DISTRIBUTION_DB</w:t>
      </w:r>
      <w:r w:rsidR="00466A14" w:rsidRPr="000665B0">
        <w:rPr>
          <w:rFonts w:cs="Arial"/>
          <w:color w:val="000000"/>
        </w:rPr>
        <w:t>50</w:t>
      </w:r>
      <w:r w:rsidRPr="000665B0">
        <w:rPr>
          <w:rFonts w:cs="Arial"/>
          <w:color w:val="000000"/>
        </w:rPr>
        <w:t>, TED_MANAGEMENT_DB</w:t>
      </w:r>
      <w:r w:rsidR="00466A14" w:rsidRPr="000665B0">
        <w:rPr>
          <w:rFonts w:cs="Arial"/>
          <w:color w:val="000000"/>
        </w:rPr>
        <w:t>50</w:t>
      </w:r>
      <w:r w:rsidRPr="000665B0">
        <w:rPr>
          <w:rFonts w:cs="Arial"/>
          <w:color w:val="000000"/>
        </w:rPr>
        <w:t>, TED_MD_DB</w:t>
      </w:r>
      <w:r w:rsidR="00466A14" w:rsidRPr="000665B0">
        <w:rPr>
          <w:rFonts w:cs="Arial"/>
          <w:color w:val="000000"/>
        </w:rPr>
        <w:t>50</w:t>
      </w:r>
      <w:r w:rsidRPr="000665B0">
        <w:rPr>
          <w:rFonts w:cs="Arial"/>
          <w:color w:val="000000"/>
        </w:rPr>
        <w:t>, TED_STRIKE_DB</w:t>
      </w:r>
      <w:r w:rsidR="00466A14" w:rsidRPr="000665B0">
        <w:rPr>
          <w:rFonts w:cs="Arial"/>
          <w:color w:val="000000"/>
        </w:rPr>
        <w:t>50</w:t>
      </w:r>
      <w:r w:rsidR="00E66865" w:rsidRPr="000665B0">
        <w:rPr>
          <w:rFonts w:cs="Arial"/>
          <w:color w:val="000000"/>
        </w:rPr>
        <w:t xml:space="preserve">, </w:t>
      </w:r>
      <w:r w:rsidRPr="000665B0">
        <w:rPr>
          <w:rFonts w:cs="Arial"/>
          <w:color w:val="000000"/>
        </w:rPr>
        <w:t>TED_</w:t>
      </w:r>
      <w:r w:rsidR="0061303A" w:rsidRPr="000665B0">
        <w:rPr>
          <w:rFonts w:cs="Arial"/>
          <w:color w:val="000000"/>
        </w:rPr>
        <w:t>TASK</w:t>
      </w:r>
      <w:r w:rsidRPr="000665B0">
        <w:rPr>
          <w:rFonts w:cs="Arial"/>
          <w:color w:val="000000"/>
        </w:rPr>
        <w:t>_DB</w:t>
      </w:r>
      <w:r w:rsidR="00E66865" w:rsidRPr="000665B0">
        <w:rPr>
          <w:rFonts w:cs="Arial"/>
          <w:color w:val="000000"/>
        </w:rPr>
        <w:t>, TED_TAWSOBJ_DB50, TED_TM_DB50, TED_TRACK_DB50, and TED_TSRT_DB</w:t>
      </w:r>
      <w:r w:rsidR="003A36AB" w:rsidRPr="000665B0">
        <w:rPr>
          <w:rFonts w:cs="Arial"/>
          <w:color w:val="000000"/>
        </w:rPr>
        <w:t>5</w:t>
      </w:r>
      <w:r w:rsidR="00E66865" w:rsidRPr="000665B0">
        <w:rPr>
          <w:rFonts w:cs="Arial"/>
          <w:color w:val="000000"/>
        </w:rPr>
        <w:t>0</w:t>
      </w:r>
      <w:r w:rsidRPr="000665B0">
        <w:rPr>
          <w:rFonts w:cs="Arial"/>
          <w:color w:val="000000"/>
        </w:rPr>
        <w:t xml:space="preserve">. </w:t>
      </w:r>
      <w:r w:rsidR="00695561" w:rsidRPr="000665B0">
        <w:t>Available via the context menu (</w:t>
      </w:r>
      <w:r w:rsidR="00D71804" w:rsidRPr="000665B0">
        <w:t>right-click</w:t>
      </w:r>
      <w:r w:rsidR="00695561" w:rsidRPr="000665B0">
        <w:t xml:space="preserve"> the mouse) only.</w:t>
      </w:r>
    </w:p>
    <w:p w14:paraId="02AD9D3A" w14:textId="1AC75268" w:rsidR="001077CA" w:rsidRPr="000665B0" w:rsidRDefault="00E534B5" w:rsidP="009570CA">
      <w:pPr>
        <w:jc w:val="center"/>
      </w:pPr>
      <w:r w:rsidRPr="000665B0">
        <w:rPr>
          <w:noProof/>
        </w:rPr>
        <w:lastRenderedPageBreak/>
        <w:drawing>
          <wp:inline distT="0" distB="0" distL="0" distR="0" wp14:anchorId="0F654EF4" wp14:editId="289F913D">
            <wp:extent cx="3154680" cy="2596896"/>
            <wp:effectExtent l="0" t="0" r="0" b="0"/>
            <wp:docPr id="1331" name="Picture 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3154680" cy="2596896"/>
                    </a:xfrm>
                    <a:prstGeom prst="rect">
                      <a:avLst/>
                    </a:prstGeom>
                    <a:ln>
                      <a:noFill/>
                    </a:ln>
                    <a:extLst>
                      <a:ext uri="{53640926-AAD7-44D8-BBD7-CCE9431645EC}">
                        <a14:shadowObscured xmlns:a14="http://schemas.microsoft.com/office/drawing/2010/main"/>
                      </a:ext>
                    </a:extLst>
                  </pic:spPr>
                </pic:pic>
              </a:graphicData>
            </a:graphic>
          </wp:inline>
        </w:drawing>
      </w:r>
    </w:p>
    <w:p w14:paraId="59757689" w14:textId="77777777" w:rsidR="001077CA" w:rsidRPr="000665B0" w:rsidRDefault="001077CA" w:rsidP="009570CA">
      <w:r w:rsidRPr="000665B0">
        <w:t xml:space="preserve">Upon selection, the </w:t>
      </w:r>
      <w:r w:rsidRPr="000665B0">
        <w:rPr>
          <w:i/>
        </w:rPr>
        <w:t>Data ID Sequence Number Maintenance</w:t>
      </w:r>
      <w:r w:rsidRPr="000665B0">
        <w:t xml:space="preserve"> window is displayed and populated with the data id sequence numbers that already exist in the database.</w:t>
      </w:r>
    </w:p>
    <w:p w14:paraId="0A515605" w14:textId="6BB118A6" w:rsidR="001077CA" w:rsidRPr="000665B0" w:rsidRDefault="00DE6695" w:rsidP="009570CA">
      <w:pPr>
        <w:jc w:val="center"/>
        <w:rPr>
          <w:noProof/>
        </w:rPr>
      </w:pPr>
      <w:r w:rsidRPr="000665B0">
        <w:rPr>
          <w:noProof/>
        </w:rPr>
        <w:drawing>
          <wp:inline distT="0" distB="0" distL="0" distR="0" wp14:anchorId="315000AA" wp14:editId="05E551AA">
            <wp:extent cx="3154680" cy="2139696"/>
            <wp:effectExtent l="0" t="0" r="0" b="0"/>
            <wp:docPr id="1626" name="Picture 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2139696"/>
                    </a:xfrm>
                    <a:prstGeom prst="rect">
                      <a:avLst/>
                    </a:prstGeom>
                  </pic:spPr>
                </pic:pic>
              </a:graphicData>
            </a:graphic>
          </wp:inline>
        </w:drawing>
      </w:r>
    </w:p>
    <w:p w14:paraId="6D5DA5AD" w14:textId="77777777" w:rsidR="00B157B8" w:rsidRPr="000665B0" w:rsidRDefault="00B157B8" w:rsidP="006D5A65">
      <w:pPr>
        <w:pStyle w:val="Heading1"/>
      </w:pPr>
      <w:r w:rsidRPr="000665B0">
        <w:lastRenderedPageBreak/>
        <w:t>Save As – Saves the current information into an XML file.</w:t>
      </w:r>
    </w:p>
    <w:p w14:paraId="3CA9CFF7" w14:textId="77777777" w:rsidR="00B157B8" w:rsidRPr="000665B0" w:rsidRDefault="00B157B8" w:rsidP="006D5A65">
      <w:pPr>
        <w:pStyle w:val="Heading1"/>
      </w:pPr>
      <w:r w:rsidRPr="000665B0">
        <w:t>Replace All – Prompts for a previously saved Data ID Sequence Number file and then replaces the current data in the database with the information from the file.</w:t>
      </w:r>
    </w:p>
    <w:p w14:paraId="599C02C8" w14:textId="77777777" w:rsidR="00B157B8" w:rsidRPr="000665B0" w:rsidRDefault="00B157B8" w:rsidP="006D5A65">
      <w:pPr>
        <w:pStyle w:val="Heading1"/>
        <w:rPr>
          <w:noProof/>
        </w:rPr>
      </w:pPr>
      <w:r w:rsidRPr="000665B0">
        <w:t>Close – Closes the window.</w:t>
      </w:r>
    </w:p>
    <w:p w14:paraId="51239A82" w14:textId="77777777" w:rsidR="001077CA" w:rsidRPr="000665B0" w:rsidRDefault="001077CA" w:rsidP="009570CA">
      <w:pPr>
        <w:keepNext/>
      </w:pPr>
      <w:r w:rsidRPr="000665B0">
        <w:t xml:space="preserve">Context menus and processing: </w:t>
      </w:r>
    </w:p>
    <w:p w14:paraId="5DEB3DA0" w14:textId="040B9357" w:rsidR="00A01676" w:rsidRPr="000665B0" w:rsidRDefault="00A01676" w:rsidP="006D5A65">
      <w:pPr>
        <w:pStyle w:val="Heading1"/>
      </w:pPr>
      <w:r w:rsidRPr="000665B0">
        <w:t xml:space="preserve">Add – Always enabled. Displays the </w:t>
      </w:r>
      <w:r w:rsidR="00DE6695" w:rsidRPr="000665B0">
        <w:rPr>
          <w:i/>
        </w:rPr>
        <w:t>Add/Update Data</w:t>
      </w:r>
      <w:r w:rsidRPr="000665B0">
        <w:rPr>
          <w:i/>
        </w:rPr>
        <w:t xml:space="preserve"> Sequence Number</w:t>
      </w:r>
      <w:r w:rsidRPr="000665B0">
        <w:t xml:space="preserve"> window.</w:t>
      </w:r>
    </w:p>
    <w:p w14:paraId="24A7F925" w14:textId="77777777" w:rsidR="001077CA" w:rsidRPr="000665B0" w:rsidRDefault="001077CA" w:rsidP="006D5A65">
      <w:pPr>
        <w:pStyle w:val="Heading1"/>
      </w:pPr>
      <w:r w:rsidRPr="000665B0">
        <w:t xml:space="preserve">Delete – Enabled when 1 ID selected. Deletes selected item upon confirmation. </w:t>
      </w:r>
    </w:p>
    <w:p w14:paraId="5B0DC7FF" w14:textId="1DC599C2" w:rsidR="00A01676" w:rsidRPr="000665B0" w:rsidRDefault="00A01676" w:rsidP="006D5A65">
      <w:pPr>
        <w:pStyle w:val="Heading1"/>
      </w:pPr>
      <w:r w:rsidRPr="000665B0">
        <w:t xml:space="preserve">Update – Enabled when 1 ID selected. Displays the </w:t>
      </w:r>
      <w:r w:rsidRPr="000665B0">
        <w:rPr>
          <w:i/>
        </w:rPr>
        <w:t>Add/Update Data Sequence Number</w:t>
      </w:r>
      <w:r w:rsidRPr="000665B0">
        <w:t xml:space="preserve"> window.</w:t>
      </w:r>
      <w:r w:rsidR="009651B0">
        <w:t xml:space="preserve"> </w:t>
      </w:r>
    </w:p>
    <w:p w14:paraId="3ABE6D62" w14:textId="77777777" w:rsidR="00A01676" w:rsidRPr="000665B0" w:rsidRDefault="00A01676" w:rsidP="00760C7C">
      <w:pPr>
        <w:keepNext/>
        <w:keepLines/>
      </w:pPr>
      <w:r w:rsidRPr="000665B0">
        <w:rPr>
          <w:i/>
        </w:rPr>
        <w:t>Add/Update Data Sequence Number</w:t>
      </w:r>
      <w:r w:rsidRPr="000665B0">
        <w:t xml:space="preserve"> window:</w:t>
      </w:r>
    </w:p>
    <w:p w14:paraId="36772A16" w14:textId="4B202DF9" w:rsidR="001077CA" w:rsidRPr="000665B0" w:rsidRDefault="00E534B5" w:rsidP="009570CA">
      <w:pPr>
        <w:jc w:val="center"/>
      </w:pPr>
      <w:r w:rsidRPr="000665B0">
        <w:rPr>
          <w:noProof/>
        </w:rPr>
        <w:drawing>
          <wp:inline distT="0" distB="0" distL="0" distR="0" wp14:anchorId="1B4DB6AE" wp14:editId="499DD377">
            <wp:extent cx="3154680" cy="1280160"/>
            <wp:effectExtent l="0" t="0" r="0" b="0"/>
            <wp:docPr id="1334" name="Picture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1280160"/>
                    </a:xfrm>
                    <a:prstGeom prst="rect">
                      <a:avLst/>
                    </a:prstGeom>
                  </pic:spPr>
                </pic:pic>
              </a:graphicData>
            </a:graphic>
          </wp:inline>
        </w:drawing>
      </w:r>
    </w:p>
    <w:p w14:paraId="14964D89" w14:textId="56A6B2C6" w:rsidR="001077CA" w:rsidRPr="000665B0" w:rsidRDefault="001077CA" w:rsidP="006D5A65">
      <w:pPr>
        <w:pStyle w:val="Heading1"/>
      </w:pPr>
      <w:r w:rsidRPr="000665B0">
        <w:t xml:space="preserve">Data ID Key – Prepopulated </w:t>
      </w:r>
      <w:r w:rsidR="00DE6695" w:rsidRPr="000665B0">
        <w:t xml:space="preserve">pull down menu </w:t>
      </w:r>
      <w:r w:rsidRPr="000665B0">
        <w:t xml:space="preserve">with data id sequences that can </w:t>
      </w:r>
      <w:r w:rsidR="00DE6695" w:rsidRPr="000665B0">
        <w:t>be added or edited</w:t>
      </w:r>
      <w:r w:rsidRPr="000665B0">
        <w:t>.</w:t>
      </w:r>
    </w:p>
    <w:p w14:paraId="65293571" w14:textId="04E9A630" w:rsidR="001077CA" w:rsidRPr="000665B0" w:rsidRDefault="001077CA" w:rsidP="006D5A65">
      <w:pPr>
        <w:pStyle w:val="Heading1"/>
      </w:pPr>
      <w:r w:rsidRPr="000665B0">
        <w:t xml:space="preserve">Base ID – </w:t>
      </w:r>
      <w:r w:rsidR="00625603" w:rsidRPr="000665B0">
        <w:t xml:space="preserve">The Base ID that the Last Sequence Number </w:t>
      </w:r>
      <w:r w:rsidR="008364DA" w:rsidRPr="000665B0">
        <w:t xml:space="preserve">either updates </w:t>
      </w:r>
      <w:r w:rsidR="00625603" w:rsidRPr="000665B0">
        <w:t xml:space="preserve">or </w:t>
      </w:r>
      <w:r w:rsidR="008364DA" w:rsidRPr="000665B0">
        <w:t>appends</w:t>
      </w:r>
      <w:r w:rsidR="00625603" w:rsidRPr="000665B0">
        <w:t xml:space="preserve">. Example N-N where N is a number from 1 to </w:t>
      </w:r>
      <w:r w:rsidR="00D54228" w:rsidRPr="000665B0">
        <w:t>65535 or</w:t>
      </w:r>
      <w:r w:rsidR="00625603" w:rsidRPr="000665B0">
        <w:t xml:space="preserve"> matches the sequence NNN NNN where N is a number from 0 to 9. May also contain the</w:t>
      </w:r>
      <w:r w:rsidRPr="000665B0">
        <w:t xml:space="preserve"> node id.</w:t>
      </w:r>
    </w:p>
    <w:p w14:paraId="78F4247C" w14:textId="5503EB69" w:rsidR="001077CA" w:rsidRPr="000665B0" w:rsidRDefault="001077CA" w:rsidP="006D5A65">
      <w:pPr>
        <w:pStyle w:val="Heading1"/>
      </w:pPr>
      <w:r w:rsidRPr="000665B0">
        <w:t xml:space="preserve">Last Sequence Number – </w:t>
      </w:r>
      <w:r w:rsidR="00625603" w:rsidRPr="000665B0">
        <w:t>Data sequence number</w:t>
      </w:r>
      <w:r w:rsidRPr="000665B0">
        <w:t xml:space="preserve"> range</w:t>
      </w:r>
      <w:r w:rsidR="00625603" w:rsidRPr="000665B0">
        <w:t xml:space="preserve"> of</w:t>
      </w:r>
      <w:r w:rsidRPr="000665B0">
        <w:t xml:space="preserve"> </w:t>
      </w:r>
      <w:r w:rsidR="00625603" w:rsidRPr="000665B0">
        <w:t>1</w:t>
      </w:r>
      <w:r w:rsidRPr="000665B0">
        <w:t>-65535.</w:t>
      </w:r>
    </w:p>
    <w:p w14:paraId="4928B397" w14:textId="77777777" w:rsidR="001077CA" w:rsidRPr="000665B0" w:rsidRDefault="00A01676" w:rsidP="009570CA">
      <w:r w:rsidRPr="000665B0">
        <w:t xml:space="preserve">Upon selection of the </w:t>
      </w:r>
      <w:r w:rsidRPr="000665B0">
        <w:rPr>
          <w:b/>
        </w:rPr>
        <w:t>OK</w:t>
      </w:r>
      <w:r w:rsidRPr="000665B0">
        <w:t xml:space="preserve"> button, the database is updated, the window closed, and the list view of the </w:t>
      </w:r>
      <w:r w:rsidRPr="000665B0">
        <w:rPr>
          <w:i/>
        </w:rPr>
        <w:t>Data ID Sequence Number Maintenance</w:t>
      </w:r>
      <w:r w:rsidRPr="000665B0">
        <w:t xml:space="preserve"> window is refreshed.</w:t>
      </w:r>
    </w:p>
    <w:p w14:paraId="397E7C27" w14:textId="77777777" w:rsidR="000112DC" w:rsidRPr="000665B0" w:rsidRDefault="000112DC" w:rsidP="009570CA">
      <w:r w:rsidRPr="000665B0">
        <w:t xml:space="preserve">After changes are made and the TMPC Database Utility is closed, the system may display instructions to restart IIS, similar to the window below. </w:t>
      </w:r>
    </w:p>
    <w:p w14:paraId="446DA4E8" w14:textId="126AF702" w:rsidR="000112DC" w:rsidRPr="000665B0" w:rsidRDefault="001F7C12" w:rsidP="009570CA">
      <w:pPr>
        <w:jc w:val="center"/>
      </w:pPr>
      <w:r w:rsidRPr="000665B0">
        <w:rPr>
          <w:noProof/>
        </w:rPr>
        <w:drawing>
          <wp:inline distT="0" distB="0" distL="0" distR="0" wp14:anchorId="23B45D02" wp14:editId="35983531">
            <wp:extent cx="2658711" cy="1009540"/>
            <wp:effectExtent l="0" t="0" r="0" b="635"/>
            <wp:docPr id="2170" name="Picture 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688528" cy="1020862"/>
                    </a:xfrm>
                    <a:prstGeom prst="rect">
                      <a:avLst/>
                    </a:prstGeom>
                  </pic:spPr>
                </pic:pic>
              </a:graphicData>
            </a:graphic>
          </wp:inline>
        </w:drawing>
      </w:r>
    </w:p>
    <w:p w14:paraId="3D5C2FB9" w14:textId="77777777" w:rsidR="000112DC" w:rsidRPr="000665B0" w:rsidRDefault="000112DC" w:rsidP="009570CA">
      <w:r w:rsidRPr="000665B0">
        <w:rPr>
          <w:b/>
          <w:i/>
        </w:rPr>
        <w:t>The instructions to restart IIS are incorrect.</w:t>
      </w:r>
      <w:r w:rsidRPr="000665B0">
        <w:t xml:space="preserve"> </w:t>
      </w:r>
    </w:p>
    <w:p w14:paraId="149FA513" w14:textId="34670130" w:rsidR="000112DC" w:rsidRPr="000665B0" w:rsidRDefault="000112DC" w:rsidP="009570CA">
      <w:pPr>
        <w:spacing w:after="0"/>
        <w:rPr>
          <w:noProof/>
        </w:rPr>
      </w:pPr>
      <w:r w:rsidRPr="000665B0">
        <w:lastRenderedPageBreak/>
        <w:t xml:space="preserve">Instead, the Ted Application Pool and the </w:t>
      </w:r>
      <w:r w:rsidR="00E94A56" w:rsidRPr="000665B0">
        <w:t xml:space="preserve">TM </w:t>
      </w:r>
      <w:r w:rsidRPr="000665B0">
        <w:t>Application Pool must be recycled for the changes to take effect</w:t>
      </w:r>
      <w:r w:rsidRPr="000665B0">
        <w:rPr>
          <w:noProof/>
        </w:rPr>
        <w:t xml:space="preserve"> (</w:t>
      </w:r>
      <w:r w:rsidR="00934CC7" w:rsidRPr="000665B0">
        <w:rPr>
          <w:noProof/>
        </w:rPr>
        <w:t xml:space="preserve">see </w:t>
      </w:r>
      <w:hyperlink w:anchor="_File_Menu" w:history="1">
        <w:r w:rsidR="00934CC7" w:rsidRPr="00934CC7">
          <w:rPr>
            <w:rStyle w:val="Hyperlink"/>
            <w:noProof/>
          </w:rPr>
          <w:t>Section 4.5.2.1</w:t>
        </w:r>
      </w:hyperlink>
      <w:r w:rsidRPr="000665B0">
        <w:rPr>
          <w:noProof/>
        </w:rPr>
        <w:t>). If the window is not displayed, it is not necessary to recycle the Application Pools.</w:t>
      </w:r>
    </w:p>
    <w:p w14:paraId="0C00A6AE" w14:textId="69576604" w:rsidR="001077CA" w:rsidRPr="000665B0" w:rsidRDefault="001077CA" w:rsidP="009570CA">
      <w:pPr>
        <w:pStyle w:val="Heading5"/>
      </w:pPr>
      <w:bookmarkStart w:id="608" w:name="_4.5.2.1.14__Set"/>
      <w:bookmarkStart w:id="609" w:name="_4_.5.2.1.13_"/>
      <w:bookmarkStart w:id="610" w:name="_4.5.2.1.15__Manual"/>
      <w:bookmarkEnd w:id="608"/>
      <w:bookmarkEnd w:id="609"/>
      <w:bookmarkEnd w:id="610"/>
      <w:r w:rsidRPr="000665B0">
        <w:t>Exit</w:t>
      </w:r>
      <w:bookmarkEnd w:id="607"/>
    </w:p>
    <w:p w14:paraId="1007064E" w14:textId="77777777" w:rsidR="001077CA" w:rsidRPr="000665B0" w:rsidRDefault="001077CA" w:rsidP="009570CA">
      <w:r w:rsidRPr="000665B0">
        <w:t>Exit</w:t>
      </w:r>
      <w:r w:rsidR="00B157B8" w:rsidRPr="000665B0">
        <w:t>s</w:t>
      </w:r>
      <w:r w:rsidRPr="000665B0">
        <w:t xml:space="preserve"> the </w:t>
      </w:r>
      <w:r w:rsidR="00BC677F" w:rsidRPr="000665B0">
        <w:t>TMPC Database Utility</w:t>
      </w:r>
      <w:r w:rsidRPr="000665B0">
        <w:t>.</w:t>
      </w:r>
    </w:p>
    <w:p w14:paraId="2957FFF8" w14:textId="786CFC5A" w:rsidR="00133915" w:rsidRPr="000665B0" w:rsidRDefault="00BC677F" w:rsidP="009570CA">
      <w:r w:rsidRPr="000665B0">
        <w:t xml:space="preserve">After changes are made and the TMPC Database Utility is closed, the system may display instructions to restart IIS, similar to the window below. </w:t>
      </w:r>
    </w:p>
    <w:p w14:paraId="502A500E" w14:textId="0819F798" w:rsidR="00BC677F" w:rsidRPr="000665B0" w:rsidRDefault="00133915" w:rsidP="009570CA">
      <w:pPr>
        <w:jc w:val="center"/>
      </w:pPr>
      <w:r w:rsidRPr="000665B0">
        <w:rPr>
          <w:noProof/>
        </w:rPr>
        <w:drawing>
          <wp:inline distT="0" distB="0" distL="0" distR="0" wp14:anchorId="3B41D635" wp14:editId="20029F3F">
            <wp:extent cx="2709172" cy="1028700"/>
            <wp:effectExtent l="0" t="0" r="0" b="0"/>
            <wp:docPr id="2171" name="Picture 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23509" cy="1034144"/>
                    </a:xfrm>
                    <a:prstGeom prst="rect">
                      <a:avLst/>
                    </a:prstGeom>
                  </pic:spPr>
                </pic:pic>
              </a:graphicData>
            </a:graphic>
          </wp:inline>
        </w:drawing>
      </w:r>
    </w:p>
    <w:p w14:paraId="024DFC2F" w14:textId="77777777" w:rsidR="00BC677F" w:rsidRPr="000665B0" w:rsidRDefault="00BC677F" w:rsidP="009570CA">
      <w:r w:rsidRPr="000665B0">
        <w:rPr>
          <w:b/>
          <w:i/>
        </w:rPr>
        <w:t>The instructions to restart IIS are incorrect.</w:t>
      </w:r>
      <w:r w:rsidRPr="000665B0">
        <w:t xml:space="preserve"> </w:t>
      </w:r>
    </w:p>
    <w:p w14:paraId="04D05B6A" w14:textId="57682273" w:rsidR="00BC677F" w:rsidRPr="000665B0" w:rsidRDefault="00BC677F" w:rsidP="009570CA">
      <w:pPr>
        <w:spacing w:after="0"/>
      </w:pPr>
      <w:r w:rsidRPr="000665B0">
        <w:t xml:space="preserve">Instead, the Ted Application Pool and the </w:t>
      </w:r>
      <w:r w:rsidR="00E94A56" w:rsidRPr="000665B0">
        <w:t xml:space="preserve">TM </w:t>
      </w:r>
      <w:r w:rsidRPr="000665B0">
        <w:t>Application Pool must be recycled for the changes to take effect</w:t>
      </w:r>
      <w:r w:rsidRPr="000665B0">
        <w:rPr>
          <w:noProof/>
        </w:rPr>
        <w:t xml:space="preserve"> (</w:t>
      </w:r>
      <w:r w:rsidR="00934CC7" w:rsidRPr="000665B0">
        <w:rPr>
          <w:noProof/>
        </w:rPr>
        <w:t xml:space="preserve">see </w:t>
      </w:r>
      <w:hyperlink w:anchor="_File_Menu" w:history="1">
        <w:r w:rsidR="00934CC7" w:rsidRPr="00934CC7">
          <w:rPr>
            <w:rStyle w:val="Hyperlink"/>
            <w:noProof/>
          </w:rPr>
          <w:t>Section 4.5.2.1</w:t>
        </w:r>
      </w:hyperlink>
      <w:r w:rsidRPr="000665B0">
        <w:rPr>
          <w:noProof/>
        </w:rPr>
        <w:t>). If the window is not displayed, it is not necessary to recycle the Application Pools.</w:t>
      </w:r>
    </w:p>
    <w:p w14:paraId="484F97CC" w14:textId="7C17A71B" w:rsidR="001077CA" w:rsidRPr="000665B0" w:rsidRDefault="001077CA" w:rsidP="009570CA">
      <w:pPr>
        <w:pStyle w:val="Heading4"/>
        <w:keepNext w:val="0"/>
      </w:pPr>
      <w:bookmarkStart w:id="611" w:name="_Toc201388335"/>
      <w:r w:rsidRPr="000665B0">
        <w:t>Refresh</w:t>
      </w:r>
      <w:bookmarkEnd w:id="611"/>
    </w:p>
    <w:p w14:paraId="307F56FA" w14:textId="1911F996" w:rsidR="001077CA" w:rsidRPr="000665B0" w:rsidRDefault="001077CA" w:rsidP="009570CA">
      <w:pPr>
        <w:spacing w:after="0"/>
      </w:pPr>
      <w:r w:rsidRPr="000665B0">
        <w:t xml:space="preserve">Clicking the </w:t>
      </w:r>
      <w:r w:rsidRPr="000665B0">
        <w:rPr>
          <w:b/>
        </w:rPr>
        <w:t>Refresh</w:t>
      </w:r>
      <w:r w:rsidRPr="000665B0">
        <w:t xml:space="preserve"> </w:t>
      </w:r>
      <w:r w:rsidR="00E534B5" w:rsidRPr="000665B0">
        <w:rPr>
          <w:noProof/>
          <w:position w:val="-4"/>
        </w:rPr>
        <w:drawing>
          <wp:inline distT="0" distB="0" distL="0" distR="0" wp14:anchorId="1549DFEE" wp14:editId="3D2502A6">
            <wp:extent cx="157843" cy="190500"/>
            <wp:effectExtent l="0" t="0" r="0" b="0"/>
            <wp:docPr id="1335" name="Picture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58020" cy="190714"/>
                    </a:xfrm>
                    <a:prstGeom prst="rect">
                      <a:avLst/>
                    </a:prstGeom>
                    <a:ln>
                      <a:noFill/>
                    </a:ln>
                    <a:extLst>
                      <a:ext uri="{53640926-AAD7-44D8-BBD7-CCE9431645EC}">
                        <a14:shadowObscured xmlns:a14="http://schemas.microsoft.com/office/drawing/2010/main"/>
                      </a:ext>
                    </a:extLst>
                  </pic:spPr>
                </pic:pic>
              </a:graphicData>
            </a:graphic>
          </wp:inline>
        </w:drawing>
      </w:r>
      <w:r w:rsidR="00E534B5" w:rsidRPr="000665B0">
        <w:t xml:space="preserve"> </w:t>
      </w:r>
      <w:r w:rsidRPr="000665B0">
        <w:t xml:space="preserve">icon on the tool bar </w:t>
      </w:r>
      <w:r w:rsidR="00B157B8" w:rsidRPr="000665B0">
        <w:t xml:space="preserve">will </w:t>
      </w:r>
      <w:r w:rsidRPr="000665B0">
        <w:t>dynamically reconnect to the SQL Server and refresh the database information.</w:t>
      </w:r>
    </w:p>
    <w:p w14:paraId="20387244" w14:textId="3272B1FE" w:rsidR="001077CA" w:rsidRPr="000665B0" w:rsidRDefault="001077CA" w:rsidP="009570CA">
      <w:pPr>
        <w:pStyle w:val="Heading4"/>
      </w:pPr>
      <w:bookmarkStart w:id="612" w:name="_Toc201388336"/>
      <w:r w:rsidRPr="000665B0">
        <w:t>Edit Menu</w:t>
      </w:r>
      <w:bookmarkEnd w:id="612"/>
    </w:p>
    <w:p w14:paraId="30844C15" w14:textId="40A86C1C" w:rsidR="001077CA" w:rsidRPr="000665B0" w:rsidRDefault="001077CA" w:rsidP="009570CA">
      <w:pPr>
        <w:spacing w:after="0"/>
      </w:pPr>
      <w:r w:rsidRPr="000665B0">
        <w:t xml:space="preserve">The Edit menu contains the </w:t>
      </w:r>
      <w:r w:rsidRPr="000665B0">
        <w:rPr>
          <w:b/>
        </w:rPr>
        <w:t>Select All</w:t>
      </w:r>
      <w:r w:rsidRPr="000665B0">
        <w:t xml:space="preserve"> menu option.</w:t>
      </w:r>
      <w:r w:rsidR="009651B0">
        <w:t xml:space="preserve"> </w:t>
      </w:r>
    </w:p>
    <w:p w14:paraId="5E679001" w14:textId="6CEC3DFB" w:rsidR="001077CA" w:rsidRPr="000665B0" w:rsidRDefault="001077CA" w:rsidP="009570CA">
      <w:pPr>
        <w:pStyle w:val="Heading5"/>
      </w:pPr>
      <w:bookmarkStart w:id="613" w:name="_Toc201388337"/>
      <w:r w:rsidRPr="000665B0">
        <w:t>Select All</w:t>
      </w:r>
      <w:bookmarkEnd w:id="613"/>
    </w:p>
    <w:p w14:paraId="460C500D" w14:textId="77777777" w:rsidR="001077CA" w:rsidRPr="000665B0" w:rsidRDefault="001077CA" w:rsidP="009570CA">
      <w:pPr>
        <w:spacing w:after="0"/>
      </w:pPr>
      <w:r w:rsidRPr="000665B0">
        <w:t>When selected, all databases in the database list are selected.</w:t>
      </w:r>
    </w:p>
    <w:p w14:paraId="6167ECD2" w14:textId="7523286C" w:rsidR="001077CA" w:rsidRPr="000665B0" w:rsidRDefault="001077CA" w:rsidP="009570CA">
      <w:pPr>
        <w:pStyle w:val="Heading4"/>
        <w:keepNext w:val="0"/>
      </w:pPr>
      <w:bookmarkStart w:id="614" w:name="_Toc201388338"/>
      <w:r w:rsidRPr="000665B0">
        <w:t>Help Menu</w:t>
      </w:r>
      <w:bookmarkEnd w:id="614"/>
    </w:p>
    <w:p w14:paraId="6AF515EB" w14:textId="3EB8FCCD" w:rsidR="001077CA" w:rsidRPr="000665B0" w:rsidRDefault="00DC7D18" w:rsidP="009570CA">
      <w:pPr>
        <w:pStyle w:val="Heading5"/>
      </w:pPr>
      <w:bookmarkStart w:id="615" w:name="_Toc201388339"/>
      <w:r w:rsidRPr="000665B0">
        <w:t xml:space="preserve">TMPC </w:t>
      </w:r>
      <w:r w:rsidR="001077CA" w:rsidRPr="000665B0">
        <w:t>Database Utility Help</w:t>
      </w:r>
      <w:bookmarkEnd w:id="615"/>
    </w:p>
    <w:p w14:paraId="5756CC36" w14:textId="77777777" w:rsidR="001077CA" w:rsidRPr="000665B0" w:rsidRDefault="001077CA" w:rsidP="009570CA">
      <w:pPr>
        <w:spacing w:after="0"/>
      </w:pPr>
      <w:r w:rsidRPr="000665B0">
        <w:t>Displays the information contained in this document in the Help Viewer.</w:t>
      </w:r>
    </w:p>
    <w:p w14:paraId="37E50690" w14:textId="0694BF4C" w:rsidR="001077CA" w:rsidRPr="000665B0" w:rsidRDefault="001077CA" w:rsidP="009570CA">
      <w:pPr>
        <w:pStyle w:val="Heading5"/>
      </w:pPr>
      <w:bookmarkStart w:id="616" w:name="_Toc201388340"/>
      <w:r w:rsidRPr="000665B0">
        <w:t xml:space="preserve">About </w:t>
      </w:r>
      <w:r w:rsidR="00DC7D18" w:rsidRPr="000665B0">
        <w:t xml:space="preserve">TMPC </w:t>
      </w:r>
      <w:r w:rsidRPr="000665B0">
        <w:t>Database Utility</w:t>
      </w:r>
      <w:bookmarkEnd w:id="616"/>
    </w:p>
    <w:p w14:paraId="68399F12" w14:textId="139F5C1D" w:rsidR="001077CA" w:rsidRPr="000665B0" w:rsidRDefault="001077CA" w:rsidP="009570CA">
      <w:r w:rsidRPr="000665B0">
        <w:t xml:space="preserve">Displays the </w:t>
      </w:r>
      <w:r w:rsidR="00DC7D18" w:rsidRPr="000665B0">
        <w:t xml:space="preserve">TMPC </w:t>
      </w:r>
      <w:r w:rsidRPr="000665B0">
        <w:t xml:space="preserve">Database Utility application release version, the IAVA </w:t>
      </w:r>
      <w:r w:rsidR="00010B38" w:rsidRPr="000665B0">
        <w:t>Security Version</w:t>
      </w:r>
      <w:r w:rsidRPr="000665B0">
        <w:t>, the list of managed database types</w:t>
      </w:r>
      <w:r w:rsidR="00010B38" w:rsidRPr="000665B0">
        <w:t xml:space="preserve"> and names,</w:t>
      </w:r>
      <w:r w:rsidRPr="000665B0">
        <w:t xml:space="preserve"> and the logged in User Information.</w:t>
      </w:r>
    </w:p>
    <w:p w14:paraId="059870CD" w14:textId="673C2F19" w:rsidR="001077CA" w:rsidRPr="000665B0" w:rsidRDefault="00486FB2" w:rsidP="009570CA">
      <w:pPr>
        <w:jc w:val="center"/>
      </w:pPr>
      <w:r w:rsidRPr="000665B0">
        <w:rPr>
          <w:noProof/>
        </w:rPr>
        <w:lastRenderedPageBreak/>
        <w:drawing>
          <wp:inline distT="0" distB="0" distL="0" distR="0" wp14:anchorId="156B9729" wp14:editId="7C7D99DB">
            <wp:extent cx="3154680" cy="2551176"/>
            <wp:effectExtent l="0" t="0" r="0" b="0"/>
            <wp:docPr id="1366" name="Picture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2551176"/>
                    </a:xfrm>
                    <a:prstGeom prst="rect">
                      <a:avLst/>
                    </a:prstGeom>
                  </pic:spPr>
                </pic:pic>
              </a:graphicData>
            </a:graphic>
          </wp:inline>
        </w:drawing>
      </w:r>
    </w:p>
    <w:p w14:paraId="442C143B" w14:textId="124506A7" w:rsidR="001077CA" w:rsidRPr="000665B0" w:rsidRDefault="00DC7D18" w:rsidP="00011E7B">
      <w:pPr>
        <w:pStyle w:val="Heading3"/>
        <w:keepLines/>
        <w:rPr>
          <w:color w:val="000000"/>
        </w:rPr>
      </w:pPr>
      <w:bookmarkStart w:id="617" w:name="_Toc214283125"/>
      <w:bookmarkStart w:id="618" w:name="_Toc201388341"/>
      <w:r w:rsidRPr="000665B0">
        <w:rPr>
          <w:color w:val="000000"/>
        </w:rPr>
        <w:t xml:space="preserve">TMPC </w:t>
      </w:r>
      <w:r w:rsidR="001077CA" w:rsidRPr="000665B0">
        <w:rPr>
          <w:color w:val="000000"/>
        </w:rPr>
        <w:t xml:space="preserve">Database Utility </w:t>
      </w:r>
      <w:r w:rsidR="00975F2C" w:rsidRPr="000665B0">
        <w:rPr>
          <w:color w:val="000000"/>
        </w:rPr>
        <w:t>–</w:t>
      </w:r>
      <w:r w:rsidR="001077CA" w:rsidRPr="000665B0">
        <w:rPr>
          <w:color w:val="000000"/>
        </w:rPr>
        <w:t xml:space="preserve"> Automatic Mode</w:t>
      </w:r>
      <w:bookmarkEnd w:id="617"/>
    </w:p>
    <w:p w14:paraId="6A10F844" w14:textId="77777777" w:rsidR="001077CA" w:rsidRPr="000665B0" w:rsidRDefault="001077CA" w:rsidP="009570CA">
      <w:r w:rsidRPr="000665B0">
        <w:t xml:space="preserve">In </w:t>
      </w:r>
      <w:r w:rsidRPr="000665B0">
        <w:rPr>
          <w:b/>
        </w:rPr>
        <w:t>Automatic Mode</w:t>
      </w:r>
      <w:r w:rsidRPr="000665B0">
        <w:t xml:space="preserve">, creation of the managed databases commences during application startup using configuration information within </w:t>
      </w:r>
      <w:r w:rsidR="00B157B8" w:rsidRPr="000665B0">
        <w:t>Tc2s</w:t>
      </w:r>
      <w:r w:rsidRPr="000665B0">
        <w:t xml:space="preserve">DatabaseUtility.exe.config and </w:t>
      </w:r>
      <w:r w:rsidR="00B157B8" w:rsidRPr="000665B0">
        <w:t>Tc2s</w:t>
      </w:r>
      <w:r w:rsidRPr="000665B0">
        <w:t xml:space="preserve">Toolbox.exe.app.config. The </w:t>
      </w:r>
      <w:r w:rsidR="00B157B8" w:rsidRPr="000665B0">
        <w:t xml:space="preserve">TED </w:t>
      </w:r>
      <w:r w:rsidRPr="000665B0">
        <w:t xml:space="preserve">Installer executes the </w:t>
      </w:r>
      <w:r w:rsidR="00DC7D18" w:rsidRPr="000665B0">
        <w:t xml:space="preserve">TMPC </w:t>
      </w:r>
      <w:r w:rsidRPr="000665B0">
        <w:t xml:space="preserve">Database Utility in automatic mode during installation. A </w:t>
      </w:r>
      <w:r w:rsidR="001F47FE" w:rsidRPr="000665B0">
        <w:t>read-</w:t>
      </w:r>
      <w:r w:rsidRPr="000665B0">
        <w:t xml:space="preserve">only display is presented to the operator. </w:t>
      </w:r>
    </w:p>
    <w:p w14:paraId="28114AEE" w14:textId="77777777" w:rsidR="001077CA" w:rsidRPr="000665B0" w:rsidRDefault="00B157B8" w:rsidP="009570CA">
      <w:pPr>
        <w:jc w:val="center"/>
      </w:pPr>
      <w:r w:rsidRPr="000665B0">
        <w:rPr>
          <w:noProof/>
        </w:rPr>
        <w:drawing>
          <wp:inline distT="0" distB="0" distL="0" distR="0" wp14:anchorId="2873A409" wp14:editId="06A715CB">
            <wp:extent cx="3154680" cy="777240"/>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3154680" cy="777240"/>
                    </a:xfrm>
                    <a:prstGeom prst="rect">
                      <a:avLst/>
                    </a:prstGeom>
                    <a:noFill/>
                    <a:ln>
                      <a:noFill/>
                    </a:ln>
                  </pic:spPr>
                </pic:pic>
              </a:graphicData>
            </a:graphic>
          </wp:inline>
        </w:drawing>
      </w:r>
    </w:p>
    <w:p w14:paraId="3A745A76" w14:textId="77777777" w:rsidR="001077CA" w:rsidRPr="000665B0" w:rsidRDefault="001077CA" w:rsidP="009570CA">
      <w:r w:rsidRPr="000665B0">
        <w:rPr>
          <w:b/>
        </w:rPr>
        <w:t>Show Details</w:t>
      </w:r>
      <w:r w:rsidRPr="000665B0">
        <w:t xml:space="preserve"> displays the location of the archive files that are used to create the databases.</w:t>
      </w:r>
    </w:p>
    <w:p w14:paraId="1CBF3E15" w14:textId="77777777" w:rsidR="001077CA" w:rsidRPr="000665B0" w:rsidRDefault="001077CA" w:rsidP="009570CA">
      <w:r w:rsidRPr="000665B0">
        <w:t>If there is already a pre-existing database, the operator is prompted on how to proceed.</w:t>
      </w:r>
    </w:p>
    <w:p w14:paraId="6FBD5D9A" w14:textId="77777777" w:rsidR="001077CA" w:rsidRPr="000665B0" w:rsidRDefault="00822722" w:rsidP="009570CA">
      <w:pPr>
        <w:jc w:val="center"/>
      </w:pPr>
      <w:r w:rsidRPr="000665B0">
        <w:rPr>
          <w:noProof/>
        </w:rPr>
        <w:drawing>
          <wp:inline distT="0" distB="0" distL="0" distR="0" wp14:anchorId="04A0A8EA" wp14:editId="59D6E6D7">
            <wp:extent cx="3154680" cy="1965960"/>
            <wp:effectExtent l="0" t="0" r="0" b="0"/>
            <wp:docPr id="1339" name="Picture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3154680" cy="1965960"/>
                    </a:xfrm>
                    <a:prstGeom prst="rect">
                      <a:avLst/>
                    </a:prstGeom>
                  </pic:spPr>
                </pic:pic>
              </a:graphicData>
            </a:graphic>
          </wp:inline>
        </w:drawing>
      </w:r>
    </w:p>
    <w:p w14:paraId="4EBCE311" w14:textId="184856B3" w:rsidR="001077CA" w:rsidRPr="000665B0" w:rsidRDefault="001077CA" w:rsidP="009570CA">
      <w:r w:rsidRPr="000665B0">
        <w:rPr>
          <w:b/>
        </w:rPr>
        <w:t xml:space="preserve">Overwrite Database </w:t>
      </w:r>
      <w:r w:rsidRPr="000665B0">
        <w:t>deletes the pre-existing database and creates a new database.</w:t>
      </w:r>
      <w:r w:rsidR="009651B0">
        <w:t xml:space="preserve"> </w:t>
      </w:r>
    </w:p>
    <w:p w14:paraId="3F5FE269" w14:textId="77777777" w:rsidR="001077CA" w:rsidRPr="000665B0" w:rsidRDefault="001077CA" w:rsidP="009570CA">
      <w:r w:rsidRPr="000665B0">
        <w:rPr>
          <w:b/>
        </w:rPr>
        <w:t>Use Existing</w:t>
      </w:r>
      <w:r w:rsidRPr="000665B0">
        <w:t xml:space="preserve"> skips the database creation for the pre-existing database.</w:t>
      </w:r>
    </w:p>
    <w:p w14:paraId="5C7DAAD0" w14:textId="77777777" w:rsidR="001077CA" w:rsidRPr="000665B0" w:rsidRDefault="001077CA" w:rsidP="009570CA">
      <w:pPr>
        <w:spacing w:after="0"/>
      </w:pPr>
      <w:r w:rsidRPr="000665B0">
        <w:rPr>
          <w:b/>
          <w:bCs/>
        </w:rPr>
        <w:lastRenderedPageBreak/>
        <w:t>Apply To All</w:t>
      </w:r>
      <w:r w:rsidRPr="000665B0">
        <w:t xml:space="preserve"> applies the selected procession option to the subsequent database creations that have a pre-existing database. If this option is not checked, the operator is prompted on how to proceed for each subsequent database creation that has a pre-existing database.</w:t>
      </w:r>
    </w:p>
    <w:p w14:paraId="5C0ED124" w14:textId="7D1CE465" w:rsidR="001077CA" w:rsidRPr="000665B0" w:rsidRDefault="001077CA" w:rsidP="009570CA">
      <w:pPr>
        <w:pStyle w:val="Heading3"/>
        <w:keepNext w:val="0"/>
      </w:pPr>
      <w:bookmarkStart w:id="619" w:name="_4.5.4__Command"/>
      <w:bookmarkStart w:id="620" w:name="_Toc214283126"/>
      <w:bookmarkEnd w:id="619"/>
      <w:r w:rsidRPr="000665B0">
        <w:t>Command Parameters</w:t>
      </w:r>
      <w:bookmarkEnd w:id="618"/>
      <w:bookmarkEnd w:id="620"/>
    </w:p>
    <w:p w14:paraId="3F7A3B47" w14:textId="77777777" w:rsidR="001077CA" w:rsidRPr="000665B0" w:rsidRDefault="001077CA" w:rsidP="009570CA">
      <w:pPr>
        <w:spacing w:line="240" w:lineRule="auto"/>
        <w:rPr>
          <w:szCs w:val="24"/>
        </w:rPr>
      </w:pPr>
      <w:r w:rsidRPr="000665B0">
        <w:rPr>
          <w:szCs w:val="24"/>
        </w:rPr>
        <w:t xml:space="preserve">The </w:t>
      </w:r>
      <w:r w:rsidR="00DC7D18" w:rsidRPr="000665B0">
        <w:t>TMPC</w:t>
      </w:r>
      <w:r w:rsidRPr="000665B0">
        <w:t xml:space="preserve"> </w:t>
      </w:r>
      <w:r w:rsidRPr="000665B0">
        <w:rPr>
          <w:szCs w:val="24"/>
        </w:rPr>
        <w:t>Database Utility supports the following command line parameters (case sensitive):</w:t>
      </w:r>
    </w:p>
    <w:tbl>
      <w:tblPr>
        <w:tblW w:w="0" w:type="auto"/>
        <w:tblInd w:w="108" w:type="dxa"/>
        <w:tblCellMar>
          <w:left w:w="0" w:type="dxa"/>
          <w:right w:w="0" w:type="dxa"/>
        </w:tblCellMar>
        <w:tblLook w:val="0000" w:firstRow="0" w:lastRow="0" w:firstColumn="0" w:lastColumn="0" w:noHBand="0" w:noVBand="0"/>
      </w:tblPr>
      <w:tblGrid>
        <w:gridCol w:w="3372"/>
        <w:gridCol w:w="5860"/>
      </w:tblGrid>
      <w:tr w:rsidR="001077CA" w:rsidRPr="000665B0" w14:paraId="60ACE8C1" w14:textId="77777777" w:rsidTr="0037019B">
        <w:trPr>
          <w:tblHeader/>
        </w:trPr>
        <w:tc>
          <w:tcPr>
            <w:tcW w:w="342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4F40ED88" w14:textId="77777777" w:rsidR="001077CA" w:rsidRPr="000665B0" w:rsidRDefault="001077CA" w:rsidP="009570CA">
            <w:pPr>
              <w:spacing w:after="0" w:line="240" w:lineRule="auto"/>
              <w:rPr>
                <w:rFonts w:ascii="Arial" w:hAnsi="Arial" w:cs="Arial"/>
                <w:sz w:val="22"/>
                <w:szCs w:val="22"/>
              </w:rPr>
            </w:pPr>
            <w:r w:rsidRPr="000665B0">
              <w:rPr>
                <w:rFonts w:ascii="Arial" w:hAnsi="Arial" w:cs="Arial"/>
                <w:b/>
                <w:bCs/>
                <w:color w:val="000000"/>
                <w:sz w:val="22"/>
                <w:szCs w:val="22"/>
              </w:rPr>
              <w:t>Parameter</w:t>
            </w:r>
          </w:p>
        </w:tc>
        <w:tc>
          <w:tcPr>
            <w:tcW w:w="6048"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08E552FA" w14:textId="77777777" w:rsidR="001077CA" w:rsidRPr="000665B0" w:rsidRDefault="001077CA" w:rsidP="009570CA">
            <w:pPr>
              <w:spacing w:after="0" w:line="240" w:lineRule="auto"/>
              <w:rPr>
                <w:rFonts w:ascii="Arial" w:hAnsi="Arial" w:cs="Arial"/>
                <w:sz w:val="22"/>
                <w:szCs w:val="22"/>
              </w:rPr>
            </w:pPr>
            <w:r w:rsidRPr="000665B0">
              <w:rPr>
                <w:rFonts w:ascii="Arial" w:hAnsi="Arial" w:cs="Arial"/>
                <w:b/>
                <w:bCs/>
                <w:color w:val="000000"/>
                <w:sz w:val="22"/>
                <w:szCs w:val="22"/>
              </w:rPr>
              <w:t>Description</w:t>
            </w:r>
          </w:p>
        </w:tc>
      </w:tr>
      <w:tr w:rsidR="001077CA" w:rsidRPr="000665B0" w14:paraId="472521DC" w14:textId="77777777" w:rsidTr="001077CA">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46A2D32" w14:textId="77777777" w:rsidR="001077CA" w:rsidRPr="000665B0" w:rsidRDefault="001077CA" w:rsidP="009570CA">
            <w:pPr>
              <w:spacing w:after="0" w:line="240" w:lineRule="auto"/>
              <w:rPr>
                <w:rFonts w:ascii="Arial" w:hAnsi="Arial" w:cs="Arial"/>
                <w:szCs w:val="24"/>
              </w:rPr>
            </w:pPr>
            <w:r w:rsidRPr="000665B0">
              <w:rPr>
                <w:rFonts w:ascii="Arial" w:hAnsi="Arial" w:cs="Arial"/>
                <w:color w:val="000000"/>
                <w:sz w:val="20"/>
              </w:rPr>
              <w:t>-v</w:t>
            </w:r>
          </w:p>
        </w:tc>
        <w:tc>
          <w:tcPr>
            <w:tcW w:w="6048" w:type="dxa"/>
            <w:tcBorders>
              <w:top w:val="nil"/>
              <w:left w:val="nil"/>
              <w:bottom w:val="single" w:sz="8" w:space="0" w:color="auto"/>
              <w:right w:val="single" w:sz="8" w:space="0" w:color="auto"/>
            </w:tcBorders>
            <w:tcMar>
              <w:top w:w="0" w:type="dxa"/>
              <w:left w:w="108" w:type="dxa"/>
              <w:bottom w:w="0" w:type="dxa"/>
              <w:right w:w="108" w:type="dxa"/>
            </w:tcMar>
          </w:tcPr>
          <w:p w14:paraId="5854C562" w14:textId="77777777" w:rsidR="001077CA" w:rsidRPr="000665B0" w:rsidRDefault="001077CA" w:rsidP="009570CA">
            <w:pPr>
              <w:spacing w:after="0" w:line="240" w:lineRule="auto"/>
              <w:rPr>
                <w:rFonts w:ascii="Arial" w:hAnsi="Arial" w:cs="Arial"/>
                <w:szCs w:val="24"/>
              </w:rPr>
            </w:pPr>
            <w:r w:rsidRPr="000665B0">
              <w:rPr>
                <w:rFonts w:ascii="Arial" w:hAnsi="Arial" w:cs="Arial"/>
                <w:color w:val="000000"/>
                <w:sz w:val="20"/>
              </w:rPr>
              <w:t>Verbose. Display detailed processing information.</w:t>
            </w:r>
          </w:p>
        </w:tc>
      </w:tr>
      <w:tr w:rsidR="001077CA" w:rsidRPr="000665B0" w14:paraId="14350BE2" w14:textId="77777777" w:rsidTr="001077CA">
        <w:trPr>
          <w:cantSplit/>
        </w:trPr>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690C5EB" w14:textId="77777777" w:rsidR="001077CA" w:rsidRPr="000665B0" w:rsidRDefault="001077CA" w:rsidP="009570CA">
            <w:pPr>
              <w:spacing w:after="0" w:line="240" w:lineRule="auto"/>
              <w:rPr>
                <w:rFonts w:ascii="Arial" w:hAnsi="Arial" w:cs="Arial"/>
                <w:szCs w:val="24"/>
              </w:rPr>
            </w:pPr>
            <w:r w:rsidRPr="000665B0">
              <w:rPr>
                <w:rFonts w:ascii="Arial" w:hAnsi="Arial" w:cs="Arial"/>
                <w:color w:val="000000"/>
                <w:sz w:val="20"/>
              </w:rPr>
              <w:t>- AutoArchiveDatabases [archive file path]</w:t>
            </w:r>
          </w:p>
        </w:tc>
        <w:tc>
          <w:tcPr>
            <w:tcW w:w="6048" w:type="dxa"/>
            <w:tcBorders>
              <w:top w:val="nil"/>
              <w:left w:val="nil"/>
              <w:bottom w:val="single" w:sz="8" w:space="0" w:color="auto"/>
              <w:right w:val="single" w:sz="8" w:space="0" w:color="auto"/>
            </w:tcBorders>
            <w:tcMar>
              <w:top w:w="0" w:type="dxa"/>
              <w:left w:w="108" w:type="dxa"/>
              <w:bottom w:w="0" w:type="dxa"/>
              <w:right w:w="108" w:type="dxa"/>
            </w:tcMar>
          </w:tcPr>
          <w:p w14:paraId="2B05AFC6" w14:textId="77777777" w:rsidR="001077CA" w:rsidRPr="000665B0" w:rsidRDefault="001077CA" w:rsidP="009570CA">
            <w:pPr>
              <w:spacing w:after="0" w:line="240" w:lineRule="auto"/>
              <w:rPr>
                <w:rFonts w:ascii="Arial" w:hAnsi="Arial" w:cs="Arial"/>
                <w:szCs w:val="24"/>
              </w:rPr>
            </w:pPr>
            <w:r w:rsidRPr="000665B0">
              <w:rPr>
                <w:rFonts w:ascii="Arial" w:hAnsi="Arial" w:cs="Arial"/>
                <w:color w:val="000000"/>
                <w:sz w:val="20"/>
              </w:rPr>
              <w:t xml:space="preserve">Automatically create an archive file for each of the managed databases. The intention is to use this for nightly backups via a Windows Task Schedule event. If archive file path is not provided, the archive file </w:t>
            </w:r>
            <w:r w:rsidR="00FB7998" w:rsidRPr="000665B0">
              <w:rPr>
                <w:rFonts w:ascii="Arial" w:hAnsi="Arial" w:cs="Arial"/>
                <w:color w:val="000000"/>
                <w:sz w:val="20"/>
              </w:rPr>
              <w:t>is</w:t>
            </w:r>
            <w:r w:rsidRPr="000665B0">
              <w:rPr>
                <w:rFonts w:ascii="Arial" w:hAnsi="Arial" w:cs="Arial"/>
                <w:color w:val="000000"/>
                <w:sz w:val="20"/>
              </w:rPr>
              <w:t xml:space="preserve"> created in C:\. The log file, TC2S Database Utility.Log </w:t>
            </w:r>
            <w:r w:rsidR="00FB7998" w:rsidRPr="000665B0">
              <w:rPr>
                <w:rFonts w:ascii="Arial" w:hAnsi="Arial" w:cs="Arial"/>
                <w:color w:val="000000"/>
                <w:sz w:val="20"/>
              </w:rPr>
              <w:t>is</w:t>
            </w:r>
            <w:r w:rsidRPr="000665B0">
              <w:rPr>
                <w:rFonts w:ascii="Arial" w:hAnsi="Arial" w:cs="Arial"/>
                <w:color w:val="000000"/>
                <w:sz w:val="20"/>
              </w:rPr>
              <w:t xml:space="preserve"> created in the application startup path.</w:t>
            </w:r>
          </w:p>
        </w:tc>
      </w:tr>
    </w:tbl>
    <w:p w14:paraId="5215A57B" w14:textId="77777777" w:rsidR="001077CA" w:rsidRPr="000665B0" w:rsidRDefault="001077CA" w:rsidP="009570CA">
      <w:pPr>
        <w:spacing w:before="120"/>
      </w:pPr>
      <w:r w:rsidRPr="000665B0">
        <w:t>The archiving of databases can be added to the Microsoft Windows Task Scheduler using the following steps:</w:t>
      </w:r>
    </w:p>
    <w:p w14:paraId="237A4B5C" w14:textId="2A4411C2" w:rsidR="000B397E" w:rsidRPr="000665B0" w:rsidRDefault="00822722" w:rsidP="006D5A65">
      <w:pPr>
        <w:pStyle w:val="Heading2"/>
      </w:pPr>
      <w:r w:rsidRPr="000665B0">
        <w:rPr>
          <w:szCs w:val="24"/>
        </w:rPr>
        <w:t xml:space="preserve">Right-click the </w:t>
      </w:r>
      <w:r w:rsidRPr="000665B0">
        <w:rPr>
          <w:noProof/>
          <w:szCs w:val="24"/>
        </w:rPr>
        <w:drawing>
          <wp:inline distT="0" distB="0" distL="0" distR="0" wp14:anchorId="2A0533FA" wp14:editId="600DCD93">
            <wp:extent cx="182880" cy="178068"/>
            <wp:effectExtent l="0" t="0" r="7620" b="0"/>
            <wp:docPr id="1385" name="Picture 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0665B0">
        <w:rPr>
          <w:szCs w:val="24"/>
        </w:rPr>
        <w:t xml:space="preserve"> icon and select </w:t>
      </w:r>
      <w:r w:rsidR="005011F2" w:rsidRPr="000665B0">
        <w:rPr>
          <w:szCs w:val="24"/>
        </w:rPr>
        <w:t xml:space="preserve">Search from the pop-up menu. </w:t>
      </w:r>
      <w:r w:rsidR="005011F2" w:rsidRPr="000665B0">
        <w:t>Type Task Scheduler in the Search field, and then select Task Scheduler in the results list</w:t>
      </w:r>
      <w:r w:rsidRPr="000665B0">
        <w:rPr>
          <w:szCs w:val="24"/>
        </w:rPr>
        <w:t xml:space="preserve">. </w:t>
      </w:r>
      <w:r w:rsidR="000B397E" w:rsidRPr="000665B0">
        <w:t xml:space="preserve">In the </w:t>
      </w:r>
      <w:r w:rsidR="002B0D7B" w:rsidRPr="000665B0">
        <w:t xml:space="preserve">Actions </w:t>
      </w:r>
      <w:r w:rsidR="000B397E" w:rsidRPr="000665B0">
        <w:t>pane</w:t>
      </w:r>
      <w:r w:rsidR="00BC780E" w:rsidRPr="000665B0">
        <w:t xml:space="preserve"> of the</w:t>
      </w:r>
      <w:r w:rsidR="007333BF" w:rsidRPr="000665B0">
        <w:t xml:space="preserve"> </w:t>
      </w:r>
      <w:r w:rsidR="000B397E" w:rsidRPr="000665B0">
        <w:rPr>
          <w:i/>
        </w:rPr>
        <w:t>Task Scheduler</w:t>
      </w:r>
      <w:r w:rsidR="00BC780E" w:rsidRPr="000665B0">
        <w:t xml:space="preserve"> window</w:t>
      </w:r>
      <w:r w:rsidR="000B397E" w:rsidRPr="000665B0">
        <w:t>, select Create Basic Task</w:t>
      </w:r>
      <w:r w:rsidR="00A63340" w:rsidRPr="000665B0">
        <w:t>…</w:t>
      </w:r>
      <w:r w:rsidR="000B397E" w:rsidRPr="000665B0">
        <w:t>.</w:t>
      </w:r>
    </w:p>
    <w:p w14:paraId="25A9BC93" w14:textId="0AE7CAB8" w:rsidR="001077CA" w:rsidRPr="000665B0" w:rsidRDefault="009747C2" w:rsidP="009570CA">
      <w:pPr>
        <w:jc w:val="center"/>
      </w:pPr>
      <w:r w:rsidRPr="000665B0">
        <w:rPr>
          <w:noProof/>
        </w:rPr>
        <w:drawing>
          <wp:inline distT="0" distB="0" distL="0" distR="0" wp14:anchorId="2C4E9B46" wp14:editId="24AA273E">
            <wp:extent cx="4114800" cy="2761488"/>
            <wp:effectExtent l="0" t="0" r="0" b="0"/>
            <wp:docPr id="1338" name="Picture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761488"/>
                    </a:xfrm>
                    <a:prstGeom prst="rect">
                      <a:avLst/>
                    </a:prstGeom>
                  </pic:spPr>
                </pic:pic>
              </a:graphicData>
            </a:graphic>
          </wp:inline>
        </w:drawing>
      </w:r>
    </w:p>
    <w:p w14:paraId="7BB4170F" w14:textId="77777777" w:rsidR="001077CA" w:rsidRPr="000665B0" w:rsidRDefault="00BC780E" w:rsidP="006D5A65">
      <w:pPr>
        <w:pStyle w:val="Heading1"/>
      </w:pPr>
      <w:r w:rsidRPr="000665B0">
        <w:lastRenderedPageBreak/>
        <w:t xml:space="preserve">The </w:t>
      </w:r>
      <w:r w:rsidRPr="000665B0">
        <w:rPr>
          <w:i/>
        </w:rPr>
        <w:t>Create Basic Task Wizard</w:t>
      </w:r>
      <w:r w:rsidRPr="000665B0">
        <w:t xml:space="preserve"> window is displayed. </w:t>
      </w:r>
      <w:r w:rsidR="001077CA" w:rsidRPr="000665B0">
        <w:t>Enter a descriptive name and select</w:t>
      </w:r>
      <w:r w:rsidR="006717E5" w:rsidRPr="000665B0">
        <w:t xml:space="preserve"> the</w:t>
      </w:r>
      <w:r w:rsidR="001077CA" w:rsidRPr="000665B0">
        <w:t xml:space="preserve"> Next button to continue.</w:t>
      </w:r>
    </w:p>
    <w:p w14:paraId="46E59B7A" w14:textId="7958B940" w:rsidR="001077CA" w:rsidRPr="000665B0" w:rsidRDefault="009747C2" w:rsidP="009570CA">
      <w:pPr>
        <w:jc w:val="center"/>
      </w:pPr>
      <w:r w:rsidRPr="000665B0">
        <w:rPr>
          <w:noProof/>
        </w:rPr>
        <w:drawing>
          <wp:inline distT="0" distB="0" distL="0" distR="0" wp14:anchorId="50CE40CE" wp14:editId="00A05B03">
            <wp:extent cx="4114800" cy="2889504"/>
            <wp:effectExtent l="0" t="0" r="0" b="0"/>
            <wp:docPr id="1347" name="Picture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889504"/>
                    </a:xfrm>
                    <a:prstGeom prst="rect">
                      <a:avLst/>
                    </a:prstGeom>
                  </pic:spPr>
                </pic:pic>
              </a:graphicData>
            </a:graphic>
          </wp:inline>
        </w:drawing>
      </w:r>
    </w:p>
    <w:p w14:paraId="718A6910" w14:textId="77777777" w:rsidR="001077CA" w:rsidRPr="000665B0" w:rsidRDefault="001077CA" w:rsidP="006D5A65">
      <w:pPr>
        <w:pStyle w:val="Heading1"/>
      </w:pPr>
      <w:r w:rsidRPr="000665B0">
        <w:t>Select the appropriate radio button (e.g., Daily, Weekly, etc.) to choose how often to run this task and click the Next button.</w:t>
      </w:r>
    </w:p>
    <w:p w14:paraId="65ED9188" w14:textId="5BC7C63B" w:rsidR="001077CA" w:rsidRPr="000665B0" w:rsidRDefault="009747C2" w:rsidP="009570CA">
      <w:pPr>
        <w:jc w:val="center"/>
      </w:pPr>
      <w:r w:rsidRPr="000665B0">
        <w:rPr>
          <w:noProof/>
        </w:rPr>
        <w:drawing>
          <wp:inline distT="0" distB="0" distL="0" distR="0" wp14:anchorId="4DEB761F" wp14:editId="1ECA7811">
            <wp:extent cx="4114800" cy="2889504"/>
            <wp:effectExtent l="0" t="0" r="0" b="0"/>
            <wp:docPr id="1349" name="Picture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889504"/>
                    </a:xfrm>
                    <a:prstGeom prst="rect">
                      <a:avLst/>
                    </a:prstGeom>
                  </pic:spPr>
                </pic:pic>
              </a:graphicData>
            </a:graphic>
          </wp:inline>
        </w:drawing>
      </w:r>
    </w:p>
    <w:p w14:paraId="65F4FF05" w14:textId="77777777" w:rsidR="001077CA" w:rsidRPr="000665B0" w:rsidRDefault="001077CA" w:rsidP="006D5A65">
      <w:pPr>
        <w:pStyle w:val="Heading1"/>
      </w:pPr>
      <w:r w:rsidRPr="000665B0">
        <w:lastRenderedPageBreak/>
        <w:t>Select the Start</w:t>
      </w:r>
      <w:r w:rsidR="00BC780E" w:rsidRPr="000665B0">
        <w:t xml:space="preserve"> date and</w:t>
      </w:r>
      <w:r w:rsidRPr="000665B0">
        <w:t xml:space="preserve"> time</w:t>
      </w:r>
      <w:r w:rsidR="00BC780E" w:rsidRPr="000665B0">
        <w:t xml:space="preserve"> and</w:t>
      </w:r>
      <w:r w:rsidRPr="000665B0">
        <w:t xml:space="preserve"> how often the task should run</w:t>
      </w:r>
      <w:r w:rsidR="00BC780E" w:rsidRPr="000665B0">
        <w:t xml:space="preserve"> (recurrence)</w:t>
      </w:r>
      <w:r w:rsidRPr="000665B0">
        <w:t xml:space="preserve"> for performing this task and click the Next button.</w:t>
      </w:r>
    </w:p>
    <w:p w14:paraId="02E8633F" w14:textId="1A0CBA8D" w:rsidR="001077CA" w:rsidRPr="000665B0" w:rsidRDefault="009747C2" w:rsidP="009570CA">
      <w:pPr>
        <w:jc w:val="center"/>
      </w:pPr>
      <w:r w:rsidRPr="000665B0">
        <w:rPr>
          <w:noProof/>
        </w:rPr>
        <w:drawing>
          <wp:inline distT="0" distB="0" distL="0" distR="0" wp14:anchorId="0744D8D7" wp14:editId="436B4DFB">
            <wp:extent cx="4114800" cy="2889504"/>
            <wp:effectExtent l="0" t="0" r="0" b="0"/>
            <wp:docPr id="1360" name="Picture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889504"/>
                    </a:xfrm>
                    <a:prstGeom prst="rect">
                      <a:avLst/>
                    </a:prstGeom>
                  </pic:spPr>
                </pic:pic>
              </a:graphicData>
            </a:graphic>
          </wp:inline>
        </w:drawing>
      </w:r>
    </w:p>
    <w:p w14:paraId="2834281A" w14:textId="601744FE" w:rsidR="001077CA" w:rsidRPr="000665B0" w:rsidRDefault="007F42CC" w:rsidP="006D5A65">
      <w:pPr>
        <w:pStyle w:val="Heading1"/>
        <w:rPr>
          <w:noProof/>
        </w:rPr>
      </w:pPr>
      <w:r w:rsidRPr="000665B0">
        <w:t xml:space="preserve">Ensure that </w:t>
      </w:r>
      <w:r w:rsidR="001077CA" w:rsidRPr="000665B0">
        <w:t>Action</w:t>
      </w:r>
      <w:r w:rsidRPr="000665B0">
        <w:t xml:space="preserve"> is selected, select</w:t>
      </w:r>
      <w:r w:rsidR="001077CA" w:rsidRPr="000665B0">
        <w:t xml:space="preserve"> </w:t>
      </w:r>
      <w:r w:rsidR="005011F2" w:rsidRPr="000665B0">
        <w:t xml:space="preserve">Start a program, </w:t>
      </w:r>
      <w:r w:rsidR="001077CA" w:rsidRPr="000665B0">
        <w:t>and click the Next button.</w:t>
      </w:r>
    </w:p>
    <w:p w14:paraId="73F33A79" w14:textId="755D6306" w:rsidR="001077CA" w:rsidRPr="000665B0" w:rsidRDefault="009747C2" w:rsidP="009570CA">
      <w:pPr>
        <w:jc w:val="center"/>
      </w:pPr>
      <w:r w:rsidRPr="000665B0">
        <w:rPr>
          <w:noProof/>
        </w:rPr>
        <w:drawing>
          <wp:inline distT="0" distB="0" distL="0" distR="0" wp14:anchorId="7B800A48" wp14:editId="5437071A">
            <wp:extent cx="4114800" cy="2889504"/>
            <wp:effectExtent l="0" t="0" r="0" b="0"/>
            <wp:docPr id="1362" name="Picture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889504"/>
                    </a:xfrm>
                    <a:prstGeom prst="rect">
                      <a:avLst/>
                    </a:prstGeom>
                  </pic:spPr>
                </pic:pic>
              </a:graphicData>
            </a:graphic>
          </wp:inline>
        </w:drawing>
      </w:r>
    </w:p>
    <w:p w14:paraId="55171A4F" w14:textId="77777777" w:rsidR="006F659E" w:rsidRPr="000665B0" w:rsidRDefault="001077CA" w:rsidP="006D5A65">
      <w:pPr>
        <w:pStyle w:val="Heading1"/>
      </w:pPr>
      <w:r w:rsidRPr="000665B0">
        <w:t xml:space="preserve">Enter the full path of the TC2SDatabaseUtility.exe or click the Browse… button. Add the following in the Add arguments (optional) </w:t>
      </w:r>
      <w:r w:rsidR="00BC780E" w:rsidRPr="000665B0">
        <w:t>field</w:t>
      </w:r>
      <w:r w:rsidRPr="000665B0">
        <w:t>:</w:t>
      </w:r>
      <w:r w:rsidRPr="000665B0">
        <w:br/>
      </w:r>
      <w:r w:rsidR="006F659E" w:rsidRPr="000665B0">
        <w:lastRenderedPageBreak/>
        <w:t xml:space="preserve">-AutoArchiveDatabases c:\temp\dbbackup. </w:t>
      </w:r>
      <w:r w:rsidR="002B0D7B" w:rsidRPr="000665B0">
        <w:br/>
        <w:t>Click the Next button.</w:t>
      </w:r>
    </w:p>
    <w:p w14:paraId="72592755" w14:textId="77777777" w:rsidR="006F659E" w:rsidRPr="000665B0" w:rsidRDefault="006F659E" w:rsidP="009570CA">
      <w:pPr>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 xml:space="preserve">Note: </w:t>
      </w:r>
    </w:p>
    <w:p w14:paraId="6146D187" w14:textId="295CEE16" w:rsidR="006F659E" w:rsidRPr="000665B0" w:rsidRDefault="006F659E" w:rsidP="009570CA">
      <w:pPr>
        <w:pBdr>
          <w:top w:val="single" w:sz="12" w:space="1" w:color="auto"/>
          <w:left w:val="single" w:sz="12" w:space="4" w:color="auto"/>
          <w:bottom w:val="single" w:sz="12" w:space="0" w:color="auto"/>
          <w:right w:val="single" w:sz="12" w:space="4" w:color="auto"/>
        </w:pBdr>
        <w:shd w:val="clear" w:color="auto" w:fill="D9D9D9"/>
        <w:spacing w:after="240"/>
        <w:jc w:val="center"/>
        <w:rPr>
          <w:b/>
        </w:rPr>
      </w:pPr>
      <w:r w:rsidRPr="000665B0">
        <w:rPr>
          <w:b/>
        </w:rPr>
        <w:t xml:space="preserve">The archive file can be put anywhere. The directory must </w:t>
      </w:r>
      <w:r w:rsidR="00986E97" w:rsidRPr="000665B0">
        <w:rPr>
          <w:b/>
        </w:rPr>
        <w:t>exist;</w:t>
      </w:r>
      <w:r w:rsidRPr="000665B0">
        <w:rPr>
          <w:b/>
        </w:rPr>
        <w:t xml:space="preserve"> the directory name must not have any spaces in it and the user account must have write privilege to the directory.</w:t>
      </w:r>
    </w:p>
    <w:p w14:paraId="74E10660" w14:textId="1AACD90A" w:rsidR="001077CA" w:rsidRPr="000665B0" w:rsidRDefault="00842967" w:rsidP="009570CA">
      <w:pPr>
        <w:jc w:val="center"/>
      </w:pPr>
      <w:r w:rsidRPr="000665B0">
        <w:rPr>
          <w:noProof/>
        </w:rPr>
        <w:drawing>
          <wp:inline distT="0" distB="0" distL="0" distR="0" wp14:anchorId="400E5FC2" wp14:editId="27816380">
            <wp:extent cx="4114800" cy="2889504"/>
            <wp:effectExtent l="0" t="0" r="0" b="0"/>
            <wp:docPr id="1415" name="Picture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889504"/>
                    </a:xfrm>
                    <a:prstGeom prst="rect">
                      <a:avLst/>
                    </a:prstGeom>
                  </pic:spPr>
                </pic:pic>
              </a:graphicData>
            </a:graphic>
          </wp:inline>
        </w:drawing>
      </w:r>
    </w:p>
    <w:p w14:paraId="77BE8503" w14:textId="77777777" w:rsidR="001077CA" w:rsidRPr="000665B0" w:rsidRDefault="00B90CBA" w:rsidP="006D5A65">
      <w:pPr>
        <w:pStyle w:val="Heading1"/>
      </w:pPr>
      <w:r w:rsidRPr="000665B0">
        <w:t xml:space="preserve">Select </w:t>
      </w:r>
      <w:r w:rsidR="001077CA" w:rsidRPr="000665B0">
        <w:t>the Open the Properties dialog for this task when I click finish box and click the Finish button.</w:t>
      </w:r>
    </w:p>
    <w:p w14:paraId="6301B2E8" w14:textId="740F11D9" w:rsidR="001077CA" w:rsidRPr="000665B0" w:rsidRDefault="009747C2" w:rsidP="009570CA">
      <w:pPr>
        <w:jc w:val="center"/>
      </w:pPr>
      <w:r w:rsidRPr="000665B0">
        <w:rPr>
          <w:noProof/>
        </w:rPr>
        <w:t xml:space="preserve"> </w:t>
      </w:r>
      <w:r w:rsidR="00F93370" w:rsidRPr="000665B0">
        <w:rPr>
          <w:noProof/>
        </w:rPr>
        <w:drawing>
          <wp:inline distT="0" distB="0" distL="0" distR="0" wp14:anchorId="5B2499C2" wp14:editId="1B079D5D">
            <wp:extent cx="4114800" cy="2889504"/>
            <wp:effectExtent l="0" t="0" r="0" b="0"/>
            <wp:docPr id="1437" name="Picture 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889504"/>
                    </a:xfrm>
                    <a:prstGeom prst="rect">
                      <a:avLst/>
                    </a:prstGeom>
                  </pic:spPr>
                </pic:pic>
              </a:graphicData>
            </a:graphic>
          </wp:inline>
        </w:drawing>
      </w:r>
    </w:p>
    <w:p w14:paraId="533960FF" w14:textId="77777777" w:rsidR="001077CA" w:rsidRPr="000665B0" w:rsidRDefault="001077CA" w:rsidP="006D5A65">
      <w:pPr>
        <w:pStyle w:val="Heading1"/>
      </w:pPr>
      <w:r w:rsidRPr="000665B0">
        <w:lastRenderedPageBreak/>
        <w:t xml:space="preserve">Configure the security options in the </w:t>
      </w:r>
      <w:r w:rsidRPr="000665B0">
        <w:rPr>
          <w:i/>
        </w:rPr>
        <w:t>Properties</w:t>
      </w:r>
      <w:r w:rsidRPr="000665B0">
        <w:t xml:space="preserve"> </w:t>
      </w:r>
      <w:r w:rsidR="00B90CBA" w:rsidRPr="000665B0">
        <w:t xml:space="preserve">window </w:t>
      </w:r>
      <w:r w:rsidRPr="000665B0">
        <w:t xml:space="preserve">as appropriate and click the OK button. </w:t>
      </w:r>
    </w:p>
    <w:p w14:paraId="5B4AF3FF" w14:textId="012C9B09" w:rsidR="002B378E" w:rsidRPr="000665B0" w:rsidRDefault="009747C2" w:rsidP="009570CA">
      <w:pPr>
        <w:jc w:val="center"/>
      </w:pPr>
      <w:r w:rsidRPr="000665B0">
        <w:rPr>
          <w:noProof/>
        </w:rPr>
        <w:drawing>
          <wp:inline distT="0" distB="0" distL="0" distR="0" wp14:anchorId="3299213B" wp14:editId="75086CFF">
            <wp:extent cx="4114800" cy="3127248"/>
            <wp:effectExtent l="0" t="0" r="0" b="0"/>
            <wp:docPr id="1396" name="Picture 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3127248"/>
                    </a:xfrm>
                    <a:prstGeom prst="rect">
                      <a:avLst/>
                    </a:prstGeom>
                  </pic:spPr>
                </pic:pic>
              </a:graphicData>
            </a:graphic>
          </wp:inline>
        </w:drawing>
      </w:r>
    </w:p>
    <w:p w14:paraId="657F63E9" w14:textId="77777777" w:rsidR="008C0059" w:rsidRPr="000665B0" w:rsidRDefault="002B378E" w:rsidP="006D5A65">
      <w:pPr>
        <w:pStyle w:val="Heading1"/>
      </w:pPr>
      <w:r w:rsidRPr="000665B0">
        <w:t>If prompted, enter the</w:t>
      </w:r>
      <w:r w:rsidR="008C0059" w:rsidRPr="000665B0">
        <w:t xml:space="preserve"> user</w:t>
      </w:r>
      <w:r w:rsidRPr="000665B0">
        <w:t xml:space="preserve"> Password in the </w:t>
      </w:r>
      <w:r w:rsidRPr="000665B0">
        <w:rPr>
          <w:i/>
        </w:rPr>
        <w:t>Task Scheduler</w:t>
      </w:r>
      <w:r w:rsidRPr="000665B0">
        <w:t xml:space="preserve"> window.</w:t>
      </w:r>
    </w:p>
    <w:p w14:paraId="6328DF86" w14:textId="77777777" w:rsidR="001077CA" w:rsidRPr="000665B0" w:rsidRDefault="001077CA" w:rsidP="006D5A65">
      <w:pPr>
        <w:pStyle w:val="Heading1"/>
      </w:pPr>
      <w:r w:rsidRPr="000665B0">
        <w:t xml:space="preserve">The task </w:t>
      </w:r>
      <w:r w:rsidR="00FB7998" w:rsidRPr="000665B0">
        <w:t>is</w:t>
      </w:r>
      <w:r w:rsidRPr="000665B0">
        <w:t xml:space="preserve"> added to the</w:t>
      </w:r>
      <w:r w:rsidR="008C0059" w:rsidRPr="000665B0">
        <w:t xml:space="preserve"> Task Scheduler Library directory in the</w:t>
      </w:r>
      <w:r w:rsidRPr="000665B0">
        <w:t xml:space="preserve"> </w:t>
      </w:r>
      <w:r w:rsidRPr="000665B0">
        <w:rPr>
          <w:i/>
        </w:rPr>
        <w:t>Task Scheduler</w:t>
      </w:r>
      <w:r w:rsidRPr="000665B0">
        <w:t xml:space="preserve"> window.</w:t>
      </w:r>
    </w:p>
    <w:p w14:paraId="0E96594C" w14:textId="5B198872" w:rsidR="004D19DD" w:rsidRDefault="00842967" w:rsidP="00B6111A">
      <w:pPr>
        <w:spacing w:after="0"/>
        <w:jc w:val="center"/>
      </w:pPr>
      <w:r w:rsidRPr="000665B0">
        <w:rPr>
          <w:noProof/>
        </w:rPr>
        <w:drawing>
          <wp:inline distT="0" distB="0" distL="0" distR="0" wp14:anchorId="77D5CAE0" wp14:editId="5BB7E50D">
            <wp:extent cx="4114800" cy="2404872"/>
            <wp:effectExtent l="0" t="0" r="0" b="0"/>
            <wp:docPr id="1427" name="Picture 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404872"/>
                    </a:xfrm>
                    <a:prstGeom prst="rect">
                      <a:avLst/>
                    </a:prstGeom>
                  </pic:spPr>
                </pic:pic>
              </a:graphicData>
            </a:graphic>
          </wp:inline>
        </w:drawing>
      </w:r>
      <w:bookmarkStart w:id="621" w:name="_Hlk135218444"/>
      <w:bookmarkEnd w:id="560"/>
      <w:bookmarkEnd w:id="577"/>
    </w:p>
    <w:p w14:paraId="1FD07F55" w14:textId="22C58544" w:rsidR="00B40BF5" w:rsidRPr="000665B0" w:rsidRDefault="00B40BF5" w:rsidP="007107FA">
      <w:pPr>
        <w:pStyle w:val="Heading2"/>
        <w:spacing w:before="240"/>
      </w:pPr>
      <w:bookmarkStart w:id="622" w:name="_Toc214283127"/>
      <w:r w:rsidRPr="000665B0">
        <w:t>M</w:t>
      </w:r>
      <w:r>
        <w:t>APPING A NETWORK DRIVE TO THE SAMBA SHARE</w:t>
      </w:r>
      <w:bookmarkEnd w:id="622"/>
    </w:p>
    <w:p w14:paraId="77CF2170" w14:textId="7C660026" w:rsidR="00B40BF5" w:rsidRDefault="00B40BF5" w:rsidP="009570CA">
      <w:r>
        <w:t>On the MDS node, the SAMBA share is used to obtain Common Route Description (CRD) files from the TTWCS Tactical node(s).</w:t>
      </w:r>
      <w:r w:rsidR="00851AEA">
        <w:rPr>
          <w:sz w:val="22"/>
        </w:rPr>
        <w:t xml:space="preserve"> </w:t>
      </w:r>
      <w:r>
        <w:t xml:space="preserve">On the MDS node, the SAMBA share can be accessed without </w:t>
      </w:r>
      <w:r w:rsidR="00851AEA">
        <w:t>using</w:t>
      </w:r>
      <w:r>
        <w:t xml:space="preserve"> any additional software. </w:t>
      </w:r>
    </w:p>
    <w:p w14:paraId="0BD4EFE1" w14:textId="77777777" w:rsidR="00851AEA" w:rsidRPr="00261ED1" w:rsidRDefault="00851AEA" w:rsidP="00011E7B">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261ED1">
        <w:rPr>
          <w:b/>
        </w:rPr>
        <w:t>Note:</w:t>
      </w:r>
    </w:p>
    <w:p w14:paraId="6042BA20" w14:textId="269F56BA" w:rsidR="00B40BF5" w:rsidRPr="00261ED1" w:rsidRDefault="00851AEA"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rPr>
      </w:pPr>
      <w:r w:rsidRPr="00410EA4">
        <w:rPr>
          <w:b/>
          <w:color w:val="000000"/>
        </w:rPr>
        <w:lastRenderedPageBreak/>
        <w:t>Before following the steps below, ensure that the TTWCS Tactical node(s) has been installed, the “Initialize Router” utility has been run, and the MDS node(s) have been configured with the correct IP address</w:t>
      </w:r>
      <w:r w:rsidRPr="00261ED1">
        <w:rPr>
          <w:b/>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4437"/>
        <w:gridCol w:w="4176"/>
      </w:tblGrid>
      <w:tr w:rsidR="00B40BF5" w14:paraId="2E4E0FCC" w14:textId="77777777" w:rsidTr="001D5D3D">
        <w:trPr>
          <w:cantSplit/>
          <w:trHeight w:val="259"/>
          <w:tblHeader/>
          <w:jc w:val="center"/>
        </w:trPr>
        <w:tc>
          <w:tcPr>
            <w:tcW w:w="0" w:type="auto"/>
            <w:gridSpan w:val="3"/>
            <w:shd w:val="clear" w:color="auto" w:fill="D9D9D9" w:themeFill="background1" w:themeFillShade="D9"/>
            <w:tcMar>
              <w:top w:w="0" w:type="dxa"/>
              <w:left w:w="108" w:type="dxa"/>
              <w:bottom w:w="0" w:type="dxa"/>
              <w:right w:w="108" w:type="dxa"/>
            </w:tcMar>
            <w:hideMark/>
          </w:tcPr>
          <w:p w14:paraId="7AEB41F3" w14:textId="1F01E714" w:rsidR="00B40BF5" w:rsidRDefault="00C537E4" w:rsidP="00C537E4">
            <w:pPr>
              <w:spacing w:before="60" w:after="60"/>
              <w:rPr>
                <w:rFonts w:ascii="Arial" w:hAnsi="Arial" w:cs="Arial"/>
                <w:b/>
                <w:bCs/>
              </w:rPr>
            </w:pPr>
            <w:r>
              <w:rPr>
                <w:rFonts w:ascii="Arial" w:hAnsi="Arial" w:cs="Arial"/>
                <w:b/>
                <w:bCs/>
                <w:color w:val="000000"/>
              </w:rPr>
              <w:lastRenderedPageBreak/>
              <w:t>4.6</w:t>
            </w:r>
            <w:r>
              <w:rPr>
                <w:rFonts w:ascii="Arial" w:hAnsi="Arial" w:cs="Arial"/>
                <w:b/>
                <w:bCs/>
                <w:color w:val="000000"/>
              </w:rPr>
              <w:tab/>
            </w:r>
            <w:r w:rsidR="00B40BF5">
              <w:rPr>
                <w:rFonts w:ascii="Arial" w:hAnsi="Arial" w:cs="Arial"/>
                <w:b/>
                <w:bCs/>
                <w:color w:val="000000"/>
              </w:rPr>
              <w:t>Mapping a Network Drive to the Samba Share</w:t>
            </w:r>
          </w:p>
        </w:tc>
      </w:tr>
      <w:tr w:rsidR="00B40BF5" w14:paraId="6E40E97A" w14:textId="77777777" w:rsidTr="001D5D3D">
        <w:trPr>
          <w:cantSplit/>
          <w:trHeight w:val="97"/>
          <w:tblHeader/>
          <w:jc w:val="center"/>
        </w:trPr>
        <w:tc>
          <w:tcPr>
            <w:tcW w:w="0" w:type="auto"/>
            <w:shd w:val="clear" w:color="auto" w:fill="D9D9D9" w:themeFill="background1" w:themeFillShade="D9"/>
            <w:tcMar>
              <w:top w:w="0" w:type="dxa"/>
              <w:left w:w="108" w:type="dxa"/>
              <w:bottom w:w="0" w:type="dxa"/>
              <w:right w:w="108" w:type="dxa"/>
            </w:tcMar>
            <w:hideMark/>
          </w:tcPr>
          <w:p w14:paraId="03C0DD27" w14:textId="77777777" w:rsidR="00B40BF5" w:rsidRDefault="00B40BF5" w:rsidP="009570CA">
            <w:pPr>
              <w:spacing w:before="60" w:after="60"/>
              <w:rPr>
                <w:rFonts w:ascii="Arial" w:hAnsi="Arial" w:cs="Arial"/>
              </w:rPr>
            </w:pPr>
            <w:r>
              <w:rPr>
                <w:rFonts w:ascii="Arial" w:hAnsi="Arial" w:cs="Arial"/>
                <w:b/>
                <w:bCs/>
                <w:color w:val="000000"/>
              </w:rPr>
              <w:t>Step</w:t>
            </w:r>
          </w:p>
        </w:tc>
        <w:tc>
          <w:tcPr>
            <w:tcW w:w="0" w:type="auto"/>
            <w:shd w:val="clear" w:color="auto" w:fill="D9D9D9" w:themeFill="background1" w:themeFillShade="D9"/>
            <w:tcMar>
              <w:top w:w="0" w:type="dxa"/>
              <w:left w:w="108" w:type="dxa"/>
              <w:bottom w:w="0" w:type="dxa"/>
              <w:right w:w="108" w:type="dxa"/>
            </w:tcMar>
            <w:hideMark/>
          </w:tcPr>
          <w:p w14:paraId="18F0E50E" w14:textId="77777777" w:rsidR="00B40BF5" w:rsidRDefault="00B40BF5" w:rsidP="009570CA">
            <w:pPr>
              <w:spacing w:before="60" w:after="60"/>
              <w:rPr>
                <w:rFonts w:ascii="Arial" w:hAnsi="Arial" w:cs="Arial"/>
              </w:rPr>
            </w:pPr>
            <w:r>
              <w:rPr>
                <w:rFonts w:ascii="Arial" w:hAnsi="Arial" w:cs="Arial"/>
                <w:b/>
                <w:bCs/>
                <w:color w:val="000000"/>
              </w:rPr>
              <w:t>Procedure</w:t>
            </w:r>
          </w:p>
        </w:tc>
        <w:tc>
          <w:tcPr>
            <w:tcW w:w="0" w:type="auto"/>
            <w:shd w:val="clear" w:color="auto" w:fill="D9D9D9" w:themeFill="background1" w:themeFillShade="D9"/>
            <w:tcMar>
              <w:top w:w="0" w:type="dxa"/>
              <w:left w:w="108" w:type="dxa"/>
              <w:bottom w:w="0" w:type="dxa"/>
              <w:right w:w="108" w:type="dxa"/>
            </w:tcMar>
            <w:hideMark/>
          </w:tcPr>
          <w:p w14:paraId="6C90134A" w14:textId="77777777" w:rsidR="00B40BF5" w:rsidRDefault="00B40BF5" w:rsidP="009570CA">
            <w:pPr>
              <w:spacing w:before="60" w:after="60"/>
              <w:rPr>
                <w:rFonts w:ascii="Arial" w:hAnsi="Arial" w:cs="Arial"/>
              </w:rPr>
            </w:pPr>
            <w:r>
              <w:rPr>
                <w:rFonts w:ascii="Arial" w:hAnsi="Arial" w:cs="Arial"/>
                <w:b/>
                <w:bCs/>
                <w:color w:val="000000"/>
              </w:rPr>
              <w:t>Comments</w:t>
            </w:r>
          </w:p>
        </w:tc>
      </w:tr>
      <w:tr w:rsidR="00B40BF5" w14:paraId="76DDA839" w14:textId="77777777" w:rsidTr="00E3126E">
        <w:trPr>
          <w:cantSplit/>
          <w:trHeight w:val="97"/>
          <w:jc w:val="center"/>
        </w:trPr>
        <w:tc>
          <w:tcPr>
            <w:tcW w:w="0" w:type="auto"/>
            <w:tcMar>
              <w:top w:w="0" w:type="dxa"/>
              <w:left w:w="108" w:type="dxa"/>
              <w:bottom w:w="0" w:type="dxa"/>
              <w:right w:w="108" w:type="dxa"/>
            </w:tcMar>
          </w:tcPr>
          <w:p w14:paraId="4B49E73A" w14:textId="77777777" w:rsidR="00B40BF5" w:rsidRDefault="00B40BF5" w:rsidP="006D5A65">
            <w:pPr>
              <w:pStyle w:val="Heading1"/>
            </w:pPr>
          </w:p>
        </w:tc>
        <w:tc>
          <w:tcPr>
            <w:tcW w:w="0" w:type="auto"/>
            <w:tcMar>
              <w:top w:w="0" w:type="dxa"/>
              <w:left w:w="108" w:type="dxa"/>
              <w:bottom w:w="0" w:type="dxa"/>
              <w:right w:w="108" w:type="dxa"/>
            </w:tcMar>
            <w:hideMark/>
          </w:tcPr>
          <w:p w14:paraId="6D388A4A" w14:textId="77777777" w:rsidR="00B40BF5" w:rsidRDefault="00B40BF5" w:rsidP="009570CA">
            <w:pPr>
              <w:spacing w:before="60" w:after="60"/>
              <w:rPr>
                <w:rFonts w:ascii="Calibri" w:eastAsiaTheme="minorHAnsi" w:hAnsi="Calibri" w:cs="Calibri"/>
                <w:sz w:val="20"/>
              </w:rPr>
            </w:pPr>
            <w:r>
              <w:rPr>
                <w:sz w:val="20"/>
              </w:rPr>
              <w:t>If not already logged on, log on to the Server as an administrator.</w:t>
            </w:r>
          </w:p>
        </w:tc>
        <w:tc>
          <w:tcPr>
            <w:tcW w:w="0" w:type="auto"/>
            <w:tcMar>
              <w:top w:w="0" w:type="dxa"/>
              <w:left w:w="108" w:type="dxa"/>
              <w:bottom w:w="0" w:type="dxa"/>
              <w:right w:w="108" w:type="dxa"/>
            </w:tcMar>
          </w:tcPr>
          <w:p w14:paraId="2D1E1A24" w14:textId="77777777" w:rsidR="00B40BF5" w:rsidRDefault="00B40BF5" w:rsidP="009570CA">
            <w:pPr>
              <w:spacing w:before="60" w:after="60"/>
              <w:rPr>
                <w:sz w:val="20"/>
              </w:rPr>
            </w:pPr>
          </w:p>
        </w:tc>
      </w:tr>
      <w:tr w:rsidR="00B40BF5" w14:paraId="540B88AE" w14:textId="77777777" w:rsidTr="00E3126E">
        <w:trPr>
          <w:cantSplit/>
          <w:trHeight w:val="97"/>
          <w:jc w:val="center"/>
        </w:trPr>
        <w:tc>
          <w:tcPr>
            <w:tcW w:w="0" w:type="auto"/>
            <w:tcMar>
              <w:top w:w="0" w:type="dxa"/>
              <w:left w:w="108" w:type="dxa"/>
              <w:bottom w:w="0" w:type="dxa"/>
              <w:right w:w="108" w:type="dxa"/>
            </w:tcMar>
          </w:tcPr>
          <w:p w14:paraId="308B880C" w14:textId="77777777" w:rsidR="00B40BF5" w:rsidRDefault="00B40BF5" w:rsidP="006D5A65">
            <w:pPr>
              <w:pStyle w:val="Heading1"/>
            </w:pPr>
          </w:p>
        </w:tc>
        <w:tc>
          <w:tcPr>
            <w:tcW w:w="0" w:type="auto"/>
            <w:tcMar>
              <w:top w:w="0" w:type="dxa"/>
              <w:left w:w="108" w:type="dxa"/>
              <w:bottom w:w="0" w:type="dxa"/>
              <w:right w:w="108" w:type="dxa"/>
            </w:tcMar>
            <w:hideMark/>
          </w:tcPr>
          <w:p w14:paraId="73EEF937" w14:textId="77777777" w:rsidR="00B40BF5" w:rsidRDefault="00B40BF5" w:rsidP="009570CA">
            <w:pPr>
              <w:spacing w:before="60" w:after="60"/>
              <w:rPr>
                <w:rFonts w:eastAsiaTheme="minorHAnsi"/>
                <w:sz w:val="20"/>
              </w:rPr>
            </w:pPr>
            <w:r>
              <w:rPr>
                <w:sz w:val="20"/>
              </w:rPr>
              <w:t xml:space="preserve">Click on the </w:t>
            </w:r>
            <w:r>
              <w:rPr>
                <w:b/>
                <w:bCs/>
                <w:color w:val="FF0000"/>
                <w:sz w:val="20"/>
              </w:rPr>
              <w:t>File Manager</w:t>
            </w:r>
            <w:r>
              <w:rPr>
                <w:color w:val="FF0000"/>
                <w:sz w:val="20"/>
              </w:rPr>
              <w:t xml:space="preserve"> </w:t>
            </w:r>
            <w:r>
              <w:rPr>
                <w:sz w:val="20"/>
              </w:rPr>
              <w:t xml:space="preserve">icon in the </w:t>
            </w:r>
            <w:r>
              <w:rPr>
                <w:b/>
                <w:bCs/>
                <w:color w:val="FF0000"/>
                <w:sz w:val="20"/>
              </w:rPr>
              <w:t>Task Bar</w:t>
            </w:r>
            <w:r>
              <w:rPr>
                <w:sz w:val="20"/>
              </w:rPr>
              <w:t>.</w:t>
            </w:r>
          </w:p>
        </w:tc>
        <w:tc>
          <w:tcPr>
            <w:tcW w:w="0" w:type="auto"/>
            <w:tcMar>
              <w:top w:w="0" w:type="dxa"/>
              <w:left w:w="108" w:type="dxa"/>
              <w:bottom w:w="0" w:type="dxa"/>
              <w:right w:w="108" w:type="dxa"/>
            </w:tcMar>
            <w:hideMark/>
          </w:tcPr>
          <w:p w14:paraId="31DBB069" w14:textId="4FB9D3F0" w:rsidR="00B40BF5" w:rsidRDefault="00DB0437" w:rsidP="009570CA">
            <w:pPr>
              <w:spacing w:before="60" w:after="60"/>
              <w:rPr>
                <w:sz w:val="20"/>
              </w:rPr>
            </w:pPr>
            <w:r>
              <w:rPr>
                <w:noProof/>
                <w:sz w:val="20"/>
              </w:rPr>
              <w:drawing>
                <wp:inline distT="0" distB="0" distL="0" distR="0" wp14:anchorId="270479C0" wp14:editId="5F9DA583">
                  <wp:extent cx="2428875" cy="400050"/>
                  <wp:effectExtent l="0" t="0" r="9525"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13" cstate="print">
                            <a:extLst>
                              <a:ext uri="{28A0092B-C50C-407E-A947-70E740481C1C}">
                                <a14:useLocalDpi xmlns:a14="http://schemas.microsoft.com/office/drawing/2010/main" val="0"/>
                              </a:ext>
                            </a:extLst>
                          </a:blip>
                          <a:srcRect/>
                          <a:stretch>
                            <a:fillRect/>
                          </a:stretch>
                        </pic:blipFill>
                        <pic:spPr bwMode="auto">
                          <a:xfrm>
                            <a:off x="0" y="0"/>
                            <a:ext cx="2428875" cy="400050"/>
                          </a:xfrm>
                          <a:prstGeom prst="rect">
                            <a:avLst/>
                          </a:prstGeom>
                          <a:noFill/>
                          <a:ln>
                            <a:noFill/>
                          </a:ln>
                        </pic:spPr>
                      </pic:pic>
                    </a:graphicData>
                  </a:graphic>
                </wp:inline>
              </w:drawing>
            </w:r>
          </w:p>
        </w:tc>
      </w:tr>
      <w:tr w:rsidR="00B40BF5" w14:paraId="2CC35EB8" w14:textId="77777777" w:rsidTr="00E3126E">
        <w:trPr>
          <w:cantSplit/>
          <w:trHeight w:val="97"/>
          <w:jc w:val="center"/>
        </w:trPr>
        <w:tc>
          <w:tcPr>
            <w:tcW w:w="0" w:type="auto"/>
            <w:tcMar>
              <w:top w:w="0" w:type="dxa"/>
              <w:left w:w="108" w:type="dxa"/>
              <w:bottom w:w="0" w:type="dxa"/>
              <w:right w:w="108" w:type="dxa"/>
            </w:tcMar>
          </w:tcPr>
          <w:p w14:paraId="59876190" w14:textId="77777777" w:rsidR="00B40BF5" w:rsidRDefault="00B40BF5" w:rsidP="006D5A65">
            <w:pPr>
              <w:pStyle w:val="Heading1"/>
            </w:pPr>
          </w:p>
        </w:tc>
        <w:tc>
          <w:tcPr>
            <w:tcW w:w="0" w:type="auto"/>
            <w:tcMar>
              <w:top w:w="0" w:type="dxa"/>
              <w:left w:w="108" w:type="dxa"/>
              <w:bottom w:w="0" w:type="dxa"/>
              <w:right w:w="108" w:type="dxa"/>
            </w:tcMar>
            <w:hideMark/>
          </w:tcPr>
          <w:p w14:paraId="39B6AFCC" w14:textId="77777777" w:rsidR="00B40BF5" w:rsidRDefault="00B40BF5" w:rsidP="009570CA">
            <w:pPr>
              <w:spacing w:before="60" w:after="60"/>
              <w:rPr>
                <w:rFonts w:eastAsiaTheme="minorHAnsi"/>
                <w:sz w:val="20"/>
              </w:rPr>
            </w:pPr>
            <w:r>
              <w:rPr>
                <w:sz w:val="20"/>
              </w:rPr>
              <w:t xml:space="preserve">Right-click </w:t>
            </w:r>
            <w:r>
              <w:rPr>
                <w:b/>
                <w:bCs/>
                <w:color w:val="FF0000"/>
                <w:sz w:val="20"/>
              </w:rPr>
              <w:t>This PC</w:t>
            </w:r>
            <w:r>
              <w:rPr>
                <w:color w:val="FF0000"/>
                <w:sz w:val="20"/>
              </w:rPr>
              <w:t xml:space="preserve"> </w:t>
            </w:r>
            <w:r>
              <w:rPr>
                <w:sz w:val="20"/>
              </w:rPr>
              <w:t xml:space="preserve">in the left pane and then select </w:t>
            </w:r>
            <w:r>
              <w:rPr>
                <w:b/>
                <w:bCs/>
                <w:color w:val="FF0000"/>
                <w:sz w:val="20"/>
              </w:rPr>
              <w:t>Map network drive…</w:t>
            </w:r>
            <w:r>
              <w:rPr>
                <w:color w:val="FF0000"/>
                <w:sz w:val="20"/>
              </w:rPr>
              <w:t xml:space="preserve"> </w:t>
            </w:r>
            <w:r>
              <w:rPr>
                <w:sz w:val="20"/>
              </w:rPr>
              <w:t>from the pop-up menu.</w:t>
            </w:r>
          </w:p>
        </w:tc>
        <w:tc>
          <w:tcPr>
            <w:tcW w:w="0" w:type="auto"/>
            <w:tcMar>
              <w:top w:w="0" w:type="dxa"/>
              <w:left w:w="108" w:type="dxa"/>
              <w:bottom w:w="0" w:type="dxa"/>
              <w:right w:w="108" w:type="dxa"/>
            </w:tcMar>
            <w:hideMark/>
          </w:tcPr>
          <w:p w14:paraId="308300D3" w14:textId="21668E05" w:rsidR="00B40BF5" w:rsidRDefault="00DB0437" w:rsidP="009570CA">
            <w:pPr>
              <w:spacing w:before="60" w:after="60"/>
              <w:rPr>
                <w:sz w:val="20"/>
              </w:rPr>
            </w:pPr>
            <w:r>
              <w:rPr>
                <w:noProof/>
                <w:sz w:val="20"/>
              </w:rPr>
              <w:drawing>
                <wp:inline distT="0" distB="0" distL="0" distR="0" wp14:anchorId="76632610" wp14:editId="209718C3">
                  <wp:extent cx="2390775" cy="2981325"/>
                  <wp:effectExtent l="0" t="0" r="9525" b="9525"/>
                  <wp:docPr id="402" name="Picture 40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aphical user interface, text&#10;&#10;Description automatically generated"/>
                          <pic:cNvPicPr>
                            <a:picLocks noChangeAspect="1" noChangeArrowheads="1"/>
                          </pic:cNvPicPr>
                        </pic:nvPicPr>
                        <pic:blipFill>
                          <a:blip r:link="rId14" cstate="print">
                            <a:extLst>
                              <a:ext uri="{28A0092B-C50C-407E-A947-70E740481C1C}">
                                <a14:useLocalDpi xmlns:a14="http://schemas.microsoft.com/office/drawing/2010/main" val="0"/>
                              </a:ext>
                            </a:extLst>
                          </a:blip>
                          <a:srcRect/>
                          <a:stretch>
                            <a:fillRect/>
                          </a:stretch>
                        </pic:blipFill>
                        <pic:spPr bwMode="auto">
                          <a:xfrm>
                            <a:off x="0" y="0"/>
                            <a:ext cx="2390775" cy="2981325"/>
                          </a:xfrm>
                          <a:prstGeom prst="rect">
                            <a:avLst/>
                          </a:prstGeom>
                          <a:noFill/>
                          <a:ln>
                            <a:noFill/>
                          </a:ln>
                        </pic:spPr>
                      </pic:pic>
                    </a:graphicData>
                  </a:graphic>
                </wp:inline>
              </w:drawing>
            </w:r>
          </w:p>
        </w:tc>
      </w:tr>
      <w:tr w:rsidR="00B40BF5" w14:paraId="71F3806B" w14:textId="77777777" w:rsidTr="00E3126E">
        <w:trPr>
          <w:cantSplit/>
          <w:trHeight w:val="97"/>
          <w:jc w:val="center"/>
        </w:trPr>
        <w:tc>
          <w:tcPr>
            <w:tcW w:w="0" w:type="auto"/>
            <w:tcMar>
              <w:top w:w="0" w:type="dxa"/>
              <w:left w:w="108" w:type="dxa"/>
              <w:bottom w:w="0" w:type="dxa"/>
              <w:right w:w="108" w:type="dxa"/>
            </w:tcMar>
          </w:tcPr>
          <w:p w14:paraId="5E1577EF" w14:textId="77777777" w:rsidR="00B40BF5" w:rsidRDefault="00B40BF5" w:rsidP="006D5A65">
            <w:pPr>
              <w:pStyle w:val="Heading1"/>
            </w:pPr>
          </w:p>
        </w:tc>
        <w:tc>
          <w:tcPr>
            <w:tcW w:w="0" w:type="auto"/>
            <w:tcMar>
              <w:top w:w="0" w:type="dxa"/>
              <w:left w:w="108" w:type="dxa"/>
              <w:bottom w:w="0" w:type="dxa"/>
              <w:right w:w="108" w:type="dxa"/>
            </w:tcMar>
          </w:tcPr>
          <w:p w14:paraId="78A6E36A" w14:textId="77777777" w:rsidR="00B40BF5" w:rsidRDefault="00B40BF5" w:rsidP="009570CA">
            <w:pPr>
              <w:keepNext/>
              <w:spacing w:before="60" w:after="60"/>
              <w:rPr>
                <w:rFonts w:eastAsiaTheme="minorHAnsi"/>
                <w:sz w:val="20"/>
              </w:rPr>
            </w:pPr>
            <w:r>
              <w:rPr>
                <w:sz w:val="20"/>
              </w:rPr>
              <w:t xml:space="preserve">In the </w:t>
            </w:r>
            <w:r>
              <w:rPr>
                <w:b/>
                <w:bCs/>
                <w:color w:val="FF0000"/>
                <w:sz w:val="20"/>
              </w:rPr>
              <w:t>Folder</w:t>
            </w:r>
            <w:r>
              <w:rPr>
                <w:color w:val="FF0000"/>
                <w:sz w:val="20"/>
              </w:rPr>
              <w:t xml:space="preserve"> </w:t>
            </w:r>
            <w:r>
              <w:rPr>
                <w:sz w:val="20"/>
              </w:rPr>
              <w:t>field, type:</w:t>
            </w:r>
          </w:p>
          <w:p w14:paraId="234BC7F1" w14:textId="34EC43DC" w:rsidR="00AA3254" w:rsidRPr="004779E0" w:rsidRDefault="00AA3254" w:rsidP="00AA3254">
            <w:pPr>
              <w:keepNext/>
              <w:spacing w:before="60" w:after="60"/>
              <w:rPr>
                <w:b/>
                <w:bCs/>
                <w:color w:val="000000" w:themeColor="text1"/>
                <w:sz w:val="20"/>
              </w:rPr>
            </w:pPr>
            <w:r w:rsidRPr="00AA3254">
              <w:rPr>
                <w:b/>
                <w:bCs/>
                <w:sz w:val="20"/>
              </w:rPr>
              <w:t>\\</w:t>
            </w:r>
            <w:r w:rsidRPr="00AA3254">
              <w:rPr>
                <w:b/>
                <w:bCs/>
                <w:i/>
                <w:iCs/>
                <w:sz w:val="20"/>
              </w:rPr>
              <w:t>&lt;TTWCS_IP_Address&gt;</w:t>
            </w:r>
            <w:r w:rsidRPr="00AA3254">
              <w:rPr>
                <w:b/>
                <w:bCs/>
                <w:sz w:val="20"/>
              </w:rPr>
              <w:t>\MDS-SHARE</w:t>
            </w:r>
          </w:p>
          <w:p w14:paraId="0802F8A2" w14:textId="77777777" w:rsidR="00B40BF5" w:rsidRDefault="00B40BF5" w:rsidP="009570CA">
            <w:pPr>
              <w:keepNext/>
              <w:spacing w:before="60" w:after="60"/>
              <w:rPr>
                <w:b/>
                <w:bCs/>
                <w:sz w:val="20"/>
              </w:rPr>
            </w:pPr>
          </w:p>
          <w:p w14:paraId="750921D6" w14:textId="77777777" w:rsidR="00B40BF5" w:rsidRDefault="00B40BF5" w:rsidP="009570CA">
            <w:pPr>
              <w:keepNext/>
              <w:spacing w:before="60" w:after="60"/>
              <w:rPr>
                <w:sz w:val="20"/>
              </w:rPr>
            </w:pPr>
            <w:r>
              <w:rPr>
                <w:b/>
                <w:bCs/>
                <w:sz w:val="20"/>
              </w:rPr>
              <w:t>NOTE:</w:t>
            </w:r>
            <w:r>
              <w:rPr>
                <w:sz w:val="20"/>
              </w:rPr>
              <w:t xml:space="preserve"> On most platforms this will be:</w:t>
            </w:r>
          </w:p>
          <w:p w14:paraId="700300C7" w14:textId="60BA891A" w:rsidR="004356B1" w:rsidRPr="00D67D7C" w:rsidRDefault="004356B1" w:rsidP="009570CA">
            <w:pPr>
              <w:keepNext/>
              <w:spacing w:before="60" w:after="60"/>
              <w:rPr>
                <w:b/>
                <w:bCs/>
                <w:color w:val="0000FF"/>
                <w:sz w:val="20"/>
                <w:u w:val="single"/>
              </w:rPr>
            </w:pPr>
            <w:r w:rsidRPr="00420772">
              <w:rPr>
                <w:b/>
                <w:bCs/>
                <w:sz w:val="20"/>
              </w:rPr>
              <w:t>\\10.32.200.34\MDS-SHARE</w:t>
            </w:r>
            <w:r w:rsidRPr="00D22BD8">
              <w:rPr>
                <w:rStyle w:val="Hyperlink"/>
                <w:b/>
                <w:bCs/>
                <w:color w:val="auto"/>
                <w:sz w:val="20"/>
                <w:u w:val="none"/>
              </w:rPr>
              <w:t xml:space="preserve"> </w:t>
            </w:r>
            <w:r w:rsidRPr="00D22BD8">
              <w:rPr>
                <w:rStyle w:val="Hyperlink"/>
                <w:color w:val="auto"/>
                <w:u w:val="none"/>
              </w:rPr>
              <w:t>for jots7</w:t>
            </w:r>
          </w:p>
          <w:p w14:paraId="65C8E6BC" w14:textId="77777777" w:rsidR="004356B1" w:rsidRDefault="004356B1" w:rsidP="009570CA">
            <w:pPr>
              <w:keepNext/>
              <w:spacing w:before="60" w:after="60"/>
              <w:rPr>
                <w:sz w:val="20"/>
              </w:rPr>
            </w:pPr>
          </w:p>
          <w:p w14:paraId="33CE2E32" w14:textId="3014820D" w:rsidR="004356B1" w:rsidRPr="000E17D8" w:rsidRDefault="004356B1" w:rsidP="009570CA">
            <w:pPr>
              <w:keepNext/>
              <w:spacing w:before="60" w:after="60"/>
              <w:rPr>
                <w:b/>
                <w:bCs/>
                <w:color w:val="0000FF"/>
                <w:sz w:val="20"/>
                <w:u w:val="single"/>
              </w:rPr>
            </w:pPr>
            <w:r w:rsidRPr="00420772">
              <w:rPr>
                <w:b/>
                <w:bCs/>
                <w:sz w:val="20"/>
              </w:rPr>
              <w:t>\\10.32.200.49\MDS-SHARE</w:t>
            </w:r>
            <w:r w:rsidRPr="00D22BD8">
              <w:rPr>
                <w:rStyle w:val="Hyperlink"/>
                <w:b/>
                <w:bCs/>
                <w:color w:val="auto"/>
                <w:sz w:val="20"/>
                <w:u w:val="none"/>
              </w:rPr>
              <w:t xml:space="preserve"> </w:t>
            </w:r>
            <w:r w:rsidRPr="00D22BD8">
              <w:rPr>
                <w:rStyle w:val="Hyperlink"/>
                <w:color w:val="auto"/>
                <w:u w:val="none"/>
              </w:rPr>
              <w:t>for jots8</w:t>
            </w:r>
          </w:p>
          <w:p w14:paraId="5D60D37C" w14:textId="77777777" w:rsidR="008E46B5" w:rsidRDefault="008E46B5" w:rsidP="009570CA">
            <w:pPr>
              <w:keepNext/>
              <w:spacing w:before="60" w:after="60"/>
              <w:rPr>
                <w:sz w:val="20"/>
              </w:rPr>
            </w:pPr>
          </w:p>
          <w:p w14:paraId="68179444" w14:textId="4F974C65" w:rsidR="00B40BF5" w:rsidRDefault="00B40BF5" w:rsidP="009570CA">
            <w:pPr>
              <w:pStyle w:val="ListParagraph"/>
              <w:keepNext/>
              <w:ind w:left="0"/>
              <w:rPr>
                <w:sz w:val="20"/>
                <w:szCs w:val="20"/>
              </w:rPr>
            </w:pPr>
          </w:p>
        </w:tc>
        <w:tc>
          <w:tcPr>
            <w:tcW w:w="0" w:type="auto"/>
            <w:vMerge w:val="restart"/>
            <w:tcMar>
              <w:top w:w="0" w:type="dxa"/>
              <w:left w:w="108" w:type="dxa"/>
              <w:bottom w:w="0" w:type="dxa"/>
              <w:right w:w="108" w:type="dxa"/>
            </w:tcMar>
            <w:hideMark/>
          </w:tcPr>
          <w:p w14:paraId="6B9FF128" w14:textId="2B267A88" w:rsidR="00B40BF5" w:rsidRDefault="00DB0437" w:rsidP="009570CA">
            <w:pPr>
              <w:keepNext/>
              <w:spacing w:before="60" w:after="60"/>
              <w:rPr>
                <w:sz w:val="20"/>
              </w:rPr>
            </w:pPr>
            <w:r>
              <w:rPr>
                <w:noProof/>
                <w:sz w:val="20"/>
              </w:rPr>
              <w:drawing>
                <wp:inline distT="0" distB="0" distL="0" distR="0" wp14:anchorId="7E37842D" wp14:editId="62DA112B">
                  <wp:extent cx="2505075" cy="1771650"/>
                  <wp:effectExtent l="0" t="0" r="9525" b="0"/>
                  <wp:docPr id="401" name="Picture 40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ical user interface, application&#10;&#10;Description automatically generated"/>
                          <pic:cNvPicPr>
                            <a:picLocks noChangeAspect="1" noChangeArrowheads="1"/>
                          </pic:cNvPicPr>
                        </pic:nvPicPr>
                        <pic:blipFill>
                          <a:blip r:link="rId15" cstate="print">
                            <a:extLst>
                              <a:ext uri="{28A0092B-C50C-407E-A947-70E740481C1C}">
                                <a14:useLocalDpi xmlns:a14="http://schemas.microsoft.com/office/drawing/2010/main" val="0"/>
                              </a:ext>
                            </a:extLst>
                          </a:blip>
                          <a:srcRect/>
                          <a:stretch>
                            <a:fillRect/>
                          </a:stretch>
                        </pic:blipFill>
                        <pic:spPr bwMode="auto">
                          <a:xfrm>
                            <a:off x="0" y="0"/>
                            <a:ext cx="2505075" cy="1771650"/>
                          </a:xfrm>
                          <a:prstGeom prst="rect">
                            <a:avLst/>
                          </a:prstGeom>
                          <a:noFill/>
                          <a:ln>
                            <a:noFill/>
                          </a:ln>
                        </pic:spPr>
                      </pic:pic>
                    </a:graphicData>
                  </a:graphic>
                </wp:inline>
              </w:drawing>
            </w:r>
          </w:p>
        </w:tc>
      </w:tr>
      <w:tr w:rsidR="00B40BF5" w14:paraId="20496882" w14:textId="77777777" w:rsidTr="00E3126E">
        <w:trPr>
          <w:cantSplit/>
          <w:trHeight w:val="97"/>
          <w:jc w:val="center"/>
        </w:trPr>
        <w:tc>
          <w:tcPr>
            <w:tcW w:w="0" w:type="auto"/>
            <w:tcMar>
              <w:top w:w="0" w:type="dxa"/>
              <w:left w:w="108" w:type="dxa"/>
              <w:bottom w:w="0" w:type="dxa"/>
              <w:right w:w="108" w:type="dxa"/>
            </w:tcMar>
          </w:tcPr>
          <w:p w14:paraId="25927080" w14:textId="77777777" w:rsidR="00B40BF5" w:rsidRDefault="00B40BF5" w:rsidP="006D5A65">
            <w:pPr>
              <w:pStyle w:val="Heading1"/>
            </w:pPr>
          </w:p>
        </w:tc>
        <w:tc>
          <w:tcPr>
            <w:tcW w:w="0" w:type="auto"/>
            <w:tcMar>
              <w:top w:w="0" w:type="dxa"/>
              <w:left w:w="108" w:type="dxa"/>
              <w:bottom w:w="0" w:type="dxa"/>
              <w:right w:w="108" w:type="dxa"/>
            </w:tcMar>
            <w:hideMark/>
          </w:tcPr>
          <w:p w14:paraId="7DF29A11" w14:textId="77777777" w:rsidR="00B40BF5" w:rsidRDefault="00B40BF5" w:rsidP="009570CA">
            <w:pPr>
              <w:keepNext/>
              <w:spacing w:before="60" w:after="60"/>
              <w:rPr>
                <w:rFonts w:eastAsiaTheme="minorHAnsi"/>
                <w:sz w:val="20"/>
              </w:rPr>
            </w:pPr>
            <w:r>
              <w:rPr>
                <w:sz w:val="20"/>
              </w:rPr>
              <w:t xml:space="preserve">Select the </w:t>
            </w:r>
            <w:r>
              <w:rPr>
                <w:b/>
                <w:bCs/>
                <w:color w:val="FF0000"/>
                <w:sz w:val="20"/>
              </w:rPr>
              <w:t>Connect using different credentials</w:t>
            </w:r>
            <w:r>
              <w:rPr>
                <w:sz w:val="20"/>
              </w:rPr>
              <w:t xml:space="preserve"> checkbox.</w:t>
            </w:r>
          </w:p>
        </w:tc>
        <w:tc>
          <w:tcPr>
            <w:tcW w:w="0" w:type="auto"/>
            <w:vMerge/>
            <w:vAlign w:val="center"/>
            <w:hideMark/>
          </w:tcPr>
          <w:p w14:paraId="5F0D6786" w14:textId="77777777" w:rsidR="00B40BF5" w:rsidRPr="0085566B" w:rsidRDefault="00B40BF5" w:rsidP="009570CA">
            <w:pPr>
              <w:rPr>
                <w:rFonts w:ascii="Calibri" w:eastAsiaTheme="minorHAnsi" w:hAnsi="Calibri" w:cs="Calibri"/>
                <w:sz w:val="20"/>
              </w:rPr>
            </w:pPr>
          </w:p>
        </w:tc>
      </w:tr>
      <w:tr w:rsidR="00B40BF5" w14:paraId="18032915" w14:textId="77777777" w:rsidTr="00E3126E">
        <w:trPr>
          <w:cantSplit/>
          <w:trHeight w:val="97"/>
          <w:jc w:val="center"/>
        </w:trPr>
        <w:tc>
          <w:tcPr>
            <w:tcW w:w="0" w:type="auto"/>
            <w:tcMar>
              <w:top w:w="0" w:type="dxa"/>
              <w:left w:w="108" w:type="dxa"/>
              <w:bottom w:w="0" w:type="dxa"/>
              <w:right w:w="108" w:type="dxa"/>
            </w:tcMar>
          </w:tcPr>
          <w:p w14:paraId="3B3AFB20" w14:textId="77777777" w:rsidR="00B40BF5" w:rsidRDefault="00B40BF5" w:rsidP="006D5A65">
            <w:pPr>
              <w:pStyle w:val="Heading1"/>
            </w:pPr>
          </w:p>
        </w:tc>
        <w:tc>
          <w:tcPr>
            <w:tcW w:w="0" w:type="auto"/>
            <w:tcMar>
              <w:top w:w="0" w:type="dxa"/>
              <w:left w:w="108" w:type="dxa"/>
              <w:bottom w:w="0" w:type="dxa"/>
              <w:right w:w="108" w:type="dxa"/>
            </w:tcMar>
            <w:hideMark/>
          </w:tcPr>
          <w:p w14:paraId="60C0C16E" w14:textId="77777777" w:rsidR="00B40BF5" w:rsidRDefault="00B40BF5" w:rsidP="009570CA">
            <w:pPr>
              <w:spacing w:before="60" w:after="60"/>
              <w:rPr>
                <w:rFonts w:eastAsiaTheme="minorHAnsi"/>
                <w:sz w:val="20"/>
              </w:rPr>
            </w:pPr>
            <w:r>
              <w:rPr>
                <w:sz w:val="20"/>
              </w:rPr>
              <w:t xml:space="preserve">Click the </w:t>
            </w:r>
            <w:r>
              <w:rPr>
                <w:b/>
                <w:bCs/>
                <w:color w:val="FF0000"/>
                <w:sz w:val="20"/>
              </w:rPr>
              <w:t>Finish</w:t>
            </w:r>
            <w:r>
              <w:rPr>
                <w:color w:val="FF0000"/>
                <w:sz w:val="20"/>
              </w:rPr>
              <w:t xml:space="preserve"> </w:t>
            </w:r>
            <w:r>
              <w:rPr>
                <w:sz w:val="20"/>
              </w:rPr>
              <w:t>button.</w:t>
            </w:r>
          </w:p>
        </w:tc>
        <w:tc>
          <w:tcPr>
            <w:tcW w:w="0" w:type="auto"/>
            <w:vMerge/>
            <w:vAlign w:val="center"/>
            <w:hideMark/>
          </w:tcPr>
          <w:p w14:paraId="5DC98BC0" w14:textId="77777777" w:rsidR="00B40BF5" w:rsidRPr="0085566B" w:rsidRDefault="00B40BF5" w:rsidP="009570CA">
            <w:pPr>
              <w:rPr>
                <w:rFonts w:ascii="Calibri" w:eastAsiaTheme="minorHAnsi" w:hAnsi="Calibri" w:cs="Calibri"/>
                <w:sz w:val="20"/>
              </w:rPr>
            </w:pPr>
          </w:p>
        </w:tc>
      </w:tr>
      <w:tr w:rsidR="00B40BF5" w14:paraId="6284D0A2" w14:textId="77777777" w:rsidTr="00E3126E">
        <w:trPr>
          <w:cantSplit/>
          <w:trHeight w:val="97"/>
          <w:jc w:val="center"/>
        </w:trPr>
        <w:tc>
          <w:tcPr>
            <w:tcW w:w="0" w:type="auto"/>
            <w:tcMar>
              <w:top w:w="0" w:type="dxa"/>
              <w:left w:w="108" w:type="dxa"/>
              <w:bottom w:w="0" w:type="dxa"/>
              <w:right w:w="108" w:type="dxa"/>
            </w:tcMar>
          </w:tcPr>
          <w:p w14:paraId="4C4BC66C" w14:textId="77777777" w:rsidR="00B40BF5" w:rsidRDefault="00B40BF5" w:rsidP="006D5A65">
            <w:pPr>
              <w:pStyle w:val="Heading1"/>
            </w:pPr>
          </w:p>
        </w:tc>
        <w:tc>
          <w:tcPr>
            <w:tcW w:w="0" w:type="auto"/>
            <w:tcMar>
              <w:top w:w="0" w:type="dxa"/>
              <w:left w:w="108" w:type="dxa"/>
              <w:bottom w:w="0" w:type="dxa"/>
              <w:right w:w="108" w:type="dxa"/>
            </w:tcMar>
            <w:hideMark/>
          </w:tcPr>
          <w:p w14:paraId="1207F521" w14:textId="77777777" w:rsidR="00B40BF5" w:rsidRDefault="00B40BF5" w:rsidP="009570CA">
            <w:pPr>
              <w:spacing w:before="60" w:after="60"/>
              <w:rPr>
                <w:rFonts w:eastAsiaTheme="minorHAnsi"/>
                <w:sz w:val="20"/>
              </w:rPr>
            </w:pPr>
            <w:r>
              <w:rPr>
                <w:sz w:val="20"/>
              </w:rPr>
              <w:t xml:space="preserve">At the </w:t>
            </w:r>
            <w:r>
              <w:rPr>
                <w:b/>
                <w:bCs/>
                <w:i/>
                <w:iCs/>
                <w:sz w:val="20"/>
              </w:rPr>
              <w:t>Windows</w:t>
            </w:r>
            <w:r>
              <w:rPr>
                <w:sz w:val="20"/>
              </w:rPr>
              <w:t xml:space="preserve"> </w:t>
            </w:r>
            <w:r>
              <w:rPr>
                <w:b/>
                <w:bCs/>
                <w:i/>
                <w:iCs/>
                <w:sz w:val="20"/>
              </w:rPr>
              <w:t>Security</w:t>
            </w:r>
            <w:r>
              <w:rPr>
                <w:sz w:val="20"/>
              </w:rPr>
              <w:t xml:space="preserve"> prompt, </w:t>
            </w:r>
            <w:r>
              <w:rPr>
                <w:sz w:val="20"/>
              </w:rPr>
              <w:br/>
              <w:t xml:space="preserve">click </w:t>
            </w:r>
            <w:r>
              <w:rPr>
                <w:b/>
                <w:bCs/>
                <w:color w:val="FF0000"/>
                <w:sz w:val="20"/>
              </w:rPr>
              <w:t>I want to complete this action…</w:t>
            </w:r>
          </w:p>
        </w:tc>
        <w:tc>
          <w:tcPr>
            <w:tcW w:w="0" w:type="auto"/>
            <w:tcMar>
              <w:top w:w="0" w:type="dxa"/>
              <w:left w:w="108" w:type="dxa"/>
              <w:bottom w:w="0" w:type="dxa"/>
              <w:right w:w="108" w:type="dxa"/>
            </w:tcMar>
          </w:tcPr>
          <w:p w14:paraId="5653A8F0" w14:textId="77777777" w:rsidR="00B40BF5" w:rsidRDefault="00B40BF5" w:rsidP="009570CA">
            <w:pPr>
              <w:spacing w:before="60" w:after="60"/>
              <w:rPr>
                <w:sz w:val="20"/>
              </w:rPr>
            </w:pPr>
          </w:p>
        </w:tc>
      </w:tr>
      <w:tr w:rsidR="00B40BF5" w14:paraId="681D1515" w14:textId="77777777" w:rsidTr="00E3126E">
        <w:trPr>
          <w:cantSplit/>
          <w:trHeight w:val="97"/>
          <w:jc w:val="center"/>
        </w:trPr>
        <w:tc>
          <w:tcPr>
            <w:tcW w:w="0" w:type="auto"/>
            <w:tcMar>
              <w:top w:w="0" w:type="dxa"/>
              <w:left w:w="108" w:type="dxa"/>
              <w:bottom w:w="0" w:type="dxa"/>
              <w:right w:w="108" w:type="dxa"/>
            </w:tcMar>
          </w:tcPr>
          <w:p w14:paraId="1C44C1B4" w14:textId="77777777" w:rsidR="00B40BF5" w:rsidRDefault="00B40BF5" w:rsidP="006D5A65">
            <w:pPr>
              <w:pStyle w:val="Heading1"/>
            </w:pPr>
          </w:p>
        </w:tc>
        <w:tc>
          <w:tcPr>
            <w:tcW w:w="0" w:type="auto"/>
            <w:tcMar>
              <w:top w:w="0" w:type="dxa"/>
              <w:left w:w="108" w:type="dxa"/>
              <w:bottom w:w="0" w:type="dxa"/>
              <w:right w:w="108" w:type="dxa"/>
            </w:tcMar>
            <w:hideMark/>
          </w:tcPr>
          <w:p w14:paraId="14C7CA9E" w14:textId="77777777" w:rsidR="00B40BF5" w:rsidRDefault="00B40BF5" w:rsidP="009570CA">
            <w:pPr>
              <w:spacing w:before="60" w:after="60"/>
              <w:rPr>
                <w:rFonts w:eastAsiaTheme="minorHAnsi"/>
                <w:sz w:val="20"/>
              </w:rPr>
            </w:pPr>
            <w:r>
              <w:rPr>
                <w:sz w:val="20"/>
              </w:rPr>
              <w:t xml:space="preserve">Press the </w:t>
            </w:r>
            <w:r>
              <w:rPr>
                <w:b/>
                <w:bCs/>
                <w:color w:val="FF0000"/>
                <w:sz w:val="20"/>
              </w:rPr>
              <w:t>Ctrl</w:t>
            </w:r>
            <w:r>
              <w:rPr>
                <w:b/>
                <w:bCs/>
                <w:color w:val="FF0000"/>
                <w:sz w:val="20"/>
              </w:rPr>
              <w:softHyphen/>
              <w:t>Alt</w:t>
            </w:r>
            <w:r>
              <w:rPr>
                <w:b/>
                <w:bCs/>
                <w:color w:val="FF0000"/>
                <w:sz w:val="20"/>
              </w:rPr>
              <w:softHyphen/>
              <w:t>Delete</w:t>
            </w:r>
            <w:r>
              <w:rPr>
                <w:sz w:val="20"/>
              </w:rPr>
              <w:t xml:space="preserve"> keys.</w:t>
            </w:r>
          </w:p>
        </w:tc>
        <w:tc>
          <w:tcPr>
            <w:tcW w:w="0" w:type="auto"/>
            <w:tcMar>
              <w:top w:w="0" w:type="dxa"/>
              <w:left w:w="108" w:type="dxa"/>
              <w:bottom w:w="0" w:type="dxa"/>
              <w:right w:w="108" w:type="dxa"/>
            </w:tcMar>
          </w:tcPr>
          <w:p w14:paraId="4FB4DA07" w14:textId="77777777" w:rsidR="00B40BF5" w:rsidRDefault="00B40BF5" w:rsidP="009570CA">
            <w:pPr>
              <w:spacing w:before="60" w:after="60"/>
              <w:rPr>
                <w:sz w:val="20"/>
              </w:rPr>
            </w:pPr>
          </w:p>
        </w:tc>
      </w:tr>
      <w:tr w:rsidR="00B40BF5" w14:paraId="1E7FA079" w14:textId="77777777" w:rsidTr="00E3126E">
        <w:trPr>
          <w:cantSplit/>
          <w:trHeight w:val="97"/>
          <w:jc w:val="center"/>
        </w:trPr>
        <w:tc>
          <w:tcPr>
            <w:tcW w:w="0" w:type="auto"/>
            <w:tcMar>
              <w:top w:w="0" w:type="dxa"/>
              <w:left w:w="108" w:type="dxa"/>
              <w:bottom w:w="0" w:type="dxa"/>
              <w:right w:w="108" w:type="dxa"/>
            </w:tcMar>
          </w:tcPr>
          <w:p w14:paraId="3EBEBEF7" w14:textId="77777777" w:rsidR="00B40BF5" w:rsidRDefault="00B40BF5" w:rsidP="006D5A65">
            <w:pPr>
              <w:pStyle w:val="Heading1"/>
            </w:pPr>
          </w:p>
        </w:tc>
        <w:tc>
          <w:tcPr>
            <w:tcW w:w="0" w:type="auto"/>
            <w:tcMar>
              <w:top w:w="0" w:type="dxa"/>
              <w:left w:w="108" w:type="dxa"/>
              <w:bottom w:w="0" w:type="dxa"/>
              <w:right w:w="108" w:type="dxa"/>
            </w:tcMar>
            <w:hideMark/>
          </w:tcPr>
          <w:p w14:paraId="36B0D8A1" w14:textId="3A596B76" w:rsidR="00B40BF5" w:rsidRDefault="00B40BF5" w:rsidP="009570CA">
            <w:pPr>
              <w:spacing w:before="60" w:after="60"/>
              <w:rPr>
                <w:rFonts w:eastAsiaTheme="minorHAnsi"/>
                <w:sz w:val="20"/>
              </w:rPr>
            </w:pPr>
            <w:r>
              <w:rPr>
                <w:sz w:val="20"/>
              </w:rPr>
              <w:t xml:space="preserve">Enter the SAMBA </w:t>
            </w:r>
            <w:r w:rsidR="00F910D8">
              <w:rPr>
                <w:b/>
                <w:bCs/>
                <w:sz w:val="20"/>
              </w:rPr>
              <w:t>&lt;</w:t>
            </w:r>
            <w:r>
              <w:rPr>
                <w:b/>
                <w:bCs/>
                <w:sz w:val="20"/>
              </w:rPr>
              <w:t>Username</w:t>
            </w:r>
            <w:r w:rsidR="00F910D8">
              <w:rPr>
                <w:b/>
                <w:bCs/>
                <w:sz w:val="20"/>
              </w:rPr>
              <w:t>&gt;</w:t>
            </w:r>
            <w:r>
              <w:rPr>
                <w:color w:val="FF0000"/>
                <w:sz w:val="20"/>
              </w:rPr>
              <w:t xml:space="preserve"> </w:t>
            </w:r>
            <w:r>
              <w:rPr>
                <w:sz w:val="20"/>
              </w:rPr>
              <w:t xml:space="preserve">and </w:t>
            </w:r>
            <w:r w:rsidR="00F910D8">
              <w:rPr>
                <w:b/>
                <w:bCs/>
                <w:sz w:val="20"/>
              </w:rPr>
              <w:t>&lt;</w:t>
            </w:r>
            <w:r>
              <w:rPr>
                <w:b/>
                <w:bCs/>
                <w:sz w:val="20"/>
              </w:rPr>
              <w:t>Password</w:t>
            </w:r>
            <w:r w:rsidR="00316941">
              <w:rPr>
                <w:b/>
                <w:bCs/>
                <w:sz w:val="20"/>
              </w:rPr>
              <w:t>&gt;</w:t>
            </w:r>
            <w:r>
              <w:rPr>
                <w:sz w:val="20"/>
              </w:rPr>
              <w:t xml:space="preserve"> and select the </w:t>
            </w:r>
            <w:r>
              <w:rPr>
                <w:b/>
                <w:bCs/>
                <w:color w:val="FF0000"/>
                <w:sz w:val="20"/>
              </w:rPr>
              <w:t>remember my credentials</w:t>
            </w:r>
            <w:r>
              <w:rPr>
                <w:sz w:val="20"/>
              </w:rPr>
              <w:t xml:space="preserve"> checkbox</w:t>
            </w:r>
            <w:r w:rsidRPr="00E869EC">
              <w:rPr>
                <w:sz w:val="20"/>
              </w:rPr>
              <w:t>.</w:t>
            </w:r>
          </w:p>
        </w:tc>
        <w:tc>
          <w:tcPr>
            <w:tcW w:w="0" w:type="auto"/>
            <w:tcMar>
              <w:top w:w="0" w:type="dxa"/>
              <w:left w:w="108" w:type="dxa"/>
              <w:bottom w:w="0" w:type="dxa"/>
              <w:right w:w="108" w:type="dxa"/>
            </w:tcMar>
          </w:tcPr>
          <w:p w14:paraId="39737C98" w14:textId="77777777" w:rsidR="00B40BF5" w:rsidRDefault="00B40BF5" w:rsidP="009570CA">
            <w:pPr>
              <w:spacing w:before="60" w:after="60"/>
              <w:rPr>
                <w:sz w:val="20"/>
              </w:rPr>
            </w:pPr>
          </w:p>
        </w:tc>
      </w:tr>
      <w:tr w:rsidR="00B40BF5" w14:paraId="1D044AF5" w14:textId="77777777" w:rsidTr="00E3126E">
        <w:trPr>
          <w:cantSplit/>
          <w:trHeight w:val="97"/>
          <w:jc w:val="center"/>
        </w:trPr>
        <w:tc>
          <w:tcPr>
            <w:tcW w:w="0" w:type="auto"/>
            <w:tcMar>
              <w:top w:w="0" w:type="dxa"/>
              <w:left w:w="108" w:type="dxa"/>
              <w:bottom w:w="0" w:type="dxa"/>
              <w:right w:w="108" w:type="dxa"/>
            </w:tcMar>
          </w:tcPr>
          <w:p w14:paraId="213BFFDA" w14:textId="77777777" w:rsidR="00B40BF5" w:rsidRDefault="00B40BF5" w:rsidP="006D5A65">
            <w:pPr>
              <w:pStyle w:val="Heading1"/>
            </w:pPr>
          </w:p>
        </w:tc>
        <w:tc>
          <w:tcPr>
            <w:tcW w:w="0" w:type="auto"/>
            <w:tcMar>
              <w:top w:w="0" w:type="dxa"/>
              <w:left w:w="108" w:type="dxa"/>
              <w:bottom w:w="0" w:type="dxa"/>
              <w:right w:w="108" w:type="dxa"/>
            </w:tcMar>
            <w:hideMark/>
          </w:tcPr>
          <w:p w14:paraId="15D30306" w14:textId="77777777" w:rsidR="00B40BF5" w:rsidRDefault="00B40BF5" w:rsidP="009570CA">
            <w:pPr>
              <w:spacing w:before="60" w:after="60"/>
              <w:rPr>
                <w:rFonts w:eastAsiaTheme="minorHAnsi"/>
                <w:sz w:val="20"/>
              </w:rPr>
            </w:pPr>
            <w:r>
              <w:rPr>
                <w:sz w:val="20"/>
              </w:rPr>
              <w:t xml:space="preserve">Click the </w:t>
            </w:r>
            <w:r>
              <w:rPr>
                <w:b/>
                <w:bCs/>
                <w:color w:val="FF0000"/>
                <w:sz w:val="20"/>
              </w:rPr>
              <w:t>OK</w:t>
            </w:r>
            <w:r>
              <w:rPr>
                <w:color w:val="FF0000"/>
                <w:sz w:val="20"/>
              </w:rPr>
              <w:t xml:space="preserve"> </w:t>
            </w:r>
            <w:r>
              <w:rPr>
                <w:sz w:val="20"/>
              </w:rPr>
              <w:t>button.</w:t>
            </w:r>
          </w:p>
        </w:tc>
        <w:tc>
          <w:tcPr>
            <w:tcW w:w="0" w:type="auto"/>
            <w:tcMar>
              <w:top w:w="0" w:type="dxa"/>
              <w:left w:w="108" w:type="dxa"/>
              <w:bottom w:w="0" w:type="dxa"/>
              <w:right w:w="108" w:type="dxa"/>
            </w:tcMar>
          </w:tcPr>
          <w:p w14:paraId="5B27B2D4" w14:textId="77777777" w:rsidR="00B40BF5" w:rsidRDefault="00B40BF5" w:rsidP="009570CA">
            <w:pPr>
              <w:spacing w:before="60" w:after="60"/>
              <w:rPr>
                <w:sz w:val="20"/>
              </w:rPr>
            </w:pPr>
          </w:p>
        </w:tc>
      </w:tr>
    </w:tbl>
    <w:p w14:paraId="430B42A4" w14:textId="4CABC65F" w:rsidR="001077CA" w:rsidRPr="000665B0" w:rsidRDefault="009319FE" w:rsidP="00011E7B">
      <w:pPr>
        <w:pStyle w:val="Heading2"/>
        <w:keepNext/>
        <w:keepLines/>
        <w:spacing w:before="240"/>
      </w:pPr>
      <w:bookmarkStart w:id="623" w:name="_Toc214283128"/>
      <w:r w:rsidRPr="000665B0">
        <w:t>EXITING MDS</w:t>
      </w:r>
      <w:bookmarkEnd w:id="561"/>
      <w:bookmarkEnd w:id="562"/>
      <w:bookmarkEnd w:id="563"/>
      <w:bookmarkEnd w:id="623"/>
    </w:p>
    <w:bookmarkEnd w:id="621"/>
    <w:p w14:paraId="2208768E" w14:textId="4CC6C365" w:rsidR="001077CA" w:rsidRPr="000665B0" w:rsidRDefault="001077CA" w:rsidP="009570CA">
      <w:r w:rsidRPr="000665B0">
        <w:t xml:space="preserve">To exit the MDS system, select either </w:t>
      </w:r>
      <w:r w:rsidRPr="000665B0">
        <w:rPr>
          <w:b/>
        </w:rPr>
        <w:t>Close</w:t>
      </w:r>
      <w:r w:rsidRPr="000665B0">
        <w:t xml:space="preserve"> or </w:t>
      </w:r>
      <w:r w:rsidRPr="000665B0">
        <w:rPr>
          <w:b/>
        </w:rPr>
        <w:t>Exit</w:t>
      </w:r>
      <w:r w:rsidRPr="000665B0">
        <w:t xml:space="preserve"> from the </w:t>
      </w:r>
      <w:r w:rsidRPr="000665B0">
        <w:rPr>
          <w:b/>
        </w:rPr>
        <w:t>File</w:t>
      </w:r>
      <w:r w:rsidRPr="000665B0">
        <w:t xml:space="preserve"> menu, or select </w:t>
      </w:r>
      <w:r w:rsidR="004F159B" w:rsidRPr="000665B0">
        <w:t>t</w:t>
      </w:r>
      <w:r w:rsidR="004F159B">
        <w:t>h</w:t>
      </w:r>
      <w:r w:rsidR="004F159B" w:rsidRPr="000665B0">
        <w:t>e</w:t>
      </w:r>
      <w:r w:rsidRPr="000665B0">
        <w:t xml:space="preserve"> </w:t>
      </w:r>
      <w:r w:rsidRPr="000665B0">
        <w:rPr>
          <w:noProof/>
        </w:rPr>
        <w:drawing>
          <wp:inline distT="0" distB="0" distL="0" distR="0" wp14:anchorId="4E2E8910" wp14:editId="7D3DE253">
            <wp:extent cx="190500" cy="190500"/>
            <wp:effectExtent l="0" t="0" r="0" b="0"/>
            <wp:docPr id="3" name="Picture 3" descr="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xit"/>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90500" cy="190500"/>
                    </a:xfrm>
                    <a:prstGeom prst="rect">
                      <a:avLst/>
                    </a:prstGeom>
                    <a:noFill/>
                    <a:ln>
                      <a:noFill/>
                    </a:ln>
                  </pic:spPr>
                </pic:pic>
              </a:graphicData>
            </a:graphic>
          </wp:inline>
        </w:drawing>
      </w:r>
      <w:r w:rsidRPr="000665B0">
        <w:t xml:space="preserve"> icon in the top right corner of the window.</w:t>
      </w:r>
    </w:p>
    <w:p w14:paraId="39B8EB6B" w14:textId="2AD38638" w:rsidR="000B397E" w:rsidRPr="000665B0" w:rsidRDefault="001077CA" w:rsidP="009570CA">
      <w:pPr>
        <w:spacing w:after="240"/>
        <w:rPr>
          <w:b/>
          <w:noProof/>
        </w:rPr>
      </w:pPr>
      <w:r w:rsidRPr="000665B0">
        <w:rPr>
          <w:snapToGrid w:val="0"/>
        </w:rPr>
        <w:t xml:space="preserve">When the </w:t>
      </w:r>
      <w:r w:rsidR="00693A80" w:rsidRPr="000665B0">
        <w:rPr>
          <w:i/>
          <w:snapToGrid w:val="0"/>
        </w:rPr>
        <w:t>MDS</w:t>
      </w:r>
      <w:r w:rsidR="00693A80" w:rsidRPr="000665B0">
        <w:rPr>
          <w:snapToGrid w:val="0"/>
        </w:rPr>
        <w:t xml:space="preserve"> </w:t>
      </w:r>
      <w:r w:rsidRPr="000665B0">
        <w:rPr>
          <w:snapToGrid w:val="0"/>
        </w:rPr>
        <w:t xml:space="preserve">confirmation window is displayed click the </w:t>
      </w:r>
      <w:r w:rsidRPr="000665B0">
        <w:rPr>
          <w:b/>
          <w:snapToGrid w:val="0"/>
        </w:rPr>
        <w:t>Yes</w:t>
      </w:r>
      <w:r w:rsidRPr="000665B0">
        <w:rPr>
          <w:snapToGrid w:val="0"/>
        </w:rPr>
        <w:t xml:space="preserve"> button to exit the MDS application or click the </w:t>
      </w:r>
      <w:r w:rsidRPr="000665B0">
        <w:rPr>
          <w:b/>
          <w:snapToGrid w:val="0"/>
        </w:rPr>
        <w:t>No</w:t>
      </w:r>
      <w:r w:rsidRPr="000665B0">
        <w:rPr>
          <w:snapToGrid w:val="0"/>
        </w:rPr>
        <w:t xml:space="preserve"> button to cancel the operation.</w:t>
      </w:r>
      <w:bookmarkStart w:id="624" w:name="_4.4.1__Valid_"/>
      <w:bookmarkStart w:id="625" w:name="_4.4.2__Pattern_"/>
      <w:bookmarkStart w:id="626" w:name="_4.4.3__Platform_"/>
      <w:bookmarkStart w:id="627" w:name="_4.4.4__Initial_"/>
      <w:bookmarkStart w:id="628" w:name="_4.5.2.1.4__Archive_"/>
      <w:bookmarkStart w:id="629" w:name="_4.5.2.1.5__Restore_"/>
      <w:bookmarkStart w:id="630" w:name="_4.3.2_Uninstalling_PC-MDS_4.2.2"/>
      <w:bookmarkStart w:id="631" w:name="_4.1.1__Uninstalling"/>
      <w:bookmarkStart w:id="632" w:name="_4.4.1_Valid_Missile_ID_List_(VMIL)"/>
      <w:bookmarkStart w:id="633" w:name="_4.4.1__Valid_Missile_ID_List_(VMIL)"/>
      <w:bookmarkStart w:id="634" w:name="_4.3.1__Valid_Missile_ID_List_(VMIL)"/>
      <w:bookmarkStart w:id="635" w:name="_4.4.2_Pattern_Control_Table_Referen"/>
      <w:bookmarkStart w:id="636" w:name="_4.4.2__Pattern"/>
      <w:bookmarkStart w:id="637" w:name="_4.3.2__Pattern_Control_Table_Refere"/>
      <w:bookmarkStart w:id="638" w:name="_4.4.3_Platform_Information"/>
      <w:bookmarkStart w:id="639" w:name="_4.4.3__Platform"/>
      <w:bookmarkStart w:id="640" w:name="_4.3.3__Platform_Information"/>
      <w:bookmarkStart w:id="641" w:name="_4.4.3__Platform_Information"/>
      <w:bookmarkStart w:id="642" w:name="_4.4.4_Initial_Mission_Population"/>
      <w:bookmarkStart w:id="643" w:name="_4.4.4__Initial"/>
      <w:bookmarkStart w:id="644" w:name="_4.3.4__Initial_Mission_Population"/>
      <w:bookmarkStart w:id="645" w:name="_4.4.4__Initial_Mission_Population"/>
      <w:bookmarkStart w:id="646" w:name="_4.5.2.1.4__Archive"/>
      <w:bookmarkStart w:id="647" w:name="_4.5.2.1.5__Restore"/>
      <w:bookmarkEnd w:id="511"/>
      <w:bookmarkEnd w:id="512"/>
      <w:bookmarkEnd w:id="513"/>
      <w:bookmarkEnd w:id="514"/>
      <w:bookmarkEnd w:id="515"/>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p>
    <w:p w14:paraId="062C4CCE" w14:textId="77777777" w:rsidR="005D1A26" w:rsidRPr="000665B0" w:rsidRDefault="005D1A26" w:rsidP="009570CA">
      <w:pPr>
        <w:rPr>
          <w:noProof/>
        </w:rPr>
      </w:pPr>
    </w:p>
    <w:p w14:paraId="5DA58F80" w14:textId="77777777" w:rsidR="00A316EA" w:rsidRDefault="00A316EA" w:rsidP="009570CA">
      <w:pPr>
        <w:rPr>
          <w:noProof/>
        </w:rPr>
      </w:pPr>
      <w:r>
        <w:br w:type="page"/>
      </w:r>
      <w:bookmarkStart w:id="648" w:name="_Section_5_MDS"/>
      <w:bookmarkStart w:id="649" w:name="_MDS_FUNCTIONS"/>
      <w:bookmarkStart w:id="650" w:name="_Toc71955107"/>
      <w:bookmarkStart w:id="651" w:name="_Toc96169732"/>
      <w:bookmarkStart w:id="652" w:name="_Toc96233777"/>
      <w:bookmarkStart w:id="653" w:name="_Toc112733203"/>
      <w:bookmarkStart w:id="654" w:name="_Toc289328160"/>
      <w:bookmarkStart w:id="655" w:name="_Toc312331644"/>
      <w:bookmarkStart w:id="656" w:name="_Toc214283129"/>
      <w:bookmarkEnd w:id="648"/>
      <w:bookmarkEnd w:id="649"/>
      <w:r w:rsidR="009319FE" w:rsidRPr="000665B0">
        <w:lastRenderedPageBreak/>
        <w:t>MDS FUNCTIONS</w:t>
      </w:r>
      <w:bookmarkEnd w:id="650"/>
      <w:bookmarkEnd w:id="651"/>
      <w:bookmarkEnd w:id="652"/>
      <w:bookmarkEnd w:id="653"/>
      <w:bookmarkEnd w:id="654"/>
      <w:bookmarkEnd w:id="655"/>
      <w:bookmarkEnd w:id="656"/>
    </w:p>
    <w:p w14:paraId="2181123E" w14:textId="5FD739B2" w:rsidR="005D1A26" w:rsidRPr="000665B0" w:rsidRDefault="005D1A26" w:rsidP="001D5D3D">
      <w:pPr>
        <w:pStyle w:val="Heading2"/>
        <w:spacing w:before="240"/>
      </w:pPr>
      <w:bookmarkStart w:id="657" w:name="_Toc71955108"/>
      <w:bookmarkStart w:id="658" w:name="_Toc96169733"/>
      <w:bookmarkStart w:id="659" w:name="_Toc96233778"/>
      <w:bookmarkStart w:id="660" w:name="_Toc112733204"/>
      <w:bookmarkStart w:id="661" w:name="_Toc289328161"/>
      <w:bookmarkStart w:id="662" w:name="_Toc312331645"/>
      <w:bookmarkStart w:id="663" w:name="_Toc214283130"/>
      <w:r w:rsidRPr="000665B0">
        <w:t>MDS TOOLBOX</w:t>
      </w:r>
      <w:bookmarkEnd w:id="657"/>
      <w:bookmarkEnd w:id="658"/>
      <w:bookmarkEnd w:id="659"/>
      <w:bookmarkEnd w:id="660"/>
      <w:bookmarkEnd w:id="661"/>
      <w:bookmarkEnd w:id="662"/>
      <w:bookmarkEnd w:id="663"/>
    </w:p>
    <w:p w14:paraId="6FA590C3" w14:textId="5A8AF760" w:rsidR="005D1A26" w:rsidRPr="000665B0" w:rsidRDefault="005D1A26" w:rsidP="009570CA">
      <w:pPr>
        <w:rPr>
          <w:snapToGrid w:val="0"/>
        </w:rPr>
      </w:pPr>
      <w:bookmarkStart w:id="664" w:name="_Hlk63849227"/>
      <w:r w:rsidRPr="000665B0">
        <w:rPr>
          <w:snapToGrid w:val="0"/>
        </w:rPr>
        <w:t xml:space="preserve">The MDS toolbox </w:t>
      </w:r>
      <w:r w:rsidR="00CA3FA1" w:rsidRPr="000665B0">
        <w:rPr>
          <w:snapToGrid w:val="0"/>
        </w:rPr>
        <w:t>allows</w:t>
      </w:r>
      <w:r w:rsidRPr="000665B0">
        <w:rPr>
          <w:snapToGrid w:val="0"/>
        </w:rPr>
        <w:t xml:space="preserve"> the operator </w:t>
      </w:r>
      <w:r w:rsidR="00CA3FA1" w:rsidRPr="000665B0">
        <w:rPr>
          <w:snapToGrid w:val="0"/>
        </w:rPr>
        <w:t>to</w:t>
      </w:r>
      <w:r w:rsidRPr="000665B0">
        <w:rPr>
          <w:snapToGrid w:val="0"/>
        </w:rPr>
        <w:t xml:space="preserve"> navigate around the software and access the individual </w:t>
      </w:r>
      <w:r w:rsidR="00D65408" w:rsidRPr="000665B0">
        <w:rPr>
          <w:snapToGrid w:val="0"/>
        </w:rPr>
        <w:t xml:space="preserve">tools </w:t>
      </w:r>
      <w:r w:rsidR="00F32552" w:rsidRPr="000665B0">
        <w:rPr>
          <w:snapToGrid w:val="0"/>
        </w:rPr>
        <w:t xml:space="preserve">from the </w:t>
      </w:r>
      <w:r w:rsidR="00F32552" w:rsidRPr="000665B0">
        <w:rPr>
          <w:b/>
          <w:snapToGrid w:val="0"/>
        </w:rPr>
        <w:t>Go</w:t>
      </w:r>
      <w:r w:rsidR="00F32552" w:rsidRPr="000665B0">
        <w:rPr>
          <w:snapToGrid w:val="0"/>
        </w:rPr>
        <w:t xml:space="preserve"> menu (see </w:t>
      </w:r>
      <w:hyperlink w:anchor="_Go_Menu" w:history="1">
        <w:r w:rsidR="00F32552" w:rsidRPr="000665B0">
          <w:rPr>
            <w:rStyle w:val="Hyperlink"/>
            <w:snapToGrid w:val="0"/>
          </w:rPr>
          <w:t>Section 5.2.4</w:t>
        </w:r>
      </w:hyperlink>
      <w:r w:rsidR="00F32552" w:rsidRPr="000665B0">
        <w:rPr>
          <w:snapToGrid w:val="0"/>
        </w:rPr>
        <w:t xml:space="preserve">) or the MDS Bar (see </w:t>
      </w:r>
      <w:hyperlink w:anchor="_MDS_Bar_1" w:history="1">
        <w:r w:rsidR="00CB1EF8" w:rsidRPr="000665B0">
          <w:rPr>
            <w:rStyle w:val="Hyperlink"/>
            <w:snapToGrid w:val="0"/>
          </w:rPr>
          <w:t>Section 5.2.3.2</w:t>
        </w:r>
      </w:hyperlink>
      <w:r w:rsidR="00F32552" w:rsidRPr="000665B0">
        <w:rPr>
          <w:snapToGrid w:val="0"/>
        </w:rPr>
        <w:t>)</w:t>
      </w:r>
      <w:r w:rsidRPr="000665B0">
        <w:rPr>
          <w:snapToGrid w:val="0"/>
        </w:rPr>
        <w:t xml:space="preserve">. </w:t>
      </w:r>
      <w:r w:rsidR="00D65408" w:rsidRPr="000665B0">
        <w:rPr>
          <w:snapToGrid w:val="0"/>
        </w:rPr>
        <w:t xml:space="preserve">Accessing the tool opens the selected tool’s primary window. Each window within a tool is commonly referred to as a “list view.” </w:t>
      </w:r>
      <w:r w:rsidRPr="000665B0">
        <w:rPr>
          <w:snapToGrid w:val="0"/>
        </w:rPr>
        <w:t xml:space="preserve">The toolbox is divided into </w:t>
      </w:r>
      <w:r w:rsidR="00333908">
        <w:rPr>
          <w:snapToGrid w:val="0"/>
        </w:rPr>
        <w:t>five</w:t>
      </w:r>
      <w:r w:rsidRPr="000665B0">
        <w:rPr>
          <w:snapToGrid w:val="0"/>
        </w:rPr>
        <w:t xml:space="preserve"> main </w:t>
      </w:r>
      <w:r w:rsidR="005F1B18" w:rsidRPr="000665B0">
        <w:rPr>
          <w:snapToGrid w:val="0"/>
        </w:rPr>
        <w:t xml:space="preserve">groups </w:t>
      </w:r>
      <w:r w:rsidRPr="000665B0">
        <w:rPr>
          <w:snapToGrid w:val="0"/>
        </w:rPr>
        <w:t xml:space="preserve">(Missions, </w:t>
      </w:r>
      <w:r w:rsidR="00CA3FA1" w:rsidRPr="000665B0">
        <w:rPr>
          <w:snapToGrid w:val="0"/>
        </w:rPr>
        <w:t xml:space="preserve">Comms, Strike Plan, </w:t>
      </w:r>
      <w:r w:rsidR="00E45ECE" w:rsidRPr="000665B0">
        <w:rPr>
          <w:snapToGrid w:val="0"/>
        </w:rPr>
        <w:t xml:space="preserve">Strike Execution, </w:t>
      </w:r>
      <w:r w:rsidR="00CA3FA1" w:rsidRPr="000665B0">
        <w:rPr>
          <w:snapToGrid w:val="0"/>
        </w:rPr>
        <w:t>and System)</w:t>
      </w:r>
      <w:r w:rsidRPr="000665B0">
        <w:rPr>
          <w:snapToGrid w:val="0"/>
        </w:rPr>
        <w:t xml:space="preserve"> which provide the operator with a variety of functions, sub-categorized into </w:t>
      </w:r>
      <w:r w:rsidR="00F64480" w:rsidRPr="000665B0">
        <w:rPr>
          <w:snapToGrid w:val="0"/>
        </w:rPr>
        <w:t>software t</w:t>
      </w:r>
      <w:r w:rsidRPr="000665B0">
        <w:rPr>
          <w:snapToGrid w:val="0"/>
        </w:rPr>
        <w:t xml:space="preserve">ools. These sub-categorized </w:t>
      </w:r>
      <w:r w:rsidR="00F64480" w:rsidRPr="000665B0">
        <w:rPr>
          <w:snapToGrid w:val="0"/>
        </w:rPr>
        <w:t xml:space="preserve">tools </w:t>
      </w:r>
      <w:r w:rsidRPr="000665B0">
        <w:rPr>
          <w:snapToGrid w:val="0"/>
        </w:rPr>
        <w:t>include:</w:t>
      </w:r>
    </w:p>
    <w:tbl>
      <w:tblPr>
        <w:tblW w:w="5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0"/>
        <w:gridCol w:w="2736"/>
      </w:tblGrid>
      <w:tr w:rsidR="0013210C" w:rsidRPr="0013210C" w14:paraId="55F92EC3" w14:textId="77777777" w:rsidTr="0013210C">
        <w:trPr>
          <w:trHeight w:val="461"/>
          <w:jc w:val="center"/>
        </w:trPr>
        <w:tc>
          <w:tcPr>
            <w:tcW w:w="2690" w:type="dxa"/>
            <w:vAlign w:val="center"/>
          </w:tcPr>
          <w:p w14:paraId="3DAF8A8B" w14:textId="77777777" w:rsidR="0013210C" w:rsidRPr="0013210C" w:rsidRDefault="0013210C" w:rsidP="0013210C">
            <w:pPr>
              <w:pStyle w:val="Bullet"/>
              <w:spacing w:before="60" w:after="60" w:line="240" w:lineRule="auto"/>
              <w:jc w:val="center"/>
              <w:rPr>
                <w:rFonts w:ascii="Arial" w:hAnsi="Arial" w:cs="Arial"/>
                <w:sz w:val="20"/>
              </w:rPr>
            </w:pPr>
            <w:bookmarkStart w:id="665" w:name="_5.2_COMMON_WINDOW_FEATURES"/>
            <w:bookmarkStart w:id="666" w:name="_5.2__COMMON"/>
            <w:bookmarkStart w:id="667" w:name="_5.2__COMMON_WINDOW_FEATURES"/>
            <w:bookmarkStart w:id="668" w:name="_5.2__COMMON_WINDOW_FEATURES_1"/>
            <w:bookmarkStart w:id="669" w:name="_Toc71955109"/>
            <w:bookmarkStart w:id="670" w:name="_Toc96169734"/>
            <w:bookmarkStart w:id="671" w:name="_Toc96233779"/>
            <w:bookmarkStart w:id="672" w:name="_Toc112733205"/>
            <w:bookmarkEnd w:id="664"/>
            <w:bookmarkEnd w:id="665"/>
            <w:bookmarkEnd w:id="666"/>
            <w:bookmarkEnd w:id="667"/>
            <w:bookmarkEnd w:id="668"/>
            <w:r w:rsidRPr="0013210C">
              <w:rPr>
                <w:rFonts w:ascii="Arial" w:hAnsi="Arial" w:cs="Arial"/>
                <w:sz w:val="20"/>
              </w:rPr>
              <w:t>ACMSs</w:t>
            </w:r>
          </w:p>
        </w:tc>
        <w:tc>
          <w:tcPr>
            <w:tcW w:w="2736" w:type="dxa"/>
            <w:vAlign w:val="center"/>
          </w:tcPr>
          <w:p w14:paraId="1262BA29" w14:textId="3BB84C3A"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Platform Management</w:t>
            </w:r>
          </w:p>
        </w:tc>
      </w:tr>
      <w:tr w:rsidR="0013210C" w:rsidRPr="0013210C" w14:paraId="38BB6321" w14:textId="77777777" w:rsidTr="0013210C">
        <w:trPr>
          <w:trHeight w:val="461"/>
          <w:jc w:val="center"/>
        </w:trPr>
        <w:tc>
          <w:tcPr>
            <w:tcW w:w="2690" w:type="dxa"/>
            <w:vAlign w:val="center"/>
          </w:tcPr>
          <w:p w14:paraId="5383C156" w14:textId="77777777"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Airspace Management</w:t>
            </w:r>
          </w:p>
        </w:tc>
        <w:tc>
          <w:tcPr>
            <w:tcW w:w="2736" w:type="dxa"/>
            <w:vAlign w:val="center"/>
          </w:tcPr>
          <w:p w14:paraId="009CD990" w14:textId="4CEF8313"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Platforms</w:t>
            </w:r>
          </w:p>
        </w:tc>
      </w:tr>
      <w:tr w:rsidR="0013210C" w:rsidRPr="0013210C" w14:paraId="49126F49" w14:textId="77777777" w:rsidTr="0013210C">
        <w:trPr>
          <w:trHeight w:val="461"/>
          <w:jc w:val="center"/>
        </w:trPr>
        <w:tc>
          <w:tcPr>
            <w:tcW w:w="2690" w:type="dxa"/>
            <w:vAlign w:val="center"/>
          </w:tcPr>
          <w:p w14:paraId="07D6C019" w14:textId="0ED7F803"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CMDOs</w:t>
            </w:r>
          </w:p>
        </w:tc>
        <w:tc>
          <w:tcPr>
            <w:tcW w:w="2736" w:type="dxa"/>
            <w:vAlign w:val="center"/>
          </w:tcPr>
          <w:p w14:paraId="54942572" w14:textId="3CE59182"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Pull Distribution</w:t>
            </w:r>
          </w:p>
        </w:tc>
      </w:tr>
      <w:tr w:rsidR="0013210C" w:rsidRPr="0013210C" w14:paraId="74AD7434" w14:textId="77777777" w:rsidTr="0013210C">
        <w:trPr>
          <w:trHeight w:val="461"/>
          <w:jc w:val="center"/>
        </w:trPr>
        <w:tc>
          <w:tcPr>
            <w:tcW w:w="2690" w:type="dxa"/>
            <w:vAlign w:val="center"/>
          </w:tcPr>
          <w:p w14:paraId="603029DC" w14:textId="641A7B31"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Coordination Templates</w:t>
            </w:r>
          </w:p>
        </w:tc>
        <w:tc>
          <w:tcPr>
            <w:tcW w:w="2736" w:type="dxa"/>
            <w:vAlign w:val="center"/>
          </w:tcPr>
          <w:p w14:paraId="32C2C287" w14:textId="3ACCB979"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Queries</w:t>
            </w:r>
          </w:p>
        </w:tc>
      </w:tr>
      <w:tr w:rsidR="0013210C" w:rsidRPr="0013210C" w14:paraId="6C7BCD2E" w14:textId="77777777" w:rsidTr="0013210C">
        <w:trPr>
          <w:trHeight w:val="461"/>
          <w:jc w:val="center"/>
        </w:trPr>
        <w:tc>
          <w:tcPr>
            <w:tcW w:w="2690" w:type="dxa"/>
            <w:vAlign w:val="center"/>
          </w:tcPr>
          <w:p w14:paraId="63441CE8" w14:textId="66F5001C"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Crypto</w:t>
            </w:r>
          </w:p>
        </w:tc>
        <w:tc>
          <w:tcPr>
            <w:tcW w:w="2736" w:type="dxa"/>
            <w:vAlign w:val="center"/>
          </w:tcPr>
          <w:p w14:paraId="4715E4DF" w14:textId="64881936"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Quick Strike (Optional on Permissible FRUs Only)</w:t>
            </w:r>
            <w:r w:rsidRPr="0013210C" w:rsidDel="00A16871">
              <w:rPr>
                <w:rFonts w:ascii="Arial" w:hAnsi="Arial" w:cs="Arial"/>
                <w:sz w:val="20"/>
              </w:rPr>
              <w:t xml:space="preserve"> </w:t>
            </w:r>
          </w:p>
        </w:tc>
      </w:tr>
      <w:tr w:rsidR="0013210C" w:rsidRPr="0013210C" w14:paraId="197E564F" w14:textId="77777777" w:rsidTr="0013210C">
        <w:trPr>
          <w:trHeight w:val="461"/>
          <w:jc w:val="center"/>
        </w:trPr>
        <w:tc>
          <w:tcPr>
            <w:tcW w:w="2690" w:type="dxa"/>
            <w:vAlign w:val="center"/>
          </w:tcPr>
          <w:p w14:paraId="647B3E97" w14:textId="60120EEE"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DDO Templates</w:t>
            </w:r>
          </w:p>
        </w:tc>
        <w:tc>
          <w:tcPr>
            <w:tcW w:w="2736" w:type="dxa"/>
            <w:vAlign w:val="center"/>
          </w:tcPr>
          <w:p w14:paraId="671D21D0" w14:textId="20B06712"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Strike Execution</w:t>
            </w:r>
          </w:p>
        </w:tc>
      </w:tr>
      <w:tr w:rsidR="0013210C" w:rsidRPr="0013210C" w14:paraId="04867DE7" w14:textId="77777777" w:rsidTr="0013210C">
        <w:trPr>
          <w:trHeight w:val="461"/>
          <w:jc w:val="center"/>
        </w:trPr>
        <w:tc>
          <w:tcPr>
            <w:tcW w:w="2690" w:type="dxa"/>
            <w:vAlign w:val="center"/>
          </w:tcPr>
          <w:p w14:paraId="1EC1C8B4" w14:textId="2FD3BBB8"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DSMACs</w:t>
            </w:r>
          </w:p>
        </w:tc>
        <w:tc>
          <w:tcPr>
            <w:tcW w:w="2736" w:type="dxa"/>
            <w:vAlign w:val="center"/>
          </w:tcPr>
          <w:p w14:paraId="0B3D571E" w14:textId="7B23F7CA"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Strike Folders</w:t>
            </w:r>
          </w:p>
        </w:tc>
      </w:tr>
      <w:tr w:rsidR="0013210C" w:rsidRPr="0013210C" w14:paraId="05893690" w14:textId="77777777" w:rsidTr="0013210C">
        <w:trPr>
          <w:trHeight w:val="461"/>
          <w:jc w:val="center"/>
        </w:trPr>
        <w:tc>
          <w:tcPr>
            <w:tcW w:w="2690" w:type="dxa"/>
            <w:vAlign w:val="center"/>
          </w:tcPr>
          <w:p w14:paraId="3698BA05" w14:textId="0E524A1C"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Error Log Entries</w:t>
            </w:r>
          </w:p>
        </w:tc>
        <w:tc>
          <w:tcPr>
            <w:tcW w:w="2736" w:type="dxa"/>
            <w:vAlign w:val="center"/>
          </w:tcPr>
          <w:p w14:paraId="1C252703" w14:textId="6C74C371"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Targets</w:t>
            </w:r>
          </w:p>
        </w:tc>
      </w:tr>
      <w:tr w:rsidR="0013210C" w:rsidRPr="0013210C" w14:paraId="5E312205" w14:textId="77777777" w:rsidTr="0013210C">
        <w:trPr>
          <w:trHeight w:val="461"/>
          <w:jc w:val="center"/>
        </w:trPr>
        <w:tc>
          <w:tcPr>
            <w:tcW w:w="2690" w:type="dxa"/>
            <w:vAlign w:val="center"/>
          </w:tcPr>
          <w:p w14:paraId="7BFEE94E" w14:textId="5B030791"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Geo Display</w:t>
            </w:r>
          </w:p>
        </w:tc>
        <w:tc>
          <w:tcPr>
            <w:tcW w:w="2736" w:type="dxa"/>
            <w:vAlign w:val="center"/>
          </w:tcPr>
          <w:p w14:paraId="7D4961F9" w14:textId="3E4E265C"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Task Organizations</w:t>
            </w:r>
          </w:p>
        </w:tc>
      </w:tr>
      <w:tr w:rsidR="0013210C" w:rsidRPr="0013210C" w14:paraId="431B3312" w14:textId="77777777" w:rsidTr="0013210C">
        <w:trPr>
          <w:trHeight w:val="461"/>
          <w:jc w:val="center"/>
        </w:trPr>
        <w:tc>
          <w:tcPr>
            <w:tcW w:w="2690" w:type="dxa"/>
            <w:vAlign w:val="center"/>
          </w:tcPr>
          <w:p w14:paraId="1DF302B9" w14:textId="1E46218A"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Incoming DDOs</w:t>
            </w:r>
          </w:p>
        </w:tc>
        <w:tc>
          <w:tcPr>
            <w:tcW w:w="2736" w:type="dxa"/>
            <w:vAlign w:val="center"/>
          </w:tcPr>
          <w:p w14:paraId="0EBC22B7" w14:textId="5E0418A9"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TAWS</w:t>
            </w:r>
          </w:p>
        </w:tc>
      </w:tr>
      <w:tr w:rsidR="0013210C" w:rsidRPr="0013210C" w14:paraId="0D403727" w14:textId="77777777" w:rsidTr="0013210C">
        <w:trPr>
          <w:trHeight w:val="461"/>
          <w:jc w:val="center"/>
        </w:trPr>
        <w:tc>
          <w:tcPr>
            <w:tcW w:w="2690" w:type="dxa"/>
            <w:vAlign w:val="center"/>
          </w:tcPr>
          <w:p w14:paraId="05831A46" w14:textId="03817923"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Incomplete Missions</w:t>
            </w:r>
          </w:p>
        </w:tc>
        <w:tc>
          <w:tcPr>
            <w:tcW w:w="2736" w:type="dxa"/>
            <w:vAlign w:val="center"/>
          </w:tcPr>
          <w:p w14:paraId="1193B604" w14:textId="617CE15F"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TDM Message Log</w:t>
            </w:r>
          </w:p>
        </w:tc>
      </w:tr>
      <w:tr w:rsidR="0013210C" w:rsidRPr="0013210C" w14:paraId="73D39807" w14:textId="77777777" w:rsidTr="0013210C">
        <w:trPr>
          <w:trHeight w:val="461"/>
          <w:jc w:val="center"/>
        </w:trPr>
        <w:tc>
          <w:tcPr>
            <w:tcW w:w="2690" w:type="dxa"/>
            <w:vAlign w:val="center"/>
          </w:tcPr>
          <w:p w14:paraId="73908DD6" w14:textId="1910EA91"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IQVC Error Log</w:t>
            </w:r>
          </w:p>
        </w:tc>
        <w:tc>
          <w:tcPr>
            <w:tcW w:w="2736" w:type="dxa"/>
            <w:vAlign w:val="center"/>
          </w:tcPr>
          <w:p w14:paraId="0B9E2D34" w14:textId="19A0645B"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TED Utilities</w:t>
            </w:r>
          </w:p>
        </w:tc>
      </w:tr>
      <w:tr w:rsidR="0013210C" w:rsidRPr="0013210C" w14:paraId="52CBEC43" w14:textId="77777777" w:rsidTr="0013210C">
        <w:trPr>
          <w:trHeight w:val="461"/>
          <w:jc w:val="center"/>
        </w:trPr>
        <w:tc>
          <w:tcPr>
            <w:tcW w:w="2690" w:type="dxa"/>
            <w:vAlign w:val="center"/>
          </w:tcPr>
          <w:p w14:paraId="177C359D" w14:textId="39036EA7"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Libraries</w:t>
            </w:r>
          </w:p>
        </w:tc>
        <w:tc>
          <w:tcPr>
            <w:tcW w:w="2736" w:type="dxa"/>
            <w:vAlign w:val="center"/>
          </w:tcPr>
          <w:p w14:paraId="13217F43" w14:textId="02CE6936"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TERCOMs</w:t>
            </w:r>
          </w:p>
        </w:tc>
      </w:tr>
      <w:tr w:rsidR="0013210C" w:rsidRPr="0013210C" w14:paraId="5791EFB5" w14:textId="77777777" w:rsidTr="0013210C">
        <w:trPr>
          <w:trHeight w:val="461"/>
          <w:jc w:val="center"/>
        </w:trPr>
        <w:tc>
          <w:tcPr>
            <w:tcW w:w="2690" w:type="dxa"/>
            <w:vAlign w:val="center"/>
          </w:tcPr>
          <w:p w14:paraId="7433A74B" w14:textId="53B8DC6D"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Missiles</w:t>
            </w:r>
          </w:p>
        </w:tc>
        <w:tc>
          <w:tcPr>
            <w:tcW w:w="2736" w:type="dxa"/>
            <w:vAlign w:val="center"/>
          </w:tcPr>
          <w:p w14:paraId="7CA5EA18" w14:textId="756CC4DE"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Threats</w:t>
            </w:r>
          </w:p>
        </w:tc>
      </w:tr>
      <w:tr w:rsidR="0013210C" w:rsidRPr="0013210C" w14:paraId="6F72C926" w14:textId="77777777" w:rsidTr="0013210C">
        <w:trPr>
          <w:trHeight w:val="461"/>
          <w:jc w:val="center"/>
        </w:trPr>
        <w:tc>
          <w:tcPr>
            <w:tcW w:w="2690" w:type="dxa"/>
            <w:vAlign w:val="center"/>
          </w:tcPr>
          <w:p w14:paraId="14A5CC12" w14:textId="75ED20AE"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Missions</w:t>
            </w:r>
          </w:p>
        </w:tc>
        <w:tc>
          <w:tcPr>
            <w:tcW w:w="2736" w:type="dxa"/>
            <w:vAlign w:val="center"/>
          </w:tcPr>
          <w:p w14:paraId="379295CC" w14:textId="1017C405"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TMPRs</w:t>
            </w:r>
          </w:p>
        </w:tc>
      </w:tr>
      <w:tr w:rsidR="0013210C" w:rsidRPr="0013210C" w14:paraId="4C3F236A" w14:textId="77777777" w:rsidTr="0013210C">
        <w:trPr>
          <w:trHeight w:val="461"/>
          <w:jc w:val="center"/>
        </w:trPr>
        <w:tc>
          <w:tcPr>
            <w:tcW w:w="2690" w:type="dxa"/>
            <w:vAlign w:val="center"/>
          </w:tcPr>
          <w:p w14:paraId="219B9B36" w14:textId="250BA04F"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Nodes</w:t>
            </w:r>
          </w:p>
        </w:tc>
        <w:tc>
          <w:tcPr>
            <w:tcW w:w="2736" w:type="dxa"/>
            <w:vAlign w:val="center"/>
          </w:tcPr>
          <w:p w14:paraId="699E2960" w14:textId="59F947F1"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Tracks</w:t>
            </w:r>
          </w:p>
        </w:tc>
      </w:tr>
      <w:tr w:rsidR="0013210C" w:rsidRPr="0013210C" w14:paraId="37C4844D" w14:textId="77777777" w:rsidTr="0013210C">
        <w:trPr>
          <w:trHeight w:val="461"/>
          <w:jc w:val="center"/>
        </w:trPr>
        <w:tc>
          <w:tcPr>
            <w:tcW w:w="2690" w:type="dxa"/>
            <w:vAlign w:val="center"/>
          </w:tcPr>
          <w:p w14:paraId="2D3E6782" w14:textId="4A11BC28"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OES</w:t>
            </w:r>
          </w:p>
        </w:tc>
        <w:tc>
          <w:tcPr>
            <w:tcW w:w="2736" w:type="dxa"/>
            <w:vAlign w:val="center"/>
          </w:tcPr>
          <w:p w14:paraId="4E15C370" w14:textId="6809841E"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TSRT Activity</w:t>
            </w:r>
          </w:p>
        </w:tc>
      </w:tr>
      <w:tr w:rsidR="0013210C" w:rsidRPr="0013210C" w14:paraId="6F7B60EE" w14:textId="77777777" w:rsidTr="0013210C">
        <w:trPr>
          <w:trHeight w:val="461"/>
          <w:jc w:val="center"/>
        </w:trPr>
        <w:tc>
          <w:tcPr>
            <w:tcW w:w="2690" w:type="dxa"/>
            <w:vAlign w:val="center"/>
          </w:tcPr>
          <w:p w14:paraId="09145D0F" w14:textId="256C32FC"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OES Component</w:t>
            </w:r>
          </w:p>
        </w:tc>
        <w:tc>
          <w:tcPr>
            <w:tcW w:w="2736" w:type="dxa"/>
            <w:vAlign w:val="center"/>
          </w:tcPr>
          <w:p w14:paraId="6D42CF2E" w14:textId="39D98DA3"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TUMs</w:t>
            </w:r>
          </w:p>
        </w:tc>
      </w:tr>
      <w:tr w:rsidR="0013210C" w:rsidRPr="0013210C" w14:paraId="012E6530" w14:textId="77777777" w:rsidTr="0013210C">
        <w:trPr>
          <w:trHeight w:val="461"/>
          <w:jc w:val="center"/>
        </w:trPr>
        <w:tc>
          <w:tcPr>
            <w:tcW w:w="2690" w:type="dxa"/>
            <w:vAlign w:val="center"/>
          </w:tcPr>
          <w:p w14:paraId="6B427335" w14:textId="3B0605FC"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Outgoing DDOs</w:t>
            </w:r>
          </w:p>
        </w:tc>
        <w:tc>
          <w:tcPr>
            <w:tcW w:w="2736" w:type="dxa"/>
            <w:vAlign w:val="center"/>
          </w:tcPr>
          <w:p w14:paraId="6F4AB60E" w14:textId="21EA1F53" w:rsidR="0013210C" w:rsidRPr="0013210C" w:rsidRDefault="0013210C" w:rsidP="0013210C">
            <w:pPr>
              <w:pStyle w:val="Bullet"/>
              <w:spacing w:before="60" w:after="60" w:line="240" w:lineRule="auto"/>
              <w:jc w:val="center"/>
              <w:rPr>
                <w:rFonts w:ascii="Arial" w:hAnsi="Arial" w:cs="Arial"/>
                <w:sz w:val="20"/>
              </w:rPr>
            </w:pPr>
            <w:r>
              <w:rPr>
                <w:rFonts w:ascii="Arial" w:hAnsi="Arial" w:cs="Arial"/>
                <w:sz w:val="20"/>
              </w:rPr>
              <w:t>VFIL</w:t>
            </w:r>
          </w:p>
        </w:tc>
      </w:tr>
      <w:tr w:rsidR="0013210C" w:rsidRPr="0013210C" w14:paraId="05EE52A1" w14:textId="77777777" w:rsidTr="0013210C">
        <w:trPr>
          <w:trHeight w:val="461"/>
          <w:jc w:val="center"/>
        </w:trPr>
        <w:tc>
          <w:tcPr>
            <w:tcW w:w="2690" w:type="dxa"/>
            <w:vAlign w:val="center"/>
          </w:tcPr>
          <w:p w14:paraId="0741A32A" w14:textId="5CAE4638" w:rsidR="0013210C" w:rsidRPr="0013210C" w:rsidRDefault="0013210C" w:rsidP="0013210C">
            <w:pPr>
              <w:pStyle w:val="Bullet"/>
              <w:spacing w:before="60" w:after="60" w:line="240" w:lineRule="auto"/>
              <w:jc w:val="center"/>
              <w:rPr>
                <w:rFonts w:ascii="Arial" w:hAnsi="Arial" w:cs="Arial"/>
                <w:sz w:val="20"/>
              </w:rPr>
            </w:pPr>
            <w:r w:rsidRPr="0013210C">
              <w:rPr>
                <w:rFonts w:ascii="Arial" w:hAnsi="Arial" w:cs="Arial"/>
                <w:sz w:val="20"/>
              </w:rPr>
              <w:t>Overlays</w:t>
            </w:r>
          </w:p>
        </w:tc>
        <w:tc>
          <w:tcPr>
            <w:tcW w:w="2736" w:type="dxa"/>
            <w:vAlign w:val="center"/>
          </w:tcPr>
          <w:p w14:paraId="7C1D2A57" w14:textId="33047D2B" w:rsidR="0013210C" w:rsidRPr="0013210C" w:rsidRDefault="0013210C" w:rsidP="0013210C">
            <w:pPr>
              <w:pStyle w:val="Bullet"/>
              <w:spacing w:before="60" w:after="60" w:line="240" w:lineRule="auto"/>
              <w:jc w:val="center"/>
              <w:rPr>
                <w:rFonts w:ascii="Arial" w:hAnsi="Arial" w:cs="Arial"/>
                <w:sz w:val="20"/>
              </w:rPr>
            </w:pPr>
            <w:r>
              <w:rPr>
                <w:rFonts w:ascii="Arial" w:hAnsi="Arial" w:cs="Arial"/>
                <w:sz w:val="20"/>
              </w:rPr>
              <w:t>-----</w:t>
            </w:r>
          </w:p>
        </w:tc>
      </w:tr>
    </w:tbl>
    <w:p w14:paraId="6B23C780" w14:textId="5ECD4FE2" w:rsidR="00BB2836" w:rsidRPr="000665B0" w:rsidRDefault="00BB2836" w:rsidP="0013210C">
      <w:pPr>
        <w:pStyle w:val="Heading2"/>
        <w:keepNext/>
        <w:spacing w:before="240"/>
      </w:pPr>
      <w:bookmarkStart w:id="673" w:name="_5.2__COMMON_1"/>
      <w:bookmarkStart w:id="674" w:name="_5.2__COMMON_2"/>
      <w:bookmarkStart w:id="675" w:name="_Toc171731874"/>
      <w:bookmarkStart w:id="676" w:name="_Toc214283131"/>
      <w:bookmarkStart w:id="677" w:name="_Toc159314958"/>
      <w:bookmarkEnd w:id="669"/>
      <w:bookmarkEnd w:id="670"/>
      <w:bookmarkEnd w:id="671"/>
      <w:bookmarkEnd w:id="672"/>
      <w:bookmarkEnd w:id="673"/>
      <w:bookmarkEnd w:id="674"/>
      <w:r w:rsidRPr="000665B0">
        <w:lastRenderedPageBreak/>
        <w:t>COMMON WINDOW FEATURES</w:t>
      </w:r>
      <w:bookmarkEnd w:id="675"/>
      <w:bookmarkEnd w:id="676"/>
    </w:p>
    <w:p w14:paraId="56A97B80" w14:textId="77777777" w:rsidR="00BB2836" w:rsidRPr="000665B0" w:rsidRDefault="00BB2836" w:rsidP="009570CA">
      <w:pPr>
        <w:spacing w:after="0"/>
        <w:rPr>
          <w:snapToGrid w:val="0"/>
        </w:rPr>
      </w:pPr>
      <w:r w:rsidRPr="000665B0">
        <w:rPr>
          <w:snapToGrid w:val="0"/>
        </w:rPr>
        <w:t xml:space="preserve">Since MDS was developed in a windowing environment, </w:t>
      </w:r>
      <w:r w:rsidR="00931B38" w:rsidRPr="000665B0">
        <w:rPr>
          <w:snapToGrid w:val="0"/>
        </w:rPr>
        <w:t>there are</w:t>
      </w:r>
      <w:r w:rsidRPr="000665B0">
        <w:rPr>
          <w:snapToGrid w:val="0"/>
        </w:rPr>
        <w:t xml:space="preserve"> many common functions and options that work the same in all windows. Menu options vary from tool to tool, but there are many options that work the same regardless of which tool is involved. Below is a list of these common functions and a description on how to use them. </w:t>
      </w:r>
    </w:p>
    <w:p w14:paraId="3EF3BD09" w14:textId="5872EB94" w:rsidR="00BB2836" w:rsidRPr="000665B0" w:rsidRDefault="00BB2836" w:rsidP="009570CA">
      <w:pPr>
        <w:pStyle w:val="Heading3"/>
        <w:keepNext w:val="0"/>
      </w:pPr>
      <w:bookmarkStart w:id="678" w:name="_Toc171731875"/>
      <w:bookmarkStart w:id="679" w:name="_Toc214283132"/>
      <w:r w:rsidRPr="000665B0">
        <w:t>File Menu</w:t>
      </w:r>
      <w:bookmarkEnd w:id="678"/>
      <w:bookmarkEnd w:id="679"/>
    </w:p>
    <w:p w14:paraId="6B5B2ADF" w14:textId="68E7B365" w:rsidR="00BB2836" w:rsidRPr="000665B0" w:rsidRDefault="00BB2836" w:rsidP="009570CA">
      <w:pPr>
        <w:pStyle w:val="List"/>
        <w:widowControl w:val="0"/>
        <w:spacing w:after="240" w:line="240" w:lineRule="auto"/>
        <w:ind w:left="0" w:firstLine="0"/>
        <w:rPr>
          <w:snapToGrid w:val="0"/>
        </w:rPr>
      </w:pPr>
      <w:r w:rsidRPr="000665B0">
        <w:rPr>
          <w:snapToGrid w:val="0"/>
        </w:rPr>
        <w:t xml:space="preserve">Choosing this option gives the operator the ability to perform specific functions. </w:t>
      </w:r>
      <w:r w:rsidR="00C630CA" w:rsidRPr="000665B0">
        <w:rPr>
          <w:snapToGrid w:val="0"/>
        </w:rPr>
        <w:t xml:space="preserve">The menu selections vary depending on the </w:t>
      </w:r>
      <w:r w:rsidR="00C630CA" w:rsidRPr="000665B0">
        <w:t>specific Tool currently in use</w:t>
      </w:r>
      <w:r w:rsidR="00C630CA" w:rsidRPr="000665B0">
        <w:rPr>
          <w:snapToGrid w:val="0"/>
        </w:rPr>
        <w:t>.</w:t>
      </w:r>
    </w:p>
    <w:p w14:paraId="238897B6" w14:textId="17C5D8CD" w:rsidR="00BB2836" w:rsidRPr="000665B0" w:rsidRDefault="00BB2836" w:rsidP="009570CA">
      <w:pPr>
        <w:pStyle w:val="Heading4"/>
      </w:pPr>
      <w:bookmarkStart w:id="680" w:name="_Toc171731876"/>
      <w:r w:rsidRPr="000665B0">
        <w:t>New</w:t>
      </w:r>
      <w:bookmarkEnd w:id="680"/>
    </w:p>
    <w:p w14:paraId="4A30EDC5" w14:textId="77777777" w:rsidR="00BB2836" w:rsidRPr="000665B0" w:rsidRDefault="00BB2836" w:rsidP="009570CA">
      <w:pPr>
        <w:spacing w:after="0"/>
        <w:rPr>
          <w:snapToGrid w:val="0"/>
        </w:rPr>
      </w:pPr>
      <w:r w:rsidRPr="000665B0">
        <w:t xml:space="preserve">The </w:t>
      </w:r>
      <w:r w:rsidRPr="000665B0">
        <w:rPr>
          <w:b/>
          <w:bCs/>
        </w:rPr>
        <w:t>New</w:t>
      </w:r>
      <w:r w:rsidRPr="000665B0">
        <w:t xml:space="preserve"> option initiate</w:t>
      </w:r>
      <w:r w:rsidR="00931B38" w:rsidRPr="000665B0">
        <w:t>s</w:t>
      </w:r>
      <w:r w:rsidRPr="000665B0">
        <w:t xml:space="preserve"> a new item for the specific Tool currently in use. </w:t>
      </w:r>
    </w:p>
    <w:p w14:paraId="521E7170" w14:textId="2021C6AC" w:rsidR="00BB2836" w:rsidRPr="000665B0" w:rsidRDefault="00BB2836" w:rsidP="009570CA">
      <w:pPr>
        <w:pStyle w:val="Heading4"/>
        <w:keepNext w:val="0"/>
      </w:pPr>
      <w:bookmarkStart w:id="681" w:name="_Toc171731877"/>
      <w:r w:rsidRPr="000665B0">
        <w:t>Display</w:t>
      </w:r>
      <w:bookmarkEnd w:id="681"/>
    </w:p>
    <w:p w14:paraId="74F2AB7A" w14:textId="77777777" w:rsidR="00BB2836" w:rsidRPr="000665B0" w:rsidRDefault="00BB2836" w:rsidP="009570CA">
      <w:pPr>
        <w:spacing w:after="0"/>
      </w:pPr>
      <w:r w:rsidRPr="000665B0">
        <w:t xml:space="preserve">The </w:t>
      </w:r>
      <w:r w:rsidRPr="000665B0">
        <w:rPr>
          <w:b/>
          <w:bCs/>
        </w:rPr>
        <w:t>Display</w:t>
      </w:r>
      <w:r w:rsidRPr="000665B0">
        <w:t xml:space="preserve"> option allows the user to select from several options in which to display their data. Although there are other </w:t>
      </w:r>
      <w:r w:rsidRPr="000665B0">
        <w:rPr>
          <w:b/>
          <w:bCs/>
        </w:rPr>
        <w:t>Display</w:t>
      </w:r>
      <w:r w:rsidRPr="000665B0">
        <w:t xml:space="preserve"> options available in MDS the following are common options throughout.</w:t>
      </w:r>
    </w:p>
    <w:p w14:paraId="1CA966B3" w14:textId="19301B1A" w:rsidR="00BB2836" w:rsidRPr="000665B0" w:rsidRDefault="00BB2836" w:rsidP="009570CA">
      <w:pPr>
        <w:pStyle w:val="Heading5"/>
      </w:pPr>
      <w:bookmarkStart w:id="682" w:name="_5.2.1.2.1__Display_1"/>
      <w:bookmarkStart w:id="683" w:name="_Toc171731878"/>
      <w:bookmarkEnd w:id="682"/>
      <w:r w:rsidRPr="000665B0">
        <w:t>Display All in Excel</w:t>
      </w:r>
      <w:bookmarkEnd w:id="683"/>
    </w:p>
    <w:p w14:paraId="29D5B2C7" w14:textId="77777777" w:rsidR="00BB2836" w:rsidRPr="000665B0" w:rsidRDefault="00BB2836" w:rsidP="009570CA">
      <w:r w:rsidRPr="000665B0">
        <w:t xml:space="preserve">To display all items in Excel, select </w:t>
      </w:r>
      <w:r w:rsidRPr="000665B0">
        <w:rPr>
          <w:b/>
          <w:bCs/>
        </w:rPr>
        <w:t xml:space="preserve">Display </w:t>
      </w:r>
      <w:r w:rsidR="00706FDA" w:rsidRPr="000665B0">
        <w:rPr>
          <w:b/>
          <w:bCs/>
        </w:rPr>
        <w:sym w:font="Wingdings 3" w:char="F07D"/>
      </w:r>
      <w:r w:rsidRPr="000665B0">
        <w:rPr>
          <w:b/>
        </w:rPr>
        <w:t xml:space="preserve"> All in Excel</w:t>
      </w:r>
      <w:r w:rsidRPr="000665B0">
        <w:rPr>
          <w:bCs/>
        </w:rPr>
        <w:t xml:space="preserve"> from the </w:t>
      </w:r>
      <w:r w:rsidRPr="000665B0">
        <w:rPr>
          <w:b/>
          <w:bCs/>
        </w:rPr>
        <w:t>File</w:t>
      </w:r>
      <w:r w:rsidRPr="000665B0">
        <w:rPr>
          <w:bCs/>
          <w:iCs/>
        </w:rPr>
        <w:t xml:space="preserve"> </w:t>
      </w:r>
      <w:r w:rsidRPr="000665B0">
        <w:rPr>
          <w:bCs/>
        </w:rPr>
        <w:t>menu.</w:t>
      </w:r>
    </w:p>
    <w:p w14:paraId="0638364B" w14:textId="77777777" w:rsidR="00BB2836" w:rsidRPr="000665B0" w:rsidRDefault="00BB2836" w:rsidP="009570CA">
      <w:r w:rsidRPr="000665B0">
        <w:t>All items in the List View are sent to an Excel Spreadsheet. From the spreadsheet, the operator can further manipulate the document to achieve the desired appearance. Be aware that this process could take several minutes to complete due to large quantities of line items.</w:t>
      </w:r>
    </w:p>
    <w:p w14:paraId="35877EFD" w14:textId="77777777" w:rsidR="00BB2836" w:rsidRPr="000665B0" w:rsidRDefault="00BB2836" w:rsidP="009570CA">
      <w:r w:rsidRPr="000665B0">
        <w:t>Depending on the number of columns and/or the column width, not all the columns will appear on the same sheet. It is possible that several pages will be necessary to accommodate all the columns in the List View. To help correct this</w:t>
      </w:r>
      <w:r w:rsidR="00931B38" w:rsidRPr="000665B0">
        <w:t>,</w:t>
      </w:r>
      <w:r w:rsidRPr="000665B0">
        <w:t xml:space="preserve"> resize </w:t>
      </w:r>
      <w:r w:rsidR="00931B38" w:rsidRPr="000665B0">
        <w:t xml:space="preserve">the </w:t>
      </w:r>
      <w:r w:rsidRPr="000665B0">
        <w:t>columns width in the Excel spreadsheet and/or change the margins in the document.</w:t>
      </w:r>
    </w:p>
    <w:p w14:paraId="2A1F7C0A" w14:textId="77777777" w:rsidR="00BB2836" w:rsidRPr="000665B0" w:rsidRDefault="00BB2836"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rPr>
        <w:t>To display the list of all items:</w:t>
      </w:r>
    </w:p>
    <w:p w14:paraId="14E65417" w14:textId="77777777" w:rsidR="00BB2836" w:rsidRPr="000665B0" w:rsidRDefault="00BB2836" w:rsidP="009570CA">
      <w:pPr>
        <w:pStyle w:val="number1"/>
        <w:spacing w:before="0" w:beforeAutospacing="0" w:after="120" w:afterAutospacing="0"/>
        <w:ind w:left="360"/>
      </w:pPr>
      <w:r w:rsidRPr="000665B0">
        <w:t xml:space="preserve">From the </w:t>
      </w:r>
      <w:r w:rsidRPr="000665B0">
        <w:rPr>
          <w:b/>
          <w:bCs/>
        </w:rPr>
        <w:t>File</w:t>
      </w:r>
      <w:r w:rsidRPr="000665B0">
        <w:t xml:space="preserve"> menu select </w:t>
      </w:r>
      <w:r w:rsidRPr="000665B0">
        <w:rPr>
          <w:b/>
          <w:bCs/>
        </w:rPr>
        <w:t xml:space="preserve">Display </w:t>
      </w:r>
      <w:r w:rsidR="00706FDA" w:rsidRPr="000665B0">
        <w:rPr>
          <w:b/>
          <w:bCs/>
        </w:rPr>
        <w:sym w:font="Wingdings 3" w:char="F07D"/>
      </w:r>
      <w:r w:rsidRPr="000665B0">
        <w:rPr>
          <w:b/>
          <w:bCs/>
        </w:rPr>
        <w:t xml:space="preserve"> All in Excel</w:t>
      </w:r>
      <w:r w:rsidRPr="000665B0">
        <w:t xml:space="preserve">. </w:t>
      </w:r>
    </w:p>
    <w:p w14:paraId="6334C2A1" w14:textId="77777777" w:rsidR="00BB2836" w:rsidRPr="000665B0" w:rsidRDefault="00BB2836" w:rsidP="009570CA">
      <w:pPr>
        <w:pStyle w:val="base"/>
        <w:keepNext/>
        <w:spacing w:before="120" w:beforeAutospacing="0" w:after="120" w:afterAutospacing="0"/>
        <w:rPr>
          <w:rFonts w:ascii="Times New Roman" w:hAnsi="Times New Roman" w:cs="Times New Roman"/>
        </w:rPr>
      </w:pPr>
      <w:r w:rsidRPr="000665B0">
        <w:rPr>
          <w:rFonts w:ascii="Times New Roman" w:hAnsi="Times New Roman" w:cs="Times New Roman"/>
        </w:rPr>
        <w:t>To display only selected items:</w:t>
      </w:r>
    </w:p>
    <w:p w14:paraId="7A1B973E" w14:textId="77777777" w:rsidR="00BB2836" w:rsidRPr="000665B0" w:rsidRDefault="00BB2836" w:rsidP="006D5A65">
      <w:pPr>
        <w:pStyle w:val="Heading1"/>
      </w:pPr>
      <w:r w:rsidRPr="000665B0">
        <w:t>Select the desired item(s) in the list.</w:t>
      </w:r>
    </w:p>
    <w:p w14:paraId="0F860FED" w14:textId="24F4F82D" w:rsidR="00BB2836" w:rsidRPr="000665B0" w:rsidRDefault="00BB2836" w:rsidP="006D5A65">
      <w:pPr>
        <w:pStyle w:val="Heading1"/>
      </w:pPr>
      <w:r w:rsidRPr="000665B0">
        <w:t>Invoke the context menu</w:t>
      </w:r>
      <w:r w:rsidRPr="000665B0">
        <w:rPr>
          <w:bCs/>
        </w:rPr>
        <w:t xml:space="preserve"> </w:t>
      </w:r>
      <w:r w:rsidRPr="000665B0">
        <w:t>(</w:t>
      </w:r>
      <w:r w:rsidR="00D71804" w:rsidRPr="000665B0">
        <w:t>right-click</w:t>
      </w:r>
      <w:r w:rsidRPr="000665B0">
        <w:t xml:space="preserve"> the mouse) and select </w:t>
      </w:r>
      <w:r w:rsidRPr="000665B0">
        <w:rPr>
          <w:bCs/>
        </w:rPr>
        <w:t xml:space="preserve">Display </w:t>
      </w:r>
      <w:r w:rsidR="00706FDA" w:rsidRPr="000665B0">
        <w:rPr>
          <w:bCs/>
        </w:rPr>
        <w:sym w:font="Wingdings 3" w:char="F07D"/>
      </w:r>
      <w:r w:rsidRPr="000665B0">
        <w:rPr>
          <w:bCs/>
        </w:rPr>
        <w:t xml:space="preserve"> in Excel</w:t>
      </w:r>
      <w:r w:rsidRPr="000665B0">
        <w:t>.</w:t>
      </w:r>
    </w:p>
    <w:p w14:paraId="251DA7E1" w14:textId="77777777" w:rsidR="00BB2836" w:rsidRPr="000665B0" w:rsidRDefault="00BB2836" w:rsidP="009570CA">
      <w:pPr>
        <w:pStyle w:val="base"/>
        <w:spacing w:before="0" w:beforeAutospacing="0" w:after="240" w:afterAutospacing="0"/>
        <w:rPr>
          <w:rFonts w:ascii="Times New Roman" w:hAnsi="Times New Roman" w:cs="Times New Roman"/>
        </w:rPr>
      </w:pPr>
      <w:r w:rsidRPr="000665B0">
        <w:rPr>
          <w:rFonts w:ascii="Times New Roman" w:hAnsi="Times New Roman" w:cs="Times New Roman"/>
        </w:rPr>
        <w:t>The system retrieves the List information and exports it to Microsoft Excel.</w:t>
      </w:r>
    </w:p>
    <w:p w14:paraId="7DBE1FBA" w14:textId="77777777" w:rsidR="00BB2836" w:rsidRPr="000665B0" w:rsidRDefault="00BB283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01D41D3B" w14:textId="77777777" w:rsidR="00BB2836" w:rsidRPr="000665B0" w:rsidRDefault="00BB283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rPr>
      </w:pPr>
      <w:r w:rsidRPr="000665B0">
        <w:rPr>
          <w:b/>
        </w:rPr>
        <w:t>Once the data is displayed in Excel, Excel can be used to format, save, and print the data as required.</w:t>
      </w:r>
    </w:p>
    <w:p w14:paraId="4172213F" w14:textId="658C7807" w:rsidR="00BB2836" w:rsidRPr="000665B0" w:rsidRDefault="00BB2836" w:rsidP="009570CA">
      <w:pPr>
        <w:pStyle w:val="Heading5"/>
      </w:pPr>
      <w:bookmarkStart w:id="684" w:name="_5.2.1.2.2__Display_1"/>
      <w:bookmarkStart w:id="685" w:name="_Toc171731879"/>
      <w:bookmarkEnd w:id="684"/>
      <w:r w:rsidRPr="000665B0">
        <w:lastRenderedPageBreak/>
        <w:t>Display Geographically</w:t>
      </w:r>
      <w:bookmarkEnd w:id="685"/>
    </w:p>
    <w:p w14:paraId="52724C4C" w14:textId="77777777" w:rsidR="00BB2836" w:rsidRPr="000665B0" w:rsidRDefault="00BB2836" w:rsidP="009570CA">
      <w:r w:rsidRPr="000665B0">
        <w:t>This function invokes the default Geographic Tool and displays the selected item(s) on the map.</w:t>
      </w:r>
    </w:p>
    <w:p w14:paraId="05E5EB5C" w14:textId="77777777" w:rsidR="00BB2836" w:rsidRPr="000665B0" w:rsidRDefault="00BB2836" w:rsidP="009570CA">
      <w:pPr>
        <w:pStyle w:val="sansserif"/>
        <w:spacing w:before="0" w:beforeAutospacing="0" w:after="120" w:afterAutospacing="0"/>
        <w:rPr>
          <w:rFonts w:eastAsia="Arial Unicode MS"/>
        </w:rPr>
      </w:pPr>
      <w:r w:rsidRPr="000665B0">
        <w:rPr>
          <w:szCs w:val="20"/>
        </w:rPr>
        <w:t xml:space="preserve">To display selected item(s) geographically. </w:t>
      </w:r>
    </w:p>
    <w:p w14:paraId="6082E38A" w14:textId="77777777" w:rsidR="00BB2836" w:rsidRPr="000665B0" w:rsidRDefault="00BB2836" w:rsidP="006D5A65">
      <w:pPr>
        <w:pStyle w:val="Heading1"/>
      </w:pPr>
      <w:r w:rsidRPr="000665B0">
        <w:t>Select the desired item(s) from the list.</w:t>
      </w:r>
    </w:p>
    <w:p w14:paraId="18600B0A" w14:textId="5FADE5E2" w:rsidR="00BB2836" w:rsidRPr="000665B0" w:rsidRDefault="00BB2836" w:rsidP="006D5A65">
      <w:pPr>
        <w:pStyle w:val="Heading1"/>
      </w:pPr>
      <w:r w:rsidRPr="000665B0">
        <w:t xml:space="preserve">From the </w:t>
      </w:r>
      <w:r w:rsidRPr="000665B0">
        <w:rPr>
          <w:bCs/>
        </w:rPr>
        <w:t>File</w:t>
      </w:r>
      <w:r w:rsidRPr="000665B0">
        <w:t xml:space="preserve"> menu select </w:t>
      </w:r>
      <w:r w:rsidRPr="000665B0">
        <w:rPr>
          <w:bCs/>
        </w:rPr>
        <w:t xml:space="preserve">Display </w:t>
      </w:r>
      <w:r w:rsidR="00706FDA" w:rsidRPr="000665B0">
        <w:rPr>
          <w:bCs/>
        </w:rPr>
        <w:sym w:font="Wingdings 3" w:char="F07D"/>
      </w:r>
      <w:r w:rsidRPr="000665B0">
        <w:rPr>
          <w:bCs/>
        </w:rPr>
        <w:t xml:space="preserve"> </w:t>
      </w:r>
      <w:r w:rsidR="00FC6B75" w:rsidRPr="000665B0">
        <w:rPr>
          <w:bCs/>
        </w:rPr>
        <w:t>Geographically</w:t>
      </w:r>
      <w:r w:rsidR="00FC6B75" w:rsidRPr="000C4B3F">
        <w:t xml:space="preserve"> or</w:t>
      </w:r>
      <w:r w:rsidRPr="000665B0">
        <w:t xml:space="preserve"> </w:t>
      </w:r>
      <w:r w:rsidR="00FC4324" w:rsidRPr="000665B0">
        <w:t xml:space="preserve">invoke </w:t>
      </w:r>
      <w:r w:rsidRPr="000665B0">
        <w:t>the context menu (</w:t>
      </w:r>
      <w:r w:rsidR="00D71804" w:rsidRPr="000665B0">
        <w:t>right-click</w:t>
      </w:r>
      <w:r w:rsidRPr="000665B0">
        <w:t xml:space="preserve"> the mouse) and select </w:t>
      </w:r>
      <w:r w:rsidRPr="000665B0">
        <w:rPr>
          <w:bCs/>
        </w:rPr>
        <w:t xml:space="preserve">Display </w:t>
      </w:r>
      <w:r w:rsidR="00706FDA" w:rsidRPr="000665B0">
        <w:rPr>
          <w:bCs/>
        </w:rPr>
        <w:sym w:font="Wingdings 3" w:char="F07D"/>
      </w:r>
      <w:r w:rsidRPr="000665B0">
        <w:rPr>
          <w:bCs/>
        </w:rPr>
        <w:t xml:space="preserve"> </w:t>
      </w:r>
      <w:r w:rsidR="00986E97" w:rsidRPr="000665B0">
        <w:rPr>
          <w:bCs/>
        </w:rPr>
        <w:t>Geographically</w:t>
      </w:r>
      <w:r w:rsidR="00986E97" w:rsidRPr="000665B0">
        <w:t xml:space="preserve"> or</w:t>
      </w:r>
      <w:r w:rsidRPr="000665B0">
        <w:t xml:space="preserve"> click the </w:t>
      </w:r>
      <w:r w:rsidRPr="000665B0">
        <w:rPr>
          <w:bCs/>
        </w:rPr>
        <w:t xml:space="preserve">Display Geographically </w:t>
      </w:r>
      <w:r w:rsidR="00F11A99" w:rsidRPr="000665B0">
        <w:rPr>
          <w:noProof/>
          <w:position w:val="-4"/>
        </w:rPr>
        <w:drawing>
          <wp:inline distT="0" distB="0" distL="0" distR="0" wp14:anchorId="18F1E345" wp14:editId="4A209093">
            <wp:extent cx="182880" cy="1778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8386" cy="183153"/>
                    </a:xfrm>
                    <a:prstGeom prst="rect">
                      <a:avLst/>
                    </a:prstGeom>
                  </pic:spPr>
                </pic:pic>
              </a:graphicData>
            </a:graphic>
          </wp:inline>
        </w:drawing>
      </w:r>
      <w:r w:rsidRPr="000665B0">
        <w:t xml:space="preserve"> icon</w:t>
      </w:r>
      <w:r w:rsidRPr="000665B0">
        <w:rPr>
          <w:bCs/>
        </w:rPr>
        <w:t xml:space="preserve"> </w:t>
      </w:r>
      <w:r w:rsidRPr="000665B0">
        <w:t xml:space="preserve">on the </w:t>
      </w:r>
      <w:r w:rsidRPr="000665B0">
        <w:rPr>
          <w:bCs/>
        </w:rPr>
        <w:t>Tool Bar</w:t>
      </w:r>
      <w:r w:rsidRPr="000665B0">
        <w:t>.</w:t>
      </w:r>
    </w:p>
    <w:p w14:paraId="3794334F" w14:textId="58E59E9A" w:rsidR="00BB2836" w:rsidRPr="000665B0" w:rsidRDefault="00BB2836" w:rsidP="009570CA">
      <w:pPr>
        <w:pStyle w:val="Heading5"/>
      </w:pPr>
      <w:bookmarkStart w:id="686" w:name="_5.2.1.2.3__Display_1"/>
      <w:bookmarkStart w:id="687" w:name="_Display_References"/>
      <w:bookmarkStart w:id="688" w:name="_Toc171731880"/>
      <w:bookmarkEnd w:id="686"/>
      <w:bookmarkEnd w:id="687"/>
      <w:r w:rsidRPr="000665B0">
        <w:t>Display References</w:t>
      </w:r>
      <w:bookmarkEnd w:id="688"/>
    </w:p>
    <w:p w14:paraId="4B812BC6" w14:textId="77777777" w:rsidR="00BB2836" w:rsidRPr="000665B0" w:rsidRDefault="00BB2836" w:rsidP="009570CA">
      <w:r w:rsidRPr="000665B0">
        <w:t xml:space="preserve">Data in MDS may be referencing each other; MDS provides the capability to determine what data is being referenced through the reference window. During data deletion, MDS also checks for references. If the item being deleted is referenced by other data, the reference window prompts the user. Note that not all data in MDS are referenced by a data type. The references are displayed in a tree view with the </w:t>
      </w:r>
      <w:r w:rsidRPr="000665B0">
        <w:rPr>
          <w:b/>
          <w:bCs/>
        </w:rPr>
        <w:t>root</w:t>
      </w:r>
      <w:r w:rsidRPr="000665B0">
        <w:t xml:space="preserve"> level displaying the referenced data item and the </w:t>
      </w:r>
      <w:r w:rsidRPr="000665B0">
        <w:rPr>
          <w:b/>
          <w:bCs/>
        </w:rPr>
        <w:t>leaves</w:t>
      </w:r>
      <w:r w:rsidRPr="000665B0">
        <w:t xml:space="preserve"> displaying the data items that reference it. The </w:t>
      </w:r>
      <w:r w:rsidR="0007282F" w:rsidRPr="000665B0">
        <w:rPr>
          <w:b/>
          <w:bCs/>
        </w:rPr>
        <w:t>L</w:t>
      </w:r>
      <w:r w:rsidRPr="000665B0">
        <w:rPr>
          <w:b/>
          <w:bCs/>
        </w:rPr>
        <w:t>ocked</w:t>
      </w:r>
      <w:r w:rsidRPr="000665B0">
        <w:t xml:space="preserve"> </w:t>
      </w:r>
      <w:r w:rsidRPr="000665B0">
        <w:rPr>
          <w:noProof/>
          <w:position w:val="-4"/>
        </w:rPr>
        <w:drawing>
          <wp:inline distT="0" distB="0" distL="0" distR="0" wp14:anchorId="59CD8A9A" wp14:editId="5E572C25">
            <wp:extent cx="152400" cy="161925"/>
            <wp:effectExtent l="0" t="0" r="0" b="9525"/>
            <wp:docPr id="1127" name="Picture 1127" descr="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Locke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61925"/>
                    </a:xfrm>
                    <a:prstGeom prst="rect">
                      <a:avLst/>
                    </a:prstGeom>
                    <a:noFill/>
                    <a:ln>
                      <a:noFill/>
                    </a:ln>
                  </pic:spPr>
                </pic:pic>
              </a:graphicData>
            </a:graphic>
          </wp:inline>
        </w:drawing>
      </w:r>
      <w:r w:rsidRPr="000665B0">
        <w:t xml:space="preserve"> icon that appears next to the data items indicates that these references with the </w:t>
      </w:r>
      <w:r w:rsidR="0007282F" w:rsidRPr="000665B0">
        <w:rPr>
          <w:b/>
          <w:bCs/>
        </w:rPr>
        <w:t>L</w:t>
      </w:r>
      <w:r w:rsidRPr="000665B0">
        <w:rPr>
          <w:b/>
          <w:bCs/>
        </w:rPr>
        <w:t>ocked</w:t>
      </w:r>
      <w:r w:rsidRPr="000665B0">
        <w:t xml:space="preserve"> icon must be deleted first before the data item can be deleted. The </w:t>
      </w:r>
      <w:r w:rsidR="0007282F" w:rsidRPr="000665B0">
        <w:rPr>
          <w:b/>
          <w:bCs/>
        </w:rPr>
        <w:t>U</w:t>
      </w:r>
      <w:r w:rsidRPr="000665B0">
        <w:rPr>
          <w:b/>
          <w:bCs/>
        </w:rPr>
        <w:t>nlocked</w:t>
      </w:r>
      <w:r w:rsidRPr="000665B0">
        <w:t xml:space="preserve"> </w:t>
      </w:r>
      <w:r w:rsidRPr="000665B0">
        <w:rPr>
          <w:noProof/>
        </w:rPr>
        <w:drawing>
          <wp:inline distT="0" distB="0" distL="0" distR="0" wp14:anchorId="073B7A92" wp14:editId="514571FD">
            <wp:extent cx="152400" cy="152400"/>
            <wp:effectExtent l="0" t="0" r="0" b="0"/>
            <wp:docPr id="1126" name="Picture 1126" descr="Un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Unlocke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that appears next to the data items indicates that references with the </w:t>
      </w:r>
      <w:r w:rsidR="0007282F" w:rsidRPr="000665B0">
        <w:rPr>
          <w:b/>
          <w:bCs/>
        </w:rPr>
        <w:t>U</w:t>
      </w:r>
      <w:r w:rsidRPr="000665B0">
        <w:rPr>
          <w:b/>
          <w:bCs/>
        </w:rPr>
        <w:t>nlocked</w:t>
      </w:r>
      <w:r w:rsidRPr="000665B0">
        <w:t xml:space="preserve"> icon do not need to be deleted first. A data item can be deleted when it is not being referenced or all</w:t>
      </w:r>
      <w:r w:rsidR="0007282F" w:rsidRPr="000665B0">
        <w:t xml:space="preserve"> of</w:t>
      </w:r>
      <w:r w:rsidRPr="000665B0">
        <w:t xml:space="preserve"> its references are breakable</w:t>
      </w:r>
      <w:r w:rsidR="0007282F" w:rsidRPr="000665B0">
        <w:t>, as indicated by t</w:t>
      </w:r>
      <w:r w:rsidRPr="000665B0">
        <w:t xml:space="preserve">he green </w:t>
      </w:r>
      <w:r w:rsidR="0007282F" w:rsidRPr="000665B0">
        <w:rPr>
          <w:b/>
        </w:rPr>
        <w:t>U</w:t>
      </w:r>
      <w:r w:rsidRPr="000665B0">
        <w:rPr>
          <w:b/>
        </w:rPr>
        <w:t>nlocked</w:t>
      </w:r>
      <w:r w:rsidRPr="000665B0">
        <w:t xml:space="preserve"> </w:t>
      </w:r>
      <w:r w:rsidR="0007282F" w:rsidRPr="000665B0">
        <w:t>i</w:t>
      </w:r>
      <w:r w:rsidRPr="000665B0">
        <w:t>con</w:t>
      </w:r>
      <w:r w:rsidR="0007282F" w:rsidRPr="000665B0">
        <w:t>.</w:t>
      </w:r>
    </w:p>
    <w:p w14:paraId="35792F1C" w14:textId="77777777" w:rsidR="00BB2836" w:rsidRPr="000665B0" w:rsidRDefault="00BB2836" w:rsidP="009570CA">
      <w:r w:rsidRPr="000665B0">
        <w:t>To display the associated references:</w:t>
      </w:r>
    </w:p>
    <w:p w14:paraId="05111965" w14:textId="2AEF5E51" w:rsidR="00BB2836" w:rsidRPr="000665B0" w:rsidRDefault="00BB2836" w:rsidP="006D5A65">
      <w:pPr>
        <w:pStyle w:val="Heading1"/>
      </w:pPr>
      <w:r w:rsidRPr="000665B0">
        <w:t>Go to the list view of a tool. (Note that not all data types are being referenced</w:t>
      </w:r>
      <w:r w:rsidR="00363092" w:rsidRPr="000665B0">
        <w:t>.</w:t>
      </w:r>
      <w:r w:rsidRPr="000665B0">
        <w:t>)</w:t>
      </w:r>
    </w:p>
    <w:p w14:paraId="7C07F175" w14:textId="77777777" w:rsidR="00BB2836" w:rsidRPr="000665B0" w:rsidRDefault="00BB2836" w:rsidP="006D5A65">
      <w:pPr>
        <w:pStyle w:val="Heading1"/>
        <w:rPr>
          <w:rFonts w:eastAsia="Arial Unicode MS"/>
        </w:rPr>
      </w:pPr>
      <w:r w:rsidRPr="000665B0">
        <w:t>Select the desired items(s) from the list.</w:t>
      </w:r>
    </w:p>
    <w:p w14:paraId="57C7176E" w14:textId="5FB5535C" w:rsidR="00BB2836" w:rsidRPr="000665B0" w:rsidRDefault="00BB2836" w:rsidP="006D5A65">
      <w:pPr>
        <w:pStyle w:val="Heading1"/>
      </w:pPr>
      <w:r w:rsidRPr="000665B0">
        <w:t xml:space="preserve">From the </w:t>
      </w:r>
      <w:r w:rsidRPr="000665B0">
        <w:rPr>
          <w:bCs/>
        </w:rPr>
        <w:t>File</w:t>
      </w:r>
      <w:r w:rsidRPr="000665B0">
        <w:t xml:space="preserve"> menu select </w:t>
      </w:r>
      <w:r w:rsidRPr="000665B0">
        <w:rPr>
          <w:bCs/>
        </w:rPr>
        <w:t xml:space="preserve">Display </w:t>
      </w:r>
      <w:r w:rsidR="00706FDA" w:rsidRPr="000665B0">
        <w:rPr>
          <w:bCs/>
        </w:rPr>
        <w:sym w:font="Wingdings 3" w:char="F07D"/>
      </w:r>
      <w:r w:rsidRPr="000665B0">
        <w:rPr>
          <w:bCs/>
        </w:rPr>
        <w:t xml:space="preserve"> References</w:t>
      </w:r>
      <w:r w:rsidRPr="000665B0">
        <w:t xml:space="preserve"> </w:t>
      </w:r>
      <w:r w:rsidR="00FC4324" w:rsidRPr="000665B0">
        <w:t xml:space="preserve">or invoke the context menu </w:t>
      </w:r>
      <w:r w:rsidRPr="000665B0">
        <w:t>(</w:t>
      </w:r>
      <w:r w:rsidR="00D71804" w:rsidRPr="000665B0">
        <w:t>right-click</w:t>
      </w:r>
      <w:r w:rsidRPr="000665B0">
        <w:t xml:space="preserve"> the mouse) and select </w:t>
      </w:r>
      <w:r w:rsidRPr="000665B0">
        <w:rPr>
          <w:bCs/>
        </w:rPr>
        <w:t xml:space="preserve">Display </w:t>
      </w:r>
      <w:r w:rsidR="00706FDA" w:rsidRPr="000665B0">
        <w:rPr>
          <w:bCs/>
        </w:rPr>
        <w:sym w:font="Wingdings 3" w:char="F07D"/>
      </w:r>
      <w:r w:rsidRPr="000665B0">
        <w:rPr>
          <w:bCs/>
        </w:rPr>
        <w:t xml:space="preserve"> References</w:t>
      </w:r>
      <w:r w:rsidRPr="000665B0">
        <w:t xml:space="preserve">. The </w:t>
      </w:r>
      <w:r w:rsidRPr="000665B0">
        <w:rPr>
          <w:bCs/>
          <w:i/>
        </w:rPr>
        <w:t>Referenced Window</w:t>
      </w:r>
      <w:r w:rsidRPr="000665B0">
        <w:t xml:space="preserve"> </w:t>
      </w:r>
      <w:r w:rsidR="00931B38" w:rsidRPr="000665B0">
        <w:t>is</w:t>
      </w:r>
      <w:r w:rsidRPr="000665B0">
        <w:t xml:space="preserve"> displayed.</w:t>
      </w:r>
    </w:p>
    <w:p w14:paraId="0BDAAF9B" w14:textId="174A589F" w:rsidR="00BB2836" w:rsidRPr="000665B0" w:rsidRDefault="00F11A99" w:rsidP="009570CA">
      <w:pPr>
        <w:jc w:val="center"/>
      </w:pPr>
      <w:r w:rsidRPr="000665B0">
        <w:rPr>
          <w:noProof/>
        </w:rPr>
        <w:drawing>
          <wp:inline distT="0" distB="0" distL="0" distR="0" wp14:anchorId="2E4010D2" wp14:editId="5046DFAA">
            <wp:extent cx="1828800" cy="19751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975104"/>
                    </a:xfrm>
                    <a:prstGeom prst="rect">
                      <a:avLst/>
                    </a:prstGeom>
                  </pic:spPr>
                </pic:pic>
              </a:graphicData>
            </a:graphic>
          </wp:inline>
        </w:drawing>
      </w:r>
    </w:p>
    <w:p w14:paraId="5F8F7C36" w14:textId="77777777" w:rsidR="00BB2836" w:rsidRPr="000665B0" w:rsidRDefault="00BB2836" w:rsidP="009570CA">
      <w:r w:rsidRPr="000665B0">
        <w:t xml:space="preserve">The </w:t>
      </w:r>
      <w:r w:rsidRPr="000665B0">
        <w:rPr>
          <w:b/>
          <w:bCs/>
        </w:rPr>
        <w:t>File</w:t>
      </w:r>
      <w:r w:rsidRPr="000665B0">
        <w:t xml:space="preserve"> menu options available for all references are:</w:t>
      </w:r>
    </w:p>
    <w:p w14:paraId="1E9D1895" w14:textId="77777777" w:rsidR="00BB2836" w:rsidRPr="000665B0" w:rsidRDefault="00BB2836" w:rsidP="006D5A65">
      <w:pPr>
        <w:pStyle w:val="Heading1"/>
        <w:rPr>
          <w:rFonts w:eastAsia="Arial Unicode MS"/>
        </w:rPr>
      </w:pPr>
      <w:r w:rsidRPr="000665B0">
        <w:lastRenderedPageBreak/>
        <w:t>Print Preview – Allows the operator to review the information prior to printing.</w:t>
      </w:r>
    </w:p>
    <w:p w14:paraId="0BC4D45D" w14:textId="77777777" w:rsidR="00BB2836" w:rsidRPr="000665B0" w:rsidRDefault="00BB2836" w:rsidP="006D5A65">
      <w:pPr>
        <w:pStyle w:val="Heading1"/>
        <w:rPr>
          <w:rFonts w:eastAsia="Arial Unicode MS"/>
        </w:rPr>
      </w:pPr>
      <w:r w:rsidRPr="000665B0">
        <w:t xml:space="preserve">Print </w:t>
      </w:r>
      <w:r w:rsidRPr="000665B0">
        <w:rPr>
          <w:bCs/>
        </w:rPr>
        <w:t xml:space="preserve">(also available from the Tool Bar) – </w:t>
      </w:r>
      <w:r w:rsidRPr="000665B0">
        <w:t>The user can print all or part of the Referenced list. When this function is performed, the data is automatically formatted into a Microsoft Word document for printing.</w:t>
      </w:r>
    </w:p>
    <w:p w14:paraId="1913AB29" w14:textId="4D9E11A7" w:rsidR="00BB2836" w:rsidRPr="000665B0" w:rsidRDefault="00BB2836" w:rsidP="006D5A65">
      <w:pPr>
        <w:pStyle w:val="Heading1"/>
      </w:pPr>
      <w:r w:rsidRPr="000665B0">
        <w:t xml:space="preserve">Delete </w:t>
      </w:r>
      <w:r w:rsidRPr="000665B0">
        <w:rPr>
          <w:bCs/>
        </w:rPr>
        <w:t xml:space="preserve">(also available from the Tool Bar) – </w:t>
      </w:r>
      <w:r w:rsidRPr="000665B0">
        <w:t xml:space="preserve">The </w:t>
      </w:r>
      <w:r w:rsidRPr="000665B0">
        <w:rPr>
          <w:bCs/>
        </w:rPr>
        <w:t>Delete</w:t>
      </w:r>
      <w:r w:rsidRPr="000665B0">
        <w:t xml:space="preserve"> button is enabled only if there is a data item that can be </w:t>
      </w:r>
      <w:r w:rsidR="0000713B" w:rsidRPr="000665B0">
        <w:t>deleted,</w:t>
      </w:r>
      <w:r w:rsidRPr="000665B0">
        <w:t xml:space="preserve"> and it is checked. A data item can be deleted when it is not being referenced or all </w:t>
      </w:r>
      <w:r w:rsidR="0007282F" w:rsidRPr="000665B0">
        <w:t xml:space="preserve">of </w:t>
      </w:r>
      <w:r w:rsidRPr="000665B0">
        <w:t>its references are breakable</w:t>
      </w:r>
      <w:r w:rsidR="0007282F" w:rsidRPr="000665B0">
        <w:t>, as indicated by the</w:t>
      </w:r>
      <w:r w:rsidRPr="000665B0">
        <w:t xml:space="preserve"> green </w:t>
      </w:r>
      <w:r w:rsidR="0007282F" w:rsidRPr="000665B0">
        <w:t>U</w:t>
      </w:r>
      <w:r w:rsidRPr="000665B0">
        <w:t xml:space="preserve">nlocked </w:t>
      </w:r>
      <w:r w:rsidR="0007282F" w:rsidRPr="000665B0">
        <w:t>i</w:t>
      </w:r>
      <w:r w:rsidRPr="000665B0">
        <w:t>con</w:t>
      </w:r>
      <w:r w:rsidR="0007282F" w:rsidRPr="000665B0">
        <w:t>.</w:t>
      </w:r>
    </w:p>
    <w:p w14:paraId="229A004A" w14:textId="77777777" w:rsidR="00BB2836" w:rsidRPr="000665B0" w:rsidRDefault="00BB2836" w:rsidP="006D5A65">
      <w:pPr>
        <w:pStyle w:val="Heading1"/>
        <w:rPr>
          <w:rFonts w:eastAsia="Arial Unicode MS"/>
        </w:rPr>
      </w:pPr>
      <w:r w:rsidRPr="000665B0">
        <w:t xml:space="preserve">Close – </w:t>
      </w:r>
      <w:r w:rsidRPr="000665B0">
        <w:rPr>
          <w:noProof/>
        </w:rPr>
        <w:t>Closes the selected window when no longer needed.</w:t>
      </w:r>
    </w:p>
    <w:p w14:paraId="0909D9CC" w14:textId="77777777" w:rsidR="00BB2836" w:rsidRPr="000665B0" w:rsidRDefault="00BB2836" w:rsidP="009570CA">
      <w:r w:rsidRPr="000665B0">
        <w:t xml:space="preserve">The </w:t>
      </w:r>
      <w:r w:rsidRPr="000665B0">
        <w:rPr>
          <w:b/>
          <w:bCs/>
        </w:rPr>
        <w:t>Edit</w:t>
      </w:r>
      <w:r w:rsidRPr="000665B0">
        <w:t xml:space="preserve"> menu options available for all references are:</w:t>
      </w:r>
    </w:p>
    <w:p w14:paraId="59F52274" w14:textId="77777777" w:rsidR="00BB2836" w:rsidRPr="000665B0" w:rsidRDefault="00BB2836" w:rsidP="006D5A65">
      <w:pPr>
        <w:pStyle w:val="Heading1"/>
        <w:rPr>
          <w:rFonts w:eastAsia="Arial Unicode MS"/>
        </w:rPr>
      </w:pPr>
      <w:r w:rsidRPr="000665B0">
        <w:t xml:space="preserve">Check All Breakable </w:t>
      </w:r>
    </w:p>
    <w:p w14:paraId="2C379096" w14:textId="77777777" w:rsidR="00BB2836" w:rsidRPr="000665B0" w:rsidRDefault="00BB2836" w:rsidP="006D5A65">
      <w:pPr>
        <w:pStyle w:val="Heading1"/>
      </w:pPr>
      <w:r w:rsidRPr="000665B0">
        <w:t>Uncheck All Breakable</w:t>
      </w:r>
    </w:p>
    <w:p w14:paraId="6AB2992A" w14:textId="77777777" w:rsidR="00BB2836" w:rsidRPr="000665B0" w:rsidRDefault="00BB2836" w:rsidP="006D5A65">
      <w:pPr>
        <w:pStyle w:val="Heading1"/>
      </w:pPr>
      <w:r w:rsidRPr="000665B0">
        <w:t xml:space="preserve">Expand All (No reference selection necessary for this option to work.) – To expand the tree, from the </w:t>
      </w:r>
      <w:r w:rsidRPr="000665B0">
        <w:rPr>
          <w:bCs/>
        </w:rPr>
        <w:t>Edit</w:t>
      </w:r>
      <w:r w:rsidRPr="000665B0">
        <w:t xml:space="preserve"> menu select </w:t>
      </w:r>
      <w:r w:rsidRPr="000665B0">
        <w:rPr>
          <w:bCs/>
        </w:rPr>
        <w:t>Expand All</w:t>
      </w:r>
      <w:r w:rsidRPr="000665B0">
        <w:t>.</w:t>
      </w:r>
    </w:p>
    <w:p w14:paraId="60AAD5D2" w14:textId="77777777" w:rsidR="00BB2836" w:rsidRPr="000665B0" w:rsidRDefault="00BB2836" w:rsidP="006D5A65">
      <w:pPr>
        <w:pStyle w:val="Heading1"/>
        <w:rPr>
          <w:rFonts w:eastAsia="Arial Unicode MS"/>
        </w:rPr>
      </w:pPr>
      <w:r w:rsidRPr="000665B0">
        <w:t xml:space="preserve">Collapse All (No reference selection necessary for this option to work.) – To collapse the tree, from the </w:t>
      </w:r>
      <w:r w:rsidRPr="000665B0">
        <w:rPr>
          <w:bCs/>
        </w:rPr>
        <w:t>Edit</w:t>
      </w:r>
      <w:r w:rsidRPr="000665B0">
        <w:t xml:space="preserve"> menu select </w:t>
      </w:r>
      <w:r w:rsidRPr="000665B0">
        <w:rPr>
          <w:bCs/>
        </w:rPr>
        <w:t>Collapse All</w:t>
      </w:r>
      <w:r w:rsidRPr="000665B0">
        <w:t xml:space="preserve"> </w:t>
      </w:r>
    </w:p>
    <w:p w14:paraId="14D9B2E8" w14:textId="7C024FA9" w:rsidR="00BB2836" w:rsidRPr="000665B0" w:rsidRDefault="00BB2836" w:rsidP="009570CA">
      <w:pPr>
        <w:pStyle w:val="Heading5"/>
      </w:pPr>
      <w:bookmarkStart w:id="689" w:name="_5.2.1.2.4__Display_1"/>
      <w:bookmarkStart w:id="690" w:name="_Toc171731881"/>
      <w:bookmarkEnd w:id="689"/>
      <w:r w:rsidRPr="000665B0">
        <w:t>Display Textually</w:t>
      </w:r>
      <w:bookmarkEnd w:id="690"/>
    </w:p>
    <w:p w14:paraId="7EB12B0B" w14:textId="77777777" w:rsidR="00BB2836" w:rsidRPr="000665B0" w:rsidRDefault="00BB2836" w:rsidP="009570CA">
      <w:r w:rsidRPr="000665B0">
        <w:t xml:space="preserve">This function displays the individual item details. It also provides the capability to edit the data while other displays are for informational purposes only. Specific functionality </w:t>
      </w:r>
      <w:r w:rsidR="00931B38" w:rsidRPr="000665B0">
        <w:t>is</w:t>
      </w:r>
      <w:r w:rsidRPr="000665B0">
        <w:t xml:space="preserve"> discussed in detail in the appropriate sections later in this document. The operator can choose to textually display multiple items simultaneously with each item opening in a separate window.</w:t>
      </w:r>
    </w:p>
    <w:p w14:paraId="6DCD511C" w14:textId="77777777" w:rsidR="00BB2836" w:rsidRPr="000665B0" w:rsidRDefault="00BB2836" w:rsidP="009570CA">
      <w:pPr>
        <w:pStyle w:val="sansserif"/>
        <w:keepNext/>
        <w:spacing w:before="0" w:beforeAutospacing="0" w:after="120" w:afterAutospacing="0"/>
        <w:rPr>
          <w:rFonts w:eastAsia="Arial Unicode MS"/>
        </w:rPr>
      </w:pPr>
      <w:r w:rsidRPr="000665B0">
        <w:rPr>
          <w:szCs w:val="20"/>
        </w:rPr>
        <w:t>This function displays selected item(s) textually.</w:t>
      </w:r>
    </w:p>
    <w:p w14:paraId="78AD92C8" w14:textId="77777777" w:rsidR="00BB2836" w:rsidRPr="000665B0" w:rsidRDefault="00BB2836" w:rsidP="006D5A65">
      <w:pPr>
        <w:pStyle w:val="Heading1"/>
      </w:pPr>
      <w:r w:rsidRPr="000665B0">
        <w:t>Navigate to the appropriate tool and select the item(s) from the list.</w:t>
      </w:r>
    </w:p>
    <w:p w14:paraId="35E50D59" w14:textId="77777777" w:rsidR="00BB2836" w:rsidRPr="000665B0" w:rsidRDefault="00BB2836" w:rsidP="009570CA">
      <w:pPr>
        <w:ind w:left="360"/>
      </w:pPr>
      <w:r w:rsidRPr="000665B0">
        <w:t>or</w:t>
      </w:r>
    </w:p>
    <w:p w14:paraId="2F3DF190" w14:textId="455CFAA2" w:rsidR="00BB2836" w:rsidRPr="000665B0" w:rsidRDefault="00BB2836" w:rsidP="006D5A65">
      <w:pPr>
        <w:pStyle w:val="Heading1"/>
      </w:pPr>
      <w:r w:rsidRPr="000665B0">
        <w:t xml:space="preserve">From the Edit menu </w:t>
      </w:r>
      <w:r w:rsidR="004E7017">
        <w:t>choose</w:t>
      </w:r>
      <w:r w:rsidRPr="000665B0">
        <w:t xml:space="preserve"> </w:t>
      </w:r>
      <w:r w:rsidRPr="000665B0">
        <w:rPr>
          <w:bCs/>
        </w:rPr>
        <w:t>Select All</w:t>
      </w:r>
      <w:r w:rsidRPr="000665B0">
        <w:t xml:space="preserve"> to select all items in the list.</w:t>
      </w:r>
    </w:p>
    <w:p w14:paraId="7669002B" w14:textId="686975CE" w:rsidR="00BB2836" w:rsidRPr="000665B0" w:rsidRDefault="00BB2836" w:rsidP="006D5A65">
      <w:pPr>
        <w:pStyle w:val="Heading1"/>
      </w:pPr>
      <w:r w:rsidRPr="000665B0">
        <w:t xml:space="preserve">From the </w:t>
      </w:r>
      <w:r w:rsidRPr="000665B0">
        <w:rPr>
          <w:bCs/>
        </w:rPr>
        <w:t>File</w:t>
      </w:r>
      <w:r w:rsidRPr="000665B0">
        <w:t xml:space="preserve"> menu select </w:t>
      </w:r>
      <w:r w:rsidRPr="000665B0">
        <w:rPr>
          <w:bCs/>
        </w:rPr>
        <w:t xml:space="preserve">Display </w:t>
      </w:r>
      <w:r w:rsidR="00706FDA" w:rsidRPr="000665B0">
        <w:rPr>
          <w:bCs/>
        </w:rPr>
        <w:sym w:font="Wingdings 3" w:char="F07D"/>
      </w:r>
      <w:r w:rsidRPr="000665B0">
        <w:rPr>
          <w:bCs/>
        </w:rPr>
        <w:t xml:space="preserve"> Textually</w:t>
      </w:r>
      <w:r w:rsidRPr="000665B0">
        <w:t xml:space="preserve"> or </w:t>
      </w:r>
      <w:r w:rsidR="00237D04" w:rsidRPr="000665B0">
        <w:t xml:space="preserve">invoke </w:t>
      </w:r>
      <w:r w:rsidRPr="000665B0">
        <w:t>the context menu (</w:t>
      </w:r>
      <w:r w:rsidR="00D71804" w:rsidRPr="000665B0">
        <w:t>right-click</w:t>
      </w:r>
      <w:r w:rsidR="00237D04" w:rsidRPr="000665B0">
        <w:t xml:space="preserve"> </w:t>
      </w:r>
      <w:r w:rsidRPr="000665B0">
        <w:t xml:space="preserve">the mouse) and select </w:t>
      </w:r>
      <w:r w:rsidRPr="000665B0">
        <w:rPr>
          <w:bCs/>
        </w:rPr>
        <w:t xml:space="preserve">Display </w:t>
      </w:r>
      <w:r w:rsidR="00706FDA" w:rsidRPr="000665B0">
        <w:rPr>
          <w:bCs/>
        </w:rPr>
        <w:sym w:font="Wingdings 3" w:char="F07D"/>
      </w:r>
      <w:r w:rsidRPr="000665B0">
        <w:rPr>
          <w:bCs/>
        </w:rPr>
        <w:t xml:space="preserve"> </w:t>
      </w:r>
      <w:r w:rsidR="0000713B" w:rsidRPr="000665B0">
        <w:rPr>
          <w:bCs/>
        </w:rPr>
        <w:t>Textually</w:t>
      </w:r>
      <w:r w:rsidR="0000713B" w:rsidRPr="000665B0">
        <w:t xml:space="preserve"> or</w:t>
      </w:r>
      <w:r w:rsidRPr="000665B0">
        <w:t xml:space="preserve"> click the </w:t>
      </w:r>
      <w:r w:rsidRPr="000665B0">
        <w:rPr>
          <w:bCs/>
        </w:rPr>
        <w:t>Display Textually</w:t>
      </w:r>
      <w:r w:rsidRPr="000665B0">
        <w:t xml:space="preserve"> </w:t>
      </w:r>
      <w:r w:rsidRPr="000665B0">
        <w:rPr>
          <w:noProof/>
        </w:rPr>
        <w:drawing>
          <wp:inline distT="0" distB="0" distL="0" distR="0" wp14:anchorId="6E164A55" wp14:editId="6A2E5405">
            <wp:extent cx="152400" cy="152400"/>
            <wp:effectExtent l="0" t="0" r="0" b="0"/>
            <wp:docPr id="1124" name="Picture 1124" desc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w:t>
      </w:r>
      <w:r w:rsidRPr="000665B0">
        <w:rPr>
          <w:bCs/>
        </w:rPr>
        <w:t>Tool Bar</w:t>
      </w:r>
      <w:r w:rsidRPr="000665B0">
        <w:t>.</w:t>
      </w:r>
      <w:r w:rsidR="00237D04" w:rsidRPr="000665B0">
        <w:t xml:space="preserve"> In </w:t>
      </w:r>
      <w:r w:rsidR="003B48E6" w:rsidRPr="000665B0">
        <w:t>many instances</w:t>
      </w:r>
      <w:r w:rsidR="00237D04" w:rsidRPr="000665B0">
        <w:t xml:space="preserve">, item(s) can also be displayed textually by selecting the item(s) and </w:t>
      </w:r>
      <w:r w:rsidR="0037038E" w:rsidRPr="000665B0">
        <w:t>double-click</w:t>
      </w:r>
      <w:r w:rsidR="00237D04" w:rsidRPr="000665B0">
        <w:t>ing the mouse.</w:t>
      </w:r>
    </w:p>
    <w:p w14:paraId="3538702D" w14:textId="4ACF7599" w:rsidR="00BB2836" w:rsidRPr="000665B0" w:rsidRDefault="00BB2836" w:rsidP="009570CA">
      <w:pPr>
        <w:pStyle w:val="Heading4"/>
        <w:keepNext w:val="0"/>
        <w:rPr>
          <w:bCs/>
          <w:iCs/>
        </w:rPr>
      </w:pPr>
      <w:bookmarkStart w:id="691" w:name="_5.2.1.3__Custom"/>
      <w:bookmarkStart w:id="692" w:name="_Toc171731883"/>
      <w:bookmarkEnd w:id="691"/>
      <w:r w:rsidRPr="000665B0">
        <w:rPr>
          <w:bCs/>
          <w:iCs/>
        </w:rPr>
        <w:t>Custom Reports</w:t>
      </w:r>
      <w:bookmarkEnd w:id="692"/>
    </w:p>
    <w:p w14:paraId="5134403E" w14:textId="77777777" w:rsidR="00BB2836" w:rsidRPr="000665B0" w:rsidRDefault="00BB2836" w:rsidP="009570CA">
      <w:r w:rsidRPr="000665B0">
        <w:lastRenderedPageBreak/>
        <w:t>Custom Reports are pre-determined reports, available from the Missions Tool and the Strike Options Folder, and are provided during the installation. New Custom Reports can be requested through the CMSAs.</w:t>
      </w:r>
    </w:p>
    <w:p w14:paraId="5C9178D1" w14:textId="77777777" w:rsidR="00BB2836" w:rsidRPr="000665B0" w:rsidRDefault="00BB2836" w:rsidP="009570CA">
      <w:pPr>
        <w:keepNext/>
      </w:pPr>
      <w:r w:rsidRPr="000665B0">
        <w:t>To display the Custom Reports manager window:</w:t>
      </w:r>
    </w:p>
    <w:p w14:paraId="53D4D226" w14:textId="77777777" w:rsidR="00BB2836" w:rsidRPr="000665B0" w:rsidRDefault="00BB2836" w:rsidP="006D5A65">
      <w:pPr>
        <w:pStyle w:val="Heading1"/>
      </w:pPr>
      <w:r w:rsidRPr="000665B0">
        <w:t>Navigate to the appropriate folder (Missions Tool or Strike Options Folder) and select the desired mission(s) for inclusion in the report.</w:t>
      </w:r>
    </w:p>
    <w:p w14:paraId="268EEF0C" w14:textId="7A1769D5" w:rsidR="00BB2836" w:rsidRPr="000665B0" w:rsidRDefault="00BB2836" w:rsidP="006D5A65">
      <w:pPr>
        <w:pStyle w:val="Heading1"/>
      </w:pPr>
      <w:r w:rsidRPr="000665B0">
        <w:t xml:space="preserve">From the </w:t>
      </w:r>
      <w:r w:rsidRPr="000665B0">
        <w:rPr>
          <w:bCs/>
        </w:rPr>
        <w:t>File</w:t>
      </w:r>
      <w:r w:rsidRPr="000665B0">
        <w:t xml:space="preserve"> menu, select the </w:t>
      </w:r>
      <w:r w:rsidRPr="000665B0">
        <w:rPr>
          <w:bCs/>
        </w:rPr>
        <w:t xml:space="preserve">Reports </w:t>
      </w:r>
      <w:r w:rsidR="00706FDA" w:rsidRPr="000665B0">
        <w:rPr>
          <w:bCs/>
        </w:rPr>
        <w:sym w:font="Wingdings 3" w:char="F07D"/>
      </w:r>
      <w:r w:rsidRPr="000665B0">
        <w:rPr>
          <w:bCs/>
        </w:rPr>
        <w:t xml:space="preserve"> Custom</w:t>
      </w:r>
      <w:r w:rsidRPr="000665B0">
        <w:t xml:space="preserve"> or the context menu, (</w:t>
      </w:r>
      <w:r w:rsidR="00D71804" w:rsidRPr="000665B0">
        <w:t>right-click</w:t>
      </w:r>
      <w:r w:rsidRPr="000665B0">
        <w:t xml:space="preserve"> the mouse) and select </w:t>
      </w:r>
      <w:r w:rsidRPr="000665B0">
        <w:rPr>
          <w:bCs/>
        </w:rPr>
        <w:t xml:space="preserve">Reports </w:t>
      </w:r>
      <w:r w:rsidR="00706FDA" w:rsidRPr="000665B0">
        <w:rPr>
          <w:bCs/>
        </w:rPr>
        <w:sym w:font="Wingdings 3" w:char="F07D"/>
      </w:r>
      <w:r w:rsidRPr="000665B0">
        <w:rPr>
          <w:bCs/>
        </w:rPr>
        <w:t xml:space="preserve"> Custom</w:t>
      </w:r>
      <w:r w:rsidRPr="000665B0">
        <w:t xml:space="preserve">. A </w:t>
      </w:r>
      <w:r w:rsidRPr="000665B0">
        <w:rPr>
          <w:i/>
          <w:iCs/>
        </w:rPr>
        <w:t>Custom Report</w:t>
      </w:r>
      <w:r w:rsidRPr="000665B0">
        <w:t xml:space="preserve"> window </w:t>
      </w:r>
      <w:r w:rsidR="00931B38" w:rsidRPr="000665B0">
        <w:t>is</w:t>
      </w:r>
      <w:r w:rsidRPr="000665B0">
        <w:t xml:space="preserve"> displayed.</w:t>
      </w:r>
    </w:p>
    <w:p w14:paraId="547560C5" w14:textId="1A3691E6" w:rsidR="00BB2836" w:rsidRPr="000665B0" w:rsidRDefault="00F11A99" w:rsidP="009570CA">
      <w:pPr>
        <w:spacing w:after="0"/>
        <w:jc w:val="center"/>
      </w:pPr>
      <w:r w:rsidRPr="000665B0">
        <w:rPr>
          <w:noProof/>
        </w:rPr>
        <w:drawing>
          <wp:inline distT="0" distB="0" distL="0" distR="0" wp14:anchorId="5C222179" wp14:editId="21921ECF">
            <wp:extent cx="1828800" cy="25237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2523744"/>
                    </a:xfrm>
                    <a:prstGeom prst="rect">
                      <a:avLst/>
                    </a:prstGeom>
                  </pic:spPr>
                </pic:pic>
              </a:graphicData>
            </a:graphic>
          </wp:inline>
        </w:drawing>
      </w:r>
    </w:p>
    <w:p w14:paraId="360E555C" w14:textId="079FACDC" w:rsidR="00BB2836" w:rsidRPr="000665B0" w:rsidRDefault="00BB2836" w:rsidP="009570CA">
      <w:pPr>
        <w:pStyle w:val="Heading5"/>
      </w:pPr>
      <w:bookmarkStart w:id="693" w:name="_Generate_a_Custom"/>
      <w:bookmarkStart w:id="694" w:name="_Toc171731884"/>
      <w:bookmarkEnd w:id="693"/>
      <w:r w:rsidRPr="000665B0">
        <w:t xml:space="preserve">Generate a Custom Report </w:t>
      </w:r>
      <w:bookmarkEnd w:id="694"/>
    </w:p>
    <w:p w14:paraId="5EED848F" w14:textId="77777777" w:rsidR="00BB2836" w:rsidRPr="000665B0" w:rsidRDefault="00BB2836" w:rsidP="009570CA">
      <w:r w:rsidRPr="000665B0">
        <w:t xml:space="preserve">A “custom” report is a report based upon a pre-defined format. The operator cannot selectively choose which data is included in the report. The current custom reports included in the MDS install are the </w:t>
      </w:r>
      <w:r w:rsidRPr="000665B0">
        <w:rPr>
          <w:szCs w:val="24"/>
        </w:rPr>
        <w:t>Conventional Mission Distribution Order</w:t>
      </w:r>
      <w:r w:rsidRPr="000665B0">
        <w:t xml:space="preserve"> (CMDO) (from the Missions Tool), FRU Summary, and the Strike Target (from the Strike Options Folder) reports. This report format was requested by users at the CMSA. </w:t>
      </w:r>
    </w:p>
    <w:p w14:paraId="59034F7E" w14:textId="13B736D6" w:rsidR="00BB2836" w:rsidRPr="000665B0" w:rsidRDefault="00BB2836" w:rsidP="009570CA">
      <w:r w:rsidRPr="000665B0">
        <w:t xml:space="preserve">To generate a </w:t>
      </w:r>
      <w:r w:rsidR="00AA016C" w:rsidRPr="000665B0">
        <w:t xml:space="preserve">custom </w:t>
      </w:r>
      <w:r w:rsidRPr="000665B0">
        <w:t>report:</w:t>
      </w:r>
    </w:p>
    <w:p w14:paraId="6F0D840A" w14:textId="77777777" w:rsidR="00BB2836" w:rsidRPr="000665B0" w:rsidRDefault="00BB2836" w:rsidP="006D5A65">
      <w:pPr>
        <w:pStyle w:val="Heading1"/>
      </w:pPr>
      <w:r w:rsidRPr="000665B0">
        <w:lastRenderedPageBreak/>
        <w:t>Navigate to the appropriate folder (Missions Tool or Strike Options Folder) and select the desired mission(s) for inclusion in the report.</w:t>
      </w:r>
    </w:p>
    <w:p w14:paraId="748F69B8" w14:textId="68E2F225" w:rsidR="00706FDA" w:rsidRPr="000665B0" w:rsidRDefault="00706FDA" w:rsidP="006D5A65">
      <w:pPr>
        <w:pStyle w:val="Heading1"/>
      </w:pPr>
      <w:bookmarkStart w:id="695" w:name="_5.2.1.4__Send"/>
      <w:bookmarkStart w:id="696" w:name="_Toc171731887"/>
      <w:bookmarkEnd w:id="695"/>
      <w:r w:rsidRPr="000665B0">
        <w:t xml:space="preserve">From the </w:t>
      </w:r>
      <w:r w:rsidRPr="000665B0">
        <w:rPr>
          <w:bCs/>
        </w:rPr>
        <w:t>File</w:t>
      </w:r>
      <w:r w:rsidRPr="000665B0">
        <w:t xml:space="preserve"> menu, select </w:t>
      </w:r>
      <w:r w:rsidRPr="000665B0">
        <w:rPr>
          <w:bCs/>
        </w:rPr>
        <w:t xml:space="preserve">Reports </w:t>
      </w:r>
      <w:r w:rsidRPr="000665B0">
        <w:rPr>
          <w:bCs/>
        </w:rPr>
        <w:sym w:font="Wingdings 3" w:char="F07D"/>
      </w:r>
      <w:r w:rsidRPr="000665B0">
        <w:rPr>
          <w:bCs/>
        </w:rPr>
        <w:t xml:space="preserve"> Custom</w:t>
      </w:r>
      <w:r w:rsidR="00455199" w:rsidRPr="000665B0">
        <w:rPr>
          <w:bCs/>
        </w:rPr>
        <w:t>,</w:t>
      </w:r>
      <w:r w:rsidRPr="000665B0">
        <w:t xml:space="preserve"> or </w:t>
      </w:r>
      <w:r w:rsidR="00AA016C" w:rsidRPr="000665B0">
        <w:t xml:space="preserve">invoke </w:t>
      </w:r>
      <w:r w:rsidRPr="000665B0">
        <w:t>the context menu, (</w:t>
      </w:r>
      <w:r w:rsidR="00D71804" w:rsidRPr="000665B0">
        <w:t>right-</w:t>
      </w:r>
      <w:r w:rsidR="00931B38" w:rsidRPr="000665B0">
        <w:t>click</w:t>
      </w:r>
      <w:r w:rsidRPr="000665B0">
        <w:t xml:space="preserve"> the mouse) and select </w:t>
      </w:r>
      <w:r w:rsidRPr="000665B0">
        <w:rPr>
          <w:bCs/>
        </w:rPr>
        <w:t xml:space="preserve">Reports </w:t>
      </w:r>
      <w:r w:rsidRPr="000665B0">
        <w:rPr>
          <w:bCs/>
        </w:rPr>
        <w:sym w:font="Wingdings 3" w:char="F07D"/>
      </w:r>
      <w:r w:rsidRPr="000665B0">
        <w:rPr>
          <w:bCs/>
        </w:rPr>
        <w:t xml:space="preserve"> Custom</w:t>
      </w:r>
      <w:r w:rsidRPr="000665B0">
        <w:t xml:space="preserve">. </w:t>
      </w:r>
      <w:r w:rsidR="00D12EAA" w:rsidRPr="000665B0">
        <w:t xml:space="preserve">The </w:t>
      </w:r>
      <w:r w:rsidR="00D12EAA" w:rsidRPr="000665B0">
        <w:rPr>
          <w:i/>
        </w:rPr>
        <w:t>[X]</w:t>
      </w:r>
      <w:r w:rsidR="00D12EAA" w:rsidRPr="000665B0">
        <w:t xml:space="preserve"> </w:t>
      </w:r>
      <w:r w:rsidRPr="000665B0">
        <w:rPr>
          <w:i/>
          <w:iCs/>
        </w:rPr>
        <w:t>Custom Report</w:t>
      </w:r>
      <w:r w:rsidR="00AA016C" w:rsidRPr="000665B0">
        <w:rPr>
          <w:i/>
          <w:iCs/>
        </w:rPr>
        <w:t>s</w:t>
      </w:r>
      <w:r w:rsidRPr="000665B0">
        <w:t xml:space="preserve"> window </w:t>
      </w:r>
      <w:r w:rsidR="00931B38" w:rsidRPr="000665B0">
        <w:t>is</w:t>
      </w:r>
      <w:r w:rsidRPr="000665B0">
        <w:t xml:space="preserve"> displayed.</w:t>
      </w:r>
    </w:p>
    <w:p w14:paraId="3CD79BE0" w14:textId="6B7CBD62" w:rsidR="00706FDA" w:rsidRPr="000665B0" w:rsidRDefault="00706FDA" w:rsidP="006D5A65">
      <w:pPr>
        <w:pStyle w:val="Heading1"/>
      </w:pPr>
      <w:r w:rsidRPr="000665B0">
        <w:t>In the</w:t>
      </w:r>
      <w:r w:rsidR="00D12EAA" w:rsidRPr="000665B0">
        <w:t xml:space="preserve"> Select Available Reports pane</w:t>
      </w:r>
      <w:r w:rsidRPr="000665B0">
        <w:t xml:space="preserve">, highlight the </w:t>
      </w:r>
      <w:r w:rsidR="00190BE3" w:rsidRPr="000665B0">
        <w:t xml:space="preserve">desired </w:t>
      </w:r>
      <w:r w:rsidRPr="000665B0">
        <w:t xml:space="preserve">Report </w:t>
      </w:r>
      <w:r w:rsidR="00AA016C" w:rsidRPr="000665B0">
        <w:t xml:space="preserve">and </w:t>
      </w:r>
      <w:r w:rsidRPr="000665B0">
        <w:t>click the Generate button</w:t>
      </w:r>
      <w:r w:rsidR="00AA016C" w:rsidRPr="000665B0">
        <w:t>,</w:t>
      </w:r>
      <w:r w:rsidRPr="000665B0">
        <w:t xml:space="preserve"> or invoke the context menu (</w:t>
      </w:r>
      <w:r w:rsidR="00D71804" w:rsidRPr="000665B0">
        <w:t>right-</w:t>
      </w:r>
      <w:r w:rsidR="00931B38" w:rsidRPr="000665B0">
        <w:t>click</w:t>
      </w:r>
      <w:r w:rsidRPr="000665B0">
        <w:t xml:space="preserve"> the mouse) and select Generate.</w:t>
      </w:r>
    </w:p>
    <w:p w14:paraId="3683A6BC" w14:textId="77777777" w:rsidR="00706FDA" w:rsidRPr="000665B0" w:rsidRDefault="00706FDA" w:rsidP="006D5A65">
      <w:pPr>
        <w:pStyle w:val="Heading1"/>
      </w:pPr>
      <w:r w:rsidRPr="000665B0">
        <w:t xml:space="preserve">A </w:t>
      </w:r>
      <w:r w:rsidRPr="000665B0">
        <w:rPr>
          <w:i/>
        </w:rPr>
        <w:t>Browse For Folder</w:t>
      </w:r>
      <w:r w:rsidRPr="000665B0">
        <w:t xml:space="preserve"> window </w:t>
      </w:r>
      <w:r w:rsidR="00931B38" w:rsidRPr="000665B0">
        <w:t>is</w:t>
      </w:r>
      <w:r w:rsidRPr="000665B0">
        <w:t xml:space="preserve"> displayed. Select the appropriate folder and click the OK button. The Custom Report </w:t>
      </w:r>
      <w:r w:rsidR="00931B38" w:rsidRPr="000665B0">
        <w:t>is</w:t>
      </w:r>
      <w:r w:rsidRPr="000665B0">
        <w:t xml:space="preserve"> saved in the selected folder.</w:t>
      </w:r>
    </w:p>
    <w:p w14:paraId="73A04346" w14:textId="13DF4281" w:rsidR="00BB2836" w:rsidRPr="000665B0" w:rsidRDefault="00BB2836" w:rsidP="009570CA">
      <w:pPr>
        <w:pStyle w:val="Heading4"/>
      </w:pPr>
      <w:bookmarkStart w:id="697" w:name="_5.2.1.4__Send_1"/>
      <w:bookmarkEnd w:id="697"/>
      <w:r w:rsidRPr="000665B0">
        <w:t>Send</w:t>
      </w:r>
    </w:p>
    <w:p w14:paraId="6641D17C" w14:textId="77777777" w:rsidR="00BB2836" w:rsidRPr="000665B0" w:rsidRDefault="00BB2836" w:rsidP="009570CA">
      <w:pPr>
        <w:spacing w:after="0"/>
      </w:pPr>
      <w:r w:rsidRPr="000665B0">
        <w:t>The system retrieves the selected item in the List View and pre-populates the correct tab of the DDO Template with the selected item(s).</w:t>
      </w:r>
    </w:p>
    <w:p w14:paraId="060E6209" w14:textId="1E8334D7" w:rsidR="00BB2836" w:rsidRPr="000665B0" w:rsidRDefault="00BB2836" w:rsidP="002870D9">
      <w:pPr>
        <w:pStyle w:val="Heading4"/>
        <w:keepNext w:val="0"/>
        <w:pageBreakBefore/>
        <w:spacing w:before="0"/>
      </w:pPr>
      <w:bookmarkStart w:id="698" w:name="_5.2.1.5__Print"/>
      <w:bookmarkEnd w:id="698"/>
      <w:r w:rsidRPr="000665B0">
        <w:lastRenderedPageBreak/>
        <w:t>Print All</w:t>
      </w:r>
      <w:bookmarkEnd w:id="696"/>
    </w:p>
    <w:p w14:paraId="70D39A88" w14:textId="77777777" w:rsidR="00BB2836" w:rsidRPr="000665B0" w:rsidRDefault="00BB2836" w:rsidP="009570CA">
      <w:r w:rsidRPr="000665B0">
        <w:t xml:space="preserve">The system retrieves the contents of the List View, places </w:t>
      </w:r>
      <w:r w:rsidR="00311429" w:rsidRPr="000665B0">
        <w:t xml:space="preserve">them </w:t>
      </w:r>
      <w:r w:rsidRPr="000665B0">
        <w:t xml:space="preserve">in an Excel spreadsheet (behind the scenes), and then sends it to the system default printer. </w:t>
      </w:r>
    </w:p>
    <w:p w14:paraId="00DC3425" w14:textId="77777777" w:rsidR="00BB2836" w:rsidRPr="000665B0" w:rsidRDefault="00BB2836"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rPr>
        <w:t>To print the list of all items:</w:t>
      </w:r>
    </w:p>
    <w:p w14:paraId="1AC90FBD" w14:textId="77777777" w:rsidR="00BB2836" w:rsidRPr="000665B0" w:rsidRDefault="00BB2836" w:rsidP="006D5A65">
      <w:pPr>
        <w:pStyle w:val="Heading1"/>
      </w:pPr>
      <w:r w:rsidRPr="000665B0">
        <w:t xml:space="preserve">From the </w:t>
      </w:r>
      <w:r w:rsidRPr="000665B0">
        <w:rPr>
          <w:bCs/>
        </w:rPr>
        <w:t>File</w:t>
      </w:r>
      <w:r w:rsidRPr="000665B0">
        <w:t xml:space="preserve"> menu select </w:t>
      </w:r>
      <w:r w:rsidRPr="000665B0">
        <w:rPr>
          <w:bCs/>
        </w:rPr>
        <w:t>Print All</w:t>
      </w:r>
      <w:r w:rsidRPr="000665B0">
        <w:t xml:space="preserve">. </w:t>
      </w:r>
    </w:p>
    <w:p w14:paraId="2E6D8427" w14:textId="3D6D86B0" w:rsidR="00BB2836" w:rsidRPr="000665B0" w:rsidRDefault="00BB2836" w:rsidP="006D5A65">
      <w:pPr>
        <w:pStyle w:val="Heading1"/>
      </w:pPr>
      <w:r w:rsidRPr="000665B0">
        <w:t xml:space="preserve">In the </w:t>
      </w:r>
      <w:r w:rsidRPr="000665B0">
        <w:rPr>
          <w:i/>
        </w:rPr>
        <w:t xml:space="preserve">Print </w:t>
      </w:r>
      <w:r w:rsidRPr="000665B0">
        <w:t xml:space="preserve">window click the </w:t>
      </w:r>
      <w:r w:rsidRPr="000665B0">
        <w:rPr>
          <w:bCs/>
        </w:rPr>
        <w:t>OK</w:t>
      </w:r>
      <w:r w:rsidRPr="000665B0">
        <w:t xml:space="preserve"> button to initiate the print process or select the </w:t>
      </w:r>
      <w:r w:rsidRPr="000665B0">
        <w:rPr>
          <w:bCs/>
        </w:rPr>
        <w:t>Preview</w:t>
      </w:r>
      <w:r w:rsidRPr="000665B0">
        <w:t xml:space="preserve"> button to view </w:t>
      </w:r>
      <w:r w:rsidR="00396623" w:rsidRPr="000665B0">
        <w:t xml:space="preserve">the list </w:t>
      </w:r>
      <w:r w:rsidRPr="000665B0">
        <w:t>first.</w:t>
      </w:r>
      <w:r w:rsidR="006D3F36" w:rsidRPr="000665B0">
        <w:t xml:space="preserve"> Note that the Preview button displays an Excel document that is for preview purposes only; it cannot be printed. To print the list, either follow the step above, or display the list in Excel and select File</w:t>
      </w:r>
      <w:r w:rsidR="009651B0">
        <w:t xml:space="preserve"> </w:t>
      </w:r>
      <w:r w:rsidR="006D3F36" w:rsidRPr="000665B0">
        <w:sym w:font="Wingdings" w:char="F0E0"/>
      </w:r>
      <w:r w:rsidR="00F61D03" w:rsidRPr="000665B0">
        <w:t xml:space="preserve"> </w:t>
      </w:r>
      <w:r w:rsidR="006D3F36" w:rsidRPr="000665B0">
        <w:t>Print.</w:t>
      </w:r>
    </w:p>
    <w:p w14:paraId="3A739DE1" w14:textId="2A59FAC8" w:rsidR="00BB2836" w:rsidRPr="000665B0" w:rsidRDefault="00BB2836" w:rsidP="009570CA">
      <w:pPr>
        <w:pStyle w:val="Heading5"/>
      </w:pPr>
      <w:bookmarkStart w:id="699" w:name="_5.2.1.5.1__Print"/>
      <w:bookmarkStart w:id="700" w:name="_Toc171731888"/>
      <w:bookmarkEnd w:id="699"/>
      <w:r w:rsidRPr="000665B0">
        <w:t xml:space="preserve">Print </w:t>
      </w:r>
      <w:bookmarkEnd w:id="700"/>
    </w:p>
    <w:p w14:paraId="007C8A6F" w14:textId="77777777" w:rsidR="00BB2836" w:rsidRPr="000665B0" w:rsidRDefault="00BB2836" w:rsidP="009570CA">
      <w:pPr>
        <w:spacing w:line="240" w:lineRule="auto"/>
        <w:rPr>
          <w:szCs w:val="24"/>
        </w:rPr>
      </w:pPr>
      <w:r w:rsidRPr="000665B0">
        <w:t>The system retrieves the selected item(s) in the List View and displays the Print dialog where the user can send it to the system default printer.</w:t>
      </w:r>
    </w:p>
    <w:p w14:paraId="44D77D45" w14:textId="77777777" w:rsidR="00BB2836" w:rsidRPr="000665B0" w:rsidRDefault="00BB2836" w:rsidP="009570CA">
      <w:pPr>
        <w:pStyle w:val="base"/>
        <w:spacing w:before="120" w:beforeAutospacing="0" w:after="120" w:afterAutospacing="0"/>
        <w:rPr>
          <w:rFonts w:ascii="Times New Roman" w:hAnsi="Times New Roman" w:cs="Times New Roman"/>
        </w:rPr>
      </w:pPr>
      <w:r w:rsidRPr="000665B0">
        <w:rPr>
          <w:rFonts w:ascii="Times New Roman" w:hAnsi="Times New Roman" w:cs="Times New Roman"/>
        </w:rPr>
        <w:t>To print only selected items:</w:t>
      </w:r>
    </w:p>
    <w:p w14:paraId="19ED9BB5" w14:textId="77777777" w:rsidR="00BB2836" w:rsidRPr="000665B0" w:rsidRDefault="00BB2836" w:rsidP="006D5A65">
      <w:pPr>
        <w:pStyle w:val="Heading1"/>
      </w:pPr>
      <w:r w:rsidRPr="000665B0">
        <w:t>Select the desired item(s) in the list.</w:t>
      </w:r>
    </w:p>
    <w:p w14:paraId="4B7B3350" w14:textId="4FCEE300" w:rsidR="00BB2836" w:rsidRPr="000665B0" w:rsidRDefault="00BB2836" w:rsidP="006D5A65">
      <w:pPr>
        <w:pStyle w:val="Heading1"/>
      </w:pPr>
      <w:r w:rsidRPr="000665B0">
        <w:t>Invoke the context menu</w:t>
      </w:r>
      <w:r w:rsidRPr="000665B0">
        <w:rPr>
          <w:bCs/>
        </w:rPr>
        <w:t xml:space="preserve"> </w:t>
      </w:r>
      <w:r w:rsidRPr="000665B0">
        <w:t>(</w:t>
      </w:r>
      <w:r w:rsidR="00D71804" w:rsidRPr="000665B0">
        <w:t>right-click</w:t>
      </w:r>
      <w:r w:rsidRPr="000665B0">
        <w:t xml:space="preserve"> the mouse) and select </w:t>
      </w:r>
      <w:r w:rsidRPr="000665B0">
        <w:rPr>
          <w:bCs/>
        </w:rPr>
        <w:t>Print</w:t>
      </w:r>
      <w:r w:rsidRPr="000665B0">
        <w:t>.</w:t>
      </w:r>
    </w:p>
    <w:p w14:paraId="506C659E" w14:textId="58BBD245" w:rsidR="00BB2836" w:rsidRPr="000665B0" w:rsidRDefault="00BB2836" w:rsidP="006D5A65">
      <w:pPr>
        <w:pStyle w:val="Heading1"/>
      </w:pPr>
      <w:r w:rsidRPr="000665B0">
        <w:t xml:space="preserve">In the </w:t>
      </w:r>
      <w:r w:rsidRPr="000665B0">
        <w:rPr>
          <w:i/>
        </w:rPr>
        <w:t xml:space="preserve">Print </w:t>
      </w:r>
      <w:r w:rsidRPr="000665B0">
        <w:t xml:space="preserve">window click the </w:t>
      </w:r>
      <w:r w:rsidRPr="000665B0">
        <w:rPr>
          <w:bCs/>
        </w:rPr>
        <w:t>OK</w:t>
      </w:r>
      <w:r w:rsidRPr="000665B0">
        <w:t xml:space="preserve"> button to initiate the print process or select the </w:t>
      </w:r>
      <w:r w:rsidRPr="000665B0">
        <w:rPr>
          <w:bCs/>
        </w:rPr>
        <w:t>Preview</w:t>
      </w:r>
      <w:r w:rsidRPr="000665B0">
        <w:t xml:space="preserve"> button to view </w:t>
      </w:r>
      <w:r w:rsidR="00396623" w:rsidRPr="000665B0">
        <w:t xml:space="preserve">the list </w:t>
      </w:r>
      <w:r w:rsidRPr="000665B0">
        <w:t>first.</w:t>
      </w:r>
      <w:r w:rsidR="006D3F36" w:rsidRPr="000665B0">
        <w:t xml:space="preserve"> Note that the Preview button displays an Excel document that is for preview purposes only; it cannot be printed. To print the list, either follow the step</w:t>
      </w:r>
      <w:r w:rsidR="00274021" w:rsidRPr="000665B0">
        <w:t>s</w:t>
      </w:r>
      <w:r w:rsidR="006D3F36" w:rsidRPr="000665B0">
        <w:t xml:space="preserve"> above, or display the list in Excel and select File</w:t>
      </w:r>
      <w:r w:rsidR="009651B0">
        <w:t xml:space="preserve"> </w:t>
      </w:r>
      <w:r w:rsidR="006D3F36" w:rsidRPr="000665B0">
        <w:sym w:font="Wingdings" w:char="F0E0"/>
      </w:r>
      <w:r w:rsidR="00F61D03" w:rsidRPr="000665B0">
        <w:t xml:space="preserve"> </w:t>
      </w:r>
      <w:r w:rsidR="006D3F36" w:rsidRPr="000665B0">
        <w:t>Print.</w:t>
      </w:r>
    </w:p>
    <w:p w14:paraId="69834B44" w14:textId="77777777" w:rsidR="00BB2836" w:rsidRPr="000665B0" w:rsidRDefault="00BB283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bCs/>
          <w:szCs w:val="24"/>
        </w:rPr>
        <w:t>Note:</w:t>
      </w:r>
    </w:p>
    <w:p w14:paraId="1398B138" w14:textId="77777777" w:rsidR="00A03106" w:rsidRPr="000665B0" w:rsidRDefault="00A0310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100" w:line="240" w:lineRule="auto"/>
        <w:jc w:val="center"/>
        <w:rPr>
          <w:b/>
          <w:bCs/>
          <w:color w:val="000000"/>
          <w:szCs w:val="24"/>
        </w:rPr>
      </w:pPr>
      <w:r w:rsidRPr="000665B0">
        <w:rPr>
          <w:b/>
          <w:bCs/>
          <w:color w:val="000000"/>
          <w:szCs w:val="24"/>
        </w:rPr>
        <w:t xml:space="preserve">Some list views and textual views contain too many columns to properly fit on the printout. It is recommended that the list view or textual display is configured to contain only the necessary columns to ensure that the desired information is included on the printout. </w:t>
      </w:r>
    </w:p>
    <w:p w14:paraId="6CEB6CFB" w14:textId="5E96A78D" w:rsidR="00BB2836" w:rsidRPr="000665B0" w:rsidRDefault="00A0310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100" w:line="240" w:lineRule="auto"/>
        <w:jc w:val="center"/>
        <w:rPr>
          <w:szCs w:val="24"/>
        </w:rPr>
      </w:pPr>
      <w:r w:rsidRPr="000665B0">
        <w:rPr>
          <w:b/>
          <w:bCs/>
          <w:color w:val="000000"/>
          <w:szCs w:val="24"/>
        </w:rPr>
        <w:t xml:space="preserve">If all columns are required, select File </w:t>
      </w:r>
      <w:r w:rsidRPr="000665B0">
        <w:sym w:font="Wingdings" w:char="F0E0"/>
      </w:r>
      <w:r w:rsidRPr="000665B0">
        <w:t xml:space="preserve"> </w:t>
      </w:r>
      <w:r w:rsidRPr="000665B0">
        <w:rPr>
          <w:b/>
          <w:bCs/>
          <w:color w:val="000000"/>
          <w:szCs w:val="24"/>
        </w:rPr>
        <w:t>Print Preview and then manipulate the settings in Microsoft Word to fit the information onto the page before printing.</w:t>
      </w:r>
    </w:p>
    <w:p w14:paraId="1EC0CE00" w14:textId="6575784E" w:rsidR="00BB2836" w:rsidRPr="000665B0" w:rsidRDefault="00BB2836" w:rsidP="009570CA">
      <w:pPr>
        <w:pStyle w:val="Heading4"/>
        <w:keepNext w:val="0"/>
      </w:pPr>
      <w:bookmarkStart w:id="701" w:name="_5.2.1.6__Delete"/>
      <w:bookmarkStart w:id="702" w:name="_Toc171731889"/>
      <w:bookmarkEnd w:id="701"/>
      <w:r w:rsidRPr="000665B0">
        <w:t>Delete</w:t>
      </w:r>
      <w:bookmarkEnd w:id="702"/>
    </w:p>
    <w:p w14:paraId="65AB905E" w14:textId="77777777" w:rsidR="00BB2836" w:rsidRPr="000665B0" w:rsidRDefault="00BB2836" w:rsidP="009570CA">
      <w:r w:rsidRPr="000665B0">
        <w:t xml:space="preserve">The </w:t>
      </w:r>
      <w:r w:rsidRPr="000665B0">
        <w:rPr>
          <w:b/>
          <w:bCs/>
        </w:rPr>
        <w:t>Delete</w:t>
      </w:r>
      <w:r w:rsidRPr="000665B0">
        <w:t xml:space="preserve"> function deletes the selected item(s) from the TCI Database. A question window appears asking for confirmation. If an item selected for deletion is referenced by another data element, a window is displayed providing the original item and any referenced data elements. Referenced data items may or may not have to be deleted prior to deleting the original data item. </w:t>
      </w:r>
    </w:p>
    <w:p w14:paraId="01CE5319" w14:textId="3814FBA9" w:rsidR="00BB2836" w:rsidRPr="000665B0" w:rsidRDefault="00BB2836" w:rsidP="009570CA">
      <w:pPr>
        <w:spacing w:after="0"/>
      </w:pPr>
      <w:r w:rsidRPr="000665B0">
        <w:t xml:space="preserve">Locked items must be unlocked first. The </w:t>
      </w:r>
      <w:r w:rsidRPr="000665B0">
        <w:rPr>
          <w:b/>
        </w:rPr>
        <w:t>Delete</w:t>
      </w:r>
      <w:r w:rsidRPr="000665B0">
        <w:t xml:space="preserve"> </w:t>
      </w:r>
      <w:r w:rsidR="00887A07" w:rsidRPr="000665B0">
        <w:t xml:space="preserve">icon </w:t>
      </w:r>
      <w:r w:rsidR="00931B38" w:rsidRPr="000665B0">
        <w:t>is</w:t>
      </w:r>
      <w:r w:rsidRPr="000665B0">
        <w:t xml:space="preserve"> not available until the locked item is unlocked by removing its references.</w:t>
      </w:r>
    </w:p>
    <w:p w14:paraId="15663057" w14:textId="756910B9" w:rsidR="00887A07" w:rsidRPr="000665B0" w:rsidRDefault="00887A07"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rPr>
        <w:t>To delete selected items:</w:t>
      </w:r>
    </w:p>
    <w:p w14:paraId="410B63E3" w14:textId="61D5F1DC" w:rsidR="00887A07" w:rsidRDefault="00887A07" w:rsidP="009570CA">
      <w:pPr>
        <w:pStyle w:val="number1"/>
        <w:spacing w:before="0" w:beforeAutospacing="0" w:after="120" w:afterAutospacing="0"/>
        <w:ind w:left="360"/>
      </w:pPr>
      <w:r w:rsidRPr="000665B0">
        <w:lastRenderedPageBreak/>
        <w:t xml:space="preserve">From the </w:t>
      </w:r>
      <w:r w:rsidRPr="000665B0">
        <w:rPr>
          <w:b/>
          <w:bCs/>
        </w:rPr>
        <w:t>File</w:t>
      </w:r>
      <w:r w:rsidRPr="000665B0">
        <w:t xml:space="preserve"> menu select </w:t>
      </w:r>
      <w:r w:rsidRPr="000665B0">
        <w:rPr>
          <w:b/>
          <w:bCs/>
        </w:rPr>
        <w:t xml:space="preserve">Delete </w:t>
      </w:r>
      <w:r w:rsidRPr="000665B0">
        <w:rPr>
          <w:bCs/>
        </w:rPr>
        <w:t xml:space="preserve">or click the </w:t>
      </w:r>
      <w:r w:rsidRPr="000665B0">
        <w:rPr>
          <w:b/>
          <w:bCs/>
        </w:rPr>
        <w:t>Delete</w:t>
      </w:r>
      <w:r w:rsidRPr="000665B0">
        <w:rPr>
          <w:bCs/>
        </w:rPr>
        <w:t xml:space="preserve"> icon </w:t>
      </w:r>
      <w:r w:rsidRPr="000665B0">
        <w:rPr>
          <w:noProof/>
          <w:position w:val="-4"/>
        </w:rPr>
        <w:drawing>
          <wp:inline distT="0" distB="0" distL="0" distR="0" wp14:anchorId="115CA75F" wp14:editId="37384DC4">
            <wp:extent cx="152400" cy="152400"/>
            <wp:effectExtent l="19050" t="0" r="0" b="0"/>
            <wp:docPr id="2297" name="Picture 2297"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elete"/>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rPr>
          <w:bCs/>
        </w:rPr>
        <w:t xml:space="preserve"> on the toolbar</w:t>
      </w:r>
      <w:r w:rsidRPr="000665B0">
        <w:t xml:space="preserve">. </w:t>
      </w:r>
    </w:p>
    <w:p w14:paraId="75CF5E6C" w14:textId="77777777" w:rsidR="0088499C" w:rsidRDefault="0088499C" w:rsidP="0088499C">
      <w:pPr>
        <w:pStyle w:val="number1"/>
        <w:spacing w:before="0"/>
      </w:pPr>
      <w:r>
        <w:t xml:space="preserve">Some lists views have an additional </w:t>
      </w:r>
      <w:r w:rsidRPr="00463695">
        <w:rPr>
          <w:b/>
          <w:bCs/>
        </w:rPr>
        <w:t>Delete All</w:t>
      </w:r>
      <w:r>
        <w:t xml:space="preserve"> function, the</w:t>
      </w:r>
      <w:r w:rsidRPr="00D533F0">
        <w:rPr>
          <w:b/>
          <w:bCs/>
        </w:rPr>
        <w:t xml:space="preserve"> </w:t>
      </w:r>
      <w:r w:rsidRPr="003D1016">
        <w:rPr>
          <w:b/>
          <w:bCs/>
        </w:rPr>
        <w:t>Delete All</w:t>
      </w:r>
      <w:r>
        <w:t xml:space="preserve"> function deletes all items from the TCI Database. Open context menu </w:t>
      </w:r>
      <w:r w:rsidRPr="00B6750A">
        <w:t>from a list view item for the function to appear.</w:t>
      </w:r>
    </w:p>
    <w:p w14:paraId="2F663D9C" w14:textId="77777777" w:rsidR="0088499C" w:rsidRDefault="0088499C" w:rsidP="0088499C">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szCs w:val="24"/>
        </w:rPr>
      </w:pPr>
      <w:r w:rsidRPr="000665B0">
        <w:rPr>
          <w:b/>
          <w:bCs/>
          <w:szCs w:val="24"/>
        </w:rPr>
        <w:t>Note:</w:t>
      </w:r>
    </w:p>
    <w:p w14:paraId="09A2031E" w14:textId="6FA684A7" w:rsidR="0088499C" w:rsidRPr="00A0163E" w:rsidRDefault="0088499C" w:rsidP="00A0163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sidRPr="00A0163E">
        <w:rPr>
          <w:b/>
          <w:bCs/>
          <w:szCs w:val="24"/>
        </w:rPr>
        <w:t>The Delete function has a limitation of deleting 1,000 selected items at once. To delete more than 1,000 items, use the Delete All function.</w:t>
      </w:r>
    </w:p>
    <w:p w14:paraId="63569D9A" w14:textId="669545D7" w:rsidR="00BB2836" w:rsidRPr="000665B0" w:rsidRDefault="00BB2836" w:rsidP="00A0163E">
      <w:pPr>
        <w:pStyle w:val="Heading4"/>
        <w:keepNext w:val="0"/>
      </w:pPr>
      <w:bookmarkStart w:id="703" w:name="_5.2.1.7__Receive"/>
      <w:bookmarkStart w:id="704" w:name="_Receive_File"/>
      <w:bookmarkStart w:id="705" w:name="_Toc171731890"/>
      <w:bookmarkEnd w:id="703"/>
      <w:bookmarkEnd w:id="704"/>
      <w:r w:rsidRPr="000665B0">
        <w:t>Receive File</w:t>
      </w:r>
      <w:bookmarkEnd w:id="705"/>
      <w:r w:rsidRPr="000665B0">
        <w:t xml:space="preserve"> </w:t>
      </w:r>
    </w:p>
    <w:p w14:paraId="0CE90DA5" w14:textId="77777777" w:rsidR="00BB2836" w:rsidRPr="000665B0" w:rsidRDefault="00BB2836" w:rsidP="009570CA">
      <w:r w:rsidRPr="000665B0">
        <w:t>Data can be received into the system from any tool level window. This function imports many kinds of data into MDS, including, but not limited to:</w:t>
      </w:r>
    </w:p>
    <w:p w14:paraId="63BD1E40" w14:textId="77777777" w:rsidR="00BB2836" w:rsidRPr="000665B0" w:rsidRDefault="00BB2836" w:rsidP="006D5A65">
      <w:pPr>
        <w:pStyle w:val="Heading1"/>
      </w:pPr>
      <w:r w:rsidRPr="000665B0">
        <w:t>Mission Data (Interface Design Specification-9 (IDS-9) formatted Transfer File)</w:t>
      </w:r>
    </w:p>
    <w:p w14:paraId="693E56A3" w14:textId="77777777" w:rsidR="00BB2836" w:rsidRPr="000665B0" w:rsidRDefault="00BB2836" w:rsidP="006D5A65">
      <w:pPr>
        <w:pStyle w:val="Heading1"/>
      </w:pPr>
      <w:r w:rsidRPr="000665B0">
        <w:t xml:space="preserve">Platform Information </w:t>
      </w:r>
    </w:p>
    <w:p w14:paraId="178E9FCE" w14:textId="77777777" w:rsidR="00BB2836" w:rsidRPr="000665B0" w:rsidRDefault="00BB2836" w:rsidP="006D5A65">
      <w:pPr>
        <w:pStyle w:val="Heading1"/>
      </w:pPr>
      <w:r w:rsidRPr="000665B0">
        <w:t xml:space="preserve">Valid Missile ID List </w:t>
      </w:r>
    </w:p>
    <w:p w14:paraId="55956D96" w14:textId="77777777" w:rsidR="00BB2836" w:rsidRPr="000665B0" w:rsidRDefault="00BB2836" w:rsidP="006D5A65">
      <w:pPr>
        <w:pStyle w:val="Heading1"/>
      </w:pPr>
      <w:r w:rsidRPr="000665B0">
        <w:t xml:space="preserve">PCTRF </w:t>
      </w:r>
    </w:p>
    <w:p w14:paraId="609A05D5" w14:textId="77777777" w:rsidR="00BB2836" w:rsidRPr="000665B0" w:rsidRDefault="00BB2836" w:rsidP="006D5A65">
      <w:pPr>
        <w:pStyle w:val="Heading1"/>
        <w:rPr>
          <w:snapToGrid w:val="0"/>
        </w:rPr>
      </w:pPr>
      <w:r w:rsidRPr="000665B0">
        <w:t>TUM (American Standard Code for Information Interchange (ASCII)) Text File</w:t>
      </w:r>
    </w:p>
    <w:p w14:paraId="0FDE9D44" w14:textId="77777777" w:rsidR="00BB2836" w:rsidRPr="000665B0" w:rsidRDefault="00BB2836" w:rsidP="006D5A65">
      <w:pPr>
        <w:pStyle w:val="Heading1"/>
        <w:rPr>
          <w:snapToGrid w:val="0"/>
        </w:rPr>
      </w:pPr>
      <w:r w:rsidRPr="000665B0">
        <w:t>TLAM Inventory Reports (TIR)</w:t>
      </w:r>
    </w:p>
    <w:p w14:paraId="1F72AF80" w14:textId="6D31EBB8" w:rsidR="00B846F2" w:rsidRPr="000665B0" w:rsidRDefault="00BB2836" w:rsidP="006D5A65">
      <w:pPr>
        <w:pStyle w:val="Heading1"/>
        <w:rPr>
          <w:snapToGrid w:val="0"/>
        </w:rPr>
      </w:pPr>
      <w:r w:rsidRPr="000665B0">
        <w:t>DDO</w:t>
      </w:r>
    </w:p>
    <w:p w14:paraId="34ABAD80" w14:textId="2C9BE7CC" w:rsidR="00B846F2" w:rsidRPr="00C36B36" w:rsidRDefault="00BB2836" w:rsidP="006D5A65">
      <w:pPr>
        <w:pStyle w:val="Heading1"/>
        <w:rPr>
          <w:snapToGrid w:val="0"/>
        </w:rPr>
      </w:pPr>
      <w:r w:rsidRPr="000665B0">
        <w:t>Strike Packages</w:t>
      </w:r>
    </w:p>
    <w:p w14:paraId="1FFE0BA0" w14:textId="3AC1F980" w:rsidR="00B846F2" w:rsidRPr="00B846F2" w:rsidRDefault="00B846F2" w:rsidP="006D5A65">
      <w:pPr>
        <w:pStyle w:val="Heading1"/>
        <w:rPr>
          <w:snapToGrid w:val="0"/>
        </w:rPr>
      </w:pPr>
      <w:r>
        <w:rPr>
          <w:snapToGrid w:val="0"/>
        </w:rPr>
        <w:t>MTIF Data Files (MCF, TCIL, TDA, SDFA, or SDFP)</w:t>
      </w:r>
    </w:p>
    <w:p w14:paraId="310F5DC1" w14:textId="77777777" w:rsidR="00BB2836" w:rsidRPr="000665B0" w:rsidRDefault="00BB2836" w:rsidP="009570CA">
      <w:pPr>
        <w:keepNext/>
      </w:pPr>
      <w:r w:rsidRPr="000665B0">
        <w:t>To receive files:</w:t>
      </w:r>
    </w:p>
    <w:p w14:paraId="358C8F1A" w14:textId="77777777" w:rsidR="00BB2836" w:rsidRPr="000665B0" w:rsidRDefault="00BB2836" w:rsidP="006D5A65">
      <w:pPr>
        <w:pStyle w:val="Heading1"/>
        <w:rPr>
          <w:rFonts w:eastAsia="Arial Unicode MS"/>
        </w:rPr>
      </w:pPr>
      <w:r w:rsidRPr="000665B0">
        <w:t xml:space="preserve">From the </w:t>
      </w:r>
      <w:r w:rsidRPr="000665B0">
        <w:rPr>
          <w:bCs/>
        </w:rPr>
        <w:t>File</w:t>
      </w:r>
      <w:r w:rsidRPr="000665B0">
        <w:t xml:space="preserve"> menu select </w:t>
      </w:r>
      <w:r w:rsidRPr="000665B0">
        <w:rPr>
          <w:bCs/>
        </w:rPr>
        <w:t>Receive File</w:t>
      </w:r>
      <w:r w:rsidRPr="000665B0">
        <w:t xml:space="preserve">. The </w:t>
      </w:r>
      <w:r w:rsidRPr="000665B0">
        <w:rPr>
          <w:i/>
          <w:iCs/>
        </w:rPr>
        <w:t>Please Select File</w:t>
      </w:r>
      <w:r w:rsidRPr="000665B0">
        <w:t xml:space="preserve"> window is displayed.</w:t>
      </w:r>
    </w:p>
    <w:p w14:paraId="6C5AB80D" w14:textId="3A87D8A1" w:rsidR="00BB2836" w:rsidRPr="000665B0" w:rsidRDefault="00F11A99" w:rsidP="009570CA">
      <w:pPr>
        <w:pStyle w:val="number1"/>
        <w:spacing w:before="0" w:beforeAutospacing="0" w:after="120" w:afterAutospacing="0"/>
        <w:ind w:left="360"/>
        <w:jc w:val="center"/>
      </w:pPr>
      <w:r w:rsidRPr="000665B0">
        <w:rPr>
          <w:noProof/>
        </w:rPr>
        <w:drawing>
          <wp:inline distT="0" distB="0" distL="0" distR="0" wp14:anchorId="0370491B" wp14:editId="6BD3812B">
            <wp:extent cx="3154680" cy="161848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1618488"/>
                    </a:xfrm>
                    <a:prstGeom prst="rect">
                      <a:avLst/>
                    </a:prstGeom>
                  </pic:spPr>
                </pic:pic>
              </a:graphicData>
            </a:graphic>
          </wp:inline>
        </w:drawing>
      </w:r>
    </w:p>
    <w:p w14:paraId="6F53C23B" w14:textId="30D94165" w:rsidR="00BB2836" w:rsidRPr="000665B0" w:rsidRDefault="00BB2836" w:rsidP="006D5A65">
      <w:pPr>
        <w:pStyle w:val="Heading1"/>
      </w:pPr>
      <w:r w:rsidRPr="000665B0">
        <w:lastRenderedPageBreak/>
        <w:t xml:space="preserve">Navigate to the appropriate directory of the file structure. Select/enter a file in the File name </w:t>
      </w:r>
      <w:r w:rsidR="0000713B" w:rsidRPr="000665B0">
        <w:t>field and</w:t>
      </w:r>
      <w:r w:rsidRPr="000665B0">
        <w:t xml:space="preserve"> click the Open button.</w:t>
      </w:r>
    </w:p>
    <w:p w14:paraId="7B4F46D8" w14:textId="10EC1476" w:rsidR="00BB2836" w:rsidRPr="000665B0" w:rsidRDefault="00BB2836" w:rsidP="006D5A65">
      <w:pPr>
        <w:pStyle w:val="Heading1"/>
      </w:pPr>
      <w:r w:rsidRPr="000665B0">
        <w:t>A Notification Message appear</w:t>
      </w:r>
      <w:r w:rsidR="00931B38" w:rsidRPr="000665B0">
        <w:t>s</w:t>
      </w:r>
      <w:r w:rsidRPr="000665B0">
        <w:t xml:space="preserve"> in the lower right</w:t>
      </w:r>
      <w:r w:rsidR="00CD18FC" w:rsidRPr="000665B0">
        <w:t xml:space="preserve"> above the system tray</w:t>
      </w:r>
      <w:r w:rsidR="00FF48AD" w:rsidRPr="000665B0">
        <w:t xml:space="preserve">; </w:t>
      </w:r>
      <w:r w:rsidRPr="000665B0">
        <w:t xml:space="preserve">click on the </w:t>
      </w:r>
      <w:r w:rsidRPr="000665B0">
        <w:rPr>
          <w:i/>
        </w:rPr>
        <w:t>Incoming DDO</w:t>
      </w:r>
      <w:r w:rsidR="00CD18FC" w:rsidRPr="000665B0">
        <w:t xml:space="preserve"> window</w:t>
      </w:r>
      <w:r w:rsidRPr="000665B0">
        <w:t>.</w:t>
      </w:r>
    </w:p>
    <w:p w14:paraId="2B5DBE96" w14:textId="14FE19D5" w:rsidR="00BB2836" w:rsidRPr="000665B0" w:rsidRDefault="00BC5DB0" w:rsidP="009570CA">
      <w:pPr>
        <w:pStyle w:val="number1"/>
        <w:spacing w:before="0" w:beforeAutospacing="0" w:after="120" w:afterAutospacing="0"/>
        <w:ind w:left="90"/>
        <w:jc w:val="center"/>
      </w:pPr>
      <w:r w:rsidRPr="000665B0">
        <w:rPr>
          <w:noProof/>
        </w:rPr>
        <w:drawing>
          <wp:inline distT="0" distB="0" distL="0" distR="0" wp14:anchorId="5B5BC8C4" wp14:editId="6273F154">
            <wp:extent cx="3154680" cy="722376"/>
            <wp:effectExtent l="0" t="0" r="0" b="0"/>
            <wp:docPr id="1237240925" name="Picture 1237240925" descr="Graphical user interface, text, application,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40925" name="Picture 1237240925" descr="Graphical user interface, text, application, website&#10;&#10;AI-generated content may be incorrect."/>
                    <pic:cNvPicPr>
                      <a:picLocks noChangeAspect="1" noChangeArrowheads="1"/>
                    </pic:cNvPicPr>
                  </pic:nvPicPr>
                  <pic:blipFill rotWithShape="1">
                    <a:blip r:link="rId16" cstate="screen">
                      <a:extLst>
                        <a:ext uri="{28A0092B-C50C-407E-A947-70E740481C1C}">
                          <a14:useLocalDpi xmlns:a14="http://schemas.microsoft.com/office/drawing/2010/main"/>
                        </a:ext>
                      </a:extLst>
                    </a:blip>
                    <a:srcRect/>
                    <a:stretch/>
                  </pic:blipFill>
                  <pic:spPr bwMode="auto">
                    <a:xfrm>
                      <a:off x="0" y="0"/>
                      <a:ext cx="3154680" cy="722376"/>
                    </a:xfrm>
                    <a:prstGeom prst="rect">
                      <a:avLst/>
                    </a:prstGeom>
                    <a:noFill/>
                    <a:ln>
                      <a:noFill/>
                    </a:ln>
                    <a:extLst>
                      <a:ext uri="{53640926-AAD7-44D8-BBD7-CCE9431645EC}">
                        <a14:shadowObscured xmlns:a14="http://schemas.microsoft.com/office/drawing/2010/main"/>
                      </a:ext>
                    </a:extLst>
                  </pic:spPr>
                </pic:pic>
              </a:graphicData>
            </a:graphic>
          </wp:inline>
        </w:drawing>
      </w:r>
    </w:p>
    <w:p w14:paraId="46654C8B" w14:textId="77777777" w:rsidR="00BB2836" w:rsidRPr="000665B0" w:rsidRDefault="00BB2836" w:rsidP="006D5A65">
      <w:pPr>
        <w:pStyle w:val="Heading1"/>
      </w:pPr>
      <w:r w:rsidRPr="000665B0">
        <w:t xml:space="preserve">An </w:t>
      </w:r>
      <w:r w:rsidRPr="000665B0">
        <w:rPr>
          <w:i/>
        </w:rPr>
        <w:t>Incoming DDO xxxx-xxxx</w:t>
      </w:r>
      <w:r w:rsidRPr="000665B0">
        <w:t xml:space="preserve"> </w:t>
      </w:r>
      <w:r w:rsidR="00FF48AD" w:rsidRPr="000665B0">
        <w:t>window</w:t>
      </w:r>
      <w:r w:rsidRPr="000665B0">
        <w:t xml:space="preserve"> </w:t>
      </w:r>
      <w:r w:rsidR="00931B38" w:rsidRPr="000665B0">
        <w:t>is displayed</w:t>
      </w:r>
      <w:r w:rsidRPr="000665B0">
        <w:t xml:space="preserve"> with the items to process</w:t>
      </w:r>
      <w:r w:rsidR="00FF48AD" w:rsidRPr="000665B0">
        <w:t>.</w:t>
      </w:r>
    </w:p>
    <w:p w14:paraId="37365859" w14:textId="698CD01F" w:rsidR="00BB2836" w:rsidRPr="000665B0" w:rsidRDefault="00BB2836" w:rsidP="006D5A65">
      <w:pPr>
        <w:pStyle w:val="Heading1"/>
      </w:pPr>
      <w:r w:rsidRPr="000665B0">
        <w:t>To process individual items</w:t>
      </w:r>
      <w:r w:rsidR="00FD7F2F" w:rsidRPr="000665B0">
        <w:t>,</w:t>
      </w:r>
      <w:r w:rsidRPr="000665B0">
        <w:t xml:space="preserve"> highlight the desired items in the </w:t>
      </w:r>
      <w:r w:rsidRPr="000665B0">
        <w:rPr>
          <w:i/>
          <w:iCs/>
        </w:rPr>
        <w:t>Incoming DDO</w:t>
      </w:r>
      <w:r w:rsidRPr="000665B0">
        <w:t xml:space="preserve"> window, invoke the context menu (</w:t>
      </w:r>
      <w:r w:rsidR="00D71804" w:rsidRPr="000665B0">
        <w:t>right-click</w:t>
      </w:r>
      <w:r w:rsidRPr="000665B0">
        <w:t xml:space="preserve"> the mouse), and select </w:t>
      </w:r>
      <w:r w:rsidRPr="000665B0">
        <w:rPr>
          <w:bCs/>
        </w:rPr>
        <w:t>Process</w:t>
      </w:r>
      <w:r w:rsidRPr="000665B0">
        <w:t>.</w:t>
      </w:r>
    </w:p>
    <w:p w14:paraId="3AE81EBB" w14:textId="77777777" w:rsidR="00BB2836" w:rsidRPr="000665B0" w:rsidRDefault="00FF48AD" w:rsidP="009570CA">
      <w:pPr>
        <w:ind w:left="360"/>
      </w:pPr>
      <w:r w:rsidRPr="000665B0">
        <w:t>or</w:t>
      </w:r>
    </w:p>
    <w:p w14:paraId="75EFC1F3" w14:textId="77777777" w:rsidR="00BB2836" w:rsidRPr="000665B0" w:rsidRDefault="00BB2836" w:rsidP="006D5A65">
      <w:pPr>
        <w:pStyle w:val="Heading1"/>
      </w:pPr>
      <w:r w:rsidRPr="000665B0">
        <w:t xml:space="preserve">Click the </w:t>
      </w:r>
      <w:r w:rsidRPr="000665B0">
        <w:rPr>
          <w:bCs/>
        </w:rPr>
        <w:t>Process All</w:t>
      </w:r>
      <w:r w:rsidRPr="000665B0">
        <w:t xml:space="preserve"> </w:t>
      </w:r>
      <w:r w:rsidRPr="000665B0">
        <w:rPr>
          <w:noProof/>
          <w:position w:val="-4"/>
        </w:rPr>
        <w:drawing>
          <wp:inline distT="0" distB="0" distL="0" distR="0" wp14:anchorId="465F7CAA" wp14:editId="7C4E0229">
            <wp:extent cx="219075" cy="200025"/>
            <wp:effectExtent l="0" t="0" r="9525" b="9525"/>
            <wp:docPr id="1120" name="Picture 1120" descr="Process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ProcessAll"/>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19075" cy="200025"/>
                    </a:xfrm>
                    <a:prstGeom prst="rect">
                      <a:avLst/>
                    </a:prstGeom>
                    <a:noFill/>
                    <a:ln>
                      <a:noFill/>
                    </a:ln>
                  </pic:spPr>
                </pic:pic>
              </a:graphicData>
            </a:graphic>
          </wp:inline>
        </w:drawing>
      </w:r>
      <w:r w:rsidRPr="000665B0">
        <w:t xml:space="preserve"> button located in the top </w:t>
      </w:r>
      <w:r w:rsidR="00FF48AD" w:rsidRPr="000665B0">
        <w:t>left-</w:t>
      </w:r>
      <w:r w:rsidRPr="000665B0">
        <w:t xml:space="preserve">hand corner of the </w:t>
      </w:r>
      <w:r w:rsidRPr="000665B0">
        <w:rPr>
          <w:i/>
          <w:iCs/>
        </w:rPr>
        <w:t>Incoming DDO</w:t>
      </w:r>
      <w:r w:rsidRPr="000665B0">
        <w:t xml:space="preserve"> window to process all items received. </w:t>
      </w:r>
    </w:p>
    <w:p w14:paraId="09F07533" w14:textId="77777777" w:rsidR="00BB2836" w:rsidRPr="000665B0" w:rsidRDefault="00BB2836" w:rsidP="006D5A65">
      <w:pPr>
        <w:pStyle w:val="Heading1"/>
      </w:pPr>
      <w:r w:rsidRPr="000665B0">
        <w:t xml:space="preserve">Click Yes in the </w:t>
      </w:r>
      <w:r w:rsidRPr="000665B0">
        <w:rPr>
          <w:i/>
        </w:rPr>
        <w:t>Process All Items</w:t>
      </w:r>
      <w:r w:rsidRPr="000665B0">
        <w:t xml:space="preserve"> window. The status change</w:t>
      </w:r>
      <w:r w:rsidR="00931B38" w:rsidRPr="000665B0">
        <w:t>s</w:t>
      </w:r>
      <w:r w:rsidRPr="000665B0">
        <w:t xml:space="preserve"> to Processed if successful. If processing an item which has already been processed, the status change</w:t>
      </w:r>
      <w:r w:rsidR="00931B38" w:rsidRPr="000665B0">
        <w:t>s</w:t>
      </w:r>
      <w:r w:rsidRPr="000665B0">
        <w:t xml:space="preserve"> to Duplicate</w:t>
      </w:r>
      <w:r w:rsidR="00FF48AD" w:rsidRPr="000665B0">
        <w:t>.</w:t>
      </w:r>
    </w:p>
    <w:p w14:paraId="68CCEAFC" w14:textId="77777777" w:rsidR="00BB2836" w:rsidRPr="000665B0" w:rsidRDefault="00BB283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bCs/>
          <w:szCs w:val="24"/>
        </w:rPr>
        <w:t>Note:</w:t>
      </w:r>
    </w:p>
    <w:p w14:paraId="185FAE00" w14:textId="77777777" w:rsidR="00BB2836" w:rsidRPr="000665B0" w:rsidRDefault="00BB283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szCs w:val="24"/>
        </w:rPr>
        <w:t>Receive File does not support processing of TIR or ACO data in a Microsoft Word formatted file (*.doc or *.docx). When performing Receive File for TIR or ACO data, select an ASCII formatted file with a *.txt file extension.</w:t>
      </w:r>
    </w:p>
    <w:p w14:paraId="29A2F16B" w14:textId="77777777" w:rsidR="00466457" w:rsidRPr="000665B0" w:rsidRDefault="00466457" w:rsidP="009570CA">
      <w:pPr>
        <w:spacing w:after="0"/>
        <w:rPr>
          <w:b/>
          <w:szCs w:val="24"/>
        </w:rPr>
      </w:pPr>
      <w:bookmarkStart w:id="706" w:name="_Toc171731891"/>
    </w:p>
    <w:p w14:paraId="6B147148" w14:textId="77777777" w:rsidR="00466457" w:rsidRPr="000665B0" w:rsidRDefault="00466457" w:rsidP="001B7AB2">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bCs/>
          <w:szCs w:val="24"/>
        </w:rPr>
        <w:t>Note:</w:t>
      </w:r>
    </w:p>
    <w:p w14:paraId="0A4AC814" w14:textId="77777777" w:rsidR="00466457" w:rsidRPr="000665B0" w:rsidRDefault="00466457"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szCs w:val="24"/>
        </w:rPr>
        <w:t>Receive File does not support processing of multiple Overlays. When a file that contains more than one Overlay is received, only the first Overlay is processed.</w:t>
      </w:r>
    </w:p>
    <w:p w14:paraId="71EA508C" w14:textId="07A52C77" w:rsidR="00D04E50" w:rsidRPr="000665B0" w:rsidRDefault="00D04E50" w:rsidP="009570CA">
      <w:pPr>
        <w:pStyle w:val="Heading4"/>
      </w:pPr>
      <w:r w:rsidRPr="000665B0">
        <w:lastRenderedPageBreak/>
        <w:t>Drag and Drop Files</w:t>
      </w:r>
    </w:p>
    <w:p w14:paraId="45210E49" w14:textId="797161DF" w:rsidR="00D04E50" w:rsidRPr="000665B0" w:rsidRDefault="00D04E50" w:rsidP="009570CA">
      <w:pPr>
        <w:keepNext/>
      </w:pPr>
      <w:r w:rsidRPr="000665B0">
        <w:t xml:space="preserve">Data can be received in the system by dragging and dropping supported files from </w:t>
      </w:r>
      <w:r w:rsidR="00AC3784" w:rsidRPr="000665B0">
        <w:t>a</w:t>
      </w:r>
      <w:r w:rsidRPr="000665B0">
        <w:t xml:space="preserve"> computer. This function can import the same data as the Receive File function (see </w:t>
      </w:r>
      <w:hyperlink w:anchor="_5.2.1.7__Receive" w:history="1">
        <w:r w:rsidRPr="000665B0">
          <w:rPr>
            <w:rStyle w:val="Hyperlink"/>
          </w:rPr>
          <w:t>Section 5.2.1.7</w:t>
        </w:r>
      </w:hyperlink>
      <w:r w:rsidRPr="000665B0">
        <w:t>). This function imports many kinds of data into MDS, including, but not limited to:</w:t>
      </w:r>
    </w:p>
    <w:p w14:paraId="202DD113" w14:textId="6D3D991B" w:rsidR="00D04E50" w:rsidRPr="000665B0" w:rsidRDefault="00D04E50" w:rsidP="006D5A65">
      <w:pPr>
        <w:pStyle w:val="Heading1"/>
      </w:pPr>
      <w:r w:rsidRPr="000665B0">
        <w:t xml:space="preserve">OES </w:t>
      </w:r>
      <w:r w:rsidR="00AC3784" w:rsidRPr="000665B0">
        <w:t>c</w:t>
      </w:r>
      <w:r w:rsidRPr="000665B0">
        <w:t>omponents (.dfs, .gfs, .lfs</w:t>
      </w:r>
      <w:r w:rsidR="00AC3784" w:rsidRPr="000665B0">
        <w:t>, .nfs, .ofs, .fsc, .fsd, .fso</w:t>
      </w:r>
      <w:r w:rsidR="001F55E6" w:rsidRPr="000665B0">
        <w:t>, .sbl, .sap, .scl, .fbi, .frl, .frh, .fen, .ftx</w:t>
      </w:r>
      <w:r w:rsidR="00325934" w:rsidRPr="000665B0">
        <w:t>, etc.</w:t>
      </w:r>
      <w:r w:rsidR="00AC3784" w:rsidRPr="000665B0">
        <w:t>)</w:t>
      </w:r>
    </w:p>
    <w:p w14:paraId="18BA957B" w14:textId="77777777" w:rsidR="00D04E50" w:rsidRPr="000665B0" w:rsidRDefault="00D04E50" w:rsidP="006D5A65">
      <w:pPr>
        <w:pStyle w:val="Heading1"/>
      </w:pPr>
      <w:r w:rsidRPr="000665B0">
        <w:t>Text files (.txt)</w:t>
      </w:r>
    </w:p>
    <w:p w14:paraId="49053F6A" w14:textId="77777777" w:rsidR="00D04E50" w:rsidRPr="000665B0" w:rsidRDefault="00D04E50" w:rsidP="006D5A65">
      <w:pPr>
        <w:pStyle w:val="Heading1"/>
      </w:pPr>
      <w:r w:rsidRPr="000665B0">
        <w:t>DAT files (.dat)</w:t>
      </w:r>
    </w:p>
    <w:p w14:paraId="695E9408" w14:textId="77777777" w:rsidR="00D04E50" w:rsidRPr="000665B0" w:rsidRDefault="00D04E50" w:rsidP="006D5A65">
      <w:pPr>
        <w:pStyle w:val="Heading1"/>
      </w:pPr>
      <w:r w:rsidRPr="000665B0">
        <w:t>XML files (.xml)</w:t>
      </w:r>
    </w:p>
    <w:p w14:paraId="6C61DE88" w14:textId="77777777" w:rsidR="00D04E50" w:rsidRPr="000665B0" w:rsidRDefault="00D04E50" w:rsidP="006D5A65">
      <w:pPr>
        <w:pStyle w:val="Heading1"/>
      </w:pPr>
      <w:r w:rsidRPr="000665B0">
        <w:t>ZIP files (.zip)</w:t>
      </w:r>
    </w:p>
    <w:p w14:paraId="01A2E944" w14:textId="77777777" w:rsidR="00D04E50" w:rsidRPr="000665B0" w:rsidRDefault="00D04E50" w:rsidP="006D5A65">
      <w:pPr>
        <w:pStyle w:val="Heading1"/>
      </w:pPr>
      <w:r w:rsidRPr="000665B0">
        <w:t>MSN (.msn)</w:t>
      </w:r>
    </w:p>
    <w:p w14:paraId="61DB91DE" w14:textId="77777777" w:rsidR="00D04E50" w:rsidRPr="000665B0" w:rsidRDefault="00D04E50" w:rsidP="006D5A65">
      <w:pPr>
        <w:pStyle w:val="Heading1"/>
      </w:pPr>
      <w:r w:rsidRPr="000665B0">
        <w:t>BIN (.bin)</w:t>
      </w:r>
    </w:p>
    <w:p w14:paraId="3F77EC62" w14:textId="77777777" w:rsidR="00D04E50" w:rsidRPr="000665B0" w:rsidRDefault="00D04E50" w:rsidP="006D5A65">
      <w:pPr>
        <w:pStyle w:val="Heading1"/>
      </w:pPr>
      <w:r w:rsidRPr="000665B0">
        <w:t>TEF (.tef)</w:t>
      </w:r>
    </w:p>
    <w:p w14:paraId="76B43EC5" w14:textId="77777777" w:rsidR="00D04E50" w:rsidRPr="000665B0" w:rsidRDefault="00D04E50" w:rsidP="006D5A65">
      <w:pPr>
        <w:pStyle w:val="Heading1"/>
      </w:pPr>
      <w:r w:rsidRPr="000665B0">
        <w:t>GPS (.gps)</w:t>
      </w:r>
    </w:p>
    <w:p w14:paraId="277A28A1" w14:textId="77777777" w:rsidR="00B846F2" w:rsidRDefault="00D04E50" w:rsidP="006D5A65">
      <w:pPr>
        <w:pStyle w:val="Heading1"/>
      </w:pPr>
      <w:r w:rsidRPr="000665B0">
        <w:t>Airspace Control Orders (.aco)</w:t>
      </w:r>
    </w:p>
    <w:p w14:paraId="6735A237" w14:textId="2FBB01D1" w:rsidR="0012567C" w:rsidRPr="000665B0" w:rsidRDefault="0012567C" w:rsidP="006D5A65">
      <w:pPr>
        <w:pStyle w:val="Heading1"/>
      </w:pPr>
      <w:r>
        <w:t>MTIF Data Files (MCF, TCIL, TDA, SDFA or SDFP)</w:t>
      </w:r>
    </w:p>
    <w:p w14:paraId="4E77AF67" w14:textId="77777777" w:rsidR="00D04E50" w:rsidRPr="000665B0" w:rsidRDefault="00D04E50" w:rsidP="009570CA">
      <w:r w:rsidRPr="000665B0">
        <w:t>To import data using drag and drop:</w:t>
      </w:r>
    </w:p>
    <w:p w14:paraId="6090DCB4" w14:textId="77777777" w:rsidR="00D04E50" w:rsidRPr="000665B0" w:rsidRDefault="00D04E50" w:rsidP="006D5A65">
      <w:pPr>
        <w:pStyle w:val="Heading1"/>
      </w:pPr>
      <w:r w:rsidRPr="000665B0">
        <w:t>Navigate to the appropriate directory of the file.</w:t>
      </w:r>
    </w:p>
    <w:p w14:paraId="306FE0E0" w14:textId="088E7B8C" w:rsidR="00930723" w:rsidRPr="000665B0" w:rsidRDefault="00F11A99" w:rsidP="009570CA">
      <w:pPr>
        <w:pStyle w:val="number1"/>
        <w:spacing w:before="0" w:beforeAutospacing="0" w:after="120" w:afterAutospacing="0"/>
        <w:jc w:val="center"/>
      </w:pPr>
      <w:r w:rsidRPr="000665B0">
        <w:rPr>
          <w:noProof/>
        </w:rPr>
        <w:drawing>
          <wp:inline distT="0" distB="0" distL="0" distR="0" wp14:anchorId="6395E246" wp14:editId="53C4F25D">
            <wp:extent cx="3154680" cy="10515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051560"/>
                    </a:xfrm>
                    <a:prstGeom prst="rect">
                      <a:avLst/>
                    </a:prstGeom>
                  </pic:spPr>
                </pic:pic>
              </a:graphicData>
            </a:graphic>
          </wp:inline>
        </w:drawing>
      </w:r>
    </w:p>
    <w:p w14:paraId="4F12B20A" w14:textId="77777777" w:rsidR="00D04E50" w:rsidRPr="000665B0" w:rsidRDefault="00D04E50" w:rsidP="006D5A65">
      <w:pPr>
        <w:pStyle w:val="Heading1"/>
      </w:pPr>
      <w:r w:rsidRPr="000665B0">
        <w:t xml:space="preserve">Select the data file using the left mouse button and drag the file into the MDS window. </w:t>
      </w:r>
    </w:p>
    <w:p w14:paraId="1B44FA1C" w14:textId="32CD9CA6" w:rsidR="00D04E50" w:rsidRPr="000665B0" w:rsidRDefault="00D04E50" w:rsidP="006D5A65">
      <w:pPr>
        <w:pStyle w:val="Heading1"/>
      </w:pPr>
      <w:r w:rsidRPr="000665B0">
        <w:t>A Notification Message appear</w:t>
      </w:r>
      <w:r w:rsidR="00931B38" w:rsidRPr="000665B0">
        <w:t>s</w:t>
      </w:r>
      <w:r w:rsidRPr="000665B0">
        <w:t xml:space="preserve"> in the lower right</w:t>
      </w:r>
      <w:r w:rsidR="009422D6" w:rsidRPr="000665B0">
        <w:t xml:space="preserve"> above the system tray</w:t>
      </w:r>
      <w:r w:rsidR="00930723" w:rsidRPr="000665B0">
        <w:t xml:space="preserve">; click on the </w:t>
      </w:r>
      <w:r w:rsidRPr="000665B0">
        <w:rPr>
          <w:i/>
        </w:rPr>
        <w:t>Incoming DDO</w:t>
      </w:r>
      <w:r w:rsidRPr="000665B0">
        <w:t xml:space="preserve"> </w:t>
      </w:r>
      <w:r w:rsidR="009422D6" w:rsidRPr="000665B0">
        <w:t>window</w:t>
      </w:r>
      <w:r w:rsidRPr="000665B0">
        <w:t>.</w:t>
      </w:r>
    </w:p>
    <w:p w14:paraId="403BBACB" w14:textId="78009F67" w:rsidR="00D04E50" w:rsidRPr="000665B0" w:rsidRDefault="00BC5DB0" w:rsidP="009570CA">
      <w:pPr>
        <w:spacing w:line="240" w:lineRule="auto"/>
        <w:jc w:val="center"/>
        <w:rPr>
          <w:szCs w:val="24"/>
        </w:rPr>
      </w:pPr>
      <w:r w:rsidRPr="000665B0">
        <w:rPr>
          <w:noProof/>
        </w:rPr>
        <w:drawing>
          <wp:inline distT="0" distB="0" distL="0" distR="0" wp14:anchorId="53B6D6C6" wp14:editId="4AF018B2">
            <wp:extent cx="3154680" cy="722376"/>
            <wp:effectExtent l="0" t="0" r="0" b="0"/>
            <wp:docPr id="1828716226" name="Picture 1828716226" descr="Graphical user interface, text, application,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16226" name="Picture 1828716226" descr="Graphical user interface, text, application, website&#10;&#10;AI-generated content may be incorrect."/>
                    <pic:cNvPicPr>
                      <a:picLocks noChangeAspect="1" noChangeArrowheads="1"/>
                    </pic:cNvPicPr>
                  </pic:nvPicPr>
                  <pic:blipFill rotWithShape="1">
                    <a:blip r:link="rId16" cstate="screen">
                      <a:extLst>
                        <a:ext uri="{28A0092B-C50C-407E-A947-70E740481C1C}">
                          <a14:useLocalDpi xmlns:a14="http://schemas.microsoft.com/office/drawing/2010/main"/>
                        </a:ext>
                      </a:extLst>
                    </a:blip>
                    <a:srcRect/>
                    <a:stretch/>
                  </pic:blipFill>
                  <pic:spPr bwMode="auto">
                    <a:xfrm>
                      <a:off x="0" y="0"/>
                      <a:ext cx="3154680" cy="722376"/>
                    </a:xfrm>
                    <a:prstGeom prst="rect">
                      <a:avLst/>
                    </a:prstGeom>
                    <a:noFill/>
                    <a:ln>
                      <a:noFill/>
                    </a:ln>
                    <a:extLst>
                      <a:ext uri="{53640926-AAD7-44D8-BBD7-CCE9431645EC}">
                        <a14:shadowObscured xmlns:a14="http://schemas.microsoft.com/office/drawing/2010/main"/>
                      </a:ext>
                    </a:extLst>
                  </pic:spPr>
                </pic:pic>
              </a:graphicData>
            </a:graphic>
          </wp:inline>
        </w:drawing>
      </w:r>
    </w:p>
    <w:p w14:paraId="4E79E78B" w14:textId="77777777" w:rsidR="00D04E50" w:rsidRPr="000665B0" w:rsidRDefault="00D04E50" w:rsidP="006D5A65">
      <w:pPr>
        <w:pStyle w:val="Heading1"/>
      </w:pPr>
      <w:r w:rsidRPr="000665B0">
        <w:t xml:space="preserve">An </w:t>
      </w:r>
      <w:r w:rsidRPr="000665B0">
        <w:rPr>
          <w:i/>
        </w:rPr>
        <w:t>Incoming DDO xxxx-xxxx</w:t>
      </w:r>
      <w:r w:rsidRPr="000665B0">
        <w:t xml:space="preserve"> </w:t>
      </w:r>
      <w:r w:rsidR="00FD7F2F" w:rsidRPr="000665B0">
        <w:t>window</w:t>
      </w:r>
      <w:r w:rsidRPr="000665B0">
        <w:t xml:space="preserve"> </w:t>
      </w:r>
      <w:r w:rsidR="00931B38" w:rsidRPr="000665B0">
        <w:t>is displayed</w:t>
      </w:r>
      <w:r w:rsidRPr="000665B0">
        <w:t xml:space="preserve"> with the items to process</w:t>
      </w:r>
      <w:r w:rsidR="00930723" w:rsidRPr="000665B0">
        <w:t>.</w:t>
      </w:r>
    </w:p>
    <w:p w14:paraId="35B4AB9E" w14:textId="7929E3DE" w:rsidR="00D04E50" w:rsidRPr="000665B0" w:rsidRDefault="00D04E50" w:rsidP="006D5A65">
      <w:pPr>
        <w:pStyle w:val="Heading1"/>
      </w:pPr>
      <w:r w:rsidRPr="000665B0">
        <w:t>To process individual items</w:t>
      </w:r>
      <w:r w:rsidR="00FD7F2F" w:rsidRPr="000665B0">
        <w:t xml:space="preserve">, </w:t>
      </w:r>
      <w:r w:rsidRPr="000665B0">
        <w:t xml:space="preserve">highlight the desired items in the </w:t>
      </w:r>
      <w:r w:rsidRPr="000665B0">
        <w:rPr>
          <w:i/>
          <w:iCs/>
        </w:rPr>
        <w:t>Incoming DDO</w:t>
      </w:r>
      <w:r w:rsidRPr="000665B0">
        <w:t xml:space="preserve"> window, invoke the context menu (</w:t>
      </w:r>
      <w:r w:rsidR="00D71804" w:rsidRPr="000665B0">
        <w:t>right-click</w:t>
      </w:r>
      <w:r w:rsidRPr="000665B0">
        <w:t xml:space="preserve"> the mouse), and select </w:t>
      </w:r>
      <w:r w:rsidRPr="000665B0">
        <w:rPr>
          <w:bCs/>
        </w:rPr>
        <w:t>Process</w:t>
      </w:r>
      <w:r w:rsidRPr="000665B0">
        <w:t>.</w:t>
      </w:r>
    </w:p>
    <w:p w14:paraId="6F28AA5B" w14:textId="77777777" w:rsidR="00D04E50" w:rsidRPr="000665B0" w:rsidRDefault="00D04E50" w:rsidP="009570CA">
      <w:pPr>
        <w:ind w:left="360"/>
      </w:pPr>
      <w:r w:rsidRPr="000665B0">
        <w:t>or</w:t>
      </w:r>
    </w:p>
    <w:p w14:paraId="061C5CB9" w14:textId="77777777" w:rsidR="00D04E50" w:rsidRPr="000665B0" w:rsidRDefault="00D04E50" w:rsidP="006D5A65">
      <w:pPr>
        <w:pStyle w:val="Heading1"/>
      </w:pPr>
      <w:r w:rsidRPr="000665B0">
        <w:lastRenderedPageBreak/>
        <w:t xml:space="preserve">Click the </w:t>
      </w:r>
      <w:r w:rsidRPr="000665B0">
        <w:rPr>
          <w:bCs/>
        </w:rPr>
        <w:t>Process All</w:t>
      </w:r>
      <w:r w:rsidRPr="000665B0">
        <w:t xml:space="preserve"> </w:t>
      </w:r>
      <w:r w:rsidRPr="000665B0">
        <w:rPr>
          <w:noProof/>
          <w:position w:val="-4"/>
        </w:rPr>
        <w:drawing>
          <wp:inline distT="0" distB="0" distL="0" distR="0" wp14:anchorId="7EE14593" wp14:editId="6DEFD17A">
            <wp:extent cx="219075" cy="200025"/>
            <wp:effectExtent l="0" t="0" r="9525" b="9525"/>
            <wp:docPr id="1274" name="Picture 1274" descr="Process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ProcessAll"/>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19075" cy="200025"/>
                    </a:xfrm>
                    <a:prstGeom prst="rect">
                      <a:avLst/>
                    </a:prstGeom>
                    <a:noFill/>
                    <a:ln>
                      <a:noFill/>
                    </a:ln>
                  </pic:spPr>
                </pic:pic>
              </a:graphicData>
            </a:graphic>
          </wp:inline>
        </w:drawing>
      </w:r>
      <w:r w:rsidRPr="000665B0">
        <w:t xml:space="preserve"> button located in the top left</w:t>
      </w:r>
      <w:r w:rsidR="00FF48AD" w:rsidRPr="000665B0">
        <w:t>-</w:t>
      </w:r>
      <w:r w:rsidRPr="000665B0">
        <w:t xml:space="preserve">hand corner of the </w:t>
      </w:r>
      <w:r w:rsidRPr="000665B0">
        <w:rPr>
          <w:i/>
          <w:iCs/>
        </w:rPr>
        <w:t>Incoming DDO</w:t>
      </w:r>
      <w:r w:rsidRPr="000665B0">
        <w:t xml:space="preserve"> window to process all items received. </w:t>
      </w:r>
    </w:p>
    <w:p w14:paraId="091DDBD5" w14:textId="77777777" w:rsidR="00D04E50" w:rsidRPr="000665B0" w:rsidRDefault="00D04E50" w:rsidP="006D5A65">
      <w:pPr>
        <w:pStyle w:val="Heading1"/>
      </w:pPr>
      <w:r w:rsidRPr="000665B0">
        <w:t xml:space="preserve">Click Yes in the </w:t>
      </w:r>
      <w:r w:rsidRPr="000665B0">
        <w:rPr>
          <w:i/>
        </w:rPr>
        <w:t>Process All Items</w:t>
      </w:r>
      <w:r w:rsidRPr="000665B0">
        <w:t xml:space="preserve"> window. The status change</w:t>
      </w:r>
      <w:r w:rsidR="00931B38" w:rsidRPr="000665B0">
        <w:t>s</w:t>
      </w:r>
      <w:r w:rsidRPr="000665B0">
        <w:t xml:space="preserve"> to Processed if successful. If processing an item which has already been processed, the status change</w:t>
      </w:r>
      <w:r w:rsidR="00931B38" w:rsidRPr="000665B0">
        <w:t>s</w:t>
      </w:r>
      <w:r w:rsidRPr="000665B0">
        <w:t xml:space="preserve"> to Duplicate</w:t>
      </w:r>
      <w:r w:rsidR="00FF48AD" w:rsidRPr="000665B0">
        <w:t>.</w:t>
      </w:r>
    </w:p>
    <w:p w14:paraId="59873DD0" w14:textId="77777777" w:rsidR="00D04E50" w:rsidRPr="000665B0" w:rsidRDefault="00D04E50"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szCs w:val="24"/>
        </w:rPr>
      </w:pPr>
      <w:r w:rsidRPr="000665B0">
        <w:rPr>
          <w:b/>
          <w:bCs/>
          <w:szCs w:val="24"/>
        </w:rPr>
        <w:t>Note:</w:t>
      </w:r>
    </w:p>
    <w:p w14:paraId="345B40AF" w14:textId="77777777" w:rsidR="00D04E50" w:rsidRPr="000665B0" w:rsidRDefault="00D04E50"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szCs w:val="24"/>
        </w:rPr>
        <w:t xml:space="preserve">Executing MDS as an administrator will restrict the user from dragging and dropping files from </w:t>
      </w:r>
      <w:r w:rsidR="00317AAB" w:rsidRPr="000665B0">
        <w:rPr>
          <w:b/>
          <w:szCs w:val="24"/>
        </w:rPr>
        <w:t>Windows</w:t>
      </w:r>
      <w:r w:rsidRPr="000665B0">
        <w:rPr>
          <w:b/>
          <w:szCs w:val="24"/>
        </w:rPr>
        <w:t xml:space="preserve"> </w:t>
      </w:r>
      <w:r w:rsidR="00B75554" w:rsidRPr="000665B0">
        <w:rPr>
          <w:b/>
          <w:szCs w:val="24"/>
        </w:rPr>
        <w:t xml:space="preserve">File </w:t>
      </w:r>
      <w:r w:rsidRPr="000665B0">
        <w:rPr>
          <w:b/>
          <w:szCs w:val="24"/>
        </w:rPr>
        <w:t xml:space="preserve">Explorer. This restriction is controlled by </w:t>
      </w:r>
      <w:r w:rsidR="00912358" w:rsidRPr="000665B0">
        <w:rPr>
          <w:b/>
          <w:szCs w:val="24"/>
        </w:rPr>
        <w:t>the User Account Control (</w:t>
      </w:r>
      <w:r w:rsidRPr="000665B0">
        <w:rPr>
          <w:b/>
          <w:szCs w:val="24"/>
        </w:rPr>
        <w:t>UAC</w:t>
      </w:r>
      <w:r w:rsidR="00912358" w:rsidRPr="000665B0">
        <w:rPr>
          <w:b/>
          <w:szCs w:val="24"/>
        </w:rPr>
        <w:t>)</w:t>
      </w:r>
      <w:r w:rsidRPr="000665B0">
        <w:rPr>
          <w:b/>
          <w:szCs w:val="24"/>
        </w:rPr>
        <w:t xml:space="preserve"> on Windows systems. UAC restricts files that are dragged into a Windows application while running with administrator privileges.</w:t>
      </w:r>
    </w:p>
    <w:p w14:paraId="2BCD5789" w14:textId="66A77F29" w:rsidR="00BB2836" w:rsidRPr="000665B0" w:rsidRDefault="00BB2836" w:rsidP="009570CA">
      <w:pPr>
        <w:pStyle w:val="Heading4"/>
        <w:keepNext w:val="0"/>
      </w:pPr>
      <w:r w:rsidRPr="000665B0">
        <w:t>Close</w:t>
      </w:r>
      <w:bookmarkEnd w:id="706"/>
    </w:p>
    <w:p w14:paraId="7FA3F410" w14:textId="77777777" w:rsidR="00BB2836" w:rsidRPr="000665B0" w:rsidRDefault="00BB2836" w:rsidP="009570CA">
      <w:pPr>
        <w:pStyle w:val="List"/>
        <w:widowControl w:val="0"/>
        <w:spacing w:after="0" w:line="240" w:lineRule="auto"/>
        <w:ind w:left="0" w:firstLine="0"/>
        <w:rPr>
          <w:snapToGrid w:val="0"/>
        </w:rPr>
      </w:pPr>
      <w:r w:rsidRPr="000665B0">
        <w:rPr>
          <w:snapToGrid w:val="0"/>
        </w:rPr>
        <w:t>This closes the appropriate option window.</w:t>
      </w:r>
    </w:p>
    <w:p w14:paraId="4FD70D16" w14:textId="58F1A807" w:rsidR="00BB2836" w:rsidRPr="000665B0" w:rsidRDefault="00BB2836" w:rsidP="009570CA">
      <w:pPr>
        <w:pStyle w:val="Heading4"/>
        <w:keepNext w:val="0"/>
      </w:pPr>
      <w:bookmarkStart w:id="707" w:name="_Toc171731892"/>
      <w:r w:rsidRPr="000665B0">
        <w:t>Close All Items</w:t>
      </w:r>
      <w:bookmarkEnd w:id="707"/>
    </w:p>
    <w:p w14:paraId="081DE7D4" w14:textId="77777777" w:rsidR="00BB2836" w:rsidRPr="000665B0" w:rsidRDefault="00BB2836" w:rsidP="009570CA">
      <w:pPr>
        <w:pStyle w:val="List"/>
        <w:widowControl w:val="0"/>
        <w:spacing w:after="0" w:line="240" w:lineRule="auto"/>
        <w:ind w:left="0" w:firstLine="0"/>
        <w:rPr>
          <w:snapToGrid w:val="0"/>
        </w:rPr>
      </w:pPr>
      <w:r w:rsidRPr="000665B0">
        <w:rPr>
          <w:snapToGrid w:val="0"/>
        </w:rPr>
        <w:t xml:space="preserve">This closes all open windows with the exception of the MDS Toolbox window. </w:t>
      </w:r>
    </w:p>
    <w:p w14:paraId="7E535387" w14:textId="49C8090E" w:rsidR="00BB2836" w:rsidRPr="000665B0" w:rsidRDefault="00BB2836" w:rsidP="009570CA">
      <w:pPr>
        <w:pStyle w:val="Heading4"/>
      </w:pPr>
      <w:bookmarkStart w:id="708" w:name="_Toc171731893"/>
      <w:r w:rsidRPr="000665B0">
        <w:t>Exit</w:t>
      </w:r>
      <w:bookmarkEnd w:id="708"/>
    </w:p>
    <w:p w14:paraId="5DB865FD" w14:textId="77777777" w:rsidR="00BB2836" w:rsidRPr="000665B0" w:rsidRDefault="00BB2836" w:rsidP="001B7AB2">
      <w:pPr>
        <w:pStyle w:val="List"/>
        <w:widowControl w:val="0"/>
        <w:spacing w:after="0" w:line="240" w:lineRule="auto"/>
        <w:ind w:left="0" w:firstLine="0"/>
        <w:rPr>
          <w:snapToGrid w:val="0"/>
        </w:rPr>
      </w:pPr>
      <w:r w:rsidRPr="000665B0">
        <w:rPr>
          <w:snapToGrid w:val="0"/>
        </w:rPr>
        <w:t>This exits the MDS application software prompting for confirmation.</w:t>
      </w:r>
    </w:p>
    <w:p w14:paraId="062D962C" w14:textId="4BC47464" w:rsidR="00BB2836" w:rsidRPr="000665B0" w:rsidRDefault="00BB2836" w:rsidP="001B7AB2">
      <w:pPr>
        <w:pStyle w:val="Heading3"/>
        <w:keepNext w:val="0"/>
      </w:pPr>
      <w:bookmarkStart w:id="709" w:name="_Toc171731894"/>
      <w:bookmarkStart w:id="710" w:name="_Toc214283133"/>
      <w:r w:rsidRPr="000665B0">
        <w:t>Edit Menu</w:t>
      </w:r>
      <w:bookmarkEnd w:id="709"/>
      <w:bookmarkEnd w:id="710"/>
    </w:p>
    <w:p w14:paraId="1DE6C1BF" w14:textId="77777777" w:rsidR="00BB2836" w:rsidRPr="000665B0" w:rsidRDefault="00BB2836" w:rsidP="009570CA">
      <w:pPr>
        <w:pStyle w:val="List"/>
        <w:widowControl w:val="0"/>
        <w:spacing w:after="0" w:line="240" w:lineRule="auto"/>
        <w:ind w:left="0" w:firstLine="0"/>
        <w:rPr>
          <w:snapToGrid w:val="0"/>
        </w:rPr>
      </w:pPr>
      <w:r w:rsidRPr="000665B0">
        <w:rPr>
          <w:snapToGrid w:val="0"/>
        </w:rPr>
        <w:t>This option is not available for all of the MDS Tools.</w:t>
      </w:r>
    </w:p>
    <w:p w14:paraId="38A372DC" w14:textId="42C62EFF" w:rsidR="00BB2836" w:rsidRPr="000665B0" w:rsidRDefault="00BB2836" w:rsidP="009570CA">
      <w:pPr>
        <w:pStyle w:val="Heading4"/>
        <w:keepNext w:val="0"/>
      </w:pPr>
      <w:bookmarkStart w:id="711" w:name="_5.2.2.1__Select_1"/>
      <w:bookmarkStart w:id="712" w:name="_Select_All"/>
      <w:bookmarkStart w:id="713" w:name="_Toc171731895"/>
      <w:bookmarkEnd w:id="711"/>
      <w:bookmarkEnd w:id="712"/>
      <w:r w:rsidRPr="000665B0">
        <w:t>Select All</w:t>
      </w:r>
      <w:bookmarkEnd w:id="713"/>
    </w:p>
    <w:p w14:paraId="717A3DC8" w14:textId="77777777" w:rsidR="00BB2836" w:rsidRPr="000665B0" w:rsidRDefault="00BB2836" w:rsidP="009570CA">
      <w:pPr>
        <w:pStyle w:val="List"/>
        <w:widowControl w:val="0"/>
        <w:spacing w:after="240" w:line="240" w:lineRule="auto"/>
        <w:ind w:left="0" w:firstLine="0"/>
        <w:rPr>
          <w:snapToGrid w:val="0"/>
        </w:rPr>
      </w:pPr>
      <w:r w:rsidRPr="000665B0">
        <w:rPr>
          <w:snapToGrid w:val="0"/>
        </w:rPr>
        <w:t>This function selects everything in the current list.</w:t>
      </w:r>
    </w:p>
    <w:p w14:paraId="79A11604" w14:textId="5D266247" w:rsidR="00BB2836" w:rsidRPr="000665B0" w:rsidRDefault="00F11A99" w:rsidP="009570CA">
      <w:pPr>
        <w:pStyle w:val="List"/>
        <w:widowControl w:val="0"/>
        <w:spacing w:after="0" w:line="240" w:lineRule="auto"/>
        <w:ind w:left="0" w:firstLine="0"/>
        <w:jc w:val="center"/>
        <w:rPr>
          <w:snapToGrid w:val="0"/>
        </w:rPr>
      </w:pPr>
      <w:r w:rsidRPr="000665B0">
        <w:rPr>
          <w:noProof/>
        </w:rPr>
        <w:drawing>
          <wp:inline distT="0" distB="0" distL="0" distR="0" wp14:anchorId="1155E462" wp14:editId="230E9FF2">
            <wp:extent cx="1828800" cy="5029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502920"/>
                    </a:xfrm>
                    <a:prstGeom prst="rect">
                      <a:avLst/>
                    </a:prstGeom>
                  </pic:spPr>
                </pic:pic>
              </a:graphicData>
            </a:graphic>
          </wp:inline>
        </w:drawing>
      </w:r>
    </w:p>
    <w:p w14:paraId="33D69B1A" w14:textId="4AB2022F" w:rsidR="00BB2836" w:rsidRPr="000665B0" w:rsidRDefault="00BB2836" w:rsidP="009570CA">
      <w:pPr>
        <w:pStyle w:val="Heading3"/>
      </w:pPr>
      <w:bookmarkStart w:id="714" w:name="_View_Menu"/>
      <w:bookmarkStart w:id="715" w:name="_Toc171731896"/>
      <w:bookmarkStart w:id="716" w:name="_Toc214283134"/>
      <w:bookmarkEnd w:id="714"/>
      <w:r w:rsidRPr="000665B0">
        <w:t>View Menu</w:t>
      </w:r>
      <w:bookmarkEnd w:id="715"/>
      <w:bookmarkEnd w:id="716"/>
    </w:p>
    <w:p w14:paraId="364A8E9F" w14:textId="77C5361E" w:rsidR="00BB2836" w:rsidRDefault="00BB2836" w:rsidP="004D19DD">
      <w:pPr>
        <w:spacing w:after="240"/>
        <w:rPr>
          <w:snapToGrid w:val="0"/>
        </w:rPr>
      </w:pPr>
      <w:r w:rsidRPr="000665B0">
        <w:rPr>
          <w:snapToGrid w:val="0"/>
        </w:rPr>
        <w:t xml:space="preserve">By choosing this option, the operator can adjust the appearance of the MDS toolbox by displaying or not displaying (toggling) the </w:t>
      </w:r>
      <w:r w:rsidR="003F20B4" w:rsidRPr="000665B0">
        <w:rPr>
          <w:snapToGrid w:val="0"/>
        </w:rPr>
        <w:t xml:space="preserve">Preview Pane, </w:t>
      </w:r>
      <w:r w:rsidRPr="000665B0">
        <w:rPr>
          <w:snapToGrid w:val="0"/>
        </w:rPr>
        <w:t>MDS Bar, Tool</w:t>
      </w:r>
      <w:r w:rsidR="001C3EC6" w:rsidRPr="000665B0">
        <w:rPr>
          <w:snapToGrid w:val="0"/>
        </w:rPr>
        <w:t>b</w:t>
      </w:r>
      <w:r w:rsidRPr="000665B0">
        <w:rPr>
          <w:snapToGrid w:val="0"/>
        </w:rPr>
        <w:t xml:space="preserve">ar, Status Bar, System Properties, and Properties. Each bar gives the user more ways to access all the functions and view the information provided. </w:t>
      </w:r>
    </w:p>
    <w:p w14:paraId="1C78479D" w14:textId="6691499C" w:rsidR="00282792" w:rsidRPr="000665B0" w:rsidRDefault="00282792" w:rsidP="009570CA">
      <w:pPr>
        <w:spacing w:after="0"/>
        <w:jc w:val="center"/>
        <w:rPr>
          <w:snapToGrid w:val="0"/>
        </w:rPr>
      </w:pPr>
      <w:r>
        <w:rPr>
          <w:noProof/>
        </w:rPr>
        <w:lastRenderedPageBreak/>
        <w:drawing>
          <wp:inline distT="0" distB="0" distL="0" distR="0" wp14:anchorId="6EC1D0AB" wp14:editId="69446169">
            <wp:extent cx="1828800" cy="1252728"/>
            <wp:effectExtent l="0" t="0" r="0" b="0"/>
            <wp:docPr id="2285" name="Picture 228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828800" cy="1252728"/>
                    </a:xfrm>
                    <a:prstGeom prst="rect">
                      <a:avLst/>
                    </a:prstGeom>
                  </pic:spPr>
                </pic:pic>
              </a:graphicData>
            </a:graphic>
          </wp:inline>
        </w:drawing>
      </w:r>
    </w:p>
    <w:p w14:paraId="2E924B40" w14:textId="3D5DA84C" w:rsidR="003F20B4" w:rsidRPr="000665B0" w:rsidRDefault="003F20B4" w:rsidP="009570CA">
      <w:pPr>
        <w:pStyle w:val="Heading4"/>
        <w:keepNext w:val="0"/>
      </w:pPr>
      <w:bookmarkStart w:id="717" w:name="_MDS_Bar"/>
      <w:bookmarkStart w:id="718" w:name="_Toc171731897"/>
      <w:bookmarkEnd w:id="717"/>
      <w:r w:rsidRPr="000665B0">
        <w:t>Preview Pane</w:t>
      </w:r>
    </w:p>
    <w:p w14:paraId="4D0E417A" w14:textId="1624B957" w:rsidR="003F20B4" w:rsidRPr="000665B0" w:rsidRDefault="00CB1EF8" w:rsidP="009570CA">
      <w:pPr>
        <w:rPr>
          <w:snapToGrid w:val="0"/>
        </w:rPr>
      </w:pPr>
      <w:r w:rsidRPr="000665B0">
        <w:t xml:space="preserve">Select an item in the list view and then select </w:t>
      </w:r>
      <w:r w:rsidRPr="000665B0">
        <w:rPr>
          <w:b/>
        </w:rPr>
        <w:t xml:space="preserve">View </w:t>
      </w:r>
      <w:r w:rsidRPr="000665B0">
        <w:rPr>
          <w:b/>
        </w:rPr>
        <w:sym w:font="Wingdings" w:char="F0E0"/>
      </w:r>
      <w:r w:rsidRPr="000665B0">
        <w:rPr>
          <w:b/>
        </w:rPr>
        <w:t xml:space="preserve"> Preview Pane</w:t>
      </w:r>
      <w:r w:rsidRPr="000665B0">
        <w:t xml:space="preserve"> to display a preview pane at the bottom of the list view for the selected item. </w:t>
      </w:r>
      <w:r w:rsidRPr="000665B0">
        <w:rPr>
          <w:snapToGrid w:val="0"/>
        </w:rPr>
        <w:t>This option is not available for all of the MDS Tools.</w:t>
      </w:r>
    </w:p>
    <w:p w14:paraId="20643D75" w14:textId="50ECFE05" w:rsidR="00CB1EF8" w:rsidRPr="000665B0" w:rsidRDefault="00CB1EF8" w:rsidP="009570CA">
      <w:pPr>
        <w:jc w:val="center"/>
      </w:pPr>
      <w:r w:rsidRPr="000665B0">
        <w:rPr>
          <w:noProof/>
        </w:rPr>
        <w:drawing>
          <wp:inline distT="0" distB="0" distL="0" distR="0" wp14:anchorId="2ED9E461" wp14:editId="72B5B239">
            <wp:extent cx="4983480" cy="1993392"/>
            <wp:effectExtent l="0" t="0" r="0" b="0"/>
            <wp:docPr id="2217" name="Picture 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993392"/>
                    </a:xfrm>
                    <a:prstGeom prst="rect">
                      <a:avLst/>
                    </a:prstGeom>
                  </pic:spPr>
                </pic:pic>
              </a:graphicData>
            </a:graphic>
          </wp:inline>
        </w:drawing>
      </w:r>
    </w:p>
    <w:p w14:paraId="654E4519" w14:textId="49B7E328" w:rsidR="00BB2836" w:rsidRPr="000665B0" w:rsidRDefault="00BB2836" w:rsidP="001B7AB2">
      <w:pPr>
        <w:pStyle w:val="Heading4"/>
        <w:keepNext w:val="0"/>
        <w:spacing w:before="120"/>
      </w:pPr>
      <w:bookmarkStart w:id="719" w:name="_MDS_Bar_1"/>
      <w:bookmarkEnd w:id="719"/>
      <w:r w:rsidRPr="000665B0">
        <w:t>MDS Bar</w:t>
      </w:r>
      <w:bookmarkEnd w:id="718"/>
    </w:p>
    <w:p w14:paraId="06BDBA09" w14:textId="0A119660" w:rsidR="00BB2836" w:rsidRPr="000665B0" w:rsidRDefault="00BB2836" w:rsidP="009570CA">
      <w:pPr>
        <w:spacing w:after="240"/>
        <w:rPr>
          <w:snapToGrid w:val="0"/>
        </w:rPr>
      </w:pPr>
      <w:r w:rsidRPr="000665B0">
        <w:rPr>
          <w:snapToGrid w:val="0"/>
        </w:rPr>
        <w:t xml:space="preserve">This is the left pane of the MDS Window. This bar allows for </w:t>
      </w:r>
      <w:r w:rsidR="005F1B18" w:rsidRPr="000665B0">
        <w:rPr>
          <w:snapToGrid w:val="0"/>
        </w:rPr>
        <w:t xml:space="preserve">quick </w:t>
      </w:r>
      <w:r w:rsidRPr="000665B0">
        <w:rPr>
          <w:snapToGrid w:val="0"/>
        </w:rPr>
        <w:t xml:space="preserve">navigation </w:t>
      </w:r>
      <w:r w:rsidR="005F1B18" w:rsidRPr="000665B0">
        <w:rPr>
          <w:snapToGrid w:val="0"/>
        </w:rPr>
        <w:t>to the</w:t>
      </w:r>
      <w:r w:rsidRPr="000665B0">
        <w:rPr>
          <w:snapToGrid w:val="0"/>
        </w:rPr>
        <w:t xml:space="preserve"> software </w:t>
      </w:r>
      <w:r w:rsidR="005F1B18" w:rsidRPr="000665B0">
        <w:rPr>
          <w:snapToGrid w:val="0"/>
        </w:rPr>
        <w:t>tools by clicking on the tool’s icon</w:t>
      </w:r>
      <w:r w:rsidRPr="000665B0">
        <w:rPr>
          <w:snapToGrid w:val="0"/>
        </w:rPr>
        <w:t xml:space="preserve">. All tools located in this bar can also be found in the </w:t>
      </w:r>
      <w:r w:rsidR="00F11A99" w:rsidRPr="000665B0">
        <w:rPr>
          <w:b/>
          <w:snapToGrid w:val="0"/>
        </w:rPr>
        <w:t>Go</w:t>
      </w:r>
      <w:r w:rsidR="00F11A99" w:rsidRPr="000665B0">
        <w:rPr>
          <w:snapToGrid w:val="0"/>
        </w:rPr>
        <w:t xml:space="preserve"> </w:t>
      </w:r>
      <w:r w:rsidRPr="000665B0">
        <w:rPr>
          <w:snapToGrid w:val="0"/>
        </w:rPr>
        <w:t xml:space="preserve">menu. </w:t>
      </w:r>
    </w:p>
    <w:p w14:paraId="1F9754BD" w14:textId="4A766EBF" w:rsidR="005F1B18" w:rsidRPr="000665B0" w:rsidRDefault="005F1B18" w:rsidP="009570CA">
      <w:pPr>
        <w:spacing w:after="240"/>
        <w:rPr>
          <w:snapToGrid w:val="0"/>
        </w:rPr>
      </w:pPr>
      <w:r w:rsidRPr="000665B0">
        <w:rPr>
          <w:snapToGrid w:val="0"/>
        </w:rPr>
        <w:t xml:space="preserve">The bar is organized into groups that consist of </w:t>
      </w:r>
      <w:r w:rsidR="009C2F90" w:rsidRPr="000665B0">
        <w:rPr>
          <w:snapToGrid w:val="0"/>
        </w:rPr>
        <w:t xml:space="preserve">software </w:t>
      </w:r>
      <w:r w:rsidRPr="000665B0">
        <w:rPr>
          <w:snapToGrid w:val="0"/>
        </w:rPr>
        <w:t xml:space="preserve">tools. The bar’s </w:t>
      </w:r>
      <w:r w:rsidR="00F64480" w:rsidRPr="000665B0">
        <w:rPr>
          <w:snapToGrid w:val="0"/>
        </w:rPr>
        <w:t xml:space="preserve">display of </w:t>
      </w:r>
      <w:r w:rsidRPr="000665B0">
        <w:rPr>
          <w:snapToGrid w:val="0"/>
        </w:rPr>
        <w:t xml:space="preserve">groups and tools can be customized (see </w:t>
      </w:r>
      <w:hyperlink w:anchor="_Customize_MDS_Bar" w:history="1">
        <w:r w:rsidRPr="000665B0">
          <w:rPr>
            <w:rStyle w:val="Hyperlink"/>
            <w:snapToGrid w:val="0"/>
          </w:rPr>
          <w:t>Section 5.2.3.</w:t>
        </w:r>
        <w:r w:rsidR="00CB1EF8" w:rsidRPr="000665B0">
          <w:rPr>
            <w:rStyle w:val="Hyperlink"/>
            <w:snapToGrid w:val="0"/>
          </w:rPr>
          <w:t>2</w:t>
        </w:r>
        <w:r w:rsidRPr="000665B0">
          <w:rPr>
            <w:rStyle w:val="Hyperlink"/>
            <w:snapToGrid w:val="0"/>
          </w:rPr>
          <w:t>.1</w:t>
        </w:r>
      </w:hyperlink>
      <w:r w:rsidRPr="000665B0">
        <w:rPr>
          <w:snapToGrid w:val="0"/>
        </w:rPr>
        <w:t xml:space="preserve">) but the default groups are Mission, Comms, Strike Plan, Strike Execution, and System. </w:t>
      </w:r>
    </w:p>
    <w:p w14:paraId="3796989A" w14:textId="5FC2866A" w:rsidR="00BB2836" w:rsidRPr="000665B0" w:rsidRDefault="00F11A99" w:rsidP="009570CA">
      <w:pPr>
        <w:jc w:val="center"/>
        <w:rPr>
          <w:snapToGrid w:val="0"/>
        </w:rPr>
      </w:pPr>
      <w:r w:rsidRPr="000665B0">
        <w:rPr>
          <w:noProof/>
        </w:rPr>
        <w:lastRenderedPageBreak/>
        <w:drawing>
          <wp:inline distT="0" distB="0" distL="0" distR="0" wp14:anchorId="776FEDA3" wp14:editId="49705D8D">
            <wp:extent cx="1371600" cy="42519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371600" cy="4251960"/>
                    </a:xfrm>
                    <a:prstGeom prst="rect">
                      <a:avLst/>
                    </a:prstGeom>
                  </pic:spPr>
                </pic:pic>
              </a:graphicData>
            </a:graphic>
          </wp:inline>
        </w:drawing>
      </w:r>
    </w:p>
    <w:p w14:paraId="276921AA" w14:textId="58F68B51" w:rsidR="00BB2836" w:rsidRPr="000665B0" w:rsidRDefault="00BB2836" w:rsidP="009570CA">
      <w:pPr>
        <w:pStyle w:val="Heading5"/>
      </w:pPr>
      <w:bookmarkStart w:id="720" w:name="_Customize_MDS_Bar"/>
      <w:bookmarkStart w:id="721" w:name="_Toc171731898"/>
      <w:bookmarkEnd w:id="720"/>
      <w:r w:rsidRPr="000665B0">
        <w:t>Customize MDS Bar</w:t>
      </w:r>
      <w:bookmarkEnd w:id="721"/>
    </w:p>
    <w:p w14:paraId="073D48CF" w14:textId="09728DF2" w:rsidR="00BB2836" w:rsidRPr="000665B0" w:rsidRDefault="00BB2836" w:rsidP="009570CA">
      <w:pPr>
        <w:spacing w:after="240"/>
        <w:rPr>
          <w:snapToGrid w:val="0"/>
        </w:rPr>
      </w:pPr>
      <w:r w:rsidRPr="000665B0">
        <w:rPr>
          <w:snapToGrid w:val="0"/>
        </w:rPr>
        <w:t xml:space="preserve">The MDS Bar can be customized allowing for individualized Tool shortcuts. If the operator desires to omit one or more Tool shortcuts, access can still be achieved by using the </w:t>
      </w:r>
      <w:r w:rsidRPr="000665B0">
        <w:rPr>
          <w:b/>
          <w:snapToGrid w:val="0"/>
        </w:rPr>
        <w:t>Go</w:t>
      </w:r>
      <w:r w:rsidRPr="000665B0">
        <w:rPr>
          <w:snapToGrid w:val="0"/>
        </w:rPr>
        <w:t xml:space="preserve"> menu. To customize the MDS Bar invoke the context menu (</w:t>
      </w:r>
      <w:r w:rsidR="00D71804" w:rsidRPr="000665B0">
        <w:rPr>
          <w:snapToGrid w:val="0"/>
        </w:rPr>
        <w:t>right-click</w:t>
      </w:r>
      <w:r w:rsidRPr="000665B0">
        <w:rPr>
          <w:snapToGrid w:val="0"/>
        </w:rPr>
        <w:t xml:space="preserve"> the mouse) and select the desired item.</w:t>
      </w:r>
    </w:p>
    <w:p w14:paraId="551EDCB4" w14:textId="44AB6A6C" w:rsidR="00BB2836" w:rsidRPr="000665B0" w:rsidRDefault="00F11A99" w:rsidP="009570CA">
      <w:pPr>
        <w:jc w:val="center"/>
        <w:rPr>
          <w:snapToGrid w:val="0"/>
        </w:rPr>
      </w:pPr>
      <w:r w:rsidRPr="000665B0">
        <w:rPr>
          <w:noProof/>
        </w:rPr>
        <w:drawing>
          <wp:inline distT="0" distB="0" distL="0" distR="0" wp14:anchorId="66E80E1A" wp14:editId="399021C8">
            <wp:extent cx="1371600" cy="16002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371600" cy="1600200"/>
                    </a:xfrm>
                    <a:prstGeom prst="rect">
                      <a:avLst/>
                    </a:prstGeom>
                  </pic:spPr>
                </pic:pic>
              </a:graphicData>
            </a:graphic>
          </wp:inline>
        </w:drawing>
      </w:r>
    </w:p>
    <w:p w14:paraId="1C05C560" w14:textId="77777777" w:rsidR="00BB2836" w:rsidRPr="000665B0" w:rsidRDefault="00BB2836" w:rsidP="009570CA">
      <w:pPr>
        <w:pStyle w:val="Bullet"/>
        <w:rPr>
          <w:snapToGrid w:val="0"/>
        </w:rPr>
      </w:pPr>
      <w:r w:rsidRPr="000665B0">
        <w:rPr>
          <w:b/>
          <w:bCs/>
          <w:snapToGrid w:val="0"/>
        </w:rPr>
        <w:t>Hide MDS Bar</w:t>
      </w:r>
      <w:r w:rsidRPr="000665B0">
        <w:rPr>
          <w:snapToGrid w:val="0"/>
        </w:rPr>
        <w:t xml:space="preserve"> – Selecting this option remove</w:t>
      </w:r>
      <w:r w:rsidR="00931B38" w:rsidRPr="000665B0">
        <w:rPr>
          <w:snapToGrid w:val="0"/>
        </w:rPr>
        <w:t>s</w:t>
      </w:r>
      <w:r w:rsidRPr="000665B0">
        <w:rPr>
          <w:snapToGrid w:val="0"/>
        </w:rPr>
        <w:t xml:space="preserve"> the bar from the window. To toggle the bar back on, select </w:t>
      </w:r>
      <w:r w:rsidRPr="000665B0">
        <w:rPr>
          <w:b/>
          <w:bCs/>
          <w:snapToGrid w:val="0"/>
        </w:rPr>
        <w:t>MDS Bar</w:t>
      </w:r>
      <w:r w:rsidRPr="000665B0">
        <w:rPr>
          <w:snapToGrid w:val="0"/>
        </w:rPr>
        <w:t xml:space="preserve"> from the </w:t>
      </w:r>
      <w:r w:rsidRPr="000665B0">
        <w:rPr>
          <w:b/>
          <w:bCs/>
          <w:snapToGrid w:val="0"/>
        </w:rPr>
        <w:t>View</w:t>
      </w:r>
      <w:r w:rsidRPr="000665B0">
        <w:rPr>
          <w:snapToGrid w:val="0"/>
        </w:rPr>
        <w:t xml:space="preserve"> menu.</w:t>
      </w:r>
    </w:p>
    <w:p w14:paraId="2471C181" w14:textId="50747390" w:rsidR="00BB2836" w:rsidRPr="000665B0" w:rsidRDefault="00BB2836" w:rsidP="009570CA">
      <w:pPr>
        <w:pStyle w:val="Bullet"/>
        <w:rPr>
          <w:snapToGrid w:val="0"/>
        </w:rPr>
      </w:pPr>
      <w:r w:rsidRPr="000665B0">
        <w:rPr>
          <w:b/>
          <w:bCs/>
          <w:snapToGrid w:val="0"/>
        </w:rPr>
        <w:t>Add MDS Tool</w:t>
      </w:r>
      <w:r w:rsidRPr="000665B0">
        <w:rPr>
          <w:snapToGrid w:val="0"/>
        </w:rPr>
        <w:t xml:space="preserve"> – Once a new group has been added, this option allows for selecting the desired Tools to include. This window will only contain those tools that do not already exist in the </w:t>
      </w:r>
      <w:r w:rsidRPr="000665B0">
        <w:rPr>
          <w:snapToGrid w:val="0"/>
        </w:rPr>
        <w:lastRenderedPageBreak/>
        <w:t xml:space="preserve">group. Tools can be selected individually. For adding multiple Tools into the same </w:t>
      </w:r>
      <w:r w:rsidR="00FC6B75" w:rsidRPr="000665B0">
        <w:rPr>
          <w:snapToGrid w:val="0"/>
        </w:rPr>
        <w:t>group,</w:t>
      </w:r>
      <w:r w:rsidRPr="000665B0">
        <w:rPr>
          <w:snapToGrid w:val="0"/>
        </w:rPr>
        <w:t xml:space="preserve"> the operator must hold down the control key while making selections.</w:t>
      </w:r>
    </w:p>
    <w:p w14:paraId="3B192C3C" w14:textId="77777777" w:rsidR="00BB2836" w:rsidRPr="000665B0" w:rsidRDefault="00BB2836" w:rsidP="009570CA">
      <w:pPr>
        <w:pStyle w:val="Bullet"/>
        <w:rPr>
          <w:snapToGrid w:val="0"/>
        </w:rPr>
      </w:pPr>
      <w:r w:rsidRPr="000665B0">
        <w:rPr>
          <w:b/>
          <w:bCs/>
          <w:snapToGrid w:val="0"/>
        </w:rPr>
        <w:t>Rename Group</w:t>
      </w:r>
      <w:r w:rsidRPr="000665B0">
        <w:rPr>
          <w:snapToGrid w:val="0"/>
        </w:rPr>
        <w:t xml:space="preserve"> – Allows for changing the group name for the group that is currently selected (active).</w:t>
      </w:r>
    </w:p>
    <w:p w14:paraId="4FC2C061" w14:textId="77777777" w:rsidR="00BB2836" w:rsidRPr="000665B0" w:rsidRDefault="00BB2836" w:rsidP="009570CA">
      <w:pPr>
        <w:pStyle w:val="Bullet"/>
        <w:rPr>
          <w:snapToGrid w:val="0"/>
        </w:rPr>
      </w:pPr>
      <w:r w:rsidRPr="000665B0">
        <w:rPr>
          <w:b/>
          <w:bCs/>
          <w:snapToGrid w:val="0"/>
        </w:rPr>
        <w:t>Remove Group</w:t>
      </w:r>
      <w:r w:rsidRPr="000665B0">
        <w:rPr>
          <w:snapToGrid w:val="0"/>
        </w:rPr>
        <w:t xml:space="preserve"> –Removes the group that is currently selected (active).</w:t>
      </w:r>
    </w:p>
    <w:p w14:paraId="7D5B271F" w14:textId="77777777" w:rsidR="00BB2836" w:rsidRPr="000665B0" w:rsidRDefault="00BB2836" w:rsidP="009570CA">
      <w:pPr>
        <w:pStyle w:val="Bullet"/>
        <w:rPr>
          <w:snapToGrid w:val="0"/>
        </w:rPr>
      </w:pPr>
      <w:r w:rsidRPr="000665B0">
        <w:rPr>
          <w:b/>
          <w:bCs/>
          <w:snapToGrid w:val="0"/>
        </w:rPr>
        <w:t>Add New Group</w:t>
      </w:r>
      <w:r w:rsidRPr="000665B0">
        <w:rPr>
          <w:snapToGrid w:val="0"/>
        </w:rPr>
        <w:t xml:space="preserve"> – Allows the operator to create a tailored set of tools. Selecting this option places the new group at the bottom of the MDS Bar and allows the user to give it a unique name.</w:t>
      </w:r>
    </w:p>
    <w:p w14:paraId="2CF8C0F5" w14:textId="6F4327B0" w:rsidR="00BB2836" w:rsidRPr="000665B0" w:rsidRDefault="00F11A99" w:rsidP="009570CA">
      <w:pPr>
        <w:pStyle w:val="Bullet"/>
        <w:rPr>
          <w:snapToGrid w:val="0"/>
        </w:rPr>
      </w:pPr>
      <w:r w:rsidRPr="000665B0">
        <w:rPr>
          <w:b/>
          <w:bCs/>
          <w:snapToGrid w:val="0"/>
        </w:rPr>
        <w:t>Large Icons/Small Icons</w:t>
      </w:r>
      <w:r w:rsidRPr="000665B0">
        <w:rPr>
          <w:snapToGrid w:val="0"/>
        </w:rPr>
        <w:t xml:space="preserve"> – Changes the icon size.</w:t>
      </w:r>
    </w:p>
    <w:p w14:paraId="5E0F31AC" w14:textId="77777777" w:rsidR="00BB2836" w:rsidRPr="000665B0" w:rsidRDefault="00BB2836" w:rsidP="009570CA">
      <w:pPr>
        <w:pStyle w:val="Bullet"/>
        <w:spacing w:after="0"/>
        <w:rPr>
          <w:snapToGrid w:val="0"/>
        </w:rPr>
      </w:pPr>
      <w:r w:rsidRPr="000665B0">
        <w:rPr>
          <w:b/>
          <w:bCs/>
          <w:snapToGrid w:val="0"/>
        </w:rPr>
        <w:t>Restore Defaults</w:t>
      </w:r>
      <w:r w:rsidRPr="000665B0">
        <w:rPr>
          <w:snapToGrid w:val="0"/>
        </w:rPr>
        <w:t xml:space="preserve"> – Returns the MDS Bar back to its original state.</w:t>
      </w:r>
    </w:p>
    <w:p w14:paraId="07F175F2" w14:textId="20400C22" w:rsidR="00BB2836" w:rsidRPr="000665B0" w:rsidRDefault="00BB2836" w:rsidP="009570CA">
      <w:pPr>
        <w:pStyle w:val="Heading4"/>
        <w:keepNext w:val="0"/>
      </w:pPr>
      <w:bookmarkStart w:id="722" w:name="_Toc171731899"/>
      <w:r w:rsidRPr="000665B0">
        <w:t>Tool Bar</w:t>
      </w:r>
      <w:bookmarkEnd w:id="722"/>
    </w:p>
    <w:p w14:paraId="55466BF3" w14:textId="538B305F" w:rsidR="00BB2836" w:rsidRPr="000665B0" w:rsidRDefault="00BB2836" w:rsidP="001B7AB2">
      <w:pPr>
        <w:pStyle w:val="Bullet"/>
        <w:widowControl w:val="0"/>
        <w:spacing w:line="240" w:lineRule="auto"/>
        <w:rPr>
          <w:snapToGrid w:val="0"/>
        </w:rPr>
      </w:pPr>
      <w:r w:rsidRPr="000665B0">
        <w:rPr>
          <w:snapToGrid w:val="0"/>
        </w:rPr>
        <w:t>The Tool Bar located at the top of the window displays the options available using graphical symbols. All the functions in this bar can also be found in the menu options. The toolbar options vary depending on which Tool is displayed.</w:t>
      </w:r>
    </w:p>
    <w:p w14:paraId="09A83B79" w14:textId="1DCB9963" w:rsidR="00BB2836" w:rsidRPr="000665B0" w:rsidRDefault="00070EDC" w:rsidP="001B7AB2">
      <w:pPr>
        <w:pStyle w:val="Bullet"/>
        <w:widowControl w:val="0"/>
        <w:spacing w:before="60" w:line="240" w:lineRule="auto"/>
        <w:jc w:val="center"/>
        <w:rPr>
          <w:snapToGrid w:val="0"/>
        </w:rPr>
      </w:pPr>
      <w:r w:rsidRPr="000665B0">
        <w:rPr>
          <w:noProof/>
        </w:rPr>
        <w:drawing>
          <wp:inline distT="0" distB="0" distL="0" distR="0" wp14:anchorId="3247FCCB" wp14:editId="414AE66F">
            <wp:extent cx="1280160" cy="262432"/>
            <wp:effectExtent l="0" t="0" r="0" b="0"/>
            <wp:docPr id="2256" name="Picture 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280160" cy="262432"/>
                    </a:xfrm>
                    <a:prstGeom prst="rect">
                      <a:avLst/>
                    </a:prstGeom>
                  </pic:spPr>
                </pic:pic>
              </a:graphicData>
            </a:graphic>
          </wp:inline>
        </w:drawing>
      </w:r>
    </w:p>
    <w:p w14:paraId="15FE3D8B" w14:textId="541E3829" w:rsidR="00BB2836" w:rsidRPr="000665B0" w:rsidRDefault="00BB2836" w:rsidP="009570CA">
      <w:pPr>
        <w:pStyle w:val="Heading4"/>
        <w:keepNext w:val="0"/>
      </w:pPr>
      <w:bookmarkStart w:id="723" w:name="_Status_Bar"/>
      <w:bookmarkStart w:id="724" w:name="_Toc171731900"/>
      <w:bookmarkEnd w:id="723"/>
      <w:r w:rsidRPr="000665B0">
        <w:t>Status Bar</w:t>
      </w:r>
      <w:bookmarkEnd w:id="724"/>
    </w:p>
    <w:p w14:paraId="558BB3E5" w14:textId="19AE8634" w:rsidR="00BB2836" w:rsidRPr="000665B0" w:rsidRDefault="00BB2836" w:rsidP="001B7AB2">
      <w:pPr>
        <w:rPr>
          <w:snapToGrid w:val="0"/>
        </w:rPr>
      </w:pPr>
      <w:r w:rsidRPr="000665B0">
        <w:rPr>
          <w:snapToGrid w:val="0"/>
        </w:rPr>
        <w:t xml:space="preserve">This describes what is being viewed and the time and </w:t>
      </w:r>
      <w:r w:rsidR="001913C1" w:rsidRPr="000665B0">
        <w:rPr>
          <w:snapToGrid w:val="0"/>
        </w:rPr>
        <w:t>date and</w:t>
      </w:r>
      <w:r w:rsidRPr="000665B0">
        <w:rPr>
          <w:snapToGrid w:val="0"/>
        </w:rPr>
        <w:t xml:space="preserve"> is located at the bottom of the window.</w:t>
      </w:r>
    </w:p>
    <w:p w14:paraId="6B812D15" w14:textId="5897DC3C" w:rsidR="00BB2836" w:rsidRPr="000665B0" w:rsidRDefault="00F11A99" w:rsidP="009570CA">
      <w:pPr>
        <w:jc w:val="center"/>
        <w:rPr>
          <w:snapToGrid w:val="0"/>
        </w:rPr>
      </w:pPr>
      <w:r w:rsidRPr="000665B0">
        <w:rPr>
          <w:noProof/>
        </w:rPr>
        <w:drawing>
          <wp:inline distT="0" distB="0" distL="0" distR="0" wp14:anchorId="25A5CABC" wp14:editId="7FF4115A">
            <wp:extent cx="4983480" cy="14630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146304"/>
                    </a:xfrm>
                    <a:prstGeom prst="rect">
                      <a:avLst/>
                    </a:prstGeom>
                  </pic:spPr>
                </pic:pic>
              </a:graphicData>
            </a:graphic>
          </wp:inline>
        </w:drawing>
      </w:r>
    </w:p>
    <w:p w14:paraId="55AB771D" w14:textId="265D657F" w:rsidR="00BB2836" w:rsidRPr="000665B0" w:rsidRDefault="00BB2836" w:rsidP="009570CA">
      <w:pPr>
        <w:pStyle w:val="Heading4"/>
        <w:keepNext w:val="0"/>
      </w:pPr>
      <w:bookmarkStart w:id="725" w:name="_5.2.3.4__Properties"/>
      <w:bookmarkStart w:id="726" w:name="_Properties"/>
      <w:bookmarkStart w:id="727" w:name="_Toc171731902"/>
      <w:bookmarkEnd w:id="725"/>
      <w:bookmarkEnd w:id="726"/>
      <w:r w:rsidRPr="000665B0">
        <w:t>Properties</w:t>
      </w:r>
      <w:bookmarkEnd w:id="727"/>
    </w:p>
    <w:p w14:paraId="2E05705F" w14:textId="2602BEDD" w:rsidR="00BB2836" w:rsidRPr="000665B0" w:rsidRDefault="00BB2836" w:rsidP="009570CA">
      <w:bookmarkStart w:id="728" w:name="_Toc171731903"/>
      <w:r w:rsidRPr="000665B0">
        <w:t xml:space="preserve">Selecting </w:t>
      </w:r>
      <w:r w:rsidRPr="000665B0">
        <w:rPr>
          <w:b/>
        </w:rPr>
        <w:t xml:space="preserve">View </w:t>
      </w:r>
      <w:r w:rsidR="003A15CD" w:rsidRPr="000665B0">
        <w:rPr>
          <w:b/>
        </w:rPr>
        <w:sym w:font="Wingdings" w:char="F0E0"/>
      </w:r>
      <w:r w:rsidRPr="000665B0">
        <w:rPr>
          <w:b/>
        </w:rPr>
        <w:t xml:space="preserve"> Properties</w:t>
      </w:r>
      <w:r w:rsidRPr="000665B0">
        <w:t xml:space="preserve"> from any tool display invokes the current </w:t>
      </w:r>
      <w:r w:rsidR="00E14390" w:rsidRPr="000665B0">
        <w:t xml:space="preserve">tool’s </w:t>
      </w:r>
      <w:r w:rsidRPr="000665B0">
        <w:rPr>
          <w:i/>
        </w:rPr>
        <w:t xml:space="preserve">Properties </w:t>
      </w:r>
      <w:r w:rsidRPr="000665B0">
        <w:t>window.</w:t>
      </w:r>
    </w:p>
    <w:p w14:paraId="21B4C860" w14:textId="2BDC33AD" w:rsidR="00BB2836" w:rsidRPr="000665B0" w:rsidRDefault="00BB2836" w:rsidP="009570CA">
      <w:pPr>
        <w:rPr>
          <w:snapToGrid w:val="0"/>
        </w:rPr>
      </w:pPr>
      <w:r w:rsidRPr="000665B0">
        <w:t xml:space="preserve">The </w:t>
      </w:r>
      <w:r w:rsidRPr="000665B0">
        <w:rPr>
          <w:i/>
        </w:rPr>
        <w:t xml:space="preserve">Properties </w:t>
      </w:r>
      <w:r w:rsidRPr="000665B0">
        <w:t xml:space="preserve">window </w:t>
      </w:r>
      <w:r w:rsidRPr="000665B0">
        <w:rPr>
          <w:snapToGrid w:val="0"/>
        </w:rPr>
        <w:t>allows the operator to customize the appearance of the chosen tool</w:t>
      </w:r>
      <w:r w:rsidR="00901316" w:rsidRPr="000665B0">
        <w:rPr>
          <w:snapToGrid w:val="0"/>
        </w:rPr>
        <w:t>’s</w:t>
      </w:r>
      <w:r w:rsidRPr="000665B0">
        <w:rPr>
          <w:snapToGrid w:val="0"/>
        </w:rPr>
        <w:t xml:space="preserve"> window by changing various aspects of it for the desired look. </w:t>
      </w:r>
      <w:r w:rsidR="0057235E" w:rsidRPr="000665B0">
        <w:rPr>
          <w:snapToGrid w:val="0"/>
        </w:rPr>
        <w:t>Each window within a tool is commonly referred to as a “list view.”</w:t>
      </w:r>
      <w:r w:rsidR="00901316" w:rsidRPr="000665B0">
        <w:rPr>
          <w:snapToGrid w:val="0"/>
        </w:rPr>
        <w:t xml:space="preserve"> </w:t>
      </w:r>
      <w:r w:rsidRPr="000665B0">
        <w:rPr>
          <w:snapToGrid w:val="0"/>
        </w:rPr>
        <w:t xml:space="preserve">All changes are user unique and are retained when </w:t>
      </w:r>
      <w:r w:rsidRPr="000665B0">
        <w:rPr>
          <w:b/>
          <w:snapToGrid w:val="0"/>
        </w:rPr>
        <w:t>OK</w:t>
      </w:r>
      <w:r w:rsidRPr="000665B0">
        <w:rPr>
          <w:snapToGrid w:val="0"/>
        </w:rPr>
        <w:t xml:space="preserve"> is selected from the </w:t>
      </w:r>
      <w:r w:rsidRPr="000665B0">
        <w:rPr>
          <w:i/>
          <w:snapToGrid w:val="0"/>
        </w:rPr>
        <w:t>Properties</w:t>
      </w:r>
      <w:r w:rsidRPr="000665B0">
        <w:rPr>
          <w:snapToGrid w:val="0"/>
        </w:rPr>
        <w:t xml:space="preserve"> window. </w:t>
      </w:r>
      <w:r w:rsidRPr="000665B0">
        <w:t>This function also sorts the entries in the list using criteria chosen by the user. D</w:t>
      </w:r>
      <w:r w:rsidRPr="000665B0">
        <w:rPr>
          <w:snapToGrid w:val="0"/>
        </w:rPr>
        <w:t xml:space="preserve">ifferent users may select their own settings. </w:t>
      </w:r>
    </w:p>
    <w:p w14:paraId="2F77D8E0" w14:textId="77777777" w:rsidR="00BB2836" w:rsidRPr="000665B0" w:rsidRDefault="00BB2836" w:rsidP="009570CA">
      <w:pPr>
        <w:rPr>
          <w:snapToGrid w:val="0"/>
        </w:rPr>
      </w:pPr>
      <w:r w:rsidRPr="000665B0">
        <w:rPr>
          <w:snapToGrid w:val="0"/>
        </w:rPr>
        <w:t>To change the column appearance:</w:t>
      </w:r>
    </w:p>
    <w:p w14:paraId="23C7E696" w14:textId="77777777" w:rsidR="00BB2836" w:rsidRPr="000665B0" w:rsidRDefault="00BB2836" w:rsidP="006D5A65">
      <w:pPr>
        <w:pStyle w:val="Heading1"/>
      </w:pPr>
      <w:r w:rsidRPr="000665B0">
        <w:t xml:space="preserve">From the View menu, select Properties…. The </w:t>
      </w:r>
      <w:r w:rsidRPr="000665B0">
        <w:rPr>
          <w:i/>
        </w:rPr>
        <w:t>Properties</w:t>
      </w:r>
      <w:r w:rsidRPr="000665B0">
        <w:t xml:space="preserve"> window (similar to the one below) is displayed.</w:t>
      </w:r>
    </w:p>
    <w:p w14:paraId="46E5E0D5" w14:textId="54E8DB50" w:rsidR="00BB2836" w:rsidRPr="000665B0" w:rsidRDefault="00F11A99" w:rsidP="009570CA">
      <w:pPr>
        <w:pStyle w:val="Number0205"/>
        <w:ind w:left="0" w:firstLine="0"/>
        <w:jc w:val="center"/>
      </w:pPr>
      <w:r w:rsidRPr="000665B0">
        <w:rPr>
          <w:noProof/>
        </w:rPr>
        <w:drawing>
          <wp:inline distT="0" distB="0" distL="0" distR="0" wp14:anchorId="7AE93C0F" wp14:editId="0E6A12C5">
            <wp:extent cx="2286000" cy="119786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197864"/>
                    </a:xfrm>
                    <a:prstGeom prst="rect">
                      <a:avLst/>
                    </a:prstGeom>
                  </pic:spPr>
                </pic:pic>
              </a:graphicData>
            </a:graphic>
          </wp:inline>
        </w:drawing>
      </w:r>
    </w:p>
    <w:p w14:paraId="7BEF2B22" w14:textId="1AE27AF2" w:rsidR="00BB2836" w:rsidRPr="000665B0" w:rsidRDefault="00BB2836" w:rsidP="006D5A65">
      <w:pPr>
        <w:pStyle w:val="Heading1"/>
      </w:pPr>
      <w:r w:rsidRPr="000665B0">
        <w:lastRenderedPageBreak/>
        <w:t xml:space="preserve">Select the </w:t>
      </w:r>
      <w:r w:rsidRPr="000665B0">
        <w:rPr>
          <w:bCs/>
        </w:rPr>
        <w:t>Column</w:t>
      </w:r>
      <w:r w:rsidRPr="000665B0">
        <w:t xml:space="preserve"> button from the </w:t>
      </w:r>
      <w:r w:rsidRPr="000665B0">
        <w:rPr>
          <w:bCs/>
          <w:i/>
          <w:iCs/>
        </w:rPr>
        <w:t>Available Properties</w:t>
      </w:r>
      <w:r w:rsidRPr="000665B0">
        <w:t xml:space="preserve"> pane. This displays the </w:t>
      </w:r>
      <w:r w:rsidR="00E14390" w:rsidRPr="000665B0">
        <w:rPr>
          <w:i/>
        </w:rPr>
        <w:t>Column</w:t>
      </w:r>
      <w:r w:rsidR="00E14390" w:rsidRPr="000665B0">
        <w:t xml:space="preserve"> </w:t>
      </w:r>
      <w:r w:rsidR="00E14390" w:rsidRPr="000665B0">
        <w:rPr>
          <w:i/>
        </w:rPr>
        <w:t>Property</w:t>
      </w:r>
      <w:r w:rsidR="00E14390" w:rsidRPr="000665B0">
        <w:t xml:space="preserve"> </w:t>
      </w:r>
      <w:r w:rsidRPr="000665B0">
        <w:t xml:space="preserve">window (similar to the one below) for the selected tool. </w:t>
      </w:r>
      <w:r w:rsidR="00E14390" w:rsidRPr="000665B0">
        <w:t xml:space="preserve">Columns </w:t>
      </w:r>
      <w:r w:rsidRPr="000665B0">
        <w:t>can be added or removed as necessary. The left side lists the available columns for display while the right side lists the columns already selected for display. At least 1 column must be selected for display in the list view.</w:t>
      </w:r>
    </w:p>
    <w:p w14:paraId="2156BCCD" w14:textId="4D1C65DC" w:rsidR="00BB2836" w:rsidRPr="000665B0" w:rsidRDefault="00F11A99" w:rsidP="009570CA">
      <w:pPr>
        <w:pStyle w:val="Number0205"/>
        <w:ind w:left="0" w:firstLine="0"/>
        <w:jc w:val="center"/>
      </w:pPr>
      <w:r w:rsidRPr="000665B0">
        <w:rPr>
          <w:noProof/>
        </w:rPr>
        <w:drawing>
          <wp:inline distT="0" distB="0" distL="0" distR="0" wp14:anchorId="5A8C35DD" wp14:editId="4295101B">
            <wp:extent cx="2286000" cy="224028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2240280"/>
                    </a:xfrm>
                    <a:prstGeom prst="rect">
                      <a:avLst/>
                    </a:prstGeom>
                  </pic:spPr>
                </pic:pic>
              </a:graphicData>
            </a:graphic>
          </wp:inline>
        </w:drawing>
      </w:r>
    </w:p>
    <w:p w14:paraId="1795CB48" w14:textId="627035CF" w:rsidR="00BB2836" w:rsidRPr="000665B0" w:rsidRDefault="00BB2836" w:rsidP="006D5A65">
      <w:pPr>
        <w:pStyle w:val="Heading1"/>
        <w:rPr>
          <w:rFonts w:eastAsia="Arial Unicode MS"/>
        </w:rPr>
      </w:pPr>
      <w:r w:rsidRPr="000665B0">
        <w:t xml:space="preserve">In the selected </w:t>
      </w:r>
      <w:r w:rsidR="00E14390" w:rsidRPr="000665B0">
        <w:t xml:space="preserve">tool’s </w:t>
      </w:r>
      <w:r w:rsidR="00E14390" w:rsidRPr="000665B0">
        <w:rPr>
          <w:i/>
        </w:rPr>
        <w:t>Column</w:t>
      </w:r>
      <w:r w:rsidR="00E14390" w:rsidRPr="000665B0">
        <w:t xml:space="preserve"> </w:t>
      </w:r>
      <w:r w:rsidR="00E14390" w:rsidRPr="000665B0">
        <w:rPr>
          <w:i/>
          <w:iCs/>
        </w:rPr>
        <w:t>Property</w:t>
      </w:r>
      <w:r w:rsidR="00E14390" w:rsidRPr="000665B0">
        <w:t xml:space="preserve"> </w:t>
      </w:r>
      <w:r w:rsidRPr="000665B0">
        <w:t xml:space="preserve">window, the user can move the items To/From the </w:t>
      </w:r>
      <w:r w:rsidRPr="000665B0">
        <w:rPr>
          <w:bCs/>
        </w:rPr>
        <w:t>Available Columns</w:t>
      </w:r>
      <w:r w:rsidRPr="000665B0">
        <w:t>/</w:t>
      </w:r>
      <w:r w:rsidRPr="000665B0">
        <w:rPr>
          <w:bCs/>
        </w:rPr>
        <w:t xml:space="preserve">Display </w:t>
      </w:r>
      <w:r w:rsidRPr="000665B0">
        <w:t xml:space="preserve">by either </w:t>
      </w:r>
      <w:r w:rsidR="0037038E" w:rsidRPr="000665B0">
        <w:t>double-click</w:t>
      </w:r>
      <w:r w:rsidRPr="000665B0">
        <w:t xml:space="preserve">ing on the item or selecting the item(s) and clicking on the </w:t>
      </w:r>
      <w:r w:rsidRPr="000665B0">
        <w:rPr>
          <w:bCs/>
        </w:rPr>
        <w:t>Add -&gt;</w:t>
      </w:r>
      <w:r w:rsidRPr="000665B0">
        <w:t xml:space="preserve"> or </w:t>
      </w:r>
      <w:r w:rsidRPr="000665B0">
        <w:rPr>
          <w:bCs/>
        </w:rPr>
        <w:t>&lt;- Remove</w:t>
      </w:r>
      <w:r w:rsidRPr="000665B0">
        <w:t xml:space="preserve"> button.</w:t>
      </w:r>
    </w:p>
    <w:p w14:paraId="68A45595" w14:textId="77777777" w:rsidR="00BB2836" w:rsidRPr="000665B0" w:rsidRDefault="00BB2836" w:rsidP="006D5A65">
      <w:pPr>
        <w:pStyle w:val="Heading1"/>
        <w:rPr>
          <w:rFonts w:eastAsia="Arial Unicode MS"/>
        </w:rPr>
      </w:pPr>
      <w:r w:rsidRPr="000665B0">
        <w:t xml:space="preserve">To display all columns, click on the </w:t>
      </w:r>
      <w:r w:rsidRPr="000665B0">
        <w:rPr>
          <w:bCs/>
        </w:rPr>
        <w:t>Add All -&gt;&gt;</w:t>
      </w:r>
      <w:r w:rsidRPr="000665B0">
        <w:t xml:space="preserve"> button. To remove all columns, click on the </w:t>
      </w:r>
      <w:r w:rsidRPr="000665B0">
        <w:rPr>
          <w:bCs/>
        </w:rPr>
        <w:t>&lt;&lt;- Remove All</w:t>
      </w:r>
      <w:r w:rsidRPr="000665B0">
        <w:t xml:space="preserve"> button. </w:t>
      </w:r>
    </w:p>
    <w:p w14:paraId="62960549" w14:textId="08BFACBB" w:rsidR="0057235E" w:rsidRPr="000665B0" w:rsidRDefault="00764AB5" w:rsidP="006D5A65">
      <w:pPr>
        <w:pStyle w:val="Heading1"/>
      </w:pPr>
      <w:r w:rsidRPr="000665B0">
        <w:t xml:space="preserve">To change the </w:t>
      </w:r>
      <w:r w:rsidR="00BB2836" w:rsidRPr="000665B0">
        <w:t>column order</w:t>
      </w:r>
      <w:r w:rsidRPr="000665B0">
        <w:t xml:space="preserve">, select </w:t>
      </w:r>
      <w:r w:rsidR="00BB2836" w:rsidRPr="000665B0">
        <w:t xml:space="preserve">one or more adjacent columns and click on the </w:t>
      </w:r>
      <w:r w:rsidR="00BB2836" w:rsidRPr="000665B0">
        <w:rPr>
          <w:bCs/>
        </w:rPr>
        <w:t>Move Up</w:t>
      </w:r>
      <w:r w:rsidR="00BB2836" w:rsidRPr="000665B0">
        <w:t xml:space="preserve"> or</w:t>
      </w:r>
      <w:r w:rsidR="00BB2836" w:rsidRPr="000665B0">
        <w:rPr>
          <w:bCs/>
        </w:rPr>
        <w:t xml:space="preserve"> Move Down</w:t>
      </w:r>
      <w:r w:rsidR="00BB2836" w:rsidRPr="000665B0">
        <w:t xml:space="preserve"> button until the column is in the desired location.</w:t>
      </w:r>
    </w:p>
    <w:p w14:paraId="74020595" w14:textId="1AE0037C" w:rsidR="00764AB5" w:rsidRPr="000665B0" w:rsidRDefault="00764AB5" w:rsidP="009570CA">
      <w:pPr>
        <w:pStyle w:val="number1"/>
        <w:spacing w:before="0" w:beforeAutospacing="0" w:after="120" w:afterAutospacing="0"/>
        <w:ind w:left="720"/>
      </w:pPr>
      <w:r w:rsidRPr="000665B0">
        <w:t>or</w:t>
      </w:r>
    </w:p>
    <w:p w14:paraId="076286CC" w14:textId="2F9B0703" w:rsidR="00537CB2" w:rsidRPr="000665B0" w:rsidRDefault="00764AB5" w:rsidP="006D5A65">
      <w:pPr>
        <w:pStyle w:val="Heading1"/>
      </w:pPr>
      <w:r w:rsidRPr="000665B0">
        <w:t>Within</w:t>
      </w:r>
      <w:r w:rsidR="00537CB2" w:rsidRPr="000665B0">
        <w:t xml:space="preserve"> the list view: click the column header and while holding the mouse button down, drag the column horizontally</w:t>
      </w:r>
      <w:r w:rsidRPr="000665B0">
        <w:t xml:space="preserve">. Release the mouse button at </w:t>
      </w:r>
      <w:r w:rsidR="00537CB2" w:rsidRPr="000665B0">
        <w:t xml:space="preserve">the new desired </w:t>
      </w:r>
      <w:r w:rsidRPr="000665B0">
        <w:t>position</w:t>
      </w:r>
      <w:r w:rsidR="00537CB2" w:rsidRPr="000665B0">
        <w:t>.</w:t>
      </w:r>
    </w:p>
    <w:p w14:paraId="18017FAA" w14:textId="77777777" w:rsidR="00BB2836" w:rsidRPr="000665B0" w:rsidRDefault="00BB2836" w:rsidP="006D5A65">
      <w:pPr>
        <w:pStyle w:val="Heading1"/>
      </w:pPr>
      <w:r w:rsidRPr="000665B0">
        <w:t xml:space="preserve">If it becomes necessary to revert back to the original state, the operator can click the </w:t>
      </w:r>
      <w:r w:rsidRPr="000665B0">
        <w:rPr>
          <w:bCs/>
        </w:rPr>
        <w:t>Restore Column Defaults</w:t>
      </w:r>
      <w:r w:rsidRPr="000665B0">
        <w:t xml:space="preserve"> button.</w:t>
      </w:r>
    </w:p>
    <w:p w14:paraId="0C8B4E4A" w14:textId="77777777" w:rsidR="00BB2836" w:rsidRPr="000665B0" w:rsidRDefault="00BB2836" w:rsidP="006D5A65">
      <w:pPr>
        <w:pStyle w:val="Heading1"/>
      </w:pPr>
      <w:r w:rsidRPr="000665B0">
        <w:t>Click the OK button when all selections have been completed. The tool’s column selections are saved.</w:t>
      </w:r>
    </w:p>
    <w:p w14:paraId="574722D5" w14:textId="14AACD08" w:rsidR="00BB2836" w:rsidRPr="000665B0" w:rsidRDefault="00BB2836" w:rsidP="009570CA">
      <w:pPr>
        <w:rPr>
          <w:bCs/>
          <w:szCs w:val="24"/>
        </w:rPr>
      </w:pPr>
      <w:r w:rsidRPr="000665B0">
        <w:rPr>
          <w:bCs/>
          <w:szCs w:val="24"/>
        </w:rPr>
        <w:t xml:space="preserve">When </w:t>
      </w:r>
      <w:r w:rsidR="00764AB5" w:rsidRPr="000665B0">
        <w:rPr>
          <w:bCs/>
          <w:szCs w:val="24"/>
        </w:rPr>
        <w:t xml:space="preserve">the </w:t>
      </w:r>
      <w:r w:rsidRPr="000665B0">
        <w:rPr>
          <w:bCs/>
          <w:szCs w:val="24"/>
        </w:rPr>
        <w:t xml:space="preserve">list view has data, </w:t>
      </w:r>
      <w:r w:rsidR="00D71804" w:rsidRPr="000665B0">
        <w:rPr>
          <w:bCs/>
          <w:szCs w:val="24"/>
        </w:rPr>
        <w:t>right-click</w:t>
      </w:r>
      <w:r w:rsidRPr="000665B0">
        <w:rPr>
          <w:bCs/>
          <w:szCs w:val="24"/>
        </w:rPr>
        <w:t xml:space="preserve"> on column header to select one of the following menu options:</w:t>
      </w:r>
    </w:p>
    <w:p w14:paraId="5F1016D3" w14:textId="77886D77" w:rsidR="00BB2836" w:rsidRPr="000665B0" w:rsidRDefault="00BB2836" w:rsidP="006D5A65">
      <w:pPr>
        <w:pStyle w:val="Heading2"/>
      </w:pPr>
      <w:r w:rsidRPr="000665B0">
        <w:t xml:space="preserve">Remove This Column – Removes the column from the display. This is disabled if it is the only column displayed in the list view. At least </w:t>
      </w:r>
      <w:r w:rsidR="00764AB5" w:rsidRPr="000665B0">
        <w:t xml:space="preserve">one </w:t>
      </w:r>
      <w:r w:rsidRPr="000665B0">
        <w:t>column must be displayed in the list view.</w:t>
      </w:r>
    </w:p>
    <w:p w14:paraId="07488781" w14:textId="47DC6BF6" w:rsidR="00BB2836" w:rsidRPr="000665B0" w:rsidRDefault="00BB2836" w:rsidP="006D5A65">
      <w:pPr>
        <w:pStyle w:val="Heading2"/>
      </w:pPr>
      <w:r w:rsidRPr="000665B0">
        <w:t xml:space="preserve">Properties – Displays the </w:t>
      </w:r>
      <w:r w:rsidR="00E14390" w:rsidRPr="000665B0">
        <w:t xml:space="preserve">tool’s </w:t>
      </w:r>
      <w:r w:rsidRPr="000665B0">
        <w:rPr>
          <w:i/>
        </w:rPr>
        <w:t>Properties</w:t>
      </w:r>
      <w:r w:rsidRPr="000665B0">
        <w:t xml:space="preserve"> </w:t>
      </w:r>
      <w:r w:rsidR="00E14390" w:rsidRPr="000665B0">
        <w:t>window</w:t>
      </w:r>
      <w:r w:rsidRPr="000665B0">
        <w:t>.</w:t>
      </w:r>
    </w:p>
    <w:p w14:paraId="04831418" w14:textId="054B9944" w:rsidR="00BB2836" w:rsidRPr="000665B0" w:rsidRDefault="00BB2836" w:rsidP="009570CA">
      <w:pPr>
        <w:pStyle w:val="Heading5"/>
      </w:pPr>
      <w:bookmarkStart w:id="729" w:name="_5.2.3.4.1__Sort"/>
      <w:bookmarkEnd w:id="729"/>
      <w:r w:rsidRPr="000665B0">
        <w:lastRenderedPageBreak/>
        <w:t>Sort</w:t>
      </w:r>
      <w:bookmarkEnd w:id="728"/>
    </w:p>
    <w:p w14:paraId="33A680FC" w14:textId="77777777" w:rsidR="00BB2836" w:rsidRPr="000665B0" w:rsidRDefault="00BB2836" w:rsidP="009570CA">
      <w:pPr>
        <w:pStyle w:val="base"/>
        <w:spacing w:before="0" w:beforeAutospacing="0" w:after="120" w:afterAutospacing="0"/>
        <w:rPr>
          <w:rFonts w:ascii="Times New Roman" w:hAnsi="Times New Roman" w:cs="Times New Roman"/>
        </w:rPr>
      </w:pPr>
      <w:bookmarkStart w:id="730" w:name="_Toc171731904"/>
      <w:r w:rsidRPr="000665B0">
        <w:rPr>
          <w:rFonts w:ascii="Times New Roman" w:hAnsi="Times New Roman" w:cs="Times New Roman"/>
        </w:rPr>
        <w:t>This function sorts the entries in the list using criteria chosen by the operator.</w:t>
      </w:r>
    </w:p>
    <w:p w14:paraId="15AF1A18" w14:textId="77777777" w:rsidR="00BB2836" w:rsidRPr="000665B0" w:rsidRDefault="00BB2836" w:rsidP="006D5A65">
      <w:pPr>
        <w:pStyle w:val="Heading1"/>
      </w:pPr>
      <w:r w:rsidRPr="000665B0">
        <w:t xml:space="preserve">From the View menu, select Properties…. The </w:t>
      </w:r>
      <w:r w:rsidRPr="000665B0">
        <w:rPr>
          <w:i/>
        </w:rPr>
        <w:t xml:space="preserve">Properties </w:t>
      </w:r>
      <w:r w:rsidRPr="000665B0">
        <w:t>window for the selected tool is displayed.</w:t>
      </w:r>
    </w:p>
    <w:p w14:paraId="7988B653" w14:textId="58324E60" w:rsidR="00BB2836" w:rsidRPr="000665B0" w:rsidRDefault="00BB2836" w:rsidP="006D5A65">
      <w:pPr>
        <w:pStyle w:val="Heading1"/>
      </w:pPr>
      <w:r w:rsidRPr="000665B0">
        <w:t xml:space="preserve">Select the </w:t>
      </w:r>
      <w:r w:rsidRPr="000665B0">
        <w:rPr>
          <w:bCs/>
        </w:rPr>
        <w:t>Sort</w:t>
      </w:r>
      <w:r w:rsidRPr="000665B0">
        <w:t xml:space="preserve"> button from the </w:t>
      </w:r>
      <w:r w:rsidRPr="000665B0">
        <w:rPr>
          <w:bCs/>
          <w:i/>
          <w:iCs/>
        </w:rPr>
        <w:t>Available Properties</w:t>
      </w:r>
      <w:r w:rsidRPr="000665B0">
        <w:t xml:space="preserve"> panel. This displays the </w:t>
      </w:r>
      <w:r w:rsidRPr="000665B0">
        <w:rPr>
          <w:bCs/>
          <w:i/>
        </w:rPr>
        <w:t xml:space="preserve">Sort </w:t>
      </w:r>
      <w:r w:rsidR="00B74D17" w:rsidRPr="000665B0">
        <w:rPr>
          <w:bCs/>
          <w:i/>
        </w:rPr>
        <w:t>Property</w:t>
      </w:r>
      <w:r w:rsidR="00B74D17" w:rsidRPr="000665B0">
        <w:t xml:space="preserve"> </w:t>
      </w:r>
      <w:r w:rsidRPr="000665B0">
        <w:t>window (similar to the one below) for the selected tool.</w:t>
      </w:r>
    </w:p>
    <w:p w14:paraId="0CC7836B" w14:textId="24477975" w:rsidR="00BB2836" w:rsidRPr="000665B0" w:rsidRDefault="00F11A99" w:rsidP="009570CA">
      <w:pPr>
        <w:pStyle w:val="number1"/>
        <w:spacing w:before="0" w:beforeAutospacing="0" w:after="120" w:afterAutospacing="0"/>
        <w:jc w:val="center"/>
      </w:pPr>
      <w:r w:rsidRPr="000665B0">
        <w:rPr>
          <w:noProof/>
        </w:rPr>
        <w:drawing>
          <wp:inline distT="0" distB="0" distL="0" distR="0" wp14:anchorId="536F4E6D" wp14:editId="0737AEC8">
            <wp:extent cx="2286000" cy="2084832"/>
            <wp:effectExtent l="0" t="0" r="0" b="0"/>
            <wp:docPr id="1410" name="Picture 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2084832"/>
                    </a:xfrm>
                    <a:prstGeom prst="rect">
                      <a:avLst/>
                    </a:prstGeom>
                  </pic:spPr>
                </pic:pic>
              </a:graphicData>
            </a:graphic>
          </wp:inline>
        </w:drawing>
      </w:r>
    </w:p>
    <w:p w14:paraId="5D095DAF" w14:textId="575F2971" w:rsidR="00BB2836" w:rsidRPr="000665B0" w:rsidRDefault="00B74D17" w:rsidP="006D5A65">
      <w:pPr>
        <w:pStyle w:val="Heading1"/>
      </w:pPr>
      <w:r w:rsidRPr="000665B0">
        <w:t>C</w:t>
      </w:r>
      <w:r w:rsidR="00BB2836" w:rsidRPr="000665B0">
        <w:t xml:space="preserve">hoose the column(s) to sort by using the </w:t>
      </w:r>
      <w:r w:rsidR="00D34896" w:rsidRPr="000665B0">
        <w:t>drop-down</w:t>
      </w:r>
      <w:r w:rsidR="00BB2836" w:rsidRPr="000665B0">
        <w:t xml:space="preserve"> lists.</w:t>
      </w:r>
    </w:p>
    <w:p w14:paraId="4B5BFD28" w14:textId="77777777" w:rsidR="00BB2836" w:rsidRPr="000665B0" w:rsidRDefault="00BB2836" w:rsidP="006D5A65">
      <w:pPr>
        <w:pStyle w:val="Heading1"/>
      </w:pPr>
      <w:r w:rsidRPr="000665B0">
        <w:t xml:space="preserve">Choose </w:t>
      </w:r>
      <w:r w:rsidRPr="000665B0">
        <w:rPr>
          <w:bCs/>
        </w:rPr>
        <w:t>Ascending</w:t>
      </w:r>
      <w:r w:rsidRPr="000665B0">
        <w:t xml:space="preserve"> or </w:t>
      </w:r>
      <w:r w:rsidRPr="000665B0">
        <w:rPr>
          <w:bCs/>
        </w:rPr>
        <w:t>Descending</w:t>
      </w:r>
      <w:r w:rsidRPr="000665B0">
        <w:t xml:space="preserve"> sort for each column used for sorting.</w:t>
      </w:r>
    </w:p>
    <w:p w14:paraId="230BC7AB" w14:textId="77777777" w:rsidR="00BB2836" w:rsidRPr="000665B0" w:rsidRDefault="00BB2836" w:rsidP="006D5A65">
      <w:pPr>
        <w:pStyle w:val="Heading1"/>
      </w:pPr>
      <w:r w:rsidRPr="000665B0">
        <w:t xml:space="preserve">Click </w:t>
      </w:r>
      <w:r w:rsidRPr="000665B0">
        <w:rPr>
          <w:bCs/>
        </w:rPr>
        <w:t>OK</w:t>
      </w:r>
      <w:r w:rsidRPr="000665B0">
        <w:t xml:space="preserve">. The entries in the list are sorted according to the selected criteria. Sorting for each column is indicated in the column header by an up-arrow for an ascending sort or a down-arrow for a descending sort. </w:t>
      </w:r>
    </w:p>
    <w:p w14:paraId="15F7A053" w14:textId="7671B20C" w:rsidR="00BB2836" w:rsidRPr="000665B0" w:rsidRDefault="00BB2836" w:rsidP="009570CA">
      <w:pPr>
        <w:spacing w:after="0"/>
      </w:pPr>
      <w:r w:rsidRPr="000665B0">
        <w:t xml:space="preserve">Another </w:t>
      </w:r>
      <w:r w:rsidR="00B74D17" w:rsidRPr="000665B0">
        <w:t xml:space="preserve">quick </w:t>
      </w:r>
      <w:r w:rsidRPr="000665B0">
        <w:t>method of sorting the columns is to click on the column header</w:t>
      </w:r>
      <w:r w:rsidR="00B74D17" w:rsidRPr="000665B0">
        <w:t xml:space="preserve"> within the list view</w:t>
      </w:r>
      <w:r w:rsidRPr="000665B0">
        <w:t xml:space="preserve">. </w:t>
      </w:r>
      <w:r w:rsidR="003D42B8" w:rsidRPr="000665B0">
        <w:t>When this method is used, an up or down arrow (</w:t>
      </w:r>
      <w:r w:rsidR="00487A07">
        <w:rPr>
          <w:noProof/>
        </w:rPr>
        <w:drawing>
          <wp:inline distT="0" distB="0" distL="0" distR="0" wp14:anchorId="65327CA6" wp14:editId="62143660">
            <wp:extent cx="152400" cy="152400"/>
            <wp:effectExtent l="0" t="0" r="0" b="0"/>
            <wp:docPr id="1067252863" name="Graphic 1" descr="Caret U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52863" name="Graphic 1067252863" descr="Caret Up with solid fill"/>
                    <pic:cNvPicPr/>
                  </pic:nvPicPr>
                  <pic:blipFill>
                    <a:blip cstate="print">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D42B8" w:rsidRPr="000665B0">
        <w:t>,</w:t>
      </w:r>
      <w:r w:rsidR="00487A07">
        <w:rPr>
          <w:noProof/>
        </w:rPr>
        <w:drawing>
          <wp:inline distT="0" distB="0" distL="0" distR="0" wp14:anchorId="50C13B72" wp14:editId="081C5202">
            <wp:extent cx="152400" cy="152400"/>
            <wp:effectExtent l="0" t="0" r="0" b="0"/>
            <wp:docPr id="173684888" name="Graphic 2" descr="Caret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4888" name="Graphic 173684888" descr="Caret Down with solid fill"/>
                    <pic:cNvPicPr/>
                  </pic:nvPicPr>
                  <pic:blipFill>
                    <a:blip cstate="print">
                      <a:extLst>
                        <a:ext uri="{28A0092B-C50C-407E-A947-70E740481C1C}">
                          <a14:useLocalDpi xmlns:a14="http://schemas.microsoft.com/office/drawing/2010/main" val="0"/>
                        </a:ext>
                      </a:extLst>
                    </a:blip>
                    <a:stretch>
                      <a:fillRect/>
                    </a:stretch>
                  </pic:blipFill>
                  <pic:spPr>
                    <a:xfrm flipH="1">
                      <a:off x="0" y="0"/>
                      <a:ext cx="152400" cy="152400"/>
                    </a:xfrm>
                    <a:prstGeom prst="rect">
                      <a:avLst/>
                    </a:prstGeom>
                  </pic:spPr>
                </pic:pic>
              </a:graphicData>
            </a:graphic>
          </wp:inline>
        </w:drawing>
      </w:r>
      <w:r w:rsidR="003D42B8" w:rsidRPr="000665B0">
        <w:t>) in the column header indicates the ascending/descending sorting order</w:t>
      </w:r>
      <w:r w:rsidR="00E75976" w:rsidRPr="000665B0">
        <w:t>.</w:t>
      </w:r>
    </w:p>
    <w:p w14:paraId="57CE4247" w14:textId="2A0AA775" w:rsidR="00BB2836" w:rsidRPr="000665B0" w:rsidRDefault="00BB2836" w:rsidP="009570CA">
      <w:pPr>
        <w:pStyle w:val="Heading3"/>
      </w:pPr>
      <w:bookmarkStart w:id="731" w:name="_Go_Menu"/>
      <w:bookmarkStart w:id="732" w:name="_Toc214283135"/>
      <w:bookmarkEnd w:id="731"/>
      <w:r w:rsidRPr="000665B0">
        <w:t>Go Menu</w:t>
      </w:r>
      <w:bookmarkEnd w:id="730"/>
      <w:bookmarkEnd w:id="732"/>
      <w:r w:rsidRPr="000665B0">
        <w:t xml:space="preserve"> </w:t>
      </w:r>
    </w:p>
    <w:p w14:paraId="1ED18B7E" w14:textId="1AFB227A" w:rsidR="00BB2836" w:rsidRPr="000665B0" w:rsidRDefault="00BB2836" w:rsidP="009570CA">
      <w:pPr>
        <w:rPr>
          <w:snapToGrid w:val="0"/>
        </w:rPr>
      </w:pPr>
      <w:r w:rsidRPr="000665B0">
        <w:rPr>
          <w:snapToGrid w:val="0"/>
        </w:rPr>
        <w:t xml:space="preserve">This </w:t>
      </w:r>
      <w:r w:rsidR="009C2F90" w:rsidRPr="000665B0">
        <w:rPr>
          <w:snapToGrid w:val="0"/>
        </w:rPr>
        <w:t xml:space="preserve">menu </w:t>
      </w:r>
      <w:r w:rsidRPr="000665B0">
        <w:rPr>
          <w:snapToGrid w:val="0"/>
        </w:rPr>
        <w:t>navigate</w:t>
      </w:r>
      <w:r w:rsidR="009C2F90" w:rsidRPr="000665B0">
        <w:rPr>
          <w:snapToGrid w:val="0"/>
        </w:rPr>
        <w:t>s</w:t>
      </w:r>
      <w:r w:rsidRPr="000665B0">
        <w:rPr>
          <w:snapToGrid w:val="0"/>
        </w:rPr>
        <w:t xml:space="preserve"> </w:t>
      </w:r>
      <w:r w:rsidR="009C2F90" w:rsidRPr="000665B0">
        <w:rPr>
          <w:snapToGrid w:val="0"/>
        </w:rPr>
        <w:t xml:space="preserve">to </w:t>
      </w:r>
      <w:r w:rsidRPr="000665B0">
        <w:rPr>
          <w:snapToGrid w:val="0"/>
        </w:rPr>
        <w:t>the software</w:t>
      </w:r>
      <w:r w:rsidR="009C2F90" w:rsidRPr="000665B0">
        <w:rPr>
          <w:snapToGrid w:val="0"/>
        </w:rPr>
        <w:t xml:space="preserve"> tools</w:t>
      </w:r>
      <w:r w:rsidRPr="000665B0">
        <w:rPr>
          <w:snapToGrid w:val="0"/>
        </w:rPr>
        <w:t xml:space="preserve"> by selecting one of the tools </w:t>
      </w:r>
      <w:r w:rsidR="0057235E" w:rsidRPr="000665B0">
        <w:rPr>
          <w:snapToGrid w:val="0"/>
        </w:rPr>
        <w:t xml:space="preserve">from the </w:t>
      </w:r>
      <w:r w:rsidR="0057235E" w:rsidRPr="000665B0">
        <w:rPr>
          <w:b/>
          <w:snapToGrid w:val="0"/>
        </w:rPr>
        <w:t>Go</w:t>
      </w:r>
      <w:r w:rsidR="0057235E" w:rsidRPr="000665B0">
        <w:rPr>
          <w:snapToGrid w:val="0"/>
        </w:rPr>
        <w:t xml:space="preserve"> menu</w:t>
      </w:r>
      <w:r w:rsidRPr="000665B0">
        <w:rPr>
          <w:snapToGrid w:val="0"/>
        </w:rPr>
        <w:t>. Clicking on the proper icon in the MDS Bar</w:t>
      </w:r>
      <w:r w:rsidR="00D65408" w:rsidRPr="000665B0">
        <w:rPr>
          <w:snapToGrid w:val="0"/>
        </w:rPr>
        <w:t xml:space="preserve"> (see </w:t>
      </w:r>
      <w:hyperlink w:anchor="_MDS_Bar_1" w:history="1">
        <w:r w:rsidR="00D65408" w:rsidRPr="000665B0">
          <w:rPr>
            <w:rStyle w:val="Hyperlink"/>
            <w:snapToGrid w:val="0"/>
          </w:rPr>
          <w:t>Section 5.2.3.</w:t>
        </w:r>
        <w:r w:rsidR="00CB1EF8" w:rsidRPr="000665B0">
          <w:rPr>
            <w:rStyle w:val="Hyperlink"/>
            <w:snapToGrid w:val="0"/>
          </w:rPr>
          <w:t>2</w:t>
        </w:r>
      </w:hyperlink>
      <w:r w:rsidR="00D65408" w:rsidRPr="000665B0">
        <w:rPr>
          <w:snapToGrid w:val="0"/>
        </w:rPr>
        <w:t>)</w:t>
      </w:r>
      <w:r w:rsidRPr="000665B0">
        <w:rPr>
          <w:snapToGrid w:val="0"/>
        </w:rPr>
        <w:t xml:space="preserve"> can also access these tools.</w:t>
      </w:r>
      <w:r w:rsidR="00852FB8" w:rsidRPr="000665B0">
        <w:rPr>
          <w:snapToGrid w:val="0"/>
        </w:rPr>
        <w:t xml:space="preserve"> Accessing the tool opens the selected tool’s primary window</w:t>
      </w:r>
      <w:r w:rsidR="00901316" w:rsidRPr="000665B0">
        <w:rPr>
          <w:snapToGrid w:val="0"/>
        </w:rPr>
        <w:t xml:space="preserve">. </w:t>
      </w:r>
      <w:r w:rsidR="0057235E" w:rsidRPr="000665B0">
        <w:rPr>
          <w:snapToGrid w:val="0"/>
        </w:rPr>
        <w:t>Each window within a tool is</w:t>
      </w:r>
      <w:r w:rsidR="00901316" w:rsidRPr="000665B0">
        <w:rPr>
          <w:snapToGrid w:val="0"/>
        </w:rPr>
        <w:t xml:space="preserve"> commonly referred to as a “list view.” </w:t>
      </w:r>
    </w:p>
    <w:p w14:paraId="58463652" w14:textId="19FF6219" w:rsidR="00F80253" w:rsidRPr="000665B0" w:rsidRDefault="0079269A" w:rsidP="009570CA">
      <w:pPr>
        <w:spacing w:after="240"/>
        <w:jc w:val="center"/>
        <w:rPr>
          <w:snapToGrid w:val="0"/>
        </w:rPr>
      </w:pPr>
      <w:r w:rsidRPr="000665B0">
        <w:rPr>
          <w:noProof/>
        </w:rPr>
        <w:lastRenderedPageBreak/>
        <w:drawing>
          <wp:inline distT="0" distB="0" distL="0" distR="0" wp14:anchorId="42DC2006" wp14:editId="04F145F3">
            <wp:extent cx="1371600" cy="5605272"/>
            <wp:effectExtent l="0" t="0" r="0" b="0"/>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371600" cy="5605272"/>
                    </a:xfrm>
                    <a:prstGeom prst="rect">
                      <a:avLst/>
                    </a:prstGeom>
                  </pic:spPr>
                </pic:pic>
              </a:graphicData>
            </a:graphic>
          </wp:inline>
        </w:drawing>
      </w:r>
    </w:p>
    <w:p w14:paraId="24FE8621" w14:textId="77777777" w:rsidR="00F80253" w:rsidRPr="000665B0" w:rsidRDefault="00F80253" w:rsidP="009570CA">
      <w:pPr>
        <w:keepNext/>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0E5BA12F" w14:textId="2036169A" w:rsidR="00F80253" w:rsidRPr="000665B0" w:rsidRDefault="00F80253" w:rsidP="009570CA">
      <w:pPr>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 xml:space="preserve">The Quick Strike Tool is an optional tool that is installed on permissible FRUs only and appears in the Go Menu only when installed. </w:t>
      </w:r>
    </w:p>
    <w:p w14:paraId="405FB218" w14:textId="75C6F9EF" w:rsidR="00BB2836" w:rsidRPr="000665B0" w:rsidRDefault="00BB2836" w:rsidP="004B1275">
      <w:pPr>
        <w:pStyle w:val="Heading3"/>
        <w:keepNext w:val="0"/>
      </w:pPr>
      <w:bookmarkStart w:id="733" w:name="_Toc514253235"/>
      <w:bookmarkStart w:id="734" w:name="_Toc171731905"/>
      <w:bookmarkStart w:id="735" w:name="_Toc214283136"/>
      <w:bookmarkEnd w:id="733"/>
      <w:r w:rsidRPr="000665B0">
        <w:t>Tools Menu</w:t>
      </w:r>
      <w:bookmarkEnd w:id="734"/>
      <w:bookmarkEnd w:id="735"/>
    </w:p>
    <w:p w14:paraId="32402780" w14:textId="77777777" w:rsidR="00BB2836" w:rsidRPr="000665B0" w:rsidRDefault="00BB2836" w:rsidP="009570CA">
      <w:pPr>
        <w:spacing w:after="0"/>
      </w:pPr>
      <w:r w:rsidRPr="000665B0">
        <w:t>This menu is not available on all windows.</w:t>
      </w:r>
    </w:p>
    <w:p w14:paraId="623818BD" w14:textId="680B827D" w:rsidR="00BB2836" w:rsidRPr="000665B0" w:rsidRDefault="00BB2836" w:rsidP="009570CA">
      <w:pPr>
        <w:pStyle w:val="Heading4"/>
        <w:keepNext w:val="0"/>
      </w:pPr>
      <w:bookmarkStart w:id="736" w:name="_5.2.5.1__Find_1"/>
      <w:bookmarkStart w:id="737" w:name="_Find"/>
      <w:bookmarkStart w:id="738" w:name="_Toc171731906"/>
      <w:bookmarkEnd w:id="736"/>
      <w:bookmarkEnd w:id="737"/>
      <w:r w:rsidRPr="000665B0">
        <w:t>Find</w:t>
      </w:r>
      <w:bookmarkEnd w:id="738"/>
    </w:p>
    <w:p w14:paraId="1D19F031" w14:textId="41401647" w:rsidR="00BB2836" w:rsidRPr="000665B0" w:rsidRDefault="00BB2836" w:rsidP="009570CA">
      <w:pPr>
        <w:spacing w:after="240"/>
      </w:pPr>
      <w:r w:rsidRPr="000665B0">
        <w:t xml:space="preserve">From the </w:t>
      </w:r>
      <w:r w:rsidRPr="000665B0">
        <w:rPr>
          <w:b/>
        </w:rPr>
        <w:t>Tools</w:t>
      </w:r>
      <w:r w:rsidRPr="000665B0">
        <w:t xml:space="preserve"> menu select </w:t>
      </w:r>
      <w:r w:rsidRPr="000665B0">
        <w:rPr>
          <w:b/>
        </w:rPr>
        <w:t>Find</w:t>
      </w:r>
      <w:r w:rsidR="004C50F9" w:rsidRPr="000665B0">
        <w:rPr>
          <w:b/>
        </w:rPr>
        <w:t xml:space="preserve"> </w:t>
      </w:r>
      <w:r w:rsidR="004C50F9" w:rsidRPr="000665B0">
        <w:t xml:space="preserve">or click the </w:t>
      </w:r>
      <w:r w:rsidR="004C50F9" w:rsidRPr="000665B0">
        <w:rPr>
          <w:b/>
        </w:rPr>
        <w:t>Binoculars</w:t>
      </w:r>
      <w:r w:rsidR="004C50F9" w:rsidRPr="000665B0">
        <w:t xml:space="preserve"> icon </w:t>
      </w:r>
      <w:r w:rsidR="004C50F9" w:rsidRPr="000665B0">
        <w:rPr>
          <w:noProof/>
          <w:position w:val="-3"/>
        </w:rPr>
        <w:drawing>
          <wp:inline distT="0" distB="0" distL="0" distR="0" wp14:anchorId="7A0696CD" wp14:editId="641DB70C">
            <wp:extent cx="204354" cy="180109"/>
            <wp:effectExtent l="0" t="0" r="5715" b="0"/>
            <wp:docPr id="2296" name="Picture 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04706" cy="180420"/>
                    </a:xfrm>
                    <a:prstGeom prst="rect">
                      <a:avLst/>
                    </a:prstGeom>
                    <a:ln>
                      <a:noFill/>
                    </a:ln>
                    <a:extLst>
                      <a:ext uri="{53640926-AAD7-44D8-BBD7-CCE9431645EC}">
                        <a14:shadowObscured xmlns:a14="http://schemas.microsoft.com/office/drawing/2010/main"/>
                      </a:ext>
                    </a:extLst>
                  </pic:spPr>
                </pic:pic>
              </a:graphicData>
            </a:graphic>
          </wp:inline>
        </w:drawing>
      </w:r>
      <w:r w:rsidR="004C50F9" w:rsidRPr="000665B0">
        <w:t xml:space="preserve"> on the toolbar</w:t>
      </w:r>
      <w:r w:rsidRPr="000665B0">
        <w:t xml:space="preserve">. This function searches for a specific item or items in the current List View. It </w:t>
      </w:r>
      <w:r w:rsidRPr="000665B0">
        <w:rPr>
          <w:b/>
        </w:rPr>
        <w:t>does not</w:t>
      </w:r>
      <w:r w:rsidRPr="000665B0">
        <w:t xml:space="preserve"> search the database. Search results are displayed as a subset of the previous list and inherit the same functionality.</w:t>
      </w:r>
    </w:p>
    <w:p w14:paraId="07204000" w14:textId="3723538D" w:rsidR="00BB2836" w:rsidRPr="000665B0" w:rsidRDefault="0088474D" w:rsidP="009570CA">
      <w:pPr>
        <w:spacing w:after="240"/>
        <w:jc w:val="center"/>
      </w:pPr>
      <w:r w:rsidRPr="000665B0">
        <w:rPr>
          <w:noProof/>
        </w:rPr>
        <w:lastRenderedPageBreak/>
        <w:drawing>
          <wp:inline distT="0" distB="0" distL="0" distR="0" wp14:anchorId="29FCD6AC" wp14:editId="259AFF93">
            <wp:extent cx="1371600" cy="429768"/>
            <wp:effectExtent l="0" t="0" r="0" b="0"/>
            <wp:docPr id="1420" name="Picture 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371600" cy="429768"/>
                    </a:xfrm>
                    <a:prstGeom prst="rect">
                      <a:avLst/>
                    </a:prstGeom>
                  </pic:spPr>
                </pic:pic>
              </a:graphicData>
            </a:graphic>
          </wp:inline>
        </w:drawing>
      </w:r>
    </w:p>
    <w:p w14:paraId="49C71E5C" w14:textId="77777777" w:rsidR="00513F3C" w:rsidRPr="000665B0" w:rsidRDefault="00513F3C" w:rsidP="009570CA">
      <w:r w:rsidRPr="000665B0">
        <w:t>Several options can be selected to narrow the search criteria:</w:t>
      </w:r>
    </w:p>
    <w:p w14:paraId="76E49360" w14:textId="77777777" w:rsidR="00513F3C" w:rsidRPr="000665B0" w:rsidRDefault="00513F3C" w:rsidP="009570CA">
      <w:pPr>
        <w:spacing w:after="240"/>
        <w:jc w:val="center"/>
      </w:pPr>
      <w:r w:rsidRPr="000665B0">
        <w:rPr>
          <w:noProof/>
        </w:rPr>
        <w:drawing>
          <wp:inline distT="0" distB="0" distL="0" distR="0" wp14:anchorId="375A6D27" wp14:editId="3157F982">
            <wp:extent cx="3154680" cy="987552"/>
            <wp:effectExtent l="0" t="0" r="0" b="0"/>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987552"/>
                    </a:xfrm>
                    <a:prstGeom prst="rect">
                      <a:avLst/>
                    </a:prstGeom>
                  </pic:spPr>
                </pic:pic>
              </a:graphicData>
            </a:graphic>
          </wp:inline>
        </w:drawing>
      </w:r>
    </w:p>
    <w:p w14:paraId="39F6AF8E" w14:textId="77777777" w:rsidR="00513F3C" w:rsidRPr="000665B0" w:rsidRDefault="00513F3C" w:rsidP="009570CA">
      <w:r w:rsidRPr="000665B0">
        <w:t>Wildcard characters such as the asterisk (</w:t>
      </w:r>
      <w:r w:rsidRPr="000665B0">
        <w:rPr>
          <w:b/>
        </w:rPr>
        <w:t>*</w:t>
      </w:r>
      <w:r w:rsidRPr="000665B0">
        <w:t>) and question mark (</w:t>
      </w:r>
      <w:r w:rsidRPr="000665B0">
        <w:rPr>
          <w:b/>
        </w:rPr>
        <w:t>?</w:t>
      </w:r>
      <w:r w:rsidRPr="000665B0">
        <w:t xml:space="preserve">) are not supported in the search string. However, the </w:t>
      </w:r>
      <w:r w:rsidRPr="000665B0">
        <w:rPr>
          <w:b/>
        </w:rPr>
        <w:t>Find</w:t>
      </w:r>
      <w:r w:rsidRPr="000665B0">
        <w:t xml:space="preserve"> function returns all instances of the exact characters entered into the </w:t>
      </w:r>
      <w:r w:rsidRPr="000665B0">
        <w:rPr>
          <w:b/>
        </w:rPr>
        <w:t>Find what</w:t>
      </w:r>
      <w:r w:rsidRPr="000665B0">
        <w:t xml:space="preserve"> field, including characters that occur before and after the characters entered, as in the example below: </w:t>
      </w:r>
    </w:p>
    <w:p w14:paraId="6149080F" w14:textId="6B48F9B3" w:rsidR="00513F3C" w:rsidRPr="000665B0" w:rsidRDefault="00513F3C" w:rsidP="009570CA">
      <w:pPr>
        <w:spacing w:after="240"/>
        <w:jc w:val="center"/>
      </w:pPr>
      <w:r w:rsidRPr="000665B0">
        <w:rPr>
          <w:noProof/>
        </w:rPr>
        <w:drawing>
          <wp:inline distT="0" distB="0" distL="0" distR="0" wp14:anchorId="437FD49B" wp14:editId="68B6FD55">
            <wp:extent cx="3154680" cy="2340864"/>
            <wp:effectExtent l="0" t="0" r="0" b="0"/>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2340864"/>
                    </a:xfrm>
                    <a:prstGeom prst="rect">
                      <a:avLst/>
                    </a:prstGeom>
                  </pic:spPr>
                </pic:pic>
              </a:graphicData>
            </a:graphic>
          </wp:inline>
        </w:drawing>
      </w:r>
    </w:p>
    <w:p w14:paraId="53FF4F92" w14:textId="77777777" w:rsidR="00B15312" w:rsidRPr="000665B0" w:rsidRDefault="00B15312" w:rsidP="00E22BFB">
      <w:pPr>
        <w:pStyle w:val="Heading4"/>
        <w:keepLines/>
      </w:pPr>
      <w:bookmarkStart w:id="739" w:name="_Plugin__Tool"/>
      <w:bookmarkStart w:id="740" w:name="_Toc171731907"/>
      <w:bookmarkEnd w:id="739"/>
      <w:r w:rsidRPr="000665B0">
        <w:t>Plugin Tool</w:t>
      </w:r>
    </w:p>
    <w:p w14:paraId="049C7E11" w14:textId="10FB50C4" w:rsidR="00B15312" w:rsidRPr="000665B0" w:rsidRDefault="00B15312" w:rsidP="009570CA">
      <w:r w:rsidRPr="000665B0">
        <w:t xml:space="preserve">This </w:t>
      </w:r>
      <w:r w:rsidR="00271A45" w:rsidRPr="000665B0">
        <w:t>tool</w:t>
      </w:r>
      <w:r w:rsidRPr="000665B0">
        <w:t xml:space="preserve"> provides the ability to install and remove Dynamic-Link Library (DLL) application files. The user must be a member of the Administrators group </w:t>
      </w:r>
      <w:r w:rsidR="000D6820" w:rsidRPr="000665B0">
        <w:t xml:space="preserve">and the MDS application must be executed using </w:t>
      </w:r>
      <w:r w:rsidR="000D6820" w:rsidRPr="000665B0">
        <w:rPr>
          <w:b/>
        </w:rPr>
        <w:t>Run as administrator</w:t>
      </w:r>
      <w:r w:rsidRPr="000665B0">
        <w:t xml:space="preserve">. </w:t>
      </w:r>
    </w:p>
    <w:p w14:paraId="029D067B" w14:textId="77777777" w:rsidR="00B15312" w:rsidRPr="000665B0" w:rsidRDefault="00B15312" w:rsidP="009570CA">
      <w:r w:rsidRPr="000665B0">
        <w:t>To install a DLL application file:</w:t>
      </w:r>
    </w:p>
    <w:p w14:paraId="5D0E47EA" w14:textId="77777777" w:rsidR="00B15312" w:rsidRPr="000665B0" w:rsidRDefault="00B15312" w:rsidP="006D5A65">
      <w:pPr>
        <w:pStyle w:val="Heading1"/>
      </w:pPr>
      <w:r w:rsidRPr="000665B0">
        <w:t>From the Tools menu select Plugin Tool.</w:t>
      </w:r>
    </w:p>
    <w:p w14:paraId="07E9D4CC" w14:textId="77777777" w:rsidR="00B15312" w:rsidRPr="000665B0" w:rsidRDefault="00B15312" w:rsidP="009570CA">
      <w:pPr>
        <w:pStyle w:val="Number0205"/>
        <w:ind w:left="0" w:firstLine="0"/>
        <w:jc w:val="center"/>
      </w:pPr>
      <w:r w:rsidRPr="000665B0">
        <w:rPr>
          <w:noProof/>
        </w:rPr>
        <w:drawing>
          <wp:inline distT="0" distB="0" distL="0" distR="0" wp14:anchorId="49638933" wp14:editId="69C9912E">
            <wp:extent cx="1371600" cy="50292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371600" cy="502920"/>
                    </a:xfrm>
                    <a:prstGeom prst="rect">
                      <a:avLst/>
                    </a:prstGeom>
                  </pic:spPr>
                </pic:pic>
              </a:graphicData>
            </a:graphic>
          </wp:inline>
        </w:drawing>
      </w:r>
    </w:p>
    <w:p w14:paraId="30955919" w14:textId="77777777" w:rsidR="00B15312" w:rsidRPr="000665B0" w:rsidRDefault="00B15312" w:rsidP="006D5A65">
      <w:pPr>
        <w:pStyle w:val="Heading1"/>
      </w:pPr>
      <w:r w:rsidRPr="000665B0">
        <w:lastRenderedPageBreak/>
        <w:t xml:space="preserve">The </w:t>
      </w:r>
      <w:r w:rsidRPr="000665B0">
        <w:rPr>
          <w:i/>
        </w:rPr>
        <w:t>Plugin Tool</w:t>
      </w:r>
      <w:r w:rsidRPr="000665B0">
        <w:t xml:space="preserve"> window is displayed.</w:t>
      </w:r>
    </w:p>
    <w:p w14:paraId="6C87D664" w14:textId="31B9C518" w:rsidR="00B15312" w:rsidRPr="000665B0" w:rsidRDefault="00BC5DB0" w:rsidP="009570CA">
      <w:pPr>
        <w:pStyle w:val="Number0205"/>
        <w:ind w:left="0" w:firstLine="0"/>
        <w:jc w:val="center"/>
      </w:pPr>
      <w:r w:rsidRPr="000665B0">
        <w:rPr>
          <w:noProof/>
        </w:rPr>
        <w:drawing>
          <wp:inline distT="0" distB="0" distL="0" distR="0" wp14:anchorId="3ECAE716" wp14:editId="091007C5">
            <wp:extent cx="2286000" cy="1225296"/>
            <wp:effectExtent l="0" t="0" r="0" b="0"/>
            <wp:docPr id="249" name="Picture 249" descr="cid:image001.png@01D3C1D1.A5E6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3C1D1.A5E63710"/>
                    <pic:cNvPicPr>
                      <a:picLocks noChangeAspect="1" noChangeArrowheads="1"/>
                    </pic:cNvPicPr>
                  </pic:nvPicPr>
                  <pic:blipFill>
                    <a:blip r:link="rId17" cstate="screen">
                      <a:extLst>
                        <a:ext uri="{28A0092B-C50C-407E-A947-70E740481C1C}">
                          <a14:useLocalDpi xmlns:a14="http://schemas.microsoft.com/office/drawing/2010/main"/>
                        </a:ext>
                      </a:extLst>
                    </a:blip>
                    <a:srcRect/>
                    <a:stretch>
                      <a:fillRect/>
                    </a:stretch>
                  </pic:blipFill>
                  <pic:spPr bwMode="auto">
                    <a:xfrm>
                      <a:off x="0" y="0"/>
                      <a:ext cx="2286000" cy="1225296"/>
                    </a:xfrm>
                    <a:prstGeom prst="rect">
                      <a:avLst/>
                    </a:prstGeom>
                    <a:noFill/>
                    <a:ln>
                      <a:noFill/>
                    </a:ln>
                  </pic:spPr>
                </pic:pic>
              </a:graphicData>
            </a:graphic>
          </wp:inline>
        </w:drawing>
      </w:r>
    </w:p>
    <w:p w14:paraId="3238B104" w14:textId="76E51917" w:rsidR="00B15312" w:rsidRPr="000665B0" w:rsidRDefault="00B15312" w:rsidP="006D5A65">
      <w:pPr>
        <w:pStyle w:val="Heading1"/>
      </w:pPr>
      <w:r w:rsidRPr="000665B0">
        <w:t>Enter the Product Key</w:t>
      </w:r>
      <w:r w:rsidR="00C218D6" w:rsidRPr="000665B0">
        <w:t xml:space="preserve"> (see </w:t>
      </w:r>
      <w:r w:rsidR="00323CAF" w:rsidRPr="000665B0">
        <w:t xml:space="preserve">Procedure for Installing/Uninstalling TMPC </w:t>
      </w:r>
      <w:r w:rsidR="00E966FD" w:rsidRPr="000665B0">
        <w:t>7</w:t>
      </w:r>
      <w:r w:rsidR="00323CAF" w:rsidRPr="000665B0">
        <w:t>.0 Quick Strike Plugin</w:t>
      </w:r>
      <w:r w:rsidR="00C218D6" w:rsidRPr="000665B0">
        <w:t>, UD-</w:t>
      </w:r>
      <w:r w:rsidR="00FB1CA2" w:rsidRPr="000665B0">
        <w:t>04800</w:t>
      </w:r>
      <w:r w:rsidR="00C218D6" w:rsidRPr="000665B0">
        <w:t>)</w:t>
      </w:r>
      <w:r w:rsidRPr="000665B0">
        <w:t xml:space="preserve"> and click Save.</w:t>
      </w:r>
    </w:p>
    <w:p w14:paraId="43EBB581" w14:textId="22AD1343" w:rsidR="00B15312" w:rsidRPr="000665B0" w:rsidRDefault="00B15312" w:rsidP="006D5A65">
      <w:pPr>
        <w:pStyle w:val="Heading1"/>
      </w:pPr>
      <w:r w:rsidRPr="000665B0">
        <w:t xml:space="preserve">The </w:t>
      </w:r>
      <w:r w:rsidRPr="000665B0">
        <w:rPr>
          <w:i/>
        </w:rPr>
        <w:t>Application Installed</w:t>
      </w:r>
      <w:r w:rsidR="00996D6C" w:rsidRPr="000665B0">
        <w:rPr>
          <w:i/>
        </w:rPr>
        <w:t>/Uninstalled</w:t>
      </w:r>
      <w:r w:rsidRPr="000665B0">
        <w:t xml:space="preserve"> window is displayed to confirm the installation.</w:t>
      </w:r>
    </w:p>
    <w:p w14:paraId="449EE18A" w14:textId="77777777" w:rsidR="00B15312" w:rsidRPr="000665B0" w:rsidRDefault="00B15312" w:rsidP="006D5A65">
      <w:pPr>
        <w:pStyle w:val="Heading1"/>
      </w:pPr>
      <w:r w:rsidRPr="000665B0">
        <w:t>Restart MDS for the changes to take effect.</w:t>
      </w:r>
    </w:p>
    <w:p w14:paraId="1E3F5682" w14:textId="77777777" w:rsidR="00B15312" w:rsidRPr="000665B0" w:rsidRDefault="00B15312" w:rsidP="009570CA">
      <w:pPr>
        <w:keepNext/>
      </w:pPr>
      <w:r w:rsidRPr="000665B0">
        <w:t>To remove a DLL application file:</w:t>
      </w:r>
    </w:p>
    <w:p w14:paraId="7EE677DD" w14:textId="77777777" w:rsidR="00B15312" w:rsidRPr="000665B0" w:rsidRDefault="00B15312" w:rsidP="006D5A65">
      <w:pPr>
        <w:pStyle w:val="Heading1"/>
      </w:pPr>
      <w:r w:rsidRPr="000665B0">
        <w:t>From the Tools menu select Plugin Tool.</w:t>
      </w:r>
    </w:p>
    <w:p w14:paraId="6A9153CA" w14:textId="77777777" w:rsidR="00B15312" w:rsidRPr="000665B0" w:rsidRDefault="00B15312" w:rsidP="006D5A65">
      <w:pPr>
        <w:pStyle w:val="Heading1"/>
      </w:pPr>
      <w:r w:rsidRPr="000665B0">
        <w:t xml:space="preserve">The </w:t>
      </w:r>
      <w:r w:rsidRPr="000665B0">
        <w:rPr>
          <w:i/>
        </w:rPr>
        <w:t>Plugin Tool</w:t>
      </w:r>
      <w:r w:rsidRPr="000665B0">
        <w:t xml:space="preserve"> window is displayed.</w:t>
      </w:r>
    </w:p>
    <w:p w14:paraId="64486BFC" w14:textId="1DE2E12B" w:rsidR="00B15312" w:rsidRPr="000665B0" w:rsidRDefault="00B15312" w:rsidP="006D5A65">
      <w:pPr>
        <w:pStyle w:val="Heading1"/>
      </w:pPr>
      <w:r w:rsidRPr="000665B0">
        <w:t xml:space="preserve">Select the desired DLL from the Remove Application </w:t>
      </w:r>
      <w:r w:rsidR="000D6820" w:rsidRPr="000665B0">
        <w:t>pulldown menu</w:t>
      </w:r>
      <w:r w:rsidRPr="000665B0">
        <w:t xml:space="preserve"> and click Save.</w:t>
      </w:r>
    </w:p>
    <w:p w14:paraId="6C707EF2" w14:textId="78199E6A" w:rsidR="00996D6C" w:rsidRPr="000665B0" w:rsidRDefault="00996D6C" w:rsidP="006D5A65">
      <w:pPr>
        <w:pStyle w:val="Heading1"/>
      </w:pPr>
      <w:r w:rsidRPr="000665B0">
        <w:t xml:space="preserve">The </w:t>
      </w:r>
      <w:r w:rsidRPr="000665B0">
        <w:rPr>
          <w:i/>
        </w:rPr>
        <w:t>Application Installed/Uninstalled</w:t>
      </w:r>
      <w:r w:rsidRPr="000665B0">
        <w:t xml:space="preserve"> window is displayed to confirm the removal.</w:t>
      </w:r>
    </w:p>
    <w:p w14:paraId="121C8D96" w14:textId="32C2EBE2" w:rsidR="00996D6C" w:rsidRPr="000665B0" w:rsidRDefault="00996D6C" w:rsidP="006D5A65">
      <w:pPr>
        <w:pStyle w:val="Heading1"/>
      </w:pPr>
      <w:r w:rsidRPr="000665B0">
        <w:t>Restart MDS for the changes to take effect.</w:t>
      </w:r>
    </w:p>
    <w:p w14:paraId="7B43FC50" w14:textId="6D6F3C22" w:rsidR="00BB2836" w:rsidRPr="000665B0" w:rsidRDefault="00BB2836" w:rsidP="009570CA">
      <w:pPr>
        <w:pStyle w:val="Heading3"/>
      </w:pPr>
      <w:bookmarkStart w:id="741" w:name="_Toc214283137"/>
      <w:r w:rsidRPr="000665B0">
        <w:t>Help Menu</w:t>
      </w:r>
      <w:bookmarkEnd w:id="740"/>
      <w:bookmarkEnd w:id="741"/>
    </w:p>
    <w:p w14:paraId="7A3391BA" w14:textId="77777777" w:rsidR="00BB2836" w:rsidRPr="000665B0" w:rsidRDefault="00BB2836" w:rsidP="009570CA">
      <w:r w:rsidRPr="000665B0">
        <w:t>This menu allows the operator to acquire assistance in software functionality.</w:t>
      </w:r>
    </w:p>
    <w:p w14:paraId="276A98C3" w14:textId="10559A9D" w:rsidR="00BB2836" w:rsidRPr="000665B0" w:rsidRDefault="0088474D" w:rsidP="009570CA">
      <w:pPr>
        <w:spacing w:after="0"/>
        <w:jc w:val="center"/>
      </w:pPr>
      <w:bookmarkStart w:id="742" w:name="_Hlk141284164"/>
      <w:r w:rsidRPr="000665B0">
        <w:rPr>
          <w:noProof/>
        </w:rPr>
        <w:drawing>
          <wp:inline distT="0" distB="0" distL="0" distR="0" wp14:anchorId="2344CCA0" wp14:editId="79A3055B">
            <wp:extent cx="1371600" cy="79552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371600" cy="795528"/>
                    </a:xfrm>
                    <a:prstGeom prst="rect">
                      <a:avLst/>
                    </a:prstGeom>
                  </pic:spPr>
                </pic:pic>
              </a:graphicData>
            </a:graphic>
          </wp:inline>
        </w:drawing>
      </w:r>
    </w:p>
    <w:p w14:paraId="3F7344FC" w14:textId="1C99EEF2" w:rsidR="00BB2836" w:rsidRPr="000665B0" w:rsidRDefault="00BB2836" w:rsidP="00E22BFB">
      <w:pPr>
        <w:pStyle w:val="Heading4"/>
        <w:keepLines/>
      </w:pPr>
      <w:bookmarkStart w:id="743" w:name="_Toc171731908"/>
      <w:bookmarkEnd w:id="742"/>
      <w:r w:rsidRPr="000665B0">
        <w:t>MDS Help</w:t>
      </w:r>
      <w:bookmarkEnd w:id="743"/>
    </w:p>
    <w:p w14:paraId="442A50B6" w14:textId="77777777" w:rsidR="00BB2836" w:rsidRPr="000665B0" w:rsidRDefault="00BB2836" w:rsidP="009570CA">
      <w:pPr>
        <w:spacing w:after="0"/>
      </w:pPr>
      <w:r w:rsidRPr="000665B0">
        <w:t xml:space="preserve">By selecting this option, the operator can retrieve the proper procedures for MDS functionality by either choosing the </w:t>
      </w:r>
      <w:r w:rsidRPr="000665B0">
        <w:rPr>
          <w:b/>
          <w:i/>
        </w:rPr>
        <w:t>Contents</w:t>
      </w:r>
      <w:r w:rsidRPr="000665B0">
        <w:t xml:space="preserve">, </w:t>
      </w:r>
      <w:r w:rsidRPr="000665B0">
        <w:rPr>
          <w:b/>
          <w:i/>
        </w:rPr>
        <w:t>Index</w:t>
      </w:r>
      <w:r w:rsidR="008C7CE9" w:rsidRPr="000665B0">
        <w:t>,</w:t>
      </w:r>
      <w:r w:rsidRPr="000665B0">
        <w:t xml:space="preserve"> or </w:t>
      </w:r>
      <w:r w:rsidRPr="000665B0">
        <w:rPr>
          <w:b/>
          <w:i/>
        </w:rPr>
        <w:t>Search</w:t>
      </w:r>
      <w:r w:rsidRPr="000665B0">
        <w:t xml:space="preserve"> tabs.</w:t>
      </w:r>
    </w:p>
    <w:p w14:paraId="266735CD" w14:textId="58708537" w:rsidR="00BB2836" w:rsidRPr="000665B0" w:rsidRDefault="00BB2836" w:rsidP="009570CA">
      <w:pPr>
        <w:pStyle w:val="Heading4"/>
      </w:pPr>
      <w:bookmarkStart w:id="744" w:name="_Toc171731909"/>
      <w:r w:rsidRPr="000665B0">
        <w:t>Toolbox Specific Help</w:t>
      </w:r>
      <w:bookmarkEnd w:id="744"/>
    </w:p>
    <w:p w14:paraId="6087D196" w14:textId="77777777" w:rsidR="00BB2836" w:rsidRPr="000665B0" w:rsidRDefault="00BB2836" w:rsidP="009570CA">
      <w:pPr>
        <w:spacing w:after="0"/>
      </w:pPr>
      <w:r w:rsidRPr="000665B0">
        <w:t xml:space="preserve">While using a specific function, </w:t>
      </w:r>
      <w:r w:rsidR="00AD5C65" w:rsidRPr="000665B0">
        <w:t xml:space="preserve">clicking </w:t>
      </w:r>
      <w:r w:rsidRPr="000665B0">
        <w:rPr>
          <w:b/>
          <w:bCs/>
        </w:rPr>
        <w:t>Help</w:t>
      </w:r>
      <w:r w:rsidRPr="000665B0">
        <w:t xml:space="preserve"> display</w:t>
      </w:r>
      <w:r w:rsidR="00931B38" w:rsidRPr="000665B0">
        <w:t>s</w:t>
      </w:r>
      <w:r w:rsidRPr="000665B0">
        <w:t xml:space="preserve"> </w:t>
      </w:r>
      <w:r w:rsidRPr="000665B0">
        <w:rPr>
          <w:b/>
          <w:bCs/>
        </w:rPr>
        <w:t>Help</w:t>
      </w:r>
      <w:r w:rsidRPr="000665B0">
        <w:t xml:space="preserve"> </w:t>
      </w:r>
      <w:r w:rsidR="00AD5C65" w:rsidRPr="000665B0">
        <w:t xml:space="preserve">specifically </w:t>
      </w:r>
      <w:r w:rsidRPr="000665B0">
        <w:t xml:space="preserve">for that function. For example, while in the Missions list display, Mission Help is available for selection from the </w:t>
      </w:r>
      <w:r w:rsidRPr="000665B0">
        <w:rPr>
          <w:b/>
        </w:rPr>
        <w:t>Help</w:t>
      </w:r>
      <w:r w:rsidRPr="000665B0">
        <w:t xml:space="preserve"> menu.</w:t>
      </w:r>
    </w:p>
    <w:p w14:paraId="558058B5" w14:textId="6FB37DDF" w:rsidR="00BB2836" w:rsidRPr="000665B0" w:rsidRDefault="00BB2836" w:rsidP="009570CA">
      <w:pPr>
        <w:pStyle w:val="Heading4"/>
        <w:keepNext w:val="0"/>
      </w:pPr>
      <w:bookmarkStart w:id="745" w:name="_Toc171731910"/>
      <w:r w:rsidRPr="000665B0">
        <w:t>About MDS</w:t>
      </w:r>
      <w:bookmarkEnd w:id="745"/>
    </w:p>
    <w:p w14:paraId="37D80334" w14:textId="77777777" w:rsidR="00BB2836" w:rsidRPr="000665B0" w:rsidRDefault="004F0274" w:rsidP="009570CA">
      <w:pPr>
        <w:spacing w:after="0"/>
      </w:pPr>
      <w:r w:rsidRPr="000665B0">
        <w:lastRenderedPageBreak/>
        <w:t xml:space="preserve">Select </w:t>
      </w:r>
      <w:r w:rsidRPr="000665B0">
        <w:rPr>
          <w:b/>
        </w:rPr>
        <w:t xml:space="preserve">Help </w:t>
      </w:r>
      <w:r w:rsidRPr="000665B0">
        <w:rPr>
          <w:b/>
        </w:rPr>
        <w:sym w:font="Wingdings" w:char="F0E0"/>
      </w:r>
      <w:r w:rsidRPr="000665B0">
        <w:rPr>
          <w:b/>
        </w:rPr>
        <w:t xml:space="preserve"> About MDS</w:t>
      </w:r>
      <w:r w:rsidRPr="000665B0">
        <w:t xml:space="preserve"> to </w:t>
      </w:r>
      <w:r w:rsidR="00BB2836" w:rsidRPr="000665B0">
        <w:t xml:space="preserve">display </w:t>
      </w:r>
      <w:r w:rsidRPr="000665B0">
        <w:t>the</w:t>
      </w:r>
      <w:r w:rsidR="00BB2836" w:rsidRPr="000665B0">
        <w:t xml:space="preserve"> version number of the MDS software and its associated components.</w:t>
      </w:r>
    </w:p>
    <w:p w14:paraId="74FFA77F" w14:textId="5F62DD5C" w:rsidR="00BB2836" w:rsidRPr="000665B0" w:rsidRDefault="00BB2836" w:rsidP="009570CA">
      <w:pPr>
        <w:pStyle w:val="Heading3"/>
        <w:keepNext w:val="0"/>
      </w:pPr>
      <w:bookmarkStart w:id="746" w:name="_5.2.7__Edit"/>
      <w:bookmarkStart w:id="747" w:name="_Toc171731912"/>
      <w:bookmarkStart w:id="748" w:name="_Toc214283138"/>
      <w:bookmarkEnd w:id="746"/>
      <w:r w:rsidRPr="000665B0">
        <w:t>Edit Classification</w:t>
      </w:r>
      <w:bookmarkEnd w:id="747"/>
      <w:bookmarkEnd w:id="748"/>
    </w:p>
    <w:p w14:paraId="0EC9A987" w14:textId="77777777" w:rsidR="00BB2836" w:rsidRPr="000665B0" w:rsidRDefault="00BB2836" w:rsidP="006D5A65">
      <w:pPr>
        <w:pStyle w:val="Heading1"/>
        <w:rPr>
          <w:noProof/>
          <w:szCs w:val="24"/>
        </w:rPr>
      </w:pPr>
      <w:r w:rsidRPr="000665B0">
        <w:t xml:space="preserve">If it is required to change the classification, click the </w:t>
      </w:r>
      <w:r w:rsidRPr="000665B0">
        <w:rPr>
          <w:bCs/>
        </w:rPr>
        <w:t>EDIT</w:t>
      </w:r>
      <w:r w:rsidRPr="000665B0">
        <w:t xml:space="preserve"> button and select the classification from the drop-down menu of the </w:t>
      </w:r>
      <w:r w:rsidRPr="000665B0">
        <w:rPr>
          <w:i/>
        </w:rPr>
        <w:t xml:space="preserve">Edit Classification </w:t>
      </w:r>
      <w:r w:rsidRPr="000665B0">
        <w:t xml:space="preserve">window. </w:t>
      </w:r>
    </w:p>
    <w:p w14:paraId="69795337" w14:textId="5E20F1BE" w:rsidR="00BB2836" w:rsidRPr="000665B0" w:rsidRDefault="00D76F55" w:rsidP="009570CA">
      <w:pPr>
        <w:jc w:val="center"/>
        <w:rPr>
          <w:noProof/>
        </w:rPr>
      </w:pPr>
      <w:r w:rsidRPr="00BC23F7">
        <w:rPr>
          <w:noProof/>
        </w:rPr>
        <w:drawing>
          <wp:inline distT="0" distB="0" distL="0" distR="0" wp14:anchorId="53600962" wp14:editId="5C34B92D">
            <wp:extent cx="2264161" cy="1170293"/>
            <wp:effectExtent l="0" t="0" r="0" b="0"/>
            <wp:docPr id="784415053"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15053" name="Picture 1" descr="Graphical user interface, text, application&#10;&#10;Description automatically generated"/>
                    <pic:cNvPicPr/>
                  </pic:nvPicPr>
                  <pic:blipFill>
                    <a:blip/>
                    <a:stretch>
                      <a:fillRect/>
                    </a:stretch>
                  </pic:blipFill>
                  <pic:spPr>
                    <a:xfrm>
                      <a:off x="0" y="0"/>
                      <a:ext cx="2297179" cy="1187359"/>
                    </a:xfrm>
                    <a:prstGeom prst="rect">
                      <a:avLst/>
                    </a:prstGeom>
                  </pic:spPr>
                </pic:pic>
              </a:graphicData>
            </a:graphic>
          </wp:inline>
        </w:drawing>
      </w:r>
    </w:p>
    <w:p w14:paraId="6E7A6781" w14:textId="77777777" w:rsidR="00BB2836" w:rsidRPr="000665B0" w:rsidRDefault="00BB2836" w:rsidP="006D5A65">
      <w:pPr>
        <w:pStyle w:val="Heading1"/>
      </w:pPr>
      <w:r w:rsidRPr="000665B0">
        <w:t xml:space="preserve">Select all appropriate qualifiers using the drop-down menu items in the </w:t>
      </w:r>
      <w:r w:rsidRPr="000665B0">
        <w:rPr>
          <w:i/>
        </w:rPr>
        <w:t xml:space="preserve">Edit Classification </w:t>
      </w:r>
      <w:r w:rsidRPr="000665B0">
        <w:t>window. (These items remain unavailable if the classification has not been determined or if Unclassified is selected.)</w:t>
      </w:r>
    </w:p>
    <w:p w14:paraId="68E1A9BC" w14:textId="77777777" w:rsidR="00BB2836" w:rsidRPr="000665B0" w:rsidRDefault="00BB2836" w:rsidP="006D5A65">
      <w:pPr>
        <w:pStyle w:val="Heading1"/>
      </w:pPr>
      <w:r w:rsidRPr="000665B0">
        <w:t>Domain Level – Indicates the highest level of compartmented data within a given record.</w:t>
      </w:r>
      <w:r w:rsidRPr="000665B0" w:rsidDel="009E2790">
        <w:t xml:space="preserve"> </w:t>
      </w:r>
      <w:r w:rsidRPr="000665B0">
        <w:t>Choices are:</w:t>
      </w:r>
    </w:p>
    <w:p w14:paraId="34398476" w14:textId="77777777" w:rsidR="00BB2836" w:rsidRPr="000665B0" w:rsidRDefault="00BB2836" w:rsidP="009570CA">
      <w:pPr>
        <w:pStyle w:val="Number0205"/>
        <w:ind w:left="1440" w:firstLine="0"/>
      </w:pPr>
      <w:r w:rsidRPr="000665B0">
        <w:rPr>
          <w:b/>
        </w:rPr>
        <w:t>CO</w:t>
      </w:r>
      <w:r w:rsidRPr="000665B0">
        <w:t xml:space="preserve"> – Collateral Noncompartmented Level (default)</w:t>
      </w:r>
    </w:p>
    <w:p w14:paraId="1D9B83AD" w14:textId="78C5C8DC" w:rsidR="00BB2836" w:rsidRPr="000665B0" w:rsidRDefault="00BB2836" w:rsidP="009570CA">
      <w:pPr>
        <w:pStyle w:val="Number0205"/>
        <w:ind w:left="1440" w:firstLine="0"/>
        <w:rPr>
          <w:szCs w:val="24"/>
        </w:rPr>
      </w:pPr>
      <w:r w:rsidRPr="000665B0">
        <w:rPr>
          <w:b/>
          <w:szCs w:val="24"/>
        </w:rPr>
        <w:t>SI</w:t>
      </w:r>
      <w:r w:rsidRPr="000665B0">
        <w:rPr>
          <w:szCs w:val="24"/>
        </w:rPr>
        <w:t xml:space="preserve"> </w:t>
      </w:r>
      <w:r w:rsidRPr="000665B0">
        <w:t>–</w:t>
      </w:r>
      <w:r w:rsidRPr="000665B0">
        <w:rPr>
          <w:szCs w:val="24"/>
        </w:rPr>
        <w:t xml:space="preserve"> Special Intelligence</w:t>
      </w:r>
    </w:p>
    <w:p w14:paraId="72175165" w14:textId="4F36E169" w:rsidR="00BB2836" w:rsidRPr="000665B0" w:rsidRDefault="00BB2836" w:rsidP="009570CA">
      <w:pPr>
        <w:pStyle w:val="Number0205"/>
        <w:ind w:left="1440" w:firstLine="0"/>
        <w:rPr>
          <w:szCs w:val="24"/>
        </w:rPr>
      </w:pPr>
      <w:r w:rsidRPr="000665B0">
        <w:rPr>
          <w:b/>
          <w:szCs w:val="24"/>
        </w:rPr>
        <w:t>SA</w:t>
      </w:r>
      <w:r w:rsidRPr="000665B0">
        <w:rPr>
          <w:szCs w:val="24"/>
        </w:rPr>
        <w:t xml:space="preserve"> </w:t>
      </w:r>
      <w:r w:rsidRPr="000665B0">
        <w:t>–</w:t>
      </w:r>
      <w:r w:rsidRPr="000665B0">
        <w:rPr>
          <w:szCs w:val="24"/>
        </w:rPr>
        <w:t>Special Activity Office</w:t>
      </w:r>
    </w:p>
    <w:p w14:paraId="039A8FD3" w14:textId="77777777" w:rsidR="00BB2836" w:rsidRPr="000665B0" w:rsidRDefault="00BB2836" w:rsidP="006D5A65">
      <w:pPr>
        <w:pStyle w:val="Heading1"/>
      </w:pPr>
      <w:r w:rsidRPr="000665B0">
        <w:t>CodeWord – Indicates the appropriate control channels associated with a physical records classification.</w:t>
      </w:r>
      <w:r w:rsidRPr="000665B0" w:rsidDel="009E2790">
        <w:t xml:space="preserve"> </w:t>
      </w:r>
      <w:r w:rsidRPr="000665B0">
        <w:t xml:space="preserve">Choices are: </w:t>
      </w:r>
    </w:p>
    <w:p w14:paraId="5B8C3624" w14:textId="77777777" w:rsidR="00BB2836" w:rsidRPr="000665B0" w:rsidRDefault="00BB2836" w:rsidP="009570CA">
      <w:pPr>
        <w:pStyle w:val="Number0205"/>
        <w:ind w:left="1440" w:firstLine="0"/>
        <w:rPr>
          <w:lang w:val="de-DE"/>
        </w:rPr>
      </w:pPr>
      <w:r w:rsidRPr="000665B0">
        <w:rPr>
          <w:b/>
          <w:lang w:val="de-DE"/>
        </w:rPr>
        <w:t>0</w:t>
      </w:r>
      <w:r w:rsidRPr="000665B0">
        <w:rPr>
          <w:lang w:val="de-DE"/>
        </w:rPr>
        <w:t xml:space="preserve"> </w:t>
      </w:r>
      <w:r w:rsidRPr="000665B0">
        <w:t>–</w:t>
      </w:r>
      <w:r w:rsidRPr="000665B0">
        <w:rPr>
          <w:lang w:val="de-DE"/>
        </w:rPr>
        <w:t xml:space="preserve"> Collateral,</w:t>
      </w:r>
    </w:p>
    <w:p w14:paraId="2D05EE87" w14:textId="77777777" w:rsidR="00BB2836" w:rsidRPr="000665B0" w:rsidRDefault="00BB2836" w:rsidP="009570CA">
      <w:pPr>
        <w:pStyle w:val="Number0205"/>
        <w:ind w:left="1440" w:firstLine="0"/>
        <w:rPr>
          <w:lang w:val="de-DE"/>
        </w:rPr>
      </w:pPr>
      <w:r w:rsidRPr="000665B0">
        <w:rPr>
          <w:b/>
          <w:lang w:val="de-DE"/>
        </w:rPr>
        <w:t>1</w:t>
      </w:r>
      <w:r w:rsidRPr="000665B0">
        <w:rPr>
          <w:lang w:val="de-DE"/>
        </w:rPr>
        <w:t xml:space="preserve"> – SI – 1/ Codeword #1</w:t>
      </w:r>
    </w:p>
    <w:p w14:paraId="579C76A6" w14:textId="77777777" w:rsidR="00BB2836" w:rsidRPr="000665B0" w:rsidRDefault="00BB2836" w:rsidP="009570CA">
      <w:pPr>
        <w:pStyle w:val="Number0205"/>
        <w:ind w:left="1440" w:firstLine="0"/>
        <w:rPr>
          <w:lang w:val="de-DE"/>
        </w:rPr>
      </w:pPr>
      <w:r w:rsidRPr="000665B0">
        <w:rPr>
          <w:b/>
          <w:lang w:val="de-DE"/>
        </w:rPr>
        <w:t>2</w:t>
      </w:r>
      <w:r w:rsidRPr="000665B0">
        <w:rPr>
          <w:lang w:val="de-DE"/>
        </w:rPr>
        <w:t xml:space="preserve"> – SI – 1/ Codeword #2</w:t>
      </w:r>
    </w:p>
    <w:p w14:paraId="2880B4B1" w14:textId="77777777" w:rsidR="00BB2836" w:rsidRPr="000665B0" w:rsidRDefault="00BB2836" w:rsidP="009570CA">
      <w:pPr>
        <w:pStyle w:val="Number0205"/>
        <w:ind w:left="1440" w:firstLine="0"/>
        <w:rPr>
          <w:lang w:val="de-DE"/>
        </w:rPr>
      </w:pPr>
      <w:r w:rsidRPr="000665B0">
        <w:rPr>
          <w:b/>
          <w:lang w:val="de-DE"/>
        </w:rPr>
        <w:t>3</w:t>
      </w:r>
      <w:r w:rsidRPr="000665B0">
        <w:rPr>
          <w:lang w:val="de-DE"/>
        </w:rPr>
        <w:t xml:space="preserve"> – SI – 1/ Codeword #3</w:t>
      </w:r>
    </w:p>
    <w:p w14:paraId="6CA0C3D6" w14:textId="77777777" w:rsidR="00BB2836" w:rsidRPr="000665B0" w:rsidRDefault="00BB2836" w:rsidP="009570CA">
      <w:pPr>
        <w:pStyle w:val="Number0205"/>
        <w:ind w:left="1440" w:firstLine="0"/>
        <w:rPr>
          <w:lang w:val="de-DE"/>
        </w:rPr>
      </w:pPr>
      <w:r w:rsidRPr="000665B0">
        <w:rPr>
          <w:b/>
          <w:lang w:val="de-DE"/>
        </w:rPr>
        <w:t>4</w:t>
      </w:r>
      <w:r w:rsidRPr="000665B0">
        <w:rPr>
          <w:lang w:val="de-DE"/>
        </w:rPr>
        <w:t xml:space="preserve"> – TK – 1/ Codeword #1</w:t>
      </w:r>
    </w:p>
    <w:p w14:paraId="6E85EB44" w14:textId="77777777" w:rsidR="00BB2836" w:rsidRPr="000665B0" w:rsidRDefault="00BB2836" w:rsidP="009570CA">
      <w:pPr>
        <w:pStyle w:val="Number0205"/>
        <w:ind w:left="1440" w:firstLine="0"/>
        <w:rPr>
          <w:lang w:val="de-DE"/>
        </w:rPr>
      </w:pPr>
      <w:r w:rsidRPr="000665B0">
        <w:rPr>
          <w:b/>
          <w:lang w:val="de-DE"/>
        </w:rPr>
        <w:t>5</w:t>
      </w:r>
      <w:r w:rsidRPr="000665B0">
        <w:rPr>
          <w:lang w:val="de-DE"/>
        </w:rPr>
        <w:t xml:space="preserve"> – TK – 1/ Codeword #2</w:t>
      </w:r>
    </w:p>
    <w:p w14:paraId="229F79BB" w14:textId="77777777" w:rsidR="00BB2836" w:rsidRPr="000665B0" w:rsidRDefault="00BB2836" w:rsidP="009570CA">
      <w:pPr>
        <w:pStyle w:val="Number0205"/>
        <w:ind w:left="1440" w:firstLine="0"/>
        <w:rPr>
          <w:lang w:val="de-DE"/>
        </w:rPr>
      </w:pPr>
      <w:r w:rsidRPr="000665B0">
        <w:rPr>
          <w:b/>
          <w:lang w:val="de-DE"/>
        </w:rPr>
        <w:t>6</w:t>
      </w:r>
      <w:r w:rsidRPr="000665B0">
        <w:rPr>
          <w:lang w:val="de-DE"/>
        </w:rPr>
        <w:t xml:space="preserve"> </w:t>
      </w:r>
      <w:r w:rsidRPr="000665B0">
        <w:t>–</w:t>
      </w:r>
      <w:r w:rsidRPr="000665B0">
        <w:rPr>
          <w:lang w:val="de-DE"/>
        </w:rPr>
        <w:t xml:space="preserve"> TK – 1/ Codeword #3</w:t>
      </w:r>
    </w:p>
    <w:p w14:paraId="5B0DAF4F" w14:textId="77777777" w:rsidR="00BB2836" w:rsidRPr="000665B0" w:rsidRDefault="00BB2836" w:rsidP="009570CA">
      <w:pPr>
        <w:pStyle w:val="Number0205"/>
        <w:ind w:left="1440" w:firstLine="0"/>
      </w:pPr>
      <w:r w:rsidRPr="000665B0">
        <w:rPr>
          <w:b/>
        </w:rPr>
        <w:t>7</w:t>
      </w:r>
      <w:r w:rsidRPr="000665B0">
        <w:t xml:space="preserve"> – TK – 1/ Codeword #4</w:t>
      </w:r>
    </w:p>
    <w:p w14:paraId="370B4244" w14:textId="77777777" w:rsidR="00BB2836" w:rsidRPr="000665B0" w:rsidRDefault="00BB2836" w:rsidP="006D5A65">
      <w:pPr>
        <w:pStyle w:val="Heading1"/>
      </w:pPr>
      <w:r w:rsidRPr="000665B0">
        <w:t>Control Mark – Indicates any special notations (caveats) for special handling restrictions or requirements that are assigned to the data within the record. Choices are:</w:t>
      </w:r>
    </w:p>
    <w:p w14:paraId="45F9F901" w14:textId="77777777" w:rsidR="00BB2836" w:rsidRPr="000665B0" w:rsidRDefault="00BB2836" w:rsidP="009570CA">
      <w:pPr>
        <w:pStyle w:val="Number0205"/>
        <w:ind w:left="1440" w:firstLine="0"/>
      </w:pPr>
      <w:r w:rsidRPr="000665B0">
        <w:rPr>
          <w:b/>
        </w:rPr>
        <w:t>NF</w:t>
      </w:r>
      <w:r w:rsidRPr="000665B0">
        <w:t xml:space="preserve"> – Not Releasable to Foreign Nationals</w:t>
      </w:r>
      <w:r w:rsidR="00930723" w:rsidRPr="000665B0">
        <w:t>—</w:t>
      </w:r>
      <w:r w:rsidR="00F639F3" w:rsidRPr="000665B0">
        <w:t>f</w:t>
      </w:r>
      <w:r w:rsidRPr="000665B0">
        <w:t xml:space="preserve">or US </w:t>
      </w:r>
      <w:r w:rsidR="00F639F3" w:rsidRPr="000665B0">
        <w:t>only</w:t>
      </w:r>
      <w:r w:rsidRPr="000665B0">
        <w:t>.</w:t>
      </w:r>
    </w:p>
    <w:p w14:paraId="21D26E16" w14:textId="77777777" w:rsidR="00BB2836" w:rsidRPr="003C5F60" w:rsidRDefault="00BB2836" w:rsidP="009570CA">
      <w:pPr>
        <w:pStyle w:val="Number0205"/>
        <w:ind w:left="1440" w:firstLine="0"/>
        <w:rPr>
          <w:szCs w:val="24"/>
          <w:lang w:val="da-DK"/>
        </w:rPr>
      </w:pPr>
      <w:r w:rsidRPr="003C5F60">
        <w:rPr>
          <w:b/>
          <w:szCs w:val="24"/>
          <w:lang w:val="da-DK"/>
        </w:rPr>
        <w:lastRenderedPageBreak/>
        <w:t>SI</w:t>
      </w:r>
      <w:r w:rsidRPr="003C5F60">
        <w:rPr>
          <w:szCs w:val="24"/>
          <w:lang w:val="da-DK"/>
        </w:rPr>
        <w:t xml:space="preserve"> </w:t>
      </w:r>
      <w:r w:rsidRPr="003C5F60">
        <w:rPr>
          <w:lang w:val="da-DK"/>
        </w:rPr>
        <w:t>–</w:t>
      </w:r>
      <w:r w:rsidRPr="003C5F60">
        <w:rPr>
          <w:szCs w:val="24"/>
          <w:lang w:val="da-DK"/>
        </w:rPr>
        <w:t xml:space="preserve"> Special Intelligence</w:t>
      </w:r>
    </w:p>
    <w:p w14:paraId="20D609DA" w14:textId="77777777" w:rsidR="00BB2836" w:rsidRPr="003C5F60" w:rsidRDefault="00BB2836" w:rsidP="009570CA">
      <w:pPr>
        <w:pStyle w:val="Number0205"/>
        <w:ind w:left="1440" w:firstLine="0"/>
        <w:rPr>
          <w:lang w:val="da-DK"/>
        </w:rPr>
      </w:pPr>
      <w:r w:rsidRPr="003C5F60">
        <w:rPr>
          <w:b/>
          <w:lang w:val="da-DK"/>
        </w:rPr>
        <w:t>SA</w:t>
      </w:r>
      <w:r w:rsidRPr="003C5F60">
        <w:rPr>
          <w:lang w:val="da-DK"/>
        </w:rPr>
        <w:t xml:space="preserve"> – SI/TK</w:t>
      </w:r>
    </w:p>
    <w:p w14:paraId="4E44AB17" w14:textId="56B7A6F1" w:rsidR="00BB2836" w:rsidRPr="000665B0" w:rsidRDefault="005F42B5" w:rsidP="006D5A65">
      <w:pPr>
        <w:pStyle w:val="Heading1"/>
      </w:pPr>
      <w:r w:rsidRPr="000665B0">
        <w:rPr>
          <w:bCs/>
        </w:rPr>
        <w:t>Declass On Date</w:t>
      </w:r>
      <w:r w:rsidRPr="000665B0">
        <w:t xml:space="preserve"> – The date the record is to be declassified. This field is mandatory when the information is classified. Format is YYYYMMDD. A declassification code of 25X4, 50 years from date produced or generated, has been applied to TMPC data elements in accordance with the Tomahawk Security Classification Guide – SCG ID# 02-071.</w:t>
      </w:r>
      <w:r w:rsidR="0065560E" w:rsidRPr="000665B0">
        <w:t>6</w:t>
      </w:r>
      <w:r w:rsidRPr="000665B0">
        <w:t xml:space="preserve"> dated </w:t>
      </w:r>
      <w:r w:rsidR="0065560E" w:rsidRPr="000665B0">
        <w:t>09</w:t>
      </w:r>
      <w:r w:rsidRPr="000665B0">
        <w:t xml:space="preserve"> </w:t>
      </w:r>
      <w:r w:rsidR="0065560E" w:rsidRPr="000665B0">
        <w:t xml:space="preserve">October </w:t>
      </w:r>
      <w:r w:rsidRPr="000665B0">
        <w:t>201</w:t>
      </w:r>
      <w:r w:rsidR="0065560E" w:rsidRPr="000665B0">
        <w:t>8</w:t>
      </w:r>
      <w:r w:rsidRPr="000665B0">
        <w:t xml:space="preserve">. Therefore, as a convenience, the default date for new records is 50 years from the date the record is created. If this particular TMPC data record carries a Declass On code other than </w:t>
      </w:r>
      <w:r w:rsidR="00D34896" w:rsidRPr="000665B0">
        <w:t>25X4 and</w:t>
      </w:r>
      <w:r w:rsidRPr="000665B0">
        <w:t xml:space="preserve"> requires a Declass On Date not equal to 50 years from the creation date, the user must edit the defaulted date to its applicable value prior to saving the record. Once complete, click </w:t>
      </w:r>
      <w:r w:rsidRPr="000665B0">
        <w:rPr>
          <w:bCs/>
        </w:rPr>
        <w:t>OK</w:t>
      </w:r>
      <w:r w:rsidRPr="000665B0">
        <w:t>.</w:t>
      </w:r>
    </w:p>
    <w:p w14:paraId="3B64625B" w14:textId="77777777" w:rsidR="00BB2836" w:rsidRPr="000665B0" w:rsidRDefault="00BB283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90" w:right="90"/>
        <w:jc w:val="center"/>
        <w:rPr>
          <w:b/>
        </w:rPr>
      </w:pPr>
      <w:r w:rsidRPr="000665B0">
        <w:rPr>
          <w:b/>
        </w:rPr>
        <w:t>Note:</w:t>
      </w:r>
    </w:p>
    <w:p w14:paraId="151DFE19" w14:textId="7DDF66D9" w:rsidR="00BB2836" w:rsidRPr="000665B0" w:rsidRDefault="00BB283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ind w:left="90" w:right="90"/>
        <w:jc w:val="center"/>
        <w:rPr>
          <w:b/>
        </w:rPr>
      </w:pPr>
      <w:r w:rsidRPr="000665B0">
        <w:rPr>
          <w:b/>
        </w:rPr>
        <w:t xml:space="preserve">Declass On </w:t>
      </w:r>
      <w:r w:rsidR="00B11927" w:rsidRPr="000665B0">
        <w:rPr>
          <w:b/>
        </w:rPr>
        <w:t xml:space="preserve">Codes </w:t>
      </w:r>
      <w:r w:rsidRPr="000665B0">
        <w:rPr>
          <w:b/>
        </w:rPr>
        <w:t>(OADR, X1, X2…X8) are no</w:t>
      </w:r>
      <w:r w:rsidR="00B11927" w:rsidRPr="000665B0">
        <w:rPr>
          <w:b/>
        </w:rPr>
        <w:t xml:space="preserve">t currently </w:t>
      </w:r>
      <w:r w:rsidRPr="000665B0">
        <w:rPr>
          <w:b/>
        </w:rPr>
        <w:t>supported.</w:t>
      </w:r>
    </w:p>
    <w:p w14:paraId="3AA9D209" w14:textId="295FF39F" w:rsidR="00BB2836" w:rsidRDefault="00D76F55" w:rsidP="006D5A65">
      <w:pPr>
        <w:pStyle w:val="Heading1"/>
      </w:pPr>
      <w:r w:rsidRPr="0043211C">
        <w:rPr>
          <w:bCs/>
        </w:rPr>
        <w:t>REL TO</w:t>
      </w:r>
      <w:r>
        <w:rPr>
          <w:bCs/>
        </w:rPr>
        <w:t xml:space="preserve"> </w:t>
      </w:r>
      <w:r w:rsidR="00BB2836" w:rsidRPr="000665B0">
        <w:t>–</w:t>
      </w:r>
      <w:r>
        <w:t xml:space="preserve"> (authorized for release to) This is the dissemination control marking(s). This i</w:t>
      </w:r>
      <w:r w:rsidR="00BB2836" w:rsidRPr="000665B0">
        <w:t>ndicates the countries and/or group of countries to which the data within the record is releasable.</w:t>
      </w:r>
      <w:r>
        <w:t xml:space="preserve"> When a value is selected, it is included in the banner line.</w:t>
      </w:r>
    </w:p>
    <w:p w14:paraId="24BA9183" w14:textId="77777777" w:rsidR="00D76F55" w:rsidRPr="00D76F55" w:rsidRDefault="00D76F55" w:rsidP="0043211C">
      <w:pPr>
        <w:jc w:val="center"/>
      </w:pPr>
      <w:r w:rsidRPr="0080656F">
        <w:rPr>
          <w:noProof/>
        </w:rPr>
        <w:drawing>
          <wp:inline distT="0" distB="0" distL="0" distR="0" wp14:anchorId="074AFCF4" wp14:editId="35D26791">
            <wp:extent cx="2668984" cy="504614"/>
            <wp:effectExtent l="0" t="0" r="0" b="0"/>
            <wp:docPr id="1168824939"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24939" name="Picture 1" descr="A picture containing graphical user interface&#10;&#10;Description automatically generated"/>
                    <pic:cNvPicPr/>
                  </pic:nvPicPr>
                  <pic:blipFill>
                    <a:blip/>
                    <a:stretch>
                      <a:fillRect/>
                    </a:stretch>
                  </pic:blipFill>
                  <pic:spPr>
                    <a:xfrm>
                      <a:off x="0" y="0"/>
                      <a:ext cx="2711995" cy="512746"/>
                    </a:xfrm>
                    <a:prstGeom prst="rect">
                      <a:avLst/>
                    </a:prstGeom>
                  </pic:spPr>
                </pic:pic>
              </a:graphicData>
            </a:graphic>
          </wp:inline>
        </w:drawing>
      </w:r>
    </w:p>
    <w:p w14:paraId="246D11A7" w14:textId="77777777" w:rsidR="00D76F55" w:rsidRDefault="00D76F55" w:rsidP="00D76F55">
      <w:pPr>
        <w:jc w:val="center"/>
      </w:pPr>
      <w:r w:rsidRPr="00FB5BEE">
        <w:rPr>
          <w:noProof/>
        </w:rPr>
        <w:drawing>
          <wp:inline distT="0" distB="0" distL="0" distR="0" wp14:anchorId="63EFB81B" wp14:editId="0AFDABBD">
            <wp:extent cx="3930880" cy="201584"/>
            <wp:effectExtent l="0" t="0" r="0" b="0"/>
            <wp:docPr id="1831334185"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49185" name="Picture 1" descr="Graphical user interface, text, application, email&#10;&#10;Description automatically generated"/>
                    <pic:cNvPicPr/>
                  </pic:nvPicPr>
                  <pic:blipFill rotWithShape="1">
                    <a:blip/>
                    <a:srcRect t="17491" b="74945"/>
                    <a:stretch/>
                  </pic:blipFill>
                  <pic:spPr bwMode="auto">
                    <a:xfrm>
                      <a:off x="0" y="0"/>
                      <a:ext cx="4499983" cy="230769"/>
                    </a:xfrm>
                    <a:prstGeom prst="rect">
                      <a:avLst/>
                    </a:prstGeom>
                    <a:ln>
                      <a:noFill/>
                    </a:ln>
                    <a:extLst>
                      <a:ext uri="{53640926-AAD7-44D8-BBD7-CCE9431645EC}">
                        <a14:shadowObscured xmlns:a14="http://schemas.microsoft.com/office/drawing/2010/main"/>
                      </a:ext>
                    </a:extLst>
                  </pic:spPr>
                </pic:pic>
              </a:graphicData>
            </a:graphic>
          </wp:inline>
        </w:drawing>
      </w:r>
    </w:p>
    <w:p w14:paraId="30A5C560" w14:textId="585621EE" w:rsidR="00D76F55" w:rsidRPr="00181DAC" w:rsidRDefault="00D76F55" w:rsidP="0043211C">
      <w:pPr>
        <w:pBdr>
          <w:top w:val="single" w:sz="12" w:space="1" w:color="auto"/>
          <w:left w:val="single" w:sz="12" w:space="4" w:color="auto"/>
          <w:bottom w:val="single" w:sz="12" w:space="1" w:color="auto"/>
          <w:right w:val="single" w:sz="12" w:space="4" w:color="auto"/>
        </w:pBdr>
        <w:shd w:val="clear" w:color="auto" w:fill="D9D9D9"/>
        <w:spacing w:after="0"/>
        <w:ind w:right="90"/>
        <w:jc w:val="center"/>
        <w:rPr>
          <w:b/>
        </w:rPr>
      </w:pPr>
      <w:r w:rsidRPr="00181DAC">
        <w:rPr>
          <w:b/>
        </w:rPr>
        <w:t>Note:</w:t>
      </w:r>
    </w:p>
    <w:p w14:paraId="0DCA3FF3" w14:textId="75F13BB8" w:rsidR="00D76F55" w:rsidRDefault="00D76F55" w:rsidP="0043211C">
      <w:pPr>
        <w:pBdr>
          <w:top w:val="single" w:sz="12" w:space="1" w:color="auto"/>
          <w:left w:val="single" w:sz="12" w:space="4" w:color="auto"/>
          <w:bottom w:val="single" w:sz="12" w:space="1" w:color="auto"/>
          <w:right w:val="single" w:sz="12" w:space="4" w:color="auto"/>
        </w:pBdr>
        <w:shd w:val="clear" w:color="auto" w:fill="D9D9D9"/>
        <w:ind w:right="90"/>
        <w:jc w:val="center"/>
        <w:rPr>
          <w:b/>
        </w:rPr>
      </w:pPr>
      <w:r>
        <w:rPr>
          <w:b/>
        </w:rPr>
        <w:t>Images</w:t>
      </w:r>
      <w:r w:rsidRPr="00771C8D">
        <w:rPr>
          <w:b/>
        </w:rPr>
        <w:t xml:space="preserve"> are for Illustration Purposes Only.  Planets are used in lieu of Country/Coalition codes. See 3900/146 for permissible values. The list is classified.</w:t>
      </w:r>
    </w:p>
    <w:p w14:paraId="23040BFF" w14:textId="03DC65F3" w:rsidR="00D76F55" w:rsidRPr="00181DAC" w:rsidRDefault="00D76F55" w:rsidP="0043211C">
      <w:pPr>
        <w:pBdr>
          <w:top w:val="single" w:sz="12" w:space="1" w:color="auto"/>
          <w:left w:val="single" w:sz="12" w:space="4" w:color="auto"/>
          <w:bottom w:val="single" w:sz="12" w:space="1" w:color="auto"/>
          <w:right w:val="single" w:sz="12" w:space="4" w:color="auto"/>
        </w:pBdr>
        <w:shd w:val="clear" w:color="auto" w:fill="D9D9D9"/>
        <w:ind w:right="90"/>
        <w:jc w:val="center"/>
        <w:rPr>
          <w:b/>
        </w:rPr>
      </w:pPr>
      <w:r w:rsidRPr="00F63FCB">
        <w:rPr>
          <w:b/>
        </w:rPr>
        <w:t xml:space="preserve">Releasability acts differently in Strike Folders and Strike Options than in other data objects. For more info, see </w:t>
      </w:r>
      <w:hyperlink w:anchor="_Releasability" w:history="1">
        <w:r w:rsidRPr="000E3AE4">
          <w:rPr>
            <w:rStyle w:val="Hyperlink"/>
            <w:b/>
          </w:rPr>
          <w:t xml:space="preserve">Section </w:t>
        </w:r>
        <w:r w:rsidR="004231CC">
          <w:rPr>
            <w:rStyle w:val="Hyperlink"/>
            <w:b/>
          </w:rPr>
          <w:t>5.34</w:t>
        </w:r>
        <w:r w:rsidRPr="000E3AE4">
          <w:rPr>
            <w:rStyle w:val="Hyperlink"/>
            <w:b/>
          </w:rPr>
          <w:t>.2.3</w:t>
        </w:r>
      </w:hyperlink>
      <w:r>
        <w:rPr>
          <w:b/>
        </w:rPr>
        <w:t>.</w:t>
      </w:r>
    </w:p>
    <w:p w14:paraId="1FEB6BA7" w14:textId="77777777" w:rsidR="00BB2836" w:rsidRPr="000665B0" w:rsidRDefault="00BB2836" w:rsidP="006D5A65">
      <w:pPr>
        <w:pStyle w:val="Heading1"/>
      </w:pPr>
      <w:r w:rsidRPr="000665B0">
        <w:lastRenderedPageBreak/>
        <w:t xml:space="preserve">All fields followed by an * </w:t>
      </w:r>
      <w:r w:rsidR="00931B38" w:rsidRPr="000665B0">
        <w:t xml:space="preserve">and/or filled with a yellow background </w:t>
      </w:r>
      <w:r w:rsidRPr="000665B0">
        <w:t xml:space="preserve">are required fields. The user </w:t>
      </w:r>
      <w:r w:rsidR="00931B38" w:rsidRPr="000665B0">
        <w:t>is</w:t>
      </w:r>
      <w:r w:rsidRPr="000665B0">
        <w:t xml:space="preserve"> not able to proceed without updating these fields.</w:t>
      </w:r>
    </w:p>
    <w:p w14:paraId="258DAAFB" w14:textId="3F1944A3" w:rsidR="00BB2836" w:rsidRPr="000665B0" w:rsidRDefault="00BB2836" w:rsidP="006D5A65">
      <w:pPr>
        <w:pStyle w:val="Heading1"/>
      </w:pPr>
      <w:r w:rsidRPr="000665B0">
        <w:t xml:space="preserve">Click the </w:t>
      </w:r>
      <w:r w:rsidRPr="000665B0">
        <w:rPr>
          <w:bCs/>
        </w:rPr>
        <w:t>OK</w:t>
      </w:r>
      <w:r w:rsidRPr="000665B0">
        <w:t xml:space="preserve"> button. If the classification exceeds that of the system an information/question window </w:t>
      </w:r>
      <w:r w:rsidR="00931B38" w:rsidRPr="000665B0">
        <w:t>is displayed</w:t>
      </w:r>
      <w:r w:rsidRPr="000665B0">
        <w:t xml:space="preserve">. </w:t>
      </w:r>
      <w:r w:rsidR="0088474D" w:rsidRPr="000665B0">
        <w:t>Click OK</w:t>
      </w:r>
      <w:r w:rsidRPr="000665B0">
        <w:t>.</w:t>
      </w:r>
      <w:bookmarkStart w:id="749" w:name="_5.2.1.2.1__Display_in_Excel"/>
      <w:bookmarkStart w:id="750" w:name="_5.2.1.2.1__Display"/>
      <w:bookmarkStart w:id="751" w:name="_5.2.1.2.1__Display_All_in_Excel"/>
      <w:bookmarkStart w:id="752" w:name="_5.2.1.2.2__Display_Geographically"/>
      <w:bookmarkStart w:id="753" w:name="_5.2.1.2.2__Display"/>
      <w:bookmarkStart w:id="754" w:name="_5.2.1.2.3__Display_References"/>
      <w:bookmarkStart w:id="755" w:name="_5.2.1.2.3__Display"/>
      <w:bookmarkStart w:id="756" w:name="_5.2.1.7_Bookshelf"/>
      <w:bookmarkStart w:id="757" w:name="_5.2.1.2.4__Display_Textually"/>
      <w:bookmarkStart w:id="758" w:name="_5.2.1.2.4__Display"/>
      <w:bookmarkStart w:id="759" w:name="_5.2.1.3__Print"/>
      <w:bookmarkStart w:id="760" w:name="_5.2.1.3__Print_All"/>
      <w:bookmarkStart w:id="761" w:name="_5.2.1.3__Custom_Reports"/>
      <w:bookmarkStart w:id="762" w:name="_5.2.1.3__Custom_Reports_1"/>
      <w:bookmarkStart w:id="763" w:name="_5.2.1.4__Print_All"/>
      <w:bookmarkStart w:id="764" w:name="_5.2.1.4__Delete"/>
      <w:bookmarkStart w:id="765" w:name="_5.2.1.4__Delete_1"/>
      <w:bookmarkStart w:id="766" w:name="_5.2.1.5__Delete"/>
      <w:bookmarkStart w:id="767" w:name="_5.2.1.4__Receive"/>
      <w:bookmarkStart w:id="768" w:name="_5.2.1.4__Receive_File"/>
      <w:bookmarkStart w:id="769" w:name="_5.2.1.5__Receive"/>
      <w:bookmarkStart w:id="770" w:name="_5.2.1.5__Receive_File"/>
      <w:bookmarkStart w:id="771" w:name="_5.2.1.6__Receive_File"/>
      <w:bookmarkStart w:id="772" w:name="_5.2.1.6__Bookshelf_(Not_yet_availab"/>
      <w:bookmarkStart w:id="773" w:name="_5.2.2.1__Select_All"/>
      <w:bookmarkStart w:id="774" w:name="_5.2.2.1__Select"/>
      <w:bookmarkStart w:id="775" w:name="_5.2.3.6_Options"/>
      <w:bookmarkStart w:id="776" w:name="_5.2.3.6__Options"/>
      <w:bookmarkStart w:id="777" w:name="_5.2.3.5__Options"/>
      <w:bookmarkStart w:id="778" w:name="_5.2.3.4__Options"/>
      <w:bookmarkStart w:id="779" w:name="_5.2.3.5__Properties"/>
      <w:bookmarkStart w:id="780" w:name="_5.2.3.6__Sort"/>
      <w:bookmarkStart w:id="781" w:name="_5.2.3.5.1__Sort"/>
      <w:bookmarkStart w:id="782" w:name="_5.2.5.1__Find_Option"/>
      <w:bookmarkStart w:id="783" w:name="_5.2.5.1__Find"/>
      <w:bookmarkStart w:id="784" w:name="_5.2.8__Edit_Classification"/>
      <w:bookmarkEnd w:id="677"/>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46E51355" w14:textId="44EEDADD" w:rsidR="00BB2836" w:rsidRPr="000665B0" w:rsidRDefault="0088474D" w:rsidP="009570CA">
      <w:pPr>
        <w:pStyle w:val="Number0205"/>
        <w:ind w:left="0" w:firstLine="0"/>
        <w:jc w:val="center"/>
      </w:pPr>
      <w:r w:rsidRPr="000665B0">
        <w:rPr>
          <w:noProof/>
        </w:rPr>
        <w:drawing>
          <wp:inline distT="0" distB="0" distL="0" distR="0" wp14:anchorId="66623906" wp14:editId="6BFCC4F7">
            <wp:extent cx="2743200" cy="101498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014984"/>
                    </a:xfrm>
                    <a:prstGeom prst="rect">
                      <a:avLst/>
                    </a:prstGeom>
                  </pic:spPr>
                </pic:pic>
              </a:graphicData>
            </a:graphic>
          </wp:inline>
        </w:drawing>
      </w:r>
    </w:p>
    <w:p w14:paraId="5D238DE7" w14:textId="6ED2F9BF" w:rsidR="00452BF5" w:rsidRPr="000665B0" w:rsidRDefault="00452BF5" w:rsidP="009570CA">
      <w:pPr>
        <w:pStyle w:val="Heading3"/>
        <w:keepNext w:val="0"/>
      </w:pPr>
      <w:bookmarkStart w:id="785" w:name="_5.2.7__Editing"/>
      <w:bookmarkStart w:id="786" w:name="_5.2.8__Editing"/>
      <w:bookmarkStart w:id="787" w:name="_Toc214283139"/>
      <w:bookmarkEnd w:id="785"/>
      <w:bookmarkEnd w:id="786"/>
      <w:r w:rsidRPr="000665B0">
        <w:t>Editing Mandatory Fields</w:t>
      </w:r>
      <w:bookmarkEnd w:id="787"/>
    </w:p>
    <w:p w14:paraId="3807B195" w14:textId="00BA2C11" w:rsidR="00452BF5" w:rsidRPr="000665B0" w:rsidRDefault="00452BF5" w:rsidP="009570CA">
      <w:pPr>
        <w:pStyle w:val="Number0205"/>
        <w:ind w:left="0" w:firstLine="0"/>
      </w:pPr>
      <w:r w:rsidRPr="000665B0">
        <w:t>In order to reduce the operator burden when filling out fields in MDS, mandatory fields that need attention are more obvious to the operator. MDS display</w:t>
      </w:r>
      <w:r w:rsidR="009434FD" w:rsidRPr="000665B0">
        <w:t>s</w:t>
      </w:r>
      <w:r w:rsidRPr="000665B0">
        <w:t xml:space="preserve"> all mandatory form fields with a yellow background until they have data entered into them. Once the field has been modified, the background will revert to the normal field background. If validation for the field fails or the operator deletes all text from the field, the background will change back to yellow.</w:t>
      </w:r>
    </w:p>
    <w:p w14:paraId="1A3472BA" w14:textId="6A57EB2D" w:rsidR="0096051F" w:rsidRPr="000665B0" w:rsidRDefault="0096051F" w:rsidP="00141300">
      <w:pPr>
        <w:pStyle w:val="Heading3"/>
        <w:keepNext w:val="0"/>
      </w:pPr>
      <w:bookmarkStart w:id="788" w:name="_Toc214283140"/>
      <w:r w:rsidRPr="000665B0">
        <w:t>Notification of Deleted and Updated Data</w:t>
      </w:r>
      <w:bookmarkEnd w:id="788"/>
    </w:p>
    <w:p w14:paraId="69221BFD" w14:textId="77777777" w:rsidR="0096051F" w:rsidRPr="000665B0" w:rsidRDefault="0096051F" w:rsidP="009570CA">
      <w:r w:rsidRPr="000665B0">
        <w:t xml:space="preserve">MDS displays confirmation </w:t>
      </w:r>
      <w:r w:rsidR="001A1954" w:rsidRPr="000665B0">
        <w:t>windows</w:t>
      </w:r>
      <w:r w:rsidRPr="000665B0">
        <w:t xml:space="preserve"> to notify an operator that a particular textual display will be closed because </w:t>
      </w:r>
      <w:r w:rsidR="001A1954" w:rsidRPr="000665B0">
        <w:t>the data being displayed</w:t>
      </w:r>
      <w:r w:rsidRPr="000665B0">
        <w:t xml:space="preserve"> has been deleted by another user, or that the data </w:t>
      </w:r>
      <w:r w:rsidR="001A1954" w:rsidRPr="000665B0">
        <w:t>being displayed</w:t>
      </w:r>
      <w:r w:rsidRPr="000665B0">
        <w:t xml:space="preserve"> has been </w:t>
      </w:r>
      <w:r w:rsidR="001A1954" w:rsidRPr="000665B0">
        <w:t>modified</w:t>
      </w:r>
      <w:r w:rsidRPr="000665B0">
        <w:t xml:space="preserve"> by another user.</w:t>
      </w:r>
    </w:p>
    <w:p w14:paraId="5C98B19E" w14:textId="53F0CD9F" w:rsidR="0096051F" w:rsidRPr="000665B0" w:rsidRDefault="0096051F" w:rsidP="009570CA">
      <w:pPr>
        <w:pStyle w:val="Heading4"/>
      </w:pPr>
      <w:r w:rsidRPr="000665B0">
        <w:t>Delete</w:t>
      </w:r>
      <w:r w:rsidR="000437E9" w:rsidRPr="000665B0">
        <w:t>d Data</w:t>
      </w:r>
      <w:r w:rsidRPr="000665B0">
        <w:t xml:space="preserve"> Confirmation</w:t>
      </w:r>
    </w:p>
    <w:p w14:paraId="68E2EC23" w14:textId="77777777" w:rsidR="0096051F" w:rsidRPr="000665B0" w:rsidRDefault="0096051F" w:rsidP="009570CA">
      <w:r w:rsidRPr="000665B0">
        <w:t xml:space="preserve">When the operator is viewing data in a textual view and that data is deleted from TED by another user, a window appears notifying the operator that the data has been deleted by another user. </w:t>
      </w:r>
    </w:p>
    <w:p w14:paraId="6489F093" w14:textId="77777777" w:rsidR="0096051F" w:rsidRPr="000665B0" w:rsidRDefault="00A477ED" w:rsidP="009570CA">
      <w:pPr>
        <w:jc w:val="center"/>
      </w:pPr>
      <w:r w:rsidRPr="000665B0">
        <w:rPr>
          <w:noProof/>
        </w:rPr>
        <w:drawing>
          <wp:inline distT="0" distB="0" distL="0" distR="0" wp14:anchorId="20A757C6" wp14:editId="6C26C409">
            <wp:extent cx="2743200" cy="1316736"/>
            <wp:effectExtent l="0" t="0" r="0" b="0"/>
            <wp:docPr id="1219" name="Picture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743200" cy="1316736"/>
                    </a:xfrm>
                    <a:prstGeom prst="rect">
                      <a:avLst/>
                    </a:prstGeom>
                  </pic:spPr>
                </pic:pic>
              </a:graphicData>
            </a:graphic>
          </wp:inline>
        </w:drawing>
      </w:r>
    </w:p>
    <w:p w14:paraId="1ADF2CE4" w14:textId="77777777" w:rsidR="0096051F" w:rsidRPr="000665B0" w:rsidRDefault="0096051F" w:rsidP="009570CA">
      <w:r w:rsidRPr="000665B0">
        <w:t xml:space="preserve">Upon clicking </w:t>
      </w:r>
      <w:r w:rsidRPr="000665B0">
        <w:rPr>
          <w:b/>
        </w:rPr>
        <w:t>OK</w:t>
      </w:r>
      <w:r w:rsidRPr="000665B0">
        <w:t xml:space="preserve">, the textual view of the deleted data object is closed. </w:t>
      </w:r>
    </w:p>
    <w:p w14:paraId="7EC9F978" w14:textId="580D1F1B" w:rsidR="0096051F" w:rsidRPr="000665B0" w:rsidRDefault="0096051F" w:rsidP="009570CA">
      <w:pPr>
        <w:pStyle w:val="Heading4"/>
      </w:pPr>
      <w:r w:rsidRPr="000665B0">
        <w:t>Update</w:t>
      </w:r>
      <w:r w:rsidR="000437E9" w:rsidRPr="000665B0">
        <w:t>d Data</w:t>
      </w:r>
      <w:r w:rsidRPr="000665B0">
        <w:t xml:space="preserve"> Confirmation</w:t>
      </w:r>
    </w:p>
    <w:p w14:paraId="25747E36" w14:textId="169E6D3C" w:rsidR="0096051F" w:rsidRPr="000665B0" w:rsidRDefault="0096051F" w:rsidP="009570CA">
      <w:r w:rsidRPr="000665B0">
        <w:t xml:space="preserve">When the operator has modified data in a textual view and has not yet saved it to TED, and another user modifies the same data </w:t>
      </w:r>
      <w:r w:rsidR="000639A7" w:rsidRPr="000665B0">
        <w:t>and</w:t>
      </w:r>
      <w:r w:rsidRPr="000665B0">
        <w:t xml:space="preserve"> </w:t>
      </w:r>
      <w:r w:rsidR="000639A7" w:rsidRPr="000665B0">
        <w:t xml:space="preserve">saves </w:t>
      </w:r>
      <w:r w:rsidRPr="000665B0">
        <w:t>the changes to TED, a window appears notifying the operator that the data has been modified</w:t>
      </w:r>
      <w:r w:rsidR="001A1954" w:rsidRPr="000665B0">
        <w:t xml:space="preserve"> by another user</w:t>
      </w:r>
      <w:r w:rsidRPr="000665B0">
        <w:t>.</w:t>
      </w:r>
      <w:r w:rsidR="009651B0">
        <w:t xml:space="preserve"> </w:t>
      </w:r>
    </w:p>
    <w:p w14:paraId="011A9CC9" w14:textId="77777777" w:rsidR="0096051F" w:rsidRPr="000665B0" w:rsidRDefault="00A477ED" w:rsidP="009570CA">
      <w:pPr>
        <w:jc w:val="center"/>
      </w:pPr>
      <w:r w:rsidRPr="000665B0">
        <w:rPr>
          <w:noProof/>
        </w:rPr>
        <w:lastRenderedPageBreak/>
        <w:drawing>
          <wp:inline distT="0" distB="0" distL="0" distR="0" wp14:anchorId="5ED3EFF0" wp14:editId="1F110CDA">
            <wp:extent cx="2743200" cy="1499616"/>
            <wp:effectExtent l="0" t="0" r="0" b="5715"/>
            <wp:docPr id="1222" name="Picture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743200" cy="1499616"/>
                    </a:xfrm>
                    <a:prstGeom prst="rect">
                      <a:avLst/>
                    </a:prstGeom>
                  </pic:spPr>
                </pic:pic>
              </a:graphicData>
            </a:graphic>
          </wp:inline>
        </w:drawing>
      </w:r>
    </w:p>
    <w:p w14:paraId="620FA2C0" w14:textId="518F95B8" w:rsidR="00B6111A" w:rsidRDefault="00500E86" w:rsidP="00E22BFB">
      <w:r w:rsidRPr="000665B0">
        <w:t>T</w:t>
      </w:r>
      <w:r w:rsidR="0096051F" w:rsidRPr="000665B0">
        <w:t>o reload the textual display with the new data that had been saved into TED</w:t>
      </w:r>
      <w:r w:rsidR="000639A7" w:rsidRPr="000665B0">
        <w:t xml:space="preserve"> by another user</w:t>
      </w:r>
      <w:r w:rsidR="0096051F" w:rsidRPr="000665B0">
        <w:t xml:space="preserve">, click </w:t>
      </w:r>
      <w:r w:rsidR="0096051F" w:rsidRPr="000665B0">
        <w:rPr>
          <w:b/>
        </w:rPr>
        <w:t>Yes</w:t>
      </w:r>
      <w:r w:rsidR="0096051F" w:rsidRPr="000665B0">
        <w:t xml:space="preserve">. </w:t>
      </w:r>
      <w:r w:rsidRPr="000665B0">
        <w:t>To</w:t>
      </w:r>
      <w:r w:rsidR="0096051F" w:rsidRPr="000665B0">
        <w:t xml:space="preserve"> not reload the textual view with the new data</w:t>
      </w:r>
      <w:r w:rsidR="000639A7" w:rsidRPr="000665B0">
        <w:t xml:space="preserve"> from TED</w:t>
      </w:r>
      <w:r w:rsidR="0096051F" w:rsidRPr="000665B0">
        <w:t xml:space="preserve">, click </w:t>
      </w:r>
      <w:r w:rsidR="0096051F" w:rsidRPr="000665B0">
        <w:rPr>
          <w:b/>
        </w:rPr>
        <w:t>No</w:t>
      </w:r>
      <w:r w:rsidR="0096051F" w:rsidRPr="000665B0">
        <w:t xml:space="preserve"> </w:t>
      </w:r>
      <w:r w:rsidR="000639A7" w:rsidRPr="000665B0">
        <w:t>to</w:t>
      </w:r>
      <w:r w:rsidR="0096051F" w:rsidRPr="000665B0">
        <w:t xml:space="preserve"> keep the current modifications on the textual view that is being displayed. This allows the operator to not lose any of the </w:t>
      </w:r>
      <w:r w:rsidR="000639A7" w:rsidRPr="000665B0">
        <w:t xml:space="preserve">in-process </w:t>
      </w:r>
      <w:r w:rsidR="0096051F" w:rsidRPr="000665B0">
        <w:t xml:space="preserve">modifications </w:t>
      </w:r>
      <w:r w:rsidR="000639A7" w:rsidRPr="000665B0">
        <w:t>that are being changed in the</w:t>
      </w:r>
      <w:r w:rsidR="0096051F" w:rsidRPr="000665B0">
        <w:t xml:space="preserve"> textual view. </w:t>
      </w:r>
    </w:p>
    <w:p w14:paraId="3C9FB7AA" w14:textId="77777777" w:rsidR="0096051F" w:rsidRPr="000665B0" w:rsidRDefault="0096051F"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90" w:right="90"/>
        <w:jc w:val="center"/>
        <w:rPr>
          <w:b/>
        </w:rPr>
      </w:pPr>
      <w:r w:rsidRPr="000665B0">
        <w:rPr>
          <w:b/>
        </w:rPr>
        <w:t>Note:</w:t>
      </w:r>
    </w:p>
    <w:p w14:paraId="5655BC50" w14:textId="77777777" w:rsidR="000639A7" w:rsidRPr="000665B0" w:rsidRDefault="0096051F"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ind w:left="90" w:right="90"/>
        <w:jc w:val="center"/>
        <w:rPr>
          <w:b/>
        </w:rPr>
      </w:pPr>
      <w:r w:rsidRPr="000665B0">
        <w:rPr>
          <w:b/>
        </w:rPr>
        <w:t>If the operator selects No on the update confirmation to keep the current modifications, and then saves the changes to TED, the changes that were made by the other user will be overwritten.</w:t>
      </w:r>
      <w:r w:rsidR="000639A7" w:rsidRPr="000665B0">
        <w:rPr>
          <w:b/>
        </w:rPr>
        <w:t xml:space="preserve"> </w:t>
      </w:r>
    </w:p>
    <w:p w14:paraId="322634D0" w14:textId="77777777" w:rsidR="0096051F" w:rsidRPr="000665B0" w:rsidRDefault="000639A7"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ind w:left="90" w:right="90"/>
        <w:jc w:val="center"/>
        <w:rPr>
          <w:b/>
        </w:rPr>
      </w:pPr>
      <w:r w:rsidRPr="000665B0">
        <w:rPr>
          <w:b/>
        </w:rPr>
        <w:t>In the unusual instance when two users save their edits at exactly the same time, various factors (such as network traffic, processor/memory usage, etc.) can determine which user’s edits are actually saved to TED. In rare cases, the user may not receive a pop-up alert about another user’s concurrent edits.</w:t>
      </w:r>
    </w:p>
    <w:p w14:paraId="7EC4CAAD" w14:textId="77777777" w:rsidR="0096051F" w:rsidRPr="000665B0" w:rsidRDefault="0096051F" w:rsidP="009570CA">
      <w:r w:rsidRPr="000665B0">
        <w:t xml:space="preserve">In some cases, an update confirmation </w:t>
      </w:r>
      <w:r w:rsidR="006D3494" w:rsidRPr="000665B0">
        <w:t>window</w:t>
      </w:r>
      <w:r w:rsidRPr="000665B0">
        <w:t xml:space="preserve"> </w:t>
      </w:r>
      <w:r w:rsidR="006D3494" w:rsidRPr="000665B0">
        <w:t>is</w:t>
      </w:r>
      <w:r w:rsidRPr="000665B0">
        <w:t xml:space="preserve"> displayed</w:t>
      </w:r>
      <w:r w:rsidR="006D3494" w:rsidRPr="000665B0">
        <w:t xml:space="preserve"> that does</w:t>
      </w:r>
      <w:r w:rsidRPr="000665B0">
        <w:t xml:space="preserve"> not allow the user to decline reloading the new data. Instead, the operator </w:t>
      </w:r>
      <w:r w:rsidR="001110A6" w:rsidRPr="000665B0">
        <w:t>is</w:t>
      </w:r>
      <w:r w:rsidRPr="000665B0">
        <w:t xml:space="preserve"> </w:t>
      </w:r>
      <w:r w:rsidR="001110A6" w:rsidRPr="000665B0">
        <w:t xml:space="preserve">simply </w:t>
      </w:r>
      <w:r w:rsidRPr="000665B0">
        <w:t>notified that changes to the textual view have been made by another user. This occur</w:t>
      </w:r>
      <w:r w:rsidR="001110A6" w:rsidRPr="000665B0">
        <w:t>s</w:t>
      </w:r>
      <w:r w:rsidRPr="000665B0">
        <w:t xml:space="preserve"> for saves to Strike Folders, Strike Folder Items (such as Strike Tasking, Strike Geographic Resources, etc.)</w:t>
      </w:r>
      <w:r w:rsidR="001110A6" w:rsidRPr="000665B0">
        <w:t xml:space="preserve">, and Strike Options. </w:t>
      </w:r>
      <w:r w:rsidRPr="000665B0">
        <w:t>It also appl</w:t>
      </w:r>
      <w:r w:rsidR="001110A6" w:rsidRPr="000665B0">
        <w:t>ies</w:t>
      </w:r>
      <w:r w:rsidRPr="000665B0">
        <w:t xml:space="preserve"> when TMPRs are Submitted to TPS, and for ACMSs/Overlays that are updated to a Read-Only state.</w:t>
      </w:r>
      <w:r w:rsidR="001110A6" w:rsidRPr="000665B0">
        <w:t xml:space="preserve"> In these cases, the user must click </w:t>
      </w:r>
      <w:r w:rsidR="001110A6" w:rsidRPr="000665B0">
        <w:rPr>
          <w:b/>
        </w:rPr>
        <w:t>OK</w:t>
      </w:r>
      <w:r w:rsidR="001110A6" w:rsidRPr="000665B0">
        <w:t>.</w:t>
      </w:r>
    </w:p>
    <w:p w14:paraId="5EA05B1D" w14:textId="77777777" w:rsidR="0096051F" w:rsidRPr="000665B0" w:rsidRDefault="00A477ED" w:rsidP="009570CA">
      <w:pPr>
        <w:jc w:val="center"/>
        <w:rPr>
          <w:sz w:val="20"/>
        </w:rPr>
      </w:pPr>
      <w:r w:rsidRPr="000665B0">
        <w:rPr>
          <w:noProof/>
        </w:rPr>
        <w:drawing>
          <wp:inline distT="0" distB="0" distL="0" distR="0" wp14:anchorId="7A91F0B7" wp14:editId="2369E0BA">
            <wp:extent cx="2743200" cy="1261872"/>
            <wp:effectExtent l="0" t="0" r="0" b="0"/>
            <wp:docPr id="1226" name="Picture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743200" cy="1261872"/>
                    </a:xfrm>
                    <a:prstGeom prst="rect">
                      <a:avLst/>
                    </a:prstGeom>
                  </pic:spPr>
                </pic:pic>
              </a:graphicData>
            </a:graphic>
          </wp:inline>
        </w:drawing>
      </w:r>
    </w:p>
    <w:p w14:paraId="48D44293" w14:textId="77777777" w:rsidR="0096051F" w:rsidRPr="000665B0" w:rsidRDefault="0096051F" w:rsidP="009570CA">
      <w:pPr>
        <w:keepNext/>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90" w:right="90"/>
        <w:jc w:val="center"/>
        <w:rPr>
          <w:b/>
        </w:rPr>
      </w:pPr>
      <w:r w:rsidRPr="000665B0">
        <w:rPr>
          <w:b/>
        </w:rPr>
        <w:t>Note:</w:t>
      </w:r>
    </w:p>
    <w:p w14:paraId="120ACF7B" w14:textId="77777777" w:rsidR="0096051F" w:rsidRPr="000665B0" w:rsidRDefault="0096051F"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ind w:left="90" w:right="90"/>
        <w:jc w:val="center"/>
        <w:rPr>
          <w:b/>
        </w:rPr>
      </w:pPr>
      <w:r w:rsidRPr="000665B0">
        <w:rPr>
          <w:b/>
        </w:rPr>
        <w:t xml:space="preserve">Strike Options in a Read-Only state </w:t>
      </w:r>
      <w:r w:rsidR="000437E9" w:rsidRPr="000665B0">
        <w:rPr>
          <w:b/>
        </w:rPr>
        <w:t xml:space="preserve">do </w:t>
      </w:r>
      <w:r w:rsidRPr="000665B0">
        <w:rPr>
          <w:b/>
        </w:rPr>
        <w:t xml:space="preserve">not receive any update confirmation </w:t>
      </w:r>
      <w:r w:rsidR="001A1954" w:rsidRPr="000665B0">
        <w:rPr>
          <w:b/>
        </w:rPr>
        <w:t>windows</w:t>
      </w:r>
      <w:r w:rsidRPr="000665B0">
        <w:rPr>
          <w:b/>
        </w:rPr>
        <w:t>.</w:t>
      </w:r>
    </w:p>
    <w:p w14:paraId="43C65F80" w14:textId="3931AA8D" w:rsidR="00BA5239" w:rsidRPr="000665B0" w:rsidRDefault="00BA5239" w:rsidP="00E22BFB">
      <w:pPr>
        <w:pStyle w:val="Heading3"/>
        <w:keepLines/>
      </w:pPr>
      <w:bookmarkStart w:id="789" w:name="_5.2.10__Distribution"/>
      <w:bookmarkStart w:id="790" w:name="_Distribution_Dashboard"/>
      <w:bookmarkStart w:id="791" w:name="_Toc214283141"/>
      <w:bookmarkEnd w:id="789"/>
      <w:bookmarkEnd w:id="790"/>
      <w:r w:rsidRPr="000665B0">
        <w:lastRenderedPageBreak/>
        <w:t>Distribution Dashboard</w:t>
      </w:r>
      <w:bookmarkEnd w:id="791"/>
    </w:p>
    <w:p w14:paraId="2C4A85B9" w14:textId="53C453A6" w:rsidR="00AE2D32" w:rsidRPr="000665B0" w:rsidRDefault="005622DF" w:rsidP="00E22BFB">
      <w:pPr>
        <w:keepNext/>
        <w:keepLines/>
      </w:pPr>
      <w:r w:rsidRPr="000665B0">
        <w:t xml:space="preserve">Several tools </w:t>
      </w:r>
      <w:r w:rsidR="004825BA" w:rsidRPr="000665B0">
        <w:t xml:space="preserve">(including DDO Templates Tool, Strike Execution, Libraries Tool, Strike Folders Tool, and Strike Option) </w:t>
      </w:r>
      <w:r w:rsidRPr="000665B0">
        <w:t xml:space="preserve">in MDS include the </w:t>
      </w:r>
      <w:r w:rsidRPr="000665B0">
        <w:rPr>
          <w:b/>
        </w:rPr>
        <w:t>Distribution Dashboard</w:t>
      </w:r>
      <w:r w:rsidRPr="000665B0">
        <w:t xml:space="preserve"> feature which gives the operator the ability to track what data was sent to each recipient, and whether or not that data has been acknowledged. The feature’s functionality is the same across all tools that include it, but the data displayed will vary depending on the tool being used. </w:t>
      </w:r>
    </w:p>
    <w:p w14:paraId="41F8C3FA" w14:textId="77777777" w:rsidR="00AE2D32" w:rsidRPr="000665B0" w:rsidRDefault="00AE2D32" w:rsidP="00E22BFB">
      <w:pPr>
        <w:pBdr>
          <w:top w:val="single" w:sz="12" w:space="1" w:color="auto"/>
          <w:left w:val="single" w:sz="12" w:space="4" w:color="auto"/>
          <w:bottom w:val="single" w:sz="12" w:space="0" w:color="auto"/>
          <w:right w:val="single" w:sz="12" w:space="4" w:color="auto"/>
        </w:pBdr>
        <w:shd w:val="clear" w:color="auto" w:fill="D9D9D9"/>
        <w:spacing w:after="0"/>
        <w:ind w:left="86" w:right="86"/>
        <w:jc w:val="center"/>
        <w:rPr>
          <w:b/>
        </w:rPr>
      </w:pPr>
      <w:r w:rsidRPr="000665B0">
        <w:rPr>
          <w:b/>
        </w:rPr>
        <w:t xml:space="preserve">Note: </w:t>
      </w:r>
    </w:p>
    <w:p w14:paraId="7F832961" w14:textId="424E5A00" w:rsidR="00AE2D32" w:rsidRPr="000665B0" w:rsidRDefault="00AE2D32" w:rsidP="00E22BFB">
      <w:pPr>
        <w:pBdr>
          <w:top w:val="single" w:sz="12" w:space="1" w:color="auto"/>
          <w:left w:val="single" w:sz="12" w:space="4" w:color="auto"/>
          <w:bottom w:val="single" w:sz="12" w:space="0" w:color="auto"/>
          <w:right w:val="single" w:sz="12" w:space="4" w:color="auto"/>
        </w:pBdr>
        <w:shd w:val="clear" w:color="auto" w:fill="D9D9D9"/>
        <w:ind w:left="86" w:right="86"/>
        <w:jc w:val="center"/>
        <w:rPr>
          <w:b/>
        </w:rPr>
      </w:pPr>
      <w:r w:rsidRPr="000665B0">
        <w:rPr>
          <w:b/>
        </w:rPr>
        <w:t>Overlays are not accounted for in the Distribution Dashboard. They are neither sent with a TED Library, nor are they reported back to the sender as part of TCI</w:t>
      </w:r>
      <w:r w:rsidR="001649EB">
        <w:rPr>
          <w:b/>
        </w:rPr>
        <w:br/>
      </w:r>
      <w:r w:rsidRPr="000665B0">
        <w:rPr>
          <w:b/>
        </w:rPr>
        <w:t>accountability data.</w:t>
      </w:r>
    </w:p>
    <w:p w14:paraId="65D76D17" w14:textId="77777777" w:rsidR="005622DF" w:rsidRPr="000665B0" w:rsidRDefault="005622DF" w:rsidP="009570CA">
      <w:r w:rsidRPr="000665B0">
        <w:t xml:space="preserve">To view the </w:t>
      </w:r>
      <w:r w:rsidRPr="000665B0">
        <w:rPr>
          <w:b/>
        </w:rPr>
        <w:t>Distribution Dashboard</w:t>
      </w:r>
      <w:r w:rsidRPr="000665B0">
        <w:t>:</w:t>
      </w:r>
    </w:p>
    <w:p w14:paraId="1480F921" w14:textId="77777777" w:rsidR="005622DF" w:rsidRPr="000665B0" w:rsidRDefault="005622DF" w:rsidP="006D5A65">
      <w:pPr>
        <w:pStyle w:val="Heading1"/>
      </w:pPr>
      <w:r w:rsidRPr="000665B0">
        <w:t>In the tool that is in use, select the desired entry.</w:t>
      </w:r>
    </w:p>
    <w:p w14:paraId="32E21E70" w14:textId="3F00F02C" w:rsidR="005622DF" w:rsidRPr="000665B0" w:rsidRDefault="005622DF" w:rsidP="006D5A65">
      <w:pPr>
        <w:pStyle w:val="Heading1"/>
      </w:pPr>
      <w:r w:rsidRPr="000665B0">
        <w:t>Invoke the context menu (</w:t>
      </w:r>
      <w:r w:rsidR="00D71804" w:rsidRPr="000665B0">
        <w:t>right-click</w:t>
      </w:r>
      <w:r w:rsidRPr="000665B0">
        <w:t xml:space="preserve"> the mouse) and select Distribution Dashboard…. The </w:t>
      </w:r>
      <w:r w:rsidRPr="000665B0">
        <w:rPr>
          <w:i/>
        </w:rPr>
        <w:t>Distribution Dashboard</w:t>
      </w:r>
      <w:r w:rsidR="00310B70" w:rsidRPr="000665B0">
        <w:rPr>
          <w:i/>
        </w:rPr>
        <w:t>:</w:t>
      </w:r>
      <w:r w:rsidRPr="000665B0">
        <w:rPr>
          <w:i/>
        </w:rPr>
        <w:t xml:space="preserve"> XXXX</w:t>
      </w:r>
      <w:r w:rsidRPr="000665B0">
        <w:t xml:space="preserve"> window is displayed.</w:t>
      </w:r>
      <w:r w:rsidRPr="000665B0">
        <w:rPr>
          <w:noProof/>
        </w:rPr>
        <w:t xml:space="preserve"> </w:t>
      </w:r>
    </w:p>
    <w:p w14:paraId="27B6720D" w14:textId="72F99195" w:rsidR="005622DF" w:rsidRPr="000665B0" w:rsidRDefault="00BB4301" w:rsidP="009570CA">
      <w:pPr>
        <w:jc w:val="center"/>
      </w:pPr>
      <w:r w:rsidRPr="000665B0">
        <w:rPr>
          <w:noProof/>
        </w:rPr>
        <w:drawing>
          <wp:inline distT="0" distB="0" distL="0" distR="0" wp14:anchorId="0D893001" wp14:editId="79F0FE56">
            <wp:extent cx="4572000" cy="3557016"/>
            <wp:effectExtent l="0" t="0" r="0" b="5715"/>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3557016"/>
                    </a:xfrm>
                    <a:prstGeom prst="rect">
                      <a:avLst/>
                    </a:prstGeom>
                  </pic:spPr>
                </pic:pic>
              </a:graphicData>
            </a:graphic>
          </wp:inline>
        </w:drawing>
      </w:r>
    </w:p>
    <w:p w14:paraId="1D421B84" w14:textId="77777777" w:rsidR="00731C63" w:rsidRPr="000665B0" w:rsidRDefault="00731C63" w:rsidP="009570CA">
      <w:pPr>
        <w:jc w:val="center"/>
      </w:pPr>
      <w:r w:rsidRPr="000665B0">
        <w:rPr>
          <w:noProof/>
        </w:rPr>
        <w:lastRenderedPageBreak/>
        <w:drawing>
          <wp:inline distT="0" distB="0" distL="0" distR="0" wp14:anchorId="6E9729CE" wp14:editId="026EDCB8">
            <wp:extent cx="4572000" cy="3364992"/>
            <wp:effectExtent l="0" t="0" r="0" b="6985"/>
            <wp:docPr id="40" name="Picture 40" descr="C:\Users\darren.lien\Desktop\Distribution Dashboard\DistroDas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rren.lien\Desktop\Distribution Dashboard\DistroDash3.png"/>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572000" cy="3364992"/>
                    </a:xfrm>
                    <a:prstGeom prst="rect">
                      <a:avLst/>
                    </a:prstGeom>
                    <a:noFill/>
                    <a:ln>
                      <a:noFill/>
                    </a:ln>
                  </pic:spPr>
                </pic:pic>
              </a:graphicData>
            </a:graphic>
          </wp:inline>
        </w:drawing>
      </w:r>
    </w:p>
    <w:p w14:paraId="0C2652AD" w14:textId="77777777" w:rsidR="005622DF" w:rsidRPr="000665B0" w:rsidRDefault="005622DF" w:rsidP="00E22BFB">
      <w:pPr>
        <w:jc w:val="both"/>
      </w:pPr>
      <w:r w:rsidRPr="000665B0">
        <w:t>The window is divided into several panes:</w:t>
      </w:r>
    </w:p>
    <w:p w14:paraId="353E6168" w14:textId="77777777" w:rsidR="005622DF" w:rsidRPr="000665B0" w:rsidRDefault="005622DF" w:rsidP="009570CA">
      <w:pPr>
        <w:rPr>
          <w:b/>
          <w:i/>
        </w:rPr>
      </w:pPr>
      <w:r w:rsidRPr="000665B0">
        <w:rPr>
          <w:b/>
          <w:i/>
        </w:rPr>
        <w:t>Required Data by Node Pane</w:t>
      </w:r>
    </w:p>
    <w:p w14:paraId="352BB337" w14:textId="77777777" w:rsidR="005622DF" w:rsidRPr="000665B0" w:rsidRDefault="005622DF" w:rsidP="009570CA">
      <w:r w:rsidRPr="000665B0">
        <w:t xml:space="preserve">This pane contains a pie chart with one to three colored </w:t>
      </w:r>
      <w:r w:rsidR="00E77795" w:rsidRPr="000665B0">
        <w:t>“</w:t>
      </w:r>
      <w:r w:rsidRPr="000665B0">
        <w:t>slices.</w:t>
      </w:r>
      <w:r w:rsidR="006D5F99" w:rsidRPr="000665B0">
        <w:t>”</w:t>
      </w:r>
    </w:p>
    <w:p w14:paraId="6887160D" w14:textId="3BEE7FFF" w:rsidR="005622DF" w:rsidRPr="000665B0" w:rsidRDefault="005622DF" w:rsidP="006D5A65">
      <w:pPr>
        <w:pStyle w:val="Heading1"/>
      </w:pPr>
      <w:r w:rsidRPr="000665B0">
        <w:t>The green-colored slice indicates recipients that have been sent data and have acknowledged receipt.</w:t>
      </w:r>
      <w:r w:rsidR="00DE6BF6" w:rsidRPr="000665B0">
        <w:t xml:space="preserve"> </w:t>
      </w:r>
      <w:r w:rsidR="004A456A" w:rsidRPr="000665B0">
        <w:t>The green-colored slice</w:t>
      </w:r>
      <w:r w:rsidR="00DE6BF6" w:rsidRPr="000665B0">
        <w:t xml:space="preserve"> also includes recipients that do not support (and cannot process) the type of data that was sent (see below under the Workgroup Members Pane).</w:t>
      </w:r>
    </w:p>
    <w:p w14:paraId="0B8BD309" w14:textId="3E4E29DB" w:rsidR="004825BA" w:rsidRPr="000665B0" w:rsidRDefault="005622DF" w:rsidP="006D5A65">
      <w:pPr>
        <w:pStyle w:val="Heading1"/>
      </w:pPr>
      <w:r w:rsidRPr="000665B0">
        <w:t xml:space="preserve">The yellow-colored slice indicates recipients that have had the data sent but have not acknowledged receipt. It is recommended that the operator request an inventory </w:t>
      </w:r>
      <w:r w:rsidR="00D53C9B" w:rsidRPr="000665B0">
        <w:t>report or</w:t>
      </w:r>
      <w:r w:rsidRPr="000665B0">
        <w:t xml:space="preserve"> resend the data. </w:t>
      </w:r>
    </w:p>
    <w:p w14:paraId="0EF3D851" w14:textId="77777777" w:rsidR="004825BA" w:rsidRPr="000665B0" w:rsidRDefault="005622DF" w:rsidP="006D5A65">
      <w:pPr>
        <w:pStyle w:val="Heading2"/>
      </w:pPr>
      <w:r w:rsidRPr="000665B0">
        <w:t xml:space="preserve">To request an inventory report, right-click on the yellow slice and select Request Inventory. This sends coordination templates requesting inventory to those recipients. </w:t>
      </w:r>
    </w:p>
    <w:p w14:paraId="0A5AB890" w14:textId="77777777" w:rsidR="004825BA" w:rsidRPr="000665B0" w:rsidRDefault="004825BA" w:rsidP="009570CA">
      <w:pPr>
        <w:jc w:val="center"/>
      </w:pPr>
      <w:r w:rsidRPr="000665B0">
        <w:rPr>
          <w:noProof/>
        </w:rPr>
        <w:drawing>
          <wp:inline distT="0" distB="0" distL="0" distR="0" wp14:anchorId="6B820F01" wp14:editId="4371B086">
            <wp:extent cx="1828800" cy="1024128"/>
            <wp:effectExtent l="0" t="0" r="0" b="0"/>
            <wp:docPr id="1401" name="Picture 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024128"/>
                    </a:xfrm>
                    <a:prstGeom prst="rect">
                      <a:avLst/>
                    </a:prstGeom>
                  </pic:spPr>
                </pic:pic>
              </a:graphicData>
            </a:graphic>
          </wp:inline>
        </w:drawing>
      </w:r>
    </w:p>
    <w:p w14:paraId="79753EFB" w14:textId="65DAB113" w:rsidR="004825BA" w:rsidRPr="000665B0" w:rsidRDefault="005622DF" w:rsidP="006D5A65">
      <w:pPr>
        <w:pStyle w:val="Heading2"/>
      </w:pPr>
      <w:r w:rsidRPr="000665B0">
        <w:lastRenderedPageBreak/>
        <w:t xml:space="preserve">To resend the data, </w:t>
      </w:r>
      <w:r w:rsidR="00D71804" w:rsidRPr="000665B0">
        <w:t>right-click</w:t>
      </w:r>
      <w:r w:rsidRPr="000665B0">
        <w:t xml:space="preserve"> on the yellow slice and select Send Data. This resends data to those recipient(s) in “personalized/and minimized DDOs.”</w:t>
      </w:r>
      <w:r w:rsidR="00B958E0" w:rsidRPr="000665B0">
        <w:t xml:space="preserve"> </w:t>
      </w:r>
    </w:p>
    <w:p w14:paraId="2165DF18" w14:textId="2729ED13" w:rsidR="00731C63" w:rsidRPr="000665B0" w:rsidRDefault="005622DF" w:rsidP="006D5A65">
      <w:pPr>
        <w:pStyle w:val="Heading1"/>
      </w:pPr>
      <w:r w:rsidRPr="000665B0">
        <w:t xml:space="preserve">The red-colored slice indicates recipients that need to have the data sent. Right-click on the red slice and select Send Data. This sends missing data to those recipient(s) in “personalized/and minimized DDOs.” The option to request inventory is also available by </w:t>
      </w:r>
      <w:r w:rsidR="00D71804" w:rsidRPr="000665B0">
        <w:t>right-click</w:t>
      </w:r>
      <w:r w:rsidRPr="000665B0">
        <w:t>ing the red slice and selecting Request Inventory.</w:t>
      </w:r>
    </w:p>
    <w:p w14:paraId="5C2C648C" w14:textId="01A425B7" w:rsidR="005622DF" w:rsidRPr="000665B0" w:rsidRDefault="005622DF" w:rsidP="009570CA">
      <w:r w:rsidRPr="000665B0">
        <w:t xml:space="preserve">Alternatively, simply click the </w:t>
      </w:r>
      <w:r w:rsidRPr="000665B0">
        <w:rPr>
          <w:b/>
        </w:rPr>
        <w:t>Fix It</w:t>
      </w:r>
      <w:r w:rsidRPr="000665B0">
        <w:t xml:space="preserve"> button in the </w:t>
      </w:r>
      <w:r w:rsidRPr="000665B0">
        <w:rPr>
          <w:b/>
        </w:rPr>
        <w:t>Required Data by Node</w:t>
      </w:r>
      <w:r w:rsidRPr="000665B0">
        <w:t xml:space="preserve"> pane which performs </w:t>
      </w:r>
      <w:r w:rsidR="004825BA" w:rsidRPr="000665B0">
        <w:t xml:space="preserve">both </w:t>
      </w:r>
      <w:r w:rsidRPr="000665B0">
        <w:t>steps. It requests an inventory report to those recipients whose status is unclear and also sends personalized, minimized required data to all recipients.</w:t>
      </w:r>
    </w:p>
    <w:p w14:paraId="3AE3F407" w14:textId="5615952C" w:rsidR="004825BA" w:rsidRPr="000665B0" w:rsidRDefault="004825BA" w:rsidP="009570CA">
      <w:pPr>
        <w:jc w:val="center"/>
      </w:pPr>
      <w:r w:rsidRPr="000665B0">
        <w:rPr>
          <w:noProof/>
        </w:rPr>
        <w:drawing>
          <wp:inline distT="0" distB="0" distL="0" distR="0" wp14:anchorId="150890A7" wp14:editId="4C79B3CB">
            <wp:extent cx="4983480" cy="612648"/>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612648"/>
                    </a:xfrm>
                    <a:prstGeom prst="rect">
                      <a:avLst/>
                    </a:prstGeom>
                  </pic:spPr>
                </pic:pic>
              </a:graphicData>
            </a:graphic>
          </wp:inline>
        </w:drawing>
      </w:r>
    </w:p>
    <w:p w14:paraId="2E1A3DFB" w14:textId="77777777" w:rsidR="005622DF" w:rsidRPr="000665B0" w:rsidRDefault="005622DF" w:rsidP="009570CA">
      <w:r w:rsidRPr="000665B0">
        <w:t xml:space="preserve">The operator may also “drill down” on a per-node level, and request inventory or send DDOs on a per-node basis. See below under the </w:t>
      </w:r>
      <w:r w:rsidRPr="000665B0">
        <w:rPr>
          <w:b/>
        </w:rPr>
        <w:t>Workgroup Members Pane</w:t>
      </w:r>
      <w:r w:rsidRPr="000665B0">
        <w:t>.</w:t>
      </w:r>
    </w:p>
    <w:p w14:paraId="5A77E51C" w14:textId="6D913479" w:rsidR="00FE1098" w:rsidRPr="000665B0" w:rsidRDefault="005622DF" w:rsidP="004A71EA">
      <w:r w:rsidRPr="000665B0">
        <w:t xml:space="preserve">To display node inventory, right-click any part of the pie chart, select </w:t>
      </w:r>
      <w:r w:rsidRPr="000665B0">
        <w:rPr>
          <w:b/>
        </w:rPr>
        <w:t xml:space="preserve">Display Node Inventory </w:t>
      </w:r>
      <w:r w:rsidRPr="000665B0">
        <w:t>and select an individual recipient.</w:t>
      </w:r>
    </w:p>
    <w:p w14:paraId="3977B763" w14:textId="77777777" w:rsidR="00997C7E" w:rsidRDefault="00997C7E" w:rsidP="00997C7E">
      <w:pPr>
        <w:keepNext/>
        <w:pBdr>
          <w:top w:val="single" w:sz="12" w:space="1" w:color="auto"/>
          <w:left w:val="single" w:sz="12" w:space="4" w:color="auto"/>
          <w:bottom w:val="single" w:sz="12" w:space="0" w:color="auto"/>
          <w:right w:val="single" w:sz="12" w:space="4" w:color="auto"/>
        </w:pBdr>
        <w:shd w:val="clear" w:color="auto" w:fill="D9D9D9"/>
        <w:spacing w:after="0"/>
        <w:jc w:val="center"/>
        <w:rPr>
          <w:b/>
        </w:rPr>
      </w:pPr>
      <w:r>
        <w:rPr>
          <w:b/>
        </w:rPr>
        <w:t>Note:</w:t>
      </w:r>
    </w:p>
    <w:p w14:paraId="40C33059" w14:textId="77777777" w:rsidR="00997C7E" w:rsidRDefault="00997C7E" w:rsidP="00997C7E">
      <w:pPr>
        <w:keepNext/>
        <w:pBdr>
          <w:top w:val="single" w:sz="12" w:space="1" w:color="auto"/>
          <w:left w:val="single" w:sz="12" w:space="4" w:color="auto"/>
          <w:bottom w:val="single" w:sz="12" w:space="0" w:color="auto"/>
          <w:right w:val="single" w:sz="12" w:space="4" w:color="auto"/>
        </w:pBdr>
        <w:shd w:val="clear" w:color="auto" w:fill="D9D9D9"/>
        <w:spacing w:after="0"/>
        <w:jc w:val="center"/>
        <w:rPr>
          <w:b/>
          <w:bCs/>
        </w:rPr>
      </w:pPr>
      <w:r>
        <w:rPr>
          <w:b/>
          <w:bCs/>
        </w:rPr>
        <w:t>The pie chart in the Required Data by Node pane does not automatically update. After sending or receiving data, wait a few minutes and click the Refresh button.</w:t>
      </w:r>
    </w:p>
    <w:p w14:paraId="1B22A8F1" w14:textId="77777777" w:rsidR="00997C7E" w:rsidRDefault="00997C7E" w:rsidP="00997C7E">
      <w:pPr>
        <w:keepNext/>
        <w:pBdr>
          <w:top w:val="single" w:sz="12" w:space="1" w:color="auto"/>
          <w:left w:val="single" w:sz="12" w:space="4" w:color="auto"/>
          <w:bottom w:val="single" w:sz="12" w:space="0" w:color="auto"/>
          <w:right w:val="single" w:sz="12" w:space="4" w:color="auto"/>
        </w:pBdr>
        <w:shd w:val="clear" w:color="auto" w:fill="D9D9D9"/>
        <w:spacing w:after="0"/>
        <w:jc w:val="center"/>
        <w:rPr>
          <w:b/>
          <w:bCs/>
        </w:rPr>
      </w:pPr>
    </w:p>
    <w:p w14:paraId="1BB7DA87" w14:textId="77777777" w:rsidR="00997C7E" w:rsidRDefault="00997C7E" w:rsidP="00997C7E">
      <w:pPr>
        <w:keepNext/>
        <w:pBdr>
          <w:top w:val="single" w:sz="12" w:space="1" w:color="auto"/>
          <w:left w:val="single" w:sz="12" w:space="4" w:color="auto"/>
          <w:bottom w:val="single" w:sz="12" w:space="0" w:color="auto"/>
          <w:right w:val="single" w:sz="12" w:space="4" w:color="auto"/>
        </w:pBdr>
        <w:shd w:val="clear" w:color="auto" w:fill="D9D9D9"/>
        <w:spacing w:after="0"/>
        <w:jc w:val="center"/>
        <w:rPr>
          <w:b/>
          <w:bCs/>
        </w:rPr>
      </w:pPr>
      <w:r>
        <w:rPr>
          <w:b/>
          <w:bCs/>
        </w:rPr>
        <w:t>The pie chart will always have a slice of red color for pre-TMPC 6.0.2/pre-TTWCS 5.6.1 nodes when there are ground-launch required missions in the strike, because pre-TMPC 6.0.2/pre-TTWCS 5.6.1 do not recognize a ground-launch required mission, and therefore, ground-launch required missions are not distributed to those nodes. Those nodes will always have missing data regarding ground-launch required missions.</w:t>
      </w:r>
    </w:p>
    <w:p w14:paraId="774730A0" w14:textId="77777777" w:rsidR="00997C7E" w:rsidRDefault="00997C7E" w:rsidP="00997C7E">
      <w:pPr>
        <w:keepNext/>
        <w:pBdr>
          <w:top w:val="single" w:sz="12" w:space="1" w:color="auto"/>
          <w:left w:val="single" w:sz="12" w:space="4" w:color="auto"/>
          <w:bottom w:val="single" w:sz="12" w:space="0" w:color="auto"/>
          <w:right w:val="single" w:sz="12" w:space="4" w:color="auto"/>
        </w:pBdr>
        <w:shd w:val="clear" w:color="auto" w:fill="D9D9D9"/>
        <w:spacing w:after="0"/>
        <w:jc w:val="center"/>
        <w:rPr>
          <w:b/>
          <w:bCs/>
        </w:rPr>
      </w:pPr>
    </w:p>
    <w:p w14:paraId="01216430" w14:textId="4529D514" w:rsidR="00997C7E" w:rsidRPr="00997C7E" w:rsidRDefault="00997C7E" w:rsidP="00997C7E">
      <w:pPr>
        <w:keepNext/>
        <w:pBdr>
          <w:top w:val="single" w:sz="12" w:space="1" w:color="auto"/>
          <w:left w:val="single" w:sz="12" w:space="4" w:color="auto"/>
          <w:bottom w:val="single" w:sz="12" w:space="0" w:color="auto"/>
          <w:right w:val="single" w:sz="12" w:space="4" w:color="auto"/>
        </w:pBdr>
        <w:shd w:val="clear" w:color="auto" w:fill="D9D9D9"/>
        <w:spacing w:after="0"/>
        <w:jc w:val="center"/>
        <w:rPr>
          <w:rFonts w:eastAsiaTheme="minorHAnsi"/>
          <w:b/>
          <w:bCs/>
          <w:kern w:val="2"/>
          <w:szCs w:val="24"/>
        </w:rPr>
      </w:pPr>
      <w:r>
        <w:rPr>
          <w:b/>
          <w:bCs/>
        </w:rPr>
        <w:t>The pie chart will always have a slice of red color for pre-TMPC 7.0.3/pre-V7 TTWCS nodes when there are 109M missions in the strike, because pre-TMPC 7.0.3/pre-V7 TTWCS nodes do not recognize 109M missions, and therefore, 109M missions are not distributed to those nodes. Those nodes will always have missing data regarding</w:t>
      </w:r>
      <w:r w:rsidR="00AF7E82">
        <w:rPr>
          <w:b/>
          <w:bCs/>
        </w:rPr>
        <w:br/>
      </w:r>
      <w:r>
        <w:rPr>
          <w:b/>
          <w:bCs/>
        </w:rPr>
        <w:t>109M missions.</w:t>
      </w:r>
    </w:p>
    <w:p w14:paraId="5C5E7AA1" w14:textId="1F16917A" w:rsidR="005622DF" w:rsidRPr="000665B0" w:rsidRDefault="005622DF" w:rsidP="00141300">
      <w:pPr>
        <w:spacing w:before="120"/>
        <w:rPr>
          <w:b/>
          <w:i/>
        </w:rPr>
      </w:pPr>
      <w:r w:rsidRPr="000665B0">
        <w:rPr>
          <w:b/>
          <w:i/>
        </w:rPr>
        <w:t>The name of the upper-right pane varies depending on the recipients selected.</w:t>
      </w:r>
    </w:p>
    <w:p w14:paraId="40916C11" w14:textId="2130986F" w:rsidR="004779E0" w:rsidRPr="004779E0" w:rsidRDefault="005622DF" w:rsidP="004779E0">
      <w:r w:rsidRPr="000665B0">
        <w:t xml:space="preserve">This list view shows the Group, </w:t>
      </w:r>
      <w:r w:rsidR="00551E3E">
        <w:t>TSC</w:t>
      </w:r>
      <w:r w:rsidR="00682338">
        <w:t xml:space="preserve"> </w:t>
      </w:r>
      <w:r w:rsidRPr="000665B0">
        <w:t>Role,</w:t>
      </w:r>
      <w:r w:rsidR="00551E3E">
        <w:t xml:space="preserve"> ATSC</w:t>
      </w:r>
      <w:r w:rsidRPr="000665B0">
        <w:t xml:space="preserve">, and # of Members. The </w:t>
      </w:r>
      <w:r w:rsidRPr="000665B0">
        <w:rPr>
          <w:b/>
        </w:rPr>
        <w:t>Group</w:t>
      </w:r>
      <w:r w:rsidRPr="000665B0">
        <w:t xml:space="preserve"> column lists the name of the </w:t>
      </w:r>
      <w:r w:rsidR="00C06CDF" w:rsidRPr="000665B0">
        <w:t xml:space="preserve">Task Organization </w:t>
      </w:r>
      <w:r w:rsidRPr="000665B0">
        <w:t xml:space="preserve">or </w:t>
      </w:r>
      <w:r w:rsidR="00C06CDF" w:rsidRPr="000665B0">
        <w:t xml:space="preserve">Arsenal </w:t>
      </w:r>
      <w:r w:rsidRPr="000665B0">
        <w:t>selected to receive the data. “AdHoc Node List” is displayed for a hand-picked list of recipients.</w:t>
      </w:r>
    </w:p>
    <w:p w14:paraId="41769D98" w14:textId="41BACC84" w:rsidR="005622DF" w:rsidRPr="000665B0" w:rsidRDefault="005622DF" w:rsidP="00E22BFB">
      <w:r w:rsidRPr="000665B0">
        <w:rPr>
          <w:b/>
          <w:i/>
        </w:rPr>
        <w:t>Workgroup Members</w:t>
      </w:r>
      <w:r w:rsidRPr="000665B0">
        <w:t xml:space="preserve"> </w:t>
      </w:r>
      <w:r w:rsidRPr="000665B0">
        <w:rPr>
          <w:b/>
          <w:i/>
        </w:rPr>
        <w:t>Pane</w:t>
      </w:r>
    </w:p>
    <w:p w14:paraId="7E88973F" w14:textId="77777777" w:rsidR="005622DF" w:rsidRPr="000665B0" w:rsidRDefault="005622DF" w:rsidP="009570CA">
      <w:r w:rsidRPr="000665B0">
        <w:lastRenderedPageBreak/>
        <w:t>This pane lists the nodes from the selected group(s) and contains detailed information about each recipient’s status.</w:t>
      </w:r>
    </w:p>
    <w:p w14:paraId="591F5395" w14:textId="77777777" w:rsidR="00ED0296" w:rsidRPr="000665B0" w:rsidRDefault="005622DF" w:rsidP="006D5A65">
      <w:pPr>
        <w:pStyle w:val="Heading1"/>
      </w:pPr>
      <w:r w:rsidRPr="000665B0">
        <w:t xml:space="preserve">This pane displays a pie chart for each node in the selected </w:t>
      </w:r>
      <w:r w:rsidR="00D64F78" w:rsidRPr="000665B0">
        <w:t>Work</w:t>
      </w:r>
      <w:r w:rsidRPr="000665B0">
        <w:t>group. The pie chart for each node functions the same way as the pie chart in the Required Data by Node pane, but for each individual recipient. Right-click on any Workgroup Members pie chart to request inventory (yellow color), send data (red color), or display node inventory.</w:t>
      </w:r>
      <w:r w:rsidR="00ED0296" w:rsidRPr="000665B0">
        <w:t xml:space="preserve"> </w:t>
      </w:r>
    </w:p>
    <w:p w14:paraId="21D6532C" w14:textId="7BC6CE2B" w:rsidR="00ED0296" w:rsidRPr="000665B0" w:rsidRDefault="00ED0296" w:rsidP="009570CA">
      <w:pPr>
        <w:ind w:left="720"/>
      </w:pPr>
      <w:r w:rsidRPr="000665B0">
        <w:t xml:space="preserve">An individual node’s pie chart may display a gray-colored slice. The gray-colored slice indicates that the </w:t>
      </w:r>
      <w:r w:rsidR="00597ADD" w:rsidRPr="000665B0">
        <w:t xml:space="preserve">recipient (TTWCS or legacy node) </w:t>
      </w:r>
      <w:r w:rsidRPr="000665B0">
        <w:t xml:space="preserve">does not support </w:t>
      </w:r>
      <w:r w:rsidR="003956FD" w:rsidRPr="000665B0">
        <w:t>(</w:t>
      </w:r>
      <w:r w:rsidR="006124B1" w:rsidRPr="000665B0">
        <w:t>and cannot process</w:t>
      </w:r>
      <w:r w:rsidR="003956FD" w:rsidRPr="000665B0">
        <w:t>)</w:t>
      </w:r>
      <w:r w:rsidR="006124B1" w:rsidRPr="000665B0">
        <w:t xml:space="preserve"> </w:t>
      </w:r>
      <w:r w:rsidRPr="000665B0">
        <w:t xml:space="preserve">the type of data that was sent. </w:t>
      </w:r>
      <w:r w:rsidR="00BE53AF" w:rsidRPr="000665B0">
        <w:t>T</w:t>
      </w:r>
      <w:r w:rsidR="00D64F78" w:rsidRPr="000665B0">
        <w:t>h</w:t>
      </w:r>
      <w:r w:rsidR="00BE53AF" w:rsidRPr="000665B0">
        <w:t>is</w:t>
      </w:r>
      <w:r w:rsidR="00D64F78" w:rsidRPr="000665B0">
        <w:t xml:space="preserve"> data is considered as sent and acknowledged (green slice) in the </w:t>
      </w:r>
      <w:r w:rsidR="00D64F78" w:rsidRPr="000665B0">
        <w:rPr>
          <w:b/>
        </w:rPr>
        <w:t>Required Data by Node</w:t>
      </w:r>
      <w:r w:rsidR="00D64F78" w:rsidRPr="000665B0">
        <w:t xml:space="preserve"> pane’s top</w:t>
      </w:r>
      <w:r w:rsidRPr="000665B0">
        <w:t xml:space="preserve"> level overall pie chart.</w:t>
      </w:r>
      <w:r w:rsidR="00597ADD" w:rsidRPr="000665B0">
        <w:t xml:space="preserve"> </w:t>
      </w:r>
      <w:r w:rsidR="00597ADD" w:rsidRPr="000665B0">
        <w:rPr>
          <w:szCs w:val="24"/>
        </w:rPr>
        <w:t xml:space="preserve">For a TTWCS Node Inventory with any ACMSs containing a </w:t>
      </w:r>
      <w:r w:rsidR="00597ADD" w:rsidRPr="000665B0">
        <w:rPr>
          <w:b/>
          <w:szCs w:val="24"/>
        </w:rPr>
        <w:t>Soft</w:t>
      </w:r>
      <w:r w:rsidR="00597ADD" w:rsidRPr="000665B0">
        <w:rPr>
          <w:szCs w:val="24"/>
        </w:rPr>
        <w:t xml:space="preserve"> status of accountability (</w:t>
      </w:r>
      <w:r w:rsidR="00597ADD" w:rsidRPr="000665B0">
        <w:t>data has been sent, but confirmation has not yet been received</w:t>
      </w:r>
      <w:r w:rsidR="00597ADD" w:rsidRPr="000665B0">
        <w:rPr>
          <w:szCs w:val="24"/>
        </w:rPr>
        <w:t xml:space="preserve">), a gray-colored slice is displayed that is proportional in size to the other items in the inventory. </w:t>
      </w:r>
      <w:r w:rsidR="00597ADD" w:rsidRPr="000665B0">
        <w:t xml:space="preserve">To see which specific Data Types are not supported, click on the gray-colored slice and the </w:t>
      </w:r>
      <w:r w:rsidR="00597ADD" w:rsidRPr="000665B0">
        <w:rPr>
          <w:b/>
        </w:rPr>
        <w:t>Selected Note</w:t>
      </w:r>
      <w:r w:rsidR="00597ADD" w:rsidRPr="000665B0">
        <w:t xml:space="preserve"> pane is populated with information for that node.</w:t>
      </w:r>
    </w:p>
    <w:p w14:paraId="364182DF" w14:textId="77777777" w:rsidR="0047544F" w:rsidRPr="000665B0" w:rsidRDefault="0047544F" w:rsidP="006D5A65">
      <w:pPr>
        <w:pStyle w:val="Heading1"/>
      </w:pPr>
      <w:r w:rsidRPr="000665B0">
        <w:t>Click the Hide Submarines checkbox to not show submarines on the display. Due to the GUARD, it is expected that most (or all) inventory reports sent by submarines will not be received. When the Hide Submarines box is checked, submarines will still be sent DDOs with the required data.</w:t>
      </w:r>
    </w:p>
    <w:p w14:paraId="0A466E38" w14:textId="77777777" w:rsidR="0047544F" w:rsidRPr="000665B0" w:rsidRDefault="0047544F" w:rsidP="006D5A65">
      <w:pPr>
        <w:pStyle w:val="Heading1"/>
      </w:pPr>
      <w:r w:rsidRPr="000665B0">
        <w:t>The Hide No</w:t>
      </w:r>
      <w:r w:rsidR="00B434BB" w:rsidRPr="000665B0">
        <w:t>d</w:t>
      </w:r>
      <w:r w:rsidRPr="000665B0">
        <w:t xml:space="preserve">es Without Issues checkbox allows the operator to display only those nodes that require attention. Nodes that have acknowledged receipt (green color) are hidden which allows the operator to focus on the recipients that require an inventory report (yellow color), or a data resend (red color). </w:t>
      </w:r>
    </w:p>
    <w:p w14:paraId="4AFF1F94" w14:textId="1188BFAF" w:rsidR="005622DF" w:rsidRPr="000665B0" w:rsidRDefault="005622DF" w:rsidP="009570CA">
      <w:pPr>
        <w:rPr>
          <w:b/>
          <w:i/>
        </w:rPr>
      </w:pPr>
      <w:r w:rsidRPr="000665B0">
        <w:rPr>
          <w:b/>
          <w:i/>
        </w:rPr>
        <w:t>Selected Node Pane</w:t>
      </w:r>
    </w:p>
    <w:p w14:paraId="386B4450" w14:textId="14E03FA9" w:rsidR="005622DF" w:rsidRPr="000665B0" w:rsidRDefault="005622DF" w:rsidP="009570CA">
      <w:r w:rsidRPr="000665B0">
        <w:t xml:space="preserve">This pane displays current accountability information for any node that is selected in the </w:t>
      </w:r>
      <w:r w:rsidRPr="000665B0">
        <w:rPr>
          <w:b/>
        </w:rPr>
        <w:t>Workgroup Members</w:t>
      </w:r>
      <w:r w:rsidRPr="000665B0">
        <w:t xml:space="preserve"> pane, compared against the data items being transmitted. The list view shows the Node Id (for the node that is selected in the </w:t>
      </w:r>
      <w:r w:rsidRPr="000665B0">
        <w:rPr>
          <w:b/>
        </w:rPr>
        <w:t>Workgroup Members</w:t>
      </w:r>
      <w:r w:rsidRPr="000665B0">
        <w:t xml:space="preserve"> pane), Data Type, Data Id, and Status. The </w:t>
      </w:r>
      <w:r w:rsidRPr="000665B0">
        <w:rPr>
          <w:b/>
        </w:rPr>
        <w:t>Status</w:t>
      </w:r>
      <w:r w:rsidRPr="000665B0">
        <w:t xml:space="preserve"> column indicates status </w:t>
      </w:r>
      <w:r w:rsidR="00597ADD" w:rsidRPr="000665B0">
        <w:t>that corresponds</w:t>
      </w:r>
      <w:r w:rsidR="00597ADD" w:rsidRPr="000665B0" w:rsidDel="00597ADD">
        <w:t xml:space="preserve"> </w:t>
      </w:r>
      <w:r w:rsidRPr="000665B0">
        <w:t>to the colored pie slices:</w:t>
      </w:r>
    </w:p>
    <w:tbl>
      <w:tblPr>
        <w:tblW w:w="9360" w:type="dxa"/>
        <w:tblInd w:w="-10" w:type="dxa"/>
        <w:tblLayout w:type="fixed"/>
        <w:tblLook w:val="04A0" w:firstRow="1" w:lastRow="0" w:firstColumn="1" w:lastColumn="0" w:noHBand="0" w:noVBand="1"/>
      </w:tblPr>
      <w:tblGrid>
        <w:gridCol w:w="1600"/>
        <w:gridCol w:w="1660"/>
        <w:gridCol w:w="1780"/>
        <w:gridCol w:w="4320"/>
      </w:tblGrid>
      <w:tr w:rsidR="00597ADD" w:rsidRPr="000665B0" w14:paraId="5B38E864" w14:textId="77777777" w:rsidTr="00853015">
        <w:trPr>
          <w:trHeight w:val="630"/>
          <w:tblHeader/>
        </w:trPr>
        <w:tc>
          <w:tcPr>
            <w:tcW w:w="1600" w:type="dxa"/>
            <w:tcBorders>
              <w:top w:val="single" w:sz="8" w:space="0" w:color="auto"/>
              <w:left w:val="single" w:sz="8" w:space="0" w:color="auto"/>
              <w:bottom w:val="single" w:sz="4" w:space="0" w:color="auto"/>
              <w:right w:val="single" w:sz="4" w:space="0" w:color="auto"/>
            </w:tcBorders>
            <w:shd w:val="clear" w:color="auto" w:fill="D9D9D9" w:themeFill="background1" w:themeFillShade="D9"/>
            <w:vAlign w:val="center"/>
            <w:hideMark/>
          </w:tcPr>
          <w:p w14:paraId="1BF1A74C" w14:textId="77777777" w:rsidR="00597ADD" w:rsidRPr="000665B0" w:rsidRDefault="00597ADD" w:rsidP="00141300">
            <w:pPr>
              <w:spacing w:before="60" w:after="60" w:line="240" w:lineRule="auto"/>
              <w:jc w:val="center"/>
              <w:rPr>
                <w:rFonts w:ascii="Arial" w:hAnsi="Arial" w:cs="Arial"/>
                <w:b/>
                <w:bCs/>
                <w:color w:val="000000"/>
                <w:sz w:val="22"/>
                <w:szCs w:val="22"/>
              </w:rPr>
            </w:pPr>
            <w:r w:rsidRPr="000665B0">
              <w:rPr>
                <w:rFonts w:ascii="Arial" w:hAnsi="Arial" w:cs="Arial"/>
                <w:b/>
                <w:bCs/>
                <w:color w:val="000000"/>
                <w:sz w:val="22"/>
                <w:szCs w:val="22"/>
              </w:rPr>
              <w:t>Required Data by Node Pane (Color)</w:t>
            </w:r>
          </w:p>
        </w:tc>
        <w:tc>
          <w:tcPr>
            <w:tcW w:w="1660" w:type="dxa"/>
            <w:tcBorders>
              <w:top w:val="single" w:sz="8" w:space="0" w:color="auto"/>
              <w:left w:val="nil"/>
              <w:bottom w:val="single" w:sz="4" w:space="0" w:color="auto"/>
              <w:right w:val="single" w:sz="4" w:space="0" w:color="auto"/>
            </w:tcBorders>
            <w:shd w:val="clear" w:color="auto" w:fill="D9D9D9" w:themeFill="background1" w:themeFillShade="D9"/>
            <w:vAlign w:val="center"/>
            <w:hideMark/>
          </w:tcPr>
          <w:p w14:paraId="20ABD4AB" w14:textId="77777777" w:rsidR="00597ADD" w:rsidRPr="000665B0" w:rsidRDefault="00597ADD" w:rsidP="00141300">
            <w:pPr>
              <w:spacing w:before="60" w:after="60" w:line="240" w:lineRule="auto"/>
              <w:jc w:val="center"/>
              <w:rPr>
                <w:rFonts w:ascii="Arial" w:hAnsi="Arial" w:cs="Arial"/>
                <w:b/>
                <w:bCs/>
                <w:color w:val="000000"/>
                <w:sz w:val="22"/>
                <w:szCs w:val="22"/>
              </w:rPr>
            </w:pPr>
            <w:r w:rsidRPr="000665B0">
              <w:rPr>
                <w:rFonts w:ascii="Arial" w:hAnsi="Arial" w:cs="Arial"/>
                <w:b/>
                <w:bCs/>
                <w:color w:val="000000"/>
                <w:sz w:val="22"/>
                <w:szCs w:val="22"/>
              </w:rPr>
              <w:t>Workgroup Members</w:t>
            </w:r>
            <w:r w:rsidRPr="000665B0">
              <w:rPr>
                <w:rFonts w:ascii="Arial" w:hAnsi="Arial" w:cs="Arial"/>
                <w:color w:val="000000"/>
                <w:sz w:val="22"/>
                <w:szCs w:val="22"/>
              </w:rPr>
              <w:t xml:space="preserve"> </w:t>
            </w:r>
            <w:r w:rsidRPr="000665B0">
              <w:rPr>
                <w:rFonts w:ascii="Arial" w:hAnsi="Arial" w:cs="Arial"/>
                <w:b/>
                <w:bCs/>
                <w:color w:val="000000"/>
                <w:sz w:val="22"/>
                <w:szCs w:val="22"/>
              </w:rPr>
              <w:t>Pane (Color)</w:t>
            </w:r>
          </w:p>
        </w:tc>
        <w:tc>
          <w:tcPr>
            <w:tcW w:w="1780" w:type="dxa"/>
            <w:tcBorders>
              <w:top w:val="single" w:sz="8" w:space="0" w:color="auto"/>
              <w:left w:val="nil"/>
              <w:bottom w:val="single" w:sz="4" w:space="0" w:color="auto"/>
              <w:right w:val="single" w:sz="4" w:space="0" w:color="auto"/>
            </w:tcBorders>
            <w:shd w:val="clear" w:color="auto" w:fill="D9D9D9" w:themeFill="background1" w:themeFillShade="D9"/>
            <w:vAlign w:val="center"/>
            <w:hideMark/>
          </w:tcPr>
          <w:p w14:paraId="7B0A7797" w14:textId="77777777" w:rsidR="00597ADD" w:rsidRPr="000665B0" w:rsidRDefault="00597ADD" w:rsidP="00141300">
            <w:pPr>
              <w:spacing w:before="60" w:after="60" w:line="240" w:lineRule="auto"/>
              <w:jc w:val="center"/>
              <w:rPr>
                <w:rFonts w:ascii="Arial" w:hAnsi="Arial" w:cs="Arial"/>
                <w:b/>
                <w:bCs/>
                <w:color w:val="000000"/>
                <w:sz w:val="22"/>
                <w:szCs w:val="22"/>
              </w:rPr>
            </w:pPr>
            <w:r w:rsidRPr="000665B0">
              <w:rPr>
                <w:rFonts w:ascii="Arial" w:hAnsi="Arial" w:cs="Arial"/>
                <w:b/>
                <w:bCs/>
                <w:color w:val="000000"/>
                <w:sz w:val="22"/>
                <w:szCs w:val="22"/>
              </w:rPr>
              <w:t>Selected Node Pane – Status Column</w:t>
            </w:r>
          </w:p>
        </w:tc>
        <w:tc>
          <w:tcPr>
            <w:tcW w:w="4320" w:type="dxa"/>
            <w:tcBorders>
              <w:top w:val="single" w:sz="8" w:space="0" w:color="auto"/>
              <w:left w:val="nil"/>
              <w:bottom w:val="single" w:sz="4" w:space="0" w:color="auto"/>
              <w:right w:val="single" w:sz="8" w:space="0" w:color="auto"/>
            </w:tcBorders>
            <w:shd w:val="clear" w:color="auto" w:fill="D9D9D9" w:themeFill="background1" w:themeFillShade="D9"/>
            <w:vAlign w:val="center"/>
            <w:hideMark/>
          </w:tcPr>
          <w:p w14:paraId="5B9AC308" w14:textId="77777777" w:rsidR="00597ADD" w:rsidRPr="000665B0" w:rsidRDefault="00597ADD" w:rsidP="00141300">
            <w:pPr>
              <w:spacing w:before="60" w:after="60" w:line="240" w:lineRule="auto"/>
              <w:jc w:val="center"/>
              <w:rPr>
                <w:rFonts w:ascii="Arial" w:hAnsi="Arial" w:cs="Arial"/>
                <w:b/>
                <w:bCs/>
                <w:color w:val="000000"/>
                <w:sz w:val="22"/>
                <w:szCs w:val="22"/>
              </w:rPr>
            </w:pPr>
            <w:r w:rsidRPr="000665B0">
              <w:rPr>
                <w:rFonts w:ascii="Arial" w:hAnsi="Arial" w:cs="Arial"/>
                <w:b/>
                <w:bCs/>
                <w:color w:val="000000"/>
                <w:sz w:val="22"/>
                <w:szCs w:val="22"/>
              </w:rPr>
              <w:t>Description</w:t>
            </w:r>
          </w:p>
        </w:tc>
      </w:tr>
      <w:tr w:rsidR="00597ADD" w:rsidRPr="000665B0" w14:paraId="6BDD4507" w14:textId="77777777" w:rsidTr="00853015">
        <w:trPr>
          <w:trHeight w:val="630"/>
        </w:trPr>
        <w:tc>
          <w:tcPr>
            <w:tcW w:w="1600" w:type="dxa"/>
            <w:tcBorders>
              <w:top w:val="nil"/>
              <w:left w:val="single" w:sz="8" w:space="0" w:color="auto"/>
              <w:bottom w:val="single" w:sz="4" w:space="0" w:color="auto"/>
              <w:right w:val="single" w:sz="4" w:space="0" w:color="auto"/>
            </w:tcBorders>
            <w:vAlign w:val="center"/>
            <w:hideMark/>
          </w:tcPr>
          <w:p w14:paraId="3138200B"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color w:val="000000"/>
                <w:sz w:val="20"/>
              </w:rPr>
              <w:t>Green</w:t>
            </w:r>
          </w:p>
        </w:tc>
        <w:tc>
          <w:tcPr>
            <w:tcW w:w="1660" w:type="dxa"/>
            <w:tcBorders>
              <w:top w:val="nil"/>
              <w:left w:val="nil"/>
              <w:bottom w:val="single" w:sz="4" w:space="0" w:color="auto"/>
              <w:right w:val="single" w:sz="4" w:space="0" w:color="auto"/>
            </w:tcBorders>
            <w:vAlign w:val="center"/>
            <w:hideMark/>
          </w:tcPr>
          <w:p w14:paraId="5132060F"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color w:val="000000"/>
                <w:sz w:val="20"/>
              </w:rPr>
              <w:t>Green</w:t>
            </w:r>
          </w:p>
        </w:tc>
        <w:tc>
          <w:tcPr>
            <w:tcW w:w="1780" w:type="dxa"/>
            <w:tcBorders>
              <w:top w:val="nil"/>
              <w:left w:val="nil"/>
              <w:bottom w:val="single" w:sz="4" w:space="0" w:color="auto"/>
              <w:right w:val="single" w:sz="4" w:space="0" w:color="auto"/>
            </w:tcBorders>
            <w:vAlign w:val="center"/>
            <w:hideMark/>
          </w:tcPr>
          <w:p w14:paraId="071F52E8"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color w:val="000000"/>
                <w:sz w:val="20"/>
              </w:rPr>
              <w:t>CONFIRMED</w:t>
            </w:r>
          </w:p>
        </w:tc>
        <w:tc>
          <w:tcPr>
            <w:tcW w:w="4320" w:type="dxa"/>
            <w:tcBorders>
              <w:top w:val="nil"/>
              <w:left w:val="nil"/>
              <w:bottom w:val="single" w:sz="4" w:space="0" w:color="auto"/>
              <w:right w:val="single" w:sz="8" w:space="0" w:color="auto"/>
            </w:tcBorders>
            <w:vAlign w:val="center"/>
            <w:hideMark/>
          </w:tcPr>
          <w:p w14:paraId="57BC3F82"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sz w:val="20"/>
              </w:rPr>
              <w:t>Recipients have been sent data and have acknowledged receipt.</w:t>
            </w:r>
          </w:p>
        </w:tc>
      </w:tr>
      <w:tr w:rsidR="00597ADD" w:rsidRPr="000665B0" w14:paraId="0B4ADFC4" w14:textId="77777777" w:rsidTr="00853015">
        <w:trPr>
          <w:trHeight w:val="945"/>
        </w:trPr>
        <w:tc>
          <w:tcPr>
            <w:tcW w:w="1600" w:type="dxa"/>
            <w:tcBorders>
              <w:top w:val="nil"/>
              <w:left w:val="single" w:sz="8" w:space="0" w:color="auto"/>
              <w:bottom w:val="single" w:sz="4" w:space="0" w:color="auto"/>
              <w:right w:val="single" w:sz="4" w:space="0" w:color="auto"/>
            </w:tcBorders>
            <w:vAlign w:val="center"/>
            <w:hideMark/>
          </w:tcPr>
          <w:p w14:paraId="22ADFF7A"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color w:val="000000"/>
                <w:sz w:val="20"/>
              </w:rPr>
              <w:t>Yellow</w:t>
            </w:r>
          </w:p>
        </w:tc>
        <w:tc>
          <w:tcPr>
            <w:tcW w:w="1660" w:type="dxa"/>
            <w:tcBorders>
              <w:top w:val="nil"/>
              <w:left w:val="nil"/>
              <w:bottom w:val="single" w:sz="4" w:space="0" w:color="auto"/>
              <w:right w:val="single" w:sz="4" w:space="0" w:color="auto"/>
            </w:tcBorders>
            <w:vAlign w:val="center"/>
            <w:hideMark/>
          </w:tcPr>
          <w:p w14:paraId="082EAE63"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color w:val="000000"/>
                <w:sz w:val="20"/>
              </w:rPr>
              <w:t>Yellow</w:t>
            </w:r>
          </w:p>
        </w:tc>
        <w:tc>
          <w:tcPr>
            <w:tcW w:w="1780" w:type="dxa"/>
            <w:tcBorders>
              <w:top w:val="nil"/>
              <w:left w:val="nil"/>
              <w:bottom w:val="single" w:sz="4" w:space="0" w:color="auto"/>
              <w:right w:val="single" w:sz="4" w:space="0" w:color="auto"/>
            </w:tcBorders>
            <w:vAlign w:val="center"/>
            <w:hideMark/>
          </w:tcPr>
          <w:p w14:paraId="01E4AEE3"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color w:val="000000"/>
                <w:sz w:val="20"/>
              </w:rPr>
              <w:t>SENT</w:t>
            </w:r>
          </w:p>
        </w:tc>
        <w:tc>
          <w:tcPr>
            <w:tcW w:w="4320" w:type="dxa"/>
            <w:tcBorders>
              <w:top w:val="nil"/>
              <w:left w:val="nil"/>
              <w:bottom w:val="single" w:sz="4" w:space="0" w:color="auto"/>
              <w:right w:val="single" w:sz="8" w:space="0" w:color="auto"/>
            </w:tcBorders>
            <w:vAlign w:val="center"/>
            <w:hideMark/>
          </w:tcPr>
          <w:p w14:paraId="3D15E04E"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sz w:val="20"/>
              </w:rPr>
              <w:t xml:space="preserve">Recipients have had the data sent but have not acknowledged receipt. </w:t>
            </w:r>
            <w:r w:rsidRPr="000665B0">
              <w:rPr>
                <w:rFonts w:ascii="Arial" w:hAnsi="Arial" w:cs="Arial"/>
                <w:color w:val="000000"/>
                <w:sz w:val="20"/>
              </w:rPr>
              <w:t>Request an inventory report or resend the data.</w:t>
            </w:r>
          </w:p>
        </w:tc>
      </w:tr>
      <w:tr w:rsidR="00597ADD" w:rsidRPr="000665B0" w14:paraId="10A1BEF4" w14:textId="77777777" w:rsidTr="00853015">
        <w:trPr>
          <w:trHeight w:val="315"/>
        </w:trPr>
        <w:tc>
          <w:tcPr>
            <w:tcW w:w="1600" w:type="dxa"/>
            <w:tcBorders>
              <w:top w:val="nil"/>
              <w:left w:val="single" w:sz="8" w:space="0" w:color="auto"/>
              <w:bottom w:val="single" w:sz="4" w:space="0" w:color="auto"/>
              <w:right w:val="single" w:sz="4" w:space="0" w:color="auto"/>
            </w:tcBorders>
            <w:vAlign w:val="center"/>
            <w:hideMark/>
          </w:tcPr>
          <w:p w14:paraId="52771AFF"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color w:val="000000"/>
                <w:sz w:val="20"/>
              </w:rPr>
              <w:lastRenderedPageBreak/>
              <w:t>Red</w:t>
            </w:r>
          </w:p>
        </w:tc>
        <w:tc>
          <w:tcPr>
            <w:tcW w:w="1660" w:type="dxa"/>
            <w:tcBorders>
              <w:top w:val="nil"/>
              <w:left w:val="nil"/>
              <w:bottom w:val="single" w:sz="4" w:space="0" w:color="auto"/>
              <w:right w:val="single" w:sz="4" w:space="0" w:color="auto"/>
            </w:tcBorders>
            <w:vAlign w:val="center"/>
            <w:hideMark/>
          </w:tcPr>
          <w:p w14:paraId="3E539CB3"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color w:val="000000"/>
                <w:sz w:val="20"/>
              </w:rPr>
              <w:t>Red</w:t>
            </w:r>
          </w:p>
        </w:tc>
        <w:tc>
          <w:tcPr>
            <w:tcW w:w="1780" w:type="dxa"/>
            <w:tcBorders>
              <w:top w:val="nil"/>
              <w:left w:val="nil"/>
              <w:bottom w:val="single" w:sz="4" w:space="0" w:color="auto"/>
              <w:right w:val="single" w:sz="4" w:space="0" w:color="auto"/>
            </w:tcBorders>
            <w:vAlign w:val="center"/>
            <w:hideMark/>
          </w:tcPr>
          <w:p w14:paraId="28AF66BB"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color w:val="000000"/>
                <w:sz w:val="20"/>
              </w:rPr>
              <w:t>MISSING</w:t>
            </w:r>
          </w:p>
        </w:tc>
        <w:tc>
          <w:tcPr>
            <w:tcW w:w="4320" w:type="dxa"/>
            <w:tcBorders>
              <w:top w:val="nil"/>
              <w:left w:val="nil"/>
              <w:bottom w:val="single" w:sz="4" w:space="0" w:color="auto"/>
              <w:right w:val="single" w:sz="8" w:space="0" w:color="auto"/>
            </w:tcBorders>
            <w:vAlign w:val="center"/>
            <w:hideMark/>
          </w:tcPr>
          <w:p w14:paraId="6C04D665" w14:textId="77777777" w:rsidR="00597ADD" w:rsidRPr="000665B0" w:rsidRDefault="00597ADD" w:rsidP="00141300">
            <w:pPr>
              <w:spacing w:before="60" w:after="60" w:line="240" w:lineRule="auto"/>
              <w:rPr>
                <w:rFonts w:ascii="Arial" w:hAnsi="Arial" w:cs="Arial"/>
                <w:color w:val="000000"/>
                <w:sz w:val="20"/>
              </w:rPr>
            </w:pPr>
            <w:r w:rsidRPr="000665B0">
              <w:rPr>
                <w:rFonts w:ascii="Arial" w:hAnsi="Arial" w:cs="Arial"/>
                <w:color w:val="000000"/>
                <w:sz w:val="20"/>
              </w:rPr>
              <w:t>Recipients need to have the data sent.</w:t>
            </w:r>
          </w:p>
        </w:tc>
      </w:tr>
      <w:tr w:rsidR="00597ADD" w:rsidRPr="000665B0" w14:paraId="15549F22" w14:textId="77777777" w:rsidTr="00853015">
        <w:trPr>
          <w:trHeight w:val="330"/>
        </w:trPr>
        <w:tc>
          <w:tcPr>
            <w:tcW w:w="1600" w:type="dxa"/>
            <w:tcBorders>
              <w:top w:val="nil"/>
              <w:left w:val="single" w:sz="8" w:space="0" w:color="auto"/>
              <w:bottom w:val="single" w:sz="8" w:space="0" w:color="auto"/>
              <w:right w:val="single" w:sz="4" w:space="0" w:color="auto"/>
            </w:tcBorders>
            <w:vAlign w:val="center"/>
            <w:hideMark/>
          </w:tcPr>
          <w:p w14:paraId="28275D99" w14:textId="77777777" w:rsidR="00597ADD" w:rsidRPr="000665B0" w:rsidRDefault="00597ADD" w:rsidP="00141300">
            <w:pPr>
              <w:keepNext/>
              <w:keepLines/>
              <w:spacing w:before="60" w:after="60" w:line="240" w:lineRule="auto"/>
              <w:rPr>
                <w:rFonts w:ascii="Arial" w:hAnsi="Arial" w:cs="Arial"/>
                <w:color w:val="000000"/>
                <w:sz w:val="20"/>
              </w:rPr>
            </w:pPr>
            <w:r w:rsidRPr="000665B0">
              <w:rPr>
                <w:rFonts w:ascii="Arial" w:hAnsi="Arial" w:cs="Arial"/>
                <w:color w:val="000000"/>
                <w:sz w:val="20"/>
              </w:rPr>
              <w:t>Green</w:t>
            </w:r>
          </w:p>
        </w:tc>
        <w:tc>
          <w:tcPr>
            <w:tcW w:w="1660" w:type="dxa"/>
            <w:tcBorders>
              <w:top w:val="nil"/>
              <w:left w:val="nil"/>
              <w:bottom w:val="single" w:sz="8" w:space="0" w:color="auto"/>
              <w:right w:val="single" w:sz="4" w:space="0" w:color="auto"/>
            </w:tcBorders>
            <w:vAlign w:val="center"/>
            <w:hideMark/>
          </w:tcPr>
          <w:p w14:paraId="093E90F3" w14:textId="77777777" w:rsidR="00597ADD" w:rsidRPr="000665B0" w:rsidRDefault="00597ADD" w:rsidP="00141300">
            <w:pPr>
              <w:keepNext/>
              <w:keepLines/>
              <w:spacing w:before="60" w:after="60" w:line="240" w:lineRule="auto"/>
              <w:rPr>
                <w:rFonts w:ascii="Arial" w:hAnsi="Arial" w:cs="Arial"/>
                <w:color w:val="000000"/>
                <w:sz w:val="20"/>
              </w:rPr>
            </w:pPr>
            <w:r w:rsidRPr="000665B0">
              <w:rPr>
                <w:rFonts w:ascii="Arial" w:hAnsi="Arial" w:cs="Arial"/>
                <w:color w:val="000000"/>
                <w:sz w:val="20"/>
              </w:rPr>
              <w:t>Gray</w:t>
            </w:r>
          </w:p>
        </w:tc>
        <w:tc>
          <w:tcPr>
            <w:tcW w:w="1780" w:type="dxa"/>
            <w:tcBorders>
              <w:top w:val="nil"/>
              <w:left w:val="nil"/>
              <w:bottom w:val="single" w:sz="8" w:space="0" w:color="auto"/>
              <w:right w:val="single" w:sz="4" w:space="0" w:color="auto"/>
            </w:tcBorders>
            <w:vAlign w:val="center"/>
            <w:hideMark/>
          </w:tcPr>
          <w:p w14:paraId="404B7000" w14:textId="77777777" w:rsidR="00597ADD" w:rsidRPr="000665B0" w:rsidRDefault="00597ADD" w:rsidP="00141300">
            <w:pPr>
              <w:keepNext/>
              <w:keepLines/>
              <w:spacing w:before="60" w:after="60" w:line="240" w:lineRule="auto"/>
              <w:rPr>
                <w:rFonts w:ascii="Arial" w:hAnsi="Arial" w:cs="Arial"/>
                <w:color w:val="000000"/>
                <w:sz w:val="20"/>
              </w:rPr>
            </w:pPr>
            <w:r w:rsidRPr="000665B0">
              <w:rPr>
                <w:rFonts w:ascii="Arial" w:hAnsi="Arial" w:cs="Arial"/>
                <w:color w:val="000000"/>
                <w:sz w:val="20"/>
              </w:rPr>
              <w:t>DATA LIMITATION</w:t>
            </w:r>
          </w:p>
        </w:tc>
        <w:tc>
          <w:tcPr>
            <w:tcW w:w="4320" w:type="dxa"/>
            <w:tcBorders>
              <w:top w:val="nil"/>
              <w:left w:val="nil"/>
              <w:bottom w:val="single" w:sz="8" w:space="0" w:color="auto"/>
              <w:right w:val="single" w:sz="8" w:space="0" w:color="auto"/>
            </w:tcBorders>
            <w:vAlign w:val="center"/>
            <w:hideMark/>
          </w:tcPr>
          <w:p w14:paraId="291492E8" w14:textId="4C6F60B3" w:rsidR="00597ADD" w:rsidRPr="000665B0" w:rsidRDefault="00597ADD" w:rsidP="00141300">
            <w:pPr>
              <w:keepNext/>
              <w:keepLines/>
              <w:spacing w:before="60" w:after="60" w:line="240" w:lineRule="auto"/>
              <w:rPr>
                <w:rFonts w:ascii="Arial" w:hAnsi="Arial" w:cs="Arial"/>
                <w:color w:val="000000"/>
                <w:sz w:val="20"/>
              </w:rPr>
            </w:pPr>
            <w:r w:rsidRPr="000665B0">
              <w:rPr>
                <w:rFonts w:ascii="Arial" w:hAnsi="Arial" w:cs="Arial"/>
                <w:color w:val="000000"/>
                <w:sz w:val="20"/>
              </w:rPr>
              <w:t>Recipient (TTWCS or legacy node) does not support (and cannot process) the type of data that was sent. The data is not considered for that nodes’ accountability. For example, certain ACMS types (</w:t>
            </w:r>
            <w:r w:rsidR="003509EA" w:rsidRPr="000665B0">
              <w:rPr>
                <w:rFonts w:ascii="Arial" w:hAnsi="Arial" w:cs="Arial"/>
                <w:color w:val="000000"/>
                <w:sz w:val="20"/>
              </w:rPr>
              <w:t xml:space="preserve">e.g., </w:t>
            </w:r>
            <w:r w:rsidRPr="000665B0">
              <w:rPr>
                <w:rFonts w:ascii="Arial" w:hAnsi="Arial" w:cs="Arial"/>
                <w:color w:val="000000"/>
                <w:sz w:val="20"/>
              </w:rPr>
              <w:t>Target Area, Prohibited Area with Floor and Ceiling settings) are not distributable to TTWCS. This type of data is ignored in the TTWCS’ accountability.</w:t>
            </w:r>
          </w:p>
        </w:tc>
      </w:tr>
    </w:tbl>
    <w:p w14:paraId="74885F98" w14:textId="74EE575F" w:rsidR="009434FD" w:rsidRPr="000665B0" w:rsidRDefault="009434FD" w:rsidP="009570CA">
      <w:pPr>
        <w:pStyle w:val="Heading3"/>
      </w:pPr>
      <w:bookmarkStart w:id="792" w:name="_Additional__Information"/>
      <w:bookmarkStart w:id="793" w:name="_Toc214283142"/>
      <w:bookmarkStart w:id="794" w:name="_Hlk63861516"/>
      <w:bookmarkEnd w:id="792"/>
      <w:r w:rsidRPr="000665B0">
        <w:t>Additional Information Icon</w:t>
      </w:r>
      <w:bookmarkEnd w:id="793"/>
    </w:p>
    <w:p w14:paraId="3245E670" w14:textId="30E68200" w:rsidR="00BA5239" w:rsidRPr="000665B0" w:rsidRDefault="0039122A" w:rsidP="009570CA">
      <w:r w:rsidRPr="000665B0">
        <w:t>T</w:t>
      </w:r>
      <w:r w:rsidR="009434FD" w:rsidRPr="000665B0">
        <w:t>he Additional Information icon</w:t>
      </w:r>
      <w:r w:rsidR="002A1893" w:rsidRPr="000665B0">
        <w:t xml:space="preserve"> </w:t>
      </w:r>
      <w:r w:rsidR="004A219D">
        <w:t>(Φ)</w:t>
      </w:r>
      <w:r w:rsidR="00677B9A" w:rsidRPr="000665B0">
        <w:t xml:space="preserve"> in list view column heads or textual view fields</w:t>
      </w:r>
      <w:r w:rsidR="002A1893" w:rsidRPr="000665B0">
        <w:t xml:space="preserve"> </w:t>
      </w:r>
      <w:r w:rsidR="009434FD" w:rsidRPr="000665B0">
        <w:t>indicate</w:t>
      </w:r>
      <w:r w:rsidR="002A1893" w:rsidRPr="000665B0">
        <w:t>s</w:t>
      </w:r>
      <w:r w:rsidR="009434FD" w:rsidRPr="000665B0">
        <w:t xml:space="preserve"> that additional information is available for the data within </w:t>
      </w:r>
      <w:r w:rsidR="00FE414D" w:rsidRPr="000665B0">
        <w:t>the</w:t>
      </w:r>
      <w:r w:rsidR="009434FD" w:rsidRPr="000665B0">
        <w:t xml:space="preserve"> column or field. </w:t>
      </w:r>
    </w:p>
    <w:p w14:paraId="7E0EED0B" w14:textId="3135C7CA" w:rsidR="009434FD" w:rsidRPr="000665B0" w:rsidRDefault="009434FD" w:rsidP="009570CA">
      <w:r w:rsidRPr="000665B0">
        <w:t>To view the additional information when the icon is present:</w:t>
      </w:r>
    </w:p>
    <w:p w14:paraId="2988777D" w14:textId="15396E9F" w:rsidR="009434FD" w:rsidRPr="000665B0" w:rsidRDefault="009434FD" w:rsidP="006D5A65">
      <w:pPr>
        <w:pStyle w:val="Heading1"/>
      </w:pPr>
      <w:r w:rsidRPr="000665B0">
        <w:t xml:space="preserve">Hover the mouse over the </w:t>
      </w:r>
      <w:r w:rsidR="002A1893" w:rsidRPr="000665B0">
        <w:t xml:space="preserve">specific </w:t>
      </w:r>
      <w:r w:rsidRPr="000665B0">
        <w:t>data</w:t>
      </w:r>
      <w:r w:rsidR="002A1893" w:rsidRPr="000665B0">
        <w:t xml:space="preserve"> item</w:t>
      </w:r>
      <w:r w:rsidRPr="000665B0">
        <w:t xml:space="preserve"> in the column or textual display where the icon is displayed.</w:t>
      </w:r>
    </w:p>
    <w:p w14:paraId="18618BFC" w14:textId="2525219D" w:rsidR="002A1893" w:rsidRPr="000665B0" w:rsidRDefault="002A1893" w:rsidP="006D5A65">
      <w:pPr>
        <w:pStyle w:val="Heading1"/>
      </w:pPr>
      <w:r w:rsidRPr="000665B0">
        <w:t xml:space="preserve">A </w:t>
      </w:r>
      <w:r w:rsidR="00BA12DA">
        <w:t>tooltip</w:t>
      </w:r>
      <w:r w:rsidRPr="000665B0">
        <w:t xml:space="preserve"> is displayed with additional information about the data</w:t>
      </w:r>
      <w:r w:rsidR="00C740AB" w:rsidRPr="000665B0">
        <w:t xml:space="preserve"> item</w:t>
      </w:r>
      <w:r w:rsidRPr="000665B0">
        <w:t>.</w:t>
      </w:r>
    </w:p>
    <w:p w14:paraId="4C70D7A3" w14:textId="222F8C0D" w:rsidR="009434FD" w:rsidRPr="000665B0" w:rsidRDefault="003B027D" w:rsidP="009570CA">
      <w:pPr>
        <w:jc w:val="center"/>
      </w:pPr>
      <w:r w:rsidRPr="000665B0">
        <w:rPr>
          <w:noProof/>
        </w:rPr>
        <w:drawing>
          <wp:inline distT="0" distB="0" distL="0" distR="0" wp14:anchorId="130ADE7D" wp14:editId="4CD3E075">
            <wp:extent cx="3008981" cy="1447800"/>
            <wp:effectExtent l="0" t="0" r="0" b="0"/>
            <wp:docPr id="1660" name="Picture 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020616" cy="1453398"/>
                    </a:xfrm>
                    <a:prstGeom prst="rect">
                      <a:avLst/>
                    </a:prstGeom>
                  </pic:spPr>
                </pic:pic>
              </a:graphicData>
            </a:graphic>
          </wp:inline>
        </w:drawing>
      </w:r>
    </w:p>
    <w:p w14:paraId="55A5E06B" w14:textId="376AAF88" w:rsidR="00EC11BC" w:rsidRPr="000665B0" w:rsidRDefault="003B027D" w:rsidP="009570CA">
      <w:pPr>
        <w:jc w:val="center"/>
      </w:pPr>
      <w:r w:rsidRPr="000665B0">
        <w:rPr>
          <w:noProof/>
        </w:rPr>
        <w:drawing>
          <wp:inline distT="0" distB="0" distL="0" distR="0" wp14:anchorId="33003854" wp14:editId="3C9E30F7">
            <wp:extent cx="3154680" cy="2185416"/>
            <wp:effectExtent l="0" t="0" r="0" b="0"/>
            <wp:docPr id="1663" name="Picture 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2185416"/>
                    </a:xfrm>
                    <a:prstGeom prst="rect">
                      <a:avLst/>
                    </a:prstGeom>
                  </pic:spPr>
                </pic:pic>
              </a:graphicData>
            </a:graphic>
          </wp:inline>
        </w:drawing>
      </w:r>
    </w:p>
    <w:p w14:paraId="1B7E1BFA" w14:textId="0241F0F5" w:rsidR="003B027D" w:rsidRPr="000665B0" w:rsidRDefault="00DB72F1" w:rsidP="006D5A65">
      <w:pPr>
        <w:pStyle w:val="Heading1"/>
      </w:pPr>
      <w:bookmarkStart w:id="795" w:name="_Hlk86930917"/>
      <w:r w:rsidRPr="000665B0">
        <w:lastRenderedPageBreak/>
        <w:t xml:space="preserve">The </w:t>
      </w:r>
      <w:r w:rsidR="0060427F">
        <w:t xml:space="preserve">tooltip </w:t>
      </w:r>
      <w:r w:rsidRPr="000665B0">
        <w:t xml:space="preserve">with additional information is also available in all displays </w:t>
      </w:r>
      <w:r w:rsidR="00FE414D" w:rsidRPr="000665B0">
        <w:t>of</w:t>
      </w:r>
      <w:r w:rsidRPr="000665B0">
        <w:t xml:space="preserve"> </w:t>
      </w:r>
      <w:r w:rsidR="00FE414D" w:rsidRPr="000665B0">
        <w:t xml:space="preserve">missile IDs that contain the 4-character missile </w:t>
      </w:r>
      <w:r w:rsidRPr="000665B0">
        <w:t>ID</w:t>
      </w:r>
      <w:r w:rsidR="00530821" w:rsidRPr="000665B0">
        <w:t xml:space="preserve"> (see </w:t>
      </w:r>
      <w:hyperlink w:anchor="_4_-Character_Missile" w:history="1">
        <w:r w:rsidR="00530821" w:rsidRPr="000665B0">
          <w:rPr>
            <w:rStyle w:val="Hyperlink"/>
          </w:rPr>
          <w:t>Section 5.1</w:t>
        </w:r>
        <w:r w:rsidR="00923E12">
          <w:rPr>
            <w:rStyle w:val="Hyperlink"/>
          </w:rPr>
          <w:t>4</w:t>
        </w:r>
        <w:r w:rsidR="00530821" w:rsidRPr="000665B0">
          <w:rPr>
            <w:rStyle w:val="Hyperlink"/>
          </w:rPr>
          <w:t>.1</w:t>
        </w:r>
      </w:hyperlink>
      <w:r w:rsidR="00530821" w:rsidRPr="000665B0">
        <w:t>)</w:t>
      </w:r>
      <w:r w:rsidRPr="000665B0">
        <w:t>, even when the icon is not present (e.g. Mission textual view)</w:t>
      </w:r>
      <w:r w:rsidR="00A86AD3" w:rsidRPr="000665B0">
        <w:t>.</w:t>
      </w:r>
    </w:p>
    <w:bookmarkEnd w:id="795"/>
    <w:p w14:paraId="5E58593C" w14:textId="0C09B5D6" w:rsidR="00DB72F1" w:rsidRPr="000665B0" w:rsidRDefault="00A86AD3" w:rsidP="009570CA">
      <w:pPr>
        <w:jc w:val="center"/>
      </w:pPr>
      <w:r w:rsidRPr="000665B0">
        <w:rPr>
          <w:noProof/>
        </w:rPr>
        <w:drawing>
          <wp:inline distT="0" distB="0" distL="0" distR="0" wp14:anchorId="7310CA45" wp14:editId="7D8F3F40">
            <wp:extent cx="3154680" cy="1508760"/>
            <wp:effectExtent l="0" t="0" r="0" b="0"/>
            <wp:docPr id="2139" name="Picture 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3154680" cy="1508760"/>
                    </a:xfrm>
                    <a:prstGeom prst="rect">
                      <a:avLst/>
                    </a:prstGeom>
                    <a:ln>
                      <a:noFill/>
                    </a:ln>
                    <a:extLst>
                      <a:ext uri="{53640926-AAD7-44D8-BBD7-CCE9431645EC}">
                        <a14:shadowObscured xmlns:a14="http://schemas.microsoft.com/office/drawing/2010/main"/>
                      </a:ext>
                    </a:extLst>
                  </pic:spPr>
                </pic:pic>
              </a:graphicData>
            </a:graphic>
          </wp:inline>
        </w:drawing>
      </w:r>
    </w:p>
    <w:p w14:paraId="141EC88B" w14:textId="77777777" w:rsidR="009434FD" w:rsidRPr="000665B0" w:rsidRDefault="009434FD" w:rsidP="009570CA">
      <w:pPr>
        <w:spacing w:after="0"/>
      </w:pPr>
    </w:p>
    <w:p w14:paraId="4444E308" w14:textId="77777777" w:rsidR="00A316EA" w:rsidRDefault="00A316EA" w:rsidP="009570CA">
      <w:pPr>
        <w:pStyle w:val="number1"/>
        <w:spacing w:before="0" w:beforeAutospacing="0" w:after="0" w:afterAutospacing="0"/>
      </w:pPr>
      <w:r>
        <w:br w:type="page"/>
      </w:r>
      <w:bookmarkStart w:id="796" w:name="_5.3__TDM"/>
      <w:bookmarkStart w:id="797" w:name="_5.4.1.1_ReSend_USNs"/>
      <w:bookmarkStart w:id="798" w:name="_5.3.1.1_ReSend_USNs"/>
      <w:bookmarkStart w:id="799" w:name="_5.3.1.1__ReSend"/>
      <w:bookmarkStart w:id="800" w:name="_5.4.1.2_Secret_Ops"/>
      <w:bookmarkStart w:id="801" w:name="_5.3.1.2_Secret_Ops"/>
      <w:bookmarkStart w:id="802" w:name="_5.3.1.2__Secret"/>
      <w:bookmarkStart w:id="803" w:name="_5.3.1.1__Secret_Ops"/>
      <w:bookmarkStart w:id="804" w:name="_5.3__DIstribution"/>
      <w:bookmarkStart w:id="805" w:name="_Toc214283143"/>
      <w:bookmarkStart w:id="806" w:name="_Toc71955146"/>
      <w:bookmarkStart w:id="807" w:name="_Toc96169767"/>
      <w:bookmarkStart w:id="808" w:name="_Toc96233812"/>
      <w:bookmarkStart w:id="809" w:name="_Toc112733242"/>
      <w:bookmarkStart w:id="810" w:name="_Toc171731913"/>
      <w:bookmarkStart w:id="811" w:name="_Toc71955153"/>
      <w:bookmarkStart w:id="812" w:name="_Toc96169774"/>
      <w:bookmarkStart w:id="813" w:name="_Toc96233819"/>
      <w:bookmarkStart w:id="814" w:name="_Toc112733249"/>
      <w:bookmarkEnd w:id="794"/>
      <w:bookmarkEnd w:id="796"/>
      <w:bookmarkEnd w:id="797"/>
      <w:bookmarkEnd w:id="798"/>
      <w:bookmarkEnd w:id="799"/>
      <w:bookmarkEnd w:id="800"/>
      <w:bookmarkEnd w:id="801"/>
      <w:bookmarkEnd w:id="802"/>
      <w:bookmarkEnd w:id="803"/>
      <w:bookmarkEnd w:id="804"/>
      <w:r w:rsidR="009319FE" w:rsidRPr="000665B0">
        <w:lastRenderedPageBreak/>
        <w:t>DISTRIBUTION SERVICE</w:t>
      </w:r>
      <w:bookmarkEnd w:id="805"/>
      <w:r w:rsidR="009319FE" w:rsidRPr="000665B0">
        <w:t xml:space="preserve"> </w:t>
      </w:r>
    </w:p>
    <w:p w14:paraId="2A2B6117" w14:textId="77777777" w:rsidR="00414C31" w:rsidRPr="000665B0" w:rsidRDefault="00414C31" w:rsidP="009570CA">
      <w:pPr>
        <w:autoSpaceDE w:val="0"/>
        <w:autoSpaceDN w:val="0"/>
        <w:adjustRightInd w:val="0"/>
        <w:rPr>
          <w:b/>
        </w:rPr>
      </w:pPr>
      <w:r w:rsidRPr="000665B0">
        <w:rPr>
          <w:b/>
        </w:rPr>
        <w:t>Overview</w:t>
      </w:r>
    </w:p>
    <w:p w14:paraId="5D3889CB" w14:textId="0FB2AA2B" w:rsidR="00414C31" w:rsidRPr="000665B0" w:rsidRDefault="00414C31" w:rsidP="009570CA">
      <w:pPr>
        <w:autoSpaceDE w:val="0"/>
        <w:autoSpaceDN w:val="0"/>
        <w:adjustRightInd w:val="0"/>
        <w:rPr>
          <w:szCs w:val="24"/>
        </w:rPr>
      </w:pPr>
      <w:r w:rsidRPr="000665B0">
        <w:t xml:space="preserve">Distribution </w:t>
      </w:r>
      <w:r w:rsidR="00DA07D3" w:rsidRPr="000665B0">
        <w:t xml:space="preserve">Service </w:t>
      </w:r>
      <w:r w:rsidRPr="000665B0">
        <w:t>(formerly known as TDM) is a TED Service component that is the segment of TCOMMS that handles the transmission and reception of data between TED and external communication paths</w:t>
      </w:r>
      <w:r w:rsidRPr="000665B0">
        <w:rPr>
          <w:szCs w:val="24"/>
        </w:rPr>
        <w:t xml:space="preserve">. </w:t>
      </w:r>
      <w:r w:rsidR="00DA07D3" w:rsidRPr="000665B0">
        <w:rPr>
          <w:szCs w:val="24"/>
        </w:rPr>
        <w:t xml:space="preserve">The </w:t>
      </w:r>
      <w:r w:rsidRPr="000665B0">
        <w:rPr>
          <w:szCs w:val="24"/>
        </w:rPr>
        <w:t xml:space="preserve">Distribution </w:t>
      </w:r>
      <w:r w:rsidR="00DA07D3" w:rsidRPr="000665B0">
        <w:rPr>
          <w:szCs w:val="24"/>
        </w:rPr>
        <w:t xml:space="preserve">Service </w:t>
      </w:r>
      <w:r w:rsidRPr="000665B0">
        <w:rPr>
          <w:szCs w:val="24"/>
        </w:rPr>
        <w:t>TED component is made up of two services.</w:t>
      </w:r>
    </w:p>
    <w:p w14:paraId="5D0B13CD" w14:textId="77777777" w:rsidR="00414C31" w:rsidRPr="000665B0" w:rsidRDefault="00414C31" w:rsidP="006D5A65">
      <w:pPr>
        <w:pStyle w:val="Heading1"/>
      </w:pPr>
      <w:r w:rsidRPr="000665B0">
        <w:t xml:space="preserve">Distribution Service </w:t>
      </w:r>
      <w:r w:rsidR="00DA07D3" w:rsidRPr="000665B0">
        <w:t xml:space="preserve">(DistributionDB) </w:t>
      </w:r>
      <w:r w:rsidRPr="000665B0">
        <w:t xml:space="preserve">is an IIS hosted webservice </w:t>
      </w:r>
      <w:r w:rsidR="0083290C" w:rsidRPr="000665B0">
        <w:t xml:space="preserve">on the TED Web Server </w:t>
      </w:r>
      <w:r w:rsidRPr="000665B0">
        <w:t>which provides comms services for all TED services.</w:t>
      </w:r>
    </w:p>
    <w:p w14:paraId="0D037E43" w14:textId="77777777" w:rsidR="00414C31" w:rsidRPr="000665B0" w:rsidRDefault="00414C31" w:rsidP="006D5A65">
      <w:pPr>
        <w:pStyle w:val="Heading2"/>
      </w:pPr>
      <w:r w:rsidRPr="000665B0">
        <w:t>Starting, stopping, and restarting of Distribution Service are managed by IIS like any other TED services.</w:t>
      </w:r>
    </w:p>
    <w:p w14:paraId="5A0F7B33" w14:textId="77777777" w:rsidR="00414C31" w:rsidRPr="000665B0" w:rsidRDefault="00414C31" w:rsidP="006D5A65">
      <w:pPr>
        <w:pStyle w:val="Heading1"/>
      </w:pPr>
      <w:r w:rsidRPr="000665B0">
        <w:t xml:space="preserve">TdmDistributionAgent is a Windows Service. </w:t>
      </w:r>
    </w:p>
    <w:p w14:paraId="1EF62979" w14:textId="42FF827F" w:rsidR="00414C31" w:rsidRPr="000665B0" w:rsidRDefault="00414C31" w:rsidP="006D5A65">
      <w:pPr>
        <w:pStyle w:val="Heading2"/>
      </w:pPr>
      <w:r w:rsidRPr="000665B0">
        <w:t>The agent is responsible for maintaining the connection(s) to TCIP for LINT</w:t>
      </w:r>
      <w:r w:rsidR="005712CE" w:rsidRPr="000665B0">
        <w:t>,</w:t>
      </w:r>
      <w:r w:rsidRPr="000665B0">
        <w:t xml:space="preserve"> </w:t>
      </w:r>
      <w:r w:rsidR="005712CE" w:rsidRPr="000665B0">
        <w:t xml:space="preserve">TSN DAMA, and TSN ACA </w:t>
      </w:r>
      <w:r w:rsidRPr="000665B0">
        <w:t>data.</w:t>
      </w:r>
    </w:p>
    <w:p w14:paraId="64A1C78B" w14:textId="1615FF29" w:rsidR="00414C31" w:rsidRPr="000665B0" w:rsidRDefault="004552F3" w:rsidP="006D5A65">
      <w:pPr>
        <w:pStyle w:val="Heading2"/>
      </w:pPr>
      <w:r w:rsidRPr="000665B0">
        <w:t xml:space="preserve">Similar to </w:t>
      </w:r>
      <w:r w:rsidR="00414C31" w:rsidRPr="000665B0">
        <w:t>other services</w:t>
      </w:r>
      <w:r w:rsidRPr="000665B0">
        <w:t>,</w:t>
      </w:r>
      <w:r w:rsidR="00414C31" w:rsidRPr="000665B0">
        <w:t xml:space="preserve"> the agent starts when the PC is booted and can only be stopped or restarted by users with administrative privileges (through the Services applet in Windows </w:t>
      </w:r>
      <w:r w:rsidR="00331511" w:rsidRPr="000665B0">
        <w:t>Computer Management</w:t>
      </w:r>
      <w:r w:rsidR="00414C31" w:rsidRPr="000665B0">
        <w:t>). (</w:t>
      </w:r>
      <w:r w:rsidR="00D53C9B" w:rsidRPr="000665B0">
        <w:t>Otherwise,</w:t>
      </w:r>
      <w:r w:rsidR="00414C31" w:rsidRPr="000665B0">
        <w:t xml:space="preserve"> Windows manages the starting, stopping, and restarting of the service.) </w:t>
      </w:r>
    </w:p>
    <w:p w14:paraId="2D710F5E" w14:textId="77777777" w:rsidR="00414C31" w:rsidRPr="000665B0" w:rsidRDefault="00414C31" w:rsidP="009570CA">
      <w:pPr>
        <w:autoSpaceDE w:val="0"/>
        <w:autoSpaceDN w:val="0"/>
        <w:adjustRightInd w:val="0"/>
        <w:rPr>
          <w:szCs w:val="24"/>
        </w:rPr>
      </w:pPr>
      <w:r w:rsidRPr="000665B0">
        <w:rPr>
          <w:szCs w:val="24"/>
        </w:rPr>
        <w:t xml:space="preserve">Distribution Service receives message data from TED, then encapsulates and sends the data via the transport specified in the TED node information. </w:t>
      </w:r>
    </w:p>
    <w:p w14:paraId="656743E4" w14:textId="5F3E2D22" w:rsidR="0028247D" w:rsidRPr="000665B0" w:rsidRDefault="005712CE" w:rsidP="009570CA">
      <w:pPr>
        <w:autoSpaceDE w:val="0"/>
        <w:autoSpaceDN w:val="0"/>
        <w:adjustRightInd w:val="0"/>
        <w:jc w:val="center"/>
        <w:rPr>
          <w:szCs w:val="24"/>
        </w:rPr>
      </w:pPr>
      <w:r w:rsidRPr="000665B0">
        <w:rPr>
          <w:noProof/>
          <w:szCs w:val="24"/>
        </w:rPr>
        <w:lastRenderedPageBreak/>
        <w:drawing>
          <wp:inline distT="0" distB="0" distL="0" distR="0" wp14:anchorId="69CC18D1" wp14:editId="064092B1">
            <wp:extent cx="4983480" cy="3739896"/>
            <wp:effectExtent l="0" t="0" r="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3739896"/>
                    </a:xfrm>
                    <a:prstGeom prst="rect">
                      <a:avLst/>
                    </a:prstGeom>
                    <a:noFill/>
                  </pic:spPr>
                </pic:pic>
              </a:graphicData>
            </a:graphic>
          </wp:inline>
        </w:drawing>
      </w:r>
    </w:p>
    <w:p w14:paraId="45A46B41" w14:textId="77777777" w:rsidR="00414C31" w:rsidRPr="000665B0" w:rsidRDefault="00414C31" w:rsidP="009570CA">
      <w:pPr>
        <w:keepNext/>
        <w:autoSpaceDE w:val="0"/>
        <w:autoSpaceDN w:val="0"/>
        <w:adjustRightInd w:val="0"/>
        <w:rPr>
          <w:b/>
          <w:szCs w:val="24"/>
        </w:rPr>
      </w:pPr>
      <w:r w:rsidRPr="000665B0">
        <w:rPr>
          <w:b/>
          <w:szCs w:val="24"/>
        </w:rPr>
        <w:t>Formatting</w:t>
      </w:r>
    </w:p>
    <w:p w14:paraId="4FB365E4" w14:textId="63B40BA3" w:rsidR="00414C31" w:rsidRPr="000665B0" w:rsidRDefault="00414C31" w:rsidP="006D5A65">
      <w:pPr>
        <w:pStyle w:val="Heading1"/>
      </w:pPr>
      <w:r w:rsidRPr="000665B0">
        <w:t xml:space="preserve">TED formats the data based on the recipient’s node type: </w:t>
      </w:r>
      <w:r w:rsidR="00301E7F" w:rsidRPr="000665B0">
        <w:t xml:space="preserve">NSP, </w:t>
      </w:r>
      <w:r w:rsidRPr="000665B0">
        <w:t xml:space="preserve">TED, MDS, TTWCS, or AUR. </w:t>
      </w:r>
    </w:p>
    <w:p w14:paraId="7A8FF195" w14:textId="0494A8D7" w:rsidR="00ED3233" w:rsidRPr="000665B0" w:rsidRDefault="00414C31" w:rsidP="006D5A65">
      <w:pPr>
        <w:pStyle w:val="Heading1"/>
      </w:pPr>
      <w:r w:rsidRPr="000665B0">
        <w:t>Distribution Service does not “re-format” data, with the exception of “OpNotes</w:t>
      </w:r>
      <w:r w:rsidR="004B09FC" w:rsidRPr="000665B0">
        <w:t>,</w:t>
      </w:r>
      <w:r w:rsidRPr="000665B0">
        <w:t>” “Overlays</w:t>
      </w:r>
      <w:r w:rsidR="004B09FC" w:rsidRPr="000665B0">
        <w:t>,</w:t>
      </w:r>
      <w:r w:rsidRPr="000665B0">
        <w:t>” and “4-Whisky” grids. MDS sends and receives theses as DDOs, but when sent to any non-</w:t>
      </w:r>
      <w:r w:rsidRPr="000665B0">
        <w:lastRenderedPageBreak/>
        <w:t>TED/MDS nodes (or received from them), these become OTH-GOLD messages.</w:t>
      </w:r>
      <w:r w:rsidR="00ED3233" w:rsidRPr="000665B0">
        <w:t xml:space="preserve"> </w:t>
      </w:r>
    </w:p>
    <w:p w14:paraId="3058CE65" w14:textId="7F33E2E7" w:rsidR="00414C31" w:rsidRPr="000665B0" w:rsidRDefault="00ED3233" w:rsidP="006D5A65">
      <w:pPr>
        <w:pStyle w:val="Heading1"/>
      </w:pPr>
      <w:r w:rsidRPr="000665B0">
        <w:t>When a DDO containing a DSMAC or VUP product is processed on the receiving TED Node, it automatically merges any new maps/products into existing Omni-DSMAC or Omni-VUP products.</w:t>
      </w:r>
    </w:p>
    <w:p w14:paraId="59F2C81D" w14:textId="77777777" w:rsidR="00414C31" w:rsidRPr="000665B0" w:rsidRDefault="00414C31" w:rsidP="009570CA">
      <w:pPr>
        <w:keepNext/>
        <w:autoSpaceDE w:val="0"/>
        <w:autoSpaceDN w:val="0"/>
        <w:adjustRightInd w:val="0"/>
        <w:rPr>
          <w:b/>
          <w:szCs w:val="24"/>
        </w:rPr>
      </w:pPr>
      <w:r w:rsidRPr="000665B0">
        <w:rPr>
          <w:b/>
          <w:szCs w:val="24"/>
        </w:rPr>
        <w:t>Encapsulation</w:t>
      </w:r>
    </w:p>
    <w:p w14:paraId="51F3EF0E" w14:textId="77777777" w:rsidR="00414C31" w:rsidRPr="000665B0" w:rsidRDefault="00414C31" w:rsidP="006D5A65">
      <w:pPr>
        <w:pStyle w:val="Heading1"/>
      </w:pPr>
      <w:r w:rsidRPr="000665B0">
        <w:t>TED to TED transfers are placed in a PKZip file.</w:t>
      </w:r>
    </w:p>
    <w:p w14:paraId="1626C2DB" w14:textId="77777777" w:rsidR="00414C31" w:rsidRPr="000665B0" w:rsidRDefault="00414C31" w:rsidP="006D5A65">
      <w:pPr>
        <w:pStyle w:val="Heading1"/>
      </w:pPr>
      <w:r w:rsidRPr="000665B0">
        <w:t>TED to MDS transfers are placed in a CAB file then compressed with ZLIB.</w:t>
      </w:r>
    </w:p>
    <w:p w14:paraId="680E0C12" w14:textId="6F5659E0" w:rsidR="00414C31" w:rsidRPr="000665B0" w:rsidRDefault="00414C31" w:rsidP="006D5A65">
      <w:pPr>
        <w:pStyle w:val="Heading1"/>
      </w:pPr>
      <w:r w:rsidRPr="000665B0">
        <w:t>Other transfers are uncompressed and in 3900/146A format (except for TSN</w:t>
      </w:r>
      <w:r w:rsidR="00301E7F" w:rsidRPr="000665B0">
        <w:t xml:space="preserve"> DAMA and TSN ACA</w:t>
      </w:r>
      <w:r w:rsidRPr="000665B0">
        <w:t xml:space="preserve"> which </w:t>
      </w:r>
      <w:r w:rsidR="00BE208D" w:rsidRPr="000665B0">
        <w:t xml:space="preserve">are </w:t>
      </w:r>
      <w:r w:rsidRPr="000665B0">
        <w:t>3900/114 format, and MDS 3.x which are IDS-9 format).</w:t>
      </w:r>
    </w:p>
    <w:p w14:paraId="7DF1F76F" w14:textId="77777777" w:rsidR="00414C31" w:rsidRPr="000665B0" w:rsidRDefault="00414C31" w:rsidP="009570CA">
      <w:pPr>
        <w:keepNext/>
        <w:autoSpaceDE w:val="0"/>
        <w:autoSpaceDN w:val="0"/>
        <w:adjustRightInd w:val="0"/>
        <w:rPr>
          <w:b/>
          <w:szCs w:val="24"/>
        </w:rPr>
      </w:pPr>
      <w:r w:rsidRPr="000665B0">
        <w:rPr>
          <w:b/>
          <w:szCs w:val="24"/>
        </w:rPr>
        <w:t>Transport</w:t>
      </w:r>
    </w:p>
    <w:p w14:paraId="46AE68EA" w14:textId="77777777" w:rsidR="00414C31" w:rsidRPr="000665B0" w:rsidRDefault="00414C31" w:rsidP="006D5A65">
      <w:pPr>
        <w:pStyle w:val="Heading1"/>
      </w:pPr>
      <w:r w:rsidRPr="000665B0">
        <w:t xml:space="preserve">Legacy (OTH) – Sends data in 6K (maximum) chunks via TCIP. </w:t>
      </w:r>
    </w:p>
    <w:p w14:paraId="2BFBC222" w14:textId="77777777" w:rsidR="00414C31" w:rsidRPr="000665B0" w:rsidRDefault="00414C31" w:rsidP="006D5A65">
      <w:pPr>
        <w:pStyle w:val="Heading1"/>
      </w:pPr>
      <w:r w:rsidRPr="000665B0">
        <w:t>HTTPS – Requires a “direct” TCIP/IP connection between nodes. Make sure each Node has a valid IP address</w:t>
      </w:r>
      <w:r w:rsidR="007D0A2B" w:rsidRPr="000665B0">
        <w:t xml:space="preserve"> of the TED server</w:t>
      </w:r>
      <w:r w:rsidRPr="000665B0">
        <w:t>.</w:t>
      </w:r>
    </w:p>
    <w:p w14:paraId="7453661E" w14:textId="77777777" w:rsidR="00414C31" w:rsidRPr="000665B0" w:rsidRDefault="00414C31" w:rsidP="009570CA">
      <w:pPr>
        <w:keepNext/>
        <w:autoSpaceDE w:val="0"/>
        <w:autoSpaceDN w:val="0"/>
        <w:adjustRightInd w:val="0"/>
        <w:rPr>
          <w:b/>
          <w:szCs w:val="24"/>
        </w:rPr>
      </w:pPr>
      <w:r w:rsidRPr="000665B0">
        <w:rPr>
          <w:b/>
          <w:szCs w:val="24"/>
        </w:rPr>
        <w:t>Addressing</w:t>
      </w:r>
    </w:p>
    <w:p w14:paraId="0B7C2B48" w14:textId="77777777" w:rsidR="00414C31" w:rsidRPr="000665B0" w:rsidRDefault="00414C31" w:rsidP="006D5A65">
      <w:pPr>
        <w:pStyle w:val="Heading1"/>
      </w:pPr>
      <w:r w:rsidRPr="000665B0">
        <w:t>Normally, the “primary transport” of the recipient is used (regardless of the sender’s “primary transport”).</w:t>
      </w:r>
    </w:p>
    <w:p w14:paraId="35952001" w14:textId="77777777" w:rsidR="00414C31" w:rsidRPr="000665B0" w:rsidRDefault="00414C31" w:rsidP="006D5A65">
      <w:pPr>
        <w:pStyle w:val="Heading1"/>
      </w:pPr>
      <w:r w:rsidRPr="000665B0">
        <w:t>If the sender does not support the primary (the checkbox for that transport is unchecked), then Distribution Service will see if either of the other two transports are supported by both the sender and recipient.</w:t>
      </w:r>
    </w:p>
    <w:p w14:paraId="34F99EB4" w14:textId="58C5A849" w:rsidR="00414C31" w:rsidRPr="000665B0" w:rsidRDefault="00414C31" w:rsidP="006D5A65">
      <w:pPr>
        <w:pStyle w:val="Heading2"/>
      </w:pPr>
      <w:r w:rsidRPr="000665B0">
        <w:t xml:space="preserve">Example 1: Recipient’s primary is “OTH” and supports both transports. Sender’s primary transport is HTTPS and supports both transports. </w:t>
      </w:r>
      <w:r w:rsidR="006F54EA" w:rsidRPr="000665B0">
        <w:t xml:space="preserve">Distribution Service </w:t>
      </w:r>
      <w:r w:rsidRPr="000665B0">
        <w:t xml:space="preserve">will send via </w:t>
      </w:r>
      <w:r w:rsidR="00A10C7E" w:rsidRPr="000665B0">
        <w:t>OTH because</w:t>
      </w:r>
      <w:r w:rsidRPr="000665B0">
        <w:t xml:space="preserve"> it was the recipient’s primary choice.</w:t>
      </w:r>
    </w:p>
    <w:p w14:paraId="674A3F26" w14:textId="77777777" w:rsidR="00414C31" w:rsidRPr="000665B0" w:rsidRDefault="00414C31" w:rsidP="006D5A65">
      <w:pPr>
        <w:pStyle w:val="Heading2"/>
      </w:pPr>
      <w:r w:rsidRPr="000665B0">
        <w:t xml:space="preserve">Example 2: Recipient’s primary is “OTH” and supports both transports. Sender’s primary transport HTTPS and supports only HTTPS. (Sender has no TCIP). </w:t>
      </w:r>
      <w:r w:rsidR="006F54EA" w:rsidRPr="000665B0">
        <w:t>Distribution Service</w:t>
      </w:r>
      <w:r w:rsidR="006F54EA" w:rsidRPr="000665B0" w:rsidDel="006F54EA">
        <w:t xml:space="preserve"> </w:t>
      </w:r>
      <w:r w:rsidRPr="000665B0">
        <w:t>will send via HTTPS because the primary’s choice was not supported by the sender, but HTTPS was supported by both.</w:t>
      </w:r>
    </w:p>
    <w:p w14:paraId="266573E4" w14:textId="77777777" w:rsidR="00414C31" w:rsidRPr="000665B0" w:rsidRDefault="00414C31" w:rsidP="009570CA">
      <w:pPr>
        <w:autoSpaceDE w:val="0"/>
        <w:autoSpaceDN w:val="0"/>
        <w:adjustRightInd w:val="0"/>
        <w:rPr>
          <w:b/>
          <w:szCs w:val="24"/>
        </w:rPr>
      </w:pPr>
      <w:r w:rsidRPr="000665B0">
        <w:rPr>
          <w:b/>
          <w:szCs w:val="24"/>
        </w:rPr>
        <w:t>Storage</w:t>
      </w:r>
    </w:p>
    <w:p w14:paraId="491CE9CA" w14:textId="2CDDC45A" w:rsidR="004B30E6" w:rsidRDefault="00414C31" w:rsidP="006D5A65">
      <w:pPr>
        <w:pStyle w:val="Heading1"/>
      </w:pPr>
      <w:r w:rsidRPr="000665B0">
        <w:t>Distribution Service stores messages in a TED database and notifies MDS via MSMQ for pickup. MDS acquires these notifications when re-started if it was not running at the moment of receipt.</w:t>
      </w:r>
    </w:p>
    <w:p w14:paraId="4B8431C5" w14:textId="4D18BD24" w:rsidR="00414C31" w:rsidRPr="000665B0" w:rsidRDefault="00414C31" w:rsidP="002870D9">
      <w:pPr>
        <w:pageBreakBefore/>
        <w:rPr>
          <w:b/>
        </w:rPr>
      </w:pPr>
      <w:r w:rsidRPr="000665B0">
        <w:rPr>
          <w:b/>
        </w:rPr>
        <w:lastRenderedPageBreak/>
        <w:t>Distribution Monitor</w:t>
      </w:r>
    </w:p>
    <w:p w14:paraId="29763B05" w14:textId="77777777" w:rsidR="00414C31" w:rsidRPr="000665B0" w:rsidRDefault="00414C31" w:rsidP="009570CA">
      <w:r w:rsidRPr="000665B0">
        <w:t>Distribution Monitor (formerly known as TDM Monitor) is no longer a standalone application</w:t>
      </w:r>
      <w:r w:rsidR="0028247D" w:rsidRPr="000665B0">
        <w:t>; it</w:t>
      </w:r>
      <w:r w:rsidRPr="000665B0">
        <w:t xml:space="preserve"> has been integrated into MDS. When MDS is running, the presence of a satellite dish icon and missile icon in the Notification Area (aka “Service Tray”) shows that Distribution Monitor is running. The two Distribution services run even when no user is logged on.</w:t>
      </w:r>
    </w:p>
    <w:p w14:paraId="37C2EA3C" w14:textId="77777777" w:rsidR="00414C31" w:rsidRPr="000665B0" w:rsidRDefault="00414C31" w:rsidP="009570CA">
      <w:r w:rsidRPr="000665B0">
        <w:t>The Distribution Monitor (satellite dish icon) queries the two services (“Distribution Service” and “TDM Distribution Agent”) and relays status to the user. It also allows the user to configure the LINT connection.</w:t>
      </w:r>
    </w:p>
    <w:p w14:paraId="4BA0DB36" w14:textId="77777777" w:rsidR="00414C31" w:rsidRPr="000665B0" w:rsidRDefault="00414C31" w:rsidP="009570CA">
      <w:r w:rsidRPr="000665B0">
        <w:t>The satellite dish icon’s background color indicates the state of the connection between Distribution Service and a TCOMMS Interface Processor (</w:t>
      </w:r>
      <w:r w:rsidRPr="000665B0">
        <w:rPr>
          <w:b/>
        </w:rPr>
        <w:t>TCIP LINT</w:t>
      </w:r>
      <w:r w:rsidRPr="000665B0">
        <w:t>):</w:t>
      </w:r>
    </w:p>
    <w:p w14:paraId="7506712B" w14:textId="64EA9478" w:rsidR="00414C31" w:rsidRPr="000665B0" w:rsidRDefault="00414C31" w:rsidP="006D5A65">
      <w:pPr>
        <w:pStyle w:val="Heading1"/>
      </w:pPr>
      <w:r w:rsidRPr="000665B0">
        <w:t>Red means that Distribution Service is not connected to a TCIP. This could indicate that no TCIP is currently “defined</w:t>
      </w:r>
      <w:r w:rsidR="0028247D" w:rsidRPr="000665B0">
        <w:t>,</w:t>
      </w:r>
      <w:r w:rsidR="00C3536C" w:rsidRPr="000665B0">
        <w:t>”</w:t>
      </w:r>
      <w:r w:rsidRPr="000665B0">
        <w:t xml:space="preserve"> that the “chosen” TCIP is not accessible; or the “chosen” TCIP is </w:t>
      </w:r>
      <w:r w:rsidR="00170F53" w:rsidRPr="000665B0">
        <w:t>accessible but</w:t>
      </w:r>
      <w:r w:rsidRPr="000665B0">
        <w:t xml:space="preserve"> refuses to talk due to no interface (or our interface is disabled).</w:t>
      </w:r>
    </w:p>
    <w:p w14:paraId="13307490" w14:textId="77777777" w:rsidR="00414C31" w:rsidRPr="000665B0" w:rsidRDefault="00414C31" w:rsidP="006D5A65">
      <w:pPr>
        <w:pStyle w:val="Heading1"/>
      </w:pPr>
      <w:r w:rsidRPr="000665B0">
        <w:t>Gray indicates that the connection is established and operational.</w:t>
      </w:r>
    </w:p>
    <w:p w14:paraId="44F46831" w14:textId="418EA70C" w:rsidR="00414C31" w:rsidRPr="000665B0" w:rsidRDefault="00414C31" w:rsidP="009570CA">
      <w:pPr>
        <w:rPr>
          <w:szCs w:val="24"/>
        </w:rPr>
      </w:pPr>
      <w:r w:rsidRPr="000665B0">
        <w:rPr>
          <w:szCs w:val="24"/>
        </w:rPr>
        <w:t xml:space="preserve">To see the state of all TSN connections, </w:t>
      </w:r>
      <w:r w:rsidR="0037038E" w:rsidRPr="000665B0">
        <w:rPr>
          <w:szCs w:val="24"/>
        </w:rPr>
        <w:t>double-click</w:t>
      </w:r>
      <w:r w:rsidR="00D437B8" w:rsidRPr="000665B0">
        <w:rPr>
          <w:szCs w:val="24"/>
        </w:rPr>
        <w:t xml:space="preserve"> the</w:t>
      </w:r>
      <w:r w:rsidRPr="000665B0">
        <w:rPr>
          <w:szCs w:val="24"/>
        </w:rPr>
        <w:t xml:space="preserve"> TSN</w:t>
      </w:r>
      <w:r w:rsidR="00A35777" w:rsidRPr="000665B0">
        <w:rPr>
          <w:szCs w:val="24"/>
        </w:rPr>
        <w:t xml:space="preserve"> Status</w:t>
      </w:r>
      <w:r w:rsidRPr="000665B0">
        <w:rPr>
          <w:szCs w:val="24"/>
        </w:rPr>
        <w:t xml:space="preserve"> (flying tomahawk missile) icon. This opens a window which shows the Internet Protocol (</w:t>
      </w:r>
      <w:r w:rsidRPr="000665B0">
        <w:rPr>
          <w:b/>
          <w:szCs w:val="24"/>
        </w:rPr>
        <w:t>IP</w:t>
      </w:r>
      <w:r w:rsidRPr="000665B0">
        <w:rPr>
          <w:szCs w:val="24"/>
        </w:rPr>
        <w:t xml:space="preserve">) Address, Port number, and Status of all existing TSN connections. Distribution Service may have to maintain several connections to </w:t>
      </w:r>
      <w:r w:rsidR="00A35777" w:rsidRPr="000665B0">
        <w:rPr>
          <w:szCs w:val="24"/>
        </w:rPr>
        <w:t xml:space="preserve">TSN DAMA or TSN ACA </w:t>
      </w:r>
      <w:r w:rsidRPr="000665B0">
        <w:rPr>
          <w:szCs w:val="24"/>
        </w:rPr>
        <w:t xml:space="preserve">(e.g., </w:t>
      </w:r>
      <w:r w:rsidR="00C3536C" w:rsidRPr="000665B0">
        <w:rPr>
          <w:szCs w:val="24"/>
        </w:rPr>
        <w:t xml:space="preserve">one </w:t>
      </w:r>
      <w:r w:rsidRPr="000665B0">
        <w:rPr>
          <w:szCs w:val="24"/>
        </w:rPr>
        <w:t>for SMD, and one for TSRT.)</w:t>
      </w:r>
    </w:p>
    <w:p w14:paraId="6F4DFC42" w14:textId="3971230B" w:rsidR="00414C31" w:rsidRPr="000665B0" w:rsidRDefault="00414C31" w:rsidP="009570CA">
      <w:r w:rsidRPr="000665B0">
        <w:rPr>
          <w:szCs w:val="24"/>
        </w:rPr>
        <w:t xml:space="preserve">The flying tomahawk missile icon’s </w:t>
      </w:r>
      <w:r w:rsidRPr="000665B0">
        <w:t>background color indicates the state of the TSN connections:</w:t>
      </w:r>
    </w:p>
    <w:p w14:paraId="1DD375BA" w14:textId="445A20F5" w:rsidR="00414C31" w:rsidRPr="000665B0" w:rsidRDefault="00414C31" w:rsidP="006D5A65">
      <w:pPr>
        <w:pStyle w:val="Heading1"/>
      </w:pPr>
      <w:r w:rsidRPr="000665B0">
        <w:t xml:space="preserve">Red indicates that one or more TSN connections to the </w:t>
      </w:r>
      <w:r w:rsidR="00A35777" w:rsidRPr="000665B0">
        <w:t>TSN DAMA or TSN ACA</w:t>
      </w:r>
      <w:r w:rsidRPr="000665B0">
        <w:t xml:space="preserve"> have failed. </w:t>
      </w:r>
      <w:r w:rsidR="0028247D" w:rsidRPr="000665B0">
        <w:t xml:space="preserve">The </w:t>
      </w:r>
      <w:r w:rsidRPr="000665B0">
        <w:t xml:space="preserve">TDM </w:t>
      </w:r>
      <w:r w:rsidR="0028247D" w:rsidRPr="000665B0">
        <w:t xml:space="preserve">Distribution Agent </w:t>
      </w:r>
      <w:r w:rsidRPr="000665B0">
        <w:t>will attempt to reconnect.</w:t>
      </w:r>
    </w:p>
    <w:p w14:paraId="54581CE3" w14:textId="77777777" w:rsidR="00414C31" w:rsidRPr="000665B0" w:rsidRDefault="00414C31" w:rsidP="006D5A65">
      <w:pPr>
        <w:pStyle w:val="Heading1"/>
      </w:pPr>
      <w:r w:rsidRPr="000665B0">
        <w:t xml:space="preserve">Gray indicates that all TSN connections are now operational. </w:t>
      </w:r>
    </w:p>
    <w:p w14:paraId="535912C5" w14:textId="31588376" w:rsidR="00414C31" w:rsidRPr="000665B0" w:rsidRDefault="00414C31" w:rsidP="009570CA">
      <w:pPr>
        <w:pStyle w:val="Heading3"/>
        <w:keepNext w:val="0"/>
      </w:pPr>
      <w:bookmarkStart w:id="815" w:name="_5.3.1__Configuring"/>
      <w:bookmarkStart w:id="816" w:name="_Toc214283144"/>
      <w:bookmarkEnd w:id="815"/>
      <w:r w:rsidRPr="000665B0">
        <w:t>Configuring Distribution Service</w:t>
      </w:r>
      <w:bookmarkEnd w:id="816"/>
    </w:p>
    <w:p w14:paraId="1B31F566" w14:textId="77777777" w:rsidR="00414C31" w:rsidRPr="000665B0" w:rsidRDefault="00414C31" w:rsidP="009570CA">
      <w:r w:rsidRPr="000665B0">
        <w:t>To configure Distribution Service:</w:t>
      </w:r>
    </w:p>
    <w:p w14:paraId="669FF7C2" w14:textId="76FCFB21" w:rsidR="00414C31" w:rsidRPr="000665B0" w:rsidRDefault="0037038E" w:rsidP="009570CA">
      <w:pPr>
        <w:pStyle w:val="Number0205"/>
        <w:ind w:left="360" w:firstLine="0"/>
      </w:pPr>
      <w:r w:rsidRPr="000665B0">
        <w:t>Double-click</w:t>
      </w:r>
      <w:r w:rsidR="00414C31" w:rsidRPr="000665B0">
        <w:t xml:space="preserve"> or </w:t>
      </w:r>
      <w:r w:rsidR="00D71804" w:rsidRPr="000665B0">
        <w:t>right-click</w:t>
      </w:r>
      <w:r w:rsidR="00414C31" w:rsidRPr="000665B0">
        <w:t xml:space="preserve"> the satellite dish icon and then select </w:t>
      </w:r>
      <w:r w:rsidR="00414C31" w:rsidRPr="000665B0">
        <w:rPr>
          <w:b/>
        </w:rPr>
        <w:t>Configure</w:t>
      </w:r>
      <w:r w:rsidR="00414C31" w:rsidRPr="000665B0">
        <w:t xml:space="preserve"> from the context menu. The </w:t>
      </w:r>
      <w:r w:rsidR="00414C31" w:rsidRPr="000665B0">
        <w:rPr>
          <w:i/>
        </w:rPr>
        <w:t>TDM Communication</w:t>
      </w:r>
      <w:r w:rsidR="007B0F18" w:rsidRPr="000665B0">
        <w:rPr>
          <w:i/>
        </w:rPr>
        <w:t>s</w:t>
      </w:r>
      <w:r w:rsidR="00414C31" w:rsidRPr="000665B0">
        <w:rPr>
          <w:i/>
        </w:rPr>
        <w:t xml:space="preserve"> Properties</w:t>
      </w:r>
      <w:r w:rsidR="00414C31" w:rsidRPr="000665B0">
        <w:t xml:space="preserve"> window </w:t>
      </w:r>
      <w:r w:rsidR="00C81565" w:rsidRPr="000665B0">
        <w:t>is</w:t>
      </w:r>
      <w:r w:rsidR="00414C31" w:rsidRPr="000665B0">
        <w:t xml:space="preserve"> displayed. </w:t>
      </w:r>
    </w:p>
    <w:p w14:paraId="21F0C60A" w14:textId="50AF272D" w:rsidR="00414C31" w:rsidRPr="000665B0" w:rsidRDefault="00A35777" w:rsidP="009570CA">
      <w:pPr>
        <w:ind w:left="360"/>
        <w:jc w:val="center"/>
      </w:pPr>
      <w:r w:rsidRPr="000665B0">
        <w:rPr>
          <w:noProof/>
        </w:rPr>
        <w:lastRenderedPageBreak/>
        <w:drawing>
          <wp:inline distT="0" distB="0" distL="0" distR="0" wp14:anchorId="472DB5B3" wp14:editId="711D8EED">
            <wp:extent cx="1727060" cy="209550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759391" cy="2134729"/>
                    </a:xfrm>
                    <a:prstGeom prst="rect">
                      <a:avLst/>
                    </a:prstGeom>
                  </pic:spPr>
                </pic:pic>
              </a:graphicData>
            </a:graphic>
          </wp:inline>
        </w:drawing>
      </w:r>
    </w:p>
    <w:p w14:paraId="2CEA2B13" w14:textId="0A6F408E" w:rsidR="00414C31" w:rsidRPr="000665B0" w:rsidRDefault="00414C31" w:rsidP="009570CA">
      <w:pPr>
        <w:pStyle w:val="Heading4"/>
      </w:pPr>
      <w:bookmarkStart w:id="817" w:name="_5.3.1.1__Legacy"/>
      <w:bookmarkEnd w:id="817"/>
      <w:r w:rsidRPr="000665B0">
        <w:t>Legacy (OTH) Tab</w:t>
      </w:r>
    </w:p>
    <w:p w14:paraId="2E834FA5" w14:textId="6A7ED0D2" w:rsidR="00414C31" w:rsidRPr="000665B0" w:rsidRDefault="00414C31" w:rsidP="009570CA">
      <w:r w:rsidRPr="000665B0">
        <w:t>For data to be transmitted via OTH-Transmission Control Protocol (</w:t>
      </w:r>
      <w:r w:rsidRPr="000665B0">
        <w:rPr>
          <w:b/>
        </w:rPr>
        <w:t>TCP</w:t>
      </w:r>
      <w:r w:rsidRPr="000665B0">
        <w:t xml:space="preserve">), the user must supply </w:t>
      </w:r>
      <w:r w:rsidR="0028247D" w:rsidRPr="000665B0">
        <w:t xml:space="preserve">Distribution Service </w:t>
      </w:r>
      <w:r w:rsidRPr="000665B0">
        <w:t>with the IP Address and Port number of the TCIP.</w:t>
      </w:r>
    </w:p>
    <w:p w14:paraId="6A7F5AA7" w14:textId="6E128542" w:rsidR="00651E2B" w:rsidRPr="000665B0" w:rsidRDefault="00651E2B" w:rsidP="009570CA">
      <w:r w:rsidRPr="000665B0">
        <w:t>TCIP currently supports both the ACA and DAMA types of TSN network. An additional two ports are available in TCIP for MDS to communicate over the ACA network</w:t>
      </w:r>
      <w:r w:rsidR="000B218D" w:rsidRPr="000665B0">
        <w:t>,</w:t>
      </w:r>
      <w:r w:rsidRPr="000665B0">
        <w:t xml:space="preserve"> and for TSRT to simulate the NSP</w:t>
      </w:r>
      <w:r w:rsidR="000B218D" w:rsidRPr="000665B0">
        <w:t xml:space="preserve"> by sending filter acknowledgment/response messages and TSN H&amp;S messages over the ACA network</w:t>
      </w:r>
      <w:r w:rsidRPr="000665B0">
        <w:t xml:space="preserve">. </w:t>
      </w:r>
    </w:p>
    <w:p w14:paraId="7E933B50" w14:textId="1E1E0293" w:rsidR="00414C31" w:rsidRPr="000665B0" w:rsidRDefault="00414C31" w:rsidP="006D5A65">
      <w:pPr>
        <w:pStyle w:val="Heading1"/>
      </w:pPr>
      <w:r w:rsidRPr="000665B0">
        <w:t xml:space="preserve">Click the Add button. A </w:t>
      </w:r>
      <w:r w:rsidRPr="000665B0">
        <w:rPr>
          <w:i/>
        </w:rPr>
        <w:t>New Connection</w:t>
      </w:r>
      <w:r w:rsidRPr="000665B0">
        <w:t xml:space="preserve"> window </w:t>
      </w:r>
      <w:r w:rsidR="00C81565" w:rsidRPr="000665B0">
        <w:t>is</w:t>
      </w:r>
      <w:r w:rsidRPr="000665B0">
        <w:t xml:space="preserve"> displayed</w:t>
      </w:r>
      <w:r w:rsidR="00651E2B" w:rsidRPr="000665B0">
        <w:t>, which displays</w:t>
      </w:r>
      <w:r w:rsidR="00E97EE9" w:rsidRPr="000665B0">
        <w:t xml:space="preserve"> a port for TCIP LINT, as well as</w:t>
      </w:r>
      <w:r w:rsidR="00651E2B" w:rsidRPr="000665B0">
        <w:t xml:space="preserve"> a pair of MDS and TSRT ports for each network type</w:t>
      </w:r>
      <w:r w:rsidR="00E97EE9" w:rsidRPr="000665B0">
        <w:t xml:space="preserve"> (</w:t>
      </w:r>
      <w:r w:rsidR="00651E2B" w:rsidRPr="000665B0">
        <w:t>DAMA and ACA</w:t>
      </w:r>
      <w:r w:rsidR="00E97EE9" w:rsidRPr="000665B0">
        <w:t>).</w:t>
      </w:r>
    </w:p>
    <w:p w14:paraId="71576C1D" w14:textId="4408A602" w:rsidR="00414C31" w:rsidRPr="000665B0" w:rsidRDefault="00AA78FF" w:rsidP="009570CA">
      <w:pPr>
        <w:pStyle w:val="Number0205"/>
        <w:ind w:left="0" w:firstLine="0"/>
        <w:jc w:val="center"/>
      </w:pPr>
      <w:r w:rsidRPr="000665B0">
        <w:rPr>
          <w:noProof/>
        </w:rPr>
        <w:drawing>
          <wp:inline distT="0" distB="0" distL="0" distR="0" wp14:anchorId="3E3F7870" wp14:editId="1FC4CC3D">
            <wp:extent cx="1828800" cy="2185416"/>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2185416"/>
                    </a:xfrm>
                    <a:prstGeom prst="rect">
                      <a:avLst/>
                    </a:prstGeom>
                  </pic:spPr>
                </pic:pic>
              </a:graphicData>
            </a:graphic>
          </wp:inline>
        </w:drawing>
      </w:r>
    </w:p>
    <w:p w14:paraId="41DB7EB5" w14:textId="2A2C0145" w:rsidR="00414C31" w:rsidRPr="000665B0" w:rsidRDefault="00414C31" w:rsidP="006D5A65">
      <w:pPr>
        <w:pStyle w:val="Heading1"/>
      </w:pPr>
      <w:r w:rsidRPr="000665B0">
        <w:t>Provide a descriptive name to easily distinguish one connection from another.</w:t>
      </w:r>
    </w:p>
    <w:p w14:paraId="1C98CE6E" w14:textId="46B3160B" w:rsidR="00414C31" w:rsidRPr="000665B0" w:rsidRDefault="00414C31" w:rsidP="006D5A65">
      <w:pPr>
        <w:pStyle w:val="Heading1"/>
      </w:pPr>
      <w:r w:rsidRPr="000665B0">
        <w:t xml:space="preserve">Enter </w:t>
      </w:r>
      <w:r w:rsidR="00E20516" w:rsidRPr="000665B0">
        <w:t>a valid IP Address to establish a successful connection.</w:t>
      </w:r>
    </w:p>
    <w:p w14:paraId="64B7E218" w14:textId="00E552AC" w:rsidR="00A35777" w:rsidRPr="000665B0" w:rsidRDefault="00A35777" w:rsidP="006D5A65">
      <w:pPr>
        <w:pStyle w:val="Heading1"/>
      </w:pPr>
      <w:r w:rsidRPr="000665B0">
        <w:t>The TCIP LINT Port is for a LINT connection (default is 9500).</w:t>
      </w:r>
    </w:p>
    <w:p w14:paraId="2D342249" w14:textId="7CCCC53E" w:rsidR="007D0A2B" w:rsidRPr="000665B0" w:rsidRDefault="007D0A2B" w:rsidP="006D5A65">
      <w:pPr>
        <w:pStyle w:val="Heading1"/>
      </w:pPr>
      <w:r w:rsidRPr="000665B0">
        <w:t xml:space="preserve">The TSN </w:t>
      </w:r>
      <w:r w:rsidR="00A35777" w:rsidRPr="000665B0">
        <w:t xml:space="preserve">DAMA Operations </w:t>
      </w:r>
      <w:r w:rsidRPr="000665B0">
        <w:t xml:space="preserve">Port and TSN </w:t>
      </w:r>
      <w:r w:rsidR="00A35777" w:rsidRPr="000665B0">
        <w:t xml:space="preserve">DAMA TSRT </w:t>
      </w:r>
      <w:r w:rsidRPr="000665B0">
        <w:t xml:space="preserve">Port are for a </w:t>
      </w:r>
      <w:r w:rsidR="00A35777" w:rsidRPr="000665B0">
        <w:t xml:space="preserve">TSN DAMA </w:t>
      </w:r>
      <w:r w:rsidRPr="000665B0">
        <w:t xml:space="preserve">connection. The defaults are 9601 and 9602, </w:t>
      </w:r>
      <w:r w:rsidRPr="000665B0">
        <w:lastRenderedPageBreak/>
        <w:t>respectively. In advanced multiple TSRT simulations, specify a different port for the different TSRTs.</w:t>
      </w:r>
    </w:p>
    <w:p w14:paraId="60887611" w14:textId="665E3A9E" w:rsidR="00A35777" w:rsidRPr="000665B0" w:rsidRDefault="00A35777" w:rsidP="006D5A65">
      <w:pPr>
        <w:pStyle w:val="Heading1"/>
      </w:pPr>
      <w:r w:rsidRPr="000665B0">
        <w:t>The TSN ACA Operations Port and TSN ACA TSRT Port are for a TSN ACA connection. The defaults are 9609 and 9610, respectively. In advanced multiple TSRT simulations, specify a different port for the different TSRTs.</w:t>
      </w:r>
    </w:p>
    <w:p w14:paraId="44141992" w14:textId="06076155" w:rsidR="00414C31" w:rsidRPr="000665B0" w:rsidRDefault="00414C31" w:rsidP="006D5A65">
      <w:pPr>
        <w:pStyle w:val="Heading1"/>
      </w:pPr>
      <w:r w:rsidRPr="000665B0">
        <w:t>Click the OK button. This new connection is shown in the TCIP Configuration pane. Additional TCIP connections may be added if desired.</w:t>
      </w:r>
    </w:p>
    <w:p w14:paraId="5225C1B7" w14:textId="77777777" w:rsidR="00414C31" w:rsidRPr="000665B0" w:rsidRDefault="00414C31" w:rsidP="006D5A65">
      <w:pPr>
        <w:pStyle w:val="Heading1"/>
      </w:pPr>
      <w:r w:rsidRPr="000665B0">
        <w:t xml:space="preserve">Select the name of the desired connection in the TCIP Configuration pane. </w:t>
      </w:r>
    </w:p>
    <w:p w14:paraId="0D8574DB" w14:textId="77777777" w:rsidR="00414C31" w:rsidRPr="000665B0" w:rsidRDefault="00414C31" w:rsidP="006D5A65">
      <w:pPr>
        <w:pStyle w:val="Heading1"/>
      </w:pPr>
      <w:r w:rsidRPr="000665B0">
        <w:t>Click the Set As Active button. Note that the information for this connection is now shown in the Active TCIP Configuration block.</w:t>
      </w:r>
    </w:p>
    <w:p w14:paraId="53E0B433" w14:textId="77777777" w:rsidR="00414C31" w:rsidRPr="000665B0" w:rsidRDefault="00414C31" w:rsidP="006D5A65">
      <w:pPr>
        <w:pStyle w:val="Heading1"/>
      </w:pPr>
      <w:r w:rsidRPr="000665B0">
        <w:t>If desired click other names and click the Remove button to delete entries from the TCIP Configuration List Box.</w:t>
      </w:r>
    </w:p>
    <w:p w14:paraId="6E6DDCAB" w14:textId="23CF6FA9" w:rsidR="00414C31" w:rsidRPr="000665B0" w:rsidRDefault="00414C31" w:rsidP="006D5A65">
      <w:pPr>
        <w:pStyle w:val="Heading1"/>
      </w:pPr>
      <w:r w:rsidRPr="000665B0">
        <w:t xml:space="preserve">Click the Start button and </w:t>
      </w:r>
      <w:r w:rsidR="0028247D" w:rsidRPr="000665B0">
        <w:t>Distribution Service</w:t>
      </w:r>
      <w:r w:rsidR="0028247D" w:rsidRPr="000665B0" w:rsidDel="0028247D">
        <w:t xml:space="preserve"> </w:t>
      </w:r>
      <w:r w:rsidRPr="000665B0">
        <w:t>attempts to connect to the TCIP at the specified IP Address and Port. When the connection is made, the satellite-dish icon will turn gray.</w:t>
      </w:r>
    </w:p>
    <w:p w14:paraId="07B78BA7" w14:textId="322C20BE" w:rsidR="00414C31" w:rsidRPr="000665B0" w:rsidRDefault="00414C31" w:rsidP="006D5A65">
      <w:pPr>
        <w:pStyle w:val="Heading1"/>
      </w:pPr>
      <w:r w:rsidRPr="000665B0">
        <w:t>To connect to a different TCIP, click the Stop button, click the desired connection name in the TCIP Configuration List Box, click the Set As Active.</w:t>
      </w:r>
    </w:p>
    <w:p w14:paraId="27753F24" w14:textId="77777777" w:rsidR="00414C31" w:rsidRPr="000665B0" w:rsidRDefault="00414C31" w:rsidP="006D5A65">
      <w:pPr>
        <w:pStyle w:val="Heading1"/>
      </w:pPr>
      <w:r w:rsidRPr="000665B0">
        <w:t xml:space="preserve">Click the OK or Cancel button to hide the </w:t>
      </w:r>
      <w:r w:rsidRPr="000665B0">
        <w:rPr>
          <w:i/>
        </w:rPr>
        <w:t>TDM Communications Properties</w:t>
      </w:r>
      <w:r w:rsidRPr="000665B0">
        <w:t xml:space="preserve"> </w:t>
      </w:r>
      <w:r w:rsidR="007B0F18" w:rsidRPr="000665B0">
        <w:t>window</w:t>
      </w:r>
      <w:r w:rsidRPr="000665B0">
        <w:t>.</w:t>
      </w:r>
    </w:p>
    <w:p w14:paraId="580407C4" w14:textId="77777777" w:rsidR="00414C31" w:rsidRPr="000665B0" w:rsidRDefault="00414C31" w:rsidP="009570CA">
      <w:r w:rsidRPr="000665B0">
        <w:t xml:space="preserve">If there are problems establishing a connection, the operator should: </w:t>
      </w:r>
    </w:p>
    <w:p w14:paraId="2DAAD32E" w14:textId="05335810" w:rsidR="00414C31" w:rsidRPr="000665B0" w:rsidRDefault="00414C31" w:rsidP="006D5A65">
      <w:pPr>
        <w:pStyle w:val="Heading1"/>
      </w:pPr>
      <w:r w:rsidRPr="000665B0">
        <w:t xml:space="preserve">Verify the TCIP is up and running and Date Time Groups (DTGs) exist in the </w:t>
      </w:r>
      <w:r w:rsidRPr="000665B0">
        <w:rPr>
          <w:i/>
        </w:rPr>
        <w:t>Last Rcv</w:t>
      </w:r>
      <w:r w:rsidRPr="000665B0">
        <w:t xml:space="preserve"> and </w:t>
      </w:r>
      <w:r w:rsidRPr="000665B0">
        <w:rPr>
          <w:i/>
        </w:rPr>
        <w:t>Last Xmt</w:t>
      </w:r>
      <w:r w:rsidRPr="000665B0">
        <w:t xml:space="preserve"> fields.</w:t>
      </w:r>
    </w:p>
    <w:p w14:paraId="0D74518C" w14:textId="77777777" w:rsidR="00414C31" w:rsidRPr="000665B0" w:rsidRDefault="005E116D" w:rsidP="009570CA">
      <w:pPr>
        <w:pStyle w:val="Number0205"/>
        <w:ind w:left="0" w:firstLine="0"/>
        <w:jc w:val="center"/>
      </w:pPr>
      <w:r w:rsidRPr="000665B0">
        <w:rPr>
          <w:noProof/>
        </w:rPr>
        <w:drawing>
          <wp:inline distT="0" distB="0" distL="0" distR="0" wp14:anchorId="00C7733B" wp14:editId="4A64ABF7">
            <wp:extent cx="914400" cy="320040"/>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914400" cy="320040"/>
                    </a:xfrm>
                    <a:prstGeom prst="rect">
                      <a:avLst/>
                    </a:prstGeom>
                    <a:noFill/>
                    <a:ln>
                      <a:noFill/>
                    </a:ln>
                  </pic:spPr>
                </pic:pic>
              </a:graphicData>
            </a:graphic>
          </wp:inline>
        </w:drawing>
      </w:r>
    </w:p>
    <w:p w14:paraId="4269266D" w14:textId="77777777" w:rsidR="00414C31" w:rsidRPr="000665B0" w:rsidRDefault="00414C31" w:rsidP="009570CA">
      <w:pPr>
        <w:keepNext/>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56F3F0C6" w14:textId="3A0C4747" w:rsidR="00414C31" w:rsidRPr="000665B0" w:rsidRDefault="00414C31"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rPr>
      </w:pPr>
      <w:r w:rsidRPr="000665B0">
        <w:rPr>
          <w:b/>
        </w:rPr>
        <w:t>There are also 4 checkboxes in the Active TCIP Configuration block</w:t>
      </w:r>
      <w:r w:rsidR="0043477C">
        <w:rPr>
          <w:b/>
        </w:rPr>
        <w:t>:</w:t>
      </w:r>
      <w:r w:rsidRPr="000665B0">
        <w:rPr>
          <w:b/>
        </w:rPr>
        <w:t xml:space="preserve"> Send UER/TACK, Answer UER/TACK, Secret Ops, and Enclave Guard Exists.</w:t>
      </w:r>
    </w:p>
    <w:p w14:paraId="6768B937" w14:textId="77777777" w:rsidR="00414C31" w:rsidRPr="000665B0" w:rsidRDefault="00414C31" w:rsidP="009570CA">
      <w:pPr>
        <w:rPr>
          <w:b/>
        </w:rPr>
      </w:pPr>
      <w:r w:rsidRPr="000665B0">
        <w:rPr>
          <w:b/>
        </w:rPr>
        <w:t xml:space="preserve">Summary of Field Definitions in </w:t>
      </w:r>
      <w:r w:rsidRPr="000665B0">
        <w:rPr>
          <w:b/>
          <w:i/>
        </w:rPr>
        <w:t>TDM Communication</w:t>
      </w:r>
      <w:r w:rsidR="00490447" w:rsidRPr="000665B0">
        <w:rPr>
          <w:b/>
          <w:i/>
        </w:rPr>
        <w:t>s</w:t>
      </w:r>
      <w:r w:rsidRPr="000665B0">
        <w:rPr>
          <w:b/>
          <w:i/>
        </w:rPr>
        <w:t xml:space="preserve"> Properties</w:t>
      </w:r>
      <w:r w:rsidRPr="000665B0">
        <w:rPr>
          <w:b/>
        </w:rPr>
        <w:t xml:space="preserve"> </w:t>
      </w:r>
      <w:r w:rsidR="0028247D" w:rsidRPr="000665B0">
        <w:rPr>
          <w:b/>
        </w:rPr>
        <w:t>Window</w:t>
      </w:r>
    </w:p>
    <w:p w14:paraId="3796524A" w14:textId="77777777" w:rsidR="00414C31" w:rsidRPr="000665B0" w:rsidRDefault="00414C31" w:rsidP="006D5A65">
      <w:pPr>
        <w:pStyle w:val="Heading1"/>
      </w:pPr>
      <w:r w:rsidRPr="000665B0">
        <w:lastRenderedPageBreak/>
        <w:t>Connection Status – Displays whether the selected TCIP connection is Connected, Disconnected, DisconnectedAndDenied, ConnectedNoNetwork, or Unknown.</w:t>
      </w:r>
    </w:p>
    <w:p w14:paraId="1CDFBC86" w14:textId="77777777" w:rsidR="00414C31" w:rsidRPr="000665B0" w:rsidRDefault="00414C31" w:rsidP="006D5A65">
      <w:pPr>
        <w:pStyle w:val="Heading1"/>
      </w:pPr>
      <w:r w:rsidRPr="000665B0">
        <w:t>Name – Displays the name of the Active TCIP connection.</w:t>
      </w:r>
    </w:p>
    <w:p w14:paraId="4E5019C6" w14:textId="77777777" w:rsidR="00414C31" w:rsidRPr="000665B0" w:rsidRDefault="00414C31" w:rsidP="006D5A65">
      <w:pPr>
        <w:pStyle w:val="Heading1"/>
      </w:pPr>
      <w:r w:rsidRPr="000665B0">
        <w:t>IP Address – Displays the IP Address of the active TCIP connection.</w:t>
      </w:r>
    </w:p>
    <w:p w14:paraId="71F9AA80" w14:textId="1D5F9C19" w:rsidR="00414C31" w:rsidRPr="000665B0" w:rsidRDefault="00414C31" w:rsidP="006D5A65">
      <w:pPr>
        <w:pStyle w:val="Heading1"/>
      </w:pPr>
      <w:r w:rsidRPr="000665B0">
        <w:t>Port</w:t>
      </w:r>
      <w:r w:rsidR="00535013" w:rsidRPr="000665B0">
        <w:t xml:space="preserve"> </w:t>
      </w:r>
      <w:r w:rsidRPr="000665B0">
        <w:t>– Displays the listening Port number on the selected TCIP connection.</w:t>
      </w:r>
    </w:p>
    <w:p w14:paraId="120EEE15" w14:textId="77777777" w:rsidR="00414C31" w:rsidRPr="000665B0" w:rsidRDefault="00414C31" w:rsidP="006D5A65">
      <w:pPr>
        <w:pStyle w:val="Heading1"/>
      </w:pPr>
      <w:r w:rsidRPr="000665B0">
        <w:t>Node Name – Display</w:t>
      </w:r>
      <w:r w:rsidR="005E116D" w:rsidRPr="000665B0">
        <w:t>s</w:t>
      </w:r>
      <w:r w:rsidRPr="000665B0">
        <w:t xml:space="preserve"> the Node Name of current system.</w:t>
      </w:r>
    </w:p>
    <w:p w14:paraId="61D05F96" w14:textId="77777777" w:rsidR="00414C31" w:rsidRPr="000665B0" w:rsidRDefault="00414C31" w:rsidP="006D5A65">
      <w:pPr>
        <w:pStyle w:val="Heading1"/>
      </w:pPr>
      <w:r w:rsidRPr="000665B0">
        <w:t xml:space="preserve">TED Server – </w:t>
      </w:r>
      <w:r w:rsidR="005E116D" w:rsidRPr="000665B0">
        <w:t>Displays the TED Server name that this MDS is connected to.</w:t>
      </w:r>
    </w:p>
    <w:p w14:paraId="11EFF408" w14:textId="77777777" w:rsidR="00414C31" w:rsidRPr="000665B0" w:rsidRDefault="00414C31" w:rsidP="006D5A65">
      <w:pPr>
        <w:pStyle w:val="Heading1"/>
      </w:pPr>
      <w:r w:rsidRPr="000665B0">
        <w:t xml:space="preserve">VPL Version – </w:t>
      </w:r>
      <w:r w:rsidR="005E116D" w:rsidRPr="000665B0">
        <w:t>Displays the Valid Platform List version on the TED Server.</w:t>
      </w:r>
    </w:p>
    <w:p w14:paraId="3D719805" w14:textId="772AD8B4" w:rsidR="00414C31" w:rsidRPr="000665B0" w:rsidRDefault="00414C31" w:rsidP="006D5A65">
      <w:pPr>
        <w:pStyle w:val="Heading1"/>
      </w:pPr>
      <w:r w:rsidRPr="000665B0">
        <w:t xml:space="preserve">Send UER/TACK – When checked Distribution Service sends UER/TACK Messages, leave unchecked to disable this option. (See </w:t>
      </w:r>
      <w:hyperlink w:anchor="_5.3.1.1.1__Send_1" w:history="1">
        <w:r w:rsidRPr="000665B0">
          <w:rPr>
            <w:rStyle w:val="Hyperlink"/>
          </w:rPr>
          <w:t>Section 5.3.1.1.1</w:t>
        </w:r>
      </w:hyperlink>
      <w:r w:rsidRPr="000665B0">
        <w:t xml:space="preserve"> for details.)</w:t>
      </w:r>
    </w:p>
    <w:p w14:paraId="49E1CBBC" w14:textId="40422DE9" w:rsidR="00414C31" w:rsidRPr="000665B0" w:rsidRDefault="00414C31" w:rsidP="006D5A65">
      <w:pPr>
        <w:pStyle w:val="Heading1"/>
      </w:pPr>
      <w:r w:rsidRPr="000665B0">
        <w:t xml:space="preserve">Answer UER/TACK – When checked Distribution Service will answer to UER/TACK Messages, leave unchecked to disable this option. Answering to an UER/TACK might require Distribution Service to retransmit the missing USNs of the MDU/FDU listed in the UER/TACK. (See </w:t>
      </w:r>
      <w:hyperlink w:anchor="_5.3.1.1.2__Answer_1" w:history="1">
        <w:r w:rsidRPr="000665B0">
          <w:rPr>
            <w:rStyle w:val="Hyperlink"/>
          </w:rPr>
          <w:t>Section 5.3.1.1.2</w:t>
        </w:r>
      </w:hyperlink>
      <w:r w:rsidRPr="000665B0">
        <w:t xml:space="preserve"> for details.)</w:t>
      </w:r>
    </w:p>
    <w:p w14:paraId="7651D5EB" w14:textId="74C88F54" w:rsidR="00414C31" w:rsidRPr="000665B0" w:rsidRDefault="00414C31" w:rsidP="006D5A65">
      <w:pPr>
        <w:pStyle w:val="Heading1"/>
      </w:pPr>
      <w:r w:rsidRPr="000665B0">
        <w:t xml:space="preserve">Secret Ops – When checked allows for TTWCS non-tactical exercises to be completed at the Secret level. (See </w:t>
      </w:r>
      <w:hyperlink w:anchor="_5.3.1.1.3__Secret_1" w:history="1">
        <w:r w:rsidRPr="000665B0">
          <w:rPr>
            <w:rStyle w:val="Hyperlink"/>
          </w:rPr>
          <w:t>Section 5.3.1.1.3</w:t>
        </w:r>
      </w:hyperlink>
      <w:r w:rsidRPr="000665B0">
        <w:t xml:space="preserve"> for details.)</w:t>
      </w:r>
    </w:p>
    <w:p w14:paraId="3C88846B" w14:textId="77777777" w:rsidR="00414C31" w:rsidRPr="000665B0" w:rsidRDefault="00414C31" w:rsidP="006D5A65">
      <w:pPr>
        <w:pStyle w:val="Heading1"/>
      </w:pPr>
      <w:r w:rsidRPr="000665B0">
        <w:t>Enclave Guard Exists – When checked Distribution Service will ensure all off-board messages will comply with the Enclave Guard schemas.</w:t>
      </w:r>
    </w:p>
    <w:p w14:paraId="5C4CD403" w14:textId="77777777" w:rsidR="00414C31" w:rsidRPr="000665B0" w:rsidRDefault="00414C31" w:rsidP="006D5A65">
      <w:pPr>
        <w:pStyle w:val="Heading1"/>
      </w:pPr>
      <w:r w:rsidRPr="000665B0">
        <w:t xml:space="preserve">Stop Button – Closes the Distribution Service connection to the Active TCIP. It must be pressed to allow the user to select another TCIP connection. </w:t>
      </w:r>
    </w:p>
    <w:p w14:paraId="0A6E5A73" w14:textId="77777777" w:rsidR="00414C31" w:rsidRPr="000665B0" w:rsidRDefault="00414C31" w:rsidP="006D5A65">
      <w:pPr>
        <w:pStyle w:val="Heading1"/>
      </w:pPr>
      <w:r w:rsidRPr="000665B0">
        <w:t>Start Button – Tells Distribution Service to connect to the Active TCIP connection.</w:t>
      </w:r>
    </w:p>
    <w:p w14:paraId="46909BB5" w14:textId="77777777" w:rsidR="00414C31" w:rsidRPr="000665B0" w:rsidRDefault="00414C31" w:rsidP="009570CA">
      <w:r w:rsidRPr="000665B0">
        <w:t xml:space="preserve">The </w:t>
      </w:r>
      <w:r w:rsidRPr="000665B0">
        <w:rPr>
          <w:b/>
        </w:rPr>
        <w:t>TCIP Configuration</w:t>
      </w:r>
      <w:r w:rsidRPr="000665B0">
        <w:t xml:space="preserve"> pane of the window provides the user with configuration information such as </w:t>
      </w:r>
      <w:r w:rsidRPr="000665B0">
        <w:rPr>
          <w:b/>
          <w:bCs/>
        </w:rPr>
        <w:t>Name</w:t>
      </w:r>
      <w:r w:rsidRPr="000665B0">
        <w:t xml:space="preserve">, </w:t>
      </w:r>
      <w:r w:rsidRPr="000665B0">
        <w:rPr>
          <w:b/>
          <w:bCs/>
        </w:rPr>
        <w:t>IP Address</w:t>
      </w:r>
      <w:r w:rsidRPr="000665B0">
        <w:t xml:space="preserve"> and </w:t>
      </w:r>
      <w:r w:rsidRPr="000665B0">
        <w:rPr>
          <w:b/>
          <w:bCs/>
        </w:rPr>
        <w:t>Port</w:t>
      </w:r>
      <w:r w:rsidRPr="000665B0">
        <w:t>; there are also three buttons:</w:t>
      </w:r>
    </w:p>
    <w:p w14:paraId="34B255DB" w14:textId="77777777" w:rsidR="00414C31" w:rsidRPr="000665B0" w:rsidRDefault="00414C31" w:rsidP="006D5A65">
      <w:pPr>
        <w:pStyle w:val="Heading1"/>
      </w:pPr>
      <w:r w:rsidRPr="000665B0">
        <w:t>Add Button – Allows the user to add another device’s Name, IP Address and Port.</w:t>
      </w:r>
    </w:p>
    <w:p w14:paraId="38948A00" w14:textId="77777777" w:rsidR="00414C31" w:rsidRPr="000665B0" w:rsidRDefault="00414C31" w:rsidP="006D5A65">
      <w:pPr>
        <w:pStyle w:val="Heading1"/>
      </w:pPr>
      <w:r w:rsidRPr="000665B0">
        <w:t>Remove Button – Allows the user to remove any device listed.</w:t>
      </w:r>
    </w:p>
    <w:p w14:paraId="357EFADE" w14:textId="77777777" w:rsidR="00414C31" w:rsidRPr="000665B0" w:rsidRDefault="00414C31" w:rsidP="006D5A65">
      <w:pPr>
        <w:pStyle w:val="Heading1"/>
      </w:pPr>
      <w:r w:rsidRPr="000665B0">
        <w:t>Set As Active Button – Allows the user to select what device to use as its primary connection if multiple entries exist. This can only be accomplished once the operator stops the existing connection status.</w:t>
      </w:r>
    </w:p>
    <w:p w14:paraId="636ADA75" w14:textId="40437C53" w:rsidR="00414C31" w:rsidRPr="000665B0" w:rsidRDefault="00414C31" w:rsidP="009570CA">
      <w:pPr>
        <w:pStyle w:val="Heading5"/>
        <w:keepNext w:val="0"/>
      </w:pPr>
      <w:bookmarkStart w:id="818" w:name="_5.3.1.1.1__Send_1"/>
      <w:bookmarkEnd w:id="818"/>
      <w:r w:rsidRPr="000665B0">
        <w:t>Send UER/TACK</w:t>
      </w:r>
    </w:p>
    <w:p w14:paraId="154BA31B" w14:textId="0A86CDF2" w:rsidR="00414C31" w:rsidRPr="000665B0" w:rsidRDefault="00414C31" w:rsidP="009570CA">
      <w:pPr>
        <w:spacing w:after="0"/>
      </w:pPr>
      <w:r w:rsidRPr="000665B0">
        <w:lastRenderedPageBreak/>
        <w:t>When this box is checked, Distribution Service sends UER/TACK Messages, otherwise it does not. UERs are responses to MDUs while TACKs are responses to File Data Updates (</w:t>
      </w:r>
      <w:r w:rsidRPr="000665B0">
        <w:rPr>
          <w:b/>
        </w:rPr>
        <w:t>FDUs</w:t>
      </w:r>
      <w:r w:rsidRPr="000665B0">
        <w:t xml:space="preserve">). When this box is checked, Distribution Service responds to </w:t>
      </w:r>
      <w:r w:rsidR="00A255BB" w:rsidRPr="000665B0">
        <w:t>an</w:t>
      </w:r>
      <w:r w:rsidRPr="000665B0">
        <w:t xml:space="preserve"> MDU with a UER and </w:t>
      </w:r>
      <w:r w:rsidR="00A255BB" w:rsidRPr="000665B0">
        <w:t>an</w:t>
      </w:r>
      <w:r w:rsidRPr="000665B0">
        <w:t xml:space="preserve"> FDU with a TACK. </w:t>
      </w:r>
    </w:p>
    <w:p w14:paraId="11BD0C2B" w14:textId="780565F3" w:rsidR="00414C31" w:rsidRPr="000665B0" w:rsidRDefault="00414C31" w:rsidP="009570CA">
      <w:pPr>
        <w:pStyle w:val="Heading5"/>
        <w:keepNext w:val="0"/>
      </w:pPr>
      <w:bookmarkStart w:id="819" w:name="_5.3.1.1.2__Answer_1"/>
      <w:bookmarkEnd w:id="819"/>
      <w:r w:rsidRPr="000665B0">
        <w:t>Answer UER/TACK</w:t>
      </w:r>
    </w:p>
    <w:p w14:paraId="1C887A6E" w14:textId="77777777" w:rsidR="00414C31" w:rsidRPr="000665B0" w:rsidRDefault="00414C31" w:rsidP="009570CA">
      <w:pPr>
        <w:spacing w:after="0"/>
      </w:pPr>
      <w:r w:rsidRPr="000665B0">
        <w:t>When this box is checked, Distribution Service answers to UER/TACK if necessary. UER/TACK tells Distribution Service whether another system has received the MDU/FDU successfully or requests for certain USNs to be retransmitted. For instance, TTWCS can generate a TACK to request the third USN of a multi-part (3 USNs) FDU. If this box is unchecked, Distribution Service will not “answer” to any UER/TACK that requests for retransmission.</w:t>
      </w:r>
    </w:p>
    <w:p w14:paraId="3ACD9944" w14:textId="02250767" w:rsidR="00414C31" w:rsidRPr="000665B0" w:rsidRDefault="00414C31" w:rsidP="009570CA">
      <w:pPr>
        <w:pStyle w:val="Heading5"/>
      </w:pPr>
      <w:bookmarkStart w:id="820" w:name="_5.3.1.1.3__Secret_1"/>
      <w:bookmarkStart w:id="821" w:name="_5.3.1.1.3__Secret"/>
      <w:bookmarkEnd w:id="820"/>
      <w:bookmarkEnd w:id="821"/>
      <w:r w:rsidRPr="000665B0">
        <w:t>Secret Ops</w:t>
      </w:r>
    </w:p>
    <w:p w14:paraId="7C7D8E3B" w14:textId="3800B1F0" w:rsidR="00414C31" w:rsidRPr="000665B0" w:rsidRDefault="00414C31" w:rsidP="009570CA">
      <w:pPr>
        <w:spacing w:after="0" w:line="240" w:lineRule="auto"/>
        <w:rPr>
          <w:szCs w:val="24"/>
        </w:rPr>
      </w:pPr>
      <w:r w:rsidRPr="000665B0">
        <w:rPr>
          <w:szCs w:val="24"/>
        </w:rPr>
        <w:t xml:space="preserve">To send a Secret MDU or FDU to a TTWCS platform requires that the </w:t>
      </w:r>
      <w:r w:rsidRPr="000665B0">
        <w:rPr>
          <w:b/>
          <w:szCs w:val="24"/>
        </w:rPr>
        <w:t>Secret Ops</w:t>
      </w:r>
      <w:r w:rsidRPr="000665B0">
        <w:rPr>
          <w:szCs w:val="24"/>
        </w:rPr>
        <w:t xml:space="preserve"> checkbox in the </w:t>
      </w:r>
      <w:r w:rsidRPr="000665B0">
        <w:rPr>
          <w:i/>
          <w:iCs/>
          <w:szCs w:val="24"/>
        </w:rPr>
        <w:t>TDM Communications Properties</w:t>
      </w:r>
      <w:r w:rsidRPr="000665B0">
        <w:rPr>
          <w:szCs w:val="24"/>
        </w:rPr>
        <w:t xml:space="preserve"> window be selected prior to transmitting data. Selection of the Secret Ops checkbox causes all TTWCS MDU and FDU headers to be set to the appropriate OTH Communications specification that TTWCS requires during Secret operations to be able to accept/receive and process the data. Failure to select the Secret Ops checkbox prior to this type of MDU/FDU results in the TTWCS rejection of the data due to classification level. </w:t>
      </w:r>
    </w:p>
    <w:p w14:paraId="77C6670A" w14:textId="6199B217" w:rsidR="00414C31" w:rsidRPr="000665B0" w:rsidRDefault="00414C31" w:rsidP="009570CA">
      <w:pPr>
        <w:pStyle w:val="Heading5"/>
      </w:pPr>
      <w:r w:rsidRPr="000665B0">
        <w:t>Troubleshooting TCIP</w:t>
      </w:r>
    </w:p>
    <w:p w14:paraId="116BE358" w14:textId="3DA830F6" w:rsidR="00414C31" w:rsidRPr="000665B0" w:rsidRDefault="00414C31" w:rsidP="009570CA">
      <w:pPr>
        <w:keepNext/>
      </w:pPr>
      <w:r w:rsidRPr="000665B0">
        <w:t>After modifying a TCIP configuration (LINT</w:t>
      </w:r>
      <w:r w:rsidR="00E97EE9" w:rsidRPr="000665B0">
        <w:t xml:space="preserve">, </w:t>
      </w:r>
      <w:r w:rsidR="00535013" w:rsidRPr="000665B0">
        <w:t>TSN DAMA</w:t>
      </w:r>
      <w:r w:rsidR="00E97EE9" w:rsidRPr="000665B0">
        <w:t>,</w:t>
      </w:r>
      <w:r w:rsidR="00535013" w:rsidRPr="000665B0">
        <w:t xml:space="preserve"> or TSN ACA</w:t>
      </w:r>
      <w:r w:rsidRPr="000665B0">
        <w:t>), it is recommended that the user</w:t>
      </w:r>
      <w:r w:rsidR="003A39DC" w:rsidRPr="000665B0">
        <w:t>:</w:t>
      </w:r>
      <w:r w:rsidRPr="000665B0">
        <w:t xml:space="preserve"> </w:t>
      </w:r>
    </w:p>
    <w:p w14:paraId="72FD726B" w14:textId="164EB1DD" w:rsidR="00414C31" w:rsidRPr="000665B0" w:rsidRDefault="007432AB" w:rsidP="006D5A65">
      <w:pPr>
        <w:pStyle w:val="Heading1"/>
        <w:rPr>
          <w:rStyle w:val="bodycopy"/>
        </w:rPr>
      </w:pPr>
      <w:r w:rsidRPr="000665B0">
        <w:rPr>
          <w:rStyle w:val="bodycopy"/>
        </w:rPr>
        <w:t>S</w:t>
      </w:r>
      <w:r w:rsidR="00414C31" w:rsidRPr="000665B0">
        <w:rPr>
          <w:rStyle w:val="bodycopy"/>
        </w:rPr>
        <w:t xml:space="preserve">ave the </w:t>
      </w:r>
      <w:r w:rsidR="00D53C9B" w:rsidRPr="000665B0">
        <w:rPr>
          <w:rStyle w:val="bodycopy"/>
        </w:rPr>
        <w:t>configuration.</w:t>
      </w:r>
    </w:p>
    <w:p w14:paraId="001B6FB5" w14:textId="4B68072A" w:rsidR="00414C31" w:rsidRPr="000665B0" w:rsidRDefault="007432AB" w:rsidP="006D5A65">
      <w:pPr>
        <w:pStyle w:val="Heading1"/>
        <w:rPr>
          <w:rStyle w:val="bodycopy"/>
        </w:rPr>
      </w:pPr>
      <w:r w:rsidRPr="000665B0">
        <w:rPr>
          <w:rStyle w:val="bodycopy"/>
        </w:rPr>
        <w:t>S</w:t>
      </w:r>
      <w:r w:rsidR="00414C31" w:rsidRPr="000665B0">
        <w:rPr>
          <w:rStyle w:val="bodycopy"/>
        </w:rPr>
        <w:t>elect “Stop Communications” (LINT</w:t>
      </w:r>
      <w:r w:rsidR="00E97EE9" w:rsidRPr="000665B0">
        <w:rPr>
          <w:rStyle w:val="bodycopy"/>
        </w:rPr>
        <w:t>,</w:t>
      </w:r>
      <w:r w:rsidR="00414C31" w:rsidRPr="000665B0">
        <w:rPr>
          <w:rStyle w:val="bodycopy"/>
        </w:rPr>
        <w:t xml:space="preserve"> </w:t>
      </w:r>
      <w:r w:rsidR="00535013" w:rsidRPr="000665B0">
        <w:t>TSN DAMA</w:t>
      </w:r>
      <w:r w:rsidR="00E97EE9" w:rsidRPr="000665B0">
        <w:t>,</w:t>
      </w:r>
      <w:r w:rsidR="00535013" w:rsidRPr="000665B0">
        <w:t xml:space="preserve"> or TSN ACA</w:t>
      </w:r>
      <w:r w:rsidR="00414C31" w:rsidRPr="000665B0">
        <w:rPr>
          <w:rStyle w:val="bodycopy"/>
        </w:rPr>
        <w:t>)</w:t>
      </w:r>
    </w:p>
    <w:p w14:paraId="3799178B" w14:textId="640A1ED5" w:rsidR="00414C31" w:rsidRPr="000665B0" w:rsidRDefault="007432AB" w:rsidP="006D5A65">
      <w:pPr>
        <w:pStyle w:val="Heading1"/>
        <w:rPr>
          <w:rStyle w:val="bodycopy"/>
        </w:rPr>
      </w:pPr>
      <w:r w:rsidRPr="000665B0">
        <w:rPr>
          <w:rStyle w:val="bodycopy"/>
        </w:rPr>
        <w:t>W</w:t>
      </w:r>
      <w:r w:rsidR="00414C31" w:rsidRPr="000665B0">
        <w:rPr>
          <w:rStyle w:val="bodycopy"/>
        </w:rPr>
        <w:t xml:space="preserve">ait 1 </w:t>
      </w:r>
      <w:r w:rsidR="00D53C9B" w:rsidRPr="000665B0">
        <w:rPr>
          <w:rStyle w:val="bodycopy"/>
        </w:rPr>
        <w:t>minute.</w:t>
      </w:r>
      <w:r w:rsidR="00414C31" w:rsidRPr="000665B0">
        <w:rPr>
          <w:rStyle w:val="bodycopy"/>
        </w:rPr>
        <w:t xml:space="preserve"> </w:t>
      </w:r>
    </w:p>
    <w:p w14:paraId="07291075" w14:textId="7363F036" w:rsidR="00414C31" w:rsidRPr="000665B0" w:rsidRDefault="00414C31" w:rsidP="006D5A65">
      <w:pPr>
        <w:pStyle w:val="Heading1"/>
        <w:rPr>
          <w:rStyle w:val="bodycopy"/>
        </w:rPr>
      </w:pPr>
      <w:r w:rsidRPr="000665B0">
        <w:rPr>
          <w:rStyle w:val="bodycopy"/>
        </w:rPr>
        <w:t>Start (LINT</w:t>
      </w:r>
      <w:r w:rsidR="00E97EE9" w:rsidRPr="000665B0">
        <w:rPr>
          <w:rStyle w:val="bodycopy"/>
        </w:rPr>
        <w:t>,</w:t>
      </w:r>
      <w:r w:rsidRPr="000665B0">
        <w:rPr>
          <w:rStyle w:val="bodycopy"/>
        </w:rPr>
        <w:t xml:space="preserve"> </w:t>
      </w:r>
      <w:r w:rsidR="00535013" w:rsidRPr="000665B0">
        <w:t>TSN DAMA</w:t>
      </w:r>
      <w:r w:rsidR="00E97EE9" w:rsidRPr="000665B0">
        <w:t>,</w:t>
      </w:r>
      <w:r w:rsidR="00535013" w:rsidRPr="000665B0">
        <w:t xml:space="preserve"> or TSN ACA</w:t>
      </w:r>
      <w:r w:rsidRPr="000665B0">
        <w:rPr>
          <w:rStyle w:val="bodycopy"/>
        </w:rPr>
        <w:t>)</w:t>
      </w:r>
    </w:p>
    <w:p w14:paraId="4D691C04" w14:textId="734DD061" w:rsidR="00414C31" w:rsidRPr="000665B0" w:rsidRDefault="00414C31" w:rsidP="006D5A65">
      <w:pPr>
        <w:pStyle w:val="Heading1"/>
        <w:rPr>
          <w:rStyle w:val="bodycopy"/>
        </w:rPr>
      </w:pPr>
      <w:r w:rsidRPr="000665B0">
        <w:rPr>
          <w:rStyle w:val="bodycopy"/>
        </w:rPr>
        <w:t xml:space="preserve">Verify the changes were </w:t>
      </w:r>
      <w:r w:rsidR="00D53C9B" w:rsidRPr="000665B0">
        <w:rPr>
          <w:rStyle w:val="bodycopy"/>
        </w:rPr>
        <w:t>applied.</w:t>
      </w:r>
    </w:p>
    <w:p w14:paraId="5464922E" w14:textId="77777777" w:rsidR="00414C31" w:rsidRPr="000665B0" w:rsidRDefault="00414C31" w:rsidP="009570CA">
      <w:pPr>
        <w:rPr>
          <w:rStyle w:val="bodycopy"/>
        </w:rPr>
      </w:pPr>
      <w:r w:rsidRPr="000665B0">
        <w:rPr>
          <w:rStyle w:val="bodycopy"/>
        </w:rPr>
        <w:t>This ensures that the configuration changes (interfaces/routes) take effect without error.</w:t>
      </w:r>
    </w:p>
    <w:p w14:paraId="3148C88D" w14:textId="5C034964" w:rsidR="00414C31" w:rsidRPr="000665B0" w:rsidRDefault="00414C31" w:rsidP="00306174">
      <w:pPr>
        <w:pStyle w:val="Heading6"/>
      </w:pPr>
      <w:r w:rsidRPr="000665B0">
        <w:t>Troubleshooting TSN</w:t>
      </w:r>
    </w:p>
    <w:p w14:paraId="50429AE5" w14:textId="1A10493C" w:rsidR="00414C31" w:rsidRPr="000665B0" w:rsidRDefault="00414C31" w:rsidP="009570CA">
      <w:pPr>
        <w:pStyle w:val="Heading7"/>
        <w:keepNext w:val="0"/>
      </w:pPr>
      <w:r w:rsidRPr="000665B0">
        <w:t xml:space="preserve">Cannot </w:t>
      </w:r>
      <w:r w:rsidR="005318BF" w:rsidRPr="000665B0">
        <w:t xml:space="preserve">Transmit </w:t>
      </w:r>
      <w:r w:rsidRPr="000665B0">
        <w:t xml:space="preserve">on TSN until </w:t>
      </w:r>
      <w:r w:rsidR="005318BF" w:rsidRPr="000665B0">
        <w:t xml:space="preserve">Comms Personnel </w:t>
      </w:r>
      <w:r w:rsidRPr="000665B0">
        <w:t xml:space="preserve">Initiate Service on 5kHz (TSN) </w:t>
      </w:r>
      <w:r w:rsidR="005318BF" w:rsidRPr="000665B0">
        <w:t>Modem</w:t>
      </w:r>
    </w:p>
    <w:p w14:paraId="263D1C95" w14:textId="77777777" w:rsidR="00414C31" w:rsidRPr="000665B0" w:rsidRDefault="00414C31" w:rsidP="009570CA">
      <w:r w:rsidRPr="000665B0">
        <w:t>If service has not been initiated on the 5kHz (</w:t>
      </w:r>
      <w:r w:rsidRPr="000665B0">
        <w:rPr>
          <w:b/>
        </w:rPr>
        <w:t>TSN</w:t>
      </w:r>
      <w:r w:rsidRPr="000665B0">
        <w:t xml:space="preserve">) modem, TSN messages are received but </w:t>
      </w:r>
      <w:r w:rsidRPr="000665B0">
        <w:rPr>
          <w:u w:val="single"/>
        </w:rPr>
        <w:t>not</w:t>
      </w:r>
      <w:r w:rsidRPr="000665B0">
        <w:t xml:space="preserve"> transmitted.</w:t>
      </w:r>
    </w:p>
    <w:p w14:paraId="117E4E5B" w14:textId="3BE2AA76" w:rsidR="00414C31" w:rsidRPr="000665B0" w:rsidRDefault="00414C31" w:rsidP="009570CA">
      <w:r w:rsidRPr="000665B0">
        <w:t>Ask radio operator to initiate the 5</w:t>
      </w:r>
      <w:r w:rsidR="007F1D37" w:rsidRPr="000665B0">
        <w:t>kH</w:t>
      </w:r>
      <w:r w:rsidRPr="000665B0">
        <w:t xml:space="preserve">z DAMA service on the VTC 300. The MD-1324 modem can only hold five (5) pending message at a time and can only transmit about three (3) per minute. If more than 5 messages are buffered at TCIP, in </w:t>
      </w:r>
      <w:r w:rsidR="00301E7F" w:rsidRPr="000665B0">
        <w:t>TSN DAMA</w:t>
      </w:r>
      <w:r w:rsidRPr="000665B0">
        <w:t xml:space="preserve">, it may take several minutes before the buffer is emptied. </w:t>
      </w:r>
    </w:p>
    <w:p w14:paraId="3590C4D0" w14:textId="77777777" w:rsidR="000E75C7" w:rsidRPr="000665B0" w:rsidRDefault="00414C31" w:rsidP="009570CA">
      <w:pPr>
        <w:keepNext/>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lastRenderedPageBreak/>
        <w:t>Note:</w:t>
      </w:r>
    </w:p>
    <w:p w14:paraId="0DDB2B8B" w14:textId="36F9AFA6" w:rsidR="00414C31" w:rsidRPr="000665B0" w:rsidRDefault="00414C31"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noProof/>
        </w:rPr>
      </w:pPr>
      <w:r w:rsidRPr="000665B0">
        <w:rPr>
          <w:b/>
          <w:noProof/>
        </w:rPr>
        <w:t>If many messages are buffered, it may be prudent to delete the IMMM / PING messages (H&amp;S/PING if TSRT) before initiating service to avoid flooding the modem with messages.</w:t>
      </w:r>
      <w:r w:rsidR="009651B0">
        <w:rPr>
          <w:b/>
          <w:noProof/>
        </w:rPr>
        <w:t xml:space="preserve"> </w:t>
      </w:r>
    </w:p>
    <w:p w14:paraId="2C222E04" w14:textId="7DD652E4" w:rsidR="00414C31" w:rsidRPr="000665B0" w:rsidRDefault="00414C31" w:rsidP="009570CA">
      <w:pPr>
        <w:pStyle w:val="Heading7"/>
        <w:keepNext w:val="0"/>
      </w:pPr>
      <w:r w:rsidRPr="000665B0">
        <w:t xml:space="preserve">Don’t </w:t>
      </w:r>
      <w:r w:rsidR="005318BF" w:rsidRPr="000665B0">
        <w:t xml:space="preserve">Flood </w:t>
      </w:r>
      <w:r w:rsidRPr="000665B0">
        <w:t xml:space="preserve">the TSN </w:t>
      </w:r>
      <w:r w:rsidR="005318BF" w:rsidRPr="000665B0">
        <w:t>Modem</w:t>
      </w:r>
    </w:p>
    <w:p w14:paraId="364C23F9" w14:textId="3BA558F9" w:rsidR="00414C31" w:rsidRPr="000665B0" w:rsidRDefault="00414C31" w:rsidP="009570CA">
      <w:r w:rsidRPr="000665B0">
        <w:t xml:space="preserve">The current MD-1324A modem can only transmit ~3 TSN </w:t>
      </w:r>
      <w:r w:rsidR="00301E7F" w:rsidRPr="000665B0">
        <w:t xml:space="preserve">DAMA </w:t>
      </w:r>
      <w:r w:rsidRPr="000665B0">
        <w:t xml:space="preserve">messages per minute. When multiple TSN </w:t>
      </w:r>
      <w:r w:rsidR="00301E7F" w:rsidRPr="000665B0">
        <w:t xml:space="preserve">DAMA </w:t>
      </w:r>
      <w:r w:rsidRPr="000665B0">
        <w:t>messages are sent to the TSN modem in a very short period of time (</w:t>
      </w:r>
      <w:r w:rsidR="003509EA" w:rsidRPr="000665B0">
        <w:t xml:space="preserve">e.g., </w:t>
      </w:r>
      <w:r w:rsidRPr="000665B0">
        <w:t xml:space="preserve">from TSN Tester, MDS, or TSRT), the modem transmits the TSN data at a very slow rate. </w:t>
      </w:r>
    </w:p>
    <w:p w14:paraId="220CDD1A" w14:textId="23D4501A" w:rsidR="00414C31" w:rsidRPr="000665B0" w:rsidRDefault="00414C31" w:rsidP="009570CA">
      <w:r w:rsidRPr="000665B0">
        <w:t xml:space="preserve">Note that a good TSN comms plan does not cause this condition. However, TSN </w:t>
      </w:r>
      <w:r w:rsidR="00301E7F" w:rsidRPr="000665B0">
        <w:t xml:space="preserve">DAMA </w:t>
      </w:r>
      <w:r w:rsidRPr="000665B0">
        <w:t xml:space="preserve">message buffering may occur at the modem supporting TSRT when using a single modem to simulate TSN </w:t>
      </w:r>
      <w:r w:rsidR="00301E7F" w:rsidRPr="000665B0">
        <w:t xml:space="preserve">DAMA </w:t>
      </w:r>
      <w:r w:rsidRPr="000665B0">
        <w:t xml:space="preserve">comms from multiple </w:t>
      </w:r>
      <w:r w:rsidR="00C2585F" w:rsidRPr="000665B0">
        <w:t>109E</w:t>
      </w:r>
      <w:r w:rsidRPr="000665B0">
        <w:t xml:space="preserve"> missiles.</w:t>
      </w:r>
      <w:r w:rsidR="009651B0">
        <w:t xml:space="preserve"> </w:t>
      </w:r>
    </w:p>
    <w:p w14:paraId="628AF986" w14:textId="19BDFD25" w:rsidR="00414C31" w:rsidRPr="000665B0" w:rsidRDefault="00414C31" w:rsidP="009570CA">
      <w:r w:rsidRPr="000665B0">
        <w:t xml:space="preserve">TSN Tester (on TCIP) should only be used to verify or troubleshoot TSN </w:t>
      </w:r>
      <w:r w:rsidR="00301E7F" w:rsidRPr="000665B0">
        <w:t xml:space="preserve">DAMA </w:t>
      </w:r>
      <w:r w:rsidRPr="000665B0">
        <w:t xml:space="preserve">comms connectivity. Operators should be careful not to transmit more than 2 or 3 TSN </w:t>
      </w:r>
      <w:r w:rsidR="00301E7F" w:rsidRPr="000665B0">
        <w:t xml:space="preserve">DAMA </w:t>
      </w:r>
      <w:r w:rsidRPr="000665B0">
        <w:t>messages in a row from TSN Tester (on TCIP), so as not to overload the TSN modem.</w:t>
      </w:r>
    </w:p>
    <w:p w14:paraId="089363AC" w14:textId="0B4014E0" w:rsidR="00414C31" w:rsidRPr="000665B0" w:rsidRDefault="00414C31" w:rsidP="009570CA">
      <w:r w:rsidRPr="000665B0">
        <w:rPr>
          <w:i/>
        </w:rPr>
        <w:t>Workaround 1 (</w:t>
      </w:r>
      <w:r w:rsidR="00EE5B1B">
        <w:rPr>
          <w:i/>
        </w:rPr>
        <w:t>f</w:t>
      </w:r>
      <w:r w:rsidRPr="000665B0">
        <w:rPr>
          <w:i/>
        </w:rPr>
        <w:t>or data retention)</w:t>
      </w:r>
      <w:r w:rsidRPr="000665B0">
        <w:rPr>
          <w:b/>
        </w:rPr>
        <w:t>:</w:t>
      </w:r>
      <w:r w:rsidRPr="000665B0">
        <w:t xml:space="preserve"> Stop sending additional TSN </w:t>
      </w:r>
      <w:r w:rsidR="00301E7F" w:rsidRPr="000665B0">
        <w:t xml:space="preserve">DAMA </w:t>
      </w:r>
      <w:r w:rsidRPr="000665B0">
        <w:t xml:space="preserve">messages to the buffer and wait for the </w:t>
      </w:r>
      <w:r w:rsidR="00535013" w:rsidRPr="000665B0">
        <w:t>TS</w:t>
      </w:r>
      <w:r w:rsidR="00E97EE9" w:rsidRPr="000665B0">
        <w:t>N DAMA</w:t>
      </w:r>
      <w:r w:rsidRPr="000665B0">
        <w:t xml:space="preserve"> buffer to clear. For </w:t>
      </w:r>
      <w:r w:rsidR="00D53C9B" w:rsidRPr="000665B0">
        <w:t>example,</w:t>
      </w:r>
      <w:r w:rsidRPr="000665B0">
        <w:t xml:space="preserve"> if 15 messages are in the buffer, it may take 5 minutes or more before the </w:t>
      </w:r>
      <w:r w:rsidR="00535013" w:rsidRPr="000665B0">
        <w:t xml:space="preserve">TSN DAMA </w:t>
      </w:r>
      <w:r w:rsidRPr="000665B0">
        <w:t xml:space="preserve">buffer is clear. </w:t>
      </w:r>
    </w:p>
    <w:p w14:paraId="196376BB" w14:textId="1F431EBB" w:rsidR="00414C31" w:rsidRPr="000665B0" w:rsidRDefault="00414C31" w:rsidP="009570CA">
      <w:r w:rsidRPr="000665B0">
        <w:rPr>
          <w:i/>
        </w:rPr>
        <w:t>Workaround 2 (</w:t>
      </w:r>
      <w:r w:rsidR="00EE5B1B">
        <w:rPr>
          <w:i/>
        </w:rPr>
        <w:t>t</w:t>
      </w:r>
      <w:r w:rsidRPr="000665B0">
        <w:rPr>
          <w:i/>
        </w:rPr>
        <w:t>o clear all data):</w:t>
      </w:r>
      <w:r w:rsidRPr="000665B0">
        <w:t xml:space="preserve"> Clear the message in the </w:t>
      </w:r>
      <w:r w:rsidR="00535013" w:rsidRPr="000665B0">
        <w:t xml:space="preserve">TSN DAMA </w:t>
      </w:r>
      <w:r w:rsidRPr="000665B0">
        <w:t xml:space="preserve">interface and resend the critical IMMM / PING. </w:t>
      </w:r>
    </w:p>
    <w:p w14:paraId="17CEB515" w14:textId="77777777" w:rsidR="000E75C7" w:rsidRPr="000665B0" w:rsidRDefault="00414C31" w:rsidP="009570CA">
      <w:pPr>
        <w:keepNext/>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7005B59A" w14:textId="77777777" w:rsidR="00414C31" w:rsidRPr="000665B0" w:rsidRDefault="00414C31"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noProof/>
        </w:rPr>
      </w:pPr>
      <w:r w:rsidRPr="000665B0">
        <w:rPr>
          <w:b/>
          <w:noProof/>
        </w:rPr>
        <w:t>If logged in as an administrator, the clear port function is grayed out and not accessible to the user</w:t>
      </w:r>
      <w:r w:rsidR="00931B38" w:rsidRPr="000665B0">
        <w:rPr>
          <w:b/>
          <w:noProof/>
        </w:rPr>
        <w:t>. The user must l</w:t>
      </w:r>
      <w:r w:rsidRPr="000665B0">
        <w:rPr>
          <w:b/>
          <w:noProof/>
        </w:rPr>
        <w:t xml:space="preserve">og out of TCIP before having the ability to clear this port. </w:t>
      </w:r>
    </w:p>
    <w:p w14:paraId="2614C005" w14:textId="6CFEAFAB" w:rsidR="00414C31" w:rsidRPr="000665B0" w:rsidRDefault="00414C31" w:rsidP="009570CA">
      <w:pPr>
        <w:pStyle w:val="Heading7"/>
        <w:keepNext w:val="0"/>
      </w:pPr>
      <w:r w:rsidRPr="000665B0">
        <w:t xml:space="preserve">TSN Channel Controller </w:t>
      </w:r>
      <w:r w:rsidR="005318BF" w:rsidRPr="000665B0">
        <w:t xml:space="preserve">Logs </w:t>
      </w:r>
      <w:r w:rsidR="00931B38" w:rsidRPr="000665B0">
        <w:t xml:space="preserve">the </w:t>
      </w:r>
      <w:r w:rsidR="005318BF" w:rsidRPr="000665B0">
        <w:t xml:space="preserve">Modem </w:t>
      </w:r>
      <w:r w:rsidRPr="000665B0">
        <w:t>off TSN</w:t>
      </w:r>
    </w:p>
    <w:p w14:paraId="05174906" w14:textId="01A614C2" w:rsidR="00414C31" w:rsidRPr="000665B0" w:rsidRDefault="00414C31" w:rsidP="009570CA">
      <w:r w:rsidRPr="000665B0">
        <w:t>The TSN Channel Controller can log a TSN modem off the TSN channel. This usually occurs for any of several unrelated reasons from local hardware issues to hardware issues at NCTAMS (</w:t>
      </w:r>
      <w:r w:rsidR="003509EA" w:rsidRPr="000665B0">
        <w:t xml:space="preserve">i.e., </w:t>
      </w:r>
      <w:r w:rsidRPr="000665B0">
        <w:t>channel controller), or issues related to the TSN channel itself (</w:t>
      </w:r>
      <w:r w:rsidR="003509EA" w:rsidRPr="000665B0">
        <w:t xml:space="preserve">e.g., </w:t>
      </w:r>
      <w:r w:rsidRPr="000665B0">
        <w:t xml:space="preserve">interference). </w:t>
      </w:r>
    </w:p>
    <w:p w14:paraId="69593069" w14:textId="34C5F5AF" w:rsidR="00414C31" w:rsidRPr="000665B0" w:rsidRDefault="00414C31" w:rsidP="009570CA">
      <w:r w:rsidRPr="000665B0">
        <w:t xml:space="preserve">If modem gets logged off, capability to receive and transmit is lost. The most immediate symptom would be a missed H&amp;S or possibly TSN messages start to buffer in the </w:t>
      </w:r>
      <w:r w:rsidR="00301E7F" w:rsidRPr="000665B0">
        <w:t xml:space="preserve">TSN DAMA </w:t>
      </w:r>
      <w:r w:rsidRPr="000665B0">
        <w:t>buffer.</w:t>
      </w:r>
    </w:p>
    <w:p w14:paraId="1DA3260E" w14:textId="77777777" w:rsidR="00414C31" w:rsidRPr="000665B0" w:rsidRDefault="00414C31" w:rsidP="009570CA">
      <w:r w:rsidRPr="000665B0">
        <w:t xml:space="preserve">Ask radio operator to log back into the TSN channel. </w:t>
      </w:r>
    </w:p>
    <w:p w14:paraId="16F7AEDF" w14:textId="3262DA12" w:rsidR="00414C31" w:rsidRPr="000665B0" w:rsidRDefault="00414C31" w:rsidP="009570CA">
      <w:pPr>
        <w:pStyle w:val="Heading7"/>
        <w:keepNext w:val="0"/>
      </w:pPr>
      <w:r w:rsidRPr="000665B0">
        <w:t xml:space="preserve">Unable to </w:t>
      </w:r>
      <w:r w:rsidR="005318BF" w:rsidRPr="000665B0">
        <w:t xml:space="preserve">Log </w:t>
      </w:r>
      <w:r w:rsidRPr="000665B0">
        <w:t xml:space="preserve">into TSN </w:t>
      </w:r>
      <w:r w:rsidR="005318BF" w:rsidRPr="000665B0">
        <w:t>Channel After Being Logged Off</w:t>
      </w:r>
    </w:p>
    <w:p w14:paraId="36FC54F0" w14:textId="77777777" w:rsidR="00414C31" w:rsidRPr="000665B0" w:rsidRDefault="00414C31" w:rsidP="009570CA">
      <w:r w:rsidRPr="000665B0">
        <w:t xml:space="preserve">If </w:t>
      </w:r>
      <w:r w:rsidR="00931B38" w:rsidRPr="000665B0">
        <w:t xml:space="preserve">the </w:t>
      </w:r>
      <w:r w:rsidRPr="000665B0">
        <w:t xml:space="preserve">5kHz modem gets logged off and an </w:t>
      </w:r>
      <w:r w:rsidR="00931B38" w:rsidRPr="000665B0">
        <w:t>“</w:t>
      </w:r>
      <w:r w:rsidRPr="000665B0">
        <w:t>invalid address</w:t>
      </w:r>
      <w:r w:rsidR="00931B38" w:rsidRPr="000665B0">
        <w:t>”</w:t>
      </w:r>
      <w:r w:rsidRPr="000665B0">
        <w:t xml:space="preserve"> error occurs at the VTC-300, the channel controller still believes modem is logged in.</w:t>
      </w:r>
    </w:p>
    <w:p w14:paraId="0953504F" w14:textId="77777777" w:rsidR="00414C31" w:rsidRPr="000665B0" w:rsidRDefault="00414C31" w:rsidP="009570CA">
      <w:r w:rsidRPr="000665B0">
        <w:t xml:space="preserve">Ask radio operator to login remotely and then logoff over the air. Initiate service on the 5kHz modem to rejoin the TSN circuit. </w:t>
      </w:r>
    </w:p>
    <w:p w14:paraId="5C3CA75C" w14:textId="6051D12E" w:rsidR="00365D04" w:rsidRPr="000665B0" w:rsidRDefault="00365D04" w:rsidP="00306174">
      <w:pPr>
        <w:pStyle w:val="Heading6"/>
      </w:pPr>
      <w:r w:rsidRPr="000665B0">
        <w:lastRenderedPageBreak/>
        <w:t>Troubleshooting TDM Agent</w:t>
      </w:r>
    </w:p>
    <w:p w14:paraId="1DED6B43" w14:textId="1554A86D" w:rsidR="00365D04" w:rsidRPr="000665B0" w:rsidRDefault="00365D04" w:rsidP="009570CA">
      <w:pPr>
        <w:pStyle w:val="Heading7"/>
      </w:pPr>
      <w:bookmarkStart w:id="822" w:name="_5.3.1.1.4.2.1__Distribution:"/>
      <w:bookmarkEnd w:id="822"/>
      <w:r w:rsidRPr="000665B0">
        <w:t>Restart TDM Distribution Agent</w:t>
      </w:r>
    </w:p>
    <w:p w14:paraId="38389FF7" w14:textId="77777777" w:rsidR="00365D04" w:rsidRPr="000665B0" w:rsidRDefault="00365D04" w:rsidP="009570CA">
      <w:r w:rsidRPr="000665B0">
        <w:t xml:space="preserve">If an invalid TCIP IP address is entered when establishing a connection to TCIP, MDS will return a connection error. The </w:t>
      </w:r>
      <w:r w:rsidRPr="000665B0">
        <w:rPr>
          <w:b/>
        </w:rPr>
        <w:t>TDM Distribution Agent</w:t>
      </w:r>
      <w:r w:rsidRPr="000665B0">
        <w:t xml:space="preserve"> on the TED Server must be restarted.</w:t>
      </w:r>
    </w:p>
    <w:p w14:paraId="6F5D8A2A" w14:textId="77777777" w:rsidR="00365D04" w:rsidRPr="000665B0" w:rsidRDefault="00365D04" w:rsidP="006D5A65">
      <w:pPr>
        <w:pStyle w:val="Heading1"/>
      </w:pPr>
      <w:r w:rsidRPr="000665B0">
        <w:t>Login to the TED server as a user with local administrative privileges.</w:t>
      </w:r>
    </w:p>
    <w:p w14:paraId="728A5960" w14:textId="77777777" w:rsidR="00613F1D" w:rsidRPr="000665B0" w:rsidRDefault="00613F1D" w:rsidP="006D5A65">
      <w:pPr>
        <w:pStyle w:val="Heading1"/>
        <w:rPr>
          <w:bCs/>
        </w:rPr>
      </w:pPr>
      <w:r w:rsidRPr="000665B0">
        <w:rPr>
          <w:szCs w:val="24"/>
        </w:rPr>
        <w:t xml:space="preserve">Right-click the </w:t>
      </w:r>
      <w:r w:rsidRPr="000665B0">
        <w:rPr>
          <w:noProof/>
          <w:szCs w:val="24"/>
        </w:rPr>
        <w:drawing>
          <wp:inline distT="0" distB="0" distL="0" distR="0" wp14:anchorId="7EF75924" wp14:editId="43C65D48">
            <wp:extent cx="182880" cy="178068"/>
            <wp:effectExtent l="0" t="0" r="7620" b="0"/>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0665B0">
        <w:rPr>
          <w:szCs w:val="24"/>
        </w:rPr>
        <w:t xml:space="preserve"> icon and select Search from the pop-up menu. </w:t>
      </w:r>
      <w:r w:rsidRPr="000665B0">
        <w:t xml:space="preserve">Type Services in the Search field, and then select Services in the results list. </w:t>
      </w:r>
    </w:p>
    <w:p w14:paraId="4093BC46" w14:textId="296F0A73" w:rsidR="00613F1D" w:rsidRPr="000665B0" w:rsidRDefault="00535013" w:rsidP="009570CA">
      <w:pPr>
        <w:jc w:val="center"/>
        <w:rPr>
          <w:bCs/>
        </w:rPr>
      </w:pPr>
      <w:r w:rsidRPr="000665B0">
        <w:rPr>
          <w:noProof/>
        </w:rPr>
        <w:drawing>
          <wp:inline distT="0" distB="0" distL="0" distR="0" wp14:anchorId="7D86F6CE" wp14:editId="656178C0">
            <wp:extent cx="1676517" cy="2489627"/>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684219" cy="2501064"/>
                    </a:xfrm>
                    <a:prstGeom prst="rect">
                      <a:avLst/>
                    </a:prstGeom>
                  </pic:spPr>
                </pic:pic>
              </a:graphicData>
            </a:graphic>
          </wp:inline>
        </w:drawing>
      </w:r>
    </w:p>
    <w:p w14:paraId="7EAAA1C4" w14:textId="7C96581E" w:rsidR="00365D04" w:rsidRPr="000665B0" w:rsidRDefault="00613F1D" w:rsidP="006D5A65">
      <w:pPr>
        <w:pStyle w:val="Heading1"/>
      </w:pPr>
      <w:r w:rsidRPr="000665B0">
        <w:t xml:space="preserve">In the </w:t>
      </w:r>
      <w:r w:rsidRPr="000665B0">
        <w:rPr>
          <w:i/>
        </w:rPr>
        <w:t>Services</w:t>
      </w:r>
      <w:r w:rsidRPr="000665B0">
        <w:t xml:space="preserve"> window</w:t>
      </w:r>
      <w:r w:rsidRPr="000665B0">
        <w:rPr>
          <w:bCs/>
        </w:rPr>
        <w:t>,</w:t>
      </w:r>
      <w:r w:rsidRPr="000665B0">
        <w:rPr>
          <w:szCs w:val="24"/>
        </w:rPr>
        <w:t xml:space="preserve"> </w:t>
      </w:r>
      <w:r w:rsidR="00D71804" w:rsidRPr="000665B0">
        <w:t>right-click</w:t>
      </w:r>
      <w:r w:rsidRPr="000665B0">
        <w:t xml:space="preserve"> on TDM Distribution Agent and select Stop.</w:t>
      </w:r>
    </w:p>
    <w:p w14:paraId="730CE252" w14:textId="661C0105" w:rsidR="00365D04" w:rsidRPr="000665B0" w:rsidRDefault="00365D04" w:rsidP="006D5A65">
      <w:pPr>
        <w:pStyle w:val="Heading1"/>
      </w:pPr>
      <w:r w:rsidRPr="000665B0">
        <w:t xml:space="preserve">Wait for the service to fully stop. </w:t>
      </w:r>
      <w:r w:rsidR="00D71804" w:rsidRPr="000665B0">
        <w:t>Right-click</w:t>
      </w:r>
      <w:r w:rsidRPr="000665B0">
        <w:t xml:space="preserve"> on TDM Distribution Agent and select Start.</w:t>
      </w:r>
    </w:p>
    <w:p w14:paraId="2AFECFB6" w14:textId="77777777" w:rsidR="00365D04" w:rsidRPr="000665B0" w:rsidRDefault="00365D04" w:rsidP="006D5A65">
      <w:pPr>
        <w:pStyle w:val="Heading1"/>
      </w:pPr>
      <w:r w:rsidRPr="000665B0">
        <w:t xml:space="preserve">Click the </w:t>
      </w:r>
      <w:r w:rsidRPr="000665B0">
        <w:rPr>
          <w:noProof/>
        </w:rPr>
        <w:drawing>
          <wp:inline distT="0" distB="0" distL="0" distR="0" wp14:anchorId="0EE87E63" wp14:editId="0406C5EC">
            <wp:extent cx="171450" cy="1524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Button.jpg"/>
                    <pic:cNvPicPr/>
                  </pic:nvPicPr>
                  <pic:blipFill>
                    <a:blip>
                      <a:extLst>
                        <a:ext uri="{28A0092B-C50C-407E-A947-70E740481C1C}">
                          <a14:useLocalDpi xmlns:a14="http://schemas.microsoft.com/office/drawing/2010/main"/>
                        </a:ext>
                      </a:extLst>
                    </a:blip>
                    <a:stretch>
                      <a:fillRect/>
                    </a:stretch>
                  </pic:blipFill>
                  <pic:spPr>
                    <a:xfrm>
                      <a:off x="0" y="0"/>
                      <a:ext cx="171450" cy="152400"/>
                    </a:xfrm>
                    <a:prstGeom prst="rect">
                      <a:avLst/>
                    </a:prstGeom>
                  </pic:spPr>
                </pic:pic>
              </a:graphicData>
            </a:graphic>
          </wp:inline>
        </w:drawing>
      </w:r>
      <w:r w:rsidRPr="000665B0">
        <w:t xml:space="preserve"> button to close the </w:t>
      </w:r>
      <w:r w:rsidRPr="000665B0">
        <w:rPr>
          <w:i/>
        </w:rPr>
        <w:t>Services</w:t>
      </w:r>
      <w:r w:rsidRPr="000665B0">
        <w:t xml:space="preserve"> window.</w:t>
      </w:r>
    </w:p>
    <w:p w14:paraId="0C733D4E" w14:textId="31D79FA2" w:rsidR="00365D04" w:rsidRPr="000665B0" w:rsidRDefault="00365D04" w:rsidP="006D5A65">
      <w:pPr>
        <w:pStyle w:val="Heading1"/>
      </w:pPr>
      <w:r w:rsidRPr="000665B0">
        <w:t xml:space="preserve">On MDS, quickly configure </w:t>
      </w:r>
      <w:r w:rsidR="0028247D" w:rsidRPr="000665B0">
        <w:t>Distribution Service</w:t>
      </w:r>
      <w:r w:rsidR="0028247D" w:rsidRPr="000665B0" w:rsidDel="0028247D">
        <w:t xml:space="preserve"> </w:t>
      </w:r>
      <w:r w:rsidRPr="000665B0">
        <w:t xml:space="preserve">with a valid TCIP configuration (see </w:t>
      </w:r>
      <w:hyperlink w:anchor="_5.3.1.1__Legacy" w:history="1">
        <w:r w:rsidRPr="000665B0">
          <w:rPr>
            <w:rStyle w:val="Hyperlink"/>
          </w:rPr>
          <w:t>Section 5.3.1.1</w:t>
        </w:r>
      </w:hyperlink>
      <w:r w:rsidRPr="000665B0">
        <w:t>).</w:t>
      </w:r>
    </w:p>
    <w:p w14:paraId="3C03980D" w14:textId="6051F49F" w:rsidR="00414C31" w:rsidRPr="000665B0" w:rsidRDefault="00414C31" w:rsidP="009570CA">
      <w:pPr>
        <w:pStyle w:val="Heading5"/>
        <w:keepNext w:val="0"/>
      </w:pPr>
      <w:r w:rsidRPr="000665B0">
        <w:t xml:space="preserve">Distribution Log and </w:t>
      </w:r>
      <w:r w:rsidR="0028247D" w:rsidRPr="000665B0">
        <w:t xml:space="preserve">TED </w:t>
      </w:r>
      <w:r w:rsidRPr="000665B0">
        <w:t>Event Log</w:t>
      </w:r>
    </w:p>
    <w:p w14:paraId="70ED05D5" w14:textId="629ED2A4" w:rsidR="00414C31" w:rsidRPr="000665B0" w:rsidRDefault="00414C31" w:rsidP="009570CA">
      <w:r w:rsidRPr="000665B0">
        <w:t xml:space="preserve">Since Distribution Service is part of TED, </w:t>
      </w:r>
      <w:r w:rsidR="0028247D" w:rsidRPr="000665B0">
        <w:t xml:space="preserve">this </w:t>
      </w:r>
      <w:r w:rsidRPr="000665B0">
        <w:t xml:space="preserve">means </w:t>
      </w:r>
      <w:r w:rsidR="0028247D" w:rsidRPr="000665B0">
        <w:t xml:space="preserve">that </w:t>
      </w:r>
      <w:r w:rsidRPr="000665B0">
        <w:t>Distribution Service resides on the TED Server</w:t>
      </w:r>
      <w:r w:rsidR="00D437B8" w:rsidRPr="000665B0">
        <w:t>,</w:t>
      </w:r>
      <w:r w:rsidRPr="000665B0">
        <w:t xml:space="preserve"> not on the MDS Client. </w:t>
      </w:r>
      <w:r w:rsidR="001B46FD" w:rsidRPr="000665B0">
        <w:t>The</w:t>
      </w:r>
      <w:r w:rsidR="0028247D" w:rsidRPr="000665B0">
        <w:t>refore,</w:t>
      </w:r>
      <w:r w:rsidR="001B46FD" w:rsidRPr="000665B0">
        <w:t xml:space="preserve"> </w:t>
      </w:r>
      <w:r w:rsidR="0028247D" w:rsidRPr="000665B0">
        <w:t xml:space="preserve">the TED </w:t>
      </w:r>
      <w:r w:rsidRPr="000665B0">
        <w:t xml:space="preserve">Event Log </w:t>
      </w:r>
      <w:r w:rsidR="0028247D" w:rsidRPr="000665B0">
        <w:t>can only be viewed on the TED server; it</w:t>
      </w:r>
      <w:r w:rsidRPr="000665B0">
        <w:t xml:space="preserve"> is no longer viewable by the MDS Client. </w:t>
      </w:r>
      <w:r w:rsidR="0028247D" w:rsidRPr="000665B0">
        <w:t xml:space="preserve">Only an </w:t>
      </w:r>
      <w:r w:rsidRPr="000665B0">
        <w:t>operator who has access</w:t>
      </w:r>
      <w:r w:rsidR="00D437B8" w:rsidRPr="000665B0">
        <w:t xml:space="preserve"> to the</w:t>
      </w:r>
      <w:r w:rsidRPr="000665B0">
        <w:t xml:space="preserve"> TED server can view the </w:t>
      </w:r>
      <w:r w:rsidR="0028247D" w:rsidRPr="000665B0">
        <w:t xml:space="preserve">TED </w:t>
      </w:r>
      <w:r w:rsidRPr="000665B0">
        <w:t>Event Log.</w:t>
      </w:r>
    </w:p>
    <w:p w14:paraId="5005B7C9" w14:textId="53EAD69A" w:rsidR="00414C31" w:rsidRPr="000665B0" w:rsidRDefault="00414C31" w:rsidP="009570CA">
      <w:r w:rsidRPr="000665B0">
        <w:t xml:space="preserve">Since the operator might not have access to any Event Logs on </w:t>
      </w:r>
      <w:r w:rsidR="00D437B8" w:rsidRPr="000665B0">
        <w:t xml:space="preserve">the </w:t>
      </w:r>
      <w:r w:rsidRPr="000665B0">
        <w:t>TED Server, Distribution Service also log</w:t>
      </w:r>
      <w:r w:rsidR="004966CB" w:rsidRPr="000665B0">
        <w:t>s</w:t>
      </w:r>
      <w:r w:rsidRPr="000665B0">
        <w:t xml:space="preserve"> any errors into the TED_DISTRIBUTION_DB database. The TED log under TED Utilities in MDS is a good place to view distribution</w:t>
      </w:r>
      <w:r w:rsidR="00D437B8" w:rsidRPr="000665B0">
        <w:t>-</w:t>
      </w:r>
      <w:r w:rsidRPr="000665B0">
        <w:t>related errors that occurred in TED. Go to the TED Utilities</w:t>
      </w:r>
      <w:r w:rsidR="00D437B8" w:rsidRPr="000665B0">
        <w:t xml:space="preserve"> tool</w:t>
      </w:r>
      <w:r w:rsidRPr="000665B0">
        <w:t>, under the TED Log, select the TED_DISTRIBUTION_DB database. Make sure the Filter in the toolbox is set to “All” to see all logs.</w:t>
      </w:r>
    </w:p>
    <w:p w14:paraId="06687A28" w14:textId="77777777" w:rsidR="00414C31" w:rsidRPr="000665B0" w:rsidRDefault="00414C31" w:rsidP="009570CA">
      <w:r w:rsidRPr="000665B0">
        <w:lastRenderedPageBreak/>
        <w:t xml:space="preserve">This log is a helpful tool to aid the operator in troubleshooting Distribution Service connectivity or other issues. </w:t>
      </w:r>
      <w:r w:rsidR="00D437B8" w:rsidRPr="000665B0">
        <w:t>An example would be if</w:t>
      </w:r>
      <w:r w:rsidRPr="000665B0">
        <w:t xml:space="preserve"> Distribution Service is having a problem establishing a connection with LINT even though Distribution Service has been properly configured. Checking the Log shows that LINT is actively refusing the connection. Perhaps, the interface on LINT has not been enabled. </w:t>
      </w:r>
    </w:p>
    <w:p w14:paraId="712305BA" w14:textId="77777777" w:rsidR="00414C31" w:rsidRPr="000665B0" w:rsidRDefault="00414C31" w:rsidP="009570CA">
      <w:r w:rsidRPr="000665B0">
        <w:t xml:space="preserve">In another example, </w:t>
      </w:r>
      <w:r w:rsidR="001B46FD" w:rsidRPr="000665B0">
        <w:t xml:space="preserve">if </w:t>
      </w:r>
      <w:r w:rsidRPr="000665B0">
        <w:t xml:space="preserve">there are problems receiving a DDO, checking the Log might show that the DDO was dropped by Distribution Service because the Distribution Service already has an existing DDO with the same ID. Note this is just only one example of why an Incoming DDO might not be received. </w:t>
      </w:r>
    </w:p>
    <w:p w14:paraId="679FAF6C" w14:textId="77777777" w:rsidR="00414C31" w:rsidRPr="000665B0" w:rsidRDefault="00971818" w:rsidP="009570CA">
      <w:pPr>
        <w:jc w:val="center"/>
      </w:pPr>
      <w:r w:rsidRPr="000665B0">
        <w:rPr>
          <w:noProof/>
        </w:rPr>
        <w:drawing>
          <wp:inline distT="0" distB="0" distL="0" distR="0" wp14:anchorId="23BFD2A7" wp14:editId="4BB41E77">
            <wp:extent cx="4983480" cy="2679192"/>
            <wp:effectExtent l="0" t="0" r="0" b="0"/>
            <wp:docPr id="499" name="Picture 499" descr="C:\Users\claudia.bidwell\AppData\Local\Microsoft\Windows\INetCache\Content.Outlook\PYJDEQNE\Screen1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C:\Users\claudia.bidwell\AppData\Local\Microsoft\Windows\INetCache\Content.Outlook\PYJDEQNE\Screen1 (003).jpg"/>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2679192"/>
                    </a:xfrm>
                    <a:prstGeom prst="rect">
                      <a:avLst/>
                    </a:prstGeom>
                    <a:noFill/>
                    <a:ln>
                      <a:noFill/>
                    </a:ln>
                  </pic:spPr>
                </pic:pic>
              </a:graphicData>
            </a:graphic>
          </wp:inline>
        </w:drawing>
      </w:r>
    </w:p>
    <w:p w14:paraId="4C8125B5" w14:textId="5EF6046B" w:rsidR="005D1A26" w:rsidRPr="000665B0" w:rsidRDefault="005D1A26" w:rsidP="00FB32EF">
      <w:pPr>
        <w:pStyle w:val="Heading2"/>
        <w:pageBreakBefore/>
      </w:pPr>
      <w:bookmarkStart w:id="823" w:name="_5.4__TDM"/>
      <w:bookmarkStart w:id="824" w:name="_Toc289328217"/>
      <w:bookmarkStart w:id="825" w:name="_Toc312331657"/>
      <w:bookmarkStart w:id="826" w:name="_Toc214283145"/>
      <w:bookmarkStart w:id="827" w:name="_Hlk63164000"/>
      <w:bookmarkEnd w:id="806"/>
      <w:bookmarkEnd w:id="807"/>
      <w:bookmarkEnd w:id="808"/>
      <w:bookmarkEnd w:id="809"/>
      <w:bookmarkEnd w:id="810"/>
      <w:bookmarkEnd w:id="823"/>
      <w:r w:rsidRPr="000665B0">
        <w:lastRenderedPageBreak/>
        <w:t>TDM MESSAGE LOG TOOL</w:t>
      </w:r>
      <w:bookmarkEnd w:id="811"/>
      <w:bookmarkEnd w:id="812"/>
      <w:bookmarkEnd w:id="813"/>
      <w:bookmarkEnd w:id="814"/>
      <w:bookmarkEnd w:id="824"/>
      <w:bookmarkEnd w:id="825"/>
      <w:bookmarkEnd w:id="826"/>
    </w:p>
    <w:p w14:paraId="119075E9" w14:textId="77777777" w:rsidR="005F44FB" w:rsidRPr="000665B0" w:rsidRDefault="005F44FB" w:rsidP="00FB32EF">
      <w:r w:rsidRPr="000665B0">
        <w:t xml:space="preserve">The TDM </w:t>
      </w:r>
      <w:r w:rsidR="00DE43E7" w:rsidRPr="000665B0">
        <w:t xml:space="preserve">Message </w:t>
      </w:r>
      <w:r w:rsidRPr="000665B0">
        <w:t xml:space="preserve">Log Tool displays an accounting of all data sent and received by </w:t>
      </w:r>
      <w:r w:rsidR="00D67D33" w:rsidRPr="000665B0">
        <w:t>Distribution Service</w:t>
      </w:r>
      <w:r w:rsidRPr="000665B0">
        <w:t>.</w:t>
      </w:r>
    </w:p>
    <w:p w14:paraId="6E08275C" w14:textId="77777777" w:rsidR="005F44FB" w:rsidRPr="000665B0" w:rsidRDefault="005F44FB" w:rsidP="004B30E6">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1F6D0928" w14:textId="77777777" w:rsidR="004B30E6" w:rsidRDefault="00F44114" w:rsidP="004B30E6">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The TDM Message Log contains the following t</w:t>
      </w:r>
      <w:r w:rsidR="005F44FB" w:rsidRPr="000665B0">
        <w:rPr>
          <w:b/>
        </w:rPr>
        <w:t>abs</w:t>
      </w:r>
      <w:r w:rsidR="004F5A0E" w:rsidRPr="000665B0">
        <w:rPr>
          <w:b/>
        </w:rPr>
        <w:t>:</w:t>
      </w:r>
      <w:r w:rsidR="005F44FB" w:rsidRPr="000665B0">
        <w:rPr>
          <w:b/>
        </w:rPr>
        <w:t xml:space="preserve"> OTH Sent, OTH Received, TSN Sent, TSN Received</w:t>
      </w:r>
      <w:r w:rsidRPr="000665B0">
        <w:rPr>
          <w:b/>
        </w:rPr>
        <w:t>, Outgoing USNs, and Incoming USNs</w:t>
      </w:r>
      <w:r w:rsidR="005F44FB" w:rsidRPr="000665B0">
        <w:rPr>
          <w:b/>
        </w:rPr>
        <w:t>. Each log is independent of</w:t>
      </w:r>
    </w:p>
    <w:p w14:paraId="49DAEBB5" w14:textId="4E90ADEC" w:rsidR="005F44FB" w:rsidRPr="000665B0" w:rsidRDefault="005F44FB" w:rsidP="009B294F">
      <w:pPr>
        <w:pBdr>
          <w:top w:val="single" w:sz="12" w:space="1" w:color="auto"/>
          <w:left w:val="single" w:sz="12" w:space="4" w:color="auto"/>
          <w:bottom w:val="single" w:sz="12" w:space="1" w:color="auto"/>
          <w:right w:val="single" w:sz="12" w:space="4" w:color="auto"/>
        </w:pBdr>
        <w:shd w:val="clear" w:color="auto" w:fill="D9D9D9" w:themeFill="background1" w:themeFillShade="D9"/>
        <w:spacing w:line="240" w:lineRule="auto"/>
        <w:jc w:val="center"/>
        <w:rPr>
          <w:b/>
        </w:rPr>
      </w:pPr>
      <w:r w:rsidRPr="000665B0">
        <w:rPr>
          <w:b/>
        </w:rPr>
        <w:t xml:space="preserve">the other </w:t>
      </w:r>
      <w:r w:rsidR="00F44114" w:rsidRPr="000665B0">
        <w:rPr>
          <w:b/>
        </w:rPr>
        <w:t>logs</w:t>
      </w:r>
      <w:r w:rsidRPr="000665B0">
        <w:rPr>
          <w:b/>
        </w:rPr>
        <w:t>.</w:t>
      </w:r>
    </w:p>
    <w:p w14:paraId="6E915F2F" w14:textId="77777777" w:rsidR="005219CC" w:rsidRPr="000665B0" w:rsidRDefault="005219CC" w:rsidP="009570CA">
      <w:r w:rsidRPr="000665B0">
        <w:t xml:space="preserve">To view the </w:t>
      </w:r>
      <w:r w:rsidRPr="000665B0">
        <w:rPr>
          <w:bCs/>
        </w:rPr>
        <w:t xml:space="preserve">TDM </w:t>
      </w:r>
      <w:r w:rsidR="004552F3" w:rsidRPr="000665B0">
        <w:rPr>
          <w:bCs/>
        </w:rPr>
        <w:t xml:space="preserve">Message </w:t>
      </w:r>
      <w:r w:rsidRPr="000665B0">
        <w:t>Log:</w:t>
      </w:r>
    </w:p>
    <w:p w14:paraId="59FD8582" w14:textId="77777777" w:rsidR="005219CC" w:rsidRPr="000665B0" w:rsidRDefault="005219CC" w:rsidP="009570CA">
      <w:pPr>
        <w:pStyle w:val="Number0205"/>
        <w:ind w:left="360" w:firstLine="0"/>
      </w:pPr>
      <w:r w:rsidRPr="000665B0">
        <w:t xml:space="preserve">From the </w:t>
      </w:r>
      <w:r w:rsidRPr="000665B0">
        <w:rPr>
          <w:b/>
        </w:rPr>
        <w:t>Go</w:t>
      </w:r>
      <w:r w:rsidRPr="000665B0">
        <w:t xml:space="preserve"> menu select </w:t>
      </w:r>
      <w:r w:rsidRPr="000665B0">
        <w:rPr>
          <w:b/>
        </w:rPr>
        <w:t>TDM Message Log</w:t>
      </w:r>
      <w:r w:rsidRPr="000665B0">
        <w:t>.</w:t>
      </w:r>
    </w:p>
    <w:p w14:paraId="6DF7BABE" w14:textId="385BD029" w:rsidR="005219CC" w:rsidRPr="000665B0" w:rsidRDefault="00C355ED" w:rsidP="009570CA">
      <w:pPr>
        <w:jc w:val="center"/>
      </w:pPr>
      <w:r w:rsidRPr="000665B0">
        <w:rPr>
          <w:noProof/>
        </w:rPr>
        <w:drawing>
          <wp:inline distT="0" distB="0" distL="0" distR="0" wp14:anchorId="209F8911" wp14:editId="5B45DEED">
            <wp:extent cx="4983480" cy="1682496"/>
            <wp:effectExtent l="0" t="0" r="0" b="0"/>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1682496"/>
                    </a:xfrm>
                    <a:prstGeom prst="rect">
                      <a:avLst/>
                    </a:prstGeom>
                  </pic:spPr>
                </pic:pic>
              </a:graphicData>
            </a:graphic>
          </wp:inline>
        </w:drawing>
      </w:r>
    </w:p>
    <w:p w14:paraId="53C40827" w14:textId="77777777" w:rsidR="00F44114" w:rsidRPr="000665B0" w:rsidRDefault="00905594" w:rsidP="009570CA">
      <w:r w:rsidRPr="000665B0">
        <w:t xml:space="preserve">The List </w:t>
      </w:r>
      <w:r w:rsidR="00EA6BA3" w:rsidRPr="000665B0">
        <w:t>View presents</w:t>
      </w:r>
      <w:r w:rsidR="00474638" w:rsidRPr="000665B0">
        <w:t xml:space="preserve"> the</w:t>
      </w:r>
      <w:r w:rsidR="00F44114" w:rsidRPr="000665B0">
        <w:t xml:space="preserve"> following:</w:t>
      </w:r>
    </w:p>
    <w:p w14:paraId="2279A732" w14:textId="77777777" w:rsidR="00474638" w:rsidRPr="000665B0" w:rsidRDefault="00F44114" w:rsidP="006D5A65">
      <w:pPr>
        <w:pStyle w:val="Heading1"/>
        <w:rPr>
          <w:rStyle w:val="bodycopy"/>
        </w:rPr>
      </w:pPr>
      <w:r w:rsidRPr="000665B0">
        <w:rPr>
          <w:rStyle w:val="bodycopy"/>
          <w:i/>
        </w:rPr>
        <w:t>OTH Sent</w:t>
      </w:r>
      <w:r w:rsidRPr="000665B0">
        <w:rPr>
          <w:rStyle w:val="bodycopy"/>
        </w:rPr>
        <w:t xml:space="preserve"> and </w:t>
      </w:r>
      <w:r w:rsidRPr="000665B0">
        <w:rPr>
          <w:rStyle w:val="bodycopy"/>
          <w:i/>
        </w:rPr>
        <w:t>OTH Received</w:t>
      </w:r>
      <w:r w:rsidRPr="000665B0">
        <w:rPr>
          <w:rStyle w:val="bodycopy"/>
        </w:rPr>
        <w:t xml:space="preserve"> tabs –</w:t>
      </w:r>
      <w:r w:rsidR="00474638" w:rsidRPr="000665B0">
        <w:rPr>
          <w:rStyle w:val="bodycopy"/>
        </w:rPr>
        <w:t xml:space="preserve"> </w:t>
      </w:r>
      <w:r w:rsidR="00905594" w:rsidRPr="000665B0">
        <w:rPr>
          <w:rStyle w:val="bodycopy"/>
        </w:rPr>
        <w:t xml:space="preserve">Message </w:t>
      </w:r>
      <w:r w:rsidR="00474638" w:rsidRPr="000665B0">
        <w:rPr>
          <w:rStyle w:val="bodycopy"/>
        </w:rPr>
        <w:t>ID, DTG, From</w:t>
      </w:r>
      <w:r w:rsidR="00905594" w:rsidRPr="000665B0">
        <w:rPr>
          <w:rStyle w:val="bodycopy"/>
        </w:rPr>
        <w:t xml:space="preserve"> Node</w:t>
      </w:r>
      <w:r w:rsidR="00474638" w:rsidRPr="000665B0">
        <w:rPr>
          <w:rStyle w:val="bodycopy"/>
        </w:rPr>
        <w:t>, To</w:t>
      </w:r>
      <w:r w:rsidR="00905594" w:rsidRPr="000665B0">
        <w:rPr>
          <w:rStyle w:val="bodycopy"/>
        </w:rPr>
        <w:t xml:space="preserve"> Node(s)</w:t>
      </w:r>
      <w:r w:rsidR="00474638" w:rsidRPr="000665B0">
        <w:rPr>
          <w:rStyle w:val="bodycopy"/>
        </w:rPr>
        <w:t xml:space="preserve">, </w:t>
      </w:r>
      <w:r w:rsidR="00905594" w:rsidRPr="000665B0">
        <w:rPr>
          <w:rStyle w:val="bodycopy"/>
        </w:rPr>
        <w:t xml:space="preserve">Status, Type, Size, </w:t>
      </w:r>
      <w:r w:rsidR="00474638" w:rsidRPr="000665B0">
        <w:rPr>
          <w:rStyle w:val="bodycopy"/>
        </w:rPr>
        <w:t xml:space="preserve">Method, </w:t>
      </w:r>
      <w:r w:rsidR="00905594" w:rsidRPr="000665B0">
        <w:rPr>
          <w:rStyle w:val="bodycopy"/>
        </w:rPr>
        <w:t>From Address</w:t>
      </w:r>
      <w:r w:rsidR="0046753F" w:rsidRPr="000665B0">
        <w:rPr>
          <w:rStyle w:val="bodycopy"/>
        </w:rPr>
        <w:t>, and To Address(es)</w:t>
      </w:r>
      <w:r w:rsidR="00905594" w:rsidRPr="000665B0">
        <w:rPr>
          <w:rStyle w:val="bodycopy"/>
        </w:rPr>
        <w:t xml:space="preserve"> </w:t>
      </w:r>
      <w:r w:rsidR="00474638" w:rsidRPr="000665B0">
        <w:rPr>
          <w:rStyle w:val="bodycopy"/>
        </w:rPr>
        <w:t xml:space="preserve">of every OTH message that </w:t>
      </w:r>
      <w:r w:rsidR="00D67D33" w:rsidRPr="000665B0">
        <w:t>Distribution Service</w:t>
      </w:r>
      <w:r w:rsidR="00D67D33" w:rsidRPr="000665B0" w:rsidDel="00D67D33">
        <w:rPr>
          <w:rStyle w:val="bodycopy"/>
        </w:rPr>
        <w:t xml:space="preserve"> </w:t>
      </w:r>
      <w:r w:rsidR="00474638" w:rsidRPr="000665B0">
        <w:rPr>
          <w:rStyle w:val="bodycopy"/>
        </w:rPr>
        <w:t xml:space="preserve">sent or received. </w:t>
      </w:r>
    </w:p>
    <w:p w14:paraId="300FF9A3" w14:textId="77777777" w:rsidR="005F44FB" w:rsidRPr="000665B0" w:rsidRDefault="00F44114" w:rsidP="006D5A65">
      <w:pPr>
        <w:pStyle w:val="Heading1"/>
        <w:rPr>
          <w:rStyle w:val="bodycopy"/>
        </w:rPr>
      </w:pPr>
      <w:r w:rsidRPr="000665B0">
        <w:rPr>
          <w:rStyle w:val="bodycopy"/>
          <w:i/>
        </w:rPr>
        <w:t>TSN Sent</w:t>
      </w:r>
      <w:r w:rsidRPr="000665B0">
        <w:rPr>
          <w:rStyle w:val="bodycopy"/>
        </w:rPr>
        <w:t xml:space="preserve"> and </w:t>
      </w:r>
      <w:r w:rsidRPr="000665B0">
        <w:rPr>
          <w:rStyle w:val="bodycopy"/>
          <w:i/>
        </w:rPr>
        <w:t>TSN Received</w:t>
      </w:r>
      <w:r w:rsidRPr="000665B0">
        <w:rPr>
          <w:rStyle w:val="bodycopy"/>
        </w:rPr>
        <w:t xml:space="preserve"> tabs – </w:t>
      </w:r>
      <w:r w:rsidR="005F44FB" w:rsidRPr="000665B0">
        <w:rPr>
          <w:rStyle w:val="bodycopy"/>
        </w:rPr>
        <w:t>Item ID, Type, IP, Port, Status, DTG</w:t>
      </w:r>
      <w:r w:rsidR="00905594" w:rsidRPr="000665B0">
        <w:rPr>
          <w:rStyle w:val="bodycopy"/>
        </w:rPr>
        <w:t>, and Size</w:t>
      </w:r>
      <w:r w:rsidR="005F44FB" w:rsidRPr="000665B0">
        <w:rPr>
          <w:rStyle w:val="bodycopy"/>
        </w:rPr>
        <w:t xml:space="preserve"> of every TSN message that </w:t>
      </w:r>
      <w:r w:rsidR="00D67D33" w:rsidRPr="000665B0">
        <w:t>Distribution Service</w:t>
      </w:r>
      <w:r w:rsidR="00D67D33" w:rsidRPr="000665B0" w:rsidDel="00D67D33">
        <w:rPr>
          <w:rStyle w:val="bodycopy"/>
        </w:rPr>
        <w:t xml:space="preserve"> </w:t>
      </w:r>
      <w:r w:rsidR="005F44FB" w:rsidRPr="000665B0">
        <w:rPr>
          <w:rStyle w:val="bodycopy"/>
        </w:rPr>
        <w:t>sent or received.</w:t>
      </w:r>
    </w:p>
    <w:p w14:paraId="6FE8BF33" w14:textId="77777777" w:rsidR="00F44114" w:rsidRPr="000665B0" w:rsidRDefault="00F44114" w:rsidP="006D5A65">
      <w:pPr>
        <w:pStyle w:val="Heading1"/>
        <w:rPr>
          <w:rStyle w:val="bodycopy"/>
        </w:rPr>
      </w:pPr>
      <w:r w:rsidRPr="000665B0">
        <w:rPr>
          <w:rStyle w:val="bodycopy"/>
          <w:i/>
        </w:rPr>
        <w:t>Outgoing USNs</w:t>
      </w:r>
      <w:r w:rsidRPr="000665B0">
        <w:rPr>
          <w:rStyle w:val="bodycopy"/>
        </w:rPr>
        <w:t xml:space="preserve"> and </w:t>
      </w:r>
      <w:r w:rsidRPr="000665B0">
        <w:rPr>
          <w:rStyle w:val="bodycopy"/>
          <w:i/>
        </w:rPr>
        <w:t>Incoming USNs</w:t>
      </w:r>
      <w:r w:rsidRPr="000665B0">
        <w:rPr>
          <w:rStyle w:val="bodycopy"/>
        </w:rPr>
        <w:t xml:space="preserve"> tabs – </w:t>
      </w:r>
      <w:r w:rsidR="00B36C09" w:rsidRPr="000665B0">
        <w:rPr>
          <w:rStyle w:val="bodycopy"/>
        </w:rPr>
        <w:t>TDP MSN, Source Sids, Destination Sids, Type, Sent</w:t>
      </w:r>
      <w:r w:rsidR="0046753F" w:rsidRPr="000665B0">
        <w:rPr>
          <w:rStyle w:val="bodycopy"/>
        </w:rPr>
        <w:t>/Recvd</w:t>
      </w:r>
      <w:r w:rsidR="00B36C09" w:rsidRPr="000665B0">
        <w:rPr>
          <w:rStyle w:val="bodycopy"/>
        </w:rPr>
        <w:t xml:space="preserve"> TDM DTG, Loc Code, Seq #, Txfer Total, Txfer #, DDO ID, and Size</w:t>
      </w:r>
      <w:r w:rsidR="0046753F" w:rsidRPr="000665B0">
        <w:rPr>
          <w:rStyle w:val="bodycopy"/>
        </w:rPr>
        <w:t xml:space="preserve"> (Outgoing only)</w:t>
      </w:r>
      <w:r w:rsidRPr="000665B0">
        <w:rPr>
          <w:rStyle w:val="bodycopy"/>
        </w:rPr>
        <w:t xml:space="preserve"> of every USN message that </w:t>
      </w:r>
      <w:r w:rsidR="00D67D33" w:rsidRPr="000665B0">
        <w:t>Distribution Service</w:t>
      </w:r>
      <w:r w:rsidR="00D67D33" w:rsidRPr="000665B0" w:rsidDel="00D67D33">
        <w:rPr>
          <w:rStyle w:val="bodycopy"/>
        </w:rPr>
        <w:t xml:space="preserve"> </w:t>
      </w:r>
      <w:r w:rsidRPr="000665B0">
        <w:rPr>
          <w:rStyle w:val="bodycopy"/>
        </w:rPr>
        <w:t>sent or received.</w:t>
      </w:r>
    </w:p>
    <w:p w14:paraId="4EFBF153" w14:textId="7776D26A" w:rsidR="00DE43E7" w:rsidRPr="000665B0" w:rsidRDefault="00DE43E7" w:rsidP="009570CA">
      <w:r w:rsidRPr="000665B0">
        <w:t>Using</w:t>
      </w:r>
      <w:r w:rsidR="00EA6BA3" w:rsidRPr="000665B0">
        <w:t xml:space="preserve"> the </w:t>
      </w:r>
      <w:r w:rsidR="0046753F" w:rsidRPr="000665B0">
        <w:rPr>
          <w:b/>
        </w:rPr>
        <w:t>File</w:t>
      </w:r>
      <w:r w:rsidR="0046753F" w:rsidRPr="000665B0">
        <w:t xml:space="preserve"> menu or</w:t>
      </w:r>
      <w:r w:rsidRPr="000665B0">
        <w:t xml:space="preserve"> the Context menu</w:t>
      </w:r>
      <w:r w:rsidR="00C05DFE" w:rsidRPr="000665B0">
        <w:t xml:space="preserve"> (</w:t>
      </w:r>
      <w:r w:rsidR="00D71804" w:rsidRPr="000665B0">
        <w:t>right-click</w:t>
      </w:r>
      <w:r w:rsidR="00C05DFE" w:rsidRPr="000665B0">
        <w:t xml:space="preserve"> the mouse)</w:t>
      </w:r>
      <w:r w:rsidRPr="000665B0">
        <w:t xml:space="preserve">, </w:t>
      </w:r>
      <w:r w:rsidR="00F44114" w:rsidRPr="000665B0">
        <w:t>each</w:t>
      </w:r>
      <w:r w:rsidRPr="000665B0">
        <w:t xml:space="preserve"> log can be displayed in Excel or printed.</w:t>
      </w:r>
    </w:p>
    <w:p w14:paraId="3265E946" w14:textId="77777777" w:rsidR="005F44FB" w:rsidRPr="000665B0" w:rsidRDefault="00DE43E7" w:rsidP="009570CA">
      <w:r w:rsidRPr="000665B0">
        <w:t xml:space="preserve">The log </w:t>
      </w:r>
      <w:r w:rsidR="005F44FB" w:rsidRPr="000665B0">
        <w:t>is a record o</w:t>
      </w:r>
      <w:r w:rsidR="00474638" w:rsidRPr="000665B0">
        <w:t>f</w:t>
      </w:r>
      <w:r w:rsidR="005F44FB" w:rsidRPr="000665B0">
        <w:t xml:space="preserve"> </w:t>
      </w:r>
      <w:r w:rsidR="00D67D33" w:rsidRPr="000665B0">
        <w:t>Distribution Service</w:t>
      </w:r>
      <w:r w:rsidR="005F44FB" w:rsidRPr="000665B0">
        <w:t xml:space="preserve">’s message accountability. Every message on this list was either sent or received by </w:t>
      </w:r>
      <w:r w:rsidR="00D67D33" w:rsidRPr="000665B0">
        <w:t>Distribution Service</w:t>
      </w:r>
      <w:r w:rsidR="005F44FB" w:rsidRPr="000665B0">
        <w:t xml:space="preserve">. </w:t>
      </w:r>
    </w:p>
    <w:p w14:paraId="0AB30065" w14:textId="77777777" w:rsidR="005F44FB" w:rsidRPr="000665B0" w:rsidRDefault="005F44FB" w:rsidP="009570CA">
      <w:r w:rsidRPr="000665B0">
        <w:t>Each tab displays, in brackets, a live count of the respective messages on the list. (The brackets are not displayed when the count is zero.)</w:t>
      </w:r>
    </w:p>
    <w:p w14:paraId="1022CDA1" w14:textId="41B010D3" w:rsidR="00474638" w:rsidRPr="000665B0" w:rsidRDefault="00474638" w:rsidP="009570CA">
      <w:pPr>
        <w:pStyle w:val="Heading3"/>
      </w:pPr>
      <w:bookmarkStart w:id="828" w:name="_Toc289328218"/>
      <w:bookmarkStart w:id="829" w:name="_Toc312331658"/>
      <w:bookmarkStart w:id="830" w:name="_Toc214283146"/>
      <w:bookmarkStart w:id="831" w:name="_Hlk124836203"/>
      <w:bookmarkStart w:id="832" w:name="_Toc96169775"/>
      <w:bookmarkStart w:id="833" w:name="_Toc96233820"/>
      <w:bookmarkStart w:id="834" w:name="_Toc112733250"/>
      <w:r w:rsidRPr="000665B0">
        <w:lastRenderedPageBreak/>
        <w:t>Clear All Log Entries</w:t>
      </w:r>
      <w:bookmarkEnd w:id="828"/>
      <w:bookmarkEnd w:id="829"/>
      <w:bookmarkEnd w:id="830"/>
    </w:p>
    <w:p w14:paraId="26E96814" w14:textId="574447D7" w:rsidR="00D313B6" w:rsidRPr="000665B0" w:rsidRDefault="00D313B6" w:rsidP="009570CA">
      <w:pPr>
        <w:keepNext/>
      </w:pPr>
      <w:r w:rsidRPr="000665B0">
        <w:t>In order for the Clear All Log Entries menu to be enabled, the user must be a member of the Tmpc</w:t>
      </w:r>
      <w:r w:rsidR="00200EFA" w:rsidRPr="000665B0">
        <w:t xml:space="preserve"> </w:t>
      </w:r>
      <w:r w:rsidRPr="000665B0">
        <w:t>Admins group.</w:t>
      </w:r>
    </w:p>
    <w:bookmarkEnd w:id="831"/>
    <w:p w14:paraId="2237500A" w14:textId="01FECC1F" w:rsidR="00474638" w:rsidRPr="000665B0" w:rsidRDefault="00474638" w:rsidP="009570CA">
      <w:pPr>
        <w:keepNext/>
      </w:pPr>
      <w:r w:rsidRPr="000665B0">
        <w:t>To clear all log entries for the selected TDM Log displayed</w:t>
      </w:r>
      <w:r w:rsidR="000907CC" w:rsidRPr="000665B0">
        <w:t xml:space="preserve">: </w:t>
      </w:r>
    </w:p>
    <w:p w14:paraId="3BD7EDC0" w14:textId="26FFB46B" w:rsidR="00D313B6" w:rsidRPr="000665B0" w:rsidRDefault="00D313B6" w:rsidP="006D5A65">
      <w:pPr>
        <w:pStyle w:val="Heading1"/>
      </w:pPr>
      <w:r w:rsidRPr="000665B0">
        <w:t>Login as a user who is a member of the Tmpc</w:t>
      </w:r>
      <w:r w:rsidR="00200EFA" w:rsidRPr="000665B0">
        <w:t xml:space="preserve"> </w:t>
      </w:r>
      <w:r w:rsidRPr="000665B0">
        <w:t>Admins group.</w:t>
      </w:r>
    </w:p>
    <w:p w14:paraId="3F064C1A" w14:textId="634A7E30" w:rsidR="00474638" w:rsidRPr="000665B0" w:rsidRDefault="00474638" w:rsidP="006D5A65">
      <w:pPr>
        <w:pStyle w:val="Heading1"/>
      </w:pPr>
      <w:r w:rsidRPr="000665B0">
        <w:t xml:space="preserve">Navigate to the TDM </w:t>
      </w:r>
      <w:r w:rsidR="007C70A9" w:rsidRPr="000665B0">
        <w:t xml:space="preserve">Message </w:t>
      </w:r>
      <w:r w:rsidRPr="000665B0">
        <w:t>Log Tool</w:t>
      </w:r>
      <w:r w:rsidR="007C70A9" w:rsidRPr="000665B0">
        <w:t xml:space="preserve"> and</w:t>
      </w:r>
      <w:r w:rsidRPr="000665B0">
        <w:t xml:space="preserve"> select the tab of the log to be cleared.</w:t>
      </w:r>
    </w:p>
    <w:p w14:paraId="6FA24B52" w14:textId="3F4A91F1" w:rsidR="00474638" w:rsidRPr="000665B0" w:rsidRDefault="00474638" w:rsidP="006D5A65">
      <w:pPr>
        <w:pStyle w:val="Heading1"/>
      </w:pPr>
      <w:r w:rsidRPr="000665B0">
        <w:t>From the File menu, select Clear All Log Entries</w:t>
      </w:r>
      <w:r w:rsidR="00273575" w:rsidRPr="000665B0">
        <w:t xml:space="preserve">, or click the Clear All Log Entries icon </w:t>
      </w:r>
      <w:r w:rsidR="00273575" w:rsidRPr="000665B0">
        <w:rPr>
          <w:noProof/>
          <w:position w:val="-4"/>
        </w:rPr>
        <w:drawing>
          <wp:inline distT="0" distB="0" distL="0" distR="0" wp14:anchorId="4F2184E7" wp14:editId="5F929798">
            <wp:extent cx="166255" cy="155636"/>
            <wp:effectExtent l="0" t="0" r="5715" b="0"/>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66669" cy="156023"/>
                    </a:xfrm>
                    <a:prstGeom prst="rect">
                      <a:avLst/>
                    </a:prstGeom>
                    <a:ln>
                      <a:noFill/>
                    </a:ln>
                    <a:extLst>
                      <a:ext uri="{53640926-AAD7-44D8-BBD7-CCE9431645EC}">
                        <a14:shadowObscured xmlns:a14="http://schemas.microsoft.com/office/drawing/2010/main"/>
                      </a:ext>
                    </a:extLst>
                  </pic:spPr>
                </pic:pic>
              </a:graphicData>
            </a:graphic>
          </wp:inline>
        </w:drawing>
      </w:r>
      <w:r w:rsidR="00273575" w:rsidRPr="000665B0">
        <w:t xml:space="preserve"> on the toolbar</w:t>
      </w:r>
      <w:r w:rsidRPr="000665B0">
        <w:t>.</w:t>
      </w:r>
      <w:r w:rsidR="00D313B6" w:rsidRPr="000665B0">
        <w:t xml:space="preserve"> The log entries are removed.</w:t>
      </w:r>
    </w:p>
    <w:p w14:paraId="40308CBD" w14:textId="1A8243B3" w:rsidR="005D1A26" w:rsidRPr="000665B0" w:rsidRDefault="005D1A26" w:rsidP="009570CA">
      <w:pPr>
        <w:pStyle w:val="Heading3"/>
      </w:pPr>
      <w:bookmarkStart w:id="835" w:name="_Toc289328220"/>
      <w:bookmarkStart w:id="836" w:name="_Toc312331660"/>
      <w:bookmarkStart w:id="837" w:name="_Toc214283147"/>
      <w:r w:rsidRPr="000665B0">
        <w:t>Find</w:t>
      </w:r>
      <w:bookmarkEnd w:id="832"/>
      <w:bookmarkEnd w:id="833"/>
      <w:bookmarkEnd w:id="834"/>
      <w:bookmarkEnd w:id="835"/>
      <w:bookmarkEnd w:id="836"/>
      <w:bookmarkEnd w:id="837"/>
    </w:p>
    <w:p w14:paraId="2194038E" w14:textId="6A611985" w:rsidR="005D1A26" w:rsidRPr="000665B0" w:rsidRDefault="00F02F03" w:rsidP="009570CA">
      <w:pPr>
        <w:spacing w:after="0"/>
      </w:pPr>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277100CA" w14:textId="77777777" w:rsidR="005B5069" w:rsidRPr="000665B0" w:rsidRDefault="005B5069" w:rsidP="009570CA">
      <w:pPr>
        <w:pStyle w:val="Heading3"/>
      </w:pPr>
      <w:bookmarkStart w:id="838" w:name="_Toc214283148"/>
      <w:r w:rsidRPr="000665B0">
        <w:t>Plugin Tool</w:t>
      </w:r>
      <w:bookmarkEnd w:id="838"/>
    </w:p>
    <w:p w14:paraId="1DBAEF09" w14:textId="3242E359" w:rsidR="005B5069" w:rsidRPr="000665B0" w:rsidRDefault="00F02F03" w:rsidP="009570CA">
      <w:pPr>
        <w:pStyle w:val="number020500"/>
        <w:ind w:left="0" w:firstLine="0"/>
      </w:pPr>
      <w:r w:rsidRPr="000665B0">
        <w:t>See</w:t>
      </w:r>
      <w:r w:rsidR="005B5069" w:rsidRPr="000665B0">
        <w:t xml:space="preserve"> </w:t>
      </w:r>
      <w:hyperlink w:anchor="_Plugin__Tool" w:history="1">
        <w:r w:rsidR="005B5069" w:rsidRPr="000665B0">
          <w:rPr>
            <w:rStyle w:val="Hyperlink"/>
          </w:rPr>
          <w:t>Section 5.2.5.2</w:t>
        </w:r>
      </w:hyperlink>
      <w:r w:rsidR="005B5069" w:rsidRPr="000665B0">
        <w:t>.</w:t>
      </w:r>
    </w:p>
    <w:p w14:paraId="465930B5" w14:textId="1385DB2C" w:rsidR="005D1A26" w:rsidRPr="000665B0" w:rsidRDefault="005D1A26" w:rsidP="009570CA">
      <w:pPr>
        <w:pStyle w:val="Heading3"/>
      </w:pPr>
      <w:bookmarkStart w:id="839" w:name="_Toc96169776"/>
      <w:bookmarkStart w:id="840" w:name="_Toc96233821"/>
      <w:bookmarkStart w:id="841" w:name="_Toc112733251"/>
      <w:bookmarkStart w:id="842" w:name="_Toc289328221"/>
      <w:bookmarkStart w:id="843" w:name="_Toc312331661"/>
      <w:bookmarkStart w:id="844" w:name="_Toc214283149"/>
      <w:r w:rsidRPr="000665B0">
        <w:t xml:space="preserve">Print </w:t>
      </w:r>
      <w:bookmarkEnd w:id="839"/>
      <w:bookmarkEnd w:id="840"/>
      <w:bookmarkEnd w:id="841"/>
      <w:r w:rsidR="009C637B" w:rsidRPr="000665B0">
        <w:t>All</w:t>
      </w:r>
      <w:bookmarkEnd w:id="842"/>
      <w:bookmarkEnd w:id="843"/>
      <w:bookmarkEnd w:id="844"/>
    </w:p>
    <w:p w14:paraId="66AE6C97" w14:textId="0ADDBFA7" w:rsidR="005D1A26" w:rsidRPr="000665B0" w:rsidRDefault="00F02F03" w:rsidP="009570CA">
      <w:pPr>
        <w:spacing w:after="0"/>
      </w:pPr>
      <w:r w:rsidRPr="000665B0">
        <w:t>See</w:t>
      </w:r>
      <w:r w:rsidR="005D1A26" w:rsidRPr="000665B0">
        <w:t xml:space="preserve"> </w:t>
      </w:r>
      <w:hyperlink w:anchor="_5.2.1.5__Print" w:history="1">
        <w:r w:rsidR="005D1A26" w:rsidRPr="000665B0">
          <w:rPr>
            <w:rStyle w:val="Hyperlink"/>
          </w:rPr>
          <w:t>Section 5.2.1.</w:t>
        </w:r>
        <w:r w:rsidR="00B9720D" w:rsidRPr="000665B0">
          <w:rPr>
            <w:rStyle w:val="Hyperlink"/>
          </w:rPr>
          <w:t>5</w:t>
        </w:r>
      </w:hyperlink>
      <w:r w:rsidR="005D1A26" w:rsidRPr="000665B0">
        <w:t>.</w:t>
      </w:r>
    </w:p>
    <w:p w14:paraId="4C88B8B8" w14:textId="51EA37B2" w:rsidR="005D1A26" w:rsidRPr="000665B0" w:rsidRDefault="005D1A26" w:rsidP="009570CA">
      <w:pPr>
        <w:pStyle w:val="Heading3"/>
      </w:pPr>
      <w:bookmarkStart w:id="845" w:name="_Toc96169777"/>
      <w:bookmarkStart w:id="846" w:name="_Toc96233822"/>
      <w:bookmarkStart w:id="847" w:name="_Toc112733252"/>
      <w:bookmarkStart w:id="848" w:name="_Toc289328222"/>
      <w:bookmarkStart w:id="849" w:name="_Toc312331662"/>
      <w:bookmarkStart w:id="850" w:name="_Toc214283150"/>
      <w:r w:rsidRPr="000665B0">
        <w:t>Display</w:t>
      </w:r>
      <w:r w:rsidR="009C637B" w:rsidRPr="000665B0">
        <w:t xml:space="preserve"> All</w:t>
      </w:r>
      <w:r w:rsidRPr="000665B0">
        <w:t xml:space="preserve"> in Excel</w:t>
      </w:r>
      <w:bookmarkEnd w:id="845"/>
      <w:bookmarkEnd w:id="846"/>
      <w:bookmarkEnd w:id="847"/>
      <w:bookmarkEnd w:id="848"/>
      <w:bookmarkEnd w:id="849"/>
      <w:bookmarkEnd w:id="850"/>
    </w:p>
    <w:p w14:paraId="342338D8" w14:textId="51303E39" w:rsidR="005D1A26" w:rsidRPr="000665B0" w:rsidRDefault="00F02F03" w:rsidP="009570CA">
      <w:pPr>
        <w:spacing w:after="0"/>
      </w:pPr>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464893AE" w14:textId="16352558" w:rsidR="00E3247D" w:rsidRPr="000665B0" w:rsidRDefault="00E3247D" w:rsidP="009570CA">
      <w:pPr>
        <w:pStyle w:val="Heading3"/>
      </w:pPr>
      <w:bookmarkStart w:id="851" w:name="_Toc214283151"/>
      <w:bookmarkStart w:id="852" w:name="_Toc96169778"/>
      <w:bookmarkStart w:id="853" w:name="_Toc96233823"/>
      <w:bookmarkStart w:id="854" w:name="_Toc112733253"/>
      <w:bookmarkStart w:id="855" w:name="_Toc289328223"/>
      <w:bookmarkStart w:id="856" w:name="_Toc312331663"/>
      <w:r w:rsidRPr="000665B0">
        <w:t>Receive File</w:t>
      </w:r>
      <w:bookmarkEnd w:id="851"/>
    </w:p>
    <w:p w14:paraId="6956528D" w14:textId="3FE9B190" w:rsidR="00E3247D" w:rsidRPr="000665B0" w:rsidRDefault="00F02F03" w:rsidP="009570CA">
      <w:r w:rsidRPr="000665B0">
        <w:t>See</w:t>
      </w:r>
      <w:r w:rsidR="00E3247D" w:rsidRPr="000665B0">
        <w:t xml:space="preserve"> </w:t>
      </w:r>
      <w:hyperlink w:anchor="_5.2.1.7__Receive" w:history="1">
        <w:r w:rsidR="00E3247D" w:rsidRPr="000665B0">
          <w:rPr>
            <w:rStyle w:val="Hyperlink"/>
          </w:rPr>
          <w:t>Section 5.2.1.7</w:t>
        </w:r>
      </w:hyperlink>
      <w:r w:rsidR="00E3247D" w:rsidRPr="000665B0">
        <w:t>.</w:t>
      </w:r>
    </w:p>
    <w:p w14:paraId="2FA9CAFB" w14:textId="0FE65ABE" w:rsidR="005D1A26" w:rsidRPr="000665B0" w:rsidRDefault="005D1A26" w:rsidP="009570CA">
      <w:pPr>
        <w:pStyle w:val="Heading3"/>
      </w:pPr>
      <w:bookmarkStart w:id="857" w:name="_Toc214283152"/>
      <w:r w:rsidRPr="000665B0">
        <w:t>Select All</w:t>
      </w:r>
      <w:bookmarkEnd w:id="852"/>
      <w:bookmarkEnd w:id="853"/>
      <w:bookmarkEnd w:id="854"/>
      <w:bookmarkEnd w:id="855"/>
      <w:bookmarkEnd w:id="856"/>
      <w:bookmarkEnd w:id="857"/>
    </w:p>
    <w:p w14:paraId="1FDCDE45" w14:textId="57A45DC1" w:rsidR="005D1A26" w:rsidRPr="000665B0" w:rsidRDefault="00F02F03" w:rsidP="009570CA">
      <w:pPr>
        <w:spacing w:after="0"/>
      </w:pPr>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7747C3CC" w14:textId="6BC4D4FE" w:rsidR="005D1A26" w:rsidRPr="000665B0" w:rsidRDefault="005D1A26" w:rsidP="009570CA">
      <w:pPr>
        <w:pStyle w:val="Heading3"/>
      </w:pPr>
      <w:bookmarkStart w:id="858" w:name="_Toc96169779"/>
      <w:bookmarkStart w:id="859" w:name="_Toc96233824"/>
      <w:bookmarkStart w:id="860" w:name="_Toc112733254"/>
      <w:bookmarkStart w:id="861" w:name="_Toc289328224"/>
      <w:bookmarkStart w:id="862" w:name="_Toc312331664"/>
      <w:bookmarkStart w:id="863" w:name="_Toc214283153"/>
      <w:r w:rsidRPr="000665B0">
        <w:t>Properties</w:t>
      </w:r>
      <w:bookmarkEnd w:id="858"/>
      <w:bookmarkEnd w:id="859"/>
      <w:bookmarkEnd w:id="860"/>
      <w:bookmarkEnd w:id="861"/>
      <w:bookmarkEnd w:id="862"/>
      <w:bookmarkEnd w:id="863"/>
    </w:p>
    <w:p w14:paraId="160191F8" w14:textId="38B98AA9" w:rsidR="008229BE" w:rsidRDefault="00F02F03" w:rsidP="009570CA">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21C68133" w14:textId="77777777" w:rsidR="00A316EA" w:rsidRDefault="00A316EA" w:rsidP="009570CA">
      <w:r>
        <w:br w:type="page"/>
      </w:r>
      <w:bookmarkStart w:id="864" w:name="_Toc57712251"/>
      <w:bookmarkStart w:id="865" w:name="_Toc61358690"/>
      <w:bookmarkStart w:id="866" w:name="_Toc63168142"/>
      <w:bookmarkStart w:id="867" w:name="_Toc67401056"/>
      <w:bookmarkStart w:id="868" w:name="_Toc69207693"/>
      <w:bookmarkStart w:id="869" w:name="_Toc70071247"/>
      <w:bookmarkStart w:id="870" w:name="_Toc71012028"/>
      <w:bookmarkStart w:id="871" w:name="_Toc71808697"/>
      <w:bookmarkStart w:id="872" w:name="_Toc57712252"/>
      <w:bookmarkStart w:id="873" w:name="_Toc61358691"/>
      <w:bookmarkStart w:id="874" w:name="_Toc63168143"/>
      <w:bookmarkStart w:id="875" w:name="_Toc67401057"/>
      <w:bookmarkStart w:id="876" w:name="_Toc69207694"/>
      <w:bookmarkStart w:id="877" w:name="_Toc70071248"/>
      <w:bookmarkStart w:id="878" w:name="_Toc71012029"/>
      <w:bookmarkStart w:id="879" w:name="_Toc71808698"/>
      <w:bookmarkStart w:id="880" w:name="_Toc57712253"/>
      <w:bookmarkStart w:id="881" w:name="_Toc61358692"/>
      <w:bookmarkStart w:id="882" w:name="_Toc63168144"/>
      <w:bookmarkStart w:id="883" w:name="_Toc67401058"/>
      <w:bookmarkStart w:id="884" w:name="_Toc69207695"/>
      <w:bookmarkStart w:id="885" w:name="_Toc70071249"/>
      <w:bookmarkStart w:id="886" w:name="_Toc71012030"/>
      <w:bookmarkStart w:id="887" w:name="_Toc71808699"/>
      <w:bookmarkStart w:id="888" w:name="_Toc57712254"/>
      <w:bookmarkStart w:id="889" w:name="_Toc61358693"/>
      <w:bookmarkStart w:id="890" w:name="_Toc63168145"/>
      <w:bookmarkStart w:id="891" w:name="_Toc67401059"/>
      <w:bookmarkStart w:id="892" w:name="_Toc69207696"/>
      <w:bookmarkStart w:id="893" w:name="_Toc70071250"/>
      <w:bookmarkStart w:id="894" w:name="_Toc71012031"/>
      <w:bookmarkStart w:id="895" w:name="_Toc71808700"/>
      <w:bookmarkStart w:id="896" w:name="_Toc57712255"/>
      <w:bookmarkStart w:id="897" w:name="_Toc61358694"/>
      <w:bookmarkStart w:id="898" w:name="_Toc63168146"/>
      <w:bookmarkStart w:id="899" w:name="_Toc67401060"/>
      <w:bookmarkStart w:id="900" w:name="_Toc69207697"/>
      <w:bookmarkStart w:id="901" w:name="_Toc70071251"/>
      <w:bookmarkStart w:id="902" w:name="_Toc71012032"/>
      <w:bookmarkStart w:id="903" w:name="_Toc71808701"/>
      <w:bookmarkStart w:id="904" w:name="_Toc57712256"/>
      <w:bookmarkStart w:id="905" w:name="_Toc61358695"/>
      <w:bookmarkStart w:id="906" w:name="_Toc63168147"/>
      <w:bookmarkStart w:id="907" w:name="_Toc67401061"/>
      <w:bookmarkStart w:id="908" w:name="_Toc69207698"/>
      <w:bookmarkStart w:id="909" w:name="_Toc70071252"/>
      <w:bookmarkStart w:id="910" w:name="_Toc71012033"/>
      <w:bookmarkStart w:id="911" w:name="_Toc71808702"/>
      <w:bookmarkStart w:id="912" w:name="_Toc57712257"/>
      <w:bookmarkStart w:id="913" w:name="_Toc61358696"/>
      <w:bookmarkStart w:id="914" w:name="_Toc63168148"/>
      <w:bookmarkStart w:id="915" w:name="_Toc67401062"/>
      <w:bookmarkStart w:id="916" w:name="_Toc69207699"/>
      <w:bookmarkStart w:id="917" w:name="_Toc70071253"/>
      <w:bookmarkStart w:id="918" w:name="_Toc71012034"/>
      <w:bookmarkStart w:id="919" w:name="_Toc71808703"/>
      <w:bookmarkStart w:id="920" w:name="_Toc57712258"/>
      <w:bookmarkStart w:id="921" w:name="_Toc61358697"/>
      <w:bookmarkStart w:id="922" w:name="_Toc63168149"/>
      <w:bookmarkStart w:id="923" w:name="_Toc67401063"/>
      <w:bookmarkStart w:id="924" w:name="_Toc69207700"/>
      <w:bookmarkStart w:id="925" w:name="_Toc70071254"/>
      <w:bookmarkStart w:id="926" w:name="_Toc71012035"/>
      <w:bookmarkStart w:id="927" w:name="_Toc71808704"/>
      <w:bookmarkStart w:id="928" w:name="_Toc57712259"/>
      <w:bookmarkStart w:id="929" w:name="_Toc61358698"/>
      <w:bookmarkStart w:id="930" w:name="_Toc63168150"/>
      <w:bookmarkStart w:id="931" w:name="_Toc67401064"/>
      <w:bookmarkStart w:id="932" w:name="_Toc69207701"/>
      <w:bookmarkStart w:id="933" w:name="_Toc70071255"/>
      <w:bookmarkStart w:id="934" w:name="_Toc71012036"/>
      <w:bookmarkStart w:id="935" w:name="_Toc71808705"/>
      <w:bookmarkStart w:id="936" w:name="_Toc57712260"/>
      <w:bookmarkStart w:id="937" w:name="_Toc61358699"/>
      <w:bookmarkStart w:id="938" w:name="_Toc63168151"/>
      <w:bookmarkStart w:id="939" w:name="_Toc67401065"/>
      <w:bookmarkStart w:id="940" w:name="_Toc69207702"/>
      <w:bookmarkStart w:id="941" w:name="_Toc70071256"/>
      <w:bookmarkStart w:id="942" w:name="_Toc71012037"/>
      <w:bookmarkStart w:id="943" w:name="_Toc71808706"/>
      <w:bookmarkStart w:id="944" w:name="_Toc57712261"/>
      <w:bookmarkStart w:id="945" w:name="_Toc61358700"/>
      <w:bookmarkStart w:id="946" w:name="_Toc63168152"/>
      <w:bookmarkStart w:id="947" w:name="_Toc67401066"/>
      <w:bookmarkStart w:id="948" w:name="_Toc69207703"/>
      <w:bookmarkStart w:id="949" w:name="_Toc70071257"/>
      <w:bookmarkStart w:id="950" w:name="_Toc71012038"/>
      <w:bookmarkStart w:id="951" w:name="_Toc71808707"/>
      <w:bookmarkStart w:id="952" w:name="_Toc57712262"/>
      <w:bookmarkStart w:id="953" w:name="_Toc61358701"/>
      <w:bookmarkStart w:id="954" w:name="_Toc63168153"/>
      <w:bookmarkStart w:id="955" w:name="_Toc67401067"/>
      <w:bookmarkStart w:id="956" w:name="_Toc69207704"/>
      <w:bookmarkStart w:id="957" w:name="_Toc70071258"/>
      <w:bookmarkStart w:id="958" w:name="_Toc71012039"/>
      <w:bookmarkStart w:id="959" w:name="_Toc71808708"/>
      <w:bookmarkStart w:id="960" w:name="_Toc57712263"/>
      <w:bookmarkStart w:id="961" w:name="_Toc61358702"/>
      <w:bookmarkStart w:id="962" w:name="_Toc63168154"/>
      <w:bookmarkStart w:id="963" w:name="_Toc67401068"/>
      <w:bookmarkStart w:id="964" w:name="_Toc69207705"/>
      <w:bookmarkStart w:id="965" w:name="_Toc70071259"/>
      <w:bookmarkStart w:id="966" w:name="_Toc71012040"/>
      <w:bookmarkStart w:id="967" w:name="_Toc71808709"/>
      <w:bookmarkStart w:id="968" w:name="_Toc57712264"/>
      <w:bookmarkStart w:id="969" w:name="_Toc61358703"/>
      <w:bookmarkStart w:id="970" w:name="_Toc63168155"/>
      <w:bookmarkStart w:id="971" w:name="_Toc67401069"/>
      <w:bookmarkStart w:id="972" w:name="_Toc69207706"/>
      <w:bookmarkStart w:id="973" w:name="_Toc70071260"/>
      <w:bookmarkStart w:id="974" w:name="_Toc71012041"/>
      <w:bookmarkStart w:id="975" w:name="_Toc71808710"/>
      <w:bookmarkStart w:id="976" w:name="_Toc57712265"/>
      <w:bookmarkStart w:id="977" w:name="_Toc61358704"/>
      <w:bookmarkStart w:id="978" w:name="_Toc63168156"/>
      <w:bookmarkStart w:id="979" w:name="_Toc67401070"/>
      <w:bookmarkStart w:id="980" w:name="_Toc69207707"/>
      <w:bookmarkStart w:id="981" w:name="_Toc70071261"/>
      <w:bookmarkStart w:id="982" w:name="_Toc71012042"/>
      <w:bookmarkStart w:id="983" w:name="_Toc71808711"/>
      <w:bookmarkStart w:id="984" w:name="_Toc57712266"/>
      <w:bookmarkStart w:id="985" w:name="_Toc61358705"/>
      <w:bookmarkStart w:id="986" w:name="_Toc63168157"/>
      <w:bookmarkStart w:id="987" w:name="_Toc67401071"/>
      <w:bookmarkStart w:id="988" w:name="_Toc69207708"/>
      <w:bookmarkStart w:id="989" w:name="_Toc70071262"/>
      <w:bookmarkStart w:id="990" w:name="_Toc71012043"/>
      <w:bookmarkStart w:id="991" w:name="_Toc71808712"/>
      <w:bookmarkStart w:id="992" w:name="_Toc57712267"/>
      <w:bookmarkStart w:id="993" w:name="_Toc61358706"/>
      <w:bookmarkStart w:id="994" w:name="_Toc63168158"/>
      <w:bookmarkStart w:id="995" w:name="_Toc67401072"/>
      <w:bookmarkStart w:id="996" w:name="_Toc69207709"/>
      <w:bookmarkStart w:id="997" w:name="_Toc70071263"/>
      <w:bookmarkStart w:id="998" w:name="_Toc71012044"/>
      <w:bookmarkStart w:id="999" w:name="_Toc71808713"/>
      <w:bookmarkStart w:id="1000" w:name="_Toc57712268"/>
      <w:bookmarkStart w:id="1001" w:name="_Toc61358707"/>
      <w:bookmarkStart w:id="1002" w:name="_Toc63168159"/>
      <w:bookmarkStart w:id="1003" w:name="_Toc67401073"/>
      <w:bookmarkStart w:id="1004" w:name="_Toc69207710"/>
      <w:bookmarkStart w:id="1005" w:name="_Toc70071264"/>
      <w:bookmarkStart w:id="1006" w:name="_Toc71012045"/>
      <w:bookmarkStart w:id="1007" w:name="_Toc71808714"/>
      <w:bookmarkStart w:id="1008" w:name="_Toc57712269"/>
      <w:bookmarkStart w:id="1009" w:name="_Toc61358708"/>
      <w:bookmarkStart w:id="1010" w:name="_Toc63168160"/>
      <w:bookmarkStart w:id="1011" w:name="_Toc67401074"/>
      <w:bookmarkStart w:id="1012" w:name="_Toc69207711"/>
      <w:bookmarkStart w:id="1013" w:name="_Toc70071265"/>
      <w:bookmarkStart w:id="1014" w:name="_Toc71012046"/>
      <w:bookmarkStart w:id="1015" w:name="_Toc71808715"/>
      <w:bookmarkStart w:id="1016" w:name="_Toc57712270"/>
      <w:bookmarkStart w:id="1017" w:name="_Toc61358709"/>
      <w:bookmarkStart w:id="1018" w:name="_Toc63168161"/>
      <w:bookmarkStart w:id="1019" w:name="_Toc67401075"/>
      <w:bookmarkStart w:id="1020" w:name="_Toc69207712"/>
      <w:bookmarkStart w:id="1021" w:name="_Toc70071266"/>
      <w:bookmarkStart w:id="1022" w:name="_Toc71012047"/>
      <w:bookmarkStart w:id="1023" w:name="_Toc71808716"/>
      <w:bookmarkStart w:id="1024" w:name="_Toc57712271"/>
      <w:bookmarkStart w:id="1025" w:name="_Toc61358710"/>
      <w:bookmarkStart w:id="1026" w:name="_Toc63168162"/>
      <w:bookmarkStart w:id="1027" w:name="_Toc67401076"/>
      <w:bookmarkStart w:id="1028" w:name="_Toc69207713"/>
      <w:bookmarkStart w:id="1029" w:name="_Toc70071267"/>
      <w:bookmarkStart w:id="1030" w:name="_Toc71012048"/>
      <w:bookmarkStart w:id="1031" w:name="_Toc71808717"/>
      <w:bookmarkStart w:id="1032" w:name="_Toc57712272"/>
      <w:bookmarkStart w:id="1033" w:name="_Toc61358711"/>
      <w:bookmarkStart w:id="1034" w:name="_Toc63168163"/>
      <w:bookmarkStart w:id="1035" w:name="_Toc67401077"/>
      <w:bookmarkStart w:id="1036" w:name="_Toc69207714"/>
      <w:bookmarkStart w:id="1037" w:name="_Toc70071268"/>
      <w:bookmarkStart w:id="1038" w:name="_Toc71012049"/>
      <w:bookmarkStart w:id="1039" w:name="_Toc71808718"/>
      <w:bookmarkStart w:id="1040" w:name="_Toc57712273"/>
      <w:bookmarkStart w:id="1041" w:name="_Toc61358712"/>
      <w:bookmarkStart w:id="1042" w:name="_Toc63168164"/>
      <w:bookmarkStart w:id="1043" w:name="_Toc67401078"/>
      <w:bookmarkStart w:id="1044" w:name="_Toc69207715"/>
      <w:bookmarkStart w:id="1045" w:name="_Toc70071269"/>
      <w:bookmarkStart w:id="1046" w:name="_Toc71012050"/>
      <w:bookmarkStart w:id="1047" w:name="_Toc71808719"/>
      <w:bookmarkStart w:id="1048" w:name="_Toc57712274"/>
      <w:bookmarkStart w:id="1049" w:name="_Toc61358713"/>
      <w:bookmarkStart w:id="1050" w:name="_Toc63168165"/>
      <w:bookmarkStart w:id="1051" w:name="_Toc67401079"/>
      <w:bookmarkStart w:id="1052" w:name="_Toc69207716"/>
      <w:bookmarkStart w:id="1053" w:name="_Toc70071270"/>
      <w:bookmarkStart w:id="1054" w:name="_Toc71012051"/>
      <w:bookmarkStart w:id="1055" w:name="_Toc71808720"/>
      <w:bookmarkStart w:id="1056" w:name="_Toc57712275"/>
      <w:bookmarkStart w:id="1057" w:name="_Toc61358714"/>
      <w:bookmarkStart w:id="1058" w:name="_Toc63168166"/>
      <w:bookmarkStart w:id="1059" w:name="_Toc67401080"/>
      <w:bookmarkStart w:id="1060" w:name="_Toc69207717"/>
      <w:bookmarkStart w:id="1061" w:name="_Toc70071271"/>
      <w:bookmarkStart w:id="1062" w:name="_Toc71012052"/>
      <w:bookmarkStart w:id="1063" w:name="_Toc71808721"/>
      <w:bookmarkStart w:id="1064" w:name="_Toc57712276"/>
      <w:bookmarkStart w:id="1065" w:name="_Toc61358715"/>
      <w:bookmarkStart w:id="1066" w:name="_Toc63168167"/>
      <w:bookmarkStart w:id="1067" w:name="_Toc67401081"/>
      <w:bookmarkStart w:id="1068" w:name="_Toc69207718"/>
      <w:bookmarkStart w:id="1069" w:name="_Toc70071272"/>
      <w:bookmarkStart w:id="1070" w:name="_Toc71012053"/>
      <w:bookmarkStart w:id="1071" w:name="_Toc71808722"/>
      <w:bookmarkStart w:id="1072" w:name="_Toc57712277"/>
      <w:bookmarkStart w:id="1073" w:name="_Toc61358716"/>
      <w:bookmarkStart w:id="1074" w:name="_Toc63168168"/>
      <w:bookmarkStart w:id="1075" w:name="_Toc67401082"/>
      <w:bookmarkStart w:id="1076" w:name="_Toc69207719"/>
      <w:bookmarkStart w:id="1077" w:name="_Toc70071273"/>
      <w:bookmarkStart w:id="1078" w:name="_Toc71012054"/>
      <w:bookmarkStart w:id="1079" w:name="_Toc71808723"/>
      <w:bookmarkStart w:id="1080" w:name="_Toc57712278"/>
      <w:bookmarkStart w:id="1081" w:name="_Toc61358717"/>
      <w:bookmarkStart w:id="1082" w:name="_Toc63168169"/>
      <w:bookmarkStart w:id="1083" w:name="_Toc67401083"/>
      <w:bookmarkStart w:id="1084" w:name="_Toc69207720"/>
      <w:bookmarkStart w:id="1085" w:name="_Toc70071274"/>
      <w:bookmarkStart w:id="1086" w:name="_Toc71012055"/>
      <w:bookmarkStart w:id="1087" w:name="_Toc71808724"/>
      <w:bookmarkStart w:id="1088" w:name="_Toc57712279"/>
      <w:bookmarkStart w:id="1089" w:name="_Toc61358718"/>
      <w:bookmarkStart w:id="1090" w:name="_Toc63168170"/>
      <w:bookmarkStart w:id="1091" w:name="_Toc67401084"/>
      <w:bookmarkStart w:id="1092" w:name="_Toc69207721"/>
      <w:bookmarkStart w:id="1093" w:name="_Toc70071275"/>
      <w:bookmarkStart w:id="1094" w:name="_Toc71012056"/>
      <w:bookmarkStart w:id="1095" w:name="_Toc71808725"/>
      <w:bookmarkStart w:id="1096" w:name="_Toc57712280"/>
      <w:bookmarkStart w:id="1097" w:name="_Toc61358719"/>
      <w:bookmarkStart w:id="1098" w:name="_Toc63168171"/>
      <w:bookmarkStart w:id="1099" w:name="_Toc67401085"/>
      <w:bookmarkStart w:id="1100" w:name="_Toc69207722"/>
      <w:bookmarkStart w:id="1101" w:name="_Toc70071276"/>
      <w:bookmarkStart w:id="1102" w:name="_Toc71012057"/>
      <w:bookmarkStart w:id="1103" w:name="_Toc71808726"/>
      <w:bookmarkStart w:id="1104" w:name="_Toc57712281"/>
      <w:bookmarkStart w:id="1105" w:name="_Toc61358720"/>
      <w:bookmarkStart w:id="1106" w:name="_Toc63168172"/>
      <w:bookmarkStart w:id="1107" w:name="_Toc67401086"/>
      <w:bookmarkStart w:id="1108" w:name="_Toc69207723"/>
      <w:bookmarkStart w:id="1109" w:name="_Toc70071277"/>
      <w:bookmarkStart w:id="1110" w:name="_Toc71012058"/>
      <w:bookmarkStart w:id="1111" w:name="_Toc71808727"/>
      <w:bookmarkStart w:id="1112" w:name="_Toc57712282"/>
      <w:bookmarkStart w:id="1113" w:name="_Toc61358721"/>
      <w:bookmarkStart w:id="1114" w:name="_Toc63168173"/>
      <w:bookmarkStart w:id="1115" w:name="_Toc67401087"/>
      <w:bookmarkStart w:id="1116" w:name="_Toc69207724"/>
      <w:bookmarkStart w:id="1117" w:name="_Toc70071278"/>
      <w:bookmarkStart w:id="1118" w:name="_Toc71012059"/>
      <w:bookmarkStart w:id="1119" w:name="_Toc71808728"/>
      <w:bookmarkStart w:id="1120" w:name="_Toc57712283"/>
      <w:bookmarkStart w:id="1121" w:name="_Toc61358722"/>
      <w:bookmarkStart w:id="1122" w:name="_Toc63168174"/>
      <w:bookmarkStart w:id="1123" w:name="_Toc67401088"/>
      <w:bookmarkStart w:id="1124" w:name="_Toc69207725"/>
      <w:bookmarkStart w:id="1125" w:name="_Toc70071279"/>
      <w:bookmarkStart w:id="1126" w:name="_Toc71012060"/>
      <w:bookmarkStart w:id="1127" w:name="_Toc71808729"/>
      <w:bookmarkStart w:id="1128" w:name="_Toc57712284"/>
      <w:bookmarkStart w:id="1129" w:name="_Toc61358723"/>
      <w:bookmarkStart w:id="1130" w:name="_Toc63168175"/>
      <w:bookmarkStart w:id="1131" w:name="_Toc67401089"/>
      <w:bookmarkStart w:id="1132" w:name="_Toc69207726"/>
      <w:bookmarkStart w:id="1133" w:name="_Toc70071280"/>
      <w:bookmarkStart w:id="1134" w:name="_Toc71012061"/>
      <w:bookmarkStart w:id="1135" w:name="_Toc71808730"/>
      <w:bookmarkStart w:id="1136" w:name="_Toc57712285"/>
      <w:bookmarkStart w:id="1137" w:name="_Toc61358724"/>
      <w:bookmarkStart w:id="1138" w:name="_Toc63168176"/>
      <w:bookmarkStart w:id="1139" w:name="_Toc67401090"/>
      <w:bookmarkStart w:id="1140" w:name="_Toc69207727"/>
      <w:bookmarkStart w:id="1141" w:name="_Toc70071281"/>
      <w:bookmarkStart w:id="1142" w:name="_Toc71012062"/>
      <w:bookmarkStart w:id="1143" w:name="_Toc71808731"/>
      <w:bookmarkStart w:id="1144" w:name="_Toc57712286"/>
      <w:bookmarkStart w:id="1145" w:name="_Toc61358725"/>
      <w:bookmarkStart w:id="1146" w:name="_Toc63168177"/>
      <w:bookmarkStart w:id="1147" w:name="_Toc67401091"/>
      <w:bookmarkStart w:id="1148" w:name="_Toc69207728"/>
      <w:bookmarkStart w:id="1149" w:name="_Toc70071282"/>
      <w:bookmarkStart w:id="1150" w:name="_Toc71012063"/>
      <w:bookmarkStart w:id="1151" w:name="_Toc71808732"/>
      <w:bookmarkStart w:id="1152" w:name="_Toc57712287"/>
      <w:bookmarkStart w:id="1153" w:name="_Toc61358726"/>
      <w:bookmarkStart w:id="1154" w:name="_Toc63168178"/>
      <w:bookmarkStart w:id="1155" w:name="_Toc67401092"/>
      <w:bookmarkStart w:id="1156" w:name="_Toc69207729"/>
      <w:bookmarkStart w:id="1157" w:name="_Toc70071283"/>
      <w:bookmarkStart w:id="1158" w:name="_Toc71012064"/>
      <w:bookmarkStart w:id="1159" w:name="_Toc71808733"/>
      <w:bookmarkStart w:id="1160" w:name="_Toc57712288"/>
      <w:bookmarkStart w:id="1161" w:name="_Toc61358727"/>
      <w:bookmarkStart w:id="1162" w:name="_Toc63168179"/>
      <w:bookmarkStart w:id="1163" w:name="_Toc67401093"/>
      <w:bookmarkStart w:id="1164" w:name="_Toc69207730"/>
      <w:bookmarkStart w:id="1165" w:name="_Toc70071284"/>
      <w:bookmarkStart w:id="1166" w:name="_Toc71012065"/>
      <w:bookmarkStart w:id="1167" w:name="_Toc71808734"/>
      <w:bookmarkStart w:id="1168" w:name="_Toc57712289"/>
      <w:bookmarkStart w:id="1169" w:name="_Toc61358728"/>
      <w:bookmarkStart w:id="1170" w:name="_Toc63168180"/>
      <w:bookmarkStart w:id="1171" w:name="_Toc67401094"/>
      <w:bookmarkStart w:id="1172" w:name="_Toc69207731"/>
      <w:bookmarkStart w:id="1173" w:name="_Toc70071285"/>
      <w:bookmarkStart w:id="1174" w:name="_Toc71012066"/>
      <w:bookmarkStart w:id="1175" w:name="_Toc71808735"/>
      <w:bookmarkStart w:id="1176" w:name="_Toc57712290"/>
      <w:bookmarkStart w:id="1177" w:name="_Toc61358729"/>
      <w:bookmarkStart w:id="1178" w:name="_Toc63168181"/>
      <w:bookmarkStart w:id="1179" w:name="_Toc67401095"/>
      <w:bookmarkStart w:id="1180" w:name="_Toc69207732"/>
      <w:bookmarkStart w:id="1181" w:name="_Toc70071286"/>
      <w:bookmarkStart w:id="1182" w:name="_Toc71012067"/>
      <w:bookmarkStart w:id="1183" w:name="_Toc71808736"/>
      <w:bookmarkStart w:id="1184" w:name="_Toc57712291"/>
      <w:bookmarkStart w:id="1185" w:name="_Toc61358730"/>
      <w:bookmarkStart w:id="1186" w:name="_Toc63168182"/>
      <w:bookmarkStart w:id="1187" w:name="_Toc67401096"/>
      <w:bookmarkStart w:id="1188" w:name="_Toc69207733"/>
      <w:bookmarkStart w:id="1189" w:name="_Toc70071287"/>
      <w:bookmarkStart w:id="1190" w:name="_Toc71012068"/>
      <w:bookmarkStart w:id="1191" w:name="_Toc71808737"/>
      <w:bookmarkStart w:id="1192" w:name="_Toc57712292"/>
      <w:bookmarkStart w:id="1193" w:name="_Toc61358731"/>
      <w:bookmarkStart w:id="1194" w:name="_Toc63168183"/>
      <w:bookmarkStart w:id="1195" w:name="_Toc67401097"/>
      <w:bookmarkStart w:id="1196" w:name="_Toc69207734"/>
      <w:bookmarkStart w:id="1197" w:name="_Toc70071288"/>
      <w:bookmarkStart w:id="1198" w:name="_Toc71012069"/>
      <w:bookmarkStart w:id="1199" w:name="_Toc71808738"/>
      <w:bookmarkStart w:id="1200" w:name="_5.6__MISSIONS"/>
      <w:bookmarkStart w:id="1201" w:name="_MISSIONS__TOOL"/>
      <w:bookmarkStart w:id="1202" w:name="_Toc71955157"/>
      <w:bookmarkStart w:id="1203" w:name="_Toc96169785"/>
      <w:bookmarkStart w:id="1204" w:name="_Toc96233830"/>
      <w:bookmarkStart w:id="1205" w:name="_Toc112733260"/>
      <w:bookmarkStart w:id="1206" w:name="_Toc289328232"/>
      <w:bookmarkStart w:id="1207" w:name="_Toc312331672"/>
      <w:bookmarkStart w:id="1208" w:name="_Toc214283154"/>
      <w:bookmarkStart w:id="1209" w:name="_Hlk58584941"/>
      <w:bookmarkEnd w:id="827"/>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r w:rsidR="005D1A26" w:rsidRPr="000665B0">
        <w:lastRenderedPageBreak/>
        <w:t>MISSIONS TOOL</w:t>
      </w:r>
      <w:bookmarkEnd w:id="1202"/>
      <w:bookmarkEnd w:id="1203"/>
      <w:bookmarkEnd w:id="1204"/>
      <w:bookmarkEnd w:id="1205"/>
      <w:bookmarkEnd w:id="1206"/>
      <w:bookmarkEnd w:id="1207"/>
      <w:bookmarkEnd w:id="1208"/>
    </w:p>
    <w:p w14:paraId="72699286" w14:textId="77777777" w:rsidR="00882F56" w:rsidRPr="000665B0" w:rsidRDefault="00882F56" w:rsidP="009570CA">
      <w:r w:rsidRPr="000665B0">
        <w:t xml:space="preserve">The Missions Tool displays a list of all the Missions contained in the </w:t>
      </w:r>
      <w:r w:rsidRPr="000665B0">
        <w:rPr>
          <w:snapToGrid w:val="0"/>
        </w:rPr>
        <w:t>MDDB</w:t>
      </w:r>
      <w:r w:rsidRPr="000665B0">
        <w:t xml:space="preserve"> and is referred to as the Mission List View. This tool provides a single location in which the operator can display and manage the processing of Mission Data.</w:t>
      </w:r>
      <w:r w:rsidRPr="000665B0">
        <w:rPr>
          <w:snapToGrid w:val="0"/>
        </w:rPr>
        <w:t xml:space="preserve"> The Mission List View consists of a one-line summary for each entry, initially sorted by Mission ID.</w:t>
      </w:r>
    </w:p>
    <w:p w14:paraId="572719DC" w14:textId="61DF6117" w:rsidR="00882F56" w:rsidRPr="000665B0" w:rsidRDefault="00882F56" w:rsidP="009570CA">
      <w:pPr>
        <w:rPr>
          <w:snapToGrid w:val="0"/>
        </w:rPr>
      </w:pPr>
      <w:r w:rsidRPr="000665B0">
        <w:rPr>
          <w:snapToGrid w:val="0"/>
        </w:rPr>
        <w:t xml:space="preserve">The Missions Tool also provides access to add, modify, and display missions (textually, geographically, and in Excel). When mission data is added to MDS, it is stored in the relational database. Portions of the data can only be read by the system whereas others are man-readable. The man-readable portion of the mission data is the </w:t>
      </w:r>
      <w:r w:rsidRPr="000665B0">
        <w:t>C</w:t>
      </w:r>
      <w:r w:rsidRPr="000665B0">
        <w:rPr>
          <w:szCs w:val="24"/>
        </w:rPr>
        <w:t>2</w:t>
      </w:r>
      <w:r w:rsidRPr="000665B0">
        <w:rPr>
          <w:snapToGrid w:val="0"/>
        </w:rPr>
        <w:t xml:space="preserve">. The </w:t>
      </w:r>
      <w:r w:rsidRPr="000665B0">
        <w:t>C</w:t>
      </w:r>
      <w:r w:rsidRPr="000665B0">
        <w:rPr>
          <w:szCs w:val="24"/>
        </w:rPr>
        <w:t>2</w:t>
      </w:r>
      <w:r w:rsidRPr="000665B0">
        <w:rPr>
          <w:snapToGrid w:val="0"/>
        </w:rPr>
        <w:t xml:space="preserve"> is listed in the Mission List View and is displayed in the mission textual display. </w:t>
      </w:r>
    </w:p>
    <w:p w14:paraId="1217FE71" w14:textId="77777777" w:rsidR="00882F56" w:rsidRPr="000665B0" w:rsidRDefault="00882F56" w:rsidP="009570CA">
      <w:pPr>
        <w:rPr>
          <w:snapToGrid w:val="0"/>
        </w:rPr>
      </w:pPr>
      <w:r w:rsidRPr="000665B0">
        <w:rPr>
          <w:snapToGrid w:val="0"/>
        </w:rPr>
        <w:t xml:space="preserve">The Missions Tool, along with the DSMACs and TERCOMs Tools, </w:t>
      </w:r>
      <w:r w:rsidR="00627DD2" w:rsidRPr="000665B0">
        <w:rPr>
          <w:snapToGrid w:val="0"/>
        </w:rPr>
        <w:t xml:space="preserve">is </w:t>
      </w:r>
      <w:r w:rsidRPr="000665B0">
        <w:rPr>
          <w:snapToGrid w:val="0"/>
        </w:rPr>
        <w:t xml:space="preserve">the repository for all mission data distributed by the system via production TCIDBs, transmitted as MDUs, or written to Transfer File (mission formatted files as described in 3900/183). </w:t>
      </w:r>
      <w:r w:rsidRPr="000665B0">
        <w:t>C</w:t>
      </w:r>
      <w:r w:rsidRPr="000665B0">
        <w:rPr>
          <w:szCs w:val="24"/>
        </w:rPr>
        <w:t>2</w:t>
      </w:r>
      <w:r w:rsidRPr="000665B0">
        <w:rPr>
          <w:snapToGrid w:val="0"/>
        </w:rPr>
        <w:t xml:space="preserve"> data is used by mission strike planners, flag staff, and battle group commanders for a variety of reasons including Strike Planning.</w:t>
      </w:r>
    </w:p>
    <w:p w14:paraId="3D88EFA5" w14:textId="1C87EA1A" w:rsidR="00882F56" w:rsidRPr="000665B0" w:rsidRDefault="00882F56" w:rsidP="009570CA">
      <w:r w:rsidRPr="000665B0">
        <w:rPr>
          <w:snapToGrid w:val="0"/>
        </w:rPr>
        <w:t>The mission data</w:t>
      </w:r>
      <w:r w:rsidR="00560D5C" w:rsidRPr="000665B0">
        <w:rPr>
          <w:snapToGrid w:val="0"/>
        </w:rPr>
        <w:t xml:space="preserve"> (starting with TPS Version 4.7) may</w:t>
      </w:r>
      <w:r w:rsidRPr="000665B0">
        <w:rPr>
          <w:snapToGrid w:val="0"/>
        </w:rPr>
        <w:t xml:space="preserve"> also </w:t>
      </w:r>
      <w:r w:rsidR="00560D5C" w:rsidRPr="000665B0">
        <w:rPr>
          <w:snapToGrid w:val="0"/>
        </w:rPr>
        <w:t xml:space="preserve">be accompanied by a separate file containing additional C2 data sets referred to as </w:t>
      </w:r>
      <w:r w:rsidRPr="000665B0">
        <w:rPr>
          <w:snapToGrid w:val="0"/>
        </w:rPr>
        <w:t>C2X</w:t>
      </w:r>
      <w:r w:rsidR="00560D5C" w:rsidRPr="000665B0">
        <w:rPr>
          <w:snapToGrid w:val="0"/>
        </w:rPr>
        <w:t xml:space="preserve"> (Command and Control in XML format).</w:t>
      </w:r>
      <w:r w:rsidRPr="000665B0">
        <w:rPr>
          <w:snapToGrid w:val="0"/>
        </w:rPr>
        <w:t xml:space="preserve"> The C2X is stored in the MDDB along with the Binary Mission and the existing C2 record. </w:t>
      </w:r>
      <w:r w:rsidRPr="000665B0">
        <w:t xml:space="preserve">The C2X can be broken down into </w:t>
      </w:r>
      <w:r w:rsidR="00560D5C" w:rsidRPr="000665B0">
        <w:t xml:space="preserve">the following </w:t>
      </w:r>
      <w:r w:rsidRPr="000665B0">
        <w:t xml:space="preserve">categories of data: General Information, Associated ACMS, DSMAC Employment Data, </w:t>
      </w:r>
      <w:r w:rsidR="005D1C25" w:rsidRPr="000665B0">
        <w:t xml:space="preserve">Waypoint/Aimpoint Information, </w:t>
      </w:r>
      <w:r w:rsidRPr="000665B0">
        <w:t>Target Information</w:t>
      </w:r>
      <w:r w:rsidR="005D1C25" w:rsidRPr="000665B0">
        <w:t>, and Other Information</w:t>
      </w:r>
      <w:r w:rsidRPr="000665B0">
        <w:t>.</w:t>
      </w:r>
      <w:r w:rsidR="00D97BEA" w:rsidRPr="000665B0">
        <w:t xml:space="preserve"> The </w:t>
      </w:r>
      <w:r w:rsidR="00EE29FF" w:rsidRPr="000665B0">
        <w:t xml:space="preserve">mission’s </w:t>
      </w:r>
      <w:r w:rsidR="00D97BEA" w:rsidRPr="000665B0">
        <w:t xml:space="preserve">textual view will vary depending on whether the </w:t>
      </w:r>
      <w:r w:rsidR="00560D5C" w:rsidRPr="000665B0">
        <w:t>Mission’s C2X data is available for display</w:t>
      </w:r>
      <w:r w:rsidR="00D97BEA" w:rsidRPr="000665B0">
        <w:t xml:space="preserve"> (see </w:t>
      </w:r>
      <w:hyperlink w:anchor="_5.6.1.1__Selectively" w:history="1">
        <w:r w:rsidR="00D97BEA" w:rsidRPr="000665B0">
          <w:rPr>
            <w:rStyle w:val="Hyperlink"/>
          </w:rPr>
          <w:t>Section 5.</w:t>
        </w:r>
        <w:r w:rsidR="00C526BF" w:rsidRPr="000665B0">
          <w:rPr>
            <w:rStyle w:val="Hyperlink"/>
          </w:rPr>
          <w:t>5</w:t>
        </w:r>
        <w:r w:rsidR="00D97BEA" w:rsidRPr="000665B0">
          <w:rPr>
            <w:rStyle w:val="Hyperlink"/>
          </w:rPr>
          <w:t>.1.1</w:t>
        </w:r>
      </w:hyperlink>
      <w:r w:rsidR="00D97BEA" w:rsidRPr="000665B0">
        <w:t>).</w:t>
      </w:r>
    </w:p>
    <w:p w14:paraId="495E686E" w14:textId="2311B30A" w:rsidR="00882F56" w:rsidRPr="000665B0" w:rsidRDefault="00882F56" w:rsidP="009570CA">
      <w:r w:rsidRPr="000665B0">
        <w:t>When a mission is inserted into MDDB, 0..n BE Targets are created for each aimpoint defined in the Mission Binary.</w:t>
      </w:r>
      <w:r w:rsidR="009651B0">
        <w:t xml:space="preserve"> </w:t>
      </w:r>
    </w:p>
    <w:p w14:paraId="45D9157C" w14:textId="77777777" w:rsidR="00882F56" w:rsidRPr="000665B0" w:rsidRDefault="00882F56" w:rsidP="009570CA">
      <w:r w:rsidRPr="000665B0">
        <w:t xml:space="preserve">If the JDPI field of the C2X </w:t>
      </w:r>
      <w:r w:rsidR="00427DCA" w:rsidRPr="000665B0">
        <w:t xml:space="preserve">is </w:t>
      </w:r>
      <w:r w:rsidRPr="000665B0">
        <w:t>specified</w:t>
      </w:r>
      <w:r w:rsidR="004A17F2" w:rsidRPr="000665B0">
        <w:t>,</w:t>
      </w:r>
      <w:r w:rsidRPr="000665B0">
        <w:t xml:space="preserve"> </w:t>
      </w:r>
      <w:r w:rsidR="00427DCA" w:rsidRPr="000665B0">
        <w:t>it is</w:t>
      </w:r>
      <w:r w:rsidRPr="000665B0">
        <w:t xml:space="preserve"> included in the newly created BE target. </w:t>
      </w:r>
    </w:p>
    <w:p w14:paraId="341A0180" w14:textId="77777777" w:rsidR="00882F56" w:rsidRPr="000665B0" w:rsidRDefault="00882F56" w:rsidP="009570CA">
      <w:r w:rsidRPr="000665B0">
        <w:t xml:space="preserve">In the case where the BE target already exists, if JDPI </w:t>
      </w:r>
      <w:r w:rsidR="00427DCA" w:rsidRPr="000665B0">
        <w:t xml:space="preserve">is </w:t>
      </w:r>
      <w:r w:rsidRPr="000665B0">
        <w:t xml:space="preserve">not specified in the current BE Target, the BE target is updated with the JDPI included in the Mission’s C2X. </w:t>
      </w:r>
    </w:p>
    <w:p w14:paraId="64B861F7" w14:textId="5B592336" w:rsidR="00882F56" w:rsidRPr="000665B0" w:rsidRDefault="00882F56" w:rsidP="009570CA">
      <w:r w:rsidRPr="000665B0">
        <w:t>If JDPI is specified in the BE Target yet the value do</w:t>
      </w:r>
      <w:r w:rsidR="00427DCA" w:rsidRPr="000665B0">
        <w:t>es</w:t>
      </w:r>
      <w:r w:rsidRPr="000665B0">
        <w:t xml:space="preserve"> not match what is contained in the Mission’s C2X</w:t>
      </w:r>
      <w:r w:rsidR="00DE721E" w:rsidRPr="000665B0">
        <w:t>,</w:t>
      </w:r>
      <w:r w:rsidRPr="000665B0">
        <w:t xml:space="preserve"> a warning log entry </w:t>
      </w:r>
      <w:r w:rsidR="00627DD2" w:rsidRPr="000665B0">
        <w:t>is</w:t>
      </w:r>
      <w:r w:rsidRPr="000665B0">
        <w:t xml:space="preserve"> made. In this case, the BE target field </w:t>
      </w:r>
      <w:r w:rsidR="00427DCA" w:rsidRPr="000665B0">
        <w:t xml:space="preserve">is </w:t>
      </w:r>
      <w:r w:rsidRPr="000665B0">
        <w:t>not updated with the JDPI contained within the Mission’s C2X.</w:t>
      </w:r>
    </w:p>
    <w:p w14:paraId="1093321A" w14:textId="397EB96B" w:rsidR="009703F9" w:rsidRPr="000665B0" w:rsidRDefault="00472A1F" w:rsidP="009570CA">
      <w:pPr>
        <w:keepNext/>
        <w:keepLines/>
        <w:rPr>
          <w:b/>
          <w:snapToGrid w:val="0"/>
        </w:rPr>
      </w:pPr>
      <w:r w:rsidRPr="000665B0">
        <w:t>The following table lists the additional C2X data set elements:</w:t>
      </w:r>
    </w:p>
    <w:tbl>
      <w:tblPr>
        <w:tblW w:w="3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70"/>
      </w:tblGrid>
      <w:tr w:rsidR="00A2768F" w:rsidRPr="000665B0" w14:paraId="78E125A6" w14:textId="77777777" w:rsidTr="00BC3C5E">
        <w:trPr>
          <w:trHeight w:hRule="exact" w:val="274"/>
          <w:tblHeader/>
          <w:jc w:val="center"/>
        </w:trPr>
        <w:tc>
          <w:tcPr>
            <w:tcW w:w="3870" w:type="dxa"/>
            <w:tcBorders>
              <w:bottom w:val="single" w:sz="4" w:space="0" w:color="auto"/>
            </w:tcBorders>
            <w:shd w:val="clear" w:color="auto" w:fill="00CCFF"/>
            <w:vAlign w:val="center"/>
          </w:tcPr>
          <w:p w14:paraId="44E6A50D" w14:textId="085C0163" w:rsidR="00AD5151" w:rsidRPr="000665B0" w:rsidRDefault="00AD5151" w:rsidP="006418D1">
            <w:pPr>
              <w:jc w:val="center"/>
              <w:rPr>
                <w:rFonts w:ascii="Arial" w:hAnsi="Arial" w:cs="Arial"/>
                <w:b/>
                <w:sz w:val="22"/>
                <w:szCs w:val="22"/>
              </w:rPr>
            </w:pPr>
            <w:r w:rsidRPr="000665B0">
              <w:rPr>
                <w:rFonts w:ascii="Arial" w:hAnsi="Arial" w:cs="Arial"/>
                <w:b/>
                <w:sz w:val="22"/>
                <w:szCs w:val="22"/>
              </w:rPr>
              <w:t>C2X Data Element</w:t>
            </w:r>
          </w:p>
        </w:tc>
      </w:tr>
      <w:tr w:rsidR="00AD5151" w:rsidRPr="000665B0" w14:paraId="14BC33C0" w14:textId="77777777" w:rsidTr="00BC3C5E">
        <w:trPr>
          <w:trHeight w:hRule="exact" w:val="274"/>
          <w:jc w:val="center"/>
        </w:trPr>
        <w:tc>
          <w:tcPr>
            <w:tcW w:w="3870" w:type="dxa"/>
            <w:shd w:val="clear" w:color="auto" w:fill="BFBFBF" w:themeFill="background1" w:themeFillShade="BF"/>
            <w:vAlign w:val="center"/>
          </w:tcPr>
          <w:p w14:paraId="30FA7DE3" w14:textId="3CC2658D" w:rsidR="00AD5151" w:rsidRPr="000665B0" w:rsidRDefault="00AD5151" w:rsidP="006418D1">
            <w:pPr>
              <w:jc w:val="center"/>
              <w:rPr>
                <w:rFonts w:ascii="Arial" w:hAnsi="Arial" w:cs="Arial"/>
                <w:b/>
                <w:sz w:val="22"/>
                <w:szCs w:val="22"/>
              </w:rPr>
            </w:pPr>
            <w:r w:rsidRPr="000665B0">
              <w:rPr>
                <w:rFonts w:ascii="Arial" w:hAnsi="Arial" w:cs="Arial"/>
                <w:b/>
                <w:sz w:val="22"/>
                <w:szCs w:val="22"/>
              </w:rPr>
              <w:t>General Information</w:t>
            </w:r>
          </w:p>
        </w:tc>
      </w:tr>
      <w:tr w:rsidR="00AD5151" w:rsidRPr="000665B0" w14:paraId="70614134" w14:textId="45BA5D98" w:rsidTr="00BC3C5E">
        <w:trPr>
          <w:trHeight w:hRule="exact" w:val="274"/>
          <w:jc w:val="center"/>
        </w:trPr>
        <w:tc>
          <w:tcPr>
            <w:tcW w:w="3870" w:type="dxa"/>
            <w:vAlign w:val="center"/>
          </w:tcPr>
          <w:p w14:paraId="19FF40AF" w14:textId="77777777" w:rsidR="00AD5151" w:rsidRPr="000665B0" w:rsidRDefault="00AD5151" w:rsidP="006418D1">
            <w:pPr>
              <w:rPr>
                <w:rFonts w:ascii="Arial" w:hAnsi="Arial" w:cs="Arial"/>
                <w:sz w:val="20"/>
              </w:rPr>
            </w:pPr>
            <w:r w:rsidRPr="000665B0">
              <w:rPr>
                <w:rFonts w:ascii="Arial" w:hAnsi="Arial" w:cs="Arial"/>
                <w:sz w:val="20"/>
              </w:rPr>
              <w:t>Navigation Mode</w:t>
            </w:r>
          </w:p>
        </w:tc>
      </w:tr>
      <w:tr w:rsidR="00AD5151" w:rsidRPr="000665B0" w14:paraId="0E13C9BF" w14:textId="7B7C3A8E" w:rsidTr="00BC3C5E">
        <w:trPr>
          <w:trHeight w:hRule="exact" w:val="274"/>
          <w:jc w:val="center"/>
        </w:trPr>
        <w:tc>
          <w:tcPr>
            <w:tcW w:w="3870" w:type="dxa"/>
            <w:vAlign w:val="center"/>
          </w:tcPr>
          <w:p w14:paraId="5E0F5A9B" w14:textId="6EB4451B" w:rsidR="00AD5151" w:rsidRPr="000665B0" w:rsidRDefault="00AD5151" w:rsidP="006418D1">
            <w:pPr>
              <w:rPr>
                <w:rFonts w:ascii="Arial" w:hAnsi="Arial" w:cs="Arial"/>
                <w:sz w:val="20"/>
              </w:rPr>
            </w:pPr>
            <w:r w:rsidRPr="000665B0">
              <w:rPr>
                <w:rFonts w:ascii="Arial" w:hAnsi="Arial" w:cs="Arial"/>
                <w:sz w:val="20"/>
              </w:rPr>
              <w:t>Revision Cycle</w:t>
            </w:r>
          </w:p>
        </w:tc>
      </w:tr>
      <w:tr w:rsidR="00AD5151" w:rsidRPr="000665B0" w14:paraId="3E330976" w14:textId="7BC70BAF" w:rsidTr="00BC3C5E">
        <w:trPr>
          <w:trHeight w:hRule="exact" w:val="274"/>
          <w:jc w:val="center"/>
        </w:trPr>
        <w:tc>
          <w:tcPr>
            <w:tcW w:w="3870" w:type="dxa"/>
            <w:vAlign w:val="center"/>
          </w:tcPr>
          <w:p w14:paraId="282F6B45" w14:textId="77777777" w:rsidR="00AD5151" w:rsidRPr="000665B0" w:rsidRDefault="00AD5151" w:rsidP="006418D1">
            <w:pPr>
              <w:rPr>
                <w:rFonts w:ascii="Arial" w:hAnsi="Arial" w:cs="Arial"/>
                <w:sz w:val="20"/>
              </w:rPr>
            </w:pPr>
            <w:r w:rsidRPr="000665B0">
              <w:rPr>
                <w:rFonts w:ascii="Arial" w:hAnsi="Arial" w:cs="Arial"/>
                <w:sz w:val="20"/>
              </w:rPr>
              <w:t>Mission Version</w:t>
            </w:r>
          </w:p>
        </w:tc>
      </w:tr>
      <w:tr w:rsidR="00AD5151" w:rsidRPr="000665B0" w14:paraId="391ABF6F" w14:textId="1EB7C51D" w:rsidTr="00BC3C5E">
        <w:trPr>
          <w:trHeight w:hRule="exact" w:val="274"/>
          <w:jc w:val="center"/>
        </w:trPr>
        <w:tc>
          <w:tcPr>
            <w:tcW w:w="3870" w:type="dxa"/>
            <w:vAlign w:val="center"/>
          </w:tcPr>
          <w:p w14:paraId="46FED413" w14:textId="77777777" w:rsidR="00AD5151" w:rsidRPr="000665B0" w:rsidRDefault="00AD5151" w:rsidP="006418D1">
            <w:pPr>
              <w:rPr>
                <w:rFonts w:ascii="Arial" w:hAnsi="Arial" w:cs="Arial"/>
                <w:sz w:val="20"/>
              </w:rPr>
            </w:pPr>
            <w:r w:rsidRPr="000665B0">
              <w:rPr>
                <w:rFonts w:ascii="Arial" w:hAnsi="Arial" w:cs="Arial"/>
                <w:sz w:val="20"/>
              </w:rPr>
              <w:t>Mission Planner</w:t>
            </w:r>
          </w:p>
        </w:tc>
      </w:tr>
      <w:tr w:rsidR="00AD5151" w:rsidRPr="000665B0" w14:paraId="6A62495E" w14:textId="401452FE" w:rsidTr="00BC3C5E">
        <w:trPr>
          <w:trHeight w:hRule="exact" w:val="274"/>
          <w:jc w:val="center"/>
        </w:trPr>
        <w:tc>
          <w:tcPr>
            <w:tcW w:w="3870" w:type="dxa"/>
            <w:vAlign w:val="center"/>
          </w:tcPr>
          <w:p w14:paraId="522ED9B1" w14:textId="77777777" w:rsidR="00AD5151" w:rsidRPr="000665B0" w:rsidRDefault="00AD5151" w:rsidP="006418D1">
            <w:pPr>
              <w:rPr>
                <w:rFonts w:ascii="Arial" w:hAnsi="Arial" w:cs="Arial"/>
                <w:sz w:val="20"/>
              </w:rPr>
            </w:pPr>
            <w:r w:rsidRPr="000665B0">
              <w:rPr>
                <w:rFonts w:ascii="Arial" w:hAnsi="Arial" w:cs="Arial"/>
                <w:sz w:val="20"/>
              </w:rPr>
              <w:t>Senior Reviewer</w:t>
            </w:r>
          </w:p>
        </w:tc>
      </w:tr>
      <w:tr w:rsidR="00AD5151" w:rsidRPr="000665B0" w14:paraId="064B889F" w14:textId="085D7EA3" w:rsidTr="00BC3C5E">
        <w:trPr>
          <w:trHeight w:hRule="exact" w:val="274"/>
          <w:jc w:val="center"/>
        </w:trPr>
        <w:tc>
          <w:tcPr>
            <w:tcW w:w="3870" w:type="dxa"/>
            <w:vAlign w:val="center"/>
          </w:tcPr>
          <w:p w14:paraId="57A594D5" w14:textId="77777777" w:rsidR="00AD5151" w:rsidRPr="000665B0" w:rsidRDefault="00AD5151" w:rsidP="006418D1">
            <w:pPr>
              <w:rPr>
                <w:rFonts w:ascii="Arial" w:hAnsi="Arial" w:cs="Arial"/>
                <w:sz w:val="20"/>
              </w:rPr>
            </w:pPr>
            <w:r w:rsidRPr="000665B0">
              <w:rPr>
                <w:rFonts w:ascii="Arial" w:hAnsi="Arial" w:cs="Arial"/>
                <w:sz w:val="20"/>
              </w:rPr>
              <w:t>Formal Reviewer</w:t>
            </w:r>
          </w:p>
        </w:tc>
      </w:tr>
      <w:tr w:rsidR="00AD5151" w:rsidRPr="000665B0" w14:paraId="120652B8" w14:textId="11B29E6B" w:rsidTr="00BC3C5E">
        <w:trPr>
          <w:trHeight w:hRule="exact" w:val="274"/>
          <w:jc w:val="center"/>
        </w:trPr>
        <w:tc>
          <w:tcPr>
            <w:tcW w:w="3870" w:type="dxa"/>
            <w:vAlign w:val="center"/>
          </w:tcPr>
          <w:p w14:paraId="1AC4FC0E" w14:textId="77777777" w:rsidR="00AD5151" w:rsidRPr="000665B0" w:rsidRDefault="00AD5151" w:rsidP="006418D1">
            <w:pPr>
              <w:rPr>
                <w:rFonts w:ascii="Arial" w:hAnsi="Arial" w:cs="Arial"/>
                <w:sz w:val="20"/>
              </w:rPr>
            </w:pPr>
            <w:r w:rsidRPr="000665B0">
              <w:rPr>
                <w:rFonts w:ascii="Arial" w:hAnsi="Arial" w:cs="Arial"/>
                <w:sz w:val="20"/>
              </w:rPr>
              <w:t>Formal Approval DTG</w:t>
            </w:r>
          </w:p>
        </w:tc>
      </w:tr>
      <w:tr w:rsidR="00AD5151" w:rsidRPr="000665B0" w14:paraId="762E2276" w14:textId="6002CEBC" w:rsidTr="00BC3C5E">
        <w:trPr>
          <w:trHeight w:hRule="exact" w:val="274"/>
          <w:jc w:val="center"/>
        </w:trPr>
        <w:tc>
          <w:tcPr>
            <w:tcW w:w="3870" w:type="dxa"/>
            <w:vAlign w:val="center"/>
          </w:tcPr>
          <w:p w14:paraId="17A02813" w14:textId="77777777" w:rsidR="00AD5151" w:rsidRPr="000665B0" w:rsidRDefault="00AD5151" w:rsidP="006418D1">
            <w:pPr>
              <w:rPr>
                <w:rFonts w:ascii="Arial" w:hAnsi="Arial" w:cs="Arial"/>
                <w:sz w:val="20"/>
              </w:rPr>
            </w:pPr>
            <w:r w:rsidRPr="000665B0">
              <w:rPr>
                <w:rFonts w:ascii="Arial" w:hAnsi="Arial" w:cs="Arial"/>
                <w:sz w:val="20"/>
              </w:rPr>
              <w:t>Formal Approval Site</w:t>
            </w:r>
          </w:p>
        </w:tc>
      </w:tr>
      <w:tr w:rsidR="00AD5151" w:rsidRPr="000665B0" w14:paraId="20B1AE0E" w14:textId="77777777" w:rsidTr="00BC3C5E">
        <w:trPr>
          <w:trHeight w:hRule="exact" w:val="274"/>
          <w:jc w:val="center"/>
        </w:trPr>
        <w:tc>
          <w:tcPr>
            <w:tcW w:w="3870" w:type="dxa"/>
            <w:vAlign w:val="center"/>
          </w:tcPr>
          <w:p w14:paraId="129D2DF8" w14:textId="2293F47F" w:rsidR="00AD5151" w:rsidRPr="000665B0" w:rsidRDefault="00AD5151" w:rsidP="006418D1">
            <w:pPr>
              <w:rPr>
                <w:rFonts w:ascii="Arial" w:hAnsi="Arial" w:cs="Arial"/>
                <w:sz w:val="20"/>
              </w:rPr>
            </w:pPr>
            <w:r w:rsidRPr="000665B0">
              <w:rPr>
                <w:rFonts w:ascii="Arial" w:hAnsi="Arial" w:cs="Arial"/>
                <w:sz w:val="20"/>
              </w:rPr>
              <w:t>Distribution Management Directive 1</w:t>
            </w:r>
          </w:p>
        </w:tc>
      </w:tr>
      <w:tr w:rsidR="00AD5151" w:rsidRPr="000665B0" w14:paraId="3A22EDA1" w14:textId="360D1D8D" w:rsidTr="00BC3C5E">
        <w:trPr>
          <w:trHeight w:hRule="exact" w:val="274"/>
          <w:jc w:val="center"/>
        </w:trPr>
        <w:tc>
          <w:tcPr>
            <w:tcW w:w="3870" w:type="dxa"/>
            <w:tcBorders>
              <w:bottom w:val="single" w:sz="4" w:space="0" w:color="auto"/>
            </w:tcBorders>
            <w:vAlign w:val="center"/>
          </w:tcPr>
          <w:p w14:paraId="62ED0698" w14:textId="77C2F334" w:rsidR="00AD5151" w:rsidRPr="000665B0" w:rsidRDefault="00AD5151" w:rsidP="006418D1">
            <w:pPr>
              <w:rPr>
                <w:rFonts w:ascii="Arial" w:hAnsi="Arial" w:cs="Arial"/>
                <w:sz w:val="20"/>
              </w:rPr>
            </w:pPr>
            <w:r w:rsidRPr="000665B0">
              <w:rPr>
                <w:rFonts w:ascii="Arial" w:hAnsi="Arial" w:cs="Arial"/>
                <w:sz w:val="20"/>
              </w:rPr>
              <w:lastRenderedPageBreak/>
              <w:t>Distribution Management Directive 2</w:t>
            </w:r>
          </w:p>
        </w:tc>
      </w:tr>
      <w:tr w:rsidR="006E0516" w:rsidRPr="000665B0" w14:paraId="180F7FBC" w14:textId="77777777" w:rsidTr="00BC3C5E">
        <w:trPr>
          <w:trHeight w:hRule="exact" w:val="274"/>
          <w:jc w:val="center"/>
        </w:trPr>
        <w:tc>
          <w:tcPr>
            <w:tcW w:w="3870" w:type="dxa"/>
            <w:tcBorders>
              <w:bottom w:val="single" w:sz="4" w:space="0" w:color="auto"/>
            </w:tcBorders>
            <w:vAlign w:val="center"/>
          </w:tcPr>
          <w:p w14:paraId="74DE87E0" w14:textId="1633847F" w:rsidR="006E0516" w:rsidRPr="000665B0" w:rsidRDefault="006E0516" w:rsidP="006418D1">
            <w:pPr>
              <w:rPr>
                <w:rFonts w:ascii="Arial" w:hAnsi="Arial" w:cs="Arial"/>
                <w:sz w:val="20"/>
              </w:rPr>
            </w:pPr>
            <w:r w:rsidRPr="000665B0">
              <w:rPr>
                <w:rFonts w:ascii="Arial" w:hAnsi="Arial" w:cs="Arial"/>
                <w:sz w:val="20"/>
              </w:rPr>
              <w:t>CMDO ID</w:t>
            </w:r>
          </w:p>
        </w:tc>
      </w:tr>
      <w:tr w:rsidR="006E0516" w:rsidRPr="000665B0" w14:paraId="65932034" w14:textId="77777777" w:rsidTr="00BC3C5E">
        <w:trPr>
          <w:trHeight w:hRule="exact" w:val="274"/>
          <w:jc w:val="center"/>
        </w:trPr>
        <w:tc>
          <w:tcPr>
            <w:tcW w:w="3870" w:type="dxa"/>
            <w:tcBorders>
              <w:bottom w:val="single" w:sz="4" w:space="0" w:color="auto"/>
            </w:tcBorders>
            <w:vAlign w:val="center"/>
          </w:tcPr>
          <w:p w14:paraId="1F3C40EA" w14:textId="71A39061" w:rsidR="006E0516" w:rsidRPr="000665B0" w:rsidRDefault="006E0516" w:rsidP="006418D1">
            <w:pPr>
              <w:rPr>
                <w:rFonts w:ascii="Arial" w:hAnsi="Arial" w:cs="Arial"/>
                <w:sz w:val="20"/>
              </w:rPr>
            </w:pPr>
            <w:r w:rsidRPr="000665B0">
              <w:rPr>
                <w:rFonts w:ascii="Arial" w:hAnsi="Arial" w:cs="Arial"/>
                <w:sz w:val="20"/>
              </w:rPr>
              <w:t>CMDO Name</w:t>
            </w:r>
          </w:p>
        </w:tc>
      </w:tr>
      <w:tr w:rsidR="006E0516" w:rsidRPr="000665B0" w14:paraId="74719560" w14:textId="77777777" w:rsidTr="00BC3C5E">
        <w:trPr>
          <w:trHeight w:hRule="exact" w:val="274"/>
          <w:jc w:val="center"/>
        </w:trPr>
        <w:tc>
          <w:tcPr>
            <w:tcW w:w="3870" w:type="dxa"/>
            <w:tcBorders>
              <w:bottom w:val="single" w:sz="4" w:space="0" w:color="auto"/>
            </w:tcBorders>
            <w:vAlign w:val="center"/>
          </w:tcPr>
          <w:p w14:paraId="1B6107B6" w14:textId="4FD159B9" w:rsidR="006E0516" w:rsidRPr="000665B0" w:rsidRDefault="006E0516" w:rsidP="006418D1">
            <w:pPr>
              <w:rPr>
                <w:rFonts w:ascii="Arial" w:hAnsi="Arial" w:cs="Arial"/>
                <w:sz w:val="20"/>
              </w:rPr>
            </w:pPr>
            <w:r w:rsidRPr="000665B0">
              <w:rPr>
                <w:rFonts w:ascii="Arial" w:hAnsi="Arial" w:cs="Arial"/>
                <w:sz w:val="20"/>
              </w:rPr>
              <w:t>CMDO Distributed</w:t>
            </w:r>
          </w:p>
        </w:tc>
      </w:tr>
      <w:tr w:rsidR="00AD5151" w:rsidRPr="000665B0" w14:paraId="0CAC5EEA" w14:textId="77777777" w:rsidTr="00BC3C5E">
        <w:trPr>
          <w:trHeight w:hRule="exact" w:val="274"/>
          <w:jc w:val="center"/>
        </w:trPr>
        <w:tc>
          <w:tcPr>
            <w:tcW w:w="3870" w:type="dxa"/>
            <w:shd w:val="clear" w:color="auto" w:fill="BFBFBF" w:themeFill="background1" w:themeFillShade="BF"/>
            <w:vAlign w:val="center"/>
          </w:tcPr>
          <w:p w14:paraId="35800E2B" w14:textId="3C676D3F" w:rsidR="00AD5151" w:rsidRPr="000665B0" w:rsidRDefault="00AD5151" w:rsidP="006418D1">
            <w:pPr>
              <w:jc w:val="center"/>
              <w:rPr>
                <w:rFonts w:ascii="Arial" w:hAnsi="Arial" w:cs="Arial"/>
                <w:b/>
                <w:sz w:val="22"/>
                <w:szCs w:val="22"/>
              </w:rPr>
            </w:pPr>
            <w:r w:rsidRPr="000665B0">
              <w:rPr>
                <w:rFonts w:ascii="Arial" w:hAnsi="Arial" w:cs="Arial"/>
                <w:b/>
                <w:sz w:val="22"/>
                <w:szCs w:val="22"/>
              </w:rPr>
              <w:t>Associated ACMSs</w:t>
            </w:r>
          </w:p>
        </w:tc>
      </w:tr>
      <w:tr w:rsidR="00AD5151" w:rsidRPr="000665B0" w14:paraId="79C5A17E" w14:textId="53B01B40" w:rsidTr="00BC3C5E">
        <w:trPr>
          <w:trHeight w:hRule="exact" w:val="274"/>
          <w:jc w:val="center"/>
        </w:trPr>
        <w:tc>
          <w:tcPr>
            <w:tcW w:w="3870" w:type="dxa"/>
            <w:vAlign w:val="center"/>
          </w:tcPr>
          <w:p w14:paraId="499BD19F" w14:textId="56B74218" w:rsidR="00AD5151" w:rsidRPr="000665B0" w:rsidRDefault="00AD5151" w:rsidP="006418D1">
            <w:pPr>
              <w:rPr>
                <w:rFonts w:ascii="Arial" w:hAnsi="Arial" w:cs="Arial"/>
                <w:sz w:val="20"/>
              </w:rPr>
            </w:pPr>
            <w:r w:rsidRPr="000665B0">
              <w:rPr>
                <w:rFonts w:ascii="Arial" w:hAnsi="Arial" w:cs="Arial"/>
                <w:sz w:val="20"/>
              </w:rPr>
              <w:t>ACMS Name</w:t>
            </w:r>
          </w:p>
        </w:tc>
      </w:tr>
      <w:tr w:rsidR="00AD5151" w:rsidRPr="000665B0" w14:paraId="5152AFE1" w14:textId="23B8F4F9" w:rsidTr="00BC3C5E">
        <w:trPr>
          <w:trHeight w:hRule="exact" w:val="274"/>
          <w:jc w:val="center"/>
        </w:trPr>
        <w:tc>
          <w:tcPr>
            <w:tcW w:w="3870" w:type="dxa"/>
            <w:tcBorders>
              <w:bottom w:val="single" w:sz="4" w:space="0" w:color="auto"/>
            </w:tcBorders>
            <w:vAlign w:val="center"/>
          </w:tcPr>
          <w:p w14:paraId="2DD14BB8" w14:textId="342DA583" w:rsidR="00AD5151" w:rsidRPr="000665B0" w:rsidRDefault="00AD5151" w:rsidP="006418D1">
            <w:pPr>
              <w:rPr>
                <w:rFonts w:ascii="Arial" w:hAnsi="Arial" w:cs="Arial"/>
                <w:sz w:val="20"/>
              </w:rPr>
            </w:pPr>
            <w:r w:rsidRPr="000665B0">
              <w:rPr>
                <w:rFonts w:ascii="Arial" w:hAnsi="Arial" w:cs="Arial"/>
                <w:sz w:val="20"/>
              </w:rPr>
              <w:t>ACMS Type</w:t>
            </w:r>
          </w:p>
        </w:tc>
      </w:tr>
      <w:tr w:rsidR="00684095" w:rsidRPr="000665B0" w14:paraId="0B74370B" w14:textId="77777777" w:rsidTr="00BC3C5E">
        <w:trPr>
          <w:trHeight w:hRule="exact" w:val="274"/>
          <w:jc w:val="center"/>
        </w:trPr>
        <w:tc>
          <w:tcPr>
            <w:tcW w:w="3870" w:type="dxa"/>
            <w:shd w:val="clear" w:color="auto" w:fill="BFBFBF" w:themeFill="background1" w:themeFillShade="BF"/>
            <w:vAlign w:val="center"/>
          </w:tcPr>
          <w:p w14:paraId="24D145EC" w14:textId="00A7068D" w:rsidR="00684095" w:rsidRPr="000665B0" w:rsidRDefault="00684095" w:rsidP="006418D1">
            <w:pPr>
              <w:jc w:val="center"/>
              <w:rPr>
                <w:rFonts w:ascii="Arial" w:hAnsi="Arial" w:cs="Arial"/>
                <w:b/>
                <w:sz w:val="22"/>
                <w:szCs w:val="22"/>
              </w:rPr>
            </w:pPr>
            <w:r w:rsidRPr="000665B0">
              <w:rPr>
                <w:rFonts w:ascii="Arial" w:hAnsi="Arial" w:cs="Arial"/>
                <w:b/>
                <w:sz w:val="22"/>
                <w:szCs w:val="22"/>
              </w:rPr>
              <w:t>DSMAC Employment Data</w:t>
            </w:r>
          </w:p>
        </w:tc>
      </w:tr>
      <w:tr w:rsidR="00AD5151" w:rsidRPr="000665B0" w14:paraId="7077DE1A" w14:textId="5D9FF18D" w:rsidTr="00BC3C5E">
        <w:trPr>
          <w:trHeight w:hRule="exact" w:val="274"/>
          <w:jc w:val="center"/>
        </w:trPr>
        <w:tc>
          <w:tcPr>
            <w:tcW w:w="3870" w:type="dxa"/>
            <w:vAlign w:val="center"/>
          </w:tcPr>
          <w:p w14:paraId="70D9D972" w14:textId="77777777" w:rsidR="00AD5151" w:rsidRPr="000665B0" w:rsidRDefault="00AD5151" w:rsidP="006418D1">
            <w:pPr>
              <w:rPr>
                <w:rFonts w:ascii="Arial" w:hAnsi="Arial" w:cs="Arial"/>
                <w:sz w:val="20"/>
              </w:rPr>
            </w:pPr>
            <w:r w:rsidRPr="000665B0">
              <w:rPr>
                <w:rFonts w:ascii="Arial" w:hAnsi="Arial" w:cs="Arial"/>
                <w:sz w:val="20"/>
              </w:rPr>
              <w:t>Branch ID</w:t>
            </w:r>
          </w:p>
        </w:tc>
      </w:tr>
      <w:tr w:rsidR="00AD5151" w:rsidRPr="000665B0" w14:paraId="5E255543" w14:textId="6CB10B5D" w:rsidTr="00BC3C5E">
        <w:trPr>
          <w:trHeight w:hRule="exact" w:val="274"/>
          <w:jc w:val="center"/>
        </w:trPr>
        <w:tc>
          <w:tcPr>
            <w:tcW w:w="3870" w:type="dxa"/>
            <w:vAlign w:val="center"/>
          </w:tcPr>
          <w:p w14:paraId="419076AB" w14:textId="77777777" w:rsidR="00AD5151" w:rsidRPr="000665B0" w:rsidRDefault="00AD5151" w:rsidP="006418D1">
            <w:pPr>
              <w:rPr>
                <w:rFonts w:ascii="Arial" w:hAnsi="Arial" w:cs="Arial"/>
                <w:sz w:val="20"/>
              </w:rPr>
            </w:pPr>
            <w:r w:rsidRPr="000665B0">
              <w:rPr>
                <w:rFonts w:ascii="Arial" w:hAnsi="Arial" w:cs="Arial"/>
                <w:sz w:val="20"/>
              </w:rPr>
              <w:t>Day Number</w:t>
            </w:r>
          </w:p>
        </w:tc>
      </w:tr>
      <w:tr w:rsidR="00AD5151" w:rsidRPr="000665B0" w14:paraId="3FBA56F5" w14:textId="32D8A5A1" w:rsidTr="00BC3C5E">
        <w:trPr>
          <w:trHeight w:hRule="exact" w:val="274"/>
          <w:jc w:val="center"/>
        </w:trPr>
        <w:tc>
          <w:tcPr>
            <w:tcW w:w="3870" w:type="dxa"/>
            <w:vAlign w:val="center"/>
          </w:tcPr>
          <w:p w14:paraId="5944CEB2" w14:textId="77777777" w:rsidR="00AD5151" w:rsidRPr="000665B0" w:rsidRDefault="00AD5151" w:rsidP="006418D1">
            <w:pPr>
              <w:rPr>
                <w:rFonts w:ascii="Arial" w:hAnsi="Arial" w:cs="Arial"/>
                <w:sz w:val="20"/>
              </w:rPr>
            </w:pPr>
            <w:r w:rsidRPr="000665B0">
              <w:rPr>
                <w:rFonts w:ascii="Arial" w:hAnsi="Arial" w:cs="Arial"/>
                <w:sz w:val="20"/>
              </w:rPr>
              <w:t>Start</w:t>
            </w:r>
          </w:p>
        </w:tc>
      </w:tr>
      <w:tr w:rsidR="00871133" w:rsidRPr="000665B0" w14:paraId="36FFD4D3" w14:textId="77777777" w:rsidTr="00BC3C5E">
        <w:trPr>
          <w:trHeight w:hRule="exact" w:val="274"/>
          <w:jc w:val="center"/>
        </w:trPr>
        <w:tc>
          <w:tcPr>
            <w:tcW w:w="3870" w:type="dxa"/>
            <w:vAlign w:val="center"/>
          </w:tcPr>
          <w:p w14:paraId="08B8DCEB" w14:textId="482B8E26" w:rsidR="00871133" w:rsidRPr="000665B0" w:rsidRDefault="00871133" w:rsidP="006418D1">
            <w:pPr>
              <w:rPr>
                <w:rFonts w:ascii="Arial" w:hAnsi="Arial" w:cs="Arial"/>
                <w:sz w:val="20"/>
              </w:rPr>
            </w:pPr>
            <w:r>
              <w:rPr>
                <w:rFonts w:ascii="Arial" w:hAnsi="Arial" w:cs="Arial"/>
                <w:sz w:val="20"/>
              </w:rPr>
              <w:t>End</w:t>
            </w:r>
          </w:p>
        </w:tc>
      </w:tr>
      <w:tr w:rsidR="00AD5151" w:rsidRPr="000665B0" w14:paraId="1E56CF41" w14:textId="6B7AFF1C" w:rsidTr="00C36B36">
        <w:trPr>
          <w:trHeight w:hRule="exact" w:val="274"/>
          <w:jc w:val="center"/>
        </w:trPr>
        <w:tc>
          <w:tcPr>
            <w:tcW w:w="3870" w:type="dxa"/>
            <w:tcBorders>
              <w:bottom w:val="single" w:sz="4" w:space="0" w:color="auto"/>
            </w:tcBorders>
            <w:shd w:val="clear" w:color="auto" w:fill="A6A6A6" w:themeFill="background1" w:themeFillShade="A6"/>
            <w:vAlign w:val="center"/>
          </w:tcPr>
          <w:p w14:paraId="6AA6DC1A" w14:textId="33156759" w:rsidR="00AD5151" w:rsidRPr="000A72D3" w:rsidRDefault="008D21F1" w:rsidP="006418D1">
            <w:pPr>
              <w:jc w:val="center"/>
              <w:rPr>
                <w:rFonts w:ascii="Arial" w:hAnsi="Arial" w:cs="Arial"/>
                <w:sz w:val="22"/>
                <w:szCs w:val="22"/>
              </w:rPr>
            </w:pPr>
            <w:r w:rsidRPr="000A72D3">
              <w:rPr>
                <w:rFonts w:ascii="Arial" w:hAnsi="Arial" w:cs="Arial"/>
                <w:b/>
                <w:bCs/>
                <w:sz w:val="22"/>
                <w:szCs w:val="22"/>
              </w:rPr>
              <w:t>Associated ODS</w:t>
            </w:r>
          </w:p>
        </w:tc>
      </w:tr>
      <w:tr w:rsidR="00871133" w:rsidRPr="000665B0" w14:paraId="535301EC" w14:textId="77777777" w:rsidTr="00BC3C5E">
        <w:trPr>
          <w:trHeight w:hRule="exact" w:val="274"/>
          <w:jc w:val="center"/>
        </w:trPr>
        <w:tc>
          <w:tcPr>
            <w:tcW w:w="3870" w:type="dxa"/>
            <w:tcBorders>
              <w:bottom w:val="single" w:sz="4" w:space="0" w:color="auto"/>
            </w:tcBorders>
            <w:vAlign w:val="center"/>
          </w:tcPr>
          <w:p w14:paraId="670203A7" w14:textId="0E9A4DBA" w:rsidR="00871133" w:rsidRPr="000665B0" w:rsidRDefault="00871133" w:rsidP="006418D1">
            <w:pPr>
              <w:rPr>
                <w:rFonts w:ascii="Arial" w:hAnsi="Arial" w:cs="Arial"/>
                <w:sz w:val="20"/>
              </w:rPr>
            </w:pPr>
            <w:r>
              <w:rPr>
                <w:rFonts w:ascii="Arial" w:hAnsi="Arial" w:cs="Arial"/>
                <w:sz w:val="20"/>
              </w:rPr>
              <w:t>ODS ID</w:t>
            </w:r>
          </w:p>
        </w:tc>
      </w:tr>
      <w:tr w:rsidR="00684095" w:rsidRPr="000665B0" w14:paraId="168D1290" w14:textId="77777777" w:rsidTr="00BC3C5E">
        <w:trPr>
          <w:trHeight w:hRule="exact" w:val="274"/>
          <w:jc w:val="center"/>
        </w:trPr>
        <w:tc>
          <w:tcPr>
            <w:tcW w:w="3870" w:type="dxa"/>
            <w:shd w:val="clear" w:color="auto" w:fill="BFBFBF" w:themeFill="background1" w:themeFillShade="BF"/>
            <w:vAlign w:val="center"/>
          </w:tcPr>
          <w:p w14:paraId="0CFB0F77" w14:textId="2C9BA3EA" w:rsidR="00684095" w:rsidRPr="000665B0" w:rsidRDefault="00684095" w:rsidP="006418D1">
            <w:pPr>
              <w:jc w:val="center"/>
              <w:rPr>
                <w:rFonts w:ascii="Arial" w:hAnsi="Arial" w:cs="Arial"/>
                <w:b/>
                <w:sz w:val="22"/>
                <w:szCs w:val="22"/>
              </w:rPr>
            </w:pPr>
            <w:r w:rsidRPr="000665B0">
              <w:rPr>
                <w:rFonts w:ascii="Arial" w:hAnsi="Arial" w:cs="Arial"/>
                <w:b/>
                <w:sz w:val="22"/>
                <w:szCs w:val="22"/>
              </w:rPr>
              <w:t>Waypoint/Aimpoint Information</w:t>
            </w:r>
          </w:p>
        </w:tc>
      </w:tr>
      <w:tr w:rsidR="00A2768F" w:rsidRPr="000665B0" w14:paraId="4BD1027F" w14:textId="77777777" w:rsidTr="00BC3C5E">
        <w:trPr>
          <w:trHeight w:hRule="exact" w:val="274"/>
          <w:jc w:val="center"/>
        </w:trPr>
        <w:tc>
          <w:tcPr>
            <w:tcW w:w="3870" w:type="dxa"/>
            <w:shd w:val="clear" w:color="auto" w:fill="BFBFBF" w:themeFill="background1" w:themeFillShade="BF"/>
            <w:vAlign w:val="center"/>
          </w:tcPr>
          <w:p w14:paraId="78D6BCDA" w14:textId="496C7346" w:rsidR="00684095" w:rsidRPr="000665B0" w:rsidRDefault="00684095" w:rsidP="006418D1">
            <w:pPr>
              <w:jc w:val="center"/>
              <w:rPr>
                <w:rFonts w:ascii="Arial" w:hAnsi="Arial" w:cs="Arial"/>
                <w:b/>
                <w:sz w:val="22"/>
                <w:szCs w:val="22"/>
              </w:rPr>
            </w:pPr>
            <w:r w:rsidRPr="000665B0">
              <w:rPr>
                <w:rFonts w:ascii="Arial" w:hAnsi="Arial" w:cs="Arial"/>
                <w:b/>
                <w:sz w:val="22"/>
                <w:szCs w:val="22"/>
              </w:rPr>
              <w:t>Target Aimpoint Information</w:t>
            </w:r>
          </w:p>
        </w:tc>
      </w:tr>
      <w:tr w:rsidR="00AD5151" w:rsidRPr="000665B0" w14:paraId="1734556B" w14:textId="03D7283C" w:rsidTr="00BC3C5E">
        <w:trPr>
          <w:trHeight w:hRule="exact" w:val="274"/>
          <w:jc w:val="center"/>
        </w:trPr>
        <w:tc>
          <w:tcPr>
            <w:tcW w:w="3870" w:type="dxa"/>
            <w:vAlign w:val="center"/>
          </w:tcPr>
          <w:p w14:paraId="6BF0FD5A" w14:textId="77777777" w:rsidR="00AD5151" w:rsidRPr="000665B0" w:rsidRDefault="00AD5151" w:rsidP="006418D1">
            <w:pPr>
              <w:rPr>
                <w:rFonts w:ascii="Arial" w:hAnsi="Arial" w:cs="Arial"/>
                <w:sz w:val="20"/>
              </w:rPr>
            </w:pPr>
            <w:r w:rsidRPr="000665B0">
              <w:rPr>
                <w:rFonts w:ascii="Arial" w:hAnsi="Arial" w:cs="Arial"/>
                <w:sz w:val="20"/>
              </w:rPr>
              <w:t>Branch ID</w:t>
            </w:r>
          </w:p>
        </w:tc>
      </w:tr>
      <w:tr w:rsidR="00AD5151" w:rsidRPr="000665B0" w14:paraId="7D4D3C62" w14:textId="5BE9444D" w:rsidTr="00BC3C5E">
        <w:trPr>
          <w:trHeight w:hRule="exact" w:val="274"/>
          <w:jc w:val="center"/>
        </w:trPr>
        <w:tc>
          <w:tcPr>
            <w:tcW w:w="3870" w:type="dxa"/>
            <w:vAlign w:val="center"/>
          </w:tcPr>
          <w:p w14:paraId="4DBD96C1" w14:textId="77777777" w:rsidR="00AD5151" w:rsidRPr="000665B0" w:rsidRDefault="00AD5151" w:rsidP="006418D1">
            <w:pPr>
              <w:rPr>
                <w:rFonts w:ascii="Arial" w:hAnsi="Arial" w:cs="Arial"/>
                <w:sz w:val="20"/>
              </w:rPr>
            </w:pPr>
            <w:r w:rsidRPr="000665B0">
              <w:rPr>
                <w:rFonts w:ascii="Arial" w:hAnsi="Arial" w:cs="Arial"/>
                <w:sz w:val="20"/>
              </w:rPr>
              <w:t>Complex Sequence Number</w:t>
            </w:r>
          </w:p>
        </w:tc>
      </w:tr>
      <w:tr w:rsidR="00AD5151" w:rsidRPr="000665B0" w14:paraId="37EE4492" w14:textId="3352E75A" w:rsidTr="00BC3C5E">
        <w:trPr>
          <w:trHeight w:hRule="exact" w:val="274"/>
          <w:jc w:val="center"/>
        </w:trPr>
        <w:tc>
          <w:tcPr>
            <w:tcW w:w="3870" w:type="dxa"/>
            <w:vAlign w:val="center"/>
          </w:tcPr>
          <w:p w14:paraId="17126661" w14:textId="77777777" w:rsidR="00AD5151" w:rsidRPr="000665B0" w:rsidRDefault="00AD5151" w:rsidP="006418D1">
            <w:pPr>
              <w:rPr>
                <w:rFonts w:ascii="Arial" w:hAnsi="Arial" w:cs="Arial"/>
                <w:sz w:val="20"/>
              </w:rPr>
            </w:pPr>
            <w:r w:rsidRPr="000665B0">
              <w:rPr>
                <w:rFonts w:ascii="Arial" w:hAnsi="Arial" w:cs="Arial"/>
                <w:sz w:val="20"/>
              </w:rPr>
              <w:t>Aimpoint Number</w:t>
            </w:r>
          </w:p>
        </w:tc>
      </w:tr>
      <w:tr w:rsidR="00AD5151" w:rsidRPr="000665B0" w14:paraId="2C116686" w14:textId="328C9F4F" w:rsidTr="00BC3C5E">
        <w:trPr>
          <w:trHeight w:hRule="exact" w:val="274"/>
          <w:jc w:val="center"/>
        </w:trPr>
        <w:tc>
          <w:tcPr>
            <w:tcW w:w="3870" w:type="dxa"/>
            <w:vAlign w:val="center"/>
          </w:tcPr>
          <w:p w14:paraId="4AC96AC2" w14:textId="77777777" w:rsidR="00AD5151" w:rsidRPr="000665B0" w:rsidRDefault="00AD5151" w:rsidP="006418D1">
            <w:pPr>
              <w:rPr>
                <w:rFonts w:ascii="Arial" w:hAnsi="Arial" w:cs="Arial"/>
                <w:sz w:val="20"/>
              </w:rPr>
            </w:pPr>
            <w:r w:rsidRPr="000665B0">
              <w:rPr>
                <w:rFonts w:ascii="Arial" w:hAnsi="Arial" w:cs="Arial"/>
                <w:sz w:val="20"/>
              </w:rPr>
              <w:t>BE Number</w:t>
            </w:r>
          </w:p>
        </w:tc>
      </w:tr>
      <w:tr w:rsidR="00AD5151" w:rsidRPr="000665B0" w14:paraId="64C9F2D7" w14:textId="3FA38B34" w:rsidTr="00BC3C5E">
        <w:trPr>
          <w:trHeight w:hRule="exact" w:val="274"/>
          <w:jc w:val="center"/>
        </w:trPr>
        <w:tc>
          <w:tcPr>
            <w:tcW w:w="3870" w:type="dxa"/>
            <w:vAlign w:val="center"/>
          </w:tcPr>
          <w:p w14:paraId="3296F88C" w14:textId="77777777" w:rsidR="00AD5151" w:rsidRPr="000665B0" w:rsidRDefault="00AD5151" w:rsidP="006418D1">
            <w:pPr>
              <w:rPr>
                <w:rFonts w:ascii="Arial" w:hAnsi="Arial" w:cs="Arial"/>
                <w:sz w:val="20"/>
              </w:rPr>
            </w:pPr>
            <w:r w:rsidRPr="000665B0">
              <w:rPr>
                <w:rFonts w:ascii="Arial" w:hAnsi="Arial" w:cs="Arial"/>
                <w:sz w:val="20"/>
              </w:rPr>
              <w:t>OSuffix</w:t>
            </w:r>
          </w:p>
        </w:tc>
      </w:tr>
      <w:tr w:rsidR="00AD5151" w:rsidRPr="000665B0" w14:paraId="773A7773" w14:textId="69F6A666" w:rsidTr="00BC3C5E">
        <w:trPr>
          <w:trHeight w:hRule="exact" w:val="274"/>
          <w:jc w:val="center"/>
        </w:trPr>
        <w:tc>
          <w:tcPr>
            <w:tcW w:w="3870" w:type="dxa"/>
            <w:vAlign w:val="center"/>
          </w:tcPr>
          <w:p w14:paraId="32761618" w14:textId="77777777" w:rsidR="00AD5151" w:rsidRPr="000665B0" w:rsidRDefault="00AD5151" w:rsidP="006418D1">
            <w:pPr>
              <w:rPr>
                <w:rFonts w:ascii="Arial" w:hAnsi="Arial" w:cs="Arial"/>
                <w:sz w:val="20"/>
              </w:rPr>
            </w:pPr>
            <w:r w:rsidRPr="000665B0">
              <w:rPr>
                <w:rFonts w:ascii="Arial" w:hAnsi="Arial" w:cs="Arial"/>
                <w:sz w:val="20"/>
              </w:rPr>
              <w:t>Aimpoint ID</w:t>
            </w:r>
          </w:p>
        </w:tc>
      </w:tr>
      <w:tr w:rsidR="00AD5151" w:rsidRPr="000665B0" w14:paraId="7ECF8E3D" w14:textId="4AFF6F54" w:rsidTr="00BC3C5E">
        <w:trPr>
          <w:trHeight w:hRule="exact" w:val="274"/>
          <w:jc w:val="center"/>
        </w:trPr>
        <w:tc>
          <w:tcPr>
            <w:tcW w:w="3870" w:type="dxa"/>
            <w:vAlign w:val="center"/>
          </w:tcPr>
          <w:p w14:paraId="190563BA" w14:textId="0E8DBEBA" w:rsidR="00AD5151" w:rsidRPr="000665B0" w:rsidRDefault="00E75AC3" w:rsidP="006418D1">
            <w:pPr>
              <w:rPr>
                <w:rFonts w:ascii="Arial" w:hAnsi="Arial" w:cs="Arial"/>
                <w:sz w:val="20"/>
              </w:rPr>
            </w:pPr>
            <w:r>
              <w:rPr>
                <w:rFonts w:ascii="Arial" w:hAnsi="Arial" w:cs="Arial"/>
                <w:sz w:val="20"/>
              </w:rPr>
              <w:t>TAWS</w:t>
            </w:r>
            <w:r w:rsidR="00816181">
              <w:rPr>
                <w:rFonts w:ascii="Arial" w:hAnsi="Arial" w:cs="Arial"/>
                <w:sz w:val="20"/>
              </w:rPr>
              <w:t xml:space="preserve"> </w:t>
            </w:r>
            <w:r w:rsidR="00AD5151" w:rsidRPr="000665B0">
              <w:rPr>
                <w:rFonts w:ascii="Arial" w:hAnsi="Arial" w:cs="Arial"/>
                <w:sz w:val="20"/>
              </w:rPr>
              <w:t>ID</w:t>
            </w:r>
          </w:p>
        </w:tc>
      </w:tr>
      <w:tr w:rsidR="00AD5151" w:rsidRPr="000665B0" w14:paraId="7A0DF652" w14:textId="04C3B15A" w:rsidTr="00BC3C5E">
        <w:trPr>
          <w:trHeight w:hRule="exact" w:val="274"/>
          <w:jc w:val="center"/>
        </w:trPr>
        <w:tc>
          <w:tcPr>
            <w:tcW w:w="3870" w:type="dxa"/>
            <w:vAlign w:val="center"/>
          </w:tcPr>
          <w:p w14:paraId="7B90B8C9" w14:textId="77777777" w:rsidR="00AD5151" w:rsidRPr="000665B0" w:rsidRDefault="00AD5151" w:rsidP="006418D1">
            <w:pPr>
              <w:rPr>
                <w:rFonts w:ascii="Arial" w:hAnsi="Arial" w:cs="Arial"/>
                <w:sz w:val="20"/>
              </w:rPr>
            </w:pPr>
            <w:r w:rsidRPr="000665B0">
              <w:rPr>
                <w:rFonts w:ascii="Arial" w:hAnsi="Arial" w:cs="Arial"/>
                <w:sz w:val="20"/>
              </w:rPr>
              <w:t>JDPI ID</w:t>
            </w:r>
          </w:p>
        </w:tc>
      </w:tr>
      <w:tr w:rsidR="00AD5151" w:rsidRPr="000665B0" w14:paraId="5F8DA6E2" w14:textId="1D770DBF" w:rsidTr="00BC3C5E">
        <w:trPr>
          <w:trHeight w:hRule="exact" w:val="274"/>
          <w:jc w:val="center"/>
        </w:trPr>
        <w:tc>
          <w:tcPr>
            <w:tcW w:w="3870" w:type="dxa"/>
            <w:vAlign w:val="center"/>
          </w:tcPr>
          <w:p w14:paraId="04AF9902" w14:textId="51251CB4" w:rsidR="00AD5151" w:rsidRPr="000665B0" w:rsidRDefault="00684095" w:rsidP="006418D1">
            <w:pPr>
              <w:rPr>
                <w:rFonts w:ascii="Arial" w:hAnsi="Arial" w:cs="Arial"/>
                <w:sz w:val="20"/>
              </w:rPr>
            </w:pPr>
            <w:r w:rsidRPr="000665B0">
              <w:rPr>
                <w:rFonts w:ascii="Arial" w:hAnsi="Arial" w:cs="Arial"/>
                <w:sz w:val="20"/>
              </w:rPr>
              <w:t>Range Error Probable (</w:t>
            </w:r>
            <w:r w:rsidR="00AD5151" w:rsidRPr="000665B0">
              <w:rPr>
                <w:rFonts w:ascii="Arial" w:hAnsi="Arial" w:cs="Arial"/>
                <w:sz w:val="20"/>
              </w:rPr>
              <w:t>REP</w:t>
            </w:r>
            <w:r w:rsidRPr="000665B0">
              <w:rPr>
                <w:rFonts w:ascii="Arial" w:hAnsi="Arial" w:cs="Arial"/>
                <w:sz w:val="20"/>
              </w:rPr>
              <w:t>)</w:t>
            </w:r>
          </w:p>
        </w:tc>
      </w:tr>
      <w:tr w:rsidR="00AD5151" w:rsidRPr="000665B0" w14:paraId="61DBB4E6" w14:textId="54E4F52A" w:rsidTr="00BC3C5E">
        <w:trPr>
          <w:trHeight w:hRule="exact" w:val="274"/>
          <w:jc w:val="center"/>
        </w:trPr>
        <w:tc>
          <w:tcPr>
            <w:tcW w:w="3870" w:type="dxa"/>
            <w:vAlign w:val="center"/>
          </w:tcPr>
          <w:p w14:paraId="58481F0A" w14:textId="6E550BF2" w:rsidR="00AD5151" w:rsidRPr="000665B0" w:rsidRDefault="00684095" w:rsidP="006418D1">
            <w:pPr>
              <w:rPr>
                <w:rFonts w:ascii="Arial" w:hAnsi="Arial" w:cs="Arial"/>
                <w:sz w:val="20"/>
              </w:rPr>
            </w:pPr>
            <w:r w:rsidRPr="000665B0">
              <w:rPr>
                <w:rFonts w:ascii="Arial" w:hAnsi="Arial" w:cs="Arial"/>
                <w:sz w:val="20"/>
              </w:rPr>
              <w:t>Deflection Error Probable (</w:t>
            </w:r>
            <w:r w:rsidR="00AD5151" w:rsidRPr="000665B0">
              <w:rPr>
                <w:rFonts w:ascii="Arial" w:hAnsi="Arial" w:cs="Arial"/>
                <w:sz w:val="20"/>
              </w:rPr>
              <w:t>DEP</w:t>
            </w:r>
            <w:r w:rsidRPr="000665B0">
              <w:rPr>
                <w:rFonts w:ascii="Arial" w:hAnsi="Arial" w:cs="Arial"/>
                <w:sz w:val="20"/>
              </w:rPr>
              <w:t>)</w:t>
            </w:r>
          </w:p>
        </w:tc>
      </w:tr>
      <w:tr w:rsidR="00684095" w:rsidRPr="000665B0" w14:paraId="14077751" w14:textId="77777777" w:rsidTr="00BC3C5E">
        <w:trPr>
          <w:trHeight w:hRule="exact" w:val="274"/>
          <w:jc w:val="center"/>
        </w:trPr>
        <w:tc>
          <w:tcPr>
            <w:tcW w:w="3870" w:type="dxa"/>
            <w:vAlign w:val="center"/>
          </w:tcPr>
          <w:p w14:paraId="27A8DBDD" w14:textId="591409AA" w:rsidR="00684095" w:rsidRPr="000665B0" w:rsidRDefault="00684095" w:rsidP="006418D1">
            <w:pPr>
              <w:rPr>
                <w:rFonts w:ascii="Arial" w:hAnsi="Arial" w:cs="Arial"/>
                <w:sz w:val="20"/>
              </w:rPr>
            </w:pPr>
            <w:r w:rsidRPr="000665B0">
              <w:rPr>
                <w:rFonts w:ascii="Arial" w:hAnsi="Arial" w:cs="Arial"/>
                <w:sz w:val="20"/>
              </w:rPr>
              <w:t>WDCEP (50%)</w:t>
            </w:r>
          </w:p>
        </w:tc>
      </w:tr>
      <w:tr w:rsidR="00684095" w:rsidRPr="000665B0" w14:paraId="01B2FAEE" w14:textId="77777777" w:rsidTr="00BC3C5E">
        <w:trPr>
          <w:trHeight w:hRule="exact" w:val="274"/>
          <w:jc w:val="center"/>
        </w:trPr>
        <w:tc>
          <w:tcPr>
            <w:tcW w:w="3870" w:type="dxa"/>
            <w:vAlign w:val="center"/>
          </w:tcPr>
          <w:p w14:paraId="56BF3DCE" w14:textId="630F7408" w:rsidR="00684095" w:rsidRPr="000665B0" w:rsidRDefault="00684095" w:rsidP="006418D1">
            <w:pPr>
              <w:rPr>
                <w:rFonts w:ascii="Arial" w:hAnsi="Arial" w:cs="Arial"/>
                <w:sz w:val="20"/>
              </w:rPr>
            </w:pPr>
            <w:r w:rsidRPr="000665B0">
              <w:rPr>
                <w:rFonts w:ascii="Arial" w:hAnsi="Arial" w:cs="Arial"/>
                <w:sz w:val="20"/>
              </w:rPr>
              <w:t>WDCEP (90%)</w:t>
            </w:r>
          </w:p>
        </w:tc>
      </w:tr>
      <w:tr w:rsidR="00684095" w:rsidRPr="000665B0" w14:paraId="116632BC" w14:textId="77777777" w:rsidTr="00BC3C5E">
        <w:trPr>
          <w:trHeight w:hRule="exact" w:val="274"/>
          <w:jc w:val="center"/>
        </w:trPr>
        <w:tc>
          <w:tcPr>
            <w:tcW w:w="3870" w:type="dxa"/>
            <w:vAlign w:val="center"/>
          </w:tcPr>
          <w:p w14:paraId="4A394057" w14:textId="41840C94" w:rsidR="00684095" w:rsidRPr="000665B0" w:rsidRDefault="00684095" w:rsidP="006418D1">
            <w:pPr>
              <w:rPr>
                <w:rFonts w:ascii="Arial" w:hAnsi="Arial" w:cs="Arial"/>
                <w:sz w:val="20"/>
              </w:rPr>
            </w:pPr>
            <w:r w:rsidRPr="000665B0">
              <w:rPr>
                <w:rFonts w:ascii="Arial" w:hAnsi="Arial" w:cs="Arial"/>
                <w:sz w:val="20"/>
              </w:rPr>
              <w:t>Terminal Velocity (When Applicable)</w:t>
            </w:r>
          </w:p>
        </w:tc>
      </w:tr>
      <w:tr w:rsidR="00684095" w:rsidRPr="000665B0" w14:paraId="142FE063" w14:textId="77777777" w:rsidTr="00BC3C5E">
        <w:trPr>
          <w:trHeight w:hRule="exact" w:val="274"/>
          <w:jc w:val="center"/>
        </w:trPr>
        <w:tc>
          <w:tcPr>
            <w:tcW w:w="3870" w:type="dxa"/>
            <w:vAlign w:val="center"/>
          </w:tcPr>
          <w:p w14:paraId="37174E9E" w14:textId="0D71EE4D" w:rsidR="00684095" w:rsidRPr="000665B0" w:rsidRDefault="00684095" w:rsidP="006418D1">
            <w:pPr>
              <w:rPr>
                <w:rFonts w:ascii="Arial" w:hAnsi="Arial" w:cs="Arial"/>
                <w:sz w:val="20"/>
              </w:rPr>
            </w:pPr>
            <w:r w:rsidRPr="000665B0">
              <w:rPr>
                <w:rFonts w:ascii="Arial" w:hAnsi="Arial" w:cs="Arial"/>
                <w:sz w:val="20"/>
              </w:rPr>
              <w:t>Equipment ID</w:t>
            </w:r>
          </w:p>
        </w:tc>
      </w:tr>
      <w:tr w:rsidR="00684095" w:rsidRPr="000665B0" w14:paraId="54405124" w14:textId="77777777" w:rsidTr="00BC3C5E">
        <w:trPr>
          <w:trHeight w:hRule="exact" w:val="274"/>
          <w:jc w:val="center"/>
        </w:trPr>
        <w:tc>
          <w:tcPr>
            <w:tcW w:w="3870" w:type="dxa"/>
            <w:vAlign w:val="center"/>
          </w:tcPr>
          <w:p w14:paraId="0C347A31" w14:textId="05E76CFD" w:rsidR="00684095" w:rsidRPr="000665B0" w:rsidRDefault="00684095" w:rsidP="006418D1">
            <w:pPr>
              <w:rPr>
                <w:rFonts w:ascii="Arial" w:hAnsi="Arial" w:cs="Arial"/>
                <w:sz w:val="20"/>
              </w:rPr>
            </w:pPr>
            <w:r w:rsidRPr="000665B0">
              <w:rPr>
                <w:rFonts w:ascii="Arial" w:hAnsi="Arial" w:cs="Arial"/>
                <w:sz w:val="20"/>
              </w:rPr>
              <w:t>Equipment Site ID</w:t>
            </w:r>
          </w:p>
        </w:tc>
      </w:tr>
      <w:tr w:rsidR="00333E98" w:rsidRPr="000665B0" w14:paraId="6DA5965A" w14:textId="77777777" w:rsidTr="00BC3C5E">
        <w:trPr>
          <w:trHeight w:hRule="exact" w:val="274"/>
          <w:jc w:val="center"/>
        </w:trPr>
        <w:tc>
          <w:tcPr>
            <w:tcW w:w="3870" w:type="dxa"/>
            <w:vAlign w:val="center"/>
          </w:tcPr>
          <w:p w14:paraId="3E9823E3" w14:textId="50F9E931" w:rsidR="00333E98" w:rsidRPr="000665B0" w:rsidRDefault="00333E98" w:rsidP="006418D1">
            <w:pPr>
              <w:rPr>
                <w:rFonts w:ascii="Arial" w:hAnsi="Arial" w:cs="Arial"/>
                <w:sz w:val="20"/>
              </w:rPr>
            </w:pPr>
            <w:r w:rsidRPr="000665B0">
              <w:rPr>
                <w:rFonts w:ascii="Arial" w:hAnsi="Arial" w:cs="Arial"/>
                <w:sz w:val="20"/>
              </w:rPr>
              <w:t>Tactical Target Number (TTN)</w:t>
            </w:r>
          </w:p>
        </w:tc>
      </w:tr>
      <w:tr w:rsidR="00A2768F" w:rsidRPr="000665B0" w14:paraId="0232A4BC" w14:textId="77777777" w:rsidTr="00BC3C5E">
        <w:trPr>
          <w:trHeight w:hRule="exact" w:val="274"/>
          <w:jc w:val="center"/>
        </w:trPr>
        <w:tc>
          <w:tcPr>
            <w:tcW w:w="3870" w:type="dxa"/>
            <w:shd w:val="clear" w:color="auto" w:fill="BFBFBF" w:themeFill="background1" w:themeFillShade="BF"/>
            <w:vAlign w:val="center"/>
          </w:tcPr>
          <w:p w14:paraId="5DE6957D" w14:textId="426F5211" w:rsidR="00684095" w:rsidRPr="000665B0" w:rsidRDefault="00684095" w:rsidP="006418D1">
            <w:pPr>
              <w:jc w:val="center"/>
              <w:rPr>
                <w:rFonts w:ascii="Arial" w:hAnsi="Arial" w:cs="Arial"/>
                <w:b/>
                <w:sz w:val="22"/>
                <w:szCs w:val="22"/>
              </w:rPr>
            </w:pPr>
            <w:r w:rsidRPr="000665B0">
              <w:rPr>
                <w:rFonts w:ascii="Arial" w:hAnsi="Arial" w:cs="Arial"/>
                <w:b/>
                <w:sz w:val="22"/>
                <w:szCs w:val="22"/>
              </w:rPr>
              <w:t>Other Information</w:t>
            </w:r>
          </w:p>
        </w:tc>
      </w:tr>
      <w:tr w:rsidR="00AD5151" w:rsidRPr="000665B0" w14:paraId="373EDE90" w14:textId="4502D4ED" w:rsidTr="00BC3C5E">
        <w:trPr>
          <w:trHeight w:hRule="exact" w:val="274"/>
          <w:jc w:val="center"/>
        </w:trPr>
        <w:tc>
          <w:tcPr>
            <w:tcW w:w="3870" w:type="dxa"/>
            <w:vAlign w:val="center"/>
          </w:tcPr>
          <w:p w14:paraId="2467A558" w14:textId="147F219A" w:rsidR="00AD5151" w:rsidRPr="000665B0" w:rsidRDefault="00AD5151" w:rsidP="006418D1">
            <w:pPr>
              <w:rPr>
                <w:rFonts w:ascii="Arial" w:hAnsi="Arial" w:cs="Arial"/>
                <w:sz w:val="20"/>
              </w:rPr>
            </w:pPr>
            <w:r w:rsidRPr="000665B0">
              <w:rPr>
                <w:rFonts w:ascii="Arial" w:hAnsi="Arial" w:cs="Arial"/>
                <w:sz w:val="20"/>
              </w:rPr>
              <w:t>Attack Plan ID</w:t>
            </w:r>
            <w:r w:rsidR="00684095" w:rsidRPr="000665B0">
              <w:rPr>
                <w:rFonts w:ascii="Arial" w:hAnsi="Arial" w:cs="Arial"/>
                <w:sz w:val="20"/>
              </w:rPr>
              <w:t xml:space="preserve"> Details (When Applicable)</w:t>
            </w:r>
          </w:p>
        </w:tc>
      </w:tr>
      <w:tr w:rsidR="00AD5151" w:rsidRPr="000665B0" w14:paraId="5BF0842F" w14:textId="1A50113E" w:rsidTr="00BC3C5E">
        <w:trPr>
          <w:trHeight w:hRule="exact" w:val="274"/>
          <w:jc w:val="center"/>
        </w:trPr>
        <w:tc>
          <w:tcPr>
            <w:tcW w:w="3870" w:type="dxa"/>
            <w:vAlign w:val="center"/>
          </w:tcPr>
          <w:p w14:paraId="062BDE01" w14:textId="3134429C" w:rsidR="00AD5151" w:rsidRPr="000665B0" w:rsidRDefault="00684095" w:rsidP="006418D1">
            <w:pPr>
              <w:rPr>
                <w:rFonts w:ascii="Arial" w:hAnsi="Arial" w:cs="Arial"/>
                <w:sz w:val="20"/>
              </w:rPr>
            </w:pPr>
            <w:r w:rsidRPr="000665B0">
              <w:rPr>
                <w:rFonts w:ascii="Arial" w:hAnsi="Arial" w:cs="Arial"/>
                <w:sz w:val="20"/>
              </w:rPr>
              <w:t>Tail Numbers (When Applicable)</w:t>
            </w:r>
          </w:p>
        </w:tc>
      </w:tr>
    </w:tbl>
    <w:p w14:paraId="6B2F6C57" w14:textId="6D966D4A" w:rsidR="00FD5212" w:rsidRPr="000665B0" w:rsidRDefault="00882F56" w:rsidP="009570CA">
      <w:pPr>
        <w:spacing w:before="120"/>
        <w:rPr>
          <w:snapToGrid w:val="0"/>
        </w:rPr>
      </w:pPr>
      <w:r w:rsidRPr="000665B0">
        <w:rPr>
          <w:snapToGrid w:val="0"/>
        </w:rPr>
        <w:t xml:space="preserve">All missions added to MDS are listed in the Missions Tool. However, only </w:t>
      </w:r>
      <w:r w:rsidRPr="000665B0">
        <w:t>C</w:t>
      </w:r>
      <w:r w:rsidRPr="000665B0">
        <w:rPr>
          <w:szCs w:val="24"/>
        </w:rPr>
        <w:t>2</w:t>
      </w:r>
      <w:r w:rsidRPr="000665B0">
        <w:rPr>
          <w:snapToGrid w:val="0"/>
          <w:vertAlign w:val="superscript"/>
        </w:rPr>
        <w:t xml:space="preserve"> </w:t>
      </w:r>
      <w:r w:rsidRPr="000665B0">
        <w:rPr>
          <w:snapToGrid w:val="0"/>
        </w:rPr>
        <w:t>data for a mission can be displayed textually and geographically, edited with copy and paste, activated or deactivated, and printed.</w:t>
      </w:r>
    </w:p>
    <w:p w14:paraId="0F917207" w14:textId="4EFCCADD" w:rsidR="002866EB" w:rsidRPr="000665B0" w:rsidRDefault="000D7271" w:rsidP="009570CA">
      <w:pPr>
        <w:rPr>
          <w:snapToGrid w:val="0"/>
        </w:rPr>
      </w:pPr>
      <w:r w:rsidRPr="000665B0">
        <w:rPr>
          <w:snapToGrid w:val="0"/>
        </w:rPr>
        <w:t xml:space="preserve">The TPS Export File (TEF) is a proprietary file format that provides mission planning information that is not available in the mission itself. The mission information is compiled and exported in TEF format so that it may be used by another TPS residing in another domain or site. The TEF enables a TPS that did not originally plan the mission to copy the mission (in order to create a new mission from the existing mission), or to perform a retarget of that mission. </w:t>
      </w:r>
    </w:p>
    <w:p w14:paraId="3963F15B" w14:textId="384F3551" w:rsidR="001B44B2" w:rsidRDefault="000D7271" w:rsidP="009570CA">
      <w:pPr>
        <w:pStyle w:val="Para1"/>
        <w:spacing w:before="120"/>
      </w:pPr>
      <w:r w:rsidRPr="000665B0">
        <w:rPr>
          <w:snapToGrid w:val="0"/>
        </w:rPr>
        <w:lastRenderedPageBreak/>
        <w:t>The TEF</w:t>
      </w:r>
      <w:r w:rsidR="00BA1906" w:rsidRPr="000665B0">
        <w:rPr>
          <w:snapToGrid w:val="0"/>
        </w:rPr>
        <w:t xml:space="preserve"> </w:t>
      </w:r>
      <w:r w:rsidR="003B7B98" w:rsidRPr="000665B0">
        <w:rPr>
          <w:snapToGrid w:val="0"/>
        </w:rPr>
        <w:t>format</w:t>
      </w:r>
      <w:r w:rsidR="00EB150F" w:rsidRPr="000665B0">
        <w:rPr>
          <w:snapToGrid w:val="0"/>
        </w:rPr>
        <w:t xml:space="preserve"> </w:t>
      </w:r>
      <w:r w:rsidRPr="000665B0">
        <w:rPr>
          <w:snapToGrid w:val="0"/>
        </w:rPr>
        <w:t xml:space="preserve">typically changes </w:t>
      </w:r>
      <w:r w:rsidR="00EB150F" w:rsidRPr="000665B0">
        <w:rPr>
          <w:snapToGrid w:val="0"/>
        </w:rPr>
        <w:t>to match</w:t>
      </w:r>
      <w:r w:rsidRPr="000665B0">
        <w:rPr>
          <w:snapToGrid w:val="0"/>
        </w:rPr>
        <w:t xml:space="preserve"> each major TMPC version. </w:t>
      </w:r>
      <w:r w:rsidR="002866EB" w:rsidRPr="000665B0">
        <w:rPr>
          <w:snapToGrid w:val="0"/>
        </w:rPr>
        <w:t>Once a mission is approved within TPS, a TEF</w:t>
      </w:r>
      <w:r w:rsidR="00E91CA2" w:rsidRPr="000665B0">
        <w:rPr>
          <w:snapToGrid w:val="0"/>
        </w:rPr>
        <w:t xml:space="preserve"> that </w:t>
      </w:r>
      <w:r w:rsidR="003B7B98" w:rsidRPr="000665B0">
        <w:rPr>
          <w:snapToGrid w:val="0"/>
        </w:rPr>
        <w:t xml:space="preserve">is formatted to </w:t>
      </w:r>
      <w:r w:rsidR="00E91CA2" w:rsidRPr="000665B0">
        <w:rPr>
          <w:snapToGrid w:val="0"/>
        </w:rPr>
        <w:t xml:space="preserve">support the current </w:t>
      </w:r>
      <w:r w:rsidR="004F19F2" w:rsidRPr="000665B0">
        <w:rPr>
          <w:snapToGrid w:val="0"/>
        </w:rPr>
        <w:t xml:space="preserve">TMPC </w:t>
      </w:r>
      <w:r w:rsidR="00E91CA2" w:rsidRPr="000665B0">
        <w:rPr>
          <w:snapToGrid w:val="0"/>
        </w:rPr>
        <w:t>version</w:t>
      </w:r>
      <w:r w:rsidR="002866EB" w:rsidRPr="000665B0">
        <w:rPr>
          <w:snapToGrid w:val="0"/>
        </w:rPr>
        <w:t xml:space="preserve"> is automatically created. </w:t>
      </w:r>
      <w:r w:rsidR="00AC41AB">
        <w:rPr>
          <w:szCs w:val="24"/>
        </w:rPr>
        <w:t xml:space="preserve">Additionally, TPS can create </w:t>
      </w:r>
      <w:r w:rsidR="00AC41AB">
        <w:rPr>
          <w:b/>
          <w:bCs/>
          <w:szCs w:val="24"/>
        </w:rPr>
        <w:t xml:space="preserve">up to three </w:t>
      </w:r>
      <w:r w:rsidR="00AC41AB">
        <w:rPr>
          <w:szCs w:val="24"/>
        </w:rPr>
        <w:t>additional TEF format</w:t>
      </w:r>
      <w:r w:rsidR="00034278">
        <w:rPr>
          <w:szCs w:val="24"/>
        </w:rPr>
        <w:t>s</w:t>
      </w:r>
      <w:r w:rsidR="00AC41AB">
        <w:rPr>
          <w:szCs w:val="24"/>
        </w:rPr>
        <w:t xml:space="preserve"> to support the corresponding TMPC versions, for a total of up to </w:t>
      </w:r>
      <w:r w:rsidR="00AC41AB">
        <w:rPr>
          <w:b/>
          <w:bCs/>
          <w:szCs w:val="24"/>
        </w:rPr>
        <w:t xml:space="preserve">four </w:t>
      </w:r>
      <w:r w:rsidR="00AC41AB">
        <w:rPr>
          <w:szCs w:val="24"/>
        </w:rPr>
        <w:t>TEF formats for each mission. The TEF formats support interoperability with other sites/domains with legacy version</w:t>
      </w:r>
      <w:r w:rsidR="00034278">
        <w:rPr>
          <w:szCs w:val="24"/>
        </w:rPr>
        <w:t>s</w:t>
      </w:r>
      <w:r w:rsidR="00AC41AB">
        <w:rPr>
          <w:szCs w:val="24"/>
        </w:rPr>
        <w:t xml:space="preserve"> of TMPC. The Mission List View includes </w:t>
      </w:r>
      <w:r w:rsidR="00AC41AB">
        <w:rPr>
          <w:b/>
          <w:bCs/>
          <w:szCs w:val="24"/>
        </w:rPr>
        <w:t xml:space="preserve">four </w:t>
      </w:r>
      <w:r w:rsidR="00AC41AB">
        <w:rPr>
          <w:szCs w:val="24"/>
        </w:rPr>
        <w:t>columns that indicate the existing TEF format(s) for each mission by the presence of an “x” in the appropriate TEF format column (e.g.</w:t>
      </w:r>
      <w:r w:rsidR="00034278">
        <w:rPr>
          <w:szCs w:val="24"/>
        </w:rPr>
        <w:t>,</w:t>
      </w:r>
      <w:r w:rsidR="00AC41AB">
        <w:rPr>
          <w:szCs w:val="24"/>
        </w:rPr>
        <w:t xml:space="preserve"> </w:t>
      </w:r>
      <w:r w:rsidR="00AC41AB">
        <w:rPr>
          <w:b/>
          <w:bCs/>
          <w:szCs w:val="24"/>
        </w:rPr>
        <w:t xml:space="preserve">TMPC </w:t>
      </w:r>
      <w:r w:rsidR="00194841">
        <w:rPr>
          <w:b/>
          <w:bCs/>
          <w:szCs w:val="24"/>
        </w:rPr>
        <w:t>8.0.0</w:t>
      </w:r>
      <w:r w:rsidR="00AC41AB">
        <w:rPr>
          <w:b/>
          <w:bCs/>
          <w:szCs w:val="24"/>
        </w:rPr>
        <w:t xml:space="preserve"> TEF</w:t>
      </w:r>
      <w:r w:rsidR="00AC41AB">
        <w:rPr>
          <w:szCs w:val="24"/>
        </w:rPr>
        <w:t>).</w:t>
      </w:r>
      <w:r w:rsidR="002866EB" w:rsidRPr="000665B0">
        <w:rPr>
          <w:snapToGrid w:val="0"/>
        </w:rPr>
        <w:t xml:space="preserve"> </w:t>
      </w:r>
      <w:r w:rsidR="0073266D" w:rsidRPr="000665B0">
        <w:rPr>
          <w:snapToGrid w:val="0"/>
        </w:rPr>
        <w:t>The columns are displayed in all mission list views throughout MDS (e.g.</w:t>
      </w:r>
      <w:r w:rsidR="00034278">
        <w:rPr>
          <w:snapToGrid w:val="0"/>
        </w:rPr>
        <w:t>,</w:t>
      </w:r>
      <w:r w:rsidR="0073266D" w:rsidRPr="000665B0">
        <w:rPr>
          <w:snapToGrid w:val="0"/>
        </w:rPr>
        <w:t xml:space="preserve"> strike option, etc.).</w:t>
      </w:r>
      <w:r w:rsidR="0010714C" w:rsidRPr="000665B0">
        <w:rPr>
          <w:snapToGrid w:val="0"/>
        </w:rPr>
        <w:t xml:space="preserve"> If the TEF </w:t>
      </w:r>
      <w:r w:rsidR="00E824AD" w:rsidRPr="000665B0">
        <w:rPr>
          <w:snapToGrid w:val="0"/>
        </w:rPr>
        <w:t xml:space="preserve">format </w:t>
      </w:r>
      <w:r w:rsidR="0010714C" w:rsidRPr="000665B0">
        <w:rPr>
          <w:snapToGrid w:val="0"/>
        </w:rPr>
        <w:t>column heads do not display correctly (e.g.</w:t>
      </w:r>
      <w:r w:rsidR="00034278">
        <w:rPr>
          <w:snapToGrid w:val="0"/>
        </w:rPr>
        <w:t>,</w:t>
      </w:r>
      <w:r w:rsidR="0010714C" w:rsidRPr="000665B0">
        <w:rPr>
          <w:snapToGrid w:val="0"/>
        </w:rPr>
        <w:t xml:space="preserve"> </w:t>
      </w:r>
      <w:r w:rsidR="0010714C" w:rsidRPr="000665B0">
        <w:rPr>
          <w:b/>
          <w:snapToGrid w:val="0"/>
        </w:rPr>
        <w:t>Unknown1</w:t>
      </w:r>
      <w:r w:rsidR="0010714C" w:rsidRPr="000665B0">
        <w:rPr>
          <w:snapToGrid w:val="0"/>
        </w:rPr>
        <w:t>), an error message is generated with instructions to contact a System Administrator.</w:t>
      </w:r>
    </w:p>
    <w:p w14:paraId="56B9953C" w14:textId="7DCC2039" w:rsidR="005D1A26" w:rsidRPr="000665B0" w:rsidRDefault="005D1A26" w:rsidP="009570CA">
      <w:pPr>
        <w:pStyle w:val="Para1"/>
        <w:spacing w:before="120"/>
      </w:pPr>
      <w:r w:rsidRPr="000665B0">
        <w:t>To display the Mission List View:</w:t>
      </w:r>
    </w:p>
    <w:p w14:paraId="289EF411" w14:textId="77777777" w:rsidR="005D1A26" w:rsidRPr="000665B0" w:rsidRDefault="005D1A26" w:rsidP="009570CA">
      <w:pPr>
        <w:pStyle w:val="Number0205"/>
        <w:ind w:left="360" w:firstLine="0"/>
      </w:pPr>
      <w:r w:rsidRPr="000665B0">
        <w:t xml:space="preserve">From the </w:t>
      </w:r>
      <w:r w:rsidRPr="000665B0">
        <w:rPr>
          <w:b/>
          <w:bCs/>
        </w:rPr>
        <w:t>Go</w:t>
      </w:r>
      <w:r w:rsidRPr="000665B0">
        <w:t xml:space="preserve"> menu select </w:t>
      </w:r>
      <w:r w:rsidRPr="000665B0">
        <w:rPr>
          <w:b/>
          <w:bCs/>
        </w:rPr>
        <w:t>Missions</w:t>
      </w:r>
      <w:r w:rsidRPr="000665B0">
        <w:t>.</w:t>
      </w:r>
    </w:p>
    <w:p w14:paraId="7505FEC6" w14:textId="56A1A28B" w:rsidR="005D1A26" w:rsidRPr="000665B0" w:rsidRDefault="00B204E2" w:rsidP="009570CA">
      <w:pPr>
        <w:pStyle w:val="Number0205"/>
        <w:ind w:left="0" w:firstLine="0"/>
        <w:jc w:val="center"/>
      </w:pPr>
      <w:r w:rsidRPr="000665B0">
        <w:rPr>
          <w:noProof/>
        </w:rPr>
        <w:drawing>
          <wp:inline distT="0" distB="0" distL="0" distR="0" wp14:anchorId="57FD501C" wp14:editId="69DCFB60">
            <wp:extent cx="4983480" cy="1947672"/>
            <wp:effectExtent l="0" t="0" r="0" b="0"/>
            <wp:docPr id="2205" name="Picture 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947672"/>
                    </a:xfrm>
                    <a:prstGeom prst="rect">
                      <a:avLst/>
                    </a:prstGeom>
                  </pic:spPr>
                </pic:pic>
              </a:graphicData>
            </a:graphic>
          </wp:inline>
        </w:drawing>
      </w:r>
    </w:p>
    <w:p w14:paraId="020BE087" w14:textId="0E21749A" w:rsidR="005D1A26" w:rsidRPr="000665B0" w:rsidRDefault="005D1A26" w:rsidP="009570CA">
      <w:pPr>
        <w:pStyle w:val="Heading3"/>
      </w:pPr>
      <w:bookmarkStart w:id="1210" w:name="_5.4.1__Create_a_New_Mission_(TUM_Mi"/>
      <w:bookmarkStart w:id="1211" w:name="_5.4.2__Display_Mission_Textually"/>
      <w:bookmarkStart w:id="1212" w:name="_5.4.2__Display_Mission_Textually_1"/>
      <w:bookmarkStart w:id="1213" w:name="_5.6.1__Display"/>
      <w:bookmarkStart w:id="1214" w:name="_Display_Mission_Textually"/>
      <w:bookmarkStart w:id="1215" w:name="_Display__Mission"/>
      <w:bookmarkStart w:id="1216" w:name="_Toc71955160"/>
      <w:bookmarkStart w:id="1217" w:name="_Toc96169786"/>
      <w:bookmarkStart w:id="1218" w:name="_Toc96233831"/>
      <w:bookmarkStart w:id="1219" w:name="_Toc112733261"/>
      <w:bookmarkStart w:id="1220" w:name="_Toc289328233"/>
      <w:bookmarkStart w:id="1221" w:name="_Toc312331673"/>
      <w:bookmarkStart w:id="1222" w:name="_Toc214283155"/>
      <w:bookmarkEnd w:id="1210"/>
      <w:bookmarkEnd w:id="1211"/>
      <w:bookmarkEnd w:id="1212"/>
      <w:bookmarkEnd w:id="1213"/>
      <w:bookmarkEnd w:id="1214"/>
      <w:bookmarkEnd w:id="1215"/>
      <w:r w:rsidRPr="000665B0">
        <w:t>Display Mission Textually</w:t>
      </w:r>
      <w:bookmarkEnd w:id="1216"/>
      <w:bookmarkEnd w:id="1217"/>
      <w:bookmarkEnd w:id="1218"/>
      <w:bookmarkEnd w:id="1219"/>
      <w:bookmarkEnd w:id="1220"/>
      <w:bookmarkEnd w:id="1221"/>
      <w:bookmarkEnd w:id="1222"/>
    </w:p>
    <w:p w14:paraId="1CB1526B" w14:textId="5060F412" w:rsidR="005D1A26" w:rsidRPr="000665B0" w:rsidRDefault="00D94036" w:rsidP="00C251F9">
      <w:r w:rsidRPr="000665B0">
        <w:t>This function displays the individual mission details, C</w:t>
      </w:r>
      <w:r w:rsidR="004F7FB0" w:rsidRPr="000665B0">
        <w:rPr>
          <w:szCs w:val="24"/>
        </w:rPr>
        <w:t>2</w:t>
      </w:r>
      <w:r w:rsidRPr="000665B0">
        <w:t xml:space="preserve"> and C2X information</w:t>
      </w:r>
      <w:r w:rsidR="001C231E" w:rsidRPr="000665B0">
        <w:t xml:space="preserve"> (if contained in the mission)</w:t>
      </w:r>
      <w:r w:rsidRPr="000665B0">
        <w:t xml:space="preserve">, by means of data </w:t>
      </w:r>
      <w:r w:rsidR="005D1A26" w:rsidRPr="000665B0">
        <w:t xml:space="preserve">elements. It also provides the capability to </w:t>
      </w:r>
      <w:r w:rsidR="001C231E" w:rsidRPr="000665B0">
        <w:t>filter the data shown (</w:t>
      </w:r>
      <w:hyperlink w:anchor="_Selectively_Display_Mission" w:history="1">
        <w:r w:rsidR="001C231E" w:rsidRPr="000665B0">
          <w:t xml:space="preserve">see </w:t>
        </w:r>
        <w:r w:rsidR="001C231E" w:rsidRPr="000665B0">
          <w:rPr>
            <w:rStyle w:val="Hyperlink"/>
          </w:rPr>
          <w:t>Section 5.</w:t>
        </w:r>
        <w:r w:rsidR="00C526BF" w:rsidRPr="000665B0">
          <w:rPr>
            <w:rStyle w:val="Hyperlink"/>
          </w:rPr>
          <w:t>5</w:t>
        </w:r>
        <w:r w:rsidR="001C231E" w:rsidRPr="000665B0">
          <w:rPr>
            <w:rStyle w:val="Hyperlink"/>
          </w:rPr>
          <w:t>.1.1</w:t>
        </w:r>
      </w:hyperlink>
      <w:r w:rsidR="001C231E" w:rsidRPr="000665B0">
        <w:t xml:space="preserve">) and </w:t>
      </w:r>
      <w:r w:rsidR="005D1A26" w:rsidRPr="000665B0">
        <w:t xml:space="preserve">edit </w:t>
      </w:r>
      <w:r w:rsidR="001C231E" w:rsidRPr="000665B0">
        <w:t xml:space="preserve">some of </w:t>
      </w:r>
      <w:r w:rsidR="005D1A26" w:rsidRPr="000665B0">
        <w:t>the data</w:t>
      </w:r>
      <w:r w:rsidR="001C231E" w:rsidRPr="000665B0">
        <w:t xml:space="preserve"> (see </w:t>
      </w:r>
      <w:hyperlink w:anchor="_Edit_Missions_Prior" w:history="1">
        <w:r w:rsidR="001C231E" w:rsidRPr="000665B0">
          <w:rPr>
            <w:rStyle w:val="Hyperlink"/>
          </w:rPr>
          <w:t>Section 5.</w:t>
        </w:r>
        <w:r w:rsidR="00C526BF" w:rsidRPr="000665B0">
          <w:rPr>
            <w:rStyle w:val="Hyperlink"/>
          </w:rPr>
          <w:t>5</w:t>
        </w:r>
        <w:r w:rsidR="001C231E" w:rsidRPr="000665B0">
          <w:rPr>
            <w:rStyle w:val="Hyperlink"/>
          </w:rPr>
          <w:t>.1.2</w:t>
        </w:r>
      </w:hyperlink>
      <w:r w:rsidR="001C231E" w:rsidRPr="000665B0">
        <w:t>)</w:t>
      </w:r>
      <w:r w:rsidR="005D1A26" w:rsidRPr="000665B0">
        <w:t>.</w:t>
      </w:r>
      <w:r w:rsidR="0030127D" w:rsidRPr="000665B0">
        <w:t xml:space="preserve"> </w:t>
      </w:r>
    </w:p>
    <w:p w14:paraId="59B38F44" w14:textId="7C8A56DC" w:rsidR="0030127D" w:rsidRPr="000665B0" w:rsidRDefault="005D1A26" w:rsidP="009570CA">
      <w:r w:rsidRPr="000665B0">
        <w:t>The operator can choose to textually display multiple missions simultaneously with each mission opening in a separate window.</w:t>
      </w:r>
      <w:r w:rsidR="0030127D" w:rsidRPr="000665B0">
        <w:t xml:space="preserve"> For instructions on how to display the mission textually, see </w:t>
      </w:r>
      <w:hyperlink w:anchor="_5.2.1.2.4__Display_1" w:history="1">
        <w:r w:rsidR="0030127D" w:rsidRPr="000665B0">
          <w:rPr>
            <w:rStyle w:val="Hyperlink"/>
          </w:rPr>
          <w:t>Section 5.2.1.2.4</w:t>
        </w:r>
      </w:hyperlink>
      <w:r w:rsidR="0030127D" w:rsidRPr="000665B0">
        <w:t>.</w:t>
      </w:r>
    </w:p>
    <w:p w14:paraId="588BFD9E" w14:textId="76E12138" w:rsidR="00AF683F" w:rsidRPr="000665B0" w:rsidRDefault="00AF683F" w:rsidP="009570CA">
      <w:r w:rsidRPr="000665B0">
        <w:t>The</w:t>
      </w:r>
      <w:r w:rsidR="006F4862" w:rsidRPr="000665B0">
        <w:t xml:space="preserve"> following </w:t>
      </w:r>
      <w:r w:rsidRPr="000665B0">
        <w:t>missile</w:t>
      </w:r>
      <w:r w:rsidR="006F4862" w:rsidRPr="000665B0">
        <w:t>s</w:t>
      </w:r>
      <w:r w:rsidRPr="000665B0">
        <w:t xml:space="preserve"> for which C</w:t>
      </w:r>
      <w:r w:rsidRPr="000665B0">
        <w:rPr>
          <w:szCs w:val="24"/>
        </w:rPr>
        <w:t>2</w:t>
      </w:r>
      <w:r w:rsidRPr="000665B0">
        <w:t xml:space="preserve"> data can be displayed</w:t>
      </w:r>
      <w:r w:rsidR="00503124" w:rsidRPr="000665B0">
        <w:t xml:space="preserve"> </w:t>
      </w:r>
      <w:r w:rsidR="006F4862" w:rsidRPr="000665B0">
        <w:t xml:space="preserve">are used to </w:t>
      </w:r>
      <w:r w:rsidRPr="000665B0">
        <w:t>support missions:</w:t>
      </w:r>
    </w:p>
    <w:p w14:paraId="0D8D6F0B" w14:textId="20D0FAB8" w:rsidR="005D1A26" w:rsidRPr="000665B0" w:rsidRDefault="005D1A26" w:rsidP="006D5A65">
      <w:pPr>
        <w:pStyle w:val="Heading1"/>
      </w:pPr>
      <w:r w:rsidRPr="000665B0">
        <w:lastRenderedPageBreak/>
        <w:t>109C</w:t>
      </w:r>
      <w:r w:rsidR="00403900" w:rsidRPr="000665B0">
        <w:t xml:space="preserve"> – </w:t>
      </w:r>
      <w:r w:rsidRPr="000665B0">
        <w:t>Conventional missile variant with a unitary warhead</w:t>
      </w:r>
      <w:r w:rsidR="001B44B2">
        <w:t>.</w:t>
      </w:r>
    </w:p>
    <w:p w14:paraId="05E9A7E8" w14:textId="6165531C" w:rsidR="005D1A26" w:rsidRPr="000665B0" w:rsidRDefault="005D1A26" w:rsidP="006D5A65">
      <w:pPr>
        <w:pStyle w:val="Heading1"/>
      </w:pPr>
      <w:r w:rsidRPr="000665B0">
        <w:t>109D</w:t>
      </w:r>
      <w:r w:rsidR="00403900" w:rsidRPr="000665B0">
        <w:t xml:space="preserve"> – </w:t>
      </w:r>
      <w:r w:rsidRPr="000665B0">
        <w:t>Conventional missile variant with a dispensary warhead</w:t>
      </w:r>
      <w:r w:rsidR="001B44B2">
        <w:t>.</w:t>
      </w:r>
    </w:p>
    <w:p w14:paraId="6FDB1784" w14:textId="306C90CB" w:rsidR="005D1A26" w:rsidRDefault="005D1A26" w:rsidP="006D5A65">
      <w:pPr>
        <w:pStyle w:val="Heading1"/>
      </w:pPr>
      <w:r w:rsidRPr="000665B0">
        <w:t>109E</w:t>
      </w:r>
      <w:r w:rsidR="00403900" w:rsidRPr="000665B0">
        <w:t xml:space="preserve"> – </w:t>
      </w:r>
      <w:r w:rsidRPr="000665B0">
        <w:t>Conventional missile variant with a unitary warhead</w:t>
      </w:r>
      <w:r w:rsidR="001B44B2">
        <w:t>.</w:t>
      </w:r>
    </w:p>
    <w:p w14:paraId="43CCDC0C" w14:textId="6997CA64" w:rsidR="004808C6" w:rsidRPr="002B02EB" w:rsidRDefault="004808C6" w:rsidP="006D5A65">
      <w:pPr>
        <w:pStyle w:val="Heading1"/>
      </w:pPr>
      <w:r>
        <w:t>109E ACP</w:t>
      </w:r>
      <w:r w:rsidR="007768AA">
        <w:t xml:space="preserve"> – </w:t>
      </w:r>
      <w:r w:rsidR="007768AA" w:rsidRPr="00C36B36">
        <w:t>Conventional missile variant with unitary warhead</w:t>
      </w:r>
      <w:r w:rsidR="00B70F44" w:rsidRPr="00B70F44">
        <w:t xml:space="preserve"> </w:t>
      </w:r>
      <w:r w:rsidR="00B70F44">
        <w:t>and A</w:t>
      </w:r>
      <w:r w:rsidR="00B70F44" w:rsidRPr="00A97DF3">
        <w:t xml:space="preserve">dvanced </w:t>
      </w:r>
      <w:r w:rsidR="00B70F44">
        <w:t>C</w:t>
      </w:r>
      <w:r w:rsidR="00B70F44" w:rsidRPr="00A97DF3">
        <w:t xml:space="preserve">ommunications </w:t>
      </w:r>
      <w:r w:rsidR="00B70F44">
        <w:t>P</w:t>
      </w:r>
      <w:r w:rsidR="00B70F44" w:rsidRPr="00A97DF3">
        <w:t>ackage (ACP)</w:t>
      </w:r>
      <w:r w:rsidR="001B44B2">
        <w:t>.</w:t>
      </w:r>
    </w:p>
    <w:p w14:paraId="62CC7BDE" w14:textId="6263B1A8" w:rsidR="00403900" w:rsidRDefault="00403900" w:rsidP="006D5A65">
      <w:pPr>
        <w:pStyle w:val="Heading1"/>
      </w:pPr>
      <w:r w:rsidRPr="000665B0">
        <w:t xml:space="preserve">MSTM </w:t>
      </w:r>
      <w:r w:rsidR="006F4862" w:rsidRPr="000665B0">
        <w:t xml:space="preserve">(Maritime Strike Tomahawk Missile) – </w:t>
      </w:r>
      <w:r w:rsidRPr="000665B0">
        <w:t>Modernized R/UGM-109E missile with a seeker package to support maritime missions</w:t>
      </w:r>
      <w:r w:rsidR="001B44B2">
        <w:t>.</w:t>
      </w:r>
    </w:p>
    <w:p w14:paraId="66494CAE" w14:textId="4DC07151" w:rsidR="00B70F44" w:rsidRPr="005E66A2" w:rsidRDefault="001B44B2" w:rsidP="006D5A65">
      <w:pPr>
        <w:pStyle w:val="Heading1"/>
      </w:pPr>
      <w:r>
        <w:t xml:space="preserve">109M – </w:t>
      </w:r>
      <w:r w:rsidRPr="00410EA4">
        <w:t>Conventional missile variant with a Joint Multiple-Effects Warhead System</w:t>
      </w:r>
      <w:r w:rsidR="00B70F44">
        <w:t xml:space="preserve"> (JMEWS</w:t>
      </w:r>
      <w:r w:rsidRPr="00410EA4">
        <w:t>) warhead.</w:t>
      </w:r>
    </w:p>
    <w:p w14:paraId="250FA321" w14:textId="0DA4829D" w:rsidR="00B70F44" w:rsidRPr="0064295B" w:rsidRDefault="00B70F44" w:rsidP="006D5A65">
      <w:pPr>
        <w:pStyle w:val="Heading1"/>
      </w:pPr>
      <w:r>
        <w:t xml:space="preserve">109E ACP2 </w:t>
      </w:r>
      <w:r w:rsidRPr="000665B0">
        <w:t>–</w:t>
      </w:r>
      <w:r>
        <w:t xml:space="preserve"> Conventional missile variant with a unitary warhead and A</w:t>
      </w:r>
      <w:r w:rsidRPr="00A97DF3">
        <w:t xml:space="preserve">dvanced </w:t>
      </w:r>
      <w:r>
        <w:t>C</w:t>
      </w:r>
      <w:r w:rsidRPr="00A97DF3">
        <w:t xml:space="preserve">ommunications </w:t>
      </w:r>
      <w:r>
        <w:t>P</w:t>
      </w:r>
      <w:r w:rsidRPr="00A97DF3">
        <w:t>ackage</w:t>
      </w:r>
      <w:r>
        <w:t xml:space="preserve"> 2</w:t>
      </w:r>
      <w:r w:rsidRPr="00A97DF3">
        <w:t xml:space="preserve"> (ACP</w:t>
      </w:r>
      <w:r>
        <w:t>2</w:t>
      </w:r>
      <w:r w:rsidRPr="00A97DF3">
        <w:t>)</w:t>
      </w:r>
      <w:r>
        <w:t>.</w:t>
      </w:r>
    </w:p>
    <w:p w14:paraId="63F1DC63" w14:textId="6AC8162D" w:rsidR="00B70F44" w:rsidRPr="0064295B" w:rsidRDefault="00B70F44" w:rsidP="006D5A65">
      <w:pPr>
        <w:pStyle w:val="Heading1"/>
      </w:pPr>
      <w:r>
        <w:t xml:space="preserve">MSTM ACP2 </w:t>
      </w:r>
      <w:r w:rsidRPr="000665B0">
        <w:t>–</w:t>
      </w:r>
      <w:r>
        <w:t xml:space="preserve"> </w:t>
      </w:r>
      <w:r w:rsidRPr="000665B0">
        <w:t>Modernized R/UGM-109E missile with</w:t>
      </w:r>
      <w:r>
        <w:t xml:space="preserve"> ACP2 and</w:t>
      </w:r>
      <w:r w:rsidRPr="000665B0">
        <w:t xml:space="preserve"> a seeker package to support maritime missions</w:t>
      </w:r>
      <w:r>
        <w:t>.</w:t>
      </w:r>
    </w:p>
    <w:p w14:paraId="63A5C9EF" w14:textId="089FE647" w:rsidR="001B44B2" w:rsidRPr="000665B0" w:rsidRDefault="00B70F44" w:rsidP="006D5A65">
      <w:pPr>
        <w:pStyle w:val="Heading1"/>
      </w:pPr>
      <w:r>
        <w:t xml:space="preserve">109M ACP2 </w:t>
      </w:r>
      <w:r w:rsidRPr="000665B0">
        <w:t>–</w:t>
      </w:r>
      <w:r>
        <w:t xml:space="preserve"> </w:t>
      </w:r>
      <w:r w:rsidRPr="00410EA4">
        <w:t>Conventional missile variant with a JMEWS</w:t>
      </w:r>
      <w:r>
        <w:t xml:space="preserve"> </w:t>
      </w:r>
      <w:r w:rsidRPr="00410EA4">
        <w:t>warhead</w:t>
      </w:r>
      <w:r>
        <w:t xml:space="preserve"> and </w:t>
      </w:r>
      <w:r w:rsidRPr="00A97DF3">
        <w:t>ACP</w:t>
      </w:r>
      <w:r>
        <w:t>2.</w:t>
      </w:r>
    </w:p>
    <w:p w14:paraId="4322118C" w14:textId="77777777" w:rsidR="00D24909" w:rsidRPr="000665B0" w:rsidRDefault="00D24909"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bookmarkStart w:id="1223" w:name="_Toc71955161"/>
      <w:bookmarkStart w:id="1224" w:name="_Toc96169787"/>
      <w:bookmarkStart w:id="1225" w:name="_Toc96233832"/>
      <w:bookmarkStart w:id="1226" w:name="_Toc112733262"/>
      <w:bookmarkStart w:id="1227" w:name="_Toc289328234"/>
      <w:r w:rsidRPr="000665B0">
        <w:rPr>
          <w:b/>
          <w:szCs w:val="24"/>
        </w:rPr>
        <w:t>Note:</w:t>
      </w:r>
    </w:p>
    <w:p w14:paraId="0D080599" w14:textId="2D7FD79D" w:rsidR="00DF29D7" w:rsidRPr="000665B0" w:rsidRDefault="007867FE" w:rsidP="009570CA">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MDS no longer uses </w:t>
      </w:r>
      <w:r w:rsidR="00170F53" w:rsidRPr="000665B0">
        <w:rPr>
          <w:b/>
        </w:rPr>
        <w:t>DMPI but</w:t>
      </w:r>
      <w:r w:rsidRPr="000665B0">
        <w:rPr>
          <w:b/>
        </w:rPr>
        <w:t xml:space="preserve"> uses JDPI operationally. </w:t>
      </w:r>
      <w:r w:rsidR="00DF29D7" w:rsidRPr="000665B0">
        <w:rPr>
          <w:b/>
        </w:rPr>
        <w:t>When a</w:t>
      </w:r>
      <w:r w:rsidRPr="000665B0">
        <w:rPr>
          <w:b/>
        </w:rPr>
        <w:t xml:space="preserve"> </w:t>
      </w:r>
      <w:r w:rsidR="00E75AC3">
        <w:rPr>
          <w:b/>
        </w:rPr>
        <w:t>TAWS</w:t>
      </w:r>
      <w:r w:rsidR="00FD0E68" w:rsidRPr="000665B0">
        <w:rPr>
          <w:b/>
        </w:rPr>
        <w:t xml:space="preserve"> </w:t>
      </w:r>
      <w:r w:rsidRPr="000665B0">
        <w:rPr>
          <w:b/>
        </w:rPr>
        <w:t xml:space="preserve">is </w:t>
      </w:r>
      <w:r w:rsidR="00FD0E68" w:rsidRPr="000665B0">
        <w:rPr>
          <w:b/>
        </w:rPr>
        <w:t xml:space="preserve">sent </w:t>
      </w:r>
      <w:r w:rsidRPr="000665B0">
        <w:rPr>
          <w:b/>
        </w:rPr>
        <w:t>from a legacy (pre-6.</w:t>
      </w:r>
      <w:r w:rsidR="00FD0E68" w:rsidRPr="000665B0">
        <w:rPr>
          <w:b/>
        </w:rPr>
        <w:t>X</w:t>
      </w:r>
      <w:r w:rsidRPr="000665B0">
        <w:rPr>
          <w:b/>
        </w:rPr>
        <w:t xml:space="preserve">) </w:t>
      </w:r>
      <w:r w:rsidR="00FD0E68" w:rsidRPr="000665B0">
        <w:rPr>
          <w:b/>
        </w:rPr>
        <w:t>node</w:t>
      </w:r>
      <w:r w:rsidRPr="000665B0">
        <w:rPr>
          <w:b/>
        </w:rPr>
        <w:t xml:space="preserve">, the DMPI field </w:t>
      </w:r>
      <w:r w:rsidR="00FD0E68" w:rsidRPr="000665B0">
        <w:rPr>
          <w:b/>
        </w:rPr>
        <w:t>is</w:t>
      </w:r>
      <w:r w:rsidRPr="000665B0">
        <w:rPr>
          <w:b/>
        </w:rPr>
        <w:t xml:space="preserve"> converted by TED and displayed as JDPI, provided that the DMPI is 6 alphanumeric characters. If the DMPI is </w:t>
      </w:r>
      <w:r w:rsidR="00647678" w:rsidRPr="000665B0">
        <w:rPr>
          <w:b/>
        </w:rPr>
        <w:t xml:space="preserve">not 6 </w:t>
      </w:r>
      <w:r w:rsidRPr="000665B0">
        <w:rPr>
          <w:b/>
        </w:rPr>
        <w:t xml:space="preserve">characters, the DMPI </w:t>
      </w:r>
      <w:r w:rsidR="00FD0E68" w:rsidRPr="000665B0">
        <w:rPr>
          <w:b/>
        </w:rPr>
        <w:t>is</w:t>
      </w:r>
      <w:r w:rsidRPr="000665B0">
        <w:rPr>
          <w:b/>
        </w:rPr>
        <w:t xml:space="preserve"> not converted and will be rejected by TED. </w:t>
      </w:r>
      <w:r w:rsidR="00647678" w:rsidRPr="000665B0">
        <w:rPr>
          <w:b/>
        </w:rPr>
        <w:t>Conversely, when sending 6.0</w:t>
      </w:r>
      <w:r w:rsidR="00E966FD" w:rsidRPr="000665B0">
        <w:rPr>
          <w:b/>
        </w:rPr>
        <w:t xml:space="preserve"> </w:t>
      </w:r>
      <w:r w:rsidR="00D66027" w:rsidRPr="000665B0">
        <w:rPr>
          <w:b/>
        </w:rPr>
        <w:t>(</w:t>
      </w:r>
      <w:r w:rsidR="005619C1" w:rsidRPr="000665B0">
        <w:rPr>
          <w:b/>
        </w:rPr>
        <w:t>and</w:t>
      </w:r>
      <w:r w:rsidR="00E966FD" w:rsidRPr="000665B0">
        <w:rPr>
          <w:b/>
        </w:rPr>
        <w:t xml:space="preserve"> above</w:t>
      </w:r>
      <w:r w:rsidR="00D66027" w:rsidRPr="000665B0">
        <w:rPr>
          <w:b/>
        </w:rPr>
        <w:t>)</w:t>
      </w:r>
      <w:r w:rsidR="00647678" w:rsidRPr="000665B0">
        <w:rPr>
          <w:b/>
        </w:rPr>
        <w:t xml:space="preserve"> </w:t>
      </w:r>
      <w:r w:rsidR="00E75AC3">
        <w:rPr>
          <w:b/>
        </w:rPr>
        <w:t>TAWS</w:t>
      </w:r>
      <w:r w:rsidR="00647678" w:rsidRPr="000665B0">
        <w:rPr>
          <w:b/>
        </w:rPr>
        <w:t xml:space="preserve"> to legacy nodes, TED will downgrade the </w:t>
      </w:r>
      <w:r w:rsidR="00E75AC3">
        <w:rPr>
          <w:b/>
        </w:rPr>
        <w:t>TAWS</w:t>
      </w:r>
      <w:r w:rsidR="00647678" w:rsidRPr="000665B0">
        <w:rPr>
          <w:b/>
        </w:rPr>
        <w:t xml:space="preserve"> to be readable on legacy systems.</w:t>
      </w:r>
    </w:p>
    <w:p w14:paraId="07CB7AFA" w14:textId="77777777" w:rsidR="00D24909" w:rsidRPr="000665B0" w:rsidRDefault="007867FE" w:rsidP="009570CA">
      <w:pPr>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0665B0">
        <w:rPr>
          <w:b/>
        </w:rPr>
        <w:t>The operational format for JDPI is 6 characters.</w:t>
      </w:r>
    </w:p>
    <w:p w14:paraId="24398BBC" w14:textId="63A184EC" w:rsidR="00643C46" w:rsidRPr="000665B0" w:rsidRDefault="00643C46" w:rsidP="009570CA">
      <w:r w:rsidRPr="000665B0">
        <w:t xml:space="preserve">The Mission textual display is shown in </w:t>
      </w:r>
      <w:r w:rsidR="00F47B80" w:rsidRPr="000665B0">
        <w:t xml:space="preserve">scrollable </w:t>
      </w:r>
      <w:r w:rsidRPr="000665B0">
        <w:t>sections that are determined by the tree-view selections</w:t>
      </w:r>
      <w:r w:rsidR="00F47B80" w:rsidRPr="000665B0">
        <w:t xml:space="preserve"> made on</w:t>
      </w:r>
      <w:r w:rsidRPr="000665B0">
        <w:t xml:space="preserve"> the left-hand side</w:t>
      </w:r>
      <w:r w:rsidR="00F47B80" w:rsidRPr="000665B0">
        <w:t xml:space="preserve"> (see </w:t>
      </w:r>
      <w:hyperlink w:anchor="_5.6.1.1__Selectively" w:history="1">
        <w:r w:rsidR="00F47B80" w:rsidRPr="000665B0">
          <w:rPr>
            <w:rStyle w:val="Hyperlink"/>
          </w:rPr>
          <w:t>Section 5.</w:t>
        </w:r>
        <w:r w:rsidR="00C526BF" w:rsidRPr="000665B0">
          <w:rPr>
            <w:rStyle w:val="Hyperlink"/>
          </w:rPr>
          <w:t>5</w:t>
        </w:r>
        <w:r w:rsidR="00F47B80" w:rsidRPr="000665B0">
          <w:rPr>
            <w:rStyle w:val="Hyperlink"/>
          </w:rPr>
          <w:t>.1.1</w:t>
        </w:r>
      </w:hyperlink>
      <w:r w:rsidR="00F47B80" w:rsidRPr="000665B0">
        <w:t xml:space="preserve">). </w:t>
      </w:r>
    </w:p>
    <w:p w14:paraId="06EBCA22" w14:textId="195E8BF8" w:rsidR="003A5E43" w:rsidRPr="000665B0" w:rsidRDefault="00F47B80" w:rsidP="009570CA">
      <w:r w:rsidRPr="000665B0">
        <w:t xml:space="preserve">The </w:t>
      </w:r>
      <w:r w:rsidRPr="000665B0">
        <w:rPr>
          <w:b/>
        </w:rPr>
        <w:t>General Information</w:t>
      </w:r>
      <w:r w:rsidRPr="000665B0">
        <w:t xml:space="preserve"> section of the textual display shows the fuze setting for the Primary Route of both single and Multiple Outcome Missions (MOMs). </w:t>
      </w:r>
      <w:r w:rsidR="005F6F7A" w:rsidRPr="000665B0">
        <w:t>If the Mission is part of an Attack Plan, the following are also shown: TAR Type, Attack Plan ID, and Attack Plan Mission Number.</w:t>
      </w:r>
    </w:p>
    <w:p w14:paraId="0402E5F2" w14:textId="1CA7D269" w:rsidR="003A5E43" w:rsidRPr="000665B0" w:rsidRDefault="00672912" w:rsidP="009570CA">
      <w:pPr>
        <w:spacing w:after="240"/>
        <w:jc w:val="center"/>
      </w:pPr>
      <w:r>
        <w:rPr>
          <w:noProof/>
        </w:rPr>
        <mc:AlternateContent>
          <mc:Choice Requires="wps">
            <w:drawing>
              <wp:anchor distT="0" distB="0" distL="114300" distR="114300" simplePos="0" relativeHeight="251660800" behindDoc="0" locked="0" layoutInCell="1" allowOverlap="1" wp14:anchorId="7595C500" wp14:editId="58890C40">
                <wp:simplePos x="0" y="0"/>
                <wp:positionH relativeFrom="column">
                  <wp:posOffset>1249680</wp:posOffset>
                </wp:positionH>
                <wp:positionV relativeFrom="paragraph">
                  <wp:posOffset>780415</wp:posOffset>
                </wp:positionV>
                <wp:extent cx="754380" cy="90805"/>
                <wp:effectExtent l="11430" t="8890" r="5715" b="5080"/>
                <wp:wrapNone/>
                <wp:docPr id="82195933"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380" cy="90805"/>
                        </a:xfrm>
                        <a:prstGeom prst="rect">
                          <a:avLst/>
                        </a:prstGeom>
                        <a:noFill/>
                        <a:ln w="9525">
                          <a:solidFill>
                            <a:srgbClr val="EE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3D6DD" id="Rectangle 80" o:spid="_x0000_s1026" style="position:absolute;margin-left:98.4pt;margin-top:61.45pt;width:59.4pt;height:7.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" filled="f" strokecolor="#e00"/>
            </w:pict>
          </mc:Fallback>
        </mc:AlternateContent>
      </w:r>
      <w:r w:rsidR="00C251F9">
        <w:rPr>
          <w:noProof/>
        </w:rPr>
        <w:drawing>
          <wp:inline distT="0" distB="0" distL="0" distR="0" wp14:anchorId="3FA67126" wp14:editId="64DB6F7A">
            <wp:extent cx="4975860" cy="1127760"/>
            <wp:effectExtent l="0" t="0" r="0" b="0"/>
            <wp:docPr id="717820990"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20990" name="Picture 1" descr="Graphical user interface, application&#10;&#10;AI-generated content may be incorrect."/>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975860" cy="1127760"/>
                    </a:xfrm>
                    <a:prstGeom prst="rect">
                      <a:avLst/>
                    </a:prstGeom>
                    <a:noFill/>
                    <a:ln>
                      <a:noFill/>
                    </a:ln>
                  </pic:spPr>
                </pic:pic>
              </a:graphicData>
            </a:graphic>
          </wp:inline>
        </w:drawing>
      </w:r>
    </w:p>
    <w:p w14:paraId="7D25FAB6" w14:textId="20564EEC" w:rsidR="003716F5" w:rsidRPr="000665B0" w:rsidRDefault="003716F5" w:rsidP="009570CA">
      <w:r w:rsidRPr="000665B0">
        <w:t xml:space="preserve">The </w:t>
      </w:r>
      <w:r w:rsidRPr="000665B0">
        <w:rPr>
          <w:b/>
        </w:rPr>
        <w:t>Mission Requirements</w:t>
      </w:r>
      <w:r w:rsidRPr="000665B0">
        <w:t xml:space="preserve"> section of the textual display shows the parameters of the mission including </w:t>
      </w:r>
      <w:r w:rsidR="0099136B" w:rsidRPr="000665B0">
        <w:t xml:space="preserve">navigation, </w:t>
      </w:r>
      <w:r w:rsidRPr="000665B0">
        <w:t>AGR</w:t>
      </w:r>
      <w:r w:rsidR="0099136B" w:rsidRPr="000665B0">
        <w:t>,</w:t>
      </w:r>
      <w:r w:rsidRPr="000665B0">
        <w:t xml:space="preserve"> missile requirements</w:t>
      </w:r>
      <w:r w:rsidR="0099136B" w:rsidRPr="000665B0">
        <w:t>, etc</w:t>
      </w:r>
      <w:r w:rsidRPr="000665B0">
        <w:t>.</w:t>
      </w:r>
      <w:r w:rsidR="00DC05B0" w:rsidRPr="000665B0">
        <w:t xml:space="preserve"> MSTM missions are not recognized by pre-7.0 MDS nodes and pre-V5.6.1 TTWCS nodes. MDS 5.X systems cannot search specifically for MSTM required missions, but MDS 6.X systems can determine whether a mission is a MSTM mission by reviewing the Missile ID.</w:t>
      </w:r>
      <w:r w:rsidR="000A280A">
        <w:t xml:space="preserve"> Ground Launch Required missions are not </w:t>
      </w:r>
      <w:r w:rsidR="000A280A">
        <w:lastRenderedPageBreak/>
        <w:t>recognized by pre-6.0.2 MDS nodes and pre-V5.6.1 TTWCS nodes.</w:t>
      </w:r>
      <w:r w:rsidR="001B44B2">
        <w:t>109M missions are not recognized by pre-TMPC 7.0.3 nodes and pre-V</w:t>
      </w:r>
      <w:r w:rsidR="00CB3D8D">
        <w:t>7</w:t>
      </w:r>
      <w:r w:rsidR="001B44B2">
        <w:t xml:space="preserve"> TTWCS nodes.</w:t>
      </w:r>
    </w:p>
    <w:p w14:paraId="46762878" w14:textId="2D960E75" w:rsidR="003716F5" w:rsidRDefault="003276B9" w:rsidP="009570CA">
      <w:pPr>
        <w:spacing w:after="240"/>
        <w:jc w:val="center"/>
      </w:pPr>
      <w:r w:rsidRPr="000665B0">
        <w:rPr>
          <w:noProof/>
        </w:rPr>
        <w:drawing>
          <wp:inline distT="0" distB="0" distL="0" distR="0" wp14:anchorId="0ECB0C81" wp14:editId="38E0237B">
            <wp:extent cx="4983480" cy="1115568"/>
            <wp:effectExtent l="0" t="0" r="0" b="0"/>
            <wp:docPr id="1210" name="Picture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115568"/>
                    </a:xfrm>
                    <a:prstGeom prst="rect">
                      <a:avLst/>
                    </a:prstGeom>
                  </pic:spPr>
                </pic:pic>
              </a:graphicData>
            </a:graphic>
          </wp:inline>
        </w:drawing>
      </w:r>
    </w:p>
    <w:p w14:paraId="3BA19C8D" w14:textId="42088762" w:rsidR="000A280A" w:rsidRPr="000665B0" w:rsidRDefault="00791B2E" w:rsidP="009570CA">
      <w:pPr>
        <w:spacing w:after="240"/>
        <w:jc w:val="center"/>
      </w:pPr>
      <w:r>
        <w:rPr>
          <w:noProof/>
        </w:rPr>
        <w:drawing>
          <wp:inline distT="0" distB="0" distL="0" distR="0" wp14:anchorId="51350861" wp14:editId="3F3FF5D3">
            <wp:extent cx="4983480" cy="740664"/>
            <wp:effectExtent l="0" t="0" r="0" b="0"/>
            <wp:docPr id="2268" name="Picture 226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 name="Picture 2268"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983480" cy="740664"/>
                    </a:xfrm>
                    <a:prstGeom prst="rect">
                      <a:avLst/>
                    </a:prstGeom>
                  </pic:spPr>
                </pic:pic>
              </a:graphicData>
            </a:graphic>
          </wp:inline>
        </w:drawing>
      </w:r>
    </w:p>
    <w:p w14:paraId="47FC8E8D" w14:textId="1A687D4E" w:rsidR="004650E4" w:rsidRPr="000665B0" w:rsidRDefault="004650E4" w:rsidP="009570CA">
      <w:r w:rsidRPr="000665B0">
        <w:t xml:space="preserve">The </w:t>
      </w:r>
      <w:r w:rsidRPr="000665B0">
        <w:rPr>
          <w:b/>
        </w:rPr>
        <w:t>Missile IDs (prioritized order)</w:t>
      </w:r>
      <w:r w:rsidRPr="000665B0">
        <w:t xml:space="preserve"> section of the textual display shows the missile IDs of the missiles in the mission. </w:t>
      </w:r>
      <w:bookmarkStart w:id="1228" w:name="_Hlk63933904"/>
      <w:r w:rsidRPr="000665B0">
        <w:t xml:space="preserve">For missile IDs that contain the 4-character missile type (see </w:t>
      </w:r>
      <w:hyperlink w:anchor="_4_-Character_Missile" w:history="1">
        <w:r w:rsidRPr="000665B0">
          <w:rPr>
            <w:rStyle w:val="Hyperlink"/>
          </w:rPr>
          <w:t>Section 5.1</w:t>
        </w:r>
        <w:r w:rsidR="002D4700">
          <w:rPr>
            <w:rStyle w:val="Hyperlink"/>
          </w:rPr>
          <w:t>4</w:t>
        </w:r>
        <w:r w:rsidRPr="000665B0">
          <w:rPr>
            <w:rStyle w:val="Hyperlink"/>
          </w:rPr>
          <w:t>.1</w:t>
        </w:r>
      </w:hyperlink>
      <w:r w:rsidRPr="000665B0">
        <w:t xml:space="preserve">), hover the mouse over the specific missile ID to display a </w:t>
      </w:r>
      <w:r w:rsidR="00130ED4">
        <w:t>tooltip</w:t>
      </w:r>
      <w:r w:rsidRPr="000665B0">
        <w:t xml:space="preserve"> with additional information about the missile.</w:t>
      </w:r>
    </w:p>
    <w:bookmarkEnd w:id="1228"/>
    <w:p w14:paraId="3EF582D3" w14:textId="77777777" w:rsidR="004650E4" w:rsidRPr="000665B0" w:rsidRDefault="004650E4" w:rsidP="009570CA">
      <w:pPr>
        <w:jc w:val="center"/>
      </w:pPr>
      <w:r w:rsidRPr="000665B0">
        <w:rPr>
          <w:noProof/>
        </w:rPr>
        <w:drawing>
          <wp:inline distT="0" distB="0" distL="0" distR="0" wp14:anchorId="6BA8BD0E" wp14:editId="2C08799B">
            <wp:extent cx="4983480" cy="1536192"/>
            <wp:effectExtent l="0" t="0" r="0" b="0"/>
            <wp:docPr id="2138" name="Picture 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536192"/>
                    </a:xfrm>
                    <a:prstGeom prst="rect">
                      <a:avLst/>
                    </a:prstGeom>
                  </pic:spPr>
                </pic:pic>
              </a:graphicData>
            </a:graphic>
          </wp:inline>
        </w:drawing>
      </w:r>
    </w:p>
    <w:p w14:paraId="4EB266A4" w14:textId="17729FBB" w:rsidR="00F47B80" w:rsidRPr="000665B0" w:rsidRDefault="00F47B80" w:rsidP="009570CA">
      <w:r w:rsidRPr="000665B0">
        <w:t xml:space="preserve">The </w:t>
      </w:r>
      <w:r w:rsidRPr="000665B0">
        <w:rPr>
          <w:b/>
        </w:rPr>
        <w:t>Aimpoint</w:t>
      </w:r>
      <w:r w:rsidRPr="000665B0">
        <w:t xml:space="preserve"> section of the textual display shows the fuze setting for individual Flex Routes in a </w:t>
      </w:r>
      <w:r w:rsidR="008C09AE" w:rsidRPr="000665B0">
        <w:t xml:space="preserve">109E </w:t>
      </w:r>
      <w:r w:rsidRPr="000665B0">
        <w:t>MOM.</w:t>
      </w:r>
    </w:p>
    <w:p w14:paraId="613B61E5" w14:textId="6236AD65" w:rsidR="003A5E43" w:rsidRPr="000665B0" w:rsidRDefault="006E0516" w:rsidP="009570CA">
      <w:pPr>
        <w:spacing w:after="240"/>
        <w:jc w:val="center"/>
      </w:pPr>
      <w:r w:rsidRPr="000665B0">
        <w:rPr>
          <w:noProof/>
        </w:rPr>
        <w:drawing>
          <wp:inline distT="0" distB="0" distL="0" distR="0" wp14:anchorId="77D04BD3" wp14:editId="4AE5E65D">
            <wp:extent cx="4983480" cy="1856232"/>
            <wp:effectExtent l="0" t="0" r="0" b="0"/>
            <wp:docPr id="1218" name="Picture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856232"/>
                    </a:xfrm>
                    <a:prstGeom prst="rect">
                      <a:avLst/>
                    </a:prstGeom>
                  </pic:spPr>
                </pic:pic>
              </a:graphicData>
            </a:graphic>
          </wp:inline>
        </w:drawing>
      </w:r>
    </w:p>
    <w:p w14:paraId="2D187606" w14:textId="08706BA7" w:rsidR="00CA4534" w:rsidRPr="000665B0" w:rsidRDefault="004650E4" w:rsidP="009570CA">
      <w:r w:rsidRPr="000665B0">
        <w:t xml:space="preserve">The </w:t>
      </w:r>
      <w:r w:rsidRPr="000665B0">
        <w:rPr>
          <w:b/>
        </w:rPr>
        <w:t>Route Summary</w:t>
      </w:r>
      <w:r w:rsidRPr="000665B0">
        <w:t xml:space="preserve"> section of the textual display contains a table where</w:t>
      </w:r>
      <w:r w:rsidR="00CA4534" w:rsidRPr="000665B0">
        <w:t xml:space="preserve"> the first column in the table</w:t>
      </w:r>
      <w:r w:rsidR="00835955" w:rsidRPr="000665B0">
        <w:t xml:space="preserve"> (</w:t>
      </w:r>
      <w:r w:rsidR="00835955" w:rsidRPr="000665B0">
        <w:rPr>
          <w:b/>
        </w:rPr>
        <w:t>Number</w:t>
      </w:r>
      <w:r w:rsidR="00835955" w:rsidRPr="000665B0">
        <w:t>)</w:t>
      </w:r>
      <w:r w:rsidR="00CA4534" w:rsidRPr="000665B0">
        <w:t xml:space="preserve"> </w:t>
      </w:r>
      <w:r w:rsidRPr="000665B0">
        <w:t>displays</w:t>
      </w:r>
      <w:r w:rsidR="00CA4534" w:rsidRPr="000665B0">
        <w:rPr>
          <w:szCs w:val="24"/>
        </w:rPr>
        <w:t xml:space="preserve"> </w:t>
      </w:r>
      <w:r w:rsidR="00CA4534" w:rsidRPr="000665B0">
        <w:rPr>
          <w:b/>
        </w:rPr>
        <w:t>&lt;P, F or D&gt; &lt;Branch Number&gt; - &lt;Route</w:t>
      </w:r>
      <w:r w:rsidR="005E671D" w:rsidRPr="000665B0">
        <w:rPr>
          <w:b/>
        </w:rPr>
        <w:t xml:space="preserve"> </w:t>
      </w:r>
      <w:r w:rsidR="00CA4534" w:rsidRPr="000665B0">
        <w:rPr>
          <w:b/>
        </w:rPr>
        <w:t>Point</w:t>
      </w:r>
      <w:r w:rsidR="005E671D" w:rsidRPr="000665B0">
        <w:rPr>
          <w:b/>
        </w:rPr>
        <w:t xml:space="preserve"> </w:t>
      </w:r>
      <w:r w:rsidR="00CA4534" w:rsidRPr="000665B0">
        <w:rPr>
          <w:b/>
        </w:rPr>
        <w:t>Sequence</w:t>
      </w:r>
      <w:r w:rsidR="005E671D" w:rsidRPr="000665B0">
        <w:rPr>
          <w:b/>
        </w:rPr>
        <w:t xml:space="preserve"> </w:t>
      </w:r>
      <w:r w:rsidR="00CA4534" w:rsidRPr="000665B0">
        <w:rPr>
          <w:b/>
        </w:rPr>
        <w:t>Number&gt;</w:t>
      </w:r>
      <w:r w:rsidR="00835955" w:rsidRPr="000665B0">
        <w:t>,</w:t>
      </w:r>
      <w:r w:rsidR="00CA4534" w:rsidRPr="000665B0">
        <w:rPr>
          <w:b/>
        </w:rPr>
        <w:t xml:space="preserve"> </w:t>
      </w:r>
      <w:r w:rsidR="00CA4534" w:rsidRPr="000665B0">
        <w:t xml:space="preserve">where P, F, or D indicates the type of route (P = Primary, F = Flex, and D = Divert). The Branch </w:t>
      </w:r>
      <w:r w:rsidR="00CA4534" w:rsidRPr="000665B0">
        <w:lastRenderedPageBreak/>
        <w:t>Number is omitted in the case of the primary route.</w:t>
      </w:r>
      <w:r w:rsidR="00BC0164" w:rsidRPr="000665B0">
        <w:t xml:space="preserve"> </w:t>
      </w:r>
      <w:r w:rsidRPr="000665B0">
        <w:t>For example</w:t>
      </w:r>
      <w:r w:rsidR="00BC0164" w:rsidRPr="000665B0">
        <w:t xml:space="preserve">, </w:t>
      </w:r>
      <w:r w:rsidR="00BC0164" w:rsidRPr="000665B0">
        <w:rPr>
          <w:b/>
        </w:rPr>
        <w:t>P1</w:t>
      </w:r>
      <w:r w:rsidR="00BC0164" w:rsidRPr="000665B0">
        <w:t xml:space="preserve"> indicates </w:t>
      </w:r>
      <w:r w:rsidR="00BC0164" w:rsidRPr="000665B0">
        <w:rPr>
          <w:b/>
        </w:rPr>
        <w:t>Primary Route</w:t>
      </w:r>
      <w:r w:rsidR="00BC0164" w:rsidRPr="000665B0">
        <w:t xml:space="preserve"> and </w:t>
      </w:r>
      <w:r w:rsidR="00BC0164" w:rsidRPr="000665B0">
        <w:rPr>
          <w:b/>
        </w:rPr>
        <w:t>Route Point Sequence</w:t>
      </w:r>
      <w:r w:rsidR="00BC0164" w:rsidRPr="000665B0">
        <w:t xml:space="preserve"> Number 1. A number such as </w:t>
      </w:r>
      <w:r w:rsidR="00BC0164" w:rsidRPr="000665B0">
        <w:rPr>
          <w:b/>
        </w:rPr>
        <w:t>F3:1(76)-1</w:t>
      </w:r>
      <w:r w:rsidR="00BC0164" w:rsidRPr="000665B0">
        <w:t xml:space="preserve"> indicates the following:</w:t>
      </w:r>
    </w:p>
    <w:p w14:paraId="1E7492DB" w14:textId="77777777" w:rsidR="00BC0164" w:rsidRPr="000665B0" w:rsidRDefault="00BC0164" w:rsidP="006D5A65">
      <w:pPr>
        <w:pStyle w:val="Heading1"/>
      </w:pPr>
      <w:r w:rsidRPr="000665B0">
        <w:t>F – Flex route</w:t>
      </w:r>
      <w:r w:rsidR="00224306" w:rsidRPr="000665B0">
        <w:t xml:space="preserve"> </w:t>
      </w:r>
    </w:p>
    <w:p w14:paraId="7932AAC1" w14:textId="77777777" w:rsidR="00BC0164" w:rsidRPr="000665B0" w:rsidRDefault="00BC0164" w:rsidP="006D5A65">
      <w:pPr>
        <w:pStyle w:val="Heading1"/>
      </w:pPr>
      <w:r w:rsidRPr="000665B0">
        <w:t>3:1 – First Branch from Parent Route 3</w:t>
      </w:r>
    </w:p>
    <w:p w14:paraId="27CDAE18" w14:textId="77777777" w:rsidR="00BC0164" w:rsidRPr="000665B0" w:rsidRDefault="00BC0164" w:rsidP="006D5A65">
      <w:pPr>
        <w:pStyle w:val="Heading1"/>
      </w:pPr>
      <w:r w:rsidRPr="000665B0">
        <w:t>(76) – Action Point that starts the new (current) branch is Action Point Sequence Number 76</w:t>
      </w:r>
    </w:p>
    <w:p w14:paraId="189C8B7D" w14:textId="77777777" w:rsidR="00BC0164" w:rsidRPr="000665B0" w:rsidRDefault="00BC0164" w:rsidP="006D5A65">
      <w:pPr>
        <w:pStyle w:val="Heading1"/>
      </w:pPr>
      <w:r w:rsidRPr="000665B0">
        <w:t>-1 – Route Point Sequence Number 1.</w:t>
      </w:r>
    </w:p>
    <w:p w14:paraId="489FF9CD" w14:textId="77777777" w:rsidR="00CA4534" w:rsidRPr="000665B0" w:rsidRDefault="00CA4534" w:rsidP="009570CA">
      <w:r w:rsidRPr="000665B0">
        <w:t>The third column in the table (</w:t>
      </w:r>
      <w:r w:rsidRPr="000665B0">
        <w:rPr>
          <w:b/>
        </w:rPr>
        <w:t>Sequence Number</w:t>
      </w:r>
      <w:r w:rsidRPr="000665B0">
        <w:t xml:space="preserve">) shows the Action Point Sequence Number for Action Points, </w:t>
      </w:r>
      <w:r w:rsidR="00835955" w:rsidRPr="000665B0">
        <w:t>or</w:t>
      </w:r>
      <w:r w:rsidRPr="000665B0">
        <w:t xml:space="preserve"> the Route Point Sequence Number for Waypoints.</w:t>
      </w:r>
    </w:p>
    <w:p w14:paraId="3C3EFA93" w14:textId="35DD4DDD" w:rsidR="00835955" w:rsidRPr="000665B0" w:rsidRDefault="00C869E5" w:rsidP="009570CA">
      <w:pPr>
        <w:jc w:val="center"/>
      </w:pPr>
      <w:r w:rsidRPr="000665B0">
        <w:rPr>
          <w:noProof/>
        </w:rPr>
        <w:drawing>
          <wp:inline distT="0" distB="0" distL="0" distR="0" wp14:anchorId="3E4D39F5" wp14:editId="5E5D5DA4">
            <wp:extent cx="4983480" cy="1929384"/>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929384"/>
                    </a:xfrm>
                    <a:prstGeom prst="rect">
                      <a:avLst/>
                    </a:prstGeom>
                  </pic:spPr>
                </pic:pic>
              </a:graphicData>
            </a:graphic>
          </wp:inline>
        </w:drawing>
      </w:r>
    </w:p>
    <w:p w14:paraId="571FAFB8" w14:textId="3D7A96E0" w:rsidR="00557895" w:rsidRPr="000665B0" w:rsidRDefault="004650E4" w:rsidP="009570CA">
      <w:r w:rsidRPr="000665B0">
        <w:t xml:space="preserve">The </w:t>
      </w:r>
      <w:r w:rsidRPr="000665B0">
        <w:rPr>
          <w:b/>
        </w:rPr>
        <w:t>Waypoint Summary</w:t>
      </w:r>
      <w:r w:rsidRPr="000665B0">
        <w:t xml:space="preserve"> is shown below </w:t>
      </w:r>
      <w:r w:rsidR="00557895" w:rsidRPr="000665B0">
        <w:t xml:space="preserve">the </w:t>
      </w:r>
      <w:r w:rsidR="00557895" w:rsidRPr="000665B0">
        <w:rPr>
          <w:b/>
        </w:rPr>
        <w:t>Route Summary</w:t>
      </w:r>
      <w:r w:rsidR="00557895" w:rsidRPr="000665B0">
        <w:t xml:space="preserve"> section of the textual display. The first column in the table (</w:t>
      </w:r>
      <w:r w:rsidR="00557895" w:rsidRPr="000665B0">
        <w:rPr>
          <w:b/>
        </w:rPr>
        <w:t>Number</w:t>
      </w:r>
      <w:r w:rsidR="00557895" w:rsidRPr="000665B0">
        <w:t>) shows the Route Point Sequence Number of each Waypoint.</w:t>
      </w:r>
    </w:p>
    <w:p w14:paraId="75A50945" w14:textId="0600F613" w:rsidR="00557895" w:rsidRPr="000665B0" w:rsidRDefault="00C869E5" w:rsidP="009570CA">
      <w:pPr>
        <w:jc w:val="center"/>
      </w:pPr>
      <w:r w:rsidRPr="000665B0">
        <w:rPr>
          <w:noProof/>
        </w:rPr>
        <w:drawing>
          <wp:inline distT="0" distB="0" distL="0" distR="0" wp14:anchorId="3B722679" wp14:editId="7A664F28">
            <wp:extent cx="4983480" cy="1764792"/>
            <wp:effectExtent l="0" t="0" r="0"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764792"/>
                    </a:xfrm>
                    <a:prstGeom prst="rect">
                      <a:avLst/>
                    </a:prstGeom>
                  </pic:spPr>
                </pic:pic>
              </a:graphicData>
            </a:graphic>
          </wp:inline>
        </w:drawing>
      </w:r>
    </w:p>
    <w:p w14:paraId="57619DB1" w14:textId="46CE51BA" w:rsidR="005D1A26" w:rsidRPr="000665B0" w:rsidRDefault="005D1A26" w:rsidP="009570CA">
      <w:pPr>
        <w:pStyle w:val="Heading4"/>
      </w:pPr>
      <w:bookmarkStart w:id="1229" w:name="_5.6.1.1__Selectively"/>
      <w:bookmarkStart w:id="1230" w:name="_Selectively_Display_Mission"/>
      <w:bookmarkEnd w:id="1229"/>
      <w:bookmarkEnd w:id="1230"/>
      <w:r w:rsidRPr="000665B0">
        <w:t>Selectively Display Mission Textually</w:t>
      </w:r>
      <w:bookmarkEnd w:id="1223"/>
      <w:bookmarkEnd w:id="1224"/>
      <w:bookmarkEnd w:id="1225"/>
      <w:bookmarkEnd w:id="1226"/>
      <w:bookmarkEnd w:id="1227"/>
      <w:r w:rsidRPr="000665B0">
        <w:t xml:space="preserve"> </w:t>
      </w:r>
    </w:p>
    <w:p w14:paraId="2E5F159F" w14:textId="790E45F2" w:rsidR="00611F47" w:rsidRPr="000665B0" w:rsidRDefault="006B05C6" w:rsidP="009570CA">
      <w:r w:rsidRPr="000665B0">
        <w:t>The TCI data listed in a Mission Textual Display</w:t>
      </w:r>
      <w:r w:rsidRPr="000665B0" w:rsidDel="001E3181">
        <w:t xml:space="preserve"> </w:t>
      </w:r>
      <w:r w:rsidRPr="000665B0">
        <w:t xml:space="preserve">can be modified to show only the desired categorized fields. This enables the user to customize the view based on elements prevalent to the command </w:t>
      </w:r>
      <w:r w:rsidR="00220FC7" w:rsidRPr="000665B0">
        <w:t xml:space="preserve">instead of </w:t>
      </w:r>
      <w:r w:rsidRPr="000665B0">
        <w:t>having to scroll through the entire list searching for the desired information.</w:t>
      </w:r>
      <w:r w:rsidR="00FB243E" w:rsidRPr="000665B0">
        <w:t xml:space="preserve"> </w:t>
      </w:r>
      <w:r w:rsidR="00560D5C" w:rsidRPr="000665B0">
        <w:t>The mission’s textual view will vary depending on whether the Mission’s C2X data is available for display</w:t>
      </w:r>
      <w:r w:rsidR="00FB243E" w:rsidRPr="000665B0">
        <w:t>.</w:t>
      </w:r>
      <w:r w:rsidR="005F6F7A" w:rsidRPr="000665B0">
        <w:t xml:space="preserve"> If the Mission is part of an Attack Plan, the following are also shown: TAR Type, Attack Plan ID, and Attack Plan Mission Number.</w:t>
      </w:r>
      <w:r w:rsidR="00611F47">
        <w:t xml:space="preserve"> If the mission is </w:t>
      </w:r>
      <w:r w:rsidR="00C82EA1">
        <w:t>ground-launch</w:t>
      </w:r>
      <w:r w:rsidR="00611F47">
        <w:t xml:space="preserve"> required, Ground Launch Point is displayed in the Launch Boundaries section.</w:t>
      </w:r>
    </w:p>
    <w:p w14:paraId="3F942206" w14:textId="78E54294" w:rsidR="001C231E" w:rsidRPr="000665B0" w:rsidRDefault="001C231E" w:rsidP="009570CA">
      <w:pPr>
        <w:keepNext/>
        <w:rPr>
          <w:b/>
        </w:rPr>
      </w:pPr>
      <w:r w:rsidRPr="000665B0">
        <w:rPr>
          <w:b/>
        </w:rPr>
        <w:lastRenderedPageBreak/>
        <w:t>Mission Textual Display with</w:t>
      </w:r>
      <w:r w:rsidR="00560D5C" w:rsidRPr="000665B0">
        <w:rPr>
          <w:b/>
        </w:rPr>
        <w:t xml:space="preserve"> Additional</w:t>
      </w:r>
      <w:r w:rsidRPr="000665B0">
        <w:rPr>
          <w:b/>
        </w:rPr>
        <w:t xml:space="preserve"> C2</w:t>
      </w:r>
      <w:r w:rsidR="00560D5C" w:rsidRPr="000665B0">
        <w:rPr>
          <w:b/>
        </w:rPr>
        <w:t>X</w:t>
      </w:r>
      <w:r w:rsidRPr="000665B0">
        <w:rPr>
          <w:b/>
        </w:rPr>
        <w:t xml:space="preserve"> Data</w:t>
      </w:r>
      <w:r w:rsidR="00825970" w:rsidRPr="000665B0">
        <w:rPr>
          <w:b/>
        </w:rPr>
        <w:t>:</w:t>
      </w:r>
    </w:p>
    <w:p w14:paraId="2191CBB7" w14:textId="5ABD4DC7" w:rsidR="006B05C6" w:rsidRPr="000665B0" w:rsidRDefault="00611F47" w:rsidP="009570CA">
      <w:pPr>
        <w:jc w:val="center"/>
      </w:pPr>
      <w:r>
        <w:rPr>
          <w:noProof/>
        </w:rPr>
        <w:drawing>
          <wp:inline distT="0" distB="0" distL="0" distR="0" wp14:anchorId="2D0168EF" wp14:editId="63D1D339">
            <wp:extent cx="4982902" cy="2887980"/>
            <wp:effectExtent l="0" t="0" r="8255" b="7620"/>
            <wp:docPr id="2279" name="Picture 227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 name="Picture 2279" descr="Graphical user interface, application&#10;&#10;Description automatically generated"/>
                    <pic:cNvPicPr/>
                  </pic:nvPicPr>
                  <pic:blipFill rotWithShape="1">
                    <a:blip cstate="screen">
                      <a:extLst>
                        <a:ext uri="{28A0092B-C50C-407E-A947-70E740481C1C}">
                          <a14:useLocalDpi xmlns:a14="http://schemas.microsoft.com/office/drawing/2010/main"/>
                        </a:ext>
                      </a:extLst>
                    </a:blip>
                    <a:srcRect b="12014"/>
                    <a:stretch>
                      <a:fillRect/>
                    </a:stretch>
                  </pic:blipFill>
                  <pic:spPr bwMode="auto">
                    <a:xfrm>
                      <a:off x="0" y="0"/>
                      <a:ext cx="4983480" cy="2888315"/>
                    </a:xfrm>
                    <a:prstGeom prst="rect">
                      <a:avLst/>
                    </a:prstGeom>
                    <a:ln>
                      <a:noFill/>
                    </a:ln>
                    <a:extLst>
                      <a:ext uri="{53640926-AAD7-44D8-BBD7-CCE9431645EC}">
                        <a14:shadowObscured xmlns:a14="http://schemas.microsoft.com/office/drawing/2010/main"/>
                      </a:ext>
                    </a:extLst>
                  </pic:spPr>
                </pic:pic>
              </a:graphicData>
            </a:graphic>
          </wp:inline>
        </w:drawing>
      </w:r>
    </w:p>
    <w:p w14:paraId="2620190F" w14:textId="5AF9864B" w:rsidR="001C231E" w:rsidRDefault="001C231E" w:rsidP="009570CA">
      <w:pPr>
        <w:keepNext/>
        <w:rPr>
          <w:b/>
        </w:rPr>
      </w:pPr>
      <w:r w:rsidRPr="000665B0">
        <w:rPr>
          <w:b/>
        </w:rPr>
        <w:t xml:space="preserve">Mission Textual Display </w:t>
      </w:r>
      <w:r w:rsidR="00560D5C" w:rsidRPr="000665B0">
        <w:rPr>
          <w:b/>
        </w:rPr>
        <w:t xml:space="preserve">with C2 Data (No Additional </w:t>
      </w:r>
      <w:r w:rsidRPr="000665B0">
        <w:rPr>
          <w:b/>
        </w:rPr>
        <w:t>C2</w:t>
      </w:r>
      <w:r w:rsidR="00560D5C" w:rsidRPr="000665B0">
        <w:rPr>
          <w:b/>
        </w:rPr>
        <w:t>X</w:t>
      </w:r>
      <w:r w:rsidRPr="000665B0">
        <w:rPr>
          <w:b/>
        </w:rPr>
        <w:t xml:space="preserve"> Data</w:t>
      </w:r>
      <w:r w:rsidR="00716C50" w:rsidRPr="000665B0">
        <w:rPr>
          <w:b/>
        </w:rPr>
        <w:t>)</w:t>
      </w:r>
      <w:r w:rsidR="00825970" w:rsidRPr="000665B0">
        <w:rPr>
          <w:b/>
        </w:rPr>
        <w:t>:</w:t>
      </w:r>
    </w:p>
    <w:p w14:paraId="74157405" w14:textId="76D5148A" w:rsidR="001C231E" w:rsidRPr="000665B0" w:rsidRDefault="008B287D" w:rsidP="00D6133C">
      <w:pPr>
        <w:keepNext/>
        <w:jc w:val="center"/>
        <w:rPr>
          <w:b/>
        </w:rPr>
      </w:pPr>
      <w:r w:rsidRPr="008B287D">
        <w:rPr>
          <w:b/>
          <w:noProof/>
        </w:rPr>
        <w:drawing>
          <wp:inline distT="0" distB="0" distL="0" distR="0" wp14:anchorId="6532BB98" wp14:editId="72CE9A1A">
            <wp:extent cx="4983480" cy="2670048"/>
            <wp:effectExtent l="0" t="0" r="0" b="0"/>
            <wp:docPr id="27" name="Picture 2" descr="Graphical user interface&#10;&#10;Description automatically generated with medium confidence">
              <a:extLst xmlns:a="http://schemas.openxmlformats.org/drawingml/2006/main">
                <a:ext uri="{FF2B5EF4-FFF2-40B4-BE49-F238E27FC236}">
                  <a16:creationId xmlns:a16="http://schemas.microsoft.com/office/drawing/2014/main" id="{BF56A864-1451-4C72-82EB-186895FCF4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Graphical user interface&#10;&#10;Description automatically generated with medium confidence">
                      <a:extLst>
                        <a:ext uri="{FF2B5EF4-FFF2-40B4-BE49-F238E27FC236}">
                          <a16:creationId xmlns:a16="http://schemas.microsoft.com/office/drawing/2014/main" id="{BF56A864-1451-4C72-82EB-186895FCF4C0}"/>
                        </a:ext>
                      </a:extLst>
                    </pic:cNvPr>
                    <pic:cNvPicPr>
                      <a:picLocks noChangeAspect="1"/>
                    </pic:cNvPicPr>
                  </pic:nvPicPr>
                  <pic:blipFill>
                    <a:blip cstate="screen">
                      <a:extLst>
                        <a:ext uri="{28A0092B-C50C-407E-A947-70E740481C1C}">
                          <a14:useLocalDpi xmlns:a14="http://schemas.microsoft.com/office/drawing/2010/main"/>
                        </a:ext>
                      </a:extLst>
                    </a:blip>
                    <a:stretch>
                      <a:fillRect/>
                    </a:stretch>
                  </pic:blipFill>
                  <pic:spPr>
                    <a:xfrm>
                      <a:off x="0" y="0"/>
                      <a:ext cx="4983480" cy="2670048"/>
                    </a:xfrm>
                    <a:prstGeom prst="rect">
                      <a:avLst/>
                    </a:prstGeom>
                  </pic:spPr>
                </pic:pic>
              </a:graphicData>
            </a:graphic>
          </wp:inline>
        </w:drawing>
      </w:r>
    </w:p>
    <w:p w14:paraId="7140F894" w14:textId="66EDBAFF" w:rsidR="00882F56" w:rsidRPr="000665B0" w:rsidRDefault="00882F56" w:rsidP="00D6133C">
      <w:pPr>
        <w:spacing w:before="120"/>
      </w:pPr>
      <w:r w:rsidRPr="000665B0">
        <w:t xml:space="preserve">The tree-view on the left-hand side of the Mission Textual Display provides functions to help the user search for mission information and </w:t>
      </w:r>
      <w:r w:rsidR="001C231E" w:rsidRPr="000665B0">
        <w:t xml:space="preserve">filter </w:t>
      </w:r>
      <w:r w:rsidRPr="000665B0">
        <w:t xml:space="preserve">the sections to be displayed. It lists the various sections and subsections that are contained within a mission. By selecting the </w:t>
      </w:r>
      <w:r w:rsidR="001C231E" w:rsidRPr="000665B0">
        <w:t xml:space="preserve">checkbox at either the </w:t>
      </w:r>
      <w:r w:rsidRPr="000665B0">
        <w:t>section</w:t>
      </w:r>
      <w:r w:rsidR="001C231E" w:rsidRPr="000665B0">
        <w:t>, subsection, or individual data item level</w:t>
      </w:r>
      <w:r w:rsidRPr="000665B0">
        <w:t xml:space="preserve"> in the tree-view, the textual view display</w:t>
      </w:r>
      <w:r w:rsidR="001C231E" w:rsidRPr="000665B0">
        <w:t>s</w:t>
      </w:r>
      <w:r w:rsidRPr="000665B0">
        <w:t xml:space="preserve"> that particular mission information. (Changing sections from the Mission Textual Display only applies to that instance. Once the display is closed it will revert back to the original view.)</w:t>
      </w:r>
    </w:p>
    <w:p w14:paraId="648D4272" w14:textId="77777777" w:rsidR="00882F56" w:rsidRPr="000665B0" w:rsidRDefault="00882F56" w:rsidP="009570CA">
      <w:r w:rsidRPr="000665B0">
        <w:t>In addition, the operator can set which sections are displayed by default for every Mission Textual Display that is opened. These preferences do not change when switching between users.</w:t>
      </w:r>
    </w:p>
    <w:p w14:paraId="1A3AF2D9" w14:textId="77777777" w:rsidR="006B05C6" w:rsidRPr="000665B0" w:rsidRDefault="006B05C6" w:rsidP="009570CA">
      <w:r w:rsidRPr="000665B0">
        <w:t>To configure the properties for the Mission Textual Display:</w:t>
      </w:r>
    </w:p>
    <w:p w14:paraId="628323BB" w14:textId="77777777" w:rsidR="005D1A26" w:rsidRPr="000665B0" w:rsidRDefault="005D1A26" w:rsidP="006D5A65">
      <w:pPr>
        <w:pStyle w:val="Heading1"/>
      </w:pPr>
      <w:r w:rsidRPr="000665B0">
        <w:lastRenderedPageBreak/>
        <w:t>Navigate to the Missions</w:t>
      </w:r>
      <w:r w:rsidR="00882F56" w:rsidRPr="000665B0">
        <w:t xml:space="preserve"> Tool List View.</w:t>
      </w:r>
    </w:p>
    <w:p w14:paraId="5BFE9FEA" w14:textId="77777777" w:rsidR="005D1A26" w:rsidRPr="000665B0" w:rsidRDefault="005D1A26" w:rsidP="006D5A65">
      <w:pPr>
        <w:pStyle w:val="Heading1"/>
      </w:pPr>
      <w:r w:rsidRPr="000665B0">
        <w:t xml:space="preserve">From the View menu select Properties…. The </w:t>
      </w:r>
      <w:r w:rsidRPr="000665B0">
        <w:rPr>
          <w:i/>
          <w:iCs/>
        </w:rPr>
        <w:t>Mission</w:t>
      </w:r>
      <w:r w:rsidR="00701C19" w:rsidRPr="000665B0">
        <w:rPr>
          <w:i/>
          <w:iCs/>
        </w:rPr>
        <w:t>s</w:t>
      </w:r>
      <w:r w:rsidRPr="000665B0">
        <w:rPr>
          <w:i/>
          <w:iCs/>
        </w:rPr>
        <w:t xml:space="preserve"> Properties</w:t>
      </w:r>
      <w:r w:rsidRPr="000665B0">
        <w:t xml:space="preserve"> window </w:t>
      </w:r>
      <w:r w:rsidR="00627DD2" w:rsidRPr="000665B0">
        <w:t>is</w:t>
      </w:r>
      <w:r w:rsidRPr="000665B0">
        <w:t xml:space="preserve"> displayed.</w:t>
      </w:r>
    </w:p>
    <w:p w14:paraId="5249ABD3" w14:textId="12A3AB45" w:rsidR="005D1A26" w:rsidRPr="000665B0" w:rsidRDefault="00532009" w:rsidP="009570CA">
      <w:pPr>
        <w:jc w:val="center"/>
      </w:pPr>
      <w:r w:rsidRPr="000665B0">
        <w:rPr>
          <w:noProof/>
        </w:rPr>
        <w:drawing>
          <wp:inline distT="0" distB="0" distL="0" distR="0" wp14:anchorId="28A17829" wp14:editId="7657A8E1">
            <wp:extent cx="2286000" cy="1545336"/>
            <wp:effectExtent l="0" t="0" r="0" b="0"/>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545336"/>
                    </a:xfrm>
                    <a:prstGeom prst="rect">
                      <a:avLst/>
                    </a:prstGeom>
                  </pic:spPr>
                </pic:pic>
              </a:graphicData>
            </a:graphic>
          </wp:inline>
        </w:drawing>
      </w:r>
    </w:p>
    <w:p w14:paraId="6F5192FE" w14:textId="34E8293A" w:rsidR="005D1A26" w:rsidRPr="000665B0" w:rsidRDefault="005D1A26" w:rsidP="006D5A65">
      <w:pPr>
        <w:pStyle w:val="Heading1"/>
      </w:pPr>
      <w:r w:rsidRPr="000665B0">
        <w:t xml:space="preserve">From the </w:t>
      </w:r>
      <w:r w:rsidRPr="000665B0">
        <w:rPr>
          <w:i/>
          <w:iCs/>
        </w:rPr>
        <w:t>Mission</w:t>
      </w:r>
      <w:r w:rsidR="00701C19" w:rsidRPr="000665B0">
        <w:rPr>
          <w:i/>
          <w:iCs/>
        </w:rPr>
        <w:t>s</w:t>
      </w:r>
      <w:r w:rsidRPr="000665B0">
        <w:rPr>
          <w:i/>
          <w:iCs/>
        </w:rPr>
        <w:t xml:space="preserve"> Properties</w:t>
      </w:r>
      <w:r w:rsidRPr="000665B0">
        <w:t xml:space="preserve"> window select the </w:t>
      </w:r>
      <w:r w:rsidRPr="000665B0">
        <w:rPr>
          <w:bCs/>
        </w:rPr>
        <w:t>Textual Properties…</w:t>
      </w:r>
      <w:r w:rsidRPr="000665B0">
        <w:t xml:space="preserve"> button from the </w:t>
      </w:r>
      <w:r w:rsidRPr="000665B0">
        <w:rPr>
          <w:bCs/>
          <w:i/>
          <w:iCs/>
        </w:rPr>
        <w:t>Available Properties</w:t>
      </w:r>
      <w:r w:rsidRPr="000665B0">
        <w:t xml:space="preserve"> panel. The </w:t>
      </w:r>
      <w:r w:rsidRPr="000665B0">
        <w:rPr>
          <w:i/>
          <w:iCs/>
        </w:rPr>
        <w:t>Mission Textual Display Preferences</w:t>
      </w:r>
      <w:r w:rsidRPr="000665B0">
        <w:t xml:space="preserve"> window </w:t>
      </w:r>
      <w:r w:rsidR="00627DD2" w:rsidRPr="000665B0">
        <w:t>is</w:t>
      </w:r>
      <w:r w:rsidRPr="000665B0">
        <w:t xml:space="preserve"> displayed. </w:t>
      </w:r>
    </w:p>
    <w:p w14:paraId="1E3DB384" w14:textId="7B18BB8A" w:rsidR="005D1A26" w:rsidRPr="000665B0" w:rsidRDefault="00C02545" w:rsidP="009570CA">
      <w:pPr>
        <w:jc w:val="center"/>
      </w:pPr>
      <w:r w:rsidRPr="00C02545">
        <w:rPr>
          <w:noProof/>
        </w:rPr>
        <w:t xml:space="preserve"> </w:t>
      </w:r>
      <w:r>
        <w:rPr>
          <w:noProof/>
        </w:rPr>
        <w:drawing>
          <wp:inline distT="0" distB="0" distL="0" distR="0" wp14:anchorId="02A2B866" wp14:editId="11CBB370">
            <wp:extent cx="1828800" cy="2395728"/>
            <wp:effectExtent l="0" t="0" r="0" b="0"/>
            <wp:docPr id="1109049839"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9839" name="Picture 1" descr="Graphical user interface, text, application&#10;&#10;Description automatically generated"/>
                    <pic:cNvPicPr>
                      <a:picLocks noChangeAspect="1"/>
                    </pic:cNvPicPr>
                  </pic:nvPicPr>
                  <pic:blipFill>
                    <a:blip/>
                    <a:stretch>
                      <a:fillRect/>
                    </a:stretch>
                  </pic:blipFill>
                  <pic:spPr>
                    <a:xfrm>
                      <a:off x="0" y="0"/>
                      <a:ext cx="1828800" cy="2395728"/>
                    </a:xfrm>
                    <a:prstGeom prst="rect">
                      <a:avLst/>
                    </a:prstGeom>
                  </pic:spPr>
                </pic:pic>
              </a:graphicData>
            </a:graphic>
          </wp:inline>
        </w:drawing>
      </w:r>
      <w:r w:rsidRPr="000665B0" w:rsidDel="00C02545">
        <w:t xml:space="preserve"> </w:t>
      </w:r>
    </w:p>
    <w:p w14:paraId="0A73207E" w14:textId="7EDF9D2F" w:rsidR="004036B3" w:rsidRPr="004036B3" w:rsidRDefault="004036B3" w:rsidP="006D5A65">
      <w:pPr>
        <w:pStyle w:val="Heading1"/>
      </w:pPr>
      <w:r w:rsidRPr="000665B0">
        <w:t xml:space="preserve">Select or De-Select the desired items and click the </w:t>
      </w:r>
      <w:r w:rsidRPr="000665B0">
        <w:rPr>
          <w:bCs/>
        </w:rPr>
        <w:t>OK</w:t>
      </w:r>
      <w:r w:rsidRPr="000665B0">
        <w:t xml:space="preserve"> button to accept the changes</w:t>
      </w:r>
      <w:r w:rsidRPr="000665B0">
        <w:rPr>
          <w:bCs/>
        </w:rPr>
        <w:t>.</w:t>
      </w:r>
    </w:p>
    <w:p w14:paraId="401C94A3" w14:textId="2E54E8C9" w:rsidR="005D1A26" w:rsidRPr="000665B0" w:rsidRDefault="005D1A26" w:rsidP="006D5A65">
      <w:pPr>
        <w:pStyle w:val="Heading1"/>
      </w:pPr>
      <w:r w:rsidRPr="000665B0">
        <w:t xml:space="preserve">Click the OK button in the </w:t>
      </w:r>
      <w:r w:rsidRPr="000665B0">
        <w:rPr>
          <w:i/>
          <w:iCs/>
        </w:rPr>
        <w:t>Mission</w:t>
      </w:r>
      <w:r w:rsidR="00701C19" w:rsidRPr="000665B0">
        <w:rPr>
          <w:i/>
          <w:iCs/>
        </w:rPr>
        <w:t>s</w:t>
      </w:r>
      <w:r w:rsidRPr="000665B0">
        <w:rPr>
          <w:i/>
          <w:iCs/>
        </w:rPr>
        <w:t xml:space="preserve"> Properties</w:t>
      </w:r>
      <w:r w:rsidRPr="000665B0">
        <w:t xml:space="preserve"> window.</w:t>
      </w:r>
    </w:p>
    <w:p w14:paraId="237F0835" w14:textId="77777777" w:rsidR="005D1A26" w:rsidRPr="000665B0" w:rsidRDefault="005D1A26" w:rsidP="006D5A65">
      <w:pPr>
        <w:pStyle w:val="Heading1"/>
        <w:rPr>
          <w:bCs/>
        </w:rPr>
      </w:pPr>
      <w:r w:rsidRPr="000665B0">
        <w:rPr>
          <w:bCs/>
        </w:rPr>
        <w:t>Select</w:t>
      </w:r>
      <w:r w:rsidRPr="000665B0">
        <w:t xml:space="preserve"> the desired mission(s) from the Mission List.</w:t>
      </w:r>
    </w:p>
    <w:p w14:paraId="5B6AAEAC" w14:textId="75C9D71C" w:rsidR="00701C19" w:rsidRPr="000665B0" w:rsidRDefault="00701C19" w:rsidP="006D5A65">
      <w:pPr>
        <w:pStyle w:val="Heading1"/>
      </w:pPr>
      <w:bookmarkStart w:id="1231" w:name="_Toc71955162"/>
      <w:bookmarkStart w:id="1232" w:name="_Toc96169788"/>
      <w:bookmarkStart w:id="1233" w:name="_Toc96233833"/>
      <w:bookmarkStart w:id="1234" w:name="_Toc112733263"/>
      <w:bookmarkStart w:id="1235" w:name="_Toc289328235"/>
      <w:r w:rsidRPr="000665B0">
        <w:t xml:space="preserve">From the File menu, select Display </w:t>
      </w:r>
      <w:r w:rsidRPr="000665B0">
        <w:sym w:font="Wingdings 3" w:char="F07D"/>
      </w:r>
      <w:r w:rsidRPr="000665B0">
        <w:t xml:space="preserve"> Textually </w:t>
      </w:r>
      <w:r w:rsidR="00FC4324" w:rsidRPr="000665B0">
        <w:t xml:space="preserve">or invoke the context menu </w:t>
      </w:r>
      <w:r w:rsidRPr="000665B0">
        <w:t>(</w:t>
      </w:r>
      <w:r w:rsidR="00D71804" w:rsidRPr="000665B0">
        <w:t>right-click</w:t>
      </w:r>
      <w:r w:rsidRPr="000665B0">
        <w:t xml:space="preserve"> the mouse) or click the Display Textually </w:t>
      </w:r>
      <w:r w:rsidRPr="000665B0">
        <w:rPr>
          <w:noProof/>
        </w:rPr>
        <w:drawing>
          <wp:inline distT="0" distB="0" distL="0" distR="0" wp14:anchorId="3327E966" wp14:editId="53D1D08D">
            <wp:extent cx="152400" cy="152400"/>
            <wp:effectExtent l="0" t="0" r="0" b="0"/>
            <wp:docPr id="241" name="Picture 241" desc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Bar. The unchecked selections no longer show up in the textual display.</w:t>
      </w:r>
    </w:p>
    <w:p w14:paraId="26BBD906" w14:textId="3B38D749" w:rsidR="005D1A26" w:rsidRPr="000665B0" w:rsidRDefault="005D1A26" w:rsidP="009570CA">
      <w:pPr>
        <w:pStyle w:val="Heading4"/>
      </w:pPr>
      <w:bookmarkStart w:id="1236" w:name="_Edit_Missions_Prior"/>
      <w:bookmarkEnd w:id="1236"/>
      <w:r w:rsidRPr="000665B0">
        <w:t>Edit Missions Prior to Initial Distribution</w:t>
      </w:r>
      <w:bookmarkEnd w:id="1231"/>
      <w:bookmarkEnd w:id="1232"/>
      <w:bookmarkEnd w:id="1233"/>
      <w:bookmarkEnd w:id="1234"/>
      <w:bookmarkEnd w:id="1235"/>
    </w:p>
    <w:p w14:paraId="0F817B2C" w14:textId="77777777" w:rsidR="005D1A26" w:rsidRPr="000665B0" w:rsidRDefault="005D1A26" w:rsidP="009570CA">
      <w:r w:rsidRPr="000665B0">
        <w:t xml:space="preserve">Mission edits are primarily the responsibility of the planning site and are performed in accordance with the CTOPS doctrine. Mission edits are not to be performed by </w:t>
      </w:r>
      <w:r w:rsidR="006E178E" w:rsidRPr="000665B0">
        <w:t>Standalone MDS</w:t>
      </w:r>
      <w:r w:rsidRPr="000665B0">
        <w:t>/FRU nodes unless specifically directed.</w:t>
      </w:r>
    </w:p>
    <w:p w14:paraId="2AAD4909" w14:textId="77777777" w:rsidR="00997C7E" w:rsidRDefault="005D1A26" w:rsidP="00EC2AE9">
      <w:pPr>
        <w:spacing w:after="240"/>
        <w:rPr>
          <w:szCs w:val="24"/>
        </w:rPr>
      </w:pPr>
      <w:r w:rsidRPr="000665B0">
        <w:lastRenderedPageBreak/>
        <w:t xml:space="preserve">Specific elements of the mission TCI data can be modified to provide more detail regarding the mission and any special conditions that may apply. The modifiable fields are described in </w:t>
      </w:r>
      <w:r w:rsidR="00FB7B93" w:rsidRPr="000665B0">
        <w:t xml:space="preserve">the table </w:t>
      </w:r>
      <w:r w:rsidRPr="000665B0">
        <w:t>below. If TCI edits are performed on the mission, ensure updates</w:t>
      </w:r>
      <w:r w:rsidR="00882F56" w:rsidRPr="000665B0">
        <w:t xml:space="preserve"> are saved</w:t>
      </w:r>
      <w:r w:rsidRPr="000665B0">
        <w:t xml:space="preserve"> by clicking on the </w:t>
      </w:r>
      <w:r w:rsidRPr="000665B0">
        <w:rPr>
          <w:b/>
        </w:rPr>
        <w:t>Save</w:t>
      </w:r>
      <w:r w:rsidRPr="000665B0">
        <w:t xml:space="preserve"> </w:t>
      </w:r>
      <w:r w:rsidRPr="000665B0">
        <w:sym w:font="Wingdings" w:char="F03C"/>
      </w:r>
      <w:r w:rsidRPr="000665B0">
        <w:t xml:space="preserve"> symbol in the upper left-hand corner of the textual display.</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77"/>
        <w:gridCol w:w="1710"/>
        <w:gridCol w:w="1553"/>
        <w:gridCol w:w="1620"/>
        <w:gridCol w:w="2790"/>
      </w:tblGrid>
      <w:tr w:rsidR="00FD650A" w:rsidRPr="000665B0" w14:paraId="207ABB21" w14:textId="77777777" w:rsidTr="009B294F">
        <w:trPr>
          <w:tblHeader/>
        </w:trPr>
        <w:tc>
          <w:tcPr>
            <w:tcW w:w="1777" w:type="dxa"/>
            <w:shd w:val="clear" w:color="auto" w:fill="D9D9D9" w:themeFill="background1" w:themeFillShade="D9"/>
          </w:tcPr>
          <w:p w14:paraId="586D8A85" w14:textId="77777777" w:rsidR="00FD650A" w:rsidRPr="000665B0" w:rsidRDefault="00FD650A" w:rsidP="009570CA">
            <w:pPr>
              <w:spacing w:before="60" w:after="60"/>
              <w:jc w:val="center"/>
              <w:rPr>
                <w:rFonts w:ascii="Arial" w:hAnsi="Arial" w:cs="Arial"/>
                <w:b/>
                <w:sz w:val="22"/>
                <w:szCs w:val="22"/>
              </w:rPr>
            </w:pPr>
            <w:bookmarkStart w:id="1237" w:name="_Toc71955163"/>
            <w:r w:rsidRPr="000665B0">
              <w:rPr>
                <w:rFonts w:ascii="Arial" w:hAnsi="Arial" w:cs="Arial"/>
                <w:b/>
                <w:sz w:val="22"/>
                <w:szCs w:val="22"/>
              </w:rPr>
              <w:t>Data Element</w:t>
            </w:r>
          </w:p>
        </w:tc>
        <w:tc>
          <w:tcPr>
            <w:tcW w:w="1710" w:type="dxa"/>
            <w:shd w:val="clear" w:color="auto" w:fill="D9D9D9" w:themeFill="background1" w:themeFillShade="D9"/>
          </w:tcPr>
          <w:p w14:paraId="7D67F6BD" w14:textId="77777777" w:rsidR="00FD650A" w:rsidRPr="000665B0" w:rsidRDefault="00FD650A" w:rsidP="009570CA">
            <w:pPr>
              <w:spacing w:before="60" w:after="60"/>
              <w:jc w:val="center"/>
              <w:rPr>
                <w:rFonts w:ascii="Arial" w:hAnsi="Arial" w:cs="Arial"/>
                <w:b/>
                <w:sz w:val="22"/>
                <w:szCs w:val="22"/>
              </w:rPr>
            </w:pPr>
            <w:r w:rsidRPr="000665B0">
              <w:rPr>
                <w:rFonts w:ascii="Arial" w:hAnsi="Arial" w:cs="Arial"/>
                <w:b/>
                <w:sz w:val="22"/>
                <w:szCs w:val="22"/>
              </w:rPr>
              <w:t>R/UGM-109C</w:t>
            </w:r>
          </w:p>
        </w:tc>
        <w:tc>
          <w:tcPr>
            <w:tcW w:w="1553" w:type="dxa"/>
            <w:shd w:val="clear" w:color="auto" w:fill="D9D9D9" w:themeFill="background1" w:themeFillShade="D9"/>
          </w:tcPr>
          <w:p w14:paraId="1871BC7B" w14:textId="77777777" w:rsidR="00FD650A" w:rsidRPr="000665B0" w:rsidRDefault="00FD650A" w:rsidP="009570CA">
            <w:pPr>
              <w:spacing w:before="60" w:after="60"/>
              <w:jc w:val="center"/>
              <w:rPr>
                <w:rFonts w:ascii="Arial" w:hAnsi="Arial" w:cs="Arial"/>
                <w:b/>
                <w:sz w:val="22"/>
                <w:szCs w:val="22"/>
              </w:rPr>
            </w:pPr>
            <w:r w:rsidRPr="000665B0">
              <w:rPr>
                <w:rFonts w:ascii="Arial" w:hAnsi="Arial" w:cs="Arial"/>
                <w:b/>
                <w:sz w:val="22"/>
                <w:szCs w:val="22"/>
              </w:rPr>
              <w:t>R/UGM-109D</w:t>
            </w:r>
          </w:p>
        </w:tc>
        <w:tc>
          <w:tcPr>
            <w:tcW w:w="1620" w:type="dxa"/>
            <w:shd w:val="clear" w:color="auto" w:fill="D9D9D9" w:themeFill="background1" w:themeFillShade="D9"/>
          </w:tcPr>
          <w:p w14:paraId="5E586C0F" w14:textId="77777777" w:rsidR="00FD650A" w:rsidRPr="000665B0" w:rsidRDefault="00FD650A" w:rsidP="009570CA">
            <w:pPr>
              <w:spacing w:before="60" w:after="60"/>
              <w:jc w:val="center"/>
              <w:rPr>
                <w:rFonts w:ascii="Arial" w:hAnsi="Arial" w:cs="Arial"/>
                <w:b/>
                <w:sz w:val="22"/>
                <w:szCs w:val="22"/>
              </w:rPr>
            </w:pPr>
            <w:r w:rsidRPr="000665B0">
              <w:rPr>
                <w:rFonts w:ascii="Arial" w:hAnsi="Arial" w:cs="Arial"/>
                <w:b/>
                <w:sz w:val="22"/>
                <w:szCs w:val="22"/>
              </w:rPr>
              <w:t>R/UGM-109E</w:t>
            </w:r>
          </w:p>
        </w:tc>
        <w:tc>
          <w:tcPr>
            <w:tcW w:w="2790" w:type="dxa"/>
            <w:shd w:val="clear" w:color="auto" w:fill="D9D9D9" w:themeFill="background1" w:themeFillShade="D9"/>
          </w:tcPr>
          <w:p w14:paraId="01367031" w14:textId="77777777" w:rsidR="00FD650A" w:rsidRPr="000665B0" w:rsidRDefault="00FD650A" w:rsidP="009570CA">
            <w:pPr>
              <w:spacing w:before="60" w:after="60"/>
              <w:jc w:val="center"/>
              <w:rPr>
                <w:rFonts w:ascii="Arial" w:hAnsi="Arial" w:cs="Arial"/>
                <w:b/>
                <w:sz w:val="22"/>
                <w:szCs w:val="22"/>
              </w:rPr>
            </w:pPr>
            <w:r w:rsidRPr="000665B0">
              <w:rPr>
                <w:rFonts w:ascii="Arial" w:hAnsi="Arial" w:cs="Arial"/>
                <w:b/>
                <w:sz w:val="22"/>
                <w:szCs w:val="22"/>
              </w:rPr>
              <w:t>Comment</w:t>
            </w:r>
          </w:p>
        </w:tc>
      </w:tr>
      <w:tr w:rsidR="00FD650A" w:rsidRPr="000665B0" w14:paraId="70DBA96D" w14:textId="77777777" w:rsidTr="009B294F">
        <w:tc>
          <w:tcPr>
            <w:tcW w:w="1777" w:type="dxa"/>
          </w:tcPr>
          <w:p w14:paraId="397CC797"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Countries Overflown</w:t>
            </w:r>
          </w:p>
        </w:tc>
        <w:tc>
          <w:tcPr>
            <w:tcW w:w="1710" w:type="dxa"/>
          </w:tcPr>
          <w:p w14:paraId="0301AB53"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72163CDB"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5A29961F"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0870F7B6" w14:textId="77777777" w:rsidR="00FD650A" w:rsidRPr="004B30E6" w:rsidRDefault="00FD650A" w:rsidP="009570CA">
            <w:pPr>
              <w:spacing w:before="60" w:after="60"/>
              <w:rPr>
                <w:rFonts w:ascii="Arial" w:hAnsi="Arial" w:cs="Arial"/>
                <w:sz w:val="18"/>
                <w:szCs w:val="18"/>
              </w:rPr>
            </w:pPr>
          </w:p>
        </w:tc>
      </w:tr>
      <w:tr w:rsidR="00FD650A" w:rsidRPr="000665B0" w14:paraId="0A882B73" w14:textId="77777777" w:rsidTr="009B294F">
        <w:tc>
          <w:tcPr>
            <w:tcW w:w="1777" w:type="dxa"/>
          </w:tcPr>
          <w:p w14:paraId="35FFB029"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Oplan Tasking</w:t>
            </w:r>
          </w:p>
        </w:tc>
        <w:tc>
          <w:tcPr>
            <w:tcW w:w="1710" w:type="dxa"/>
          </w:tcPr>
          <w:p w14:paraId="2D15EE96"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3D6EB43A"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5B04F6B3"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687924DD" w14:textId="77777777" w:rsidR="00FD650A" w:rsidRPr="004B30E6" w:rsidRDefault="00FD650A" w:rsidP="009570CA">
            <w:pPr>
              <w:spacing w:before="60" w:after="60"/>
              <w:rPr>
                <w:rFonts w:ascii="Arial" w:hAnsi="Arial" w:cs="Arial"/>
                <w:sz w:val="18"/>
                <w:szCs w:val="18"/>
              </w:rPr>
            </w:pPr>
          </w:p>
        </w:tc>
      </w:tr>
      <w:tr w:rsidR="00FD650A" w:rsidRPr="000665B0" w14:paraId="0177F7F0" w14:textId="77777777" w:rsidTr="009B294F">
        <w:tc>
          <w:tcPr>
            <w:tcW w:w="1777" w:type="dxa"/>
          </w:tcPr>
          <w:p w14:paraId="24F7833E"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Operational Factors</w:t>
            </w:r>
          </w:p>
        </w:tc>
        <w:tc>
          <w:tcPr>
            <w:tcW w:w="1710" w:type="dxa"/>
          </w:tcPr>
          <w:p w14:paraId="4672984C"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35496CFC"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5CE6BD10"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1AEFED86" w14:textId="77777777" w:rsidR="00FD650A" w:rsidRPr="004B30E6" w:rsidRDefault="00FD650A" w:rsidP="009570CA">
            <w:pPr>
              <w:spacing w:before="60" w:after="60"/>
              <w:rPr>
                <w:rFonts w:ascii="Arial" w:hAnsi="Arial" w:cs="Arial"/>
                <w:sz w:val="18"/>
                <w:szCs w:val="18"/>
              </w:rPr>
            </w:pPr>
          </w:p>
        </w:tc>
      </w:tr>
      <w:tr w:rsidR="00FD650A" w:rsidRPr="000665B0" w14:paraId="39194389" w14:textId="77777777" w:rsidTr="009B294F">
        <w:tc>
          <w:tcPr>
            <w:tcW w:w="1777" w:type="dxa"/>
          </w:tcPr>
          <w:p w14:paraId="726F65E3"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Installation Name</w:t>
            </w:r>
          </w:p>
        </w:tc>
        <w:tc>
          <w:tcPr>
            <w:tcW w:w="1710" w:type="dxa"/>
          </w:tcPr>
          <w:p w14:paraId="36A49C0B"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64032AA2"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6887847B"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31F257A6" w14:textId="77777777" w:rsidR="00FD650A" w:rsidRPr="004B30E6" w:rsidRDefault="00FD650A" w:rsidP="009570CA">
            <w:pPr>
              <w:spacing w:before="60" w:after="60"/>
              <w:rPr>
                <w:rFonts w:ascii="Arial" w:hAnsi="Arial" w:cs="Arial"/>
                <w:sz w:val="18"/>
                <w:szCs w:val="18"/>
              </w:rPr>
            </w:pPr>
          </w:p>
        </w:tc>
      </w:tr>
      <w:tr w:rsidR="00FD650A" w:rsidRPr="000665B0" w14:paraId="10A70491" w14:textId="77777777" w:rsidTr="009B294F">
        <w:tc>
          <w:tcPr>
            <w:tcW w:w="1777" w:type="dxa"/>
          </w:tcPr>
          <w:p w14:paraId="1940BC82"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Aimpoint Description</w:t>
            </w:r>
          </w:p>
        </w:tc>
        <w:tc>
          <w:tcPr>
            <w:tcW w:w="1710" w:type="dxa"/>
          </w:tcPr>
          <w:p w14:paraId="638C839E"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20A22DAD"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08BF0132"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229D893F" w14:textId="77777777" w:rsidR="00FD650A" w:rsidRPr="004B30E6" w:rsidRDefault="00FD650A" w:rsidP="009570CA">
            <w:pPr>
              <w:spacing w:before="60" w:after="60"/>
              <w:rPr>
                <w:rFonts w:ascii="Arial" w:hAnsi="Arial" w:cs="Arial"/>
                <w:sz w:val="18"/>
                <w:szCs w:val="18"/>
              </w:rPr>
            </w:pPr>
          </w:p>
        </w:tc>
      </w:tr>
      <w:tr w:rsidR="00FD650A" w:rsidRPr="000665B0" w14:paraId="37C22428" w14:textId="77777777" w:rsidTr="009B294F">
        <w:tc>
          <w:tcPr>
            <w:tcW w:w="1777" w:type="dxa"/>
          </w:tcPr>
          <w:p w14:paraId="7266D782"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BDA Visible Damage</w:t>
            </w:r>
          </w:p>
        </w:tc>
        <w:tc>
          <w:tcPr>
            <w:tcW w:w="1710" w:type="dxa"/>
          </w:tcPr>
          <w:p w14:paraId="6E669634"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709D2C05"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58AEA1A5"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3E7C0B16" w14:textId="77777777" w:rsidR="00FD650A" w:rsidRPr="004B30E6" w:rsidRDefault="00FD650A" w:rsidP="009570CA">
            <w:pPr>
              <w:spacing w:before="60" w:after="60"/>
              <w:rPr>
                <w:rFonts w:ascii="Arial" w:hAnsi="Arial" w:cs="Arial"/>
                <w:sz w:val="18"/>
                <w:szCs w:val="18"/>
              </w:rPr>
            </w:pPr>
          </w:p>
        </w:tc>
      </w:tr>
      <w:tr w:rsidR="00FD650A" w:rsidRPr="000665B0" w14:paraId="66A3EFA7" w14:textId="77777777" w:rsidTr="009B294F">
        <w:tc>
          <w:tcPr>
            <w:tcW w:w="1777" w:type="dxa"/>
          </w:tcPr>
          <w:p w14:paraId="2DF1F237"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BDA Sensor Requirements</w:t>
            </w:r>
          </w:p>
        </w:tc>
        <w:tc>
          <w:tcPr>
            <w:tcW w:w="1710" w:type="dxa"/>
          </w:tcPr>
          <w:p w14:paraId="35E60019"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539E89EF"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041E8146"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2152200A" w14:textId="77777777" w:rsidR="00FD650A" w:rsidRPr="004B30E6" w:rsidRDefault="00FD650A" w:rsidP="009570CA">
            <w:pPr>
              <w:spacing w:before="60" w:after="60"/>
              <w:rPr>
                <w:rFonts w:ascii="Arial" w:hAnsi="Arial" w:cs="Arial"/>
                <w:sz w:val="18"/>
                <w:szCs w:val="18"/>
              </w:rPr>
            </w:pPr>
          </w:p>
        </w:tc>
      </w:tr>
      <w:tr w:rsidR="00FD650A" w:rsidRPr="000665B0" w14:paraId="78C760D3" w14:textId="77777777" w:rsidTr="009B294F">
        <w:tc>
          <w:tcPr>
            <w:tcW w:w="1777" w:type="dxa"/>
          </w:tcPr>
          <w:p w14:paraId="3A2DD992"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BDA EEI Report</w:t>
            </w:r>
          </w:p>
        </w:tc>
        <w:tc>
          <w:tcPr>
            <w:tcW w:w="1710" w:type="dxa"/>
          </w:tcPr>
          <w:p w14:paraId="0C009234"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0CF59868"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44E47425"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0B488949" w14:textId="77777777" w:rsidR="00FD650A" w:rsidRPr="004B30E6" w:rsidRDefault="00FD650A" w:rsidP="009570CA">
            <w:pPr>
              <w:spacing w:before="60" w:after="60"/>
              <w:rPr>
                <w:rFonts w:ascii="Arial" w:hAnsi="Arial" w:cs="Arial"/>
                <w:sz w:val="18"/>
                <w:szCs w:val="18"/>
              </w:rPr>
            </w:pPr>
          </w:p>
        </w:tc>
      </w:tr>
      <w:tr w:rsidR="00FD650A" w:rsidRPr="000665B0" w14:paraId="5BE17FAE" w14:textId="77777777" w:rsidTr="009B294F">
        <w:tc>
          <w:tcPr>
            <w:tcW w:w="1777" w:type="dxa"/>
          </w:tcPr>
          <w:p w14:paraId="13DA7E68"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Target Factors</w:t>
            </w:r>
          </w:p>
        </w:tc>
        <w:tc>
          <w:tcPr>
            <w:tcW w:w="1710" w:type="dxa"/>
          </w:tcPr>
          <w:p w14:paraId="40302A15"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12CB3A5A"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198A568E"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6B27407A" w14:textId="77777777" w:rsidR="00FD650A" w:rsidRPr="004B30E6" w:rsidRDefault="00FD650A" w:rsidP="009570CA">
            <w:pPr>
              <w:spacing w:before="60" w:after="60"/>
              <w:rPr>
                <w:rFonts w:ascii="Arial" w:hAnsi="Arial" w:cs="Arial"/>
                <w:sz w:val="18"/>
                <w:szCs w:val="18"/>
              </w:rPr>
            </w:pPr>
          </w:p>
        </w:tc>
      </w:tr>
      <w:tr w:rsidR="00FD650A" w:rsidRPr="000665B0" w14:paraId="2639EE04" w14:textId="77777777" w:rsidTr="009B294F">
        <w:trPr>
          <w:cantSplit/>
        </w:trPr>
        <w:tc>
          <w:tcPr>
            <w:tcW w:w="1777" w:type="dxa"/>
          </w:tcPr>
          <w:p w14:paraId="74EC1DAF"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Weapon Target Flag</w:t>
            </w:r>
          </w:p>
        </w:tc>
        <w:tc>
          <w:tcPr>
            <w:tcW w:w="1710" w:type="dxa"/>
          </w:tcPr>
          <w:p w14:paraId="213BBCDC"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0BC9082F"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3A4BB8C2"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05FBC179"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Possible values are Unitary, Area, and Not Applicable</w:t>
            </w:r>
          </w:p>
        </w:tc>
      </w:tr>
      <w:tr w:rsidR="00FD650A" w:rsidRPr="000665B0" w14:paraId="06589BFA" w14:textId="77777777" w:rsidTr="009B294F">
        <w:tc>
          <w:tcPr>
            <w:tcW w:w="1777" w:type="dxa"/>
          </w:tcPr>
          <w:p w14:paraId="176CC5A1"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Single Shot Probability</w:t>
            </w:r>
          </w:p>
        </w:tc>
        <w:tc>
          <w:tcPr>
            <w:tcW w:w="1710" w:type="dxa"/>
          </w:tcPr>
          <w:p w14:paraId="42E6717A"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1D9C33CF"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0C7C418D"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15EB7E4A"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Only applicable if weapon target flag is for Unitary.</w:t>
            </w:r>
          </w:p>
        </w:tc>
      </w:tr>
      <w:tr w:rsidR="00FD650A" w:rsidRPr="000665B0" w14:paraId="036982F0" w14:textId="77777777" w:rsidTr="009B294F">
        <w:trPr>
          <w:cantSplit/>
        </w:trPr>
        <w:tc>
          <w:tcPr>
            <w:tcW w:w="1777" w:type="dxa"/>
          </w:tcPr>
          <w:p w14:paraId="1064770D"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Object FD</w:t>
            </w:r>
          </w:p>
        </w:tc>
        <w:tc>
          <w:tcPr>
            <w:tcW w:w="1710" w:type="dxa"/>
          </w:tcPr>
          <w:p w14:paraId="7937EE28"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71B87CD3"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4D999413"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17D28CA0"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Only applicable if weapon target flag is for Area.</w:t>
            </w:r>
          </w:p>
        </w:tc>
      </w:tr>
      <w:tr w:rsidR="00FD650A" w:rsidRPr="000665B0" w14:paraId="6A2AC6F9" w14:textId="77777777" w:rsidTr="009B294F">
        <w:tc>
          <w:tcPr>
            <w:tcW w:w="1777" w:type="dxa"/>
          </w:tcPr>
          <w:p w14:paraId="01D0D622"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Temperature Critical Points</w:t>
            </w:r>
          </w:p>
        </w:tc>
        <w:tc>
          <w:tcPr>
            <w:tcW w:w="1710" w:type="dxa"/>
          </w:tcPr>
          <w:p w14:paraId="43B37885"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57235990"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022FD297"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7FAEA632" w14:textId="77777777" w:rsidR="00FD650A" w:rsidRPr="004B30E6" w:rsidRDefault="00FD650A" w:rsidP="009570CA">
            <w:pPr>
              <w:spacing w:before="60" w:after="60"/>
              <w:rPr>
                <w:rFonts w:ascii="Arial" w:hAnsi="Arial" w:cs="Arial"/>
                <w:sz w:val="18"/>
                <w:szCs w:val="18"/>
              </w:rPr>
            </w:pPr>
          </w:p>
        </w:tc>
      </w:tr>
      <w:tr w:rsidR="00FD650A" w:rsidRPr="000665B0" w14:paraId="13217220" w14:textId="77777777" w:rsidTr="009B294F">
        <w:trPr>
          <w:cantSplit/>
        </w:trPr>
        <w:tc>
          <w:tcPr>
            <w:tcW w:w="1777" w:type="dxa"/>
          </w:tcPr>
          <w:p w14:paraId="06202423"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lastRenderedPageBreak/>
              <w:t>Composite DSMAC Requirements</w:t>
            </w:r>
          </w:p>
        </w:tc>
        <w:tc>
          <w:tcPr>
            <w:tcW w:w="1710" w:type="dxa"/>
          </w:tcPr>
          <w:p w14:paraId="1A1718DA"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03211746"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27869520"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7113A50C"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Includes:</w:t>
            </w:r>
          </w:p>
          <w:p w14:paraId="19AFA596" w14:textId="77777777" w:rsidR="00FD650A" w:rsidRPr="004B30E6" w:rsidRDefault="00FD650A" w:rsidP="006D5A65">
            <w:pPr>
              <w:pStyle w:val="Heading1"/>
            </w:pPr>
            <w:r w:rsidRPr="004B30E6">
              <w:t>Overflight Window Closes</w:t>
            </w:r>
          </w:p>
          <w:p w14:paraId="02703873" w14:textId="77777777" w:rsidR="00FD650A" w:rsidRPr="004B30E6" w:rsidRDefault="00FD650A" w:rsidP="006D5A65">
            <w:pPr>
              <w:pStyle w:val="Heading1"/>
            </w:pPr>
            <w:r w:rsidRPr="004B30E6">
              <w:t>Overflight Window Opens</w:t>
            </w:r>
          </w:p>
          <w:p w14:paraId="263235CC" w14:textId="77777777" w:rsidR="00FD650A" w:rsidRPr="004B30E6" w:rsidRDefault="00FD650A" w:rsidP="006D5A65">
            <w:pPr>
              <w:pStyle w:val="Heading1"/>
            </w:pPr>
            <w:r w:rsidRPr="004B30E6">
              <w:t>Min Visibility Day</w:t>
            </w:r>
          </w:p>
          <w:p w14:paraId="6F46986B" w14:textId="77777777" w:rsidR="00FD650A" w:rsidRPr="004B30E6" w:rsidRDefault="00FD650A" w:rsidP="006D5A65">
            <w:pPr>
              <w:pStyle w:val="Heading1"/>
            </w:pPr>
            <w:r w:rsidRPr="004B30E6">
              <w:t>Min Visibility Night</w:t>
            </w:r>
          </w:p>
          <w:p w14:paraId="02523264" w14:textId="77777777" w:rsidR="00FD650A" w:rsidRPr="004B30E6" w:rsidRDefault="00FD650A" w:rsidP="006D5A65">
            <w:pPr>
              <w:pStyle w:val="Heading1"/>
            </w:pPr>
            <w:r w:rsidRPr="004B30E6">
              <w:t>Ceiling</w:t>
            </w:r>
          </w:p>
          <w:p w14:paraId="2663E100" w14:textId="77777777" w:rsidR="00FD650A" w:rsidRPr="004B30E6" w:rsidRDefault="00FD650A" w:rsidP="006D5A65">
            <w:pPr>
              <w:pStyle w:val="Heading1"/>
            </w:pPr>
            <w:r w:rsidRPr="004B30E6">
              <w:t>4 seasonal periods</w:t>
            </w:r>
          </w:p>
          <w:p w14:paraId="60BB7918" w14:textId="77777777" w:rsidR="00FD650A" w:rsidRPr="004B30E6" w:rsidRDefault="00FD650A" w:rsidP="006D5A65">
            <w:pPr>
              <w:pStyle w:val="Heading1"/>
            </w:pPr>
            <w:r w:rsidRPr="004B30E6">
              <w:t>Snow statement</w:t>
            </w:r>
          </w:p>
        </w:tc>
      </w:tr>
      <w:tr w:rsidR="00FD650A" w:rsidRPr="000665B0" w14:paraId="39F32B11" w14:textId="77777777" w:rsidTr="009B294F">
        <w:tc>
          <w:tcPr>
            <w:tcW w:w="1777" w:type="dxa"/>
          </w:tcPr>
          <w:p w14:paraId="0523F864"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Special Requirements</w:t>
            </w:r>
          </w:p>
        </w:tc>
        <w:tc>
          <w:tcPr>
            <w:tcW w:w="1710" w:type="dxa"/>
          </w:tcPr>
          <w:p w14:paraId="4FFCC1BC"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2EA125FC"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773B0278"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2DDAB233" w14:textId="77777777" w:rsidR="00FD650A" w:rsidRPr="004B30E6" w:rsidRDefault="00FD650A" w:rsidP="009570CA">
            <w:pPr>
              <w:spacing w:before="60" w:after="60"/>
              <w:rPr>
                <w:rFonts w:ascii="Arial" w:hAnsi="Arial" w:cs="Arial"/>
                <w:sz w:val="18"/>
                <w:szCs w:val="18"/>
              </w:rPr>
            </w:pPr>
          </w:p>
        </w:tc>
      </w:tr>
      <w:tr w:rsidR="00FD650A" w:rsidRPr="000665B0" w14:paraId="151F5EFD" w14:textId="77777777" w:rsidTr="009B294F">
        <w:tc>
          <w:tcPr>
            <w:tcW w:w="1777" w:type="dxa"/>
          </w:tcPr>
          <w:p w14:paraId="40C7EB2A" w14:textId="77777777" w:rsidR="00FD650A" w:rsidRPr="004B30E6" w:rsidRDefault="00FD650A" w:rsidP="009570CA">
            <w:pPr>
              <w:spacing w:before="60" w:after="60"/>
              <w:rPr>
                <w:rFonts w:ascii="Arial" w:hAnsi="Arial" w:cs="Arial"/>
                <w:sz w:val="18"/>
                <w:szCs w:val="18"/>
              </w:rPr>
            </w:pPr>
            <w:r w:rsidRPr="004B30E6">
              <w:rPr>
                <w:rFonts w:ascii="Arial" w:hAnsi="Arial" w:cs="Arial"/>
                <w:sz w:val="18"/>
                <w:szCs w:val="18"/>
              </w:rPr>
              <w:t>Target Object Data</w:t>
            </w:r>
          </w:p>
        </w:tc>
        <w:tc>
          <w:tcPr>
            <w:tcW w:w="1710" w:type="dxa"/>
          </w:tcPr>
          <w:p w14:paraId="509588BE"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553" w:type="dxa"/>
          </w:tcPr>
          <w:p w14:paraId="13ABBCBD"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1620" w:type="dxa"/>
          </w:tcPr>
          <w:p w14:paraId="3E745EB9" w14:textId="77777777" w:rsidR="00FD650A" w:rsidRPr="004B30E6" w:rsidRDefault="00FD650A" w:rsidP="009570CA">
            <w:pPr>
              <w:spacing w:before="60" w:after="60"/>
              <w:jc w:val="center"/>
              <w:rPr>
                <w:rFonts w:ascii="Arial" w:hAnsi="Arial" w:cs="Arial"/>
                <w:sz w:val="18"/>
                <w:szCs w:val="18"/>
              </w:rPr>
            </w:pPr>
            <w:r w:rsidRPr="004B30E6">
              <w:rPr>
                <w:rFonts w:ascii="Arial" w:hAnsi="Arial" w:cs="Arial"/>
                <w:sz w:val="18"/>
                <w:szCs w:val="18"/>
              </w:rPr>
              <w:t>Y</w:t>
            </w:r>
          </w:p>
        </w:tc>
        <w:tc>
          <w:tcPr>
            <w:tcW w:w="2790" w:type="dxa"/>
          </w:tcPr>
          <w:p w14:paraId="1162C4AA" w14:textId="77777777" w:rsidR="00FD650A" w:rsidRPr="004B30E6" w:rsidRDefault="00FD650A" w:rsidP="009570CA">
            <w:pPr>
              <w:spacing w:before="60" w:after="60"/>
              <w:rPr>
                <w:rFonts w:ascii="Arial" w:hAnsi="Arial" w:cs="Arial"/>
                <w:sz w:val="18"/>
                <w:szCs w:val="18"/>
              </w:rPr>
            </w:pPr>
          </w:p>
        </w:tc>
      </w:tr>
    </w:tbl>
    <w:p w14:paraId="1DBB777C" w14:textId="155D3B9C" w:rsidR="00D24909" w:rsidRPr="000665B0" w:rsidRDefault="005D1A26" w:rsidP="00923E12">
      <w:pPr>
        <w:pStyle w:val="Heading5"/>
        <w:keepLines/>
      </w:pPr>
      <w:bookmarkStart w:id="1238" w:name="_Toc96169790"/>
      <w:bookmarkStart w:id="1239" w:name="_Toc96233835"/>
      <w:bookmarkStart w:id="1240" w:name="_Toc112733265"/>
      <w:bookmarkStart w:id="1241" w:name="_Toc289328237"/>
      <w:bookmarkEnd w:id="1237"/>
      <w:r w:rsidRPr="000665B0">
        <w:t>Primary Route</w:t>
      </w:r>
      <w:bookmarkEnd w:id="1238"/>
      <w:bookmarkEnd w:id="1239"/>
      <w:bookmarkEnd w:id="1240"/>
      <w:bookmarkEnd w:id="1241"/>
      <w:r w:rsidR="002B0C1F" w:rsidRPr="000665B0" w:rsidDel="00611C96">
        <w:t xml:space="preserve"> </w:t>
      </w:r>
    </w:p>
    <w:p w14:paraId="61206A4D" w14:textId="395FC772" w:rsidR="004B30E6" w:rsidRDefault="004B30E6" w:rsidP="009570CA">
      <w:pPr>
        <w:rPr>
          <w:b/>
          <w:bCs/>
        </w:rPr>
      </w:pPr>
      <w:r w:rsidRPr="004B30E6">
        <w:rPr>
          <w:b/>
          <w:bCs/>
        </w:rPr>
        <w:t>Countries OVFLN (Overflown)</w:t>
      </w:r>
      <w:r w:rsidRPr="000665B0">
        <w:t xml:space="preserve"> – </w:t>
      </w:r>
      <w:r w:rsidRPr="004B30E6">
        <w:rPr>
          <w:bCs/>
        </w:rPr>
        <w:t xml:space="preserve">This field applies to all TLAM variants and provides information regarding which countries the missile flies over. For information about the selection and display of Country Codes and country names during system operation, see </w:t>
      </w:r>
      <w:hyperlink w:anchor="_Appendix_C__Country_Codes__(SORTED__1" w:history="1">
        <w:r w:rsidRPr="004B30E6">
          <w:rPr>
            <w:rStyle w:val="Hyperlink"/>
            <w:bCs/>
          </w:rPr>
          <w:t>Appendix C</w:t>
        </w:r>
      </w:hyperlink>
      <w:r w:rsidRPr="004B30E6">
        <w:rPr>
          <w:bCs/>
        </w:rPr>
        <w:t>.</w:t>
      </w:r>
    </w:p>
    <w:p w14:paraId="3BE39C40" w14:textId="30DB1E26" w:rsidR="005D1A26" w:rsidRPr="000665B0" w:rsidRDefault="00D24909" w:rsidP="009570CA">
      <w:r w:rsidRPr="000665B0">
        <w:rPr>
          <w:b/>
          <w:bCs/>
        </w:rPr>
        <w:t>Operational Plan (OPLAN)/Tasking</w:t>
      </w:r>
      <w:r w:rsidRPr="000665B0">
        <w:t xml:space="preserve"> – This data provides the source of the request for the mission and applies to all TLAM variants</w:t>
      </w:r>
      <w:r w:rsidR="005D1A26" w:rsidRPr="000665B0">
        <w:t>.</w:t>
      </w:r>
    </w:p>
    <w:p w14:paraId="25EE12AD" w14:textId="77777777" w:rsidR="005D1A26" w:rsidRPr="000665B0" w:rsidRDefault="005D1A26" w:rsidP="009570CA">
      <w:pPr>
        <w:spacing w:after="0"/>
      </w:pPr>
      <w:r w:rsidRPr="000665B0">
        <w:rPr>
          <w:b/>
        </w:rPr>
        <w:t>Operational Factors</w:t>
      </w:r>
      <w:r w:rsidRPr="000665B0">
        <w:t xml:space="preserve"> – This data provides for notes on considerations affecting the use of a particular mission. Standard items include statements regarding the overall mission objective, a definition of success criteria, or identification of special mission requirements not covered by Missile Mission Matching (</w:t>
      </w:r>
      <w:r w:rsidRPr="000665B0">
        <w:rPr>
          <w:b/>
        </w:rPr>
        <w:t>M</w:t>
      </w:r>
      <w:r w:rsidRPr="000665B0">
        <w:rPr>
          <w:b/>
          <w:szCs w:val="24"/>
        </w:rPr>
        <w:t>3</w:t>
      </w:r>
      <w:r w:rsidRPr="000665B0">
        <w:t>). This field applies to all TLAM variants.</w:t>
      </w:r>
    </w:p>
    <w:p w14:paraId="394F3F01" w14:textId="2625AF51" w:rsidR="005D1A26" w:rsidRPr="000665B0" w:rsidRDefault="005D1A26" w:rsidP="00306174">
      <w:pPr>
        <w:pStyle w:val="Heading6"/>
      </w:pPr>
      <w:bookmarkStart w:id="1242" w:name="_Toc112733266"/>
      <w:bookmarkStart w:id="1243" w:name="_Toc289328238"/>
      <w:r w:rsidRPr="000665B0">
        <w:t>Target Data</w:t>
      </w:r>
      <w:bookmarkEnd w:id="1242"/>
      <w:bookmarkEnd w:id="1243"/>
    </w:p>
    <w:p w14:paraId="3030E022" w14:textId="77777777" w:rsidR="00823C5E" w:rsidRPr="000665B0" w:rsidRDefault="00823C5E" w:rsidP="009570CA">
      <w:bookmarkStart w:id="1244" w:name="_Toc71955167"/>
      <w:bookmarkStart w:id="1245" w:name="_Toc112733267"/>
      <w:bookmarkStart w:id="1246" w:name="_Toc289328239"/>
      <w:r w:rsidRPr="000665B0">
        <w:rPr>
          <w:b/>
          <w:bCs/>
        </w:rPr>
        <w:t>Installation Name</w:t>
      </w:r>
      <w:r w:rsidRPr="000665B0">
        <w:t xml:space="preserve"> – There is one installation per target segment. It is the standard MIDB name used for the installations containing the Target Segment.</w:t>
      </w:r>
    </w:p>
    <w:p w14:paraId="5E1338DD" w14:textId="77777777" w:rsidR="00823C5E" w:rsidRPr="000665B0" w:rsidRDefault="00823C5E" w:rsidP="009570CA">
      <w:r w:rsidRPr="000665B0">
        <w:rPr>
          <w:b/>
          <w:bCs/>
        </w:rPr>
        <w:t>Aimpoint Description</w:t>
      </w:r>
      <w:r w:rsidRPr="000665B0">
        <w:t xml:space="preserve"> – This area generally provides specific information regarding the aimpoint and is free form text. For TLAM-C missions, there can be an Aimpoint Description for each aimpoint and/or recovery point. For TLAM-D missions, there can be multiple aimpoints per installation/facility for each Target Segment. For </w:t>
      </w:r>
      <w:r w:rsidR="00B376A1" w:rsidRPr="000665B0">
        <w:t>109E</w:t>
      </w:r>
      <w:r w:rsidRPr="000665B0">
        <w:t xml:space="preserve"> missions, there can be an Aimpoint Description for each aimpoint and/or recovery point in the mission. There may be a maximum of 16 aimpoints in a </w:t>
      </w:r>
      <w:r w:rsidR="00B376A1" w:rsidRPr="000665B0">
        <w:t>109E</w:t>
      </w:r>
      <w:r w:rsidRPr="000665B0">
        <w:t xml:space="preserve"> mission.</w:t>
      </w:r>
    </w:p>
    <w:p w14:paraId="22795F30" w14:textId="77777777" w:rsidR="00823C5E" w:rsidRPr="000665B0" w:rsidRDefault="00823C5E" w:rsidP="009570CA">
      <w:r w:rsidRPr="000665B0">
        <w:rPr>
          <w:b/>
          <w:bCs/>
        </w:rPr>
        <w:t>BDA Visible Damage</w:t>
      </w:r>
      <w:r w:rsidRPr="000665B0">
        <w:t xml:space="preserve"> – This identifies the expected visible clues that will indicate a successful single missile arrival. </w:t>
      </w:r>
    </w:p>
    <w:p w14:paraId="2545734E" w14:textId="77777777" w:rsidR="00823C5E" w:rsidRPr="000665B0" w:rsidRDefault="00823C5E" w:rsidP="009570CA">
      <w:r w:rsidRPr="000665B0">
        <w:rPr>
          <w:b/>
          <w:bCs/>
        </w:rPr>
        <w:lastRenderedPageBreak/>
        <w:t>BDA Sensor Requirements</w:t>
      </w:r>
      <w:r w:rsidRPr="000665B0">
        <w:t xml:space="preserve"> – This is used to identify the desired sensors and collection parameters to support BDA, if the mission is selected.</w:t>
      </w:r>
    </w:p>
    <w:p w14:paraId="74653A05" w14:textId="77777777" w:rsidR="00823C5E" w:rsidRPr="000665B0" w:rsidRDefault="00823C5E" w:rsidP="009570CA">
      <w:r w:rsidRPr="000665B0">
        <w:rPr>
          <w:b/>
          <w:bCs/>
        </w:rPr>
        <w:t>BDA Elements of Essential Information (EEI) Report</w:t>
      </w:r>
      <w:r w:rsidRPr="000665B0">
        <w:t xml:space="preserve"> – This identifies the elements to include in the exploitation report, if the mission is used.</w:t>
      </w:r>
    </w:p>
    <w:p w14:paraId="6A6FC4FB" w14:textId="77777777" w:rsidR="00823C5E" w:rsidRPr="000665B0" w:rsidRDefault="00823C5E" w:rsidP="009570CA">
      <w:r w:rsidRPr="000665B0">
        <w:rPr>
          <w:b/>
          <w:bCs/>
        </w:rPr>
        <w:t>Target Factors</w:t>
      </w:r>
      <w:r w:rsidRPr="000665B0">
        <w:t xml:space="preserve"> – This contains information/notes about the target in a particular mission, such as specific target objects, and the expected results of a successful mission. This field applies to all TLAM variants.</w:t>
      </w:r>
    </w:p>
    <w:p w14:paraId="5CE4B210" w14:textId="77777777" w:rsidR="00823C5E" w:rsidRPr="000665B0" w:rsidRDefault="00823C5E" w:rsidP="009570CA">
      <w:r w:rsidRPr="000665B0">
        <w:rPr>
          <w:b/>
          <w:bCs/>
        </w:rPr>
        <w:t>Weapon Target Flag</w:t>
      </w:r>
      <w:r w:rsidRPr="000665B0">
        <w:t xml:space="preserve"> – This is an indicator to identify if the mission is for a Point or an Area target. This flag has to be set to </w:t>
      </w:r>
      <w:r w:rsidRPr="000665B0">
        <w:rPr>
          <w:b/>
          <w:bCs/>
        </w:rPr>
        <w:t>U</w:t>
      </w:r>
      <w:r w:rsidRPr="000665B0">
        <w:t xml:space="preserve"> in order for the Desired PD fields to be updated with the correct number of missiles.</w:t>
      </w:r>
    </w:p>
    <w:p w14:paraId="4C900AB2" w14:textId="2EC54F2D" w:rsidR="00823C5E" w:rsidRPr="000665B0" w:rsidRDefault="00823C5E" w:rsidP="009570CA">
      <w:r w:rsidRPr="000665B0">
        <w:rPr>
          <w:b/>
          <w:bCs/>
        </w:rPr>
        <w:t>Single Shot Probability of Damage (SSPD)</w:t>
      </w:r>
      <w:r w:rsidRPr="000665B0">
        <w:t xml:space="preserve"> –</w:t>
      </w:r>
      <w:r w:rsidR="00F607BE">
        <w:t xml:space="preserve"> </w:t>
      </w:r>
      <w:r w:rsidRPr="000665B0">
        <w:t>For TLAM-C</w:t>
      </w:r>
      <w:r w:rsidR="00DD752C">
        <w:t>,</w:t>
      </w:r>
      <w:r w:rsidRPr="000665B0">
        <w:t xml:space="preserve"> </w:t>
      </w:r>
      <w:r w:rsidR="00B376A1" w:rsidRPr="000665B0">
        <w:t>109E</w:t>
      </w:r>
      <w:r w:rsidR="00DD752C">
        <w:t>, and 109M</w:t>
      </w:r>
      <w:r w:rsidRPr="000665B0">
        <w:t xml:space="preserve"> missions, this refers to the SSPD or Single Shot Fractional Damage (</w:t>
      </w:r>
      <w:r w:rsidRPr="000665B0">
        <w:rPr>
          <w:b/>
          <w:bCs/>
        </w:rPr>
        <w:t>SSFD</w:t>
      </w:r>
      <w:r w:rsidRPr="000665B0">
        <w:t>). This is defined as the computed estimate of the probability that the target will be damaged to a specific level, or that an estimated fraction of the target will be damaged to a specific level. For TLAM-D missions, see Object Fractional Damage (</w:t>
      </w:r>
      <w:r w:rsidRPr="000665B0">
        <w:rPr>
          <w:b/>
          <w:bCs/>
        </w:rPr>
        <w:t>FD</w:t>
      </w:r>
      <w:r w:rsidRPr="000665B0">
        <w:t>) below.</w:t>
      </w:r>
    </w:p>
    <w:p w14:paraId="4CF7244E" w14:textId="77777777" w:rsidR="00823C5E" w:rsidRPr="000665B0" w:rsidRDefault="00823C5E" w:rsidP="009570CA">
      <w:pPr>
        <w:spacing w:after="0"/>
      </w:pPr>
      <w:r w:rsidRPr="000665B0">
        <w:rPr>
          <w:b/>
          <w:bCs/>
        </w:rPr>
        <w:t>FD</w:t>
      </w:r>
      <w:r w:rsidRPr="000665B0">
        <w:t xml:space="preserve"> – This is the predicted probability of damage (or fractional coverage) for the target object. Applies to TLAM-D missions only. </w:t>
      </w:r>
    </w:p>
    <w:p w14:paraId="4038B5C7" w14:textId="531CCDB1" w:rsidR="005D1A26" w:rsidRPr="000665B0" w:rsidRDefault="005D1A26" w:rsidP="00306174">
      <w:pPr>
        <w:pStyle w:val="Heading6"/>
      </w:pPr>
      <w:r w:rsidRPr="000665B0">
        <w:t>Environmental Parameters</w:t>
      </w:r>
      <w:bookmarkEnd w:id="1244"/>
      <w:bookmarkEnd w:id="1245"/>
      <w:bookmarkEnd w:id="1246"/>
    </w:p>
    <w:p w14:paraId="5AA26D48" w14:textId="77777777" w:rsidR="005D1A26" w:rsidRPr="000665B0" w:rsidRDefault="005D1A26" w:rsidP="009570CA">
      <w:pPr>
        <w:spacing w:after="0"/>
      </w:pPr>
      <w:r w:rsidRPr="000665B0">
        <w:rPr>
          <w:b/>
        </w:rPr>
        <w:t>Temperature Critical Points</w:t>
      </w:r>
      <w:r w:rsidRPr="000665B0">
        <w:t xml:space="preserve"> – This data provides elevation and temperature data for specific latitudes and longitudes along the mission path. Up to </w:t>
      </w:r>
      <w:r w:rsidR="004B5776" w:rsidRPr="000665B0">
        <w:t xml:space="preserve">five </w:t>
      </w:r>
      <w:r w:rsidRPr="000665B0">
        <w:t xml:space="preserve">temperature critical points can be modified. This area applies to all TLAM variants. </w:t>
      </w:r>
    </w:p>
    <w:p w14:paraId="244742C4" w14:textId="2BFC3984" w:rsidR="005D1A26" w:rsidRPr="000665B0" w:rsidRDefault="005D1A26" w:rsidP="00306174">
      <w:pPr>
        <w:pStyle w:val="Heading6"/>
      </w:pPr>
      <w:bookmarkStart w:id="1247" w:name="_Toc112733268"/>
      <w:bookmarkStart w:id="1248" w:name="_Toc289328240"/>
      <w:r w:rsidRPr="000665B0">
        <w:t>Composite DSMAC Requirements</w:t>
      </w:r>
      <w:bookmarkEnd w:id="1247"/>
      <w:bookmarkEnd w:id="1248"/>
      <w:r w:rsidRPr="000665B0">
        <w:t xml:space="preserve"> </w:t>
      </w:r>
    </w:p>
    <w:p w14:paraId="5CD92A59" w14:textId="77777777" w:rsidR="005D1A26" w:rsidRPr="000665B0" w:rsidRDefault="005D1A26" w:rsidP="009570CA">
      <w:r w:rsidRPr="000665B0">
        <w:t xml:space="preserve">This data provides the environmental conditions during which the DSMAC is at its most accurate visibility and apply to the TLAM-C, TLAM-D, and </w:t>
      </w:r>
      <w:r w:rsidR="00B376A1" w:rsidRPr="000665B0">
        <w:t>109E</w:t>
      </w:r>
      <w:r w:rsidRPr="000665B0">
        <w:t xml:space="preserve"> missions only.</w:t>
      </w:r>
    </w:p>
    <w:p w14:paraId="123A8DAC" w14:textId="31EAF872" w:rsidR="005D1A26" w:rsidRPr="000665B0" w:rsidRDefault="005D1A26" w:rsidP="009570CA">
      <w:r w:rsidRPr="000665B0">
        <w:rPr>
          <w:b/>
        </w:rPr>
        <w:t>Day Overflight Window Opens</w:t>
      </w:r>
      <w:r w:rsidRPr="000665B0">
        <w:t xml:space="preserve"> – The earliest time, in hours, after sunrise (in </w:t>
      </w:r>
      <w:r w:rsidR="00274DFF" w:rsidRPr="000665B0">
        <w:t>half-</w:t>
      </w:r>
      <w:r w:rsidRPr="000665B0">
        <w:t>hour increments) when a missile must pass the first DSMAC map in a Day use only or Day/Night Use mission. For Day/Night Use missions, the permissible window opens again at sunset at the first DSMAC map.</w:t>
      </w:r>
    </w:p>
    <w:p w14:paraId="6B59C431" w14:textId="17B1E98C" w:rsidR="005D1A26" w:rsidRPr="000665B0" w:rsidRDefault="005D1A26" w:rsidP="009570CA">
      <w:r w:rsidRPr="000665B0">
        <w:rPr>
          <w:b/>
        </w:rPr>
        <w:t>Day Overflight Window Closes</w:t>
      </w:r>
      <w:r w:rsidRPr="000665B0">
        <w:t xml:space="preserve"> – The latest time, in hours before sunset (in </w:t>
      </w:r>
      <w:r w:rsidR="00274DFF" w:rsidRPr="000665B0">
        <w:t>half-</w:t>
      </w:r>
      <w:r w:rsidRPr="000665B0">
        <w:t>hour increments) when a missile must pass the last DSMAC map in a Day use Only or Day/Night Use mission. For Day/Night Use missions, the permissible window opens again at sunset at the first DSMAC map.</w:t>
      </w:r>
    </w:p>
    <w:p w14:paraId="6DC87B4B" w14:textId="77777777" w:rsidR="005D1A26" w:rsidRPr="000665B0" w:rsidRDefault="005D1A26" w:rsidP="009570CA">
      <w:r w:rsidRPr="000665B0">
        <w:rPr>
          <w:b/>
        </w:rPr>
        <w:t>Minimum Visibility (Day)</w:t>
      </w:r>
      <w:r w:rsidRPr="000665B0">
        <w:t xml:space="preserve"> – For Day use Only and Day/Night Use missions, the minimum acceptable ground level daylight visibility, in statute miles, in the DSMAC area for proper DSMAC sensor operation.</w:t>
      </w:r>
    </w:p>
    <w:p w14:paraId="3F2ED0E0" w14:textId="77777777" w:rsidR="005D1A26" w:rsidRPr="000665B0" w:rsidRDefault="005D1A26" w:rsidP="009570CA">
      <w:r w:rsidRPr="000665B0">
        <w:rPr>
          <w:b/>
        </w:rPr>
        <w:t>Minimum Visibility (Night)</w:t>
      </w:r>
      <w:r w:rsidRPr="000665B0">
        <w:t xml:space="preserve"> – For Night use Only and Day/Night Use missions, the minimum acceptable ground level night visibility, in statute miles, in the DSMAC area or proper DSMAC sensor operation.</w:t>
      </w:r>
    </w:p>
    <w:p w14:paraId="020FF91F" w14:textId="77777777" w:rsidR="005D1A26" w:rsidRPr="000665B0" w:rsidRDefault="005D1A26" w:rsidP="009570CA">
      <w:r w:rsidRPr="000665B0">
        <w:rPr>
          <w:b/>
        </w:rPr>
        <w:lastRenderedPageBreak/>
        <w:t xml:space="preserve">Ceiling </w:t>
      </w:r>
      <w:r w:rsidR="004B5776" w:rsidRPr="000665B0">
        <w:rPr>
          <w:b/>
        </w:rPr>
        <w:t>Greater Than</w:t>
      </w:r>
      <w:r w:rsidR="004B5776" w:rsidRPr="000665B0">
        <w:t xml:space="preserve"> </w:t>
      </w:r>
      <w:r w:rsidRPr="000665B0">
        <w:t>– Minimum acceptable ceiling in the DSMAC area for proper DSMAC sensor operation.</w:t>
      </w:r>
    </w:p>
    <w:p w14:paraId="39D4C246" w14:textId="77777777" w:rsidR="005D1A26" w:rsidRPr="000665B0" w:rsidRDefault="005D1A26" w:rsidP="009570CA">
      <w:r w:rsidRPr="000665B0">
        <w:rPr>
          <w:b/>
        </w:rPr>
        <w:t>Use From:</w:t>
      </w:r>
      <w:r w:rsidR="004D24FB" w:rsidRPr="000665B0">
        <w:rPr>
          <w:b/>
        </w:rPr>
        <w:t>/</w:t>
      </w:r>
      <w:r w:rsidRPr="000665B0">
        <w:rPr>
          <w:b/>
        </w:rPr>
        <w:t>To:</w:t>
      </w:r>
      <w:r w:rsidRPr="000665B0">
        <w:t xml:space="preserve"> – Identifies the time frame during the year when a particular mission may be used.</w:t>
      </w:r>
    </w:p>
    <w:p w14:paraId="322DD11F" w14:textId="77777777" w:rsidR="005D1A26" w:rsidRPr="000665B0" w:rsidRDefault="005D1A26" w:rsidP="009570CA">
      <w:r w:rsidRPr="000665B0">
        <w:rPr>
          <w:b/>
        </w:rPr>
        <w:t>Snow Statement</w:t>
      </w:r>
      <w:r w:rsidRPr="000665B0">
        <w:t xml:space="preserve"> – Identifies the snow conditions that the mission was planned for.</w:t>
      </w:r>
    </w:p>
    <w:p w14:paraId="22BC6D01" w14:textId="77777777" w:rsidR="005D1A26" w:rsidRPr="000665B0" w:rsidRDefault="005D1A26" w:rsidP="009570CA">
      <w:pPr>
        <w:spacing w:after="0"/>
      </w:pPr>
      <w:r w:rsidRPr="000665B0">
        <w:rPr>
          <w:b/>
        </w:rPr>
        <w:t>Special Requirements</w:t>
      </w:r>
      <w:r w:rsidRPr="000665B0">
        <w:t xml:space="preserve"> – Provides for including special circumstances regarding composite DSMAC requirements. This field applies to all TLAM variants.</w:t>
      </w:r>
    </w:p>
    <w:p w14:paraId="31AE7191" w14:textId="7FFF7623" w:rsidR="005D1A26" w:rsidRPr="000665B0" w:rsidRDefault="005D1A26" w:rsidP="009570CA">
      <w:pPr>
        <w:pStyle w:val="Heading5"/>
        <w:keepNext w:val="0"/>
      </w:pPr>
      <w:bookmarkStart w:id="1249" w:name="_Toc96169791"/>
      <w:bookmarkStart w:id="1250" w:name="_Toc96233836"/>
      <w:bookmarkStart w:id="1251" w:name="_Toc112733269"/>
      <w:bookmarkStart w:id="1252" w:name="_Toc289328241"/>
      <w:r w:rsidRPr="000665B0">
        <w:t>Target Object Data</w:t>
      </w:r>
      <w:bookmarkEnd w:id="1249"/>
      <w:bookmarkEnd w:id="1250"/>
      <w:bookmarkEnd w:id="1251"/>
      <w:bookmarkEnd w:id="1252"/>
    </w:p>
    <w:p w14:paraId="0C4795FB" w14:textId="2BB386A4" w:rsidR="00F607BE" w:rsidRDefault="005D1A26" w:rsidP="009570CA">
      <w:pPr>
        <w:spacing w:after="0"/>
      </w:pPr>
      <w:r w:rsidRPr="000665B0">
        <w:rPr>
          <w:b/>
        </w:rPr>
        <w:t>Target Object Data</w:t>
      </w:r>
      <w:r w:rsidRPr="000665B0">
        <w:t xml:space="preserve"> – Provides descriptive data about defined objects identified and associated with the mission. "Objects" are target objects with aimpoints assigned in this mission plus no-strike objects and Acceptable Strike Impact Perimeters</w:t>
      </w:r>
      <w:r w:rsidR="00823C5E" w:rsidRPr="000665B0">
        <w:t>,</w:t>
      </w:r>
      <w:r w:rsidRPr="000665B0">
        <w:t xml:space="preserve"> including defined divert areas, that have been evaluated during mission planning. Objects are listed on a target segment basis.</w:t>
      </w:r>
    </w:p>
    <w:p w14:paraId="31516A8B" w14:textId="2D065470" w:rsidR="005D1A26" w:rsidRPr="000665B0" w:rsidRDefault="005D1A26" w:rsidP="00073656">
      <w:pPr>
        <w:pStyle w:val="Heading5"/>
        <w:keepLines/>
      </w:pPr>
      <w:bookmarkStart w:id="1253" w:name="_Editing_a_Mission"/>
      <w:bookmarkStart w:id="1254" w:name="_Toc96169792"/>
      <w:bookmarkStart w:id="1255" w:name="_Toc96233837"/>
      <w:bookmarkStart w:id="1256" w:name="_Toc112733270"/>
      <w:bookmarkStart w:id="1257" w:name="_Toc289328242"/>
      <w:bookmarkEnd w:id="1253"/>
      <w:r w:rsidRPr="000665B0">
        <w:t>Editing a Mission</w:t>
      </w:r>
      <w:bookmarkEnd w:id="1254"/>
      <w:bookmarkEnd w:id="1255"/>
      <w:bookmarkEnd w:id="1256"/>
      <w:bookmarkEnd w:id="1257"/>
    </w:p>
    <w:p w14:paraId="1B711E5B" w14:textId="77777777" w:rsidR="005D1A26" w:rsidRPr="000665B0" w:rsidRDefault="005D1A26" w:rsidP="00073656">
      <w:pPr>
        <w:keepNext/>
        <w:keepLines/>
      </w:pPr>
      <w:r w:rsidRPr="000665B0">
        <w:t>To edit a mission:</w:t>
      </w:r>
    </w:p>
    <w:p w14:paraId="5DA643F3" w14:textId="77777777" w:rsidR="005D1A26" w:rsidRPr="000665B0" w:rsidRDefault="005D1A26" w:rsidP="006D5A65">
      <w:pPr>
        <w:pStyle w:val="Heading1"/>
      </w:pPr>
      <w:r w:rsidRPr="000665B0">
        <w:t>Navigate to the Missions Tool.</w:t>
      </w:r>
    </w:p>
    <w:p w14:paraId="4E89B8A3" w14:textId="4FA36A44" w:rsidR="005D1A26" w:rsidRPr="000665B0" w:rsidRDefault="005D1A26" w:rsidP="006D5A65">
      <w:pPr>
        <w:pStyle w:val="Heading1"/>
      </w:pPr>
      <w:r w:rsidRPr="000665B0">
        <w:t xml:space="preserve">From the File menu select the Display </w:t>
      </w:r>
      <w:r w:rsidR="00D56AB4" w:rsidRPr="000665B0">
        <w:sym w:font="Wingdings 3" w:char="F07D"/>
      </w:r>
      <w:r w:rsidRPr="000665B0">
        <w:t xml:space="preserve"> Textually </w:t>
      </w:r>
      <w:r w:rsidR="00FC4324" w:rsidRPr="000665B0">
        <w:t xml:space="preserve">or invoke the context menu </w:t>
      </w:r>
      <w:r w:rsidRPr="000665B0">
        <w:t>(</w:t>
      </w:r>
      <w:r w:rsidR="00D71804" w:rsidRPr="000665B0">
        <w:t>right-click</w:t>
      </w:r>
      <w:r w:rsidRPr="000665B0">
        <w:t xml:space="preserve"> the mouse) or click the Display Textually </w:t>
      </w:r>
      <w:r w:rsidR="00616028" w:rsidRPr="000665B0">
        <w:rPr>
          <w:noProof/>
        </w:rPr>
        <w:drawing>
          <wp:inline distT="0" distB="0" distL="0" distR="0" wp14:anchorId="18BA7A48" wp14:editId="333A8E49">
            <wp:extent cx="152400" cy="152400"/>
            <wp:effectExtent l="0" t="0" r="0" b="0"/>
            <wp:docPr id="1255" name="Picture 1255" desc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616028" w:rsidRPr="000665B0">
        <w:t xml:space="preserve"> </w:t>
      </w:r>
      <w:r w:rsidRPr="000665B0">
        <w:t>icon on the Tool Bar.</w:t>
      </w:r>
    </w:p>
    <w:p w14:paraId="147D2C9E" w14:textId="77777777" w:rsidR="005D1A26" w:rsidRPr="000665B0" w:rsidRDefault="005D1A26" w:rsidP="006D5A65">
      <w:pPr>
        <w:pStyle w:val="Heading1"/>
      </w:pPr>
      <w:r w:rsidRPr="000665B0">
        <w:t>Scroll through the display and modify the applicable fields. (The user can now TAB from editable field to editable field.)</w:t>
      </w:r>
    </w:p>
    <w:p w14:paraId="2125765A" w14:textId="77777777" w:rsidR="005D1A26" w:rsidRPr="000665B0" w:rsidRDefault="005D1A26" w:rsidP="006D5A65">
      <w:pPr>
        <w:pStyle w:val="Heading1"/>
      </w:pPr>
      <w:r w:rsidRPr="000665B0">
        <w:t xml:space="preserve">From the File menu select </w:t>
      </w:r>
      <w:r w:rsidRPr="000665B0">
        <w:rPr>
          <w:bCs/>
        </w:rPr>
        <w:t>Save</w:t>
      </w:r>
      <w:r w:rsidRPr="000665B0">
        <w:t xml:space="preserve"> to save </w:t>
      </w:r>
      <w:r w:rsidR="00D30E77" w:rsidRPr="000665B0">
        <w:t xml:space="preserve">the </w:t>
      </w:r>
      <w:r w:rsidRPr="000665B0">
        <w:t>changes.</w:t>
      </w:r>
    </w:p>
    <w:p w14:paraId="353A2314" w14:textId="4ABC3066" w:rsidR="006B05C6" w:rsidRPr="000665B0" w:rsidRDefault="006B05C6" w:rsidP="009570CA">
      <w:pPr>
        <w:pStyle w:val="Heading5"/>
        <w:keepNext w:val="0"/>
      </w:pPr>
      <w:bookmarkStart w:id="1258" w:name="_Toc289328243"/>
      <w:bookmarkStart w:id="1259" w:name="_Toc96169793"/>
      <w:bookmarkStart w:id="1260" w:name="_Toc96233838"/>
      <w:bookmarkStart w:id="1261" w:name="_Toc112733271"/>
      <w:bookmarkStart w:id="1262" w:name="_Toc71955170"/>
      <w:r w:rsidRPr="000665B0">
        <w:t>Editing Mission Classification</w:t>
      </w:r>
      <w:bookmarkEnd w:id="1258"/>
    </w:p>
    <w:p w14:paraId="12607B94" w14:textId="77777777" w:rsidR="006B05C6" w:rsidRPr="000665B0" w:rsidRDefault="006B05C6" w:rsidP="009570CA">
      <w:pPr>
        <w:pStyle w:val="Number0205"/>
        <w:ind w:left="0" w:firstLine="0"/>
      </w:pPr>
      <w:r w:rsidRPr="000665B0">
        <w:t>The classification of a mission can be edited in two ways. To edit a mission’s classification from the Mission Textual View:</w:t>
      </w:r>
    </w:p>
    <w:p w14:paraId="1A7190EB" w14:textId="77777777" w:rsidR="006B05C6" w:rsidRPr="000665B0" w:rsidRDefault="006B05C6" w:rsidP="006D5A65">
      <w:pPr>
        <w:pStyle w:val="Heading1"/>
      </w:pPr>
      <w:r w:rsidRPr="000665B0">
        <w:t>Navigate to the Missions Tool.</w:t>
      </w:r>
    </w:p>
    <w:p w14:paraId="11D14B09" w14:textId="673AF278" w:rsidR="006B05C6" w:rsidRPr="000665B0" w:rsidRDefault="006B05C6" w:rsidP="006D5A65">
      <w:pPr>
        <w:pStyle w:val="Heading1"/>
      </w:pPr>
      <w:r w:rsidRPr="000665B0">
        <w:t xml:space="preserve">From the File menu select the Display </w:t>
      </w:r>
      <w:r w:rsidR="00D56AB4" w:rsidRPr="000665B0">
        <w:sym w:font="Wingdings 3" w:char="F07D"/>
      </w:r>
      <w:r w:rsidRPr="000665B0">
        <w:t xml:space="preserve"> Textually </w:t>
      </w:r>
      <w:r w:rsidR="00FC4324" w:rsidRPr="000665B0">
        <w:t xml:space="preserve">or invoke the context menu </w:t>
      </w:r>
      <w:r w:rsidRPr="000665B0">
        <w:t>(</w:t>
      </w:r>
      <w:r w:rsidR="00D71804" w:rsidRPr="000665B0">
        <w:t>right-click</w:t>
      </w:r>
      <w:r w:rsidRPr="000665B0">
        <w:t xml:space="preserve"> the mouse) or click the Display Textually </w:t>
      </w:r>
      <w:r w:rsidR="00616028" w:rsidRPr="000665B0">
        <w:rPr>
          <w:noProof/>
        </w:rPr>
        <w:drawing>
          <wp:inline distT="0" distB="0" distL="0" distR="0" wp14:anchorId="0D71F79C" wp14:editId="687150EC">
            <wp:extent cx="152400" cy="152400"/>
            <wp:effectExtent l="0" t="0" r="0" b="0"/>
            <wp:docPr id="1254" name="Picture 1254" desc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616028" w:rsidRPr="000665B0">
        <w:t xml:space="preserve"> </w:t>
      </w:r>
      <w:r w:rsidRPr="000665B0">
        <w:t>icon on the Tool Bar.</w:t>
      </w:r>
    </w:p>
    <w:p w14:paraId="25384C92" w14:textId="1F6F59BB" w:rsidR="006B05C6" w:rsidRPr="000665B0" w:rsidRDefault="006B05C6" w:rsidP="006D5A65">
      <w:pPr>
        <w:pStyle w:val="Heading1"/>
      </w:pPr>
      <w:r w:rsidRPr="000665B0">
        <w:t xml:space="preserve">In the Mission Textual View, click the </w:t>
      </w:r>
      <w:r w:rsidRPr="000665B0">
        <w:rPr>
          <w:bCs/>
        </w:rPr>
        <w:t>Edit</w:t>
      </w:r>
      <w:r w:rsidRPr="000665B0">
        <w:t xml:space="preserve"> button. This will display the </w:t>
      </w:r>
      <w:r w:rsidRPr="000665B0">
        <w:rPr>
          <w:i/>
          <w:iCs/>
        </w:rPr>
        <w:t>Edit Classification</w:t>
      </w:r>
      <w:r w:rsidRPr="000665B0">
        <w:t xml:space="preserve"> window. Click the </w:t>
      </w:r>
      <w:r w:rsidRPr="000665B0">
        <w:rPr>
          <w:rFonts w:ascii="Wingdings 3" w:hAnsi="Wingdings 3"/>
        </w:rPr>
        <w:t></w:t>
      </w:r>
      <w:r w:rsidRPr="000665B0">
        <w:t xml:space="preserve">button to select a classification. For information on editing the classification see </w:t>
      </w:r>
      <w:hyperlink w:anchor="_5.2.7__Edit" w:history="1">
        <w:r w:rsidRPr="000665B0">
          <w:rPr>
            <w:rStyle w:val="Hyperlink"/>
          </w:rPr>
          <w:t>Section 5.2.</w:t>
        </w:r>
        <w:r w:rsidR="00517ACD" w:rsidRPr="000665B0">
          <w:rPr>
            <w:rStyle w:val="Hyperlink"/>
          </w:rPr>
          <w:t>7</w:t>
        </w:r>
      </w:hyperlink>
      <w:r w:rsidRPr="000665B0">
        <w:t>.</w:t>
      </w:r>
    </w:p>
    <w:p w14:paraId="7BDE4EA2" w14:textId="77777777" w:rsidR="006B05C6" w:rsidRPr="000665B0" w:rsidRDefault="006B05C6" w:rsidP="006D5A65">
      <w:pPr>
        <w:pStyle w:val="Heading1"/>
      </w:pPr>
      <w:r w:rsidRPr="000665B0">
        <w:t xml:space="preserve">From the File menu select </w:t>
      </w:r>
      <w:r w:rsidRPr="000665B0">
        <w:rPr>
          <w:bCs/>
        </w:rPr>
        <w:t>Save</w:t>
      </w:r>
      <w:r w:rsidRPr="000665B0">
        <w:t xml:space="preserve"> to save </w:t>
      </w:r>
      <w:r w:rsidR="00D30E77" w:rsidRPr="000665B0">
        <w:t xml:space="preserve">the </w:t>
      </w:r>
      <w:r w:rsidRPr="000665B0">
        <w:t>changes.</w:t>
      </w:r>
    </w:p>
    <w:p w14:paraId="1A7B95A3" w14:textId="502BF08C" w:rsidR="006B05C6" w:rsidRPr="000665B0" w:rsidRDefault="006B05C6" w:rsidP="009570CA">
      <w:pPr>
        <w:pStyle w:val="Number0205"/>
        <w:ind w:left="0" w:firstLine="0"/>
      </w:pPr>
      <w:r w:rsidRPr="000665B0">
        <w:t xml:space="preserve">The classification of a mission can also be edited from the </w:t>
      </w:r>
      <w:r w:rsidRPr="000665B0">
        <w:rPr>
          <w:b/>
        </w:rPr>
        <w:t>Missions</w:t>
      </w:r>
      <w:r w:rsidRPr="000665B0">
        <w:t xml:space="preserve"> Tool. For information on how to edit the mission classification from the </w:t>
      </w:r>
      <w:r w:rsidRPr="000665B0">
        <w:rPr>
          <w:b/>
        </w:rPr>
        <w:t>Missions</w:t>
      </w:r>
      <w:r w:rsidRPr="000665B0">
        <w:t xml:space="preserve"> Tool see </w:t>
      </w:r>
      <w:hyperlink w:anchor="_5.6.11__Multiple" w:history="1">
        <w:r w:rsidRPr="000665B0">
          <w:rPr>
            <w:rStyle w:val="Hyperlink"/>
          </w:rPr>
          <w:t>Section 5.</w:t>
        </w:r>
        <w:r w:rsidR="00C526BF" w:rsidRPr="000665B0">
          <w:rPr>
            <w:rStyle w:val="Hyperlink"/>
          </w:rPr>
          <w:t>5</w:t>
        </w:r>
        <w:r w:rsidRPr="000665B0">
          <w:rPr>
            <w:rStyle w:val="Hyperlink"/>
          </w:rPr>
          <w:t>.</w:t>
        </w:r>
        <w:r w:rsidR="00E96243" w:rsidRPr="000665B0">
          <w:rPr>
            <w:rStyle w:val="Hyperlink"/>
          </w:rPr>
          <w:t>10</w:t>
        </w:r>
      </w:hyperlink>
      <w:r w:rsidRPr="000665B0">
        <w:t>.</w:t>
      </w:r>
    </w:p>
    <w:p w14:paraId="12286090" w14:textId="77777777" w:rsidR="006B05C6" w:rsidRPr="000665B0" w:rsidRDefault="006B05C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szCs w:val="24"/>
        </w:rPr>
        <w:t>Note:</w:t>
      </w:r>
    </w:p>
    <w:p w14:paraId="320D3FB1" w14:textId="072EC7A0" w:rsidR="006B05C6" w:rsidRPr="000665B0" w:rsidRDefault="006B05C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rPr>
        <w:t xml:space="preserve">The mission MUST have a TPS Version of </w:t>
      </w:r>
      <w:r w:rsidR="001C1130" w:rsidRPr="000665B0">
        <w:rPr>
          <w:b/>
        </w:rPr>
        <w:t>5.x</w:t>
      </w:r>
      <w:r w:rsidRPr="000665B0">
        <w:rPr>
          <w:b/>
        </w:rPr>
        <w:t xml:space="preserve"> or higher</w:t>
      </w:r>
      <w:r w:rsidRPr="000665B0">
        <w:rPr>
          <w:b/>
          <w:szCs w:val="24"/>
        </w:rPr>
        <w:t xml:space="preserve"> in order to edit the classification.</w:t>
      </w:r>
    </w:p>
    <w:p w14:paraId="415138CD" w14:textId="7ADF8516" w:rsidR="005D1A26" w:rsidRPr="000665B0" w:rsidRDefault="005D1A26" w:rsidP="009570CA">
      <w:pPr>
        <w:pStyle w:val="Heading3"/>
      </w:pPr>
      <w:bookmarkStart w:id="1263" w:name="_5.6.2__Display"/>
      <w:bookmarkStart w:id="1264" w:name="_Display_Mission(s)_CALA"/>
      <w:bookmarkStart w:id="1265" w:name="_Toc289328244"/>
      <w:bookmarkStart w:id="1266" w:name="_Toc312331674"/>
      <w:bookmarkStart w:id="1267" w:name="_Toc214283156"/>
      <w:bookmarkEnd w:id="1263"/>
      <w:bookmarkEnd w:id="1264"/>
      <w:r w:rsidRPr="000665B0">
        <w:lastRenderedPageBreak/>
        <w:t>Display Mission(s) CALA Geographically</w:t>
      </w:r>
      <w:bookmarkEnd w:id="1259"/>
      <w:bookmarkEnd w:id="1260"/>
      <w:bookmarkEnd w:id="1261"/>
      <w:bookmarkEnd w:id="1265"/>
      <w:bookmarkEnd w:id="1266"/>
      <w:bookmarkEnd w:id="1267"/>
    </w:p>
    <w:p w14:paraId="63FCDF98" w14:textId="77777777" w:rsidR="005D1A26" w:rsidRPr="000665B0" w:rsidRDefault="005D1A26" w:rsidP="009570CA">
      <w:r w:rsidRPr="000665B0">
        <w:t>MDS has the ability to geographically display the Composite Allowable Launch Area (</w:t>
      </w:r>
      <w:r w:rsidRPr="000665B0">
        <w:rPr>
          <w:b/>
        </w:rPr>
        <w:t>CALA</w:t>
      </w:r>
      <w:r w:rsidRPr="000665B0">
        <w:t xml:space="preserve">) for a group of missions. The CALA is used to analyze the geographic requirements for a battle group or FRU to execute a set of missions. The CALA is displayed as a polygon with a cross-hatch fill. The operator also has the ability to display the launch baskets for each of the missions by selecting the </w:t>
      </w:r>
      <w:r w:rsidR="00DB71F5" w:rsidRPr="000665B0">
        <w:t xml:space="preserve">mission's checkbox from the </w:t>
      </w:r>
      <w:r w:rsidR="00DB71F5" w:rsidRPr="000665B0">
        <w:rPr>
          <w:szCs w:val="24"/>
        </w:rPr>
        <w:t>Geo Object Manager.</w:t>
      </w:r>
    </w:p>
    <w:p w14:paraId="771AC33A" w14:textId="77777777" w:rsidR="005D1A26" w:rsidRPr="000665B0" w:rsidRDefault="005D1A26" w:rsidP="009570CA">
      <w:r w:rsidRPr="000665B0">
        <w:t>The Display CALA Geographically option is available from the Mission List View, the Candidate List View, Hidden Candidate List View, Option Mission List View</w:t>
      </w:r>
      <w:r w:rsidR="00823C5E" w:rsidRPr="000665B0">
        <w:t>,</w:t>
      </w:r>
      <w:r w:rsidRPr="000665B0">
        <w:t xml:space="preserve"> or Option Reservation List View. The last four views can be accessed from a Strike. </w:t>
      </w:r>
    </w:p>
    <w:p w14:paraId="58C06F52" w14:textId="77777777" w:rsidR="005D1A26" w:rsidRPr="000665B0" w:rsidRDefault="005D1A26" w:rsidP="009570CA">
      <w:r w:rsidRPr="000665B0">
        <w:t>The menu option is only available when two or more missions are selected.</w:t>
      </w:r>
    </w:p>
    <w:p w14:paraId="697B8251" w14:textId="77777777" w:rsidR="005D1A26" w:rsidRPr="000665B0" w:rsidRDefault="005D1A26" w:rsidP="009570CA">
      <w:r w:rsidRPr="000665B0">
        <w:t>If the option is selected and the launch baskets from the missions do not intersect, the label for the CALA object in the Geo Object Manager will include “</w:t>
      </w:r>
      <w:r w:rsidRPr="000665B0">
        <w:rPr>
          <w:b/>
        </w:rPr>
        <w:t>- No Intersection</w:t>
      </w:r>
      <w:r w:rsidRPr="000665B0">
        <w:t>”.</w:t>
      </w:r>
    </w:p>
    <w:p w14:paraId="42433BFC" w14:textId="5988715C" w:rsidR="005D1A26" w:rsidRPr="000665B0" w:rsidRDefault="005D1A26" w:rsidP="009570CA">
      <w:r w:rsidRPr="000665B0">
        <w:t xml:space="preserve">The operator can display the launch basket for missions included in the CALA to determine which launch baskets don’t intersect. By </w:t>
      </w:r>
      <w:r w:rsidR="00D71804" w:rsidRPr="000665B0">
        <w:t>right-click</w:t>
      </w:r>
      <w:r w:rsidRPr="000665B0">
        <w:t>ing on a mission the operator can also remove that mission from the CALA.</w:t>
      </w:r>
    </w:p>
    <w:p w14:paraId="2861153B" w14:textId="2764BC43" w:rsidR="00DB71F5" w:rsidRPr="000665B0" w:rsidRDefault="00DB71F5" w:rsidP="009570CA">
      <w:bookmarkStart w:id="1268" w:name="_Toc96169794"/>
      <w:bookmarkStart w:id="1269" w:name="_Toc96233839"/>
      <w:bookmarkStart w:id="1270" w:name="_Toc112733272"/>
      <w:r w:rsidRPr="000665B0">
        <w:t>The color, fill type, shape, opposing semi-circle reduction</w:t>
      </w:r>
      <w:r w:rsidR="00823C5E" w:rsidRPr="000665B0">
        <w:t>,</w:t>
      </w:r>
      <w:r w:rsidRPr="000665B0">
        <w:t xml:space="preserve"> and size of the CALA can be changed in the CALA Properties </w:t>
      </w:r>
      <w:r w:rsidR="00F60B5E" w:rsidRPr="000665B0">
        <w:t>window</w:t>
      </w:r>
      <w:r w:rsidRPr="000665B0">
        <w:t xml:space="preserve">. Selecting a CALA in the Geo Object Manager and </w:t>
      </w:r>
      <w:r w:rsidR="00D71804" w:rsidRPr="000665B0">
        <w:t>right-click</w:t>
      </w:r>
      <w:r w:rsidRPr="000665B0">
        <w:t xml:space="preserve">ing on </w:t>
      </w:r>
      <w:r w:rsidRPr="000665B0">
        <w:rPr>
          <w:b/>
          <w:bCs/>
        </w:rPr>
        <w:t>CALA Properties…</w:t>
      </w:r>
      <w:r w:rsidRPr="000665B0">
        <w:t xml:space="preserve"> will open the </w:t>
      </w:r>
      <w:r w:rsidRPr="000665B0">
        <w:rPr>
          <w:i/>
        </w:rPr>
        <w:t xml:space="preserve">CALA Preferences </w:t>
      </w:r>
      <w:r w:rsidRPr="000665B0">
        <w:t>window.</w:t>
      </w:r>
    </w:p>
    <w:p w14:paraId="2F783461" w14:textId="7308F939" w:rsidR="00DB71F5" w:rsidRPr="000665B0" w:rsidRDefault="00E36788" w:rsidP="009570CA">
      <w:pPr>
        <w:spacing w:before="120"/>
        <w:jc w:val="center"/>
      </w:pPr>
      <w:r w:rsidRPr="000665B0">
        <w:rPr>
          <w:noProof/>
        </w:rPr>
        <w:drawing>
          <wp:inline distT="0" distB="0" distL="0" distR="0" wp14:anchorId="0D87CFD6" wp14:editId="3B03A344">
            <wp:extent cx="2286000" cy="1828800"/>
            <wp:effectExtent l="0" t="0" r="0" b="0"/>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828800"/>
                    </a:xfrm>
                    <a:prstGeom prst="rect">
                      <a:avLst/>
                    </a:prstGeom>
                  </pic:spPr>
                </pic:pic>
              </a:graphicData>
            </a:graphic>
          </wp:inline>
        </w:drawing>
      </w:r>
    </w:p>
    <w:p w14:paraId="317E2CB4" w14:textId="77777777" w:rsidR="00DB71F5" w:rsidRPr="000665B0" w:rsidRDefault="00DB71F5" w:rsidP="009570CA">
      <w:r w:rsidRPr="000665B0">
        <w:t xml:space="preserve">From the CALA Preferences </w:t>
      </w:r>
      <w:r w:rsidR="008E629C" w:rsidRPr="000665B0">
        <w:t>window</w:t>
      </w:r>
      <w:r w:rsidRPr="000665B0">
        <w:t>, the CALA can be created using either the launch basket or allowable launch area shape. The launch basket is a semi-circle with a semi-circle cutout in the middle – a half donut. The allowable launch area is a full circle.</w:t>
      </w:r>
    </w:p>
    <w:p w14:paraId="5085C976" w14:textId="77777777" w:rsidR="00DB71F5" w:rsidRPr="000665B0" w:rsidRDefault="00DB71F5" w:rsidP="009570CA">
      <w:r w:rsidRPr="000665B0">
        <w:t>The opposing semi-circle reduction is the semi-circle opposite the launch basket. This area can be reduced from 0 – 50 nautical miles.</w:t>
      </w:r>
    </w:p>
    <w:p w14:paraId="378E8610" w14:textId="77777777" w:rsidR="00DB71F5" w:rsidRPr="000665B0" w:rsidRDefault="00DB71F5" w:rsidP="009570CA">
      <w:pPr>
        <w:spacing w:after="0"/>
      </w:pPr>
      <w:r w:rsidRPr="000665B0">
        <w:t>The CALA size can be displayed by selecting either Mission Timing Requirement which uses the TOT Statement or non-TOA MAXSOR which always displays the outer line. If the TOT Statement is TOT not Assigned or blank, the non-TOA MAXSOR line is drawn. If the TOT Statement is TOT Assigned or TOT with Tophat, the TOA MAXSOR line is drawn.</w:t>
      </w:r>
    </w:p>
    <w:p w14:paraId="71B9F79D" w14:textId="6C018CDC" w:rsidR="005D1A26" w:rsidRPr="000665B0" w:rsidRDefault="005D1A26" w:rsidP="009570CA">
      <w:pPr>
        <w:pStyle w:val="Heading3"/>
      </w:pPr>
      <w:bookmarkStart w:id="1271" w:name="_5.6.3__Display"/>
      <w:bookmarkStart w:id="1272" w:name="_Toc289328245"/>
      <w:bookmarkStart w:id="1273" w:name="_Toc312331675"/>
      <w:bookmarkStart w:id="1274" w:name="_Toc214283157"/>
      <w:bookmarkEnd w:id="1271"/>
      <w:r w:rsidRPr="000665B0">
        <w:lastRenderedPageBreak/>
        <w:t>Display Mission(s) Geographically</w:t>
      </w:r>
      <w:bookmarkEnd w:id="1262"/>
      <w:bookmarkEnd w:id="1268"/>
      <w:bookmarkEnd w:id="1269"/>
      <w:bookmarkEnd w:id="1270"/>
      <w:bookmarkEnd w:id="1272"/>
      <w:bookmarkEnd w:id="1273"/>
      <w:bookmarkEnd w:id="1274"/>
    </w:p>
    <w:p w14:paraId="065D4025" w14:textId="6E7F39DC" w:rsidR="005D1A26" w:rsidRPr="000665B0" w:rsidRDefault="005D1A26" w:rsidP="009570CA">
      <w:pPr>
        <w:rPr>
          <w:snapToGrid w:val="0"/>
        </w:rPr>
      </w:pPr>
      <w:r w:rsidRPr="000665B0">
        <w:rPr>
          <w:snapToGrid w:val="0"/>
        </w:rPr>
        <w:t xml:space="preserve">Initiates the default GEO processor and displays the mission(s) on the map. See </w:t>
      </w:r>
      <w:hyperlink w:anchor="_5.30__GEO" w:history="1">
        <w:r w:rsidR="004B5B37" w:rsidRPr="000665B0">
          <w:rPr>
            <w:rStyle w:val="Hyperlink"/>
            <w:snapToGrid w:val="0"/>
          </w:rPr>
          <w:t xml:space="preserve">Section </w:t>
        </w:r>
        <w:r w:rsidR="004231CC">
          <w:rPr>
            <w:rStyle w:val="Hyperlink"/>
            <w:snapToGrid w:val="0"/>
          </w:rPr>
          <w:t>5.26</w:t>
        </w:r>
      </w:hyperlink>
      <w:r w:rsidR="004B5B37" w:rsidRPr="000665B0">
        <w:rPr>
          <w:snapToGrid w:val="0"/>
        </w:rPr>
        <w:t xml:space="preserve"> </w:t>
      </w:r>
      <w:r w:rsidRPr="000665B0">
        <w:rPr>
          <w:snapToGrid w:val="0"/>
        </w:rPr>
        <w:t>for more details on the Geographic Tool functions.</w:t>
      </w:r>
    </w:p>
    <w:p w14:paraId="42727387" w14:textId="77777777" w:rsidR="005D1A26" w:rsidRPr="000665B0" w:rsidRDefault="005D1A26" w:rsidP="009570CA">
      <w:pPr>
        <w:rPr>
          <w:snapToGrid w:val="0"/>
        </w:rPr>
      </w:pPr>
      <w:r w:rsidRPr="000665B0">
        <w:rPr>
          <w:snapToGrid w:val="0"/>
        </w:rPr>
        <w:t xml:space="preserve">Missions can be displayed geographically from various places in the system. The </w:t>
      </w:r>
      <w:r w:rsidRPr="000665B0">
        <w:t>C</w:t>
      </w:r>
      <w:r w:rsidRPr="000665B0">
        <w:rPr>
          <w:szCs w:val="24"/>
        </w:rPr>
        <w:t>2</w:t>
      </w:r>
      <w:r w:rsidRPr="000665B0">
        <w:rPr>
          <w:snapToGrid w:val="0"/>
        </w:rPr>
        <w:t xml:space="preserve"> data is displayed on a geographic map showing at a minimum the launch basket, the corresponding route(s), and target(s). </w:t>
      </w:r>
    </w:p>
    <w:p w14:paraId="3BC6E2B3" w14:textId="77777777" w:rsidR="001D7658" w:rsidRPr="000665B0" w:rsidRDefault="001D7658" w:rsidP="009570CA">
      <w:pPr>
        <w:rPr>
          <w:snapToGrid w:val="0"/>
        </w:rPr>
      </w:pPr>
      <w:r w:rsidRPr="000665B0">
        <w:rPr>
          <w:snapToGrid w:val="0"/>
        </w:rPr>
        <w:t xml:space="preserve">If the mission(s) being displayed is a PST mission, the divert route(s), activity code(s), and command word(s) are displayed. Divert routes can be identified from the nominal route as a different line style used to represent it. The activity code denotes the warhead fuze inhibit setting. This setting, when enabled, prevents the warhead from detonating. The </w:t>
      </w:r>
      <w:r w:rsidR="00D30E77" w:rsidRPr="000665B0">
        <w:rPr>
          <w:snapToGrid w:val="0"/>
        </w:rPr>
        <w:t xml:space="preserve">three </w:t>
      </w:r>
      <w:r w:rsidRPr="000665B0">
        <w:rPr>
          <w:snapToGrid w:val="0"/>
        </w:rPr>
        <w:t>possible warhead inhibit settings are:</w:t>
      </w:r>
    </w:p>
    <w:p w14:paraId="57F3D301" w14:textId="77777777" w:rsidR="005D1A26" w:rsidRPr="000665B0" w:rsidRDefault="005D1A26" w:rsidP="009570CA">
      <w:pPr>
        <w:ind w:left="360"/>
        <w:rPr>
          <w:snapToGrid w:val="0"/>
        </w:rPr>
      </w:pPr>
      <w:r w:rsidRPr="000665B0">
        <w:rPr>
          <w:snapToGrid w:val="0"/>
        </w:rPr>
        <w:t>0–Remove fuze inhibit 600 feet from the target.</w:t>
      </w:r>
    </w:p>
    <w:p w14:paraId="3FF2AF5F" w14:textId="77777777" w:rsidR="005D1A26" w:rsidRPr="000665B0" w:rsidRDefault="005D1A26" w:rsidP="009570CA">
      <w:pPr>
        <w:ind w:left="360"/>
        <w:rPr>
          <w:snapToGrid w:val="0"/>
        </w:rPr>
      </w:pPr>
      <w:r w:rsidRPr="000665B0">
        <w:rPr>
          <w:snapToGrid w:val="0"/>
        </w:rPr>
        <w:t>1–Removal of fuze inhibit controlled by PST failure/non-failure status.</w:t>
      </w:r>
    </w:p>
    <w:p w14:paraId="5C3E9977" w14:textId="77777777" w:rsidR="005D1A26" w:rsidRPr="000665B0" w:rsidRDefault="005D1A26" w:rsidP="009570CA">
      <w:pPr>
        <w:ind w:left="360"/>
        <w:rPr>
          <w:snapToGrid w:val="0"/>
        </w:rPr>
      </w:pPr>
      <w:r w:rsidRPr="000665B0">
        <w:rPr>
          <w:snapToGrid w:val="0"/>
        </w:rPr>
        <w:t xml:space="preserve">2–Fuze inhibit </w:t>
      </w:r>
      <w:r w:rsidRPr="000665B0">
        <w:rPr>
          <w:b/>
          <w:snapToGrid w:val="0"/>
        </w:rPr>
        <w:t>On</w:t>
      </w:r>
      <w:r w:rsidRPr="000665B0">
        <w:rPr>
          <w:snapToGrid w:val="0"/>
        </w:rPr>
        <w:t xml:space="preserve"> at the target (PST missions only).</w:t>
      </w:r>
    </w:p>
    <w:p w14:paraId="68924EC8" w14:textId="77777777" w:rsidR="005D1A26" w:rsidRPr="000665B0" w:rsidRDefault="005D1A26" w:rsidP="009570CA">
      <w:pPr>
        <w:rPr>
          <w:snapToGrid w:val="0"/>
        </w:rPr>
      </w:pPr>
      <w:bookmarkStart w:id="1275" w:name="_Hlk103165552"/>
      <w:r w:rsidRPr="000665B0">
        <w:rPr>
          <w:snapToGrid w:val="0"/>
        </w:rPr>
        <w:t xml:space="preserve">There may be several command words that are represented on the geographic display by a triple nnn, where nnn represents (from left to right), Critical Failure, Serious Failure, and Navigation Failure. </w:t>
      </w:r>
    </w:p>
    <w:bookmarkEnd w:id="1275"/>
    <w:p w14:paraId="4FE545B7" w14:textId="77777777" w:rsidR="005D1A26" w:rsidRPr="000665B0" w:rsidRDefault="005D1A26" w:rsidP="009570CA">
      <w:pPr>
        <w:rPr>
          <w:snapToGrid w:val="0"/>
        </w:rPr>
      </w:pPr>
      <w:r w:rsidRPr="000665B0">
        <w:rPr>
          <w:snapToGrid w:val="0"/>
        </w:rPr>
        <w:t xml:space="preserve">For each type of failure (critical, serious, or navigation), the valid values range from 0 to 5. </w:t>
      </w:r>
    </w:p>
    <w:p w14:paraId="29B06F60" w14:textId="034B5946" w:rsidR="005D1A26" w:rsidRPr="000665B0" w:rsidRDefault="005D1A26" w:rsidP="009570CA">
      <w:pPr>
        <w:spacing w:after="0"/>
        <w:rPr>
          <w:snapToGrid w:val="0"/>
        </w:rPr>
      </w:pPr>
      <w:r w:rsidRPr="000665B0">
        <w:t xml:space="preserve">To display the mission(s) geographically see </w:t>
      </w:r>
      <w:hyperlink w:anchor="_5.2.1.2.2__Display_1" w:history="1">
        <w:r w:rsidRPr="000665B0">
          <w:rPr>
            <w:rStyle w:val="Hyperlink"/>
          </w:rPr>
          <w:t>Section 5.2.1.2.2</w:t>
        </w:r>
      </w:hyperlink>
      <w:r w:rsidRPr="000665B0">
        <w:t>.</w:t>
      </w:r>
    </w:p>
    <w:p w14:paraId="70AD6CF2" w14:textId="36ECB7CF" w:rsidR="005D1A26" w:rsidRPr="000665B0" w:rsidRDefault="005D1A26" w:rsidP="009570CA">
      <w:pPr>
        <w:pStyle w:val="Heading4"/>
      </w:pPr>
      <w:bookmarkStart w:id="1276" w:name="_5.5.4_Change_Mission(s)_State"/>
      <w:bookmarkStart w:id="1277" w:name="_5.4.4__Change_Mission(s)_State"/>
      <w:bookmarkStart w:id="1278" w:name="_Toc96169795"/>
      <w:bookmarkStart w:id="1279" w:name="_Toc96233840"/>
      <w:bookmarkStart w:id="1280" w:name="_Toc112733273"/>
      <w:bookmarkStart w:id="1281" w:name="_Toc289328246"/>
      <w:bookmarkStart w:id="1282" w:name="_Toc71955171"/>
      <w:bookmarkEnd w:id="1276"/>
      <w:bookmarkEnd w:id="1277"/>
      <w:r w:rsidRPr="000665B0">
        <w:t>Change the Mission Geographical Display</w:t>
      </w:r>
      <w:bookmarkEnd w:id="1278"/>
      <w:bookmarkEnd w:id="1279"/>
      <w:bookmarkEnd w:id="1280"/>
      <w:bookmarkEnd w:id="1281"/>
    </w:p>
    <w:p w14:paraId="48396D29" w14:textId="77777777" w:rsidR="005D1A26" w:rsidRPr="000665B0" w:rsidRDefault="005D1A26" w:rsidP="009570CA">
      <w:r w:rsidRPr="000665B0">
        <w:t>To modify how a Mission appears on the Geographical Display:</w:t>
      </w:r>
    </w:p>
    <w:p w14:paraId="5E1D9170" w14:textId="77777777" w:rsidR="005D1A26" w:rsidRPr="000665B0" w:rsidRDefault="005D1A26" w:rsidP="006D5A65">
      <w:pPr>
        <w:pStyle w:val="Heading1"/>
      </w:pPr>
      <w:r w:rsidRPr="000665B0">
        <w:lastRenderedPageBreak/>
        <w:t>Navigate to the Missions Tool List View.</w:t>
      </w:r>
    </w:p>
    <w:p w14:paraId="2F6163D5" w14:textId="22CE7EB1" w:rsidR="005D1A26" w:rsidRPr="000665B0" w:rsidRDefault="005D1A26" w:rsidP="006D5A65">
      <w:pPr>
        <w:pStyle w:val="Heading1"/>
      </w:pPr>
      <w:r w:rsidRPr="000665B0">
        <w:t>From the View</w:t>
      </w:r>
      <w:r w:rsidR="001A7000" w:rsidRPr="000665B0">
        <w:t xml:space="preserve"> menu</w:t>
      </w:r>
      <w:r w:rsidRPr="000665B0">
        <w:t xml:space="preserve"> select Properties…. The </w:t>
      </w:r>
      <w:r w:rsidRPr="000665B0">
        <w:rPr>
          <w:i/>
          <w:iCs/>
        </w:rPr>
        <w:t>Mission</w:t>
      </w:r>
      <w:r w:rsidR="00134479" w:rsidRPr="000665B0">
        <w:rPr>
          <w:i/>
          <w:iCs/>
        </w:rPr>
        <w:t>s</w:t>
      </w:r>
      <w:r w:rsidRPr="000665B0">
        <w:rPr>
          <w:i/>
          <w:iCs/>
        </w:rPr>
        <w:t xml:space="preserve"> Properties</w:t>
      </w:r>
      <w:r w:rsidRPr="000665B0">
        <w:t xml:space="preserve"> window </w:t>
      </w:r>
      <w:r w:rsidR="001D7658" w:rsidRPr="000665B0">
        <w:t>is</w:t>
      </w:r>
      <w:r w:rsidRPr="000665B0">
        <w:t xml:space="preserve"> displayed.</w:t>
      </w:r>
    </w:p>
    <w:p w14:paraId="463FBCAB" w14:textId="443237F2" w:rsidR="005D1A26" w:rsidRPr="000665B0" w:rsidRDefault="005D1A26" w:rsidP="006D5A65">
      <w:pPr>
        <w:pStyle w:val="Heading1"/>
      </w:pPr>
      <w:r w:rsidRPr="000665B0">
        <w:t xml:space="preserve">From the </w:t>
      </w:r>
      <w:r w:rsidRPr="000665B0">
        <w:rPr>
          <w:i/>
          <w:iCs/>
        </w:rPr>
        <w:t>Mission Properties</w:t>
      </w:r>
      <w:r w:rsidRPr="000665B0">
        <w:t xml:space="preserve"> window select the </w:t>
      </w:r>
      <w:r w:rsidRPr="000665B0">
        <w:rPr>
          <w:bCs/>
        </w:rPr>
        <w:t>Geo Properties…</w:t>
      </w:r>
      <w:r w:rsidRPr="000665B0">
        <w:t xml:space="preserve"> button from the </w:t>
      </w:r>
      <w:r w:rsidRPr="000665B0">
        <w:rPr>
          <w:bCs/>
          <w:i/>
          <w:iCs/>
        </w:rPr>
        <w:t>Available Properties</w:t>
      </w:r>
      <w:r w:rsidRPr="000665B0">
        <w:t xml:space="preserve"> panel. </w:t>
      </w:r>
      <w:r w:rsidR="00BD332C" w:rsidRPr="000665B0">
        <w:t xml:space="preserve">The </w:t>
      </w:r>
      <w:r w:rsidR="00BD332C" w:rsidRPr="000665B0">
        <w:rPr>
          <w:i/>
          <w:iCs/>
        </w:rPr>
        <w:t xml:space="preserve">Mission Geographic </w:t>
      </w:r>
      <w:r w:rsidR="00C30455" w:rsidRPr="000665B0">
        <w:rPr>
          <w:i/>
          <w:iCs/>
        </w:rPr>
        <w:t>Display Properties</w:t>
      </w:r>
      <w:r w:rsidR="00C30455" w:rsidRPr="000665B0">
        <w:t xml:space="preserve"> </w:t>
      </w:r>
      <w:r w:rsidR="00BD332C" w:rsidRPr="000665B0">
        <w:t xml:space="preserve">window </w:t>
      </w:r>
      <w:r w:rsidR="001D7658" w:rsidRPr="000665B0">
        <w:t>is</w:t>
      </w:r>
      <w:r w:rsidR="00BD332C" w:rsidRPr="000665B0">
        <w:t xml:space="preserve"> displayed</w:t>
      </w:r>
      <w:r w:rsidRPr="000665B0">
        <w:t xml:space="preserve">. </w:t>
      </w:r>
    </w:p>
    <w:p w14:paraId="1635C13E" w14:textId="6BAEC590" w:rsidR="005D1A26" w:rsidRPr="000665B0" w:rsidRDefault="00C30455" w:rsidP="009570CA">
      <w:pPr>
        <w:jc w:val="center"/>
      </w:pPr>
      <w:r w:rsidRPr="000665B0">
        <w:rPr>
          <w:noProof/>
        </w:rPr>
        <w:drawing>
          <wp:inline distT="0" distB="0" distL="0" distR="0" wp14:anchorId="59572AEA" wp14:editId="2AA8FE77">
            <wp:extent cx="3144798" cy="4590588"/>
            <wp:effectExtent l="0" t="0" r="0" b="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66666" cy="4622510"/>
                    </a:xfrm>
                    <a:prstGeom prst="rect">
                      <a:avLst/>
                    </a:prstGeom>
                  </pic:spPr>
                </pic:pic>
              </a:graphicData>
            </a:graphic>
          </wp:inline>
        </w:drawing>
      </w:r>
    </w:p>
    <w:p w14:paraId="27432830" w14:textId="24C9DF15" w:rsidR="005D1A26" w:rsidRPr="000665B0" w:rsidRDefault="005D1A26" w:rsidP="006D5A65">
      <w:pPr>
        <w:pStyle w:val="Heading1"/>
      </w:pPr>
      <w:r w:rsidRPr="000665B0">
        <w:t xml:space="preserve">From the </w:t>
      </w:r>
      <w:r w:rsidR="00BD332C" w:rsidRPr="000665B0">
        <w:rPr>
          <w:i/>
          <w:iCs/>
        </w:rPr>
        <w:t xml:space="preserve">Mission Display Geographic </w:t>
      </w:r>
      <w:r w:rsidR="00C30455" w:rsidRPr="000665B0">
        <w:rPr>
          <w:i/>
          <w:iCs/>
        </w:rPr>
        <w:t>Display Properties</w:t>
      </w:r>
      <w:r w:rsidR="00C30455" w:rsidRPr="000665B0">
        <w:t xml:space="preserve"> </w:t>
      </w:r>
      <w:r w:rsidR="00FC6B75" w:rsidRPr="000665B0">
        <w:t>window,</w:t>
      </w:r>
      <w:r w:rsidRPr="000665B0">
        <w:t xml:space="preserve"> the user can select the Color, Route, Line Thickness, Supplemental Mission Data</w:t>
      </w:r>
      <w:r w:rsidR="00BD332C" w:rsidRPr="000665B0">
        <w:t>,</w:t>
      </w:r>
      <w:r w:rsidRPr="000665B0">
        <w:t xml:space="preserve"> </w:t>
      </w:r>
      <w:r w:rsidR="00BD332C" w:rsidRPr="000665B0">
        <w:t xml:space="preserve">and Launch Area options </w:t>
      </w:r>
      <w:r w:rsidRPr="000665B0">
        <w:t>of the Geographical Display.</w:t>
      </w:r>
    </w:p>
    <w:p w14:paraId="566989E9" w14:textId="77777777" w:rsidR="00BD332C" w:rsidRPr="000665B0" w:rsidRDefault="00BD332C" w:rsidP="009570CA">
      <w:pPr>
        <w:ind w:left="720"/>
      </w:pPr>
      <w:r w:rsidRPr="000665B0">
        <w:t>If Show Launch Basket from the Mission Options is selected, the Launch Area Options panel becomes enabled. The mission can be displayed using either the launch basket or allowable launch area shape. The launch basket is a semi-circle with a semi-circle cutout in the middle – a half donut. The allowable launch area is a full circle.</w:t>
      </w:r>
    </w:p>
    <w:p w14:paraId="29DC8CA2" w14:textId="77777777" w:rsidR="00BD332C" w:rsidRPr="000665B0" w:rsidRDefault="00BD332C" w:rsidP="009570CA">
      <w:pPr>
        <w:ind w:left="720"/>
      </w:pPr>
      <w:r w:rsidRPr="000665B0">
        <w:t>The opposing semi-circle reduction is the semi-circle opposite the launch basket. This area can be reduced from 0 – 50 nautical miles.</w:t>
      </w:r>
    </w:p>
    <w:p w14:paraId="0D0BE64A" w14:textId="77777777" w:rsidR="00BD332C" w:rsidRPr="000665B0" w:rsidRDefault="00BD332C" w:rsidP="009570CA">
      <w:pPr>
        <w:ind w:left="720"/>
      </w:pPr>
      <w:r w:rsidRPr="000665B0">
        <w:lastRenderedPageBreak/>
        <w:t>The Mission’s Launch Area size can be displayed by selecting either Mission Timing Requirement which uses the TOT Statement</w:t>
      </w:r>
      <w:r w:rsidR="006F1A19" w:rsidRPr="000665B0">
        <w:t>,</w:t>
      </w:r>
      <w:r w:rsidRPr="000665B0">
        <w:t xml:space="preserve"> or TOA and non-TOA MAXSOR which always displays the inner and outer line. If the TOT Statement is TOT not Assigned or blank, the non-TOA MAXSOR line is drawn. If the TOT Statement is TOT Assigned or TOT with Tophat, the TOA MAXSOR line is drawn.</w:t>
      </w:r>
    </w:p>
    <w:p w14:paraId="1C8E6AA5" w14:textId="27E9CB54" w:rsidR="005D1A26" w:rsidRPr="000665B0" w:rsidRDefault="005D1A26" w:rsidP="006D5A65">
      <w:pPr>
        <w:pStyle w:val="Heading1"/>
      </w:pPr>
      <w:r w:rsidRPr="000665B0">
        <w:t xml:space="preserve">Click the OK button when </w:t>
      </w:r>
      <w:r w:rsidR="00B814ED" w:rsidRPr="000665B0">
        <w:t>done or</w:t>
      </w:r>
      <w:r w:rsidRPr="000665B0">
        <w:t xml:space="preserve"> click the Restore Defaults button to return to the default display.</w:t>
      </w:r>
    </w:p>
    <w:p w14:paraId="1E9DF38A" w14:textId="27C84050" w:rsidR="005D1A26" w:rsidRPr="000665B0" w:rsidRDefault="005D1A26" w:rsidP="009570CA">
      <w:pPr>
        <w:pStyle w:val="Heading3"/>
      </w:pPr>
      <w:bookmarkStart w:id="1283" w:name="_5.4.4__Change_Mission(s)_State_1"/>
      <w:bookmarkStart w:id="1284" w:name="_5.6.4__Change_Mission(s)_State"/>
      <w:bookmarkStart w:id="1285" w:name="_5.6.4__Display"/>
      <w:bookmarkStart w:id="1286" w:name="_5.6.5__Display"/>
      <w:bookmarkStart w:id="1287" w:name="_Toc96169797"/>
      <w:bookmarkStart w:id="1288" w:name="_Toc96233842"/>
      <w:bookmarkStart w:id="1289" w:name="_Toc112733275"/>
      <w:bookmarkStart w:id="1290" w:name="_Toc289328248"/>
      <w:bookmarkStart w:id="1291" w:name="_Toc312331677"/>
      <w:bookmarkStart w:id="1292" w:name="_Toc214283158"/>
      <w:bookmarkEnd w:id="1283"/>
      <w:bookmarkEnd w:id="1284"/>
      <w:bookmarkEnd w:id="1285"/>
      <w:bookmarkEnd w:id="1286"/>
      <w:r w:rsidRPr="000665B0">
        <w:t>Display References</w:t>
      </w:r>
      <w:bookmarkEnd w:id="1287"/>
      <w:bookmarkEnd w:id="1288"/>
      <w:bookmarkEnd w:id="1289"/>
      <w:bookmarkEnd w:id="1290"/>
      <w:bookmarkEnd w:id="1291"/>
      <w:bookmarkEnd w:id="1292"/>
    </w:p>
    <w:p w14:paraId="2C94C66E" w14:textId="043D6891" w:rsidR="005D1A26" w:rsidRPr="000665B0" w:rsidRDefault="00F02F03" w:rsidP="009570CA">
      <w:pPr>
        <w:spacing w:after="0"/>
      </w:pPr>
      <w:r w:rsidRPr="000665B0">
        <w:t>See</w:t>
      </w:r>
      <w:r w:rsidR="005D1A26" w:rsidRPr="000665B0">
        <w:t xml:space="preserve"> </w:t>
      </w:r>
      <w:hyperlink w:anchor="_5.2.1.2.3__Display_1" w:history="1">
        <w:r w:rsidR="005D1A26" w:rsidRPr="000665B0">
          <w:rPr>
            <w:rStyle w:val="Hyperlink"/>
          </w:rPr>
          <w:t>Section 5.2.1.2.3</w:t>
        </w:r>
      </w:hyperlink>
      <w:r w:rsidR="005D1A26" w:rsidRPr="000665B0">
        <w:t>.</w:t>
      </w:r>
    </w:p>
    <w:p w14:paraId="628D46DF" w14:textId="48580299" w:rsidR="005D1A26" w:rsidRPr="000665B0" w:rsidRDefault="005D1A26" w:rsidP="009570CA">
      <w:pPr>
        <w:pStyle w:val="Heading3"/>
      </w:pPr>
      <w:bookmarkStart w:id="1293" w:name="_Display_All_in"/>
      <w:bookmarkStart w:id="1294" w:name="_Toc96169798"/>
      <w:bookmarkStart w:id="1295" w:name="_Toc96233843"/>
      <w:bookmarkStart w:id="1296" w:name="_Toc112733276"/>
      <w:bookmarkStart w:id="1297" w:name="_Toc289328249"/>
      <w:bookmarkStart w:id="1298" w:name="_Toc312331678"/>
      <w:bookmarkStart w:id="1299" w:name="_Toc214283159"/>
      <w:bookmarkEnd w:id="1293"/>
      <w:r w:rsidRPr="000665B0">
        <w:t xml:space="preserve">Display </w:t>
      </w:r>
      <w:r w:rsidR="009C637B" w:rsidRPr="000665B0">
        <w:t xml:space="preserve">All </w:t>
      </w:r>
      <w:r w:rsidRPr="000665B0">
        <w:t>in Excel</w:t>
      </w:r>
      <w:bookmarkEnd w:id="1294"/>
      <w:bookmarkEnd w:id="1295"/>
      <w:bookmarkEnd w:id="1296"/>
      <w:bookmarkEnd w:id="1297"/>
      <w:bookmarkEnd w:id="1298"/>
      <w:bookmarkEnd w:id="1299"/>
    </w:p>
    <w:p w14:paraId="60E4BBD7" w14:textId="56E13114" w:rsidR="005D1A26" w:rsidRPr="000665B0" w:rsidRDefault="00F02F03" w:rsidP="009570CA">
      <w:pPr>
        <w:spacing w:after="0"/>
      </w:pPr>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42071759" w14:textId="73687C23" w:rsidR="005D1A26" w:rsidRPr="000665B0" w:rsidRDefault="005D1A26" w:rsidP="009570CA">
      <w:pPr>
        <w:pStyle w:val="Heading3"/>
      </w:pPr>
      <w:bookmarkStart w:id="1300" w:name="_5.6.7__Change_Mission(s)_State"/>
      <w:bookmarkStart w:id="1301" w:name="_5.6.7__Change"/>
      <w:bookmarkStart w:id="1302" w:name="_Toc96169799"/>
      <w:bookmarkStart w:id="1303" w:name="_Toc96233844"/>
      <w:bookmarkStart w:id="1304" w:name="_Toc112733277"/>
      <w:bookmarkStart w:id="1305" w:name="_Toc289328250"/>
      <w:bookmarkStart w:id="1306" w:name="_Toc312331679"/>
      <w:bookmarkStart w:id="1307" w:name="_Toc214283160"/>
      <w:bookmarkEnd w:id="1300"/>
      <w:bookmarkEnd w:id="1301"/>
      <w:r w:rsidRPr="000665B0">
        <w:t>Change Mission(s) State</w:t>
      </w:r>
      <w:bookmarkEnd w:id="1282"/>
      <w:bookmarkEnd w:id="1302"/>
      <w:bookmarkEnd w:id="1303"/>
      <w:bookmarkEnd w:id="1304"/>
      <w:bookmarkEnd w:id="1305"/>
      <w:bookmarkEnd w:id="1306"/>
      <w:bookmarkEnd w:id="1307"/>
    </w:p>
    <w:p w14:paraId="25178EEB" w14:textId="77777777" w:rsidR="005D1A26" w:rsidRPr="000665B0" w:rsidRDefault="005D1A26" w:rsidP="009570CA">
      <w:r w:rsidRPr="000665B0">
        <w:t xml:space="preserve">This function allows for Activation and Deactivation of Mission(s). Deactivating mission(s) indicates that the mission(s) is/are no longer valid and should not be considered for strike planning and launch. This is normally performed at the direction of the CMSA via a TUM. A softcopy TUM can also be used to electronically deactivate missions via the </w:t>
      </w:r>
      <w:r w:rsidRPr="000665B0">
        <w:rPr>
          <w:b/>
          <w:bCs/>
        </w:rPr>
        <w:t xml:space="preserve">File </w:t>
      </w:r>
      <w:r w:rsidR="00A05D58" w:rsidRPr="000665B0">
        <w:rPr>
          <w:b/>
        </w:rPr>
        <w:sym w:font="Wingdings" w:char="F0E0"/>
      </w:r>
      <w:r w:rsidRPr="000665B0">
        <w:rPr>
          <w:b/>
          <w:bCs/>
        </w:rPr>
        <w:t xml:space="preserve"> Receive File</w:t>
      </w:r>
      <w:r w:rsidRPr="000665B0">
        <w:t xml:space="preserve"> function. However, if a soft copy cannot be obtained, then the task can also be accomplished by using the steps provided below.</w:t>
      </w:r>
    </w:p>
    <w:p w14:paraId="13D2A231" w14:textId="77777777" w:rsidR="005D1A26" w:rsidRPr="000665B0" w:rsidRDefault="005D1A26" w:rsidP="009570CA">
      <w:r w:rsidRPr="000665B0">
        <w:t>To change the State of missions:</w:t>
      </w:r>
    </w:p>
    <w:p w14:paraId="12A4FCF5" w14:textId="77777777" w:rsidR="005D1A26" w:rsidRPr="000665B0" w:rsidRDefault="005D1A26" w:rsidP="006D5A65">
      <w:pPr>
        <w:pStyle w:val="Heading1"/>
      </w:pPr>
      <w:r w:rsidRPr="000665B0">
        <w:t>Navigate to the Missions Tool and select the desired mission(s).</w:t>
      </w:r>
    </w:p>
    <w:p w14:paraId="5E88FD99" w14:textId="579ACDC7" w:rsidR="005D1A26" w:rsidRPr="000665B0" w:rsidRDefault="005D1A26" w:rsidP="006D5A65">
      <w:pPr>
        <w:pStyle w:val="Heading1"/>
      </w:pPr>
      <w:r w:rsidRPr="000665B0">
        <w:t xml:space="preserve">From the File menu select State </w:t>
      </w:r>
      <w:r w:rsidR="00D30E77" w:rsidRPr="000665B0">
        <w:sym w:font="Wingdings 3" w:char="F07D"/>
      </w:r>
      <w:r w:rsidRPr="000665B0">
        <w:t xml:space="preserve"> Deactivate </w:t>
      </w:r>
      <w:r w:rsidR="00FC4324" w:rsidRPr="000665B0">
        <w:t xml:space="preserve">or invoke the context menu </w:t>
      </w:r>
      <w:r w:rsidRPr="000665B0">
        <w:t>(</w:t>
      </w:r>
      <w:r w:rsidR="00D71804" w:rsidRPr="000665B0">
        <w:t>right-click</w:t>
      </w:r>
      <w:r w:rsidRPr="000665B0">
        <w:t xml:space="preserve"> the mouse). The </w:t>
      </w:r>
      <w:r w:rsidRPr="000665B0">
        <w:rPr>
          <w:i/>
        </w:rPr>
        <w:t>Deactivate Missions</w:t>
      </w:r>
      <w:r w:rsidRPr="000665B0">
        <w:t xml:space="preserve"> window appear</w:t>
      </w:r>
      <w:r w:rsidR="00D30E77" w:rsidRPr="000665B0">
        <w:t>s</w:t>
      </w:r>
      <w:r w:rsidRPr="000665B0">
        <w:t>.</w:t>
      </w:r>
    </w:p>
    <w:p w14:paraId="4875B212" w14:textId="6A7BFD28" w:rsidR="005D1A26" w:rsidRPr="000665B0" w:rsidRDefault="00E36788" w:rsidP="009570CA">
      <w:pPr>
        <w:spacing w:before="240" w:after="240"/>
        <w:jc w:val="center"/>
      </w:pPr>
      <w:r w:rsidRPr="000665B0">
        <w:rPr>
          <w:noProof/>
        </w:rPr>
        <w:drawing>
          <wp:inline distT="0" distB="0" distL="0" distR="0" wp14:anchorId="72CCECF1" wp14:editId="3D00E928">
            <wp:extent cx="1828800" cy="2423160"/>
            <wp:effectExtent l="0" t="0" r="0" b="0"/>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2423160"/>
                    </a:xfrm>
                    <a:prstGeom prst="rect">
                      <a:avLst/>
                    </a:prstGeom>
                  </pic:spPr>
                </pic:pic>
              </a:graphicData>
            </a:graphic>
          </wp:inline>
        </w:drawing>
      </w:r>
    </w:p>
    <w:p w14:paraId="663D2E0F" w14:textId="517DE60C" w:rsidR="005D1A26" w:rsidRPr="000665B0" w:rsidRDefault="005D1A26" w:rsidP="006D5A65">
      <w:pPr>
        <w:pStyle w:val="Heading1"/>
      </w:pPr>
      <w:r w:rsidRPr="000665B0">
        <w:lastRenderedPageBreak/>
        <w:t>Enter a reason for the deactivation (normally found on the tasking message). The reason appear</w:t>
      </w:r>
      <w:r w:rsidR="001D7658" w:rsidRPr="000665B0">
        <w:t>s</w:t>
      </w:r>
      <w:r w:rsidRPr="000665B0">
        <w:t xml:space="preserve"> in the TCI data when the mission is displayed textually. </w:t>
      </w:r>
      <w:r w:rsidR="00D24909" w:rsidRPr="000665B0">
        <w:t>This is a required field (as denoted by the * and/or yellow background) and the user is unable to proceed without updating this field.</w:t>
      </w:r>
      <w:r w:rsidR="00452BF5" w:rsidRPr="000665B0">
        <w:t xml:space="preserve"> For further information on mandatory fields see </w:t>
      </w:r>
      <w:hyperlink w:anchor="_5.2.7__Editing" w:history="1">
        <w:r w:rsidR="00452BF5" w:rsidRPr="000665B0">
          <w:rPr>
            <w:rStyle w:val="Hyperlink"/>
          </w:rPr>
          <w:t>Section 5.2.8</w:t>
        </w:r>
      </w:hyperlink>
      <w:r w:rsidR="00452BF5" w:rsidRPr="000665B0">
        <w:t>.</w:t>
      </w:r>
    </w:p>
    <w:p w14:paraId="541CE744" w14:textId="77777777" w:rsidR="005D1A26" w:rsidRPr="000665B0" w:rsidRDefault="005D1A26" w:rsidP="006D5A65">
      <w:pPr>
        <w:pStyle w:val="Heading1"/>
      </w:pPr>
      <w:r w:rsidRPr="000665B0">
        <w:t xml:space="preserve">Click the OK button in the </w:t>
      </w:r>
      <w:r w:rsidRPr="000665B0">
        <w:rPr>
          <w:i/>
        </w:rPr>
        <w:t>Deactivate Missions</w:t>
      </w:r>
      <w:r w:rsidRPr="000665B0">
        <w:t xml:space="preserve"> window.</w:t>
      </w:r>
    </w:p>
    <w:p w14:paraId="73E0F22B" w14:textId="2019AE45" w:rsidR="005D1A26" w:rsidRPr="000665B0" w:rsidRDefault="005D1A26" w:rsidP="009570CA">
      <w:pPr>
        <w:pStyle w:val="Heading3"/>
      </w:pPr>
      <w:bookmarkStart w:id="1308" w:name="_5.4.5__Delete"/>
      <w:bookmarkStart w:id="1309" w:name="_Reports"/>
      <w:bookmarkStart w:id="1310" w:name="_Toc96169800"/>
      <w:bookmarkStart w:id="1311" w:name="_Toc96233845"/>
      <w:bookmarkStart w:id="1312" w:name="_Toc112733278"/>
      <w:bookmarkStart w:id="1313" w:name="_Toc289328251"/>
      <w:bookmarkStart w:id="1314" w:name="_Toc312331680"/>
      <w:bookmarkStart w:id="1315" w:name="_Toc214283161"/>
      <w:bookmarkStart w:id="1316" w:name="_Hlk33534890"/>
      <w:bookmarkStart w:id="1317" w:name="_Hlk33611011"/>
      <w:bookmarkStart w:id="1318" w:name="_Toc71955172"/>
      <w:bookmarkEnd w:id="1308"/>
      <w:bookmarkEnd w:id="1309"/>
      <w:r w:rsidRPr="000665B0">
        <w:t>Reports</w:t>
      </w:r>
      <w:bookmarkEnd w:id="1310"/>
      <w:bookmarkEnd w:id="1311"/>
      <w:bookmarkEnd w:id="1312"/>
      <w:bookmarkEnd w:id="1313"/>
      <w:bookmarkEnd w:id="1314"/>
      <w:bookmarkEnd w:id="1315"/>
    </w:p>
    <w:p w14:paraId="17B74CFE" w14:textId="276FBAA5" w:rsidR="001D7658" w:rsidRPr="000665B0" w:rsidRDefault="001D7658" w:rsidP="009570CA">
      <w:bookmarkStart w:id="1319" w:name="_Hlk33535551"/>
      <w:r w:rsidRPr="000665B0">
        <w:t xml:space="preserve">While viewing a mission textually allows the operator to view all the TCI data, it may not be in an </w:t>
      </w:r>
      <w:r w:rsidR="00D30E77" w:rsidRPr="000665B0">
        <w:t>easy-to-</w:t>
      </w:r>
      <w:r w:rsidRPr="000665B0">
        <w:t xml:space="preserve">read format. Additionally, attempting to view the same TCI data for multiple missions can be cumbersome. The </w:t>
      </w:r>
      <w:r w:rsidRPr="000665B0">
        <w:rPr>
          <w:b/>
        </w:rPr>
        <w:t>Reports</w:t>
      </w:r>
      <w:r w:rsidRPr="000665B0">
        <w:t xml:space="preserve"> function allows the operator to extract specific TCI data from one or more missions and place it into a Microsoft Excel spreadsheet for a more easy-to-read format (Excel Mission Reports)</w:t>
      </w:r>
      <w:r w:rsidR="009824E5" w:rsidRPr="000665B0">
        <w:t>. The data may also be</w:t>
      </w:r>
      <w:r w:rsidRPr="000665B0">
        <w:t xml:space="preserve"> </w:t>
      </w:r>
      <w:r w:rsidR="00190BE3" w:rsidRPr="000665B0">
        <w:t>place</w:t>
      </w:r>
      <w:r w:rsidR="009824E5" w:rsidRPr="000665B0">
        <w:t>d</w:t>
      </w:r>
      <w:r w:rsidR="00190BE3" w:rsidRPr="000665B0">
        <w:t xml:space="preserve"> into a</w:t>
      </w:r>
      <w:r w:rsidRPr="000665B0">
        <w:t xml:space="preserve"> predefined Custom Mission Report</w:t>
      </w:r>
      <w:r w:rsidR="00AA016C" w:rsidRPr="000665B0">
        <w:t xml:space="preserve"> (see </w:t>
      </w:r>
      <w:hyperlink w:anchor="_Generate_a_Custom" w:history="1">
        <w:r w:rsidR="00AA016C" w:rsidRPr="000665B0">
          <w:rPr>
            <w:rStyle w:val="Hyperlink"/>
          </w:rPr>
          <w:t>Section 5.2.1.3.1</w:t>
        </w:r>
      </w:hyperlink>
      <w:r w:rsidR="00AA016C" w:rsidRPr="000665B0">
        <w:t>)</w:t>
      </w:r>
      <w:r w:rsidRPr="000665B0">
        <w:t xml:space="preserve">. In essence, the capability of </w:t>
      </w:r>
      <w:r w:rsidR="009824E5" w:rsidRPr="000665B0">
        <w:t>generating</w:t>
      </w:r>
      <w:r w:rsidR="00745E87" w:rsidRPr="000665B0">
        <w:t xml:space="preserve"> and </w:t>
      </w:r>
      <w:r w:rsidRPr="000665B0">
        <w:t>modifying report</w:t>
      </w:r>
      <w:r w:rsidR="00745E87" w:rsidRPr="000665B0">
        <w:t>s</w:t>
      </w:r>
      <w:r w:rsidRPr="000665B0">
        <w:t xml:space="preserve"> provides more flexibility </w:t>
      </w:r>
      <w:r w:rsidR="009824E5" w:rsidRPr="000665B0">
        <w:t xml:space="preserve">with </w:t>
      </w:r>
      <w:r w:rsidRPr="000665B0">
        <w:t xml:space="preserve">the output parameters than is available from other </w:t>
      </w:r>
      <w:r w:rsidR="00B814ED" w:rsidRPr="000665B0">
        <w:t>Tools and</w:t>
      </w:r>
      <w:r w:rsidRPr="000665B0">
        <w:t xml:space="preserve"> allows for customization of the data selected to suit the areas of interest.</w:t>
      </w:r>
    </w:p>
    <w:p w14:paraId="23C3263B" w14:textId="13D3CC1A" w:rsidR="00745E87" w:rsidRPr="000665B0" w:rsidRDefault="009824E5" w:rsidP="009570CA">
      <w:r w:rsidRPr="000665B0">
        <w:t>For data extracted to an Excel spreadsheet</w:t>
      </w:r>
      <w:r w:rsidR="00190BE3" w:rsidRPr="000665B0">
        <w:t xml:space="preserve">, </w:t>
      </w:r>
      <w:r w:rsidR="00455199" w:rsidRPr="000665B0">
        <w:t>report</w:t>
      </w:r>
      <w:r w:rsidR="00190BE3" w:rsidRPr="000665B0">
        <w:t xml:space="preserve"> </w:t>
      </w:r>
      <w:r w:rsidR="00745E87" w:rsidRPr="000665B0">
        <w:t>templates</w:t>
      </w:r>
      <w:r w:rsidR="00190BE3" w:rsidRPr="000665B0">
        <w:t xml:space="preserve"> may be created and saved for future use</w:t>
      </w:r>
      <w:r w:rsidR="00D12EAA" w:rsidRPr="000665B0">
        <w:t>,</w:t>
      </w:r>
      <w:r w:rsidR="00745E87" w:rsidRPr="000665B0">
        <w:t xml:space="preserve"> which is useful when the same type of data is commonly extracted from different missions</w:t>
      </w:r>
      <w:r w:rsidR="00190BE3" w:rsidRPr="000665B0">
        <w:t xml:space="preserve">. </w:t>
      </w:r>
      <w:r w:rsidR="00745E87" w:rsidRPr="000665B0">
        <w:t>The</w:t>
      </w:r>
      <w:r w:rsidR="005B0E50" w:rsidRPr="000665B0">
        <w:t xml:space="preserve"> </w:t>
      </w:r>
      <w:r w:rsidRPr="000665B0">
        <w:t>Excel</w:t>
      </w:r>
      <w:r w:rsidR="00D12EAA" w:rsidRPr="000665B0">
        <w:t xml:space="preserve"> report</w:t>
      </w:r>
      <w:r w:rsidRPr="000665B0">
        <w:t xml:space="preserve"> </w:t>
      </w:r>
      <w:r w:rsidR="005B0E50" w:rsidRPr="000665B0">
        <w:t xml:space="preserve">template </w:t>
      </w:r>
      <w:r w:rsidR="00745E87" w:rsidRPr="000665B0">
        <w:t xml:space="preserve">is built by adding </w:t>
      </w:r>
      <w:r w:rsidR="005B0E50" w:rsidRPr="000665B0">
        <w:t xml:space="preserve">the names of </w:t>
      </w:r>
      <w:r w:rsidR="00190BE3" w:rsidRPr="000665B0">
        <w:t>the desired</w:t>
      </w:r>
      <w:r w:rsidR="005B0E50" w:rsidRPr="000665B0">
        <w:t xml:space="preserve"> TCI data elements for inclusion in the report</w:t>
      </w:r>
      <w:r w:rsidRPr="000665B0">
        <w:t>; those</w:t>
      </w:r>
      <w:r w:rsidR="005B0E50" w:rsidRPr="000665B0">
        <w:t xml:space="preserve"> </w:t>
      </w:r>
      <w:r w:rsidR="005F677F" w:rsidRPr="000665B0">
        <w:t xml:space="preserve">TCI </w:t>
      </w:r>
      <w:r w:rsidR="005B0E50" w:rsidRPr="000665B0">
        <w:t xml:space="preserve">data elements become the column headers in the </w:t>
      </w:r>
      <w:r w:rsidR="005F677F" w:rsidRPr="000665B0">
        <w:t>report template</w:t>
      </w:r>
      <w:r w:rsidRPr="000665B0">
        <w:t xml:space="preserve">. The columns become populated when one or more missions </w:t>
      </w:r>
      <w:r w:rsidR="00B814ED">
        <w:t>are</w:t>
      </w:r>
      <w:r w:rsidR="00B814ED" w:rsidRPr="000665B0">
        <w:t xml:space="preserve"> selected</w:t>
      </w:r>
      <w:r w:rsidRPr="000665B0">
        <w:t xml:space="preserve"> and a report is generated.</w:t>
      </w:r>
      <w:r w:rsidR="005B0E50" w:rsidRPr="000665B0">
        <w:t xml:space="preserve"> </w:t>
      </w:r>
    </w:p>
    <w:p w14:paraId="6E115901" w14:textId="740AA69D" w:rsidR="001D7658" w:rsidRPr="000665B0" w:rsidRDefault="009824E5" w:rsidP="009570CA">
      <w:r w:rsidRPr="000665B0">
        <w:t>A report</w:t>
      </w:r>
      <w:r w:rsidR="005B0E50" w:rsidRPr="000665B0">
        <w:t xml:space="preserve"> generated without using a report </w:t>
      </w:r>
      <w:r w:rsidR="00745E87" w:rsidRPr="000665B0">
        <w:t>template</w:t>
      </w:r>
      <w:r w:rsidR="00190BE3" w:rsidRPr="000665B0">
        <w:t xml:space="preserve"> </w:t>
      </w:r>
      <w:r w:rsidR="00455199" w:rsidRPr="000665B0">
        <w:t>simply</w:t>
      </w:r>
      <w:r w:rsidR="005B0E50" w:rsidRPr="000665B0">
        <w:t xml:space="preserve"> generate</w:t>
      </w:r>
      <w:r w:rsidR="00455199" w:rsidRPr="000665B0">
        <w:t>s</w:t>
      </w:r>
      <w:r w:rsidR="005B0E50" w:rsidRPr="000665B0">
        <w:t xml:space="preserve"> the Excel report </w:t>
      </w:r>
      <w:r w:rsidR="00745E87" w:rsidRPr="000665B0">
        <w:t xml:space="preserve">with the desired TCI data </w:t>
      </w:r>
      <w:r w:rsidR="00D12EAA" w:rsidRPr="000665B0">
        <w:t>elements but</w:t>
      </w:r>
      <w:r w:rsidR="00455199" w:rsidRPr="000665B0">
        <w:t xml:space="preserve"> does not save</w:t>
      </w:r>
      <w:r w:rsidR="005B0E50" w:rsidRPr="000665B0">
        <w:t xml:space="preserve"> the report </w:t>
      </w:r>
      <w:r w:rsidR="00745E87" w:rsidRPr="000665B0">
        <w:t>template</w:t>
      </w:r>
      <w:r w:rsidR="005B0E50" w:rsidRPr="000665B0">
        <w:t xml:space="preserve"> for future re-use. </w:t>
      </w:r>
    </w:p>
    <w:p w14:paraId="79BB05C0" w14:textId="128214DA" w:rsidR="00797DEE" w:rsidRPr="000665B0" w:rsidRDefault="00797DEE" w:rsidP="009570CA">
      <w:pPr>
        <w:spacing w:after="0"/>
      </w:pPr>
      <w:r w:rsidRPr="000665B0">
        <w:t>Definitions of TCI data field elements can be found in the following documents:</w:t>
      </w:r>
    </w:p>
    <w:p w14:paraId="16D894DB" w14:textId="77777777" w:rsidR="00797DEE" w:rsidRPr="000665B0" w:rsidRDefault="00797DEE" w:rsidP="006D5A65">
      <w:pPr>
        <w:pStyle w:val="Heading2"/>
      </w:pPr>
      <w:r w:rsidRPr="000665B0">
        <w:t>Local mission planning guides.</w:t>
      </w:r>
    </w:p>
    <w:p w14:paraId="0DD36403" w14:textId="480E249D" w:rsidR="00797DEE" w:rsidRPr="000665B0" w:rsidRDefault="00797DEE" w:rsidP="006D5A65">
      <w:pPr>
        <w:pStyle w:val="Heading2"/>
      </w:pPr>
      <w:r w:rsidRPr="000665B0">
        <w:t xml:space="preserve">Cruise Missile Mission Planning Training and Operating Procedures Standardization (CTOPS). </w:t>
      </w:r>
    </w:p>
    <w:p w14:paraId="619F6E81" w14:textId="68F84BD1" w:rsidR="00797DEE" w:rsidRPr="000665B0" w:rsidRDefault="00797DEE" w:rsidP="006D5A65">
      <w:pPr>
        <w:pStyle w:val="Heading2"/>
      </w:pPr>
      <w:r w:rsidRPr="000665B0">
        <w:t>NTTP 3-03.1, Tomahawk Land-Attack Missile (TLAM-C/D/E) Employment Manual.</w:t>
      </w:r>
    </w:p>
    <w:p w14:paraId="7FCC2603" w14:textId="03177081" w:rsidR="00797DEE" w:rsidRPr="000665B0" w:rsidRDefault="00797DEE" w:rsidP="006D5A65">
      <w:pPr>
        <w:pStyle w:val="Heading2"/>
      </w:pPr>
      <w:r w:rsidRPr="000665B0">
        <w:t>Tomahawk Technical Description Document (T2D2).</w:t>
      </w:r>
    </w:p>
    <w:p w14:paraId="3543ACF3" w14:textId="43668A12" w:rsidR="00D12EAA" w:rsidRPr="000665B0" w:rsidRDefault="00C56E11" w:rsidP="006D5A65">
      <w:pPr>
        <w:pStyle w:val="Heading2"/>
      </w:pPr>
      <w:r w:rsidRPr="000665B0">
        <w:t>S</w:t>
      </w:r>
      <w:r w:rsidR="00D12EAA" w:rsidRPr="000665B0">
        <w:t xml:space="preserve">ee </w:t>
      </w:r>
      <w:hyperlink w:anchor="_Appendix_H_" w:history="1">
        <w:r w:rsidR="00D12EAA" w:rsidRPr="000665B0">
          <w:rPr>
            <w:rStyle w:val="Hyperlink"/>
          </w:rPr>
          <w:t>Appendix G</w:t>
        </w:r>
      </w:hyperlink>
      <w:r w:rsidR="00D12EAA" w:rsidRPr="000665B0">
        <w:t>.</w:t>
      </w:r>
    </w:p>
    <w:p w14:paraId="2A906610" w14:textId="25973DEA" w:rsidR="001D7658" w:rsidRPr="000665B0" w:rsidRDefault="001D7658" w:rsidP="009570CA">
      <w:r w:rsidRPr="000665B0">
        <w:t xml:space="preserve">The </w:t>
      </w:r>
      <w:r w:rsidR="005B0E50" w:rsidRPr="000665B0">
        <w:t xml:space="preserve">reports </w:t>
      </w:r>
      <w:r w:rsidRPr="000665B0">
        <w:t>functions capabilities explained below allow for creating</w:t>
      </w:r>
      <w:r w:rsidR="005B0E50" w:rsidRPr="000665B0">
        <w:t xml:space="preserve">, </w:t>
      </w:r>
      <w:r w:rsidRPr="000665B0">
        <w:t>modifying</w:t>
      </w:r>
      <w:r w:rsidR="005B0E50" w:rsidRPr="000665B0">
        <w:t>, and deleting</w:t>
      </w:r>
      <w:r w:rsidRPr="000665B0">
        <w:t xml:space="preserve"> report </w:t>
      </w:r>
      <w:r w:rsidR="005F677F" w:rsidRPr="000665B0">
        <w:t>templates</w:t>
      </w:r>
      <w:r w:rsidRPr="000665B0">
        <w:t xml:space="preserve">, </w:t>
      </w:r>
      <w:r w:rsidR="005B0E50" w:rsidRPr="000665B0">
        <w:t xml:space="preserve">as well as </w:t>
      </w:r>
      <w:r w:rsidRPr="000665B0">
        <w:t xml:space="preserve">generating and displaying reports. Reports can be initiated from various locations in the system </w:t>
      </w:r>
      <w:r w:rsidR="005F677F" w:rsidRPr="000665B0">
        <w:t>that contain</w:t>
      </w:r>
      <w:r w:rsidR="005B0E50" w:rsidRPr="000665B0">
        <w:t xml:space="preserve"> a </w:t>
      </w:r>
      <w:r w:rsidRPr="000665B0">
        <w:t xml:space="preserve">mission </w:t>
      </w:r>
      <w:r w:rsidR="005B0E50" w:rsidRPr="000665B0">
        <w:t>list view</w:t>
      </w:r>
      <w:r w:rsidRPr="000665B0">
        <w:t xml:space="preserve">. </w:t>
      </w:r>
    </w:p>
    <w:p w14:paraId="51BDE81A" w14:textId="362EEF48" w:rsidR="005D1A26" w:rsidRPr="000665B0" w:rsidRDefault="005D1A26" w:rsidP="009570CA">
      <w:pPr>
        <w:pStyle w:val="Heading4"/>
      </w:pPr>
      <w:bookmarkStart w:id="1320" w:name="_5.6.8.1__Excel"/>
      <w:bookmarkStart w:id="1321" w:name="_Excel_Mission_Reports"/>
      <w:bookmarkStart w:id="1322" w:name="_Toc96169801"/>
      <w:bookmarkStart w:id="1323" w:name="_Toc96233846"/>
      <w:bookmarkStart w:id="1324" w:name="_Toc112733279"/>
      <w:bookmarkStart w:id="1325" w:name="_Toc289328252"/>
      <w:bookmarkEnd w:id="1316"/>
      <w:bookmarkEnd w:id="1319"/>
      <w:bookmarkEnd w:id="1320"/>
      <w:bookmarkEnd w:id="1321"/>
      <w:r w:rsidRPr="000665B0">
        <w:lastRenderedPageBreak/>
        <w:t xml:space="preserve">Mission </w:t>
      </w:r>
      <w:r w:rsidR="005F677F" w:rsidRPr="000665B0">
        <w:t xml:space="preserve">Excel </w:t>
      </w:r>
      <w:r w:rsidRPr="000665B0">
        <w:t>Reports</w:t>
      </w:r>
      <w:bookmarkEnd w:id="1322"/>
      <w:bookmarkEnd w:id="1323"/>
      <w:bookmarkEnd w:id="1324"/>
      <w:bookmarkEnd w:id="1325"/>
    </w:p>
    <w:p w14:paraId="7D7E033C" w14:textId="6AC545C9" w:rsidR="00390F70" w:rsidRPr="000665B0" w:rsidRDefault="00390F70" w:rsidP="009570CA">
      <w:pPr>
        <w:rPr>
          <w:rFonts w:eastAsiaTheme="minorEastAsia"/>
        </w:rPr>
      </w:pPr>
      <w:bookmarkStart w:id="1326" w:name="_Hlk33533931"/>
      <w:r w:rsidRPr="000665B0">
        <w:t xml:space="preserve">The </w:t>
      </w:r>
      <w:r w:rsidRPr="000665B0">
        <w:rPr>
          <w:b/>
          <w:bCs/>
        </w:rPr>
        <w:t xml:space="preserve">Mission </w:t>
      </w:r>
      <w:r w:rsidR="005F677F" w:rsidRPr="000665B0">
        <w:rPr>
          <w:b/>
          <w:bCs/>
        </w:rPr>
        <w:t xml:space="preserve">Excel </w:t>
      </w:r>
      <w:r w:rsidRPr="000665B0">
        <w:rPr>
          <w:b/>
          <w:bCs/>
        </w:rPr>
        <w:t xml:space="preserve">Report </w:t>
      </w:r>
      <w:r w:rsidRPr="000665B0">
        <w:t xml:space="preserve">allows the operator to manipulate (create and delete) report </w:t>
      </w:r>
      <w:r w:rsidR="005F677F" w:rsidRPr="000665B0">
        <w:t xml:space="preserve">templates </w:t>
      </w:r>
      <w:r w:rsidRPr="000665B0">
        <w:t xml:space="preserve">and generate the actual report. It contains a list of previously saved </w:t>
      </w:r>
      <w:r w:rsidR="005B0E50" w:rsidRPr="000665B0">
        <w:t xml:space="preserve">report </w:t>
      </w:r>
      <w:r w:rsidR="00A16644" w:rsidRPr="000665B0">
        <w:t>templates</w:t>
      </w:r>
      <w:r w:rsidRPr="000665B0">
        <w:t>.</w:t>
      </w:r>
    </w:p>
    <w:bookmarkEnd w:id="1326"/>
    <w:p w14:paraId="664F1FA3" w14:textId="52BDDD02" w:rsidR="005D1A26" w:rsidRPr="000665B0" w:rsidRDefault="005D1A26" w:rsidP="009570CA">
      <w:r w:rsidRPr="000665B0">
        <w:t xml:space="preserve">To display the </w:t>
      </w:r>
      <w:r w:rsidRPr="000665B0">
        <w:rPr>
          <w:i/>
        </w:rPr>
        <w:t xml:space="preserve">Mission </w:t>
      </w:r>
      <w:r w:rsidR="005B0E50" w:rsidRPr="000665B0">
        <w:rPr>
          <w:i/>
        </w:rPr>
        <w:t xml:space="preserve">Excel </w:t>
      </w:r>
      <w:r w:rsidRPr="000665B0">
        <w:rPr>
          <w:i/>
        </w:rPr>
        <w:t>Report</w:t>
      </w:r>
      <w:r w:rsidRPr="000665B0">
        <w:t xml:space="preserve"> manager window:</w:t>
      </w:r>
    </w:p>
    <w:p w14:paraId="047DA063" w14:textId="58D46C7E" w:rsidR="005D1A26" w:rsidRPr="000665B0" w:rsidRDefault="005D1A26" w:rsidP="006D5A65">
      <w:pPr>
        <w:pStyle w:val="Heading1"/>
      </w:pPr>
      <w:r w:rsidRPr="000665B0">
        <w:t>Navigate to the Missions Tool.</w:t>
      </w:r>
    </w:p>
    <w:p w14:paraId="627EA638" w14:textId="3CA5F341" w:rsidR="005D1A26" w:rsidRPr="000665B0" w:rsidRDefault="005D1A26" w:rsidP="006D5A65">
      <w:pPr>
        <w:pStyle w:val="Heading1"/>
      </w:pPr>
      <w:r w:rsidRPr="000665B0">
        <w:t xml:space="preserve">From the File menu select Reports </w:t>
      </w:r>
      <w:r w:rsidR="008E629C" w:rsidRPr="000665B0">
        <w:sym w:font="Wingdings 3" w:char="F07D"/>
      </w:r>
      <w:r w:rsidRPr="000665B0">
        <w:rPr>
          <w:bCs/>
        </w:rPr>
        <w:t xml:space="preserve"> Excel</w:t>
      </w:r>
      <w:r w:rsidR="00AA016C" w:rsidRPr="000665B0">
        <w:rPr>
          <w:bCs/>
        </w:rPr>
        <w:t>,</w:t>
      </w:r>
      <w:r w:rsidRPr="000665B0">
        <w:rPr>
          <w:bCs/>
        </w:rPr>
        <w:t xml:space="preserve"> </w:t>
      </w:r>
      <w:r w:rsidRPr="000665B0">
        <w:t xml:space="preserve">or </w:t>
      </w:r>
      <w:r w:rsidR="00AA016C" w:rsidRPr="000665B0">
        <w:t xml:space="preserve">from the list view, invoke </w:t>
      </w:r>
      <w:r w:rsidRPr="000665B0">
        <w:t>the context menu (</w:t>
      </w:r>
      <w:r w:rsidR="00D71804" w:rsidRPr="000665B0">
        <w:t>right-click</w:t>
      </w:r>
      <w:r w:rsidRPr="000665B0">
        <w:t xml:space="preserve"> the mouse) and select Reports </w:t>
      </w:r>
      <w:r w:rsidR="008E629C" w:rsidRPr="000665B0">
        <w:sym w:font="Wingdings 3" w:char="F07D"/>
      </w:r>
      <w:r w:rsidRPr="000665B0">
        <w:rPr>
          <w:bCs/>
        </w:rPr>
        <w:t xml:space="preserve"> Excel</w:t>
      </w:r>
      <w:r w:rsidRPr="000665B0">
        <w:t xml:space="preserve">. The </w:t>
      </w:r>
      <w:r w:rsidRPr="000665B0">
        <w:rPr>
          <w:i/>
        </w:rPr>
        <w:t>Mission Excel Report</w:t>
      </w:r>
      <w:r w:rsidRPr="000665B0">
        <w:t xml:space="preserve"> window </w:t>
      </w:r>
      <w:r w:rsidR="00390F70" w:rsidRPr="000665B0">
        <w:t>is</w:t>
      </w:r>
      <w:r w:rsidRPr="000665B0">
        <w:t xml:space="preserve"> displayed.</w:t>
      </w:r>
    </w:p>
    <w:p w14:paraId="2FBB8B49" w14:textId="42C6D91E" w:rsidR="005D1A26" w:rsidRPr="000665B0" w:rsidRDefault="005B0E50" w:rsidP="009570CA">
      <w:pPr>
        <w:jc w:val="center"/>
      </w:pPr>
      <w:r w:rsidRPr="000665B0">
        <w:rPr>
          <w:noProof/>
        </w:rPr>
        <w:drawing>
          <wp:inline distT="0" distB="0" distL="0" distR="0" wp14:anchorId="2B131690" wp14:editId="611D1397">
            <wp:extent cx="2743200" cy="2487168"/>
            <wp:effectExtent l="0" t="0" r="0" b="889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487168"/>
                    </a:xfrm>
                    <a:prstGeom prst="rect">
                      <a:avLst/>
                    </a:prstGeom>
                  </pic:spPr>
                </pic:pic>
              </a:graphicData>
            </a:graphic>
          </wp:inline>
        </w:drawing>
      </w:r>
    </w:p>
    <w:p w14:paraId="48DB3A4C" w14:textId="61843CF2" w:rsidR="005D1A26" w:rsidRPr="000665B0" w:rsidRDefault="005D1A26" w:rsidP="009570CA">
      <w:pPr>
        <w:pStyle w:val="Heading4"/>
      </w:pPr>
      <w:bookmarkStart w:id="1327" w:name="_Create_an_Excel"/>
      <w:bookmarkStart w:id="1328" w:name="_Toc96169802"/>
      <w:bookmarkStart w:id="1329" w:name="_Toc96233847"/>
      <w:bookmarkStart w:id="1330" w:name="_Toc112733280"/>
      <w:bookmarkStart w:id="1331" w:name="_Toc289328253"/>
      <w:bookmarkEnd w:id="1327"/>
      <w:r w:rsidRPr="000665B0">
        <w:t xml:space="preserve">Create an Excel Report </w:t>
      </w:r>
      <w:bookmarkEnd w:id="1328"/>
      <w:bookmarkEnd w:id="1329"/>
      <w:bookmarkEnd w:id="1330"/>
      <w:bookmarkEnd w:id="1331"/>
      <w:r w:rsidR="00745E87" w:rsidRPr="000665B0">
        <w:t>Template</w:t>
      </w:r>
    </w:p>
    <w:p w14:paraId="1D585A17" w14:textId="3F49B5D2" w:rsidR="005D1A26" w:rsidRPr="000665B0" w:rsidRDefault="005D1A26" w:rsidP="009570CA">
      <w:bookmarkStart w:id="1332" w:name="_Hlk33533922"/>
      <w:r w:rsidRPr="000665B0">
        <w:t xml:space="preserve">A </w:t>
      </w:r>
      <w:r w:rsidR="005F677F" w:rsidRPr="000665B0">
        <w:t xml:space="preserve">report </w:t>
      </w:r>
      <w:r w:rsidRPr="000665B0">
        <w:t>template contain</w:t>
      </w:r>
      <w:r w:rsidR="005F677F" w:rsidRPr="000665B0">
        <w:t>s</w:t>
      </w:r>
      <w:r w:rsidRPr="000665B0">
        <w:t xml:space="preserve"> the names of the </w:t>
      </w:r>
      <w:r w:rsidR="005F677F" w:rsidRPr="000665B0">
        <w:t xml:space="preserve">desired </w:t>
      </w:r>
      <w:r w:rsidRPr="000665B0">
        <w:t>TCI data elements for inclusion in the report</w:t>
      </w:r>
      <w:r w:rsidR="00D12EAA" w:rsidRPr="000665B0">
        <w:t xml:space="preserve">; those TCI data elements become the column headers in the report template. The columns become populated when one or more missions </w:t>
      </w:r>
      <w:r w:rsidR="00B814ED">
        <w:t>are</w:t>
      </w:r>
      <w:r w:rsidR="00B814ED" w:rsidRPr="000665B0">
        <w:t xml:space="preserve"> </w:t>
      </w:r>
      <w:r w:rsidR="00D12EAA" w:rsidRPr="000665B0">
        <w:t xml:space="preserve">selected and a report is generated. </w:t>
      </w:r>
      <w:bookmarkEnd w:id="1332"/>
    </w:p>
    <w:p w14:paraId="6184EE15" w14:textId="60147CA2" w:rsidR="005D1A26" w:rsidRPr="000665B0" w:rsidRDefault="005D1A26" w:rsidP="009570CA">
      <w:pPr>
        <w:keepNext/>
      </w:pPr>
      <w:r w:rsidRPr="000665B0">
        <w:t>To create a</w:t>
      </w:r>
      <w:r w:rsidR="000103F2" w:rsidRPr="000665B0">
        <w:t>n Excel</w:t>
      </w:r>
      <w:r w:rsidRPr="000665B0">
        <w:t xml:space="preserve"> report </w:t>
      </w:r>
      <w:r w:rsidR="005F677F" w:rsidRPr="000665B0">
        <w:t>template</w:t>
      </w:r>
      <w:r w:rsidRPr="000665B0">
        <w:t>:</w:t>
      </w:r>
    </w:p>
    <w:p w14:paraId="43AE91A4" w14:textId="0CFE4FAF" w:rsidR="005D1A26" w:rsidRPr="000665B0" w:rsidRDefault="005D1A26" w:rsidP="006D5A65">
      <w:pPr>
        <w:pStyle w:val="Heading1"/>
      </w:pPr>
      <w:bookmarkStart w:id="1333" w:name="_Hlk37765009"/>
      <w:r w:rsidRPr="000665B0">
        <w:t>Navigate to the Missions Tool.</w:t>
      </w:r>
    </w:p>
    <w:p w14:paraId="1B161DA4" w14:textId="01E3FBC6" w:rsidR="005D1A26" w:rsidRPr="000665B0" w:rsidRDefault="005D1A26" w:rsidP="006D5A65">
      <w:pPr>
        <w:pStyle w:val="Heading1"/>
      </w:pPr>
      <w:r w:rsidRPr="000665B0">
        <w:t xml:space="preserve">From the File menu select Reports </w:t>
      </w:r>
      <w:r w:rsidR="008E629C" w:rsidRPr="000665B0">
        <w:sym w:font="Wingdings 3" w:char="F07D"/>
      </w:r>
      <w:r w:rsidRPr="000665B0">
        <w:rPr>
          <w:bCs/>
        </w:rPr>
        <w:t xml:space="preserve"> Excel, </w:t>
      </w:r>
      <w:r w:rsidR="00FC4324" w:rsidRPr="000665B0">
        <w:t>or</w:t>
      </w:r>
      <w:r w:rsidR="00AA016C" w:rsidRPr="000665B0">
        <w:t xml:space="preserve"> from the list view,</w:t>
      </w:r>
      <w:r w:rsidR="00FC4324" w:rsidRPr="000665B0">
        <w:t xml:space="preserve"> invoke the context menu </w:t>
      </w:r>
      <w:r w:rsidRPr="000665B0">
        <w:t>(</w:t>
      </w:r>
      <w:r w:rsidR="00D71804" w:rsidRPr="000665B0">
        <w:t>right-click</w:t>
      </w:r>
      <w:r w:rsidRPr="000665B0">
        <w:t xml:space="preserve"> the mouse) and select Reports </w:t>
      </w:r>
      <w:r w:rsidR="008E629C" w:rsidRPr="000665B0">
        <w:sym w:font="Wingdings 3" w:char="F07D"/>
      </w:r>
      <w:r w:rsidRPr="000665B0">
        <w:rPr>
          <w:bCs/>
        </w:rPr>
        <w:t xml:space="preserve"> Excel</w:t>
      </w:r>
      <w:r w:rsidRPr="000665B0">
        <w:t xml:space="preserve">. The </w:t>
      </w:r>
      <w:r w:rsidRPr="000665B0">
        <w:rPr>
          <w:i/>
        </w:rPr>
        <w:t>Mission Excel Report</w:t>
      </w:r>
      <w:r w:rsidRPr="000665B0">
        <w:t xml:space="preserve"> window </w:t>
      </w:r>
      <w:r w:rsidR="00627DD2" w:rsidRPr="000665B0">
        <w:t>is</w:t>
      </w:r>
      <w:r w:rsidRPr="000665B0">
        <w:t xml:space="preserve"> displayed.</w:t>
      </w:r>
    </w:p>
    <w:p w14:paraId="3A7BE6FC" w14:textId="1DDAE386" w:rsidR="005D1A26" w:rsidRPr="000665B0" w:rsidRDefault="005D1A26" w:rsidP="006D5A65">
      <w:pPr>
        <w:pStyle w:val="Heading1"/>
        <w:rPr>
          <w:snapToGrid w:val="0"/>
        </w:rPr>
      </w:pPr>
      <w:r w:rsidRPr="000665B0">
        <w:t xml:space="preserve">In the </w:t>
      </w:r>
      <w:r w:rsidRPr="000665B0">
        <w:rPr>
          <w:i/>
        </w:rPr>
        <w:t>Mission Excel Report</w:t>
      </w:r>
      <w:r w:rsidRPr="000665B0">
        <w:t xml:space="preserve"> window click the </w:t>
      </w:r>
      <w:r w:rsidRPr="000665B0">
        <w:rPr>
          <w:bCs/>
        </w:rPr>
        <w:t>Create</w:t>
      </w:r>
      <w:r w:rsidRPr="000665B0">
        <w:t xml:space="preserve"> button. </w:t>
      </w:r>
      <w:r w:rsidRPr="000665B0">
        <w:rPr>
          <w:snapToGrid w:val="0"/>
        </w:rPr>
        <w:t xml:space="preserve">The resulting window contains a list of all columns (TCI fields) that can be </w:t>
      </w:r>
      <w:r w:rsidR="005F677F" w:rsidRPr="000665B0">
        <w:rPr>
          <w:snapToGrid w:val="0"/>
        </w:rPr>
        <w:t xml:space="preserve">selected to be included </w:t>
      </w:r>
      <w:r w:rsidRPr="000665B0">
        <w:rPr>
          <w:snapToGrid w:val="0"/>
        </w:rPr>
        <w:t xml:space="preserve">in the report </w:t>
      </w:r>
      <w:r w:rsidR="005F677F" w:rsidRPr="000665B0">
        <w:rPr>
          <w:snapToGrid w:val="0"/>
        </w:rPr>
        <w:t xml:space="preserve">in </w:t>
      </w:r>
      <w:r w:rsidRPr="000665B0">
        <w:rPr>
          <w:snapToGrid w:val="0"/>
        </w:rPr>
        <w:t xml:space="preserve">the </w:t>
      </w:r>
      <w:r w:rsidR="005F677F" w:rsidRPr="000665B0">
        <w:rPr>
          <w:snapToGrid w:val="0"/>
        </w:rPr>
        <w:t>Available Columns pane</w:t>
      </w:r>
      <w:r w:rsidRPr="000665B0">
        <w:rPr>
          <w:snapToGrid w:val="0"/>
        </w:rPr>
        <w:t xml:space="preserve">. </w:t>
      </w:r>
      <w:r w:rsidR="00806F6C" w:rsidRPr="000665B0">
        <w:rPr>
          <w:snapToGrid w:val="0"/>
        </w:rPr>
        <w:t>T</w:t>
      </w:r>
      <w:r w:rsidRPr="000665B0">
        <w:rPr>
          <w:snapToGrid w:val="0"/>
        </w:rPr>
        <w:t xml:space="preserve">he </w:t>
      </w:r>
      <w:r w:rsidR="005F677F" w:rsidRPr="000665B0">
        <w:rPr>
          <w:snapToGrid w:val="0"/>
        </w:rPr>
        <w:t xml:space="preserve">Display columns in this order </w:t>
      </w:r>
      <w:r w:rsidR="005F677F" w:rsidRPr="000665B0">
        <w:rPr>
          <w:snapToGrid w:val="0"/>
        </w:rPr>
        <w:lastRenderedPageBreak/>
        <w:t>pane</w:t>
      </w:r>
      <w:r w:rsidRPr="000665B0">
        <w:rPr>
          <w:snapToGrid w:val="0"/>
        </w:rPr>
        <w:t xml:space="preserve"> represents the columns (TCI fields) already selected for inclusion.</w:t>
      </w:r>
    </w:p>
    <w:bookmarkEnd w:id="1333"/>
    <w:p w14:paraId="3E59132F" w14:textId="109CC3DB" w:rsidR="005D1A26" w:rsidRPr="000665B0" w:rsidRDefault="00E349FC" w:rsidP="009570CA">
      <w:pPr>
        <w:jc w:val="center"/>
        <w:rPr>
          <w:snapToGrid w:val="0"/>
        </w:rPr>
      </w:pPr>
      <w:r w:rsidRPr="000665B0">
        <w:rPr>
          <w:noProof/>
        </w:rPr>
        <w:drawing>
          <wp:inline distT="0" distB="0" distL="0" distR="0" wp14:anchorId="0967EDCC" wp14:editId="4C086333">
            <wp:extent cx="3154680" cy="237744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377440"/>
                    </a:xfrm>
                    <a:prstGeom prst="rect">
                      <a:avLst/>
                    </a:prstGeom>
                  </pic:spPr>
                </pic:pic>
              </a:graphicData>
            </a:graphic>
          </wp:inline>
        </w:drawing>
      </w:r>
    </w:p>
    <w:p w14:paraId="7A41D068" w14:textId="167AE6D8" w:rsidR="005D1A26" w:rsidRPr="000665B0" w:rsidRDefault="005D1A26" w:rsidP="006D5A65">
      <w:pPr>
        <w:pStyle w:val="Heading1"/>
      </w:pPr>
      <w:r w:rsidRPr="000665B0">
        <w:t xml:space="preserve">Highlight one or more items in the Available Columns pane and click the </w:t>
      </w:r>
      <w:r w:rsidRPr="000665B0">
        <w:rPr>
          <w:bCs/>
        </w:rPr>
        <w:t>Add –&gt;</w:t>
      </w:r>
      <w:r w:rsidRPr="000665B0">
        <w:t xml:space="preserve"> button in the middle of the screen to move the highlighted item(s) to the right side of the window.</w:t>
      </w:r>
      <w:r w:rsidR="00E74061" w:rsidRPr="000665B0">
        <w:t xml:space="preserve"> To quickly add all items, click the Add All </w:t>
      </w:r>
      <w:r w:rsidR="00E74061" w:rsidRPr="000665B0">
        <w:rPr>
          <w:bCs/>
        </w:rPr>
        <w:t>–&gt;&gt; button.</w:t>
      </w:r>
    </w:p>
    <w:p w14:paraId="49E519EB" w14:textId="69125E21" w:rsidR="005D1A26" w:rsidRPr="000665B0" w:rsidRDefault="005D1A26" w:rsidP="006D5A65">
      <w:pPr>
        <w:pStyle w:val="Heading1"/>
      </w:pPr>
      <w:r w:rsidRPr="000665B0">
        <w:t xml:space="preserve">To remove an item(s) from the right side of the window, highlight one or more item(s), </w:t>
      </w:r>
      <w:r w:rsidR="000A1E20" w:rsidRPr="000665B0">
        <w:t xml:space="preserve">and </w:t>
      </w:r>
      <w:r w:rsidRPr="000665B0">
        <w:t xml:space="preserve">then click on the </w:t>
      </w:r>
      <w:r w:rsidRPr="000665B0">
        <w:rPr>
          <w:bCs/>
        </w:rPr>
        <w:t>&lt;</w:t>
      </w:r>
      <w:r w:rsidRPr="000665B0">
        <w:t xml:space="preserve">– </w:t>
      </w:r>
      <w:r w:rsidRPr="000665B0">
        <w:rPr>
          <w:bCs/>
        </w:rPr>
        <w:t>Remove</w:t>
      </w:r>
      <w:r w:rsidRPr="000665B0">
        <w:t xml:space="preserve"> </w:t>
      </w:r>
      <w:r w:rsidR="00E74061" w:rsidRPr="000665B0">
        <w:t xml:space="preserve">button. To quickly remove all items, click on the </w:t>
      </w:r>
      <w:r w:rsidRPr="000665B0">
        <w:rPr>
          <w:bCs/>
        </w:rPr>
        <w:t xml:space="preserve">&lt;&lt;– Remove All </w:t>
      </w:r>
      <w:r w:rsidRPr="000665B0">
        <w:t>button.</w:t>
      </w:r>
      <w:r w:rsidR="00E74061" w:rsidRPr="000665B0">
        <w:t xml:space="preserve"> </w:t>
      </w:r>
    </w:p>
    <w:p w14:paraId="75203B30" w14:textId="77777777" w:rsidR="005D1A26" w:rsidRPr="000665B0" w:rsidRDefault="005D1A26" w:rsidP="006D5A65">
      <w:pPr>
        <w:pStyle w:val="Heading1"/>
        <w:rPr>
          <w:snapToGrid w:val="0"/>
        </w:rPr>
      </w:pPr>
      <w:r w:rsidRPr="000665B0">
        <w:t xml:space="preserve">Change the column order by selecting </w:t>
      </w:r>
      <w:r w:rsidRPr="000665B0">
        <w:rPr>
          <w:snapToGrid w:val="0"/>
        </w:rPr>
        <w:t xml:space="preserve">a </w:t>
      </w:r>
      <w:r w:rsidRPr="000665B0">
        <w:t>desired</w:t>
      </w:r>
      <w:r w:rsidRPr="000665B0">
        <w:rPr>
          <w:snapToGrid w:val="0"/>
        </w:rPr>
        <w:t xml:space="preserve"> column item from the right side and click the </w:t>
      </w:r>
      <w:r w:rsidRPr="000665B0">
        <w:rPr>
          <w:bCs/>
          <w:snapToGrid w:val="0"/>
        </w:rPr>
        <w:t>Move Up</w:t>
      </w:r>
      <w:r w:rsidRPr="000665B0">
        <w:rPr>
          <w:snapToGrid w:val="0"/>
        </w:rPr>
        <w:t xml:space="preserve"> button or </w:t>
      </w:r>
      <w:r w:rsidRPr="000665B0">
        <w:rPr>
          <w:bCs/>
          <w:snapToGrid w:val="0"/>
        </w:rPr>
        <w:t>Move Down</w:t>
      </w:r>
      <w:r w:rsidRPr="000665B0">
        <w:rPr>
          <w:snapToGrid w:val="0"/>
        </w:rPr>
        <w:t xml:space="preserve"> button until the column is in the desired location.</w:t>
      </w:r>
    </w:p>
    <w:p w14:paraId="708B9313" w14:textId="71575E2C" w:rsidR="005D1A26" w:rsidRPr="000665B0" w:rsidRDefault="005D1A26" w:rsidP="006D5A65">
      <w:pPr>
        <w:pStyle w:val="Heading1"/>
      </w:pPr>
      <w:r w:rsidRPr="000665B0">
        <w:t xml:space="preserve">Click the Save </w:t>
      </w:r>
      <w:r w:rsidRPr="000665B0">
        <w:rPr>
          <w:bCs/>
        </w:rPr>
        <w:t>As</w:t>
      </w:r>
      <w:r w:rsidRPr="000665B0">
        <w:t xml:space="preserve"> button when satisfied with the selections. (Clicking the Generate button generate</w:t>
      </w:r>
      <w:r w:rsidR="00390F70" w:rsidRPr="000665B0">
        <w:t>s</w:t>
      </w:r>
      <w:r w:rsidRPr="000665B0">
        <w:t xml:space="preserve"> the report as built </w:t>
      </w:r>
      <w:r w:rsidRPr="000665B0">
        <w:lastRenderedPageBreak/>
        <w:t xml:space="preserve">but does not save the </w:t>
      </w:r>
      <w:r w:rsidR="00D12EAA" w:rsidRPr="000665B0">
        <w:t xml:space="preserve">report </w:t>
      </w:r>
      <w:r w:rsidR="005F677F" w:rsidRPr="000665B0">
        <w:t xml:space="preserve">template </w:t>
      </w:r>
      <w:r w:rsidRPr="000665B0">
        <w:t xml:space="preserve">for future re-use.) The </w:t>
      </w:r>
      <w:r w:rsidRPr="000665B0">
        <w:rPr>
          <w:i/>
        </w:rPr>
        <w:t>Save As</w:t>
      </w:r>
      <w:r w:rsidRPr="000665B0">
        <w:t xml:space="preserve"> window </w:t>
      </w:r>
      <w:r w:rsidR="00627DD2" w:rsidRPr="000665B0">
        <w:t>is</w:t>
      </w:r>
      <w:r w:rsidRPr="000665B0">
        <w:t xml:space="preserve"> displayed.</w:t>
      </w:r>
    </w:p>
    <w:p w14:paraId="35963CCF" w14:textId="06D99687" w:rsidR="005D1A26" w:rsidRPr="000665B0" w:rsidRDefault="004E0525" w:rsidP="009570CA">
      <w:pPr>
        <w:jc w:val="center"/>
      </w:pPr>
      <w:r w:rsidRPr="000665B0">
        <w:rPr>
          <w:noProof/>
        </w:rPr>
        <w:drawing>
          <wp:inline distT="0" distB="0" distL="0" distR="0" wp14:anchorId="18D19930" wp14:editId="2CCF09E3">
            <wp:extent cx="3111948" cy="25527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21118" cy="2560222"/>
                    </a:xfrm>
                    <a:prstGeom prst="rect">
                      <a:avLst/>
                    </a:prstGeom>
                  </pic:spPr>
                </pic:pic>
              </a:graphicData>
            </a:graphic>
          </wp:inline>
        </w:drawing>
      </w:r>
    </w:p>
    <w:p w14:paraId="5FA7A33E" w14:textId="73E92599" w:rsidR="005D1A26" w:rsidRPr="000665B0" w:rsidRDefault="005D1A26" w:rsidP="006D5A65">
      <w:pPr>
        <w:pStyle w:val="Heading1"/>
      </w:pPr>
      <w:r w:rsidRPr="000665B0">
        <w:t>Navigate to the desired location to save the report</w:t>
      </w:r>
      <w:r w:rsidR="005F677F" w:rsidRPr="000665B0">
        <w:t xml:space="preserve"> template</w:t>
      </w:r>
      <w:r w:rsidRPr="000665B0">
        <w:t xml:space="preserve"> and enter a file name.</w:t>
      </w:r>
    </w:p>
    <w:p w14:paraId="3D2E7DC1" w14:textId="77777777" w:rsidR="005D1A26" w:rsidRPr="000665B0" w:rsidRDefault="005D1A26" w:rsidP="006D5A65">
      <w:pPr>
        <w:pStyle w:val="Heading1"/>
      </w:pPr>
      <w:r w:rsidRPr="000665B0">
        <w:t xml:space="preserve">Click the </w:t>
      </w:r>
      <w:r w:rsidRPr="000665B0">
        <w:rPr>
          <w:bCs/>
        </w:rPr>
        <w:t>Save</w:t>
      </w:r>
      <w:r w:rsidRPr="000665B0">
        <w:t xml:space="preserve"> button in the </w:t>
      </w:r>
      <w:r w:rsidRPr="000665B0">
        <w:rPr>
          <w:i/>
          <w:iCs/>
        </w:rPr>
        <w:t xml:space="preserve">Save As </w:t>
      </w:r>
      <w:r w:rsidRPr="000665B0">
        <w:t xml:space="preserve">window. </w:t>
      </w:r>
    </w:p>
    <w:p w14:paraId="3B9B3519" w14:textId="3FC4BDAA" w:rsidR="005D1A26" w:rsidRPr="000665B0" w:rsidRDefault="005D1A26" w:rsidP="006D5A65">
      <w:pPr>
        <w:pStyle w:val="Heading1"/>
      </w:pPr>
      <w:r w:rsidRPr="000665B0">
        <w:t xml:space="preserve">To continue creating </w:t>
      </w:r>
      <w:r w:rsidR="005F677F" w:rsidRPr="000665B0">
        <w:t>t</w:t>
      </w:r>
      <w:r w:rsidRPr="000665B0">
        <w:t>emplates</w:t>
      </w:r>
      <w:r w:rsidR="005F677F" w:rsidRPr="000665B0">
        <w:t>,</w:t>
      </w:r>
      <w:r w:rsidRPr="000665B0">
        <w:t xml:space="preserve"> repeat from Step 2. Once finished, exit the </w:t>
      </w:r>
      <w:r w:rsidRPr="000665B0">
        <w:rPr>
          <w:i/>
        </w:rPr>
        <w:t xml:space="preserve">Mission Excel Report </w:t>
      </w:r>
      <w:r w:rsidRPr="000665B0">
        <w:t xml:space="preserve">by clicking the </w:t>
      </w:r>
      <w:r w:rsidR="009A1FDF" w:rsidRPr="000665B0">
        <w:rPr>
          <w:noProof/>
        </w:rPr>
        <w:drawing>
          <wp:inline distT="0" distB="0" distL="0" distR="0" wp14:anchorId="170824B1" wp14:editId="71F4F332">
            <wp:extent cx="152400" cy="152400"/>
            <wp:effectExtent l="19050" t="0" r="0" b="0"/>
            <wp:docPr id="100" name="Picture 100" descr="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Exit"/>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in the top right corner of the window.</w:t>
      </w:r>
    </w:p>
    <w:p w14:paraId="4C50CDB5" w14:textId="79ACEA03" w:rsidR="005D1A26" w:rsidRPr="000665B0" w:rsidRDefault="005D1A26" w:rsidP="009570CA">
      <w:pPr>
        <w:pStyle w:val="Heading4"/>
      </w:pPr>
      <w:bookmarkStart w:id="1334" w:name="_Toc96169803"/>
      <w:bookmarkStart w:id="1335" w:name="_Toc96233848"/>
      <w:bookmarkStart w:id="1336" w:name="_Toc112733281"/>
      <w:bookmarkStart w:id="1337" w:name="_Toc289328254"/>
      <w:r w:rsidRPr="000665B0">
        <w:t xml:space="preserve">Edit an Excel Report </w:t>
      </w:r>
      <w:bookmarkEnd w:id="1334"/>
      <w:bookmarkEnd w:id="1335"/>
      <w:bookmarkEnd w:id="1336"/>
      <w:bookmarkEnd w:id="1337"/>
      <w:r w:rsidR="00745E87" w:rsidRPr="000665B0">
        <w:t>Template</w:t>
      </w:r>
    </w:p>
    <w:p w14:paraId="52F0797C" w14:textId="799A6B53" w:rsidR="005D1A26" w:rsidRPr="000665B0" w:rsidRDefault="005D1A26" w:rsidP="009570CA">
      <w:r w:rsidRPr="000665B0">
        <w:t xml:space="preserve">It may become necessary at times to modify an existing </w:t>
      </w:r>
      <w:r w:rsidR="005F677F" w:rsidRPr="000665B0">
        <w:t>template</w:t>
      </w:r>
      <w:r w:rsidRPr="000665B0">
        <w:t xml:space="preserve">, rather </w:t>
      </w:r>
      <w:r w:rsidR="002F1453" w:rsidRPr="000665B0">
        <w:t>than</w:t>
      </w:r>
      <w:r w:rsidRPr="000665B0">
        <w:t xml:space="preserve"> create a new one from scratch.</w:t>
      </w:r>
    </w:p>
    <w:p w14:paraId="6E7176FD" w14:textId="0818C01F" w:rsidR="005D1A26" w:rsidRPr="000665B0" w:rsidRDefault="005D1A26" w:rsidP="009570CA">
      <w:r w:rsidRPr="000665B0">
        <w:t xml:space="preserve">To edit an Excel </w:t>
      </w:r>
      <w:r w:rsidR="005F677F" w:rsidRPr="000665B0">
        <w:t>report template</w:t>
      </w:r>
      <w:r w:rsidRPr="000665B0">
        <w:t>:</w:t>
      </w:r>
    </w:p>
    <w:p w14:paraId="11EECC29" w14:textId="388F26C0" w:rsidR="005D1A26" w:rsidRPr="000665B0" w:rsidRDefault="005D1A26" w:rsidP="006D5A65">
      <w:pPr>
        <w:pStyle w:val="Heading1"/>
      </w:pPr>
      <w:r w:rsidRPr="000665B0">
        <w:t>Navigate to the Missions Tool.</w:t>
      </w:r>
    </w:p>
    <w:p w14:paraId="111B0B4D" w14:textId="7DF1B1A8" w:rsidR="005D1A26" w:rsidRPr="000665B0" w:rsidRDefault="005D1A26" w:rsidP="006D5A65">
      <w:pPr>
        <w:pStyle w:val="Heading1"/>
      </w:pPr>
      <w:r w:rsidRPr="000665B0">
        <w:t xml:space="preserve">From the File menu select Reports </w:t>
      </w:r>
      <w:r w:rsidR="00D06FD5" w:rsidRPr="000665B0">
        <w:sym w:font="Wingdings 3" w:char="F07D"/>
      </w:r>
      <w:r w:rsidRPr="000665B0">
        <w:rPr>
          <w:bCs/>
        </w:rPr>
        <w:t xml:space="preserve"> Excel</w:t>
      </w:r>
      <w:r w:rsidR="00AA016C" w:rsidRPr="000665B0">
        <w:rPr>
          <w:bCs/>
        </w:rPr>
        <w:t>,</w:t>
      </w:r>
      <w:r w:rsidRPr="000665B0">
        <w:rPr>
          <w:bCs/>
        </w:rPr>
        <w:t xml:space="preserve"> </w:t>
      </w:r>
      <w:r w:rsidR="00FC4324" w:rsidRPr="000665B0">
        <w:t xml:space="preserve">or </w:t>
      </w:r>
      <w:r w:rsidR="00AA016C" w:rsidRPr="000665B0">
        <w:t xml:space="preserve">from the list view, </w:t>
      </w:r>
      <w:r w:rsidR="00FC4324" w:rsidRPr="000665B0">
        <w:t xml:space="preserve">invoke the context menu </w:t>
      </w:r>
      <w:r w:rsidRPr="000665B0">
        <w:t>(</w:t>
      </w:r>
      <w:r w:rsidR="00D71804" w:rsidRPr="000665B0">
        <w:t>right-click</w:t>
      </w:r>
      <w:r w:rsidRPr="000665B0">
        <w:t xml:space="preserve"> the mouse)</w:t>
      </w:r>
      <w:r w:rsidR="00AA016C" w:rsidRPr="000665B0">
        <w:t>,</w:t>
      </w:r>
      <w:r w:rsidRPr="000665B0">
        <w:t xml:space="preserve"> and select Reports </w:t>
      </w:r>
      <w:r w:rsidR="00D06FD5" w:rsidRPr="000665B0">
        <w:sym w:font="Wingdings 3" w:char="F07D"/>
      </w:r>
      <w:r w:rsidRPr="000665B0">
        <w:rPr>
          <w:bCs/>
        </w:rPr>
        <w:t xml:space="preserve"> Excel</w:t>
      </w:r>
      <w:r w:rsidRPr="000665B0">
        <w:t xml:space="preserve">. The </w:t>
      </w:r>
      <w:r w:rsidRPr="000665B0">
        <w:rPr>
          <w:i/>
        </w:rPr>
        <w:t>Mission Excel Report</w:t>
      </w:r>
      <w:r w:rsidRPr="000665B0">
        <w:t xml:space="preserve"> window </w:t>
      </w:r>
      <w:r w:rsidR="00627DD2" w:rsidRPr="000665B0">
        <w:t>is</w:t>
      </w:r>
      <w:r w:rsidRPr="000665B0">
        <w:t xml:space="preserve"> displayed</w:t>
      </w:r>
      <w:r w:rsidR="00AA016C" w:rsidRPr="000665B0">
        <w:t>.</w:t>
      </w:r>
    </w:p>
    <w:p w14:paraId="558D4A9C" w14:textId="1302D6CE" w:rsidR="005D1A26" w:rsidRPr="000665B0" w:rsidRDefault="005D1A26" w:rsidP="006D5A65">
      <w:pPr>
        <w:pStyle w:val="Heading1"/>
      </w:pPr>
      <w:r w:rsidRPr="000665B0">
        <w:t>Highlight an existing report</w:t>
      </w:r>
      <w:r w:rsidR="000103F2" w:rsidRPr="000665B0">
        <w:t xml:space="preserve"> template</w:t>
      </w:r>
      <w:r w:rsidRPr="000665B0">
        <w:t xml:space="preserve"> in the</w:t>
      </w:r>
      <w:r w:rsidRPr="000665B0">
        <w:rPr>
          <w:i/>
        </w:rPr>
        <w:t xml:space="preserve"> Mission Excel Report</w:t>
      </w:r>
      <w:r w:rsidRPr="000665B0">
        <w:t xml:space="preserve"> window, invoke the context menu (</w:t>
      </w:r>
      <w:r w:rsidR="00D71804" w:rsidRPr="000665B0">
        <w:t>right-click</w:t>
      </w:r>
      <w:r w:rsidRPr="000665B0">
        <w:t xml:space="preserve"> the mouse) and select Edit.</w:t>
      </w:r>
    </w:p>
    <w:p w14:paraId="28742102" w14:textId="2367A322" w:rsidR="005D1A26" w:rsidRPr="000665B0" w:rsidRDefault="005D1A26" w:rsidP="006D5A65">
      <w:pPr>
        <w:pStyle w:val="Heading1"/>
      </w:pPr>
      <w:r w:rsidRPr="000665B0">
        <w:t xml:space="preserve">Highlight one or more items in the Available Columns pane and click the </w:t>
      </w:r>
      <w:r w:rsidRPr="000665B0">
        <w:rPr>
          <w:bCs/>
        </w:rPr>
        <w:t>Add –&gt;</w:t>
      </w:r>
      <w:r w:rsidRPr="000665B0">
        <w:t xml:space="preserve"> button in the middle of the screen to move the highlighted item(s) to the right side of the window.</w:t>
      </w:r>
      <w:r w:rsidR="00D12EAA" w:rsidRPr="000665B0">
        <w:t xml:space="preserve"> To quickly add all items, click the Add All </w:t>
      </w:r>
      <w:r w:rsidR="00D12EAA" w:rsidRPr="000665B0">
        <w:rPr>
          <w:bCs/>
        </w:rPr>
        <w:t>–&gt;&gt; button.</w:t>
      </w:r>
    </w:p>
    <w:p w14:paraId="0A231781" w14:textId="16E4DBD3" w:rsidR="005D1A26" w:rsidRPr="000665B0" w:rsidRDefault="005D1A26" w:rsidP="006D5A65">
      <w:pPr>
        <w:pStyle w:val="Heading1"/>
      </w:pPr>
      <w:r w:rsidRPr="000665B0">
        <w:t xml:space="preserve">To remove an item(s) from the right side of the window, highlight one or more item(s), </w:t>
      </w:r>
      <w:r w:rsidR="000A1E20" w:rsidRPr="000665B0">
        <w:t xml:space="preserve">and </w:t>
      </w:r>
      <w:r w:rsidRPr="000665B0">
        <w:t xml:space="preserve">then click on the </w:t>
      </w:r>
      <w:r w:rsidRPr="000665B0">
        <w:rPr>
          <w:bCs/>
        </w:rPr>
        <w:t>&lt;</w:t>
      </w:r>
      <w:r w:rsidRPr="000665B0">
        <w:t xml:space="preserve">– </w:t>
      </w:r>
      <w:r w:rsidRPr="000665B0">
        <w:rPr>
          <w:bCs/>
        </w:rPr>
        <w:t>Remove</w:t>
      </w:r>
      <w:r w:rsidRPr="000665B0">
        <w:t xml:space="preserve"> </w:t>
      </w:r>
      <w:r w:rsidRPr="000665B0">
        <w:lastRenderedPageBreak/>
        <w:t>button.</w:t>
      </w:r>
      <w:r w:rsidR="00D12EAA" w:rsidRPr="000665B0">
        <w:t xml:space="preserve"> To quickly remove all items, click on the </w:t>
      </w:r>
      <w:r w:rsidR="00D12EAA" w:rsidRPr="000665B0">
        <w:rPr>
          <w:bCs/>
        </w:rPr>
        <w:t xml:space="preserve">&lt;&lt;– Remove All </w:t>
      </w:r>
      <w:r w:rsidR="00D12EAA" w:rsidRPr="000665B0">
        <w:t>button.</w:t>
      </w:r>
    </w:p>
    <w:p w14:paraId="7F49782A" w14:textId="77777777" w:rsidR="005D1A26" w:rsidRPr="000665B0" w:rsidRDefault="005D1A26" w:rsidP="006D5A65">
      <w:pPr>
        <w:pStyle w:val="Heading1"/>
        <w:rPr>
          <w:snapToGrid w:val="0"/>
        </w:rPr>
      </w:pPr>
      <w:r w:rsidRPr="000665B0">
        <w:t xml:space="preserve">Change the column order by selecting </w:t>
      </w:r>
      <w:r w:rsidRPr="000665B0">
        <w:rPr>
          <w:snapToGrid w:val="0"/>
        </w:rPr>
        <w:t xml:space="preserve">a </w:t>
      </w:r>
      <w:r w:rsidRPr="000665B0">
        <w:t>desired</w:t>
      </w:r>
      <w:r w:rsidRPr="000665B0">
        <w:rPr>
          <w:snapToGrid w:val="0"/>
        </w:rPr>
        <w:t xml:space="preserve"> column item from the right side and click the </w:t>
      </w:r>
      <w:r w:rsidRPr="000665B0">
        <w:rPr>
          <w:bCs/>
          <w:snapToGrid w:val="0"/>
        </w:rPr>
        <w:t>Move Up</w:t>
      </w:r>
      <w:r w:rsidRPr="000665B0">
        <w:rPr>
          <w:snapToGrid w:val="0"/>
        </w:rPr>
        <w:t xml:space="preserve"> button or </w:t>
      </w:r>
      <w:r w:rsidRPr="000665B0">
        <w:rPr>
          <w:bCs/>
          <w:snapToGrid w:val="0"/>
        </w:rPr>
        <w:t>Move Down</w:t>
      </w:r>
      <w:r w:rsidRPr="000665B0">
        <w:rPr>
          <w:snapToGrid w:val="0"/>
        </w:rPr>
        <w:t xml:space="preserve"> button until the column is in the desired location.</w:t>
      </w:r>
    </w:p>
    <w:p w14:paraId="4093EE53" w14:textId="64D1F535" w:rsidR="005D1A26" w:rsidRPr="000665B0" w:rsidRDefault="005D1A26" w:rsidP="006D5A65">
      <w:pPr>
        <w:pStyle w:val="Heading1"/>
      </w:pPr>
      <w:r w:rsidRPr="000665B0">
        <w:t>Click the Save button when satisfied with the selections. (Clicking the Generate button generate</w:t>
      </w:r>
      <w:r w:rsidR="00390F70" w:rsidRPr="000665B0">
        <w:t>s</w:t>
      </w:r>
      <w:r w:rsidRPr="000665B0">
        <w:t xml:space="preserve"> the report as built but does not save the </w:t>
      </w:r>
      <w:r w:rsidR="00D12EAA" w:rsidRPr="000665B0">
        <w:t xml:space="preserve">report </w:t>
      </w:r>
      <w:r w:rsidR="005F677F" w:rsidRPr="000665B0">
        <w:t xml:space="preserve">template </w:t>
      </w:r>
      <w:r w:rsidRPr="000665B0">
        <w:t>for future re-use.)</w:t>
      </w:r>
    </w:p>
    <w:p w14:paraId="062AC4CA" w14:textId="65B8DE00" w:rsidR="005D1A26" w:rsidRPr="000665B0" w:rsidRDefault="005D1A26" w:rsidP="006D5A65">
      <w:pPr>
        <w:pStyle w:val="Heading1"/>
      </w:pPr>
      <w:r w:rsidRPr="000665B0">
        <w:t xml:space="preserve">To continue editing </w:t>
      </w:r>
      <w:r w:rsidR="005F677F" w:rsidRPr="000665B0">
        <w:t>t</w:t>
      </w:r>
      <w:r w:rsidRPr="000665B0">
        <w:t>emplates</w:t>
      </w:r>
      <w:r w:rsidR="005F677F" w:rsidRPr="000665B0">
        <w:t>,</w:t>
      </w:r>
      <w:r w:rsidRPr="000665B0">
        <w:t xml:space="preserve"> repeat from Step 2. Once finished, exit the </w:t>
      </w:r>
      <w:r w:rsidRPr="000665B0">
        <w:rPr>
          <w:i/>
        </w:rPr>
        <w:t xml:space="preserve">Mission Excel Report </w:t>
      </w:r>
      <w:r w:rsidRPr="000665B0">
        <w:t xml:space="preserve">by clicking the </w:t>
      </w:r>
      <w:r w:rsidR="009A1FDF" w:rsidRPr="000665B0">
        <w:rPr>
          <w:noProof/>
        </w:rPr>
        <w:drawing>
          <wp:inline distT="0" distB="0" distL="0" distR="0" wp14:anchorId="3DE16816" wp14:editId="5D22C2AB">
            <wp:extent cx="152400" cy="152400"/>
            <wp:effectExtent l="19050" t="0" r="0" b="0"/>
            <wp:docPr id="101" name="Picture 101" descr="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Exit"/>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in the top right corner of the window.</w:t>
      </w:r>
    </w:p>
    <w:p w14:paraId="31CC3CAB" w14:textId="6439B042" w:rsidR="005D1A26" w:rsidRPr="000665B0" w:rsidRDefault="005D1A26" w:rsidP="009570CA">
      <w:pPr>
        <w:pStyle w:val="Heading4"/>
      </w:pPr>
      <w:bookmarkStart w:id="1338" w:name="_Toc96169804"/>
      <w:bookmarkStart w:id="1339" w:name="_Toc96233849"/>
      <w:bookmarkStart w:id="1340" w:name="_Toc112733282"/>
      <w:bookmarkStart w:id="1341" w:name="_Toc289328255"/>
      <w:r w:rsidRPr="000665B0">
        <w:t>Generate an Excel Report</w:t>
      </w:r>
      <w:bookmarkEnd w:id="1338"/>
      <w:bookmarkEnd w:id="1339"/>
      <w:bookmarkEnd w:id="1340"/>
      <w:bookmarkEnd w:id="1341"/>
    </w:p>
    <w:p w14:paraId="03404A4F" w14:textId="67EE81D6" w:rsidR="00127FE2" w:rsidRPr="000665B0" w:rsidRDefault="00127FE2" w:rsidP="009570CA">
      <w:pPr>
        <w:rPr>
          <w:rFonts w:eastAsiaTheme="minorEastAsia"/>
        </w:rPr>
      </w:pPr>
      <w:r w:rsidRPr="000665B0">
        <w:t xml:space="preserve">This process retrieves the information requested for each </w:t>
      </w:r>
      <w:r w:rsidR="00AA016C" w:rsidRPr="000665B0">
        <w:t xml:space="preserve">selected </w:t>
      </w:r>
      <w:r w:rsidRPr="000665B0">
        <w:t xml:space="preserve">mission and places it in a Microsoft Excel spreadsheet. From the spreadsheet, the operator can further manipulate the document to achieve the desired appearance. </w:t>
      </w:r>
    </w:p>
    <w:p w14:paraId="546F788A" w14:textId="77777777" w:rsidR="00127FE2" w:rsidRPr="000665B0" w:rsidRDefault="00127FE2" w:rsidP="009570CA">
      <w:r w:rsidRPr="000665B0">
        <w:t>Be aware that this process could take several minutes to complete due to large quantities of line items.</w:t>
      </w:r>
    </w:p>
    <w:p w14:paraId="537016AF" w14:textId="543F5F96" w:rsidR="00127FE2" w:rsidRPr="000665B0" w:rsidRDefault="00127FE2" w:rsidP="009570CA">
      <w:r w:rsidRPr="000665B0">
        <w:t xml:space="preserve">Depending on the number of report items, all </w:t>
      </w:r>
      <w:r w:rsidR="00D12EAA" w:rsidRPr="000665B0">
        <w:t xml:space="preserve">of </w:t>
      </w:r>
      <w:r w:rsidRPr="000665B0">
        <w:t xml:space="preserve">the information </w:t>
      </w:r>
      <w:r w:rsidR="00D12EAA" w:rsidRPr="000665B0">
        <w:t xml:space="preserve">may not </w:t>
      </w:r>
      <w:r w:rsidRPr="000665B0">
        <w:t xml:space="preserve">appear on the same Microsoft Excel sheet. It is possible that several pages are necessary to accommodate all </w:t>
      </w:r>
      <w:r w:rsidR="00D12EAA" w:rsidRPr="000665B0">
        <w:t xml:space="preserve">of </w:t>
      </w:r>
      <w:r w:rsidRPr="000665B0">
        <w:t>the report items. One method to correct this is to resize the column width in the Excel spreadsheet and/or change the margins in the document.</w:t>
      </w:r>
    </w:p>
    <w:p w14:paraId="0E230C2C" w14:textId="1E42D889" w:rsidR="005D1A26" w:rsidRPr="000665B0" w:rsidRDefault="005D1A26" w:rsidP="009570CA">
      <w:r w:rsidRPr="000665B0">
        <w:t>To generate a</w:t>
      </w:r>
      <w:r w:rsidR="00D12EAA" w:rsidRPr="000665B0">
        <w:t>n Excel</w:t>
      </w:r>
      <w:r w:rsidRPr="000665B0">
        <w:t xml:space="preserve"> </w:t>
      </w:r>
      <w:r w:rsidR="000103F2" w:rsidRPr="000665B0">
        <w:t>report</w:t>
      </w:r>
      <w:r w:rsidRPr="000665B0">
        <w:t>:</w:t>
      </w:r>
    </w:p>
    <w:p w14:paraId="7196AA3B" w14:textId="25F50DC7" w:rsidR="005D1A26" w:rsidRPr="000665B0" w:rsidRDefault="005D1A26" w:rsidP="006D5A65">
      <w:pPr>
        <w:pStyle w:val="Heading1"/>
      </w:pPr>
      <w:r w:rsidRPr="000665B0">
        <w:t>Navigate to the Missions Tool</w:t>
      </w:r>
      <w:r w:rsidR="000103F2" w:rsidRPr="000665B0">
        <w:t xml:space="preserve"> (or other mission list view)</w:t>
      </w:r>
      <w:r w:rsidRPr="000665B0">
        <w:t xml:space="preserve"> and select the desired mission(s).</w:t>
      </w:r>
    </w:p>
    <w:p w14:paraId="3C0D86C1" w14:textId="76560FCB" w:rsidR="005D1A26" w:rsidRPr="000665B0" w:rsidRDefault="005D1A26" w:rsidP="006D5A65">
      <w:pPr>
        <w:pStyle w:val="Heading1"/>
      </w:pPr>
      <w:r w:rsidRPr="000665B0">
        <w:t xml:space="preserve">From the File menu select Reports </w:t>
      </w:r>
      <w:r w:rsidR="00D06FD5" w:rsidRPr="000665B0">
        <w:sym w:font="Wingdings 3" w:char="F07D"/>
      </w:r>
      <w:r w:rsidRPr="000665B0">
        <w:rPr>
          <w:bCs/>
        </w:rPr>
        <w:t xml:space="preserve"> </w:t>
      </w:r>
      <w:r w:rsidR="009B6803" w:rsidRPr="000665B0">
        <w:rPr>
          <w:bCs/>
        </w:rPr>
        <w:t>Excel</w:t>
      </w:r>
      <w:r w:rsidR="009B6803" w:rsidRPr="000665B0">
        <w:t xml:space="preserve"> or</w:t>
      </w:r>
      <w:r w:rsidR="00FC4324" w:rsidRPr="000665B0">
        <w:t xml:space="preserve"> invoke the context menu </w:t>
      </w:r>
      <w:r w:rsidRPr="000665B0">
        <w:t>(</w:t>
      </w:r>
      <w:r w:rsidR="00D71804" w:rsidRPr="000665B0">
        <w:t>right-click</w:t>
      </w:r>
      <w:r w:rsidRPr="000665B0">
        <w:t xml:space="preserve"> the mouse) and select Reports </w:t>
      </w:r>
      <w:r w:rsidR="00D06FD5" w:rsidRPr="000665B0">
        <w:sym w:font="Wingdings 3" w:char="F07D"/>
      </w:r>
      <w:r w:rsidRPr="000665B0">
        <w:rPr>
          <w:bCs/>
        </w:rPr>
        <w:t xml:space="preserve"> Excel</w:t>
      </w:r>
      <w:r w:rsidRPr="000665B0">
        <w:t xml:space="preserve">. The </w:t>
      </w:r>
      <w:r w:rsidRPr="000665B0">
        <w:rPr>
          <w:i/>
        </w:rPr>
        <w:t>Mission Excel Report</w:t>
      </w:r>
      <w:r w:rsidRPr="000665B0">
        <w:t xml:space="preserve"> window </w:t>
      </w:r>
      <w:r w:rsidR="00627DD2" w:rsidRPr="000665B0">
        <w:t>is</w:t>
      </w:r>
      <w:r w:rsidRPr="000665B0">
        <w:t xml:space="preserve"> displayed.</w:t>
      </w:r>
    </w:p>
    <w:p w14:paraId="40B89416" w14:textId="6A13392A" w:rsidR="000103F2" w:rsidRPr="000665B0" w:rsidRDefault="000103F2" w:rsidP="009570CA">
      <w:pPr>
        <w:pStyle w:val="Number0205"/>
        <w:ind w:left="0" w:firstLine="0"/>
        <w:jc w:val="center"/>
      </w:pPr>
      <w:r w:rsidRPr="000665B0">
        <w:rPr>
          <w:noProof/>
        </w:rPr>
        <w:drawing>
          <wp:inline distT="0" distB="0" distL="0" distR="0" wp14:anchorId="7E84E7E1" wp14:editId="6EF27A44">
            <wp:extent cx="2240683" cy="2034540"/>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48332" cy="2041486"/>
                    </a:xfrm>
                    <a:prstGeom prst="rect">
                      <a:avLst/>
                    </a:prstGeom>
                  </pic:spPr>
                </pic:pic>
              </a:graphicData>
            </a:graphic>
          </wp:inline>
        </w:drawing>
      </w:r>
    </w:p>
    <w:p w14:paraId="1A1E5B04" w14:textId="55468164" w:rsidR="00ED3370" w:rsidRPr="000665B0" w:rsidRDefault="00ED3370" w:rsidP="006D5A65">
      <w:pPr>
        <w:pStyle w:val="Heading1"/>
      </w:pPr>
      <w:bookmarkStart w:id="1342" w:name="_Hlk33534256"/>
      <w:r w:rsidRPr="000665B0">
        <w:t xml:space="preserve">To generate a report using </w:t>
      </w:r>
      <w:r w:rsidR="000103F2" w:rsidRPr="000665B0">
        <w:t xml:space="preserve">an existing </w:t>
      </w:r>
      <w:r w:rsidR="00D12EAA" w:rsidRPr="000665B0">
        <w:t xml:space="preserve">Excel </w:t>
      </w:r>
      <w:r w:rsidR="000103F2" w:rsidRPr="000665B0">
        <w:t>report template</w:t>
      </w:r>
      <w:r w:rsidRPr="000665B0">
        <w:t xml:space="preserve">, highlight </w:t>
      </w:r>
      <w:r w:rsidR="005D1A26" w:rsidRPr="000665B0">
        <w:t>an existing report</w:t>
      </w:r>
      <w:r w:rsidR="00026114" w:rsidRPr="000665B0">
        <w:t xml:space="preserve"> </w:t>
      </w:r>
      <w:r w:rsidR="000103F2" w:rsidRPr="000665B0">
        <w:t>template</w:t>
      </w:r>
      <w:r w:rsidR="005D1A26" w:rsidRPr="000665B0">
        <w:t xml:space="preserve"> in the </w:t>
      </w:r>
      <w:r w:rsidR="00D12EAA" w:rsidRPr="000665B0">
        <w:t>Select a report pane</w:t>
      </w:r>
      <w:r w:rsidR="005D1A26" w:rsidRPr="000665B0">
        <w:t>, invoke the context menu (</w:t>
      </w:r>
      <w:r w:rsidR="00D71804" w:rsidRPr="000665B0">
        <w:t>right-click</w:t>
      </w:r>
      <w:r w:rsidR="005D1A26" w:rsidRPr="000665B0">
        <w:t xml:space="preserve"> the mouse) and </w:t>
      </w:r>
      <w:r w:rsidR="005D1A26" w:rsidRPr="000665B0">
        <w:lastRenderedPageBreak/>
        <w:t>select Generate.</w:t>
      </w:r>
      <w:r w:rsidR="00026114" w:rsidRPr="000665B0">
        <w:t xml:space="preserve"> If the desired </w:t>
      </w:r>
      <w:r w:rsidR="00D12EAA" w:rsidRPr="000665B0">
        <w:t xml:space="preserve">Excel </w:t>
      </w:r>
      <w:r w:rsidR="00026114" w:rsidRPr="000665B0">
        <w:t xml:space="preserve">report </w:t>
      </w:r>
      <w:r w:rsidR="000103F2" w:rsidRPr="000665B0">
        <w:t>template</w:t>
      </w:r>
      <w:r w:rsidR="00026114" w:rsidRPr="000665B0">
        <w:t xml:space="preserve"> is not present, create a new report </w:t>
      </w:r>
      <w:r w:rsidR="000103F2" w:rsidRPr="000665B0">
        <w:t>template</w:t>
      </w:r>
      <w:r w:rsidRPr="000665B0">
        <w:t xml:space="preserve"> (see </w:t>
      </w:r>
      <w:hyperlink w:anchor="_Create_an_Excel" w:history="1">
        <w:r w:rsidRPr="000665B0">
          <w:rPr>
            <w:rStyle w:val="Hyperlink"/>
          </w:rPr>
          <w:t>Section 5.</w:t>
        </w:r>
        <w:r w:rsidR="00C526BF" w:rsidRPr="000665B0">
          <w:rPr>
            <w:rStyle w:val="Hyperlink"/>
          </w:rPr>
          <w:t>5</w:t>
        </w:r>
        <w:r w:rsidRPr="000665B0">
          <w:rPr>
            <w:rStyle w:val="Hyperlink"/>
          </w:rPr>
          <w:t>.7.2</w:t>
        </w:r>
      </w:hyperlink>
      <w:r w:rsidRPr="000665B0">
        <w:t>).</w:t>
      </w:r>
      <w:r w:rsidR="00026114" w:rsidRPr="000665B0">
        <w:t xml:space="preserve"> </w:t>
      </w:r>
    </w:p>
    <w:p w14:paraId="11A3EE44" w14:textId="77777777" w:rsidR="00ED3370" w:rsidRPr="000665B0" w:rsidRDefault="00026114" w:rsidP="009570CA">
      <w:pPr>
        <w:pStyle w:val="Number0205"/>
        <w:ind w:left="720" w:firstLine="0"/>
      </w:pPr>
      <w:r w:rsidRPr="000665B0">
        <w:t xml:space="preserve">or </w:t>
      </w:r>
    </w:p>
    <w:p w14:paraId="6DF7748D" w14:textId="571C03D3" w:rsidR="00627DD2" w:rsidRPr="000665B0" w:rsidRDefault="00ED3370" w:rsidP="006D5A65">
      <w:pPr>
        <w:pStyle w:val="Heading1"/>
      </w:pPr>
      <w:r w:rsidRPr="000665B0">
        <w:t xml:space="preserve">To generate a report without using </w:t>
      </w:r>
      <w:r w:rsidR="000103F2" w:rsidRPr="000665B0">
        <w:t xml:space="preserve">an existing </w:t>
      </w:r>
      <w:r w:rsidR="00D12EAA" w:rsidRPr="000665B0">
        <w:t xml:space="preserve">Excel </w:t>
      </w:r>
      <w:r w:rsidR="000103F2" w:rsidRPr="000665B0">
        <w:t>report template</w:t>
      </w:r>
      <w:r w:rsidRPr="000665B0">
        <w:t xml:space="preserve">, click the Create button in the </w:t>
      </w:r>
      <w:r w:rsidRPr="000665B0">
        <w:rPr>
          <w:i/>
        </w:rPr>
        <w:t>Mission Excel Report</w:t>
      </w:r>
      <w:r w:rsidRPr="000665B0">
        <w:t xml:space="preserve"> window. </w:t>
      </w:r>
      <w:r w:rsidR="00AA016C" w:rsidRPr="000665B0">
        <w:t>Add</w:t>
      </w:r>
      <w:r w:rsidR="00026114" w:rsidRPr="000665B0">
        <w:t xml:space="preserve"> the desired TCI fields</w:t>
      </w:r>
      <w:r w:rsidRPr="000665B0">
        <w:t xml:space="preserve"> from the Available Columns pane</w:t>
      </w:r>
      <w:r w:rsidR="00026114" w:rsidRPr="000665B0">
        <w:t xml:space="preserve"> (see </w:t>
      </w:r>
      <w:hyperlink w:anchor="_Create_an_Excel" w:history="1">
        <w:r w:rsidR="00026114" w:rsidRPr="000665B0">
          <w:rPr>
            <w:rStyle w:val="Hyperlink"/>
          </w:rPr>
          <w:t>Section 5.</w:t>
        </w:r>
        <w:r w:rsidR="00C526BF" w:rsidRPr="000665B0">
          <w:rPr>
            <w:rStyle w:val="Hyperlink"/>
          </w:rPr>
          <w:t>5</w:t>
        </w:r>
        <w:r w:rsidR="00026114" w:rsidRPr="000665B0">
          <w:rPr>
            <w:rStyle w:val="Hyperlink"/>
          </w:rPr>
          <w:t>.7.2</w:t>
        </w:r>
      </w:hyperlink>
      <w:r w:rsidR="00026114" w:rsidRPr="000665B0">
        <w:t>) and click Generate</w:t>
      </w:r>
      <w:r w:rsidRPr="000665B0">
        <w:t>.</w:t>
      </w:r>
      <w:r w:rsidR="00026114" w:rsidRPr="000665B0">
        <w:t xml:space="preserve"> </w:t>
      </w:r>
      <w:r w:rsidRPr="000665B0">
        <w:t>This</w:t>
      </w:r>
      <w:r w:rsidR="00026114" w:rsidRPr="000665B0">
        <w:t xml:space="preserve"> generate</w:t>
      </w:r>
      <w:r w:rsidRPr="000665B0">
        <w:t>s</w:t>
      </w:r>
      <w:r w:rsidR="00026114" w:rsidRPr="000665B0">
        <w:t xml:space="preserve"> the </w:t>
      </w:r>
      <w:r w:rsidRPr="000665B0">
        <w:t xml:space="preserve">Excel </w:t>
      </w:r>
      <w:r w:rsidR="00026114" w:rsidRPr="000665B0">
        <w:t xml:space="preserve">report </w:t>
      </w:r>
      <w:r w:rsidR="000103F2" w:rsidRPr="000665B0">
        <w:t>with the desired TCI data elements but does not save</w:t>
      </w:r>
      <w:r w:rsidR="00026114" w:rsidRPr="000665B0">
        <w:t xml:space="preserve"> the report </w:t>
      </w:r>
      <w:r w:rsidR="000103F2" w:rsidRPr="000665B0">
        <w:t>template</w:t>
      </w:r>
      <w:r w:rsidR="00026114" w:rsidRPr="000665B0">
        <w:t xml:space="preserve"> for future re-use.</w:t>
      </w:r>
    </w:p>
    <w:bookmarkEnd w:id="1342"/>
    <w:p w14:paraId="493F2847" w14:textId="49B998F8" w:rsidR="005D1A26" w:rsidRPr="000665B0" w:rsidRDefault="005D1A26" w:rsidP="006D5A65">
      <w:pPr>
        <w:pStyle w:val="Heading1"/>
      </w:pPr>
      <w:r w:rsidRPr="000665B0">
        <w:t xml:space="preserve">An Excel </w:t>
      </w:r>
      <w:r w:rsidR="00D12EAA" w:rsidRPr="000665B0">
        <w:t xml:space="preserve">report </w:t>
      </w:r>
      <w:r w:rsidR="00627DD2" w:rsidRPr="000665B0">
        <w:t>is</w:t>
      </w:r>
      <w:r w:rsidRPr="000665B0">
        <w:t xml:space="preserve"> displayed.</w:t>
      </w:r>
    </w:p>
    <w:p w14:paraId="16F90ABB" w14:textId="05EBF985" w:rsidR="005D1A26" w:rsidRPr="000665B0" w:rsidRDefault="005D1A26" w:rsidP="009570CA">
      <w:pPr>
        <w:pStyle w:val="Heading4"/>
      </w:pPr>
      <w:bookmarkStart w:id="1343" w:name="_Toc96169805"/>
      <w:bookmarkStart w:id="1344" w:name="_Toc96233850"/>
      <w:bookmarkStart w:id="1345" w:name="_Toc112733283"/>
      <w:bookmarkStart w:id="1346" w:name="_Toc289328256"/>
      <w:r w:rsidRPr="000665B0">
        <w:t>Delete an Excel Report</w:t>
      </w:r>
      <w:bookmarkEnd w:id="1343"/>
      <w:bookmarkEnd w:id="1344"/>
      <w:bookmarkEnd w:id="1345"/>
      <w:bookmarkEnd w:id="1346"/>
      <w:r w:rsidR="00140C97" w:rsidRPr="000665B0">
        <w:t xml:space="preserve"> </w:t>
      </w:r>
      <w:r w:rsidR="00745E87" w:rsidRPr="000665B0">
        <w:t>Template</w:t>
      </w:r>
    </w:p>
    <w:p w14:paraId="6B1D60BA" w14:textId="702E46F2" w:rsidR="005D1A26" w:rsidRPr="000665B0" w:rsidRDefault="005D1A26" w:rsidP="009570CA">
      <w:r w:rsidRPr="000665B0">
        <w:t>To delete a</w:t>
      </w:r>
      <w:r w:rsidR="00140C97" w:rsidRPr="000665B0">
        <w:t>n Excel</w:t>
      </w:r>
      <w:r w:rsidRPr="000665B0">
        <w:t xml:space="preserve"> </w:t>
      </w:r>
      <w:r w:rsidR="000103F2" w:rsidRPr="000665B0">
        <w:t>report template</w:t>
      </w:r>
      <w:r w:rsidRPr="000665B0">
        <w:t>:</w:t>
      </w:r>
    </w:p>
    <w:p w14:paraId="6114B3A2" w14:textId="3A649E7C" w:rsidR="005D1A26" w:rsidRPr="000665B0" w:rsidRDefault="005D1A26" w:rsidP="006D5A65">
      <w:pPr>
        <w:pStyle w:val="Heading1"/>
      </w:pPr>
      <w:r w:rsidRPr="000665B0">
        <w:t>Navigate to the Missions Tool.</w:t>
      </w:r>
    </w:p>
    <w:p w14:paraId="723C35A0" w14:textId="223B54D6" w:rsidR="005D1A26" w:rsidRPr="000665B0" w:rsidRDefault="005D1A26" w:rsidP="006D5A65">
      <w:pPr>
        <w:pStyle w:val="Heading1"/>
      </w:pPr>
      <w:r w:rsidRPr="000665B0">
        <w:t xml:space="preserve">From the File menu select Reports </w:t>
      </w:r>
      <w:r w:rsidR="00D06FD5" w:rsidRPr="000665B0">
        <w:sym w:font="Wingdings 3" w:char="F07D"/>
      </w:r>
      <w:r w:rsidRPr="000665B0">
        <w:rPr>
          <w:bCs/>
        </w:rPr>
        <w:t xml:space="preserve"> Excel</w:t>
      </w:r>
      <w:r w:rsidRPr="000665B0">
        <w:t>,</w:t>
      </w:r>
      <w:r w:rsidRPr="000665B0">
        <w:rPr>
          <w:bCs/>
        </w:rPr>
        <w:t xml:space="preserve"> </w:t>
      </w:r>
      <w:r w:rsidR="00FC4324" w:rsidRPr="000665B0">
        <w:t>or</w:t>
      </w:r>
      <w:r w:rsidR="00AA016C" w:rsidRPr="000665B0">
        <w:t xml:space="preserve"> from the list view,</w:t>
      </w:r>
      <w:r w:rsidR="00FC4324" w:rsidRPr="000665B0">
        <w:t xml:space="preserve"> invoke the context menu </w:t>
      </w:r>
      <w:r w:rsidRPr="000665B0">
        <w:t>(</w:t>
      </w:r>
      <w:r w:rsidR="00D71804" w:rsidRPr="000665B0">
        <w:t>right-click</w:t>
      </w:r>
      <w:r w:rsidRPr="000665B0">
        <w:t xml:space="preserve"> the mouse) and select Reports </w:t>
      </w:r>
      <w:r w:rsidR="00D06FD5" w:rsidRPr="000665B0">
        <w:sym w:font="Wingdings 3" w:char="F07D"/>
      </w:r>
      <w:r w:rsidRPr="000665B0">
        <w:rPr>
          <w:bCs/>
        </w:rPr>
        <w:t xml:space="preserve"> Excel</w:t>
      </w:r>
      <w:r w:rsidRPr="000665B0">
        <w:t>.</w:t>
      </w:r>
      <w:r w:rsidR="00AA016C" w:rsidRPr="000665B0">
        <w:t xml:space="preserve"> The </w:t>
      </w:r>
      <w:r w:rsidR="00AA016C" w:rsidRPr="000665B0">
        <w:rPr>
          <w:i/>
        </w:rPr>
        <w:t>Mission Excel Report</w:t>
      </w:r>
      <w:r w:rsidR="00AA016C" w:rsidRPr="000665B0">
        <w:t xml:space="preserve"> window is displayed.</w:t>
      </w:r>
    </w:p>
    <w:p w14:paraId="0AE22AEC" w14:textId="358DFD26" w:rsidR="005D1A26" w:rsidRPr="000665B0" w:rsidRDefault="005D1A26" w:rsidP="006D5A65">
      <w:pPr>
        <w:pStyle w:val="Heading1"/>
      </w:pPr>
      <w:r w:rsidRPr="000665B0">
        <w:t xml:space="preserve">Highlight </w:t>
      </w:r>
      <w:r w:rsidR="000103F2" w:rsidRPr="000665B0">
        <w:t>an e</w:t>
      </w:r>
      <w:r w:rsidR="002E5BBB" w:rsidRPr="000665B0">
        <w:t>x</w:t>
      </w:r>
      <w:r w:rsidR="000103F2" w:rsidRPr="000665B0">
        <w:t>i</w:t>
      </w:r>
      <w:r w:rsidR="002E5BBB" w:rsidRPr="000665B0">
        <w:t>s</w:t>
      </w:r>
      <w:r w:rsidR="000103F2" w:rsidRPr="000665B0">
        <w:t>ting report template</w:t>
      </w:r>
      <w:r w:rsidRPr="000665B0">
        <w:t xml:space="preserve"> in the </w:t>
      </w:r>
      <w:r w:rsidRPr="000665B0">
        <w:rPr>
          <w:i/>
        </w:rPr>
        <w:t>Mission Excel Report</w:t>
      </w:r>
      <w:r w:rsidRPr="000665B0">
        <w:t xml:space="preserve"> window, invoke the context menu (</w:t>
      </w:r>
      <w:r w:rsidR="00D71804" w:rsidRPr="000665B0">
        <w:t>right-click</w:t>
      </w:r>
      <w:r w:rsidRPr="000665B0">
        <w:t xml:space="preserve"> the mouse) and select </w:t>
      </w:r>
      <w:r w:rsidRPr="000665B0">
        <w:rPr>
          <w:bCs/>
        </w:rPr>
        <w:t>Delete</w:t>
      </w:r>
      <w:r w:rsidRPr="000665B0">
        <w:t>.</w:t>
      </w:r>
    </w:p>
    <w:p w14:paraId="21955383" w14:textId="77777777" w:rsidR="005D1A26" w:rsidRPr="000665B0" w:rsidRDefault="005D1A26" w:rsidP="006D5A65">
      <w:pPr>
        <w:pStyle w:val="Heading1"/>
      </w:pPr>
      <w:r w:rsidRPr="000665B0">
        <w:t xml:space="preserve">In the ensuing window, click the </w:t>
      </w:r>
      <w:r w:rsidRPr="000665B0">
        <w:rPr>
          <w:bCs/>
        </w:rPr>
        <w:t>Yes</w:t>
      </w:r>
      <w:r w:rsidRPr="000665B0">
        <w:t xml:space="preserve"> button to confirm the deletion or </w:t>
      </w:r>
      <w:r w:rsidRPr="000665B0">
        <w:rPr>
          <w:bCs/>
        </w:rPr>
        <w:t>No</w:t>
      </w:r>
      <w:r w:rsidRPr="000665B0">
        <w:t xml:space="preserve"> to cancel the process.</w:t>
      </w:r>
    </w:p>
    <w:p w14:paraId="78B18FC5" w14:textId="6C336B86" w:rsidR="00ED42D8" w:rsidRPr="000665B0" w:rsidRDefault="00ED42D8" w:rsidP="009570CA">
      <w:pPr>
        <w:pStyle w:val="Heading4"/>
      </w:pPr>
      <w:bookmarkStart w:id="1347" w:name="_5.6.8.6__Custom"/>
      <w:bookmarkStart w:id="1348" w:name="_Custom_Reports"/>
      <w:bookmarkStart w:id="1349" w:name="_Toc112733284"/>
      <w:bookmarkStart w:id="1350" w:name="_Toc289328257"/>
      <w:bookmarkStart w:id="1351" w:name="_Toc96169806"/>
      <w:bookmarkStart w:id="1352" w:name="_Toc96233851"/>
      <w:bookmarkEnd w:id="1347"/>
      <w:bookmarkEnd w:id="1348"/>
      <w:r w:rsidRPr="000665B0">
        <w:t>Custom Reports</w:t>
      </w:r>
      <w:bookmarkEnd w:id="1349"/>
      <w:bookmarkEnd w:id="1350"/>
    </w:p>
    <w:p w14:paraId="4EE567D6" w14:textId="67D8FD94" w:rsidR="00ED42D8" w:rsidRPr="000665B0" w:rsidRDefault="00ED42D8" w:rsidP="009570CA">
      <w:r w:rsidRPr="000665B0">
        <w:t xml:space="preserve">Custom Reports are pre-determined reports, available from the Missions Tool and the Strike Options Folder, and are provided during the installation. New Custom Reports can be requested through the CMSAs. For more information on Custom Reports see </w:t>
      </w:r>
      <w:hyperlink w:anchor="_5.2.1.3__Custom" w:history="1">
        <w:r w:rsidRPr="000665B0">
          <w:rPr>
            <w:rStyle w:val="Hyperlink"/>
          </w:rPr>
          <w:t>Section 5.2.1.3</w:t>
        </w:r>
      </w:hyperlink>
      <w:r w:rsidRPr="000665B0">
        <w:t>.</w:t>
      </w:r>
    </w:p>
    <w:p w14:paraId="51CD4C8A" w14:textId="143F5A9F" w:rsidR="005D1A26" w:rsidRPr="000665B0" w:rsidRDefault="005D1A26" w:rsidP="009570CA">
      <w:pPr>
        <w:pStyle w:val="Heading3"/>
      </w:pPr>
      <w:bookmarkStart w:id="1353" w:name="_5.6.9__Re-IQVC"/>
      <w:bookmarkStart w:id="1354" w:name="_5.6.8__Re-IQVC"/>
      <w:bookmarkStart w:id="1355" w:name="_Toc96169810"/>
      <w:bookmarkStart w:id="1356" w:name="_Toc96233855"/>
      <w:bookmarkStart w:id="1357" w:name="_Toc112733285"/>
      <w:bookmarkStart w:id="1358" w:name="_Toc289328258"/>
      <w:bookmarkStart w:id="1359" w:name="_Toc312331681"/>
      <w:bookmarkStart w:id="1360" w:name="_Toc214283162"/>
      <w:bookmarkEnd w:id="1317"/>
      <w:bookmarkEnd w:id="1351"/>
      <w:bookmarkEnd w:id="1352"/>
      <w:bookmarkEnd w:id="1353"/>
      <w:bookmarkEnd w:id="1354"/>
      <w:r w:rsidRPr="000665B0">
        <w:t>Re-IQVC</w:t>
      </w:r>
      <w:bookmarkEnd w:id="1355"/>
      <w:bookmarkEnd w:id="1356"/>
      <w:bookmarkEnd w:id="1357"/>
      <w:bookmarkEnd w:id="1358"/>
      <w:bookmarkEnd w:id="1359"/>
      <w:bookmarkEnd w:id="1360"/>
    </w:p>
    <w:p w14:paraId="4BFE3521" w14:textId="77777777" w:rsidR="005D1A26" w:rsidRPr="000665B0" w:rsidRDefault="005D1A26" w:rsidP="009570CA">
      <w:r w:rsidRPr="000665B0">
        <w:t>This function updates the list of compatible missiles for selected missions. This action is automatically performed when a revised/updated Valid Missile ID List has been received and added. Each mission is re-validated and the compatible missiles are updated accordingly. The operator may perform a manual Re-IQVC as desired.</w:t>
      </w:r>
    </w:p>
    <w:p w14:paraId="72491B83" w14:textId="77777777" w:rsidR="005D1A26" w:rsidRPr="000665B0" w:rsidRDefault="005D1A26" w:rsidP="009570CA">
      <w:r w:rsidRPr="000665B0">
        <w:t>When the Re-IQVC option is run from the Missions Tool, the results are provided in a separate window.</w:t>
      </w:r>
    </w:p>
    <w:p w14:paraId="79B15956" w14:textId="77777777" w:rsidR="005D1A26" w:rsidRPr="000665B0" w:rsidRDefault="005D1A26" w:rsidP="009570CA">
      <w:r w:rsidRPr="000665B0">
        <w:t>To manually initiate Re-IQVC:</w:t>
      </w:r>
    </w:p>
    <w:p w14:paraId="23BD360D" w14:textId="77777777" w:rsidR="005D1A26" w:rsidRPr="000665B0" w:rsidRDefault="005D1A26" w:rsidP="006D5A65">
      <w:pPr>
        <w:pStyle w:val="Heading1"/>
      </w:pPr>
      <w:r w:rsidRPr="000665B0">
        <w:lastRenderedPageBreak/>
        <w:t>Navigate to the Missions Tool and select the desired mission(s) from the Mission List.</w:t>
      </w:r>
    </w:p>
    <w:p w14:paraId="2CCF434D" w14:textId="51FB4D04" w:rsidR="005D1A26" w:rsidRPr="000665B0" w:rsidRDefault="005D1A26" w:rsidP="006D5A65">
      <w:pPr>
        <w:pStyle w:val="Heading1"/>
      </w:pPr>
      <w:r w:rsidRPr="000665B0">
        <w:t xml:space="preserve">From the </w:t>
      </w:r>
      <w:r w:rsidRPr="000665B0">
        <w:rPr>
          <w:bCs/>
        </w:rPr>
        <w:t>File</w:t>
      </w:r>
      <w:r w:rsidRPr="000665B0">
        <w:t xml:space="preserve"> menu select Re-IQVC </w:t>
      </w:r>
      <w:r w:rsidR="00FC4324" w:rsidRPr="000665B0">
        <w:t xml:space="preserve">or invoke the context menu </w:t>
      </w:r>
      <w:r w:rsidRPr="000665B0">
        <w:t>(</w:t>
      </w:r>
      <w:r w:rsidR="00D71804" w:rsidRPr="000665B0">
        <w:t>right-click</w:t>
      </w:r>
      <w:r w:rsidRPr="000665B0">
        <w:t xml:space="preserve"> the mouse) and select Re-IQVC. The </w:t>
      </w:r>
      <w:r w:rsidRPr="000665B0">
        <w:rPr>
          <w:i/>
        </w:rPr>
        <w:t>ReIQVC Error Log</w:t>
      </w:r>
      <w:r w:rsidRPr="000665B0">
        <w:t xml:space="preserve"> window displays the results.</w:t>
      </w:r>
    </w:p>
    <w:p w14:paraId="2655ABC1" w14:textId="77777777" w:rsidR="005D1A26" w:rsidRPr="000665B0" w:rsidRDefault="009A1FDF" w:rsidP="009570CA">
      <w:pPr>
        <w:ind w:left="360"/>
        <w:jc w:val="center"/>
      </w:pPr>
      <w:r w:rsidRPr="000665B0">
        <w:rPr>
          <w:noProof/>
        </w:rPr>
        <w:drawing>
          <wp:inline distT="0" distB="0" distL="0" distR="0" wp14:anchorId="6E98470C" wp14:editId="67C722F3">
            <wp:extent cx="2742821" cy="1590040"/>
            <wp:effectExtent l="0" t="0" r="0" b="0"/>
            <wp:docPr id="102" name="Picture 102" descr="ReIQVCError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ReIQVCErrorLog"/>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51572" cy="1595113"/>
                    </a:xfrm>
                    <a:prstGeom prst="rect">
                      <a:avLst/>
                    </a:prstGeom>
                    <a:noFill/>
                    <a:ln w="9525">
                      <a:noFill/>
                      <a:miter lim="800000"/>
                      <a:headEnd/>
                      <a:tailEnd/>
                    </a:ln>
                  </pic:spPr>
                </pic:pic>
              </a:graphicData>
            </a:graphic>
          </wp:inline>
        </w:drawing>
      </w:r>
    </w:p>
    <w:p w14:paraId="3FAAC93B" w14:textId="77777777" w:rsidR="005D1A26" w:rsidRPr="000665B0" w:rsidRDefault="005D1A26" w:rsidP="006D5A65">
      <w:pPr>
        <w:pStyle w:val="Heading1"/>
      </w:pPr>
      <w:r w:rsidRPr="000665B0">
        <w:t>Click on the Close button when finished reviewing the data.</w:t>
      </w:r>
    </w:p>
    <w:p w14:paraId="15F6A62A" w14:textId="77777777" w:rsidR="005D1A26" w:rsidRPr="000665B0" w:rsidRDefault="005D1A26" w:rsidP="009570CA">
      <w:r w:rsidRPr="000665B0">
        <w:t xml:space="preserve">IQVC Error Log entries can be displayed, saved, and printed as desired for recording purposes, etc. </w:t>
      </w:r>
    </w:p>
    <w:p w14:paraId="325168E8" w14:textId="77777777" w:rsidR="005D1A26" w:rsidRPr="000665B0" w:rsidRDefault="005D1A26" w:rsidP="009570CA">
      <w:r w:rsidRPr="000665B0">
        <w:t>To display (Textually or in Excel) an item in the ReIQVC Error Log:</w:t>
      </w:r>
    </w:p>
    <w:p w14:paraId="78326957" w14:textId="77777777" w:rsidR="005D1A26" w:rsidRPr="000665B0" w:rsidRDefault="005D1A26" w:rsidP="006D5A65">
      <w:pPr>
        <w:pStyle w:val="Heading1"/>
      </w:pPr>
      <w:r w:rsidRPr="000665B0">
        <w:t xml:space="preserve">In the </w:t>
      </w:r>
      <w:r w:rsidRPr="000665B0">
        <w:rPr>
          <w:i/>
        </w:rPr>
        <w:t>ReIQVC Error Log</w:t>
      </w:r>
      <w:r w:rsidRPr="000665B0">
        <w:t xml:space="preserve"> window, select the desired item(s) from the log entries.</w:t>
      </w:r>
    </w:p>
    <w:p w14:paraId="41001F5F" w14:textId="3E55B0CA" w:rsidR="005D1A26" w:rsidRPr="000665B0" w:rsidRDefault="005D1A26" w:rsidP="006D5A65">
      <w:pPr>
        <w:pStyle w:val="Heading1"/>
      </w:pPr>
      <w:r w:rsidRPr="000665B0">
        <w:t>Invoke the context menu (</w:t>
      </w:r>
      <w:r w:rsidR="00D71804" w:rsidRPr="000665B0">
        <w:t>right-click</w:t>
      </w:r>
      <w:r w:rsidRPr="000665B0">
        <w:t xml:space="preserve"> the mouse) and select Display </w:t>
      </w:r>
      <w:r w:rsidR="008C2F7D" w:rsidRPr="000665B0">
        <w:sym w:font="Wingdings 3" w:char="F07D"/>
      </w:r>
      <w:r w:rsidRPr="000665B0">
        <w:t xml:space="preserve"> Textually or Display </w:t>
      </w:r>
      <w:r w:rsidR="008C2F7D" w:rsidRPr="000665B0">
        <w:sym w:font="Wingdings 3" w:char="F07D"/>
      </w:r>
      <w:r w:rsidRPr="000665B0">
        <w:t xml:space="preserve"> in Excel.</w:t>
      </w:r>
    </w:p>
    <w:p w14:paraId="3CC06796" w14:textId="77777777" w:rsidR="005D1A26" w:rsidRPr="000665B0" w:rsidRDefault="005D1A26" w:rsidP="009570CA">
      <w:r w:rsidRPr="000665B0">
        <w:t>The ReIQVC Error Log entry textual display data items are:</w:t>
      </w:r>
    </w:p>
    <w:p w14:paraId="3C52CACC" w14:textId="77777777" w:rsidR="005D1A26" w:rsidRPr="000665B0" w:rsidRDefault="005D1A26" w:rsidP="006D5A65">
      <w:pPr>
        <w:pStyle w:val="Heading2"/>
      </w:pPr>
      <w:r w:rsidRPr="000665B0">
        <w:t>Mission ID</w:t>
      </w:r>
    </w:p>
    <w:p w14:paraId="4F3ABDC3" w14:textId="77777777" w:rsidR="005D1A26" w:rsidRPr="000665B0" w:rsidRDefault="005D1A26" w:rsidP="006D5A65">
      <w:pPr>
        <w:pStyle w:val="Heading2"/>
      </w:pPr>
      <w:r w:rsidRPr="000665B0">
        <w:t>Mission Name</w:t>
      </w:r>
    </w:p>
    <w:p w14:paraId="1B8ED0E3" w14:textId="77777777" w:rsidR="005D1A26" w:rsidRPr="000665B0" w:rsidRDefault="005D1A26" w:rsidP="006D5A65">
      <w:pPr>
        <w:pStyle w:val="Heading2"/>
      </w:pPr>
      <w:r w:rsidRPr="000665B0">
        <w:t>Source</w:t>
      </w:r>
    </w:p>
    <w:p w14:paraId="50F04F48" w14:textId="77777777" w:rsidR="005D1A26" w:rsidRPr="000665B0" w:rsidRDefault="005D1A26" w:rsidP="006D5A65">
      <w:pPr>
        <w:pStyle w:val="Heading2"/>
      </w:pPr>
      <w:r w:rsidRPr="000665B0">
        <w:t>Severity</w:t>
      </w:r>
    </w:p>
    <w:p w14:paraId="2E1E6D8D" w14:textId="77777777" w:rsidR="005D1A26" w:rsidRPr="000665B0" w:rsidRDefault="005D1A26" w:rsidP="006D5A65">
      <w:pPr>
        <w:pStyle w:val="Heading2"/>
      </w:pPr>
      <w:r w:rsidRPr="000665B0">
        <w:t>Time Stamp</w:t>
      </w:r>
    </w:p>
    <w:p w14:paraId="605D7F61" w14:textId="77777777" w:rsidR="005D1A26" w:rsidRPr="000665B0" w:rsidRDefault="005D1A26" w:rsidP="006D5A65">
      <w:pPr>
        <w:pStyle w:val="Heading2"/>
      </w:pPr>
      <w:r w:rsidRPr="000665B0">
        <w:t>Error number</w:t>
      </w:r>
    </w:p>
    <w:p w14:paraId="7DEC9F2D" w14:textId="77777777" w:rsidR="005D1A26" w:rsidRPr="000665B0" w:rsidRDefault="005D1A26" w:rsidP="006D5A65">
      <w:pPr>
        <w:pStyle w:val="Heading2"/>
      </w:pPr>
      <w:r w:rsidRPr="000665B0">
        <w:t>The associated error message text.</w:t>
      </w:r>
    </w:p>
    <w:p w14:paraId="79A3739C" w14:textId="77777777" w:rsidR="005D1A26" w:rsidRPr="000665B0" w:rsidRDefault="005D1A26" w:rsidP="009570CA">
      <w:pPr>
        <w:keepNext/>
      </w:pPr>
      <w:r w:rsidRPr="000665B0">
        <w:lastRenderedPageBreak/>
        <w:t>Several actions occur when a mission fails:</w:t>
      </w:r>
    </w:p>
    <w:p w14:paraId="0E972807" w14:textId="77777777" w:rsidR="005D1A26" w:rsidRPr="000665B0" w:rsidRDefault="005D1A26" w:rsidP="006D5A65">
      <w:pPr>
        <w:pStyle w:val="Heading3"/>
      </w:pPr>
      <w:r w:rsidRPr="000665B0">
        <w:t>The mission is deactivated.</w:t>
      </w:r>
    </w:p>
    <w:p w14:paraId="57E74DDD" w14:textId="77777777" w:rsidR="005D1A26" w:rsidRPr="000665B0" w:rsidRDefault="005D1A26" w:rsidP="006D5A65">
      <w:pPr>
        <w:pStyle w:val="Heading3"/>
      </w:pPr>
      <w:r w:rsidRPr="000665B0">
        <w:t>A mission library is automatically created containing those failed missions.</w:t>
      </w:r>
    </w:p>
    <w:p w14:paraId="5FA2EF66" w14:textId="77777777" w:rsidR="005D1A26" w:rsidRPr="000665B0" w:rsidRDefault="005D1A26" w:rsidP="006D5A65">
      <w:pPr>
        <w:pStyle w:val="Heading3"/>
      </w:pPr>
      <w:r w:rsidRPr="000665B0">
        <w:t>An entry is placed into the ReIQVC Log.</w:t>
      </w:r>
    </w:p>
    <w:p w14:paraId="08C70D46" w14:textId="430EEB17" w:rsidR="005D1A26" w:rsidRPr="000665B0" w:rsidRDefault="005D1A26" w:rsidP="009570CA">
      <w:pPr>
        <w:spacing w:after="0"/>
      </w:pPr>
      <w:r w:rsidRPr="000665B0">
        <w:t xml:space="preserve">Selected </w:t>
      </w:r>
      <w:r w:rsidR="00AE4182" w:rsidRPr="000665B0">
        <w:t xml:space="preserve">items may be saved (see </w:t>
      </w:r>
      <w:hyperlink w:anchor="_Save_As…" w:history="1">
        <w:r w:rsidR="00AE4182" w:rsidRPr="000665B0">
          <w:rPr>
            <w:rStyle w:val="Hyperlink"/>
          </w:rPr>
          <w:t xml:space="preserve">Section </w:t>
        </w:r>
        <w:r w:rsidR="004231CC">
          <w:rPr>
            <w:rStyle w:val="Hyperlink"/>
          </w:rPr>
          <w:t>5.24</w:t>
        </w:r>
        <w:r w:rsidR="00AE4182" w:rsidRPr="000665B0">
          <w:rPr>
            <w:rStyle w:val="Hyperlink"/>
          </w:rPr>
          <w:t>.3.1</w:t>
        </w:r>
      </w:hyperlink>
      <w:r w:rsidR="00AE4182" w:rsidRPr="000665B0">
        <w:t>)</w:t>
      </w:r>
      <w:r w:rsidRPr="000665B0">
        <w:t xml:space="preserve"> or a</w:t>
      </w:r>
      <w:r w:rsidR="00AE4182" w:rsidRPr="000665B0">
        <w:t>n</w:t>
      </w:r>
      <w:r w:rsidRPr="000665B0">
        <w:t xml:space="preserve"> ReIQVC Error Log entry </w:t>
      </w:r>
      <w:r w:rsidR="00AE4182" w:rsidRPr="000665B0">
        <w:t xml:space="preserve">may be printed (see </w:t>
      </w:r>
      <w:hyperlink w:anchor="_Print_Entry" w:history="1">
        <w:r w:rsidR="00AE4182" w:rsidRPr="000665B0">
          <w:rPr>
            <w:rStyle w:val="Hyperlink"/>
          </w:rPr>
          <w:t xml:space="preserve">Section </w:t>
        </w:r>
        <w:r w:rsidR="004231CC">
          <w:rPr>
            <w:rStyle w:val="Hyperlink"/>
          </w:rPr>
          <w:t>5.24</w:t>
        </w:r>
        <w:r w:rsidR="00AE4182" w:rsidRPr="000665B0">
          <w:rPr>
            <w:rStyle w:val="Hyperlink"/>
          </w:rPr>
          <w:t>.3.2</w:t>
        </w:r>
      </w:hyperlink>
      <w:r w:rsidR="00AE4182" w:rsidRPr="000665B0">
        <w:t>)</w:t>
      </w:r>
      <w:r w:rsidRPr="000665B0">
        <w:t xml:space="preserve">. </w:t>
      </w:r>
    </w:p>
    <w:p w14:paraId="5754FB83" w14:textId="5D843929" w:rsidR="005D1A26" w:rsidRPr="000665B0" w:rsidRDefault="005D1A26" w:rsidP="009570CA">
      <w:pPr>
        <w:pStyle w:val="Heading3"/>
      </w:pPr>
      <w:bookmarkStart w:id="1361" w:name="_Toc96169811"/>
      <w:bookmarkStart w:id="1362" w:name="_Toc96233856"/>
      <w:bookmarkStart w:id="1363" w:name="_Toc112733286"/>
      <w:bookmarkStart w:id="1364" w:name="_Toc289328259"/>
      <w:bookmarkStart w:id="1365" w:name="_Toc312331682"/>
      <w:bookmarkStart w:id="1366" w:name="_Toc214283163"/>
      <w:r w:rsidRPr="000665B0">
        <w:t>Create TMPR</w:t>
      </w:r>
      <w:bookmarkEnd w:id="1361"/>
      <w:bookmarkEnd w:id="1362"/>
      <w:bookmarkEnd w:id="1363"/>
      <w:bookmarkEnd w:id="1364"/>
      <w:bookmarkEnd w:id="1365"/>
      <w:bookmarkEnd w:id="1366"/>
    </w:p>
    <w:p w14:paraId="7241BC8F" w14:textId="77777777" w:rsidR="005D1A26" w:rsidRPr="000665B0" w:rsidRDefault="005D1A26" w:rsidP="009570CA">
      <w:r w:rsidRPr="000665B0">
        <w:t>A TMPR is the message used by an operational commander to request mission planning from a mission planning activity. Requests for planning a mission are normally forwarded via the appropriate chain of command and include the mission objective, a facility significance statement, imaging critical elements, the desired TLAM variant, specific areas to be avoided, collateral damage considerations, and divert areas (if any). A TMPR may also specify that more than one mission be planned for the same aimpoint in order to allow mission execution under different environmental conditions, to provide missions from alternate launch areas, to use a different run-in heading, etc. The TMPR message can be sent electronically from MDS to the TPS.</w:t>
      </w:r>
    </w:p>
    <w:p w14:paraId="5EEBB056" w14:textId="58444871" w:rsidR="005D1A26" w:rsidRPr="000665B0" w:rsidRDefault="005D1A26" w:rsidP="009570CA">
      <w:pPr>
        <w:spacing w:after="0"/>
      </w:pPr>
      <w:r w:rsidRPr="000665B0">
        <w:t>For more information on TMPRs</w:t>
      </w:r>
      <w:r w:rsidR="005E671D" w:rsidRPr="000665B0">
        <w:t>,</w:t>
      </w:r>
      <w:r w:rsidRPr="000665B0">
        <w:t xml:space="preserve"> </w:t>
      </w:r>
      <w:r w:rsidR="005E671D" w:rsidRPr="000665B0">
        <w:t>s</w:t>
      </w:r>
      <w:r w:rsidRPr="000665B0">
        <w:t xml:space="preserve">ee </w:t>
      </w:r>
      <w:hyperlink w:anchor="_5.37__TMPRs_TOOL" w:history="1">
        <w:r w:rsidR="00650083" w:rsidRPr="000665B0">
          <w:rPr>
            <w:rStyle w:val="Hyperlink"/>
          </w:rPr>
          <w:t xml:space="preserve">Section </w:t>
        </w:r>
        <w:r w:rsidR="004231CC">
          <w:rPr>
            <w:rStyle w:val="Hyperlink"/>
          </w:rPr>
          <w:t>5.31</w:t>
        </w:r>
      </w:hyperlink>
      <w:r w:rsidRPr="000665B0">
        <w:t>.</w:t>
      </w:r>
    </w:p>
    <w:p w14:paraId="12D8ACC9" w14:textId="4168B725" w:rsidR="004F0F47" w:rsidRPr="000665B0" w:rsidRDefault="004F0F47" w:rsidP="009570CA">
      <w:pPr>
        <w:pStyle w:val="Heading3"/>
      </w:pPr>
      <w:bookmarkStart w:id="1367" w:name="_5.6.11__Multiple"/>
      <w:bookmarkStart w:id="1368" w:name="_5.6.11__Edit"/>
      <w:bookmarkStart w:id="1369" w:name="_Toc289328260"/>
      <w:bookmarkStart w:id="1370" w:name="_Toc312331683"/>
      <w:bookmarkStart w:id="1371" w:name="_Toc214283164"/>
      <w:bookmarkStart w:id="1372" w:name="_Toc96169812"/>
      <w:bookmarkStart w:id="1373" w:name="_Toc96233857"/>
      <w:bookmarkStart w:id="1374" w:name="_Toc112733287"/>
      <w:bookmarkEnd w:id="1367"/>
      <w:bookmarkEnd w:id="1368"/>
      <w:r w:rsidRPr="000665B0">
        <w:t>Edit Classification</w:t>
      </w:r>
      <w:bookmarkEnd w:id="1369"/>
      <w:bookmarkEnd w:id="1370"/>
      <w:bookmarkEnd w:id="1371"/>
    </w:p>
    <w:p w14:paraId="1D6950D2" w14:textId="50F09B6E" w:rsidR="004F0F47" w:rsidRPr="000665B0" w:rsidRDefault="004F0F47" w:rsidP="009570CA">
      <w:r w:rsidRPr="000665B0">
        <w:t xml:space="preserve">The </w:t>
      </w:r>
      <w:r w:rsidRPr="000665B0">
        <w:rPr>
          <w:b/>
        </w:rPr>
        <w:t>Edit Classification…</w:t>
      </w:r>
      <w:r w:rsidRPr="000665B0">
        <w:t xml:space="preserve"> context menu item allows the user to apply the same classification edits to one or more missions at once. </w:t>
      </w:r>
      <w:r w:rsidR="008C2F7D" w:rsidRPr="000665B0">
        <w:t xml:space="preserve">For information on editing the classification see </w:t>
      </w:r>
      <w:hyperlink w:anchor="_5.2.7__Edit" w:history="1">
        <w:r w:rsidR="008C2F7D" w:rsidRPr="000665B0">
          <w:rPr>
            <w:rStyle w:val="Hyperlink"/>
          </w:rPr>
          <w:t>Section 5.2.</w:t>
        </w:r>
        <w:r w:rsidR="00517ACD" w:rsidRPr="000665B0">
          <w:rPr>
            <w:rStyle w:val="Hyperlink"/>
          </w:rPr>
          <w:t>7</w:t>
        </w:r>
      </w:hyperlink>
      <w:r w:rsidR="008C2F7D" w:rsidRPr="000665B0">
        <w:t>.</w:t>
      </w:r>
    </w:p>
    <w:p w14:paraId="6C4E4BCC" w14:textId="77777777" w:rsidR="004F0F47" w:rsidRPr="000665B0" w:rsidRDefault="004F0F47"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szCs w:val="24"/>
        </w:rPr>
        <w:t>Note:</w:t>
      </w:r>
    </w:p>
    <w:p w14:paraId="12BEC434" w14:textId="72FEA00B" w:rsidR="004F0F47" w:rsidRPr="000665B0" w:rsidRDefault="004F0F47" w:rsidP="00F607B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rPr>
        <w:t xml:space="preserve">The missions MUST have a TPS Version of </w:t>
      </w:r>
      <w:r w:rsidR="001C1130" w:rsidRPr="000665B0">
        <w:rPr>
          <w:b/>
        </w:rPr>
        <w:t>5.x</w:t>
      </w:r>
      <w:r w:rsidRPr="000665B0">
        <w:rPr>
          <w:b/>
        </w:rPr>
        <w:t xml:space="preserve"> or higher</w:t>
      </w:r>
      <w:r w:rsidRPr="000665B0">
        <w:rPr>
          <w:b/>
          <w:szCs w:val="24"/>
        </w:rPr>
        <w:t xml:space="preserve"> in order to edit the classification.</w:t>
      </w:r>
    </w:p>
    <w:p w14:paraId="3B79B25E" w14:textId="77777777" w:rsidR="007D3BCD" w:rsidRPr="000665B0" w:rsidRDefault="007D3BCD" w:rsidP="00F607BE">
      <w:pPr>
        <w:spacing w:after="0"/>
      </w:pPr>
    </w:p>
    <w:p w14:paraId="46BC91D2" w14:textId="77777777" w:rsidR="007D3BCD" w:rsidRPr="000665B0" w:rsidRDefault="007D3BCD"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szCs w:val="24"/>
        </w:rPr>
        <w:t>Note:</w:t>
      </w:r>
    </w:p>
    <w:p w14:paraId="4B32FEAE" w14:textId="77777777" w:rsidR="007D3BCD" w:rsidRPr="000665B0" w:rsidRDefault="007D3BCD"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szCs w:val="24"/>
        </w:rPr>
      </w:pPr>
      <w:r w:rsidRPr="000665B0">
        <w:rPr>
          <w:b/>
        </w:rPr>
        <w:t xml:space="preserve">If any classification information edits are made for a mission, any TEFs associated with that particular information </w:t>
      </w:r>
      <w:r w:rsidR="002D23BF" w:rsidRPr="000665B0">
        <w:rPr>
          <w:b/>
        </w:rPr>
        <w:t xml:space="preserve">are </w:t>
      </w:r>
      <w:r w:rsidRPr="000665B0">
        <w:rPr>
          <w:b/>
        </w:rPr>
        <w:t>automatically deleted</w:t>
      </w:r>
      <w:r w:rsidRPr="000665B0">
        <w:rPr>
          <w:b/>
          <w:szCs w:val="24"/>
        </w:rPr>
        <w:t>.</w:t>
      </w:r>
    </w:p>
    <w:p w14:paraId="7E61276F" w14:textId="6946CAB3" w:rsidR="005D1A26" w:rsidRPr="000665B0" w:rsidRDefault="005D1A26" w:rsidP="004E676F">
      <w:pPr>
        <w:pStyle w:val="Heading3"/>
        <w:keepLines/>
      </w:pPr>
      <w:bookmarkStart w:id="1375" w:name="_5.6.12__Multiple"/>
      <w:bookmarkStart w:id="1376" w:name="_Toc289328261"/>
      <w:bookmarkStart w:id="1377" w:name="_Toc312331684"/>
      <w:bookmarkStart w:id="1378" w:name="_Toc214283165"/>
      <w:bookmarkEnd w:id="1375"/>
      <w:r w:rsidRPr="000665B0">
        <w:t>Multiple Mission Edits</w:t>
      </w:r>
      <w:bookmarkEnd w:id="1372"/>
      <w:bookmarkEnd w:id="1373"/>
      <w:bookmarkEnd w:id="1374"/>
      <w:bookmarkEnd w:id="1376"/>
      <w:bookmarkEnd w:id="1377"/>
      <w:bookmarkEnd w:id="1378"/>
    </w:p>
    <w:p w14:paraId="7032BF70" w14:textId="77777777" w:rsidR="005D1A26" w:rsidRPr="000665B0" w:rsidRDefault="005D1A26" w:rsidP="004E676F">
      <w:pPr>
        <w:keepNext/>
        <w:keepLines/>
      </w:pPr>
      <w:r w:rsidRPr="000665B0">
        <w:rPr>
          <w:b/>
        </w:rPr>
        <w:t>Multiple Mission Edits…</w:t>
      </w:r>
      <w:r w:rsidRPr="000665B0">
        <w:t xml:space="preserve"> allows the user to apply the same edits to multiple missions at once. </w:t>
      </w:r>
    </w:p>
    <w:p w14:paraId="65E71E1A" w14:textId="77777777" w:rsidR="005D1A26" w:rsidRPr="000665B0" w:rsidRDefault="005D1A26" w:rsidP="004E676F">
      <w:pPr>
        <w:keepNext/>
        <w:keepLines/>
      </w:pPr>
      <w:r w:rsidRPr="000665B0">
        <w:t>To edit multiple missions:</w:t>
      </w:r>
    </w:p>
    <w:p w14:paraId="6E7AB35E" w14:textId="3721C2B9" w:rsidR="005D1A26" w:rsidRPr="000665B0" w:rsidRDefault="00127FE2" w:rsidP="006D5A65">
      <w:pPr>
        <w:pStyle w:val="Heading1"/>
      </w:pPr>
      <w:r w:rsidRPr="000665B0">
        <w:t xml:space="preserve">Navigate to the </w:t>
      </w:r>
      <w:r w:rsidRPr="000665B0">
        <w:rPr>
          <w:bCs/>
        </w:rPr>
        <w:t>Missions</w:t>
      </w:r>
      <w:r w:rsidRPr="000665B0">
        <w:t xml:space="preserve"> Tool and select the desired 109C or 109D missions from the Mission List View. </w:t>
      </w:r>
      <w:r w:rsidR="00022002" w:rsidRPr="000665B0">
        <w:t xml:space="preserve">From the File menu select Multiple Mission Edits… </w:t>
      </w:r>
      <w:r w:rsidR="00FC4324" w:rsidRPr="000665B0">
        <w:t xml:space="preserve">or invoke the context menu </w:t>
      </w:r>
      <w:r w:rsidR="00022002" w:rsidRPr="000665B0">
        <w:lastRenderedPageBreak/>
        <w:t>(</w:t>
      </w:r>
      <w:r w:rsidR="00D71804" w:rsidRPr="000665B0">
        <w:t>right-click</w:t>
      </w:r>
      <w:r w:rsidR="00022002" w:rsidRPr="000665B0">
        <w:t xml:space="preserve"> the mouse) and select Multiple Mission Edits….</w:t>
      </w:r>
      <w:r w:rsidRPr="000665B0">
        <w:t xml:space="preserve">The </w:t>
      </w:r>
      <w:r w:rsidRPr="000665B0">
        <w:rPr>
          <w:i/>
          <w:iCs/>
        </w:rPr>
        <w:t>Multiple Mission Edit</w:t>
      </w:r>
      <w:r w:rsidRPr="000665B0">
        <w:t xml:space="preserve"> window is displayed.</w:t>
      </w:r>
    </w:p>
    <w:p w14:paraId="74401AE0" w14:textId="28598DE6" w:rsidR="004F0F47" w:rsidRPr="000665B0" w:rsidRDefault="00CE1201" w:rsidP="009570CA">
      <w:pPr>
        <w:pStyle w:val="Number0205"/>
        <w:ind w:left="0" w:firstLine="0"/>
        <w:jc w:val="center"/>
      </w:pPr>
      <w:r w:rsidRPr="000665B0">
        <w:rPr>
          <w:noProof/>
        </w:rPr>
        <w:drawing>
          <wp:inline distT="0" distB="0" distL="0" distR="0" wp14:anchorId="238B0F4F" wp14:editId="3482CA05">
            <wp:extent cx="3154680" cy="2752344"/>
            <wp:effectExtent l="0" t="0" r="0" b="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752344"/>
                    </a:xfrm>
                    <a:prstGeom prst="rect">
                      <a:avLst/>
                    </a:prstGeom>
                  </pic:spPr>
                </pic:pic>
              </a:graphicData>
            </a:graphic>
          </wp:inline>
        </w:drawing>
      </w:r>
    </w:p>
    <w:p w14:paraId="5A53FBC9" w14:textId="77777777" w:rsidR="007D3BCD" w:rsidRPr="000665B0" w:rsidRDefault="007D3BCD" w:rsidP="006D5A65">
      <w:pPr>
        <w:pStyle w:val="Heading1"/>
      </w:pPr>
      <w:bookmarkStart w:id="1379" w:name="_Toc96169813"/>
      <w:bookmarkStart w:id="1380" w:name="_Toc96233858"/>
      <w:bookmarkStart w:id="1381" w:name="_Toc112733288"/>
      <w:r w:rsidRPr="000665B0">
        <w:t>Check the checkbox for the desired field to edit.</w:t>
      </w:r>
    </w:p>
    <w:p w14:paraId="62EF23F6" w14:textId="77777777" w:rsidR="007D3BCD" w:rsidRPr="000665B0" w:rsidRDefault="007D3BCD" w:rsidP="006D5A65">
      <w:pPr>
        <w:pStyle w:val="Heading1"/>
      </w:pPr>
      <w:r w:rsidRPr="000665B0">
        <w:t>Edit the required data and click the OK button.</w:t>
      </w:r>
    </w:p>
    <w:p w14:paraId="0B437B52" w14:textId="77777777" w:rsidR="00C80EC9" w:rsidRPr="000665B0" w:rsidRDefault="00C80EC9" w:rsidP="006D5A65">
      <w:pPr>
        <w:pStyle w:val="Heading1"/>
      </w:pPr>
      <w:r w:rsidRPr="000665B0">
        <w:t xml:space="preserve">To edit </w:t>
      </w:r>
      <w:r w:rsidRPr="000665B0">
        <w:rPr>
          <w:bCs/>
        </w:rPr>
        <w:t>Countries Overflown</w:t>
      </w:r>
      <w:r w:rsidRPr="000665B0">
        <w:t xml:space="preserve">, click the </w:t>
      </w:r>
      <w:r w:rsidRPr="000665B0">
        <w:rPr>
          <w:bCs/>
        </w:rPr>
        <w:t>Edit</w:t>
      </w:r>
      <w:r w:rsidRPr="000665B0">
        <w:t xml:space="preserve"> button. The </w:t>
      </w:r>
      <w:r w:rsidRPr="000665B0">
        <w:rPr>
          <w:i/>
        </w:rPr>
        <w:t>Select Countries</w:t>
      </w:r>
      <w:r w:rsidRPr="000665B0">
        <w:t xml:space="preserve"> window is displayed.</w:t>
      </w:r>
    </w:p>
    <w:p w14:paraId="36DEC24B" w14:textId="0EA578CA" w:rsidR="00C80EC9" w:rsidRPr="000665B0" w:rsidRDefault="00CE1201" w:rsidP="009570CA">
      <w:pPr>
        <w:jc w:val="center"/>
      </w:pPr>
      <w:r w:rsidRPr="000665B0">
        <w:rPr>
          <w:noProof/>
        </w:rPr>
        <w:drawing>
          <wp:inline distT="0" distB="0" distL="0" distR="0" wp14:anchorId="32570CFC" wp14:editId="769E4949">
            <wp:extent cx="2743200" cy="2688336"/>
            <wp:effectExtent l="0" t="0" r="0" b="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688336"/>
                    </a:xfrm>
                    <a:prstGeom prst="rect">
                      <a:avLst/>
                    </a:prstGeom>
                  </pic:spPr>
                </pic:pic>
              </a:graphicData>
            </a:graphic>
          </wp:inline>
        </w:drawing>
      </w:r>
    </w:p>
    <w:p w14:paraId="1AD0985B" w14:textId="22B06AD2" w:rsidR="00C80EC9" w:rsidRPr="000665B0" w:rsidRDefault="00C80EC9" w:rsidP="006D5A65">
      <w:pPr>
        <w:pStyle w:val="Heading1"/>
      </w:pPr>
      <w:r w:rsidRPr="000665B0">
        <w:t>Highlight one or more items in the Available Countries pane and click the Add –&gt; button in the middle of the screen to move the highlighted item(s) to the right side of the window.</w:t>
      </w:r>
      <w:r w:rsidR="002B0C1F" w:rsidRPr="000665B0">
        <w:t xml:space="preserve"> </w:t>
      </w:r>
      <w:r w:rsidR="00E16DAF" w:rsidRPr="000665B0">
        <w:t xml:space="preserve">For </w:t>
      </w:r>
      <w:r w:rsidR="00E16DAF" w:rsidRPr="000665B0">
        <w:lastRenderedPageBreak/>
        <w:t xml:space="preserve">information about the selection and display of Country Codes and country names during system operation, see </w:t>
      </w:r>
      <w:hyperlink w:anchor="_Appendix_C__Country_Codes__(SORTED__1" w:history="1">
        <w:r w:rsidR="00E16DAF" w:rsidRPr="000665B0">
          <w:rPr>
            <w:rStyle w:val="Hyperlink"/>
          </w:rPr>
          <w:t>Appendix C</w:t>
        </w:r>
      </w:hyperlink>
      <w:r w:rsidR="00E16DAF" w:rsidRPr="000665B0">
        <w:t>.</w:t>
      </w:r>
    </w:p>
    <w:p w14:paraId="4F719E1E" w14:textId="77777777" w:rsidR="00C80EC9" w:rsidRPr="000665B0" w:rsidRDefault="00C80EC9" w:rsidP="006D5A65">
      <w:pPr>
        <w:pStyle w:val="Heading1"/>
      </w:pPr>
      <w:r w:rsidRPr="000665B0">
        <w:t>To remove an item(s) from the right side of the window, highlight one or more item(s), and then click on the &lt;– Remove or &lt;&lt;– Remove All button.</w:t>
      </w:r>
    </w:p>
    <w:p w14:paraId="54CBD48A" w14:textId="77777777" w:rsidR="00C80EC9" w:rsidRPr="000665B0" w:rsidRDefault="00C80EC9" w:rsidP="006D5A65">
      <w:pPr>
        <w:pStyle w:val="Heading1"/>
      </w:pPr>
      <w:r w:rsidRPr="000665B0">
        <w:t>Change the column order by selecting a desired column item from the right side and click the Move Up or Move Down button until the column is in the desired location.</w:t>
      </w:r>
      <w:r w:rsidR="00754256" w:rsidRPr="000665B0">
        <w:t xml:space="preserve"> If it becomes necessary to revert back to the original state, click the </w:t>
      </w:r>
      <w:r w:rsidR="00754256" w:rsidRPr="000665B0">
        <w:rPr>
          <w:bCs/>
        </w:rPr>
        <w:t xml:space="preserve">Restore </w:t>
      </w:r>
      <w:r w:rsidR="00754256" w:rsidRPr="000665B0">
        <w:t>button.</w:t>
      </w:r>
    </w:p>
    <w:p w14:paraId="2AA5A4B3" w14:textId="77777777" w:rsidR="00C80EC9" w:rsidRPr="000665B0" w:rsidRDefault="00C80EC9" w:rsidP="006D5A65">
      <w:pPr>
        <w:pStyle w:val="Heading1"/>
      </w:pPr>
      <w:r w:rsidRPr="000665B0">
        <w:t xml:space="preserve">Click the OK button when satisfied with the selections. The selections appear in the </w:t>
      </w:r>
      <w:r w:rsidRPr="000665B0">
        <w:rPr>
          <w:i/>
          <w:iCs/>
        </w:rPr>
        <w:t>Multiple Mission Edit</w:t>
      </w:r>
      <w:r w:rsidRPr="000665B0">
        <w:t xml:space="preserve"> window.</w:t>
      </w:r>
    </w:p>
    <w:p w14:paraId="2FAC3674" w14:textId="77777777" w:rsidR="007D3BCD" w:rsidRPr="000665B0" w:rsidRDefault="007D3BC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7CB1C84B" w14:textId="77777777" w:rsidR="007D3BCD" w:rsidRPr="000665B0" w:rsidRDefault="007D3BC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rPr>
        <w:t>The missions MUST be a 109C or 109D mission</w:t>
      </w:r>
      <w:r w:rsidRPr="000665B0">
        <w:rPr>
          <w:b/>
          <w:szCs w:val="24"/>
        </w:rPr>
        <w:t xml:space="preserve"> in order to use the </w:t>
      </w:r>
      <w:r w:rsidR="004D63E8" w:rsidRPr="000665B0">
        <w:rPr>
          <w:b/>
          <w:szCs w:val="24"/>
        </w:rPr>
        <w:t xml:space="preserve">Multiple Mission Edit </w:t>
      </w:r>
      <w:r w:rsidRPr="000665B0">
        <w:rPr>
          <w:b/>
          <w:szCs w:val="24"/>
        </w:rPr>
        <w:t>feature.</w:t>
      </w:r>
    </w:p>
    <w:p w14:paraId="4B5DE260" w14:textId="77777777" w:rsidR="007D3BCD" w:rsidRPr="000665B0" w:rsidRDefault="007D3BCD" w:rsidP="009570CA">
      <w:pPr>
        <w:pStyle w:val="Number0205"/>
        <w:spacing w:after="0" w:line="120" w:lineRule="atLeast"/>
        <w:ind w:left="720" w:firstLine="0"/>
      </w:pPr>
    </w:p>
    <w:p w14:paraId="6BC263E6" w14:textId="77777777" w:rsidR="007D3BCD" w:rsidRPr="000665B0" w:rsidRDefault="007D3BC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1B7F6565" w14:textId="77777777" w:rsidR="007D3BCD" w:rsidRPr="000665B0" w:rsidRDefault="007D3BC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rPr>
        <w:t xml:space="preserve">The Composite DSMAC Requirements </w:t>
      </w:r>
      <w:r w:rsidR="00127FE2" w:rsidRPr="000665B0">
        <w:rPr>
          <w:b/>
        </w:rPr>
        <w:t>is</w:t>
      </w:r>
      <w:r w:rsidRPr="000665B0">
        <w:rPr>
          <w:b/>
        </w:rPr>
        <w:t xml:space="preserve"> disabled if the missions selected do not have any DSMACs associated with them.</w:t>
      </w:r>
    </w:p>
    <w:p w14:paraId="01618A78" w14:textId="5BDB2113" w:rsidR="005D1A26" w:rsidRPr="000665B0" w:rsidRDefault="005D1A26" w:rsidP="009570CA">
      <w:pPr>
        <w:pStyle w:val="Heading3"/>
      </w:pPr>
      <w:bookmarkStart w:id="1382" w:name="_5.6.13__Create"/>
      <w:bookmarkStart w:id="1383" w:name="_Toc289328262"/>
      <w:bookmarkStart w:id="1384" w:name="_Toc312331685"/>
      <w:bookmarkStart w:id="1385" w:name="_Toc214283166"/>
      <w:bookmarkEnd w:id="1382"/>
      <w:r w:rsidRPr="000665B0">
        <w:t>Create Mission Library</w:t>
      </w:r>
      <w:bookmarkEnd w:id="1379"/>
      <w:bookmarkEnd w:id="1380"/>
      <w:bookmarkEnd w:id="1381"/>
      <w:bookmarkEnd w:id="1383"/>
      <w:bookmarkEnd w:id="1384"/>
      <w:bookmarkEnd w:id="1385"/>
    </w:p>
    <w:p w14:paraId="1609C89B" w14:textId="77777777" w:rsidR="005D1A26" w:rsidRPr="000665B0" w:rsidRDefault="005D1A26" w:rsidP="009570CA">
      <w:r w:rsidRPr="000665B0">
        <w:t>Mission Libraries can be created by manually selecting the missions from the Mission List View.</w:t>
      </w:r>
    </w:p>
    <w:p w14:paraId="10619FD4" w14:textId="77777777" w:rsidR="005D1A26" w:rsidRPr="000665B0" w:rsidRDefault="005D1A26" w:rsidP="009570CA">
      <w:r w:rsidRPr="000665B0">
        <w:t>To create a Mission Library from the Mission List View:</w:t>
      </w:r>
    </w:p>
    <w:p w14:paraId="0C3D4BDE" w14:textId="77777777" w:rsidR="00022002" w:rsidRPr="000665B0" w:rsidRDefault="00022002" w:rsidP="006D5A65">
      <w:pPr>
        <w:pStyle w:val="Heading1"/>
      </w:pPr>
      <w:r w:rsidRPr="000665B0">
        <w:t>Navigate to the Missions Tool and select the desired mission(s).</w:t>
      </w:r>
    </w:p>
    <w:p w14:paraId="26943630" w14:textId="47170784" w:rsidR="00022002" w:rsidRPr="000665B0" w:rsidRDefault="00022002" w:rsidP="006D5A65">
      <w:pPr>
        <w:pStyle w:val="Heading1"/>
      </w:pPr>
      <w:r w:rsidRPr="000665B0">
        <w:t xml:space="preserve">From the File menu select Create Mission Library… </w:t>
      </w:r>
      <w:r w:rsidR="00FC4324" w:rsidRPr="000665B0">
        <w:t xml:space="preserve">or invoke the context menu </w:t>
      </w:r>
      <w:r w:rsidRPr="000665B0">
        <w:t>(</w:t>
      </w:r>
      <w:r w:rsidR="00D71804" w:rsidRPr="000665B0">
        <w:t>right-click</w:t>
      </w:r>
      <w:r w:rsidRPr="000665B0">
        <w:t xml:space="preserve"> the mouse) and select Create Mission Library. The </w:t>
      </w:r>
      <w:r w:rsidRPr="000665B0">
        <w:rPr>
          <w:i/>
        </w:rPr>
        <w:t xml:space="preserve">Mission Library </w:t>
      </w:r>
      <w:r w:rsidRPr="000665B0">
        <w:t>window is displayed.</w:t>
      </w:r>
    </w:p>
    <w:p w14:paraId="1EEFA9EA" w14:textId="52BBAEBE" w:rsidR="005D1A26" w:rsidRPr="000665B0" w:rsidRDefault="00B204E2" w:rsidP="009570CA">
      <w:pPr>
        <w:spacing w:before="240" w:after="240"/>
        <w:jc w:val="center"/>
      </w:pPr>
      <w:r w:rsidRPr="000665B0">
        <w:rPr>
          <w:noProof/>
        </w:rPr>
        <w:drawing>
          <wp:inline distT="0" distB="0" distL="0" distR="0" wp14:anchorId="2861C34C" wp14:editId="32148EFB">
            <wp:extent cx="4983480" cy="1691640"/>
            <wp:effectExtent l="0" t="0" r="0" b="0"/>
            <wp:docPr id="2206" name="Picture 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691640"/>
                    </a:xfrm>
                    <a:prstGeom prst="rect">
                      <a:avLst/>
                    </a:prstGeom>
                  </pic:spPr>
                </pic:pic>
              </a:graphicData>
            </a:graphic>
          </wp:inline>
        </w:drawing>
      </w:r>
    </w:p>
    <w:p w14:paraId="6B56495D" w14:textId="77777777" w:rsidR="005D1A26" w:rsidRPr="000665B0" w:rsidRDefault="005D1A26" w:rsidP="006D5A65">
      <w:pPr>
        <w:pStyle w:val="Heading1"/>
      </w:pPr>
      <w:r w:rsidRPr="000665B0">
        <w:lastRenderedPageBreak/>
        <w:t xml:space="preserve">In the </w:t>
      </w:r>
      <w:r w:rsidRPr="000665B0">
        <w:rPr>
          <w:i/>
        </w:rPr>
        <w:t xml:space="preserve">Mission Library </w:t>
      </w:r>
      <w:r w:rsidRPr="000665B0">
        <w:t>window, provide a Name and Description for the Mission Library.</w:t>
      </w:r>
    </w:p>
    <w:p w14:paraId="684964B0" w14:textId="77777777" w:rsidR="005D1A26" w:rsidRPr="000665B0" w:rsidRDefault="005D1A26" w:rsidP="006D5A65">
      <w:pPr>
        <w:pStyle w:val="Heading1"/>
      </w:pPr>
      <w:r w:rsidRPr="000665B0">
        <w:t xml:space="preserve">Click on the Save </w:t>
      </w:r>
      <w:r w:rsidR="009A1FDF" w:rsidRPr="000665B0">
        <w:rPr>
          <w:noProof/>
        </w:rPr>
        <w:drawing>
          <wp:inline distT="0" distB="0" distL="0" distR="0" wp14:anchorId="3A3754FC" wp14:editId="6FE5EBC5">
            <wp:extent cx="152400" cy="152400"/>
            <wp:effectExtent l="19050" t="0" r="0" b="0"/>
            <wp:docPr id="107" name="Picture 107" descr="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ave%20toolbar"/>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to save the newly created Mission Library.</w:t>
      </w:r>
    </w:p>
    <w:p w14:paraId="62A8ABBF" w14:textId="0090ACE6" w:rsidR="00D24909" w:rsidRPr="000665B0" w:rsidRDefault="00D24909" w:rsidP="009570CA">
      <w:pPr>
        <w:pStyle w:val="Heading3"/>
      </w:pPr>
      <w:bookmarkStart w:id="1386" w:name="_Toc214283167"/>
      <w:bookmarkStart w:id="1387" w:name="_Toc289328263"/>
      <w:bookmarkStart w:id="1388" w:name="_Toc312331686"/>
      <w:bookmarkStart w:id="1389" w:name="_Toc96169814"/>
      <w:bookmarkStart w:id="1390" w:name="_Toc96233859"/>
      <w:bookmarkStart w:id="1391" w:name="_Toc112733289"/>
      <w:r w:rsidRPr="000665B0">
        <w:t>Create TED Library</w:t>
      </w:r>
      <w:bookmarkEnd w:id="1386"/>
    </w:p>
    <w:p w14:paraId="7BD1A93B" w14:textId="1C53E7BC" w:rsidR="00D24909" w:rsidRPr="000665B0" w:rsidRDefault="00D24909" w:rsidP="009570CA">
      <w:pPr>
        <w:pStyle w:val="Number0205"/>
        <w:spacing w:after="0"/>
        <w:ind w:left="0" w:firstLine="0"/>
      </w:pPr>
      <w:r w:rsidRPr="000665B0">
        <w:t xml:space="preserve">A TED Library can be created by manually selecting Missions from the Missions List View. This type of library is able to accept different types of data instead of being restricted to a single data type as in the other MDS Libraries. Its main function is to enable the operator to assemble all of the required data needed for automated distribution into one library. Only the Node that creates a TED Library can modify its contents. Nodes that receive a TED Library will have read-only permissions. For information on creating a TED Library see </w:t>
      </w:r>
      <w:hyperlink w:anchor="_5.13.1.1__New" w:history="1">
        <w:r w:rsidRPr="000665B0">
          <w:rPr>
            <w:rStyle w:val="Hyperlink"/>
          </w:rPr>
          <w:t>Section 5.</w:t>
        </w:r>
        <w:r w:rsidR="00C77A5E" w:rsidRPr="000665B0">
          <w:rPr>
            <w:rStyle w:val="Hyperlink"/>
          </w:rPr>
          <w:t>12</w:t>
        </w:r>
        <w:r w:rsidRPr="000665B0">
          <w:rPr>
            <w:rStyle w:val="Hyperlink"/>
          </w:rPr>
          <w:t>.1.1</w:t>
        </w:r>
      </w:hyperlink>
      <w:r w:rsidRPr="000665B0">
        <w:t>.</w:t>
      </w:r>
    </w:p>
    <w:p w14:paraId="35563D63" w14:textId="7905290D" w:rsidR="00D24909" w:rsidRPr="000665B0" w:rsidRDefault="00D24909" w:rsidP="009570CA">
      <w:pPr>
        <w:pStyle w:val="Heading3"/>
      </w:pPr>
      <w:bookmarkStart w:id="1392" w:name="_5.6.15__Save"/>
      <w:bookmarkStart w:id="1393" w:name="_Save_as_Route"/>
      <w:bookmarkStart w:id="1394" w:name="_Toc335123843"/>
      <w:bookmarkStart w:id="1395" w:name="_Toc214283168"/>
      <w:bookmarkEnd w:id="1387"/>
      <w:bookmarkEnd w:id="1388"/>
      <w:bookmarkEnd w:id="1392"/>
      <w:bookmarkEnd w:id="1393"/>
      <w:r w:rsidRPr="000665B0">
        <w:t xml:space="preserve">Save </w:t>
      </w:r>
      <w:r w:rsidR="00412104">
        <w:t>As</w:t>
      </w:r>
      <w:r w:rsidR="00412104" w:rsidRPr="000665B0">
        <w:t xml:space="preserve"> </w:t>
      </w:r>
      <w:r w:rsidRPr="000665B0">
        <w:t>Route</w:t>
      </w:r>
      <w:bookmarkEnd w:id="1394"/>
      <w:bookmarkEnd w:id="1395"/>
    </w:p>
    <w:p w14:paraId="487DC9AB" w14:textId="77777777" w:rsidR="00DE112C" w:rsidRPr="000665B0" w:rsidRDefault="00DE112C" w:rsidP="009570CA">
      <w:r w:rsidRPr="000665B0">
        <w:t>This function allows the operator to generate route files in various formats from TLAM mission route</w:t>
      </w:r>
      <w:r w:rsidR="00BB3F15" w:rsidRPr="000665B0">
        <w:t>s</w:t>
      </w:r>
      <w:r w:rsidRPr="000665B0">
        <w:t xml:space="preserve">. It will translate TLAM mission routes into the </w:t>
      </w:r>
      <w:r w:rsidR="00FD25A0" w:rsidRPr="000665B0">
        <w:t>selected route type using style</w:t>
      </w:r>
      <w:r w:rsidRPr="000665B0">
        <w:t xml:space="preserve">sheets from the </w:t>
      </w:r>
      <w:r w:rsidRPr="000665B0">
        <w:rPr>
          <w:i/>
        </w:rPr>
        <w:t>\SupportFiles\RouteStyleSheets\MissionBased</w:t>
      </w:r>
      <w:r w:rsidRPr="000665B0">
        <w:t xml:space="preserve"> dir</w:t>
      </w:r>
      <w:r w:rsidR="00FD25A0" w:rsidRPr="000665B0">
        <w:t xml:space="preserve">ectory. MDS includes </w:t>
      </w:r>
      <w:r w:rsidR="004E1564" w:rsidRPr="000665B0">
        <w:t xml:space="preserve">several </w:t>
      </w:r>
      <w:r w:rsidR="00FD25A0" w:rsidRPr="000665B0">
        <w:t>style</w:t>
      </w:r>
      <w:r w:rsidRPr="000665B0">
        <w:t>sheets that allow the operator to generate</w:t>
      </w:r>
      <w:r w:rsidR="0011727E" w:rsidRPr="000665B0">
        <w:t xml:space="preserve"> a</w:t>
      </w:r>
      <w:r w:rsidRPr="000665B0">
        <w:t xml:space="preserve"> mission-based Common </w:t>
      </w:r>
      <w:r w:rsidR="00835E05" w:rsidRPr="000665B0">
        <w:t>Route Definition</w:t>
      </w:r>
      <w:r w:rsidRPr="000665B0">
        <w:t xml:space="preserve"> (</w:t>
      </w:r>
      <w:r w:rsidRPr="000665B0">
        <w:rPr>
          <w:b/>
        </w:rPr>
        <w:t>CRD</w:t>
      </w:r>
      <w:r w:rsidRPr="000665B0">
        <w:t>). Additional styl</w:t>
      </w:r>
      <w:r w:rsidR="00FD25A0" w:rsidRPr="000665B0">
        <w:t>e</w:t>
      </w:r>
      <w:r w:rsidRPr="000665B0">
        <w:t xml:space="preserve">sheets can be added by dropping them into the specified directory </w:t>
      </w:r>
      <w:r w:rsidR="004E1564" w:rsidRPr="000665B0">
        <w:t>noted above</w:t>
      </w:r>
      <w:r w:rsidRPr="000665B0">
        <w:t>.</w:t>
      </w:r>
      <w:r w:rsidR="00290219" w:rsidRPr="000665B0">
        <w:t xml:space="preserve"> </w:t>
      </w:r>
      <w:r w:rsidRPr="000665B0">
        <w:t>MDS must be restarted fo</w:t>
      </w:r>
      <w:r w:rsidR="00FD25A0" w:rsidRPr="000665B0">
        <w:t>r it to recognize the new style</w:t>
      </w:r>
      <w:r w:rsidRPr="000665B0">
        <w:t>sheets.</w:t>
      </w:r>
    </w:p>
    <w:p w14:paraId="1CAE82A2" w14:textId="77777777" w:rsidR="00DE112C" w:rsidRPr="000665B0" w:rsidRDefault="00DE112C" w:rsidP="009570CA">
      <w:r w:rsidRPr="000665B0">
        <w:t>To generate Route files:</w:t>
      </w:r>
    </w:p>
    <w:p w14:paraId="6DD64EB3" w14:textId="77777777" w:rsidR="00DE112C" w:rsidRPr="000665B0" w:rsidRDefault="00DE112C" w:rsidP="006D5A65">
      <w:pPr>
        <w:pStyle w:val="Heading1"/>
      </w:pPr>
      <w:r w:rsidRPr="000665B0">
        <w:t xml:space="preserve">Navigate to the </w:t>
      </w:r>
      <w:r w:rsidRPr="000665B0">
        <w:rPr>
          <w:bCs/>
        </w:rPr>
        <w:t>Missions</w:t>
      </w:r>
      <w:r w:rsidRPr="000665B0">
        <w:t xml:space="preserve"> Tool and select the desired mission(s) from the Mission List.</w:t>
      </w:r>
    </w:p>
    <w:p w14:paraId="51961EAA" w14:textId="32F2CD51" w:rsidR="00DE112C" w:rsidRPr="000665B0" w:rsidRDefault="00DE112C" w:rsidP="006D5A65">
      <w:pPr>
        <w:pStyle w:val="Heading1"/>
      </w:pPr>
      <w:r w:rsidRPr="000665B0">
        <w:t xml:space="preserve">From the </w:t>
      </w:r>
      <w:r w:rsidRPr="000665B0">
        <w:rPr>
          <w:bCs/>
        </w:rPr>
        <w:t>File</w:t>
      </w:r>
      <w:r w:rsidRPr="000665B0">
        <w:t xml:space="preserve"> menu select </w:t>
      </w:r>
      <w:r w:rsidRPr="000665B0">
        <w:rPr>
          <w:bCs/>
        </w:rPr>
        <w:t xml:space="preserve">Save As </w:t>
      </w:r>
      <w:r w:rsidR="00517ACD" w:rsidRPr="000665B0">
        <w:rPr>
          <w:bCs/>
        </w:rPr>
        <w:sym w:font="Wingdings 3" w:char="F07D"/>
      </w:r>
      <w:r w:rsidRPr="000665B0">
        <w:rPr>
          <w:bCs/>
        </w:rPr>
        <w:t xml:space="preserve"> Route </w:t>
      </w:r>
      <w:r w:rsidR="00FC4324" w:rsidRPr="000665B0">
        <w:t xml:space="preserve">or invoke the context menu </w:t>
      </w:r>
      <w:r w:rsidRPr="000665B0">
        <w:t>(</w:t>
      </w:r>
      <w:r w:rsidR="00D71804" w:rsidRPr="000665B0">
        <w:t>right-click</w:t>
      </w:r>
      <w:r w:rsidRPr="000665B0">
        <w:t xml:space="preserve"> the mouse)</w:t>
      </w:r>
      <w:r w:rsidR="001B28A4" w:rsidRPr="000665B0">
        <w:t>,</w:t>
      </w:r>
      <w:r w:rsidRPr="000665B0">
        <w:t xml:space="preserve"> select </w:t>
      </w:r>
      <w:r w:rsidRPr="000665B0">
        <w:rPr>
          <w:bCs/>
        </w:rPr>
        <w:t xml:space="preserve">Save As </w:t>
      </w:r>
      <w:r w:rsidR="00517ACD" w:rsidRPr="000665B0">
        <w:rPr>
          <w:bCs/>
        </w:rPr>
        <w:sym w:font="Wingdings 3" w:char="F07D"/>
      </w:r>
      <w:r w:rsidRPr="000665B0">
        <w:rPr>
          <w:bCs/>
        </w:rPr>
        <w:t xml:space="preserve"> Route</w:t>
      </w:r>
      <w:r w:rsidR="001B28A4" w:rsidRPr="000665B0">
        <w:rPr>
          <w:bCs/>
        </w:rPr>
        <w:t xml:space="preserve"> and select a </w:t>
      </w:r>
      <w:r w:rsidR="005F18F3" w:rsidRPr="000665B0">
        <w:rPr>
          <w:bCs/>
        </w:rPr>
        <w:t>Mission-</w:t>
      </w:r>
      <w:r w:rsidR="001B28A4" w:rsidRPr="000665B0">
        <w:rPr>
          <w:bCs/>
        </w:rPr>
        <w:t>Based CRD</w:t>
      </w:r>
      <w:r w:rsidRPr="000665B0">
        <w:t>.</w:t>
      </w:r>
    </w:p>
    <w:p w14:paraId="0723407E" w14:textId="5604C86A" w:rsidR="00EE076C" w:rsidRPr="000665B0" w:rsidRDefault="00DD752C" w:rsidP="009570CA">
      <w:pPr>
        <w:pStyle w:val="number02050"/>
        <w:ind w:left="0" w:firstLine="0"/>
        <w:jc w:val="center"/>
      </w:pPr>
      <w:r w:rsidRPr="00410EA4">
        <w:rPr>
          <w:noProof/>
          <w:color w:val="FF0000"/>
        </w:rPr>
        <w:drawing>
          <wp:inline distT="0" distB="0" distL="0" distR="0" wp14:anchorId="33DDBCCC" wp14:editId="73DE5D26">
            <wp:extent cx="4983480" cy="2962656"/>
            <wp:effectExtent l="0" t="0" r="0" b="0"/>
            <wp:docPr id="1378584614" name="Picture 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84614" name="Picture 1" descr="Graphical user interface, application, table, Excel&#10;&#10;Description automatically generated"/>
                    <pic:cNvPicPr/>
                  </pic:nvPicPr>
                  <pic:blipFill>
                    <a:blip/>
                    <a:stretch>
                      <a:fillRect/>
                    </a:stretch>
                  </pic:blipFill>
                  <pic:spPr>
                    <a:xfrm>
                      <a:off x="0" y="0"/>
                      <a:ext cx="4983480" cy="2962656"/>
                    </a:xfrm>
                    <a:prstGeom prst="rect">
                      <a:avLst/>
                    </a:prstGeom>
                  </pic:spPr>
                </pic:pic>
              </a:graphicData>
            </a:graphic>
          </wp:inline>
        </w:drawing>
      </w:r>
    </w:p>
    <w:p w14:paraId="6E6DE85A" w14:textId="77777777" w:rsidR="00DE112C" w:rsidRPr="000665B0" w:rsidRDefault="00DE112C" w:rsidP="006D5A65">
      <w:pPr>
        <w:pStyle w:val="Heading1"/>
      </w:pPr>
      <w:r w:rsidRPr="000665B0">
        <w:lastRenderedPageBreak/>
        <w:t xml:space="preserve">Select the desired route from the menu. A </w:t>
      </w:r>
      <w:r w:rsidRPr="000665B0">
        <w:rPr>
          <w:i/>
        </w:rPr>
        <w:t xml:space="preserve">Browser </w:t>
      </w:r>
      <w:r w:rsidR="00901F2E" w:rsidRPr="000665B0">
        <w:rPr>
          <w:i/>
        </w:rPr>
        <w:t xml:space="preserve">For </w:t>
      </w:r>
      <w:r w:rsidRPr="000665B0">
        <w:rPr>
          <w:i/>
        </w:rPr>
        <w:t>Folder</w:t>
      </w:r>
      <w:r w:rsidRPr="000665B0">
        <w:t xml:space="preserve"> </w:t>
      </w:r>
      <w:r w:rsidR="00627DD2" w:rsidRPr="000665B0">
        <w:t>is</w:t>
      </w:r>
      <w:r w:rsidR="008B30ED" w:rsidRPr="000665B0">
        <w:t xml:space="preserve"> displayed </w:t>
      </w:r>
      <w:r w:rsidR="005F18F3" w:rsidRPr="000665B0">
        <w:t xml:space="preserve">with a </w:t>
      </w:r>
      <w:r w:rsidRPr="000665B0">
        <w:t>prompt to select the directory to store the generated route files.</w:t>
      </w:r>
    </w:p>
    <w:p w14:paraId="0977C8F3" w14:textId="566FFBCA" w:rsidR="00DE112C" w:rsidRPr="000665B0" w:rsidRDefault="00412104" w:rsidP="009570CA">
      <w:pPr>
        <w:jc w:val="center"/>
      </w:pPr>
      <w:r w:rsidRPr="00004BCD">
        <w:rPr>
          <w:noProof/>
        </w:rPr>
        <w:drawing>
          <wp:inline distT="0" distB="0" distL="0" distR="0" wp14:anchorId="5587B7CD" wp14:editId="0A4D166F">
            <wp:extent cx="2743200" cy="3072384"/>
            <wp:effectExtent l="0" t="0" r="0" b="0"/>
            <wp:docPr id="1516186643"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86643" name="Picture 1" descr="Graphical user interface, text, application&#10;&#10;Description automatically generated"/>
                    <pic:cNvPicPr/>
                  </pic:nvPicPr>
                  <pic:blipFill>
                    <a:blip/>
                    <a:stretch>
                      <a:fillRect/>
                    </a:stretch>
                  </pic:blipFill>
                  <pic:spPr>
                    <a:xfrm>
                      <a:off x="0" y="0"/>
                      <a:ext cx="2743200" cy="3072384"/>
                    </a:xfrm>
                    <a:prstGeom prst="rect">
                      <a:avLst/>
                    </a:prstGeom>
                  </pic:spPr>
                </pic:pic>
              </a:graphicData>
            </a:graphic>
          </wp:inline>
        </w:drawing>
      </w:r>
    </w:p>
    <w:p w14:paraId="5364B651" w14:textId="4C9B65BF" w:rsidR="00DE112C" w:rsidRPr="000665B0" w:rsidRDefault="00EE076C" w:rsidP="006D5A65">
      <w:pPr>
        <w:pStyle w:val="Heading1"/>
      </w:pPr>
      <w:r w:rsidRPr="000665B0">
        <w:t>Navigate to the desired directory and click OK</w:t>
      </w:r>
      <w:r w:rsidR="00DE112C" w:rsidRPr="000665B0">
        <w:t xml:space="preserve">. Route files will be </w:t>
      </w:r>
      <w:r w:rsidR="00B46D94" w:rsidRPr="000665B0">
        <w:t>generated,</w:t>
      </w:r>
      <w:r w:rsidR="00DE112C" w:rsidRPr="000665B0">
        <w:t xml:space="preserve"> and the operator </w:t>
      </w:r>
      <w:r w:rsidR="00627DD2" w:rsidRPr="000665B0">
        <w:t>is</w:t>
      </w:r>
      <w:r w:rsidR="00DE112C" w:rsidRPr="000665B0">
        <w:t xml:space="preserve"> notified where the route files are stored when </w:t>
      </w:r>
      <w:r w:rsidR="005F18F3" w:rsidRPr="000665B0">
        <w:t>complete</w:t>
      </w:r>
      <w:r w:rsidR="00DE112C" w:rsidRPr="000665B0">
        <w:t>.</w:t>
      </w:r>
    </w:p>
    <w:p w14:paraId="59B3296D" w14:textId="211B45FB" w:rsidR="00DE112C" w:rsidRPr="000665B0" w:rsidRDefault="00412104" w:rsidP="009570CA">
      <w:pPr>
        <w:spacing w:after="0"/>
        <w:jc w:val="center"/>
      </w:pPr>
      <w:r w:rsidRPr="00004BCD">
        <w:rPr>
          <w:noProof/>
        </w:rPr>
        <w:drawing>
          <wp:inline distT="0" distB="0" distL="0" distR="0" wp14:anchorId="486E312E" wp14:editId="1801E768">
            <wp:extent cx="3154680" cy="1170432"/>
            <wp:effectExtent l="0" t="0" r="0" b="0"/>
            <wp:docPr id="474474143"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74143" name="Picture 1" descr="Graphical user interface, text, application&#10;&#10;Description automatically generated"/>
                    <pic:cNvPicPr/>
                  </pic:nvPicPr>
                  <pic:blipFill>
                    <a:blip/>
                    <a:stretch>
                      <a:fillRect/>
                    </a:stretch>
                  </pic:blipFill>
                  <pic:spPr>
                    <a:xfrm>
                      <a:off x="0" y="0"/>
                      <a:ext cx="3154680" cy="1170432"/>
                    </a:xfrm>
                    <a:prstGeom prst="rect">
                      <a:avLst/>
                    </a:prstGeom>
                  </pic:spPr>
                </pic:pic>
              </a:graphicData>
            </a:graphic>
          </wp:inline>
        </w:drawing>
      </w:r>
    </w:p>
    <w:p w14:paraId="494918EF" w14:textId="0F7C1736" w:rsidR="005D1A26" w:rsidRPr="000665B0" w:rsidRDefault="005D1A26" w:rsidP="009570CA">
      <w:pPr>
        <w:pStyle w:val="Heading3"/>
      </w:pPr>
      <w:bookmarkStart w:id="1396" w:name="_5.6.16__Send"/>
      <w:bookmarkStart w:id="1397" w:name="_Toc289328264"/>
      <w:bookmarkStart w:id="1398" w:name="_Toc312331687"/>
      <w:bookmarkStart w:id="1399" w:name="_Toc214283169"/>
      <w:bookmarkEnd w:id="1396"/>
      <w:r w:rsidRPr="000665B0">
        <w:t>Send Missions</w:t>
      </w:r>
      <w:bookmarkEnd w:id="1389"/>
      <w:bookmarkEnd w:id="1390"/>
      <w:bookmarkEnd w:id="1391"/>
      <w:bookmarkEnd w:id="1397"/>
      <w:bookmarkEnd w:id="1398"/>
      <w:bookmarkEnd w:id="1399"/>
    </w:p>
    <w:p w14:paraId="144E569A" w14:textId="77777777" w:rsidR="00D94036" w:rsidRPr="000665B0" w:rsidRDefault="00D94036" w:rsidP="009570CA">
      <w:pPr>
        <w:rPr>
          <w:snapToGrid w:val="0"/>
        </w:rPr>
      </w:pPr>
      <w:r w:rsidRPr="000665B0">
        <w:rPr>
          <w:snapToGrid w:val="0"/>
        </w:rPr>
        <w:t xml:space="preserve">The </w:t>
      </w:r>
      <w:r w:rsidRPr="000665B0">
        <w:rPr>
          <w:b/>
          <w:snapToGrid w:val="0"/>
        </w:rPr>
        <w:t>Send</w:t>
      </w:r>
      <w:r w:rsidRPr="000665B0">
        <w:rPr>
          <w:snapToGrid w:val="0"/>
        </w:rPr>
        <w:t xml:space="preserve"> option adds the selected Missions and </w:t>
      </w:r>
      <w:r w:rsidR="00B01217" w:rsidRPr="000665B0">
        <w:rPr>
          <w:snapToGrid w:val="0"/>
        </w:rPr>
        <w:t xml:space="preserve">their </w:t>
      </w:r>
      <w:r w:rsidRPr="000665B0">
        <w:rPr>
          <w:snapToGrid w:val="0"/>
        </w:rPr>
        <w:t xml:space="preserve">associating C2X data (if any) to a DDO template for further distribution. </w:t>
      </w:r>
    </w:p>
    <w:p w14:paraId="1C5D1A41" w14:textId="77777777" w:rsidR="00D94036" w:rsidRPr="000665B0" w:rsidRDefault="00D94036" w:rsidP="009570CA">
      <w:r w:rsidRPr="000665B0">
        <w:t>When a mission is distributed from MDS to MDS the Mission C2X (if available) must be transferred along with the Mission Binary and C2 Record.</w:t>
      </w:r>
    </w:p>
    <w:p w14:paraId="3AC4EDF4" w14:textId="77777777" w:rsidR="00D94036" w:rsidRPr="000665B0" w:rsidRDefault="00D94036" w:rsidP="009570CA">
      <w:r w:rsidRPr="000665B0">
        <w:t>When transferring Missions via Media, the Missions are combined into a single Mission Transfer File. The associated Mission C2X data will be combined into a single XML File and written in the same directory as the Transfer File.</w:t>
      </w:r>
    </w:p>
    <w:p w14:paraId="2FE98847" w14:textId="5EA8E671" w:rsidR="00BB3F15" w:rsidRPr="000665B0" w:rsidRDefault="00BB3F15" w:rsidP="009570CA">
      <w:r w:rsidRPr="000665B0">
        <w:t xml:space="preserve">When the received DDO is processed (or shown in the textual view) all of the items in the DDO are displayed (i.e., Mission, C2 Record, DSMACs, and TERCOMs). The Mission C2X (if </w:t>
      </w:r>
      <w:r w:rsidRPr="000665B0">
        <w:lastRenderedPageBreak/>
        <w:t xml:space="preserve">available) is also shown in the list. When the associated Mission is processed, the C2 and C2X data items will also be </w:t>
      </w:r>
      <w:r w:rsidR="00B43DB0" w:rsidRPr="000665B0">
        <w:t>processed,</w:t>
      </w:r>
      <w:r w:rsidRPr="000665B0">
        <w:t xml:space="preserve"> and the processing status takes on the status of the Mission.</w:t>
      </w:r>
    </w:p>
    <w:p w14:paraId="45781853" w14:textId="162675F6" w:rsidR="00DD752C" w:rsidRDefault="005D1A26" w:rsidP="009570CA">
      <w:pPr>
        <w:rPr>
          <w:b/>
          <w:bCs/>
        </w:rPr>
      </w:pPr>
      <w:r w:rsidRPr="000665B0">
        <w:rPr>
          <w:snapToGrid w:val="0"/>
        </w:rPr>
        <w:t xml:space="preserve">For more details on DDO Templates </w:t>
      </w:r>
      <w:r w:rsidR="00545E79" w:rsidRPr="000665B0">
        <w:rPr>
          <w:snapToGrid w:val="0"/>
        </w:rPr>
        <w:t>s</w:t>
      </w:r>
      <w:r w:rsidRPr="000665B0">
        <w:rPr>
          <w:snapToGrid w:val="0"/>
        </w:rPr>
        <w:t xml:space="preserve">ee </w:t>
      </w:r>
      <w:hyperlink w:anchor="_5.20__DDO_TEMPLATES_TOOL" w:history="1">
        <w:r w:rsidR="00DE0842" w:rsidRPr="000665B0">
          <w:rPr>
            <w:rStyle w:val="Hyperlink"/>
            <w:snapToGrid w:val="0"/>
          </w:rPr>
          <w:t xml:space="preserve">Section </w:t>
        </w:r>
        <w:r w:rsidR="004231CC">
          <w:rPr>
            <w:rStyle w:val="Hyperlink"/>
            <w:snapToGrid w:val="0"/>
          </w:rPr>
          <w:t>5.16</w:t>
        </w:r>
      </w:hyperlink>
      <w:r w:rsidRPr="000665B0">
        <w:rPr>
          <w:snapToGrid w:val="0"/>
        </w:rPr>
        <w:t xml:space="preserve">. </w:t>
      </w:r>
    </w:p>
    <w:p w14:paraId="2B49F268" w14:textId="77777777" w:rsidR="00DD752C" w:rsidRPr="00410EA4" w:rsidRDefault="00DD752C"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410EA4">
        <w:rPr>
          <w:b/>
        </w:rPr>
        <w:t>Note:</w:t>
      </w:r>
    </w:p>
    <w:p w14:paraId="2D1DCF14" w14:textId="132ADA5A" w:rsidR="005D1A26" w:rsidRPr="00410EA4" w:rsidRDefault="00DD752C" w:rsidP="00410EA4">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410EA4">
        <w:rPr>
          <w:b/>
        </w:rPr>
        <w:t>109M missions are not recognized by pre-TMPC 7.0.3 nodes and pre-V</w:t>
      </w:r>
      <w:r w:rsidR="00CB3D8D">
        <w:rPr>
          <w:b/>
        </w:rPr>
        <w:t>7</w:t>
      </w:r>
      <w:r w:rsidRPr="00410EA4">
        <w:rPr>
          <w:b/>
        </w:rPr>
        <w:t xml:space="preserve"> TTWCS nodes. When a DDO containing a 109M mission is distributed to those nodes, a Data Limitation error is displayed, and the data will not be sent.</w:t>
      </w:r>
    </w:p>
    <w:p w14:paraId="6B9E1073" w14:textId="26933E12" w:rsidR="005D1A26" w:rsidRPr="000665B0" w:rsidRDefault="005D1A26" w:rsidP="009570CA">
      <w:pPr>
        <w:pStyle w:val="Heading3"/>
      </w:pPr>
      <w:bookmarkStart w:id="1400" w:name="_Toc96169816"/>
      <w:bookmarkStart w:id="1401" w:name="_Toc96233861"/>
      <w:bookmarkStart w:id="1402" w:name="_Toc112733291"/>
      <w:bookmarkStart w:id="1403" w:name="_Toc289328266"/>
      <w:bookmarkStart w:id="1404" w:name="_Toc312331689"/>
      <w:bookmarkStart w:id="1405" w:name="_Toc214283170"/>
      <w:r w:rsidRPr="000665B0">
        <w:t>Delete Mission(s)</w:t>
      </w:r>
      <w:bookmarkEnd w:id="1318"/>
      <w:bookmarkEnd w:id="1400"/>
      <w:bookmarkEnd w:id="1401"/>
      <w:bookmarkEnd w:id="1402"/>
      <w:bookmarkEnd w:id="1403"/>
      <w:bookmarkEnd w:id="1404"/>
      <w:bookmarkEnd w:id="1405"/>
      <w:r w:rsidRPr="000665B0">
        <w:t xml:space="preserve"> </w:t>
      </w:r>
    </w:p>
    <w:p w14:paraId="29E9F1FB" w14:textId="3A7BFAC2" w:rsidR="004C3686" w:rsidRPr="000665B0" w:rsidRDefault="004C3686" w:rsidP="009570CA">
      <w:pPr>
        <w:rPr>
          <w:rFonts w:eastAsiaTheme="minorEastAsia"/>
        </w:rPr>
      </w:pPr>
      <w:r w:rsidRPr="000665B0">
        <w:rPr>
          <w:snapToGrid w:val="0"/>
        </w:rPr>
        <w:t>When missions in the database are no longer needed, they can be deleted from the list. This process not only removes the item from the list, but also per</w:t>
      </w:r>
      <w:r w:rsidRPr="000665B0">
        <w:t>manently deletes the mission</w:t>
      </w:r>
      <w:r w:rsidR="0010714C" w:rsidRPr="000665B0">
        <w:t xml:space="preserve"> and all associated TEFs</w:t>
      </w:r>
      <w:r w:rsidRPr="000665B0">
        <w:t xml:space="preserve"> from the database. </w:t>
      </w:r>
      <w:r w:rsidRPr="000665B0">
        <w:rPr>
          <w:snapToGrid w:val="0"/>
        </w:rPr>
        <w:t xml:space="preserve">When a mission is deleted, its referenced TERCOM(s) and DSMAC(s) are not automatically deleted from the Mission List, as other missions may utilize them. They must be selected separately within their tools. </w:t>
      </w:r>
      <w:r w:rsidRPr="000665B0">
        <w:t xml:space="preserve">If a TUM mission is accidentally deleted, then it can be re-acquired via the </w:t>
      </w:r>
      <w:r w:rsidRPr="000665B0">
        <w:rPr>
          <w:b/>
          <w:bCs/>
        </w:rPr>
        <w:t>New</w:t>
      </w:r>
      <w:r w:rsidRPr="000665B0">
        <w:t xml:space="preserve"> option (i.e., TUM mission wizard). If the mission was part of the initial load-out, then it must be either re-imported via the </w:t>
      </w:r>
      <w:r w:rsidRPr="000665B0">
        <w:rPr>
          <w:b/>
          <w:bCs/>
        </w:rPr>
        <w:t xml:space="preserve">File </w:t>
      </w:r>
      <w:r w:rsidR="005F18F3" w:rsidRPr="000665B0">
        <w:rPr>
          <w:b/>
        </w:rPr>
        <w:sym w:font="Wingdings" w:char="F0E0"/>
      </w:r>
      <w:r w:rsidRPr="000665B0">
        <w:rPr>
          <w:b/>
          <w:bCs/>
        </w:rPr>
        <w:t xml:space="preserve"> Receive File</w:t>
      </w:r>
      <w:r w:rsidRPr="000665B0">
        <w:t xml:space="preserve"> option or re-acquired via the MDU process from another C2 site.</w:t>
      </w:r>
    </w:p>
    <w:p w14:paraId="0EF4FABC" w14:textId="77777777" w:rsidR="005D1A26" w:rsidRPr="000665B0" w:rsidRDefault="005D1A26" w:rsidP="009570CA">
      <w:r w:rsidRPr="000665B0">
        <w:t>To delete missions from the Mission List:</w:t>
      </w:r>
    </w:p>
    <w:p w14:paraId="6743BBE3" w14:textId="77777777" w:rsidR="005D1A26" w:rsidRPr="000665B0" w:rsidRDefault="005D1A26" w:rsidP="006D5A65">
      <w:pPr>
        <w:pStyle w:val="Heading1"/>
      </w:pPr>
      <w:r w:rsidRPr="000665B0">
        <w:t>Navigate to the Missions Tool and select the desired mission(s) from the Mission List.</w:t>
      </w:r>
    </w:p>
    <w:p w14:paraId="2C8BD925" w14:textId="1CF5489A" w:rsidR="005D1A26" w:rsidRPr="000665B0" w:rsidRDefault="005D1A26" w:rsidP="006D5A65">
      <w:pPr>
        <w:pStyle w:val="Heading1"/>
      </w:pPr>
      <w:r w:rsidRPr="000665B0">
        <w:t xml:space="preserve">From the File menu select Delete </w:t>
      </w:r>
      <w:r w:rsidR="00FC4324" w:rsidRPr="000665B0">
        <w:t xml:space="preserve">or invoke the context menu </w:t>
      </w:r>
      <w:r w:rsidRPr="000665B0">
        <w:t>(</w:t>
      </w:r>
      <w:r w:rsidR="00D71804" w:rsidRPr="000665B0">
        <w:t>right-click</w:t>
      </w:r>
      <w:r w:rsidRPr="000665B0">
        <w:t xml:space="preserve"> the mouse) and select Delete or click the Delete </w:t>
      </w:r>
      <w:r w:rsidR="009A1FDF" w:rsidRPr="000665B0">
        <w:rPr>
          <w:noProof/>
        </w:rPr>
        <w:drawing>
          <wp:inline distT="0" distB="0" distL="0" distR="0" wp14:anchorId="0C5963A9" wp14:editId="0890CAF2">
            <wp:extent cx="152400" cy="152400"/>
            <wp:effectExtent l="19050" t="0" r="0" b="0"/>
            <wp:docPr id="111" name="Picture 111"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elete"/>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on the Tool Bar.</w:t>
      </w:r>
    </w:p>
    <w:p w14:paraId="0C162694" w14:textId="77777777" w:rsidR="005D1A26" w:rsidRPr="000665B0" w:rsidRDefault="005D1A26" w:rsidP="006D5A65">
      <w:pPr>
        <w:pStyle w:val="Heading1"/>
      </w:pPr>
      <w:r w:rsidRPr="000665B0">
        <w:t>Click the Yes button to the confirmation window.</w:t>
      </w:r>
      <w:r w:rsidRPr="000665B0">
        <w:br/>
        <w:t>(If the mission(s) is/are referenced, a window listing the referenced items appear</w:t>
      </w:r>
      <w:r w:rsidR="005F18F3" w:rsidRPr="000665B0">
        <w:t>s</w:t>
      </w:r>
      <w:r w:rsidRPr="000665B0">
        <w:t>.)</w:t>
      </w:r>
    </w:p>
    <w:p w14:paraId="48D2AFD7" w14:textId="6D6BC2C1" w:rsidR="005D1A26" w:rsidRPr="000665B0" w:rsidRDefault="004C3686" w:rsidP="009570CA">
      <w:pPr>
        <w:spacing w:after="0"/>
      </w:pPr>
      <w:r w:rsidRPr="000665B0">
        <w:t xml:space="preserve">Locked items must be unlocked first. Unlock items by deleting their references. The </w:t>
      </w:r>
      <w:r w:rsidRPr="000665B0">
        <w:rPr>
          <w:b/>
          <w:bCs/>
        </w:rPr>
        <w:t>Delete</w:t>
      </w:r>
      <w:r w:rsidRPr="000665B0">
        <w:t xml:space="preserve"> button is not available until the item(s) is (are) unlocked.</w:t>
      </w:r>
      <w:r w:rsidR="000D59CB" w:rsidRPr="000665B0">
        <w:t xml:space="preserve"> </w:t>
      </w:r>
      <w:r w:rsidR="005D1A26" w:rsidRPr="000665B0">
        <w:t xml:space="preserve">A referenced item must be deleted in the applicable tool. (For example, delete a TERCOM from the TERCOM Tool.) See </w:t>
      </w:r>
      <w:hyperlink w:anchor="_5.2.1.2.3__Display_1" w:history="1">
        <w:r w:rsidR="005D1A26" w:rsidRPr="000665B0">
          <w:rPr>
            <w:rStyle w:val="Hyperlink"/>
          </w:rPr>
          <w:t>Section 5.2.1.2.3</w:t>
        </w:r>
      </w:hyperlink>
      <w:r w:rsidR="005D1A26" w:rsidRPr="000665B0">
        <w:t xml:space="preserve"> for more details on Displaying References.</w:t>
      </w:r>
    </w:p>
    <w:p w14:paraId="56A72C4F" w14:textId="0DE1E275" w:rsidR="00F45EB9" w:rsidRDefault="00741037" w:rsidP="009570CA">
      <w:pPr>
        <w:pStyle w:val="Heading4"/>
      </w:pPr>
      <w:bookmarkStart w:id="1406" w:name="_Hlk140230048"/>
      <w:r>
        <w:t>Move Deleted Missions to a Mission Library</w:t>
      </w:r>
    </w:p>
    <w:p w14:paraId="7AE5FF32" w14:textId="15C9CD75" w:rsidR="00F45EB9" w:rsidRDefault="00F45EB9" w:rsidP="009570CA">
      <w:r>
        <w:t>Deleted Missions can be moved to a new or existing Mission Library. After the user has indicated that checked Mission(s) should be deleted, the following dialog box appears.</w:t>
      </w:r>
    </w:p>
    <w:p w14:paraId="47AAB4C7" w14:textId="51EF1482" w:rsidR="00F45EB9" w:rsidRDefault="00F45EB9" w:rsidP="009570CA">
      <w:r>
        <w:t xml:space="preserve">The user can move the deleted Mission to a new or existing Mission Library. For a new library, </w:t>
      </w:r>
      <w:r w:rsidR="00F24C1A">
        <w:t>enter</w:t>
      </w:r>
      <w:r>
        <w:t xml:space="preserve"> the Mission </w:t>
      </w:r>
      <w:r w:rsidR="00F830EF">
        <w:t>L</w:t>
      </w:r>
      <w:r>
        <w:t>ibrary name. For an existing Mission Library, select it from the dropdown menu</w:t>
      </w:r>
      <w:r w:rsidR="002637F2">
        <w:t xml:space="preserve"> (read-only </w:t>
      </w:r>
      <w:r w:rsidR="00B33477">
        <w:t>M</w:t>
      </w:r>
      <w:r w:rsidR="002637F2">
        <w:t xml:space="preserve">ission </w:t>
      </w:r>
      <w:r w:rsidR="00B33477">
        <w:t>L</w:t>
      </w:r>
      <w:r w:rsidR="002637F2">
        <w:t>ibraries are not available for selection)</w:t>
      </w:r>
      <w:r>
        <w:t xml:space="preserve">. Users who don’t want to move missions to a library can click </w:t>
      </w:r>
      <w:r w:rsidR="00F24C1A">
        <w:rPr>
          <w:b/>
          <w:bCs/>
        </w:rPr>
        <w:t>No</w:t>
      </w:r>
      <w:r>
        <w:t>.</w:t>
      </w:r>
      <w:r w:rsidR="00F24C1A">
        <w:t xml:space="preserve"> Clicking </w:t>
      </w:r>
      <w:r w:rsidR="00F24C1A" w:rsidRPr="000E17D8">
        <w:rPr>
          <w:b/>
          <w:bCs/>
        </w:rPr>
        <w:t>Cancel</w:t>
      </w:r>
      <w:r w:rsidR="00F24C1A">
        <w:t xml:space="preserve"> or </w:t>
      </w:r>
      <w:r w:rsidR="002637F2">
        <w:t>[</w:t>
      </w:r>
      <w:r w:rsidR="00F24C1A">
        <w:t>X</w:t>
      </w:r>
      <w:r w:rsidR="002637F2">
        <w:t>]</w:t>
      </w:r>
      <w:r w:rsidR="00F24C1A">
        <w:t xml:space="preserve"> (upper right corner) will return the user to the Referenced Mission(s) dialog. </w:t>
      </w:r>
      <w:bookmarkEnd w:id="1406"/>
    </w:p>
    <w:p w14:paraId="3C50C418" w14:textId="79A7C25A" w:rsidR="00741037" w:rsidRPr="000E17D8" w:rsidRDefault="00283E74" w:rsidP="009570CA">
      <w:pPr>
        <w:jc w:val="center"/>
        <w:rPr>
          <w:sz w:val="22"/>
        </w:rPr>
      </w:pPr>
      <w:r>
        <w:rPr>
          <w:noProof/>
        </w:rPr>
        <w:lastRenderedPageBreak/>
        <w:drawing>
          <wp:inline distT="0" distB="0" distL="0" distR="0" wp14:anchorId="24DE09D6" wp14:editId="73768683">
            <wp:extent cx="3154680" cy="1408176"/>
            <wp:effectExtent l="0" t="0" r="0" b="0"/>
            <wp:docPr id="560" name="Picture 56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a:stretch>
                      <a:fillRect/>
                    </a:stretch>
                  </pic:blipFill>
                  <pic:spPr>
                    <a:xfrm>
                      <a:off x="0" y="0"/>
                      <a:ext cx="3154680" cy="1408176"/>
                    </a:xfrm>
                    <a:prstGeom prst="rect">
                      <a:avLst/>
                    </a:prstGeom>
                  </pic:spPr>
                </pic:pic>
              </a:graphicData>
            </a:graphic>
          </wp:inline>
        </w:drawing>
      </w:r>
    </w:p>
    <w:p w14:paraId="1E4F3C0D" w14:textId="23162424" w:rsidR="00EB7653" w:rsidRPr="000665B0" w:rsidRDefault="00EB7653" w:rsidP="009570CA">
      <w:pPr>
        <w:pStyle w:val="Heading4"/>
      </w:pPr>
      <w:r w:rsidRPr="000665B0">
        <w:t>Delete TEF(s)</w:t>
      </w:r>
    </w:p>
    <w:p w14:paraId="3A119D1D" w14:textId="3AC3CCC7" w:rsidR="000D7271" w:rsidRPr="000665B0" w:rsidRDefault="000D7271" w:rsidP="009570CA">
      <w:r w:rsidRPr="000665B0">
        <w:t>To delete TEFs from the Mission List:</w:t>
      </w:r>
    </w:p>
    <w:p w14:paraId="50C52A4A" w14:textId="77777777" w:rsidR="000D7271" w:rsidRPr="000665B0" w:rsidRDefault="000D7271" w:rsidP="006D5A65">
      <w:pPr>
        <w:pStyle w:val="Heading1"/>
      </w:pPr>
      <w:r w:rsidRPr="000665B0">
        <w:t>Navigate to the Missions Tool and select the desired mission(s) from the Mission List.</w:t>
      </w:r>
    </w:p>
    <w:p w14:paraId="36F44109" w14:textId="6D4C0FE6" w:rsidR="000D7271" w:rsidRPr="000665B0" w:rsidRDefault="000D7271" w:rsidP="006D5A65">
      <w:pPr>
        <w:pStyle w:val="Heading1"/>
      </w:pPr>
      <w:r w:rsidRPr="000665B0">
        <w:t xml:space="preserve">Invoke the context menu (right-click the mouse) and select Delete TEFs </w:t>
      </w:r>
      <w:r w:rsidRPr="000665B0">
        <w:sym w:font="Wingdings 3" w:char="F07D"/>
      </w:r>
      <w:r w:rsidRPr="000665B0">
        <w:t>.</w:t>
      </w:r>
    </w:p>
    <w:p w14:paraId="1A0ACE49" w14:textId="7E7EB2C4" w:rsidR="000D7271" w:rsidRPr="000665B0" w:rsidRDefault="000D7271" w:rsidP="006D5A65">
      <w:pPr>
        <w:pStyle w:val="Heading2"/>
      </w:pPr>
      <w:r w:rsidRPr="000665B0">
        <w:t xml:space="preserve">Select the desired TEF </w:t>
      </w:r>
      <w:r w:rsidR="00E824AD" w:rsidRPr="000665B0">
        <w:t>format</w:t>
      </w:r>
      <w:r w:rsidRPr="000665B0">
        <w:t xml:space="preserve"> for deletion</w:t>
      </w:r>
      <w:r w:rsidR="0010714C" w:rsidRPr="000665B0">
        <w:t xml:space="preserve"> (the current </w:t>
      </w:r>
      <w:r w:rsidR="00E824AD" w:rsidRPr="000665B0">
        <w:t>format</w:t>
      </w:r>
      <w:r w:rsidR="0010714C" w:rsidRPr="000665B0">
        <w:t xml:space="preserve"> cannot be deleted and is not listed in the pull</w:t>
      </w:r>
      <w:r w:rsidR="00F830EF">
        <w:t>-</w:t>
      </w:r>
      <w:r w:rsidR="0010714C" w:rsidRPr="000665B0">
        <w:t>down menu)</w:t>
      </w:r>
      <w:r w:rsidRPr="000665B0">
        <w:t>.</w:t>
      </w:r>
    </w:p>
    <w:p w14:paraId="491B407A" w14:textId="2B5DA848" w:rsidR="00F77FE3" w:rsidRDefault="00F77FE3" w:rsidP="009570CA">
      <w:pPr>
        <w:pStyle w:val="Number0205"/>
        <w:ind w:left="0" w:firstLine="0"/>
        <w:jc w:val="center"/>
      </w:pPr>
    </w:p>
    <w:p w14:paraId="27645B52" w14:textId="77777777" w:rsidR="002B02EB" w:rsidRDefault="00AC41AB" w:rsidP="00A1290D">
      <w:pPr>
        <w:pStyle w:val="Number0205"/>
        <w:ind w:left="0" w:firstLine="0"/>
        <w:jc w:val="center"/>
      </w:pPr>
      <w:r>
        <w:rPr>
          <w:noProof/>
        </w:rPr>
        <w:drawing>
          <wp:inline distT="0" distB="0" distL="0" distR="0" wp14:anchorId="1B57F025" wp14:editId="62741D0A">
            <wp:extent cx="4572000" cy="2825496"/>
            <wp:effectExtent l="0" t="0" r="0" b="0"/>
            <wp:docPr id="1139571093" name="Picture 113957109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able, Excel&#10;&#10;Description automatically generated"/>
                    <pic:cNvPicPr/>
                  </pic:nvPicPr>
                  <pic:blipFill>
                    <a:blip/>
                    <a:stretch>
                      <a:fillRect/>
                    </a:stretch>
                  </pic:blipFill>
                  <pic:spPr>
                    <a:xfrm>
                      <a:off x="0" y="0"/>
                      <a:ext cx="4572000" cy="2825496"/>
                    </a:xfrm>
                    <a:prstGeom prst="rect">
                      <a:avLst/>
                    </a:prstGeom>
                  </pic:spPr>
                </pic:pic>
              </a:graphicData>
            </a:graphic>
          </wp:inline>
        </w:drawing>
      </w:r>
    </w:p>
    <w:p w14:paraId="2460E805" w14:textId="77777777" w:rsidR="00397D21" w:rsidRDefault="000D7271" w:rsidP="006D5A65">
      <w:pPr>
        <w:pStyle w:val="Heading1"/>
      </w:pPr>
      <w:r w:rsidRPr="000665B0">
        <w:t xml:space="preserve">Click Yes </w:t>
      </w:r>
      <w:r w:rsidR="0060262F" w:rsidRPr="000665B0">
        <w:t>to confirm the deletion</w:t>
      </w:r>
      <w:r w:rsidR="0010714C" w:rsidRPr="000665B0">
        <w:t xml:space="preserve"> of the TEF from TED</w:t>
      </w:r>
      <w:r w:rsidRPr="000665B0">
        <w:t>.</w:t>
      </w:r>
    </w:p>
    <w:p w14:paraId="2FA1107C" w14:textId="243F9EBD" w:rsidR="00F30E89" w:rsidRPr="000665B0" w:rsidRDefault="00F30E89" w:rsidP="00A1290D">
      <w:pPr>
        <w:pStyle w:val="Number0205"/>
        <w:ind w:left="0" w:firstLine="0"/>
        <w:jc w:val="center"/>
      </w:pPr>
      <w:r>
        <w:rPr>
          <w:noProof/>
        </w:rPr>
        <w:drawing>
          <wp:inline distT="0" distB="0" distL="0" distR="0" wp14:anchorId="759E1393" wp14:editId="4786740D">
            <wp:extent cx="2743200" cy="1033272"/>
            <wp:effectExtent l="0" t="0" r="0" b="0"/>
            <wp:docPr id="2290" name="Picture 2290"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 name="Picture 2290" descr="Graphical user interface, text, application, Word&#10;&#10;Description automatically generated"/>
                    <pic:cNvPicPr/>
                  </pic:nvPicPr>
                  <pic:blipFill>
                    <a:blip/>
                    <a:stretch>
                      <a:fillRect/>
                    </a:stretch>
                  </pic:blipFill>
                  <pic:spPr>
                    <a:xfrm>
                      <a:off x="0" y="0"/>
                      <a:ext cx="2743200" cy="1033272"/>
                    </a:xfrm>
                    <a:prstGeom prst="rect">
                      <a:avLst/>
                    </a:prstGeom>
                  </pic:spPr>
                </pic:pic>
              </a:graphicData>
            </a:graphic>
          </wp:inline>
        </w:drawing>
      </w:r>
    </w:p>
    <w:p w14:paraId="55B0AE29" w14:textId="35202C1C" w:rsidR="00C00EEB" w:rsidRPr="000665B0" w:rsidRDefault="00C00EEB" w:rsidP="009570CA">
      <w:pPr>
        <w:pStyle w:val="Heading3"/>
      </w:pPr>
      <w:bookmarkStart w:id="1407" w:name="_5.5.6_Re-IQVC"/>
      <w:bookmarkStart w:id="1408" w:name="_5.4.6__Re-IQVC"/>
      <w:bookmarkStart w:id="1409" w:name="_5.5.12_Save_as_xml"/>
      <w:bookmarkStart w:id="1410" w:name="_Toc289328267"/>
      <w:bookmarkStart w:id="1411" w:name="_Toc312331690"/>
      <w:bookmarkStart w:id="1412" w:name="_Toc214283171"/>
      <w:bookmarkStart w:id="1413" w:name="_Toc71955182"/>
      <w:bookmarkStart w:id="1414" w:name="_Toc96169819"/>
      <w:bookmarkStart w:id="1415" w:name="_Toc96233864"/>
      <w:bookmarkStart w:id="1416" w:name="_Toc112733293"/>
      <w:bookmarkEnd w:id="1407"/>
      <w:bookmarkEnd w:id="1408"/>
      <w:bookmarkEnd w:id="1409"/>
      <w:r w:rsidRPr="000665B0">
        <w:lastRenderedPageBreak/>
        <w:t>Mission Notifications</w:t>
      </w:r>
      <w:bookmarkEnd w:id="1410"/>
      <w:bookmarkEnd w:id="1411"/>
      <w:bookmarkEnd w:id="1412"/>
    </w:p>
    <w:p w14:paraId="761639AD" w14:textId="77777777" w:rsidR="005277A5" w:rsidRPr="000665B0" w:rsidRDefault="005277A5" w:rsidP="009570CA">
      <w:r w:rsidRPr="000665B0">
        <w:t xml:space="preserve">Providing greater visual and audio cues for different events, Mission Notification lets the operator </w:t>
      </w:r>
      <w:r w:rsidR="00166B7F" w:rsidRPr="000665B0">
        <w:t xml:space="preserve">know </w:t>
      </w:r>
      <w:r w:rsidRPr="000665B0">
        <w:t>either by sound or pop-up notifications that new missions have been generated by TPS.</w:t>
      </w:r>
    </w:p>
    <w:p w14:paraId="4DAF996F" w14:textId="689E3E42" w:rsidR="00233529" w:rsidRPr="000665B0" w:rsidRDefault="00C00EEB" w:rsidP="009570CA">
      <w:r w:rsidRPr="000665B0">
        <w:t xml:space="preserve">To learn about the features of the Sound/Pop-up Notifications see </w:t>
      </w:r>
      <w:hyperlink w:anchor="_5.44__SOUND_1" w:history="1">
        <w:r w:rsidR="00A81D38" w:rsidRPr="000665B0">
          <w:rPr>
            <w:rStyle w:val="Hyperlink"/>
          </w:rPr>
          <w:t xml:space="preserve">Section </w:t>
        </w:r>
        <w:r w:rsidR="004231CC">
          <w:rPr>
            <w:rStyle w:val="Hyperlink"/>
          </w:rPr>
          <w:t>5.42</w:t>
        </w:r>
      </w:hyperlink>
      <w:r w:rsidRPr="000665B0">
        <w:t>.</w:t>
      </w:r>
    </w:p>
    <w:p w14:paraId="649E0D44" w14:textId="77777777" w:rsidR="00C00EEB" w:rsidRPr="000665B0" w:rsidRDefault="00C00EEB"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1E6FD0A8" w14:textId="77777777" w:rsidR="00C00EEB" w:rsidRPr="000665B0" w:rsidRDefault="00C00EEB" w:rsidP="009570CA">
      <w:pPr>
        <w:pBdr>
          <w:top w:val="single" w:sz="12" w:space="1" w:color="auto"/>
          <w:left w:val="single" w:sz="12" w:space="4" w:color="auto"/>
          <w:bottom w:val="single" w:sz="12" w:space="1" w:color="auto"/>
          <w:right w:val="single" w:sz="12" w:space="4" w:color="auto"/>
        </w:pBdr>
        <w:shd w:val="clear" w:color="auto" w:fill="D9D9D9"/>
        <w:jc w:val="center"/>
        <w:rPr>
          <w:szCs w:val="24"/>
        </w:rPr>
      </w:pPr>
      <w:r w:rsidRPr="000665B0">
        <w:rPr>
          <w:b/>
          <w:szCs w:val="24"/>
        </w:rPr>
        <w:t xml:space="preserve">Notifications </w:t>
      </w:r>
      <w:r w:rsidR="005277A5" w:rsidRPr="000665B0">
        <w:rPr>
          <w:b/>
          <w:szCs w:val="24"/>
        </w:rPr>
        <w:t>happen only</w:t>
      </w:r>
      <w:r w:rsidRPr="000665B0">
        <w:rPr>
          <w:b/>
          <w:szCs w:val="24"/>
        </w:rPr>
        <w:t xml:space="preserve"> if the Mission being added to TED is being </w:t>
      </w:r>
      <w:r w:rsidR="005277A5" w:rsidRPr="000665B0">
        <w:rPr>
          <w:b/>
          <w:szCs w:val="24"/>
        </w:rPr>
        <w:t>added</w:t>
      </w:r>
      <w:r w:rsidRPr="000665B0">
        <w:rPr>
          <w:b/>
          <w:szCs w:val="24"/>
        </w:rPr>
        <w:t xml:space="preserve"> directly from a TPS.</w:t>
      </w:r>
      <w:r w:rsidR="00290219" w:rsidRPr="000665B0">
        <w:rPr>
          <w:b/>
          <w:szCs w:val="24"/>
        </w:rPr>
        <w:t xml:space="preserve"> </w:t>
      </w:r>
      <w:r w:rsidRPr="000665B0">
        <w:rPr>
          <w:b/>
          <w:szCs w:val="24"/>
        </w:rPr>
        <w:t xml:space="preserve">It </w:t>
      </w:r>
      <w:r w:rsidR="005277A5" w:rsidRPr="000665B0">
        <w:rPr>
          <w:b/>
          <w:szCs w:val="24"/>
        </w:rPr>
        <w:t>does</w:t>
      </w:r>
      <w:r w:rsidRPr="000665B0">
        <w:rPr>
          <w:b/>
          <w:szCs w:val="24"/>
        </w:rPr>
        <w:t xml:space="preserve"> NOT support Missions being added to TED via Comms and/or MDS File </w:t>
      </w:r>
      <w:r w:rsidR="005F18F3" w:rsidRPr="000665B0">
        <w:rPr>
          <w:b/>
        </w:rPr>
        <w:sym w:font="Wingdings" w:char="F0E0"/>
      </w:r>
      <w:r w:rsidRPr="000665B0">
        <w:rPr>
          <w:b/>
          <w:szCs w:val="24"/>
        </w:rPr>
        <w:t xml:space="preserve"> Receive of a Mission transfer file.</w:t>
      </w:r>
    </w:p>
    <w:p w14:paraId="42A48689" w14:textId="2E490457" w:rsidR="008B328A" w:rsidRPr="000665B0" w:rsidRDefault="008B328A" w:rsidP="009570CA">
      <w:pPr>
        <w:pStyle w:val="Heading3"/>
      </w:pPr>
      <w:bookmarkStart w:id="1417" w:name="_5.6.19__Display"/>
      <w:bookmarkStart w:id="1418" w:name="_Display__Vertical"/>
      <w:bookmarkStart w:id="1419" w:name="_Display_Vertical_Flight"/>
      <w:bookmarkStart w:id="1420" w:name="_Toc214283172"/>
      <w:bookmarkStart w:id="1421" w:name="_Hlk54171460"/>
      <w:bookmarkStart w:id="1422" w:name="_Toc289328268"/>
      <w:bookmarkStart w:id="1423" w:name="_Toc312331691"/>
      <w:bookmarkEnd w:id="1417"/>
      <w:bookmarkEnd w:id="1418"/>
      <w:bookmarkEnd w:id="1419"/>
      <w:r w:rsidRPr="000665B0">
        <w:t>Display Vertical Flight Profile</w:t>
      </w:r>
      <w:bookmarkEnd w:id="1420"/>
    </w:p>
    <w:p w14:paraId="74E83044" w14:textId="5E65E288" w:rsidR="003F293B" w:rsidRPr="000665B0" w:rsidRDefault="008B328A" w:rsidP="009570CA">
      <w:pPr>
        <w:rPr>
          <w:szCs w:val="24"/>
        </w:rPr>
      </w:pPr>
      <w:r w:rsidRPr="000665B0">
        <w:rPr>
          <w:szCs w:val="24"/>
        </w:rPr>
        <w:t xml:space="preserve">Displays a vertical </w:t>
      </w:r>
      <w:r w:rsidR="00B07AAB" w:rsidRPr="000665B0">
        <w:rPr>
          <w:szCs w:val="24"/>
        </w:rPr>
        <w:t xml:space="preserve">flight </w:t>
      </w:r>
      <w:r w:rsidRPr="000665B0">
        <w:rPr>
          <w:szCs w:val="24"/>
        </w:rPr>
        <w:t>profile</w:t>
      </w:r>
      <w:r w:rsidR="00B07AAB" w:rsidRPr="000665B0">
        <w:rPr>
          <w:szCs w:val="24"/>
        </w:rPr>
        <w:t xml:space="preserve"> (VFP)</w:t>
      </w:r>
      <w:r w:rsidRPr="000665B0">
        <w:rPr>
          <w:szCs w:val="24"/>
        </w:rPr>
        <w:t xml:space="preserve"> of a missile’s flight path over terrain in a </w:t>
      </w:r>
      <w:r w:rsidR="003F293B" w:rsidRPr="000665B0">
        <w:rPr>
          <w:szCs w:val="24"/>
        </w:rPr>
        <w:t>two-</w:t>
      </w:r>
      <w:r w:rsidRPr="000665B0">
        <w:rPr>
          <w:szCs w:val="24"/>
        </w:rPr>
        <w:t xml:space="preserve">dimensional </w:t>
      </w:r>
      <w:r w:rsidR="00AB198A" w:rsidRPr="000665B0">
        <w:rPr>
          <w:szCs w:val="24"/>
        </w:rPr>
        <w:t xml:space="preserve">graph layout, </w:t>
      </w:r>
      <w:r w:rsidRPr="000665B0">
        <w:rPr>
          <w:szCs w:val="24"/>
        </w:rPr>
        <w:t>with altitude on the vertical axis and distance on the horizontal</w:t>
      </w:r>
      <w:r w:rsidR="00AB198A" w:rsidRPr="000665B0">
        <w:rPr>
          <w:szCs w:val="24"/>
        </w:rPr>
        <w:t xml:space="preserve"> axis</w:t>
      </w:r>
      <w:r w:rsidRPr="000665B0">
        <w:rPr>
          <w:szCs w:val="24"/>
        </w:rPr>
        <w:t>. In addition to the missile</w:t>
      </w:r>
      <w:r w:rsidR="005F18F3" w:rsidRPr="000665B0">
        <w:rPr>
          <w:szCs w:val="24"/>
        </w:rPr>
        <w:t>’</w:t>
      </w:r>
      <w:r w:rsidRPr="000665B0">
        <w:rPr>
          <w:szCs w:val="24"/>
        </w:rPr>
        <w:t>s flight path and terrain profile, MDS also display</w:t>
      </w:r>
      <w:r w:rsidR="003F293B" w:rsidRPr="000665B0">
        <w:rPr>
          <w:szCs w:val="24"/>
        </w:rPr>
        <w:t>s</w:t>
      </w:r>
      <w:r w:rsidRPr="000665B0">
        <w:rPr>
          <w:szCs w:val="24"/>
        </w:rPr>
        <w:t xml:space="preserve"> the vertical profile of any ACMS</w:t>
      </w:r>
      <w:r w:rsidR="003F293B" w:rsidRPr="000665B0">
        <w:rPr>
          <w:szCs w:val="24"/>
        </w:rPr>
        <w:t xml:space="preserve"> (and the type of ACMS)</w:t>
      </w:r>
      <w:r w:rsidRPr="000665B0">
        <w:rPr>
          <w:szCs w:val="24"/>
        </w:rPr>
        <w:t xml:space="preserve"> identified in the C2X that intersects with the mission. The ACMS intersections </w:t>
      </w:r>
      <w:r w:rsidR="00627DD2" w:rsidRPr="000665B0">
        <w:rPr>
          <w:szCs w:val="24"/>
        </w:rPr>
        <w:t>are</w:t>
      </w:r>
      <w:r w:rsidRPr="000665B0">
        <w:rPr>
          <w:szCs w:val="24"/>
        </w:rPr>
        <w:t xml:space="preserve"> determined using the ACMS identified in the mission’s C2X file. </w:t>
      </w:r>
    </w:p>
    <w:p w14:paraId="306DE32C" w14:textId="5C60B9EA" w:rsidR="00AB198A" w:rsidRPr="000665B0" w:rsidRDefault="008B328A" w:rsidP="009570CA">
      <w:r w:rsidRPr="000665B0">
        <w:rPr>
          <w:szCs w:val="24"/>
        </w:rPr>
        <w:t>To zoom in and out on the display to get a detailed view of any portion of the mission</w:t>
      </w:r>
      <w:r w:rsidR="00AB198A" w:rsidRPr="000665B0">
        <w:rPr>
          <w:szCs w:val="24"/>
        </w:rPr>
        <w:t>,</w:t>
      </w:r>
      <w:r w:rsidRPr="000665B0">
        <w:rPr>
          <w:szCs w:val="24"/>
        </w:rPr>
        <w:t xml:space="preserve"> </w:t>
      </w:r>
      <w:r w:rsidR="00AB198A" w:rsidRPr="000665B0">
        <w:t xml:space="preserve">click the zoom-in magnifying glass </w:t>
      </w:r>
      <w:r w:rsidR="00AB198A" w:rsidRPr="000665B0">
        <w:rPr>
          <w:noProof/>
        </w:rPr>
        <w:drawing>
          <wp:inline distT="0" distB="0" distL="0" distR="0" wp14:anchorId="3FF5E243" wp14:editId="4D7285E8">
            <wp:extent cx="146050" cy="158750"/>
            <wp:effectExtent l="0" t="0" r="6350" b="0"/>
            <wp:docPr id="372" name="Picture 372" descr="Zoom I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Zoom In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46050" cy="158750"/>
                    </a:xfrm>
                    <a:prstGeom prst="rect">
                      <a:avLst/>
                    </a:prstGeom>
                    <a:noFill/>
                    <a:ln>
                      <a:noFill/>
                    </a:ln>
                  </pic:spPr>
                </pic:pic>
              </a:graphicData>
            </a:graphic>
          </wp:inline>
        </w:drawing>
      </w:r>
      <w:r w:rsidR="00AB198A" w:rsidRPr="000665B0">
        <w:t xml:space="preserve"> and the zoom-out magnifying glass </w:t>
      </w:r>
      <w:r w:rsidR="00AB198A" w:rsidRPr="000665B0">
        <w:rPr>
          <w:noProof/>
        </w:rPr>
        <w:drawing>
          <wp:inline distT="0" distB="0" distL="0" distR="0" wp14:anchorId="37D9E8BA" wp14:editId="3D87F2DE">
            <wp:extent cx="146050" cy="158750"/>
            <wp:effectExtent l="0" t="0" r="6350" b="0"/>
            <wp:docPr id="301" name="Picture 301" descr="Zoom Ou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Zoom Out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46050" cy="158750"/>
                    </a:xfrm>
                    <a:prstGeom prst="rect">
                      <a:avLst/>
                    </a:prstGeom>
                    <a:noFill/>
                    <a:ln>
                      <a:noFill/>
                    </a:ln>
                  </pic:spPr>
                </pic:pic>
              </a:graphicData>
            </a:graphic>
          </wp:inline>
        </w:drawing>
      </w:r>
      <w:r w:rsidR="00AB198A" w:rsidRPr="000665B0">
        <w:t xml:space="preserve"> on the toolbar.</w:t>
      </w:r>
    </w:p>
    <w:p w14:paraId="3CCA16E1" w14:textId="05C92F23" w:rsidR="008B328A" w:rsidRPr="000665B0" w:rsidRDefault="008B328A" w:rsidP="009570CA">
      <w:pPr>
        <w:rPr>
          <w:szCs w:val="24"/>
        </w:rPr>
      </w:pPr>
      <w:r w:rsidRPr="000665B0">
        <w:rPr>
          <w:szCs w:val="24"/>
        </w:rPr>
        <w:t>When selecting a data point on the vertical profile, MDS display</w:t>
      </w:r>
      <w:r w:rsidR="003F293B" w:rsidRPr="000665B0">
        <w:rPr>
          <w:szCs w:val="24"/>
        </w:rPr>
        <w:t>s</w:t>
      </w:r>
      <w:r w:rsidRPr="000665B0">
        <w:rPr>
          <w:szCs w:val="24"/>
        </w:rPr>
        <w:t xml:space="preserve"> the information associated with that point (</w:t>
      </w:r>
      <w:r w:rsidR="003509EA" w:rsidRPr="000665B0">
        <w:rPr>
          <w:szCs w:val="24"/>
        </w:rPr>
        <w:t xml:space="preserve">e.g., </w:t>
      </w:r>
      <w:r w:rsidRPr="000665B0">
        <w:rPr>
          <w:szCs w:val="24"/>
        </w:rPr>
        <w:t>missile altitude, terrain elevation, Branch ID</w:t>
      </w:r>
      <w:r w:rsidR="003F293B" w:rsidRPr="000665B0">
        <w:rPr>
          <w:szCs w:val="24"/>
        </w:rPr>
        <w:t>, etc.</w:t>
      </w:r>
      <w:r w:rsidRPr="000665B0">
        <w:rPr>
          <w:szCs w:val="24"/>
        </w:rPr>
        <w:t>).</w:t>
      </w:r>
    </w:p>
    <w:p w14:paraId="2FDC78CD" w14:textId="329D93F3" w:rsidR="008B328A" w:rsidRPr="000665B0" w:rsidRDefault="008B328A" w:rsidP="009570CA">
      <w:pPr>
        <w:rPr>
          <w:szCs w:val="24"/>
        </w:rPr>
      </w:pPr>
      <w:r w:rsidRPr="000665B0">
        <w:rPr>
          <w:szCs w:val="24"/>
        </w:rPr>
        <w:t>The vertical profile display utiliz</w:t>
      </w:r>
      <w:r w:rsidR="0063551E" w:rsidRPr="000665B0">
        <w:rPr>
          <w:szCs w:val="24"/>
        </w:rPr>
        <w:t>es</w:t>
      </w:r>
      <w:r w:rsidRPr="000665B0">
        <w:rPr>
          <w:szCs w:val="24"/>
        </w:rPr>
        <w:t xml:space="preserve"> a web service provided by Boeing that conduct</w:t>
      </w:r>
      <w:r w:rsidR="0063551E" w:rsidRPr="000665B0">
        <w:rPr>
          <w:szCs w:val="24"/>
        </w:rPr>
        <w:t>s</w:t>
      </w:r>
      <w:r w:rsidRPr="000665B0">
        <w:rPr>
          <w:szCs w:val="24"/>
        </w:rPr>
        <w:t xml:space="preserve"> performance modeling for a selected mission. The web service read</w:t>
      </w:r>
      <w:r w:rsidR="0063551E" w:rsidRPr="000665B0">
        <w:rPr>
          <w:szCs w:val="24"/>
        </w:rPr>
        <w:t>s</w:t>
      </w:r>
      <w:r w:rsidRPr="000665B0">
        <w:rPr>
          <w:szCs w:val="24"/>
        </w:rPr>
        <w:t xml:space="preserve"> the TEF directly out of the MDDB and execute</w:t>
      </w:r>
      <w:r w:rsidR="0063551E" w:rsidRPr="000665B0">
        <w:rPr>
          <w:szCs w:val="24"/>
        </w:rPr>
        <w:t>s</w:t>
      </w:r>
      <w:r w:rsidRPr="000665B0">
        <w:rPr>
          <w:szCs w:val="24"/>
        </w:rPr>
        <w:t xml:space="preserve"> the modeling, resulting in a time history of the data that allow</w:t>
      </w:r>
      <w:r w:rsidR="0063551E" w:rsidRPr="000665B0">
        <w:rPr>
          <w:szCs w:val="24"/>
        </w:rPr>
        <w:t>s</w:t>
      </w:r>
      <w:r w:rsidRPr="000665B0">
        <w:rPr>
          <w:szCs w:val="24"/>
        </w:rPr>
        <w:t xml:space="preserve"> for a higher-fidelity vertical mission route data display. </w:t>
      </w:r>
    </w:p>
    <w:p w14:paraId="394F48A4" w14:textId="31DBDDA0" w:rsidR="00A07336" w:rsidRPr="000665B0" w:rsidRDefault="00A07336" w:rsidP="009570CA">
      <w:r w:rsidRPr="000665B0">
        <w:t xml:space="preserve">To display the vertical </w:t>
      </w:r>
      <w:r w:rsidR="003A07FA" w:rsidRPr="000665B0">
        <w:t xml:space="preserve">flight </w:t>
      </w:r>
      <w:r w:rsidRPr="000665B0">
        <w:t>profile from the Mission List:</w:t>
      </w:r>
    </w:p>
    <w:p w14:paraId="31A2A0A8" w14:textId="77777777" w:rsidR="00A07336" w:rsidRPr="000665B0" w:rsidRDefault="00A07336" w:rsidP="006D5A65">
      <w:pPr>
        <w:pStyle w:val="Heading1"/>
      </w:pPr>
      <w:r w:rsidRPr="000665B0">
        <w:t>Navigate to the Missions Tool and select the desired mission(s) from the Mission List.</w:t>
      </w:r>
    </w:p>
    <w:p w14:paraId="0C1BC3C1" w14:textId="13E68944" w:rsidR="00A07336" w:rsidRPr="000665B0" w:rsidRDefault="00A07336" w:rsidP="006D5A65">
      <w:pPr>
        <w:pStyle w:val="Heading1"/>
        <w:rPr>
          <w:szCs w:val="24"/>
        </w:rPr>
      </w:pPr>
      <w:r w:rsidRPr="000665B0">
        <w:t xml:space="preserve">From the File menu select </w:t>
      </w:r>
      <w:r w:rsidRPr="000665B0">
        <w:rPr>
          <w:bCs/>
        </w:rPr>
        <w:t xml:space="preserve">Display </w:t>
      </w:r>
      <w:r w:rsidRPr="000665B0">
        <w:sym w:font="Wingdings" w:char="F0E0"/>
      </w:r>
      <w:r w:rsidRPr="000665B0">
        <w:rPr>
          <w:bCs/>
        </w:rPr>
        <w:t xml:space="preserve"> Vertical Flight </w:t>
      </w:r>
      <w:r w:rsidR="00C54F21" w:rsidRPr="000665B0">
        <w:rPr>
          <w:bCs/>
        </w:rPr>
        <w:t>Profile</w:t>
      </w:r>
      <w:r w:rsidR="00C54F21" w:rsidRPr="000665B0">
        <w:t xml:space="preserve"> or</w:t>
      </w:r>
      <w:r w:rsidRPr="000665B0">
        <w:t xml:space="preserve"> invoke the context menu (by right-clicking the mouse) and select </w:t>
      </w:r>
      <w:r w:rsidRPr="000665B0">
        <w:rPr>
          <w:bCs/>
        </w:rPr>
        <w:t xml:space="preserve">Display </w:t>
      </w:r>
      <w:r w:rsidRPr="000665B0">
        <w:sym w:font="Wingdings" w:char="F0E0"/>
      </w:r>
      <w:r w:rsidRPr="000665B0">
        <w:rPr>
          <w:bCs/>
        </w:rPr>
        <w:t xml:space="preserve"> Vertical Flight Profile.</w:t>
      </w:r>
    </w:p>
    <w:p w14:paraId="419801EE" w14:textId="089DB4DA" w:rsidR="00A07336" w:rsidRPr="000665B0" w:rsidRDefault="00A07336" w:rsidP="006D5A65">
      <w:pPr>
        <w:pStyle w:val="Heading1"/>
        <w:rPr>
          <w:szCs w:val="24"/>
        </w:rPr>
      </w:pPr>
      <w:r w:rsidRPr="000665B0">
        <w:t xml:space="preserve">The </w:t>
      </w:r>
      <w:r w:rsidRPr="000665B0">
        <w:rPr>
          <w:i/>
        </w:rPr>
        <w:t>Vertical Flight Profile</w:t>
      </w:r>
      <w:r w:rsidRPr="000665B0">
        <w:t xml:space="preserve"> window is displayed.</w:t>
      </w:r>
    </w:p>
    <w:p w14:paraId="29612B39" w14:textId="0D02D4C8" w:rsidR="00A07336" w:rsidRPr="000665B0" w:rsidRDefault="00A07336" w:rsidP="009570CA">
      <w:pPr>
        <w:rPr>
          <w:szCs w:val="24"/>
        </w:rPr>
      </w:pPr>
      <w:r w:rsidRPr="000665B0">
        <w:rPr>
          <w:szCs w:val="24"/>
        </w:rPr>
        <w:t xml:space="preserve">The </w:t>
      </w:r>
      <w:r w:rsidR="00AB198A" w:rsidRPr="000665B0">
        <w:rPr>
          <w:szCs w:val="24"/>
        </w:rPr>
        <w:t xml:space="preserve">vertical flight profile can also be viewed for a Retarget or Aimpoint Update from the </w:t>
      </w:r>
      <w:r w:rsidR="00AB198A" w:rsidRPr="000665B0">
        <w:rPr>
          <w:b/>
          <w:szCs w:val="24"/>
        </w:rPr>
        <w:t>Retarget</w:t>
      </w:r>
      <w:r w:rsidR="00AB198A" w:rsidRPr="000665B0">
        <w:rPr>
          <w:szCs w:val="24"/>
        </w:rPr>
        <w:t xml:space="preserve"> pane of the SMD. In this case for a Retarget TMPR, the VFP display contains the mission segment vertical profile from the Retarget Branch Action Point to the Target, ACMS data from the originating TMPR (including the ACMS name and type), and the corresponding DTED information (see </w:t>
      </w:r>
      <w:hyperlink w:anchor="_How_to_Retarget/Aimpoint" w:history="1">
        <w:r w:rsidR="00985815" w:rsidRPr="00341BF6">
          <w:rPr>
            <w:rStyle w:val="Hyperlink"/>
            <w:szCs w:val="24"/>
          </w:rPr>
          <w:t xml:space="preserve">Section </w:t>
        </w:r>
        <w:r w:rsidR="004231CC">
          <w:rPr>
            <w:rStyle w:val="Hyperlink"/>
          </w:rPr>
          <w:t>5.35</w:t>
        </w:r>
        <w:r w:rsidR="00682113" w:rsidRPr="00341BF6">
          <w:rPr>
            <w:rStyle w:val="Hyperlink"/>
          </w:rPr>
          <w:t>.3.1.8</w:t>
        </w:r>
        <w:r w:rsidR="00AB198A" w:rsidRPr="00341BF6">
          <w:rPr>
            <w:rStyle w:val="Hyperlink"/>
            <w:szCs w:val="24"/>
          </w:rPr>
          <w:t>.1.2</w:t>
        </w:r>
      </w:hyperlink>
      <w:r w:rsidR="00A13320">
        <w:rPr>
          <w:szCs w:val="24"/>
        </w:rPr>
        <w:t>)</w:t>
      </w:r>
      <w:r w:rsidR="00341BF6">
        <w:rPr>
          <w:szCs w:val="24"/>
        </w:rPr>
        <w:t>.</w:t>
      </w:r>
      <w:r w:rsidR="00AB198A" w:rsidRPr="000665B0">
        <w:rPr>
          <w:szCs w:val="24"/>
        </w:rPr>
        <w:t xml:space="preserve"> </w:t>
      </w:r>
    </w:p>
    <w:p w14:paraId="381319C1" w14:textId="77777777" w:rsidR="008B328A" w:rsidRPr="000665B0" w:rsidRDefault="008B328A"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4FCFCD51" w14:textId="72673C23" w:rsidR="008B328A" w:rsidRPr="000665B0" w:rsidRDefault="008B328A"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 xml:space="preserve">MDS </w:t>
      </w:r>
      <w:r w:rsidR="00843386" w:rsidRPr="000665B0">
        <w:rPr>
          <w:b/>
          <w:szCs w:val="24"/>
        </w:rPr>
        <w:t>can only</w:t>
      </w:r>
      <w:r w:rsidRPr="000665B0">
        <w:rPr>
          <w:b/>
          <w:szCs w:val="24"/>
        </w:rPr>
        <w:t xml:space="preserve"> generate the </w:t>
      </w:r>
      <w:r w:rsidR="00843386" w:rsidRPr="000665B0">
        <w:rPr>
          <w:b/>
          <w:szCs w:val="24"/>
        </w:rPr>
        <w:t xml:space="preserve">Vertical Flight Profile </w:t>
      </w:r>
      <w:r w:rsidRPr="000665B0">
        <w:rPr>
          <w:b/>
          <w:szCs w:val="24"/>
        </w:rPr>
        <w:t>for missions that have a TEF.</w:t>
      </w:r>
    </w:p>
    <w:p w14:paraId="72046BD9" w14:textId="42385319" w:rsidR="008B328A" w:rsidRPr="000665B0" w:rsidRDefault="008B328A" w:rsidP="009570CA">
      <w:pPr>
        <w:pStyle w:val="Heading3"/>
      </w:pPr>
      <w:bookmarkStart w:id="1424" w:name="_5.6.20__Internal"/>
      <w:bookmarkStart w:id="1425" w:name="_Toc214283173"/>
      <w:bookmarkEnd w:id="1421"/>
      <w:bookmarkEnd w:id="1424"/>
      <w:r w:rsidRPr="000665B0">
        <w:lastRenderedPageBreak/>
        <w:t>Internal Hold</w:t>
      </w:r>
      <w:bookmarkEnd w:id="1425"/>
    </w:p>
    <w:p w14:paraId="2EAA525A" w14:textId="77777777" w:rsidR="008B328A" w:rsidRPr="000665B0" w:rsidRDefault="008B328A" w:rsidP="009570CA">
      <w:r w:rsidRPr="000665B0">
        <w:t>Allows the user to select which mission(s) will not be distributed.</w:t>
      </w:r>
    </w:p>
    <w:p w14:paraId="57261D89" w14:textId="05D8C997" w:rsidR="00AD77AA" w:rsidRPr="000665B0" w:rsidRDefault="00AD77AA" w:rsidP="009570CA">
      <w:pPr>
        <w:pStyle w:val="Heading3"/>
      </w:pPr>
      <w:bookmarkStart w:id="1426" w:name="_Toc214283174"/>
      <w:r w:rsidRPr="000665B0">
        <w:t>Print All</w:t>
      </w:r>
      <w:bookmarkEnd w:id="1426"/>
    </w:p>
    <w:p w14:paraId="6C47FE9D" w14:textId="49B9EFCE" w:rsidR="00AD77AA" w:rsidRPr="000665B0" w:rsidRDefault="00F02F03" w:rsidP="009570CA">
      <w:pPr>
        <w:spacing w:after="0"/>
      </w:pPr>
      <w:r w:rsidRPr="000665B0">
        <w:t>See</w:t>
      </w:r>
      <w:r w:rsidR="00AD77AA" w:rsidRPr="000665B0">
        <w:t xml:space="preserve"> </w:t>
      </w:r>
      <w:hyperlink w:anchor="_5.2.1.5__Print" w:history="1">
        <w:r w:rsidR="00AD77AA" w:rsidRPr="000665B0">
          <w:rPr>
            <w:color w:val="0000FF"/>
            <w:u w:val="single"/>
          </w:rPr>
          <w:t>Section 5.2.1.5</w:t>
        </w:r>
      </w:hyperlink>
      <w:r w:rsidR="00AD77AA" w:rsidRPr="000665B0">
        <w:t>.</w:t>
      </w:r>
    </w:p>
    <w:p w14:paraId="20FFB1D1" w14:textId="68BA61B9" w:rsidR="005D1A26" w:rsidRPr="000665B0" w:rsidRDefault="005D1A26" w:rsidP="009570CA">
      <w:pPr>
        <w:pStyle w:val="Heading3"/>
      </w:pPr>
      <w:bookmarkStart w:id="1427" w:name="_Toc214283175"/>
      <w:r w:rsidRPr="000665B0">
        <w:t>Receive File</w:t>
      </w:r>
      <w:bookmarkEnd w:id="1413"/>
      <w:bookmarkEnd w:id="1414"/>
      <w:bookmarkEnd w:id="1415"/>
      <w:bookmarkEnd w:id="1416"/>
      <w:bookmarkEnd w:id="1422"/>
      <w:bookmarkEnd w:id="1423"/>
      <w:bookmarkEnd w:id="1427"/>
    </w:p>
    <w:p w14:paraId="0C555E3E" w14:textId="73AAFC48" w:rsidR="005D1A26" w:rsidRPr="000665B0" w:rsidRDefault="00F02F03" w:rsidP="009570CA">
      <w:pPr>
        <w:spacing w:after="0"/>
      </w:pPr>
      <w:r w:rsidRPr="000665B0">
        <w:t>See</w:t>
      </w:r>
      <w:r w:rsidR="005D1A26" w:rsidRPr="000665B0">
        <w:t xml:space="preserve"> </w:t>
      </w:r>
      <w:hyperlink w:anchor="_5.2.1.7__Receive" w:history="1">
        <w:r w:rsidR="005D1A26" w:rsidRPr="000665B0">
          <w:rPr>
            <w:rStyle w:val="Hyperlink"/>
          </w:rPr>
          <w:t xml:space="preserve">Section </w:t>
        </w:r>
        <w:r w:rsidR="007F7ACA" w:rsidRPr="000665B0">
          <w:rPr>
            <w:rStyle w:val="Hyperlink"/>
          </w:rPr>
          <w:t>5.2.1.</w:t>
        </w:r>
        <w:r w:rsidR="00965C3A" w:rsidRPr="000665B0">
          <w:rPr>
            <w:rStyle w:val="Hyperlink"/>
          </w:rPr>
          <w:t>7</w:t>
        </w:r>
      </w:hyperlink>
      <w:r w:rsidR="005D1A26" w:rsidRPr="000665B0">
        <w:t>.</w:t>
      </w:r>
    </w:p>
    <w:p w14:paraId="420D36A8" w14:textId="4CD7E2D8" w:rsidR="005D1A26" w:rsidRPr="000665B0" w:rsidRDefault="005D1A26" w:rsidP="009570CA">
      <w:pPr>
        <w:pStyle w:val="Heading3"/>
      </w:pPr>
      <w:bookmarkStart w:id="1428" w:name="_Toc71955184"/>
      <w:bookmarkStart w:id="1429" w:name="_Toc96169820"/>
      <w:bookmarkStart w:id="1430" w:name="_Toc96233865"/>
      <w:bookmarkStart w:id="1431" w:name="_Toc112733294"/>
      <w:bookmarkStart w:id="1432" w:name="_Toc289328269"/>
      <w:bookmarkStart w:id="1433" w:name="_Toc312331692"/>
      <w:bookmarkStart w:id="1434" w:name="_Toc214283176"/>
      <w:r w:rsidRPr="000665B0">
        <w:t>Find</w:t>
      </w:r>
      <w:bookmarkEnd w:id="1428"/>
      <w:bookmarkEnd w:id="1429"/>
      <w:bookmarkEnd w:id="1430"/>
      <w:bookmarkEnd w:id="1431"/>
      <w:bookmarkEnd w:id="1432"/>
      <w:bookmarkEnd w:id="1433"/>
      <w:bookmarkEnd w:id="1434"/>
    </w:p>
    <w:p w14:paraId="0FF6A579" w14:textId="087A820A" w:rsidR="005D1A26" w:rsidRPr="000665B0" w:rsidRDefault="00F02F03" w:rsidP="009570CA">
      <w:pPr>
        <w:spacing w:after="0"/>
      </w:pPr>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6CAD5D03" w14:textId="77777777" w:rsidR="005B5069" w:rsidRPr="000665B0" w:rsidRDefault="005B5069" w:rsidP="009570CA">
      <w:pPr>
        <w:pStyle w:val="Heading3"/>
      </w:pPr>
      <w:bookmarkStart w:id="1435" w:name="_Toc214283177"/>
      <w:r w:rsidRPr="000665B0">
        <w:t>Plugin Tool</w:t>
      </w:r>
      <w:bookmarkEnd w:id="1435"/>
    </w:p>
    <w:p w14:paraId="741F37D2" w14:textId="239F40B8" w:rsidR="005B5069" w:rsidRPr="000665B0" w:rsidRDefault="00F02F03" w:rsidP="009570CA">
      <w:pPr>
        <w:spacing w:after="0"/>
      </w:pPr>
      <w:r w:rsidRPr="000665B0">
        <w:t>See</w:t>
      </w:r>
      <w:r w:rsidR="005B5069" w:rsidRPr="000665B0">
        <w:t xml:space="preserve"> </w:t>
      </w:r>
      <w:hyperlink w:anchor="_Plugin__Tool" w:history="1">
        <w:r w:rsidR="005B5069" w:rsidRPr="000665B0">
          <w:rPr>
            <w:rStyle w:val="Hyperlink"/>
          </w:rPr>
          <w:t>Section 5.2.5.2</w:t>
        </w:r>
      </w:hyperlink>
      <w:r w:rsidR="005B5069" w:rsidRPr="000665B0">
        <w:t>.</w:t>
      </w:r>
    </w:p>
    <w:p w14:paraId="0436CFA7" w14:textId="480D1158" w:rsidR="005D1A26" w:rsidRPr="000665B0" w:rsidRDefault="005D1A26" w:rsidP="009570CA">
      <w:pPr>
        <w:pStyle w:val="Heading3"/>
      </w:pPr>
      <w:bookmarkStart w:id="1436" w:name="_Toc71955188"/>
      <w:bookmarkStart w:id="1437" w:name="_Toc96169821"/>
      <w:bookmarkStart w:id="1438" w:name="_Toc96233866"/>
      <w:bookmarkStart w:id="1439" w:name="_Toc112733295"/>
      <w:bookmarkStart w:id="1440" w:name="_Toc289328270"/>
      <w:bookmarkStart w:id="1441" w:name="_Toc312331693"/>
      <w:bookmarkStart w:id="1442" w:name="_Toc214283178"/>
      <w:r w:rsidRPr="000665B0">
        <w:t>Select All</w:t>
      </w:r>
      <w:bookmarkEnd w:id="1436"/>
      <w:bookmarkEnd w:id="1437"/>
      <w:bookmarkEnd w:id="1438"/>
      <w:bookmarkEnd w:id="1439"/>
      <w:bookmarkEnd w:id="1440"/>
      <w:bookmarkEnd w:id="1441"/>
      <w:bookmarkEnd w:id="1442"/>
    </w:p>
    <w:p w14:paraId="45C8F217" w14:textId="3D98A743" w:rsidR="005D1A26" w:rsidRPr="000665B0" w:rsidRDefault="00F02F03" w:rsidP="009570CA">
      <w:pPr>
        <w:spacing w:after="0"/>
      </w:pPr>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48FC2D94" w14:textId="6FF92B99" w:rsidR="005D1A26" w:rsidRPr="000665B0" w:rsidRDefault="005D1A26" w:rsidP="009570CA">
      <w:pPr>
        <w:pStyle w:val="Heading3"/>
      </w:pPr>
      <w:bookmarkStart w:id="1443" w:name="_Toc71955191"/>
      <w:bookmarkStart w:id="1444" w:name="_Toc96169822"/>
      <w:bookmarkStart w:id="1445" w:name="_Toc96233867"/>
      <w:bookmarkStart w:id="1446" w:name="_Toc112733296"/>
      <w:bookmarkStart w:id="1447" w:name="_Toc289328271"/>
      <w:bookmarkStart w:id="1448" w:name="_Toc312331694"/>
      <w:bookmarkStart w:id="1449" w:name="_Toc214283179"/>
      <w:r w:rsidRPr="000665B0">
        <w:t>Sort</w:t>
      </w:r>
      <w:bookmarkEnd w:id="1443"/>
      <w:bookmarkEnd w:id="1444"/>
      <w:bookmarkEnd w:id="1445"/>
      <w:bookmarkEnd w:id="1446"/>
      <w:bookmarkEnd w:id="1447"/>
      <w:bookmarkEnd w:id="1448"/>
      <w:bookmarkEnd w:id="1449"/>
    </w:p>
    <w:p w14:paraId="0D6D5CB6" w14:textId="02513EA7" w:rsidR="005D1A26" w:rsidRPr="000665B0" w:rsidRDefault="00F02F03" w:rsidP="009570CA">
      <w:pPr>
        <w:spacing w:after="0"/>
      </w:pPr>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378A72B5" w14:textId="1D91DC92" w:rsidR="005D1A26" w:rsidRPr="000665B0" w:rsidRDefault="005D1A26" w:rsidP="009570CA">
      <w:pPr>
        <w:pStyle w:val="Heading3"/>
      </w:pPr>
      <w:bookmarkStart w:id="1450" w:name="_5.5.23_Send"/>
      <w:bookmarkStart w:id="1451" w:name="_Toc71955193"/>
      <w:bookmarkStart w:id="1452" w:name="_Toc96169823"/>
      <w:bookmarkStart w:id="1453" w:name="_Toc96233868"/>
      <w:bookmarkStart w:id="1454" w:name="_Toc112733297"/>
      <w:bookmarkStart w:id="1455" w:name="_Toc289328272"/>
      <w:bookmarkStart w:id="1456" w:name="_Toc312331695"/>
      <w:bookmarkStart w:id="1457" w:name="_Toc214283180"/>
      <w:bookmarkEnd w:id="1450"/>
      <w:r w:rsidRPr="000665B0">
        <w:t>Properties</w:t>
      </w:r>
      <w:bookmarkEnd w:id="1451"/>
      <w:bookmarkEnd w:id="1452"/>
      <w:bookmarkEnd w:id="1453"/>
      <w:bookmarkEnd w:id="1454"/>
      <w:bookmarkEnd w:id="1455"/>
      <w:bookmarkEnd w:id="1456"/>
      <w:bookmarkEnd w:id="1457"/>
    </w:p>
    <w:p w14:paraId="4B1CF08E" w14:textId="77777777" w:rsidR="00A316EA" w:rsidRDefault="00F02F03" w:rsidP="009570CA">
      <w:pPr>
        <w:spacing w:after="0"/>
      </w:pPr>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r w:rsidR="00A316EA">
        <w:br w:type="page"/>
      </w:r>
      <w:bookmarkStart w:id="1458" w:name="_Toc71955196"/>
      <w:bookmarkStart w:id="1459" w:name="_Toc96169824"/>
      <w:bookmarkStart w:id="1460" w:name="_Toc96233869"/>
      <w:bookmarkStart w:id="1461" w:name="_Toc112733298"/>
      <w:bookmarkStart w:id="1462" w:name="_Toc289328273"/>
      <w:bookmarkStart w:id="1463" w:name="_Toc312331696"/>
      <w:bookmarkStart w:id="1464" w:name="_Toc214283181"/>
      <w:bookmarkEnd w:id="1209"/>
      <w:r w:rsidR="005D1A26" w:rsidRPr="000665B0">
        <w:lastRenderedPageBreak/>
        <w:t>DSMACS TOOL</w:t>
      </w:r>
      <w:bookmarkEnd w:id="1458"/>
      <w:bookmarkEnd w:id="1459"/>
      <w:bookmarkEnd w:id="1460"/>
      <w:bookmarkEnd w:id="1461"/>
      <w:bookmarkEnd w:id="1462"/>
      <w:bookmarkEnd w:id="1463"/>
      <w:bookmarkEnd w:id="1464"/>
    </w:p>
    <w:p w14:paraId="6E24A15D" w14:textId="77777777" w:rsidR="005D1A26" w:rsidRPr="000665B0" w:rsidRDefault="005D1A26" w:rsidP="009570CA">
      <w:r w:rsidRPr="000665B0">
        <w:t xml:space="preserve">DSMAC processes digital scenes similar to TERCOM maps. It is different in that it uses optical image matching of the actual ground picture for navigational updates instead of radar returns of the ground elevation. DSMAC maps substantially improve navigation compared to TERCOMs and are essential for accuracy in conventional missions. </w:t>
      </w:r>
    </w:p>
    <w:p w14:paraId="0E4F5F5B" w14:textId="77777777" w:rsidR="005D1A26" w:rsidRPr="000665B0" w:rsidRDefault="005D1A26" w:rsidP="009570CA">
      <w:r w:rsidRPr="000665B0">
        <w:t>Additionally, a mission may incorporate one or more Vertical Update Points (</w:t>
      </w:r>
      <w:r w:rsidRPr="000665B0">
        <w:rPr>
          <w:b/>
        </w:rPr>
        <w:t>VUPs</w:t>
      </w:r>
      <w:r w:rsidRPr="000665B0">
        <w:t xml:space="preserve">) to aid in navigation and course correction. When the missile reaches a VUP, the vertical position of the missile is calculated and checked against data planned for the mission. If necessary, corrections in altitude are made. </w:t>
      </w:r>
    </w:p>
    <w:p w14:paraId="1609CF32" w14:textId="77777777" w:rsidR="005D1A26" w:rsidRPr="000665B0" w:rsidRDefault="005D1A26" w:rsidP="009570CA">
      <w:r w:rsidRPr="000665B0">
        <w:t xml:space="preserve">The DSMAC Tool displays a list of all the DSMACs contained in the database and is referred to as the DSMAC List View. This tool provides a single location </w:t>
      </w:r>
      <w:r w:rsidR="00C316CF" w:rsidRPr="000665B0">
        <w:t>in</w:t>
      </w:r>
      <w:r w:rsidRPr="000665B0">
        <w:t xml:space="preserve"> which the operator can display and manage the processing of DSMAC Data.</w:t>
      </w:r>
    </w:p>
    <w:p w14:paraId="115E804B" w14:textId="77777777" w:rsidR="005D1A26" w:rsidRPr="000665B0" w:rsidRDefault="005D1A26" w:rsidP="009570CA">
      <w:pPr>
        <w:rPr>
          <w:snapToGrid w:val="0"/>
        </w:rPr>
      </w:pPr>
      <w:r w:rsidRPr="000665B0">
        <w:rPr>
          <w:snapToGrid w:val="0"/>
        </w:rPr>
        <w:t>The DSMAC Tool provides the capability to display DSMACs geographically, display referenced missions, delete referenced missions, print and export the</w:t>
      </w:r>
      <w:r w:rsidR="00C85A6F" w:rsidRPr="000665B0">
        <w:rPr>
          <w:snapToGrid w:val="0"/>
        </w:rPr>
        <w:t xml:space="preserve"> DSMAC</w:t>
      </w:r>
      <w:r w:rsidR="00220266" w:rsidRPr="000665B0">
        <w:rPr>
          <w:snapToGrid w:val="0"/>
        </w:rPr>
        <w:t>s</w:t>
      </w:r>
      <w:r w:rsidRPr="000665B0">
        <w:rPr>
          <w:snapToGrid w:val="0"/>
        </w:rPr>
        <w:t xml:space="preserve"> list, and delete DSMAC</w:t>
      </w:r>
      <w:r w:rsidR="00C85A6F" w:rsidRPr="000665B0">
        <w:rPr>
          <w:snapToGrid w:val="0"/>
        </w:rPr>
        <w:t>s</w:t>
      </w:r>
      <w:r w:rsidRPr="000665B0">
        <w:rPr>
          <w:snapToGrid w:val="0"/>
        </w:rPr>
        <w:t xml:space="preserve">. When mission data is added to MDS, the DSMACs associated with the missions are added to the DSMAC Tool. </w:t>
      </w:r>
    </w:p>
    <w:p w14:paraId="716C6987" w14:textId="77777777" w:rsidR="005D1A26" w:rsidRPr="000665B0" w:rsidRDefault="005D1A26" w:rsidP="009570CA">
      <w:pPr>
        <w:rPr>
          <w:snapToGrid w:val="0"/>
        </w:rPr>
      </w:pPr>
      <w:r w:rsidRPr="000665B0">
        <w:rPr>
          <w:snapToGrid w:val="0"/>
        </w:rPr>
        <w:t xml:space="preserve">The DSMAC Tool, along with the Missions and TERCOM Tools, are the repositories for all mission data distributed by the system via production TCIDBs, transmitted as MDUs, or written to IDS-9 formatted files. </w:t>
      </w:r>
    </w:p>
    <w:p w14:paraId="6719474B" w14:textId="77777777" w:rsidR="005D1A26" w:rsidRPr="000665B0" w:rsidRDefault="005D1A26" w:rsidP="009570CA">
      <w:pPr>
        <w:rPr>
          <w:snapToGrid w:val="0"/>
        </w:rPr>
      </w:pPr>
      <w:r w:rsidRPr="000665B0">
        <w:rPr>
          <w:snapToGrid w:val="0"/>
        </w:rPr>
        <w:t xml:space="preserve">The DSMACs List View consists of a one-line summary for each entry, sorted by ID initially. </w:t>
      </w:r>
    </w:p>
    <w:p w14:paraId="4FD0EDC6" w14:textId="77777777" w:rsidR="005D1A26" w:rsidRPr="000665B0" w:rsidRDefault="005D1A26" w:rsidP="009570CA">
      <w:r w:rsidRPr="000665B0">
        <w:t xml:space="preserve">To display the DSMACs </w:t>
      </w:r>
      <w:r w:rsidRPr="000665B0">
        <w:rPr>
          <w:snapToGrid w:val="0"/>
        </w:rPr>
        <w:t>List View</w:t>
      </w:r>
      <w:r w:rsidRPr="000665B0">
        <w:t>:</w:t>
      </w:r>
    </w:p>
    <w:p w14:paraId="1D3EA37E" w14:textId="77777777" w:rsidR="005D1A26" w:rsidRPr="000665B0" w:rsidRDefault="005D1A26" w:rsidP="009570CA">
      <w:pPr>
        <w:pStyle w:val="Number0205"/>
        <w:ind w:left="360" w:firstLine="0"/>
      </w:pPr>
      <w:r w:rsidRPr="000665B0">
        <w:t xml:space="preserve">From the </w:t>
      </w:r>
      <w:r w:rsidRPr="000665B0">
        <w:rPr>
          <w:b/>
        </w:rPr>
        <w:t>Go</w:t>
      </w:r>
      <w:r w:rsidRPr="000665B0">
        <w:t xml:space="preserve"> menu select </w:t>
      </w:r>
      <w:r w:rsidRPr="000665B0">
        <w:rPr>
          <w:b/>
          <w:bCs/>
        </w:rPr>
        <w:t>DSMACs</w:t>
      </w:r>
      <w:r w:rsidRPr="000665B0">
        <w:t>.</w:t>
      </w:r>
    </w:p>
    <w:p w14:paraId="0712D518" w14:textId="5F0616A4" w:rsidR="005D1A26" w:rsidRPr="000665B0" w:rsidRDefault="004E0525" w:rsidP="009570CA">
      <w:pPr>
        <w:jc w:val="center"/>
        <w:rPr>
          <w:snapToGrid w:val="0"/>
        </w:rPr>
      </w:pPr>
      <w:r w:rsidRPr="000665B0">
        <w:rPr>
          <w:noProof/>
        </w:rPr>
        <w:drawing>
          <wp:inline distT="0" distB="0" distL="0" distR="0" wp14:anchorId="31C4C4B3" wp14:editId="79F34FB6">
            <wp:extent cx="4983480" cy="1207008"/>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1207008"/>
                    </a:xfrm>
                    <a:prstGeom prst="rect">
                      <a:avLst/>
                    </a:prstGeom>
                  </pic:spPr>
                </pic:pic>
              </a:graphicData>
            </a:graphic>
          </wp:inline>
        </w:drawing>
      </w:r>
    </w:p>
    <w:p w14:paraId="7885B5A9" w14:textId="3658BA04" w:rsidR="005D1A26" w:rsidRPr="000665B0" w:rsidRDefault="005D1A26" w:rsidP="009570CA">
      <w:pPr>
        <w:pStyle w:val="Heading3"/>
      </w:pPr>
      <w:bookmarkStart w:id="1465" w:name="_Toc71955197"/>
      <w:bookmarkStart w:id="1466" w:name="_Toc96169825"/>
      <w:bookmarkStart w:id="1467" w:name="_Toc96233870"/>
      <w:bookmarkStart w:id="1468" w:name="_Toc112733299"/>
      <w:bookmarkStart w:id="1469" w:name="_Toc289328274"/>
      <w:bookmarkStart w:id="1470" w:name="_Toc312331697"/>
      <w:bookmarkStart w:id="1471" w:name="_Toc214283182"/>
      <w:r w:rsidRPr="000665B0">
        <w:t>Display DSMAC(s) Geographically</w:t>
      </w:r>
      <w:bookmarkEnd w:id="1465"/>
      <w:bookmarkEnd w:id="1466"/>
      <w:bookmarkEnd w:id="1467"/>
      <w:bookmarkEnd w:id="1468"/>
      <w:bookmarkEnd w:id="1469"/>
      <w:bookmarkEnd w:id="1470"/>
      <w:bookmarkEnd w:id="1471"/>
    </w:p>
    <w:p w14:paraId="3C96FA39" w14:textId="77777777" w:rsidR="005D1A26" w:rsidRPr="000665B0" w:rsidRDefault="00C316CF" w:rsidP="009570CA">
      <w:r w:rsidRPr="000665B0">
        <w:t>This i</w:t>
      </w:r>
      <w:r w:rsidR="005D1A26" w:rsidRPr="000665B0">
        <w:t>nvokes the default Geographic Tool and displays the DSMAC(s) on the map.</w:t>
      </w:r>
    </w:p>
    <w:p w14:paraId="070A30DB" w14:textId="5195461E" w:rsidR="005D1A26" w:rsidRPr="000665B0" w:rsidRDefault="005D1A26" w:rsidP="009570CA">
      <w:pPr>
        <w:spacing w:after="0"/>
      </w:pPr>
      <w:r w:rsidRPr="000665B0">
        <w:t xml:space="preserve">To display the DSMAC(s) geographically see </w:t>
      </w:r>
      <w:hyperlink w:anchor="_5.2.1.2.2__Display_1" w:history="1">
        <w:r w:rsidRPr="000665B0">
          <w:rPr>
            <w:rStyle w:val="Hyperlink"/>
          </w:rPr>
          <w:t>Section 5.2.1.2.2</w:t>
        </w:r>
      </w:hyperlink>
      <w:r w:rsidRPr="000665B0">
        <w:t>.</w:t>
      </w:r>
    </w:p>
    <w:p w14:paraId="2D00F45D" w14:textId="093D7335" w:rsidR="005D1A26" w:rsidRPr="000665B0" w:rsidRDefault="005D1A26" w:rsidP="009570CA">
      <w:pPr>
        <w:pStyle w:val="Heading3"/>
      </w:pPr>
      <w:bookmarkStart w:id="1472" w:name="_Toc71955198"/>
      <w:bookmarkStart w:id="1473" w:name="_Toc96169826"/>
      <w:bookmarkStart w:id="1474" w:name="_Toc96233871"/>
      <w:bookmarkStart w:id="1475" w:name="_Toc112733300"/>
      <w:bookmarkStart w:id="1476" w:name="_Toc289328275"/>
      <w:bookmarkStart w:id="1477" w:name="_Toc312331698"/>
      <w:bookmarkStart w:id="1478" w:name="_Toc214283183"/>
      <w:r w:rsidRPr="000665B0">
        <w:t>Delete DSMAC(s)</w:t>
      </w:r>
      <w:bookmarkEnd w:id="1472"/>
      <w:bookmarkEnd w:id="1473"/>
      <w:bookmarkEnd w:id="1474"/>
      <w:bookmarkEnd w:id="1475"/>
      <w:bookmarkEnd w:id="1476"/>
      <w:bookmarkEnd w:id="1477"/>
      <w:bookmarkEnd w:id="1478"/>
      <w:r w:rsidRPr="000665B0">
        <w:t xml:space="preserve"> </w:t>
      </w:r>
    </w:p>
    <w:p w14:paraId="18AB4D1C" w14:textId="77777777" w:rsidR="005D1A26" w:rsidRPr="000665B0" w:rsidRDefault="005D1A26" w:rsidP="009570CA">
      <w:r w:rsidRPr="000665B0">
        <w:t xml:space="preserve">When DSMACs in the List View are no longer needed, they can be deleted from the list. DSMACs that are referenced elsewhere in the system can be deleted after the referenced item is deleted. </w:t>
      </w:r>
    </w:p>
    <w:p w14:paraId="7EB9DCEC" w14:textId="0D838963" w:rsidR="005D1A26" w:rsidRPr="000665B0" w:rsidRDefault="005D1A26" w:rsidP="009570CA">
      <w:pPr>
        <w:pStyle w:val="Number0205"/>
        <w:spacing w:after="0"/>
        <w:ind w:left="0" w:firstLine="0"/>
      </w:pPr>
      <w:r w:rsidRPr="000665B0">
        <w:t xml:space="preserve">To delete DSMACs from the List View see </w:t>
      </w:r>
      <w:hyperlink w:anchor="_5.2.1.6__Delete" w:history="1">
        <w:r w:rsidR="00B9720D" w:rsidRPr="000665B0">
          <w:rPr>
            <w:rStyle w:val="Hyperlink"/>
          </w:rPr>
          <w:t>Section 5.2.1.6</w:t>
        </w:r>
      </w:hyperlink>
      <w:r w:rsidRPr="000665B0">
        <w:t>. If the DSMAC is referenced, a window with the referenced items appear</w:t>
      </w:r>
      <w:r w:rsidR="00C316CF" w:rsidRPr="000665B0">
        <w:t>s</w:t>
      </w:r>
      <w:r w:rsidRPr="000665B0">
        <w:t xml:space="preserve">. See </w:t>
      </w:r>
      <w:hyperlink w:anchor="_5.2.1.2.3__Display_1" w:history="1">
        <w:r w:rsidRPr="000665B0">
          <w:rPr>
            <w:rStyle w:val="Hyperlink"/>
          </w:rPr>
          <w:t>Section 5.2.1.2.3</w:t>
        </w:r>
      </w:hyperlink>
      <w:r w:rsidRPr="000665B0">
        <w:t xml:space="preserve"> for details.</w:t>
      </w:r>
    </w:p>
    <w:p w14:paraId="3B5D3AF4" w14:textId="4C8BEE41" w:rsidR="005D1A26" w:rsidRPr="000665B0" w:rsidRDefault="005D1A26" w:rsidP="009570CA">
      <w:pPr>
        <w:pStyle w:val="Heading3"/>
      </w:pPr>
      <w:bookmarkStart w:id="1479" w:name="_Toc96169827"/>
      <w:bookmarkStart w:id="1480" w:name="_Toc96233872"/>
      <w:bookmarkStart w:id="1481" w:name="_Toc112733301"/>
      <w:bookmarkStart w:id="1482" w:name="_Toc289328276"/>
      <w:bookmarkStart w:id="1483" w:name="_Toc312331699"/>
      <w:bookmarkStart w:id="1484" w:name="_Toc214283184"/>
      <w:bookmarkStart w:id="1485" w:name="_Toc71955201"/>
      <w:r w:rsidRPr="000665B0">
        <w:lastRenderedPageBreak/>
        <w:t>Send DSMAC(s)</w:t>
      </w:r>
      <w:bookmarkEnd w:id="1479"/>
      <w:bookmarkEnd w:id="1480"/>
      <w:bookmarkEnd w:id="1481"/>
      <w:bookmarkEnd w:id="1482"/>
      <w:bookmarkEnd w:id="1483"/>
      <w:bookmarkEnd w:id="1484"/>
    </w:p>
    <w:p w14:paraId="02AB67CE" w14:textId="7CA616C7" w:rsidR="005D1A26" w:rsidRPr="000665B0" w:rsidRDefault="005D1A26" w:rsidP="009570CA">
      <w:pPr>
        <w:rPr>
          <w:snapToGrid w:val="0"/>
        </w:rPr>
      </w:pPr>
      <w:r w:rsidRPr="000665B0">
        <w:rPr>
          <w:snapToGrid w:val="0"/>
        </w:rPr>
        <w:t xml:space="preserve">The </w:t>
      </w:r>
      <w:r w:rsidRPr="000665B0">
        <w:rPr>
          <w:b/>
          <w:snapToGrid w:val="0"/>
        </w:rPr>
        <w:t>Send</w:t>
      </w:r>
      <w:r w:rsidRPr="000665B0">
        <w:rPr>
          <w:snapToGrid w:val="0"/>
        </w:rPr>
        <w:t xml:space="preserve"> option adds the selected DSMAC to a DDO template for further distribution. For more details on DDO Templates </w:t>
      </w:r>
      <w:r w:rsidR="00A85BC8" w:rsidRPr="000665B0">
        <w:rPr>
          <w:snapToGrid w:val="0"/>
        </w:rPr>
        <w:t>s</w:t>
      </w:r>
      <w:r w:rsidRPr="000665B0">
        <w:rPr>
          <w:snapToGrid w:val="0"/>
        </w:rPr>
        <w:t xml:space="preserve">ee </w:t>
      </w:r>
      <w:hyperlink w:anchor="_5.20__DDO_TEMPLATES_TOOL" w:history="1">
        <w:r w:rsidR="00DE0842" w:rsidRPr="000665B0">
          <w:rPr>
            <w:rStyle w:val="Hyperlink"/>
            <w:snapToGrid w:val="0"/>
          </w:rPr>
          <w:t xml:space="preserve">Section </w:t>
        </w:r>
        <w:r w:rsidR="004231CC">
          <w:rPr>
            <w:rStyle w:val="Hyperlink"/>
            <w:snapToGrid w:val="0"/>
          </w:rPr>
          <w:t>5.16</w:t>
        </w:r>
      </w:hyperlink>
      <w:r w:rsidRPr="000665B0">
        <w:rPr>
          <w:snapToGrid w:val="0"/>
        </w:rPr>
        <w:t xml:space="preserve">. </w:t>
      </w:r>
    </w:p>
    <w:p w14:paraId="04B9F00E" w14:textId="2F401DF0" w:rsidR="005D1A26" w:rsidRPr="000665B0" w:rsidRDefault="005D1A26" w:rsidP="009570CA">
      <w:pPr>
        <w:pStyle w:val="Heading3"/>
      </w:pPr>
      <w:bookmarkStart w:id="1486" w:name="_Toc96169828"/>
      <w:bookmarkStart w:id="1487" w:name="_Toc96233873"/>
      <w:bookmarkStart w:id="1488" w:name="_Toc112733302"/>
      <w:bookmarkStart w:id="1489" w:name="_Toc289328277"/>
      <w:bookmarkStart w:id="1490" w:name="_Toc312331700"/>
      <w:bookmarkStart w:id="1491" w:name="_Toc214283185"/>
      <w:r w:rsidRPr="000665B0">
        <w:t>Find</w:t>
      </w:r>
      <w:bookmarkEnd w:id="1485"/>
      <w:bookmarkEnd w:id="1486"/>
      <w:bookmarkEnd w:id="1487"/>
      <w:bookmarkEnd w:id="1488"/>
      <w:bookmarkEnd w:id="1489"/>
      <w:bookmarkEnd w:id="1490"/>
      <w:bookmarkEnd w:id="1491"/>
    </w:p>
    <w:p w14:paraId="6C3AEEA0" w14:textId="385D6DE4" w:rsidR="005D1A26" w:rsidRPr="000665B0" w:rsidRDefault="00F02F03" w:rsidP="009570CA">
      <w:pPr>
        <w:spacing w:after="0"/>
      </w:pPr>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35EBD8DD" w14:textId="77777777" w:rsidR="005B5069" w:rsidRPr="000665B0" w:rsidRDefault="005B5069" w:rsidP="009570CA">
      <w:pPr>
        <w:pStyle w:val="Heading3"/>
      </w:pPr>
      <w:bookmarkStart w:id="1492" w:name="_Toc214283186"/>
      <w:r w:rsidRPr="000665B0">
        <w:t>Plugin Tool</w:t>
      </w:r>
      <w:bookmarkEnd w:id="1492"/>
    </w:p>
    <w:p w14:paraId="42A7D865" w14:textId="036A1D83" w:rsidR="005B5069" w:rsidRPr="000665B0" w:rsidRDefault="00F02F03" w:rsidP="009570CA">
      <w:pPr>
        <w:spacing w:after="0"/>
      </w:pPr>
      <w:r w:rsidRPr="000665B0">
        <w:t>See</w:t>
      </w:r>
      <w:r w:rsidR="005B5069" w:rsidRPr="000665B0">
        <w:t xml:space="preserve"> </w:t>
      </w:r>
      <w:hyperlink w:anchor="_Plugin__Tool" w:history="1">
        <w:r w:rsidR="005B5069" w:rsidRPr="000665B0">
          <w:rPr>
            <w:rStyle w:val="Hyperlink"/>
          </w:rPr>
          <w:t>Section 5.2.5.2</w:t>
        </w:r>
      </w:hyperlink>
      <w:r w:rsidR="005B5069" w:rsidRPr="000665B0">
        <w:t>.</w:t>
      </w:r>
    </w:p>
    <w:p w14:paraId="2BE16109" w14:textId="2715F03B" w:rsidR="005D1A26" w:rsidRPr="000665B0" w:rsidRDefault="005D1A26" w:rsidP="009570CA">
      <w:pPr>
        <w:pStyle w:val="Heading3"/>
      </w:pPr>
      <w:bookmarkStart w:id="1493" w:name="_Toc96169829"/>
      <w:bookmarkStart w:id="1494" w:name="_Toc96233874"/>
      <w:bookmarkStart w:id="1495" w:name="_Toc112733303"/>
      <w:bookmarkStart w:id="1496" w:name="_Toc289328278"/>
      <w:bookmarkStart w:id="1497" w:name="_Toc312331701"/>
      <w:bookmarkStart w:id="1498" w:name="_Toc214283187"/>
      <w:bookmarkStart w:id="1499" w:name="_Toc71955202"/>
      <w:r w:rsidRPr="000665B0">
        <w:t>Properties</w:t>
      </w:r>
      <w:bookmarkEnd w:id="1493"/>
      <w:bookmarkEnd w:id="1494"/>
      <w:bookmarkEnd w:id="1495"/>
      <w:bookmarkEnd w:id="1496"/>
      <w:bookmarkEnd w:id="1497"/>
      <w:bookmarkEnd w:id="1498"/>
    </w:p>
    <w:p w14:paraId="005456A3" w14:textId="6C90338D" w:rsidR="005D1A26" w:rsidRPr="000665B0" w:rsidRDefault="00F02F03" w:rsidP="009570CA">
      <w:pPr>
        <w:spacing w:after="0"/>
      </w:pPr>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3E8C5FD1" w14:textId="0FADDC7B" w:rsidR="005D1A26" w:rsidRPr="000665B0" w:rsidRDefault="005D1A26" w:rsidP="009570CA">
      <w:pPr>
        <w:pStyle w:val="Heading3"/>
      </w:pPr>
      <w:bookmarkStart w:id="1500" w:name="_Toc96169830"/>
      <w:bookmarkStart w:id="1501" w:name="_Toc96233875"/>
      <w:bookmarkStart w:id="1502" w:name="_Toc112733304"/>
      <w:bookmarkStart w:id="1503" w:name="_Toc289328279"/>
      <w:bookmarkStart w:id="1504" w:name="_Toc312331702"/>
      <w:bookmarkStart w:id="1505" w:name="_Toc214283188"/>
      <w:r w:rsidRPr="000665B0">
        <w:t>Sort</w:t>
      </w:r>
      <w:bookmarkEnd w:id="1500"/>
      <w:bookmarkEnd w:id="1501"/>
      <w:bookmarkEnd w:id="1502"/>
      <w:bookmarkEnd w:id="1503"/>
      <w:bookmarkEnd w:id="1504"/>
      <w:bookmarkEnd w:id="1505"/>
      <w:r w:rsidRPr="000665B0">
        <w:t xml:space="preserve"> </w:t>
      </w:r>
    </w:p>
    <w:p w14:paraId="2A449C09" w14:textId="4423538E" w:rsidR="005D1A26" w:rsidRPr="000665B0" w:rsidRDefault="00F02F03" w:rsidP="009570CA">
      <w:pPr>
        <w:spacing w:after="0"/>
      </w:pPr>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2522D598" w14:textId="1BF01462" w:rsidR="005D1A26" w:rsidRPr="000665B0" w:rsidRDefault="005D1A26" w:rsidP="009570CA">
      <w:pPr>
        <w:pStyle w:val="Heading3"/>
      </w:pPr>
      <w:bookmarkStart w:id="1506" w:name="_Toc96169831"/>
      <w:bookmarkStart w:id="1507" w:name="_Toc96233876"/>
      <w:bookmarkStart w:id="1508" w:name="_Toc112733305"/>
      <w:bookmarkStart w:id="1509" w:name="_Toc289328280"/>
      <w:bookmarkStart w:id="1510" w:name="_Toc312331703"/>
      <w:bookmarkStart w:id="1511" w:name="_Toc214283189"/>
      <w:r w:rsidRPr="000665B0">
        <w:t xml:space="preserve">Print </w:t>
      </w:r>
      <w:bookmarkEnd w:id="1499"/>
      <w:bookmarkEnd w:id="1506"/>
      <w:bookmarkEnd w:id="1507"/>
      <w:bookmarkEnd w:id="1508"/>
      <w:r w:rsidR="009C637B" w:rsidRPr="000665B0">
        <w:t>All</w:t>
      </w:r>
      <w:bookmarkEnd w:id="1509"/>
      <w:bookmarkEnd w:id="1510"/>
      <w:bookmarkEnd w:id="1511"/>
    </w:p>
    <w:p w14:paraId="4468F745" w14:textId="09DC3EB8" w:rsidR="005D1A26" w:rsidRPr="000665B0" w:rsidRDefault="00F02F03" w:rsidP="009570CA">
      <w:pPr>
        <w:spacing w:after="0"/>
      </w:pPr>
      <w:r w:rsidRPr="000665B0">
        <w:t>See</w:t>
      </w:r>
      <w:r w:rsidR="005D1A26" w:rsidRPr="000665B0">
        <w:t xml:space="preserve"> </w:t>
      </w:r>
      <w:hyperlink w:anchor="_5.2.1.5__Print" w:history="1">
        <w:r w:rsidR="005D1A26" w:rsidRPr="000665B0">
          <w:rPr>
            <w:rStyle w:val="Hyperlink"/>
          </w:rPr>
          <w:t xml:space="preserve">Section </w:t>
        </w:r>
        <w:r w:rsidR="00743590" w:rsidRPr="000665B0">
          <w:rPr>
            <w:rStyle w:val="Hyperlink"/>
          </w:rPr>
          <w:t>5.2.1.</w:t>
        </w:r>
        <w:r w:rsidR="00B9720D" w:rsidRPr="000665B0">
          <w:rPr>
            <w:rStyle w:val="Hyperlink"/>
          </w:rPr>
          <w:t>5</w:t>
        </w:r>
      </w:hyperlink>
      <w:r w:rsidR="005D1A26" w:rsidRPr="000665B0">
        <w:t>.</w:t>
      </w:r>
    </w:p>
    <w:p w14:paraId="09E2DDBF" w14:textId="701A1C34" w:rsidR="005D1A26" w:rsidRPr="000665B0" w:rsidRDefault="005D1A26" w:rsidP="009570CA">
      <w:pPr>
        <w:pStyle w:val="Heading3"/>
      </w:pPr>
      <w:bookmarkStart w:id="1512" w:name="_Toc96169832"/>
      <w:bookmarkStart w:id="1513" w:name="_Toc96233877"/>
      <w:bookmarkStart w:id="1514" w:name="_Toc112733306"/>
      <w:bookmarkStart w:id="1515" w:name="_Toc289328281"/>
      <w:bookmarkStart w:id="1516" w:name="_Toc312331704"/>
      <w:bookmarkStart w:id="1517" w:name="_Toc214283190"/>
      <w:bookmarkStart w:id="1518" w:name="_Toc71955203"/>
      <w:r w:rsidRPr="000665B0">
        <w:t>Display References</w:t>
      </w:r>
      <w:bookmarkEnd w:id="1512"/>
      <w:bookmarkEnd w:id="1513"/>
      <w:bookmarkEnd w:id="1514"/>
      <w:bookmarkEnd w:id="1515"/>
      <w:bookmarkEnd w:id="1516"/>
      <w:bookmarkEnd w:id="1517"/>
    </w:p>
    <w:p w14:paraId="5F61AD65" w14:textId="0E2FE7B0" w:rsidR="005D1A26" w:rsidRPr="000665B0" w:rsidRDefault="00F02F03" w:rsidP="009570CA">
      <w:pPr>
        <w:spacing w:after="0"/>
      </w:pPr>
      <w:r w:rsidRPr="000665B0">
        <w:t>See</w:t>
      </w:r>
      <w:r w:rsidR="005D1A26" w:rsidRPr="000665B0">
        <w:t xml:space="preserve"> </w:t>
      </w:r>
      <w:hyperlink w:anchor="_5.2.1.2.3__Display_1" w:history="1">
        <w:r w:rsidR="005D1A26" w:rsidRPr="000665B0">
          <w:rPr>
            <w:rStyle w:val="Hyperlink"/>
          </w:rPr>
          <w:t>Section 5.2.1.2.3</w:t>
        </w:r>
      </w:hyperlink>
      <w:r w:rsidR="005D1A26" w:rsidRPr="000665B0">
        <w:t>.</w:t>
      </w:r>
    </w:p>
    <w:p w14:paraId="4145E0B2" w14:textId="34B8F05A" w:rsidR="005D1A26" w:rsidRPr="000665B0" w:rsidRDefault="005D1A26" w:rsidP="009570CA">
      <w:pPr>
        <w:pStyle w:val="Heading3"/>
      </w:pPr>
      <w:bookmarkStart w:id="1519" w:name="_Toc96169833"/>
      <w:bookmarkStart w:id="1520" w:name="_Toc96233878"/>
      <w:bookmarkStart w:id="1521" w:name="_Toc112733307"/>
      <w:bookmarkStart w:id="1522" w:name="_Toc289328282"/>
      <w:bookmarkStart w:id="1523" w:name="_Toc312331705"/>
      <w:bookmarkStart w:id="1524" w:name="_Toc214283191"/>
      <w:r w:rsidRPr="000665B0">
        <w:t xml:space="preserve">Display </w:t>
      </w:r>
      <w:r w:rsidR="009C637B" w:rsidRPr="000665B0">
        <w:t xml:space="preserve">All </w:t>
      </w:r>
      <w:r w:rsidRPr="000665B0">
        <w:t>in Excel</w:t>
      </w:r>
      <w:bookmarkEnd w:id="1518"/>
      <w:bookmarkEnd w:id="1519"/>
      <w:bookmarkEnd w:id="1520"/>
      <w:bookmarkEnd w:id="1521"/>
      <w:bookmarkEnd w:id="1522"/>
      <w:bookmarkEnd w:id="1523"/>
      <w:bookmarkEnd w:id="1524"/>
    </w:p>
    <w:p w14:paraId="30C9E0CF" w14:textId="1E9B81F1" w:rsidR="005D1A26" w:rsidRPr="000665B0" w:rsidRDefault="00F02F03" w:rsidP="009570CA">
      <w:pPr>
        <w:spacing w:after="0"/>
      </w:pPr>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4BC23E5D" w14:textId="37D41425" w:rsidR="005D1A26" w:rsidRPr="000665B0" w:rsidRDefault="005D1A26" w:rsidP="009570CA">
      <w:pPr>
        <w:pStyle w:val="Heading3"/>
      </w:pPr>
      <w:bookmarkStart w:id="1525" w:name="_Toc71955204"/>
      <w:bookmarkStart w:id="1526" w:name="_Toc96169834"/>
      <w:bookmarkStart w:id="1527" w:name="_Toc96233879"/>
      <w:bookmarkStart w:id="1528" w:name="_Toc112733308"/>
      <w:bookmarkStart w:id="1529" w:name="_Toc289328283"/>
      <w:bookmarkStart w:id="1530" w:name="_Toc312331706"/>
      <w:bookmarkStart w:id="1531" w:name="_Toc214283192"/>
      <w:r w:rsidRPr="000665B0">
        <w:t>Select All</w:t>
      </w:r>
      <w:bookmarkEnd w:id="1525"/>
      <w:bookmarkEnd w:id="1526"/>
      <w:bookmarkEnd w:id="1527"/>
      <w:bookmarkEnd w:id="1528"/>
      <w:bookmarkEnd w:id="1529"/>
      <w:bookmarkEnd w:id="1530"/>
      <w:bookmarkEnd w:id="1531"/>
    </w:p>
    <w:p w14:paraId="704D2BCC" w14:textId="77777777" w:rsidR="00A316EA" w:rsidRDefault="00F02F03" w:rsidP="009570CA">
      <w:pPr>
        <w:spacing w:after="0"/>
      </w:pPr>
      <w:r w:rsidRPr="000665B0">
        <w:t>See</w:t>
      </w:r>
      <w:r w:rsidR="005D1A26" w:rsidRPr="000665B0">
        <w:t xml:space="preserve"> </w:t>
      </w:r>
      <w:hyperlink w:anchor="_5.2.2.1__Select_1" w:history="1">
        <w:r w:rsidR="005D1A26" w:rsidRPr="000665B0">
          <w:rPr>
            <w:rStyle w:val="Hyperlink"/>
          </w:rPr>
          <w:t>Section 5.2.2.1</w:t>
        </w:r>
      </w:hyperlink>
      <w:r w:rsidR="005D1A26" w:rsidRPr="000665B0">
        <w:t>.</w:t>
      </w:r>
      <w:r w:rsidR="00A316EA">
        <w:br w:type="page"/>
      </w:r>
      <w:bookmarkStart w:id="1532" w:name="_Toc71955206"/>
      <w:bookmarkStart w:id="1533" w:name="_Toc96169835"/>
      <w:bookmarkStart w:id="1534" w:name="_Toc96233880"/>
      <w:bookmarkStart w:id="1535" w:name="_Toc112733309"/>
      <w:bookmarkStart w:id="1536" w:name="_Toc289328284"/>
      <w:bookmarkStart w:id="1537" w:name="_Toc312331707"/>
      <w:bookmarkStart w:id="1538" w:name="_Toc214283193"/>
      <w:r w:rsidR="005D1A26" w:rsidRPr="000665B0">
        <w:lastRenderedPageBreak/>
        <w:t>TERCOMS TOOL</w:t>
      </w:r>
      <w:bookmarkEnd w:id="1532"/>
      <w:bookmarkEnd w:id="1533"/>
      <w:bookmarkEnd w:id="1534"/>
      <w:bookmarkEnd w:id="1535"/>
      <w:bookmarkEnd w:id="1536"/>
      <w:bookmarkEnd w:id="1537"/>
      <w:bookmarkEnd w:id="1538"/>
      <w:r w:rsidR="005D1A26" w:rsidRPr="000665B0">
        <w:t xml:space="preserve"> </w:t>
      </w:r>
    </w:p>
    <w:p w14:paraId="7DAF4F1A" w14:textId="77777777" w:rsidR="005D1A26" w:rsidRPr="000665B0" w:rsidRDefault="005D1A26" w:rsidP="009570CA">
      <w:r w:rsidRPr="000665B0">
        <w:t>A TERCOM map is a set of terrain elevation data describing a geographic area on the earth. The expected drift of the navigation system determines the size of the area. The terrain elevation data is matched to radar returns from the TLAM by the Cruise Missile Guidance System (</w:t>
      </w:r>
      <w:r w:rsidRPr="000665B0">
        <w:rPr>
          <w:b/>
        </w:rPr>
        <w:t>CMGS</w:t>
      </w:r>
      <w:r w:rsidRPr="000665B0">
        <w:t>). The CMGS then make</w:t>
      </w:r>
      <w:r w:rsidR="00692A8E" w:rsidRPr="000665B0">
        <w:t>s</w:t>
      </w:r>
      <w:r w:rsidRPr="000665B0">
        <w:t xml:space="preserve"> route corrections as required. </w:t>
      </w:r>
    </w:p>
    <w:p w14:paraId="497A8ED5" w14:textId="77777777" w:rsidR="005D1A26" w:rsidRPr="000665B0" w:rsidRDefault="005D1A26" w:rsidP="009570CA">
      <w:r w:rsidRPr="000665B0">
        <w:t xml:space="preserve">The TERCOMs Tool displays a list of all the TERCOMs contained in the database and is referred to as the TERCOMs List View. This tool provides a single location </w:t>
      </w:r>
      <w:r w:rsidR="00692A8E" w:rsidRPr="000665B0">
        <w:t>in</w:t>
      </w:r>
      <w:r w:rsidRPr="000665B0">
        <w:t xml:space="preserve"> which the operator can display and manage the processing of TERCOM data.</w:t>
      </w:r>
    </w:p>
    <w:p w14:paraId="7DC65AEA" w14:textId="77777777" w:rsidR="005D1A26" w:rsidRPr="000665B0" w:rsidRDefault="005D1A26" w:rsidP="009570CA">
      <w:pPr>
        <w:rPr>
          <w:snapToGrid w:val="0"/>
        </w:rPr>
      </w:pPr>
      <w:r w:rsidRPr="000665B0">
        <w:rPr>
          <w:snapToGrid w:val="0"/>
        </w:rPr>
        <w:t>The TERCOMs Tool provides the capability to display entries geographically, display referenced missions, delete referenced missions, print and export the</w:t>
      </w:r>
      <w:r w:rsidR="00C85A6F" w:rsidRPr="000665B0">
        <w:rPr>
          <w:snapToGrid w:val="0"/>
        </w:rPr>
        <w:t xml:space="preserve"> TERCOM</w:t>
      </w:r>
      <w:r w:rsidR="00220266" w:rsidRPr="000665B0">
        <w:rPr>
          <w:snapToGrid w:val="0"/>
        </w:rPr>
        <w:t>s</w:t>
      </w:r>
      <w:r w:rsidRPr="000665B0">
        <w:rPr>
          <w:snapToGrid w:val="0"/>
        </w:rPr>
        <w:t xml:space="preserve"> list, and delete TERCOM</w:t>
      </w:r>
      <w:r w:rsidR="00C85A6F" w:rsidRPr="000665B0">
        <w:rPr>
          <w:snapToGrid w:val="0"/>
        </w:rPr>
        <w:t>s</w:t>
      </w:r>
      <w:r w:rsidRPr="000665B0">
        <w:rPr>
          <w:snapToGrid w:val="0"/>
        </w:rPr>
        <w:t xml:space="preserve">. When mission data is added to MDS the TERCOMs associated with the missions are added to the TERCOMs Tool. </w:t>
      </w:r>
    </w:p>
    <w:p w14:paraId="3D9AC589" w14:textId="77777777" w:rsidR="005D1A26" w:rsidRPr="000665B0" w:rsidRDefault="005D1A26" w:rsidP="009570CA">
      <w:pPr>
        <w:rPr>
          <w:snapToGrid w:val="0"/>
        </w:rPr>
      </w:pPr>
      <w:r w:rsidRPr="000665B0">
        <w:rPr>
          <w:snapToGrid w:val="0"/>
        </w:rPr>
        <w:t>The TERCOMs Tool</w:t>
      </w:r>
      <w:r w:rsidR="00692A8E" w:rsidRPr="000665B0">
        <w:rPr>
          <w:snapToGrid w:val="0"/>
        </w:rPr>
        <w:t>,</w:t>
      </w:r>
      <w:r w:rsidRPr="000665B0">
        <w:rPr>
          <w:snapToGrid w:val="0"/>
        </w:rPr>
        <w:t xml:space="preserve"> along with the Missions and DSMAC Tools, are the repositories for all mission data distributed by the system via production TCIDBs, transmitted as MDUs, or written to IDS-9 formatted files. </w:t>
      </w:r>
    </w:p>
    <w:p w14:paraId="7598DC6D" w14:textId="77777777" w:rsidR="005D1A26" w:rsidRPr="000665B0" w:rsidRDefault="005D1A26" w:rsidP="009570CA">
      <w:pPr>
        <w:rPr>
          <w:snapToGrid w:val="0"/>
        </w:rPr>
      </w:pPr>
      <w:r w:rsidRPr="000665B0">
        <w:rPr>
          <w:snapToGrid w:val="0"/>
        </w:rPr>
        <w:t xml:space="preserve">The TERCOMs List View consists of a one-line summary for each entry, sorted by ID initially. </w:t>
      </w:r>
    </w:p>
    <w:p w14:paraId="044D42A1" w14:textId="77777777" w:rsidR="005D1A26" w:rsidRPr="000665B0" w:rsidRDefault="005D1A26" w:rsidP="009570CA">
      <w:r w:rsidRPr="000665B0">
        <w:t>To display the TERCOMs List View:</w:t>
      </w:r>
    </w:p>
    <w:p w14:paraId="2301C5E0" w14:textId="19BDB107" w:rsidR="005D1A26" w:rsidRPr="000665B0" w:rsidRDefault="005D1A26" w:rsidP="009570CA">
      <w:pPr>
        <w:pStyle w:val="Number0205"/>
        <w:spacing w:after="240"/>
        <w:ind w:left="360" w:firstLine="0"/>
      </w:pPr>
      <w:r w:rsidRPr="000665B0">
        <w:t xml:space="preserve">From the </w:t>
      </w:r>
      <w:r w:rsidRPr="000665B0">
        <w:rPr>
          <w:b/>
        </w:rPr>
        <w:t>Go</w:t>
      </w:r>
      <w:r w:rsidRPr="000665B0">
        <w:t xml:space="preserve"> menu select </w:t>
      </w:r>
      <w:r w:rsidRPr="000665B0">
        <w:rPr>
          <w:b/>
          <w:bCs/>
        </w:rPr>
        <w:t>TERCOMs</w:t>
      </w:r>
      <w:r w:rsidRPr="000665B0">
        <w:t xml:space="preserve">. </w:t>
      </w:r>
      <w:r w:rsidR="00C17A6B" w:rsidRPr="000665B0">
        <w:t xml:space="preserve">(Note that the TERCOMS list view typically displays the </w:t>
      </w:r>
      <w:r w:rsidR="00C17A6B" w:rsidRPr="000665B0">
        <w:rPr>
          <w:b/>
        </w:rPr>
        <w:t>Center Latitude</w:t>
      </w:r>
      <w:r w:rsidR="00C17A6B" w:rsidRPr="000665B0">
        <w:t xml:space="preserve"> and </w:t>
      </w:r>
      <w:r w:rsidR="00C17A6B" w:rsidRPr="000665B0">
        <w:rPr>
          <w:b/>
        </w:rPr>
        <w:t>Center Longitude</w:t>
      </w:r>
      <w:r w:rsidR="00C17A6B" w:rsidRPr="000665B0">
        <w:t xml:space="preserve"> columns</w:t>
      </w:r>
      <w:r w:rsidR="00C435C1" w:rsidRPr="000665B0">
        <w:t>, but they are not displayed</w:t>
      </w:r>
      <w:r w:rsidR="00C17A6B" w:rsidRPr="000665B0">
        <w:t xml:space="preserve"> in the example below.)</w:t>
      </w:r>
    </w:p>
    <w:p w14:paraId="1610DC5F" w14:textId="6D0D2873" w:rsidR="005D1A26" w:rsidRPr="000665B0" w:rsidRDefault="00C17A6B" w:rsidP="009570CA">
      <w:pPr>
        <w:jc w:val="center"/>
      </w:pPr>
      <w:r w:rsidRPr="000665B0">
        <w:rPr>
          <w:noProof/>
        </w:rPr>
        <w:drawing>
          <wp:inline distT="0" distB="0" distL="0" distR="0" wp14:anchorId="72135D0D" wp14:editId="258E8FC6">
            <wp:extent cx="4572000" cy="2633472"/>
            <wp:effectExtent l="0" t="0" r="0" b="0"/>
            <wp:docPr id="1177"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2633472"/>
                    </a:xfrm>
                    <a:prstGeom prst="rect">
                      <a:avLst/>
                    </a:prstGeom>
                  </pic:spPr>
                </pic:pic>
              </a:graphicData>
            </a:graphic>
          </wp:inline>
        </w:drawing>
      </w:r>
    </w:p>
    <w:p w14:paraId="1FE2F29E" w14:textId="7660C7A7" w:rsidR="005D1A26" w:rsidRPr="000665B0" w:rsidRDefault="005D1A26" w:rsidP="009570CA">
      <w:pPr>
        <w:pStyle w:val="Heading3"/>
      </w:pPr>
      <w:bookmarkStart w:id="1539" w:name="_Toc71955207"/>
      <w:bookmarkStart w:id="1540" w:name="_Toc96169836"/>
      <w:bookmarkStart w:id="1541" w:name="_Toc96233881"/>
      <w:bookmarkStart w:id="1542" w:name="_Toc112733310"/>
      <w:bookmarkStart w:id="1543" w:name="_Toc289328285"/>
      <w:bookmarkStart w:id="1544" w:name="_Toc312331708"/>
      <w:bookmarkStart w:id="1545" w:name="_Toc214283194"/>
      <w:r w:rsidRPr="000665B0">
        <w:t>Display TERCOM(s) Geographically</w:t>
      </w:r>
      <w:bookmarkEnd w:id="1539"/>
      <w:bookmarkEnd w:id="1540"/>
      <w:bookmarkEnd w:id="1541"/>
      <w:bookmarkEnd w:id="1542"/>
      <w:bookmarkEnd w:id="1543"/>
      <w:bookmarkEnd w:id="1544"/>
      <w:bookmarkEnd w:id="1545"/>
    </w:p>
    <w:p w14:paraId="60826386" w14:textId="77777777" w:rsidR="005D1A26" w:rsidRPr="000665B0" w:rsidRDefault="00692A8E" w:rsidP="009570CA">
      <w:pPr>
        <w:rPr>
          <w:snapToGrid w:val="0"/>
        </w:rPr>
      </w:pPr>
      <w:r w:rsidRPr="000665B0">
        <w:rPr>
          <w:snapToGrid w:val="0"/>
        </w:rPr>
        <w:t>This i</w:t>
      </w:r>
      <w:r w:rsidR="005D1A26" w:rsidRPr="000665B0">
        <w:rPr>
          <w:snapToGrid w:val="0"/>
        </w:rPr>
        <w:t xml:space="preserve">nvokes the default Geographic Tool and displays the TERCOM(s) on the map. </w:t>
      </w:r>
    </w:p>
    <w:p w14:paraId="0530FA81" w14:textId="283CA6C1" w:rsidR="005D1A26" w:rsidRPr="000665B0" w:rsidRDefault="005D1A26" w:rsidP="009570CA">
      <w:pPr>
        <w:spacing w:after="0"/>
      </w:pPr>
      <w:r w:rsidRPr="000665B0">
        <w:t xml:space="preserve">To display the TERCOM(s) geographically see </w:t>
      </w:r>
      <w:hyperlink w:anchor="_5.2.1.2.2__Display_1" w:history="1">
        <w:r w:rsidRPr="000665B0">
          <w:rPr>
            <w:rStyle w:val="Hyperlink"/>
          </w:rPr>
          <w:t>Section 5.2.1.2.2</w:t>
        </w:r>
      </w:hyperlink>
      <w:r w:rsidRPr="000665B0">
        <w:t>.</w:t>
      </w:r>
    </w:p>
    <w:p w14:paraId="4306CCC7" w14:textId="76248620" w:rsidR="005D1A26" w:rsidRPr="000665B0" w:rsidRDefault="005D1A26" w:rsidP="009570CA">
      <w:pPr>
        <w:pStyle w:val="Heading3"/>
      </w:pPr>
      <w:bookmarkStart w:id="1546" w:name="_Toc71955208"/>
      <w:bookmarkStart w:id="1547" w:name="_Toc96169837"/>
      <w:bookmarkStart w:id="1548" w:name="_Toc96233882"/>
      <w:bookmarkStart w:id="1549" w:name="_Toc112733311"/>
      <w:bookmarkStart w:id="1550" w:name="_Toc289328286"/>
      <w:bookmarkStart w:id="1551" w:name="_Toc312331709"/>
      <w:bookmarkStart w:id="1552" w:name="_Toc214283195"/>
      <w:r w:rsidRPr="000665B0">
        <w:lastRenderedPageBreak/>
        <w:t>Delete TERCOM(s)</w:t>
      </w:r>
      <w:bookmarkEnd w:id="1546"/>
      <w:bookmarkEnd w:id="1547"/>
      <w:bookmarkEnd w:id="1548"/>
      <w:bookmarkEnd w:id="1549"/>
      <w:bookmarkEnd w:id="1550"/>
      <w:bookmarkEnd w:id="1551"/>
      <w:bookmarkEnd w:id="1552"/>
      <w:r w:rsidRPr="000665B0">
        <w:t xml:space="preserve"> </w:t>
      </w:r>
    </w:p>
    <w:p w14:paraId="76EAC4AF" w14:textId="77777777" w:rsidR="005D1A26" w:rsidRPr="000665B0" w:rsidRDefault="005D1A26" w:rsidP="009570CA">
      <w:pPr>
        <w:rPr>
          <w:snapToGrid w:val="0"/>
        </w:rPr>
      </w:pPr>
      <w:r w:rsidRPr="000665B0">
        <w:rPr>
          <w:snapToGrid w:val="0"/>
        </w:rPr>
        <w:t xml:space="preserve">When TERCOMs in the List View are no longer needed, they can be deleted from the list. TERCOMs that are referenced elsewhere in the system can be deleted only after the referenced item is deleted. </w:t>
      </w:r>
    </w:p>
    <w:p w14:paraId="278857F9" w14:textId="607E3AB7" w:rsidR="005D1A26" w:rsidRPr="000665B0" w:rsidRDefault="005D1A26" w:rsidP="009570CA">
      <w:pPr>
        <w:spacing w:after="0"/>
      </w:pPr>
      <w:r w:rsidRPr="000665B0">
        <w:t xml:space="preserve">To delete </w:t>
      </w:r>
      <w:r w:rsidRPr="000665B0">
        <w:rPr>
          <w:snapToGrid w:val="0"/>
        </w:rPr>
        <w:t>TERCOMs</w:t>
      </w:r>
      <w:r w:rsidRPr="000665B0">
        <w:t xml:space="preserve"> from the List View see </w:t>
      </w:r>
      <w:hyperlink w:anchor="_5.2.1.6__Delete" w:history="1">
        <w:r w:rsidR="00B9720D" w:rsidRPr="000665B0">
          <w:rPr>
            <w:rStyle w:val="Hyperlink"/>
          </w:rPr>
          <w:t>Section 5.2.1.6</w:t>
        </w:r>
      </w:hyperlink>
      <w:r w:rsidRPr="000665B0">
        <w:t>.</w:t>
      </w:r>
    </w:p>
    <w:p w14:paraId="34A3C29A" w14:textId="122711B6" w:rsidR="005D1A26" w:rsidRPr="000665B0" w:rsidRDefault="005D1A26" w:rsidP="009570CA">
      <w:pPr>
        <w:pStyle w:val="Heading3"/>
      </w:pPr>
      <w:bookmarkStart w:id="1553" w:name="_Toc96169838"/>
      <w:bookmarkStart w:id="1554" w:name="_Toc96233883"/>
      <w:bookmarkStart w:id="1555" w:name="_Toc112733312"/>
      <w:bookmarkStart w:id="1556" w:name="_Toc289328287"/>
      <w:bookmarkStart w:id="1557" w:name="_Toc312331710"/>
      <w:bookmarkStart w:id="1558" w:name="_Toc214283196"/>
      <w:bookmarkStart w:id="1559" w:name="_Toc71955209"/>
      <w:r w:rsidRPr="000665B0">
        <w:t>Send TERCOM(s)</w:t>
      </w:r>
      <w:bookmarkEnd w:id="1553"/>
      <w:bookmarkEnd w:id="1554"/>
      <w:bookmarkEnd w:id="1555"/>
      <w:bookmarkEnd w:id="1556"/>
      <w:bookmarkEnd w:id="1557"/>
      <w:bookmarkEnd w:id="1558"/>
    </w:p>
    <w:p w14:paraId="096D4AF1" w14:textId="2D2E91E9" w:rsidR="005D1A26" w:rsidRPr="000665B0" w:rsidRDefault="005D1A26" w:rsidP="009570CA">
      <w:pPr>
        <w:rPr>
          <w:snapToGrid w:val="0"/>
        </w:rPr>
      </w:pPr>
      <w:r w:rsidRPr="000665B0">
        <w:rPr>
          <w:snapToGrid w:val="0"/>
        </w:rPr>
        <w:t xml:space="preserve">The </w:t>
      </w:r>
      <w:r w:rsidRPr="000665B0">
        <w:rPr>
          <w:b/>
          <w:snapToGrid w:val="0"/>
        </w:rPr>
        <w:t>Send</w:t>
      </w:r>
      <w:r w:rsidRPr="000665B0">
        <w:rPr>
          <w:snapToGrid w:val="0"/>
        </w:rPr>
        <w:t xml:space="preserve"> option adds the selected TERCOM to a DDO template for further distribution. For more details on DDO Templates </w:t>
      </w:r>
      <w:r w:rsidR="00496CD8" w:rsidRPr="000665B0">
        <w:rPr>
          <w:snapToGrid w:val="0"/>
        </w:rPr>
        <w:t>s</w:t>
      </w:r>
      <w:r w:rsidRPr="000665B0">
        <w:rPr>
          <w:snapToGrid w:val="0"/>
        </w:rPr>
        <w:t xml:space="preserve">ee </w:t>
      </w:r>
      <w:hyperlink w:anchor="_5.20__DDO_TEMPLATES_TOOL" w:history="1">
        <w:r w:rsidR="00DE0842" w:rsidRPr="000665B0">
          <w:rPr>
            <w:rStyle w:val="Hyperlink"/>
            <w:snapToGrid w:val="0"/>
          </w:rPr>
          <w:t xml:space="preserve">Section </w:t>
        </w:r>
        <w:r w:rsidR="004231CC">
          <w:rPr>
            <w:rStyle w:val="Hyperlink"/>
            <w:snapToGrid w:val="0"/>
          </w:rPr>
          <w:t>5.16</w:t>
        </w:r>
      </w:hyperlink>
      <w:r w:rsidRPr="000665B0">
        <w:rPr>
          <w:snapToGrid w:val="0"/>
        </w:rPr>
        <w:t xml:space="preserve">. </w:t>
      </w:r>
    </w:p>
    <w:p w14:paraId="40E0AD7B" w14:textId="7FDF2671" w:rsidR="005D1A26" w:rsidRPr="000665B0" w:rsidRDefault="005D1A26" w:rsidP="009570CA">
      <w:pPr>
        <w:pStyle w:val="Heading3"/>
      </w:pPr>
      <w:bookmarkStart w:id="1560" w:name="_Toc96169839"/>
      <w:bookmarkStart w:id="1561" w:name="_Toc96233884"/>
      <w:bookmarkStart w:id="1562" w:name="_Toc112733313"/>
      <w:bookmarkStart w:id="1563" w:name="_Toc289328288"/>
      <w:bookmarkStart w:id="1564" w:name="_Toc312331711"/>
      <w:bookmarkStart w:id="1565" w:name="_Toc214283197"/>
      <w:r w:rsidRPr="000665B0">
        <w:t>Display References</w:t>
      </w:r>
      <w:bookmarkEnd w:id="1559"/>
      <w:bookmarkEnd w:id="1560"/>
      <w:bookmarkEnd w:id="1561"/>
      <w:bookmarkEnd w:id="1562"/>
      <w:bookmarkEnd w:id="1563"/>
      <w:bookmarkEnd w:id="1564"/>
      <w:bookmarkEnd w:id="1565"/>
    </w:p>
    <w:p w14:paraId="066C2ECA" w14:textId="1A73C7A3" w:rsidR="005D1A26" w:rsidRPr="000665B0" w:rsidRDefault="00F02F03" w:rsidP="009570CA">
      <w:pPr>
        <w:spacing w:after="0"/>
      </w:pPr>
      <w:r w:rsidRPr="000665B0">
        <w:t>See</w:t>
      </w:r>
      <w:r w:rsidR="005D1A26" w:rsidRPr="000665B0">
        <w:t xml:space="preserve"> </w:t>
      </w:r>
      <w:hyperlink w:anchor="_5.2.1.2.3__Display_1" w:history="1">
        <w:r w:rsidR="005D1A26" w:rsidRPr="000665B0">
          <w:rPr>
            <w:rStyle w:val="Hyperlink"/>
          </w:rPr>
          <w:t>Section 5.2.1.2.3</w:t>
        </w:r>
      </w:hyperlink>
      <w:r w:rsidR="005D1A26" w:rsidRPr="000665B0">
        <w:t>.</w:t>
      </w:r>
    </w:p>
    <w:p w14:paraId="7F4BAC75" w14:textId="785C3713" w:rsidR="005D1A26" w:rsidRPr="000665B0" w:rsidRDefault="005D1A26" w:rsidP="009570CA">
      <w:pPr>
        <w:pStyle w:val="Heading3"/>
      </w:pPr>
      <w:bookmarkStart w:id="1566" w:name="_Toc71955211"/>
      <w:bookmarkStart w:id="1567" w:name="_Toc96169840"/>
      <w:bookmarkStart w:id="1568" w:name="_Toc96233885"/>
      <w:bookmarkStart w:id="1569" w:name="_Toc112733314"/>
      <w:bookmarkStart w:id="1570" w:name="_Toc289328289"/>
      <w:bookmarkStart w:id="1571" w:name="_Toc312331712"/>
      <w:bookmarkStart w:id="1572" w:name="_Toc214283198"/>
      <w:r w:rsidRPr="000665B0">
        <w:t>Find</w:t>
      </w:r>
      <w:bookmarkEnd w:id="1566"/>
      <w:bookmarkEnd w:id="1567"/>
      <w:bookmarkEnd w:id="1568"/>
      <w:bookmarkEnd w:id="1569"/>
      <w:bookmarkEnd w:id="1570"/>
      <w:bookmarkEnd w:id="1571"/>
      <w:bookmarkEnd w:id="1572"/>
    </w:p>
    <w:p w14:paraId="152403BC" w14:textId="354413CC" w:rsidR="005D1A26" w:rsidRPr="000665B0" w:rsidRDefault="00F02F03" w:rsidP="009570CA">
      <w:pPr>
        <w:spacing w:after="0"/>
      </w:pPr>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73B0743F" w14:textId="77777777" w:rsidR="000C7953" w:rsidRPr="000665B0" w:rsidRDefault="000C7953" w:rsidP="009570CA">
      <w:pPr>
        <w:pStyle w:val="Heading3"/>
      </w:pPr>
      <w:bookmarkStart w:id="1573" w:name="_Toc214283199"/>
      <w:r w:rsidRPr="000665B0">
        <w:t>Plugin Tool</w:t>
      </w:r>
      <w:bookmarkEnd w:id="1573"/>
    </w:p>
    <w:p w14:paraId="49F0E89F" w14:textId="2BFFD536" w:rsidR="000C7953" w:rsidRPr="000665B0" w:rsidRDefault="00F02F03" w:rsidP="009570CA">
      <w:pPr>
        <w:spacing w:after="0"/>
      </w:pPr>
      <w:r w:rsidRPr="000665B0">
        <w:t>See</w:t>
      </w:r>
      <w:r w:rsidR="000C7953" w:rsidRPr="000665B0">
        <w:t xml:space="preserve"> </w:t>
      </w:r>
      <w:hyperlink w:anchor="_Plugin__Tool" w:history="1">
        <w:r w:rsidR="000C7953" w:rsidRPr="000665B0">
          <w:rPr>
            <w:rStyle w:val="Hyperlink"/>
          </w:rPr>
          <w:t>Section 5.2.5.2</w:t>
        </w:r>
      </w:hyperlink>
      <w:r w:rsidR="000C7953" w:rsidRPr="000665B0">
        <w:t>.</w:t>
      </w:r>
    </w:p>
    <w:p w14:paraId="21B00742" w14:textId="07E9D539" w:rsidR="005D1A26" w:rsidRPr="000665B0" w:rsidDel="00D1705B" w:rsidRDefault="005D1A26" w:rsidP="009570CA">
      <w:pPr>
        <w:pStyle w:val="Heading3"/>
      </w:pPr>
      <w:bookmarkStart w:id="1574" w:name="_Toc96169841"/>
      <w:bookmarkStart w:id="1575" w:name="_Toc96233886"/>
      <w:bookmarkStart w:id="1576" w:name="_Toc112733315"/>
      <w:bookmarkStart w:id="1577" w:name="_Toc289328290"/>
      <w:bookmarkStart w:id="1578" w:name="_Toc312331713"/>
      <w:bookmarkStart w:id="1579" w:name="_Toc214283200"/>
      <w:bookmarkStart w:id="1580" w:name="_Toc71955212"/>
      <w:r w:rsidRPr="000665B0" w:rsidDel="00D1705B">
        <w:t>Properties</w:t>
      </w:r>
      <w:bookmarkEnd w:id="1574"/>
      <w:bookmarkEnd w:id="1575"/>
      <w:bookmarkEnd w:id="1576"/>
      <w:bookmarkEnd w:id="1577"/>
      <w:bookmarkEnd w:id="1578"/>
      <w:bookmarkEnd w:id="1579"/>
    </w:p>
    <w:p w14:paraId="79133F26" w14:textId="62B0BA6B" w:rsidR="005D1A26" w:rsidRPr="000665B0" w:rsidDel="00D1705B" w:rsidRDefault="00F02F03" w:rsidP="009570CA">
      <w:pPr>
        <w:spacing w:after="0"/>
      </w:pPr>
      <w:r w:rsidRPr="000665B0" w:rsidDel="00D1705B">
        <w:t>See</w:t>
      </w:r>
      <w:r w:rsidR="005D1A26" w:rsidRPr="000665B0" w:rsidDel="00D1705B">
        <w:t xml:space="preserve"> </w:t>
      </w:r>
      <w:hyperlink w:anchor="_5.2.3.4__Properties" w:history="1">
        <w:r w:rsidR="00A75813" w:rsidRPr="000665B0" w:rsidDel="00D1705B">
          <w:rPr>
            <w:rStyle w:val="Hyperlink"/>
          </w:rPr>
          <w:t>Section 5.2.3.5</w:t>
        </w:r>
      </w:hyperlink>
      <w:r w:rsidR="005D1A26" w:rsidRPr="000665B0" w:rsidDel="00D1705B">
        <w:t>.</w:t>
      </w:r>
    </w:p>
    <w:p w14:paraId="726A7C47" w14:textId="4B2B48A1" w:rsidR="005D1A26" w:rsidRPr="000665B0" w:rsidRDefault="005D1A26" w:rsidP="009570CA">
      <w:pPr>
        <w:pStyle w:val="Heading3"/>
      </w:pPr>
      <w:bookmarkStart w:id="1581" w:name="_Toc96169842"/>
      <w:bookmarkStart w:id="1582" w:name="_Toc96233887"/>
      <w:bookmarkStart w:id="1583" w:name="_Toc112733316"/>
      <w:bookmarkStart w:id="1584" w:name="_Toc289328291"/>
      <w:bookmarkStart w:id="1585" w:name="_Toc312331714"/>
      <w:bookmarkStart w:id="1586" w:name="_Toc214283201"/>
      <w:r w:rsidRPr="000665B0">
        <w:t>Sort</w:t>
      </w:r>
      <w:bookmarkEnd w:id="1581"/>
      <w:bookmarkEnd w:id="1582"/>
      <w:bookmarkEnd w:id="1583"/>
      <w:bookmarkEnd w:id="1584"/>
      <w:bookmarkEnd w:id="1585"/>
      <w:bookmarkEnd w:id="1586"/>
      <w:r w:rsidRPr="000665B0">
        <w:t xml:space="preserve"> </w:t>
      </w:r>
    </w:p>
    <w:p w14:paraId="7A2EAA26" w14:textId="7CF25D02" w:rsidR="005D1A26" w:rsidRPr="000665B0" w:rsidRDefault="00F02F03" w:rsidP="009570CA">
      <w:pPr>
        <w:spacing w:after="0"/>
      </w:pPr>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6B426578" w14:textId="568E240D" w:rsidR="005D1A26" w:rsidRPr="000665B0" w:rsidRDefault="005D1A26" w:rsidP="009570CA">
      <w:pPr>
        <w:pStyle w:val="Heading3"/>
      </w:pPr>
      <w:bookmarkStart w:id="1587" w:name="_Toc96169843"/>
      <w:bookmarkStart w:id="1588" w:name="_Toc96233888"/>
      <w:bookmarkStart w:id="1589" w:name="_Toc112733317"/>
      <w:bookmarkStart w:id="1590" w:name="_Toc289328292"/>
      <w:bookmarkStart w:id="1591" w:name="_Toc312331715"/>
      <w:bookmarkStart w:id="1592" w:name="_Toc214283202"/>
      <w:r w:rsidRPr="000665B0">
        <w:t xml:space="preserve">Print </w:t>
      </w:r>
      <w:bookmarkEnd w:id="1580"/>
      <w:bookmarkEnd w:id="1587"/>
      <w:bookmarkEnd w:id="1588"/>
      <w:bookmarkEnd w:id="1589"/>
      <w:r w:rsidR="009C637B" w:rsidRPr="000665B0">
        <w:t>All</w:t>
      </w:r>
      <w:bookmarkEnd w:id="1590"/>
      <w:bookmarkEnd w:id="1591"/>
      <w:bookmarkEnd w:id="1592"/>
    </w:p>
    <w:p w14:paraId="6D3B9B8F" w14:textId="50EE437D" w:rsidR="005D1A26" w:rsidRPr="000665B0" w:rsidRDefault="00F02F03" w:rsidP="009570CA">
      <w:pPr>
        <w:spacing w:after="0"/>
      </w:pPr>
      <w:r w:rsidRPr="000665B0">
        <w:t>See</w:t>
      </w:r>
      <w:r w:rsidR="005D1A26" w:rsidRPr="000665B0">
        <w:t xml:space="preserve"> </w:t>
      </w:r>
      <w:hyperlink w:anchor="_5.2.1.5__Print" w:history="1">
        <w:r w:rsidR="005D1A26" w:rsidRPr="000665B0">
          <w:rPr>
            <w:rStyle w:val="Hyperlink"/>
          </w:rPr>
          <w:t xml:space="preserve">Section </w:t>
        </w:r>
        <w:r w:rsidR="00743590" w:rsidRPr="000665B0">
          <w:rPr>
            <w:rStyle w:val="Hyperlink"/>
          </w:rPr>
          <w:t>5.2.1.</w:t>
        </w:r>
        <w:r w:rsidR="00B9720D" w:rsidRPr="000665B0">
          <w:rPr>
            <w:rStyle w:val="Hyperlink"/>
          </w:rPr>
          <w:t>5</w:t>
        </w:r>
      </w:hyperlink>
      <w:r w:rsidR="005D1A26" w:rsidRPr="000665B0">
        <w:t>.</w:t>
      </w:r>
    </w:p>
    <w:p w14:paraId="22CBBD9A" w14:textId="48BA8B5D" w:rsidR="005D1A26" w:rsidRPr="000665B0" w:rsidRDefault="005D1A26" w:rsidP="009570CA">
      <w:pPr>
        <w:pStyle w:val="Heading3"/>
      </w:pPr>
      <w:bookmarkStart w:id="1593" w:name="_Toc71955213"/>
      <w:bookmarkStart w:id="1594" w:name="_Toc96169844"/>
      <w:bookmarkStart w:id="1595" w:name="_Toc96233889"/>
      <w:bookmarkStart w:id="1596" w:name="_Toc112733318"/>
      <w:bookmarkStart w:id="1597" w:name="_Toc289328293"/>
      <w:bookmarkStart w:id="1598" w:name="_Toc312331716"/>
      <w:bookmarkStart w:id="1599" w:name="_Toc214283203"/>
      <w:r w:rsidRPr="000665B0">
        <w:t xml:space="preserve">Display </w:t>
      </w:r>
      <w:r w:rsidR="009C637B" w:rsidRPr="000665B0">
        <w:t xml:space="preserve">All </w:t>
      </w:r>
      <w:r w:rsidRPr="000665B0">
        <w:t>in Excel</w:t>
      </w:r>
      <w:bookmarkEnd w:id="1593"/>
      <w:bookmarkEnd w:id="1594"/>
      <w:bookmarkEnd w:id="1595"/>
      <w:bookmarkEnd w:id="1596"/>
      <w:bookmarkEnd w:id="1597"/>
      <w:bookmarkEnd w:id="1598"/>
      <w:bookmarkEnd w:id="1599"/>
    </w:p>
    <w:p w14:paraId="7D359223" w14:textId="150926FE" w:rsidR="005D1A26" w:rsidRPr="000665B0" w:rsidRDefault="00F02F03" w:rsidP="009570CA">
      <w:pPr>
        <w:spacing w:after="0"/>
      </w:pPr>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0B3436B7" w14:textId="459AD0D6" w:rsidR="005D1A26" w:rsidRPr="000665B0" w:rsidRDefault="005D1A26" w:rsidP="009570CA">
      <w:pPr>
        <w:pStyle w:val="Heading3"/>
      </w:pPr>
      <w:bookmarkStart w:id="1600" w:name="_Toc71955214"/>
      <w:bookmarkStart w:id="1601" w:name="_Toc96169845"/>
      <w:bookmarkStart w:id="1602" w:name="_Toc96233890"/>
      <w:bookmarkStart w:id="1603" w:name="_Toc112733319"/>
      <w:bookmarkStart w:id="1604" w:name="_Toc289328294"/>
      <w:bookmarkStart w:id="1605" w:name="_Toc312331717"/>
      <w:bookmarkStart w:id="1606" w:name="_Toc214283204"/>
      <w:r w:rsidRPr="000665B0">
        <w:t>Select All</w:t>
      </w:r>
      <w:bookmarkEnd w:id="1600"/>
      <w:bookmarkEnd w:id="1601"/>
      <w:bookmarkEnd w:id="1602"/>
      <w:bookmarkEnd w:id="1603"/>
      <w:bookmarkEnd w:id="1604"/>
      <w:bookmarkEnd w:id="1605"/>
      <w:bookmarkEnd w:id="1606"/>
    </w:p>
    <w:p w14:paraId="0F8AAB33" w14:textId="28D9D59C" w:rsidR="003604C5" w:rsidRDefault="00F02F03" w:rsidP="003604C5">
      <w:pPr>
        <w:spacing w:after="0"/>
      </w:pPr>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1F93B4A2" w14:textId="205058E4" w:rsidR="00911F43" w:rsidRPr="000665B0" w:rsidRDefault="00911F43" w:rsidP="00767607">
      <w:pPr>
        <w:pStyle w:val="Heading2"/>
        <w:pageBreakBefore/>
      </w:pPr>
      <w:bookmarkStart w:id="1607" w:name="_Toc71955216"/>
      <w:bookmarkStart w:id="1608" w:name="_Toc96169846"/>
      <w:bookmarkStart w:id="1609" w:name="_Toc96233891"/>
      <w:bookmarkStart w:id="1610" w:name="_Toc112733320"/>
      <w:bookmarkStart w:id="1611" w:name="_Toc159315075"/>
      <w:bookmarkStart w:id="1612" w:name="_Toc214283205"/>
      <w:r w:rsidRPr="000665B0">
        <w:lastRenderedPageBreak/>
        <w:t>TUMS TOOL</w:t>
      </w:r>
      <w:bookmarkEnd w:id="1607"/>
      <w:bookmarkEnd w:id="1608"/>
      <w:bookmarkEnd w:id="1609"/>
      <w:bookmarkEnd w:id="1610"/>
      <w:bookmarkEnd w:id="1611"/>
      <w:bookmarkEnd w:id="1612"/>
    </w:p>
    <w:p w14:paraId="00855C15" w14:textId="77777777" w:rsidR="00911F43" w:rsidRPr="000665B0" w:rsidRDefault="00911F43" w:rsidP="009570CA">
      <w:r w:rsidRPr="000665B0">
        <w:t xml:space="preserve">The TUMs Tool displays a list of all the TUMs in the database and is referred to as the TUMs List View. This tool provides a single location in which the operator can display and manage the generation, storage, and distribution of the TUM data. </w:t>
      </w:r>
    </w:p>
    <w:p w14:paraId="172A5212" w14:textId="77777777" w:rsidR="00911F43" w:rsidRPr="000665B0" w:rsidRDefault="00911F43" w:rsidP="009570CA">
      <w:r w:rsidRPr="000665B0">
        <w:t xml:space="preserve">Planning sites (CMSA and </w:t>
      </w:r>
      <w:r w:rsidR="004F6AE2" w:rsidRPr="000665B0">
        <w:t>TSMPC</w:t>
      </w:r>
      <w:r w:rsidRPr="000665B0">
        <w:t>) should be the only locations that will utilize the TUMs Tool for the purpose of TUM generation. Other sites use this tool when they are the recipients of TUMs. When the planning site generates a new mission</w:t>
      </w:r>
      <w:r w:rsidR="008F7991" w:rsidRPr="000665B0">
        <w:t>,</w:t>
      </w:r>
      <w:r w:rsidRPr="000665B0">
        <w:t xml:space="preserve"> the mission data is distributed to the FRUs and </w:t>
      </w:r>
      <w:r w:rsidR="00D56649" w:rsidRPr="000665B0">
        <w:t xml:space="preserve">Standalone MDS </w:t>
      </w:r>
      <w:r w:rsidRPr="000665B0">
        <w:t>Nodes via the MDU process. The TUMs Tool is used to generate the TCI Update Message (US Navy message format) that provides data for new missions to be added, missions to be deactivated, or missions to be reactivated. Sites with Electronic Tomahawk Employment Planning Package (</w:t>
      </w:r>
      <w:r w:rsidRPr="000665B0">
        <w:rPr>
          <w:b/>
          <w:bCs/>
        </w:rPr>
        <w:t>ETEPP</w:t>
      </w:r>
      <w:r w:rsidRPr="000665B0">
        <w:t>)/Replacement ETEPP (</w:t>
      </w:r>
      <w:r w:rsidRPr="000665B0">
        <w:rPr>
          <w:b/>
          <w:bCs/>
        </w:rPr>
        <w:t>RETEPP</w:t>
      </w:r>
      <w:r w:rsidRPr="000665B0">
        <w:t>) will use the TUMs to update their databases. MDS sites are also able to process received TUMs.</w:t>
      </w:r>
    </w:p>
    <w:p w14:paraId="4D9B381C" w14:textId="77777777" w:rsidR="00911F43" w:rsidRPr="000665B0" w:rsidRDefault="00911F43" w:rsidP="009570CA">
      <w:r w:rsidRPr="000665B0">
        <w:t>To display the TUMs List View:</w:t>
      </w:r>
    </w:p>
    <w:p w14:paraId="56C458A8" w14:textId="77777777" w:rsidR="00911F43" w:rsidRPr="000665B0" w:rsidRDefault="00911F43" w:rsidP="009570CA">
      <w:pPr>
        <w:pStyle w:val="Number0205"/>
        <w:spacing w:after="240"/>
        <w:ind w:left="360" w:firstLine="0"/>
      </w:pPr>
      <w:r w:rsidRPr="000665B0">
        <w:t xml:space="preserve">From the </w:t>
      </w:r>
      <w:r w:rsidRPr="000665B0">
        <w:rPr>
          <w:b/>
        </w:rPr>
        <w:t>Go</w:t>
      </w:r>
      <w:r w:rsidRPr="000665B0">
        <w:t xml:space="preserve"> menu select </w:t>
      </w:r>
      <w:r w:rsidRPr="000665B0">
        <w:rPr>
          <w:b/>
          <w:bCs/>
        </w:rPr>
        <w:t>TUMs</w:t>
      </w:r>
      <w:r w:rsidRPr="000665B0">
        <w:t>.</w:t>
      </w:r>
    </w:p>
    <w:p w14:paraId="458A1C51" w14:textId="0494EE4A" w:rsidR="00911F43" w:rsidRPr="000665B0" w:rsidRDefault="000B6498" w:rsidP="009570CA">
      <w:pPr>
        <w:spacing w:after="240"/>
        <w:jc w:val="center"/>
        <w:rPr>
          <w:rFonts w:ascii="Arial" w:hAnsi="Arial"/>
        </w:rPr>
      </w:pPr>
      <w:r w:rsidRPr="000665B0">
        <w:rPr>
          <w:noProof/>
        </w:rPr>
        <w:drawing>
          <wp:inline distT="0" distB="0" distL="0" distR="0" wp14:anchorId="79F51800" wp14:editId="3E8500AE">
            <wp:extent cx="4572000" cy="2404872"/>
            <wp:effectExtent l="0" t="0" r="0" b="0"/>
            <wp:docPr id="1932" name="Picture 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2404872"/>
                    </a:xfrm>
                    <a:prstGeom prst="rect">
                      <a:avLst/>
                    </a:prstGeom>
                  </pic:spPr>
                </pic:pic>
              </a:graphicData>
            </a:graphic>
          </wp:inline>
        </w:drawing>
      </w:r>
    </w:p>
    <w:p w14:paraId="5E6D2FDB" w14:textId="2973E382" w:rsidR="00911F43" w:rsidRPr="000665B0" w:rsidRDefault="00911F43" w:rsidP="009570CA">
      <w:pPr>
        <w:pStyle w:val="Heading3"/>
      </w:pPr>
      <w:bookmarkStart w:id="1613" w:name="_Toc71955217"/>
      <w:bookmarkStart w:id="1614" w:name="_Toc96169847"/>
      <w:bookmarkStart w:id="1615" w:name="_Toc96233892"/>
      <w:bookmarkStart w:id="1616" w:name="_Toc112733321"/>
      <w:bookmarkStart w:id="1617" w:name="_Toc159315076"/>
      <w:bookmarkStart w:id="1618" w:name="_Toc214283206"/>
      <w:r w:rsidRPr="000665B0">
        <w:t>Create a New TUM</w:t>
      </w:r>
      <w:bookmarkEnd w:id="1613"/>
      <w:bookmarkEnd w:id="1614"/>
      <w:bookmarkEnd w:id="1615"/>
      <w:bookmarkEnd w:id="1616"/>
      <w:bookmarkEnd w:id="1617"/>
      <w:bookmarkEnd w:id="1618"/>
    </w:p>
    <w:p w14:paraId="1DD1DBFF" w14:textId="77777777" w:rsidR="00911F43" w:rsidRPr="000665B0" w:rsidRDefault="00911F43" w:rsidP="009570CA">
      <w:r w:rsidRPr="000665B0">
        <w:t xml:space="preserve">The default is to generate a </w:t>
      </w:r>
      <w:r w:rsidRPr="000665B0">
        <w:rPr>
          <w:i/>
        </w:rPr>
        <w:t>Tactical</w:t>
      </w:r>
      <w:r w:rsidRPr="000665B0">
        <w:t xml:space="preserve"> TUM, but there is an option to generate an </w:t>
      </w:r>
      <w:r w:rsidRPr="000665B0">
        <w:rPr>
          <w:i/>
        </w:rPr>
        <w:t>Exercise</w:t>
      </w:r>
      <w:r w:rsidRPr="000665B0">
        <w:t xml:space="preserve"> TUM. TUM IDs are temporarily generated by the system based on the Launcher type of the missions contained in the TUM, and sequence numbers are maintained and incremented by the system.</w:t>
      </w:r>
      <w:r w:rsidR="005E6AF9" w:rsidRPr="000665B0">
        <w:t xml:space="preserve"> The TUM ID sequence number may also be reset by the user.</w:t>
      </w:r>
      <w:r w:rsidRPr="000665B0">
        <w:t xml:space="preserve"> The status of the TUM is initially set to Development. </w:t>
      </w:r>
    </w:p>
    <w:p w14:paraId="16F18DA5" w14:textId="77777777" w:rsidR="00911F43" w:rsidRPr="000665B0" w:rsidRDefault="00911F43" w:rsidP="009570CA">
      <w:r w:rsidRPr="000665B0">
        <w:t xml:space="preserve">The final TUM product is used to generate the body of the TUM for transmission. </w:t>
      </w:r>
    </w:p>
    <w:p w14:paraId="4BD3BBC5" w14:textId="77777777" w:rsidR="00911F43" w:rsidRPr="000665B0" w:rsidRDefault="00911F43" w:rsidP="009570CA">
      <w:pPr>
        <w:keepNext/>
      </w:pPr>
      <w:r w:rsidRPr="000665B0">
        <w:t>To create a new TUM mission:</w:t>
      </w:r>
    </w:p>
    <w:p w14:paraId="14D763B0" w14:textId="77777777" w:rsidR="00911F43" w:rsidRPr="000665B0" w:rsidRDefault="00911F43" w:rsidP="006D5A65">
      <w:pPr>
        <w:pStyle w:val="Heading1"/>
      </w:pPr>
      <w:r w:rsidRPr="000665B0">
        <w:t xml:space="preserve">Navigate to the </w:t>
      </w:r>
      <w:r w:rsidRPr="000665B0">
        <w:rPr>
          <w:bCs/>
        </w:rPr>
        <w:t>TUMs</w:t>
      </w:r>
      <w:r w:rsidRPr="000665B0">
        <w:t xml:space="preserve"> Tool.</w:t>
      </w:r>
    </w:p>
    <w:p w14:paraId="261818BA" w14:textId="355D414B" w:rsidR="00911F43" w:rsidRPr="000665B0" w:rsidRDefault="00911F43" w:rsidP="006D5A65">
      <w:pPr>
        <w:pStyle w:val="Heading1"/>
      </w:pPr>
      <w:r w:rsidRPr="000665B0">
        <w:t xml:space="preserve">From the </w:t>
      </w:r>
      <w:r w:rsidRPr="000665B0">
        <w:rPr>
          <w:bCs/>
        </w:rPr>
        <w:t>File</w:t>
      </w:r>
      <w:r w:rsidRPr="000665B0">
        <w:t xml:space="preserve"> menu select </w:t>
      </w:r>
      <w:r w:rsidRPr="000665B0">
        <w:rPr>
          <w:bCs/>
        </w:rPr>
        <w:t>New</w:t>
      </w:r>
      <w:r w:rsidR="007A75CC" w:rsidRPr="000665B0">
        <w:rPr>
          <w:bCs/>
        </w:rPr>
        <w:t>,</w:t>
      </w:r>
      <w:r w:rsidRPr="000665B0">
        <w:t xml:space="preserve"> click the </w:t>
      </w:r>
      <w:r w:rsidRPr="000665B0">
        <w:rPr>
          <w:bCs/>
        </w:rPr>
        <w:t xml:space="preserve">New </w:t>
      </w:r>
      <w:r w:rsidRPr="000665B0">
        <w:rPr>
          <w:noProof/>
        </w:rPr>
        <w:drawing>
          <wp:inline distT="0" distB="0" distL="0" distR="0" wp14:anchorId="2C5CD915" wp14:editId="344E1075">
            <wp:extent cx="152400" cy="152400"/>
            <wp:effectExtent l="0" t="0" r="0" b="0"/>
            <wp:docPr id="139" name="Picture 139" descr="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w:t>
      </w:r>
      <w:r w:rsidRPr="000665B0">
        <w:rPr>
          <w:bCs/>
        </w:rPr>
        <w:t>Tool Bar</w:t>
      </w:r>
      <w:r w:rsidR="007A75CC" w:rsidRPr="000665B0">
        <w:t xml:space="preserve">, or </w:t>
      </w:r>
      <w:r w:rsidR="007A75CC" w:rsidRPr="000665B0">
        <w:rPr>
          <w:noProof/>
        </w:rPr>
        <w:t>invoke the context menu (right-click the mouse) and select New…</w:t>
      </w:r>
      <w:r w:rsidRPr="000665B0">
        <w:t xml:space="preserve">. The </w:t>
      </w:r>
      <w:r w:rsidRPr="000665B0">
        <w:rPr>
          <w:i/>
        </w:rPr>
        <w:t>TUM ID</w:t>
      </w:r>
      <w:r w:rsidRPr="000665B0">
        <w:t xml:space="preserve"> window is displayed. </w:t>
      </w:r>
      <w:r w:rsidR="007321E4" w:rsidRPr="000665B0">
        <w:t xml:space="preserve">Select the </w:t>
      </w:r>
      <w:r w:rsidRPr="000665B0">
        <w:lastRenderedPageBreak/>
        <w:t xml:space="preserve">Exercise TUM </w:t>
      </w:r>
      <w:r w:rsidR="007321E4" w:rsidRPr="000665B0">
        <w:t>check</w:t>
      </w:r>
      <w:r w:rsidRPr="000665B0">
        <w:t xml:space="preserve">box if </w:t>
      </w:r>
      <w:r w:rsidR="007321E4" w:rsidRPr="000665B0">
        <w:t>applicable</w:t>
      </w:r>
      <w:r w:rsidRPr="000665B0">
        <w:t xml:space="preserve">. If a TUM is saved as an </w:t>
      </w:r>
      <w:r w:rsidR="00385874" w:rsidRPr="000665B0">
        <w:t xml:space="preserve">Exercise </w:t>
      </w:r>
      <w:r w:rsidRPr="000665B0">
        <w:t>TUM, it cannot be changed to a Tactical TUM.</w:t>
      </w:r>
    </w:p>
    <w:p w14:paraId="05795D7B" w14:textId="2BD4CB70" w:rsidR="00911F43" w:rsidRPr="000665B0" w:rsidRDefault="000B6498" w:rsidP="009570CA">
      <w:pPr>
        <w:ind w:left="360"/>
        <w:jc w:val="center"/>
      </w:pPr>
      <w:r w:rsidRPr="000665B0">
        <w:rPr>
          <w:noProof/>
        </w:rPr>
        <w:drawing>
          <wp:inline distT="0" distB="0" distL="0" distR="0" wp14:anchorId="1AD0F91C" wp14:editId="03899902">
            <wp:extent cx="3154680" cy="2642616"/>
            <wp:effectExtent l="0" t="0" r="0" b="0"/>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642616"/>
                    </a:xfrm>
                    <a:prstGeom prst="rect">
                      <a:avLst/>
                    </a:prstGeom>
                  </pic:spPr>
                </pic:pic>
              </a:graphicData>
            </a:graphic>
          </wp:inline>
        </w:drawing>
      </w:r>
    </w:p>
    <w:p w14:paraId="1C03FD38" w14:textId="23047DC1" w:rsidR="00911F43" w:rsidRPr="000665B0" w:rsidRDefault="00911F43" w:rsidP="006D5A65">
      <w:pPr>
        <w:pStyle w:val="Heading1"/>
      </w:pPr>
      <w:r w:rsidRPr="000665B0">
        <w:t xml:space="preserve">If necessary, select the Edit button to choose a classification. Click the </w:t>
      </w:r>
      <w:r w:rsidRPr="000665B0">
        <w:sym w:font="Wingdings 3" w:char="F071"/>
      </w:r>
      <w:r w:rsidRPr="000665B0">
        <w:t xml:space="preserve"> button in the </w:t>
      </w:r>
      <w:r w:rsidRPr="000665B0">
        <w:rPr>
          <w:i/>
        </w:rPr>
        <w:t>Edit Classification</w:t>
      </w:r>
      <w:r w:rsidRPr="000665B0">
        <w:t xml:space="preserve"> window</w:t>
      </w:r>
      <w:r w:rsidR="00BF0E3F" w:rsidRPr="000665B0">
        <w:t>,</w:t>
      </w:r>
      <w:r w:rsidRPr="000665B0">
        <w:t xml:space="preserve"> select a classification and click the OK button. For information on editing the classification see </w:t>
      </w:r>
      <w:hyperlink w:anchor="_5.2.7__Edit" w:history="1">
        <w:r w:rsidRPr="000665B0">
          <w:rPr>
            <w:rStyle w:val="Hyperlink"/>
          </w:rPr>
          <w:t>Section 5.2.7</w:t>
        </w:r>
      </w:hyperlink>
      <w:r w:rsidRPr="000665B0">
        <w:t>.</w:t>
      </w:r>
    </w:p>
    <w:p w14:paraId="60161666" w14:textId="77777777" w:rsidR="00D25551" w:rsidRPr="000665B0" w:rsidRDefault="00911F43" w:rsidP="006D5A65">
      <w:pPr>
        <w:pStyle w:val="Heading1"/>
      </w:pPr>
      <w:r w:rsidRPr="000665B0">
        <w:t xml:space="preserve">Missions can be added to the TUM </w:t>
      </w:r>
      <w:r w:rsidR="00B62D4D" w:rsidRPr="000665B0">
        <w:t>from the Missions tool</w:t>
      </w:r>
      <w:r w:rsidR="00A54EC6" w:rsidRPr="000665B0">
        <w:t xml:space="preserve">, </w:t>
      </w:r>
      <w:r w:rsidR="00B62D4D" w:rsidRPr="000665B0">
        <w:t>Mission Library(ies</w:t>
      </w:r>
      <w:r w:rsidR="00A54EC6" w:rsidRPr="000665B0">
        <w:t>), or TED Library(ies)</w:t>
      </w:r>
      <w:r w:rsidR="00B62D4D" w:rsidRPr="000665B0">
        <w:t>.</w:t>
      </w:r>
      <w:r w:rsidR="00D25551" w:rsidRPr="000665B0">
        <w:t xml:space="preserve"> </w:t>
      </w:r>
      <w:r w:rsidR="00B62D4D" w:rsidRPr="000665B0">
        <w:t>The operator can drag and drop Missions</w:t>
      </w:r>
      <w:r w:rsidR="00A54EC6" w:rsidRPr="000665B0">
        <w:t xml:space="preserve"> (not supported from</w:t>
      </w:r>
      <w:r w:rsidR="008F7991" w:rsidRPr="000665B0">
        <w:t xml:space="preserve"> a</w:t>
      </w:r>
      <w:r w:rsidR="00A54EC6" w:rsidRPr="000665B0">
        <w:t xml:space="preserve"> TED Library)</w:t>
      </w:r>
      <w:r w:rsidR="00B62D4D" w:rsidRPr="000665B0">
        <w:t xml:space="preserve"> or use the</w:t>
      </w:r>
      <w:r w:rsidR="00D25551" w:rsidRPr="000665B0">
        <w:t xml:space="preserve"> Add option from the context menu within the </w:t>
      </w:r>
      <w:r w:rsidR="00D25551" w:rsidRPr="000665B0">
        <w:rPr>
          <w:i/>
        </w:rPr>
        <w:t>Missions</w:t>
      </w:r>
      <w:r w:rsidR="00D25551" w:rsidRPr="000665B0">
        <w:t xml:space="preserve"> tab</w:t>
      </w:r>
      <w:r w:rsidR="000623FA" w:rsidRPr="000665B0">
        <w:t xml:space="preserve"> of the </w:t>
      </w:r>
      <w:r w:rsidR="000623FA" w:rsidRPr="000665B0">
        <w:rPr>
          <w:i/>
        </w:rPr>
        <w:t>TUM ID</w:t>
      </w:r>
      <w:r w:rsidR="000623FA" w:rsidRPr="000665B0">
        <w:t xml:space="preserve"> window</w:t>
      </w:r>
      <w:r w:rsidR="00145EF2" w:rsidRPr="000665B0">
        <w:t>.</w:t>
      </w:r>
      <w:r w:rsidRPr="000665B0">
        <w:t xml:space="preserve"> </w:t>
      </w:r>
    </w:p>
    <w:p w14:paraId="4A6624B7" w14:textId="30315730" w:rsidR="00911F43" w:rsidRPr="000665B0" w:rsidRDefault="00911F43" w:rsidP="006D5A65">
      <w:pPr>
        <w:pStyle w:val="Heading2"/>
      </w:pPr>
      <w:r w:rsidRPr="000665B0">
        <w:t xml:space="preserve">In the </w:t>
      </w:r>
      <w:r w:rsidRPr="000665B0">
        <w:rPr>
          <w:i/>
        </w:rPr>
        <w:t>Missions</w:t>
      </w:r>
      <w:r w:rsidRPr="000665B0">
        <w:t xml:space="preserve"> tab invoke the context menu (</w:t>
      </w:r>
      <w:r w:rsidR="00D71804" w:rsidRPr="000665B0">
        <w:t>right-click</w:t>
      </w:r>
      <w:r w:rsidRPr="000665B0">
        <w:t xml:space="preserve"> the mouse) and select </w:t>
      </w:r>
      <w:r w:rsidRPr="000665B0">
        <w:rPr>
          <w:bCs/>
        </w:rPr>
        <w:t xml:space="preserve">Add </w:t>
      </w:r>
      <w:r w:rsidR="00B6359B" w:rsidRPr="000665B0">
        <w:sym w:font="Wingdings 3" w:char="F07D"/>
      </w:r>
      <w:r w:rsidRPr="000665B0">
        <w:rPr>
          <w:bCs/>
        </w:rPr>
        <w:t xml:space="preserve"> Missions</w:t>
      </w:r>
      <w:r w:rsidR="00B6359B" w:rsidRPr="000665B0">
        <w:rPr>
          <w:bCs/>
        </w:rPr>
        <w:t>…</w:t>
      </w:r>
      <w:r w:rsidRPr="000665B0">
        <w:t xml:space="preserve">. The </w:t>
      </w:r>
      <w:r w:rsidRPr="000665B0">
        <w:rPr>
          <w:i/>
        </w:rPr>
        <w:t>Missions with Launcher Type = XXXX</w:t>
      </w:r>
      <w:r w:rsidRPr="000665B0">
        <w:t xml:space="preserve"> window </w:t>
      </w:r>
      <w:r w:rsidR="008E76B3" w:rsidRPr="000665B0">
        <w:t>is</w:t>
      </w:r>
      <w:r w:rsidRPr="000665B0">
        <w:t xml:space="preserve"> displayed.</w:t>
      </w:r>
    </w:p>
    <w:p w14:paraId="4B9B5C44" w14:textId="046ACE63" w:rsidR="00911F43" w:rsidRPr="000665B0" w:rsidRDefault="000B6498" w:rsidP="009570CA">
      <w:pPr>
        <w:jc w:val="center"/>
      </w:pPr>
      <w:r w:rsidRPr="000665B0">
        <w:rPr>
          <w:noProof/>
        </w:rPr>
        <w:drawing>
          <wp:inline distT="0" distB="0" distL="0" distR="0" wp14:anchorId="7113502E" wp14:editId="6CA2B558">
            <wp:extent cx="4983480" cy="768096"/>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768096"/>
                    </a:xfrm>
                    <a:prstGeom prst="rect">
                      <a:avLst/>
                    </a:prstGeom>
                  </pic:spPr>
                </pic:pic>
              </a:graphicData>
            </a:graphic>
          </wp:inline>
        </w:drawing>
      </w:r>
    </w:p>
    <w:p w14:paraId="222F8A1A" w14:textId="77777777" w:rsidR="00D25551" w:rsidRPr="000665B0" w:rsidRDefault="00911F43" w:rsidP="009570CA">
      <w:pPr>
        <w:pStyle w:val="Number0205"/>
        <w:ind w:firstLine="0"/>
      </w:pPr>
      <w:r w:rsidRPr="000665B0">
        <w:t xml:space="preserve">Highlight the mission(s) and click on the </w:t>
      </w:r>
      <w:r w:rsidRPr="000665B0">
        <w:rPr>
          <w:b/>
        </w:rPr>
        <w:t>OK</w:t>
      </w:r>
      <w:r w:rsidRPr="000665B0">
        <w:t xml:space="preserve"> button to add the mission(s) to the TUM. All desired missions now appear in the </w:t>
      </w:r>
      <w:r w:rsidRPr="000665B0">
        <w:rPr>
          <w:b/>
        </w:rPr>
        <w:t>Missions</w:t>
      </w:r>
      <w:r w:rsidRPr="000665B0">
        <w:t xml:space="preserve"> </w:t>
      </w:r>
      <w:r w:rsidR="00185AE6" w:rsidRPr="000665B0">
        <w:t>tab</w:t>
      </w:r>
      <w:r w:rsidRPr="000665B0">
        <w:t>.</w:t>
      </w:r>
    </w:p>
    <w:p w14:paraId="14D1C26B" w14:textId="77777777" w:rsidR="00D25551" w:rsidRPr="000665B0" w:rsidRDefault="00D25551" w:rsidP="009570CA">
      <w:pPr>
        <w:pStyle w:val="Number0205"/>
        <w:ind w:left="720" w:firstLine="0"/>
      </w:pPr>
      <w:r w:rsidRPr="000665B0">
        <w:t>or</w:t>
      </w:r>
    </w:p>
    <w:p w14:paraId="4E1C3479" w14:textId="77777777" w:rsidR="00911F43" w:rsidRPr="000665B0" w:rsidRDefault="00A12DB1" w:rsidP="006D5A65">
      <w:pPr>
        <w:pStyle w:val="Heading1"/>
      </w:pPr>
      <w:r w:rsidRPr="000665B0">
        <w:t xml:space="preserve">Navigate within MDS to the Missions tool. Highlight the </w:t>
      </w:r>
      <w:r w:rsidR="00B62D4D" w:rsidRPr="000665B0">
        <w:t>desired mission(s) and d</w:t>
      </w:r>
      <w:r w:rsidRPr="000665B0">
        <w:t xml:space="preserve">rag and drop </w:t>
      </w:r>
      <w:r w:rsidR="00185AE6" w:rsidRPr="000665B0">
        <w:t xml:space="preserve">the </w:t>
      </w:r>
      <w:r w:rsidRPr="000665B0">
        <w:t xml:space="preserve">selected </w:t>
      </w:r>
      <w:r w:rsidR="00B62D4D" w:rsidRPr="000665B0">
        <w:t>mission(s)</w:t>
      </w:r>
      <w:r w:rsidRPr="000665B0">
        <w:t xml:space="preserve"> into the Missions tab.</w:t>
      </w:r>
      <w:r w:rsidR="00B62D4D" w:rsidRPr="000665B0">
        <w:t xml:space="preserve"> All missions that have the same launcher type of </w:t>
      </w:r>
      <w:r w:rsidR="00B62D4D" w:rsidRPr="000665B0">
        <w:lastRenderedPageBreak/>
        <w:t>the TUM now appear in the Missions tab. Missions that are incompatible with the type of TUM are not added</w:t>
      </w:r>
      <w:r w:rsidR="000623FA" w:rsidRPr="000665B0">
        <w:t xml:space="preserve"> to the TUM</w:t>
      </w:r>
      <w:r w:rsidR="00B62D4D" w:rsidRPr="000665B0">
        <w:t>.</w:t>
      </w:r>
    </w:p>
    <w:p w14:paraId="2B15E93D" w14:textId="77777777" w:rsidR="002F7A84" w:rsidRPr="000665B0" w:rsidRDefault="00911F43" w:rsidP="006D5A65">
      <w:pPr>
        <w:pStyle w:val="Heading1"/>
      </w:pPr>
      <w:r w:rsidRPr="000665B0">
        <w:t xml:space="preserve">Missions can be added to the TUM </w:t>
      </w:r>
      <w:r w:rsidR="00646C04" w:rsidRPr="000665B0">
        <w:t>from</w:t>
      </w:r>
      <w:r w:rsidRPr="000665B0">
        <w:t xml:space="preserve"> Mission Libraries as well. </w:t>
      </w:r>
    </w:p>
    <w:p w14:paraId="02A1967D" w14:textId="16983360" w:rsidR="00911F43" w:rsidRPr="000665B0" w:rsidRDefault="00911F43" w:rsidP="006D5A65">
      <w:pPr>
        <w:pStyle w:val="Heading2"/>
      </w:pPr>
      <w:r w:rsidRPr="000665B0">
        <w:t xml:space="preserve">In the </w:t>
      </w:r>
      <w:r w:rsidRPr="000665B0">
        <w:rPr>
          <w:i/>
        </w:rPr>
        <w:t>Missions</w:t>
      </w:r>
      <w:r w:rsidRPr="000665B0">
        <w:t xml:space="preserve"> tab invoke the context menu (</w:t>
      </w:r>
      <w:r w:rsidR="00D71804" w:rsidRPr="000665B0">
        <w:t>right-click</w:t>
      </w:r>
      <w:r w:rsidRPr="000665B0">
        <w:t xml:space="preserve"> the mouse) and select </w:t>
      </w:r>
      <w:r w:rsidRPr="000665B0">
        <w:rPr>
          <w:bCs/>
        </w:rPr>
        <w:t xml:space="preserve">Add </w:t>
      </w:r>
      <w:r w:rsidR="00B6359B" w:rsidRPr="000665B0">
        <w:sym w:font="Wingdings 3" w:char="F07D"/>
      </w:r>
      <w:r w:rsidRPr="000665B0">
        <w:rPr>
          <w:bCs/>
        </w:rPr>
        <w:t xml:space="preserve"> From Library </w:t>
      </w:r>
      <w:r w:rsidR="00B6359B" w:rsidRPr="000665B0">
        <w:sym w:font="Wingdings 3" w:char="F07D"/>
      </w:r>
      <w:r w:rsidRPr="000665B0">
        <w:rPr>
          <w:bCs/>
        </w:rPr>
        <w:t xml:space="preserve"> Mission Libraries…</w:t>
      </w:r>
      <w:r w:rsidRPr="000665B0">
        <w:t xml:space="preserve">. The </w:t>
      </w:r>
      <w:r w:rsidRPr="000665B0">
        <w:rPr>
          <w:i/>
        </w:rPr>
        <w:t>Libraries</w:t>
      </w:r>
      <w:r w:rsidRPr="000665B0">
        <w:t xml:space="preserve"> window </w:t>
      </w:r>
      <w:r w:rsidR="008E76B3" w:rsidRPr="000665B0">
        <w:t>is</w:t>
      </w:r>
      <w:r w:rsidRPr="000665B0">
        <w:t xml:space="preserve"> displayed.</w:t>
      </w:r>
    </w:p>
    <w:p w14:paraId="0C16FE46" w14:textId="0136E903" w:rsidR="00911F43" w:rsidRPr="000665B0" w:rsidRDefault="000B6498" w:rsidP="009570CA">
      <w:pPr>
        <w:jc w:val="center"/>
      </w:pPr>
      <w:r w:rsidRPr="000665B0">
        <w:rPr>
          <w:noProof/>
        </w:rPr>
        <w:drawing>
          <wp:inline distT="0" distB="0" distL="0" distR="0" wp14:anchorId="29D3B93A" wp14:editId="131B980F">
            <wp:extent cx="2743200" cy="2249424"/>
            <wp:effectExtent l="0" t="0" r="0" b="0"/>
            <wp:docPr id="1950" name="Picture 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249424"/>
                    </a:xfrm>
                    <a:prstGeom prst="rect">
                      <a:avLst/>
                    </a:prstGeom>
                  </pic:spPr>
                </pic:pic>
              </a:graphicData>
            </a:graphic>
          </wp:inline>
        </w:drawing>
      </w:r>
    </w:p>
    <w:p w14:paraId="69257422" w14:textId="77777777" w:rsidR="002F7A84" w:rsidRPr="000665B0" w:rsidRDefault="00911F43" w:rsidP="009570CA">
      <w:pPr>
        <w:pStyle w:val="Number0205"/>
        <w:ind w:firstLine="0"/>
      </w:pPr>
      <w:r w:rsidRPr="000665B0">
        <w:t xml:space="preserve">Highlight the library(ies) and click on the </w:t>
      </w:r>
      <w:r w:rsidRPr="000665B0">
        <w:rPr>
          <w:b/>
        </w:rPr>
        <w:t>OK</w:t>
      </w:r>
      <w:r w:rsidRPr="000665B0">
        <w:t xml:space="preserve"> button to add the mission(s) from that library to the TUM. All missions that have the same launcher type of the TUM, now appear in the </w:t>
      </w:r>
      <w:r w:rsidRPr="000665B0">
        <w:rPr>
          <w:b/>
        </w:rPr>
        <w:t>Missions</w:t>
      </w:r>
      <w:r w:rsidRPr="000665B0">
        <w:t xml:space="preserve"> </w:t>
      </w:r>
      <w:r w:rsidR="00B6359B" w:rsidRPr="000665B0">
        <w:t>tab</w:t>
      </w:r>
      <w:r w:rsidRPr="000665B0">
        <w:t>.</w:t>
      </w:r>
    </w:p>
    <w:p w14:paraId="5CE52FBB" w14:textId="77777777" w:rsidR="002F7A84" w:rsidRPr="000665B0" w:rsidRDefault="002F7A84" w:rsidP="009570CA">
      <w:pPr>
        <w:pStyle w:val="Number0205"/>
        <w:ind w:left="720" w:firstLine="0"/>
      </w:pPr>
      <w:r w:rsidRPr="000665B0">
        <w:t>or</w:t>
      </w:r>
    </w:p>
    <w:p w14:paraId="5F64FF5C" w14:textId="77777777" w:rsidR="00911F43" w:rsidRPr="000665B0" w:rsidRDefault="002F7A84" w:rsidP="006D5A65">
      <w:pPr>
        <w:pStyle w:val="Heading1"/>
      </w:pPr>
      <w:r w:rsidRPr="000665B0">
        <w:t xml:space="preserve">Navigate within MDS to the Libraries tool. </w:t>
      </w:r>
      <w:r w:rsidR="00145EF2" w:rsidRPr="000665B0">
        <w:t xml:space="preserve">Double-click to open the selected Mission </w:t>
      </w:r>
      <w:r w:rsidR="00AB5252" w:rsidRPr="000665B0">
        <w:t>l</w:t>
      </w:r>
      <w:r w:rsidR="00145EF2" w:rsidRPr="000665B0">
        <w:t xml:space="preserve">ibrary. </w:t>
      </w:r>
      <w:r w:rsidR="00B62D4D" w:rsidRPr="000665B0">
        <w:t xml:space="preserve">Highlight the desired mission(s) and drag and drop </w:t>
      </w:r>
      <w:r w:rsidR="000623FA" w:rsidRPr="000665B0">
        <w:t xml:space="preserve">the </w:t>
      </w:r>
      <w:r w:rsidR="00B62D4D" w:rsidRPr="000665B0">
        <w:t>selected mission(s) into the Missions tab.</w:t>
      </w:r>
      <w:r w:rsidR="00145EF2" w:rsidRPr="000665B0">
        <w:t xml:space="preserve"> </w:t>
      </w:r>
      <w:r w:rsidR="00B62D4D" w:rsidRPr="000665B0">
        <w:t>All missions that have the same launcher type of the TUM now appear in the Missions tab. Missions that are incompatible with the type of TUM or are of status “Missing” are not added</w:t>
      </w:r>
      <w:r w:rsidR="000623FA" w:rsidRPr="000665B0">
        <w:t xml:space="preserve"> to the TUM</w:t>
      </w:r>
      <w:r w:rsidR="00B62D4D" w:rsidRPr="000665B0">
        <w:t>.</w:t>
      </w:r>
    </w:p>
    <w:p w14:paraId="40A551E0" w14:textId="77777777" w:rsidR="00AB5252" w:rsidRPr="000665B0" w:rsidRDefault="00911F43" w:rsidP="006D5A65">
      <w:pPr>
        <w:pStyle w:val="Heading1"/>
      </w:pPr>
      <w:r w:rsidRPr="000665B0">
        <w:t xml:space="preserve">Missions can be added to the TUM </w:t>
      </w:r>
      <w:r w:rsidR="008F7991" w:rsidRPr="000665B0">
        <w:t>from</w:t>
      </w:r>
      <w:r w:rsidRPr="000665B0">
        <w:t xml:space="preserve"> TED Libraries as well. </w:t>
      </w:r>
    </w:p>
    <w:p w14:paraId="2142D5F8" w14:textId="3216C417" w:rsidR="00911F43" w:rsidRPr="000665B0" w:rsidRDefault="00911F43" w:rsidP="006D5A65">
      <w:pPr>
        <w:pStyle w:val="Heading2"/>
      </w:pPr>
      <w:r w:rsidRPr="000665B0">
        <w:t xml:space="preserve">In the </w:t>
      </w:r>
      <w:r w:rsidRPr="000665B0">
        <w:rPr>
          <w:i/>
        </w:rPr>
        <w:t>Missions</w:t>
      </w:r>
      <w:r w:rsidRPr="000665B0">
        <w:t xml:space="preserve"> tab invoke the context menu (</w:t>
      </w:r>
      <w:r w:rsidR="0040753E" w:rsidRPr="000665B0">
        <w:t>right</w:t>
      </w:r>
      <w:r w:rsidR="00B93633" w:rsidRPr="000665B0">
        <w:t>-</w:t>
      </w:r>
      <w:r w:rsidR="0040753E" w:rsidRPr="000665B0">
        <w:t>click</w:t>
      </w:r>
      <w:r w:rsidRPr="000665B0">
        <w:t xml:space="preserve"> the mouse) and select </w:t>
      </w:r>
      <w:r w:rsidRPr="000665B0">
        <w:rPr>
          <w:bCs/>
        </w:rPr>
        <w:t xml:space="preserve">Add </w:t>
      </w:r>
      <w:r w:rsidR="00B6359B" w:rsidRPr="000665B0">
        <w:sym w:font="Wingdings 3" w:char="F07D"/>
      </w:r>
      <w:r w:rsidRPr="000665B0">
        <w:rPr>
          <w:bCs/>
        </w:rPr>
        <w:t xml:space="preserve"> From Library </w:t>
      </w:r>
      <w:r w:rsidR="00B6359B" w:rsidRPr="000665B0">
        <w:sym w:font="Wingdings 3" w:char="F07D"/>
      </w:r>
      <w:r w:rsidRPr="000665B0">
        <w:rPr>
          <w:bCs/>
        </w:rPr>
        <w:t xml:space="preserve"> TED Libraries…</w:t>
      </w:r>
      <w:r w:rsidRPr="000665B0">
        <w:t xml:space="preserve">. The </w:t>
      </w:r>
      <w:r w:rsidRPr="000665B0">
        <w:rPr>
          <w:i/>
        </w:rPr>
        <w:t>Libraries</w:t>
      </w:r>
      <w:r w:rsidRPr="000665B0">
        <w:t xml:space="preserve"> window </w:t>
      </w:r>
      <w:r w:rsidR="008E76B3" w:rsidRPr="000665B0">
        <w:t>is</w:t>
      </w:r>
      <w:r w:rsidRPr="000665B0">
        <w:t xml:space="preserve"> displayed.</w:t>
      </w:r>
      <w:r w:rsidR="009651B0">
        <w:t xml:space="preserve"> </w:t>
      </w:r>
    </w:p>
    <w:p w14:paraId="1C174B89" w14:textId="38CD4403" w:rsidR="00911F43" w:rsidRPr="000665B0" w:rsidRDefault="000B6498" w:rsidP="009570CA">
      <w:pPr>
        <w:jc w:val="center"/>
      </w:pPr>
      <w:r w:rsidRPr="000665B0">
        <w:rPr>
          <w:noProof/>
        </w:rPr>
        <w:lastRenderedPageBreak/>
        <w:drawing>
          <wp:inline distT="0" distB="0" distL="0" distR="0" wp14:anchorId="275B6719" wp14:editId="2123B540">
            <wp:extent cx="2743200" cy="1847088"/>
            <wp:effectExtent l="0" t="0" r="0" b="0"/>
            <wp:docPr id="1946" name="Picture 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847088"/>
                    </a:xfrm>
                    <a:prstGeom prst="rect">
                      <a:avLst/>
                    </a:prstGeom>
                  </pic:spPr>
                </pic:pic>
              </a:graphicData>
            </a:graphic>
          </wp:inline>
        </w:drawing>
      </w:r>
    </w:p>
    <w:p w14:paraId="44B98256" w14:textId="77777777" w:rsidR="00AB5252" w:rsidRPr="000665B0" w:rsidRDefault="00911F43" w:rsidP="009570CA">
      <w:pPr>
        <w:pStyle w:val="Number0205"/>
        <w:ind w:firstLine="0"/>
      </w:pPr>
      <w:r w:rsidRPr="000665B0">
        <w:t xml:space="preserve">Highlight the library(ies) and click on the </w:t>
      </w:r>
      <w:r w:rsidRPr="000665B0">
        <w:rPr>
          <w:b/>
        </w:rPr>
        <w:t>OK</w:t>
      </w:r>
      <w:r w:rsidRPr="000665B0">
        <w:t xml:space="preserve"> button to add the mission(s) from that library to the TUM. All missions that have the same launcher type of the TUM now appear in the </w:t>
      </w:r>
      <w:r w:rsidRPr="000665B0">
        <w:rPr>
          <w:b/>
        </w:rPr>
        <w:t>Missions</w:t>
      </w:r>
      <w:r w:rsidRPr="000665B0">
        <w:t xml:space="preserve"> </w:t>
      </w:r>
      <w:r w:rsidR="00B6359B" w:rsidRPr="000665B0">
        <w:t>tab</w:t>
      </w:r>
      <w:r w:rsidRPr="000665B0">
        <w:t>.</w:t>
      </w:r>
      <w:r w:rsidR="00A54EC6" w:rsidRPr="000665B0">
        <w:t xml:space="preserve"> Note that the drag and drop feature is currently not supported from a TED Library.</w:t>
      </w:r>
    </w:p>
    <w:p w14:paraId="1BCA0698" w14:textId="77777777" w:rsidR="00911F43" w:rsidRPr="000665B0" w:rsidRDefault="00911F43" w:rsidP="006D5A65">
      <w:pPr>
        <w:pStyle w:val="Heading1"/>
      </w:pPr>
      <w:r w:rsidRPr="000665B0">
        <w:t>By highlighting the required mission</w:t>
      </w:r>
      <w:r w:rsidR="000623FA" w:rsidRPr="000665B0">
        <w:t xml:space="preserve"> in the Missions tab</w:t>
      </w:r>
      <w:r w:rsidRPr="000665B0">
        <w:t xml:space="preserve"> and invoking the context menu, the operator can make the following changes to the mission list</w:t>
      </w:r>
      <w:r w:rsidR="00045270" w:rsidRPr="000665B0">
        <w:t>:</w:t>
      </w:r>
    </w:p>
    <w:p w14:paraId="306BB788" w14:textId="77777777" w:rsidR="00911F43" w:rsidRPr="000665B0" w:rsidRDefault="00045270" w:rsidP="006D5A65">
      <w:pPr>
        <w:pStyle w:val="Heading1"/>
      </w:pPr>
      <w:r w:rsidRPr="000665B0">
        <w:t xml:space="preserve">Add – </w:t>
      </w:r>
      <w:r w:rsidR="00911F43" w:rsidRPr="000665B0">
        <w:t>Missions</w:t>
      </w:r>
      <w:r w:rsidR="00185AE6" w:rsidRPr="000665B0">
        <w:t xml:space="preserve"> from the Missions tool</w:t>
      </w:r>
      <w:r w:rsidR="00911F43" w:rsidRPr="000665B0">
        <w:t xml:space="preserve">, </w:t>
      </w:r>
      <w:r w:rsidR="00185AE6" w:rsidRPr="000665B0">
        <w:t xml:space="preserve">from </w:t>
      </w:r>
      <w:r w:rsidR="00911F43" w:rsidRPr="000665B0">
        <w:t xml:space="preserve">Mission Libraries, </w:t>
      </w:r>
      <w:r w:rsidR="00185AE6" w:rsidRPr="000665B0">
        <w:t xml:space="preserve">or from </w:t>
      </w:r>
      <w:r w:rsidR="00911F43" w:rsidRPr="000665B0">
        <w:t>TED Libraries</w:t>
      </w:r>
      <w:r w:rsidR="00C90A0E" w:rsidRPr="000665B0">
        <w:t>.</w:t>
      </w:r>
    </w:p>
    <w:p w14:paraId="2F6CACBB" w14:textId="77777777" w:rsidR="00911F43" w:rsidRPr="000665B0" w:rsidRDefault="00911F43" w:rsidP="006D5A65">
      <w:pPr>
        <w:pStyle w:val="Heading1"/>
      </w:pPr>
      <w:r w:rsidRPr="000665B0">
        <w:t>Display</w:t>
      </w:r>
      <w:r w:rsidR="00045270" w:rsidRPr="000665B0">
        <w:t xml:space="preserve"> – </w:t>
      </w:r>
      <w:r w:rsidRPr="000665B0">
        <w:t>Textually, Geographically, or in Excel</w:t>
      </w:r>
      <w:r w:rsidR="00C90A0E" w:rsidRPr="000665B0">
        <w:t>.</w:t>
      </w:r>
    </w:p>
    <w:p w14:paraId="772B50FB" w14:textId="77777777" w:rsidR="00911F43" w:rsidRPr="000665B0" w:rsidRDefault="00911F43" w:rsidP="006D5A65">
      <w:pPr>
        <w:pStyle w:val="Heading1"/>
      </w:pPr>
      <w:r w:rsidRPr="000665B0">
        <w:t>Update Operation</w:t>
      </w:r>
      <w:r w:rsidR="00045270" w:rsidRPr="000665B0">
        <w:t xml:space="preserve"> – </w:t>
      </w:r>
      <w:r w:rsidRPr="000665B0">
        <w:t>Add or Activate</w:t>
      </w:r>
      <w:r w:rsidR="00C90A0E" w:rsidRPr="000665B0">
        <w:t>.</w:t>
      </w:r>
    </w:p>
    <w:p w14:paraId="53CE9F39" w14:textId="77777777" w:rsidR="00911F43" w:rsidRPr="000665B0" w:rsidRDefault="00911F43" w:rsidP="006D5A65">
      <w:pPr>
        <w:pStyle w:val="Heading1"/>
      </w:pPr>
      <w:r w:rsidRPr="000665B0">
        <w:rPr>
          <w:bCs/>
        </w:rPr>
        <w:t>Print</w:t>
      </w:r>
      <w:r w:rsidR="00045270" w:rsidRPr="000665B0">
        <w:rPr>
          <w:bCs/>
        </w:rPr>
        <w:t xml:space="preserve"> – </w:t>
      </w:r>
      <w:r w:rsidR="00045270" w:rsidRPr="000665B0">
        <w:t>P</w:t>
      </w:r>
      <w:r w:rsidRPr="000665B0">
        <w:t>rint</w:t>
      </w:r>
      <w:r w:rsidR="00045270" w:rsidRPr="000665B0">
        <w:t>s</w:t>
      </w:r>
      <w:r w:rsidRPr="000665B0">
        <w:t xml:space="preserve"> the selected item</w:t>
      </w:r>
      <w:r w:rsidR="00045270" w:rsidRPr="000665B0">
        <w:t>(</w:t>
      </w:r>
      <w:r w:rsidRPr="000665B0">
        <w:t>s</w:t>
      </w:r>
      <w:r w:rsidR="00045270" w:rsidRPr="000665B0">
        <w:t>)</w:t>
      </w:r>
      <w:r w:rsidRPr="000665B0">
        <w:t xml:space="preserve"> in the list</w:t>
      </w:r>
      <w:r w:rsidR="00C90A0E" w:rsidRPr="000665B0">
        <w:t>.</w:t>
      </w:r>
    </w:p>
    <w:p w14:paraId="38BF393B" w14:textId="77777777" w:rsidR="00911F43" w:rsidRPr="000665B0" w:rsidRDefault="00911F43" w:rsidP="006D5A65">
      <w:pPr>
        <w:pStyle w:val="Heading1"/>
      </w:pPr>
      <w:r w:rsidRPr="000665B0">
        <w:rPr>
          <w:bCs/>
        </w:rPr>
        <w:t>Remove</w:t>
      </w:r>
      <w:r w:rsidR="00045270" w:rsidRPr="000665B0">
        <w:rPr>
          <w:bCs/>
        </w:rPr>
        <w:t xml:space="preserve"> – </w:t>
      </w:r>
      <w:r w:rsidR="00045270" w:rsidRPr="000665B0">
        <w:t>D</w:t>
      </w:r>
      <w:r w:rsidRPr="000665B0">
        <w:t>eletes the selected item(s) from the list</w:t>
      </w:r>
      <w:r w:rsidR="00C90A0E" w:rsidRPr="000665B0">
        <w:t>.</w:t>
      </w:r>
    </w:p>
    <w:p w14:paraId="1B035903" w14:textId="77777777" w:rsidR="00911F43" w:rsidRPr="000665B0" w:rsidRDefault="00911F43" w:rsidP="006D5A65">
      <w:pPr>
        <w:pStyle w:val="Heading1"/>
      </w:pPr>
      <w:r w:rsidRPr="000665B0">
        <w:t xml:space="preserve">In the </w:t>
      </w:r>
      <w:r w:rsidRPr="000665B0">
        <w:rPr>
          <w:i/>
        </w:rPr>
        <w:t>Modifications</w:t>
      </w:r>
      <w:r w:rsidRPr="000665B0">
        <w:t xml:space="preserve"> tab, enter a mi</w:t>
      </w:r>
      <w:r w:rsidR="00E61F8E" w:rsidRPr="000665B0">
        <w:t xml:space="preserve">ssion modification instruction </w:t>
      </w:r>
      <w:r w:rsidRPr="000665B0">
        <w:t>if any</w:t>
      </w:r>
      <w:r w:rsidR="00E61F8E" w:rsidRPr="000665B0">
        <w:t xml:space="preserve"> (</w:t>
      </w:r>
      <w:r w:rsidR="00BC767D" w:rsidRPr="000665B0">
        <w:t xml:space="preserve">up to 1,024 alphanumeric characters). </w:t>
      </w:r>
      <w:r w:rsidRPr="000665B0">
        <w:t>Information for this field can be found in CTOPS and is included in Paragraph 4 of the TUM</w:t>
      </w:r>
      <w:r w:rsidR="00045270" w:rsidRPr="000665B0">
        <w:t>.</w:t>
      </w:r>
      <w:r w:rsidRPr="000665B0">
        <w:t xml:space="preserve"> </w:t>
      </w:r>
    </w:p>
    <w:p w14:paraId="6A7A93FD" w14:textId="77777777" w:rsidR="00911F43" w:rsidRPr="000665B0" w:rsidRDefault="00C90A0E" w:rsidP="006D5A65">
      <w:pPr>
        <w:pStyle w:val="Heading1"/>
      </w:pPr>
      <w:r w:rsidRPr="000665B0">
        <w:t xml:space="preserve">Click on the Save </w:t>
      </w:r>
      <w:r w:rsidRPr="000665B0">
        <w:rPr>
          <w:rFonts w:ascii="Wingdings" w:hAnsi="Wingdings"/>
        </w:rPr>
        <w:t></w:t>
      </w:r>
      <w:r w:rsidRPr="000665B0">
        <w:t xml:space="preserve"> icon to save the changes</w:t>
      </w:r>
      <w:r w:rsidRPr="000665B0">
        <w:rPr>
          <w:szCs w:val="24"/>
        </w:rPr>
        <w:t xml:space="preserve"> or select the </w:t>
      </w:r>
      <w:r w:rsidRPr="000665B0">
        <w:rPr>
          <w:bCs/>
          <w:szCs w:val="24"/>
        </w:rPr>
        <w:t>Save</w:t>
      </w:r>
      <w:r w:rsidRPr="000665B0">
        <w:rPr>
          <w:szCs w:val="24"/>
        </w:rPr>
        <w:t xml:space="preserve"> option from the </w:t>
      </w:r>
      <w:r w:rsidRPr="000665B0">
        <w:rPr>
          <w:bCs/>
          <w:szCs w:val="24"/>
        </w:rPr>
        <w:t>File</w:t>
      </w:r>
      <w:r w:rsidRPr="000665B0">
        <w:rPr>
          <w:szCs w:val="24"/>
        </w:rPr>
        <w:t xml:space="preserve"> pull down menu</w:t>
      </w:r>
      <w:r w:rsidRPr="000665B0" w:rsidDel="00C90A0E">
        <w:t xml:space="preserve"> </w:t>
      </w:r>
      <w:r w:rsidR="00911F43" w:rsidRPr="000665B0">
        <w:t xml:space="preserve">to save the TUM to the database and close the window. All new TUMs are saved in </w:t>
      </w:r>
      <w:r w:rsidR="00045270" w:rsidRPr="000665B0">
        <w:t>D</w:t>
      </w:r>
      <w:r w:rsidR="00911F43" w:rsidRPr="000665B0">
        <w:t>evelopment mode</w:t>
      </w:r>
      <w:r w:rsidR="00045270" w:rsidRPr="000665B0">
        <w:t xml:space="preserve"> which</w:t>
      </w:r>
      <w:r w:rsidR="00911F43" w:rsidRPr="000665B0">
        <w:t xml:space="preserve"> allows for </w:t>
      </w:r>
      <w:r w:rsidR="00045270" w:rsidRPr="000665B0">
        <w:t xml:space="preserve">future </w:t>
      </w:r>
      <w:r w:rsidR="00911F43" w:rsidRPr="000665B0">
        <w:t xml:space="preserve">modifications. </w:t>
      </w:r>
    </w:p>
    <w:p w14:paraId="7B8C512F" w14:textId="185EEFC6" w:rsidR="00A90E30" w:rsidRPr="000665B0" w:rsidRDefault="00A90E30" w:rsidP="009570CA">
      <w:pPr>
        <w:pStyle w:val="Heading4"/>
      </w:pPr>
      <w:bookmarkStart w:id="1619" w:name="_Toc71955218"/>
      <w:bookmarkStart w:id="1620" w:name="_Toc96169848"/>
      <w:bookmarkStart w:id="1621" w:name="_Toc96233893"/>
      <w:bookmarkStart w:id="1622" w:name="_Toc112733322"/>
      <w:bookmarkStart w:id="1623" w:name="_Toc159315077"/>
      <w:r w:rsidRPr="000665B0">
        <w:t>Set TUM ID Sequence Number</w:t>
      </w:r>
    </w:p>
    <w:p w14:paraId="51137714" w14:textId="77777777" w:rsidR="00A90E30" w:rsidRPr="000665B0" w:rsidRDefault="00A90E30" w:rsidP="009570CA">
      <w:r w:rsidRPr="000665B0">
        <w:t>MDS maintains the last TUM ID sequence number in the database. If the database has been reset, the last TUM ID sequence number must also be reset to avoid duplicate and/or mismatched TUM IDs between two MDS nodes. If it is not updated, the TUM ID at an MDS node may not be synchronized with the ID in the TPS database.</w:t>
      </w:r>
    </w:p>
    <w:p w14:paraId="72CC0F9B" w14:textId="3AFB7FE3" w:rsidR="00A90E30" w:rsidRPr="000665B0" w:rsidRDefault="00A90E30" w:rsidP="009570CA">
      <w:r w:rsidRPr="000665B0">
        <w:t>To update the TUM ID sequence number, prior to dropping the database</w:t>
      </w:r>
      <w:r w:rsidR="005E6AF9" w:rsidRPr="000665B0">
        <w:t>,</w:t>
      </w:r>
      <w:r w:rsidRPr="000665B0">
        <w:t xml:space="preserve"> note the ID of the last TUM. After the database has been reset, use the </w:t>
      </w:r>
      <w:r w:rsidR="00DC7D18" w:rsidRPr="000665B0">
        <w:t>TMPC</w:t>
      </w:r>
      <w:r w:rsidRPr="000665B0">
        <w:t xml:space="preserve"> Database Utility to update the TUM ID Sequence Number in the TED_</w:t>
      </w:r>
      <w:r w:rsidR="005E6AF9" w:rsidRPr="000665B0">
        <w:t>MD</w:t>
      </w:r>
      <w:r w:rsidRPr="000665B0">
        <w:t xml:space="preserve">_DB database. See </w:t>
      </w:r>
      <w:hyperlink w:anchor="_4.5.2.1.11__Data" w:history="1">
        <w:r w:rsidR="00B14F4A" w:rsidRPr="000665B0">
          <w:rPr>
            <w:rStyle w:val="Hyperlink"/>
          </w:rPr>
          <w:t>Section 4.5.2.1.12</w:t>
        </w:r>
      </w:hyperlink>
      <w:r w:rsidRPr="000665B0">
        <w:t>.</w:t>
      </w:r>
    </w:p>
    <w:p w14:paraId="197FA93E" w14:textId="4FFB934C" w:rsidR="00911F43" w:rsidRPr="000665B0" w:rsidRDefault="00911F43" w:rsidP="009570CA">
      <w:pPr>
        <w:pStyle w:val="Heading3"/>
      </w:pPr>
      <w:bookmarkStart w:id="1624" w:name="_Toc214283207"/>
      <w:r w:rsidRPr="000665B0">
        <w:lastRenderedPageBreak/>
        <w:t>Display TUM(s) Textually</w:t>
      </w:r>
      <w:bookmarkEnd w:id="1619"/>
      <w:bookmarkEnd w:id="1620"/>
      <w:bookmarkEnd w:id="1621"/>
      <w:bookmarkEnd w:id="1622"/>
      <w:bookmarkEnd w:id="1623"/>
      <w:bookmarkEnd w:id="1624"/>
    </w:p>
    <w:p w14:paraId="518C73C8" w14:textId="77777777" w:rsidR="00911F43" w:rsidRPr="000665B0" w:rsidRDefault="00911F43" w:rsidP="009570CA">
      <w:r w:rsidRPr="000665B0">
        <w:t>This function displays the data contained in a TUM object in a textual format (normal view). It also provides the capabilities to edit the TUM data if in a development status. Missions contained in the TUM have similar options to them as in the Mission List View.</w:t>
      </w:r>
    </w:p>
    <w:p w14:paraId="1442ABB5" w14:textId="2C7DE852" w:rsidR="00911F43" w:rsidRPr="000665B0" w:rsidRDefault="00911F43" w:rsidP="009570CA">
      <w:pPr>
        <w:spacing w:after="0"/>
        <w:rPr>
          <w:rFonts w:ascii="Arial" w:hAnsi="Arial"/>
          <w:b/>
        </w:rPr>
      </w:pPr>
      <w:r w:rsidRPr="000665B0">
        <w:t xml:space="preserve">To display a TUM textually (normal view) see </w:t>
      </w:r>
      <w:hyperlink w:anchor="_5.2.1.2.4__Display_1" w:history="1">
        <w:r w:rsidRPr="000665B0">
          <w:rPr>
            <w:rStyle w:val="Hyperlink"/>
          </w:rPr>
          <w:t>Section 5.2.1.2.4</w:t>
        </w:r>
      </w:hyperlink>
      <w:r w:rsidRPr="000665B0">
        <w:t xml:space="preserve">. This is the default view if the TUM is </w:t>
      </w:r>
      <w:r w:rsidR="0037038E" w:rsidRPr="000665B0">
        <w:t>double-click</w:t>
      </w:r>
      <w:r w:rsidRPr="000665B0">
        <w:t>ed from the TUM</w:t>
      </w:r>
      <w:r w:rsidR="003B0FF8" w:rsidRPr="000665B0">
        <w:t>s</w:t>
      </w:r>
      <w:r w:rsidRPr="000665B0">
        <w:t xml:space="preserve"> </w:t>
      </w:r>
      <w:r w:rsidR="00E44197" w:rsidRPr="000665B0">
        <w:t>L</w:t>
      </w:r>
      <w:r w:rsidRPr="000665B0">
        <w:t xml:space="preserve">ist </w:t>
      </w:r>
      <w:r w:rsidR="00E44197" w:rsidRPr="000665B0">
        <w:t>V</w:t>
      </w:r>
      <w:r w:rsidRPr="000665B0">
        <w:t>iew.</w:t>
      </w:r>
      <w:bookmarkStart w:id="1625" w:name="_Toc71955219"/>
      <w:bookmarkStart w:id="1626" w:name="_Toc96169849"/>
      <w:bookmarkStart w:id="1627" w:name="_Toc96233894"/>
      <w:bookmarkStart w:id="1628" w:name="_Toc112733323"/>
      <w:bookmarkStart w:id="1629" w:name="_Toc159315078"/>
    </w:p>
    <w:p w14:paraId="5CC1EF62" w14:textId="07D07419" w:rsidR="00911F43" w:rsidRPr="000665B0" w:rsidRDefault="00911F43" w:rsidP="009570CA">
      <w:pPr>
        <w:pStyle w:val="Heading3"/>
      </w:pPr>
      <w:bookmarkStart w:id="1630" w:name="_Toc214283208"/>
      <w:r w:rsidRPr="000665B0">
        <w:t>Edit the TUM Data (Textual Display)</w:t>
      </w:r>
      <w:bookmarkEnd w:id="1625"/>
      <w:bookmarkEnd w:id="1626"/>
      <w:bookmarkEnd w:id="1627"/>
      <w:bookmarkEnd w:id="1628"/>
      <w:bookmarkEnd w:id="1629"/>
      <w:bookmarkEnd w:id="1630"/>
    </w:p>
    <w:p w14:paraId="17095806" w14:textId="77777777" w:rsidR="00911F43" w:rsidRPr="000665B0" w:rsidRDefault="00911F43" w:rsidP="009570CA">
      <w:r w:rsidRPr="000665B0">
        <w:t xml:space="preserve">Only those TUMs with a status of </w:t>
      </w:r>
      <w:r w:rsidRPr="000665B0">
        <w:rPr>
          <w:b/>
        </w:rPr>
        <w:t>Development</w:t>
      </w:r>
      <w:r w:rsidRPr="000665B0">
        <w:t xml:space="preserve"> may be edited to </w:t>
      </w:r>
      <w:r w:rsidR="003B0FF8" w:rsidRPr="000665B0">
        <w:t>their</w:t>
      </w:r>
      <w:r w:rsidRPr="000665B0">
        <w:t xml:space="preserve"> full capability. Non-development TUMs (received or created) may only be edited to change </w:t>
      </w:r>
      <w:r w:rsidR="003B0FF8" w:rsidRPr="000665B0">
        <w:t>their</w:t>
      </w:r>
      <w:r w:rsidRPr="000665B0">
        <w:t xml:space="preserve"> exercise status. If this is performed, then it can’t be reversed.</w:t>
      </w:r>
    </w:p>
    <w:p w14:paraId="5C82945A" w14:textId="77777777" w:rsidR="00911F43" w:rsidRPr="000665B0" w:rsidRDefault="00911F43" w:rsidP="009570CA">
      <w:r w:rsidRPr="000665B0">
        <w:t>The operator can modify the TUM in the following ways:</w:t>
      </w:r>
    </w:p>
    <w:p w14:paraId="1882270D" w14:textId="77777777" w:rsidR="00911F43" w:rsidRPr="000665B0" w:rsidRDefault="00911F43" w:rsidP="009570CA">
      <w:pPr>
        <w:pStyle w:val="Bullet"/>
      </w:pPr>
      <w:r w:rsidRPr="000665B0">
        <w:t xml:space="preserve">Change the mission compliment by adding and/or removing missions – </w:t>
      </w:r>
      <w:r w:rsidR="003B0FF8" w:rsidRPr="000665B0">
        <w:t>s</w:t>
      </w:r>
      <w:r w:rsidRPr="000665B0">
        <w:t>elf-explanatory.</w:t>
      </w:r>
    </w:p>
    <w:p w14:paraId="5420D5D8" w14:textId="54AFCAC5" w:rsidR="00911F43" w:rsidRPr="000665B0" w:rsidRDefault="00911F43" w:rsidP="009570CA">
      <w:pPr>
        <w:pStyle w:val="Bullet"/>
      </w:pPr>
      <w:r w:rsidRPr="000665B0">
        <w:t xml:space="preserve">Update the </w:t>
      </w:r>
      <w:r w:rsidR="000C0339" w:rsidRPr="000665B0">
        <w:t>mission</w:t>
      </w:r>
      <w:r w:rsidRPr="000665B0">
        <w:t xml:space="preserve">(s) </w:t>
      </w:r>
      <w:r w:rsidR="000C0339" w:rsidRPr="000665B0">
        <w:t xml:space="preserve">operation </w:t>
      </w:r>
      <w:r w:rsidRPr="000665B0">
        <w:t xml:space="preserve">to either </w:t>
      </w:r>
      <w:r w:rsidR="00C54F21" w:rsidRPr="000665B0">
        <w:rPr>
          <w:b/>
        </w:rPr>
        <w:t>Add</w:t>
      </w:r>
      <w:r w:rsidR="00C54F21" w:rsidRPr="000665B0">
        <w:t xml:space="preserve"> or</w:t>
      </w:r>
      <w:r w:rsidRPr="000665B0">
        <w:t xml:space="preserve"> </w:t>
      </w:r>
      <w:r w:rsidRPr="000665B0">
        <w:rPr>
          <w:b/>
        </w:rPr>
        <w:t>Activate</w:t>
      </w:r>
      <w:r w:rsidRPr="000665B0">
        <w:t xml:space="preserve">. </w:t>
      </w:r>
    </w:p>
    <w:p w14:paraId="0AB89B2F" w14:textId="228749EB" w:rsidR="007211EF" w:rsidRPr="000665B0" w:rsidRDefault="007211EF" w:rsidP="006D5A65">
      <w:pPr>
        <w:pStyle w:val="Heading1"/>
      </w:pPr>
      <w:r w:rsidRPr="000665B0">
        <w:t xml:space="preserve">Select the desired </w:t>
      </w:r>
      <w:r w:rsidR="000C0339" w:rsidRPr="000665B0">
        <w:t>m</w:t>
      </w:r>
      <w:r w:rsidRPr="000665B0">
        <w:t xml:space="preserve">ission, </w:t>
      </w:r>
      <w:r w:rsidR="00D71804" w:rsidRPr="000665B0">
        <w:t>right-click</w:t>
      </w:r>
      <w:r w:rsidRPr="000665B0">
        <w:t xml:space="preserve">, and select Update Operation </w:t>
      </w:r>
      <w:r w:rsidRPr="000665B0">
        <w:sym w:font="Wingdings 3" w:char="F07D"/>
      </w:r>
      <w:r w:rsidRPr="000665B0">
        <w:t xml:space="preserve"> Add or Activate.</w:t>
      </w:r>
    </w:p>
    <w:p w14:paraId="67261A23" w14:textId="77777777" w:rsidR="007211EF" w:rsidRPr="000665B0" w:rsidRDefault="007211EF" w:rsidP="006D5A65">
      <w:pPr>
        <w:pStyle w:val="Heading1"/>
      </w:pPr>
      <w:r w:rsidRPr="000665B0">
        <w:t xml:space="preserve">Add – Adds the </w:t>
      </w:r>
      <w:r w:rsidR="000C0339" w:rsidRPr="000665B0">
        <w:t>m</w:t>
      </w:r>
      <w:r w:rsidRPr="000665B0">
        <w:t>ission to the TUM.</w:t>
      </w:r>
      <w:r w:rsidR="000C0339" w:rsidRPr="000665B0">
        <w:t xml:space="preserve"> </w:t>
      </w:r>
      <w:r w:rsidRPr="000665B0">
        <w:t xml:space="preserve">Changes the TUM Operation column from </w:t>
      </w:r>
      <w:r w:rsidRPr="000665B0">
        <w:rPr>
          <w:i/>
          <w:iCs/>
        </w:rPr>
        <w:t>Activate</w:t>
      </w:r>
      <w:r w:rsidRPr="000665B0">
        <w:t xml:space="preserve"> to </w:t>
      </w:r>
      <w:r w:rsidRPr="000665B0">
        <w:rPr>
          <w:i/>
          <w:iCs/>
        </w:rPr>
        <w:t>Add</w:t>
      </w:r>
      <w:r w:rsidRPr="000665B0">
        <w:t>.</w:t>
      </w:r>
    </w:p>
    <w:p w14:paraId="3BC5962B" w14:textId="77777777" w:rsidR="007211EF" w:rsidRPr="000665B0" w:rsidRDefault="007211EF" w:rsidP="006D5A65">
      <w:pPr>
        <w:pStyle w:val="Heading1"/>
      </w:pPr>
      <w:r w:rsidRPr="000665B0">
        <w:t xml:space="preserve">Activate – Activates the </w:t>
      </w:r>
      <w:r w:rsidR="000C0339" w:rsidRPr="000665B0">
        <w:t>m</w:t>
      </w:r>
      <w:r w:rsidRPr="000665B0">
        <w:t xml:space="preserve">ission. Changes the TUM Operation column from </w:t>
      </w:r>
      <w:r w:rsidRPr="000665B0">
        <w:rPr>
          <w:i/>
          <w:iCs/>
        </w:rPr>
        <w:t>Add</w:t>
      </w:r>
      <w:r w:rsidRPr="000665B0">
        <w:t xml:space="preserve"> to </w:t>
      </w:r>
      <w:r w:rsidRPr="000665B0">
        <w:rPr>
          <w:i/>
          <w:iCs/>
        </w:rPr>
        <w:t>Activate</w:t>
      </w:r>
      <w:r w:rsidRPr="000665B0">
        <w:t>.</w:t>
      </w:r>
    </w:p>
    <w:p w14:paraId="261EC737" w14:textId="77777777" w:rsidR="002E6C28" w:rsidRPr="000665B0" w:rsidRDefault="002E6C28" w:rsidP="006D5A65">
      <w:pPr>
        <w:pStyle w:val="Heading1"/>
      </w:pPr>
      <w:r w:rsidRPr="000665B0">
        <w:t xml:space="preserve">Click on the Save </w:t>
      </w:r>
      <w:r w:rsidRPr="000665B0">
        <w:rPr>
          <w:rFonts w:ascii="Wingdings" w:hAnsi="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05CD496C" w14:textId="77777777" w:rsidR="00911F43" w:rsidRPr="000665B0" w:rsidRDefault="00911F43" w:rsidP="009570CA">
      <w:pPr>
        <w:pStyle w:val="Bullet"/>
      </w:pPr>
      <w:r w:rsidRPr="000665B0">
        <w:t xml:space="preserve">Remove – This removes </w:t>
      </w:r>
      <w:r w:rsidR="00DC7762" w:rsidRPr="000665B0">
        <w:t xml:space="preserve">the selected </w:t>
      </w:r>
      <w:r w:rsidRPr="000665B0">
        <w:t>mission from the TUM. Use with caution.</w:t>
      </w:r>
    </w:p>
    <w:p w14:paraId="2F866FCE" w14:textId="77777777" w:rsidR="00911F43" w:rsidRPr="000665B0" w:rsidRDefault="00911F43" w:rsidP="009570CA">
      <w:pPr>
        <w:pStyle w:val="Bullet"/>
      </w:pPr>
      <w:r w:rsidRPr="000665B0">
        <w:t xml:space="preserve">Edit the classification – </w:t>
      </w:r>
      <w:r w:rsidR="003B0FF8" w:rsidRPr="000665B0">
        <w:t>s</w:t>
      </w:r>
      <w:r w:rsidRPr="000665B0">
        <w:t>elf-explanatory.</w:t>
      </w:r>
    </w:p>
    <w:p w14:paraId="537BF4D2" w14:textId="77777777" w:rsidR="00911F43" w:rsidRPr="000665B0" w:rsidRDefault="00911F43" w:rsidP="009570CA">
      <w:pPr>
        <w:pStyle w:val="Bullet"/>
      </w:pPr>
      <w:r w:rsidRPr="000665B0">
        <w:t>Change the Modifications verbiage – This is the information that is included in paragraph 4 of the TUM.</w:t>
      </w:r>
    </w:p>
    <w:p w14:paraId="556C04F7" w14:textId="77777777" w:rsidR="00911F43" w:rsidRPr="000665B0" w:rsidRDefault="002E6C28" w:rsidP="009570CA">
      <w:pPr>
        <w:pStyle w:val="Bullet"/>
        <w:spacing w:after="0"/>
      </w:pPr>
      <w:r w:rsidRPr="000665B0">
        <w:t>Change the TUM to</w:t>
      </w:r>
      <w:r w:rsidR="00911F43" w:rsidRPr="000665B0">
        <w:t xml:space="preserve"> an exercise TUM.</w:t>
      </w:r>
    </w:p>
    <w:p w14:paraId="2C07480E" w14:textId="342C9C83" w:rsidR="00911F43" w:rsidRPr="000665B0" w:rsidRDefault="00911F43" w:rsidP="009570CA">
      <w:pPr>
        <w:pStyle w:val="Heading3"/>
      </w:pPr>
      <w:bookmarkStart w:id="1631" w:name="_Toc71955220"/>
      <w:bookmarkStart w:id="1632" w:name="_Toc96169850"/>
      <w:bookmarkStart w:id="1633" w:name="_Toc96233895"/>
      <w:bookmarkStart w:id="1634" w:name="_Toc112733324"/>
      <w:bookmarkStart w:id="1635" w:name="_Toc159315079"/>
      <w:bookmarkStart w:id="1636" w:name="_Toc214283209"/>
      <w:r w:rsidRPr="000665B0">
        <w:t>Write to Media</w:t>
      </w:r>
      <w:bookmarkEnd w:id="1631"/>
      <w:bookmarkEnd w:id="1632"/>
      <w:bookmarkEnd w:id="1633"/>
      <w:bookmarkEnd w:id="1634"/>
      <w:bookmarkEnd w:id="1635"/>
      <w:bookmarkEnd w:id="1636"/>
    </w:p>
    <w:p w14:paraId="2E641023" w14:textId="77777777" w:rsidR="00911F43" w:rsidRPr="000665B0" w:rsidRDefault="00911F43" w:rsidP="009570CA">
      <w:r w:rsidRPr="000665B0">
        <w:t>This function writes the TUM to a file in ASCII format for further preparation and distribution as a naval message. After it has been saved, the TUM ID is changed.</w:t>
      </w:r>
    </w:p>
    <w:p w14:paraId="4FCBDA64" w14:textId="77777777" w:rsidR="00911F43" w:rsidRPr="000665B0" w:rsidRDefault="00911F43" w:rsidP="009570CA">
      <w:r w:rsidRPr="000665B0">
        <w:t>After a TUM has been written to an ASCII file, it cannot be modified from the TUM List View. If the operator elects to write the same TUM to a media file, it uses the same name and overwrites the existing one.</w:t>
      </w:r>
    </w:p>
    <w:p w14:paraId="5A8619B3" w14:textId="77777777" w:rsidR="00911F43" w:rsidRPr="000665B0" w:rsidRDefault="00911F43" w:rsidP="009570CA">
      <w:r w:rsidRPr="000665B0">
        <w:t>To send a TUM to a file:</w:t>
      </w:r>
    </w:p>
    <w:p w14:paraId="6594CD07" w14:textId="77777777" w:rsidR="00911F43" w:rsidRPr="000665B0" w:rsidRDefault="00911F43" w:rsidP="006D5A65">
      <w:pPr>
        <w:pStyle w:val="Heading1"/>
      </w:pPr>
      <w:r w:rsidRPr="000665B0">
        <w:lastRenderedPageBreak/>
        <w:t xml:space="preserve">Navigate to the </w:t>
      </w:r>
      <w:r w:rsidRPr="000665B0">
        <w:rPr>
          <w:bCs/>
        </w:rPr>
        <w:t>TUMs Tool</w:t>
      </w:r>
      <w:r w:rsidRPr="000665B0">
        <w:t>.</w:t>
      </w:r>
    </w:p>
    <w:p w14:paraId="188A800E" w14:textId="77777777" w:rsidR="00911F43" w:rsidRPr="000665B0" w:rsidRDefault="00911F43" w:rsidP="006D5A65">
      <w:pPr>
        <w:pStyle w:val="Heading1"/>
      </w:pPr>
      <w:r w:rsidRPr="000665B0">
        <w:t>Display the desired TUM Textually.</w:t>
      </w:r>
    </w:p>
    <w:p w14:paraId="145F4BE4" w14:textId="335A6F49" w:rsidR="00911F43" w:rsidRPr="000665B0" w:rsidRDefault="00911F43" w:rsidP="006D5A65">
      <w:pPr>
        <w:pStyle w:val="Heading1"/>
      </w:pPr>
      <w:r w:rsidRPr="000665B0">
        <w:t xml:space="preserve">From the File menu select </w:t>
      </w:r>
      <w:r w:rsidRPr="000665B0">
        <w:rPr>
          <w:bCs/>
        </w:rPr>
        <w:t xml:space="preserve">Write to Media or click the Write to Media </w:t>
      </w:r>
      <w:r w:rsidRPr="000665B0">
        <w:rPr>
          <w:bCs/>
          <w:noProof/>
        </w:rPr>
        <w:drawing>
          <wp:inline distT="0" distB="0" distL="0" distR="0" wp14:anchorId="361D1892" wp14:editId="7B9C4619">
            <wp:extent cx="152400" cy="152400"/>
            <wp:effectExtent l="0" t="0" r="0" b="0"/>
            <wp:docPr id="13" name="Picture 13" descr="WriteTo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riteToMedia"/>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rPr>
          <w:bCs/>
        </w:rPr>
        <w:t xml:space="preserve"> icon on the toolbar</w:t>
      </w:r>
      <w:r w:rsidRPr="000665B0">
        <w:t xml:space="preserve">. The </w:t>
      </w:r>
      <w:r w:rsidRPr="000665B0">
        <w:rPr>
          <w:i/>
        </w:rPr>
        <w:t xml:space="preserve">TUM ID </w:t>
      </w:r>
      <w:r w:rsidR="00E44197" w:rsidRPr="000665B0">
        <w:rPr>
          <w:i/>
        </w:rPr>
        <w:t>XXXX-XX-XXXX</w:t>
      </w:r>
      <w:r w:rsidRPr="000665B0">
        <w:t xml:space="preserve"> window is displayed. This window provides the operator with a chance to change the Destroy NLT Date as </w:t>
      </w:r>
      <w:r w:rsidR="00C54F21" w:rsidRPr="000665B0">
        <w:t>desired or</w:t>
      </w:r>
      <w:r w:rsidRPr="000665B0">
        <w:t xml:space="preserve"> use the system</w:t>
      </w:r>
      <w:r w:rsidR="00E44197" w:rsidRPr="000665B0">
        <w:t>-</w:t>
      </w:r>
      <w:r w:rsidRPr="000665B0">
        <w:t>generated default.</w:t>
      </w:r>
    </w:p>
    <w:p w14:paraId="26EF2326" w14:textId="06863620" w:rsidR="00911F43" w:rsidRPr="000665B0" w:rsidRDefault="000B6498" w:rsidP="009570CA">
      <w:pPr>
        <w:jc w:val="center"/>
      </w:pPr>
      <w:r w:rsidRPr="000665B0">
        <w:rPr>
          <w:noProof/>
        </w:rPr>
        <w:drawing>
          <wp:inline distT="0" distB="0" distL="0" distR="0" wp14:anchorId="677148AD" wp14:editId="7DEE2DD6">
            <wp:extent cx="2743200" cy="1709928"/>
            <wp:effectExtent l="0" t="0" r="0" b="5080"/>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709928"/>
                    </a:xfrm>
                    <a:prstGeom prst="rect">
                      <a:avLst/>
                    </a:prstGeom>
                  </pic:spPr>
                </pic:pic>
              </a:graphicData>
            </a:graphic>
          </wp:inline>
        </w:drawing>
      </w:r>
    </w:p>
    <w:p w14:paraId="3F2440EC" w14:textId="77777777" w:rsidR="00911F43" w:rsidRPr="000665B0" w:rsidRDefault="00911F43" w:rsidP="006D5A65">
      <w:pPr>
        <w:pStyle w:val="Heading1"/>
      </w:pPr>
      <w:r w:rsidRPr="000665B0">
        <w:t xml:space="preserve">Select the desired date for the Destroy NLT field from the pull down calendar. Click the </w:t>
      </w:r>
      <w:r w:rsidRPr="000665B0">
        <w:rPr>
          <w:bCs/>
        </w:rPr>
        <w:t>OK</w:t>
      </w:r>
      <w:r w:rsidRPr="000665B0">
        <w:t xml:space="preserve"> button when the appropriate date is selected. The </w:t>
      </w:r>
      <w:r w:rsidRPr="000665B0">
        <w:rPr>
          <w:i/>
        </w:rPr>
        <w:t>Browse For Folder</w:t>
      </w:r>
      <w:r w:rsidRPr="000665B0">
        <w:t xml:space="preserve"> window is displayed.</w:t>
      </w:r>
    </w:p>
    <w:p w14:paraId="6CDB6896" w14:textId="5A44BACA" w:rsidR="00911F43" w:rsidRPr="000665B0" w:rsidRDefault="00080427" w:rsidP="009570CA">
      <w:pPr>
        <w:jc w:val="center"/>
      </w:pPr>
      <w:r w:rsidRPr="000665B0">
        <w:rPr>
          <w:noProof/>
        </w:rPr>
        <w:drawing>
          <wp:inline distT="0" distB="0" distL="0" distR="0" wp14:anchorId="2448F955" wp14:editId="324B316E">
            <wp:extent cx="2286000" cy="2020824"/>
            <wp:effectExtent l="0" t="0" r="0" b="0"/>
            <wp:docPr id="1929" name="Picture 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2020824"/>
                    </a:xfrm>
                    <a:prstGeom prst="rect">
                      <a:avLst/>
                    </a:prstGeom>
                  </pic:spPr>
                </pic:pic>
              </a:graphicData>
            </a:graphic>
          </wp:inline>
        </w:drawing>
      </w:r>
    </w:p>
    <w:p w14:paraId="38482DF1" w14:textId="77777777" w:rsidR="00911F43" w:rsidRPr="000665B0" w:rsidRDefault="00911F43" w:rsidP="006D5A65">
      <w:pPr>
        <w:pStyle w:val="Heading1"/>
      </w:pPr>
      <w:r w:rsidRPr="000665B0">
        <w:t xml:space="preserve">In the </w:t>
      </w:r>
      <w:r w:rsidRPr="000665B0">
        <w:rPr>
          <w:i/>
        </w:rPr>
        <w:t>Browse For Folder</w:t>
      </w:r>
      <w:r w:rsidRPr="000665B0">
        <w:t xml:space="preserve"> window, navigate to the folder in which the file is </w:t>
      </w:r>
      <w:r w:rsidR="00464CED" w:rsidRPr="000665B0">
        <w:t xml:space="preserve">to be </w:t>
      </w:r>
      <w:r w:rsidRPr="000665B0">
        <w:t xml:space="preserve">saved. Click the </w:t>
      </w:r>
      <w:r w:rsidRPr="000665B0">
        <w:rPr>
          <w:bCs/>
        </w:rPr>
        <w:t xml:space="preserve">OK button </w:t>
      </w:r>
      <w:r w:rsidRPr="000665B0">
        <w:t>to create and save the file.</w:t>
      </w:r>
    </w:p>
    <w:p w14:paraId="44173C4F" w14:textId="0A03262F" w:rsidR="00911F43" w:rsidRPr="000665B0" w:rsidRDefault="00911F43" w:rsidP="009570CA">
      <w:pPr>
        <w:pStyle w:val="Heading3"/>
      </w:pPr>
      <w:bookmarkStart w:id="1637" w:name="_5.8.5__Receive_TUM"/>
      <w:bookmarkStart w:id="1638" w:name="_5.9.5__Receive_TUM"/>
      <w:bookmarkStart w:id="1639" w:name="_5.9.5__Receive"/>
      <w:bookmarkStart w:id="1640" w:name="_Toc71955221"/>
      <w:bookmarkStart w:id="1641" w:name="_Toc96169851"/>
      <w:bookmarkStart w:id="1642" w:name="_Toc96233896"/>
      <w:bookmarkStart w:id="1643" w:name="_Toc112733325"/>
      <w:bookmarkStart w:id="1644" w:name="_Toc159315080"/>
      <w:bookmarkStart w:id="1645" w:name="_Toc214283210"/>
      <w:bookmarkEnd w:id="1637"/>
      <w:bookmarkEnd w:id="1638"/>
      <w:bookmarkEnd w:id="1639"/>
      <w:r w:rsidRPr="000665B0">
        <w:t>Receive TUM</w:t>
      </w:r>
      <w:bookmarkEnd w:id="1640"/>
      <w:bookmarkEnd w:id="1641"/>
      <w:bookmarkEnd w:id="1642"/>
      <w:bookmarkEnd w:id="1643"/>
      <w:bookmarkEnd w:id="1644"/>
      <w:bookmarkEnd w:id="1645"/>
    </w:p>
    <w:p w14:paraId="4A7180A9" w14:textId="1201A0F4" w:rsidR="00911F43" w:rsidRPr="000665B0" w:rsidRDefault="00911F43" w:rsidP="009570CA">
      <w:pPr>
        <w:spacing w:after="0"/>
      </w:pPr>
      <w:r w:rsidRPr="000665B0">
        <w:t>If receiving a hardcopy TUM, add the new mission(s) or activate/deactivate the mission(s) by changing the mission state (</w:t>
      </w:r>
      <w:hyperlink w:anchor="_5.6.7__Change_Mission(s)_State" w:history="1">
        <w:r w:rsidRPr="000665B0">
          <w:rPr>
            <w:rStyle w:val="Hyperlink"/>
          </w:rPr>
          <w:t>Section 5.</w:t>
        </w:r>
        <w:r w:rsidR="00C526BF" w:rsidRPr="000665B0">
          <w:rPr>
            <w:rStyle w:val="Hyperlink"/>
          </w:rPr>
          <w:t>5</w:t>
        </w:r>
        <w:r w:rsidRPr="000665B0">
          <w:rPr>
            <w:rStyle w:val="Hyperlink"/>
          </w:rPr>
          <w:t>.</w:t>
        </w:r>
        <w:r w:rsidR="00E96243" w:rsidRPr="000665B0">
          <w:rPr>
            <w:rStyle w:val="Hyperlink"/>
          </w:rPr>
          <w:t>6</w:t>
        </w:r>
      </w:hyperlink>
      <w:r w:rsidRPr="000665B0">
        <w:t xml:space="preserve">). </w:t>
      </w:r>
      <w:r w:rsidR="0070401D" w:rsidRPr="000665B0">
        <w:t xml:space="preserve">To receive an electronic TUM message, follow the steps provided in </w:t>
      </w:r>
      <w:hyperlink w:anchor="_5.2.1.7__Receive" w:history="1">
        <w:r w:rsidR="0070401D" w:rsidRPr="000665B0">
          <w:rPr>
            <w:rStyle w:val="Hyperlink"/>
          </w:rPr>
          <w:t>Section 5.2.1.7</w:t>
        </w:r>
      </w:hyperlink>
      <w:r w:rsidR="0070401D" w:rsidRPr="000665B0">
        <w:t xml:space="preserve">. </w:t>
      </w:r>
      <w:r w:rsidRPr="000665B0">
        <w:t xml:space="preserve">By using the </w:t>
      </w:r>
      <w:r w:rsidRPr="000665B0">
        <w:rPr>
          <w:b/>
          <w:bCs/>
        </w:rPr>
        <w:t xml:space="preserve">File </w:t>
      </w:r>
      <w:r w:rsidR="008E76B3" w:rsidRPr="000665B0">
        <w:rPr>
          <w:b/>
        </w:rPr>
        <w:sym w:font="Wingdings" w:char="F0E0"/>
      </w:r>
      <w:r w:rsidRPr="000665B0">
        <w:rPr>
          <w:b/>
          <w:bCs/>
        </w:rPr>
        <w:t xml:space="preserve"> Receive File</w:t>
      </w:r>
      <w:r w:rsidRPr="000665B0">
        <w:t xml:space="preserve"> option, the system recognizes the TUM format and an entry is placed into the </w:t>
      </w:r>
      <w:r w:rsidR="00464CED" w:rsidRPr="000665B0">
        <w:t xml:space="preserve">TUMs </w:t>
      </w:r>
      <w:r w:rsidRPr="000665B0">
        <w:t>Tool for reference.</w:t>
      </w:r>
      <w:r w:rsidR="00C13FF3" w:rsidRPr="000665B0">
        <w:t xml:space="preserve"> MDS does not automatically activate/deactivate missions when receiving an electronic TUM message.</w:t>
      </w:r>
    </w:p>
    <w:p w14:paraId="7F61A4B0" w14:textId="04B2BAFA" w:rsidR="00911F43" w:rsidRPr="000665B0" w:rsidRDefault="00911F43" w:rsidP="009570CA">
      <w:pPr>
        <w:pStyle w:val="Heading3"/>
      </w:pPr>
      <w:bookmarkStart w:id="1646" w:name="_Toc71955222"/>
      <w:bookmarkStart w:id="1647" w:name="_Toc96169852"/>
      <w:bookmarkStart w:id="1648" w:name="_Toc96233897"/>
      <w:bookmarkStart w:id="1649" w:name="_Toc112733326"/>
      <w:bookmarkStart w:id="1650" w:name="_Toc159315081"/>
      <w:bookmarkStart w:id="1651" w:name="_Toc214283211"/>
      <w:r w:rsidRPr="000665B0">
        <w:lastRenderedPageBreak/>
        <w:t>Delete</w:t>
      </w:r>
      <w:bookmarkEnd w:id="1646"/>
      <w:bookmarkEnd w:id="1647"/>
      <w:bookmarkEnd w:id="1648"/>
      <w:bookmarkEnd w:id="1649"/>
      <w:bookmarkEnd w:id="1650"/>
      <w:bookmarkEnd w:id="1651"/>
    </w:p>
    <w:p w14:paraId="5FF7F736" w14:textId="064CB858" w:rsidR="00911F43" w:rsidRPr="000665B0" w:rsidRDefault="00F02F03" w:rsidP="009570CA">
      <w:pPr>
        <w:spacing w:after="0"/>
      </w:pPr>
      <w:r w:rsidRPr="000665B0">
        <w:t>See</w:t>
      </w:r>
      <w:r w:rsidR="00911F43" w:rsidRPr="000665B0">
        <w:t xml:space="preserve"> </w:t>
      </w:r>
      <w:hyperlink w:anchor="_5.2.1.6__Delete" w:history="1">
        <w:r w:rsidR="00911F43" w:rsidRPr="000665B0">
          <w:rPr>
            <w:rStyle w:val="Hyperlink"/>
          </w:rPr>
          <w:t>Section 5.2.1.</w:t>
        </w:r>
        <w:r w:rsidR="00E61F8E" w:rsidRPr="000665B0">
          <w:rPr>
            <w:rStyle w:val="Hyperlink"/>
          </w:rPr>
          <w:t>6</w:t>
        </w:r>
      </w:hyperlink>
      <w:r w:rsidR="00911F43" w:rsidRPr="000665B0">
        <w:t>.</w:t>
      </w:r>
    </w:p>
    <w:p w14:paraId="46D3B573" w14:textId="49871CFE" w:rsidR="00911F43" w:rsidRPr="000665B0" w:rsidRDefault="00911F43" w:rsidP="009570CA">
      <w:pPr>
        <w:pStyle w:val="Heading3"/>
      </w:pPr>
      <w:bookmarkStart w:id="1652" w:name="_Toc71955224"/>
      <w:bookmarkStart w:id="1653" w:name="_Toc96169853"/>
      <w:bookmarkStart w:id="1654" w:name="_Toc96233898"/>
      <w:bookmarkStart w:id="1655" w:name="_Toc112733327"/>
      <w:bookmarkStart w:id="1656" w:name="_Toc159315082"/>
      <w:bookmarkStart w:id="1657" w:name="_Toc214283212"/>
      <w:r w:rsidRPr="000665B0">
        <w:t>Find</w:t>
      </w:r>
      <w:bookmarkEnd w:id="1652"/>
      <w:bookmarkEnd w:id="1653"/>
      <w:bookmarkEnd w:id="1654"/>
      <w:bookmarkEnd w:id="1655"/>
      <w:bookmarkEnd w:id="1656"/>
      <w:bookmarkEnd w:id="1657"/>
    </w:p>
    <w:p w14:paraId="42E4C6A8" w14:textId="2ABBC589" w:rsidR="00911F43" w:rsidRPr="000665B0" w:rsidRDefault="00F02F03" w:rsidP="009570CA">
      <w:pPr>
        <w:spacing w:after="0"/>
      </w:pPr>
      <w:r w:rsidRPr="000665B0">
        <w:t>See</w:t>
      </w:r>
      <w:r w:rsidR="00911F43" w:rsidRPr="000665B0">
        <w:t xml:space="preserve"> </w:t>
      </w:r>
      <w:hyperlink w:anchor="_5.2.5.1__Find_1" w:history="1">
        <w:r w:rsidR="00911F43" w:rsidRPr="000665B0">
          <w:rPr>
            <w:rStyle w:val="Hyperlink"/>
          </w:rPr>
          <w:t>Section 5.2.5.1</w:t>
        </w:r>
      </w:hyperlink>
      <w:r w:rsidR="00911F43" w:rsidRPr="000665B0">
        <w:t>.</w:t>
      </w:r>
    </w:p>
    <w:p w14:paraId="08B7E4C9" w14:textId="77777777" w:rsidR="000C7953" w:rsidRPr="000665B0" w:rsidRDefault="000C7953" w:rsidP="009570CA">
      <w:pPr>
        <w:pStyle w:val="Heading3"/>
      </w:pPr>
      <w:bookmarkStart w:id="1658" w:name="_Toc214283213"/>
      <w:r w:rsidRPr="000665B0">
        <w:t>Plugin Tool</w:t>
      </w:r>
      <w:bookmarkEnd w:id="1658"/>
    </w:p>
    <w:p w14:paraId="1E7EFCE0" w14:textId="0F280EC9" w:rsidR="000C7953" w:rsidRPr="000665B0" w:rsidRDefault="00F02F03" w:rsidP="009570CA">
      <w:pPr>
        <w:spacing w:after="0"/>
      </w:pPr>
      <w:r w:rsidRPr="000665B0">
        <w:t>See</w:t>
      </w:r>
      <w:r w:rsidR="000C7953" w:rsidRPr="000665B0">
        <w:t xml:space="preserve"> </w:t>
      </w:r>
      <w:hyperlink w:anchor="_Plugin__Tool" w:history="1">
        <w:r w:rsidR="000C7953" w:rsidRPr="000665B0">
          <w:rPr>
            <w:rStyle w:val="Hyperlink"/>
          </w:rPr>
          <w:t>Section 5.2.5.2</w:t>
        </w:r>
      </w:hyperlink>
      <w:r w:rsidR="000C7953" w:rsidRPr="000665B0">
        <w:t>.</w:t>
      </w:r>
    </w:p>
    <w:p w14:paraId="5DA5F89D" w14:textId="44FC2564" w:rsidR="00911F43" w:rsidRPr="000665B0" w:rsidRDefault="00911F43" w:rsidP="009570CA">
      <w:pPr>
        <w:pStyle w:val="Heading3"/>
      </w:pPr>
      <w:bookmarkStart w:id="1659" w:name="_Toc71955225"/>
      <w:bookmarkStart w:id="1660" w:name="_Toc96169854"/>
      <w:bookmarkStart w:id="1661" w:name="_Toc96233899"/>
      <w:bookmarkStart w:id="1662" w:name="_Toc112733328"/>
      <w:bookmarkStart w:id="1663" w:name="_Toc159315083"/>
      <w:bookmarkStart w:id="1664" w:name="_Toc214283214"/>
      <w:r w:rsidRPr="000665B0">
        <w:t xml:space="preserve">Print </w:t>
      </w:r>
      <w:bookmarkEnd w:id="1659"/>
      <w:bookmarkEnd w:id="1660"/>
      <w:bookmarkEnd w:id="1661"/>
      <w:bookmarkEnd w:id="1662"/>
      <w:r w:rsidRPr="000665B0">
        <w:t>All</w:t>
      </w:r>
      <w:bookmarkEnd w:id="1663"/>
      <w:bookmarkEnd w:id="1664"/>
    </w:p>
    <w:p w14:paraId="433F9A38" w14:textId="3EF6B512" w:rsidR="00911F43" w:rsidRPr="000665B0" w:rsidRDefault="00F02F03" w:rsidP="009570CA">
      <w:pPr>
        <w:spacing w:after="0"/>
      </w:pPr>
      <w:r w:rsidRPr="000665B0">
        <w:t>See</w:t>
      </w:r>
      <w:r w:rsidR="00911F43" w:rsidRPr="000665B0">
        <w:t xml:space="preserve"> </w:t>
      </w:r>
      <w:hyperlink w:anchor="_5.2.1.5__Print" w:history="1">
        <w:r w:rsidR="00911F43" w:rsidRPr="000665B0">
          <w:rPr>
            <w:rStyle w:val="Hyperlink"/>
          </w:rPr>
          <w:t>Section 5.2.1.5</w:t>
        </w:r>
      </w:hyperlink>
      <w:r w:rsidR="00911F43" w:rsidRPr="000665B0">
        <w:t>.</w:t>
      </w:r>
    </w:p>
    <w:p w14:paraId="7A0C217E" w14:textId="63EB7C2A" w:rsidR="00911F43" w:rsidRPr="000665B0" w:rsidRDefault="00911F43" w:rsidP="009570CA">
      <w:pPr>
        <w:pStyle w:val="Heading3"/>
      </w:pPr>
      <w:bookmarkStart w:id="1665" w:name="_Toc96169855"/>
      <w:bookmarkStart w:id="1666" w:name="_Toc96233900"/>
      <w:bookmarkStart w:id="1667" w:name="_Toc112733329"/>
      <w:bookmarkStart w:id="1668" w:name="_Toc159315084"/>
      <w:bookmarkStart w:id="1669" w:name="_Toc214283215"/>
      <w:bookmarkStart w:id="1670" w:name="_Toc71955226"/>
      <w:r w:rsidRPr="000665B0">
        <w:t>Properties</w:t>
      </w:r>
      <w:bookmarkEnd w:id="1665"/>
      <w:bookmarkEnd w:id="1666"/>
      <w:bookmarkEnd w:id="1667"/>
      <w:bookmarkEnd w:id="1668"/>
      <w:bookmarkEnd w:id="1669"/>
    </w:p>
    <w:p w14:paraId="3E6DE618" w14:textId="5BCEB02B" w:rsidR="00911F43" w:rsidRPr="000665B0" w:rsidRDefault="00F02F03" w:rsidP="009570CA">
      <w:pPr>
        <w:spacing w:after="0"/>
      </w:pPr>
      <w:r w:rsidRPr="000665B0">
        <w:t>See</w:t>
      </w:r>
      <w:r w:rsidR="00911F43" w:rsidRPr="000665B0">
        <w:t xml:space="preserve"> </w:t>
      </w:r>
      <w:hyperlink w:anchor="_5.2.3.4__Properties" w:history="1">
        <w:r w:rsidR="00A75813" w:rsidRPr="000665B0">
          <w:rPr>
            <w:rStyle w:val="Hyperlink"/>
          </w:rPr>
          <w:t>Section 5.2.3.5</w:t>
        </w:r>
      </w:hyperlink>
      <w:r w:rsidR="00911F43" w:rsidRPr="000665B0">
        <w:t>.</w:t>
      </w:r>
    </w:p>
    <w:p w14:paraId="1921025C" w14:textId="2521BDE4" w:rsidR="00911F43" w:rsidRPr="000665B0" w:rsidRDefault="00911F43" w:rsidP="009570CA">
      <w:pPr>
        <w:pStyle w:val="Heading3"/>
      </w:pPr>
      <w:bookmarkStart w:id="1671" w:name="_Toc96169856"/>
      <w:bookmarkStart w:id="1672" w:name="_Toc96233901"/>
      <w:bookmarkStart w:id="1673" w:name="_Toc112733330"/>
      <w:bookmarkStart w:id="1674" w:name="_Toc159315085"/>
      <w:bookmarkStart w:id="1675" w:name="_Toc214283216"/>
      <w:r w:rsidRPr="000665B0">
        <w:t>Sort</w:t>
      </w:r>
      <w:bookmarkEnd w:id="1671"/>
      <w:bookmarkEnd w:id="1672"/>
      <w:bookmarkEnd w:id="1673"/>
      <w:bookmarkEnd w:id="1674"/>
      <w:bookmarkEnd w:id="1675"/>
      <w:r w:rsidRPr="000665B0">
        <w:t xml:space="preserve"> </w:t>
      </w:r>
    </w:p>
    <w:p w14:paraId="22643C85" w14:textId="4CCE2047" w:rsidR="00911F43" w:rsidRPr="000665B0" w:rsidRDefault="00F02F03" w:rsidP="009570CA">
      <w:pPr>
        <w:spacing w:after="0"/>
      </w:pPr>
      <w:r w:rsidRPr="000665B0">
        <w:t>See</w:t>
      </w:r>
      <w:r w:rsidR="00911F43" w:rsidRPr="000665B0">
        <w:t xml:space="preserve"> </w:t>
      </w:r>
      <w:hyperlink w:anchor="_5.2.3.4.1__Sort" w:history="1">
        <w:r w:rsidR="00A75813" w:rsidRPr="000665B0">
          <w:rPr>
            <w:rStyle w:val="Hyperlink"/>
          </w:rPr>
          <w:t>Section 5.2.3.5</w:t>
        </w:r>
        <w:r w:rsidR="00911F43" w:rsidRPr="000665B0">
          <w:rPr>
            <w:rStyle w:val="Hyperlink"/>
          </w:rPr>
          <w:t>.1</w:t>
        </w:r>
      </w:hyperlink>
      <w:r w:rsidR="00911F43" w:rsidRPr="000665B0">
        <w:t>.</w:t>
      </w:r>
    </w:p>
    <w:p w14:paraId="7A727D86" w14:textId="1A7E8728" w:rsidR="00911F43" w:rsidRPr="000665B0" w:rsidRDefault="00911F43" w:rsidP="009570CA">
      <w:pPr>
        <w:pStyle w:val="Heading3"/>
      </w:pPr>
      <w:bookmarkStart w:id="1676" w:name="_Toc96169857"/>
      <w:bookmarkStart w:id="1677" w:name="_Toc96233902"/>
      <w:bookmarkStart w:id="1678" w:name="_Toc112733331"/>
      <w:bookmarkStart w:id="1679" w:name="_Toc159315086"/>
      <w:bookmarkStart w:id="1680" w:name="_Toc214283217"/>
      <w:r w:rsidRPr="000665B0">
        <w:t>Display All in Excel</w:t>
      </w:r>
      <w:bookmarkEnd w:id="1670"/>
      <w:bookmarkEnd w:id="1676"/>
      <w:bookmarkEnd w:id="1677"/>
      <w:bookmarkEnd w:id="1678"/>
      <w:bookmarkEnd w:id="1679"/>
      <w:bookmarkEnd w:id="1680"/>
    </w:p>
    <w:p w14:paraId="15467B43" w14:textId="4C7E8CD5" w:rsidR="00911F43" w:rsidRPr="000665B0" w:rsidRDefault="00F02F03" w:rsidP="009570CA">
      <w:pPr>
        <w:spacing w:after="0"/>
      </w:pPr>
      <w:r w:rsidRPr="000665B0">
        <w:t>See</w:t>
      </w:r>
      <w:r w:rsidR="00911F43" w:rsidRPr="000665B0">
        <w:t xml:space="preserve"> </w:t>
      </w:r>
      <w:hyperlink w:anchor="_5.2.1.2.1__Display_1" w:history="1">
        <w:r w:rsidR="00911F43" w:rsidRPr="000665B0">
          <w:rPr>
            <w:rStyle w:val="Hyperlink"/>
          </w:rPr>
          <w:t>Section 5.2.1.2.1</w:t>
        </w:r>
      </w:hyperlink>
      <w:r w:rsidR="00911F43" w:rsidRPr="000665B0">
        <w:t>.</w:t>
      </w:r>
    </w:p>
    <w:p w14:paraId="4BF37D4D" w14:textId="4BEB1B10" w:rsidR="00911F43" w:rsidRPr="000665B0" w:rsidRDefault="00911F43" w:rsidP="009570CA">
      <w:pPr>
        <w:pStyle w:val="Heading3"/>
      </w:pPr>
      <w:bookmarkStart w:id="1681" w:name="_Toc71955227"/>
      <w:bookmarkStart w:id="1682" w:name="_Toc96169858"/>
      <w:bookmarkStart w:id="1683" w:name="_Toc96233903"/>
      <w:bookmarkStart w:id="1684" w:name="_Toc112733332"/>
      <w:bookmarkStart w:id="1685" w:name="_Toc159315087"/>
      <w:bookmarkStart w:id="1686" w:name="_Toc214283218"/>
      <w:r w:rsidRPr="000665B0">
        <w:t>Select All</w:t>
      </w:r>
      <w:bookmarkEnd w:id="1681"/>
      <w:bookmarkEnd w:id="1682"/>
      <w:bookmarkEnd w:id="1683"/>
      <w:bookmarkEnd w:id="1684"/>
      <w:bookmarkEnd w:id="1685"/>
      <w:bookmarkEnd w:id="1686"/>
    </w:p>
    <w:p w14:paraId="571AC325" w14:textId="0F298036" w:rsidR="00911F43" w:rsidRPr="000665B0" w:rsidRDefault="00F02F03" w:rsidP="009570CA">
      <w:pPr>
        <w:spacing w:after="0"/>
      </w:pPr>
      <w:r w:rsidRPr="000665B0">
        <w:t>See</w:t>
      </w:r>
      <w:r w:rsidR="00911F43" w:rsidRPr="000665B0">
        <w:t xml:space="preserve"> </w:t>
      </w:r>
      <w:hyperlink w:anchor="_5.2.2.1__Select_1" w:history="1">
        <w:r w:rsidR="00911F43" w:rsidRPr="000665B0">
          <w:rPr>
            <w:rStyle w:val="Hyperlink"/>
          </w:rPr>
          <w:t>Section 5.2.2.1</w:t>
        </w:r>
      </w:hyperlink>
      <w:r w:rsidR="00911F43" w:rsidRPr="000665B0">
        <w:t>.</w:t>
      </w:r>
    </w:p>
    <w:p w14:paraId="38BD49EB" w14:textId="4E3F8C72" w:rsidR="009F0AEC" w:rsidRPr="000665B0" w:rsidRDefault="009F0AEC" w:rsidP="009570CA">
      <w:pPr>
        <w:pStyle w:val="Heading3"/>
      </w:pPr>
      <w:bookmarkStart w:id="1687" w:name="_Toc214283219"/>
      <w:r w:rsidRPr="000665B0">
        <w:t>Receive File</w:t>
      </w:r>
      <w:bookmarkEnd w:id="1687"/>
    </w:p>
    <w:p w14:paraId="478F1955" w14:textId="12852D04" w:rsidR="00291603" w:rsidRDefault="00F02F03" w:rsidP="00291603">
      <w:pPr>
        <w:spacing w:after="0"/>
      </w:pPr>
      <w:r w:rsidRPr="000665B0">
        <w:t>See</w:t>
      </w:r>
      <w:r w:rsidR="009F0AEC" w:rsidRPr="000665B0">
        <w:t xml:space="preserve"> </w:t>
      </w:r>
      <w:hyperlink w:anchor="_5.2.1.7__Receive" w:history="1">
        <w:r w:rsidR="009F0AEC" w:rsidRPr="000665B0">
          <w:rPr>
            <w:rStyle w:val="Hyperlink"/>
          </w:rPr>
          <w:t>Section 5.2.1.7</w:t>
        </w:r>
      </w:hyperlink>
      <w:r w:rsidR="009F0AEC" w:rsidRPr="000665B0">
        <w:t>.</w:t>
      </w:r>
      <w:r w:rsidR="00291603">
        <w:t xml:space="preserve"> </w:t>
      </w:r>
    </w:p>
    <w:p w14:paraId="72B3F4F9" w14:textId="77777777" w:rsidR="00A316EA" w:rsidRDefault="00A316EA" w:rsidP="00291603">
      <w:pPr>
        <w:spacing w:after="0"/>
      </w:pPr>
      <w:r>
        <w:br w:type="page"/>
      </w:r>
      <w:bookmarkStart w:id="1688" w:name="_5.10__IQVC"/>
      <w:bookmarkStart w:id="1689" w:name="_Toc96169859"/>
      <w:bookmarkStart w:id="1690" w:name="_Toc96233904"/>
      <w:bookmarkStart w:id="1691" w:name="_Toc112733333"/>
      <w:bookmarkStart w:id="1692" w:name="_Toc289328308"/>
      <w:bookmarkStart w:id="1693" w:name="_Toc312331731"/>
      <w:bookmarkStart w:id="1694" w:name="_Toc214283220"/>
      <w:bookmarkEnd w:id="1688"/>
      <w:r w:rsidR="005D1A26" w:rsidRPr="000665B0">
        <w:lastRenderedPageBreak/>
        <w:t>IQVC ERROR LOG TOOL</w:t>
      </w:r>
      <w:bookmarkEnd w:id="1689"/>
      <w:bookmarkEnd w:id="1690"/>
      <w:bookmarkEnd w:id="1691"/>
      <w:bookmarkEnd w:id="1692"/>
      <w:bookmarkEnd w:id="1693"/>
      <w:bookmarkEnd w:id="1694"/>
    </w:p>
    <w:p w14:paraId="167534A3" w14:textId="77777777" w:rsidR="005D1A26" w:rsidRPr="000665B0" w:rsidRDefault="005D1A26" w:rsidP="009570CA">
      <w:r w:rsidRPr="000665B0">
        <w:t>IQVCs ensure the validity of a mission. The IQVC Log Tool displays entries describing the results of running IQVC on a single mission or by performing the Re-IQVC option from the Missions Tool. After IQVC is performed, an entry is placed in this log.</w:t>
      </w:r>
    </w:p>
    <w:p w14:paraId="29710764" w14:textId="77777777" w:rsidR="005D1A26" w:rsidRPr="000665B0" w:rsidRDefault="005D1A26" w:rsidP="009570CA">
      <w:r w:rsidRPr="000665B0">
        <w:t>To display the IQVC Error Log:</w:t>
      </w:r>
    </w:p>
    <w:p w14:paraId="70354750" w14:textId="77777777" w:rsidR="005D1A26" w:rsidRPr="000665B0" w:rsidRDefault="005D1A26" w:rsidP="009570CA">
      <w:pPr>
        <w:pStyle w:val="Number0205"/>
        <w:spacing w:after="240"/>
        <w:ind w:left="360" w:firstLine="0"/>
      </w:pPr>
      <w:r w:rsidRPr="000665B0">
        <w:t xml:space="preserve">From the </w:t>
      </w:r>
      <w:r w:rsidRPr="000665B0">
        <w:rPr>
          <w:b/>
        </w:rPr>
        <w:t>Go</w:t>
      </w:r>
      <w:r w:rsidRPr="000665B0">
        <w:t xml:space="preserve"> menu select </w:t>
      </w:r>
      <w:r w:rsidRPr="000665B0">
        <w:rPr>
          <w:b/>
          <w:bCs/>
        </w:rPr>
        <w:t>IQVC Error Log</w:t>
      </w:r>
      <w:r w:rsidRPr="000665B0">
        <w:t>.</w:t>
      </w:r>
    </w:p>
    <w:p w14:paraId="46FDCCE9" w14:textId="4FAAED03" w:rsidR="005D1A26" w:rsidRPr="000665B0" w:rsidRDefault="00702977" w:rsidP="009570CA">
      <w:pPr>
        <w:jc w:val="center"/>
      </w:pPr>
      <w:r w:rsidRPr="000665B0">
        <w:rPr>
          <w:noProof/>
        </w:rPr>
        <w:drawing>
          <wp:inline distT="0" distB="0" distL="0" distR="0" wp14:anchorId="3846513E" wp14:editId="23169D41">
            <wp:extent cx="4572000" cy="2203704"/>
            <wp:effectExtent l="0" t="0" r="0" b="0"/>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2203704"/>
                    </a:xfrm>
                    <a:prstGeom prst="rect">
                      <a:avLst/>
                    </a:prstGeom>
                  </pic:spPr>
                </pic:pic>
              </a:graphicData>
            </a:graphic>
          </wp:inline>
        </w:drawing>
      </w:r>
    </w:p>
    <w:p w14:paraId="11AAE26F" w14:textId="0A7C09E7" w:rsidR="005D1A26" w:rsidRPr="000665B0" w:rsidRDefault="005D1A26" w:rsidP="009570CA">
      <w:pPr>
        <w:pStyle w:val="Heading3"/>
      </w:pPr>
      <w:bookmarkStart w:id="1695" w:name="_Toc71955230"/>
      <w:bookmarkStart w:id="1696" w:name="_Toc96169860"/>
      <w:bookmarkStart w:id="1697" w:name="_Toc96233905"/>
      <w:bookmarkStart w:id="1698" w:name="_Toc112733334"/>
      <w:bookmarkStart w:id="1699" w:name="_Toc289328309"/>
      <w:bookmarkStart w:id="1700" w:name="_Toc312331732"/>
      <w:bookmarkStart w:id="1701" w:name="_Toc214283221"/>
      <w:r w:rsidRPr="000665B0">
        <w:t>Display IQVC Log Entry</w:t>
      </w:r>
      <w:bookmarkEnd w:id="1695"/>
      <w:bookmarkEnd w:id="1696"/>
      <w:bookmarkEnd w:id="1697"/>
      <w:bookmarkEnd w:id="1698"/>
      <w:bookmarkEnd w:id="1699"/>
      <w:bookmarkEnd w:id="1700"/>
      <w:bookmarkEnd w:id="1701"/>
    </w:p>
    <w:p w14:paraId="63BD835B" w14:textId="77777777" w:rsidR="005D1A26" w:rsidRPr="000665B0" w:rsidRDefault="005D1A26" w:rsidP="009570CA">
      <w:r w:rsidRPr="000665B0">
        <w:t>This capability gives the operator the ability to view the details of the entry. For missions that fail, it provides detailed information of the IQVC failures. This information can then be used to correct the problem.</w:t>
      </w:r>
    </w:p>
    <w:p w14:paraId="78651B63" w14:textId="77777777" w:rsidR="005D1A26" w:rsidRPr="000665B0" w:rsidRDefault="005D1A26" w:rsidP="009570CA">
      <w:r w:rsidRPr="000665B0">
        <w:t>To display the log entry:</w:t>
      </w:r>
    </w:p>
    <w:p w14:paraId="59D8A34B" w14:textId="77777777" w:rsidR="005D1A26" w:rsidRPr="000665B0" w:rsidRDefault="005D1A26" w:rsidP="006D5A65">
      <w:pPr>
        <w:pStyle w:val="Heading1"/>
      </w:pPr>
      <w:r w:rsidRPr="000665B0">
        <w:t xml:space="preserve">Navigate to the </w:t>
      </w:r>
      <w:r w:rsidRPr="000665B0">
        <w:rPr>
          <w:bCs/>
        </w:rPr>
        <w:t xml:space="preserve">IQVC Error Log Tool and </w:t>
      </w:r>
      <w:r w:rsidRPr="000665B0">
        <w:t>highlight the desired entry.</w:t>
      </w:r>
    </w:p>
    <w:p w14:paraId="66FD57AD" w14:textId="5D7EF455" w:rsidR="005D1A26" w:rsidRPr="000665B0" w:rsidRDefault="005D1A26" w:rsidP="006D5A65">
      <w:pPr>
        <w:pStyle w:val="Heading1"/>
      </w:pPr>
      <w:r w:rsidRPr="000665B0">
        <w:t xml:space="preserve">From the File menu select </w:t>
      </w:r>
      <w:r w:rsidRPr="000665B0">
        <w:rPr>
          <w:bCs/>
        </w:rPr>
        <w:t xml:space="preserve">Display </w:t>
      </w:r>
      <w:r w:rsidR="00A05D58" w:rsidRPr="000665B0">
        <w:sym w:font="Wingdings" w:char="F0E0"/>
      </w:r>
      <w:r w:rsidRPr="000665B0">
        <w:rPr>
          <w:bCs/>
        </w:rPr>
        <w:t xml:space="preserve"> </w:t>
      </w:r>
      <w:r w:rsidR="00652740" w:rsidRPr="000665B0">
        <w:rPr>
          <w:bCs/>
        </w:rPr>
        <w:t>Textually</w:t>
      </w:r>
      <w:r w:rsidR="00652740" w:rsidRPr="000665B0">
        <w:t xml:space="preserve"> or</w:t>
      </w:r>
      <w:r w:rsidRPr="000665B0">
        <w:t xml:space="preserve"> invoke the context menu (by </w:t>
      </w:r>
      <w:r w:rsidR="00D71804" w:rsidRPr="000665B0">
        <w:t>right-click</w:t>
      </w:r>
      <w:r w:rsidRPr="000665B0">
        <w:t xml:space="preserve">ing the mouse) and select </w:t>
      </w:r>
      <w:r w:rsidRPr="000665B0">
        <w:rPr>
          <w:bCs/>
        </w:rPr>
        <w:t xml:space="preserve">Display </w:t>
      </w:r>
      <w:r w:rsidR="00A05D58" w:rsidRPr="000665B0">
        <w:sym w:font="Wingdings" w:char="F0E0"/>
      </w:r>
      <w:r w:rsidRPr="000665B0">
        <w:rPr>
          <w:bCs/>
        </w:rPr>
        <w:t xml:space="preserve"> Textually</w:t>
      </w:r>
      <w:r w:rsidRPr="000665B0">
        <w:t>.</w:t>
      </w:r>
    </w:p>
    <w:p w14:paraId="2019631D" w14:textId="77777777" w:rsidR="005D1A26" w:rsidRPr="000665B0" w:rsidRDefault="005D1A26" w:rsidP="009570CA">
      <w:pPr>
        <w:spacing w:after="0"/>
      </w:pPr>
      <w:r w:rsidRPr="000665B0">
        <w:t xml:space="preserve">For detailed information about an IQVC error, select the IQVC error from the IQVC error list view. Details </w:t>
      </w:r>
      <w:r w:rsidR="008B1D8F" w:rsidRPr="000665B0">
        <w:t>are</w:t>
      </w:r>
      <w:r w:rsidRPr="000665B0">
        <w:t xml:space="preserve"> displayed in the preview pane at the bottom of the IQVC error log entry textual display.</w:t>
      </w:r>
    </w:p>
    <w:p w14:paraId="08FC0C28" w14:textId="5394A9E0" w:rsidR="00A25E53" w:rsidRPr="000665B0" w:rsidRDefault="00A25E53" w:rsidP="009570CA">
      <w:pPr>
        <w:pStyle w:val="Heading3"/>
      </w:pPr>
      <w:bookmarkStart w:id="1702" w:name="_5.10.2__IQVC_Error_Notifications"/>
      <w:bookmarkStart w:id="1703" w:name="_Toc289328310"/>
      <w:bookmarkStart w:id="1704" w:name="_Toc312331733"/>
      <w:bookmarkStart w:id="1705" w:name="_Toc214283222"/>
      <w:bookmarkStart w:id="1706" w:name="_Toc71955234"/>
      <w:bookmarkStart w:id="1707" w:name="_Toc96169861"/>
      <w:bookmarkStart w:id="1708" w:name="_Toc96233906"/>
      <w:bookmarkStart w:id="1709" w:name="_Toc112733335"/>
      <w:bookmarkEnd w:id="1702"/>
      <w:r w:rsidRPr="000665B0">
        <w:t>IQVC Error Notifications</w:t>
      </w:r>
      <w:bookmarkEnd w:id="1703"/>
      <w:bookmarkEnd w:id="1704"/>
      <w:bookmarkEnd w:id="1705"/>
    </w:p>
    <w:p w14:paraId="486B0BFC" w14:textId="77777777" w:rsidR="00A25E53" w:rsidRPr="000665B0" w:rsidRDefault="00A25E53" w:rsidP="009570CA">
      <w:r w:rsidRPr="000665B0">
        <w:t xml:space="preserve">Providing greater visual and audio cues for different events, </w:t>
      </w:r>
      <w:r w:rsidR="008B1D8F" w:rsidRPr="000665B0">
        <w:t xml:space="preserve">IQVC Error Notifications alert </w:t>
      </w:r>
      <w:r w:rsidRPr="000665B0">
        <w:t xml:space="preserve">the operator </w:t>
      </w:r>
      <w:r w:rsidR="008B1D8F" w:rsidRPr="000665B0">
        <w:t>to</w:t>
      </w:r>
      <w:r w:rsidRPr="000665B0">
        <w:t xml:space="preserve"> incoming IQVC error log entries by either sound or pop-up notifications.</w:t>
      </w:r>
    </w:p>
    <w:p w14:paraId="4DB797E4" w14:textId="5810AD64" w:rsidR="00A25E53" w:rsidRPr="000665B0" w:rsidRDefault="00A25E53" w:rsidP="009570CA">
      <w:pPr>
        <w:spacing w:after="0"/>
      </w:pPr>
      <w:r w:rsidRPr="000665B0">
        <w:t xml:space="preserve">To learn about the features of the Sound/Pop-up Notifications see </w:t>
      </w:r>
      <w:hyperlink w:anchor="_5.44__SOUND_1" w:history="1">
        <w:r w:rsidR="00A81D38" w:rsidRPr="000665B0">
          <w:rPr>
            <w:rStyle w:val="Hyperlink"/>
          </w:rPr>
          <w:t xml:space="preserve">Section </w:t>
        </w:r>
        <w:r w:rsidR="004231CC">
          <w:rPr>
            <w:rStyle w:val="Hyperlink"/>
          </w:rPr>
          <w:t>5.42</w:t>
        </w:r>
      </w:hyperlink>
      <w:r w:rsidRPr="000665B0">
        <w:t>.</w:t>
      </w:r>
    </w:p>
    <w:p w14:paraId="174ADB66" w14:textId="212DEB7C" w:rsidR="005D1A26" w:rsidRPr="000665B0" w:rsidRDefault="005D1A26" w:rsidP="006F710C">
      <w:pPr>
        <w:pStyle w:val="Heading3"/>
        <w:pageBreakBefore/>
      </w:pPr>
      <w:bookmarkStart w:id="1710" w:name="_Toc289328311"/>
      <w:bookmarkStart w:id="1711" w:name="_Toc312331734"/>
      <w:bookmarkStart w:id="1712" w:name="_Toc214283223"/>
      <w:r w:rsidRPr="000665B0">
        <w:lastRenderedPageBreak/>
        <w:t>Find</w:t>
      </w:r>
      <w:bookmarkEnd w:id="1706"/>
      <w:bookmarkEnd w:id="1707"/>
      <w:bookmarkEnd w:id="1708"/>
      <w:bookmarkEnd w:id="1709"/>
      <w:bookmarkEnd w:id="1710"/>
      <w:bookmarkEnd w:id="1711"/>
      <w:bookmarkEnd w:id="1712"/>
    </w:p>
    <w:p w14:paraId="2DCF9C2A" w14:textId="1EEFC8D8" w:rsidR="005D1A26" w:rsidRPr="000665B0" w:rsidRDefault="00F02F03" w:rsidP="009570CA">
      <w:pPr>
        <w:pStyle w:val="Bullet"/>
        <w:spacing w:after="0" w:line="240" w:lineRule="auto"/>
      </w:pPr>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7C49369E" w14:textId="77777777" w:rsidR="000C7953" w:rsidRPr="000665B0" w:rsidRDefault="000C7953" w:rsidP="009570CA">
      <w:pPr>
        <w:pStyle w:val="Heading3"/>
      </w:pPr>
      <w:bookmarkStart w:id="1713" w:name="_Toc214283224"/>
      <w:r w:rsidRPr="000665B0">
        <w:t>Plugin Tool</w:t>
      </w:r>
      <w:bookmarkEnd w:id="1713"/>
    </w:p>
    <w:p w14:paraId="7555EBEF" w14:textId="38B3D487" w:rsidR="000C7953" w:rsidRPr="000665B0" w:rsidRDefault="00F02F03" w:rsidP="009570CA">
      <w:pPr>
        <w:pStyle w:val="Bullet"/>
        <w:spacing w:after="0" w:line="240" w:lineRule="auto"/>
      </w:pPr>
      <w:r w:rsidRPr="000665B0">
        <w:t>See</w:t>
      </w:r>
      <w:r w:rsidR="000C7953" w:rsidRPr="000665B0">
        <w:t xml:space="preserve"> </w:t>
      </w:r>
      <w:hyperlink w:anchor="_Plugin__Tool" w:history="1">
        <w:r w:rsidR="000C7953" w:rsidRPr="000665B0">
          <w:rPr>
            <w:rStyle w:val="Hyperlink"/>
          </w:rPr>
          <w:t>Section 5.2.5.2</w:t>
        </w:r>
      </w:hyperlink>
      <w:r w:rsidR="000C7953" w:rsidRPr="000665B0">
        <w:t>.</w:t>
      </w:r>
    </w:p>
    <w:p w14:paraId="10A6D55F" w14:textId="6AD4A7C5" w:rsidR="005D1A26" w:rsidRPr="000665B0" w:rsidRDefault="005D1A26" w:rsidP="009570CA">
      <w:pPr>
        <w:pStyle w:val="Heading3"/>
      </w:pPr>
      <w:bookmarkStart w:id="1714" w:name="_Toc71955235"/>
      <w:bookmarkStart w:id="1715" w:name="_Toc96169862"/>
      <w:bookmarkStart w:id="1716" w:name="_Toc96233907"/>
      <w:bookmarkStart w:id="1717" w:name="_Toc112733336"/>
      <w:bookmarkStart w:id="1718" w:name="_Toc289328312"/>
      <w:bookmarkStart w:id="1719" w:name="_Toc312331735"/>
      <w:bookmarkStart w:id="1720" w:name="_Toc214283225"/>
      <w:r w:rsidRPr="000665B0">
        <w:t xml:space="preserve">Print </w:t>
      </w:r>
      <w:bookmarkEnd w:id="1714"/>
      <w:bookmarkEnd w:id="1715"/>
      <w:bookmarkEnd w:id="1716"/>
      <w:bookmarkEnd w:id="1717"/>
      <w:r w:rsidR="009C637B" w:rsidRPr="000665B0">
        <w:t>All</w:t>
      </w:r>
      <w:bookmarkEnd w:id="1718"/>
      <w:bookmarkEnd w:id="1719"/>
      <w:bookmarkEnd w:id="1720"/>
    </w:p>
    <w:p w14:paraId="6B545661" w14:textId="545EE215" w:rsidR="005D1A26" w:rsidRPr="000665B0" w:rsidRDefault="00F02F03" w:rsidP="009570CA">
      <w:pPr>
        <w:pStyle w:val="Bullet"/>
        <w:spacing w:after="0" w:line="240" w:lineRule="auto"/>
      </w:pPr>
      <w:r w:rsidRPr="000665B0">
        <w:t>See</w:t>
      </w:r>
      <w:r w:rsidR="005D1A26" w:rsidRPr="000665B0">
        <w:t xml:space="preserve"> </w:t>
      </w:r>
      <w:hyperlink w:anchor="_5.2.1.5__Print" w:history="1">
        <w:r w:rsidR="005D1A26" w:rsidRPr="000665B0">
          <w:rPr>
            <w:rStyle w:val="Hyperlink"/>
          </w:rPr>
          <w:t xml:space="preserve">Section </w:t>
        </w:r>
        <w:r w:rsidR="00743590" w:rsidRPr="000665B0">
          <w:rPr>
            <w:rStyle w:val="Hyperlink"/>
          </w:rPr>
          <w:t>5.2.1.</w:t>
        </w:r>
        <w:r w:rsidR="00B9720D" w:rsidRPr="000665B0">
          <w:rPr>
            <w:rStyle w:val="Hyperlink"/>
          </w:rPr>
          <w:t>5</w:t>
        </w:r>
      </w:hyperlink>
      <w:r w:rsidR="005D1A26" w:rsidRPr="000665B0">
        <w:t>.</w:t>
      </w:r>
    </w:p>
    <w:p w14:paraId="1D82C246" w14:textId="7B352AB2" w:rsidR="005D1A26" w:rsidRPr="000665B0" w:rsidRDefault="005D1A26" w:rsidP="009570CA">
      <w:pPr>
        <w:pStyle w:val="Heading3"/>
      </w:pPr>
      <w:bookmarkStart w:id="1721" w:name="_Toc71955236"/>
      <w:bookmarkStart w:id="1722" w:name="_Toc96169863"/>
      <w:bookmarkStart w:id="1723" w:name="_Toc96233908"/>
      <w:bookmarkStart w:id="1724" w:name="_Toc112733337"/>
      <w:bookmarkStart w:id="1725" w:name="_Toc289328313"/>
      <w:bookmarkStart w:id="1726" w:name="_Toc312331736"/>
      <w:bookmarkStart w:id="1727" w:name="_Toc214283226"/>
      <w:r w:rsidRPr="000665B0">
        <w:t xml:space="preserve">Display </w:t>
      </w:r>
      <w:r w:rsidR="009C637B" w:rsidRPr="000665B0">
        <w:t xml:space="preserve">All </w:t>
      </w:r>
      <w:r w:rsidRPr="000665B0">
        <w:t>in Excel</w:t>
      </w:r>
      <w:bookmarkEnd w:id="1721"/>
      <w:bookmarkEnd w:id="1722"/>
      <w:bookmarkEnd w:id="1723"/>
      <w:bookmarkEnd w:id="1724"/>
      <w:bookmarkEnd w:id="1725"/>
      <w:bookmarkEnd w:id="1726"/>
      <w:bookmarkEnd w:id="1727"/>
    </w:p>
    <w:p w14:paraId="3C63B4CC" w14:textId="3AA310F0" w:rsidR="005D1A26" w:rsidRPr="000665B0" w:rsidRDefault="00F02F03" w:rsidP="009570CA">
      <w:pPr>
        <w:pStyle w:val="Bullet"/>
        <w:spacing w:after="0" w:line="240" w:lineRule="auto"/>
      </w:pPr>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581BC6E2" w14:textId="41B3F1DD" w:rsidR="005D1A26" w:rsidRPr="000665B0" w:rsidRDefault="005D1A26" w:rsidP="009570CA">
      <w:pPr>
        <w:pStyle w:val="Heading3"/>
      </w:pPr>
      <w:bookmarkStart w:id="1728" w:name="_Toc71955237"/>
      <w:bookmarkStart w:id="1729" w:name="_Toc96169864"/>
      <w:bookmarkStart w:id="1730" w:name="_Toc96233909"/>
      <w:bookmarkStart w:id="1731" w:name="_Toc112733338"/>
      <w:bookmarkStart w:id="1732" w:name="_Toc289328314"/>
      <w:bookmarkStart w:id="1733" w:name="_Toc312331737"/>
      <w:bookmarkStart w:id="1734" w:name="_Toc214283227"/>
      <w:r w:rsidRPr="000665B0">
        <w:t>Select All</w:t>
      </w:r>
      <w:bookmarkEnd w:id="1728"/>
      <w:bookmarkEnd w:id="1729"/>
      <w:bookmarkEnd w:id="1730"/>
      <w:bookmarkEnd w:id="1731"/>
      <w:bookmarkEnd w:id="1732"/>
      <w:bookmarkEnd w:id="1733"/>
      <w:bookmarkEnd w:id="1734"/>
    </w:p>
    <w:p w14:paraId="3CA99E99" w14:textId="1551761E" w:rsidR="005D1A26" w:rsidRPr="000665B0" w:rsidRDefault="00F02F03" w:rsidP="009570CA">
      <w:pPr>
        <w:pStyle w:val="Bullet"/>
        <w:spacing w:after="0" w:line="240" w:lineRule="auto"/>
      </w:pPr>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52362CE5" w14:textId="2F528739" w:rsidR="005D1A26" w:rsidRPr="000665B0" w:rsidRDefault="005D1A26" w:rsidP="009570CA">
      <w:pPr>
        <w:pStyle w:val="Heading3"/>
      </w:pPr>
      <w:bookmarkStart w:id="1735" w:name="_Toc71955239"/>
      <w:bookmarkStart w:id="1736" w:name="_Toc96169865"/>
      <w:bookmarkStart w:id="1737" w:name="_Toc96233910"/>
      <w:bookmarkStart w:id="1738" w:name="_Toc112733339"/>
      <w:bookmarkStart w:id="1739" w:name="_Toc289328315"/>
      <w:bookmarkStart w:id="1740" w:name="_Toc312331738"/>
      <w:bookmarkStart w:id="1741" w:name="_Toc214283228"/>
      <w:r w:rsidRPr="000665B0">
        <w:t>Delete</w:t>
      </w:r>
      <w:bookmarkEnd w:id="1735"/>
      <w:bookmarkEnd w:id="1736"/>
      <w:bookmarkEnd w:id="1737"/>
      <w:bookmarkEnd w:id="1738"/>
      <w:bookmarkEnd w:id="1739"/>
      <w:bookmarkEnd w:id="1740"/>
      <w:bookmarkEnd w:id="1741"/>
    </w:p>
    <w:p w14:paraId="03653AD1" w14:textId="6AC2AE8F" w:rsidR="005D1A26" w:rsidRPr="000665B0" w:rsidRDefault="00F02F03" w:rsidP="009570CA">
      <w:pPr>
        <w:spacing w:after="0"/>
      </w:pPr>
      <w:r w:rsidRPr="000665B0">
        <w:t>See</w:t>
      </w:r>
      <w:r w:rsidR="005D1A26" w:rsidRPr="000665B0">
        <w:t xml:space="preserve"> </w:t>
      </w:r>
      <w:hyperlink w:anchor="_5.2.1.6__Delete" w:history="1">
        <w:r w:rsidR="00B9720D" w:rsidRPr="000665B0">
          <w:rPr>
            <w:rStyle w:val="Hyperlink"/>
          </w:rPr>
          <w:t>Section 5.2.1.6</w:t>
        </w:r>
      </w:hyperlink>
      <w:r w:rsidR="005D1A26" w:rsidRPr="000665B0">
        <w:t>.</w:t>
      </w:r>
    </w:p>
    <w:p w14:paraId="5D8E0D6F" w14:textId="0C1A6AAE" w:rsidR="005D1A26" w:rsidRPr="000665B0" w:rsidRDefault="005D1A26" w:rsidP="009570CA">
      <w:pPr>
        <w:pStyle w:val="Heading3"/>
      </w:pPr>
      <w:bookmarkStart w:id="1742" w:name="_Toc71955241"/>
      <w:bookmarkStart w:id="1743" w:name="_Toc96169866"/>
      <w:bookmarkStart w:id="1744" w:name="_Toc96233911"/>
      <w:bookmarkStart w:id="1745" w:name="_Toc112733340"/>
      <w:bookmarkStart w:id="1746" w:name="_Toc289328316"/>
      <w:bookmarkStart w:id="1747" w:name="_Toc312331739"/>
      <w:bookmarkStart w:id="1748" w:name="_Toc214283229"/>
      <w:r w:rsidRPr="000665B0">
        <w:t>Properties</w:t>
      </w:r>
      <w:bookmarkEnd w:id="1742"/>
      <w:bookmarkEnd w:id="1743"/>
      <w:bookmarkEnd w:id="1744"/>
      <w:bookmarkEnd w:id="1745"/>
      <w:bookmarkEnd w:id="1746"/>
      <w:bookmarkEnd w:id="1747"/>
      <w:bookmarkEnd w:id="1748"/>
    </w:p>
    <w:p w14:paraId="2DA64D4B" w14:textId="70A6CFF1" w:rsidR="005D1A26" w:rsidRPr="000665B0" w:rsidRDefault="00F02F03" w:rsidP="009570CA">
      <w:pPr>
        <w:spacing w:after="0"/>
      </w:pPr>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5FEFF449" w14:textId="0945D0BE" w:rsidR="005D1A26" w:rsidRPr="000665B0" w:rsidRDefault="005D1A26" w:rsidP="009570CA">
      <w:pPr>
        <w:pStyle w:val="Heading3"/>
      </w:pPr>
      <w:bookmarkStart w:id="1749" w:name="_Toc71955242"/>
      <w:bookmarkStart w:id="1750" w:name="_Toc96169867"/>
      <w:bookmarkStart w:id="1751" w:name="_Toc96233912"/>
      <w:bookmarkStart w:id="1752" w:name="_Toc112733341"/>
      <w:bookmarkStart w:id="1753" w:name="_Toc289328317"/>
      <w:bookmarkStart w:id="1754" w:name="_Toc312331740"/>
      <w:bookmarkStart w:id="1755" w:name="_Toc214283230"/>
      <w:r w:rsidRPr="000665B0">
        <w:t>Sort</w:t>
      </w:r>
      <w:bookmarkEnd w:id="1749"/>
      <w:bookmarkEnd w:id="1750"/>
      <w:bookmarkEnd w:id="1751"/>
      <w:bookmarkEnd w:id="1752"/>
      <w:bookmarkEnd w:id="1753"/>
      <w:bookmarkEnd w:id="1754"/>
      <w:bookmarkEnd w:id="1755"/>
    </w:p>
    <w:p w14:paraId="2E0F44E7" w14:textId="77777777" w:rsidR="00A316EA" w:rsidRDefault="00F02F03" w:rsidP="009570CA">
      <w:pPr>
        <w:spacing w:after="0"/>
      </w:pPr>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r w:rsidR="00A316EA">
        <w:br w:type="page"/>
      </w:r>
      <w:bookmarkStart w:id="1756" w:name="_Toc71955243"/>
      <w:bookmarkStart w:id="1757" w:name="_Toc96169868"/>
      <w:bookmarkStart w:id="1758" w:name="_Toc96233913"/>
      <w:bookmarkStart w:id="1759" w:name="_Toc112733342"/>
      <w:bookmarkStart w:id="1760" w:name="_Toc289328318"/>
      <w:bookmarkStart w:id="1761" w:name="_Toc312331741"/>
      <w:bookmarkStart w:id="1762" w:name="_Toc214283231"/>
      <w:r w:rsidR="005D1A26" w:rsidRPr="000665B0">
        <w:lastRenderedPageBreak/>
        <w:t>INCOMPLETE MISSION</w:t>
      </w:r>
      <w:r w:rsidR="00CA3EAD" w:rsidRPr="000665B0">
        <w:t>S</w:t>
      </w:r>
      <w:r w:rsidR="005D1A26" w:rsidRPr="000665B0">
        <w:t xml:space="preserve"> TOOL</w:t>
      </w:r>
      <w:bookmarkEnd w:id="1756"/>
      <w:bookmarkEnd w:id="1757"/>
      <w:bookmarkEnd w:id="1758"/>
      <w:bookmarkEnd w:id="1759"/>
      <w:bookmarkEnd w:id="1760"/>
      <w:bookmarkEnd w:id="1761"/>
      <w:bookmarkEnd w:id="1762"/>
    </w:p>
    <w:p w14:paraId="0C722CC4" w14:textId="77777777" w:rsidR="005D1A26" w:rsidRPr="000665B0" w:rsidRDefault="005D1A26" w:rsidP="009570CA">
      <w:r w:rsidRPr="000665B0">
        <w:t xml:space="preserve">The Incomplete Mission Tool is the storage location for all entries describing missions that are missing required dependencies, such as TERCOMs and DSMACs. Entries are </w:t>
      </w:r>
      <w:r w:rsidR="00ED7630" w:rsidRPr="000665B0">
        <w:t xml:space="preserve">generated </w:t>
      </w:r>
      <w:r w:rsidRPr="000665B0">
        <w:t>when a DDO containing missions is installed and all the elements are not present. These entries can be displayed to show the missing dependencies, displayed in Excel, installed, printed, or deleted.</w:t>
      </w:r>
    </w:p>
    <w:p w14:paraId="132C0B16" w14:textId="77777777" w:rsidR="005D1A26" w:rsidRPr="000665B0" w:rsidRDefault="005D1A26" w:rsidP="009570CA">
      <w:r w:rsidRPr="000665B0">
        <w:t>To view the Incomplete Mission</w:t>
      </w:r>
      <w:r w:rsidR="00ED7630" w:rsidRPr="000665B0">
        <w:t>s</w:t>
      </w:r>
      <w:r w:rsidRPr="000665B0">
        <w:t xml:space="preserve"> Tool:</w:t>
      </w:r>
    </w:p>
    <w:p w14:paraId="1BB20118" w14:textId="77777777" w:rsidR="005D1A26" w:rsidRPr="000665B0" w:rsidRDefault="005D1A26" w:rsidP="009570CA">
      <w:pPr>
        <w:pStyle w:val="Number0205"/>
        <w:ind w:left="360" w:firstLine="0"/>
      </w:pPr>
      <w:r w:rsidRPr="000665B0">
        <w:t xml:space="preserve">From the </w:t>
      </w:r>
      <w:r w:rsidRPr="000665B0">
        <w:rPr>
          <w:b/>
        </w:rPr>
        <w:t>Go</w:t>
      </w:r>
      <w:r w:rsidRPr="000665B0">
        <w:t xml:space="preserve"> menu select </w:t>
      </w:r>
      <w:r w:rsidRPr="000665B0">
        <w:rPr>
          <w:b/>
        </w:rPr>
        <w:t>Incomplete Mission</w:t>
      </w:r>
      <w:r w:rsidR="00B141D6" w:rsidRPr="000665B0">
        <w:rPr>
          <w:b/>
        </w:rPr>
        <w:t>s</w:t>
      </w:r>
      <w:r w:rsidRPr="000665B0">
        <w:t>.</w:t>
      </w:r>
    </w:p>
    <w:p w14:paraId="16E0AEBE" w14:textId="7F2EED82" w:rsidR="005D1A26" w:rsidRPr="000665B0" w:rsidRDefault="00702977" w:rsidP="009570CA">
      <w:pPr>
        <w:jc w:val="center"/>
      </w:pPr>
      <w:r w:rsidRPr="000665B0">
        <w:rPr>
          <w:noProof/>
        </w:rPr>
        <w:drawing>
          <wp:inline distT="0" distB="0" distL="0" distR="0" wp14:anchorId="2D86A77A" wp14:editId="05160534">
            <wp:extent cx="4136572" cy="1795273"/>
            <wp:effectExtent l="0" t="0" r="0" b="0"/>
            <wp:docPr id="1968" name="Picture 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49953" cy="1801080"/>
                    </a:xfrm>
                    <a:prstGeom prst="rect">
                      <a:avLst/>
                    </a:prstGeom>
                  </pic:spPr>
                </pic:pic>
              </a:graphicData>
            </a:graphic>
          </wp:inline>
        </w:drawing>
      </w:r>
    </w:p>
    <w:p w14:paraId="449C6B44" w14:textId="6C7B47EF" w:rsidR="005D1A26" w:rsidRPr="000665B0" w:rsidRDefault="005D1A26" w:rsidP="009570CA">
      <w:pPr>
        <w:pStyle w:val="Heading3"/>
      </w:pPr>
      <w:bookmarkStart w:id="1763" w:name="_Toc71955244"/>
      <w:bookmarkStart w:id="1764" w:name="_Toc96169869"/>
      <w:bookmarkStart w:id="1765" w:name="_Toc96233914"/>
      <w:bookmarkStart w:id="1766" w:name="_Toc112733343"/>
      <w:bookmarkStart w:id="1767" w:name="_Toc289328319"/>
      <w:bookmarkStart w:id="1768" w:name="_Toc312331742"/>
      <w:bookmarkStart w:id="1769" w:name="_Toc214283232"/>
      <w:r w:rsidRPr="000665B0">
        <w:t>Display Missing Dependencies</w:t>
      </w:r>
      <w:bookmarkEnd w:id="1763"/>
      <w:bookmarkEnd w:id="1764"/>
      <w:bookmarkEnd w:id="1765"/>
      <w:bookmarkEnd w:id="1766"/>
      <w:bookmarkEnd w:id="1767"/>
      <w:bookmarkEnd w:id="1768"/>
      <w:bookmarkEnd w:id="1769"/>
    </w:p>
    <w:p w14:paraId="3FCBEB0B" w14:textId="77777777" w:rsidR="005D1A26" w:rsidRPr="000665B0" w:rsidRDefault="005D1A26" w:rsidP="009570CA">
      <w:r w:rsidRPr="000665B0">
        <w:t>This option allows the operator to identify what data elements of the mission are missing. The operator can then request the missing data elements from another site.</w:t>
      </w:r>
    </w:p>
    <w:p w14:paraId="0D04C896" w14:textId="77777777" w:rsidR="005D1A26" w:rsidRPr="000665B0" w:rsidRDefault="005D1A26" w:rsidP="009570CA">
      <w:r w:rsidRPr="000665B0">
        <w:t>To display an Incomplete Mission:</w:t>
      </w:r>
    </w:p>
    <w:p w14:paraId="0B8FCFD4" w14:textId="77777777" w:rsidR="005D1A26" w:rsidRPr="000665B0" w:rsidRDefault="005D1A26" w:rsidP="006D5A65">
      <w:pPr>
        <w:pStyle w:val="Heading1"/>
      </w:pPr>
      <w:r w:rsidRPr="000665B0">
        <w:t>Navigate to the Incomplete Mission</w:t>
      </w:r>
      <w:r w:rsidR="00B141D6" w:rsidRPr="000665B0">
        <w:t>s</w:t>
      </w:r>
      <w:r w:rsidRPr="000665B0">
        <w:t xml:space="preserve"> Tool.</w:t>
      </w:r>
    </w:p>
    <w:p w14:paraId="2724A75F" w14:textId="77777777" w:rsidR="005D1A26" w:rsidRPr="000665B0" w:rsidRDefault="005D1A26" w:rsidP="006D5A65">
      <w:pPr>
        <w:pStyle w:val="Heading1"/>
      </w:pPr>
      <w:r w:rsidRPr="000665B0">
        <w:t>Select the desired entry.</w:t>
      </w:r>
    </w:p>
    <w:p w14:paraId="4435B98F" w14:textId="288E7E2C" w:rsidR="005D1A26" w:rsidRPr="000665B0" w:rsidRDefault="005D1A26" w:rsidP="006D5A65">
      <w:pPr>
        <w:pStyle w:val="Heading1"/>
      </w:pPr>
      <w:r w:rsidRPr="000665B0">
        <w:t xml:space="preserve">From the File menu select Display </w:t>
      </w:r>
      <w:r w:rsidR="00D12DCE" w:rsidRPr="000665B0">
        <w:sym w:font="Wingdings 3" w:char="F07D"/>
      </w:r>
      <w:r w:rsidRPr="000665B0">
        <w:t xml:space="preserve"> Missing </w:t>
      </w:r>
      <w:r w:rsidR="00E040B3" w:rsidRPr="000665B0">
        <w:t>Dependencies or</w:t>
      </w:r>
      <w:r w:rsidR="00FC4324" w:rsidRPr="000665B0">
        <w:t xml:space="preserve"> invoke the context menu </w:t>
      </w:r>
      <w:r w:rsidRPr="000665B0">
        <w:t xml:space="preserve">(by </w:t>
      </w:r>
      <w:r w:rsidR="00D71804" w:rsidRPr="000665B0">
        <w:t>right-click</w:t>
      </w:r>
      <w:r w:rsidRPr="000665B0">
        <w:t xml:space="preserve">ing the mouse) and select Missing Dependencies. The </w:t>
      </w:r>
      <w:r w:rsidRPr="000665B0">
        <w:rPr>
          <w:i/>
          <w:iCs/>
        </w:rPr>
        <w:t>Incomplete Mission ID: xxx xxxxx</w:t>
      </w:r>
      <w:r w:rsidRPr="000665B0">
        <w:t xml:space="preserve"> window will be displayed.</w:t>
      </w:r>
    </w:p>
    <w:p w14:paraId="5C1C78D1" w14:textId="616F798D" w:rsidR="00D12DCE" w:rsidRPr="000665B0" w:rsidRDefault="00702977" w:rsidP="009570CA">
      <w:pPr>
        <w:pStyle w:val="Number0205"/>
        <w:spacing w:after="0"/>
        <w:ind w:left="0" w:firstLine="0"/>
        <w:jc w:val="center"/>
      </w:pPr>
      <w:r w:rsidRPr="000665B0">
        <w:rPr>
          <w:noProof/>
        </w:rPr>
        <w:drawing>
          <wp:inline distT="0" distB="0" distL="0" distR="0" wp14:anchorId="2657740C" wp14:editId="3B33817F">
            <wp:extent cx="4082143" cy="2351314"/>
            <wp:effectExtent l="0" t="0" r="0" b="0"/>
            <wp:docPr id="1982" name="Picture 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087071" cy="2354153"/>
                    </a:xfrm>
                    <a:prstGeom prst="rect">
                      <a:avLst/>
                    </a:prstGeom>
                  </pic:spPr>
                </pic:pic>
              </a:graphicData>
            </a:graphic>
          </wp:inline>
        </w:drawing>
      </w:r>
    </w:p>
    <w:p w14:paraId="4B53C9E9" w14:textId="50839AE7" w:rsidR="005D1A26" w:rsidRPr="000665B0" w:rsidRDefault="005D1A26" w:rsidP="009570CA">
      <w:pPr>
        <w:pStyle w:val="Heading3"/>
      </w:pPr>
      <w:bookmarkStart w:id="1770" w:name="_Toc71955245"/>
      <w:bookmarkStart w:id="1771" w:name="_Toc96169870"/>
      <w:bookmarkStart w:id="1772" w:name="_Toc96233915"/>
      <w:bookmarkStart w:id="1773" w:name="_Toc112733344"/>
      <w:bookmarkStart w:id="1774" w:name="_Toc289328320"/>
      <w:bookmarkStart w:id="1775" w:name="_Toc312331743"/>
      <w:bookmarkStart w:id="1776" w:name="_Toc214283233"/>
      <w:r w:rsidRPr="000665B0">
        <w:lastRenderedPageBreak/>
        <w:t>Install</w:t>
      </w:r>
      <w:bookmarkEnd w:id="1770"/>
      <w:bookmarkEnd w:id="1771"/>
      <w:bookmarkEnd w:id="1772"/>
      <w:bookmarkEnd w:id="1773"/>
      <w:bookmarkEnd w:id="1774"/>
      <w:bookmarkEnd w:id="1775"/>
      <w:bookmarkEnd w:id="1776"/>
    </w:p>
    <w:p w14:paraId="6875BD45" w14:textId="77777777" w:rsidR="005D1A26" w:rsidRPr="000665B0" w:rsidRDefault="005D1A26" w:rsidP="009570CA">
      <w:r w:rsidRPr="000665B0">
        <w:t xml:space="preserve">This option allows the operator to install the mission after the mission dependencies have been added to the database. </w:t>
      </w:r>
    </w:p>
    <w:p w14:paraId="07EAE0CD" w14:textId="77777777" w:rsidR="005D1A26" w:rsidRPr="000665B0" w:rsidRDefault="005D1A26" w:rsidP="009570CA">
      <w:r w:rsidRPr="000665B0">
        <w:t>To install an Incomplete Mission entry:</w:t>
      </w:r>
    </w:p>
    <w:p w14:paraId="58BEDF0E" w14:textId="77777777" w:rsidR="005D1A26" w:rsidRPr="000665B0" w:rsidRDefault="005D1A26" w:rsidP="006D5A65">
      <w:pPr>
        <w:pStyle w:val="Heading1"/>
      </w:pPr>
      <w:r w:rsidRPr="000665B0">
        <w:t>Navigate to the Incomplete Mission</w:t>
      </w:r>
      <w:r w:rsidR="00263893" w:rsidRPr="000665B0">
        <w:t>s</w:t>
      </w:r>
      <w:r w:rsidRPr="000665B0">
        <w:t xml:space="preserve"> Tool.</w:t>
      </w:r>
    </w:p>
    <w:p w14:paraId="2D7FF9F9" w14:textId="77777777" w:rsidR="005D1A26" w:rsidRPr="000665B0" w:rsidRDefault="005D1A26" w:rsidP="006D5A65">
      <w:pPr>
        <w:pStyle w:val="Heading1"/>
      </w:pPr>
      <w:r w:rsidRPr="000665B0">
        <w:t>Select the desired entry.</w:t>
      </w:r>
    </w:p>
    <w:p w14:paraId="21A58FCA" w14:textId="602D1BCA" w:rsidR="005D1A26" w:rsidRPr="000665B0" w:rsidRDefault="005D1A26" w:rsidP="006D5A65">
      <w:pPr>
        <w:pStyle w:val="Heading1"/>
      </w:pPr>
      <w:r w:rsidRPr="000665B0">
        <w:t xml:space="preserve">From the File menu select Install </w:t>
      </w:r>
      <w:r w:rsidR="00FC4324" w:rsidRPr="000665B0">
        <w:t xml:space="preserve">or invoke the context menu </w:t>
      </w:r>
      <w:r w:rsidRPr="000665B0">
        <w:t xml:space="preserve">(by </w:t>
      </w:r>
      <w:r w:rsidR="00D71804" w:rsidRPr="000665B0">
        <w:t>right-click</w:t>
      </w:r>
      <w:r w:rsidRPr="000665B0">
        <w:t>ing the mouse) and select Install.</w:t>
      </w:r>
    </w:p>
    <w:p w14:paraId="6789F30D" w14:textId="63DA6C27" w:rsidR="005D1A26" w:rsidRPr="000665B0" w:rsidRDefault="005D1A26" w:rsidP="009570CA">
      <w:pPr>
        <w:pStyle w:val="Heading3"/>
      </w:pPr>
      <w:bookmarkStart w:id="1777" w:name="_Toc71955247"/>
      <w:bookmarkStart w:id="1778" w:name="_Toc96169871"/>
      <w:bookmarkStart w:id="1779" w:name="_Toc96233916"/>
      <w:bookmarkStart w:id="1780" w:name="_Toc112733345"/>
      <w:bookmarkStart w:id="1781" w:name="_Toc289328321"/>
      <w:bookmarkStart w:id="1782" w:name="_Toc312331744"/>
      <w:bookmarkStart w:id="1783" w:name="_Toc214283234"/>
      <w:r w:rsidRPr="000665B0">
        <w:t>Find</w:t>
      </w:r>
      <w:bookmarkEnd w:id="1777"/>
      <w:bookmarkEnd w:id="1778"/>
      <w:bookmarkEnd w:id="1779"/>
      <w:bookmarkEnd w:id="1780"/>
      <w:bookmarkEnd w:id="1781"/>
      <w:bookmarkEnd w:id="1782"/>
      <w:bookmarkEnd w:id="1783"/>
    </w:p>
    <w:p w14:paraId="323E1C2E" w14:textId="615F6419" w:rsidR="005D1A26" w:rsidRPr="000665B0" w:rsidRDefault="00F02F03" w:rsidP="009570CA">
      <w:pPr>
        <w:spacing w:after="0"/>
      </w:pPr>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7B36B590" w14:textId="77777777" w:rsidR="000C7953" w:rsidRPr="000665B0" w:rsidRDefault="000C7953" w:rsidP="009570CA">
      <w:pPr>
        <w:pStyle w:val="Heading3"/>
      </w:pPr>
      <w:bookmarkStart w:id="1784" w:name="_Toc214283235"/>
      <w:r w:rsidRPr="000665B0">
        <w:t>Plugin Tool</w:t>
      </w:r>
      <w:bookmarkEnd w:id="1784"/>
    </w:p>
    <w:p w14:paraId="7BAD0634" w14:textId="658EF3BD" w:rsidR="000C7953" w:rsidRPr="000665B0" w:rsidRDefault="00F02F03" w:rsidP="009570CA">
      <w:pPr>
        <w:spacing w:after="0"/>
      </w:pPr>
      <w:r w:rsidRPr="000665B0">
        <w:t>See</w:t>
      </w:r>
      <w:r w:rsidR="000C7953" w:rsidRPr="000665B0">
        <w:t xml:space="preserve"> </w:t>
      </w:r>
      <w:hyperlink w:anchor="_Plugin__Tool" w:history="1">
        <w:r w:rsidR="000C7953" w:rsidRPr="000665B0">
          <w:rPr>
            <w:rStyle w:val="Hyperlink"/>
          </w:rPr>
          <w:t>Section 5.2.5.2</w:t>
        </w:r>
      </w:hyperlink>
      <w:r w:rsidR="000C7953" w:rsidRPr="000665B0">
        <w:t>.</w:t>
      </w:r>
    </w:p>
    <w:p w14:paraId="13CBDE1D" w14:textId="4D740502" w:rsidR="005D1A26" w:rsidRPr="000665B0" w:rsidRDefault="005D1A26" w:rsidP="009570CA">
      <w:pPr>
        <w:pStyle w:val="Heading3"/>
      </w:pPr>
      <w:bookmarkStart w:id="1785" w:name="_Toc71955248"/>
      <w:bookmarkStart w:id="1786" w:name="_Toc96169872"/>
      <w:bookmarkStart w:id="1787" w:name="_Toc96233917"/>
      <w:bookmarkStart w:id="1788" w:name="_Toc112733346"/>
      <w:bookmarkStart w:id="1789" w:name="_Toc289328322"/>
      <w:bookmarkStart w:id="1790" w:name="_Toc312331745"/>
      <w:bookmarkStart w:id="1791" w:name="_Toc214283236"/>
      <w:r w:rsidRPr="000665B0">
        <w:t xml:space="preserve">Print </w:t>
      </w:r>
      <w:bookmarkEnd w:id="1785"/>
      <w:bookmarkEnd w:id="1786"/>
      <w:bookmarkEnd w:id="1787"/>
      <w:bookmarkEnd w:id="1788"/>
      <w:r w:rsidR="009C637B" w:rsidRPr="000665B0">
        <w:t>All</w:t>
      </w:r>
      <w:bookmarkEnd w:id="1789"/>
      <w:bookmarkEnd w:id="1790"/>
      <w:bookmarkEnd w:id="1791"/>
    </w:p>
    <w:p w14:paraId="0F14CA5E" w14:textId="2B269151" w:rsidR="005D1A26" w:rsidRPr="000665B0" w:rsidRDefault="00F02F03" w:rsidP="009570CA">
      <w:pPr>
        <w:spacing w:after="0"/>
      </w:pPr>
      <w:r w:rsidRPr="000665B0">
        <w:t>See</w:t>
      </w:r>
      <w:r w:rsidR="005D1A26" w:rsidRPr="000665B0">
        <w:t xml:space="preserve"> </w:t>
      </w:r>
      <w:hyperlink w:anchor="_5.2.1.5__Print" w:history="1">
        <w:r w:rsidR="005D1A26" w:rsidRPr="000665B0">
          <w:rPr>
            <w:rStyle w:val="Hyperlink"/>
          </w:rPr>
          <w:t xml:space="preserve">Section </w:t>
        </w:r>
        <w:r w:rsidR="00743590" w:rsidRPr="000665B0">
          <w:rPr>
            <w:rStyle w:val="Hyperlink"/>
          </w:rPr>
          <w:t>5.2.1.</w:t>
        </w:r>
        <w:r w:rsidR="00B9720D" w:rsidRPr="000665B0">
          <w:rPr>
            <w:rStyle w:val="Hyperlink"/>
          </w:rPr>
          <w:t>5</w:t>
        </w:r>
      </w:hyperlink>
      <w:r w:rsidR="005D1A26" w:rsidRPr="000665B0">
        <w:t>.</w:t>
      </w:r>
    </w:p>
    <w:p w14:paraId="2BA424BB" w14:textId="76F10CB1" w:rsidR="005D1A26" w:rsidRPr="000665B0" w:rsidRDefault="005D1A26" w:rsidP="009570CA">
      <w:pPr>
        <w:pStyle w:val="Heading3"/>
      </w:pPr>
      <w:bookmarkStart w:id="1792" w:name="_Toc71955249"/>
      <w:bookmarkStart w:id="1793" w:name="_Toc96169873"/>
      <w:bookmarkStart w:id="1794" w:name="_Toc96233918"/>
      <w:bookmarkStart w:id="1795" w:name="_Toc112733347"/>
      <w:bookmarkStart w:id="1796" w:name="_Toc289328323"/>
      <w:bookmarkStart w:id="1797" w:name="_Toc312331746"/>
      <w:bookmarkStart w:id="1798" w:name="_Toc214283237"/>
      <w:r w:rsidRPr="000665B0">
        <w:t xml:space="preserve">Display </w:t>
      </w:r>
      <w:r w:rsidR="009C637B" w:rsidRPr="000665B0">
        <w:t xml:space="preserve">All </w:t>
      </w:r>
      <w:r w:rsidRPr="000665B0">
        <w:t>in Excel</w:t>
      </w:r>
      <w:bookmarkEnd w:id="1792"/>
      <w:bookmarkEnd w:id="1793"/>
      <w:bookmarkEnd w:id="1794"/>
      <w:bookmarkEnd w:id="1795"/>
      <w:bookmarkEnd w:id="1796"/>
      <w:bookmarkEnd w:id="1797"/>
      <w:bookmarkEnd w:id="1798"/>
    </w:p>
    <w:p w14:paraId="5321F6B2" w14:textId="31196F5E" w:rsidR="005D1A26" w:rsidRPr="000665B0" w:rsidRDefault="00F02F03" w:rsidP="009570CA">
      <w:pPr>
        <w:spacing w:after="0"/>
      </w:pPr>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5901DF8E" w14:textId="1880E2E1" w:rsidR="005D1A26" w:rsidRPr="000665B0" w:rsidRDefault="005D1A26" w:rsidP="009570CA">
      <w:pPr>
        <w:pStyle w:val="Heading3"/>
      </w:pPr>
      <w:bookmarkStart w:id="1799" w:name="_Toc71955250"/>
      <w:bookmarkStart w:id="1800" w:name="_Toc96169874"/>
      <w:bookmarkStart w:id="1801" w:name="_Toc96233919"/>
      <w:bookmarkStart w:id="1802" w:name="_Toc112733348"/>
      <w:bookmarkStart w:id="1803" w:name="_Toc289328324"/>
      <w:bookmarkStart w:id="1804" w:name="_Toc312331747"/>
      <w:bookmarkStart w:id="1805" w:name="_Toc214283238"/>
      <w:r w:rsidRPr="000665B0">
        <w:t>Select All</w:t>
      </w:r>
      <w:bookmarkEnd w:id="1799"/>
      <w:bookmarkEnd w:id="1800"/>
      <w:bookmarkEnd w:id="1801"/>
      <w:bookmarkEnd w:id="1802"/>
      <w:bookmarkEnd w:id="1803"/>
      <w:bookmarkEnd w:id="1804"/>
      <w:bookmarkEnd w:id="1805"/>
    </w:p>
    <w:p w14:paraId="37EA4312" w14:textId="19101933" w:rsidR="005D1A26" w:rsidRPr="000665B0" w:rsidRDefault="00F02F03" w:rsidP="009570CA">
      <w:pPr>
        <w:spacing w:after="0"/>
      </w:pPr>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311BE660" w14:textId="238C9FE4" w:rsidR="005D1A26" w:rsidRPr="000665B0" w:rsidRDefault="005D1A26" w:rsidP="009570CA">
      <w:pPr>
        <w:pStyle w:val="Heading3"/>
      </w:pPr>
      <w:bookmarkStart w:id="1806" w:name="_Toc96169875"/>
      <w:bookmarkStart w:id="1807" w:name="_Toc96233920"/>
      <w:bookmarkStart w:id="1808" w:name="_Toc112733349"/>
      <w:bookmarkStart w:id="1809" w:name="_Toc289328325"/>
      <w:bookmarkStart w:id="1810" w:name="_Toc312331748"/>
      <w:bookmarkStart w:id="1811" w:name="_Toc214283239"/>
      <w:r w:rsidRPr="000665B0">
        <w:t>Properties</w:t>
      </w:r>
      <w:bookmarkEnd w:id="1806"/>
      <w:bookmarkEnd w:id="1807"/>
      <w:bookmarkEnd w:id="1808"/>
      <w:bookmarkEnd w:id="1809"/>
      <w:bookmarkEnd w:id="1810"/>
      <w:bookmarkEnd w:id="1811"/>
    </w:p>
    <w:p w14:paraId="1661CCBD" w14:textId="2C8E3D10" w:rsidR="005D1A26" w:rsidRPr="000665B0" w:rsidRDefault="00F02F03" w:rsidP="009570CA">
      <w:pPr>
        <w:spacing w:after="0"/>
      </w:pPr>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40F83CA9" w14:textId="64DEB29C" w:rsidR="005D1A26" w:rsidRPr="000665B0" w:rsidRDefault="005D1A26" w:rsidP="009570CA">
      <w:pPr>
        <w:pStyle w:val="Heading3"/>
      </w:pPr>
      <w:bookmarkStart w:id="1812" w:name="_Toc96169876"/>
      <w:bookmarkStart w:id="1813" w:name="_Toc96233921"/>
      <w:bookmarkStart w:id="1814" w:name="_Toc112733350"/>
      <w:bookmarkStart w:id="1815" w:name="_Toc289328326"/>
      <w:bookmarkStart w:id="1816" w:name="_Toc312331749"/>
      <w:bookmarkStart w:id="1817" w:name="_Toc214283240"/>
      <w:r w:rsidRPr="000665B0">
        <w:t>Sort</w:t>
      </w:r>
      <w:bookmarkEnd w:id="1812"/>
      <w:bookmarkEnd w:id="1813"/>
      <w:bookmarkEnd w:id="1814"/>
      <w:bookmarkEnd w:id="1815"/>
      <w:bookmarkEnd w:id="1816"/>
      <w:bookmarkEnd w:id="1817"/>
    </w:p>
    <w:p w14:paraId="0E3BFC9C" w14:textId="34A101C3" w:rsidR="005D1A26" w:rsidRPr="000665B0" w:rsidRDefault="00F02F03" w:rsidP="009570CA">
      <w:pPr>
        <w:spacing w:after="0"/>
      </w:pPr>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4679A005" w14:textId="77777777" w:rsidR="00A316EA" w:rsidRDefault="00A316EA" w:rsidP="006966D9">
      <w:pPr>
        <w:pStyle w:val="Heading2"/>
      </w:pPr>
      <w:r>
        <w:br w:type="page"/>
      </w:r>
      <w:bookmarkStart w:id="1818" w:name="_5.11__MISSION_LIBRARY_TOOL"/>
      <w:bookmarkStart w:id="1819" w:name="_5.13__LIBRARIES_TOOL"/>
      <w:bookmarkStart w:id="1820" w:name="_QUERIES_TOOL"/>
      <w:bookmarkStart w:id="1821" w:name="_Toc159315107"/>
      <w:bookmarkStart w:id="1822" w:name="_Toc214283241"/>
      <w:bookmarkStart w:id="1823" w:name="_Hlk59115090"/>
      <w:bookmarkStart w:id="1824" w:name="_Toc96169890"/>
      <w:bookmarkStart w:id="1825" w:name="_Toc96233935"/>
      <w:bookmarkStart w:id="1826" w:name="_Toc112733364"/>
      <w:bookmarkEnd w:id="1818"/>
      <w:bookmarkEnd w:id="1819"/>
      <w:bookmarkEnd w:id="1820"/>
      <w:r w:rsidR="00B62767" w:rsidRPr="000665B0">
        <w:lastRenderedPageBreak/>
        <w:t>QUERIES TOOL</w:t>
      </w:r>
      <w:bookmarkEnd w:id="1821"/>
      <w:bookmarkEnd w:id="1822"/>
    </w:p>
    <w:p w14:paraId="48EE12E5" w14:textId="77777777" w:rsidR="00B62767" w:rsidRPr="000665B0" w:rsidRDefault="00B62767" w:rsidP="009570CA">
      <w:r w:rsidRPr="000665B0">
        <w:t xml:space="preserve">The Queries Tool displays a list of all the Saved Queries (not the results of a search) and is referred to as the Query List View. The Queries Tool provides a single place in which the operator can display and/or manipulate the Saved Query. </w:t>
      </w:r>
    </w:p>
    <w:p w14:paraId="7057C849" w14:textId="283C4CA2" w:rsidR="00B62767" w:rsidRPr="000665B0" w:rsidRDefault="00B62767" w:rsidP="009570CA">
      <w:r w:rsidRPr="000665B0">
        <w:t>MDS provides the ability to query the database based on a specific criteria. These que</w:t>
      </w:r>
      <w:r w:rsidRPr="000665B0">
        <w:rPr>
          <w:bCs/>
        </w:rPr>
        <w:t>ries are a powerful tool for retrieving specific missions, strike options, strike folders, targets, and ACMSs from the database. Q</w:t>
      </w:r>
      <w:r w:rsidRPr="000665B0">
        <w:t>ueries can be saved and re-executed at a later date. The results of a query, if saved, are placed in the Libraries Tool (</w:t>
      </w:r>
      <w:r w:rsidR="00C77A5E" w:rsidRPr="000665B0">
        <w:t xml:space="preserve">see </w:t>
      </w:r>
      <w:hyperlink w:anchor="_5.13__LIBRARIES" w:history="1">
        <w:r w:rsidR="00C77A5E" w:rsidRPr="000665B0">
          <w:rPr>
            <w:rStyle w:val="Hyperlink"/>
          </w:rPr>
          <w:t>Section 5.12</w:t>
        </w:r>
      </w:hyperlink>
      <w:r w:rsidRPr="000665B0">
        <w:t>). If the saved query is of type Mission, Target, or ACMS and it is a “Query from the Database,” then the query filter is added to the Filter combo box of the associated Tool.</w:t>
      </w:r>
    </w:p>
    <w:p w14:paraId="72AB8457" w14:textId="77777777" w:rsidR="00B62767" w:rsidRPr="000665B0" w:rsidRDefault="00B62767" w:rsidP="009570CA">
      <w:r w:rsidRPr="000665B0">
        <w:t>To view the Queries Tool:</w:t>
      </w:r>
    </w:p>
    <w:p w14:paraId="3900E622" w14:textId="77777777" w:rsidR="00B62767" w:rsidRPr="000665B0" w:rsidRDefault="00B62767" w:rsidP="009570CA">
      <w:pPr>
        <w:pStyle w:val="Number0205"/>
        <w:ind w:left="360" w:firstLine="0"/>
      </w:pPr>
      <w:r w:rsidRPr="000665B0">
        <w:t xml:space="preserve">From the </w:t>
      </w:r>
      <w:r w:rsidRPr="000665B0">
        <w:rPr>
          <w:b/>
        </w:rPr>
        <w:t>Go</w:t>
      </w:r>
      <w:r w:rsidRPr="000665B0">
        <w:t xml:space="preserve"> menu select </w:t>
      </w:r>
      <w:r w:rsidRPr="000665B0">
        <w:rPr>
          <w:b/>
          <w:bCs/>
        </w:rPr>
        <w:t>Queries</w:t>
      </w:r>
      <w:r w:rsidRPr="000665B0">
        <w:t>.</w:t>
      </w:r>
    </w:p>
    <w:p w14:paraId="728968CF" w14:textId="10C9BE76" w:rsidR="00B62767" w:rsidRPr="000665B0" w:rsidRDefault="0056385B" w:rsidP="009570CA">
      <w:pPr>
        <w:spacing w:after="240"/>
        <w:jc w:val="center"/>
      </w:pPr>
      <w:r w:rsidRPr="000665B0">
        <w:rPr>
          <w:noProof/>
        </w:rPr>
        <w:drawing>
          <wp:inline distT="0" distB="0" distL="0" distR="0" wp14:anchorId="6D15168A" wp14:editId="058C9617">
            <wp:extent cx="4572000" cy="1499616"/>
            <wp:effectExtent l="0" t="0" r="0" b="5715"/>
            <wp:docPr id="1233" name="Picture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1499616"/>
                    </a:xfrm>
                    <a:prstGeom prst="rect">
                      <a:avLst/>
                    </a:prstGeom>
                  </pic:spPr>
                </pic:pic>
              </a:graphicData>
            </a:graphic>
          </wp:inline>
        </w:drawing>
      </w:r>
    </w:p>
    <w:p w14:paraId="1C86D1D3" w14:textId="77777777" w:rsidR="00B62767" w:rsidRPr="000665B0" w:rsidRDefault="00B62767" w:rsidP="009570CA">
      <w:pPr>
        <w:rPr>
          <w:b/>
        </w:rPr>
      </w:pPr>
      <w:r w:rsidRPr="000665B0">
        <w:rPr>
          <w:b/>
        </w:rPr>
        <w:t>Query List View Columns:</w:t>
      </w:r>
    </w:p>
    <w:p w14:paraId="7B2C529B" w14:textId="77777777" w:rsidR="00B62767" w:rsidRPr="000665B0" w:rsidRDefault="00B62767" w:rsidP="006D5A65">
      <w:pPr>
        <w:pStyle w:val="Heading1"/>
      </w:pPr>
      <w:r w:rsidRPr="000665B0">
        <w:t>Query ID – The Query unique identifier in the format of location code and sequence number.</w:t>
      </w:r>
    </w:p>
    <w:p w14:paraId="6E6A0508" w14:textId="77777777" w:rsidR="00B62767" w:rsidRPr="000665B0" w:rsidRDefault="00B62767" w:rsidP="006D5A65">
      <w:pPr>
        <w:pStyle w:val="Heading1"/>
      </w:pPr>
      <w:r w:rsidRPr="000665B0">
        <w:t>Type – The type of Query which could be Mission, Target, Strike Folder, Strike Option, or ACMS.</w:t>
      </w:r>
    </w:p>
    <w:p w14:paraId="74500681" w14:textId="77777777" w:rsidR="00B62767" w:rsidRPr="000665B0" w:rsidRDefault="00B62767" w:rsidP="006D5A65">
      <w:pPr>
        <w:pStyle w:val="Heading1"/>
      </w:pPr>
      <w:r w:rsidRPr="000665B0">
        <w:t>Name – The free text name of the Query.</w:t>
      </w:r>
    </w:p>
    <w:p w14:paraId="3D1673C8" w14:textId="77777777" w:rsidR="00B62767" w:rsidRPr="000665B0" w:rsidRDefault="00B62767" w:rsidP="006D5A65">
      <w:pPr>
        <w:pStyle w:val="Heading1"/>
      </w:pPr>
      <w:r w:rsidRPr="000665B0">
        <w:t>Creation DTG – The DTG when the Query was created.</w:t>
      </w:r>
    </w:p>
    <w:p w14:paraId="21648F4F" w14:textId="77777777" w:rsidR="00B62767" w:rsidRPr="000665B0" w:rsidRDefault="00B62767" w:rsidP="006D5A65">
      <w:pPr>
        <w:pStyle w:val="Heading1"/>
      </w:pPr>
      <w:r w:rsidRPr="000665B0">
        <w:t>Last Modified DTG – The DTG when the Query was last modified.</w:t>
      </w:r>
    </w:p>
    <w:p w14:paraId="29DA8066" w14:textId="77777777" w:rsidR="000E0342" w:rsidRPr="000665B0" w:rsidRDefault="00B62767" w:rsidP="006D5A65">
      <w:pPr>
        <w:pStyle w:val="Heading1"/>
      </w:pPr>
      <w:r w:rsidRPr="000665B0">
        <w:t>Query From Libraries – Indicates whether or not this Query is from a library.</w:t>
      </w:r>
    </w:p>
    <w:p w14:paraId="3E7C9375" w14:textId="4E770122" w:rsidR="00B62767" w:rsidRPr="000665B0" w:rsidRDefault="00B62767" w:rsidP="009570CA">
      <w:pPr>
        <w:pStyle w:val="Heading3"/>
      </w:pPr>
      <w:bookmarkStart w:id="1827" w:name="_5.12.1__New"/>
      <w:bookmarkStart w:id="1828" w:name="_Toc159315108"/>
      <w:bookmarkStart w:id="1829" w:name="_Toc112733352"/>
      <w:bookmarkStart w:id="1830" w:name="_Toc96233923"/>
      <w:bookmarkStart w:id="1831" w:name="_Toc96169878"/>
      <w:bookmarkStart w:id="1832" w:name="_Toc71955253"/>
      <w:bookmarkStart w:id="1833" w:name="_Toc214283242"/>
      <w:bookmarkEnd w:id="1827"/>
      <w:r w:rsidRPr="000665B0">
        <w:t>New Query</w:t>
      </w:r>
      <w:bookmarkEnd w:id="1828"/>
      <w:bookmarkEnd w:id="1829"/>
      <w:bookmarkEnd w:id="1830"/>
      <w:bookmarkEnd w:id="1831"/>
      <w:bookmarkEnd w:id="1832"/>
      <w:bookmarkEnd w:id="1833"/>
    </w:p>
    <w:p w14:paraId="4C31D781" w14:textId="54B4BB71" w:rsidR="00B62767" w:rsidRPr="000665B0" w:rsidRDefault="00B62767" w:rsidP="009570CA">
      <w:r w:rsidRPr="000665B0">
        <w:t xml:space="preserve">Invoking the new option allows the operator to choose where to conduct the search. A query can be performed on a group of Missions, Targets, Strike Folders, Strike Options, or on ACMSs in the database or in a library. Once the type of query is selected, </w:t>
      </w:r>
      <w:r w:rsidR="00414DC1" w:rsidRPr="000665B0">
        <w:t>specific search elements can be selected to narrow the search criteria</w:t>
      </w:r>
      <w:r w:rsidRPr="000665B0">
        <w:t>. Regardless of which type of query is used, the search criterion consists of three parts. There are no limitations on the number of Search Elements one can use. However, the order of the search elements/values and Boolean Operators are critical to achieve the desired results.</w:t>
      </w:r>
    </w:p>
    <w:p w14:paraId="2F254E33" w14:textId="47C99BA4" w:rsidR="00B62767" w:rsidRPr="000665B0" w:rsidRDefault="00B62767" w:rsidP="009570CA">
      <w:pPr>
        <w:ind w:left="360"/>
      </w:pPr>
      <w:r w:rsidRPr="000665B0">
        <w:rPr>
          <w:b/>
          <w:bCs/>
        </w:rPr>
        <w:lastRenderedPageBreak/>
        <w:t>Search Element</w:t>
      </w:r>
      <w:r w:rsidRPr="000665B0">
        <w:t xml:space="preserve"> – A TCI data field. There are many different TCI data elements that can be searched. </w:t>
      </w:r>
      <w:r w:rsidR="00C56E11" w:rsidRPr="000665B0">
        <w:t xml:space="preserve">Other Query Types have different available Search Elements. </w:t>
      </w:r>
      <w:r w:rsidRPr="000665B0">
        <w:t xml:space="preserve">The operator navigates through the tabs and selects the appropriate buttons (search element). </w:t>
      </w:r>
      <w:r w:rsidR="00522412" w:rsidRPr="000665B0">
        <w:t xml:space="preserve">To learn more about each search element, see </w:t>
      </w:r>
      <w:hyperlink w:anchor="_Appendix_H_" w:history="1">
        <w:r w:rsidR="00522412" w:rsidRPr="000665B0">
          <w:rPr>
            <w:rStyle w:val="Hyperlink"/>
          </w:rPr>
          <w:t>Appendix G</w:t>
        </w:r>
      </w:hyperlink>
      <w:r w:rsidR="00522412" w:rsidRPr="000665B0">
        <w:t xml:space="preserve"> or the detailed section describing the corresponding tool (Mission, Target, etc.)</w:t>
      </w:r>
      <w:r w:rsidRPr="000665B0">
        <w:t>.</w:t>
      </w:r>
    </w:p>
    <w:p w14:paraId="4535C84E" w14:textId="1294CCFE" w:rsidR="00B62767" w:rsidRPr="000665B0" w:rsidRDefault="00B62767" w:rsidP="009570CA">
      <w:pPr>
        <w:ind w:left="360"/>
      </w:pPr>
      <w:r w:rsidRPr="000665B0">
        <w:rPr>
          <w:b/>
          <w:bCs/>
        </w:rPr>
        <w:t>Value</w:t>
      </w:r>
      <w:r w:rsidRPr="000665B0">
        <w:t xml:space="preserve"> – This information identifies the exact content of the Search Element. (Example: The Search Element Missile Statement allows for a value of </w:t>
      </w:r>
      <w:r w:rsidR="00377FA5" w:rsidRPr="000665B0">
        <w:t>109</w:t>
      </w:r>
      <w:r w:rsidR="00D52EC7" w:rsidRPr="000665B0">
        <w:t>E</w:t>
      </w:r>
      <w:r w:rsidRPr="000665B0">
        <w:t xml:space="preserve"> Required</w:t>
      </w:r>
      <w:r w:rsidR="006F6121" w:rsidRPr="000665B0">
        <w:t xml:space="preserve"> </w:t>
      </w:r>
      <w:r w:rsidRPr="000665B0">
        <w:t>or Block III Required.) To learn more about each search element</w:t>
      </w:r>
      <w:r w:rsidR="00522412" w:rsidRPr="000665B0">
        <w:t xml:space="preserve"> value</w:t>
      </w:r>
      <w:r w:rsidRPr="000665B0">
        <w:t xml:space="preserve">, </w:t>
      </w:r>
      <w:r w:rsidR="008D1FAA" w:rsidRPr="000665B0">
        <w:t>see</w:t>
      </w:r>
      <w:r w:rsidRPr="000665B0">
        <w:t xml:space="preserve"> </w:t>
      </w:r>
      <w:hyperlink w:anchor="_Appendix_H_" w:history="1">
        <w:r w:rsidRPr="000665B0">
          <w:rPr>
            <w:rStyle w:val="Hyperlink"/>
          </w:rPr>
          <w:t>Appendix G</w:t>
        </w:r>
      </w:hyperlink>
      <w:r w:rsidRPr="000665B0">
        <w:t xml:space="preserve"> or the detailed section describing the corresponding tool (Mission, Target, </w:t>
      </w:r>
      <w:r w:rsidR="00190A6C" w:rsidRPr="000665B0">
        <w:t>etc.</w:t>
      </w:r>
      <w:r w:rsidRPr="000665B0">
        <w:t xml:space="preserve">). </w:t>
      </w:r>
      <w:r w:rsidR="00B777B4" w:rsidRPr="000665B0">
        <w:t>There is a limitation with the query behavior for numerical values that are stored in the database as floating-point</w:t>
      </w:r>
      <w:r w:rsidR="007D1DA2" w:rsidRPr="000665B0">
        <w:t xml:space="preserve"> numbers</w:t>
      </w:r>
      <w:r w:rsidR="003621E4" w:rsidRPr="000665B0">
        <w:t>, which may produce query results that appear to be inaccurate. S</w:t>
      </w:r>
      <w:r w:rsidR="00B777B4" w:rsidRPr="000665B0">
        <w:t xml:space="preserve">ee </w:t>
      </w:r>
      <w:hyperlink w:anchor="_Appendix_H_" w:history="1">
        <w:r w:rsidR="00B777B4" w:rsidRPr="000665B0">
          <w:rPr>
            <w:rStyle w:val="Hyperlink"/>
          </w:rPr>
          <w:t>Appendix G</w:t>
        </w:r>
      </w:hyperlink>
      <w:r w:rsidR="00B777B4" w:rsidRPr="000665B0">
        <w:t xml:space="preserve"> </w:t>
      </w:r>
      <w:r w:rsidR="003621E4" w:rsidRPr="000665B0">
        <w:t>for details as well as which</w:t>
      </w:r>
      <w:r w:rsidR="00B777B4" w:rsidRPr="000665B0">
        <w:t xml:space="preserve"> query elements are affected by this limitation.</w:t>
      </w:r>
    </w:p>
    <w:p w14:paraId="3B5220A4" w14:textId="77777777" w:rsidR="00B62767" w:rsidRPr="000665B0" w:rsidRDefault="00B62767" w:rsidP="009570CA">
      <w:pPr>
        <w:ind w:left="360"/>
      </w:pPr>
      <w:r w:rsidRPr="000665B0">
        <w:rPr>
          <w:b/>
          <w:bCs/>
        </w:rPr>
        <w:t>Boolean</w:t>
      </w:r>
      <w:r w:rsidRPr="000665B0">
        <w:t xml:space="preserve"> – Boolean operators enable the user to be very specific on how search elements/values are to be treated and combined. They are:</w:t>
      </w:r>
    </w:p>
    <w:p w14:paraId="58BB1848" w14:textId="77777777" w:rsidR="00B62767" w:rsidRPr="000665B0" w:rsidRDefault="00B62767" w:rsidP="006D5A65">
      <w:pPr>
        <w:pStyle w:val="Heading1"/>
      </w:pPr>
      <w:r w:rsidRPr="000665B0">
        <w:rPr>
          <w:bCs/>
        </w:rPr>
        <w:t>And</w:t>
      </w:r>
      <w:r w:rsidRPr="000665B0">
        <w:t xml:space="preserve"> – Combines more than one search element/value. The search element/value that has the And operator must exist for the data item to be selected.</w:t>
      </w:r>
    </w:p>
    <w:p w14:paraId="1C9F60CB" w14:textId="77777777" w:rsidR="00B62767" w:rsidRPr="000665B0" w:rsidRDefault="00B62767" w:rsidP="006D5A65">
      <w:pPr>
        <w:pStyle w:val="Heading1"/>
      </w:pPr>
      <w:r w:rsidRPr="000665B0">
        <w:rPr>
          <w:bCs/>
        </w:rPr>
        <w:t>And Not</w:t>
      </w:r>
      <w:r w:rsidRPr="000665B0">
        <w:t xml:space="preserve"> – Combines more than one search element/value. The search element/value that has the And Not operator must not exist for the data item to be selected.</w:t>
      </w:r>
    </w:p>
    <w:p w14:paraId="29510F09" w14:textId="77777777" w:rsidR="00B62767" w:rsidRPr="000665B0" w:rsidRDefault="00B62767" w:rsidP="006D5A65">
      <w:pPr>
        <w:pStyle w:val="Heading1"/>
      </w:pPr>
      <w:r w:rsidRPr="000665B0">
        <w:rPr>
          <w:bCs/>
        </w:rPr>
        <w:t>Or</w:t>
      </w:r>
      <w:r w:rsidRPr="000665B0">
        <w:t xml:space="preserve"> – Combines more than one search element/value. A data item that contains the search element/value that has the Or operator will be selected.</w:t>
      </w:r>
    </w:p>
    <w:p w14:paraId="25BA8418" w14:textId="77777777" w:rsidR="00B62767" w:rsidRPr="000665B0" w:rsidRDefault="00B62767" w:rsidP="006D5A65">
      <w:pPr>
        <w:pStyle w:val="Heading1"/>
      </w:pPr>
      <w:r w:rsidRPr="000665B0">
        <w:rPr>
          <w:bCs/>
        </w:rPr>
        <w:t>Or Not</w:t>
      </w:r>
      <w:r w:rsidRPr="000665B0">
        <w:t xml:space="preserve"> – Combines more than one search element/value. A data item that does not contain the search element/value that has the Or Not operator will be selected.</w:t>
      </w:r>
    </w:p>
    <w:p w14:paraId="7F6A4C8E" w14:textId="77777777" w:rsidR="00B62767" w:rsidRPr="000665B0" w:rsidRDefault="00B62767" w:rsidP="006D5A65">
      <w:pPr>
        <w:pStyle w:val="Heading1"/>
      </w:pPr>
      <w:r w:rsidRPr="000665B0">
        <w:rPr>
          <w:bCs/>
        </w:rPr>
        <w:t>Not</w:t>
      </w:r>
      <w:r w:rsidRPr="000665B0">
        <w:t xml:space="preserve"> – A data item that does not contain the search element/value that has the Not operator will be selected. It can only be used on the first search element/value.</w:t>
      </w:r>
    </w:p>
    <w:p w14:paraId="2C07DA80" w14:textId="77777777" w:rsidR="00B62767" w:rsidRPr="000665B0" w:rsidRDefault="00B62767" w:rsidP="006D5A65">
      <w:pPr>
        <w:pStyle w:val="Heading1"/>
      </w:pPr>
      <w:r w:rsidRPr="000665B0">
        <w:rPr>
          <w:bCs/>
        </w:rPr>
        <w:t>None</w:t>
      </w:r>
      <w:r w:rsidRPr="000665B0">
        <w:t xml:space="preserve"> – Removes the operator from the search element/value. It can only be used on the first search element/value.</w:t>
      </w:r>
    </w:p>
    <w:p w14:paraId="44561E2B" w14:textId="77777777" w:rsidR="00B62767" w:rsidRPr="000665B0" w:rsidRDefault="00B62767" w:rsidP="009570CA">
      <w:r w:rsidRPr="000665B0">
        <w:t>To create a new Query:</w:t>
      </w:r>
    </w:p>
    <w:p w14:paraId="36D01DE8" w14:textId="2C69AA00" w:rsidR="00B62767" w:rsidRPr="000665B0" w:rsidRDefault="00B62767" w:rsidP="006D5A65">
      <w:pPr>
        <w:pStyle w:val="Heading1"/>
      </w:pPr>
      <w:r w:rsidRPr="000665B0">
        <w:t xml:space="preserve">From the </w:t>
      </w:r>
      <w:r w:rsidRPr="000665B0">
        <w:rPr>
          <w:bCs/>
        </w:rPr>
        <w:t xml:space="preserve">File </w:t>
      </w:r>
      <w:r w:rsidRPr="000665B0">
        <w:t xml:space="preserve">menu select </w:t>
      </w:r>
      <w:r w:rsidRPr="000665B0">
        <w:rPr>
          <w:bCs/>
        </w:rPr>
        <w:t xml:space="preserve">New </w:t>
      </w:r>
      <w:r w:rsidR="00804220" w:rsidRPr="000665B0">
        <w:sym w:font="Wingdings 3" w:char="F07D"/>
      </w:r>
      <w:r w:rsidR="00B55EE2" w:rsidRPr="000665B0">
        <w:t>,</w:t>
      </w:r>
      <w:r w:rsidRPr="000665B0">
        <w:rPr>
          <w:bCs/>
        </w:rPr>
        <w:t xml:space="preserve"> </w:t>
      </w:r>
      <w:r w:rsidRPr="000665B0">
        <w:t xml:space="preserve">click the </w:t>
      </w:r>
      <w:r w:rsidRPr="000665B0">
        <w:sym w:font="Wingdings 3" w:char="F080"/>
      </w:r>
      <w:r w:rsidRPr="000665B0">
        <w:t xml:space="preserve"> button to the right of the </w:t>
      </w:r>
      <w:r w:rsidRPr="000665B0">
        <w:rPr>
          <w:bCs/>
        </w:rPr>
        <w:t>New</w:t>
      </w:r>
      <w:r w:rsidRPr="000665B0">
        <w:t xml:space="preserve"> icon on the </w:t>
      </w:r>
      <w:r w:rsidRPr="000665B0">
        <w:rPr>
          <w:bCs/>
        </w:rPr>
        <w:t>Tool Bar</w:t>
      </w:r>
      <w:r w:rsidR="00B55EE2" w:rsidRPr="000665B0">
        <w:t xml:space="preserve">, or </w:t>
      </w:r>
      <w:r w:rsidR="00B55EE2" w:rsidRPr="000665B0">
        <w:rPr>
          <w:noProof/>
        </w:rPr>
        <w:t xml:space="preserve">invoke the context menu (right-click the mouse) and select New…, and </w:t>
      </w:r>
      <w:r w:rsidR="00B55EE2" w:rsidRPr="000665B0">
        <w:t>select the type of query to be created from the available options</w:t>
      </w:r>
      <w:r w:rsidRPr="000665B0">
        <w:t xml:space="preserve">. The </w:t>
      </w:r>
      <w:r w:rsidRPr="000665B0">
        <w:rPr>
          <w:i/>
        </w:rPr>
        <w:t>Query View</w:t>
      </w:r>
      <w:r w:rsidRPr="000665B0">
        <w:t xml:space="preserve"> window for the selected query type is displayed.</w:t>
      </w:r>
      <w:r w:rsidR="00BE7394" w:rsidRPr="000665B0">
        <w:t xml:space="preserve"> All required fields are denoted by the * and/or yellow background and the user is unable to proceed without updating these fields. For further information on mandatory fields see </w:t>
      </w:r>
      <w:hyperlink w:anchor="_5.2.7__Editing" w:history="1">
        <w:r w:rsidR="00BE7394" w:rsidRPr="000665B0">
          <w:rPr>
            <w:color w:val="0000FF"/>
            <w:u w:val="single"/>
          </w:rPr>
          <w:t>Section 5.2.8</w:t>
        </w:r>
      </w:hyperlink>
      <w:r w:rsidR="00BE7394" w:rsidRPr="000665B0">
        <w:t>.</w:t>
      </w:r>
    </w:p>
    <w:p w14:paraId="546320ED" w14:textId="3D2B5948" w:rsidR="00BE7394" w:rsidRPr="000665B0" w:rsidRDefault="009271B2" w:rsidP="006D5A65">
      <w:pPr>
        <w:pStyle w:val="Heading2"/>
      </w:pPr>
      <w:r w:rsidRPr="000665B0">
        <w:rPr>
          <w:snapToGrid w:val="0"/>
          <w:color w:val="000000"/>
          <w:w w:val="0"/>
          <w:sz w:val="0"/>
          <w:szCs w:val="0"/>
          <w:u w:color="000000"/>
          <w:bdr w:val="none" w:sz="0" w:space="0" w:color="000000"/>
          <w:shd w:val="clear" w:color="000000" w:fill="000000"/>
          <w:lang w:val="x-none" w:eastAsia="x-none" w:bidi="x-none"/>
        </w:rPr>
        <w:t xml:space="preserve"> </w:t>
      </w:r>
      <w:r w:rsidR="00BE7394" w:rsidRPr="000665B0">
        <w:t xml:space="preserve">For New </w:t>
      </w:r>
      <w:r w:rsidR="00BE7394" w:rsidRPr="000665B0">
        <w:sym w:font="Wingdings 3" w:char="F07D"/>
      </w:r>
      <w:r w:rsidR="00BE7394" w:rsidRPr="000665B0">
        <w:t xml:space="preserve"> Mission Query selection, the </w:t>
      </w:r>
      <w:r w:rsidR="00BE7394" w:rsidRPr="000665B0">
        <w:rPr>
          <w:i/>
        </w:rPr>
        <w:t>Mission Query</w:t>
      </w:r>
      <w:r w:rsidR="00BE7394" w:rsidRPr="000665B0">
        <w:t xml:space="preserve"> window is displayed. Select specific criteria from the following list </w:t>
      </w:r>
      <w:r w:rsidR="00BE7394" w:rsidRPr="000665B0">
        <w:lastRenderedPageBreak/>
        <w:t xml:space="preserve">of tabs: </w:t>
      </w:r>
      <w:r w:rsidR="00BE7394" w:rsidRPr="000665B0">
        <w:rPr>
          <w:i/>
        </w:rPr>
        <w:t>General Info</w:t>
      </w:r>
      <w:r w:rsidR="00BE7394" w:rsidRPr="000665B0">
        <w:t xml:space="preserve">, </w:t>
      </w:r>
      <w:r w:rsidR="00BE7394" w:rsidRPr="000665B0">
        <w:rPr>
          <w:i/>
        </w:rPr>
        <w:t>Target</w:t>
      </w:r>
      <w:r w:rsidR="00BE7394" w:rsidRPr="000665B0">
        <w:t xml:space="preserve">, </w:t>
      </w:r>
      <w:r w:rsidR="00BE7394" w:rsidRPr="000665B0">
        <w:rPr>
          <w:i/>
        </w:rPr>
        <w:t>Launch</w:t>
      </w:r>
      <w:r w:rsidR="00BE7394" w:rsidRPr="000665B0">
        <w:t xml:space="preserve">, </w:t>
      </w:r>
      <w:r w:rsidR="00BE7394" w:rsidRPr="000665B0">
        <w:rPr>
          <w:i/>
        </w:rPr>
        <w:t>Environmental</w:t>
      </w:r>
      <w:r w:rsidR="00BE7394" w:rsidRPr="000665B0">
        <w:t xml:space="preserve">, and </w:t>
      </w:r>
      <w:r w:rsidR="00995A4D" w:rsidRPr="000665B0">
        <w:rPr>
          <w:i/>
        </w:rPr>
        <w:t>109E</w:t>
      </w:r>
      <w:r w:rsidR="00B801A5">
        <w:rPr>
          <w:i/>
        </w:rPr>
        <w:t>/M</w:t>
      </w:r>
      <w:r w:rsidR="00BE7394" w:rsidRPr="000665B0">
        <w:rPr>
          <w:i/>
        </w:rPr>
        <w:t xml:space="preserve"> Mission</w:t>
      </w:r>
      <w:r w:rsidR="00BE7394" w:rsidRPr="000665B0">
        <w:t>.</w:t>
      </w:r>
    </w:p>
    <w:p w14:paraId="79F3195B" w14:textId="3843BD71" w:rsidR="00BE7394" w:rsidRPr="000665B0" w:rsidRDefault="00F55ADB" w:rsidP="009570CA">
      <w:pPr>
        <w:pStyle w:val="number1"/>
        <w:jc w:val="center"/>
      </w:pPr>
      <w:r w:rsidRPr="004242DB">
        <w:rPr>
          <w:noProof/>
        </w:rPr>
        <w:drawing>
          <wp:inline distT="0" distB="0" distL="0" distR="0" wp14:anchorId="5942E7CF" wp14:editId="42298690">
            <wp:extent cx="3657600" cy="3602736"/>
            <wp:effectExtent l="0" t="0" r="0" b="0"/>
            <wp:docPr id="321497164"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97164" name="Picture 1" descr="Graphical user interface, application, table&#10;&#10;Description automatically generated"/>
                    <pic:cNvPicPr/>
                  </pic:nvPicPr>
                  <pic:blipFill>
                    <a:blip/>
                    <a:stretch>
                      <a:fillRect/>
                    </a:stretch>
                  </pic:blipFill>
                  <pic:spPr>
                    <a:xfrm>
                      <a:off x="0" y="0"/>
                      <a:ext cx="3657600" cy="3602736"/>
                    </a:xfrm>
                    <a:prstGeom prst="rect">
                      <a:avLst/>
                    </a:prstGeom>
                  </pic:spPr>
                </pic:pic>
              </a:graphicData>
            </a:graphic>
          </wp:inline>
        </w:drawing>
      </w:r>
    </w:p>
    <w:p w14:paraId="7E20C286" w14:textId="7250A799" w:rsidR="00BE7394" w:rsidRPr="000665B0" w:rsidRDefault="00BE7394" w:rsidP="006D5A65">
      <w:pPr>
        <w:pStyle w:val="Heading2"/>
      </w:pPr>
      <w:r w:rsidRPr="000665B0">
        <w:t xml:space="preserve">For New </w:t>
      </w:r>
      <w:r w:rsidRPr="000665B0">
        <w:sym w:font="Wingdings 3" w:char="F07D"/>
      </w:r>
      <w:r w:rsidRPr="000665B0">
        <w:t xml:space="preserve"> Target Query selection, the </w:t>
      </w:r>
      <w:r w:rsidRPr="000665B0">
        <w:rPr>
          <w:i/>
        </w:rPr>
        <w:t>Target Query</w:t>
      </w:r>
      <w:r w:rsidRPr="000665B0">
        <w:t xml:space="preserve"> window is displayed. Select specific criteria from the </w:t>
      </w:r>
      <w:r w:rsidRPr="000665B0">
        <w:rPr>
          <w:i/>
        </w:rPr>
        <w:t>General Info</w:t>
      </w:r>
      <w:r w:rsidRPr="000665B0">
        <w:t xml:space="preserve"> </w:t>
      </w:r>
      <w:r w:rsidR="00546474" w:rsidRPr="000665B0">
        <w:t>t</w:t>
      </w:r>
      <w:r w:rsidRPr="000665B0">
        <w:t>ab.</w:t>
      </w:r>
    </w:p>
    <w:p w14:paraId="49D3824B" w14:textId="19C7605C" w:rsidR="00BE7394" w:rsidRPr="000665B0" w:rsidRDefault="00F55ADB" w:rsidP="009570CA">
      <w:pPr>
        <w:pStyle w:val="number1"/>
        <w:jc w:val="center"/>
      </w:pPr>
      <w:r w:rsidRPr="004242DB">
        <w:rPr>
          <w:noProof/>
        </w:rPr>
        <w:lastRenderedPageBreak/>
        <w:drawing>
          <wp:inline distT="0" distB="0" distL="0" distR="0" wp14:anchorId="60AB27BE" wp14:editId="76D2CED5">
            <wp:extent cx="3657600" cy="3602736"/>
            <wp:effectExtent l="0" t="0" r="0" b="0"/>
            <wp:docPr id="37714050"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4050" name="Picture 1" descr="Graphical user interface, application, table&#10;&#10;Description automatically generated"/>
                    <pic:cNvPicPr/>
                  </pic:nvPicPr>
                  <pic:blipFill>
                    <a:blip/>
                    <a:stretch>
                      <a:fillRect/>
                    </a:stretch>
                  </pic:blipFill>
                  <pic:spPr>
                    <a:xfrm>
                      <a:off x="0" y="0"/>
                      <a:ext cx="3657600" cy="3602736"/>
                    </a:xfrm>
                    <a:prstGeom prst="rect">
                      <a:avLst/>
                    </a:prstGeom>
                  </pic:spPr>
                </pic:pic>
              </a:graphicData>
            </a:graphic>
          </wp:inline>
        </w:drawing>
      </w:r>
    </w:p>
    <w:p w14:paraId="523A5B93" w14:textId="7FFFF0D8" w:rsidR="00BE7394" w:rsidRPr="000665B0" w:rsidRDefault="00BE7394" w:rsidP="006D5A65">
      <w:pPr>
        <w:pStyle w:val="Heading2"/>
      </w:pPr>
      <w:r w:rsidRPr="000665B0">
        <w:t xml:space="preserve">For New </w:t>
      </w:r>
      <w:r w:rsidRPr="000665B0">
        <w:sym w:font="Wingdings 3" w:char="F07D"/>
      </w:r>
      <w:r w:rsidRPr="000665B0">
        <w:t xml:space="preserve"> Strike Folder Query selection, the </w:t>
      </w:r>
      <w:r w:rsidRPr="000665B0">
        <w:rPr>
          <w:i/>
        </w:rPr>
        <w:t>Strike Folder Query</w:t>
      </w:r>
      <w:r w:rsidRPr="000665B0">
        <w:t xml:space="preserve"> window is displayed. Select specific criteria from the </w:t>
      </w:r>
      <w:r w:rsidRPr="000665B0">
        <w:rPr>
          <w:i/>
        </w:rPr>
        <w:t>General Info</w:t>
      </w:r>
      <w:r w:rsidRPr="000665B0">
        <w:t xml:space="preserve"> and </w:t>
      </w:r>
      <w:r w:rsidRPr="000665B0">
        <w:rPr>
          <w:i/>
        </w:rPr>
        <w:t>Target</w:t>
      </w:r>
      <w:r w:rsidRPr="000665B0">
        <w:t xml:space="preserve"> </w:t>
      </w:r>
      <w:r w:rsidR="00546474" w:rsidRPr="000665B0">
        <w:t>t</w:t>
      </w:r>
      <w:r w:rsidRPr="000665B0">
        <w:t>abs.</w:t>
      </w:r>
    </w:p>
    <w:p w14:paraId="23D7F88F" w14:textId="10C867C4" w:rsidR="00BE7394" w:rsidRPr="000665B0" w:rsidRDefault="00F55ADB" w:rsidP="009570CA">
      <w:pPr>
        <w:pStyle w:val="number1"/>
        <w:jc w:val="center"/>
      </w:pPr>
      <w:r w:rsidRPr="00B152DC">
        <w:rPr>
          <w:noProof/>
        </w:rPr>
        <w:drawing>
          <wp:inline distT="0" distB="0" distL="0" distR="0" wp14:anchorId="7467E10B" wp14:editId="6DE9BEBD">
            <wp:extent cx="3657600" cy="3602736"/>
            <wp:effectExtent l="0" t="0" r="0" b="0"/>
            <wp:docPr id="173865097"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097" name="Picture 1" descr="Graphical user interface, text, application&#10;&#10;Description automatically generated"/>
                    <pic:cNvPicPr/>
                  </pic:nvPicPr>
                  <pic:blipFill>
                    <a:blip/>
                    <a:stretch>
                      <a:fillRect/>
                    </a:stretch>
                  </pic:blipFill>
                  <pic:spPr>
                    <a:xfrm>
                      <a:off x="0" y="0"/>
                      <a:ext cx="3657600" cy="3602736"/>
                    </a:xfrm>
                    <a:prstGeom prst="rect">
                      <a:avLst/>
                    </a:prstGeom>
                  </pic:spPr>
                </pic:pic>
              </a:graphicData>
            </a:graphic>
          </wp:inline>
        </w:drawing>
      </w:r>
    </w:p>
    <w:p w14:paraId="2F675DD7" w14:textId="46F66990" w:rsidR="00BE7394" w:rsidRPr="000665B0" w:rsidRDefault="00BE7394" w:rsidP="006D5A65">
      <w:pPr>
        <w:pStyle w:val="Heading2"/>
      </w:pPr>
      <w:r w:rsidRPr="000665B0">
        <w:lastRenderedPageBreak/>
        <w:t xml:space="preserve">For New </w:t>
      </w:r>
      <w:r w:rsidRPr="000665B0">
        <w:sym w:font="Wingdings 3" w:char="F07D"/>
      </w:r>
      <w:r w:rsidRPr="000665B0">
        <w:t xml:space="preserve"> Strike Option Query selection, the </w:t>
      </w:r>
      <w:r w:rsidRPr="000665B0">
        <w:rPr>
          <w:i/>
        </w:rPr>
        <w:t>Strike Option Query</w:t>
      </w:r>
      <w:r w:rsidRPr="000665B0">
        <w:t xml:space="preserve"> window is displayed. Select specific criteria from the following list of </w:t>
      </w:r>
      <w:r w:rsidR="00E56742" w:rsidRPr="000665B0">
        <w:t>t</w:t>
      </w:r>
      <w:r w:rsidRPr="000665B0">
        <w:t xml:space="preserve">abs: </w:t>
      </w:r>
      <w:r w:rsidRPr="000665B0">
        <w:rPr>
          <w:i/>
        </w:rPr>
        <w:t>General</w:t>
      </w:r>
      <w:r w:rsidR="00E56742" w:rsidRPr="000665B0">
        <w:rPr>
          <w:i/>
        </w:rPr>
        <w:t xml:space="preserve"> Info</w:t>
      </w:r>
      <w:r w:rsidRPr="000665B0">
        <w:t xml:space="preserve">, </w:t>
      </w:r>
      <w:r w:rsidRPr="000665B0">
        <w:rPr>
          <w:i/>
        </w:rPr>
        <w:t>Target</w:t>
      </w:r>
      <w:r w:rsidRPr="000665B0">
        <w:t xml:space="preserve">, and </w:t>
      </w:r>
      <w:r w:rsidRPr="000665B0">
        <w:rPr>
          <w:i/>
        </w:rPr>
        <w:t>Arsenal Info</w:t>
      </w:r>
      <w:r w:rsidRPr="000665B0">
        <w:t>.</w:t>
      </w:r>
    </w:p>
    <w:p w14:paraId="2B87DD6B" w14:textId="73418279" w:rsidR="00BE7394" w:rsidRPr="000665B0" w:rsidRDefault="00F55ADB" w:rsidP="009570CA">
      <w:pPr>
        <w:pStyle w:val="number1"/>
        <w:jc w:val="center"/>
      </w:pPr>
      <w:r w:rsidRPr="00B152DC">
        <w:rPr>
          <w:noProof/>
        </w:rPr>
        <w:drawing>
          <wp:inline distT="0" distB="0" distL="0" distR="0" wp14:anchorId="6A652002" wp14:editId="7E0CFECB">
            <wp:extent cx="3657600" cy="3602736"/>
            <wp:effectExtent l="0" t="0" r="0" b="0"/>
            <wp:docPr id="91369908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99089" name="Picture 1" descr="Graphical user interface, application&#10;&#10;Description automatically generated"/>
                    <pic:cNvPicPr/>
                  </pic:nvPicPr>
                  <pic:blipFill>
                    <a:blip/>
                    <a:stretch>
                      <a:fillRect/>
                    </a:stretch>
                  </pic:blipFill>
                  <pic:spPr>
                    <a:xfrm>
                      <a:off x="0" y="0"/>
                      <a:ext cx="3657600" cy="3602736"/>
                    </a:xfrm>
                    <a:prstGeom prst="rect">
                      <a:avLst/>
                    </a:prstGeom>
                  </pic:spPr>
                </pic:pic>
              </a:graphicData>
            </a:graphic>
          </wp:inline>
        </w:drawing>
      </w:r>
    </w:p>
    <w:p w14:paraId="16462352" w14:textId="28560D7A" w:rsidR="00BE7394" w:rsidRPr="000665B0" w:rsidRDefault="00BE7394" w:rsidP="006D5A65">
      <w:pPr>
        <w:pStyle w:val="Heading2"/>
      </w:pPr>
      <w:r w:rsidRPr="000665B0">
        <w:t xml:space="preserve">For New </w:t>
      </w:r>
      <w:r w:rsidRPr="000665B0">
        <w:sym w:font="Wingdings 3" w:char="F07D"/>
      </w:r>
      <w:r w:rsidRPr="000665B0">
        <w:t xml:space="preserve"> ACMS Query selection, the </w:t>
      </w:r>
      <w:r w:rsidRPr="000665B0">
        <w:rPr>
          <w:i/>
        </w:rPr>
        <w:t>Acms Query</w:t>
      </w:r>
      <w:r w:rsidRPr="000665B0">
        <w:t xml:space="preserve"> window is displayed. Select specific criteria from the </w:t>
      </w:r>
      <w:r w:rsidRPr="000665B0">
        <w:rPr>
          <w:i/>
        </w:rPr>
        <w:t>General Info</w:t>
      </w:r>
      <w:r w:rsidRPr="000665B0">
        <w:t xml:space="preserve"> </w:t>
      </w:r>
      <w:r w:rsidR="00E56742" w:rsidRPr="000665B0">
        <w:t>t</w:t>
      </w:r>
      <w:r w:rsidRPr="000665B0">
        <w:t>ab.</w:t>
      </w:r>
    </w:p>
    <w:p w14:paraId="69180F4A" w14:textId="3337459B" w:rsidR="00B62767" w:rsidRPr="000665B0" w:rsidRDefault="00F55ADB" w:rsidP="009570CA">
      <w:pPr>
        <w:pStyle w:val="number1"/>
        <w:jc w:val="center"/>
      </w:pPr>
      <w:r w:rsidRPr="00400B2C">
        <w:rPr>
          <w:noProof/>
        </w:rPr>
        <w:lastRenderedPageBreak/>
        <w:drawing>
          <wp:inline distT="0" distB="0" distL="0" distR="0" wp14:anchorId="1C0B555A" wp14:editId="2730BA27">
            <wp:extent cx="3657600" cy="3602736"/>
            <wp:effectExtent l="0" t="0" r="0" b="0"/>
            <wp:docPr id="1053753782"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53782" name="Picture 1" descr="Graphical user interface, text, application&#10;&#10;Description automatically generated"/>
                    <pic:cNvPicPr/>
                  </pic:nvPicPr>
                  <pic:blipFill>
                    <a:blip/>
                    <a:stretch>
                      <a:fillRect/>
                    </a:stretch>
                  </pic:blipFill>
                  <pic:spPr>
                    <a:xfrm>
                      <a:off x="0" y="0"/>
                      <a:ext cx="3657600" cy="3602736"/>
                    </a:xfrm>
                    <a:prstGeom prst="rect">
                      <a:avLst/>
                    </a:prstGeom>
                  </pic:spPr>
                </pic:pic>
              </a:graphicData>
            </a:graphic>
          </wp:inline>
        </w:drawing>
      </w:r>
    </w:p>
    <w:p w14:paraId="5B0F8B0F" w14:textId="60D26C5B" w:rsidR="00D37FE3" w:rsidRPr="000665B0" w:rsidRDefault="00D37FE3" w:rsidP="006D5A65">
      <w:pPr>
        <w:pStyle w:val="Heading1"/>
      </w:pPr>
      <w:r w:rsidRPr="000665B0">
        <w:t xml:space="preserve">From the File menu select </w:t>
      </w:r>
      <w:r w:rsidR="00807DA8" w:rsidRPr="000665B0">
        <w:t>Execute or</w:t>
      </w:r>
      <w:r w:rsidRPr="000665B0">
        <w:t xml:space="preserve"> select the Execute </w:t>
      </w:r>
      <w:r w:rsidRPr="000665B0">
        <w:rPr>
          <w:bCs/>
          <w:noProof/>
        </w:rPr>
        <w:drawing>
          <wp:inline distT="0" distB="0" distL="0" distR="0" wp14:anchorId="48C76606" wp14:editId="0F758CDF">
            <wp:extent cx="152400" cy="152400"/>
            <wp:effectExtent l="19050" t="0" r="0" b="0"/>
            <wp:docPr id="1313" name="Picture 1313" descr="Execute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ExecuteQuery"/>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w:t>
      </w:r>
      <w:r w:rsidRPr="000665B0">
        <w:rPr>
          <w:bCs/>
        </w:rPr>
        <w:t>icon from the Tool Bar</w:t>
      </w:r>
      <w:r w:rsidRPr="000665B0">
        <w:t xml:space="preserve">. Or to retain the query for future use, from the File menu select Save or click the Save </w:t>
      </w:r>
      <w:r w:rsidRPr="000665B0">
        <w:rPr>
          <w:noProof/>
        </w:rPr>
        <w:drawing>
          <wp:inline distT="0" distB="0" distL="0" distR="0" wp14:anchorId="6E8BE5EF" wp14:editId="2BA9FCA9">
            <wp:extent cx="152400" cy="152400"/>
            <wp:effectExtent l="0" t="0" r="0" b="0"/>
            <wp:docPr id="1315" name="Picture 1315" descr="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ave%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Bar. </w:t>
      </w:r>
    </w:p>
    <w:p w14:paraId="7E569DFB" w14:textId="77777777" w:rsidR="00D37FE3" w:rsidRPr="000665B0" w:rsidRDefault="00D37FE3" w:rsidP="009570CA">
      <w:pPr>
        <w:pBdr>
          <w:top w:val="single" w:sz="12" w:space="1" w:color="auto"/>
          <w:left w:val="single" w:sz="12" w:space="4" w:color="auto"/>
          <w:bottom w:val="single" w:sz="12" w:space="2" w:color="auto"/>
          <w:right w:val="single" w:sz="12" w:space="4" w:color="auto"/>
        </w:pBdr>
        <w:shd w:val="clear" w:color="auto" w:fill="D9D9D9"/>
        <w:spacing w:after="0"/>
        <w:jc w:val="center"/>
        <w:rPr>
          <w:b/>
        </w:rPr>
      </w:pPr>
      <w:r w:rsidRPr="000665B0">
        <w:rPr>
          <w:b/>
        </w:rPr>
        <w:t>Note:</w:t>
      </w:r>
    </w:p>
    <w:p w14:paraId="5BF796B9" w14:textId="0259EF55" w:rsidR="00D37FE3" w:rsidRPr="000665B0" w:rsidRDefault="00D37FE3" w:rsidP="000D4036">
      <w:pPr>
        <w:pBdr>
          <w:top w:val="single" w:sz="12" w:space="1" w:color="auto"/>
          <w:left w:val="single" w:sz="12" w:space="4" w:color="auto"/>
          <w:bottom w:val="single" w:sz="12" w:space="2" w:color="auto"/>
          <w:right w:val="single" w:sz="12" w:space="4" w:color="auto"/>
        </w:pBdr>
        <w:shd w:val="clear" w:color="auto" w:fill="D9D9D9"/>
        <w:spacing w:after="0"/>
        <w:jc w:val="center"/>
        <w:rPr>
          <w:b/>
        </w:rPr>
      </w:pPr>
      <w:r w:rsidRPr="000665B0">
        <w:rPr>
          <w:b/>
        </w:rPr>
        <w:t xml:space="preserve">It is not recommended to execute a query while receiving Missions into the TED database. Doing so may result in an error message. </w:t>
      </w:r>
    </w:p>
    <w:p w14:paraId="361D2C00" w14:textId="77777777" w:rsidR="003D0891" w:rsidRPr="000665B0" w:rsidRDefault="003D0891" w:rsidP="009570CA">
      <w:pPr>
        <w:spacing w:after="0"/>
      </w:pPr>
      <w:bookmarkStart w:id="1834" w:name="_Toc485221342"/>
      <w:bookmarkStart w:id="1835" w:name="_Toc159315109"/>
      <w:bookmarkStart w:id="1836" w:name="_Toc112733353"/>
      <w:bookmarkStart w:id="1837" w:name="_Toc96233924"/>
      <w:bookmarkStart w:id="1838" w:name="_Toc96169879"/>
      <w:bookmarkStart w:id="1839" w:name="_Toc71955254"/>
      <w:bookmarkEnd w:id="1834"/>
    </w:p>
    <w:p w14:paraId="54685AF6" w14:textId="77777777" w:rsidR="003D0891" w:rsidRPr="000665B0" w:rsidRDefault="003D0891"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pPr>
      <w:r w:rsidRPr="000665B0">
        <w:rPr>
          <w:b/>
        </w:rPr>
        <w:lastRenderedPageBreak/>
        <w:t>Note:</w:t>
      </w:r>
    </w:p>
    <w:p w14:paraId="3C831EC5" w14:textId="0A6AFECC" w:rsidR="003D0891" w:rsidRPr="000665B0" w:rsidRDefault="003D0891"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pPr>
      <w:r w:rsidRPr="000665B0">
        <w:rPr>
          <w:b/>
        </w:rPr>
        <w:t xml:space="preserve">There is a limitation with the query behavior for </w:t>
      </w:r>
      <w:r w:rsidR="00B777B4" w:rsidRPr="000665B0">
        <w:rPr>
          <w:b/>
        </w:rPr>
        <w:t xml:space="preserve">numerical </w:t>
      </w:r>
      <w:r w:rsidRPr="000665B0">
        <w:rPr>
          <w:b/>
        </w:rPr>
        <w:t xml:space="preserve">values that are stored in the database as floating-point </w:t>
      </w:r>
      <w:r w:rsidR="007D1DA2" w:rsidRPr="000665B0">
        <w:rPr>
          <w:b/>
        </w:rPr>
        <w:t>numbers</w:t>
      </w:r>
      <w:r w:rsidRPr="000665B0">
        <w:rPr>
          <w:b/>
        </w:rPr>
        <w:t xml:space="preserve">. There may be </w:t>
      </w:r>
      <w:r w:rsidR="00D92587" w:rsidRPr="000665B0">
        <w:rPr>
          <w:b/>
        </w:rPr>
        <w:t xml:space="preserve">a </w:t>
      </w:r>
      <w:r w:rsidRPr="000665B0">
        <w:rPr>
          <w:b/>
        </w:rPr>
        <w:t>discrepanc</w:t>
      </w:r>
      <w:r w:rsidR="00D92587" w:rsidRPr="000665B0">
        <w:rPr>
          <w:b/>
        </w:rPr>
        <w:t>y</w:t>
      </w:r>
      <w:r w:rsidRPr="000665B0">
        <w:rPr>
          <w:b/>
        </w:rPr>
        <w:t xml:space="preserve"> between</w:t>
      </w:r>
      <w:r w:rsidR="00825991" w:rsidRPr="000665B0">
        <w:rPr>
          <w:b/>
        </w:rPr>
        <w:t xml:space="preserve"> the value that is</w:t>
      </w:r>
      <w:r w:rsidRPr="000665B0">
        <w:rPr>
          <w:b/>
        </w:rPr>
        <w:t xml:space="preserve"> displayed textually </w:t>
      </w:r>
      <w:r w:rsidR="00825991" w:rsidRPr="000665B0">
        <w:rPr>
          <w:b/>
        </w:rPr>
        <w:t>vs.</w:t>
      </w:r>
      <w:r w:rsidRPr="000665B0">
        <w:rPr>
          <w:b/>
        </w:rPr>
        <w:t xml:space="preserve"> </w:t>
      </w:r>
      <w:r w:rsidR="00825991" w:rsidRPr="000665B0">
        <w:rPr>
          <w:b/>
        </w:rPr>
        <w:t>the value</w:t>
      </w:r>
      <w:r w:rsidRPr="000665B0">
        <w:rPr>
          <w:b/>
        </w:rPr>
        <w:t xml:space="preserve"> </w:t>
      </w:r>
      <w:r w:rsidR="00825991" w:rsidRPr="000665B0">
        <w:rPr>
          <w:b/>
        </w:rPr>
        <w:t xml:space="preserve">that is </w:t>
      </w:r>
      <w:r w:rsidRPr="000665B0">
        <w:rPr>
          <w:b/>
        </w:rPr>
        <w:t xml:space="preserve">stored in the database. </w:t>
      </w:r>
    </w:p>
    <w:p w14:paraId="24143D1C" w14:textId="77777777" w:rsidR="00825991" w:rsidRPr="000665B0" w:rsidRDefault="00825991"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pPr>
    </w:p>
    <w:p w14:paraId="5CA3FDFB" w14:textId="6F291299" w:rsidR="003D0891" w:rsidRPr="000665B0" w:rsidRDefault="003D0891"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pPr>
      <w:r w:rsidRPr="000665B0">
        <w:rPr>
          <w:b/>
        </w:rPr>
        <w:t xml:space="preserve">For example, a value that is displayed </w:t>
      </w:r>
      <w:r w:rsidR="00B777B4" w:rsidRPr="000665B0">
        <w:rPr>
          <w:b/>
        </w:rPr>
        <w:t xml:space="preserve">textually </w:t>
      </w:r>
      <w:r w:rsidRPr="000665B0">
        <w:rPr>
          <w:b/>
        </w:rPr>
        <w:t xml:space="preserve">as 20.0 may be stored in the database as 19.99999. In this case, entering a query low value of 20.0 will not detect the value stored as 19.99999, even though it is displayed </w:t>
      </w:r>
      <w:r w:rsidR="00B777B4" w:rsidRPr="000665B0">
        <w:rPr>
          <w:b/>
        </w:rPr>
        <w:t xml:space="preserve">textually </w:t>
      </w:r>
      <w:r w:rsidRPr="000665B0">
        <w:rPr>
          <w:b/>
        </w:rPr>
        <w:t xml:space="preserve">as 20.0. This </w:t>
      </w:r>
      <w:r w:rsidR="00825991" w:rsidRPr="000665B0">
        <w:rPr>
          <w:b/>
        </w:rPr>
        <w:t>occurs because the displayed values are rounded, while the values in the database are not rounded.</w:t>
      </w:r>
    </w:p>
    <w:p w14:paraId="37792C65" w14:textId="77777777" w:rsidR="00825991" w:rsidRPr="000665B0" w:rsidRDefault="00825991"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pPr>
    </w:p>
    <w:p w14:paraId="02AA78E0" w14:textId="5B3F884D" w:rsidR="00825991" w:rsidRPr="000665B0" w:rsidRDefault="003D0891"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pPr>
      <w:r w:rsidRPr="000665B0">
        <w:rPr>
          <w:b/>
        </w:rPr>
        <w:t>This can lead to query results that appear to be inaccurate</w:t>
      </w:r>
      <w:r w:rsidR="00825991" w:rsidRPr="000665B0">
        <w:rPr>
          <w:b/>
        </w:rPr>
        <w:t xml:space="preserve"> because the </w:t>
      </w:r>
      <w:r w:rsidR="00B777B4" w:rsidRPr="000665B0">
        <w:rPr>
          <w:b/>
        </w:rPr>
        <w:t xml:space="preserve">query </w:t>
      </w:r>
      <w:r w:rsidR="00825991" w:rsidRPr="000665B0">
        <w:rPr>
          <w:b/>
        </w:rPr>
        <w:t>do</w:t>
      </w:r>
      <w:r w:rsidR="003621E4" w:rsidRPr="000665B0">
        <w:rPr>
          <w:b/>
        </w:rPr>
        <w:t>es</w:t>
      </w:r>
      <w:r w:rsidR="00825991" w:rsidRPr="000665B0">
        <w:rPr>
          <w:b/>
        </w:rPr>
        <w:t xml:space="preserve"> not </w:t>
      </w:r>
      <w:r w:rsidR="003621E4" w:rsidRPr="000665B0">
        <w:rPr>
          <w:b/>
        </w:rPr>
        <w:t>return</w:t>
      </w:r>
      <w:r w:rsidR="00825991" w:rsidRPr="000665B0">
        <w:rPr>
          <w:b/>
        </w:rPr>
        <w:t xml:space="preserve"> “expected” results.</w:t>
      </w:r>
      <w:r w:rsidRPr="000665B0">
        <w:rPr>
          <w:b/>
        </w:rPr>
        <w:t xml:space="preserve"> </w:t>
      </w:r>
    </w:p>
    <w:p w14:paraId="3EA8F4A2" w14:textId="77777777" w:rsidR="00825991" w:rsidRPr="000665B0" w:rsidRDefault="00825991"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pPr>
    </w:p>
    <w:p w14:paraId="444878ED" w14:textId="0AC643FA" w:rsidR="003D0891" w:rsidRPr="000665B0" w:rsidRDefault="003D0891"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pPr>
      <w:r w:rsidRPr="000665B0">
        <w:rPr>
          <w:b/>
        </w:rPr>
        <w:t xml:space="preserve">See </w:t>
      </w:r>
      <w:hyperlink w:anchor="_Appendix_H_" w:history="1">
        <w:r w:rsidR="00B777B4" w:rsidRPr="000665B0">
          <w:rPr>
            <w:b/>
            <w:color w:val="0000FF"/>
            <w:u w:val="single"/>
          </w:rPr>
          <w:t>Appendix G</w:t>
        </w:r>
      </w:hyperlink>
      <w:r w:rsidRPr="000665B0">
        <w:rPr>
          <w:b/>
        </w:rPr>
        <w:t xml:space="preserve"> for the list of </w:t>
      </w:r>
      <w:r w:rsidR="00B777B4" w:rsidRPr="000665B0">
        <w:rPr>
          <w:b/>
        </w:rPr>
        <w:t xml:space="preserve">query </w:t>
      </w:r>
      <w:r w:rsidRPr="000665B0">
        <w:rPr>
          <w:b/>
        </w:rPr>
        <w:t>elements that are</w:t>
      </w:r>
      <w:r w:rsidR="00B777B4" w:rsidRPr="000665B0">
        <w:rPr>
          <w:b/>
        </w:rPr>
        <w:t xml:space="preserve"> </w:t>
      </w:r>
      <w:r w:rsidRPr="000665B0">
        <w:rPr>
          <w:b/>
        </w:rPr>
        <w:t>affected by this limitation</w:t>
      </w:r>
      <w:r w:rsidR="003621E4" w:rsidRPr="000665B0">
        <w:rPr>
          <w:b/>
        </w:rPr>
        <w:t xml:space="preserve">, due to the values stored as floating-point </w:t>
      </w:r>
      <w:r w:rsidR="007D1DA2" w:rsidRPr="000665B0">
        <w:rPr>
          <w:b/>
        </w:rPr>
        <w:t>numbers</w:t>
      </w:r>
      <w:r w:rsidR="003621E4" w:rsidRPr="000665B0">
        <w:rPr>
          <w:b/>
        </w:rPr>
        <w:t>.</w:t>
      </w:r>
    </w:p>
    <w:p w14:paraId="6C839432" w14:textId="467355DC" w:rsidR="00B62767" w:rsidRPr="000665B0" w:rsidRDefault="00B62767" w:rsidP="009570CA">
      <w:pPr>
        <w:pStyle w:val="Heading3"/>
      </w:pPr>
      <w:bookmarkStart w:id="1840" w:name="_Toc214283243"/>
      <w:r w:rsidRPr="000665B0">
        <w:t>Display a Saved Query</w:t>
      </w:r>
      <w:bookmarkEnd w:id="1835"/>
      <w:bookmarkEnd w:id="1836"/>
      <w:bookmarkEnd w:id="1837"/>
      <w:bookmarkEnd w:id="1838"/>
      <w:bookmarkEnd w:id="1839"/>
      <w:bookmarkEnd w:id="1840"/>
    </w:p>
    <w:p w14:paraId="0ED92CF1" w14:textId="77777777" w:rsidR="00B62767" w:rsidRPr="000665B0" w:rsidRDefault="00B62767" w:rsidP="009570CA">
      <w:r w:rsidRPr="000665B0">
        <w:t>Displaying the query textually allows for viewing the search criteria to determine if modifications are necessary or if it can be executed as is.</w:t>
      </w:r>
    </w:p>
    <w:p w14:paraId="3C9DC6E2" w14:textId="3FEB9B13" w:rsidR="00B62767" w:rsidRPr="000665B0" w:rsidRDefault="00B62767" w:rsidP="009570CA">
      <w:pPr>
        <w:spacing w:after="0"/>
      </w:pPr>
      <w:r w:rsidRPr="000665B0">
        <w:t xml:space="preserve">To display the saved query textually see </w:t>
      </w:r>
      <w:hyperlink w:anchor="_5.2.1.2.4__Display_1" w:history="1">
        <w:r w:rsidRPr="000665B0">
          <w:rPr>
            <w:rStyle w:val="Hyperlink"/>
          </w:rPr>
          <w:t>Section 5.2.1.2.4</w:t>
        </w:r>
      </w:hyperlink>
      <w:r w:rsidRPr="000665B0">
        <w:t>.</w:t>
      </w:r>
    </w:p>
    <w:p w14:paraId="0BE3A1D3" w14:textId="51B1B0F6" w:rsidR="00B62767" w:rsidRPr="000665B0" w:rsidRDefault="00B62767" w:rsidP="009570CA">
      <w:pPr>
        <w:pStyle w:val="Heading3"/>
      </w:pPr>
      <w:bookmarkStart w:id="1841" w:name="_Toc159315110"/>
      <w:bookmarkStart w:id="1842" w:name="_Toc112733354"/>
      <w:bookmarkStart w:id="1843" w:name="_Toc96233925"/>
      <w:bookmarkStart w:id="1844" w:name="_Toc96169880"/>
      <w:bookmarkStart w:id="1845" w:name="_Toc71955255"/>
      <w:bookmarkStart w:id="1846" w:name="_Toc214283244"/>
      <w:r w:rsidRPr="000665B0">
        <w:t>Modify an Existing Query</w:t>
      </w:r>
      <w:bookmarkEnd w:id="1841"/>
      <w:bookmarkEnd w:id="1842"/>
      <w:bookmarkEnd w:id="1843"/>
      <w:bookmarkEnd w:id="1844"/>
      <w:bookmarkEnd w:id="1845"/>
      <w:bookmarkEnd w:id="1846"/>
    </w:p>
    <w:p w14:paraId="36C3C756" w14:textId="77777777" w:rsidR="00B62767" w:rsidRPr="000665B0" w:rsidRDefault="00B62767" w:rsidP="009570CA">
      <w:r w:rsidRPr="000665B0">
        <w:t>This operation allows the operator to change the search criteria elements in the query after it has been saved. The operator can change the value, remove the search element, change the Boolean, or add elements by selecting the appropriate buttons. The modifications to the Query can be saved afterward if desired.</w:t>
      </w:r>
    </w:p>
    <w:p w14:paraId="0FC3041D" w14:textId="77777777" w:rsidR="00B62767" w:rsidRPr="000665B0" w:rsidRDefault="00B62767" w:rsidP="009570CA">
      <w:r w:rsidRPr="000665B0">
        <w:t>To modify an existing query:</w:t>
      </w:r>
    </w:p>
    <w:p w14:paraId="47818628" w14:textId="097F5714" w:rsidR="00B62767" w:rsidRPr="000665B0" w:rsidRDefault="00B62767" w:rsidP="006D5A65">
      <w:pPr>
        <w:pStyle w:val="Heading1"/>
      </w:pPr>
      <w:r w:rsidRPr="000665B0">
        <w:t xml:space="preserve">From the Queries Tool, </w:t>
      </w:r>
      <w:r w:rsidR="0037038E" w:rsidRPr="000665B0">
        <w:t>double-click</w:t>
      </w:r>
      <w:r w:rsidRPr="000665B0">
        <w:t xml:space="preserve"> on the query to be edited.</w:t>
      </w:r>
    </w:p>
    <w:p w14:paraId="4F047A28" w14:textId="77777777" w:rsidR="00B62767" w:rsidRPr="000665B0" w:rsidRDefault="00B62767" w:rsidP="006D5A65">
      <w:pPr>
        <w:pStyle w:val="Heading1"/>
      </w:pPr>
      <w:r w:rsidRPr="000665B0">
        <w:t xml:space="preserve">In the </w:t>
      </w:r>
      <w:r w:rsidRPr="000665B0">
        <w:rPr>
          <w:i/>
        </w:rPr>
        <w:t>Query View</w:t>
      </w:r>
      <w:r w:rsidRPr="000665B0">
        <w:t xml:space="preserve"> window, make the required changes.</w:t>
      </w:r>
    </w:p>
    <w:p w14:paraId="79CF3143" w14:textId="77777777" w:rsidR="00B62767" w:rsidRPr="000665B0" w:rsidRDefault="00B62767" w:rsidP="006D5A65">
      <w:pPr>
        <w:pStyle w:val="Heading1"/>
      </w:pPr>
      <w:r w:rsidRPr="000665B0">
        <w:t xml:space="preserve">Once the criteria has been modified, click the </w:t>
      </w:r>
      <w:r w:rsidRPr="000665B0">
        <w:rPr>
          <w:bCs/>
        </w:rPr>
        <w:t>Save</w:t>
      </w:r>
      <w:r w:rsidRPr="000665B0">
        <w:t xml:space="preserve"> button to retain the query for future use. </w:t>
      </w:r>
    </w:p>
    <w:p w14:paraId="1CA1C44A" w14:textId="28DEB79E" w:rsidR="00B62767" w:rsidRPr="000665B0" w:rsidRDefault="00B62767" w:rsidP="009570CA">
      <w:pPr>
        <w:pStyle w:val="Heading3"/>
      </w:pPr>
      <w:bookmarkStart w:id="1847" w:name="_Toc159315111"/>
      <w:bookmarkStart w:id="1848" w:name="_Toc112733355"/>
      <w:bookmarkStart w:id="1849" w:name="_Toc96233926"/>
      <w:bookmarkStart w:id="1850" w:name="_Toc96169881"/>
      <w:bookmarkStart w:id="1851" w:name="_Toc71955256"/>
      <w:bookmarkStart w:id="1852" w:name="_Toc214283245"/>
      <w:r w:rsidRPr="000665B0">
        <w:t>Execute a Saved Query</w:t>
      </w:r>
      <w:bookmarkEnd w:id="1847"/>
      <w:bookmarkEnd w:id="1848"/>
      <w:bookmarkEnd w:id="1849"/>
      <w:bookmarkEnd w:id="1850"/>
      <w:bookmarkEnd w:id="1851"/>
      <w:bookmarkEnd w:id="1852"/>
    </w:p>
    <w:p w14:paraId="04F4028F" w14:textId="77777777" w:rsidR="00D37FE3" w:rsidRPr="000665B0" w:rsidRDefault="00B62767" w:rsidP="009570CA">
      <w:r w:rsidRPr="000665B0">
        <w:t xml:space="preserve">Executing a Saved Query initiates a search based on the query criteria. Each execution of a Query results in a Library. The resultant Library Type matches with the Query Type. For example, a Mission Query yields a Mission Library. Searching on Targets does not yield the same results as searching on Missions and will not produce a Mission Library. The operator also has the opportunity to rename the resultant Library and provide a description. </w:t>
      </w:r>
    </w:p>
    <w:p w14:paraId="2012D9DB" w14:textId="77777777" w:rsidR="00D37FE3" w:rsidRPr="000665B0" w:rsidRDefault="00D37FE3"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0E3C58FD" w14:textId="77777777" w:rsidR="00D37FE3" w:rsidRPr="000665B0" w:rsidRDefault="00D37FE3"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It is not recommended to execute a query while receiving Missions into the TED database. Doing so may result in an error message. </w:t>
      </w:r>
    </w:p>
    <w:p w14:paraId="3C2E9EC1" w14:textId="77777777" w:rsidR="00D37FE3" w:rsidRPr="000665B0" w:rsidRDefault="00D37FE3" w:rsidP="009570CA">
      <w:pPr>
        <w:spacing w:after="0"/>
        <w:rPr>
          <w:b/>
        </w:rPr>
      </w:pPr>
    </w:p>
    <w:p w14:paraId="4CD3637D" w14:textId="77777777" w:rsidR="00B777B4" w:rsidRPr="000665B0" w:rsidRDefault="00B777B4"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rPr>
          <w:b/>
        </w:rPr>
      </w:pPr>
      <w:r w:rsidRPr="000665B0">
        <w:rPr>
          <w:b/>
        </w:rPr>
        <w:t>Note:</w:t>
      </w:r>
    </w:p>
    <w:p w14:paraId="649C9C48" w14:textId="7E336207" w:rsidR="00B777B4" w:rsidRPr="000665B0" w:rsidRDefault="00B777B4"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rPr>
          <w:b/>
        </w:rPr>
      </w:pPr>
      <w:r w:rsidRPr="000665B0">
        <w:rPr>
          <w:b/>
        </w:rPr>
        <w:t xml:space="preserve">There is a limitation with the query behavior for numerical values that are stored in the database as floating-point </w:t>
      </w:r>
      <w:r w:rsidR="007D1DA2" w:rsidRPr="000665B0">
        <w:rPr>
          <w:b/>
        </w:rPr>
        <w:t>numbers</w:t>
      </w:r>
      <w:r w:rsidRPr="000665B0">
        <w:rPr>
          <w:b/>
        </w:rPr>
        <w:t xml:space="preserve">. There may be </w:t>
      </w:r>
      <w:r w:rsidR="003621E4" w:rsidRPr="000665B0">
        <w:rPr>
          <w:b/>
        </w:rPr>
        <w:t xml:space="preserve">a </w:t>
      </w:r>
      <w:r w:rsidRPr="000665B0">
        <w:rPr>
          <w:b/>
        </w:rPr>
        <w:t>discrepanc</w:t>
      </w:r>
      <w:r w:rsidR="003621E4" w:rsidRPr="000665B0">
        <w:rPr>
          <w:b/>
        </w:rPr>
        <w:t>y</w:t>
      </w:r>
      <w:r w:rsidRPr="000665B0">
        <w:rPr>
          <w:b/>
        </w:rPr>
        <w:t xml:space="preserve"> between the value that is displayed textually vs. the value that is stored in the database. </w:t>
      </w:r>
    </w:p>
    <w:p w14:paraId="6724693E" w14:textId="77777777" w:rsidR="00B777B4" w:rsidRPr="000665B0" w:rsidRDefault="00B777B4"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rPr>
          <w:b/>
        </w:rPr>
      </w:pPr>
    </w:p>
    <w:p w14:paraId="7AE66FB9" w14:textId="77777777" w:rsidR="00B777B4" w:rsidRPr="000665B0" w:rsidRDefault="00B777B4"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rPr>
          <w:b/>
        </w:rPr>
      </w:pPr>
      <w:r w:rsidRPr="000665B0">
        <w:rPr>
          <w:b/>
        </w:rPr>
        <w:t>For example, a value that is displayed textually as 20.0 may be stored in the database as 19.99999. In this case, entering a query low value of 20.0 will not detect the value stored as 19.99999, even though it is displayed textually as 20.0. This occurs because the displayed values are rounded, while the values in the database are not rounded.</w:t>
      </w:r>
    </w:p>
    <w:p w14:paraId="7559043D" w14:textId="77777777" w:rsidR="00B777B4" w:rsidRPr="000665B0" w:rsidRDefault="00B777B4"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rPr>
          <w:b/>
        </w:rPr>
      </w:pPr>
    </w:p>
    <w:p w14:paraId="7304980F" w14:textId="08151915" w:rsidR="00B777B4" w:rsidRPr="000665B0" w:rsidRDefault="00B777B4"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rPr>
          <w:b/>
        </w:rPr>
      </w:pPr>
      <w:r w:rsidRPr="000665B0">
        <w:rPr>
          <w:b/>
        </w:rPr>
        <w:t xml:space="preserve">This can lead to query results that appear to be inaccurate because the query </w:t>
      </w:r>
      <w:r w:rsidR="003621E4" w:rsidRPr="000665B0">
        <w:rPr>
          <w:b/>
        </w:rPr>
        <w:t>does</w:t>
      </w:r>
      <w:r w:rsidRPr="000665B0">
        <w:rPr>
          <w:b/>
        </w:rPr>
        <w:t xml:space="preserve"> not </w:t>
      </w:r>
      <w:r w:rsidR="003621E4" w:rsidRPr="000665B0">
        <w:rPr>
          <w:b/>
        </w:rPr>
        <w:t>return</w:t>
      </w:r>
      <w:r w:rsidRPr="000665B0">
        <w:rPr>
          <w:b/>
        </w:rPr>
        <w:t xml:space="preserve"> “expected” results. </w:t>
      </w:r>
    </w:p>
    <w:p w14:paraId="124A7A0D" w14:textId="77777777" w:rsidR="00B777B4" w:rsidRPr="000665B0" w:rsidRDefault="00B777B4" w:rsidP="009570CA">
      <w:pPr>
        <w:keepNext/>
        <w:keepLines/>
        <w:pBdr>
          <w:top w:val="single" w:sz="12" w:space="1" w:color="auto"/>
          <w:left w:val="single" w:sz="12" w:space="4" w:color="auto"/>
          <w:bottom w:val="single" w:sz="12" w:space="2" w:color="auto"/>
          <w:right w:val="single" w:sz="12" w:space="4" w:color="auto"/>
        </w:pBdr>
        <w:shd w:val="clear" w:color="auto" w:fill="D9D9D9"/>
        <w:spacing w:after="0"/>
        <w:jc w:val="center"/>
        <w:rPr>
          <w:b/>
        </w:rPr>
      </w:pPr>
    </w:p>
    <w:p w14:paraId="45608498" w14:textId="0C69940B" w:rsidR="00397D21" w:rsidRDefault="00B777B4" w:rsidP="000A3708">
      <w:pPr>
        <w:keepNext/>
        <w:keepLines/>
        <w:pBdr>
          <w:top w:val="single" w:sz="12" w:space="1" w:color="auto"/>
          <w:left w:val="single" w:sz="12" w:space="4" w:color="auto"/>
          <w:bottom w:val="single" w:sz="12" w:space="2" w:color="auto"/>
          <w:right w:val="single" w:sz="12" w:space="4" w:color="auto"/>
        </w:pBdr>
        <w:shd w:val="clear" w:color="auto" w:fill="D9D9D9"/>
        <w:spacing w:line="240" w:lineRule="auto"/>
        <w:jc w:val="center"/>
        <w:rPr>
          <w:bCs/>
        </w:rPr>
      </w:pPr>
      <w:r w:rsidRPr="000665B0">
        <w:rPr>
          <w:b/>
        </w:rPr>
        <w:t xml:space="preserve">See </w:t>
      </w:r>
      <w:hyperlink w:anchor="_Appendix_H_" w:history="1">
        <w:r w:rsidRPr="000665B0">
          <w:rPr>
            <w:b/>
            <w:color w:val="0000FF"/>
            <w:u w:val="single"/>
          </w:rPr>
          <w:t>Appendix G</w:t>
        </w:r>
      </w:hyperlink>
      <w:r w:rsidRPr="000665B0">
        <w:rPr>
          <w:b/>
        </w:rPr>
        <w:t xml:space="preserve"> for the list of query elements that are affected by this limitation</w:t>
      </w:r>
      <w:r w:rsidR="003621E4" w:rsidRPr="000665B0">
        <w:rPr>
          <w:b/>
        </w:rPr>
        <w:t xml:space="preserve">, </w:t>
      </w:r>
      <w:r w:rsidR="00CA6C7B" w:rsidRPr="000665B0">
        <w:rPr>
          <w:b/>
        </w:rPr>
        <w:t xml:space="preserve">due to the values stored as floating-point </w:t>
      </w:r>
      <w:r w:rsidR="007D1DA2" w:rsidRPr="000665B0">
        <w:rPr>
          <w:b/>
        </w:rPr>
        <w:t>numbers</w:t>
      </w:r>
      <w:r w:rsidR="00CA6C7B" w:rsidRPr="000665B0">
        <w:rPr>
          <w:b/>
        </w:rPr>
        <w:t>.</w:t>
      </w:r>
    </w:p>
    <w:p w14:paraId="638D1878" w14:textId="7F50447E" w:rsidR="00B62767" w:rsidRPr="000665B0" w:rsidRDefault="00B62767" w:rsidP="009570CA">
      <w:pPr>
        <w:rPr>
          <w:bCs/>
        </w:rPr>
      </w:pPr>
      <w:r w:rsidRPr="000665B0">
        <w:rPr>
          <w:bCs/>
        </w:rPr>
        <w:t>To execute a query:</w:t>
      </w:r>
    </w:p>
    <w:p w14:paraId="36F0A2F0" w14:textId="77777777" w:rsidR="00B62767" w:rsidRPr="000665B0" w:rsidRDefault="00B62767" w:rsidP="006D5A65">
      <w:pPr>
        <w:pStyle w:val="Heading1"/>
      </w:pPr>
      <w:r w:rsidRPr="000665B0">
        <w:t>From the Queries Tool, highlight the desired query and select to display it textually.</w:t>
      </w:r>
    </w:p>
    <w:p w14:paraId="48A7A7E1" w14:textId="5A0E68D7" w:rsidR="00B62767" w:rsidRPr="000665B0" w:rsidRDefault="00B62767" w:rsidP="006D5A65">
      <w:pPr>
        <w:pStyle w:val="Heading1"/>
      </w:pPr>
      <w:r w:rsidRPr="000665B0">
        <w:t xml:space="preserve">From the File menu select </w:t>
      </w:r>
      <w:r w:rsidR="0009791F" w:rsidRPr="000665B0">
        <w:t>Execute or</w:t>
      </w:r>
      <w:r w:rsidRPr="000665B0">
        <w:t xml:space="preserve"> select the Execute </w:t>
      </w:r>
      <w:r w:rsidR="00F9196F" w:rsidRPr="000665B0">
        <w:rPr>
          <w:bCs/>
          <w:noProof/>
        </w:rPr>
        <w:drawing>
          <wp:inline distT="0" distB="0" distL="0" distR="0" wp14:anchorId="27FCEC35" wp14:editId="334EBB55">
            <wp:extent cx="152400" cy="152400"/>
            <wp:effectExtent l="19050" t="0" r="0" b="0"/>
            <wp:docPr id="964" name="Picture 964" descr="Execute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ExecuteQuery"/>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F9196F" w:rsidRPr="000665B0">
        <w:t xml:space="preserve"> </w:t>
      </w:r>
      <w:r w:rsidRPr="000665B0">
        <w:rPr>
          <w:bCs/>
        </w:rPr>
        <w:t>icon from the Tool Bar.</w:t>
      </w:r>
    </w:p>
    <w:p w14:paraId="62E042A5" w14:textId="77777777" w:rsidR="00B62767" w:rsidRPr="000665B0" w:rsidRDefault="00B62767" w:rsidP="006D5A65">
      <w:pPr>
        <w:pStyle w:val="Heading1"/>
      </w:pPr>
      <w:r w:rsidRPr="000665B0">
        <w:t xml:space="preserve">After the results are returned in </w:t>
      </w:r>
      <w:r w:rsidR="00443DF6" w:rsidRPr="000665B0">
        <w:t xml:space="preserve">the </w:t>
      </w:r>
      <w:r w:rsidRPr="000665B0">
        <w:t>form of a Library, input the Name and Description.</w:t>
      </w:r>
    </w:p>
    <w:p w14:paraId="5069A0F6" w14:textId="1C0E2080" w:rsidR="00B62767" w:rsidRPr="000665B0" w:rsidRDefault="00B62767" w:rsidP="006D5A65">
      <w:pPr>
        <w:pStyle w:val="Heading1"/>
      </w:pPr>
      <w:r w:rsidRPr="000665B0">
        <w:t xml:space="preserve">Click the Save icon in the </w:t>
      </w:r>
      <w:r w:rsidR="0009791F" w:rsidRPr="000665B0">
        <w:t>toolbar</w:t>
      </w:r>
      <w:r w:rsidR="0009791F" w:rsidRPr="000665B0">
        <w:rPr>
          <w:szCs w:val="24"/>
        </w:rPr>
        <w:t xml:space="preserve"> or</w:t>
      </w:r>
      <w:r w:rsidRPr="000665B0">
        <w:rPr>
          <w:szCs w:val="24"/>
        </w:rPr>
        <w:t xml:space="preserve"> select the </w:t>
      </w:r>
      <w:r w:rsidRPr="000665B0">
        <w:rPr>
          <w:bCs/>
          <w:szCs w:val="24"/>
        </w:rPr>
        <w:t>Save</w:t>
      </w:r>
      <w:r w:rsidRPr="000665B0">
        <w:rPr>
          <w:szCs w:val="24"/>
        </w:rPr>
        <w:t xml:space="preserve"> option from the </w:t>
      </w:r>
      <w:r w:rsidRPr="000665B0">
        <w:rPr>
          <w:bCs/>
          <w:szCs w:val="24"/>
        </w:rPr>
        <w:t>File</w:t>
      </w:r>
      <w:r w:rsidRPr="000665B0">
        <w:rPr>
          <w:szCs w:val="24"/>
        </w:rPr>
        <w:t xml:space="preserve"> pull down menu</w:t>
      </w:r>
      <w:r w:rsidRPr="000665B0">
        <w:t xml:space="preserve"> to save the results.</w:t>
      </w:r>
    </w:p>
    <w:p w14:paraId="7F50E238" w14:textId="0336F19B" w:rsidR="00B62767" w:rsidRPr="000665B0" w:rsidRDefault="00B62767" w:rsidP="009570CA">
      <w:pPr>
        <w:pStyle w:val="Heading3"/>
      </w:pPr>
      <w:bookmarkStart w:id="1853" w:name="_Toc159315112"/>
      <w:bookmarkStart w:id="1854" w:name="_Toc112733356"/>
      <w:bookmarkStart w:id="1855" w:name="_Toc96233927"/>
      <w:bookmarkStart w:id="1856" w:name="_Toc96169882"/>
      <w:bookmarkStart w:id="1857" w:name="_Toc71955261"/>
      <w:bookmarkStart w:id="1858" w:name="_Toc214283246"/>
      <w:r w:rsidRPr="000665B0">
        <w:t>Find</w:t>
      </w:r>
      <w:bookmarkEnd w:id="1853"/>
      <w:bookmarkEnd w:id="1854"/>
      <w:bookmarkEnd w:id="1855"/>
      <w:bookmarkEnd w:id="1856"/>
      <w:bookmarkEnd w:id="1857"/>
      <w:bookmarkEnd w:id="1858"/>
    </w:p>
    <w:p w14:paraId="5D036AEA" w14:textId="2BC05322" w:rsidR="00B62767" w:rsidRPr="000665B0" w:rsidRDefault="00F02F03" w:rsidP="009570CA">
      <w:r w:rsidRPr="000665B0">
        <w:t>See</w:t>
      </w:r>
      <w:r w:rsidR="00B62767" w:rsidRPr="000665B0">
        <w:t xml:space="preserve"> </w:t>
      </w:r>
      <w:hyperlink w:anchor="_5.2.5.1__Find_1" w:history="1">
        <w:r w:rsidR="00B62767" w:rsidRPr="000665B0">
          <w:rPr>
            <w:rStyle w:val="Hyperlink"/>
          </w:rPr>
          <w:t>Section 5.2.5.1</w:t>
        </w:r>
      </w:hyperlink>
      <w:r w:rsidR="00B62767" w:rsidRPr="000665B0">
        <w:t>.</w:t>
      </w:r>
    </w:p>
    <w:p w14:paraId="72C63DC5" w14:textId="77777777" w:rsidR="000C7953" w:rsidRPr="000665B0" w:rsidRDefault="000C7953" w:rsidP="009570CA">
      <w:pPr>
        <w:pStyle w:val="Heading3"/>
      </w:pPr>
      <w:bookmarkStart w:id="1859" w:name="_Toc214283247"/>
      <w:r w:rsidRPr="000665B0">
        <w:t>Plugin Tool</w:t>
      </w:r>
      <w:bookmarkEnd w:id="1859"/>
    </w:p>
    <w:p w14:paraId="1D6F404C" w14:textId="5CF5D3AE" w:rsidR="000C7953" w:rsidRPr="000665B0" w:rsidRDefault="00F02F03" w:rsidP="009570CA">
      <w:r w:rsidRPr="000665B0">
        <w:t>See</w:t>
      </w:r>
      <w:r w:rsidR="000C7953" w:rsidRPr="000665B0">
        <w:t xml:space="preserve"> </w:t>
      </w:r>
      <w:hyperlink w:anchor="_Plugin__Tool" w:history="1">
        <w:r w:rsidR="000C7953" w:rsidRPr="000665B0">
          <w:rPr>
            <w:rStyle w:val="Hyperlink"/>
          </w:rPr>
          <w:t>Section 5.2.5.2</w:t>
        </w:r>
      </w:hyperlink>
      <w:r w:rsidR="000C7953" w:rsidRPr="000665B0">
        <w:t>.</w:t>
      </w:r>
    </w:p>
    <w:p w14:paraId="6729747D" w14:textId="6DDF8C8A" w:rsidR="00B62767" w:rsidRPr="000665B0" w:rsidRDefault="00B62767" w:rsidP="009570CA">
      <w:pPr>
        <w:pStyle w:val="Heading3"/>
      </w:pPr>
      <w:bookmarkStart w:id="1860" w:name="_Toc112733357"/>
      <w:bookmarkStart w:id="1861" w:name="_Toc96233928"/>
      <w:bookmarkStart w:id="1862" w:name="_Toc96169883"/>
      <w:bookmarkStart w:id="1863" w:name="_Toc71955262"/>
      <w:bookmarkStart w:id="1864" w:name="_Toc159315113"/>
      <w:bookmarkStart w:id="1865" w:name="_Toc214283248"/>
      <w:r w:rsidRPr="000665B0">
        <w:t xml:space="preserve">Print </w:t>
      </w:r>
      <w:bookmarkEnd w:id="1860"/>
      <w:bookmarkEnd w:id="1861"/>
      <w:bookmarkEnd w:id="1862"/>
      <w:bookmarkEnd w:id="1863"/>
      <w:r w:rsidRPr="000665B0">
        <w:t>All</w:t>
      </w:r>
      <w:bookmarkEnd w:id="1864"/>
      <w:bookmarkEnd w:id="1865"/>
    </w:p>
    <w:p w14:paraId="3C66C550" w14:textId="29A5A04E" w:rsidR="00B62767" w:rsidRPr="000665B0" w:rsidRDefault="00F02F03" w:rsidP="009570CA">
      <w:r w:rsidRPr="000665B0">
        <w:t>See</w:t>
      </w:r>
      <w:r w:rsidR="00B62767" w:rsidRPr="000665B0">
        <w:t xml:space="preserve"> </w:t>
      </w:r>
      <w:hyperlink w:anchor="_5.2.1.5__Print" w:history="1">
        <w:r w:rsidR="00B62767" w:rsidRPr="000665B0">
          <w:rPr>
            <w:rStyle w:val="Hyperlink"/>
          </w:rPr>
          <w:t>Section 5.2.1.5</w:t>
        </w:r>
      </w:hyperlink>
      <w:r w:rsidR="00B62767" w:rsidRPr="000665B0">
        <w:t>.</w:t>
      </w:r>
    </w:p>
    <w:p w14:paraId="4DAC691A" w14:textId="2C3A5C2A" w:rsidR="00B62767" w:rsidRPr="000665B0" w:rsidRDefault="00B62767" w:rsidP="009570CA">
      <w:pPr>
        <w:pStyle w:val="Heading3"/>
      </w:pPr>
      <w:bookmarkStart w:id="1866" w:name="_Toc159315114"/>
      <w:bookmarkStart w:id="1867" w:name="_Toc112733358"/>
      <w:bookmarkStart w:id="1868" w:name="_Toc96233929"/>
      <w:bookmarkStart w:id="1869" w:name="_Toc96169884"/>
      <w:bookmarkStart w:id="1870" w:name="_Toc71955263"/>
      <w:bookmarkStart w:id="1871" w:name="_Toc214283249"/>
      <w:r w:rsidRPr="000665B0">
        <w:t>Display All in Excel</w:t>
      </w:r>
      <w:bookmarkEnd w:id="1866"/>
      <w:bookmarkEnd w:id="1867"/>
      <w:bookmarkEnd w:id="1868"/>
      <w:bookmarkEnd w:id="1869"/>
      <w:bookmarkEnd w:id="1870"/>
      <w:bookmarkEnd w:id="1871"/>
    </w:p>
    <w:p w14:paraId="6A48D885" w14:textId="6FD866B6" w:rsidR="00B62767" w:rsidRPr="000665B0" w:rsidRDefault="00F02F03" w:rsidP="009570CA">
      <w:r w:rsidRPr="000665B0">
        <w:t>See</w:t>
      </w:r>
      <w:r w:rsidR="00B62767" w:rsidRPr="000665B0">
        <w:t xml:space="preserve"> </w:t>
      </w:r>
      <w:hyperlink w:anchor="_5.2.1.2.1__Display_1" w:history="1">
        <w:r w:rsidR="00B62767" w:rsidRPr="000665B0">
          <w:rPr>
            <w:rStyle w:val="Hyperlink"/>
          </w:rPr>
          <w:t>Section 5.2.1.2.1</w:t>
        </w:r>
      </w:hyperlink>
      <w:r w:rsidR="00B62767" w:rsidRPr="000665B0">
        <w:t>.</w:t>
      </w:r>
    </w:p>
    <w:p w14:paraId="07A74A80" w14:textId="27226CAB" w:rsidR="00B62767" w:rsidRPr="000665B0" w:rsidRDefault="00B62767" w:rsidP="009570CA">
      <w:pPr>
        <w:pStyle w:val="Heading3"/>
      </w:pPr>
      <w:bookmarkStart w:id="1872" w:name="_Toc159315115"/>
      <w:bookmarkStart w:id="1873" w:name="_Toc112733359"/>
      <w:bookmarkStart w:id="1874" w:name="_Toc96233930"/>
      <w:bookmarkStart w:id="1875" w:name="_Toc96169885"/>
      <w:bookmarkStart w:id="1876" w:name="_Toc214283250"/>
      <w:bookmarkStart w:id="1877" w:name="_Toc71955264"/>
      <w:r w:rsidRPr="000665B0">
        <w:t>Display References</w:t>
      </w:r>
      <w:bookmarkEnd w:id="1872"/>
      <w:bookmarkEnd w:id="1873"/>
      <w:bookmarkEnd w:id="1874"/>
      <w:bookmarkEnd w:id="1875"/>
      <w:bookmarkEnd w:id="1876"/>
    </w:p>
    <w:p w14:paraId="37E1BE5B" w14:textId="77777777" w:rsidR="00F9196F" w:rsidRPr="000665B0" w:rsidRDefault="00F9196F" w:rsidP="009570CA">
      <w:pPr>
        <w:spacing w:after="0"/>
      </w:pPr>
      <w:r w:rsidRPr="000665B0">
        <w:t>This item has been hidden; the function is not yet implemented.</w:t>
      </w:r>
    </w:p>
    <w:p w14:paraId="6A508930" w14:textId="6EAFAB8B" w:rsidR="00B62767" w:rsidRPr="000665B0" w:rsidRDefault="00B62767" w:rsidP="009570CA">
      <w:pPr>
        <w:pStyle w:val="Heading3"/>
      </w:pPr>
      <w:bookmarkStart w:id="1878" w:name="_Toc159315116"/>
      <w:bookmarkStart w:id="1879" w:name="_Toc112733360"/>
      <w:bookmarkStart w:id="1880" w:name="_Toc96233931"/>
      <w:bookmarkStart w:id="1881" w:name="_Toc96169886"/>
      <w:bookmarkStart w:id="1882" w:name="_Toc214283251"/>
      <w:r w:rsidRPr="000665B0">
        <w:lastRenderedPageBreak/>
        <w:t>Select All</w:t>
      </w:r>
      <w:bookmarkEnd w:id="1877"/>
      <w:bookmarkEnd w:id="1878"/>
      <w:bookmarkEnd w:id="1879"/>
      <w:bookmarkEnd w:id="1880"/>
      <w:bookmarkEnd w:id="1881"/>
      <w:bookmarkEnd w:id="1882"/>
    </w:p>
    <w:p w14:paraId="2EABF85D" w14:textId="1C97961D" w:rsidR="00B62767" w:rsidRPr="000665B0" w:rsidRDefault="00F02F03" w:rsidP="009570CA">
      <w:r w:rsidRPr="000665B0">
        <w:t>See</w:t>
      </w:r>
      <w:r w:rsidR="00B62767" w:rsidRPr="000665B0">
        <w:t xml:space="preserve"> </w:t>
      </w:r>
      <w:hyperlink w:anchor="_5.2.2.1__Select_1" w:history="1">
        <w:r w:rsidR="00B62767" w:rsidRPr="000665B0">
          <w:rPr>
            <w:rStyle w:val="Hyperlink"/>
          </w:rPr>
          <w:t>Section 5.2.2.1</w:t>
        </w:r>
      </w:hyperlink>
      <w:r w:rsidR="00B62767" w:rsidRPr="000665B0">
        <w:t>.</w:t>
      </w:r>
    </w:p>
    <w:p w14:paraId="1663E047" w14:textId="59209C72" w:rsidR="00B62767" w:rsidRPr="000665B0" w:rsidRDefault="00B62767" w:rsidP="009570CA">
      <w:pPr>
        <w:pStyle w:val="Heading3"/>
      </w:pPr>
      <w:bookmarkStart w:id="1883" w:name="_Toc159315117"/>
      <w:bookmarkStart w:id="1884" w:name="_Toc112733361"/>
      <w:bookmarkStart w:id="1885" w:name="_Toc96233932"/>
      <w:bookmarkStart w:id="1886" w:name="_Toc96169887"/>
      <w:bookmarkStart w:id="1887" w:name="_Toc71955266"/>
      <w:bookmarkStart w:id="1888" w:name="_Toc214283252"/>
      <w:r w:rsidRPr="000665B0">
        <w:t>Delete</w:t>
      </w:r>
      <w:bookmarkEnd w:id="1883"/>
      <w:bookmarkEnd w:id="1884"/>
      <w:bookmarkEnd w:id="1885"/>
      <w:bookmarkEnd w:id="1886"/>
      <w:bookmarkEnd w:id="1887"/>
      <w:bookmarkEnd w:id="1888"/>
    </w:p>
    <w:p w14:paraId="109FCB21" w14:textId="41AC2586" w:rsidR="00B62767" w:rsidRPr="000665B0" w:rsidRDefault="00F02F03" w:rsidP="009570CA">
      <w:r w:rsidRPr="000665B0">
        <w:t>See</w:t>
      </w:r>
      <w:r w:rsidR="00B62767" w:rsidRPr="000665B0">
        <w:t xml:space="preserve"> </w:t>
      </w:r>
      <w:hyperlink w:anchor="_5.2.1.6__Delete" w:history="1">
        <w:r w:rsidR="00B62767" w:rsidRPr="000665B0">
          <w:rPr>
            <w:rStyle w:val="Hyperlink"/>
          </w:rPr>
          <w:t>Section 5.2.1.6</w:t>
        </w:r>
      </w:hyperlink>
      <w:r w:rsidR="00B62767" w:rsidRPr="000665B0">
        <w:t>.</w:t>
      </w:r>
    </w:p>
    <w:p w14:paraId="5D406177" w14:textId="531E982E" w:rsidR="00B62767" w:rsidRPr="000665B0" w:rsidRDefault="00B62767" w:rsidP="009570CA">
      <w:pPr>
        <w:pStyle w:val="Heading3"/>
      </w:pPr>
      <w:bookmarkStart w:id="1889" w:name="_Toc159315118"/>
      <w:bookmarkStart w:id="1890" w:name="_Toc112733362"/>
      <w:bookmarkStart w:id="1891" w:name="_Toc96233933"/>
      <w:bookmarkStart w:id="1892" w:name="_Toc96169888"/>
      <w:bookmarkStart w:id="1893" w:name="_Toc214283253"/>
      <w:r w:rsidRPr="000665B0">
        <w:t>Properties</w:t>
      </w:r>
      <w:bookmarkEnd w:id="1889"/>
      <w:bookmarkEnd w:id="1890"/>
      <w:bookmarkEnd w:id="1891"/>
      <w:bookmarkEnd w:id="1892"/>
      <w:bookmarkEnd w:id="1893"/>
    </w:p>
    <w:p w14:paraId="09E80014" w14:textId="1E18A9A5" w:rsidR="00B62767" w:rsidRPr="000665B0" w:rsidRDefault="00F02F03" w:rsidP="009570CA">
      <w:r w:rsidRPr="000665B0">
        <w:t>See</w:t>
      </w:r>
      <w:r w:rsidR="00B62767" w:rsidRPr="000665B0">
        <w:t xml:space="preserve"> </w:t>
      </w:r>
      <w:hyperlink w:anchor="_5.2.3.4__Properties" w:history="1">
        <w:r w:rsidR="00A75813" w:rsidRPr="000665B0">
          <w:rPr>
            <w:rStyle w:val="Hyperlink"/>
          </w:rPr>
          <w:t>Section 5.2.3.5</w:t>
        </w:r>
        <w:r w:rsidR="00B62767" w:rsidRPr="000665B0">
          <w:rPr>
            <w:rStyle w:val="Hyperlink"/>
          </w:rPr>
          <w:t>.</w:t>
        </w:r>
      </w:hyperlink>
    </w:p>
    <w:p w14:paraId="2457BDAF" w14:textId="57C10396" w:rsidR="00B62767" w:rsidRPr="000665B0" w:rsidRDefault="00B62767" w:rsidP="009570CA">
      <w:pPr>
        <w:pStyle w:val="Heading3"/>
      </w:pPr>
      <w:bookmarkStart w:id="1894" w:name="_Toc159315119"/>
      <w:bookmarkStart w:id="1895" w:name="_Toc112733363"/>
      <w:bookmarkStart w:id="1896" w:name="_Toc96233934"/>
      <w:bookmarkStart w:id="1897" w:name="_Toc96169889"/>
      <w:bookmarkStart w:id="1898" w:name="_Toc214283254"/>
      <w:r w:rsidRPr="000665B0">
        <w:t>Sort</w:t>
      </w:r>
      <w:bookmarkEnd w:id="1894"/>
      <w:bookmarkEnd w:id="1895"/>
      <w:bookmarkEnd w:id="1896"/>
      <w:bookmarkEnd w:id="1897"/>
      <w:bookmarkEnd w:id="1898"/>
    </w:p>
    <w:p w14:paraId="5514A1D0" w14:textId="72A368F0" w:rsidR="00B62767" w:rsidRPr="000665B0" w:rsidRDefault="00F02F03" w:rsidP="009570CA">
      <w:r w:rsidRPr="000665B0">
        <w:t>See</w:t>
      </w:r>
      <w:r w:rsidR="00B62767" w:rsidRPr="000665B0">
        <w:t xml:space="preserve"> </w:t>
      </w:r>
      <w:hyperlink w:anchor="_5.2.3.4.1__Sort" w:history="1">
        <w:r w:rsidR="00A75813" w:rsidRPr="000665B0">
          <w:rPr>
            <w:rStyle w:val="Hyperlink"/>
          </w:rPr>
          <w:t>Section 5.2.3.5</w:t>
        </w:r>
        <w:r w:rsidR="00B62767" w:rsidRPr="000665B0">
          <w:rPr>
            <w:rStyle w:val="Hyperlink"/>
          </w:rPr>
          <w:t>.1</w:t>
        </w:r>
      </w:hyperlink>
      <w:r w:rsidR="00B62767" w:rsidRPr="000665B0">
        <w:t>.</w:t>
      </w:r>
    </w:p>
    <w:p w14:paraId="42FCB768" w14:textId="77777777" w:rsidR="00A316EA" w:rsidRDefault="00A316EA" w:rsidP="006966D9">
      <w:pPr>
        <w:pStyle w:val="Heading2"/>
      </w:pPr>
      <w:r>
        <w:br w:type="page"/>
      </w:r>
      <w:bookmarkStart w:id="1899" w:name="_5.13__LIBRARIES"/>
      <w:bookmarkStart w:id="1900" w:name="_Toc289328340"/>
      <w:bookmarkStart w:id="1901" w:name="_Toc312331763"/>
      <w:bookmarkStart w:id="1902" w:name="_Toc214283255"/>
      <w:bookmarkEnd w:id="1823"/>
      <w:bookmarkEnd w:id="1899"/>
      <w:r w:rsidR="005D1A26" w:rsidRPr="000665B0">
        <w:lastRenderedPageBreak/>
        <w:t>LIBRARIES TOOL</w:t>
      </w:r>
      <w:bookmarkEnd w:id="1824"/>
      <w:bookmarkEnd w:id="1825"/>
      <w:bookmarkEnd w:id="1826"/>
      <w:bookmarkEnd w:id="1900"/>
      <w:bookmarkEnd w:id="1901"/>
      <w:bookmarkEnd w:id="1902"/>
    </w:p>
    <w:p w14:paraId="635281B0" w14:textId="77777777" w:rsidR="00ED44D5" w:rsidRPr="000665B0" w:rsidRDefault="00ED44D5" w:rsidP="009570CA">
      <w:bookmarkStart w:id="1903" w:name="_5.13.9__Validate"/>
      <w:bookmarkStart w:id="1904" w:name="_Toc71955285"/>
      <w:bookmarkStart w:id="1905" w:name="_Toc96169898"/>
      <w:bookmarkStart w:id="1906" w:name="_Toc96233943"/>
      <w:bookmarkStart w:id="1907" w:name="_Toc112733372"/>
      <w:bookmarkStart w:id="1908" w:name="_Toc289328350"/>
      <w:bookmarkStart w:id="1909" w:name="_Toc312331773"/>
      <w:bookmarkEnd w:id="1903"/>
      <w:r w:rsidRPr="000665B0">
        <w:t xml:space="preserve">The Libraries Tool displays a list of all the Saved Query results as well as manually created Libraries and is referred to as the Library List View. The Libraries Tool provides a single place in which the operator can display, compare, and/or manipulate Libraries. </w:t>
      </w:r>
    </w:p>
    <w:p w14:paraId="6F461F3E" w14:textId="77777777" w:rsidR="00ED44D5" w:rsidRPr="000665B0" w:rsidRDefault="00ED44D5" w:rsidP="009570CA">
      <w:r w:rsidRPr="000665B0">
        <w:t>Libraries are a group of ACMSs, Missions, Overlays, Strike Plan Folders, Strike Options, or Targets organized into a single group based on common criteria. Libraries are used to tailor a large database into usable chunks of data.</w:t>
      </w:r>
    </w:p>
    <w:p w14:paraId="70297359" w14:textId="77777777" w:rsidR="00ED44D5" w:rsidRPr="000665B0" w:rsidRDefault="00ED44D5" w:rsidP="009570CA">
      <w:r w:rsidRPr="000665B0">
        <w:t>For example, it may be easier to manipulate the mission database if it is divided into groups of missions for each country code. From this point, the data can be further subdivided into targets for that country.</w:t>
      </w:r>
    </w:p>
    <w:p w14:paraId="013B17D8" w14:textId="1D9BDFCF" w:rsidR="00F71280" w:rsidRPr="000665B0" w:rsidRDefault="00ED44D5" w:rsidP="009570CA">
      <w:r w:rsidRPr="000665B0">
        <w:t xml:space="preserve">In addition to the library types listed above, a library of TED Library type can be created as well. This type of library is able to accept different types of data instead of being restricted to a single data type as in the other MDS Libraries. Its main function is to enable the operator to assemble all of the required data needed for automated distribution into one library. </w:t>
      </w:r>
    </w:p>
    <w:p w14:paraId="530E6C58" w14:textId="2E6D8777" w:rsidR="00ED44D5" w:rsidRPr="000665B0" w:rsidRDefault="00ED44D5" w:rsidP="009570CA">
      <w:r w:rsidRPr="000665B0">
        <w:t>Only the Node that creates a Library can modify its contents. Nodes that receive a Library will have read-only permissions.</w:t>
      </w:r>
      <w:r w:rsidR="009651B0">
        <w:t xml:space="preserve"> </w:t>
      </w:r>
    </w:p>
    <w:p w14:paraId="6B5F529F" w14:textId="77777777" w:rsidR="00ED44D5" w:rsidRPr="000665B0" w:rsidRDefault="00ED44D5" w:rsidP="009570CA">
      <w:r w:rsidRPr="000665B0">
        <w:t>To view the Libraries Tool:</w:t>
      </w:r>
    </w:p>
    <w:p w14:paraId="42F17D38" w14:textId="77777777" w:rsidR="004A32AE" w:rsidRPr="000665B0" w:rsidRDefault="004A32AE" w:rsidP="009570CA">
      <w:pPr>
        <w:pStyle w:val="Number0205"/>
        <w:ind w:left="360" w:firstLine="0"/>
      </w:pPr>
      <w:r w:rsidRPr="000665B0">
        <w:t xml:space="preserve">From the </w:t>
      </w:r>
      <w:r w:rsidRPr="000665B0">
        <w:rPr>
          <w:b/>
        </w:rPr>
        <w:t>Go</w:t>
      </w:r>
      <w:r w:rsidRPr="000665B0">
        <w:t xml:space="preserve"> menu select </w:t>
      </w:r>
      <w:r w:rsidRPr="000665B0">
        <w:rPr>
          <w:b/>
        </w:rPr>
        <w:t>Libraries</w:t>
      </w:r>
      <w:r w:rsidRPr="000665B0">
        <w:t>.</w:t>
      </w:r>
    </w:p>
    <w:p w14:paraId="455DB711" w14:textId="63D7B4E7" w:rsidR="004A32AE" w:rsidRPr="000665B0" w:rsidRDefault="00992C9D" w:rsidP="009570CA">
      <w:pPr>
        <w:spacing w:before="120" w:after="240"/>
        <w:jc w:val="center"/>
      </w:pPr>
      <w:r w:rsidRPr="000665B0">
        <w:rPr>
          <w:noProof/>
        </w:rPr>
        <w:drawing>
          <wp:inline distT="0" distB="0" distL="0" distR="0" wp14:anchorId="5FE9C1CB" wp14:editId="7083B4D0">
            <wp:extent cx="4572000" cy="2258568"/>
            <wp:effectExtent l="0" t="0" r="0" b="889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2258568"/>
                    </a:xfrm>
                    <a:prstGeom prst="rect">
                      <a:avLst/>
                    </a:prstGeom>
                  </pic:spPr>
                </pic:pic>
              </a:graphicData>
            </a:graphic>
          </wp:inline>
        </w:drawing>
      </w:r>
      <w:r w:rsidRPr="000665B0" w:rsidDel="00CC43FA">
        <w:rPr>
          <w:noProof/>
        </w:rPr>
        <w:t xml:space="preserve"> </w:t>
      </w:r>
    </w:p>
    <w:p w14:paraId="3744EC54" w14:textId="77777777" w:rsidR="004A32AE" w:rsidRPr="000665B0" w:rsidRDefault="004A32AE" w:rsidP="009570CA">
      <w:pPr>
        <w:rPr>
          <w:b/>
        </w:rPr>
      </w:pPr>
      <w:r w:rsidRPr="000665B0">
        <w:rPr>
          <w:b/>
        </w:rPr>
        <w:t>Library List View Columns:</w:t>
      </w:r>
    </w:p>
    <w:p w14:paraId="6A2B3498" w14:textId="77777777" w:rsidR="004A32AE" w:rsidRPr="000665B0" w:rsidRDefault="004A32AE" w:rsidP="006D5A65">
      <w:pPr>
        <w:pStyle w:val="Heading1"/>
      </w:pPr>
      <w:r w:rsidRPr="000665B0">
        <w:lastRenderedPageBreak/>
        <w:t>Library ID – The unique identifier for a library in the format of location code-sequence number.</w:t>
      </w:r>
    </w:p>
    <w:p w14:paraId="168DA282" w14:textId="5C34E6FE" w:rsidR="004A32AE" w:rsidRPr="000665B0" w:rsidRDefault="004A32AE" w:rsidP="006D5A65">
      <w:pPr>
        <w:pStyle w:val="Heading1"/>
      </w:pPr>
      <w:r w:rsidRPr="000665B0">
        <w:t>Type –</w:t>
      </w:r>
      <w:r w:rsidR="005B5B45" w:rsidRPr="000665B0">
        <w:t xml:space="preserve"> The type of library which include ACMSs, Missions, Overlays, Strike Folders, Strike Options, Targets, and TED.</w:t>
      </w:r>
    </w:p>
    <w:p w14:paraId="52A00F4C" w14:textId="77777777" w:rsidR="004A32AE" w:rsidRPr="000665B0" w:rsidRDefault="004A32AE" w:rsidP="006D5A65">
      <w:pPr>
        <w:pStyle w:val="Heading1"/>
      </w:pPr>
      <w:r w:rsidRPr="000665B0">
        <w:t>Name – The name of the library.</w:t>
      </w:r>
    </w:p>
    <w:p w14:paraId="6177A7AE" w14:textId="77777777" w:rsidR="004A32AE" w:rsidRPr="000665B0" w:rsidRDefault="004A32AE" w:rsidP="006D5A65">
      <w:pPr>
        <w:pStyle w:val="Heading1"/>
      </w:pPr>
      <w:r w:rsidRPr="000665B0">
        <w:t># of Items – The number of items in the library.</w:t>
      </w:r>
    </w:p>
    <w:p w14:paraId="4668AC95" w14:textId="77777777" w:rsidR="004A32AE" w:rsidRPr="000665B0" w:rsidRDefault="004A32AE" w:rsidP="006D5A65">
      <w:pPr>
        <w:pStyle w:val="Heading1"/>
      </w:pPr>
      <w:r w:rsidRPr="000665B0">
        <w:t>Last Modified – The DTG for when this library is last modified.</w:t>
      </w:r>
    </w:p>
    <w:p w14:paraId="38B198F6" w14:textId="77777777" w:rsidR="004A32AE" w:rsidRPr="000665B0" w:rsidRDefault="004A32AE" w:rsidP="006D5A65">
      <w:pPr>
        <w:pStyle w:val="Heading1"/>
      </w:pPr>
      <w:r w:rsidRPr="000665B0">
        <w:t>Description – A free text description of the library.</w:t>
      </w:r>
    </w:p>
    <w:p w14:paraId="1045DE20" w14:textId="02010F0B" w:rsidR="004A32AE" w:rsidRPr="000665B0" w:rsidRDefault="004A32AE" w:rsidP="009570CA">
      <w:pPr>
        <w:pStyle w:val="Heading3"/>
        <w:keepNext w:val="0"/>
      </w:pPr>
      <w:bookmarkStart w:id="1910" w:name="_5.13.1__New"/>
      <w:bookmarkStart w:id="1911" w:name="_Toc214283256"/>
      <w:bookmarkEnd w:id="1910"/>
      <w:r w:rsidRPr="000665B0">
        <w:t>New Library</w:t>
      </w:r>
      <w:bookmarkEnd w:id="1911"/>
    </w:p>
    <w:p w14:paraId="63673369" w14:textId="77777777" w:rsidR="005B5B45" w:rsidRPr="000665B0" w:rsidRDefault="005B5B45" w:rsidP="009570CA">
      <w:r w:rsidRPr="000665B0">
        <w:t xml:space="preserve">This function allows the operator to create a new library. Libraries may also be created from within specific tools (ACMSs, Missions, etc.); refer to each individual tool’s information. There are two methods for adding data items to the library: drag and drop or use of the </w:t>
      </w:r>
      <w:r w:rsidRPr="000665B0">
        <w:rPr>
          <w:b/>
        </w:rPr>
        <w:t>Add</w:t>
      </w:r>
      <w:r w:rsidRPr="000665B0">
        <w:t xml:space="preserve"> option from the context menu within the library.</w:t>
      </w:r>
    </w:p>
    <w:p w14:paraId="092C2F6B" w14:textId="77777777" w:rsidR="004A32AE" w:rsidRPr="000665B0" w:rsidRDefault="004A32AE" w:rsidP="009570CA">
      <w:r w:rsidRPr="000665B0">
        <w:t>To create a new Library:</w:t>
      </w:r>
    </w:p>
    <w:p w14:paraId="7F23E167" w14:textId="77777777" w:rsidR="00127006" w:rsidRPr="000665B0" w:rsidRDefault="00127006" w:rsidP="006D5A65">
      <w:pPr>
        <w:pStyle w:val="Heading1"/>
      </w:pPr>
      <w:r w:rsidRPr="000665B0">
        <w:t>Navigate to the Libraries Tool.</w:t>
      </w:r>
    </w:p>
    <w:p w14:paraId="1E8B1BD7" w14:textId="7A7FEE8C" w:rsidR="00127006" w:rsidRPr="000665B0" w:rsidRDefault="00127006" w:rsidP="006D5A65">
      <w:pPr>
        <w:pStyle w:val="Heading1"/>
      </w:pPr>
      <w:r w:rsidRPr="000665B0">
        <w:t xml:space="preserve">From the </w:t>
      </w:r>
      <w:r w:rsidRPr="000665B0">
        <w:rPr>
          <w:bCs/>
        </w:rPr>
        <w:t xml:space="preserve">File </w:t>
      </w:r>
      <w:r w:rsidRPr="000665B0">
        <w:t xml:space="preserve">menu select </w:t>
      </w:r>
      <w:r w:rsidRPr="000665B0">
        <w:rPr>
          <w:bCs/>
        </w:rPr>
        <w:t xml:space="preserve">New </w:t>
      </w:r>
      <w:r w:rsidRPr="000665B0">
        <w:rPr>
          <w:bCs/>
        </w:rPr>
        <w:sym w:font="Wingdings 3" w:char="F07D"/>
      </w:r>
      <w:r w:rsidR="004928AF" w:rsidRPr="000665B0">
        <w:rPr>
          <w:bCs/>
        </w:rPr>
        <w:t>,</w:t>
      </w:r>
      <w:r w:rsidRPr="000665B0">
        <w:t xml:space="preserve"> click the </w:t>
      </w:r>
      <w:r w:rsidRPr="000665B0">
        <w:sym w:font="Wingdings 3" w:char="F080"/>
      </w:r>
      <w:r w:rsidRPr="000665B0">
        <w:t xml:space="preserve"> button to the right of the </w:t>
      </w:r>
      <w:r w:rsidRPr="000665B0">
        <w:rPr>
          <w:bCs/>
        </w:rPr>
        <w:t>New</w:t>
      </w:r>
      <w:r w:rsidRPr="000665B0">
        <w:t xml:space="preserve"> </w:t>
      </w:r>
      <w:r w:rsidRPr="000665B0">
        <w:rPr>
          <w:noProof/>
        </w:rPr>
        <w:drawing>
          <wp:inline distT="0" distB="0" distL="0" distR="0" wp14:anchorId="24A69144" wp14:editId="2CDCDDEC">
            <wp:extent cx="152400" cy="152400"/>
            <wp:effectExtent l="0" t="0" r="0" b="0"/>
            <wp:docPr id="291" name="Picture 291" descr="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w:t>
      </w:r>
      <w:r w:rsidRPr="000665B0">
        <w:rPr>
          <w:bCs/>
        </w:rPr>
        <w:t>Tool Bar</w:t>
      </w:r>
      <w:r w:rsidR="004928AF" w:rsidRPr="000665B0">
        <w:t xml:space="preserve">, or </w:t>
      </w:r>
      <w:r w:rsidR="004928AF" w:rsidRPr="000665B0">
        <w:rPr>
          <w:noProof/>
        </w:rPr>
        <w:t>invoke the context menu (right-click the mouse) and select New…,</w:t>
      </w:r>
      <w:r w:rsidRPr="000665B0">
        <w:rPr>
          <w:bCs/>
        </w:rPr>
        <w:t xml:space="preserve"> and </w:t>
      </w:r>
      <w:r w:rsidRPr="000665B0">
        <w:t xml:space="preserve">select the type of library to be created from the available options. The </w:t>
      </w:r>
      <w:r w:rsidRPr="000665B0">
        <w:rPr>
          <w:i/>
        </w:rPr>
        <w:t>Library</w:t>
      </w:r>
      <w:r w:rsidRPr="000665B0">
        <w:t xml:space="preserve"> window for the selected library type is displayed.</w:t>
      </w:r>
    </w:p>
    <w:p w14:paraId="59B7BE7A" w14:textId="18EF6141" w:rsidR="00127006" w:rsidRPr="000665B0" w:rsidRDefault="00CC43FA" w:rsidP="009570CA">
      <w:pPr>
        <w:jc w:val="center"/>
      </w:pPr>
      <w:r w:rsidRPr="000665B0">
        <w:rPr>
          <w:noProof/>
        </w:rPr>
        <w:drawing>
          <wp:inline distT="0" distB="0" distL="0" distR="0" wp14:anchorId="433F8FC5" wp14:editId="4D4B30DF">
            <wp:extent cx="3200400" cy="2734056"/>
            <wp:effectExtent l="0" t="0" r="0" b="0"/>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2734056"/>
                    </a:xfrm>
                    <a:prstGeom prst="rect">
                      <a:avLst/>
                    </a:prstGeom>
                  </pic:spPr>
                </pic:pic>
              </a:graphicData>
            </a:graphic>
          </wp:inline>
        </w:drawing>
      </w:r>
    </w:p>
    <w:p w14:paraId="79133113" w14:textId="6AA1AD3F" w:rsidR="00C117DF" w:rsidRPr="000665B0" w:rsidRDefault="00C117DF" w:rsidP="006D5A65">
      <w:pPr>
        <w:pStyle w:val="Heading1"/>
      </w:pPr>
      <w:r w:rsidRPr="000665B0">
        <w:t>Navigate within MDS to the location of the data that is to be added to the library.</w:t>
      </w:r>
      <w:r w:rsidRPr="000665B0">
        <w:br/>
        <w:t xml:space="preserve">This may be a specific tool, the result of a compare, or a textual display of another library. With the exception of a </w:t>
      </w:r>
      <w:r w:rsidRPr="000665B0">
        <w:lastRenderedPageBreak/>
        <w:t>TED Library, the data to be added must be the same type as that of the library (</w:t>
      </w:r>
      <w:r w:rsidR="003509EA" w:rsidRPr="000665B0">
        <w:t xml:space="preserve">i.e., </w:t>
      </w:r>
      <w:r w:rsidRPr="000665B0">
        <w:t>Missions into a Missions Library, etc.).</w:t>
      </w:r>
    </w:p>
    <w:p w14:paraId="704E8F2D" w14:textId="77777777" w:rsidR="00127006" w:rsidRPr="000665B0" w:rsidRDefault="00C117DF" w:rsidP="009570CA">
      <w:pPr>
        <w:ind w:left="1080" w:hanging="360"/>
      </w:pPr>
      <w:r w:rsidRPr="000665B0">
        <w:t>a.</w:t>
      </w:r>
      <w:r w:rsidRPr="000665B0">
        <w:tab/>
        <w:t>Highlight the desired data. Drag and drop selected data from the tool into the bottom pane of the new library. Data from the source list view with a Status of “Missing” cannot be dragged and dropped into the library.</w:t>
      </w:r>
    </w:p>
    <w:p w14:paraId="10D79322" w14:textId="77777777" w:rsidR="00127006" w:rsidRPr="000665B0" w:rsidRDefault="00127006" w:rsidP="009570CA">
      <w:pPr>
        <w:ind w:left="720" w:hanging="360"/>
      </w:pPr>
      <w:r w:rsidRPr="000665B0">
        <w:t>or</w:t>
      </w:r>
    </w:p>
    <w:p w14:paraId="3934347A" w14:textId="55A48021" w:rsidR="00127006" w:rsidRPr="000665B0" w:rsidRDefault="00127006" w:rsidP="006D5A65">
      <w:pPr>
        <w:pStyle w:val="Heading1"/>
      </w:pPr>
      <w:r w:rsidRPr="000665B0">
        <w:t>Right</w:t>
      </w:r>
      <w:r w:rsidR="00027267" w:rsidRPr="000665B0">
        <w:t>-</w:t>
      </w:r>
      <w:r w:rsidRPr="000665B0">
        <w:t>click in the data pane of the new library and select Add….</w:t>
      </w:r>
    </w:p>
    <w:p w14:paraId="22CDFDD8" w14:textId="77777777" w:rsidR="00127006" w:rsidRPr="000665B0" w:rsidRDefault="00127006" w:rsidP="006D5A65">
      <w:pPr>
        <w:pStyle w:val="Heading1"/>
      </w:pPr>
      <w:r w:rsidRPr="000665B0">
        <w:t>Choose the data from the ensuing window and click the OK button.</w:t>
      </w:r>
    </w:p>
    <w:p w14:paraId="539012EC" w14:textId="77777777" w:rsidR="00127006" w:rsidRPr="000665B0" w:rsidRDefault="00127006" w:rsidP="006D5A65">
      <w:pPr>
        <w:pStyle w:val="Heading1"/>
      </w:pPr>
      <w:r w:rsidRPr="000665B0">
        <w:t>Enter a Name and Description of the library if desired.</w:t>
      </w:r>
    </w:p>
    <w:p w14:paraId="5932BE33" w14:textId="77777777" w:rsidR="004A32AE" w:rsidRPr="000665B0" w:rsidRDefault="00127006" w:rsidP="006D5A65">
      <w:pPr>
        <w:pStyle w:val="Heading1"/>
      </w:pPr>
      <w:r w:rsidRPr="000665B0">
        <w:t xml:space="preserve">From the File menu select Save or click the Save </w:t>
      </w:r>
      <w:r w:rsidRPr="000665B0">
        <w:rPr>
          <w:noProof/>
        </w:rPr>
        <w:drawing>
          <wp:inline distT="0" distB="0" distL="0" distR="0" wp14:anchorId="60815EAD" wp14:editId="4F3B1AE2">
            <wp:extent cx="152400" cy="152400"/>
            <wp:effectExtent l="0" t="0" r="0" b="0"/>
            <wp:docPr id="278" name="Picture 278" descr="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ave%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Bar.</w:t>
      </w:r>
    </w:p>
    <w:p w14:paraId="0AB79BE6" w14:textId="5665BEBF" w:rsidR="005C6475" w:rsidRPr="000665B0" w:rsidRDefault="005C6475" w:rsidP="009570CA">
      <w:pPr>
        <w:pStyle w:val="Heading4"/>
      </w:pPr>
      <w:bookmarkStart w:id="1912" w:name="_5.13.1.1__New"/>
      <w:bookmarkEnd w:id="1912"/>
      <w:r w:rsidRPr="000665B0">
        <w:t>New TED Library</w:t>
      </w:r>
    </w:p>
    <w:p w14:paraId="40E47336" w14:textId="0DCFEF93" w:rsidR="005C6475" w:rsidRPr="000665B0" w:rsidRDefault="005C6475" w:rsidP="009570CA">
      <w:r w:rsidRPr="000665B0">
        <w:t xml:space="preserve">This function allows the operator to create a new TED Library. A TED Library is able to accept different types of data instead of being restricted to a single data type as in the other MDS Libraries. A TED Library may also be created from within specific tools including ACMSs, Missions, Overlays, Strike Folders, Strike Option, Targets, </w:t>
      </w:r>
      <w:r w:rsidR="00E75AC3">
        <w:t>TAWS</w:t>
      </w:r>
      <w:r w:rsidRPr="000665B0">
        <w:t>, Threats, or TMPRs.</w:t>
      </w:r>
    </w:p>
    <w:p w14:paraId="1724C259" w14:textId="77777777" w:rsidR="005C6475" w:rsidRPr="000665B0" w:rsidRDefault="005C6475"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7840A11A" w14:textId="77777777" w:rsidR="005C6475" w:rsidRPr="000665B0" w:rsidRDefault="005C6475"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A TED Library cannot be sent to systems running software prior to Version 5.1.</w:t>
      </w:r>
    </w:p>
    <w:p w14:paraId="62715B4E" w14:textId="77777777" w:rsidR="005C6475" w:rsidRPr="000665B0" w:rsidRDefault="005C6475" w:rsidP="009570CA">
      <w:pPr>
        <w:spacing w:before="240"/>
      </w:pPr>
      <w:r w:rsidRPr="000665B0">
        <w:t xml:space="preserve">There are two methods for adding data items to the library: drag and drop or use of the </w:t>
      </w:r>
      <w:r w:rsidRPr="000665B0">
        <w:rPr>
          <w:b/>
        </w:rPr>
        <w:t>Add</w:t>
      </w:r>
      <w:r w:rsidRPr="000665B0">
        <w:t xml:space="preserve"> option from the context menu within the library.</w:t>
      </w:r>
    </w:p>
    <w:p w14:paraId="31C898BA" w14:textId="77777777" w:rsidR="005C6475" w:rsidRPr="000665B0" w:rsidRDefault="005C6475" w:rsidP="009570CA">
      <w:r w:rsidRPr="000665B0">
        <w:t>To create a new TED Library from within the Libraries tool:</w:t>
      </w:r>
    </w:p>
    <w:p w14:paraId="7797E5CB" w14:textId="77777777" w:rsidR="005C6475" w:rsidRPr="000665B0" w:rsidRDefault="005C6475" w:rsidP="006D5A65">
      <w:pPr>
        <w:pStyle w:val="Heading1"/>
      </w:pPr>
      <w:r w:rsidRPr="000665B0">
        <w:t>Navigate to the Libraries Tool.</w:t>
      </w:r>
    </w:p>
    <w:p w14:paraId="19578EDD" w14:textId="1B78D622" w:rsidR="005C6475" w:rsidRPr="000665B0" w:rsidRDefault="005C6475" w:rsidP="006D5A65">
      <w:pPr>
        <w:pStyle w:val="Heading1"/>
      </w:pPr>
      <w:r w:rsidRPr="000665B0">
        <w:t xml:space="preserve">From the </w:t>
      </w:r>
      <w:r w:rsidRPr="000665B0">
        <w:rPr>
          <w:bCs/>
        </w:rPr>
        <w:t xml:space="preserve">File </w:t>
      </w:r>
      <w:r w:rsidRPr="000665B0">
        <w:t xml:space="preserve">menu select </w:t>
      </w:r>
      <w:r w:rsidRPr="000665B0">
        <w:rPr>
          <w:bCs/>
        </w:rPr>
        <w:t xml:space="preserve">New </w:t>
      </w:r>
      <w:r w:rsidRPr="000665B0">
        <w:rPr>
          <w:bCs/>
        </w:rPr>
        <w:sym w:font="Wingdings 3" w:char="F07D"/>
      </w:r>
      <w:r w:rsidR="004928AF" w:rsidRPr="000665B0">
        <w:rPr>
          <w:bCs/>
        </w:rPr>
        <w:t>,</w:t>
      </w:r>
      <w:r w:rsidRPr="000665B0">
        <w:t xml:space="preserve"> click the </w:t>
      </w:r>
      <w:r w:rsidRPr="000665B0">
        <w:sym w:font="Wingdings 3" w:char="F080"/>
      </w:r>
      <w:r w:rsidRPr="000665B0">
        <w:t xml:space="preserve"> button to the right of the </w:t>
      </w:r>
      <w:r w:rsidRPr="000665B0">
        <w:rPr>
          <w:bCs/>
        </w:rPr>
        <w:t>New</w:t>
      </w:r>
      <w:r w:rsidRPr="000665B0">
        <w:t xml:space="preserve"> </w:t>
      </w:r>
      <w:r w:rsidRPr="000665B0">
        <w:rPr>
          <w:noProof/>
        </w:rPr>
        <w:drawing>
          <wp:inline distT="0" distB="0" distL="0" distR="0" wp14:anchorId="276E2CFA" wp14:editId="29833CD3">
            <wp:extent cx="152400" cy="152400"/>
            <wp:effectExtent l="0" t="0" r="0" b="0"/>
            <wp:docPr id="959" name="Picture 959" descr="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w:t>
      </w:r>
      <w:r w:rsidRPr="000665B0">
        <w:rPr>
          <w:bCs/>
        </w:rPr>
        <w:t>Tool Bar</w:t>
      </w:r>
      <w:r w:rsidR="004928AF" w:rsidRPr="000665B0">
        <w:t xml:space="preserve">, or </w:t>
      </w:r>
      <w:r w:rsidR="004928AF" w:rsidRPr="000665B0">
        <w:rPr>
          <w:noProof/>
        </w:rPr>
        <w:t xml:space="preserve">invoke the context </w:t>
      </w:r>
      <w:r w:rsidR="004928AF" w:rsidRPr="000665B0">
        <w:rPr>
          <w:noProof/>
        </w:rPr>
        <w:lastRenderedPageBreak/>
        <w:t xml:space="preserve">menu (right-click the mouse) and select New…, </w:t>
      </w:r>
      <w:r w:rsidRPr="000665B0">
        <w:rPr>
          <w:bCs/>
        </w:rPr>
        <w:t>and</w:t>
      </w:r>
      <w:r w:rsidRPr="000665B0">
        <w:t xml:space="preserve"> select TED Library…. The </w:t>
      </w:r>
      <w:r w:rsidRPr="000665B0">
        <w:rPr>
          <w:i/>
        </w:rPr>
        <w:t>TED Library</w:t>
      </w:r>
      <w:r w:rsidRPr="000665B0">
        <w:t xml:space="preserve"> window is displayed.</w:t>
      </w:r>
    </w:p>
    <w:p w14:paraId="4F108056" w14:textId="05BB89FB" w:rsidR="005C6475" w:rsidRPr="000665B0" w:rsidRDefault="00CC43FA" w:rsidP="009570CA">
      <w:pPr>
        <w:jc w:val="center"/>
      </w:pPr>
      <w:r w:rsidRPr="000665B0">
        <w:rPr>
          <w:noProof/>
        </w:rPr>
        <w:drawing>
          <wp:inline distT="0" distB="0" distL="0" distR="0" wp14:anchorId="5F764B17" wp14:editId="5EF551B1">
            <wp:extent cx="3200400" cy="2468880"/>
            <wp:effectExtent l="0" t="0" r="0" b="0"/>
            <wp:docPr id="2068" name="Picture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2468880"/>
                    </a:xfrm>
                    <a:prstGeom prst="rect">
                      <a:avLst/>
                    </a:prstGeom>
                  </pic:spPr>
                </pic:pic>
              </a:graphicData>
            </a:graphic>
          </wp:inline>
        </w:drawing>
      </w:r>
    </w:p>
    <w:p w14:paraId="47184B18" w14:textId="4BC47AE9" w:rsidR="005C6475" w:rsidRPr="000665B0" w:rsidRDefault="005C6475" w:rsidP="006D5A65">
      <w:pPr>
        <w:pStyle w:val="Heading1"/>
      </w:pPr>
      <w:r w:rsidRPr="000665B0">
        <w:t xml:space="preserve">Navigate within MDS to the location of the data that is to be added to the library. This may be a specific tool (such as ACMSs, Missions, Overlays, Strike Folders, Strike Option, Targets, </w:t>
      </w:r>
      <w:r w:rsidR="003B4B4F">
        <w:t>TAWS</w:t>
      </w:r>
      <w:r w:rsidRPr="000665B0">
        <w:t>, Threats, or TMPRs), the result of a compare, or a textual display of another library.</w:t>
      </w:r>
    </w:p>
    <w:p w14:paraId="0A05A81F" w14:textId="77777777" w:rsidR="005C6475" w:rsidRPr="000665B0" w:rsidRDefault="005C6475" w:rsidP="009570CA">
      <w:pPr>
        <w:ind w:left="1080" w:hanging="360"/>
      </w:pPr>
      <w:r w:rsidRPr="000665B0">
        <w:t>a.</w:t>
      </w:r>
      <w:r w:rsidRPr="000665B0">
        <w:tab/>
        <w:t>Highlight the desired data. Drag and drop selected data from the tool into the bottom pane of the new library. Data from the source list view with a Status of “Missing” cannot be dragged and dropped into the library. Repeat as needed for different types of data.</w:t>
      </w:r>
    </w:p>
    <w:p w14:paraId="160F5CEB" w14:textId="77777777" w:rsidR="005C6475" w:rsidRPr="000665B0" w:rsidRDefault="005C6475" w:rsidP="009570CA">
      <w:pPr>
        <w:ind w:left="360"/>
      </w:pPr>
      <w:r w:rsidRPr="000665B0">
        <w:t>or</w:t>
      </w:r>
    </w:p>
    <w:p w14:paraId="666C6AED" w14:textId="22D45DD0" w:rsidR="005C6475" w:rsidRPr="000665B0" w:rsidRDefault="005C6475" w:rsidP="006D5A65">
      <w:pPr>
        <w:pStyle w:val="Heading1"/>
      </w:pPr>
      <w:r w:rsidRPr="000665B0">
        <w:t>Right</w:t>
      </w:r>
      <w:r w:rsidR="00027267" w:rsidRPr="000665B0">
        <w:t>-</w:t>
      </w:r>
      <w:r w:rsidRPr="000665B0">
        <w:t>click in the data pane of the new library, select Add</w:t>
      </w:r>
      <w:r w:rsidRPr="000665B0">
        <w:rPr>
          <w:bCs/>
        </w:rPr>
        <w:t>, and select the MDS location from the list.</w:t>
      </w:r>
    </w:p>
    <w:p w14:paraId="684EF1D8" w14:textId="77777777" w:rsidR="005C6475" w:rsidRPr="000665B0" w:rsidRDefault="005C6475" w:rsidP="006D5A65">
      <w:pPr>
        <w:pStyle w:val="Heading1"/>
      </w:pPr>
      <w:r w:rsidRPr="000665B0">
        <w:t>Choose the data from the ensuing window and click the OK button. Repeat as needed for different types of data.</w:t>
      </w:r>
    </w:p>
    <w:p w14:paraId="37A0CCF4" w14:textId="77777777" w:rsidR="005C6475" w:rsidRPr="000665B0" w:rsidRDefault="005C6475" w:rsidP="006D5A65">
      <w:pPr>
        <w:pStyle w:val="Heading1"/>
      </w:pPr>
      <w:r w:rsidRPr="000665B0">
        <w:t>Enter a Name and Description of the library if desired.</w:t>
      </w:r>
    </w:p>
    <w:p w14:paraId="2EE36C2E" w14:textId="77777777" w:rsidR="005C6475" w:rsidRPr="000665B0" w:rsidRDefault="005C6475" w:rsidP="006D5A65">
      <w:pPr>
        <w:pStyle w:val="Heading1"/>
      </w:pPr>
      <w:r w:rsidRPr="000665B0">
        <w:t xml:space="preserve">From the File menu select Save or click the Save </w:t>
      </w:r>
      <w:r w:rsidRPr="000665B0">
        <w:rPr>
          <w:noProof/>
        </w:rPr>
        <w:drawing>
          <wp:inline distT="0" distB="0" distL="0" distR="0" wp14:anchorId="7B252A7E" wp14:editId="50E6A48B">
            <wp:extent cx="152400" cy="152400"/>
            <wp:effectExtent l="0" t="0" r="0" b="0"/>
            <wp:docPr id="957" name="Picture 957" descr="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ave%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Bar.</w:t>
      </w:r>
    </w:p>
    <w:p w14:paraId="65B9FBBF" w14:textId="77777777" w:rsidR="005C6475" w:rsidRPr="000665B0" w:rsidRDefault="005C6475" w:rsidP="009570CA">
      <w:r w:rsidRPr="000665B0">
        <w:t>To create a new TED Library from within a specific MDS tool:</w:t>
      </w:r>
    </w:p>
    <w:p w14:paraId="2AFBC2D4" w14:textId="2282F4C2" w:rsidR="005C6475" w:rsidRPr="000665B0" w:rsidRDefault="005C6475" w:rsidP="006D5A65">
      <w:pPr>
        <w:pStyle w:val="Heading1"/>
        <w:rPr>
          <w:szCs w:val="24"/>
        </w:rPr>
      </w:pPr>
      <w:r w:rsidRPr="000665B0">
        <w:rPr>
          <w:szCs w:val="24"/>
        </w:rPr>
        <w:t xml:space="preserve">Navigate to the specific tool (such as </w:t>
      </w:r>
      <w:r w:rsidRPr="000665B0">
        <w:t xml:space="preserve">ACMSs, Missions, Overlays, Strike Folders, Strike Option, Targets, </w:t>
      </w:r>
      <w:r w:rsidR="00E75AC3">
        <w:t>TAWS</w:t>
      </w:r>
      <w:r w:rsidRPr="000665B0">
        <w:t>, Threats, or TMPRs)</w:t>
      </w:r>
      <w:r w:rsidRPr="000665B0">
        <w:rPr>
          <w:szCs w:val="24"/>
        </w:rPr>
        <w:t>.</w:t>
      </w:r>
    </w:p>
    <w:p w14:paraId="176DFCD6" w14:textId="77777777" w:rsidR="005C6475" w:rsidRPr="000665B0" w:rsidRDefault="005C6475" w:rsidP="006D5A65">
      <w:pPr>
        <w:pStyle w:val="Heading2"/>
      </w:pPr>
      <w:r w:rsidRPr="000665B0">
        <w:t xml:space="preserve">From the tool’s List View, select the desired data. </w:t>
      </w:r>
    </w:p>
    <w:p w14:paraId="71894B98" w14:textId="591CAB10" w:rsidR="005C6475" w:rsidRPr="000665B0" w:rsidRDefault="005C6475" w:rsidP="006D5A65">
      <w:pPr>
        <w:pStyle w:val="Heading2"/>
      </w:pPr>
      <w:r w:rsidRPr="000665B0">
        <w:t xml:space="preserve">From the </w:t>
      </w:r>
      <w:r w:rsidRPr="000665B0">
        <w:rPr>
          <w:bCs/>
        </w:rPr>
        <w:t>File</w:t>
      </w:r>
      <w:r w:rsidRPr="000665B0">
        <w:t xml:space="preserve"> menu select </w:t>
      </w:r>
      <w:r w:rsidRPr="000665B0">
        <w:rPr>
          <w:bCs/>
        </w:rPr>
        <w:t xml:space="preserve">Create TED Library… </w:t>
      </w:r>
      <w:r w:rsidRPr="000665B0">
        <w:t>or invoke the context menu (</w:t>
      </w:r>
      <w:r w:rsidR="00D71804" w:rsidRPr="000665B0">
        <w:t>right-click</w:t>
      </w:r>
      <w:r w:rsidRPr="000665B0">
        <w:t xml:space="preserve"> the mouse) and select </w:t>
      </w:r>
      <w:r w:rsidRPr="000665B0">
        <w:rPr>
          <w:bCs/>
        </w:rPr>
        <w:t>Create TED Library…</w:t>
      </w:r>
      <w:r w:rsidRPr="000665B0">
        <w:t xml:space="preserve">. </w:t>
      </w:r>
    </w:p>
    <w:p w14:paraId="3B260CB7" w14:textId="77777777" w:rsidR="005C6475" w:rsidRPr="000665B0" w:rsidRDefault="005C6475" w:rsidP="006D5A65">
      <w:pPr>
        <w:pStyle w:val="Heading2"/>
      </w:pPr>
      <w:r w:rsidRPr="000665B0">
        <w:lastRenderedPageBreak/>
        <w:t xml:space="preserve">The </w:t>
      </w:r>
      <w:r w:rsidRPr="000665B0">
        <w:rPr>
          <w:i/>
          <w:iCs/>
        </w:rPr>
        <w:t xml:space="preserve">TED Library </w:t>
      </w:r>
      <w:r w:rsidRPr="000665B0">
        <w:t>window is displayed with the selected data in the library.</w:t>
      </w:r>
    </w:p>
    <w:p w14:paraId="3DC2A41E" w14:textId="06A91B6F" w:rsidR="005C6475" w:rsidRPr="000665B0" w:rsidRDefault="00CC43FA" w:rsidP="009570CA">
      <w:pPr>
        <w:autoSpaceDE w:val="0"/>
        <w:autoSpaceDN w:val="0"/>
        <w:adjustRightInd w:val="0"/>
        <w:jc w:val="center"/>
        <w:rPr>
          <w:szCs w:val="24"/>
        </w:rPr>
      </w:pPr>
      <w:r w:rsidRPr="000665B0">
        <w:rPr>
          <w:noProof/>
        </w:rPr>
        <w:drawing>
          <wp:inline distT="0" distB="0" distL="0" distR="0" wp14:anchorId="50F4184B" wp14:editId="57E2AA83">
            <wp:extent cx="3657600" cy="2816352"/>
            <wp:effectExtent l="0" t="0" r="0" b="3175"/>
            <wp:docPr id="2071" name="Picture 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2816352"/>
                    </a:xfrm>
                    <a:prstGeom prst="rect">
                      <a:avLst/>
                    </a:prstGeom>
                  </pic:spPr>
                </pic:pic>
              </a:graphicData>
            </a:graphic>
          </wp:inline>
        </w:drawing>
      </w:r>
    </w:p>
    <w:p w14:paraId="6F1EF25B" w14:textId="77777777" w:rsidR="005C6475" w:rsidRPr="000665B0" w:rsidRDefault="005C6475" w:rsidP="009570CA">
      <w:pPr>
        <w:autoSpaceDE w:val="0"/>
        <w:autoSpaceDN w:val="0"/>
        <w:adjustRightInd w:val="0"/>
        <w:ind w:firstLine="720"/>
        <w:rPr>
          <w:szCs w:val="24"/>
        </w:rPr>
      </w:pPr>
      <w:r w:rsidRPr="000665B0">
        <w:rPr>
          <w:szCs w:val="24"/>
        </w:rPr>
        <w:t>or</w:t>
      </w:r>
    </w:p>
    <w:p w14:paraId="114476A3" w14:textId="77777777" w:rsidR="005C6475" w:rsidRPr="000665B0" w:rsidRDefault="005C6475" w:rsidP="006D5A65">
      <w:pPr>
        <w:pStyle w:val="Heading1"/>
      </w:pPr>
      <w:r w:rsidRPr="000665B0">
        <w:t>From the tool’s List View, do not select any data.</w:t>
      </w:r>
    </w:p>
    <w:p w14:paraId="0A87FC26" w14:textId="6BB3A85A" w:rsidR="005C6475" w:rsidRPr="000665B0" w:rsidRDefault="005C6475" w:rsidP="006D5A65">
      <w:pPr>
        <w:pStyle w:val="Heading1"/>
        <w:rPr>
          <w:szCs w:val="24"/>
        </w:rPr>
      </w:pPr>
      <w:r w:rsidRPr="000665B0">
        <w:t xml:space="preserve">From the </w:t>
      </w:r>
      <w:r w:rsidRPr="000665B0">
        <w:rPr>
          <w:bCs/>
        </w:rPr>
        <w:t>File</w:t>
      </w:r>
      <w:r w:rsidRPr="000665B0">
        <w:t xml:space="preserve"> menu select </w:t>
      </w:r>
      <w:r w:rsidRPr="000665B0">
        <w:rPr>
          <w:bCs/>
        </w:rPr>
        <w:t xml:space="preserve">Create TED Library… </w:t>
      </w:r>
      <w:r w:rsidRPr="000665B0">
        <w:t>or invoke the context menu (</w:t>
      </w:r>
      <w:r w:rsidR="00D71804" w:rsidRPr="000665B0">
        <w:t>right-click</w:t>
      </w:r>
      <w:r w:rsidRPr="000665B0">
        <w:t xml:space="preserve"> the mouse) and select </w:t>
      </w:r>
      <w:r w:rsidRPr="000665B0">
        <w:rPr>
          <w:bCs/>
        </w:rPr>
        <w:t>Create TED Library….</w:t>
      </w:r>
      <w:r w:rsidRPr="000665B0">
        <w:t xml:space="preserve"> The </w:t>
      </w:r>
      <w:r w:rsidRPr="000665B0">
        <w:rPr>
          <w:i/>
        </w:rPr>
        <w:t>TED Library</w:t>
      </w:r>
      <w:r w:rsidRPr="000665B0">
        <w:t xml:space="preserve"> window is displayed.</w:t>
      </w:r>
    </w:p>
    <w:p w14:paraId="1DE0E25F" w14:textId="208E1C1C" w:rsidR="005C6475" w:rsidRPr="000665B0" w:rsidRDefault="00CC43FA" w:rsidP="009570CA">
      <w:pPr>
        <w:jc w:val="center"/>
      </w:pPr>
      <w:r w:rsidRPr="000665B0">
        <w:rPr>
          <w:noProof/>
        </w:rPr>
        <w:drawing>
          <wp:inline distT="0" distB="0" distL="0" distR="0" wp14:anchorId="7D2D2997" wp14:editId="69FDB630">
            <wp:extent cx="3200400" cy="2468880"/>
            <wp:effectExtent l="0" t="0" r="0" b="0"/>
            <wp:docPr id="2076" name="Picture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2468880"/>
                    </a:xfrm>
                    <a:prstGeom prst="rect">
                      <a:avLst/>
                    </a:prstGeom>
                  </pic:spPr>
                </pic:pic>
              </a:graphicData>
            </a:graphic>
          </wp:inline>
        </w:drawing>
      </w:r>
    </w:p>
    <w:p w14:paraId="57592290" w14:textId="0157B2E2" w:rsidR="005C6475" w:rsidRPr="000665B0" w:rsidRDefault="005C6475" w:rsidP="006D5A65">
      <w:pPr>
        <w:pStyle w:val="Heading1"/>
      </w:pPr>
      <w:r w:rsidRPr="000665B0">
        <w:t xml:space="preserve">Navigate within MDS to the location of the data that is to be added to the library. This may be a specific tool (such as ACMSs, Missions, Overlays, Strike Folders, Strike Option, </w:t>
      </w:r>
      <w:r w:rsidRPr="000665B0">
        <w:lastRenderedPageBreak/>
        <w:t xml:space="preserve">Targets, </w:t>
      </w:r>
      <w:r w:rsidR="00E75AC3">
        <w:t>TAWS</w:t>
      </w:r>
      <w:r w:rsidRPr="000665B0">
        <w:t>, Threats, or TMPRs), the result of a compare, or a textual display of another library.</w:t>
      </w:r>
    </w:p>
    <w:p w14:paraId="118FD62B" w14:textId="77777777" w:rsidR="005C6475" w:rsidRPr="000665B0" w:rsidRDefault="005C6475" w:rsidP="006D5A65">
      <w:pPr>
        <w:pStyle w:val="Heading1"/>
      </w:pPr>
      <w:r w:rsidRPr="000665B0">
        <w:t>Highlight the desired data. Drag and drop selected data from the tool into the bottom pane of the new library. Data from the source list view with a Status of “Missing” cannot be dragged and dropped into the library. Repeat as needed for different types of data.</w:t>
      </w:r>
    </w:p>
    <w:p w14:paraId="5617D9A8" w14:textId="77777777" w:rsidR="005C6475" w:rsidRPr="000665B0" w:rsidRDefault="005C6475" w:rsidP="009570CA">
      <w:pPr>
        <w:ind w:left="1170"/>
      </w:pPr>
      <w:r w:rsidRPr="000665B0">
        <w:t>or</w:t>
      </w:r>
    </w:p>
    <w:p w14:paraId="6C05D80C" w14:textId="481FB6A6" w:rsidR="005C6475" w:rsidRPr="000665B0" w:rsidRDefault="005C6475" w:rsidP="006D5A65">
      <w:pPr>
        <w:pStyle w:val="Heading1"/>
      </w:pPr>
      <w:r w:rsidRPr="000665B0">
        <w:t>Right</w:t>
      </w:r>
      <w:r w:rsidR="00027267" w:rsidRPr="000665B0">
        <w:t>-</w:t>
      </w:r>
      <w:r w:rsidRPr="000665B0">
        <w:t xml:space="preserve">click in the data pane of the new library, select Add </w:t>
      </w:r>
      <w:r w:rsidRPr="000665B0">
        <w:rPr>
          <w:bCs/>
        </w:rPr>
        <w:sym w:font="Wingdings 3" w:char="F07D"/>
      </w:r>
      <w:r w:rsidRPr="000665B0">
        <w:rPr>
          <w:bCs/>
        </w:rPr>
        <w:t>, and select the MDS location from the list.</w:t>
      </w:r>
    </w:p>
    <w:p w14:paraId="373E3248" w14:textId="77777777" w:rsidR="005C6475" w:rsidRPr="000665B0" w:rsidRDefault="005C6475" w:rsidP="006D5A65">
      <w:pPr>
        <w:pStyle w:val="Heading1"/>
      </w:pPr>
      <w:r w:rsidRPr="000665B0">
        <w:t>Choose the data from the ensuing window and click the OK button. Repeat as needed for different types of data.</w:t>
      </w:r>
    </w:p>
    <w:p w14:paraId="681BB99D" w14:textId="77777777" w:rsidR="005C6475" w:rsidRPr="000665B0" w:rsidRDefault="005C6475" w:rsidP="006D5A65">
      <w:pPr>
        <w:pStyle w:val="Heading1"/>
      </w:pPr>
      <w:r w:rsidRPr="000665B0">
        <w:t>Enter a Name and Description of the library if desired.</w:t>
      </w:r>
    </w:p>
    <w:p w14:paraId="0AACA47D" w14:textId="77777777" w:rsidR="005C6475" w:rsidRPr="000665B0" w:rsidRDefault="005C6475" w:rsidP="006D5A65">
      <w:pPr>
        <w:pStyle w:val="Heading1"/>
      </w:pPr>
      <w:r w:rsidRPr="000665B0">
        <w:t xml:space="preserve">From the File menu select Save or click the Save </w:t>
      </w:r>
      <w:r w:rsidRPr="000665B0">
        <w:rPr>
          <w:noProof/>
        </w:rPr>
        <w:drawing>
          <wp:inline distT="0" distB="0" distL="0" distR="0" wp14:anchorId="40D3B349" wp14:editId="160EA18B">
            <wp:extent cx="152400" cy="152400"/>
            <wp:effectExtent l="0" t="0" r="0" b="0"/>
            <wp:docPr id="954" name="Picture 954" descr="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ave%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Bar.</w:t>
      </w:r>
    </w:p>
    <w:p w14:paraId="1C2F0AD5" w14:textId="7DAACD11" w:rsidR="004A32AE" w:rsidRPr="000665B0" w:rsidRDefault="004A32AE" w:rsidP="009570CA">
      <w:pPr>
        <w:pStyle w:val="Heading3"/>
      </w:pPr>
      <w:bookmarkStart w:id="1913" w:name="_Toc214283257"/>
      <w:r w:rsidRPr="000665B0">
        <w:t>Display Textually</w:t>
      </w:r>
      <w:bookmarkEnd w:id="1913"/>
    </w:p>
    <w:p w14:paraId="53BF426D" w14:textId="77777777" w:rsidR="004A32AE" w:rsidRPr="000665B0" w:rsidRDefault="004A32AE" w:rsidP="009570CA">
      <w:r w:rsidRPr="000665B0">
        <w:t>Any of the Libraries can be displayed textually. By doing this, the user can review the contents and make modifications as necessary.</w:t>
      </w:r>
    </w:p>
    <w:p w14:paraId="6B644083" w14:textId="7C9348DE" w:rsidR="004A32AE" w:rsidRPr="000665B0" w:rsidRDefault="004A32AE" w:rsidP="009570CA">
      <w:r w:rsidRPr="000665B0">
        <w:t xml:space="preserve">To display a Library textually see </w:t>
      </w:r>
      <w:hyperlink w:anchor="_5.2.1.2.4__Display_1" w:history="1">
        <w:r w:rsidRPr="000665B0">
          <w:rPr>
            <w:rStyle w:val="Hyperlink"/>
          </w:rPr>
          <w:t>Section 5.2.1.2.4</w:t>
        </w:r>
      </w:hyperlink>
      <w:r w:rsidRPr="000665B0">
        <w:t>.</w:t>
      </w:r>
    </w:p>
    <w:p w14:paraId="000BD788" w14:textId="77777777" w:rsidR="004A32AE" w:rsidRPr="000665B0" w:rsidRDefault="004A32AE" w:rsidP="009570CA">
      <w:r w:rsidRPr="000665B0">
        <w:t xml:space="preserve">Modifications to an existing Library may be necessary to achieve the desired result. Once a Library is displayed textually, the user can perform functions respective to the type of library. Functions of the library textual view are similar to the tool of the items that the library contains. For example, when the Mission Library is displayed textually, the user can perform Re-IQVC on a mission. For a complete list of functions that Missions, Strike Folders, Strike Options, Targets and ACMSs can perform, see the respective tools. </w:t>
      </w:r>
    </w:p>
    <w:p w14:paraId="61582C49" w14:textId="0363FD52" w:rsidR="00B3443A" w:rsidRPr="000665B0" w:rsidRDefault="00150E46" w:rsidP="009570CA">
      <w:pPr>
        <w:rPr>
          <w:rFonts w:cs="Arial"/>
        </w:rPr>
      </w:pPr>
      <w:r w:rsidRPr="000665B0">
        <w:t xml:space="preserve">The Mission Library Textual View has an additional feature to Show All Outcomes. </w:t>
      </w:r>
      <w:r w:rsidRPr="000665B0">
        <w:rPr>
          <w:rFonts w:cs="Arial"/>
        </w:rPr>
        <w:t xml:space="preserve">The display can be toggled via the </w:t>
      </w:r>
      <w:r w:rsidRPr="000665B0">
        <w:rPr>
          <w:rFonts w:cs="Arial"/>
          <w:b/>
        </w:rPr>
        <w:t xml:space="preserve">View </w:t>
      </w:r>
      <w:r w:rsidRPr="000665B0">
        <w:rPr>
          <w:rFonts w:ascii="Arial" w:hAnsi="Arial" w:cs="Arial"/>
          <w:b/>
          <w:sz w:val="20"/>
        </w:rPr>
        <w:sym w:font="Wingdings" w:char="F0E0"/>
      </w:r>
      <w:r w:rsidRPr="000665B0">
        <w:rPr>
          <w:rFonts w:cs="Arial"/>
          <w:b/>
        </w:rPr>
        <w:t xml:space="preserve"> Show All Outcomes</w:t>
      </w:r>
      <w:r w:rsidRPr="000665B0">
        <w:rPr>
          <w:rFonts w:cs="Arial"/>
        </w:rPr>
        <w:t xml:space="preserve"> menu. The default display of a Mission Library displays primary routes. When “Show All Outcomes” is selected, the primary route list view changes to an </w:t>
      </w:r>
      <w:r w:rsidR="00DB32AB">
        <w:rPr>
          <w:rFonts w:cs="Arial"/>
        </w:rPr>
        <w:t>A</w:t>
      </w:r>
      <w:r w:rsidRPr="000665B0">
        <w:rPr>
          <w:rFonts w:cs="Arial"/>
        </w:rPr>
        <w:t xml:space="preserve">ll </w:t>
      </w:r>
      <w:r w:rsidR="00DB32AB">
        <w:rPr>
          <w:rFonts w:cs="Arial"/>
        </w:rPr>
        <w:t>O</w:t>
      </w:r>
      <w:r w:rsidRPr="000665B0">
        <w:rPr>
          <w:rFonts w:cs="Arial"/>
        </w:rPr>
        <w:t xml:space="preserve">utcomes tree list view populated with data retrieved from the database. The context menus are consistent amongst both views. The primary route list view and the </w:t>
      </w:r>
      <w:r w:rsidR="00DB32AB">
        <w:rPr>
          <w:rFonts w:cs="Arial"/>
        </w:rPr>
        <w:t>A</w:t>
      </w:r>
      <w:r w:rsidRPr="000665B0">
        <w:rPr>
          <w:rFonts w:cs="Arial"/>
        </w:rPr>
        <w:t xml:space="preserve">ll </w:t>
      </w:r>
      <w:r w:rsidR="00DB32AB">
        <w:rPr>
          <w:rFonts w:cs="Arial"/>
        </w:rPr>
        <w:t>O</w:t>
      </w:r>
      <w:r w:rsidRPr="000665B0">
        <w:rPr>
          <w:rFonts w:cs="Arial"/>
        </w:rPr>
        <w:t xml:space="preserve">utcomes tree list view maintain independent column settings. The following features </w:t>
      </w:r>
      <w:r w:rsidR="00930CD6" w:rsidRPr="000665B0">
        <w:rPr>
          <w:rFonts w:cs="Arial"/>
        </w:rPr>
        <w:t xml:space="preserve">are </w:t>
      </w:r>
      <w:r w:rsidRPr="000665B0">
        <w:rPr>
          <w:rFonts w:cs="Arial"/>
        </w:rPr>
        <w:t xml:space="preserve">not available when displaying </w:t>
      </w:r>
      <w:r w:rsidR="00DB32AB">
        <w:rPr>
          <w:rFonts w:cs="Arial"/>
        </w:rPr>
        <w:t>A</w:t>
      </w:r>
      <w:r w:rsidRPr="000665B0">
        <w:rPr>
          <w:rFonts w:cs="Arial"/>
        </w:rPr>
        <w:t xml:space="preserve">ll </w:t>
      </w:r>
      <w:r w:rsidR="00DB32AB">
        <w:rPr>
          <w:rFonts w:cs="Arial"/>
        </w:rPr>
        <w:t>O</w:t>
      </w:r>
      <w:r w:rsidRPr="000665B0">
        <w:rPr>
          <w:rFonts w:cs="Arial"/>
        </w:rPr>
        <w:t>utcomes: Preview Pane, Drag</w:t>
      </w:r>
      <w:r w:rsidR="00930CD6" w:rsidRPr="000665B0">
        <w:rPr>
          <w:rFonts w:cs="Arial"/>
        </w:rPr>
        <w:t>/</w:t>
      </w:r>
      <w:r w:rsidRPr="000665B0">
        <w:rPr>
          <w:rFonts w:cs="Arial"/>
        </w:rPr>
        <w:t>Drop, Move Column, and Multi-Column Sort.</w:t>
      </w:r>
      <w:r w:rsidR="00B3443A" w:rsidRPr="000665B0">
        <w:rPr>
          <w:rFonts w:cs="Arial"/>
        </w:rPr>
        <w:t xml:space="preserve"> </w:t>
      </w:r>
    </w:p>
    <w:p w14:paraId="0EA7C8FC" w14:textId="77777777" w:rsidR="00B3443A" w:rsidRPr="000665B0" w:rsidRDefault="00B3443A"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1550D9BF" w14:textId="779E9DDB" w:rsidR="00B3443A" w:rsidRPr="000A3708" w:rsidRDefault="00B3443A" w:rsidP="000A3708">
      <w:pPr>
        <w:pBdr>
          <w:top w:val="single" w:sz="12" w:space="1" w:color="auto"/>
          <w:left w:val="single" w:sz="12" w:space="4" w:color="auto"/>
          <w:bottom w:val="single" w:sz="12" w:space="1" w:color="auto"/>
          <w:right w:val="single" w:sz="12" w:space="4" w:color="auto"/>
        </w:pBdr>
        <w:shd w:val="clear" w:color="auto" w:fill="D9D9D9"/>
        <w:spacing w:line="240" w:lineRule="auto"/>
        <w:jc w:val="center"/>
        <w:rPr>
          <w:b/>
        </w:rPr>
      </w:pPr>
      <w:r w:rsidRPr="000665B0">
        <w:rPr>
          <w:b/>
        </w:rPr>
        <w:t xml:space="preserve">It is not recommended to display a Mission Library textually while receiving Missions into the TED database. Doing so may result in an error message. </w:t>
      </w:r>
    </w:p>
    <w:p w14:paraId="59BE3A98" w14:textId="77777777" w:rsidR="004A32AE" w:rsidRPr="000665B0" w:rsidRDefault="004A32AE" w:rsidP="009570CA">
      <w:r w:rsidRPr="000665B0">
        <w:t>Functions that are not available to the Strike Option Library are Display Indigo, Copy Tactical, and Copy Training functions.</w:t>
      </w:r>
    </w:p>
    <w:p w14:paraId="71DABA9F" w14:textId="1C8A0E99" w:rsidR="004A32AE" w:rsidRPr="000665B0" w:rsidRDefault="004A32AE" w:rsidP="009570CA">
      <w:pPr>
        <w:pStyle w:val="Heading3"/>
      </w:pPr>
      <w:bookmarkStart w:id="1914" w:name="_Toc214283258"/>
      <w:r w:rsidRPr="000665B0">
        <w:lastRenderedPageBreak/>
        <w:t xml:space="preserve">Display Standing Launch Sequence Plan (LSP) (Mission Library </w:t>
      </w:r>
      <w:r w:rsidR="00217BDF" w:rsidRPr="000665B0">
        <w:t>Only</w:t>
      </w:r>
      <w:r w:rsidRPr="000665B0">
        <w:t>)</w:t>
      </w:r>
      <w:bookmarkEnd w:id="1914"/>
    </w:p>
    <w:p w14:paraId="6F366B0E" w14:textId="77777777" w:rsidR="004A32AE" w:rsidRPr="000665B0" w:rsidRDefault="004A32AE" w:rsidP="009570CA">
      <w:r w:rsidRPr="000665B0">
        <w:t xml:space="preserve">The </w:t>
      </w:r>
      <w:r w:rsidR="00930CD6" w:rsidRPr="000665B0">
        <w:t xml:space="preserve">Standing </w:t>
      </w:r>
      <w:r w:rsidRPr="000665B0">
        <w:t xml:space="preserve">LSP is a Naval message used by Theater Commanders that identifies a group of missions, usually based upon a set of pre-determined targets, that each FRU is expected to hold when they INCHOP into that specific theater. When hostilities arise and they need to execute a quick launch, they go to a standing LSP. </w:t>
      </w:r>
    </w:p>
    <w:p w14:paraId="15B5FDB0" w14:textId="09C28344" w:rsidR="004A32AE" w:rsidRPr="000665B0" w:rsidRDefault="004A32AE" w:rsidP="009570CA">
      <w:r w:rsidRPr="000665B0">
        <w:t xml:space="preserve">When the </w:t>
      </w:r>
      <w:r w:rsidRPr="000665B0">
        <w:rPr>
          <w:b/>
        </w:rPr>
        <w:t>Display Standing LSP</w:t>
      </w:r>
      <w:r w:rsidRPr="000665B0">
        <w:t xml:space="preserve"> option is selected, MDS generates the bulk of the Naval message from the missions in the mission library and places it into a Microsoft Word document. The header and trailer information </w:t>
      </w:r>
      <w:r w:rsidR="00652740" w:rsidRPr="000665B0">
        <w:t>are</w:t>
      </w:r>
      <w:r w:rsidR="004552F3" w:rsidRPr="000665B0">
        <w:t xml:space="preserve"> </w:t>
      </w:r>
      <w:r w:rsidRPr="000665B0">
        <w:t xml:space="preserve">also automatically added if the files have been specified as part of the INDIGO Configuration Options. For regular INDIGO/LSP messages, the EXER/OPER, MSGID, REF, and MISSN sets are generated based on the data entered into the message templates on the </w:t>
      </w:r>
      <w:r w:rsidRPr="000665B0">
        <w:rPr>
          <w:b/>
          <w:i/>
        </w:rPr>
        <w:t>INDIGO</w:t>
      </w:r>
      <w:r w:rsidRPr="000665B0">
        <w:t xml:space="preserve"> tab of the Strike Option. For the Standing LSP created from a mission library, this information will need to be included in the header </w:t>
      </w:r>
      <w:r w:rsidR="00652740" w:rsidRPr="000665B0">
        <w:t>file or</w:t>
      </w:r>
      <w:r w:rsidRPr="000665B0">
        <w:t xml:space="preserve"> added manually later. If no header and trailer files have been specified, the operator can complete the message by adding the appropriate header information using the Message Text Format (</w:t>
      </w:r>
      <w:r w:rsidRPr="000665B0">
        <w:rPr>
          <w:b/>
        </w:rPr>
        <w:t>MTF</w:t>
      </w:r>
      <w:r w:rsidRPr="000665B0">
        <w:t>) software.</w:t>
      </w:r>
      <w:r w:rsidR="009651B0">
        <w:t xml:space="preserve"> </w:t>
      </w:r>
    </w:p>
    <w:p w14:paraId="01D1F752" w14:textId="09967C36" w:rsidR="004A32AE" w:rsidRPr="000665B0" w:rsidRDefault="004A32AE" w:rsidP="009570CA">
      <w:r w:rsidRPr="000665B0">
        <w:t xml:space="preserve">From the </w:t>
      </w:r>
      <w:r w:rsidR="005D306B" w:rsidRPr="000665B0">
        <w:rPr>
          <w:i/>
        </w:rPr>
        <w:t>Libraries</w:t>
      </w:r>
      <w:r w:rsidR="005D306B" w:rsidRPr="000665B0">
        <w:t xml:space="preserve"> w</w:t>
      </w:r>
      <w:r w:rsidRPr="000665B0">
        <w:t>indow:</w:t>
      </w:r>
    </w:p>
    <w:p w14:paraId="6F09C8F9" w14:textId="77777777" w:rsidR="004A32AE" w:rsidRPr="000665B0" w:rsidRDefault="004A32AE" w:rsidP="006D5A65">
      <w:pPr>
        <w:pStyle w:val="Heading1"/>
      </w:pPr>
      <w:r w:rsidRPr="000665B0">
        <w:t>Create a Mission Library containing all the missions to include in the Standing LSP.</w:t>
      </w:r>
    </w:p>
    <w:p w14:paraId="656FDD89" w14:textId="77777777" w:rsidR="004A32AE" w:rsidRPr="000665B0" w:rsidRDefault="004A32AE" w:rsidP="006D5A65">
      <w:pPr>
        <w:pStyle w:val="Heading1"/>
      </w:pPr>
      <w:r w:rsidRPr="000665B0">
        <w:t>Select the Mission Library from the list.</w:t>
      </w:r>
    </w:p>
    <w:p w14:paraId="0F92C2E3" w14:textId="6BBACF68" w:rsidR="004A32AE" w:rsidRPr="000665B0" w:rsidRDefault="004A32AE" w:rsidP="006D5A65">
      <w:pPr>
        <w:pStyle w:val="Heading1"/>
      </w:pPr>
      <w:r w:rsidRPr="000665B0">
        <w:t>Invoke the context menu (</w:t>
      </w:r>
      <w:r w:rsidR="00D71804" w:rsidRPr="000665B0">
        <w:t>right-click</w:t>
      </w:r>
      <w:r w:rsidRPr="000665B0">
        <w:t xml:space="preserve"> the mouse) select </w:t>
      </w:r>
      <w:r w:rsidR="00161617" w:rsidRPr="000665B0">
        <w:t xml:space="preserve">Display </w:t>
      </w:r>
      <w:r w:rsidR="00161617" w:rsidRPr="000665B0">
        <w:rPr>
          <w:rFonts w:cs="Arial"/>
          <w:sz w:val="20"/>
        </w:rPr>
        <w:sym w:font="Wingdings" w:char="F0E0"/>
      </w:r>
      <w:r w:rsidR="00161617" w:rsidRPr="000665B0">
        <w:t xml:space="preserve"> Standing LSP</w:t>
      </w:r>
      <w:r w:rsidRPr="000665B0">
        <w:t>.</w:t>
      </w:r>
    </w:p>
    <w:p w14:paraId="0E11CFEC" w14:textId="305F54B2" w:rsidR="009555D5" w:rsidRPr="00F703EB" w:rsidRDefault="004A32AE" w:rsidP="006D5A65">
      <w:pPr>
        <w:pStyle w:val="Heading1"/>
      </w:pPr>
      <w:r w:rsidRPr="000665B0">
        <w:t xml:space="preserve">The message is </w:t>
      </w:r>
      <w:r w:rsidR="00652740" w:rsidRPr="000665B0">
        <w:t>generated,</w:t>
      </w:r>
      <w:r w:rsidRPr="000665B0">
        <w:t xml:space="preserve"> and M</w:t>
      </w:r>
      <w:r w:rsidR="00EF526E" w:rsidRPr="000665B0">
        <w:t>icrosoft</w:t>
      </w:r>
      <w:r w:rsidRPr="000665B0">
        <w:t xml:space="preserve"> Word opens to display it. The single FRUASN line is for platform “Ghost Missions” and there is one BUP line for each mission in the library with a salvo size of zero. If header and trailer files </w:t>
      </w:r>
      <w:r w:rsidRPr="000665B0">
        <w:lastRenderedPageBreak/>
        <w:t xml:space="preserve">were not specified, or not complete, additional lines can be entered directly into the </w:t>
      </w:r>
      <w:r w:rsidR="00EF526E" w:rsidRPr="000665B0">
        <w:t xml:space="preserve">Microsoft </w:t>
      </w:r>
      <w:r w:rsidRPr="000665B0">
        <w:t>Word file before saving.</w:t>
      </w:r>
    </w:p>
    <w:p w14:paraId="3F73B1EF" w14:textId="06D92D26" w:rsidR="004A32AE" w:rsidRPr="000665B0" w:rsidRDefault="001C07F7" w:rsidP="00451953">
      <w:pPr>
        <w:pStyle w:val="Graphic"/>
        <w:keepNext w:val="0"/>
        <w:spacing w:before="120"/>
      </w:pPr>
      <w:r w:rsidRPr="000665B0">
        <w:rPr>
          <w:noProof/>
        </w:rPr>
        <w:drawing>
          <wp:inline distT="0" distB="0" distL="0" distR="0" wp14:anchorId="2595C9F4" wp14:editId="78985295">
            <wp:extent cx="2743200" cy="3648456"/>
            <wp:effectExtent l="0" t="0" r="0" b="0"/>
            <wp:docPr id="1247" name="Picture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3648456"/>
                    </a:xfrm>
                    <a:prstGeom prst="rect">
                      <a:avLst/>
                    </a:prstGeom>
                  </pic:spPr>
                </pic:pic>
              </a:graphicData>
            </a:graphic>
          </wp:inline>
        </w:drawing>
      </w:r>
    </w:p>
    <w:p w14:paraId="547DF258" w14:textId="775ED314" w:rsidR="004A32AE" w:rsidRPr="000665B0" w:rsidRDefault="004A32AE" w:rsidP="009570CA">
      <w:pPr>
        <w:pStyle w:val="Heading3"/>
      </w:pPr>
      <w:bookmarkStart w:id="1915" w:name="_Toc214283259"/>
      <w:r w:rsidRPr="000665B0">
        <w:t>Save As</w:t>
      </w:r>
      <w:bookmarkEnd w:id="1915"/>
      <w:r w:rsidRPr="000665B0">
        <w:t xml:space="preserve"> </w:t>
      </w:r>
    </w:p>
    <w:p w14:paraId="7EC6EF9C" w14:textId="77777777" w:rsidR="004A32AE" w:rsidRPr="000665B0" w:rsidRDefault="004A32AE" w:rsidP="009570CA">
      <w:r w:rsidRPr="000665B0">
        <w:t xml:space="preserve">The </w:t>
      </w:r>
      <w:r w:rsidRPr="000665B0">
        <w:rPr>
          <w:b/>
        </w:rPr>
        <w:t>Save As</w:t>
      </w:r>
      <w:r w:rsidRPr="000665B0">
        <w:t xml:space="preserve"> function gives the operator the ability to create a new library copy derived from an existing library. This is another way the user can generate a Library. When the </w:t>
      </w:r>
      <w:r w:rsidRPr="000665B0">
        <w:rPr>
          <w:b/>
          <w:bCs/>
        </w:rPr>
        <w:t>Save As</w:t>
      </w:r>
      <w:r w:rsidRPr="000665B0">
        <w:t xml:space="preserve"> function is initiated from the textual display of a library, a new library (of the same library type as the displayed library, or a TED library) with copied data items is created and placed into the Library Tool with a new Library ID.</w:t>
      </w:r>
    </w:p>
    <w:p w14:paraId="30E3251D" w14:textId="77777777" w:rsidR="004A32AE" w:rsidRPr="000665B0" w:rsidRDefault="004A32AE" w:rsidP="009570CA">
      <w:r w:rsidRPr="000665B0">
        <w:t>To create a duplicate Library:</w:t>
      </w:r>
    </w:p>
    <w:p w14:paraId="1513A3AD" w14:textId="77777777" w:rsidR="004A32AE" w:rsidRPr="000665B0" w:rsidRDefault="004A32AE" w:rsidP="006D5A65">
      <w:pPr>
        <w:pStyle w:val="Heading1"/>
      </w:pPr>
      <w:r w:rsidRPr="000665B0">
        <w:t>Navigate to the Libraries Tool and highlight the desired entry.</w:t>
      </w:r>
    </w:p>
    <w:p w14:paraId="2D7AEB08" w14:textId="77777777" w:rsidR="004A32AE" w:rsidRPr="000665B0" w:rsidRDefault="004A32AE" w:rsidP="006D5A65">
      <w:pPr>
        <w:pStyle w:val="Heading1"/>
      </w:pPr>
      <w:r w:rsidRPr="000665B0">
        <w:t>Select to display the Library textually.</w:t>
      </w:r>
    </w:p>
    <w:p w14:paraId="5F975ACF" w14:textId="77777777" w:rsidR="004A32AE" w:rsidRPr="000665B0" w:rsidRDefault="004A32AE" w:rsidP="006D5A65">
      <w:pPr>
        <w:pStyle w:val="Heading1"/>
      </w:pPr>
      <w:r w:rsidRPr="000665B0">
        <w:t>From the File menu select Save As</w:t>
      </w:r>
      <w:r w:rsidR="00127ADC" w:rsidRPr="000665B0">
        <w:t xml:space="preserve"> </w:t>
      </w:r>
      <w:r w:rsidRPr="000665B0">
        <w:sym w:font="Wingdings 3" w:char="F07D"/>
      </w:r>
      <w:r w:rsidRPr="000665B0">
        <w:t xml:space="preserve"> </w:t>
      </w:r>
      <w:r w:rsidRPr="000665B0">
        <w:rPr>
          <w:bCs/>
        </w:rPr>
        <w:t>(</w:t>
      </w:r>
      <w:r w:rsidRPr="000665B0">
        <w:t>select the type of library from the available options).</w:t>
      </w:r>
    </w:p>
    <w:p w14:paraId="4C83AD49" w14:textId="77777777" w:rsidR="004A32AE" w:rsidRPr="000665B0" w:rsidRDefault="004A32AE" w:rsidP="006D5A65">
      <w:pPr>
        <w:pStyle w:val="Heading1"/>
      </w:pPr>
      <w:r w:rsidRPr="000665B0">
        <w:t>If required update the name and description fields.</w:t>
      </w:r>
    </w:p>
    <w:p w14:paraId="729BAD8C" w14:textId="77777777" w:rsidR="004A32AE" w:rsidRPr="000665B0" w:rsidRDefault="004A32AE" w:rsidP="006D5A65">
      <w:pPr>
        <w:pStyle w:val="Heading1"/>
      </w:pPr>
      <w:r w:rsidRPr="000665B0">
        <w:t>From the File menu select Save….</w:t>
      </w:r>
    </w:p>
    <w:p w14:paraId="595DC081" w14:textId="0BD49BC2" w:rsidR="004A32AE" w:rsidRPr="000665B0" w:rsidRDefault="004A32AE" w:rsidP="009570CA">
      <w:pPr>
        <w:pStyle w:val="Heading3"/>
        <w:keepNext w:val="0"/>
      </w:pPr>
      <w:bookmarkStart w:id="1916" w:name="_Toc214283260"/>
      <w:r w:rsidRPr="000665B0">
        <w:t>Show Differences</w:t>
      </w:r>
      <w:bookmarkEnd w:id="1916"/>
    </w:p>
    <w:p w14:paraId="7CAEFD63" w14:textId="77777777" w:rsidR="004A32AE" w:rsidRPr="000665B0" w:rsidRDefault="004A32AE" w:rsidP="009570CA">
      <w:r w:rsidRPr="000665B0">
        <w:t>The Show Differences function gives the operator the ability to examine the similarities and differences between two libraries. The result dialog shows what are common between two libraries and what are unique to each library.</w:t>
      </w:r>
    </w:p>
    <w:p w14:paraId="603BA7B7" w14:textId="77777777" w:rsidR="004A32AE" w:rsidRPr="000665B0" w:rsidRDefault="004A32AE" w:rsidP="009570CA">
      <w:pPr>
        <w:keepNext/>
      </w:pPr>
      <w:r w:rsidRPr="000665B0">
        <w:lastRenderedPageBreak/>
        <w:t>To perform the Show Differences:</w:t>
      </w:r>
    </w:p>
    <w:p w14:paraId="6B9DEEEB" w14:textId="77777777" w:rsidR="004A32AE" w:rsidRPr="000665B0" w:rsidRDefault="004A32AE" w:rsidP="006D5A65">
      <w:pPr>
        <w:pStyle w:val="Heading1"/>
      </w:pPr>
      <w:r w:rsidRPr="000665B0">
        <w:t>Navigate to the Libraries Tool and select two existing Libraries of same type (i.e., two mission libraries).</w:t>
      </w:r>
    </w:p>
    <w:p w14:paraId="24E3AC9A" w14:textId="1FA611BF" w:rsidR="004A32AE" w:rsidRPr="000665B0" w:rsidRDefault="004A32AE" w:rsidP="006D5A65">
      <w:pPr>
        <w:pStyle w:val="Heading1"/>
        <w:rPr>
          <w:szCs w:val="24"/>
        </w:rPr>
      </w:pPr>
      <w:r w:rsidRPr="000665B0">
        <w:t xml:space="preserve">From the File menu, select </w:t>
      </w:r>
      <w:r w:rsidRPr="000665B0">
        <w:rPr>
          <w:bCs/>
        </w:rPr>
        <w:t xml:space="preserve">Show Differences </w:t>
      </w:r>
      <w:r w:rsidR="00FC4324" w:rsidRPr="000665B0">
        <w:t xml:space="preserve">or invoke the context menu </w:t>
      </w:r>
      <w:r w:rsidRPr="000665B0">
        <w:t>(</w:t>
      </w:r>
      <w:r w:rsidR="00D71804" w:rsidRPr="000665B0">
        <w:t>right-click</w:t>
      </w:r>
      <w:r w:rsidRPr="000665B0">
        <w:t xml:space="preserve"> the mouse) and select </w:t>
      </w:r>
      <w:r w:rsidRPr="000665B0">
        <w:rPr>
          <w:bCs/>
        </w:rPr>
        <w:t>Show Differences</w:t>
      </w:r>
      <w:r w:rsidRPr="000665B0">
        <w:t xml:space="preserve">. The </w:t>
      </w:r>
      <w:r w:rsidRPr="000665B0">
        <w:rPr>
          <w:i/>
        </w:rPr>
        <w:t>Comparison</w:t>
      </w:r>
      <w:r w:rsidRPr="000665B0">
        <w:t xml:space="preserve"> window is displayed</w:t>
      </w:r>
      <w:r w:rsidR="00992C9D" w:rsidRPr="000665B0">
        <w:t xml:space="preserve"> with sub tabs that display what are common between the two libraries and what are unique to each library</w:t>
      </w:r>
      <w:r w:rsidRPr="000665B0">
        <w:t>.</w:t>
      </w:r>
    </w:p>
    <w:p w14:paraId="4D6153E8" w14:textId="54A5CF83" w:rsidR="004A32AE" w:rsidRPr="000665B0" w:rsidRDefault="00992C9D" w:rsidP="009570CA">
      <w:pPr>
        <w:pStyle w:val="Number0205"/>
        <w:ind w:left="0" w:firstLine="0"/>
        <w:jc w:val="center"/>
        <w:rPr>
          <w:szCs w:val="24"/>
        </w:rPr>
      </w:pPr>
      <w:r w:rsidRPr="000665B0">
        <w:rPr>
          <w:noProof/>
        </w:rPr>
        <w:drawing>
          <wp:inline distT="0" distB="0" distL="0" distR="0" wp14:anchorId="6596139D" wp14:editId="23A3403C">
            <wp:extent cx="2654933" cy="1141621"/>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668151" cy="1147305"/>
                    </a:xfrm>
                    <a:prstGeom prst="rect">
                      <a:avLst/>
                    </a:prstGeom>
                  </pic:spPr>
                </pic:pic>
              </a:graphicData>
            </a:graphic>
          </wp:inline>
        </w:drawing>
      </w:r>
    </w:p>
    <w:p w14:paraId="29DCBB75" w14:textId="77777777" w:rsidR="004A32AE" w:rsidRPr="000665B0" w:rsidRDefault="004A32AE" w:rsidP="006D5A65">
      <w:pPr>
        <w:pStyle w:val="Heading1"/>
      </w:pPr>
      <w:r w:rsidRPr="000665B0">
        <w:t xml:space="preserve">From the File menu select Print or the Print </w:t>
      </w:r>
      <w:r w:rsidRPr="000665B0">
        <w:rPr>
          <w:noProof/>
        </w:rPr>
        <w:drawing>
          <wp:inline distT="0" distB="0" distL="0" distR="0" wp14:anchorId="496B65A6" wp14:editId="7426B20A">
            <wp:extent cx="152400" cy="152400"/>
            <wp:effectExtent l="0" t="0" r="0" b="0"/>
            <wp:docPr id="94" name="Picture 94" descr="Prin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nt_16"/>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Bar to print the comparison results.</w:t>
      </w:r>
    </w:p>
    <w:p w14:paraId="1410389F" w14:textId="76680DC2" w:rsidR="004A32AE" w:rsidRPr="000665B0" w:rsidRDefault="004A32AE" w:rsidP="009570CA">
      <w:pPr>
        <w:pStyle w:val="Heading3"/>
        <w:keepNext w:val="0"/>
      </w:pPr>
      <w:bookmarkStart w:id="1917" w:name="_Toc214283261"/>
      <w:r w:rsidRPr="000665B0">
        <w:t>Compare Inventory</w:t>
      </w:r>
      <w:bookmarkEnd w:id="1917"/>
    </w:p>
    <w:p w14:paraId="4D58D951" w14:textId="77777777" w:rsidR="004A32AE" w:rsidRPr="000665B0" w:rsidRDefault="004A32AE" w:rsidP="009570CA">
      <w:r w:rsidRPr="000665B0">
        <w:t xml:space="preserve">In an attempt to maintain accurate accountability or to ensure </w:t>
      </w:r>
      <w:r w:rsidR="00443DF6" w:rsidRPr="000665B0">
        <w:t xml:space="preserve">that </w:t>
      </w:r>
      <w:r w:rsidRPr="000665B0">
        <w:t xml:space="preserve">Nodes possess the proper missions, the operator may choose to compare the contents of a </w:t>
      </w:r>
      <w:r w:rsidR="00443DF6" w:rsidRPr="000665B0">
        <w:t xml:space="preserve">Node’s </w:t>
      </w:r>
      <w:r w:rsidRPr="000665B0">
        <w:t>Library with a respective Node</w:t>
      </w:r>
      <w:r w:rsidR="00443DF6" w:rsidRPr="000665B0">
        <w:t>’</w:t>
      </w:r>
      <w:r w:rsidRPr="000665B0">
        <w:t>s inventory (accountability). The results of this comparison are displayed in a window. Only the ACMS Library, Mission Library, and Strike Option Library can be compared to</w:t>
      </w:r>
      <w:r w:rsidR="00443DF6" w:rsidRPr="000665B0">
        <w:t xml:space="preserve"> a</w:t>
      </w:r>
      <w:r w:rsidRPr="000665B0">
        <w:t xml:space="preserve"> respective Node</w:t>
      </w:r>
      <w:r w:rsidR="00443DF6" w:rsidRPr="000665B0">
        <w:t>’</w:t>
      </w:r>
      <w:r w:rsidRPr="000665B0">
        <w:t xml:space="preserve">s inventory. More than one </w:t>
      </w:r>
      <w:r w:rsidR="00443DF6" w:rsidRPr="000665B0">
        <w:t xml:space="preserve">Node </w:t>
      </w:r>
      <w:r w:rsidRPr="000665B0">
        <w:t>may be selected for the comparison.</w:t>
      </w:r>
    </w:p>
    <w:p w14:paraId="6495E30C" w14:textId="77777777" w:rsidR="004A32AE" w:rsidRPr="000665B0" w:rsidRDefault="004A32AE" w:rsidP="009570CA">
      <w:r w:rsidRPr="000665B0">
        <w:t xml:space="preserve">The Compare Library with Inventory function only focuses on the </w:t>
      </w:r>
      <w:r w:rsidRPr="000665B0">
        <w:rPr>
          <w:b/>
          <w:u w:val="single"/>
        </w:rPr>
        <w:t>Hard</w:t>
      </w:r>
      <w:r w:rsidRPr="000665B0">
        <w:t xml:space="preserve"> accountability for the selected Nodes.</w:t>
      </w:r>
    </w:p>
    <w:p w14:paraId="65342F67" w14:textId="77777777" w:rsidR="004A32AE" w:rsidRPr="000665B0" w:rsidRDefault="004A32AE" w:rsidP="009570CA">
      <w:r w:rsidRPr="000665B0">
        <w:t>To perform the Compare Library with Inventory:</w:t>
      </w:r>
    </w:p>
    <w:p w14:paraId="1E0B7FC7" w14:textId="77777777" w:rsidR="004A32AE" w:rsidRPr="000665B0" w:rsidRDefault="004A32AE" w:rsidP="006D5A65">
      <w:pPr>
        <w:pStyle w:val="Heading1"/>
      </w:pPr>
      <w:r w:rsidRPr="000665B0">
        <w:lastRenderedPageBreak/>
        <w:t>Navigate to the Libraries Tool and select an existing Mission Library.</w:t>
      </w:r>
    </w:p>
    <w:p w14:paraId="3A31A459" w14:textId="433DDA0E" w:rsidR="004A32AE" w:rsidRPr="000665B0" w:rsidRDefault="004A32AE" w:rsidP="006D5A65">
      <w:pPr>
        <w:pStyle w:val="Heading1"/>
        <w:rPr>
          <w:szCs w:val="24"/>
        </w:rPr>
      </w:pPr>
      <w:r w:rsidRPr="000665B0">
        <w:t xml:space="preserve">From the File menu select </w:t>
      </w:r>
      <w:r w:rsidRPr="000665B0">
        <w:rPr>
          <w:bCs/>
        </w:rPr>
        <w:t>Compare Inventory</w:t>
      </w:r>
      <w:r w:rsidRPr="000665B0">
        <w:t xml:space="preserve"> </w:t>
      </w:r>
      <w:r w:rsidR="00FC4324" w:rsidRPr="000665B0">
        <w:t xml:space="preserve">or invoke the context menu </w:t>
      </w:r>
      <w:r w:rsidRPr="000665B0">
        <w:t>(</w:t>
      </w:r>
      <w:r w:rsidR="00D71804" w:rsidRPr="000665B0">
        <w:t>right-click</w:t>
      </w:r>
      <w:r w:rsidRPr="000665B0">
        <w:t xml:space="preserve"> the mouse) and select </w:t>
      </w:r>
      <w:r w:rsidRPr="000665B0">
        <w:rPr>
          <w:bCs/>
        </w:rPr>
        <w:t>Compare Inventory</w:t>
      </w:r>
      <w:r w:rsidRPr="000665B0">
        <w:t xml:space="preserve">. </w:t>
      </w:r>
      <w:r w:rsidR="00161617" w:rsidRPr="000665B0">
        <w:t xml:space="preserve">The </w:t>
      </w:r>
      <w:r w:rsidR="00161617" w:rsidRPr="000665B0">
        <w:rPr>
          <w:i/>
        </w:rPr>
        <w:t>Nodes</w:t>
      </w:r>
      <w:r w:rsidR="00161617" w:rsidRPr="000665B0">
        <w:t xml:space="preserve"> window is displayed</w:t>
      </w:r>
      <w:r w:rsidRPr="000665B0">
        <w:t>.</w:t>
      </w:r>
    </w:p>
    <w:p w14:paraId="1D7AC6DF" w14:textId="7FE5BDD8" w:rsidR="004A32AE" w:rsidRPr="000665B0" w:rsidRDefault="00597ADD" w:rsidP="009570CA">
      <w:pPr>
        <w:jc w:val="center"/>
      </w:pPr>
      <w:r w:rsidRPr="000665B0">
        <w:rPr>
          <w:noProof/>
        </w:rPr>
        <w:drawing>
          <wp:inline distT="0" distB="0" distL="0" distR="0" wp14:anchorId="3F052521" wp14:editId="061D6A1F">
            <wp:extent cx="2104678" cy="2195881"/>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19607" cy="2211457"/>
                    </a:xfrm>
                    <a:prstGeom prst="rect">
                      <a:avLst/>
                    </a:prstGeom>
                  </pic:spPr>
                </pic:pic>
              </a:graphicData>
            </a:graphic>
          </wp:inline>
        </w:drawing>
      </w:r>
    </w:p>
    <w:p w14:paraId="0A2C1901" w14:textId="41D09F9C" w:rsidR="004A32AE" w:rsidRPr="000665B0" w:rsidRDefault="004A32AE" w:rsidP="006D5A65">
      <w:pPr>
        <w:pStyle w:val="Heading1"/>
      </w:pPr>
      <w:r w:rsidRPr="000665B0">
        <w:t>Select the desired Node</w:t>
      </w:r>
      <w:r w:rsidR="00443DF6" w:rsidRPr="000665B0">
        <w:t>(</w:t>
      </w:r>
      <w:r w:rsidRPr="000665B0">
        <w:t>s</w:t>
      </w:r>
      <w:r w:rsidR="00443DF6" w:rsidRPr="000665B0">
        <w:t>)</w:t>
      </w:r>
      <w:r w:rsidRPr="000665B0">
        <w:t xml:space="preserve"> and click OK to initiate the compare. </w:t>
      </w:r>
    </w:p>
    <w:p w14:paraId="09D4B7C3" w14:textId="2C03F187" w:rsidR="004A32AE" w:rsidRPr="000665B0" w:rsidRDefault="00161617" w:rsidP="006D5A65">
      <w:pPr>
        <w:pStyle w:val="Heading1"/>
      </w:pPr>
      <w:r w:rsidRPr="000665B0">
        <w:t>The results are displayed</w:t>
      </w:r>
      <w:r w:rsidR="004A32AE" w:rsidRPr="000665B0">
        <w:t xml:space="preserve"> in the </w:t>
      </w:r>
      <w:r w:rsidR="00597ADD" w:rsidRPr="000665B0">
        <w:rPr>
          <w:i/>
        </w:rPr>
        <w:t>Compare Library</w:t>
      </w:r>
      <w:r w:rsidR="004A32AE" w:rsidRPr="000665B0">
        <w:t xml:space="preserve"> window.</w:t>
      </w:r>
    </w:p>
    <w:p w14:paraId="60DA36F2" w14:textId="7CF4B768" w:rsidR="00597ADD" w:rsidRPr="000665B0" w:rsidRDefault="00597ADD" w:rsidP="009570CA">
      <w:pPr>
        <w:jc w:val="center"/>
      </w:pPr>
      <w:r w:rsidRPr="000665B0">
        <w:rPr>
          <w:noProof/>
        </w:rPr>
        <w:drawing>
          <wp:inline distT="0" distB="0" distL="0" distR="0" wp14:anchorId="532CFAE1" wp14:editId="30378FB2">
            <wp:extent cx="3280756" cy="225552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85512" cy="2258789"/>
                    </a:xfrm>
                    <a:prstGeom prst="rect">
                      <a:avLst/>
                    </a:prstGeom>
                  </pic:spPr>
                </pic:pic>
              </a:graphicData>
            </a:graphic>
          </wp:inline>
        </w:drawing>
      </w:r>
    </w:p>
    <w:p w14:paraId="409A73E7" w14:textId="10E4B2BB" w:rsidR="004A32AE" w:rsidRPr="000665B0" w:rsidRDefault="004A32AE" w:rsidP="009570CA">
      <w:pPr>
        <w:pStyle w:val="Heading3"/>
      </w:pPr>
      <w:bookmarkStart w:id="1918" w:name="_Toc214283262"/>
      <w:r w:rsidRPr="000665B0">
        <w:t>Merge</w:t>
      </w:r>
      <w:bookmarkEnd w:id="1918"/>
      <w:r w:rsidRPr="000665B0">
        <w:t xml:space="preserve"> </w:t>
      </w:r>
    </w:p>
    <w:p w14:paraId="005D4A60" w14:textId="77777777" w:rsidR="004A32AE" w:rsidRPr="000665B0" w:rsidRDefault="004A32AE" w:rsidP="009570CA">
      <w:r w:rsidRPr="000665B0">
        <w:t>Two or more Libraries of the same type can be merged to create a single Library. Data items that reside in multiple libraries are included only once in the final product. The merge function may be useful for combining missions after performing several searches.</w:t>
      </w:r>
    </w:p>
    <w:p w14:paraId="15FAF61B" w14:textId="77777777" w:rsidR="004A32AE" w:rsidRPr="000665B0" w:rsidRDefault="004A32AE" w:rsidP="009570CA">
      <w:r w:rsidRPr="000665B0">
        <w:t>Perform the following procedures to merge Libraries:</w:t>
      </w:r>
    </w:p>
    <w:p w14:paraId="57C02A3F" w14:textId="77777777" w:rsidR="004A32AE" w:rsidRPr="000665B0" w:rsidRDefault="004A32AE" w:rsidP="006D5A65">
      <w:pPr>
        <w:pStyle w:val="Heading1"/>
      </w:pPr>
      <w:r w:rsidRPr="000665B0">
        <w:lastRenderedPageBreak/>
        <w:t>Navigate to the Libraries Tool and select two or more desired entries.</w:t>
      </w:r>
    </w:p>
    <w:p w14:paraId="0221A331" w14:textId="41743C22" w:rsidR="004A32AE" w:rsidRPr="000665B0" w:rsidRDefault="004A32AE" w:rsidP="006D5A65">
      <w:pPr>
        <w:pStyle w:val="Heading1"/>
        <w:rPr>
          <w:szCs w:val="24"/>
        </w:rPr>
      </w:pPr>
      <w:r w:rsidRPr="000665B0">
        <w:t xml:space="preserve">From the File menu select Merge </w:t>
      </w:r>
      <w:r w:rsidR="00FC4324" w:rsidRPr="000665B0">
        <w:t xml:space="preserve">or invoke the context menu </w:t>
      </w:r>
      <w:r w:rsidRPr="000665B0">
        <w:t>(</w:t>
      </w:r>
      <w:r w:rsidR="00D71804" w:rsidRPr="000665B0">
        <w:t>right-click</w:t>
      </w:r>
      <w:r w:rsidRPr="000665B0">
        <w:t xml:space="preserve"> the mouse) and select Merge. </w:t>
      </w:r>
      <w:r w:rsidR="00161617" w:rsidRPr="000665B0">
        <w:t xml:space="preserve">A new </w:t>
      </w:r>
      <w:r w:rsidR="00161617" w:rsidRPr="000665B0">
        <w:rPr>
          <w:i/>
        </w:rPr>
        <w:t>Library</w:t>
      </w:r>
      <w:r w:rsidR="00161617" w:rsidRPr="000665B0">
        <w:t xml:space="preserve"> window is displayed</w:t>
      </w:r>
      <w:r w:rsidRPr="000665B0">
        <w:t>.</w:t>
      </w:r>
    </w:p>
    <w:p w14:paraId="5F7E2E7E" w14:textId="748E849F" w:rsidR="004A32AE" w:rsidRPr="000665B0" w:rsidRDefault="00A55B90" w:rsidP="009570CA">
      <w:pPr>
        <w:pStyle w:val="Number0205"/>
        <w:ind w:left="0" w:firstLine="0"/>
        <w:jc w:val="center"/>
        <w:rPr>
          <w:szCs w:val="24"/>
        </w:rPr>
      </w:pPr>
      <w:r w:rsidRPr="000665B0">
        <w:rPr>
          <w:noProof/>
        </w:rPr>
        <w:drawing>
          <wp:inline distT="0" distB="0" distL="0" distR="0" wp14:anchorId="21579E1A" wp14:editId="0FD30720">
            <wp:extent cx="4983480" cy="1938528"/>
            <wp:effectExtent l="0" t="0" r="0" b="0"/>
            <wp:docPr id="1967" name="Picture 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938528"/>
                    </a:xfrm>
                    <a:prstGeom prst="rect">
                      <a:avLst/>
                    </a:prstGeom>
                  </pic:spPr>
                </pic:pic>
              </a:graphicData>
            </a:graphic>
          </wp:inline>
        </w:drawing>
      </w:r>
    </w:p>
    <w:p w14:paraId="06CA919D" w14:textId="77777777" w:rsidR="004A32AE" w:rsidRPr="000665B0" w:rsidRDefault="004A32AE" w:rsidP="006D5A65">
      <w:pPr>
        <w:pStyle w:val="Heading1"/>
      </w:pPr>
      <w:r w:rsidRPr="000665B0">
        <w:t>Input an appropriate Name and Description for the new Library.</w:t>
      </w:r>
    </w:p>
    <w:p w14:paraId="2440E57D" w14:textId="77777777" w:rsidR="004A32AE" w:rsidRPr="000665B0" w:rsidRDefault="004A32AE" w:rsidP="006D5A65">
      <w:pPr>
        <w:pStyle w:val="Heading1"/>
      </w:pPr>
      <w:r w:rsidRPr="000665B0">
        <w:t xml:space="preserve">From the File menu select </w:t>
      </w:r>
      <w:r w:rsidRPr="000665B0">
        <w:rPr>
          <w:bCs/>
        </w:rPr>
        <w:t>Save</w:t>
      </w:r>
      <w:r w:rsidRPr="000665B0">
        <w:t xml:space="preserve"> or select the Save </w:t>
      </w:r>
      <w:r w:rsidRPr="000665B0">
        <w:rPr>
          <w:noProof/>
        </w:rPr>
        <w:drawing>
          <wp:inline distT="0" distB="0" distL="0" distR="0" wp14:anchorId="797BDB8C" wp14:editId="02A34EF6">
            <wp:extent cx="152400" cy="152400"/>
            <wp:effectExtent l="0" t="0" r="0" b="0"/>
            <wp:docPr id="80" name="Picture 80" descr="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ave%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in the toolbar to save the new Library.</w:t>
      </w:r>
    </w:p>
    <w:p w14:paraId="68B0C1C0" w14:textId="30A96F19" w:rsidR="004A32AE" w:rsidRPr="000665B0" w:rsidRDefault="004A32AE" w:rsidP="00B02CBA">
      <w:pPr>
        <w:pStyle w:val="Heading3"/>
      </w:pPr>
      <w:bookmarkStart w:id="1919" w:name="_Toc214283263"/>
      <w:r w:rsidRPr="000665B0">
        <w:t>Query an Existing Library</w:t>
      </w:r>
      <w:bookmarkEnd w:id="1919"/>
    </w:p>
    <w:p w14:paraId="6005DEAE" w14:textId="77777777" w:rsidR="004A32AE" w:rsidRPr="000665B0" w:rsidRDefault="00A80605" w:rsidP="009570CA">
      <w:r w:rsidRPr="000665B0">
        <w:t>This capability allows the user to search a pre-existing Library instead of the entire database</w:t>
      </w:r>
      <w:r w:rsidR="004A32AE" w:rsidRPr="000665B0">
        <w:t xml:space="preserve">. By performing this function, the operator can narrow the data down to achieve the specific group desired. </w:t>
      </w:r>
    </w:p>
    <w:p w14:paraId="5C3CA3AF" w14:textId="77777777" w:rsidR="004A32AE" w:rsidRPr="000665B0" w:rsidRDefault="004A32AE" w:rsidP="009570CA">
      <w:r w:rsidRPr="000665B0">
        <w:t>This process is extremely beneficial when the user is not comfortable with searching the entire database using many search elements/values and ensuring the correct use of the Boolean operators.</w:t>
      </w:r>
    </w:p>
    <w:p w14:paraId="1D604EB0" w14:textId="77777777" w:rsidR="004A32AE" w:rsidRPr="000665B0" w:rsidRDefault="004A32AE" w:rsidP="009570CA">
      <w:r w:rsidRPr="000665B0">
        <w:t>The operator can start by searching the entire database on one or two items and saving the results. Then the user can conduct a sub-search using different criteria.</w:t>
      </w:r>
    </w:p>
    <w:p w14:paraId="12B76ED0" w14:textId="77777777" w:rsidR="004A32AE" w:rsidRPr="000665B0" w:rsidRDefault="004A32AE" w:rsidP="009570CA">
      <w:r w:rsidRPr="000665B0">
        <w:t xml:space="preserve">The Query an Existing Library feature is only available for certain </w:t>
      </w:r>
      <w:r w:rsidR="000C7A8D" w:rsidRPr="000665B0">
        <w:t>l</w:t>
      </w:r>
      <w:r w:rsidRPr="000665B0">
        <w:t xml:space="preserve">ibrary </w:t>
      </w:r>
      <w:r w:rsidR="000C7A8D" w:rsidRPr="000665B0">
        <w:t>t</w:t>
      </w:r>
      <w:r w:rsidRPr="000665B0">
        <w:t xml:space="preserve">ypes such as Mission, Strike Plan Folder, Strike Option, and Target. The following instruction is an example of how to query from an existing Mission Library. For other </w:t>
      </w:r>
      <w:r w:rsidR="000C7A8D" w:rsidRPr="000665B0">
        <w:t>l</w:t>
      </w:r>
      <w:r w:rsidRPr="000665B0">
        <w:t xml:space="preserve">ibrary </w:t>
      </w:r>
      <w:r w:rsidR="000C7A8D" w:rsidRPr="000665B0">
        <w:t>t</w:t>
      </w:r>
      <w:r w:rsidRPr="000665B0">
        <w:t>ypes, the instructions remain the same, but different options are available as the search elements and values.</w:t>
      </w:r>
    </w:p>
    <w:p w14:paraId="2222CFDF" w14:textId="77777777" w:rsidR="004A32AE" w:rsidRPr="000665B0" w:rsidRDefault="004A32AE" w:rsidP="009570CA">
      <w:pPr>
        <w:keepNext/>
      </w:pPr>
      <w:r w:rsidRPr="000665B0">
        <w:lastRenderedPageBreak/>
        <w:t>To search an existing Library:</w:t>
      </w:r>
    </w:p>
    <w:p w14:paraId="2C8D5B3B" w14:textId="77777777" w:rsidR="004A32AE" w:rsidRPr="000665B0" w:rsidRDefault="004A32AE" w:rsidP="006D5A65">
      <w:pPr>
        <w:pStyle w:val="Heading1"/>
      </w:pPr>
      <w:r w:rsidRPr="000665B0">
        <w:t>Navigate to the Libraries Tool and select one or more entries.</w:t>
      </w:r>
    </w:p>
    <w:p w14:paraId="45F1A945" w14:textId="14789F70" w:rsidR="004A32AE" w:rsidRPr="000665B0" w:rsidRDefault="004A32AE" w:rsidP="006D5A65">
      <w:pPr>
        <w:pStyle w:val="Heading1"/>
      </w:pPr>
      <w:r w:rsidRPr="000665B0">
        <w:t xml:space="preserve">From the File menu select </w:t>
      </w:r>
      <w:r w:rsidRPr="000665B0">
        <w:rPr>
          <w:bCs/>
        </w:rPr>
        <w:t>Query from Library(s)</w:t>
      </w:r>
      <w:r w:rsidRPr="000665B0">
        <w:t xml:space="preserve"> </w:t>
      </w:r>
      <w:r w:rsidR="00FC4324" w:rsidRPr="000665B0">
        <w:t xml:space="preserve">or invoke the context menu </w:t>
      </w:r>
      <w:r w:rsidRPr="000665B0">
        <w:t>(</w:t>
      </w:r>
      <w:r w:rsidR="00D71804" w:rsidRPr="000665B0">
        <w:t>right-click</w:t>
      </w:r>
      <w:r w:rsidRPr="000665B0">
        <w:t xml:space="preserve"> the mouse) and select </w:t>
      </w:r>
      <w:r w:rsidRPr="000665B0">
        <w:rPr>
          <w:bCs/>
        </w:rPr>
        <w:t>Query from Library(s)</w:t>
      </w:r>
      <w:r w:rsidRPr="000665B0">
        <w:t xml:space="preserve">. The </w:t>
      </w:r>
      <w:r w:rsidR="00283AD5" w:rsidRPr="000665B0">
        <w:rPr>
          <w:i/>
        </w:rPr>
        <w:t xml:space="preserve">[Library Type] </w:t>
      </w:r>
      <w:r w:rsidRPr="000665B0">
        <w:rPr>
          <w:i/>
        </w:rPr>
        <w:t>Query</w:t>
      </w:r>
      <w:r w:rsidRPr="000665B0">
        <w:t xml:space="preserve"> window </w:t>
      </w:r>
      <w:r w:rsidR="004F7464" w:rsidRPr="000665B0">
        <w:t>is</w:t>
      </w:r>
      <w:r w:rsidRPr="000665B0">
        <w:t xml:space="preserve"> displayed. </w:t>
      </w:r>
    </w:p>
    <w:p w14:paraId="62F796CE" w14:textId="1A82CC9D" w:rsidR="004A32AE" w:rsidRPr="000665B0" w:rsidRDefault="006F7D96" w:rsidP="009570CA">
      <w:pPr>
        <w:pStyle w:val="ListParagraph"/>
        <w:spacing w:after="120"/>
        <w:ind w:left="0"/>
        <w:jc w:val="center"/>
      </w:pPr>
      <w:r w:rsidRPr="000665B0">
        <w:rPr>
          <w:noProof/>
        </w:rPr>
        <w:drawing>
          <wp:inline distT="0" distB="0" distL="0" distR="0" wp14:anchorId="0983120F" wp14:editId="1F80B6FD">
            <wp:extent cx="3495040" cy="3439119"/>
            <wp:effectExtent l="0" t="0" r="0" b="0"/>
            <wp:docPr id="1988" name="Picture 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500488" cy="3444480"/>
                    </a:xfrm>
                    <a:prstGeom prst="rect">
                      <a:avLst/>
                    </a:prstGeom>
                  </pic:spPr>
                </pic:pic>
              </a:graphicData>
            </a:graphic>
          </wp:inline>
        </w:drawing>
      </w:r>
    </w:p>
    <w:p w14:paraId="4F613567" w14:textId="3BB512C5" w:rsidR="004A32AE" w:rsidRPr="000665B0" w:rsidRDefault="001C40DE" w:rsidP="009570CA">
      <w:pPr>
        <w:ind w:left="720"/>
      </w:pPr>
      <w:r w:rsidRPr="000665B0">
        <w:t xml:space="preserve">To ensure that the search is performed in existing Libraries, verify that the </w:t>
      </w:r>
      <w:r w:rsidR="00283AD5" w:rsidRPr="000665B0">
        <w:rPr>
          <w:b/>
        </w:rPr>
        <w:t>Query From Libraries</w:t>
      </w:r>
      <w:r w:rsidR="00283AD5" w:rsidRPr="000665B0">
        <w:t xml:space="preserve"> </w:t>
      </w:r>
      <w:r w:rsidRPr="000665B0">
        <w:t xml:space="preserve">radio button is selected </w:t>
      </w:r>
      <w:r w:rsidR="00283AD5" w:rsidRPr="000665B0">
        <w:t>(not</w:t>
      </w:r>
      <w:r w:rsidRPr="000665B0">
        <w:t xml:space="preserve"> the </w:t>
      </w:r>
      <w:r w:rsidR="00283AD5" w:rsidRPr="000665B0">
        <w:rPr>
          <w:b/>
        </w:rPr>
        <w:t>Query from</w:t>
      </w:r>
      <w:r w:rsidR="00283AD5" w:rsidRPr="000665B0">
        <w:t xml:space="preserve"> </w:t>
      </w:r>
      <w:r w:rsidRPr="000665B0">
        <w:rPr>
          <w:b/>
        </w:rPr>
        <w:t>Database</w:t>
      </w:r>
      <w:r w:rsidR="00283AD5" w:rsidRPr="000665B0">
        <w:t xml:space="preserve"> button)</w:t>
      </w:r>
      <w:r w:rsidRPr="000665B0">
        <w:t xml:space="preserve">, and that </w:t>
      </w:r>
      <w:r w:rsidR="000C7A8D" w:rsidRPr="000665B0">
        <w:t>the desired libraries</w:t>
      </w:r>
      <w:r w:rsidRPr="000665B0">
        <w:t xml:space="preserve"> are displayed in the window.</w:t>
      </w:r>
      <w:r w:rsidR="004A32AE" w:rsidRPr="000665B0">
        <w:t xml:space="preserve"> </w:t>
      </w:r>
    </w:p>
    <w:p w14:paraId="5F4A7EB7" w14:textId="1C80F437" w:rsidR="004A32AE" w:rsidRPr="000665B0" w:rsidRDefault="004A32AE" w:rsidP="006D5A65">
      <w:pPr>
        <w:pStyle w:val="Heading1"/>
      </w:pPr>
      <w:r w:rsidRPr="000665B0">
        <w:t>Select the desired Search Elements and Values and the appropriate Boolean operator.</w:t>
      </w:r>
      <w:r w:rsidR="00B777B4" w:rsidRPr="000665B0">
        <w:t xml:space="preserve"> There is a limitation with the query behavior for numerical values that are stored in the database as floating-point </w:t>
      </w:r>
      <w:r w:rsidR="007D1DA2" w:rsidRPr="000665B0">
        <w:t>numbers</w:t>
      </w:r>
      <w:r w:rsidR="003621E4" w:rsidRPr="000665B0">
        <w:t>, which may produce query results that appear to be inaccurate. S</w:t>
      </w:r>
      <w:r w:rsidR="00B777B4" w:rsidRPr="000665B0">
        <w:t xml:space="preserve">ee </w:t>
      </w:r>
      <w:hyperlink w:anchor="_Appendix_H_" w:history="1">
        <w:r w:rsidR="00B777B4" w:rsidRPr="000665B0">
          <w:rPr>
            <w:rStyle w:val="Hyperlink"/>
          </w:rPr>
          <w:t>Appendix G</w:t>
        </w:r>
      </w:hyperlink>
      <w:r w:rsidR="00B777B4" w:rsidRPr="000665B0">
        <w:t xml:space="preserve"> for </w:t>
      </w:r>
      <w:r w:rsidR="003621E4" w:rsidRPr="000665B0">
        <w:t>details as well as which</w:t>
      </w:r>
      <w:r w:rsidR="00B777B4" w:rsidRPr="000665B0">
        <w:t xml:space="preserve"> query elements are affected by this limitation.</w:t>
      </w:r>
    </w:p>
    <w:p w14:paraId="47EC2B90" w14:textId="77777777" w:rsidR="004A32AE" w:rsidRPr="000665B0" w:rsidRDefault="004A32AE" w:rsidP="006D5A65">
      <w:pPr>
        <w:pStyle w:val="Heading1"/>
      </w:pPr>
      <w:r w:rsidRPr="000665B0">
        <w:rPr>
          <w:bCs/>
        </w:rPr>
        <w:t>Save</w:t>
      </w:r>
      <w:r w:rsidRPr="000665B0">
        <w:t xml:space="preserve"> the criteria if necessary or </w:t>
      </w:r>
      <w:r w:rsidRPr="000665B0">
        <w:rPr>
          <w:bCs/>
        </w:rPr>
        <w:t>Run</w:t>
      </w:r>
      <w:r w:rsidRPr="000665B0">
        <w:t xml:space="preserve"> the query.</w:t>
      </w:r>
    </w:p>
    <w:p w14:paraId="4A502188" w14:textId="77777777" w:rsidR="004A32AE" w:rsidRPr="000665B0" w:rsidRDefault="004A32AE" w:rsidP="006D5A65">
      <w:pPr>
        <w:pStyle w:val="Heading1"/>
      </w:pPr>
      <w:r w:rsidRPr="000665B0">
        <w:t xml:space="preserve">Input a Name and Description when the results are displayed and click the </w:t>
      </w:r>
      <w:r w:rsidRPr="000665B0">
        <w:rPr>
          <w:bCs/>
        </w:rPr>
        <w:t xml:space="preserve">OK button </w:t>
      </w:r>
      <w:r w:rsidRPr="000665B0">
        <w:t>to complete the process.</w:t>
      </w:r>
    </w:p>
    <w:p w14:paraId="7F233FA9" w14:textId="6F17F0A4" w:rsidR="002609A4" w:rsidRPr="000665B0" w:rsidRDefault="002609A4" w:rsidP="009570CA">
      <w:pPr>
        <w:pStyle w:val="Heading3"/>
      </w:pPr>
      <w:bookmarkStart w:id="1920" w:name="_5.13.9__Validate_1"/>
      <w:bookmarkStart w:id="1921" w:name="_Toc214283264"/>
      <w:bookmarkEnd w:id="1920"/>
      <w:r w:rsidRPr="000665B0">
        <w:t>Validate Missions</w:t>
      </w:r>
      <w:bookmarkEnd w:id="1921"/>
    </w:p>
    <w:p w14:paraId="064E2DC2" w14:textId="77777777" w:rsidR="002609A4" w:rsidRPr="000665B0" w:rsidRDefault="002609A4" w:rsidP="009570CA">
      <w:r w:rsidRPr="000665B0">
        <w:t>This capability allows the user to perform validation on the Missions contained within a Mission Library. The following validation checks will be performed:</w:t>
      </w:r>
    </w:p>
    <w:p w14:paraId="003E2C98" w14:textId="77777777" w:rsidR="002609A4" w:rsidRPr="000665B0" w:rsidRDefault="002609A4" w:rsidP="006D5A65">
      <w:pPr>
        <w:pStyle w:val="Heading1"/>
      </w:pPr>
      <w:r w:rsidRPr="000665B0">
        <w:lastRenderedPageBreak/>
        <w:t xml:space="preserve">Validate that the (MaxSor – MinSor) </w:t>
      </w:r>
      <w:r w:rsidRPr="000665B0">
        <w:rPr>
          <w:rFonts w:cs="Arial"/>
          <w:bCs/>
          <w:sz w:val="20"/>
        </w:rPr>
        <w:t>≤</w:t>
      </w:r>
      <w:r w:rsidRPr="000665B0">
        <w:t xml:space="preserve"> Range Penalty Constraint</w:t>
      </w:r>
    </w:p>
    <w:p w14:paraId="6C4170C6" w14:textId="77777777" w:rsidR="002609A4" w:rsidRPr="000665B0" w:rsidRDefault="002609A4" w:rsidP="006D5A65">
      <w:pPr>
        <w:pStyle w:val="Heading1"/>
      </w:pPr>
      <w:r w:rsidRPr="000665B0">
        <w:t>Validate the following data is not blank</w:t>
      </w:r>
    </w:p>
    <w:p w14:paraId="2590468E" w14:textId="77777777" w:rsidR="002609A4" w:rsidRPr="000665B0" w:rsidRDefault="002609A4" w:rsidP="006D5A65">
      <w:pPr>
        <w:pStyle w:val="Heading1"/>
      </w:pPr>
      <w:r w:rsidRPr="000665B0">
        <w:t xml:space="preserve">Operational Factors </w:t>
      </w:r>
    </w:p>
    <w:p w14:paraId="2AEF89BB" w14:textId="77777777" w:rsidR="002609A4" w:rsidRPr="000665B0" w:rsidRDefault="002609A4" w:rsidP="006D5A65">
      <w:pPr>
        <w:pStyle w:val="Heading1"/>
      </w:pPr>
      <w:r w:rsidRPr="000665B0">
        <w:t>Countries Overflown</w:t>
      </w:r>
    </w:p>
    <w:p w14:paraId="4283A419" w14:textId="77777777" w:rsidR="002609A4" w:rsidRPr="000665B0" w:rsidRDefault="002609A4" w:rsidP="006D5A65">
      <w:pPr>
        <w:pStyle w:val="Heading1"/>
      </w:pPr>
      <w:r w:rsidRPr="000665B0">
        <w:t>Target Factors</w:t>
      </w:r>
    </w:p>
    <w:p w14:paraId="4F3B32C4" w14:textId="77777777" w:rsidR="002609A4" w:rsidRPr="000665B0" w:rsidRDefault="002609A4" w:rsidP="006D5A65">
      <w:pPr>
        <w:pStyle w:val="Heading1"/>
      </w:pPr>
      <w:r w:rsidRPr="000665B0">
        <w:t>Aimpoint ID</w:t>
      </w:r>
    </w:p>
    <w:p w14:paraId="2D176152" w14:textId="77777777" w:rsidR="002609A4" w:rsidRPr="000665B0" w:rsidRDefault="002609A4" w:rsidP="006D5A65">
      <w:pPr>
        <w:pStyle w:val="Heading1"/>
      </w:pPr>
      <w:r w:rsidRPr="000665B0">
        <w:t>Aimpoint Description</w:t>
      </w:r>
    </w:p>
    <w:p w14:paraId="74FD51A4" w14:textId="77777777" w:rsidR="002609A4" w:rsidRPr="000665B0" w:rsidRDefault="002609A4" w:rsidP="006D5A65">
      <w:pPr>
        <w:pStyle w:val="Heading1"/>
      </w:pPr>
      <w:r w:rsidRPr="000665B0">
        <w:t>Facility OSuffix</w:t>
      </w:r>
    </w:p>
    <w:p w14:paraId="3531EC07" w14:textId="77777777" w:rsidR="002609A4" w:rsidRPr="000665B0" w:rsidRDefault="002609A4" w:rsidP="006D5A65">
      <w:pPr>
        <w:pStyle w:val="Heading1"/>
      </w:pPr>
      <w:r w:rsidRPr="000665B0">
        <w:t>Facility Category Code</w:t>
      </w:r>
    </w:p>
    <w:p w14:paraId="57388E4D" w14:textId="77777777" w:rsidR="002609A4" w:rsidRPr="000665B0" w:rsidRDefault="002609A4" w:rsidP="006D5A65">
      <w:pPr>
        <w:pStyle w:val="Heading1"/>
      </w:pPr>
      <w:r w:rsidRPr="000665B0">
        <w:t>Seasonal Periods (DSMAC Missions only)</w:t>
      </w:r>
    </w:p>
    <w:p w14:paraId="2FB7FDEF" w14:textId="77777777" w:rsidR="002609A4" w:rsidRPr="000665B0" w:rsidRDefault="002609A4" w:rsidP="006D5A65">
      <w:pPr>
        <w:pStyle w:val="Heading1"/>
      </w:pPr>
      <w:r w:rsidRPr="000665B0">
        <w:t>Validate that the SSPD/SSFD contains valid values</w:t>
      </w:r>
    </w:p>
    <w:p w14:paraId="40958B1F" w14:textId="77777777" w:rsidR="002609A4" w:rsidRPr="000665B0" w:rsidRDefault="002609A4" w:rsidP="006D5A65">
      <w:pPr>
        <w:pStyle w:val="Heading1"/>
      </w:pPr>
      <w:r w:rsidRPr="000665B0">
        <w:t>Validate that GPS Only Missions do not contain DSMAC Requirements</w:t>
      </w:r>
    </w:p>
    <w:p w14:paraId="4407012C" w14:textId="77777777" w:rsidR="002609A4" w:rsidRPr="000665B0" w:rsidRDefault="002609A4" w:rsidP="009570CA">
      <w:r w:rsidRPr="000665B0">
        <w:t>To perform the Mission Validation on a Mission Library:</w:t>
      </w:r>
    </w:p>
    <w:p w14:paraId="5BC4D7D0" w14:textId="77777777" w:rsidR="002609A4" w:rsidRPr="000665B0" w:rsidRDefault="002609A4" w:rsidP="009570CA">
      <w:pPr>
        <w:ind w:left="720" w:hanging="360"/>
      </w:pPr>
      <w:r w:rsidRPr="000665B0">
        <w:t>1.</w:t>
      </w:r>
      <w:r w:rsidRPr="000665B0">
        <w:tab/>
        <w:t xml:space="preserve">Navigate to the </w:t>
      </w:r>
      <w:r w:rsidRPr="000665B0">
        <w:rPr>
          <w:b/>
          <w:bCs/>
        </w:rPr>
        <w:t>Libraries</w:t>
      </w:r>
      <w:r w:rsidRPr="000665B0">
        <w:t xml:space="preserve"> Tool and select an existing Mission Library.</w:t>
      </w:r>
    </w:p>
    <w:p w14:paraId="299836CF" w14:textId="1A2013B4" w:rsidR="002609A4" w:rsidRPr="000665B0" w:rsidRDefault="002609A4" w:rsidP="009570CA">
      <w:pPr>
        <w:ind w:left="720" w:hanging="360"/>
      </w:pPr>
      <w:r w:rsidRPr="000665B0">
        <w:t>2.</w:t>
      </w:r>
      <w:r w:rsidRPr="000665B0">
        <w:tab/>
        <w:t xml:space="preserve">From the </w:t>
      </w:r>
      <w:r w:rsidRPr="000665B0">
        <w:rPr>
          <w:b/>
          <w:bCs/>
        </w:rPr>
        <w:t>File</w:t>
      </w:r>
      <w:r w:rsidRPr="000665B0">
        <w:t xml:space="preserve"> menu </w:t>
      </w:r>
      <w:r w:rsidR="00FC4324" w:rsidRPr="000665B0">
        <w:t xml:space="preserve">or invoke the context menu </w:t>
      </w:r>
      <w:r w:rsidRPr="000665B0">
        <w:t>(</w:t>
      </w:r>
      <w:r w:rsidR="00D71804" w:rsidRPr="000665B0">
        <w:t>right-click</w:t>
      </w:r>
      <w:r w:rsidRPr="000665B0">
        <w:t xml:space="preserve"> the mouse), select </w:t>
      </w:r>
      <w:r w:rsidRPr="000665B0">
        <w:rPr>
          <w:b/>
          <w:bCs/>
        </w:rPr>
        <w:t>Validate Missions</w:t>
      </w:r>
      <w:r w:rsidRPr="000665B0">
        <w:t>.</w:t>
      </w:r>
    </w:p>
    <w:p w14:paraId="4F7B5A6C" w14:textId="26F05876" w:rsidR="002609A4" w:rsidRPr="000665B0" w:rsidRDefault="002609A4" w:rsidP="009570CA">
      <w:r w:rsidRPr="000665B0">
        <w:t xml:space="preserve">Once the validation is complete, a </w:t>
      </w:r>
      <w:r w:rsidR="0099136B" w:rsidRPr="000665B0">
        <w:t xml:space="preserve">Microsoft </w:t>
      </w:r>
      <w:r w:rsidR="003716F5" w:rsidRPr="000665B0">
        <w:t xml:space="preserve">Word </w:t>
      </w:r>
      <w:r w:rsidRPr="000665B0">
        <w:t>document that contains the results of the validation</w:t>
      </w:r>
      <w:r w:rsidR="000C7A8D" w:rsidRPr="000665B0">
        <w:t xml:space="preserve"> is displayed.</w:t>
      </w:r>
    </w:p>
    <w:p w14:paraId="4A48B60E" w14:textId="6D7E6DE6" w:rsidR="002609A4" w:rsidRPr="000665B0" w:rsidRDefault="003716F5" w:rsidP="009570CA">
      <w:pPr>
        <w:jc w:val="center"/>
      </w:pPr>
      <w:r w:rsidRPr="000665B0">
        <w:rPr>
          <w:noProof/>
        </w:rPr>
        <w:drawing>
          <wp:inline distT="0" distB="0" distL="0" distR="0" wp14:anchorId="37D679E8" wp14:editId="22965BBA">
            <wp:extent cx="2669389" cy="3829050"/>
            <wp:effectExtent l="19050" t="19050" r="0" b="0"/>
            <wp:docPr id="1200"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l="8334" t="3219" r="8734" b="4920"/>
                    <a:stretch/>
                  </pic:blipFill>
                  <pic:spPr bwMode="auto">
                    <a:xfrm>
                      <a:off x="0" y="0"/>
                      <a:ext cx="2687684" cy="385529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27D023D" w14:textId="22B37A65" w:rsidR="006C643C" w:rsidRPr="000665B0" w:rsidRDefault="006C643C" w:rsidP="009570CA">
      <w:pPr>
        <w:pStyle w:val="Heading3"/>
      </w:pPr>
      <w:bookmarkStart w:id="1922" w:name="_5.13.10__Distribution"/>
      <w:bookmarkStart w:id="1923" w:name="_Toc337630012"/>
      <w:bookmarkStart w:id="1924" w:name="_Toc214283265"/>
      <w:bookmarkEnd w:id="1922"/>
      <w:r w:rsidRPr="000665B0">
        <w:lastRenderedPageBreak/>
        <w:t>Distribution Dashboard</w:t>
      </w:r>
      <w:bookmarkEnd w:id="1923"/>
      <w:bookmarkEnd w:id="1924"/>
    </w:p>
    <w:p w14:paraId="70CBBF1D" w14:textId="31A3BB7E" w:rsidR="006C643C" w:rsidRPr="000665B0" w:rsidRDefault="00474A1F" w:rsidP="009570CA">
      <w:r w:rsidRPr="000665B0">
        <w:t xml:space="preserve">The </w:t>
      </w:r>
      <w:r w:rsidRPr="000665B0">
        <w:rPr>
          <w:b/>
        </w:rPr>
        <w:t>Distribution Dashboard</w:t>
      </w:r>
      <w:r w:rsidRPr="000665B0">
        <w:t xml:space="preserve"> feature gives the operator the ability to track what data was sent to each recipient, and whether or not that data has been acknowledged. The feature’s functionality is the same across all tools that include it, but the data displayed will vary depending on the tool being used.</w:t>
      </w:r>
      <w:r w:rsidR="006C643C" w:rsidRPr="000665B0">
        <w:t xml:space="preserve"> </w:t>
      </w:r>
      <w:r w:rsidR="007B3CEE" w:rsidRPr="000665B0">
        <w:t xml:space="preserve">See </w:t>
      </w:r>
      <w:hyperlink w:anchor="_5.2.10__Distribution" w:history="1">
        <w:r w:rsidR="007B3CEE" w:rsidRPr="000665B0">
          <w:rPr>
            <w:rStyle w:val="Hyperlink"/>
          </w:rPr>
          <w:t>Section 5.2.10</w:t>
        </w:r>
      </w:hyperlink>
      <w:r w:rsidR="007B3CEE" w:rsidRPr="000665B0">
        <w:t>.</w:t>
      </w:r>
    </w:p>
    <w:p w14:paraId="536FBD63" w14:textId="5A6B338E" w:rsidR="001B3ADE" w:rsidRPr="000665B0" w:rsidRDefault="001B3ADE" w:rsidP="009570CA">
      <w:pPr>
        <w:pStyle w:val="Heading3"/>
      </w:pPr>
      <w:bookmarkStart w:id="1925" w:name="_Toc214283266"/>
      <w:r w:rsidRPr="000665B0">
        <w:t>Deconflict Prohibited Areas (Mission Library Only)</w:t>
      </w:r>
      <w:bookmarkEnd w:id="1925"/>
    </w:p>
    <w:p w14:paraId="00C15091" w14:textId="75B99E35" w:rsidR="00A97B30" w:rsidRPr="000665B0" w:rsidRDefault="00A97B30" w:rsidP="009570CA">
      <w:r w:rsidRPr="000665B0">
        <w:t>This capability allows the user to deconflict missions and prohibited areas prior to creating a Strike</w:t>
      </w:r>
      <w:r w:rsidR="00AF5FE1" w:rsidRPr="000665B0">
        <w:t>,</w:t>
      </w:r>
      <w:r w:rsidRPr="000665B0">
        <w:t xml:space="preserve"> to determine which missiles violate airspace constraints. </w:t>
      </w:r>
    </w:p>
    <w:p w14:paraId="07254ADB" w14:textId="77777777" w:rsidR="00BC75F3" w:rsidRPr="000665B0" w:rsidRDefault="00BC75F3"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F925112" w14:textId="09245091" w:rsidR="00515E4A" w:rsidRDefault="00BC75F3" w:rsidP="00F703EB">
      <w:pPr>
        <w:pBdr>
          <w:top w:val="single" w:sz="12" w:space="1" w:color="auto"/>
          <w:left w:val="single" w:sz="12" w:space="4" w:color="auto"/>
          <w:bottom w:val="single" w:sz="12" w:space="1" w:color="auto"/>
          <w:right w:val="single" w:sz="12" w:space="4" w:color="auto"/>
        </w:pBdr>
        <w:shd w:val="clear" w:color="auto" w:fill="D9D9D9"/>
        <w:jc w:val="center"/>
      </w:pPr>
      <w:r w:rsidRPr="000665B0">
        <w:rPr>
          <w:b/>
        </w:rPr>
        <w:t>In rare cases, strike analysis/deconfliction may report an unexpected conflict where a mission violates a Prohibited Area ACMS that is in the mission and strike option</w:t>
      </w:r>
      <w:r w:rsidR="000A3708">
        <w:rPr>
          <w:b/>
        </w:rPr>
        <w:br/>
      </w:r>
      <w:r w:rsidRPr="000665B0">
        <w:rPr>
          <w:b/>
        </w:rPr>
        <w:t xml:space="preserve">(see </w:t>
      </w:r>
      <w:hyperlink w:anchor="_Analysis_Tool" w:history="1">
        <w:r w:rsidRPr="00F703EB">
          <w:rPr>
            <w:rStyle w:val="Hyperlink"/>
            <w:b/>
            <w:bCs/>
          </w:rPr>
          <w:t xml:space="preserve">Section </w:t>
        </w:r>
        <w:r w:rsidR="004231CC">
          <w:rPr>
            <w:rStyle w:val="Hyperlink"/>
            <w:b/>
            <w:bCs/>
          </w:rPr>
          <w:t>5.34</w:t>
        </w:r>
        <w:r w:rsidRPr="00F703EB">
          <w:rPr>
            <w:rStyle w:val="Hyperlink"/>
            <w:b/>
            <w:bCs/>
          </w:rPr>
          <w:t>.7.1.15</w:t>
        </w:r>
      </w:hyperlink>
      <w:r w:rsidR="000A3708">
        <w:rPr>
          <w:b/>
          <w:bCs/>
        </w:rPr>
        <w:t>).</w:t>
      </w:r>
    </w:p>
    <w:p w14:paraId="133C76BD" w14:textId="352A3725" w:rsidR="00A97B30" w:rsidRPr="000665B0" w:rsidRDefault="00A97B30" w:rsidP="009570CA">
      <w:r w:rsidRPr="000665B0">
        <w:t>To deconflict prohibited areas:</w:t>
      </w:r>
    </w:p>
    <w:p w14:paraId="11A3DCA6" w14:textId="77777777" w:rsidR="00A97B30" w:rsidRPr="000665B0" w:rsidRDefault="00A97B30" w:rsidP="006D5A65">
      <w:pPr>
        <w:pStyle w:val="Heading1"/>
      </w:pPr>
      <w:r w:rsidRPr="000665B0">
        <w:t>Navigate to the Libraries Tool and select an existing Mission Library.</w:t>
      </w:r>
      <w:r w:rsidR="00AF5FE1" w:rsidRPr="000665B0">
        <w:t xml:space="preserve"> The library must be a Mission Library and only one Mission Library may be selected at a time. </w:t>
      </w:r>
    </w:p>
    <w:p w14:paraId="56547CD2" w14:textId="3BC56CC4" w:rsidR="00A97B30" w:rsidRPr="000665B0" w:rsidRDefault="00A97B30" w:rsidP="006D5A65">
      <w:pPr>
        <w:pStyle w:val="Heading1"/>
      </w:pPr>
      <w:r w:rsidRPr="000665B0">
        <w:t>Invoke the context menu (</w:t>
      </w:r>
      <w:r w:rsidR="00D71804" w:rsidRPr="000665B0">
        <w:t>right-click</w:t>
      </w:r>
      <w:r w:rsidRPr="000665B0">
        <w:t xml:space="preserve"> the mouse) and select </w:t>
      </w:r>
      <w:r w:rsidRPr="000665B0">
        <w:rPr>
          <w:bCs/>
        </w:rPr>
        <w:t>Deconflict Prohibited Areas</w:t>
      </w:r>
      <w:r w:rsidR="000F54A5" w:rsidRPr="000665B0">
        <w:rPr>
          <w:bCs/>
        </w:rPr>
        <w:t>.</w:t>
      </w:r>
      <w:r w:rsidR="00981E87" w:rsidRPr="000665B0">
        <w:rPr>
          <w:bCs/>
        </w:rPr>
        <w:t xml:space="preserve"> </w:t>
      </w:r>
      <w:r w:rsidR="00981E87" w:rsidRPr="000665B0">
        <w:t>The menu selection is disabled if multiple libraries or a library type other than Mission is selected.</w:t>
      </w:r>
    </w:p>
    <w:p w14:paraId="02456271" w14:textId="1C6D3E43" w:rsidR="00A97B30" w:rsidRPr="000665B0" w:rsidRDefault="00881584" w:rsidP="009570CA">
      <w:pPr>
        <w:jc w:val="center"/>
      </w:pPr>
      <w:r w:rsidRPr="000665B0">
        <w:rPr>
          <w:noProof/>
        </w:rPr>
        <w:drawing>
          <wp:inline distT="0" distB="0" distL="0" distR="0" wp14:anchorId="1C940184" wp14:editId="64E65D47">
            <wp:extent cx="4572000" cy="2724912"/>
            <wp:effectExtent l="0" t="0" r="0" b="0"/>
            <wp:docPr id="1262"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2724912"/>
                    </a:xfrm>
                    <a:prstGeom prst="rect">
                      <a:avLst/>
                    </a:prstGeom>
                  </pic:spPr>
                </pic:pic>
              </a:graphicData>
            </a:graphic>
          </wp:inline>
        </w:drawing>
      </w:r>
    </w:p>
    <w:p w14:paraId="3ADE3243" w14:textId="265C54F9" w:rsidR="00A97B30" w:rsidRPr="000665B0" w:rsidRDefault="000F54A5" w:rsidP="006D5A65">
      <w:pPr>
        <w:pStyle w:val="Heading1"/>
      </w:pPr>
      <w:r w:rsidRPr="000665B0">
        <w:t xml:space="preserve">The </w:t>
      </w:r>
      <w:r w:rsidRPr="000665B0">
        <w:rPr>
          <w:i/>
        </w:rPr>
        <w:t>Prohibited Area Deconfliction</w:t>
      </w:r>
      <w:r w:rsidRPr="000665B0">
        <w:t xml:space="preserve"> </w:t>
      </w:r>
      <w:r w:rsidR="004900B3" w:rsidRPr="000665B0">
        <w:rPr>
          <w:i/>
        </w:rPr>
        <w:t>– [Mission Library Name]</w:t>
      </w:r>
      <w:r w:rsidR="004900B3" w:rsidRPr="000665B0">
        <w:t xml:space="preserve"> </w:t>
      </w:r>
      <w:r w:rsidRPr="000665B0">
        <w:t>window is displayed</w:t>
      </w:r>
      <w:r w:rsidR="00A97B30" w:rsidRPr="000665B0">
        <w:t>.</w:t>
      </w:r>
      <w:r w:rsidR="00B338AD" w:rsidRPr="000665B0">
        <w:t xml:space="preserve"> By default, the Geographic display on the right side of the window is disabled. To enable the Geo Display, </w:t>
      </w:r>
      <w:r w:rsidR="00B338AD" w:rsidRPr="000665B0">
        <w:lastRenderedPageBreak/>
        <w:t xml:space="preserve">select </w:t>
      </w:r>
      <w:r w:rsidR="005A6AA0" w:rsidRPr="000665B0">
        <w:t xml:space="preserve">View </w:t>
      </w:r>
      <w:r w:rsidR="005A6AA0" w:rsidRPr="000665B0">
        <w:sym w:font="Wingdings" w:char="F0E0"/>
      </w:r>
      <w:r w:rsidR="005A6AA0" w:rsidRPr="000665B0">
        <w:t xml:space="preserve"> Geo </w:t>
      </w:r>
      <w:r w:rsidR="00B338AD" w:rsidRPr="000665B0">
        <w:t>(toggle the Geo Display on/off using the View menu).</w:t>
      </w:r>
    </w:p>
    <w:p w14:paraId="793B0A6E" w14:textId="25FA41B8" w:rsidR="00A97B30" w:rsidRPr="000665B0" w:rsidRDefault="00881584" w:rsidP="009570CA">
      <w:pPr>
        <w:jc w:val="center"/>
      </w:pPr>
      <w:r w:rsidRPr="000665B0">
        <w:rPr>
          <w:noProof/>
        </w:rPr>
        <w:drawing>
          <wp:inline distT="0" distB="0" distL="0" distR="0" wp14:anchorId="3C1D9796" wp14:editId="584992C0">
            <wp:extent cx="4572000" cy="3054096"/>
            <wp:effectExtent l="0" t="0" r="0" b="0"/>
            <wp:docPr id="1357" name="Picture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3054096"/>
                    </a:xfrm>
                    <a:prstGeom prst="rect">
                      <a:avLst/>
                    </a:prstGeom>
                  </pic:spPr>
                </pic:pic>
              </a:graphicData>
            </a:graphic>
          </wp:inline>
        </w:drawing>
      </w:r>
    </w:p>
    <w:p w14:paraId="690C29DA" w14:textId="77777777" w:rsidR="000F54A5" w:rsidRPr="000665B0" w:rsidRDefault="000F54A5" w:rsidP="006D5A65">
      <w:pPr>
        <w:pStyle w:val="Heading1"/>
      </w:pPr>
      <w:r w:rsidRPr="000665B0">
        <w:t xml:space="preserve">In the </w:t>
      </w:r>
      <w:r w:rsidR="00A97B30" w:rsidRPr="000665B0">
        <w:t>Missions to Show</w:t>
      </w:r>
      <w:r w:rsidRPr="000665B0">
        <w:t xml:space="preserve"> pane, select either Missions that violate Prohibited Areas or Missions that do not violate Prohibited Areas.</w:t>
      </w:r>
    </w:p>
    <w:p w14:paraId="12AE6ED5" w14:textId="77777777" w:rsidR="000F54A5" w:rsidRPr="000665B0" w:rsidRDefault="000F54A5" w:rsidP="006D5A65">
      <w:pPr>
        <w:pStyle w:val="Heading1"/>
      </w:pPr>
      <w:r w:rsidRPr="000665B0">
        <w:t>In the Prohibited Areas to Test Against pane, select either:</w:t>
      </w:r>
    </w:p>
    <w:p w14:paraId="48DEA4AA" w14:textId="24963895" w:rsidR="00283653" w:rsidRPr="000665B0" w:rsidRDefault="000F54A5" w:rsidP="006D5A65">
      <w:pPr>
        <w:pStyle w:val="Heading1"/>
      </w:pPr>
      <w:r w:rsidRPr="000665B0">
        <w:t>Prohibited Area</w:t>
      </w:r>
      <w:r w:rsidR="00283653" w:rsidRPr="000665B0">
        <w:t>s in ACMS Library to use a pre-determined list of Prohibited Areas in an ACMS library.</w:t>
      </w:r>
      <w:r w:rsidR="005978C8" w:rsidRPr="000665B0">
        <w:t xml:space="preserve"> Select the library from the </w:t>
      </w:r>
      <w:r w:rsidR="004036B3" w:rsidRPr="000665B0">
        <w:t>pull-down</w:t>
      </w:r>
      <w:r w:rsidR="005978C8" w:rsidRPr="000665B0">
        <w:t xml:space="preserve"> menu.</w:t>
      </w:r>
    </w:p>
    <w:p w14:paraId="205FEBF2" w14:textId="77777777" w:rsidR="00283653" w:rsidRPr="000665B0" w:rsidRDefault="00283653" w:rsidP="009570CA">
      <w:pPr>
        <w:pStyle w:val="Number0205"/>
        <w:ind w:left="720" w:firstLine="0"/>
      </w:pPr>
      <w:r w:rsidRPr="000665B0">
        <w:t>or</w:t>
      </w:r>
    </w:p>
    <w:p w14:paraId="1AEB62C1" w14:textId="77777777" w:rsidR="00A97B30" w:rsidRPr="000665B0" w:rsidRDefault="00283653" w:rsidP="006D5A65">
      <w:pPr>
        <w:pStyle w:val="Heading1"/>
      </w:pPr>
      <w:r w:rsidRPr="000665B0">
        <w:lastRenderedPageBreak/>
        <w:t>Prohibited Areas in List to choose one or more individual Prohibited Areas from a list.</w:t>
      </w:r>
      <w:r w:rsidR="00A97B30" w:rsidRPr="000665B0">
        <w:t xml:space="preserve"> </w:t>
      </w:r>
    </w:p>
    <w:p w14:paraId="533856A9" w14:textId="77777777" w:rsidR="00283653" w:rsidRPr="000665B0" w:rsidRDefault="00283653" w:rsidP="006D5A65">
      <w:pPr>
        <w:pStyle w:val="Heading1"/>
      </w:pPr>
      <w:r w:rsidRPr="000665B0">
        <w:t>Click the Select button.</w:t>
      </w:r>
    </w:p>
    <w:p w14:paraId="3361755A" w14:textId="77777777" w:rsidR="00283653" w:rsidRPr="000665B0" w:rsidRDefault="00283653" w:rsidP="006D5A65">
      <w:pPr>
        <w:pStyle w:val="Heading1"/>
      </w:pPr>
      <w:r w:rsidRPr="000665B0">
        <w:t xml:space="preserve">The </w:t>
      </w:r>
      <w:r w:rsidRPr="000665B0">
        <w:rPr>
          <w:i/>
        </w:rPr>
        <w:t>Select Prohibited Areas</w:t>
      </w:r>
      <w:r w:rsidRPr="000665B0">
        <w:t xml:space="preserve"> window is displayed.</w:t>
      </w:r>
    </w:p>
    <w:p w14:paraId="3CDFBD03" w14:textId="0CB7FE39" w:rsidR="00283653" w:rsidRPr="000665B0" w:rsidRDefault="00881584" w:rsidP="009570CA">
      <w:pPr>
        <w:pStyle w:val="Number0205"/>
        <w:ind w:left="0" w:firstLine="0"/>
        <w:jc w:val="center"/>
      </w:pPr>
      <w:r w:rsidRPr="000665B0">
        <w:rPr>
          <w:noProof/>
        </w:rPr>
        <w:drawing>
          <wp:inline distT="0" distB="0" distL="0" distR="0" wp14:anchorId="4CF90E31" wp14:editId="32E5CDEB">
            <wp:extent cx="2514600" cy="2468880"/>
            <wp:effectExtent l="0" t="0" r="0" b="0"/>
            <wp:docPr id="1265" name="Picture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514600" cy="2468880"/>
                    </a:xfrm>
                    <a:prstGeom prst="rect">
                      <a:avLst/>
                    </a:prstGeom>
                  </pic:spPr>
                </pic:pic>
              </a:graphicData>
            </a:graphic>
          </wp:inline>
        </w:drawing>
      </w:r>
    </w:p>
    <w:p w14:paraId="6E62E238" w14:textId="3E5BC490" w:rsidR="00283653" w:rsidRPr="000665B0" w:rsidRDefault="00283653" w:rsidP="006D5A65">
      <w:pPr>
        <w:pStyle w:val="Heading1"/>
      </w:pPr>
      <w:r w:rsidRPr="000665B0">
        <w:t xml:space="preserve">Move the </w:t>
      </w:r>
      <w:r w:rsidR="00484742" w:rsidRPr="000665B0">
        <w:t xml:space="preserve">items </w:t>
      </w:r>
      <w:r w:rsidRPr="000665B0">
        <w:t xml:space="preserve">to/from the </w:t>
      </w:r>
      <w:r w:rsidRPr="000665B0">
        <w:rPr>
          <w:bCs/>
        </w:rPr>
        <w:t>Available Areas</w:t>
      </w:r>
      <w:r w:rsidRPr="000665B0">
        <w:t xml:space="preserve"> list box </w:t>
      </w:r>
      <w:r w:rsidR="005978C8" w:rsidRPr="000665B0">
        <w:t xml:space="preserve">to/from the Selected Areas list box </w:t>
      </w:r>
      <w:r w:rsidRPr="000665B0">
        <w:t xml:space="preserve">by selecting the area(s) and clicking the </w:t>
      </w:r>
      <w:r w:rsidRPr="000665B0">
        <w:rPr>
          <w:bCs/>
        </w:rPr>
        <w:t>Add -&gt;</w:t>
      </w:r>
      <w:r w:rsidRPr="000665B0">
        <w:t xml:space="preserve"> or </w:t>
      </w:r>
      <w:r w:rsidRPr="000665B0">
        <w:rPr>
          <w:bCs/>
        </w:rPr>
        <w:t>&lt;- Remove</w:t>
      </w:r>
      <w:r w:rsidRPr="000665B0">
        <w:t xml:space="preserve"> button.</w:t>
      </w:r>
    </w:p>
    <w:p w14:paraId="628D7F25" w14:textId="77777777" w:rsidR="00283653" w:rsidRPr="000665B0" w:rsidRDefault="00283653" w:rsidP="006D5A65">
      <w:pPr>
        <w:pStyle w:val="Heading1"/>
      </w:pPr>
      <w:r w:rsidRPr="000665B0">
        <w:t xml:space="preserve">To add all areas, click on the </w:t>
      </w:r>
      <w:r w:rsidRPr="000665B0">
        <w:rPr>
          <w:bCs/>
        </w:rPr>
        <w:t>Add All -&gt;&gt;</w:t>
      </w:r>
      <w:r w:rsidRPr="000665B0">
        <w:t xml:space="preserve"> button. To remove all areas, click on the </w:t>
      </w:r>
      <w:r w:rsidRPr="000665B0">
        <w:rPr>
          <w:bCs/>
        </w:rPr>
        <w:t>&lt;&lt;- Remove All</w:t>
      </w:r>
      <w:r w:rsidRPr="000665B0">
        <w:t xml:space="preserve"> button. </w:t>
      </w:r>
    </w:p>
    <w:p w14:paraId="69539192" w14:textId="77777777" w:rsidR="00283653" w:rsidRPr="000665B0" w:rsidRDefault="00283653" w:rsidP="006D5A65">
      <w:pPr>
        <w:pStyle w:val="Heading1"/>
      </w:pPr>
      <w:r w:rsidRPr="000665B0">
        <w:t xml:space="preserve">If it becomes necessary to revert back to the original state, click the </w:t>
      </w:r>
      <w:r w:rsidRPr="000665B0">
        <w:rPr>
          <w:bCs/>
        </w:rPr>
        <w:t xml:space="preserve">Restore </w:t>
      </w:r>
      <w:r w:rsidRPr="000665B0">
        <w:t>button.</w:t>
      </w:r>
      <w:r w:rsidR="000E7970" w:rsidRPr="000665B0">
        <w:t xml:space="preserve"> Click Cancel to cancel the selection process and return to the previous window.</w:t>
      </w:r>
      <w:r w:rsidR="005978C8" w:rsidRPr="000665B0">
        <w:t xml:space="preserve"> </w:t>
      </w:r>
    </w:p>
    <w:p w14:paraId="460473CB" w14:textId="7171BE67" w:rsidR="00283653" w:rsidRPr="000665B0" w:rsidRDefault="00283653" w:rsidP="006D5A65">
      <w:pPr>
        <w:pStyle w:val="Heading1"/>
      </w:pPr>
      <w:r w:rsidRPr="000665B0">
        <w:t xml:space="preserve">Click </w:t>
      </w:r>
      <w:r w:rsidRPr="000665B0">
        <w:rPr>
          <w:bCs/>
        </w:rPr>
        <w:t>OK</w:t>
      </w:r>
      <w:r w:rsidRPr="000665B0">
        <w:t xml:space="preserve"> when all configurations have been completed.</w:t>
      </w:r>
      <w:r w:rsidR="00383203" w:rsidRPr="000665B0">
        <w:t xml:space="preserve"> The selected area(s) is displayed.</w:t>
      </w:r>
    </w:p>
    <w:p w14:paraId="33DAFFD9" w14:textId="09A08409" w:rsidR="005978C8" w:rsidRPr="000665B0" w:rsidRDefault="00881584" w:rsidP="009570CA">
      <w:pPr>
        <w:pStyle w:val="Number0205"/>
        <w:ind w:left="0" w:firstLine="0"/>
        <w:jc w:val="center"/>
      </w:pPr>
      <w:r w:rsidRPr="000665B0">
        <w:rPr>
          <w:noProof/>
        </w:rPr>
        <w:drawing>
          <wp:inline distT="0" distB="0" distL="0" distR="0" wp14:anchorId="2CA26729" wp14:editId="5CCEF3D2">
            <wp:extent cx="3981109" cy="2659380"/>
            <wp:effectExtent l="0" t="0" r="0" b="0"/>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990340" cy="2665546"/>
                    </a:xfrm>
                    <a:prstGeom prst="rect">
                      <a:avLst/>
                    </a:prstGeom>
                  </pic:spPr>
                </pic:pic>
              </a:graphicData>
            </a:graphic>
          </wp:inline>
        </w:drawing>
      </w:r>
    </w:p>
    <w:p w14:paraId="7395FE26" w14:textId="77777777" w:rsidR="00A97B30" w:rsidRPr="000665B0" w:rsidRDefault="001E4A59" w:rsidP="006D5A65">
      <w:pPr>
        <w:pStyle w:val="Heading1"/>
      </w:pPr>
      <w:r w:rsidRPr="000665B0">
        <w:lastRenderedPageBreak/>
        <w:t xml:space="preserve">Click the Run Analysis </w:t>
      </w:r>
      <w:r w:rsidRPr="000665B0">
        <w:rPr>
          <w:noProof/>
        </w:rPr>
        <w:drawing>
          <wp:inline distT="0" distB="0" distL="0" distR="0" wp14:anchorId="0078FD47" wp14:editId="3583246E">
            <wp:extent cx="152400" cy="152400"/>
            <wp:effectExtent l="19050" t="0" r="0" b="0"/>
            <wp:docPr id="180" name="Picture 180" descr="Execute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ExecuteQuery"/>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button. </w:t>
      </w:r>
    </w:p>
    <w:p w14:paraId="5BE9E40B" w14:textId="40B0BC5B" w:rsidR="004900B3" w:rsidRPr="000665B0" w:rsidRDefault="004900B3" w:rsidP="006D5A65">
      <w:pPr>
        <w:pStyle w:val="Heading1"/>
      </w:pPr>
      <w:r w:rsidRPr="000665B0">
        <w:t xml:space="preserve">The </w:t>
      </w:r>
      <w:r w:rsidRPr="000665B0">
        <w:rPr>
          <w:i/>
        </w:rPr>
        <w:t>Prohibited Area Deconfliction – [Mission Library Name]</w:t>
      </w:r>
      <w:r w:rsidRPr="000665B0">
        <w:t xml:space="preserve"> window is displayed. By default, the Geographic display on the right side of the results window is disabled. To enable the Geo Display, select View </w:t>
      </w:r>
      <w:r w:rsidRPr="000665B0">
        <w:sym w:font="Wingdings" w:char="F0E0"/>
      </w:r>
      <w:r w:rsidRPr="000665B0">
        <w:t xml:space="preserve"> Geo (toggle the Geo Display on/off using the View menu). Alternatively, select one or more missions in the list view, invoke the context menu and select Display Geographically.</w:t>
      </w:r>
    </w:p>
    <w:p w14:paraId="5C43DB3C" w14:textId="7360F5EC" w:rsidR="001E4A59" w:rsidRPr="000665B0" w:rsidRDefault="001E4A59" w:rsidP="006D5A65">
      <w:pPr>
        <w:pStyle w:val="Heading1"/>
      </w:pPr>
      <w:r w:rsidRPr="000665B0">
        <w:t>The example below shows results of selecting Missions that violate Prohibited Areas and Prohibited Areas in ACMS Library.</w:t>
      </w:r>
      <w:r w:rsidR="006E6AFE" w:rsidRPr="000665B0">
        <w:t xml:space="preserve"> </w:t>
      </w:r>
    </w:p>
    <w:p w14:paraId="323E6823" w14:textId="6DF61101" w:rsidR="001E4A59" w:rsidRPr="000665B0" w:rsidRDefault="00881584" w:rsidP="009570CA">
      <w:pPr>
        <w:pStyle w:val="Number0205"/>
        <w:ind w:left="0" w:firstLine="0"/>
        <w:jc w:val="center"/>
      </w:pPr>
      <w:r w:rsidRPr="000665B0">
        <w:rPr>
          <w:noProof/>
        </w:rPr>
        <w:drawing>
          <wp:inline distT="0" distB="0" distL="0" distR="0" wp14:anchorId="69DE7CF2" wp14:editId="0386FCB3">
            <wp:extent cx="2959036" cy="2914650"/>
            <wp:effectExtent l="0" t="0" r="0" b="0"/>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965542" cy="2921059"/>
                    </a:xfrm>
                    <a:prstGeom prst="rect">
                      <a:avLst/>
                    </a:prstGeom>
                  </pic:spPr>
                </pic:pic>
              </a:graphicData>
            </a:graphic>
          </wp:inline>
        </w:drawing>
      </w:r>
    </w:p>
    <w:p w14:paraId="1F2DCA4D" w14:textId="6251E8E9" w:rsidR="00A07465" w:rsidRPr="000665B0" w:rsidRDefault="00A07465" w:rsidP="006D5A65">
      <w:pPr>
        <w:pStyle w:val="Heading1"/>
      </w:pPr>
      <w:r w:rsidRPr="000665B0">
        <w:lastRenderedPageBreak/>
        <w:t>The example below shows results of selecting Missions that violate Prohibited Areas and Prohibited Areas in List.</w:t>
      </w:r>
    </w:p>
    <w:p w14:paraId="3AB6BFAB" w14:textId="13F734FF" w:rsidR="00A97B30" w:rsidRPr="000665B0" w:rsidRDefault="00881584" w:rsidP="009570CA">
      <w:pPr>
        <w:jc w:val="center"/>
      </w:pPr>
      <w:r w:rsidRPr="000665B0">
        <w:rPr>
          <w:noProof/>
        </w:rPr>
        <w:drawing>
          <wp:inline distT="0" distB="0" distL="0" distR="0" wp14:anchorId="63A05911" wp14:editId="1685F9E3">
            <wp:extent cx="2981325" cy="2936606"/>
            <wp:effectExtent l="0" t="0" r="0" b="0"/>
            <wp:docPr id="1356" name="Picture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987387" cy="2942577"/>
                    </a:xfrm>
                    <a:prstGeom prst="rect">
                      <a:avLst/>
                    </a:prstGeom>
                  </pic:spPr>
                </pic:pic>
              </a:graphicData>
            </a:graphic>
          </wp:inline>
        </w:drawing>
      </w:r>
    </w:p>
    <w:p w14:paraId="0FE3D8D8" w14:textId="77777777" w:rsidR="006E6AFE" w:rsidRPr="000665B0" w:rsidRDefault="006E6AFE" w:rsidP="006D5A65">
      <w:pPr>
        <w:pStyle w:val="Heading1"/>
      </w:pPr>
      <w:r w:rsidRPr="000665B0">
        <w:t xml:space="preserve">The example below shows results of selecting Missions that do not violate Prohibited Areas and Prohibited Areas in ACMS Library. </w:t>
      </w:r>
      <w:r w:rsidR="00781699" w:rsidRPr="000665B0">
        <w:t>The list view</w:t>
      </w:r>
      <w:r w:rsidR="00CA4651" w:rsidRPr="000665B0">
        <w:t xml:space="preserve"> displays missions that do not violate any of the prohibited areas. It</w:t>
      </w:r>
      <w:r w:rsidR="00781699" w:rsidRPr="000665B0">
        <w:t xml:space="preserve"> does not contain any ACMS Names because these are non-violations. </w:t>
      </w:r>
    </w:p>
    <w:p w14:paraId="33028227" w14:textId="0DB8E831" w:rsidR="006E6AFE" w:rsidRPr="000665B0" w:rsidRDefault="00881584" w:rsidP="009570CA">
      <w:pPr>
        <w:pStyle w:val="Number0205"/>
        <w:ind w:left="0" w:firstLine="0"/>
        <w:jc w:val="center"/>
      </w:pPr>
      <w:r w:rsidRPr="000665B0">
        <w:rPr>
          <w:noProof/>
        </w:rPr>
        <w:drawing>
          <wp:inline distT="0" distB="0" distL="0" distR="0" wp14:anchorId="649D5363" wp14:editId="193FB58C">
            <wp:extent cx="3039901" cy="3518685"/>
            <wp:effectExtent l="0" t="0" r="0" b="0"/>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044687" cy="3524225"/>
                    </a:xfrm>
                    <a:prstGeom prst="rect">
                      <a:avLst/>
                    </a:prstGeom>
                  </pic:spPr>
                </pic:pic>
              </a:graphicData>
            </a:graphic>
          </wp:inline>
        </w:drawing>
      </w:r>
    </w:p>
    <w:p w14:paraId="00CFE3E6" w14:textId="68F1595D" w:rsidR="001B3ADE" w:rsidRPr="000665B0" w:rsidRDefault="00A97B30" w:rsidP="006D5A65">
      <w:pPr>
        <w:pStyle w:val="Heading1"/>
      </w:pPr>
      <w:r w:rsidRPr="000665B0">
        <w:lastRenderedPageBreak/>
        <w:t>ACMS</w:t>
      </w:r>
      <w:r w:rsidR="00720A94" w:rsidRPr="000665B0">
        <w:t>s</w:t>
      </w:r>
      <w:r w:rsidRPr="000665B0">
        <w:t xml:space="preserve"> </w:t>
      </w:r>
      <w:r w:rsidR="00720A94" w:rsidRPr="000665B0">
        <w:t xml:space="preserve">and Missions </w:t>
      </w:r>
      <w:r w:rsidR="00CA4651" w:rsidRPr="000665B0">
        <w:t>in the list view</w:t>
      </w:r>
      <w:r w:rsidR="00720A94" w:rsidRPr="000665B0">
        <w:t xml:space="preserve"> may be displayed </w:t>
      </w:r>
      <w:r w:rsidRPr="000665B0">
        <w:t>textually</w:t>
      </w:r>
      <w:r w:rsidR="00720A94" w:rsidRPr="000665B0">
        <w:t xml:space="preserve">. Select the desired ACMS or Mission, invoke the context menu, and select Display </w:t>
      </w:r>
      <w:r w:rsidR="00720A94" w:rsidRPr="000665B0">
        <w:sym w:font="Wingdings 3" w:char="F07D"/>
      </w:r>
      <w:r w:rsidR="00720A94" w:rsidRPr="000665B0">
        <w:t xml:space="preserve">ACMS Textually or </w:t>
      </w:r>
      <w:r w:rsidR="006E6AFE" w:rsidRPr="000665B0">
        <w:t xml:space="preserve">Display </w:t>
      </w:r>
      <w:r w:rsidR="006E6AFE" w:rsidRPr="000665B0">
        <w:sym w:font="Wingdings 3" w:char="F07D"/>
      </w:r>
      <w:r w:rsidR="006E6AFE" w:rsidRPr="000665B0">
        <w:t xml:space="preserve"> </w:t>
      </w:r>
      <w:r w:rsidR="00720A94" w:rsidRPr="000665B0">
        <w:t xml:space="preserve">Mission Textually. For more information about the textual display of an ACMS, see </w:t>
      </w:r>
      <w:hyperlink w:anchor="_5.33.2__Display" w:history="1">
        <w:r w:rsidR="00720A94" w:rsidRPr="000665B0">
          <w:rPr>
            <w:rStyle w:val="Hyperlink"/>
          </w:rPr>
          <w:t xml:space="preserve">Section </w:t>
        </w:r>
        <w:r w:rsidR="004231CC">
          <w:rPr>
            <w:rStyle w:val="Hyperlink"/>
          </w:rPr>
          <w:t>5.29</w:t>
        </w:r>
        <w:r w:rsidR="00720A94" w:rsidRPr="000665B0">
          <w:rPr>
            <w:rStyle w:val="Hyperlink"/>
          </w:rPr>
          <w:t>.2</w:t>
        </w:r>
      </w:hyperlink>
      <w:r w:rsidR="00720A94" w:rsidRPr="000665B0">
        <w:t xml:space="preserve">. For more information about the textual display of a Mission, see </w:t>
      </w:r>
      <w:hyperlink w:anchor="_Display__Mission" w:history="1">
        <w:r w:rsidR="00720A94" w:rsidRPr="000665B0">
          <w:rPr>
            <w:rStyle w:val="Hyperlink"/>
          </w:rPr>
          <w:t>Section 5.</w:t>
        </w:r>
        <w:r w:rsidR="00C526BF" w:rsidRPr="000665B0">
          <w:rPr>
            <w:rStyle w:val="Hyperlink"/>
          </w:rPr>
          <w:t>5</w:t>
        </w:r>
        <w:r w:rsidR="00720A94" w:rsidRPr="000665B0">
          <w:rPr>
            <w:rStyle w:val="Hyperlink"/>
          </w:rPr>
          <w:t>.1</w:t>
        </w:r>
      </w:hyperlink>
      <w:r w:rsidR="00720A94" w:rsidRPr="000665B0">
        <w:t>.</w:t>
      </w:r>
    </w:p>
    <w:p w14:paraId="4266AC12" w14:textId="5DA5B7A2" w:rsidR="005D1A26" w:rsidRPr="000665B0" w:rsidRDefault="005D1A26" w:rsidP="009570CA">
      <w:pPr>
        <w:pStyle w:val="Heading3"/>
      </w:pPr>
      <w:bookmarkStart w:id="1926" w:name="_Toc214283267"/>
      <w:r w:rsidRPr="000665B0">
        <w:t>Find</w:t>
      </w:r>
      <w:bookmarkEnd w:id="1904"/>
      <w:bookmarkEnd w:id="1905"/>
      <w:bookmarkEnd w:id="1906"/>
      <w:bookmarkEnd w:id="1907"/>
      <w:bookmarkEnd w:id="1908"/>
      <w:bookmarkEnd w:id="1909"/>
      <w:bookmarkEnd w:id="1926"/>
    </w:p>
    <w:p w14:paraId="77E40D3F" w14:textId="6DBDBA2F" w:rsidR="005D1A26" w:rsidRPr="000665B0" w:rsidRDefault="00F02F03" w:rsidP="009570CA">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6161A9AF" w14:textId="77777777" w:rsidR="00C55F3A" w:rsidRPr="000665B0" w:rsidRDefault="00C55F3A" w:rsidP="009570CA">
      <w:pPr>
        <w:pStyle w:val="Heading3"/>
      </w:pPr>
      <w:bookmarkStart w:id="1927" w:name="_Toc214283268"/>
      <w:r w:rsidRPr="000665B0">
        <w:t>Plugin Tool</w:t>
      </w:r>
      <w:bookmarkEnd w:id="1927"/>
    </w:p>
    <w:p w14:paraId="699C2B5D" w14:textId="6C1F8BFD" w:rsidR="00C55F3A" w:rsidRPr="000665B0" w:rsidRDefault="00F02F03" w:rsidP="009570CA">
      <w:r w:rsidRPr="000665B0">
        <w:t>See</w:t>
      </w:r>
      <w:r w:rsidR="00C55F3A" w:rsidRPr="000665B0">
        <w:t xml:space="preserve"> </w:t>
      </w:r>
      <w:hyperlink w:anchor="_Plugin__Tool" w:history="1">
        <w:r w:rsidR="00C55F3A" w:rsidRPr="000665B0">
          <w:rPr>
            <w:rStyle w:val="Hyperlink"/>
          </w:rPr>
          <w:t>Section 5.2.5.2</w:t>
        </w:r>
      </w:hyperlink>
      <w:r w:rsidR="00C55F3A" w:rsidRPr="000665B0">
        <w:t>.</w:t>
      </w:r>
    </w:p>
    <w:p w14:paraId="02DD25F9" w14:textId="3982B504" w:rsidR="00A97B30" w:rsidRPr="000665B0" w:rsidRDefault="00A97B30" w:rsidP="009570CA">
      <w:pPr>
        <w:pStyle w:val="Heading3"/>
      </w:pPr>
      <w:bookmarkStart w:id="1928" w:name="_Toc214283269"/>
      <w:bookmarkStart w:id="1929" w:name="_Toc71955286"/>
      <w:bookmarkStart w:id="1930" w:name="_Toc96169899"/>
      <w:bookmarkStart w:id="1931" w:name="_Toc96233944"/>
      <w:bookmarkStart w:id="1932" w:name="_Toc112733373"/>
      <w:bookmarkStart w:id="1933" w:name="_Toc289328351"/>
      <w:bookmarkStart w:id="1934" w:name="_Toc312331774"/>
      <w:r w:rsidRPr="000665B0">
        <w:t>Select All</w:t>
      </w:r>
      <w:bookmarkEnd w:id="1928"/>
    </w:p>
    <w:p w14:paraId="79066D23" w14:textId="6AE69AF0" w:rsidR="00A97B30" w:rsidRPr="000665B0" w:rsidRDefault="00F02F03" w:rsidP="009570CA">
      <w:r w:rsidRPr="000665B0">
        <w:t>See</w:t>
      </w:r>
      <w:r w:rsidR="00A97B30" w:rsidRPr="000665B0">
        <w:t xml:space="preserve"> </w:t>
      </w:r>
      <w:hyperlink w:anchor="_5.2.2.1__Select_1" w:history="1">
        <w:r w:rsidR="00A97B30" w:rsidRPr="000665B0">
          <w:rPr>
            <w:rStyle w:val="Hyperlink"/>
          </w:rPr>
          <w:t>Section 5.2.2.1</w:t>
        </w:r>
      </w:hyperlink>
      <w:r w:rsidR="00A97B30" w:rsidRPr="000665B0">
        <w:t>.</w:t>
      </w:r>
    </w:p>
    <w:p w14:paraId="0695D3F4" w14:textId="66673B42" w:rsidR="00A97B30" w:rsidRPr="000665B0" w:rsidRDefault="00A97B30" w:rsidP="009570CA">
      <w:pPr>
        <w:pStyle w:val="Heading3"/>
      </w:pPr>
      <w:bookmarkStart w:id="1935" w:name="_Toc214283270"/>
      <w:r w:rsidRPr="000665B0">
        <w:t>Display All in Excel</w:t>
      </w:r>
      <w:bookmarkEnd w:id="1935"/>
    </w:p>
    <w:p w14:paraId="3CF0E1FA" w14:textId="52BE30C4" w:rsidR="00A97B30" w:rsidRPr="000665B0" w:rsidRDefault="00F02F03" w:rsidP="009570CA">
      <w:r w:rsidRPr="000665B0">
        <w:t>See</w:t>
      </w:r>
      <w:r w:rsidR="00A97B30" w:rsidRPr="000665B0">
        <w:t xml:space="preserve"> </w:t>
      </w:r>
      <w:hyperlink w:anchor="_5.2.1.2.1__Display_1" w:history="1">
        <w:r w:rsidR="00A97B30" w:rsidRPr="000665B0">
          <w:rPr>
            <w:rStyle w:val="Hyperlink"/>
          </w:rPr>
          <w:t>Section 5.2.1.2.1</w:t>
        </w:r>
      </w:hyperlink>
      <w:r w:rsidR="00A97B30" w:rsidRPr="000665B0">
        <w:t>.</w:t>
      </w:r>
    </w:p>
    <w:p w14:paraId="0019FF5A" w14:textId="215946E5" w:rsidR="00A97B30" w:rsidRPr="000665B0" w:rsidRDefault="00A97B30" w:rsidP="009570CA">
      <w:pPr>
        <w:pStyle w:val="Heading3"/>
      </w:pPr>
      <w:bookmarkStart w:id="1936" w:name="_Toc214283271"/>
      <w:r w:rsidRPr="000665B0">
        <w:t>Display References</w:t>
      </w:r>
      <w:bookmarkEnd w:id="1936"/>
    </w:p>
    <w:p w14:paraId="0065D6C6" w14:textId="6E56FFE6" w:rsidR="00A97B30" w:rsidRPr="000665B0" w:rsidRDefault="00F02F03" w:rsidP="009570CA">
      <w:pPr>
        <w:spacing w:after="0"/>
      </w:pPr>
      <w:r w:rsidRPr="000665B0">
        <w:t>See</w:t>
      </w:r>
      <w:r w:rsidR="00A97B30" w:rsidRPr="000665B0">
        <w:t xml:space="preserve"> </w:t>
      </w:r>
      <w:hyperlink w:anchor="_5.2.1.2.3__Display_1" w:history="1">
        <w:r w:rsidR="00A97B30" w:rsidRPr="000665B0">
          <w:rPr>
            <w:rStyle w:val="Hyperlink"/>
          </w:rPr>
          <w:t>Section 5.2.1.2.3</w:t>
        </w:r>
      </w:hyperlink>
      <w:r w:rsidR="00A97B30" w:rsidRPr="000665B0">
        <w:t>.</w:t>
      </w:r>
    </w:p>
    <w:p w14:paraId="5DED0A73" w14:textId="79017297" w:rsidR="00A97B30" w:rsidRPr="000665B0" w:rsidRDefault="00A97B30" w:rsidP="009570CA">
      <w:pPr>
        <w:pStyle w:val="Heading3"/>
      </w:pPr>
      <w:bookmarkStart w:id="1937" w:name="_Toc214283272"/>
      <w:r w:rsidRPr="000665B0">
        <w:t>Send</w:t>
      </w:r>
      <w:bookmarkEnd w:id="1937"/>
    </w:p>
    <w:p w14:paraId="69B6BF8B" w14:textId="22C34BBF" w:rsidR="00A97B30" w:rsidRPr="000665B0" w:rsidRDefault="00F02F03" w:rsidP="009570CA">
      <w:r w:rsidRPr="000665B0">
        <w:t>See</w:t>
      </w:r>
      <w:r w:rsidR="00A97B30" w:rsidRPr="000665B0">
        <w:t xml:space="preserve"> </w:t>
      </w:r>
      <w:hyperlink w:anchor="_5.2.1.4__Send_1" w:history="1">
        <w:r w:rsidR="00A97B30" w:rsidRPr="000665B0">
          <w:rPr>
            <w:rStyle w:val="Hyperlink"/>
          </w:rPr>
          <w:t>Section 5.2.1.4</w:t>
        </w:r>
      </w:hyperlink>
      <w:r w:rsidR="00A97B30" w:rsidRPr="000665B0">
        <w:t>.</w:t>
      </w:r>
    </w:p>
    <w:p w14:paraId="22DF33A8" w14:textId="4795FBEC" w:rsidR="005D1A26" w:rsidRPr="000665B0" w:rsidRDefault="005D1A26" w:rsidP="009570CA">
      <w:pPr>
        <w:pStyle w:val="Heading3"/>
      </w:pPr>
      <w:bookmarkStart w:id="1938" w:name="_Toc214283273"/>
      <w:r w:rsidRPr="000665B0">
        <w:t xml:space="preserve">Print </w:t>
      </w:r>
      <w:bookmarkEnd w:id="1929"/>
      <w:bookmarkEnd w:id="1930"/>
      <w:bookmarkEnd w:id="1931"/>
      <w:bookmarkEnd w:id="1932"/>
      <w:r w:rsidR="009C637B" w:rsidRPr="000665B0">
        <w:t>All</w:t>
      </w:r>
      <w:bookmarkEnd w:id="1933"/>
      <w:bookmarkEnd w:id="1934"/>
      <w:bookmarkEnd w:id="1938"/>
    </w:p>
    <w:p w14:paraId="67CD66AE" w14:textId="0F66FF88" w:rsidR="005D1A26" w:rsidRPr="000665B0" w:rsidRDefault="00F02F03" w:rsidP="009570CA">
      <w:r w:rsidRPr="000665B0">
        <w:t>See</w:t>
      </w:r>
      <w:r w:rsidR="005D1A26" w:rsidRPr="000665B0">
        <w:t xml:space="preserve"> </w:t>
      </w:r>
      <w:hyperlink w:anchor="_5.2.1.5__Print" w:history="1">
        <w:r w:rsidR="005D1A26" w:rsidRPr="000665B0">
          <w:rPr>
            <w:rStyle w:val="Hyperlink"/>
          </w:rPr>
          <w:t>Section 5.2.1.</w:t>
        </w:r>
        <w:r w:rsidR="00B9720D" w:rsidRPr="000665B0">
          <w:rPr>
            <w:rStyle w:val="Hyperlink"/>
          </w:rPr>
          <w:t>5</w:t>
        </w:r>
      </w:hyperlink>
      <w:r w:rsidR="005D1A26" w:rsidRPr="000665B0">
        <w:t>.</w:t>
      </w:r>
    </w:p>
    <w:p w14:paraId="4DE91952" w14:textId="5FEE6A51" w:rsidR="00A97B30" w:rsidRPr="000665B0" w:rsidRDefault="00A97B30" w:rsidP="009570CA">
      <w:pPr>
        <w:pStyle w:val="Heading3"/>
      </w:pPr>
      <w:bookmarkStart w:id="1939" w:name="_Toc214283274"/>
      <w:bookmarkStart w:id="1940" w:name="_Toc71955287"/>
      <w:bookmarkStart w:id="1941" w:name="_Toc96169900"/>
      <w:bookmarkStart w:id="1942" w:name="_Toc96233945"/>
      <w:bookmarkStart w:id="1943" w:name="_Toc112733374"/>
      <w:bookmarkStart w:id="1944" w:name="_Toc289328352"/>
      <w:bookmarkStart w:id="1945" w:name="_Toc312331775"/>
      <w:r w:rsidRPr="000665B0">
        <w:t>Delete</w:t>
      </w:r>
      <w:bookmarkEnd w:id="1939"/>
    </w:p>
    <w:p w14:paraId="027D3F27" w14:textId="42158D3B" w:rsidR="00A97B30" w:rsidRPr="000665B0" w:rsidRDefault="00F02F03" w:rsidP="009570CA">
      <w:r w:rsidRPr="000665B0">
        <w:t>See</w:t>
      </w:r>
      <w:r w:rsidR="00A97B30" w:rsidRPr="000665B0">
        <w:t xml:space="preserve"> </w:t>
      </w:r>
      <w:hyperlink w:anchor="_5.2.1.6__Delete" w:history="1">
        <w:r w:rsidR="00A97B30" w:rsidRPr="000665B0">
          <w:rPr>
            <w:rStyle w:val="Hyperlink"/>
          </w:rPr>
          <w:t>Section 5.2.1.6</w:t>
        </w:r>
      </w:hyperlink>
      <w:r w:rsidR="00A97B30" w:rsidRPr="000665B0">
        <w:t>.</w:t>
      </w:r>
    </w:p>
    <w:p w14:paraId="587F5759" w14:textId="5871A09B" w:rsidR="004F7910" w:rsidRPr="000665B0" w:rsidRDefault="004F7910" w:rsidP="009570CA">
      <w:pPr>
        <w:pStyle w:val="Heading3"/>
      </w:pPr>
      <w:bookmarkStart w:id="1946" w:name="_Toc214283275"/>
      <w:bookmarkStart w:id="1947" w:name="_Toc71955288"/>
      <w:bookmarkStart w:id="1948" w:name="_Toc96169902"/>
      <w:bookmarkStart w:id="1949" w:name="_Toc96233947"/>
      <w:bookmarkStart w:id="1950" w:name="_Toc112733376"/>
      <w:bookmarkStart w:id="1951" w:name="_Toc289328354"/>
      <w:bookmarkStart w:id="1952" w:name="_Toc312331777"/>
      <w:bookmarkEnd w:id="1940"/>
      <w:bookmarkEnd w:id="1941"/>
      <w:bookmarkEnd w:id="1942"/>
      <w:bookmarkEnd w:id="1943"/>
      <w:bookmarkEnd w:id="1944"/>
      <w:bookmarkEnd w:id="1945"/>
      <w:r w:rsidRPr="000665B0">
        <w:t>Receive File</w:t>
      </w:r>
      <w:bookmarkEnd w:id="1946"/>
    </w:p>
    <w:p w14:paraId="2846DBA8" w14:textId="29714F09" w:rsidR="004F7910" w:rsidRPr="000665B0" w:rsidRDefault="00F02F03" w:rsidP="009570CA">
      <w:r w:rsidRPr="000665B0">
        <w:t>See</w:t>
      </w:r>
      <w:r w:rsidR="004F7910" w:rsidRPr="000665B0">
        <w:t xml:space="preserve"> </w:t>
      </w:r>
      <w:hyperlink w:anchor="_5.2.1.7__Receive" w:history="1">
        <w:r w:rsidR="004F7910" w:rsidRPr="000665B0">
          <w:rPr>
            <w:rStyle w:val="Hyperlink"/>
          </w:rPr>
          <w:t>Section 5.2.1.7</w:t>
        </w:r>
      </w:hyperlink>
      <w:r w:rsidR="004F7910" w:rsidRPr="000665B0">
        <w:t>.</w:t>
      </w:r>
    </w:p>
    <w:p w14:paraId="49228011" w14:textId="1A2B4BD4" w:rsidR="005D1A26" w:rsidRPr="000665B0" w:rsidRDefault="005D1A26" w:rsidP="009570CA">
      <w:pPr>
        <w:pStyle w:val="Heading3"/>
      </w:pPr>
      <w:bookmarkStart w:id="1953" w:name="_Toc96169903"/>
      <w:bookmarkStart w:id="1954" w:name="_Toc96233948"/>
      <w:bookmarkStart w:id="1955" w:name="_Toc112733377"/>
      <w:bookmarkStart w:id="1956" w:name="_Toc289328355"/>
      <w:bookmarkStart w:id="1957" w:name="_Toc312331778"/>
      <w:bookmarkStart w:id="1958" w:name="_Toc214283276"/>
      <w:bookmarkEnd w:id="1947"/>
      <w:bookmarkEnd w:id="1948"/>
      <w:bookmarkEnd w:id="1949"/>
      <w:bookmarkEnd w:id="1950"/>
      <w:bookmarkEnd w:id="1951"/>
      <w:bookmarkEnd w:id="1952"/>
      <w:r w:rsidRPr="000665B0">
        <w:t>Properties</w:t>
      </w:r>
      <w:bookmarkEnd w:id="1953"/>
      <w:bookmarkEnd w:id="1954"/>
      <w:bookmarkEnd w:id="1955"/>
      <w:bookmarkEnd w:id="1956"/>
      <w:bookmarkEnd w:id="1957"/>
      <w:bookmarkEnd w:id="1958"/>
    </w:p>
    <w:p w14:paraId="4B97F6CC" w14:textId="28E28237" w:rsidR="005D1A26" w:rsidRPr="000665B0" w:rsidRDefault="00F02F03" w:rsidP="009570CA">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1FE3DC29" w14:textId="0A08BE9D" w:rsidR="005D1A26" w:rsidRPr="000665B0" w:rsidRDefault="005D1A26" w:rsidP="009570CA">
      <w:pPr>
        <w:pStyle w:val="Heading3"/>
      </w:pPr>
      <w:bookmarkStart w:id="1959" w:name="_Toc96169904"/>
      <w:bookmarkStart w:id="1960" w:name="_Toc96233949"/>
      <w:bookmarkStart w:id="1961" w:name="_Toc112733378"/>
      <w:bookmarkStart w:id="1962" w:name="_Toc289328356"/>
      <w:bookmarkStart w:id="1963" w:name="_Toc312331779"/>
      <w:bookmarkStart w:id="1964" w:name="_Toc214283277"/>
      <w:r w:rsidRPr="000665B0">
        <w:lastRenderedPageBreak/>
        <w:t>Sort</w:t>
      </w:r>
      <w:bookmarkEnd w:id="1959"/>
      <w:bookmarkEnd w:id="1960"/>
      <w:bookmarkEnd w:id="1961"/>
      <w:bookmarkEnd w:id="1962"/>
      <w:bookmarkEnd w:id="1963"/>
      <w:bookmarkEnd w:id="1964"/>
    </w:p>
    <w:p w14:paraId="0381C187" w14:textId="60436E50" w:rsidR="005D1A26" w:rsidRPr="000665B0" w:rsidRDefault="00F02F03" w:rsidP="009570CA">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4160CEDF" w14:textId="77777777" w:rsidR="00A316EA" w:rsidRDefault="00A316EA" w:rsidP="006966D9">
      <w:pPr>
        <w:pStyle w:val="Heading2"/>
        <w:rPr>
          <w:rStyle w:val="Heading2Char"/>
        </w:rPr>
      </w:pPr>
      <w:bookmarkStart w:id="1965" w:name="_5.13_REPORTS"/>
      <w:bookmarkStart w:id="1966" w:name="_5.12__REPORTS"/>
      <w:bookmarkStart w:id="1967" w:name="_5.14__REPORTS"/>
      <w:bookmarkStart w:id="1968" w:name="_5.13__PLATFORMS_TOOL"/>
      <w:bookmarkStart w:id="1969" w:name="_5.15__PLATFORMS_TOOL"/>
      <w:bookmarkStart w:id="1970" w:name="_Toc71955299"/>
      <w:bookmarkStart w:id="1971" w:name="_Toc96169905"/>
      <w:bookmarkStart w:id="1972" w:name="_Toc96233950"/>
      <w:bookmarkStart w:id="1973" w:name="_Toc112733379"/>
      <w:bookmarkEnd w:id="1965"/>
      <w:bookmarkEnd w:id="1966"/>
      <w:bookmarkEnd w:id="1967"/>
      <w:bookmarkEnd w:id="1968"/>
      <w:bookmarkEnd w:id="1969"/>
      <w:r>
        <w:br w:type="page"/>
      </w:r>
      <w:bookmarkStart w:id="1974" w:name="_Toc214283278"/>
      <w:bookmarkStart w:id="1975" w:name="_Toc289328357"/>
      <w:bookmarkStart w:id="1976" w:name="_Toc312331780"/>
      <w:r w:rsidR="0069163A">
        <w:lastRenderedPageBreak/>
        <w:t>PLATFORM MANAGEMENT TOOL</w:t>
      </w:r>
      <w:bookmarkEnd w:id="1974"/>
    </w:p>
    <w:p w14:paraId="30DD5683" w14:textId="619A67EC" w:rsidR="0069163A" w:rsidRDefault="0024294A" w:rsidP="009570CA">
      <w:pPr>
        <w:pStyle w:val="Heading3"/>
      </w:pPr>
      <w:bookmarkStart w:id="1977" w:name="_Toc340752198"/>
      <w:bookmarkStart w:id="1978" w:name="_Toc476569031"/>
      <w:bookmarkStart w:id="1979" w:name="_Toc165532019"/>
      <w:bookmarkStart w:id="1980" w:name="_Toc214283279"/>
      <w:bookmarkStart w:id="1981" w:name="_Toc302660140"/>
      <w:bookmarkStart w:id="1982" w:name="_Toc340752246"/>
      <w:r>
        <w:t>Basic User Interface and Conventions</w:t>
      </w:r>
      <w:bookmarkEnd w:id="1977"/>
      <w:bookmarkEnd w:id="1978"/>
      <w:bookmarkEnd w:id="1979"/>
      <w:bookmarkEnd w:id="1980"/>
    </w:p>
    <w:p w14:paraId="364CB143" w14:textId="70E8B7C5" w:rsidR="0069163A" w:rsidRDefault="0024294A" w:rsidP="009570CA">
      <w:pPr>
        <w:pStyle w:val="Heading4"/>
      </w:pPr>
      <w:bookmarkStart w:id="1983" w:name="_Toc302660103"/>
      <w:bookmarkStart w:id="1984" w:name="_Toc340752199"/>
      <w:bookmarkStart w:id="1985" w:name="_Toc476569032"/>
      <w:bookmarkStart w:id="1986" w:name="_Toc165532020"/>
      <w:r>
        <w:t>Basic PMT UI Conventions</w:t>
      </w:r>
      <w:bookmarkEnd w:id="1983"/>
      <w:bookmarkEnd w:id="1984"/>
      <w:bookmarkEnd w:id="1985"/>
      <w:bookmarkEnd w:id="1986"/>
    </w:p>
    <w:p w14:paraId="373930BB" w14:textId="34C60467" w:rsidR="0069163A" w:rsidRDefault="0069163A" w:rsidP="009570CA">
      <w:r>
        <w:t xml:space="preserve">The </w:t>
      </w:r>
      <w:r w:rsidR="0024294A">
        <w:t xml:space="preserve">Platform Management </w:t>
      </w:r>
      <w:r w:rsidR="0024294A" w:rsidRPr="00FD7E87">
        <w:t>Tool (</w:t>
      </w:r>
      <w:r w:rsidRPr="00FD7E87">
        <w:t>PMT</w:t>
      </w:r>
      <w:r w:rsidR="0024294A" w:rsidRPr="00FD7E87">
        <w:t>)</w:t>
      </w:r>
      <w:r>
        <w:t xml:space="preserve"> application runs in a browser such as Google Chrome. Since the application is a web application, some conventions are different than what might be found in a Windows application. Web applications provide the user with the ability to refresh a page by pressing </w:t>
      </w:r>
      <w:r>
        <w:rPr>
          <w:b/>
        </w:rPr>
        <w:t>F5</w:t>
      </w:r>
      <w:r>
        <w:t xml:space="preserve"> or the ability to toggle back and forth between pages. </w:t>
      </w:r>
    </w:p>
    <w:p w14:paraId="280F4429" w14:textId="77777777" w:rsidR="0069163A" w:rsidRDefault="0069163A" w:rsidP="009570CA">
      <w:pPr>
        <w:pStyle w:val="Heading5"/>
      </w:pPr>
      <w:bookmarkStart w:id="1987" w:name="_Basic_Page_Features"/>
      <w:bookmarkStart w:id="1988" w:name="_Toc165532021"/>
      <w:bookmarkStart w:id="1989" w:name="_Toc476569033"/>
      <w:bookmarkStart w:id="1990" w:name="_Toc340752200"/>
      <w:bookmarkStart w:id="1991" w:name="_Toc302660104"/>
      <w:bookmarkEnd w:id="1987"/>
      <w:r>
        <w:t>Basic Page Features</w:t>
      </w:r>
      <w:bookmarkEnd w:id="1988"/>
      <w:bookmarkEnd w:id="1989"/>
      <w:bookmarkEnd w:id="1990"/>
      <w:bookmarkEnd w:id="1991"/>
    </w:p>
    <w:p w14:paraId="6CB6A4A5" w14:textId="24E2B4B0" w:rsidR="0069163A" w:rsidRDefault="002E4C6A" w:rsidP="009570CA">
      <w:pPr>
        <w:jc w:val="center"/>
        <w:rPr>
          <w:noProof/>
        </w:rPr>
      </w:pPr>
      <w:r>
        <w:rPr>
          <w:noProof/>
        </w:rPr>
        <w:drawing>
          <wp:inline distT="0" distB="0" distL="0" distR="0" wp14:anchorId="3EA9B516" wp14:editId="44634A25">
            <wp:extent cx="4983480" cy="3063240"/>
            <wp:effectExtent l="0" t="0" r="0" b="0"/>
            <wp:docPr id="46839968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99689" name="Picture 1" descr="Graphical user interface, application&#10;&#10;Description automatically generated"/>
                    <pic:cNvPicPr/>
                  </pic:nvPicPr>
                  <pic:blipFill>
                    <a:blip/>
                    <a:stretch>
                      <a:fillRect/>
                    </a:stretch>
                  </pic:blipFill>
                  <pic:spPr>
                    <a:xfrm>
                      <a:off x="0" y="0"/>
                      <a:ext cx="4983480" cy="3063240"/>
                    </a:xfrm>
                    <a:prstGeom prst="rect">
                      <a:avLst/>
                    </a:prstGeom>
                  </pic:spPr>
                </pic:pic>
              </a:graphicData>
            </a:graphic>
          </wp:inline>
        </w:drawing>
      </w:r>
    </w:p>
    <w:p w14:paraId="35D74048" w14:textId="77777777" w:rsidR="0069163A" w:rsidRDefault="0069163A" w:rsidP="006D5A65">
      <w:pPr>
        <w:pStyle w:val="Heading1"/>
      </w:pPr>
      <w:r>
        <w:rPr>
          <w:bCs/>
        </w:rPr>
        <w:t>Main Menu</w:t>
      </w:r>
      <w:r>
        <w:t xml:space="preserve"> – The Main Menu is labelled as PLATFORM MANAGEMENT and options are displayed on the right side and is always visible in PMT. </w:t>
      </w:r>
    </w:p>
    <w:p w14:paraId="1DC9EB31" w14:textId="3E03B409" w:rsidR="0069163A" w:rsidRDefault="005119E1" w:rsidP="009570CA">
      <w:pPr>
        <w:spacing w:before="120"/>
        <w:jc w:val="center"/>
      </w:pPr>
      <w:r>
        <w:rPr>
          <w:noProof/>
        </w:rPr>
        <w:drawing>
          <wp:inline distT="0" distB="0" distL="0" distR="0" wp14:anchorId="5698BA78" wp14:editId="415E621E">
            <wp:extent cx="2419350" cy="495300"/>
            <wp:effectExtent l="0" t="0" r="0" b="0"/>
            <wp:docPr id="209407340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73401" name="Picture 1" descr="Icon&#10;&#10;Description automatically generated"/>
                    <pic:cNvPicPr/>
                  </pic:nvPicPr>
                  <pic:blipFill>
                    <a:blip/>
                    <a:stretch>
                      <a:fillRect/>
                    </a:stretch>
                  </pic:blipFill>
                  <pic:spPr>
                    <a:xfrm>
                      <a:off x="0" y="0"/>
                      <a:ext cx="2419350" cy="495300"/>
                    </a:xfrm>
                    <a:prstGeom prst="rect">
                      <a:avLst/>
                    </a:prstGeom>
                  </pic:spPr>
                </pic:pic>
              </a:graphicData>
            </a:graphic>
          </wp:inline>
        </w:drawing>
      </w:r>
    </w:p>
    <w:p w14:paraId="665072E4" w14:textId="1933B4D6" w:rsidR="0069163A" w:rsidRDefault="0069163A" w:rsidP="006D5A65">
      <w:pPr>
        <w:pStyle w:val="Heading1"/>
      </w:pPr>
      <w:r>
        <w:rPr>
          <w:bCs/>
        </w:rPr>
        <w:t>Windows Layout</w:t>
      </w:r>
      <w:r>
        <w:t xml:space="preserve"> </w:t>
      </w:r>
      <w:r w:rsidR="00581814">
        <w:rPr>
          <w:noProof/>
        </w:rPr>
        <w:drawing>
          <wp:inline distT="0" distB="0" distL="0" distR="0" wp14:anchorId="10F4A4DF" wp14:editId="1465BDE1">
            <wp:extent cx="274955" cy="173355"/>
            <wp:effectExtent l="0" t="0" r="0" b="0"/>
            <wp:docPr id="172196595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74955" cy="173355"/>
                    </a:xfrm>
                    <a:prstGeom prst="rect">
                      <a:avLst/>
                    </a:prstGeom>
                    <a:noFill/>
                    <a:ln>
                      <a:noFill/>
                    </a:ln>
                  </pic:spPr>
                </pic:pic>
              </a:graphicData>
            </a:graphic>
          </wp:inline>
        </w:drawing>
      </w:r>
      <w:r w:rsidR="00581814">
        <w:t xml:space="preserve"> </w:t>
      </w:r>
      <w:r>
        <w:t>–</w:t>
      </w:r>
      <w:r w:rsidR="009E3073">
        <w:t xml:space="preserve"> </w:t>
      </w:r>
      <w:r>
        <w:t xml:space="preserve">When this icon is selected, </w:t>
      </w:r>
      <w:r w:rsidR="00C951DE">
        <w:t xml:space="preserve">the </w:t>
      </w:r>
      <w:r>
        <w:t xml:space="preserve">user is presented with the following options for </w:t>
      </w:r>
      <w:r w:rsidR="00C951DE">
        <w:t xml:space="preserve">the </w:t>
      </w:r>
      <w:r>
        <w:t xml:space="preserve">desired windows layout. When </w:t>
      </w:r>
      <w:r w:rsidR="00C951DE">
        <w:t xml:space="preserve">the </w:t>
      </w:r>
      <w:r>
        <w:t xml:space="preserve">layout consists </w:t>
      </w:r>
      <w:r w:rsidR="00C951DE">
        <w:t xml:space="preserve">of </w:t>
      </w:r>
      <w:r>
        <w:t>only two rectangles,</w:t>
      </w:r>
      <w:r w:rsidR="00C951DE">
        <w:t xml:space="preserve"> the</w:t>
      </w:r>
      <w:r>
        <w:t xml:space="preserve"> </w:t>
      </w:r>
      <w:r w:rsidRPr="00FE6491">
        <w:rPr>
          <w:i/>
          <w:iCs/>
        </w:rPr>
        <w:t>Platforms</w:t>
      </w:r>
      <w:r>
        <w:t xml:space="preserve"> window always is displayed on the left or on the top of the layout. When the layout option is in three sections,</w:t>
      </w:r>
      <w:r w:rsidR="00C951DE">
        <w:t xml:space="preserve"> the</w:t>
      </w:r>
      <w:r>
        <w:t xml:space="preserve"> </w:t>
      </w:r>
      <w:r w:rsidRPr="00FE6491">
        <w:rPr>
          <w:i/>
          <w:iCs/>
        </w:rPr>
        <w:t>Platform</w:t>
      </w:r>
      <w:r w:rsidR="00FE6491">
        <w:rPr>
          <w:i/>
          <w:iCs/>
        </w:rPr>
        <w:t>s</w:t>
      </w:r>
      <w:r>
        <w:t xml:space="preserve"> window is always displayed in the single larger rectangle.</w:t>
      </w:r>
      <w:r w:rsidR="00C951DE">
        <w:t xml:space="preserve"> The</w:t>
      </w:r>
      <w:r w:rsidRPr="00FE6491">
        <w:rPr>
          <w:i/>
          <w:iCs/>
        </w:rPr>
        <w:t xml:space="preserve"> Nodes</w:t>
      </w:r>
      <w:r>
        <w:t xml:space="preserve"> and </w:t>
      </w:r>
      <w:r w:rsidRPr="00FE6491">
        <w:rPr>
          <w:i/>
          <w:iCs/>
        </w:rPr>
        <w:t>Task Organization</w:t>
      </w:r>
      <w:r>
        <w:t xml:space="preserve"> windows are displayed in the remaining two smaller rectangles. When the layout is </w:t>
      </w:r>
      <w:r w:rsidR="00C951DE">
        <w:t>a</w:t>
      </w:r>
      <w:r>
        <w:t xml:space="preserve"> </w:t>
      </w:r>
      <w:r w:rsidR="00C951DE">
        <w:t>four-quadrant</w:t>
      </w:r>
      <w:r>
        <w:t xml:space="preserve"> configuration,</w:t>
      </w:r>
      <w:r w:rsidR="00C951DE">
        <w:t xml:space="preserve"> the</w:t>
      </w:r>
      <w:r>
        <w:t xml:space="preserve"> </w:t>
      </w:r>
      <w:r w:rsidRPr="00FE6491">
        <w:rPr>
          <w:i/>
          <w:iCs/>
        </w:rPr>
        <w:t>Platforms</w:t>
      </w:r>
      <w:r>
        <w:t xml:space="preserve"> </w:t>
      </w:r>
      <w:r>
        <w:lastRenderedPageBreak/>
        <w:t>window is always display</w:t>
      </w:r>
      <w:r w:rsidR="00C951DE">
        <w:t>ed</w:t>
      </w:r>
      <w:r>
        <w:t xml:space="preserve"> in the top left corner of the quadrant. Whichever window, </w:t>
      </w:r>
      <w:r w:rsidRPr="00FE6491">
        <w:rPr>
          <w:i/>
          <w:iCs/>
        </w:rPr>
        <w:t>Own Node</w:t>
      </w:r>
      <w:r>
        <w:t xml:space="preserve"> </w:t>
      </w:r>
      <w:r w:rsidRPr="00FE6491">
        <w:t>or</w:t>
      </w:r>
      <w:r w:rsidRPr="00FE6491">
        <w:rPr>
          <w:i/>
          <w:iCs/>
        </w:rPr>
        <w:t xml:space="preserve"> Task Organization</w:t>
      </w:r>
      <w:r>
        <w:t>, is displayed next, the window will display in the upper right corner quadrant first. Subsequent window</w:t>
      </w:r>
      <w:r w:rsidR="00C951DE">
        <w:t>s</w:t>
      </w:r>
      <w:r>
        <w:t xml:space="preserve"> display</w:t>
      </w:r>
      <w:r w:rsidR="00C951DE">
        <w:t>ed</w:t>
      </w:r>
      <w:r>
        <w:t xml:space="preserve"> will be in the lower left quadrant.</w:t>
      </w:r>
    </w:p>
    <w:p w14:paraId="54D07E01" w14:textId="46AA82E7" w:rsidR="005119E1" w:rsidRPr="005119E1" w:rsidRDefault="005119E1" w:rsidP="005119E1">
      <w:pPr>
        <w:spacing w:before="120"/>
        <w:jc w:val="center"/>
      </w:pPr>
      <w:r>
        <w:rPr>
          <w:noProof/>
        </w:rPr>
        <w:drawing>
          <wp:inline distT="0" distB="0" distL="0" distR="0" wp14:anchorId="41076201" wp14:editId="4782E4FA">
            <wp:extent cx="1111885" cy="2202180"/>
            <wp:effectExtent l="0" t="0" r="0" b="0"/>
            <wp:docPr id="116633971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39719" name="Picture 1" descr="Text&#10;&#10;Description automatically generated"/>
                    <pic:cNvPicPr/>
                  </pic:nvPicPr>
                  <pic:blipFill>
                    <a:blip/>
                    <a:stretch>
                      <a:fillRect/>
                    </a:stretch>
                  </pic:blipFill>
                  <pic:spPr>
                    <a:xfrm>
                      <a:off x="0" y="0"/>
                      <a:ext cx="1117381" cy="2213066"/>
                    </a:xfrm>
                    <a:prstGeom prst="rect">
                      <a:avLst/>
                    </a:prstGeom>
                  </pic:spPr>
                </pic:pic>
              </a:graphicData>
            </a:graphic>
          </wp:inline>
        </w:drawing>
      </w:r>
    </w:p>
    <w:p w14:paraId="41323CD1" w14:textId="09D706FC" w:rsidR="005119E1" w:rsidRDefault="005119E1" w:rsidP="006D5A65">
      <w:pPr>
        <w:pStyle w:val="Heading1"/>
      </w:pPr>
      <w:r>
        <w:rPr>
          <w:noProof/>
        </w:rPr>
        <w:drawing>
          <wp:inline distT="0" distB="0" distL="0" distR="0" wp14:anchorId="3F5402EE" wp14:editId="2A5CE65F">
            <wp:extent cx="247973" cy="207321"/>
            <wp:effectExtent l="0" t="0" r="0" b="0"/>
            <wp:docPr id="83404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43788" name="Picture 1"/>
                    <pic:cNvPicPr/>
                  </pic:nvPicPr>
                  <pic:blipFill>
                    <a:blip/>
                    <a:stretch>
                      <a:fillRect/>
                    </a:stretch>
                  </pic:blipFill>
                  <pic:spPr>
                    <a:xfrm>
                      <a:off x="0" y="0"/>
                      <a:ext cx="256667" cy="214590"/>
                    </a:xfrm>
                    <a:prstGeom prst="rect">
                      <a:avLst/>
                    </a:prstGeom>
                  </pic:spPr>
                </pic:pic>
              </a:graphicData>
            </a:graphic>
          </wp:inline>
        </w:drawing>
      </w:r>
      <w:r>
        <w:t xml:space="preserve"> </w:t>
      </w:r>
      <w:bookmarkStart w:id="1992" w:name="_Hlk171923644"/>
      <w:r>
        <w:t>Hovering cursor over the icon will cause a drop</w:t>
      </w:r>
      <w:r w:rsidR="009C727F">
        <w:t>-</w:t>
      </w:r>
      <w:r>
        <w:t>down menu to display.</w:t>
      </w:r>
      <w:bookmarkEnd w:id="1992"/>
    </w:p>
    <w:p w14:paraId="69920078" w14:textId="0786169F" w:rsidR="005119E1" w:rsidRPr="00410EA4" w:rsidRDefault="005119E1" w:rsidP="006D5A65">
      <w:pPr>
        <w:pStyle w:val="Heading1"/>
      </w:pPr>
      <w:r w:rsidRPr="00410EA4">
        <w:rPr>
          <w:bCs/>
        </w:rPr>
        <w:t>Username</w:t>
      </w:r>
      <w:r>
        <w:t xml:space="preserve"> – Displays username. It is display only, not actionable.</w:t>
      </w:r>
    </w:p>
    <w:p w14:paraId="0584EFCA" w14:textId="55EFD425" w:rsidR="005119E1" w:rsidRDefault="005119E1" w:rsidP="006D5A65">
      <w:pPr>
        <w:pStyle w:val="Heading1"/>
      </w:pPr>
      <w:r w:rsidRPr="005119E1">
        <w:rPr>
          <w:bCs/>
        </w:rPr>
        <w:t xml:space="preserve">? </w:t>
      </w:r>
      <w:r w:rsidR="0069163A" w:rsidRPr="005119E1">
        <w:rPr>
          <w:bCs/>
        </w:rPr>
        <w:t xml:space="preserve">Help </w:t>
      </w:r>
      <w:r w:rsidR="0069163A">
        <w:t xml:space="preserve">– </w:t>
      </w:r>
      <w:r>
        <w:t>Clicking over “? Help” will display Helpfile PDF for user to search for key words to find helpful text.</w:t>
      </w:r>
    </w:p>
    <w:p w14:paraId="1F6F5378" w14:textId="712A5532" w:rsidR="0081647A" w:rsidRDefault="0081647A" w:rsidP="00BB4EBE">
      <w:pPr>
        <w:spacing w:after="240"/>
        <w:jc w:val="center"/>
      </w:pPr>
      <w:r>
        <w:rPr>
          <w:noProof/>
        </w:rPr>
        <w:drawing>
          <wp:inline distT="0" distB="0" distL="0" distR="0" wp14:anchorId="00135CF9" wp14:editId="3FA06779">
            <wp:extent cx="2883787" cy="2392680"/>
            <wp:effectExtent l="0" t="0" r="0" b="7620"/>
            <wp:docPr id="21169787"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787" name="Picture 1" descr="Graphical user interface, text, application&#10;&#10;Description automatically generated"/>
                    <pic:cNvPicPr/>
                  </pic:nvPicPr>
                  <pic:blipFill>
                    <a:blip/>
                    <a:stretch>
                      <a:fillRect/>
                    </a:stretch>
                  </pic:blipFill>
                  <pic:spPr>
                    <a:xfrm>
                      <a:off x="0" y="0"/>
                      <a:ext cx="2888703" cy="2396759"/>
                    </a:xfrm>
                    <a:prstGeom prst="rect">
                      <a:avLst/>
                    </a:prstGeom>
                  </pic:spPr>
                </pic:pic>
              </a:graphicData>
            </a:graphic>
          </wp:inline>
        </w:drawing>
      </w:r>
    </w:p>
    <w:p w14:paraId="4E383554" w14:textId="452B0BC5" w:rsidR="005119E1" w:rsidRDefault="005119E1" w:rsidP="006D5A65">
      <w:pPr>
        <w:pStyle w:val="Heading1"/>
      </w:pPr>
      <w:r>
        <w:rPr>
          <w:noProof/>
        </w:rPr>
        <w:lastRenderedPageBreak/>
        <w:drawing>
          <wp:inline distT="0" distB="0" distL="0" distR="0" wp14:anchorId="007DF27F" wp14:editId="7ACCA4A3">
            <wp:extent cx="718987" cy="190500"/>
            <wp:effectExtent l="0" t="0" r="5080" b="0"/>
            <wp:docPr id="75435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59125" name=""/>
                    <pic:cNvPicPr/>
                  </pic:nvPicPr>
                  <pic:blipFill>
                    <a:blip/>
                    <a:stretch>
                      <a:fillRect/>
                    </a:stretch>
                  </pic:blipFill>
                  <pic:spPr>
                    <a:xfrm>
                      <a:off x="0" y="0"/>
                      <a:ext cx="731342" cy="193773"/>
                    </a:xfrm>
                    <a:prstGeom prst="rect">
                      <a:avLst/>
                    </a:prstGeom>
                  </pic:spPr>
                </pic:pic>
              </a:graphicData>
            </a:graphic>
          </wp:inline>
        </w:drawing>
      </w:r>
      <w:r>
        <w:t xml:space="preserve"> Clicking over this icon will prompt user to log out as shown below.</w:t>
      </w:r>
    </w:p>
    <w:p w14:paraId="115E631A" w14:textId="109F286F" w:rsidR="0069163A" w:rsidRDefault="005119E1" w:rsidP="009570CA">
      <w:pPr>
        <w:spacing w:before="120"/>
        <w:jc w:val="center"/>
        <w:rPr>
          <w:b/>
          <w:bCs/>
        </w:rPr>
      </w:pPr>
      <w:r>
        <w:rPr>
          <w:noProof/>
        </w:rPr>
        <w:drawing>
          <wp:inline distT="0" distB="0" distL="0" distR="0" wp14:anchorId="1998FEC1" wp14:editId="4805DBBE">
            <wp:extent cx="2286000" cy="1170432"/>
            <wp:effectExtent l="19050" t="19050" r="0" b="0"/>
            <wp:docPr id="1474318277"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8277" name="Picture 1" descr="Graphical user interface, text, application&#10;&#10;Description automatically generated"/>
                    <pic:cNvPicPr/>
                  </pic:nvPicPr>
                  <pic:blipFill>
                    <a:blip/>
                    <a:stretch>
                      <a:fillRect/>
                    </a:stretch>
                  </pic:blipFill>
                  <pic:spPr>
                    <a:xfrm>
                      <a:off x="0" y="0"/>
                      <a:ext cx="2286000" cy="1170432"/>
                    </a:xfrm>
                    <a:prstGeom prst="rect">
                      <a:avLst/>
                    </a:prstGeom>
                    <a:ln>
                      <a:solidFill>
                        <a:schemeClr val="tx2"/>
                      </a:solidFill>
                    </a:ln>
                  </pic:spPr>
                </pic:pic>
              </a:graphicData>
            </a:graphic>
          </wp:inline>
        </w:drawing>
      </w:r>
    </w:p>
    <w:p w14:paraId="6D0C8AF9" w14:textId="77777777" w:rsidR="0069163A" w:rsidRDefault="0069163A" w:rsidP="009570CA">
      <w:pPr>
        <w:pStyle w:val="Heading5"/>
      </w:pPr>
      <w:bookmarkStart w:id="1993" w:name="_Toc165532022"/>
      <w:r>
        <w:t>Basic Functional Pane Features</w:t>
      </w:r>
      <w:bookmarkEnd w:id="1993"/>
    </w:p>
    <w:p w14:paraId="153C6AF2" w14:textId="44DED615" w:rsidR="0069163A" w:rsidRDefault="00D7536E" w:rsidP="009570CA">
      <w:pPr>
        <w:spacing w:before="120"/>
        <w:jc w:val="center"/>
        <w:rPr>
          <w:szCs w:val="24"/>
        </w:rPr>
      </w:pPr>
      <w:r>
        <w:rPr>
          <w:noProof/>
        </w:rPr>
        <w:drawing>
          <wp:inline distT="0" distB="0" distL="0" distR="0" wp14:anchorId="74E80EE9" wp14:editId="52116727">
            <wp:extent cx="4983480" cy="320040"/>
            <wp:effectExtent l="0" t="0" r="0" b="0"/>
            <wp:docPr id="54132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20718" name=""/>
                    <pic:cNvPicPr/>
                  </pic:nvPicPr>
                  <pic:blipFill>
                    <a:blip/>
                    <a:stretch>
                      <a:fillRect/>
                    </a:stretch>
                  </pic:blipFill>
                  <pic:spPr>
                    <a:xfrm>
                      <a:off x="0" y="0"/>
                      <a:ext cx="4983480" cy="320040"/>
                    </a:xfrm>
                    <a:prstGeom prst="rect">
                      <a:avLst/>
                    </a:prstGeom>
                  </pic:spPr>
                </pic:pic>
              </a:graphicData>
            </a:graphic>
          </wp:inline>
        </w:drawing>
      </w:r>
    </w:p>
    <w:p w14:paraId="49DF7C63" w14:textId="5D86722D" w:rsidR="0069163A" w:rsidRDefault="0069163A" w:rsidP="006D5A65">
      <w:pPr>
        <w:pStyle w:val="Heading1"/>
      </w:pPr>
      <w:r>
        <w:rPr>
          <w:bCs/>
        </w:rPr>
        <w:t xml:space="preserve">Hide Options Switch </w:t>
      </w:r>
      <w:r w:rsidR="00581814">
        <w:rPr>
          <w:noProof/>
        </w:rPr>
        <w:drawing>
          <wp:inline distT="0" distB="0" distL="0" distR="0" wp14:anchorId="3F132AC8" wp14:editId="5D5D02EC">
            <wp:extent cx="274955" cy="173355"/>
            <wp:effectExtent l="0" t="0" r="0" b="0"/>
            <wp:docPr id="4168772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74955" cy="173355"/>
                    </a:xfrm>
                    <a:prstGeom prst="rect">
                      <a:avLst/>
                    </a:prstGeom>
                    <a:noFill/>
                    <a:ln>
                      <a:noFill/>
                    </a:ln>
                  </pic:spPr>
                </pic:pic>
              </a:graphicData>
            </a:graphic>
          </wp:inline>
        </w:drawing>
      </w:r>
      <w:r w:rsidR="00581814">
        <w:rPr>
          <w:bCs/>
        </w:rPr>
        <w:t xml:space="preserve"> </w:t>
      </w:r>
      <w:r w:rsidR="00C951DE">
        <w:t>–</w:t>
      </w:r>
      <w:r w:rsidR="009E3073">
        <w:t xml:space="preserve"> </w:t>
      </w:r>
      <w:r w:rsidR="00581814">
        <w:t>W</w:t>
      </w:r>
      <w:r>
        <w:t>hen the pointed triangle is pointing up will display functions that are actionable to the content in the window. When it is pointing down, the actionable functions are not displayed. For example, the following down pointing icon covers up the actionable functions.</w:t>
      </w:r>
    </w:p>
    <w:p w14:paraId="1DB3BDD4" w14:textId="447EC898" w:rsidR="0069163A" w:rsidRDefault="0069163A" w:rsidP="009570CA">
      <w:pPr>
        <w:pStyle w:val="ListParagraph"/>
        <w:spacing w:before="120" w:after="120" w:line="240" w:lineRule="atLeast"/>
        <w:ind w:left="0"/>
        <w:jc w:val="center"/>
        <w:rPr>
          <w:rFonts w:ascii="Times New Roman" w:hAnsi="Times New Roman"/>
          <w:sz w:val="24"/>
          <w:szCs w:val="24"/>
        </w:rPr>
      </w:pPr>
      <w:r>
        <w:rPr>
          <w:rFonts w:ascii="Times New Roman" w:hAnsi="Times New Roman"/>
          <w:noProof/>
        </w:rPr>
        <w:drawing>
          <wp:inline distT="0" distB="0" distL="0" distR="0" wp14:anchorId="32C674E1" wp14:editId="05DF228C">
            <wp:extent cx="4983480" cy="393192"/>
            <wp:effectExtent l="0" t="0" r="0" b="0"/>
            <wp:docPr id="31362777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983480" cy="393192"/>
                    </a:xfrm>
                    <a:prstGeom prst="rect">
                      <a:avLst/>
                    </a:prstGeom>
                    <a:noFill/>
                    <a:ln>
                      <a:noFill/>
                    </a:ln>
                  </pic:spPr>
                </pic:pic>
              </a:graphicData>
            </a:graphic>
          </wp:inline>
        </w:drawing>
      </w:r>
    </w:p>
    <w:p w14:paraId="13863C05" w14:textId="0114F69D" w:rsidR="0069163A" w:rsidRDefault="0069163A" w:rsidP="006D5A65">
      <w:pPr>
        <w:pStyle w:val="Heading1"/>
      </w:pPr>
      <w:r>
        <w:rPr>
          <w:bCs/>
        </w:rPr>
        <w:t xml:space="preserve">Type to Filter Field </w:t>
      </w:r>
      <w:r w:rsidR="00581814">
        <w:rPr>
          <w:noProof/>
        </w:rPr>
        <w:drawing>
          <wp:inline distT="0" distB="0" distL="0" distR="0" wp14:anchorId="1EFAED24" wp14:editId="1B683108">
            <wp:extent cx="1153795" cy="133350"/>
            <wp:effectExtent l="0" t="0" r="0" b="0"/>
            <wp:docPr id="34647485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153795" cy="133350"/>
                    </a:xfrm>
                    <a:prstGeom prst="rect">
                      <a:avLst/>
                    </a:prstGeom>
                    <a:noFill/>
                    <a:ln>
                      <a:noFill/>
                    </a:ln>
                  </pic:spPr>
                </pic:pic>
              </a:graphicData>
            </a:graphic>
          </wp:inline>
        </w:drawing>
      </w:r>
      <w:r w:rsidR="00581814">
        <w:rPr>
          <w:bCs/>
        </w:rPr>
        <w:t xml:space="preserve"> </w:t>
      </w:r>
      <w:r w:rsidR="00C951DE">
        <w:t>–</w:t>
      </w:r>
      <w:r>
        <w:rPr>
          <w:bCs/>
        </w:rPr>
        <w:t xml:space="preserve"> </w:t>
      </w:r>
      <w:r w:rsidR="00581814">
        <w:rPr>
          <w:bCs/>
        </w:rPr>
        <w:t>A</w:t>
      </w:r>
      <w:r>
        <w:rPr>
          <w:bCs/>
        </w:rPr>
        <w:t xml:space="preserve">llows text entry </w:t>
      </w:r>
      <w:r>
        <w:t xml:space="preserve">for paring down items that are displayed in the </w:t>
      </w:r>
      <w:r>
        <w:rPr>
          <w:bCs/>
        </w:rPr>
        <w:t>Platforms</w:t>
      </w:r>
      <w:r>
        <w:t xml:space="preserve"> list view. Unlike queries, filtering data using the “Type to Filter” field is a temporary action and cannot be saved for use </w:t>
      </w:r>
      <w:r w:rsidR="00F703EB">
        <w:t>later</w:t>
      </w:r>
      <w:r>
        <w:t>.</w:t>
      </w:r>
      <w:r w:rsidR="00C951DE">
        <w:t xml:space="preserve"> The l</w:t>
      </w:r>
      <w:r>
        <w:t xml:space="preserve">ist view will display row(s) which have a string in any column that contains the text entered into the "Type to filter" field. </w:t>
      </w:r>
    </w:p>
    <w:p w14:paraId="213F4C1A" w14:textId="0C10D415" w:rsidR="0069163A" w:rsidRDefault="0069163A" w:rsidP="006D5A65">
      <w:pPr>
        <w:pStyle w:val="Heading1"/>
      </w:pPr>
      <w:r>
        <w:rPr>
          <w:bCs/>
        </w:rPr>
        <w:t xml:space="preserve">Own Node </w:t>
      </w:r>
      <w:r w:rsidR="00581814">
        <w:rPr>
          <w:noProof/>
        </w:rPr>
        <w:drawing>
          <wp:inline distT="0" distB="0" distL="0" distR="0" wp14:anchorId="09727FDE" wp14:editId="08A00C4B">
            <wp:extent cx="248285" cy="208915"/>
            <wp:effectExtent l="0" t="0" r="0" b="0"/>
            <wp:docPr id="156349211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48285" cy="208915"/>
                    </a:xfrm>
                    <a:prstGeom prst="rect">
                      <a:avLst/>
                    </a:prstGeom>
                    <a:noFill/>
                    <a:ln>
                      <a:noFill/>
                    </a:ln>
                  </pic:spPr>
                </pic:pic>
              </a:graphicData>
            </a:graphic>
          </wp:inline>
        </w:drawing>
      </w:r>
      <w:r w:rsidR="00581814">
        <w:rPr>
          <w:bCs/>
        </w:rPr>
        <w:t xml:space="preserve"> </w:t>
      </w:r>
      <w:r>
        <w:t>–</w:t>
      </w:r>
      <w:r w:rsidR="009E3073">
        <w:t xml:space="preserve"> </w:t>
      </w:r>
      <w:r>
        <w:t>Clicking on the icon will bring up an Own Node display showing all the information pertaining to Own Node.</w:t>
      </w:r>
    </w:p>
    <w:p w14:paraId="14573AD8" w14:textId="6FAD2D90" w:rsidR="0069163A" w:rsidRDefault="0069163A" w:rsidP="006D5A65">
      <w:pPr>
        <w:pStyle w:val="Heading1"/>
      </w:pPr>
      <w:r>
        <w:rPr>
          <w:bCs/>
        </w:rPr>
        <w:t>File Receive</w:t>
      </w:r>
      <w:r w:rsidR="00581814">
        <w:rPr>
          <w:bCs/>
        </w:rPr>
        <w:t xml:space="preserve"> </w:t>
      </w:r>
      <w:r w:rsidR="00581814">
        <w:rPr>
          <w:noProof/>
        </w:rPr>
        <w:drawing>
          <wp:inline distT="0" distB="0" distL="0" distR="0" wp14:anchorId="151834CE" wp14:editId="5CAE896B">
            <wp:extent cx="217805" cy="208915"/>
            <wp:effectExtent l="0" t="0" r="0" b="0"/>
            <wp:docPr id="72247548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17805" cy="208915"/>
                    </a:xfrm>
                    <a:prstGeom prst="rect">
                      <a:avLst/>
                    </a:prstGeom>
                    <a:noFill/>
                    <a:ln>
                      <a:noFill/>
                    </a:ln>
                  </pic:spPr>
                </pic:pic>
              </a:graphicData>
            </a:graphic>
          </wp:inline>
        </w:drawing>
      </w:r>
      <w:r w:rsidR="00581814">
        <w:rPr>
          <w:bCs/>
        </w:rPr>
        <w:t xml:space="preserve"> </w:t>
      </w:r>
      <w:r>
        <w:t>–</w:t>
      </w:r>
      <w:r w:rsidR="009E3073">
        <w:t xml:space="preserve"> </w:t>
      </w:r>
      <w:r w:rsidR="00581814">
        <w:t xml:space="preserve">When </w:t>
      </w:r>
      <w:r>
        <w:t xml:space="preserve">clicked, </w:t>
      </w:r>
      <w:r w:rsidR="00581814">
        <w:t xml:space="preserve">it </w:t>
      </w:r>
      <w:r>
        <w:t xml:space="preserve">allows a user to process a file stored on disk. </w:t>
      </w:r>
      <w:r w:rsidR="00C951DE">
        <w:t xml:space="preserve">A </w:t>
      </w:r>
      <w:r>
        <w:t xml:space="preserve">File </w:t>
      </w:r>
      <w:r w:rsidR="00C951DE">
        <w:t>E</w:t>
      </w:r>
      <w:r>
        <w:t xml:space="preserve">xplorer window will open to allow </w:t>
      </w:r>
      <w:r>
        <w:lastRenderedPageBreak/>
        <w:t>user to navigate to the folder containing the file to be processed.</w:t>
      </w:r>
    </w:p>
    <w:p w14:paraId="71792930" w14:textId="7CA4E8DD" w:rsidR="0069163A" w:rsidRDefault="0069163A" w:rsidP="006D5A65">
      <w:pPr>
        <w:pStyle w:val="Heading1"/>
      </w:pPr>
      <w:r>
        <w:rPr>
          <w:bCs/>
        </w:rPr>
        <w:t>Help</w:t>
      </w:r>
      <w:r>
        <w:t xml:space="preserve"> </w:t>
      </w:r>
      <w:r w:rsidR="00581814">
        <w:rPr>
          <w:noProof/>
        </w:rPr>
        <w:drawing>
          <wp:inline distT="0" distB="0" distL="0" distR="0" wp14:anchorId="57864F12" wp14:editId="569448D1">
            <wp:extent cx="217805" cy="173355"/>
            <wp:effectExtent l="0" t="0" r="0" b="0"/>
            <wp:docPr id="176789029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17805" cy="173355"/>
                    </a:xfrm>
                    <a:prstGeom prst="rect">
                      <a:avLst/>
                    </a:prstGeom>
                    <a:noFill/>
                    <a:ln>
                      <a:noFill/>
                    </a:ln>
                  </pic:spPr>
                </pic:pic>
              </a:graphicData>
            </a:graphic>
          </wp:inline>
        </w:drawing>
      </w:r>
      <w:r w:rsidR="00581814">
        <w:t xml:space="preserve"> </w:t>
      </w:r>
      <w:r>
        <w:t>–</w:t>
      </w:r>
      <w:r w:rsidR="009E3073">
        <w:t xml:space="preserve"> </w:t>
      </w:r>
      <w:r w:rsidR="00581814">
        <w:t xml:space="preserve">When </w:t>
      </w:r>
      <w:r>
        <w:t xml:space="preserve">activated, </w:t>
      </w:r>
      <w:r w:rsidR="00D7536E">
        <w:t xml:space="preserve">the </w:t>
      </w:r>
      <w:r w:rsidR="005119E1">
        <w:t>Helpfile PDF for user to search</w:t>
      </w:r>
      <w:r w:rsidR="00581814">
        <w:t xml:space="preserve"> will be displayed</w:t>
      </w:r>
      <w:r w:rsidR="005119E1">
        <w:t>.</w:t>
      </w:r>
    </w:p>
    <w:p w14:paraId="502E0388" w14:textId="2F03509F" w:rsidR="0069163A" w:rsidRDefault="0069163A" w:rsidP="006D5A65">
      <w:pPr>
        <w:pStyle w:val="Heading1"/>
      </w:pPr>
      <w:r>
        <w:rPr>
          <w:bCs/>
        </w:rPr>
        <w:t>Save</w:t>
      </w:r>
      <w:r>
        <w:t xml:space="preserve"> </w:t>
      </w:r>
      <w:r w:rsidR="00581814">
        <w:rPr>
          <w:noProof/>
        </w:rPr>
        <w:drawing>
          <wp:inline distT="0" distB="0" distL="0" distR="0" wp14:anchorId="0DA688EC" wp14:editId="48DF8439">
            <wp:extent cx="239395" cy="217805"/>
            <wp:effectExtent l="0" t="0" r="0" b="0"/>
            <wp:docPr id="127846180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39395" cy="217805"/>
                    </a:xfrm>
                    <a:prstGeom prst="rect">
                      <a:avLst/>
                    </a:prstGeom>
                    <a:noFill/>
                    <a:ln>
                      <a:noFill/>
                    </a:ln>
                  </pic:spPr>
                </pic:pic>
              </a:graphicData>
            </a:graphic>
          </wp:inline>
        </w:drawing>
      </w:r>
      <w:r w:rsidR="00581814">
        <w:t xml:space="preserve"> </w:t>
      </w:r>
      <w:r>
        <w:t>–</w:t>
      </w:r>
      <w:r w:rsidR="005119E1">
        <w:t xml:space="preserve"> When applicable, the </w:t>
      </w:r>
      <w:r>
        <w:t xml:space="preserve">Save icon </w:t>
      </w:r>
      <w:r w:rsidR="005119E1">
        <w:t xml:space="preserve">will be displayed before the Own Node icon. It </w:t>
      </w:r>
      <w:r>
        <w:t>allows for input data in a pane to be saved.</w:t>
      </w:r>
    </w:p>
    <w:p w14:paraId="104A643B" w14:textId="0AE0025D" w:rsidR="0069163A" w:rsidRDefault="003409A8" w:rsidP="009570CA">
      <w:pPr>
        <w:pStyle w:val="Heading3"/>
      </w:pPr>
      <w:bookmarkStart w:id="1994" w:name="_Toc514226109"/>
      <w:bookmarkStart w:id="1995" w:name="_Toc165532023"/>
      <w:bookmarkStart w:id="1996" w:name="_Toc476569034"/>
      <w:bookmarkStart w:id="1997" w:name="_Toc340752201"/>
      <w:bookmarkStart w:id="1998" w:name="_Toc302660105"/>
      <w:bookmarkStart w:id="1999" w:name="_Toc214283280"/>
      <w:bookmarkEnd w:id="1994"/>
      <w:r>
        <w:t>Common Navigation Features and Conventions</w:t>
      </w:r>
      <w:bookmarkEnd w:id="1995"/>
      <w:bookmarkEnd w:id="1996"/>
      <w:bookmarkEnd w:id="1997"/>
      <w:bookmarkEnd w:id="1998"/>
      <w:bookmarkEnd w:id="1999"/>
    </w:p>
    <w:p w14:paraId="10F3ED86" w14:textId="77777777" w:rsidR="0069163A" w:rsidRDefault="0069163A" w:rsidP="009570CA">
      <w:r>
        <w:t xml:space="preserve">PMT uses a set of conventions and common navigation features to allow the user to navigate to the desired data quickly and easily. </w:t>
      </w:r>
    </w:p>
    <w:p w14:paraId="78EBE918" w14:textId="77777777" w:rsidR="0069163A" w:rsidRDefault="0069163A" w:rsidP="009570CA">
      <w:pPr>
        <w:pStyle w:val="Heading4"/>
      </w:pPr>
      <w:bookmarkStart w:id="2000" w:name="_4.2.1__Queries"/>
      <w:bookmarkStart w:id="2001" w:name="_Queries"/>
      <w:bookmarkStart w:id="2002" w:name="_Toc165532024"/>
      <w:bookmarkStart w:id="2003" w:name="_Toc340752258"/>
      <w:bookmarkStart w:id="2004" w:name="_Toc81553724"/>
      <w:bookmarkEnd w:id="2000"/>
      <w:bookmarkEnd w:id="2001"/>
      <w:r>
        <w:t>Copy</w:t>
      </w:r>
      <w:bookmarkEnd w:id="2002"/>
      <w:bookmarkEnd w:id="2003"/>
    </w:p>
    <w:p w14:paraId="0D5A3F7F" w14:textId="7D97A2DD" w:rsidR="0069163A" w:rsidRDefault="00C951DE" w:rsidP="009570CA">
      <w:pPr>
        <w:keepNext/>
        <w:rPr>
          <w:szCs w:val="24"/>
        </w:rPr>
      </w:pPr>
      <w:r>
        <w:rPr>
          <w:szCs w:val="24"/>
        </w:rPr>
        <w:t>The l</w:t>
      </w:r>
      <w:r w:rsidR="0069163A">
        <w:rPr>
          <w:szCs w:val="24"/>
        </w:rPr>
        <w:t>ist view of a page can be copied and pasted to another application.</w:t>
      </w:r>
    </w:p>
    <w:p w14:paraId="5A42B5B0" w14:textId="2D1A470B" w:rsidR="0069163A" w:rsidRDefault="0069163A" w:rsidP="006D5A65">
      <w:pPr>
        <w:pStyle w:val="Heading1"/>
      </w:pPr>
      <w:r>
        <w:t xml:space="preserve">Within the list view, click </w:t>
      </w:r>
      <w:r w:rsidR="00C951DE">
        <w:t xml:space="preserve">the </w:t>
      </w:r>
      <w:r>
        <w:t xml:space="preserve">left mouse button and hold, and drag to cover the desired portion of the list view then release </w:t>
      </w:r>
      <w:r w:rsidR="00C951DE">
        <w:t xml:space="preserve">the </w:t>
      </w:r>
      <w:r>
        <w:t>left mouse button.</w:t>
      </w:r>
    </w:p>
    <w:p w14:paraId="4C4116E0" w14:textId="065685F5" w:rsidR="0069163A" w:rsidRDefault="0069163A" w:rsidP="006D5A65">
      <w:pPr>
        <w:pStyle w:val="Heading1"/>
      </w:pPr>
      <w:r>
        <w:t xml:space="preserve">Right-click while </w:t>
      </w:r>
      <w:r w:rsidR="00C951DE">
        <w:t xml:space="preserve">the </w:t>
      </w:r>
      <w:r>
        <w:t>cursor is in the selected area, then select Copy.</w:t>
      </w:r>
    </w:p>
    <w:p w14:paraId="78176577" w14:textId="2D5A0905" w:rsidR="0069163A" w:rsidRDefault="0069163A" w:rsidP="004B1275">
      <w:pPr>
        <w:pStyle w:val="Graphic"/>
        <w:keepNext w:val="0"/>
        <w:rPr>
          <w:rFonts w:ascii="Times New Roman" w:hAnsi="Times New Roman"/>
          <w:szCs w:val="24"/>
        </w:rPr>
      </w:pPr>
      <w:r>
        <w:rPr>
          <w:rFonts w:ascii="Times New Roman" w:hAnsi="Times New Roman"/>
        </w:rPr>
        <w:t xml:space="preserve"> </w:t>
      </w:r>
      <w:r>
        <w:rPr>
          <w:rFonts w:ascii="Times New Roman" w:hAnsi="Times New Roman"/>
          <w:noProof/>
        </w:rPr>
        <w:drawing>
          <wp:inline distT="0" distB="0" distL="0" distR="0" wp14:anchorId="6F2FC7C7" wp14:editId="53744035">
            <wp:extent cx="4983480" cy="2286000"/>
            <wp:effectExtent l="0" t="0" r="0" b="0"/>
            <wp:docPr id="218655635" name="Picture 72"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55635" name="Picture 72" descr="Graphical user interface, table&#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983480" cy="2286000"/>
                    </a:xfrm>
                    <a:prstGeom prst="rect">
                      <a:avLst/>
                    </a:prstGeom>
                    <a:noFill/>
                    <a:ln>
                      <a:noFill/>
                    </a:ln>
                  </pic:spPr>
                </pic:pic>
              </a:graphicData>
            </a:graphic>
          </wp:inline>
        </w:drawing>
      </w:r>
    </w:p>
    <w:p w14:paraId="349C7B1F" w14:textId="77777777" w:rsidR="0069163A" w:rsidRDefault="0069163A" w:rsidP="006D5A65">
      <w:pPr>
        <w:pStyle w:val="Heading1"/>
      </w:pPr>
      <w:r>
        <w:rPr>
          <w:noProof/>
        </w:rPr>
        <w:t>The selected portion of the list view is copied as text that can be pasted into another app such as Excel.</w:t>
      </w:r>
    </w:p>
    <w:p w14:paraId="722C1586" w14:textId="6551452E" w:rsidR="0069163A" w:rsidRDefault="00C951DE" w:rsidP="006D5A65">
      <w:pPr>
        <w:pStyle w:val="Heading1"/>
      </w:pPr>
      <w:r>
        <w:rPr>
          <w:noProof/>
        </w:rPr>
        <w:t>The u</w:t>
      </w:r>
      <w:r w:rsidR="0069163A">
        <w:rPr>
          <w:noProof/>
        </w:rPr>
        <w:t xml:space="preserve">ser can also </w:t>
      </w:r>
      <w:r w:rsidR="0069163A" w:rsidRPr="003409A8">
        <w:rPr>
          <w:bCs/>
          <w:noProof/>
        </w:rPr>
        <w:t>Copy with Headers</w:t>
      </w:r>
      <w:r w:rsidR="0069163A">
        <w:rPr>
          <w:noProof/>
        </w:rPr>
        <w:t>, in which case the headers of the list view will also be copied.</w:t>
      </w:r>
    </w:p>
    <w:p w14:paraId="2042978A" w14:textId="3DF2B94E" w:rsidR="0069163A" w:rsidRDefault="0069163A" w:rsidP="006D5A65">
      <w:pPr>
        <w:pStyle w:val="Heading1"/>
      </w:pPr>
      <w:r>
        <w:t xml:space="preserve">The option </w:t>
      </w:r>
      <w:r w:rsidRPr="003409A8">
        <w:rPr>
          <w:bCs/>
        </w:rPr>
        <w:t>Copy with Group Headers</w:t>
      </w:r>
      <w:r>
        <w:t xml:space="preserve"> will be applicable whe</w:t>
      </w:r>
      <w:r w:rsidR="00C951DE">
        <w:t>n</w:t>
      </w:r>
      <w:r>
        <w:t xml:space="preserve"> headings in list views are grouped and each group is labelled </w:t>
      </w:r>
      <w:r>
        <w:lastRenderedPageBreak/>
        <w:t xml:space="preserve">with another heading. Being non-applicable to existing list views, the result of this function is same as </w:t>
      </w:r>
      <w:r w:rsidRPr="003409A8">
        <w:rPr>
          <w:bCs/>
        </w:rPr>
        <w:t>Copy with Headers</w:t>
      </w:r>
      <w:r>
        <w:t>.</w:t>
      </w:r>
    </w:p>
    <w:p w14:paraId="35BC454D" w14:textId="77777777" w:rsidR="0069163A" w:rsidRDefault="0069163A" w:rsidP="009570CA">
      <w:pPr>
        <w:pStyle w:val="Heading4"/>
      </w:pPr>
      <w:bookmarkStart w:id="2005" w:name="_Toc159858222"/>
      <w:bookmarkStart w:id="2006" w:name="_Toc159858319"/>
      <w:bookmarkStart w:id="2007" w:name="_Toc159858223"/>
      <w:bookmarkStart w:id="2008" w:name="_Toc159858320"/>
      <w:bookmarkStart w:id="2009" w:name="_Toc159858224"/>
      <w:bookmarkStart w:id="2010" w:name="_Toc159858321"/>
      <w:bookmarkStart w:id="2011" w:name="_Toc159858225"/>
      <w:bookmarkStart w:id="2012" w:name="_Toc159858322"/>
      <w:bookmarkStart w:id="2013" w:name="_Toc159858226"/>
      <w:bookmarkStart w:id="2014" w:name="_Toc159858323"/>
      <w:bookmarkStart w:id="2015" w:name="_Toc159858227"/>
      <w:bookmarkStart w:id="2016" w:name="_Toc159858324"/>
      <w:bookmarkStart w:id="2017" w:name="_Toc165532025"/>
      <w:bookmarkEnd w:id="2005"/>
      <w:bookmarkEnd w:id="2006"/>
      <w:bookmarkEnd w:id="2007"/>
      <w:bookmarkEnd w:id="2008"/>
      <w:bookmarkEnd w:id="2009"/>
      <w:bookmarkEnd w:id="2010"/>
      <w:bookmarkEnd w:id="2011"/>
      <w:bookmarkEnd w:id="2012"/>
      <w:bookmarkEnd w:id="2013"/>
      <w:bookmarkEnd w:id="2014"/>
      <w:bookmarkEnd w:id="2015"/>
      <w:bookmarkEnd w:id="2016"/>
      <w:r>
        <w:t>Export to Excel</w:t>
      </w:r>
      <w:bookmarkEnd w:id="2004"/>
      <w:bookmarkEnd w:id="2017"/>
    </w:p>
    <w:p w14:paraId="12BB6F58" w14:textId="77777777" w:rsidR="0069163A" w:rsidRDefault="0069163A" w:rsidP="009570CA">
      <w:r>
        <w:t xml:space="preserve">Each list view can be exported to Excel. </w:t>
      </w:r>
    </w:p>
    <w:p w14:paraId="3BAB4AAD" w14:textId="77777777" w:rsidR="0069163A" w:rsidRDefault="0069163A" w:rsidP="006D5A65">
      <w:pPr>
        <w:pStyle w:val="Heading1"/>
      </w:pPr>
      <w:r>
        <w:t>Within the list view, right-click any item or select a group of items in the list view.</w:t>
      </w:r>
    </w:p>
    <w:p w14:paraId="355CA22B" w14:textId="09633F18" w:rsidR="0069163A" w:rsidRDefault="0069163A" w:rsidP="004B1275">
      <w:pPr>
        <w:pStyle w:val="Graphic"/>
        <w:keepNext w:val="0"/>
        <w:rPr>
          <w:rFonts w:ascii="Times New Roman" w:hAnsi="Times New Roman"/>
        </w:rPr>
      </w:pPr>
      <w:r>
        <w:rPr>
          <w:rFonts w:ascii="Times New Roman" w:hAnsi="Times New Roman"/>
          <w:noProof/>
        </w:rPr>
        <w:drawing>
          <wp:inline distT="0" distB="0" distL="0" distR="0" wp14:anchorId="171009CB" wp14:editId="4390BAB8">
            <wp:extent cx="4983480" cy="2295144"/>
            <wp:effectExtent l="0" t="0" r="0" b="0"/>
            <wp:docPr id="259174402" name="Picture 7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74402" name="Picture 71" descr="Graphical user interface, table&#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983480" cy="2295144"/>
                    </a:xfrm>
                    <a:prstGeom prst="rect">
                      <a:avLst/>
                    </a:prstGeom>
                    <a:noFill/>
                    <a:ln>
                      <a:noFill/>
                    </a:ln>
                  </pic:spPr>
                </pic:pic>
              </a:graphicData>
            </a:graphic>
          </wp:inline>
        </w:drawing>
      </w:r>
    </w:p>
    <w:p w14:paraId="3DC624DC" w14:textId="77777777" w:rsidR="0069163A" w:rsidRDefault="0069163A" w:rsidP="006D5A65">
      <w:pPr>
        <w:pStyle w:val="Heading1"/>
      </w:pPr>
      <w:r>
        <w:t xml:space="preserve">Select </w:t>
      </w:r>
      <w:r w:rsidRPr="003409A8">
        <w:rPr>
          <w:bCs/>
        </w:rPr>
        <w:t>Export</w:t>
      </w:r>
      <w:r>
        <w:t xml:space="preserve">, then select the desired output format, </w:t>
      </w:r>
      <w:r w:rsidRPr="003409A8">
        <w:rPr>
          <w:bCs/>
        </w:rPr>
        <w:t>CVS Export</w:t>
      </w:r>
      <w:r>
        <w:t xml:space="preserve"> or </w:t>
      </w:r>
      <w:r w:rsidRPr="003409A8">
        <w:rPr>
          <w:bCs/>
        </w:rPr>
        <w:t>Excel Export</w:t>
      </w:r>
      <w:r>
        <w:t xml:space="preserve">. The list view will automatically download as the selected file format into the Download folder in Windows. </w:t>
      </w:r>
      <w:bookmarkStart w:id="2018" w:name="_Toc514226116"/>
      <w:bookmarkStart w:id="2019" w:name="_4.2.5__Navigation"/>
      <w:bookmarkStart w:id="2020" w:name="_4.2.6__Main"/>
      <w:bookmarkStart w:id="2021" w:name="_5.2.6__Main"/>
      <w:bookmarkStart w:id="2022" w:name="_Main_Menu"/>
      <w:bookmarkEnd w:id="2018"/>
      <w:bookmarkEnd w:id="2019"/>
      <w:bookmarkEnd w:id="2020"/>
      <w:bookmarkEnd w:id="2021"/>
      <w:bookmarkEnd w:id="2022"/>
    </w:p>
    <w:p w14:paraId="0CE78308" w14:textId="77777777" w:rsidR="0069163A" w:rsidRDefault="0069163A" w:rsidP="009570CA">
      <w:pPr>
        <w:pStyle w:val="Heading3"/>
      </w:pPr>
      <w:bookmarkStart w:id="2023" w:name="_PLATFORM_MICROSERVICE_FUNCTIONS"/>
      <w:bookmarkStart w:id="2024" w:name="_Toc165532027"/>
      <w:bookmarkStart w:id="2025" w:name="_Toc214283281"/>
      <w:bookmarkEnd w:id="2023"/>
      <w:r>
        <w:t>Platforms</w:t>
      </w:r>
      <w:bookmarkEnd w:id="2024"/>
      <w:bookmarkEnd w:id="2025"/>
    </w:p>
    <w:p w14:paraId="289A7DC2" w14:textId="19432D6E" w:rsidR="0069163A" w:rsidRDefault="0069163A" w:rsidP="009570CA">
      <w:r>
        <w:t xml:space="preserve">The </w:t>
      </w:r>
      <w:r>
        <w:rPr>
          <w:b/>
        </w:rPr>
        <w:t xml:space="preserve">Platforms </w:t>
      </w:r>
      <w:r>
        <w:rPr>
          <w:bCs/>
        </w:rPr>
        <w:t>window</w:t>
      </w:r>
      <w:r>
        <w:rPr>
          <w:b/>
        </w:rPr>
        <w:t xml:space="preserve"> </w:t>
      </w:r>
      <w:r>
        <w:t xml:space="preserve">is always displayed showing a list view of Platforms. </w:t>
      </w:r>
    </w:p>
    <w:p w14:paraId="49D749A0" w14:textId="77777777" w:rsidR="0069163A" w:rsidRDefault="0069163A" w:rsidP="009570CA">
      <w:pPr>
        <w:pStyle w:val="Heading4"/>
      </w:pPr>
      <w:bookmarkStart w:id="2026" w:name="_Toc159858328"/>
      <w:bookmarkStart w:id="2027" w:name="_Toc159858329"/>
      <w:bookmarkStart w:id="2028" w:name="_Toc159858331"/>
      <w:bookmarkStart w:id="2029" w:name="_Toc159858332"/>
      <w:bookmarkStart w:id="2030" w:name="_Toc159858333"/>
      <w:bookmarkStart w:id="2031" w:name="_Toc165532028"/>
      <w:bookmarkEnd w:id="2026"/>
      <w:bookmarkEnd w:id="2027"/>
      <w:bookmarkEnd w:id="2028"/>
      <w:bookmarkEnd w:id="2029"/>
      <w:bookmarkEnd w:id="2030"/>
      <w:r>
        <w:t>Platforms List View</w:t>
      </w:r>
      <w:bookmarkEnd w:id="2031"/>
    </w:p>
    <w:p w14:paraId="63306A45" w14:textId="77777777" w:rsidR="0069163A" w:rsidRDefault="0069163A" w:rsidP="009570CA">
      <w:r>
        <w:t>The Platforms list view displays a list of all platforms within the management of TWS, and its display is as shown:</w:t>
      </w:r>
    </w:p>
    <w:p w14:paraId="5369CF87" w14:textId="2D38AEFE" w:rsidR="0069163A" w:rsidRDefault="005119E1" w:rsidP="009570CA">
      <w:pPr>
        <w:spacing w:after="240"/>
        <w:jc w:val="center"/>
      </w:pPr>
      <w:r>
        <w:rPr>
          <w:noProof/>
        </w:rPr>
        <w:lastRenderedPageBreak/>
        <w:drawing>
          <wp:inline distT="0" distB="0" distL="0" distR="0" wp14:anchorId="3F1AF6D2" wp14:editId="1E8331BF">
            <wp:extent cx="4983480" cy="2916936"/>
            <wp:effectExtent l="0" t="0" r="0" b="0"/>
            <wp:docPr id="1121115789"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15789" name="Picture 1" descr="Table&#10;&#10;Description automatically generated"/>
                    <pic:cNvPicPr/>
                  </pic:nvPicPr>
                  <pic:blipFill>
                    <a:blip/>
                    <a:stretch>
                      <a:fillRect/>
                    </a:stretch>
                  </pic:blipFill>
                  <pic:spPr>
                    <a:xfrm>
                      <a:off x="0" y="0"/>
                      <a:ext cx="4983480" cy="2916936"/>
                    </a:xfrm>
                    <a:prstGeom prst="rect">
                      <a:avLst/>
                    </a:prstGeom>
                  </pic:spPr>
                </pic:pic>
              </a:graphicData>
            </a:graphic>
          </wp:inline>
        </w:drawing>
      </w:r>
    </w:p>
    <w:p w14:paraId="0E7267D7" w14:textId="0A02F810" w:rsidR="005119E1" w:rsidRPr="00410EA4" w:rsidRDefault="005119E1" w:rsidP="006D5A65">
      <w:pPr>
        <w:pStyle w:val="Heading1"/>
      </w:pPr>
      <w:r>
        <w:rPr>
          <w:noProof/>
        </w:rPr>
        <w:drawing>
          <wp:inline distT="0" distB="0" distL="0" distR="0" wp14:anchorId="26660F2A" wp14:editId="3460963A">
            <wp:extent cx="215537" cy="137160"/>
            <wp:effectExtent l="0" t="0" r="0" b="0"/>
            <wp:docPr id="144303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34488" name=""/>
                    <pic:cNvPicPr/>
                  </pic:nvPicPr>
                  <pic:blipFill>
                    <a:blip/>
                    <a:stretch>
                      <a:fillRect/>
                    </a:stretch>
                  </pic:blipFill>
                  <pic:spPr>
                    <a:xfrm>
                      <a:off x="0" y="0"/>
                      <a:ext cx="217667" cy="138515"/>
                    </a:xfrm>
                    <a:prstGeom prst="rect">
                      <a:avLst/>
                    </a:prstGeom>
                  </pic:spPr>
                </pic:pic>
              </a:graphicData>
            </a:graphic>
          </wp:inline>
        </w:drawing>
      </w:r>
      <w:r>
        <w:t xml:space="preserve"> – Icon’s default position is up arrow which hides details of platform information. When the icon is clicked, the icon’s arrow changes to downward pointing </w:t>
      </w:r>
      <w:r>
        <w:rPr>
          <w:noProof/>
        </w:rPr>
        <w:drawing>
          <wp:inline distT="0" distB="0" distL="0" distR="0" wp14:anchorId="786FEBFC" wp14:editId="78BD163C">
            <wp:extent cx="220394" cy="121920"/>
            <wp:effectExtent l="0" t="0" r="8255" b="0"/>
            <wp:docPr id="101890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06717" name=""/>
                    <pic:cNvPicPr/>
                  </pic:nvPicPr>
                  <pic:blipFill>
                    <a:blip/>
                    <a:stretch>
                      <a:fillRect/>
                    </a:stretch>
                  </pic:blipFill>
                  <pic:spPr>
                    <a:xfrm>
                      <a:off x="0" y="0"/>
                      <a:ext cx="224232" cy="124043"/>
                    </a:xfrm>
                    <a:prstGeom prst="rect">
                      <a:avLst/>
                    </a:prstGeom>
                  </pic:spPr>
                </pic:pic>
              </a:graphicData>
            </a:graphic>
          </wp:inline>
        </w:drawing>
      </w:r>
      <w:r>
        <w:t>which would display all platforms’ detailed information, such as the nodes contained in the platform, and if a node is a FRU node, the inventory of the FRU is displayed.</w:t>
      </w:r>
    </w:p>
    <w:p w14:paraId="1D4B4E8E" w14:textId="11ECCDEC" w:rsidR="0069163A" w:rsidRDefault="005119E1" w:rsidP="006D5A65">
      <w:pPr>
        <w:pStyle w:val="Heading1"/>
      </w:pPr>
      <w:r>
        <w:rPr>
          <w:noProof/>
        </w:rPr>
        <w:drawing>
          <wp:inline distT="0" distB="0" distL="0" distR="0" wp14:anchorId="52FD76E0" wp14:editId="60C63E1F">
            <wp:extent cx="216986" cy="203835"/>
            <wp:effectExtent l="0" t="0" r="0" b="5715"/>
            <wp:docPr id="164585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59490" name=""/>
                    <pic:cNvPicPr/>
                  </pic:nvPicPr>
                  <pic:blipFill>
                    <a:blip/>
                    <a:stretch>
                      <a:fillRect/>
                    </a:stretch>
                  </pic:blipFill>
                  <pic:spPr>
                    <a:xfrm>
                      <a:off x="0" y="0"/>
                      <a:ext cx="220272" cy="206922"/>
                    </a:xfrm>
                    <a:prstGeom prst="rect">
                      <a:avLst/>
                    </a:prstGeom>
                  </pic:spPr>
                </pic:pic>
              </a:graphicData>
            </a:graphic>
          </wp:inline>
        </w:drawing>
      </w:r>
      <w:r>
        <w:t xml:space="preserve"> </w:t>
      </w:r>
      <w:r w:rsidR="00C951DE">
        <w:t>–</w:t>
      </w:r>
      <w:r w:rsidR="0069163A">
        <w:t xml:space="preserve"> Switches platform view in which case either the entire list view of platforms or a subset of platforms is shown. For example, a subset of platforms can be platforms that are part of a Task Organization (</w:t>
      </w:r>
      <w:r w:rsidR="003409A8">
        <w:t xml:space="preserve">see </w:t>
      </w:r>
      <w:hyperlink w:anchor="_Define_Roles_for" w:history="1">
        <w:r w:rsidR="0069163A">
          <w:rPr>
            <w:rStyle w:val="Hyperlink"/>
          </w:rPr>
          <w:t xml:space="preserve">Section </w:t>
        </w:r>
        <w:r w:rsidR="00A352A2">
          <w:rPr>
            <w:rStyle w:val="Hyperlink"/>
          </w:rPr>
          <w:t>5.13.5.1.3</w:t>
        </w:r>
      </w:hyperlink>
      <w:r w:rsidR="0069163A">
        <w:t>). This switch allows for the viewing of a list of platforms in a Task Organization or the entire list in TWS.</w:t>
      </w:r>
    </w:p>
    <w:p w14:paraId="6D114F43" w14:textId="1A48EC8E" w:rsidR="0069163A" w:rsidRDefault="0069163A" w:rsidP="006D5A65">
      <w:pPr>
        <w:pStyle w:val="Heading1"/>
      </w:pPr>
      <w:r>
        <w:rPr>
          <w:bCs/>
        </w:rPr>
        <w:t xml:space="preserve">Platform Name </w:t>
      </w:r>
      <w:r w:rsidR="00C951DE">
        <w:t>–</w:t>
      </w:r>
      <w:r>
        <w:t xml:space="preserve"> A unique name for each platform.</w:t>
      </w:r>
    </w:p>
    <w:p w14:paraId="4C1AA796" w14:textId="77777777" w:rsidR="0069163A" w:rsidRDefault="0069163A" w:rsidP="006D5A65">
      <w:pPr>
        <w:pStyle w:val="Heading1"/>
      </w:pPr>
      <w:r>
        <w:rPr>
          <w:bCs/>
        </w:rPr>
        <w:t>Country</w:t>
      </w:r>
      <w:r>
        <w:t xml:space="preserve"> – Two letter country code representing the country that the platform pertains to.</w:t>
      </w:r>
    </w:p>
    <w:p w14:paraId="359C1536" w14:textId="718E2895" w:rsidR="0069163A" w:rsidRDefault="0069163A" w:rsidP="006D5A65">
      <w:pPr>
        <w:pStyle w:val="Heading1"/>
      </w:pPr>
      <w:r>
        <w:t>Trigraph – Three letter code representing the identity of a platform.</w:t>
      </w:r>
    </w:p>
    <w:p w14:paraId="45009DD7" w14:textId="58067DB1" w:rsidR="0069163A" w:rsidRPr="009E3073" w:rsidRDefault="0069163A" w:rsidP="006D5A65">
      <w:pPr>
        <w:pStyle w:val="Heading1"/>
      </w:pPr>
      <w:r w:rsidRPr="009E3073">
        <w:rPr>
          <w:bCs/>
        </w:rPr>
        <w:t xml:space="preserve">Type – </w:t>
      </w:r>
      <w:r w:rsidRPr="009E3073">
        <w:t>Class of the platform such as CG, DDG, etc.</w:t>
      </w:r>
      <w:r w:rsidR="00D07342" w:rsidRPr="009E3073">
        <w:t xml:space="preserve"> </w:t>
      </w:r>
      <w:r w:rsidRPr="009E3073">
        <w:t>Each row of platforms has four icons being displayed</w:t>
      </w:r>
      <w:r w:rsidR="009E3073">
        <w:t>.</w:t>
      </w:r>
    </w:p>
    <w:p w14:paraId="43B41374" w14:textId="0BA1C632" w:rsidR="0069163A" w:rsidRDefault="0069163A" w:rsidP="006D5A65">
      <w:pPr>
        <w:pStyle w:val="Heading1"/>
      </w:pPr>
      <w:r>
        <w:rPr>
          <w:bCs/>
        </w:rPr>
        <w:t xml:space="preserve">Details denoted by </w:t>
      </w:r>
      <w:r w:rsidR="005119E1">
        <w:rPr>
          <w:noProof/>
        </w:rPr>
        <w:drawing>
          <wp:inline distT="0" distB="0" distL="0" distR="0" wp14:anchorId="52643AAA" wp14:editId="6A2B710F">
            <wp:extent cx="213360" cy="146981"/>
            <wp:effectExtent l="0" t="0" r="0" b="5715"/>
            <wp:docPr id="88789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91489" name=""/>
                    <pic:cNvPicPr/>
                  </pic:nvPicPr>
                  <pic:blipFill>
                    <a:blip/>
                    <a:stretch>
                      <a:fillRect/>
                    </a:stretch>
                  </pic:blipFill>
                  <pic:spPr>
                    <a:xfrm>
                      <a:off x="0" y="0"/>
                      <a:ext cx="215104" cy="148182"/>
                    </a:xfrm>
                    <a:prstGeom prst="rect">
                      <a:avLst/>
                    </a:prstGeom>
                  </pic:spPr>
                </pic:pic>
              </a:graphicData>
            </a:graphic>
          </wp:inline>
        </w:drawing>
      </w:r>
      <w:r>
        <w:rPr>
          <w:bCs/>
        </w:rPr>
        <w:t xml:space="preserve"> </w:t>
      </w:r>
      <w:r>
        <w:t xml:space="preserve">– When </w:t>
      </w:r>
      <w:r w:rsidR="005119E1">
        <w:t>the icon is clicked</w:t>
      </w:r>
      <w:r>
        <w:t xml:space="preserve">, the </w:t>
      </w:r>
      <w:r w:rsidR="005119E1">
        <w:t xml:space="preserve">icon changes to </w:t>
      </w:r>
      <w:r w:rsidR="00D7536E">
        <w:t xml:space="preserve">a </w:t>
      </w:r>
      <w:r w:rsidR="005119E1">
        <w:t xml:space="preserve">downward pointing arrow and the </w:t>
      </w:r>
      <w:r>
        <w:t xml:space="preserve">platform entry will expand to show TED/MDS and </w:t>
      </w:r>
      <w:r w:rsidRPr="00FE6491">
        <w:t>TTWCS</w:t>
      </w:r>
      <w:r>
        <w:t xml:space="preserve"> nodes within the </w:t>
      </w:r>
      <w:r>
        <w:lastRenderedPageBreak/>
        <w:t>platform and</w:t>
      </w:r>
      <w:r w:rsidR="00FE6491">
        <w:t xml:space="preserve"> </w:t>
      </w:r>
      <w:r>
        <w:t xml:space="preserve">the missile inventory holding within the </w:t>
      </w:r>
      <w:r w:rsidRPr="00FE6491">
        <w:t>FRU</w:t>
      </w:r>
      <w:r w:rsidRPr="00FE6491">
        <w:rPr>
          <w:bCs/>
        </w:rPr>
        <w:t>.</w:t>
      </w:r>
      <w:r>
        <w:t xml:space="preserve"> Example display is as shown below:</w:t>
      </w:r>
    </w:p>
    <w:p w14:paraId="6E5B1484" w14:textId="5A1FA98E" w:rsidR="0069163A" w:rsidRDefault="005119E1" w:rsidP="009570CA">
      <w:pPr>
        <w:jc w:val="center"/>
        <w:rPr>
          <w:b/>
          <w:bCs/>
          <w:szCs w:val="24"/>
        </w:rPr>
      </w:pPr>
      <w:r>
        <w:rPr>
          <w:noProof/>
        </w:rPr>
        <w:drawing>
          <wp:inline distT="0" distB="0" distL="0" distR="0" wp14:anchorId="06E0476D" wp14:editId="226F2FA2">
            <wp:extent cx="4983480" cy="1499616"/>
            <wp:effectExtent l="0" t="0" r="0" b="0"/>
            <wp:docPr id="1507195305" name="Picture 1" descr="Graphical user interface, application, Word,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95305" name="Picture 1" descr="Graphical user interface, application, Word, PowerPoint&#10;&#10;Description automatically generated"/>
                    <pic:cNvPicPr/>
                  </pic:nvPicPr>
                  <pic:blipFill>
                    <a:blip/>
                    <a:stretch>
                      <a:fillRect/>
                    </a:stretch>
                  </pic:blipFill>
                  <pic:spPr>
                    <a:xfrm>
                      <a:off x="0" y="0"/>
                      <a:ext cx="4983480" cy="1499616"/>
                    </a:xfrm>
                    <a:prstGeom prst="rect">
                      <a:avLst/>
                    </a:prstGeom>
                  </pic:spPr>
                </pic:pic>
              </a:graphicData>
            </a:graphic>
          </wp:inline>
        </w:drawing>
      </w:r>
    </w:p>
    <w:p w14:paraId="372F01D1" w14:textId="1A536556" w:rsidR="0069163A" w:rsidRDefault="005119E1" w:rsidP="006D5A65">
      <w:pPr>
        <w:pStyle w:val="Heading1"/>
      </w:pPr>
      <w:r>
        <w:rPr>
          <w:bCs/>
        </w:rPr>
        <w:t>TAC: Total</w:t>
      </w:r>
      <w:r w:rsidR="006F449A">
        <w:rPr>
          <w:bCs/>
        </w:rPr>
        <w:t xml:space="preserve"> </w:t>
      </w:r>
      <w:r w:rsidR="0069163A">
        <w:t>– Represents the total number of missiles in Tactical inventory.</w:t>
      </w:r>
    </w:p>
    <w:p w14:paraId="21657E21" w14:textId="1C5353AA" w:rsidR="0069163A" w:rsidRDefault="005119E1" w:rsidP="006D5A65">
      <w:pPr>
        <w:pStyle w:val="Heading1"/>
      </w:pPr>
      <w:r>
        <w:rPr>
          <w:bCs/>
        </w:rPr>
        <w:t xml:space="preserve">LUD3/LUD4 </w:t>
      </w:r>
      <w:r w:rsidR="0069163A">
        <w:t>– Represents the total number of land attack</w:t>
      </w:r>
      <w:r>
        <w:t xml:space="preserve"> (L), unitary warhead (U), DAMA (D), AGR 3 (3) missiles and AGR 4 (4) missiles that are in the inventory.</w:t>
      </w:r>
      <w:r w:rsidR="0069163A">
        <w:t xml:space="preserve"> </w:t>
      </w:r>
    </w:p>
    <w:p w14:paraId="4DA46B3D" w14:textId="25F28D07" w:rsidR="0069163A" w:rsidRDefault="00BA53DE" w:rsidP="006D5A65">
      <w:pPr>
        <w:pStyle w:val="Heading1"/>
      </w:pPr>
      <w:r>
        <w:rPr>
          <w:bCs/>
        </w:rPr>
        <w:t xml:space="preserve">LUA4LUA5 </w:t>
      </w:r>
      <w:r w:rsidR="00C951DE">
        <w:rPr>
          <w:bCs/>
        </w:rPr>
        <w:t>–</w:t>
      </w:r>
      <w:r w:rsidR="0069163A">
        <w:t xml:space="preserve"> Represents the total number of </w:t>
      </w:r>
      <w:r>
        <w:t>land attack (L), unitary warhead (U), ACA (A), AGR 4 (4) missiles and AGR 5 (5) missiles that are in the inventory.</w:t>
      </w:r>
    </w:p>
    <w:p w14:paraId="37B2E64B" w14:textId="0A681369" w:rsidR="0069163A" w:rsidRDefault="00BA53DE" w:rsidP="006D5A65">
      <w:pPr>
        <w:pStyle w:val="Heading1"/>
      </w:pPr>
      <w:r>
        <w:rPr>
          <w:bCs/>
        </w:rPr>
        <w:t>LUP4/LUP5</w:t>
      </w:r>
      <w:r w:rsidR="0069163A">
        <w:rPr>
          <w:bCs/>
        </w:rPr>
        <w:t xml:space="preserve"> </w:t>
      </w:r>
      <w:r w:rsidR="0069163A">
        <w:t xml:space="preserve">– Represents the total number of </w:t>
      </w:r>
      <w:r>
        <w:t>land attack (L), unitary warhead (U), ACP (P), AGR 4 (4) missiles and AGR (5) missiles that are in the inventory.</w:t>
      </w:r>
    </w:p>
    <w:p w14:paraId="37A80430" w14:textId="207A6185" w:rsidR="00BA53DE" w:rsidRPr="00BB4EBE" w:rsidRDefault="00BA53DE" w:rsidP="006D5A65">
      <w:pPr>
        <w:pStyle w:val="Heading1"/>
      </w:pPr>
      <w:r>
        <w:rPr>
          <w:bCs/>
        </w:rPr>
        <w:t xml:space="preserve">SUP4/SUP5 </w:t>
      </w:r>
      <w:r w:rsidR="00C951DE">
        <w:rPr>
          <w:bCs/>
        </w:rPr>
        <w:t>–</w:t>
      </w:r>
      <w:r w:rsidR="0069163A">
        <w:t xml:space="preserve"> Represents the total number of </w:t>
      </w:r>
      <w:r>
        <w:t>maritime (S), unitary warhead (U), ACP (P), AGR 4 (4) missiles and AGR 5 (5) missiles that are in the inventory.</w:t>
      </w:r>
    </w:p>
    <w:p w14:paraId="021A633D" w14:textId="078C97CB" w:rsidR="00BA53DE" w:rsidRDefault="00BA53DE" w:rsidP="006D5A65">
      <w:pPr>
        <w:pStyle w:val="Heading1"/>
      </w:pPr>
      <w:r>
        <w:rPr>
          <w:bCs/>
        </w:rPr>
        <w:t>LJP4/LJP5 –</w:t>
      </w:r>
      <w:r>
        <w:t xml:space="preserve"> Represents the total number of land attack (L), JMEWS warhead (J), ACP (P), AGR 4 (4) missiles and AGR 5 (5) missiles that are in the inventory.</w:t>
      </w:r>
    </w:p>
    <w:p w14:paraId="65398AA2" w14:textId="58A26F54" w:rsidR="0069163A" w:rsidRPr="00BB4EBE" w:rsidRDefault="00BA53DE" w:rsidP="006D5A65">
      <w:pPr>
        <w:pStyle w:val="Heading1"/>
      </w:pPr>
      <w:r>
        <w:t>The second row is repeated for Training missile inventory.</w:t>
      </w:r>
    </w:p>
    <w:p w14:paraId="6B885C50" w14:textId="02D48D62" w:rsidR="0069163A" w:rsidRDefault="00BA53DE" w:rsidP="006D5A65">
      <w:pPr>
        <w:pStyle w:val="Heading1"/>
      </w:pPr>
      <w:r>
        <w:rPr>
          <w:noProof/>
        </w:rPr>
        <w:drawing>
          <wp:inline distT="0" distB="0" distL="0" distR="0" wp14:anchorId="680B5C5B" wp14:editId="16E2ED65">
            <wp:extent cx="308610" cy="288483"/>
            <wp:effectExtent l="0" t="0" r="0" b="0"/>
            <wp:docPr id="129958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87815" name=""/>
                    <pic:cNvPicPr/>
                  </pic:nvPicPr>
                  <pic:blipFill>
                    <a:blip/>
                    <a:stretch>
                      <a:fillRect/>
                    </a:stretch>
                  </pic:blipFill>
                  <pic:spPr>
                    <a:xfrm>
                      <a:off x="0" y="0"/>
                      <a:ext cx="310238" cy="290005"/>
                    </a:xfrm>
                    <a:prstGeom prst="rect">
                      <a:avLst/>
                    </a:prstGeom>
                  </pic:spPr>
                </pic:pic>
              </a:graphicData>
            </a:graphic>
          </wp:inline>
        </w:drawing>
      </w:r>
      <w:r>
        <w:rPr>
          <w:bCs/>
        </w:rPr>
        <w:t xml:space="preserve"> </w:t>
      </w:r>
      <w:r w:rsidR="0069163A">
        <w:t>– When clicked, will copy missiles in Tactical missile inventory to Training missile inventory</w:t>
      </w:r>
      <w:r>
        <w:t xml:space="preserve"> as the direction of the arrow denotes</w:t>
      </w:r>
      <w:r w:rsidR="0069163A">
        <w:t>.</w:t>
      </w:r>
      <w:r>
        <w:t xml:space="preserve"> This icon will be displayed only if tactical missile inventory is not empty.</w:t>
      </w:r>
    </w:p>
    <w:p w14:paraId="694A65BE" w14:textId="77777777" w:rsidR="0069163A" w:rsidRDefault="0069163A" w:rsidP="006D5A65">
      <w:pPr>
        <w:pStyle w:val="Heading1"/>
      </w:pPr>
      <w:r>
        <w:rPr>
          <w:bCs/>
        </w:rPr>
        <w:t xml:space="preserve">Request TAC Missile Inventory </w:t>
      </w:r>
      <w:r>
        <w:t>– When clicked, a Coordination Template will be created and sent to request for Tactical missile inventory from the FRU which its platform name has been selected in the Platform list view and the button pressed.</w:t>
      </w:r>
    </w:p>
    <w:p w14:paraId="662E0D74" w14:textId="580832A0" w:rsidR="0069163A" w:rsidRDefault="0069163A" w:rsidP="006D5A65">
      <w:pPr>
        <w:pStyle w:val="Heading1"/>
      </w:pPr>
      <w:r>
        <w:rPr>
          <w:bCs/>
        </w:rPr>
        <w:t xml:space="preserve">Request TRN Missile Inventory </w:t>
      </w:r>
      <w:r w:rsidR="00C951DE">
        <w:rPr>
          <w:bCs/>
        </w:rPr>
        <w:t>–</w:t>
      </w:r>
      <w:r>
        <w:t xml:space="preserve"> When clicked, a Coordination Template will be created and sent to request for Training missile inventory from the FRU which its platform name has been selected in the Platform list view and the button pressed.</w:t>
      </w:r>
    </w:p>
    <w:p w14:paraId="0FC6F668" w14:textId="3C5561EE" w:rsidR="0069163A" w:rsidRDefault="0069163A" w:rsidP="006D5A65">
      <w:pPr>
        <w:pStyle w:val="Heading1"/>
      </w:pPr>
      <w:r>
        <w:t xml:space="preserve">Handle denoted by </w:t>
      </w:r>
      <w:r>
        <w:rPr>
          <w:noProof/>
        </w:rPr>
        <w:drawing>
          <wp:inline distT="0" distB="0" distL="0" distR="0" wp14:anchorId="30C502FF" wp14:editId="0F893258">
            <wp:extent cx="151130" cy="133350"/>
            <wp:effectExtent l="0" t="0" r="0" b="0"/>
            <wp:docPr id="151607247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51130" cy="133350"/>
                    </a:xfrm>
                    <a:prstGeom prst="rect">
                      <a:avLst/>
                    </a:prstGeom>
                    <a:noFill/>
                    <a:ln>
                      <a:noFill/>
                    </a:ln>
                  </pic:spPr>
                </pic:pic>
              </a:graphicData>
            </a:graphic>
          </wp:inline>
        </w:drawing>
      </w:r>
      <w:r>
        <w:t xml:space="preserve"> </w:t>
      </w:r>
      <w:r w:rsidR="00C951DE">
        <w:t>–</w:t>
      </w:r>
      <w:r>
        <w:t xml:space="preserve"> When a row is selected (indicated by light blue color highlighting the row) and </w:t>
      </w:r>
      <w:r w:rsidR="00A577AC">
        <w:t xml:space="preserve">the </w:t>
      </w:r>
      <w:r>
        <w:t xml:space="preserve">cursor is </w:t>
      </w:r>
      <w:r>
        <w:lastRenderedPageBreak/>
        <w:t>hover</w:t>
      </w:r>
      <w:r w:rsidR="00BA53DE">
        <w:t xml:space="preserve">ing over the handle </w:t>
      </w:r>
      <w:r w:rsidR="00FC6B75">
        <w:t>icon;</w:t>
      </w:r>
      <w:r>
        <w:t xml:space="preserve"> the </w:t>
      </w:r>
      <w:r w:rsidR="00BA53DE">
        <w:t xml:space="preserve">arrow </w:t>
      </w:r>
      <w:r>
        <w:t xml:space="preserve">cursor turns into a </w:t>
      </w:r>
      <w:r w:rsidR="00BA53DE">
        <w:t xml:space="preserve">hand </w:t>
      </w:r>
      <w:r>
        <w:t>cursor. This signifies that the selected platform can be dragged and dropped to another object in another window.</w:t>
      </w:r>
    </w:p>
    <w:p w14:paraId="5EE7B066" w14:textId="37EE6C0D" w:rsidR="0069163A" w:rsidRPr="00BB4EBE" w:rsidRDefault="0069163A" w:rsidP="006D5A65">
      <w:pPr>
        <w:pStyle w:val="Heading1"/>
      </w:pPr>
      <w:r>
        <w:rPr>
          <w:bCs/>
        </w:rPr>
        <w:t xml:space="preserve">Alias denoted by </w:t>
      </w:r>
      <w:r w:rsidR="00BA53DE">
        <w:rPr>
          <w:noProof/>
        </w:rPr>
        <w:drawing>
          <wp:inline distT="0" distB="0" distL="0" distR="0" wp14:anchorId="3264E4A0" wp14:editId="63A39395">
            <wp:extent cx="182880" cy="182880"/>
            <wp:effectExtent l="0" t="0" r="7620" b="7620"/>
            <wp:docPr id="140440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00774" name=""/>
                    <pic:cNvPicPr/>
                  </pic:nvPicPr>
                  <pic:blipFill>
                    <a:blip/>
                    <a:stretch>
                      <a:fillRect/>
                    </a:stretch>
                  </pic:blipFill>
                  <pic:spPr>
                    <a:xfrm>
                      <a:off x="0" y="0"/>
                      <a:ext cx="182880" cy="182880"/>
                    </a:xfrm>
                    <a:prstGeom prst="rect">
                      <a:avLst/>
                    </a:prstGeom>
                  </pic:spPr>
                </pic:pic>
              </a:graphicData>
            </a:graphic>
          </wp:inline>
        </w:drawing>
      </w:r>
      <w:r>
        <w:t xml:space="preserve"> – </w:t>
      </w:r>
      <w:r w:rsidR="00BA53DE" w:rsidRPr="00B164AD">
        <w:rPr>
          <w:bCs/>
        </w:rPr>
        <w:t>Alias icon</w:t>
      </w:r>
      <w:r w:rsidR="00BA53DE">
        <w:t xml:space="preserve"> is displayed in the middle of the row whenever the arrow cursor is hovering over a row. When the arrow cursor is hovered above the Alias icon, the cursor changes into a finger pointing icon. Clicking on the left mouse button will bring up a small text field form for user to enter an alias for the platform. Aliases are used to match a TLAM Inventory Reports (</w:t>
      </w:r>
      <w:r w:rsidR="00BA53DE">
        <w:rPr>
          <w:bCs/>
        </w:rPr>
        <w:t>TIR</w:t>
      </w:r>
      <w:r w:rsidR="00BA53DE">
        <w:t>) originator when receiving a TIR. An Alias is a name that corresponds to an existing platform and helps MDS determine from what platform the message originated. Example: When reading in a TIR for the USS BUNKER HILL, the MSGID line of the message might say, BKHILL. MDS cannot make the correct association and properly update the missile inventory. By adding an Alias of BKHILL, MDS can make the association and process the TIR.</w:t>
      </w:r>
    </w:p>
    <w:p w14:paraId="4E8E05DF" w14:textId="44028247" w:rsidR="00BA53DE" w:rsidRPr="00BA53DE" w:rsidRDefault="00BA53DE" w:rsidP="00BB4EBE">
      <w:pPr>
        <w:jc w:val="center"/>
        <w:rPr>
          <w:b/>
          <w:szCs w:val="24"/>
        </w:rPr>
      </w:pPr>
      <w:r>
        <w:rPr>
          <w:noProof/>
        </w:rPr>
        <w:drawing>
          <wp:inline distT="0" distB="0" distL="0" distR="0" wp14:anchorId="2F4CAE58" wp14:editId="6E876794">
            <wp:extent cx="1371600" cy="448056"/>
            <wp:effectExtent l="0" t="0" r="0" b="0"/>
            <wp:docPr id="95940826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08260" name="Picture 1" descr="Text&#10;&#10;Description automatically generated"/>
                    <pic:cNvPicPr/>
                  </pic:nvPicPr>
                  <pic:blipFill>
                    <a:blip/>
                    <a:stretch>
                      <a:fillRect/>
                    </a:stretch>
                  </pic:blipFill>
                  <pic:spPr>
                    <a:xfrm>
                      <a:off x="0" y="0"/>
                      <a:ext cx="1371600" cy="448056"/>
                    </a:xfrm>
                    <a:prstGeom prst="rect">
                      <a:avLst/>
                    </a:prstGeom>
                  </pic:spPr>
                </pic:pic>
              </a:graphicData>
            </a:graphic>
          </wp:inline>
        </w:drawing>
      </w:r>
    </w:p>
    <w:p w14:paraId="796710DE" w14:textId="4729D26F" w:rsidR="0069163A" w:rsidRDefault="0069163A" w:rsidP="006D5A65">
      <w:pPr>
        <w:pStyle w:val="Heading1"/>
      </w:pPr>
      <w:r>
        <w:rPr>
          <w:bCs/>
        </w:rPr>
        <w:t xml:space="preserve">Send </w:t>
      </w:r>
      <w:r>
        <w:rPr>
          <w:noProof/>
        </w:rPr>
        <w:drawing>
          <wp:inline distT="0" distB="0" distL="0" distR="0" wp14:anchorId="47F8CCBF" wp14:editId="6C9D4C76">
            <wp:extent cx="216976" cy="241148"/>
            <wp:effectExtent l="0" t="0" r="0" b="0"/>
            <wp:docPr id="94195644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4719" cy="249753"/>
                    </a:xfrm>
                    <a:prstGeom prst="rect">
                      <a:avLst/>
                    </a:prstGeom>
                    <a:noFill/>
                    <a:ln>
                      <a:noFill/>
                    </a:ln>
                  </pic:spPr>
                </pic:pic>
              </a:graphicData>
            </a:graphic>
          </wp:inline>
        </w:drawing>
      </w:r>
      <w:r>
        <w:rPr>
          <w:bCs/>
        </w:rPr>
        <w:t xml:space="preserve"> </w:t>
      </w:r>
      <w:r w:rsidR="00A577AC">
        <w:rPr>
          <w:bCs/>
        </w:rPr>
        <w:t>–</w:t>
      </w:r>
      <w:r>
        <w:rPr>
          <w:bCs/>
        </w:rPr>
        <w:t xml:space="preserve"> </w:t>
      </w:r>
      <w:r w:rsidR="00BA53DE">
        <w:rPr>
          <w:bCs/>
        </w:rPr>
        <w:t>Send</w:t>
      </w:r>
      <w:r w:rsidR="00BA53DE" w:rsidRPr="004549C9">
        <w:rPr>
          <w:bCs/>
        </w:rPr>
        <w:t xml:space="preserve"> icon</w:t>
      </w:r>
      <w:r w:rsidR="00BA53DE">
        <w:t xml:space="preserve"> is displayed in the middle of the row whenever the arrow cursor is hovering over a row. When the arrow cursor is hovered above the Send icon, the cursor changes into a finger pointing icon. Clicking on the left mouse button will bring up</w:t>
      </w:r>
      <w:r w:rsidR="00BA53DE" w:rsidDel="00722DEE">
        <w:t xml:space="preserve"> </w:t>
      </w:r>
      <w:r w:rsidR="00BA53DE">
        <w:t xml:space="preserve">a pop out menu giving the user an option to send all data </w:t>
      </w:r>
      <w:r w:rsidR="00B07920">
        <w:t>items,</w:t>
      </w:r>
      <w:r w:rsidR="00BA53DE">
        <w:t xml:space="preserve"> or one or more listed data items shown on the menu.</w:t>
      </w:r>
    </w:p>
    <w:p w14:paraId="20288EF4" w14:textId="0DB9E886" w:rsidR="00BA53DE" w:rsidRDefault="00BA53DE" w:rsidP="00F703EB">
      <w:pPr>
        <w:jc w:val="center"/>
        <w:rPr>
          <w:szCs w:val="24"/>
        </w:rPr>
      </w:pPr>
      <w:r>
        <w:rPr>
          <w:noProof/>
        </w:rPr>
        <w:drawing>
          <wp:inline distT="0" distB="0" distL="0" distR="0" wp14:anchorId="301A20F1" wp14:editId="3769BD14">
            <wp:extent cx="1371600" cy="1005840"/>
            <wp:effectExtent l="0" t="0" r="0" b="0"/>
            <wp:docPr id="1497573123"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73123" name="Picture 1" descr="Graphical user interface, text, application&#10;&#10;Description automatically generated"/>
                    <pic:cNvPicPr/>
                  </pic:nvPicPr>
                  <pic:blipFill>
                    <a:blip/>
                    <a:stretch>
                      <a:fillRect/>
                    </a:stretch>
                  </pic:blipFill>
                  <pic:spPr>
                    <a:xfrm>
                      <a:off x="0" y="0"/>
                      <a:ext cx="1371600" cy="1005840"/>
                    </a:xfrm>
                    <a:prstGeom prst="rect">
                      <a:avLst/>
                    </a:prstGeom>
                  </pic:spPr>
                </pic:pic>
              </a:graphicData>
            </a:graphic>
          </wp:inline>
        </w:drawing>
      </w:r>
    </w:p>
    <w:p w14:paraId="31FE88FA" w14:textId="4BA0B03A" w:rsidR="00BA53DE" w:rsidRDefault="00BA53DE" w:rsidP="00BB4EBE">
      <w:pPr>
        <w:ind w:left="720"/>
        <w:rPr>
          <w:szCs w:val="24"/>
        </w:rPr>
      </w:pPr>
      <w:r>
        <w:rPr>
          <w:szCs w:val="24"/>
        </w:rPr>
        <w:t>Clicking the “TO:” button will bring up an Address Book dialogue window for user to select addressees to distribute the selected data.</w:t>
      </w:r>
    </w:p>
    <w:p w14:paraId="1BDB9339" w14:textId="4016156B" w:rsidR="00BA53DE" w:rsidRDefault="00BA53DE" w:rsidP="00BB4EBE">
      <w:pPr>
        <w:jc w:val="center"/>
        <w:rPr>
          <w:szCs w:val="24"/>
        </w:rPr>
      </w:pPr>
      <w:r>
        <w:rPr>
          <w:noProof/>
        </w:rPr>
        <w:lastRenderedPageBreak/>
        <w:drawing>
          <wp:inline distT="0" distB="0" distL="0" distR="0" wp14:anchorId="2A407699" wp14:editId="143077C3">
            <wp:extent cx="3657600" cy="1920240"/>
            <wp:effectExtent l="0" t="0" r="0" b="0"/>
            <wp:docPr id="1453591278"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91278" name="Picture 1" descr="Graphical user interface, application&#10;&#10;Description automatically generated"/>
                    <pic:cNvPicPr/>
                  </pic:nvPicPr>
                  <pic:blipFill>
                    <a:blip/>
                    <a:stretch>
                      <a:fillRect/>
                    </a:stretch>
                  </pic:blipFill>
                  <pic:spPr>
                    <a:xfrm>
                      <a:off x="0" y="0"/>
                      <a:ext cx="3657600" cy="1920240"/>
                    </a:xfrm>
                    <a:prstGeom prst="rect">
                      <a:avLst/>
                    </a:prstGeom>
                  </pic:spPr>
                </pic:pic>
              </a:graphicData>
            </a:graphic>
          </wp:inline>
        </w:drawing>
      </w:r>
    </w:p>
    <w:p w14:paraId="01FF105C" w14:textId="77777777" w:rsidR="0069163A" w:rsidRDefault="0069163A" w:rsidP="009570CA">
      <w:pPr>
        <w:pStyle w:val="Heading4"/>
      </w:pPr>
      <w:bookmarkStart w:id="2032" w:name="_Toc165532029"/>
      <w:r>
        <w:t>Graphical Missiles Inventory</w:t>
      </w:r>
      <w:bookmarkEnd w:id="2032"/>
    </w:p>
    <w:p w14:paraId="312348B4" w14:textId="3CB5067A" w:rsidR="0069163A" w:rsidRDefault="0069163A" w:rsidP="009570CA">
      <w:r>
        <w:t xml:space="preserve">The </w:t>
      </w:r>
      <w:r>
        <w:rPr>
          <w:b/>
          <w:bCs/>
        </w:rPr>
        <w:t xml:space="preserve">Graphical Missiles Inventory </w:t>
      </w:r>
      <w:r>
        <w:t xml:space="preserve">displays detailed allocation of missiles in a particular cell in </w:t>
      </w:r>
      <w:r w:rsidR="00A577AC">
        <w:t xml:space="preserve">a </w:t>
      </w:r>
      <w:r>
        <w:t xml:space="preserve">platform’s missile inventory. When the detail of a platform is activated by clicking on the expand </w:t>
      </w:r>
      <w:r w:rsidR="00847352">
        <w:rPr>
          <w:noProof/>
        </w:rPr>
        <w:drawing>
          <wp:inline distT="0" distB="0" distL="0" distR="0" wp14:anchorId="392092A9" wp14:editId="31A73703">
            <wp:extent cx="283845" cy="182245"/>
            <wp:effectExtent l="0" t="0" r="0" b="0"/>
            <wp:docPr id="177556484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83845" cy="182245"/>
                    </a:xfrm>
                    <a:prstGeom prst="rect">
                      <a:avLst/>
                    </a:prstGeom>
                    <a:noFill/>
                    <a:ln>
                      <a:noFill/>
                    </a:ln>
                  </pic:spPr>
                </pic:pic>
              </a:graphicData>
            </a:graphic>
          </wp:inline>
        </w:drawing>
      </w:r>
      <w:r w:rsidR="00847352">
        <w:t xml:space="preserve"> </w:t>
      </w:r>
      <w:r>
        <w:t>icon, the display will show the platform’s inventory as shown below, which the detail of USS Bunker Hill has been expanded.</w:t>
      </w:r>
    </w:p>
    <w:p w14:paraId="31A8EC79" w14:textId="529278E5" w:rsidR="0069163A" w:rsidRDefault="00A9038E" w:rsidP="009570CA">
      <w:pPr>
        <w:jc w:val="center"/>
      </w:pPr>
      <w:r>
        <w:rPr>
          <w:noProof/>
        </w:rPr>
        <w:drawing>
          <wp:inline distT="0" distB="0" distL="0" distR="0" wp14:anchorId="6C89DA4D" wp14:editId="1D22953E">
            <wp:extent cx="4983480" cy="1389888"/>
            <wp:effectExtent l="0" t="0" r="0" b="0"/>
            <wp:docPr id="1585250965" name="Picture 1"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50965" name="Picture 1" descr="Table&#10;&#10;Description automatically generated with low confidence"/>
                    <pic:cNvPicPr/>
                  </pic:nvPicPr>
                  <pic:blipFill>
                    <a:blip/>
                    <a:stretch>
                      <a:fillRect/>
                    </a:stretch>
                  </pic:blipFill>
                  <pic:spPr>
                    <a:xfrm>
                      <a:off x="0" y="0"/>
                      <a:ext cx="4983480" cy="1389888"/>
                    </a:xfrm>
                    <a:prstGeom prst="rect">
                      <a:avLst/>
                    </a:prstGeom>
                  </pic:spPr>
                </pic:pic>
              </a:graphicData>
            </a:graphic>
          </wp:inline>
        </w:drawing>
      </w:r>
    </w:p>
    <w:p w14:paraId="3884A896" w14:textId="4503915A" w:rsidR="0069163A" w:rsidRDefault="0069163A" w:rsidP="009570CA">
      <w:r>
        <w:t>To copy Tactical Missile Inventory to Training Missile Inventory, click on</w:t>
      </w:r>
      <w:r w:rsidR="00A577AC">
        <w:t xml:space="preserve"> the</w:t>
      </w:r>
      <w:r>
        <w:t xml:space="preserve"> </w:t>
      </w:r>
      <w:r w:rsidRPr="003409A8">
        <w:rPr>
          <w:b/>
          <w:bCs/>
        </w:rPr>
        <w:t>Copy Missile Inventory</w:t>
      </w:r>
      <w:r>
        <w:t xml:space="preserve"> </w:t>
      </w:r>
      <w:r w:rsidR="00A9038E">
        <w:rPr>
          <w:noProof/>
        </w:rPr>
        <w:drawing>
          <wp:inline distT="0" distB="0" distL="0" distR="0" wp14:anchorId="7767B3B4" wp14:editId="6065FBF2">
            <wp:extent cx="308610" cy="288483"/>
            <wp:effectExtent l="0" t="0" r="0" b="0"/>
            <wp:docPr id="106321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87815" name=""/>
                    <pic:cNvPicPr/>
                  </pic:nvPicPr>
                  <pic:blipFill>
                    <a:blip/>
                    <a:stretch>
                      <a:fillRect/>
                    </a:stretch>
                  </pic:blipFill>
                  <pic:spPr>
                    <a:xfrm>
                      <a:off x="0" y="0"/>
                      <a:ext cx="310238" cy="290005"/>
                    </a:xfrm>
                    <a:prstGeom prst="rect">
                      <a:avLst/>
                    </a:prstGeom>
                  </pic:spPr>
                </pic:pic>
              </a:graphicData>
            </a:graphic>
          </wp:inline>
        </w:drawing>
      </w:r>
      <w:r w:rsidR="007C72C6">
        <w:t xml:space="preserve"> icon</w:t>
      </w:r>
      <w:r>
        <w:t xml:space="preserve"> on the </w:t>
      </w:r>
      <w:r w:rsidR="00A9038E">
        <w:t>left side</w:t>
      </w:r>
      <w:r>
        <w:t>.</w:t>
      </w:r>
    </w:p>
    <w:p w14:paraId="54445909" w14:textId="6AB7A8BE" w:rsidR="0069163A" w:rsidRDefault="0069163A" w:rsidP="009570CA">
      <w:bookmarkStart w:id="2033" w:name="_Hlk173479595"/>
      <w:r>
        <w:t xml:space="preserve">To request the platform to send their </w:t>
      </w:r>
      <w:r w:rsidR="0085178E">
        <w:t xml:space="preserve">tactical </w:t>
      </w:r>
      <w:r>
        <w:t>missile inventory loading, click on</w:t>
      </w:r>
      <w:r w:rsidR="00A577AC">
        <w:t xml:space="preserve"> the</w:t>
      </w:r>
      <w:r>
        <w:t xml:space="preserve"> </w:t>
      </w:r>
      <w:r w:rsidRPr="003409A8">
        <w:rPr>
          <w:b/>
          <w:bCs/>
        </w:rPr>
        <w:t>Request TAC Missile Inventory</w:t>
      </w:r>
      <w:r>
        <w:t xml:space="preserve"> button. A Coordination Template will automatically be sent to request tactical missile inventory from the platform. </w:t>
      </w:r>
    </w:p>
    <w:p w14:paraId="5D18803D" w14:textId="6732DB66" w:rsidR="0069163A" w:rsidRDefault="0069163A" w:rsidP="009570CA">
      <w:bookmarkStart w:id="2034" w:name="_Hlk173479563"/>
      <w:r>
        <w:t xml:space="preserve">To request the platform to send their </w:t>
      </w:r>
      <w:r w:rsidR="0085178E">
        <w:t xml:space="preserve">training </w:t>
      </w:r>
      <w:r>
        <w:t>missile inventory loading, click on</w:t>
      </w:r>
      <w:r w:rsidR="00A577AC">
        <w:t xml:space="preserve"> the</w:t>
      </w:r>
      <w:r>
        <w:t xml:space="preserve"> </w:t>
      </w:r>
      <w:r w:rsidRPr="003409A8">
        <w:rPr>
          <w:b/>
          <w:bCs/>
        </w:rPr>
        <w:t>Request TRN Missile Inventory</w:t>
      </w:r>
      <w:r>
        <w:t xml:space="preserve"> button. A Coordination Template will automatically be sent to request training missile inventory from the platform.</w:t>
      </w:r>
    </w:p>
    <w:bookmarkEnd w:id="2033"/>
    <w:bookmarkEnd w:id="2034"/>
    <w:p w14:paraId="0FFC996D" w14:textId="5B6DFDF4" w:rsidR="0069163A" w:rsidRDefault="0069163A" w:rsidP="009570CA">
      <w:r>
        <w:t xml:space="preserve">To see the graphical missiles inventory layout, click on any of the boxes shown below, </w:t>
      </w:r>
      <w:r w:rsidR="00A577AC">
        <w:t xml:space="preserve">and </w:t>
      </w:r>
      <w:r>
        <w:t xml:space="preserve">a detailed view of the graphical display of missile inventory will be displayed in </w:t>
      </w:r>
      <w:r w:rsidRPr="003409A8">
        <w:rPr>
          <w:b/>
          <w:bCs/>
        </w:rPr>
        <w:t>Missiles</w:t>
      </w:r>
      <w:r>
        <w:t xml:space="preserve"> window. </w:t>
      </w:r>
    </w:p>
    <w:p w14:paraId="6896A856" w14:textId="34EBF5D3" w:rsidR="0069163A" w:rsidRDefault="00A9038E" w:rsidP="009570CA">
      <w:pPr>
        <w:spacing w:before="120"/>
        <w:jc w:val="center"/>
      </w:pPr>
      <w:r>
        <w:rPr>
          <w:noProof/>
        </w:rPr>
        <w:drawing>
          <wp:inline distT="0" distB="0" distL="0" distR="0" wp14:anchorId="6D04A4BD" wp14:editId="52C43135">
            <wp:extent cx="4983480" cy="1143000"/>
            <wp:effectExtent l="0" t="0" r="0" b="0"/>
            <wp:docPr id="547239777"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39777" name="Picture 1" descr="Graphical user interface&#10;&#10;Description automatically generated"/>
                    <pic:cNvPicPr/>
                  </pic:nvPicPr>
                  <pic:blipFill>
                    <a:blip/>
                    <a:stretch>
                      <a:fillRect/>
                    </a:stretch>
                  </pic:blipFill>
                  <pic:spPr>
                    <a:xfrm>
                      <a:off x="0" y="0"/>
                      <a:ext cx="4983480" cy="1143000"/>
                    </a:xfrm>
                    <a:prstGeom prst="rect">
                      <a:avLst/>
                    </a:prstGeom>
                  </pic:spPr>
                </pic:pic>
              </a:graphicData>
            </a:graphic>
          </wp:inline>
        </w:drawing>
      </w:r>
    </w:p>
    <w:p w14:paraId="7796AB89" w14:textId="0B7AD116" w:rsidR="00A9038E" w:rsidRDefault="00A9038E" w:rsidP="00A9038E">
      <w:pPr>
        <w:spacing w:before="120"/>
      </w:pPr>
      <w:r>
        <w:lastRenderedPageBreak/>
        <w:t xml:space="preserve">When any one of the boxes </w:t>
      </w:r>
      <w:r w:rsidR="002F0F36">
        <w:t>is</w:t>
      </w:r>
      <w:r>
        <w:t xml:space="preserve"> clicked, a missile list window is displayed as shown below. </w:t>
      </w:r>
    </w:p>
    <w:p w14:paraId="6A3F9C2E" w14:textId="77777777" w:rsidR="00A9038E" w:rsidRDefault="00A9038E" w:rsidP="00BB4EBE">
      <w:pPr>
        <w:spacing w:before="120"/>
        <w:jc w:val="center"/>
      </w:pPr>
      <w:r>
        <w:rPr>
          <w:noProof/>
        </w:rPr>
        <w:drawing>
          <wp:inline distT="0" distB="0" distL="0" distR="0" wp14:anchorId="2942CAFF" wp14:editId="4BA0953F">
            <wp:extent cx="4983480" cy="2093976"/>
            <wp:effectExtent l="0" t="0" r="0" b="0"/>
            <wp:docPr id="729296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9685" name="Picture 1" descr="A screenshot of a computer&#10;&#10;Description automatically generated"/>
                    <pic:cNvPicPr/>
                  </pic:nvPicPr>
                  <pic:blipFill>
                    <a:blip/>
                    <a:stretch>
                      <a:fillRect/>
                    </a:stretch>
                  </pic:blipFill>
                  <pic:spPr>
                    <a:xfrm>
                      <a:off x="0" y="0"/>
                      <a:ext cx="4983480" cy="2093976"/>
                    </a:xfrm>
                    <a:prstGeom prst="rect">
                      <a:avLst/>
                    </a:prstGeom>
                  </pic:spPr>
                </pic:pic>
              </a:graphicData>
            </a:graphic>
          </wp:inline>
        </w:drawing>
      </w:r>
    </w:p>
    <w:p w14:paraId="6E3BB12B" w14:textId="05255CE6" w:rsidR="00F406C8" w:rsidRDefault="00A9038E" w:rsidP="00BB4EBE">
      <w:bookmarkStart w:id="2035" w:name="_Hlk173479829"/>
      <w:r>
        <w:t>If any of the box</w:t>
      </w:r>
      <w:r w:rsidR="008820DB">
        <w:t>es</w:t>
      </w:r>
      <w:r>
        <w:t xml:space="preserve"> that </w:t>
      </w:r>
      <w:r w:rsidR="008820DB">
        <w:t xml:space="preserve">have </w:t>
      </w:r>
      <w:r>
        <w:t xml:space="preserve">been clicked (cursor hovering over it and left mouse button clicked) and </w:t>
      </w:r>
      <w:r w:rsidR="008820DB">
        <w:t xml:space="preserve">are </w:t>
      </w:r>
      <w:r>
        <w:t xml:space="preserve">not a box that records total count of missiles, then every cell in the missile inventory that contains a variant missile indicated by the label of the box will have a blue outline around the missile cell as show below. </w:t>
      </w:r>
      <w:bookmarkStart w:id="2036" w:name="_Hlk173480155"/>
      <w:bookmarkEnd w:id="2035"/>
      <w:r>
        <w:t xml:space="preserve">The MISSILES window can be moved, dragged to a different position, and enlarged in similar fashion as Microsoft windows are manipulated. Below is an example of </w:t>
      </w:r>
      <w:r w:rsidR="008820DB">
        <w:t xml:space="preserve">the </w:t>
      </w:r>
      <w:r>
        <w:t xml:space="preserve">MISSILES windows display when </w:t>
      </w:r>
      <w:r w:rsidR="008820DB">
        <w:t xml:space="preserve">the </w:t>
      </w:r>
      <w:r>
        <w:t>LUA4/LUA5 box has been clicked in PLATFOR</w:t>
      </w:r>
      <w:r w:rsidR="00CC4792">
        <w:t>M</w:t>
      </w:r>
      <w:r>
        <w:t>S window.</w:t>
      </w:r>
    </w:p>
    <w:p w14:paraId="16B1EAF1" w14:textId="5FFDDBCB" w:rsidR="00F51F98" w:rsidRPr="00F406C8" w:rsidRDefault="00F51F98" w:rsidP="00F51F98">
      <w:pPr>
        <w:jc w:val="center"/>
      </w:pPr>
      <w:r>
        <w:rPr>
          <w:noProof/>
        </w:rPr>
        <w:drawing>
          <wp:inline distT="0" distB="0" distL="0" distR="0" wp14:anchorId="28E5D8B5" wp14:editId="3C248DC2">
            <wp:extent cx="4121846" cy="1907674"/>
            <wp:effectExtent l="0" t="0" r="0" b="0"/>
            <wp:docPr id="2016657978" name="Picture 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7978" name="Picture 1" descr="Graphical user interface, table&#10;&#10;Description automatically generated"/>
                    <pic:cNvPicPr/>
                  </pic:nvPicPr>
                  <pic:blipFill>
                    <a:blip/>
                    <a:stretch>
                      <a:fillRect/>
                    </a:stretch>
                  </pic:blipFill>
                  <pic:spPr>
                    <a:xfrm>
                      <a:off x="0" y="0"/>
                      <a:ext cx="4146620" cy="1919140"/>
                    </a:xfrm>
                    <a:prstGeom prst="rect">
                      <a:avLst/>
                    </a:prstGeom>
                  </pic:spPr>
                </pic:pic>
              </a:graphicData>
            </a:graphic>
          </wp:inline>
        </w:drawing>
      </w:r>
    </w:p>
    <w:p w14:paraId="05C0E23D" w14:textId="531D8F62" w:rsidR="0069163A" w:rsidRPr="008A550A" w:rsidRDefault="0069163A" w:rsidP="004B1275">
      <w:pPr>
        <w:pStyle w:val="Heading5"/>
        <w:keepNext w:val="0"/>
      </w:pPr>
      <w:bookmarkStart w:id="2037" w:name="_4-Character_Missile_Type"/>
      <w:bookmarkStart w:id="2038" w:name="MissileCode"/>
      <w:bookmarkEnd w:id="2036"/>
      <w:bookmarkEnd w:id="2037"/>
      <w:r>
        <w:t>4-Character Missile Type Code</w:t>
      </w:r>
    </w:p>
    <w:bookmarkEnd w:id="2038"/>
    <w:p w14:paraId="53B3FF46" w14:textId="77777777" w:rsidR="0069163A" w:rsidRDefault="0069163A" w:rsidP="009570CA">
      <w:r>
        <w:t xml:space="preserve">The 4-character missile type displayed in any cell allocated to a missile is displayed throughout in PMT and in MDS. </w:t>
      </w:r>
    </w:p>
    <w:p w14:paraId="3B54F45A" w14:textId="77777777" w:rsidR="0069163A" w:rsidRDefault="0069163A" w:rsidP="004B1275">
      <w:r>
        <w:t xml:space="preserve">The 4-character missile type is structured as &lt;Missile Type&gt;&lt;Warhead Type&gt;&lt;TSN Type&gt;&lt;GPS Type&gt; per the table below: </w:t>
      </w:r>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68"/>
        <w:gridCol w:w="6862"/>
      </w:tblGrid>
      <w:tr w:rsidR="0069163A" w14:paraId="60AE46ED" w14:textId="77777777" w:rsidTr="0069163A">
        <w:trPr>
          <w:tblHeader/>
          <w:jc w:val="center"/>
        </w:trPr>
        <w:tc>
          <w:tcPr>
            <w:tcW w:w="18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52EE4F4" w14:textId="77777777" w:rsidR="0069163A" w:rsidRDefault="0069163A" w:rsidP="004B1275">
            <w:pPr>
              <w:spacing w:before="60" w:after="60"/>
              <w:jc w:val="center"/>
              <w:rPr>
                <w:b/>
                <w:sz w:val="22"/>
                <w:szCs w:val="22"/>
              </w:rPr>
            </w:pPr>
            <w:r>
              <w:rPr>
                <w:b/>
                <w:sz w:val="22"/>
                <w:szCs w:val="22"/>
              </w:rPr>
              <w:t>Missile Type</w:t>
            </w:r>
          </w:p>
        </w:tc>
        <w:tc>
          <w:tcPr>
            <w:tcW w:w="685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1250B0" w14:textId="77777777" w:rsidR="0069163A" w:rsidRDefault="0069163A" w:rsidP="00D25462">
            <w:pPr>
              <w:keepNext/>
              <w:keepLines/>
              <w:spacing w:before="60" w:after="60"/>
              <w:jc w:val="center"/>
              <w:rPr>
                <w:b/>
                <w:sz w:val="22"/>
                <w:szCs w:val="22"/>
              </w:rPr>
            </w:pPr>
            <w:r>
              <w:rPr>
                <w:b/>
                <w:sz w:val="22"/>
                <w:szCs w:val="22"/>
              </w:rPr>
              <w:t>Description</w:t>
            </w:r>
          </w:p>
        </w:tc>
      </w:tr>
      <w:tr w:rsidR="0069163A" w14:paraId="08E93CC9"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18E3EDE2" w14:textId="77777777" w:rsidR="0069163A" w:rsidRDefault="0069163A" w:rsidP="004B1275">
            <w:pPr>
              <w:spacing w:before="60" w:after="60"/>
              <w:jc w:val="center"/>
              <w:rPr>
                <w:sz w:val="20"/>
              </w:rPr>
            </w:pPr>
            <w:r>
              <w:rPr>
                <w:sz w:val="20"/>
              </w:rPr>
              <w:t>S</w:t>
            </w:r>
          </w:p>
        </w:tc>
        <w:tc>
          <w:tcPr>
            <w:tcW w:w="6858" w:type="dxa"/>
            <w:tcBorders>
              <w:top w:val="single" w:sz="4" w:space="0" w:color="auto"/>
              <w:left w:val="single" w:sz="4" w:space="0" w:color="auto"/>
              <w:bottom w:val="single" w:sz="4" w:space="0" w:color="auto"/>
              <w:right w:val="single" w:sz="4" w:space="0" w:color="auto"/>
            </w:tcBorders>
            <w:hideMark/>
          </w:tcPr>
          <w:p w14:paraId="7B29AD45" w14:textId="77777777" w:rsidR="0069163A" w:rsidRDefault="0069163A" w:rsidP="00D25462">
            <w:pPr>
              <w:keepNext/>
              <w:keepLines/>
              <w:spacing w:before="60" w:after="60"/>
              <w:rPr>
                <w:sz w:val="20"/>
              </w:rPr>
            </w:pPr>
            <w:r>
              <w:rPr>
                <w:sz w:val="20"/>
              </w:rPr>
              <w:t>Tactical R/UGM-109E with Seeker</w:t>
            </w:r>
          </w:p>
        </w:tc>
      </w:tr>
      <w:tr w:rsidR="0069163A" w14:paraId="38A53ABE"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76CDA34A" w14:textId="77777777" w:rsidR="0069163A" w:rsidRDefault="0069163A" w:rsidP="004B1275">
            <w:pPr>
              <w:spacing w:before="60" w:after="60"/>
              <w:jc w:val="center"/>
              <w:rPr>
                <w:sz w:val="20"/>
              </w:rPr>
            </w:pPr>
            <w:r>
              <w:rPr>
                <w:sz w:val="20"/>
              </w:rPr>
              <w:t>L</w:t>
            </w:r>
          </w:p>
        </w:tc>
        <w:tc>
          <w:tcPr>
            <w:tcW w:w="6858" w:type="dxa"/>
            <w:tcBorders>
              <w:top w:val="single" w:sz="4" w:space="0" w:color="auto"/>
              <w:left w:val="single" w:sz="4" w:space="0" w:color="auto"/>
              <w:bottom w:val="single" w:sz="4" w:space="0" w:color="auto"/>
              <w:right w:val="single" w:sz="4" w:space="0" w:color="auto"/>
            </w:tcBorders>
            <w:hideMark/>
          </w:tcPr>
          <w:p w14:paraId="49FE3788" w14:textId="77777777" w:rsidR="0069163A" w:rsidRDefault="0069163A" w:rsidP="00D25462">
            <w:pPr>
              <w:keepNext/>
              <w:keepLines/>
              <w:spacing w:before="60" w:after="60"/>
              <w:rPr>
                <w:sz w:val="20"/>
              </w:rPr>
            </w:pPr>
            <w:r>
              <w:rPr>
                <w:sz w:val="20"/>
              </w:rPr>
              <w:t>Tactical R/UGM-109E without Seeker</w:t>
            </w:r>
          </w:p>
        </w:tc>
      </w:tr>
      <w:tr w:rsidR="0069163A" w14:paraId="73984EFE"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35CB58CD" w14:textId="77777777" w:rsidR="0069163A" w:rsidRDefault="0069163A" w:rsidP="004B1275">
            <w:pPr>
              <w:spacing w:before="60" w:after="60"/>
              <w:jc w:val="center"/>
              <w:rPr>
                <w:sz w:val="20"/>
              </w:rPr>
            </w:pPr>
            <w:r>
              <w:rPr>
                <w:sz w:val="20"/>
              </w:rPr>
              <w:t>X</w:t>
            </w:r>
          </w:p>
        </w:tc>
        <w:tc>
          <w:tcPr>
            <w:tcW w:w="6858" w:type="dxa"/>
            <w:tcBorders>
              <w:top w:val="single" w:sz="4" w:space="0" w:color="auto"/>
              <w:left w:val="single" w:sz="4" w:space="0" w:color="auto"/>
              <w:bottom w:val="single" w:sz="4" w:space="0" w:color="auto"/>
              <w:right w:val="single" w:sz="4" w:space="0" w:color="auto"/>
            </w:tcBorders>
            <w:hideMark/>
          </w:tcPr>
          <w:p w14:paraId="551A78C7" w14:textId="77777777" w:rsidR="0069163A" w:rsidRDefault="0069163A" w:rsidP="00D25462">
            <w:pPr>
              <w:keepNext/>
              <w:keepLines/>
              <w:spacing w:before="60" w:after="60"/>
              <w:rPr>
                <w:sz w:val="20"/>
              </w:rPr>
            </w:pPr>
            <w:r>
              <w:rPr>
                <w:sz w:val="20"/>
              </w:rPr>
              <w:t>Exercise R/UGM-109E with Seeker</w:t>
            </w:r>
          </w:p>
        </w:tc>
      </w:tr>
      <w:tr w:rsidR="0069163A" w14:paraId="2BA36D8A"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351B6B46" w14:textId="77777777" w:rsidR="0069163A" w:rsidRDefault="0069163A" w:rsidP="004B1275">
            <w:pPr>
              <w:spacing w:before="60" w:after="60"/>
              <w:jc w:val="center"/>
              <w:rPr>
                <w:sz w:val="20"/>
              </w:rPr>
            </w:pPr>
            <w:r>
              <w:rPr>
                <w:sz w:val="20"/>
              </w:rPr>
              <w:lastRenderedPageBreak/>
              <w:t>Y</w:t>
            </w:r>
          </w:p>
        </w:tc>
        <w:tc>
          <w:tcPr>
            <w:tcW w:w="6858" w:type="dxa"/>
            <w:tcBorders>
              <w:top w:val="single" w:sz="4" w:space="0" w:color="auto"/>
              <w:left w:val="single" w:sz="4" w:space="0" w:color="auto"/>
              <w:bottom w:val="single" w:sz="4" w:space="0" w:color="auto"/>
              <w:right w:val="single" w:sz="4" w:space="0" w:color="auto"/>
            </w:tcBorders>
            <w:hideMark/>
          </w:tcPr>
          <w:p w14:paraId="77EF1FCA" w14:textId="77777777" w:rsidR="0069163A" w:rsidRDefault="0069163A" w:rsidP="00D25462">
            <w:pPr>
              <w:keepNext/>
              <w:keepLines/>
              <w:spacing w:before="60" w:after="60"/>
              <w:rPr>
                <w:sz w:val="20"/>
              </w:rPr>
            </w:pPr>
            <w:r>
              <w:rPr>
                <w:sz w:val="20"/>
              </w:rPr>
              <w:t>Exercise R/UGM-109E without Seeker</w:t>
            </w:r>
          </w:p>
        </w:tc>
      </w:tr>
      <w:tr w:rsidR="0069163A" w14:paraId="44A5D11D"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37AE0300" w14:textId="77777777" w:rsidR="0069163A" w:rsidRDefault="0069163A" w:rsidP="004B1275">
            <w:pPr>
              <w:spacing w:before="60" w:after="60"/>
              <w:jc w:val="center"/>
              <w:rPr>
                <w:sz w:val="20"/>
              </w:rPr>
            </w:pPr>
            <w:r>
              <w:rPr>
                <w:sz w:val="20"/>
              </w:rPr>
              <w:t>G</w:t>
            </w:r>
          </w:p>
        </w:tc>
        <w:tc>
          <w:tcPr>
            <w:tcW w:w="6858" w:type="dxa"/>
            <w:tcBorders>
              <w:top w:val="single" w:sz="4" w:space="0" w:color="auto"/>
              <w:left w:val="single" w:sz="4" w:space="0" w:color="auto"/>
              <w:bottom w:val="single" w:sz="4" w:space="0" w:color="auto"/>
              <w:right w:val="single" w:sz="4" w:space="0" w:color="auto"/>
            </w:tcBorders>
            <w:hideMark/>
          </w:tcPr>
          <w:p w14:paraId="29B5F5DC" w14:textId="77777777" w:rsidR="0069163A" w:rsidRDefault="0069163A" w:rsidP="00D25462">
            <w:pPr>
              <w:keepNext/>
              <w:keepLines/>
              <w:spacing w:before="60" w:after="60"/>
              <w:rPr>
                <w:sz w:val="20"/>
              </w:rPr>
            </w:pPr>
            <w:r>
              <w:rPr>
                <w:sz w:val="20"/>
              </w:rPr>
              <w:t>Simulated Tactical R/UGM-109E with Seeker</w:t>
            </w:r>
          </w:p>
        </w:tc>
      </w:tr>
      <w:tr w:rsidR="0069163A" w14:paraId="4C3CCCF3"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2854175C" w14:textId="77777777" w:rsidR="0069163A" w:rsidRDefault="0069163A" w:rsidP="004B1275">
            <w:pPr>
              <w:spacing w:before="60" w:after="60"/>
              <w:jc w:val="center"/>
              <w:rPr>
                <w:sz w:val="20"/>
              </w:rPr>
            </w:pPr>
            <w:r>
              <w:rPr>
                <w:sz w:val="20"/>
              </w:rPr>
              <w:t>B</w:t>
            </w:r>
          </w:p>
        </w:tc>
        <w:tc>
          <w:tcPr>
            <w:tcW w:w="6858" w:type="dxa"/>
            <w:tcBorders>
              <w:top w:val="single" w:sz="4" w:space="0" w:color="auto"/>
              <w:left w:val="single" w:sz="4" w:space="0" w:color="auto"/>
              <w:bottom w:val="single" w:sz="4" w:space="0" w:color="auto"/>
              <w:right w:val="single" w:sz="4" w:space="0" w:color="auto"/>
            </w:tcBorders>
            <w:hideMark/>
          </w:tcPr>
          <w:p w14:paraId="3D10E563" w14:textId="77777777" w:rsidR="0069163A" w:rsidRDefault="0069163A" w:rsidP="00D25462">
            <w:pPr>
              <w:keepNext/>
              <w:keepLines/>
              <w:spacing w:before="60" w:after="60"/>
              <w:rPr>
                <w:sz w:val="20"/>
              </w:rPr>
            </w:pPr>
            <w:r>
              <w:rPr>
                <w:sz w:val="20"/>
              </w:rPr>
              <w:t>Simulated Tactical R/UGM-109E without Seeker</w:t>
            </w:r>
          </w:p>
        </w:tc>
      </w:tr>
      <w:tr w:rsidR="0069163A" w14:paraId="6AC989E3"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538F52C7" w14:textId="77777777" w:rsidR="0069163A" w:rsidRDefault="0069163A" w:rsidP="004B1275">
            <w:pPr>
              <w:spacing w:before="60" w:after="60"/>
              <w:jc w:val="center"/>
              <w:rPr>
                <w:sz w:val="20"/>
              </w:rPr>
            </w:pPr>
            <w:r>
              <w:rPr>
                <w:sz w:val="20"/>
              </w:rPr>
              <w:t>R</w:t>
            </w:r>
          </w:p>
        </w:tc>
        <w:tc>
          <w:tcPr>
            <w:tcW w:w="6858" w:type="dxa"/>
            <w:tcBorders>
              <w:top w:val="single" w:sz="4" w:space="0" w:color="auto"/>
              <w:left w:val="single" w:sz="4" w:space="0" w:color="auto"/>
              <w:bottom w:val="single" w:sz="4" w:space="0" w:color="auto"/>
              <w:right w:val="single" w:sz="4" w:space="0" w:color="auto"/>
            </w:tcBorders>
            <w:hideMark/>
          </w:tcPr>
          <w:p w14:paraId="3C678797" w14:textId="77777777" w:rsidR="0069163A" w:rsidRDefault="0069163A" w:rsidP="00D25462">
            <w:pPr>
              <w:keepNext/>
              <w:keepLines/>
              <w:spacing w:before="60" w:after="60"/>
              <w:rPr>
                <w:sz w:val="20"/>
              </w:rPr>
            </w:pPr>
            <w:r>
              <w:rPr>
                <w:sz w:val="20"/>
              </w:rPr>
              <w:t>Simulated Exercise R/UGM-109E with Seeker</w:t>
            </w:r>
          </w:p>
        </w:tc>
      </w:tr>
      <w:tr w:rsidR="0069163A" w14:paraId="1EFD332D"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50BBC818" w14:textId="77777777" w:rsidR="0069163A" w:rsidRDefault="0069163A" w:rsidP="004B1275">
            <w:pPr>
              <w:spacing w:before="60" w:after="60"/>
              <w:jc w:val="center"/>
              <w:rPr>
                <w:sz w:val="20"/>
              </w:rPr>
            </w:pPr>
            <w:r>
              <w:rPr>
                <w:sz w:val="20"/>
              </w:rPr>
              <w:t>F</w:t>
            </w:r>
          </w:p>
        </w:tc>
        <w:tc>
          <w:tcPr>
            <w:tcW w:w="6858" w:type="dxa"/>
            <w:tcBorders>
              <w:top w:val="single" w:sz="4" w:space="0" w:color="auto"/>
              <w:left w:val="single" w:sz="4" w:space="0" w:color="auto"/>
              <w:bottom w:val="single" w:sz="4" w:space="0" w:color="auto"/>
              <w:right w:val="single" w:sz="4" w:space="0" w:color="auto"/>
            </w:tcBorders>
            <w:hideMark/>
          </w:tcPr>
          <w:p w14:paraId="4EF819A8" w14:textId="77777777" w:rsidR="0069163A" w:rsidRDefault="0069163A" w:rsidP="00D25462">
            <w:pPr>
              <w:keepNext/>
              <w:keepLines/>
              <w:spacing w:before="60" w:after="60"/>
              <w:rPr>
                <w:sz w:val="20"/>
              </w:rPr>
            </w:pPr>
            <w:r>
              <w:rPr>
                <w:sz w:val="20"/>
              </w:rPr>
              <w:t>Simulated Exercise R/UGM-109E without Seeker</w:t>
            </w:r>
          </w:p>
        </w:tc>
      </w:tr>
      <w:tr w:rsidR="0069163A" w14:paraId="1D676E05" w14:textId="77777777" w:rsidTr="0069163A">
        <w:trPr>
          <w:tblHeader/>
          <w:jc w:val="center"/>
        </w:trPr>
        <w:tc>
          <w:tcPr>
            <w:tcW w:w="18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A10376" w14:textId="77777777" w:rsidR="0069163A" w:rsidRDefault="0069163A" w:rsidP="004B1275">
            <w:pPr>
              <w:spacing w:before="60" w:after="60"/>
              <w:jc w:val="center"/>
              <w:rPr>
                <w:b/>
                <w:sz w:val="22"/>
                <w:szCs w:val="22"/>
              </w:rPr>
            </w:pPr>
            <w:r>
              <w:rPr>
                <w:b/>
                <w:sz w:val="22"/>
                <w:szCs w:val="22"/>
              </w:rPr>
              <w:t>Warhead Type</w:t>
            </w:r>
          </w:p>
        </w:tc>
        <w:tc>
          <w:tcPr>
            <w:tcW w:w="685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0EB5F6" w14:textId="77777777" w:rsidR="0069163A" w:rsidRDefault="0069163A" w:rsidP="00D25462">
            <w:pPr>
              <w:keepNext/>
              <w:keepLines/>
              <w:spacing w:before="60" w:after="60"/>
              <w:jc w:val="center"/>
              <w:rPr>
                <w:b/>
                <w:sz w:val="22"/>
                <w:szCs w:val="22"/>
              </w:rPr>
            </w:pPr>
            <w:r>
              <w:rPr>
                <w:b/>
                <w:sz w:val="22"/>
                <w:szCs w:val="22"/>
              </w:rPr>
              <w:t>Description</w:t>
            </w:r>
          </w:p>
        </w:tc>
      </w:tr>
      <w:tr w:rsidR="0069163A" w14:paraId="0E406110" w14:textId="77777777" w:rsidTr="0069163A">
        <w:trPr>
          <w:cantSplit/>
          <w:jc w:val="center"/>
        </w:trPr>
        <w:tc>
          <w:tcPr>
            <w:tcW w:w="1867" w:type="dxa"/>
            <w:tcBorders>
              <w:top w:val="single" w:sz="4" w:space="0" w:color="auto"/>
              <w:left w:val="single" w:sz="4" w:space="0" w:color="auto"/>
              <w:bottom w:val="single" w:sz="4" w:space="0" w:color="auto"/>
              <w:right w:val="single" w:sz="4" w:space="0" w:color="auto"/>
            </w:tcBorders>
            <w:hideMark/>
          </w:tcPr>
          <w:p w14:paraId="23F46C84" w14:textId="77777777" w:rsidR="0069163A" w:rsidRDefault="0069163A" w:rsidP="004B1275">
            <w:pPr>
              <w:spacing w:before="60" w:after="60"/>
              <w:jc w:val="center"/>
              <w:rPr>
                <w:sz w:val="20"/>
              </w:rPr>
            </w:pPr>
            <w:r>
              <w:rPr>
                <w:sz w:val="20"/>
              </w:rPr>
              <w:t>U</w:t>
            </w:r>
          </w:p>
        </w:tc>
        <w:tc>
          <w:tcPr>
            <w:tcW w:w="6858" w:type="dxa"/>
            <w:tcBorders>
              <w:top w:val="single" w:sz="4" w:space="0" w:color="auto"/>
              <w:left w:val="single" w:sz="4" w:space="0" w:color="auto"/>
              <w:bottom w:val="single" w:sz="4" w:space="0" w:color="auto"/>
              <w:right w:val="single" w:sz="4" w:space="0" w:color="auto"/>
            </w:tcBorders>
            <w:hideMark/>
          </w:tcPr>
          <w:p w14:paraId="72F3CE5B" w14:textId="77777777" w:rsidR="0069163A" w:rsidRDefault="0069163A" w:rsidP="00D25462">
            <w:pPr>
              <w:keepNext/>
              <w:keepLines/>
              <w:spacing w:before="60" w:after="60"/>
              <w:rPr>
                <w:sz w:val="20"/>
              </w:rPr>
            </w:pPr>
            <w:r>
              <w:rPr>
                <w:sz w:val="20"/>
              </w:rPr>
              <w:t>Unitary</w:t>
            </w:r>
          </w:p>
        </w:tc>
      </w:tr>
      <w:tr w:rsidR="0069163A" w14:paraId="691BC06A"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56D85AC8" w14:textId="77777777" w:rsidR="0069163A" w:rsidRDefault="0069163A" w:rsidP="004B1275">
            <w:pPr>
              <w:spacing w:before="60" w:after="60"/>
              <w:jc w:val="center"/>
              <w:rPr>
                <w:sz w:val="20"/>
              </w:rPr>
            </w:pPr>
            <w:r>
              <w:rPr>
                <w:sz w:val="20"/>
              </w:rPr>
              <w:t>J</w:t>
            </w:r>
          </w:p>
        </w:tc>
        <w:tc>
          <w:tcPr>
            <w:tcW w:w="6858" w:type="dxa"/>
            <w:tcBorders>
              <w:top w:val="single" w:sz="4" w:space="0" w:color="auto"/>
              <w:left w:val="single" w:sz="4" w:space="0" w:color="auto"/>
              <w:bottom w:val="single" w:sz="4" w:space="0" w:color="auto"/>
              <w:right w:val="single" w:sz="4" w:space="0" w:color="auto"/>
            </w:tcBorders>
            <w:hideMark/>
          </w:tcPr>
          <w:p w14:paraId="451F9ECC" w14:textId="77777777" w:rsidR="0069163A" w:rsidRDefault="0069163A" w:rsidP="00D25462">
            <w:pPr>
              <w:keepNext/>
              <w:keepLines/>
              <w:spacing w:before="60" w:after="60"/>
              <w:rPr>
                <w:sz w:val="20"/>
              </w:rPr>
            </w:pPr>
            <w:r>
              <w:rPr>
                <w:sz w:val="20"/>
              </w:rPr>
              <w:t>JMEWS</w:t>
            </w:r>
          </w:p>
        </w:tc>
      </w:tr>
      <w:tr w:rsidR="0069163A" w14:paraId="0B45DDE7" w14:textId="77777777" w:rsidTr="0069163A">
        <w:trPr>
          <w:cantSplit/>
          <w:jc w:val="center"/>
        </w:trPr>
        <w:tc>
          <w:tcPr>
            <w:tcW w:w="1867" w:type="dxa"/>
            <w:tcBorders>
              <w:top w:val="single" w:sz="4" w:space="0" w:color="auto"/>
              <w:left w:val="single" w:sz="4" w:space="0" w:color="auto"/>
              <w:bottom w:val="single" w:sz="4" w:space="0" w:color="auto"/>
              <w:right w:val="single" w:sz="4" w:space="0" w:color="auto"/>
            </w:tcBorders>
            <w:hideMark/>
          </w:tcPr>
          <w:p w14:paraId="68B18736" w14:textId="77777777" w:rsidR="0069163A" w:rsidRDefault="0069163A" w:rsidP="004B1275">
            <w:pPr>
              <w:spacing w:before="60" w:after="60"/>
              <w:jc w:val="center"/>
              <w:rPr>
                <w:sz w:val="20"/>
              </w:rPr>
            </w:pPr>
            <w:r>
              <w:rPr>
                <w:sz w:val="20"/>
              </w:rPr>
              <w:t>I</w:t>
            </w:r>
          </w:p>
        </w:tc>
        <w:tc>
          <w:tcPr>
            <w:tcW w:w="6858" w:type="dxa"/>
            <w:tcBorders>
              <w:top w:val="single" w:sz="4" w:space="0" w:color="auto"/>
              <w:left w:val="single" w:sz="4" w:space="0" w:color="auto"/>
              <w:bottom w:val="single" w:sz="4" w:space="0" w:color="auto"/>
              <w:right w:val="single" w:sz="4" w:space="0" w:color="auto"/>
            </w:tcBorders>
            <w:hideMark/>
          </w:tcPr>
          <w:p w14:paraId="7D9D0140" w14:textId="77777777" w:rsidR="0069163A" w:rsidRDefault="0069163A" w:rsidP="00D25462">
            <w:pPr>
              <w:keepNext/>
              <w:keepLines/>
              <w:spacing w:before="60" w:after="60"/>
              <w:rPr>
                <w:sz w:val="20"/>
              </w:rPr>
            </w:pPr>
            <w:r>
              <w:rPr>
                <w:sz w:val="20"/>
              </w:rPr>
              <w:t>Inert</w:t>
            </w:r>
          </w:p>
        </w:tc>
      </w:tr>
      <w:tr w:rsidR="0069163A" w14:paraId="1CF4289E" w14:textId="77777777" w:rsidTr="0069163A">
        <w:trPr>
          <w:tblHeader/>
          <w:jc w:val="center"/>
        </w:trPr>
        <w:tc>
          <w:tcPr>
            <w:tcW w:w="18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5E9EE4" w14:textId="77777777" w:rsidR="0069163A" w:rsidRDefault="0069163A" w:rsidP="004B1275">
            <w:pPr>
              <w:spacing w:before="60" w:after="60"/>
              <w:jc w:val="center"/>
              <w:rPr>
                <w:b/>
                <w:sz w:val="22"/>
                <w:szCs w:val="22"/>
              </w:rPr>
            </w:pPr>
            <w:r>
              <w:rPr>
                <w:b/>
                <w:sz w:val="22"/>
                <w:szCs w:val="22"/>
              </w:rPr>
              <w:t>TSN Type</w:t>
            </w:r>
          </w:p>
        </w:tc>
        <w:tc>
          <w:tcPr>
            <w:tcW w:w="685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025E9A" w14:textId="77777777" w:rsidR="0069163A" w:rsidRDefault="0069163A" w:rsidP="00D25462">
            <w:pPr>
              <w:keepNext/>
              <w:keepLines/>
              <w:spacing w:before="60" w:after="60"/>
              <w:jc w:val="center"/>
              <w:rPr>
                <w:b/>
                <w:sz w:val="22"/>
                <w:szCs w:val="22"/>
              </w:rPr>
            </w:pPr>
            <w:r>
              <w:rPr>
                <w:b/>
                <w:sz w:val="22"/>
                <w:szCs w:val="22"/>
              </w:rPr>
              <w:t>Description</w:t>
            </w:r>
          </w:p>
        </w:tc>
      </w:tr>
      <w:tr w:rsidR="0069163A" w14:paraId="65F0BEE5" w14:textId="77777777" w:rsidTr="0069163A">
        <w:trPr>
          <w:cantSplit/>
          <w:jc w:val="center"/>
        </w:trPr>
        <w:tc>
          <w:tcPr>
            <w:tcW w:w="1867" w:type="dxa"/>
            <w:tcBorders>
              <w:top w:val="single" w:sz="4" w:space="0" w:color="auto"/>
              <w:left w:val="single" w:sz="4" w:space="0" w:color="auto"/>
              <w:bottom w:val="single" w:sz="4" w:space="0" w:color="auto"/>
              <w:right w:val="single" w:sz="4" w:space="0" w:color="auto"/>
            </w:tcBorders>
            <w:hideMark/>
          </w:tcPr>
          <w:p w14:paraId="5DC6F3BD" w14:textId="77777777" w:rsidR="0069163A" w:rsidRDefault="0069163A" w:rsidP="004B1275">
            <w:pPr>
              <w:spacing w:before="60" w:after="60"/>
              <w:jc w:val="center"/>
              <w:rPr>
                <w:sz w:val="20"/>
              </w:rPr>
            </w:pPr>
            <w:r>
              <w:rPr>
                <w:sz w:val="20"/>
              </w:rPr>
              <w:t>A</w:t>
            </w:r>
          </w:p>
        </w:tc>
        <w:tc>
          <w:tcPr>
            <w:tcW w:w="6858" w:type="dxa"/>
            <w:tcBorders>
              <w:top w:val="single" w:sz="4" w:space="0" w:color="auto"/>
              <w:left w:val="single" w:sz="4" w:space="0" w:color="auto"/>
              <w:bottom w:val="single" w:sz="4" w:space="0" w:color="auto"/>
              <w:right w:val="single" w:sz="4" w:space="0" w:color="auto"/>
            </w:tcBorders>
            <w:hideMark/>
          </w:tcPr>
          <w:p w14:paraId="3481784C" w14:textId="77777777" w:rsidR="0069163A" w:rsidRDefault="0069163A" w:rsidP="00D25462">
            <w:pPr>
              <w:keepNext/>
              <w:keepLines/>
              <w:spacing w:before="60" w:after="60"/>
              <w:rPr>
                <w:sz w:val="20"/>
              </w:rPr>
            </w:pPr>
            <w:r>
              <w:rPr>
                <w:sz w:val="20"/>
              </w:rPr>
              <w:t>ACA</w:t>
            </w:r>
          </w:p>
        </w:tc>
      </w:tr>
      <w:tr w:rsidR="0069163A" w14:paraId="6BB1F1D0"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5FD83560" w14:textId="77777777" w:rsidR="0069163A" w:rsidRDefault="0069163A" w:rsidP="004B1275">
            <w:pPr>
              <w:spacing w:before="60" w:after="60"/>
              <w:jc w:val="center"/>
              <w:rPr>
                <w:sz w:val="20"/>
              </w:rPr>
            </w:pPr>
            <w:r>
              <w:rPr>
                <w:sz w:val="20"/>
              </w:rPr>
              <w:t>D</w:t>
            </w:r>
          </w:p>
        </w:tc>
        <w:tc>
          <w:tcPr>
            <w:tcW w:w="6858" w:type="dxa"/>
            <w:tcBorders>
              <w:top w:val="single" w:sz="4" w:space="0" w:color="auto"/>
              <w:left w:val="single" w:sz="4" w:space="0" w:color="auto"/>
              <w:bottom w:val="single" w:sz="4" w:space="0" w:color="auto"/>
              <w:right w:val="single" w:sz="4" w:space="0" w:color="auto"/>
            </w:tcBorders>
            <w:hideMark/>
          </w:tcPr>
          <w:p w14:paraId="04848A15" w14:textId="77777777" w:rsidR="0069163A" w:rsidRDefault="0069163A" w:rsidP="00D25462">
            <w:pPr>
              <w:keepNext/>
              <w:keepLines/>
              <w:spacing w:before="60" w:after="60"/>
              <w:rPr>
                <w:sz w:val="20"/>
              </w:rPr>
            </w:pPr>
            <w:r>
              <w:rPr>
                <w:sz w:val="20"/>
              </w:rPr>
              <w:t>5kHz UHF DAMA</w:t>
            </w:r>
          </w:p>
        </w:tc>
      </w:tr>
      <w:tr w:rsidR="0069163A" w14:paraId="1F2421BA" w14:textId="77777777" w:rsidTr="0069163A">
        <w:trPr>
          <w:tblHeader/>
          <w:jc w:val="center"/>
        </w:trPr>
        <w:tc>
          <w:tcPr>
            <w:tcW w:w="18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4969C85" w14:textId="77777777" w:rsidR="0069163A" w:rsidRDefault="0069163A" w:rsidP="00091A42">
            <w:pPr>
              <w:keepNext/>
              <w:keepLines/>
              <w:spacing w:before="60" w:after="60"/>
              <w:jc w:val="center"/>
              <w:rPr>
                <w:b/>
                <w:sz w:val="22"/>
                <w:szCs w:val="22"/>
              </w:rPr>
            </w:pPr>
            <w:r>
              <w:rPr>
                <w:b/>
                <w:sz w:val="22"/>
                <w:szCs w:val="22"/>
              </w:rPr>
              <w:t>GPS Type</w:t>
            </w:r>
          </w:p>
        </w:tc>
        <w:tc>
          <w:tcPr>
            <w:tcW w:w="685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FF59C8" w14:textId="77777777" w:rsidR="0069163A" w:rsidRDefault="0069163A" w:rsidP="00091A42">
            <w:pPr>
              <w:keepNext/>
              <w:keepLines/>
              <w:spacing w:before="60" w:after="60"/>
              <w:jc w:val="center"/>
              <w:rPr>
                <w:b/>
                <w:sz w:val="22"/>
                <w:szCs w:val="22"/>
              </w:rPr>
            </w:pPr>
            <w:r>
              <w:rPr>
                <w:b/>
                <w:sz w:val="22"/>
                <w:szCs w:val="22"/>
              </w:rPr>
              <w:t>Description</w:t>
            </w:r>
          </w:p>
        </w:tc>
      </w:tr>
      <w:tr w:rsidR="0069163A" w14:paraId="34761978"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482EAEC4" w14:textId="77777777" w:rsidR="0069163A" w:rsidRDefault="0069163A" w:rsidP="004B1275">
            <w:pPr>
              <w:spacing w:before="60" w:after="60"/>
              <w:jc w:val="center"/>
              <w:rPr>
                <w:sz w:val="20"/>
              </w:rPr>
            </w:pPr>
            <w:r>
              <w:rPr>
                <w:sz w:val="20"/>
              </w:rPr>
              <w:t>3</w:t>
            </w:r>
          </w:p>
        </w:tc>
        <w:tc>
          <w:tcPr>
            <w:tcW w:w="6858" w:type="dxa"/>
            <w:tcBorders>
              <w:top w:val="single" w:sz="4" w:space="0" w:color="auto"/>
              <w:left w:val="single" w:sz="4" w:space="0" w:color="auto"/>
              <w:bottom w:val="single" w:sz="4" w:space="0" w:color="auto"/>
              <w:right w:val="single" w:sz="4" w:space="0" w:color="auto"/>
            </w:tcBorders>
            <w:hideMark/>
          </w:tcPr>
          <w:p w14:paraId="41F37902" w14:textId="77777777" w:rsidR="0069163A" w:rsidRDefault="0069163A" w:rsidP="00D25462">
            <w:pPr>
              <w:keepNext/>
              <w:keepLines/>
              <w:spacing w:before="60" w:after="60"/>
              <w:rPr>
                <w:sz w:val="20"/>
              </w:rPr>
            </w:pPr>
            <w:r>
              <w:rPr>
                <w:sz w:val="20"/>
              </w:rPr>
              <w:t>AGR-3</w:t>
            </w:r>
          </w:p>
        </w:tc>
      </w:tr>
      <w:tr w:rsidR="0069163A" w14:paraId="4A2F47C1"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31BBDEF8" w14:textId="77777777" w:rsidR="0069163A" w:rsidRDefault="0069163A" w:rsidP="004B1275">
            <w:pPr>
              <w:spacing w:before="60" w:after="60"/>
              <w:jc w:val="center"/>
              <w:rPr>
                <w:sz w:val="20"/>
              </w:rPr>
            </w:pPr>
            <w:r>
              <w:rPr>
                <w:sz w:val="20"/>
              </w:rPr>
              <w:t>4</w:t>
            </w:r>
          </w:p>
        </w:tc>
        <w:tc>
          <w:tcPr>
            <w:tcW w:w="6858" w:type="dxa"/>
            <w:tcBorders>
              <w:top w:val="single" w:sz="4" w:space="0" w:color="auto"/>
              <w:left w:val="single" w:sz="4" w:space="0" w:color="auto"/>
              <w:bottom w:val="single" w:sz="4" w:space="0" w:color="auto"/>
              <w:right w:val="single" w:sz="4" w:space="0" w:color="auto"/>
            </w:tcBorders>
            <w:hideMark/>
          </w:tcPr>
          <w:p w14:paraId="0F65A9C9" w14:textId="77777777" w:rsidR="0069163A" w:rsidRDefault="0069163A" w:rsidP="00D25462">
            <w:pPr>
              <w:keepNext/>
              <w:keepLines/>
              <w:spacing w:before="60" w:after="60"/>
              <w:rPr>
                <w:sz w:val="20"/>
              </w:rPr>
            </w:pPr>
            <w:r>
              <w:rPr>
                <w:sz w:val="20"/>
              </w:rPr>
              <w:t>AGR-4</w:t>
            </w:r>
          </w:p>
        </w:tc>
      </w:tr>
      <w:tr w:rsidR="0069163A" w14:paraId="29D18515" w14:textId="77777777" w:rsidTr="0069163A">
        <w:trPr>
          <w:jc w:val="center"/>
        </w:trPr>
        <w:tc>
          <w:tcPr>
            <w:tcW w:w="1867" w:type="dxa"/>
            <w:tcBorders>
              <w:top w:val="single" w:sz="4" w:space="0" w:color="auto"/>
              <w:left w:val="single" w:sz="4" w:space="0" w:color="auto"/>
              <w:bottom w:val="single" w:sz="4" w:space="0" w:color="auto"/>
              <w:right w:val="single" w:sz="4" w:space="0" w:color="auto"/>
            </w:tcBorders>
            <w:hideMark/>
          </w:tcPr>
          <w:p w14:paraId="12E098BF" w14:textId="77777777" w:rsidR="0069163A" w:rsidRDefault="0069163A" w:rsidP="004B1275">
            <w:pPr>
              <w:spacing w:before="60" w:after="60"/>
              <w:jc w:val="center"/>
              <w:rPr>
                <w:sz w:val="20"/>
              </w:rPr>
            </w:pPr>
            <w:r>
              <w:rPr>
                <w:sz w:val="20"/>
              </w:rPr>
              <w:t>5</w:t>
            </w:r>
          </w:p>
        </w:tc>
        <w:tc>
          <w:tcPr>
            <w:tcW w:w="6858" w:type="dxa"/>
            <w:tcBorders>
              <w:top w:val="single" w:sz="4" w:space="0" w:color="auto"/>
              <w:left w:val="single" w:sz="4" w:space="0" w:color="auto"/>
              <w:bottom w:val="single" w:sz="4" w:space="0" w:color="auto"/>
              <w:right w:val="single" w:sz="4" w:space="0" w:color="auto"/>
            </w:tcBorders>
            <w:hideMark/>
          </w:tcPr>
          <w:p w14:paraId="4D50A4DD" w14:textId="77777777" w:rsidR="0069163A" w:rsidRDefault="0069163A" w:rsidP="00D25462">
            <w:pPr>
              <w:keepNext/>
              <w:keepLines/>
              <w:spacing w:before="60" w:after="60"/>
              <w:rPr>
                <w:sz w:val="20"/>
              </w:rPr>
            </w:pPr>
            <w:r>
              <w:rPr>
                <w:sz w:val="20"/>
              </w:rPr>
              <w:t>AGR-5</w:t>
            </w:r>
          </w:p>
        </w:tc>
      </w:tr>
      <w:tr w:rsidR="0069163A" w14:paraId="38B98023" w14:textId="77777777" w:rsidTr="0069163A">
        <w:trPr>
          <w:jc w:val="center"/>
        </w:trPr>
        <w:tc>
          <w:tcPr>
            <w:tcW w:w="8725" w:type="dxa"/>
            <w:gridSpan w:val="2"/>
            <w:tcBorders>
              <w:top w:val="single" w:sz="4" w:space="0" w:color="auto"/>
              <w:left w:val="single" w:sz="4" w:space="0" w:color="auto"/>
              <w:bottom w:val="single" w:sz="4" w:space="0" w:color="auto"/>
              <w:right w:val="single" w:sz="4" w:space="0" w:color="auto"/>
            </w:tcBorders>
            <w:hideMark/>
          </w:tcPr>
          <w:p w14:paraId="65EB4574" w14:textId="77777777" w:rsidR="0069163A" w:rsidRDefault="0069163A" w:rsidP="00091A42">
            <w:pPr>
              <w:spacing w:before="60" w:after="60"/>
              <w:rPr>
                <w:sz w:val="20"/>
              </w:rPr>
            </w:pPr>
            <w:r>
              <w:rPr>
                <w:rFonts w:eastAsia="Tahoma"/>
                <w:kern w:val="24"/>
                <w:sz w:val="20"/>
              </w:rPr>
              <w:t>Examples:</w:t>
            </w:r>
          </w:p>
          <w:p w14:paraId="0DD45048" w14:textId="77777777" w:rsidR="0069163A" w:rsidRDefault="0069163A" w:rsidP="006D5A65">
            <w:pPr>
              <w:pStyle w:val="Heading1"/>
            </w:pPr>
            <w:r>
              <w:t>LUD4 – Tactical R/UGM-109E/M without Seeker, unitary warhead, 5kHz UHF DAMA, and AGR-4.</w:t>
            </w:r>
          </w:p>
          <w:p w14:paraId="2518852B" w14:textId="77777777" w:rsidR="0069163A" w:rsidRDefault="0069163A" w:rsidP="006D5A65">
            <w:pPr>
              <w:pStyle w:val="Heading1"/>
            </w:pPr>
            <w:r>
              <w:t>YID3 – Exercise R/UGM-109E/M without Seeker, inert warhead, 5kHz UHF DAMA, and AGR-3.</w:t>
            </w:r>
          </w:p>
        </w:tc>
      </w:tr>
    </w:tbl>
    <w:p w14:paraId="3F759D6D" w14:textId="77777777" w:rsidR="0069163A" w:rsidRDefault="0069163A" w:rsidP="009570CA">
      <w:pPr>
        <w:pStyle w:val="Heading5"/>
        <w:rPr>
          <w:rFonts w:eastAsia="Times New Roman"/>
        </w:rPr>
      </w:pPr>
      <w:r>
        <w:t xml:space="preserve">Missiles </w:t>
      </w:r>
    </w:p>
    <w:p w14:paraId="3B5A51F4" w14:textId="4C809D1E" w:rsidR="00B6111A" w:rsidRDefault="0069163A" w:rsidP="00B6111A">
      <w:r>
        <w:t xml:space="preserve">The </w:t>
      </w:r>
      <w:r w:rsidRPr="00847352">
        <w:rPr>
          <w:i/>
          <w:iCs/>
        </w:rPr>
        <w:t>Missiles</w:t>
      </w:r>
      <w:r>
        <w:t xml:space="preserve"> window can be viewed in three different ways such as </w:t>
      </w:r>
      <w:r w:rsidRPr="00847352">
        <w:rPr>
          <w:b/>
          <w:bCs/>
        </w:rPr>
        <w:t>Split Screen</w:t>
      </w:r>
      <w:r>
        <w:t xml:space="preserve">, </w:t>
      </w:r>
      <w:r w:rsidRPr="00847352">
        <w:rPr>
          <w:b/>
          <w:bCs/>
        </w:rPr>
        <w:t>List View</w:t>
      </w:r>
      <w:r>
        <w:t xml:space="preserve">, and </w:t>
      </w:r>
      <w:r w:rsidRPr="00847352">
        <w:rPr>
          <w:b/>
          <w:bCs/>
        </w:rPr>
        <w:t>Graphical</w:t>
      </w:r>
      <w:r>
        <w:t xml:space="preserve"> view.</w:t>
      </w:r>
    </w:p>
    <w:p w14:paraId="029C79AB" w14:textId="09A065CE" w:rsidR="00E4414C" w:rsidRPr="00F703EB" w:rsidRDefault="00E4414C" w:rsidP="004B1275">
      <w:pPr>
        <w:jc w:val="center"/>
        <w:rPr>
          <w:b/>
          <w:bCs/>
        </w:rPr>
      </w:pPr>
      <w:r w:rsidRPr="00F703EB">
        <w:rPr>
          <w:b/>
          <w:bCs/>
        </w:rPr>
        <w:t>SPLIT SCREEN of graphical display and list view:</w:t>
      </w:r>
    </w:p>
    <w:p w14:paraId="34F39B79" w14:textId="0A89ADF1" w:rsidR="00CC4792" w:rsidRDefault="00E4414C" w:rsidP="00091A42">
      <w:pPr>
        <w:spacing w:after="240"/>
        <w:jc w:val="center"/>
      </w:pPr>
      <w:r>
        <w:rPr>
          <w:noProof/>
        </w:rPr>
        <w:lastRenderedPageBreak/>
        <w:drawing>
          <wp:inline distT="0" distB="0" distL="0" distR="0" wp14:anchorId="4888D96A" wp14:editId="0713DAE7">
            <wp:extent cx="4585164" cy="2120113"/>
            <wp:effectExtent l="0" t="0" r="0" b="0"/>
            <wp:docPr id="1016955523" name="Picture 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55523" name="Picture 1" descr="Graphical user interface, table&#10;&#10;Description automatically generated"/>
                    <pic:cNvPicPr/>
                  </pic:nvPicPr>
                  <pic:blipFill>
                    <a:blip/>
                    <a:stretch>
                      <a:fillRect/>
                    </a:stretch>
                  </pic:blipFill>
                  <pic:spPr>
                    <a:xfrm>
                      <a:off x="0" y="0"/>
                      <a:ext cx="4594894" cy="2124612"/>
                    </a:xfrm>
                    <a:prstGeom prst="rect">
                      <a:avLst/>
                    </a:prstGeom>
                  </pic:spPr>
                </pic:pic>
              </a:graphicData>
            </a:graphic>
          </wp:inline>
        </w:drawing>
      </w:r>
    </w:p>
    <w:p w14:paraId="096C472F" w14:textId="5D6CE0A9" w:rsidR="00E4414C" w:rsidRPr="00F703EB" w:rsidRDefault="00E4414C" w:rsidP="00F703EB">
      <w:pPr>
        <w:jc w:val="center"/>
        <w:rPr>
          <w:b/>
          <w:bCs/>
        </w:rPr>
      </w:pPr>
      <w:r w:rsidRPr="00F703EB">
        <w:rPr>
          <w:b/>
          <w:bCs/>
        </w:rPr>
        <w:t>As LIST VIEW only:</w:t>
      </w:r>
    </w:p>
    <w:p w14:paraId="0C2D7D17" w14:textId="25D6F193" w:rsidR="00E4414C" w:rsidRDefault="00E4414C" w:rsidP="00091A42">
      <w:pPr>
        <w:spacing w:after="240"/>
        <w:jc w:val="center"/>
      </w:pPr>
      <w:r>
        <w:rPr>
          <w:noProof/>
        </w:rPr>
        <w:drawing>
          <wp:inline distT="0" distB="0" distL="0" distR="0" wp14:anchorId="41FE6327" wp14:editId="137D53F0">
            <wp:extent cx="4578482" cy="2201033"/>
            <wp:effectExtent l="0" t="0" r="0" b="0"/>
            <wp:docPr id="851189423"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89423" name="Picture 1" descr="Graphical user interface&#10;&#10;Description automatically generated"/>
                    <pic:cNvPicPr/>
                  </pic:nvPicPr>
                  <pic:blipFill>
                    <a:blip/>
                    <a:stretch>
                      <a:fillRect/>
                    </a:stretch>
                  </pic:blipFill>
                  <pic:spPr>
                    <a:xfrm>
                      <a:off x="0" y="0"/>
                      <a:ext cx="4590756" cy="2206933"/>
                    </a:xfrm>
                    <a:prstGeom prst="rect">
                      <a:avLst/>
                    </a:prstGeom>
                  </pic:spPr>
                </pic:pic>
              </a:graphicData>
            </a:graphic>
          </wp:inline>
        </w:drawing>
      </w:r>
    </w:p>
    <w:p w14:paraId="54A27E8D" w14:textId="798390BA" w:rsidR="00E4414C" w:rsidRPr="00F703EB" w:rsidRDefault="00E4414C" w:rsidP="009C54C8">
      <w:pPr>
        <w:jc w:val="center"/>
        <w:rPr>
          <w:b/>
          <w:bCs/>
        </w:rPr>
      </w:pPr>
      <w:r w:rsidRPr="00F703EB">
        <w:rPr>
          <w:b/>
          <w:bCs/>
        </w:rPr>
        <w:t>GRAPHIC view:</w:t>
      </w:r>
    </w:p>
    <w:p w14:paraId="3F40CBA4" w14:textId="65D4F517" w:rsidR="00E4414C" w:rsidRDefault="00E4414C" w:rsidP="00E4414C">
      <w:pPr>
        <w:jc w:val="center"/>
      </w:pPr>
      <w:r>
        <w:rPr>
          <w:noProof/>
        </w:rPr>
        <w:drawing>
          <wp:inline distT="0" distB="0" distL="0" distR="0" wp14:anchorId="35CB4F71" wp14:editId="47143B85">
            <wp:extent cx="4594615" cy="2217217"/>
            <wp:effectExtent l="0" t="0" r="0" b="0"/>
            <wp:docPr id="1776349604"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49604" name="Picture 1" descr="Graphical user interface&#10;&#10;Description automatically generated"/>
                    <pic:cNvPicPr/>
                  </pic:nvPicPr>
                  <pic:blipFill>
                    <a:blip/>
                    <a:stretch>
                      <a:fillRect/>
                    </a:stretch>
                  </pic:blipFill>
                  <pic:spPr>
                    <a:xfrm>
                      <a:off x="0" y="0"/>
                      <a:ext cx="4619628" cy="2229287"/>
                    </a:xfrm>
                    <a:prstGeom prst="rect">
                      <a:avLst/>
                    </a:prstGeom>
                  </pic:spPr>
                </pic:pic>
              </a:graphicData>
            </a:graphic>
          </wp:inline>
        </w:drawing>
      </w:r>
    </w:p>
    <w:p w14:paraId="2E12838E" w14:textId="76E41076" w:rsidR="0069163A" w:rsidRDefault="0069163A" w:rsidP="006D5A65">
      <w:pPr>
        <w:pStyle w:val="Heading1"/>
      </w:pPr>
      <w:r>
        <w:rPr>
          <w:bCs/>
        </w:rPr>
        <w:t xml:space="preserve">Key Icon – </w:t>
      </w:r>
      <w:r>
        <w:t xml:space="preserve">The </w:t>
      </w:r>
      <w:r w:rsidR="00847352">
        <w:t>k</w:t>
      </w:r>
      <w:r>
        <w:t xml:space="preserve">ey icon displayed on the upper </w:t>
      </w:r>
      <w:r w:rsidR="005C7A52">
        <w:t>left-hand</w:t>
      </w:r>
      <w:r>
        <w:t xml:space="preserve"> corner displays legends for </w:t>
      </w:r>
      <w:r w:rsidR="00A577AC">
        <w:t xml:space="preserve">the </w:t>
      </w:r>
      <w:r>
        <w:t xml:space="preserve">Operational Status of a </w:t>
      </w:r>
      <w:r>
        <w:lastRenderedPageBreak/>
        <w:t xml:space="preserve">missile. </w:t>
      </w:r>
      <w:r w:rsidR="002E3693">
        <w:t>To see the</w:t>
      </w:r>
      <w:r>
        <w:t xml:space="preserve"> detail of the operational status</w:t>
      </w:r>
      <w:r w:rsidR="002E3693">
        <w:t xml:space="preserve">, </w:t>
      </w:r>
      <w:r w:rsidR="00F62150">
        <w:t>see</w:t>
      </w:r>
      <w:r>
        <w:t xml:space="preserve"> </w:t>
      </w:r>
      <w:hyperlink w:anchor="_Missile_Cell" w:history="1">
        <w:r w:rsidR="00A352A2">
          <w:rPr>
            <w:rStyle w:val="Hyperlink"/>
            <w:rFonts w:ascii="Times New Roman" w:hAnsi="Times New Roman"/>
          </w:rPr>
          <w:t>Section 5.13.3.2.4.1</w:t>
        </w:r>
      </w:hyperlink>
      <w:r>
        <w:t>.</w:t>
      </w:r>
    </w:p>
    <w:p w14:paraId="174DAB9D" w14:textId="234DD847" w:rsidR="0069163A" w:rsidRDefault="00883FA6" w:rsidP="009570CA">
      <w:pPr>
        <w:jc w:val="center"/>
        <w:rPr>
          <w:szCs w:val="24"/>
        </w:rPr>
      </w:pPr>
      <w:r>
        <w:rPr>
          <w:noProof/>
        </w:rPr>
        <w:drawing>
          <wp:inline distT="0" distB="0" distL="0" distR="0" wp14:anchorId="5E6C1D95" wp14:editId="576C77B2">
            <wp:extent cx="1371600" cy="1316736"/>
            <wp:effectExtent l="0" t="0" r="0" b="0"/>
            <wp:docPr id="217774820"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74820" name="Picture 1" descr="Graphical user interface, text, application, chat or text message&#10;&#10;Description automatically generated"/>
                    <pic:cNvPicPr/>
                  </pic:nvPicPr>
                  <pic:blipFill>
                    <a:blip/>
                    <a:stretch>
                      <a:fillRect/>
                    </a:stretch>
                  </pic:blipFill>
                  <pic:spPr>
                    <a:xfrm>
                      <a:off x="0" y="0"/>
                      <a:ext cx="1371600" cy="1316736"/>
                    </a:xfrm>
                    <a:prstGeom prst="rect">
                      <a:avLst/>
                    </a:prstGeom>
                  </pic:spPr>
                </pic:pic>
              </a:graphicData>
            </a:graphic>
          </wp:inline>
        </w:drawing>
      </w:r>
    </w:p>
    <w:p w14:paraId="19BD7563" w14:textId="57AFAA84" w:rsidR="0069163A" w:rsidRDefault="0069163A" w:rsidP="006D5A65">
      <w:pPr>
        <w:pStyle w:val="Heading1"/>
      </w:pPr>
      <w:r>
        <w:rPr>
          <w:bCs/>
        </w:rPr>
        <w:t xml:space="preserve">Split Screen </w:t>
      </w:r>
      <w:r w:rsidR="00A577AC">
        <w:t>–</w:t>
      </w:r>
      <w:r>
        <w:rPr>
          <w:bCs/>
        </w:rPr>
        <w:t xml:space="preserve"> </w:t>
      </w:r>
      <w:r>
        <w:t>Splits the window into graphical view (on top) and list view (on bottom) as shown</w:t>
      </w:r>
      <w:r w:rsidR="003D113B">
        <w:t xml:space="preserve"> in </w:t>
      </w:r>
      <w:r w:rsidR="005C7A52">
        <w:t xml:space="preserve">the </w:t>
      </w:r>
      <w:r w:rsidR="00883FA6">
        <w:t>previous</w:t>
      </w:r>
      <w:r w:rsidR="003D113B">
        <w:t xml:space="preserve"> screenshot</w:t>
      </w:r>
      <w:r w:rsidR="00883FA6">
        <w:t xml:space="preserve"> for Split Screen</w:t>
      </w:r>
      <w:r>
        <w:t xml:space="preserve">. The </w:t>
      </w:r>
      <w:r w:rsidRPr="00F62150">
        <w:rPr>
          <w:bCs/>
        </w:rPr>
        <w:t>switch view</w:t>
      </w:r>
      <w:r>
        <w:t xml:space="preserve"> </w:t>
      </w:r>
      <w:r w:rsidR="00F62150">
        <w:rPr>
          <w:noProof/>
        </w:rPr>
        <w:drawing>
          <wp:inline distT="0" distB="0" distL="0" distR="0" wp14:anchorId="413AF419" wp14:editId="0DB33D60">
            <wp:extent cx="142240" cy="151130"/>
            <wp:effectExtent l="0" t="0" r="0" b="0"/>
            <wp:docPr id="181127488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42240" cy="151130"/>
                    </a:xfrm>
                    <a:prstGeom prst="rect">
                      <a:avLst/>
                    </a:prstGeom>
                    <a:noFill/>
                    <a:ln>
                      <a:noFill/>
                    </a:ln>
                  </pic:spPr>
                </pic:pic>
              </a:graphicData>
            </a:graphic>
          </wp:inline>
        </w:drawing>
      </w:r>
      <w:r w:rsidR="00F62150">
        <w:t xml:space="preserve"> </w:t>
      </w:r>
      <w:r>
        <w:t>icon</w:t>
      </w:r>
      <w:r w:rsidR="00883FA6">
        <w:t xml:space="preserve"> on the far left</w:t>
      </w:r>
      <w:r>
        <w:t xml:space="preserve"> switches the viewing of the list view back and forth between Missile Inventory List of the platform and Missile List. When switched to Missile List, missiles in the Missile List can be dragged and dropped into </w:t>
      </w:r>
      <w:r w:rsidR="00A577AC">
        <w:t xml:space="preserve">a </w:t>
      </w:r>
      <w:r>
        <w:t>missile cell in Graphical Inventory Display.</w:t>
      </w:r>
    </w:p>
    <w:p w14:paraId="144D1828" w14:textId="77777777" w:rsidR="0069163A" w:rsidRDefault="0069163A" w:rsidP="006D5A65">
      <w:pPr>
        <w:pStyle w:val="Heading1"/>
      </w:pPr>
      <w:r>
        <w:rPr>
          <w:bCs/>
        </w:rPr>
        <w:t xml:space="preserve">List View </w:t>
      </w:r>
      <w:r>
        <w:t>– The list view portion of the split screen becomes the entire display of the window.</w:t>
      </w:r>
    </w:p>
    <w:p w14:paraId="6CA46B0E" w14:textId="284FE087" w:rsidR="0069163A" w:rsidRDefault="0069163A" w:rsidP="006D5A65">
      <w:pPr>
        <w:pStyle w:val="Heading1"/>
      </w:pPr>
      <w:r>
        <w:rPr>
          <w:bCs/>
        </w:rPr>
        <w:t xml:space="preserve">Graphical </w:t>
      </w:r>
      <w:r>
        <w:t>– As shown in the</w:t>
      </w:r>
      <w:r w:rsidR="00883FA6">
        <w:t xml:space="preserve"> previous screenshot for Graphical view</w:t>
      </w:r>
      <w:r>
        <w:t xml:space="preserve">, the entire display of the </w:t>
      </w:r>
      <w:r w:rsidRPr="00847352">
        <w:rPr>
          <w:i/>
          <w:iCs/>
        </w:rPr>
        <w:t>Missiles</w:t>
      </w:r>
      <w:r>
        <w:t xml:space="preserve"> window is </w:t>
      </w:r>
      <w:r w:rsidR="009F006D">
        <w:t xml:space="preserve">a </w:t>
      </w:r>
      <w:r>
        <w:t>graphical display of the inventory layout.</w:t>
      </w:r>
    </w:p>
    <w:p w14:paraId="7AABDE96" w14:textId="0D7CB714" w:rsidR="0069163A" w:rsidRDefault="0069163A" w:rsidP="006D5A65">
      <w:pPr>
        <w:pStyle w:val="Heading1"/>
      </w:pPr>
      <w:r>
        <w:rPr>
          <w:bCs/>
        </w:rPr>
        <w:t xml:space="preserve">FWD (or AFT) </w:t>
      </w:r>
      <w:r>
        <w:t>– When the slide switch shows FWD, the graphical layout is only the Forward portion of the missile inventory. When the switch is moved to the left, AFT will be shown and only the AFT portion of the missile inventory is being displayed.</w:t>
      </w:r>
      <w:r w:rsidR="00883FA6">
        <w:t xml:space="preserve"> This may be positioned on the far right of the display or just above the cell inventory layout, depending on if the display is wide or narrow.</w:t>
      </w:r>
    </w:p>
    <w:p w14:paraId="2E870CEA" w14:textId="54A56227" w:rsidR="0069163A" w:rsidRDefault="0069163A" w:rsidP="006D5A65">
      <w:pPr>
        <w:pStyle w:val="Heading1"/>
      </w:pPr>
      <w:r>
        <w:rPr>
          <w:bCs/>
        </w:rPr>
        <w:t xml:space="preserve">TAC (or TRN) </w:t>
      </w:r>
      <w:r>
        <w:t>– When the slide switch shows TAC, the graphical layout represents Tactical missile inventory. When the switch is moved to the left, TRN will be shown, and the missile inventory represents Training missile inventory.</w:t>
      </w:r>
      <w:r w:rsidR="00883FA6">
        <w:t xml:space="preserve"> This may be positioned on the far right of the display or just above the cell inventory layout, depending on if the display is wide or narrow.</w:t>
      </w:r>
    </w:p>
    <w:p w14:paraId="7F55CBA6" w14:textId="6CA6E553" w:rsidR="00883FA6" w:rsidRPr="00BB4EBE" w:rsidRDefault="00883FA6" w:rsidP="006D5A65">
      <w:pPr>
        <w:pStyle w:val="Heading1"/>
      </w:pPr>
      <w:r>
        <w:rPr>
          <w:noProof/>
        </w:rPr>
        <w:drawing>
          <wp:inline distT="0" distB="0" distL="0" distR="0" wp14:anchorId="755E6AF5" wp14:editId="423A2F51">
            <wp:extent cx="247650" cy="247650"/>
            <wp:effectExtent l="0" t="0" r="0" b="0"/>
            <wp:docPr id="56703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39018" name=""/>
                    <pic:cNvPicPr/>
                  </pic:nvPicPr>
                  <pic:blipFill>
                    <a:blip/>
                    <a:stretch>
                      <a:fillRect/>
                    </a:stretch>
                  </pic:blipFill>
                  <pic:spPr>
                    <a:xfrm>
                      <a:off x="0" y="0"/>
                      <a:ext cx="247650" cy="247650"/>
                    </a:xfrm>
                    <a:prstGeom prst="rect">
                      <a:avLst/>
                    </a:prstGeom>
                  </pic:spPr>
                </pic:pic>
              </a:graphicData>
            </a:graphic>
          </wp:inline>
        </w:drawing>
      </w:r>
      <w:r>
        <w:t xml:space="preserve"> - When any missile cell has been updated, the save icon will be enabled to allow</w:t>
      </w:r>
      <w:r w:rsidR="009F006D">
        <w:t xml:space="preserve"> the</w:t>
      </w:r>
      <w:r>
        <w:t xml:space="preserve"> user to save the updated missile inventory.</w:t>
      </w:r>
    </w:p>
    <w:p w14:paraId="0E07408E" w14:textId="77777777" w:rsidR="0069163A" w:rsidRPr="008A550A" w:rsidRDefault="0069163A" w:rsidP="009570CA">
      <w:pPr>
        <w:pStyle w:val="Heading5"/>
      </w:pPr>
      <w:r>
        <w:t>Missile Inventory List</w:t>
      </w:r>
    </w:p>
    <w:p w14:paraId="47444F5E" w14:textId="77777777" w:rsidR="0069163A" w:rsidRDefault="0069163A" w:rsidP="009570CA">
      <w:r>
        <w:t>This list view displays the assignment of missile cell ID to missile ID that identifies the missile stored in that missile cell.</w:t>
      </w:r>
    </w:p>
    <w:p w14:paraId="22A5A370" w14:textId="0DA20F75" w:rsidR="0069163A" w:rsidRDefault="000840E1" w:rsidP="009570CA">
      <w:pPr>
        <w:pStyle w:val="ListParagraph"/>
        <w:spacing w:after="120"/>
        <w:ind w:left="0"/>
        <w:jc w:val="center"/>
        <w:rPr>
          <w:rFonts w:ascii="Times New Roman" w:hAnsi="Times New Roman"/>
          <w:sz w:val="24"/>
          <w:szCs w:val="24"/>
        </w:rPr>
      </w:pPr>
      <w:r>
        <w:rPr>
          <w:noProof/>
        </w:rPr>
        <w:lastRenderedPageBreak/>
        <w:drawing>
          <wp:inline distT="0" distB="0" distL="0" distR="0" wp14:anchorId="60770EBC" wp14:editId="2B74B3B0">
            <wp:extent cx="4983480" cy="2404872"/>
            <wp:effectExtent l="0" t="0" r="0" b="0"/>
            <wp:docPr id="1988601926"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01926" name="Picture 1" descr="Graphical user interface, application&#10;&#10;Description automatically generated"/>
                    <pic:cNvPicPr/>
                  </pic:nvPicPr>
                  <pic:blipFill>
                    <a:blip/>
                    <a:stretch>
                      <a:fillRect/>
                    </a:stretch>
                  </pic:blipFill>
                  <pic:spPr>
                    <a:xfrm>
                      <a:off x="0" y="0"/>
                      <a:ext cx="4983480" cy="2404872"/>
                    </a:xfrm>
                    <a:prstGeom prst="rect">
                      <a:avLst/>
                    </a:prstGeom>
                  </pic:spPr>
                </pic:pic>
              </a:graphicData>
            </a:graphic>
          </wp:inline>
        </w:drawing>
      </w:r>
    </w:p>
    <w:p w14:paraId="477BD4CE" w14:textId="77777777" w:rsidR="0069163A" w:rsidRDefault="0069163A" w:rsidP="006D5A65">
      <w:pPr>
        <w:pStyle w:val="Heading1"/>
      </w:pPr>
      <w:r>
        <w:rPr>
          <w:bCs/>
        </w:rPr>
        <w:t xml:space="preserve">CELL ID </w:t>
      </w:r>
      <w:r>
        <w:t>–</w:t>
      </w:r>
      <w:r>
        <w:rPr>
          <w:bCs/>
        </w:rPr>
        <w:t xml:space="preserve"> </w:t>
      </w:r>
      <w:r>
        <w:t>Indicates where the missile is located in platform’s missile inventory.</w:t>
      </w:r>
    </w:p>
    <w:p w14:paraId="749FC9DC" w14:textId="77777777" w:rsidR="0069163A" w:rsidRDefault="0069163A" w:rsidP="006D5A65">
      <w:pPr>
        <w:pStyle w:val="Heading2"/>
      </w:pPr>
      <w:r>
        <w:t>For Surface platforms (excluding DDG-1000), the A indicates the Aft launcher, and the F indicates the Forward launcher.</w:t>
      </w:r>
    </w:p>
    <w:p w14:paraId="310FF3C2" w14:textId="77777777" w:rsidR="0069163A" w:rsidRPr="00F62150" w:rsidRDefault="0069163A" w:rsidP="006D5A65">
      <w:pPr>
        <w:pStyle w:val="Heading2"/>
      </w:pPr>
      <w:r w:rsidRPr="00F62150">
        <w:t>T</w:t>
      </w:r>
      <w:r w:rsidRPr="00F62150">
        <w:rPr>
          <w:rStyle w:val="cf01"/>
          <w:rFonts w:ascii="Times New Roman" w:hAnsi="Times New Roman" w:cs="Times New Roman"/>
          <w:sz w:val="24"/>
          <w:szCs w:val="24"/>
        </w:rPr>
        <w:t xml:space="preserve">he Royal Australian Navy (RAN) platform uses an inventory layout similar to the USN CG configuration, except that the RAN module numbers start with 3, and there are no aft modules. </w:t>
      </w:r>
    </w:p>
    <w:p w14:paraId="4C07369D" w14:textId="77777777" w:rsidR="0069163A" w:rsidRDefault="0069163A" w:rsidP="006D5A65">
      <w:pPr>
        <w:pStyle w:val="Heading2"/>
      </w:pPr>
      <w:r>
        <w:t xml:space="preserve">For MRC Ground Launch platforms, an </w:t>
      </w:r>
      <w:r>
        <w:rPr>
          <w:bCs/>
        </w:rPr>
        <w:t>A</w:t>
      </w:r>
      <w:r>
        <w:t xml:space="preserve"> followed by the module number (1-4) is used to designate the launcher module and is followed by the cell number. Only cells 1, 2, 7, and 8 are used. Cells for modules 1 and 3 are referenced in identical order as that of modules 2 and 4.</w:t>
      </w:r>
    </w:p>
    <w:p w14:paraId="4BC6F668" w14:textId="77777777" w:rsidR="0069163A" w:rsidRDefault="0069163A" w:rsidP="006D5A65">
      <w:pPr>
        <w:pStyle w:val="Heading2"/>
      </w:pPr>
      <w:r>
        <w:t xml:space="preserve">For LRF Ground Launch platforms, the Navy's VLS configuration is used to abstractly represent 16 single ground missile launchers where the first 8 missile launchers are respectively represented by 8 modules in </w:t>
      </w:r>
      <w:r>
        <w:rPr>
          <w:bCs/>
        </w:rPr>
        <w:t>F</w:t>
      </w:r>
      <w:r>
        <w:t xml:space="preserve"> and the last 8 missile launchers are respectively represented by 8 modules in </w:t>
      </w:r>
      <w:r>
        <w:rPr>
          <w:bCs/>
        </w:rPr>
        <w:t>A</w:t>
      </w:r>
      <w:r>
        <w:t>. The first cell of each module represents a ground missile launcher.</w:t>
      </w:r>
    </w:p>
    <w:p w14:paraId="2AE7D7AA" w14:textId="3226DC3D" w:rsidR="0069163A" w:rsidRDefault="0069163A" w:rsidP="006D5A65">
      <w:pPr>
        <w:pStyle w:val="Heading2"/>
      </w:pPr>
      <w:r>
        <w:t xml:space="preserve">For DDG-1000 platforms, the ID format is in “MM-C” format where M indicates the module number (range 01-20) and C indicates the cell number (range 1-4). Odd-numbered modules are starboard; even-numbered modules are port. TMPC versions 6.0 (and above) display the DDG-1000 class using the DDG-1000 ID format. TMPC versions 5.0.2 or earlier display the DDG-1000 class using the CG-47 ID format. For CG-47, the ID format is in “LMCb” format where L indicates the Launcher (F </w:t>
      </w:r>
      <w:r>
        <w:lastRenderedPageBreak/>
        <w:t>indicates Forward, A indicates Aft), M indicates the module number (range 1-8), C indicates the cell number (range 1-8), and b indicates an ASCII blank.</w:t>
      </w:r>
    </w:p>
    <w:p w14:paraId="1B494D1B" w14:textId="77777777" w:rsidR="0069163A" w:rsidRDefault="0069163A" w:rsidP="006D5A65">
      <w:pPr>
        <w:pStyle w:val="Heading2"/>
      </w:pPr>
      <w:r>
        <w:t>For Submarines (excluding Block V Virginia Class), TTL represents the Torpedo Tube Launch and C represents the Capsule Launch System (CLS) cell.</w:t>
      </w:r>
    </w:p>
    <w:p w14:paraId="661FCF0F" w14:textId="77777777" w:rsidR="0069163A" w:rsidRDefault="0069163A" w:rsidP="006D5A65">
      <w:pPr>
        <w:pStyle w:val="Heading2"/>
      </w:pPr>
      <w:r>
        <w:t>For Block V Virginia Class, the ID format is in “Pxxc” format where P indicates Payload Tube, xx indicates the Payload Tube number (05-10), and c indicates the cell letter (A-G). For example, “P05A” indicates Payload Tube 5, Capsule A</w:t>
      </w:r>
    </w:p>
    <w:p w14:paraId="1A23BF60" w14:textId="77777777" w:rsidR="000840E1" w:rsidRPr="00DF2A45" w:rsidRDefault="000840E1" w:rsidP="006D5A65">
      <w:pPr>
        <w:pStyle w:val="Heading1"/>
      </w:pPr>
      <w:r w:rsidRPr="00DF2A45">
        <w:rPr>
          <w:bCs/>
        </w:rPr>
        <w:t>FAIL</w:t>
      </w:r>
      <w:r w:rsidRPr="00DF2A45">
        <w:t xml:space="preserve"> –</w:t>
      </w:r>
      <w:r w:rsidRPr="00DF2A45">
        <w:rPr>
          <w:bCs/>
        </w:rPr>
        <w:t xml:space="preserve"> </w:t>
      </w:r>
      <w:r w:rsidRPr="00DF2A45">
        <w:t>Indicates the component in the missile that has failure, and the possible values are “GPS”, “DSMAC”, “SEEKER” and “SDLT”.</w:t>
      </w:r>
    </w:p>
    <w:p w14:paraId="6871966C" w14:textId="77777777" w:rsidR="000840E1" w:rsidRPr="00DF2A45" w:rsidRDefault="000840E1" w:rsidP="006D5A65">
      <w:pPr>
        <w:pStyle w:val="Heading1"/>
      </w:pPr>
      <w:r w:rsidRPr="00DF2A45">
        <w:rPr>
          <w:bCs/>
        </w:rPr>
        <w:t xml:space="preserve">NALC </w:t>
      </w:r>
      <w:r w:rsidRPr="00DF2A45">
        <w:t>– The functional usage of the missile which is either for “Tactical” use or for exercise use, which would be “RSS”.</w:t>
      </w:r>
    </w:p>
    <w:p w14:paraId="4E8A745B" w14:textId="5EA5AB19" w:rsidR="000840E1" w:rsidRPr="00BB4EBE" w:rsidRDefault="000840E1" w:rsidP="006D5A65">
      <w:pPr>
        <w:pStyle w:val="Heading1"/>
      </w:pPr>
      <w:r w:rsidRPr="00DF2A45">
        <w:t>MISSILE ID – These are the unique Missile Identification System (MIS) Codes taken from the JCM-2038 publication.</w:t>
      </w:r>
    </w:p>
    <w:p w14:paraId="5AB3039E" w14:textId="27F3969F" w:rsidR="00CC4792" w:rsidRPr="00DF2A45" w:rsidRDefault="0069163A" w:rsidP="006D5A65">
      <w:pPr>
        <w:pStyle w:val="Heading1"/>
        <w:rPr>
          <w:bCs/>
        </w:rPr>
      </w:pPr>
      <w:r w:rsidRPr="00DF2A45">
        <w:rPr>
          <w:bCs/>
        </w:rPr>
        <w:t xml:space="preserve">MISSILE TYPE </w:t>
      </w:r>
      <w:r w:rsidRPr="00DF2A45">
        <w:t xml:space="preserve">– See </w:t>
      </w:r>
      <w:hyperlink w:anchor="_4-Character_Missile_Type" w:history="1">
        <w:r w:rsidR="001C10F2" w:rsidRPr="00DF2A45">
          <w:rPr>
            <w:rStyle w:val="Hyperlink"/>
            <w:rFonts w:ascii="Times New Roman" w:hAnsi="Times New Roman"/>
            <w:szCs w:val="24"/>
          </w:rPr>
          <w:t>Section 5.13.3.2.1</w:t>
        </w:r>
      </w:hyperlink>
      <w:r w:rsidRPr="00DF2A45">
        <w:t xml:space="preserve"> for details of the 4 letter codes denoting missile type.</w:t>
      </w:r>
    </w:p>
    <w:p w14:paraId="1A9FFC10" w14:textId="2A9B58F4" w:rsidR="00CC4792" w:rsidRPr="00DF2A45" w:rsidRDefault="0069163A" w:rsidP="006D5A65">
      <w:pPr>
        <w:pStyle w:val="Heading1"/>
      </w:pPr>
      <w:r w:rsidRPr="000F0892">
        <w:t xml:space="preserve">OP STATUS </w:t>
      </w:r>
      <w:r w:rsidR="00A577AC" w:rsidRPr="000F0892">
        <w:t>–</w:t>
      </w:r>
      <w:r w:rsidRPr="000F0892">
        <w:t xml:space="preserve"> States if the missile is operational, non-operational, partially operational, or not available.</w:t>
      </w:r>
    </w:p>
    <w:p w14:paraId="0084D689" w14:textId="0B1ADE5F" w:rsidR="0069163A" w:rsidRPr="00DF2A45" w:rsidRDefault="0069163A" w:rsidP="006D5A65">
      <w:pPr>
        <w:pStyle w:val="Heading1"/>
      </w:pPr>
      <w:r w:rsidRPr="00DF2A45">
        <w:t>SERIAL # – Unique number assigned when the missile is manufactured.</w:t>
      </w:r>
    </w:p>
    <w:p w14:paraId="03270264" w14:textId="77777777" w:rsidR="0069163A" w:rsidRPr="00DF2A45" w:rsidRDefault="0069163A" w:rsidP="006D5A65">
      <w:pPr>
        <w:pStyle w:val="Heading1"/>
      </w:pPr>
      <w:r w:rsidRPr="00DF2A45">
        <w:rPr>
          <w:bCs/>
        </w:rPr>
        <w:t>TSN</w:t>
      </w:r>
      <w:r w:rsidRPr="00DF2A45">
        <w:t xml:space="preserve"> – The type of communication network protocol built into the missile which is either Demand Access Multiple Access “DAMA” or Advanced Communication Architecture “ACA”.</w:t>
      </w:r>
    </w:p>
    <w:p w14:paraId="0A9367C9" w14:textId="77777777" w:rsidR="0069163A" w:rsidRPr="00DF2A45" w:rsidRDefault="0069163A" w:rsidP="006D5A65">
      <w:pPr>
        <w:pStyle w:val="Heading1"/>
        <w:rPr>
          <w:bCs/>
        </w:rPr>
      </w:pPr>
      <w:r w:rsidRPr="00DF2A45">
        <w:rPr>
          <w:bCs/>
        </w:rPr>
        <w:t>OES VERSION ID</w:t>
      </w:r>
      <w:r w:rsidRPr="00DF2A45">
        <w:t xml:space="preserve"> – The version number of the OES to be employed by the missile.</w:t>
      </w:r>
    </w:p>
    <w:p w14:paraId="5401447F" w14:textId="3860BBFD" w:rsidR="0069163A" w:rsidRDefault="0069163A" w:rsidP="006D5A65">
      <w:pPr>
        <w:pStyle w:val="Heading1"/>
      </w:pPr>
      <w:r>
        <w:t>SDFA VERSION ID – The identifier for the version of MTIF Data File of type SDFA</w:t>
      </w:r>
      <w:r w:rsidR="00A577AC">
        <w:t>.</w:t>
      </w:r>
    </w:p>
    <w:p w14:paraId="4FADAFB9" w14:textId="77777777" w:rsidR="0069163A" w:rsidRPr="000840E1" w:rsidRDefault="0069163A" w:rsidP="006D5A65">
      <w:pPr>
        <w:pStyle w:val="Heading1"/>
      </w:pPr>
      <w:r>
        <w:t>SDFP VERSION ID – The identifier for the version of MTIF Data File of type SDFP.</w:t>
      </w:r>
    </w:p>
    <w:p w14:paraId="2501A5FB" w14:textId="02126F09" w:rsidR="000840E1" w:rsidRPr="00BB4EBE" w:rsidRDefault="000840E1" w:rsidP="006D5A65">
      <w:pPr>
        <w:pStyle w:val="Heading1"/>
      </w:pPr>
      <w:r>
        <w:rPr>
          <w:noProof/>
        </w:rPr>
        <w:drawing>
          <wp:inline distT="0" distB="0" distL="0" distR="0" wp14:anchorId="4DFEFA3E" wp14:editId="49D30486">
            <wp:extent cx="361950" cy="238125"/>
            <wp:effectExtent l="0" t="0" r="0" b="9525"/>
            <wp:docPr id="29253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78690" name=""/>
                    <pic:cNvPicPr/>
                  </pic:nvPicPr>
                  <pic:blipFill>
                    <a:blip/>
                    <a:stretch>
                      <a:fillRect/>
                    </a:stretch>
                  </pic:blipFill>
                  <pic:spPr>
                    <a:xfrm>
                      <a:off x="0" y="0"/>
                      <a:ext cx="361950" cy="238125"/>
                    </a:xfrm>
                    <a:prstGeom prst="rect">
                      <a:avLst/>
                    </a:prstGeom>
                  </pic:spPr>
                </pic:pic>
              </a:graphicData>
            </a:graphic>
          </wp:inline>
        </w:drawing>
      </w:r>
      <w:r>
        <w:t xml:space="preserve"> </w:t>
      </w:r>
      <w:r w:rsidR="0018593A">
        <w:t>–</w:t>
      </w:r>
      <w:r>
        <w:t xml:space="preserve"> Clicking on this icon will trigger a </w:t>
      </w:r>
      <w:r w:rsidR="00DF2A45">
        <w:t>drop-down</w:t>
      </w:r>
      <w:r>
        <w:t xml:space="preserve"> menu of columns. Users may type text in the search text form to </w:t>
      </w:r>
      <w:r>
        <w:lastRenderedPageBreak/>
        <w:t>search for text that may exist in the selected columns. List view will only show rows that satisfy the search filter.</w:t>
      </w:r>
    </w:p>
    <w:p w14:paraId="553B290B" w14:textId="77777777" w:rsidR="0069163A" w:rsidRPr="008A550A" w:rsidRDefault="0069163A" w:rsidP="000D2B6B">
      <w:pPr>
        <w:pStyle w:val="Heading5"/>
        <w:keepLines/>
      </w:pPr>
      <w:r>
        <w:t>Missile List</w:t>
      </w:r>
    </w:p>
    <w:p w14:paraId="59A266DB" w14:textId="77777777" w:rsidR="0069163A" w:rsidRDefault="0069163A" w:rsidP="000D2B6B">
      <w:pPr>
        <w:keepNext/>
        <w:keepLines/>
      </w:pPr>
      <w:r>
        <w:t>This list view shows a list of all missiles that can be assigned to available missile cells in the inventory.</w:t>
      </w:r>
    </w:p>
    <w:p w14:paraId="4650D3EC" w14:textId="77FF5314" w:rsidR="0069163A" w:rsidRDefault="00CC5696" w:rsidP="009570CA">
      <w:pPr>
        <w:pStyle w:val="ListParagraph"/>
        <w:spacing w:after="120"/>
        <w:ind w:left="0"/>
        <w:jc w:val="center"/>
        <w:rPr>
          <w:rFonts w:ascii="Times New Roman" w:hAnsi="Times New Roman"/>
          <w:sz w:val="24"/>
          <w:szCs w:val="24"/>
        </w:rPr>
      </w:pPr>
      <w:r>
        <w:rPr>
          <w:noProof/>
        </w:rPr>
        <w:drawing>
          <wp:inline distT="0" distB="0" distL="0" distR="0" wp14:anchorId="073D83FA" wp14:editId="7B458CF2">
            <wp:extent cx="4937760" cy="2378754"/>
            <wp:effectExtent l="0" t="0" r="0" b="0"/>
            <wp:docPr id="1281684823"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84823" name="Picture 1" descr="Graphical user interface, application&#10;&#10;Description automatically generated"/>
                    <pic:cNvPicPr/>
                  </pic:nvPicPr>
                  <pic:blipFill>
                    <a:blip/>
                    <a:stretch>
                      <a:fillRect/>
                    </a:stretch>
                  </pic:blipFill>
                  <pic:spPr>
                    <a:xfrm>
                      <a:off x="0" y="0"/>
                      <a:ext cx="4951352" cy="2385302"/>
                    </a:xfrm>
                    <a:prstGeom prst="rect">
                      <a:avLst/>
                    </a:prstGeom>
                  </pic:spPr>
                </pic:pic>
              </a:graphicData>
            </a:graphic>
          </wp:inline>
        </w:drawing>
      </w:r>
    </w:p>
    <w:p w14:paraId="25DEE1F2" w14:textId="58B41B07" w:rsidR="0069163A" w:rsidRPr="00BB4EBE" w:rsidRDefault="000F0892" w:rsidP="006D5A65">
      <w:pPr>
        <w:pStyle w:val="Heading1"/>
        <w:rPr>
          <w:bCs/>
        </w:rPr>
      </w:pPr>
      <w:r>
        <w:rPr>
          <w:bCs/>
        </w:rPr>
        <w:t>Missile</w:t>
      </w:r>
      <w:r w:rsidR="0069163A">
        <w:rPr>
          <w:bCs/>
        </w:rPr>
        <w:t xml:space="preserve"> ID </w:t>
      </w:r>
      <w:r w:rsidR="00A577AC">
        <w:t>–</w:t>
      </w:r>
      <w:r w:rsidR="0069163A">
        <w:t xml:space="preserve"> When the list view is in Missile ID view, the leftmost column is Missile ID. Its value is alphanumeric which the first character is C. For 109C missiles, the Missile ID will begin with C2104… For 109E missiles, the Missile ID will begin with C3082 or C3084… For JMEW missiles, the Missile ID will begin with C3042 or C3044…</w:t>
      </w:r>
    </w:p>
    <w:p w14:paraId="4574A5A5" w14:textId="042F86A2" w:rsidR="00CC5696" w:rsidRPr="00CC5696" w:rsidRDefault="00CC5696" w:rsidP="006D5A65">
      <w:pPr>
        <w:pStyle w:val="Heading1"/>
        <w:rPr>
          <w:bCs/>
        </w:rPr>
      </w:pPr>
      <w:r w:rsidRPr="00CC5696">
        <w:rPr>
          <w:bCs/>
        </w:rPr>
        <w:t xml:space="preserve">Missile Type - </w:t>
      </w:r>
      <w:r w:rsidRPr="00CC5696">
        <w:t xml:space="preserve">See </w:t>
      </w:r>
      <w:hyperlink w:anchor="_4-Character_Missile_Type" w:history="1">
        <w:r w:rsidRPr="00BB4EBE">
          <w:rPr>
            <w:rStyle w:val="Hyperlink"/>
            <w:rFonts w:ascii="Times New Roman" w:hAnsi="Times New Roman"/>
            <w:szCs w:val="24"/>
          </w:rPr>
          <w:t>Section 5.13.3.2.1</w:t>
        </w:r>
      </w:hyperlink>
      <w:r w:rsidRPr="00CC5696">
        <w:t xml:space="preserve"> Missile Code.</w:t>
      </w:r>
    </w:p>
    <w:p w14:paraId="728ED940" w14:textId="51B35427" w:rsidR="0069163A" w:rsidRDefault="00CC5696" w:rsidP="006D5A65">
      <w:pPr>
        <w:pStyle w:val="Heading1"/>
        <w:rPr>
          <w:bCs/>
        </w:rPr>
      </w:pPr>
      <w:r>
        <w:rPr>
          <w:bCs/>
        </w:rPr>
        <w:t>Missile</w:t>
      </w:r>
      <w:r w:rsidR="0069163A">
        <w:rPr>
          <w:bCs/>
        </w:rPr>
        <w:t xml:space="preserve"> </w:t>
      </w:r>
      <w:r w:rsidR="00A577AC">
        <w:t>–</w:t>
      </w:r>
      <w:r w:rsidR="0069163A">
        <w:rPr>
          <w:bCs/>
        </w:rPr>
        <w:t xml:space="preserve"> </w:t>
      </w:r>
      <w:r w:rsidR="0069163A">
        <w:t>The possible values for missile property are “109D”, “109C”, “109E”, “109E ACP”, “109M”, and “MSTM”, and ordered here in progressive improvement in the technology of the missiles.</w:t>
      </w:r>
    </w:p>
    <w:p w14:paraId="6D31725F" w14:textId="3B67AF43" w:rsidR="0069163A" w:rsidRDefault="00CC5696" w:rsidP="006D5A65">
      <w:pPr>
        <w:pStyle w:val="Heading1"/>
      </w:pPr>
      <w:r>
        <w:rPr>
          <w:bCs/>
        </w:rPr>
        <w:t>Missile Variant</w:t>
      </w:r>
      <w:r>
        <w:t xml:space="preserve"> </w:t>
      </w:r>
      <w:r w:rsidR="0069163A">
        <w:t>–</w:t>
      </w:r>
      <w:r w:rsidR="0069163A">
        <w:rPr>
          <w:bCs/>
        </w:rPr>
        <w:t xml:space="preserve"> </w:t>
      </w:r>
      <w:r w:rsidR="0069163A">
        <w:t>Identif</w:t>
      </w:r>
      <w:r w:rsidR="00A577AC">
        <w:t>ies</w:t>
      </w:r>
      <w:r w:rsidR="0069163A">
        <w:t xml:space="preserve"> the variant of a missile which the possible variants are</w:t>
      </w:r>
      <w:r w:rsidR="0069163A">
        <w:rPr>
          <w:bCs/>
        </w:rPr>
        <w:t xml:space="preserve"> </w:t>
      </w:r>
      <w:r w:rsidR="0069163A">
        <w:t>“RGM-109D”, “UGM 109D”, “RGM 109C”, “UGM 109C”, “R UGM 109E”, “JR UGM 109E”, “R UGM 109M”, “JR UGM 109M”.</w:t>
      </w:r>
    </w:p>
    <w:p w14:paraId="1CFD85C0" w14:textId="670B8EDE" w:rsidR="0069163A" w:rsidRDefault="00CC5696" w:rsidP="006D5A65">
      <w:pPr>
        <w:pStyle w:val="Heading1"/>
      </w:pPr>
      <w:r>
        <w:rPr>
          <w:bCs/>
        </w:rPr>
        <w:t>Payload</w:t>
      </w:r>
      <w:r>
        <w:t xml:space="preserve"> </w:t>
      </w:r>
      <w:r w:rsidR="0069163A">
        <w:t>– The type of payload that is in the missile which is either “Inert” or “Conventional”.</w:t>
      </w:r>
    </w:p>
    <w:p w14:paraId="4500C521" w14:textId="6D1BA814" w:rsidR="0069163A" w:rsidRDefault="00CC5696" w:rsidP="006D5A65">
      <w:pPr>
        <w:pStyle w:val="Heading1"/>
      </w:pPr>
      <w:r>
        <w:rPr>
          <w:bCs/>
        </w:rPr>
        <w:t>Exercise</w:t>
      </w:r>
      <w:r w:rsidR="0069163A">
        <w:t xml:space="preserve"> - The functional usage of the missile which is either for “Tactical” use or for exercise use, which would be “RSS”.</w:t>
      </w:r>
    </w:p>
    <w:p w14:paraId="785DB1F6" w14:textId="6CF6713D" w:rsidR="00CC5696" w:rsidRPr="00BB4EBE" w:rsidRDefault="0069163A" w:rsidP="006D5A65">
      <w:pPr>
        <w:pStyle w:val="Heading1"/>
      </w:pPr>
      <w:r>
        <w:rPr>
          <w:bCs/>
        </w:rPr>
        <w:t>TSN</w:t>
      </w:r>
      <w:r>
        <w:t xml:space="preserve"> – The type of communication network protocol built into the missile which is either Demand Access Multiple Access “DAMA” or Advanced Communication Architecture “ACA”.</w:t>
      </w:r>
    </w:p>
    <w:p w14:paraId="66CAAFAB" w14:textId="0828C3B1" w:rsidR="00CC5696" w:rsidRPr="00BB4EBE" w:rsidRDefault="00CC5696" w:rsidP="006D5A65">
      <w:pPr>
        <w:pStyle w:val="Heading1"/>
      </w:pPr>
      <w:r>
        <w:rPr>
          <w:noProof/>
        </w:rPr>
        <w:drawing>
          <wp:inline distT="0" distB="0" distL="0" distR="0" wp14:anchorId="1F8FF1AF" wp14:editId="703790C0">
            <wp:extent cx="361950" cy="238125"/>
            <wp:effectExtent l="0" t="0" r="0" b="9525"/>
            <wp:docPr id="75457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78690" name=""/>
                    <pic:cNvPicPr/>
                  </pic:nvPicPr>
                  <pic:blipFill>
                    <a:blip/>
                    <a:stretch>
                      <a:fillRect/>
                    </a:stretch>
                  </pic:blipFill>
                  <pic:spPr>
                    <a:xfrm>
                      <a:off x="0" y="0"/>
                      <a:ext cx="361950" cy="238125"/>
                    </a:xfrm>
                    <a:prstGeom prst="rect">
                      <a:avLst/>
                    </a:prstGeom>
                  </pic:spPr>
                </pic:pic>
              </a:graphicData>
            </a:graphic>
          </wp:inline>
        </w:drawing>
      </w:r>
      <w:r>
        <w:t xml:space="preserve"> </w:t>
      </w:r>
      <w:r w:rsidR="0018593A">
        <w:t>–</w:t>
      </w:r>
      <w:r>
        <w:t xml:space="preserve"> Clicking on this icon will trigger a </w:t>
      </w:r>
      <w:r w:rsidR="00297102">
        <w:t>drop-down</w:t>
      </w:r>
      <w:r>
        <w:t xml:space="preserve"> menu of columns. Users may type text in the search text form to </w:t>
      </w:r>
      <w:r>
        <w:lastRenderedPageBreak/>
        <w:t>search for text that may exist in the selected columns. List view will only show rows that satisfy the search filter.</w:t>
      </w:r>
    </w:p>
    <w:p w14:paraId="515205D9" w14:textId="77777777" w:rsidR="0069163A" w:rsidRDefault="0069163A" w:rsidP="00306174">
      <w:pPr>
        <w:pStyle w:val="Heading6"/>
        <w:rPr>
          <w:szCs w:val="20"/>
        </w:rPr>
      </w:pPr>
      <w:bookmarkStart w:id="2039" w:name="_Missile_Cell"/>
      <w:bookmarkStart w:id="2040" w:name="MissileCell"/>
      <w:bookmarkEnd w:id="2039"/>
      <w:r>
        <w:t>Missile Cell</w:t>
      </w:r>
    </w:p>
    <w:bookmarkEnd w:id="2040"/>
    <w:p w14:paraId="52B730F2" w14:textId="77777777" w:rsidR="0069163A" w:rsidRDefault="0069163A" w:rsidP="009570CA">
      <w:r>
        <w:t>The Missile Cell displays detail status of the missile cell. Double-clicking any missile cell will bring up a Missile Cell window, and an example is shown below. The top of the window displays the cell number, and the center of the window displays the Missile ID assigned to the cell. White colored form field, combo box, and buttons denote that they are active for user input.</w:t>
      </w:r>
    </w:p>
    <w:p w14:paraId="58DD88F5" w14:textId="62D74584" w:rsidR="0069163A" w:rsidRDefault="0069163A" w:rsidP="009570CA">
      <w:pPr>
        <w:jc w:val="center"/>
      </w:pPr>
      <w:r>
        <w:rPr>
          <w:noProof/>
        </w:rPr>
        <w:drawing>
          <wp:inline distT="0" distB="0" distL="0" distR="0" wp14:anchorId="1D8533B6" wp14:editId="137134EE">
            <wp:extent cx="1828800" cy="1664208"/>
            <wp:effectExtent l="0" t="0" r="0" b="0"/>
            <wp:docPr id="1915371906" name="Picture 4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71906" name="Picture 48" descr="A screenshot of a computer&#10;&#10;Description automatically generated with medium confidence"/>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828800" cy="1664208"/>
                    </a:xfrm>
                    <a:prstGeom prst="rect">
                      <a:avLst/>
                    </a:prstGeom>
                    <a:noFill/>
                    <a:ln>
                      <a:noFill/>
                    </a:ln>
                  </pic:spPr>
                </pic:pic>
              </a:graphicData>
            </a:graphic>
          </wp:inline>
        </w:drawing>
      </w:r>
    </w:p>
    <w:p w14:paraId="45DBFF10" w14:textId="5A1CCF2A" w:rsidR="0069163A" w:rsidRDefault="00A577AC" w:rsidP="009570CA">
      <w:r>
        <w:t>The u</w:t>
      </w:r>
      <w:r w:rsidR="0069163A">
        <w:t xml:space="preserve">ser may manually set the operational status of a missile by clicking on the </w:t>
      </w:r>
      <w:r w:rsidR="0069163A" w:rsidRPr="00110738">
        <w:rPr>
          <w:b/>
          <w:bCs/>
        </w:rPr>
        <w:t>OP Status</w:t>
      </w:r>
      <w:r w:rsidR="0069163A">
        <w:t xml:space="preserve"> Combo Box and select an applicable status.</w:t>
      </w:r>
    </w:p>
    <w:p w14:paraId="23D4DD69" w14:textId="672773B7" w:rsidR="0069163A" w:rsidRDefault="0069163A" w:rsidP="009570CA">
      <w:pPr>
        <w:jc w:val="center"/>
      </w:pPr>
      <w:r>
        <w:rPr>
          <w:noProof/>
        </w:rPr>
        <w:drawing>
          <wp:inline distT="0" distB="0" distL="0" distR="0" wp14:anchorId="1A1D9773" wp14:editId="1AEC55AB">
            <wp:extent cx="1828800" cy="2313432"/>
            <wp:effectExtent l="0" t="0" r="0" b="0"/>
            <wp:docPr id="1142163945" name="Picture 47"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63945" name="Picture 47" descr="A screenshot of a phone&#10;&#10;Description automatically generated with medium confidence"/>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828800" cy="2313432"/>
                    </a:xfrm>
                    <a:prstGeom prst="rect">
                      <a:avLst/>
                    </a:prstGeom>
                    <a:noFill/>
                    <a:ln>
                      <a:noFill/>
                    </a:ln>
                  </pic:spPr>
                </pic:pic>
              </a:graphicData>
            </a:graphic>
          </wp:inline>
        </w:drawing>
      </w:r>
    </w:p>
    <w:p w14:paraId="383EBB65" w14:textId="77777777" w:rsidR="0069163A" w:rsidRDefault="0069163A" w:rsidP="006D5A65">
      <w:pPr>
        <w:pStyle w:val="Heading1"/>
      </w:pPr>
      <w:r>
        <w:rPr>
          <w:bCs/>
        </w:rPr>
        <w:t xml:space="preserve">Operational </w:t>
      </w:r>
      <w:r>
        <w:t>– Indicates that the missile is employable for mission.</w:t>
      </w:r>
    </w:p>
    <w:p w14:paraId="59A7D8A6" w14:textId="7E4CF7BC" w:rsidR="0069163A" w:rsidRDefault="0069163A" w:rsidP="006D5A65">
      <w:pPr>
        <w:pStyle w:val="Heading1"/>
        <w:rPr>
          <w:bCs/>
        </w:rPr>
      </w:pPr>
      <w:r>
        <w:rPr>
          <w:bCs/>
        </w:rPr>
        <w:t xml:space="preserve">Partially Operational </w:t>
      </w:r>
      <w:r>
        <w:t xml:space="preserve">– Indicates that </w:t>
      </w:r>
      <w:r w:rsidR="00A577AC">
        <w:t xml:space="preserve">a </w:t>
      </w:r>
      <w:r>
        <w:t xml:space="preserve">certain component failure in the missile is present but does not affect the employment of the missile as long as the component is not </w:t>
      </w:r>
      <w:r>
        <w:lastRenderedPageBreak/>
        <w:t xml:space="preserve">needed for the mission. For example, </w:t>
      </w:r>
      <w:r w:rsidR="00A577AC">
        <w:t xml:space="preserve">a </w:t>
      </w:r>
      <w:r>
        <w:t>missile with seeker failure can still be used for Land Attack mission employment.</w:t>
      </w:r>
    </w:p>
    <w:p w14:paraId="172F32AC" w14:textId="6DEF16BC" w:rsidR="0069163A" w:rsidRDefault="0069163A" w:rsidP="006D5A65">
      <w:pPr>
        <w:pStyle w:val="Heading1"/>
        <w:rPr>
          <w:bCs/>
        </w:rPr>
      </w:pPr>
      <w:r>
        <w:rPr>
          <w:bCs/>
        </w:rPr>
        <w:t>Non</w:t>
      </w:r>
      <w:r w:rsidR="002E3693">
        <w:rPr>
          <w:bCs/>
        </w:rPr>
        <w:t xml:space="preserve"> </w:t>
      </w:r>
      <w:r>
        <w:rPr>
          <w:bCs/>
        </w:rPr>
        <w:t xml:space="preserve">Operational </w:t>
      </w:r>
      <w:r>
        <w:t>–</w:t>
      </w:r>
      <w:r>
        <w:rPr>
          <w:bCs/>
        </w:rPr>
        <w:t xml:space="preserve"> </w:t>
      </w:r>
      <w:r>
        <w:t>Indicates that the missile cannot be employed for mission success.</w:t>
      </w:r>
    </w:p>
    <w:p w14:paraId="08B7A636" w14:textId="5705FD77" w:rsidR="0069163A" w:rsidRDefault="0069163A" w:rsidP="006D5A65">
      <w:pPr>
        <w:pStyle w:val="Heading1"/>
        <w:rPr>
          <w:bCs/>
        </w:rPr>
      </w:pPr>
      <w:r>
        <w:rPr>
          <w:bCs/>
        </w:rPr>
        <w:t xml:space="preserve">Not Available </w:t>
      </w:r>
      <w:r w:rsidR="00A577AC">
        <w:t>–</w:t>
      </w:r>
      <w:r>
        <w:t xml:space="preserve"> Indicates that there is no available missile in the cell.</w:t>
      </w:r>
    </w:p>
    <w:p w14:paraId="0870222A" w14:textId="05C34B76" w:rsidR="0069163A" w:rsidRDefault="0069163A" w:rsidP="009570CA">
      <w:pPr>
        <w:rPr>
          <w:szCs w:val="24"/>
        </w:rPr>
      </w:pPr>
      <w:r>
        <w:rPr>
          <w:szCs w:val="24"/>
        </w:rPr>
        <w:t xml:space="preserve">When </w:t>
      </w:r>
      <w:r w:rsidR="00D74951">
        <w:rPr>
          <w:szCs w:val="24"/>
        </w:rPr>
        <w:t xml:space="preserve">the </w:t>
      </w:r>
      <w:r>
        <w:rPr>
          <w:szCs w:val="24"/>
        </w:rPr>
        <w:t xml:space="preserve">operational status is changed to </w:t>
      </w:r>
      <w:r w:rsidRPr="00110738">
        <w:rPr>
          <w:b/>
          <w:bCs/>
          <w:szCs w:val="24"/>
        </w:rPr>
        <w:t xml:space="preserve">Partially Operational </w:t>
      </w:r>
      <w:r>
        <w:rPr>
          <w:szCs w:val="24"/>
        </w:rPr>
        <w:t xml:space="preserve">or </w:t>
      </w:r>
      <w:r w:rsidR="00F62150" w:rsidRPr="00110738">
        <w:rPr>
          <w:b/>
          <w:bCs/>
          <w:szCs w:val="24"/>
        </w:rPr>
        <w:t>Non</w:t>
      </w:r>
      <w:r w:rsidR="002E3693" w:rsidRPr="00110738">
        <w:rPr>
          <w:b/>
          <w:bCs/>
          <w:szCs w:val="24"/>
        </w:rPr>
        <w:t xml:space="preserve"> </w:t>
      </w:r>
      <w:r w:rsidR="00F62150" w:rsidRPr="00110738">
        <w:rPr>
          <w:b/>
          <w:bCs/>
          <w:szCs w:val="24"/>
        </w:rPr>
        <w:t>Operational</w:t>
      </w:r>
      <w:r>
        <w:rPr>
          <w:szCs w:val="24"/>
        </w:rPr>
        <w:t xml:space="preserve">, the </w:t>
      </w:r>
      <w:r w:rsidRPr="00F62150">
        <w:rPr>
          <w:b/>
          <w:bCs/>
          <w:szCs w:val="24"/>
        </w:rPr>
        <w:t>Save</w:t>
      </w:r>
      <w:r>
        <w:rPr>
          <w:szCs w:val="24"/>
        </w:rPr>
        <w:t xml:space="preserve"> button is immediately enabled. Clicking the </w:t>
      </w:r>
      <w:r w:rsidRPr="00F62150">
        <w:rPr>
          <w:b/>
          <w:bCs/>
          <w:szCs w:val="24"/>
        </w:rPr>
        <w:t xml:space="preserve">Save </w:t>
      </w:r>
      <w:r>
        <w:rPr>
          <w:szCs w:val="24"/>
        </w:rPr>
        <w:t xml:space="preserve">button will enable the new operational status to be saved. When </w:t>
      </w:r>
      <w:r w:rsidR="00D74951">
        <w:rPr>
          <w:szCs w:val="24"/>
        </w:rPr>
        <w:t xml:space="preserve">a </w:t>
      </w:r>
      <w:r>
        <w:rPr>
          <w:szCs w:val="24"/>
        </w:rPr>
        <w:t xml:space="preserve">specific failure – </w:t>
      </w:r>
      <w:r w:rsidRPr="00F62150">
        <w:rPr>
          <w:b/>
          <w:bCs/>
          <w:szCs w:val="24"/>
        </w:rPr>
        <w:t>GPS</w:t>
      </w:r>
      <w:r>
        <w:rPr>
          <w:szCs w:val="24"/>
        </w:rPr>
        <w:t xml:space="preserve"> or </w:t>
      </w:r>
      <w:r w:rsidRPr="00F62150">
        <w:rPr>
          <w:b/>
          <w:bCs/>
          <w:szCs w:val="24"/>
        </w:rPr>
        <w:t>SMAC</w:t>
      </w:r>
      <w:r>
        <w:rPr>
          <w:szCs w:val="24"/>
        </w:rPr>
        <w:t xml:space="preserve"> or </w:t>
      </w:r>
      <w:r w:rsidRPr="00F62150">
        <w:rPr>
          <w:b/>
          <w:bCs/>
          <w:szCs w:val="24"/>
        </w:rPr>
        <w:t>SEEKER</w:t>
      </w:r>
      <w:r>
        <w:rPr>
          <w:szCs w:val="24"/>
        </w:rPr>
        <w:t xml:space="preserve"> or </w:t>
      </w:r>
      <w:r w:rsidRPr="00F62150">
        <w:rPr>
          <w:b/>
          <w:bCs/>
          <w:szCs w:val="24"/>
        </w:rPr>
        <w:t>SLDT</w:t>
      </w:r>
      <w:r>
        <w:rPr>
          <w:szCs w:val="24"/>
        </w:rPr>
        <w:t xml:space="preserve"> – is selected, the failure button will turn red to highlight </w:t>
      </w:r>
      <w:r w:rsidR="00D74951">
        <w:rPr>
          <w:szCs w:val="24"/>
        </w:rPr>
        <w:t xml:space="preserve">the </w:t>
      </w:r>
      <w:r>
        <w:rPr>
          <w:szCs w:val="24"/>
        </w:rPr>
        <w:t xml:space="preserve">failure for that component. If a missile does not have a seeker, then the </w:t>
      </w:r>
      <w:r w:rsidRPr="00F62150">
        <w:rPr>
          <w:b/>
          <w:bCs/>
          <w:szCs w:val="24"/>
        </w:rPr>
        <w:t>SEEKER</w:t>
      </w:r>
      <w:r>
        <w:rPr>
          <w:szCs w:val="24"/>
        </w:rPr>
        <w:t xml:space="preserve"> button is disabled.</w:t>
      </w:r>
    </w:p>
    <w:p w14:paraId="50DB4FBE" w14:textId="77777777" w:rsidR="0069163A" w:rsidRPr="00515E4A" w:rsidRDefault="0069163A" w:rsidP="00306174">
      <w:pPr>
        <w:pStyle w:val="Heading6"/>
      </w:pPr>
      <w:r>
        <w:t xml:space="preserve">Adding Missile </w:t>
      </w:r>
    </w:p>
    <w:p w14:paraId="088F057E" w14:textId="5DF8C866" w:rsidR="0069163A" w:rsidRDefault="0069163A" w:rsidP="009570CA">
      <w:r>
        <w:t xml:space="preserve">Manual adding of missiles to missile inventory can be accomplished in PMT or in MDS. The following are steps for adding one missile to one or more cells in </w:t>
      </w:r>
      <w:r w:rsidR="00D74951">
        <w:t xml:space="preserve">the </w:t>
      </w:r>
      <w:r>
        <w:t>missile inventory in PMT. First display the Missiles window in Split Screen mode.</w:t>
      </w:r>
    </w:p>
    <w:p w14:paraId="71D2619A" w14:textId="59C6B060" w:rsidR="0069163A" w:rsidRDefault="0069163A" w:rsidP="006D5A65">
      <w:pPr>
        <w:pStyle w:val="Heading1"/>
      </w:pPr>
      <w:r>
        <w:t>Module 2 shows empty cells for Cell 1, 2, 3, 6, 7 and 8. Left mouse click on any empty cell as shown below for Module 2. A blue frame and blue plus sign indicate that the cell A28</w:t>
      </w:r>
      <w:r w:rsidR="00C94806">
        <w:t xml:space="preserve"> has been selected</w:t>
      </w:r>
      <w:r>
        <w:t>.</w:t>
      </w:r>
    </w:p>
    <w:p w14:paraId="2EF73EF1" w14:textId="15086D55" w:rsidR="0069163A" w:rsidRDefault="0069163A" w:rsidP="009570CA">
      <w:pPr>
        <w:jc w:val="center"/>
      </w:pPr>
      <w:r>
        <w:rPr>
          <w:noProof/>
        </w:rPr>
        <w:drawing>
          <wp:inline distT="0" distB="0" distL="0" distR="0" wp14:anchorId="7C47D171" wp14:editId="6661481F">
            <wp:extent cx="4145280" cy="2152502"/>
            <wp:effectExtent l="0" t="0" r="0" b="0"/>
            <wp:docPr id="416142080" name="Picture 4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42080" name="Picture 46" descr="Graphical user interface&#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157194" cy="2158688"/>
                    </a:xfrm>
                    <a:prstGeom prst="rect">
                      <a:avLst/>
                    </a:prstGeom>
                    <a:noFill/>
                    <a:ln>
                      <a:noFill/>
                    </a:ln>
                  </pic:spPr>
                </pic:pic>
              </a:graphicData>
            </a:graphic>
          </wp:inline>
        </w:drawing>
      </w:r>
    </w:p>
    <w:p w14:paraId="5E366FE7" w14:textId="75EE4E74" w:rsidR="0069163A" w:rsidRDefault="0069163A" w:rsidP="006D5A65">
      <w:pPr>
        <w:pStyle w:val="Heading1"/>
      </w:pPr>
      <w:r>
        <w:lastRenderedPageBreak/>
        <w:t xml:space="preserve">If the list view is not already in Missile List view, click on the </w:t>
      </w:r>
      <w:r>
        <w:rPr>
          <w:noProof/>
        </w:rPr>
        <w:drawing>
          <wp:inline distT="0" distB="0" distL="0" distR="0" wp14:anchorId="6A3AE4DE" wp14:editId="09EA2085">
            <wp:extent cx="151130" cy="142240"/>
            <wp:effectExtent l="0" t="0" r="0" b="0"/>
            <wp:docPr id="13037444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51130" cy="142240"/>
                    </a:xfrm>
                    <a:prstGeom prst="rect">
                      <a:avLst/>
                    </a:prstGeom>
                    <a:noFill/>
                    <a:ln>
                      <a:noFill/>
                    </a:ln>
                  </pic:spPr>
                </pic:pic>
              </a:graphicData>
            </a:graphic>
          </wp:inline>
        </w:drawing>
      </w:r>
      <w:r>
        <w:t xml:space="preserve"> to switch the list view to Missile List view as shown below.</w:t>
      </w:r>
    </w:p>
    <w:p w14:paraId="696FCE47" w14:textId="6D369523" w:rsidR="0069163A" w:rsidRDefault="0069163A" w:rsidP="009570CA">
      <w:pPr>
        <w:jc w:val="center"/>
        <w:rPr>
          <w:szCs w:val="24"/>
        </w:rPr>
      </w:pPr>
      <w:r>
        <w:rPr>
          <w:noProof/>
        </w:rPr>
        <w:drawing>
          <wp:inline distT="0" distB="0" distL="0" distR="0" wp14:anchorId="706B0C8F" wp14:editId="7118FAFA">
            <wp:extent cx="4153999" cy="3291550"/>
            <wp:effectExtent l="0" t="0" r="0" b="0"/>
            <wp:docPr id="717796056" name="Picture 4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96056" name="Picture 44" descr="Graphical user interface, table&#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166874" cy="3301752"/>
                    </a:xfrm>
                    <a:prstGeom prst="rect">
                      <a:avLst/>
                    </a:prstGeom>
                    <a:noFill/>
                    <a:ln>
                      <a:noFill/>
                    </a:ln>
                  </pic:spPr>
                </pic:pic>
              </a:graphicData>
            </a:graphic>
          </wp:inline>
        </w:drawing>
      </w:r>
    </w:p>
    <w:p w14:paraId="01496013" w14:textId="598D2D91" w:rsidR="0069163A" w:rsidRDefault="0069163A" w:rsidP="006D5A65">
      <w:pPr>
        <w:pStyle w:val="Heading1"/>
      </w:pPr>
      <w:r>
        <w:t>Double-click on the desire</w:t>
      </w:r>
      <w:r w:rsidR="00D25462">
        <w:t>d</w:t>
      </w:r>
      <w:r>
        <w:t xml:space="preserve"> missile in the Missile List view to assign the missile to the already selected cell. </w:t>
      </w:r>
      <w:r w:rsidR="00D74951">
        <w:t>The e</w:t>
      </w:r>
      <w:r>
        <w:t>xample below shows that when row C30840882C018021 is double-clicked, the missile is assigned to cell A28.</w:t>
      </w:r>
    </w:p>
    <w:p w14:paraId="76F76A0D" w14:textId="7C55DCD1" w:rsidR="0069163A" w:rsidRDefault="0069163A" w:rsidP="009570CA">
      <w:pPr>
        <w:jc w:val="center"/>
        <w:rPr>
          <w:szCs w:val="24"/>
        </w:rPr>
      </w:pPr>
      <w:r>
        <w:rPr>
          <w:noProof/>
        </w:rPr>
        <w:drawing>
          <wp:inline distT="0" distB="0" distL="0" distR="0" wp14:anchorId="55CDCA13" wp14:editId="71C01600">
            <wp:extent cx="3931920" cy="2845961"/>
            <wp:effectExtent l="0" t="0" r="0" b="0"/>
            <wp:docPr id="2009272107" name="Picture 4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72107" name="Picture 43" descr="Graphical user interface&#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3936270" cy="2849110"/>
                    </a:xfrm>
                    <a:prstGeom prst="rect">
                      <a:avLst/>
                    </a:prstGeom>
                    <a:noFill/>
                    <a:ln>
                      <a:noFill/>
                    </a:ln>
                  </pic:spPr>
                </pic:pic>
              </a:graphicData>
            </a:graphic>
          </wp:inline>
        </w:drawing>
      </w:r>
    </w:p>
    <w:p w14:paraId="0CAC7AED" w14:textId="77777777" w:rsidR="0069163A" w:rsidRDefault="0069163A" w:rsidP="006D5A65">
      <w:pPr>
        <w:pStyle w:val="Heading1"/>
      </w:pPr>
      <w:r>
        <w:t xml:space="preserve">When it is desired that multiple cells be assigned to a particular missile, additional cells can be selected by </w:t>
      </w:r>
      <w:r>
        <w:lastRenderedPageBreak/>
        <w:t>pressing down on the CTRL key and left mouse click on empty cells.</w:t>
      </w:r>
    </w:p>
    <w:p w14:paraId="4FF47B09" w14:textId="77777777" w:rsidR="0069163A" w:rsidRPr="00515E4A" w:rsidRDefault="0069163A" w:rsidP="00306174">
      <w:pPr>
        <w:pStyle w:val="Heading6"/>
      </w:pPr>
      <w:r>
        <w:t>Removing Missile</w:t>
      </w:r>
    </w:p>
    <w:p w14:paraId="7120F729" w14:textId="6F4F1EA5" w:rsidR="0069163A" w:rsidRDefault="0069163A" w:rsidP="009570CA">
      <w:r>
        <w:t>To remove a missile from a cell, the steps are as follow</w:t>
      </w:r>
      <w:r w:rsidR="00D25462">
        <w:t>s</w:t>
      </w:r>
      <w:r>
        <w:t>:</w:t>
      </w:r>
    </w:p>
    <w:p w14:paraId="18B6D982" w14:textId="2ACF5AAA" w:rsidR="0069163A" w:rsidRDefault="0069163A" w:rsidP="006D5A65">
      <w:pPr>
        <w:pStyle w:val="Heading1"/>
      </w:pPr>
      <w:r>
        <w:t xml:space="preserve">Double-click on a cell that has </w:t>
      </w:r>
      <w:r w:rsidR="00D74951">
        <w:t xml:space="preserve">an </w:t>
      </w:r>
      <w:r>
        <w:t>assigned missile. For example, cell A25 has been</w:t>
      </w:r>
      <w:r>
        <w:br/>
        <w:t xml:space="preserve">double-clicked and </w:t>
      </w:r>
      <w:r w:rsidR="00D74951">
        <w:t xml:space="preserve">the </w:t>
      </w:r>
      <w:r>
        <w:t>cell detail window is displayed as shown below.</w:t>
      </w:r>
    </w:p>
    <w:p w14:paraId="39C2FC36" w14:textId="36CB0608" w:rsidR="0069163A" w:rsidRDefault="0069163A" w:rsidP="009570CA">
      <w:pPr>
        <w:pStyle w:val="ListParagraph"/>
        <w:spacing w:after="120"/>
        <w:ind w:left="0"/>
        <w:jc w:val="center"/>
        <w:rPr>
          <w:rFonts w:ascii="Times New Roman" w:hAnsi="Times New Roman"/>
        </w:rPr>
      </w:pPr>
      <w:r>
        <w:rPr>
          <w:rFonts w:ascii="Times New Roman" w:hAnsi="Times New Roman"/>
          <w:noProof/>
        </w:rPr>
        <w:drawing>
          <wp:inline distT="0" distB="0" distL="0" distR="0" wp14:anchorId="52CE2C1E" wp14:editId="0CE4FB6E">
            <wp:extent cx="1702819" cy="1562100"/>
            <wp:effectExtent l="0" t="0" r="0" b="0"/>
            <wp:docPr id="853320111" name="Picture 4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20111" name="Picture 42" descr="A screenshot of a computer&#10;&#10;Description automatically generated with medium confidence"/>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717945" cy="1575976"/>
                    </a:xfrm>
                    <a:prstGeom prst="rect">
                      <a:avLst/>
                    </a:prstGeom>
                    <a:noFill/>
                    <a:ln>
                      <a:noFill/>
                    </a:ln>
                  </pic:spPr>
                </pic:pic>
              </a:graphicData>
            </a:graphic>
          </wp:inline>
        </w:drawing>
      </w:r>
    </w:p>
    <w:p w14:paraId="08526F00" w14:textId="43116AD5" w:rsidR="0069163A" w:rsidRDefault="0069163A" w:rsidP="006D5A65">
      <w:pPr>
        <w:pStyle w:val="Heading1"/>
      </w:pPr>
      <w:r>
        <w:t xml:space="preserve">Click the </w:t>
      </w:r>
      <w:r w:rsidRPr="002E3693">
        <w:rPr>
          <w:bCs/>
        </w:rPr>
        <w:t>Remove</w:t>
      </w:r>
      <w:r>
        <w:t xml:space="preserve"> button to remove the </w:t>
      </w:r>
      <w:r w:rsidR="002E3693">
        <w:t>m</w:t>
      </w:r>
      <w:r>
        <w:t xml:space="preserve">issile. Below is an example of the missile being removed from cell A25 once the </w:t>
      </w:r>
      <w:r w:rsidRPr="002E3693">
        <w:rPr>
          <w:bCs/>
        </w:rPr>
        <w:t>Remove</w:t>
      </w:r>
      <w:r>
        <w:t xml:space="preserve"> button has been pressed.</w:t>
      </w:r>
    </w:p>
    <w:p w14:paraId="5D78FC22" w14:textId="147817B0" w:rsidR="0069163A" w:rsidRDefault="0069163A" w:rsidP="009570CA">
      <w:pPr>
        <w:pStyle w:val="ListParagraph"/>
        <w:spacing w:after="120"/>
        <w:ind w:left="0"/>
        <w:jc w:val="center"/>
        <w:rPr>
          <w:rFonts w:ascii="Times New Roman" w:hAnsi="Times New Roman"/>
        </w:rPr>
      </w:pPr>
      <w:r>
        <w:rPr>
          <w:rFonts w:ascii="Times New Roman" w:hAnsi="Times New Roman"/>
          <w:noProof/>
        </w:rPr>
        <w:drawing>
          <wp:inline distT="0" distB="0" distL="0" distR="0" wp14:anchorId="4A7F6658" wp14:editId="408C63BF">
            <wp:extent cx="1417320" cy="921750"/>
            <wp:effectExtent l="0" t="0" r="0" b="0"/>
            <wp:docPr id="322679945" name="Picture 41" descr="A picture containing text, electronics,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79945" name="Picture 41" descr="A picture containing text, electronics, screenshot&#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1420612" cy="923891"/>
                    </a:xfrm>
                    <a:prstGeom prst="rect">
                      <a:avLst/>
                    </a:prstGeom>
                    <a:noFill/>
                    <a:ln>
                      <a:noFill/>
                    </a:ln>
                  </pic:spPr>
                </pic:pic>
              </a:graphicData>
            </a:graphic>
          </wp:inline>
        </w:drawing>
      </w:r>
    </w:p>
    <w:p w14:paraId="056D99D8" w14:textId="77777777" w:rsidR="0069163A" w:rsidRDefault="0069163A" w:rsidP="009570CA">
      <w:pPr>
        <w:pStyle w:val="Heading3"/>
      </w:pPr>
      <w:bookmarkStart w:id="2041" w:name="_Toc484612622"/>
      <w:bookmarkStart w:id="2042" w:name="_Toc484612623"/>
      <w:bookmarkStart w:id="2043" w:name="_Toc484612624"/>
      <w:bookmarkStart w:id="2044" w:name="_Toc484612625"/>
      <w:bookmarkStart w:id="2045" w:name="_Toc165532030"/>
      <w:bookmarkStart w:id="2046" w:name="_Toc214283282"/>
      <w:bookmarkEnd w:id="2041"/>
      <w:bookmarkEnd w:id="2042"/>
      <w:bookmarkEnd w:id="2043"/>
      <w:bookmarkEnd w:id="2044"/>
      <w:r>
        <w:t>Nodes</w:t>
      </w:r>
      <w:bookmarkEnd w:id="2045"/>
      <w:bookmarkEnd w:id="2046"/>
    </w:p>
    <w:p w14:paraId="58B39FC0" w14:textId="44883C4A" w:rsidR="0069163A" w:rsidRDefault="0069163A" w:rsidP="009570CA">
      <w:r>
        <w:t xml:space="preserve">The </w:t>
      </w:r>
      <w:r w:rsidRPr="00110738">
        <w:rPr>
          <w:i/>
          <w:iCs/>
        </w:rPr>
        <w:t>Nodes</w:t>
      </w:r>
      <w:r>
        <w:t xml:space="preserve"> window is a display of </w:t>
      </w:r>
      <w:r w:rsidR="00892D39">
        <w:t xml:space="preserve">the </w:t>
      </w:r>
      <w:r>
        <w:t xml:space="preserve">capabilities of a node, </w:t>
      </w:r>
      <w:r w:rsidR="00C94806">
        <w:t xml:space="preserve">of </w:t>
      </w:r>
      <w:r>
        <w:t>inventory held at the node,</w:t>
      </w:r>
      <w:r w:rsidR="00B24BA0">
        <w:t xml:space="preserve"> of</w:t>
      </w:r>
      <w:r>
        <w:t xml:space="preserve"> versions of support files installed at the node, and </w:t>
      </w:r>
      <w:r w:rsidR="00C94806">
        <w:t xml:space="preserve">of a </w:t>
      </w:r>
      <w:r>
        <w:t>list of maritime platforms that own node is a backup for. Nodes are distinguished in two categories OWN NODE vs NODE. The type of node window being displayed is labelled on the left top frame of the window as OWN NODE or NODE. At the bottom of the Node window</w:t>
      </w:r>
      <w:r w:rsidR="00D74951">
        <w:t>,</w:t>
      </w:r>
      <w:r>
        <w:t xml:space="preserve"> Platform ID, Node ID, and Location Code are displayed. The Node window for OWN NODE and </w:t>
      </w:r>
      <w:r w:rsidR="00D74951">
        <w:t>NODE</w:t>
      </w:r>
      <w:r>
        <w:t xml:space="preserve"> are as shown below:</w:t>
      </w:r>
    </w:p>
    <w:p w14:paraId="7E046FFF" w14:textId="77777777" w:rsidR="0069163A" w:rsidRDefault="0069163A" w:rsidP="00BB4EBE">
      <w:pPr>
        <w:keepNext/>
        <w:jc w:val="center"/>
        <w:rPr>
          <w:b/>
          <w:bCs/>
        </w:rPr>
      </w:pPr>
      <w:r>
        <w:rPr>
          <w:b/>
          <w:bCs/>
        </w:rPr>
        <w:lastRenderedPageBreak/>
        <w:t>OWN NODE Display</w:t>
      </w:r>
    </w:p>
    <w:p w14:paraId="0B499562" w14:textId="7B52A00B" w:rsidR="0069163A" w:rsidRDefault="0069163A" w:rsidP="009570CA">
      <w:pPr>
        <w:jc w:val="center"/>
        <w:rPr>
          <w:noProof/>
        </w:rPr>
      </w:pPr>
      <w:r>
        <w:rPr>
          <w:noProof/>
        </w:rPr>
        <w:drawing>
          <wp:inline distT="0" distB="0" distL="0" distR="0" wp14:anchorId="148629F2" wp14:editId="33884E62">
            <wp:extent cx="4572000" cy="3959352"/>
            <wp:effectExtent l="0" t="0" r="0" b="0"/>
            <wp:docPr id="147588828" name="Picture 40"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8828" name="Picture 40" descr="Graphical user interface, website&#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572000" cy="3959352"/>
                    </a:xfrm>
                    <a:prstGeom prst="rect">
                      <a:avLst/>
                    </a:prstGeom>
                    <a:noFill/>
                    <a:ln>
                      <a:noFill/>
                    </a:ln>
                  </pic:spPr>
                </pic:pic>
              </a:graphicData>
            </a:graphic>
          </wp:inline>
        </w:drawing>
      </w:r>
    </w:p>
    <w:p w14:paraId="74CF9658" w14:textId="77777777" w:rsidR="008229BE" w:rsidRDefault="008229BE" w:rsidP="009570CA">
      <w:pPr>
        <w:jc w:val="center"/>
        <w:rPr>
          <w:noProof/>
        </w:rPr>
      </w:pPr>
    </w:p>
    <w:p w14:paraId="20F47AF0" w14:textId="61D71FFD" w:rsidR="0069163A" w:rsidRDefault="0069163A" w:rsidP="008229BE">
      <w:pPr>
        <w:keepNext/>
        <w:jc w:val="center"/>
        <w:rPr>
          <w:b/>
          <w:bCs/>
          <w:noProof/>
        </w:rPr>
      </w:pPr>
      <w:r>
        <w:rPr>
          <w:b/>
          <w:bCs/>
          <w:noProof/>
        </w:rPr>
        <w:t>NODE Display for TED</w:t>
      </w:r>
      <w:r w:rsidR="00C94806">
        <w:rPr>
          <w:b/>
          <w:bCs/>
          <w:noProof/>
        </w:rPr>
        <w:t xml:space="preserve"> – for all TED nodes that are post-5.0.1</w:t>
      </w:r>
    </w:p>
    <w:p w14:paraId="5E1D14B7" w14:textId="1748777D" w:rsidR="0069163A" w:rsidRDefault="0069163A" w:rsidP="009570CA">
      <w:pPr>
        <w:jc w:val="center"/>
        <w:rPr>
          <w:b/>
          <w:bCs/>
          <w:noProof/>
        </w:rPr>
      </w:pPr>
      <w:r>
        <w:rPr>
          <w:noProof/>
        </w:rPr>
        <w:drawing>
          <wp:inline distT="0" distB="0" distL="0" distR="0" wp14:anchorId="7A03D292" wp14:editId="09E35160">
            <wp:extent cx="4572000" cy="2916936"/>
            <wp:effectExtent l="0" t="0" r="0" b="0"/>
            <wp:docPr id="1076233812" name="Picture 3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33812" name="Picture 39" descr="Graphical user interface, website&#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572000" cy="2916936"/>
                    </a:xfrm>
                    <a:prstGeom prst="rect">
                      <a:avLst/>
                    </a:prstGeom>
                    <a:noFill/>
                    <a:ln>
                      <a:noFill/>
                    </a:ln>
                  </pic:spPr>
                </pic:pic>
              </a:graphicData>
            </a:graphic>
          </wp:inline>
        </w:drawing>
      </w:r>
    </w:p>
    <w:p w14:paraId="6BF56846" w14:textId="77777777" w:rsidR="008229BE" w:rsidRDefault="008229BE" w:rsidP="00F703EB">
      <w:pPr>
        <w:keepNext/>
        <w:jc w:val="center"/>
        <w:rPr>
          <w:b/>
          <w:bCs/>
          <w:noProof/>
        </w:rPr>
      </w:pPr>
    </w:p>
    <w:p w14:paraId="1CB08DEB" w14:textId="2422F3F3" w:rsidR="0069163A" w:rsidRDefault="0069163A" w:rsidP="00F703EB">
      <w:pPr>
        <w:keepNext/>
        <w:jc w:val="center"/>
        <w:rPr>
          <w:b/>
          <w:bCs/>
          <w:noProof/>
        </w:rPr>
      </w:pPr>
      <w:r>
        <w:rPr>
          <w:b/>
          <w:bCs/>
          <w:noProof/>
        </w:rPr>
        <w:t>NODE Display for MDS</w:t>
      </w:r>
      <w:r w:rsidR="00C94806">
        <w:rPr>
          <w:b/>
          <w:bCs/>
          <w:noProof/>
        </w:rPr>
        <w:t xml:space="preserve"> - for all MDS nodes that are pre-MDS 5.0.1</w:t>
      </w:r>
    </w:p>
    <w:p w14:paraId="3C413741" w14:textId="22CF892C" w:rsidR="0069163A" w:rsidRDefault="0069163A" w:rsidP="009570CA">
      <w:pPr>
        <w:jc w:val="center"/>
        <w:rPr>
          <w:b/>
          <w:bCs/>
          <w:noProof/>
        </w:rPr>
      </w:pPr>
      <w:r>
        <w:rPr>
          <w:noProof/>
        </w:rPr>
        <w:drawing>
          <wp:inline distT="0" distB="0" distL="0" distR="0" wp14:anchorId="7FB22AF0" wp14:editId="219C1C15">
            <wp:extent cx="4572000" cy="2935224"/>
            <wp:effectExtent l="0" t="0" r="0" b="0"/>
            <wp:docPr id="1651557481" name="Picture 3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57481" name="Picture 38" descr="Graphical user interface, website&#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572000" cy="2935224"/>
                    </a:xfrm>
                    <a:prstGeom prst="rect">
                      <a:avLst/>
                    </a:prstGeom>
                    <a:noFill/>
                    <a:ln>
                      <a:noFill/>
                    </a:ln>
                  </pic:spPr>
                </pic:pic>
              </a:graphicData>
            </a:graphic>
          </wp:inline>
        </w:drawing>
      </w:r>
    </w:p>
    <w:p w14:paraId="35A32B80" w14:textId="77777777" w:rsidR="008229BE" w:rsidRDefault="008229BE" w:rsidP="009570CA">
      <w:pPr>
        <w:jc w:val="center"/>
        <w:rPr>
          <w:b/>
          <w:bCs/>
          <w:noProof/>
        </w:rPr>
      </w:pPr>
    </w:p>
    <w:p w14:paraId="2CF18C03" w14:textId="44A9294C" w:rsidR="0069163A" w:rsidRDefault="0069163A" w:rsidP="008229BE">
      <w:pPr>
        <w:keepNext/>
        <w:jc w:val="center"/>
        <w:rPr>
          <w:b/>
          <w:bCs/>
        </w:rPr>
      </w:pPr>
      <w:r>
        <w:rPr>
          <w:b/>
          <w:bCs/>
          <w:noProof/>
        </w:rPr>
        <w:t>NODE Display for TTWCS</w:t>
      </w:r>
    </w:p>
    <w:p w14:paraId="499508EF" w14:textId="5895C5E2" w:rsidR="0069163A" w:rsidRDefault="0069163A" w:rsidP="009570CA">
      <w:pPr>
        <w:jc w:val="center"/>
      </w:pPr>
      <w:r>
        <w:rPr>
          <w:noProof/>
        </w:rPr>
        <w:drawing>
          <wp:inline distT="0" distB="0" distL="0" distR="0" wp14:anchorId="71263BC9" wp14:editId="5D1FA622">
            <wp:extent cx="4572000" cy="4014216"/>
            <wp:effectExtent l="0" t="0" r="0" b="0"/>
            <wp:docPr id="605387945" name="Picture 37" descr="Graphical user interface, 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87945" name="Picture 37" descr="Graphical user interface, text, table&#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572000" cy="4014216"/>
                    </a:xfrm>
                    <a:prstGeom prst="rect">
                      <a:avLst/>
                    </a:prstGeom>
                    <a:noFill/>
                    <a:ln>
                      <a:noFill/>
                    </a:ln>
                  </pic:spPr>
                </pic:pic>
              </a:graphicData>
            </a:graphic>
          </wp:inline>
        </w:drawing>
      </w:r>
    </w:p>
    <w:p w14:paraId="5C5BCDB8" w14:textId="77777777" w:rsidR="008229BE" w:rsidRDefault="008229BE" w:rsidP="00F703EB">
      <w:pPr>
        <w:keepNext/>
        <w:jc w:val="center"/>
        <w:rPr>
          <w:b/>
          <w:bCs/>
        </w:rPr>
      </w:pPr>
    </w:p>
    <w:p w14:paraId="75849B5A" w14:textId="4FC8907C" w:rsidR="0069163A" w:rsidRDefault="0069163A" w:rsidP="00F703EB">
      <w:pPr>
        <w:keepNext/>
        <w:jc w:val="center"/>
        <w:rPr>
          <w:b/>
          <w:bCs/>
        </w:rPr>
      </w:pPr>
      <w:r>
        <w:rPr>
          <w:b/>
          <w:bCs/>
        </w:rPr>
        <w:t>NODE Display for NSP</w:t>
      </w:r>
    </w:p>
    <w:p w14:paraId="7B48C66D" w14:textId="0581E89F" w:rsidR="0069163A" w:rsidRDefault="0069163A" w:rsidP="009570CA">
      <w:pPr>
        <w:jc w:val="center"/>
      </w:pPr>
      <w:r>
        <w:rPr>
          <w:noProof/>
        </w:rPr>
        <w:drawing>
          <wp:inline distT="0" distB="0" distL="0" distR="0" wp14:anchorId="62D07EEF" wp14:editId="1E81B9F1">
            <wp:extent cx="4535845" cy="2904605"/>
            <wp:effectExtent l="0" t="0" r="0" b="0"/>
            <wp:docPr id="1698381786" name="Picture 3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81786" name="Picture 36" descr="Graphical user interface&#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538339" cy="2906202"/>
                    </a:xfrm>
                    <a:prstGeom prst="rect">
                      <a:avLst/>
                    </a:prstGeom>
                    <a:noFill/>
                    <a:ln>
                      <a:noFill/>
                    </a:ln>
                  </pic:spPr>
                </pic:pic>
              </a:graphicData>
            </a:graphic>
          </wp:inline>
        </w:drawing>
      </w:r>
    </w:p>
    <w:p w14:paraId="31F131D2" w14:textId="77777777" w:rsidR="0069163A" w:rsidRDefault="0069163A" w:rsidP="009570CA">
      <w:pPr>
        <w:pStyle w:val="Heading4"/>
      </w:pPr>
      <w:bookmarkStart w:id="2047" w:name="_Toc165532031"/>
      <w:r>
        <w:t>Capabilities Display</w:t>
      </w:r>
      <w:bookmarkEnd w:id="2047"/>
    </w:p>
    <w:p w14:paraId="0D110043" w14:textId="77777777" w:rsidR="0069163A" w:rsidRDefault="0069163A" w:rsidP="009570CA">
      <w:r>
        <w:t xml:space="preserve">The </w:t>
      </w:r>
      <w:r w:rsidRPr="00110738">
        <w:rPr>
          <w:b/>
          <w:bCs/>
        </w:rPr>
        <w:t>Capabilities</w:t>
      </w:r>
      <w:r>
        <w:t xml:space="preserve"> display shows software versions and communication parameters and properties assigned to the node and selected fields, as appropriate, are shown below for each type of node:</w:t>
      </w:r>
    </w:p>
    <w:p w14:paraId="6043BBF1" w14:textId="77777777" w:rsidR="0069163A" w:rsidRDefault="0069163A" w:rsidP="009570CA">
      <w:r>
        <w:rPr>
          <w:b/>
          <w:bCs/>
        </w:rPr>
        <w:t>TED OWN NODE</w:t>
      </w:r>
      <w:r>
        <w:t xml:space="preserve">: </w:t>
      </w:r>
    </w:p>
    <w:p w14:paraId="218DEFD5" w14:textId="7B744CF9" w:rsidR="0069163A" w:rsidRDefault="0069163A" w:rsidP="009570CA">
      <w:pPr>
        <w:jc w:val="center"/>
      </w:pPr>
      <w:r>
        <w:rPr>
          <w:noProof/>
        </w:rPr>
        <w:drawing>
          <wp:inline distT="0" distB="0" distL="0" distR="0" wp14:anchorId="73A28CD5" wp14:editId="5EA77A17">
            <wp:extent cx="4983480" cy="2596896"/>
            <wp:effectExtent l="0" t="0" r="0" b="0"/>
            <wp:docPr id="1374650337"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50337" name="Picture 35" descr="Graphical user interface, application&#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983480" cy="2596896"/>
                    </a:xfrm>
                    <a:prstGeom prst="rect">
                      <a:avLst/>
                    </a:prstGeom>
                    <a:noFill/>
                    <a:ln>
                      <a:noFill/>
                    </a:ln>
                  </pic:spPr>
                </pic:pic>
              </a:graphicData>
            </a:graphic>
          </wp:inline>
        </w:drawing>
      </w:r>
    </w:p>
    <w:p w14:paraId="5D368BB4" w14:textId="77777777" w:rsidR="0069163A" w:rsidRDefault="0069163A" w:rsidP="009570CA">
      <w:r>
        <w:rPr>
          <w:b/>
          <w:bCs/>
        </w:rPr>
        <w:t>SUBSCRIBER ID RANGE</w:t>
      </w:r>
      <w:r>
        <w:t>:</w:t>
      </w:r>
    </w:p>
    <w:p w14:paraId="109A639E" w14:textId="47F30B7C" w:rsidR="0069163A" w:rsidRDefault="0069163A" w:rsidP="006D5A65">
      <w:pPr>
        <w:pStyle w:val="Heading1"/>
      </w:pPr>
      <w:r>
        <w:t xml:space="preserve">Enter values for the ACA Subscriber ID Range which is used with 109E missiles and becomes the default values for each Strike Option’s </w:t>
      </w:r>
      <w:r>
        <w:rPr>
          <w:i/>
        </w:rPr>
        <w:t>TSN Comms</w:t>
      </w:r>
      <w:r>
        <w:t xml:space="preserve"> tab. For an NSP node, this is a range </w:t>
      </w:r>
      <w:r>
        <w:lastRenderedPageBreak/>
        <w:t xml:space="preserve">of IDs the node owns for a particular Area of Responsibility </w:t>
      </w:r>
      <w:r w:rsidRPr="00FD7E87">
        <w:t>(AOR</w:t>
      </w:r>
      <w:r>
        <w:t>). Valid values are 1-64999. For a TED node, this is a range that is a subset of the Network Service Provider</w:t>
      </w:r>
      <w:r w:rsidRPr="00FD7E87">
        <w:t xml:space="preserve"> (NSP)</w:t>
      </w:r>
      <w:r>
        <w:t xml:space="preserve"> range and is assigned by the operator. This range is disabled for input on non-ACA-capable nodes.</w:t>
      </w:r>
    </w:p>
    <w:p w14:paraId="0DEC551B" w14:textId="77777777" w:rsidR="0069163A" w:rsidRDefault="0069163A" w:rsidP="006D5A65">
      <w:pPr>
        <w:pStyle w:val="Heading1"/>
      </w:pPr>
      <w:r>
        <w:t xml:space="preserve">Enter values for the DAMA Subscriber ID Range which is used with 109E missiles and becomes the default values for each Strike Option’s </w:t>
      </w:r>
      <w:r w:rsidRPr="00FD7E87">
        <w:rPr>
          <w:bCs/>
          <w:i/>
        </w:rPr>
        <w:t>TSN Comms</w:t>
      </w:r>
      <w:r>
        <w:t xml:space="preserve"> tab. This field is enabled for a TED node only and is allocated from within the AOR’s assigned range. Valid values are 40001-41200.</w:t>
      </w:r>
    </w:p>
    <w:p w14:paraId="3E89A2D5" w14:textId="77777777" w:rsidR="0069163A" w:rsidRDefault="0069163A" w:rsidP="006D5A65">
      <w:pPr>
        <w:pStyle w:val="Heading1"/>
      </w:pPr>
      <w:r>
        <w:t>Enter values for the MS# Range. Valid values are 1-65535 and is not available unless viewing from Own Node.</w:t>
      </w:r>
    </w:p>
    <w:p w14:paraId="41389DCB" w14:textId="77777777" w:rsidR="0069163A" w:rsidRDefault="0069163A" w:rsidP="009570CA">
      <w:pPr>
        <w:pStyle w:val="Number0205"/>
        <w:ind w:left="0" w:firstLine="0"/>
      </w:pPr>
      <w:r>
        <w:rPr>
          <w:b/>
          <w:bCs/>
        </w:rPr>
        <w:t>IP and SID</w:t>
      </w:r>
      <w:r>
        <w:t>:</w:t>
      </w:r>
    </w:p>
    <w:p w14:paraId="340A5B79" w14:textId="54BDB5E9" w:rsidR="0069163A" w:rsidRDefault="0069163A" w:rsidP="006D5A65">
      <w:pPr>
        <w:pStyle w:val="Heading1"/>
      </w:pPr>
      <w:r>
        <w:t>The TED Web Server IP is</w:t>
      </w:r>
      <w:r w:rsidR="006E50B2">
        <w:t xml:space="preserve"> the</w:t>
      </w:r>
      <w:r>
        <w:t xml:space="preserve"> Internet Protocol (IP) address for the node being modified. This information is stored in the Valid List Database (VLDB) and is used by Distribution Service to properly route data via HTTPS. This field is mandatory for saving input information for Own Node or Node; otherwise, the save icon will be disabled and all input information </w:t>
      </w:r>
      <w:r w:rsidR="006E50B2">
        <w:t>is</w:t>
      </w:r>
      <w:r>
        <w:t xml:space="preserve"> ignored.</w:t>
      </w:r>
    </w:p>
    <w:p w14:paraId="0C640BEC" w14:textId="023E8971" w:rsidR="0069163A" w:rsidRDefault="0069163A" w:rsidP="006D5A65">
      <w:pPr>
        <w:pStyle w:val="Heading1"/>
      </w:pPr>
      <w:r>
        <w:t>The TCOMMS Interface Processor (TCIP) is TCIP IP address used by Distribution Service to provide access to transfer Over</w:t>
      </w:r>
      <w:r w:rsidR="00F62150">
        <w:t>-</w:t>
      </w:r>
      <w:r>
        <w:t>The</w:t>
      </w:r>
      <w:r w:rsidR="00F62150">
        <w:t>-</w:t>
      </w:r>
      <w:r>
        <w:t>Horizon (OTH) formatted data.</w:t>
      </w:r>
    </w:p>
    <w:p w14:paraId="752A23D7" w14:textId="77777777" w:rsidR="0069163A" w:rsidRDefault="0069163A" w:rsidP="006D5A65">
      <w:pPr>
        <w:pStyle w:val="Heading1"/>
      </w:pPr>
      <w:r>
        <w:t>The Subscriber Identification (SID) is used when transfer Legacy OTH is selected for communication.</w:t>
      </w:r>
    </w:p>
    <w:p w14:paraId="6CADD767" w14:textId="77777777" w:rsidR="0069163A" w:rsidRDefault="0069163A" w:rsidP="009570CA">
      <w:pPr>
        <w:pStyle w:val="Number0205"/>
        <w:ind w:left="0" w:firstLine="0"/>
      </w:pPr>
      <w:r>
        <w:rPr>
          <w:b/>
          <w:bCs/>
        </w:rPr>
        <w:t>SOFTWARE VERSIONS</w:t>
      </w:r>
      <w:r>
        <w:t>:</w:t>
      </w:r>
    </w:p>
    <w:p w14:paraId="642D84A0" w14:textId="01CD6519" w:rsidR="0069163A" w:rsidRDefault="0069163A" w:rsidP="006D5A65">
      <w:pPr>
        <w:pStyle w:val="Heading1"/>
      </w:pPr>
      <w:r>
        <w:t xml:space="preserve">The software versions </w:t>
      </w:r>
      <w:r w:rsidR="00F62150">
        <w:t>consist</w:t>
      </w:r>
      <w:r>
        <w:t xml:space="preserve"> of individual text field forms where each field form is free text (up to 20 characters) and represents the version number of the software for that particular node. It contains the software version for TED, Tomahawk Planning System (TPS) and MDS. MDS uses the software version when sending Strike Packages to other MDSs. MDS also uses the software version to set the Applicability Indicator when sending Strike Packages to TTWCS. When the Tomahawk Strike Rehearsal Tool (TSRT) emulates a TTWCS, the software version determines whether certain messages (Launch Event Report [LER], Strike Package Exception Object [SPEO], etc.) should be sent.</w:t>
      </w:r>
    </w:p>
    <w:p w14:paraId="4145D1DB" w14:textId="77777777" w:rsidR="0069163A" w:rsidRDefault="0069163A" w:rsidP="006D5A65">
      <w:pPr>
        <w:pStyle w:val="Heading1"/>
      </w:pPr>
      <w:r>
        <w:t xml:space="preserve">The software version field can also be used in determining if a problem exists. (Example: In distributing various data elements to multiple MDS Nodes, one is having a problem. In evaluating these multiple nodes, it is discovered that one node has a different version number than all the rest. Although this </w:t>
      </w:r>
      <w:r>
        <w:lastRenderedPageBreak/>
        <w:t>might not be the exact reason for the problem, it does add an element to the equation that should be considered.)</w:t>
      </w:r>
    </w:p>
    <w:p w14:paraId="2E908F55" w14:textId="77777777" w:rsidR="0069163A" w:rsidRDefault="0069163A" w:rsidP="009570CA">
      <w:pPr>
        <w:pStyle w:val="Number0205"/>
        <w:ind w:left="0" w:firstLine="0"/>
      </w:pPr>
      <w:r>
        <w:rPr>
          <w:b/>
          <w:bCs/>
        </w:rPr>
        <w:t>COMMS</w:t>
      </w:r>
      <w:r>
        <w:t>:</w:t>
      </w:r>
    </w:p>
    <w:p w14:paraId="7AD7825F" w14:textId="77777777" w:rsidR="0069163A" w:rsidRDefault="0069163A" w:rsidP="006D5A65">
      <w:pPr>
        <w:pStyle w:val="Heading1"/>
      </w:pPr>
      <w:r>
        <w:t xml:space="preserve">Set to Hypertext Transfer Protocol Secure (HTTPS) when Own Node will activate TSRT. If the HTTPS box is ON, then the IP Address and TED Version fields become required fields (as denoted by the *) and the user is unable to proceed without updating these fields. </w:t>
      </w:r>
    </w:p>
    <w:p w14:paraId="38B17631" w14:textId="77777777" w:rsidR="0069163A" w:rsidRDefault="0069163A" w:rsidP="006D5A65">
      <w:pPr>
        <w:pStyle w:val="Heading1"/>
      </w:pPr>
      <w:r>
        <w:t>Depending on the node type (except for node type of NSP), if the Legacy OTH box is ON, then one or more of the following fields become enabled: SID, TED Version, MDS Version, or TTWCS Version. These fields become required fields (as denoted by the *) and the user is unable to proceed without updating these fields.</w:t>
      </w:r>
    </w:p>
    <w:p w14:paraId="0B0FFD10" w14:textId="77777777" w:rsidR="0069163A" w:rsidRDefault="0069163A" w:rsidP="006D5A65">
      <w:pPr>
        <w:pStyle w:val="Heading1"/>
      </w:pPr>
      <w:r>
        <w:t xml:space="preserve">The Pref, which means preferred receive method, displays the selected Communication Capabilities (does not apply to node type of NSP). This represents the primary means of communications for the node being edited and is used by Distribution Service to properly format and distribute the data. </w:t>
      </w:r>
    </w:p>
    <w:p w14:paraId="7F6BF852" w14:textId="77777777" w:rsidR="0069163A" w:rsidRDefault="0069163A" w:rsidP="009570CA">
      <w:r>
        <w:rPr>
          <w:b/>
          <w:bCs/>
        </w:rPr>
        <w:t>TED NODE</w:t>
      </w:r>
      <w:r>
        <w:t>:</w:t>
      </w:r>
    </w:p>
    <w:p w14:paraId="6C2253C1" w14:textId="77777777" w:rsidR="0069163A" w:rsidRDefault="0069163A" w:rsidP="009570CA">
      <w:r>
        <w:t xml:space="preserve">A TED Node’s capability display is just like OWN NODE except there is no Communications </w:t>
      </w:r>
      <w:r w:rsidRPr="00FD7E87">
        <w:t>(COMMS)</w:t>
      </w:r>
      <w:r>
        <w:t xml:space="preserve"> group setting since COMMS group is applicable only to OWN NODE.</w:t>
      </w:r>
    </w:p>
    <w:p w14:paraId="7BF3F797" w14:textId="0562246E" w:rsidR="0069163A" w:rsidRDefault="0069163A" w:rsidP="009570CA">
      <w:pPr>
        <w:jc w:val="center"/>
      </w:pPr>
      <w:r>
        <w:rPr>
          <w:noProof/>
        </w:rPr>
        <w:drawing>
          <wp:inline distT="0" distB="0" distL="0" distR="0" wp14:anchorId="3E01CACE" wp14:editId="033C6F74">
            <wp:extent cx="3905885" cy="1247140"/>
            <wp:effectExtent l="0" t="0" r="0" b="0"/>
            <wp:docPr id="1953129129"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29129" name="Picture 34" descr="Graphical user interface, application&#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3905885" cy="1247140"/>
                    </a:xfrm>
                    <a:prstGeom prst="rect">
                      <a:avLst/>
                    </a:prstGeom>
                    <a:noFill/>
                    <a:ln>
                      <a:noFill/>
                    </a:ln>
                  </pic:spPr>
                </pic:pic>
              </a:graphicData>
            </a:graphic>
          </wp:inline>
        </w:drawing>
      </w:r>
    </w:p>
    <w:p w14:paraId="596E4C06" w14:textId="77777777" w:rsidR="0069163A" w:rsidRDefault="0069163A" w:rsidP="008229BE">
      <w:pPr>
        <w:keepNext/>
      </w:pPr>
      <w:r>
        <w:rPr>
          <w:b/>
          <w:bCs/>
        </w:rPr>
        <w:t>TTWCS NODE</w:t>
      </w:r>
      <w:r>
        <w:t>:</w:t>
      </w:r>
    </w:p>
    <w:p w14:paraId="776758DE" w14:textId="77777777" w:rsidR="0069163A" w:rsidRDefault="0069163A" w:rsidP="009570CA">
      <w:r>
        <w:t>A TTWCS Node’s capability display varies from TED NODE with respect to the absence of TED Web Server IP. Also, for SOFTWARE VERSIONS, only TTWCS version is applicable.</w:t>
      </w:r>
    </w:p>
    <w:p w14:paraId="52C942EB" w14:textId="694E09A3" w:rsidR="0069163A" w:rsidRDefault="0069163A" w:rsidP="009570CA">
      <w:pPr>
        <w:jc w:val="center"/>
      </w:pPr>
      <w:r>
        <w:rPr>
          <w:noProof/>
        </w:rPr>
        <w:drawing>
          <wp:inline distT="0" distB="0" distL="0" distR="0" wp14:anchorId="65CE0B63" wp14:editId="5D2EE84A">
            <wp:extent cx="3399437" cy="948099"/>
            <wp:effectExtent l="0" t="0" r="0" b="0"/>
            <wp:docPr id="1942969667"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69667" name="Picture 33" descr="Graphical user interface, application&#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3465449" cy="966510"/>
                    </a:xfrm>
                    <a:prstGeom prst="rect">
                      <a:avLst/>
                    </a:prstGeom>
                    <a:noFill/>
                    <a:ln>
                      <a:noFill/>
                    </a:ln>
                  </pic:spPr>
                </pic:pic>
              </a:graphicData>
            </a:graphic>
          </wp:inline>
        </w:drawing>
      </w:r>
    </w:p>
    <w:p w14:paraId="0E191E65" w14:textId="77777777" w:rsidR="0069163A" w:rsidRDefault="0069163A" w:rsidP="009570CA">
      <w:pPr>
        <w:pStyle w:val="Heading4"/>
      </w:pPr>
      <w:bookmarkStart w:id="2048" w:name="_Toc165532032"/>
      <w:r>
        <w:lastRenderedPageBreak/>
        <w:t>Inventory Display</w:t>
      </w:r>
      <w:bookmarkEnd w:id="2048"/>
    </w:p>
    <w:p w14:paraId="74AFC72E" w14:textId="77777777" w:rsidR="0069163A" w:rsidRDefault="0069163A" w:rsidP="009570CA">
      <w:pPr>
        <w:pStyle w:val="Heading5"/>
      </w:pPr>
      <w:r>
        <w:t>Own Node</w:t>
      </w:r>
    </w:p>
    <w:p w14:paraId="16791C49" w14:textId="1D7F9488" w:rsidR="0069163A" w:rsidRDefault="0069163A" w:rsidP="009570CA">
      <w:pPr>
        <w:jc w:val="center"/>
      </w:pPr>
      <w:r>
        <w:rPr>
          <w:noProof/>
        </w:rPr>
        <w:drawing>
          <wp:inline distT="0" distB="0" distL="0" distR="0" wp14:anchorId="2C97CAE7" wp14:editId="7F9A4FD5">
            <wp:extent cx="4354176" cy="2692400"/>
            <wp:effectExtent l="0" t="0" r="0" b="0"/>
            <wp:docPr id="538510257" name="Picture 32"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10257" name="Picture 32" descr="Graphical user interface, application, table&#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376715" cy="2706337"/>
                    </a:xfrm>
                    <a:prstGeom prst="rect">
                      <a:avLst/>
                    </a:prstGeom>
                    <a:noFill/>
                    <a:ln>
                      <a:noFill/>
                    </a:ln>
                  </pic:spPr>
                </pic:pic>
              </a:graphicData>
            </a:graphic>
          </wp:inline>
        </w:drawing>
      </w:r>
    </w:p>
    <w:p w14:paraId="3F3ED7A3" w14:textId="77777777" w:rsidR="0069163A" w:rsidRDefault="0069163A" w:rsidP="006D5A65">
      <w:pPr>
        <w:pStyle w:val="Heading1"/>
      </w:pPr>
      <w:r>
        <w:rPr>
          <w:bCs/>
        </w:rPr>
        <w:t>ACMS</w:t>
      </w:r>
      <w:r>
        <w:t xml:space="preserve"> – When clicked, displays a list of Airspace Control Measures </w:t>
      </w:r>
      <w:r w:rsidRPr="00FD7E87">
        <w:t>Structures (ACMS)</w:t>
      </w:r>
      <w:r>
        <w:t xml:space="preserve"> files in OWN NODE’s ACMS inventory.</w:t>
      </w:r>
    </w:p>
    <w:p w14:paraId="68E36E1D" w14:textId="4CF42D60" w:rsidR="0069163A" w:rsidRDefault="0069163A" w:rsidP="009570CA">
      <w:pPr>
        <w:jc w:val="center"/>
        <w:rPr>
          <w:b/>
          <w:szCs w:val="24"/>
        </w:rPr>
      </w:pPr>
      <w:r>
        <w:rPr>
          <w:noProof/>
        </w:rPr>
        <w:drawing>
          <wp:inline distT="0" distB="0" distL="0" distR="0" wp14:anchorId="564FD602" wp14:editId="6B1DB6B0">
            <wp:extent cx="4402843" cy="2326640"/>
            <wp:effectExtent l="0" t="0" r="0" b="0"/>
            <wp:docPr id="135667060" name="Picture 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7060" name="Picture 31" descr="Graphical user interface, application&#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409353" cy="2330080"/>
                    </a:xfrm>
                    <a:prstGeom prst="rect">
                      <a:avLst/>
                    </a:prstGeom>
                    <a:noFill/>
                    <a:ln>
                      <a:noFill/>
                    </a:ln>
                  </pic:spPr>
                </pic:pic>
              </a:graphicData>
            </a:graphic>
          </wp:inline>
        </w:drawing>
      </w:r>
    </w:p>
    <w:p w14:paraId="22D99A06" w14:textId="77777777" w:rsidR="009A549E" w:rsidRPr="009A549E" w:rsidRDefault="0069163A" w:rsidP="006D5A65">
      <w:pPr>
        <w:pStyle w:val="Heading1"/>
      </w:pPr>
      <w:r w:rsidRPr="009A549E">
        <w:lastRenderedPageBreak/>
        <w:t>NAME – Name of the ACMS file.</w:t>
      </w:r>
    </w:p>
    <w:p w14:paraId="6CF360A5" w14:textId="77777777" w:rsidR="009A549E" w:rsidRPr="009A549E" w:rsidRDefault="0069163A" w:rsidP="006D5A65">
      <w:pPr>
        <w:pStyle w:val="Heading1"/>
      </w:pPr>
      <w:r w:rsidRPr="009A549E">
        <w:t>SHORT NAME – Short name of the ACMS file.</w:t>
      </w:r>
    </w:p>
    <w:p w14:paraId="13C186AC" w14:textId="097F1FCB" w:rsidR="0069163A" w:rsidRPr="009A549E" w:rsidRDefault="0069163A" w:rsidP="006D5A65">
      <w:pPr>
        <w:pStyle w:val="Heading1"/>
      </w:pPr>
      <w:r w:rsidRPr="009A549E">
        <w:t>TYPE – Type of ACMS files.</w:t>
      </w:r>
    </w:p>
    <w:p w14:paraId="02583048" w14:textId="77777777" w:rsidR="0069163A" w:rsidRDefault="0069163A" w:rsidP="006D5A65">
      <w:pPr>
        <w:pStyle w:val="Heading1"/>
      </w:pPr>
      <w:r>
        <w:rPr>
          <w:bCs/>
        </w:rPr>
        <w:t>Mission</w:t>
      </w:r>
      <w:r>
        <w:t xml:space="preserve"> – When clicked, displays a list of missions in OWN NODE’s mission inventory.</w:t>
      </w:r>
    </w:p>
    <w:p w14:paraId="0C40EBB0" w14:textId="0760DBAB" w:rsidR="0069163A" w:rsidRDefault="0069163A" w:rsidP="009570CA">
      <w:pPr>
        <w:jc w:val="center"/>
        <w:rPr>
          <w:b/>
          <w:szCs w:val="24"/>
        </w:rPr>
      </w:pPr>
      <w:r>
        <w:rPr>
          <w:noProof/>
        </w:rPr>
        <w:drawing>
          <wp:inline distT="0" distB="0" distL="0" distR="0" wp14:anchorId="4FD1FF9D" wp14:editId="09A3762C">
            <wp:extent cx="4460240" cy="2356970"/>
            <wp:effectExtent l="0" t="0" r="0" b="0"/>
            <wp:docPr id="833549815" name="Picture 30"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49815" name="Picture 30" descr="Table&#10;&#10;Description automatically generated with medium confidence"/>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467268" cy="2360684"/>
                    </a:xfrm>
                    <a:prstGeom prst="rect">
                      <a:avLst/>
                    </a:prstGeom>
                    <a:noFill/>
                    <a:ln>
                      <a:noFill/>
                    </a:ln>
                  </pic:spPr>
                </pic:pic>
              </a:graphicData>
            </a:graphic>
          </wp:inline>
        </w:drawing>
      </w:r>
    </w:p>
    <w:p w14:paraId="319E74E4" w14:textId="77777777" w:rsidR="0069163A" w:rsidRDefault="0069163A" w:rsidP="006D5A65">
      <w:pPr>
        <w:pStyle w:val="Heading1"/>
      </w:pPr>
      <w:r>
        <w:t>ID – Mission IDs of the missions held at OWN NODE’s mission inventory.</w:t>
      </w:r>
    </w:p>
    <w:p w14:paraId="26F710E8" w14:textId="77777777" w:rsidR="0069163A" w:rsidRDefault="0069163A" w:rsidP="006D5A65">
      <w:pPr>
        <w:pStyle w:val="Heading1"/>
      </w:pPr>
      <w:r>
        <w:t>TEF – Indication of the associated TPS Export File (TEF) for the mission is held at OWN NODE’s TEF inventory.</w:t>
      </w:r>
    </w:p>
    <w:p w14:paraId="6F5066D0" w14:textId="4DB2E495" w:rsidR="0069163A" w:rsidRDefault="0069163A" w:rsidP="006D5A65">
      <w:pPr>
        <w:pStyle w:val="Heading1"/>
      </w:pPr>
      <w:r>
        <w:rPr>
          <w:bCs/>
        </w:rPr>
        <w:t>MTIF Data File</w:t>
      </w:r>
      <w:r>
        <w:t xml:space="preserve"> </w:t>
      </w:r>
      <w:r w:rsidR="009A321E">
        <w:rPr>
          <w:bCs/>
        </w:rPr>
        <w:t>–</w:t>
      </w:r>
      <w:r>
        <w:t xml:space="preserve"> When clicked, displays a list of Maritime Target Information File </w:t>
      </w:r>
      <w:r w:rsidRPr="00FD7E87">
        <w:t>(MTIF) Data</w:t>
      </w:r>
      <w:r>
        <w:t xml:space="preserve"> Files in OWN NODE’</w:t>
      </w:r>
      <w:r w:rsidR="000912D9">
        <w:t>s</w:t>
      </w:r>
      <w:r>
        <w:t xml:space="preserve"> MTIF inventory.</w:t>
      </w:r>
    </w:p>
    <w:p w14:paraId="7A85298A" w14:textId="27234BF8" w:rsidR="0069163A" w:rsidRDefault="0069163A" w:rsidP="009570CA">
      <w:pPr>
        <w:jc w:val="center"/>
        <w:rPr>
          <w:b/>
          <w:bCs/>
          <w:szCs w:val="24"/>
        </w:rPr>
      </w:pPr>
      <w:r>
        <w:rPr>
          <w:noProof/>
        </w:rPr>
        <w:drawing>
          <wp:inline distT="0" distB="0" distL="0" distR="0" wp14:anchorId="464811A9" wp14:editId="05871EEA">
            <wp:extent cx="4429760" cy="2348992"/>
            <wp:effectExtent l="0" t="0" r="0" b="0"/>
            <wp:docPr id="757172293" name="Picture 2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72293" name="Picture 29" descr="Table&#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439337" cy="2354070"/>
                    </a:xfrm>
                    <a:prstGeom prst="rect">
                      <a:avLst/>
                    </a:prstGeom>
                    <a:noFill/>
                    <a:ln>
                      <a:noFill/>
                    </a:ln>
                  </pic:spPr>
                </pic:pic>
              </a:graphicData>
            </a:graphic>
          </wp:inline>
        </w:drawing>
      </w:r>
    </w:p>
    <w:p w14:paraId="619791FC" w14:textId="77777777" w:rsidR="0069163A" w:rsidRDefault="0069163A" w:rsidP="006D5A65">
      <w:pPr>
        <w:pStyle w:val="Heading1"/>
      </w:pPr>
      <w:r>
        <w:lastRenderedPageBreak/>
        <w:t>ID – MTIF IDs of the MTIF files held at OWN NODE’s MTIF inventory.</w:t>
      </w:r>
    </w:p>
    <w:p w14:paraId="0EC85E52" w14:textId="77777777" w:rsidR="0069163A" w:rsidRDefault="0069163A" w:rsidP="006D5A65">
      <w:pPr>
        <w:pStyle w:val="Heading1"/>
      </w:pPr>
      <w:r>
        <w:t>TYPE – Type of MTIF file.</w:t>
      </w:r>
    </w:p>
    <w:p w14:paraId="37D7273D" w14:textId="77777777" w:rsidR="0069163A" w:rsidRDefault="0069163A" w:rsidP="006D5A65">
      <w:pPr>
        <w:pStyle w:val="Heading1"/>
      </w:pPr>
      <w:r>
        <w:rPr>
          <w:bCs/>
        </w:rPr>
        <w:t>NOB</w:t>
      </w:r>
      <w:r>
        <w:t xml:space="preserve"> - When clicked, displays a list of Navigation Object(s</w:t>
      </w:r>
      <w:r w:rsidRPr="00FD7E87">
        <w:t>) (NOBs)</w:t>
      </w:r>
      <w:r>
        <w:t xml:space="preserve"> in OWN NODE’s NOB inventory.</w:t>
      </w:r>
    </w:p>
    <w:p w14:paraId="54091285" w14:textId="71A1B3F3" w:rsidR="0069163A" w:rsidRDefault="0069163A" w:rsidP="009570CA">
      <w:pPr>
        <w:jc w:val="center"/>
        <w:rPr>
          <w:b/>
          <w:bCs/>
          <w:szCs w:val="24"/>
        </w:rPr>
      </w:pPr>
      <w:r>
        <w:rPr>
          <w:noProof/>
        </w:rPr>
        <w:drawing>
          <wp:inline distT="0" distB="0" distL="0" distR="0" wp14:anchorId="55DA6240" wp14:editId="784223C6">
            <wp:extent cx="4582160" cy="2404583"/>
            <wp:effectExtent l="0" t="0" r="0" b="0"/>
            <wp:docPr id="211794702" name="Picture 2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4702" name="Picture 28" descr="Graphical user interface, application, Teams&#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588129" cy="2407716"/>
                    </a:xfrm>
                    <a:prstGeom prst="rect">
                      <a:avLst/>
                    </a:prstGeom>
                    <a:noFill/>
                    <a:ln>
                      <a:noFill/>
                    </a:ln>
                  </pic:spPr>
                </pic:pic>
              </a:graphicData>
            </a:graphic>
          </wp:inline>
        </w:drawing>
      </w:r>
    </w:p>
    <w:p w14:paraId="7B185D77" w14:textId="77777777" w:rsidR="0069163A" w:rsidRDefault="0069163A" w:rsidP="006D5A65">
      <w:pPr>
        <w:pStyle w:val="Heading1"/>
      </w:pPr>
      <w:r>
        <w:t>ID – NOB IDs of the NOBs held at OWN NODE’s NOB inventory.</w:t>
      </w:r>
    </w:p>
    <w:p w14:paraId="70C6A6AC" w14:textId="77777777" w:rsidR="0069163A" w:rsidRDefault="0069163A" w:rsidP="006D5A65">
      <w:pPr>
        <w:pStyle w:val="Heading1"/>
      </w:pPr>
      <w:r>
        <w:t>TYPE – Type of NOB file which can be DSMAC, OMNI-DSMAC, OMNI-VUP.</w:t>
      </w:r>
    </w:p>
    <w:p w14:paraId="0FF50BD9" w14:textId="02C85F9B" w:rsidR="0069163A" w:rsidRDefault="0069163A" w:rsidP="006D5A65">
      <w:pPr>
        <w:pStyle w:val="Heading1"/>
      </w:pPr>
      <w:r>
        <w:rPr>
          <w:bCs/>
        </w:rPr>
        <w:t>TEF</w:t>
      </w:r>
      <w:r>
        <w:t xml:space="preserve"> </w:t>
      </w:r>
      <w:r w:rsidR="009A321E">
        <w:rPr>
          <w:bCs/>
        </w:rPr>
        <w:t>–</w:t>
      </w:r>
      <w:r>
        <w:t xml:space="preserve"> When clicked, displays a list of TEFs in OWN NODE’s TEF inventory.</w:t>
      </w:r>
    </w:p>
    <w:p w14:paraId="46D444F2" w14:textId="6519BF95" w:rsidR="0069163A" w:rsidRDefault="0069163A" w:rsidP="009570CA">
      <w:pPr>
        <w:jc w:val="center"/>
        <w:rPr>
          <w:b/>
          <w:szCs w:val="24"/>
        </w:rPr>
      </w:pPr>
      <w:r>
        <w:rPr>
          <w:noProof/>
        </w:rPr>
        <w:drawing>
          <wp:inline distT="0" distB="0" distL="0" distR="0" wp14:anchorId="35F813A2" wp14:editId="1B44776C">
            <wp:extent cx="4612640" cy="2420578"/>
            <wp:effectExtent l="0" t="0" r="0" b="0"/>
            <wp:docPr id="1676719306" name="Picture 27"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9306" name="Picture 27" descr="Table&#10;&#10;Description automatically generated with medium confidence"/>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617588" cy="2423175"/>
                    </a:xfrm>
                    <a:prstGeom prst="rect">
                      <a:avLst/>
                    </a:prstGeom>
                    <a:noFill/>
                    <a:ln>
                      <a:noFill/>
                    </a:ln>
                  </pic:spPr>
                </pic:pic>
              </a:graphicData>
            </a:graphic>
          </wp:inline>
        </w:drawing>
      </w:r>
    </w:p>
    <w:p w14:paraId="5865CBD5" w14:textId="77777777" w:rsidR="0069163A" w:rsidRDefault="0069163A" w:rsidP="006D5A65">
      <w:pPr>
        <w:pStyle w:val="Heading1"/>
      </w:pPr>
      <w:r>
        <w:lastRenderedPageBreak/>
        <w:t>ID – TEF IDs of the TEFs held at OWN NODE’s TEF inventory.</w:t>
      </w:r>
    </w:p>
    <w:p w14:paraId="54499500" w14:textId="77777777" w:rsidR="0069163A" w:rsidRDefault="0069163A" w:rsidP="006D5A65">
      <w:pPr>
        <w:pStyle w:val="Heading1"/>
      </w:pPr>
      <w:r>
        <w:t>VERSION – Version of TPS or e-TPS that created the TEF file.</w:t>
      </w:r>
    </w:p>
    <w:p w14:paraId="25E60D0C" w14:textId="77777777" w:rsidR="0069163A" w:rsidRPr="008A550A" w:rsidRDefault="0069163A" w:rsidP="009570CA">
      <w:pPr>
        <w:pStyle w:val="Heading5"/>
      </w:pPr>
      <w:r>
        <w:t>TED Node</w:t>
      </w:r>
    </w:p>
    <w:p w14:paraId="058F5C5B" w14:textId="20AFAC9A" w:rsidR="0069163A" w:rsidRDefault="00966867" w:rsidP="009570CA">
      <w:pPr>
        <w:tabs>
          <w:tab w:val="left" w:pos="4050"/>
          <w:tab w:val="left" w:pos="4230"/>
        </w:tabs>
        <w:jc w:val="center"/>
      </w:pPr>
      <w:r>
        <w:rPr>
          <w:noProof/>
        </w:rPr>
        <w:drawing>
          <wp:inline distT="0" distB="0" distL="0" distR="0" wp14:anchorId="5E9C6B25" wp14:editId="20563A2A">
            <wp:extent cx="4594698" cy="2773680"/>
            <wp:effectExtent l="0" t="0" r="0" b="0"/>
            <wp:docPr id="1134154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4280" name="Picture 1" descr="A screenshot of a computer&#10;&#10;Description automatically generated"/>
                    <pic:cNvPicPr/>
                  </pic:nvPicPr>
                  <pic:blipFill>
                    <a:blip/>
                    <a:stretch>
                      <a:fillRect/>
                    </a:stretch>
                  </pic:blipFill>
                  <pic:spPr>
                    <a:xfrm>
                      <a:off x="0" y="0"/>
                      <a:ext cx="4601625" cy="2777861"/>
                    </a:xfrm>
                    <a:prstGeom prst="rect">
                      <a:avLst/>
                    </a:prstGeom>
                  </pic:spPr>
                </pic:pic>
              </a:graphicData>
            </a:graphic>
          </wp:inline>
        </w:drawing>
      </w:r>
    </w:p>
    <w:p w14:paraId="67D6BE1D" w14:textId="77777777" w:rsidR="0069163A" w:rsidRDefault="0069163A" w:rsidP="006D5A65">
      <w:pPr>
        <w:pStyle w:val="Heading1"/>
      </w:pPr>
      <w:r>
        <w:rPr>
          <w:bCs/>
        </w:rPr>
        <w:t xml:space="preserve">Compare All </w:t>
      </w:r>
      <w:r>
        <w:t xml:space="preserve">– When clicked, all the inventory of ACMS, Missions, NOB, and TEF held at the TED node of the platform is compared against Own Node inventory. A NODE COMPARISON window is displayed showing the status of the respective </w:t>
      </w:r>
      <w:r>
        <w:lastRenderedPageBreak/>
        <w:t>inventory items that the selected platform is missing or is extra (which Own Node does not have).</w:t>
      </w:r>
    </w:p>
    <w:p w14:paraId="34483B13" w14:textId="6E0B7BE9" w:rsidR="0069163A" w:rsidRDefault="0069163A" w:rsidP="009570CA">
      <w:pPr>
        <w:jc w:val="center"/>
      </w:pPr>
      <w:r>
        <w:rPr>
          <w:noProof/>
        </w:rPr>
        <w:drawing>
          <wp:inline distT="0" distB="0" distL="0" distR="0" wp14:anchorId="2A496478" wp14:editId="65BBAEA6">
            <wp:extent cx="4579727" cy="4033520"/>
            <wp:effectExtent l="0" t="0" r="0" b="0"/>
            <wp:docPr id="1806402526" name="Picture 25"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02526" name="Picture 25" descr="Graphical user interface, application, table, Excel&#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583860" cy="4037160"/>
                    </a:xfrm>
                    <a:prstGeom prst="rect">
                      <a:avLst/>
                    </a:prstGeom>
                    <a:noFill/>
                    <a:ln>
                      <a:noFill/>
                    </a:ln>
                  </pic:spPr>
                </pic:pic>
              </a:graphicData>
            </a:graphic>
          </wp:inline>
        </w:drawing>
      </w:r>
    </w:p>
    <w:p w14:paraId="520F07E4" w14:textId="77777777" w:rsidR="0069163A" w:rsidRDefault="0069163A" w:rsidP="006D5A65">
      <w:pPr>
        <w:pStyle w:val="Heading1"/>
      </w:pPr>
      <w:r>
        <w:rPr>
          <w:bCs/>
        </w:rPr>
        <w:t>NODE ID</w:t>
      </w:r>
      <w:r>
        <w:t xml:space="preserve"> – Node name pertaining to the selected platform.</w:t>
      </w:r>
    </w:p>
    <w:p w14:paraId="25AE9451" w14:textId="77777777" w:rsidR="0069163A" w:rsidRDefault="0069163A" w:rsidP="006D5A65">
      <w:pPr>
        <w:pStyle w:val="Heading1"/>
      </w:pPr>
      <w:r>
        <w:rPr>
          <w:bCs/>
        </w:rPr>
        <w:t>DATA TYPE</w:t>
      </w:r>
      <w:r>
        <w:t xml:space="preserve"> – The type of inventory data.</w:t>
      </w:r>
    </w:p>
    <w:p w14:paraId="357C9CC7" w14:textId="77777777" w:rsidR="0069163A" w:rsidRDefault="0069163A" w:rsidP="006D5A65">
      <w:pPr>
        <w:pStyle w:val="Heading1"/>
      </w:pPr>
      <w:r>
        <w:rPr>
          <w:bCs/>
        </w:rPr>
        <w:t>DATA ID</w:t>
      </w:r>
      <w:r>
        <w:t xml:space="preserve"> – Unique identifier for referencing a particular inventory data item.</w:t>
      </w:r>
    </w:p>
    <w:p w14:paraId="08973E5C" w14:textId="45FC8404" w:rsidR="0069163A" w:rsidRDefault="0069163A" w:rsidP="006D5A65">
      <w:pPr>
        <w:pStyle w:val="Heading1"/>
      </w:pPr>
      <w:r>
        <w:rPr>
          <w:bCs/>
        </w:rPr>
        <w:t>STATUS</w:t>
      </w:r>
      <w:r>
        <w:t xml:space="preserve"> </w:t>
      </w:r>
      <w:r w:rsidR="009A321E">
        <w:rPr>
          <w:bCs/>
        </w:rPr>
        <w:t>–</w:t>
      </w:r>
      <w:r>
        <w:t xml:space="preserve"> Data item status is relative to OWN NODE which MISSING means that the TED node of the platform does not hold the item that is in OWN NODE and EXTRA means that OWN NODE does not have the item currently held at the TED node of the platform.</w:t>
      </w:r>
    </w:p>
    <w:p w14:paraId="2D400E83" w14:textId="527066A8" w:rsidR="0069163A" w:rsidRDefault="0069163A" w:rsidP="006D5A65">
      <w:pPr>
        <w:pStyle w:val="Heading1"/>
      </w:pPr>
      <w:r>
        <w:rPr>
          <w:bCs/>
        </w:rPr>
        <w:t xml:space="preserve">RESOLVE ALL </w:t>
      </w:r>
      <w:r>
        <w:t>–</w:t>
      </w:r>
      <w:r>
        <w:rPr>
          <w:bCs/>
        </w:rPr>
        <w:t xml:space="preserve"> </w:t>
      </w:r>
      <w:r>
        <w:t xml:space="preserve">When clicked, </w:t>
      </w:r>
      <w:r w:rsidR="009A321E">
        <w:t xml:space="preserve">a </w:t>
      </w:r>
      <w:r>
        <w:t xml:space="preserve">DDO Template will be created and prepopulated with inventory items that are MISSING and </w:t>
      </w:r>
      <w:r w:rsidR="009A321E">
        <w:t xml:space="preserve">a </w:t>
      </w:r>
      <w:r>
        <w:t>Coordination Template will be created and prepopulated with inventory items that are EXTRA. The templates are sent automatically to the selected node being compared against OWN NODE. Status of the transmission is presented in the Outgoing DDO tool in MDS.</w:t>
      </w:r>
    </w:p>
    <w:p w14:paraId="0D798F2F" w14:textId="49F885B5" w:rsidR="0069163A" w:rsidRDefault="0069163A" w:rsidP="006D5A65">
      <w:pPr>
        <w:pStyle w:val="Heading1"/>
      </w:pPr>
      <w:r>
        <w:rPr>
          <w:bCs/>
        </w:rPr>
        <w:t xml:space="preserve">RESOLVE </w:t>
      </w:r>
      <w:r w:rsidR="009A321E">
        <w:rPr>
          <w:bCs/>
        </w:rPr>
        <w:t>–</w:t>
      </w:r>
      <w:r>
        <w:t xml:space="preserve"> When one or multiple DATA IDs are selected and this button is clicked, </w:t>
      </w:r>
      <w:r w:rsidR="009A321E">
        <w:t xml:space="preserve">a </w:t>
      </w:r>
      <w:r>
        <w:t xml:space="preserve">DDO Template will be created and prepopulated with inventory items that are MISSING, if any, and </w:t>
      </w:r>
      <w:r w:rsidR="009A321E">
        <w:t xml:space="preserve">a </w:t>
      </w:r>
      <w:r>
        <w:t xml:space="preserve">Coordination Template will be created and prepopulated </w:t>
      </w:r>
      <w:r>
        <w:lastRenderedPageBreak/>
        <w:t>with inventory items that are EXTRA, if any. The templates are sent automatically to the selected node being compared against OWN NODE. Status of the transmission is presented in the Outgoing DDO tool in MDS.</w:t>
      </w:r>
    </w:p>
    <w:p w14:paraId="0B76BE84" w14:textId="77130BD7" w:rsidR="0069163A" w:rsidRDefault="0069163A" w:rsidP="006D5A65">
      <w:pPr>
        <w:pStyle w:val="Heading1"/>
      </w:pPr>
      <w:r>
        <w:rPr>
          <w:bCs/>
        </w:rPr>
        <w:t xml:space="preserve">REQUEST </w:t>
      </w:r>
      <w:r w:rsidR="009A321E">
        <w:rPr>
          <w:bCs/>
        </w:rPr>
        <w:t>–</w:t>
      </w:r>
      <w:r>
        <w:t xml:space="preserve"> When one or multiple DATA IDs are selected and this button is </w:t>
      </w:r>
      <w:r w:rsidR="00FC6B75">
        <w:t>clicked;</w:t>
      </w:r>
      <w:r>
        <w:t xml:space="preserve"> </w:t>
      </w:r>
      <w:r w:rsidR="009A321E">
        <w:t xml:space="preserve">a </w:t>
      </w:r>
      <w:r>
        <w:t>Coordination Template will be created to request for inventory items that are missing. The template is sent automatically to the node requesting data from. Status of the transmission is presented in the Outgoing DDO tool in MDS.</w:t>
      </w:r>
    </w:p>
    <w:p w14:paraId="65778985" w14:textId="0DDA879D" w:rsidR="0069163A" w:rsidRDefault="0069163A" w:rsidP="006D5A65">
      <w:pPr>
        <w:pStyle w:val="Heading1"/>
      </w:pPr>
      <w:r>
        <w:rPr>
          <w:bCs/>
        </w:rPr>
        <w:t xml:space="preserve">Compare Library </w:t>
      </w:r>
      <w:r>
        <w:t xml:space="preserve">– When clicked, MDS Library window will display for user to select a library to compare to </w:t>
      </w:r>
      <w:r w:rsidR="009A321E">
        <w:t xml:space="preserve">the </w:t>
      </w:r>
      <w:r>
        <w:t xml:space="preserve">selected platform’s node inventory. Upon selection of one or more libraries and clicking the </w:t>
      </w:r>
      <w:r w:rsidRPr="000912D9">
        <w:rPr>
          <w:bCs/>
        </w:rPr>
        <w:t>OK</w:t>
      </w:r>
      <w:r>
        <w:t xml:space="preserve"> button,</w:t>
      </w:r>
      <w:r w:rsidR="009A321E">
        <w:t xml:space="preserve"> the</w:t>
      </w:r>
      <w:r>
        <w:t xml:space="preserve"> </w:t>
      </w:r>
      <w:r w:rsidRPr="00FD7E87">
        <w:rPr>
          <w:i/>
          <w:iCs/>
        </w:rPr>
        <w:t>NODE LIBRARY COMPARE</w:t>
      </w:r>
      <w:r>
        <w:t xml:space="preserve"> window is displayed as shown below.</w:t>
      </w:r>
    </w:p>
    <w:p w14:paraId="35E39CAB" w14:textId="0AD1E5CB" w:rsidR="0069163A" w:rsidRDefault="0069163A" w:rsidP="009570CA">
      <w:pPr>
        <w:spacing w:after="240"/>
        <w:jc w:val="center"/>
        <w:rPr>
          <w:b/>
          <w:szCs w:val="24"/>
        </w:rPr>
      </w:pPr>
      <w:r>
        <w:rPr>
          <w:noProof/>
        </w:rPr>
        <w:drawing>
          <wp:inline distT="0" distB="0" distL="0" distR="0" wp14:anchorId="5CA0222A" wp14:editId="23470B69">
            <wp:extent cx="2290980" cy="2336800"/>
            <wp:effectExtent l="0" t="0" r="0" b="0"/>
            <wp:docPr id="809706428" name="Picture 2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06428" name="Picture 24" descr="Graphical user interface, text, application&#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98984" cy="2344964"/>
                    </a:xfrm>
                    <a:prstGeom prst="rect">
                      <a:avLst/>
                    </a:prstGeom>
                    <a:noFill/>
                    <a:ln>
                      <a:noFill/>
                    </a:ln>
                  </pic:spPr>
                </pic:pic>
              </a:graphicData>
            </a:graphic>
          </wp:inline>
        </w:drawing>
      </w:r>
    </w:p>
    <w:p w14:paraId="77FE0E6E" w14:textId="5E9355F2" w:rsidR="0069163A" w:rsidRDefault="0069163A" w:rsidP="009570CA">
      <w:pPr>
        <w:jc w:val="center"/>
        <w:rPr>
          <w:b/>
          <w:szCs w:val="24"/>
        </w:rPr>
      </w:pPr>
      <w:r>
        <w:rPr>
          <w:noProof/>
        </w:rPr>
        <w:drawing>
          <wp:inline distT="0" distB="0" distL="0" distR="0" wp14:anchorId="064B858B" wp14:editId="6703435F">
            <wp:extent cx="2743200" cy="2395728"/>
            <wp:effectExtent l="0" t="0" r="0" b="0"/>
            <wp:docPr id="1509226920" name="Picture 2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26920" name="Picture 23" descr="Graphical user interface, application, table, Excel&#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2743200" cy="2395728"/>
                    </a:xfrm>
                    <a:prstGeom prst="rect">
                      <a:avLst/>
                    </a:prstGeom>
                    <a:noFill/>
                    <a:ln>
                      <a:noFill/>
                    </a:ln>
                  </pic:spPr>
                </pic:pic>
              </a:graphicData>
            </a:graphic>
          </wp:inline>
        </w:drawing>
      </w:r>
    </w:p>
    <w:p w14:paraId="499E3D7B" w14:textId="4110A9B8" w:rsidR="00853F9F" w:rsidRPr="00D10BDF" w:rsidRDefault="0069163A" w:rsidP="006D5A65">
      <w:pPr>
        <w:pStyle w:val="Heading1"/>
      </w:pPr>
      <w:r w:rsidRPr="00D10BDF">
        <w:rPr>
          <w:bCs/>
        </w:rPr>
        <w:lastRenderedPageBreak/>
        <w:t xml:space="preserve">Request Database (DB) Holdings </w:t>
      </w:r>
      <w:r w:rsidRPr="00D10BDF">
        <w:t xml:space="preserve">– When clicked, </w:t>
      </w:r>
      <w:r w:rsidR="009A321E" w:rsidRPr="00D10BDF">
        <w:t xml:space="preserve">a </w:t>
      </w:r>
      <w:r w:rsidRPr="00D10BDF">
        <w:t>Coordination Template is created to request the selected platform to send its node inventory.</w:t>
      </w:r>
    </w:p>
    <w:p w14:paraId="56A965AF" w14:textId="77777777" w:rsidR="00853F9F" w:rsidRPr="00D9031B" w:rsidRDefault="00853F9F" w:rsidP="006D5A65">
      <w:pPr>
        <w:pStyle w:val="Heading1"/>
      </w:pPr>
      <w:r w:rsidRPr="00D9031B">
        <w:t>Node Inventory (ACMS, Mission, MTIF Data File, NOB, and TEF) – When clicked, the node inventory is displayed showing the status of the respective inventory items.</w:t>
      </w:r>
    </w:p>
    <w:p w14:paraId="1845D237" w14:textId="7875EC26" w:rsidR="00853F9F" w:rsidRPr="00423173" w:rsidRDefault="00853F9F" w:rsidP="006D5A65">
      <w:pPr>
        <w:pStyle w:val="Heading1"/>
      </w:pPr>
      <w:r w:rsidRPr="00EC08DC">
        <w:rPr>
          <w:bCs/>
        </w:rPr>
        <w:t>STATUS</w:t>
      </w:r>
      <w:r w:rsidRPr="00EC08DC">
        <w:t xml:space="preserve"> </w:t>
      </w:r>
      <w:r w:rsidRPr="00EC08DC">
        <w:rPr>
          <w:bCs/>
        </w:rPr>
        <w:t>–</w:t>
      </w:r>
      <w:r w:rsidRPr="00EC08DC">
        <w:t xml:space="preserve"> The SENT status means that the item has been added to the node’s holdings locally and should have been sent to the remote node, but confirmation has not yet been received. The PROCESSED status means that the data is acknowledged as received onboard that platform.</w:t>
      </w:r>
    </w:p>
    <w:p w14:paraId="0C93175C" w14:textId="77777777" w:rsidR="0069163A" w:rsidRDefault="0069163A" w:rsidP="009570CA">
      <w:pPr>
        <w:pStyle w:val="Heading5"/>
      </w:pPr>
      <w:r>
        <w:t>TTWCS Node</w:t>
      </w:r>
    </w:p>
    <w:p w14:paraId="01F3C9BE" w14:textId="4F878251" w:rsidR="0069163A" w:rsidRDefault="0069163A" w:rsidP="009570CA">
      <w:r>
        <w:t xml:space="preserve">TTWCS node inventory has additional data inventories for flight software, Operational </w:t>
      </w:r>
      <w:r w:rsidRPr="00FD7E87">
        <w:t xml:space="preserve">Embedded System (OES) Components, OES Valid Missile Identification List (VMIL), and Pattern Control Table (PCT). </w:t>
      </w:r>
      <w:r w:rsidR="004472DA">
        <w:t xml:space="preserve">The </w:t>
      </w:r>
      <w:r w:rsidRPr="00FD7E87">
        <w:t>TTWCS Node inventory display is as shown below:</w:t>
      </w:r>
    </w:p>
    <w:p w14:paraId="008F1CAC" w14:textId="378DBE3C" w:rsidR="0069163A" w:rsidRDefault="00966867" w:rsidP="009570CA">
      <w:pPr>
        <w:jc w:val="center"/>
      </w:pPr>
      <w:r>
        <w:rPr>
          <w:noProof/>
        </w:rPr>
        <w:drawing>
          <wp:inline distT="0" distB="0" distL="0" distR="0" wp14:anchorId="00974615" wp14:editId="1BDB4055">
            <wp:extent cx="3657600" cy="2212848"/>
            <wp:effectExtent l="0" t="0" r="0" b="0"/>
            <wp:docPr id="1801231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31847" name="Picture 1" descr="A screenshot of a computer&#10;&#10;Description automatically generated"/>
                    <pic:cNvPicPr/>
                  </pic:nvPicPr>
                  <pic:blipFill>
                    <a:blip/>
                    <a:stretch>
                      <a:fillRect/>
                    </a:stretch>
                  </pic:blipFill>
                  <pic:spPr>
                    <a:xfrm>
                      <a:off x="0" y="0"/>
                      <a:ext cx="3657600" cy="2212848"/>
                    </a:xfrm>
                    <a:prstGeom prst="rect">
                      <a:avLst/>
                    </a:prstGeom>
                  </pic:spPr>
                </pic:pic>
              </a:graphicData>
            </a:graphic>
          </wp:inline>
        </w:drawing>
      </w:r>
    </w:p>
    <w:p w14:paraId="0D4BB121" w14:textId="77777777" w:rsidR="0069163A" w:rsidRDefault="0069163A" w:rsidP="009570CA">
      <w:pPr>
        <w:pStyle w:val="Heading4"/>
      </w:pPr>
      <w:bookmarkStart w:id="2049" w:name="_Toc165532033"/>
      <w:r>
        <w:t>Versions Display</w:t>
      </w:r>
      <w:bookmarkEnd w:id="2049"/>
    </w:p>
    <w:p w14:paraId="2BD703C5" w14:textId="4F440048" w:rsidR="0069163A" w:rsidRDefault="0069163A" w:rsidP="009570CA">
      <w:r>
        <w:t xml:space="preserve">The Versions display is a list of Software Support Activity (SSA) files showing the type of the file and the date of creation. An example is shown below. </w:t>
      </w:r>
      <w:hyperlink w:anchor="Appendix_A" w:history="1">
        <w:r w:rsidRPr="00A25437">
          <w:rPr>
            <w:rStyle w:val="Hyperlink"/>
          </w:rPr>
          <w:t>Appendix A</w:t>
        </w:r>
      </w:hyperlink>
      <w:r>
        <w:t xml:space="preserve"> Acronym</w:t>
      </w:r>
      <w:r w:rsidR="004472DA">
        <w:t>s</w:t>
      </w:r>
      <w:r>
        <w:t xml:space="preserve"> identifies the definitions of the acronyms listed in Type column.</w:t>
      </w:r>
      <w:r w:rsidR="00966867">
        <w:t xml:space="preserve"> This list is the same for OWN NODE and NODE display.</w:t>
      </w:r>
    </w:p>
    <w:p w14:paraId="72B85989" w14:textId="0152E89E" w:rsidR="0069163A" w:rsidRDefault="00966867">
      <w:pPr>
        <w:jc w:val="center"/>
      </w:pPr>
      <w:r>
        <w:rPr>
          <w:noProof/>
        </w:rPr>
        <w:lastRenderedPageBreak/>
        <w:drawing>
          <wp:inline distT="0" distB="0" distL="0" distR="0" wp14:anchorId="3498E193" wp14:editId="720301EA">
            <wp:extent cx="4108518" cy="2487726"/>
            <wp:effectExtent l="0" t="0" r="0" b="0"/>
            <wp:docPr id="1237209584"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09584" name="Picture 1" descr="Graphical user interface, website&#10;&#10;Description automatically generated"/>
                    <pic:cNvPicPr/>
                  </pic:nvPicPr>
                  <pic:blipFill>
                    <a:blip/>
                    <a:stretch>
                      <a:fillRect/>
                    </a:stretch>
                  </pic:blipFill>
                  <pic:spPr>
                    <a:xfrm>
                      <a:off x="0" y="0"/>
                      <a:ext cx="4124382" cy="2497332"/>
                    </a:xfrm>
                    <a:prstGeom prst="rect">
                      <a:avLst/>
                    </a:prstGeom>
                  </pic:spPr>
                </pic:pic>
              </a:graphicData>
            </a:graphic>
          </wp:inline>
        </w:drawing>
      </w:r>
    </w:p>
    <w:p w14:paraId="0AA41D61" w14:textId="7282B7E8" w:rsidR="00966867" w:rsidRDefault="00966867" w:rsidP="00966867">
      <w:pPr>
        <w:pStyle w:val="Heading5"/>
      </w:pPr>
      <w:r>
        <w:t>TTWCS Versions Display</w:t>
      </w:r>
    </w:p>
    <w:p w14:paraId="54781B52" w14:textId="77777777" w:rsidR="00966867" w:rsidRPr="00DB7062" w:rsidRDefault="00966867" w:rsidP="00966867">
      <w:r>
        <w:t>Versions display on TTWCS does not include TAR, VPL, and XPL files.</w:t>
      </w:r>
    </w:p>
    <w:p w14:paraId="0575D7B9" w14:textId="6FC7A7EC" w:rsidR="00966867" w:rsidRPr="00966867" w:rsidRDefault="00966867" w:rsidP="00BB4EBE">
      <w:pPr>
        <w:jc w:val="center"/>
      </w:pPr>
      <w:r>
        <w:rPr>
          <w:noProof/>
        </w:rPr>
        <w:drawing>
          <wp:inline distT="0" distB="0" distL="0" distR="0" wp14:anchorId="59820F01" wp14:editId="1D6B22C3">
            <wp:extent cx="4114800" cy="2487168"/>
            <wp:effectExtent l="0" t="0" r="0" b="0"/>
            <wp:docPr id="2031240708"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40708" name="Picture 1" descr="Graphical user interface, website&#10;&#10;Description automatically generated"/>
                    <pic:cNvPicPr/>
                  </pic:nvPicPr>
                  <pic:blipFill>
                    <a:blip/>
                    <a:stretch>
                      <a:fillRect/>
                    </a:stretch>
                  </pic:blipFill>
                  <pic:spPr>
                    <a:xfrm>
                      <a:off x="0" y="0"/>
                      <a:ext cx="4114800" cy="2487168"/>
                    </a:xfrm>
                    <a:prstGeom prst="rect">
                      <a:avLst/>
                    </a:prstGeom>
                  </pic:spPr>
                </pic:pic>
              </a:graphicData>
            </a:graphic>
          </wp:inline>
        </w:drawing>
      </w:r>
    </w:p>
    <w:p w14:paraId="254FDF4C" w14:textId="54C1F45F" w:rsidR="0069163A" w:rsidRDefault="0069163A" w:rsidP="009570CA">
      <w:pPr>
        <w:pStyle w:val="Heading4"/>
      </w:pPr>
      <w:bookmarkStart w:id="2050" w:name="_Toc165532034"/>
      <w:r>
        <w:t>Maritime Display</w:t>
      </w:r>
      <w:bookmarkEnd w:id="2050"/>
    </w:p>
    <w:p w14:paraId="04362A46" w14:textId="77777777" w:rsidR="0069163A" w:rsidRDefault="0069163A" w:rsidP="009570CA">
      <w:r>
        <w:t xml:space="preserve">The Maritime display is a list view of platforms that own node supports as a backup missile controller to the listed platforms for Maritime strike. Of the list of platforms, TTWCS nodes are displayed. </w:t>
      </w:r>
    </w:p>
    <w:p w14:paraId="2D0073BB" w14:textId="1AF346C2" w:rsidR="0069163A" w:rsidRDefault="0069163A" w:rsidP="00BB4EBE">
      <w:pPr>
        <w:jc w:val="center"/>
      </w:pPr>
      <w:r>
        <w:rPr>
          <w:noProof/>
        </w:rPr>
        <w:drawing>
          <wp:inline distT="0" distB="0" distL="0" distR="0" wp14:anchorId="7A303086" wp14:editId="0C844C37">
            <wp:extent cx="4800600" cy="1188720"/>
            <wp:effectExtent l="0" t="0" r="0" b="0"/>
            <wp:docPr id="1278690481"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90481" name="Picture 20" descr="Graphical user interface, text, application&#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800600" cy="1188720"/>
                    </a:xfrm>
                    <a:prstGeom prst="rect">
                      <a:avLst/>
                    </a:prstGeom>
                    <a:noFill/>
                    <a:ln>
                      <a:noFill/>
                    </a:ln>
                  </pic:spPr>
                </pic:pic>
              </a:graphicData>
            </a:graphic>
          </wp:inline>
        </w:drawing>
      </w:r>
    </w:p>
    <w:p w14:paraId="05649E89" w14:textId="77777777" w:rsidR="0069163A" w:rsidRDefault="0069163A" w:rsidP="009570CA">
      <w:pPr>
        <w:pStyle w:val="Heading5"/>
      </w:pPr>
      <w:r>
        <w:lastRenderedPageBreak/>
        <w:t xml:space="preserve">Add TTWCS Platform to Backup for Maritime Strike </w:t>
      </w:r>
    </w:p>
    <w:p w14:paraId="002299D5" w14:textId="74D4D785" w:rsidR="0069163A" w:rsidRDefault="0069163A" w:rsidP="009570CA">
      <w:r>
        <w:t xml:space="preserve">Click on the plus sign </w:t>
      </w:r>
      <w:r w:rsidR="000912D9">
        <w:rPr>
          <w:noProof/>
        </w:rPr>
        <w:drawing>
          <wp:inline distT="0" distB="0" distL="0" distR="0" wp14:anchorId="73A835A1" wp14:editId="171E5B53">
            <wp:extent cx="173355" cy="173355"/>
            <wp:effectExtent l="0" t="0" r="0" b="0"/>
            <wp:docPr id="14195322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000912D9">
        <w:t xml:space="preserve"> </w:t>
      </w:r>
      <w:r>
        <w:t xml:space="preserve">icon to add a TTWCS platform that Own Node will support for </w:t>
      </w:r>
      <w:r w:rsidR="004472DA">
        <w:t xml:space="preserve">a </w:t>
      </w:r>
      <w:r>
        <w:t xml:space="preserve">Maritime strike. The “plus” action will bring up a window showing a list of TTWCS version 5.6.1 or greater platforms that can be added. Select the platform, and then click </w:t>
      </w:r>
      <w:r w:rsidRPr="000912D9">
        <w:rPr>
          <w:b/>
          <w:bCs/>
        </w:rPr>
        <w:t>OK</w:t>
      </w:r>
      <w:r>
        <w:t>.</w:t>
      </w:r>
    </w:p>
    <w:p w14:paraId="4A742C5D" w14:textId="1EC3EA86" w:rsidR="0069163A" w:rsidRDefault="0069163A" w:rsidP="009570CA">
      <w:pPr>
        <w:jc w:val="center"/>
      </w:pPr>
      <w:r>
        <w:rPr>
          <w:noProof/>
        </w:rPr>
        <w:drawing>
          <wp:inline distT="0" distB="0" distL="0" distR="0" wp14:anchorId="30EF752E" wp14:editId="05D26A28">
            <wp:extent cx="2743200" cy="1901952"/>
            <wp:effectExtent l="0" t="0" r="0" b="0"/>
            <wp:docPr id="93662364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23648" name="Picture 18" descr="Graphical user interface, application&#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2743200" cy="1901952"/>
                    </a:xfrm>
                    <a:prstGeom prst="rect">
                      <a:avLst/>
                    </a:prstGeom>
                    <a:noFill/>
                    <a:ln>
                      <a:noFill/>
                    </a:ln>
                  </pic:spPr>
                </pic:pic>
              </a:graphicData>
            </a:graphic>
          </wp:inline>
        </w:drawing>
      </w:r>
      <w:bookmarkStart w:id="2051" w:name="TaskOrgnization"/>
    </w:p>
    <w:p w14:paraId="39ED1681" w14:textId="77777777" w:rsidR="00A316EA" w:rsidRDefault="00A316EA" w:rsidP="009570CA">
      <w:r>
        <w:br w:type="page"/>
      </w:r>
      <w:bookmarkStart w:id="2052" w:name="_Toc165532035"/>
      <w:bookmarkStart w:id="2053" w:name="_Toc214283283"/>
      <w:r w:rsidR="0069163A">
        <w:lastRenderedPageBreak/>
        <w:t>Task Organization</w:t>
      </w:r>
      <w:bookmarkEnd w:id="2052"/>
      <w:bookmarkEnd w:id="2053"/>
    </w:p>
    <w:bookmarkEnd w:id="2051"/>
    <w:p w14:paraId="38EB0B99" w14:textId="32D2AE5C" w:rsidR="0069163A" w:rsidRDefault="0069163A" w:rsidP="009570CA">
      <w:r>
        <w:t>The Task Organization displays a list of Task Organizations which identify the hierarchical relationship of organizations using the MDS and external organizations with tasking and reporting relationships for Tomahawk employment. Example display is shown below</w:t>
      </w:r>
      <w:r w:rsidR="004472DA">
        <w:t>.</w:t>
      </w:r>
    </w:p>
    <w:p w14:paraId="2C28CF0A" w14:textId="21A4E154" w:rsidR="0069163A" w:rsidRDefault="0069163A" w:rsidP="009570CA">
      <w:pPr>
        <w:jc w:val="center"/>
      </w:pPr>
      <w:r>
        <w:rPr>
          <w:noProof/>
        </w:rPr>
        <w:drawing>
          <wp:inline distT="0" distB="0" distL="0" distR="0" wp14:anchorId="6D6F2ED7" wp14:editId="3A543818">
            <wp:extent cx="5943600" cy="1856105"/>
            <wp:effectExtent l="0" t="0" r="0" b="0"/>
            <wp:docPr id="1706639016" name="Picture 1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Graphical user interface, application, Word&#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5943600" cy="1856105"/>
                    </a:xfrm>
                    <a:prstGeom prst="rect">
                      <a:avLst/>
                    </a:prstGeom>
                    <a:noFill/>
                    <a:ln>
                      <a:noFill/>
                    </a:ln>
                  </pic:spPr>
                </pic:pic>
              </a:graphicData>
            </a:graphic>
          </wp:inline>
        </w:drawing>
      </w:r>
    </w:p>
    <w:p w14:paraId="349B8009" w14:textId="77777777" w:rsidR="0069163A" w:rsidRDefault="0069163A" w:rsidP="009570CA">
      <w:r>
        <w:t>The Task Organization window is displayed and shows the following fields:</w:t>
      </w:r>
    </w:p>
    <w:p w14:paraId="4C8BA519" w14:textId="77777777" w:rsidR="0069163A" w:rsidRDefault="0069163A" w:rsidP="006D5A65">
      <w:pPr>
        <w:pStyle w:val="Heading1"/>
      </w:pPr>
      <w:r w:rsidRPr="00A55299">
        <w:rPr>
          <w:bCs/>
        </w:rPr>
        <w:t xml:space="preserve">Task Organization Name </w:t>
      </w:r>
      <w:r>
        <w:t>– Up to 38 free-format characters.</w:t>
      </w:r>
    </w:p>
    <w:p w14:paraId="24498308" w14:textId="77777777" w:rsidR="0069163A" w:rsidRDefault="0069163A" w:rsidP="006D5A65">
      <w:pPr>
        <w:pStyle w:val="Heading1"/>
      </w:pPr>
      <w:r w:rsidRPr="00A55299">
        <w:rPr>
          <w:bCs/>
        </w:rPr>
        <w:t>Date Last Modified</w:t>
      </w:r>
      <w:r>
        <w:t xml:space="preserve"> – Date and time in Zulu format indicating the last time stamp the Task Organization was modified. </w:t>
      </w:r>
    </w:p>
    <w:p w14:paraId="3334804E" w14:textId="4CC56317" w:rsidR="0069163A" w:rsidRDefault="0069163A" w:rsidP="006D5A65">
      <w:pPr>
        <w:pStyle w:val="Heading1"/>
      </w:pPr>
      <w:r w:rsidRPr="00A55299">
        <w:rPr>
          <w:bCs/>
        </w:rPr>
        <w:t>Roles in Task Organization</w:t>
      </w:r>
      <w:r>
        <w:t xml:space="preserve"> – Combined roles of member platforms. Roles that have been assigned to at least one member platform are indicated in black fonts</w:t>
      </w:r>
      <w:r w:rsidR="00FC6B75">
        <w:t>. Any</w:t>
      </w:r>
      <w:r>
        <w:t xml:space="preserve"> roles that have not been assigned to any member platforms are indicated in fainted fonts. The roles are defined as follows:</w:t>
      </w:r>
    </w:p>
    <w:p w14:paraId="51C31975" w14:textId="77777777" w:rsidR="000912D9" w:rsidRDefault="0069163A" w:rsidP="006D5A65">
      <w:pPr>
        <w:pStyle w:val="Heading1"/>
      </w:pPr>
      <w:r w:rsidRPr="00A55299">
        <w:rPr>
          <w:bCs/>
        </w:rPr>
        <w:t>TSC</w:t>
      </w:r>
      <w:r>
        <w:t xml:space="preserve"> – Tomahawk Strike Coordinator</w:t>
      </w:r>
    </w:p>
    <w:p w14:paraId="259B2A39" w14:textId="1B4973CE" w:rsidR="000912D9" w:rsidRDefault="0069163A" w:rsidP="006D5A65">
      <w:pPr>
        <w:pStyle w:val="Heading1"/>
      </w:pPr>
      <w:r w:rsidRPr="00A55299">
        <w:rPr>
          <w:bCs/>
        </w:rPr>
        <w:t xml:space="preserve">ATSC </w:t>
      </w:r>
      <w:r w:rsidR="00A55299">
        <w:t>–</w:t>
      </w:r>
      <w:r>
        <w:t xml:space="preserve"> Alternate Tomahawk Strike Coordinator</w:t>
      </w:r>
    </w:p>
    <w:p w14:paraId="56D205F4" w14:textId="77777777" w:rsidR="000912D9" w:rsidRDefault="0069163A" w:rsidP="006D5A65">
      <w:pPr>
        <w:pStyle w:val="Heading1"/>
      </w:pPr>
      <w:r w:rsidRPr="00A55299">
        <w:rPr>
          <w:bCs/>
        </w:rPr>
        <w:t>MC</w:t>
      </w:r>
      <w:r>
        <w:t xml:space="preserve"> – Missile Controller</w:t>
      </w:r>
    </w:p>
    <w:p w14:paraId="704981D8" w14:textId="77777777" w:rsidR="000912D9" w:rsidRDefault="0069163A" w:rsidP="006D5A65">
      <w:pPr>
        <w:pStyle w:val="Heading1"/>
      </w:pPr>
      <w:r w:rsidRPr="00A55299">
        <w:rPr>
          <w:bCs/>
        </w:rPr>
        <w:t>LAC</w:t>
      </w:r>
      <w:r>
        <w:t xml:space="preserve"> – Launch Area Coordinator</w:t>
      </w:r>
    </w:p>
    <w:p w14:paraId="64BAB54C" w14:textId="77777777" w:rsidR="000912D9" w:rsidRDefault="0069163A" w:rsidP="006D5A65">
      <w:pPr>
        <w:pStyle w:val="Heading1"/>
      </w:pPr>
      <w:r w:rsidRPr="00A55299">
        <w:rPr>
          <w:bCs/>
        </w:rPr>
        <w:t>FRU</w:t>
      </w:r>
      <w:r>
        <w:t xml:space="preserve"> – Firing Unit</w:t>
      </w:r>
    </w:p>
    <w:p w14:paraId="4B92E89F" w14:textId="77777777" w:rsidR="000912D9" w:rsidRDefault="0069163A" w:rsidP="006D5A65">
      <w:pPr>
        <w:pStyle w:val="Heading1"/>
      </w:pPr>
      <w:r w:rsidRPr="00A55299">
        <w:rPr>
          <w:bCs/>
        </w:rPr>
        <w:t>SM</w:t>
      </w:r>
      <w:r>
        <w:t xml:space="preserve"> – Strike Monitor</w:t>
      </w:r>
    </w:p>
    <w:p w14:paraId="064DB9E1" w14:textId="28291838" w:rsidR="0069163A" w:rsidRDefault="0069163A" w:rsidP="006D5A65">
      <w:pPr>
        <w:pStyle w:val="Heading1"/>
      </w:pPr>
      <w:r w:rsidRPr="00A55299">
        <w:rPr>
          <w:bCs/>
        </w:rPr>
        <w:t xml:space="preserve">PO </w:t>
      </w:r>
      <w:r>
        <w:t>– Planning Organization</w:t>
      </w:r>
    </w:p>
    <w:p w14:paraId="6EE09619" w14:textId="77777777" w:rsidR="0069163A" w:rsidRDefault="0069163A" w:rsidP="009570CA">
      <w:r>
        <w:t>Platforms belonging to the Task Organization are listed below the missile inventory. In the example display, for TESTNEWTASKORG11, the platforms in the organization are CARGRU 1, CARGRU3, and USS GETTYSBURG.</w:t>
      </w:r>
    </w:p>
    <w:p w14:paraId="38EB211D" w14:textId="77777777" w:rsidR="0069163A" w:rsidRDefault="0069163A" w:rsidP="009570CA">
      <w:r>
        <w:t>Clicking on any platforms belonging to the Task Organization will bring up a platform list view of platforms in the Task Organization.</w:t>
      </w:r>
    </w:p>
    <w:p w14:paraId="2F621BE5" w14:textId="73663DFE" w:rsidR="0069163A" w:rsidRDefault="0069163A" w:rsidP="009570CA">
      <w:pPr>
        <w:jc w:val="center"/>
      </w:pPr>
      <w:r>
        <w:rPr>
          <w:noProof/>
        </w:rPr>
        <w:drawing>
          <wp:inline distT="0" distB="0" distL="0" distR="0" wp14:anchorId="5D64D2BC" wp14:editId="483F8A65">
            <wp:extent cx="5943600" cy="1198245"/>
            <wp:effectExtent l="0" t="0" r="0" b="0"/>
            <wp:docPr id="1921772450"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raphical user interface, application&#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5943600" cy="1198245"/>
                    </a:xfrm>
                    <a:prstGeom prst="rect">
                      <a:avLst/>
                    </a:prstGeom>
                    <a:noFill/>
                    <a:ln>
                      <a:noFill/>
                    </a:ln>
                  </pic:spPr>
                </pic:pic>
              </a:graphicData>
            </a:graphic>
          </wp:inline>
        </w:drawing>
      </w:r>
    </w:p>
    <w:p w14:paraId="61D4E92B" w14:textId="77777777" w:rsidR="0069163A" w:rsidRDefault="0069163A" w:rsidP="009570CA">
      <w:pPr>
        <w:pStyle w:val="Heading4"/>
      </w:pPr>
      <w:bookmarkStart w:id="2054" w:name="_Toc165532036"/>
      <w:r>
        <w:lastRenderedPageBreak/>
        <w:t>Create a Task Organization</w:t>
      </w:r>
      <w:bookmarkEnd w:id="2054"/>
    </w:p>
    <w:p w14:paraId="400213AD" w14:textId="6885573F" w:rsidR="0069163A" w:rsidRDefault="0069163A" w:rsidP="009570CA">
      <w:r>
        <w:t>Creating a new Task Organization allows the operator to select various platforms and standalone MDS platform</w:t>
      </w:r>
      <w:r w:rsidR="004472DA">
        <w:t>s</w:t>
      </w:r>
      <w:r>
        <w:t xml:space="preserve"> to be part of a specific organization and to specify their roles within the organization. The Task Organization is then used in the Strike Plan Folders Tool in MDS when creating a Strike Plan. </w:t>
      </w:r>
    </w:p>
    <w:p w14:paraId="2AB9B3C2" w14:textId="77777777" w:rsidR="0069163A" w:rsidRDefault="0069163A" w:rsidP="009570CA">
      <w:pPr>
        <w:pStyle w:val="Heading5"/>
      </w:pPr>
      <w:r>
        <w:t>New Task Organization</w:t>
      </w:r>
    </w:p>
    <w:p w14:paraId="3131E023" w14:textId="19429312" w:rsidR="0069163A" w:rsidRDefault="0069163A" w:rsidP="009570CA">
      <w:r>
        <w:t xml:space="preserve">If </w:t>
      </w:r>
      <w:r w:rsidR="004472DA">
        <w:t xml:space="preserve">the </w:t>
      </w:r>
      <w:r>
        <w:t xml:space="preserve">Task Organization window is not already being displayed, click left mouse button </w:t>
      </w:r>
      <w:r w:rsidR="004472DA">
        <w:t>on the</w:t>
      </w:r>
      <w:r>
        <w:t xml:space="preserve"> </w:t>
      </w:r>
      <w:r w:rsidRPr="000912D9">
        <w:rPr>
          <w:b/>
          <w:bCs/>
        </w:rPr>
        <w:t xml:space="preserve">Task Organization </w:t>
      </w:r>
      <w:r w:rsidR="000912D9">
        <w:rPr>
          <w:noProof/>
        </w:rPr>
        <w:drawing>
          <wp:inline distT="0" distB="0" distL="0" distR="0" wp14:anchorId="2ECAB826" wp14:editId="32074D3E">
            <wp:extent cx="142240" cy="142240"/>
            <wp:effectExtent l="0" t="0" r="0" b="0"/>
            <wp:docPr id="1690060981" name="Picture 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60981" name="Picture 15" descr="Icon&#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rsidR="000912D9">
        <w:t xml:space="preserve"> </w:t>
      </w:r>
      <w:r>
        <w:t>ico</w:t>
      </w:r>
      <w:r w:rsidR="000912D9">
        <w:t>n</w:t>
      </w:r>
      <w:r>
        <w:t xml:space="preserve"> at the bottom of Platform Management to display the </w:t>
      </w:r>
      <w:r w:rsidRPr="00FD7E87">
        <w:rPr>
          <w:i/>
          <w:iCs/>
        </w:rPr>
        <w:t>Task Organization</w:t>
      </w:r>
      <w:r>
        <w:t xml:space="preserve"> window. </w:t>
      </w:r>
    </w:p>
    <w:p w14:paraId="61705D34" w14:textId="64B2A979" w:rsidR="0069163A" w:rsidRDefault="00966867" w:rsidP="009570CA">
      <w:pPr>
        <w:jc w:val="center"/>
      </w:pPr>
      <w:r>
        <w:rPr>
          <w:noProof/>
        </w:rPr>
        <w:drawing>
          <wp:inline distT="0" distB="0" distL="0" distR="0" wp14:anchorId="2D36244E" wp14:editId="5796A17B">
            <wp:extent cx="5943600" cy="2514600"/>
            <wp:effectExtent l="0" t="0" r="0" b="0"/>
            <wp:docPr id="220980718" name="Picture 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80718" name="Picture 1" descr="Graphical user interface, application, table, Excel&#10;&#10;Description automatically generated"/>
                    <pic:cNvPicPr/>
                  </pic:nvPicPr>
                  <pic:blipFill>
                    <a:blip/>
                    <a:stretch>
                      <a:fillRect/>
                    </a:stretch>
                  </pic:blipFill>
                  <pic:spPr>
                    <a:xfrm>
                      <a:off x="0" y="0"/>
                      <a:ext cx="5943600" cy="2514600"/>
                    </a:xfrm>
                    <a:prstGeom prst="rect">
                      <a:avLst/>
                    </a:prstGeom>
                  </pic:spPr>
                </pic:pic>
              </a:graphicData>
            </a:graphic>
          </wp:inline>
        </w:drawing>
      </w:r>
    </w:p>
    <w:p w14:paraId="2EB48077" w14:textId="4E05C1CB" w:rsidR="0069163A" w:rsidRDefault="0069163A" w:rsidP="009570CA">
      <w:r>
        <w:t>Click</w:t>
      </w:r>
      <w:r w:rsidR="004472DA">
        <w:t xml:space="preserve"> the</w:t>
      </w:r>
      <w:r>
        <w:t xml:space="preserve"> left mouse button on the plus </w:t>
      </w:r>
      <w:r>
        <w:rPr>
          <w:noProof/>
        </w:rPr>
        <w:drawing>
          <wp:inline distT="0" distB="0" distL="0" distR="0" wp14:anchorId="5303BA91" wp14:editId="754D539D">
            <wp:extent cx="133350" cy="133350"/>
            <wp:effectExtent l="0" t="0" r="0" b="0"/>
            <wp:docPr id="393146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12D9">
        <w:t xml:space="preserve"> icon</w:t>
      </w:r>
      <w:r>
        <w:t xml:space="preserve"> on </w:t>
      </w:r>
      <w:r w:rsidR="004472DA">
        <w:t xml:space="preserve">the </w:t>
      </w:r>
      <w:r>
        <w:t>Task Organization window which is right above the list view. A new row is created, and a temporary Task Organization name “Task Org (New)” is displayed with red outline boxed around it.</w:t>
      </w:r>
    </w:p>
    <w:p w14:paraId="5DB11046" w14:textId="18B8C23B" w:rsidR="0069163A" w:rsidRDefault="0069163A" w:rsidP="009570CA">
      <w:pPr>
        <w:jc w:val="center"/>
      </w:pPr>
      <w:r>
        <w:rPr>
          <w:noProof/>
        </w:rPr>
        <w:drawing>
          <wp:inline distT="0" distB="0" distL="0" distR="0" wp14:anchorId="51191E59" wp14:editId="5229629B">
            <wp:extent cx="5943600" cy="266065"/>
            <wp:effectExtent l="0" t="0" r="0" b="0"/>
            <wp:docPr id="18713642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43600" cy="266065"/>
                    </a:xfrm>
                    <a:prstGeom prst="rect">
                      <a:avLst/>
                    </a:prstGeom>
                    <a:noFill/>
                    <a:ln>
                      <a:noFill/>
                    </a:ln>
                  </pic:spPr>
                </pic:pic>
              </a:graphicData>
            </a:graphic>
          </wp:inline>
        </w:drawing>
      </w:r>
    </w:p>
    <w:p w14:paraId="6CCA2C5D" w14:textId="77BC7D9B" w:rsidR="0069163A" w:rsidRDefault="0069163A" w:rsidP="009570CA">
      <w:r>
        <w:t xml:space="preserve">Enter a new name for the Task Organization in the red box, and press “Enter’ on the keyboard. The new Task Organization is displayed as shown below. Own Node, in this case it is “CARGRU 1”, is automatically added to the Task Organization as the first platform. The </w:t>
      </w:r>
      <w:r w:rsidR="000912D9" w:rsidRPr="000912D9">
        <w:rPr>
          <w:b/>
          <w:bCs/>
        </w:rPr>
        <w:t>Save</w:t>
      </w:r>
      <w:r>
        <w:t xml:space="preserve"> </w:t>
      </w:r>
      <w:r w:rsidR="000912D9">
        <w:rPr>
          <w:noProof/>
        </w:rPr>
        <w:drawing>
          <wp:inline distT="0" distB="0" distL="0" distR="0" wp14:anchorId="543A5785" wp14:editId="5D3C5F8F">
            <wp:extent cx="182245" cy="151130"/>
            <wp:effectExtent l="0" t="0" r="0" b="0"/>
            <wp:docPr id="6039647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82245" cy="151130"/>
                    </a:xfrm>
                    <a:prstGeom prst="rect">
                      <a:avLst/>
                    </a:prstGeom>
                    <a:noFill/>
                    <a:ln>
                      <a:noFill/>
                    </a:ln>
                  </pic:spPr>
                </pic:pic>
              </a:graphicData>
            </a:graphic>
          </wp:inline>
        </w:drawing>
      </w:r>
      <w:r w:rsidR="000912D9">
        <w:t xml:space="preserve"> </w:t>
      </w:r>
      <w:r>
        <w:t>ico</w:t>
      </w:r>
      <w:r w:rsidR="000912D9">
        <w:t>n</w:t>
      </w:r>
      <w:r>
        <w:t xml:space="preserve"> on the far right of the</w:t>
      </w:r>
      <w:r w:rsidR="00966867">
        <w:t xml:space="preserve"> PLATFORMS</w:t>
      </w:r>
      <w:r>
        <w:t xml:space="preserve"> window will stay disabled until all requirements for a Task Organization, which must have a TSC, an ATSC, an MC and an FRU, have been satisfied. </w:t>
      </w:r>
      <w:r w:rsidR="00966867">
        <w:t>When requirements have not been satisfied, a red text message will be displayed as shown below. CARGRU 1 is still the only node in the Task Organization.</w:t>
      </w:r>
    </w:p>
    <w:p w14:paraId="028294FF" w14:textId="0DF09BD9" w:rsidR="00966867" w:rsidRDefault="00966867" w:rsidP="009570CA">
      <w:pPr>
        <w:jc w:val="center"/>
      </w:pPr>
      <w:r>
        <w:rPr>
          <w:noProof/>
        </w:rPr>
        <w:lastRenderedPageBreak/>
        <w:drawing>
          <wp:inline distT="0" distB="0" distL="0" distR="0" wp14:anchorId="62978129" wp14:editId="265F2A0F">
            <wp:extent cx="5943600" cy="2441448"/>
            <wp:effectExtent l="0" t="0" r="0" b="0"/>
            <wp:docPr id="1223188376"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8376" name="Picture 1" descr="Graphical user interface, application&#10;&#10;Description automatically generated"/>
                    <pic:cNvPicPr/>
                  </pic:nvPicPr>
                  <pic:blipFill>
                    <a:blip/>
                    <a:stretch>
                      <a:fillRect/>
                    </a:stretch>
                  </pic:blipFill>
                  <pic:spPr>
                    <a:xfrm>
                      <a:off x="0" y="0"/>
                      <a:ext cx="5943600" cy="2441448"/>
                    </a:xfrm>
                    <a:prstGeom prst="rect">
                      <a:avLst/>
                    </a:prstGeom>
                  </pic:spPr>
                </pic:pic>
              </a:graphicData>
            </a:graphic>
          </wp:inline>
        </w:drawing>
      </w:r>
    </w:p>
    <w:p w14:paraId="5EF7F57A" w14:textId="117741CE" w:rsidR="0069163A" w:rsidRDefault="0069163A" w:rsidP="009570CA">
      <w:pPr>
        <w:jc w:val="center"/>
      </w:pPr>
      <w:r>
        <w:rPr>
          <w:noProof/>
        </w:rPr>
        <w:drawing>
          <wp:inline distT="0" distB="0" distL="0" distR="0" wp14:anchorId="01253F5A" wp14:editId="72BD661C">
            <wp:extent cx="5943600" cy="1044575"/>
            <wp:effectExtent l="0" t="0" r="0" b="0"/>
            <wp:docPr id="127648778" name="Picture 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8778" name="Picture 9" descr="Graphical user interface, application, Word&#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5943600" cy="1044575"/>
                    </a:xfrm>
                    <a:prstGeom prst="rect">
                      <a:avLst/>
                    </a:prstGeom>
                    <a:noFill/>
                    <a:ln>
                      <a:noFill/>
                    </a:ln>
                  </pic:spPr>
                </pic:pic>
              </a:graphicData>
            </a:graphic>
          </wp:inline>
        </w:drawing>
      </w:r>
    </w:p>
    <w:p w14:paraId="69912A0D" w14:textId="77777777" w:rsidR="0069163A" w:rsidRDefault="0069163A" w:rsidP="009570CA">
      <w:pPr>
        <w:pStyle w:val="Heading5"/>
      </w:pPr>
      <w:r>
        <w:t>Add a Platform to Task Organization</w:t>
      </w:r>
    </w:p>
    <w:p w14:paraId="76C2C6A9" w14:textId="7F0D26E5" w:rsidR="00966867" w:rsidRDefault="00966867" w:rsidP="00966867">
      <w:r>
        <w:t xml:space="preserve">To add more platforms to a newly created Task Organization, hover the cursor over the </w:t>
      </w:r>
      <w:r w:rsidRPr="000912D9">
        <w:rPr>
          <w:b/>
          <w:bCs/>
        </w:rPr>
        <w:t>Swap Platform View</w:t>
      </w:r>
      <w:r>
        <w:t xml:space="preserve"> </w:t>
      </w:r>
      <w:r>
        <w:rPr>
          <w:noProof/>
        </w:rPr>
        <w:drawing>
          <wp:inline distT="0" distB="0" distL="0" distR="0" wp14:anchorId="294C2640" wp14:editId="69642B9B">
            <wp:extent cx="200025" cy="200025"/>
            <wp:effectExtent l="0" t="0" r="9525" b="9525"/>
            <wp:docPr id="71339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97372" name=""/>
                    <pic:cNvPicPr/>
                  </pic:nvPicPr>
                  <pic:blipFill>
                    <a:blip/>
                    <a:stretch>
                      <a:fillRect/>
                    </a:stretch>
                  </pic:blipFill>
                  <pic:spPr>
                    <a:xfrm>
                      <a:off x="0" y="0"/>
                      <a:ext cx="200025" cy="200025"/>
                    </a:xfrm>
                    <a:prstGeom prst="rect">
                      <a:avLst/>
                    </a:prstGeom>
                  </pic:spPr>
                </pic:pic>
              </a:graphicData>
            </a:graphic>
          </wp:inline>
        </w:drawing>
      </w:r>
      <w:r>
        <w:t xml:space="preserve"> icon on the PLATFORMS window to switch to</w:t>
      </w:r>
      <w:r w:rsidR="00097090">
        <w:t xml:space="preserve"> the</w:t>
      </w:r>
      <w:r>
        <w:t xml:space="preserve"> Platform list view of all platforms in TWS. The title of the window would be just PLATFORMS, as shown below. </w:t>
      </w:r>
    </w:p>
    <w:p w14:paraId="1A7D2A2B" w14:textId="5DC559F4" w:rsidR="00966867" w:rsidRDefault="00966867" w:rsidP="00966867">
      <w:pPr>
        <w:jc w:val="center"/>
      </w:pPr>
      <w:r>
        <w:rPr>
          <w:noProof/>
        </w:rPr>
        <w:drawing>
          <wp:inline distT="0" distB="0" distL="0" distR="0" wp14:anchorId="7718D5BB" wp14:editId="7AFC2B09">
            <wp:extent cx="4114800" cy="3346704"/>
            <wp:effectExtent l="0" t="0" r="0" b="0"/>
            <wp:docPr id="1309775047"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75047" name="Picture 1" descr="Graphical user interface, application, table&#10;&#10;Description automatically generated"/>
                    <pic:cNvPicPr/>
                  </pic:nvPicPr>
                  <pic:blipFill>
                    <a:blip/>
                    <a:stretch>
                      <a:fillRect/>
                    </a:stretch>
                  </pic:blipFill>
                  <pic:spPr>
                    <a:xfrm>
                      <a:off x="0" y="0"/>
                      <a:ext cx="4114800" cy="3346704"/>
                    </a:xfrm>
                    <a:prstGeom prst="rect">
                      <a:avLst/>
                    </a:prstGeom>
                  </pic:spPr>
                </pic:pic>
              </a:graphicData>
            </a:graphic>
          </wp:inline>
        </w:drawing>
      </w:r>
    </w:p>
    <w:p w14:paraId="581FAD36" w14:textId="2424267E" w:rsidR="00966867" w:rsidRDefault="00966867" w:rsidP="00966867">
      <w:r w:rsidRPr="00B164AD">
        <w:rPr>
          <w:b/>
          <w:bCs/>
        </w:rPr>
        <w:lastRenderedPageBreak/>
        <w:t>Add more platforms</w:t>
      </w:r>
      <w:r>
        <w:t xml:space="preserve"> </w:t>
      </w:r>
      <w:r w:rsidR="00097090">
        <w:t>–</w:t>
      </w:r>
      <w:r>
        <w:t xml:space="preserve"> Select the desired platform by moving the cursor to the top of the dotted rectangle </w:t>
      </w:r>
      <w:r>
        <w:rPr>
          <w:noProof/>
        </w:rPr>
        <w:drawing>
          <wp:inline distT="0" distB="0" distL="0" distR="0" wp14:anchorId="5244E5E1" wp14:editId="3833CCD8">
            <wp:extent cx="133350" cy="106680"/>
            <wp:effectExtent l="0" t="0" r="0" b="0"/>
            <wp:docPr id="120794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33350" cy="106680"/>
                    </a:xfrm>
                    <a:prstGeom prst="rect">
                      <a:avLst/>
                    </a:prstGeom>
                    <a:noFill/>
                    <a:ln>
                      <a:noFill/>
                    </a:ln>
                  </pic:spPr>
                </pic:pic>
              </a:graphicData>
            </a:graphic>
          </wp:inline>
        </w:drawing>
      </w:r>
      <w:r>
        <w:t xml:space="preserve"> icon prior to the platform name, then click the left mouse button. While keeping the left mouse button pressed, drag the row to any spot within the desired Task Organization area, then release the left mouse button. </w:t>
      </w:r>
      <w:r w:rsidR="00097090">
        <w:t>The s</w:t>
      </w:r>
      <w:r>
        <w:t>creen capture below shows the addition of platforms, COMTHIRDFLT, BOC FRU 1 and USS BUNKER HILL to the Task Organization.</w:t>
      </w:r>
    </w:p>
    <w:p w14:paraId="64CE4C95" w14:textId="3E744F30" w:rsidR="00966867" w:rsidRDefault="00966867" w:rsidP="00BB4EBE">
      <w:pPr>
        <w:jc w:val="center"/>
      </w:pPr>
      <w:r>
        <w:rPr>
          <w:noProof/>
        </w:rPr>
        <w:drawing>
          <wp:inline distT="0" distB="0" distL="0" distR="0" wp14:anchorId="0F0EBA75" wp14:editId="6589758F">
            <wp:extent cx="5943600" cy="2578608"/>
            <wp:effectExtent l="0" t="0" r="0" b="0"/>
            <wp:docPr id="1394552796"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52796" name="Picture 1" descr="Graphical user interface, application&#10;&#10;Description automatically generated"/>
                    <pic:cNvPicPr/>
                  </pic:nvPicPr>
                  <pic:blipFill>
                    <a:blip/>
                    <a:stretch>
                      <a:fillRect/>
                    </a:stretch>
                  </pic:blipFill>
                  <pic:spPr>
                    <a:xfrm>
                      <a:off x="0" y="0"/>
                      <a:ext cx="5943600" cy="2578608"/>
                    </a:xfrm>
                    <a:prstGeom prst="rect">
                      <a:avLst/>
                    </a:prstGeom>
                  </pic:spPr>
                </pic:pic>
              </a:graphicData>
            </a:graphic>
          </wp:inline>
        </w:drawing>
      </w:r>
    </w:p>
    <w:p w14:paraId="0087C71B" w14:textId="19E5759C" w:rsidR="00966867" w:rsidRDefault="00966867" w:rsidP="00966867">
      <w:r>
        <w:t xml:space="preserve">To add a platform to an existing Task Organization, simply expand the Task Organization by clicking on the detailed icon </w:t>
      </w:r>
      <w:r>
        <w:rPr>
          <w:noProof/>
        </w:rPr>
        <w:drawing>
          <wp:inline distT="0" distB="0" distL="0" distR="0" wp14:anchorId="73EE0F87" wp14:editId="0ED69B25">
            <wp:extent cx="205740" cy="144953"/>
            <wp:effectExtent l="0" t="0" r="3810" b="7620"/>
            <wp:docPr id="72776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65187" name=""/>
                    <pic:cNvPicPr/>
                  </pic:nvPicPr>
                  <pic:blipFill>
                    <a:blip/>
                    <a:stretch>
                      <a:fillRect/>
                    </a:stretch>
                  </pic:blipFill>
                  <pic:spPr>
                    <a:xfrm>
                      <a:off x="0" y="0"/>
                      <a:ext cx="209808" cy="147819"/>
                    </a:xfrm>
                    <a:prstGeom prst="rect">
                      <a:avLst/>
                    </a:prstGeom>
                  </pic:spPr>
                </pic:pic>
              </a:graphicData>
            </a:graphic>
          </wp:inline>
        </w:drawing>
      </w:r>
      <w:r>
        <w:t xml:space="preserve"> for the desired task organization to show its details, then follow the “Add more platforms” steps above, but make sure the PLATFORMS window is in list view mode listing all the platforms for TWS instead of just listing platforms of the Task Organization.</w:t>
      </w:r>
    </w:p>
    <w:p w14:paraId="328CC39D" w14:textId="51E60B46" w:rsidR="0069163A" w:rsidRDefault="0069163A" w:rsidP="009570CA">
      <w:pPr>
        <w:pStyle w:val="Heading5"/>
      </w:pPr>
      <w:bookmarkStart w:id="2055" w:name="_Define_Roles_for"/>
      <w:bookmarkEnd w:id="2055"/>
      <w:r>
        <w:t>Define Roles for a Platform in Task Organization</w:t>
      </w:r>
    </w:p>
    <w:p w14:paraId="5D3927C3" w14:textId="534858DF" w:rsidR="0069163A" w:rsidRDefault="0069163A" w:rsidP="009570CA">
      <w:r>
        <w:t xml:space="preserve">To define roles for a platform, switch the PLATFORM windows to Platform/Task Organization list view by clicking on the </w:t>
      </w:r>
      <w:r w:rsidRPr="00A55299">
        <w:rPr>
          <w:b/>
          <w:bCs/>
        </w:rPr>
        <w:t xml:space="preserve">Switch Platform View </w:t>
      </w:r>
      <w:r>
        <w:t>icon</w:t>
      </w:r>
      <w:r w:rsidR="00097090">
        <w:rPr>
          <w:noProof/>
        </w:rPr>
        <w:t xml:space="preserve"> </w:t>
      </w:r>
      <w:r w:rsidR="00966867">
        <w:rPr>
          <w:noProof/>
        </w:rPr>
        <w:drawing>
          <wp:inline distT="0" distB="0" distL="0" distR="0" wp14:anchorId="0476DF7F" wp14:editId="5F68D05E">
            <wp:extent cx="175260" cy="175260"/>
            <wp:effectExtent l="0" t="0" r="0" b="0"/>
            <wp:docPr id="134787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8004" name=""/>
                    <pic:cNvPicPr/>
                  </pic:nvPicPr>
                  <pic:blipFill>
                    <a:blip/>
                    <a:stretch>
                      <a:fillRect/>
                    </a:stretch>
                  </pic:blipFill>
                  <pic:spPr>
                    <a:xfrm>
                      <a:off x="0" y="0"/>
                      <a:ext cx="175260" cy="175260"/>
                    </a:xfrm>
                    <a:prstGeom prst="rect">
                      <a:avLst/>
                    </a:prstGeom>
                  </pic:spPr>
                </pic:pic>
              </a:graphicData>
            </a:graphic>
          </wp:inline>
        </w:drawing>
      </w:r>
      <w:r w:rsidR="00966867">
        <w:t xml:space="preserve"> to view the list view in PLATFORMS/</w:t>
      </w:r>
      <w:r w:rsidR="00966867" w:rsidRPr="00B164AD">
        <w:rPr>
          <w:i/>
          <w:iCs/>
        </w:rPr>
        <w:t>task organization</w:t>
      </w:r>
      <w:r w:rsidR="00966867">
        <w:rPr>
          <w:i/>
          <w:iCs/>
        </w:rPr>
        <w:t xml:space="preserve"> name </w:t>
      </w:r>
      <w:r w:rsidR="00966867" w:rsidRPr="00B164AD">
        <w:t>view</w:t>
      </w:r>
      <w:r w:rsidR="00966867">
        <w:rPr>
          <w:i/>
          <w:iCs/>
        </w:rPr>
        <w:t xml:space="preserve">. </w:t>
      </w:r>
      <w:r w:rsidR="00966867">
        <w:t xml:space="preserve">Click on the expand detail icon </w:t>
      </w:r>
      <w:r w:rsidR="00966867">
        <w:rPr>
          <w:noProof/>
        </w:rPr>
        <w:drawing>
          <wp:inline distT="0" distB="0" distL="0" distR="0" wp14:anchorId="530EA00E" wp14:editId="731F273A">
            <wp:extent cx="210639" cy="137160"/>
            <wp:effectExtent l="0" t="0" r="0" b="0"/>
            <wp:docPr id="76371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17714" name=""/>
                    <pic:cNvPicPr/>
                  </pic:nvPicPr>
                  <pic:blipFill>
                    <a:blip/>
                    <a:stretch>
                      <a:fillRect/>
                    </a:stretch>
                  </pic:blipFill>
                  <pic:spPr>
                    <a:xfrm flipH="1">
                      <a:off x="0" y="0"/>
                      <a:ext cx="214407" cy="139614"/>
                    </a:xfrm>
                    <a:prstGeom prst="rect">
                      <a:avLst/>
                    </a:prstGeom>
                  </pic:spPr>
                </pic:pic>
              </a:graphicData>
            </a:graphic>
          </wp:inline>
        </w:drawing>
      </w:r>
      <w:r w:rsidR="00966867">
        <w:t xml:space="preserve"> on PLATFORMS/</w:t>
      </w:r>
      <w:r w:rsidR="00966867" w:rsidRPr="00B164AD">
        <w:rPr>
          <w:i/>
          <w:iCs/>
        </w:rPr>
        <w:t>task organization name</w:t>
      </w:r>
      <w:r w:rsidR="00966867">
        <w:t xml:space="preserve"> window to expand all platforms and check the blank box(es) for the role(s) to be assigned to the respective nodes in the platforms. In the example below, CARGRU 1 MDS has been assigned Tomahawk Strike Coordinator (TSC) and Missile Controller (MC) role by default. BOC USS Army BO MDS has been given the strike monitor (SM) role and BOC USS Army BO TTWCS has been given the FRU role. USS BUNKER HILL TED has been given MC role and TTWCS has been given MC role and FRU role. All COMTHIRDFLT nodes have been given Alternate TSC (ATSC) and MC role.</w:t>
      </w:r>
    </w:p>
    <w:p w14:paraId="74B759D9" w14:textId="2C80AFB4" w:rsidR="0069163A" w:rsidRDefault="00966867" w:rsidP="00966867">
      <w:pPr>
        <w:jc w:val="center"/>
      </w:pPr>
      <w:r>
        <w:rPr>
          <w:noProof/>
        </w:rPr>
        <w:lastRenderedPageBreak/>
        <w:drawing>
          <wp:inline distT="0" distB="0" distL="0" distR="0" wp14:anchorId="5F42A667" wp14:editId="24A58AFC">
            <wp:extent cx="5943600" cy="2322576"/>
            <wp:effectExtent l="0" t="0" r="0" b="0"/>
            <wp:docPr id="564251438" name="Picture 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51438" name="Picture 1" descr="Graphical user interface, application, table, Excel&#10;&#10;Description automatically generated"/>
                    <pic:cNvPicPr/>
                  </pic:nvPicPr>
                  <pic:blipFill>
                    <a:blip/>
                    <a:stretch>
                      <a:fillRect/>
                    </a:stretch>
                  </pic:blipFill>
                  <pic:spPr>
                    <a:xfrm>
                      <a:off x="0" y="0"/>
                      <a:ext cx="5943600" cy="2322576"/>
                    </a:xfrm>
                    <a:prstGeom prst="rect">
                      <a:avLst/>
                    </a:prstGeom>
                  </pic:spPr>
                </pic:pic>
              </a:graphicData>
            </a:graphic>
          </wp:inline>
        </w:drawing>
      </w:r>
    </w:p>
    <w:p w14:paraId="3B2C5F46" w14:textId="77777777" w:rsidR="00966867" w:rsidRDefault="00966867" w:rsidP="00BB4EBE">
      <w:pPr>
        <w:jc w:val="center"/>
      </w:pPr>
      <w:r>
        <w:rPr>
          <w:noProof/>
        </w:rPr>
        <w:drawing>
          <wp:inline distT="0" distB="0" distL="0" distR="0" wp14:anchorId="0AD1851C" wp14:editId="13D62971">
            <wp:extent cx="5943600" cy="2633472"/>
            <wp:effectExtent l="0" t="0" r="0" b="0"/>
            <wp:docPr id="1150755660"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55660" name="Picture 1" descr="Graphical user interface, application, table&#10;&#10;Description automatically generated"/>
                    <pic:cNvPicPr/>
                  </pic:nvPicPr>
                  <pic:blipFill>
                    <a:blip/>
                    <a:stretch>
                      <a:fillRect/>
                    </a:stretch>
                  </pic:blipFill>
                  <pic:spPr>
                    <a:xfrm>
                      <a:off x="0" y="0"/>
                      <a:ext cx="5943600" cy="2633472"/>
                    </a:xfrm>
                    <a:prstGeom prst="rect">
                      <a:avLst/>
                    </a:prstGeom>
                  </pic:spPr>
                </pic:pic>
              </a:graphicData>
            </a:graphic>
          </wp:inline>
        </w:drawing>
      </w:r>
    </w:p>
    <w:p w14:paraId="1C76EBFC" w14:textId="00B000E2" w:rsidR="0069163A" w:rsidRDefault="0069163A" w:rsidP="009570CA">
      <w:r>
        <w:t xml:space="preserve">Click the </w:t>
      </w:r>
      <w:r w:rsidR="00A55299">
        <w:rPr>
          <w:b/>
          <w:bCs/>
        </w:rPr>
        <w:t>S</w:t>
      </w:r>
      <w:r w:rsidRPr="00A55299">
        <w:rPr>
          <w:b/>
          <w:bCs/>
        </w:rPr>
        <w:t>ave</w:t>
      </w:r>
      <w:r>
        <w:t xml:space="preserve"> icon to save the roles defined for the task organization. </w:t>
      </w:r>
      <w:r w:rsidR="00DE2DBB">
        <w:t>The d</w:t>
      </w:r>
      <w:r>
        <w:t>etailed view of the platforms will collapse, as shown below. Assigned role(s) for each platform is displayed.</w:t>
      </w:r>
    </w:p>
    <w:p w14:paraId="1947D247" w14:textId="7B1E9A57" w:rsidR="0069163A" w:rsidRDefault="003A1E05" w:rsidP="009570CA">
      <w:pPr>
        <w:jc w:val="center"/>
      </w:pPr>
      <w:r>
        <w:rPr>
          <w:noProof/>
        </w:rPr>
        <w:lastRenderedPageBreak/>
        <w:drawing>
          <wp:inline distT="0" distB="0" distL="0" distR="0" wp14:anchorId="0C716110" wp14:editId="27A31DC5">
            <wp:extent cx="4876800" cy="3797575"/>
            <wp:effectExtent l="0" t="0" r="0" b="0"/>
            <wp:docPr id="1333262860" name="Picture 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62860" name="Picture 1" descr="Graphical user interface, table&#10;&#10;Description automatically generated"/>
                    <pic:cNvPicPr/>
                  </pic:nvPicPr>
                  <pic:blipFill>
                    <a:blip/>
                    <a:stretch>
                      <a:fillRect/>
                    </a:stretch>
                  </pic:blipFill>
                  <pic:spPr>
                    <a:xfrm>
                      <a:off x="0" y="0"/>
                      <a:ext cx="4887467" cy="3805882"/>
                    </a:xfrm>
                    <a:prstGeom prst="rect">
                      <a:avLst/>
                    </a:prstGeom>
                  </pic:spPr>
                </pic:pic>
              </a:graphicData>
            </a:graphic>
          </wp:inline>
        </w:drawing>
      </w:r>
    </w:p>
    <w:p w14:paraId="735ABC51" w14:textId="48E19E24" w:rsidR="0069163A" w:rsidRDefault="0069163A" w:rsidP="009570CA">
      <w:r>
        <w:t xml:space="preserve">When the defined roles do not satisfy </w:t>
      </w:r>
      <w:r w:rsidR="00DE2DBB">
        <w:t xml:space="preserve">the </w:t>
      </w:r>
      <w:r>
        <w:t xml:space="preserve">Task Organization requirement for at least one TSC, one ATSC, one MC and one FRU, then the </w:t>
      </w:r>
      <w:r w:rsidR="00A55299" w:rsidRPr="00A55299">
        <w:rPr>
          <w:b/>
          <w:bCs/>
        </w:rPr>
        <w:t>Save</w:t>
      </w:r>
      <w:r w:rsidR="00A55299">
        <w:t xml:space="preserve"> </w:t>
      </w:r>
      <w:r w:rsidR="00A55299">
        <w:rPr>
          <w:noProof/>
        </w:rPr>
        <w:drawing>
          <wp:inline distT="0" distB="0" distL="0" distR="0" wp14:anchorId="5AB84335" wp14:editId="69F73054">
            <wp:extent cx="142240" cy="160020"/>
            <wp:effectExtent l="0" t="0" r="0" b="0"/>
            <wp:docPr id="153724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42240" cy="160020"/>
                    </a:xfrm>
                    <a:prstGeom prst="rect">
                      <a:avLst/>
                    </a:prstGeom>
                    <a:noFill/>
                    <a:ln>
                      <a:noFill/>
                    </a:ln>
                  </pic:spPr>
                </pic:pic>
              </a:graphicData>
            </a:graphic>
          </wp:inline>
        </w:drawing>
      </w:r>
      <w:r w:rsidR="00A55299">
        <w:t xml:space="preserve"> </w:t>
      </w:r>
      <w:r>
        <w:t xml:space="preserve">icon will be disabled preventing </w:t>
      </w:r>
      <w:r w:rsidR="00DE2DBB">
        <w:t xml:space="preserve">the </w:t>
      </w:r>
      <w:r>
        <w:t>user from saving an invalid Task Organization.</w:t>
      </w:r>
    </w:p>
    <w:p w14:paraId="7AF7570C" w14:textId="77777777" w:rsidR="0069163A" w:rsidRDefault="0069163A" w:rsidP="009570CA">
      <w:pPr>
        <w:pStyle w:val="Heading5"/>
      </w:pPr>
      <w:r>
        <w:t>Delete a Platform from Task Organization</w:t>
      </w:r>
    </w:p>
    <w:p w14:paraId="7DD36FA7" w14:textId="575616BF" w:rsidR="0069163A" w:rsidRDefault="0069163A" w:rsidP="009570CA">
      <w:r>
        <w:t xml:space="preserve">To delete a platform from a Task Organization, select the desired platform in the Task Organization window only and press the </w:t>
      </w:r>
      <w:r w:rsidR="00A55299" w:rsidRPr="00A55299">
        <w:rPr>
          <w:b/>
          <w:bCs/>
        </w:rPr>
        <w:t>Delete</w:t>
      </w:r>
      <w:r>
        <w:t xml:space="preserve"> key on keyboard to delete. </w:t>
      </w:r>
      <w:r w:rsidR="00DE2DBB">
        <w:t>A</w:t>
      </w:r>
      <w:r>
        <w:t xml:space="preserve"> platform </w:t>
      </w:r>
      <w:r w:rsidR="00DE2DBB">
        <w:t xml:space="preserve">cannot be deleted </w:t>
      </w:r>
      <w:r>
        <w:t>from Task Organization in the PLATFORMS window.</w:t>
      </w:r>
    </w:p>
    <w:p w14:paraId="336F4318" w14:textId="77777777" w:rsidR="0069163A" w:rsidRDefault="0069163A" w:rsidP="009570CA">
      <w:pPr>
        <w:pStyle w:val="Heading4"/>
      </w:pPr>
      <w:bookmarkStart w:id="2056" w:name="_Toc165532037"/>
      <w:r>
        <w:t>Delete a Task Organization</w:t>
      </w:r>
      <w:bookmarkEnd w:id="2056"/>
    </w:p>
    <w:p w14:paraId="4E6DB913" w14:textId="44A11A1A" w:rsidR="0069163A" w:rsidRDefault="0069163A" w:rsidP="009570CA">
      <w:r>
        <w:t xml:space="preserve">To delete a Task Organization, select the desired Task Organization and press the </w:t>
      </w:r>
      <w:r w:rsidR="00A55299" w:rsidRPr="00A55299">
        <w:rPr>
          <w:b/>
          <w:bCs/>
        </w:rPr>
        <w:t xml:space="preserve">Delete </w:t>
      </w:r>
      <w:r>
        <w:t>key on keyboard to delete.</w:t>
      </w:r>
      <w:bookmarkEnd w:id="1981"/>
      <w:bookmarkEnd w:id="1982"/>
    </w:p>
    <w:p w14:paraId="5785365E" w14:textId="77777777" w:rsidR="00A316EA" w:rsidRDefault="00A316EA" w:rsidP="009570CA">
      <w:r>
        <w:br w:type="page"/>
      </w:r>
      <w:bookmarkStart w:id="2057" w:name="_5.14.2__Display"/>
      <w:bookmarkStart w:id="2058" w:name="_5.14.1.1.4.3__Modify"/>
      <w:bookmarkStart w:id="2059" w:name="_5.14.1.1.4.4__Edit"/>
      <w:bookmarkStart w:id="2060" w:name="_5.14.1.1.6__Positions"/>
      <w:bookmarkStart w:id="2061" w:name="_5.14.1.1.7__Commitments"/>
      <w:bookmarkStart w:id="2062" w:name="_5.14.2__Display_1"/>
      <w:bookmarkStart w:id="2063" w:name="_5_.14.2_"/>
      <w:bookmarkStart w:id="2064" w:name="_5.14.3__Display"/>
      <w:bookmarkStart w:id="2065" w:name="_Toc67401225"/>
      <w:bookmarkStart w:id="2066" w:name="_Toc69207862"/>
      <w:bookmarkStart w:id="2067" w:name="_Toc70071416"/>
      <w:bookmarkStart w:id="2068" w:name="_Toc71012197"/>
      <w:bookmarkStart w:id="2069" w:name="_Toc71808866"/>
      <w:bookmarkStart w:id="2070" w:name="_Toc67401226"/>
      <w:bookmarkStart w:id="2071" w:name="_Toc69207863"/>
      <w:bookmarkStart w:id="2072" w:name="_Toc70071417"/>
      <w:bookmarkStart w:id="2073" w:name="_Toc71012198"/>
      <w:bookmarkStart w:id="2074" w:name="_Toc71808867"/>
      <w:bookmarkStart w:id="2075" w:name="_5.14.3__Display_1"/>
      <w:bookmarkStart w:id="2076" w:name="_5.14.4__Inventory"/>
      <w:bookmarkStart w:id="2077" w:name="_5.14.5__Copy"/>
      <w:bookmarkStart w:id="2078" w:name="_Toc67401230"/>
      <w:bookmarkStart w:id="2079" w:name="_Toc69207867"/>
      <w:bookmarkStart w:id="2080" w:name="_Toc70071421"/>
      <w:bookmarkStart w:id="2081" w:name="_Toc71012202"/>
      <w:bookmarkStart w:id="2082" w:name="_Toc71808871"/>
      <w:bookmarkStart w:id="2083" w:name="_Toc67401231"/>
      <w:bookmarkStart w:id="2084" w:name="_Toc69207868"/>
      <w:bookmarkStart w:id="2085" w:name="_Toc70071422"/>
      <w:bookmarkStart w:id="2086" w:name="_Toc71012203"/>
      <w:bookmarkStart w:id="2087" w:name="_Toc71808872"/>
      <w:bookmarkStart w:id="2088" w:name="_Toc67401232"/>
      <w:bookmarkStart w:id="2089" w:name="_Toc69207869"/>
      <w:bookmarkStart w:id="2090" w:name="_Toc70071423"/>
      <w:bookmarkStart w:id="2091" w:name="_Toc71012204"/>
      <w:bookmarkStart w:id="2092" w:name="_Toc71808873"/>
      <w:bookmarkStart w:id="2093" w:name="_Toc67401233"/>
      <w:bookmarkStart w:id="2094" w:name="_Toc69207870"/>
      <w:bookmarkStart w:id="2095" w:name="_Toc70071424"/>
      <w:bookmarkStart w:id="2096" w:name="_Toc71012205"/>
      <w:bookmarkStart w:id="2097" w:name="_Toc71808874"/>
      <w:bookmarkStart w:id="2098" w:name="_Toc67401234"/>
      <w:bookmarkStart w:id="2099" w:name="_Toc69207871"/>
      <w:bookmarkStart w:id="2100" w:name="_Toc70071425"/>
      <w:bookmarkStart w:id="2101" w:name="_Toc71012206"/>
      <w:bookmarkStart w:id="2102" w:name="_Toc71808875"/>
      <w:bookmarkStart w:id="2103" w:name="_Toc67401235"/>
      <w:bookmarkStart w:id="2104" w:name="_Toc69207872"/>
      <w:bookmarkStart w:id="2105" w:name="_Toc70071426"/>
      <w:bookmarkStart w:id="2106" w:name="_Toc71012207"/>
      <w:bookmarkStart w:id="2107" w:name="_Toc71808876"/>
      <w:bookmarkStart w:id="2108" w:name="_Toc67401236"/>
      <w:bookmarkStart w:id="2109" w:name="_Toc69207873"/>
      <w:bookmarkStart w:id="2110" w:name="_Toc70071427"/>
      <w:bookmarkStart w:id="2111" w:name="_Toc71012208"/>
      <w:bookmarkStart w:id="2112" w:name="_Toc71808877"/>
      <w:bookmarkStart w:id="2113" w:name="_Toc67401237"/>
      <w:bookmarkStart w:id="2114" w:name="_Toc69207874"/>
      <w:bookmarkStart w:id="2115" w:name="_Toc70071428"/>
      <w:bookmarkStart w:id="2116" w:name="_Toc71012209"/>
      <w:bookmarkStart w:id="2117" w:name="_Toc71808878"/>
      <w:bookmarkStart w:id="2118" w:name="_Toc67401238"/>
      <w:bookmarkStart w:id="2119" w:name="_Toc69207875"/>
      <w:bookmarkStart w:id="2120" w:name="_Toc70071429"/>
      <w:bookmarkStart w:id="2121" w:name="_Toc71012210"/>
      <w:bookmarkStart w:id="2122" w:name="_Toc71808879"/>
      <w:bookmarkStart w:id="2123" w:name="_5.14__NODES_TOOL"/>
      <w:bookmarkStart w:id="2124" w:name="_5.16__NODES_TOOL"/>
      <w:bookmarkStart w:id="2125" w:name="_5.15__NODES_TOOL"/>
      <w:bookmarkStart w:id="2126" w:name="_5.15.1__Display_Node_Textually"/>
      <w:bookmarkStart w:id="2127" w:name="_5.15.2__Edit_Node_Information"/>
      <w:bookmarkStart w:id="2128" w:name="_5.15.2__Edit"/>
      <w:bookmarkStart w:id="2129" w:name="_Capabilities"/>
      <w:bookmarkStart w:id="2130" w:name="_5.15.1.3.61.2__Add"/>
      <w:bookmarkStart w:id="2131" w:name="_5.15.1.3.1.2__Add_1"/>
      <w:bookmarkStart w:id="2132" w:name="_Versions"/>
      <w:bookmarkStart w:id="2133" w:name="_Maritime"/>
      <w:bookmarkStart w:id="2134" w:name="_5.15.1.6__Save"/>
      <w:bookmarkStart w:id="2135" w:name="_5.15.2__Display"/>
      <w:bookmarkStart w:id="2136" w:name="_Display_Own_Node"/>
      <w:bookmarkStart w:id="2137" w:name="_5.15.6__Test"/>
      <w:bookmarkStart w:id="2138" w:name="_5.15.1.3.1.2__Add"/>
      <w:bookmarkStart w:id="2139" w:name="_5.14.5_Publish_Accountability"/>
      <w:bookmarkStart w:id="2140" w:name="_5.14.6__Publish"/>
      <w:bookmarkStart w:id="2141" w:name="_5.14.5__Publish_Address_Book"/>
      <w:bookmarkStart w:id="2142" w:name="_5.15.6__Compare_Inventory"/>
      <w:bookmarkStart w:id="2143" w:name="_5.15.7__Compare_Mission_Inventory"/>
      <w:bookmarkStart w:id="2144" w:name="_Toc97344636"/>
      <w:bookmarkStart w:id="2145" w:name="_Toc71955380"/>
      <w:bookmarkStart w:id="2146" w:name="_Toc96169978"/>
      <w:bookmarkStart w:id="2147" w:name="_Toc96234023"/>
      <w:bookmarkStart w:id="2148" w:name="_Toc112733452"/>
      <w:bookmarkStart w:id="2149" w:name="_Toc289328491"/>
      <w:bookmarkStart w:id="2150" w:name="_Toc312331810"/>
      <w:bookmarkStart w:id="2151" w:name="_Toc214283284"/>
      <w:bookmarkEnd w:id="1970"/>
      <w:bookmarkEnd w:id="1971"/>
      <w:bookmarkEnd w:id="1972"/>
      <w:bookmarkEnd w:id="1973"/>
      <w:bookmarkEnd w:id="1975"/>
      <w:bookmarkEnd w:id="197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r w:rsidR="005D1A26" w:rsidRPr="000665B0">
        <w:lastRenderedPageBreak/>
        <w:t>MISSILES TOOL</w:t>
      </w:r>
      <w:bookmarkEnd w:id="2145"/>
      <w:bookmarkEnd w:id="2146"/>
      <w:bookmarkEnd w:id="2147"/>
      <w:bookmarkEnd w:id="2148"/>
      <w:bookmarkEnd w:id="2149"/>
      <w:bookmarkEnd w:id="2150"/>
      <w:bookmarkEnd w:id="2151"/>
    </w:p>
    <w:p w14:paraId="4200D434" w14:textId="0C2E8023" w:rsidR="005D1A26" w:rsidRPr="000665B0" w:rsidRDefault="005D1A26" w:rsidP="009570CA">
      <w:r w:rsidRPr="000665B0">
        <w:t xml:space="preserve">The Missiles Tool displays a list of all the Missiles in the Database (VMIL) and is referred to as the Missile List View. (It is not the </w:t>
      </w:r>
      <w:r w:rsidR="009811EC" w:rsidRPr="000665B0">
        <w:t xml:space="preserve">Platform’s </w:t>
      </w:r>
      <w:r w:rsidRPr="000665B0">
        <w:t xml:space="preserve">missile inventory.) The list is populated, or updated, by importing the </w:t>
      </w:r>
      <w:r w:rsidRPr="000665B0">
        <w:rPr>
          <w:iCs/>
        </w:rPr>
        <w:t>VMIL</w:t>
      </w:r>
      <w:r w:rsidRPr="000665B0">
        <w:rPr>
          <w:i/>
          <w:iCs/>
        </w:rPr>
        <w:t xml:space="preserve"> </w:t>
      </w:r>
      <w:r w:rsidRPr="000665B0">
        <w:t xml:space="preserve">file (see </w:t>
      </w:r>
      <w:hyperlink w:anchor="_5.2.1.7__Receive" w:history="1">
        <w:r w:rsidR="00B9720D" w:rsidRPr="000665B0">
          <w:rPr>
            <w:rStyle w:val="Hyperlink"/>
          </w:rPr>
          <w:t>Section 5.2.1.7</w:t>
        </w:r>
      </w:hyperlink>
      <w:r w:rsidRPr="000665B0">
        <w:t>). Attempts to add missions to the database prior to importing the VMIL</w:t>
      </w:r>
      <w:r w:rsidRPr="000665B0">
        <w:rPr>
          <w:i/>
          <w:iCs/>
        </w:rPr>
        <w:t xml:space="preserve"> </w:t>
      </w:r>
      <w:r w:rsidRPr="000665B0">
        <w:t xml:space="preserve">file will be unsuccessful. This tool provides a single location by which the operator can display and manage the processing and storage of the current list of MIS Codes. </w:t>
      </w:r>
      <w:r w:rsidR="006B730C">
        <w:rPr>
          <w:szCs w:val="24"/>
        </w:rPr>
        <w:t>MIS Codes and the Missile Identification Data Word Formats are defined in JCM-2038 Rev. K - Tomahawk Weapons System AUR Configuration &amp; Identification Interface Requirements Document. The 4-Character Missile Type</w:t>
      </w:r>
      <w:r w:rsidR="005E7E15" w:rsidRPr="000665B0">
        <w:rPr>
          <w:noProof/>
        </w:rPr>
        <w:t xml:space="preserve"> </w:t>
      </w:r>
      <w:r w:rsidR="005E7E15" w:rsidRPr="000665B0">
        <w:t xml:space="preserve">(see </w:t>
      </w:r>
      <w:hyperlink w:anchor="_4_-Character_Missile" w:history="1">
        <w:r w:rsidR="005E7E15" w:rsidRPr="000665B0">
          <w:rPr>
            <w:rStyle w:val="Hyperlink"/>
          </w:rPr>
          <w:t>Section 5.</w:t>
        </w:r>
        <w:r w:rsidR="00D34FE4">
          <w:rPr>
            <w:rStyle w:val="Hyperlink"/>
          </w:rPr>
          <w:t>1</w:t>
        </w:r>
        <w:r w:rsidR="004231CC">
          <w:rPr>
            <w:rStyle w:val="Hyperlink"/>
          </w:rPr>
          <w:t>4</w:t>
        </w:r>
        <w:r w:rsidR="005E7E15" w:rsidRPr="000665B0">
          <w:rPr>
            <w:rStyle w:val="Hyperlink"/>
          </w:rPr>
          <w:t>.1</w:t>
        </w:r>
      </w:hyperlink>
      <w:r w:rsidR="005E7E15" w:rsidRPr="000665B0">
        <w:t>)</w:t>
      </w:r>
      <w:r w:rsidR="00577642" w:rsidRPr="000665B0">
        <w:rPr>
          <w:noProof/>
        </w:rPr>
        <w:t xml:space="preserve"> </w:t>
      </w:r>
      <w:r w:rsidR="006B730C">
        <w:rPr>
          <w:szCs w:val="24"/>
        </w:rPr>
        <w:t>codes are defined in 3900/146 Revision E, Appendix A.</w:t>
      </w:r>
    </w:p>
    <w:p w14:paraId="34D9ABE1" w14:textId="77777777" w:rsidR="003622FA" w:rsidRPr="000665B0" w:rsidRDefault="005B3651"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r w:rsidR="005D1A26" w:rsidRPr="000665B0">
        <w:rPr>
          <w:b/>
        </w:rPr>
        <w:t xml:space="preserve">: </w:t>
      </w:r>
    </w:p>
    <w:p w14:paraId="1DA39A2D" w14:textId="77777777" w:rsidR="005D1A26" w:rsidRPr="000665B0" w:rsidRDefault="005D1A26"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Editing, deleting, and adding missile(s) are only accomplished by the SSA (i.e.</w:t>
      </w:r>
      <w:r w:rsidR="000F5B07" w:rsidRPr="000665B0">
        <w:rPr>
          <w:b/>
        </w:rPr>
        <w:t>,</w:t>
      </w:r>
      <w:r w:rsidRPr="000665B0">
        <w:rPr>
          <w:b/>
        </w:rPr>
        <w:t xml:space="preserve"> WPC).</w:t>
      </w:r>
    </w:p>
    <w:p w14:paraId="285E761C" w14:textId="32908CC9" w:rsidR="005D1A26" w:rsidRPr="000665B0" w:rsidRDefault="005D1A26" w:rsidP="009570CA">
      <w:r w:rsidRPr="000665B0">
        <w:t xml:space="preserve">Missile IDs can also be dragged and dropped into a </w:t>
      </w:r>
      <w:r w:rsidR="00A255BB" w:rsidRPr="000665B0">
        <w:t>platform’s</w:t>
      </w:r>
      <w:r w:rsidRPr="000665B0">
        <w:t xml:space="preserve"> missile inventory graphical display and textual display.</w:t>
      </w:r>
    </w:p>
    <w:p w14:paraId="4AE5C7C5" w14:textId="77777777" w:rsidR="005D1A26" w:rsidRPr="000665B0" w:rsidRDefault="005D1A26" w:rsidP="009570CA">
      <w:r w:rsidRPr="000665B0">
        <w:t>To display the Missile Tool:</w:t>
      </w:r>
    </w:p>
    <w:p w14:paraId="6C2DA1DC" w14:textId="77777777" w:rsidR="005D1A26" w:rsidRPr="000665B0" w:rsidRDefault="002D2DB8" w:rsidP="009570CA">
      <w:pPr>
        <w:pStyle w:val="Number0205"/>
        <w:ind w:left="360" w:firstLine="0"/>
      </w:pPr>
      <w:r w:rsidRPr="000665B0">
        <w:t xml:space="preserve">From the </w:t>
      </w:r>
      <w:r w:rsidRPr="000665B0">
        <w:rPr>
          <w:b/>
        </w:rPr>
        <w:t>Go</w:t>
      </w:r>
      <w:r w:rsidRPr="000665B0">
        <w:t xml:space="preserve"> menu s</w:t>
      </w:r>
      <w:r w:rsidR="0033337A" w:rsidRPr="000665B0">
        <w:t xml:space="preserve">elect </w:t>
      </w:r>
      <w:r w:rsidR="0033337A" w:rsidRPr="000665B0">
        <w:rPr>
          <w:b/>
          <w:bCs/>
        </w:rPr>
        <w:t>Missiles</w:t>
      </w:r>
      <w:r w:rsidR="005D1A26" w:rsidRPr="000665B0">
        <w:t>.</w:t>
      </w:r>
    </w:p>
    <w:p w14:paraId="2DA77833" w14:textId="499923EE" w:rsidR="00D45F2A" w:rsidRPr="000665B0" w:rsidRDefault="005A0673" w:rsidP="009570CA">
      <w:pPr>
        <w:pStyle w:val="Number0205"/>
        <w:ind w:left="0" w:firstLine="0"/>
        <w:jc w:val="center"/>
      </w:pPr>
      <w:r w:rsidRPr="000665B0">
        <w:rPr>
          <w:noProof/>
        </w:rPr>
        <w:drawing>
          <wp:inline distT="0" distB="0" distL="0" distR="0" wp14:anchorId="7F97B957" wp14:editId="255A4239">
            <wp:extent cx="4983480" cy="2295144"/>
            <wp:effectExtent l="0" t="0" r="0" b="0"/>
            <wp:docPr id="2209" name="Picture 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2295144"/>
                    </a:xfrm>
                    <a:prstGeom prst="rect">
                      <a:avLst/>
                    </a:prstGeom>
                  </pic:spPr>
                </pic:pic>
              </a:graphicData>
            </a:graphic>
          </wp:inline>
        </w:drawing>
      </w:r>
    </w:p>
    <w:p w14:paraId="655E5AE6" w14:textId="00004E0C" w:rsidR="00EE491E" w:rsidRPr="000665B0" w:rsidRDefault="00DA682E" w:rsidP="009570CA">
      <w:r w:rsidRPr="000665B0">
        <w:t xml:space="preserve">The Additional Information icon </w:t>
      </w:r>
      <w:r w:rsidR="00701A8A">
        <w:t>(Φ)</w:t>
      </w:r>
      <w:r w:rsidRPr="000665B0">
        <w:t xml:space="preserve"> in list view column heads or textual view fields indicates that additional information is available for the data within the column or field (see </w:t>
      </w:r>
      <w:hyperlink w:anchor="_Additional__Information" w:history="1">
        <w:r w:rsidRPr="000665B0">
          <w:rPr>
            <w:rStyle w:val="Hyperlink"/>
          </w:rPr>
          <w:t>Section 5.2.11</w:t>
        </w:r>
      </w:hyperlink>
      <w:r w:rsidR="00EE491E" w:rsidRPr="000665B0">
        <w:t>).</w:t>
      </w:r>
    </w:p>
    <w:p w14:paraId="2E9C6B4F" w14:textId="6C75210D" w:rsidR="00E67108" w:rsidRPr="000665B0" w:rsidRDefault="00E67108" w:rsidP="009570CA">
      <w:pPr>
        <w:pStyle w:val="Heading3"/>
      </w:pPr>
      <w:bookmarkStart w:id="2152" w:name="_4_-Character_Missile"/>
      <w:bookmarkStart w:id="2153" w:name="_Toc214283285"/>
      <w:bookmarkStart w:id="2154" w:name="_Hlk64533468"/>
      <w:bookmarkEnd w:id="2152"/>
      <w:r w:rsidRPr="000665B0">
        <w:t>4-Character Missile Type Code</w:t>
      </w:r>
      <w:bookmarkEnd w:id="2153"/>
    </w:p>
    <w:p w14:paraId="33276FEC" w14:textId="0B310C1A" w:rsidR="00E67108" w:rsidRPr="000665B0" w:rsidRDefault="00E67108" w:rsidP="009570CA">
      <w:r w:rsidRPr="000665B0">
        <w:t xml:space="preserve">MDS 7.0 (and above) and TTWCS V5.6.1 (and above) support the </w:t>
      </w:r>
      <w:bookmarkStart w:id="2155" w:name="_Hlk63935830"/>
      <w:r w:rsidRPr="000665B0">
        <w:t>4-character missile type</w:t>
      </w:r>
      <w:bookmarkEnd w:id="2155"/>
      <w:r w:rsidR="00F753E9" w:rsidRPr="000665B0">
        <w:t xml:space="preserve"> display</w:t>
      </w:r>
      <w:r w:rsidRPr="000665B0">
        <w:t xml:space="preserve"> that appl</w:t>
      </w:r>
      <w:r w:rsidR="00F753E9" w:rsidRPr="000665B0">
        <w:t>ies</w:t>
      </w:r>
      <w:r w:rsidRPr="000665B0">
        <w:t xml:space="preserve"> to 109E and JMEWS missiles.</w:t>
      </w:r>
      <w:r w:rsidR="000A61FA" w:rsidRPr="000665B0">
        <w:t xml:space="preserve"> The 4-character missile type is displayed throughout MDS whenever the </w:t>
      </w:r>
      <w:r w:rsidR="000A61FA" w:rsidRPr="000665B0">
        <w:rPr>
          <w:noProof/>
        </w:rPr>
        <w:t>Missile Identification Code (</w:t>
      </w:r>
      <w:r w:rsidR="00BA4E2C" w:rsidRPr="000665B0">
        <w:rPr>
          <w:noProof/>
        </w:rPr>
        <w:t>miscode</w:t>
      </w:r>
      <w:r w:rsidR="000A61FA" w:rsidRPr="000665B0">
        <w:rPr>
          <w:noProof/>
        </w:rPr>
        <w:t xml:space="preserve">) is available, such as </w:t>
      </w:r>
      <w:r w:rsidR="00BA4E2C" w:rsidRPr="000665B0">
        <w:rPr>
          <w:noProof/>
        </w:rPr>
        <w:t xml:space="preserve">in </w:t>
      </w:r>
      <w:r w:rsidR="000A61FA" w:rsidRPr="000665B0">
        <w:rPr>
          <w:noProof/>
        </w:rPr>
        <w:t xml:space="preserve">the </w:t>
      </w:r>
      <w:r w:rsidR="000A61FA" w:rsidRPr="000665B0">
        <w:t>Missiles</w:t>
      </w:r>
      <w:r w:rsidR="00BA4E2C" w:rsidRPr="000665B0">
        <w:t xml:space="preserve"> tool</w:t>
      </w:r>
      <w:r w:rsidR="000A61FA" w:rsidRPr="000665B0">
        <w:t xml:space="preserve"> list view, </w:t>
      </w:r>
      <w:r w:rsidR="00BA4E2C" w:rsidRPr="000665B0">
        <w:t>m</w:t>
      </w:r>
      <w:r w:rsidR="000A61FA" w:rsidRPr="000665B0">
        <w:t xml:space="preserve">issile inventory graphical display, </w:t>
      </w:r>
      <w:r w:rsidR="000A61FA" w:rsidRPr="000665B0">
        <w:rPr>
          <w:b/>
          <w:i/>
        </w:rPr>
        <w:t>Missiles</w:t>
      </w:r>
      <w:r w:rsidR="000A61FA" w:rsidRPr="000665B0">
        <w:t xml:space="preserve"> tab of a strike option/package, manual PM3, SMD, and TSRT</w:t>
      </w:r>
      <w:r w:rsidR="00BA4E2C" w:rsidRPr="000665B0">
        <w:t>.</w:t>
      </w:r>
    </w:p>
    <w:p w14:paraId="0AFD82DC" w14:textId="35A7555A" w:rsidR="00E67108" w:rsidRPr="000665B0" w:rsidRDefault="00E67108" w:rsidP="009570CA">
      <w:pPr>
        <w:keepNext/>
        <w:keepLines/>
      </w:pPr>
      <w:r w:rsidRPr="000665B0">
        <w:lastRenderedPageBreak/>
        <w:t xml:space="preserve">The 4-character missile type is structured </w:t>
      </w:r>
      <w:r w:rsidR="00BD5ECD" w:rsidRPr="000665B0">
        <w:t xml:space="preserve">as &lt;Missile Type&gt;&lt;Warhead Type&gt;&lt;TSN Type&gt;&lt;GPS Type&gt; </w:t>
      </w:r>
      <w:r w:rsidRPr="000665B0">
        <w:t xml:space="preserve">per the table below: </w:t>
      </w:r>
    </w:p>
    <w:tbl>
      <w:tblPr>
        <w:tblW w:w="8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67"/>
        <w:gridCol w:w="6858"/>
      </w:tblGrid>
      <w:tr w:rsidR="00DD6742" w:rsidRPr="000665B0" w14:paraId="7278E073" w14:textId="77777777" w:rsidTr="008679CF">
        <w:trPr>
          <w:tblHeader/>
          <w:jc w:val="center"/>
        </w:trPr>
        <w:tc>
          <w:tcPr>
            <w:tcW w:w="1867" w:type="dxa"/>
            <w:shd w:val="clear" w:color="auto" w:fill="D9D9D9" w:themeFill="background1" w:themeFillShade="D9"/>
          </w:tcPr>
          <w:p w14:paraId="700B7473" w14:textId="2B333583" w:rsidR="00DD6742" w:rsidRPr="000665B0" w:rsidRDefault="00DD6742" w:rsidP="00FA6B73">
            <w:pPr>
              <w:keepNext/>
              <w:keepLines/>
              <w:spacing w:before="60" w:after="60"/>
              <w:jc w:val="center"/>
              <w:rPr>
                <w:rFonts w:ascii="Arial" w:hAnsi="Arial" w:cs="Arial"/>
                <w:b/>
                <w:sz w:val="22"/>
                <w:szCs w:val="22"/>
              </w:rPr>
            </w:pPr>
            <w:bookmarkStart w:id="2156" w:name="_Hlk63943993"/>
            <w:r w:rsidRPr="000665B0">
              <w:rPr>
                <w:rFonts w:ascii="Arial" w:hAnsi="Arial" w:cs="Arial"/>
                <w:b/>
                <w:sz w:val="22"/>
                <w:szCs w:val="22"/>
              </w:rPr>
              <w:t>Missile Type</w:t>
            </w:r>
          </w:p>
        </w:tc>
        <w:tc>
          <w:tcPr>
            <w:tcW w:w="6858" w:type="dxa"/>
            <w:shd w:val="clear" w:color="auto" w:fill="D9D9D9" w:themeFill="background1" w:themeFillShade="D9"/>
          </w:tcPr>
          <w:p w14:paraId="027F4190" w14:textId="390DCED7" w:rsidR="00DD6742" w:rsidRPr="000665B0" w:rsidRDefault="00DD6742" w:rsidP="00FA6B73">
            <w:pPr>
              <w:keepNext/>
              <w:keepLines/>
              <w:spacing w:before="60" w:after="60"/>
              <w:jc w:val="center"/>
              <w:rPr>
                <w:rFonts w:ascii="Arial" w:hAnsi="Arial" w:cs="Arial"/>
                <w:b/>
                <w:sz w:val="22"/>
                <w:szCs w:val="22"/>
              </w:rPr>
            </w:pPr>
            <w:r w:rsidRPr="000665B0">
              <w:rPr>
                <w:rFonts w:ascii="Arial" w:hAnsi="Arial" w:cs="Arial"/>
                <w:b/>
                <w:sz w:val="22"/>
                <w:szCs w:val="22"/>
              </w:rPr>
              <w:t>Description</w:t>
            </w:r>
          </w:p>
        </w:tc>
      </w:tr>
      <w:tr w:rsidR="00DD6742" w:rsidRPr="000665B0" w14:paraId="766E87BE" w14:textId="77777777" w:rsidTr="008679CF">
        <w:trPr>
          <w:jc w:val="center"/>
        </w:trPr>
        <w:tc>
          <w:tcPr>
            <w:tcW w:w="1867" w:type="dxa"/>
          </w:tcPr>
          <w:p w14:paraId="22479BFB" w14:textId="4F7B65A0" w:rsidR="00DD6742" w:rsidRPr="000665B0" w:rsidRDefault="00DD6742" w:rsidP="00FA6B73">
            <w:pPr>
              <w:keepNext/>
              <w:keepLines/>
              <w:spacing w:before="60" w:after="60"/>
              <w:jc w:val="center"/>
              <w:rPr>
                <w:rFonts w:ascii="Arial" w:hAnsi="Arial" w:cs="Arial"/>
                <w:sz w:val="20"/>
              </w:rPr>
            </w:pPr>
            <w:r w:rsidRPr="000665B0">
              <w:rPr>
                <w:rFonts w:ascii="Arial" w:hAnsi="Arial" w:cs="Arial"/>
                <w:sz w:val="20"/>
              </w:rPr>
              <w:t>S</w:t>
            </w:r>
          </w:p>
        </w:tc>
        <w:tc>
          <w:tcPr>
            <w:tcW w:w="6858" w:type="dxa"/>
          </w:tcPr>
          <w:p w14:paraId="3037BDEF" w14:textId="49E4FA16" w:rsidR="00DD6742" w:rsidRPr="000665B0" w:rsidRDefault="00DD6742" w:rsidP="00FA6B73">
            <w:pPr>
              <w:keepNext/>
              <w:keepLines/>
              <w:spacing w:before="60" w:after="60"/>
              <w:rPr>
                <w:rFonts w:ascii="Arial" w:hAnsi="Arial" w:cs="Arial"/>
                <w:sz w:val="20"/>
              </w:rPr>
            </w:pPr>
            <w:r w:rsidRPr="000665B0">
              <w:rPr>
                <w:rFonts w:ascii="Arial" w:hAnsi="Arial" w:cs="Arial"/>
                <w:sz w:val="20"/>
              </w:rPr>
              <w:t>Tactical R/UGM-109E with Seeker</w:t>
            </w:r>
          </w:p>
        </w:tc>
      </w:tr>
      <w:tr w:rsidR="00DD6742" w:rsidRPr="000665B0" w14:paraId="13F596B2" w14:textId="77777777" w:rsidTr="008679CF">
        <w:trPr>
          <w:jc w:val="center"/>
        </w:trPr>
        <w:tc>
          <w:tcPr>
            <w:tcW w:w="1867" w:type="dxa"/>
          </w:tcPr>
          <w:p w14:paraId="095A76BE" w14:textId="6BFF6244" w:rsidR="00DD6742" w:rsidRPr="000665B0" w:rsidRDefault="00DD6742" w:rsidP="00FA6B73">
            <w:pPr>
              <w:keepNext/>
              <w:keepLines/>
              <w:spacing w:before="60" w:after="60"/>
              <w:jc w:val="center"/>
              <w:rPr>
                <w:rFonts w:ascii="Arial" w:hAnsi="Arial" w:cs="Arial"/>
                <w:sz w:val="20"/>
              </w:rPr>
            </w:pPr>
            <w:r w:rsidRPr="000665B0">
              <w:rPr>
                <w:rFonts w:ascii="Arial" w:hAnsi="Arial" w:cs="Arial"/>
                <w:sz w:val="20"/>
              </w:rPr>
              <w:t>L</w:t>
            </w:r>
          </w:p>
        </w:tc>
        <w:tc>
          <w:tcPr>
            <w:tcW w:w="6858" w:type="dxa"/>
          </w:tcPr>
          <w:p w14:paraId="6E8A0E18" w14:textId="7C22DADC" w:rsidR="00DD6742" w:rsidRPr="000665B0" w:rsidRDefault="00DD6742" w:rsidP="00FA6B73">
            <w:pPr>
              <w:keepNext/>
              <w:keepLines/>
              <w:spacing w:before="60" w:after="60"/>
              <w:rPr>
                <w:rFonts w:ascii="Arial" w:hAnsi="Arial" w:cs="Arial"/>
                <w:sz w:val="20"/>
              </w:rPr>
            </w:pPr>
            <w:r w:rsidRPr="000665B0">
              <w:rPr>
                <w:rFonts w:ascii="Arial" w:hAnsi="Arial" w:cs="Arial"/>
                <w:sz w:val="20"/>
              </w:rPr>
              <w:t>Tactical R/UGM-109E</w:t>
            </w:r>
            <w:r w:rsidR="006B730C">
              <w:rPr>
                <w:rFonts w:ascii="Arial" w:hAnsi="Arial" w:cs="Arial"/>
                <w:sz w:val="20"/>
              </w:rPr>
              <w:t>/M</w:t>
            </w:r>
            <w:r w:rsidRPr="000665B0">
              <w:rPr>
                <w:rFonts w:ascii="Arial" w:hAnsi="Arial" w:cs="Arial"/>
                <w:sz w:val="20"/>
              </w:rPr>
              <w:t xml:space="preserve"> without Seeker</w:t>
            </w:r>
          </w:p>
        </w:tc>
      </w:tr>
      <w:tr w:rsidR="00DD6742" w:rsidRPr="000665B0" w14:paraId="0193953B" w14:textId="77777777" w:rsidTr="008679CF">
        <w:trPr>
          <w:jc w:val="center"/>
        </w:trPr>
        <w:tc>
          <w:tcPr>
            <w:tcW w:w="1867" w:type="dxa"/>
          </w:tcPr>
          <w:p w14:paraId="4FA2D96B" w14:textId="1A41276B" w:rsidR="00DD6742" w:rsidRPr="000665B0" w:rsidRDefault="00DD6742" w:rsidP="00FA6B73">
            <w:pPr>
              <w:keepNext/>
              <w:keepLines/>
              <w:spacing w:before="60" w:after="60"/>
              <w:jc w:val="center"/>
              <w:rPr>
                <w:rFonts w:ascii="Arial" w:hAnsi="Arial" w:cs="Arial"/>
                <w:sz w:val="20"/>
              </w:rPr>
            </w:pPr>
            <w:r w:rsidRPr="000665B0">
              <w:rPr>
                <w:rFonts w:ascii="Arial" w:hAnsi="Arial" w:cs="Arial"/>
                <w:sz w:val="20"/>
              </w:rPr>
              <w:t>X</w:t>
            </w:r>
          </w:p>
        </w:tc>
        <w:tc>
          <w:tcPr>
            <w:tcW w:w="6858" w:type="dxa"/>
          </w:tcPr>
          <w:p w14:paraId="357BC4E6" w14:textId="0B39726B" w:rsidR="00DD6742" w:rsidRPr="000665B0" w:rsidRDefault="00DD6742" w:rsidP="00FA6B73">
            <w:pPr>
              <w:keepNext/>
              <w:keepLines/>
              <w:spacing w:before="60" w:after="60"/>
              <w:rPr>
                <w:rFonts w:ascii="Arial" w:hAnsi="Arial" w:cs="Arial"/>
                <w:sz w:val="20"/>
              </w:rPr>
            </w:pPr>
            <w:r w:rsidRPr="000665B0">
              <w:rPr>
                <w:rFonts w:ascii="Arial" w:hAnsi="Arial" w:cs="Arial"/>
                <w:sz w:val="20"/>
              </w:rPr>
              <w:t>Exercise R/UGM-109E with Seeker</w:t>
            </w:r>
          </w:p>
        </w:tc>
      </w:tr>
      <w:tr w:rsidR="00DD6742" w:rsidRPr="000665B0" w14:paraId="1AD4CB04" w14:textId="77777777" w:rsidTr="008679CF">
        <w:trPr>
          <w:jc w:val="center"/>
        </w:trPr>
        <w:tc>
          <w:tcPr>
            <w:tcW w:w="1867" w:type="dxa"/>
          </w:tcPr>
          <w:p w14:paraId="15D0B009" w14:textId="7F3E3B6F" w:rsidR="00DD6742" w:rsidRPr="000665B0" w:rsidRDefault="00DD6742" w:rsidP="00FA6B73">
            <w:pPr>
              <w:keepNext/>
              <w:keepLines/>
              <w:spacing w:before="60" w:after="60"/>
              <w:jc w:val="center"/>
              <w:rPr>
                <w:rFonts w:ascii="Arial" w:hAnsi="Arial" w:cs="Arial"/>
                <w:sz w:val="20"/>
              </w:rPr>
            </w:pPr>
            <w:r w:rsidRPr="000665B0">
              <w:rPr>
                <w:rFonts w:ascii="Arial" w:hAnsi="Arial" w:cs="Arial"/>
                <w:sz w:val="20"/>
              </w:rPr>
              <w:t>Y</w:t>
            </w:r>
          </w:p>
        </w:tc>
        <w:tc>
          <w:tcPr>
            <w:tcW w:w="6858" w:type="dxa"/>
          </w:tcPr>
          <w:p w14:paraId="01FDF435" w14:textId="09C000F2" w:rsidR="00DD6742" w:rsidRPr="000665B0" w:rsidRDefault="00DD6742" w:rsidP="00FA6B73">
            <w:pPr>
              <w:keepNext/>
              <w:keepLines/>
              <w:spacing w:before="60" w:after="60"/>
              <w:rPr>
                <w:rFonts w:ascii="Arial" w:hAnsi="Arial" w:cs="Arial"/>
                <w:sz w:val="20"/>
              </w:rPr>
            </w:pPr>
            <w:r w:rsidRPr="000665B0">
              <w:rPr>
                <w:rFonts w:ascii="Arial" w:hAnsi="Arial" w:cs="Arial"/>
                <w:sz w:val="20"/>
              </w:rPr>
              <w:t>Exercise R/UGM-109E</w:t>
            </w:r>
            <w:r w:rsidR="006B730C">
              <w:rPr>
                <w:rFonts w:ascii="Arial" w:hAnsi="Arial" w:cs="Arial"/>
                <w:sz w:val="20"/>
              </w:rPr>
              <w:t>/M</w:t>
            </w:r>
            <w:r w:rsidRPr="000665B0">
              <w:rPr>
                <w:rFonts w:ascii="Arial" w:hAnsi="Arial" w:cs="Arial"/>
                <w:sz w:val="20"/>
              </w:rPr>
              <w:t xml:space="preserve"> without Seeker</w:t>
            </w:r>
          </w:p>
        </w:tc>
      </w:tr>
      <w:tr w:rsidR="00DD6742" w:rsidRPr="000665B0" w14:paraId="0AF45CBB" w14:textId="77777777" w:rsidTr="008679CF">
        <w:trPr>
          <w:jc w:val="center"/>
        </w:trPr>
        <w:tc>
          <w:tcPr>
            <w:tcW w:w="1867" w:type="dxa"/>
          </w:tcPr>
          <w:p w14:paraId="707D18D0" w14:textId="3B814138" w:rsidR="00DD6742" w:rsidRPr="000665B0" w:rsidRDefault="00DD6742" w:rsidP="00FA6B73">
            <w:pPr>
              <w:keepNext/>
              <w:keepLines/>
              <w:spacing w:before="60" w:after="60"/>
              <w:jc w:val="center"/>
              <w:rPr>
                <w:rFonts w:ascii="Arial" w:hAnsi="Arial" w:cs="Arial"/>
                <w:sz w:val="20"/>
              </w:rPr>
            </w:pPr>
            <w:r w:rsidRPr="000665B0">
              <w:rPr>
                <w:rFonts w:ascii="Arial" w:hAnsi="Arial" w:cs="Arial"/>
                <w:sz w:val="20"/>
              </w:rPr>
              <w:t>G</w:t>
            </w:r>
          </w:p>
        </w:tc>
        <w:tc>
          <w:tcPr>
            <w:tcW w:w="6858" w:type="dxa"/>
          </w:tcPr>
          <w:p w14:paraId="0A2DE4E4" w14:textId="3E4A424E" w:rsidR="00DD6742" w:rsidRPr="000665B0" w:rsidRDefault="00DD6742" w:rsidP="00FA6B73">
            <w:pPr>
              <w:keepNext/>
              <w:keepLines/>
              <w:spacing w:before="60" w:after="60"/>
              <w:rPr>
                <w:rFonts w:ascii="Arial" w:hAnsi="Arial" w:cs="Arial"/>
                <w:sz w:val="20"/>
              </w:rPr>
            </w:pPr>
            <w:r w:rsidRPr="000665B0">
              <w:rPr>
                <w:rFonts w:ascii="Arial" w:hAnsi="Arial" w:cs="Arial"/>
                <w:sz w:val="20"/>
              </w:rPr>
              <w:t>Simulated Tactical R/UGM-109E with Seeker</w:t>
            </w:r>
          </w:p>
        </w:tc>
      </w:tr>
      <w:tr w:rsidR="00DD6742" w:rsidRPr="000665B0" w14:paraId="7FDA324B" w14:textId="77777777" w:rsidTr="008679CF">
        <w:trPr>
          <w:jc w:val="center"/>
        </w:trPr>
        <w:tc>
          <w:tcPr>
            <w:tcW w:w="1867" w:type="dxa"/>
          </w:tcPr>
          <w:p w14:paraId="5B963BA9" w14:textId="11591A53" w:rsidR="00DD6742" w:rsidRPr="000665B0" w:rsidRDefault="00DD6742" w:rsidP="00FA6B73">
            <w:pPr>
              <w:keepNext/>
              <w:keepLines/>
              <w:spacing w:before="60" w:after="60"/>
              <w:jc w:val="center"/>
              <w:rPr>
                <w:rFonts w:ascii="Arial" w:hAnsi="Arial" w:cs="Arial"/>
                <w:sz w:val="20"/>
              </w:rPr>
            </w:pPr>
            <w:r w:rsidRPr="000665B0">
              <w:rPr>
                <w:rFonts w:ascii="Arial" w:hAnsi="Arial" w:cs="Arial"/>
                <w:sz w:val="20"/>
              </w:rPr>
              <w:t>B</w:t>
            </w:r>
          </w:p>
        </w:tc>
        <w:tc>
          <w:tcPr>
            <w:tcW w:w="6858" w:type="dxa"/>
          </w:tcPr>
          <w:p w14:paraId="2D7BB868" w14:textId="7B3B77AF" w:rsidR="00DD6742" w:rsidRPr="000665B0" w:rsidRDefault="00DD6742" w:rsidP="00FA6B73">
            <w:pPr>
              <w:keepNext/>
              <w:keepLines/>
              <w:spacing w:before="60" w:after="60"/>
              <w:rPr>
                <w:rFonts w:ascii="Arial" w:hAnsi="Arial" w:cs="Arial"/>
                <w:sz w:val="20"/>
              </w:rPr>
            </w:pPr>
            <w:r w:rsidRPr="000665B0">
              <w:rPr>
                <w:rFonts w:ascii="Arial" w:hAnsi="Arial" w:cs="Arial"/>
                <w:sz w:val="20"/>
              </w:rPr>
              <w:t>Simulated Tactical R/UGM-109E without Seeker</w:t>
            </w:r>
          </w:p>
        </w:tc>
      </w:tr>
      <w:tr w:rsidR="00DD6742" w:rsidRPr="000665B0" w14:paraId="42F3B5A3" w14:textId="77777777" w:rsidTr="008679CF">
        <w:trPr>
          <w:jc w:val="center"/>
        </w:trPr>
        <w:tc>
          <w:tcPr>
            <w:tcW w:w="1867" w:type="dxa"/>
          </w:tcPr>
          <w:p w14:paraId="70C86E44" w14:textId="3AF8F8CC" w:rsidR="00DD6742" w:rsidRPr="000665B0" w:rsidRDefault="00DD6742" w:rsidP="00FA6B73">
            <w:pPr>
              <w:keepNext/>
              <w:keepLines/>
              <w:spacing w:before="60" w:after="60"/>
              <w:jc w:val="center"/>
              <w:rPr>
                <w:rFonts w:ascii="Arial" w:hAnsi="Arial" w:cs="Arial"/>
                <w:sz w:val="20"/>
              </w:rPr>
            </w:pPr>
            <w:r w:rsidRPr="000665B0">
              <w:rPr>
                <w:rFonts w:ascii="Arial" w:hAnsi="Arial" w:cs="Arial"/>
                <w:sz w:val="20"/>
              </w:rPr>
              <w:t>R</w:t>
            </w:r>
          </w:p>
        </w:tc>
        <w:tc>
          <w:tcPr>
            <w:tcW w:w="6858" w:type="dxa"/>
          </w:tcPr>
          <w:p w14:paraId="543B0CD4" w14:textId="119F651D" w:rsidR="00DD6742" w:rsidRPr="000665B0" w:rsidRDefault="00DD6742" w:rsidP="00FA6B73">
            <w:pPr>
              <w:keepNext/>
              <w:keepLines/>
              <w:spacing w:before="60" w:after="60"/>
              <w:rPr>
                <w:rFonts w:ascii="Arial" w:hAnsi="Arial" w:cs="Arial"/>
                <w:sz w:val="20"/>
              </w:rPr>
            </w:pPr>
            <w:r w:rsidRPr="000665B0">
              <w:rPr>
                <w:rFonts w:ascii="Arial" w:hAnsi="Arial" w:cs="Arial"/>
                <w:sz w:val="20"/>
              </w:rPr>
              <w:t>Simulated Exercise R/UGM-109E with Seeker</w:t>
            </w:r>
          </w:p>
        </w:tc>
      </w:tr>
      <w:tr w:rsidR="00DD6742" w:rsidRPr="000665B0" w14:paraId="70C2A02D" w14:textId="77777777" w:rsidTr="008679CF">
        <w:trPr>
          <w:jc w:val="center"/>
        </w:trPr>
        <w:tc>
          <w:tcPr>
            <w:tcW w:w="1867" w:type="dxa"/>
          </w:tcPr>
          <w:p w14:paraId="1A8C117F" w14:textId="59980CE9" w:rsidR="00DD6742" w:rsidRPr="000665B0" w:rsidRDefault="00DD6742" w:rsidP="00FA6B73">
            <w:pPr>
              <w:keepNext/>
              <w:keepLines/>
              <w:spacing w:before="60" w:after="60"/>
              <w:jc w:val="center"/>
              <w:rPr>
                <w:rFonts w:ascii="Arial" w:hAnsi="Arial" w:cs="Arial"/>
                <w:sz w:val="20"/>
              </w:rPr>
            </w:pPr>
            <w:r w:rsidRPr="000665B0">
              <w:rPr>
                <w:rFonts w:ascii="Arial" w:hAnsi="Arial" w:cs="Arial"/>
                <w:sz w:val="20"/>
              </w:rPr>
              <w:t>F</w:t>
            </w:r>
          </w:p>
        </w:tc>
        <w:tc>
          <w:tcPr>
            <w:tcW w:w="6858" w:type="dxa"/>
          </w:tcPr>
          <w:p w14:paraId="0A880277" w14:textId="23D9D82A" w:rsidR="00DD6742" w:rsidRPr="000665B0" w:rsidRDefault="00DD6742" w:rsidP="00FA6B73">
            <w:pPr>
              <w:keepNext/>
              <w:keepLines/>
              <w:spacing w:before="60" w:after="60"/>
              <w:rPr>
                <w:rFonts w:ascii="Arial" w:hAnsi="Arial" w:cs="Arial"/>
                <w:sz w:val="20"/>
              </w:rPr>
            </w:pPr>
            <w:r w:rsidRPr="000665B0">
              <w:rPr>
                <w:rFonts w:ascii="Arial" w:hAnsi="Arial" w:cs="Arial"/>
                <w:sz w:val="20"/>
              </w:rPr>
              <w:t>Simulated Exercise R/UGM-109E without Seeker</w:t>
            </w:r>
          </w:p>
        </w:tc>
      </w:tr>
      <w:tr w:rsidR="00DD6742" w:rsidRPr="000665B0" w14:paraId="01087008" w14:textId="77777777" w:rsidTr="008679CF">
        <w:trPr>
          <w:tblHeader/>
          <w:jc w:val="center"/>
        </w:trPr>
        <w:tc>
          <w:tcPr>
            <w:tcW w:w="1867" w:type="dxa"/>
            <w:shd w:val="clear" w:color="auto" w:fill="D9D9D9" w:themeFill="background1" w:themeFillShade="D9"/>
          </w:tcPr>
          <w:p w14:paraId="731D3682" w14:textId="6C2C030A" w:rsidR="00DD6742" w:rsidRPr="000665B0" w:rsidRDefault="00DD6742" w:rsidP="00FA6B73">
            <w:pPr>
              <w:keepNext/>
              <w:keepLines/>
              <w:spacing w:before="60" w:after="60"/>
              <w:jc w:val="center"/>
              <w:rPr>
                <w:rFonts w:ascii="Arial" w:hAnsi="Arial" w:cs="Arial"/>
                <w:b/>
                <w:sz w:val="22"/>
                <w:szCs w:val="22"/>
              </w:rPr>
            </w:pPr>
            <w:r w:rsidRPr="000665B0">
              <w:rPr>
                <w:rFonts w:ascii="Arial" w:hAnsi="Arial" w:cs="Arial"/>
                <w:b/>
                <w:sz w:val="22"/>
                <w:szCs w:val="22"/>
              </w:rPr>
              <w:t>Warhead Type</w:t>
            </w:r>
          </w:p>
        </w:tc>
        <w:tc>
          <w:tcPr>
            <w:tcW w:w="6858" w:type="dxa"/>
            <w:shd w:val="clear" w:color="auto" w:fill="D9D9D9" w:themeFill="background1" w:themeFillShade="D9"/>
          </w:tcPr>
          <w:p w14:paraId="42C0FF21" w14:textId="77777777" w:rsidR="00DD6742" w:rsidRPr="000665B0" w:rsidRDefault="00DD6742" w:rsidP="00FA6B73">
            <w:pPr>
              <w:keepNext/>
              <w:keepLines/>
              <w:spacing w:before="60" w:after="60"/>
              <w:jc w:val="center"/>
              <w:rPr>
                <w:rFonts w:ascii="Arial" w:hAnsi="Arial" w:cs="Arial"/>
                <w:b/>
                <w:sz w:val="22"/>
                <w:szCs w:val="22"/>
              </w:rPr>
            </w:pPr>
            <w:r w:rsidRPr="000665B0">
              <w:rPr>
                <w:rFonts w:ascii="Arial" w:hAnsi="Arial" w:cs="Arial"/>
                <w:b/>
                <w:sz w:val="22"/>
                <w:szCs w:val="22"/>
              </w:rPr>
              <w:t>Description</w:t>
            </w:r>
          </w:p>
        </w:tc>
      </w:tr>
      <w:tr w:rsidR="00DD6742" w:rsidRPr="000665B0" w14:paraId="17FAFA9B" w14:textId="77777777" w:rsidTr="008679CF">
        <w:trPr>
          <w:cantSplit/>
          <w:jc w:val="center"/>
        </w:trPr>
        <w:tc>
          <w:tcPr>
            <w:tcW w:w="1867" w:type="dxa"/>
          </w:tcPr>
          <w:p w14:paraId="140971BE" w14:textId="43498AFE" w:rsidR="00DD6742" w:rsidRPr="000665B0" w:rsidRDefault="00DD6742" w:rsidP="00FA6B73">
            <w:pPr>
              <w:keepNext/>
              <w:keepLines/>
              <w:spacing w:before="60" w:after="60"/>
              <w:jc w:val="center"/>
              <w:rPr>
                <w:rFonts w:ascii="Arial" w:hAnsi="Arial" w:cs="Arial"/>
                <w:sz w:val="20"/>
              </w:rPr>
            </w:pPr>
            <w:r w:rsidRPr="000665B0">
              <w:rPr>
                <w:rFonts w:ascii="Arial" w:hAnsi="Arial" w:cs="Arial"/>
                <w:sz w:val="20"/>
              </w:rPr>
              <w:t>U</w:t>
            </w:r>
          </w:p>
        </w:tc>
        <w:tc>
          <w:tcPr>
            <w:tcW w:w="6858" w:type="dxa"/>
          </w:tcPr>
          <w:p w14:paraId="495D365A" w14:textId="7766182C" w:rsidR="00DD6742" w:rsidRPr="000665B0" w:rsidRDefault="00DD6742" w:rsidP="00FA6B73">
            <w:pPr>
              <w:keepNext/>
              <w:keepLines/>
              <w:spacing w:before="60" w:after="60"/>
              <w:rPr>
                <w:rFonts w:ascii="Arial" w:hAnsi="Arial" w:cs="Arial"/>
                <w:sz w:val="20"/>
              </w:rPr>
            </w:pPr>
            <w:r w:rsidRPr="000665B0">
              <w:rPr>
                <w:rFonts w:ascii="Arial" w:hAnsi="Arial" w:cs="Arial"/>
                <w:sz w:val="20"/>
              </w:rPr>
              <w:t>Unitary</w:t>
            </w:r>
          </w:p>
        </w:tc>
      </w:tr>
      <w:tr w:rsidR="00DD6742" w:rsidRPr="000665B0" w14:paraId="2C4EA81E" w14:textId="77777777" w:rsidTr="008679CF">
        <w:trPr>
          <w:jc w:val="center"/>
        </w:trPr>
        <w:tc>
          <w:tcPr>
            <w:tcW w:w="1867" w:type="dxa"/>
          </w:tcPr>
          <w:p w14:paraId="22741272" w14:textId="60D1111D" w:rsidR="00DD6742" w:rsidRPr="000665B0" w:rsidRDefault="00DD6742" w:rsidP="00FA6B73">
            <w:pPr>
              <w:keepNext/>
              <w:keepLines/>
              <w:spacing w:before="60" w:after="60"/>
              <w:jc w:val="center"/>
              <w:rPr>
                <w:rFonts w:ascii="Arial" w:hAnsi="Arial" w:cs="Arial"/>
                <w:sz w:val="20"/>
              </w:rPr>
            </w:pPr>
            <w:r w:rsidRPr="000665B0">
              <w:rPr>
                <w:rFonts w:ascii="Arial" w:hAnsi="Arial" w:cs="Arial"/>
                <w:sz w:val="20"/>
              </w:rPr>
              <w:t>J</w:t>
            </w:r>
          </w:p>
        </w:tc>
        <w:tc>
          <w:tcPr>
            <w:tcW w:w="6858" w:type="dxa"/>
          </w:tcPr>
          <w:p w14:paraId="59F4702F" w14:textId="0D11B9AD" w:rsidR="00DD6742" w:rsidRPr="000665B0" w:rsidRDefault="00DD6742" w:rsidP="00FA6B73">
            <w:pPr>
              <w:keepNext/>
              <w:keepLines/>
              <w:spacing w:before="60" w:after="60"/>
              <w:rPr>
                <w:rFonts w:ascii="Arial" w:hAnsi="Arial" w:cs="Arial"/>
                <w:sz w:val="20"/>
              </w:rPr>
            </w:pPr>
            <w:r w:rsidRPr="000665B0">
              <w:rPr>
                <w:rFonts w:ascii="Arial" w:hAnsi="Arial" w:cs="Arial"/>
                <w:sz w:val="20"/>
              </w:rPr>
              <w:t>JMEWS</w:t>
            </w:r>
          </w:p>
        </w:tc>
      </w:tr>
      <w:tr w:rsidR="00DD6742" w:rsidRPr="000665B0" w14:paraId="3F54A7C1" w14:textId="77777777" w:rsidTr="008679CF">
        <w:trPr>
          <w:cantSplit/>
          <w:jc w:val="center"/>
        </w:trPr>
        <w:tc>
          <w:tcPr>
            <w:tcW w:w="1867" w:type="dxa"/>
          </w:tcPr>
          <w:p w14:paraId="60945280" w14:textId="14607751" w:rsidR="00DD6742" w:rsidRPr="000665B0" w:rsidRDefault="00DD6742" w:rsidP="00FA6B73">
            <w:pPr>
              <w:keepNext/>
              <w:keepLines/>
              <w:spacing w:before="60" w:after="60"/>
              <w:jc w:val="center"/>
              <w:rPr>
                <w:rFonts w:ascii="Arial" w:hAnsi="Arial" w:cs="Arial"/>
                <w:sz w:val="20"/>
              </w:rPr>
            </w:pPr>
            <w:r w:rsidRPr="000665B0">
              <w:rPr>
                <w:rFonts w:ascii="Arial" w:hAnsi="Arial" w:cs="Arial"/>
                <w:sz w:val="20"/>
              </w:rPr>
              <w:t>I</w:t>
            </w:r>
          </w:p>
        </w:tc>
        <w:tc>
          <w:tcPr>
            <w:tcW w:w="6858" w:type="dxa"/>
          </w:tcPr>
          <w:p w14:paraId="352DDCE8" w14:textId="260A0024" w:rsidR="00DD6742" w:rsidRPr="000665B0" w:rsidRDefault="00DD6742" w:rsidP="00FA6B73">
            <w:pPr>
              <w:keepNext/>
              <w:keepLines/>
              <w:spacing w:before="60" w:after="60"/>
              <w:rPr>
                <w:rFonts w:ascii="Arial" w:hAnsi="Arial" w:cs="Arial"/>
                <w:sz w:val="20"/>
              </w:rPr>
            </w:pPr>
            <w:r w:rsidRPr="000665B0">
              <w:rPr>
                <w:rFonts w:ascii="Arial" w:hAnsi="Arial" w:cs="Arial"/>
                <w:sz w:val="20"/>
              </w:rPr>
              <w:t>Inert</w:t>
            </w:r>
          </w:p>
        </w:tc>
      </w:tr>
      <w:tr w:rsidR="00DD6742" w:rsidRPr="000665B0" w14:paraId="287A617F" w14:textId="77777777" w:rsidTr="008679CF">
        <w:trPr>
          <w:tblHeader/>
          <w:jc w:val="center"/>
        </w:trPr>
        <w:tc>
          <w:tcPr>
            <w:tcW w:w="1867" w:type="dxa"/>
            <w:shd w:val="clear" w:color="auto" w:fill="D9D9D9" w:themeFill="background1" w:themeFillShade="D9"/>
          </w:tcPr>
          <w:p w14:paraId="7298DE3B" w14:textId="57EE31CD" w:rsidR="00DD6742" w:rsidRPr="000665B0" w:rsidRDefault="00DD6742" w:rsidP="00FA6B73">
            <w:pPr>
              <w:keepNext/>
              <w:keepLines/>
              <w:spacing w:before="60" w:after="60"/>
              <w:jc w:val="center"/>
              <w:rPr>
                <w:rFonts w:ascii="Arial" w:hAnsi="Arial" w:cs="Arial"/>
                <w:b/>
                <w:sz w:val="22"/>
                <w:szCs w:val="22"/>
              </w:rPr>
            </w:pPr>
            <w:r w:rsidRPr="000665B0">
              <w:rPr>
                <w:rFonts w:ascii="Arial" w:hAnsi="Arial" w:cs="Arial"/>
                <w:b/>
                <w:sz w:val="22"/>
                <w:szCs w:val="22"/>
              </w:rPr>
              <w:t>TSN Type</w:t>
            </w:r>
          </w:p>
        </w:tc>
        <w:tc>
          <w:tcPr>
            <w:tcW w:w="6858" w:type="dxa"/>
            <w:shd w:val="clear" w:color="auto" w:fill="D9D9D9" w:themeFill="background1" w:themeFillShade="D9"/>
          </w:tcPr>
          <w:p w14:paraId="6D928161" w14:textId="77777777" w:rsidR="00DD6742" w:rsidRPr="000665B0" w:rsidRDefault="00DD6742" w:rsidP="00FA6B73">
            <w:pPr>
              <w:keepNext/>
              <w:keepLines/>
              <w:spacing w:before="60" w:after="60"/>
              <w:jc w:val="center"/>
              <w:rPr>
                <w:rFonts w:ascii="Arial" w:hAnsi="Arial" w:cs="Arial"/>
                <w:b/>
                <w:sz w:val="22"/>
                <w:szCs w:val="22"/>
              </w:rPr>
            </w:pPr>
            <w:r w:rsidRPr="000665B0">
              <w:rPr>
                <w:rFonts w:ascii="Arial" w:hAnsi="Arial" w:cs="Arial"/>
                <w:b/>
                <w:sz w:val="22"/>
                <w:szCs w:val="22"/>
              </w:rPr>
              <w:t>Description</w:t>
            </w:r>
          </w:p>
        </w:tc>
      </w:tr>
      <w:tr w:rsidR="00E30709" w:rsidRPr="000665B0" w14:paraId="705699EF" w14:textId="77777777" w:rsidTr="008679CF">
        <w:trPr>
          <w:cantSplit/>
          <w:jc w:val="center"/>
        </w:trPr>
        <w:tc>
          <w:tcPr>
            <w:tcW w:w="1867" w:type="dxa"/>
          </w:tcPr>
          <w:p w14:paraId="7F5DF277" w14:textId="012230D6" w:rsidR="00E30709" w:rsidRPr="000665B0" w:rsidRDefault="00E30709" w:rsidP="00FA6B73">
            <w:pPr>
              <w:keepNext/>
              <w:keepLines/>
              <w:spacing w:before="60" w:after="60"/>
              <w:jc w:val="center"/>
              <w:rPr>
                <w:rFonts w:ascii="Arial" w:hAnsi="Arial" w:cs="Arial"/>
                <w:sz w:val="20"/>
              </w:rPr>
            </w:pPr>
            <w:r w:rsidRPr="000665B0">
              <w:rPr>
                <w:rFonts w:ascii="Arial" w:hAnsi="Arial" w:cs="Arial"/>
                <w:sz w:val="20"/>
              </w:rPr>
              <w:t>A</w:t>
            </w:r>
          </w:p>
        </w:tc>
        <w:tc>
          <w:tcPr>
            <w:tcW w:w="6858" w:type="dxa"/>
          </w:tcPr>
          <w:p w14:paraId="522BAB47" w14:textId="17B81FCB" w:rsidR="00E30709" w:rsidRPr="000665B0" w:rsidRDefault="00E30709" w:rsidP="00FA6B73">
            <w:pPr>
              <w:keepNext/>
              <w:keepLines/>
              <w:spacing w:before="60" w:after="60"/>
              <w:rPr>
                <w:rFonts w:ascii="Arial" w:hAnsi="Arial" w:cs="Arial"/>
                <w:sz w:val="20"/>
              </w:rPr>
            </w:pPr>
            <w:r w:rsidRPr="000665B0">
              <w:rPr>
                <w:rFonts w:ascii="Arial" w:hAnsi="Arial" w:cs="Arial"/>
                <w:sz w:val="20"/>
              </w:rPr>
              <w:t>ACA</w:t>
            </w:r>
          </w:p>
        </w:tc>
      </w:tr>
      <w:tr w:rsidR="00E30709" w:rsidRPr="000665B0" w14:paraId="454D9547" w14:textId="77777777" w:rsidTr="008679CF">
        <w:trPr>
          <w:jc w:val="center"/>
        </w:trPr>
        <w:tc>
          <w:tcPr>
            <w:tcW w:w="1867" w:type="dxa"/>
          </w:tcPr>
          <w:p w14:paraId="2DB46D5B" w14:textId="0EDE6C9E" w:rsidR="00E30709" w:rsidRPr="000665B0" w:rsidRDefault="00E30709" w:rsidP="00FA6B73">
            <w:pPr>
              <w:keepNext/>
              <w:keepLines/>
              <w:spacing w:before="60" w:after="60"/>
              <w:jc w:val="center"/>
              <w:rPr>
                <w:rFonts w:ascii="Arial" w:hAnsi="Arial" w:cs="Arial"/>
                <w:sz w:val="20"/>
              </w:rPr>
            </w:pPr>
            <w:r w:rsidRPr="000665B0">
              <w:rPr>
                <w:rFonts w:ascii="Arial" w:hAnsi="Arial" w:cs="Arial"/>
                <w:sz w:val="20"/>
              </w:rPr>
              <w:t>D</w:t>
            </w:r>
          </w:p>
        </w:tc>
        <w:tc>
          <w:tcPr>
            <w:tcW w:w="6858" w:type="dxa"/>
          </w:tcPr>
          <w:p w14:paraId="7DD41884" w14:textId="55A92C19" w:rsidR="00E30709" w:rsidRPr="000665B0" w:rsidRDefault="00E30709" w:rsidP="00FA6B73">
            <w:pPr>
              <w:keepNext/>
              <w:keepLines/>
              <w:spacing w:before="60" w:after="60"/>
              <w:rPr>
                <w:rFonts w:ascii="Arial" w:hAnsi="Arial" w:cs="Arial"/>
                <w:sz w:val="20"/>
              </w:rPr>
            </w:pPr>
            <w:r w:rsidRPr="000665B0">
              <w:rPr>
                <w:rFonts w:ascii="Arial" w:hAnsi="Arial" w:cs="Arial"/>
                <w:sz w:val="20"/>
              </w:rPr>
              <w:t>5kHz UHF DAMA</w:t>
            </w:r>
          </w:p>
        </w:tc>
      </w:tr>
      <w:tr w:rsidR="00E30709" w:rsidRPr="000665B0" w14:paraId="5FFB3567" w14:textId="77777777" w:rsidTr="008679CF">
        <w:trPr>
          <w:tblHeader/>
          <w:jc w:val="center"/>
        </w:trPr>
        <w:tc>
          <w:tcPr>
            <w:tcW w:w="1867" w:type="dxa"/>
            <w:shd w:val="clear" w:color="auto" w:fill="D9D9D9" w:themeFill="background1" w:themeFillShade="D9"/>
          </w:tcPr>
          <w:p w14:paraId="6C48C53A" w14:textId="7C632D2C" w:rsidR="00E30709" w:rsidRPr="000665B0" w:rsidRDefault="00E30709" w:rsidP="00FA6B73">
            <w:pPr>
              <w:keepNext/>
              <w:keepLines/>
              <w:spacing w:before="60" w:after="60"/>
              <w:jc w:val="center"/>
              <w:rPr>
                <w:rFonts w:ascii="Arial" w:hAnsi="Arial" w:cs="Arial"/>
                <w:b/>
                <w:sz w:val="22"/>
                <w:szCs w:val="22"/>
              </w:rPr>
            </w:pPr>
            <w:r w:rsidRPr="000665B0">
              <w:rPr>
                <w:rFonts w:ascii="Arial" w:hAnsi="Arial" w:cs="Arial"/>
                <w:b/>
                <w:sz w:val="22"/>
                <w:szCs w:val="22"/>
              </w:rPr>
              <w:t>GPS Type</w:t>
            </w:r>
          </w:p>
        </w:tc>
        <w:tc>
          <w:tcPr>
            <w:tcW w:w="6858" w:type="dxa"/>
            <w:shd w:val="clear" w:color="auto" w:fill="D9D9D9" w:themeFill="background1" w:themeFillShade="D9"/>
          </w:tcPr>
          <w:p w14:paraId="3EC328A6" w14:textId="77777777" w:rsidR="00E30709" w:rsidRPr="000665B0" w:rsidRDefault="00E30709" w:rsidP="00FA6B73">
            <w:pPr>
              <w:keepNext/>
              <w:keepLines/>
              <w:spacing w:before="60" w:after="60"/>
              <w:jc w:val="center"/>
              <w:rPr>
                <w:rFonts w:ascii="Arial" w:hAnsi="Arial" w:cs="Arial"/>
                <w:b/>
                <w:sz w:val="22"/>
                <w:szCs w:val="22"/>
              </w:rPr>
            </w:pPr>
            <w:r w:rsidRPr="000665B0">
              <w:rPr>
                <w:rFonts w:ascii="Arial" w:hAnsi="Arial" w:cs="Arial"/>
                <w:b/>
                <w:sz w:val="22"/>
                <w:szCs w:val="22"/>
              </w:rPr>
              <w:t>Description</w:t>
            </w:r>
          </w:p>
        </w:tc>
      </w:tr>
      <w:tr w:rsidR="00E30709" w:rsidRPr="000665B0" w14:paraId="65F42769" w14:textId="77777777" w:rsidTr="008679CF">
        <w:trPr>
          <w:jc w:val="center"/>
        </w:trPr>
        <w:tc>
          <w:tcPr>
            <w:tcW w:w="1867" w:type="dxa"/>
          </w:tcPr>
          <w:p w14:paraId="4C6498DD" w14:textId="4B063C4E" w:rsidR="00E30709" w:rsidRPr="000665B0" w:rsidRDefault="00E30709" w:rsidP="00FA6B73">
            <w:pPr>
              <w:keepNext/>
              <w:keepLines/>
              <w:spacing w:before="60" w:after="60"/>
              <w:jc w:val="center"/>
              <w:rPr>
                <w:rFonts w:ascii="Arial" w:hAnsi="Arial" w:cs="Arial"/>
                <w:sz w:val="20"/>
              </w:rPr>
            </w:pPr>
            <w:r w:rsidRPr="000665B0">
              <w:rPr>
                <w:rFonts w:ascii="Arial" w:hAnsi="Arial" w:cs="Arial"/>
                <w:sz w:val="20"/>
              </w:rPr>
              <w:t>3</w:t>
            </w:r>
          </w:p>
        </w:tc>
        <w:tc>
          <w:tcPr>
            <w:tcW w:w="6858" w:type="dxa"/>
          </w:tcPr>
          <w:p w14:paraId="4A49287B" w14:textId="6059CF1C" w:rsidR="00E30709" w:rsidRPr="000665B0" w:rsidRDefault="00E30709" w:rsidP="00FA6B73">
            <w:pPr>
              <w:keepNext/>
              <w:keepLines/>
              <w:spacing w:before="60" w:after="60"/>
              <w:rPr>
                <w:rFonts w:ascii="Arial" w:hAnsi="Arial" w:cs="Arial"/>
                <w:sz w:val="20"/>
              </w:rPr>
            </w:pPr>
            <w:r w:rsidRPr="000665B0">
              <w:rPr>
                <w:rFonts w:ascii="Arial" w:hAnsi="Arial" w:cs="Arial"/>
                <w:sz w:val="20"/>
              </w:rPr>
              <w:t>AGR-3</w:t>
            </w:r>
          </w:p>
        </w:tc>
      </w:tr>
      <w:tr w:rsidR="00E30709" w:rsidRPr="000665B0" w14:paraId="01A3A1FB" w14:textId="77777777" w:rsidTr="008679CF">
        <w:trPr>
          <w:jc w:val="center"/>
        </w:trPr>
        <w:tc>
          <w:tcPr>
            <w:tcW w:w="1867" w:type="dxa"/>
          </w:tcPr>
          <w:p w14:paraId="6298D477" w14:textId="5F2BF2F0" w:rsidR="00E30709" w:rsidRPr="000665B0" w:rsidRDefault="00E30709" w:rsidP="00FA6B73">
            <w:pPr>
              <w:keepNext/>
              <w:keepLines/>
              <w:spacing w:before="60" w:after="60"/>
              <w:jc w:val="center"/>
              <w:rPr>
                <w:rFonts w:ascii="Arial" w:hAnsi="Arial" w:cs="Arial"/>
                <w:sz w:val="20"/>
              </w:rPr>
            </w:pPr>
            <w:r w:rsidRPr="000665B0">
              <w:rPr>
                <w:rFonts w:ascii="Arial" w:hAnsi="Arial" w:cs="Arial"/>
                <w:sz w:val="20"/>
              </w:rPr>
              <w:t>4</w:t>
            </w:r>
          </w:p>
        </w:tc>
        <w:tc>
          <w:tcPr>
            <w:tcW w:w="6858" w:type="dxa"/>
          </w:tcPr>
          <w:p w14:paraId="1C1BB399" w14:textId="77FA1F2C" w:rsidR="00E30709" w:rsidRPr="000665B0" w:rsidRDefault="00E30709" w:rsidP="00FA6B73">
            <w:pPr>
              <w:keepNext/>
              <w:keepLines/>
              <w:spacing w:before="60" w:after="60"/>
              <w:rPr>
                <w:rFonts w:ascii="Arial" w:hAnsi="Arial" w:cs="Arial"/>
                <w:sz w:val="20"/>
              </w:rPr>
            </w:pPr>
            <w:r w:rsidRPr="000665B0">
              <w:rPr>
                <w:rFonts w:ascii="Arial" w:hAnsi="Arial" w:cs="Arial"/>
                <w:sz w:val="20"/>
              </w:rPr>
              <w:t>AGR-4</w:t>
            </w:r>
          </w:p>
        </w:tc>
      </w:tr>
      <w:tr w:rsidR="00E30709" w:rsidRPr="000665B0" w14:paraId="6DF9817C" w14:textId="77777777" w:rsidTr="008679CF">
        <w:trPr>
          <w:jc w:val="center"/>
        </w:trPr>
        <w:tc>
          <w:tcPr>
            <w:tcW w:w="1867" w:type="dxa"/>
          </w:tcPr>
          <w:p w14:paraId="7D89C903" w14:textId="5591E2FF" w:rsidR="00E30709" w:rsidRPr="000665B0" w:rsidRDefault="00E30709" w:rsidP="00FA6B73">
            <w:pPr>
              <w:keepNext/>
              <w:keepLines/>
              <w:spacing w:before="60" w:after="60"/>
              <w:jc w:val="center"/>
              <w:rPr>
                <w:rFonts w:ascii="Arial" w:hAnsi="Arial" w:cs="Arial"/>
                <w:sz w:val="20"/>
              </w:rPr>
            </w:pPr>
            <w:r w:rsidRPr="000665B0">
              <w:rPr>
                <w:rFonts w:ascii="Arial" w:hAnsi="Arial" w:cs="Arial"/>
                <w:sz w:val="20"/>
              </w:rPr>
              <w:t>5</w:t>
            </w:r>
          </w:p>
        </w:tc>
        <w:tc>
          <w:tcPr>
            <w:tcW w:w="6858" w:type="dxa"/>
          </w:tcPr>
          <w:p w14:paraId="29F16616" w14:textId="1336B312" w:rsidR="00E30709" w:rsidRPr="000665B0" w:rsidRDefault="00E30709" w:rsidP="00FA6B73">
            <w:pPr>
              <w:keepNext/>
              <w:keepLines/>
              <w:spacing w:before="60" w:after="60"/>
              <w:rPr>
                <w:rFonts w:ascii="Arial" w:hAnsi="Arial" w:cs="Arial"/>
                <w:sz w:val="20"/>
              </w:rPr>
            </w:pPr>
            <w:r w:rsidRPr="000665B0">
              <w:rPr>
                <w:rFonts w:ascii="Arial" w:hAnsi="Arial" w:cs="Arial"/>
                <w:sz w:val="20"/>
              </w:rPr>
              <w:t>AGR-5</w:t>
            </w:r>
          </w:p>
        </w:tc>
      </w:tr>
      <w:tr w:rsidR="008679CF" w:rsidRPr="000665B0" w14:paraId="7996791D" w14:textId="77777777" w:rsidTr="008679CF">
        <w:trPr>
          <w:jc w:val="center"/>
        </w:trPr>
        <w:tc>
          <w:tcPr>
            <w:tcW w:w="8725" w:type="dxa"/>
            <w:gridSpan w:val="2"/>
          </w:tcPr>
          <w:p w14:paraId="76582FB1" w14:textId="2BBDD4DF" w:rsidR="008679CF" w:rsidRPr="000665B0" w:rsidRDefault="008679CF" w:rsidP="00A0163E">
            <w:pPr>
              <w:spacing w:before="60" w:after="60"/>
              <w:rPr>
                <w:rFonts w:ascii="Arial" w:hAnsi="Arial" w:cs="Arial"/>
                <w:sz w:val="20"/>
              </w:rPr>
            </w:pPr>
            <w:r w:rsidRPr="000665B0">
              <w:rPr>
                <w:rFonts w:ascii="Arial" w:eastAsia="Tahoma" w:hAnsi="Arial" w:cs="Arial"/>
                <w:kern w:val="24"/>
                <w:sz w:val="20"/>
              </w:rPr>
              <w:t>Examples:</w:t>
            </w:r>
          </w:p>
          <w:p w14:paraId="69DD433C" w14:textId="60B7AC55" w:rsidR="008679CF" w:rsidRPr="000665B0" w:rsidRDefault="008679CF" w:rsidP="006D5A65">
            <w:pPr>
              <w:pStyle w:val="Heading1"/>
            </w:pPr>
            <w:r w:rsidRPr="000665B0">
              <w:t>LUD</w:t>
            </w:r>
            <w:r w:rsidR="00623772" w:rsidRPr="000665B0">
              <w:t>4</w:t>
            </w:r>
            <w:r w:rsidRPr="000665B0">
              <w:t xml:space="preserve"> – Tactical R/UGM-109E/M without Seeker, unitary warhead, </w:t>
            </w:r>
            <w:r w:rsidR="00623772" w:rsidRPr="000665B0">
              <w:t xml:space="preserve">5kHz UHF </w:t>
            </w:r>
            <w:r w:rsidRPr="000665B0">
              <w:t>DAMA, and AGR-</w:t>
            </w:r>
            <w:r w:rsidR="00623772" w:rsidRPr="000665B0">
              <w:t>4</w:t>
            </w:r>
            <w:r w:rsidRPr="000665B0">
              <w:t>.</w:t>
            </w:r>
          </w:p>
          <w:p w14:paraId="21A95E61" w14:textId="2BE8ACE6" w:rsidR="008679CF" w:rsidRPr="000665B0" w:rsidRDefault="008679CF" w:rsidP="006D5A65">
            <w:pPr>
              <w:pStyle w:val="Heading1"/>
            </w:pPr>
            <w:r w:rsidRPr="000665B0">
              <w:t xml:space="preserve">YID3 – Exercise R/UGM-109E/M without Seeker, inert warhead, </w:t>
            </w:r>
            <w:r w:rsidR="00623772" w:rsidRPr="000665B0">
              <w:t>5kHz UHF DAMA</w:t>
            </w:r>
            <w:r w:rsidRPr="000665B0">
              <w:t>, and AGR-3.</w:t>
            </w:r>
          </w:p>
        </w:tc>
      </w:tr>
    </w:tbl>
    <w:p w14:paraId="0CBAF8FF" w14:textId="52AA4FC4" w:rsidR="005D1A26" w:rsidRPr="000665B0" w:rsidRDefault="005D1A26" w:rsidP="009570CA">
      <w:pPr>
        <w:pStyle w:val="Heading3"/>
      </w:pPr>
      <w:bookmarkStart w:id="2157" w:name="_Toc67401266"/>
      <w:bookmarkStart w:id="2158" w:name="_Toc69207903"/>
      <w:bookmarkStart w:id="2159" w:name="_Toc70071457"/>
      <w:bookmarkStart w:id="2160" w:name="_Toc71012238"/>
      <w:bookmarkStart w:id="2161" w:name="_Toc71808907"/>
      <w:bookmarkStart w:id="2162" w:name="_Toc71955381"/>
      <w:bookmarkStart w:id="2163" w:name="_Toc96169979"/>
      <w:bookmarkStart w:id="2164" w:name="_Toc96234024"/>
      <w:bookmarkStart w:id="2165" w:name="_Toc112733453"/>
      <w:bookmarkStart w:id="2166" w:name="_Toc289328492"/>
      <w:bookmarkStart w:id="2167" w:name="_Toc312331811"/>
      <w:bookmarkStart w:id="2168" w:name="_Toc214283286"/>
      <w:bookmarkEnd w:id="2154"/>
      <w:bookmarkEnd w:id="2156"/>
      <w:bookmarkEnd w:id="2157"/>
      <w:bookmarkEnd w:id="2158"/>
      <w:bookmarkEnd w:id="2159"/>
      <w:bookmarkEnd w:id="2160"/>
      <w:bookmarkEnd w:id="2161"/>
      <w:r w:rsidRPr="000665B0">
        <w:t>Display Missile Configuration (Textually)</w:t>
      </w:r>
      <w:bookmarkEnd w:id="2162"/>
      <w:bookmarkEnd w:id="2163"/>
      <w:bookmarkEnd w:id="2164"/>
      <w:bookmarkEnd w:id="2165"/>
      <w:bookmarkEnd w:id="2166"/>
      <w:bookmarkEnd w:id="2167"/>
      <w:bookmarkEnd w:id="2168"/>
    </w:p>
    <w:p w14:paraId="301CBF7E" w14:textId="232AD633" w:rsidR="00F363FF" w:rsidRPr="000665B0" w:rsidRDefault="005D1A26" w:rsidP="009570CA">
      <w:pPr>
        <w:rPr>
          <w:iCs/>
        </w:rPr>
      </w:pPr>
      <w:r w:rsidRPr="000665B0">
        <w:t xml:space="preserve">This function displays all the detailed information about a Missile and is shown for informational purposes only. Depending upon the missile displayed, these fields may include: </w:t>
      </w:r>
      <w:r w:rsidRPr="000665B0">
        <w:rPr>
          <w:i/>
        </w:rPr>
        <w:t xml:space="preserve">Missile ID, Missile Variant, Block Number, Payload Type, Payload/Fuel Config, Booster Type, Engine Type, Exercise, Single Card Altimeter, Improved Altimeter, Simulator, </w:t>
      </w:r>
      <w:r w:rsidRPr="000665B0">
        <w:rPr>
          <w:i/>
          <w:iCs/>
        </w:rPr>
        <w:t>DSMAC</w:t>
      </w:r>
      <w:r w:rsidRPr="000665B0">
        <w:rPr>
          <w:i/>
        </w:rPr>
        <w:t xml:space="preserve"> Config</w:t>
      </w:r>
      <w:r w:rsidRPr="000665B0">
        <w:t xml:space="preserve">, </w:t>
      </w:r>
      <w:r w:rsidRPr="000665B0">
        <w:rPr>
          <w:i/>
          <w:iCs/>
        </w:rPr>
        <w:t>GPS Config</w:t>
      </w:r>
      <w:r w:rsidRPr="000665B0">
        <w:t xml:space="preserve">, </w:t>
      </w:r>
      <w:r w:rsidR="003657A4" w:rsidRPr="000665B0">
        <w:rPr>
          <w:i/>
          <w:iCs/>
        </w:rPr>
        <w:t xml:space="preserve">COMMS </w:t>
      </w:r>
      <w:r w:rsidRPr="000665B0">
        <w:rPr>
          <w:i/>
          <w:iCs/>
        </w:rPr>
        <w:t>Config</w:t>
      </w:r>
      <w:r w:rsidR="00BE350A" w:rsidRPr="000665B0">
        <w:rPr>
          <w:iCs/>
        </w:rPr>
        <w:t xml:space="preserve">, </w:t>
      </w:r>
      <w:r w:rsidR="00BE350A" w:rsidRPr="000665B0">
        <w:rPr>
          <w:i/>
          <w:iCs/>
        </w:rPr>
        <w:t>TSN Network</w:t>
      </w:r>
      <w:r w:rsidR="003657A4" w:rsidRPr="000665B0">
        <w:rPr>
          <w:i/>
          <w:iCs/>
        </w:rPr>
        <w:t xml:space="preserve">, </w:t>
      </w:r>
      <w:r w:rsidR="003657A4" w:rsidRPr="000665B0">
        <w:rPr>
          <w:iCs/>
        </w:rPr>
        <w:t>and</w:t>
      </w:r>
      <w:r w:rsidR="003657A4" w:rsidRPr="000665B0">
        <w:rPr>
          <w:i/>
          <w:iCs/>
        </w:rPr>
        <w:t xml:space="preserve"> Guidance</w:t>
      </w:r>
      <w:r w:rsidRPr="000665B0">
        <w:rPr>
          <w:iCs/>
        </w:rPr>
        <w:t>.</w:t>
      </w:r>
    </w:p>
    <w:p w14:paraId="7BEF1883" w14:textId="3296C69B" w:rsidR="00133326" w:rsidRPr="000665B0" w:rsidRDefault="005F591C" w:rsidP="009570CA">
      <w:pPr>
        <w:rPr>
          <w:i/>
          <w:iCs/>
        </w:rPr>
      </w:pPr>
      <w:r w:rsidRPr="000665B0">
        <w:t xml:space="preserve">Demand Assigned Multiple Access (DAMA) </w:t>
      </w:r>
      <w:r w:rsidR="000B218D" w:rsidRPr="000665B0">
        <w:t>is</w:t>
      </w:r>
      <w:r w:rsidR="00E733F5" w:rsidRPr="000665B0">
        <w:t xml:space="preserve"> typically</w:t>
      </w:r>
      <w:r w:rsidR="000B218D" w:rsidRPr="000665B0">
        <w:t xml:space="preserve"> the implementation </w:t>
      </w:r>
      <w:r w:rsidRPr="000665B0">
        <w:t xml:space="preserve">of </w:t>
      </w:r>
      <w:r w:rsidR="00556400" w:rsidRPr="000665B0">
        <w:t>TSN</w:t>
      </w:r>
      <w:r w:rsidRPr="000665B0">
        <w:t xml:space="preserve"> communication</w:t>
      </w:r>
      <w:r w:rsidR="000B218D" w:rsidRPr="000665B0">
        <w:t>, but it is in the process of</w:t>
      </w:r>
      <w:r w:rsidRPr="000665B0">
        <w:t xml:space="preserve"> being replaced with the </w:t>
      </w:r>
      <w:r w:rsidRPr="000665B0">
        <w:rPr>
          <w:iCs/>
        </w:rPr>
        <w:t xml:space="preserve">Advanced Communication </w:t>
      </w:r>
      <w:r w:rsidRPr="000665B0">
        <w:rPr>
          <w:iCs/>
        </w:rPr>
        <w:lastRenderedPageBreak/>
        <w:t xml:space="preserve">Architecture (ACA) </w:t>
      </w:r>
      <w:r w:rsidR="000B218D" w:rsidRPr="000665B0">
        <w:rPr>
          <w:iCs/>
        </w:rPr>
        <w:t>network type</w:t>
      </w:r>
      <w:r w:rsidRPr="000665B0">
        <w:t xml:space="preserve">. </w:t>
      </w:r>
      <w:r w:rsidR="00503AE4" w:rsidRPr="000665B0">
        <w:rPr>
          <w:iCs/>
        </w:rPr>
        <w:t xml:space="preserve">The Comms configuration for DAMA missiles is </w:t>
      </w:r>
      <w:r w:rsidR="00BE5CC6" w:rsidRPr="000665B0">
        <w:rPr>
          <w:iCs/>
        </w:rPr>
        <w:t xml:space="preserve">a </w:t>
      </w:r>
      <w:r w:rsidR="00503AE4" w:rsidRPr="000665B0">
        <w:rPr>
          <w:iCs/>
        </w:rPr>
        <w:t xml:space="preserve">Satellite Data Link Terminal (SDLT), </w:t>
      </w:r>
      <w:r w:rsidR="00BE5CC6" w:rsidRPr="000665B0">
        <w:rPr>
          <w:iCs/>
        </w:rPr>
        <w:t>while</w:t>
      </w:r>
      <w:r w:rsidR="00503AE4" w:rsidRPr="000665B0">
        <w:rPr>
          <w:iCs/>
        </w:rPr>
        <w:t xml:space="preserve"> ACA </w:t>
      </w:r>
      <w:r w:rsidR="00BE5CC6" w:rsidRPr="000665B0">
        <w:rPr>
          <w:iCs/>
        </w:rPr>
        <w:t>missiles use a</w:t>
      </w:r>
      <w:r w:rsidR="00F34009" w:rsidRPr="000665B0">
        <w:rPr>
          <w:iCs/>
        </w:rPr>
        <w:t xml:space="preserve"> new </w:t>
      </w:r>
      <w:r w:rsidR="00503AE4" w:rsidRPr="000665B0">
        <w:t>Integrated Single Box Solution (</w:t>
      </w:r>
      <w:r w:rsidR="00503AE4" w:rsidRPr="000665B0">
        <w:rPr>
          <w:iCs/>
        </w:rPr>
        <w:t>ISBS)</w:t>
      </w:r>
      <w:r w:rsidR="00F34009" w:rsidRPr="000665B0">
        <w:rPr>
          <w:iCs/>
        </w:rPr>
        <w:t xml:space="preserve"> radio</w:t>
      </w:r>
      <w:r w:rsidR="00503AE4" w:rsidRPr="000665B0">
        <w:t xml:space="preserve">. ACA-capable missiles connect to satellites and </w:t>
      </w:r>
      <w:r w:rsidR="00BE5CC6" w:rsidRPr="000665B0">
        <w:t>transmit/receive</w:t>
      </w:r>
      <w:r w:rsidR="00503AE4" w:rsidRPr="000665B0">
        <w:t xml:space="preserve"> data </w:t>
      </w:r>
      <w:r w:rsidR="00BE5CC6" w:rsidRPr="000665B0">
        <w:t>via</w:t>
      </w:r>
      <w:r w:rsidR="00503AE4" w:rsidRPr="000665B0">
        <w:t xml:space="preserve"> the ISBS. All ACA TSN connectivity </w:t>
      </w:r>
      <w:r w:rsidR="00BE5CC6" w:rsidRPr="000665B0">
        <w:t>is</w:t>
      </w:r>
      <w:r w:rsidR="00503AE4" w:rsidRPr="000665B0">
        <w:t xml:space="preserve"> performed at the Network Service Provider (NSP)</w:t>
      </w:r>
      <w:r w:rsidR="00556400" w:rsidRPr="000665B0">
        <w:t xml:space="preserve">, which is considered to be </w:t>
      </w:r>
      <w:r w:rsidR="00503AE4" w:rsidRPr="000665B0">
        <w:t xml:space="preserve">the enterprise that is responsible for all aspects of ACA. </w:t>
      </w:r>
      <w:r w:rsidR="00F55492" w:rsidRPr="000665B0">
        <w:t>NSP nodes are gateways between the space segment (</w:t>
      </w:r>
      <w:r w:rsidR="003509EA" w:rsidRPr="000665B0">
        <w:t xml:space="preserve">i.e., </w:t>
      </w:r>
      <w:r w:rsidR="00F55492" w:rsidRPr="000665B0">
        <w:t xml:space="preserve">satellites and missiles) and participating surface units in the ACA TSN. Although specified in the Valid Platform List along with the other nodes, NSP nodes do not actually send or receive OTH messages. </w:t>
      </w:r>
      <w:r w:rsidR="004F6D8B" w:rsidRPr="000665B0">
        <w:rPr>
          <w:iCs/>
        </w:rPr>
        <w:t xml:space="preserve">Until DAMA is officially retired, </w:t>
      </w:r>
      <w:r w:rsidR="004F6D8B" w:rsidRPr="000665B0">
        <w:t>a strike may include a mixture of missiles that are DAMA or ACA capable, so MDS currently supports both communication methods.</w:t>
      </w:r>
      <w:r w:rsidR="00F363FF" w:rsidRPr="000665B0">
        <w:rPr>
          <w:iCs/>
        </w:rPr>
        <w:t xml:space="preserve"> </w:t>
      </w:r>
      <w:r w:rsidR="00503AE4" w:rsidRPr="000665B0">
        <w:rPr>
          <w:iCs/>
        </w:rPr>
        <w:t xml:space="preserve">The </w:t>
      </w:r>
      <w:r w:rsidR="000B218D" w:rsidRPr="000665B0">
        <w:rPr>
          <w:iCs/>
        </w:rPr>
        <w:t>m</w:t>
      </w:r>
      <w:r w:rsidR="00F363FF" w:rsidRPr="000665B0">
        <w:rPr>
          <w:iCs/>
        </w:rPr>
        <w:t>issile configuration</w:t>
      </w:r>
      <w:r w:rsidR="000B218D" w:rsidRPr="000665B0">
        <w:rPr>
          <w:iCs/>
        </w:rPr>
        <w:t xml:space="preserve"> (missile code)</w:t>
      </w:r>
      <w:r w:rsidR="00F363FF" w:rsidRPr="000665B0">
        <w:rPr>
          <w:iCs/>
        </w:rPr>
        <w:t xml:space="preserve"> </w:t>
      </w:r>
      <w:r w:rsidR="000B218D" w:rsidRPr="000665B0">
        <w:rPr>
          <w:iCs/>
        </w:rPr>
        <w:t xml:space="preserve">identifies </w:t>
      </w:r>
      <w:r w:rsidR="004F6D8B" w:rsidRPr="000665B0">
        <w:rPr>
          <w:iCs/>
        </w:rPr>
        <w:t xml:space="preserve">each </w:t>
      </w:r>
      <w:r w:rsidR="000B218D" w:rsidRPr="000665B0">
        <w:rPr>
          <w:iCs/>
        </w:rPr>
        <w:t>missile</w:t>
      </w:r>
      <w:r w:rsidR="004F6D8B" w:rsidRPr="000665B0">
        <w:rPr>
          <w:iCs/>
        </w:rPr>
        <w:t>’s</w:t>
      </w:r>
      <w:r w:rsidR="000B218D" w:rsidRPr="000665B0">
        <w:rPr>
          <w:iCs/>
        </w:rPr>
        <w:t xml:space="preserve"> compatibility with</w:t>
      </w:r>
      <w:r w:rsidR="00F363FF" w:rsidRPr="000665B0">
        <w:rPr>
          <w:iCs/>
        </w:rPr>
        <w:t xml:space="preserve"> </w:t>
      </w:r>
      <w:r w:rsidR="000B218D" w:rsidRPr="000665B0">
        <w:rPr>
          <w:iCs/>
        </w:rPr>
        <w:t>the DAMA and/or ACA network type.</w:t>
      </w:r>
      <w:r w:rsidR="00F363FF" w:rsidRPr="000665B0">
        <w:rPr>
          <w:iCs/>
        </w:rPr>
        <w:t xml:space="preserve"> </w:t>
      </w:r>
      <w:r w:rsidR="00955D85" w:rsidRPr="000665B0">
        <w:t>For MSTM</w:t>
      </w:r>
      <w:r w:rsidR="00C05381" w:rsidRPr="000665B0">
        <w:t>s</w:t>
      </w:r>
      <w:r w:rsidR="00955D85" w:rsidRPr="000665B0">
        <w:t xml:space="preserve">, the </w:t>
      </w:r>
      <w:r w:rsidR="00955D85" w:rsidRPr="000665B0">
        <w:rPr>
          <w:b/>
        </w:rPr>
        <w:t>Guidance</w:t>
      </w:r>
      <w:r w:rsidR="00955D85" w:rsidRPr="000665B0">
        <w:t xml:space="preserve"> field displays </w:t>
      </w:r>
      <w:r w:rsidR="00955D85" w:rsidRPr="000665B0">
        <w:rPr>
          <w:b/>
        </w:rPr>
        <w:t>Seeker</w:t>
      </w:r>
      <w:r w:rsidR="00955D85" w:rsidRPr="000665B0">
        <w:t>.</w:t>
      </w:r>
      <w:r w:rsidR="00F363FF" w:rsidRPr="000665B0">
        <w:rPr>
          <w:iCs/>
        </w:rPr>
        <w:t xml:space="preserve"> </w:t>
      </w:r>
    </w:p>
    <w:p w14:paraId="1E8C5D8A" w14:textId="0F63B68A" w:rsidR="00133326" w:rsidRPr="000665B0" w:rsidRDefault="00EE491E" w:rsidP="009570CA">
      <w:pPr>
        <w:spacing w:after="240"/>
        <w:jc w:val="center"/>
        <w:rPr>
          <w:i/>
          <w:iCs/>
        </w:rPr>
      </w:pPr>
      <w:r w:rsidRPr="000665B0">
        <w:rPr>
          <w:noProof/>
        </w:rPr>
        <w:drawing>
          <wp:inline distT="0" distB="0" distL="0" distR="0" wp14:anchorId="7140C036" wp14:editId="23AA1253">
            <wp:extent cx="4114800" cy="1234440"/>
            <wp:effectExtent l="0" t="0" r="0" b="0"/>
            <wp:docPr id="1620" name="Picture 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1234440"/>
                    </a:xfrm>
                    <a:prstGeom prst="rect">
                      <a:avLst/>
                    </a:prstGeom>
                  </pic:spPr>
                </pic:pic>
              </a:graphicData>
            </a:graphic>
          </wp:inline>
        </w:drawing>
      </w:r>
    </w:p>
    <w:p w14:paraId="1E357EEC" w14:textId="5E7862E1" w:rsidR="00BE350A" w:rsidRPr="000665B0" w:rsidRDefault="006B730C" w:rsidP="00BB4EBE">
      <w:pPr>
        <w:jc w:val="center"/>
        <w:rPr>
          <w:i/>
          <w:iCs/>
        </w:rPr>
      </w:pPr>
      <w:r>
        <w:rPr>
          <w:rStyle w:val="wacimagecontainer"/>
          <w:rFonts w:ascii="Segoe UI" w:hAnsi="Segoe UI" w:cs="Segoe UI"/>
          <w:noProof/>
          <w:color w:val="000000"/>
          <w:sz w:val="18"/>
          <w:szCs w:val="18"/>
          <w:shd w:val="clear" w:color="auto" w:fill="FFFFFF"/>
        </w:rPr>
        <w:drawing>
          <wp:inline distT="0" distB="0" distL="0" distR="0" wp14:anchorId="6A9AFEDE" wp14:editId="47FDE816">
            <wp:extent cx="4114800" cy="1225296"/>
            <wp:effectExtent l="19050" t="19050" r="0" b="0"/>
            <wp:docPr id="1865645418" name="Picture 1"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45418" name="Picture 1" descr="A picture containing timeline&#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114800" cy="1225296"/>
                    </a:xfrm>
                    <a:prstGeom prst="rect">
                      <a:avLst/>
                    </a:prstGeom>
                    <a:noFill/>
                    <a:ln>
                      <a:solidFill>
                        <a:schemeClr val="accent1"/>
                      </a:solidFill>
                    </a:ln>
                  </pic:spPr>
                </pic:pic>
              </a:graphicData>
            </a:graphic>
          </wp:inline>
        </w:drawing>
      </w:r>
    </w:p>
    <w:p w14:paraId="09ED4C08" w14:textId="233A2733" w:rsidR="00133326" w:rsidRPr="000665B0" w:rsidRDefault="00580070" w:rsidP="009570CA">
      <w:pPr>
        <w:jc w:val="center"/>
      </w:pPr>
      <w:r w:rsidRPr="000665B0">
        <w:rPr>
          <w:noProof/>
        </w:rPr>
        <w:drawing>
          <wp:inline distT="0" distB="0" distL="0" distR="0" wp14:anchorId="15443767" wp14:editId="41B0B5DE">
            <wp:extent cx="4114800" cy="1234440"/>
            <wp:effectExtent l="0" t="0" r="0" b="0"/>
            <wp:docPr id="1629" name="Picture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1234440"/>
                    </a:xfrm>
                    <a:prstGeom prst="rect">
                      <a:avLst/>
                    </a:prstGeom>
                  </pic:spPr>
                </pic:pic>
              </a:graphicData>
            </a:graphic>
          </wp:inline>
        </w:drawing>
      </w:r>
    </w:p>
    <w:p w14:paraId="33DF1F8F" w14:textId="77777777" w:rsidR="006B730C" w:rsidRDefault="00580070" w:rsidP="009570CA">
      <w:pPr>
        <w:jc w:val="center"/>
      </w:pPr>
      <w:r w:rsidRPr="000665B0">
        <w:rPr>
          <w:noProof/>
        </w:rPr>
        <w:drawing>
          <wp:inline distT="0" distB="0" distL="0" distR="0" wp14:anchorId="1226783E" wp14:editId="2847AC2F">
            <wp:extent cx="4114800" cy="1234440"/>
            <wp:effectExtent l="0" t="0" r="0" b="0"/>
            <wp:docPr id="1628" name="Picture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1234440"/>
                    </a:xfrm>
                    <a:prstGeom prst="rect">
                      <a:avLst/>
                    </a:prstGeom>
                  </pic:spPr>
                </pic:pic>
              </a:graphicData>
            </a:graphic>
          </wp:inline>
        </w:drawing>
      </w:r>
    </w:p>
    <w:p w14:paraId="3B7CF6F8" w14:textId="18669E99" w:rsidR="00580070" w:rsidRPr="000665B0" w:rsidRDefault="006B730C" w:rsidP="009570CA">
      <w:pPr>
        <w:jc w:val="center"/>
      </w:pPr>
      <w:r>
        <w:rPr>
          <w:noProof/>
        </w:rPr>
        <w:lastRenderedPageBreak/>
        <w:drawing>
          <wp:inline distT="0" distB="0" distL="0" distR="0" wp14:anchorId="332B87CB" wp14:editId="66C3FFD1">
            <wp:extent cx="4114800" cy="1225296"/>
            <wp:effectExtent l="19050" t="19050" r="0" b="0"/>
            <wp:docPr id="177022563" name="Picture 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2563" name="Picture 1" descr="Text&#10;&#10;Description automatically generated with low confidence"/>
                    <pic:cNvPicPr/>
                  </pic:nvPicPr>
                  <pic:blipFill>
                    <a:blip/>
                    <a:stretch>
                      <a:fillRect/>
                    </a:stretch>
                  </pic:blipFill>
                  <pic:spPr>
                    <a:xfrm>
                      <a:off x="0" y="0"/>
                      <a:ext cx="4114800" cy="1225296"/>
                    </a:xfrm>
                    <a:prstGeom prst="rect">
                      <a:avLst/>
                    </a:prstGeom>
                    <a:ln>
                      <a:solidFill>
                        <a:schemeClr val="accent1"/>
                      </a:solidFill>
                    </a:ln>
                  </pic:spPr>
                </pic:pic>
              </a:graphicData>
            </a:graphic>
          </wp:inline>
        </w:drawing>
      </w:r>
    </w:p>
    <w:p w14:paraId="4ED033DA" w14:textId="7F1BE712" w:rsidR="007D22D2" w:rsidRPr="000665B0" w:rsidRDefault="007D22D2" w:rsidP="009570CA">
      <w:r w:rsidRPr="000665B0">
        <w:t>For missile</w:t>
      </w:r>
      <w:r w:rsidR="003657A4" w:rsidRPr="000665B0">
        <w:t xml:space="preserve"> ID</w:t>
      </w:r>
      <w:r w:rsidRPr="000665B0">
        <w:t>s that contain the 4-character missile type</w:t>
      </w:r>
      <w:r w:rsidR="005E7E15" w:rsidRPr="000665B0">
        <w:t xml:space="preserve"> (see </w:t>
      </w:r>
      <w:hyperlink w:anchor="_4_-Character_Missile" w:history="1">
        <w:r w:rsidR="005E7E15" w:rsidRPr="000665B0">
          <w:rPr>
            <w:rStyle w:val="Hyperlink"/>
          </w:rPr>
          <w:t>Section 5.</w:t>
        </w:r>
        <w:r w:rsidR="00D34FE4">
          <w:rPr>
            <w:rStyle w:val="Hyperlink"/>
          </w:rPr>
          <w:t>1</w:t>
        </w:r>
        <w:r w:rsidR="004231CC">
          <w:rPr>
            <w:rStyle w:val="Hyperlink"/>
          </w:rPr>
          <w:t>4</w:t>
        </w:r>
        <w:r w:rsidR="005E7E15" w:rsidRPr="000665B0">
          <w:rPr>
            <w:rStyle w:val="Hyperlink"/>
          </w:rPr>
          <w:t>.1</w:t>
        </w:r>
      </w:hyperlink>
      <w:r w:rsidR="005E7E15" w:rsidRPr="000665B0">
        <w:t>)</w:t>
      </w:r>
      <w:r w:rsidRPr="000665B0">
        <w:t xml:space="preserve">, </w:t>
      </w:r>
      <w:r w:rsidR="00504D47" w:rsidRPr="000665B0">
        <w:t>hover the mouse over the specific missile ID</w:t>
      </w:r>
      <w:r w:rsidRPr="000665B0">
        <w:t xml:space="preserve"> to display a </w:t>
      </w:r>
      <w:r w:rsidR="0087541B">
        <w:t>tooltip</w:t>
      </w:r>
      <w:r w:rsidR="00FF2506">
        <w:t xml:space="preserve"> </w:t>
      </w:r>
      <w:r w:rsidRPr="000665B0">
        <w:t>with additional information about the missile.</w:t>
      </w:r>
    </w:p>
    <w:p w14:paraId="6B98A622" w14:textId="4F6E81C7" w:rsidR="00955D85" w:rsidRPr="000665B0" w:rsidRDefault="007D22D2" w:rsidP="009570CA">
      <w:pPr>
        <w:jc w:val="center"/>
      </w:pPr>
      <w:r w:rsidRPr="000665B0">
        <w:rPr>
          <w:noProof/>
        </w:rPr>
        <w:drawing>
          <wp:inline distT="0" distB="0" distL="0" distR="0" wp14:anchorId="2068C8B1" wp14:editId="22B074B3">
            <wp:extent cx="4114800" cy="1243584"/>
            <wp:effectExtent l="0" t="0" r="0" b="0"/>
            <wp:docPr id="1630" name="Picture 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1243584"/>
                    </a:xfrm>
                    <a:prstGeom prst="rect">
                      <a:avLst/>
                    </a:prstGeom>
                  </pic:spPr>
                </pic:pic>
              </a:graphicData>
            </a:graphic>
          </wp:inline>
        </w:drawing>
      </w:r>
    </w:p>
    <w:p w14:paraId="2E90A898" w14:textId="04858AB9" w:rsidR="005D1A26" w:rsidRPr="000665B0" w:rsidRDefault="005D1A26" w:rsidP="009570CA">
      <w:pPr>
        <w:spacing w:after="0"/>
      </w:pPr>
      <w:r w:rsidRPr="000665B0">
        <w:t>To display the missile configuration textually</w:t>
      </w:r>
      <w:r w:rsidR="007E4EDD" w:rsidRPr="000665B0">
        <w:t>,</w:t>
      </w:r>
      <w:r w:rsidRPr="000665B0">
        <w:t xml:space="preserve"> see </w:t>
      </w:r>
      <w:hyperlink w:anchor="_5.2.1.2.4__Display_1" w:history="1">
        <w:r w:rsidRPr="000665B0">
          <w:rPr>
            <w:rStyle w:val="Hyperlink"/>
          </w:rPr>
          <w:t>Section</w:t>
        </w:r>
        <w:r w:rsidR="004F7871" w:rsidRPr="000665B0">
          <w:rPr>
            <w:rStyle w:val="Hyperlink"/>
          </w:rPr>
          <w:t xml:space="preserve"> </w:t>
        </w:r>
        <w:r w:rsidRPr="000665B0">
          <w:rPr>
            <w:rStyle w:val="Hyperlink"/>
          </w:rPr>
          <w:t>5.2.1.2.4</w:t>
        </w:r>
      </w:hyperlink>
      <w:r w:rsidRPr="000665B0">
        <w:t>.</w:t>
      </w:r>
    </w:p>
    <w:p w14:paraId="7EA0AB27" w14:textId="57D84B59" w:rsidR="005D1A26" w:rsidRPr="000665B0" w:rsidRDefault="005D1A26" w:rsidP="009570CA">
      <w:pPr>
        <w:pStyle w:val="Heading3"/>
      </w:pPr>
      <w:bookmarkStart w:id="2169" w:name="_Toc71955382"/>
      <w:bookmarkStart w:id="2170" w:name="_Toc96169980"/>
      <w:bookmarkStart w:id="2171" w:name="_Toc96234025"/>
      <w:bookmarkStart w:id="2172" w:name="_Toc112733454"/>
      <w:bookmarkStart w:id="2173" w:name="_Toc289328493"/>
      <w:bookmarkStart w:id="2174" w:name="_Toc312331812"/>
      <w:bookmarkStart w:id="2175" w:name="_Toc214283287"/>
      <w:r w:rsidRPr="000665B0">
        <w:t>Receive File</w:t>
      </w:r>
      <w:bookmarkEnd w:id="2169"/>
      <w:bookmarkEnd w:id="2170"/>
      <w:bookmarkEnd w:id="2171"/>
      <w:bookmarkEnd w:id="2172"/>
      <w:bookmarkEnd w:id="2173"/>
      <w:bookmarkEnd w:id="2174"/>
      <w:bookmarkEnd w:id="2175"/>
    </w:p>
    <w:p w14:paraId="74D2F27F" w14:textId="1099F845" w:rsidR="005D1A26" w:rsidRPr="000665B0" w:rsidRDefault="00F02F03" w:rsidP="009570CA">
      <w:r w:rsidRPr="000665B0">
        <w:t>See</w:t>
      </w:r>
      <w:r w:rsidR="005D1A26" w:rsidRPr="000665B0">
        <w:t xml:space="preserve"> </w:t>
      </w:r>
      <w:hyperlink w:anchor="_5.2.1.7__Receive" w:history="1">
        <w:r w:rsidR="005D1A26" w:rsidRPr="000665B0">
          <w:rPr>
            <w:rStyle w:val="Hyperlink"/>
          </w:rPr>
          <w:t xml:space="preserve">Section </w:t>
        </w:r>
        <w:r w:rsidR="007F7ACA" w:rsidRPr="000665B0">
          <w:rPr>
            <w:rStyle w:val="Hyperlink"/>
          </w:rPr>
          <w:t>5.2.1.</w:t>
        </w:r>
        <w:r w:rsidR="00B9720D" w:rsidRPr="000665B0">
          <w:rPr>
            <w:rStyle w:val="Hyperlink"/>
          </w:rPr>
          <w:t>7</w:t>
        </w:r>
      </w:hyperlink>
      <w:r w:rsidR="005D1A26" w:rsidRPr="000665B0">
        <w:t>.</w:t>
      </w:r>
    </w:p>
    <w:p w14:paraId="5BADF1BD" w14:textId="68682415" w:rsidR="005D1A26" w:rsidRPr="000665B0" w:rsidRDefault="005D1A26" w:rsidP="009570CA">
      <w:pPr>
        <w:pStyle w:val="Heading3"/>
      </w:pPr>
      <w:bookmarkStart w:id="2176" w:name="_Toc71955384"/>
      <w:bookmarkStart w:id="2177" w:name="_Toc96169981"/>
      <w:bookmarkStart w:id="2178" w:name="_Toc96234026"/>
      <w:bookmarkStart w:id="2179" w:name="_Toc112733455"/>
      <w:bookmarkStart w:id="2180" w:name="_Toc289328494"/>
      <w:bookmarkStart w:id="2181" w:name="_Toc312331813"/>
      <w:bookmarkStart w:id="2182" w:name="_Toc214283288"/>
      <w:r w:rsidRPr="000665B0">
        <w:t>Find</w:t>
      </w:r>
      <w:bookmarkEnd w:id="2176"/>
      <w:bookmarkEnd w:id="2177"/>
      <w:bookmarkEnd w:id="2178"/>
      <w:bookmarkEnd w:id="2179"/>
      <w:bookmarkEnd w:id="2180"/>
      <w:bookmarkEnd w:id="2181"/>
      <w:bookmarkEnd w:id="2182"/>
    </w:p>
    <w:p w14:paraId="3B1FC663" w14:textId="1B98F8EE" w:rsidR="005D1A26" w:rsidRPr="000665B0" w:rsidRDefault="00F02F03" w:rsidP="009570CA">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4D0A9EED" w14:textId="2F4A2090" w:rsidR="005D1A26" w:rsidRPr="000665B0" w:rsidRDefault="005D1A26" w:rsidP="009570CA">
      <w:pPr>
        <w:pStyle w:val="Heading3"/>
      </w:pPr>
      <w:bookmarkStart w:id="2183" w:name="_Toc71955385"/>
      <w:bookmarkStart w:id="2184" w:name="_Toc96169982"/>
      <w:bookmarkStart w:id="2185" w:name="_Toc96234027"/>
      <w:bookmarkStart w:id="2186" w:name="_Toc112733456"/>
      <w:bookmarkStart w:id="2187" w:name="_Toc289328495"/>
      <w:bookmarkStart w:id="2188" w:name="_Toc312331814"/>
      <w:bookmarkStart w:id="2189" w:name="_Toc214283289"/>
      <w:r w:rsidRPr="000665B0">
        <w:t xml:space="preserve">Print </w:t>
      </w:r>
      <w:bookmarkEnd w:id="2183"/>
      <w:bookmarkEnd w:id="2184"/>
      <w:bookmarkEnd w:id="2185"/>
      <w:bookmarkEnd w:id="2186"/>
      <w:r w:rsidR="00FA3392" w:rsidRPr="000665B0">
        <w:t>All</w:t>
      </w:r>
      <w:bookmarkEnd w:id="2187"/>
      <w:bookmarkEnd w:id="2188"/>
      <w:bookmarkEnd w:id="2189"/>
    </w:p>
    <w:p w14:paraId="2B7FD792" w14:textId="4BA0CB69" w:rsidR="005D1A26" w:rsidRPr="000665B0" w:rsidRDefault="00F02F03" w:rsidP="009570CA">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627DBDF9" w14:textId="6AF31C35" w:rsidR="005D1A26" w:rsidRPr="000665B0" w:rsidRDefault="005D1A26" w:rsidP="009570CA">
      <w:pPr>
        <w:pStyle w:val="Heading3"/>
      </w:pPr>
      <w:bookmarkStart w:id="2190" w:name="_Toc71955386"/>
      <w:bookmarkStart w:id="2191" w:name="_Toc96169983"/>
      <w:bookmarkStart w:id="2192" w:name="_Toc96234028"/>
      <w:bookmarkStart w:id="2193" w:name="_Toc112733457"/>
      <w:bookmarkStart w:id="2194" w:name="_Toc289328496"/>
      <w:bookmarkStart w:id="2195" w:name="_Toc312331815"/>
      <w:bookmarkStart w:id="2196" w:name="_Toc214283290"/>
      <w:r w:rsidRPr="000665B0">
        <w:t xml:space="preserve">Display </w:t>
      </w:r>
      <w:r w:rsidR="00FA3392" w:rsidRPr="000665B0">
        <w:t xml:space="preserve">All </w:t>
      </w:r>
      <w:r w:rsidRPr="000665B0">
        <w:t>in Excel</w:t>
      </w:r>
      <w:bookmarkEnd w:id="2190"/>
      <w:bookmarkEnd w:id="2191"/>
      <w:bookmarkEnd w:id="2192"/>
      <w:bookmarkEnd w:id="2193"/>
      <w:bookmarkEnd w:id="2194"/>
      <w:bookmarkEnd w:id="2195"/>
      <w:bookmarkEnd w:id="2196"/>
    </w:p>
    <w:p w14:paraId="0CEDF3AB" w14:textId="406946DB" w:rsidR="005D1A26" w:rsidRPr="000665B0" w:rsidRDefault="00F02F03" w:rsidP="009570CA">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1FA9A46A" w14:textId="54533246" w:rsidR="005D1A26" w:rsidRPr="000665B0" w:rsidRDefault="005D1A26" w:rsidP="009570CA">
      <w:pPr>
        <w:pStyle w:val="Heading3"/>
      </w:pPr>
      <w:bookmarkStart w:id="2197" w:name="_Toc71955387"/>
      <w:bookmarkStart w:id="2198" w:name="_Toc96169984"/>
      <w:bookmarkStart w:id="2199" w:name="_Toc96234029"/>
      <w:bookmarkStart w:id="2200" w:name="_Toc112733458"/>
      <w:bookmarkStart w:id="2201" w:name="_Toc289328497"/>
      <w:bookmarkStart w:id="2202" w:name="_Toc312331816"/>
      <w:bookmarkStart w:id="2203" w:name="_Toc214283291"/>
      <w:r w:rsidRPr="000665B0">
        <w:t>Select All</w:t>
      </w:r>
      <w:bookmarkEnd w:id="2197"/>
      <w:bookmarkEnd w:id="2198"/>
      <w:bookmarkEnd w:id="2199"/>
      <w:bookmarkEnd w:id="2200"/>
      <w:bookmarkEnd w:id="2201"/>
      <w:bookmarkEnd w:id="2202"/>
      <w:bookmarkEnd w:id="2203"/>
    </w:p>
    <w:p w14:paraId="4A154050" w14:textId="45E44151" w:rsidR="005D1A26" w:rsidRPr="000665B0" w:rsidRDefault="00F02F03" w:rsidP="009570CA">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2C5113AE" w14:textId="65F9CE3B" w:rsidR="005D1A26" w:rsidRPr="000665B0" w:rsidRDefault="005D1A26" w:rsidP="009570CA">
      <w:pPr>
        <w:pStyle w:val="Heading3"/>
      </w:pPr>
      <w:bookmarkStart w:id="2204" w:name="_Toc96169985"/>
      <w:bookmarkStart w:id="2205" w:name="_Toc96234030"/>
      <w:bookmarkStart w:id="2206" w:name="_Toc112733459"/>
      <w:bookmarkStart w:id="2207" w:name="_Toc289328498"/>
      <w:bookmarkStart w:id="2208" w:name="_Toc312331817"/>
      <w:bookmarkStart w:id="2209" w:name="_Toc214283292"/>
      <w:r w:rsidRPr="000665B0">
        <w:t>Properties</w:t>
      </w:r>
      <w:bookmarkEnd w:id="2204"/>
      <w:bookmarkEnd w:id="2205"/>
      <w:bookmarkEnd w:id="2206"/>
      <w:bookmarkEnd w:id="2207"/>
      <w:bookmarkEnd w:id="2208"/>
      <w:bookmarkEnd w:id="2209"/>
    </w:p>
    <w:p w14:paraId="3D6CD327" w14:textId="099CCF05" w:rsidR="005D1A26" w:rsidRPr="000665B0" w:rsidRDefault="00F02F03" w:rsidP="009570CA">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12ED49F3" w14:textId="7BF86371" w:rsidR="005D1A26" w:rsidRPr="000665B0" w:rsidRDefault="005D1A26" w:rsidP="009570CA">
      <w:pPr>
        <w:pStyle w:val="Heading3"/>
      </w:pPr>
      <w:bookmarkStart w:id="2210" w:name="_Toc96169986"/>
      <w:bookmarkStart w:id="2211" w:name="_Toc96234031"/>
      <w:bookmarkStart w:id="2212" w:name="_Toc112733460"/>
      <w:bookmarkStart w:id="2213" w:name="_Toc289328499"/>
      <w:bookmarkStart w:id="2214" w:name="_Toc312331818"/>
      <w:bookmarkStart w:id="2215" w:name="_Toc214283293"/>
      <w:r w:rsidRPr="000665B0">
        <w:t>Sort</w:t>
      </w:r>
      <w:bookmarkEnd w:id="2210"/>
      <w:bookmarkEnd w:id="2211"/>
      <w:bookmarkEnd w:id="2212"/>
      <w:bookmarkEnd w:id="2213"/>
      <w:bookmarkEnd w:id="2214"/>
      <w:bookmarkEnd w:id="2215"/>
    </w:p>
    <w:p w14:paraId="343AAD65" w14:textId="30AAD529" w:rsidR="005D1A26" w:rsidRPr="000665B0" w:rsidRDefault="00F02F03" w:rsidP="009570CA">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152E11E6" w14:textId="77777777" w:rsidR="00A316EA" w:rsidRDefault="00A316EA" w:rsidP="006966D9">
      <w:pPr>
        <w:pStyle w:val="Heading2"/>
        <w:numPr>
          <w:ilvl w:val="0"/>
          <w:numId w:val="0"/>
        </w:numPr>
      </w:pPr>
      <w:r>
        <w:br w:type="page"/>
      </w:r>
      <w:bookmarkStart w:id="2216" w:name="_5.17__DTD"/>
      <w:bookmarkStart w:id="2217" w:name="_Toc214283294"/>
      <w:bookmarkStart w:id="2218" w:name="_Toc71955389"/>
      <w:bookmarkStart w:id="2219" w:name="_Toc96169987"/>
      <w:bookmarkStart w:id="2220" w:name="_Toc96234032"/>
      <w:bookmarkStart w:id="2221" w:name="_Toc112733461"/>
      <w:bookmarkStart w:id="2222" w:name="_Toc289328500"/>
      <w:bookmarkStart w:id="2223" w:name="_Toc312331819"/>
      <w:bookmarkStart w:id="2224" w:name="_Hlk59114734"/>
      <w:bookmarkEnd w:id="2216"/>
      <w:r w:rsidR="00134B05" w:rsidRPr="000665B0">
        <w:lastRenderedPageBreak/>
        <w:t>CMDO TOOL</w:t>
      </w:r>
      <w:bookmarkEnd w:id="2217"/>
    </w:p>
    <w:p w14:paraId="59864BA9" w14:textId="77777777" w:rsidR="00134B05" w:rsidRPr="000665B0" w:rsidRDefault="00134B05" w:rsidP="009570CA">
      <w:r w:rsidRPr="000665B0">
        <w:t xml:space="preserve">The CMDO is the tool used to authorize and track all TLAM mission distributions from a mission planning site. It provides release authority for missions that are created at a CMSA. The CMDO Tool displays a list of all the CMDOs that have been created by </w:t>
      </w:r>
      <w:r w:rsidR="00306E14" w:rsidRPr="000665B0">
        <w:t xml:space="preserve">TM </w:t>
      </w:r>
      <w:r w:rsidRPr="000665B0">
        <w:t xml:space="preserve">and saved in the database. A CMDO Task is a way of tracking a group of missions that are destined for distribution. </w:t>
      </w:r>
    </w:p>
    <w:p w14:paraId="10118809" w14:textId="77777777" w:rsidR="00134B05" w:rsidRPr="000665B0" w:rsidRDefault="00134B05" w:rsidP="009570CA">
      <w:r w:rsidRPr="000665B0">
        <w:t>To view the CMDO Tool:</w:t>
      </w:r>
    </w:p>
    <w:p w14:paraId="0B9C7B7E" w14:textId="77777777" w:rsidR="00134B05" w:rsidRPr="000665B0" w:rsidRDefault="00134B05" w:rsidP="009570CA">
      <w:pPr>
        <w:ind w:left="360"/>
      </w:pPr>
      <w:r w:rsidRPr="000665B0">
        <w:t xml:space="preserve">From the </w:t>
      </w:r>
      <w:r w:rsidRPr="000665B0">
        <w:rPr>
          <w:b/>
        </w:rPr>
        <w:t>Go</w:t>
      </w:r>
      <w:r w:rsidRPr="000665B0">
        <w:t xml:space="preserve"> menu select </w:t>
      </w:r>
      <w:r w:rsidRPr="000665B0">
        <w:rPr>
          <w:b/>
          <w:bCs/>
        </w:rPr>
        <w:t>CMDOs</w:t>
      </w:r>
      <w:r w:rsidRPr="000665B0">
        <w:rPr>
          <w:bCs/>
        </w:rPr>
        <w:t xml:space="preserve">. The </w:t>
      </w:r>
      <w:r w:rsidRPr="000665B0">
        <w:rPr>
          <w:bCs/>
          <w:i/>
        </w:rPr>
        <w:t>CMDOs</w:t>
      </w:r>
      <w:r w:rsidRPr="000665B0">
        <w:rPr>
          <w:bCs/>
        </w:rPr>
        <w:t xml:space="preserve"> window is displayed.</w:t>
      </w:r>
    </w:p>
    <w:p w14:paraId="0D3A496C" w14:textId="33CAED02" w:rsidR="00134B05" w:rsidRPr="000665B0" w:rsidRDefault="00E3375C" w:rsidP="009570CA">
      <w:pPr>
        <w:jc w:val="center"/>
      </w:pPr>
      <w:r w:rsidRPr="000665B0">
        <w:rPr>
          <w:noProof/>
        </w:rPr>
        <w:drawing>
          <wp:inline distT="0" distB="0" distL="0" distR="0" wp14:anchorId="749BB932" wp14:editId="77AE8E26">
            <wp:extent cx="4983480" cy="1472184"/>
            <wp:effectExtent l="0" t="0" r="0" b="0"/>
            <wp:docPr id="1607" name="Picture 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472184"/>
                    </a:xfrm>
                    <a:prstGeom prst="rect">
                      <a:avLst/>
                    </a:prstGeom>
                  </pic:spPr>
                </pic:pic>
              </a:graphicData>
            </a:graphic>
          </wp:inline>
        </w:drawing>
      </w:r>
    </w:p>
    <w:p w14:paraId="101F7400" w14:textId="77777777" w:rsidR="00134B05" w:rsidRPr="000665B0" w:rsidRDefault="00134B05" w:rsidP="009570CA">
      <w:pPr>
        <w:rPr>
          <w:b/>
          <w:i/>
        </w:rPr>
      </w:pPr>
      <w:r w:rsidRPr="000665B0">
        <w:rPr>
          <w:b/>
          <w:i/>
        </w:rPr>
        <w:t>CMDO Tool List View</w:t>
      </w:r>
    </w:p>
    <w:p w14:paraId="21B1ED95" w14:textId="77777777" w:rsidR="00134B05" w:rsidRPr="000665B0" w:rsidRDefault="00134B05" w:rsidP="006D5A65">
      <w:pPr>
        <w:pStyle w:val="Heading1"/>
      </w:pPr>
      <w:r w:rsidRPr="000665B0">
        <w:t>Columns</w:t>
      </w:r>
    </w:p>
    <w:p w14:paraId="41F42ED7" w14:textId="77777777" w:rsidR="00134B05" w:rsidRPr="000665B0" w:rsidRDefault="00134B05" w:rsidP="006D5A65">
      <w:pPr>
        <w:pStyle w:val="Heading1"/>
      </w:pPr>
      <w:r w:rsidRPr="000665B0">
        <w:rPr>
          <w:bCs/>
        </w:rPr>
        <w:t>CMDO ID</w:t>
      </w:r>
      <w:r w:rsidRPr="000665B0">
        <w:t xml:space="preserve"> – Generated by the system; displays the originating site location code and a sequence number.</w:t>
      </w:r>
    </w:p>
    <w:p w14:paraId="4FB5D368" w14:textId="77777777" w:rsidR="00134B05" w:rsidRPr="000665B0" w:rsidRDefault="00134B05" w:rsidP="006D5A65">
      <w:pPr>
        <w:pStyle w:val="Heading1"/>
      </w:pPr>
      <w:r w:rsidRPr="000665B0">
        <w:rPr>
          <w:bCs/>
        </w:rPr>
        <w:t>State</w:t>
      </w:r>
      <w:r w:rsidRPr="000665B0">
        <w:t xml:space="preserve"> – Contains the state of the CMDO.</w:t>
      </w:r>
    </w:p>
    <w:tbl>
      <w:tblPr>
        <w:tblW w:w="88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7"/>
        <w:gridCol w:w="6359"/>
      </w:tblGrid>
      <w:tr w:rsidR="00134B05" w:rsidRPr="000665B0" w14:paraId="0601225B" w14:textId="77777777" w:rsidTr="00C63237">
        <w:tc>
          <w:tcPr>
            <w:tcW w:w="2497" w:type="dxa"/>
            <w:shd w:val="clear" w:color="auto" w:fill="D9D9D9" w:themeFill="background1" w:themeFillShade="D9"/>
          </w:tcPr>
          <w:p w14:paraId="0D7C2CCD" w14:textId="77777777" w:rsidR="00134B05" w:rsidRPr="000665B0" w:rsidRDefault="00134B05" w:rsidP="009570CA">
            <w:pPr>
              <w:spacing w:after="0"/>
              <w:jc w:val="center"/>
              <w:rPr>
                <w:rFonts w:ascii="Arial" w:hAnsi="Arial" w:cs="Arial"/>
                <w:b/>
                <w:sz w:val="22"/>
                <w:szCs w:val="22"/>
              </w:rPr>
            </w:pPr>
            <w:r w:rsidRPr="000665B0">
              <w:rPr>
                <w:rFonts w:ascii="Arial" w:hAnsi="Arial" w:cs="Arial"/>
                <w:b/>
                <w:sz w:val="22"/>
                <w:szCs w:val="22"/>
              </w:rPr>
              <w:t>State</w:t>
            </w:r>
          </w:p>
        </w:tc>
        <w:tc>
          <w:tcPr>
            <w:tcW w:w="6359" w:type="dxa"/>
            <w:shd w:val="clear" w:color="auto" w:fill="D9D9D9" w:themeFill="background1" w:themeFillShade="D9"/>
          </w:tcPr>
          <w:p w14:paraId="6FCF7D27" w14:textId="77777777" w:rsidR="00134B05" w:rsidRPr="000665B0" w:rsidRDefault="00134B05" w:rsidP="009570CA">
            <w:pPr>
              <w:spacing w:after="0"/>
              <w:jc w:val="center"/>
              <w:rPr>
                <w:rFonts w:ascii="Arial" w:hAnsi="Arial" w:cs="Arial"/>
                <w:b/>
                <w:sz w:val="22"/>
                <w:szCs w:val="22"/>
              </w:rPr>
            </w:pPr>
            <w:r w:rsidRPr="000665B0">
              <w:rPr>
                <w:rFonts w:ascii="Arial" w:hAnsi="Arial" w:cs="Arial"/>
                <w:b/>
                <w:sz w:val="22"/>
                <w:szCs w:val="22"/>
              </w:rPr>
              <w:t>Description</w:t>
            </w:r>
          </w:p>
        </w:tc>
      </w:tr>
      <w:tr w:rsidR="00134B05" w:rsidRPr="000665B0" w14:paraId="5D6F7066" w14:textId="77777777" w:rsidTr="00C63237">
        <w:tc>
          <w:tcPr>
            <w:tcW w:w="2497" w:type="dxa"/>
          </w:tcPr>
          <w:p w14:paraId="748FA0CC" w14:textId="77777777" w:rsidR="00134B05" w:rsidRPr="000665B0" w:rsidRDefault="00134B05" w:rsidP="009570CA">
            <w:pPr>
              <w:spacing w:after="0"/>
              <w:rPr>
                <w:rFonts w:ascii="Arial" w:hAnsi="Arial" w:cs="Arial"/>
                <w:sz w:val="20"/>
              </w:rPr>
            </w:pPr>
            <w:r w:rsidRPr="000665B0">
              <w:rPr>
                <w:rFonts w:ascii="Arial" w:hAnsi="Arial" w:cs="Arial"/>
                <w:sz w:val="20"/>
              </w:rPr>
              <w:t>Creating</w:t>
            </w:r>
          </w:p>
        </w:tc>
        <w:tc>
          <w:tcPr>
            <w:tcW w:w="6359" w:type="dxa"/>
            <w:vAlign w:val="bottom"/>
          </w:tcPr>
          <w:p w14:paraId="4518A49A" w14:textId="577C273F" w:rsidR="00134B05" w:rsidRPr="000665B0" w:rsidRDefault="00134B05" w:rsidP="009570CA">
            <w:pPr>
              <w:spacing w:after="0"/>
              <w:rPr>
                <w:rFonts w:ascii="Arial" w:hAnsi="Arial" w:cs="Arial"/>
                <w:sz w:val="20"/>
              </w:rPr>
            </w:pPr>
            <w:r w:rsidRPr="000665B0">
              <w:rPr>
                <w:rFonts w:ascii="Arial" w:hAnsi="Arial" w:cs="Arial"/>
                <w:sz w:val="20"/>
              </w:rPr>
              <w:t>This state is used to identify that a CMDO has been created but it is not in a distributable state (</w:t>
            </w:r>
            <w:r w:rsidR="003509EA" w:rsidRPr="000665B0">
              <w:rPr>
                <w:rFonts w:ascii="Arial" w:hAnsi="Arial" w:cs="Arial"/>
                <w:sz w:val="20"/>
              </w:rPr>
              <w:t xml:space="preserve">i.e., </w:t>
            </w:r>
            <w:r w:rsidRPr="000665B0">
              <w:rPr>
                <w:rFonts w:ascii="Arial" w:hAnsi="Arial" w:cs="Arial"/>
                <w:sz w:val="20"/>
              </w:rPr>
              <w:t>In-Work).</w:t>
            </w:r>
          </w:p>
        </w:tc>
      </w:tr>
      <w:tr w:rsidR="00134B05" w:rsidRPr="000665B0" w14:paraId="2E421D7C" w14:textId="77777777" w:rsidTr="00C63237">
        <w:tc>
          <w:tcPr>
            <w:tcW w:w="2497" w:type="dxa"/>
          </w:tcPr>
          <w:p w14:paraId="1737EBB3" w14:textId="77777777" w:rsidR="00134B05" w:rsidRPr="000665B0" w:rsidRDefault="00134B05" w:rsidP="009570CA">
            <w:pPr>
              <w:spacing w:after="0"/>
              <w:rPr>
                <w:rFonts w:ascii="Arial" w:hAnsi="Arial" w:cs="Arial"/>
                <w:sz w:val="20"/>
              </w:rPr>
            </w:pPr>
            <w:r w:rsidRPr="000665B0">
              <w:rPr>
                <w:rFonts w:ascii="Arial" w:hAnsi="Arial" w:cs="Arial"/>
                <w:sz w:val="20"/>
              </w:rPr>
              <w:t>Approved By Production Manager</w:t>
            </w:r>
          </w:p>
        </w:tc>
        <w:tc>
          <w:tcPr>
            <w:tcW w:w="6359" w:type="dxa"/>
            <w:vAlign w:val="bottom"/>
          </w:tcPr>
          <w:p w14:paraId="5759E20E" w14:textId="77777777" w:rsidR="00134B05" w:rsidRPr="000665B0" w:rsidRDefault="00134B05" w:rsidP="009570CA">
            <w:pPr>
              <w:spacing w:after="0"/>
              <w:rPr>
                <w:rFonts w:ascii="Arial" w:hAnsi="Arial" w:cs="Arial"/>
                <w:sz w:val="20"/>
              </w:rPr>
            </w:pPr>
            <w:r w:rsidRPr="000665B0">
              <w:rPr>
                <w:rFonts w:ascii="Arial" w:hAnsi="Arial" w:cs="Arial"/>
                <w:sz w:val="20"/>
              </w:rPr>
              <w:t>This state is used to identify that a CMDO contains the correct mission data; it has been reviewed by the production manager and is ready for Commander review.</w:t>
            </w:r>
          </w:p>
        </w:tc>
      </w:tr>
      <w:tr w:rsidR="00134B05" w:rsidRPr="000665B0" w14:paraId="73C8E10A" w14:textId="77777777" w:rsidTr="00C63237">
        <w:tc>
          <w:tcPr>
            <w:tcW w:w="2497" w:type="dxa"/>
          </w:tcPr>
          <w:p w14:paraId="3971F530" w14:textId="77777777" w:rsidR="00134B05" w:rsidRPr="000665B0" w:rsidRDefault="00134B05" w:rsidP="009570CA">
            <w:pPr>
              <w:spacing w:after="0"/>
              <w:rPr>
                <w:rFonts w:ascii="Arial" w:hAnsi="Arial" w:cs="Arial"/>
                <w:sz w:val="20"/>
              </w:rPr>
            </w:pPr>
            <w:r w:rsidRPr="000665B0">
              <w:rPr>
                <w:rFonts w:ascii="Arial" w:hAnsi="Arial" w:cs="Arial"/>
                <w:sz w:val="20"/>
              </w:rPr>
              <w:t>Approved By Commander</w:t>
            </w:r>
          </w:p>
        </w:tc>
        <w:tc>
          <w:tcPr>
            <w:tcW w:w="6359" w:type="dxa"/>
            <w:vAlign w:val="bottom"/>
          </w:tcPr>
          <w:p w14:paraId="63D815CA" w14:textId="77777777" w:rsidR="00134B05" w:rsidRPr="000665B0" w:rsidRDefault="00134B05" w:rsidP="009570CA">
            <w:pPr>
              <w:spacing w:after="0"/>
              <w:rPr>
                <w:rFonts w:ascii="Arial" w:hAnsi="Arial" w:cs="Arial"/>
                <w:sz w:val="20"/>
              </w:rPr>
            </w:pPr>
            <w:r w:rsidRPr="000665B0">
              <w:rPr>
                <w:rFonts w:ascii="Arial" w:hAnsi="Arial" w:cs="Arial"/>
                <w:sz w:val="20"/>
              </w:rPr>
              <w:t xml:space="preserve">This state is used to identify that a CMDO contains the correct mission data; it has been reviewed by the site Commander and is ready to be distributed via MDS. </w:t>
            </w:r>
          </w:p>
        </w:tc>
      </w:tr>
      <w:tr w:rsidR="00134B05" w:rsidRPr="000665B0" w14:paraId="2ED1BD9A" w14:textId="77777777" w:rsidTr="00C63237">
        <w:tc>
          <w:tcPr>
            <w:tcW w:w="2497" w:type="dxa"/>
          </w:tcPr>
          <w:p w14:paraId="7C6E23BB" w14:textId="77777777" w:rsidR="00134B05" w:rsidRPr="000665B0" w:rsidRDefault="00134B05" w:rsidP="009570CA">
            <w:pPr>
              <w:spacing w:after="0"/>
              <w:rPr>
                <w:rFonts w:ascii="Arial" w:hAnsi="Arial" w:cs="Arial"/>
                <w:sz w:val="20"/>
              </w:rPr>
            </w:pPr>
            <w:r w:rsidRPr="000665B0">
              <w:rPr>
                <w:rFonts w:ascii="Arial" w:hAnsi="Arial" w:cs="Arial"/>
                <w:sz w:val="20"/>
              </w:rPr>
              <w:t>Approved For Distribution</w:t>
            </w:r>
          </w:p>
        </w:tc>
        <w:tc>
          <w:tcPr>
            <w:tcW w:w="6359" w:type="dxa"/>
            <w:vAlign w:val="bottom"/>
          </w:tcPr>
          <w:p w14:paraId="285DBABD" w14:textId="7FAEF860" w:rsidR="00134B05" w:rsidRPr="000665B0" w:rsidRDefault="00134B05" w:rsidP="009570CA">
            <w:pPr>
              <w:spacing w:after="0"/>
              <w:rPr>
                <w:rFonts w:ascii="Arial" w:hAnsi="Arial" w:cs="Arial"/>
                <w:sz w:val="20"/>
              </w:rPr>
            </w:pPr>
            <w:r w:rsidRPr="000665B0">
              <w:rPr>
                <w:rFonts w:ascii="Arial" w:hAnsi="Arial" w:cs="Arial"/>
                <w:sz w:val="20"/>
              </w:rPr>
              <w:t>This state is used to identify that the CMDO is ready for distribution and when set, allows the MDS operator to distribute the CMDO data.</w:t>
            </w:r>
            <w:r w:rsidR="006054D4" w:rsidRPr="000665B0">
              <w:rPr>
                <w:rFonts w:ascii="Arial" w:hAnsi="Arial" w:cs="Arial"/>
                <w:sz w:val="20"/>
              </w:rPr>
              <w:t xml:space="preserve"> The CMDO ID and CMDO Name are added to the missions in the CMDO.</w:t>
            </w:r>
          </w:p>
        </w:tc>
      </w:tr>
      <w:tr w:rsidR="00134B05" w:rsidRPr="000665B0" w14:paraId="790631AA" w14:textId="77777777" w:rsidTr="00C63237">
        <w:tc>
          <w:tcPr>
            <w:tcW w:w="2497" w:type="dxa"/>
          </w:tcPr>
          <w:p w14:paraId="3F6387B9" w14:textId="77777777" w:rsidR="00134B05" w:rsidRPr="000665B0" w:rsidRDefault="00134B05" w:rsidP="009570CA">
            <w:pPr>
              <w:spacing w:after="0"/>
              <w:rPr>
                <w:rFonts w:ascii="Arial" w:hAnsi="Arial" w:cs="Arial"/>
                <w:sz w:val="20"/>
              </w:rPr>
            </w:pPr>
            <w:r w:rsidRPr="000665B0">
              <w:rPr>
                <w:rFonts w:ascii="Arial" w:hAnsi="Arial" w:cs="Arial"/>
                <w:sz w:val="20"/>
              </w:rPr>
              <w:t>Approved For Distribution to Broker</w:t>
            </w:r>
          </w:p>
        </w:tc>
        <w:tc>
          <w:tcPr>
            <w:tcW w:w="6359" w:type="dxa"/>
            <w:vAlign w:val="bottom"/>
          </w:tcPr>
          <w:p w14:paraId="685AA8AF" w14:textId="4BBCF610" w:rsidR="00134B05" w:rsidRPr="000665B0" w:rsidRDefault="00134B05" w:rsidP="009570CA">
            <w:pPr>
              <w:spacing w:after="0"/>
              <w:rPr>
                <w:rFonts w:ascii="Arial" w:hAnsi="Arial" w:cs="Arial"/>
                <w:sz w:val="20"/>
              </w:rPr>
            </w:pPr>
            <w:r w:rsidRPr="000665B0">
              <w:rPr>
                <w:rFonts w:ascii="Arial" w:hAnsi="Arial" w:cs="Arial"/>
                <w:sz w:val="20"/>
              </w:rPr>
              <w:t>This state is used to identify that the CMDO is ready to be distributed to a broker.</w:t>
            </w:r>
          </w:p>
        </w:tc>
      </w:tr>
      <w:tr w:rsidR="00134B05" w:rsidRPr="000665B0" w14:paraId="5CA080D6" w14:textId="77777777" w:rsidTr="00C63237">
        <w:tc>
          <w:tcPr>
            <w:tcW w:w="2497" w:type="dxa"/>
          </w:tcPr>
          <w:p w14:paraId="7DAC3CC4" w14:textId="77777777" w:rsidR="00134B05" w:rsidRPr="000665B0" w:rsidRDefault="00134B05" w:rsidP="009570CA">
            <w:pPr>
              <w:spacing w:after="0"/>
              <w:rPr>
                <w:rFonts w:ascii="Arial" w:hAnsi="Arial" w:cs="Arial"/>
                <w:sz w:val="20"/>
              </w:rPr>
            </w:pPr>
            <w:r w:rsidRPr="000665B0">
              <w:rPr>
                <w:rFonts w:ascii="Arial" w:hAnsi="Arial" w:cs="Arial"/>
                <w:sz w:val="20"/>
              </w:rPr>
              <w:t>Completed</w:t>
            </w:r>
          </w:p>
        </w:tc>
        <w:tc>
          <w:tcPr>
            <w:tcW w:w="6359" w:type="dxa"/>
            <w:vAlign w:val="bottom"/>
          </w:tcPr>
          <w:p w14:paraId="53A42EB4" w14:textId="7F95DAF4" w:rsidR="00134B05" w:rsidRPr="000665B0" w:rsidRDefault="00134B05" w:rsidP="009570CA">
            <w:pPr>
              <w:spacing w:after="0"/>
              <w:rPr>
                <w:rFonts w:ascii="Arial" w:hAnsi="Arial" w:cs="Arial"/>
                <w:sz w:val="20"/>
              </w:rPr>
            </w:pPr>
            <w:r w:rsidRPr="000665B0">
              <w:rPr>
                <w:rFonts w:ascii="Arial" w:hAnsi="Arial" w:cs="Arial"/>
                <w:sz w:val="20"/>
              </w:rPr>
              <w:t>This state is used to identify that the CMDO has been distributed and the mission transfer files have been successfully written to the correct directory.</w:t>
            </w:r>
            <w:r w:rsidR="00171139" w:rsidRPr="000665B0">
              <w:rPr>
                <w:rFonts w:ascii="Arial" w:hAnsi="Arial" w:cs="Arial"/>
                <w:sz w:val="20"/>
              </w:rPr>
              <w:t xml:space="preserve"> The CMDO Distributed date is added to the missions in the CMDO.</w:t>
            </w:r>
          </w:p>
        </w:tc>
      </w:tr>
    </w:tbl>
    <w:p w14:paraId="147B7C98" w14:textId="77777777" w:rsidR="00134B05" w:rsidRPr="000665B0" w:rsidRDefault="00134B05" w:rsidP="009570CA">
      <w:pPr>
        <w:pStyle w:val="Bullet"/>
      </w:pPr>
    </w:p>
    <w:p w14:paraId="60678771" w14:textId="77777777" w:rsidR="00134B05" w:rsidRPr="000665B0" w:rsidRDefault="00134B05" w:rsidP="009570CA">
      <w:pPr>
        <w:keepNext/>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lastRenderedPageBreak/>
        <w:t>Note:</w:t>
      </w:r>
    </w:p>
    <w:p w14:paraId="7EC3EB0A" w14:textId="77777777" w:rsidR="00134B05" w:rsidRPr="000665B0" w:rsidRDefault="00134B05"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rPr>
      </w:pPr>
      <w:r w:rsidRPr="000665B0">
        <w:rPr>
          <w:b/>
        </w:rPr>
        <w:t>A CMDO is marked as Complete once the mission data has been sent to the correct distribution directory.</w:t>
      </w:r>
    </w:p>
    <w:p w14:paraId="3D1CDB8A" w14:textId="77777777" w:rsidR="00134B05" w:rsidRPr="000665B0" w:rsidRDefault="00134B05" w:rsidP="006D5A65">
      <w:pPr>
        <w:pStyle w:val="Heading2"/>
      </w:pPr>
      <w:r w:rsidRPr="000665B0">
        <w:rPr>
          <w:bCs/>
        </w:rPr>
        <w:t>Name</w:t>
      </w:r>
      <w:r w:rsidRPr="000665B0">
        <w:t xml:space="preserve"> – Up to 60 free-format characters.</w:t>
      </w:r>
    </w:p>
    <w:p w14:paraId="171F0F2F" w14:textId="77777777" w:rsidR="00134B05" w:rsidRPr="000665B0" w:rsidRDefault="00134B05" w:rsidP="006D5A65">
      <w:pPr>
        <w:pStyle w:val="Heading2"/>
      </w:pPr>
      <w:r w:rsidRPr="000665B0">
        <w:rPr>
          <w:bCs/>
        </w:rPr>
        <w:t>Creation DTG</w:t>
      </w:r>
      <w:r w:rsidRPr="000665B0">
        <w:t xml:space="preserve"> – Date the CMDO was created.</w:t>
      </w:r>
    </w:p>
    <w:p w14:paraId="1D962D95" w14:textId="77777777" w:rsidR="00134B05" w:rsidRPr="000665B0" w:rsidRDefault="00134B05" w:rsidP="006D5A65">
      <w:pPr>
        <w:pStyle w:val="Heading2"/>
      </w:pPr>
      <w:r w:rsidRPr="000665B0">
        <w:rPr>
          <w:bCs/>
        </w:rPr>
        <w:t>Last Modified DTG</w:t>
      </w:r>
      <w:r w:rsidRPr="000665B0">
        <w:t xml:space="preserve"> – Date the CMDO was last modified.</w:t>
      </w:r>
    </w:p>
    <w:p w14:paraId="255F66C0" w14:textId="77777777" w:rsidR="00134B05" w:rsidRPr="000665B0" w:rsidRDefault="00134B05" w:rsidP="006D5A65">
      <w:pPr>
        <w:pStyle w:val="Heading2"/>
      </w:pPr>
      <w:r w:rsidRPr="000665B0">
        <w:rPr>
          <w:bCs/>
        </w:rPr>
        <w:t>Need By DTG</w:t>
      </w:r>
      <w:r w:rsidRPr="000665B0">
        <w:t xml:space="preserve"> – Date the CMDO needs to be completed.</w:t>
      </w:r>
      <w:r w:rsidRPr="000665B0">
        <w:rPr>
          <w:bCs/>
        </w:rPr>
        <w:t xml:space="preserve"> </w:t>
      </w:r>
    </w:p>
    <w:p w14:paraId="57F5A160" w14:textId="77777777" w:rsidR="00134B05" w:rsidRPr="000665B0" w:rsidRDefault="00134B05" w:rsidP="006D5A65">
      <w:pPr>
        <w:pStyle w:val="Heading2"/>
      </w:pPr>
      <w:r w:rsidRPr="000665B0">
        <w:rPr>
          <w:bCs/>
        </w:rPr>
        <w:t>Assigned User</w:t>
      </w:r>
      <w:r w:rsidRPr="000665B0">
        <w:t xml:space="preserve"> – Any valid </w:t>
      </w:r>
      <w:r w:rsidR="00306E14" w:rsidRPr="000665B0">
        <w:t xml:space="preserve">TM </w:t>
      </w:r>
      <w:r w:rsidRPr="000665B0">
        <w:t>user.</w:t>
      </w:r>
    </w:p>
    <w:p w14:paraId="053CC09D" w14:textId="77777777" w:rsidR="00134B05" w:rsidRPr="000665B0" w:rsidRDefault="00134B05" w:rsidP="006D5A65">
      <w:pPr>
        <w:pStyle w:val="Heading2"/>
      </w:pPr>
      <w:r w:rsidRPr="000665B0">
        <w:rPr>
          <w:bCs/>
        </w:rPr>
        <w:t xml:space="preserve">Distribution DTG </w:t>
      </w:r>
      <w:r w:rsidRPr="000665B0">
        <w:t>– Date the CMDO was distributed.</w:t>
      </w:r>
    </w:p>
    <w:p w14:paraId="06B5E742" w14:textId="77777777" w:rsidR="00134B05" w:rsidRPr="000665B0" w:rsidRDefault="00134B05" w:rsidP="006D5A65">
      <w:pPr>
        <w:pStyle w:val="Heading2"/>
      </w:pPr>
      <w:r w:rsidRPr="000665B0">
        <w:rPr>
          <w:bCs/>
        </w:rPr>
        <w:t xml:space="preserve"># of Missions </w:t>
      </w:r>
      <w:r w:rsidRPr="000665B0">
        <w:t>– Number of missions that the CMDO contains.</w:t>
      </w:r>
    </w:p>
    <w:p w14:paraId="0B758681" w14:textId="77777777" w:rsidR="00134B05" w:rsidRPr="000665B0" w:rsidRDefault="00134B05" w:rsidP="006D5A65">
      <w:pPr>
        <w:pStyle w:val="Heading1"/>
      </w:pPr>
      <w:r w:rsidRPr="000665B0">
        <w:rPr>
          <w:noProof/>
        </w:rPr>
        <w:t>Context Menu</w:t>
      </w:r>
    </w:p>
    <w:p w14:paraId="36B5A6D4" w14:textId="77777777" w:rsidR="00134B05" w:rsidRPr="000665B0" w:rsidRDefault="00134B05" w:rsidP="006D5A65">
      <w:pPr>
        <w:pStyle w:val="Heading2"/>
      </w:pPr>
      <w:r w:rsidRPr="000665B0">
        <w:t>Display</w:t>
      </w:r>
    </w:p>
    <w:p w14:paraId="71CDF40C" w14:textId="77777777" w:rsidR="00134B05" w:rsidRPr="000665B0" w:rsidRDefault="00134B05" w:rsidP="006D5A65">
      <w:pPr>
        <w:pStyle w:val="Heading2"/>
        <w:rPr>
          <w:rFonts w:eastAsia="Arial Unicode MS"/>
        </w:rPr>
      </w:pPr>
      <w:r w:rsidRPr="000665B0">
        <w:rPr>
          <w:rFonts w:eastAsia="Arial Unicode MS"/>
        </w:rPr>
        <w:t xml:space="preserve">Textually </w:t>
      </w:r>
      <w:r w:rsidRPr="000665B0">
        <w:t>– Displays the textual view of the selected CMDO(s).</w:t>
      </w:r>
    </w:p>
    <w:p w14:paraId="051852D2" w14:textId="77777777" w:rsidR="00134B05" w:rsidRPr="000665B0" w:rsidRDefault="00134B05" w:rsidP="006D5A65">
      <w:pPr>
        <w:pStyle w:val="Heading2"/>
        <w:rPr>
          <w:rFonts w:eastAsia="Arial Unicode MS"/>
        </w:rPr>
      </w:pPr>
      <w:r w:rsidRPr="000665B0">
        <w:rPr>
          <w:rFonts w:eastAsia="Arial Unicode MS"/>
        </w:rPr>
        <w:t xml:space="preserve">in Excel – </w:t>
      </w:r>
      <w:r w:rsidRPr="000665B0">
        <w:t>Creates an Excel document containing the selected CMDO’s information.</w:t>
      </w:r>
    </w:p>
    <w:p w14:paraId="112DE97B" w14:textId="65D448DD" w:rsidR="00134B05" w:rsidRPr="000665B0" w:rsidRDefault="00134B05" w:rsidP="006D5A65">
      <w:pPr>
        <w:pStyle w:val="Heading2"/>
      </w:pPr>
      <w:r w:rsidRPr="000665B0">
        <w:t>Distribute CMDO Data – Distributes the CMDO data once it has been approved. This selection is enabled only for CMDOs with states of Approved for Distribution or Approved for Distribution to Broker.</w:t>
      </w:r>
    </w:p>
    <w:p w14:paraId="2962C716" w14:textId="0084DF3C" w:rsidR="00134B05" w:rsidRPr="000665B0" w:rsidRDefault="00134B05" w:rsidP="006D5A65">
      <w:pPr>
        <w:pStyle w:val="Heading2"/>
      </w:pPr>
      <w:r w:rsidRPr="000665B0">
        <w:rPr>
          <w:rFonts w:eastAsia="Arial Unicode MS"/>
        </w:rPr>
        <w:t xml:space="preserve">Validate Mission – </w:t>
      </w:r>
      <w:r w:rsidRPr="000665B0">
        <w:t xml:space="preserve">Validates the Missions contained within a Mission Library. </w:t>
      </w:r>
      <w:hyperlink w:anchor="_5.13.9__Validate_1" w:history="1">
        <w:r w:rsidRPr="000665B0">
          <w:t>See</w:t>
        </w:r>
        <w:r w:rsidRPr="000665B0">
          <w:rPr>
            <w:rStyle w:val="Hyperlink"/>
          </w:rPr>
          <w:t xml:space="preserve"> Section 5.</w:t>
        </w:r>
        <w:r w:rsidR="00C77A5E" w:rsidRPr="000665B0">
          <w:rPr>
            <w:rStyle w:val="Hyperlink"/>
          </w:rPr>
          <w:t>12</w:t>
        </w:r>
        <w:r w:rsidRPr="000665B0">
          <w:rPr>
            <w:rStyle w:val="Hyperlink"/>
          </w:rPr>
          <w:t>.9</w:t>
        </w:r>
      </w:hyperlink>
      <w:r w:rsidRPr="000665B0">
        <w:t>.</w:t>
      </w:r>
    </w:p>
    <w:p w14:paraId="4D7C61B2" w14:textId="77777777" w:rsidR="00134B05" w:rsidRPr="000665B0" w:rsidRDefault="00134B05" w:rsidP="006D5A65">
      <w:pPr>
        <w:pStyle w:val="Heading2"/>
      </w:pPr>
      <w:r w:rsidRPr="000665B0">
        <w:t>Multiple Mission Edit… – Applies the same edits to multiple missions.</w:t>
      </w:r>
    </w:p>
    <w:p w14:paraId="37BCC72D" w14:textId="77777777" w:rsidR="00134B05" w:rsidRPr="000665B0" w:rsidRDefault="00134B05" w:rsidP="006D5A65">
      <w:pPr>
        <w:pStyle w:val="Heading2"/>
      </w:pPr>
      <w:r w:rsidRPr="000665B0">
        <w:rPr>
          <w:rFonts w:eastAsia="Arial Unicode MS"/>
        </w:rPr>
        <w:t xml:space="preserve">Print… – </w:t>
      </w:r>
      <w:r w:rsidRPr="000665B0">
        <w:t xml:space="preserve">Prints the selected CMDO’s list information. </w:t>
      </w:r>
    </w:p>
    <w:p w14:paraId="0E9D1E40" w14:textId="77777777" w:rsidR="00E10A05" w:rsidRPr="000665B0" w:rsidRDefault="00E10A05" w:rsidP="009570CA">
      <w:pPr>
        <w:pStyle w:val="Heading3"/>
      </w:pPr>
      <w:bookmarkStart w:id="2225" w:name="_Toc214283295"/>
      <w:r w:rsidRPr="000665B0">
        <w:t>Plugin Tool</w:t>
      </w:r>
      <w:bookmarkEnd w:id="2225"/>
    </w:p>
    <w:p w14:paraId="3C9E3EE3" w14:textId="0CECAAD4" w:rsidR="00E10A05" w:rsidRPr="000665B0" w:rsidRDefault="00E10A05" w:rsidP="009570CA">
      <w:r w:rsidRPr="000665B0">
        <w:t xml:space="preserve">See </w:t>
      </w:r>
      <w:hyperlink w:anchor="_Plugin__Tool" w:history="1">
        <w:r w:rsidRPr="000665B0">
          <w:rPr>
            <w:rStyle w:val="Hyperlink"/>
          </w:rPr>
          <w:t>Section 5.2.5.2</w:t>
        </w:r>
      </w:hyperlink>
      <w:r w:rsidRPr="000665B0">
        <w:t>.</w:t>
      </w:r>
    </w:p>
    <w:p w14:paraId="6031D732" w14:textId="177E0217" w:rsidR="00134B05" w:rsidRPr="000665B0" w:rsidRDefault="00134B05" w:rsidP="009570CA">
      <w:pPr>
        <w:pStyle w:val="Heading3"/>
      </w:pPr>
      <w:bookmarkStart w:id="2226" w:name="_Toc214283296"/>
      <w:r w:rsidRPr="000665B0">
        <w:t>Display Textually</w:t>
      </w:r>
      <w:bookmarkEnd w:id="2226"/>
    </w:p>
    <w:p w14:paraId="73198ECC" w14:textId="77777777" w:rsidR="00134B05" w:rsidRPr="000665B0" w:rsidRDefault="00134B05" w:rsidP="009570CA">
      <w:pPr>
        <w:pStyle w:val="BodyText"/>
        <w:spacing w:after="120"/>
      </w:pPr>
      <w:r w:rsidRPr="000665B0">
        <w:t xml:space="preserve">Displaying an entry textually allows the operator to view the contents of the CMDO prior to distributing the CMDO Data. </w:t>
      </w:r>
    </w:p>
    <w:p w14:paraId="36882F0E" w14:textId="4BCA8C1B" w:rsidR="00134B05" w:rsidRPr="000665B0" w:rsidRDefault="00134B05" w:rsidP="009570CA">
      <w:pPr>
        <w:pStyle w:val="BodyText"/>
        <w:spacing w:after="120"/>
        <w:rPr>
          <w:rStyle w:val="Hyperlink"/>
        </w:rPr>
      </w:pPr>
      <w:r w:rsidRPr="000665B0">
        <w:lastRenderedPageBreak/>
        <w:t xml:space="preserve">To display the CMDO(s) textually see </w:t>
      </w:r>
      <w:hyperlink w:anchor="_5.2.1.2.4__Display_1" w:history="1">
        <w:r w:rsidRPr="000665B0">
          <w:rPr>
            <w:rStyle w:val="Hyperlink"/>
          </w:rPr>
          <w:t>Section 5.2.1.2.4</w:t>
        </w:r>
      </w:hyperlink>
    </w:p>
    <w:p w14:paraId="21820B2C" w14:textId="77777777" w:rsidR="00134B05" w:rsidRPr="000665B0" w:rsidRDefault="00134B05" w:rsidP="009570CA">
      <w:pPr>
        <w:pStyle w:val="BodyText"/>
        <w:spacing w:after="120"/>
      </w:pPr>
      <w:r w:rsidRPr="000665B0">
        <w:t xml:space="preserve">In addition to the information displayed from the CMDO Tool, the CMDO Textual Display includes the following fields as defined by the </w:t>
      </w:r>
      <w:r w:rsidR="00306E14" w:rsidRPr="000665B0">
        <w:t xml:space="preserve">TM </w:t>
      </w:r>
      <w:r w:rsidRPr="000665B0">
        <w:t>operator:</w:t>
      </w:r>
    </w:p>
    <w:p w14:paraId="14F35DB8" w14:textId="77777777" w:rsidR="00134B05" w:rsidRPr="000665B0" w:rsidRDefault="00134B05" w:rsidP="006D5A65">
      <w:pPr>
        <w:pStyle w:val="Heading1"/>
      </w:pPr>
      <w:r w:rsidRPr="000665B0">
        <w:rPr>
          <w:bCs/>
        </w:rPr>
        <w:t>Description</w:t>
      </w:r>
      <w:r w:rsidRPr="000665B0">
        <w:t xml:space="preserve"> – 500 free-format characters.</w:t>
      </w:r>
      <w:r w:rsidRPr="000665B0">
        <w:rPr>
          <w:bCs/>
        </w:rPr>
        <w:t xml:space="preserve"> </w:t>
      </w:r>
    </w:p>
    <w:p w14:paraId="575F214D" w14:textId="77777777" w:rsidR="00134B05" w:rsidRPr="000665B0" w:rsidRDefault="00134B05" w:rsidP="006D5A65">
      <w:pPr>
        <w:pStyle w:val="Heading1"/>
      </w:pPr>
      <w:r w:rsidRPr="000665B0">
        <w:rPr>
          <w:bCs/>
        </w:rPr>
        <w:t>Status</w:t>
      </w:r>
      <w:r w:rsidRPr="000665B0">
        <w:t xml:space="preserve"> – 5,000 free-format characters.</w:t>
      </w:r>
    </w:p>
    <w:p w14:paraId="778D6F6B" w14:textId="77777777" w:rsidR="00134B05" w:rsidRPr="000665B0" w:rsidRDefault="00134B05" w:rsidP="006D5A65">
      <w:pPr>
        <w:pStyle w:val="Heading1"/>
      </w:pPr>
      <w:r w:rsidRPr="000665B0">
        <w:rPr>
          <w:bCs/>
        </w:rPr>
        <w:t>Mission Data</w:t>
      </w:r>
      <w:r w:rsidRPr="000665B0">
        <w:t xml:space="preserve"> – List of missions (displayed in the mission list view format) contained within the CMDO.</w:t>
      </w:r>
    </w:p>
    <w:p w14:paraId="07F86405" w14:textId="77777777" w:rsidR="00134B05" w:rsidRPr="000665B0" w:rsidRDefault="00134B05" w:rsidP="009570CA">
      <w:pPr>
        <w:keepNext/>
      </w:pPr>
      <w:r w:rsidRPr="000665B0">
        <w:t xml:space="preserve">The capabilities available from a textual display include: </w:t>
      </w:r>
    </w:p>
    <w:p w14:paraId="5F21C8F0" w14:textId="71E44C63" w:rsidR="00134B05" w:rsidRPr="000665B0" w:rsidRDefault="00134B05" w:rsidP="006D5A65">
      <w:pPr>
        <w:pStyle w:val="Heading1"/>
      </w:pPr>
      <w:r w:rsidRPr="000665B0">
        <w:t xml:space="preserve">Set the Distribution </w:t>
      </w:r>
      <w:r w:rsidR="001A431F" w:rsidRPr="000665B0">
        <w:t xml:space="preserve">Preferences </w:t>
      </w:r>
      <w:r w:rsidR="000B3F36" w:rsidRPr="000665B0">
        <w:t>– S</w:t>
      </w:r>
      <w:r w:rsidRPr="000665B0">
        <w:t xml:space="preserve">ee </w:t>
      </w:r>
      <w:hyperlink w:anchor="_5.17.2__Set" w:history="1">
        <w:r w:rsidRPr="000665B0">
          <w:rPr>
            <w:color w:val="0000FF"/>
            <w:u w:val="single"/>
          </w:rPr>
          <w:t>Section 5.</w:t>
        </w:r>
        <w:r w:rsidR="00D34FE4">
          <w:rPr>
            <w:color w:val="0000FF"/>
            <w:u w:val="single"/>
          </w:rPr>
          <w:t>1</w:t>
        </w:r>
        <w:r w:rsidR="004231CC">
          <w:rPr>
            <w:color w:val="0000FF"/>
            <w:u w:val="single"/>
          </w:rPr>
          <w:t>5</w:t>
        </w:r>
        <w:r w:rsidRPr="000665B0">
          <w:rPr>
            <w:color w:val="0000FF"/>
            <w:u w:val="single"/>
          </w:rPr>
          <w:t>.</w:t>
        </w:r>
        <w:r w:rsidR="00DE2DBB">
          <w:rPr>
            <w:color w:val="0000FF"/>
            <w:u w:val="single"/>
          </w:rPr>
          <w:t>3</w:t>
        </w:r>
      </w:hyperlink>
      <w:r w:rsidRPr="000665B0">
        <w:t>.</w:t>
      </w:r>
    </w:p>
    <w:p w14:paraId="2E269713" w14:textId="4163F7F9" w:rsidR="00134B05" w:rsidRPr="000665B0" w:rsidRDefault="00134B05" w:rsidP="006D5A65">
      <w:pPr>
        <w:pStyle w:val="Heading1"/>
      </w:pPr>
      <w:r w:rsidRPr="000665B0">
        <w:t xml:space="preserve">Distribute the CMDO Data </w:t>
      </w:r>
      <w:r w:rsidR="000B3F36" w:rsidRPr="000665B0">
        <w:t>– S</w:t>
      </w:r>
      <w:r w:rsidRPr="000665B0">
        <w:t xml:space="preserve">ee </w:t>
      </w:r>
      <w:hyperlink w:anchor="_5.17.3__Distribute" w:history="1">
        <w:r w:rsidRPr="000665B0">
          <w:rPr>
            <w:rStyle w:val="Hyperlink"/>
          </w:rPr>
          <w:t>Section 5.</w:t>
        </w:r>
        <w:r w:rsidR="00D34FE4">
          <w:rPr>
            <w:rStyle w:val="Hyperlink"/>
          </w:rPr>
          <w:t>1</w:t>
        </w:r>
        <w:r w:rsidR="004231CC">
          <w:rPr>
            <w:rStyle w:val="Hyperlink"/>
          </w:rPr>
          <w:t>5</w:t>
        </w:r>
        <w:r w:rsidRPr="000665B0">
          <w:rPr>
            <w:rStyle w:val="Hyperlink"/>
          </w:rPr>
          <w:t>.</w:t>
        </w:r>
        <w:r w:rsidR="00DE2DBB">
          <w:rPr>
            <w:rStyle w:val="Hyperlink"/>
          </w:rPr>
          <w:t>4</w:t>
        </w:r>
      </w:hyperlink>
      <w:r w:rsidRPr="000665B0">
        <w:t>.</w:t>
      </w:r>
    </w:p>
    <w:p w14:paraId="197E7F5C" w14:textId="0639591E" w:rsidR="00134B05" w:rsidRPr="000665B0" w:rsidRDefault="00134B05" w:rsidP="006D5A65">
      <w:pPr>
        <w:pStyle w:val="Heading1"/>
      </w:pPr>
      <w:r w:rsidRPr="000665B0">
        <w:t>Print</w:t>
      </w:r>
      <w:r w:rsidR="009552E7" w:rsidRPr="000665B0">
        <w:t xml:space="preserve"> –</w:t>
      </w:r>
      <w:r w:rsidRPr="000665B0">
        <w:t xml:space="preserve"> </w:t>
      </w:r>
      <w:r w:rsidR="000B3F36" w:rsidRPr="000665B0">
        <w:t xml:space="preserve">Prints </w:t>
      </w:r>
      <w:r w:rsidRPr="000665B0">
        <w:t>the textual display.</w:t>
      </w:r>
    </w:p>
    <w:p w14:paraId="24E89C87" w14:textId="1F76948E" w:rsidR="00134B05" w:rsidRPr="000665B0" w:rsidRDefault="000B3F36" w:rsidP="006D5A65">
      <w:pPr>
        <w:pStyle w:val="Heading1"/>
      </w:pPr>
      <w:r w:rsidRPr="000665B0">
        <w:t>Print Preview – Allows the operator to review the information prior to printing.</w:t>
      </w:r>
    </w:p>
    <w:p w14:paraId="0AC9B20D" w14:textId="43FF275E" w:rsidR="00134B05" w:rsidRPr="000665B0" w:rsidRDefault="00134B05" w:rsidP="009570CA">
      <w:pPr>
        <w:pStyle w:val="Heading3"/>
      </w:pPr>
      <w:bookmarkStart w:id="2227" w:name="_5.17.2__Set"/>
      <w:bookmarkStart w:id="2228" w:name="_Toc214283297"/>
      <w:bookmarkEnd w:id="2227"/>
      <w:r w:rsidRPr="000665B0">
        <w:t xml:space="preserve">Set Distribution </w:t>
      </w:r>
      <w:r w:rsidR="001A431F" w:rsidRPr="000665B0">
        <w:t>Preferences</w:t>
      </w:r>
      <w:bookmarkEnd w:id="2228"/>
    </w:p>
    <w:p w14:paraId="76C04960" w14:textId="6F4324D2" w:rsidR="00134B05" w:rsidRPr="000665B0" w:rsidRDefault="00134B05" w:rsidP="009570CA">
      <w:r w:rsidRPr="000665B0">
        <w:t xml:space="preserve">Setting the distribution </w:t>
      </w:r>
      <w:r w:rsidR="001A431F" w:rsidRPr="000665B0">
        <w:t xml:space="preserve">preferences </w:t>
      </w:r>
      <w:r w:rsidRPr="000665B0">
        <w:t>specif</w:t>
      </w:r>
      <w:r w:rsidR="0011791F" w:rsidRPr="000665B0">
        <w:t>ies</w:t>
      </w:r>
      <w:r w:rsidRPr="000665B0">
        <w:t xml:space="preserve"> where the CMDO data will be written when </w:t>
      </w:r>
      <w:r w:rsidRPr="000665B0">
        <w:rPr>
          <w:b/>
        </w:rPr>
        <w:t>Distribute CMDO Data</w:t>
      </w:r>
      <w:r w:rsidRPr="000665B0">
        <w:t xml:space="preserve"> is selected. There are two Destination Directories: one for normal distribution which is used when the CMDO State is </w:t>
      </w:r>
      <w:r w:rsidRPr="000665B0">
        <w:rPr>
          <w:b/>
        </w:rPr>
        <w:t>Approved for Distribution</w:t>
      </w:r>
      <w:r w:rsidRPr="000665B0">
        <w:t xml:space="preserve">, and one for distribution to Broker which is used when the CMDO state is </w:t>
      </w:r>
      <w:r w:rsidRPr="000665B0">
        <w:rPr>
          <w:b/>
        </w:rPr>
        <w:t>Approved for Distribution to Broker</w:t>
      </w:r>
      <w:r w:rsidRPr="000665B0">
        <w:t xml:space="preserve">. </w:t>
      </w:r>
    </w:p>
    <w:p w14:paraId="24D22D11" w14:textId="6C1BFF07" w:rsidR="0011791F" w:rsidRPr="000665B0" w:rsidRDefault="0011791F" w:rsidP="009570CA">
      <w:r w:rsidRPr="000665B0">
        <w:t>To prepare the data items for distribution, the particular platform type (MDS or a specific TED version) may also be specified. Additional data items may also be chosen to be included in the CMDO DDO.</w:t>
      </w:r>
    </w:p>
    <w:p w14:paraId="49CBF1F8" w14:textId="77777777" w:rsidR="00134B05" w:rsidRPr="00261ED1" w:rsidRDefault="00134B05"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261ED1">
        <w:rPr>
          <w:b/>
          <w:szCs w:val="24"/>
        </w:rPr>
        <w:t xml:space="preserve">Note: </w:t>
      </w:r>
    </w:p>
    <w:p w14:paraId="300E87F1" w14:textId="77777777" w:rsidR="00134B05" w:rsidRPr="00BB4EBE" w:rsidRDefault="00134B05" w:rsidP="009570CA">
      <w:pPr>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BB4EBE">
        <w:rPr>
          <w:b/>
          <w:szCs w:val="24"/>
        </w:rPr>
        <w:t>The operator is unable to distribute the CMDO Data until the associated Distribution Location is set.</w:t>
      </w:r>
    </w:p>
    <w:p w14:paraId="38820204" w14:textId="7DE8812C" w:rsidR="00134B05" w:rsidRPr="000665B0" w:rsidRDefault="00134B05" w:rsidP="009570CA">
      <w:pPr>
        <w:rPr>
          <w:szCs w:val="24"/>
        </w:rPr>
      </w:pPr>
      <w:r w:rsidRPr="000665B0">
        <w:rPr>
          <w:szCs w:val="24"/>
        </w:rPr>
        <w:t xml:space="preserve">To set the </w:t>
      </w:r>
      <w:r w:rsidR="0011791F" w:rsidRPr="000665B0">
        <w:rPr>
          <w:szCs w:val="24"/>
        </w:rPr>
        <w:t xml:space="preserve">CMDO </w:t>
      </w:r>
      <w:r w:rsidRPr="000665B0">
        <w:rPr>
          <w:szCs w:val="24"/>
        </w:rPr>
        <w:t xml:space="preserve">Distribution </w:t>
      </w:r>
      <w:r w:rsidR="001A431F" w:rsidRPr="000665B0">
        <w:rPr>
          <w:szCs w:val="24"/>
        </w:rPr>
        <w:t>Preferences</w:t>
      </w:r>
      <w:r w:rsidRPr="000665B0">
        <w:rPr>
          <w:szCs w:val="24"/>
        </w:rPr>
        <w:t>:</w:t>
      </w:r>
    </w:p>
    <w:p w14:paraId="6E9428A5" w14:textId="77777777" w:rsidR="00134B05" w:rsidRPr="000665B0" w:rsidRDefault="00134B05" w:rsidP="006D5A65">
      <w:pPr>
        <w:pStyle w:val="Heading1"/>
      </w:pPr>
      <w:r w:rsidRPr="000665B0">
        <w:lastRenderedPageBreak/>
        <w:t xml:space="preserve">Select the desired entry from the </w:t>
      </w:r>
      <w:r w:rsidRPr="000665B0">
        <w:rPr>
          <w:i/>
        </w:rPr>
        <w:t>CMDOs</w:t>
      </w:r>
      <w:r w:rsidRPr="000665B0">
        <w:t xml:space="preserve"> window.</w:t>
      </w:r>
    </w:p>
    <w:p w14:paraId="44E82FF0" w14:textId="5BB082F9" w:rsidR="00134B05" w:rsidRPr="000665B0" w:rsidRDefault="00134B05" w:rsidP="006D5A65">
      <w:pPr>
        <w:pStyle w:val="Heading1"/>
      </w:pPr>
      <w:r w:rsidRPr="000665B0">
        <w:t xml:space="preserve">From the </w:t>
      </w:r>
      <w:r w:rsidRPr="000665B0">
        <w:rPr>
          <w:bCs/>
        </w:rPr>
        <w:t xml:space="preserve">File </w:t>
      </w:r>
      <w:r w:rsidRPr="000665B0">
        <w:t xml:space="preserve">menu select Set Distribution </w:t>
      </w:r>
      <w:r w:rsidR="00DB162B" w:rsidRPr="000665B0">
        <w:t>Preferences</w:t>
      </w:r>
      <w:r w:rsidRPr="000665B0">
        <w:t>….</w:t>
      </w:r>
      <w:r w:rsidR="0011791F" w:rsidRPr="000665B0">
        <w:t xml:space="preserve"> The </w:t>
      </w:r>
      <w:r w:rsidR="0011791F" w:rsidRPr="000665B0">
        <w:rPr>
          <w:i/>
        </w:rPr>
        <w:t>CMDO Distribution Preferences</w:t>
      </w:r>
      <w:r w:rsidR="0011791F" w:rsidRPr="000665B0">
        <w:t xml:space="preserve"> window is displayed.</w:t>
      </w:r>
    </w:p>
    <w:p w14:paraId="5CC57C45" w14:textId="2C3F9075" w:rsidR="00017FEF" w:rsidRDefault="00BA08D7" w:rsidP="009570CA">
      <w:pPr>
        <w:jc w:val="center"/>
        <w:rPr>
          <w:rStyle w:val="CommentReference"/>
        </w:rPr>
      </w:pPr>
      <w:r>
        <w:rPr>
          <w:rStyle w:val="CommentReference"/>
          <w:noProof/>
        </w:rPr>
        <w:drawing>
          <wp:inline distT="0" distB="0" distL="0" distR="0" wp14:anchorId="798C26FB" wp14:editId="6F1681A7">
            <wp:extent cx="3246120" cy="2344420"/>
            <wp:effectExtent l="0" t="0" r="0" b="0"/>
            <wp:docPr id="158065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3257499" cy="2352638"/>
                    </a:xfrm>
                    <a:prstGeom prst="rect">
                      <a:avLst/>
                    </a:prstGeom>
                    <a:noFill/>
                    <a:ln>
                      <a:noFill/>
                    </a:ln>
                  </pic:spPr>
                </pic:pic>
              </a:graphicData>
            </a:graphic>
          </wp:inline>
        </w:drawing>
      </w:r>
    </w:p>
    <w:p w14:paraId="4ECA497E" w14:textId="7F7166FB" w:rsidR="00134B05" w:rsidRPr="000665B0" w:rsidRDefault="00EA43AC" w:rsidP="006D5A65">
      <w:pPr>
        <w:pStyle w:val="Heading1"/>
      </w:pPr>
      <w:r w:rsidRPr="000665B0">
        <w:t>C</w:t>
      </w:r>
      <w:r w:rsidR="00134B05" w:rsidRPr="000665B0">
        <w:t>lick the Browse… button</w:t>
      </w:r>
      <w:r w:rsidRPr="000665B0">
        <w:t xml:space="preserve"> in the</w:t>
      </w:r>
      <w:r w:rsidR="00134B05" w:rsidRPr="000665B0">
        <w:t xml:space="preserve"> </w:t>
      </w:r>
      <w:r w:rsidRPr="000665B0">
        <w:t>Approved for Distribution and</w:t>
      </w:r>
      <w:r w:rsidR="006054D4" w:rsidRPr="000665B0">
        <w:t>/or</w:t>
      </w:r>
      <w:r w:rsidRPr="000665B0">
        <w:t xml:space="preserve"> Approved for distribution to Broker panes </w:t>
      </w:r>
      <w:r w:rsidR="00134B05" w:rsidRPr="000665B0">
        <w:t>to choose a location where the data is to be stored.</w:t>
      </w:r>
    </w:p>
    <w:p w14:paraId="523CECB7" w14:textId="0C34D596" w:rsidR="00DB162B" w:rsidRPr="000665B0" w:rsidRDefault="00EA43AC" w:rsidP="006D5A65">
      <w:pPr>
        <w:pStyle w:val="Heading1"/>
      </w:pPr>
      <w:r w:rsidRPr="000665B0">
        <w:t xml:space="preserve">Select the </w:t>
      </w:r>
      <w:r w:rsidR="001A431F" w:rsidRPr="000665B0">
        <w:t>particular platform type (MDS or a specific TED version)</w:t>
      </w:r>
      <w:r w:rsidRPr="000665B0">
        <w:t xml:space="preserve"> in the Media Information pane</w:t>
      </w:r>
      <w:r w:rsidR="001A431F" w:rsidRPr="000665B0">
        <w:t>. Based on the platform type, MDS generates the correct format of the data for the intended recipient.</w:t>
      </w:r>
      <w:r w:rsidR="00DB162B" w:rsidRPr="000665B0">
        <w:t xml:space="preserve"> </w:t>
      </w:r>
      <w:r w:rsidRPr="000665B0">
        <w:t>All selections are enabled by default.</w:t>
      </w:r>
    </w:p>
    <w:p w14:paraId="7200B016" w14:textId="20D7C149" w:rsidR="00DB162B" w:rsidRPr="000665B0" w:rsidRDefault="000735EB" w:rsidP="006D5A65">
      <w:pPr>
        <w:pStyle w:val="Heading1"/>
      </w:pPr>
      <w:r w:rsidRPr="000665B0">
        <w:t>Select the additional data items</w:t>
      </w:r>
      <w:r w:rsidR="00472AB0" w:rsidRPr="000665B0">
        <w:t xml:space="preserve"> to be included in the CMDO DDO</w:t>
      </w:r>
      <w:r w:rsidRPr="000665B0">
        <w:t xml:space="preserve"> in the </w:t>
      </w:r>
      <w:r w:rsidR="00DB162B" w:rsidRPr="000665B0">
        <w:t>Include Related Data pane</w:t>
      </w:r>
      <w:r w:rsidR="00EA43AC" w:rsidRPr="000665B0">
        <w:t>. All select</w:t>
      </w:r>
      <w:r w:rsidR="00926246" w:rsidRPr="000665B0">
        <w:t>i</w:t>
      </w:r>
      <w:r w:rsidR="00EA43AC" w:rsidRPr="000665B0">
        <w:t>on</w:t>
      </w:r>
      <w:r w:rsidR="00926246" w:rsidRPr="000665B0">
        <w:t>s</w:t>
      </w:r>
      <w:r w:rsidR="00EA43AC" w:rsidRPr="000665B0">
        <w:t xml:space="preserve"> are enabled by default.</w:t>
      </w:r>
    </w:p>
    <w:p w14:paraId="1F703B5F" w14:textId="5C45C7B4" w:rsidR="00DB162B" w:rsidRPr="000665B0" w:rsidRDefault="00DB162B" w:rsidP="006D5A65">
      <w:pPr>
        <w:pStyle w:val="Heading1"/>
        <w:rPr>
          <w:szCs w:val="24"/>
        </w:rPr>
      </w:pPr>
      <w:r w:rsidRPr="000665B0">
        <w:rPr>
          <w:szCs w:val="24"/>
        </w:rPr>
        <w:t>109E TEFs –</w:t>
      </w:r>
      <w:r w:rsidR="00926246" w:rsidRPr="000665B0">
        <w:rPr>
          <w:szCs w:val="24"/>
        </w:rPr>
        <w:t xml:space="preserve"> </w:t>
      </w:r>
      <w:r w:rsidR="00472AB0" w:rsidRPr="000665B0">
        <w:rPr>
          <w:szCs w:val="24"/>
        </w:rPr>
        <w:t xml:space="preserve">See </w:t>
      </w:r>
      <w:hyperlink w:anchor="_Create_Media_DDO" w:history="1">
        <w:r w:rsidR="00472AB0" w:rsidRPr="000665B0">
          <w:rPr>
            <w:rStyle w:val="Hyperlink"/>
            <w:szCs w:val="24"/>
          </w:rPr>
          <w:t xml:space="preserve">Section </w:t>
        </w:r>
        <w:r w:rsidR="004231CC">
          <w:rPr>
            <w:rStyle w:val="Hyperlink"/>
            <w:szCs w:val="24"/>
          </w:rPr>
          <w:t>5.16</w:t>
        </w:r>
        <w:r w:rsidR="00472AB0" w:rsidRPr="000665B0">
          <w:rPr>
            <w:rStyle w:val="Hyperlink"/>
            <w:szCs w:val="24"/>
          </w:rPr>
          <w:t>.</w:t>
        </w:r>
        <w:r w:rsidR="000269AD">
          <w:rPr>
            <w:rStyle w:val="Hyperlink"/>
            <w:szCs w:val="24"/>
          </w:rPr>
          <w:t>3</w:t>
        </w:r>
        <w:r w:rsidR="00472AB0" w:rsidRPr="000665B0">
          <w:rPr>
            <w:rStyle w:val="Hyperlink"/>
            <w:szCs w:val="24"/>
          </w:rPr>
          <w:t>.2</w:t>
        </w:r>
      </w:hyperlink>
      <w:r w:rsidRPr="000665B0">
        <w:rPr>
          <w:szCs w:val="24"/>
        </w:rPr>
        <w:t>.</w:t>
      </w:r>
    </w:p>
    <w:p w14:paraId="3A72A7D6" w14:textId="528DA3DA" w:rsidR="00DB162B" w:rsidRPr="000665B0" w:rsidRDefault="00DB162B" w:rsidP="006D5A65">
      <w:pPr>
        <w:pStyle w:val="Heading1"/>
        <w:rPr>
          <w:szCs w:val="24"/>
        </w:rPr>
      </w:pPr>
      <w:r w:rsidRPr="000665B0">
        <w:rPr>
          <w:szCs w:val="24"/>
        </w:rPr>
        <w:t>All TEFs –</w:t>
      </w:r>
      <w:r w:rsidR="00472AB0" w:rsidRPr="000665B0">
        <w:rPr>
          <w:szCs w:val="24"/>
        </w:rPr>
        <w:t xml:space="preserve"> See </w:t>
      </w:r>
      <w:hyperlink w:anchor="_Create_Media_DDO" w:history="1">
        <w:r w:rsidR="00472AB0" w:rsidRPr="000665B0">
          <w:rPr>
            <w:rStyle w:val="Hyperlink"/>
            <w:szCs w:val="24"/>
          </w:rPr>
          <w:t xml:space="preserve">Section </w:t>
        </w:r>
        <w:r w:rsidR="004231CC">
          <w:rPr>
            <w:rStyle w:val="Hyperlink"/>
            <w:szCs w:val="24"/>
          </w:rPr>
          <w:t>5.16</w:t>
        </w:r>
        <w:r w:rsidR="00472AB0" w:rsidRPr="000665B0">
          <w:rPr>
            <w:rStyle w:val="Hyperlink"/>
            <w:szCs w:val="24"/>
          </w:rPr>
          <w:t>.</w:t>
        </w:r>
        <w:r w:rsidR="000269AD">
          <w:rPr>
            <w:rStyle w:val="Hyperlink"/>
            <w:szCs w:val="24"/>
          </w:rPr>
          <w:t>3</w:t>
        </w:r>
        <w:r w:rsidR="00472AB0" w:rsidRPr="000665B0">
          <w:rPr>
            <w:rStyle w:val="Hyperlink"/>
            <w:szCs w:val="24"/>
          </w:rPr>
          <w:t>.2</w:t>
        </w:r>
      </w:hyperlink>
      <w:r w:rsidRPr="000665B0">
        <w:rPr>
          <w:szCs w:val="24"/>
        </w:rPr>
        <w:t>.</w:t>
      </w:r>
    </w:p>
    <w:p w14:paraId="24C93936" w14:textId="2A1A1F5B" w:rsidR="00DB162B" w:rsidRPr="000665B0" w:rsidRDefault="00DB162B" w:rsidP="006D5A65">
      <w:pPr>
        <w:pStyle w:val="Heading1"/>
      </w:pPr>
      <w:r w:rsidRPr="000665B0">
        <w:t>Auto Generate TED Library – When selected, MDS automatically adds a mission(s) to mission libraries based on the CMDO it belongs to.</w:t>
      </w:r>
    </w:p>
    <w:p w14:paraId="79C101B2" w14:textId="5A400069" w:rsidR="000735EB" w:rsidRPr="000665B0" w:rsidRDefault="000735EB" w:rsidP="006D5A65">
      <w:pPr>
        <w:pStyle w:val="Heading1"/>
      </w:pPr>
      <w:r w:rsidRPr="000665B0">
        <w:t>Click OK.</w:t>
      </w:r>
    </w:p>
    <w:p w14:paraId="41724D0D" w14:textId="50CBB3B1" w:rsidR="00134B05" w:rsidRPr="000665B0" w:rsidRDefault="00134B05" w:rsidP="009570CA">
      <w:pPr>
        <w:pStyle w:val="Heading3"/>
      </w:pPr>
      <w:bookmarkStart w:id="2229" w:name="_5.17.3__Distribute"/>
      <w:bookmarkStart w:id="2230" w:name="_Toc214283298"/>
      <w:bookmarkEnd w:id="2229"/>
      <w:r w:rsidRPr="000665B0">
        <w:t>Distribute CMDO Data</w:t>
      </w:r>
      <w:bookmarkEnd w:id="2230"/>
    </w:p>
    <w:p w14:paraId="5902C33D" w14:textId="3F960C44" w:rsidR="00134B05" w:rsidRPr="000665B0" w:rsidRDefault="00134B05" w:rsidP="009570CA">
      <w:r w:rsidRPr="000665B0">
        <w:t xml:space="preserve">Once the </w:t>
      </w:r>
      <w:r w:rsidR="00306E14" w:rsidRPr="000665B0">
        <w:t xml:space="preserve">TM </w:t>
      </w:r>
      <w:r w:rsidRPr="000665B0">
        <w:t xml:space="preserve">user sets a CMDO to </w:t>
      </w:r>
      <w:r w:rsidRPr="000665B0">
        <w:rPr>
          <w:b/>
        </w:rPr>
        <w:t>Approved for Distribution</w:t>
      </w:r>
      <w:r w:rsidRPr="000665B0">
        <w:t xml:space="preserve"> or </w:t>
      </w:r>
      <w:r w:rsidRPr="000665B0">
        <w:rPr>
          <w:b/>
        </w:rPr>
        <w:t>Approved for Distribution to Broker</w:t>
      </w:r>
      <w:r w:rsidRPr="000665B0">
        <w:t xml:space="preserve">, the CMDO can then be “Distributed.” Distributing a CMDO results in a media DDO being written to the appropriate Distribution Location (see </w:t>
      </w:r>
      <w:hyperlink w:anchor="_5.17.2__Set" w:history="1">
        <w:r w:rsidRPr="000665B0">
          <w:rPr>
            <w:color w:val="0000FF"/>
            <w:u w:val="single"/>
          </w:rPr>
          <w:t>Section 5.</w:t>
        </w:r>
        <w:r w:rsidR="00D34FE4">
          <w:rPr>
            <w:color w:val="0000FF"/>
            <w:u w:val="single"/>
          </w:rPr>
          <w:t>1</w:t>
        </w:r>
        <w:r w:rsidR="004231CC">
          <w:rPr>
            <w:color w:val="0000FF"/>
            <w:u w:val="single"/>
          </w:rPr>
          <w:t>5</w:t>
        </w:r>
        <w:r w:rsidRPr="000665B0">
          <w:rPr>
            <w:color w:val="0000FF"/>
            <w:u w:val="single"/>
          </w:rPr>
          <w:t>.</w:t>
        </w:r>
        <w:r w:rsidR="00BF23CF">
          <w:rPr>
            <w:color w:val="0000FF"/>
            <w:u w:val="single"/>
          </w:rPr>
          <w:t>3</w:t>
        </w:r>
      </w:hyperlink>
      <w:r w:rsidRPr="000665B0">
        <w:t>). The DDO will contain a transfer file, C2X file, TEFs, and a DDO manifest.</w:t>
      </w:r>
    </w:p>
    <w:p w14:paraId="5A08DAFE" w14:textId="77777777" w:rsidR="00134B05" w:rsidRPr="000665B0" w:rsidRDefault="00134B05" w:rsidP="009570CA">
      <w:r w:rsidRPr="000665B0">
        <w:t>To Distribute CMDO Data:</w:t>
      </w:r>
    </w:p>
    <w:p w14:paraId="20C62854" w14:textId="77777777" w:rsidR="00134B05" w:rsidRPr="000665B0" w:rsidRDefault="00134B05" w:rsidP="006D5A65">
      <w:pPr>
        <w:pStyle w:val="Heading1"/>
      </w:pPr>
      <w:r w:rsidRPr="000665B0">
        <w:t xml:space="preserve">Select the desired entry from the </w:t>
      </w:r>
      <w:r w:rsidRPr="000665B0">
        <w:rPr>
          <w:i/>
        </w:rPr>
        <w:t>CMDOs</w:t>
      </w:r>
      <w:r w:rsidRPr="000665B0">
        <w:t xml:space="preserve"> window.</w:t>
      </w:r>
    </w:p>
    <w:p w14:paraId="6D05E120" w14:textId="355FADC4" w:rsidR="00134B05" w:rsidRPr="000665B0" w:rsidRDefault="00134B05" w:rsidP="006D5A65">
      <w:pPr>
        <w:pStyle w:val="Heading1"/>
      </w:pPr>
      <w:r w:rsidRPr="000665B0">
        <w:t>Invoke the context menu (</w:t>
      </w:r>
      <w:r w:rsidR="00D71804" w:rsidRPr="000665B0">
        <w:t>right-click</w:t>
      </w:r>
      <w:r w:rsidRPr="000665B0">
        <w:t xml:space="preserve"> the mouse) and select Distribute CMDO Data. If the operator does not have the write </w:t>
      </w:r>
      <w:r w:rsidRPr="000665B0">
        <w:lastRenderedPageBreak/>
        <w:t xml:space="preserve">permission to the chosen location, the </w:t>
      </w:r>
      <w:r w:rsidRPr="000665B0">
        <w:rPr>
          <w:i/>
        </w:rPr>
        <w:t>CMDO Distribution</w:t>
      </w:r>
      <w:r w:rsidRPr="000665B0">
        <w:t xml:space="preserve"> window appears notifying the user.</w:t>
      </w:r>
    </w:p>
    <w:p w14:paraId="159A74D3" w14:textId="77777777" w:rsidR="00134B05" w:rsidRPr="000665B0" w:rsidRDefault="00134B05" w:rsidP="006D5A65">
      <w:pPr>
        <w:pStyle w:val="Heading1"/>
      </w:pPr>
      <w:r w:rsidRPr="000665B0">
        <w:t>Once the CMDO Data is distributed, the CMDO state is updated to Complete and the Missions contained within the CMDO are updated to set the CMDO DTG to the date (DTG) that the Transfer File was created.</w:t>
      </w:r>
    </w:p>
    <w:p w14:paraId="61808137" w14:textId="77777777" w:rsidR="00134B05" w:rsidRPr="000665B0" w:rsidRDefault="00134B05"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19EA0E86" w14:textId="77777777" w:rsidR="00134B05" w:rsidRPr="000665B0" w:rsidRDefault="00134B05"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MDS does not allow CMDO Data distribution if the missions in the CMDO are marked as “Deactive” in the State column, “X” in the Internal Hold column, and/or “Missing” in the Mission Name column of the list view.</w:t>
      </w:r>
    </w:p>
    <w:p w14:paraId="433BE19A" w14:textId="31B96C9C" w:rsidR="00134B05" w:rsidRPr="000665B0" w:rsidRDefault="00134B05" w:rsidP="009570CA">
      <w:pPr>
        <w:pStyle w:val="Heading3"/>
      </w:pPr>
      <w:bookmarkStart w:id="2231" w:name="_Toc214283299"/>
      <w:r w:rsidRPr="000665B0">
        <w:t>Validate Missions</w:t>
      </w:r>
      <w:bookmarkEnd w:id="2231"/>
    </w:p>
    <w:p w14:paraId="6B4AB040" w14:textId="030152B1" w:rsidR="00134B05" w:rsidRPr="000665B0" w:rsidRDefault="00C97F50" w:rsidP="009570CA">
      <w:r w:rsidRPr="000665B0">
        <w:t>S</w:t>
      </w:r>
      <w:r w:rsidR="00C77A5E" w:rsidRPr="000665B0">
        <w:t xml:space="preserve">ee </w:t>
      </w:r>
      <w:hyperlink w:anchor="_5.13.9__Validate_1" w:history="1">
        <w:r w:rsidR="00134B05" w:rsidRPr="000665B0">
          <w:rPr>
            <w:rStyle w:val="Hyperlink"/>
          </w:rPr>
          <w:t>Section 5.</w:t>
        </w:r>
        <w:r w:rsidR="00C77A5E" w:rsidRPr="000665B0">
          <w:rPr>
            <w:rStyle w:val="Hyperlink"/>
          </w:rPr>
          <w:t>12</w:t>
        </w:r>
        <w:r w:rsidR="00134B05" w:rsidRPr="000665B0">
          <w:rPr>
            <w:rStyle w:val="Hyperlink"/>
          </w:rPr>
          <w:t>.9</w:t>
        </w:r>
      </w:hyperlink>
      <w:r w:rsidR="00134B05" w:rsidRPr="000665B0">
        <w:t>.</w:t>
      </w:r>
    </w:p>
    <w:p w14:paraId="2B588941" w14:textId="3188784F" w:rsidR="00134B05" w:rsidRPr="000665B0" w:rsidRDefault="00134B05" w:rsidP="009570CA">
      <w:pPr>
        <w:pStyle w:val="Heading3"/>
      </w:pPr>
      <w:bookmarkStart w:id="2232" w:name="_Toc214283300"/>
      <w:r w:rsidRPr="000665B0">
        <w:t>Multiple Mission Edits</w:t>
      </w:r>
      <w:bookmarkEnd w:id="2232"/>
    </w:p>
    <w:p w14:paraId="7E963BC8" w14:textId="506DA435" w:rsidR="00134B05" w:rsidRPr="000665B0" w:rsidRDefault="00C97F50" w:rsidP="009570CA">
      <w:r w:rsidRPr="000665B0">
        <w:t>S</w:t>
      </w:r>
      <w:r w:rsidR="00C77A5E" w:rsidRPr="000665B0">
        <w:t>ee</w:t>
      </w:r>
      <w:r w:rsidR="00134B05" w:rsidRPr="000665B0">
        <w:t xml:space="preserve"> </w:t>
      </w:r>
      <w:hyperlink w:anchor="_5.6.12__Multiple" w:history="1">
        <w:r w:rsidR="00134B05" w:rsidRPr="000665B0">
          <w:rPr>
            <w:rStyle w:val="Hyperlink"/>
          </w:rPr>
          <w:t>Section 5.</w:t>
        </w:r>
        <w:r w:rsidR="00C526BF" w:rsidRPr="000665B0">
          <w:rPr>
            <w:rStyle w:val="Hyperlink"/>
          </w:rPr>
          <w:t>5</w:t>
        </w:r>
        <w:r w:rsidR="00134B05" w:rsidRPr="000665B0">
          <w:rPr>
            <w:rStyle w:val="Hyperlink"/>
          </w:rPr>
          <w:t>.11</w:t>
        </w:r>
      </w:hyperlink>
      <w:r w:rsidR="00134B05" w:rsidRPr="000665B0">
        <w:t>.</w:t>
      </w:r>
    </w:p>
    <w:p w14:paraId="64805832" w14:textId="5B7C4E28" w:rsidR="00134B05" w:rsidRPr="000665B0" w:rsidRDefault="00134B05" w:rsidP="009570CA">
      <w:pPr>
        <w:pStyle w:val="Heading3"/>
      </w:pPr>
      <w:bookmarkStart w:id="2233" w:name="_Toc214283301"/>
      <w:r w:rsidRPr="000665B0">
        <w:t>Find</w:t>
      </w:r>
      <w:bookmarkEnd w:id="2233"/>
    </w:p>
    <w:p w14:paraId="2AC46FC6" w14:textId="7A156278" w:rsidR="00134B05" w:rsidRPr="000665B0" w:rsidRDefault="00C97F50" w:rsidP="009570CA">
      <w:r w:rsidRPr="000665B0">
        <w:t>S</w:t>
      </w:r>
      <w:r w:rsidR="00C77A5E" w:rsidRPr="000665B0">
        <w:t>ee</w:t>
      </w:r>
      <w:r w:rsidR="00134B05" w:rsidRPr="000665B0">
        <w:t xml:space="preserve"> </w:t>
      </w:r>
      <w:hyperlink w:anchor="_5.2.5.1__Find_1" w:history="1">
        <w:r w:rsidR="00134B05" w:rsidRPr="000665B0">
          <w:rPr>
            <w:rStyle w:val="Hyperlink"/>
          </w:rPr>
          <w:t>Section 5.2.5.1</w:t>
        </w:r>
      </w:hyperlink>
      <w:r w:rsidR="00134B05" w:rsidRPr="000665B0">
        <w:t>.</w:t>
      </w:r>
    </w:p>
    <w:p w14:paraId="5B6AFB1A" w14:textId="77777777" w:rsidR="00C133A3" w:rsidRPr="000665B0" w:rsidRDefault="00C133A3" w:rsidP="009570CA">
      <w:pPr>
        <w:pStyle w:val="Heading3"/>
      </w:pPr>
      <w:bookmarkStart w:id="2234" w:name="_Toc214283302"/>
      <w:r w:rsidRPr="000665B0">
        <w:t>Plugin Tool</w:t>
      </w:r>
      <w:bookmarkEnd w:id="2234"/>
    </w:p>
    <w:p w14:paraId="03F74A73" w14:textId="4DEFC62B" w:rsidR="00C133A3" w:rsidRPr="000665B0" w:rsidRDefault="00C97F50" w:rsidP="009570CA">
      <w:r w:rsidRPr="000665B0">
        <w:t>S</w:t>
      </w:r>
      <w:r w:rsidR="00C77A5E" w:rsidRPr="000665B0">
        <w:t>ee</w:t>
      </w:r>
      <w:r w:rsidR="00C133A3" w:rsidRPr="000665B0">
        <w:t xml:space="preserve"> </w:t>
      </w:r>
      <w:hyperlink w:anchor="_Plugin__Tool" w:history="1">
        <w:r w:rsidR="00C133A3" w:rsidRPr="000665B0">
          <w:rPr>
            <w:rStyle w:val="Hyperlink"/>
          </w:rPr>
          <w:t>Section 5.2.5.2</w:t>
        </w:r>
      </w:hyperlink>
      <w:r w:rsidR="00C133A3" w:rsidRPr="000665B0">
        <w:t>.</w:t>
      </w:r>
    </w:p>
    <w:p w14:paraId="4D00D133" w14:textId="4ACF3E1B" w:rsidR="00134B05" w:rsidRPr="000665B0" w:rsidRDefault="00134B05" w:rsidP="009570CA">
      <w:pPr>
        <w:pStyle w:val="Heading3"/>
      </w:pPr>
      <w:bookmarkStart w:id="2235" w:name="_Toc214283303"/>
      <w:r w:rsidRPr="000665B0">
        <w:t>Print All</w:t>
      </w:r>
      <w:bookmarkEnd w:id="2235"/>
    </w:p>
    <w:p w14:paraId="33667C4D" w14:textId="3E76D841" w:rsidR="00134B05" w:rsidRPr="000665B0" w:rsidRDefault="00C97F50" w:rsidP="009570CA">
      <w:r w:rsidRPr="000665B0">
        <w:t>S</w:t>
      </w:r>
      <w:r w:rsidR="00C77A5E" w:rsidRPr="000665B0">
        <w:t>ee</w:t>
      </w:r>
      <w:r w:rsidR="00134B05" w:rsidRPr="000665B0">
        <w:t xml:space="preserve"> </w:t>
      </w:r>
      <w:hyperlink w:anchor="_5.2.1.5__Print" w:history="1">
        <w:r w:rsidR="00134B05" w:rsidRPr="000665B0">
          <w:rPr>
            <w:rStyle w:val="Hyperlink"/>
          </w:rPr>
          <w:t>Section 5.2.1.5</w:t>
        </w:r>
      </w:hyperlink>
      <w:r w:rsidR="00134B05" w:rsidRPr="000665B0">
        <w:t>.</w:t>
      </w:r>
    </w:p>
    <w:p w14:paraId="7DBB6997" w14:textId="0B8E6907" w:rsidR="00134B05" w:rsidRPr="000665B0" w:rsidRDefault="00134B05" w:rsidP="009570CA">
      <w:pPr>
        <w:pStyle w:val="Heading3"/>
      </w:pPr>
      <w:bookmarkStart w:id="2236" w:name="_Toc214283304"/>
      <w:r w:rsidRPr="000665B0">
        <w:t>Display All in Excel</w:t>
      </w:r>
      <w:bookmarkEnd w:id="2236"/>
    </w:p>
    <w:p w14:paraId="19CEBAF9" w14:textId="3EEC0DA6" w:rsidR="00134B05" w:rsidRPr="000665B0" w:rsidRDefault="00C97F50" w:rsidP="009570CA">
      <w:r w:rsidRPr="000665B0">
        <w:t>S</w:t>
      </w:r>
      <w:r w:rsidR="00C77A5E" w:rsidRPr="000665B0">
        <w:t>ee</w:t>
      </w:r>
      <w:r w:rsidR="00134B05" w:rsidRPr="000665B0">
        <w:t xml:space="preserve"> </w:t>
      </w:r>
      <w:hyperlink w:anchor="_5.2.1.2.1__Display_1" w:history="1">
        <w:r w:rsidR="00134B05" w:rsidRPr="000665B0">
          <w:rPr>
            <w:rStyle w:val="Hyperlink"/>
          </w:rPr>
          <w:t>Section 5.2.1.2.1</w:t>
        </w:r>
      </w:hyperlink>
      <w:r w:rsidR="00134B05" w:rsidRPr="000665B0">
        <w:t>.</w:t>
      </w:r>
    </w:p>
    <w:p w14:paraId="2AE79256" w14:textId="715FF580" w:rsidR="00134B05" w:rsidRPr="000665B0" w:rsidRDefault="00134B05" w:rsidP="009570CA">
      <w:pPr>
        <w:pStyle w:val="Heading3"/>
      </w:pPr>
      <w:bookmarkStart w:id="2237" w:name="_Toc214283305"/>
      <w:r w:rsidRPr="000665B0">
        <w:t>Select All</w:t>
      </w:r>
      <w:bookmarkEnd w:id="2237"/>
    </w:p>
    <w:p w14:paraId="10E5C9B5" w14:textId="73350E62" w:rsidR="00134B05" w:rsidRPr="000665B0" w:rsidRDefault="00C97F50" w:rsidP="009570CA">
      <w:r w:rsidRPr="000665B0">
        <w:t>S</w:t>
      </w:r>
      <w:r w:rsidR="00C77A5E" w:rsidRPr="000665B0">
        <w:t>ee</w:t>
      </w:r>
      <w:r w:rsidR="00134B05" w:rsidRPr="000665B0">
        <w:t xml:space="preserve"> </w:t>
      </w:r>
      <w:hyperlink w:anchor="_5.2.2.1__Select_1" w:history="1">
        <w:r w:rsidR="00134B05" w:rsidRPr="000665B0">
          <w:rPr>
            <w:rStyle w:val="Hyperlink"/>
          </w:rPr>
          <w:t>Section 5.2.2.1</w:t>
        </w:r>
      </w:hyperlink>
      <w:r w:rsidR="00134B05" w:rsidRPr="000665B0">
        <w:t>.</w:t>
      </w:r>
    </w:p>
    <w:p w14:paraId="5A77DDC6" w14:textId="68B6648B" w:rsidR="00134B05" w:rsidRPr="000665B0" w:rsidRDefault="00134B05" w:rsidP="009570CA">
      <w:pPr>
        <w:pStyle w:val="Heading3"/>
      </w:pPr>
      <w:bookmarkStart w:id="2238" w:name="_Toc214283306"/>
      <w:r w:rsidRPr="000665B0">
        <w:t>Delete</w:t>
      </w:r>
      <w:bookmarkEnd w:id="2238"/>
    </w:p>
    <w:p w14:paraId="4383D789" w14:textId="21DC1101" w:rsidR="00134B05" w:rsidRPr="000665B0" w:rsidRDefault="00C97F50" w:rsidP="009570CA">
      <w:r w:rsidRPr="000665B0">
        <w:t>S</w:t>
      </w:r>
      <w:r w:rsidR="00C77A5E" w:rsidRPr="000665B0">
        <w:t>ee</w:t>
      </w:r>
      <w:r w:rsidR="00134B05" w:rsidRPr="000665B0">
        <w:t xml:space="preserve"> </w:t>
      </w:r>
      <w:hyperlink w:anchor="_5.2.1.6__Delete" w:history="1">
        <w:r w:rsidR="00134B05" w:rsidRPr="000665B0">
          <w:rPr>
            <w:rStyle w:val="Hyperlink"/>
          </w:rPr>
          <w:t>Section 5.2.1.6</w:t>
        </w:r>
      </w:hyperlink>
      <w:r w:rsidR="00134B05" w:rsidRPr="000665B0">
        <w:t>.</w:t>
      </w:r>
    </w:p>
    <w:p w14:paraId="33F07E1C" w14:textId="383C05C8" w:rsidR="00134B05" w:rsidRPr="000665B0" w:rsidRDefault="00134B05" w:rsidP="009570CA">
      <w:pPr>
        <w:pStyle w:val="Heading3"/>
      </w:pPr>
      <w:bookmarkStart w:id="2239" w:name="_Toc214283307"/>
      <w:r w:rsidRPr="000665B0">
        <w:t>Properties</w:t>
      </w:r>
      <w:bookmarkEnd w:id="2239"/>
    </w:p>
    <w:p w14:paraId="2C22BBC2" w14:textId="167DBF99" w:rsidR="00134B05" w:rsidRPr="000665B0" w:rsidRDefault="00C97F50" w:rsidP="009570CA">
      <w:r w:rsidRPr="000665B0">
        <w:t>S</w:t>
      </w:r>
      <w:r w:rsidR="00C77A5E" w:rsidRPr="000665B0">
        <w:t>ee</w:t>
      </w:r>
      <w:r w:rsidR="00134B05" w:rsidRPr="000665B0">
        <w:t xml:space="preserve"> </w:t>
      </w:r>
      <w:hyperlink w:anchor="_5.2.3.4__Properties" w:history="1">
        <w:r w:rsidR="00A75813" w:rsidRPr="000665B0">
          <w:rPr>
            <w:rStyle w:val="Hyperlink"/>
          </w:rPr>
          <w:t>Section 5.2.3.5</w:t>
        </w:r>
      </w:hyperlink>
      <w:r w:rsidR="00134B05" w:rsidRPr="000665B0">
        <w:t>.</w:t>
      </w:r>
    </w:p>
    <w:p w14:paraId="4B89D52C" w14:textId="71B6A8F6" w:rsidR="00134B05" w:rsidRPr="000665B0" w:rsidRDefault="00134B05" w:rsidP="009570CA">
      <w:pPr>
        <w:pStyle w:val="Heading3"/>
      </w:pPr>
      <w:bookmarkStart w:id="2240" w:name="_Toc214283308"/>
      <w:r w:rsidRPr="000665B0">
        <w:lastRenderedPageBreak/>
        <w:t>Sort</w:t>
      </w:r>
      <w:bookmarkEnd w:id="2240"/>
    </w:p>
    <w:p w14:paraId="01C3CEB5" w14:textId="4011EBB8" w:rsidR="00134B05" w:rsidRPr="000665B0" w:rsidRDefault="00C97F50" w:rsidP="009570CA">
      <w:r w:rsidRPr="000665B0">
        <w:t>S</w:t>
      </w:r>
      <w:r w:rsidR="00C77A5E" w:rsidRPr="000665B0">
        <w:t>ee</w:t>
      </w:r>
      <w:r w:rsidR="00134B05" w:rsidRPr="000665B0">
        <w:t xml:space="preserve"> </w:t>
      </w:r>
      <w:hyperlink w:anchor="_5.2.3.4.1__Sort" w:history="1">
        <w:r w:rsidR="00A75813" w:rsidRPr="000665B0">
          <w:rPr>
            <w:rStyle w:val="Hyperlink"/>
          </w:rPr>
          <w:t>Section 5.2.3.5</w:t>
        </w:r>
        <w:r w:rsidR="00134B05" w:rsidRPr="000665B0">
          <w:rPr>
            <w:rStyle w:val="Hyperlink"/>
          </w:rPr>
          <w:t>.1</w:t>
        </w:r>
      </w:hyperlink>
    </w:p>
    <w:p w14:paraId="4FDDA170" w14:textId="077CE75F" w:rsidR="00134B05" w:rsidRPr="000665B0" w:rsidRDefault="00134B05" w:rsidP="009570CA">
      <w:pPr>
        <w:pStyle w:val="Heading3"/>
      </w:pPr>
      <w:bookmarkStart w:id="2241" w:name="_Toc214283309"/>
      <w:r w:rsidRPr="000665B0">
        <w:t>Receive File</w:t>
      </w:r>
      <w:bookmarkEnd w:id="2241"/>
    </w:p>
    <w:p w14:paraId="04871B90" w14:textId="5360ED6C" w:rsidR="00134B05" w:rsidRPr="000665B0" w:rsidRDefault="00C97F50" w:rsidP="009570CA">
      <w:pPr>
        <w:spacing w:after="0"/>
      </w:pPr>
      <w:r w:rsidRPr="000665B0">
        <w:t>S</w:t>
      </w:r>
      <w:r w:rsidR="00C77A5E" w:rsidRPr="000665B0">
        <w:t>ee</w:t>
      </w:r>
      <w:r w:rsidR="00134B05" w:rsidRPr="000665B0">
        <w:t xml:space="preserve"> </w:t>
      </w:r>
      <w:hyperlink w:anchor="_5.2.1.7__Receive" w:history="1">
        <w:r w:rsidR="00134B05" w:rsidRPr="000665B0">
          <w:rPr>
            <w:color w:val="0000FF"/>
            <w:u w:val="single"/>
          </w:rPr>
          <w:t>Section 5.2.1.7</w:t>
        </w:r>
      </w:hyperlink>
      <w:r w:rsidR="00134B05" w:rsidRPr="000665B0">
        <w:t>.</w:t>
      </w:r>
    </w:p>
    <w:p w14:paraId="4E390D92" w14:textId="77777777" w:rsidR="00F96AD0" w:rsidRPr="000665B0" w:rsidRDefault="00F96AD0" w:rsidP="009570CA">
      <w:pPr>
        <w:rPr>
          <w:szCs w:val="24"/>
        </w:rPr>
      </w:pPr>
      <w:bookmarkStart w:id="2242" w:name="_Toc71955390"/>
      <w:bookmarkStart w:id="2243" w:name="_Toc96169988"/>
      <w:bookmarkStart w:id="2244" w:name="_Toc96234033"/>
      <w:bookmarkStart w:id="2245" w:name="_Toc112733462"/>
      <w:bookmarkStart w:id="2246" w:name="_Toc289328501"/>
      <w:bookmarkEnd w:id="2218"/>
      <w:bookmarkEnd w:id="2219"/>
      <w:bookmarkEnd w:id="2220"/>
      <w:bookmarkEnd w:id="2221"/>
      <w:bookmarkEnd w:id="2222"/>
      <w:bookmarkEnd w:id="2223"/>
    </w:p>
    <w:p w14:paraId="23715689" w14:textId="77777777" w:rsidR="00A316EA" w:rsidRDefault="00A316EA" w:rsidP="006966D9">
      <w:pPr>
        <w:pStyle w:val="Heading2"/>
      </w:pPr>
      <w:bookmarkStart w:id="2247" w:name="_5.17.3.1__DDO"/>
      <w:bookmarkEnd w:id="2242"/>
      <w:bookmarkEnd w:id="2243"/>
      <w:bookmarkEnd w:id="2244"/>
      <w:bookmarkEnd w:id="2245"/>
      <w:bookmarkEnd w:id="2246"/>
      <w:bookmarkEnd w:id="2247"/>
      <w:r>
        <w:br w:type="page"/>
      </w:r>
      <w:bookmarkStart w:id="2248" w:name="_5.17__DRAFT_TEXT_MESSAGE_TOOL"/>
      <w:bookmarkStart w:id="2249" w:name="_5.19__DRAFT_TEXT_MESSAGES_TOOL"/>
      <w:bookmarkStart w:id="2250" w:name="_5.18__DRAFT"/>
      <w:bookmarkStart w:id="2251" w:name="_Toc57712474"/>
      <w:bookmarkStart w:id="2252" w:name="_Toc61358913"/>
      <w:bookmarkStart w:id="2253" w:name="_Toc63168365"/>
      <w:bookmarkStart w:id="2254" w:name="_Toc67401291"/>
      <w:bookmarkStart w:id="2255" w:name="_Toc69207928"/>
      <w:bookmarkStart w:id="2256" w:name="_Toc70071482"/>
      <w:bookmarkStart w:id="2257" w:name="_Toc71012263"/>
      <w:bookmarkStart w:id="2258" w:name="_Toc71808932"/>
      <w:bookmarkStart w:id="2259" w:name="_Toc57712475"/>
      <w:bookmarkStart w:id="2260" w:name="_Toc61358914"/>
      <w:bookmarkStart w:id="2261" w:name="_Toc63168366"/>
      <w:bookmarkStart w:id="2262" w:name="_Toc67401292"/>
      <w:bookmarkStart w:id="2263" w:name="_Toc69207929"/>
      <w:bookmarkStart w:id="2264" w:name="_Toc70071483"/>
      <w:bookmarkStart w:id="2265" w:name="_Toc71012264"/>
      <w:bookmarkStart w:id="2266" w:name="_Toc71808933"/>
      <w:bookmarkStart w:id="2267" w:name="_Toc57712476"/>
      <w:bookmarkStart w:id="2268" w:name="_Toc61358915"/>
      <w:bookmarkStart w:id="2269" w:name="_Toc63168367"/>
      <w:bookmarkStart w:id="2270" w:name="_Toc67401293"/>
      <w:bookmarkStart w:id="2271" w:name="_Toc69207930"/>
      <w:bookmarkStart w:id="2272" w:name="_Toc70071484"/>
      <w:bookmarkStart w:id="2273" w:name="_Toc71012265"/>
      <w:bookmarkStart w:id="2274" w:name="_Toc71808934"/>
      <w:bookmarkStart w:id="2275" w:name="_Toc57712477"/>
      <w:bookmarkStart w:id="2276" w:name="_Toc61358916"/>
      <w:bookmarkStart w:id="2277" w:name="_Toc63168368"/>
      <w:bookmarkStart w:id="2278" w:name="_Toc67401294"/>
      <w:bookmarkStart w:id="2279" w:name="_Toc69207931"/>
      <w:bookmarkStart w:id="2280" w:name="_Toc70071485"/>
      <w:bookmarkStart w:id="2281" w:name="_Toc71012266"/>
      <w:bookmarkStart w:id="2282" w:name="_Toc71808935"/>
      <w:bookmarkStart w:id="2283" w:name="_Toc57712478"/>
      <w:bookmarkStart w:id="2284" w:name="_Toc61358917"/>
      <w:bookmarkStart w:id="2285" w:name="_Toc63168369"/>
      <w:bookmarkStart w:id="2286" w:name="_Toc67401295"/>
      <w:bookmarkStart w:id="2287" w:name="_Toc69207932"/>
      <w:bookmarkStart w:id="2288" w:name="_Toc70071486"/>
      <w:bookmarkStart w:id="2289" w:name="_Toc71012267"/>
      <w:bookmarkStart w:id="2290" w:name="_Toc71808936"/>
      <w:bookmarkStart w:id="2291" w:name="_Toc57712479"/>
      <w:bookmarkStart w:id="2292" w:name="_Toc61358918"/>
      <w:bookmarkStart w:id="2293" w:name="_Toc63168370"/>
      <w:bookmarkStart w:id="2294" w:name="_Toc67401296"/>
      <w:bookmarkStart w:id="2295" w:name="_Toc69207933"/>
      <w:bookmarkStart w:id="2296" w:name="_Toc70071487"/>
      <w:bookmarkStart w:id="2297" w:name="_Toc71012268"/>
      <w:bookmarkStart w:id="2298" w:name="_Toc71808937"/>
      <w:bookmarkStart w:id="2299" w:name="_Toc57712480"/>
      <w:bookmarkStart w:id="2300" w:name="_Toc61358919"/>
      <w:bookmarkStart w:id="2301" w:name="_Toc63168371"/>
      <w:bookmarkStart w:id="2302" w:name="_Toc67401297"/>
      <w:bookmarkStart w:id="2303" w:name="_Toc69207934"/>
      <w:bookmarkStart w:id="2304" w:name="_Toc70071488"/>
      <w:bookmarkStart w:id="2305" w:name="_Toc71012269"/>
      <w:bookmarkStart w:id="2306" w:name="_Toc71808938"/>
      <w:bookmarkStart w:id="2307" w:name="_Toc57712481"/>
      <w:bookmarkStart w:id="2308" w:name="_Toc61358920"/>
      <w:bookmarkStart w:id="2309" w:name="_Toc63168372"/>
      <w:bookmarkStart w:id="2310" w:name="_Toc67401298"/>
      <w:bookmarkStart w:id="2311" w:name="_Toc69207935"/>
      <w:bookmarkStart w:id="2312" w:name="_Toc70071489"/>
      <w:bookmarkStart w:id="2313" w:name="_Toc71012270"/>
      <w:bookmarkStart w:id="2314" w:name="_Toc71808939"/>
      <w:bookmarkStart w:id="2315" w:name="_Toc57712482"/>
      <w:bookmarkStart w:id="2316" w:name="_Toc61358921"/>
      <w:bookmarkStart w:id="2317" w:name="_Toc63168373"/>
      <w:bookmarkStart w:id="2318" w:name="_Toc67401299"/>
      <w:bookmarkStart w:id="2319" w:name="_Toc69207936"/>
      <w:bookmarkStart w:id="2320" w:name="_Toc70071490"/>
      <w:bookmarkStart w:id="2321" w:name="_Toc71012271"/>
      <w:bookmarkStart w:id="2322" w:name="_Toc71808940"/>
      <w:bookmarkStart w:id="2323" w:name="_Toc57712483"/>
      <w:bookmarkStart w:id="2324" w:name="_Toc61358922"/>
      <w:bookmarkStart w:id="2325" w:name="_Toc63168374"/>
      <w:bookmarkStart w:id="2326" w:name="_Toc67401300"/>
      <w:bookmarkStart w:id="2327" w:name="_Toc69207937"/>
      <w:bookmarkStart w:id="2328" w:name="_Toc70071491"/>
      <w:bookmarkStart w:id="2329" w:name="_Toc71012272"/>
      <w:bookmarkStart w:id="2330" w:name="_Toc71808941"/>
      <w:bookmarkStart w:id="2331" w:name="_Toc57712484"/>
      <w:bookmarkStart w:id="2332" w:name="_Toc61358923"/>
      <w:bookmarkStart w:id="2333" w:name="_Toc63168375"/>
      <w:bookmarkStart w:id="2334" w:name="_Toc67401301"/>
      <w:bookmarkStart w:id="2335" w:name="_Toc69207938"/>
      <w:bookmarkStart w:id="2336" w:name="_Toc70071492"/>
      <w:bookmarkStart w:id="2337" w:name="_Toc71012273"/>
      <w:bookmarkStart w:id="2338" w:name="_Toc71808942"/>
      <w:bookmarkStart w:id="2339" w:name="_Toc57712485"/>
      <w:bookmarkStart w:id="2340" w:name="_Toc61358924"/>
      <w:bookmarkStart w:id="2341" w:name="_Toc63168376"/>
      <w:bookmarkStart w:id="2342" w:name="_Toc67401302"/>
      <w:bookmarkStart w:id="2343" w:name="_Toc69207939"/>
      <w:bookmarkStart w:id="2344" w:name="_Toc70071493"/>
      <w:bookmarkStart w:id="2345" w:name="_Toc71012274"/>
      <w:bookmarkStart w:id="2346" w:name="_Toc71808943"/>
      <w:bookmarkStart w:id="2347" w:name="_Toc57712486"/>
      <w:bookmarkStart w:id="2348" w:name="_Toc61358925"/>
      <w:bookmarkStart w:id="2349" w:name="_Toc63168377"/>
      <w:bookmarkStart w:id="2350" w:name="_Toc67401303"/>
      <w:bookmarkStart w:id="2351" w:name="_Toc69207940"/>
      <w:bookmarkStart w:id="2352" w:name="_Toc70071494"/>
      <w:bookmarkStart w:id="2353" w:name="_Toc71012275"/>
      <w:bookmarkStart w:id="2354" w:name="_Toc71808944"/>
      <w:bookmarkStart w:id="2355" w:name="_Toc57712487"/>
      <w:bookmarkStart w:id="2356" w:name="_Toc61358926"/>
      <w:bookmarkStart w:id="2357" w:name="_Toc63168378"/>
      <w:bookmarkStart w:id="2358" w:name="_Toc67401304"/>
      <w:bookmarkStart w:id="2359" w:name="_Toc69207941"/>
      <w:bookmarkStart w:id="2360" w:name="_Toc70071495"/>
      <w:bookmarkStart w:id="2361" w:name="_Toc71012276"/>
      <w:bookmarkStart w:id="2362" w:name="_Toc71808945"/>
      <w:bookmarkStart w:id="2363" w:name="_Toc57712488"/>
      <w:bookmarkStart w:id="2364" w:name="_Toc61358927"/>
      <w:bookmarkStart w:id="2365" w:name="_Toc63168379"/>
      <w:bookmarkStart w:id="2366" w:name="_Toc67401305"/>
      <w:bookmarkStart w:id="2367" w:name="_Toc69207942"/>
      <w:bookmarkStart w:id="2368" w:name="_Toc70071496"/>
      <w:bookmarkStart w:id="2369" w:name="_Toc71012277"/>
      <w:bookmarkStart w:id="2370" w:name="_Toc71808946"/>
      <w:bookmarkStart w:id="2371" w:name="_Toc57712489"/>
      <w:bookmarkStart w:id="2372" w:name="_Toc61358928"/>
      <w:bookmarkStart w:id="2373" w:name="_Toc63168380"/>
      <w:bookmarkStart w:id="2374" w:name="_Toc67401306"/>
      <w:bookmarkStart w:id="2375" w:name="_Toc69207943"/>
      <w:bookmarkStart w:id="2376" w:name="_Toc70071497"/>
      <w:bookmarkStart w:id="2377" w:name="_Toc71012278"/>
      <w:bookmarkStart w:id="2378" w:name="_Toc71808947"/>
      <w:bookmarkStart w:id="2379" w:name="_Toc57712490"/>
      <w:bookmarkStart w:id="2380" w:name="_Toc61358929"/>
      <w:bookmarkStart w:id="2381" w:name="_Toc63168381"/>
      <w:bookmarkStart w:id="2382" w:name="_Toc67401307"/>
      <w:bookmarkStart w:id="2383" w:name="_Toc69207944"/>
      <w:bookmarkStart w:id="2384" w:name="_Toc70071498"/>
      <w:bookmarkStart w:id="2385" w:name="_Toc71012279"/>
      <w:bookmarkStart w:id="2386" w:name="_Toc71808948"/>
      <w:bookmarkStart w:id="2387" w:name="_Toc57712491"/>
      <w:bookmarkStart w:id="2388" w:name="_Toc61358930"/>
      <w:bookmarkStart w:id="2389" w:name="_Toc63168382"/>
      <w:bookmarkStart w:id="2390" w:name="_Toc67401308"/>
      <w:bookmarkStart w:id="2391" w:name="_Toc69207945"/>
      <w:bookmarkStart w:id="2392" w:name="_Toc70071499"/>
      <w:bookmarkStart w:id="2393" w:name="_Toc71012280"/>
      <w:bookmarkStart w:id="2394" w:name="_Toc71808949"/>
      <w:bookmarkStart w:id="2395" w:name="_Toc57712492"/>
      <w:bookmarkStart w:id="2396" w:name="_Toc61358931"/>
      <w:bookmarkStart w:id="2397" w:name="_Toc63168383"/>
      <w:bookmarkStart w:id="2398" w:name="_Toc67401309"/>
      <w:bookmarkStart w:id="2399" w:name="_Toc69207946"/>
      <w:bookmarkStart w:id="2400" w:name="_Toc70071500"/>
      <w:bookmarkStart w:id="2401" w:name="_Toc71012281"/>
      <w:bookmarkStart w:id="2402" w:name="_Toc71808950"/>
      <w:bookmarkStart w:id="2403" w:name="_Toc57712493"/>
      <w:bookmarkStart w:id="2404" w:name="_Toc61358932"/>
      <w:bookmarkStart w:id="2405" w:name="_Toc63168384"/>
      <w:bookmarkStart w:id="2406" w:name="_Toc67401310"/>
      <w:bookmarkStart w:id="2407" w:name="_Toc69207947"/>
      <w:bookmarkStart w:id="2408" w:name="_Toc70071501"/>
      <w:bookmarkStart w:id="2409" w:name="_Toc71012282"/>
      <w:bookmarkStart w:id="2410" w:name="_Toc71808951"/>
      <w:bookmarkStart w:id="2411" w:name="_Toc57712494"/>
      <w:bookmarkStart w:id="2412" w:name="_Toc61358933"/>
      <w:bookmarkStart w:id="2413" w:name="_Toc63168385"/>
      <w:bookmarkStart w:id="2414" w:name="_Toc67401311"/>
      <w:bookmarkStart w:id="2415" w:name="_Toc69207948"/>
      <w:bookmarkStart w:id="2416" w:name="_Toc70071502"/>
      <w:bookmarkStart w:id="2417" w:name="_Toc71012283"/>
      <w:bookmarkStart w:id="2418" w:name="_Toc71808952"/>
      <w:bookmarkStart w:id="2419" w:name="_Toc57712495"/>
      <w:bookmarkStart w:id="2420" w:name="_Toc61358934"/>
      <w:bookmarkStart w:id="2421" w:name="_Toc63168386"/>
      <w:bookmarkStart w:id="2422" w:name="_Toc67401312"/>
      <w:bookmarkStart w:id="2423" w:name="_Toc69207949"/>
      <w:bookmarkStart w:id="2424" w:name="_Toc70071503"/>
      <w:bookmarkStart w:id="2425" w:name="_Toc71012284"/>
      <w:bookmarkStart w:id="2426" w:name="_Toc71808953"/>
      <w:bookmarkStart w:id="2427" w:name="_Toc57712496"/>
      <w:bookmarkStart w:id="2428" w:name="_Toc61358935"/>
      <w:bookmarkStart w:id="2429" w:name="_Toc63168387"/>
      <w:bookmarkStart w:id="2430" w:name="_Toc67401313"/>
      <w:bookmarkStart w:id="2431" w:name="_Toc69207950"/>
      <w:bookmarkStart w:id="2432" w:name="_Toc70071504"/>
      <w:bookmarkStart w:id="2433" w:name="_Toc71012285"/>
      <w:bookmarkStart w:id="2434" w:name="_Toc71808954"/>
      <w:bookmarkStart w:id="2435" w:name="_Toc57712497"/>
      <w:bookmarkStart w:id="2436" w:name="_Toc61358936"/>
      <w:bookmarkStart w:id="2437" w:name="_Toc63168388"/>
      <w:bookmarkStart w:id="2438" w:name="_Toc67401314"/>
      <w:bookmarkStart w:id="2439" w:name="_Toc69207951"/>
      <w:bookmarkStart w:id="2440" w:name="_Toc70071505"/>
      <w:bookmarkStart w:id="2441" w:name="_Toc71012286"/>
      <w:bookmarkStart w:id="2442" w:name="_Toc71808955"/>
      <w:bookmarkStart w:id="2443" w:name="_Toc57712498"/>
      <w:bookmarkStart w:id="2444" w:name="_Toc61358937"/>
      <w:bookmarkStart w:id="2445" w:name="_Toc63168389"/>
      <w:bookmarkStart w:id="2446" w:name="_Toc67401315"/>
      <w:bookmarkStart w:id="2447" w:name="_Toc69207952"/>
      <w:bookmarkStart w:id="2448" w:name="_Toc70071506"/>
      <w:bookmarkStart w:id="2449" w:name="_Toc71012287"/>
      <w:bookmarkStart w:id="2450" w:name="_Toc71808956"/>
      <w:bookmarkStart w:id="2451" w:name="_Toc57712499"/>
      <w:bookmarkStart w:id="2452" w:name="_Toc61358938"/>
      <w:bookmarkStart w:id="2453" w:name="_Toc63168390"/>
      <w:bookmarkStart w:id="2454" w:name="_Toc67401316"/>
      <w:bookmarkStart w:id="2455" w:name="_Toc69207953"/>
      <w:bookmarkStart w:id="2456" w:name="_Toc70071507"/>
      <w:bookmarkStart w:id="2457" w:name="_Toc71012288"/>
      <w:bookmarkStart w:id="2458" w:name="_Toc71808957"/>
      <w:bookmarkStart w:id="2459" w:name="_Toc57712500"/>
      <w:bookmarkStart w:id="2460" w:name="_Toc61358939"/>
      <w:bookmarkStart w:id="2461" w:name="_Toc63168391"/>
      <w:bookmarkStart w:id="2462" w:name="_Toc67401317"/>
      <w:bookmarkStart w:id="2463" w:name="_Toc69207954"/>
      <w:bookmarkStart w:id="2464" w:name="_Toc70071508"/>
      <w:bookmarkStart w:id="2465" w:name="_Toc71012289"/>
      <w:bookmarkStart w:id="2466" w:name="_Toc71808958"/>
      <w:bookmarkStart w:id="2467" w:name="_Toc57712501"/>
      <w:bookmarkStart w:id="2468" w:name="_Toc61358940"/>
      <w:bookmarkStart w:id="2469" w:name="_Toc63168392"/>
      <w:bookmarkStart w:id="2470" w:name="_Toc67401318"/>
      <w:bookmarkStart w:id="2471" w:name="_Toc69207955"/>
      <w:bookmarkStart w:id="2472" w:name="_Toc70071509"/>
      <w:bookmarkStart w:id="2473" w:name="_Toc71012290"/>
      <w:bookmarkStart w:id="2474" w:name="_Toc71808959"/>
      <w:bookmarkStart w:id="2475" w:name="_Toc57712502"/>
      <w:bookmarkStart w:id="2476" w:name="_Toc61358941"/>
      <w:bookmarkStart w:id="2477" w:name="_Toc63168393"/>
      <w:bookmarkStart w:id="2478" w:name="_Toc67401319"/>
      <w:bookmarkStart w:id="2479" w:name="_Toc69207956"/>
      <w:bookmarkStart w:id="2480" w:name="_Toc70071510"/>
      <w:bookmarkStart w:id="2481" w:name="_Toc71012291"/>
      <w:bookmarkStart w:id="2482" w:name="_Toc71808960"/>
      <w:bookmarkStart w:id="2483" w:name="_Toc57712503"/>
      <w:bookmarkStart w:id="2484" w:name="_Toc61358942"/>
      <w:bookmarkStart w:id="2485" w:name="_Toc63168394"/>
      <w:bookmarkStart w:id="2486" w:name="_Toc67401320"/>
      <w:bookmarkStart w:id="2487" w:name="_Toc69207957"/>
      <w:bookmarkStart w:id="2488" w:name="_Toc70071511"/>
      <w:bookmarkStart w:id="2489" w:name="_Toc71012292"/>
      <w:bookmarkStart w:id="2490" w:name="_Toc71808961"/>
      <w:bookmarkStart w:id="2491" w:name="_Toc57712504"/>
      <w:bookmarkStart w:id="2492" w:name="_Toc61358943"/>
      <w:bookmarkStart w:id="2493" w:name="_Toc63168395"/>
      <w:bookmarkStart w:id="2494" w:name="_Toc67401321"/>
      <w:bookmarkStart w:id="2495" w:name="_Toc69207958"/>
      <w:bookmarkStart w:id="2496" w:name="_Toc70071512"/>
      <w:bookmarkStart w:id="2497" w:name="_Toc71012293"/>
      <w:bookmarkStart w:id="2498" w:name="_Toc71808962"/>
      <w:bookmarkStart w:id="2499" w:name="_Toc57712505"/>
      <w:bookmarkStart w:id="2500" w:name="_Toc61358944"/>
      <w:bookmarkStart w:id="2501" w:name="_Toc63168396"/>
      <w:bookmarkStart w:id="2502" w:name="_Toc67401322"/>
      <w:bookmarkStart w:id="2503" w:name="_Toc69207959"/>
      <w:bookmarkStart w:id="2504" w:name="_Toc70071513"/>
      <w:bookmarkStart w:id="2505" w:name="_Toc71012294"/>
      <w:bookmarkStart w:id="2506" w:name="_Toc71808963"/>
      <w:bookmarkStart w:id="2507" w:name="_Toc57712506"/>
      <w:bookmarkStart w:id="2508" w:name="_Toc61358945"/>
      <w:bookmarkStart w:id="2509" w:name="_Toc63168397"/>
      <w:bookmarkStart w:id="2510" w:name="_Toc67401323"/>
      <w:bookmarkStart w:id="2511" w:name="_Toc69207960"/>
      <w:bookmarkStart w:id="2512" w:name="_Toc70071514"/>
      <w:bookmarkStart w:id="2513" w:name="_Toc71012295"/>
      <w:bookmarkStart w:id="2514" w:name="_Toc71808964"/>
      <w:bookmarkStart w:id="2515" w:name="_Toc57712507"/>
      <w:bookmarkStart w:id="2516" w:name="_Toc61358946"/>
      <w:bookmarkStart w:id="2517" w:name="_Toc63168398"/>
      <w:bookmarkStart w:id="2518" w:name="_Toc67401324"/>
      <w:bookmarkStart w:id="2519" w:name="_Toc69207961"/>
      <w:bookmarkStart w:id="2520" w:name="_Toc70071515"/>
      <w:bookmarkStart w:id="2521" w:name="_Toc71012296"/>
      <w:bookmarkStart w:id="2522" w:name="_Toc71808965"/>
      <w:bookmarkStart w:id="2523" w:name="_Toc57712508"/>
      <w:bookmarkStart w:id="2524" w:name="_Toc61358947"/>
      <w:bookmarkStart w:id="2525" w:name="_Toc63168399"/>
      <w:bookmarkStart w:id="2526" w:name="_Toc67401325"/>
      <w:bookmarkStart w:id="2527" w:name="_Toc69207962"/>
      <w:bookmarkStart w:id="2528" w:name="_Toc70071516"/>
      <w:bookmarkStart w:id="2529" w:name="_Toc71012297"/>
      <w:bookmarkStart w:id="2530" w:name="_Toc71808966"/>
      <w:bookmarkStart w:id="2531" w:name="_Toc57712509"/>
      <w:bookmarkStart w:id="2532" w:name="_Toc61358948"/>
      <w:bookmarkStart w:id="2533" w:name="_Toc63168400"/>
      <w:bookmarkStart w:id="2534" w:name="_Toc67401326"/>
      <w:bookmarkStart w:id="2535" w:name="_Toc69207963"/>
      <w:bookmarkStart w:id="2536" w:name="_Toc70071517"/>
      <w:bookmarkStart w:id="2537" w:name="_Toc71012298"/>
      <w:bookmarkStart w:id="2538" w:name="_Toc71808967"/>
      <w:bookmarkStart w:id="2539" w:name="_Toc57712510"/>
      <w:bookmarkStart w:id="2540" w:name="_Toc61358949"/>
      <w:bookmarkStart w:id="2541" w:name="_Toc63168401"/>
      <w:bookmarkStart w:id="2542" w:name="_Toc67401327"/>
      <w:bookmarkStart w:id="2543" w:name="_Toc69207964"/>
      <w:bookmarkStart w:id="2544" w:name="_Toc70071518"/>
      <w:bookmarkStart w:id="2545" w:name="_Toc71012299"/>
      <w:bookmarkStart w:id="2546" w:name="_Toc71808968"/>
      <w:bookmarkStart w:id="2547" w:name="_Toc57712511"/>
      <w:bookmarkStart w:id="2548" w:name="_Toc61358950"/>
      <w:bookmarkStart w:id="2549" w:name="_Toc63168402"/>
      <w:bookmarkStart w:id="2550" w:name="_Toc67401328"/>
      <w:bookmarkStart w:id="2551" w:name="_Toc69207965"/>
      <w:bookmarkStart w:id="2552" w:name="_Toc70071519"/>
      <w:bookmarkStart w:id="2553" w:name="_Toc71012300"/>
      <w:bookmarkStart w:id="2554" w:name="_Toc71808969"/>
      <w:bookmarkStart w:id="2555" w:name="_Toc57712512"/>
      <w:bookmarkStart w:id="2556" w:name="_Toc61358951"/>
      <w:bookmarkStart w:id="2557" w:name="_Toc63168403"/>
      <w:bookmarkStart w:id="2558" w:name="_Toc67401329"/>
      <w:bookmarkStart w:id="2559" w:name="_Toc69207966"/>
      <w:bookmarkStart w:id="2560" w:name="_Toc70071520"/>
      <w:bookmarkStart w:id="2561" w:name="_Toc71012301"/>
      <w:bookmarkStart w:id="2562" w:name="_Toc71808970"/>
      <w:bookmarkStart w:id="2563" w:name="_Toc57712513"/>
      <w:bookmarkStart w:id="2564" w:name="_Toc61358952"/>
      <w:bookmarkStart w:id="2565" w:name="_Toc63168404"/>
      <w:bookmarkStart w:id="2566" w:name="_Toc67401330"/>
      <w:bookmarkStart w:id="2567" w:name="_Toc69207967"/>
      <w:bookmarkStart w:id="2568" w:name="_Toc70071521"/>
      <w:bookmarkStart w:id="2569" w:name="_Toc71012302"/>
      <w:bookmarkStart w:id="2570" w:name="_Toc71808971"/>
      <w:bookmarkStart w:id="2571" w:name="_Toc57712514"/>
      <w:bookmarkStart w:id="2572" w:name="_Toc61358953"/>
      <w:bookmarkStart w:id="2573" w:name="_Toc63168405"/>
      <w:bookmarkStart w:id="2574" w:name="_Toc67401331"/>
      <w:bookmarkStart w:id="2575" w:name="_Toc69207968"/>
      <w:bookmarkStart w:id="2576" w:name="_Toc70071522"/>
      <w:bookmarkStart w:id="2577" w:name="_Toc71012303"/>
      <w:bookmarkStart w:id="2578" w:name="_Toc71808972"/>
      <w:bookmarkStart w:id="2579" w:name="_Toc57712515"/>
      <w:bookmarkStart w:id="2580" w:name="_Toc61358954"/>
      <w:bookmarkStart w:id="2581" w:name="_Toc63168406"/>
      <w:bookmarkStart w:id="2582" w:name="_Toc67401332"/>
      <w:bookmarkStart w:id="2583" w:name="_Toc69207969"/>
      <w:bookmarkStart w:id="2584" w:name="_Toc70071523"/>
      <w:bookmarkStart w:id="2585" w:name="_Toc71012304"/>
      <w:bookmarkStart w:id="2586" w:name="_Toc71808973"/>
      <w:bookmarkStart w:id="2587" w:name="_Toc57712516"/>
      <w:bookmarkStart w:id="2588" w:name="_Toc61358955"/>
      <w:bookmarkStart w:id="2589" w:name="_Toc63168407"/>
      <w:bookmarkStart w:id="2590" w:name="_Toc67401333"/>
      <w:bookmarkStart w:id="2591" w:name="_Toc69207970"/>
      <w:bookmarkStart w:id="2592" w:name="_Toc70071524"/>
      <w:bookmarkStart w:id="2593" w:name="_Toc71012305"/>
      <w:bookmarkStart w:id="2594" w:name="_Toc71808974"/>
      <w:bookmarkStart w:id="2595" w:name="_Toc57712517"/>
      <w:bookmarkStart w:id="2596" w:name="_Toc61358956"/>
      <w:bookmarkStart w:id="2597" w:name="_Toc63168408"/>
      <w:bookmarkStart w:id="2598" w:name="_Toc67401334"/>
      <w:bookmarkStart w:id="2599" w:name="_Toc69207971"/>
      <w:bookmarkStart w:id="2600" w:name="_Toc70071525"/>
      <w:bookmarkStart w:id="2601" w:name="_Toc71012306"/>
      <w:bookmarkStart w:id="2602" w:name="_Toc71808975"/>
      <w:bookmarkStart w:id="2603" w:name="_Toc57712518"/>
      <w:bookmarkStart w:id="2604" w:name="_Toc61358957"/>
      <w:bookmarkStart w:id="2605" w:name="_Toc63168409"/>
      <w:bookmarkStart w:id="2606" w:name="_Toc67401335"/>
      <w:bookmarkStart w:id="2607" w:name="_Toc69207972"/>
      <w:bookmarkStart w:id="2608" w:name="_Toc70071526"/>
      <w:bookmarkStart w:id="2609" w:name="_Toc71012307"/>
      <w:bookmarkStart w:id="2610" w:name="_Toc71808976"/>
      <w:bookmarkStart w:id="2611" w:name="_Toc57712519"/>
      <w:bookmarkStart w:id="2612" w:name="_Toc61358958"/>
      <w:bookmarkStart w:id="2613" w:name="_Toc63168410"/>
      <w:bookmarkStart w:id="2614" w:name="_Toc67401336"/>
      <w:bookmarkStart w:id="2615" w:name="_Toc69207973"/>
      <w:bookmarkStart w:id="2616" w:name="_Toc70071527"/>
      <w:bookmarkStart w:id="2617" w:name="_Toc71012308"/>
      <w:bookmarkStart w:id="2618" w:name="_Toc71808977"/>
      <w:bookmarkStart w:id="2619" w:name="_Toc57712520"/>
      <w:bookmarkStart w:id="2620" w:name="_Toc61358959"/>
      <w:bookmarkStart w:id="2621" w:name="_Toc63168411"/>
      <w:bookmarkStart w:id="2622" w:name="_Toc67401337"/>
      <w:bookmarkStart w:id="2623" w:name="_Toc69207974"/>
      <w:bookmarkStart w:id="2624" w:name="_Toc70071528"/>
      <w:bookmarkStart w:id="2625" w:name="_Toc71012309"/>
      <w:bookmarkStart w:id="2626" w:name="_Toc71808978"/>
      <w:bookmarkStart w:id="2627" w:name="_Toc57712521"/>
      <w:bookmarkStart w:id="2628" w:name="_Toc61358960"/>
      <w:bookmarkStart w:id="2629" w:name="_Toc63168412"/>
      <w:bookmarkStart w:id="2630" w:name="_Toc67401338"/>
      <w:bookmarkStart w:id="2631" w:name="_Toc69207975"/>
      <w:bookmarkStart w:id="2632" w:name="_Toc70071529"/>
      <w:bookmarkStart w:id="2633" w:name="_Toc71012310"/>
      <w:bookmarkStart w:id="2634" w:name="_Toc71808979"/>
      <w:bookmarkStart w:id="2635" w:name="_Toc57712522"/>
      <w:bookmarkStart w:id="2636" w:name="_Toc61358961"/>
      <w:bookmarkStart w:id="2637" w:name="_Toc63168413"/>
      <w:bookmarkStart w:id="2638" w:name="_Toc67401339"/>
      <w:bookmarkStart w:id="2639" w:name="_Toc69207976"/>
      <w:bookmarkStart w:id="2640" w:name="_Toc70071530"/>
      <w:bookmarkStart w:id="2641" w:name="_Toc71012311"/>
      <w:bookmarkStart w:id="2642" w:name="_Toc71808980"/>
      <w:bookmarkStart w:id="2643" w:name="_Toc57712523"/>
      <w:bookmarkStart w:id="2644" w:name="_Toc61358962"/>
      <w:bookmarkStart w:id="2645" w:name="_Toc63168414"/>
      <w:bookmarkStart w:id="2646" w:name="_Toc67401340"/>
      <w:bookmarkStart w:id="2647" w:name="_Toc69207977"/>
      <w:bookmarkStart w:id="2648" w:name="_Toc70071531"/>
      <w:bookmarkStart w:id="2649" w:name="_Toc71012312"/>
      <w:bookmarkStart w:id="2650" w:name="_Toc71808981"/>
      <w:bookmarkStart w:id="2651" w:name="_Toc57712524"/>
      <w:bookmarkStart w:id="2652" w:name="_Toc61358963"/>
      <w:bookmarkStart w:id="2653" w:name="_Toc63168415"/>
      <w:bookmarkStart w:id="2654" w:name="_Toc67401341"/>
      <w:bookmarkStart w:id="2655" w:name="_Toc69207978"/>
      <w:bookmarkStart w:id="2656" w:name="_Toc70071532"/>
      <w:bookmarkStart w:id="2657" w:name="_Toc71012313"/>
      <w:bookmarkStart w:id="2658" w:name="_Toc71808982"/>
      <w:bookmarkStart w:id="2659" w:name="_Toc57712525"/>
      <w:bookmarkStart w:id="2660" w:name="_Toc61358964"/>
      <w:bookmarkStart w:id="2661" w:name="_Toc63168416"/>
      <w:bookmarkStart w:id="2662" w:name="_Toc67401342"/>
      <w:bookmarkStart w:id="2663" w:name="_Toc69207979"/>
      <w:bookmarkStart w:id="2664" w:name="_Toc70071533"/>
      <w:bookmarkStart w:id="2665" w:name="_Toc71012314"/>
      <w:bookmarkStart w:id="2666" w:name="_Toc71808983"/>
      <w:bookmarkStart w:id="2667" w:name="_Toc57712526"/>
      <w:bookmarkStart w:id="2668" w:name="_Toc61358965"/>
      <w:bookmarkStart w:id="2669" w:name="_Toc63168417"/>
      <w:bookmarkStart w:id="2670" w:name="_Toc67401343"/>
      <w:bookmarkStart w:id="2671" w:name="_Toc69207980"/>
      <w:bookmarkStart w:id="2672" w:name="_Toc70071534"/>
      <w:bookmarkStart w:id="2673" w:name="_Toc71012315"/>
      <w:bookmarkStart w:id="2674" w:name="_Toc71808984"/>
      <w:bookmarkStart w:id="2675" w:name="_Toc57712527"/>
      <w:bookmarkStart w:id="2676" w:name="_Toc61358966"/>
      <w:bookmarkStart w:id="2677" w:name="_Toc63168418"/>
      <w:bookmarkStart w:id="2678" w:name="_Toc67401344"/>
      <w:bookmarkStart w:id="2679" w:name="_Toc69207981"/>
      <w:bookmarkStart w:id="2680" w:name="_Toc70071535"/>
      <w:bookmarkStart w:id="2681" w:name="_Toc71012316"/>
      <w:bookmarkStart w:id="2682" w:name="_Toc71808985"/>
      <w:bookmarkStart w:id="2683" w:name="_Toc57712528"/>
      <w:bookmarkStart w:id="2684" w:name="_Toc61358967"/>
      <w:bookmarkStart w:id="2685" w:name="_Toc63168419"/>
      <w:bookmarkStart w:id="2686" w:name="_Toc67401345"/>
      <w:bookmarkStart w:id="2687" w:name="_Toc69207982"/>
      <w:bookmarkStart w:id="2688" w:name="_Toc70071536"/>
      <w:bookmarkStart w:id="2689" w:name="_Toc71012317"/>
      <w:bookmarkStart w:id="2690" w:name="_Toc71808986"/>
      <w:bookmarkStart w:id="2691" w:name="_Toc57712529"/>
      <w:bookmarkStart w:id="2692" w:name="_Toc61358968"/>
      <w:bookmarkStart w:id="2693" w:name="_Toc63168420"/>
      <w:bookmarkStart w:id="2694" w:name="_Toc67401346"/>
      <w:bookmarkStart w:id="2695" w:name="_Toc69207983"/>
      <w:bookmarkStart w:id="2696" w:name="_Toc70071537"/>
      <w:bookmarkStart w:id="2697" w:name="_Toc71012318"/>
      <w:bookmarkStart w:id="2698" w:name="_Toc71808987"/>
      <w:bookmarkStart w:id="2699" w:name="_Toc57712530"/>
      <w:bookmarkStart w:id="2700" w:name="_Toc61358969"/>
      <w:bookmarkStart w:id="2701" w:name="_Toc63168421"/>
      <w:bookmarkStart w:id="2702" w:name="_Toc67401347"/>
      <w:bookmarkStart w:id="2703" w:name="_Toc69207984"/>
      <w:bookmarkStart w:id="2704" w:name="_Toc70071538"/>
      <w:bookmarkStart w:id="2705" w:name="_Toc71012319"/>
      <w:bookmarkStart w:id="2706" w:name="_Toc71808988"/>
      <w:bookmarkStart w:id="2707" w:name="_Toc57712531"/>
      <w:bookmarkStart w:id="2708" w:name="_Toc61358970"/>
      <w:bookmarkStart w:id="2709" w:name="_Toc63168422"/>
      <w:bookmarkStart w:id="2710" w:name="_Toc67401348"/>
      <w:bookmarkStart w:id="2711" w:name="_Toc69207985"/>
      <w:bookmarkStart w:id="2712" w:name="_Toc70071539"/>
      <w:bookmarkStart w:id="2713" w:name="_Toc71012320"/>
      <w:bookmarkStart w:id="2714" w:name="_Toc71808989"/>
      <w:bookmarkStart w:id="2715" w:name="_Toc57712532"/>
      <w:bookmarkStart w:id="2716" w:name="_Toc61358971"/>
      <w:bookmarkStart w:id="2717" w:name="_Toc63168423"/>
      <w:bookmarkStart w:id="2718" w:name="_Toc67401349"/>
      <w:bookmarkStart w:id="2719" w:name="_Toc69207986"/>
      <w:bookmarkStart w:id="2720" w:name="_Toc70071540"/>
      <w:bookmarkStart w:id="2721" w:name="_Toc71012321"/>
      <w:bookmarkStart w:id="2722" w:name="_Toc71808990"/>
      <w:bookmarkStart w:id="2723" w:name="_Toc57712533"/>
      <w:bookmarkStart w:id="2724" w:name="_Toc61358972"/>
      <w:bookmarkStart w:id="2725" w:name="_Toc63168424"/>
      <w:bookmarkStart w:id="2726" w:name="_Toc67401350"/>
      <w:bookmarkStart w:id="2727" w:name="_Toc69207987"/>
      <w:bookmarkStart w:id="2728" w:name="_Toc70071541"/>
      <w:bookmarkStart w:id="2729" w:name="_Toc71012322"/>
      <w:bookmarkStart w:id="2730" w:name="_Toc71808991"/>
      <w:bookmarkStart w:id="2731" w:name="_Toc57712534"/>
      <w:bookmarkStart w:id="2732" w:name="_Toc61358973"/>
      <w:bookmarkStart w:id="2733" w:name="_Toc63168425"/>
      <w:bookmarkStart w:id="2734" w:name="_Toc67401351"/>
      <w:bookmarkStart w:id="2735" w:name="_Toc69207988"/>
      <w:bookmarkStart w:id="2736" w:name="_Toc70071542"/>
      <w:bookmarkStart w:id="2737" w:name="_Toc71012323"/>
      <w:bookmarkStart w:id="2738" w:name="_Toc71808992"/>
      <w:bookmarkStart w:id="2739" w:name="_Toc57712535"/>
      <w:bookmarkStart w:id="2740" w:name="_Toc61358974"/>
      <w:bookmarkStart w:id="2741" w:name="_Toc63168426"/>
      <w:bookmarkStart w:id="2742" w:name="_Toc67401352"/>
      <w:bookmarkStart w:id="2743" w:name="_Toc69207989"/>
      <w:bookmarkStart w:id="2744" w:name="_Toc70071543"/>
      <w:bookmarkStart w:id="2745" w:name="_Toc71012324"/>
      <w:bookmarkStart w:id="2746" w:name="_Toc71808993"/>
      <w:bookmarkStart w:id="2747" w:name="_Toc57712536"/>
      <w:bookmarkStart w:id="2748" w:name="_Toc61358975"/>
      <w:bookmarkStart w:id="2749" w:name="_Toc63168427"/>
      <w:bookmarkStart w:id="2750" w:name="_Toc67401353"/>
      <w:bookmarkStart w:id="2751" w:name="_Toc69207990"/>
      <w:bookmarkStart w:id="2752" w:name="_Toc70071544"/>
      <w:bookmarkStart w:id="2753" w:name="_Toc71012325"/>
      <w:bookmarkStart w:id="2754" w:name="_Toc71808994"/>
      <w:bookmarkStart w:id="2755" w:name="_Toc57712537"/>
      <w:bookmarkStart w:id="2756" w:name="_Toc61358976"/>
      <w:bookmarkStart w:id="2757" w:name="_Toc63168428"/>
      <w:bookmarkStart w:id="2758" w:name="_Toc67401354"/>
      <w:bookmarkStart w:id="2759" w:name="_Toc69207991"/>
      <w:bookmarkStart w:id="2760" w:name="_Toc70071545"/>
      <w:bookmarkStart w:id="2761" w:name="_Toc71012326"/>
      <w:bookmarkStart w:id="2762" w:name="_Toc71808995"/>
      <w:bookmarkStart w:id="2763" w:name="_Toc57712538"/>
      <w:bookmarkStart w:id="2764" w:name="_Toc61358977"/>
      <w:bookmarkStart w:id="2765" w:name="_Toc63168429"/>
      <w:bookmarkStart w:id="2766" w:name="_Toc67401355"/>
      <w:bookmarkStart w:id="2767" w:name="_Toc69207992"/>
      <w:bookmarkStart w:id="2768" w:name="_Toc70071546"/>
      <w:bookmarkStart w:id="2769" w:name="_Toc71012327"/>
      <w:bookmarkStart w:id="2770" w:name="_Toc71808996"/>
      <w:bookmarkStart w:id="2771" w:name="_Toc57712539"/>
      <w:bookmarkStart w:id="2772" w:name="_Toc61358978"/>
      <w:bookmarkStart w:id="2773" w:name="_Toc63168430"/>
      <w:bookmarkStart w:id="2774" w:name="_Toc67401356"/>
      <w:bookmarkStart w:id="2775" w:name="_Toc69207993"/>
      <w:bookmarkStart w:id="2776" w:name="_Toc70071547"/>
      <w:bookmarkStart w:id="2777" w:name="_Toc71012328"/>
      <w:bookmarkStart w:id="2778" w:name="_Toc71808997"/>
      <w:bookmarkStart w:id="2779" w:name="_Toc57712540"/>
      <w:bookmarkStart w:id="2780" w:name="_Toc61358979"/>
      <w:bookmarkStart w:id="2781" w:name="_Toc63168431"/>
      <w:bookmarkStart w:id="2782" w:name="_Toc67401357"/>
      <w:bookmarkStart w:id="2783" w:name="_Toc69207994"/>
      <w:bookmarkStart w:id="2784" w:name="_Toc70071548"/>
      <w:bookmarkStart w:id="2785" w:name="_Toc71012329"/>
      <w:bookmarkStart w:id="2786" w:name="_Toc71808998"/>
      <w:bookmarkStart w:id="2787" w:name="_Toc57712541"/>
      <w:bookmarkStart w:id="2788" w:name="_Toc61358980"/>
      <w:bookmarkStart w:id="2789" w:name="_Toc63168432"/>
      <w:bookmarkStart w:id="2790" w:name="_Toc67401358"/>
      <w:bookmarkStart w:id="2791" w:name="_Toc69207995"/>
      <w:bookmarkStart w:id="2792" w:name="_Toc70071549"/>
      <w:bookmarkStart w:id="2793" w:name="_Toc71012330"/>
      <w:bookmarkStart w:id="2794" w:name="_Toc71808999"/>
      <w:bookmarkStart w:id="2795" w:name="_Toc57712542"/>
      <w:bookmarkStart w:id="2796" w:name="_Toc61358981"/>
      <w:bookmarkStart w:id="2797" w:name="_Toc63168433"/>
      <w:bookmarkStart w:id="2798" w:name="_Toc67401359"/>
      <w:bookmarkStart w:id="2799" w:name="_Toc69207996"/>
      <w:bookmarkStart w:id="2800" w:name="_Toc70071550"/>
      <w:bookmarkStart w:id="2801" w:name="_Toc71012331"/>
      <w:bookmarkStart w:id="2802" w:name="_Toc71809000"/>
      <w:bookmarkStart w:id="2803" w:name="_Toc57712543"/>
      <w:bookmarkStart w:id="2804" w:name="_Toc61358982"/>
      <w:bookmarkStart w:id="2805" w:name="_Toc63168434"/>
      <w:bookmarkStart w:id="2806" w:name="_Toc67401360"/>
      <w:bookmarkStart w:id="2807" w:name="_Toc69207997"/>
      <w:bookmarkStart w:id="2808" w:name="_Toc70071551"/>
      <w:bookmarkStart w:id="2809" w:name="_Toc71012332"/>
      <w:bookmarkStart w:id="2810" w:name="_Toc71809001"/>
      <w:bookmarkStart w:id="2811" w:name="_Toc57712544"/>
      <w:bookmarkStart w:id="2812" w:name="_Toc61358983"/>
      <w:bookmarkStart w:id="2813" w:name="_Toc63168435"/>
      <w:bookmarkStart w:id="2814" w:name="_Toc67401361"/>
      <w:bookmarkStart w:id="2815" w:name="_Toc69207998"/>
      <w:bookmarkStart w:id="2816" w:name="_Toc70071552"/>
      <w:bookmarkStart w:id="2817" w:name="_Toc71012333"/>
      <w:bookmarkStart w:id="2818" w:name="_Toc71809002"/>
      <w:bookmarkStart w:id="2819" w:name="_Toc57712545"/>
      <w:bookmarkStart w:id="2820" w:name="_Toc61358984"/>
      <w:bookmarkStart w:id="2821" w:name="_Toc63168436"/>
      <w:bookmarkStart w:id="2822" w:name="_Toc67401362"/>
      <w:bookmarkStart w:id="2823" w:name="_Toc69207999"/>
      <w:bookmarkStart w:id="2824" w:name="_Toc70071553"/>
      <w:bookmarkStart w:id="2825" w:name="_Toc71012334"/>
      <w:bookmarkStart w:id="2826" w:name="_Toc71809003"/>
      <w:bookmarkStart w:id="2827" w:name="_Toc57712546"/>
      <w:bookmarkStart w:id="2828" w:name="_Toc61358985"/>
      <w:bookmarkStart w:id="2829" w:name="_Toc63168437"/>
      <w:bookmarkStart w:id="2830" w:name="_Toc67401363"/>
      <w:bookmarkStart w:id="2831" w:name="_Toc69208000"/>
      <w:bookmarkStart w:id="2832" w:name="_Toc70071554"/>
      <w:bookmarkStart w:id="2833" w:name="_Toc71012335"/>
      <w:bookmarkStart w:id="2834" w:name="_Toc71809004"/>
      <w:bookmarkStart w:id="2835" w:name="_Toc57712547"/>
      <w:bookmarkStart w:id="2836" w:name="_Toc61358986"/>
      <w:bookmarkStart w:id="2837" w:name="_Toc63168438"/>
      <w:bookmarkStart w:id="2838" w:name="_Toc67401364"/>
      <w:bookmarkStart w:id="2839" w:name="_Toc69208001"/>
      <w:bookmarkStart w:id="2840" w:name="_Toc70071555"/>
      <w:bookmarkStart w:id="2841" w:name="_Toc71012336"/>
      <w:bookmarkStart w:id="2842" w:name="_Toc71809005"/>
      <w:bookmarkStart w:id="2843" w:name="_Toc57712548"/>
      <w:bookmarkStart w:id="2844" w:name="_Toc61358987"/>
      <w:bookmarkStart w:id="2845" w:name="_Toc63168439"/>
      <w:bookmarkStart w:id="2846" w:name="_Toc67401365"/>
      <w:bookmarkStart w:id="2847" w:name="_Toc69208002"/>
      <w:bookmarkStart w:id="2848" w:name="_Toc70071556"/>
      <w:bookmarkStart w:id="2849" w:name="_Toc71012337"/>
      <w:bookmarkStart w:id="2850" w:name="_Toc71809006"/>
      <w:bookmarkStart w:id="2851" w:name="_Toc57712549"/>
      <w:bookmarkStart w:id="2852" w:name="_Toc61358988"/>
      <w:bookmarkStart w:id="2853" w:name="_Toc63168440"/>
      <w:bookmarkStart w:id="2854" w:name="_Toc67401366"/>
      <w:bookmarkStart w:id="2855" w:name="_Toc69208003"/>
      <w:bookmarkStart w:id="2856" w:name="_Toc70071557"/>
      <w:bookmarkStart w:id="2857" w:name="_Toc71012338"/>
      <w:bookmarkStart w:id="2858" w:name="_Toc71809007"/>
      <w:bookmarkStart w:id="2859" w:name="_Toc57712550"/>
      <w:bookmarkStart w:id="2860" w:name="_Toc61358989"/>
      <w:bookmarkStart w:id="2861" w:name="_Toc63168441"/>
      <w:bookmarkStart w:id="2862" w:name="_Toc67401367"/>
      <w:bookmarkStart w:id="2863" w:name="_Toc69208004"/>
      <w:bookmarkStart w:id="2864" w:name="_Toc70071558"/>
      <w:bookmarkStart w:id="2865" w:name="_Toc71012339"/>
      <w:bookmarkStart w:id="2866" w:name="_Toc71809008"/>
      <w:bookmarkStart w:id="2867" w:name="_Toc57712551"/>
      <w:bookmarkStart w:id="2868" w:name="_Toc61358990"/>
      <w:bookmarkStart w:id="2869" w:name="_Toc63168442"/>
      <w:bookmarkStart w:id="2870" w:name="_Toc67401368"/>
      <w:bookmarkStart w:id="2871" w:name="_Toc69208005"/>
      <w:bookmarkStart w:id="2872" w:name="_Toc70071559"/>
      <w:bookmarkStart w:id="2873" w:name="_Toc71012340"/>
      <w:bookmarkStart w:id="2874" w:name="_Toc71809009"/>
      <w:bookmarkStart w:id="2875" w:name="_Toc57712552"/>
      <w:bookmarkStart w:id="2876" w:name="_Toc61358991"/>
      <w:bookmarkStart w:id="2877" w:name="_Toc63168443"/>
      <w:bookmarkStart w:id="2878" w:name="_Toc67401369"/>
      <w:bookmarkStart w:id="2879" w:name="_Toc69208006"/>
      <w:bookmarkStart w:id="2880" w:name="_Toc70071560"/>
      <w:bookmarkStart w:id="2881" w:name="_Toc71012341"/>
      <w:bookmarkStart w:id="2882" w:name="_Toc71809010"/>
      <w:bookmarkStart w:id="2883" w:name="_Toc57712553"/>
      <w:bookmarkStart w:id="2884" w:name="_Toc61358992"/>
      <w:bookmarkStart w:id="2885" w:name="_Toc63168444"/>
      <w:bookmarkStart w:id="2886" w:name="_Toc67401370"/>
      <w:bookmarkStart w:id="2887" w:name="_Toc69208007"/>
      <w:bookmarkStart w:id="2888" w:name="_Toc70071561"/>
      <w:bookmarkStart w:id="2889" w:name="_Toc71012342"/>
      <w:bookmarkStart w:id="2890" w:name="_Toc71809011"/>
      <w:bookmarkStart w:id="2891" w:name="_Toc57712554"/>
      <w:bookmarkStart w:id="2892" w:name="_Toc61358993"/>
      <w:bookmarkStart w:id="2893" w:name="_Toc63168445"/>
      <w:bookmarkStart w:id="2894" w:name="_Toc67401371"/>
      <w:bookmarkStart w:id="2895" w:name="_Toc69208008"/>
      <w:bookmarkStart w:id="2896" w:name="_Toc70071562"/>
      <w:bookmarkStart w:id="2897" w:name="_Toc71012343"/>
      <w:bookmarkStart w:id="2898" w:name="_Toc71809012"/>
      <w:bookmarkStart w:id="2899" w:name="_Toc57712555"/>
      <w:bookmarkStart w:id="2900" w:name="_Toc61358994"/>
      <w:bookmarkStart w:id="2901" w:name="_Toc63168446"/>
      <w:bookmarkStart w:id="2902" w:name="_Toc67401372"/>
      <w:bookmarkStart w:id="2903" w:name="_Toc69208009"/>
      <w:bookmarkStart w:id="2904" w:name="_Toc70071563"/>
      <w:bookmarkStart w:id="2905" w:name="_Toc71012344"/>
      <w:bookmarkStart w:id="2906" w:name="_Toc71809013"/>
      <w:bookmarkStart w:id="2907" w:name="_Toc57712556"/>
      <w:bookmarkStart w:id="2908" w:name="_Toc61358995"/>
      <w:bookmarkStart w:id="2909" w:name="_Toc63168447"/>
      <w:bookmarkStart w:id="2910" w:name="_Toc67401373"/>
      <w:bookmarkStart w:id="2911" w:name="_Toc69208010"/>
      <w:bookmarkStart w:id="2912" w:name="_Toc70071564"/>
      <w:bookmarkStart w:id="2913" w:name="_Toc71012345"/>
      <w:bookmarkStart w:id="2914" w:name="_Toc71809014"/>
      <w:bookmarkStart w:id="2915" w:name="_Toc57712557"/>
      <w:bookmarkStart w:id="2916" w:name="_Toc61358996"/>
      <w:bookmarkStart w:id="2917" w:name="_Toc63168448"/>
      <w:bookmarkStart w:id="2918" w:name="_Toc67401374"/>
      <w:bookmarkStart w:id="2919" w:name="_Toc69208011"/>
      <w:bookmarkStart w:id="2920" w:name="_Toc70071565"/>
      <w:bookmarkStart w:id="2921" w:name="_Toc71012346"/>
      <w:bookmarkStart w:id="2922" w:name="_Toc71809015"/>
      <w:bookmarkStart w:id="2923" w:name="_Toc57712558"/>
      <w:bookmarkStart w:id="2924" w:name="_Toc61358997"/>
      <w:bookmarkStart w:id="2925" w:name="_Toc63168449"/>
      <w:bookmarkStart w:id="2926" w:name="_Toc67401375"/>
      <w:bookmarkStart w:id="2927" w:name="_Toc69208012"/>
      <w:bookmarkStart w:id="2928" w:name="_Toc70071566"/>
      <w:bookmarkStart w:id="2929" w:name="_Toc71012347"/>
      <w:bookmarkStart w:id="2930" w:name="_Toc71809016"/>
      <w:bookmarkStart w:id="2931" w:name="_Toc57712559"/>
      <w:bookmarkStart w:id="2932" w:name="_Toc61358998"/>
      <w:bookmarkStart w:id="2933" w:name="_Toc63168450"/>
      <w:bookmarkStart w:id="2934" w:name="_Toc67401376"/>
      <w:bookmarkStart w:id="2935" w:name="_Toc69208013"/>
      <w:bookmarkStart w:id="2936" w:name="_Toc70071567"/>
      <w:bookmarkStart w:id="2937" w:name="_Toc71012348"/>
      <w:bookmarkStart w:id="2938" w:name="_Toc71809017"/>
      <w:bookmarkStart w:id="2939" w:name="_Toc57712560"/>
      <w:bookmarkStart w:id="2940" w:name="_Toc61358999"/>
      <w:bookmarkStart w:id="2941" w:name="_Toc63168451"/>
      <w:bookmarkStart w:id="2942" w:name="_Toc67401377"/>
      <w:bookmarkStart w:id="2943" w:name="_Toc69208014"/>
      <w:bookmarkStart w:id="2944" w:name="_Toc70071568"/>
      <w:bookmarkStart w:id="2945" w:name="_Toc71012349"/>
      <w:bookmarkStart w:id="2946" w:name="_Toc71809018"/>
      <w:bookmarkStart w:id="2947" w:name="_Toc57712561"/>
      <w:bookmarkStart w:id="2948" w:name="_Toc61359000"/>
      <w:bookmarkStart w:id="2949" w:name="_Toc63168452"/>
      <w:bookmarkStart w:id="2950" w:name="_Toc67401378"/>
      <w:bookmarkStart w:id="2951" w:name="_Toc69208015"/>
      <w:bookmarkStart w:id="2952" w:name="_Toc70071569"/>
      <w:bookmarkStart w:id="2953" w:name="_Toc71012350"/>
      <w:bookmarkStart w:id="2954" w:name="_Toc71809019"/>
      <w:bookmarkStart w:id="2955" w:name="_Toc57712562"/>
      <w:bookmarkStart w:id="2956" w:name="_Toc61359001"/>
      <w:bookmarkStart w:id="2957" w:name="_Toc63168453"/>
      <w:bookmarkStart w:id="2958" w:name="_Toc67401379"/>
      <w:bookmarkStart w:id="2959" w:name="_Toc69208016"/>
      <w:bookmarkStart w:id="2960" w:name="_Toc70071570"/>
      <w:bookmarkStart w:id="2961" w:name="_Toc71012351"/>
      <w:bookmarkStart w:id="2962" w:name="_Toc71809020"/>
      <w:bookmarkStart w:id="2963" w:name="_Toc57712563"/>
      <w:bookmarkStart w:id="2964" w:name="_Toc61359002"/>
      <w:bookmarkStart w:id="2965" w:name="_Toc63168454"/>
      <w:bookmarkStart w:id="2966" w:name="_Toc67401380"/>
      <w:bookmarkStart w:id="2967" w:name="_Toc69208017"/>
      <w:bookmarkStart w:id="2968" w:name="_Toc70071571"/>
      <w:bookmarkStart w:id="2969" w:name="_Toc71012352"/>
      <w:bookmarkStart w:id="2970" w:name="_Toc71809021"/>
      <w:bookmarkStart w:id="2971" w:name="_Toc57712564"/>
      <w:bookmarkStart w:id="2972" w:name="_Toc61359003"/>
      <w:bookmarkStart w:id="2973" w:name="_Toc63168455"/>
      <w:bookmarkStart w:id="2974" w:name="_Toc67401381"/>
      <w:bookmarkStart w:id="2975" w:name="_Toc69208018"/>
      <w:bookmarkStart w:id="2976" w:name="_Toc70071572"/>
      <w:bookmarkStart w:id="2977" w:name="_Toc71012353"/>
      <w:bookmarkStart w:id="2978" w:name="_Toc71809022"/>
      <w:bookmarkStart w:id="2979" w:name="_Toc57712565"/>
      <w:bookmarkStart w:id="2980" w:name="_Toc61359004"/>
      <w:bookmarkStart w:id="2981" w:name="_Toc63168456"/>
      <w:bookmarkStart w:id="2982" w:name="_Toc67401382"/>
      <w:bookmarkStart w:id="2983" w:name="_Toc69208019"/>
      <w:bookmarkStart w:id="2984" w:name="_Toc70071573"/>
      <w:bookmarkStart w:id="2985" w:name="_Toc71012354"/>
      <w:bookmarkStart w:id="2986" w:name="_Toc71809023"/>
      <w:bookmarkStart w:id="2987" w:name="_Toc57712566"/>
      <w:bookmarkStart w:id="2988" w:name="_Toc61359005"/>
      <w:bookmarkStart w:id="2989" w:name="_Toc63168457"/>
      <w:bookmarkStart w:id="2990" w:name="_Toc67401383"/>
      <w:bookmarkStart w:id="2991" w:name="_Toc69208020"/>
      <w:bookmarkStart w:id="2992" w:name="_Toc70071574"/>
      <w:bookmarkStart w:id="2993" w:name="_Toc71012355"/>
      <w:bookmarkStart w:id="2994" w:name="_Toc71809024"/>
      <w:bookmarkStart w:id="2995" w:name="_Toc57712567"/>
      <w:bookmarkStart w:id="2996" w:name="_Toc61359006"/>
      <w:bookmarkStart w:id="2997" w:name="_Toc63168458"/>
      <w:bookmarkStart w:id="2998" w:name="_Toc67401384"/>
      <w:bookmarkStart w:id="2999" w:name="_Toc69208021"/>
      <w:bookmarkStart w:id="3000" w:name="_Toc70071575"/>
      <w:bookmarkStart w:id="3001" w:name="_Toc71012356"/>
      <w:bookmarkStart w:id="3002" w:name="_Toc71809025"/>
      <w:bookmarkStart w:id="3003" w:name="_Toc57712568"/>
      <w:bookmarkStart w:id="3004" w:name="_Toc61359007"/>
      <w:bookmarkStart w:id="3005" w:name="_Toc63168459"/>
      <w:bookmarkStart w:id="3006" w:name="_Toc67401385"/>
      <w:bookmarkStart w:id="3007" w:name="_Toc69208022"/>
      <w:bookmarkStart w:id="3008" w:name="_Toc70071576"/>
      <w:bookmarkStart w:id="3009" w:name="_Toc71012357"/>
      <w:bookmarkStart w:id="3010" w:name="_Toc71809026"/>
      <w:bookmarkStart w:id="3011" w:name="_Toc57712569"/>
      <w:bookmarkStart w:id="3012" w:name="_Toc61359008"/>
      <w:bookmarkStart w:id="3013" w:name="_Toc63168460"/>
      <w:bookmarkStart w:id="3014" w:name="_Toc67401386"/>
      <w:bookmarkStart w:id="3015" w:name="_Toc69208023"/>
      <w:bookmarkStart w:id="3016" w:name="_Toc70071577"/>
      <w:bookmarkStart w:id="3017" w:name="_Toc71012358"/>
      <w:bookmarkStart w:id="3018" w:name="_Toc71809027"/>
      <w:bookmarkStart w:id="3019" w:name="_Toc57712570"/>
      <w:bookmarkStart w:id="3020" w:name="_Toc61359009"/>
      <w:bookmarkStart w:id="3021" w:name="_Toc63168461"/>
      <w:bookmarkStart w:id="3022" w:name="_Toc67401387"/>
      <w:bookmarkStart w:id="3023" w:name="_Toc69208024"/>
      <w:bookmarkStart w:id="3024" w:name="_Toc70071578"/>
      <w:bookmarkStart w:id="3025" w:name="_Toc71012359"/>
      <w:bookmarkStart w:id="3026" w:name="_Toc71809028"/>
      <w:bookmarkStart w:id="3027" w:name="_Toc57712571"/>
      <w:bookmarkStart w:id="3028" w:name="_Toc61359010"/>
      <w:bookmarkStart w:id="3029" w:name="_Toc63168462"/>
      <w:bookmarkStart w:id="3030" w:name="_Toc67401388"/>
      <w:bookmarkStart w:id="3031" w:name="_Toc69208025"/>
      <w:bookmarkStart w:id="3032" w:name="_Toc70071579"/>
      <w:bookmarkStart w:id="3033" w:name="_Toc71012360"/>
      <w:bookmarkStart w:id="3034" w:name="_Toc71809029"/>
      <w:bookmarkStart w:id="3035" w:name="_Toc57712572"/>
      <w:bookmarkStart w:id="3036" w:name="_Toc61359011"/>
      <w:bookmarkStart w:id="3037" w:name="_Toc63168463"/>
      <w:bookmarkStart w:id="3038" w:name="_Toc67401389"/>
      <w:bookmarkStart w:id="3039" w:name="_Toc69208026"/>
      <w:bookmarkStart w:id="3040" w:name="_Toc70071580"/>
      <w:bookmarkStart w:id="3041" w:name="_Toc71012361"/>
      <w:bookmarkStart w:id="3042" w:name="_Toc71809030"/>
      <w:bookmarkStart w:id="3043" w:name="_Toc57712573"/>
      <w:bookmarkStart w:id="3044" w:name="_Toc61359012"/>
      <w:bookmarkStart w:id="3045" w:name="_Toc63168464"/>
      <w:bookmarkStart w:id="3046" w:name="_Toc67401390"/>
      <w:bookmarkStart w:id="3047" w:name="_Toc69208027"/>
      <w:bookmarkStart w:id="3048" w:name="_Toc70071581"/>
      <w:bookmarkStart w:id="3049" w:name="_Toc71012362"/>
      <w:bookmarkStart w:id="3050" w:name="_Toc71809031"/>
      <w:bookmarkStart w:id="3051" w:name="_Toc57712574"/>
      <w:bookmarkStart w:id="3052" w:name="_Toc61359013"/>
      <w:bookmarkStart w:id="3053" w:name="_Toc63168465"/>
      <w:bookmarkStart w:id="3054" w:name="_Toc67401391"/>
      <w:bookmarkStart w:id="3055" w:name="_Toc69208028"/>
      <w:bookmarkStart w:id="3056" w:name="_Toc70071582"/>
      <w:bookmarkStart w:id="3057" w:name="_Toc71012363"/>
      <w:bookmarkStart w:id="3058" w:name="_Toc71809032"/>
      <w:bookmarkStart w:id="3059" w:name="_Toc57712575"/>
      <w:bookmarkStart w:id="3060" w:name="_Toc61359014"/>
      <w:bookmarkStart w:id="3061" w:name="_Toc63168466"/>
      <w:bookmarkStart w:id="3062" w:name="_Toc67401392"/>
      <w:bookmarkStart w:id="3063" w:name="_Toc69208029"/>
      <w:bookmarkStart w:id="3064" w:name="_Toc70071583"/>
      <w:bookmarkStart w:id="3065" w:name="_Toc71012364"/>
      <w:bookmarkStart w:id="3066" w:name="_Toc71809033"/>
      <w:bookmarkStart w:id="3067" w:name="_Toc57712576"/>
      <w:bookmarkStart w:id="3068" w:name="_Toc61359015"/>
      <w:bookmarkStart w:id="3069" w:name="_Toc63168467"/>
      <w:bookmarkStart w:id="3070" w:name="_Toc67401393"/>
      <w:bookmarkStart w:id="3071" w:name="_Toc69208030"/>
      <w:bookmarkStart w:id="3072" w:name="_Toc70071584"/>
      <w:bookmarkStart w:id="3073" w:name="_Toc71012365"/>
      <w:bookmarkStart w:id="3074" w:name="_Toc71809034"/>
      <w:bookmarkStart w:id="3075" w:name="_Toc57712577"/>
      <w:bookmarkStart w:id="3076" w:name="_Toc61359016"/>
      <w:bookmarkStart w:id="3077" w:name="_Toc63168468"/>
      <w:bookmarkStart w:id="3078" w:name="_Toc67401394"/>
      <w:bookmarkStart w:id="3079" w:name="_Toc69208031"/>
      <w:bookmarkStart w:id="3080" w:name="_Toc70071585"/>
      <w:bookmarkStart w:id="3081" w:name="_Toc71012366"/>
      <w:bookmarkStart w:id="3082" w:name="_Toc71809035"/>
      <w:bookmarkStart w:id="3083" w:name="_Toc57712578"/>
      <w:bookmarkStart w:id="3084" w:name="_Toc61359017"/>
      <w:bookmarkStart w:id="3085" w:name="_Toc63168469"/>
      <w:bookmarkStart w:id="3086" w:name="_Toc67401395"/>
      <w:bookmarkStart w:id="3087" w:name="_Toc69208032"/>
      <w:bookmarkStart w:id="3088" w:name="_Toc70071586"/>
      <w:bookmarkStart w:id="3089" w:name="_Toc71012367"/>
      <w:bookmarkStart w:id="3090" w:name="_Toc71809036"/>
      <w:bookmarkStart w:id="3091" w:name="_Toc57712579"/>
      <w:bookmarkStart w:id="3092" w:name="_Toc61359018"/>
      <w:bookmarkStart w:id="3093" w:name="_Toc63168470"/>
      <w:bookmarkStart w:id="3094" w:name="_Toc67401396"/>
      <w:bookmarkStart w:id="3095" w:name="_Toc69208033"/>
      <w:bookmarkStart w:id="3096" w:name="_Toc70071587"/>
      <w:bookmarkStart w:id="3097" w:name="_Toc71012368"/>
      <w:bookmarkStart w:id="3098" w:name="_Toc71809037"/>
      <w:bookmarkStart w:id="3099" w:name="_Toc57712580"/>
      <w:bookmarkStart w:id="3100" w:name="_Toc61359019"/>
      <w:bookmarkStart w:id="3101" w:name="_Toc63168471"/>
      <w:bookmarkStart w:id="3102" w:name="_Toc67401397"/>
      <w:bookmarkStart w:id="3103" w:name="_Toc69208034"/>
      <w:bookmarkStart w:id="3104" w:name="_Toc70071588"/>
      <w:bookmarkStart w:id="3105" w:name="_Toc71012369"/>
      <w:bookmarkStart w:id="3106" w:name="_Toc71809038"/>
      <w:bookmarkStart w:id="3107" w:name="_Toc57712581"/>
      <w:bookmarkStart w:id="3108" w:name="_Toc61359020"/>
      <w:bookmarkStart w:id="3109" w:name="_Toc63168472"/>
      <w:bookmarkStart w:id="3110" w:name="_Toc67401398"/>
      <w:bookmarkStart w:id="3111" w:name="_Toc69208035"/>
      <w:bookmarkStart w:id="3112" w:name="_Toc70071589"/>
      <w:bookmarkStart w:id="3113" w:name="_Toc71012370"/>
      <w:bookmarkStart w:id="3114" w:name="_Toc71809039"/>
      <w:bookmarkStart w:id="3115" w:name="_Toc57712582"/>
      <w:bookmarkStart w:id="3116" w:name="_Toc61359021"/>
      <w:bookmarkStart w:id="3117" w:name="_Toc63168473"/>
      <w:bookmarkStart w:id="3118" w:name="_Toc67401399"/>
      <w:bookmarkStart w:id="3119" w:name="_Toc69208036"/>
      <w:bookmarkStart w:id="3120" w:name="_Toc70071590"/>
      <w:bookmarkStart w:id="3121" w:name="_Toc71012371"/>
      <w:bookmarkStart w:id="3122" w:name="_Toc71809040"/>
      <w:bookmarkStart w:id="3123" w:name="_Toc57712583"/>
      <w:bookmarkStart w:id="3124" w:name="_Toc61359022"/>
      <w:bookmarkStart w:id="3125" w:name="_Toc63168474"/>
      <w:bookmarkStart w:id="3126" w:name="_Toc67401400"/>
      <w:bookmarkStart w:id="3127" w:name="_Toc69208037"/>
      <w:bookmarkStart w:id="3128" w:name="_Toc70071591"/>
      <w:bookmarkStart w:id="3129" w:name="_Toc71012372"/>
      <w:bookmarkStart w:id="3130" w:name="_Toc71809041"/>
      <w:bookmarkStart w:id="3131" w:name="_Toc57712584"/>
      <w:bookmarkStart w:id="3132" w:name="_Toc61359023"/>
      <w:bookmarkStart w:id="3133" w:name="_Toc63168475"/>
      <w:bookmarkStart w:id="3134" w:name="_Toc67401401"/>
      <w:bookmarkStart w:id="3135" w:name="_Toc69208038"/>
      <w:bookmarkStart w:id="3136" w:name="_Toc70071592"/>
      <w:bookmarkStart w:id="3137" w:name="_Toc71012373"/>
      <w:bookmarkStart w:id="3138" w:name="_Toc71809042"/>
      <w:bookmarkStart w:id="3139" w:name="_Toc57712585"/>
      <w:bookmarkStart w:id="3140" w:name="_Toc61359024"/>
      <w:bookmarkStart w:id="3141" w:name="_Toc63168476"/>
      <w:bookmarkStart w:id="3142" w:name="_Toc67401402"/>
      <w:bookmarkStart w:id="3143" w:name="_Toc69208039"/>
      <w:bookmarkStart w:id="3144" w:name="_Toc70071593"/>
      <w:bookmarkStart w:id="3145" w:name="_Toc71012374"/>
      <w:bookmarkStart w:id="3146" w:name="_Toc71809043"/>
      <w:bookmarkStart w:id="3147" w:name="_Toc57712586"/>
      <w:bookmarkStart w:id="3148" w:name="_Toc61359025"/>
      <w:bookmarkStart w:id="3149" w:name="_Toc63168477"/>
      <w:bookmarkStart w:id="3150" w:name="_Toc67401403"/>
      <w:bookmarkStart w:id="3151" w:name="_Toc69208040"/>
      <w:bookmarkStart w:id="3152" w:name="_Toc70071594"/>
      <w:bookmarkStart w:id="3153" w:name="_Toc71012375"/>
      <w:bookmarkStart w:id="3154" w:name="_Toc71809044"/>
      <w:bookmarkStart w:id="3155" w:name="_Toc57712587"/>
      <w:bookmarkStart w:id="3156" w:name="_Toc61359026"/>
      <w:bookmarkStart w:id="3157" w:name="_Toc63168478"/>
      <w:bookmarkStart w:id="3158" w:name="_Toc67401404"/>
      <w:bookmarkStart w:id="3159" w:name="_Toc69208041"/>
      <w:bookmarkStart w:id="3160" w:name="_Toc70071595"/>
      <w:bookmarkStart w:id="3161" w:name="_Toc71012376"/>
      <w:bookmarkStart w:id="3162" w:name="_Toc71809045"/>
      <w:bookmarkStart w:id="3163" w:name="_Toc57712588"/>
      <w:bookmarkStart w:id="3164" w:name="_Toc61359027"/>
      <w:bookmarkStart w:id="3165" w:name="_Toc63168479"/>
      <w:bookmarkStart w:id="3166" w:name="_Toc67401405"/>
      <w:bookmarkStart w:id="3167" w:name="_Toc69208042"/>
      <w:bookmarkStart w:id="3168" w:name="_Toc70071596"/>
      <w:bookmarkStart w:id="3169" w:name="_Toc71012377"/>
      <w:bookmarkStart w:id="3170" w:name="_Toc71809046"/>
      <w:bookmarkStart w:id="3171" w:name="_Toc57712589"/>
      <w:bookmarkStart w:id="3172" w:name="_Toc61359028"/>
      <w:bookmarkStart w:id="3173" w:name="_Toc63168480"/>
      <w:bookmarkStart w:id="3174" w:name="_Toc67401406"/>
      <w:bookmarkStart w:id="3175" w:name="_Toc69208043"/>
      <w:bookmarkStart w:id="3176" w:name="_Toc70071597"/>
      <w:bookmarkStart w:id="3177" w:name="_Toc71012378"/>
      <w:bookmarkStart w:id="3178" w:name="_Toc71809047"/>
      <w:bookmarkStart w:id="3179" w:name="_Toc57712590"/>
      <w:bookmarkStart w:id="3180" w:name="_Toc61359029"/>
      <w:bookmarkStart w:id="3181" w:name="_Toc63168481"/>
      <w:bookmarkStart w:id="3182" w:name="_Toc67401407"/>
      <w:bookmarkStart w:id="3183" w:name="_Toc69208044"/>
      <w:bookmarkStart w:id="3184" w:name="_Toc70071598"/>
      <w:bookmarkStart w:id="3185" w:name="_Toc71012379"/>
      <w:bookmarkStart w:id="3186" w:name="_Toc71809048"/>
      <w:bookmarkStart w:id="3187" w:name="_Toc57712591"/>
      <w:bookmarkStart w:id="3188" w:name="_Toc61359030"/>
      <w:bookmarkStart w:id="3189" w:name="_Toc63168482"/>
      <w:bookmarkStart w:id="3190" w:name="_Toc67401408"/>
      <w:bookmarkStart w:id="3191" w:name="_Toc69208045"/>
      <w:bookmarkStart w:id="3192" w:name="_Toc70071599"/>
      <w:bookmarkStart w:id="3193" w:name="_Toc71012380"/>
      <w:bookmarkStart w:id="3194" w:name="_Toc71809049"/>
      <w:bookmarkStart w:id="3195" w:name="_Toc57712592"/>
      <w:bookmarkStart w:id="3196" w:name="_Toc61359031"/>
      <w:bookmarkStart w:id="3197" w:name="_Toc63168483"/>
      <w:bookmarkStart w:id="3198" w:name="_Toc67401409"/>
      <w:bookmarkStart w:id="3199" w:name="_Toc69208046"/>
      <w:bookmarkStart w:id="3200" w:name="_Toc70071600"/>
      <w:bookmarkStart w:id="3201" w:name="_Toc71012381"/>
      <w:bookmarkStart w:id="3202" w:name="_Toc71809050"/>
      <w:bookmarkStart w:id="3203" w:name="_Toc57712593"/>
      <w:bookmarkStart w:id="3204" w:name="_Toc61359032"/>
      <w:bookmarkStart w:id="3205" w:name="_Toc63168484"/>
      <w:bookmarkStart w:id="3206" w:name="_Toc67401410"/>
      <w:bookmarkStart w:id="3207" w:name="_Toc69208047"/>
      <w:bookmarkStart w:id="3208" w:name="_Toc70071601"/>
      <w:bookmarkStart w:id="3209" w:name="_Toc71012382"/>
      <w:bookmarkStart w:id="3210" w:name="_Toc71809051"/>
      <w:bookmarkStart w:id="3211" w:name="_Toc57712594"/>
      <w:bookmarkStart w:id="3212" w:name="_Toc61359033"/>
      <w:bookmarkStart w:id="3213" w:name="_Toc63168485"/>
      <w:bookmarkStart w:id="3214" w:name="_Toc67401411"/>
      <w:bookmarkStart w:id="3215" w:name="_Toc69208048"/>
      <w:bookmarkStart w:id="3216" w:name="_Toc70071602"/>
      <w:bookmarkStart w:id="3217" w:name="_Toc71012383"/>
      <w:bookmarkStart w:id="3218" w:name="_Toc71809052"/>
      <w:bookmarkStart w:id="3219" w:name="_Toc57712595"/>
      <w:bookmarkStart w:id="3220" w:name="_Toc61359034"/>
      <w:bookmarkStart w:id="3221" w:name="_Toc63168486"/>
      <w:bookmarkStart w:id="3222" w:name="_Toc67401412"/>
      <w:bookmarkStart w:id="3223" w:name="_Toc69208049"/>
      <w:bookmarkStart w:id="3224" w:name="_Toc70071603"/>
      <w:bookmarkStart w:id="3225" w:name="_Toc71012384"/>
      <w:bookmarkStart w:id="3226" w:name="_Toc71809053"/>
      <w:bookmarkStart w:id="3227" w:name="_Toc57712596"/>
      <w:bookmarkStart w:id="3228" w:name="_Toc61359035"/>
      <w:bookmarkStart w:id="3229" w:name="_Toc63168487"/>
      <w:bookmarkStart w:id="3230" w:name="_Toc67401413"/>
      <w:bookmarkStart w:id="3231" w:name="_Toc69208050"/>
      <w:bookmarkStart w:id="3232" w:name="_Toc70071604"/>
      <w:bookmarkStart w:id="3233" w:name="_Toc71012385"/>
      <w:bookmarkStart w:id="3234" w:name="_Toc71809054"/>
      <w:bookmarkStart w:id="3235" w:name="_Toc57712597"/>
      <w:bookmarkStart w:id="3236" w:name="_Toc61359036"/>
      <w:bookmarkStart w:id="3237" w:name="_Toc63168488"/>
      <w:bookmarkStart w:id="3238" w:name="_Toc67401414"/>
      <w:bookmarkStart w:id="3239" w:name="_Toc69208051"/>
      <w:bookmarkStart w:id="3240" w:name="_Toc70071605"/>
      <w:bookmarkStart w:id="3241" w:name="_Toc71012386"/>
      <w:bookmarkStart w:id="3242" w:name="_Toc71809055"/>
      <w:bookmarkStart w:id="3243" w:name="_Toc57712598"/>
      <w:bookmarkStart w:id="3244" w:name="_Toc61359037"/>
      <w:bookmarkStart w:id="3245" w:name="_Toc63168489"/>
      <w:bookmarkStart w:id="3246" w:name="_Toc67401415"/>
      <w:bookmarkStart w:id="3247" w:name="_Toc69208052"/>
      <w:bookmarkStart w:id="3248" w:name="_Toc70071606"/>
      <w:bookmarkStart w:id="3249" w:name="_Toc71012387"/>
      <w:bookmarkStart w:id="3250" w:name="_Toc71809056"/>
      <w:bookmarkStart w:id="3251" w:name="_Toc57712599"/>
      <w:bookmarkStart w:id="3252" w:name="_Toc61359038"/>
      <w:bookmarkStart w:id="3253" w:name="_Toc63168490"/>
      <w:bookmarkStart w:id="3254" w:name="_Toc67401416"/>
      <w:bookmarkStart w:id="3255" w:name="_Toc69208053"/>
      <w:bookmarkStart w:id="3256" w:name="_Toc70071607"/>
      <w:bookmarkStart w:id="3257" w:name="_Toc71012388"/>
      <w:bookmarkStart w:id="3258" w:name="_Toc71809057"/>
      <w:bookmarkStart w:id="3259" w:name="_Toc57712600"/>
      <w:bookmarkStart w:id="3260" w:name="_Toc61359039"/>
      <w:bookmarkStart w:id="3261" w:name="_Toc63168491"/>
      <w:bookmarkStart w:id="3262" w:name="_Toc67401417"/>
      <w:bookmarkStart w:id="3263" w:name="_Toc69208054"/>
      <w:bookmarkStart w:id="3264" w:name="_Toc70071608"/>
      <w:bookmarkStart w:id="3265" w:name="_Toc71012389"/>
      <w:bookmarkStart w:id="3266" w:name="_Toc71809058"/>
      <w:bookmarkStart w:id="3267" w:name="_Toc57712601"/>
      <w:bookmarkStart w:id="3268" w:name="_Toc61359040"/>
      <w:bookmarkStart w:id="3269" w:name="_Toc63168492"/>
      <w:bookmarkStart w:id="3270" w:name="_Toc67401418"/>
      <w:bookmarkStart w:id="3271" w:name="_Toc69208055"/>
      <w:bookmarkStart w:id="3272" w:name="_Toc70071609"/>
      <w:bookmarkStart w:id="3273" w:name="_Toc71012390"/>
      <w:bookmarkStart w:id="3274" w:name="_Toc71809059"/>
      <w:bookmarkStart w:id="3275" w:name="_Toc57712602"/>
      <w:bookmarkStart w:id="3276" w:name="_Toc61359041"/>
      <w:bookmarkStart w:id="3277" w:name="_Toc63168493"/>
      <w:bookmarkStart w:id="3278" w:name="_Toc67401419"/>
      <w:bookmarkStart w:id="3279" w:name="_Toc69208056"/>
      <w:bookmarkStart w:id="3280" w:name="_Toc70071610"/>
      <w:bookmarkStart w:id="3281" w:name="_Toc71012391"/>
      <w:bookmarkStart w:id="3282" w:name="_Toc71809060"/>
      <w:bookmarkStart w:id="3283" w:name="_Toc57712603"/>
      <w:bookmarkStart w:id="3284" w:name="_Toc61359042"/>
      <w:bookmarkStart w:id="3285" w:name="_Toc63168494"/>
      <w:bookmarkStart w:id="3286" w:name="_Toc67401420"/>
      <w:bookmarkStart w:id="3287" w:name="_Toc69208057"/>
      <w:bookmarkStart w:id="3288" w:name="_Toc70071611"/>
      <w:bookmarkStart w:id="3289" w:name="_Toc71012392"/>
      <w:bookmarkStart w:id="3290" w:name="_Toc71809061"/>
      <w:bookmarkStart w:id="3291" w:name="_Toc57712604"/>
      <w:bookmarkStart w:id="3292" w:name="_Toc61359043"/>
      <w:bookmarkStart w:id="3293" w:name="_Toc63168495"/>
      <w:bookmarkStart w:id="3294" w:name="_Toc67401421"/>
      <w:bookmarkStart w:id="3295" w:name="_Toc69208058"/>
      <w:bookmarkStart w:id="3296" w:name="_Toc70071612"/>
      <w:bookmarkStart w:id="3297" w:name="_Toc71012393"/>
      <w:bookmarkStart w:id="3298" w:name="_Toc71809062"/>
      <w:bookmarkStart w:id="3299" w:name="_Toc57712605"/>
      <w:bookmarkStart w:id="3300" w:name="_Toc61359044"/>
      <w:bookmarkStart w:id="3301" w:name="_Toc63168496"/>
      <w:bookmarkStart w:id="3302" w:name="_Toc67401422"/>
      <w:bookmarkStart w:id="3303" w:name="_Toc69208059"/>
      <w:bookmarkStart w:id="3304" w:name="_Toc70071613"/>
      <w:bookmarkStart w:id="3305" w:name="_Toc71012394"/>
      <w:bookmarkStart w:id="3306" w:name="_Toc71809063"/>
      <w:bookmarkStart w:id="3307" w:name="_Toc57712606"/>
      <w:bookmarkStart w:id="3308" w:name="_Toc61359045"/>
      <w:bookmarkStart w:id="3309" w:name="_Toc63168497"/>
      <w:bookmarkStart w:id="3310" w:name="_Toc67401423"/>
      <w:bookmarkStart w:id="3311" w:name="_Toc69208060"/>
      <w:bookmarkStart w:id="3312" w:name="_Toc70071614"/>
      <w:bookmarkStart w:id="3313" w:name="_Toc71012395"/>
      <w:bookmarkStart w:id="3314" w:name="_Toc71809064"/>
      <w:bookmarkStart w:id="3315" w:name="_Toc57712607"/>
      <w:bookmarkStart w:id="3316" w:name="_Toc61359046"/>
      <w:bookmarkStart w:id="3317" w:name="_Toc63168498"/>
      <w:bookmarkStart w:id="3318" w:name="_Toc67401424"/>
      <w:bookmarkStart w:id="3319" w:name="_Toc69208061"/>
      <w:bookmarkStart w:id="3320" w:name="_Toc70071615"/>
      <w:bookmarkStart w:id="3321" w:name="_Toc71012396"/>
      <w:bookmarkStart w:id="3322" w:name="_Toc71809065"/>
      <w:bookmarkStart w:id="3323" w:name="_Toc57712608"/>
      <w:bookmarkStart w:id="3324" w:name="_Toc61359047"/>
      <w:bookmarkStart w:id="3325" w:name="_Toc63168499"/>
      <w:bookmarkStart w:id="3326" w:name="_Toc67401425"/>
      <w:bookmarkStart w:id="3327" w:name="_Toc69208062"/>
      <w:bookmarkStart w:id="3328" w:name="_Toc70071616"/>
      <w:bookmarkStart w:id="3329" w:name="_Toc71012397"/>
      <w:bookmarkStart w:id="3330" w:name="_Toc71809066"/>
      <w:bookmarkStart w:id="3331" w:name="_Toc57712609"/>
      <w:bookmarkStart w:id="3332" w:name="_Toc61359048"/>
      <w:bookmarkStart w:id="3333" w:name="_Toc63168500"/>
      <w:bookmarkStart w:id="3334" w:name="_Toc67401426"/>
      <w:bookmarkStart w:id="3335" w:name="_Toc69208063"/>
      <w:bookmarkStart w:id="3336" w:name="_Toc70071617"/>
      <w:bookmarkStart w:id="3337" w:name="_Toc71012398"/>
      <w:bookmarkStart w:id="3338" w:name="_Toc71809067"/>
      <w:bookmarkStart w:id="3339" w:name="_Toc57712610"/>
      <w:bookmarkStart w:id="3340" w:name="_Toc61359049"/>
      <w:bookmarkStart w:id="3341" w:name="_Toc63168501"/>
      <w:bookmarkStart w:id="3342" w:name="_Toc67401427"/>
      <w:bookmarkStart w:id="3343" w:name="_Toc69208064"/>
      <w:bookmarkStart w:id="3344" w:name="_Toc70071618"/>
      <w:bookmarkStart w:id="3345" w:name="_Toc71012399"/>
      <w:bookmarkStart w:id="3346" w:name="_Toc71809068"/>
      <w:bookmarkStart w:id="3347" w:name="_Toc57712611"/>
      <w:bookmarkStart w:id="3348" w:name="_Toc61359050"/>
      <w:bookmarkStart w:id="3349" w:name="_Toc63168502"/>
      <w:bookmarkStart w:id="3350" w:name="_Toc67401428"/>
      <w:bookmarkStart w:id="3351" w:name="_Toc69208065"/>
      <w:bookmarkStart w:id="3352" w:name="_Toc70071619"/>
      <w:bookmarkStart w:id="3353" w:name="_Toc71012400"/>
      <w:bookmarkStart w:id="3354" w:name="_Toc71809069"/>
      <w:bookmarkStart w:id="3355" w:name="_Toc57712612"/>
      <w:bookmarkStart w:id="3356" w:name="_Toc61359051"/>
      <w:bookmarkStart w:id="3357" w:name="_Toc63168503"/>
      <w:bookmarkStart w:id="3358" w:name="_Toc67401429"/>
      <w:bookmarkStart w:id="3359" w:name="_Toc69208066"/>
      <w:bookmarkStart w:id="3360" w:name="_Toc70071620"/>
      <w:bookmarkStart w:id="3361" w:name="_Toc71012401"/>
      <w:bookmarkStart w:id="3362" w:name="_Toc71809070"/>
      <w:bookmarkStart w:id="3363" w:name="_Toc57712613"/>
      <w:bookmarkStart w:id="3364" w:name="_Toc61359052"/>
      <w:bookmarkStart w:id="3365" w:name="_Toc63168504"/>
      <w:bookmarkStart w:id="3366" w:name="_Toc67401430"/>
      <w:bookmarkStart w:id="3367" w:name="_Toc69208067"/>
      <w:bookmarkStart w:id="3368" w:name="_Toc70071621"/>
      <w:bookmarkStart w:id="3369" w:name="_Toc71012402"/>
      <w:bookmarkStart w:id="3370" w:name="_Toc71809071"/>
      <w:bookmarkStart w:id="3371" w:name="_Toc57712614"/>
      <w:bookmarkStart w:id="3372" w:name="_Toc61359053"/>
      <w:bookmarkStart w:id="3373" w:name="_Toc63168505"/>
      <w:bookmarkStart w:id="3374" w:name="_Toc67401431"/>
      <w:bookmarkStart w:id="3375" w:name="_Toc69208068"/>
      <w:bookmarkStart w:id="3376" w:name="_Toc70071622"/>
      <w:bookmarkStart w:id="3377" w:name="_Toc71012403"/>
      <w:bookmarkStart w:id="3378" w:name="_Toc71809072"/>
      <w:bookmarkStart w:id="3379" w:name="_Toc57712615"/>
      <w:bookmarkStart w:id="3380" w:name="_Toc61359054"/>
      <w:bookmarkStart w:id="3381" w:name="_Toc63168506"/>
      <w:bookmarkStart w:id="3382" w:name="_Toc67401432"/>
      <w:bookmarkStart w:id="3383" w:name="_Toc69208069"/>
      <w:bookmarkStart w:id="3384" w:name="_Toc70071623"/>
      <w:bookmarkStart w:id="3385" w:name="_Toc71012404"/>
      <w:bookmarkStart w:id="3386" w:name="_Toc71809073"/>
      <w:bookmarkStart w:id="3387" w:name="_Toc57712616"/>
      <w:bookmarkStart w:id="3388" w:name="_Toc61359055"/>
      <w:bookmarkStart w:id="3389" w:name="_Toc63168507"/>
      <w:bookmarkStart w:id="3390" w:name="_Toc67401433"/>
      <w:bookmarkStart w:id="3391" w:name="_Toc69208070"/>
      <w:bookmarkStart w:id="3392" w:name="_Toc70071624"/>
      <w:bookmarkStart w:id="3393" w:name="_Toc71012405"/>
      <w:bookmarkStart w:id="3394" w:name="_Toc71809074"/>
      <w:bookmarkStart w:id="3395" w:name="_Toc57712617"/>
      <w:bookmarkStart w:id="3396" w:name="_Toc61359056"/>
      <w:bookmarkStart w:id="3397" w:name="_Toc63168508"/>
      <w:bookmarkStart w:id="3398" w:name="_Toc67401434"/>
      <w:bookmarkStart w:id="3399" w:name="_Toc69208071"/>
      <w:bookmarkStart w:id="3400" w:name="_Toc70071625"/>
      <w:bookmarkStart w:id="3401" w:name="_Toc71012406"/>
      <w:bookmarkStart w:id="3402" w:name="_Toc71809075"/>
      <w:bookmarkStart w:id="3403" w:name="_Toc57712618"/>
      <w:bookmarkStart w:id="3404" w:name="_Toc61359057"/>
      <w:bookmarkStart w:id="3405" w:name="_Toc63168509"/>
      <w:bookmarkStart w:id="3406" w:name="_Toc67401435"/>
      <w:bookmarkStart w:id="3407" w:name="_Toc69208072"/>
      <w:bookmarkStart w:id="3408" w:name="_Toc70071626"/>
      <w:bookmarkStart w:id="3409" w:name="_Toc71012407"/>
      <w:bookmarkStart w:id="3410" w:name="_Toc71809076"/>
      <w:bookmarkStart w:id="3411" w:name="_Toc57712619"/>
      <w:bookmarkStart w:id="3412" w:name="_Toc61359058"/>
      <w:bookmarkStart w:id="3413" w:name="_Toc63168510"/>
      <w:bookmarkStart w:id="3414" w:name="_Toc67401436"/>
      <w:bookmarkStart w:id="3415" w:name="_Toc69208073"/>
      <w:bookmarkStart w:id="3416" w:name="_Toc70071627"/>
      <w:bookmarkStart w:id="3417" w:name="_Toc71012408"/>
      <w:bookmarkStart w:id="3418" w:name="_Toc71809077"/>
      <w:bookmarkStart w:id="3419" w:name="_Toc57712620"/>
      <w:bookmarkStart w:id="3420" w:name="_Toc61359059"/>
      <w:bookmarkStart w:id="3421" w:name="_Toc63168511"/>
      <w:bookmarkStart w:id="3422" w:name="_Toc67401437"/>
      <w:bookmarkStart w:id="3423" w:name="_Toc69208074"/>
      <w:bookmarkStart w:id="3424" w:name="_Toc70071628"/>
      <w:bookmarkStart w:id="3425" w:name="_Toc71012409"/>
      <w:bookmarkStart w:id="3426" w:name="_Toc71809078"/>
      <w:bookmarkStart w:id="3427" w:name="_Toc57712621"/>
      <w:bookmarkStart w:id="3428" w:name="_Toc61359060"/>
      <w:bookmarkStart w:id="3429" w:name="_Toc63168512"/>
      <w:bookmarkStart w:id="3430" w:name="_Toc67401438"/>
      <w:bookmarkStart w:id="3431" w:name="_Toc69208075"/>
      <w:bookmarkStart w:id="3432" w:name="_Toc70071629"/>
      <w:bookmarkStart w:id="3433" w:name="_Toc71012410"/>
      <w:bookmarkStart w:id="3434" w:name="_Toc71809079"/>
      <w:bookmarkStart w:id="3435" w:name="_Toc57712622"/>
      <w:bookmarkStart w:id="3436" w:name="_Toc61359061"/>
      <w:bookmarkStart w:id="3437" w:name="_Toc63168513"/>
      <w:bookmarkStart w:id="3438" w:name="_Toc67401439"/>
      <w:bookmarkStart w:id="3439" w:name="_Toc69208076"/>
      <w:bookmarkStart w:id="3440" w:name="_Toc70071630"/>
      <w:bookmarkStart w:id="3441" w:name="_Toc71012411"/>
      <w:bookmarkStart w:id="3442" w:name="_Toc71809080"/>
      <w:bookmarkStart w:id="3443" w:name="_Toc57712623"/>
      <w:bookmarkStart w:id="3444" w:name="_Toc61359062"/>
      <w:bookmarkStart w:id="3445" w:name="_Toc63168514"/>
      <w:bookmarkStart w:id="3446" w:name="_Toc67401440"/>
      <w:bookmarkStart w:id="3447" w:name="_Toc69208077"/>
      <w:bookmarkStart w:id="3448" w:name="_Toc70071631"/>
      <w:bookmarkStart w:id="3449" w:name="_Toc71012412"/>
      <w:bookmarkStart w:id="3450" w:name="_Toc71809081"/>
      <w:bookmarkStart w:id="3451" w:name="_Toc57712624"/>
      <w:bookmarkStart w:id="3452" w:name="_Toc61359063"/>
      <w:bookmarkStart w:id="3453" w:name="_Toc63168515"/>
      <w:bookmarkStart w:id="3454" w:name="_Toc67401441"/>
      <w:bookmarkStart w:id="3455" w:name="_Toc69208078"/>
      <w:bookmarkStart w:id="3456" w:name="_Toc70071632"/>
      <w:bookmarkStart w:id="3457" w:name="_Toc71012413"/>
      <w:bookmarkStart w:id="3458" w:name="_Toc71809082"/>
      <w:bookmarkStart w:id="3459" w:name="_Toc57712625"/>
      <w:bookmarkStart w:id="3460" w:name="_Toc61359064"/>
      <w:bookmarkStart w:id="3461" w:name="_Toc63168516"/>
      <w:bookmarkStart w:id="3462" w:name="_Toc67401442"/>
      <w:bookmarkStart w:id="3463" w:name="_Toc69208079"/>
      <w:bookmarkStart w:id="3464" w:name="_Toc70071633"/>
      <w:bookmarkStart w:id="3465" w:name="_Toc71012414"/>
      <w:bookmarkStart w:id="3466" w:name="_Toc71809083"/>
      <w:bookmarkStart w:id="3467" w:name="_Toc57712626"/>
      <w:bookmarkStart w:id="3468" w:name="_Toc61359065"/>
      <w:bookmarkStart w:id="3469" w:name="_Toc63168517"/>
      <w:bookmarkStart w:id="3470" w:name="_Toc67401443"/>
      <w:bookmarkStart w:id="3471" w:name="_Toc69208080"/>
      <w:bookmarkStart w:id="3472" w:name="_Toc70071634"/>
      <w:bookmarkStart w:id="3473" w:name="_Toc71012415"/>
      <w:bookmarkStart w:id="3474" w:name="_Toc71809084"/>
      <w:bookmarkStart w:id="3475" w:name="_Toc57712627"/>
      <w:bookmarkStart w:id="3476" w:name="_Toc61359066"/>
      <w:bookmarkStart w:id="3477" w:name="_Toc63168518"/>
      <w:bookmarkStart w:id="3478" w:name="_Toc67401444"/>
      <w:bookmarkStart w:id="3479" w:name="_Toc69208081"/>
      <w:bookmarkStart w:id="3480" w:name="_Toc70071635"/>
      <w:bookmarkStart w:id="3481" w:name="_Toc71012416"/>
      <w:bookmarkStart w:id="3482" w:name="_Toc71809085"/>
      <w:bookmarkStart w:id="3483" w:name="_Toc57712628"/>
      <w:bookmarkStart w:id="3484" w:name="_Toc61359067"/>
      <w:bookmarkStart w:id="3485" w:name="_Toc63168519"/>
      <w:bookmarkStart w:id="3486" w:name="_Toc67401445"/>
      <w:bookmarkStart w:id="3487" w:name="_Toc69208082"/>
      <w:bookmarkStart w:id="3488" w:name="_Toc70071636"/>
      <w:bookmarkStart w:id="3489" w:name="_Toc71012417"/>
      <w:bookmarkStart w:id="3490" w:name="_Toc71809086"/>
      <w:bookmarkStart w:id="3491" w:name="_Toc57712629"/>
      <w:bookmarkStart w:id="3492" w:name="_Toc61359068"/>
      <w:bookmarkStart w:id="3493" w:name="_Toc63168520"/>
      <w:bookmarkStart w:id="3494" w:name="_Toc67401446"/>
      <w:bookmarkStart w:id="3495" w:name="_Toc69208083"/>
      <w:bookmarkStart w:id="3496" w:name="_Toc70071637"/>
      <w:bookmarkStart w:id="3497" w:name="_Toc71012418"/>
      <w:bookmarkStart w:id="3498" w:name="_Toc71809087"/>
      <w:bookmarkStart w:id="3499" w:name="_Toc57712630"/>
      <w:bookmarkStart w:id="3500" w:name="_Toc61359069"/>
      <w:bookmarkStart w:id="3501" w:name="_Toc63168521"/>
      <w:bookmarkStart w:id="3502" w:name="_Toc67401447"/>
      <w:bookmarkStart w:id="3503" w:name="_Toc69208084"/>
      <w:bookmarkStart w:id="3504" w:name="_Toc70071638"/>
      <w:bookmarkStart w:id="3505" w:name="_Toc71012419"/>
      <w:bookmarkStart w:id="3506" w:name="_Toc71809088"/>
      <w:bookmarkStart w:id="3507" w:name="_Toc57712631"/>
      <w:bookmarkStart w:id="3508" w:name="_Toc61359070"/>
      <w:bookmarkStart w:id="3509" w:name="_Toc63168522"/>
      <w:bookmarkStart w:id="3510" w:name="_Toc67401448"/>
      <w:bookmarkStart w:id="3511" w:name="_Toc69208085"/>
      <w:bookmarkStart w:id="3512" w:name="_Toc70071639"/>
      <w:bookmarkStart w:id="3513" w:name="_Toc71012420"/>
      <w:bookmarkStart w:id="3514" w:name="_Toc71809089"/>
      <w:bookmarkStart w:id="3515" w:name="_Toc57712632"/>
      <w:bookmarkStart w:id="3516" w:name="_Toc61359071"/>
      <w:bookmarkStart w:id="3517" w:name="_Toc63168523"/>
      <w:bookmarkStart w:id="3518" w:name="_Toc67401449"/>
      <w:bookmarkStart w:id="3519" w:name="_Toc69208086"/>
      <w:bookmarkStart w:id="3520" w:name="_Toc70071640"/>
      <w:bookmarkStart w:id="3521" w:name="_Toc71012421"/>
      <w:bookmarkStart w:id="3522" w:name="_Toc71809090"/>
      <w:bookmarkStart w:id="3523" w:name="_Toc57712633"/>
      <w:bookmarkStart w:id="3524" w:name="_Toc61359072"/>
      <w:bookmarkStart w:id="3525" w:name="_Toc63168524"/>
      <w:bookmarkStart w:id="3526" w:name="_Toc67401450"/>
      <w:bookmarkStart w:id="3527" w:name="_Toc69208087"/>
      <w:bookmarkStart w:id="3528" w:name="_Toc70071641"/>
      <w:bookmarkStart w:id="3529" w:name="_Toc71012422"/>
      <w:bookmarkStart w:id="3530" w:name="_Toc71809091"/>
      <w:bookmarkStart w:id="3531" w:name="_Toc57712634"/>
      <w:bookmarkStart w:id="3532" w:name="_Toc61359073"/>
      <w:bookmarkStart w:id="3533" w:name="_Toc63168525"/>
      <w:bookmarkStart w:id="3534" w:name="_Toc67401451"/>
      <w:bookmarkStart w:id="3535" w:name="_Toc69208088"/>
      <w:bookmarkStart w:id="3536" w:name="_Toc70071642"/>
      <w:bookmarkStart w:id="3537" w:name="_Toc71012423"/>
      <w:bookmarkStart w:id="3538" w:name="_Toc71809092"/>
      <w:bookmarkStart w:id="3539" w:name="_Toc57712635"/>
      <w:bookmarkStart w:id="3540" w:name="_Toc61359074"/>
      <w:bookmarkStart w:id="3541" w:name="_Toc63168526"/>
      <w:bookmarkStart w:id="3542" w:name="_Toc67401452"/>
      <w:bookmarkStart w:id="3543" w:name="_Toc69208089"/>
      <w:bookmarkStart w:id="3544" w:name="_Toc70071643"/>
      <w:bookmarkStart w:id="3545" w:name="_Toc71012424"/>
      <w:bookmarkStart w:id="3546" w:name="_Toc71809093"/>
      <w:bookmarkStart w:id="3547" w:name="_Toc57712636"/>
      <w:bookmarkStart w:id="3548" w:name="_Toc61359075"/>
      <w:bookmarkStart w:id="3549" w:name="_Toc63168527"/>
      <w:bookmarkStart w:id="3550" w:name="_Toc67401453"/>
      <w:bookmarkStart w:id="3551" w:name="_Toc69208090"/>
      <w:bookmarkStart w:id="3552" w:name="_Toc70071644"/>
      <w:bookmarkStart w:id="3553" w:name="_Toc71012425"/>
      <w:bookmarkStart w:id="3554" w:name="_Toc71809094"/>
      <w:bookmarkStart w:id="3555" w:name="_Toc57712637"/>
      <w:bookmarkStart w:id="3556" w:name="_Toc61359076"/>
      <w:bookmarkStart w:id="3557" w:name="_Toc63168528"/>
      <w:bookmarkStart w:id="3558" w:name="_Toc67401454"/>
      <w:bookmarkStart w:id="3559" w:name="_Toc69208091"/>
      <w:bookmarkStart w:id="3560" w:name="_Toc70071645"/>
      <w:bookmarkStart w:id="3561" w:name="_Toc71012426"/>
      <w:bookmarkStart w:id="3562" w:name="_Toc71809095"/>
      <w:bookmarkStart w:id="3563" w:name="_Toc57712638"/>
      <w:bookmarkStart w:id="3564" w:name="_Toc61359077"/>
      <w:bookmarkStart w:id="3565" w:name="_Toc63168529"/>
      <w:bookmarkStart w:id="3566" w:name="_Toc67401455"/>
      <w:bookmarkStart w:id="3567" w:name="_Toc69208092"/>
      <w:bookmarkStart w:id="3568" w:name="_Toc70071646"/>
      <w:bookmarkStart w:id="3569" w:name="_Toc71012427"/>
      <w:bookmarkStart w:id="3570" w:name="_Toc71809096"/>
      <w:bookmarkStart w:id="3571" w:name="_Toc57712639"/>
      <w:bookmarkStart w:id="3572" w:name="_Toc61359078"/>
      <w:bookmarkStart w:id="3573" w:name="_Toc63168530"/>
      <w:bookmarkStart w:id="3574" w:name="_Toc67401456"/>
      <w:bookmarkStart w:id="3575" w:name="_Toc69208093"/>
      <w:bookmarkStart w:id="3576" w:name="_Toc70071647"/>
      <w:bookmarkStart w:id="3577" w:name="_Toc71012428"/>
      <w:bookmarkStart w:id="3578" w:name="_Toc71809097"/>
      <w:bookmarkStart w:id="3579" w:name="_Toc57712640"/>
      <w:bookmarkStart w:id="3580" w:name="_Toc61359079"/>
      <w:bookmarkStart w:id="3581" w:name="_Toc63168531"/>
      <w:bookmarkStart w:id="3582" w:name="_Toc67401457"/>
      <w:bookmarkStart w:id="3583" w:name="_Toc69208094"/>
      <w:bookmarkStart w:id="3584" w:name="_Toc70071648"/>
      <w:bookmarkStart w:id="3585" w:name="_Toc71012429"/>
      <w:bookmarkStart w:id="3586" w:name="_Toc71809098"/>
      <w:bookmarkStart w:id="3587" w:name="_Toc57712641"/>
      <w:bookmarkStart w:id="3588" w:name="_Toc61359080"/>
      <w:bookmarkStart w:id="3589" w:name="_Toc63168532"/>
      <w:bookmarkStart w:id="3590" w:name="_Toc67401458"/>
      <w:bookmarkStart w:id="3591" w:name="_Toc69208095"/>
      <w:bookmarkStart w:id="3592" w:name="_Toc70071649"/>
      <w:bookmarkStart w:id="3593" w:name="_Toc71012430"/>
      <w:bookmarkStart w:id="3594" w:name="_Toc71809099"/>
      <w:bookmarkStart w:id="3595" w:name="_Toc57712642"/>
      <w:bookmarkStart w:id="3596" w:name="_Toc61359081"/>
      <w:bookmarkStart w:id="3597" w:name="_Toc63168533"/>
      <w:bookmarkStart w:id="3598" w:name="_Toc67401459"/>
      <w:bookmarkStart w:id="3599" w:name="_Toc69208096"/>
      <w:bookmarkStart w:id="3600" w:name="_Toc70071650"/>
      <w:bookmarkStart w:id="3601" w:name="_Toc71012431"/>
      <w:bookmarkStart w:id="3602" w:name="_Toc71809100"/>
      <w:bookmarkStart w:id="3603" w:name="_Toc57712643"/>
      <w:bookmarkStart w:id="3604" w:name="_Toc61359082"/>
      <w:bookmarkStart w:id="3605" w:name="_Toc63168534"/>
      <w:bookmarkStart w:id="3606" w:name="_Toc67401460"/>
      <w:bookmarkStart w:id="3607" w:name="_Toc69208097"/>
      <w:bookmarkStart w:id="3608" w:name="_Toc70071651"/>
      <w:bookmarkStart w:id="3609" w:name="_Toc71012432"/>
      <w:bookmarkStart w:id="3610" w:name="_Toc71809101"/>
      <w:bookmarkStart w:id="3611" w:name="_Toc57712644"/>
      <w:bookmarkStart w:id="3612" w:name="_Toc61359083"/>
      <w:bookmarkStart w:id="3613" w:name="_Toc63168535"/>
      <w:bookmarkStart w:id="3614" w:name="_Toc67401461"/>
      <w:bookmarkStart w:id="3615" w:name="_Toc69208098"/>
      <w:bookmarkStart w:id="3616" w:name="_Toc70071652"/>
      <w:bookmarkStart w:id="3617" w:name="_Toc71012433"/>
      <w:bookmarkStart w:id="3618" w:name="_Toc71809102"/>
      <w:bookmarkStart w:id="3619" w:name="_5.20__RECEIVED"/>
      <w:bookmarkStart w:id="3620" w:name="_5.20__DDO"/>
      <w:bookmarkStart w:id="3621" w:name="_Toc57712645"/>
      <w:bookmarkStart w:id="3622" w:name="_Toc61359084"/>
      <w:bookmarkStart w:id="3623" w:name="_Toc63168536"/>
      <w:bookmarkStart w:id="3624" w:name="_Toc67401462"/>
      <w:bookmarkStart w:id="3625" w:name="_Toc69208099"/>
      <w:bookmarkStart w:id="3626" w:name="_Toc70071653"/>
      <w:bookmarkStart w:id="3627" w:name="_Toc71012434"/>
      <w:bookmarkStart w:id="3628" w:name="_Toc71809103"/>
      <w:bookmarkStart w:id="3629" w:name="_Toc57712646"/>
      <w:bookmarkStart w:id="3630" w:name="_Toc61359085"/>
      <w:bookmarkStart w:id="3631" w:name="_Toc63168537"/>
      <w:bookmarkStart w:id="3632" w:name="_Toc67401463"/>
      <w:bookmarkStart w:id="3633" w:name="_Toc69208100"/>
      <w:bookmarkStart w:id="3634" w:name="_Toc70071654"/>
      <w:bookmarkStart w:id="3635" w:name="_Toc71012435"/>
      <w:bookmarkStart w:id="3636" w:name="_Toc71809104"/>
      <w:bookmarkStart w:id="3637" w:name="_Toc57712647"/>
      <w:bookmarkStart w:id="3638" w:name="_Toc61359086"/>
      <w:bookmarkStart w:id="3639" w:name="_Toc63168538"/>
      <w:bookmarkStart w:id="3640" w:name="_Toc67401464"/>
      <w:bookmarkStart w:id="3641" w:name="_Toc69208101"/>
      <w:bookmarkStart w:id="3642" w:name="_Toc70071655"/>
      <w:bookmarkStart w:id="3643" w:name="_Toc71012436"/>
      <w:bookmarkStart w:id="3644" w:name="_Toc71809105"/>
      <w:bookmarkStart w:id="3645" w:name="_Toc57712648"/>
      <w:bookmarkStart w:id="3646" w:name="_Toc61359087"/>
      <w:bookmarkStart w:id="3647" w:name="_Toc63168539"/>
      <w:bookmarkStart w:id="3648" w:name="_Toc67401465"/>
      <w:bookmarkStart w:id="3649" w:name="_Toc69208102"/>
      <w:bookmarkStart w:id="3650" w:name="_Toc70071656"/>
      <w:bookmarkStart w:id="3651" w:name="_Toc71012437"/>
      <w:bookmarkStart w:id="3652" w:name="_Toc71809106"/>
      <w:bookmarkStart w:id="3653" w:name="_Toc57712649"/>
      <w:bookmarkStart w:id="3654" w:name="_Toc61359088"/>
      <w:bookmarkStart w:id="3655" w:name="_Toc63168540"/>
      <w:bookmarkStart w:id="3656" w:name="_Toc67401466"/>
      <w:bookmarkStart w:id="3657" w:name="_Toc69208103"/>
      <w:bookmarkStart w:id="3658" w:name="_Toc70071657"/>
      <w:bookmarkStart w:id="3659" w:name="_Toc71012438"/>
      <w:bookmarkStart w:id="3660" w:name="_Toc71809107"/>
      <w:bookmarkStart w:id="3661" w:name="_Toc57712650"/>
      <w:bookmarkStart w:id="3662" w:name="_Toc61359089"/>
      <w:bookmarkStart w:id="3663" w:name="_Toc63168541"/>
      <w:bookmarkStart w:id="3664" w:name="_Toc67401467"/>
      <w:bookmarkStart w:id="3665" w:name="_Toc69208104"/>
      <w:bookmarkStart w:id="3666" w:name="_Toc70071658"/>
      <w:bookmarkStart w:id="3667" w:name="_Toc71012439"/>
      <w:bookmarkStart w:id="3668" w:name="_Toc71809108"/>
      <w:bookmarkStart w:id="3669" w:name="_Toc57712651"/>
      <w:bookmarkStart w:id="3670" w:name="_Toc61359090"/>
      <w:bookmarkStart w:id="3671" w:name="_Toc63168542"/>
      <w:bookmarkStart w:id="3672" w:name="_Toc67401468"/>
      <w:bookmarkStart w:id="3673" w:name="_Toc69208105"/>
      <w:bookmarkStart w:id="3674" w:name="_Toc70071659"/>
      <w:bookmarkStart w:id="3675" w:name="_Toc71012440"/>
      <w:bookmarkStart w:id="3676" w:name="_Toc71809109"/>
      <w:bookmarkStart w:id="3677" w:name="_Toc57712652"/>
      <w:bookmarkStart w:id="3678" w:name="_Toc61359091"/>
      <w:bookmarkStart w:id="3679" w:name="_Toc63168543"/>
      <w:bookmarkStart w:id="3680" w:name="_Toc67401469"/>
      <w:bookmarkStart w:id="3681" w:name="_Toc69208106"/>
      <w:bookmarkStart w:id="3682" w:name="_Toc70071660"/>
      <w:bookmarkStart w:id="3683" w:name="_Toc71012441"/>
      <w:bookmarkStart w:id="3684" w:name="_Toc71809110"/>
      <w:bookmarkStart w:id="3685" w:name="_Toc57712653"/>
      <w:bookmarkStart w:id="3686" w:name="_Toc61359092"/>
      <w:bookmarkStart w:id="3687" w:name="_Toc63168544"/>
      <w:bookmarkStart w:id="3688" w:name="_Toc67401470"/>
      <w:bookmarkStart w:id="3689" w:name="_Toc69208107"/>
      <w:bookmarkStart w:id="3690" w:name="_Toc70071661"/>
      <w:bookmarkStart w:id="3691" w:name="_Toc71012442"/>
      <w:bookmarkStart w:id="3692" w:name="_Toc71809111"/>
      <w:bookmarkStart w:id="3693" w:name="_Toc57712654"/>
      <w:bookmarkStart w:id="3694" w:name="_Toc61359093"/>
      <w:bookmarkStart w:id="3695" w:name="_Toc63168545"/>
      <w:bookmarkStart w:id="3696" w:name="_Toc67401471"/>
      <w:bookmarkStart w:id="3697" w:name="_Toc69208108"/>
      <w:bookmarkStart w:id="3698" w:name="_Toc70071662"/>
      <w:bookmarkStart w:id="3699" w:name="_Toc71012443"/>
      <w:bookmarkStart w:id="3700" w:name="_Toc71809112"/>
      <w:bookmarkStart w:id="3701" w:name="_Toc57712655"/>
      <w:bookmarkStart w:id="3702" w:name="_Toc61359094"/>
      <w:bookmarkStart w:id="3703" w:name="_Toc63168546"/>
      <w:bookmarkStart w:id="3704" w:name="_Toc67401472"/>
      <w:bookmarkStart w:id="3705" w:name="_Toc69208109"/>
      <w:bookmarkStart w:id="3706" w:name="_Toc70071663"/>
      <w:bookmarkStart w:id="3707" w:name="_Toc71012444"/>
      <w:bookmarkStart w:id="3708" w:name="_Toc71809113"/>
      <w:bookmarkStart w:id="3709" w:name="_Toc57712656"/>
      <w:bookmarkStart w:id="3710" w:name="_Toc61359095"/>
      <w:bookmarkStart w:id="3711" w:name="_Toc63168547"/>
      <w:bookmarkStart w:id="3712" w:name="_Toc67401473"/>
      <w:bookmarkStart w:id="3713" w:name="_Toc69208110"/>
      <w:bookmarkStart w:id="3714" w:name="_Toc70071664"/>
      <w:bookmarkStart w:id="3715" w:name="_Toc71012445"/>
      <w:bookmarkStart w:id="3716" w:name="_Toc71809114"/>
      <w:bookmarkStart w:id="3717" w:name="_Toc57712657"/>
      <w:bookmarkStart w:id="3718" w:name="_Toc61359096"/>
      <w:bookmarkStart w:id="3719" w:name="_Toc63168548"/>
      <w:bookmarkStart w:id="3720" w:name="_Toc67401474"/>
      <w:bookmarkStart w:id="3721" w:name="_Toc69208111"/>
      <w:bookmarkStart w:id="3722" w:name="_Toc70071665"/>
      <w:bookmarkStart w:id="3723" w:name="_Toc71012446"/>
      <w:bookmarkStart w:id="3724" w:name="_Toc71809115"/>
      <w:bookmarkStart w:id="3725" w:name="_Toc57712658"/>
      <w:bookmarkStart w:id="3726" w:name="_Toc61359097"/>
      <w:bookmarkStart w:id="3727" w:name="_Toc63168549"/>
      <w:bookmarkStart w:id="3728" w:name="_Toc67401475"/>
      <w:bookmarkStart w:id="3729" w:name="_Toc69208112"/>
      <w:bookmarkStart w:id="3730" w:name="_Toc70071666"/>
      <w:bookmarkStart w:id="3731" w:name="_Toc71012447"/>
      <w:bookmarkStart w:id="3732" w:name="_Toc71809116"/>
      <w:bookmarkStart w:id="3733" w:name="_Toc57712659"/>
      <w:bookmarkStart w:id="3734" w:name="_Toc61359098"/>
      <w:bookmarkStart w:id="3735" w:name="_Toc63168550"/>
      <w:bookmarkStart w:id="3736" w:name="_Toc67401476"/>
      <w:bookmarkStart w:id="3737" w:name="_Toc69208113"/>
      <w:bookmarkStart w:id="3738" w:name="_Toc70071667"/>
      <w:bookmarkStart w:id="3739" w:name="_Toc71012448"/>
      <w:bookmarkStart w:id="3740" w:name="_Toc71809117"/>
      <w:bookmarkStart w:id="3741" w:name="_Toc57712660"/>
      <w:bookmarkStart w:id="3742" w:name="_Toc61359099"/>
      <w:bookmarkStart w:id="3743" w:name="_Toc63168551"/>
      <w:bookmarkStart w:id="3744" w:name="_Toc67401477"/>
      <w:bookmarkStart w:id="3745" w:name="_Toc69208114"/>
      <w:bookmarkStart w:id="3746" w:name="_Toc70071668"/>
      <w:bookmarkStart w:id="3747" w:name="_Toc71012449"/>
      <w:bookmarkStart w:id="3748" w:name="_Toc71809118"/>
      <w:bookmarkStart w:id="3749" w:name="_Toc57712661"/>
      <w:bookmarkStart w:id="3750" w:name="_Toc61359100"/>
      <w:bookmarkStart w:id="3751" w:name="_Toc63168552"/>
      <w:bookmarkStart w:id="3752" w:name="_Toc67401478"/>
      <w:bookmarkStart w:id="3753" w:name="_Toc69208115"/>
      <w:bookmarkStart w:id="3754" w:name="_Toc70071669"/>
      <w:bookmarkStart w:id="3755" w:name="_Toc71012450"/>
      <w:bookmarkStart w:id="3756" w:name="_Toc71809119"/>
      <w:bookmarkStart w:id="3757" w:name="_Toc57712662"/>
      <w:bookmarkStart w:id="3758" w:name="_Toc61359101"/>
      <w:bookmarkStart w:id="3759" w:name="_Toc63168553"/>
      <w:bookmarkStart w:id="3760" w:name="_Toc67401479"/>
      <w:bookmarkStart w:id="3761" w:name="_Toc69208116"/>
      <w:bookmarkStart w:id="3762" w:name="_Toc70071670"/>
      <w:bookmarkStart w:id="3763" w:name="_Toc71012451"/>
      <w:bookmarkStart w:id="3764" w:name="_Toc71809120"/>
      <w:bookmarkStart w:id="3765" w:name="_Toc57712663"/>
      <w:bookmarkStart w:id="3766" w:name="_Toc61359102"/>
      <w:bookmarkStart w:id="3767" w:name="_Toc63168554"/>
      <w:bookmarkStart w:id="3768" w:name="_Toc67401480"/>
      <w:bookmarkStart w:id="3769" w:name="_Toc69208117"/>
      <w:bookmarkStart w:id="3770" w:name="_Toc70071671"/>
      <w:bookmarkStart w:id="3771" w:name="_Toc71012452"/>
      <w:bookmarkStart w:id="3772" w:name="_Toc71809121"/>
      <w:bookmarkStart w:id="3773" w:name="_Toc57712664"/>
      <w:bookmarkStart w:id="3774" w:name="_Toc61359103"/>
      <w:bookmarkStart w:id="3775" w:name="_Toc63168555"/>
      <w:bookmarkStart w:id="3776" w:name="_Toc67401481"/>
      <w:bookmarkStart w:id="3777" w:name="_Toc69208118"/>
      <w:bookmarkStart w:id="3778" w:name="_Toc70071672"/>
      <w:bookmarkStart w:id="3779" w:name="_Toc71012453"/>
      <w:bookmarkStart w:id="3780" w:name="_Toc71809122"/>
      <w:bookmarkStart w:id="3781" w:name="_Toc57712665"/>
      <w:bookmarkStart w:id="3782" w:name="_Toc61359104"/>
      <w:bookmarkStart w:id="3783" w:name="_Toc63168556"/>
      <w:bookmarkStart w:id="3784" w:name="_Toc67401482"/>
      <w:bookmarkStart w:id="3785" w:name="_Toc69208119"/>
      <w:bookmarkStart w:id="3786" w:name="_Toc70071673"/>
      <w:bookmarkStart w:id="3787" w:name="_Toc71012454"/>
      <w:bookmarkStart w:id="3788" w:name="_Toc71809123"/>
      <w:bookmarkStart w:id="3789" w:name="_Toc57712666"/>
      <w:bookmarkStart w:id="3790" w:name="_Toc61359105"/>
      <w:bookmarkStart w:id="3791" w:name="_Toc63168557"/>
      <w:bookmarkStart w:id="3792" w:name="_Toc67401483"/>
      <w:bookmarkStart w:id="3793" w:name="_Toc69208120"/>
      <w:bookmarkStart w:id="3794" w:name="_Toc70071674"/>
      <w:bookmarkStart w:id="3795" w:name="_Toc71012455"/>
      <w:bookmarkStart w:id="3796" w:name="_Toc71809124"/>
      <w:bookmarkStart w:id="3797" w:name="_Toc57712667"/>
      <w:bookmarkStart w:id="3798" w:name="_Toc61359106"/>
      <w:bookmarkStart w:id="3799" w:name="_Toc63168558"/>
      <w:bookmarkStart w:id="3800" w:name="_Toc67401484"/>
      <w:bookmarkStart w:id="3801" w:name="_Toc69208121"/>
      <w:bookmarkStart w:id="3802" w:name="_Toc70071675"/>
      <w:bookmarkStart w:id="3803" w:name="_Toc71012456"/>
      <w:bookmarkStart w:id="3804" w:name="_Toc71809125"/>
      <w:bookmarkStart w:id="3805" w:name="_Toc57712668"/>
      <w:bookmarkStart w:id="3806" w:name="_Toc61359107"/>
      <w:bookmarkStart w:id="3807" w:name="_Toc63168559"/>
      <w:bookmarkStart w:id="3808" w:name="_Toc67401485"/>
      <w:bookmarkStart w:id="3809" w:name="_Toc69208122"/>
      <w:bookmarkStart w:id="3810" w:name="_Toc70071676"/>
      <w:bookmarkStart w:id="3811" w:name="_Toc71012457"/>
      <w:bookmarkStart w:id="3812" w:name="_Toc71809126"/>
      <w:bookmarkStart w:id="3813" w:name="_Toc57712669"/>
      <w:bookmarkStart w:id="3814" w:name="_Toc61359108"/>
      <w:bookmarkStart w:id="3815" w:name="_Toc63168560"/>
      <w:bookmarkStart w:id="3816" w:name="_Toc67401486"/>
      <w:bookmarkStart w:id="3817" w:name="_Toc69208123"/>
      <w:bookmarkStart w:id="3818" w:name="_Toc70071677"/>
      <w:bookmarkStart w:id="3819" w:name="_Toc71012458"/>
      <w:bookmarkStart w:id="3820" w:name="_Toc71809127"/>
      <w:bookmarkStart w:id="3821" w:name="_Toc57712670"/>
      <w:bookmarkStart w:id="3822" w:name="_Toc61359109"/>
      <w:bookmarkStart w:id="3823" w:name="_Toc63168561"/>
      <w:bookmarkStart w:id="3824" w:name="_Toc67401487"/>
      <w:bookmarkStart w:id="3825" w:name="_Toc69208124"/>
      <w:bookmarkStart w:id="3826" w:name="_Toc70071678"/>
      <w:bookmarkStart w:id="3827" w:name="_Toc71012459"/>
      <w:bookmarkStart w:id="3828" w:name="_Toc71809128"/>
      <w:bookmarkStart w:id="3829" w:name="_Toc57712671"/>
      <w:bookmarkStart w:id="3830" w:name="_Toc61359110"/>
      <w:bookmarkStart w:id="3831" w:name="_Toc63168562"/>
      <w:bookmarkStart w:id="3832" w:name="_Toc67401488"/>
      <w:bookmarkStart w:id="3833" w:name="_Toc69208125"/>
      <w:bookmarkStart w:id="3834" w:name="_Toc70071679"/>
      <w:bookmarkStart w:id="3835" w:name="_Toc71012460"/>
      <w:bookmarkStart w:id="3836" w:name="_Toc71809129"/>
      <w:bookmarkStart w:id="3837" w:name="_Toc57712672"/>
      <w:bookmarkStart w:id="3838" w:name="_Toc61359111"/>
      <w:bookmarkStart w:id="3839" w:name="_Toc63168563"/>
      <w:bookmarkStart w:id="3840" w:name="_Toc67401489"/>
      <w:bookmarkStart w:id="3841" w:name="_Toc69208126"/>
      <w:bookmarkStart w:id="3842" w:name="_Toc70071680"/>
      <w:bookmarkStart w:id="3843" w:name="_Toc71012461"/>
      <w:bookmarkStart w:id="3844" w:name="_Toc71809130"/>
      <w:bookmarkStart w:id="3845" w:name="_Toc57712673"/>
      <w:bookmarkStart w:id="3846" w:name="_Toc61359112"/>
      <w:bookmarkStart w:id="3847" w:name="_Toc63168564"/>
      <w:bookmarkStart w:id="3848" w:name="_Toc67401490"/>
      <w:bookmarkStart w:id="3849" w:name="_Toc69208127"/>
      <w:bookmarkStart w:id="3850" w:name="_Toc70071681"/>
      <w:bookmarkStart w:id="3851" w:name="_Toc71012462"/>
      <w:bookmarkStart w:id="3852" w:name="_Toc71809131"/>
      <w:bookmarkStart w:id="3853" w:name="_Toc57712674"/>
      <w:bookmarkStart w:id="3854" w:name="_Toc61359113"/>
      <w:bookmarkStart w:id="3855" w:name="_Toc63168565"/>
      <w:bookmarkStart w:id="3856" w:name="_Toc67401491"/>
      <w:bookmarkStart w:id="3857" w:name="_Toc69208128"/>
      <w:bookmarkStart w:id="3858" w:name="_Toc70071682"/>
      <w:bookmarkStart w:id="3859" w:name="_Toc71012463"/>
      <w:bookmarkStart w:id="3860" w:name="_Toc71809132"/>
      <w:bookmarkStart w:id="3861" w:name="_Toc57712675"/>
      <w:bookmarkStart w:id="3862" w:name="_Toc61359114"/>
      <w:bookmarkStart w:id="3863" w:name="_Toc63168566"/>
      <w:bookmarkStart w:id="3864" w:name="_Toc67401492"/>
      <w:bookmarkStart w:id="3865" w:name="_Toc69208129"/>
      <w:bookmarkStart w:id="3866" w:name="_Toc70071683"/>
      <w:bookmarkStart w:id="3867" w:name="_Toc71012464"/>
      <w:bookmarkStart w:id="3868" w:name="_Toc71809133"/>
      <w:bookmarkStart w:id="3869" w:name="_Toc57712676"/>
      <w:bookmarkStart w:id="3870" w:name="_Toc61359115"/>
      <w:bookmarkStart w:id="3871" w:name="_Toc63168567"/>
      <w:bookmarkStart w:id="3872" w:name="_Toc67401493"/>
      <w:bookmarkStart w:id="3873" w:name="_Toc69208130"/>
      <w:bookmarkStart w:id="3874" w:name="_Toc70071684"/>
      <w:bookmarkStart w:id="3875" w:name="_Toc71012465"/>
      <w:bookmarkStart w:id="3876" w:name="_Toc71809134"/>
      <w:bookmarkStart w:id="3877" w:name="_Toc57712677"/>
      <w:bookmarkStart w:id="3878" w:name="_Toc61359116"/>
      <w:bookmarkStart w:id="3879" w:name="_Toc63168568"/>
      <w:bookmarkStart w:id="3880" w:name="_Toc67401494"/>
      <w:bookmarkStart w:id="3881" w:name="_Toc69208131"/>
      <w:bookmarkStart w:id="3882" w:name="_Toc70071685"/>
      <w:bookmarkStart w:id="3883" w:name="_Toc71012466"/>
      <w:bookmarkStart w:id="3884" w:name="_Toc71809135"/>
      <w:bookmarkStart w:id="3885" w:name="_Toc57712678"/>
      <w:bookmarkStart w:id="3886" w:name="_Toc61359117"/>
      <w:bookmarkStart w:id="3887" w:name="_Toc63168569"/>
      <w:bookmarkStart w:id="3888" w:name="_Toc67401495"/>
      <w:bookmarkStart w:id="3889" w:name="_Toc69208132"/>
      <w:bookmarkStart w:id="3890" w:name="_Toc70071686"/>
      <w:bookmarkStart w:id="3891" w:name="_Toc71012467"/>
      <w:bookmarkStart w:id="3892" w:name="_Toc71809136"/>
      <w:bookmarkStart w:id="3893" w:name="_Toc57712679"/>
      <w:bookmarkStart w:id="3894" w:name="_Toc61359118"/>
      <w:bookmarkStart w:id="3895" w:name="_Toc63168570"/>
      <w:bookmarkStart w:id="3896" w:name="_Toc67401496"/>
      <w:bookmarkStart w:id="3897" w:name="_Toc69208133"/>
      <w:bookmarkStart w:id="3898" w:name="_Toc70071687"/>
      <w:bookmarkStart w:id="3899" w:name="_Toc71012468"/>
      <w:bookmarkStart w:id="3900" w:name="_Toc71809137"/>
      <w:bookmarkStart w:id="3901" w:name="_Toc57712680"/>
      <w:bookmarkStart w:id="3902" w:name="_Toc61359119"/>
      <w:bookmarkStart w:id="3903" w:name="_Toc63168571"/>
      <w:bookmarkStart w:id="3904" w:name="_Toc67401497"/>
      <w:bookmarkStart w:id="3905" w:name="_Toc69208134"/>
      <w:bookmarkStart w:id="3906" w:name="_Toc70071688"/>
      <w:bookmarkStart w:id="3907" w:name="_Toc71012469"/>
      <w:bookmarkStart w:id="3908" w:name="_Toc71809138"/>
      <w:bookmarkStart w:id="3909" w:name="_Toc57712681"/>
      <w:bookmarkStart w:id="3910" w:name="_Toc61359120"/>
      <w:bookmarkStart w:id="3911" w:name="_Toc63168572"/>
      <w:bookmarkStart w:id="3912" w:name="_Toc67401498"/>
      <w:bookmarkStart w:id="3913" w:name="_Toc69208135"/>
      <w:bookmarkStart w:id="3914" w:name="_Toc70071689"/>
      <w:bookmarkStart w:id="3915" w:name="_Toc71012470"/>
      <w:bookmarkStart w:id="3916" w:name="_Toc71809139"/>
      <w:bookmarkStart w:id="3917" w:name="_Toc57712682"/>
      <w:bookmarkStart w:id="3918" w:name="_Toc61359121"/>
      <w:bookmarkStart w:id="3919" w:name="_Toc63168573"/>
      <w:bookmarkStart w:id="3920" w:name="_Toc67401499"/>
      <w:bookmarkStart w:id="3921" w:name="_Toc69208136"/>
      <w:bookmarkStart w:id="3922" w:name="_Toc70071690"/>
      <w:bookmarkStart w:id="3923" w:name="_Toc71012471"/>
      <w:bookmarkStart w:id="3924" w:name="_Toc71809140"/>
      <w:bookmarkStart w:id="3925" w:name="_Toc57712683"/>
      <w:bookmarkStart w:id="3926" w:name="_Toc61359122"/>
      <w:bookmarkStart w:id="3927" w:name="_Toc63168574"/>
      <w:bookmarkStart w:id="3928" w:name="_Toc67401500"/>
      <w:bookmarkStart w:id="3929" w:name="_Toc69208137"/>
      <w:bookmarkStart w:id="3930" w:name="_Toc70071691"/>
      <w:bookmarkStart w:id="3931" w:name="_Toc71012472"/>
      <w:bookmarkStart w:id="3932" w:name="_Toc71809141"/>
      <w:bookmarkStart w:id="3933" w:name="_Toc57712684"/>
      <w:bookmarkStart w:id="3934" w:name="_Toc61359123"/>
      <w:bookmarkStart w:id="3935" w:name="_Toc63168575"/>
      <w:bookmarkStart w:id="3936" w:name="_Toc67401501"/>
      <w:bookmarkStart w:id="3937" w:name="_Toc69208138"/>
      <w:bookmarkStart w:id="3938" w:name="_Toc70071692"/>
      <w:bookmarkStart w:id="3939" w:name="_Toc71012473"/>
      <w:bookmarkStart w:id="3940" w:name="_Toc71809142"/>
      <w:bookmarkStart w:id="3941" w:name="_Toc57712685"/>
      <w:bookmarkStart w:id="3942" w:name="_Toc61359124"/>
      <w:bookmarkStart w:id="3943" w:name="_Toc63168576"/>
      <w:bookmarkStart w:id="3944" w:name="_Toc67401502"/>
      <w:bookmarkStart w:id="3945" w:name="_Toc69208139"/>
      <w:bookmarkStart w:id="3946" w:name="_Toc70071693"/>
      <w:bookmarkStart w:id="3947" w:name="_Toc71012474"/>
      <w:bookmarkStart w:id="3948" w:name="_Toc71809143"/>
      <w:bookmarkStart w:id="3949" w:name="_Toc57712686"/>
      <w:bookmarkStart w:id="3950" w:name="_Toc61359125"/>
      <w:bookmarkStart w:id="3951" w:name="_Toc63168577"/>
      <w:bookmarkStart w:id="3952" w:name="_Toc67401503"/>
      <w:bookmarkStart w:id="3953" w:name="_Toc69208140"/>
      <w:bookmarkStart w:id="3954" w:name="_Toc70071694"/>
      <w:bookmarkStart w:id="3955" w:name="_Toc71012475"/>
      <w:bookmarkStart w:id="3956" w:name="_Toc71809144"/>
      <w:bookmarkStart w:id="3957" w:name="_Toc57712687"/>
      <w:bookmarkStart w:id="3958" w:name="_Toc61359126"/>
      <w:bookmarkStart w:id="3959" w:name="_Toc63168578"/>
      <w:bookmarkStart w:id="3960" w:name="_Toc67401504"/>
      <w:bookmarkStart w:id="3961" w:name="_Toc69208141"/>
      <w:bookmarkStart w:id="3962" w:name="_Toc70071695"/>
      <w:bookmarkStart w:id="3963" w:name="_Toc71012476"/>
      <w:bookmarkStart w:id="3964" w:name="_Toc71809145"/>
      <w:bookmarkStart w:id="3965" w:name="_Toc57712688"/>
      <w:bookmarkStart w:id="3966" w:name="_Toc61359127"/>
      <w:bookmarkStart w:id="3967" w:name="_Toc63168579"/>
      <w:bookmarkStart w:id="3968" w:name="_Toc67401505"/>
      <w:bookmarkStart w:id="3969" w:name="_Toc69208142"/>
      <w:bookmarkStart w:id="3970" w:name="_Toc70071696"/>
      <w:bookmarkStart w:id="3971" w:name="_Toc71012477"/>
      <w:bookmarkStart w:id="3972" w:name="_Toc71809146"/>
      <w:bookmarkStart w:id="3973" w:name="_Toc57712689"/>
      <w:bookmarkStart w:id="3974" w:name="_Toc61359128"/>
      <w:bookmarkStart w:id="3975" w:name="_Toc63168580"/>
      <w:bookmarkStart w:id="3976" w:name="_Toc67401506"/>
      <w:bookmarkStart w:id="3977" w:name="_Toc69208143"/>
      <w:bookmarkStart w:id="3978" w:name="_Toc70071697"/>
      <w:bookmarkStart w:id="3979" w:name="_Toc71012478"/>
      <w:bookmarkStart w:id="3980" w:name="_Toc71809147"/>
      <w:bookmarkStart w:id="3981" w:name="_Toc57712690"/>
      <w:bookmarkStart w:id="3982" w:name="_Toc61359129"/>
      <w:bookmarkStart w:id="3983" w:name="_Toc63168581"/>
      <w:bookmarkStart w:id="3984" w:name="_Toc67401507"/>
      <w:bookmarkStart w:id="3985" w:name="_Toc69208144"/>
      <w:bookmarkStart w:id="3986" w:name="_Toc70071698"/>
      <w:bookmarkStart w:id="3987" w:name="_Toc71012479"/>
      <w:bookmarkStart w:id="3988" w:name="_Toc71809148"/>
      <w:bookmarkStart w:id="3989" w:name="_Toc57712691"/>
      <w:bookmarkStart w:id="3990" w:name="_Toc61359130"/>
      <w:bookmarkStart w:id="3991" w:name="_Toc63168582"/>
      <w:bookmarkStart w:id="3992" w:name="_Toc67401508"/>
      <w:bookmarkStart w:id="3993" w:name="_Toc69208145"/>
      <w:bookmarkStart w:id="3994" w:name="_Toc70071699"/>
      <w:bookmarkStart w:id="3995" w:name="_Toc71012480"/>
      <w:bookmarkStart w:id="3996" w:name="_Toc71809149"/>
      <w:bookmarkStart w:id="3997" w:name="_Toc57712692"/>
      <w:bookmarkStart w:id="3998" w:name="_Toc61359131"/>
      <w:bookmarkStart w:id="3999" w:name="_Toc63168583"/>
      <w:bookmarkStart w:id="4000" w:name="_Toc67401509"/>
      <w:bookmarkStart w:id="4001" w:name="_Toc69208146"/>
      <w:bookmarkStart w:id="4002" w:name="_Toc70071700"/>
      <w:bookmarkStart w:id="4003" w:name="_Toc71012481"/>
      <w:bookmarkStart w:id="4004" w:name="_Toc71809150"/>
      <w:bookmarkStart w:id="4005" w:name="_Toc57712693"/>
      <w:bookmarkStart w:id="4006" w:name="_Toc61359132"/>
      <w:bookmarkStart w:id="4007" w:name="_Toc63168584"/>
      <w:bookmarkStart w:id="4008" w:name="_Toc67401510"/>
      <w:bookmarkStart w:id="4009" w:name="_Toc69208147"/>
      <w:bookmarkStart w:id="4010" w:name="_Toc70071701"/>
      <w:bookmarkStart w:id="4011" w:name="_Toc71012482"/>
      <w:bookmarkStart w:id="4012" w:name="_Toc71809151"/>
      <w:bookmarkStart w:id="4013" w:name="_Toc57712694"/>
      <w:bookmarkStart w:id="4014" w:name="_Toc61359133"/>
      <w:bookmarkStart w:id="4015" w:name="_Toc63168585"/>
      <w:bookmarkStart w:id="4016" w:name="_Toc67401511"/>
      <w:bookmarkStart w:id="4017" w:name="_Toc69208148"/>
      <w:bookmarkStart w:id="4018" w:name="_Toc70071702"/>
      <w:bookmarkStart w:id="4019" w:name="_Toc71012483"/>
      <w:bookmarkStart w:id="4020" w:name="_Toc71809152"/>
      <w:bookmarkStart w:id="4021" w:name="_Toc57712695"/>
      <w:bookmarkStart w:id="4022" w:name="_Toc61359134"/>
      <w:bookmarkStart w:id="4023" w:name="_Toc63168586"/>
      <w:bookmarkStart w:id="4024" w:name="_Toc67401512"/>
      <w:bookmarkStart w:id="4025" w:name="_Toc69208149"/>
      <w:bookmarkStart w:id="4026" w:name="_Toc70071703"/>
      <w:bookmarkStart w:id="4027" w:name="_Toc71012484"/>
      <w:bookmarkStart w:id="4028" w:name="_Toc71809153"/>
      <w:bookmarkStart w:id="4029" w:name="_Toc57712696"/>
      <w:bookmarkStart w:id="4030" w:name="_Toc61359135"/>
      <w:bookmarkStart w:id="4031" w:name="_Toc63168587"/>
      <w:bookmarkStart w:id="4032" w:name="_Toc67401513"/>
      <w:bookmarkStart w:id="4033" w:name="_Toc69208150"/>
      <w:bookmarkStart w:id="4034" w:name="_Toc70071704"/>
      <w:bookmarkStart w:id="4035" w:name="_Toc71012485"/>
      <w:bookmarkStart w:id="4036" w:name="_Toc71809154"/>
      <w:bookmarkStart w:id="4037" w:name="_Toc57712697"/>
      <w:bookmarkStart w:id="4038" w:name="_Toc61359136"/>
      <w:bookmarkStart w:id="4039" w:name="_Toc63168588"/>
      <w:bookmarkStart w:id="4040" w:name="_Toc67401514"/>
      <w:bookmarkStart w:id="4041" w:name="_Toc69208151"/>
      <w:bookmarkStart w:id="4042" w:name="_Toc70071705"/>
      <w:bookmarkStart w:id="4043" w:name="_Toc71012486"/>
      <w:bookmarkStart w:id="4044" w:name="_Toc71809155"/>
      <w:bookmarkStart w:id="4045" w:name="_Toc57712698"/>
      <w:bookmarkStart w:id="4046" w:name="_Toc61359137"/>
      <w:bookmarkStart w:id="4047" w:name="_Toc63168589"/>
      <w:bookmarkStart w:id="4048" w:name="_Toc67401515"/>
      <w:bookmarkStart w:id="4049" w:name="_Toc69208152"/>
      <w:bookmarkStart w:id="4050" w:name="_Toc70071706"/>
      <w:bookmarkStart w:id="4051" w:name="_Toc71012487"/>
      <w:bookmarkStart w:id="4052" w:name="_Toc71809156"/>
      <w:bookmarkStart w:id="4053" w:name="_Toc57712699"/>
      <w:bookmarkStart w:id="4054" w:name="_Toc61359138"/>
      <w:bookmarkStart w:id="4055" w:name="_Toc63168590"/>
      <w:bookmarkStart w:id="4056" w:name="_Toc67401516"/>
      <w:bookmarkStart w:id="4057" w:name="_Toc69208153"/>
      <w:bookmarkStart w:id="4058" w:name="_Toc70071707"/>
      <w:bookmarkStart w:id="4059" w:name="_Toc71012488"/>
      <w:bookmarkStart w:id="4060" w:name="_Toc71809157"/>
      <w:bookmarkStart w:id="4061" w:name="_Toc57712700"/>
      <w:bookmarkStart w:id="4062" w:name="_Toc61359139"/>
      <w:bookmarkStart w:id="4063" w:name="_Toc63168591"/>
      <w:bookmarkStart w:id="4064" w:name="_Toc67401517"/>
      <w:bookmarkStart w:id="4065" w:name="_Toc69208154"/>
      <w:bookmarkStart w:id="4066" w:name="_Toc70071708"/>
      <w:bookmarkStart w:id="4067" w:name="_Toc71012489"/>
      <w:bookmarkStart w:id="4068" w:name="_Toc71809158"/>
      <w:bookmarkStart w:id="4069" w:name="_Toc57712701"/>
      <w:bookmarkStart w:id="4070" w:name="_Toc61359140"/>
      <w:bookmarkStart w:id="4071" w:name="_Toc63168592"/>
      <w:bookmarkStart w:id="4072" w:name="_Toc67401518"/>
      <w:bookmarkStart w:id="4073" w:name="_Toc69208155"/>
      <w:bookmarkStart w:id="4074" w:name="_Toc70071709"/>
      <w:bookmarkStart w:id="4075" w:name="_Toc71012490"/>
      <w:bookmarkStart w:id="4076" w:name="_Toc71809159"/>
      <w:bookmarkStart w:id="4077" w:name="_Toc57712702"/>
      <w:bookmarkStart w:id="4078" w:name="_Toc61359141"/>
      <w:bookmarkStart w:id="4079" w:name="_Toc63168593"/>
      <w:bookmarkStart w:id="4080" w:name="_Toc67401519"/>
      <w:bookmarkStart w:id="4081" w:name="_Toc69208156"/>
      <w:bookmarkStart w:id="4082" w:name="_Toc70071710"/>
      <w:bookmarkStart w:id="4083" w:name="_Toc71012491"/>
      <w:bookmarkStart w:id="4084" w:name="_Toc71809160"/>
      <w:bookmarkStart w:id="4085" w:name="_Toc57712703"/>
      <w:bookmarkStart w:id="4086" w:name="_Toc61359142"/>
      <w:bookmarkStart w:id="4087" w:name="_Toc63168594"/>
      <w:bookmarkStart w:id="4088" w:name="_Toc67401520"/>
      <w:bookmarkStart w:id="4089" w:name="_Toc69208157"/>
      <w:bookmarkStart w:id="4090" w:name="_Toc70071711"/>
      <w:bookmarkStart w:id="4091" w:name="_Toc71012492"/>
      <w:bookmarkStart w:id="4092" w:name="_Toc71809161"/>
      <w:bookmarkStart w:id="4093" w:name="_Toc57712704"/>
      <w:bookmarkStart w:id="4094" w:name="_Toc61359143"/>
      <w:bookmarkStart w:id="4095" w:name="_Toc63168595"/>
      <w:bookmarkStart w:id="4096" w:name="_Toc67401521"/>
      <w:bookmarkStart w:id="4097" w:name="_Toc69208158"/>
      <w:bookmarkStart w:id="4098" w:name="_Toc70071712"/>
      <w:bookmarkStart w:id="4099" w:name="_Toc71012493"/>
      <w:bookmarkStart w:id="4100" w:name="_Toc71809162"/>
      <w:bookmarkStart w:id="4101" w:name="_Toc57712705"/>
      <w:bookmarkStart w:id="4102" w:name="_Toc61359144"/>
      <w:bookmarkStart w:id="4103" w:name="_Toc63168596"/>
      <w:bookmarkStart w:id="4104" w:name="_Toc67401522"/>
      <w:bookmarkStart w:id="4105" w:name="_Toc69208159"/>
      <w:bookmarkStart w:id="4106" w:name="_Toc70071713"/>
      <w:bookmarkStart w:id="4107" w:name="_Toc71012494"/>
      <w:bookmarkStart w:id="4108" w:name="_Toc71809163"/>
      <w:bookmarkStart w:id="4109" w:name="_Toc57712706"/>
      <w:bookmarkStart w:id="4110" w:name="_Toc61359145"/>
      <w:bookmarkStart w:id="4111" w:name="_Toc63168597"/>
      <w:bookmarkStart w:id="4112" w:name="_Toc67401523"/>
      <w:bookmarkStart w:id="4113" w:name="_Toc69208160"/>
      <w:bookmarkStart w:id="4114" w:name="_Toc70071714"/>
      <w:bookmarkStart w:id="4115" w:name="_Toc71012495"/>
      <w:bookmarkStart w:id="4116" w:name="_Toc71809164"/>
      <w:bookmarkStart w:id="4117" w:name="_Toc57712707"/>
      <w:bookmarkStart w:id="4118" w:name="_Toc61359146"/>
      <w:bookmarkStart w:id="4119" w:name="_Toc63168598"/>
      <w:bookmarkStart w:id="4120" w:name="_Toc67401524"/>
      <w:bookmarkStart w:id="4121" w:name="_Toc69208161"/>
      <w:bookmarkStart w:id="4122" w:name="_Toc70071715"/>
      <w:bookmarkStart w:id="4123" w:name="_Toc71012496"/>
      <w:bookmarkStart w:id="4124" w:name="_Toc71809165"/>
      <w:bookmarkStart w:id="4125" w:name="_Toc57712708"/>
      <w:bookmarkStart w:id="4126" w:name="_Toc61359147"/>
      <w:bookmarkStart w:id="4127" w:name="_Toc63168599"/>
      <w:bookmarkStart w:id="4128" w:name="_Toc67401525"/>
      <w:bookmarkStart w:id="4129" w:name="_Toc69208162"/>
      <w:bookmarkStart w:id="4130" w:name="_Toc70071716"/>
      <w:bookmarkStart w:id="4131" w:name="_Toc71012497"/>
      <w:bookmarkStart w:id="4132" w:name="_Toc71809166"/>
      <w:bookmarkStart w:id="4133" w:name="_Toc57712709"/>
      <w:bookmarkStart w:id="4134" w:name="_Toc61359148"/>
      <w:bookmarkStart w:id="4135" w:name="_Toc63168600"/>
      <w:bookmarkStart w:id="4136" w:name="_Toc67401526"/>
      <w:bookmarkStart w:id="4137" w:name="_Toc69208163"/>
      <w:bookmarkStart w:id="4138" w:name="_Toc70071717"/>
      <w:bookmarkStart w:id="4139" w:name="_Toc71012498"/>
      <w:bookmarkStart w:id="4140" w:name="_Toc71809167"/>
      <w:bookmarkStart w:id="4141" w:name="_Toc57712710"/>
      <w:bookmarkStart w:id="4142" w:name="_Toc61359149"/>
      <w:bookmarkStart w:id="4143" w:name="_Toc63168601"/>
      <w:bookmarkStart w:id="4144" w:name="_Toc67401527"/>
      <w:bookmarkStart w:id="4145" w:name="_Toc69208164"/>
      <w:bookmarkStart w:id="4146" w:name="_Toc70071718"/>
      <w:bookmarkStart w:id="4147" w:name="_Toc71012499"/>
      <w:bookmarkStart w:id="4148" w:name="_Toc71809168"/>
      <w:bookmarkStart w:id="4149" w:name="_Toc57712711"/>
      <w:bookmarkStart w:id="4150" w:name="_Toc61359150"/>
      <w:bookmarkStart w:id="4151" w:name="_Toc63168602"/>
      <w:bookmarkStart w:id="4152" w:name="_Toc67401528"/>
      <w:bookmarkStart w:id="4153" w:name="_Toc69208165"/>
      <w:bookmarkStart w:id="4154" w:name="_Toc70071719"/>
      <w:bookmarkStart w:id="4155" w:name="_Toc71012500"/>
      <w:bookmarkStart w:id="4156" w:name="_Toc71809169"/>
      <w:bookmarkStart w:id="4157" w:name="_Toc57712712"/>
      <w:bookmarkStart w:id="4158" w:name="_Toc61359151"/>
      <w:bookmarkStart w:id="4159" w:name="_Toc63168603"/>
      <w:bookmarkStart w:id="4160" w:name="_Toc67401529"/>
      <w:bookmarkStart w:id="4161" w:name="_Toc69208166"/>
      <w:bookmarkStart w:id="4162" w:name="_Toc70071720"/>
      <w:bookmarkStart w:id="4163" w:name="_Toc71012501"/>
      <w:bookmarkStart w:id="4164" w:name="_Toc71809170"/>
      <w:bookmarkStart w:id="4165" w:name="_Toc57712713"/>
      <w:bookmarkStart w:id="4166" w:name="_Toc61359152"/>
      <w:bookmarkStart w:id="4167" w:name="_Toc63168604"/>
      <w:bookmarkStart w:id="4168" w:name="_Toc67401530"/>
      <w:bookmarkStart w:id="4169" w:name="_Toc69208167"/>
      <w:bookmarkStart w:id="4170" w:name="_Toc70071721"/>
      <w:bookmarkStart w:id="4171" w:name="_Toc71012502"/>
      <w:bookmarkStart w:id="4172" w:name="_Toc71809171"/>
      <w:bookmarkStart w:id="4173" w:name="_Toc57712714"/>
      <w:bookmarkStart w:id="4174" w:name="_Toc61359153"/>
      <w:bookmarkStart w:id="4175" w:name="_Toc63168605"/>
      <w:bookmarkStart w:id="4176" w:name="_Toc67401531"/>
      <w:bookmarkStart w:id="4177" w:name="_Toc69208168"/>
      <w:bookmarkStart w:id="4178" w:name="_Toc70071722"/>
      <w:bookmarkStart w:id="4179" w:name="_Toc71012503"/>
      <w:bookmarkStart w:id="4180" w:name="_Toc71809172"/>
      <w:bookmarkStart w:id="4181" w:name="_Toc57712715"/>
      <w:bookmarkStart w:id="4182" w:name="_Toc61359154"/>
      <w:bookmarkStart w:id="4183" w:name="_Toc63168606"/>
      <w:bookmarkStart w:id="4184" w:name="_Toc67401532"/>
      <w:bookmarkStart w:id="4185" w:name="_Toc69208169"/>
      <w:bookmarkStart w:id="4186" w:name="_Toc70071723"/>
      <w:bookmarkStart w:id="4187" w:name="_Toc71012504"/>
      <w:bookmarkStart w:id="4188" w:name="_Toc71809173"/>
      <w:bookmarkStart w:id="4189" w:name="_Toc57712716"/>
      <w:bookmarkStart w:id="4190" w:name="_Toc61359155"/>
      <w:bookmarkStart w:id="4191" w:name="_Toc63168607"/>
      <w:bookmarkStart w:id="4192" w:name="_Toc67401533"/>
      <w:bookmarkStart w:id="4193" w:name="_Toc69208170"/>
      <w:bookmarkStart w:id="4194" w:name="_Toc70071724"/>
      <w:bookmarkStart w:id="4195" w:name="_Toc71012505"/>
      <w:bookmarkStart w:id="4196" w:name="_Toc71809174"/>
      <w:bookmarkStart w:id="4197" w:name="_Toc57712717"/>
      <w:bookmarkStart w:id="4198" w:name="_Toc61359156"/>
      <w:bookmarkStart w:id="4199" w:name="_Toc63168608"/>
      <w:bookmarkStart w:id="4200" w:name="_Toc67401534"/>
      <w:bookmarkStart w:id="4201" w:name="_Toc69208171"/>
      <w:bookmarkStart w:id="4202" w:name="_Toc70071725"/>
      <w:bookmarkStart w:id="4203" w:name="_Toc71012506"/>
      <w:bookmarkStart w:id="4204" w:name="_Toc71809175"/>
      <w:bookmarkStart w:id="4205" w:name="_Toc57712718"/>
      <w:bookmarkStart w:id="4206" w:name="_Toc61359157"/>
      <w:bookmarkStart w:id="4207" w:name="_Toc63168609"/>
      <w:bookmarkStart w:id="4208" w:name="_Toc67401535"/>
      <w:bookmarkStart w:id="4209" w:name="_Toc69208172"/>
      <w:bookmarkStart w:id="4210" w:name="_Toc70071726"/>
      <w:bookmarkStart w:id="4211" w:name="_Toc71012507"/>
      <w:bookmarkStart w:id="4212" w:name="_Toc71809176"/>
      <w:bookmarkStart w:id="4213" w:name="_Toc57712719"/>
      <w:bookmarkStart w:id="4214" w:name="_Toc61359158"/>
      <w:bookmarkStart w:id="4215" w:name="_Toc63168610"/>
      <w:bookmarkStart w:id="4216" w:name="_Toc67401536"/>
      <w:bookmarkStart w:id="4217" w:name="_Toc69208173"/>
      <w:bookmarkStart w:id="4218" w:name="_Toc70071727"/>
      <w:bookmarkStart w:id="4219" w:name="_Toc71012508"/>
      <w:bookmarkStart w:id="4220" w:name="_Toc71809177"/>
      <w:bookmarkStart w:id="4221" w:name="_Toc57712720"/>
      <w:bookmarkStart w:id="4222" w:name="_Toc61359159"/>
      <w:bookmarkStart w:id="4223" w:name="_Toc63168611"/>
      <w:bookmarkStart w:id="4224" w:name="_Toc67401537"/>
      <w:bookmarkStart w:id="4225" w:name="_Toc69208174"/>
      <w:bookmarkStart w:id="4226" w:name="_Toc70071728"/>
      <w:bookmarkStart w:id="4227" w:name="_Toc71012509"/>
      <w:bookmarkStart w:id="4228" w:name="_Toc71809178"/>
      <w:bookmarkStart w:id="4229" w:name="_Toc57712721"/>
      <w:bookmarkStart w:id="4230" w:name="_Toc61359160"/>
      <w:bookmarkStart w:id="4231" w:name="_Toc63168612"/>
      <w:bookmarkStart w:id="4232" w:name="_Toc67401538"/>
      <w:bookmarkStart w:id="4233" w:name="_Toc69208175"/>
      <w:bookmarkStart w:id="4234" w:name="_Toc70071729"/>
      <w:bookmarkStart w:id="4235" w:name="_Toc71012510"/>
      <w:bookmarkStart w:id="4236" w:name="_Toc71809179"/>
      <w:bookmarkStart w:id="4237" w:name="_Toc57712722"/>
      <w:bookmarkStart w:id="4238" w:name="_Toc61359161"/>
      <w:bookmarkStart w:id="4239" w:name="_Toc63168613"/>
      <w:bookmarkStart w:id="4240" w:name="_Toc67401539"/>
      <w:bookmarkStart w:id="4241" w:name="_Toc69208176"/>
      <w:bookmarkStart w:id="4242" w:name="_Toc70071730"/>
      <w:bookmarkStart w:id="4243" w:name="_Toc71012511"/>
      <w:bookmarkStart w:id="4244" w:name="_Toc71809180"/>
      <w:bookmarkStart w:id="4245" w:name="_Toc57712723"/>
      <w:bookmarkStart w:id="4246" w:name="_Toc61359162"/>
      <w:bookmarkStart w:id="4247" w:name="_Toc63168614"/>
      <w:bookmarkStart w:id="4248" w:name="_Toc67401540"/>
      <w:bookmarkStart w:id="4249" w:name="_Toc69208177"/>
      <w:bookmarkStart w:id="4250" w:name="_Toc70071731"/>
      <w:bookmarkStart w:id="4251" w:name="_Toc71012512"/>
      <w:bookmarkStart w:id="4252" w:name="_Toc71809181"/>
      <w:bookmarkStart w:id="4253" w:name="_Toc57712724"/>
      <w:bookmarkStart w:id="4254" w:name="_Toc61359163"/>
      <w:bookmarkStart w:id="4255" w:name="_Toc63168615"/>
      <w:bookmarkStart w:id="4256" w:name="_Toc67401541"/>
      <w:bookmarkStart w:id="4257" w:name="_Toc69208178"/>
      <w:bookmarkStart w:id="4258" w:name="_Toc70071732"/>
      <w:bookmarkStart w:id="4259" w:name="_Toc71012513"/>
      <w:bookmarkStart w:id="4260" w:name="_Toc71809182"/>
      <w:bookmarkStart w:id="4261" w:name="_Toc57712725"/>
      <w:bookmarkStart w:id="4262" w:name="_Toc61359164"/>
      <w:bookmarkStart w:id="4263" w:name="_Toc63168616"/>
      <w:bookmarkStart w:id="4264" w:name="_Toc67401542"/>
      <w:bookmarkStart w:id="4265" w:name="_Toc69208179"/>
      <w:bookmarkStart w:id="4266" w:name="_Toc70071733"/>
      <w:bookmarkStart w:id="4267" w:name="_Toc71012514"/>
      <w:bookmarkStart w:id="4268" w:name="_Toc71809183"/>
      <w:bookmarkStart w:id="4269" w:name="_Toc57712726"/>
      <w:bookmarkStart w:id="4270" w:name="_Toc61359165"/>
      <w:bookmarkStart w:id="4271" w:name="_Toc63168617"/>
      <w:bookmarkStart w:id="4272" w:name="_Toc67401543"/>
      <w:bookmarkStart w:id="4273" w:name="_Toc69208180"/>
      <w:bookmarkStart w:id="4274" w:name="_Toc70071734"/>
      <w:bookmarkStart w:id="4275" w:name="_Toc71012515"/>
      <w:bookmarkStart w:id="4276" w:name="_Toc71809184"/>
      <w:bookmarkStart w:id="4277" w:name="_Toc57712727"/>
      <w:bookmarkStart w:id="4278" w:name="_Toc61359166"/>
      <w:bookmarkStart w:id="4279" w:name="_Toc63168618"/>
      <w:bookmarkStart w:id="4280" w:name="_Toc67401544"/>
      <w:bookmarkStart w:id="4281" w:name="_Toc69208181"/>
      <w:bookmarkStart w:id="4282" w:name="_Toc70071735"/>
      <w:bookmarkStart w:id="4283" w:name="_Toc71012516"/>
      <w:bookmarkStart w:id="4284" w:name="_Toc71809185"/>
      <w:bookmarkStart w:id="4285" w:name="_Toc57712728"/>
      <w:bookmarkStart w:id="4286" w:name="_Toc61359167"/>
      <w:bookmarkStart w:id="4287" w:name="_Toc63168619"/>
      <w:bookmarkStart w:id="4288" w:name="_Toc67401545"/>
      <w:bookmarkStart w:id="4289" w:name="_Toc69208182"/>
      <w:bookmarkStart w:id="4290" w:name="_Toc70071736"/>
      <w:bookmarkStart w:id="4291" w:name="_Toc71012517"/>
      <w:bookmarkStart w:id="4292" w:name="_Toc71809186"/>
      <w:bookmarkStart w:id="4293" w:name="_Toc57712729"/>
      <w:bookmarkStart w:id="4294" w:name="_Toc61359168"/>
      <w:bookmarkStart w:id="4295" w:name="_Toc63168620"/>
      <w:bookmarkStart w:id="4296" w:name="_Toc67401546"/>
      <w:bookmarkStart w:id="4297" w:name="_Toc69208183"/>
      <w:bookmarkStart w:id="4298" w:name="_Toc70071737"/>
      <w:bookmarkStart w:id="4299" w:name="_Toc71012518"/>
      <w:bookmarkStart w:id="4300" w:name="_Toc71809187"/>
      <w:bookmarkStart w:id="4301" w:name="_Toc57712730"/>
      <w:bookmarkStart w:id="4302" w:name="_Toc61359169"/>
      <w:bookmarkStart w:id="4303" w:name="_Toc63168621"/>
      <w:bookmarkStart w:id="4304" w:name="_Toc67401547"/>
      <w:bookmarkStart w:id="4305" w:name="_Toc69208184"/>
      <w:bookmarkStart w:id="4306" w:name="_Toc70071738"/>
      <w:bookmarkStart w:id="4307" w:name="_Toc71012519"/>
      <w:bookmarkStart w:id="4308" w:name="_Toc71809188"/>
      <w:bookmarkStart w:id="4309" w:name="_5.20.6__Received_Text_Message_Notif"/>
      <w:bookmarkStart w:id="4310" w:name="_Toc57712731"/>
      <w:bookmarkStart w:id="4311" w:name="_Toc61359170"/>
      <w:bookmarkStart w:id="4312" w:name="_Toc63168622"/>
      <w:bookmarkStart w:id="4313" w:name="_Toc67401548"/>
      <w:bookmarkStart w:id="4314" w:name="_Toc69208185"/>
      <w:bookmarkStart w:id="4315" w:name="_Toc70071739"/>
      <w:bookmarkStart w:id="4316" w:name="_Toc71012520"/>
      <w:bookmarkStart w:id="4317" w:name="_Toc71809189"/>
      <w:bookmarkStart w:id="4318" w:name="_Toc57712732"/>
      <w:bookmarkStart w:id="4319" w:name="_Toc61359171"/>
      <w:bookmarkStart w:id="4320" w:name="_Toc63168623"/>
      <w:bookmarkStart w:id="4321" w:name="_Toc67401549"/>
      <w:bookmarkStart w:id="4322" w:name="_Toc69208186"/>
      <w:bookmarkStart w:id="4323" w:name="_Toc70071740"/>
      <w:bookmarkStart w:id="4324" w:name="_Toc71012521"/>
      <w:bookmarkStart w:id="4325" w:name="_Toc71809190"/>
      <w:bookmarkStart w:id="4326" w:name="_Toc57712733"/>
      <w:bookmarkStart w:id="4327" w:name="_Toc61359172"/>
      <w:bookmarkStart w:id="4328" w:name="_Toc63168624"/>
      <w:bookmarkStart w:id="4329" w:name="_Toc67401550"/>
      <w:bookmarkStart w:id="4330" w:name="_Toc69208187"/>
      <w:bookmarkStart w:id="4331" w:name="_Toc70071741"/>
      <w:bookmarkStart w:id="4332" w:name="_Toc71012522"/>
      <w:bookmarkStart w:id="4333" w:name="_Toc71809191"/>
      <w:bookmarkStart w:id="4334" w:name="_Toc57712734"/>
      <w:bookmarkStart w:id="4335" w:name="_Toc61359173"/>
      <w:bookmarkStart w:id="4336" w:name="_Toc63168625"/>
      <w:bookmarkStart w:id="4337" w:name="_Toc67401551"/>
      <w:bookmarkStart w:id="4338" w:name="_Toc69208188"/>
      <w:bookmarkStart w:id="4339" w:name="_Toc70071742"/>
      <w:bookmarkStart w:id="4340" w:name="_Toc71012523"/>
      <w:bookmarkStart w:id="4341" w:name="_Toc71809192"/>
      <w:bookmarkStart w:id="4342" w:name="_Toc57712735"/>
      <w:bookmarkStart w:id="4343" w:name="_Toc61359174"/>
      <w:bookmarkStart w:id="4344" w:name="_Toc63168626"/>
      <w:bookmarkStart w:id="4345" w:name="_Toc67401552"/>
      <w:bookmarkStart w:id="4346" w:name="_Toc69208189"/>
      <w:bookmarkStart w:id="4347" w:name="_Toc70071743"/>
      <w:bookmarkStart w:id="4348" w:name="_Toc71012524"/>
      <w:bookmarkStart w:id="4349" w:name="_Toc71809193"/>
      <w:bookmarkStart w:id="4350" w:name="_Toc57712736"/>
      <w:bookmarkStart w:id="4351" w:name="_Toc61359175"/>
      <w:bookmarkStart w:id="4352" w:name="_Toc63168627"/>
      <w:bookmarkStart w:id="4353" w:name="_Toc67401553"/>
      <w:bookmarkStart w:id="4354" w:name="_Toc69208190"/>
      <w:bookmarkStart w:id="4355" w:name="_Toc70071744"/>
      <w:bookmarkStart w:id="4356" w:name="_Toc71012525"/>
      <w:bookmarkStart w:id="4357" w:name="_Toc71809194"/>
      <w:bookmarkStart w:id="4358" w:name="_Toc57712737"/>
      <w:bookmarkStart w:id="4359" w:name="_Toc61359176"/>
      <w:bookmarkStart w:id="4360" w:name="_Toc63168628"/>
      <w:bookmarkStart w:id="4361" w:name="_Toc67401554"/>
      <w:bookmarkStart w:id="4362" w:name="_Toc69208191"/>
      <w:bookmarkStart w:id="4363" w:name="_Toc70071745"/>
      <w:bookmarkStart w:id="4364" w:name="_Toc71012526"/>
      <w:bookmarkStart w:id="4365" w:name="_Toc71809195"/>
      <w:bookmarkStart w:id="4366" w:name="_Toc57712738"/>
      <w:bookmarkStart w:id="4367" w:name="_Toc61359177"/>
      <w:bookmarkStart w:id="4368" w:name="_Toc63168629"/>
      <w:bookmarkStart w:id="4369" w:name="_Toc67401555"/>
      <w:bookmarkStart w:id="4370" w:name="_Toc69208192"/>
      <w:bookmarkStart w:id="4371" w:name="_Toc70071746"/>
      <w:bookmarkStart w:id="4372" w:name="_Toc71012527"/>
      <w:bookmarkStart w:id="4373" w:name="_Toc71809196"/>
      <w:bookmarkStart w:id="4374" w:name="_Toc57712739"/>
      <w:bookmarkStart w:id="4375" w:name="_Toc61359178"/>
      <w:bookmarkStart w:id="4376" w:name="_Toc63168630"/>
      <w:bookmarkStart w:id="4377" w:name="_Toc67401556"/>
      <w:bookmarkStart w:id="4378" w:name="_Toc69208193"/>
      <w:bookmarkStart w:id="4379" w:name="_Toc70071747"/>
      <w:bookmarkStart w:id="4380" w:name="_Toc71012528"/>
      <w:bookmarkStart w:id="4381" w:name="_Toc71809197"/>
      <w:bookmarkStart w:id="4382" w:name="_Toc57712740"/>
      <w:bookmarkStart w:id="4383" w:name="_Toc61359179"/>
      <w:bookmarkStart w:id="4384" w:name="_Toc63168631"/>
      <w:bookmarkStart w:id="4385" w:name="_Toc67401557"/>
      <w:bookmarkStart w:id="4386" w:name="_Toc69208194"/>
      <w:bookmarkStart w:id="4387" w:name="_Toc70071748"/>
      <w:bookmarkStart w:id="4388" w:name="_Toc71012529"/>
      <w:bookmarkStart w:id="4389" w:name="_Toc71809198"/>
      <w:bookmarkStart w:id="4390" w:name="_Toc57712741"/>
      <w:bookmarkStart w:id="4391" w:name="_Toc61359180"/>
      <w:bookmarkStart w:id="4392" w:name="_Toc63168632"/>
      <w:bookmarkStart w:id="4393" w:name="_Toc67401558"/>
      <w:bookmarkStart w:id="4394" w:name="_Toc69208195"/>
      <w:bookmarkStart w:id="4395" w:name="_Toc70071749"/>
      <w:bookmarkStart w:id="4396" w:name="_Toc71012530"/>
      <w:bookmarkStart w:id="4397" w:name="_Toc71809199"/>
      <w:bookmarkStart w:id="4398" w:name="_Toc57712742"/>
      <w:bookmarkStart w:id="4399" w:name="_Toc61359181"/>
      <w:bookmarkStart w:id="4400" w:name="_Toc63168633"/>
      <w:bookmarkStart w:id="4401" w:name="_Toc67401559"/>
      <w:bookmarkStart w:id="4402" w:name="_Toc69208196"/>
      <w:bookmarkStart w:id="4403" w:name="_Toc70071750"/>
      <w:bookmarkStart w:id="4404" w:name="_Toc71012531"/>
      <w:bookmarkStart w:id="4405" w:name="_Toc71809200"/>
      <w:bookmarkStart w:id="4406" w:name="_Toc57712743"/>
      <w:bookmarkStart w:id="4407" w:name="_Toc61359182"/>
      <w:bookmarkStart w:id="4408" w:name="_Toc63168634"/>
      <w:bookmarkStart w:id="4409" w:name="_Toc67401560"/>
      <w:bookmarkStart w:id="4410" w:name="_Toc69208197"/>
      <w:bookmarkStart w:id="4411" w:name="_Toc70071751"/>
      <w:bookmarkStart w:id="4412" w:name="_Toc71012532"/>
      <w:bookmarkStart w:id="4413" w:name="_Toc71809201"/>
      <w:bookmarkStart w:id="4414" w:name="_Toc57712744"/>
      <w:bookmarkStart w:id="4415" w:name="_Toc61359183"/>
      <w:bookmarkStart w:id="4416" w:name="_Toc63168635"/>
      <w:bookmarkStart w:id="4417" w:name="_Toc67401561"/>
      <w:bookmarkStart w:id="4418" w:name="_Toc69208198"/>
      <w:bookmarkStart w:id="4419" w:name="_Toc70071752"/>
      <w:bookmarkStart w:id="4420" w:name="_Toc71012533"/>
      <w:bookmarkStart w:id="4421" w:name="_Toc71809202"/>
      <w:bookmarkStart w:id="4422" w:name="_Toc57712745"/>
      <w:bookmarkStart w:id="4423" w:name="_Toc61359184"/>
      <w:bookmarkStart w:id="4424" w:name="_Toc63168636"/>
      <w:bookmarkStart w:id="4425" w:name="_Toc67401562"/>
      <w:bookmarkStart w:id="4426" w:name="_Toc69208199"/>
      <w:bookmarkStart w:id="4427" w:name="_Toc70071753"/>
      <w:bookmarkStart w:id="4428" w:name="_Toc71012534"/>
      <w:bookmarkStart w:id="4429" w:name="_Toc71809203"/>
      <w:bookmarkStart w:id="4430" w:name="_Toc57712746"/>
      <w:bookmarkStart w:id="4431" w:name="_Toc61359185"/>
      <w:bookmarkStart w:id="4432" w:name="_Toc63168637"/>
      <w:bookmarkStart w:id="4433" w:name="_Toc67401563"/>
      <w:bookmarkStart w:id="4434" w:name="_Toc69208200"/>
      <w:bookmarkStart w:id="4435" w:name="_Toc70071754"/>
      <w:bookmarkStart w:id="4436" w:name="_Toc71012535"/>
      <w:bookmarkStart w:id="4437" w:name="_Toc71809204"/>
      <w:bookmarkStart w:id="4438" w:name="_Toc57712747"/>
      <w:bookmarkStart w:id="4439" w:name="_Toc61359186"/>
      <w:bookmarkStart w:id="4440" w:name="_Toc63168638"/>
      <w:bookmarkStart w:id="4441" w:name="_Toc67401564"/>
      <w:bookmarkStart w:id="4442" w:name="_Toc69208201"/>
      <w:bookmarkStart w:id="4443" w:name="_Toc70071755"/>
      <w:bookmarkStart w:id="4444" w:name="_Toc71012536"/>
      <w:bookmarkStart w:id="4445" w:name="_Toc71809205"/>
      <w:bookmarkStart w:id="4446" w:name="_5.20__DDO_TEMPLATES_TOOL"/>
      <w:bookmarkStart w:id="4447" w:name="_5.21__DDO_TEMPLATES_TOOL"/>
      <w:bookmarkStart w:id="4448" w:name="_5.22__DDO_TEMPLATES_TOOL"/>
      <w:bookmarkStart w:id="4449" w:name="_5.21__DDO"/>
      <w:bookmarkStart w:id="4450" w:name="_DDO_TEMPLATES_TOOL"/>
      <w:bookmarkStart w:id="4451" w:name="_Toc71955452"/>
      <w:bookmarkStart w:id="4452" w:name="_Toc96170036"/>
      <w:bookmarkStart w:id="4453" w:name="_Toc96234081"/>
      <w:bookmarkStart w:id="4454" w:name="_Toc112733509"/>
      <w:bookmarkStart w:id="4455" w:name="_Toc289328550"/>
      <w:bookmarkStart w:id="4456" w:name="_Toc312331866"/>
      <w:bookmarkStart w:id="4457" w:name="_Toc214283310"/>
      <w:bookmarkStart w:id="4458" w:name="_Hlk39153460"/>
      <w:bookmarkEnd w:id="2224"/>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r w:rsidR="005D1A26" w:rsidRPr="000665B0">
        <w:lastRenderedPageBreak/>
        <w:t>DDO TEMPLATES TOOL</w:t>
      </w:r>
      <w:bookmarkEnd w:id="4451"/>
      <w:bookmarkEnd w:id="4452"/>
      <w:bookmarkEnd w:id="4453"/>
      <w:bookmarkEnd w:id="4454"/>
      <w:bookmarkEnd w:id="4455"/>
      <w:bookmarkEnd w:id="4456"/>
      <w:bookmarkEnd w:id="4457"/>
    </w:p>
    <w:p w14:paraId="701CC193" w14:textId="3C0B87CC" w:rsidR="00F74E68" w:rsidRPr="000665B0" w:rsidRDefault="00F74E68" w:rsidP="009570CA">
      <w:bookmarkStart w:id="4459" w:name="_Toc71955453"/>
      <w:bookmarkStart w:id="4460" w:name="_Toc96170037"/>
      <w:bookmarkStart w:id="4461" w:name="_Toc96234082"/>
      <w:bookmarkStart w:id="4462" w:name="_Toc112733510"/>
      <w:bookmarkStart w:id="4463" w:name="_Toc289328551"/>
      <w:bookmarkStart w:id="4464" w:name="_Toc312331867"/>
      <w:r w:rsidRPr="000665B0">
        <w:t xml:space="preserve">The DDO Templates Tool displays a list of all the </w:t>
      </w:r>
      <w:r w:rsidR="00F726C9" w:rsidRPr="000665B0">
        <w:t>Data Distribution Order (</w:t>
      </w:r>
      <w:r w:rsidRPr="000665B0">
        <w:t>DDO</w:t>
      </w:r>
      <w:r w:rsidR="00F726C9" w:rsidRPr="000665B0">
        <w:t>)</w:t>
      </w:r>
      <w:r w:rsidRPr="000665B0">
        <w:t xml:space="preserve"> Templates contained in the database that have been </w:t>
      </w:r>
      <w:r w:rsidR="00FC6B75" w:rsidRPr="000665B0">
        <w:t>saved but</w:t>
      </w:r>
      <w:r w:rsidRPr="000665B0">
        <w:t xml:space="preserve"> not necessarily transmitted. DDO Templates is the tool used to prepare data for distribution to other </w:t>
      </w:r>
      <w:r w:rsidR="00F77360" w:rsidRPr="000665B0">
        <w:t xml:space="preserve">TMPC </w:t>
      </w:r>
      <w:r w:rsidRPr="000665B0">
        <w:t xml:space="preserve">locations (FRUs, </w:t>
      </w:r>
      <w:r w:rsidR="00D56649" w:rsidRPr="000665B0">
        <w:t xml:space="preserve">Standalone MDS </w:t>
      </w:r>
      <w:r w:rsidRPr="000665B0">
        <w:t xml:space="preserve">Nodes), including MDU(s). </w:t>
      </w:r>
    </w:p>
    <w:p w14:paraId="1A3B0FED" w14:textId="77777777" w:rsidR="00F74E68" w:rsidRPr="000665B0" w:rsidRDefault="00F74E68" w:rsidP="009570CA">
      <w:r w:rsidRPr="000665B0">
        <w:t>To display the DDO Templates Tool:</w:t>
      </w:r>
    </w:p>
    <w:p w14:paraId="66DEC3BF" w14:textId="77777777" w:rsidR="00F74E68" w:rsidRPr="000665B0" w:rsidRDefault="00F74E68" w:rsidP="009570CA">
      <w:pPr>
        <w:pStyle w:val="Number0205"/>
        <w:ind w:left="360" w:firstLine="0"/>
      </w:pPr>
      <w:r w:rsidRPr="000665B0">
        <w:t xml:space="preserve">From the </w:t>
      </w:r>
      <w:r w:rsidRPr="000665B0">
        <w:rPr>
          <w:b/>
        </w:rPr>
        <w:t>Go</w:t>
      </w:r>
      <w:r w:rsidRPr="000665B0">
        <w:t xml:space="preserve"> menu select </w:t>
      </w:r>
      <w:r w:rsidRPr="000665B0">
        <w:rPr>
          <w:b/>
          <w:bCs/>
        </w:rPr>
        <w:t>DDO Templates</w:t>
      </w:r>
      <w:r w:rsidRPr="000665B0">
        <w:t>.</w:t>
      </w:r>
    </w:p>
    <w:p w14:paraId="0B086FA0" w14:textId="0D551F0A" w:rsidR="00F74E68" w:rsidRPr="000665B0" w:rsidRDefault="00154CA4" w:rsidP="009570CA">
      <w:pPr>
        <w:jc w:val="center"/>
      </w:pPr>
      <w:r>
        <w:rPr>
          <w:noProof/>
        </w:rPr>
        <w:drawing>
          <wp:inline distT="0" distB="0" distL="0" distR="0" wp14:anchorId="2D451976" wp14:editId="6159AAE4">
            <wp:extent cx="4842762" cy="3848100"/>
            <wp:effectExtent l="0" t="0" r="0" b="0"/>
            <wp:docPr id="397437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845884" cy="3850581"/>
                    </a:xfrm>
                    <a:prstGeom prst="rect">
                      <a:avLst/>
                    </a:prstGeom>
                    <a:noFill/>
                    <a:ln>
                      <a:noFill/>
                    </a:ln>
                  </pic:spPr>
                </pic:pic>
              </a:graphicData>
            </a:graphic>
          </wp:inline>
        </w:drawing>
      </w:r>
    </w:p>
    <w:p w14:paraId="5DAEFC8E" w14:textId="77777777" w:rsidR="00F74E68" w:rsidRPr="000665B0" w:rsidRDefault="00F74E68" w:rsidP="009570CA">
      <w:pPr>
        <w:rPr>
          <w:b/>
          <w:i/>
        </w:rPr>
      </w:pPr>
      <w:r w:rsidRPr="000665B0">
        <w:rPr>
          <w:b/>
          <w:i/>
        </w:rPr>
        <w:t>DDO Template List View</w:t>
      </w:r>
    </w:p>
    <w:p w14:paraId="1D1BAC9A" w14:textId="77777777" w:rsidR="00F74E68" w:rsidRPr="000665B0" w:rsidRDefault="00F74E68" w:rsidP="009570CA">
      <w:r w:rsidRPr="000665B0">
        <w:t>The DDO Template displays the following information:</w:t>
      </w:r>
    </w:p>
    <w:p w14:paraId="49B961B1" w14:textId="77777777" w:rsidR="00F74E68" w:rsidRPr="000665B0" w:rsidRDefault="00F74E68" w:rsidP="006D5A65">
      <w:pPr>
        <w:pStyle w:val="Heading1"/>
      </w:pPr>
      <w:r w:rsidRPr="000665B0">
        <w:t>Columns</w:t>
      </w:r>
    </w:p>
    <w:p w14:paraId="67E5A3A8" w14:textId="77777777" w:rsidR="00F74E68" w:rsidRPr="000665B0" w:rsidRDefault="00F74E68" w:rsidP="006D5A65">
      <w:pPr>
        <w:pStyle w:val="Heading2"/>
      </w:pPr>
      <w:r w:rsidRPr="000665B0">
        <w:rPr>
          <w:bCs/>
        </w:rPr>
        <w:t>Template ID</w:t>
      </w:r>
      <w:r w:rsidRPr="000665B0">
        <w:t xml:space="preserve"> – System-generated number of five numeric characters that is incremented by one for each new entry.</w:t>
      </w:r>
    </w:p>
    <w:p w14:paraId="6FC4547F" w14:textId="77777777" w:rsidR="00F74E68" w:rsidRPr="000665B0" w:rsidRDefault="00F74E68" w:rsidP="006D5A65">
      <w:pPr>
        <w:pStyle w:val="Heading2"/>
      </w:pPr>
      <w:r w:rsidRPr="000665B0">
        <w:rPr>
          <w:bCs/>
        </w:rPr>
        <w:t>Objective</w:t>
      </w:r>
      <w:r w:rsidRPr="000665B0">
        <w:t xml:space="preserve"> – Contains the objective that was entered when the DDO was created.</w:t>
      </w:r>
    </w:p>
    <w:p w14:paraId="59EA7EA0" w14:textId="77777777" w:rsidR="00F74E68" w:rsidRPr="000665B0" w:rsidRDefault="00F74E68" w:rsidP="006D5A65">
      <w:pPr>
        <w:pStyle w:val="Heading2"/>
      </w:pPr>
      <w:r w:rsidRPr="000665B0">
        <w:rPr>
          <w:bCs/>
        </w:rPr>
        <w:t>Distribution Mode</w:t>
      </w:r>
      <w:r w:rsidRPr="000665B0">
        <w:t xml:space="preserve"> – Indicates the mode at which the data will be distributed; Comms if via communications or Media if written to disk.</w:t>
      </w:r>
    </w:p>
    <w:p w14:paraId="1408AEF2" w14:textId="77777777" w:rsidR="00F74E68" w:rsidRPr="000665B0" w:rsidRDefault="00F74E68" w:rsidP="006D5A65">
      <w:pPr>
        <w:pStyle w:val="Heading1"/>
      </w:pPr>
      <w:r w:rsidRPr="000665B0">
        <w:lastRenderedPageBreak/>
        <w:t>Context Menu</w:t>
      </w:r>
    </w:p>
    <w:p w14:paraId="443BF720" w14:textId="64D3BE7A" w:rsidR="004928AF" w:rsidRPr="000665B0" w:rsidRDefault="004928AF" w:rsidP="006D5A65">
      <w:pPr>
        <w:pStyle w:val="Heading2"/>
        <w:rPr>
          <w:rFonts w:eastAsia="Arial Unicode MS"/>
        </w:rPr>
      </w:pPr>
      <w:r w:rsidRPr="000665B0">
        <w:rPr>
          <w:rFonts w:eastAsia="Arial Unicode MS"/>
        </w:rPr>
        <w:t xml:space="preserve">New – </w:t>
      </w:r>
      <w:r w:rsidRPr="000665B0">
        <w:t xml:space="preserve">Invokes the </w:t>
      </w:r>
      <w:r w:rsidRPr="000665B0">
        <w:rPr>
          <w:i/>
        </w:rPr>
        <w:t>DDO Template</w:t>
      </w:r>
      <w:r w:rsidRPr="000665B0">
        <w:t xml:space="preserve"> window.</w:t>
      </w:r>
    </w:p>
    <w:p w14:paraId="2C2C4631" w14:textId="4B846F73" w:rsidR="00F74E68" w:rsidRPr="000665B0" w:rsidRDefault="00F74E68" w:rsidP="006D5A65">
      <w:pPr>
        <w:pStyle w:val="Heading2"/>
      </w:pPr>
      <w:r w:rsidRPr="000665B0">
        <w:t>Display</w:t>
      </w:r>
    </w:p>
    <w:p w14:paraId="398D9C32" w14:textId="77777777" w:rsidR="00F74E68" w:rsidRPr="000665B0" w:rsidRDefault="00F74E68" w:rsidP="006D5A65">
      <w:pPr>
        <w:pStyle w:val="Heading3"/>
        <w:rPr>
          <w:rFonts w:eastAsia="Arial Unicode MS"/>
        </w:rPr>
      </w:pPr>
      <w:r w:rsidRPr="000665B0">
        <w:rPr>
          <w:rFonts w:eastAsia="Arial Unicode MS"/>
        </w:rPr>
        <w:t xml:space="preserve">Textually </w:t>
      </w:r>
      <w:r w:rsidRPr="000665B0">
        <w:t>– Displays the textual view of the selected DDO Template(s).</w:t>
      </w:r>
    </w:p>
    <w:p w14:paraId="08ADEE34" w14:textId="77777777" w:rsidR="00F74E68" w:rsidRPr="000665B0" w:rsidRDefault="00F74E68" w:rsidP="006D5A65">
      <w:pPr>
        <w:pStyle w:val="Heading3"/>
        <w:rPr>
          <w:rFonts w:eastAsia="Arial Unicode MS"/>
        </w:rPr>
      </w:pPr>
      <w:r w:rsidRPr="000665B0">
        <w:rPr>
          <w:rFonts w:eastAsia="Arial Unicode MS"/>
        </w:rPr>
        <w:t xml:space="preserve">in Excel – </w:t>
      </w:r>
      <w:r w:rsidRPr="000665B0">
        <w:t>Creates an Excel document containing the selected DDO Template’s information.</w:t>
      </w:r>
    </w:p>
    <w:p w14:paraId="1397F1AC" w14:textId="77777777" w:rsidR="00F74E68" w:rsidRPr="000665B0" w:rsidRDefault="00F74E68" w:rsidP="006D5A65">
      <w:pPr>
        <w:pStyle w:val="Heading2"/>
      </w:pPr>
      <w:r w:rsidRPr="000665B0">
        <w:t>Print… – Prints the selected DDO Template’s list information.</w:t>
      </w:r>
    </w:p>
    <w:p w14:paraId="471F107A" w14:textId="77777777" w:rsidR="00F74E68" w:rsidRPr="000665B0" w:rsidRDefault="00F74E68" w:rsidP="006D5A65">
      <w:pPr>
        <w:pStyle w:val="Heading2"/>
      </w:pPr>
      <w:r w:rsidRPr="000665B0">
        <w:rPr>
          <w:rFonts w:eastAsia="Arial Unicode MS"/>
        </w:rPr>
        <w:t xml:space="preserve">Delete – </w:t>
      </w:r>
      <w:r w:rsidRPr="000665B0">
        <w:t>Deletes the selected DDO Template(s).</w:t>
      </w:r>
    </w:p>
    <w:p w14:paraId="0DC7EC9E" w14:textId="1E35B6DE" w:rsidR="00F74E68" w:rsidRPr="000665B0" w:rsidRDefault="00F74E68" w:rsidP="006D5A65">
      <w:pPr>
        <w:pStyle w:val="Heading2"/>
      </w:pPr>
      <w:r w:rsidRPr="000665B0">
        <w:rPr>
          <w:rFonts w:eastAsia="Arial Unicode MS"/>
        </w:rPr>
        <w:t>Distribution Dashboard –</w:t>
      </w:r>
      <w:r w:rsidR="00474A1F" w:rsidRPr="000665B0">
        <w:rPr>
          <w:rFonts w:eastAsia="Arial Unicode MS"/>
        </w:rPr>
        <w:t xml:space="preserve"> </w:t>
      </w:r>
      <w:r w:rsidR="00474A1F" w:rsidRPr="000665B0">
        <w:t xml:space="preserve">The Distribution Dashboard feature gives the operator the ability to track what data was sent to each recipient, and whether or not that data has been acknowledged. The feature’s functionality is the same across all tools that include it, but the data displayed will vary depending on the tool being used. See </w:t>
      </w:r>
      <w:hyperlink w:anchor="_5.2.10__Distribution" w:history="1">
        <w:r w:rsidR="00474A1F" w:rsidRPr="000665B0">
          <w:rPr>
            <w:rStyle w:val="Hyperlink"/>
          </w:rPr>
          <w:t>Section 5.2.10</w:t>
        </w:r>
      </w:hyperlink>
      <w:r w:rsidR="00474A1F" w:rsidRPr="000665B0">
        <w:t>.</w:t>
      </w:r>
    </w:p>
    <w:p w14:paraId="49CD2A23" w14:textId="77777777" w:rsidR="00F74E68" w:rsidRPr="000665B0" w:rsidRDefault="00F74E68" w:rsidP="009570CA">
      <w:pPr>
        <w:spacing w:after="0"/>
      </w:pPr>
      <w:r w:rsidRPr="000665B0">
        <w:t xml:space="preserve">Although the following process descriptions are provided individually, a single DDO Template may contain multiple types of recipients for each type of distribution mode. </w:t>
      </w:r>
    </w:p>
    <w:p w14:paraId="5ED65828" w14:textId="406CD9DE" w:rsidR="005D1A26" w:rsidRPr="000665B0" w:rsidRDefault="005D1A26" w:rsidP="009570CA">
      <w:pPr>
        <w:pStyle w:val="Heading3"/>
      </w:pPr>
      <w:bookmarkStart w:id="4465" w:name="_Toc214283311"/>
      <w:r w:rsidRPr="000665B0">
        <w:t>Display Textually</w:t>
      </w:r>
      <w:bookmarkEnd w:id="4459"/>
      <w:bookmarkEnd w:id="4460"/>
      <w:bookmarkEnd w:id="4461"/>
      <w:bookmarkEnd w:id="4462"/>
      <w:bookmarkEnd w:id="4463"/>
      <w:bookmarkEnd w:id="4464"/>
      <w:bookmarkEnd w:id="4465"/>
    </w:p>
    <w:p w14:paraId="6000CF65" w14:textId="77777777" w:rsidR="00F74E68" w:rsidRPr="000665B0" w:rsidRDefault="00F74E68" w:rsidP="009570CA">
      <w:pPr>
        <w:pStyle w:val="BodyText"/>
        <w:spacing w:after="120"/>
      </w:pPr>
      <w:bookmarkStart w:id="4466" w:name="_5.20.2__Create_DDO’s"/>
      <w:bookmarkStart w:id="4467" w:name="_Toc71955454"/>
      <w:bookmarkStart w:id="4468" w:name="_Toc96170038"/>
      <w:bookmarkStart w:id="4469" w:name="_Toc96234083"/>
      <w:bookmarkStart w:id="4470" w:name="_Toc112733511"/>
      <w:bookmarkStart w:id="4471" w:name="_Toc289328552"/>
      <w:bookmarkStart w:id="4472" w:name="_Toc312331868"/>
      <w:bookmarkEnd w:id="4466"/>
      <w:r w:rsidRPr="000665B0">
        <w:t>Displaying an entry textually allows the operator to view the contents of the DDO Template (no preview option is available in this tool). Once the DDO Template is displayed, it can be modified and saved, saved as a new item, transmitted, and printed.</w:t>
      </w:r>
    </w:p>
    <w:p w14:paraId="1A213FDE" w14:textId="77777777" w:rsidR="00F74E68" w:rsidRPr="000665B0" w:rsidRDefault="00F74E68" w:rsidP="009570CA">
      <w:pPr>
        <w:pStyle w:val="BodyText"/>
        <w:spacing w:after="120"/>
      </w:pPr>
      <w:r w:rsidRPr="000665B0">
        <w:t>To display a DDO Template textually:</w:t>
      </w:r>
    </w:p>
    <w:p w14:paraId="089BE9E4" w14:textId="77777777" w:rsidR="00F74E68" w:rsidRPr="000665B0" w:rsidRDefault="00F74E68" w:rsidP="006D5A65">
      <w:pPr>
        <w:pStyle w:val="Heading1"/>
      </w:pPr>
      <w:r w:rsidRPr="000665B0">
        <w:t>Navigate to the DDO Template Tool and select the desired Template.</w:t>
      </w:r>
    </w:p>
    <w:p w14:paraId="606872D1" w14:textId="6144068D" w:rsidR="00F74E68" w:rsidRPr="000665B0" w:rsidRDefault="00F74E68" w:rsidP="006D5A65">
      <w:pPr>
        <w:pStyle w:val="Heading1"/>
      </w:pPr>
      <w:r w:rsidRPr="000665B0">
        <w:t xml:space="preserve">From the File menu select Display </w:t>
      </w:r>
      <w:r w:rsidRPr="000665B0">
        <w:sym w:font="Wingdings" w:char="F0E0"/>
      </w:r>
      <w:r w:rsidRPr="000665B0">
        <w:t xml:space="preserve"> Textually or invoke the context menu (right-click the mouse) and select Display </w:t>
      </w:r>
      <w:r w:rsidRPr="000665B0">
        <w:sym w:font="Wingdings" w:char="F0E0"/>
      </w:r>
      <w:r w:rsidRPr="000665B0">
        <w:t xml:space="preserve"> </w:t>
      </w:r>
      <w:r w:rsidR="005B1EE7" w:rsidRPr="000665B0">
        <w:t>Textually or</w:t>
      </w:r>
      <w:r w:rsidRPr="000665B0">
        <w:t xml:space="preserve"> click the Display Textually </w:t>
      </w:r>
      <w:r w:rsidRPr="000665B0">
        <w:rPr>
          <w:noProof/>
        </w:rPr>
        <w:drawing>
          <wp:inline distT="0" distB="0" distL="0" distR="0" wp14:anchorId="622A5D68" wp14:editId="6387D3D3">
            <wp:extent cx="152400" cy="152400"/>
            <wp:effectExtent l="0" t="0" r="0" b="0"/>
            <wp:docPr id="287" name="Picture 287" descr="Description: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Description: 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w:t>
      </w:r>
      <w:r w:rsidRPr="000665B0">
        <w:lastRenderedPageBreak/>
        <w:t>Bar. The operator may also double-click on a Template to display textually</w:t>
      </w:r>
      <w:r w:rsidR="00144D9E" w:rsidRPr="000665B0">
        <w:t>.</w:t>
      </w:r>
    </w:p>
    <w:p w14:paraId="437D2D75" w14:textId="159471EA" w:rsidR="00017FEF" w:rsidRDefault="00154CA4" w:rsidP="009570CA">
      <w:pPr>
        <w:jc w:val="center"/>
        <w:rPr>
          <w:noProof/>
        </w:rPr>
      </w:pPr>
      <w:r>
        <w:rPr>
          <w:noProof/>
        </w:rPr>
        <w:drawing>
          <wp:inline distT="0" distB="0" distL="0" distR="0" wp14:anchorId="62E0D1D7" wp14:editId="1BFF94FB">
            <wp:extent cx="3449171" cy="3086100"/>
            <wp:effectExtent l="0" t="0" r="0" b="0"/>
            <wp:docPr id="163157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3453401" cy="3089885"/>
                    </a:xfrm>
                    <a:prstGeom prst="rect">
                      <a:avLst/>
                    </a:prstGeom>
                    <a:noFill/>
                    <a:ln>
                      <a:noFill/>
                    </a:ln>
                  </pic:spPr>
                </pic:pic>
              </a:graphicData>
            </a:graphic>
          </wp:inline>
        </w:drawing>
      </w:r>
    </w:p>
    <w:p w14:paraId="69833B2B" w14:textId="483028C0" w:rsidR="00F74E68" w:rsidRPr="000665B0" w:rsidRDefault="00F74E68" w:rsidP="009570CA">
      <w:pPr>
        <w:spacing w:after="0"/>
      </w:pPr>
      <w:r w:rsidRPr="000665B0">
        <w:t xml:space="preserve">In addition to viewing/editing information for the DDO and sending the DDO, the user can also view the </w:t>
      </w:r>
      <w:r w:rsidRPr="000665B0">
        <w:rPr>
          <w:b/>
        </w:rPr>
        <w:t>Print Preview</w:t>
      </w:r>
      <w:r w:rsidRPr="000665B0">
        <w:t xml:space="preserve">, </w:t>
      </w:r>
      <w:r w:rsidRPr="000665B0">
        <w:rPr>
          <w:b/>
        </w:rPr>
        <w:t>Print</w:t>
      </w:r>
      <w:r w:rsidRPr="000665B0">
        <w:t xml:space="preserve"> the DDO, and view the </w:t>
      </w:r>
      <w:r w:rsidRPr="000665B0">
        <w:rPr>
          <w:b/>
        </w:rPr>
        <w:t>Distribution Dashboard</w:t>
      </w:r>
      <w:r w:rsidRPr="000665B0">
        <w:t xml:space="preserve"> to review the status of the data distribution. See </w:t>
      </w:r>
      <w:hyperlink w:anchor="_5.2__COMMON_2" w:history="1">
        <w:r w:rsidRPr="000665B0">
          <w:rPr>
            <w:rStyle w:val="Hyperlink"/>
          </w:rPr>
          <w:t>Section 5.2</w:t>
        </w:r>
      </w:hyperlink>
      <w:r w:rsidRPr="000665B0">
        <w:t xml:space="preserve"> for information on how to perform the </w:t>
      </w:r>
      <w:r w:rsidRPr="000665B0">
        <w:rPr>
          <w:b/>
        </w:rPr>
        <w:t>Print</w:t>
      </w:r>
      <w:r w:rsidRPr="000665B0">
        <w:t xml:space="preserve"> features. See </w:t>
      </w:r>
      <w:hyperlink w:anchor="_5.22.3__Send_DDO_Template" w:history="1">
        <w:r w:rsidRPr="000665B0">
          <w:rPr>
            <w:rStyle w:val="Hyperlink"/>
          </w:rPr>
          <w:t xml:space="preserve">Section </w:t>
        </w:r>
        <w:r w:rsidR="004231CC">
          <w:rPr>
            <w:rStyle w:val="Hyperlink"/>
          </w:rPr>
          <w:t>5.16</w:t>
        </w:r>
        <w:r w:rsidRPr="000665B0">
          <w:rPr>
            <w:rStyle w:val="Hyperlink"/>
          </w:rPr>
          <w:t>.</w:t>
        </w:r>
        <w:r w:rsidR="000269AD">
          <w:rPr>
            <w:rStyle w:val="Hyperlink"/>
          </w:rPr>
          <w:t>5</w:t>
        </w:r>
      </w:hyperlink>
      <w:r w:rsidRPr="000665B0">
        <w:t xml:space="preserve"> for information about the </w:t>
      </w:r>
      <w:r w:rsidRPr="000665B0">
        <w:rPr>
          <w:b/>
        </w:rPr>
        <w:t>Distribution Dashboard</w:t>
      </w:r>
      <w:r w:rsidRPr="000665B0">
        <w:t>.</w:t>
      </w:r>
    </w:p>
    <w:p w14:paraId="2C572B33" w14:textId="77777777" w:rsidR="00EB2B84" w:rsidRDefault="00EB2B84" w:rsidP="009570CA">
      <w:pPr>
        <w:pStyle w:val="Heading3"/>
      </w:pPr>
      <w:bookmarkStart w:id="4473" w:name="_5.21.2__Create"/>
      <w:bookmarkStart w:id="4474" w:name="_Set_Mission_Distribution"/>
      <w:bookmarkStart w:id="4475" w:name="_Toc109107987"/>
      <w:bookmarkStart w:id="4476" w:name="_Toc214283312"/>
      <w:bookmarkStart w:id="4477" w:name="_Toc290363935"/>
      <w:bookmarkStart w:id="4478" w:name="_Hlk39150145"/>
      <w:bookmarkEnd w:id="4467"/>
      <w:bookmarkEnd w:id="4468"/>
      <w:bookmarkEnd w:id="4469"/>
      <w:bookmarkEnd w:id="4470"/>
      <w:bookmarkEnd w:id="4471"/>
      <w:bookmarkEnd w:id="4472"/>
      <w:bookmarkEnd w:id="4473"/>
      <w:bookmarkEnd w:id="4474"/>
      <w:r w:rsidRPr="00D43413">
        <w:t xml:space="preserve">Set </w:t>
      </w:r>
      <w:r w:rsidRPr="00D81768">
        <w:t>Mission</w:t>
      </w:r>
      <w:r w:rsidRPr="00D43413">
        <w:t xml:space="preserve"> Distribution Preferences</w:t>
      </w:r>
      <w:bookmarkEnd w:id="4475"/>
      <w:bookmarkEnd w:id="4476"/>
    </w:p>
    <w:p w14:paraId="351C04AB" w14:textId="77777777" w:rsidR="0085093A" w:rsidRPr="00A0163E" w:rsidRDefault="0085093A" w:rsidP="00A0163E">
      <w:r w:rsidRPr="00A0163E">
        <w:t>Starting MDS version 8.0, we no longer support TAWS in DDO Mission Distribution Preferences dialog window.</w:t>
      </w:r>
    </w:p>
    <w:p w14:paraId="0EEBF010" w14:textId="77777777" w:rsidR="0085093A" w:rsidRPr="00A0163E" w:rsidRDefault="0085093A" w:rsidP="00A0163E">
      <w:r w:rsidRPr="00A0163E">
        <w:t>The DDO Mission Distribution Preferences dialog window allows users to select the following properties:</w:t>
      </w:r>
    </w:p>
    <w:p w14:paraId="0C65446C" w14:textId="77777777" w:rsidR="0085093A" w:rsidRPr="00A0163E" w:rsidRDefault="0085093A" w:rsidP="00A0163E">
      <w:r w:rsidRPr="00A0163E">
        <w:t>Include Associated Omni-DSMACs to automatically include or exclude binary Omni-DSMAC (ODS) that are referenced by the missions that are added to the DDO Template, but these ODS referenced by the missions will only be sent to destination nodes in the DDO Template that are planning organizations. Check Include Associated Omni-DSMACs to send binary ODS along with the mission to planning organization nodes.</w:t>
      </w:r>
    </w:p>
    <w:p w14:paraId="6A81CF83" w14:textId="03081D7E" w:rsidR="00F74E68" w:rsidRPr="000665B0" w:rsidRDefault="00F74E68" w:rsidP="009570CA">
      <w:pPr>
        <w:pStyle w:val="Heading3"/>
      </w:pPr>
      <w:bookmarkStart w:id="4479" w:name="_Create_DDOs"/>
      <w:bookmarkStart w:id="4480" w:name="_Toc214283313"/>
      <w:bookmarkEnd w:id="4479"/>
      <w:r w:rsidRPr="000665B0">
        <w:t>Create DDOs</w:t>
      </w:r>
      <w:bookmarkEnd w:id="4477"/>
      <w:bookmarkEnd w:id="4480"/>
    </w:p>
    <w:p w14:paraId="1102CE34" w14:textId="77777777" w:rsidR="00F74E68" w:rsidRPr="000665B0" w:rsidRDefault="00F74E68" w:rsidP="009570CA">
      <w:r w:rsidRPr="000665B0">
        <w:t>Creating a DDO Template provides the operator with a mechanism to gather data for distribution, specify the mode of distribution, and identify the recipients of the data. Creating a new DDO can be broken down into the following parts:</w:t>
      </w:r>
    </w:p>
    <w:p w14:paraId="421EDDDC" w14:textId="77777777" w:rsidR="00980F83" w:rsidRDefault="00980F83" w:rsidP="006D5A65">
      <w:pPr>
        <w:pStyle w:val="Heading1"/>
      </w:pPr>
      <w:r>
        <w:lastRenderedPageBreak/>
        <w:t>Selecting a Distribution Mode (Communications or Media).</w:t>
      </w:r>
    </w:p>
    <w:p w14:paraId="35321764" w14:textId="77777777" w:rsidR="00980F83" w:rsidRDefault="00980F83" w:rsidP="006D5A65">
      <w:pPr>
        <w:pStyle w:val="Heading1"/>
      </w:pPr>
      <w:r>
        <w:t>If via Communications, then the Communications Information may be specified.</w:t>
      </w:r>
    </w:p>
    <w:p w14:paraId="5DB82254" w14:textId="77777777" w:rsidR="00980F83" w:rsidRDefault="00980F83" w:rsidP="006D5A65">
      <w:pPr>
        <w:pStyle w:val="Heading1"/>
      </w:pPr>
      <w:r>
        <w:t xml:space="preserve">If via Media, then the pathname where the files will be stored needs to be determined. </w:t>
      </w:r>
    </w:p>
    <w:p w14:paraId="7C09E9E5" w14:textId="77777777" w:rsidR="00980F83" w:rsidRDefault="00980F83" w:rsidP="006D5A65">
      <w:pPr>
        <w:pStyle w:val="Heading1"/>
      </w:pPr>
      <w:r>
        <w:t>Identifying the recipients.</w:t>
      </w:r>
    </w:p>
    <w:p w14:paraId="235F0049" w14:textId="77777777" w:rsidR="00980F83" w:rsidRDefault="00980F83" w:rsidP="006D5A65">
      <w:pPr>
        <w:pStyle w:val="Heading1"/>
      </w:pPr>
      <w:r>
        <w:t>Providing an Objective.</w:t>
      </w:r>
    </w:p>
    <w:p w14:paraId="2453B27B" w14:textId="77777777" w:rsidR="00F74E68" w:rsidRPr="000665B0" w:rsidRDefault="00F74E68" w:rsidP="006D5A65">
      <w:pPr>
        <w:pStyle w:val="Heading1"/>
      </w:pPr>
      <w:r w:rsidRPr="000665B0">
        <w:t xml:space="preserve">Selecting the desired Data Distribution Items. </w:t>
      </w:r>
    </w:p>
    <w:p w14:paraId="39F2D5E7" w14:textId="77777777" w:rsidR="00F74E68" w:rsidRPr="000665B0" w:rsidRDefault="00F74E68" w:rsidP="006D5A65">
      <w:pPr>
        <w:pStyle w:val="Heading1"/>
      </w:pPr>
      <w:r w:rsidRPr="000665B0">
        <w:t>Specifying data items to distribute.</w:t>
      </w:r>
    </w:p>
    <w:p w14:paraId="3404C1C1" w14:textId="77777777" w:rsidR="00F74E68" w:rsidRPr="000665B0" w:rsidRDefault="00F74E68" w:rsidP="009570CA">
      <w:r w:rsidRPr="000665B0">
        <w:t>For a Communications DDO, the selected recipient’s configuration and software version dictates how the TED formats the data for distribution and what communications path is used based on the recipient’s capabilities.</w:t>
      </w:r>
    </w:p>
    <w:p w14:paraId="3589E3DA" w14:textId="4CA5D786" w:rsidR="00F74E68" w:rsidRPr="000665B0" w:rsidRDefault="00F74E68" w:rsidP="009570CA">
      <w:r w:rsidRPr="000665B0">
        <w:t xml:space="preserve">For a Media DDO, MDS formats the data according to the type of recipient’s platform (i.e., MDS, TTWCS [TCIDB], or </w:t>
      </w:r>
      <w:r w:rsidR="00090D69" w:rsidRPr="000665B0">
        <w:t xml:space="preserve">specified </w:t>
      </w:r>
      <w:r w:rsidRPr="000665B0">
        <w:t>TED</w:t>
      </w:r>
      <w:r w:rsidR="00090D69" w:rsidRPr="000665B0">
        <w:t xml:space="preserve"> version</w:t>
      </w:r>
      <w:r w:rsidRPr="000665B0">
        <w:t>).</w:t>
      </w:r>
    </w:p>
    <w:p w14:paraId="05F6FAC4" w14:textId="3D4FD9B4" w:rsidR="00F74E68" w:rsidRPr="000665B0" w:rsidRDefault="00F74E68" w:rsidP="009570CA">
      <w:pPr>
        <w:spacing w:after="0"/>
      </w:pPr>
      <w:r w:rsidRPr="000665B0">
        <w:t xml:space="preserve">For a list of data items that can be sent and to whom, see </w:t>
      </w:r>
      <w:hyperlink w:anchor="_Appendix_D__DATA_SENT_FROM_PC-MDS" w:history="1">
        <w:r w:rsidRPr="000665B0">
          <w:rPr>
            <w:rStyle w:val="Hyperlink"/>
          </w:rPr>
          <w:t>Appendix D</w:t>
        </w:r>
      </w:hyperlink>
      <w:r w:rsidRPr="000665B0">
        <w:t>.</w:t>
      </w:r>
    </w:p>
    <w:p w14:paraId="6EFED923" w14:textId="581DBB97" w:rsidR="00F74E68" w:rsidRPr="000665B0" w:rsidRDefault="00F74E68" w:rsidP="009570CA">
      <w:pPr>
        <w:pStyle w:val="Heading4"/>
      </w:pPr>
      <w:bookmarkStart w:id="4481" w:name="_5.21.2.1__Create"/>
      <w:bookmarkStart w:id="4482" w:name="_Create_Communications_DDO"/>
      <w:bookmarkStart w:id="4483" w:name="_Toc289328553"/>
      <w:bookmarkEnd w:id="4481"/>
      <w:bookmarkEnd w:id="4482"/>
      <w:r w:rsidRPr="000665B0">
        <w:t>Create Communications DDO Template</w:t>
      </w:r>
      <w:bookmarkEnd w:id="4483"/>
    </w:p>
    <w:p w14:paraId="41DD0CCD" w14:textId="77777777" w:rsidR="00F74E68" w:rsidRPr="000665B0" w:rsidRDefault="00F74E68" w:rsidP="009570CA">
      <w:r w:rsidRPr="000665B0">
        <w:t>A communications DDO Template is used to initiate transmission of data over a designated communications circuit. If the data transmitted only consists of mission data (i.e., Missions, DSMACs, and TERCOMs), then the transmission is considered an MDU. For all other data, it is considered an FDU.</w:t>
      </w:r>
    </w:p>
    <w:p w14:paraId="5840DC54" w14:textId="77777777" w:rsidR="00F74E68" w:rsidRPr="000665B0" w:rsidRDefault="00F74E68" w:rsidP="009570CA">
      <w:r w:rsidRPr="000665B0">
        <w:t>Communications DDO Templates are often used to update an existing database, while Media DDO Templates are often used to create an initial database.</w:t>
      </w:r>
    </w:p>
    <w:p w14:paraId="4B5163C6" w14:textId="77777777" w:rsidR="00F74E68" w:rsidRPr="000665B0" w:rsidRDefault="00F74E68" w:rsidP="009570CA">
      <w:r w:rsidRPr="000665B0">
        <w:t>To create a DDO Template:</w:t>
      </w:r>
    </w:p>
    <w:p w14:paraId="0C6D73EE" w14:textId="77777777" w:rsidR="00F74E68" w:rsidRPr="000665B0" w:rsidRDefault="00F74E68" w:rsidP="006D5A65">
      <w:pPr>
        <w:pStyle w:val="Heading1"/>
      </w:pPr>
      <w:r w:rsidRPr="000665B0">
        <w:t xml:space="preserve">Navigate to the </w:t>
      </w:r>
      <w:r w:rsidRPr="000665B0">
        <w:rPr>
          <w:bCs/>
        </w:rPr>
        <w:t>DDO Templates</w:t>
      </w:r>
      <w:r w:rsidRPr="000665B0">
        <w:t xml:space="preserve"> Tool.</w:t>
      </w:r>
    </w:p>
    <w:p w14:paraId="5E05327F" w14:textId="7E138AB3" w:rsidR="00F74E68" w:rsidRPr="000665B0" w:rsidRDefault="00F74E68" w:rsidP="006D5A65">
      <w:pPr>
        <w:pStyle w:val="Heading1"/>
      </w:pPr>
      <w:r w:rsidRPr="000665B0">
        <w:t>From the File menu select New…</w:t>
      </w:r>
      <w:r w:rsidR="004928AF" w:rsidRPr="000665B0">
        <w:t>,</w:t>
      </w:r>
      <w:r w:rsidRPr="000665B0">
        <w:t xml:space="preserve"> click on the New </w:t>
      </w:r>
      <w:r w:rsidRPr="000665B0">
        <w:rPr>
          <w:noProof/>
        </w:rPr>
        <w:drawing>
          <wp:inline distT="0" distB="0" distL="0" distR="0" wp14:anchorId="334A7426" wp14:editId="6D88B62F">
            <wp:extent cx="152400" cy="152400"/>
            <wp:effectExtent l="0" t="0" r="0" b="0"/>
            <wp:docPr id="944" name="Picture 944" descr="Description: 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Description: 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in the tool bar</w:t>
      </w:r>
      <w:r w:rsidR="004928AF" w:rsidRPr="000665B0">
        <w:rPr>
          <w:szCs w:val="24"/>
        </w:rPr>
        <w:t xml:space="preserve">, or </w:t>
      </w:r>
      <w:r w:rsidR="004928AF" w:rsidRPr="000665B0">
        <w:rPr>
          <w:noProof/>
          <w:szCs w:val="24"/>
        </w:rPr>
        <w:t xml:space="preserve">invoke the context menu (right-click the mouse) </w:t>
      </w:r>
      <w:r w:rsidR="004928AF" w:rsidRPr="000665B0">
        <w:rPr>
          <w:noProof/>
          <w:szCs w:val="24"/>
        </w:rPr>
        <w:lastRenderedPageBreak/>
        <w:t>and select New…</w:t>
      </w:r>
      <w:r w:rsidRPr="000665B0">
        <w:t xml:space="preserve">. A new </w:t>
      </w:r>
      <w:r w:rsidRPr="000665B0">
        <w:rPr>
          <w:i/>
        </w:rPr>
        <w:t>DDO Template</w:t>
      </w:r>
      <w:r w:rsidRPr="000665B0">
        <w:t xml:space="preserve"> window is displayed.</w:t>
      </w:r>
      <w:r w:rsidR="00285315" w:rsidRPr="000665B0">
        <w:t xml:space="preserve"> By default, the new DDO is a Comms DDO.</w:t>
      </w:r>
    </w:p>
    <w:p w14:paraId="0F03EB4C" w14:textId="2EBBDEDE" w:rsidR="00A21549" w:rsidRPr="00A21549" w:rsidRDefault="00154CA4" w:rsidP="00AA05F2">
      <w:pPr>
        <w:jc w:val="center"/>
        <w:rPr>
          <w:szCs w:val="24"/>
        </w:rPr>
      </w:pPr>
      <w:r>
        <w:rPr>
          <w:noProof/>
        </w:rPr>
        <w:drawing>
          <wp:inline distT="0" distB="0" distL="0" distR="0" wp14:anchorId="4EA1548B" wp14:editId="7A514CE3">
            <wp:extent cx="3449171" cy="3086100"/>
            <wp:effectExtent l="0" t="0" r="0" b="0"/>
            <wp:docPr id="1045367669" name="Picture 3"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67669" name="Picture 3" descr="Graphical user interface, text, application, email&#10;&#10;AI-generated content may be incorrect."/>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3453401" cy="3089885"/>
                    </a:xfrm>
                    <a:prstGeom prst="rect">
                      <a:avLst/>
                    </a:prstGeom>
                    <a:noFill/>
                    <a:ln>
                      <a:noFill/>
                    </a:ln>
                  </pic:spPr>
                </pic:pic>
              </a:graphicData>
            </a:graphic>
          </wp:inline>
        </w:drawing>
      </w:r>
    </w:p>
    <w:p w14:paraId="669F866B" w14:textId="77777777" w:rsidR="00D94211" w:rsidRDefault="00D94211" w:rsidP="006D5A65">
      <w:pPr>
        <w:pStyle w:val="Heading1"/>
      </w:pPr>
      <w:r>
        <w:t>Ensure the Comms radio button is selected for a distribution mode.</w:t>
      </w:r>
    </w:p>
    <w:p w14:paraId="2AFC9B86" w14:textId="77777777" w:rsidR="00F74E68" w:rsidRPr="000665B0" w:rsidRDefault="00F74E68" w:rsidP="006D5A65">
      <w:pPr>
        <w:pStyle w:val="Heading1"/>
      </w:pPr>
      <w:r w:rsidRPr="000665B0">
        <w:t>Click the To button to display the Address Book.</w:t>
      </w:r>
    </w:p>
    <w:p w14:paraId="73FE1835" w14:textId="77777777" w:rsidR="00017FEF" w:rsidRDefault="008E4C76" w:rsidP="009570CA">
      <w:pPr>
        <w:jc w:val="center"/>
        <w:rPr>
          <w:rStyle w:val="CommentReference"/>
        </w:rPr>
      </w:pPr>
      <w:r>
        <w:rPr>
          <w:noProof/>
        </w:rPr>
        <w:drawing>
          <wp:inline distT="0" distB="0" distL="0" distR="0" wp14:anchorId="4CD5E331" wp14:editId="55FFE27A">
            <wp:extent cx="3657600" cy="1938528"/>
            <wp:effectExtent l="0" t="0" r="0" b="0"/>
            <wp:docPr id="1257962538" name="Picture 125796253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a:stretch>
                      <a:fillRect/>
                    </a:stretch>
                  </pic:blipFill>
                  <pic:spPr>
                    <a:xfrm>
                      <a:off x="0" y="0"/>
                      <a:ext cx="3657600" cy="1938528"/>
                    </a:xfrm>
                    <a:prstGeom prst="rect">
                      <a:avLst/>
                    </a:prstGeom>
                  </pic:spPr>
                </pic:pic>
              </a:graphicData>
            </a:graphic>
          </wp:inline>
        </w:drawing>
      </w:r>
    </w:p>
    <w:p w14:paraId="3A1C4C6D" w14:textId="5511BFBF" w:rsidR="00F74E68" w:rsidRPr="000665B0" w:rsidRDefault="00F74E68" w:rsidP="006D5A65">
      <w:pPr>
        <w:pStyle w:val="Heading1"/>
      </w:pPr>
      <w:r w:rsidRPr="000665B0">
        <w:t>Select the appropriate recipient(s) in the left column of the Address Book and then click To</w:t>
      </w:r>
      <w:r w:rsidR="006A0D2B" w:rsidRPr="000665B0">
        <w:t>-&gt;</w:t>
      </w:r>
      <w:r w:rsidRPr="000665B0">
        <w:t xml:space="preserve"> in the middle of the window to move the selected recipient(s) to the right column. Click OK when complete.</w:t>
      </w:r>
    </w:p>
    <w:p w14:paraId="5FDEAD11" w14:textId="577F6466" w:rsidR="00682A8B" w:rsidRPr="000665B0" w:rsidRDefault="00682A8B" w:rsidP="006D5A65">
      <w:pPr>
        <w:pStyle w:val="Heading1"/>
      </w:pPr>
      <w:r w:rsidRPr="000665B0">
        <w:t xml:space="preserve">A new group can be created for </w:t>
      </w:r>
      <w:r w:rsidR="00F30B2F" w:rsidRPr="000665B0">
        <w:t>recipients</w:t>
      </w:r>
      <w:r w:rsidRPr="000665B0">
        <w:t xml:space="preserve"> that are commonly grouped together (see</w:t>
      </w:r>
      <w:r w:rsidR="00C93AE5">
        <w:rPr>
          <w:rStyle w:val="Hyperlink"/>
        </w:rPr>
        <w:t xml:space="preserve"> </w:t>
      </w:r>
      <w:hyperlink w:anchor="_5.21.2.2__Create" w:history="1">
        <w:r w:rsidR="00C93AE5" w:rsidRPr="00C93AE5">
          <w:rPr>
            <w:rStyle w:val="Hyperlink"/>
          </w:rPr>
          <w:t xml:space="preserve">Section </w:t>
        </w:r>
        <w:r w:rsidR="004231CC">
          <w:rPr>
            <w:rStyle w:val="Hyperlink"/>
          </w:rPr>
          <w:t>5.16</w:t>
        </w:r>
        <w:r w:rsidR="00C93AE5" w:rsidRPr="00C93AE5">
          <w:rPr>
            <w:rStyle w:val="Hyperlink"/>
          </w:rPr>
          <w:t>.3.1.1</w:t>
        </w:r>
      </w:hyperlink>
      <w:r w:rsidRPr="000665B0">
        <w:t xml:space="preserve">). A new group may also be created </w:t>
      </w:r>
      <w:r w:rsidR="00FE073C" w:rsidRPr="000665B0">
        <w:t xml:space="preserve">that is </w:t>
      </w:r>
      <w:r w:rsidRPr="000665B0">
        <w:t xml:space="preserve">based on an existing group </w:t>
      </w:r>
      <w:r w:rsidR="00B2007D" w:rsidRPr="000665B0">
        <w:t xml:space="preserve">or a group can </w:t>
      </w:r>
      <w:r w:rsidR="00B2007D" w:rsidRPr="000665B0">
        <w:lastRenderedPageBreak/>
        <w:t>be renamed (see</w:t>
      </w:r>
      <w:r w:rsidR="003166D5">
        <w:t xml:space="preserve"> </w:t>
      </w:r>
      <w:hyperlink w:anchor="_5.21.2.2__Create" w:history="1">
        <w:r w:rsidR="0028378C" w:rsidRPr="0028378C">
          <w:rPr>
            <w:rStyle w:val="Hyperlink"/>
          </w:rPr>
          <w:t xml:space="preserve">Section </w:t>
        </w:r>
        <w:r w:rsidR="004231CC">
          <w:rPr>
            <w:rStyle w:val="Hyperlink"/>
          </w:rPr>
          <w:t>5.16</w:t>
        </w:r>
        <w:r w:rsidR="0028378C" w:rsidRPr="0028378C">
          <w:rPr>
            <w:rStyle w:val="Hyperlink"/>
          </w:rPr>
          <w:t>.3.1.1</w:t>
        </w:r>
      </w:hyperlink>
      <w:r w:rsidR="00B2007D" w:rsidRPr="000665B0">
        <w:t>). A grou</w:t>
      </w:r>
      <w:r w:rsidRPr="000665B0">
        <w:t>p can also be deleted (see</w:t>
      </w:r>
      <w:r w:rsidR="0028378C">
        <w:t xml:space="preserve"> </w:t>
      </w:r>
      <w:hyperlink w:anchor="_Delete_Group" w:history="1">
        <w:r w:rsidR="006B5370" w:rsidRPr="006B5370">
          <w:rPr>
            <w:rStyle w:val="Hyperlink"/>
          </w:rPr>
          <w:t xml:space="preserve">Section </w:t>
        </w:r>
        <w:r w:rsidR="004231CC">
          <w:rPr>
            <w:rStyle w:val="Hyperlink"/>
          </w:rPr>
          <w:t>5.16</w:t>
        </w:r>
        <w:r w:rsidR="006B5370" w:rsidRPr="006B5370">
          <w:rPr>
            <w:rStyle w:val="Hyperlink"/>
          </w:rPr>
          <w:t>.3.1.2</w:t>
        </w:r>
      </w:hyperlink>
      <w:r w:rsidRPr="000665B0">
        <w:t>).</w:t>
      </w:r>
    </w:p>
    <w:p w14:paraId="6AACB541" w14:textId="77777777" w:rsidR="00F74E68" w:rsidRPr="000665B0" w:rsidRDefault="00F74E68" w:rsidP="006D5A65">
      <w:pPr>
        <w:pStyle w:val="Heading1"/>
      </w:pPr>
      <w:r w:rsidRPr="000665B0">
        <w:t>Enter an Objective for the message (optional).</w:t>
      </w:r>
    </w:p>
    <w:p w14:paraId="20D7882D" w14:textId="448EF792" w:rsidR="00F74E68" w:rsidRPr="000665B0" w:rsidRDefault="00F74E68" w:rsidP="006D5A65">
      <w:pPr>
        <w:pStyle w:val="Heading1"/>
      </w:pPr>
      <w:r w:rsidRPr="000665B0">
        <w:t>Select the appropriate precedence (Immediate or Flash).</w:t>
      </w:r>
    </w:p>
    <w:p w14:paraId="394A4FC9" w14:textId="77777777" w:rsidR="00F74E68" w:rsidRPr="000665B0" w:rsidRDefault="00F74E68" w:rsidP="006D5A65">
      <w:pPr>
        <w:pStyle w:val="Heading1"/>
      </w:pPr>
      <w:r w:rsidRPr="000665B0">
        <w:t xml:space="preserve">Select the Perform Minimization checkbox if desired. This option compares any Missions, DSMACs, or TERCOMS in the DDO against the recipient’s hard accountability and omits duplicate data. </w:t>
      </w:r>
    </w:p>
    <w:p w14:paraId="72E39946" w14:textId="77777777" w:rsidR="00F74E68" w:rsidRDefault="00F74E68" w:rsidP="006D5A65">
      <w:pPr>
        <w:pStyle w:val="Heading1"/>
      </w:pPr>
      <w:r w:rsidRPr="000665B0">
        <w:t>Select the Override SID checkbox if desired and enter a valid SID number. This takes precedence and supersedes all ADDEE SID numbers.</w:t>
      </w:r>
    </w:p>
    <w:p w14:paraId="6767E984" w14:textId="5C3AFB6E" w:rsidR="00904E11" w:rsidRPr="000665B0" w:rsidRDefault="00904E11" w:rsidP="006D5A65">
      <w:pPr>
        <w:pStyle w:val="Heading1"/>
      </w:pPr>
      <w:r>
        <w:t xml:space="preserve">Select the </w:t>
      </w:r>
      <w:r>
        <w:rPr>
          <w:bCs/>
        </w:rPr>
        <w:t>Force Pull Mode</w:t>
      </w:r>
      <w:r>
        <w:t xml:space="preserve"> checkbox if desired. This option enables the Pull Distribution Capabilities regardless of if the other conditions for Pull Distribution are met.</w:t>
      </w:r>
    </w:p>
    <w:p w14:paraId="207C08AB" w14:textId="77777777" w:rsidR="00F74E68" w:rsidRPr="000665B0" w:rsidRDefault="00F74E68" w:rsidP="006D5A65">
      <w:pPr>
        <w:pStyle w:val="Heading1"/>
      </w:pPr>
      <w:r w:rsidRPr="000665B0">
        <w:t xml:space="preserve">In the Data Distribution Items pane, select the data item(s) to be transmitted in the DDO. </w:t>
      </w:r>
    </w:p>
    <w:p w14:paraId="374F845A" w14:textId="141632C7" w:rsidR="00F74E68" w:rsidRPr="000665B0" w:rsidRDefault="00F74E68" w:rsidP="006D5A65">
      <w:pPr>
        <w:pStyle w:val="Heading1"/>
      </w:pPr>
      <w:r w:rsidRPr="000665B0">
        <w:t xml:space="preserve">Add data items to be transmitted after selecting the appropriate Data tab at the bottom of the window </w:t>
      </w:r>
      <w:r w:rsidRPr="000665B0">
        <w:rPr>
          <w:bCs/>
          <w:color w:val="000000"/>
        </w:rPr>
        <w:t>(i.e., Missions, DSMACs, TERCOMs, etc.)</w:t>
      </w:r>
      <w:r w:rsidRPr="000665B0">
        <w:t>. Right-click in the white area of the DDO Template and select Add…. A selection window specific to the tab that is selected is displayed</w:t>
      </w:r>
      <w:r w:rsidR="006F3AEB" w:rsidRPr="000665B0">
        <w:t>.</w:t>
      </w:r>
    </w:p>
    <w:p w14:paraId="00955195" w14:textId="77777777" w:rsidR="00F74E68" w:rsidRPr="000665B0" w:rsidRDefault="00F74E68" w:rsidP="006D5A65">
      <w:pPr>
        <w:pStyle w:val="Heading1"/>
      </w:pPr>
      <w:r w:rsidRPr="000665B0">
        <w:t xml:space="preserve">Select the desired data item(s). Drag and drop the data item(s) from the window for transfer onto the </w:t>
      </w:r>
      <w:r w:rsidRPr="000665B0">
        <w:rPr>
          <w:i/>
        </w:rPr>
        <w:t>DDO</w:t>
      </w:r>
      <w:r w:rsidRPr="000665B0">
        <w:t xml:space="preserve"> </w:t>
      </w:r>
      <w:r w:rsidRPr="000665B0">
        <w:rPr>
          <w:i/>
        </w:rPr>
        <w:t>Template Data</w:t>
      </w:r>
      <w:r w:rsidRPr="000665B0">
        <w:t xml:space="preserve"> tab.</w:t>
      </w:r>
    </w:p>
    <w:p w14:paraId="7B676F48" w14:textId="77777777" w:rsidR="00F74E68" w:rsidRPr="000665B0" w:rsidRDefault="00F74E68" w:rsidP="009570CA">
      <w:pPr>
        <w:ind w:left="720"/>
      </w:pPr>
      <w:r w:rsidRPr="000665B0">
        <w:t xml:space="preserve">or </w:t>
      </w:r>
    </w:p>
    <w:p w14:paraId="4A25192A" w14:textId="03F0D082" w:rsidR="00F74E68" w:rsidRPr="000665B0" w:rsidRDefault="00F74E68" w:rsidP="006D5A65">
      <w:pPr>
        <w:pStyle w:val="Heading1"/>
      </w:pPr>
      <w:r w:rsidRPr="000665B0">
        <w:t>Select the desired data item(s) and click OK</w:t>
      </w:r>
      <w:r w:rsidR="00225FC6" w:rsidRPr="000665B0">
        <w:t xml:space="preserve"> or Open</w:t>
      </w:r>
      <w:r w:rsidR="006F3AEB" w:rsidRPr="000665B0">
        <w:t>.</w:t>
      </w:r>
    </w:p>
    <w:p w14:paraId="0C4336F4" w14:textId="77777777" w:rsidR="00F74E68" w:rsidRPr="000665B0" w:rsidRDefault="00F74E68" w:rsidP="006D5A65">
      <w:pPr>
        <w:pStyle w:val="Heading1"/>
      </w:pPr>
      <w:r w:rsidRPr="000665B0">
        <w:t xml:space="preserve">Repeat as needed for each Data tab at the bottom of the </w:t>
      </w:r>
      <w:r w:rsidRPr="000665B0">
        <w:rPr>
          <w:i/>
        </w:rPr>
        <w:t>DDO Template</w:t>
      </w:r>
      <w:r w:rsidRPr="000665B0">
        <w:t xml:space="preserve"> window.</w:t>
      </w:r>
    </w:p>
    <w:p w14:paraId="6F29D1FF" w14:textId="0FE88B9C" w:rsidR="00EA766F" w:rsidRPr="000665B0" w:rsidRDefault="00EA766F" w:rsidP="006D5A65">
      <w:pPr>
        <w:pStyle w:val="Heading1"/>
      </w:pPr>
      <w:r w:rsidRPr="000665B0">
        <w:t xml:space="preserve">For the </w:t>
      </w:r>
      <w:r w:rsidRPr="000665B0">
        <w:rPr>
          <w:i/>
        </w:rPr>
        <w:t>Mission</w:t>
      </w:r>
      <w:r w:rsidR="00B71781" w:rsidRPr="000665B0">
        <w:rPr>
          <w:i/>
        </w:rPr>
        <w:t>s</w:t>
      </w:r>
      <w:r w:rsidRPr="000665B0">
        <w:t xml:space="preserve"> tab, </w:t>
      </w:r>
      <w:r w:rsidR="00D76C57" w:rsidRPr="000665B0">
        <w:t>select the desire</w:t>
      </w:r>
      <w:r w:rsidR="00CE15B7" w:rsidRPr="000665B0">
        <w:t>d</w:t>
      </w:r>
      <w:r w:rsidR="00D76C57" w:rsidRPr="000665B0">
        <w:t xml:space="preserve"> TEF information.</w:t>
      </w:r>
    </w:p>
    <w:p w14:paraId="59FB9276" w14:textId="2D221767" w:rsidR="00D76C57" w:rsidRPr="000665B0" w:rsidRDefault="00D76C57" w:rsidP="006D5A65">
      <w:pPr>
        <w:pStyle w:val="Heading1"/>
      </w:pPr>
      <w:r w:rsidRPr="000665B0">
        <w:t xml:space="preserve">Include 109E TEFs: </w:t>
      </w:r>
      <w:r w:rsidR="00CE15B7" w:rsidRPr="000665B0">
        <w:t>Includes 109E TEFs of mission, which are needed when missile redirection from the associated mission is performed during post-launch execution</w:t>
      </w:r>
      <w:r w:rsidRPr="000665B0">
        <w:t>.</w:t>
      </w:r>
    </w:p>
    <w:p w14:paraId="3AE209EE" w14:textId="4D676838" w:rsidR="00D76C57" w:rsidRPr="000665B0" w:rsidRDefault="00D76C57" w:rsidP="006D5A65">
      <w:pPr>
        <w:pStyle w:val="Heading1"/>
      </w:pPr>
      <w:r w:rsidRPr="000665B0">
        <w:t>Include All TEF</w:t>
      </w:r>
      <w:r w:rsidR="004C66F1" w:rsidRPr="000665B0">
        <w:t>s</w:t>
      </w:r>
      <w:r w:rsidRPr="000665B0">
        <w:t>: Includes Blk I</w:t>
      </w:r>
      <w:r w:rsidR="004C66F1" w:rsidRPr="000665B0">
        <w:t>I</w:t>
      </w:r>
      <w:r w:rsidRPr="000665B0">
        <w:t>I and 109E TEFs o</w:t>
      </w:r>
      <w:r w:rsidR="004C66F1" w:rsidRPr="000665B0">
        <w:t>f</w:t>
      </w:r>
      <w:r w:rsidRPr="000665B0">
        <w:t xml:space="preserve"> mission. (This also selects and disables Include 109E TEFs and is reflected in the </w:t>
      </w:r>
      <w:r w:rsidRPr="000665B0">
        <w:rPr>
          <w:i/>
        </w:rPr>
        <w:t>Strike Data</w:t>
      </w:r>
      <w:r w:rsidRPr="000665B0">
        <w:t xml:space="preserve"> tab.)</w:t>
      </w:r>
    </w:p>
    <w:p w14:paraId="18706CEA" w14:textId="055D646F" w:rsidR="004C66F1" w:rsidRPr="001B37FD" w:rsidRDefault="00D76C57" w:rsidP="006D5A65">
      <w:pPr>
        <w:pStyle w:val="Heading2"/>
      </w:pPr>
      <w:r w:rsidRPr="006F46F3">
        <w:t>When sending TEF data to both CMSA/TSMPC and non-</w:t>
      </w:r>
      <w:r w:rsidR="00F37910" w:rsidRPr="006F46F3">
        <w:t>C</w:t>
      </w:r>
      <w:r w:rsidR="00F37910">
        <w:t>MS</w:t>
      </w:r>
      <w:r w:rsidR="00F37910" w:rsidRPr="006F46F3">
        <w:t>A</w:t>
      </w:r>
      <w:r w:rsidRPr="006F46F3">
        <w:t>/TSMPC recipients, it is recommended to create two separate DDOs – one DDO for each type of recipient. A mission’s target data is only required for copying/modifying a mission, not retarget planning.</w:t>
      </w:r>
    </w:p>
    <w:p w14:paraId="72B52710" w14:textId="50875A9C" w:rsidR="004C66F1" w:rsidRPr="000665B0" w:rsidRDefault="004C66F1" w:rsidP="006D5A65">
      <w:pPr>
        <w:pStyle w:val="Heading2"/>
      </w:pPr>
      <w:r w:rsidRPr="000665B0">
        <w:t xml:space="preserve">The TEF format typically changes to match each major TMPC version. When sending TEFs to legacy TMPC systems, distribution automatically sends the correct TEF </w:t>
      </w:r>
      <w:r w:rsidR="00F51646" w:rsidRPr="000665B0">
        <w:t>in the proper legacy format that is readable by</w:t>
      </w:r>
      <w:r w:rsidR="0029441E" w:rsidRPr="000665B0">
        <w:t xml:space="preserve"> the legacy system</w:t>
      </w:r>
      <w:r w:rsidRPr="000665B0">
        <w:t xml:space="preserve">. </w:t>
      </w:r>
      <w:r w:rsidR="00E46643">
        <w:rPr>
          <w:szCs w:val="24"/>
        </w:rPr>
        <w:lastRenderedPageBreak/>
        <w:t>MDS displays up to four TEF formats for each mission to support the corresponding TMPC versions.</w:t>
      </w:r>
      <w:r w:rsidRPr="000665B0">
        <w:rPr>
          <w:snapToGrid w:val="0"/>
        </w:rPr>
        <w:t xml:space="preserve"> </w:t>
      </w:r>
      <w:r w:rsidRPr="000665B0">
        <w:t xml:space="preserve">When a DDO is sent, if distribution determines a specific TEF </w:t>
      </w:r>
      <w:r w:rsidR="00E824AD" w:rsidRPr="000665B0">
        <w:t xml:space="preserve">format </w:t>
      </w:r>
      <w:r w:rsidRPr="000665B0">
        <w:t>is missing, MDS will task TPS to generate the missing TEF</w:t>
      </w:r>
      <w:r w:rsidR="00D861D9" w:rsidRPr="000665B0">
        <w:t xml:space="preserve">. For more information about TEFs and TEF </w:t>
      </w:r>
      <w:r w:rsidR="00E824AD" w:rsidRPr="000665B0">
        <w:t>formats</w:t>
      </w:r>
      <w:r w:rsidR="00D861D9" w:rsidRPr="000665B0">
        <w:t xml:space="preserve">, </w:t>
      </w:r>
      <w:r w:rsidRPr="000665B0">
        <w:t xml:space="preserve">see </w:t>
      </w:r>
      <w:hyperlink w:anchor="_5.6__MISSIONS" w:history="1">
        <w:r w:rsidRPr="000665B0">
          <w:rPr>
            <w:rStyle w:val="Hyperlink"/>
          </w:rPr>
          <w:t>Section 5.5</w:t>
        </w:r>
      </w:hyperlink>
      <w:r w:rsidRPr="000665B0">
        <w:t xml:space="preserve">. For </w:t>
      </w:r>
      <w:r w:rsidR="00D861D9" w:rsidRPr="000665B0">
        <w:t>more</w:t>
      </w:r>
      <w:r w:rsidRPr="000665B0">
        <w:t xml:space="preserve"> information about sending TEFs to legacy TMPC systems, see </w:t>
      </w:r>
      <w:hyperlink w:anchor="_appendix_K_" w:history="1">
        <w:r w:rsidRPr="000665B0">
          <w:rPr>
            <w:rStyle w:val="Hyperlink"/>
          </w:rPr>
          <w:t>Appendix K</w:t>
        </w:r>
      </w:hyperlink>
      <w:r w:rsidRPr="000665B0">
        <w:t>.</w:t>
      </w:r>
    </w:p>
    <w:p w14:paraId="099FE830" w14:textId="0F0C8A7F" w:rsidR="00126D2F" w:rsidRPr="000665B0" w:rsidRDefault="00670E4D" w:rsidP="006D5A65">
      <w:pPr>
        <w:pStyle w:val="Heading1"/>
      </w:pPr>
      <w:r w:rsidRPr="000665B0">
        <w:t xml:space="preserve">For the </w:t>
      </w:r>
      <w:r w:rsidRPr="000665B0">
        <w:rPr>
          <w:i/>
        </w:rPr>
        <w:t xml:space="preserve">TMPRs </w:t>
      </w:r>
      <w:r w:rsidRPr="000665B0">
        <w:t>tab, select desired information for TMPR Data Information</w:t>
      </w:r>
      <w:r w:rsidR="00126D2F" w:rsidRPr="000665B0">
        <w:t>. Select Include All Associated TMPR Data or any combination of the individual TMPR Data types (ACMSs, Missions, 109E TEFs, or All TEFs) if so desired.</w:t>
      </w:r>
      <w:r w:rsidR="006B6F7E" w:rsidRPr="000665B0">
        <w:t xml:space="preserve"> Selecting Include All Associated TMPR Data includes all of the data listed below it.</w:t>
      </w:r>
    </w:p>
    <w:p w14:paraId="569B4018" w14:textId="0AC45BD3" w:rsidR="00A04AC5" w:rsidRPr="000665B0" w:rsidRDefault="00205A61" w:rsidP="009570CA">
      <w:pPr>
        <w:pStyle w:val="Number0205"/>
        <w:ind w:left="0" w:firstLine="0"/>
        <w:jc w:val="center"/>
      </w:pPr>
      <w:r w:rsidRPr="000665B0">
        <w:rPr>
          <w:noProof/>
        </w:rPr>
        <w:drawing>
          <wp:inline distT="0" distB="0" distL="0" distR="0" wp14:anchorId="6D74B8DF" wp14:editId="616E53E7">
            <wp:extent cx="3657600" cy="685800"/>
            <wp:effectExtent l="0" t="0" r="0" b="0"/>
            <wp:docPr id="2086" name="Picture 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685800"/>
                    </a:xfrm>
                    <a:prstGeom prst="rect">
                      <a:avLst/>
                    </a:prstGeom>
                  </pic:spPr>
                </pic:pic>
              </a:graphicData>
            </a:graphic>
          </wp:inline>
        </w:drawing>
      </w:r>
    </w:p>
    <w:p w14:paraId="5C5C1B8F" w14:textId="61CC130F" w:rsidR="00D861D9" w:rsidRPr="000665B0" w:rsidRDefault="00D861D9" w:rsidP="006D5A65">
      <w:pPr>
        <w:pStyle w:val="Heading1"/>
      </w:pPr>
      <w:r w:rsidRPr="000665B0">
        <w:t>109E TEFs: Includes 109E TEFs of mission, which are needed when missile redirection from the associated mission is performed during post-launch execution.</w:t>
      </w:r>
    </w:p>
    <w:p w14:paraId="549A2386" w14:textId="6D04157E" w:rsidR="00D861D9" w:rsidRPr="000665B0" w:rsidRDefault="00D861D9" w:rsidP="006D5A65">
      <w:pPr>
        <w:pStyle w:val="Heading1"/>
      </w:pPr>
      <w:r w:rsidRPr="000665B0">
        <w:t xml:space="preserve">All TEFs: Includes Blk III and 109E TEFs of mission. (This also selects and disables Include 109E TEFs and is reflected in the </w:t>
      </w:r>
      <w:r w:rsidRPr="000665B0">
        <w:rPr>
          <w:i/>
        </w:rPr>
        <w:t>Strike Data</w:t>
      </w:r>
      <w:r w:rsidRPr="000665B0">
        <w:t xml:space="preserve"> tab.)</w:t>
      </w:r>
    </w:p>
    <w:p w14:paraId="0FDFFFF3" w14:textId="5577FC95" w:rsidR="00BC7B51" w:rsidRPr="000665B0" w:rsidRDefault="00BC7B51" w:rsidP="006D5A65">
      <w:pPr>
        <w:pStyle w:val="Heading2"/>
      </w:pPr>
      <w:r w:rsidRPr="000665B0">
        <w:t>When sending TEF data to both CMSA/TSMPC and non-</w:t>
      </w:r>
      <w:r w:rsidR="00F37910" w:rsidRPr="000665B0">
        <w:t>C</w:t>
      </w:r>
      <w:r w:rsidR="00F37910">
        <w:t>MS</w:t>
      </w:r>
      <w:r w:rsidR="00F37910" w:rsidRPr="000665B0">
        <w:t>A</w:t>
      </w:r>
      <w:r w:rsidRPr="000665B0">
        <w:t>/TSMPC recipients, it is recommended to create two separate DDOs – one DDO for each type of recipient. A mission’s target data is only required for copying/modifying a mission, not retarget planning.</w:t>
      </w:r>
    </w:p>
    <w:p w14:paraId="331BE4E4" w14:textId="22FE2CBE" w:rsidR="00D861D9" w:rsidRDefault="00D861D9" w:rsidP="006D5A65">
      <w:pPr>
        <w:pStyle w:val="Heading2"/>
      </w:pPr>
      <w:r w:rsidRPr="000665B0">
        <w:t xml:space="preserve">The TEF format typically changes to match each major TMPC version. When sending TEFs to legacy TMPC systems, distribution automatically sends the correct TEF in the proper legacy format that is readable by the legacy system. </w:t>
      </w:r>
      <w:bookmarkStart w:id="4484" w:name="_Hlk147491377"/>
      <w:r w:rsidR="00E46643">
        <w:rPr>
          <w:szCs w:val="24"/>
        </w:rPr>
        <w:t>MDS displays up to four TEF formats for each mission to support the corresponding TMPC versions.</w:t>
      </w:r>
      <w:bookmarkEnd w:id="4484"/>
      <w:r w:rsidRPr="000665B0">
        <w:rPr>
          <w:snapToGrid w:val="0"/>
        </w:rPr>
        <w:t xml:space="preserve"> </w:t>
      </w:r>
      <w:r w:rsidRPr="000665B0">
        <w:t xml:space="preserve">When a DDO is sent, if distribution determines a specific TEF </w:t>
      </w:r>
      <w:r w:rsidR="00E824AD" w:rsidRPr="000665B0">
        <w:t xml:space="preserve">format </w:t>
      </w:r>
      <w:r w:rsidRPr="000665B0">
        <w:t xml:space="preserve">is missing, MDS will task TPS to generate the missing TEF. For more information about TEFs and TEF </w:t>
      </w:r>
      <w:r w:rsidR="00E824AD" w:rsidRPr="000665B0">
        <w:t>formats</w:t>
      </w:r>
      <w:r w:rsidRPr="000665B0">
        <w:t xml:space="preserve">, see </w:t>
      </w:r>
      <w:hyperlink w:anchor="_5.6__MISSIONS" w:history="1">
        <w:r w:rsidRPr="000665B0">
          <w:rPr>
            <w:rStyle w:val="Hyperlink"/>
          </w:rPr>
          <w:t>Section 5.5</w:t>
        </w:r>
      </w:hyperlink>
      <w:r w:rsidRPr="000665B0">
        <w:t xml:space="preserve">. For more information about sending TEFs to legacy TMPC systems, see </w:t>
      </w:r>
      <w:hyperlink w:anchor="_appendix_K_" w:history="1">
        <w:r w:rsidRPr="000665B0">
          <w:rPr>
            <w:rStyle w:val="Hyperlink"/>
          </w:rPr>
          <w:t>Appendix K</w:t>
        </w:r>
      </w:hyperlink>
      <w:r w:rsidRPr="000665B0">
        <w:t>.</w:t>
      </w:r>
    </w:p>
    <w:p w14:paraId="4EBA9F42" w14:textId="31A6AE21" w:rsidR="00EE1AF6" w:rsidRPr="00BF23CF" w:rsidRDefault="00EE1AF6" w:rsidP="006D5A65">
      <w:pPr>
        <w:pStyle w:val="Heading1"/>
      </w:pPr>
      <w:r w:rsidRPr="00BF23CF">
        <w:t xml:space="preserve">When </w:t>
      </w:r>
      <w:r w:rsidR="00BF23CF" w:rsidRPr="00BF23CF">
        <w:t xml:space="preserve">the </w:t>
      </w:r>
      <w:r w:rsidRPr="00BF23CF">
        <w:t>“Include Associated Omni-DSMACs” preference is checked, only destination nodes that are planning organization</w:t>
      </w:r>
      <w:r w:rsidR="00BF23CF" w:rsidRPr="00BF23CF">
        <w:t>s</w:t>
      </w:r>
      <w:r w:rsidRPr="00BF23CF">
        <w:t xml:space="preserve"> will receive the binary ODS, associated with the missions that are added to the Mission tab. ODS IDs associated </w:t>
      </w:r>
      <w:r w:rsidRPr="00BF23CF">
        <w:lastRenderedPageBreak/>
        <w:t xml:space="preserve">with each mission can be viewed in the Mission tab. </w:t>
      </w:r>
      <w:r w:rsidR="00BF23CF">
        <w:t>The c</w:t>
      </w:r>
      <w:r w:rsidRPr="00BF23CF">
        <w:t>olumn name is “OMNI-DSMAC IDs” and is the second to the far right column by default.</w:t>
      </w:r>
    </w:p>
    <w:p w14:paraId="1CF6BD93" w14:textId="62D96564" w:rsidR="00F74E68" w:rsidRPr="000665B0" w:rsidRDefault="00F74E68" w:rsidP="006D5A65">
      <w:pPr>
        <w:pStyle w:val="Heading1"/>
      </w:pPr>
      <w:r w:rsidRPr="000665B0">
        <w:t xml:space="preserve">For the </w:t>
      </w:r>
      <w:r w:rsidRPr="000665B0">
        <w:rPr>
          <w:i/>
        </w:rPr>
        <w:t>Strike Data</w:t>
      </w:r>
      <w:r w:rsidRPr="000665B0">
        <w:t xml:space="preserve"> tab, the following associated strike data can be included in the DDO by selecting the appropriate checkbox.</w:t>
      </w:r>
      <w:r w:rsidR="00350382" w:rsidRPr="000665B0">
        <w:t xml:space="preserve"> Selecting Include All Strike Data includes all of the data listed.</w:t>
      </w:r>
    </w:p>
    <w:p w14:paraId="40D3769C" w14:textId="43895152" w:rsidR="00F74E68" w:rsidRPr="000665B0" w:rsidRDefault="00C06CDF" w:rsidP="009570CA">
      <w:pPr>
        <w:jc w:val="center"/>
      </w:pPr>
      <w:r w:rsidRPr="000665B0">
        <w:rPr>
          <w:noProof/>
        </w:rPr>
        <w:drawing>
          <wp:inline distT="0" distB="0" distL="0" distR="0" wp14:anchorId="7B9C9175" wp14:editId="6E8BC5DD">
            <wp:extent cx="4572000" cy="685800"/>
            <wp:effectExtent l="0" t="0" r="0" b="0"/>
            <wp:docPr id="1426" name="Picture 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685800"/>
                    </a:xfrm>
                    <a:prstGeom prst="rect">
                      <a:avLst/>
                    </a:prstGeom>
                  </pic:spPr>
                </pic:pic>
              </a:graphicData>
            </a:graphic>
          </wp:inline>
        </w:drawing>
      </w:r>
    </w:p>
    <w:p w14:paraId="15A1789A" w14:textId="77777777" w:rsidR="00A3601E" w:rsidRPr="000665B0" w:rsidRDefault="00A3601E" w:rsidP="00BB4EBE">
      <w:pPr>
        <w:keepNext/>
        <w:keepLines/>
        <w:pBdr>
          <w:top w:val="single" w:sz="12" w:space="1" w:color="auto"/>
          <w:left w:val="single" w:sz="12" w:space="3" w:color="auto"/>
          <w:bottom w:val="single" w:sz="12" w:space="1" w:color="auto"/>
          <w:right w:val="single" w:sz="12" w:space="4" w:color="auto"/>
        </w:pBdr>
        <w:shd w:val="clear" w:color="auto" w:fill="D9D9D9"/>
        <w:spacing w:after="0"/>
        <w:ind w:left="86"/>
        <w:jc w:val="center"/>
        <w:rPr>
          <w:b/>
        </w:rPr>
      </w:pPr>
      <w:r w:rsidRPr="000665B0">
        <w:rPr>
          <w:b/>
        </w:rPr>
        <w:t xml:space="preserve">Note: </w:t>
      </w:r>
    </w:p>
    <w:p w14:paraId="59CBAB3D" w14:textId="4D316017" w:rsidR="00A3601E" w:rsidRPr="000665B0" w:rsidRDefault="00A3601E" w:rsidP="00A0163E">
      <w:pPr>
        <w:keepNext/>
        <w:keepLines/>
        <w:pBdr>
          <w:top w:val="single" w:sz="12" w:space="1" w:color="auto"/>
          <w:left w:val="single" w:sz="12" w:space="3" w:color="auto"/>
          <w:bottom w:val="single" w:sz="12" w:space="1" w:color="auto"/>
          <w:right w:val="single" w:sz="12" w:space="4" w:color="auto"/>
        </w:pBdr>
        <w:shd w:val="clear" w:color="auto" w:fill="D9D9D9"/>
        <w:ind w:left="86"/>
        <w:jc w:val="center"/>
        <w:rPr>
          <w:b/>
        </w:rPr>
      </w:pPr>
      <w:r w:rsidRPr="000665B0">
        <w:rPr>
          <w:b/>
        </w:rPr>
        <w:t xml:space="preserve">DDOs addressed to a TTWCS 5.6+ node cannot contain any Overlays; </w:t>
      </w:r>
      <w:r w:rsidR="0012436A" w:rsidRPr="000665B0">
        <w:rPr>
          <w:b/>
        </w:rPr>
        <w:t>otherwise,</w:t>
      </w:r>
      <w:r w:rsidRPr="000665B0">
        <w:rPr>
          <w:b/>
        </w:rPr>
        <w:t xml:space="preserve"> the DDO and all other associated data will fail to send. If there is an Overlay in the strike’s Resources tab, select each individual checkbox in the </w:t>
      </w:r>
      <w:r w:rsidR="0009055F" w:rsidRPr="000665B0">
        <w:rPr>
          <w:b/>
        </w:rPr>
        <w:t>“</w:t>
      </w:r>
      <w:r w:rsidRPr="000665B0">
        <w:rPr>
          <w:b/>
        </w:rPr>
        <w:t>Strike Data</w:t>
      </w:r>
      <w:r w:rsidR="0009055F" w:rsidRPr="000665B0">
        <w:rPr>
          <w:b/>
        </w:rPr>
        <w:t>”</w:t>
      </w:r>
      <w:r w:rsidRPr="000665B0">
        <w:rPr>
          <w:b/>
        </w:rPr>
        <w:t xml:space="preserve"> pane (do not select the “Include All Strike Data” or the “Overlays” checkbox).</w:t>
      </w:r>
    </w:p>
    <w:p w14:paraId="672D7E33" w14:textId="77777777" w:rsidR="00F74E68" w:rsidRPr="000665B0" w:rsidRDefault="00F74E68" w:rsidP="006D5A65">
      <w:pPr>
        <w:pStyle w:val="Heading1"/>
      </w:pPr>
      <w:r w:rsidRPr="000665B0">
        <w:t>ACMSs: Includes the ACMSs from the strike folder’s geographic resources, the strike option’s geographic resources, and the strike option’s use rates.</w:t>
      </w:r>
    </w:p>
    <w:p w14:paraId="574F49AF" w14:textId="4859CC37" w:rsidR="00F74E68" w:rsidRPr="000665B0" w:rsidRDefault="00F74E68" w:rsidP="006D5A65">
      <w:pPr>
        <w:pStyle w:val="Heading1"/>
      </w:pPr>
      <w:r w:rsidRPr="000665B0">
        <w:t xml:space="preserve">Crypto: Includes both the COMSEC and TRANSEC crypto </w:t>
      </w:r>
      <w:r w:rsidR="00CE0C0F" w:rsidRPr="000665B0">
        <w:t xml:space="preserve">for DAMA and ACA (if applicable) </w:t>
      </w:r>
      <w:r w:rsidRPr="000665B0">
        <w:t xml:space="preserve">from the strike option’s </w:t>
      </w:r>
      <w:r w:rsidRPr="000665B0">
        <w:rPr>
          <w:i/>
        </w:rPr>
        <w:t>TSN Comms</w:t>
      </w:r>
      <w:r w:rsidRPr="000665B0">
        <w:t xml:space="preserve"> tab.</w:t>
      </w:r>
    </w:p>
    <w:p w14:paraId="17CAB2A4" w14:textId="77777777" w:rsidR="00F74E68" w:rsidRPr="000665B0" w:rsidRDefault="00F74E68" w:rsidP="006D5A65">
      <w:pPr>
        <w:pStyle w:val="Heading1"/>
      </w:pPr>
      <w:r w:rsidRPr="000665B0">
        <w:t xml:space="preserve">Mission Libraries: Includes the mission libraries referenced by the strike folder’s candidate matrix and the strike option’s </w:t>
      </w:r>
      <w:r w:rsidRPr="000665B0">
        <w:rPr>
          <w:i/>
        </w:rPr>
        <w:t>Missions</w:t>
      </w:r>
      <w:r w:rsidRPr="000665B0">
        <w:t xml:space="preserve"> tab.</w:t>
      </w:r>
    </w:p>
    <w:p w14:paraId="5633FEEA" w14:textId="77777777" w:rsidR="00F74E68" w:rsidRPr="000665B0" w:rsidRDefault="00F74E68" w:rsidP="006D5A65">
      <w:pPr>
        <w:pStyle w:val="Heading1"/>
      </w:pPr>
      <w:r w:rsidRPr="000665B0">
        <w:t>Missions: Includes the missions referenced by the strike option. TERCOMs and DSMACs in the strike option’s use rates are also included.</w:t>
      </w:r>
    </w:p>
    <w:p w14:paraId="3BF9A3E3" w14:textId="6A160919" w:rsidR="00350382" w:rsidRPr="000665B0" w:rsidRDefault="00A32621" w:rsidP="006D5A65">
      <w:pPr>
        <w:pStyle w:val="Heading1"/>
      </w:pPr>
      <w:r w:rsidRPr="000665B0">
        <w:t>109E</w:t>
      </w:r>
      <w:r w:rsidR="00350382" w:rsidRPr="000665B0">
        <w:t xml:space="preserve"> TEFs:</w:t>
      </w:r>
      <w:r w:rsidR="00752875" w:rsidRPr="000665B0">
        <w:t xml:space="preserve"> Includes </w:t>
      </w:r>
      <w:r w:rsidR="00BD7836" w:rsidRPr="000665B0">
        <w:t>109E</w:t>
      </w:r>
      <w:r w:rsidR="00752875" w:rsidRPr="000665B0">
        <w:t xml:space="preserve"> TEFs of mission, which are needed when missile redirection from the associated mission is performed during post-launch execution.</w:t>
      </w:r>
    </w:p>
    <w:p w14:paraId="1F09EE33" w14:textId="5B34FBA6" w:rsidR="00350382" w:rsidRPr="000665B0" w:rsidRDefault="00350382" w:rsidP="006D5A65">
      <w:pPr>
        <w:pStyle w:val="Heading1"/>
      </w:pPr>
      <w:r w:rsidRPr="000665B0">
        <w:t xml:space="preserve">All TEFs: </w:t>
      </w:r>
      <w:r w:rsidR="00752875" w:rsidRPr="000665B0">
        <w:t xml:space="preserve">Includes Blk III and </w:t>
      </w:r>
      <w:r w:rsidR="00EC533C" w:rsidRPr="000665B0">
        <w:t>109E</w:t>
      </w:r>
      <w:r w:rsidR="00752875" w:rsidRPr="000665B0">
        <w:t xml:space="preserve"> TEFs of mission.</w:t>
      </w:r>
    </w:p>
    <w:p w14:paraId="502DC8F5" w14:textId="53A6401C" w:rsidR="00BC7B51" w:rsidRPr="000665B0" w:rsidRDefault="00BC7B51" w:rsidP="006D5A65">
      <w:pPr>
        <w:pStyle w:val="Heading2"/>
      </w:pPr>
      <w:r w:rsidRPr="000665B0">
        <w:t>When sending TEF data to both CMSA/TSMPC and non-</w:t>
      </w:r>
      <w:r w:rsidR="00F37910" w:rsidRPr="000665B0">
        <w:t>C</w:t>
      </w:r>
      <w:r w:rsidR="00F37910">
        <w:t>MS</w:t>
      </w:r>
      <w:r w:rsidR="00F37910" w:rsidRPr="000665B0">
        <w:t>A</w:t>
      </w:r>
      <w:r w:rsidRPr="000665B0">
        <w:t>/TSMPC recipients, it is recommended to create two separate DDOs – one DDO for each type of recipient. A mission’s target data is only required for copying/modifying a mission, not retarget planning.</w:t>
      </w:r>
    </w:p>
    <w:p w14:paraId="209A00E4" w14:textId="207F5723" w:rsidR="00974780" w:rsidRDefault="00DC38FB" w:rsidP="006D5A65">
      <w:pPr>
        <w:pStyle w:val="Heading2"/>
      </w:pPr>
      <w:r w:rsidRPr="000665B0">
        <w:t xml:space="preserve">The TEF format typically changes to match each major TMPC version. When sending TEFs to legacy TMPC systems, distribution automatically sends the correct TEF in the proper legacy format that is readable by the legacy system. </w:t>
      </w:r>
      <w:r w:rsidR="00E46643">
        <w:rPr>
          <w:szCs w:val="24"/>
        </w:rPr>
        <w:t>MDS displays up to four TEF formats for each mission to support the corresponding TMPC versions.</w:t>
      </w:r>
      <w:r w:rsidRPr="000665B0">
        <w:rPr>
          <w:snapToGrid w:val="0"/>
        </w:rPr>
        <w:t xml:space="preserve"> </w:t>
      </w:r>
      <w:r w:rsidRPr="000665B0">
        <w:t xml:space="preserve">When a DDO is sent, </w:t>
      </w:r>
      <w:r w:rsidRPr="000665B0">
        <w:lastRenderedPageBreak/>
        <w:t xml:space="preserve">if distribution determines a specific TEF </w:t>
      </w:r>
      <w:r w:rsidR="00E824AD" w:rsidRPr="000665B0">
        <w:t xml:space="preserve">format </w:t>
      </w:r>
      <w:r w:rsidRPr="000665B0">
        <w:t xml:space="preserve">is missing, MDS will task TPS to generate the missing TEF. For more information about TEFs and TEF </w:t>
      </w:r>
      <w:r w:rsidR="00E824AD" w:rsidRPr="000665B0">
        <w:t>formats</w:t>
      </w:r>
      <w:r w:rsidRPr="000665B0">
        <w:t xml:space="preserve">, see </w:t>
      </w:r>
      <w:hyperlink w:anchor="_5.6__MISSIONS" w:history="1">
        <w:r w:rsidRPr="000665B0">
          <w:rPr>
            <w:rStyle w:val="Hyperlink"/>
          </w:rPr>
          <w:t>Section 5.5</w:t>
        </w:r>
      </w:hyperlink>
      <w:r w:rsidRPr="000665B0">
        <w:t xml:space="preserve">. For more information about sending TEFs to legacy TMPC systems, see </w:t>
      </w:r>
      <w:hyperlink w:anchor="_appendix_K_" w:history="1">
        <w:r w:rsidRPr="000665B0">
          <w:rPr>
            <w:rStyle w:val="Hyperlink"/>
          </w:rPr>
          <w:t>Appendix K</w:t>
        </w:r>
      </w:hyperlink>
      <w:r w:rsidRPr="000665B0">
        <w:t>.</w:t>
      </w:r>
    </w:p>
    <w:p w14:paraId="4F20F12F" w14:textId="77777777" w:rsidR="00974780" w:rsidRPr="000665B0" w:rsidRDefault="00974780"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57FAA222" w14:textId="5A151782" w:rsidR="00974780" w:rsidRPr="00BB4EBE" w:rsidRDefault="00974780" w:rsidP="00BB4EBE">
      <w:pPr>
        <w:keepNext/>
        <w:keepLines/>
        <w:pBdr>
          <w:top w:val="single" w:sz="12" w:space="1" w:color="auto"/>
          <w:left w:val="single" w:sz="12" w:space="4" w:color="auto"/>
          <w:bottom w:val="single" w:sz="12" w:space="1" w:color="auto"/>
          <w:right w:val="single" w:sz="12" w:space="4" w:color="auto"/>
        </w:pBdr>
        <w:shd w:val="clear" w:color="auto" w:fill="D9D9D9"/>
        <w:jc w:val="center"/>
        <w:rPr>
          <w:b/>
          <w:szCs w:val="24"/>
        </w:rPr>
      </w:pPr>
      <w:r>
        <w:rPr>
          <w:b/>
          <w:szCs w:val="24"/>
        </w:rPr>
        <w:t>TMPC 7.0.3 is compatible with TPS 7.0.1 which cannot generate 109M TEFs. Selecting All TEFs will not generate 109M TEFs.</w:t>
      </w:r>
    </w:p>
    <w:p w14:paraId="57FE5D87" w14:textId="0660D34B" w:rsidR="00350382" w:rsidRPr="000665B0" w:rsidRDefault="00C06CDF" w:rsidP="006D5A65">
      <w:pPr>
        <w:pStyle w:val="Heading1"/>
      </w:pPr>
      <w:r w:rsidRPr="000665B0">
        <w:t xml:space="preserve">Task </w:t>
      </w:r>
      <w:r w:rsidR="00350382" w:rsidRPr="000665B0">
        <w:t xml:space="preserve">Organization: Includes the </w:t>
      </w:r>
      <w:r w:rsidRPr="000665B0">
        <w:t xml:space="preserve">Task </w:t>
      </w:r>
      <w:r w:rsidR="00350382" w:rsidRPr="000665B0">
        <w:t>Organization identified in the Strike Folder that is associated with that Strike Option.</w:t>
      </w:r>
    </w:p>
    <w:p w14:paraId="2DE8ACA4" w14:textId="77777777" w:rsidR="00F74E68" w:rsidRPr="000665B0" w:rsidRDefault="00F74E68" w:rsidP="006D5A65">
      <w:pPr>
        <w:pStyle w:val="Heading1"/>
      </w:pPr>
      <w:r w:rsidRPr="000665B0">
        <w:t xml:space="preserve">Queries: Includes the queries referenced by the strike folder’s candidate matrix and the strike option’s </w:t>
      </w:r>
      <w:r w:rsidRPr="000665B0">
        <w:rPr>
          <w:i/>
        </w:rPr>
        <w:t>Missions</w:t>
      </w:r>
      <w:r w:rsidRPr="000665B0">
        <w:t xml:space="preserve"> tab.</w:t>
      </w:r>
    </w:p>
    <w:p w14:paraId="5233D662" w14:textId="77777777" w:rsidR="00F74E68" w:rsidRPr="000665B0" w:rsidRDefault="00F74E68" w:rsidP="006D5A65">
      <w:pPr>
        <w:pStyle w:val="Heading1"/>
      </w:pPr>
      <w:r w:rsidRPr="000665B0">
        <w:t>Strike Attachments: Includes attachments from the strike folder.</w:t>
      </w:r>
    </w:p>
    <w:p w14:paraId="29B46065" w14:textId="77777777" w:rsidR="00F74E68" w:rsidRPr="000665B0" w:rsidRDefault="00F74E68" w:rsidP="006D5A65">
      <w:pPr>
        <w:pStyle w:val="Heading1"/>
      </w:pPr>
      <w:r w:rsidRPr="000665B0">
        <w:t>Targets: Includes targets referenced by the strike option.</w:t>
      </w:r>
    </w:p>
    <w:p w14:paraId="07E2C0A9" w14:textId="77777777" w:rsidR="00F74E68" w:rsidRPr="000665B0" w:rsidRDefault="00F74E68" w:rsidP="006D5A65">
      <w:pPr>
        <w:pStyle w:val="Heading1"/>
      </w:pPr>
      <w:r w:rsidRPr="000665B0">
        <w:t>TMPRs: Includes TMPRs referenced by the strike option.</w:t>
      </w:r>
    </w:p>
    <w:p w14:paraId="3A2C58C2" w14:textId="79A64037" w:rsidR="00350382" w:rsidRPr="000665B0" w:rsidRDefault="00350382" w:rsidP="006D5A65">
      <w:pPr>
        <w:pStyle w:val="Heading1"/>
      </w:pPr>
      <w:r w:rsidRPr="000665B0">
        <w:t>Overlays: Includes the overlays from the strike folder’s geographic resources and the strike option’s geographic resources.</w:t>
      </w:r>
      <w:r w:rsidR="00225FC6" w:rsidRPr="000665B0">
        <w:t xml:space="preserve"> </w:t>
      </w:r>
      <w:r w:rsidR="00345716" w:rsidRPr="000665B0">
        <w:t>DDOs addressed to a TTWCS</w:t>
      </w:r>
      <w:r w:rsidR="00A3601E" w:rsidRPr="000665B0">
        <w:t xml:space="preserve"> 5.6+</w:t>
      </w:r>
      <w:r w:rsidR="00345716" w:rsidRPr="000665B0">
        <w:t xml:space="preserve"> node cannot contain any Overlays</w:t>
      </w:r>
      <w:r w:rsidR="00A3601E" w:rsidRPr="000665B0">
        <w:t xml:space="preserve">; </w:t>
      </w:r>
      <w:r w:rsidR="00F818A5" w:rsidRPr="000665B0">
        <w:t>otherwise,</w:t>
      </w:r>
      <w:r w:rsidR="00A3601E" w:rsidRPr="000665B0">
        <w:t xml:space="preserve"> the DDO and all other associated data will fail to send</w:t>
      </w:r>
      <w:r w:rsidR="00345716" w:rsidRPr="000665B0">
        <w:t>.</w:t>
      </w:r>
    </w:p>
    <w:p w14:paraId="0CE4C949" w14:textId="3843FB60" w:rsidR="00E00AC2" w:rsidRDefault="00E00AC2" w:rsidP="006D5A65">
      <w:pPr>
        <w:pStyle w:val="Heading1"/>
      </w:pPr>
      <w:r w:rsidRPr="000665B0">
        <w:t>Scenarios: Includes the scenarios referenced by the strike option.</w:t>
      </w:r>
      <w:r w:rsidR="00CD3E0B" w:rsidRPr="000665B0">
        <w:t xml:space="preserve"> (Applies to MDS 6.0 </w:t>
      </w:r>
      <w:r w:rsidR="005619C1" w:rsidRPr="000665B0">
        <w:t>[</w:t>
      </w:r>
      <w:r w:rsidR="00CD3E0B" w:rsidRPr="000665B0">
        <w:t>and above</w:t>
      </w:r>
      <w:r w:rsidR="005619C1" w:rsidRPr="000665B0">
        <w:t>]</w:t>
      </w:r>
      <w:r w:rsidR="00CD3E0B" w:rsidRPr="000665B0">
        <w:t xml:space="preserve"> only; Scenarios are not sent to MDS 5.0.2 or below.)</w:t>
      </w:r>
    </w:p>
    <w:p w14:paraId="678C8795" w14:textId="77777777" w:rsidR="00974780" w:rsidRDefault="00974780" w:rsidP="006D5A65">
      <w:pPr>
        <w:pStyle w:val="Heading1"/>
      </w:pPr>
      <w:r w:rsidRPr="00434FF0">
        <w:t>109M strike data is not recognized by pre-TMPC 7.0.3 nodes and pre-V</w:t>
      </w:r>
      <w:r>
        <w:t>7</w:t>
      </w:r>
      <w:r w:rsidRPr="00434FF0">
        <w:t xml:space="preserve"> TTWCS nodes. When a DDO containing a 109M strike folder (with a 109M strike option containing 109M tasking such as 109M assignments, 109M Full and CFF LMOs) is distributed to those nodes, the following occurs:</w:t>
      </w:r>
    </w:p>
    <w:p w14:paraId="153A5598" w14:textId="77777777" w:rsidR="00974780" w:rsidRDefault="00974780" w:rsidP="006D5A65">
      <w:pPr>
        <w:pStyle w:val="Heading1"/>
      </w:pPr>
      <w:r w:rsidRPr="00434FF0">
        <w:t>All 109M LMOs are removed from the LMO folder within the strike folder and are not sent.</w:t>
      </w:r>
    </w:p>
    <w:p w14:paraId="0CA1FD5F" w14:textId="57FF91B5" w:rsidR="00974780" w:rsidRPr="000665B0" w:rsidRDefault="00974780" w:rsidP="006D5A65">
      <w:pPr>
        <w:pStyle w:val="Heading1"/>
      </w:pPr>
      <w:r w:rsidRPr="00434FF0">
        <w:t>All 109M missile assignments are removed from the strike option and are not sent.</w:t>
      </w:r>
    </w:p>
    <w:p w14:paraId="2105CF31" w14:textId="4763244C" w:rsidR="00F74E68" w:rsidRPr="000665B0" w:rsidRDefault="00F74E68" w:rsidP="006D5A65">
      <w:pPr>
        <w:pStyle w:val="Heading1"/>
      </w:pPr>
      <w:r w:rsidRPr="000665B0">
        <w:t xml:space="preserve">For the </w:t>
      </w:r>
      <w:r w:rsidRPr="000665B0">
        <w:rPr>
          <w:i/>
        </w:rPr>
        <w:t xml:space="preserve">Platforms </w:t>
      </w:r>
      <w:r w:rsidRPr="000665B0">
        <w:t xml:space="preserve">tab, select desired information for Platform Information, Missile Inventory, or Node Inventory if so desired. At least one checkbox must be selected if platforms are present in the </w:t>
      </w:r>
      <w:r w:rsidRPr="000665B0">
        <w:rPr>
          <w:i/>
        </w:rPr>
        <w:t xml:space="preserve">Platforms </w:t>
      </w:r>
      <w:r w:rsidRPr="000665B0">
        <w:t>tab.</w:t>
      </w:r>
    </w:p>
    <w:p w14:paraId="5B4EF959" w14:textId="54FCF6B2" w:rsidR="00225FC6" w:rsidRPr="000665B0" w:rsidRDefault="00225FC6" w:rsidP="006D5A65">
      <w:pPr>
        <w:pStyle w:val="Heading1"/>
      </w:pPr>
      <w:r w:rsidRPr="000665B0">
        <w:t xml:space="preserve">For the </w:t>
      </w:r>
      <w:r w:rsidRPr="000665B0">
        <w:rPr>
          <w:i/>
        </w:rPr>
        <w:t>Generic Files</w:t>
      </w:r>
      <w:r w:rsidRPr="000665B0">
        <w:t xml:space="preserve"> tab, </w:t>
      </w:r>
      <w:r w:rsidR="00D71804" w:rsidRPr="000665B0">
        <w:t>right-click</w:t>
      </w:r>
      <w:r w:rsidRPr="000665B0">
        <w:t xml:space="preserve"> in the white area of the </w:t>
      </w:r>
      <w:r w:rsidRPr="000665B0">
        <w:rPr>
          <w:i/>
        </w:rPr>
        <w:t>Generic Files</w:t>
      </w:r>
      <w:r w:rsidRPr="000665B0">
        <w:t xml:space="preserve"> Data tab and select the Add… option from the </w:t>
      </w:r>
      <w:r w:rsidRPr="000665B0">
        <w:lastRenderedPageBreak/>
        <w:t xml:space="preserve">context menu. A </w:t>
      </w:r>
      <w:r w:rsidRPr="000665B0">
        <w:rPr>
          <w:i/>
        </w:rPr>
        <w:t>Select File</w:t>
      </w:r>
      <w:r w:rsidRPr="000665B0">
        <w:t xml:space="preserve"> window appears. Navigate through the file system for the desired file and then select Open.</w:t>
      </w:r>
    </w:p>
    <w:p w14:paraId="5A8D6D37" w14:textId="6CB6BD27" w:rsidR="00225FC6" w:rsidRPr="000665B0" w:rsidRDefault="00225FC6" w:rsidP="006D5A65">
      <w:pPr>
        <w:pStyle w:val="Heading1"/>
        <w:rPr>
          <w:szCs w:val="24"/>
        </w:rPr>
      </w:pPr>
      <w:r w:rsidRPr="000665B0">
        <w:t xml:space="preserve">Sending a large amount of Generic File data (more than 20MB) </w:t>
      </w:r>
      <w:r w:rsidRPr="000665B0">
        <w:rPr>
          <w:szCs w:val="24"/>
        </w:rPr>
        <w:t>is not supported.</w:t>
      </w:r>
    </w:p>
    <w:p w14:paraId="3500D333" w14:textId="79FA6DB2" w:rsidR="00AA6156" w:rsidRPr="000665B0" w:rsidRDefault="00AA6156" w:rsidP="006D5A65">
      <w:pPr>
        <w:pStyle w:val="Heading1"/>
      </w:pPr>
      <w:r w:rsidRPr="000665B0">
        <w:t xml:space="preserve">DDOs addressed to a pre-V5.6.1 TTWCS node cannot contain any files in the </w:t>
      </w:r>
      <w:r w:rsidRPr="000665B0">
        <w:rPr>
          <w:i/>
        </w:rPr>
        <w:t>Generic Files</w:t>
      </w:r>
      <w:r w:rsidRPr="000665B0">
        <w:t xml:space="preserve"> tab; </w:t>
      </w:r>
      <w:r w:rsidR="00F818A5" w:rsidRPr="000665B0">
        <w:t>otherwise,</w:t>
      </w:r>
      <w:r w:rsidRPr="000665B0">
        <w:t xml:space="preserve"> the DDO and all other associated data will fail to send.</w:t>
      </w:r>
    </w:p>
    <w:p w14:paraId="440A5298" w14:textId="174F3F47" w:rsidR="00225FC6" w:rsidRPr="000665B0" w:rsidRDefault="00225FC6" w:rsidP="006D5A65">
      <w:pPr>
        <w:pStyle w:val="Heading1"/>
      </w:pPr>
      <w:r w:rsidRPr="000665B0">
        <w:rPr>
          <w:snapToGrid w:val="0"/>
        </w:rPr>
        <w:t xml:space="preserve">For the </w:t>
      </w:r>
      <w:r w:rsidRPr="000665B0">
        <w:rPr>
          <w:i/>
          <w:snapToGrid w:val="0"/>
        </w:rPr>
        <w:t>Overlays</w:t>
      </w:r>
      <w:r w:rsidRPr="000665B0">
        <w:rPr>
          <w:snapToGrid w:val="0"/>
        </w:rPr>
        <w:t xml:space="preserve"> tab: </w:t>
      </w:r>
      <w:r w:rsidR="00345716" w:rsidRPr="000665B0">
        <w:t>DDOs addressed to a TTWCS</w:t>
      </w:r>
      <w:r w:rsidR="00A3601E" w:rsidRPr="000665B0">
        <w:t xml:space="preserve"> 5.6+</w:t>
      </w:r>
      <w:r w:rsidR="00345716" w:rsidRPr="000665B0">
        <w:t xml:space="preserve"> node cannot contain any Overlays</w:t>
      </w:r>
      <w:r w:rsidR="00A3601E" w:rsidRPr="000665B0">
        <w:t xml:space="preserve">; </w:t>
      </w:r>
      <w:r w:rsidR="00F818A5" w:rsidRPr="000665B0">
        <w:t>otherwise,</w:t>
      </w:r>
      <w:r w:rsidR="00A3601E" w:rsidRPr="000665B0">
        <w:t xml:space="preserve"> the DDO and all other associated data will fail to send</w:t>
      </w:r>
      <w:r w:rsidR="00345716" w:rsidRPr="000665B0">
        <w:t>.</w:t>
      </w:r>
    </w:p>
    <w:p w14:paraId="00CF3BE0" w14:textId="77777777" w:rsidR="001125F6" w:rsidRPr="000665B0" w:rsidRDefault="00672499" w:rsidP="006D5A65">
      <w:pPr>
        <w:pStyle w:val="Heading1"/>
      </w:pPr>
      <w:r w:rsidRPr="000665B0">
        <w:t xml:space="preserve">For the </w:t>
      </w:r>
      <w:r w:rsidRPr="000665B0">
        <w:rPr>
          <w:i/>
        </w:rPr>
        <w:t>MTIF Data Files</w:t>
      </w:r>
      <w:r w:rsidRPr="000665B0">
        <w:t xml:space="preserve"> tab: When sending an MTIF Data File, the MTIF Compatibility File (MCF) </w:t>
      </w:r>
      <w:r w:rsidR="00D977A5" w:rsidRPr="000665B0">
        <w:t>is</w:t>
      </w:r>
      <w:r w:rsidRPr="000665B0">
        <w:t xml:space="preserve"> included in the DDO as well. When sending the MCF in the DDO, all MTIF Data Files that the recipient is missing are included in the DDO. The definition of “missing” is when the recipient does not have these items in their respective node inventory with a status of hard.</w:t>
      </w:r>
      <w:r w:rsidR="001125F6" w:rsidRPr="000665B0">
        <w:t xml:space="preserve"> When sending the OES Version file with the ID specified in the MCF, the MCF is included in the DDO.</w:t>
      </w:r>
    </w:p>
    <w:p w14:paraId="53BBDBD9" w14:textId="563B32C6" w:rsidR="001125F6" w:rsidRPr="000665B0" w:rsidRDefault="001125F6" w:rsidP="006D5A65">
      <w:pPr>
        <w:pStyle w:val="Heading1"/>
      </w:pPr>
      <w:r w:rsidRPr="000665B0">
        <w:t>The MTIF</w:t>
      </w:r>
      <w:r w:rsidR="00AF7414" w:rsidRPr="000665B0">
        <w:t>/</w:t>
      </w:r>
      <w:r w:rsidRPr="000665B0">
        <w:t>MCF</w:t>
      </w:r>
      <w:r w:rsidR="00AF7414" w:rsidRPr="000665B0">
        <w:t xml:space="preserve"> files</w:t>
      </w:r>
      <w:r w:rsidRPr="000665B0">
        <w:t xml:space="preserve"> are not recognized by pre-7.0 MDS nodes and pre-V5.6.1 TTWCS nodes. When a DDO containing MTIF</w:t>
      </w:r>
      <w:r w:rsidR="00AF7414" w:rsidRPr="000665B0">
        <w:t>/MCF</w:t>
      </w:r>
      <w:r w:rsidRPr="000665B0">
        <w:t xml:space="preserve"> </w:t>
      </w:r>
      <w:r w:rsidR="00AF7414" w:rsidRPr="000665B0">
        <w:t>f</w:t>
      </w:r>
      <w:r w:rsidRPr="000665B0">
        <w:t xml:space="preserve">iles is distributed to those nodes, a Data Limitation error is </w:t>
      </w:r>
      <w:r w:rsidR="00F818A5" w:rsidRPr="000665B0">
        <w:t>displayed,</w:t>
      </w:r>
      <w:r w:rsidRPr="000665B0">
        <w:t xml:space="preserve"> and the data will not be sent.</w:t>
      </w:r>
    </w:p>
    <w:p w14:paraId="76EA3C53" w14:textId="77777777" w:rsidR="00F74E68" w:rsidRPr="000665B0" w:rsidRDefault="00F74E68" w:rsidP="006D5A65">
      <w:pPr>
        <w:pStyle w:val="Heading1"/>
      </w:pPr>
      <w:r w:rsidRPr="000665B0">
        <w:t xml:space="preserve">From the </w:t>
      </w:r>
      <w:r w:rsidRPr="000665B0">
        <w:rPr>
          <w:iCs/>
        </w:rPr>
        <w:t>File</w:t>
      </w:r>
      <w:r w:rsidRPr="000665B0">
        <w:t xml:space="preserve"> menu, select </w:t>
      </w:r>
      <w:r w:rsidRPr="000665B0">
        <w:rPr>
          <w:bCs/>
        </w:rPr>
        <w:t>Save</w:t>
      </w:r>
      <w:r w:rsidRPr="000665B0">
        <w:t>.</w:t>
      </w:r>
    </w:p>
    <w:p w14:paraId="13193ED5" w14:textId="77777777" w:rsidR="00F74E68" w:rsidRPr="000665B0" w:rsidRDefault="00F74E68" w:rsidP="006D5A65">
      <w:pPr>
        <w:pStyle w:val="Heading1"/>
      </w:pPr>
      <w:r w:rsidRPr="000665B0">
        <w:t xml:space="preserve">Once a DDO Template has been assembled, it does not have to be saved to send it. Saving the DDO Template allows for modification at a later time. </w:t>
      </w:r>
    </w:p>
    <w:p w14:paraId="09307047" w14:textId="031E6EF5" w:rsidR="00771253" w:rsidRDefault="00F74E68" w:rsidP="006D5A65">
      <w:pPr>
        <w:pStyle w:val="Heading1"/>
      </w:pPr>
      <w:r w:rsidRPr="000665B0">
        <w:t>Compatibility checks are performed during the send process and not during the save process. A DDO Template that is saved may encounter transmission problems or incompatibility warnings when it is actually sent.</w:t>
      </w:r>
    </w:p>
    <w:p w14:paraId="7C5D68E4" w14:textId="77777777" w:rsidR="00771253" w:rsidRPr="00BB4EBE" w:rsidRDefault="00771253"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sidRPr="00BB4EBE">
        <w:rPr>
          <w:b/>
          <w:bCs/>
        </w:rPr>
        <w:t>Note:</w:t>
      </w:r>
    </w:p>
    <w:p w14:paraId="5700CCE1" w14:textId="3D0565F5" w:rsidR="00771253" w:rsidRPr="00BB4EBE" w:rsidRDefault="00771253"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sidRPr="00BB4EBE">
        <w:rPr>
          <w:b/>
          <w:bCs/>
        </w:rPr>
        <w:t>Platforms receiving MDUs via legacy communications require data in USN format, and data is automatically sent via an AMDTO.</w:t>
      </w:r>
    </w:p>
    <w:p w14:paraId="623550B0" w14:textId="3EB0D012" w:rsidR="00682A8B" w:rsidRPr="000665B0" w:rsidRDefault="00682A8B" w:rsidP="009570CA">
      <w:pPr>
        <w:pStyle w:val="Heading5"/>
      </w:pPr>
      <w:bookmarkStart w:id="4485" w:name="_5.21.2.2__Create"/>
      <w:bookmarkStart w:id="4486" w:name="_Create_New_Group"/>
      <w:bookmarkStart w:id="4487" w:name="_Toc289328554"/>
      <w:bookmarkEnd w:id="4485"/>
      <w:bookmarkEnd w:id="4486"/>
      <w:r w:rsidRPr="000665B0">
        <w:t>Create New Group</w:t>
      </w:r>
      <w:r w:rsidR="00B2007D" w:rsidRPr="000665B0">
        <w:t xml:space="preserve"> or Rename Existing Group</w:t>
      </w:r>
    </w:p>
    <w:p w14:paraId="7C6A7FC8" w14:textId="3820001B" w:rsidR="00682A8B" w:rsidRPr="000665B0" w:rsidRDefault="00682A8B" w:rsidP="009570CA">
      <w:r w:rsidRPr="000665B0">
        <w:t xml:space="preserve">A new group can be created for </w:t>
      </w:r>
      <w:r w:rsidR="00F30B2F" w:rsidRPr="000665B0">
        <w:t>recipients</w:t>
      </w:r>
      <w:r w:rsidRPr="000665B0">
        <w:t xml:space="preserve"> that are commonly grouped together. A new group may also be created </w:t>
      </w:r>
      <w:r w:rsidR="00D51E9F" w:rsidRPr="000665B0">
        <w:t xml:space="preserve">that is </w:t>
      </w:r>
      <w:r w:rsidRPr="000665B0">
        <w:t>based on an existing group</w:t>
      </w:r>
      <w:r w:rsidR="00B2007D" w:rsidRPr="000665B0">
        <w:t xml:space="preserve"> or a group can be renamed</w:t>
      </w:r>
      <w:r w:rsidRPr="000665B0">
        <w:t>.</w:t>
      </w:r>
    </w:p>
    <w:p w14:paraId="27F89D1D" w14:textId="5C05C182" w:rsidR="00682A8B" w:rsidRPr="000665B0" w:rsidRDefault="00977E2F" w:rsidP="009570CA">
      <w:r w:rsidRPr="000665B0">
        <w:t>A group</w:t>
      </w:r>
      <w:r w:rsidR="00682A8B" w:rsidRPr="000665B0">
        <w:t xml:space="preserve"> in the Address Book </w:t>
      </w:r>
      <w:r w:rsidRPr="000665B0">
        <w:t>is</w:t>
      </w:r>
      <w:r w:rsidR="00682A8B" w:rsidRPr="000665B0">
        <w:t xml:space="preserve"> denoted with </w:t>
      </w:r>
      <w:r w:rsidRPr="000665B0">
        <w:t>the</w:t>
      </w:r>
      <w:r w:rsidR="00682A8B" w:rsidRPr="000665B0">
        <w:t xml:space="preserve"> </w:t>
      </w:r>
      <w:r w:rsidR="00242682" w:rsidRPr="000665B0">
        <w:t>Group</w:t>
      </w:r>
      <w:r w:rsidR="00682A8B" w:rsidRPr="000665B0">
        <w:rPr>
          <w:noProof/>
          <w:position w:val="-6"/>
        </w:rPr>
        <w:drawing>
          <wp:inline distT="0" distB="0" distL="0" distR="0" wp14:anchorId="425999ED" wp14:editId="043E4C11">
            <wp:extent cx="206734" cy="252675"/>
            <wp:effectExtent l="0" t="0" r="317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0118" cy="256810"/>
                    </a:xfrm>
                    <a:prstGeom prst="rect">
                      <a:avLst/>
                    </a:prstGeom>
                  </pic:spPr>
                </pic:pic>
              </a:graphicData>
            </a:graphic>
          </wp:inline>
        </w:drawing>
      </w:r>
      <w:r w:rsidR="00682A8B" w:rsidRPr="000665B0">
        <w:t xml:space="preserve"> icon. To view recipients in the group, select the group </w:t>
      </w:r>
      <w:r w:rsidRPr="000665B0">
        <w:t>in</w:t>
      </w:r>
      <w:r w:rsidR="00682A8B" w:rsidRPr="000665B0">
        <w:t xml:space="preserve"> the left </w:t>
      </w:r>
      <w:r w:rsidRPr="000665B0">
        <w:t>pane</w:t>
      </w:r>
      <w:r w:rsidR="00682A8B" w:rsidRPr="000665B0">
        <w:t xml:space="preserve"> of the </w:t>
      </w:r>
      <w:r w:rsidR="00682A8B" w:rsidRPr="000665B0">
        <w:rPr>
          <w:i/>
        </w:rPr>
        <w:t>Address Book</w:t>
      </w:r>
      <w:r w:rsidR="00682A8B" w:rsidRPr="000665B0">
        <w:t xml:space="preserve"> </w:t>
      </w:r>
      <w:r w:rsidRPr="000665B0">
        <w:t xml:space="preserve">window </w:t>
      </w:r>
      <w:r w:rsidR="00682A8B" w:rsidRPr="000665B0">
        <w:t xml:space="preserve">and click </w:t>
      </w:r>
      <w:r w:rsidR="00682A8B" w:rsidRPr="000665B0">
        <w:rPr>
          <w:b/>
        </w:rPr>
        <w:t>Properties</w:t>
      </w:r>
      <w:r w:rsidR="00682A8B" w:rsidRPr="000665B0">
        <w:t>.</w:t>
      </w:r>
      <w:r w:rsidRPr="000665B0">
        <w:t xml:space="preserve"> A </w:t>
      </w:r>
      <w:r w:rsidRPr="000665B0">
        <w:rPr>
          <w:i/>
        </w:rPr>
        <w:t>[Group Name]</w:t>
      </w:r>
      <w:r w:rsidRPr="000665B0">
        <w:t xml:space="preserve"> window is displayed with Group Members displayed in the right pane. </w:t>
      </w:r>
    </w:p>
    <w:p w14:paraId="07B01EE8" w14:textId="71ADB0B3" w:rsidR="00682A8B" w:rsidRPr="000665B0" w:rsidRDefault="00977E2F" w:rsidP="009570CA">
      <w:pPr>
        <w:jc w:val="center"/>
      </w:pPr>
      <w:r w:rsidRPr="000665B0">
        <w:rPr>
          <w:noProof/>
        </w:rPr>
        <w:lastRenderedPageBreak/>
        <w:drawing>
          <wp:inline distT="0" distB="0" distL="0" distR="0" wp14:anchorId="14049485" wp14:editId="081232EB">
            <wp:extent cx="3154680" cy="2112264"/>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112264"/>
                    </a:xfrm>
                    <a:prstGeom prst="rect">
                      <a:avLst/>
                    </a:prstGeom>
                  </pic:spPr>
                </pic:pic>
              </a:graphicData>
            </a:graphic>
          </wp:inline>
        </w:drawing>
      </w:r>
    </w:p>
    <w:p w14:paraId="2F60B43F" w14:textId="63DFE517" w:rsidR="00977E2F" w:rsidRPr="000665B0" w:rsidRDefault="00977E2F" w:rsidP="009570CA">
      <w:r w:rsidRPr="000665B0">
        <w:t>To create a new group:</w:t>
      </w:r>
    </w:p>
    <w:p w14:paraId="6827C885" w14:textId="068905FA" w:rsidR="00977E2F" w:rsidRPr="000665B0" w:rsidRDefault="00221A57" w:rsidP="006D5A65">
      <w:pPr>
        <w:pStyle w:val="Heading1"/>
      </w:pPr>
      <w:r w:rsidRPr="000665B0">
        <w:t xml:space="preserve">In the </w:t>
      </w:r>
      <w:r w:rsidRPr="000665B0">
        <w:rPr>
          <w:i/>
        </w:rPr>
        <w:t>Address Book</w:t>
      </w:r>
      <w:r w:rsidRPr="000665B0">
        <w:t xml:space="preserve"> window, click Ne</w:t>
      </w:r>
      <w:r w:rsidR="00682A8B" w:rsidRPr="000665B0">
        <w:t>w Group.</w:t>
      </w:r>
    </w:p>
    <w:p w14:paraId="51B6FD05" w14:textId="0A4867A6" w:rsidR="00221A57" w:rsidRPr="000665B0" w:rsidRDefault="00221A57" w:rsidP="006D5A65">
      <w:pPr>
        <w:pStyle w:val="Heading1"/>
      </w:pPr>
      <w:r w:rsidRPr="000665B0">
        <w:rPr>
          <w:szCs w:val="24"/>
        </w:rPr>
        <w:t xml:space="preserve">The </w:t>
      </w:r>
      <w:r w:rsidRPr="000665B0">
        <w:rPr>
          <w:i/>
          <w:szCs w:val="24"/>
        </w:rPr>
        <w:t>New Group</w:t>
      </w:r>
      <w:r w:rsidRPr="000665B0">
        <w:rPr>
          <w:szCs w:val="24"/>
        </w:rPr>
        <w:t xml:space="preserve"> window is displayed. </w:t>
      </w:r>
      <w:r w:rsidRPr="000665B0">
        <w:t xml:space="preserve">Enter a Group Name (1-50 characters). This is a required field (as denoted by the * and/or yellow background) and the user is unable to proceed without updating this field. For further information on mandatory fields see </w:t>
      </w:r>
      <w:hyperlink w:anchor="_5.2.7__Editing" w:history="1">
        <w:r w:rsidRPr="000665B0">
          <w:rPr>
            <w:rStyle w:val="Hyperlink"/>
          </w:rPr>
          <w:t>Section 5.2.8</w:t>
        </w:r>
      </w:hyperlink>
      <w:r w:rsidRPr="000665B0">
        <w:t>.</w:t>
      </w:r>
    </w:p>
    <w:p w14:paraId="0A9E54B2" w14:textId="007E2535" w:rsidR="00682A8B" w:rsidRPr="000665B0" w:rsidRDefault="00682A8B" w:rsidP="009570CA">
      <w:pPr>
        <w:pStyle w:val="Number0205"/>
        <w:ind w:left="0" w:firstLine="0"/>
        <w:jc w:val="center"/>
      </w:pPr>
      <w:r w:rsidRPr="000665B0">
        <w:rPr>
          <w:noProof/>
        </w:rPr>
        <w:drawing>
          <wp:inline distT="0" distB="0" distL="0" distR="0" wp14:anchorId="7D0FBDE1" wp14:editId="3932E3EB">
            <wp:extent cx="3154680" cy="2112264"/>
            <wp:effectExtent l="0" t="0" r="0" b="0"/>
            <wp:docPr id="1640" name="Picture 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112264"/>
                    </a:xfrm>
                    <a:prstGeom prst="rect">
                      <a:avLst/>
                    </a:prstGeom>
                  </pic:spPr>
                </pic:pic>
              </a:graphicData>
            </a:graphic>
          </wp:inline>
        </w:drawing>
      </w:r>
    </w:p>
    <w:p w14:paraId="3E0AAF0B" w14:textId="77777777" w:rsidR="00221A57" w:rsidRPr="000665B0" w:rsidRDefault="00221A57" w:rsidP="006D5A65">
      <w:pPr>
        <w:pStyle w:val="Heading1"/>
      </w:pPr>
      <w:r w:rsidRPr="000665B0">
        <w:t xml:space="preserve">Select the appropriate recipient(s) in the left column and then click Add-&gt; in the middle of the window to move the selected recipient(s) to the right column. To remove a recipient, select the appropriate recipient(s) in the right column and then click &lt;-Remove in the middle of the window to move the selected recipient(s) to the left column. </w:t>
      </w:r>
    </w:p>
    <w:p w14:paraId="5BC4D24F" w14:textId="3AEA0CB1" w:rsidR="00221A57" w:rsidRPr="000665B0" w:rsidRDefault="00221A57" w:rsidP="006D5A65">
      <w:pPr>
        <w:pStyle w:val="Heading1"/>
      </w:pPr>
      <w:r w:rsidRPr="000665B0">
        <w:t>Click OK when complete.</w:t>
      </w:r>
    </w:p>
    <w:p w14:paraId="0E24F4FC" w14:textId="202B083A" w:rsidR="001B2899" w:rsidRPr="000665B0" w:rsidRDefault="001B2899" w:rsidP="009570CA">
      <w:r w:rsidRPr="000665B0">
        <w:t xml:space="preserve">To create a new group </w:t>
      </w:r>
      <w:r w:rsidR="00D51E9F" w:rsidRPr="000665B0">
        <w:t xml:space="preserve">that is </w:t>
      </w:r>
      <w:r w:rsidRPr="000665B0">
        <w:t>based on an existing group</w:t>
      </w:r>
      <w:r w:rsidR="00B2007D" w:rsidRPr="000665B0">
        <w:t xml:space="preserve"> or rename an existing group</w:t>
      </w:r>
      <w:r w:rsidRPr="000665B0">
        <w:t>:</w:t>
      </w:r>
    </w:p>
    <w:p w14:paraId="413352CE" w14:textId="77777777" w:rsidR="00A10C49" w:rsidRPr="000665B0" w:rsidRDefault="00A10C49"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lastRenderedPageBreak/>
        <w:t xml:space="preserve">Note: </w:t>
      </w:r>
    </w:p>
    <w:p w14:paraId="4BA02A75" w14:textId="77777777" w:rsidR="00CA5248" w:rsidRPr="000665B0" w:rsidRDefault="00A10C49" w:rsidP="009570CA">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This procedure creates a new group entry and also retains the original group entry in the Address Book. </w:t>
      </w:r>
    </w:p>
    <w:p w14:paraId="68FC854C" w14:textId="4DC1CC3D" w:rsidR="00A10C49" w:rsidRPr="000665B0" w:rsidRDefault="00CA5248" w:rsidP="009570CA">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To rename an existing group: Perform the steps below but do not change the </w:t>
      </w:r>
      <w:r w:rsidR="00FC6B75" w:rsidRPr="000665B0">
        <w:rPr>
          <w:b/>
        </w:rPr>
        <w:t>recipients and</w:t>
      </w:r>
      <w:r w:rsidRPr="000665B0">
        <w:rPr>
          <w:b/>
        </w:rPr>
        <w:t xml:space="preserve"> then delete</w:t>
      </w:r>
      <w:r w:rsidR="00A10C49" w:rsidRPr="000665B0">
        <w:rPr>
          <w:b/>
        </w:rPr>
        <w:t xml:space="preserve"> the </w:t>
      </w:r>
      <w:r w:rsidRPr="000665B0">
        <w:rPr>
          <w:b/>
        </w:rPr>
        <w:t>original</w:t>
      </w:r>
      <w:r w:rsidR="00A10C49" w:rsidRPr="000665B0">
        <w:rPr>
          <w:b/>
        </w:rPr>
        <w:t xml:space="preserve"> Group entry (</w:t>
      </w:r>
      <w:r w:rsidR="00A10C49" w:rsidRPr="00681762">
        <w:rPr>
          <w:b/>
        </w:rPr>
        <w:t xml:space="preserve">see </w:t>
      </w:r>
      <w:hyperlink w:anchor="_Delete_Group" w:history="1">
        <w:r w:rsidR="00A10C49" w:rsidRPr="00681762">
          <w:rPr>
            <w:rStyle w:val="Hyperlink"/>
            <w:b/>
          </w:rPr>
          <w:t xml:space="preserve">Section </w:t>
        </w:r>
        <w:r w:rsidR="004231CC" w:rsidRPr="00681762">
          <w:rPr>
            <w:rStyle w:val="Hyperlink"/>
            <w:b/>
          </w:rPr>
          <w:t>5.16</w:t>
        </w:r>
        <w:r w:rsidR="00A10C49" w:rsidRPr="00681762">
          <w:rPr>
            <w:rStyle w:val="Hyperlink"/>
            <w:b/>
          </w:rPr>
          <w:t>.</w:t>
        </w:r>
        <w:r w:rsidR="00303BEE" w:rsidRPr="00681762">
          <w:rPr>
            <w:rStyle w:val="Hyperlink"/>
            <w:b/>
          </w:rPr>
          <w:t>3</w:t>
        </w:r>
        <w:r w:rsidR="00A10C49" w:rsidRPr="00681762">
          <w:rPr>
            <w:rStyle w:val="Hyperlink"/>
            <w:b/>
          </w:rPr>
          <w:t>.1.2</w:t>
        </w:r>
      </w:hyperlink>
      <w:r w:rsidR="00A10C49" w:rsidRPr="00681762">
        <w:rPr>
          <w:b/>
        </w:rPr>
        <w:t>).</w:t>
      </w:r>
    </w:p>
    <w:p w14:paraId="3AD7286F" w14:textId="760C09DA" w:rsidR="001B2899" w:rsidRPr="000665B0" w:rsidRDefault="001B2899" w:rsidP="006D5A65">
      <w:pPr>
        <w:pStyle w:val="Heading1"/>
      </w:pPr>
      <w:r w:rsidRPr="000665B0">
        <w:t xml:space="preserve">In the </w:t>
      </w:r>
      <w:r w:rsidRPr="000665B0">
        <w:rPr>
          <w:i/>
        </w:rPr>
        <w:t>Address Book</w:t>
      </w:r>
      <w:r w:rsidRPr="000665B0">
        <w:t xml:space="preserve"> window, </w:t>
      </w:r>
      <w:r w:rsidR="00242682" w:rsidRPr="000665B0">
        <w:t xml:space="preserve">select an existing group as </w:t>
      </w:r>
      <w:r w:rsidR="00F30B2F" w:rsidRPr="000665B0">
        <w:t>denoted</w:t>
      </w:r>
      <w:r w:rsidR="00242682" w:rsidRPr="000665B0">
        <w:t xml:space="preserve"> by the Group</w:t>
      </w:r>
      <w:r w:rsidR="00242682" w:rsidRPr="000665B0">
        <w:rPr>
          <w:noProof/>
          <w:position w:val="-6"/>
        </w:rPr>
        <w:drawing>
          <wp:inline distT="0" distB="0" distL="0" distR="0" wp14:anchorId="5793FF24" wp14:editId="3F14DE4E">
            <wp:extent cx="206734" cy="252675"/>
            <wp:effectExtent l="0" t="0" r="3175"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0118" cy="256810"/>
                    </a:xfrm>
                    <a:prstGeom prst="rect">
                      <a:avLst/>
                    </a:prstGeom>
                  </pic:spPr>
                </pic:pic>
              </a:graphicData>
            </a:graphic>
          </wp:inline>
        </w:drawing>
      </w:r>
      <w:r w:rsidR="00242682" w:rsidRPr="000665B0">
        <w:t xml:space="preserve"> icon and click Properties.</w:t>
      </w:r>
    </w:p>
    <w:p w14:paraId="391C3391" w14:textId="4D14CF5D" w:rsidR="00242682" w:rsidRPr="000665B0" w:rsidRDefault="00242682" w:rsidP="009570CA">
      <w:pPr>
        <w:pStyle w:val="Number0205"/>
        <w:ind w:left="0" w:firstLine="0"/>
        <w:jc w:val="center"/>
      </w:pPr>
      <w:r w:rsidRPr="000665B0">
        <w:rPr>
          <w:noProof/>
        </w:rPr>
        <w:drawing>
          <wp:inline distT="0" distB="0" distL="0" distR="0" wp14:anchorId="7DA00D36" wp14:editId="38C2FB42">
            <wp:extent cx="3154680" cy="1984248"/>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984248"/>
                    </a:xfrm>
                    <a:prstGeom prst="rect">
                      <a:avLst/>
                    </a:prstGeom>
                  </pic:spPr>
                </pic:pic>
              </a:graphicData>
            </a:graphic>
          </wp:inline>
        </w:drawing>
      </w:r>
    </w:p>
    <w:p w14:paraId="6EB7B8D2" w14:textId="77777777" w:rsidR="00242682" w:rsidRPr="000665B0" w:rsidRDefault="00242682" w:rsidP="006D5A65">
      <w:pPr>
        <w:pStyle w:val="Heading1"/>
      </w:pPr>
      <w:r w:rsidRPr="000665B0">
        <w:t xml:space="preserve">A </w:t>
      </w:r>
      <w:r w:rsidRPr="000665B0">
        <w:rPr>
          <w:i/>
        </w:rPr>
        <w:t>[Group Name]</w:t>
      </w:r>
      <w:r w:rsidRPr="000665B0">
        <w:t xml:space="preserve"> window is displayed with Group Members displayed in the right pane. </w:t>
      </w:r>
    </w:p>
    <w:p w14:paraId="193A3FEF" w14:textId="77777777" w:rsidR="00242682" w:rsidRPr="000665B0" w:rsidRDefault="00242682" w:rsidP="009570CA">
      <w:pPr>
        <w:pStyle w:val="Number0205"/>
        <w:ind w:left="0" w:firstLine="0"/>
        <w:jc w:val="center"/>
      </w:pPr>
      <w:r w:rsidRPr="000665B0">
        <w:rPr>
          <w:noProof/>
        </w:rPr>
        <w:drawing>
          <wp:inline distT="0" distB="0" distL="0" distR="0" wp14:anchorId="6AB3802D" wp14:editId="2F2E55A4">
            <wp:extent cx="3154680" cy="2112264"/>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112264"/>
                    </a:xfrm>
                    <a:prstGeom prst="rect">
                      <a:avLst/>
                    </a:prstGeom>
                  </pic:spPr>
                </pic:pic>
              </a:graphicData>
            </a:graphic>
          </wp:inline>
        </w:drawing>
      </w:r>
    </w:p>
    <w:p w14:paraId="6B370FB3" w14:textId="2F483330" w:rsidR="001B2899" w:rsidRPr="000665B0" w:rsidRDefault="001B2899" w:rsidP="006D5A65">
      <w:pPr>
        <w:pStyle w:val="Heading1"/>
      </w:pPr>
      <w:r w:rsidRPr="000665B0">
        <w:t>Enter a</w:t>
      </w:r>
      <w:r w:rsidR="00CF31FB" w:rsidRPr="000665B0">
        <w:t xml:space="preserve"> new</w:t>
      </w:r>
      <w:r w:rsidRPr="000665B0">
        <w:t xml:space="preserve"> Group Name (1-50 characters). This is a required field (as denoted by the * and/or yellow background) and the user is unable to proceed without updating this field. For further information on mandatory fields see </w:t>
      </w:r>
      <w:hyperlink w:anchor="_5.2.7__Editing" w:history="1">
        <w:r w:rsidRPr="000665B0">
          <w:rPr>
            <w:rStyle w:val="Hyperlink"/>
          </w:rPr>
          <w:t>Section 5.2.8</w:t>
        </w:r>
      </w:hyperlink>
      <w:r w:rsidRPr="000665B0">
        <w:t>.</w:t>
      </w:r>
    </w:p>
    <w:p w14:paraId="65CB8703" w14:textId="77777777" w:rsidR="001B2899" w:rsidRPr="000665B0" w:rsidRDefault="001B2899" w:rsidP="006D5A65">
      <w:pPr>
        <w:pStyle w:val="Heading1"/>
      </w:pPr>
      <w:r w:rsidRPr="000665B0">
        <w:t xml:space="preserve">Select the appropriate recipient(s) in the left column and then click Add-&gt; in the middle of the window to move the selected recipient(s) to the right column. To remove a recipient, select the appropriate recipient(s) in the right column and then click </w:t>
      </w:r>
      <w:r w:rsidRPr="000665B0">
        <w:lastRenderedPageBreak/>
        <w:t xml:space="preserve">&lt;-Remove in the middle of the window to move the selected recipient(s) to the left column. </w:t>
      </w:r>
    </w:p>
    <w:p w14:paraId="4C075FA5" w14:textId="77777777" w:rsidR="001B2899" w:rsidRPr="000665B0" w:rsidRDefault="001B2899" w:rsidP="006D5A65">
      <w:pPr>
        <w:pStyle w:val="Heading1"/>
      </w:pPr>
      <w:r w:rsidRPr="000665B0">
        <w:t>Click OK when complete.</w:t>
      </w:r>
    </w:p>
    <w:p w14:paraId="5F8A6E1B" w14:textId="3817C7AC" w:rsidR="00AF726B" w:rsidRPr="000665B0" w:rsidRDefault="00AF726B" w:rsidP="006D5A65">
      <w:pPr>
        <w:pStyle w:val="Heading1"/>
      </w:pPr>
      <w:r w:rsidRPr="000665B0">
        <w:t xml:space="preserve">The new group entry is </w:t>
      </w:r>
      <w:r w:rsidR="00F818A5" w:rsidRPr="000665B0">
        <w:t>created,</w:t>
      </w:r>
      <w:r w:rsidRPr="000665B0">
        <w:t xml:space="preserve"> and the original group entry is retained in the Address Book.</w:t>
      </w:r>
    </w:p>
    <w:p w14:paraId="2FB0A6C8" w14:textId="26FB078C" w:rsidR="00682A8B" w:rsidRPr="000665B0" w:rsidRDefault="00682A8B" w:rsidP="009570CA">
      <w:pPr>
        <w:pStyle w:val="Heading5"/>
      </w:pPr>
      <w:bookmarkStart w:id="4488" w:name="_Delete_Group"/>
      <w:bookmarkStart w:id="4489" w:name="_Hlk136611848"/>
      <w:bookmarkEnd w:id="4488"/>
      <w:r w:rsidRPr="000665B0">
        <w:t>Delete Group</w:t>
      </w:r>
    </w:p>
    <w:p w14:paraId="1393223C" w14:textId="2CE0115B" w:rsidR="00CA7ED5" w:rsidRPr="000665B0" w:rsidRDefault="00CA7ED5" w:rsidP="006D5A65">
      <w:pPr>
        <w:pStyle w:val="Heading1"/>
      </w:pPr>
      <w:r w:rsidRPr="000665B0">
        <w:t xml:space="preserve">In the </w:t>
      </w:r>
      <w:r w:rsidRPr="000665B0">
        <w:rPr>
          <w:i/>
        </w:rPr>
        <w:t>Address Book</w:t>
      </w:r>
      <w:r w:rsidRPr="000665B0">
        <w:t xml:space="preserve"> window, select an existing group as denot</w:t>
      </w:r>
      <w:r w:rsidR="00F30B2F" w:rsidRPr="000665B0">
        <w:t>e</w:t>
      </w:r>
      <w:r w:rsidRPr="000665B0">
        <w:t>d by the Group</w:t>
      </w:r>
      <w:r w:rsidRPr="000665B0">
        <w:rPr>
          <w:noProof/>
          <w:position w:val="-6"/>
        </w:rPr>
        <w:drawing>
          <wp:inline distT="0" distB="0" distL="0" distR="0" wp14:anchorId="299A679E" wp14:editId="4D3415B8">
            <wp:extent cx="206734" cy="252675"/>
            <wp:effectExtent l="0" t="0" r="3175"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0118" cy="256810"/>
                    </a:xfrm>
                    <a:prstGeom prst="rect">
                      <a:avLst/>
                    </a:prstGeom>
                  </pic:spPr>
                </pic:pic>
              </a:graphicData>
            </a:graphic>
          </wp:inline>
        </w:drawing>
      </w:r>
      <w:r w:rsidRPr="000665B0">
        <w:t xml:space="preserve"> icon and click Properties.</w:t>
      </w:r>
    </w:p>
    <w:p w14:paraId="0E951D7C" w14:textId="1A49943B" w:rsidR="00CA7ED5" w:rsidRPr="000665B0" w:rsidRDefault="00CA7ED5" w:rsidP="009570CA">
      <w:pPr>
        <w:pStyle w:val="Number0205"/>
        <w:ind w:left="0" w:firstLine="0"/>
        <w:jc w:val="center"/>
      </w:pPr>
      <w:r w:rsidRPr="000665B0">
        <w:rPr>
          <w:noProof/>
        </w:rPr>
        <w:drawing>
          <wp:inline distT="0" distB="0" distL="0" distR="0" wp14:anchorId="60CE0C52" wp14:editId="0BE04BE1">
            <wp:extent cx="3154680" cy="1993392"/>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993392"/>
                    </a:xfrm>
                    <a:prstGeom prst="rect">
                      <a:avLst/>
                    </a:prstGeom>
                  </pic:spPr>
                </pic:pic>
              </a:graphicData>
            </a:graphic>
          </wp:inline>
        </w:drawing>
      </w:r>
    </w:p>
    <w:p w14:paraId="0998CEAE" w14:textId="77777777" w:rsidR="00CA7ED5" w:rsidRPr="000665B0" w:rsidRDefault="00CA7ED5" w:rsidP="006D5A65">
      <w:pPr>
        <w:pStyle w:val="Heading1"/>
      </w:pPr>
      <w:r w:rsidRPr="000665B0">
        <w:t xml:space="preserve">A </w:t>
      </w:r>
      <w:r w:rsidRPr="000665B0">
        <w:rPr>
          <w:i/>
        </w:rPr>
        <w:t>[Group Name]</w:t>
      </w:r>
      <w:r w:rsidRPr="000665B0">
        <w:t xml:space="preserve"> window is displayed with Group Members displayed in the right pane. </w:t>
      </w:r>
    </w:p>
    <w:p w14:paraId="463D9844" w14:textId="77777777" w:rsidR="00CA7ED5" w:rsidRPr="000665B0" w:rsidRDefault="00CA7ED5" w:rsidP="009570CA">
      <w:pPr>
        <w:pStyle w:val="Number0205"/>
        <w:ind w:left="0" w:firstLine="0"/>
        <w:jc w:val="center"/>
      </w:pPr>
      <w:r w:rsidRPr="000665B0">
        <w:rPr>
          <w:noProof/>
        </w:rPr>
        <w:drawing>
          <wp:inline distT="0" distB="0" distL="0" distR="0" wp14:anchorId="42C5D90A" wp14:editId="3B016E55">
            <wp:extent cx="3154680" cy="2112264"/>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112264"/>
                    </a:xfrm>
                    <a:prstGeom prst="rect">
                      <a:avLst/>
                    </a:prstGeom>
                  </pic:spPr>
                </pic:pic>
              </a:graphicData>
            </a:graphic>
          </wp:inline>
        </w:drawing>
      </w:r>
    </w:p>
    <w:p w14:paraId="33C869D5" w14:textId="0DF89BD8" w:rsidR="00CA7ED5" w:rsidRPr="000665B0" w:rsidRDefault="00CA7ED5" w:rsidP="006D5A65">
      <w:pPr>
        <w:pStyle w:val="Heading1"/>
      </w:pPr>
      <w:r w:rsidRPr="000665B0">
        <w:t>Click Delete</w:t>
      </w:r>
      <w:r w:rsidR="00815AB8" w:rsidRPr="000665B0">
        <w:t xml:space="preserve"> (e</w:t>
      </w:r>
      <w:r w:rsidRPr="000665B0">
        <w:t>nsure that this is the desired action as there is no confirmation</w:t>
      </w:r>
      <w:r w:rsidR="00FC6B75" w:rsidRPr="000665B0">
        <w:t>) or</w:t>
      </w:r>
      <w:r w:rsidR="00815AB8" w:rsidRPr="000665B0">
        <w:t xml:space="preserve"> Cancel to cancel the action</w:t>
      </w:r>
      <w:r w:rsidRPr="000665B0">
        <w:t xml:space="preserve">. Click OK to close the </w:t>
      </w:r>
      <w:r w:rsidRPr="000665B0">
        <w:rPr>
          <w:i/>
        </w:rPr>
        <w:t>Address Book</w:t>
      </w:r>
      <w:r w:rsidRPr="000665B0">
        <w:t xml:space="preserve"> window.</w:t>
      </w:r>
    </w:p>
    <w:p w14:paraId="6713F85A" w14:textId="3265523F" w:rsidR="00F74E68" w:rsidRPr="000665B0" w:rsidRDefault="00F74E68" w:rsidP="009570CA">
      <w:pPr>
        <w:pStyle w:val="Heading4"/>
      </w:pPr>
      <w:bookmarkStart w:id="4490" w:name="_Create_Media_DDO"/>
      <w:bookmarkStart w:id="4491" w:name="_Create__"/>
      <w:bookmarkStart w:id="4492" w:name="_Hlk59114870"/>
      <w:bookmarkEnd w:id="4490"/>
      <w:bookmarkEnd w:id="4491"/>
      <w:r w:rsidRPr="000665B0">
        <w:t>Create Media DDO</w:t>
      </w:r>
      <w:bookmarkEnd w:id="4487"/>
      <w:r w:rsidRPr="000665B0">
        <w:t xml:space="preserve"> Template</w:t>
      </w:r>
    </w:p>
    <w:p w14:paraId="0CA6D975" w14:textId="175F027F" w:rsidR="00BE7FEA" w:rsidRPr="000665B0" w:rsidRDefault="00F74E68" w:rsidP="009570CA">
      <w:r w:rsidRPr="000665B0">
        <w:t>Creating a Media DDO prepares the data items for distribution to a particular platform</w:t>
      </w:r>
      <w:r w:rsidR="00BE7FEA" w:rsidRPr="000665B0">
        <w:t xml:space="preserve"> type</w:t>
      </w:r>
      <w:r w:rsidRPr="000665B0">
        <w:t xml:space="preserve"> (MDS, </w:t>
      </w:r>
      <w:r w:rsidR="00B90F35" w:rsidRPr="000665B0">
        <w:t xml:space="preserve">specific TED version, or </w:t>
      </w:r>
      <w:r w:rsidRPr="000665B0">
        <w:t xml:space="preserve">TTWCS [TCIDB]). </w:t>
      </w:r>
      <w:r w:rsidR="00B90F35" w:rsidRPr="000665B0">
        <w:t xml:space="preserve">Based on the platform type, MDS generates the correct format of the data for the intended recipient. </w:t>
      </w:r>
      <w:r w:rsidR="00C05782" w:rsidRPr="000665B0">
        <w:t xml:space="preserve">However, there is data specific to 7.0 </w:t>
      </w:r>
      <w:r w:rsidR="00C05782" w:rsidRPr="000665B0">
        <w:lastRenderedPageBreak/>
        <w:t xml:space="preserve">(and above) that is not recognized by legacy systems as noted in the steps below. </w:t>
      </w:r>
      <w:r w:rsidR="00BE7FEA" w:rsidRPr="000665B0">
        <w:t xml:space="preserve">The platform type is </w:t>
      </w:r>
      <w:r w:rsidR="00B90F35" w:rsidRPr="000665B0">
        <w:t>specified</w:t>
      </w:r>
      <w:r w:rsidR="00BE7FEA" w:rsidRPr="000665B0">
        <w:t xml:space="preserve"> by either:</w:t>
      </w:r>
    </w:p>
    <w:p w14:paraId="0064E47A" w14:textId="52273C0D" w:rsidR="00BE7FEA" w:rsidRPr="000665B0" w:rsidRDefault="00BE7FEA" w:rsidP="006D5A65">
      <w:pPr>
        <w:pStyle w:val="Heading1"/>
      </w:pPr>
      <w:r w:rsidRPr="000665B0">
        <w:t>Addressing the DDO to specific platforms</w:t>
      </w:r>
      <w:r w:rsidR="00057F00" w:rsidRPr="000665B0">
        <w:t xml:space="preserve">. In this case, </w:t>
      </w:r>
      <w:r w:rsidRPr="000665B0">
        <w:t xml:space="preserve">MDS automatically </w:t>
      </w:r>
      <w:r w:rsidR="00C073C6" w:rsidRPr="000665B0">
        <w:t xml:space="preserve">determines the correct format of the data for the </w:t>
      </w:r>
      <w:r w:rsidR="00FC6B75" w:rsidRPr="000665B0">
        <w:t>recipients and</w:t>
      </w:r>
      <w:r w:rsidR="00C073C6" w:rsidRPr="000665B0">
        <w:t xml:space="preserve"> </w:t>
      </w:r>
      <w:r w:rsidR="00FF4F16">
        <w:t xml:space="preserve">then </w:t>
      </w:r>
      <w:r w:rsidRPr="000665B0">
        <w:t xml:space="preserve">selects the appropriate platform type checkboxes in the Media Information pane. </w:t>
      </w:r>
      <w:r w:rsidR="009A4A7B" w:rsidRPr="000665B0">
        <w:t>This is recommended when the operator is uncertain of the desired data format</w:t>
      </w:r>
      <w:r w:rsidRPr="000665B0">
        <w:t>.</w:t>
      </w:r>
    </w:p>
    <w:p w14:paraId="5F0616A4" w14:textId="0353E0FD" w:rsidR="00BE7FEA" w:rsidRPr="000665B0" w:rsidRDefault="00BE7FEA" w:rsidP="006D5A65">
      <w:pPr>
        <w:pStyle w:val="Heading1"/>
      </w:pPr>
      <w:r w:rsidRPr="000665B0">
        <w:t xml:space="preserve">Selecting the appropriate checkbox(es) for the intended platform type recipient(s) in the Media Information pane. </w:t>
      </w:r>
      <w:r w:rsidR="009A4A7B" w:rsidRPr="000665B0">
        <w:t>This is recommended when the operator knows the desired data format</w:t>
      </w:r>
      <w:r w:rsidR="00FF4F16">
        <w:t xml:space="preserve">. The selection of checkboxes should be done after the (optional) recipient nodes have been </w:t>
      </w:r>
      <w:r w:rsidR="00F818A5">
        <w:t>added.</w:t>
      </w:r>
    </w:p>
    <w:p w14:paraId="042B73B5" w14:textId="77AB8B22" w:rsidR="00F74E68" w:rsidRPr="000665B0" w:rsidRDefault="00F74E68" w:rsidP="009570CA">
      <w:r w:rsidRPr="000665B0">
        <w:t>One of the purposes for creating a Media DDO is to prepare an initial load out for a site or to update an existing database when it would be cumbersome to distribute large quantities of data via communications.</w:t>
      </w:r>
    </w:p>
    <w:p w14:paraId="1202A685" w14:textId="77777777" w:rsidR="00F74E68" w:rsidRPr="000665B0" w:rsidRDefault="00F74E68" w:rsidP="009570CA">
      <w:r w:rsidRPr="000665B0">
        <w:t>To create a Media DDO Template:</w:t>
      </w:r>
    </w:p>
    <w:p w14:paraId="0ABB05E6" w14:textId="77777777" w:rsidR="00F74E68" w:rsidRPr="000665B0" w:rsidRDefault="00F74E68" w:rsidP="006D5A65">
      <w:pPr>
        <w:pStyle w:val="Heading1"/>
      </w:pPr>
      <w:r w:rsidRPr="000665B0">
        <w:t xml:space="preserve">Navigate to the </w:t>
      </w:r>
      <w:r w:rsidRPr="000665B0">
        <w:rPr>
          <w:bCs/>
        </w:rPr>
        <w:t>DDO Templates</w:t>
      </w:r>
      <w:r w:rsidRPr="000665B0">
        <w:t xml:space="preserve"> Tool.</w:t>
      </w:r>
    </w:p>
    <w:p w14:paraId="43DE0A44" w14:textId="2BA49589" w:rsidR="00F74E68" w:rsidRPr="000665B0" w:rsidRDefault="00F74E68" w:rsidP="006D5A65">
      <w:pPr>
        <w:pStyle w:val="Heading1"/>
      </w:pPr>
      <w:r w:rsidRPr="000665B0">
        <w:t>From the File menu select New…</w:t>
      </w:r>
      <w:r w:rsidR="004928AF" w:rsidRPr="000665B0">
        <w:t>,</w:t>
      </w:r>
      <w:r w:rsidRPr="000665B0">
        <w:t xml:space="preserve"> click on the New </w:t>
      </w:r>
      <w:r w:rsidRPr="000665B0">
        <w:rPr>
          <w:noProof/>
        </w:rPr>
        <w:drawing>
          <wp:inline distT="0" distB="0" distL="0" distR="0" wp14:anchorId="7B9E251B" wp14:editId="425C97D1">
            <wp:extent cx="152400" cy="152400"/>
            <wp:effectExtent l="0" t="0" r="0" b="0"/>
            <wp:docPr id="385" name="Picture 385" descr="Description: 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Description: 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in the tool bar</w:t>
      </w:r>
      <w:r w:rsidR="004928AF" w:rsidRPr="000665B0">
        <w:rPr>
          <w:szCs w:val="24"/>
        </w:rPr>
        <w:t xml:space="preserve">, or </w:t>
      </w:r>
      <w:r w:rsidR="004928AF" w:rsidRPr="000665B0">
        <w:rPr>
          <w:noProof/>
          <w:szCs w:val="24"/>
        </w:rPr>
        <w:t>invoke the context menu (right-click the mouse) and select New…</w:t>
      </w:r>
      <w:r w:rsidRPr="000665B0">
        <w:t xml:space="preserve">. A new </w:t>
      </w:r>
      <w:r w:rsidRPr="000665B0">
        <w:rPr>
          <w:i/>
        </w:rPr>
        <w:t>DDO Template</w:t>
      </w:r>
      <w:r w:rsidRPr="000665B0">
        <w:t xml:space="preserve"> window is displayed. </w:t>
      </w:r>
      <w:r w:rsidR="00285315" w:rsidRPr="000665B0">
        <w:t>Select the Media button in the Distribution</w:t>
      </w:r>
      <w:r w:rsidR="00574A23" w:rsidRPr="000665B0">
        <w:t xml:space="preserve"> Modes</w:t>
      </w:r>
      <w:r w:rsidR="00285315" w:rsidRPr="000665B0">
        <w:t xml:space="preserve"> pane.</w:t>
      </w:r>
    </w:p>
    <w:p w14:paraId="29E3A7F2" w14:textId="7BCA0FA2" w:rsidR="001A55F4" w:rsidRPr="000665B0" w:rsidRDefault="00522D2A" w:rsidP="009570CA">
      <w:pPr>
        <w:pStyle w:val="Number0205"/>
        <w:ind w:left="0" w:firstLine="0"/>
        <w:jc w:val="center"/>
      </w:pPr>
      <w:r>
        <w:rPr>
          <w:noProof/>
        </w:rPr>
        <w:drawing>
          <wp:inline distT="0" distB="0" distL="0" distR="0" wp14:anchorId="043C1A45" wp14:editId="248E1892">
            <wp:extent cx="3449171" cy="3086100"/>
            <wp:effectExtent l="0" t="0" r="0" b="0"/>
            <wp:docPr id="1756779581" name="Picture 3"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9581" name="Picture 3" descr="Graphical user interface, text, application, email&#10;&#10;AI-generated content may be incorrect."/>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3453401" cy="3089885"/>
                    </a:xfrm>
                    <a:prstGeom prst="rect">
                      <a:avLst/>
                    </a:prstGeom>
                    <a:noFill/>
                    <a:ln>
                      <a:noFill/>
                    </a:ln>
                  </pic:spPr>
                </pic:pic>
              </a:graphicData>
            </a:graphic>
          </wp:inline>
        </w:drawing>
      </w:r>
    </w:p>
    <w:p w14:paraId="23B054A5" w14:textId="77777777" w:rsidR="00A51226" w:rsidRDefault="00A51226" w:rsidP="006D5A65">
      <w:pPr>
        <w:pStyle w:val="Heading1"/>
      </w:pPr>
      <w:r>
        <w:t>Ensure the Media button is selected for a distribution mode.</w:t>
      </w:r>
    </w:p>
    <w:p w14:paraId="576A446A" w14:textId="000FA97F" w:rsidR="00642C0D" w:rsidRPr="000665B0" w:rsidRDefault="00F74E68" w:rsidP="006D5A65">
      <w:pPr>
        <w:pStyle w:val="Heading1"/>
      </w:pPr>
      <w:r w:rsidRPr="000665B0">
        <w:t xml:space="preserve">Click the To button to display the Address Book. (This step is optional as described in the opening paragraph. However, if the operator chooses to use this option, then the appropriate </w:t>
      </w:r>
      <w:r w:rsidRPr="000665B0">
        <w:lastRenderedPageBreak/>
        <w:t>platform type checkboxes are automatically checked. If not performing this step, skip to Step 5</w:t>
      </w:r>
      <w:r w:rsidR="00642C0D" w:rsidRPr="000665B0">
        <w:t>.</w:t>
      </w:r>
      <w:r w:rsidRPr="000665B0">
        <w:t xml:space="preserve">) </w:t>
      </w:r>
    </w:p>
    <w:p w14:paraId="4D4C539D" w14:textId="7DFD90C6" w:rsidR="00642C0D" w:rsidRPr="000665B0" w:rsidRDefault="00F74E68" w:rsidP="006D5A65">
      <w:pPr>
        <w:pStyle w:val="Heading1"/>
      </w:pPr>
      <w:r w:rsidRPr="000665B0">
        <w:t>Select the appropriate recipient(s) in the left column of the Address Book and then click To</w:t>
      </w:r>
      <w:r w:rsidR="006A0D2B" w:rsidRPr="000665B0">
        <w:t>-&gt;</w:t>
      </w:r>
      <w:r w:rsidRPr="000665B0">
        <w:t xml:space="preserve"> in the middle of the window to move the selected recipient(s) to the right column. Click OK when complete.</w:t>
      </w:r>
    </w:p>
    <w:p w14:paraId="5985BC03" w14:textId="02012A1A" w:rsidR="00CA7ED5" w:rsidRDefault="00B2007D" w:rsidP="006D5A65">
      <w:pPr>
        <w:pStyle w:val="Heading3"/>
      </w:pPr>
      <w:r w:rsidRPr="000665B0">
        <w:t>A new group can be created for recipients that are commonly grouped together (see</w:t>
      </w:r>
      <w:r w:rsidR="00E579B7">
        <w:t xml:space="preserve"> </w:t>
      </w:r>
      <w:hyperlink w:anchor="_5.21.2.2__Create" w:history="1">
        <w:r w:rsidR="00D81768" w:rsidRPr="008F28ED">
          <w:rPr>
            <w:rStyle w:val="Hyperlink"/>
          </w:rPr>
          <w:t xml:space="preserve">Section </w:t>
        </w:r>
        <w:r w:rsidR="004231CC">
          <w:rPr>
            <w:rStyle w:val="Hyperlink"/>
          </w:rPr>
          <w:t>5.16</w:t>
        </w:r>
        <w:r w:rsidR="00D81768" w:rsidRPr="008F28ED">
          <w:rPr>
            <w:rStyle w:val="Hyperlink"/>
          </w:rPr>
          <w:t>.</w:t>
        </w:r>
        <w:r w:rsidR="008F28ED" w:rsidRPr="008F28ED">
          <w:rPr>
            <w:rStyle w:val="Hyperlink"/>
          </w:rPr>
          <w:t>3.1.1</w:t>
        </w:r>
      </w:hyperlink>
      <w:r w:rsidRPr="000665B0">
        <w:t>). A new group may also be created that is based on an existing group or a group can be renamed (see</w:t>
      </w:r>
      <w:r w:rsidR="008F28ED">
        <w:t xml:space="preserve"> </w:t>
      </w:r>
      <w:hyperlink w:anchor="_5.21.2.2__Create" w:history="1">
        <w:r w:rsidR="008F28ED" w:rsidRPr="008F28ED">
          <w:rPr>
            <w:rStyle w:val="Hyperlink"/>
          </w:rPr>
          <w:t xml:space="preserve">Section </w:t>
        </w:r>
        <w:r w:rsidR="004231CC">
          <w:rPr>
            <w:rStyle w:val="Hyperlink"/>
          </w:rPr>
          <w:t>5.16</w:t>
        </w:r>
        <w:r w:rsidR="008F28ED" w:rsidRPr="008F28ED">
          <w:rPr>
            <w:rStyle w:val="Hyperlink"/>
          </w:rPr>
          <w:t>.3.1.1</w:t>
        </w:r>
      </w:hyperlink>
      <w:r w:rsidRPr="000665B0">
        <w:t xml:space="preserve">). A group can also be deleted (see </w:t>
      </w:r>
      <w:hyperlink w:anchor="_Delete_Group" w:history="1">
        <w:r w:rsidR="0063709E">
          <w:rPr>
            <w:rStyle w:val="Hyperlink"/>
          </w:rPr>
          <w:t xml:space="preserve">Section </w:t>
        </w:r>
        <w:r w:rsidR="004231CC">
          <w:rPr>
            <w:rStyle w:val="Hyperlink"/>
          </w:rPr>
          <w:t>5.16</w:t>
        </w:r>
        <w:r w:rsidR="0063709E">
          <w:rPr>
            <w:rStyle w:val="Hyperlink"/>
          </w:rPr>
          <w:t>.3.1.2</w:t>
        </w:r>
      </w:hyperlink>
      <w:r w:rsidRPr="000665B0">
        <w:t>).</w:t>
      </w:r>
    </w:p>
    <w:p w14:paraId="21FED0BE" w14:textId="21D4569F" w:rsidR="001A55F4" w:rsidRPr="000665B0" w:rsidRDefault="001A55F4" w:rsidP="006D5A65">
      <w:pPr>
        <w:pStyle w:val="Heading3"/>
      </w:pPr>
      <w:r>
        <w:t xml:space="preserve">After clicking </w:t>
      </w:r>
      <w:r w:rsidRPr="006E4B14">
        <w:rPr>
          <w:bCs/>
        </w:rPr>
        <w:t>OK</w:t>
      </w:r>
      <w:r>
        <w:t xml:space="preserve">, the appropriate platform types will be automatically checked in the </w:t>
      </w:r>
      <w:r w:rsidRPr="006E4B14">
        <w:rPr>
          <w:i/>
          <w:iCs/>
        </w:rPr>
        <w:t>Media Information</w:t>
      </w:r>
      <w:r>
        <w:t xml:space="preserve"> pane’s Versions Options section (see step 10). </w:t>
      </w:r>
    </w:p>
    <w:p w14:paraId="09562158" w14:textId="77777777" w:rsidR="00F74E68" w:rsidRPr="000665B0" w:rsidRDefault="00F74E68" w:rsidP="006D5A65">
      <w:pPr>
        <w:pStyle w:val="Heading1"/>
      </w:pPr>
      <w:r w:rsidRPr="000665B0">
        <w:t xml:space="preserve">Enter an Objective for the message (optional). </w:t>
      </w:r>
    </w:p>
    <w:p w14:paraId="52D5C25F" w14:textId="4F98B030" w:rsidR="00F74E68" w:rsidRPr="000665B0" w:rsidRDefault="00F74E68" w:rsidP="006D5A65">
      <w:pPr>
        <w:pStyle w:val="Heading1"/>
      </w:pPr>
      <w:r w:rsidRPr="000665B0">
        <w:t xml:space="preserve">In the Media Information pane, </w:t>
      </w:r>
      <w:r w:rsidR="006A0D2B" w:rsidRPr="000665B0">
        <w:t>click</w:t>
      </w:r>
      <w:r w:rsidRPr="000665B0">
        <w:t xml:space="preserve"> Browse to choose a destination. The </w:t>
      </w:r>
      <w:r w:rsidRPr="000665B0">
        <w:rPr>
          <w:i/>
        </w:rPr>
        <w:t>Browse for Folder</w:t>
      </w:r>
      <w:r w:rsidRPr="000665B0">
        <w:t xml:space="preserve"> window is displayed.</w:t>
      </w:r>
    </w:p>
    <w:p w14:paraId="6D8EA973" w14:textId="6DBA84AB" w:rsidR="00F74E68" w:rsidRPr="000665B0" w:rsidRDefault="00080427" w:rsidP="009570CA">
      <w:pPr>
        <w:jc w:val="center"/>
        <w:rPr>
          <w:noProof/>
        </w:rPr>
      </w:pPr>
      <w:r w:rsidRPr="000665B0">
        <w:rPr>
          <w:noProof/>
        </w:rPr>
        <w:drawing>
          <wp:inline distT="0" distB="0" distL="0" distR="0" wp14:anchorId="6E513DDE" wp14:editId="2F802F23">
            <wp:extent cx="2286000" cy="2020824"/>
            <wp:effectExtent l="0" t="0" r="0" b="0"/>
            <wp:docPr id="1930" name="Picture 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2020824"/>
                    </a:xfrm>
                    <a:prstGeom prst="rect">
                      <a:avLst/>
                    </a:prstGeom>
                  </pic:spPr>
                </pic:pic>
              </a:graphicData>
            </a:graphic>
          </wp:inline>
        </w:drawing>
      </w:r>
    </w:p>
    <w:p w14:paraId="1507930C" w14:textId="77777777" w:rsidR="00F74E68" w:rsidRPr="000665B0" w:rsidRDefault="00F74E68" w:rsidP="006D5A65">
      <w:pPr>
        <w:pStyle w:val="Heading1"/>
      </w:pPr>
      <w:r w:rsidRPr="000665B0">
        <w:t>Navigate the file system and select the location where the data is to be stored.</w:t>
      </w:r>
    </w:p>
    <w:p w14:paraId="5EA0E6FC" w14:textId="757C7B94" w:rsidR="00F74E68" w:rsidRPr="000665B0" w:rsidRDefault="00F74E68" w:rsidP="006D5A65">
      <w:pPr>
        <w:pStyle w:val="Heading1"/>
      </w:pPr>
      <w:r w:rsidRPr="000665B0">
        <w:t xml:space="preserve">Click OK when </w:t>
      </w:r>
      <w:r w:rsidR="006A0D2B" w:rsidRPr="000665B0">
        <w:t xml:space="preserve">the </w:t>
      </w:r>
      <w:r w:rsidRPr="000665B0">
        <w:t>location has been selected.</w:t>
      </w:r>
    </w:p>
    <w:p w14:paraId="6F243BAD" w14:textId="30EDF822" w:rsidR="001A55F4" w:rsidRDefault="001A55F4" w:rsidP="006D5A65">
      <w:pPr>
        <w:pStyle w:val="Heading1"/>
      </w:pPr>
      <w:r>
        <w:t xml:space="preserve">Check the </w:t>
      </w:r>
      <w:r w:rsidRPr="006E4B14">
        <w:rPr>
          <w:bCs/>
        </w:rPr>
        <w:t>Versions Options</w:t>
      </w:r>
      <w:r>
        <w:t xml:space="preserve"> box to </w:t>
      </w:r>
      <w:r w:rsidR="00286D1A">
        <w:t>display the platform types.</w:t>
      </w:r>
    </w:p>
    <w:p w14:paraId="30CC9CAE" w14:textId="2DF80749" w:rsidR="00F74E68" w:rsidRPr="006E4B14" w:rsidRDefault="00F74E68" w:rsidP="006D5A65">
      <w:pPr>
        <w:pStyle w:val="Heading1"/>
        <w:rPr>
          <w:rStyle w:val="Hyperlink"/>
          <w:color w:val="auto"/>
          <w:u w:val="none"/>
        </w:rPr>
      </w:pPr>
      <w:r w:rsidRPr="000665B0">
        <w:t xml:space="preserve">If TTWCS </w:t>
      </w:r>
      <w:r w:rsidR="006A0D2B" w:rsidRPr="000665B0">
        <w:t xml:space="preserve">(TCIDB) </w:t>
      </w:r>
      <w:r w:rsidRPr="000665B0">
        <w:t xml:space="preserve">is checked, select either the Extract or Update button if enabled. </w:t>
      </w:r>
      <w:r w:rsidR="00934E89" w:rsidRPr="000665B0">
        <w:t xml:space="preserve">For detailed </w:t>
      </w:r>
      <w:r w:rsidR="006A0D2B" w:rsidRPr="000665B0">
        <w:t xml:space="preserve">information </w:t>
      </w:r>
      <w:r w:rsidR="00934E89" w:rsidRPr="000665B0">
        <w:t xml:space="preserve">about </w:t>
      </w:r>
      <w:r w:rsidR="006A0D2B" w:rsidRPr="000665B0">
        <w:t>creating TCIDB Extract or Extract Update media</w:t>
      </w:r>
      <w:r w:rsidR="004A556F" w:rsidRPr="000665B0">
        <w:t xml:space="preserve"> (for distribution to a TTWCS platform)</w:t>
      </w:r>
      <w:r w:rsidR="00934E89" w:rsidRPr="000665B0">
        <w:t>,</w:t>
      </w:r>
      <w:r w:rsidR="006A0D2B" w:rsidRPr="000665B0">
        <w:t xml:space="preserve"> </w:t>
      </w:r>
      <w:r w:rsidR="00934E89" w:rsidRPr="000665B0">
        <w:t>see</w:t>
      </w:r>
      <w:r w:rsidR="006A0D2B" w:rsidRPr="000665B0">
        <w:t xml:space="preserve"> </w:t>
      </w:r>
      <w:hyperlink w:anchor="_Appendix_K_Distribution_of_TCIDB's_" w:history="1">
        <w:r w:rsidR="006A0D2B" w:rsidRPr="000665B0">
          <w:rPr>
            <w:rStyle w:val="Hyperlink"/>
          </w:rPr>
          <w:t>Appendix J</w:t>
        </w:r>
      </w:hyperlink>
      <w:r w:rsidR="006A0D2B" w:rsidRPr="00C36B36">
        <w:t>.</w:t>
      </w:r>
    </w:p>
    <w:p w14:paraId="60F11AE6" w14:textId="32540945" w:rsidR="00286D1A" w:rsidRDefault="00286D1A" w:rsidP="006D5A65">
      <w:pPr>
        <w:pStyle w:val="Heading1"/>
      </w:pPr>
      <w:r>
        <w:t>Additional platform versions can be checked.</w:t>
      </w:r>
    </w:p>
    <w:p w14:paraId="5160CC64" w14:textId="2E563381" w:rsidR="00286D1A" w:rsidRPr="000665B0" w:rsidRDefault="00286D1A" w:rsidP="006D5A65">
      <w:pPr>
        <w:pStyle w:val="Heading1"/>
      </w:pPr>
      <w:r>
        <w:t xml:space="preserve">If a particular platform version is unchecked, and there are platforms in the </w:t>
      </w:r>
      <w:r w:rsidRPr="006E4B14">
        <w:rPr>
          <w:bCs/>
        </w:rPr>
        <w:t>To…</w:t>
      </w:r>
      <w:r>
        <w:t xml:space="preserve"> recipient list (see Step 4) that share the </w:t>
      </w:r>
      <w:r>
        <w:lastRenderedPageBreak/>
        <w:t>same version, those platforms will be automatically removed from the recipient list.</w:t>
      </w:r>
    </w:p>
    <w:p w14:paraId="6E1756EF" w14:textId="5ACE222F" w:rsidR="00F74E68" w:rsidRPr="000665B0" w:rsidRDefault="00F74E68" w:rsidP="006D5A65">
      <w:pPr>
        <w:pStyle w:val="Heading1"/>
      </w:pPr>
      <w:r w:rsidRPr="000665B0">
        <w:t xml:space="preserve">In the </w:t>
      </w:r>
      <w:r w:rsidRPr="00C65AF6">
        <w:t>Data Distribution Items</w:t>
      </w:r>
      <w:r w:rsidRPr="000665B0">
        <w:t xml:space="preserve"> </w:t>
      </w:r>
      <w:r w:rsidR="006A0D2B" w:rsidRPr="000665B0">
        <w:t>pane</w:t>
      </w:r>
      <w:r w:rsidRPr="000665B0">
        <w:t>, select the additional data items to be transmitted in the DDO.</w:t>
      </w:r>
    </w:p>
    <w:bookmarkEnd w:id="4489"/>
    <w:p w14:paraId="0B7E8C6D" w14:textId="77777777" w:rsidR="00F74E68" w:rsidRPr="000665B0" w:rsidRDefault="00F74E68" w:rsidP="006D5A65">
      <w:pPr>
        <w:pStyle w:val="Heading2"/>
      </w:pPr>
      <w:r w:rsidRPr="000665B0">
        <w:t xml:space="preserve">Add data items to be transmitted after selecting the appropriate Data tab at the bottom of the window </w:t>
      </w:r>
      <w:r w:rsidRPr="000665B0">
        <w:rPr>
          <w:bCs/>
          <w:color w:val="000000"/>
        </w:rPr>
        <w:t>(i.e., Missions, DSMACs, TERCOMs, etc.)</w:t>
      </w:r>
      <w:r w:rsidRPr="000665B0">
        <w:t>. Right-click in the white area of the DDO Template and select Add…. A selection window specific to the tool that is selected is displayed.</w:t>
      </w:r>
    </w:p>
    <w:p w14:paraId="10DDD890" w14:textId="77777777" w:rsidR="00F74E68" w:rsidRPr="000665B0" w:rsidRDefault="00F74E68" w:rsidP="006D5A65">
      <w:pPr>
        <w:pStyle w:val="Heading3"/>
      </w:pPr>
      <w:r w:rsidRPr="000665B0">
        <w:t xml:space="preserve">Select the desired data item(s). Drag and drop the data item(s) from the window for transfer onto the </w:t>
      </w:r>
      <w:r w:rsidRPr="000665B0">
        <w:rPr>
          <w:i/>
        </w:rPr>
        <w:t>DDO</w:t>
      </w:r>
      <w:r w:rsidRPr="000665B0">
        <w:t xml:space="preserve"> </w:t>
      </w:r>
      <w:r w:rsidRPr="000665B0">
        <w:rPr>
          <w:i/>
        </w:rPr>
        <w:t>Template Data</w:t>
      </w:r>
      <w:r w:rsidRPr="000665B0">
        <w:t xml:space="preserve"> tab.</w:t>
      </w:r>
    </w:p>
    <w:p w14:paraId="29C9D12C" w14:textId="77777777" w:rsidR="00F74E68" w:rsidRPr="000665B0" w:rsidRDefault="00F74E68" w:rsidP="009570CA">
      <w:pPr>
        <w:ind w:left="720"/>
      </w:pPr>
      <w:r w:rsidRPr="000665B0">
        <w:t xml:space="preserve">or </w:t>
      </w:r>
    </w:p>
    <w:p w14:paraId="3E6A5C0D" w14:textId="67FF7575" w:rsidR="00F74E68" w:rsidRPr="000665B0" w:rsidRDefault="00F74E68" w:rsidP="009570CA">
      <w:pPr>
        <w:pStyle w:val="Number0205"/>
      </w:pPr>
      <w:r w:rsidRPr="000665B0">
        <w:t xml:space="preserve">b. </w:t>
      </w:r>
      <w:r w:rsidRPr="000665B0">
        <w:tab/>
        <w:t xml:space="preserve">Select the desired data item(s) and click </w:t>
      </w:r>
      <w:r w:rsidRPr="000665B0">
        <w:rPr>
          <w:b/>
        </w:rPr>
        <w:t xml:space="preserve">OK. </w:t>
      </w:r>
      <w:r w:rsidRPr="000665B0">
        <w:t xml:space="preserve">(For a list of what data can be sent to whom, see </w:t>
      </w:r>
      <w:hyperlink w:anchor="_Appendix_D__DATA_SENT_FROM_PC-MDS" w:history="1">
        <w:r w:rsidRPr="000665B0">
          <w:rPr>
            <w:rStyle w:val="Hyperlink"/>
          </w:rPr>
          <w:t>Appendix D</w:t>
        </w:r>
      </w:hyperlink>
      <w:r w:rsidRPr="000665B0">
        <w:t>.)</w:t>
      </w:r>
    </w:p>
    <w:p w14:paraId="3A375638" w14:textId="218014C1" w:rsidR="00F74E68" w:rsidRPr="000665B0" w:rsidRDefault="00F74E68" w:rsidP="006D5A65">
      <w:pPr>
        <w:pStyle w:val="Heading2"/>
      </w:pPr>
      <w:r w:rsidRPr="000665B0">
        <w:t xml:space="preserve">Repeat as needed for each Data tab at the bottom of the </w:t>
      </w:r>
      <w:r w:rsidRPr="000665B0">
        <w:rPr>
          <w:i/>
        </w:rPr>
        <w:t>DDO Template</w:t>
      </w:r>
      <w:r w:rsidRPr="000665B0">
        <w:t xml:space="preserve"> window.</w:t>
      </w:r>
    </w:p>
    <w:p w14:paraId="7299C236" w14:textId="77777777" w:rsidR="001E6F2E" w:rsidRPr="000665B0" w:rsidRDefault="001E6F2E" w:rsidP="006D5A65">
      <w:pPr>
        <w:pStyle w:val="Heading2"/>
      </w:pPr>
      <w:r w:rsidRPr="000665B0">
        <w:t xml:space="preserve">For the </w:t>
      </w:r>
      <w:r w:rsidRPr="00C65AF6">
        <w:t>Missions</w:t>
      </w:r>
      <w:r w:rsidRPr="000665B0">
        <w:t xml:space="preserve"> tab, select the desired TEF information.</w:t>
      </w:r>
    </w:p>
    <w:p w14:paraId="0FBC7833" w14:textId="77777777" w:rsidR="001E6F2E" w:rsidRPr="000665B0" w:rsidRDefault="001E6F2E" w:rsidP="006D5A65">
      <w:pPr>
        <w:pStyle w:val="Heading1"/>
      </w:pPr>
      <w:r w:rsidRPr="000665B0">
        <w:t>Include 109E TEFs: Includes 109E TEFs of mission, which are needed when missile redirection from the associated mission is performed during post-launch execution.</w:t>
      </w:r>
    </w:p>
    <w:p w14:paraId="4C5BE344" w14:textId="77777777" w:rsidR="001E6F2E" w:rsidRPr="000665B0" w:rsidRDefault="001E6F2E" w:rsidP="006D5A65">
      <w:pPr>
        <w:pStyle w:val="Heading1"/>
      </w:pPr>
      <w:r w:rsidRPr="000665B0">
        <w:t xml:space="preserve">Include All TEFs: Includes Blk III and 109E TEFs of mission. (This also selects and disables Include 109E TEFs and is reflected in the </w:t>
      </w:r>
      <w:r w:rsidRPr="000665B0">
        <w:rPr>
          <w:i/>
        </w:rPr>
        <w:t>Strike Data</w:t>
      </w:r>
      <w:r w:rsidRPr="000665B0">
        <w:t xml:space="preserve"> tab.)</w:t>
      </w:r>
    </w:p>
    <w:p w14:paraId="1889F011" w14:textId="72E518F1" w:rsidR="00974780" w:rsidRDefault="001E6F2E" w:rsidP="006D5A65">
      <w:pPr>
        <w:pStyle w:val="Heading2"/>
      </w:pPr>
      <w:r w:rsidRPr="000665B0">
        <w:t xml:space="preserve">The TEF format typically changes to match each major TMPC version. When sending TEFs to legacy TMPC systems, distribution automatically sends the correct TEF in the proper legacy format that is readable by the legacy system. </w:t>
      </w:r>
      <w:r w:rsidR="00EF5D26">
        <w:rPr>
          <w:szCs w:val="24"/>
        </w:rPr>
        <w:t>MDS displays up to four TEF formats for each mission to support the corresponding TMPC versions.</w:t>
      </w:r>
      <w:r w:rsidRPr="000665B0">
        <w:rPr>
          <w:snapToGrid w:val="0"/>
        </w:rPr>
        <w:t xml:space="preserve"> </w:t>
      </w:r>
      <w:r w:rsidRPr="000665B0">
        <w:t xml:space="preserve">When a DDO is sent, if distribution determines a specific TEF </w:t>
      </w:r>
      <w:r w:rsidR="00E824AD" w:rsidRPr="000665B0">
        <w:t xml:space="preserve">format </w:t>
      </w:r>
      <w:r w:rsidRPr="000665B0">
        <w:t xml:space="preserve">is missing, MDS will task TPS to generate the missing TEF. For more information about TEFs and TEF </w:t>
      </w:r>
      <w:r w:rsidR="00E824AD" w:rsidRPr="000665B0">
        <w:t>formats</w:t>
      </w:r>
      <w:r w:rsidRPr="000665B0">
        <w:t xml:space="preserve">, see </w:t>
      </w:r>
      <w:hyperlink w:anchor="_5.6__MISSIONS" w:history="1">
        <w:r w:rsidRPr="000665B0">
          <w:rPr>
            <w:rStyle w:val="Hyperlink"/>
          </w:rPr>
          <w:t>Section 5.5</w:t>
        </w:r>
      </w:hyperlink>
      <w:r w:rsidRPr="000665B0">
        <w:t xml:space="preserve">. For more information about sending TEFs to legacy TMPC systems, see </w:t>
      </w:r>
      <w:hyperlink w:anchor="_appendix_K_" w:history="1">
        <w:r w:rsidRPr="000665B0">
          <w:rPr>
            <w:rStyle w:val="Hyperlink"/>
          </w:rPr>
          <w:t>Appendix K</w:t>
        </w:r>
      </w:hyperlink>
      <w:r w:rsidRPr="000665B0">
        <w:t>.</w:t>
      </w:r>
    </w:p>
    <w:p w14:paraId="0AD18337" w14:textId="77777777" w:rsidR="00B93DBC" w:rsidRDefault="00974780"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lastRenderedPageBreak/>
        <w:t>Note:</w:t>
      </w:r>
    </w:p>
    <w:p w14:paraId="49A8FA5E" w14:textId="1E6B41BE" w:rsidR="001E6F2E" w:rsidRPr="00BB4EBE" w:rsidRDefault="00974780" w:rsidP="00EE7293">
      <w:pPr>
        <w:keepNext/>
        <w:keepLines/>
        <w:pBdr>
          <w:top w:val="single" w:sz="12" w:space="1" w:color="auto"/>
          <w:left w:val="single" w:sz="12" w:space="4" w:color="auto"/>
          <w:bottom w:val="single" w:sz="12" w:space="1" w:color="auto"/>
          <w:right w:val="single" w:sz="12" w:space="4" w:color="auto"/>
        </w:pBdr>
        <w:shd w:val="clear" w:color="auto" w:fill="D9D9D9"/>
        <w:jc w:val="center"/>
        <w:rPr>
          <w:b/>
          <w:szCs w:val="24"/>
        </w:rPr>
      </w:pPr>
      <w:r>
        <w:rPr>
          <w:b/>
          <w:szCs w:val="24"/>
        </w:rPr>
        <w:t>TMPC 7.0.3 is compatible with TPS 7.0.1 which cannot generate 109M TEFs. Selecting All TEFs will not generate 109M TEFs.</w:t>
      </w:r>
    </w:p>
    <w:p w14:paraId="05ECABA9" w14:textId="44ED60F3" w:rsidR="00F8656E" w:rsidRPr="00F8656E" w:rsidRDefault="00E00BB1" w:rsidP="006D5A65">
      <w:pPr>
        <w:pStyle w:val="Heading1"/>
      </w:pPr>
      <w:r>
        <w:t>MSTM missions can be sent and processed on legacy systems (6.x and 5.x), however they will not have the MSTM tag or any miscodes (</w:t>
      </w:r>
      <w:r>
        <w:rPr>
          <w:bCs/>
        </w:rPr>
        <w:t>5.0.2</w:t>
      </w:r>
      <w:r>
        <w:t xml:space="preserve">). In </w:t>
      </w:r>
      <w:r>
        <w:rPr>
          <w:bCs/>
        </w:rPr>
        <w:t>5.0.2</w:t>
      </w:r>
      <w:r>
        <w:t xml:space="preserve"> and 6.0 MSTM will decode as a 109E.</w:t>
      </w:r>
    </w:p>
    <w:p w14:paraId="2C59B04F" w14:textId="61AD2B75" w:rsidR="00687322" w:rsidRPr="000665B0" w:rsidRDefault="00687322" w:rsidP="006D5A65">
      <w:pPr>
        <w:pStyle w:val="Heading1"/>
      </w:pPr>
      <w:r>
        <w:t xml:space="preserve">Ground Launch Required missions are not recognized by pre-6.0.2 MDS nodes and pre-V5.6.1 TTWCS nodes. </w:t>
      </w:r>
      <w:r w:rsidRPr="000665B0">
        <w:t xml:space="preserve">When a DDO containing a </w:t>
      </w:r>
      <w:r w:rsidR="004A2B19">
        <w:t>Ground Launch</w:t>
      </w:r>
      <w:r>
        <w:t xml:space="preserve"> Required</w:t>
      </w:r>
      <w:r w:rsidRPr="000665B0">
        <w:t xml:space="preserve"> mission is distributed to those nodes, a Data Limitation error is </w:t>
      </w:r>
      <w:r w:rsidR="00F818A5" w:rsidRPr="000665B0">
        <w:t>displayed,</w:t>
      </w:r>
      <w:r w:rsidRPr="000665B0">
        <w:t xml:space="preserve"> and the data will not be sent</w:t>
      </w:r>
      <w:r>
        <w:t>.</w:t>
      </w:r>
    </w:p>
    <w:p w14:paraId="77F37D4E" w14:textId="0C0A7034" w:rsidR="0020230B" w:rsidRPr="000665B0" w:rsidRDefault="0020230B" w:rsidP="006D5A65">
      <w:pPr>
        <w:pStyle w:val="Heading1"/>
      </w:pPr>
      <w:r w:rsidRPr="000665B0">
        <w:t xml:space="preserve">For the </w:t>
      </w:r>
      <w:r w:rsidRPr="00C65AF6">
        <w:t xml:space="preserve">TMPRs </w:t>
      </w:r>
      <w:r w:rsidRPr="000665B0">
        <w:t xml:space="preserve">tab, select desired information for TMPR Data Information. Select </w:t>
      </w:r>
      <w:r w:rsidRPr="00C65AF6">
        <w:t>Include All Associated TMPR Data</w:t>
      </w:r>
      <w:r w:rsidRPr="000665B0">
        <w:t xml:space="preserve"> or any combination of the individual TMPR Data types (</w:t>
      </w:r>
      <w:r w:rsidRPr="00C65AF6">
        <w:t>ACMSs</w:t>
      </w:r>
      <w:r w:rsidRPr="000665B0">
        <w:t xml:space="preserve">, </w:t>
      </w:r>
      <w:r w:rsidRPr="00C65AF6">
        <w:t>Missions</w:t>
      </w:r>
      <w:r w:rsidRPr="000665B0">
        <w:t xml:space="preserve">, </w:t>
      </w:r>
      <w:r w:rsidRPr="00C65AF6">
        <w:t>109E TEFs</w:t>
      </w:r>
      <w:r w:rsidRPr="000665B0">
        <w:t xml:space="preserve">, or </w:t>
      </w:r>
      <w:r w:rsidRPr="00C65AF6">
        <w:t>All TEFs</w:t>
      </w:r>
      <w:r w:rsidRPr="000665B0">
        <w:t>) if so desired.</w:t>
      </w:r>
      <w:r w:rsidR="006B6F7E" w:rsidRPr="000665B0">
        <w:t xml:space="preserve"> Selecting </w:t>
      </w:r>
      <w:r w:rsidR="006B6F7E" w:rsidRPr="00C65AF6">
        <w:t>Include All</w:t>
      </w:r>
      <w:r w:rsidR="006B6F7E" w:rsidRPr="000665B0">
        <w:t xml:space="preserve"> Associated TMPR Data includes all of the data listed below it.</w:t>
      </w:r>
    </w:p>
    <w:p w14:paraId="32FAB6A7" w14:textId="77777777" w:rsidR="008E5842" w:rsidRPr="000665B0" w:rsidRDefault="008E5842" w:rsidP="006D5A65">
      <w:pPr>
        <w:pStyle w:val="Heading1"/>
      </w:pPr>
      <w:r w:rsidRPr="000665B0">
        <w:t>109E TEFs: Includes 109E TEFs of mission, which are needed when missile redirection from the associated mission is performed during post-launch execution.</w:t>
      </w:r>
    </w:p>
    <w:p w14:paraId="573DEFAC" w14:textId="77777777" w:rsidR="008E5842" w:rsidRPr="000665B0" w:rsidRDefault="008E5842" w:rsidP="006D5A65">
      <w:pPr>
        <w:pStyle w:val="Heading1"/>
      </w:pPr>
      <w:r w:rsidRPr="000665B0">
        <w:t xml:space="preserve">All TEFs: Includes Blk III and 109E TEFs of mission. (This also selects and disables Include 109E TEFs and is reflected in the </w:t>
      </w:r>
      <w:r w:rsidRPr="000665B0">
        <w:rPr>
          <w:i/>
        </w:rPr>
        <w:t>Strike Data</w:t>
      </w:r>
      <w:r w:rsidRPr="000665B0">
        <w:t xml:space="preserve"> tab.)</w:t>
      </w:r>
    </w:p>
    <w:p w14:paraId="0DD541C6" w14:textId="7409ADB9" w:rsidR="00974780" w:rsidRDefault="008E5842" w:rsidP="006D5A65">
      <w:pPr>
        <w:pStyle w:val="Heading2"/>
      </w:pPr>
      <w:r w:rsidRPr="000665B0">
        <w:t xml:space="preserve">The TEF format typically changes to match each major TMPC version. When sending TEFs to legacy TMPC systems, distribution automatically sends the correct TEF in the proper legacy format that is readable by the legacy system. </w:t>
      </w:r>
      <w:r w:rsidR="00EF5D26">
        <w:rPr>
          <w:szCs w:val="24"/>
        </w:rPr>
        <w:t>MDS displays up to four TEF formats for each mission to support the corresponding TMPC versions.</w:t>
      </w:r>
      <w:r w:rsidRPr="000665B0">
        <w:rPr>
          <w:snapToGrid w:val="0"/>
        </w:rPr>
        <w:t xml:space="preserve"> </w:t>
      </w:r>
      <w:r w:rsidRPr="000665B0">
        <w:t xml:space="preserve">When a DDO is sent, if distribution determines a specific TEF </w:t>
      </w:r>
      <w:r w:rsidR="00E824AD" w:rsidRPr="000665B0">
        <w:t xml:space="preserve">format </w:t>
      </w:r>
      <w:r w:rsidRPr="000665B0">
        <w:t xml:space="preserve">is missing, MDS will task TPS to generate the missing TEF. For more information about TEFs and TEF </w:t>
      </w:r>
      <w:r w:rsidR="00E824AD" w:rsidRPr="000665B0">
        <w:t>formats</w:t>
      </w:r>
      <w:r w:rsidRPr="000665B0">
        <w:t xml:space="preserve">, see </w:t>
      </w:r>
      <w:hyperlink w:anchor="_5.6__MISSIONS" w:history="1">
        <w:r w:rsidRPr="000665B0">
          <w:rPr>
            <w:rStyle w:val="Hyperlink"/>
          </w:rPr>
          <w:t>Section 5.5</w:t>
        </w:r>
      </w:hyperlink>
      <w:r w:rsidRPr="000665B0">
        <w:t xml:space="preserve">. For more information about sending TEFs to legacy TMPC systems, see </w:t>
      </w:r>
      <w:hyperlink w:anchor="_appendix_K_" w:history="1">
        <w:r w:rsidRPr="000665B0">
          <w:rPr>
            <w:rStyle w:val="Hyperlink"/>
          </w:rPr>
          <w:t>Appendix K</w:t>
        </w:r>
      </w:hyperlink>
      <w:r w:rsidRPr="000665B0">
        <w:t>.</w:t>
      </w:r>
    </w:p>
    <w:p w14:paraId="4948F703" w14:textId="77777777" w:rsidR="00974780" w:rsidRPr="000665B0" w:rsidRDefault="00974780"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077F1FFC" w14:textId="084BDCEA" w:rsidR="008E5842" w:rsidRPr="00BB4EBE" w:rsidRDefault="00974780" w:rsidP="00BB4EBE">
      <w:pPr>
        <w:keepNext/>
        <w:keepLines/>
        <w:pBdr>
          <w:top w:val="single" w:sz="12" w:space="1" w:color="auto"/>
          <w:left w:val="single" w:sz="12" w:space="4" w:color="auto"/>
          <w:bottom w:val="single" w:sz="12" w:space="1" w:color="auto"/>
          <w:right w:val="single" w:sz="12" w:space="4" w:color="auto"/>
        </w:pBdr>
        <w:shd w:val="clear" w:color="auto" w:fill="D9D9D9"/>
        <w:jc w:val="center"/>
        <w:rPr>
          <w:b/>
          <w:szCs w:val="24"/>
        </w:rPr>
      </w:pPr>
      <w:r>
        <w:rPr>
          <w:b/>
          <w:szCs w:val="24"/>
        </w:rPr>
        <w:t>TMPC 7.0.3 is compatible with TPS 7.0.1 which cannot generate 109M TEFs. Selecting All TEFs will not generate 109M TEFs.</w:t>
      </w:r>
    </w:p>
    <w:p w14:paraId="1398E4F1" w14:textId="52B609AF" w:rsidR="00C05782" w:rsidRDefault="00F30E2A" w:rsidP="006D5A65">
      <w:pPr>
        <w:pStyle w:val="Heading1"/>
      </w:pPr>
      <w:r>
        <w:t>TMPRs that specify use of a MSTM</w:t>
      </w:r>
      <w:r w:rsidR="00C05782" w:rsidRPr="000665B0">
        <w:t xml:space="preserve"> are not recognized by pre-7.0 MDS nodes and TTWCS nodes. When a DDO containing a MSTM TMPR is distributed to those nodes, a Data Limitation error is </w:t>
      </w:r>
      <w:r w:rsidR="00F818A5" w:rsidRPr="000665B0">
        <w:t>displayed,</w:t>
      </w:r>
      <w:r w:rsidR="00C05782" w:rsidRPr="000665B0">
        <w:t xml:space="preserve"> and the data will not be sent.</w:t>
      </w:r>
    </w:p>
    <w:p w14:paraId="65027C63" w14:textId="2C9E5E42" w:rsidR="00687322" w:rsidRPr="000665B0" w:rsidRDefault="00687322" w:rsidP="006D5A65">
      <w:pPr>
        <w:pStyle w:val="Heading1"/>
      </w:pPr>
      <w:r>
        <w:t xml:space="preserve">Ground Launch Required TMPRs are not recognized by pre-6.0.2 MDS nodes and TTWCS nodes. </w:t>
      </w:r>
      <w:r w:rsidRPr="000665B0">
        <w:t xml:space="preserve">When a DDO containing a </w:t>
      </w:r>
      <w:r>
        <w:t xml:space="preserve">Ground </w:t>
      </w:r>
      <w:r>
        <w:lastRenderedPageBreak/>
        <w:t>Launch Required</w:t>
      </w:r>
      <w:r w:rsidRPr="000665B0">
        <w:t xml:space="preserve"> mission is distributed to those nodes, a Data Limitation error is </w:t>
      </w:r>
      <w:r w:rsidR="00F818A5" w:rsidRPr="000665B0">
        <w:t>displayed,</w:t>
      </w:r>
      <w:r w:rsidRPr="000665B0">
        <w:t xml:space="preserve"> and the data will not be sent</w:t>
      </w:r>
      <w:r>
        <w:t>.</w:t>
      </w:r>
    </w:p>
    <w:p w14:paraId="6EDB0435" w14:textId="5292E217" w:rsidR="000754AE" w:rsidRPr="000665B0" w:rsidRDefault="000754AE" w:rsidP="006D5A65">
      <w:pPr>
        <w:pStyle w:val="Heading1"/>
      </w:pPr>
      <w:r w:rsidRPr="000665B0">
        <w:t xml:space="preserve">For the </w:t>
      </w:r>
      <w:r w:rsidRPr="000665B0">
        <w:rPr>
          <w:i/>
        </w:rPr>
        <w:t xml:space="preserve">Queries </w:t>
      </w:r>
      <w:r w:rsidRPr="000665B0">
        <w:t xml:space="preserve">tab: Mission Queries that include a query by missile type of MSTM are not recognized by pre-7.0 MDS nodes and pre-V5.6.1 TTWCS nodes. When a DDO containing a MSTM Mission Query is distributed to those nodes, a Data Limitation error is </w:t>
      </w:r>
      <w:r w:rsidR="00F818A5" w:rsidRPr="000665B0">
        <w:t>displayed,</w:t>
      </w:r>
      <w:r w:rsidRPr="000665B0">
        <w:t xml:space="preserve"> and the data will not be sent.</w:t>
      </w:r>
    </w:p>
    <w:p w14:paraId="531B06CE" w14:textId="56B58311" w:rsidR="00F74E68" w:rsidRPr="000665B0" w:rsidRDefault="00F74E68" w:rsidP="006D5A65">
      <w:pPr>
        <w:pStyle w:val="Heading1"/>
      </w:pPr>
      <w:r w:rsidRPr="000665B0">
        <w:t xml:space="preserve">For the </w:t>
      </w:r>
      <w:r w:rsidRPr="000665B0">
        <w:rPr>
          <w:i/>
        </w:rPr>
        <w:t>Strike Data</w:t>
      </w:r>
      <w:r w:rsidRPr="000665B0">
        <w:t xml:space="preserve"> tab, select the Include All Strike Data or any combination of the individual Strike Data types if so desired</w:t>
      </w:r>
      <w:r w:rsidR="00D62772" w:rsidRPr="000665B0">
        <w:t xml:space="preserve"> (see</w:t>
      </w:r>
      <w:r w:rsidR="006E039B">
        <w:t xml:space="preserve"> </w:t>
      </w:r>
      <w:hyperlink w:anchor="_5.21.2.1__Create" w:history="1">
        <w:r w:rsidR="007E7958">
          <w:rPr>
            <w:rStyle w:val="Hyperlink"/>
          </w:rPr>
          <w:t xml:space="preserve">Section </w:t>
        </w:r>
        <w:r w:rsidR="004231CC">
          <w:rPr>
            <w:rStyle w:val="Hyperlink"/>
          </w:rPr>
          <w:t>5.16</w:t>
        </w:r>
        <w:r w:rsidR="007E7958">
          <w:rPr>
            <w:rStyle w:val="Hyperlink"/>
          </w:rPr>
          <w:t>.3.1</w:t>
        </w:r>
      </w:hyperlink>
      <w:r w:rsidR="00D62772" w:rsidRPr="000665B0">
        <w:t>)</w:t>
      </w:r>
      <w:r w:rsidRPr="000665B0">
        <w:t>.</w:t>
      </w:r>
    </w:p>
    <w:p w14:paraId="07A7F7A8" w14:textId="3A806ECE" w:rsidR="00A17BA4" w:rsidRPr="000665B0" w:rsidRDefault="00A17BA4" w:rsidP="006D5A65">
      <w:pPr>
        <w:pStyle w:val="Heading1"/>
      </w:pPr>
      <w:r>
        <w:t xml:space="preserve">Ground Launch (GL) Required strike data is not recognized by pre-6.0.2 MDS nodes and pre-V5.6.1 TTWCS nodes. </w:t>
      </w:r>
      <w:r w:rsidRPr="000665B0">
        <w:t>When a DDO contain</w:t>
      </w:r>
      <w:r w:rsidR="00AD6369">
        <w:t>s</w:t>
      </w:r>
      <w:r w:rsidRPr="000665B0">
        <w:t xml:space="preserve"> a strike folder (with a strike option containing </w:t>
      </w:r>
      <w:r>
        <w:t xml:space="preserve">GL Required </w:t>
      </w:r>
      <w:r w:rsidRPr="000665B0">
        <w:t xml:space="preserve">tasking such as </w:t>
      </w:r>
      <w:r>
        <w:t>GL Required mission</w:t>
      </w:r>
      <w:r w:rsidRPr="000665B0">
        <w:t xml:space="preserve"> assignments</w:t>
      </w:r>
      <w:r>
        <w:t>)</w:t>
      </w:r>
      <w:r w:rsidRPr="000665B0">
        <w:t>, the following occurs:</w:t>
      </w:r>
    </w:p>
    <w:p w14:paraId="660808C2" w14:textId="7C751E53" w:rsidR="00A17BA4" w:rsidRPr="000665B0" w:rsidRDefault="00A17BA4" w:rsidP="006D5A65">
      <w:pPr>
        <w:pStyle w:val="Heading1"/>
      </w:pPr>
      <w:r w:rsidRPr="000665B0">
        <w:t xml:space="preserve">All </w:t>
      </w:r>
      <w:r>
        <w:t>GL Required</w:t>
      </w:r>
      <w:r w:rsidRPr="000665B0">
        <w:t xml:space="preserve"> assignments appear on MDS 5.x </w:t>
      </w:r>
      <w:r>
        <w:t>and pre-6.0.2 as having</w:t>
      </w:r>
      <w:r w:rsidR="00AD6369">
        <w:t xml:space="preserve"> a</w:t>
      </w:r>
      <w:r>
        <w:t xml:space="preserve"> missing mission in the strike folder MCM and in the Mission tab and </w:t>
      </w:r>
      <w:r w:rsidR="00AD6369">
        <w:t xml:space="preserve">a </w:t>
      </w:r>
      <w:r>
        <w:t xml:space="preserve">reservation in </w:t>
      </w:r>
      <w:r w:rsidR="00AD6369">
        <w:t xml:space="preserve">the </w:t>
      </w:r>
      <w:r>
        <w:t xml:space="preserve">Missile tab </w:t>
      </w:r>
      <w:r w:rsidR="00AD6369">
        <w:t>under Strike Option</w:t>
      </w:r>
      <w:r>
        <w:t>.</w:t>
      </w:r>
    </w:p>
    <w:p w14:paraId="5D44D7C3" w14:textId="77777777" w:rsidR="00A17BA4" w:rsidRPr="00FD57C7" w:rsidRDefault="00A17BA4" w:rsidP="006D5A65">
      <w:pPr>
        <w:pStyle w:val="Heading1"/>
      </w:pPr>
      <w:r w:rsidRPr="000665B0">
        <w:t xml:space="preserve">All </w:t>
      </w:r>
      <w:r>
        <w:t>GL Required</w:t>
      </w:r>
      <w:r w:rsidRPr="000665B0">
        <w:t xml:space="preserve"> TMPRs display a Status of Missing TMPR in the strike folder MCM and strike option.</w:t>
      </w:r>
    </w:p>
    <w:p w14:paraId="02AE95BF" w14:textId="6B20B769" w:rsidR="00851F9D" w:rsidRPr="000665B0" w:rsidRDefault="001170C4" w:rsidP="006D5A65">
      <w:pPr>
        <w:pStyle w:val="Heading1"/>
      </w:pPr>
      <w:r w:rsidRPr="000665B0">
        <w:t>MSTM</w:t>
      </w:r>
      <w:r w:rsidR="00851F9D" w:rsidRPr="000665B0">
        <w:t xml:space="preserve"> strike data is</w:t>
      </w:r>
      <w:r w:rsidR="00EF3151" w:rsidRPr="000665B0">
        <w:t xml:space="preserve"> not recognized by pre-7.0 MDS nodes and pre-V5.6.1 TTWCS nodes. When a DDO containing </w:t>
      </w:r>
      <w:r w:rsidRPr="000665B0">
        <w:t xml:space="preserve">a </w:t>
      </w:r>
      <w:r w:rsidR="00851F9D" w:rsidRPr="000665B0">
        <w:t>MSTM</w:t>
      </w:r>
      <w:r w:rsidR="00DC36E6" w:rsidRPr="000665B0">
        <w:t xml:space="preserve"> s</w:t>
      </w:r>
      <w:r w:rsidR="00851F9D" w:rsidRPr="000665B0">
        <w:t xml:space="preserve">trike </w:t>
      </w:r>
      <w:r w:rsidR="00DC36E6" w:rsidRPr="000665B0">
        <w:t>f</w:t>
      </w:r>
      <w:r w:rsidR="00851F9D" w:rsidRPr="000665B0">
        <w:t>older</w:t>
      </w:r>
      <w:r w:rsidR="00DC36E6" w:rsidRPr="000665B0">
        <w:t xml:space="preserve"> </w:t>
      </w:r>
      <w:r w:rsidR="00851F9D" w:rsidRPr="000665B0">
        <w:t>(with</w:t>
      </w:r>
      <w:r w:rsidR="00DC36E6" w:rsidRPr="000665B0">
        <w:t xml:space="preserve"> a </w:t>
      </w:r>
      <w:r w:rsidR="00851F9D" w:rsidRPr="000665B0">
        <w:t xml:space="preserve">MSTM </w:t>
      </w:r>
      <w:r w:rsidR="00DC36E6" w:rsidRPr="000665B0">
        <w:t>s</w:t>
      </w:r>
      <w:r w:rsidR="00851F9D" w:rsidRPr="000665B0">
        <w:t xml:space="preserve">trike </w:t>
      </w:r>
      <w:r w:rsidR="00DC36E6" w:rsidRPr="000665B0">
        <w:t>o</w:t>
      </w:r>
      <w:r w:rsidR="00851F9D" w:rsidRPr="000665B0">
        <w:t>ption</w:t>
      </w:r>
      <w:r w:rsidR="00DC36E6" w:rsidRPr="000665B0">
        <w:t xml:space="preserve"> </w:t>
      </w:r>
      <w:r w:rsidR="00851F9D" w:rsidRPr="000665B0">
        <w:t>containing</w:t>
      </w:r>
      <w:r w:rsidR="00DC36E6" w:rsidRPr="000665B0">
        <w:t xml:space="preserve"> </w:t>
      </w:r>
      <w:r w:rsidR="00851F9D" w:rsidRPr="000665B0">
        <w:t>MSTM tasking such as MSTM assignments, MSTM Full and CFF LMOs</w:t>
      </w:r>
      <w:r w:rsidRPr="000665B0">
        <w:t>,</w:t>
      </w:r>
      <w:r w:rsidR="00851F9D" w:rsidRPr="000665B0">
        <w:t xml:space="preserve"> and</w:t>
      </w:r>
      <w:r w:rsidR="00DC36E6" w:rsidRPr="000665B0">
        <w:t xml:space="preserve"> </w:t>
      </w:r>
      <w:r w:rsidR="00F30E2A">
        <w:t>TMPRs that specify use of a MSTM</w:t>
      </w:r>
      <w:r w:rsidR="00851F9D" w:rsidRPr="000665B0">
        <w:t>)</w:t>
      </w:r>
      <w:r w:rsidRPr="000665B0">
        <w:t xml:space="preserve"> is distributed to those nodes, the following occurs:</w:t>
      </w:r>
    </w:p>
    <w:p w14:paraId="0B8F5BA8" w14:textId="61C6C307" w:rsidR="001170C4" w:rsidRPr="000665B0" w:rsidRDefault="001170C4" w:rsidP="006D5A65">
      <w:pPr>
        <w:pStyle w:val="Heading1"/>
      </w:pPr>
      <w:r w:rsidRPr="000665B0">
        <w:t xml:space="preserve">All MSTM LMOs are removed from the LMO folder within the </w:t>
      </w:r>
      <w:r w:rsidR="00DC36E6" w:rsidRPr="000665B0">
        <w:t>s</w:t>
      </w:r>
      <w:r w:rsidRPr="000665B0">
        <w:t xml:space="preserve">trike </w:t>
      </w:r>
      <w:r w:rsidR="00DC36E6" w:rsidRPr="000665B0">
        <w:t>f</w:t>
      </w:r>
      <w:r w:rsidRPr="000665B0">
        <w:t>older and are not sent.</w:t>
      </w:r>
    </w:p>
    <w:p w14:paraId="7EB37103" w14:textId="44DE7B61" w:rsidR="00851F9D" w:rsidRPr="000665B0" w:rsidRDefault="00851F9D" w:rsidP="006D5A65">
      <w:pPr>
        <w:pStyle w:val="Heading1"/>
      </w:pPr>
      <w:r w:rsidRPr="000665B0">
        <w:t xml:space="preserve">All MSTM </w:t>
      </w:r>
      <w:r w:rsidR="001170C4" w:rsidRPr="000665B0">
        <w:t>assignments</w:t>
      </w:r>
      <w:r w:rsidRPr="000665B0">
        <w:t xml:space="preserve"> </w:t>
      </w:r>
      <w:r w:rsidR="001170C4" w:rsidRPr="000665B0">
        <w:t>appear on MDS 5.x and 6.</w:t>
      </w:r>
      <w:r w:rsidR="00DC36E6" w:rsidRPr="000665B0">
        <w:t>x</w:t>
      </w:r>
      <w:r w:rsidR="001170C4" w:rsidRPr="000665B0">
        <w:t xml:space="preserve"> as </w:t>
      </w:r>
      <w:r w:rsidRPr="000665B0">
        <w:t xml:space="preserve">109E </w:t>
      </w:r>
      <w:r w:rsidR="001170C4" w:rsidRPr="000665B0">
        <w:t>c</w:t>
      </w:r>
      <w:r w:rsidRPr="000665B0">
        <w:t>omms</w:t>
      </w:r>
      <w:r w:rsidR="001170C4" w:rsidRPr="000665B0">
        <w:t>-d</w:t>
      </w:r>
      <w:r w:rsidRPr="000665B0">
        <w:t>isabled reservations.</w:t>
      </w:r>
    </w:p>
    <w:p w14:paraId="3B16160B" w14:textId="77777777" w:rsidR="00974780" w:rsidRDefault="00851F9D" w:rsidP="006D5A65">
      <w:pPr>
        <w:pStyle w:val="Heading1"/>
      </w:pPr>
      <w:r w:rsidRPr="000665B0">
        <w:t xml:space="preserve">All </w:t>
      </w:r>
      <w:r w:rsidR="00F30E2A">
        <w:t>TMPRs that specify use of a MSTM</w:t>
      </w:r>
      <w:r w:rsidRPr="000665B0">
        <w:t xml:space="preserve"> </w:t>
      </w:r>
      <w:r w:rsidR="001170C4" w:rsidRPr="000665B0">
        <w:t>display</w:t>
      </w:r>
      <w:r w:rsidRPr="000665B0">
        <w:t xml:space="preserve"> a Status of Missing TMPR in the </w:t>
      </w:r>
      <w:r w:rsidR="00DC36E6" w:rsidRPr="000665B0">
        <w:t>s</w:t>
      </w:r>
      <w:r w:rsidRPr="000665B0">
        <w:t xml:space="preserve">trike </w:t>
      </w:r>
      <w:r w:rsidR="00DC36E6" w:rsidRPr="000665B0">
        <w:t>f</w:t>
      </w:r>
      <w:r w:rsidRPr="000665B0">
        <w:t xml:space="preserve">older MCM and </w:t>
      </w:r>
      <w:r w:rsidR="00DC36E6" w:rsidRPr="000665B0">
        <w:t>s</w:t>
      </w:r>
      <w:r w:rsidRPr="000665B0">
        <w:t xml:space="preserve">trike </w:t>
      </w:r>
      <w:r w:rsidR="00DC36E6" w:rsidRPr="000665B0">
        <w:t>o</w:t>
      </w:r>
      <w:r w:rsidRPr="000665B0">
        <w:t>ption</w:t>
      </w:r>
      <w:r w:rsidR="00EF3151" w:rsidRPr="000665B0">
        <w:t>.</w:t>
      </w:r>
    </w:p>
    <w:p w14:paraId="59586D93" w14:textId="77777777" w:rsidR="00974780" w:rsidRDefault="00974780" w:rsidP="006D5A65">
      <w:pPr>
        <w:pStyle w:val="Heading1"/>
      </w:pPr>
      <w:r w:rsidRPr="00434FF0">
        <w:t>109M strike data is not recognized by pre-TMPC 7.0.3 nodes and pre-V</w:t>
      </w:r>
      <w:r>
        <w:t xml:space="preserve">7 </w:t>
      </w:r>
      <w:r w:rsidRPr="00434FF0">
        <w:t>TTWCS nodes. When a DDO containing a 109M strike folder (with a 109M strike option containing 109M tasking such as 109M assignments, 109M Full and CFF LMOs) is distributed to those nodes, the following occurs:</w:t>
      </w:r>
    </w:p>
    <w:p w14:paraId="3070887B" w14:textId="77777777" w:rsidR="00974780" w:rsidRDefault="00974780" w:rsidP="006D5A65">
      <w:pPr>
        <w:pStyle w:val="Heading1"/>
      </w:pPr>
      <w:r w:rsidRPr="00434FF0">
        <w:t>All 109M LMOs are removed from the LMO folder within the strike folder and are not sent.</w:t>
      </w:r>
    </w:p>
    <w:p w14:paraId="14A7B9B6" w14:textId="1090F498" w:rsidR="00974780" w:rsidRPr="000665B0" w:rsidRDefault="00974780" w:rsidP="006D5A65">
      <w:pPr>
        <w:pStyle w:val="Heading1"/>
      </w:pPr>
      <w:r w:rsidRPr="00434FF0">
        <w:t>All 109M missile assignments are removed from the strike option and are not sent.</w:t>
      </w:r>
    </w:p>
    <w:p w14:paraId="4EE0F536" w14:textId="7DA921A2" w:rsidR="00F74E68" w:rsidRPr="000665B0" w:rsidRDefault="00F74E68" w:rsidP="006D5A65">
      <w:pPr>
        <w:pStyle w:val="Heading1"/>
      </w:pPr>
      <w:r w:rsidRPr="000665B0">
        <w:t xml:space="preserve">For the </w:t>
      </w:r>
      <w:r w:rsidRPr="000665B0">
        <w:rPr>
          <w:i/>
        </w:rPr>
        <w:t xml:space="preserve">Platforms </w:t>
      </w:r>
      <w:r w:rsidRPr="000665B0">
        <w:t xml:space="preserve">tab, select desired information for Platform Information, Missile Inventory, or Node Inventory if </w:t>
      </w:r>
      <w:r w:rsidRPr="000665B0">
        <w:lastRenderedPageBreak/>
        <w:t xml:space="preserve">so desired. At least one checkbox must be selected if platforms are present in the </w:t>
      </w:r>
      <w:r w:rsidRPr="000665B0">
        <w:rPr>
          <w:bCs/>
          <w:i/>
          <w:iCs/>
        </w:rPr>
        <w:t>Platforms</w:t>
      </w:r>
      <w:r w:rsidRPr="000665B0">
        <w:t xml:space="preserve"> tab.</w:t>
      </w:r>
    </w:p>
    <w:p w14:paraId="64F1EA7C" w14:textId="73D5B566" w:rsidR="00AF7414" w:rsidRPr="000665B0" w:rsidRDefault="00986A1B" w:rsidP="006D5A65">
      <w:pPr>
        <w:pStyle w:val="Heading1"/>
      </w:pPr>
      <w:r w:rsidRPr="000665B0">
        <w:t xml:space="preserve">For the </w:t>
      </w:r>
      <w:r w:rsidRPr="000665B0">
        <w:rPr>
          <w:i/>
        </w:rPr>
        <w:t>MTIF Data Files</w:t>
      </w:r>
      <w:r w:rsidRPr="000665B0">
        <w:t xml:space="preserve"> tab: When sending an MTIF Data File, the MTIF Compatibility File (MCF) </w:t>
      </w:r>
      <w:r w:rsidR="00D977A5" w:rsidRPr="000665B0">
        <w:t>is</w:t>
      </w:r>
      <w:r w:rsidRPr="000665B0">
        <w:t xml:space="preserve"> included in the DDO as well. </w:t>
      </w:r>
      <w:r w:rsidR="00AF7414" w:rsidRPr="000665B0">
        <w:t>When sending the OES Version file with the ID specified in the MCF, the MCF is included in the DDO.</w:t>
      </w:r>
    </w:p>
    <w:p w14:paraId="7C638445" w14:textId="67F87D92" w:rsidR="00986A1B" w:rsidRPr="000665B0" w:rsidRDefault="00AF7414" w:rsidP="006D5A65">
      <w:pPr>
        <w:pStyle w:val="Heading1"/>
      </w:pPr>
      <w:r w:rsidRPr="000665B0">
        <w:t xml:space="preserve">The MTIF/MCF files are not recognized by pre-7.0 MDS nodes and pre-V5.6.1 TTWCS nodes. When a DDO containing MTIF/MCF files is distributed to those nodes, a Data Limitation error is </w:t>
      </w:r>
      <w:r w:rsidR="00F818A5" w:rsidRPr="000665B0">
        <w:t>displayed,</w:t>
      </w:r>
      <w:r w:rsidRPr="000665B0">
        <w:t xml:space="preserve"> and the data will not be sent.</w:t>
      </w:r>
    </w:p>
    <w:p w14:paraId="272BF36F" w14:textId="77777777" w:rsidR="00F74E68" w:rsidRPr="000665B0" w:rsidRDefault="00F74E68" w:rsidP="006D5A65">
      <w:pPr>
        <w:pStyle w:val="Heading1"/>
      </w:pPr>
      <w:r w:rsidRPr="000665B0">
        <w:t xml:space="preserve">From the </w:t>
      </w:r>
      <w:r w:rsidRPr="000665B0">
        <w:rPr>
          <w:iCs/>
        </w:rPr>
        <w:t>File</w:t>
      </w:r>
      <w:r w:rsidRPr="000665B0">
        <w:t xml:space="preserve"> menu select </w:t>
      </w:r>
      <w:r w:rsidRPr="000665B0">
        <w:rPr>
          <w:bCs/>
        </w:rPr>
        <w:t>Save</w:t>
      </w:r>
      <w:r w:rsidRPr="000665B0">
        <w:t>.</w:t>
      </w:r>
    </w:p>
    <w:p w14:paraId="5C26A27E" w14:textId="77777777" w:rsidR="00F74E68" w:rsidRPr="000665B0" w:rsidRDefault="00F74E68" w:rsidP="006D5A65">
      <w:pPr>
        <w:pStyle w:val="Heading1"/>
      </w:pPr>
      <w:r w:rsidRPr="000665B0">
        <w:t xml:space="preserve">Once a DDO Template has been assembled, it does not have to be saved to send it. Saving the DDO Template allows for modification at a later time. </w:t>
      </w:r>
    </w:p>
    <w:p w14:paraId="5134AC51" w14:textId="676C917B" w:rsidR="00F74E68" w:rsidRPr="000665B0" w:rsidRDefault="00F74E68" w:rsidP="006D5A65">
      <w:pPr>
        <w:pStyle w:val="Heading1"/>
      </w:pPr>
      <w:r w:rsidRPr="000665B0">
        <w:t xml:space="preserve">Compatibility checks </w:t>
      </w:r>
      <w:r w:rsidR="006A0D2B" w:rsidRPr="000665B0">
        <w:t xml:space="preserve">and media DDO write permission verifications </w:t>
      </w:r>
      <w:r w:rsidRPr="000665B0">
        <w:t>are performed during the send process and not during the save process. A DDO Template that is saved may encounter transmission problems or incompatibility warnings when it is actually sent</w:t>
      </w:r>
      <w:r w:rsidR="006A0D2B" w:rsidRPr="000665B0">
        <w:t xml:space="preserve"> (see </w:t>
      </w:r>
      <w:r w:rsidR="006A0D2B" w:rsidRPr="008C1D2C">
        <w:t xml:space="preserve">Section </w:t>
      </w:r>
      <w:r w:rsidR="004231CC">
        <w:t>5.16</w:t>
      </w:r>
      <w:r w:rsidR="006A0D2B" w:rsidRPr="008C1D2C">
        <w:t>.</w:t>
      </w:r>
      <w:r w:rsidR="00303BEE" w:rsidRPr="008C1D2C">
        <w:t>4</w:t>
      </w:r>
      <w:r w:rsidR="006A0D2B" w:rsidRPr="000665B0">
        <w:t>)</w:t>
      </w:r>
      <w:r w:rsidRPr="000665B0">
        <w:t>.</w:t>
      </w:r>
    </w:p>
    <w:p w14:paraId="6CC37285" w14:textId="70A5FB7B" w:rsidR="00F74E68" w:rsidRPr="000665B0" w:rsidRDefault="00F74E68" w:rsidP="009570CA">
      <w:pPr>
        <w:pStyle w:val="Heading3"/>
      </w:pPr>
      <w:bookmarkStart w:id="4493" w:name="_5.21.3__Send"/>
      <w:bookmarkStart w:id="4494" w:name="_Send_DDO_Template"/>
      <w:bookmarkStart w:id="4495" w:name="_Toc289328555"/>
      <w:bookmarkStart w:id="4496" w:name="_Toc290363936"/>
      <w:bookmarkStart w:id="4497" w:name="_Toc214283314"/>
      <w:bookmarkEnd w:id="4478"/>
      <w:bookmarkEnd w:id="4492"/>
      <w:bookmarkEnd w:id="4493"/>
      <w:bookmarkEnd w:id="4494"/>
      <w:r w:rsidRPr="000665B0">
        <w:t>Send DDO Template</w:t>
      </w:r>
      <w:bookmarkEnd w:id="4495"/>
      <w:bookmarkEnd w:id="4496"/>
      <w:bookmarkEnd w:id="4497"/>
    </w:p>
    <w:p w14:paraId="7BA04F26" w14:textId="77777777" w:rsidR="000602BF" w:rsidRPr="000665B0" w:rsidRDefault="000602BF" w:rsidP="009570CA">
      <w:pPr>
        <w:pStyle w:val="BodyText"/>
        <w:spacing w:after="120"/>
      </w:pPr>
      <w:r w:rsidRPr="000665B0">
        <w:t xml:space="preserve">Before a user can send a media DDO Template, MDS verifies that the user has write permissions to the chosen directory where the data is to be stored. If the user does not have permission, an error message is displayed in the </w:t>
      </w:r>
      <w:r w:rsidRPr="000665B0">
        <w:rPr>
          <w:b/>
        </w:rPr>
        <w:t>Error Message</w:t>
      </w:r>
      <w:r w:rsidRPr="000665B0">
        <w:t xml:space="preserve"> pane indicating that the chosen directory is invalid, and a different directory must be selected. </w:t>
      </w:r>
    </w:p>
    <w:p w14:paraId="210D4304" w14:textId="0DEFDE03" w:rsidR="00F74E68" w:rsidRPr="000665B0" w:rsidRDefault="000602BF" w:rsidP="009570CA">
      <w:pPr>
        <w:pStyle w:val="BodyText"/>
        <w:spacing w:after="120"/>
      </w:pPr>
      <w:r w:rsidRPr="000665B0">
        <w:t>For both Media and Comms DDO templates, once validation errors (if any) are resolved</w:t>
      </w:r>
      <w:r w:rsidR="00F74E68" w:rsidRPr="000665B0">
        <w:t xml:space="preserve">, MDS formats the data based on the specified recipients and creates one to many DDOs which are sent to the </w:t>
      </w:r>
      <w:r w:rsidR="006F54EA" w:rsidRPr="000665B0">
        <w:rPr>
          <w:szCs w:val="24"/>
        </w:rPr>
        <w:t>Distribution Service</w:t>
      </w:r>
      <w:r w:rsidR="00F74E68" w:rsidRPr="000665B0">
        <w:t xml:space="preserve"> for distribution. See </w:t>
      </w:r>
      <w:hyperlink w:anchor="_5.3__TDM" w:history="1">
        <w:r w:rsidR="00F74E68" w:rsidRPr="000665B0">
          <w:rPr>
            <w:rStyle w:val="Hyperlink"/>
          </w:rPr>
          <w:t>Section 5.3</w:t>
        </w:r>
      </w:hyperlink>
      <w:r w:rsidR="00F74E68" w:rsidRPr="000665B0">
        <w:t xml:space="preserve"> for more information on </w:t>
      </w:r>
      <w:r w:rsidR="006F54EA" w:rsidRPr="000665B0">
        <w:rPr>
          <w:szCs w:val="24"/>
        </w:rPr>
        <w:t>Distribution Service</w:t>
      </w:r>
      <w:r w:rsidR="00F74E68" w:rsidRPr="000665B0">
        <w:t>.</w:t>
      </w:r>
    </w:p>
    <w:p w14:paraId="14D0BD1C" w14:textId="77777777" w:rsidR="00F74E68" w:rsidRPr="000665B0" w:rsidRDefault="00F74E68" w:rsidP="009570CA">
      <w:r w:rsidRPr="000665B0">
        <w:t>To distribute a DDO Template:</w:t>
      </w:r>
    </w:p>
    <w:p w14:paraId="26F387AE" w14:textId="77777777" w:rsidR="00F74E68" w:rsidRPr="000665B0" w:rsidRDefault="00F74E68" w:rsidP="006D5A65">
      <w:pPr>
        <w:pStyle w:val="Heading1"/>
      </w:pPr>
      <w:r w:rsidRPr="000665B0">
        <w:t>Navigate to the DDO Templates Tool and select the desired DDO entry.</w:t>
      </w:r>
    </w:p>
    <w:p w14:paraId="67A8F400" w14:textId="7A6EC204" w:rsidR="00F74E68" w:rsidRPr="000665B0" w:rsidRDefault="00F74E68" w:rsidP="006D5A65">
      <w:pPr>
        <w:pStyle w:val="Heading1"/>
      </w:pPr>
      <w:r w:rsidRPr="000665B0">
        <w:t xml:space="preserve">From the File menu select Display </w:t>
      </w:r>
      <w:r w:rsidRPr="000665B0">
        <w:sym w:font="Wingdings" w:char="F0E0"/>
      </w:r>
      <w:r w:rsidRPr="000665B0">
        <w:t xml:space="preserve"> Textually or invoke the context menu (right-click the mouse) and select Display </w:t>
      </w:r>
      <w:r w:rsidRPr="000665B0">
        <w:sym w:font="Wingdings" w:char="F0E0"/>
      </w:r>
      <w:r w:rsidRPr="000665B0">
        <w:t xml:space="preserve"> </w:t>
      </w:r>
      <w:r w:rsidR="00F818A5" w:rsidRPr="000665B0">
        <w:t>Textually or</w:t>
      </w:r>
      <w:r w:rsidRPr="000665B0">
        <w:t xml:space="preserve"> click the Display Textually </w:t>
      </w:r>
      <w:r w:rsidRPr="000665B0">
        <w:rPr>
          <w:noProof/>
        </w:rPr>
        <w:drawing>
          <wp:inline distT="0" distB="0" distL="0" distR="0" wp14:anchorId="348AF4B6" wp14:editId="345C6373">
            <wp:extent cx="152400" cy="152400"/>
            <wp:effectExtent l="0" t="0" r="0" b="0"/>
            <wp:docPr id="295" name="Picture 295" descr="Description: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Description: 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Bar. The operator may also double-click a template to display textually.</w:t>
      </w:r>
    </w:p>
    <w:p w14:paraId="57A5A361" w14:textId="77777777" w:rsidR="00F74E68" w:rsidRPr="000665B0" w:rsidRDefault="00F74E68" w:rsidP="006D5A65">
      <w:pPr>
        <w:pStyle w:val="Heading1"/>
      </w:pPr>
      <w:r w:rsidRPr="000665B0">
        <w:t xml:space="preserve">From the File menu select Send or click the Send </w:t>
      </w:r>
      <w:r w:rsidRPr="000665B0">
        <w:rPr>
          <w:noProof/>
        </w:rPr>
        <w:drawing>
          <wp:inline distT="0" distB="0" distL="0" distR="0" wp14:anchorId="504343AF" wp14:editId="57601395">
            <wp:extent cx="152400" cy="152400"/>
            <wp:effectExtent l="0" t="0" r="0" b="0"/>
            <wp:docPr id="294" name="Picture 294"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p>
    <w:p w14:paraId="087991FD" w14:textId="77777777" w:rsidR="00F74E68" w:rsidRPr="000665B0" w:rsidRDefault="00F74E68" w:rsidP="006D5A65">
      <w:pPr>
        <w:pStyle w:val="Heading1"/>
        <w:rPr>
          <w:szCs w:val="24"/>
        </w:rPr>
      </w:pPr>
      <w:r w:rsidRPr="000665B0">
        <w:t xml:space="preserve">A pre-process summary in the </w:t>
      </w:r>
      <w:r w:rsidRPr="000665B0">
        <w:rPr>
          <w:i/>
        </w:rPr>
        <w:t>Process DDO Template</w:t>
      </w:r>
      <w:r w:rsidRPr="000665B0">
        <w:t xml:space="preserve"> window appears identifying the DDOs that will be distributed, the estimated size in bytes, and estimated USNs if being transmitted over Legacy Comms. From this summary display, the operator </w:t>
      </w:r>
      <w:r w:rsidRPr="000665B0">
        <w:lastRenderedPageBreak/>
        <w:t>can display the pre-processed DDO to verify what data items will be distributed.</w:t>
      </w:r>
    </w:p>
    <w:p w14:paraId="2CA5A016" w14:textId="307E3E37" w:rsidR="003642A7" w:rsidRPr="000665B0" w:rsidRDefault="00F74E68" w:rsidP="006D5A65">
      <w:pPr>
        <w:pStyle w:val="Heading1"/>
        <w:rPr>
          <w:szCs w:val="24"/>
        </w:rPr>
      </w:pPr>
      <w:r w:rsidRPr="000665B0">
        <w:t>The pre-processed outgoing DDO summary display identifies any data limitations. In most cases, the common data limitation is due to data being distributed to an invalid recipient.</w:t>
      </w:r>
    </w:p>
    <w:p w14:paraId="4A68C41D" w14:textId="77777777" w:rsidR="00AF7414" w:rsidRPr="000665B0" w:rsidRDefault="00AF7414"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2B862D33" w14:textId="77777777" w:rsidR="009C14B7" w:rsidRPr="00FD7EB8" w:rsidRDefault="006E38C1"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szCs w:val="24"/>
        </w:rPr>
      </w:pPr>
      <w:r w:rsidRPr="00FD7EB8">
        <w:rPr>
          <w:b/>
          <w:szCs w:val="24"/>
        </w:rPr>
        <w:t>The following data is</w:t>
      </w:r>
      <w:r w:rsidR="00AF7414" w:rsidRPr="00FD7EB8">
        <w:rPr>
          <w:b/>
          <w:szCs w:val="24"/>
        </w:rPr>
        <w:t xml:space="preserve"> not recognized by pre-7.0 MDS nodes and pre-V5.6.1 TTWCS nodes. When a DDO containing </w:t>
      </w:r>
      <w:r w:rsidRPr="00FD7EB8">
        <w:rPr>
          <w:b/>
          <w:szCs w:val="24"/>
        </w:rPr>
        <w:t>this data</w:t>
      </w:r>
      <w:r w:rsidR="00AF7414" w:rsidRPr="00FD7EB8">
        <w:rPr>
          <w:b/>
          <w:szCs w:val="24"/>
        </w:rPr>
        <w:t xml:space="preserve"> is distributed to those nodes, a Data Limitation error is </w:t>
      </w:r>
      <w:r w:rsidR="00F818A5" w:rsidRPr="00FD7EB8">
        <w:rPr>
          <w:b/>
          <w:szCs w:val="24"/>
        </w:rPr>
        <w:t>displayed,</w:t>
      </w:r>
      <w:r w:rsidR="00AF7414" w:rsidRPr="00FD7EB8">
        <w:rPr>
          <w:b/>
          <w:szCs w:val="24"/>
        </w:rPr>
        <w:t xml:space="preserve"> and the data will not be sent</w:t>
      </w:r>
      <w:r w:rsidR="008B0000" w:rsidRPr="00FD7EB8">
        <w:rPr>
          <w:b/>
          <w:szCs w:val="24"/>
        </w:rPr>
        <w:t>:</w:t>
      </w:r>
    </w:p>
    <w:p w14:paraId="3D459180" w14:textId="77777777" w:rsidR="009C14B7" w:rsidRPr="00FD7EB8" w:rsidRDefault="006E38C1" w:rsidP="006D5A65">
      <w:pPr>
        <w:pStyle w:val="Heading1"/>
      </w:pPr>
      <w:r w:rsidRPr="00FD7EB8">
        <w:t>MTIF/MCF files.</w:t>
      </w:r>
    </w:p>
    <w:p w14:paraId="2A12A7E9" w14:textId="77777777" w:rsidR="009C14B7" w:rsidRPr="00FD7EB8" w:rsidRDefault="00775BF6" w:rsidP="006D5A65">
      <w:pPr>
        <w:pStyle w:val="Heading1"/>
      </w:pPr>
      <w:r w:rsidRPr="00FD7EB8">
        <w:t>MSTM missions</w:t>
      </w:r>
      <w:r w:rsidR="00BB3CFE" w:rsidRPr="00FD7EB8">
        <w:t>.</w:t>
      </w:r>
    </w:p>
    <w:p w14:paraId="3B30A092" w14:textId="77777777" w:rsidR="009C14B7" w:rsidRPr="00FD7EB8" w:rsidRDefault="00F30E2A" w:rsidP="006D5A65">
      <w:pPr>
        <w:pStyle w:val="Heading1"/>
      </w:pPr>
      <w:r w:rsidRPr="00FD7EB8">
        <w:t>TMPRs that specify use of a MSTM</w:t>
      </w:r>
      <w:r w:rsidR="006E38C1" w:rsidRPr="00FD7EB8">
        <w:t>.</w:t>
      </w:r>
    </w:p>
    <w:p w14:paraId="0A57F493" w14:textId="77777777" w:rsidR="00FD7EB8" w:rsidRPr="00FD7EB8" w:rsidRDefault="006E38C1" w:rsidP="006D5A65">
      <w:pPr>
        <w:pStyle w:val="Heading1"/>
      </w:pPr>
      <w:r w:rsidRPr="00FD7EB8">
        <w:t>Mission Queries that include a query by missile type of MSTM.</w:t>
      </w:r>
    </w:p>
    <w:p w14:paraId="57CDFDE2" w14:textId="020F46C7" w:rsidR="008A67AC" w:rsidRDefault="002475CF" w:rsidP="006D5A65">
      <w:pPr>
        <w:pStyle w:val="Heading1"/>
      </w:pPr>
      <w:r w:rsidRPr="00FD7EB8">
        <w:t>Avoidance Area ACMSs.</w:t>
      </w:r>
    </w:p>
    <w:p w14:paraId="17469E63" w14:textId="10BD2CB0" w:rsidR="00613AE4" w:rsidRDefault="00613AE4" w:rsidP="008A67AC">
      <w:pPr>
        <w:pStyle w:val="Number0205"/>
        <w:spacing w:after="0" w:line="240" w:lineRule="auto"/>
        <w:ind w:left="0" w:firstLine="0"/>
        <w:rPr>
          <w:szCs w:val="24"/>
        </w:rPr>
      </w:pPr>
    </w:p>
    <w:p w14:paraId="753341F6" w14:textId="68181A95" w:rsidR="008A67AC" w:rsidRPr="008A67AC" w:rsidRDefault="008A67AC" w:rsidP="008A67AC">
      <w:pPr>
        <w:pStyle w:val="Number0205"/>
        <w:pBdr>
          <w:top w:val="single" w:sz="12" w:space="1" w:color="auto"/>
          <w:left w:val="single" w:sz="12" w:space="4" w:color="auto"/>
          <w:bottom w:val="single" w:sz="12" w:space="1" w:color="auto"/>
          <w:right w:val="single" w:sz="12" w:space="4" w:color="auto"/>
        </w:pBdr>
        <w:shd w:val="clear" w:color="auto" w:fill="D9D9D9" w:themeFill="background1" w:themeFillShade="D9"/>
        <w:spacing w:after="0" w:line="240" w:lineRule="auto"/>
        <w:ind w:left="0" w:firstLine="0"/>
        <w:jc w:val="center"/>
        <w:rPr>
          <w:bCs/>
          <w:szCs w:val="24"/>
        </w:rPr>
      </w:pPr>
      <w:r>
        <w:rPr>
          <w:b/>
        </w:rPr>
        <w:t>Note:</w:t>
      </w:r>
      <w:r>
        <w:rPr>
          <w:b/>
        </w:rPr>
        <w:br/>
      </w:r>
      <w:r w:rsidRPr="00B05909">
        <w:rPr>
          <w:b/>
        </w:rPr>
        <w:t>When LRF platform information is sent to pre-TMPC 7.0.1 nodes and pre-V5.6.1 TTWCS nodes, the platform information of LRF is stripped out and Status shown in the DDO Template will be "Data Limitation" and "Unable to send LRF Platforms to Legacy Systems" will be displayed under the Information column in the DDO Template</w:t>
      </w:r>
      <w:r w:rsidRPr="006D7B19">
        <w:rPr>
          <w:bCs/>
        </w:rPr>
        <w:t>.</w:t>
      </w:r>
    </w:p>
    <w:p w14:paraId="7A9B4A73" w14:textId="77777777" w:rsidR="008A67AC" w:rsidRDefault="008A67AC" w:rsidP="008A67AC">
      <w:pPr>
        <w:pStyle w:val="Number0205"/>
        <w:spacing w:after="0" w:line="240" w:lineRule="auto"/>
        <w:ind w:left="0" w:firstLine="0"/>
        <w:rPr>
          <w:szCs w:val="24"/>
        </w:rPr>
      </w:pPr>
    </w:p>
    <w:p w14:paraId="30373C06" w14:textId="77777777" w:rsidR="00A47475" w:rsidRDefault="00A47475"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Pr>
          <w:b/>
        </w:rPr>
        <w:t>Note:</w:t>
      </w:r>
    </w:p>
    <w:p w14:paraId="3A1A8646" w14:textId="2B107F2B" w:rsidR="00A47475" w:rsidRPr="006E4B14" w:rsidRDefault="00A47475"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B05909">
        <w:rPr>
          <w:b/>
        </w:rPr>
        <w:t xml:space="preserve">When </w:t>
      </w:r>
      <w:r>
        <w:rPr>
          <w:b/>
        </w:rPr>
        <w:t>RAN</w:t>
      </w:r>
      <w:r w:rsidRPr="00B05909">
        <w:rPr>
          <w:b/>
        </w:rPr>
        <w:t xml:space="preserve"> platform information is sent to pre-TMPC 7.0.</w:t>
      </w:r>
      <w:r>
        <w:rPr>
          <w:b/>
        </w:rPr>
        <w:t>2</w:t>
      </w:r>
      <w:r w:rsidRPr="00B05909">
        <w:rPr>
          <w:b/>
        </w:rPr>
        <w:t xml:space="preserve"> nodes and pre-V5.6.</w:t>
      </w:r>
      <w:r w:rsidR="007D772B">
        <w:rPr>
          <w:b/>
        </w:rPr>
        <w:t>2</w:t>
      </w:r>
      <w:r w:rsidRPr="00B05909">
        <w:rPr>
          <w:b/>
        </w:rPr>
        <w:t xml:space="preserve"> TTWCS nodes, the platform information of </w:t>
      </w:r>
      <w:r>
        <w:rPr>
          <w:b/>
        </w:rPr>
        <w:t>RAN</w:t>
      </w:r>
      <w:r w:rsidRPr="00B05909">
        <w:rPr>
          <w:b/>
        </w:rPr>
        <w:t xml:space="preserve"> is stripped out and Status shown in the DDO Template will be "Data Limitation" and "Unable to send </w:t>
      </w:r>
      <w:r>
        <w:rPr>
          <w:b/>
        </w:rPr>
        <w:t>RAN</w:t>
      </w:r>
      <w:r w:rsidRPr="00B05909">
        <w:rPr>
          <w:b/>
        </w:rPr>
        <w:t xml:space="preserve"> Platforms to Legacy Systems" will be displayed under the Information column in the DDO Template</w:t>
      </w:r>
      <w:r w:rsidRPr="000665B0">
        <w:rPr>
          <w:b/>
        </w:rPr>
        <w:t>.</w:t>
      </w:r>
    </w:p>
    <w:p w14:paraId="1374F9D2" w14:textId="77777777" w:rsidR="00A47475" w:rsidRPr="00E532F0" w:rsidRDefault="00A47475" w:rsidP="009570CA">
      <w:pPr>
        <w:pStyle w:val="Number0205"/>
        <w:spacing w:after="0" w:line="240" w:lineRule="auto"/>
        <w:ind w:left="0" w:firstLine="0"/>
        <w:rPr>
          <w:szCs w:val="24"/>
        </w:rPr>
      </w:pPr>
    </w:p>
    <w:p w14:paraId="646CDB76" w14:textId="77777777" w:rsidR="00E532F0" w:rsidRDefault="00E532F0"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Pr>
          <w:b/>
        </w:rPr>
        <w:t>Note:</w:t>
      </w:r>
    </w:p>
    <w:p w14:paraId="0B370818" w14:textId="78D026C9" w:rsidR="00613AE4" w:rsidRPr="000665B0" w:rsidRDefault="00613AE4"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Attack Plan TMPRs are not recognized by pre-6.0 systems. When a DDO template containing an Attack Plan TMPR is distributed to a pre-6.0 system, the Attack Plan TMPR will not be sent.</w:t>
      </w:r>
    </w:p>
    <w:p w14:paraId="4CA93F3C" w14:textId="77777777" w:rsidR="00AF2600" w:rsidRPr="000665B0" w:rsidRDefault="00AF2600" w:rsidP="009570CA">
      <w:pPr>
        <w:pStyle w:val="Number0205"/>
        <w:spacing w:after="0" w:line="240" w:lineRule="auto"/>
        <w:ind w:left="720" w:firstLine="0"/>
        <w:rPr>
          <w:szCs w:val="24"/>
        </w:rPr>
      </w:pPr>
    </w:p>
    <w:p w14:paraId="108A40D5" w14:textId="77777777" w:rsidR="00AF2600" w:rsidRPr="000665B0" w:rsidRDefault="00AF2600"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7A92438C" w14:textId="77777777" w:rsidR="00AF2600" w:rsidRPr="000665B0" w:rsidRDefault="00AF2600" w:rsidP="00BB4EBE">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If an Attack Plan TMPR has been initiated, ensure that the TMPR is complete (all missions have been returned) before sending to TTWCS.</w:t>
      </w:r>
    </w:p>
    <w:p w14:paraId="0BE49FB0" w14:textId="77777777" w:rsidR="00974780" w:rsidRDefault="00974780" w:rsidP="00BB4EBE">
      <w:pPr>
        <w:pStyle w:val="Number0205"/>
        <w:spacing w:after="0" w:line="240" w:lineRule="auto"/>
        <w:ind w:left="0" w:firstLine="0"/>
        <w:rPr>
          <w:szCs w:val="24"/>
        </w:rPr>
      </w:pPr>
    </w:p>
    <w:p w14:paraId="5CCED6E6" w14:textId="77777777" w:rsidR="00974780" w:rsidRPr="000665B0" w:rsidRDefault="00974780"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4FE03970" w14:textId="1057DF5B" w:rsidR="00D129F4" w:rsidRPr="00CB5211" w:rsidRDefault="00974780"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Pr>
          <w:b/>
        </w:rPr>
        <w:t>109M missions are not recognized by pre-TMPC 7.0.3 nodes and pre-V</w:t>
      </w:r>
      <w:r w:rsidR="008971DF">
        <w:rPr>
          <w:b/>
        </w:rPr>
        <w:t xml:space="preserve">7 </w:t>
      </w:r>
      <w:r>
        <w:rPr>
          <w:b/>
        </w:rPr>
        <w:t>TTWCS nodes. When a DDO containing a 109M mission is distributed to those nodes, a Data Limitation error is displayed, and the data will not be sent.</w:t>
      </w:r>
      <w:r w:rsidR="00D129F4">
        <w:rPr>
          <w:b/>
        </w:rPr>
        <w:t xml:space="preserve"> </w:t>
      </w:r>
      <w:r w:rsidR="00D129F4" w:rsidRPr="002E567B">
        <w:rPr>
          <w:b/>
        </w:rPr>
        <w:t>For DDOs containing platform missile inventories with 109M missiles</w:t>
      </w:r>
      <w:r w:rsidR="00D129F4">
        <w:rPr>
          <w:b/>
        </w:rPr>
        <w:t>,</w:t>
      </w:r>
      <w:r w:rsidR="00D129F4" w:rsidRPr="002E567B">
        <w:rPr>
          <w:b/>
        </w:rPr>
        <w:t xml:space="preserve"> </w:t>
      </w:r>
      <w:r w:rsidR="00D129F4">
        <w:rPr>
          <w:b/>
        </w:rPr>
        <w:t xml:space="preserve">see </w:t>
      </w:r>
      <w:hyperlink w:anchor="Appendix_K_Note22" w:history="1">
        <w:r w:rsidR="00D129F4" w:rsidRPr="00F90253">
          <w:rPr>
            <w:rStyle w:val="Hyperlink"/>
            <w:b/>
            <w:bCs/>
          </w:rPr>
          <w:t>A</w:t>
        </w:r>
        <w:r w:rsidR="00694C9E">
          <w:rPr>
            <w:rStyle w:val="Hyperlink"/>
            <w:b/>
            <w:bCs/>
          </w:rPr>
          <w:t>ppendix K</w:t>
        </w:r>
        <w:r w:rsidR="00D129F4" w:rsidRPr="00F90253">
          <w:rPr>
            <w:rStyle w:val="Hyperlink"/>
            <w:b/>
            <w:bCs/>
          </w:rPr>
          <w:t xml:space="preserve"> Note 22</w:t>
        </w:r>
      </w:hyperlink>
      <w:r w:rsidR="00D129F4">
        <w:rPr>
          <w:b/>
          <w:bCs/>
        </w:rPr>
        <w:t xml:space="preserve"> for more details.</w:t>
      </w:r>
    </w:p>
    <w:p w14:paraId="3D7123D8" w14:textId="77777777" w:rsidR="00974780" w:rsidRDefault="00974780" w:rsidP="00B17338">
      <w:pPr>
        <w:pStyle w:val="Number0205"/>
        <w:spacing w:after="0"/>
        <w:ind w:left="0" w:firstLine="0"/>
        <w:rPr>
          <w:szCs w:val="24"/>
        </w:rPr>
      </w:pPr>
    </w:p>
    <w:p w14:paraId="32CBEF30" w14:textId="77777777" w:rsidR="004A0F7E" w:rsidRDefault="004A0F7E" w:rsidP="004A0F7E">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lastRenderedPageBreak/>
        <w:t>Note:</w:t>
      </w:r>
    </w:p>
    <w:p w14:paraId="54A3C972" w14:textId="77777777" w:rsidR="004A0F7E" w:rsidRDefault="004A0F7E" w:rsidP="004A0F7E">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Pr>
          <w:b/>
        </w:rPr>
        <w:t>There are limitations when sending ACMSs to TTWCS based on the number of vertices:</w:t>
      </w:r>
    </w:p>
    <w:p w14:paraId="2A73FF6B" w14:textId="77777777" w:rsidR="004A0F7E" w:rsidRPr="00FD7EB8" w:rsidRDefault="004A0F7E" w:rsidP="006D5A65">
      <w:pPr>
        <w:pStyle w:val="Heading1"/>
      </w:pPr>
      <w:r w:rsidRPr="00D62595">
        <w:t>Operational Areas and Prohibited Areas with more than 24 vertices can be distributed to TTWCS 5.4.0.2 or higher.</w:t>
      </w:r>
    </w:p>
    <w:p w14:paraId="3F1A8004" w14:textId="77777777" w:rsidR="004A0F7E" w:rsidRDefault="004A0F7E" w:rsidP="006D5A65">
      <w:pPr>
        <w:pStyle w:val="Heading1"/>
      </w:pPr>
      <w:r w:rsidRPr="00D62595">
        <w:t>All other ACMSs with more than 24 vertices cannot be distributed to TTWCS.</w:t>
      </w:r>
    </w:p>
    <w:p w14:paraId="76ADF29D" w14:textId="77777777" w:rsidR="004A0F7E" w:rsidRPr="002D2075" w:rsidRDefault="004A0F7E" w:rsidP="004A0F7E">
      <w:pPr>
        <w:keepNext/>
        <w:keepLines/>
        <w:pBdr>
          <w:top w:val="single" w:sz="12" w:space="1" w:color="auto"/>
          <w:left w:val="single" w:sz="12" w:space="4" w:color="auto"/>
          <w:bottom w:val="single" w:sz="12" w:space="0" w:color="auto"/>
          <w:right w:val="single" w:sz="12" w:space="4" w:color="auto"/>
        </w:pBdr>
        <w:shd w:val="clear" w:color="auto" w:fill="D9D9D9"/>
        <w:rPr>
          <w:b/>
          <w:szCs w:val="24"/>
        </w:rPr>
      </w:pPr>
    </w:p>
    <w:p w14:paraId="0A417716" w14:textId="77777777" w:rsidR="004A0F7E" w:rsidRDefault="004A0F7E" w:rsidP="004A0F7E">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bookmarkStart w:id="4498" w:name="_Hlk178167988"/>
      <w:r>
        <w:rPr>
          <w:b/>
        </w:rPr>
        <w:t>Attempting to send an ACMS that doesn’t comply with these limitations will result in a Data Limitation Error with the following message:</w:t>
      </w:r>
    </w:p>
    <w:p w14:paraId="0C8238D3" w14:textId="77777777" w:rsidR="004A0F7E" w:rsidRDefault="004A0F7E" w:rsidP="004A0F7E">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Pr>
          <w:b/>
        </w:rPr>
        <w:t>“Data Item cannot be distributed to TTWCS 5.6.0 or earlier. Number of points exceeds 24.”</w:t>
      </w:r>
    </w:p>
    <w:p w14:paraId="7ACAA21C" w14:textId="77777777" w:rsidR="004A0F7E" w:rsidRDefault="004A0F7E" w:rsidP="004A0F7E">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p>
    <w:p w14:paraId="4AB9F37F" w14:textId="77777777" w:rsidR="004A0F7E" w:rsidRPr="00CB5211" w:rsidRDefault="004A0F7E" w:rsidP="004A0F7E">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Pr>
          <w:b/>
        </w:rPr>
        <w:t>The error message specifies “TTWCS 5.6.0 or earlier” however the version information in the message is incorrect and will be corrected in a future build.</w:t>
      </w:r>
    </w:p>
    <w:bookmarkEnd w:id="4498"/>
    <w:p w14:paraId="593E492C" w14:textId="3894BF06" w:rsidR="00AA5C80" w:rsidRPr="000665B0" w:rsidRDefault="00AA5C80" w:rsidP="006D5A65">
      <w:pPr>
        <w:pStyle w:val="Heading1"/>
      </w:pPr>
      <w:r w:rsidRPr="000665B0">
        <w:t xml:space="preserve">The </w:t>
      </w:r>
      <w:r w:rsidRPr="000665B0">
        <w:rPr>
          <w:i/>
        </w:rPr>
        <w:t>Process DDO Template</w:t>
      </w:r>
      <w:r w:rsidRPr="000665B0">
        <w:t xml:space="preserve"> window’s Status column initially shows Formatting</w:t>
      </w:r>
      <w:r w:rsidR="00AA2B33" w:rsidRPr="000665B0">
        <w:t xml:space="preserve"> </w:t>
      </w:r>
      <w:r w:rsidR="00AA2B33" w:rsidRPr="000665B0">
        <w:rPr>
          <w:bCs/>
        </w:rPr>
        <w:t xml:space="preserve">(unless there is a missing TEF </w:t>
      </w:r>
      <w:r w:rsidR="00E824AD" w:rsidRPr="000665B0">
        <w:rPr>
          <w:bCs/>
        </w:rPr>
        <w:t>format</w:t>
      </w:r>
      <w:r w:rsidR="00AA2B33" w:rsidRPr="000665B0">
        <w:rPr>
          <w:bCs/>
        </w:rPr>
        <w:t>; see below)</w:t>
      </w:r>
      <w:r w:rsidRPr="000665B0">
        <w:rPr>
          <w:bCs/>
        </w:rPr>
        <w:t>.</w:t>
      </w:r>
      <w:r w:rsidRPr="000665B0">
        <w:t xml:space="preserve"> When formatting is complete, it displays Ready to Send. </w:t>
      </w:r>
    </w:p>
    <w:bookmarkEnd w:id="6"/>
    <w:p w14:paraId="34054E3C" w14:textId="1E58EA4D" w:rsidR="00AA2B33" w:rsidRPr="000665B0" w:rsidRDefault="00AA2B33" w:rsidP="006D5A65">
      <w:pPr>
        <w:pStyle w:val="Heading1"/>
      </w:pPr>
      <w:r w:rsidRPr="000665B0">
        <w:t xml:space="preserve">The </w:t>
      </w:r>
      <w:r w:rsidRPr="000665B0">
        <w:rPr>
          <w:i/>
        </w:rPr>
        <w:t>Process DDO Template</w:t>
      </w:r>
      <w:r w:rsidRPr="000665B0">
        <w:t xml:space="preserve"> window’s Status column may initially show </w:t>
      </w:r>
      <w:r w:rsidRPr="000665B0">
        <w:rPr>
          <w:bCs/>
        </w:rPr>
        <w:t>Generating TEF</w:t>
      </w:r>
      <w:r w:rsidRPr="000665B0">
        <w:t xml:space="preserve">. This indicates that a requested TEF </w:t>
      </w:r>
      <w:r w:rsidR="00E824AD" w:rsidRPr="000665B0">
        <w:t>format</w:t>
      </w:r>
      <w:r w:rsidRPr="000665B0">
        <w:t xml:space="preserve"> is missing from the Mission Database, and MDS has tasked TPS to generate the missing TEF. </w:t>
      </w:r>
      <w:r w:rsidR="00DB7ECF" w:rsidRPr="000665B0">
        <w:t xml:space="preserve">If desired, display the DDO textually to view detailed information about the status of the TEF generation. </w:t>
      </w:r>
      <w:r w:rsidRPr="000665B0">
        <w:t>Once all required TEF</w:t>
      </w:r>
      <w:r w:rsidR="00DB7ECF" w:rsidRPr="000665B0">
        <w:t>s</w:t>
      </w:r>
      <w:r w:rsidRPr="000665B0">
        <w:t xml:space="preserve"> are received, the DDO </w:t>
      </w:r>
      <w:r w:rsidR="00DB7ECF" w:rsidRPr="000665B0">
        <w:t>S</w:t>
      </w:r>
      <w:r w:rsidRPr="000665B0">
        <w:t>tatus transitions to Ready to Send.</w:t>
      </w:r>
      <w:r w:rsidR="00C4604D">
        <w:t xml:space="preserve"> </w:t>
      </w:r>
      <w:r w:rsidR="00C4604D" w:rsidRPr="00C4604D">
        <w:t xml:space="preserve">The TEFs can be canceled by right-clicking and selecting the menu item </w:t>
      </w:r>
      <w:r w:rsidR="00C4604D" w:rsidRPr="00C4604D">
        <w:rPr>
          <w:bCs/>
        </w:rPr>
        <w:t>Cancel TEF Creation Task</w:t>
      </w:r>
      <w:r w:rsidR="00C4604D" w:rsidRPr="00C4604D">
        <w:t xml:space="preserve">. The DDO Status will change from </w:t>
      </w:r>
      <w:r w:rsidR="00C4604D" w:rsidRPr="00C4604D">
        <w:rPr>
          <w:bCs/>
        </w:rPr>
        <w:t xml:space="preserve">Generating TEF </w:t>
      </w:r>
      <w:r w:rsidR="00C4604D" w:rsidRPr="00C4604D">
        <w:t>to</w:t>
      </w:r>
      <w:r w:rsidR="00C4604D" w:rsidRPr="00C4604D">
        <w:rPr>
          <w:bCs/>
        </w:rPr>
        <w:t xml:space="preserve"> Formatting</w:t>
      </w:r>
      <w:r w:rsidR="00C4604D" w:rsidRPr="00C4604D">
        <w:t>.</w:t>
      </w:r>
    </w:p>
    <w:p w14:paraId="458A0FA0" w14:textId="76862A13" w:rsidR="00761FA9" w:rsidRPr="000665B0" w:rsidRDefault="00761FA9" w:rsidP="006D5A65">
      <w:pPr>
        <w:pStyle w:val="Heading1"/>
      </w:pPr>
      <w:r w:rsidRPr="000665B0">
        <w:t>If the DDO</w:t>
      </w:r>
      <w:r w:rsidR="00456BE8" w:rsidRPr="000665B0">
        <w:t xml:space="preserve"> Status does not transition from Formatting to Ready to Send in a reasonable amount of time, it </w:t>
      </w:r>
      <w:r w:rsidR="004B5FCF" w:rsidRPr="000665B0">
        <w:t>may be</w:t>
      </w:r>
      <w:r w:rsidR="00456BE8" w:rsidRPr="000665B0">
        <w:t xml:space="preserve"> caused by too much data</w:t>
      </w:r>
      <w:r w:rsidR="000E7FBB" w:rsidRPr="000665B0">
        <w:t xml:space="preserve"> in the DDO</w:t>
      </w:r>
      <w:r w:rsidR="00456BE8" w:rsidRPr="000665B0">
        <w:t>. I</w:t>
      </w:r>
      <w:r w:rsidR="000E7FBB" w:rsidRPr="000665B0">
        <w:t>n this case, cancel the DDO and create</w:t>
      </w:r>
      <w:r w:rsidR="00456BE8" w:rsidRPr="000665B0">
        <w:t xml:space="preserve"> a new DDO with less data.</w:t>
      </w:r>
      <w:r w:rsidR="009651B0">
        <w:t xml:space="preserve"> </w:t>
      </w:r>
    </w:p>
    <w:p w14:paraId="5C864384" w14:textId="77777777" w:rsidR="00AA5C80" w:rsidRPr="000665B0" w:rsidRDefault="00AA5C80" w:rsidP="006D5A65">
      <w:pPr>
        <w:pStyle w:val="Heading1"/>
      </w:pPr>
      <w:r w:rsidRPr="000665B0">
        <w:t>At any time, select the Cancel button to cancel sending the DDO.</w:t>
      </w:r>
    </w:p>
    <w:p w14:paraId="25D9095A" w14:textId="77777777" w:rsidR="00AA5C80" w:rsidRDefault="00AA5C80" w:rsidP="006D5A65">
      <w:pPr>
        <w:pStyle w:val="Heading1"/>
      </w:pPr>
      <w:r w:rsidRPr="000665B0">
        <w:t xml:space="preserve">If the </w:t>
      </w:r>
      <w:r w:rsidRPr="000665B0">
        <w:rPr>
          <w:i/>
        </w:rPr>
        <w:t>Process DDO Template</w:t>
      </w:r>
      <w:r w:rsidRPr="000665B0">
        <w:t xml:space="preserve"> window is closed or there is a system failure, the operator can go to the Outgoing DDO tool to send the DDO.</w:t>
      </w:r>
    </w:p>
    <w:p w14:paraId="74424D92" w14:textId="605B79FF" w:rsidR="005935F4" w:rsidRPr="000665B0" w:rsidRDefault="005935F4" w:rsidP="006D5A65">
      <w:pPr>
        <w:pStyle w:val="Heading1"/>
      </w:pPr>
      <w:r w:rsidRPr="005935F4">
        <w:t xml:space="preserve">If Pull Distribution is enabled and the destination node is offline, or the </w:t>
      </w:r>
      <w:r w:rsidRPr="005935F4">
        <w:rPr>
          <w:bCs/>
        </w:rPr>
        <w:t>Force Pull Mode</w:t>
      </w:r>
      <w:r w:rsidRPr="005935F4">
        <w:t xml:space="preserve"> checkbox was enabled for a Comms DDO, the DDO Status will read </w:t>
      </w:r>
      <w:r w:rsidRPr="005935F4">
        <w:rPr>
          <w:bCs/>
        </w:rPr>
        <w:t>Priority Selection</w:t>
      </w:r>
      <w:r w:rsidRPr="005935F4">
        <w:t xml:space="preserve"> before transitioning to </w:t>
      </w:r>
      <w:r w:rsidRPr="005935F4">
        <w:rPr>
          <w:bCs/>
        </w:rPr>
        <w:t>Ready to Send</w:t>
      </w:r>
      <w:r w:rsidRPr="005935F4">
        <w:t xml:space="preserve">. The user needs to invoke the context menu on the DDO item and select a priority from the </w:t>
      </w:r>
      <w:r w:rsidRPr="005935F4">
        <w:rPr>
          <w:bCs/>
        </w:rPr>
        <w:t>Set Priority</w:t>
      </w:r>
      <w:r w:rsidRPr="005935F4">
        <w:t xml:space="preserve"> context menu option before proceeding. This priority has no impact on functionality but is rather an </w:t>
      </w:r>
      <w:r w:rsidRPr="005935F4">
        <w:lastRenderedPageBreak/>
        <w:t>informational indicator for decision making for the receiving end user.</w:t>
      </w:r>
    </w:p>
    <w:p w14:paraId="24FC622C" w14:textId="168456A6" w:rsidR="00573EC3" w:rsidRPr="000665B0" w:rsidRDefault="00AA5C80" w:rsidP="006D5A65">
      <w:pPr>
        <w:pStyle w:val="Heading1"/>
        <w:rPr>
          <w:noProof/>
        </w:rPr>
      </w:pPr>
      <w:r w:rsidRPr="000665B0">
        <w:t xml:space="preserve">Click the Approve button to send the DDO. The Status column quickly changes to Sending and then to Sent for Comms DDOs or to Media Written for Media DDOs. The window names also </w:t>
      </w:r>
      <w:r w:rsidR="006B5CCC" w:rsidRPr="000665B0">
        <w:t>change</w:t>
      </w:r>
      <w:r w:rsidRPr="000665B0">
        <w:t xml:space="preserve"> to </w:t>
      </w:r>
      <w:r w:rsidRPr="000665B0">
        <w:rPr>
          <w:i/>
        </w:rPr>
        <w:t>Confirmation</w:t>
      </w:r>
      <w:r w:rsidRPr="000665B0">
        <w:t>; select the Close button to close the window.</w:t>
      </w:r>
    </w:p>
    <w:p w14:paraId="061C2D1A" w14:textId="77777777" w:rsidR="00F74E68" w:rsidRPr="000665B0" w:rsidRDefault="00F74E68"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 xml:space="preserve">Note: </w:t>
      </w:r>
    </w:p>
    <w:p w14:paraId="01FAEC61" w14:textId="71B8D2B5" w:rsidR="00F74E68" w:rsidRPr="000665B0" w:rsidRDefault="00F74E68"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 xml:space="preserve">MDUs at the Secret level that are destined for a TTWCS platform require the selection of the Secret Ops checkbox in the TDM Communications Properties window. </w:t>
      </w:r>
      <w:r w:rsidRPr="000665B0">
        <w:rPr>
          <w:b/>
        </w:rPr>
        <w:br/>
      </w:r>
      <w:r w:rsidR="00934E89" w:rsidRPr="00B0379E">
        <w:rPr>
          <w:b/>
        </w:rPr>
        <w:t>See</w:t>
      </w:r>
      <w:r w:rsidRPr="00B0379E">
        <w:rPr>
          <w:b/>
        </w:rPr>
        <w:t xml:space="preserve"> </w:t>
      </w:r>
      <w:hyperlink w:anchor="_5.3.1.1.3__Secret" w:history="1">
        <w:r w:rsidRPr="00B0379E">
          <w:rPr>
            <w:rStyle w:val="Hyperlink"/>
            <w:b/>
          </w:rPr>
          <w:t>Section 5.3.1.1.3</w:t>
        </w:r>
      </w:hyperlink>
      <w:r w:rsidR="00934E89" w:rsidRPr="000665B0">
        <w:rPr>
          <w:b/>
        </w:rPr>
        <w:t xml:space="preserve"> for additional details.</w:t>
      </w:r>
    </w:p>
    <w:p w14:paraId="124B05FB" w14:textId="77777777" w:rsidR="00F74E68" w:rsidRPr="000665B0" w:rsidRDefault="00F74E68" w:rsidP="009570CA">
      <w:pPr>
        <w:spacing w:after="0"/>
      </w:pPr>
    </w:p>
    <w:p w14:paraId="63311F43" w14:textId="77777777" w:rsidR="00F74E68" w:rsidRPr="000665B0" w:rsidRDefault="00F74E68" w:rsidP="009570CA">
      <w:pPr>
        <w:keepNext/>
        <w:widowControl w:val="0"/>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6E893D35" w14:textId="77777777" w:rsidR="00F74E68" w:rsidRPr="000665B0" w:rsidRDefault="00F74E68" w:rsidP="009570CA">
      <w:pPr>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An outgoing DDO is created for each recipient. Each DDO is formatted into the appropriate format and version.</w:t>
      </w:r>
    </w:p>
    <w:p w14:paraId="21FDFB5D" w14:textId="77777777" w:rsidR="00F74E68" w:rsidRPr="000665B0" w:rsidRDefault="00F74E68" w:rsidP="009570CA">
      <w:pPr>
        <w:spacing w:after="0"/>
      </w:pPr>
    </w:p>
    <w:p w14:paraId="27A0E1D9" w14:textId="77777777" w:rsidR="00F74E68" w:rsidRPr="000665B0" w:rsidRDefault="00F74E68"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62050B1C" w14:textId="77777777" w:rsidR="00F74E68" w:rsidRPr="000665B0" w:rsidRDefault="00F74E68"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 xml:space="preserve">For Media DDOs: Once the data has been created on the hard drive, the operator can copy those files to the appropriate media device. Media devices are dependent upon the system hardware configuration and can include devices such as a </w:t>
      </w:r>
      <w:r w:rsidR="00BD2015" w:rsidRPr="000665B0">
        <w:rPr>
          <w:b/>
        </w:rPr>
        <w:t>USB drive</w:t>
      </w:r>
      <w:r w:rsidRPr="000665B0">
        <w:rPr>
          <w:b/>
        </w:rPr>
        <w:t xml:space="preserve"> or CD. Keep in mind that not all sites have the same capabilities. Therefore, copy the data to a device that the recipient supports.</w:t>
      </w:r>
    </w:p>
    <w:p w14:paraId="43C7E926" w14:textId="515CD544" w:rsidR="00F74E68" w:rsidRPr="000665B0" w:rsidRDefault="00F74E68" w:rsidP="009570CA">
      <w:pPr>
        <w:pStyle w:val="Heading3"/>
      </w:pPr>
      <w:bookmarkStart w:id="4499" w:name="_Toc18058643"/>
      <w:bookmarkStart w:id="4500" w:name="_Toc18058644"/>
      <w:bookmarkStart w:id="4501" w:name="_5.22.3__Send_DDO_Template"/>
      <w:bookmarkStart w:id="4502" w:name="_5.20.4__Send_Media_DDO"/>
      <w:bookmarkStart w:id="4503" w:name="_5.21.3.1__Distribution"/>
      <w:bookmarkStart w:id="4504" w:name="_5.21.4__Distribution"/>
      <w:bookmarkStart w:id="4505" w:name="_Toc214283315"/>
      <w:bookmarkStart w:id="4506" w:name="_Toc71955463"/>
      <w:bookmarkStart w:id="4507" w:name="_Toc96170042"/>
      <w:bookmarkStart w:id="4508" w:name="_Toc96234087"/>
      <w:bookmarkStart w:id="4509" w:name="_Toc112733515"/>
      <w:bookmarkStart w:id="4510" w:name="_Toc159315278"/>
      <w:bookmarkEnd w:id="4499"/>
      <w:bookmarkEnd w:id="4500"/>
      <w:bookmarkEnd w:id="4501"/>
      <w:bookmarkEnd w:id="4502"/>
      <w:bookmarkEnd w:id="4503"/>
      <w:bookmarkEnd w:id="4504"/>
      <w:r w:rsidRPr="000665B0">
        <w:t>Distribution Dashboard</w:t>
      </w:r>
      <w:bookmarkEnd w:id="4505"/>
    </w:p>
    <w:p w14:paraId="67482D92" w14:textId="55D6AC95" w:rsidR="00F74E68" w:rsidRPr="000665B0" w:rsidRDefault="00474A1F" w:rsidP="009570CA">
      <w:r w:rsidRPr="000665B0">
        <w:t xml:space="preserve">The </w:t>
      </w:r>
      <w:r w:rsidRPr="000665B0">
        <w:rPr>
          <w:b/>
        </w:rPr>
        <w:t>Distribution Dashboard</w:t>
      </w:r>
      <w:r w:rsidRPr="000665B0">
        <w:t xml:space="preserve"> feature gives the operator the ability to track what data was sent to each recipient, and whether or not that data has been acknowledged. The feature’s functionality is the same across all tools that include it, but the data displayed will vary depending on the tool being used. See </w:t>
      </w:r>
      <w:hyperlink w:anchor="_5.2.10__Distribution" w:history="1">
        <w:r w:rsidRPr="000665B0">
          <w:rPr>
            <w:rStyle w:val="Hyperlink"/>
          </w:rPr>
          <w:t>Section 5.2.10</w:t>
        </w:r>
      </w:hyperlink>
      <w:r w:rsidRPr="000665B0">
        <w:rPr>
          <w:rStyle w:val="Hyperlink"/>
        </w:rPr>
        <w:t>.</w:t>
      </w:r>
    </w:p>
    <w:p w14:paraId="570920EA" w14:textId="716E6B51" w:rsidR="00F74E68" w:rsidRPr="000665B0" w:rsidRDefault="00F74E68" w:rsidP="009570CA">
      <w:pPr>
        <w:pStyle w:val="Heading3"/>
      </w:pPr>
      <w:bookmarkStart w:id="4511" w:name="_Toc214283316"/>
      <w:r w:rsidRPr="000665B0">
        <w:t>Find</w:t>
      </w:r>
      <w:bookmarkEnd w:id="4506"/>
      <w:bookmarkEnd w:id="4507"/>
      <w:bookmarkEnd w:id="4508"/>
      <w:bookmarkEnd w:id="4509"/>
      <w:bookmarkEnd w:id="4510"/>
      <w:bookmarkEnd w:id="4511"/>
    </w:p>
    <w:p w14:paraId="144099E9" w14:textId="69FED4EC" w:rsidR="00F74E68" w:rsidRPr="000665B0" w:rsidRDefault="00F02F03" w:rsidP="009570CA">
      <w:r w:rsidRPr="000665B0">
        <w:t>See</w:t>
      </w:r>
      <w:r w:rsidR="00F74E68" w:rsidRPr="000665B0">
        <w:t xml:space="preserve"> </w:t>
      </w:r>
      <w:hyperlink w:anchor="_5.2.5.1__Find_1" w:history="1">
        <w:r w:rsidR="00F74E68" w:rsidRPr="000665B0">
          <w:rPr>
            <w:rStyle w:val="Hyperlink"/>
          </w:rPr>
          <w:t>Section 5.2.5.1</w:t>
        </w:r>
      </w:hyperlink>
      <w:r w:rsidR="00F74E68" w:rsidRPr="000665B0">
        <w:t>.</w:t>
      </w:r>
    </w:p>
    <w:p w14:paraId="3E09D62B" w14:textId="77777777" w:rsidR="00C133A3" w:rsidRPr="000665B0" w:rsidRDefault="00C133A3" w:rsidP="009570CA">
      <w:pPr>
        <w:pStyle w:val="Heading3"/>
      </w:pPr>
      <w:bookmarkStart w:id="4512" w:name="_Toc214283317"/>
      <w:r w:rsidRPr="000665B0">
        <w:t>Plugin Tool</w:t>
      </w:r>
      <w:bookmarkEnd w:id="4512"/>
    </w:p>
    <w:p w14:paraId="3F469D92" w14:textId="2EB3822F" w:rsidR="00C133A3" w:rsidRPr="000665B0" w:rsidRDefault="00F02F03" w:rsidP="009570CA">
      <w:r w:rsidRPr="000665B0">
        <w:t>See</w:t>
      </w:r>
      <w:r w:rsidR="00C133A3" w:rsidRPr="000665B0">
        <w:t xml:space="preserve"> </w:t>
      </w:r>
      <w:hyperlink w:anchor="_Plugin__Tool" w:history="1">
        <w:r w:rsidR="00C133A3" w:rsidRPr="000665B0">
          <w:rPr>
            <w:rStyle w:val="Hyperlink"/>
          </w:rPr>
          <w:t>Section 5.2.5.2</w:t>
        </w:r>
      </w:hyperlink>
      <w:r w:rsidR="00C133A3" w:rsidRPr="000665B0">
        <w:t>.</w:t>
      </w:r>
    </w:p>
    <w:p w14:paraId="0D5D3E83" w14:textId="2F98EF99" w:rsidR="00F74E68" w:rsidRPr="000665B0" w:rsidRDefault="00F74E68" w:rsidP="009570CA">
      <w:pPr>
        <w:pStyle w:val="Heading3"/>
      </w:pPr>
      <w:bookmarkStart w:id="4513" w:name="_Toc71955464"/>
      <w:bookmarkStart w:id="4514" w:name="_Toc96170043"/>
      <w:bookmarkStart w:id="4515" w:name="_Toc96234088"/>
      <w:bookmarkStart w:id="4516" w:name="_Toc112733516"/>
      <w:bookmarkStart w:id="4517" w:name="_Toc159315279"/>
      <w:bookmarkStart w:id="4518" w:name="_Toc214283318"/>
      <w:r w:rsidRPr="000665B0">
        <w:t xml:space="preserve">Print </w:t>
      </w:r>
      <w:bookmarkEnd w:id="4513"/>
      <w:bookmarkEnd w:id="4514"/>
      <w:bookmarkEnd w:id="4515"/>
      <w:bookmarkEnd w:id="4516"/>
      <w:r w:rsidRPr="000665B0">
        <w:t>All</w:t>
      </w:r>
      <w:bookmarkEnd w:id="4517"/>
      <w:bookmarkEnd w:id="4518"/>
    </w:p>
    <w:p w14:paraId="4D33EA47" w14:textId="1263E8C1" w:rsidR="00F74E68" w:rsidRPr="000665B0" w:rsidRDefault="00F02F03" w:rsidP="009570CA">
      <w:r w:rsidRPr="000665B0">
        <w:t>See</w:t>
      </w:r>
      <w:r w:rsidR="00F74E68" w:rsidRPr="000665B0">
        <w:t xml:space="preserve"> </w:t>
      </w:r>
      <w:hyperlink w:anchor="_5.2.1.5__Print" w:history="1">
        <w:r w:rsidR="00F74E68" w:rsidRPr="000665B0">
          <w:rPr>
            <w:rStyle w:val="Hyperlink"/>
          </w:rPr>
          <w:t>Section 5.2.1.5</w:t>
        </w:r>
      </w:hyperlink>
      <w:r w:rsidR="00F74E68" w:rsidRPr="000665B0">
        <w:t>.</w:t>
      </w:r>
    </w:p>
    <w:p w14:paraId="5BAF7298" w14:textId="7B5FDE72" w:rsidR="00F74E68" w:rsidRPr="000665B0" w:rsidRDefault="00F74E68" w:rsidP="009570CA">
      <w:pPr>
        <w:pStyle w:val="Heading3"/>
      </w:pPr>
      <w:bookmarkStart w:id="4519" w:name="_Toc71955465"/>
      <w:bookmarkStart w:id="4520" w:name="_Toc96170044"/>
      <w:bookmarkStart w:id="4521" w:name="_Toc96234089"/>
      <w:bookmarkStart w:id="4522" w:name="_Toc112733517"/>
      <w:bookmarkStart w:id="4523" w:name="_Toc159315280"/>
      <w:bookmarkStart w:id="4524" w:name="_Toc214283319"/>
      <w:r w:rsidRPr="000665B0">
        <w:t>Display All in Excel</w:t>
      </w:r>
      <w:bookmarkEnd w:id="4519"/>
      <w:bookmarkEnd w:id="4520"/>
      <w:bookmarkEnd w:id="4521"/>
      <w:bookmarkEnd w:id="4522"/>
      <w:bookmarkEnd w:id="4523"/>
      <w:bookmarkEnd w:id="4524"/>
    </w:p>
    <w:p w14:paraId="74CC1206" w14:textId="7532F3E2" w:rsidR="00F74E68" w:rsidRPr="000665B0" w:rsidRDefault="00F02F03" w:rsidP="009570CA">
      <w:r w:rsidRPr="000665B0">
        <w:t>See</w:t>
      </w:r>
      <w:r w:rsidR="00F74E68" w:rsidRPr="000665B0">
        <w:t xml:space="preserve"> </w:t>
      </w:r>
      <w:hyperlink w:anchor="_5.2.1.2.1__Display_1" w:history="1">
        <w:r w:rsidR="00F74E68" w:rsidRPr="000665B0">
          <w:rPr>
            <w:rStyle w:val="Hyperlink"/>
          </w:rPr>
          <w:t>Section 5.2.1.2.1</w:t>
        </w:r>
      </w:hyperlink>
      <w:r w:rsidR="00F74E68" w:rsidRPr="000665B0">
        <w:t>.</w:t>
      </w:r>
    </w:p>
    <w:p w14:paraId="53DC6418" w14:textId="226F2E57" w:rsidR="00F74E68" w:rsidRPr="000665B0" w:rsidRDefault="00F74E68" w:rsidP="009570CA">
      <w:pPr>
        <w:pStyle w:val="Heading3"/>
      </w:pPr>
      <w:bookmarkStart w:id="4525" w:name="_Toc71955466"/>
      <w:bookmarkStart w:id="4526" w:name="_Toc96170045"/>
      <w:bookmarkStart w:id="4527" w:name="_Toc96234090"/>
      <w:bookmarkStart w:id="4528" w:name="_Toc112733518"/>
      <w:bookmarkStart w:id="4529" w:name="_Toc159315281"/>
      <w:bookmarkStart w:id="4530" w:name="_Toc214283320"/>
      <w:r w:rsidRPr="000665B0">
        <w:lastRenderedPageBreak/>
        <w:t>Select All</w:t>
      </w:r>
      <w:bookmarkEnd w:id="4525"/>
      <w:bookmarkEnd w:id="4526"/>
      <w:bookmarkEnd w:id="4527"/>
      <w:bookmarkEnd w:id="4528"/>
      <w:bookmarkEnd w:id="4529"/>
      <w:bookmarkEnd w:id="4530"/>
    </w:p>
    <w:p w14:paraId="48F8C68F" w14:textId="5C059AEA" w:rsidR="00F74E68" w:rsidRPr="000665B0" w:rsidRDefault="00F02F03" w:rsidP="009570CA">
      <w:r w:rsidRPr="000665B0">
        <w:t>See</w:t>
      </w:r>
      <w:r w:rsidR="00F74E68" w:rsidRPr="000665B0">
        <w:t xml:space="preserve"> </w:t>
      </w:r>
      <w:hyperlink w:anchor="_5.2.2.1__Select_1" w:history="1">
        <w:r w:rsidR="00F74E68" w:rsidRPr="000665B0">
          <w:rPr>
            <w:rStyle w:val="Hyperlink"/>
          </w:rPr>
          <w:t>Section 5.2.2.1</w:t>
        </w:r>
      </w:hyperlink>
      <w:r w:rsidR="00F74E68" w:rsidRPr="000665B0">
        <w:t>.</w:t>
      </w:r>
    </w:p>
    <w:p w14:paraId="0AE62DA0" w14:textId="180F16A3" w:rsidR="00F74E68" w:rsidRPr="000665B0" w:rsidRDefault="00F74E68" w:rsidP="00736307">
      <w:pPr>
        <w:pStyle w:val="Heading3"/>
        <w:rPr>
          <w:rFonts w:ascii="Times New Roman" w:hAnsi="Times New Roman"/>
        </w:rPr>
      </w:pPr>
      <w:bookmarkStart w:id="4531" w:name="_Toc71955468"/>
      <w:bookmarkStart w:id="4532" w:name="_Toc96170046"/>
      <w:bookmarkStart w:id="4533" w:name="_Toc96234091"/>
      <w:bookmarkStart w:id="4534" w:name="_Toc112733519"/>
      <w:bookmarkStart w:id="4535" w:name="_Toc159315282"/>
      <w:bookmarkStart w:id="4536" w:name="_Toc214283321"/>
      <w:r w:rsidRPr="000665B0">
        <w:t>Delete</w:t>
      </w:r>
      <w:bookmarkEnd w:id="4531"/>
      <w:bookmarkEnd w:id="4532"/>
      <w:bookmarkEnd w:id="4533"/>
      <w:bookmarkEnd w:id="4534"/>
      <w:bookmarkEnd w:id="4535"/>
      <w:bookmarkEnd w:id="4536"/>
    </w:p>
    <w:p w14:paraId="66D8C414" w14:textId="62E1D18F" w:rsidR="00736307" w:rsidRPr="00736307" w:rsidRDefault="00F02F03" w:rsidP="00B17338">
      <w:r w:rsidRPr="000665B0">
        <w:t>See</w:t>
      </w:r>
      <w:r w:rsidR="00F74E68" w:rsidRPr="000665B0">
        <w:t xml:space="preserve"> </w:t>
      </w:r>
      <w:hyperlink w:anchor="_5.2.1.6__Delete" w:history="1">
        <w:r w:rsidR="00F74E68" w:rsidRPr="000665B0">
          <w:rPr>
            <w:rStyle w:val="Hyperlink"/>
          </w:rPr>
          <w:t>Section 5.2.1.6</w:t>
        </w:r>
      </w:hyperlink>
      <w:r w:rsidR="00F74E68" w:rsidRPr="000665B0">
        <w:t>.</w:t>
      </w:r>
    </w:p>
    <w:p w14:paraId="4CB1F272" w14:textId="183B806B" w:rsidR="00F74E68" w:rsidRDefault="00736307" w:rsidP="00B17338">
      <w:pPr>
        <w:pStyle w:val="Heading3"/>
      </w:pPr>
      <w:bookmarkStart w:id="4537" w:name="_Toc214283322"/>
      <w:r>
        <w:t>Properties</w:t>
      </w:r>
      <w:bookmarkEnd w:id="4537"/>
    </w:p>
    <w:p w14:paraId="49CAB978" w14:textId="7C6E2401" w:rsidR="002621C4" w:rsidRDefault="002621C4" w:rsidP="002621C4">
      <w:pPr>
        <w:pStyle w:val="Heading4"/>
      </w:pPr>
      <w:r>
        <w:t>Column</w:t>
      </w:r>
    </w:p>
    <w:p w14:paraId="39B727F1" w14:textId="5C071E66" w:rsidR="00BC0252" w:rsidRPr="00BC0252" w:rsidRDefault="002621C4" w:rsidP="00BC0252">
      <w:r w:rsidRPr="000665B0">
        <w:t xml:space="preserve">See </w:t>
      </w:r>
      <w:hyperlink w:anchor="_5.2.3.4__Properties" w:history="1">
        <w:r w:rsidRPr="000665B0">
          <w:rPr>
            <w:rStyle w:val="Hyperlink"/>
          </w:rPr>
          <w:t>Section 5.2.3.5</w:t>
        </w:r>
      </w:hyperlink>
      <w:r w:rsidRPr="000665B0">
        <w:t>.</w:t>
      </w:r>
    </w:p>
    <w:p w14:paraId="61AECB77" w14:textId="1536D6B7" w:rsidR="00F74E68" w:rsidRPr="000665B0" w:rsidRDefault="00F74E68" w:rsidP="00B17338">
      <w:pPr>
        <w:pStyle w:val="Heading4"/>
      </w:pPr>
      <w:bookmarkStart w:id="4538" w:name="_Toc71955471"/>
      <w:bookmarkStart w:id="4539" w:name="_Toc96170048"/>
      <w:bookmarkStart w:id="4540" w:name="_Toc96234093"/>
      <w:bookmarkStart w:id="4541" w:name="_Toc112733521"/>
      <w:bookmarkStart w:id="4542" w:name="_Toc159315284"/>
      <w:r w:rsidRPr="000665B0">
        <w:t>Sort</w:t>
      </w:r>
      <w:bookmarkEnd w:id="4538"/>
      <w:bookmarkEnd w:id="4539"/>
      <w:bookmarkEnd w:id="4540"/>
      <w:bookmarkEnd w:id="4541"/>
      <w:bookmarkEnd w:id="4542"/>
    </w:p>
    <w:p w14:paraId="09C07C16" w14:textId="09AE02A6" w:rsidR="00F74E68" w:rsidRPr="000665B0" w:rsidRDefault="00F02F03" w:rsidP="009570CA">
      <w:r w:rsidRPr="000665B0">
        <w:t>See</w:t>
      </w:r>
      <w:r w:rsidR="00F74E68" w:rsidRPr="000665B0">
        <w:t xml:space="preserve"> </w:t>
      </w:r>
      <w:hyperlink w:anchor="_5.2.3.4.1__Sort" w:history="1">
        <w:r w:rsidR="00A75813" w:rsidRPr="000665B0">
          <w:rPr>
            <w:rStyle w:val="Hyperlink"/>
          </w:rPr>
          <w:t>Section 5.2.3.5</w:t>
        </w:r>
        <w:r w:rsidR="00F74E68" w:rsidRPr="000665B0">
          <w:rPr>
            <w:rStyle w:val="Hyperlink"/>
          </w:rPr>
          <w:t>.1</w:t>
        </w:r>
      </w:hyperlink>
      <w:r w:rsidR="00F74E68" w:rsidRPr="000665B0">
        <w:t>.</w:t>
      </w:r>
    </w:p>
    <w:p w14:paraId="6496A301" w14:textId="1BA30C9F" w:rsidR="005D1A26" w:rsidRDefault="00837882" w:rsidP="00B17338">
      <w:pPr>
        <w:pStyle w:val="Heading4"/>
      </w:pPr>
      <w:r>
        <w:t>Pull Distribution</w:t>
      </w:r>
    </w:p>
    <w:p w14:paraId="68120B91" w14:textId="1852BF23" w:rsidR="00837882" w:rsidRDefault="00837882" w:rsidP="00837882">
      <w:r>
        <w:t xml:space="preserve">Allows for the enabling or disabling of Pull Distribution capabilities. Pull Distribution capabilities must be enabled by the sender for the recipient to receive DDOs in their Pull Distribution tool. Pull Distribution capabilities are only applicable for DDOs sent between two TMPC TED Nodes Version 7.0.0 and subsequent. For more information, see </w:t>
      </w:r>
      <w:hyperlink w:anchor="_PULL_DISTRIBUTION_TOOL" w:history="1">
        <w:r w:rsidRPr="00837882">
          <w:rPr>
            <w:rStyle w:val="Hyperlink"/>
          </w:rPr>
          <w:t xml:space="preserve">Section </w:t>
        </w:r>
        <w:r w:rsidR="004231CC">
          <w:rPr>
            <w:rStyle w:val="Hyperlink"/>
          </w:rPr>
          <w:t>5.19</w:t>
        </w:r>
      </w:hyperlink>
      <w:r>
        <w:t>.</w:t>
      </w:r>
    </w:p>
    <w:p w14:paraId="10A53769" w14:textId="4C1010D6" w:rsidR="00837882" w:rsidRPr="00837882" w:rsidRDefault="00837882" w:rsidP="00B17338">
      <w:pPr>
        <w:jc w:val="center"/>
      </w:pPr>
      <w:r>
        <w:rPr>
          <w:noProof/>
        </w:rPr>
        <w:drawing>
          <wp:inline distT="0" distB="0" distL="0" distR="0" wp14:anchorId="0C6A60D9" wp14:editId="2117E072">
            <wp:extent cx="3057525" cy="1209675"/>
            <wp:effectExtent l="0" t="0" r="0" b="0"/>
            <wp:docPr id="20012213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3057525" cy="1209675"/>
                    </a:xfrm>
                    <a:prstGeom prst="rect">
                      <a:avLst/>
                    </a:prstGeom>
                    <a:noFill/>
                    <a:ln>
                      <a:noFill/>
                    </a:ln>
                  </pic:spPr>
                </pic:pic>
              </a:graphicData>
            </a:graphic>
          </wp:inline>
        </w:drawing>
      </w:r>
    </w:p>
    <w:p w14:paraId="11E71714" w14:textId="77777777" w:rsidR="00A316EA" w:rsidRDefault="00A316EA" w:rsidP="00B17338">
      <w:pPr>
        <w:pStyle w:val="Heading3"/>
        <w:numPr>
          <w:ilvl w:val="0"/>
          <w:numId w:val="0"/>
        </w:numPr>
        <w:ind w:left="1224"/>
        <w:rPr>
          <w:caps/>
        </w:rPr>
      </w:pPr>
      <w:r>
        <w:br w:type="page"/>
      </w:r>
      <w:bookmarkStart w:id="4543" w:name="_Toc71955472"/>
      <w:bookmarkStart w:id="4544" w:name="_Toc96170049"/>
      <w:bookmarkStart w:id="4545" w:name="_Toc96234094"/>
      <w:bookmarkStart w:id="4546" w:name="_Toc112733522"/>
      <w:bookmarkStart w:id="4547" w:name="_Toc289328563"/>
      <w:bookmarkStart w:id="4548" w:name="_Toc312331877"/>
      <w:bookmarkStart w:id="4549" w:name="_Toc214283323"/>
      <w:bookmarkEnd w:id="4458"/>
      <w:r w:rsidR="005D1A26" w:rsidRPr="000665B0">
        <w:lastRenderedPageBreak/>
        <w:t>OUTGOING DDOS TOOL</w:t>
      </w:r>
      <w:bookmarkEnd w:id="4543"/>
      <w:bookmarkEnd w:id="4544"/>
      <w:bookmarkEnd w:id="4545"/>
      <w:bookmarkEnd w:id="4546"/>
      <w:bookmarkEnd w:id="4547"/>
      <w:bookmarkEnd w:id="4548"/>
      <w:bookmarkEnd w:id="4549"/>
    </w:p>
    <w:p w14:paraId="568207DE" w14:textId="77777777" w:rsidR="004514E1" w:rsidRPr="000665B0" w:rsidRDefault="004514E1" w:rsidP="009570CA">
      <w:bookmarkStart w:id="4550" w:name="_5.22.1__Set_Outgoing_DDO_Sequence_N"/>
      <w:bookmarkStart w:id="4551" w:name="_5.22.1__Set"/>
      <w:bookmarkStart w:id="4552" w:name="_Toc289328564"/>
      <w:bookmarkStart w:id="4553" w:name="_Toc312331878"/>
      <w:bookmarkStart w:id="4554" w:name="_Toc71955473"/>
      <w:bookmarkStart w:id="4555" w:name="_Toc96170050"/>
      <w:bookmarkStart w:id="4556" w:name="_Toc96234095"/>
      <w:bookmarkStart w:id="4557" w:name="_Toc112733523"/>
      <w:bookmarkEnd w:id="4550"/>
      <w:bookmarkEnd w:id="4551"/>
      <w:r w:rsidRPr="000665B0">
        <w:t xml:space="preserve">The Outgoing DDOs Tool displays and manages DDOs sent by the system, including Coordination Templates DDOs. These distribution orders can be displayed textually, printed, and forwarded to other sites. </w:t>
      </w:r>
    </w:p>
    <w:p w14:paraId="5574BB65" w14:textId="77777777" w:rsidR="004514E1" w:rsidRPr="000665B0" w:rsidRDefault="004514E1" w:rsidP="009570CA">
      <w:pPr>
        <w:tabs>
          <w:tab w:val="left" w:pos="5505"/>
        </w:tabs>
      </w:pPr>
      <w:r w:rsidRPr="000665B0">
        <w:t>To view the Outgoing DDO Tool:</w:t>
      </w:r>
    </w:p>
    <w:p w14:paraId="7A45F32B" w14:textId="77777777" w:rsidR="004514E1" w:rsidRPr="000665B0" w:rsidRDefault="004514E1" w:rsidP="009570CA">
      <w:pPr>
        <w:ind w:left="360"/>
      </w:pPr>
      <w:r w:rsidRPr="000665B0">
        <w:t xml:space="preserve">From the </w:t>
      </w:r>
      <w:r w:rsidRPr="000665B0">
        <w:rPr>
          <w:b/>
        </w:rPr>
        <w:t>Go</w:t>
      </w:r>
      <w:r w:rsidRPr="000665B0">
        <w:t xml:space="preserve"> menu select </w:t>
      </w:r>
      <w:r w:rsidRPr="000665B0">
        <w:rPr>
          <w:b/>
          <w:bCs/>
        </w:rPr>
        <w:t>Outgoing DDOs</w:t>
      </w:r>
      <w:r w:rsidRPr="000665B0">
        <w:t>.</w:t>
      </w:r>
    </w:p>
    <w:p w14:paraId="688EC4E2" w14:textId="51E62FF4" w:rsidR="004514E1" w:rsidRPr="000665B0" w:rsidRDefault="0084680F" w:rsidP="009570CA">
      <w:pPr>
        <w:jc w:val="center"/>
      </w:pPr>
      <w:r w:rsidRPr="000665B0">
        <w:rPr>
          <w:noProof/>
        </w:rPr>
        <w:drawing>
          <wp:inline distT="0" distB="0" distL="0" distR="0" wp14:anchorId="655880EE" wp14:editId="1636485B">
            <wp:extent cx="4983480" cy="1252728"/>
            <wp:effectExtent l="0" t="0" r="0" b="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252728"/>
                    </a:xfrm>
                    <a:prstGeom prst="rect">
                      <a:avLst/>
                    </a:prstGeom>
                  </pic:spPr>
                </pic:pic>
              </a:graphicData>
            </a:graphic>
          </wp:inline>
        </w:drawing>
      </w:r>
    </w:p>
    <w:p w14:paraId="48241381" w14:textId="77777777" w:rsidR="004514E1" w:rsidRPr="000665B0" w:rsidRDefault="004514E1" w:rsidP="009570CA">
      <w:pPr>
        <w:rPr>
          <w:b/>
          <w:i/>
        </w:rPr>
      </w:pPr>
      <w:r w:rsidRPr="000665B0">
        <w:rPr>
          <w:b/>
          <w:i/>
        </w:rPr>
        <w:t>Outgoing DDO List View</w:t>
      </w:r>
    </w:p>
    <w:p w14:paraId="2B0D09F1" w14:textId="77777777" w:rsidR="004514E1" w:rsidRPr="000665B0" w:rsidRDefault="004514E1" w:rsidP="009570CA">
      <w:r w:rsidRPr="000665B0">
        <w:t>The List View contains the following information:</w:t>
      </w:r>
    </w:p>
    <w:p w14:paraId="2E43205E" w14:textId="77777777" w:rsidR="004514E1" w:rsidRPr="000665B0" w:rsidRDefault="004514E1" w:rsidP="006D5A65">
      <w:pPr>
        <w:pStyle w:val="Heading1"/>
      </w:pPr>
      <w:r w:rsidRPr="000665B0">
        <w:t>Columns</w:t>
      </w:r>
    </w:p>
    <w:p w14:paraId="603D8A5E" w14:textId="77777777" w:rsidR="004514E1" w:rsidRPr="000665B0" w:rsidRDefault="004514E1" w:rsidP="006D5A65">
      <w:pPr>
        <w:pStyle w:val="Heading2"/>
      </w:pPr>
      <w:r w:rsidRPr="000665B0">
        <w:t>DDO ID – Generated by the system. The first 5 characters represent the location code for the sender’s site. The last 5 characters are a one-up counter.</w:t>
      </w:r>
    </w:p>
    <w:p w14:paraId="33F21848" w14:textId="77777777" w:rsidR="004514E1" w:rsidRPr="000665B0" w:rsidRDefault="004514E1" w:rsidP="006D5A65">
      <w:pPr>
        <w:pStyle w:val="Heading2"/>
      </w:pPr>
      <w:r w:rsidRPr="000665B0">
        <w:t>Objective – Contains the objective entered when the DDO was created.</w:t>
      </w:r>
    </w:p>
    <w:p w14:paraId="699A5DB7" w14:textId="77777777" w:rsidR="004514E1" w:rsidRPr="000665B0" w:rsidRDefault="004514E1" w:rsidP="006D5A65">
      <w:pPr>
        <w:pStyle w:val="Heading2"/>
      </w:pPr>
      <w:r w:rsidRPr="000665B0">
        <w:t>Status – Indicates Sent if via communications or Media Written if written to disk.</w:t>
      </w:r>
    </w:p>
    <w:p w14:paraId="620A3455" w14:textId="77777777" w:rsidR="004514E1" w:rsidRPr="000665B0" w:rsidRDefault="004514E1" w:rsidP="006D5A65">
      <w:pPr>
        <w:pStyle w:val="Heading2"/>
      </w:pPr>
      <w:r w:rsidRPr="000665B0">
        <w:t xml:space="preserve">Creation DTG – The time the DDO was created. </w:t>
      </w:r>
    </w:p>
    <w:p w14:paraId="3C868E93" w14:textId="77777777" w:rsidR="004514E1" w:rsidRPr="000665B0" w:rsidRDefault="004514E1" w:rsidP="006D5A65">
      <w:pPr>
        <w:pStyle w:val="Heading2"/>
      </w:pPr>
      <w:r w:rsidRPr="000665B0">
        <w:t>DDO Type – Indicates Distribution for DDOs or Coordination for Coordination Templates.</w:t>
      </w:r>
    </w:p>
    <w:p w14:paraId="1118743F" w14:textId="015CA036" w:rsidR="004514E1" w:rsidRPr="000665B0" w:rsidRDefault="004514E1" w:rsidP="006D5A65">
      <w:pPr>
        <w:pStyle w:val="Heading2"/>
      </w:pPr>
      <w:r w:rsidRPr="000665B0">
        <w:t xml:space="preserve">Originator Node – </w:t>
      </w:r>
      <w:r w:rsidR="000602BF" w:rsidRPr="000665B0">
        <w:t>T</w:t>
      </w:r>
      <w:r w:rsidRPr="000665B0">
        <w:t>he Node that sent the DDO.</w:t>
      </w:r>
    </w:p>
    <w:p w14:paraId="57A373AD" w14:textId="5ACDB293" w:rsidR="0084680F" w:rsidRPr="000665B0" w:rsidRDefault="0084680F" w:rsidP="006D5A65">
      <w:pPr>
        <w:pStyle w:val="Heading2"/>
      </w:pPr>
      <w:r w:rsidRPr="000665B0">
        <w:t xml:space="preserve">Destination Node – </w:t>
      </w:r>
      <w:r w:rsidR="000602BF" w:rsidRPr="000665B0">
        <w:t>T</w:t>
      </w:r>
      <w:r w:rsidRPr="000665B0">
        <w:t>he Node</w:t>
      </w:r>
      <w:r w:rsidR="000602BF" w:rsidRPr="000665B0">
        <w:t>(s)</w:t>
      </w:r>
      <w:r w:rsidRPr="000665B0">
        <w:t xml:space="preserve"> that will receive the DDO.</w:t>
      </w:r>
    </w:p>
    <w:p w14:paraId="72305C5E" w14:textId="77777777" w:rsidR="004514E1" w:rsidRPr="000665B0" w:rsidRDefault="004514E1" w:rsidP="006D5A65">
      <w:pPr>
        <w:pStyle w:val="Heading2"/>
      </w:pPr>
      <w:r w:rsidRPr="000665B0">
        <w:t>Auto Send – Indicates True if DDO was sent without operator intervention; False if DDO was sent with operator intervention.</w:t>
      </w:r>
    </w:p>
    <w:p w14:paraId="445466ED" w14:textId="77777777" w:rsidR="004514E1" w:rsidRPr="000665B0" w:rsidRDefault="004514E1" w:rsidP="006D5A65">
      <w:pPr>
        <w:pStyle w:val="Heading2"/>
      </w:pPr>
      <w:r w:rsidRPr="000665B0">
        <w:t>Distribution Mode – Indicates whether the DDO is Comms or Media.</w:t>
      </w:r>
    </w:p>
    <w:p w14:paraId="74FD77C6" w14:textId="77777777" w:rsidR="004514E1" w:rsidRPr="000665B0" w:rsidRDefault="004514E1" w:rsidP="006D5A65">
      <w:pPr>
        <w:pStyle w:val="Heading1"/>
      </w:pPr>
      <w:r w:rsidRPr="000665B0">
        <w:rPr>
          <w:noProof/>
        </w:rPr>
        <w:lastRenderedPageBreak/>
        <w:t>Context Menu</w:t>
      </w:r>
    </w:p>
    <w:p w14:paraId="3AE8D36D" w14:textId="77777777" w:rsidR="004514E1" w:rsidRPr="000665B0" w:rsidRDefault="004514E1" w:rsidP="006D5A65">
      <w:pPr>
        <w:pStyle w:val="Heading2"/>
      </w:pPr>
      <w:r w:rsidRPr="000665B0">
        <w:t>Display</w:t>
      </w:r>
    </w:p>
    <w:p w14:paraId="1103D70A" w14:textId="77777777" w:rsidR="004514E1" w:rsidRPr="000665B0" w:rsidRDefault="004514E1" w:rsidP="006D5A65">
      <w:pPr>
        <w:pStyle w:val="Heading3"/>
        <w:rPr>
          <w:rFonts w:eastAsia="Arial Unicode MS"/>
        </w:rPr>
      </w:pPr>
      <w:r w:rsidRPr="000665B0">
        <w:rPr>
          <w:rFonts w:eastAsia="Arial Unicode MS"/>
        </w:rPr>
        <w:t xml:space="preserve">Textually </w:t>
      </w:r>
      <w:r w:rsidRPr="000665B0">
        <w:t>– Displays the textual view of the selected Outgoing DDO(s).</w:t>
      </w:r>
    </w:p>
    <w:p w14:paraId="5B5D5753" w14:textId="77777777" w:rsidR="004514E1" w:rsidRPr="000665B0" w:rsidRDefault="004514E1" w:rsidP="006D5A65">
      <w:pPr>
        <w:pStyle w:val="Heading3"/>
        <w:rPr>
          <w:rFonts w:eastAsia="Arial Unicode MS"/>
        </w:rPr>
      </w:pPr>
      <w:r w:rsidRPr="000665B0">
        <w:rPr>
          <w:rFonts w:eastAsia="Arial Unicode MS"/>
        </w:rPr>
        <w:t xml:space="preserve">in Excel – </w:t>
      </w:r>
      <w:r w:rsidRPr="000665B0">
        <w:t>Creates an Excel document containing the selected Outgoing DDO(s)’ information.</w:t>
      </w:r>
    </w:p>
    <w:p w14:paraId="26EBE9F0" w14:textId="77777777" w:rsidR="004514E1" w:rsidRPr="000665B0" w:rsidRDefault="004514E1" w:rsidP="006D5A65">
      <w:pPr>
        <w:pStyle w:val="Heading2"/>
      </w:pPr>
      <w:r w:rsidRPr="000665B0">
        <w:t xml:space="preserve">Send </w:t>
      </w:r>
    </w:p>
    <w:p w14:paraId="0A25B4D9" w14:textId="5AEDBD48" w:rsidR="00C755F0" w:rsidRPr="00C755F0" w:rsidRDefault="004514E1" w:rsidP="006D5A65">
      <w:pPr>
        <w:pStyle w:val="Heading2"/>
      </w:pPr>
      <w:r w:rsidRPr="000665B0">
        <w:t xml:space="preserve">DDO – Initiates sending of the </w:t>
      </w:r>
      <w:r w:rsidR="00C755F0">
        <w:t xml:space="preserve">selected </w:t>
      </w:r>
      <w:r w:rsidRPr="000665B0">
        <w:t>DDO</w:t>
      </w:r>
      <w:r w:rsidR="00C755F0">
        <w:t xml:space="preserve"> if no foreign recipients exist</w:t>
      </w:r>
      <w:r w:rsidR="005858CE">
        <w:t>.</w:t>
      </w:r>
    </w:p>
    <w:p w14:paraId="437A6D69" w14:textId="10843D4F" w:rsidR="00BE7644" w:rsidRPr="00C755F0" w:rsidRDefault="00C755F0" w:rsidP="006D5A65">
      <w:pPr>
        <w:pStyle w:val="Heading3"/>
      </w:pPr>
      <w:r w:rsidRPr="00C755F0">
        <w:t>Prompts a Releasability Warning</w:t>
      </w:r>
      <w:r>
        <w:t>,</w:t>
      </w:r>
      <w:r w:rsidRPr="00C755F0">
        <w:t xml:space="preserve"> which must be acknowledged to initiate sending the selected DDO if foreign recipients exist</w:t>
      </w:r>
      <w:r w:rsidR="004514E1" w:rsidRPr="00C755F0">
        <w:t>.</w:t>
      </w:r>
      <w:r w:rsidR="004514E1" w:rsidRPr="00C755F0" w:rsidDel="00B02711">
        <w:t xml:space="preserve"> </w:t>
      </w:r>
    </w:p>
    <w:p w14:paraId="4AC42B16" w14:textId="77777777" w:rsidR="004514E1" w:rsidRPr="000665B0" w:rsidRDefault="004514E1" w:rsidP="006D5A65">
      <w:pPr>
        <w:pStyle w:val="Heading2"/>
        <w:rPr>
          <w:rFonts w:eastAsia="Arial Unicode MS"/>
        </w:rPr>
      </w:pPr>
      <w:r w:rsidRPr="000665B0">
        <w:rPr>
          <w:rFonts w:eastAsia="Arial Unicode MS"/>
        </w:rPr>
        <w:t xml:space="preserve">Copy DDO Manifest to new DDO… – </w:t>
      </w:r>
      <w:r w:rsidRPr="000665B0">
        <w:t xml:space="preserve">Displays a new </w:t>
      </w:r>
      <w:r w:rsidRPr="000665B0">
        <w:rPr>
          <w:i/>
        </w:rPr>
        <w:t>DDO Template</w:t>
      </w:r>
      <w:r w:rsidRPr="000665B0">
        <w:t xml:space="preserve"> with the selected DDO’s manifest pre-populated in the new template.</w:t>
      </w:r>
    </w:p>
    <w:p w14:paraId="62B5D1F1" w14:textId="77777777" w:rsidR="004514E1" w:rsidRPr="000665B0" w:rsidRDefault="004514E1" w:rsidP="006D5A65">
      <w:pPr>
        <w:pStyle w:val="Heading2"/>
        <w:rPr>
          <w:rFonts w:eastAsia="Arial Unicode MS"/>
        </w:rPr>
      </w:pPr>
      <w:r w:rsidRPr="000665B0">
        <w:rPr>
          <w:rFonts w:eastAsia="Arial Unicode MS"/>
        </w:rPr>
        <w:t xml:space="preserve">Copy DDO Data to new DDO… – </w:t>
      </w:r>
      <w:r w:rsidRPr="000665B0">
        <w:t xml:space="preserve">Displays a new </w:t>
      </w:r>
      <w:r w:rsidRPr="000665B0">
        <w:rPr>
          <w:i/>
        </w:rPr>
        <w:t>DDO Template</w:t>
      </w:r>
      <w:r w:rsidRPr="000665B0">
        <w:t xml:space="preserve"> with the selected DDO’s data items pre-populated in the new template.</w:t>
      </w:r>
    </w:p>
    <w:p w14:paraId="7443FA6A" w14:textId="77777777" w:rsidR="004514E1" w:rsidRPr="000665B0" w:rsidRDefault="004514E1" w:rsidP="006D5A65">
      <w:pPr>
        <w:pStyle w:val="Heading2"/>
      </w:pPr>
      <w:r w:rsidRPr="000665B0">
        <w:t>Print… – Prints the selected Outgoing DDO(s)’ list information.</w:t>
      </w:r>
    </w:p>
    <w:p w14:paraId="6EEABBFA" w14:textId="77777777" w:rsidR="004514E1" w:rsidRPr="000665B0" w:rsidRDefault="004514E1" w:rsidP="006D5A65">
      <w:pPr>
        <w:pStyle w:val="Heading2"/>
      </w:pPr>
      <w:r w:rsidRPr="000665B0">
        <w:rPr>
          <w:rFonts w:eastAsia="Arial Unicode MS"/>
        </w:rPr>
        <w:t>Delete</w:t>
      </w:r>
      <w:r w:rsidRPr="000665B0">
        <w:t xml:space="preserve"> – Deletes the selected DDO Template(s).</w:t>
      </w:r>
    </w:p>
    <w:p w14:paraId="3E3A4F3F" w14:textId="77777777" w:rsidR="00C27CB4" w:rsidRPr="000665B0" w:rsidRDefault="00C27CB4" w:rsidP="006D5A65">
      <w:pPr>
        <w:pStyle w:val="Heading2"/>
      </w:pPr>
      <w:r w:rsidRPr="000665B0">
        <w:rPr>
          <w:rFonts w:eastAsia="Arial Unicode MS"/>
        </w:rPr>
        <w:t>Delete All</w:t>
      </w:r>
      <w:r w:rsidRPr="000665B0">
        <w:t xml:space="preserve"> – Deletes all DDO Templates.</w:t>
      </w:r>
    </w:p>
    <w:p w14:paraId="5DFEED3D" w14:textId="3D254FCD" w:rsidR="00FB40F8" w:rsidRPr="000665B0" w:rsidRDefault="00FB40F8" w:rsidP="009570CA">
      <w:pPr>
        <w:pStyle w:val="Heading3"/>
        <w:keepNext w:val="0"/>
      </w:pPr>
      <w:bookmarkStart w:id="4558" w:name="_Toc160585177"/>
      <w:bookmarkStart w:id="4559" w:name="_Toc214283324"/>
      <w:bookmarkEnd w:id="4552"/>
      <w:bookmarkEnd w:id="4553"/>
      <w:bookmarkEnd w:id="4554"/>
      <w:bookmarkEnd w:id="4555"/>
      <w:bookmarkEnd w:id="4556"/>
      <w:bookmarkEnd w:id="4557"/>
      <w:r w:rsidRPr="000665B0">
        <w:t>Set Outgoing DDO Sequence Number</w:t>
      </w:r>
      <w:bookmarkEnd w:id="4558"/>
      <w:bookmarkEnd w:id="4559"/>
    </w:p>
    <w:p w14:paraId="17E036B2" w14:textId="77777777" w:rsidR="00FB40F8" w:rsidRPr="000665B0" w:rsidRDefault="00FB40F8" w:rsidP="009570CA">
      <w:r w:rsidRPr="000665B0">
        <w:t>MDS maintains the last transmitted DDO ID in the database. If the database has been reset, the last DDO ID sequence number must be reset. If it is not updated, a receiving MDS may drop the DDO as a duplicate. The DDO is dropped when the ID of the incoming DDO is the same as one already in the database.</w:t>
      </w:r>
    </w:p>
    <w:p w14:paraId="0F9F15F8" w14:textId="4BFE84C8" w:rsidR="00FB40F8" w:rsidRPr="000665B0" w:rsidRDefault="00FB40F8" w:rsidP="009570CA">
      <w:r w:rsidRPr="000665B0">
        <w:t>To update the DDO sequence number, prior to dropping the database</w:t>
      </w:r>
      <w:r w:rsidR="005E6AF9" w:rsidRPr="000665B0">
        <w:t>,</w:t>
      </w:r>
      <w:r w:rsidRPr="000665B0">
        <w:t xml:space="preserve"> note the ID of the last transmitted DDO. After the database has been reset use the </w:t>
      </w:r>
      <w:r w:rsidR="00DC7D18" w:rsidRPr="000665B0">
        <w:t>TMPC</w:t>
      </w:r>
      <w:r w:rsidRPr="000665B0">
        <w:t xml:space="preserve"> Database Utility to update the DDO ID Sequence Number in the TED_DISTRIBUTION_DB database. </w:t>
      </w:r>
      <w:hyperlink w:anchor="_4.5.2.1.11__Data" w:history="1">
        <w:r w:rsidR="00B14F4A" w:rsidRPr="000665B0">
          <w:t>See</w:t>
        </w:r>
        <w:r w:rsidR="00B14F4A" w:rsidRPr="000665B0">
          <w:rPr>
            <w:rStyle w:val="Hyperlink"/>
          </w:rPr>
          <w:t xml:space="preserve"> Section 4.5.2.1.</w:t>
        </w:r>
        <w:r w:rsidR="00B0379E">
          <w:rPr>
            <w:rStyle w:val="Hyperlink"/>
          </w:rPr>
          <w:t>12</w:t>
        </w:r>
      </w:hyperlink>
      <w:r w:rsidRPr="000665B0">
        <w:t>.</w:t>
      </w:r>
    </w:p>
    <w:p w14:paraId="651A939F" w14:textId="0D1D62F4" w:rsidR="00FB40F8" w:rsidRPr="000665B0" w:rsidRDefault="00FB40F8" w:rsidP="009570CA">
      <w:pPr>
        <w:pStyle w:val="Heading3"/>
      </w:pPr>
      <w:bookmarkStart w:id="4560" w:name="_Toc160585178"/>
      <w:bookmarkStart w:id="4561" w:name="_Toc214283325"/>
      <w:r w:rsidRPr="000665B0">
        <w:t>Display Textually</w:t>
      </w:r>
      <w:bookmarkEnd w:id="4560"/>
      <w:bookmarkEnd w:id="4561"/>
    </w:p>
    <w:p w14:paraId="479E345F" w14:textId="77777777" w:rsidR="002A2C46" w:rsidRPr="000665B0" w:rsidRDefault="002A2C46" w:rsidP="009570CA">
      <w:bookmarkStart w:id="4562" w:name="_Toc71955475"/>
      <w:bookmarkStart w:id="4563" w:name="_Toc96170052"/>
      <w:bookmarkStart w:id="4564" w:name="_Toc96234097"/>
      <w:bookmarkStart w:id="4565" w:name="_Toc112733525"/>
      <w:bookmarkStart w:id="4566" w:name="_Toc289328566"/>
      <w:bookmarkStart w:id="4567" w:name="_Toc312331880"/>
      <w:r w:rsidRPr="000665B0">
        <w:t>Displaying an entry textually allows the operator to view the contents of the DDO.</w:t>
      </w:r>
    </w:p>
    <w:p w14:paraId="1B4BF2C9" w14:textId="77777777" w:rsidR="002A2C46" w:rsidRPr="000665B0" w:rsidRDefault="002A2C46" w:rsidP="009570CA">
      <w:r w:rsidRPr="000665B0">
        <w:t>To display an Outgoing DDO textually:</w:t>
      </w:r>
    </w:p>
    <w:p w14:paraId="4BADCD6E" w14:textId="77777777" w:rsidR="002A2C46" w:rsidRPr="000665B0" w:rsidRDefault="002A2C46" w:rsidP="006D5A65">
      <w:pPr>
        <w:pStyle w:val="Heading1"/>
      </w:pPr>
      <w:r w:rsidRPr="000665B0">
        <w:lastRenderedPageBreak/>
        <w:t>Navigate to the Outgoing DDO Tool and select the desired DDO.</w:t>
      </w:r>
    </w:p>
    <w:p w14:paraId="65AEC894" w14:textId="00177578" w:rsidR="002A2C46" w:rsidRPr="000665B0" w:rsidRDefault="002A2C46" w:rsidP="006D5A65">
      <w:pPr>
        <w:pStyle w:val="Heading1"/>
      </w:pPr>
      <w:r w:rsidRPr="000665B0">
        <w:t xml:space="preserve">From the File menu select Display </w:t>
      </w:r>
      <w:r w:rsidRPr="000665B0">
        <w:rPr>
          <w:rFonts w:cs="Arial"/>
          <w:sz w:val="20"/>
        </w:rPr>
        <w:t>►</w:t>
      </w:r>
      <w:r w:rsidRPr="000665B0">
        <w:t xml:space="preserve"> Textually or invoke the context menu (right-click the mouse) and select Display </w:t>
      </w:r>
      <w:r w:rsidRPr="000665B0">
        <w:rPr>
          <w:rFonts w:cs="Arial"/>
          <w:sz w:val="20"/>
        </w:rPr>
        <w:t>►</w:t>
      </w:r>
      <w:r w:rsidRPr="000665B0">
        <w:t xml:space="preserve"> </w:t>
      </w:r>
      <w:r w:rsidR="00E3132C" w:rsidRPr="000665B0">
        <w:t>Textually or</w:t>
      </w:r>
      <w:r w:rsidRPr="000665B0">
        <w:t xml:space="preserve"> click the Display Textually </w:t>
      </w:r>
      <w:r w:rsidRPr="000665B0">
        <w:rPr>
          <w:noProof/>
        </w:rPr>
        <w:drawing>
          <wp:inline distT="0" distB="0" distL="0" distR="0" wp14:anchorId="33F4EB0A" wp14:editId="690592C2">
            <wp:extent cx="152400" cy="152400"/>
            <wp:effectExtent l="0" t="0" r="0" b="0"/>
            <wp:docPr id="1071" name="Picture 1071" descr="Description: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Description: 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Bar. The operator may also double-click on a Template to display textually</w:t>
      </w:r>
      <w:r w:rsidR="007F68AD" w:rsidRPr="000665B0">
        <w:t>.</w:t>
      </w:r>
    </w:p>
    <w:p w14:paraId="7D51CAE0" w14:textId="244860D9" w:rsidR="002A2C46" w:rsidRPr="000665B0" w:rsidRDefault="00F22CDE" w:rsidP="009570CA">
      <w:pPr>
        <w:jc w:val="center"/>
      </w:pPr>
      <w:r w:rsidRPr="000665B0">
        <w:rPr>
          <w:noProof/>
        </w:rPr>
        <w:drawing>
          <wp:inline distT="0" distB="0" distL="0" distR="0" wp14:anchorId="48D3BC21" wp14:editId="2123B708">
            <wp:extent cx="2523323" cy="2428240"/>
            <wp:effectExtent l="0" t="0" r="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537256" cy="2441648"/>
                    </a:xfrm>
                    <a:prstGeom prst="rect">
                      <a:avLst/>
                    </a:prstGeom>
                  </pic:spPr>
                </pic:pic>
              </a:graphicData>
            </a:graphic>
          </wp:inline>
        </w:drawing>
      </w:r>
    </w:p>
    <w:p w14:paraId="45E0EFE8" w14:textId="77777777" w:rsidR="002A2C46" w:rsidRPr="000665B0" w:rsidRDefault="002A2C46" w:rsidP="009570CA">
      <w:r w:rsidRPr="000665B0">
        <w:t>The common header information displayed includes:</w:t>
      </w:r>
    </w:p>
    <w:p w14:paraId="61606CEC" w14:textId="77777777" w:rsidR="002A2C46" w:rsidRPr="000665B0" w:rsidRDefault="002A2C46" w:rsidP="006D5A65">
      <w:pPr>
        <w:pStyle w:val="Heading1"/>
      </w:pPr>
      <w:r w:rsidRPr="000665B0">
        <w:rPr>
          <w:bCs/>
        </w:rPr>
        <w:t>From</w:t>
      </w:r>
      <w:r w:rsidRPr="000665B0">
        <w:t xml:space="preserve"> – The sender of the DDO.</w:t>
      </w:r>
    </w:p>
    <w:p w14:paraId="4B3F8B2D" w14:textId="77777777" w:rsidR="002A2C46" w:rsidRPr="000665B0" w:rsidRDefault="002A2C46" w:rsidP="006D5A65">
      <w:pPr>
        <w:pStyle w:val="Heading1"/>
      </w:pPr>
      <w:r w:rsidRPr="000665B0">
        <w:rPr>
          <w:bCs/>
        </w:rPr>
        <w:t>To</w:t>
      </w:r>
      <w:r w:rsidRPr="000665B0">
        <w:t xml:space="preserve"> – The recipient of the DDO.</w:t>
      </w:r>
    </w:p>
    <w:p w14:paraId="5FCB1756" w14:textId="77777777" w:rsidR="002A2C46" w:rsidRPr="000665B0" w:rsidRDefault="002A2C46" w:rsidP="006D5A65">
      <w:pPr>
        <w:pStyle w:val="Heading1"/>
      </w:pPr>
      <w:r w:rsidRPr="000665B0">
        <w:t>Objective – Contains the objective that was entered when the DDO was created and sent.</w:t>
      </w:r>
    </w:p>
    <w:p w14:paraId="0D4B1DDB" w14:textId="77777777" w:rsidR="002A2C46" w:rsidRPr="000665B0" w:rsidRDefault="002A2C46" w:rsidP="006D5A65">
      <w:pPr>
        <w:pStyle w:val="Heading1"/>
      </w:pPr>
      <w:r w:rsidRPr="000665B0">
        <w:t>Status – Indicates Sent if via communications or Media Written if written to disk.</w:t>
      </w:r>
    </w:p>
    <w:p w14:paraId="15C50558" w14:textId="77777777" w:rsidR="002A2C46" w:rsidRPr="000665B0" w:rsidRDefault="002A2C46" w:rsidP="006D5A65">
      <w:pPr>
        <w:pStyle w:val="Heading1"/>
      </w:pPr>
      <w:r w:rsidRPr="000665B0">
        <w:t>Creation DTG – The time the DDO was created.</w:t>
      </w:r>
    </w:p>
    <w:p w14:paraId="426ACFF1" w14:textId="77777777" w:rsidR="002A2C46" w:rsidRPr="000665B0" w:rsidRDefault="002A2C46" w:rsidP="009570CA">
      <w:pPr>
        <w:rPr>
          <w:b/>
          <w:i/>
        </w:rPr>
      </w:pPr>
      <w:r w:rsidRPr="000665B0">
        <w:rPr>
          <w:b/>
          <w:i/>
        </w:rPr>
        <w:t>Comms Information Pane</w:t>
      </w:r>
    </w:p>
    <w:p w14:paraId="16B83BA0" w14:textId="77777777" w:rsidR="002A2C46" w:rsidRPr="000665B0" w:rsidRDefault="002A2C46" w:rsidP="009570CA">
      <w:r w:rsidRPr="000665B0">
        <w:t>If the Outgoing DDO was sent through Comms, the Comms Information pane is displayed as shown below.</w:t>
      </w:r>
    </w:p>
    <w:p w14:paraId="34D43242" w14:textId="07B83A67" w:rsidR="002A2C46" w:rsidRPr="000665B0" w:rsidRDefault="00F22CDE" w:rsidP="009570CA">
      <w:pPr>
        <w:jc w:val="center"/>
      </w:pPr>
      <w:r w:rsidRPr="000665B0">
        <w:rPr>
          <w:noProof/>
        </w:rPr>
        <w:drawing>
          <wp:inline distT="0" distB="0" distL="0" distR="0" wp14:anchorId="00CE8E53" wp14:editId="5F855502">
            <wp:extent cx="4983480" cy="731520"/>
            <wp:effectExtent l="0" t="0" r="0" b="0"/>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731520"/>
                    </a:xfrm>
                    <a:prstGeom prst="rect">
                      <a:avLst/>
                    </a:prstGeom>
                  </pic:spPr>
                </pic:pic>
              </a:graphicData>
            </a:graphic>
          </wp:inline>
        </w:drawing>
      </w:r>
    </w:p>
    <w:p w14:paraId="4B98CC3E" w14:textId="77777777" w:rsidR="002A2C46" w:rsidRPr="000665B0" w:rsidRDefault="002A2C46" w:rsidP="006D5A65">
      <w:pPr>
        <w:pStyle w:val="Heading1"/>
      </w:pPr>
      <w:r w:rsidRPr="000665B0">
        <w:t>Immediate or Flash – The appropriate precedence.</w:t>
      </w:r>
    </w:p>
    <w:p w14:paraId="18BEA536" w14:textId="1195CA5D" w:rsidR="002A2C46" w:rsidRPr="000665B0" w:rsidRDefault="002A2C46" w:rsidP="006D5A65">
      <w:pPr>
        <w:pStyle w:val="Heading1"/>
      </w:pPr>
      <w:r w:rsidRPr="000665B0">
        <w:t xml:space="preserve">Perform Minimization </w:t>
      </w:r>
      <w:r w:rsidR="000602BF" w:rsidRPr="000665B0">
        <w:t xml:space="preserve">– </w:t>
      </w:r>
      <w:r w:rsidRPr="000665B0">
        <w:t>This option compared any Missions, DSMACs, or TERCOMS in the DDO against the recipient’s hard accountability and omitted duplicate data.</w:t>
      </w:r>
    </w:p>
    <w:p w14:paraId="64D4C010" w14:textId="74B12D00" w:rsidR="002A2C46" w:rsidRPr="000665B0" w:rsidRDefault="002A2C46" w:rsidP="006D5A65">
      <w:pPr>
        <w:pStyle w:val="Heading1"/>
      </w:pPr>
      <w:r w:rsidRPr="000665B0">
        <w:t xml:space="preserve">Override SID </w:t>
      </w:r>
      <w:r w:rsidR="00231461" w:rsidRPr="000665B0">
        <w:t>–</w:t>
      </w:r>
      <w:r w:rsidRPr="000665B0">
        <w:softHyphen/>
        <w:t xml:space="preserve"> This takes precedence and supersedes all ADDEE SID numbers.</w:t>
      </w:r>
    </w:p>
    <w:p w14:paraId="50D90F89" w14:textId="77777777" w:rsidR="002A2C46" w:rsidRPr="000665B0" w:rsidRDefault="002A2C46" w:rsidP="009570CA">
      <w:r w:rsidRPr="000665B0">
        <w:t>The Comms Information pane is not displayed for Outgoing Media DDOs.</w:t>
      </w:r>
    </w:p>
    <w:p w14:paraId="3235DFED" w14:textId="77777777" w:rsidR="002A2C46" w:rsidRPr="000665B0" w:rsidRDefault="002A2C46" w:rsidP="009570CA">
      <w:pPr>
        <w:rPr>
          <w:b/>
          <w:i/>
        </w:rPr>
      </w:pPr>
      <w:r w:rsidRPr="000665B0">
        <w:rPr>
          <w:b/>
          <w:i/>
        </w:rPr>
        <w:lastRenderedPageBreak/>
        <w:t>Data Items List View</w:t>
      </w:r>
    </w:p>
    <w:p w14:paraId="57DC42D0" w14:textId="77777777" w:rsidR="002A2C46" w:rsidRPr="000665B0" w:rsidRDefault="002A2C46" w:rsidP="009570CA">
      <w:r w:rsidRPr="000665B0">
        <w:t>The content fields of the DDO include:</w:t>
      </w:r>
    </w:p>
    <w:p w14:paraId="37FC1CD9" w14:textId="77777777" w:rsidR="002A2C46" w:rsidRPr="000665B0" w:rsidRDefault="002A2C46" w:rsidP="006D5A65">
      <w:pPr>
        <w:pStyle w:val="Heading1"/>
      </w:pPr>
      <w:r w:rsidRPr="000665B0">
        <w:t>Columns</w:t>
      </w:r>
    </w:p>
    <w:p w14:paraId="5DEB9143" w14:textId="77777777" w:rsidR="002A2C46" w:rsidRPr="000665B0" w:rsidRDefault="002A2C46" w:rsidP="006D5A65">
      <w:pPr>
        <w:pStyle w:val="Heading2"/>
      </w:pPr>
      <w:r w:rsidRPr="000665B0">
        <w:rPr>
          <w:bCs/>
        </w:rPr>
        <w:t>Type</w:t>
      </w:r>
      <w:r w:rsidRPr="000665B0">
        <w:t xml:space="preserve"> – Name of the data element.</w:t>
      </w:r>
    </w:p>
    <w:p w14:paraId="3130AEC7" w14:textId="77777777" w:rsidR="002A2C46" w:rsidRPr="000665B0" w:rsidRDefault="002A2C46" w:rsidP="006D5A65">
      <w:pPr>
        <w:pStyle w:val="Heading2"/>
      </w:pPr>
      <w:r w:rsidRPr="000665B0">
        <w:rPr>
          <w:bCs/>
        </w:rPr>
        <w:t>ID</w:t>
      </w:r>
      <w:r w:rsidRPr="000665B0">
        <w:t xml:space="preserve"> – Number of the data element in the DDO.</w:t>
      </w:r>
    </w:p>
    <w:p w14:paraId="33ADD04D" w14:textId="77777777" w:rsidR="002A2C46" w:rsidRPr="000665B0" w:rsidRDefault="002A2C46" w:rsidP="006D5A65">
      <w:pPr>
        <w:pStyle w:val="Heading2"/>
      </w:pPr>
      <w:r w:rsidRPr="000665B0">
        <w:rPr>
          <w:bCs/>
        </w:rPr>
        <w:t xml:space="preserve">Status </w:t>
      </w:r>
      <w:r w:rsidRPr="000665B0">
        <w:t xml:space="preserve">– The status of the item within the DDO. </w:t>
      </w:r>
    </w:p>
    <w:p w14:paraId="2E1CE2CE" w14:textId="77777777" w:rsidR="002A2C46" w:rsidRPr="000665B0" w:rsidRDefault="002A2C46" w:rsidP="006D5A65">
      <w:pPr>
        <w:pStyle w:val="Heading2"/>
      </w:pPr>
      <w:r w:rsidRPr="000665B0">
        <w:rPr>
          <w:bCs/>
        </w:rPr>
        <w:t>Action</w:t>
      </w:r>
      <w:r w:rsidRPr="000665B0">
        <w:t xml:space="preserve"> – Indicates Install, Delete, Activate, Deactivate, or Request.</w:t>
      </w:r>
    </w:p>
    <w:p w14:paraId="2535C198" w14:textId="77777777" w:rsidR="00C27CB4" w:rsidRPr="000665B0" w:rsidRDefault="00C27CB4" w:rsidP="006D5A65">
      <w:pPr>
        <w:pStyle w:val="Heading2"/>
      </w:pPr>
      <w:r w:rsidRPr="000665B0">
        <w:rPr>
          <w:bCs/>
        </w:rPr>
        <w:t xml:space="preserve">Information </w:t>
      </w:r>
      <w:r w:rsidRPr="000665B0">
        <w:t>– Displays helpful information indicating why DDO data items failed to process.</w:t>
      </w:r>
    </w:p>
    <w:p w14:paraId="1A50A602" w14:textId="77777777" w:rsidR="002A2C46" w:rsidRPr="000665B0" w:rsidRDefault="002A2C46" w:rsidP="006D5A65">
      <w:pPr>
        <w:pStyle w:val="Heading1"/>
      </w:pPr>
      <w:r w:rsidRPr="000665B0">
        <w:t>Context Menu</w:t>
      </w:r>
    </w:p>
    <w:p w14:paraId="22FD60A3" w14:textId="77777777" w:rsidR="002A2C46" w:rsidRPr="000665B0" w:rsidRDefault="002A2C46" w:rsidP="006D5A65">
      <w:pPr>
        <w:pStyle w:val="Heading2"/>
      </w:pPr>
      <w:r w:rsidRPr="000665B0">
        <w:t>Display</w:t>
      </w:r>
    </w:p>
    <w:p w14:paraId="6D7112BF" w14:textId="77777777" w:rsidR="002A2C46" w:rsidRPr="000665B0" w:rsidRDefault="002A2C46" w:rsidP="006D5A65">
      <w:pPr>
        <w:pStyle w:val="Heading3"/>
        <w:rPr>
          <w:rFonts w:eastAsia="Arial Unicode MS"/>
        </w:rPr>
      </w:pPr>
      <w:r w:rsidRPr="000665B0">
        <w:rPr>
          <w:rFonts w:eastAsia="Arial Unicode MS"/>
        </w:rPr>
        <w:t xml:space="preserve">in Excel – </w:t>
      </w:r>
      <w:r w:rsidRPr="000665B0">
        <w:t>Creates an Excel document containing the selected data item’s information.</w:t>
      </w:r>
    </w:p>
    <w:p w14:paraId="25E918CF" w14:textId="77777777" w:rsidR="002A2C46" w:rsidRPr="000665B0" w:rsidRDefault="002A2C46" w:rsidP="006D5A65">
      <w:pPr>
        <w:pStyle w:val="Heading2"/>
      </w:pPr>
      <w:r w:rsidRPr="000665B0">
        <w:t>Print… - Prints the selected Outgoing DDO Data Item’s list information.</w:t>
      </w:r>
    </w:p>
    <w:p w14:paraId="7A697491" w14:textId="77777777" w:rsidR="002A2C46" w:rsidRPr="000665B0" w:rsidRDefault="002A2C46" w:rsidP="00B0379E">
      <w:pPr>
        <w:keepNext/>
        <w:spacing w:after="0"/>
        <w:rPr>
          <w:b/>
          <w:i/>
        </w:rPr>
      </w:pPr>
      <w:r w:rsidRPr="000665B0">
        <w:rPr>
          <w:b/>
          <w:i/>
        </w:rPr>
        <w:t>Status List View</w:t>
      </w:r>
    </w:p>
    <w:p w14:paraId="3AA9E7CC" w14:textId="77777777" w:rsidR="002A2C46" w:rsidRPr="000665B0" w:rsidRDefault="002A2C46" w:rsidP="009570CA">
      <w:pPr>
        <w:spacing w:after="0"/>
      </w:pPr>
      <w:r w:rsidRPr="000665B0">
        <w:t xml:space="preserve">On a textual display of an Outgoing DDO, the </w:t>
      </w:r>
      <w:r w:rsidRPr="000665B0">
        <w:rPr>
          <w:b/>
        </w:rPr>
        <w:t>Status</w:t>
      </w:r>
      <w:r w:rsidRPr="000665B0">
        <w:t xml:space="preserve"> pane at the bottom of the window displays individual recipients of the DDO. </w:t>
      </w:r>
    </w:p>
    <w:p w14:paraId="232E402C" w14:textId="77777777" w:rsidR="002A2C46" w:rsidRPr="000665B0" w:rsidRDefault="002A2C46" w:rsidP="006D5A65">
      <w:pPr>
        <w:pStyle w:val="Heading1"/>
      </w:pPr>
      <w:r w:rsidRPr="000665B0">
        <w:t>Columns</w:t>
      </w:r>
    </w:p>
    <w:p w14:paraId="4060A144" w14:textId="77777777" w:rsidR="002A2C46" w:rsidRPr="000665B0" w:rsidRDefault="002A2C46" w:rsidP="006D5A65">
      <w:pPr>
        <w:pStyle w:val="Heading2"/>
      </w:pPr>
      <w:r w:rsidRPr="000665B0">
        <w:rPr>
          <w:bCs/>
        </w:rPr>
        <w:t>Status</w:t>
      </w:r>
      <w:r w:rsidRPr="000665B0">
        <w:t xml:space="preserve"> – Displays the individual recipients of the DDO.</w:t>
      </w:r>
    </w:p>
    <w:p w14:paraId="561779E7" w14:textId="77777777" w:rsidR="002A2C46" w:rsidRPr="000665B0" w:rsidRDefault="002A2C46" w:rsidP="006D5A65">
      <w:pPr>
        <w:pStyle w:val="Heading1"/>
      </w:pPr>
      <w:r w:rsidRPr="000665B0">
        <w:t>Context Menu</w:t>
      </w:r>
    </w:p>
    <w:p w14:paraId="5DAC88B4" w14:textId="77777777" w:rsidR="002A2C46" w:rsidRPr="000665B0" w:rsidRDefault="002A2C46" w:rsidP="006D5A65">
      <w:pPr>
        <w:pStyle w:val="Heading2"/>
      </w:pPr>
      <w:r w:rsidRPr="000665B0">
        <w:t>Display</w:t>
      </w:r>
    </w:p>
    <w:p w14:paraId="3F054FE9" w14:textId="77777777" w:rsidR="002A2C46" w:rsidRPr="000665B0" w:rsidRDefault="002A2C46" w:rsidP="006D5A65">
      <w:pPr>
        <w:pStyle w:val="Heading3"/>
        <w:rPr>
          <w:rFonts w:eastAsia="Arial Unicode MS"/>
        </w:rPr>
      </w:pPr>
      <w:r w:rsidRPr="000665B0">
        <w:rPr>
          <w:rFonts w:eastAsia="Arial Unicode MS"/>
        </w:rPr>
        <w:t xml:space="preserve">in Excel – </w:t>
      </w:r>
      <w:r w:rsidRPr="000665B0">
        <w:t>Creates an Excel document containing the selected status information.</w:t>
      </w:r>
    </w:p>
    <w:p w14:paraId="49D77469" w14:textId="77777777" w:rsidR="002A2C46" w:rsidRPr="000665B0" w:rsidRDefault="002A2C46" w:rsidP="006D5A65">
      <w:pPr>
        <w:pStyle w:val="Heading2"/>
      </w:pPr>
      <w:r w:rsidRPr="000665B0">
        <w:t>Print… – Prints the selected status list information.</w:t>
      </w:r>
    </w:p>
    <w:p w14:paraId="6999C705" w14:textId="64A4F67A" w:rsidR="002A2C46" w:rsidRPr="000665B0" w:rsidRDefault="002A2C46" w:rsidP="009570CA">
      <w:r w:rsidRPr="000665B0">
        <w:t xml:space="preserve">In addition to viewing information for the Outgoing DDO, the user can also view the </w:t>
      </w:r>
      <w:r w:rsidRPr="000665B0">
        <w:rPr>
          <w:b/>
        </w:rPr>
        <w:t>Print Preview</w:t>
      </w:r>
      <w:r w:rsidRPr="000665B0">
        <w:t xml:space="preserve"> as well as </w:t>
      </w:r>
      <w:r w:rsidRPr="000665B0">
        <w:rPr>
          <w:b/>
        </w:rPr>
        <w:t>Print</w:t>
      </w:r>
      <w:r w:rsidRPr="000665B0">
        <w:t xml:space="preserve"> the Outgoing DDO. See </w:t>
      </w:r>
      <w:hyperlink w:anchor="_5.2__COMMON_2" w:history="1">
        <w:r w:rsidRPr="000665B0">
          <w:rPr>
            <w:color w:val="0000FF"/>
            <w:u w:val="single"/>
          </w:rPr>
          <w:t>Section 5.2</w:t>
        </w:r>
      </w:hyperlink>
      <w:r w:rsidRPr="000665B0">
        <w:t xml:space="preserve"> for information on how to perform those features.</w:t>
      </w:r>
    </w:p>
    <w:p w14:paraId="4B74F3B7" w14:textId="2DE436E1" w:rsidR="005D1A26" w:rsidRPr="000665B0" w:rsidRDefault="00C625FE" w:rsidP="009570CA">
      <w:pPr>
        <w:pStyle w:val="Heading3"/>
      </w:pPr>
      <w:bookmarkStart w:id="4568" w:name="_Toc214283326"/>
      <w:r w:rsidRPr="000665B0">
        <w:lastRenderedPageBreak/>
        <w:t xml:space="preserve">Forward </w:t>
      </w:r>
      <w:r w:rsidR="005D1A26" w:rsidRPr="000665B0">
        <w:t>DDO</w:t>
      </w:r>
      <w:bookmarkEnd w:id="4562"/>
      <w:r w:rsidR="005D1A26" w:rsidRPr="000665B0">
        <w:t xml:space="preserve"> Manifest</w:t>
      </w:r>
      <w:bookmarkEnd w:id="4563"/>
      <w:bookmarkEnd w:id="4564"/>
      <w:bookmarkEnd w:id="4565"/>
      <w:bookmarkEnd w:id="4566"/>
      <w:bookmarkEnd w:id="4567"/>
      <w:bookmarkEnd w:id="4568"/>
    </w:p>
    <w:p w14:paraId="60B698B5" w14:textId="77777777" w:rsidR="00FE39EA" w:rsidRPr="000665B0" w:rsidRDefault="00FE39EA" w:rsidP="009570CA">
      <w:r w:rsidRPr="000665B0">
        <w:t>Each outgoing DDO can be forwarded to another site. Similar to forwarding an email, this simplifies the distribution process of sending the same DDO information without creating a new DDO Template from scratch.</w:t>
      </w:r>
      <w:r w:rsidR="00C10ECD" w:rsidRPr="000665B0">
        <w:t xml:space="preserve"> This functionality adds the DDO manifest only (not the DDO data) from the selected DDO into a new DDO template.</w:t>
      </w:r>
    </w:p>
    <w:p w14:paraId="580D40CD" w14:textId="77777777" w:rsidR="005D1A26" w:rsidRPr="000665B0" w:rsidRDefault="005D1A26" w:rsidP="009570CA">
      <w:r w:rsidRPr="000665B0">
        <w:t>To forward an outgoing DDO:</w:t>
      </w:r>
    </w:p>
    <w:p w14:paraId="0F7BEBA4" w14:textId="77777777" w:rsidR="005D1A26" w:rsidRPr="000665B0" w:rsidRDefault="005D1A26" w:rsidP="006D5A65">
      <w:pPr>
        <w:pStyle w:val="Heading1"/>
      </w:pPr>
      <w:r w:rsidRPr="000665B0">
        <w:t>Navigate to the Outgoing DDOs Tool and select the desired entry.</w:t>
      </w:r>
    </w:p>
    <w:p w14:paraId="200BAD06" w14:textId="7EF466A4" w:rsidR="00FE39EA" w:rsidRPr="000665B0" w:rsidRDefault="00FE39EA" w:rsidP="006D5A65">
      <w:pPr>
        <w:pStyle w:val="Heading1"/>
      </w:pPr>
      <w:r w:rsidRPr="000665B0">
        <w:t xml:space="preserve">From the File menu select Send </w:t>
      </w:r>
      <w:r w:rsidRPr="000665B0">
        <w:sym w:font="Wingdings 3" w:char="F07D"/>
      </w:r>
      <w:r w:rsidRPr="000665B0">
        <w:t xml:space="preserve"> Copy DDO Manifest to new DDO… or invoke the context menu (right-click the mouse) and select Send </w:t>
      </w:r>
      <w:r w:rsidRPr="000665B0">
        <w:sym w:font="Wingdings 3" w:char="F07D"/>
      </w:r>
      <w:r w:rsidRPr="000665B0">
        <w:t xml:space="preserve"> Copy DDO Manifest to new DDO….</w:t>
      </w:r>
      <w:r w:rsidR="000602BF" w:rsidRPr="000665B0">
        <w:t xml:space="preserve"> The </w:t>
      </w:r>
      <w:r w:rsidR="000602BF" w:rsidRPr="000665B0">
        <w:rPr>
          <w:i/>
        </w:rPr>
        <w:t>DDO Template</w:t>
      </w:r>
      <w:r w:rsidR="000602BF" w:rsidRPr="000665B0">
        <w:t xml:space="preserve"> window is displayed.</w:t>
      </w:r>
    </w:p>
    <w:p w14:paraId="7AF98CBA" w14:textId="77777777" w:rsidR="00FE39EA" w:rsidRPr="000665B0" w:rsidRDefault="00FE39EA" w:rsidP="006D5A65">
      <w:pPr>
        <w:pStyle w:val="Heading1"/>
      </w:pPr>
      <w:r w:rsidRPr="000665B0">
        <w:t>Click the To button to display the Address Book.</w:t>
      </w:r>
    </w:p>
    <w:p w14:paraId="5298BBB2" w14:textId="1E8B8585" w:rsidR="00FE39EA" w:rsidRPr="000665B0" w:rsidRDefault="00FE39EA" w:rsidP="006D5A65">
      <w:pPr>
        <w:pStyle w:val="Heading1"/>
      </w:pPr>
      <w:r w:rsidRPr="000665B0">
        <w:t>Select the appropriate recipient(s) in the left column of the Address Book and then click To</w:t>
      </w:r>
      <w:r w:rsidR="000602BF" w:rsidRPr="000665B0">
        <w:t>-&gt;</w:t>
      </w:r>
      <w:r w:rsidRPr="000665B0">
        <w:t xml:space="preserve"> in the middle of the window to move the selected recipient(s) to the right column. Click OK when complete.</w:t>
      </w:r>
    </w:p>
    <w:p w14:paraId="48658CE1" w14:textId="77777777" w:rsidR="005D1A26" w:rsidRPr="000665B0" w:rsidRDefault="005D1A26" w:rsidP="006D5A65">
      <w:pPr>
        <w:pStyle w:val="Heading1"/>
      </w:pPr>
      <w:r w:rsidRPr="000665B0">
        <w:t xml:space="preserve">Modify the original Objective field if necessary. </w:t>
      </w:r>
    </w:p>
    <w:p w14:paraId="7ADA7F2F" w14:textId="77777777" w:rsidR="00FE39EA" w:rsidRPr="000665B0" w:rsidRDefault="00FE39EA" w:rsidP="006D5A65">
      <w:pPr>
        <w:pStyle w:val="Heading1"/>
      </w:pPr>
      <w:r w:rsidRPr="000665B0">
        <w:t xml:space="preserve">From the </w:t>
      </w:r>
      <w:r w:rsidRPr="000665B0">
        <w:rPr>
          <w:iCs/>
        </w:rPr>
        <w:t>File</w:t>
      </w:r>
      <w:r w:rsidRPr="000665B0">
        <w:t xml:space="preserve"> menu, select </w:t>
      </w:r>
      <w:r w:rsidRPr="000665B0">
        <w:rPr>
          <w:bCs/>
        </w:rPr>
        <w:t>Save or c</w:t>
      </w:r>
      <w:r w:rsidRPr="000665B0">
        <w:t xml:space="preserve">lick the Save </w:t>
      </w:r>
      <w:r w:rsidRPr="000665B0">
        <w:rPr>
          <w:noProof/>
        </w:rPr>
        <w:drawing>
          <wp:inline distT="0" distB="0" distL="0" distR="0" wp14:anchorId="186279B3" wp14:editId="4915F994">
            <wp:extent cx="158750" cy="158750"/>
            <wp:effectExtent l="0" t="0" r="0" b="0"/>
            <wp:docPr id="1087" name="Picture 1087" descr="Description: 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Description: save%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icon on the toolbar.</w:t>
      </w:r>
    </w:p>
    <w:p w14:paraId="1306E140" w14:textId="7D4C64BE" w:rsidR="000602BF" w:rsidRPr="000665B0" w:rsidRDefault="000602BF" w:rsidP="009570CA">
      <w:pPr>
        <w:pStyle w:val="Number0205"/>
        <w:ind w:left="360" w:firstLine="0"/>
      </w:pPr>
      <w:r w:rsidRPr="000665B0">
        <w:t>or</w:t>
      </w:r>
    </w:p>
    <w:p w14:paraId="2B4E1A0C" w14:textId="77777777" w:rsidR="00FE39EA" w:rsidRPr="000665B0" w:rsidRDefault="00FE39EA" w:rsidP="006D5A65">
      <w:pPr>
        <w:pStyle w:val="Heading1"/>
      </w:pPr>
      <w:bookmarkStart w:id="4569" w:name="_Toc96170053"/>
      <w:bookmarkStart w:id="4570" w:name="_Toc96234098"/>
      <w:bookmarkStart w:id="4571" w:name="_Toc112733526"/>
      <w:bookmarkStart w:id="4572" w:name="_Toc289328567"/>
      <w:bookmarkStart w:id="4573" w:name="_Toc312331881"/>
      <w:bookmarkStart w:id="4574" w:name="_Toc71955477"/>
      <w:r w:rsidRPr="000665B0">
        <w:t xml:space="preserve">From the File menu select Send or click the Send </w:t>
      </w:r>
      <w:r w:rsidRPr="000665B0">
        <w:rPr>
          <w:noProof/>
        </w:rPr>
        <w:drawing>
          <wp:inline distT="0" distB="0" distL="0" distR="0" wp14:anchorId="750BC0C9" wp14:editId="6B14720A">
            <wp:extent cx="158750" cy="158750"/>
            <wp:effectExtent l="0" t="0" r="0" b="0"/>
            <wp:docPr id="1088" name="Picture 1088"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icon on the toolbar.</w:t>
      </w:r>
    </w:p>
    <w:p w14:paraId="6E4A0E75" w14:textId="698E07EB" w:rsidR="005D1A26" w:rsidRPr="000665B0" w:rsidRDefault="00C625FE" w:rsidP="009570CA">
      <w:pPr>
        <w:pStyle w:val="Heading3"/>
      </w:pPr>
      <w:bookmarkStart w:id="4575" w:name="_Toc214283327"/>
      <w:r w:rsidRPr="000665B0">
        <w:t xml:space="preserve">Forward </w:t>
      </w:r>
      <w:r w:rsidR="005D1A26" w:rsidRPr="000665B0">
        <w:t>DDO Data</w:t>
      </w:r>
      <w:bookmarkEnd w:id="4569"/>
      <w:bookmarkEnd w:id="4570"/>
      <w:bookmarkEnd w:id="4571"/>
      <w:bookmarkEnd w:id="4572"/>
      <w:bookmarkEnd w:id="4573"/>
      <w:bookmarkEnd w:id="4575"/>
      <w:r w:rsidR="005D1A26" w:rsidRPr="000665B0">
        <w:t xml:space="preserve"> </w:t>
      </w:r>
    </w:p>
    <w:p w14:paraId="2A197F03" w14:textId="35EF5E0F" w:rsidR="00857CDE" w:rsidRPr="000665B0" w:rsidRDefault="00857CDE" w:rsidP="009570CA">
      <w:r w:rsidRPr="000665B0">
        <w:t xml:space="preserve">Each outgoing DDO can be forwarded to another site. Similar to forwarding an email, this simplifies the distribution process of sending the same DDO information without creating a new DDO Template from scratch. This functionality adds all objects </w:t>
      </w:r>
      <w:r w:rsidR="00FC0CBC" w:rsidRPr="000665B0">
        <w:t xml:space="preserve">from </w:t>
      </w:r>
      <w:r w:rsidRPr="000665B0">
        <w:t>the selected DDO into a new DDO template.</w:t>
      </w:r>
    </w:p>
    <w:p w14:paraId="2F2A6E22" w14:textId="77777777" w:rsidR="005D1A26" w:rsidRPr="000665B0" w:rsidRDefault="005D1A26" w:rsidP="009570CA">
      <w:r w:rsidRPr="000665B0">
        <w:t xml:space="preserve">To </w:t>
      </w:r>
      <w:r w:rsidR="00857CDE" w:rsidRPr="000665B0">
        <w:t>forward an outgoing DDO</w:t>
      </w:r>
      <w:r w:rsidRPr="000665B0">
        <w:t>:</w:t>
      </w:r>
    </w:p>
    <w:p w14:paraId="09CFD23D" w14:textId="77777777" w:rsidR="005D1A26" w:rsidRPr="000665B0" w:rsidRDefault="005D1A26" w:rsidP="006D5A65">
      <w:pPr>
        <w:pStyle w:val="Heading1"/>
      </w:pPr>
      <w:r w:rsidRPr="000665B0">
        <w:t>Navigate to the Outgoing DDOs Tool and select the desired entry.</w:t>
      </w:r>
    </w:p>
    <w:p w14:paraId="04C1375E" w14:textId="686F1BC5" w:rsidR="00857CDE" w:rsidRPr="000665B0" w:rsidRDefault="00857CDE" w:rsidP="006D5A65">
      <w:pPr>
        <w:pStyle w:val="Heading1"/>
      </w:pPr>
      <w:r w:rsidRPr="000665B0">
        <w:t xml:space="preserve">From the File menu select Send </w:t>
      </w:r>
      <w:r w:rsidRPr="000665B0">
        <w:sym w:font="Wingdings 3" w:char="F07D"/>
      </w:r>
      <w:r w:rsidRPr="000665B0">
        <w:t xml:space="preserve"> Copy DDO Data to new DDO… or invoke the context menu (right-click the mouse) and select Send </w:t>
      </w:r>
      <w:r w:rsidRPr="000665B0">
        <w:sym w:font="Wingdings 3" w:char="F07D"/>
      </w:r>
      <w:r w:rsidRPr="000665B0">
        <w:t xml:space="preserve"> Copy DDO Data to new DDO….</w:t>
      </w:r>
      <w:r w:rsidR="000602BF" w:rsidRPr="000665B0">
        <w:t xml:space="preserve"> The </w:t>
      </w:r>
      <w:r w:rsidR="000602BF" w:rsidRPr="000665B0">
        <w:rPr>
          <w:i/>
        </w:rPr>
        <w:t>DDO Template</w:t>
      </w:r>
      <w:r w:rsidR="000602BF" w:rsidRPr="000665B0">
        <w:t xml:space="preserve"> window is displayed.</w:t>
      </w:r>
    </w:p>
    <w:p w14:paraId="0375D663" w14:textId="77777777" w:rsidR="00857CDE" w:rsidRPr="000665B0" w:rsidRDefault="00857CDE" w:rsidP="006D5A65">
      <w:pPr>
        <w:pStyle w:val="Heading1"/>
      </w:pPr>
      <w:r w:rsidRPr="000665B0">
        <w:t>Click the To button to display the Address Book.</w:t>
      </w:r>
    </w:p>
    <w:p w14:paraId="5AAE4125" w14:textId="4C4759A0" w:rsidR="005D1A26" w:rsidRPr="000665B0" w:rsidRDefault="00857CDE" w:rsidP="006D5A65">
      <w:pPr>
        <w:pStyle w:val="Heading1"/>
      </w:pPr>
      <w:r w:rsidRPr="000665B0">
        <w:t>Select the appropriate recipient(s) in the left column of the Address Book and then click To</w:t>
      </w:r>
      <w:r w:rsidR="000602BF" w:rsidRPr="000665B0">
        <w:t>-&gt;</w:t>
      </w:r>
      <w:r w:rsidRPr="000665B0">
        <w:t xml:space="preserve"> in the middle of the window </w:t>
      </w:r>
      <w:r w:rsidRPr="000665B0">
        <w:lastRenderedPageBreak/>
        <w:t>to move the selected recipient(s) to the right column. Click OK when complete.</w:t>
      </w:r>
    </w:p>
    <w:p w14:paraId="6A061695" w14:textId="77777777" w:rsidR="005D1A26" w:rsidRPr="000665B0" w:rsidRDefault="005D1A26" w:rsidP="006D5A65">
      <w:pPr>
        <w:pStyle w:val="Heading1"/>
      </w:pPr>
      <w:r w:rsidRPr="000665B0">
        <w:t xml:space="preserve">Modify the original Objective field if necessary. </w:t>
      </w:r>
    </w:p>
    <w:p w14:paraId="069D52C9" w14:textId="6846395F" w:rsidR="005D1A26" w:rsidRPr="000665B0" w:rsidRDefault="000602BF" w:rsidP="006D5A65">
      <w:pPr>
        <w:pStyle w:val="Heading1"/>
      </w:pPr>
      <w:r w:rsidRPr="000665B0">
        <w:t xml:space="preserve">From the </w:t>
      </w:r>
      <w:r w:rsidRPr="000665B0">
        <w:rPr>
          <w:iCs/>
        </w:rPr>
        <w:t>File</w:t>
      </w:r>
      <w:r w:rsidRPr="000665B0">
        <w:t xml:space="preserve"> menu, select </w:t>
      </w:r>
      <w:r w:rsidRPr="000665B0">
        <w:rPr>
          <w:bCs/>
        </w:rPr>
        <w:t>Save or c</w:t>
      </w:r>
      <w:r w:rsidRPr="000665B0">
        <w:t xml:space="preserve">lick </w:t>
      </w:r>
      <w:r w:rsidR="005D1A26" w:rsidRPr="000665B0">
        <w:t xml:space="preserve">the </w:t>
      </w:r>
      <w:r w:rsidR="005D1A26" w:rsidRPr="000665B0">
        <w:rPr>
          <w:bCs/>
        </w:rPr>
        <w:t>Save</w:t>
      </w:r>
      <w:r w:rsidR="005D1A26" w:rsidRPr="000665B0">
        <w:t xml:space="preserve"> icon from the toolbar.</w:t>
      </w:r>
    </w:p>
    <w:p w14:paraId="647871C8" w14:textId="57D5CD7B" w:rsidR="000602BF" w:rsidRPr="000665B0" w:rsidRDefault="000602BF" w:rsidP="009570CA">
      <w:pPr>
        <w:pStyle w:val="Number0205"/>
        <w:ind w:left="360" w:firstLine="0"/>
      </w:pPr>
      <w:r w:rsidRPr="000665B0">
        <w:t>or</w:t>
      </w:r>
    </w:p>
    <w:p w14:paraId="5C7D97C6" w14:textId="3AAEA7DD" w:rsidR="005D1A26" w:rsidRPr="000665B0" w:rsidRDefault="000602BF" w:rsidP="006D5A65">
      <w:pPr>
        <w:pStyle w:val="Heading1"/>
      </w:pPr>
      <w:r w:rsidRPr="000665B0">
        <w:t xml:space="preserve">From the File menu select Send or </w:t>
      </w:r>
      <w:r w:rsidR="00055D7D" w:rsidRPr="000665B0">
        <w:t>click the</w:t>
      </w:r>
      <w:r w:rsidR="005D1A26" w:rsidRPr="000665B0">
        <w:t xml:space="preserve"> </w:t>
      </w:r>
      <w:r w:rsidR="005D1A26" w:rsidRPr="000665B0">
        <w:rPr>
          <w:bCs/>
        </w:rPr>
        <w:t>Send</w:t>
      </w:r>
      <w:r w:rsidR="005D1A26" w:rsidRPr="000665B0">
        <w:t xml:space="preserve"> icon from the toolbar.</w:t>
      </w:r>
    </w:p>
    <w:p w14:paraId="4CDA6D02" w14:textId="77777777" w:rsidR="00DD1465" w:rsidRDefault="00DD1465" w:rsidP="009570CA">
      <w:pPr>
        <w:pStyle w:val="Heading3"/>
      </w:pPr>
      <w:bookmarkStart w:id="4576" w:name="_Toc214283328"/>
      <w:bookmarkStart w:id="4577" w:name="_Toc96170054"/>
      <w:bookmarkStart w:id="4578" w:name="_Toc96234099"/>
      <w:bookmarkStart w:id="4579" w:name="_Toc112733527"/>
      <w:bookmarkStart w:id="4580" w:name="_Toc289328568"/>
      <w:bookmarkStart w:id="4581" w:name="_Toc312331882"/>
      <w:r>
        <w:t>Foreign Releasability</w:t>
      </w:r>
      <w:bookmarkEnd w:id="4576"/>
      <w:r>
        <w:t xml:space="preserve"> </w:t>
      </w:r>
    </w:p>
    <w:p w14:paraId="7294B67F" w14:textId="6106B16F" w:rsidR="00DD1465" w:rsidRDefault="00DD1465" w:rsidP="009570CA">
      <w:r>
        <w:t>MDS has releasability checks in place to determine if outgoing DDOs are releasable to foreign TMPC nodes. This functionality applies to all types of requests to send outgoing DDOs to foreign recipients to ensure the safeguarding of non-releasable data.</w:t>
      </w:r>
    </w:p>
    <w:p w14:paraId="4E2A1EFF" w14:textId="77777777" w:rsidR="00DD1465" w:rsidRDefault="00DD1465" w:rsidP="009570CA">
      <w:pPr>
        <w:pStyle w:val="Heading4"/>
      </w:pPr>
      <w:r>
        <w:t>Releasability Warning</w:t>
      </w:r>
    </w:p>
    <w:p w14:paraId="40F3F607" w14:textId="58D1E3C3" w:rsidR="00DD1465" w:rsidRDefault="00DD1465" w:rsidP="009570CA">
      <w:r>
        <w:t xml:space="preserve">Requests to send or forward DDOs to foreign nodes triggers TED to generate a </w:t>
      </w:r>
      <w:r w:rsidRPr="00455C85">
        <w:t>Releasability Warning</w:t>
      </w:r>
      <w:r>
        <w:t xml:space="preserve"> in MDS, as shown below.</w:t>
      </w:r>
    </w:p>
    <w:p w14:paraId="6A3238C4" w14:textId="77777777" w:rsidR="00DD1465" w:rsidRDefault="00DD1465" w:rsidP="009570CA">
      <w:pPr>
        <w:jc w:val="center"/>
      </w:pPr>
      <w:r>
        <w:rPr>
          <w:i/>
          <w:noProof/>
        </w:rPr>
        <w:drawing>
          <wp:inline distT="0" distB="0" distL="0" distR="0" wp14:anchorId="2F4C9B68" wp14:editId="362C550E">
            <wp:extent cx="2743200" cy="1225296"/>
            <wp:effectExtent l="0" t="0" r="0" b="0"/>
            <wp:docPr id="1986" name="Picture 1986"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 name="Picture 1986" descr="Graphical user interface, application, email&#10;&#10;Description automatically generate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743200" cy="1225296"/>
                    </a:xfrm>
                    <a:prstGeom prst="rect">
                      <a:avLst/>
                    </a:prstGeom>
                    <a:noFill/>
                    <a:ln>
                      <a:noFill/>
                    </a:ln>
                  </pic:spPr>
                </pic:pic>
              </a:graphicData>
            </a:graphic>
          </wp:inline>
        </w:drawing>
      </w:r>
    </w:p>
    <w:p w14:paraId="23B8A952" w14:textId="77777777" w:rsidR="00DD1465" w:rsidRDefault="00DD1465" w:rsidP="009570CA">
      <w:r>
        <w:t xml:space="preserve">TED prohibits the sending of DDOs to foreign nodes without receiving a </w:t>
      </w:r>
      <w:r w:rsidRPr="000B7131">
        <w:rPr>
          <w:i/>
          <w:iCs/>
        </w:rPr>
        <w:t>positively acknowledged</w:t>
      </w:r>
      <w:r>
        <w:t xml:space="preserve"> response to the Releasability Warning from MDS.</w:t>
      </w:r>
    </w:p>
    <w:p w14:paraId="7E447AC3" w14:textId="77777777" w:rsidR="00DD1465" w:rsidRDefault="00DD1465" w:rsidP="009570CA">
      <w:r>
        <w:t>To acknowledge the Releasability Warning:</w:t>
      </w:r>
    </w:p>
    <w:p w14:paraId="24269216" w14:textId="77777777" w:rsidR="00DD1465" w:rsidRPr="002A2C46" w:rsidRDefault="00DD1465" w:rsidP="006D5A65">
      <w:pPr>
        <w:pStyle w:val="Heading1"/>
      </w:pPr>
      <w:r w:rsidRPr="000B7131">
        <w:t>Select</w:t>
      </w:r>
      <w:r>
        <w:t xml:space="preserve"> Yes to </w:t>
      </w:r>
      <w:r>
        <w:rPr>
          <w:i/>
          <w:iCs/>
        </w:rPr>
        <w:t>positively acknowledge</w:t>
      </w:r>
      <w:r>
        <w:t xml:space="preserve"> the warning.</w:t>
      </w:r>
    </w:p>
    <w:p w14:paraId="76BF2A95" w14:textId="77777777" w:rsidR="00DD1465" w:rsidRDefault="00DD1465" w:rsidP="006D5A65">
      <w:pPr>
        <w:pStyle w:val="Heading2"/>
      </w:pPr>
      <w:r>
        <w:t xml:space="preserve">This confirms the data is releasable to the foreign nodes and the foreign nodes have been verified as trusted. </w:t>
      </w:r>
    </w:p>
    <w:p w14:paraId="1ED1991B" w14:textId="77777777" w:rsidR="00DD1465" w:rsidRPr="002A2C46" w:rsidRDefault="00DD1465" w:rsidP="006D5A65">
      <w:pPr>
        <w:pStyle w:val="Heading2"/>
      </w:pPr>
      <w:r>
        <w:t>TED allows the sending of the DDOs.</w:t>
      </w:r>
    </w:p>
    <w:p w14:paraId="69EB67C3" w14:textId="77777777" w:rsidR="00DD1465" w:rsidRPr="004400DF" w:rsidRDefault="00DD1465" w:rsidP="006D5A65">
      <w:pPr>
        <w:pStyle w:val="Heading1"/>
      </w:pPr>
      <w:r>
        <w:t xml:space="preserve">Select No to </w:t>
      </w:r>
      <w:r>
        <w:rPr>
          <w:i/>
          <w:iCs/>
        </w:rPr>
        <w:t>negatively acknowledge</w:t>
      </w:r>
      <w:r>
        <w:t xml:space="preserve"> the warning.</w:t>
      </w:r>
    </w:p>
    <w:p w14:paraId="06F8A492" w14:textId="77777777" w:rsidR="00DD1465" w:rsidRDefault="00DD1465" w:rsidP="006D5A65">
      <w:pPr>
        <w:pStyle w:val="Heading2"/>
      </w:pPr>
      <w:r>
        <w:t xml:space="preserve">This confirms the data is </w:t>
      </w:r>
      <w:r w:rsidRPr="000B7131">
        <w:rPr>
          <w:bCs/>
        </w:rPr>
        <w:t>not</w:t>
      </w:r>
      <w:r>
        <w:t xml:space="preserve"> releasable to the foreign nodes or that the foreign nodes are </w:t>
      </w:r>
      <w:r w:rsidRPr="000B7131">
        <w:rPr>
          <w:bCs/>
        </w:rPr>
        <w:t>not</w:t>
      </w:r>
      <w:r>
        <w:t xml:space="preserve"> verified as trusted. </w:t>
      </w:r>
    </w:p>
    <w:p w14:paraId="0BCE2AC4" w14:textId="77777777" w:rsidR="00DD1465" w:rsidRDefault="00DD1465" w:rsidP="006D5A65">
      <w:pPr>
        <w:pStyle w:val="Heading2"/>
      </w:pPr>
      <w:r>
        <w:t>TED continues to prohibit sending the DDOs.</w:t>
      </w:r>
    </w:p>
    <w:p w14:paraId="7F4B5DBE" w14:textId="77777777" w:rsidR="00DD1465" w:rsidRDefault="00DD1465" w:rsidP="009570CA">
      <w:pPr>
        <w:pStyle w:val="Heading4"/>
      </w:pPr>
      <w:r>
        <w:lastRenderedPageBreak/>
        <w:t>Security Logging</w:t>
      </w:r>
    </w:p>
    <w:p w14:paraId="18988C57" w14:textId="52124811" w:rsidR="00DD1465" w:rsidRDefault="00DD1465" w:rsidP="009570CA">
      <w:r>
        <w:t xml:space="preserve">TED logs all data addressed to foreign TMPC nodes. </w:t>
      </w:r>
      <w:r w:rsidRPr="00A17EC6">
        <w:t>Outgoing DDOs that are sent to foreign recipients are logged in the audit records section of the security journal (MDS Error Log).</w:t>
      </w:r>
    </w:p>
    <w:p w14:paraId="59346DF4" w14:textId="28A78D70" w:rsidR="005D1A26" w:rsidRPr="000665B0" w:rsidRDefault="005D1A26" w:rsidP="009570CA">
      <w:pPr>
        <w:pStyle w:val="Heading3"/>
      </w:pPr>
      <w:bookmarkStart w:id="4582" w:name="_Toc214283329"/>
      <w:r w:rsidRPr="000665B0">
        <w:t>Find</w:t>
      </w:r>
      <w:bookmarkEnd w:id="4574"/>
      <w:bookmarkEnd w:id="4577"/>
      <w:bookmarkEnd w:id="4578"/>
      <w:bookmarkEnd w:id="4579"/>
      <w:bookmarkEnd w:id="4580"/>
      <w:bookmarkEnd w:id="4581"/>
      <w:bookmarkEnd w:id="4582"/>
    </w:p>
    <w:p w14:paraId="4B6B207A" w14:textId="70FB4F40" w:rsidR="005D1A26" w:rsidRPr="000665B0" w:rsidRDefault="00F02F03" w:rsidP="009570CA">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30F02424" w14:textId="77777777" w:rsidR="00C133A3" w:rsidRPr="000665B0" w:rsidRDefault="00C133A3" w:rsidP="009570CA">
      <w:pPr>
        <w:pStyle w:val="Heading3"/>
      </w:pPr>
      <w:bookmarkStart w:id="4583" w:name="_Toc214283330"/>
      <w:r w:rsidRPr="000665B0">
        <w:t>Plugin Tool</w:t>
      </w:r>
      <w:bookmarkEnd w:id="4583"/>
    </w:p>
    <w:p w14:paraId="39051438" w14:textId="788A021D" w:rsidR="00C133A3" w:rsidRPr="000665B0" w:rsidRDefault="00F02F03" w:rsidP="009570CA">
      <w:r w:rsidRPr="000665B0">
        <w:t>See</w:t>
      </w:r>
      <w:r w:rsidR="00C133A3" w:rsidRPr="000665B0">
        <w:t xml:space="preserve"> </w:t>
      </w:r>
      <w:hyperlink w:anchor="_Plugin__Tool" w:history="1">
        <w:r w:rsidR="00C133A3" w:rsidRPr="000665B0">
          <w:rPr>
            <w:rStyle w:val="Hyperlink"/>
          </w:rPr>
          <w:t>Section 5.2.5.2</w:t>
        </w:r>
      </w:hyperlink>
      <w:r w:rsidR="00C133A3" w:rsidRPr="000665B0">
        <w:t>.</w:t>
      </w:r>
    </w:p>
    <w:p w14:paraId="67C9C54E" w14:textId="752D4BA3" w:rsidR="005D1A26" w:rsidRPr="000665B0" w:rsidRDefault="00277DCD" w:rsidP="009570CA">
      <w:pPr>
        <w:pStyle w:val="Heading3"/>
      </w:pPr>
      <w:bookmarkStart w:id="4584" w:name="_Toc71955478"/>
      <w:bookmarkStart w:id="4585" w:name="_Toc96170055"/>
      <w:bookmarkStart w:id="4586" w:name="_Toc96234100"/>
      <w:bookmarkStart w:id="4587" w:name="_Toc112733528"/>
      <w:bookmarkStart w:id="4588" w:name="_Toc289328569"/>
      <w:bookmarkStart w:id="4589" w:name="_Toc312331883"/>
      <w:bookmarkStart w:id="4590" w:name="_Toc214283331"/>
      <w:r w:rsidRPr="000665B0">
        <w:t>Print All</w:t>
      </w:r>
      <w:bookmarkEnd w:id="4584"/>
      <w:bookmarkEnd w:id="4585"/>
      <w:bookmarkEnd w:id="4586"/>
      <w:bookmarkEnd w:id="4587"/>
      <w:bookmarkEnd w:id="4588"/>
      <w:bookmarkEnd w:id="4589"/>
      <w:bookmarkEnd w:id="4590"/>
    </w:p>
    <w:p w14:paraId="42A32B23" w14:textId="08D7745C" w:rsidR="005D1A26" w:rsidRPr="000665B0" w:rsidRDefault="00F02F03" w:rsidP="009570CA">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08BAA37A" w14:textId="7ECFB56E" w:rsidR="005D1A26" w:rsidRPr="000665B0" w:rsidRDefault="00277DCD" w:rsidP="009570CA">
      <w:pPr>
        <w:pStyle w:val="Heading3"/>
      </w:pPr>
      <w:bookmarkStart w:id="4591" w:name="_Toc71955479"/>
      <w:bookmarkStart w:id="4592" w:name="_Toc96170056"/>
      <w:bookmarkStart w:id="4593" w:name="_Toc96234101"/>
      <w:bookmarkStart w:id="4594" w:name="_Toc112733529"/>
      <w:bookmarkStart w:id="4595" w:name="_Toc289328570"/>
      <w:bookmarkStart w:id="4596" w:name="_Toc312331884"/>
      <w:bookmarkStart w:id="4597" w:name="_Toc214283332"/>
      <w:r w:rsidRPr="000665B0">
        <w:t>Display All in Excel</w:t>
      </w:r>
      <w:bookmarkEnd w:id="4591"/>
      <w:bookmarkEnd w:id="4592"/>
      <w:bookmarkEnd w:id="4593"/>
      <w:bookmarkEnd w:id="4594"/>
      <w:bookmarkEnd w:id="4595"/>
      <w:bookmarkEnd w:id="4596"/>
      <w:bookmarkEnd w:id="4597"/>
    </w:p>
    <w:p w14:paraId="7B1E36EA" w14:textId="70A841DA" w:rsidR="005D1A26" w:rsidRPr="000665B0" w:rsidRDefault="00F02F03" w:rsidP="009570CA">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512DA6AB" w14:textId="3800E49B" w:rsidR="005D1A26" w:rsidRPr="000665B0" w:rsidRDefault="005D1A26" w:rsidP="009570CA">
      <w:pPr>
        <w:pStyle w:val="Heading3"/>
      </w:pPr>
      <w:bookmarkStart w:id="4598" w:name="_Toc71955480"/>
      <w:bookmarkStart w:id="4599" w:name="_Toc96170057"/>
      <w:bookmarkStart w:id="4600" w:name="_Toc96234102"/>
      <w:bookmarkStart w:id="4601" w:name="_Toc112733530"/>
      <w:bookmarkStart w:id="4602" w:name="_Toc289328571"/>
      <w:bookmarkStart w:id="4603" w:name="_Toc312331885"/>
      <w:bookmarkStart w:id="4604" w:name="_Toc214283333"/>
      <w:r w:rsidRPr="000665B0">
        <w:t>Select All</w:t>
      </w:r>
      <w:bookmarkEnd w:id="4598"/>
      <w:bookmarkEnd w:id="4599"/>
      <w:bookmarkEnd w:id="4600"/>
      <w:bookmarkEnd w:id="4601"/>
      <w:bookmarkEnd w:id="4602"/>
      <w:bookmarkEnd w:id="4603"/>
      <w:bookmarkEnd w:id="4604"/>
    </w:p>
    <w:p w14:paraId="5F5FCB1B" w14:textId="6C66EBCC" w:rsidR="005D1A26" w:rsidRPr="000665B0" w:rsidRDefault="00F02F03" w:rsidP="009570CA">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78FFB49B" w14:textId="576999B7" w:rsidR="005D1A26" w:rsidRPr="000665B0" w:rsidRDefault="005D1A26" w:rsidP="009570CA">
      <w:pPr>
        <w:pStyle w:val="Heading3"/>
      </w:pPr>
      <w:bookmarkStart w:id="4605" w:name="_Toc71955482"/>
      <w:bookmarkStart w:id="4606" w:name="_Toc96170058"/>
      <w:bookmarkStart w:id="4607" w:name="_Toc96234103"/>
      <w:bookmarkStart w:id="4608" w:name="_Toc112733531"/>
      <w:bookmarkStart w:id="4609" w:name="_Toc289328572"/>
      <w:bookmarkStart w:id="4610" w:name="_Toc312331886"/>
      <w:bookmarkStart w:id="4611" w:name="_Toc214283334"/>
      <w:r w:rsidRPr="000665B0">
        <w:t>Delete</w:t>
      </w:r>
      <w:bookmarkEnd w:id="4605"/>
      <w:bookmarkEnd w:id="4606"/>
      <w:bookmarkEnd w:id="4607"/>
      <w:bookmarkEnd w:id="4608"/>
      <w:bookmarkEnd w:id="4609"/>
      <w:bookmarkEnd w:id="4610"/>
      <w:bookmarkEnd w:id="4611"/>
    </w:p>
    <w:p w14:paraId="04C08A6F" w14:textId="5D8AA276" w:rsidR="005D1A26" w:rsidRPr="000665B0" w:rsidRDefault="00F02F03" w:rsidP="009570CA">
      <w:r w:rsidRPr="000665B0">
        <w:t>See</w:t>
      </w:r>
      <w:r w:rsidR="005D1A26" w:rsidRPr="000665B0">
        <w:t xml:space="preserve"> </w:t>
      </w:r>
      <w:hyperlink w:anchor="_5.2.1.6__Delete" w:history="1">
        <w:r w:rsidR="005D1A26" w:rsidRPr="000665B0">
          <w:rPr>
            <w:rStyle w:val="Hyperlink"/>
          </w:rPr>
          <w:t xml:space="preserve">Section </w:t>
        </w:r>
        <w:r w:rsidR="00743590" w:rsidRPr="000665B0">
          <w:rPr>
            <w:rStyle w:val="Hyperlink"/>
          </w:rPr>
          <w:t>5.2.1.</w:t>
        </w:r>
        <w:r w:rsidR="00B9720D" w:rsidRPr="000665B0">
          <w:rPr>
            <w:rStyle w:val="Hyperlink"/>
          </w:rPr>
          <w:t>6</w:t>
        </w:r>
      </w:hyperlink>
      <w:r w:rsidR="005D1A26" w:rsidRPr="000665B0">
        <w:t>.</w:t>
      </w:r>
    </w:p>
    <w:p w14:paraId="698B7BFE" w14:textId="15F98123" w:rsidR="005D1A26" w:rsidRPr="000665B0" w:rsidRDefault="005D1A26" w:rsidP="009570CA">
      <w:pPr>
        <w:pStyle w:val="Heading3"/>
      </w:pPr>
      <w:bookmarkStart w:id="4612" w:name="_Toc71955484"/>
      <w:bookmarkStart w:id="4613" w:name="_Toc96170059"/>
      <w:bookmarkStart w:id="4614" w:name="_Toc96234104"/>
      <w:bookmarkStart w:id="4615" w:name="_Toc112733532"/>
      <w:bookmarkStart w:id="4616" w:name="_Toc289328573"/>
      <w:bookmarkStart w:id="4617" w:name="_Toc312331887"/>
      <w:bookmarkStart w:id="4618" w:name="_Toc214283335"/>
      <w:r w:rsidRPr="000665B0">
        <w:t>Properties</w:t>
      </w:r>
      <w:bookmarkEnd w:id="4612"/>
      <w:bookmarkEnd w:id="4613"/>
      <w:bookmarkEnd w:id="4614"/>
      <w:bookmarkEnd w:id="4615"/>
      <w:bookmarkEnd w:id="4616"/>
      <w:bookmarkEnd w:id="4617"/>
      <w:bookmarkEnd w:id="4618"/>
    </w:p>
    <w:p w14:paraId="2720BDE7" w14:textId="267DEFF4" w:rsidR="005D1A26" w:rsidRPr="000665B0" w:rsidRDefault="00F02F03" w:rsidP="009570CA">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2E221FB6" w14:textId="51B68060" w:rsidR="005D1A26" w:rsidRPr="000665B0" w:rsidRDefault="005D1A26" w:rsidP="009570CA">
      <w:pPr>
        <w:pStyle w:val="Heading3"/>
      </w:pPr>
      <w:bookmarkStart w:id="4619" w:name="_Toc71955485"/>
      <w:bookmarkStart w:id="4620" w:name="_Toc96170060"/>
      <w:bookmarkStart w:id="4621" w:name="_Toc96234105"/>
      <w:bookmarkStart w:id="4622" w:name="_Toc112733533"/>
      <w:bookmarkStart w:id="4623" w:name="_Toc289328574"/>
      <w:bookmarkStart w:id="4624" w:name="_Toc312331888"/>
      <w:bookmarkStart w:id="4625" w:name="_Toc214283336"/>
      <w:r w:rsidRPr="000665B0">
        <w:t>Sort</w:t>
      </w:r>
      <w:bookmarkEnd w:id="4619"/>
      <w:bookmarkEnd w:id="4620"/>
      <w:bookmarkEnd w:id="4621"/>
      <w:bookmarkEnd w:id="4622"/>
      <w:bookmarkEnd w:id="4623"/>
      <w:bookmarkEnd w:id="4624"/>
      <w:bookmarkEnd w:id="4625"/>
    </w:p>
    <w:p w14:paraId="6E2745F5" w14:textId="53AF9A0A" w:rsidR="005D1A26" w:rsidRPr="000665B0" w:rsidRDefault="00F02F03" w:rsidP="009570CA">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696D09FE" w14:textId="77777777" w:rsidR="00A316EA" w:rsidRDefault="00A316EA" w:rsidP="006966D9">
      <w:pPr>
        <w:pStyle w:val="Heading2"/>
      </w:pPr>
      <w:r>
        <w:br w:type="page"/>
      </w:r>
      <w:bookmarkStart w:id="4626" w:name="_5.22__INCOMING_DDO_TOOL"/>
      <w:bookmarkStart w:id="4627" w:name="_5.23__INCOMING_DDOS_TOOL"/>
      <w:bookmarkStart w:id="4628" w:name="_5.23__INCOMING"/>
      <w:bookmarkStart w:id="4629" w:name="_INCOMING__"/>
      <w:bookmarkStart w:id="4630" w:name="_Toc71955486"/>
      <w:bookmarkStart w:id="4631" w:name="_Toc96170061"/>
      <w:bookmarkStart w:id="4632" w:name="_Toc96234106"/>
      <w:bookmarkStart w:id="4633" w:name="_Toc112733534"/>
      <w:bookmarkStart w:id="4634" w:name="_Toc289328575"/>
      <w:bookmarkStart w:id="4635" w:name="_Toc312331889"/>
      <w:bookmarkStart w:id="4636" w:name="_Toc214283337"/>
      <w:bookmarkStart w:id="4637" w:name="_Hlk134445966"/>
      <w:bookmarkStart w:id="4638" w:name="_Hlk54270731"/>
      <w:bookmarkEnd w:id="4626"/>
      <w:bookmarkEnd w:id="4627"/>
      <w:bookmarkEnd w:id="4628"/>
      <w:bookmarkEnd w:id="4629"/>
      <w:r w:rsidR="005D1A26" w:rsidRPr="000665B0">
        <w:lastRenderedPageBreak/>
        <w:t>INCOMING DDO</w:t>
      </w:r>
      <w:r w:rsidR="00CF580F" w:rsidRPr="000665B0">
        <w:t>S</w:t>
      </w:r>
      <w:r w:rsidR="005D1A26" w:rsidRPr="000665B0">
        <w:t xml:space="preserve"> TOOL</w:t>
      </w:r>
      <w:bookmarkEnd w:id="4630"/>
      <w:bookmarkEnd w:id="4631"/>
      <w:bookmarkEnd w:id="4632"/>
      <w:bookmarkEnd w:id="4633"/>
      <w:bookmarkEnd w:id="4634"/>
      <w:bookmarkEnd w:id="4635"/>
      <w:bookmarkEnd w:id="4636"/>
    </w:p>
    <w:p w14:paraId="51D633DC" w14:textId="4F3A1CD8" w:rsidR="00DB2A7D" w:rsidRPr="000665B0" w:rsidRDefault="00DB2A7D" w:rsidP="009570CA">
      <w:bookmarkStart w:id="4639" w:name="_Toc71955487"/>
      <w:bookmarkStart w:id="4640" w:name="_Toc96170062"/>
      <w:bookmarkStart w:id="4641" w:name="_Toc96234107"/>
      <w:bookmarkStart w:id="4642" w:name="_Toc112733535"/>
      <w:bookmarkStart w:id="4643" w:name="_Toc289328576"/>
      <w:bookmarkStart w:id="4644" w:name="_Toc312331890"/>
      <w:r w:rsidRPr="000665B0">
        <w:t xml:space="preserve">An Incoming DDO is a file containing one or more specific data elements. These data elements can be received from multiple sites or via MDS File Receive. When receiving data via </w:t>
      </w:r>
      <w:r w:rsidR="005A04DD" w:rsidRPr="000665B0">
        <w:t>Comms</w:t>
      </w:r>
      <w:r w:rsidR="006F54EA" w:rsidRPr="000665B0">
        <w:t>,</w:t>
      </w:r>
      <w:r w:rsidR="005A04DD" w:rsidRPr="000665B0">
        <w:t xml:space="preserve"> </w:t>
      </w:r>
      <w:r w:rsidR="006F54EA" w:rsidRPr="000665B0">
        <w:rPr>
          <w:szCs w:val="24"/>
        </w:rPr>
        <w:t>Distribution Service</w:t>
      </w:r>
      <w:r w:rsidR="006F54EA" w:rsidRPr="000665B0" w:rsidDel="006F54EA">
        <w:t xml:space="preserve"> </w:t>
      </w:r>
      <w:r w:rsidRPr="000665B0">
        <w:t xml:space="preserve">waits for all the data to arrive, then packages it all together, and forwards it to TED as a DDO, then MDS is notified. For more information on </w:t>
      </w:r>
      <w:r w:rsidR="006F54EA" w:rsidRPr="000665B0">
        <w:rPr>
          <w:szCs w:val="24"/>
        </w:rPr>
        <w:t>Distribution Service</w:t>
      </w:r>
      <w:r w:rsidRPr="000665B0">
        <w:t xml:space="preserve">, </w:t>
      </w:r>
      <w:r w:rsidR="008D1FAA" w:rsidRPr="000665B0">
        <w:t>see</w:t>
      </w:r>
      <w:r w:rsidRPr="000665B0">
        <w:t xml:space="preserve"> </w:t>
      </w:r>
      <w:hyperlink w:anchor="_5.3__DIstribution" w:history="1">
        <w:r w:rsidRPr="000665B0">
          <w:rPr>
            <w:rStyle w:val="Hyperlink"/>
          </w:rPr>
          <w:t>Section 5.3</w:t>
        </w:r>
      </w:hyperlink>
      <w:r w:rsidRPr="000665B0">
        <w:t>.</w:t>
      </w:r>
    </w:p>
    <w:p w14:paraId="219061AE" w14:textId="5EE8423D" w:rsidR="00DB2A7D" w:rsidRPr="000665B0" w:rsidRDefault="00DB2A7D" w:rsidP="009570CA">
      <w:r w:rsidRPr="000665B0">
        <w:t>When a new Incoming DDO has been received, a</w:t>
      </w:r>
      <w:r w:rsidR="00933605" w:rsidRPr="000665B0">
        <w:t xml:space="preserve">n </w:t>
      </w:r>
      <w:r w:rsidR="00933605" w:rsidRPr="000665B0">
        <w:rPr>
          <w:i/>
        </w:rPr>
        <w:t>Incoming DDO</w:t>
      </w:r>
      <w:r w:rsidRPr="000665B0">
        <w:t xml:space="preserve"> </w:t>
      </w:r>
      <w:r w:rsidR="00933605" w:rsidRPr="000665B0">
        <w:t xml:space="preserve">notification </w:t>
      </w:r>
      <w:r w:rsidRPr="000665B0">
        <w:t>window is displayed just above the system tray.</w:t>
      </w:r>
      <w:bookmarkStart w:id="4645" w:name="_Hlk55212072"/>
    </w:p>
    <w:p w14:paraId="3B00131F" w14:textId="6D390298" w:rsidR="00DB2A7D" w:rsidRPr="000665B0" w:rsidRDefault="00681762" w:rsidP="009570CA">
      <w:pPr>
        <w:jc w:val="center"/>
      </w:pPr>
      <w:r w:rsidRPr="000665B0">
        <w:rPr>
          <w:noProof/>
        </w:rPr>
        <w:drawing>
          <wp:inline distT="0" distB="0" distL="0" distR="0" wp14:anchorId="40155C16" wp14:editId="3F256998">
            <wp:extent cx="3154680" cy="722376"/>
            <wp:effectExtent l="0" t="0" r="0" b="0"/>
            <wp:docPr id="175636059" name="Picture 175636059" descr="Graphical user interface, text, application,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6059" name="Picture 175636059" descr="Graphical user interface, text, application, website&#10;&#10;AI-generated content may be incorrect."/>
                    <pic:cNvPicPr>
                      <a:picLocks noChangeAspect="1" noChangeArrowheads="1"/>
                    </pic:cNvPicPr>
                  </pic:nvPicPr>
                  <pic:blipFill rotWithShape="1">
                    <a:blip r:link="rId16" cstate="screen">
                      <a:extLst>
                        <a:ext uri="{28A0092B-C50C-407E-A947-70E740481C1C}">
                          <a14:useLocalDpi xmlns:a14="http://schemas.microsoft.com/office/drawing/2010/main"/>
                        </a:ext>
                      </a:extLst>
                    </a:blip>
                    <a:srcRect/>
                    <a:stretch/>
                  </pic:blipFill>
                  <pic:spPr bwMode="auto">
                    <a:xfrm>
                      <a:off x="0" y="0"/>
                      <a:ext cx="3154680" cy="722376"/>
                    </a:xfrm>
                    <a:prstGeom prst="rect">
                      <a:avLst/>
                    </a:prstGeom>
                    <a:noFill/>
                    <a:ln>
                      <a:noFill/>
                    </a:ln>
                    <a:extLst>
                      <a:ext uri="{53640926-AAD7-44D8-BBD7-CCE9431645EC}">
                        <a14:shadowObscured xmlns:a14="http://schemas.microsoft.com/office/drawing/2010/main"/>
                      </a:ext>
                    </a:extLst>
                  </pic:spPr>
                </pic:pic>
              </a:graphicData>
            </a:graphic>
          </wp:inline>
        </w:drawing>
      </w:r>
    </w:p>
    <w:p w14:paraId="41B9548B" w14:textId="0F42032B" w:rsidR="00AF735D" w:rsidRPr="000665B0" w:rsidRDefault="00AF735D" w:rsidP="009570CA">
      <w:r w:rsidRPr="000665B0">
        <w:t xml:space="preserve">When the incoming DDO is for a TTWCS Strike Package, it is noted in the </w:t>
      </w:r>
      <w:r w:rsidR="00933605" w:rsidRPr="000665B0">
        <w:rPr>
          <w:i/>
        </w:rPr>
        <w:t xml:space="preserve">Incoming </w:t>
      </w:r>
      <w:r w:rsidRPr="000665B0">
        <w:rPr>
          <w:i/>
        </w:rPr>
        <w:t>DDO</w:t>
      </w:r>
      <w:r w:rsidRPr="000665B0">
        <w:t xml:space="preserve"> </w:t>
      </w:r>
      <w:r w:rsidR="00933605" w:rsidRPr="000665B0">
        <w:t>n</w:t>
      </w:r>
      <w:r w:rsidRPr="000665B0">
        <w:t>otification window.</w:t>
      </w:r>
    </w:p>
    <w:p w14:paraId="3AB7626C" w14:textId="5EF8CF7E" w:rsidR="00AF735D" w:rsidRPr="000665B0" w:rsidRDefault="00681762" w:rsidP="009570CA">
      <w:pPr>
        <w:jc w:val="center"/>
      </w:pPr>
      <w:r w:rsidRPr="000665B0">
        <w:rPr>
          <w:noProof/>
        </w:rPr>
        <w:drawing>
          <wp:inline distT="0" distB="0" distL="0" distR="0" wp14:anchorId="08DABF39" wp14:editId="0A3CEE3E">
            <wp:extent cx="3154680" cy="713232"/>
            <wp:effectExtent l="0" t="0" r="0" b="0"/>
            <wp:docPr id="1998661548" name="Picture 1998661548"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61548" name="Picture 1998661548" descr="Text&#10;&#10;AI-generated content may be incorrect."/>
                    <pic:cNvPicPr>
                      <a:picLocks noChangeAspect="1" noChangeArrowheads="1"/>
                    </pic:cNvPicPr>
                  </pic:nvPicPr>
                  <pic:blipFill rotWithShape="1">
                    <a:blip r:link="rId18" cstate="screen">
                      <a:extLst>
                        <a:ext uri="{28A0092B-C50C-407E-A947-70E740481C1C}">
                          <a14:useLocalDpi xmlns:a14="http://schemas.microsoft.com/office/drawing/2010/main"/>
                        </a:ext>
                      </a:extLst>
                    </a:blip>
                    <a:srcRect/>
                    <a:stretch/>
                  </pic:blipFill>
                  <pic:spPr bwMode="auto">
                    <a:xfrm>
                      <a:off x="0" y="0"/>
                      <a:ext cx="3154680" cy="713232"/>
                    </a:xfrm>
                    <a:prstGeom prst="rect">
                      <a:avLst/>
                    </a:prstGeom>
                    <a:noFill/>
                    <a:ln>
                      <a:noFill/>
                    </a:ln>
                    <a:extLst>
                      <a:ext uri="{53640926-AAD7-44D8-BBD7-CCE9431645EC}">
                        <a14:shadowObscured xmlns:a14="http://schemas.microsoft.com/office/drawing/2010/main"/>
                      </a:ext>
                    </a:extLst>
                  </pic:spPr>
                </pic:pic>
              </a:graphicData>
            </a:graphic>
          </wp:inline>
        </w:drawing>
      </w:r>
    </w:p>
    <w:bookmarkEnd w:id="4645"/>
    <w:p w14:paraId="0CEA6DF9" w14:textId="0FD28D6B" w:rsidR="00DB2A7D" w:rsidRPr="000665B0" w:rsidRDefault="00DB2A7D" w:rsidP="009570CA">
      <w:r w:rsidRPr="000665B0">
        <w:t xml:space="preserve">Click on the </w:t>
      </w:r>
      <w:r w:rsidRPr="000665B0">
        <w:rPr>
          <w:i/>
        </w:rPr>
        <w:t>Incoming DDO</w:t>
      </w:r>
      <w:r w:rsidR="00933605" w:rsidRPr="000665B0">
        <w:t xml:space="preserve"> notification window</w:t>
      </w:r>
      <w:r w:rsidRPr="000665B0">
        <w:t xml:space="preserve"> to </w:t>
      </w:r>
      <w:r w:rsidR="00933605" w:rsidRPr="000665B0">
        <w:t xml:space="preserve">open </w:t>
      </w:r>
      <w:r w:rsidRPr="000665B0">
        <w:t>the Incoming DDO</w:t>
      </w:r>
      <w:r w:rsidR="000A0133" w:rsidRPr="000665B0">
        <w:t>.</w:t>
      </w:r>
      <w:r w:rsidRPr="000665B0">
        <w:t xml:space="preserve"> Click on the</w:t>
      </w:r>
      <w:r w:rsidR="00933605" w:rsidRPr="000665B0">
        <w:t xml:space="preserve"> envelope</w:t>
      </w:r>
      <w:r w:rsidRPr="000665B0">
        <w:t xml:space="preserve"> </w:t>
      </w:r>
      <w:r w:rsidR="00933605" w:rsidRPr="000665B0">
        <w:rPr>
          <w:noProof/>
          <w:position w:val="-6"/>
        </w:rPr>
        <w:drawing>
          <wp:inline distT="0" distB="0" distL="0" distR="0" wp14:anchorId="0A87C3F1" wp14:editId="7AC0311A">
            <wp:extent cx="216535" cy="204536"/>
            <wp:effectExtent l="0" t="0" r="0" b="508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17077" cy="205048"/>
                    </a:xfrm>
                    <a:prstGeom prst="rect">
                      <a:avLst/>
                    </a:prstGeom>
                    <a:ln>
                      <a:noFill/>
                    </a:ln>
                    <a:extLst>
                      <a:ext uri="{53640926-AAD7-44D8-BBD7-CCE9431645EC}">
                        <a14:shadowObscured xmlns:a14="http://schemas.microsoft.com/office/drawing/2010/main"/>
                      </a:ext>
                    </a:extLst>
                  </pic:spPr>
                </pic:pic>
              </a:graphicData>
            </a:graphic>
          </wp:inline>
        </w:drawing>
      </w:r>
      <w:r w:rsidR="001A2EF4" w:rsidRPr="000665B0">
        <w:t xml:space="preserve"> </w:t>
      </w:r>
      <w:r w:rsidR="00933605" w:rsidRPr="000665B0">
        <w:t>icon in the system tray to automatically navigate</w:t>
      </w:r>
      <w:r w:rsidRPr="000665B0">
        <w:t xml:space="preserve"> to the Incoming DDO</w:t>
      </w:r>
      <w:r w:rsidR="00933605" w:rsidRPr="000665B0">
        <w:t>s</w:t>
      </w:r>
      <w:r w:rsidRPr="000665B0">
        <w:t xml:space="preserve"> Tool. </w:t>
      </w:r>
    </w:p>
    <w:p w14:paraId="1889978A" w14:textId="77777777" w:rsidR="00DB2A7D" w:rsidRPr="000665B0" w:rsidRDefault="00DB2A7D" w:rsidP="009570CA">
      <w:r w:rsidRPr="000665B0">
        <w:t xml:space="preserve">The Incoming DDOs Tool shows all DDOs received by the system. These distribution orders can be displayed textually, which allows for the installation of data files, or printing. </w:t>
      </w:r>
    </w:p>
    <w:p w14:paraId="718757CE" w14:textId="77777777" w:rsidR="00337450" w:rsidRPr="000665B0" w:rsidRDefault="00337450" w:rsidP="009570CA">
      <w:r w:rsidRPr="000665B0">
        <w:t>To view the Incoming DDOs Tool:</w:t>
      </w:r>
    </w:p>
    <w:p w14:paraId="70406F65" w14:textId="77777777" w:rsidR="00337450" w:rsidRPr="000665B0" w:rsidRDefault="00337450" w:rsidP="009570CA">
      <w:pPr>
        <w:pStyle w:val="Number0205"/>
        <w:ind w:left="360" w:firstLine="0"/>
      </w:pPr>
      <w:r w:rsidRPr="000665B0">
        <w:t xml:space="preserve">From the </w:t>
      </w:r>
      <w:r w:rsidRPr="000665B0">
        <w:rPr>
          <w:b/>
        </w:rPr>
        <w:t>Go</w:t>
      </w:r>
      <w:r w:rsidRPr="000665B0">
        <w:t xml:space="preserve"> menu select </w:t>
      </w:r>
      <w:r w:rsidRPr="000665B0">
        <w:rPr>
          <w:b/>
          <w:bCs/>
        </w:rPr>
        <w:t>Incoming DDOs</w:t>
      </w:r>
      <w:r w:rsidRPr="000665B0">
        <w:t>.</w:t>
      </w:r>
    </w:p>
    <w:p w14:paraId="72FE75BE" w14:textId="7674C31F" w:rsidR="00337450" w:rsidRPr="000665B0" w:rsidRDefault="00CF580F" w:rsidP="009570CA">
      <w:pPr>
        <w:jc w:val="center"/>
      </w:pPr>
      <w:r w:rsidRPr="000665B0">
        <w:rPr>
          <w:noProof/>
        </w:rPr>
        <w:drawing>
          <wp:inline distT="0" distB="0" distL="0" distR="0" wp14:anchorId="7EB95A76" wp14:editId="51ECD978">
            <wp:extent cx="4983480" cy="2121408"/>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2121408"/>
                    </a:xfrm>
                    <a:prstGeom prst="rect">
                      <a:avLst/>
                    </a:prstGeom>
                  </pic:spPr>
                </pic:pic>
              </a:graphicData>
            </a:graphic>
          </wp:inline>
        </w:drawing>
      </w:r>
      <w:r w:rsidR="004819AC" w:rsidRPr="000665B0">
        <w:rPr>
          <w:noProof/>
        </w:rPr>
        <w:t xml:space="preserve"> </w:t>
      </w:r>
    </w:p>
    <w:p w14:paraId="26F7E433" w14:textId="77777777" w:rsidR="00DB2A7D" w:rsidRPr="000665B0" w:rsidRDefault="00DB2A7D" w:rsidP="00B0379E">
      <w:pPr>
        <w:keepNext/>
        <w:pageBreakBefore/>
        <w:rPr>
          <w:b/>
          <w:i/>
        </w:rPr>
      </w:pPr>
      <w:r w:rsidRPr="000665B0">
        <w:rPr>
          <w:b/>
          <w:i/>
        </w:rPr>
        <w:lastRenderedPageBreak/>
        <w:t>Incoming DDO List View</w:t>
      </w:r>
    </w:p>
    <w:p w14:paraId="0EFA3AD8" w14:textId="77777777" w:rsidR="00DB2A7D" w:rsidRPr="000665B0" w:rsidRDefault="00DB2A7D" w:rsidP="009570CA">
      <w:r w:rsidRPr="000665B0">
        <w:t>The List View contains the following information:</w:t>
      </w:r>
    </w:p>
    <w:p w14:paraId="30B01A6E" w14:textId="77777777" w:rsidR="00DB2A7D" w:rsidRPr="000665B0" w:rsidRDefault="00DB2A7D" w:rsidP="006D5A65">
      <w:pPr>
        <w:pStyle w:val="Heading1"/>
      </w:pPr>
      <w:r w:rsidRPr="000665B0">
        <w:t>Columns</w:t>
      </w:r>
    </w:p>
    <w:p w14:paraId="6EF2BD02" w14:textId="77777777" w:rsidR="00DB2A7D" w:rsidRPr="000665B0" w:rsidRDefault="00DB2A7D" w:rsidP="006D5A65">
      <w:pPr>
        <w:pStyle w:val="Heading2"/>
      </w:pPr>
      <w:r w:rsidRPr="000665B0">
        <w:t>DDO ID – Generated by the system. The first 5 characters represent the location code for the site sending the data. The last 5 characters are a one-up counter.</w:t>
      </w:r>
    </w:p>
    <w:p w14:paraId="7149E7C4" w14:textId="77777777" w:rsidR="00DB2A7D" w:rsidRPr="000665B0" w:rsidRDefault="00DB2A7D" w:rsidP="006D5A65">
      <w:pPr>
        <w:pStyle w:val="Heading2"/>
      </w:pPr>
      <w:r w:rsidRPr="000665B0">
        <w:t>Objective – Contains the objective used when the DDO was created and sent.</w:t>
      </w:r>
    </w:p>
    <w:p w14:paraId="13D18690" w14:textId="4943BC81" w:rsidR="007D50ED" w:rsidRDefault="00DB2A7D" w:rsidP="006D5A65">
      <w:pPr>
        <w:pStyle w:val="Heading2"/>
      </w:pPr>
      <w:r w:rsidRPr="000665B0">
        <w:t>Status</w:t>
      </w:r>
    </w:p>
    <w:p w14:paraId="300BC0AD" w14:textId="7C9B2893" w:rsidR="007D50ED" w:rsidRPr="008343C1" w:rsidRDefault="007D50ED" w:rsidP="006D5A65">
      <w:pPr>
        <w:pStyle w:val="Heading3"/>
      </w:pPr>
      <w:r w:rsidRPr="00F26207">
        <w:t>Received =&gt; DDO received but processing has not started</w:t>
      </w:r>
      <w:r w:rsidR="009541DA">
        <w:t>.</w:t>
      </w:r>
    </w:p>
    <w:p w14:paraId="4DEB72E8" w14:textId="5BA3D153" w:rsidR="007D50ED" w:rsidRPr="008343C1" w:rsidRDefault="00447BDE" w:rsidP="006D5A65">
      <w:pPr>
        <w:pStyle w:val="Heading3"/>
      </w:pPr>
      <w:r>
        <w:t xml:space="preserve">PreProcessing / </w:t>
      </w:r>
      <w:r w:rsidR="007D50ED" w:rsidRPr="00F26207">
        <w:t>Processing =&gt; Processing has started but has not completed</w:t>
      </w:r>
      <w:r w:rsidR="009541DA">
        <w:t>.</w:t>
      </w:r>
    </w:p>
    <w:p w14:paraId="5CA401C0" w14:textId="2D28820E" w:rsidR="007D50ED" w:rsidRPr="008343C1" w:rsidRDefault="007D50ED" w:rsidP="006D5A65">
      <w:pPr>
        <w:pStyle w:val="Heading3"/>
      </w:pPr>
      <w:r w:rsidRPr="00F26207">
        <w:t>Processed =&gt; All individual DDO items have a result of Processed</w:t>
      </w:r>
      <w:r w:rsidR="009541DA" w:rsidRPr="009541DA">
        <w:t>.</w:t>
      </w:r>
    </w:p>
    <w:p w14:paraId="4DEF94B4" w14:textId="3778716B" w:rsidR="007D50ED" w:rsidRPr="008343C1" w:rsidRDefault="007D50ED" w:rsidP="006D5A65">
      <w:pPr>
        <w:pStyle w:val="Heading3"/>
      </w:pPr>
      <w:r w:rsidRPr="00F26207">
        <w:t>Failed =&gt; All individual DDO items have a result of Failed</w:t>
      </w:r>
      <w:r w:rsidR="009541DA" w:rsidRPr="009541DA">
        <w:t>.</w:t>
      </w:r>
    </w:p>
    <w:p w14:paraId="0DBB8BE2" w14:textId="00F860BF" w:rsidR="007D50ED" w:rsidRPr="008343C1" w:rsidRDefault="007D50ED" w:rsidP="006D5A65">
      <w:pPr>
        <w:pStyle w:val="Heading3"/>
      </w:pPr>
      <w:r w:rsidRPr="00F26207">
        <w:t>Partially Processed =&gt; All other cases when processing has completed</w:t>
      </w:r>
      <w:r w:rsidR="009541DA">
        <w:t>.</w:t>
      </w:r>
    </w:p>
    <w:p w14:paraId="2FBCC376" w14:textId="77777777" w:rsidR="005F35A5" w:rsidRDefault="00466457" w:rsidP="009570CA">
      <w:pPr>
        <w:ind w:left="1440"/>
      </w:pPr>
      <w:r w:rsidRPr="000665B0">
        <w:t xml:space="preserve">When a file that contains more than one Overlay is received, only the first Overlay is processed. There is no specific indication of this condition in the </w:t>
      </w:r>
      <w:r w:rsidRPr="00F26207">
        <w:rPr>
          <w:b/>
        </w:rPr>
        <w:t>Status</w:t>
      </w:r>
      <w:r w:rsidRPr="000665B0">
        <w:t xml:space="preserve"> column</w:t>
      </w:r>
      <w:r w:rsidR="00F26207" w:rsidRPr="000665B0">
        <w:t>.</w:t>
      </w:r>
    </w:p>
    <w:p w14:paraId="1C12ED39" w14:textId="2F7B7ED0" w:rsidR="00DB2A7D" w:rsidRPr="000665B0" w:rsidRDefault="00DB2A7D" w:rsidP="006D5A65">
      <w:pPr>
        <w:pStyle w:val="Heading2"/>
      </w:pPr>
      <w:r w:rsidRPr="00F26207">
        <w:t>Creation DTG</w:t>
      </w:r>
      <w:r w:rsidRPr="000665B0">
        <w:t xml:space="preserve"> – The time the DDO was received.</w:t>
      </w:r>
    </w:p>
    <w:p w14:paraId="1D237695" w14:textId="77777777" w:rsidR="00DB2A7D" w:rsidRPr="000665B0" w:rsidRDefault="00DB2A7D" w:rsidP="006D5A65">
      <w:pPr>
        <w:pStyle w:val="Heading2"/>
      </w:pPr>
      <w:r w:rsidRPr="000665B0">
        <w:rPr>
          <w:noProof/>
        </w:rPr>
        <w:t xml:space="preserve">DDO Type </w:t>
      </w:r>
      <w:r w:rsidRPr="000665B0">
        <w:t>– Represents the entry either as a Distribution, Coordination, or Manifest DDO.</w:t>
      </w:r>
    </w:p>
    <w:p w14:paraId="033D8FE9" w14:textId="786E75F1" w:rsidR="00CF580F" w:rsidRPr="000665B0" w:rsidRDefault="00DB2A7D" w:rsidP="006D5A65">
      <w:pPr>
        <w:pStyle w:val="Heading2"/>
      </w:pPr>
      <w:r w:rsidRPr="000665B0">
        <w:rPr>
          <w:noProof/>
        </w:rPr>
        <w:t xml:space="preserve">Originator Node </w:t>
      </w:r>
      <w:r w:rsidRPr="000665B0">
        <w:t xml:space="preserve">– </w:t>
      </w:r>
      <w:r w:rsidR="00CF580F" w:rsidRPr="000665B0">
        <w:t xml:space="preserve">The Node that sent the DDO. </w:t>
      </w:r>
    </w:p>
    <w:p w14:paraId="666EBD91" w14:textId="40AF9E27" w:rsidR="00CF580F" w:rsidRPr="000665B0" w:rsidRDefault="00CF580F" w:rsidP="006D5A65">
      <w:pPr>
        <w:pStyle w:val="Heading2"/>
      </w:pPr>
      <w:r w:rsidRPr="000665B0">
        <w:rPr>
          <w:noProof/>
        </w:rPr>
        <w:t xml:space="preserve">Destination Node </w:t>
      </w:r>
      <w:r w:rsidRPr="000665B0">
        <w:t>– The Node(s) that will receive the DDO.</w:t>
      </w:r>
    </w:p>
    <w:p w14:paraId="424203F7" w14:textId="1730418C" w:rsidR="00DB2A7D" w:rsidRPr="000665B0" w:rsidRDefault="00DB2A7D" w:rsidP="006D5A65">
      <w:pPr>
        <w:pStyle w:val="Heading2"/>
      </w:pPr>
      <w:r w:rsidRPr="000665B0">
        <w:rPr>
          <w:noProof/>
        </w:rPr>
        <w:t xml:space="preserve">Distribution Mode </w:t>
      </w:r>
      <w:r w:rsidRPr="000665B0">
        <w:t>– Indicates the mode at which the data will be distributed: Comms if via communications or Media if written to disk.</w:t>
      </w:r>
    </w:p>
    <w:p w14:paraId="314F5BD2" w14:textId="5ED96E6A" w:rsidR="00B00C39" w:rsidRPr="000665B0" w:rsidRDefault="00B00C39" w:rsidP="006D5A65">
      <w:pPr>
        <w:pStyle w:val="Heading2"/>
      </w:pPr>
      <w:r w:rsidRPr="000665B0">
        <w:rPr>
          <w:noProof/>
        </w:rPr>
        <w:t xml:space="preserve">Priority </w:t>
      </w:r>
      <w:r w:rsidRPr="000665B0">
        <w:t xml:space="preserve">– Indicates High or Low for the priority value of the DDO template. </w:t>
      </w:r>
    </w:p>
    <w:p w14:paraId="799EEC79" w14:textId="77777777" w:rsidR="00DB2A7D" w:rsidRPr="000665B0" w:rsidRDefault="00DB2A7D" w:rsidP="006D5A65">
      <w:pPr>
        <w:pStyle w:val="Heading1"/>
      </w:pPr>
      <w:r w:rsidRPr="000665B0">
        <w:rPr>
          <w:noProof/>
        </w:rPr>
        <w:t>Context Menu</w:t>
      </w:r>
    </w:p>
    <w:p w14:paraId="60E2E4AD" w14:textId="77777777" w:rsidR="00DB2A7D" w:rsidRPr="000665B0" w:rsidRDefault="00DB2A7D" w:rsidP="006D5A65">
      <w:pPr>
        <w:pStyle w:val="Heading2"/>
      </w:pPr>
      <w:r w:rsidRPr="000665B0">
        <w:t>Display</w:t>
      </w:r>
    </w:p>
    <w:p w14:paraId="7B6BB176" w14:textId="77777777" w:rsidR="00DB2A7D" w:rsidRPr="000665B0" w:rsidRDefault="00DB2A7D" w:rsidP="006D5A65">
      <w:pPr>
        <w:pStyle w:val="Heading3"/>
        <w:rPr>
          <w:rFonts w:eastAsia="Arial Unicode MS"/>
        </w:rPr>
      </w:pPr>
      <w:r w:rsidRPr="000665B0">
        <w:rPr>
          <w:rFonts w:eastAsia="Arial Unicode MS"/>
        </w:rPr>
        <w:lastRenderedPageBreak/>
        <w:t xml:space="preserve">Textually </w:t>
      </w:r>
      <w:r w:rsidRPr="000665B0">
        <w:t>– Displays the textual view of the selected Incoming DDO(s).</w:t>
      </w:r>
    </w:p>
    <w:p w14:paraId="6D83FC4B" w14:textId="77777777" w:rsidR="00DB2A7D" w:rsidRPr="000665B0" w:rsidRDefault="00DB2A7D" w:rsidP="006D5A65">
      <w:pPr>
        <w:pStyle w:val="Heading3"/>
        <w:rPr>
          <w:rFonts w:eastAsia="Arial Unicode MS"/>
        </w:rPr>
      </w:pPr>
      <w:r w:rsidRPr="000665B0">
        <w:rPr>
          <w:rFonts w:eastAsia="Arial Unicode MS"/>
        </w:rPr>
        <w:t xml:space="preserve">in Excel – </w:t>
      </w:r>
      <w:r w:rsidRPr="000665B0">
        <w:t>Displays an Excel document containing the selected Incoming DDO’s information.</w:t>
      </w:r>
    </w:p>
    <w:p w14:paraId="7B72AFF8" w14:textId="77777777" w:rsidR="00DB2A7D" w:rsidRPr="000665B0" w:rsidRDefault="00DB2A7D" w:rsidP="006D5A65">
      <w:pPr>
        <w:pStyle w:val="Heading2"/>
      </w:pPr>
      <w:r w:rsidRPr="000665B0">
        <w:t xml:space="preserve">Process… </w:t>
      </w:r>
      <w:r w:rsidR="002E5E2B" w:rsidRPr="000665B0">
        <w:t>–</w:t>
      </w:r>
      <w:r w:rsidRPr="000665B0">
        <w:t xml:space="preserve"> Processes the data items of the selected Incoming </w:t>
      </w:r>
      <w:r w:rsidR="002E5E2B" w:rsidRPr="000665B0">
        <w:t>DDOs</w:t>
      </w:r>
      <w:r w:rsidRPr="000665B0">
        <w:t>.</w:t>
      </w:r>
    </w:p>
    <w:p w14:paraId="79D5BE7E" w14:textId="77777777" w:rsidR="00DB2A7D" w:rsidRPr="000665B0" w:rsidRDefault="00DB2A7D" w:rsidP="006D5A65">
      <w:pPr>
        <w:pStyle w:val="Heading2"/>
      </w:pPr>
      <w:r w:rsidRPr="000665B0">
        <w:t>Send</w:t>
      </w:r>
    </w:p>
    <w:p w14:paraId="17F9DC4A" w14:textId="77777777" w:rsidR="00DB2A7D" w:rsidRPr="000665B0" w:rsidRDefault="00DB2A7D" w:rsidP="006D5A65">
      <w:pPr>
        <w:pStyle w:val="Heading3"/>
        <w:rPr>
          <w:rFonts w:eastAsia="Arial Unicode MS"/>
        </w:rPr>
      </w:pPr>
      <w:r w:rsidRPr="000665B0">
        <w:rPr>
          <w:rFonts w:eastAsia="Arial Unicode MS"/>
        </w:rPr>
        <w:t xml:space="preserve">DDO Manifest… </w:t>
      </w:r>
      <w:r w:rsidR="002E5E2B" w:rsidRPr="000665B0">
        <w:rPr>
          <w:rFonts w:eastAsia="Arial Unicode MS"/>
        </w:rPr>
        <w:t>–</w:t>
      </w:r>
      <w:r w:rsidRPr="000665B0">
        <w:t xml:space="preserve"> Displays a new DDO Template with the selected Incoming DDO’s manifest pre-populated in the Incoming DDO tab.</w:t>
      </w:r>
    </w:p>
    <w:p w14:paraId="6784C7BD" w14:textId="77777777" w:rsidR="00DB2A7D" w:rsidRPr="000665B0" w:rsidRDefault="00DB2A7D" w:rsidP="006D5A65">
      <w:pPr>
        <w:pStyle w:val="Heading3"/>
        <w:rPr>
          <w:rFonts w:eastAsia="Arial Unicode MS"/>
        </w:rPr>
      </w:pPr>
      <w:r w:rsidRPr="000665B0">
        <w:rPr>
          <w:rFonts w:eastAsia="Arial Unicode MS"/>
        </w:rPr>
        <w:t xml:space="preserve">DDO Data… </w:t>
      </w:r>
      <w:r w:rsidR="002E5E2B" w:rsidRPr="000665B0">
        <w:rPr>
          <w:rFonts w:eastAsia="Arial Unicode MS"/>
        </w:rPr>
        <w:t>–</w:t>
      </w:r>
      <w:r w:rsidRPr="000665B0">
        <w:rPr>
          <w:rFonts w:eastAsia="Arial Unicode MS"/>
        </w:rPr>
        <w:t xml:space="preserve"> </w:t>
      </w:r>
      <w:r w:rsidRPr="000665B0">
        <w:t>Displays a new DDO Template with the selected Incoming DDO’s data items pre-populated in the DDO Template.</w:t>
      </w:r>
    </w:p>
    <w:p w14:paraId="6BEF9B16" w14:textId="77777777" w:rsidR="00DB2A7D" w:rsidRPr="000665B0" w:rsidRDefault="00DB2A7D" w:rsidP="006D5A65">
      <w:pPr>
        <w:pStyle w:val="Heading2"/>
      </w:pPr>
      <w:r w:rsidRPr="000665B0">
        <w:t xml:space="preserve">Print… </w:t>
      </w:r>
      <w:r w:rsidR="002E5E2B" w:rsidRPr="000665B0">
        <w:t>–</w:t>
      </w:r>
      <w:r w:rsidRPr="000665B0">
        <w:t xml:space="preserve"> Prints the selected Incoming DDO’s list information.</w:t>
      </w:r>
    </w:p>
    <w:p w14:paraId="621D9DBE" w14:textId="5E1DC168" w:rsidR="00DB2A7D" w:rsidRPr="000665B0" w:rsidRDefault="00DB2A7D" w:rsidP="006D5A65">
      <w:pPr>
        <w:pStyle w:val="Heading2"/>
      </w:pPr>
      <w:r w:rsidRPr="000665B0">
        <w:rPr>
          <w:rFonts w:eastAsia="Arial Unicode MS"/>
        </w:rPr>
        <w:t xml:space="preserve">Delete </w:t>
      </w:r>
      <w:r w:rsidR="002E5E2B" w:rsidRPr="000665B0">
        <w:rPr>
          <w:rFonts w:eastAsia="Arial Unicode MS"/>
        </w:rPr>
        <w:t>–</w:t>
      </w:r>
      <w:r w:rsidRPr="000665B0">
        <w:rPr>
          <w:rFonts w:eastAsia="Arial Unicode MS"/>
        </w:rPr>
        <w:t xml:space="preserve"> </w:t>
      </w:r>
      <w:r w:rsidRPr="000665B0">
        <w:t>Delete</w:t>
      </w:r>
      <w:r w:rsidR="00B5060D" w:rsidRPr="000665B0">
        <w:t>s</w:t>
      </w:r>
      <w:r w:rsidRPr="000665B0">
        <w:t xml:space="preserve"> the selected DDO Template(s).</w:t>
      </w:r>
    </w:p>
    <w:p w14:paraId="25395A84" w14:textId="77777777" w:rsidR="00BE03CD" w:rsidRPr="000665B0" w:rsidRDefault="00BE03CD" w:rsidP="006D5A65">
      <w:pPr>
        <w:pStyle w:val="Heading2"/>
      </w:pPr>
      <w:r w:rsidRPr="000665B0">
        <w:rPr>
          <w:rFonts w:eastAsia="Arial Unicode MS"/>
        </w:rPr>
        <w:t>Delete All</w:t>
      </w:r>
      <w:r w:rsidRPr="000665B0">
        <w:t xml:space="preserve"> – Deletes all DDO Templates.</w:t>
      </w:r>
    </w:p>
    <w:p w14:paraId="24524149" w14:textId="7018A6B6" w:rsidR="005D1A26" w:rsidRPr="000665B0" w:rsidRDefault="005D1A26" w:rsidP="009570CA">
      <w:pPr>
        <w:pStyle w:val="Heading3"/>
      </w:pPr>
      <w:bookmarkStart w:id="4646" w:name="_Toc214283338"/>
      <w:r w:rsidRPr="000665B0">
        <w:t>Display Textually</w:t>
      </w:r>
      <w:bookmarkEnd w:id="4639"/>
      <w:bookmarkEnd w:id="4640"/>
      <w:bookmarkEnd w:id="4641"/>
      <w:bookmarkEnd w:id="4642"/>
      <w:bookmarkEnd w:id="4643"/>
      <w:bookmarkEnd w:id="4644"/>
      <w:bookmarkEnd w:id="4646"/>
    </w:p>
    <w:p w14:paraId="029F645E" w14:textId="77777777" w:rsidR="00DB2A7D" w:rsidRPr="000665B0" w:rsidRDefault="00DB2A7D" w:rsidP="009570CA">
      <w:bookmarkStart w:id="4647" w:name="_5.22.1.1__Installing_Data_Items"/>
      <w:bookmarkStart w:id="4648" w:name="_5.24.1.1__Installing_Data_Items"/>
      <w:bookmarkStart w:id="4649" w:name="_Toc71955488"/>
      <w:bookmarkStart w:id="4650" w:name="_Toc96170063"/>
      <w:bookmarkStart w:id="4651" w:name="_Toc96234108"/>
      <w:bookmarkStart w:id="4652" w:name="_Toc112733536"/>
      <w:bookmarkStart w:id="4653" w:name="_Toc289328577"/>
      <w:bookmarkEnd w:id="4647"/>
      <w:bookmarkEnd w:id="4648"/>
      <w:r w:rsidRPr="000665B0">
        <w:t xml:space="preserve">Displaying an entry textually allows the operator to view the contents of the DDO prior to installing the data item(s) since no preview option is available in this tool. </w:t>
      </w:r>
    </w:p>
    <w:p w14:paraId="37DA0B44" w14:textId="03E81AC6" w:rsidR="00DB2A7D" w:rsidRPr="000665B0" w:rsidRDefault="00CF580F" w:rsidP="009570CA">
      <w:pPr>
        <w:jc w:val="center"/>
      </w:pPr>
      <w:r w:rsidRPr="000665B0">
        <w:rPr>
          <w:noProof/>
        </w:rPr>
        <w:lastRenderedPageBreak/>
        <w:drawing>
          <wp:inline distT="0" distB="0" distL="0" distR="0" wp14:anchorId="18961B76" wp14:editId="48187535">
            <wp:extent cx="3657600" cy="4389120"/>
            <wp:effectExtent l="0" t="0" r="0" b="0"/>
            <wp:docPr id="1644" name="Picture 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4389120"/>
                    </a:xfrm>
                    <a:prstGeom prst="rect">
                      <a:avLst/>
                    </a:prstGeom>
                  </pic:spPr>
                </pic:pic>
              </a:graphicData>
            </a:graphic>
          </wp:inline>
        </w:drawing>
      </w:r>
      <w:r w:rsidR="00F37843" w:rsidRPr="000665B0">
        <w:rPr>
          <w:noProof/>
        </w:rPr>
        <w:t xml:space="preserve"> </w:t>
      </w:r>
    </w:p>
    <w:p w14:paraId="42EF147C" w14:textId="77777777" w:rsidR="00DB2A7D" w:rsidRPr="000665B0" w:rsidRDefault="00DB2A7D" w:rsidP="009570CA">
      <w:r w:rsidRPr="000665B0">
        <w:t>The common header information displayed includes:</w:t>
      </w:r>
    </w:p>
    <w:p w14:paraId="68F1AF4A" w14:textId="77777777" w:rsidR="00DB2A7D" w:rsidRPr="000665B0" w:rsidRDefault="00DB2A7D" w:rsidP="006D5A65">
      <w:pPr>
        <w:pStyle w:val="Heading1"/>
      </w:pPr>
      <w:r w:rsidRPr="000665B0">
        <w:rPr>
          <w:bCs/>
        </w:rPr>
        <w:lastRenderedPageBreak/>
        <w:t>From</w:t>
      </w:r>
      <w:r w:rsidRPr="000665B0">
        <w:t xml:space="preserve"> – The sender of the DDO.</w:t>
      </w:r>
    </w:p>
    <w:p w14:paraId="1ADE8659" w14:textId="77777777" w:rsidR="00DB2A7D" w:rsidRPr="000665B0" w:rsidRDefault="00DB2A7D" w:rsidP="006D5A65">
      <w:pPr>
        <w:pStyle w:val="Heading1"/>
      </w:pPr>
      <w:r w:rsidRPr="000665B0">
        <w:rPr>
          <w:bCs/>
        </w:rPr>
        <w:t>To</w:t>
      </w:r>
      <w:r w:rsidRPr="000665B0">
        <w:t xml:space="preserve"> – The recipient of the DDO.</w:t>
      </w:r>
    </w:p>
    <w:p w14:paraId="0E881C59" w14:textId="77777777" w:rsidR="00957009" w:rsidRDefault="00DB2A7D" w:rsidP="006D5A65">
      <w:pPr>
        <w:pStyle w:val="Heading1"/>
      </w:pPr>
      <w:r w:rsidRPr="000665B0">
        <w:t>Objective – Contains the objective used when the DDO was created and sent.</w:t>
      </w:r>
    </w:p>
    <w:p w14:paraId="54C99510" w14:textId="5EA444BD" w:rsidR="00834AC9" w:rsidRDefault="00DB2A7D" w:rsidP="006D5A65">
      <w:pPr>
        <w:pStyle w:val="Heading1"/>
      </w:pPr>
      <w:r w:rsidRPr="00741172">
        <w:t>Status</w:t>
      </w:r>
    </w:p>
    <w:p w14:paraId="23DDF6D7" w14:textId="560C991D" w:rsidR="003C18B6" w:rsidRPr="005E698B" w:rsidRDefault="003C18B6" w:rsidP="006D5A65">
      <w:pPr>
        <w:pStyle w:val="Heading3"/>
      </w:pPr>
      <w:r>
        <w:t xml:space="preserve">Received =&gt; </w:t>
      </w:r>
      <w:r w:rsidRPr="005E698B">
        <w:t xml:space="preserve">DDO received but processing has not </w:t>
      </w:r>
      <w:r>
        <w:t>started</w:t>
      </w:r>
      <w:r w:rsidR="005F35A5">
        <w:t>.</w:t>
      </w:r>
    </w:p>
    <w:p w14:paraId="155368C1" w14:textId="5DA0A3AE" w:rsidR="003C18B6" w:rsidRPr="0094645D" w:rsidRDefault="00447BDE" w:rsidP="006D5A65">
      <w:pPr>
        <w:pStyle w:val="Heading3"/>
      </w:pPr>
      <w:r>
        <w:t xml:space="preserve">PreProcessing / </w:t>
      </w:r>
      <w:r w:rsidR="003C18B6">
        <w:t xml:space="preserve">Processing =&gt; </w:t>
      </w:r>
      <w:r w:rsidR="003C18B6" w:rsidRPr="005E698B">
        <w:t xml:space="preserve">Processing has started but </w:t>
      </w:r>
      <w:r w:rsidR="003C18B6">
        <w:t xml:space="preserve">has </w:t>
      </w:r>
      <w:r w:rsidR="003C18B6" w:rsidRPr="005E698B">
        <w:t>not completed</w:t>
      </w:r>
      <w:r w:rsidR="005F35A5">
        <w:t>.</w:t>
      </w:r>
    </w:p>
    <w:p w14:paraId="3BE67500" w14:textId="0256C00C" w:rsidR="003C18B6" w:rsidRPr="005F35A5" w:rsidRDefault="003C18B6" w:rsidP="006D5A65">
      <w:pPr>
        <w:pStyle w:val="Heading3"/>
      </w:pPr>
      <w:r>
        <w:t>Processed =&gt; All individual DDO items have a result of Processed</w:t>
      </w:r>
      <w:r w:rsidR="005F35A5" w:rsidRPr="005F35A5">
        <w:t>.</w:t>
      </w:r>
    </w:p>
    <w:p w14:paraId="461D7FCE" w14:textId="0EB93B4C" w:rsidR="000434E4" w:rsidRPr="00741172" w:rsidRDefault="003C18B6" w:rsidP="006D5A65">
      <w:pPr>
        <w:pStyle w:val="Heading3"/>
      </w:pPr>
      <w:r>
        <w:t>Failed =&gt; All individual DDO items have a result of Failed</w:t>
      </w:r>
      <w:r w:rsidR="005F35A5" w:rsidRPr="005F35A5">
        <w:t>.</w:t>
      </w:r>
    </w:p>
    <w:p w14:paraId="442C82BA" w14:textId="20EFEB3B" w:rsidR="0059077D" w:rsidRDefault="003C18B6" w:rsidP="006D5A65">
      <w:pPr>
        <w:pStyle w:val="Heading3"/>
      </w:pPr>
      <w:r w:rsidRPr="0059077D">
        <w:t>Partially Processed =&gt; All other cases when processing has completed</w:t>
      </w:r>
      <w:r w:rsidR="005F35A5">
        <w:t>.</w:t>
      </w:r>
    </w:p>
    <w:p w14:paraId="2D71084D" w14:textId="3D087CBC" w:rsidR="00DB2A7D" w:rsidRPr="000665B0" w:rsidRDefault="00363092" w:rsidP="006D5A65">
      <w:pPr>
        <w:pStyle w:val="Heading3"/>
      </w:pPr>
      <w:r w:rsidRPr="0059077D">
        <w:t>Data Limitation</w:t>
      </w:r>
      <w:r w:rsidRPr="000665B0">
        <w:t xml:space="preserve"> </w:t>
      </w:r>
      <w:r w:rsidR="000434E4" w:rsidRPr="0059077D">
        <w:t xml:space="preserve">=&gt; </w:t>
      </w:r>
      <w:r w:rsidR="000434E4">
        <w:t>T</w:t>
      </w:r>
      <w:r w:rsidR="00167D50" w:rsidRPr="000665B0">
        <w:t>here is incompatible data between new and legacy systems</w:t>
      </w:r>
      <w:r w:rsidR="005F35A5">
        <w:t>.</w:t>
      </w:r>
    </w:p>
    <w:p w14:paraId="64584D4F" w14:textId="77777777" w:rsidR="00DB2A7D" w:rsidRPr="000665B0" w:rsidRDefault="00DB2A7D" w:rsidP="006D5A65">
      <w:pPr>
        <w:pStyle w:val="Heading1"/>
      </w:pPr>
      <w:r w:rsidRPr="000665B0">
        <w:t>Creation DTG – The time the DDO was received.</w:t>
      </w:r>
    </w:p>
    <w:bookmarkEnd w:id="4637"/>
    <w:p w14:paraId="2A9AB9A6" w14:textId="77777777" w:rsidR="00DB2A7D" w:rsidRPr="000665B0" w:rsidRDefault="00DB2A7D" w:rsidP="009570CA">
      <w:pPr>
        <w:keepNext/>
        <w:rPr>
          <w:b/>
          <w:i/>
        </w:rPr>
      </w:pPr>
      <w:r w:rsidRPr="000665B0">
        <w:rPr>
          <w:b/>
          <w:i/>
        </w:rPr>
        <w:t>Incoming DDO Data Items List View</w:t>
      </w:r>
    </w:p>
    <w:p w14:paraId="0CD0E901" w14:textId="77777777" w:rsidR="00DB2A7D" w:rsidRPr="000665B0" w:rsidRDefault="00DB2A7D" w:rsidP="009570CA">
      <w:pPr>
        <w:keepNext/>
      </w:pPr>
      <w:r w:rsidRPr="000665B0">
        <w:t>The content fields of the DDO include:</w:t>
      </w:r>
    </w:p>
    <w:p w14:paraId="45877AB8" w14:textId="77777777" w:rsidR="00DB2A7D" w:rsidRPr="000665B0" w:rsidRDefault="00DB2A7D" w:rsidP="006D5A65">
      <w:pPr>
        <w:pStyle w:val="Heading1"/>
      </w:pPr>
      <w:r w:rsidRPr="000665B0">
        <w:t>Columns</w:t>
      </w:r>
    </w:p>
    <w:p w14:paraId="797BB6E3" w14:textId="77777777" w:rsidR="00DB2A7D" w:rsidRPr="000665B0" w:rsidRDefault="00DB2A7D" w:rsidP="006D5A65">
      <w:pPr>
        <w:pStyle w:val="Heading2"/>
      </w:pPr>
      <w:r w:rsidRPr="000665B0">
        <w:rPr>
          <w:bCs/>
        </w:rPr>
        <w:t>Type</w:t>
      </w:r>
      <w:r w:rsidRPr="000665B0">
        <w:t xml:space="preserve"> – Name of the data element.</w:t>
      </w:r>
    </w:p>
    <w:p w14:paraId="1A241EB3" w14:textId="77777777" w:rsidR="00DB2A7D" w:rsidRPr="000665B0" w:rsidRDefault="00DB2A7D" w:rsidP="006D5A65">
      <w:pPr>
        <w:pStyle w:val="Heading2"/>
      </w:pPr>
      <w:r w:rsidRPr="000665B0">
        <w:rPr>
          <w:bCs/>
        </w:rPr>
        <w:t>ID</w:t>
      </w:r>
      <w:r w:rsidRPr="000665B0">
        <w:t xml:space="preserve"> – Number of the data element in the DDO.</w:t>
      </w:r>
    </w:p>
    <w:p w14:paraId="76BA72CB" w14:textId="5FF58630" w:rsidR="00DB2A7D" w:rsidRPr="000665B0" w:rsidRDefault="00DB2A7D" w:rsidP="006D5A65">
      <w:pPr>
        <w:pStyle w:val="Heading2"/>
      </w:pPr>
      <w:r w:rsidRPr="000665B0">
        <w:rPr>
          <w:bCs/>
        </w:rPr>
        <w:t>Status</w:t>
      </w:r>
      <w:r w:rsidRPr="000665B0">
        <w:t xml:space="preserve"> – Initially indicates Received and will change to Processed if installation is </w:t>
      </w:r>
      <w:r w:rsidR="00FC6B75" w:rsidRPr="000665B0">
        <w:t>successful or</w:t>
      </w:r>
      <w:r w:rsidRPr="000665B0">
        <w:t xml:space="preserve"> Failed if problems were encountered. </w:t>
      </w:r>
      <w:r w:rsidR="00F37843" w:rsidRPr="000665B0">
        <w:t xml:space="preserve">Indicates Formatted before processing. Indicates </w:t>
      </w:r>
      <w:r w:rsidRPr="000665B0">
        <w:t>Duplicate if data is already in TED.</w:t>
      </w:r>
    </w:p>
    <w:p w14:paraId="69D2D7AB" w14:textId="77777777" w:rsidR="00DB2A7D" w:rsidRPr="000665B0" w:rsidRDefault="00DB2A7D" w:rsidP="006D5A65">
      <w:pPr>
        <w:pStyle w:val="Heading2"/>
      </w:pPr>
      <w:r w:rsidRPr="000665B0">
        <w:rPr>
          <w:bCs/>
        </w:rPr>
        <w:t>Action</w:t>
      </w:r>
      <w:r w:rsidRPr="000665B0">
        <w:t xml:space="preserve"> – Indicates Install, Delete, Activate, Deactivate, or Request Data.</w:t>
      </w:r>
    </w:p>
    <w:p w14:paraId="58A8BA20" w14:textId="42E22EBD" w:rsidR="00DB2A7D" w:rsidRPr="000665B0" w:rsidRDefault="00DB2A7D" w:rsidP="006D5A65">
      <w:pPr>
        <w:pStyle w:val="Heading2"/>
      </w:pPr>
      <w:r w:rsidRPr="000665B0">
        <w:rPr>
          <w:bCs/>
        </w:rPr>
        <w:t xml:space="preserve">Information </w:t>
      </w:r>
      <w:r w:rsidRPr="000665B0">
        <w:t>– Displays helpful information indicating why DDO Data items failed to process</w:t>
      </w:r>
      <w:r w:rsidR="00363092" w:rsidRPr="000665B0">
        <w:t xml:space="preserve"> or encountered Data Limitations</w:t>
      </w:r>
      <w:r w:rsidRPr="000665B0">
        <w:t>.</w:t>
      </w:r>
    </w:p>
    <w:p w14:paraId="5BF932E4" w14:textId="77777777" w:rsidR="00DB2A7D" w:rsidRPr="000665B0" w:rsidRDefault="00DB2A7D" w:rsidP="006D5A65">
      <w:pPr>
        <w:pStyle w:val="Heading1"/>
      </w:pPr>
      <w:r w:rsidRPr="000665B0">
        <w:t>Context Menu</w:t>
      </w:r>
    </w:p>
    <w:p w14:paraId="022249CC" w14:textId="77777777" w:rsidR="00DB2A7D" w:rsidRPr="000665B0" w:rsidRDefault="00DB2A7D" w:rsidP="006D5A65">
      <w:pPr>
        <w:pStyle w:val="Heading2"/>
      </w:pPr>
      <w:r w:rsidRPr="000665B0">
        <w:t>Process… – Processes the selected data items.</w:t>
      </w:r>
    </w:p>
    <w:p w14:paraId="7875B8F9" w14:textId="77777777" w:rsidR="00C3245B" w:rsidRPr="000665B0" w:rsidRDefault="00C3245B" w:rsidP="006D5A65">
      <w:pPr>
        <w:pStyle w:val="Heading2"/>
        <w:rPr>
          <w:rFonts w:eastAsia="Arial Unicode MS"/>
        </w:rPr>
      </w:pPr>
      <w:r w:rsidRPr="000665B0">
        <w:rPr>
          <w:rFonts w:eastAsia="Arial Unicode MS"/>
        </w:rPr>
        <w:lastRenderedPageBreak/>
        <w:t xml:space="preserve">Overwrite – </w:t>
      </w:r>
      <w:r w:rsidRPr="000665B0">
        <w:t>Overwrites the data in TED with the selected data items in the Incoming DDO</w:t>
      </w:r>
      <w:r w:rsidRPr="000665B0">
        <w:rPr>
          <w:rFonts w:eastAsia="Arial Unicode MS"/>
        </w:rPr>
        <w:t>.</w:t>
      </w:r>
    </w:p>
    <w:p w14:paraId="57462C8F" w14:textId="77777777" w:rsidR="00DB2A7D" w:rsidRPr="000665B0" w:rsidRDefault="00DB2A7D" w:rsidP="006D5A65">
      <w:pPr>
        <w:pStyle w:val="Heading2"/>
      </w:pPr>
      <w:r w:rsidRPr="000665B0">
        <w:t>Display</w:t>
      </w:r>
    </w:p>
    <w:p w14:paraId="3A283D58" w14:textId="77777777" w:rsidR="00DB2A7D" w:rsidRPr="000665B0" w:rsidRDefault="00DB2A7D" w:rsidP="006D5A65">
      <w:pPr>
        <w:pStyle w:val="Heading3"/>
        <w:rPr>
          <w:rFonts w:eastAsia="Arial Unicode MS"/>
        </w:rPr>
      </w:pPr>
      <w:r w:rsidRPr="000665B0">
        <w:rPr>
          <w:rFonts w:eastAsia="Arial Unicode MS"/>
        </w:rPr>
        <w:t xml:space="preserve">in Excel – </w:t>
      </w:r>
      <w:r w:rsidRPr="000665B0">
        <w:t>Displays an Excel document containing the selected data item’s information.</w:t>
      </w:r>
    </w:p>
    <w:p w14:paraId="34C6392D" w14:textId="77777777" w:rsidR="0025796D" w:rsidRPr="000665B0" w:rsidRDefault="00DB2A7D" w:rsidP="006D5A65">
      <w:pPr>
        <w:pStyle w:val="Heading3"/>
      </w:pPr>
      <w:r w:rsidRPr="000665B0">
        <w:rPr>
          <w:rFonts w:eastAsia="Arial Unicode MS"/>
        </w:rPr>
        <w:t xml:space="preserve">Report – </w:t>
      </w:r>
      <w:r w:rsidRPr="000665B0">
        <w:t>Displays a status window when processing a JIPTL file</w:t>
      </w:r>
      <w:r w:rsidR="0025796D" w:rsidRPr="000665B0">
        <w:t xml:space="preserve"> (not available if the JIPTL is automatically processed).</w:t>
      </w:r>
    </w:p>
    <w:p w14:paraId="29C76D1C" w14:textId="77777777" w:rsidR="00DB2A7D" w:rsidRPr="000665B0" w:rsidRDefault="00DB2A7D" w:rsidP="006D5A65">
      <w:pPr>
        <w:pStyle w:val="Heading2"/>
      </w:pPr>
      <w:r w:rsidRPr="000665B0">
        <w:t xml:space="preserve">Print… </w:t>
      </w:r>
      <w:r w:rsidR="002E5E2B" w:rsidRPr="000665B0">
        <w:t>–</w:t>
      </w:r>
      <w:r w:rsidRPr="000665B0">
        <w:t xml:space="preserve"> Prints the selected Incoming DDO Data Items list information.</w:t>
      </w:r>
    </w:p>
    <w:p w14:paraId="62B192E0" w14:textId="77777777" w:rsidR="00DB2A7D" w:rsidRPr="000665B0" w:rsidRDefault="00DB2A7D" w:rsidP="009570CA">
      <w:r w:rsidRPr="000665B0">
        <w:t xml:space="preserve">The capabilities available from a textual display include: processing all DDO items (i.e., install items), processing single or multiple items, and printing the textual display. </w:t>
      </w:r>
    </w:p>
    <w:p w14:paraId="515C950F" w14:textId="32DC7CF2" w:rsidR="00DB2A7D" w:rsidRPr="000665B0" w:rsidRDefault="00DB2A7D" w:rsidP="009570CA">
      <w:pPr>
        <w:spacing w:after="0"/>
      </w:pPr>
      <w:r w:rsidRPr="000665B0">
        <w:t xml:space="preserve">To display a DDO message textually, see </w:t>
      </w:r>
      <w:hyperlink w:anchor="_5.2.1.2.4__Display_1" w:history="1">
        <w:r w:rsidRPr="000665B0">
          <w:rPr>
            <w:rStyle w:val="Hyperlink"/>
          </w:rPr>
          <w:t>Section 5.2.1.2.4</w:t>
        </w:r>
      </w:hyperlink>
      <w:r w:rsidRPr="000665B0">
        <w:t>.</w:t>
      </w:r>
    </w:p>
    <w:p w14:paraId="7B990E42" w14:textId="0391BFA6" w:rsidR="00D93FA7" w:rsidRPr="000665B0" w:rsidRDefault="005A79E6" w:rsidP="009570CA">
      <w:pPr>
        <w:pStyle w:val="Heading4"/>
      </w:pPr>
      <w:bookmarkStart w:id="4654" w:name="_Hlk76736189"/>
      <w:r w:rsidRPr="000665B0">
        <w:t>DDO Information Column Messages</w:t>
      </w:r>
    </w:p>
    <w:p w14:paraId="778F4178" w14:textId="49814798" w:rsidR="00651D7F" w:rsidRDefault="00E936B1" w:rsidP="009570CA">
      <w:pPr>
        <w:pStyle w:val="Heading5"/>
      </w:pPr>
      <w:r>
        <w:t>“</w:t>
      </w:r>
      <w:r w:rsidR="005A79E6" w:rsidRPr="000665B0">
        <w:t>Error saving data.</w:t>
      </w:r>
      <w:r w:rsidR="00651D7F">
        <w:t xml:space="preserve"> Error updating LPMP Mission</w:t>
      </w:r>
      <w:r>
        <w:t>”</w:t>
      </w:r>
      <w:r w:rsidR="005A79E6" w:rsidRPr="000665B0">
        <w:t xml:space="preserve"> </w:t>
      </w:r>
    </w:p>
    <w:p w14:paraId="1812256F" w14:textId="5E4E6F81" w:rsidR="005A79E6" w:rsidRPr="000665B0" w:rsidRDefault="005A79E6" w:rsidP="009570CA">
      <w:r w:rsidRPr="000665B0">
        <w:t xml:space="preserve">In certain </w:t>
      </w:r>
      <w:r w:rsidR="004B2292">
        <w:t>land attack</w:t>
      </w:r>
      <w:r w:rsidR="004B2292" w:rsidRPr="000665B0">
        <w:t xml:space="preserve"> </w:t>
      </w:r>
      <w:r w:rsidRPr="000665B0">
        <w:t xml:space="preserve">rehearsal scenarios, TSRT </w:t>
      </w:r>
      <w:r w:rsidR="00651D7F">
        <w:t>might</w:t>
      </w:r>
      <w:r w:rsidR="00651D7F" w:rsidRPr="000665B0">
        <w:t xml:space="preserve"> </w:t>
      </w:r>
      <w:r w:rsidRPr="000665B0">
        <w:t>create and send LPMP missions with IDs that already exist in the Strike DB. When an incoming LPMP mission with an ID that matches an existing ID is received, TED compares the contents of the incoming mission with the contents of the existing mission. If the contents of the missions do not match, TED will reject the duplicate ID and drop the incoming mission.</w:t>
      </w:r>
    </w:p>
    <w:p w14:paraId="187B871F" w14:textId="004F0A6B" w:rsidR="00D93FA7" w:rsidRPr="000665B0" w:rsidRDefault="00D93FA7" w:rsidP="009570CA">
      <w:r w:rsidRPr="000665B0">
        <w:t>The incoming LPMP mission is received via an Incoming DDO</w:t>
      </w:r>
      <w:r w:rsidR="005A79E6" w:rsidRPr="000665B0">
        <w:t xml:space="preserve"> that</w:t>
      </w:r>
      <w:r w:rsidRPr="000665B0">
        <w:t xml:space="preserve"> indicates </w:t>
      </w:r>
      <w:r w:rsidRPr="000665B0">
        <w:rPr>
          <w:b/>
        </w:rPr>
        <w:t>Partially Processed</w:t>
      </w:r>
      <w:r w:rsidRPr="000665B0">
        <w:t xml:space="preserve">, due to the duplicate data. The </w:t>
      </w:r>
      <w:r w:rsidRPr="000665B0">
        <w:rPr>
          <w:b/>
        </w:rPr>
        <w:t>Information</w:t>
      </w:r>
      <w:r w:rsidRPr="000665B0">
        <w:t xml:space="preserve"> column in the DDO’s textual display reads “Error saving data. Error updating LPMP Mission: xxx xxx xxxxx. LPMP binary Mission I</w:t>
      </w:r>
      <w:r w:rsidR="00EF0E3A">
        <w:t>D</w:t>
      </w:r>
      <w:r w:rsidRPr="000665B0">
        <w:t>: xxx xxx xxxxx already exists but the Mission checksums do not match.”</w:t>
      </w:r>
      <w:r w:rsidR="005A79E6" w:rsidRPr="000665B0">
        <w:t xml:space="preserve"> See </w:t>
      </w:r>
      <w:hyperlink w:anchor="_TSRT__May" w:history="1">
        <w:r w:rsidR="005A79E6" w:rsidRPr="000665B0">
          <w:rPr>
            <w:rStyle w:val="Hyperlink"/>
          </w:rPr>
          <w:t xml:space="preserve">Section </w:t>
        </w:r>
        <w:r w:rsidR="004231CC">
          <w:rPr>
            <w:rStyle w:val="Hyperlink"/>
          </w:rPr>
          <w:t>5.37</w:t>
        </w:r>
        <w:r w:rsidR="005A79E6" w:rsidRPr="000665B0">
          <w:rPr>
            <w:rStyle w:val="Hyperlink"/>
          </w:rPr>
          <w:t>.1</w:t>
        </w:r>
        <w:r w:rsidR="00EF1CAE" w:rsidRPr="000665B0">
          <w:rPr>
            <w:rStyle w:val="Hyperlink"/>
          </w:rPr>
          <w:t>6</w:t>
        </w:r>
        <w:r w:rsidR="005A79E6" w:rsidRPr="000665B0">
          <w:rPr>
            <w:rStyle w:val="Hyperlink"/>
          </w:rPr>
          <w:t>.5</w:t>
        </w:r>
      </w:hyperlink>
      <w:r w:rsidR="005A79E6" w:rsidRPr="000665B0">
        <w:t xml:space="preserve"> for information regarding potential issues with duplicate LPMP </w:t>
      </w:r>
      <w:r w:rsidR="00EF0E3A">
        <w:t>M</w:t>
      </w:r>
      <w:r w:rsidR="005A79E6" w:rsidRPr="000665B0">
        <w:t>ission IDs that may be generated by TSRT.</w:t>
      </w:r>
    </w:p>
    <w:p w14:paraId="5DF4EED7" w14:textId="6701F4ED" w:rsidR="00D93FA7" w:rsidRDefault="00C24575" w:rsidP="009570CA">
      <w:pPr>
        <w:jc w:val="center"/>
      </w:pPr>
      <w:r w:rsidRPr="000665B0">
        <w:rPr>
          <w:noProof/>
          <w:color w:val="1F497D"/>
          <w:sz w:val="22"/>
          <w:szCs w:val="22"/>
        </w:rPr>
        <w:lastRenderedPageBreak/>
        <w:drawing>
          <wp:inline distT="0" distB="0" distL="0" distR="0" wp14:anchorId="511E2800" wp14:editId="7EB3CB75">
            <wp:extent cx="4983480" cy="2816352"/>
            <wp:effectExtent l="0" t="0" r="0" b="0"/>
            <wp:docPr id="1609" name="Picture 1609"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 name="Picture 1609" descr="Graphical user interface, text, application&#10;&#10;AI-generated content may be incorrect."/>
                    <pic:cNvPicPr>
                      <a:picLocks noChangeAspect="1" noChangeArrowheads="1"/>
                    </pic:cNvPicPr>
                  </pic:nvPicPr>
                  <pic:blipFill>
                    <a:blip r:link="rId19" cstate="screen">
                      <a:extLst>
                        <a:ext uri="{28A0092B-C50C-407E-A947-70E740481C1C}">
                          <a14:useLocalDpi xmlns:a14="http://schemas.microsoft.com/office/drawing/2010/main"/>
                        </a:ext>
                      </a:extLst>
                    </a:blip>
                    <a:srcRect/>
                    <a:stretch>
                      <a:fillRect/>
                    </a:stretch>
                  </pic:blipFill>
                  <pic:spPr bwMode="auto">
                    <a:xfrm>
                      <a:off x="0" y="0"/>
                      <a:ext cx="4983480" cy="2816352"/>
                    </a:xfrm>
                    <a:prstGeom prst="rect">
                      <a:avLst/>
                    </a:prstGeom>
                    <a:noFill/>
                    <a:ln>
                      <a:noFill/>
                    </a:ln>
                  </pic:spPr>
                </pic:pic>
              </a:graphicData>
            </a:graphic>
          </wp:inline>
        </w:drawing>
      </w:r>
    </w:p>
    <w:p w14:paraId="1A8250BE" w14:textId="418575C7" w:rsidR="00B06E8B" w:rsidRDefault="00B06E8B" w:rsidP="009570CA">
      <w:r>
        <w:t xml:space="preserve">In maritime strike </w:t>
      </w:r>
      <w:r w:rsidR="00DE1B39">
        <w:t xml:space="preserve">or rehearsal </w:t>
      </w:r>
      <w:r>
        <w:t>scenarios, when an incoming LPMP mission with an ID that matches an existing</w:t>
      </w:r>
      <w:r w:rsidRPr="009747AE">
        <w:t xml:space="preserve"> ID is received, TED </w:t>
      </w:r>
      <w:r>
        <w:t>c</w:t>
      </w:r>
      <w:r w:rsidRPr="00DE1ED5">
        <w:t>ompare</w:t>
      </w:r>
      <w:r>
        <w:t>s the</w:t>
      </w:r>
      <w:r w:rsidRPr="00DE1ED5">
        <w:t xml:space="preserve"> LPMP ID in the DDO contents with the existing LPMP IDs in the system</w:t>
      </w:r>
      <w:r>
        <w:t>. If the contents of the missions match, TED process</w:t>
      </w:r>
      <w:r w:rsidR="00FD1746">
        <w:t>es</w:t>
      </w:r>
      <w:r>
        <w:t xml:space="preserve"> the SEP and associate</w:t>
      </w:r>
      <w:r w:rsidR="00FD1746">
        <w:t>s</w:t>
      </w:r>
      <w:r>
        <w:t xml:space="preserve"> the existing LPMP to the SEP. If the contents of the missions do not match, TED determine</w:t>
      </w:r>
      <w:r w:rsidR="00FD1746">
        <w:t>s</w:t>
      </w:r>
      <w:r>
        <w:t xml:space="preserve"> </w:t>
      </w:r>
      <w:r w:rsidR="00FD1746">
        <w:t>whether</w:t>
      </w:r>
      <w:r>
        <w:t xml:space="preserve"> the existing LPMP mission is part of an active strike execution. If the existing LPMP mission is part of an active strike execution, TED will fail to process the DDO (</w:t>
      </w:r>
      <w:r w:rsidRPr="00B06E8B">
        <w:rPr>
          <w:b/>
        </w:rPr>
        <w:t>Status</w:t>
      </w:r>
      <w:r>
        <w:t xml:space="preserve"> column indicates </w:t>
      </w:r>
      <w:r w:rsidRPr="00B06E8B">
        <w:rPr>
          <w:b/>
        </w:rPr>
        <w:t>Fail</w:t>
      </w:r>
      <w:r>
        <w:t xml:space="preserve">). </w:t>
      </w:r>
      <w:r w:rsidRPr="000665B0">
        <w:t xml:space="preserve">The </w:t>
      </w:r>
      <w:r w:rsidRPr="000665B0">
        <w:rPr>
          <w:b/>
        </w:rPr>
        <w:t>Information</w:t>
      </w:r>
      <w:r w:rsidRPr="000665B0">
        <w:t xml:space="preserve"> column in the DDO’s textual display</w:t>
      </w:r>
      <w:r>
        <w:t xml:space="preserve"> provides the reason for the failure. </w:t>
      </w:r>
    </w:p>
    <w:p w14:paraId="14605035" w14:textId="77777777" w:rsidR="00B06E8B" w:rsidRDefault="00B06E8B" w:rsidP="009570CA">
      <w:pPr>
        <w:jc w:val="center"/>
      </w:pPr>
      <w:r w:rsidRPr="003F0DBA">
        <w:rPr>
          <w:noProof/>
        </w:rPr>
        <w:drawing>
          <wp:inline distT="0" distB="0" distL="0" distR="0" wp14:anchorId="3B32595E" wp14:editId="0CE507A4">
            <wp:extent cx="4983480" cy="932688"/>
            <wp:effectExtent l="0" t="0" r="0" b="0"/>
            <wp:docPr id="355" name="Picture 355" descr="C:\Users\603061\AppData\Local\Microsoft\Windows\INetCache\Content.Outlook\1DO3BBZG\IncomingDdo_DuplicateLpmpIdActiveExec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603061\AppData\Local\Microsoft\Windows\INetCache\Content.Outlook\1DO3BBZG\IncomingDdo_DuplicateLpmpIdActiveExecution.png"/>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4983480" cy="932688"/>
                    </a:xfrm>
                    <a:prstGeom prst="rect">
                      <a:avLst/>
                    </a:prstGeom>
                    <a:noFill/>
                    <a:ln>
                      <a:noFill/>
                    </a:ln>
                    <a:extLst>
                      <a:ext uri="{53640926-AAD7-44D8-BBD7-CCE9431645EC}">
                        <a14:shadowObscured xmlns:a14="http://schemas.microsoft.com/office/drawing/2010/main"/>
                      </a:ext>
                    </a:extLst>
                  </pic:spPr>
                </pic:pic>
              </a:graphicData>
            </a:graphic>
          </wp:inline>
        </w:drawing>
      </w:r>
    </w:p>
    <w:p w14:paraId="4DF1CA29" w14:textId="7BD9A145" w:rsidR="00B06E8B" w:rsidRDefault="00B06E8B" w:rsidP="009570CA">
      <w:r>
        <w:t xml:space="preserve">If the existing LPMP mission is not part of an active strike execution, </w:t>
      </w:r>
      <w:r w:rsidR="00FD1746">
        <w:t>the DDO</w:t>
      </w:r>
      <w:r w:rsidR="00FD1746" w:rsidRPr="000665B0">
        <w:t xml:space="preserve"> indicates </w:t>
      </w:r>
      <w:r w:rsidR="00FD1746" w:rsidRPr="000665B0">
        <w:rPr>
          <w:b/>
        </w:rPr>
        <w:t>Partially Processed</w:t>
      </w:r>
      <w:r w:rsidRPr="00B42E48">
        <w:t xml:space="preserve">, and </w:t>
      </w:r>
      <w:r>
        <w:t>the followin</w:t>
      </w:r>
      <w:r w:rsidR="00823522">
        <w:t>g</w:t>
      </w:r>
      <w:r>
        <w:t xml:space="preserve"> information</w:t>
      </w:r>
      <w:r w:rsidR="00AF46AF">
        <w:t xml:space="preserve"> </w:t>
      </w:r>
      <w:r w:rsidR="00823522">
        <w:t>appears:</w:t>
      </w:r>
    </w:p>
    <w:p w14:paraId="4FE5569E" w14:textId="77777777" w:rsidR="00B06E8B" w:rsidRDefault="00B06E8B" w:rsidP="009570CA">
      <w:pPr>
        <w:jc w:val="center"/>
      </w:pPr>
      <w:r w:rsidRPr="007436AF">
        <w:rPr>
          <w:noProof/>
        </w:rPr>
        <w:drawing>
          <wp:inline distT="0" distB="0" distL="0" distR="0" wp14:anchorId="018CE5C2" wp14:editId="7FCBAB78">
            <wp:extent cx="2743200" cy="1280160"/>
            <wp:effectExtent l="0" t="0" r="0" b="0"/>
            <wp:docPr id="356" name="Picture 356" descr="C:\Users\603061\AppData\Local\Microsoft\Windows\INetCache\Content.Outlook\1DO3BBZG\DuplicateLpmpIdDialog_Upd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603061\AppData\Local\Microsoft\Windows\INetCache\Content.Outlook\1DO3BBZG\DuplicateLpmpIdDialog_Updated.png"/>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743200" cy="1280160"/>
                    </a:xfrm>
                    <a:prstGeom prst="rect">
                      <a:avLst/>
                    </a:prstGeom>
                    <a:noFill/>
                    <a:ln>
                      <a:noFill/>
                    </a:ln>
                  </pic:spPr>
                </pic:pic>
              </a:graphicData>
            </a:graphic>
          </wp:inline>
        </w:drawing>
      </w:r>
    </w:p>
    <w:p w14:paraId="2C38CF6E" w14:textId="2129EABF" w:rsidR="00B06E8B" w:rsidRDefault="00FD1746" w:rsidP="009570CA">
      <w:r>
        <w:t xml:space="preserve">Click </w:t>
      </w:r>
      <w:r w:rsidRPr="00FD1746">
        <w:rPr>
          <w:b/>
        </w:rPr>
        <w:t>Yes</w:t>
      </w:r>
      <w:r>
        <w:t xml:space="preserve"> to </w:t>
      </w:r>
      <w:r w:rsidR="00B06E8B">
        <w:t>delete the existing LPMP mission from the DB, and re-process the SEP DDO.</w:t>
      </w:r>
    </w:p>
    <w:p w14:paraId="1A7A753F" w14:textId="00258063" w:rsidR="00B06E8B" w:rsidRDefault="00FD1746" w:rsidP="009570CA">
      <w:r>
        <w:t xml:space="preserve">Clicking </w:t>
      </w:r>
      <w:r w:rsidRPr="00C4068A">
        <w:rPr>
          <w:b/>
        </w:rPr>
        <w:t>No</w:t>
      </w:r>
      <w:r>
        <w:t xml:space="preserve"> causes the SEP DDO </w:t>
      </w:r>
      <w:r w:rsidR="00C4068A">
        <w:t>to</w:t>
      </w:r>
      <w:r>
        <w:t xml:space="preserve"> remain in the </w:t>
      </w:r>
      <w:r w:rsidRPr="00FD1746">
        <w:rPr>
          <w:b/>
        </w:rPr>
        <w:t>Failed</w:t>
      </w:r>
      <w:r>
        <w:t xml:space="preserve"> status. </w:t>
      </w:r>
      <w:r w:rsidRPr="000665B0">
        <w:t xml:space="preserve">The </w:t>
      </w:r>
      <w:r w:rsidRPr="000665B0">
        <w:rPr>
          <w:b/>
        </w:rPr>
        <w:t>Information</w:t>
      </w:r>
      <w:r w:rsidRPr="000665B0">
        <w:t xml:space="preserve"> column in the DDO’s textual display</w:t>
      </w:r>
      <w:r>
        <w:t xml:space="preserve"> provides the reason for the failure</w:t>
      </w:r>
      <w:r w:rsidR="00B06E8B" w:rsidRPr="00B42E48">
        <w:t>.</w:t>
      </w:r>
      <w:r w:rsidR="00B06E8B">
        <w:t xml:space="preserve"> </w:t>
      </w:r>
    </w:p>
    <w:p w14:paraId="21C218F6" w14:textId="66F0B3E6" w:rsidR="00B06E8B" w:rsidRPr="000665B0" w:rsidRDefault="00B06E8B" w:rsidP="009570CA">
      <w:pPr>
        <w:jc w:val="center"/>
      </w:pPr>
      <w:r w:rsidRPr="003F0DBA">
        <w:rPr>
          <w:noProof/>
        </w:rPr>
        <w:lastRenderedPageBreak/>
        <w:drawing>
          <wp:inline distT="0" distB="0" distL="0" distR="0" wp14:anchorId="434A0BF4" wp14:editId="6D0177C5">
            <wp:extent cx="4983480" cy="1133856"/>
            <wp:effectExtent l="0" t="0" r="0" b="0"/>
            <wp:docPr id="357" name="Picture 357" descr="C:\Users\603061\AppData\Local\Microsoft\Windows\INetCache\Content.Outlook\1DO3BBZG\IncomingDdo_DuplicateLpmp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603061\AppData\Local\Microsoft\Windows\INetCache\Content.Outlook\1DO3BBZG\IncomingDdo_DuplicateLpmpId.png"/>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4983480" cy="1133856"/>
                    </a:xfrm>
                    <a:prstGeom prst="rect">
                      <a:avLst/>
                    </a:prstGeom>
                    <a:noFill/>
                    <a:ln>
                      <a:noFill/>
                    </a:ln>
                    <a:extLst>
                      <a:ext uri="{53640926-AAD7-44D8-BBD7-CCE9431645EC}">
                        <a14:shadowObscured xmlns:a14="http://schemas.microsoft.com/office/drawing/2010/main"/>
                      </a:ext>
                    </a:extLst>
                  </pic:spPr>
                </pic:pic>
              </a:graphicData>
            </a:graphic>
          </wp:inline>
        </w:drawing>
      </w:r>
    </w:p>
    <w:p w14:paraId="67CF39B0" w14:textId="7E0936D0" w:rsidR="005D1A26" w:rsidRPr="000665B0" w:rsidRDefault="005D1A26" w:rsidP="009570CA">
      <w:pPr>
        <w:pStyle w:val="Heading4"/>
      </w:pPr>
      <w:bookmarkStart w:id="4655" w:name="_Installing_/Processing_Data"/>
      <w:bookmarkEnd w:id="4654"/>
      <w:bookmarkEnd w:id="4655"/>
      <w:r w:rsidRPr="000665B0">
        <w:t>Installing</w:t>
      </w:r>
      <w:r w:rsidR="00490426" w:rsidRPr="000665B0">
        <w:t>/Processing</w:t>
      </w:r>
      <w:r w:rsidRPr="000665B0">
        <w:t xml:space="preserve"> Data Items</w:t>
      </w:r>
      <w:bookmarkEnd w:id="4649"/>
      <w:bookmarkEnd w:id="4650"/>
      <w:bookmarkEnd w:id="4651"/>
      <w:bookmarkEnd w:id="4652"/>
      <w:bookmarkEnd w:id="4653"/>
    </w:p>
    <w:p w14:paraId="13E4FB98" w14:textId="77777777" w:rsidR="00490426" w:rsidRPr="000665B0" w:rsidRDefault="00490426" w:rsidP="009570CA">
      <w:bookmarkStart w:id="4656" w:name="_Toc71955489"/>
      <w:bookmarkStart w:id="4657" w:name="_Toc96170064"/>
      <w:bookmarkStart w:id="4658" w:name="_Toc96234109"/>
      <w:bookmarkStart w:id="4659" w:name="_Toc112733537"/>
      <w:bookmarkStart w:id="4660" w:name="_Toc289328578"/>
      <w:bookmarkStart w:id="4661" w:name="_Toc312331891"/>
      <w:r w:rsidRPr="000665B0">
        <w:t>When installing data items, it is imperative that you evaluate what data items are being installed and how it will affect your database.</w:t>
      </w:r>
    </w:p>
    <w:p w14:paraId="5294A3D9" w14:textId="77777777" w:rsidR="00490426" w:rsidRPr="000665B0" w:rsidRDefault="00490426" w:rsidP="009570CA">
      <w:r w:rsidRPr="000665B0">
        <w:t xml:space="preserve">After the DDO has been displayed textually, review the contents of the </w:t>
      </w:r>
      <w:r w:rsidRPr="000665B0">
        <w:rPr>
          <w:b/>
        </w:rPr>
        <w:t>Action</w:t>
      </w:r>
      <w:r w:rsidRPr="000665B0">
        <w:t xml:space="preserve"> column. The actions below provide the following results:</w:t>
      </w:r>
    </w:p>
    <w:p w14:paraId="2B5EAD6D" w14:textId="77777777" w:rsidR="00490426" w:rsidRPr="000665B0" w:rsidRDefault="00490426" w:rsidP="006D5A65">
      <w:pPr>
        <w:pStyle w:val="Heading1"/>
      </w:pPr>
      <w:r w:rsidRPr="000665B0">
        <w:rPr>
          <w:bCs/>
        </w:rPr>
        <w:t>Delete</w:t>
      </w:r>
      <w:r w:rsidRPr="000665B0">
        <w:t xml:space="preserve"> – This is a Coordination Template message being received from another MDS site. Processing the entry will cause MDS to delete the Data ID from the database. When the operator selects to Process a request to Delete a Data Item that has References, the </w:t>
      </w:r>
      <w:r w:rsidRPr="000665B0">
        <w:rPr>
          <w:i/>
        </w:rPr>
        <w:t>Reference</w:t>
      </w:r>
      <w:r w:rsidRPr="000665B0">
        <w:t xml:space="preserve"> window is displayed to the operator. This will allow the operator to resolve the references or to cancel the delete processing. If the mission is ultimately deleted, then the Status column will change from </w:t>
      </w:r>
      <w:r w:rsidRPr="000665B0">
        <w:rPr>
          <w:i/>
          <w:iCs/>
        </w:rPr>
        <w:t>Received</w:t>
      </w:r>
      <w:r w:rsidRPr="000665B0">
        <w:t xml:space="preserve"> </w:t>
      </w:r>
      <w:r w:rsidRPr="009735B6">
        <w:rPr>
          <w:bCs/>
        </w:rPr>
        <w:t xml:space="preserve">to </w:t>
      </w:r>
      <w:r w:rsidRPr="000665B0">
        <w:rPr>
          <w:i/>
          <w:iCs/>
        </w:rPr>
        <w:t>Deleted</w:t>
      </w:r>
      <w:r w:rsidRPr="000665B0">
        <w:t>.</w:t>
      </w:r>
    </w:p>
    <w:p w14:paraId="0B8C3850" w14:textId="38DA22F5" w:rsidR="005A79E6" w:rsidRPr="000665B0" w:rsidRDefault="00490426" w:rsidP="006D5A65">
      <w:pPr>
        <w:pStyle w:val="Heading1"/>
      </w:pPr>
      <w:r w:rsidRPr="000665B0">
        <w:rPr>
          <w:bCs/>
        </w:rPr>
        <w:t xml:space="preserve">Activate </w:t>
      </w:r>
      <w:r w:rsidRPr="000665B0">
        <w:t xml:space="preserve">– This is a Coordination Template message being received from another MDS site. Processing the entry will cause MDS to Activate the mission in the </w:t>
      </w:r>
      <w:r w:rsidR="00E3132C" w:rsidRPr="000665B0">
        <w:t>database and</w:t>
      </w:r>
      <w:r w:rsidRPr="000665B0">
        <w:t xml:space="preserve"> change the Status column from </w:t>
      </w:r>
      <w:r w:rsidRPr="000665B0">
        <w:rPr>
          <w:i/>
          <w:iCs/>
        </w:rPr>
        <w:t>Received</w:t>
      </w:r>
      <w:r w:rsidRPr="000665B0">
        <w:t xml:space="preserve"> to </w:t>
      </w:r>
      <w:r w:rsidRPr="000665B0">
        <w:rPr>
          <w:i/>
          <w:iCs/>
        </w:rPr>
        <w:t>Activated</w:t>
      </w:r>
      <w:r w:rsidRPr="000665B0">
        <w:t xml:space="preserve">. </w:t>
      </w:r>
    </w:p>
    <w:p w14:paraId="4C1D2C43" w14:textId="77777777" w:rsidR="00490426" w:rsidRPr="000665B0" w:rsidRDefault="00490426" w:rsidP="009570CA">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86" w:right="86"/>
        <w:jc w:val="center"/>
        <w:rPr>
          <w:b/>
        </w:rPr>
      </w:pPr>
      <w:r w:rsidRPr="000665B0">
        <w:rPr>
          <w:b/>
        </w:rPr>
        <w:t>Note:</w:t>
      </w:r>
    </w:p>
    <w:p w14:paraId="1637D83D" w14:textId="77777777" w:rsidR="00490426" w:rsidRPr="000665B0" w:rsidRDefault="00490426" w:rsidP="009570CA">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ind w:left="86" w:right="86"/>
        <w:jc w:val="center"/>
        <w:rPr>
          <w:b/>
        </w:rPr>
      </w:pPr>
      <w:r w:rsidRPr="000665B0">
        <w:rPr>
          <w:b/>
        </w:rPr>
        <w:t>If the mission does not exist, MDS reacts as if the mission did exist and provides no indication the mission was absent from the database.</w:t>
      </w:r>
    </w:p>
    <w:p w14:paraId="776F6417" w14:textId="237BE779" w:rsidR="00490426" w:rsidRPr="000665B0" w:rsidRDefault="00490426" w:rsidP="006D5A65">
      <w:pPr>
        <w:pStyle w:val="Heading1"/>
      </w:pPr>
      <w:r w:rsidRPr="000665B0">
        <w:rPr>
          <w:bCs/>
        </w:rPr>
        <w:t xml:space="preserve">Deactivate </w:t>
      </w:r>
      <w:r w:rsidRPr="000665B0">
        <w:t xml:space="preserve">– This is a Coordination Template message being received from another MDS site. Processing the entry will cause MDS to Deactivate the mission in the </w:t>
      </w:r>
      <w:r w:rsidR="00E3132C" w:rsidRPr="000665B0">
        <w:t>database and</w:t>
      </w:r>
      <w:r w:rsidRPr="000665B0">
        <w:t xml:space="preserve"> change the Status column from </w:t>
      </w:r>
      <w:r w:rsidRPr="000665B0">
        <w:rPr>
          <w:i/>
          <w:iCs/>
        </w:rPr>
        <w:t>Received</w:t>
      </w:r>
      <w:r w:rsidRPr="000665B0">
        <w:t xml:space="preserve"> to </w:t>
      </w:r>
      <w:r w:rsidRPr="000665B0">
        <w:rPr>
          <w:i/>
          <w:iCs/>
        </w:rPr>
        <w:t>Deactivated</w:t>
      </w:r>
      <w:r w:rsidRPr="000665B0">
        <w:t>. Additionally, the Deactivation Reason is automatically filled in with the following reason: Deactivate by DDO xxxxx-xxxxx.</w:t>
      </w:r>
    </w:p>
    <w:p w14:paraId="075FAE96" w14:textId="77777777" w:rsidR="00490426" w:rsidRPr="000665B0" w:rsidRDefault="00490426" w:rsidP="006D5A65">
      <w:pPr>
        <w:pStyle w:val="Heading1"/>
      </w:pPr>
      <w:r w:rsidRPr="000665B0">
        <w:rPr>
          <w:bCs/>
        </w:rPr>
        <w:t>Data</w:t>
      </w:r>
      <w:r w:rsidRPr="000665B0">
        <w:t xml:space="preserve"> </w:t>
      </w:r>
      <w:r w:rsidRPr="000665B0">
        <w:rPr>
          <w:bCs/>
        </w:rPr>
        <w:t>Request</w:t>
      </w:r>
      <w:r w:rsidRPr="000665B0">
        <w:t xml:space="preserve">– This is a Coordination Template message being received from another MDS site. Processing the entry will cause MDS to automatically return the requested information in an Outgoing DDO. The Status column will change from </w:t>
      </w:r>
      <w:r w:rsidRPr="000665B0">
        <w:rPr>
          <w:i/>
          <w:iCs/>
        </w:rPr>
        <w:t>Received</w:t>
      </w:r>
      <w:r w:rsidRPr="000665B0">
        <w:t xml:space="preserve"> to </w:t>
      </w:r>
      <w:r w:rsidRPr="000665B0">
        <w:rPr>
          <w:i/>
          <w:iCs/>
        </w:rPr>
        <w:t>Processed</w:t>
      </w:r>
      <w:r w:rsidRPr="000665B0">
        <w:t xml:space="preserve">. </w:t>
      </w:r>
    </w:p>
    <w:p w14:paraId="7CB95714" w14:textId="77777777" w:rsidR="00490426" w:rsidRPr="000665B0" w:rsidRDefault="0049042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90" w:right="90"/>
        <w:jc w:val="center"/>
        <w:rPr>
          <w:b/>
        </w:rPr>
      </w:pPr>
      <w:r w:rsidRPr="000665B0">
        <w:rPr>
          <w:b/>
        </w:rPr>
        <w:t>Note:</w:t>
      </w:r>
    </w:p>
    <w:p w14:paraId="6D4E8902" w14:textId="77777777" w:rsidR="00490426" w:rsidRPr="000665B0" w:rsidRDefault="0049042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ind w:left="90" w:right="90"/>
        <w:jc w:val="center"/>
        <w:rPr>
          <w:b/>
        </w:rPr>
      </w:pPr>
      <w:r w:rsidRPr="000665B0">
        <w:rPr>
          <w:b/>
        </w:rPr>
        <w:t>If the recipient does not support a request for data, then processing the item will cause MDS to return an empty DDO in response to the request.</w:t>
      </w:r>
    </w:p>
    <w:p w14:paraId="78EAFD8C" w14:textId="77777777" w:rsidR="00490426" w:rsidRPr="000665B0" w:rsidRDefault="00490426" w:rsidP="006D5A65">
      <w:pPr>
        <w:pStyle w:val="Heading1"/>
      </w:pPr>
      <w:r w:rsidRPr="000665B0">
        <w:rPr>
          <w:bCs/>
        </w:rPr>
        <w:lastRenderedPageBreak/>
        <w:t>Install</w:t>
      </w:r>
      <w:r w:rsidRPr="000665B0">
        <w:t xml:space="preserve"> – This is data being received into MDS from various locations and is ready to be added to the database. </w:t>
      </w:r>
    </w:p>
    <w:p w14:paraId="6A0DCC62" w14:textId="30BDB43E" w:rsidR="00490426" w:rsidRPr="000665B0" w:rsidRDefault="008D1FAA" w:rsidP="009570CA">
      <w:r w:rsidRPr="000665B0">
        <w:t>See</w:t>
      </w:r>
      <w:r w:rsidR="00490426" w:rsidRPr="000665B0">
        <w:t xml:space="preserve"> </w:t>
      </w:r>
      <w:hyperlink w:anchor="_Appendix_D__DATA_SENT_FROM_PC-MDS" w:history="1">
        <w:r w:rsidR="00490426" w:rsidRPr="000665B0">
          <w:rPr>
            <w:rStyle w:val="Hyperlink"/>
          </w:rPr>
          <w:t>Appendix D</w:t>
        </w:r>
      </w:hyperlink>
      <w:r w:rsidR="00490426" w:rsidRPr="000665B0">
        <w:t xml:space="preserve"> or </w:t>
      </w:r>
      <w:r w:rsidR="009E7616" w:rsidRPr="000665B0">
        <w:t xml:space="preserve">see </w:t>
      </w:r>
      <w:hyperlink w:anchor="_Appendix_F__DATA_Received_by_PC-MDS_1" w:history="1">
        <w:r w:rsidR="00490426" w:rsidRPr="000665B0">
          <w:rPr>
            <w:rStyle w:val="Hyperlink"/>
          </w:rPr>
          <w:t>Appendix E</w:t>
        </w:r>
      </w:hyperlink>
      <w:r w:rsidR="00490426" w:rsidRPr="000665B0">
        <w:t xml:space="preserve"> to view the files directional flow with the different sites.</w:t>
      </w:r>
    </w:p>
    <w:p w14:paraId="2E66B46D" w14:textId="77777777" w:rsidR="00490426" w:rsidRPr="000665B0" w:rsidRDefault="00490426" w:rsidP="009570CA">
      <w:r w:rsidRPr="000665B0">
        <w:t>To install data items:</w:t>
      </w:r>
    </w:p>
    <w:p w14:paraId="352497DC" w14:textId="77777777" w:rsidR="00490426" w:rsidRPr="000665B0" w:rsidRDefault="00490426" w:rsidP="006D5A65">
      <w:pPr>
        <w:pStyle w:val="Heading1"/>
      </w:pPr>
      <w:r w:rsidRPr="000665B0">
        <w:t>Navigate to the Incoming DDOs Tool and select the desired entry.</w:t>
      </w:r>
    </w:p>
    <w:p w14:paraId="57E299BA" w14:textId="35450882" w:rsidR="00490426" w:rsidRPr="000665B0" w:rsidRDefault="00490426" w:rsidP="006D5A65">
      <w:pPr>
        <w:pStyle w:val="Heading1"/>
      </w:pPr>
      <w:r w:rsidRPr="000665B0">
        <w:t xml:space="preserve">From the File menu, select Display </w:t>
      </w:r>
      <w:r w:rsidRPr="000665B0">
        <w:sym w:font="Wingdings 3" w:char="F07D"/>
      </w:r>
      <w:r w:rsidRPr="000665B0">
        <w:t xml:space="preserve"> Textually or invoke the context menu (by </w:t>
      </w:r>
      <w:r w:rsidR="00D71804" w:rsidRPr="000665B0">
        <w:t>right-click</w:t>
      </w:r>
      <w:r w:rsidRPr="000665B0">
        <w:t>ing the mouse) and select</w:t>
      </w:r>
      <w:r w:rsidRPr="000665B0">
        <w:rPr>
          <w:bCs/>
        </w:rPr>
        <w:t xml:space="preserve"> Display </w:t>
      </w:r>
      <w:r w:rsidRPr="000665B0">
        <w:sym w:font="Wingdings 3" w:char="F07D"/>
      </w:r>
      <w:r w:rsidRPr="000665B0">
        <w:rPr>
          <w:bCs/>
        </w:rPr>
        <w:t xml:space="preserve"> Textually</w:t>
      </w:r>
      <w:r w:rsidRPr="000665B0">
        <w:t>.</w:t>
      </w:r>
    </w:p>
    <w:p w14:paraId="2B30675D" w14:textId="77777777" w:rsidR="00490426" w:rsidRPr="000665B0" w:rsidRDefault="00490426" w:rsidP="006D5A65">
      <w:pPr>
        <w:pStyle w:val="Heading1"/>
      </w:pPr>
      <w:r w:rsidRPr="000665B0">
        <w:t xml:space="preserve">From the File menu, select Process All or select the Process All </w:t>
      </w:r>
      <w:r w:rsidRPr="000665B0">
        <w:rPr>
          <w:noProof/>
        </w:rPr>
        <w:drawing>
          <wp:inline distT="0" distB="0" distL="0" distR="0" wp14:anchorId="61483D9C" wp14:editId="2B4BEF4F">
            <wp:extent cx="219075" cy="200025"/>
            <wp:effectExtent l="0" t="0" r="9525" b="9525"/>
            <wp:docPr id="309" name="Picture 309" descr="Description: Process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Description: ProcessAll"/>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19075" cy="200025"/>
                    </a:xfrm>
                    <a:prstGeom prst="rect">
                      <a:avLst/>
                    </a:prstGeom>
                    <a:noFill/>
                    <a:ln>
                      <a:noFill/>
                    </a:ln>
                  </pic:spPr>
                </pic:pic>
              </a:graphicData>
            </a:graphic>
          </wp:inline>
        </w:drawing>
      </w:r>
      <w:r w:rsidRPr="000665B0">
        <w:t xml:space="preserve"> icon in the toolbar to process all data in the DDO.</w:t>
      </w:r>
    </w:p>
    <w:p w14:paraId="7AFA18BF" w14:textId="77777777" w:rsidR="00490426" w:rsidRPr="000665B0" w:rsidRDefault="00490426" w:rsidP="009570CA">
      <w:pPr>
        <w:pStyle w:val="Number0205"/>
        <w:ind w:left="720"/>
      </w:pPr>
      <w:r w:rsidRPr="000665B0">
        <w:t>or</w:t>
      </w:r>
    </w:p>
    <w:p w14:paraId="67945FE7" w14:textId="0334561D" w:rsidR="00490426" w:rsidRPr="000665B0" w:rsidRDefault="00490426" w:rsidP="006D5A65">
      <w:pPr>
        <w:pStyle w:val="Heading1"/>
      </w:pPr>
      <w:r w:rsidRPr="000665B0">
        <w:t xml:space="preserve">Select the desired Data Type individually. Invoke the context menu (by </w:t>
      </w:r>
      <w:r w:rsidR="00D71804" w:rsidRPr="000665B0">
        <w:t>right-click</w:t>
      </w:r>
      <w:r w:rsidRPr="000665B0">
        <w:t>ing the mouse) and select</w:t>
      </w:r>
      <w:r w:rsidRPr="000665B0">
        <w:rPr>
          <w:bCs/>
        </w:rPr>
        <w:t xml:space="preserve"> Process</w:t>
      </w:r>
      <w:r w:rsidRPr="000665B0">
        <w:t>.</w:t>
      </w:r>
    </w:p>
    <w:p w14:paraId="42301F52" w14:textId="77777777" w:rsidR="00490426" w:rsidRPr="000665B0" w:rsidRDefault="00490426" w:rsidP="009570CA">
      <w:pPr>
        <w:pStyle w:val="Number0205"/>
        <w:ind w:left="720"/>
      </w:pPr>
      <w:r w:rsidRPr="000665B0">
        <w:t>or</w:t>
      </w:r>
    </w:p>
    <w:p w14:paraId="4B2E7709" w14:textId="61044F99" w:rsidR="00490426" w:rsidRPr="000665B0" w:rsidRDefault="0037038E" w:rsidP="006D5A65">
      <w:pPr>
        <w:pStyle w:val="Heading1"/>
      </w:pPr>
      <w:r w:rsidRPr="000665B0">
        <w:t>Double-click</w:t>
      </w:r>
      <w:r w:rsidR="00490426" w:rsidRPr="000665B0">
        <w:t xml:space="preserve"> the desired Data Type individually.</w:t>
      </w:r>
    </w:p>
    <w:p w14:paraId="509983D6" w14:textId="77777777" w:rsidR="00490426" w:rsidRPr="000665B0" w:rsidRDefault="00490426" w:rsidP="006D5A65">
      <w:pPr>
        <w:pStyle w:val="Heading1"/>
      </w:pPr>
      <w:r w:rsidRPr="000665B0">
        <w:t xml:space="preserve">Click the Yes button in the </w:t>
      </w:r>
      <w:r w:rsidRPr="000665B0">
        <w:rPr>
          <w:i/>
        </w:rPr>
        <w:t>Incoming DDO Data Items</w:t>
      </w:r>
      <w:r w:rsidRPr="000665B0">
        <w:t xml:space="preserve"> window.</w:t>
      </w:r>
    </w:p>
    <w:p w14:paraId="2C639457" w14:textId="481DA8B5" w:rsidR="00490426" w:rsidRPr="000665B0" w:rsidRDefault="00546BAD" w:rsidP="009570CA">
      <w:pPr>
        <w:ind w:left="360"/>
        <w:jc w:val="center"/>
      </w:pPr>
      <w:r w:rsidRPr="000665B0">
        <w:rPr>
          <w:noProof/>
        </w:rPr>
        <w:drawing>
          <wp:inline distT="0" distB="0" distL="0" distR="0" wp14:anchorId="6AECB134" wp14:editId="15A9B89B">
            <wp:extent cx="1828800" cy="1335024"/>
            <wp:effectExtent l="0" t="0" r="0" b="0"/>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335024"/>
                    </a:xfrm>
                    <a:prstGeom prst="rect">
                      <a:avLst/>
                    </a:prstGeom>
                  </pic:spPr>
                </pic:pic>
              </a:graphicData>
            </a:graphic>
          </wp:inline>
        </w:drawing>
      </w:r>
    </w:p>
    <w:p w14:paraId="008D74E7" w14:textId="57DBC5E8" w:rsidR="00715E96" w:rsidRPr="000665B0" w:rsidRDefault="00715E96" w:rsidP="009570CA">
      <w:r w:rsidRPr="000665B0">
        <w:t>If an “Error object failed TED Contract Validation…” message is received while processing Crypto data sent from legacy MDS 5.x systems, it i</w:t>
      </w:r>
      <w:r w:rsidR="008053BB" w:rsidRPr="000665B0">
        <w:t>s</w:t>
      </w:r>
      <w:r w:rsidRPr="000665B0">
        <w:t xml:space="preserve"> likely due to a violation in the </w:t>
      </w:r>
      <w:r w:rsidR="008053BB" w:rsidRPr="000665B0">
        <w:t>type of characters within</w:t>
      </w:r>
      <w:r w:rsidRPr="000665B0">
        <w:t xml:space="preserve"> the Crypto</w:t>
      </w:r>
      <w:r w:rsidR="008053BB" w:rsidRPr="000665B0">
        <w:t xml:space="preserve"> key</w:t>
      </w:r>
      <w:r w:rsidRPr="000665B0">
        <w:t xml:space="preserve">’s short title. Short titles in legacy systems allow special characters, while 6.0 </w:t>
      </w:r>
      <w:r w:rsidR="008053BB" w:rsidRPr="000665B0">
        <w:t>(</w:t>
      </w:r>
      <w:r w:rsidRPr="000665B0">
        <w:t>and above</w:t>
      </w:r>
      <w:r w:rsidR="008053BB" w:rsidRPr="000665B0">
        <w:t>)</w:t>
      </w:r>
      <w:r w:rsidRPr="000665B0">
        <w:t xml:space="preserve"> systems do not allow </w:t>
      </w:r>
      <w:r w:rsidR="008053BB" w:rsidRPr="000665B0">
        <w:t>special characters</w:t>
      </w:r>
      <w:r w:rsidRPr="000665B0">
        <w:t>.</w:t>
      </w:r>
      <w:r w:rsidR="008053BB" w:rsidRPr="000665B0">
        <w:t xml:space="preserve"> (For more information about Crypto keys, see </w:t>
      </w:r>
      <w:hyperlink w:anchor="_Create_New_Crypto" w:history="1">
        <w:r w:rsidR="008053BB" w:rsidRPr="000665B0">
          <w:rPr>
            <w:rStyle w:val="Hyperlink"/>
          </w:rPr>
          <w:t xml:space="preserve">Section </w:t>
        </w:r>
        <w:r w:rsidR="004231CC">
          <w:rPr>
            <w:rStyle w:val="Hyperlink"/>
          </w:rPr>
          <w:t>5.39</w:t>
        </w:r>
        <w:r w:rsidR="008053BB" w:rsidRPr="000665B0">
          <w:rPr>
            <w:rStyle w:val="Hyperlink"/>
          </w:rPr>
          <w:t>.1</w:t>
        </w:r>
      </w:hyperlink>
      <w:r w:rsidR="0000297E" w:rsidRPr="000665B0">
        <w:t>.</w:t>
      </w:r>
      <w:r w:rsidR="008053BB" w:rsidRPr="000665B0">
        <w:t>)</w:t>
      </w:r>
      <w:r w:rsidR="008627D7" w:rsidRPr="000665B0">
        <w:t xml:space="preserve"> </w:t>
      </w:r>
      <w:r w:rsidR="008053BB" w:rsidRPr="000665B0">
        <w:t>If the error is received and the legacy Crypto key</w:t>
      </w:r>
      <w:r w:rsidR="0000297E" w:rsidRPr="000665B0">
        <w:t>’s</w:t>
      </w:r>
      <w:r w:rsidR="008053BB" w:rsidRPr="000665B0">
        <w:t xml:space="preserve"> short title contains special characters, perform the following steps:</w:t>
      </w:r>
    </w:p>
    <w:p w14:paraId="56954B35" w14:textId="4937F9B9" w:rsidR="00715E96" w:rsidRPr="000665B0" w:rsidRDefault="00715E96" w:rsidP="006D5A65">
      <w:pPr>
        <w:pStyle w:val="Heading1"/>
      </w:pPr>
      <w:r w:rsidRPr="000665B0">
        <w:t xml:space="preserve">Remove all special characters from the </w:t>
      </w:r>
      <w:r w:rsidR="008627D7" w:rsidRPr="000665B0">
        <w:t>s</w:t>
      </w:r>
      <w:r w:rsidRPr="000665B0">
        <w:t>hort</w:t>
      </w:r>
      <w:r w:rsidR="008053BB" w:rsidRPr="000665B0">
        <w:t xml:space="preserve"> </w:t>
      </w:r>
      <w:r w:rsidR="008627D7" w:rsidRPr="000665B0">
        <w:t>t</w:t>
      </w:r>
      <w:r w:rsidRPr="000665B0">
        <w:t xml:space="preserve">itle of the Crypto </w:t>
      </w:r>
      <w:r w:rsidR="008053BB" w:rsidRPr="000665B0">
        <w:t>k</w:t>
      </w:r>
      <w:r w:rsidRPr="000665B0">
        <w:t>ey</w:t>
      </w:r>
      <w:r w:rsidR="008053BB" w:rsidRPr="000665B0">
        <w:t>.</w:t>
      </w:r>
      <w:r w:rsidRPr="000665B0">
        <w:t xml:space="preserve"> </w:t>
      </w:r>
      <w:r w:rsidR="008627D7" w:rsidRPr="000665B0">
        <w:t>Ensure that the short t</w:t>
      </w:r>
      <w:r w:rsidR="008053BB" w:rsidRPr="000665B0">
        <w:t xml:space="preserve">itle </w:t>
      </w:r>
      <w:r w:rsidR="008627D7" w:rsidRPr="000665B0">
        <w:t>does not exceed</w:t>
      </w:r>
      <w:r w:rsidR="008053BB" w:rsidRPr="000665B0">
        <w:t xml:space="preserve"> 24 alphanumeric characters</w:t>
      </w:r>
      <w:r w:rsidR="00A41E22" w:rsidRPr="000665B0">
        <w:t xml:space="preserve"> and/or spaces</w:t>
      </w:r>
      <w:r w:rsidR="008053BB" w:rsidRPr="000665B0">
        <w:t>.</w:t>
      </w:r>
    </w:p>
    <w:p w14:paraId="0EFEBA16" w14:textId="6BDDF178" w:rsidR="008053BB" w:rsidRPr="000665B0" w:rsidRDefault="008053BB" w:rsidP="006D5A65">
      <w:pPr>
        <w:pStyle w:val="Heading1"/>
      </w:pPr>
      <w:r w:rsidRPr="000665B0">
        <w:t>From the File menu, select Save or click</w:t>
      </w:r>
      <w:r w:rsidRPr="000665B0" w:rsidDel="00CF580F">
        <w:t xml:space="preserve"> </w:t>
      </w:r>
      <w:r w:rsidRPr="000665B0">
        <w:t xml:space="preserve">the </w:t>
      </w:r>
      <w:r w:rsidRPr="000665B0">
        <w:rPr>
          <w:bCs/>
        </w:rPr>
        <w:t>Save</w:t>
      </w:r>
      <w:r w:rsidRPr="000665B0">
        <w:t xml:space="preserve"> icon from the toolbar.</w:t>
      </w:r>
    </w:p>
    <w:p w14:paraId="3873267E" w14:textId="69849757" w:rsidR="00715E96" w:rsidRPr="000665B0" w:rsidRDefault="00715E96" w:rsidP="006D5A65">
      <w:pPr>
        <w:pStyle w:val="Heading1"/>
      </w:pPr>
      <w:r w:rsidRPr="000665B0">
        <w:t>Receive the edited Crypto key into MDS.</w:t>
      </w:r>
    </w:p>
    <w:p w14:paraId="58C1F647" w14:textId="0EC86250" w:rsidR="00715E96" w:rsidRPr="000665B0" w:rsidRDefault="00715E96" w:rsidP="006D5A65">
      <w:pPr>
        <w:pStyle w:val="Heading1"/>
      </w:pPr>
      <w:r w:rsidRPr="000665B0">
        <w:t xml:space="preserve">Verify that </w:t>
      </w:r>
      <w:r w:rsidR="008053BB" w:rsidRPr="000665B0">
        <w:t>the data is processed without errors</w:t>
      </w:r>
      <w:r w:rsidRPr="000665B0">
        <w:t>.</w:t>
      </w:r>
    </w:p>
    <w:p w14:paraId="1C987092" w14:textId="2411EAEB" w:rsidR="00490426" w:rsidRPr="000665B0" w:rsidRDefault="00490426" w:rsidP="009570CA">
      <w:pPr>
        <w:pStyle w:val="Number0205"/>
        <w:ind w:left="0" w:firstLine="0"/>
      </w:pPr>
      <w:r w:rsidRPr="000665B0">
        <w:t>Observe the installation of the files to ensure no failures have occurred. This can be verified by viewing each of the following actions that takes place upon completion of the installation.</w:t>
      </w:r>
    </w:p>
    <w:p w14:paraId="1F2356CD" w14:textId="77777777" w:rsidR="00490426" w:rsidRPr="000665B0" w:rsidRDefault="00490426" w:rsidP="006D5A65">
      <w:pPr>
        <w:pStyle w:val="Heading1"/>
      </w:pPr>
      <w:r w:rsidRPr="000665B0">
        <w:lastRenderedPageBreak/>
        <w:t xml:space="preserve">The Status column of the </w:t>
      </w:r>
      <w:r w:rsidRPr="000665B0">
        <w:rPr>
          <w:i/>
        </w:rPr>
        <w:t xml:space="preserve">Incoming DDO </w:t>
      </w:r>
      <w:r w:rsidRPr="000665B0">
        <w:t>window indicates Installed (success) or Failed (problems encountered).</w:t>
      </w:r>
    </w:p>
    <w:p w14:paraId="29C5AE12" w14:textId="77777777" w:rsidR="00490426" w:rsidRPr="000665B0" w:rsidRDefault="00490426" w:rsidP="006D5A65">
      <w:pPr>
        <w:pStyle w:val="Heading1"/>
      </w:pPr>
      <w:r w:rsidRPr="000665B0">
        <w:t>The Status column of the DDO textual display will change from Received to Processed or Failed.</w:t>
      </w:r>
    </w:p>
    <w:p w14:paraId="1FB3B9D7" w14:textId="77777777" w:rsidR="00490426" w:rsidRPr="000665B0" w:rsidRDefault="00490426" w:rsidP="006D5A65">
      <w:pPr>
        <w:pStyle w:val="Heading1"/>
      </w:pPr>
      <w:r w:rsidRPr="000665B0">
        <w:t xml:space="preserve">The Status column in the Incoming DDO List View will change from Received to Processed (successful) or remain Received (problems encountered) or Partially Processed (when there are duplicate data). </w:t>
      </w:r>
    </w:p>
    <w:p w14:paraId="4CED23A7" w14:textId="1CF77A7F" w:rsidR="00490426" w:rsidRPr="000665B0" w:rsidRDefault="0037038E" w:rsidP="006D5A65">
      <w:pPr>
        <w:pStyle w:val="Heading1"/>
      </w:pPr>
      <w:r w:rsidRPr="000665B0">
        <w:t>Double-click</w:t>
      </w:r>
      <w:r w:rsidR="00490426" w:rsidRPr="000665B0">
        <w:t>ing each data item will display additional notes/messages regarding the processing of the data item.</w:t>
      </w:r>
    </w:p>
    <w:p w14:paraId="407DA080" w14:textId="1D7A67B3" w:rsidR="005D1A26" w:rsidRPr="000665B0" w:rsidRDefault="00C625FE" w:rsidP="009570CA">
      <w:pPr>
        <w:pStyle w:val="Heading3"/>
      </w:pPr>
      <w:bookmarkStart w:id="4662" w:name="_Toc214283339"/>
      <w:r w:rsidRPr="000665B0">
        <w:t>Forward</w:t>
      </w:r>
      <w:r w:rsidR="005D1A26" w:rsidRPr="000665B0">
        <w:t xml:space="preserve"> DDO Data</w:t>
      </w:r>
      <w:bookmarkEnd w:id="4656"/>
      <w:bookmarkEnd w:id="4657"/>
      <w:bookmarkEnd w:id="4658"/>
      <w:bookmarkEnd w:id="4659"/>
      <w:bookmarkEnd w:id="4660"/>
      <w:bookmarkEnd w:id="4661"/>
      <w:bookmarkEnd w:id="4662"/>
    </w:p>
    <w:p w14:paraId="2E831861" w14:textId="1961207F" w:rsidR="00490426" w:rsidRPr="000665B0" w:rsidRDefault="00490426" w:rsidP="009570CA">
      <w:bookmarkStart w:id="4663" w:name="_Toc71955490"/>
      <w:bookmarkStart w:id="4664" w:name="_Toc96170065"/>
      <w:bookmarkStart w:id="4665" w:name="_Toc96234110"/>
      <w:bookmarkStart w:id="4666" w:name="_Toc112733538"/>
      <w:bookmarkStart w:id="4667" w:name="_Toc289328579"/>
      <w:bookmarkStart w:id="4668" w:name="_Toc312331892"/>
      <w:r w:rsidRPr="000665B0">
        <w:t>Each incoming DDO can be forwarded to another site. Similar to forwarding an email, this simplifies the distribution process of sending the same DDO information without creating a new DDO Template from scratch. It adds all objects within the selected DDO into a new DDO template.</w:t>
      </w:r>
    </w:p>
    <w:p w14:paraId="764B1ED2" w14:textId="77777777" w:rsidR="00490426" w:rsidRPr="000665B0" w:rsidRDefault="00490426" w:rsidP="009570CA">
      <w:r w:rsidRPr="000665B0">
        <w:t>To forward an incoming DDO:</w:t>
      </w:r>
    </w:p>
    <w:p w14:paraId="159EFA83" w14:textId="01B8B92C" w:rsidR="0007393C" w:rsidRPr="0007393C" w:rsidRDefault="00490426" w:rsidP="006D5A65">
      <w:pPr>
        <w:pStyle w:val="Heading1"/>
      </w:pPr>
      <w:r w:rsidRPr="000665B0">
        <w:t>Navigate to the Incoming DDOs Tool and select the desired entry</w:t>
      </w:r>
      <w:r w:rsidR="009A549E">
        <w:t>.</w:t>
      </w:r>
    </w:p>
    <w:p w14:paraId="4B77421C" w14:textId="12CD6F19" w:rsidR="00490426" w:rsidRPr="000665B0" w:rsidRDefault="00490426" w:rsidP="006D5A65">
      <w:pPr>
        <w:pStyle w:val="Heading1"/>
      </w:pPr>
      <w:r w:rsidRPr="000665B0">
        <w:t xml:space="preserve">From the File menu, select Send </w:t>
      </w:r>
      <w:r w:rsidRPr="000665B0">
        <w:sym w:font="Wingdings 3" w:char="F07D"/>
      </w:r>
      <w:r w:rsidRPr="000665B0">
        <w:t xml:space="preserve"> Copy DDO Data to new DDO </w:t>
      </w:r>
      <w:r w:rsidR="00FC4324" w:rsidRPr="000665B0">
        <w:t xml:space="preserve">or invoke the context menu </w:t>
      </w:r>
      <w:r w:rsidRPr="000665B0">
        <w:t xml:space="preserve">(by </w:t>
      </w:r>
      <w:r w:rsidR="00D71804" w:rsidRPr="000665B0">
        <w:t>right-click</w:t>
      </w:r>
      <w:r w:rsidRPr="000665B0">
        <w:t>ing the mouse) and select Copy DDO Data to new DDO.</w:t>
      </w:r>
      <w:r w:rsidR="00CF580F" w:rsidRPr="000665B0">
        <w:t xml:space="preserve"> The </w:t>
      </w:r>
      <w:r w:rsidR="00CF580F" w:rsidRPr="000665B0">
        <w:rPr>
          <w:i/>
        </w:rPr>
        <w:t>DDO Template</w:t>
      </w:r>
      <w:r w:rsidR="00CF580F" w:rsidRPr="000665B0">
        <w:t xml:space="preserve"> window is displayed.</w:t>
      </w:r>
    </w:p>
    <w:p w14:paraId="39300D21" w14:textId="06ABF21F" w:rsidR="00490426" w:rsidRPr="000665B0" w:rsidRDefault="00490426" w:rsidP="006D5A65">
      <w:pPr>
        <w:pStyle w:val="Heading1"/>
      </w:pPr>
      <w:r w:rsidRPr="000665B0">
        <w:t xml:space="preserve">Click the </w:t>
      </w:r>
      <w:r w:rsidR="00CF580F" w:rsidRPr="000665B0">
        <w:rPr>
          <w:bCs/>
        </w:rPr>
        <w:t>To</w:t>
      </w:r>
      <w:r w:rsidR="00CF580F" w:rsidRPr="000665B0">
        <w:t xml:space="preserve"> </w:t>
      </w:r>
      <w:r w:rsidRPr="000665B0">
        <w:t xml:space="preserve">button to </w:t>
      </w:r>
      <w:r w:rsidR="00CF580F" w:rsidRPr="000665B0">
        <w:t>display the Address Book</w:t>
      </w:r>
      <w:r w:rsidRPr="000665B0">
        <w:t>.</w:t>
      </w:r>
    </w:p>
    <w:p w14:paraId="4780BB7A" w14:textId="77777777" w:rsidR="00CF580F" w:rsidRPr="000665B0" w:rsidRDefault="00CF580F" w:rsidP="006D5A65">
      <w:pPr>
        <w:pStyle w:val="Heading1"/>
      </w:pPr>
      <w:r w:rsidRPr="000665B0">
        <w:t>Select the appropriate recipient(s) in the left column of the Address Book and then click To-&gt; in the middle of the window to move the selected recipient(s) to the right column. Click OK when complete.</w:t>
      </w:r>
    </w:p>
    <w:p w14:paraId="2857C7D8" w14:textId="77777777" w:rsidR="00490426" w:rsidRPr="000665B0" w:rsidRDefault="00490426" w:rsidP="006D5A65">
      <w:pPr>
        <w:pStyle w:val="Heading1"/>
      </w:pPr>
      <w:r w:rsidRPr="000665B0">
        <w:t xml:space="preserve">Modify the original Objective field if necessary. </w:t>
      </w:r>
    </w:p>
    <w:p w14:paraId="4A9A74EC" w14:textId="21A4853B" w:rsidR="00490426" w:rsidRPr="000665B0" w:rsidRDefault="00CF580F" w:rsidP="006D5A65">
      <w:pPr>
        <w:pStyle w:val="Heading1"/>
      </w:pPr>
      <w:r w:rsidRPr="000665B0">
        <w:t>From the File menu, select Save or click</w:t>
      </w:r>
      <w:r w:rsidRPr="000665B0" w:rsidDel="00CF580F">
        <w:t xml:space="preserve"> </w:t>
      </w:r>
      <w:r w:rsidR="00490426" w:rsidRPr="000665B0">
        <w:t xml:space="preserve">the </w:t>
      </w:r>
      <w:r w:rsidR="00490426" w:rsidRPr="000665B0">
        <w:rPr>
          <w:bCs/>
        </w:rPr>
        <w:t>Save</w:t>
      </w:r>
      <w:r w:rsidR="00490426" w:rsidRPr="000665B0">
        <w:t xml:space="preserve"> icon from the toolbar.</w:t>
      </w:r>
    </w:p>
    <w:p w14:paraId="41296A2F" w14:textId="3A605101" w:rsidR="00CF580F" w:rsidRPr="000665B0" w:rsidRDefault="00CF580F" w:rsidP="009570CA">
      <w:pPr>
        <w:pStyle w:val="Number0205"/>
        <w:ind w:left="360" w:firstLine="0"/>
      </w:pPr>
      <w:r w:rsidRPr="000665B0">
        <w:t>or</w:t>
      </w:r>
    </w:p>
    <w:p w14:paraId="22845834" w14:textId="44FB1058" w:rsidR="00490426" w:rsidRPr="000665B0" w:rsidRDefault="00CF580F" w:rsidP="006D5A65">
      <w:pPr>
        <w:pStyle w:val="Heading1"/>
      </w:pPr>
      <w:r w:rsidRPr="000665B0">
        <w:t xml:space="preserve">From the File menu, select Send or </w:t>
      </w:r>
      <w:r w:rsidR="00055D7D" w:rsidRPr="000665B0">
        <w:t>click the</w:t>
      </w:r>
      <w:r w:rsidR="00490426" w:rsidRPr="000665B0">
        <w:t xml:space="preserve"> </w:t>
      </w:r>
      <w:r w:rsidR="00490426" w:rsidRPr="000665B0">
        <w:rPr>
          <w:bCs/>
        </w:rPr>
        <w:t>Send</w:t>
      </w:r>
      <w:r w:rsidR="00490426" w:rsidRPr="000665B0">
        <w:t xml:space="preserve"> icon from the toolbar.</w:t>
      </w:r>
    </w:p>
    <w:p w14:paraId="4A388DE5" w14:textId="6EAED9F5" w:rsidR="005D1A26" w:rsidRPr="000665B0" w:rsidRDefault="00C625FE" w:rsidP="00694C9E">
      <w:pPr>
        <w:pStyle w:val="Heading3"/>
        <w:keepLines/>
      </w:pPr>
      <w:bookmarkStart w:id="4669" w:name="_Toc214283340"/>
      <w:r w:rsidRPr="000665B0">
        <w:t xml:space="preserve">Forward </w:t>
      </w:r>
      <w:r w:rsidR="005D1A26" w:rsidRPr="000665B0">
        <w:t>DDO</w:t>
      </w:r>
      <w:bookmarkEnd w:id="4663"/>
      <w:r w:rsidR="005D1A26" w:rsidRPr="000665B0">
        <w:t xml:space="preserve"> Manifest</w:t>
      </w:r>
      <w:bookmarkEnd w:id="4664"/>
      <w:bookmarkEnd w:id="4665"/>
      <w:bookmarkEnd w:id="4666"/>
      <w:bookmarkEnd w:id="4667"/>
      <w:bookmarkEnd w:id="4668"/>
      <w:bookmarkEnd w:id="4669"/>
    </w:p>
    <w:p w14:paraId="7051487C" w14:textId="77777777" w:rsidR="00CF580F" w:rsidRPr="000665B0" w:rsidRDefault="00CF580F" w:rsidP="00694C9E">
      <w:pPr>
        <w:keepNext/>
        <w:keepLines/>
      </w:pPr>
      <w:r w:rsidRPr="000665B0">
        <w:t>Each incoming DDO can be forwarded to another site. Similar to forwarding an email, this simplifies the distribution process of sending the same DDO information without creating a new DDO Template from scratch. This functionality adds the DDO manifest only (not the DDO data) from the selected DDO into a new DDO template.</w:t>
      </w:r>
    </w:p>
    <w:p w14:paraId="7956A27F" w14:textId="77777777" w:rsidR="00CF580F" w:rsidRPr="000665B0" w:rsidRDefault="00CF580F" w:rsidP="009570CA">
      <w:r w:rsidRPr="000665B0">
        <w:t>To forward an incoming DDO:</w:t>
      </w:r>
    </w:p>
    <w:p w14:paraId="0BA4E03F" w14:textId="77777777" w:rsidR="00CF580F" w:rsidRPr="000665B0" w:rsidRDefault="00CF580F" w:rsidP="006D5A65">
      <w:pPr>
        <w:pStyle w:val="Heading1"/>
      </w:pPr>
      <w:r w:rsidRPr="000665B0">
        <w:lastRenderedPageBreak/>
        <w:t>Navigate to the Incoming DDOs Tool and select the desired entry.</w:t>
      </w:r>
    </w:p>
    <w:p w14:paraId="4F3B78F9" w14:textId="77777777" w:rsidR="00CF580F" w:rsidRPr="000665B0" w:rsidRDefault="00CF580F" w:rsidP="006D5A65">
      <w:pPr>
        <w:pStyle w:val="Heading1"/>
      </w:pPr>
      <w:r w:rsidRPr="000665B0">
        <w:t xml:space="preserve">From the File menu select Send </w:t>
      </w:r>
      <w:r w:rsidRPr="000665B0">
        <w:sym w:font="Wingdings 3" w:char="F07D"/>
      </w:r>
      <w:r w:rsidRPr="000665B0">
        <w:t xml:space="preserve"> Copy DDO Manifest to new DDO… or invoke the context menu (right-click the mouse) and select Send </w:t>
      </w:r>
      <w:r w:rsidRPr="000665B0">
        <w:sym w:font="Wingdings 3" w:char="F07D"/>
      </w:r>
      <w:r w:rsidRPr="000665B0">
        <w:t xml:space="preserve"> Copy DDO Manifest to new DDO…. The </w:t>
      </w:r>
      <w:r w:rsidRPr="000665B0">
        <w:rPr>
          <w:i/>
        </w:rPr>
        <w:t>DDO Template</w:t>
      </w:r>
      <w:r w:rsidRPr="000665B0">
        <w:t xml:space="preserve"> window is displayed.</w:t>
      </w:r>
    </w:p>
    <w:p w14:paraId="379CC91E" w14:textId="77777777" w:rsidR="00CF580F" w:rsidRPr="000665B0" w:rsidRDefault="00CF580F" w:rsidP="006D5A65">
      <w:pPr>
        <w:pStyle w:val="Heading1"/>
      </w:pPr>
      <w:r w:rsidRPr="000665B0">
        <w:t>Click the To button to display the Address Book.</w:t>
      </w:r>
    </w:p>
    <w:p w14:paraId="14DC4384" w14:textId="77777777" w:rsidR="00CF580F" w:rsidRPr="000665B0" w:rsidRDefault="00CF580F" w:rsidP="006D5A65">
      <w:pPr>
        <w:pStyle w:val="Heading1"/>
      </w:pPr>
      <w:r w:rsidRPr="000665B0">
        <w:t>Select the appropriate recipient(s) in the left column of the Address Book and then click To-&gt; in the middle of the window to move the selected recipient(s) to the right column. Click OK when complete.</w:t>
      </w:r>
    </w:p>
    <w:p w14:paraId="6116DA98" w14:textId="77777777" w:rsidR="00CF580F" w:rsidRPr="000665B0" w:rsidRDefault="00CF580F" w:rsidP="006D5A65">
      <w:pPr>
        <w:pStyle w:val="Heading1"/>
      </w:pPr>
      <w:r w:rsidRPr="000665B0">
        <w:t xml:space="preserve">Modify the original Objective field if necessary. </w:t>
      </w:r>
    </w:p>
    <w:p w14:paraId="44CCE989" w14:textId="77777777" w:rsidR="00CF580F" w:rsidRPr="000665B0" w:rsidRDefault="00CF580F" w:rsidP="006D5A65">
      <w:pPr>
        <w:pStyle w:val="Heading1"/>
      </w:pPr>
      <w:r w:rsidRPr="000665B0">
        <w:t xml:space="preserve">From the </w:t>
      </w:r>
      <w:r w:rsidRPr="000665B0">
        <w:rPr>
          <w:iCs/>
        </w:rPr>
        <w:t>File</w:t>
      </w:r>
      <w:r w:rsidRPr="000665B0">
        <w:t xml:space="preserve"> menu, select </w:t>
      </w:r>
      <w:r w:rsidRPr="000665B0">
        <w:rPr>
          <w:bCs/>
        </w:rPr>
        <w:t>Save or c</w:t>
      </w:r>
      <w:r w:rsidRPr="000665B0">
        <w:t xml:space="preserve">lick the Save </w:t>
      </w:r>
      <w:r w:rsidRPr="000665B0">
        <w:rPr>
          <w:noProof/>
        </w:rPr>
        <w:drawing>
          <wp:inline distT="0" distB="0" distL="0" distR="0" wp14:anchorId="39DC0FB9" wp14:editId="792BFAC1">
            <wp:extent cx="158750" cy="158750"/>
            <wp:effectExtent l="0" t="0" r="0" b="0"/>
            <wp:docPr id="1645" name="Picture 1645" descr="Description: 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Description: save%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icon on the toolbar.</w:t>
      </w:r>
    </w:p>
    <w:p w14:paraId="04281154" w14:textId="77777777" w:rsidR="00CF580F" w:rsidRPr="000665B0" w:rsidRDefault="00CF580F" w:rsidP="009570CA">
      <w:pPr>
        <w:pStyle w:val="Number0205"/>
        <w:ind w:left="360" w:firstLine="0"/>
      </w:pPr>
      <w:r w:rsidRPr="000665B0">
        <w:t>or</w:t>
      </w:r>
    </w:p>
    <w:p w14:paraId="76A85D35" w14:textId="7AF03B11" w:rsidR="005D1A26" w:rsidRPr="000665B0" w:rsidRDefault="00CF580F" w:rsidP="006D5A65">
      <w:pPr>
        <w:pStyle w:val="Heading1"/>
      </w:pPr>
      <w:r w:rsidRPr="000665B0">
        <w:t xml:space="preserve">From the File menu select Send or click the Send </w:t>
      </w:r>
      <w:r w:rsidRPr="000665B0">
        <w:rPr>
          <w:noProof/>
        </w:rPr>
        <w:drawing>
          <wp:inline distT="0" distB="0" distL="0" distR="0" wp14:anchorId="1502C5D4" wp14:editId="273FB89F">
            <wp:extent cx="158750" cy="158750"/>
            <wp:effectExtent l="0" t="0" r="0" b="0"/>
            <wp:docPr id="1647" name="Picture 1647"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icon on the toolbar.</w:t>
      </w:r>
    </w:p>
    <w:p w14:paraId="340CC459" w14:textId="0DADFF19" w:rsidR="00EB660C" w:rsidRPr="000665B0" w:rsidRDefault="00EB660C" w:rsidP="009570CA">
      <w:pPr>
        <w:pStyle w:val="Heading3"/>
      </w:pPr>
      <w:bookmarkStart w:id="4670" w:name="_5.23.4__Incoming_DDOs_Notifications"/>
      <w:bookmarkStart w:id="4671" w:name="_5.23.4__Configuing"/>
      <w:bookmarkStart w:id="4672" w:name="_5.23.4__Configuring"/>
      <w:bookmarkStart w:id="4673" w:name="_Configuring_Automatic_DDO"/>
      <w:bookmarkStart w:id="4674" w:name="_Toc289328580"/>
      <w:bookmarkStart w:id="4675" w:name="_Toc312331893"/>
      <w:bookmarkStart w:id="4676" w:name="_Toc214283341"/>
      <w:bookmarkStart w:id="4677" w:name="_Toc71955492"/>
      <w:bookmarkStart w:id="4678" w:name="_Toc96170066"/>
      <w:bookmarkStart w:id="4679" w:name="_Toc96234111"/>
      <w:bookmarkStart w:id="4680" w:name="_Toc112733539"/>
      <w:bookmarkEnd w:id="4670"/>
      <w:bookmarkEnd w:id="4671"/>
      <w:bookmarkEnd w:id="4672"/>
      <w:bookmarkEnd w:id="4673"/>
      <w:r w:rsidRPr="000665B0">
        <w:t>Configu</w:t>
      </w:r>
      <w:r w:rsidR="008D3D8B" w:rsidRPr="000665B0">
        <w:t>r</w:t>
      </w:r>
      <w:r w:rsidRPr="000665B0">
        <w:t>ing Automatic DDO Processing</w:t>
      </w:r>
      <w:bookmarkEnd w:id="4674"/>
      <w:bookmarkEnd w:id="4675"/>
      <w:bookmarkEnd w:id="4676"/>
    </w:p>
    <w:p w14:paraId="68D55B2D" w14:textId="77777777" w:rsidR="00490426" w:rsidRPr="000665B0" w:rsidRDefault="00490426" w:rsidP="009570CA">
      <w:bookmarkStart w:id="4681" w:name="_Toc71955499"/>
      <w:bookmarkStart w:id="4682" w:name="_Toc96170071"/>
      <w:bookmarkStart w:id="4683" w:name="_Toc96234116"/>
      <w:bookmarkStart w:id="4684" w:name="_Toc112733544"/>
      <w:bookmarkStart w:id="4685" w:name="_Toc289328581"/>
      <w:bookmarkStart w:id="4686" w:name="_Toc312331894"/>
      <w:r w:rsidRPr="000665B0">
        <w:t>MDS offers the capability to automatically process the data items from an Incoming DDO once they are received from another node. This is useful so that the operator does not have to constantly keep checking for Incoming DDOs to see if the data has been processed.</w:t>
      </w:r>
    </w:p>
    <w:p w14:paraId="5C17CD2D" w14:textId="77777777" w:rsidR="00490426" w:rsidRPr="000665B0" w:rsidRDefault="00490426" w:rsidP="009570CA">
      <w:pPr>
        <w:keepNext/>
      </w:pPr>
      <w:r w:rsidRPr="000665B0">
        <w:t>To configure the DDO Processing properties:</w:t>
      </w:r>
    </w:p>
    <w:p w14:paraId="18270C8B" w14:textId="77777777" w:rsidR="00490426" w:rsidRPr="000665B0" w:rsidRDefault="00490426" w:rsidP="006D5A65">
      <w:pPr>
        <w:pStyle w:val="Heading1"/>
      </w:pPr>
      <w:r w:rsidRPr="000665B0">
        <w:t>Navigate to the Incoming DDO Tool.</w:t>
      </w:r>
    </w:p>
    <w:p w14:paraId="2D18F821" w14:textId="77777777" w:rsidR="00490426" w:rsidRPr="000665B0" w:rsidRDefault="00490426" w:rsidP="006D5A65">
      <w:pPr>
        <w:pStyle w:val="Heading1"/>
      </w:pPr>
      <w:r w:rsidRPr="000665B0">
        <w:t xml:space="preserve">Click on View </w:t>
      </w:r>
      <w:r w:rsidR="00BF52AC" w:rsidRPr="000665B0">
        <w:sym w:font="Wingdings" w:char="F0E0"/>
      </w:r>
      <w:r w:rsidRPr="000665B0">
        <w:t xml:space="preserve"> Properties. </w:t>
      </w:r>
      <w:r w:rsidR="00736C8D" w:rsidRPr="000665B0">
        <w:t xml:space="preserve">The </w:t>
      </w:r>
      <w:r w:rsidRPr="000665B0">
        <w:rPr>
          <w:i/>
        </w:rPr>
        <w:t xml:space="preserve">Incoming DDO Properties </w:t>
      </w:r>
      <w:r w:rsidRPr="000665B0">
        <w:t>window is displayed.</w:t>
      </w:r>
    </w:p>
    <w:p w14:paraId="31F3D657" w14:textId="6D16FCB9" w:rsidR="00490426" w:rsidRPr="000665B0" w:rsidRDefault="00CF580F" w:rsidP="009570CA">
      <w:pPr>
        <w:jc w:val="center"/>
      </w:pPr>
      <w:r w:rsidRPr="000665B0">
        <w:rPr>
          <w:noProof/>
        </w:rPr>
        <w:drawing>
          <wp:inline distT="0" distB="0" distL="0" distR="0" wp14:anchorId="7A3162C7" wp14:editId="40500621">
            <wp:extent cx="2743200" cy="164592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645920"/>
                    </a:xfrm>
                    <a:prstGeom prst="rect">
                      <a:avLst/>
                    </a:prstGeom>
                  </pic:spPr>
                </pic:pic>
              </a:graphicData>
            </a:graphic>
          </wp:inline>
        </w:drawing>
      </w:r>
    </w:p>
    <w:p w14:paraId="7272A4F7" w14:textId="25EA47A9" w:rsidR="00490426" w:rsidRPr="000665B0" w:rsidRDefault="00490426" w:rsidP="006D5A65">
      <w:pPr>
        <w:pStyle w:val="Heading1"/>
      </w:pPr>
      <w:r w:rsidRPr="000665B0">
        <w:lastRenderedPageBreak/>
        <w:t xml:space="preserve">Click the DDO Processing… button. The </w:t>
      </w:r>
      <w:r w:rsidRPr="000665B0">
        <w:rPr>
          <w:i/>
        </w:rPr>
        <w:t>Auto-Processing Preferences</w:t>
      </w:r>
      <w:r w:rsidRPr="000665B0">
        <w:t xml:space="preserve"> window is displayed.</w:t>
      </w:r>
    </w:p>
    <w:p w14:paraId="332F7E02" w14:textId="770B26DF" w:rsidR="00490426" w:rsidRPr="000665B0" w:rsidRDefault="005D732C" w:rsidP="009570CA">
      <w:pPr>
        <w:jc w:val="center"/>
      </w:pPr>
      <w:r w:rsidRPr="000665B0">
        <w:rPr>
          <w:noProof/>
        </w:rPr>
        <w:drawing>
          <wp:inline distT="0" distB="0" distL="0" distR="0" wp14:anchorId="29722540" wp14:editId="4773F178">
            <wp:extent cx="2743200" cy="2496312"/>
            <wp:effectExtent l="0" t="0" r="0" b="0"/>
            <wp:docPr id="1608" name="Picture 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43200" cy="2496312"/>
                    </a:xfrm>
                    <a:prstGeom prst="rect">
                      <a:avLst/>
                    </a:prstGeom>
                  </pic:spPr>
                </pic:pic>
              </a:graphicData>
            </a:graphic>
          </wp:inline>
        </w:drawing>
      </w:r>
      <w:r w:rsidR="009B229C" w:rsidRPr="000665B0">
        <w:rPr>
          <w:noProof/>
        </w:rPr>
        <w:t xml:space="preserve"> </w:t>
      </w:r>
    </w:p>
    <w:p w14:paraId="4001EA51" w14:textId="77777777" w:rsidR="00490426" w:rsidRPr="000665B0" w:rsidRDefault="00490426" w:rsidP="006D5A65">
      <w:pPr>
        <w:pStyle w:val="Heading1"/>
      </w:pPr>
      <w:r w:rsidRPr="000665B0">
        <w:t>To select which Data Types are automatically processed:</w:t>
      </w:r>
    </w:p>
    <w:p w14:paraId="6CD772E5" w14:textId="01FD5BBA" w:rsidR="00CF580F" w:rsidRPr="000665B0" w:rsidRDefault="00CF580F" w:rsidP="006D5A65">
      <w:pPr>
        <w:pStyle w:val="Heading2"/>
      </w:pPr>
      <w:r w:rsidRPr="000665B0">
        <w:t xml:space="preserve">Move the items To/From the Available Data Types/Auto Process Data Types list boxes by either </w:t>
      </w:r>
      <w:r w:rsidR="0037038E" w:rsidRPr="000665B0">
        <w:t>double-click</w:t>
      </w:r>
      <w:r w:rsidRPr="000665B0">
        <w:t xml:space="preserve">ing on the </w:t>
      </w:r>
      <w:r w:rsidR="00FC6B75" w:rsidRPr="000665B0">
        <w:t>item or</w:t>
      </w:r>
      <w:r w:rsidRPr="000665B0">
        <w:t xml:space="preserve"> selecting the item(s) and clicking on the Add -&gt; or &lt;- Remove button. To select multiple items, click the items while holding the Ctrl button on the </w:t>
      </w:r>
      <w:r w:rsidR="00E3132C" w:rsidRPr="000665B0">
        <w:t>keyboard.</w:t>
      </w:r>
    </w:p>
    <w:p w14:paraId="205FA4C5" w14:textId="77777777" w:rsidR="00CF580F" w:rsidRPr="000665B0" w:rsidRDefault="00CF580F" w:rsidP="006D5A65">
      <w:pPr>
        <w:pStyle w:val="Heading2"/>
      </w:pPr>
      <w:r w:rsidRPr="000665B0">
        <w:t xml:space="preserve">To display all fields, click on the Add All -&gt;&gt; button. To remove all fields, click the &lt;&lt;- Remove All button. </w:t>
      </w:r>
    </w:p>
    <w:p w14:paraId="28765BDE" w14:textId="477C87BB" w:rsidR="00490426" w:rsidRPr="000665B0" w:rsidRDefault="00CF580F" w:rsidP="006D5A65">
      <w:pPr>
        <w:pStyle w:val="Heading2"/>
      </w:pPr>
      <w:r w:rsidRPr="000665B0">
        <w:t>If it becomes necessary to revert back to the original state, click the Restore Default button.</w:t>
      </w:r>
    </w:p>
    <w:p w14:paraId="5FAF216C" w14:textId="1E4B9D15" w:rsidR="00490426" w:rsidRPr="000665B0" w:rsidRDefault="00490426" w:rsidP="006D5A65">
      <w:pPr>
        <w:pStyle w:val="Heading1"/>
      </w:pPr>
      <w:r w:rsidRPr="000665B0">
        <w:t>Click OK.</w:t>
      </w:r>
    </w:p>
    <w:p w14:paraId="5CA21AE7" w14:textId="77777777" w:rsidR="00490426" w:rsidRPr="000665B0" w:rsidRDefault="0049042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90" w:right="90"/>
        <w:jc w:val="center"/>
        <w:rPr>
          <w:b/>
        </w:rPr>
      </w:pPr>
      <w:r w:rsidRPr="000665B0">
        <w:rPr>
          <w:b/>
        </w:rPr>
        <w:t xml:space="preserve">Note: </w:t>
      </w:r>
    </w:p>
    <w:p w14:paraId="51EEF49F" w14:textId="053C15B3" w:rsidR="00736C8D" w:rsidRPr="000665B0" w:rsidRDefault="0049042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90" w:right="90"/>
        <w:jc w:val="center"/>
        <w:rPr>
          <w:b/>
        </w:rPr>
      </w:pPr>
      <w:r w:rsidRPr="000665B0">
        <w:rPr>
          <w:b/>
        </w:rPr>
        <w:t>To Auto Process files being received locally</w:t>
      </w:r>
      <w:r w:rsidR="00CF580F" w:rsidRPr="000665B0">
        <w:rPr>
          <w:b/>
        </w:rPr>
        <w:t>,</w:t>
      </w:r>
      <w:r w:rsidRPr="000665B0">
        <w:rPr>
          <w:b/>
        </w:rPr>
        <w:t xml:space="preserve"> </w:t>
      </w:r>
      <w:r w:rsidR="00CF580F" w:rsidRPr="000665B0">
        <w:rPr>
          <w:b/>
        </w:rPr>
        <w:t>select</w:t>
      </w:r>
      <w:r w:rsidRPr="000665B0">
        <w:rPr>
          <w:b/>
        </w:rPr>
        <w:t xml:space="preserve"> the </w:t>
      </w:r>
      <w:r w:rsidRPr="000665B0">
        <w:rPr>
          <w:b/>
          <w:i/>
        </w:rPr>
        <w:t xml:space="preserve">Auto Process </w:t>
      </w:r>
      <w:r w:rsidR="00CF580F" w:rsidRPr="000665B0">
        <w:rPr>
          <w:b/>
          <w:i/>
        </w:rPr>
        <w:t xml:space="preserve">All </w:t>
      </w:r>
      <w:r w:rsidRPr="000665B0">
        <w:rPr>
          <w:b/>
          <w:i/>
        </w:rPr>
        <w:t>Received File</w:t>
      </w:r>
      <w:r w:rsidR="00CF580F" w:rsidRPr="000665B0">
        <w:rPr>
          <w:b/>
          <w:i/>
        </w:rPr>
        <w:t xml:space="preserve"> Data Types</w:t>
      </w:r>
      <w:r w:rsidRPr="000665B0">
        <w:rPr>
          <w:b/>
        </w:rPr>
        <w:t xml:space="preserve"> checkbox </w:t>
      </w:r>
      <w:r w:rsidR="00CF580F" w:rsidRPr="000665B0">
        <w:rPr>
          <w:b/>
        </w:rPr>
        <w:t>in the Received Files pane</w:t>
      </w:r>
      <w:r w:rsidRPr="000665B0">
        <w:rPr>
          <w:b/>
        </w:rPr>
        <w:t>.</w:t>
      </w:r>
    </w:p>
    <w:p w14:paraId="572B5665" w14:textId="77777777" w:rsidR="00736C8D" w:rsidRPr="000665B0" w:rsidRDefault="00736C8D" w:rsidP="009570CA">
      <w:pPr>
        <w:spacing w:after="0"/>
        <w:ind w:left="90" w:right="90"/>
      </w:pPr>
    </w:p>
    <w:p w14:paraId="50FCBB0A" w14:textId="77777777" w:rsidR="005A04DD" w:rsidRPr="000665B0" w:rsidRDefault="005A04DD" w:rsidP="009570CA">
      <w:pPr>
        <w:pBdr>
          <w:top w:val="single" w:sz="12" w:space="1" w:color="auto"/>
          <w:left w:val="single" w:sz="12" w:space="4" w:color="auto"/>
          <w:bottom w:val="single" w:sz="12" w:space="1" w:color="auto"/>
          <w:right w:val="single" w:sz="12" w:space="4" w:color="auto"/>
        </w:pBdr>
        <w:shd w:val="clear" w:color="auto" w:fill="D9D9D9"/>
        <w:spacing w:after="0"/>
        <w:ind w:left="90" w:right="90"/>
        <w:jc w:val="center"/>
        <w:rPr>
          <w:b/>
        </w:rPr>
      </w:pPr>
      <w:r w:rsidRPr="000665B0">
        <w:rPr>
          <w:b/>
        </w:rPr>
        <w:t xml:space="preserve">Note: </w:t>
      </w:r>
    </w:p>
    <w:p w14:paraId="0AA05297" w14:textId="77777777" w:rsidR="005A04DD" w:rsidRPr="000665B0" w:rsidRDefault="005A04DD"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90" w:right="90"/>
        <w:jc w:val="center"/>
        <w:rPr>
          <w:b/>
        </w:rPr>
      </w:pPr>
      <w:r w:rsidRPr="000665B0">
        <w:rPr>
          <w:b/>
        </w:rPr>
        <w:t>Auto Processing is disabled for any Incoming DDO sent from TED 5.X in MDS 4.5 or earlier format via Comms.</w:t>
      </w:r>
    </w:p>
    <w:p w14:paraId="438D2A2C" w14:textId="67201209" w:rsidR="002A3F01" w:rsidRPr="000665B0" w:rsidRDefault="002A3F01" w:rsidP="009570CA">
      <w:pPr>
        <w:pStyle w:val="Heading3"/>
      </w:pPr>
      <w:bookmarkStart w:id="4687" w:name="_Toc214283342"/>
      <w:r w:rsidRPr="000665B0">
        <w:t>Properties</w:t>
      </w:r>
      <w:bookmarkEnd w:id="4681"/>
      <w:bookmarkEnd w:id="4682"/>
      <w:bookmarkEnd w:id="4683"/>
      <w:bookmarkEnd w:id="4684"/>
      <w:bookmarkEnd w:id="4685"/>
      <w:bookmarkEnd w:id="4686"/>
      <w:bookmarkEnd w:id="4687"/>
    </w:p>
    <w:p w14:paraId="07B678B4" w14:textId="4768608D" w:rsidR="00490426" w:rsidRPr="000665B0" w:rsidRDefault="00F02F03" w:rsidP="009570CA">
      <w:pPr>
        <w:pStyle w:val="BodyText"/>
        <w:spacing w:after="120"/>
      </w:pPr>
      <w:bookmarkStart w:id="4688" w:name="_Toc289328582"/>
      <w:bookmarkStart w:id="4689" w:name="_Toc312331895"/>
      <w:r w:rsidRPr="000665B0">
        <w:t>See</w:t>
      </w:r>
      <w:r w:rsidR="00C625FE" w:rsidRPr="000665B0">
        <w:t xml:space="preserve"> </w:t>
      </w:r>
      <w:hyperlink w:anchor="_5.2.3.4__Properties" w:history="1">
        <w:r w:rsidR="00A75813" w:rsidRPr="000665B0">
          <w:rPr>
            <w:rStyle w:val="Hyperlink"/>
          </w:rPr>
          <w:t>Section 5.2.3.5</w:t>
        </w:r>
      </w:hyperlink>
      <w:r w:rsidR="00C625FE" w:rsidRPr="000665B0">
        <w:t>.</w:t>
      </w:r>
    </w:p>
    <w:p w14:paraId="7E414CBB" w14:textId="5460C6B3" w:rsidR="005D1A26" w:rsidRPr="000665B0" w:rsidRDefault="005D1A26" w:rsidP="009570CA">
      <w:pPr>
        <w:pStyle w:val="Heading3"/>
      </w:pPr>
      <w:bookmarkStart w:id="4690" w:name="_Toc214283343"/>
      <w:r w:rsidRPr="000665B0">
        <w:lastRenderedPageBreak/>
        <w:t>Find</w:t>
      </w:r>
      <w:bookmarkEnd w:id="4677"/>
      <w:bookmarkEnd w:id="4678"/>
      <w:bookmarkEnd w:id="4679"/>
      <w:bookmarkEnd w:id="4680"/>
      <w:bookmarkEnd w:id="4688"/>
      <w:bookmarkEnd w:id="4689"/>
      <w:bookmarkEnd w:id="4690"/>
    </w:p>
    <w:p w14:paraId="2A299CBE" w14:textId="3F43A017" w:rsidR="005D1A26" w:rsidRPr="000665B0" w:rsidRDefault="00F02F03" w:rsidP="009570CA">
      <w:pPr>
        <w:spacing w:after="0"/>
      </w:pPr>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48C04490" w14:textId="77777777" w:rsidR="00C133A3" w:rsidRPr="000665B0" w:rsidRDefault="00C133A3" w:rsidP="009570CA">
      <w:pPr>
        <w:pStyle w:val="Heading3"/>
      </w:pPr>
      <w:bookmarkStart w:id="4691" w:name="_Toc214283344"/>
      <w:r w:rsidRPr="000665B0">
        <w:t>Plugin Tool</w:t>
      </w:r>
      <w:bookmarkEnd w:id="4691"/>
    </w:p>
    <w:p w14:paraId="7518DB99" w14:textId="55FBFAC4" w:rsidR="00C133A3" w:rsidRPr="000665B0" w:rsidRDefault="00F02F03" w:rsidP="009570CA">
      <w:pPr>
        <w:spacing w:after="0"/>
      </w:pPr>
      <w:r w:rsidRPr="000665B0">
        <w:t>See</w:t>
      </w:r>
      <w:r w:rsidR="00C133A3" w:rsidRPr="000665B0">
        <w:t xml:space="preserve"> </w:t>
      </w:r>
      <w:hyperlink w:anchor="_Plugin__Tool" w:history="1">
        <w:r w:rsidR="00C133A3" w:rsidRPr="000665B0">
          <w:rPr>
            <w:rStyle w:val="Hyperlink"/>
          </w:rPr>
          <w:t>Section 5.2.5.2</w:t>
        </w:r>
      </w:hyperlink>
      <w:r w:rsidR="00C133A3" w:rsidRPr="000665B0">
        <w:t>.</w:t>
      </w:r>
    </w:p>
    <w:p w14:paraId="196EF3C7" w14:textId="1CD853C1" w:rsidR="005D1A26" w:rsidRPr="000665B0" w:rsidRDefault="00277DCD" w:rsidP="009570CA">
      <w:pPr>
        <w:pStyle w:val="Heading3"/>
      </w:pPr>
      <w:bookmarkStart w:id="4692" w:name="_Toc71955493"/>
      <w:bookmarkStart w:id="4693" w:name="_Toc96170067"/>
      <w:bookmarkStart w:id="4694" w:name="_Toc96234112"/>
      <w:bookmarkStart w:id="4695" w:name="_Toc112733540"/>
      <w:bookmarkStart w:id="4696" w:name="_Toc289328583"/>
      <w:bookmarkStart w:id="4697" w:name="_Toc312331896"/>
      <w:bookmarkStart w:id="4698" w:name="_Toc214283345"/>
      <w:r w:rsidRPr="000665B0">
        <w:t>Print All</w:t>
      </w:r>
      <w:bookmarkEnd w:id="4692"/>
      <w:bookmarkEnd w:id="4693"/>
      <w:bookmarkEnd w:id="4694"/>
      <w:bookmarkEnd w:id="4695"/>
      <w:bookmarkEnd w:id="4696"/>
      <w:bookmarkEnd w:id="4697"/>
      <w:bookmarkEnd w:id="4698"/>
    </w:p>
    <w:p w14:paraId="508AC919" w14:textId="4D2AC357" w:rsidR="005D1A26" w:rsidRPr="000665B0" w:rsidRDefault="00F02F03" w:rsidP="009570CA">
      <w:pPr>
        <w:spacing w:after="0"/>
      </w:pPr>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77519992" w14:textId="129E4C1F" w:rsidR="005D1A26" w:rsidRPr="000665B0" w:rsidRDefault="00277DCD" w:rsidP="009570CA">
      <w:pPr>
        <w:pStyle w:val="Heading3"/>
      </w:pPr>
      <w:bookmarkStart w:id="4699" w:name="_Toc71955494"/>
      <w:bookmarkStart w:id="4700" w:name="_Toc96170068"/>
      <w:bookmarkStart w:id="4701" w:name="_Toc96234113"/>
      <w:bookmarkStart w:id="4702" w:name="_Toc112733541"/>
      <w:bookmarkStart w:id="4703" w:name="_Toc289328584"/>
      <w:bookmarkStart w:id="4704" w:name="_Toc312331897"/>
      <w:bookmarkStart w:id="4705" w:name="_Toc214283346"/>
      <w:r w:rsidRPr="000665B0">
        <w:t>Display All in Excel</w:t>
      </w:r>
      <w:bookmarkEnd w:id="4699"/>
      <w:bookmarkEnd w:id="4700"/>
      <w:bookmarkEnd w:id="4701"/>
      <w:bookmarkEnd w:id="4702"/>
      <w:bookmarkEnd w:id="4703"/>
      <w:bookmarkEnd w:id="4704"/>
      <w:bookmarkEnd w:id="4705"/>
    </w:p>
    <w:p w14:paraId="107D7FE9" w14:textId="73B856F1" w:rsidR="005D1A26" w:rsidRPr="000665B0" w:rsidRDefault="00F02F03" w:rsidP="009570CA">
      <w:pPr>
        <w:spacing w:after="0"/>
      </w:pPr>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39A0C983" w14:textId="597D1FC7" w:rsidR="005D1A26" w:rsidRPr="000665B0" w:rsidRDefault="005D1A26" w:rsidP="009570CA">
      <w:pPr>
        <w:pStyle w:val="Heading3"/>
      </w:pPr>
      <w:bookmarkStart w:id="4706" w:name="_Toc71955495"/>
      <w:bookmarkStart w:id="4707" w:name="_Toc96170069"/>
      <w:bookmarkStart w:id="4708" w:name="_Toc96234114"/>
      <w:bookmarkStart w:id="4709" w:name="_Toc112733542"/>
      <w:bookmarkStart w:id="4710" w:name="_Toc289328585"/>
      <w:bookmarkStart w:id="4711" w:name="_Toc312331898"/>
      <w:bookmarkStart w:id="4712" w:name="_Toc214283347"/>
      <w:r w:rsidRPr="000665B0">
        <w:t>Select All</w:t>
      </w:r>
      <w:bookmarkEnd w:id="4706"/>
      <w:bookmarkEnd w:id="4707"/>
      <w:bookmarkEnd w:id="4708"/>
      <w:bookmarkEnd w:id="4709"/>
      <w:bookmarkEnd w:id="4710"/>
      <w:bookmarkEnd w:id="4711"/>
      <w:bookmarkEnd w:id="4712"/>
    </w:p>
    <w:p w14:paraId="685F8572" w14:textId="616C652C" w:rsidR="005D1A26" w:rsidRPr="000665B0" w:rsidRDefault="00F02F03" w:rsidP="009570CA">
      <w:pPr>
        <w:spacing w:after="0"/>
      </w:pPr>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338F64F8" w14:textId="6F71A517" w:rsidR="005D1A26" w:rsidRPr="000665B0" w:rsidRDefault="005D1A26" w:rsidP="009570CA">
      <w:pPr>
        <w:pStyle w:val="Heading3"/>
      </w:pPr>
      <w:bookmarkStart w:id="4713" w:name="_Toc71955497"/>
      <w:bookmarkStart w:id="4714" w:name="_Toc96170070"/>
      <w:bookmarkStart w:id="4715" w:name="_Toc96234115"/>
      <w:bookmarkStart w:id="4716" w:name="_Toc112733543"/>
      <w:bookmarkStart w:id="4717" w:name="_Toc289328586"/>
      <w:bookmarkStart w:id="4718" w:name="_Toc312331899"/>
      <w:bookmarkStart w:id="4719" w:name="_Toc214283348"/>
      <w:r w:rsidRPr="000665B0">
        <w:t>Delete</w:t>
      </w:r>
      <w:bookmarkEnd w:id="4713"/>
      <w:bookmarkEnd w:id="4714"/>
      <w:bookmarkEnd w:id="4715"/>
      <w:bookmarkEnd w:id="4716"/>
      <w:bookmarkEnd w:id="4717"/>
      <w:bookmarkEnd w:id="4718"/>
      <w:bookmarkEnd w:id="4719"/>
    </w:p>
    <w:p w14:paraId="1F214FEB" w14:textId="35C86925" w:rsidR="005D1A26" w:rsidRPr="000665B0" w:rsidRDefault="00F02F03" w:rsidP="009570CA">
      <w:pPr>
        <w:spacing w:after="0"/>
      </w:pPr>
      <w:r w:rsidRPr="000665B0">
        <w:t>See</w:t>
      </w:r>
      <w:r w:rsidR="005D1A26" w:rsidRPr="000665B0">
        <w:t xml:space="preserve"> </w:t>
      </w:r>
      <w:hyperlink w:anchor="_5.2.1.6__Delete" w:history="1">
        <w:r w:rsidR="005D1A26" w:rsidRPr="000665B0">
          <w:rPr>
            <w:rStyle w:val="Hyperlink"/>
          </w:rPr>
          <w:t xml:space="preserve">Section </w:t>
        </w:r>
        <w:r w:rsidR="00743590" w:rsidRPr="000665B0">
          <w:rPr>
            <w:rStyle w:val="Hyperlink"/>
          </w:rPr>
          <w:t>5.2.1.</w:t>
        </w:r>
        <w:r w:rsidR="00B9720D" w:rsidRPr="000665B0">
          <w:rPr>
            <w:rStyle w:val="Hyperlink"/>
          </w:rPr>
          <w:t>6</w:t>
        </w:r>
      </w:hyperlink>
      <w:r w:rsidR="005D1A26" w:rsidRPr="000665B0">
        <w:t>.</w:t>
      </w:r>
    </w:p>
    <w:p w14:paraId="5C03AB55" w14:textId="2B2FD2B6" w:rsidR="005D1A26" w:rsidRPr="000665B0" w:rsidRDefault="005D1A26" w:rsidP="009570CA">
      <w:pPr>
        <w:pStyle w:val="Heading3"/>
      </w:pPr>
      <w:bookmarkStart w:id="4720" w:name="_Toc71955500"/>
      <w:bookmarkStart w:id="4721" w:name="_Toc96170072"/>
      <w:bookmarkStart w:id="4722" w:name="_Toc96234117"/>
      <w:bookmarkStart w:id="4723" w:name="_Toc112733545"/>
      <w:bookmarkStart w:id="4724" w:name="_Toc289328587"/>
      <w:bookmarkStart w:id="4725" w:name="_Toc312331900"/>
      <w:bookmarkStart w:id="4726" w:name="_Toc214283349"/>
      <w:r w:rsidRPr="000665B0">
        <w:t>Sort</w:t>
      </w:r>
      <w:bookmarkEnd w:id="4720"/>
      <w:bookmarkEnd w:id="4721"/>
      <w:bookmarkEnd w:id="4722"/>
      <w:bookmarkEnd w:id="4723"/>
      <w:bookmarkEnd w:id="4724"/>
      <w:bookmarkEnd w:id="4725"/>
      <w:bookmarkEnd w:id="4726"/>
    </w:p>
    <w:p w14:paraId="13D0C83A" w14:textId="30B55413" w:rsidR="005D1A26" w:rsidRPr="000665B0" w:rsidRDefault="00F02F03" w:rsidP="009570CA">
      <w:pPr>
        <w:spacing w:after="0"/>
      </w:pPr>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17254A2A" w14:textId="77777777" w:rsidR="00A316EA" w:rsidRDefault="00A316EA" w:rsidP="006966D9">
      <w:pPr>
        <w:pStyle w:val="Heading2"/>
      </w:pPr>
      <w:r>
        <w:br w:type="page"/>
      </w:r>
      <w:bookmarkStart w:id="4727" w:name="_5.23__COORDINATION_TEMPLATE_TOOL"/>
      <w:bookmarkStart w:id="4728" w:name="_5.25__COORDINATION_TEMPLATES_TOOL"/>
      <w:bookmarkStart w:id="4729" w:name="_5.24__COORDINATION"/>
      <w:bookmarkStart w:id="4730" w:name="_COORDINATION_TEMPLATES_TOOL"/>
      <w:bookmarkStart w:id="4731" w:name="_PULL_DISTRIBUTION_TOOL"/>
      <w:bookmarkStart w:id="4732" w:name="_Toc214283350"/>
      <w:bookmarkStart w:id="4733" w:name="_Toc71955501"/>
      <w:bookmarkStart w:id="4734" w:name="_Toc96170073"/>
      <w:bookmarkStart w:id="4735" w:name="_Toc96234118"/>
      <w:bookmarkStart w:id="4736" w:name="_Toc112733546"/>
      <w:bookmarkStart w:id="4737" w:name="_Toc289328588"/>
      <w:bookmarkStart w:id="4738" w:name="_Toc312331901"/>
      <w:bookmarkEnd w:id="4638"/>
      <w:bookmarkEnd w:id="4727"/>
      <w:bookmarkEnd w:id="4728"/>
      <w:bookmarkEnd w:id="4729"/>
      <w:bookmarkEnd w:id="4730"/>
      <w:bookmarkEnd w:id="4731"/>
      <w:r w:rsidR="00BF4D7E" w:rsidRPr="000665B0">
        <w:lastRenderedPageBreak/>
        <w:t>PULL DISTRIBUTION TOOL</w:t>
      </w:r>
      <w:bookmarkEnd w:id="4732"/>
    </w:p>
    <w:p w14:paraId="65158E53" w14:textId="144FEDB5" w:rsidR="00BF4D7E" w:rsidRDefault="00BF4D7E" w:rsidP="009570CA">
      <w:r w:rsidRPr="000665B0">
        <w:t xml:space="preserve">The Pull Distribution </w:t>
      </w:r>
      <w:r w:rsidR="00361AD5" w:rsidRPr="000665B0">
        <w:t>T</w:t>
      </w:r>
      <w:r w:rsidRPr="000665B0">
        <w:t xml:space="preserve">ool is used to download incoming DDOs sent in pull mode. The Pull Distribution functionality improves mission supportability by allowing both senders and recipients to send and receive data at a time that’s convenient for them, as well as the ability for recipients to select and prioritize data to download during limited connectivity windows. </w:t>
      </w:r>
    </w:p>
    <w:p w14:paraId="6E5264D9" w14:textId="0A984C22" w:rsidR="00667778" w:rsidRDefault="00667778" w:rsidP="00667778">
      <w:r>
        <w:t xml:space="preserve">For a full example of an operation utilizing Pull Distribution from both the senders’ and recipients’ perspectives, refer to </w:t>
      </w:r>
      <w:hyperlink w:anchor="Appendix_T" w:history="1">
        <w:r w:rsidRPr="00667778">
          <w:rPr>
            <w:rStyle w:val="Hyperlink"/>
          </w:rPr>
          <w:t>Appendix T</w:t>
        </w:r>
      </w:hyperlink>
      <w:r>
        <w:t>.</w:t>
      </w:r>
    </w:p>
    <w:p w14:paraId="69F3B9C9" w14:textId="77777777" w:rsidR="00667778" w:rsidRDefault="00667778" w:rsidP="00667778">
      <w:r>
        <w:t>To view the Pull Distribution Tool:</w:t>
      </w:r>
    </w:p>
    <w:p w14:paraId="462B5605" w14:textId="77777777" w:rsidR="00667778" w:rsidRDefault="00667778" w:rsidP="00667778">
      <w:pPr>
        <w:ind w:left="360"/>
      </w:pPr>
      <w:r>
        <w:t xml:space="preserve">From the </w:t>
      </w:r>
      <w:r>
        <w:rPr>
          <w:b/>
          <w:bCs/>
        </w:rPr>
        <w:t>Go</w:t>
      </w:r>
      <w:r>
        <w:t xml:space="preserve"> menu select </w:t>
      </w:r>
      <w:r>
        <w:rPr>
          <w:b/>
          <w:bCs/>
        </w:rPr>
        <w:t>Pull Distribution</w:t>
      </w:r>
      <w:r>
        <w:t>.</w:t>
      </w:r>
    </w:p>
    <w:p w14:paraId="078FDD47" w14:textId="77777777" w:rsidR="00667778" w:rsidRDefault="00667778" w:rsidP="00667778">
      <w:pPr>
        <w:jc w:val="center"/>
      </w:pPr>
      <w:r w:rsidRPr="004A4C3D">
        <w:rPr>
          <w:noProof/>
        </w:rPr>
        <w:drawing>
          <wp:inline distT="0" distB="0" distL="0" distR="0" wp14:anchorId="26A70F9B" wp14:editId="78E6D4F4">
            <wp:extent cx="5913463" cy="2118360"/>
            <wp:effectExtent l="0" t="0" r="0" b="0"/>
            <wp:docPr id="1667898104"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98104" name="Picture 1" descr="Graphical user interface, text&#10;&#10;Description automatically generated"/>
                    <pic:cNvPicPr/>
                  </pic:nvPicPr>
                  <pic:blipFill>
                    <a:blip/>
                    <a:stretch>
                      <a:fillRect/>
                    </a:stretch>
                  </pic:blipFill>
                  <pic:spPr>
                    <a:xfrm>
                      <a:off x="0" y="0"/>
                      <a:ext cx="5942893" cy="2128903"/>
                    </a:xfrm>
                    <a:prstGeom prst="rect">
                      <a:avLst/>
                    </a:prstGeom>
                  </pic:spPr>
                </pic:pic>
              </a:graphicData>
            </a:graphic>
          </wp:inline>
        </w:drawing>
      </w:r>
    </w:p>
    <w:p w14:paraId="3528B001" w14:textId="77777777" w:rsidR="00667778" w:rsidRDefault="00667778" w:rsidP="00667778">
      <w:r>
        <w:t>The Pull Distribution tool consists of the two list views with the following information:</w:t>
      </w:r>
    </w:p>
    <w:p w14:paraId="74F4ED94" w14:textId="77777777" w:rsidR="00667778" w:rsidRPr="00B17338" w:rsidRDefault="00667778" w:rsidP="006D5A65">
      <w:pPr>
        <w:pStyle w:val="Heading1"/>
      </w:pPr>
      <w:r w:rsidRPr="00B17338">
        <w:t>Pull Distribution Query List View – DDO ID, Objective, Addressees, Originator Node, Total Size (KB), Actual # of USNs, Estimated # of USNs, Status, and Priority of every incoming queried DDO.</w:t>
      </w:r>
    </w:p>
    <w:p w14:paraId="734B3116" w14:textId="77777777" w:rsidR="00667778" w:rsidRDefault="00667778" w:rsidP="006D5A65">
      <w:pPr>
        <w:pStyle w:val="Heading1"/>
      </w:pPr>
      <w:r w:rsidRPr="00B17338">
        <w:t>Queue List View – DDO ID, Total Size (KB), Percent Complete, Status, Order, and Priority of every queued DDO.</w:t>
      </w:r>
    </w:p>
    <w:p w14:paraId="6749BE3A" w14:textId="7C2B9009" w:rsidR="00667778" w:rsidRDefault="00667778" w:rsidP="00667778">
      <w:pPr>
        <w:pStyle w:val="Heading3"/>
      </w:pPr>
      <w:bookmarkStart w:id="4739" w:name="_Toc214283351"/>
      <w:r>
        <w:t>Query for Incoming DDOs</w:t>
      </w:r>
      <w:bookmarkEnd w:id="4739"/>
    </w:p>
    <w:p w14:paraId="6CDD7189" w14:textId="77777777" w:rsidR="00667778" w:rsidRDefault="00667778" w:rsidP="00667778">
      <w:r>
        <w:t xml:space="preserve">Incoming DDOs can be queried on a per node basis. </w:t>
      </w:r>
    </w:p>
    <w:p w14:paraId="065986BD" w14:textId="77777777" w:rsidR="00667778" w:rsidRDefault="00667778" w:rsidP="00667778">
      <w:r>
        <w:t>To query the incoming DDOs from a specific node:</w:t>
      </w:r>
    </w:p>
    <w:p w14:paraId="3392BEC7" w14:textId="77777777" w:rsidR="00667778" w:rsidRPr="00B17338" w:rsidRDefault="00667778" w:rsidP="006D5A65">
      <w:pPr>
        <w:pStyle w:val="Heading1"/>
      </w:pPr>
      <w:r w:rsidRPr="00B17338">
        <w:t>Navigate to the Pull Distribution Tool.</w:t>
      </w:r>
    </w:p>
    <w:p w14:paraId="1FADA206" w14:textId="77777777" w:rsidR="00667778" w:rsidRPr="00B17338" w:rsidRDefault="00667778" w:rsidP="006D5A65">
      <w:pPr>
        <w:pStyle w:val="Heading1"/>
      </w:pPr>
      <w:r w:rsidRPr="00B17338">
        <w:t>On the toolbar, select the Source Node from the dropdown box. The top of the Pull Distribution Query List View should read “Pull Distribution -- [Node Name]” where [Node Name] is the name of the Source Node selected from the dropdown menu.</w:t>
      </w:r>
    </w:p>
    <w:p w14:paraId="632D8FD4" w14:textId="4D4BADA5" w:rsidR="00667778" w:rsidRPr="00FE507C" w:rsidRDefault="00667778" w:rsidP="006D5A65">
      <w:pPr>
        <w:pStyle w:val="Heading1"/>
      </w:pPr>
      <w:r w:rsidRPr="00B17338">
        <w:t xml:space="preserve">On the toolbar, click on the </w:t>
      </w:r>
      <w:r w:rsidRPr="00B17338">
        <w:rPr>
          <w:bCs/>
        </w:rPr>
        <w:t>Query Node for missing Available DDOs</w:t>
      </w:r>
      <w:r w:rsidRPr="00B17338">
        <w:t xml:space="preserve"> icon </w:t>
      </w:r>
      <w:r w:rsidRPr="00B17338">
        <w:rPr>
          <w:noProof/>
        </w:rPr>
        <w:drawing>
          <wp:inline distT="0" distB="0" distL="0" distR="0" wp14:anchorId="65F39513" wp14:editId="4CAAEAAB">
            <wp:extent cx="180474" cy="180474"/>
            <wp:effectExtent l="0" t="0" r="0" b="0"/>
            <wp:docPr id="134322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87980" name=""/>
                    <pic:cNvPicPr/>
                  </pic:nvPicPr>
                  <pic:blipFill>
                    <a:blip/>
                    <a:stretch>
                      <a:fillRect/>
                    </a:stretch>
                  </pic:blipFill>
                  <pic:spPr>
                    <a:xfrm>
                      <a:off x="0" y="0"/>
                      <a:ext cx="183301" cy="183301"/>
                    </a:xfrm>
                    <a:prstGeom prst="rect">
                      <a:avLst/>
                    </a:prstGeom>
                  </pic:spPr>
                </pic:pic>
              </a:graphicData>
            </a:graphic>
          </wp:inline>
        </w:drawing>
      </w:r>
      <w:r w:rsidRPr="00B17338">
        <w:t xml:space="preserve">. The top of the Pull Distribution Query List View should read “Pull Distribution -- [Node Name] (Waiting for </w:t>
      </w:r>
      <w:r w:rsidRPr="00B17338">
        <w:lastRenderedPageBreak/>
        <w:t xml:space="preserve">Reply)” until the incoming DDOs are populated in the list view. The </w:t>
      </w:r>
      <w:r w:rsidRPr="00B17338">
        <w:rPr>
          <w:bCs/>
        </w:rPr>
        <w:t>Query Node for missing Available DDOs</w:t>
      </w:r>
      <w:r w:rsidRPr="00B17338">
        <w:t xml:space="preserve"> icon will fill in</w:t>
      </w:r>
      <w:r w:rsidR="00FE507C">
        <w:t xml:space="preserve"> </w:t>
      </w:r>
      <w:r w:rsidRPr="00FE507C">
        <w:t xml:space="preserve">yellow during this process </w:t>
      </w:r>
      <w:r w:rsidRPr="00FE507C">
        <w:rPr>
          <w:noProof/>
        </w:rPr>
        <w:drawing>
          <wp:inline distT="0" distB="0" distL="0" distR="0" wp14:anchorId="53F98A1F" wp14:editId="2734A599">
            <wp:extent cx="172452" cy="140516"/>
            <wp:effectExtent l="0" t="0" r="0" b="0"/>
            <wp:docPr id="192732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27142" name=""/>
                    <pic:cNvPicPr/>
                  </pic:nvPicPr>
                  <pic:blipFill>
                    <a:blip/>
                    <a:stretch>
                      <a:fillRect/>
                    </a:stretch>
                  </pic:blipFill>
                  <pic:spPr>
                    <a:xfrm>
                      <a:off x="0" y="0"/>
                      <a:ext cx="184182" cy="150074"/>
                    </a:xfrm>
                    <a:prstGeom prst="rect">
                      <a:avLst/>
                    </a:prstGeom>
                  </pic:spPr>
                </pic:pic>
              </a:graphicData>
            </a:graphic>
          </wp:inline>
        </w:drawing>
      </w:r>
      <w:r w:rsidRPr="00FE507C">
        <w:t xml:space="preserve">. Once all incoming DDOs are populated, the top of the Pull Distribution Query List View should read “Pull Distribution -- [Node Name] (Request Completed)” and the </w:t>
      </w:r>
      <w:r w:rsidRPr="00FE507C">
        <w:rPr>
          <w:bCs/>
        </w:rPr>
        <w:t>Query Node for missing Available DDOs</w:t>
      </w:r>
      <w:r w:rsidRPr="00FE507C">
        <w:t xml:space="preserve"> icon will return to its original color.</w:t>
      </w:r>
    </w:p>
    <w:p w14:paraId="4C336D11" w14:textId="125B5720" w:rsidR="00667778" w:rsidRDefault="00667778" w:rsidP="00E4284B">
      <w:pPr>
        <w:jc w:val="center"/>
      </w:pPr>
      <w:r>
        <w:rPr>
          <w:noProof/>
        </w:rPr>
        <w:drawing>
          <wp:inline distT="0" distB="0" distL="0" distR="0" wp14:anchorId="5A4F4B71" wp14:editId="2F0E1C6C">
            <wp:extent cx="5928025" cy="1691640"/>
            <wp:effectExtent l="0" t="0" r="0" b="3810"/>
            <wp:docPr id="1691410159"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10159" name="Picture 1" descr="Graphical user interface, text, application&#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49257" cy="1697699"/>
                    </a:xfrm>
                    <a:prstGeom prst="rect">
                      <a:avLst/>
                    </a:prstGeom>
                    <a:noFill/>
                    <a:ln>
                      <a:noFill/>
                    </a:ln>
                  </pic:spPr>
                </pic:pic>
              </a:graphicData>
            </a:graphic>
          </wp:inline>
        </w:drawing>
      </w:r>
    </w:p>
    <w:p w14:paraId="6BEC0395" w14:textId="77777777" w:rsidR="00667778" w:rsidRPr="000665B0" w:rsidRDefault="00667778" w:rsidP="00667778">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5852663C" w14:textId="2CDA9233" w:rsidR="00667778" w:rsidRDefault="00667778" w:rsidP="00667778">
      <w:pPr>
        <w:keepNext/>
        <w:keepLines/>
        <w:pBdr>
          <w:top w:val="single" w:sz="12" w:space="1" w:color="auto"/>
          <w:left w:val="single" w:sz="12" w:space="4" w:color="auto"/>
          <w:bottom w:val="single" w:sz="12" w:space="1" w:color="auto"/>
          <w:right w:val="single" w:sz="12" w:space="4" w:color="auto"/>
        </w:pBdr>
        <w:shd w:val="clear" w:color="auto" w:fill="D9D9D9"/>
        <w:jc w:val="center"/>
        <w:rPr>
          <w:b/>
          <w:szCs w:val="24"/>
        </w:rPr>
      </w:pPr>
      <w:r>
        <w:rPr>
          <w:b/>
          <w:szCs w:val="24"/>
        </w:rPr>
        <w:t xml:space="preserve">Selecting “All” in the dropdown box in the toolbar will not allow the user to query for DDOs. If the user attempts to click on the Query for missing Available DDOs icon </w:t>
      </w:r>
      <w:r w:rsidRPr="00BB2A42">
        <w:rPr>
          <w:noProof/>
          <w:szCs w:val="24"/>
        </w:rPr>
        <w:drawing>
          <wp:inline distT="0" distB="0" distL="0" distR="0" wp14:anchorId="7A8252EA" wp14:editId="74B3D883">
            <wp:extent cx="180474" cy="180474"/>
            <wp:effectExtent l="0" t="0" r="0" b="0"/>
            <wp:docPr id="202330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87980" name=""/>
                    <pic:cNvPicPr/>
                  </pic:nvPicPr>
                  <pic:blipFill>
                    <a:blip/>
                    <a:stretch>
                      <a:fillRect/>
                    </a:stretch>
                  </pic:blipFill>
                  <pic:spPr>
                    <a:xfrm>
                      <a:off x="0" y="0"/>
                      <a:ext cx="183301" cy="183301"/>
                    </a:xfrm>
                    <a:prstGeom prst="rect">
                      <a:avLst/>
                    </a:prstGeom>
                  </pic:spPr>
                </pic:pic>
              </a:graphicData>
            </a:graphic>
          </wp:inline>
        </w:drawing>
      </w:r>
      <w:r>
        <w:rPr>
          <w:b/>
          <w:szCs w:val="24"/>
        </w:rPr>
        <w:t xml:space="preserve"> it will result in the following modal message box to appear and the query will not be executed.</w:t>
      </w:r>
      <w:r w:rsidRPr="00667778">
        <w:rPr>
          <w:b/>
          <w:noProof/>
          <w:szCs w:val="24"/>
        </w:rPr>
        <w:t xml:space="preserve"> </w:t>
      </w:r>
      <w:r w:rsidRPr="001D6588">
        <w:rPr>
          <w:b/>
          <w:noProof/>
          <w:szCs w:val="24"/>
        </w:rPr>
        <w:drawing>
          <wp:inline distT="0" distB="0" distL="0" distR="0" wp14:anchorId="7505A029" wp14:editId="73DE2912">
            <wp:extent cx="3489960" cy="1287558"/>
            <wp:effectExtent l="0" t="0" r="0" b="8255"/>
            <wp:docPr id="833947478"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3054" name="Picture 1" descr="Graphical user interface, text, application&#10;&#10;Description automatically generated"/>
                    <pic:cNvPicPr/>
                  </pic:nvPicPr>
                  <pic:blipFill>
                    <a:blip/>
                    <a:stretch>
                      <a:fillRect/>
                    </a:stretch>
                  </pic:blipFill>
                  <pic:spPr>
                    <a:xfrm>
                      <a:off x="0" y="0"/>
                      <a:ext cx="3506589" cy="1293693"/>
                    </a:xfrm>
                    <a:prstGeom prst="rect">
                      <a:avLst/>
                    </a:prstGeom>
                  </pic:spPr>
                </pic:pic>
              </a:graphicData>
            </a:graphic>
          </wp:inline>
        </w:drawing>
      </w:r>
    </w:p>
    <w:p w14:paraId="7E9891B7" w14:textId="6B39DF73" w:rsidR="00667778" w:rsidRDefault="00E4284B" w:rsidP="00E4284B">
      <w:pPr>
        <w:pStyle w:val="Heading3"/>
      </w:pPr>
      <w:bookmarkStart w:id="4740" w:name="_Toc214283352"/>
      <w:r>
        <w:t>Queue DDOs for Processing</w:t>
      </w:r>
      <w:bookmarkEnd w:id="4740"/>
    </w:p>
    <w:p w14:paraId="427D1D50" w14:textId="77777777" w:rsidR="00E4284B" w:rsidRDefault="00E4284B" w:rsidP="00E4284B">
      <w:r>
        <w:t>To queue the incoming DDOs for Processing:</w:t>
      </w:r>
    </w:p>
    <w:p w14:paraId="54DA697E" w14:textId="77777777" w:rsidR="00E4284B" w:rsidRPr="00B17338" w:rsidRDefault="00E4284B" w:rsidP="006D5A65">
      <w:pPr>
        <w:pStyle w:val="Heading1"/>
      </w:pPr>
      <w:r w:rsidRPr="00B17338">
        <w:lastRenderedPageBreak/>
        <w:t>Select the desired DDO from the Pull Distribution Query List View.</w:t>
      </w:r>
    </w:p>
    <w:p w14:paraId="5A0DE209" w14:textId="77777777" w:rsidR="00E4284B" w:rsidRPr="00B17338" w:rsidRDefault="00E4284B" w:rsidP="006D5A65">
      <w:pPr>
        <w:pStyle w:val="Heading1"/>
      </w:pPr>
      <w:r w:rsidRPr="00B17338">
        <w:t>Invoke the context menu &gt; “Add to Queue” or click and drag the DDO from the Pull Distribution Query List View into the Queue List View.</w:t>
      </w:r>
    </w:p>
    <w:p w14:paraId="1DBC6E7C" w14:textId="72963ACE" w:rsidR="00E4284B" w:rsidRPr="00E4284B" w:rsidRDefault="00E4284B" w:rsidP="00E4284B">
      <w:pPr>
        <w:jc w:val="center"/>
        <w:rPr>
          <w:szCs w:val="24"/>
        </w:rPr>
      </w:pPr>
      <w:r w:rsidRPr="00E4284B">
        <w:rPr>
          <w:noProof/>
          <w:szCs w:val="24"/>
        </w:rPr>
        <w:drawing>
          <wp:inline distT="0" distB="0" distL="0" distR="0" wp14:anchorId="085AD28C" wp14:editId="1F4BF2F1">
            <wp:extent cx="5917144" cy="1562100"/>
            <wp:effectExtent l="0" t="0" r="7620" b="0"/>
            <wp:docPr id="1954330599" name="Picture 2"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30599" name="Picture 2" descr="Graphical user interface, text, application&#10;&#10;Description automatically generated with medium confidence"/>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5950841" cy="1570996"/>
                    </a:xfrm>
                    <a:prstGeom prst="rect">
                      <a:avLst/>
                    </a:prstGeom>
                    <a:noFill/>
                    <a:ln>
                      <a:noFill/>
                    </a:ln>
                  </pic:spPr>
                </pic:pic>
              </a:graphicData>
            </a:graphic>
          </wp:inline>
        </w:drawing>
      </w:r>
    </w:p>
    <w:p w14:paraId="2787231A" w14:textId="77777777" w:rsidR="00E4284B" w:rsidRPr="00B17338" w:rsidRDefault="00E4284B" w:rsidP="006D5A65">
      <w:pPr>
        <w:pStyle w:val="Heading1"/>
      </w:pPr>
      <w:r w:rsidRPr="00B17338">
        <w:t xml:space="preserve">Once all desired DDOs are in the Queue List View, the order in which they are processed can be optionally set by invoking the context menu on a DDO and clicking on </w:t>
      </w:r>
      <w:r w:rsidRPr="00B17338">
        <w:rPr>
          <w:bCs/>
        </w:rPr>
        <w:t>Set Order</w:t>
      </w:r>
      <w:r w:rsidRPr="00B17338">
        <w:t xml:space="preserve">. This will bring up the </w:t>
      </w:r>
      <w:r w:rsidRPr="00B17338">
        <w:rPr>
          <w:bCs/>
        </w:rPr>
        <w:t>Change Order</w:t>
      </w:r>
      <w:r w:rsidRPr="00B17338">
        <w:t xml:space="preserve"> modal window that allows the user to set a number value for the order in which the DDOs will be processed. If the </w:t>
      </w:r>
      <w:r w:rsidRPr="00B17338">
        <w:rPr>
          <w:bCs/>
        </w:rPr>
        <w:t>Order</w:t>
      </w:r>
      <w:r w:rsidRPr="00B17338">
        <w:t xml:space="preserve"> is not set, the DDOs will process in the order they were queued in.</w:t>
      </w:r>
    </w:p>
    <w:p w14:paraId="065A74F1" w14:textId="77777777" w:rsidR="00E4284B" w:rsidRPr="00E4284B" w:rsidRDefault="00E4284B" w:rsidP="00E4284B">
      <w:pPr>
        <w:jc w:val="center"/>
        <w:rPr>
          <w:szCs w:val="24"/>
        </w:rPr>
      </w:pPr>
      <w:r w:rsidRPr="00E4284B">
        <w:rPr>
          <w:noProof/>
          <w:szCs w:val="24"/>
        </w:rPr>
        <w:drawing>
          <wp:inline distT="0" distB="0" distL="0" distR="0" wp14:anchorId="08B2DF29" wp14:editId="5127EF60">
            <wp:extent cx="2811780" cy="1684020"/>
            <wp:effectExtent l="0" t="0" r="7620" b="0"/>
            <wp:docPr id="1469293028"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3028" name="Picture 1" descr="Graphical user interface&#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811780" cy="1684020"/>
                    </a:xfrm>
                    <a:prstGeom prst="rect">
                      <a:avLst/>
                    </a:prstGeom>
                    <a:noFill/>
                    <a:ln>
                      <a:noFill/>
                    </a:ln>
                  </pic:spPr>
                </pic:pic>
              </a:graphicData>
            </a:graphic>
          </wp:inline>
        </w:drawing>
      </w:r>
    </w:p>
    <w:p w14:paraId="5744E285" w14:textId="77777777" w:rsidR="00E4284B" w:rsidRPr="00B17338" w:rsidRDefault="00E4284B" w:rsidP="006D5A65">
      <w:pPr>
        <w:pStyle w:val="Heading1"/>
      </w:pPr>
      <w:r w:rsidRPr="00B17338">
        <w:t xml:space="preserve">To begin processing the DDOs, click </w:t>
      </w:r>
      <w:r w:rsidRPr="00B17338">
        <w:rPr>
          <w:bCs/>
        </w:rPr>
        <w:t>Start</w:t>
      </w:r>
      <w:r w:rsidRPr="00B17338">
        <w:t xml:space="preserve">. The DDOs will begin processing in order of the value indicated in the </w:t>
      </w:r>
      <w:r w:rsidRPr="00B17338">
        <w:rPr>
          <w:bCs/>
        </w:rPr>
        <w:t xml:space="preserve">Order </w:t>
      </w:r>
      <w:r w:rsidRPr="00B17338">
        <w:t xml:space="preserve">column in the Queue List View. The progress will be indicated by the </w:t>
      </w:r>
      <w:r w:rsidRPr="00B17338">
        <w:rPr>
          <w:bCs/>
        </w:rPr>
        <w:t>Percent Complete</w:t>
      </w:r>
      <w:r w:rsidRPr="00B17338">
        <w:t xml:space="preserve"> column. Once the operation is complete, the DDOs will populate in the Incoming DDOs Tool.</w:t>
      </w:r>
    </w:p>
    <w:p w14:paraId="595F0840" w14:textId="77777777" w:rsidR="009419A6" w:rsidRPr="000665B0" w:rsidRDefault="009419A6" w:rsidP="009570CA"/>
    <w:p w14:paraId="747E35A9" w14:textId="77777777" w:rsidR="00A316EA" w:rsidRDefault="00A316EA" w:rsidP="009570CA">
      <w:r>
        <w:br w:type="page"/>
      </w:r>
      <w:bookmarkStart w:id="4741" w:name="_COORDINATION_TEMPLATES_TOOL_1"/>
      <w:bookmarkStart w:id="4742" w:name="_Toc214283353"/>
      <w:bookmarkStart w:id="4743" w:name="_Hlk139896594"/>
      <w:bookmarkEnd w:id="4741"/>
      <w:r w:rsidR="005D1A26" w:rsidRPr="000665B0">
        <w:lastRenderedPageBreak/>
        <w:t>COORDINATION TEMPLATES TOOL</w:t>
      </w:r>
      <w:bookmarkEnd w:id="4733"/>
      <w:bookmarkEnd w:id="4734"/>
      <w:bookmarkEnd w:id="4735"/>
      <w:bookmarkEnd w:id="4736"/>
      <w:bookmarkEnd w:id="4737"/>
      <w:bookmarkEnd w:id="4738"/>
      <w:bookmarkEnd w:id="4742"/>
    </w:p>
    <w:p w14:paraId="5C81EA47" w14:textId="0FF6D163" w:rsidR="00DB7D87" w:rsidRPr="000665B0" w:rsidRDefault="00DB7D87" w:rsidP="009570CA">
      <w:r w:rsidRPr="000665B0">
        <w:t xml:space="preserve">The Coordination Templates Tool allows the operator to create tasking messages. These tasking messages are sent via communications and request that another platform (the addressee) delete data items, activate or deactivate missions, or request data items. Coordination Messages are only sent from MDS to MDS or from MDS to TTWCS. </w:t>
      </w:r>
    </w:p>
    <w:p w14:paraId="7F057E0E" w14:textId="77777777" w:rsidR="00DB7D87" w:rsidRPr="000665B0" w:rsidRDefault="00DB7D87" w:rsidP="009570CA">
      <w:r w:rsidRPr="000665B0">
        <w:t xml:space="preserve">The operator can display the Coordination Template textually, edit the Coordination Template, print the Coordination Template, and send the Coordination Template. </w:t>
      </w:r>
    </w:p>
    <w:p w14:paraId="10C1DE3E" w14:textId="0CE1E5C2" w:rsidR="005D1A26" w:rsidRPr="000665B0" w:rsidRDefault="00DB7D87" w:rsidP="009570CA">
      <w:r w:rsidRPr="000665B0">
        <w:t>When a coordination message arrives on MDS, it arrives in the form of an Incoming DDO. For more information on processing the contents of a DDO</w:t>
      </w:r>
      <w:r w:rsidR="002254C3" w:rsidRPr="000665B0">
        <w:t>,</w:t>
      </w:r>
      <w:r w:rsidRPr="000665B0">
        <w:t xml:space="preserve"> </w:t>
      </w:r>
      <w:r w:rsidR="002254C3" w:rsidRPr="000665B0">
        <w:t>see</w:t>
      </w:r>
      <w:r w:rsidRPr="000665B0">
        <w:t xml:space="preserve"> </w:t>
      </w:r>
      <w:hyperlink w:anchor="_5.22__INCOMING_DDO_TOOL" w:history="1">
        <w:r w:rsidR="00BA593F" w:rsidRPr="000665B0">
          <w:rPr>
            <w:rStyle w:val="Hyperlink"/>
          </w:rPr>
          <w:t xml:space="preserve">Section </w:t>
        </w:r>
        <w:r w:rsidR="004231CC">
          <w:rPr>
            <w:rStyle w:val="Hyperlink"/>
          </w:rPr>
          <w:t>5.18</w:t>
        </w:r>
      </w:hyperlink>
      <w:r w:rsidR="005D1A26" w:rsidRPr="000665B0">
        <w:t>.</w:t>
      </w:r>
    </w:p>
    <w:p w14:paraId="7877AD70" w14:textId="77777777" w:rsidR="000B3980" w:rsidRPr="000665B0" w:rsidRDefault="000B3980" w:rsidP="009570CA">
      <w:pPr>
        <w:pStyle w:val="List1"/>
        <w:spacing w:after="120"/>
        <w:ind w:left="0" w:firstLine="0"/>
      </w:pPr>
      <w:r w:rsidRPr="000665B0">
        <w:t>To view the Coordination Template Tool:</w:t>
      </w:r>
    </w:p>
    <w:p w14:paraId="22459561" w14:textId="77777777" w:rsidR="000B3980" w:rsidRPr="000665B0" w:rsidRDefault="000B3980" w:rsidP="009570CA">
      <w:pPr>
        <w:pStyle w:val="Number0205"/>
        <w:ind w:left="360" w:firstLine="0"/>
      </w:pPr>
      <w:r w:rsidRPr="000665B0">
        <w:t xml:space="preserve">From the </w:t>
      </w:r>
      <w:r w:rsidRPr="000665B0">
        <w:rPr>
          <w:b/>
        </w:rPr>
        <w:t>Go</w:t>
      </w:r>
      <w:r w:rsidRPr="000665B0">
        <w:t xml:space="preserve"> menu select </w:t>
      </w:r>
      <w:r w:rsidRPr="000665B0">
        <w:rPr>
          <w:b/>
          <w:bCs/>
        </w:rPr>
        <w:t>Coordination Templates</w:t>
      </w:r>
      <w:r w:rsidRPr="000665B0">
        <w:t>.</w:t>
      </w:r>
    </w:p>
    <w:p w14:paraId="62806F18" w14:textId="2073E9EB" w:rsidR="000B3980" w:rsidRPr="000665B0" w:rsidRDefault="00FD548E" w:rsidP="009570CA">
      <w:pPr>
        <w:jc w:val="center"/>
      </w:pPr>
      <w:r w:rsidRPr="000665B0">
        <w:rPr>
          <w:noProof/>
        </w:rPr>
        <w:drawing>
          <wp:inline distT="0" distB="0" distL="0" distR="0" wp14:anchorId="57C2EAC4" wp14:editId="3747FA33">
            <wp:extent cx="3657600" cy="1837944"/>
            <wp:effectExtent l="0" t="0" r="0" b="0"/>
            <wp:docPr id="1933" name="Picture 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1837944"/>
                    </a:xfrm>
                    <a:prstGeom prst="rect">
                      <a:avLst/>
                    </a:prstGeom>
                  </pic:spPr>
                </pic:pic>
              </a:graphicData>
            </a:graphic>
          </wp:inline>
        </w:drawing>
      </w:r>
    </w:p>
    <w:p w14:paraId="7432E925" w14:textId="77777777" w:rsidR="00DB7D87" w:rsidRPr="000665B0" w:rsidRDefault="00DB7D87" w:rsidP="009570CA">
      <w:pPr>
        <w:rPr>
          <w:b/>
          <w:i/>
        </w:rPr>
      </w:pPr>
      <w:bookmarkStart w:id="4744" w:name="_Toc71955502"/>
      <w:bookmarkStart w:id="4745" w:name="_Toc96170074"/>
      <w:bookmarkStart w:id="4746" w:name="_Toc96234119"/>
      <w:bookmarkStart w:id="4747" w:name="_Toc112733547"/>
      <w:bookmarkStart w:id="4748" w:name="_Toc289328589"/>
      <w:bookmarkStart w:id="4749" w:name="_Toc312331902"/>
      <w:r w:rsidRPr="000665B0">
        <w:rPr>
          <w:b/>
          <w:i/>
        </w:rPr>
        <w:t>Coordination Templates List View</w:t>
      </w:r>
    </w:p>
    <w:p w14:paraId="60273331" w14:textId="77777777" w:rsidR="00DB7D87" w:rsidRPr="000665B0" w:rsidRDefault="00DB7D87" w:rsidP="006D5A65">
      <w:pPr>
        <w:pStyle w:val="Heading1"/>
      </w:pPr>
      <w:r w:rsidRPr="000665B0">
        <w:t>Columns</w:t>
      </w:r>
    </w:p>
    <w:p w14:paraId="5AE3B74A" w14:textId="77777777" w:rsidR="00DB7D87" w:rsidRPr="000665B0" w:rsidRDefault="00DB7D87" w:rsidP="006D5A65">
      <w:pPr>
        <w:pStyle w:val="Heading2"/>
      </w:pPr>
      <w:r w:rsidRPr="000665B0">
        <w:rPr>
          <w:bCs/>
        </w:rPr>
        <w:t>Template ID</w:t>
      </w:r>
      <w:r w:rsidRPr="000665B0">
        <w:t xml:space="preserve"> – System generated number of five numeric characters that is incremented by one for each new entry.</w:t>
      </w:r>
    </w:p>
    <w:p w14:paraId="6CFB7F93" w14:textId="77777777" w:rsidR="00DB7D87" w:rsidRPr="000665B0" w:rsidRDefault="00DB7D87" w:rsidP="006D5A65">
      <w:pPr>
        <w:pStyle w:val="Heading2"/>
      </w:pPr>
      <w:r w:rsidRPr="000665B0">
        <w:rPr>
          <w:bCs/>
        </w:rPr>
        <w:t>Objective</w:t>
      </w:r>
      <w:r w:rsidRPr="000665B0">
        <w:t xml:space="preserve"> – Contains the objective that will be used when the Coordination Template is created and sent.</w:t>
      </w:r>
    </w:p>
    <w:p w14:paraId="075A279C" w14:textId="77777777" w:rsidR="00DB7D87" w:rsidRPr="000665B0" w:rsidRDefault="00DB7D87" w:rsidP="006D5A65">
      <w:pPr>
        <w:pStyle w:val="Heading1"/>
      </w:pPr>
      <w:r w:rsidRPr="000665B0">
        <w:t>Context Menu</w:t>
      </w:r>
    </w:p>
    <w:p w14:paraId="3C78BFDD" w14:textId="734A6A20" w:rsidR="00A550DE" w:rsidRPr="000665B0" w:rsidRDefault="00A550DE" w:rsidP="006D5A65">
      <w:pPr>
        <w:pStyle w:val="Heading2"/>
        <w:rPr>
          <w:rFonts w:eastAsia="Arial Unicode MS"/>
        </w:rPr>
      </w:pPr>
      <w:r w:rsidRPr="000665B0">
        <w:rPr>
          <w:rFonts w:eastAsia="Arial Unicode MS"/>
        </w:rPr>
        <w:t xml:space="preserve">New – </w:t>
      </w:r>
      <w:r w:rsidRPr="000665B0">
        <w:t xml:space="preserve">Invokes the </w:t>
      </w:r>
      <w:r w:rsidRPr="000665B0">
        <w:rPr>
          <w:i/>
        </w:rPr>
        <w:t>Coordination Template</w:t>
      </w:r>
      <w:r w:rsidRPr="000665B0">
        <w:t xml:space="preserve"> window.</w:t>
      </w:r>
    </w:p>
    <w:p w14:paraId="28AE533B" w14:textId="7F655B32" w:rsidR="00DB7D87" w:rsidRPr="000665B0" w:rsidRDefault="00DB7D87" w:rsidP="006D5A65">
      <w:pPr>
        <w:pStyle w:val="Heading2"/>
      </w:pPr>
      <w:r w:rsidRPr="000665B0">
        <w:t>Display</w:t>
      </w:r>
    </w:p>
    <w:p w14:paraId="42BBC3D1" w14:textId="77777777" w:rsidR="00DB7D87" w:rsidRPr="000665B0" w:rsidRDefault="00DB7D87" w:rsidP="006D5A65">
      <w:pPr>
        <w:pStyle w:val="Heading3"/>
        <w:rPr>
          <w:rFonts w:eastAsia="Arial Unicode MS"/>
        </w:rPr>
      </w:pPr>
      <w:r w:rsidRPr="000665B0">
        <w:rPr>
          <w:rFonts w:eastAsia="Arial Unicode MS"/>
        </w:rPr>
        <w:t xml:space="preserve">Textually </w:t>
      </w:r>
      <w:r w:rsidRPr="000665B0">
        <w:t>– Displays the textual view of the selected Coordination Template(s).</w:t>
      </w:r>
    </w:p>
    <w:p w14:paraId="38540A69" w14:textId="79474882" w:rsidR="00DB7D87" w:rsidRPr="000665B0" w:rsidRDefault="00A62C20" w:rsidP="006D5A65">
      <w:pPr>
        <w:pStyle w:val="Heading3"/>
        <w:rPr>
          <w:rFonts w:eastAsia="Arial Unicode MS"/>
        </w:rPr>
      </w:pPr>
      <w:r>
        <w:rPr>
          <w:rFonts w:eastAsia="Arial Unicode MS"/>
        </w:rPr>
        <w:t>I</w:t>
      </w:r>
      <w:r w:rsidR="00DB7D87" w:rsidRPr="000665B0">
        <w:rPr>
          <w:rFonts w:eastAsia="Arial Unicode MS"/>
        </w:rPr>
        <w:t xml:space="preserve">n Excel – </w:t>
      </w:r>
      <w:r w:rsidR="00DB7D87" w:rsidRPr="000665B0">
        <w:t>Displays an Excel document containing the selected Threat Coordination Template’s information.</w:t>
      </w:r>
    </w:p>
    <w:p w14:paraId="0B201DB0" w14:textId="77777777" w:rsidR="00DB7D87" w:rsidRPr="000665B0" w:rsidRDefault="00DB7D87" w:rsidP="006D5A65">
      <w:pPr>
        <w:pStyle w:val="Heading2"/>
      </w:pPr>
      <w:r w:rsidRPr="000665B0">
        <w:t xml:space="preserve">Print… </w:t>
      </w:r>
      <w:r w:rsidR="002E5173" w:rsidRPr="000665B0">
        <w:t>–</w:t>
      </w:r>
      <w:r w:rsidRPr="000665B0">
        <w:t xml:space="preserve"> Print</w:t>
      </w:r>
      <w:r w:rsidR="002E5173" w:rsidRPr="000665B0">
        <w:t>s</w:t>
      </w:r>
      <w:r w:rsidRPr="000665B0">
        <w:t xml:space="preserve"> the selected Coordination Template’s list information.</w:t>
      </w:r>
    </w:p>
    <w:p w14:paraId="6A1F9D9C" w14:textId="77777777" w:rsidR="00DB7D87" w:rsidRPr="000665B0" w:rsidRDefault="00DB7D87" w:rsidP="006D5A65">
      <w:pPr>
        <w:pStyle w:val="Heading2"/>
      </w:pPr>
      <w:r w:rsidRPr="000665B0">
        <w:rPr>
          <w:rFonts w:eastAsia="Arial Unicode MS"/>
        </w:rPr>
        <w:lastRenderedPageBreak/>
        <w:t xml:space="preserve">Delete – </w:t>
      </w:r>
      <w:r w:rsidRPr="000665B0">
        <w:t>Removes the selected Coordination Template(s) from the list view.</w:t>
      </w:r>
    </w:p>
    <w:p w14:paraId="59EE5E1C" w14:textId="37C7B742" w:rsidR="005D1A26" w:rsidRPr="000665B0" w:rsidRDefault="005D1A26" w:rsidP="009570CA">
      <w:pPr>
        <w:pStyle w:val="Heading3"/>
      </w:pPr>
      <w:bookmarkStart w:id="4750" w:name="_Toc214283354"/>
      <w:r w:rsidRPr="000665B0">
        <w:t>Display Textually</w:t>
      </w:r>
      <w:bookmarkEnd w:id="4744"/>
      <w:bookmarkEnd w:id="4745"/>
      <w:bookmarkEnd w:id="4746"/>
      <w:bookmarkEnd w:id="4747"/>
      <w:bookmarkEnd w:id="4748"/>
      <w:bookmarkEnd w:id="4749"/>
      <w:bookmarkEnd w:id="4750"/>
    </w:p>
    <w:p w14:paraId="289D3C5A" w14:textId="77777777" w:rsidR="00DB7D87" w:rsidRPr="000665B0" w:rsidRDefault="00DB7D87" w:rsidP="009570CA">
      <w:r w:rsidRPr="000665B0">
        <w:t xml:space="preserve">Displaying an entry textually allows the operator to view the contents of the Coordination Template since a preview option is not available in this Tool. </w:t>
      </w:r>
    </w:p>
    <w:p w14:paraId="33211CEA" w14:textId="77777777" w:rsidR="00DB7D87" w:rsidRPr="000665B0" w:rsidRDefault="00DB7D87" w:rsidP="009570CA">
      <w:r w:rsidRPr="000665B0">
        <w:t>A Coordination Template is a file containing a request. After the Coordination Template is displayed, it can be edited, saved, printed, and transmitted.</w:t>
      </w:r>
    </w:p>
    <w:p w14:paraId="185F1D25" w14:textId="69CD8E89" w:rsidR="005D1A26" w:rsidRPr="000665B0" w:rsidRDefault="00DB7D87" w:rsidP="009570CA">
      <w:pPr>
        <w:spacing w:after="0"/>
      </w:pPr>
      <w:r w:rsidRPr="000665B0">
        <w:t xml:space="preserve">To display a Coordination Template textually see </w:t>
      </w:r>
      <w:hyperlink w:anchor="_5.2.1.2.4__Display_1" w:history="1">
        <w:r w:rsidR="005D1A26" w:rsidRPr="000665B0">
          <w:rPr>
            <w:rStyle w:val="Hyperlink"/>
          </w:rPr>
          <w:t>Section 5.2.1.2.4</w:t>
        </w:r>
      </w:hyperlink>
      <w:r w:rsidR="005D1A26" w:rsidRPr="000665B0">
        <w:t>.</w:t>
      </w:r>
    </w:p>
    <w:p w14:paraId="13EDC9A5" w14:textId="2F0EA864" w:rsidR="005D1A26" w:rsidRPr="000665B0" w:rsidRDefault="005D1A26" w:rsidP="009570CA">
      <w:pPr>
        <w:pStyle w:val="Heading3"/>
      </w:pPr>
      <w:bookmarkStart w:id="4751" w:name="_Toc71955503"/>
      <w:bookmarkStart w:id="4752" w:name="_Toc96170075"/>
      <w:bookmarkStart w:id="4753" w:name="_Toc96234120"/>
      <w:bookmarkStart w:id="4754" w:name="_Toc112733548"/>
      <w:bookmarkStart w:id="4755" w:name="_Toc289328590"/>
      <w:bookmarkStart w:id="4756" w:name="_Toc312331903"/>
      <w:bookmarkStart w:id="4757" w:name="_Toc214283355"/>
      <w:r w:rsidRPr="000665B0">
        <w:t>Creating/Sending a Coordination Template Overview</w:t>
      </w:r>
      <w:bookmarkEnd w:id="4751"/>
      <w:bookmarkEnd w:id="4752"/>
      <w:bookmarkEnd w:id="4753"/>
      <w:bookmarkEnd w:id="4754"/>
      <w:bookmarkEnd w:id="4755"/>
      <w:bookmarkEnd w:id="4756"/>
      <w:bookmarkEnd w:id="4757"/>
    </w:p>
    <w:p w14:paraId="50C81444" w14:textId="35853810" w:rsidR="00174EDE" w:rsidRPr="00F47836" w:rsidRDefault="00174EDE" w:rsidP="009570CA">
      <w:pPr>
        <w:rPr>
          <w:szCs w:val="24"/>
        </w:rPr>
      </w:pPr>
      <w:bookmarkStart w:id="4758" w:name="_Toc71955504"/>
      <w:bookmarkStart w:id="4759" w:name="_Toc96170076"/>
      <w:bookmarkStart w:id="4760" w:name="_Toc96234121"/>
      <w:bookmarkStart w:id="4761" w:name="_Toc112733549"/>
      <w:bookmarkStart w:id="4762" w:name="_Toc289328591"/>
      <w:r w:rsidRPr="00F47836">
        <w:rPr>
          <w:szCs w:val="24"/>
        </w:rPr>
        <w:t xml:space="preserve">MDS can create many types of coordination templates. See </w:t>
      </w:r>
      <w:hyperlink w:anchor="_Appendix_G__COORDINATION_TEMPLATE_C_1" w:history="1">
        <w:r w:rsidRPr="00F47836">
          <w:rPr>
            <w:rStyle w:val="Hyperlink"/>
            <w:color w:val="auto"/>
            <w:szCs w:val="24"/>
          </w:rPr>
          <w:t>Appendix F</w:t>
        </w:r>
      </w:hyperlink>
      <w:r w:rsidRPr="00F47836">
        <w:rPr>
          <w:szCs w:val="24"/>
        </w:rPr>
        <w:t xml:space="preserve"> for a comprehensive list of the types of coordination messages that can be sent to which type of system.</w:t>
      </w:r>
    </w:p>
    <w:p w14:paraId="6DE37BA6" w14:textId="77777777" w:rsidR="00174EDE" w:rsidRPr="00F47836" w:rsidRDefault="00174EDE" w:rsidP="009570CA">
      <w:pPr>
        <w:rPr>
          <w:szCs w:val="24"/>
        </w:rPr>
      </w:pPr>
      <w:r w:rsidRPr="00F47836">
        <w:rPr>
          <w:szCs w:val="24"/>
        </w:rPr>
        <w:t>For a Communications Coordination Template message, each is assembled into a DDO. When the DDO is sent, it first goes to Distribution Service</w:t>
      </w:r>
      <w:r w:rsidRPr="00F47836" w:rsidDel="006F54EA">
        <w:rPr>
          <w:szCs w:val="24"/>
        </w:rPr>
        <w:t xml:space="preserve"> </w:t>
      </w:r>
      <w:r w:rsidRPr="00F47836">
        <w:rPr>
          <w:szCs w:val="24"/>
        </w:rPr>
        <w:t>for processing. Distribution Service</w:t>
      </w:r>
      <w:r w:rsidRPr="00F47836" w:rsidDel="006F54EA">
        <w:rPr>
          <w:szCs w:val="24"/>
        </w:rPr>
        <w:t xml:space="preserve"> </w:t>
      </w:r>
      <w:r w:rsidRPr="00F47836">
        <w:rPr>
          <w:szCs w:val="24"/>
        </w:rPr>
        <w:t>determines who the recipient is and transmits the appropriate file. All Coordination Templates that are sent to another MDS are sent and received as DDOs, whereas those sent to TTWCS are sent as 3900/146 messages. Once the Coordination Template is sent, the Outgoing DDO Tool receives information indicating that there is new outgoing data and adds a new entry to the Outgoing DDO List View. From this view, the operator can select to display the Outgoing DDO textually to verify the contents of the Outgoing Coordination DDO.</w:t>
      </w:r>
    </w:p>
    <w:p w14:paraId="13039D34" w14:textId="77777777" w:rsidR="00174EDE" w:rsidRPr="00F47836" w:rsidRDefault="00174EDE" w:rsidP="00A0163E">
      <w:pPr>
        <w:rPr>
          <w:szCs w:val="24"/>
        </w:rPr>
      </w:pPr>
      <w:r w:rsidRPr="00F47836">
        <w:rPr>
          <w:szCs w:val="24"/>
        </w:rPr>
        <w:t>For a Media Coordination Template, the message is sent to a user-specified file location. MDS formats the message into a particular platform type (MDS, or specific TED version). The platform type is specified by either:</w:t>
      </w:r>
    </w:p>
    <w:p w14:paraId="0CB29887" w14:textId="77777777" w:rsidR="00174EDE" w:rsidRPr="00F47836" w:rsidRDefault="00174EDE" w:rsidP="006D5A65">
      <w:pPr>
        <w:pStyle w:val="Heading1"/>
      </w:pPr>
      <w:r w:rsidRPr="00F47836">
        <w:t>Addressing the DDO to specific platforms. In this case, MDS automatically determines the correct format of the data for the recipients and selects the appropriate platform type checkboxes in the Media Information pane. This is recommended when the operator is uncertain of the desired data format.</w:t>
      </w:r>
    </w:p>
    <w:p w14:paraId="3A923535" w14:textId="77777777" w:rsidR="00174EDE" w:rsidRPr="00F47836" w:rsidRDefault="00174EDE" w:rsidP="006D5A65">
      <w:pPr>
        <w:pStyle w:val="Heading1"/>
      </w:pPr>
      <w:r w:rsidRPr="00F47836">
        <w:t>Selecting the appropriate checkbox(es) for the intended platform type recipient(s) in the Media Information pane. This is recommended when the operator knows the desired data format and should be done after the (optional) recipient nodes are added.</w:t>
      </w:r>
    </w:p>
    <w:p w14:paraId="24376C0B" w14:textId="4FF01BC1" w:rsidR="005D1A26" w:rsidRPr="000665B0" w:rsidRDefault="005D1A26" w:rsidP="009570CA">
      <w:pPr>
        <w:pStyle w:val="Heading4"/>
      </w:pPr>
      <w:r w:rsidRPr="000665B0">
        <w:t>Create/Send Deletion Message</w:t>
      </w:r>
      <w:bookmarkEnd w:id="4758"/>
      <w:bookmarkEnd w:id="4759"/>
      <w:bookmarkEnd w:id="4760"/>
      <w:bookmarkEnd w:id="4761"/>
      <w:bookmarkEnd w:id="4762"/>
    </w:p>
    <w:p w14:paraId="7D38A068" w14:textId="77777777" w:rsidR="00DB7D87" w:rsidRPr="000665B0" w:rsidRDefault="00DB7D87" w:rsidP="009570CA">
      <w:bookmarkStart w:id="4763" w:name="_Toc71955505"/>
      <w:bookmarkStart w:id="4764" w:name="_Toc96170077"/>
      <w:bookmarkStart w:id="4765" w:name="_Toc96234122"/>
      <w:bookmarkStart w:id="4766" w:name="_Toc112733550"/>
      <w:bookmarkStart w:id="4767" w:name="_Toc289328592"/>
      <w:r w:rsidRPr="000665B0">
        <w:t>The Deletion coordination message is a request for the recipient to delete that specific data item from their database.</w:t>
      </w:r>
    </w:p>
    <w:p w14:paraId="006EC1C0" w14:textId="77777777" w:rsidR="00DB7D87" w:rsidRPr="000665B0" w:rsidRDefault="00DB7D87" w:rsidP="009570CA">
      <w:r w:rsidRPr="000665B0">
        <w:t>When the recipient processes the message, the data items specified is deleted from the recipient’s end.</w:t>
      </w:r>
    </w:p>
    <w:p w14:paraId="340BA1EA" w14:textId="77777777" w:rsidR="00DB7D87" w:rsidRPr="000665B0" w:rsidRDefault="00DB7D87" w:rsidP="009570CA">
      <w:r w:rsidRPr="000665B0">
        <w:t>To create/send a deletion message:</w:t>
      </w:r>
    </w:p>
    <w:p w14:paraId="3D4F6C92" w14:textId="77777777" w:rsidR="00DB7D87" w:rsidRPr="000665B0" w:rsidRDefault="00DB7D87" w:rsidP="006D5A65">
      <w:pPr>
        <w:pStyle w:val="Heading1"/>
      </w:pPr>
      <w:r w:rsidRPr="000665B0">
        <w:lastRenderedPageBreak/>
        <w:t>Navigate to the Coordination Template Tool.</w:t>
      </w:r>
    </w:p>
    <w:p w14:paraId="2B04E4DC" w14:textId="1404E9E1" w:rsidR="00DB7D87" w:rsidRPr="000665B0" w:rsidRDefault="00DB7D87" w:rsidP="006D5A65">
      <w:pPr>
        <w:pStyle w:val="Heading1"/>
      </w:pPr>
      <w:r w:rsidRPr="000665B0">
        <w:t>From the File menu select New</w:t>
      </w:r>
      <w:r w:rsidR="00A550DE" w:rsidRPr="000665B0">
        <w:t>,</w:t>
      </w:r>
      <w:r w:rsidRPr="000665B0">
        <w:t xml:space="preserve"> </w:t>
      </w:r>
      <w:r w:rsidR="007A75CC" w:rsidRPr="000665B0">
        <w:t>click</w:t>
      </w:r>
      <w:r w:rsidRPr="000665B0">
        <w:t xml:space="preserve"> the New </w:t>
      </w:r>
      <w:r w:rsidRPr="000665B0">
        <w:rPr>
          <w:noProof/>
        </w:rPr>
        <w:drawing>
          <wp:inline distT="0" distB="0" distL="0" distR="0" wp14:anchorId="3670C67C" wp14:editId="671DA5FC">
            <wp:extent cx="152400" cy="152400"/>
            <wp:effectExtent l="0" t="0" r="0" b="0"/>
            <wp:docPr id="77" name="Picture 77" descr="Description: 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Description: 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in the toolbar</w:t>
      </w:r>
      <w:r w:rsidR="00A550DE" w:rsidRPr="000665B0">
        <w:t xml:space="preserve">, </w:t>
      </w:r>
      <w:r w:rsidR="00A550DE" w:rsidRPr="000665B0">
        <w:rPr>
          <w:szCs w:val="24"/>
        </w:rPr>
        <w:t xml:space="preserve">or </w:t>
      </w:r>
      <w:r w:rsidR="00A550DE" w:rsidRPr="000665B0">
        <w:rPr>
          <w:noProof/>
          <w:szCs w:val="24"/>
        </w:rPr>
        <w:t>invoke the context menu (right-click the mouse) and select New…</w:t>
      </w:r>
      <w:r w:rsidRPr="000665B0">
        <w:t xml:space="preserve">. A new </w:t>
      </w:r>
      <w:r w:rsidRPr="000665B0">
        <w:rPr>
          <w:i/>
        </w:rPr>
        <w:t>Coordination Template</w:t>
      </w:r>
      <w:r w:rsidRPr="000665B0">
        <w:t xml:space="preserve"> window is displayed.</w:t>
      </w:r>
    </w:p>
    <w:p w14:paraId="67A47B1E" w14:textId="043FC25E" w:rsidR="00FF68CF" w:rsidRPr="000665B0" w:rsidRDefault="00FF68CF" w:rsidP="009570CA">
      <w:pPr>
        <w:jc w:val="center"/>
      </w:pPr>
      <w:r>
        <w:rPr>
          <w:noProof/>
        </w:rPr>
        <w:drawing>
          <wp:inline distT="0" distB="0" distL="0" distR="0" wp14:anchorId="1D1049B2" wp14:editId="2D90D60E">
            <wp:extent cx="4313698" cy="2821158"/>
            <wp:effectExtent l="0" t="0" r="0" b="0"/>
            <wp:docPr id="533" name="Picture 53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a:picLocks noChangeAspect="1"/>
                    </pic:cNvPicPr>
                  </pic:nvPicPr>
                  <pic:blipFill>
                    <a:blip/>
                    <a:stretch>
                      <a:fillRect/>
                    </a:stretch>
                  </pic:blipFill>
                  <pic:spPr>
                    <a:xfrm>
                      <a:off x="0" y="0"/>
                      <a:ext cx="4326705" cy="2829664"/>
                    </a:xfrm>
                    <a:prstGeom prst="rect">
                      <a:avLst/>
                    </a:prstGeom>
                  </pic:spPr>
                </pic:pic>
              </a:graphicData>
            </a:graphic>
          </wp:inline>
        </w:drawing>
      </w:r>
    </w:p>
    <w:p w14:paraId="44B875C4" w14:textId="4D470F2F" w:rsidR="00DB7D87" w:rsidRDefault="00174EDE" w:rsidP="006D5A65">
      <w:pPr>
        <w:pStyle w:val="Heading1"/>
      </w:pPr>
      <w:r>
        <w:t>Select Appropriate Distribution Mode: (Comms or Media). There are common elements to both, the difference is seen in the middle portion of the window.</w:t>
      </w:r>
    </w:p>
    <w:p w14:paraId="6F5615E5" w14:textId="796B7052" w:rsidR="00341293" w:rsidRDefault="00341293" w:rsidP="00A0163E">
      <w:pPr>
        <w:pStyle w:val="Number0205"/>
        <w:ind w:left="0" w:firstLine="0"/>
        <w:jc w:val="center"/>
      </w:pPr>
      <w:r w:rsidRPr="001379C8">
        <w:rPr>
          <w:noProof/>
        </w:rPr>
        <w:drawing>
          <wp:inline distT="0" distB="0" distL="0" distR="0" wp14:anchorId="5492E08F" wp14:editId="5795D11C">
            <wp:extent cx="2286000" cy="2130552"/>
            <wp:effectExtent l="0" t="0" r="0" b="0"/>
            <wp:docPr id="136" name="Picture 1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a:stretch>
                      <a:fillRect/>
                    </a:stretch>
                  </pic:blipFill>
                  <pic:spPr>
                    <a:xfrm>
                      <a:off x="0" y="0"/>
                      <a:ext cx="2286000" cy="2130552"/>
                    </a:xfrm>
                    <a:prstGeom prst="rect">
                      <a:avLst/>
                    </a:prstGeom>
                  </pic:spPr>
                </pic:pic>
              </a:graphicData>
            </a:graphic>
          </wp:inline>
        </w:drawing>
      </w:r>
      <w:r w:rsidR="008276E3">
        <w:t xml:space="preserve">  </w:t>
      </w:r>
      <w:r w:rsidRPr="00BA1623">
        <w:rPr>
          <w:noProof/>
        </w:rPr>
        <w:drawing>
          <wp:inline distT="0" distB="0" distL="0" distR="0" wp14:anchorId="0710DD12" wp14:editId="2DD7D773">
            <wp:extent cx="2286000" cy="2093976"/>
            <wp:effectExtent l="0" t="0" r="0" b="0"/>
            <wp:docPr id="156" name="Picture 15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a:stretch>
                      <a:fillRect/>
                    </a:stretch>
                  </pic:blipFill>
                  <pic:spPr>
                    <a:xfrm>
                      <a:off x="0" y="0"/>
                      <a:ext cx="2286000" cy="2093976"/>
                    </a:xfrm>
                    <a:prstGeom prst="rect">
                      <a:avLst/>
                    </a:prstGeom>
                  </pic:spPr>
                </pic:pic>
              </a:graphicData>
            </a:graphic>
          </wp:inline>
        </w:drawing>
      </w:r>
    </w:p>
    <w:p w14:paraId="31D782AA" w14:textId="77777777" w:rsidR="00341293" w:rsidRPr="000665B0" w:rsidRDefault="00341293" w:rsidP="006D5A65">
      <w:pPr>
        <w:pStyle w:val="Heading1"/>
      </w:pPr>
      <w:r w:rsidRPr="000665B0">
        <w:lastRenderedPageBreak/>
        <w:t xml:space="preserve">Click the </w:t>
      </w:r>
      <w:r w:rsidRPr="000665B0">
        <w:rPr>
          <w:bCs/>
        </w:rPr>
        <w:t>To</w:t>
      </w:r>
      <w:r>
        <w:rPr>
          <w:bCs/>
        </w:rPr>
        <w:t>...</w:t>
      </w:r>
      <w:r w:rsidRPr="000665B0">
        <w:t xml:space="preserve"> button to determine recipients.</w:t>
      </w:r>
    </w:p>
    <w:p w14:paraId="738AB23F" w14:textId="740B54D9" w:rsidR="00DB7D87" w:rsidRPr="000665B0" w:rsidRDefault="008276E3" w:rsidP="009570CA">
      <w:pPr>
        <w:jc w:val="center"/>
      </w:pPr>
      <w:r w:rsidRPr="001379C8">
        <w:rPr>
          <w:noProof/>
        </w:rPr>
        <w:drawing>
          <wp:inline distT="0" distB="0" distL="0" distR="0" wp14:anchorId="323FD806" wp14:editId="40D133AD">
            <wp:extent cx="4114800" cy="2167128"/>
            <wp:effectExtent l="0" t="0" r="0" b="5080"/>
            <wp:docPr id="202" name="Picture 20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a:stretch>
                      <a:fillRect/>
                    </a:stretch>
                  </pic:blipFill>
                  <pic:spPr>
                    <a:xfrm>
                      <a:off x="0" y="0"/>
                      <a:ext cx="4114800" cy="2167128"/>
                    </a:xfrm>
                    <a:prstGeom prst="rect">
                      <a:avLst/>
                    </a:prstGeom>
                  </pic:spPr>
                </pic:pic>
              </a:graphicData>
            </a:graphic>
          </wp:inline>
        </w:drawing>
      </w:r>
    </w:p>
    <w:p w14:paraId="5B130B3E" w14:textId="77777777" w:rsidR="000B7AC8" w:rsidRDefault="000B7AC8" w:rsidP="006D5A65">
      <w:pPr>
        <w:pStyle w:val="Heading1"/>
      </w:pPr>
      <w:bookmarkStart w:id="4768" w:name="_Hlk143006006"/>
      <w:r w:rsidRPr="000665B0">
        <w:t>Select the appropriate recipients (MDS or TTWCS Nodes only) in the left column of the Address Book, click</w:t>
      </w:r>
      <w:r>
        <w:t xml:space="preserve"> the</w:t>
      </w:r>
      <w:r w:rsidRPr="000665B0">
        <w:t xml:space="preserve"> </w:t>
      </w:r>
      <w:r>
        <w:t>Add</w:t>
      </w:r>
      <w:r w:rsidRPr="000665B0">
        <w:t xml:space="preserve"> </w:t>
      </w:r>
      <w:r w:rsidRPr="009A043D">
        <w:rPr>
          <w:bCs/>
        </w:rPr>
        <w:t>–&gt;</w:t>
      </w:r>
      <w:r w:rsidRPr="00A867BF">
        <w:t xml:space="preserve"> button</w:t>
      </w:r>
      <w:r w:rsidRPr="000665B0">
        <w:t xml:space="preserve"> to move the selected recipient to the right column. Click the OK button when complete. </w:t>
      </w:r>
    </w:p>
    <w:p w14:paraId="2AE5171F" w14:textId="30AEFCA3" w:rsidR="00DB7D87" w:rsidRPr="00A30D86" w:rsidRDefault="00A30D86" w:rsidP="009570CA">
      <w:pPr>
        <w:pStyle w:val="Number0205"/>
        <w:ind w:left="720" w:firstLine="0"/>
        <w:rPr>
          <w:color w:val="000000" w:themeColor="text1"/>
        </w:rPr>
      </w:pPr>
      <w:r w:rsidRPr="00A30D86">
        <w:rPr>
          <w:rStyle w:val="normaltextrun"/>
          <w:color w:val="000000" w:themeColor="text1"/>
          <w:shd w:val="clear" w:color="auto" w:fill="FFFFFF"/>
        </w:rPr>
        <w:t>After clicking OK, the appropriate platform types will be automatically checked in the Media Information pane’s Version Options section (see Step 7.</w:t>
      </w:r>
      <w:r w:rsidR="00652EF7">
        <w:rPr>
          <w:rStyle w:val="normaltextrun"/>
          <w:color w:val="000000" w:themeColor="text1"/>
          <w:shd w:val="clear" w:color="auto" w:fill="FFFFFF"/>
        </w:rPr>
        <w:t>b</w:t>
      </w:r>
      <w:r w:rsidRPr="00A30D86">
        <w:rPr>
          <w:rStyle w:val="normaltextrun"/>
          <w:color w:val="000000" w:themeColor="text1"/>
          <w:shd w:val="clear" w:color="auto" w:fill="FFFFFF"/>
        </w:rPr>
        <w:t>.iv).</w:t>
      </w:r>
      <w:bookmarkEnd w:id="4768"/>
    </w:p>
    <w:p w14:paraId="31B4BA08" w14:textId="5A055B34" w:rsidR="00DB7D87" w:rsidRPr="000665B0" w:rsidRDefault="00DB7D87" w:rsidP="006D5A65">
      <w:pPr>
        <w:pStyle w:val="Heading1"/>
      </w:pPr>
      <w:r w:rsidRPr="000665B0">
        <w:t>Enter an Objective for the message. (Optional)</w:t>
      </w:r>
      <w:r w:rsidR="003B222D" w:rsidRPr="000665B0">
        <w:t>.</w:t>
      </w:r>
    </w:p>
    <w:p w14:paraId="7A7EDBE3" w14:textId="77777777" w:rsidR="00E10022" w:rsidRPr="0015358D" w:rsidRDefault="00E10022" w:rsidP="006D5A65">
      <w:pPr>
        <w:pStyle w:val="Heading1"/>
      </w:pPr>
      <w:r w:rsidRPr="0015358D">
        <w:t>Configure the Distribution Mode.</w:t>
      </w:r>
    </w:p>
    <w:p w14:paraId="6FC67C5D" w14:textId="77777777" w:rsidR="00E10022" w:rsidRPr="0015358D" w:rsidRDefault="00E10022" w:rsidP="006D5A65">
      <w:pPr>
        <w:pStyle w:val="Heading1"/>
      </w:pPr>
      <w:r w:rsidRPr="0015358D">
        <w:t xml:space="preserve">If using </w:t>
      </w:r>
      <w:r w:rsidRPr="0015358D">
        <w:rPr>
          <w:bCs/>
        </w:rPr>
        <w:t>Comms</w:t>
      </w:r>
      <w:r w:rsidRPr="0015358D">
        <w:t xml:space="preserve">: </w:t>
      </w:r>
    </w:p>
    <w:p w14:paraId="2C9DE104" w14:textId="175707CA" w:rsidR="00E10022" w:rsidRPr="0015358D" w:rsidRDefault="00E10022" w:rsidP="006D5A65">
      <w:pPr>
        <w:pStyle w:val="Heading1"/>
        <w:rPr>
          <w:bCs/>
        </w:rPr>
      </w:pPr>
      <w:r w:rsidRPr="0015358D">
        <w:t>Select a precedence using the appropriate radio button. Optionally, select the Overrid</w:t>
      </w:r>
      <w:r w:rsidR="0015358D">
        <w:t xml:space="preserve">e </w:t>
      </w:r>
      <w:r w:rsidRPr="0015358D">
        <w:t>SID checkbox and enter a SID to supersede all ADDEE SID numbers.</w:t>
      </w:r>
    </w:p>
    <w:p w14:paraId="3FCE1937" w14:textId="77777777" w:rsidR="00E10022" w:rsidRPr="0015358D" w:rsidRDefault="00E10022" w:rsidP="006D5A65">
      <w:pPr>
        <w:pStyle w:val="Heading1"/>
      </w:pPr>
      <w:r w:rsidRPr="0015358D">
        <w:t xml:space="preserve">If using </w:t>
      </w:r>
      <w:r w:rsidRPr="0015358D">
        <w:rPr>
          <w:bCs/>
        </w:rPr>
        <w:t>Media</w:t>
      </w:r>
      <w:r w:rsidRPr="0015358D">
        <w:t>:</w:t>
      </w:r>
    </w:p>
    <w:p w14:paraId="60AA26C0" w14:textId="77777777" w:rsidR="00E10022" w:rsidRPr="0015358D" w:rsidRDefault="00E10022" w:rsidP="006D5A65">
      <w:pPr>
        <w:pStyle w:val="Heading1"/>
        <w:rPr>
          <w:color w:val="000000" w:themeColor="text1"/>
        </w:rPr>
      </w:pPr>
      <w:r w:rsidRPr="00A62C20">
        <w:t>Click Browse to choose a destination. The Browse for Folder window is displayed. </w:t>
      </w:r>
    </w:p>
    <w:p w14:paraId="7A9D706F" w14:textId="77777777" w:rsidR="00E10022" w:rsidRPr="0015358D" w:rsidRDefault="00E10022" w:rsidP="009570CA">
      <w:pPr>
        <w:pStyle w:val="paragraph"/>
        <w:spacing w:before="0" w:beforeAutospacing="0" w:after="120" w:afterAutospacing="0"/>
        <w:jc w:val="center"/>
        <w:textAlignment w:val="baseline"/>
        <w:rPr>
          <w:color w:val="000000" w:themeColor="text1"/>
        </w:rPr>
      </w:pPr>
      <w:r w:rsidRPr="0015358D">
        <w:rPr>
          <w:rFonts w:eastAsia="Batang"/>
          <w:noProof/>
          <w:color w:val="000000" w:themeColor="text1"/>
          <w:szCs w:val="20"/>
        </w:rPr>
        <w:drawing>
          <wp:inline distT="0" distB="0" distL="0" distR="0" wp14:anchorId="1C7F6EDF" wp14:editId="1090C202">
            <wp:extent cx="1828800" cy="1618488"/>
            <wp:effectExtent l="0" t="0" r="0" b="0"/>
            <wp:docPr id="75" name="Picture 7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828800" cy="1618488"/>
                    </a:xfrm>
                    <a:prstGeom prst="rect">
                      <a:avLst/>
                    </a:prstGeom>
                    <a:noFill/>
                    <a:ln>
                      <a:noFill/>
                    </a:ln>
                  </pic:spPr>
                </pic:pic>
              </a:graphicData>
            </a:graphic>
          </wp:inline>
        </w:drawing>
      </w:r>
      <w:r w:rsidRPr="0015358D">
        <w:rPr>
          <w:rStyle w:val="eop"/>
          <w:rFonts w:ascii="Calibri" w:eastAsia="Batang" w:hAnsi="Calibri" w:cs="Calibri"/>
          <w:color w:val="000000" w:themeColor="text1"/>
          <w:sz w:val="22"/>
          <w:szCs w:val="22"/>
        </w:rPr>
        <w:t> </w:t>
      </w:r>
    </w:p>
    <w:p w14:paraId="04EF469E" w14:textId="77777777" w:rsidR="00E10022" w:rsidRPr="0015358D" w:rsidRDefault="00E10022" w:rsidP="006D5A65">
      <w:pPr>
        <w:pStyle w:val="Heading1"/>
        <w:rPr>
          <w:rStyle w:val="normaltextrun"/>
          <w:color w:val="000000" w:themeColor="text1"/>
          <w:szCs w:val="24"/>
        </w:rPr>
      </w:pPr>
      <w:r w:rsidRPr="0015358D">
        <w:rPr>
          <w:rStyle w:val="normaltextrun"/>
          <w:color w:val="000000" w:themeColor="text1"/>
          <w:szCs w:val="24"/>
        </w:rPr>
        <w:lastRenderedPageBreak/>
        <w:t>Navigate the file system and select the location where the data is to be stored. </w:t>
      </w:r>
    </w:p>
    <w:p w14:paraId="6A74CB46" w14:textId="77777777" w:rsidR="00E10022" w:rsidRPr="0015358D" w:rsidRDefault="00E10022" w:rsidP="006D5A65">
      <w:pPr>
        <w:pStyle w:val="Heading1"/>
        <w:rPr>
          <w:rStyle w:val="normaltextrun"/>
          <w:color w:val="000000" w:themeColor="text1"/>
          <w:szCs w:val="24"/>
        </w:rPr>
      </w:pPr>
      <w:r w:rsidRPr="0015358D">
        <w:rPr>
          <w:rStyle w:val="normaltextrun"/>
          <w:color w:val="000000" w:themeColor="text1"/>
          <w:szCs w:val="24"/>
        </w:rPr>
        <w:t>Click OK when the location has been selected. </w:t>
      </w:r>
    </w:p>
    <w:p w14:paraId="1DA73F42" w14:textId="77777777" w:rsidR="00E10022" w:rsidRPr="0015358D" w:rsidRDefault="00E10022" w:rsidP="006D5A65">
      <w:pPr>
        <w:pStyle w:val="Heading1"/>
        <w:rPr>
          <w:rStyle w:val="normaltextrun"/>
          <w:color w:val="000000" w:themeColor="text1"/>
          <w:szCs w:val="24"/>
        </w:rPr>
      </w:pPr>
      <w:r w:rsidRPr="0015358D">
        <w:rPr>
          <w:rStyle w:val="normaltextrun"/>
          <w:color w:val="000000" w:themeColor="text1"/>
          <w:szCs w:val="24"/>
        </w:rPr>
        <w:t>If additional</w:t>
      </w:r>
      <w:r w:rsidRPr="0015358D">
        <w:rPr>
          <w:rStyle w:val="normaltextrun"/>
          <w:color w:val="000000" w:themeColor="text1"/>
        </w:rPr>
        <w:t xml:space="preserve"> Data formats are required, check the Version Options checkbox. </w:t>
      </w:r>
    </w:p>
    <w:p w14:paraId="34327FFF" w14:textId="14A9E6F1" w:rsidR="00E10022" w:rsidRPr="0015358D" w:rsidRDefault="00601FE2" w:rsidP="009570CA">
      <w:pPr>
        <w:pStyle w:val="paragraph"/>
        <w:spacing w:after="0"/>
        <w:jc w:val="center"/>
        <w:textAlignment w:val="baseline"/>
        <w:rPr>
          <w:rStyle w:val="normaltextrun"/>
          <w:rFonts w:eastAsia="Batang"/>
          <w:color w:val="000000" w:themeColor="text1"/>
        </w:rPr>
      </w:pPr>
      <w:r w:rsidRPr="00601FE2">
        <w:rPr>
          <w:noProof/>
        </w:rPr>
        <w:drawing>
          <wp:inline distT="0" distB="0" distL="0" distR="0" wp14:anchorId="0CB0498C" wp14:editId="6202416B">
            <wp:extent cx="3931920" cy="964917"/>
            <wp:effectExtent l="0" t="0" r="0" b="6985"/>
            <wp:docPr id="109601734"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1734" name="Picture 1" descr="Graphical user interface, text, application, email&#10;&#10;AI-generated content may be incorrect."/>
                    <pic:cNvPicPr/>
                  </pic:nvPicPr>
                  <pic:blipFill>
                    <a:blip/>
                    <a:stretch>
                      <a:fillRect/>
                    </a:stretch>
                  </pic:blipFill>
                  <pic:spPr>
                    <a:xfrm>
                      <a:off x="0" y="0"/>
                      <a:ext cx="3951474" cy="969716"/>
                    </a:xfrm>
                    <a:prstGeom prst="rect">
                      <a:avLst/>
                    </a:prstGeom>
                  </pic:spPr>
                </pic:pic>
              </a:graphicData>
            </a:graphic>
          </wp:inline>
        </w:drawing>
      </w:r>
    </w:p>
    <w:p w14:paraId="10653C3F" w14:textId="77777777" w:rsidR="00E10022" w:rsidRPr="0015358D" w:rsidRDefault="00E10022" w:rsidP="006D5A65">
      <w:pPr>
        <w:pStyle w:val="Heading1"/>
        <w:rPr>
          <w:rStyle w:val="normaltextrun"/>
          <w:color w:val="000000" w:themeColor="text1"/>
        </w:rPr>
      </w:pPr>
      <w:r w:rsidRPr="0015358D">
        <w:rPr>
          <w:rStyle w:val="normaltextrun"/>
          <w:color w:val="000000" w:themeColor="text1"/>
        </w:rPr>
        <w:t>If a particular platform version is unchecked, and there exist platforms in the recipient list (see Step 5) that share the same version, the recipient list will automatically remove those platforms.</w:t>
      </w:r>
    </w:p>
    <w:p w14:paraId="16C4F1DD" w14:textId="77777777" w:rsidR="00E10022" w:rsidRPr="0015358D" w:rsidRDefault="00E10022" w:rsidP="006D5A65">
      <w:pPr>
        <w:pStyle w:val="Heading1"/>
        <w:rPr>
          <w:rStyle w:val="normaltextrun"/>
          <w:color w:val="000000" w:themeColor="text1"/>
        </w:rPr>
      </w:pPr>
      <w:r w:rsidRPr="0015358D">
        <w:rPr>
          <w:rStyle w:val="normaltextrun"/>
          <w:color w:val="000000" w:themeColor="text1"/>
        </w:rPr>
        <w:t>Additional platform versions can be added by selecting the appropriate checkbox(es) for the intended platform type recipient(s).</w:t>
      </w:r>
    </w:p>
    <w:p w14:paraId="0237C14E" w14:textId="257D2512" w:rsidR="002E7F6A" w:rsidRDefault="002E7F6A" w:rsidP="006D5A65">
      <w:pPr>
        <w:pStyle w:val="Heading1"/>
      </w:pPr>
      <w:r w:rsidRPr="000665B0">
        <w:t xml:space="preserve">Select the </w:t>
      </w:r>
      <w:r w:rsidRPr="000665B0">
        <w:rPr>
          <w:bCs/>
          <w:i/>
        </w:rPr>
        <w:t>Delete</w:t>
      </w:r>
      <w:r w:rsidRPr="000665B0">
        <w:t xml:space="preserve"> tab, invoke the context menu (right-click the mouse) in the white area and select Add. The </w:t>
      </w:r>
      <w:r w:rsidRPr="000665B0">
        <w:rPr>
          <w:i/>
        </w:rPr>
        <w:t>Coordination Data Type – Delete</w:t>
      </w:r>
      <w:r w:rsidRPr="000665B0">
        <w:t xml:space="preserve"> window is displayed.</w:t>
      </w:r>
    </w:p>
    <w:p w14:paraId="6CEF8502" w14:textId="31EE223E" w:rsidR="00DB7D87" w:rsidRPr="000665B0" w:rsidRDefault="00082F67" w:rsidP="009570CA">
      <w:pPr>
        <w:jc w:val="center"/>
      </w:pPr>
      <w:r w:rsidRPr="000665B0">
        <w:rPr>
          <w:noProof/>
        </w:rPr>
        <w:drawing>
          <wp:inline distT="0" distB="0" distL="0" distR="0" wp14:anchorId="026FEA13" wp14:editId="309998C0">
            <wp:extent cx="2286000" cy="1097280"/>
            <wp:effectExtent l="0" t="0" r="0" b="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097280"/>
                    </a:xfrm>
                    <a:prstGeom prst="rect">
                      <a:avLst/>
                    </a:prstGeom>
                  </pic:spPr>
                </pic:pic>
              </a:graphicData>
            </a:graphic>
          </wp:inline>
        </w:drawing>
      </w:r>
    </w:p>
    <w:p w14:paraId="3BCE82E1" w14:textId="6A3DD026" w:rsidR="00DB7D87" w:rsidRPr="000665B0" w:rsidRDefault="00DB7D87" w:rsidP="006D5A65">
      <w:pPr>
        <w:pStyle w:val="Heading1"/>
      </w:pPr>
      <w:r w:rsidRPr="000665B0">
        <w:t xml:space="preserve">Select a </w:t>
      </w:r>
      <w:r w:rsidRPr="00DE33C7">
        <w:t>Data Type</w:t>
      </w:r>
      <w:r w:rsidRPr="000665B0">
        <w:t xml:space="preserve"> from the </w:t>
      </w:r>
      <w:r w:rsidR="00652EF7" w:rsidRPr="000665B0">
        <w:t>drop-down</w:t>
      </w:r>
      <w:r w:rsidRPr="000665B0">
        <w:t xml:space="preserve"> menu.</w:t>
      </w:r>
    </w:p>
    <w:p w14:paraId="7C7FD3F7" w14:textId="70B022AF" w:rsidR="00DB7D87" w:rsidRPr="000665B0" w:rsidRDefault="00DB7D87" w:rsidP="006D5A65">
      <w:pPr>
        <w:pStyle w:val="Heading1"/>
        <w:rPr>
          <w:snapToGrid w:val="0"/>
        </w:rPr>
      </w:pPr>
      <w:r w:rsidRPr="000665B0">
        <w:rPr>
          <w:snapToGrid w:val="0"/>
        </w:rPr>
        <w:t xml:space="preserve">If ACMS is chosen, then select an ACMS Type from the </w:t>
      </w:r>
      <w:r w:rsidR="00652EF7" w:rsidRPr="000665B0">
        <w:rPr>
          <w:snapToGrid w:val="0"/>
        </w:rPr>
        <w:t>drop-down</w:t>
      </w:r>
      <w:r w:rsidRPr="000665B0">
        <w:rPr>
          <w:snapToGrid w:val="0"/>
        </w:rPr>
        <w:t xml:space="preserve"> menu.</w:t>
      </w:r>
    </w:p>
    <w:p w14:paraId="1DE17E3C" w14:textId="2CEEA37C" w:rsidR="00082F67" w:rsidRPr="000665B0" w:rsidRDefault="00DB7D87" w:rsidP="006D5A65">
      <w:pPr>
        <w:pStyle w:val="Heading1"/>
        <w:rPr>
          <w:snapToGrid w:val="0"/>
        </w:rPr>
      </w:pPr>
      <w:r w:rsidRPr="000665B0">
        <w:rPr>
          <w:snapToGrid w:val="0"/>
        </w:rPr>
        <w:t xml:space="preserve">All other Data Types do not have an associated </w:t>
      </w:r>
      <w:r w:rsidR="00652EF7" w:rsidRPr="000665B0">
        <w:rPr>
          <w:snapToGrid w:val="0"/>
        </w:rPr>
        <w:t>drop-down</w:t>
      </w:r>
      <w:r w:rsidRPr="000665B0">
        <w:rPr>
          <w:snapToGrid w:val="0"/>
        </w:rPr>
        <w:t xml:space="preserve"> menu.</w:t>
      </w:r>
    </w:p>
    <w:p w14:paraId="2D5588FE" w14:textId="66799AB0" w:rsidR="00082F67" w:rsidRPr="000665B0" w:rsidRDefault="006B5DCE" w:rsidP="009570CA">
      <w:pPr>
        <w:pStyle w:val="Bullet"/>
        <w:jc w:val="center"/>
        <w:rPr>
          <w:snapToGrid w:val="0"/>
        </w:rPr>
      </w:pPr>
      <w:r w:rsidRPr="000665B0">
        <w:rPr>
          <w:noProof/>
        </w:rPr>
        <w:drawing>
          <wp:inline distT="0" distB="0" distL="0" distR="0" wp14:anchorId="5817D91A" wp14:editId="08466FCB">
            <wp:extent cx="2286000" cy="1362456"/>
            <wp:effectExtent l="0" t="0" r="0" b="0"/>
            <wp:docPr id="1941" name="Picture 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362456"/>
                    </a:xfrm>
                    <a:prstGeom prst="rect">
                      <a:avLst/>
                    </a:prstGeom>
                  </pic:spPr>
                </pic:pic>
              </a:graphicData>
            </a:graphic>
          </wp:inline>
        </w:drawing>
      </w:r>
    </w:p>
    <w:p w14:paraId="75B1FBFA" w14:textId="596E0530" w:rsidR="00DB7D87" w:rsidRPr="000665B0" w:rsidRDefault="00DB7D87" w:rsidP="006D5A65">
      <w:pPr>
        <w:pStyle w:val="Heading1"/>
      </w:pPr>
      <w:r w:rsidRPr="000665B0">
        <w:t xml:space="preserve">Enter the Data ID or ACMS Name in the field. This is a required field (as denoted by the * and/or yellow background) </w:t>
      </w:r>
      <w:r w:rsidR="00C9502A" w:rsidRPr="000665B0">
        <w:t xml:space="preserve">and the </w:t>
      </w:r>
      <w:r w:rsidR="00C9502A" w:rsidRPr="000665B0">
        <w:lastRenderedPageBreak/>
        <w:t>user</w:t>
      </w:r>
      <w:r w:rsidRPr="000665B0">
        <w:t xml:space="preserve"> is unable to proceed without updating this field. For further information on mandatory fields see </w:t>
      </w:r>
      <w:hyperlink w:anchor="_5.2.7__Editing" w:history="1">
        <w:r w:rsidRPr="000665B0">
          <w:rPr>
            <w:rStyle w:val="Hyperlink"/>
          </w:rPr>
          <w:t>Section 5.2.8</w:t>
        </w:r>
      </w:hyperlink>
      <w:r w:rsidRPr="000665B0">
        <w:t>.</w:t>
      </w:r>
    </w:p>
    <w:p w14:paraId="07FEA04D" w14:textId="5DCB7C3B" w:rsidR="00082F67" w:rsidRPr="000665B0" w:rsidRDefault="00082F67" w:rsidP="009570CA">
      <w:pPr>
        <w:pStyle w:val="Number0205"/>
        <w:ind w:left="0" w:firstLine="0"/>
        <w:jc w:val="center"/>
      </w:pPr>
      <w:r w:rsidRPr="000665B0">
        <w:rPr>
          <w:noProof/>
        </w:rPr>
        <w:drawing>
          <wp:inline distT="0" distB="0" distL="0" distR="0" wp14:anchorId="6269C091" wp14:editId="347FA39E">
            <wp:extent cx="2286000" cy="1097280"/>
            <wp:effectExtent l="0" t="0" r="0" b="0"/>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097280"/>
                    </a:xfrm>
                    <a:prstGeom prst="rect">
                      <a:avLst/>
                    </a:prstGeom>
                  </pic:spPr>
                </pic:pic>
              </a:graphicData>
            </a:graphic>
          </wp:inline>
        </w:drawing>
      </w:r>
    </w:p>
    <w:p w14:paraId="481CABF1" w14:textId="77777777" w:rsidR="00DB7D87" w:rsidRPr="000665B0" w:rsidRDefault="00DB7D87" w:rsidP="006D5A65">
      <w:pPr>
        <w:pStyle w:val="Heading1"/>
      </w:pPr>
      <w:r w:rsidRPr="000665B0">
        <w:rPr>
          <w:noProof/>
        </w:rPr>
        <w:t>Click the</w:t>
      </w:r>
      <w:r w:rsidRPr="000665B0">
        <w:t xml:space="preserve"> </w:t>
      </w:r>
      <w:r w:rsidRPr="000665B0">
        <w:rPr>
          <w:bCs/>
        </w:rPr>
        <w:t>OK</w:t>
      </w:r>
      <w:r w:rsidRPr="000665B0">
        <w:t xml:space="preserve"> button to add the entry to the template.</w:t>
      </w:r>
    </w:p>
    <w:p w14:paraId="0EFD1BCA" w14:textId="77777777" w:rsidR="00DB7D87" w:rsidRPr="000665B0" w:rsidRDefault="00DB7D87" w:rsidP="006D5A65">
      <w:pPr>
        <w:pStyle w:val="Heading1"/>
      </w:pPr>
      <w:r w:rsidRPr="000665B0">
        <w:rPr>
          <w:noProof/>
        </w:rPr>
        <w:t xml:space="preserve">Click </w:t>
      </w:r>
      <w:r w:rsidRPr="000665B0">
        <w:t xml:space="preserve">the </w:t>
      </w:r>
      <w:r w:rsidRPr="000665B0">
        <w:rPr>
          <w:bCs/>
        </w:rPr>
        <w:t>Save</w:t>
      </w:r>
      <w:r w:rsidRPr="000665B0">
        <w:t xml:space="preserve"> icon in the toolbar to retain the template.</w:t>
      </w:r>
    </w:p>
    <w:p w14:paraId="43924EEB" w14:textId="78C0E6AF" w:rsidR="00082F67" w:rsidRDefault="00DB7D87" w:rsidP="006D5A65">
      <w:pPr>
        <w:pStyle w:val="Heading1"/>
      </w:pPr>
      <w:r w:rsidRPr="000665B0">
        <w:rPr>
          <w:noProof/>
        </w:rPr>
        <w:t xml:space="preserve">Click </w:t>
      </w:r>
      <w:r w:rsidRPr="000665B0">
        <w:t xml:space="preserve">the </w:t>
      </w:r>
      <w:r w:rsidRPr="000665B0">
        <w:rPr>
          <w:bCs/>
        </w:rPr>
        <w:t>Send</w:t>
      </w:r>
      <w:r w:rsidRPr="000665B0">
        <w:t xml:space="preserve"> icon in the toolbar to transmit the message.</w:t>
      </w:r>
    </w:p>
    <w:p w14:paraId="5622D4F0" w14:textId="593F3A69" w:rsidR="00E0427F" w:rsidRPr="000665B0" w:rsidRDefault="000734A3" w:rsidP="009570CA">
      <w:pPr>
        <w:pStyle w:val="Number0205"/>
        <w:ind w:left="0" w:firstLine="0"/>
        <w:jc w:val="center"/>
      </w:pPr>
      <w:r>
        <w:rPr>
          <w:noProof/>
        </w:rPr>
        <w:drawing>
          <wp:inline distT="0" distB="0" distL="0" distR="0" wp14:anchorId="69B0AB47" wp14:editId="26E728CA">
            <wp:extent cx="4114800" cy="2642616"/>
            <wp:effectExtent l="0" t="0" r="0" b="0"/>
            <wp:docPr id="559" name="Picture 55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a:picLocks noChangeAspect="1"/>
                    </pic:cNvPicPr>
                  </pic:nvPicPr>
                  <pic:blipFill>
                    <a:blip/>
                    <a:stretch>
                      <a:fillRect/>
                    </a:stretch>
                  </pic:blipFill>
                  <pic:spPr>
                    <a:xfrm>
                      <a:off x="0" y="0"/>
                      <a:ext cx="4114800" cy="2642616"/>
                    </a:xfrm>
                    <a:prstGeom prst="rect">
                      <a:avLst/>
                    </a:prstGeom>
                  </pic:spPr>
                </pic:pic>
              </a:graphicData>
            </a:graphic>
          </wp:inline>
        </w:drawing>
      </w:r>
    </w:p>
    <w:p w14:paraId="207CBD85" w14:textId="77777777" w:rsidR="00DB7D87" w:rsidRPr="000665B0" w:rsidRDefault="00DB7D87" w:rsidP="009570CA">
      <w:pPr>
        <w:rPr>
          <w:b/>
        </w:rPr>
      </w:pPr>
      <w:r w:rsidRPr="000665B0">
        <w:rPr>
          <w:b/>
        </w:rPr>
        <w:t>Delete Tab</w:t>
      </w:r>
    </w:p>
    <w:p w14:paraId="6C7F5A26" w14:textId="58B9EE9B" w:rsidR="00DB7D87" w:rsidRPr="000665B0" w:rsidRDefault="00DB7D87" w:rsidP="009570CA">
      <w:r w:rsidRPr="000665B0">
        <w:t xml:space="preserve">The </w:t>
      </w:r>
      <w:r w:rsidRPr="000665B0">
        <w:rPr>
          <w:b/>
          <w:i/>
        </w:rPr>
        <w:t>Delete</w:t>
      </w:r>
      <w:r w:rsidRPr="000665B0">
        <w:t xml:space="preserve"> tab contains the list information for the data item the operator is requesting the recipient to delete</w:t>
      </w:r>
      <w:r w:rsidR="0018418A">
        <w:t>.</w:t>
      </w:r>
    </w:p>
    <w:p w14:paraId="6CB264E7" w14:textId="77777777" w:rsidR="00DB7D87" w:rsidRPr="000665B0" w:rsidRDefault="00DB7D87" w:rsidP="009570CA">
      <w:pPr>
        <w:rPr>
          <w:b/>
          <w:i/>
        </w:rPr>
      </w:pPr>
      <w:r w:rsidRPr="000665B0">
        <w:rPr>
          <w:b/>
          <w:i/>
        </w:rPr>
        <w:t>Delete List View</w:t>
      </w:r>
    </w:p>
    <w:p w14:paraId="12D5F0ED" w14:textId="77777777" w:rsidR="00DB7D87" w:rsidRPr="000665B0" w:rsidRDefault="00DB7D87" w:rsidP="006D5A65">
      <w:pPr>
        <w:pStyle w:val="Heading1"/>
      </w:pPr>
      <w:r w:rsidRPr="000665B0">
        <w:t>Columns</w:t>
      </w:r>
    </w:p>
    <w:p w14:paraId="34886314" w14:textId="77777777" w:rsidR="00DB7D87" w:rsidRPr="000665B0" w:rsidRDefault="00DB7D87" w:rsidP="006D5A65">
      <w:pPr>
        <w:pStyle w:val="Heading2"/>
      </w:pPr>
      <w:r w:rsidRPr="000665B0">
        <w:rPr>
          <w:bCs/>
        </w:rPr>
        <w:t>ID</w:t>
      </w:r>
      <w:r w:rsidRPr="000665B0">
        <w:t xml:space="preserve"> – Unique ID identifying the specific data item.</w:t>
      </w:r>
    </w:p>
    <w:p w14:paraId="3B7A5105" w14:textId="77777777" w:rsidR="00B73B99" w:rsidRDefault="00DB7D87" w:rsidP="006D5A65">
      <w:pPr>
        <w:pStyle w:val="Heading2"/>
      </w:pPr>
      <w:r w:rsidRPr="000665B0">
        <w:rPr>
          <w:bCs/>
        </w:rPr>
        <w:t>Type</w:t>
      </w:r>
      <w:r w:rsidRPr="000665B0">
        <w:t xml:space="preserve"> – Data type of the data item being requested for deletion (</w:t>
      </w:r>
      <w:r w:rsidR="003509EA" w:rsidRPr="000665B0">
        <w:t xml:space="preserve">i.e., </w:t>
      </w:r>
      <w:r w:rsidRPr="000665B0">
        <w:t>ACMS).</w:t>
      </w:r>
    </w:p>
    <w:p w14:paraId="5E82FEB6" w14:textId="77777777" w:rsidR="00B73B99" w:rsidRDefault="00B73B99" w:rsidP="006D5A65">
      <w:pPr>
        <w:pStyle w:val="Heading2"/>
      </w:pPr>
      <w:r>
        <w:rPr>
          <w:bCs/>
        </w:rPr>
        <w:t xml:space="preserve">Mission Name </w:t>
      </w:r>
      <w:r>
        <w:t>– The name of the Mission.</w:t>
      </w:r>
    </w:p>
    <w:p w14:paraId="62727A69" w14:textId="7ADB7D7E" w:rsidR="00B73B99" w:rsidRDefault="00B73B99" w:rsidP="006D5A65">
      <w:pPr>
        <w:pStyle w:val="Heading2"/>
      </w:pPr>
      <w:r>
        <w:rPr>
          <w:bCs/>
        </w:rPr>
        <w:t>BE</w:t>
      </w:r>
      <w:r>
        <w:t xml:space="preserve"> – Basic Encyclopedia</w:t>
      </w:r>
      <w:r w:rsidR="00652EF7">
        <w:t>:</w:t>
      </w:r>
      <w:r>
        <w:t xml:space="preserve"> An identified installation of potential significance as objectives for attack.</w:t>
      </w:r>
    </w:p>
    <w:p w14:paraId="5CCEF65E" w14:textId="77777777" w:rsidR="00B73B99" w:rsidRDefault="00B73B99" w:rsidP="006D5A65">
      <w:pPr>
        <w:pStyle w:val="Heading2"/>
      </w:pPr>
      <w:r>
        <w:rPr>
          <w:bCs/>
        </w:rPr>
        <w:t>JDPI</w:t>
      </w:r>
      <w:r>
        <w:t xml:space="preserve"> – Joint Desired Point of Impact: A defined point of impact of the weapon.</w:t>
      </w:r>
    </w:p>
    <w:p w14:paraId="0ACE6764" w14:textId="77777777" w:rsidR="00B73B99" w:rsidRDefault="00B73B99" w:rsidP="006D5A65">
      <w:pPr>
        <w:pStyle w:val="Heading2"/>
      </w:pPr>
      <w:r>
        <w:rPr>
          <w:bCs/>
        </w:rPr>
        <w:lastRenderedPageBreak/>
        <w:t>Aimpt ID</w:t>
      </w:r>
      <w:r>
        <w:t xml:space="preserve"> – Two alphabetic characters which, in conjunction with the Installation BE number, are used to uniquely identify the point desired for intended interaction of the warhead with a target element.</w:t>
      </w:r>
    </w:p>
    <w:p w14:paraId="2B6128BE" w14:textId="77777777" w:rsidR="00B73B99" w:rsidRDefault="00B73B99" w:rsidP="006D5A65">
      <w:pPr>
        <w:pStyle w:val="Heading2"/>
      </w:pPr>
      <w:r>
        <w:rPr>
          <w:bCs/>
        </w:rPr>
        <w:t>Missile</w:t>
      </w:r>
      <w:r>
        <w:t xml:space="preserve"> – Indicates the missile variant type.</w:t>
      </w:r>
    </w:p>
    <w:p w14:paraId="4964CA74" w14:textId="43B4C7B2" w:rsidR="00B73B99" w:rsidRDefault="00806284" w:rsidP="006D5A65">
      <w:pPr>
        <w:pStyle w:val="Heading2"/>
      </w:pPr>
      <w:r>
        <w:rPr>
          <w:bCs/>
        </w:rPr>
        <w:t>Country</w:t>
      </w:r>
      <w:r w:rsidR="00B73B99">
        <w:t xml:space="preserve"> –</w:t>
      </w:r>
      <w:r w:rsidR="00216F4A">
        <w:t xml:space="preserve">The standard Country Code and country name from the </w:t>
      </w:r>
      <w:r w:rsidR="00216F4A">
        <w:rPr>
          <w:szCs w:val="24"/>
        </w:rPr>
        <w:t>CountryDB</w:t>
      </w:r>
      <w:r w:rsidR="00216F4A">
        <w:t xml:space="preserve"> that identifies the country </w:t>
      </w:r>
      <w:r w:rsidR="00216F4A">
        <w:rPr>
          <w:szCs w:val="24"/>
        </w:rPr>
        <w:t>where the target is located</w:t>
      </w:r>
      <w:r w:rsidR="00216F4A">
        <w:t>.</w:t>
      </w:r>
    </w:p>
    <w:p w14:paraId="3AB79E48" w14:textId="265BDF7A" w:rsidR="00B73B99" w:rsidRDefault="00806284" w:rsidP="006D5A65">
      <w:pPr>
        <w:pStyle w:val="Heading2"/>
      </w:pPr>
      <w:r>
        <w:rPr>
          <w:bCs/>
        </w:rPr>
        <w:t>Launch Area</w:t>
      </w:r>
      <w:r w:rsidR="00B73B99">
        <w:t xml:space="preserve"> – </w:t>
      </w:r>
      <w:r w:rsidR="00216F4A">
        <w:t>An area surrounding the FPPWP where a missile can be launched.</w:t>
      </w:r>
    </w:p>
    <w:p w14:paraId="313FF757" w14:textId="79469786" w:rsidR="00B73B99" w:rsidRDefault="00B73B99" w:rsidP="006D5A65">
      <w:pPr>
        <w:pStyle w:val="Heading2"/>
      </w:pPr>
      <w:r>
        <w:rPr>
          <w:bCs/>
        </w:rPr>
        <w:t>TEF TMPC Version(s)</w:t>
      </w:r>
      <w:r>
        <w:t xml:space="preserve"> – List of TEF TMPC Version formats that are available for the mission.</w:t>
      </w:r>
    </w:p>
    <w:p w14:paraId="7E008D82" w14:textId="77777777" w:rsidR="00B73B99" w:rsidRDefault="00B73B99" w:rsidP="00BB4EBE">
      <w:pPr>
        <w:keepNext/>
        <w:keepLines/>
        <w:pBdr>
          <w:top w:val="single" w:sz="12" w:space="0" w:color="auto"/>
          <w:left w:val="single" w:sz="12" w:space="4" w:color="auto"/>
          <w:bottom w:val="single" w:sz="12" w:space="1" w:color="auto"/>
          <w:right w:val="single" w:sz="12" w:space="4" w:color="auto"/>
        </w:pBdr>
        <w:shd w:val="clear" w:color="auto" w:fill="D9D9D9" w:themeFill="background1" w:themeFillShade="D9"/>
        <w:spacing w:after="0"/>
        <w:jc w:val="center"/>
        <w:rPr>
          <w:b/>
        </w:rPr>
      </w:pPr>
      <w:bookmarkStart w:id="4769" w:name="_Hlk139884165"/>
      <w:r>
        <w:rPr>
          <w:b/>
        </w:rPr>
        <w:t>Note:</w:t>
      </w:r>
    </w:p>
    <w:p w14:paraId="7641AA50" w14:textId="50F33082" w:rsidR="00B73B99" w:rsidRDefault="00B73B99" w:rsidP="00BB4EBE">
      <w:pPr>
        <w:keepNext/>
        <w:keepLines/>
        <w:pBdr>
          <w:top w:val="single" w:sz="12" w:space="0" w:color="auto"/>
          <w:left w:val="single" w:sz="12" w:space="4" w:color="auto"/>
          <w:bottom w:val="single" w:sz="12" w:space="1" w:color="auto"/>
          <w:right w:val="single" w:sz="12" w:space="4" w:color="auto"/>
        </w:pBdr>
        <w:shd w:val="clear" w:color="auto" w:fill="D9D9D9" w:themeFill="background1" w:themeFillShade="D9"/>
        <w:jc w:val="center"/>
        <w:rPr>
          <w:b/>
        </w:rPr>
      </w:pPr>
      <w:r>
        <w:rPr>
          <w:b/>
        </w:rPr>
        <w:t xml:space="preserve">The following 8 columns will display data </w:t>
      </w:r>
      <w:r w:rsidR="00FC0AC6">
        <w:rPr>
          <w:b/>
        </w:rPr>
        <w:t xml:space="preserve">only </w:t>
      </w:r>
      <w:r>
        <w:rPr>
          <w:b/>
        </w:rPr>
        <w:t>if the coordinate item is of type Mission: "Mission Name", "BE", "JDPI", "Aimpt ID", "Missile", "Launch Area', "Country", and "TEF TMPC Version(s)". If the Mission I</w:t>
      </w:r>
      <w:r w:rsidR="00FC0AC6">
        <w:rPr>
          <w:b/>
        </w:rPr>
        <w:t>D</w:t>
      </w:r>
      <w:r>
        <w:rPr>
          <w:b/>
        </w:rPr>
        <w:t xml:space="preserve"> input is not in the TED DB</w:t>
      </w:r>
      <w:r w:rsidR="00FC0AC6">
        <w:rPr>
          <w:b/>
        </w:rPr>
        <w:t>,</w:t>
      </w:r>
      <w:r>
        <w:rPr>
          <w:b/>
        </w:rPr>
        <w:t xml:space="preserve"> then the column data will also be blank for these new columns. These columns are hidden by default and can be made visible through the columns properties dialog.</w:t>
      </w:r>
    </w:p>
    <w:bookmarkEnd w:id="4769"/>
    <w:p w14:paraId="169194DB" w14:textId="77777777" w:rsidR="00DB7D87" w:rsidRPr="000665B0" w:rsidRDefault="00DB7D87" w:rsidP="006D5A65">
      <w:pPr>
        <w:pStyle w:val="Heading1"/>
      </w:pPr>
      <w:r w:rsidRPr="000665B0">
        <w:t>Context Menu</w:t>
      </w:r>
    </w:p>
    <w:p w14:paraId="6A084D61" w14:textId="77777777" w:rsidR="00DB7D87" w:rsidRPr="000665B0" w:rsidRDefault="00DB7D87" w:rsidP="006D5A65">
      <w:pPr>
        <w:pStyle w:val="Heading2"/>
      </w:pPr>
      <w:r w:rsidRPr="000665B0">
        <w:t xml:space="preserve">Add… </w:t>
      </w:r>
      <w:r w:rsidR="00B3443A" w:rsidRPr="000665B0">
        <w:t>–</w:t>
      </w:r>
      <w:r w:rsidRPr="000665B0">
        <w:t xml:space="preserve"> Opens the ‘Coordination Data Item – Delete’ dialog.</w:t>
      </w:r>
    </w:p>
    <w:p w14:paraId="5B8D6870" w14:textId="77777777" w:rsidR="00DB7D87" w:rsidRPr="000665B0" w:rsidRDefault="00DB7D87" w:rsidP="006D5A65">
      <w:pPr>
        <w:pStyle w:val="Heading2"/>
      </w:pPr>
      <w:r w:rsidRPr="000665B0">
        <w:t>Display</w:t>
      </w:r>
    </w:p>
    <w:p w14:paraId="5AEC8799" w14:textId="150657DD" w:rsidR="00DB7D87" w:rsidRPr="000665B0" w:rsidRDefault="005A29A2" w:rsidP="006D5A65">
      <w:pPr>
        <w:pStyle w:val="Heading3"/>
        <w:rPr>
          <w:rFonts w:eastAsia="Arial Unicode MS"/>
        </w:rPr>
      </w:pPr>
      <w:r>
        <w:rPr>
          <w:rFonts w:eastAsia="Arial Unicode MS"/>
        </w:rPr>
        <w:t>i</w:t>
      </w:r>
      <w:r w:rsidR="00DB7D87" w:rsidRPr="000665B0">
        <w:rPr>
          <w:rFonts w:eastAsia="Arial Unicode MS"/>
        </w:rPr>
        <w:t xml:space="preserve">n Excel – </w:t>
      </w:r>
      <w:r w:rsidR="00DB7D87" w:rsidRPr="000665B0">
        <w:t>Displays an Excel document containing the selected data item(s) information.</w:t>
      </w:r>
    </w:p>
    <w:p w14:paraId="3F1ADC89" w14:textId="77777777" w:rsidR="00DB7D87" w:rsidRPr="000665B0" w:rsidRDefault="00DB7D87" w:rsidP="006D5A65">
      <w:pPr>
        <w:pStyle w:val="Heading2"/>
      </w:pPr>
      <w:r w:rsidRPr="000665B0">
        <w:t xml:space="preserve">Print… </w:t>
      </w:r>
      <w:r w:rsidR="00B3443A" w:rsidRPr="000665B0">
        <w:t>–</w:t>
      </w:r>
      <w:r w:rsidRPr="000665B0">
        <w:t xml:space="preserve"> Print the selected data item’s list information.</w:t>
      </w:r>
    </w:p>
    <w:p w14:paraId="048B5974" w14:textId="77777777" w:rsidR="00DB7D87" w:rsidRPr="000665B0" w:rsidRDefault="00DB7D87" w:rsidP="006D5A65">
      <w:pPr>
        <w:pStyle w:val="Heading2"/>
      </w:pPr>
      <w:r w:rsidRPr="000665B0">
        <w:rPr>
          <w:rFonts w:eastAsia="Arial Unicode MS"/>
        </w:rPr>
        <w:t xml:space="preserve">Remove – </w:t>
      </w:r>
      <w:r w:rsidRPr="000665B0">
        <w:t>Removes the selected data item(s) from the list view.</w:t>
      </w:r>
    </w:p>
    <w:p w14:paraId="70F356E8" w14:textId="331A81B0" w:rsidR="005D1A26" w:rsidRPr="000665B0" w:rsidRDefault="005D1A26" w:rsidP="009570CA">
      <w:pPr>
        <w:pStyle w:val="Heading4"/>
      </w:pPr>
      <w:r w:rsidRPr="000665B0">
        <w:t>Create/Send Activation Message</w:t>
      </w:r>
      <w:bookmarkEnd w:id="4763"/>
      <w:bookmarkEnd w:id="4764"/>
      <w:bookmarkEnd w:id="4765"/>
      <w:bookmarkEnd w:id="4766"/>
      <w:bookmarkEnd w:id="4767"/>
    </w:p>
    <w:p w14:paraId="425A0315" w14:textId="77777777" w:rsidR="00DB7D87" w:rsidRPr="000665B0" w:rsidRDefault="00DB7D87" w:rsidP="009570CA">
      <w:bookmarkStart w:id="4770" w:name="_Toc71955506"/>
      <w:bookmarkStart w:id="4771" w:name="_Toc96170078"/>
      <w:bookmarkStart w:id="4772" w:name="_Toc96234123"/>
      <w:bookmarkStart w:id="4773" w:name="_Toc112733551"/>
      <w:bookmarkStart w:id="4774" w:name="_Toc289328593"/>
      <w:r w:rsidRPr="000665B0">
        <w:t xml:space="preserve">The Activation coordination message is a request for the recipient to activate a mission in their database. The operator can only request that a mission be activated if that mission is activated in their own database. </w:t>
      </w:r>
    </w:p>
    <w:p w14:paraId="12351FC3" w14:textId="77777777" w:rsidR="00DB7D87" w:rsidRPr="000665B0" w:rsidRDefault="00DB7D87" w:rsidP="009570CA">
      <w:r w:rsidRPr="000665B0">
        <w:t>When the recipient processes the message, the missions specified will be activated from the recipient’s end.</w:t>
      </w:r>
    </w:p>
    <w:p w14:paraId="1B103B3B" w14:textId="77777777" w:rsidR="00DB7D87" w:rsidRPr="000665B0" w:rsidRDefault="00DB7D87" w:rsidP="009570CA">
      <w:r w:rsidRPr="000665B0">
        <w:t>To create/send an activation message:</w:t>
      </w:r>
    </w:p>
    <w:p w14:paraId="58BD1389" w14:textId="77777777" w:rsidR="00DB7D87" w:rsidRPr="000665B0" w:rsidRDefault="00DB7D87" w:rsidP="006D5A65">
      <w:pPr>
        <w:pStyle w:val="Heading1"/>
      </w:pPr>
      <w:r w:rsidRPr="000665B0">
        <w:lastRenderedPageBreak/>
        <w:t>Navigate to the Coordination Template Tool.</w:t>
      </w:r>
    </w:p>
    <w:p w14:paraId="170B4AF1" w14:textId="77777777" w:rsidR="00126BA2" w:rsidRPr="000665B0" w:rsidRDefault="00126BA2" w:rsidP="006D5A65">
      <w:pPr>
        <w:pStyle w:val="Heading1"/>
      </w:pPr>
      <w:r w:rsidRPr="000665B0">
        <w:t xml:space="preserve">From the </w:t>
      </w:r>
      <w:r w:rsidRPr="00813EA3">
        <w:t>File</w:t>
      </w:r>
      <w:r w:rsidRPr="000665B0">
        <w:t xml:space="preserve"> menu select </w:t>
      </w:r>
      <w:r w:rsidRPr="00813EA3">
        <w:t>New</w:t>
      </w:r>
      <w:r w:rsidRPr="000665B0">
        <w:t xml:space="preserve">, click the </w:t>
      </w:r>
      <w:r w:rsidRPr="00813EA3">
        <w:t>New</w:t>
      </w:r>
      <w:r w:rsidRPr="000665B0">
        <w:t xml:space="preserve"> </w:t>
      </w:r>
      <w:r w:rsidRPr="000665B0">
        <w:rPr>
          <w:noProof/>
        </w:rPr>
        <w:drawing>
          <wp:inline distT="0" distB="0" distL="0" distR="0" wp14:anchorId="5C109019" wp14:editId="0274F9C9">
            <wp:extent cx="152400" cy="152400"/>
            <wp:effectExtent l="0" t="0" r="0" b="0"/>
            <wp:docPr id="78" name="Picture 78" descr="Description: 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Description: 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r w:rsidRPr="00813EA3">
        <w:rPr>
          <w:szCs w:val="24"/>
        </w:rPr>
        <w:t xml:space="preserve">, or </w:t>
      </w:r>
      <w:r w:rsidRPr="00813EA3">
        <w:rPr>
          <w:noProof/>
          <w:szCs w:val="24"/>
        </w:rPr>
        <w:t>invoke the context menu (right-click the mouse) and select New…</w:t>
      </w:r>
      <w:r w:rsidRPr="000665B0">
        <w:t>.</w:t>
      </w:r>
      <w:r w:rsidRPr="005908F9">
        <w:t xml:space="preserve"> </w:t>
      </w:r>
      <w:r w:rsidRPr="000665B0">
        <w:t xml:space="preserve">A new </w:t>
      </w:r>
      <w:r w:rsidRPr="00813EA3">
        <w:rPr>
          <w:i/>
        </w:rPr>
        <w:t>Coordination Template</w:t>
      </w:r>
      <w:r w:rsidRPr="000665B0">
        <w:t xml:space="preserve"> window is displayed.</w:t>
      </w:r>
    </w:p>
    <w:p w14:paraId="2746B67A" w14:textId="0D23A366" w:rsidR="00126BA2" w:rsidRDefault="00126BA2" w:rsidP="006D5A65">
      <w:pPr>
        <w:pStyle w:val="Heading1"/>
      </w:pPr>
      <w:r>
        <w:t>Select Appropriate Distribution Mode: (Comms or Media). There are common elements to both, the difference is seen in the middle portion of the window.</w:t>
      </w:r>
    </w:p>
    <w:p w14:paraId="5ED31F44" w14:textId="77777777" w:rsidR="00126BA2" w:rsidRDefault="00126BA2" w:rsidP="009570CA">
      <w:pPr>
        <w:pStyle w:val="Number0205"/>
        <w:ind w:left="0" w:firstLine="0"/>
        <w:jc w:val="center"/>
      </w:pPr>
      <w:r w:rsidRPr="001379C8">
        <w:rPr>
          <w:noProof/>
        </w:rPr>
        <w:drawing>
          <wp:inline distT="0" distB="0" distL="0" distR="0" wp14:anchorId="5C9F3A4E" wp14:editId="13A98677">
            <wp:extent cx="2286000" cy="2130552"/>
            <wp:effectExtent l="0" t="0" r="0" b="0"/>
            <wp:docPr id="181" name="Picture 18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a:stretch>
                      <a:fillRect/>
                    </a:stretch>
                  </pic:blipFill>
                  <pic:spPr>
                    <a:xfrm>
                      <a:off x="0" y="0"/>
                      <a:ext cx="2286000" cy="2130552"/>
                    </a:xfrm>
                    <a:prstGeom prst="rect">
                      <a:avLst/>
                    </a:prstGeom>
                  </pic:spPr>
                </pic:pic>
              </a:graphicData>
            </a:graphic>
          </wp:inline>
        </w:drawing>
      </w:r>
      <w:r>
        <w:t xml:space="preserve"> </w:t>
      </w:r>
      <w:r w:rsidRPr="00BA1623">
        <w:rPr>
          <w:noProof/>
        </w:rPr>
        <w:drawing>
          <wp:inline distT="0" distB="0" distL="0" distR="0" wp14:anchorId="2904BCD6" wp14:editId="422E35A7">
            <wp:extent cx="2286000" cy="2093976"/>
            <wp:effectExtent l="0" t="0" r="0" b="0"/>
            <wp:docPr id="242" name="Picture 24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a:stretch>
                      <a:fillRect/>
                    </a:stretch>
                  </pic:blipFill>
                  <pic:spPr>
                    <a:xfrm>
                      <a:off x="0" y="0"/>
                      <a:ext cx="2286000" cy="2093976"/>
                    </a:xfrm>
                    <a:prstGeom prst="rect">
                      <a:avLst/>
                    </a:prstGeom>
                  </pic:spPr>
                </pic:pic>
              </a:graphicData>
            </a:graphic>
          </wp:inline>
        </w:drawing>
      </w:r>
    </w:p>
    <w:p w14:paraId="64634F57" w14:textId="77777777" w:rsidR="00126BA2" w:rsidRDefault="00126BA2" w:rsidP="006D5A65">
      <w:pPr>
        <w:pStyle w:val="Heading1"/>
      </w:pPr>
      <w:r>
        <w:t>C</w:t>
      </w:r>
      <w:r w:rsidRPr="000665B0">
        <w:t xml:space="preserve">lick the </w:t>
      </w:r>
      <w:r w:rsidRPr="009A043D">
        <w:rPr>
          <w:bCs/>
        </w:rPr>
        <w:t>To</w:t>
      </w:r>
      <w:r w:rsidRPr="00B925CF">
        <w:rPr>
          <w:bCs/>
        </w:rPr>
        <w:t>…</w:t>
      </w:r>
      <w:r w:rsidRPr="000665B0">
        <w:t xml:space="preserve"> button to determine recipients.</w:t>
      </w:r>
    </w:p>
    <w:p w14:paraId="50E79C10" w14:textId="77777777" w:rsidR="00126BA2" w:rsidRDefault="00126BA2" w:rsidP="009570CA">
      <w:pPr>
        <w:pStyle w:val="Number0205"/>
        <w:ind w:left="0" w:firstLine="0"/>
        <w:jc w:val="center"/>
      </w:pPr>
      <w:r w:rsidRPr="001379C8">
        <w:rPr>
          <w:noProof/>
        </w:rPr>
        <w:drawing>
          <wp:inline distT="0" distB="0" distL="0" distR="0" wp14:anchorId="1B5EB1E0" wp14:editId="030DE143">
            <wp:extent cx="3788695" cy="1992854"/>
            <wp:effectExtent l="0" t="0" r="0" b="0"/>
            <wp:docPr id="245" name="Picture 24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a:stretch>
                      <a:fillRect/>
                    </a:stretch>
                  </pic:blipFill>
                  <pic:spPr>
                    <a:xfrm>
                      <a:off x="0" y="0"/>
                      <a:ext cx="3797173" cy="1997314"/>
                    </a:xfrm>
                    <a:prstGeom prst="rect">
                      <a:avLst/>
                    </a:prstGeom>
                  </pic:spPr>
                </pic:pic>
              </a:graphicData>
            </a:graphic>
          </wp:inline>
        </w:drawing>
      </w:r>
    </w:p>
    <w:p w14:paraId="1D6ADC2F" w14:textId="77777777" w:rsidR="00126BA2" w:rsidRDefault="00126BA2" w:rsidP="006D5A65">
      <w:pPr>
        <w:pStyle w:val="Heading1"/>
      </w:pPr>
      <w:r w:rsidRPr="000665B0">
        <w:t xml:space="preserve">Select the appropriate recipients (MDS or TTWCS Nodes only) in the left column of the Address Book, click the </w:t>
      </w:r>
      <w:r w:rsidRPr="00B925CF">
        <w:rPr>
          <w:bCs/>
        </w:rPr>
        <w:t>Add</w:t>
      </w:r>
      <w:r w:rsidRPr="009A043D">
        <w:rPr>
          <w:bCs/>
        </w:rPr>
        <w:t xml:space="preserve"> –&gt;</w:t>
      </w:r>
      <w:r w:rsidRPr="000665B0">
        <w:t xml:space="preserve"> button to move the selected recipient to the right column</w:t>
      </w:r>
      <w:r>
        <w:t>.</w:t>
      </w:r>
      <w:r w:rsidRPr="000665B0">
        <w:t xml:space="preserve"> </w:t>
      </w:r>
      <w:r>
        <w:t>C</w:t>
      </w:r>
      <w:r w:rsidRPr="000665B0">
        <w:t xml:space="preserve">lick the </w:t>
      </w:r>
      <w:r w:rsidRPr="009A043D">
        <w:rPr>
          <w:bCs/>
        </w:rPr>
        <w:t>OK</w:t>
      </w:r>
      <w:r w:rsidRPr="000665B0">
        <w:t xml:space="preserve"> button when complete.</w:t>
      </w:r>
    </w:p>
    <w:p w14:paraId="278DBB09" w14:textId="32973EE7" w:rsidR="00126BA2" w:rsidRPr="00126BA2" w:rsidRDefault="00126BA2" w:rsidP="009570CA">
      <w:pPr>
        <w:pStyle w:val="Number0205"/>
        <w:ind w:left="720" w:firstLine="0"/>
        <w:rPr>
          <w:color w:val="000000" w:themeColor="text1"/>
        </w:rPr>
      </w:pPr>
      <w:r w:rsidRPr="00126BA2">
        <w:rPr>
          <w:rStyle w:val="normaltextrun"/>
          <w:color w:val="000000" w:themeColor="text1"/>
          <w:shd w:val="clear" w:color="auto" w:fill="FFFFFF"/>
        </w:rPr>
        <w:t>After clicking OK, the appropriate platform types will be automatically checked in the Media Information pane’s Version Options section (see Step 7.</w:t>
      </w:r>
      <w:r w:rsidR="001936AA">
        <w:rPr>
          <w:rStyle w:val="normaltextrun"/>
          <w:color w:val="000000" w:themeColor="text1"/>
          <w:shd w:val="clear" w:color="auto" w:fill="FFFFFF"/>
        </w:rPr>
        <w:t>b</w:t>
      </w:r>
      <w:r w:rsidRPr="00126BA2">
        <w:rPr>
          <w:rStyle w:val="normaltextrun"/>
          <w:color w:val="000000" w:themeColor="text1"/>
          <w:shd w:val="clear" w:color="auto" w:fill="FFFFFF"/>
        </w:rPr>
        <w:t>.iv).</w:t>
      </w:r>
    </w:p>
    <w:p w14:paraId="034D1872" w14:textId="77777777" w:rsidR="00126BA2" w:rsidRDefault="00126BA2" w:rsidP="006D5A65">
      <w:pPr>
        <w:pStyle w:val="Heading1"/>
      </w:pPr>
      <w:r w:rsidRPr="000665B0">
        <w:lastRenderedPageBreak/>
        <w:t>Enter an Objective for the message. (Optional).</w:t>
      </w:r>
    </w:p>
    <w:p w14:paraId="3FAF8E87" w14:textId="77777777" w:rsidR="00126BA2" w:rsidRPr="00D556C2" w:rsidRDefault="00126BA2" w:rsidP="006D5A65">
      <w:pPr>
        <w:pStyle w:val="Heading1"/>
      </w:pPr>
      <w:r>
        <w:t>Configure</w:t>
      </w:r>
      <w:r w:rsidRPr="00D556C2">
        <w:t xml:space="preserve"> the Distribution Mode</w:t>
      </w:r>
      <w:r>
        <w:t>.</w:t>
      </w:r>
    </w:p>
    <w:p w14:paraId="4CFBA4F7" w14:textId="77777777" w:rsidR="00126BA2" w:rsidRPr="00126BA2" w:rsidRDefault="00126BA2" w:rsidP="006D5A65">
      <w:pPr>
        <w:pStyle w:val="Heading1"/>
      </w:pPr>
      <w:r w:rsidRPr="00126BA2">
        <w:t xml:space="preserve">If using </w:t>
      </w:r>
      <w:r w:rsidRPr="00126BA2">
        <w:rPr>
          <w:bCs/>
        </w:rPr>
        <w:t>Comms</w:t>
      </w:r>
      <w:r w:rsidRPr="00126BA2">
        <w:t xml:space="preserve">: </w:t>
      </w:r>
    </w:p>
    <w:p w14:paraId="6CF472FE" w14:textId="77777777" w:rsidR="00126BA2" w:rsidRPr="00126BA2" w:rsidRDefault="00126BA2" w:rsidP="006D5A65">
      <w:pPr>
        <w:pStyle w:val="Heading1"/>
      </w:pPr>
      <w:r w:rsidRPr="00126BA2">
        <w:t>Select a precedence using the appropriate radio button. Optionally, select the Override SID checkbox and enter a SID to supersede all ADDEE SID numbers.</w:t>
      </w:r>
    </w:p>
    <w:p w14:paraId="78EC5D40" w14:textId="77777777" w:rsidR="00126BA2" w:rsidRPr="00126BA2" w:rsidRDefault="00126BA2" w:rsidP="006D5A65">
      <w:pPr>
        <w:pStyle w:val="Heading1"/>
      </w:pPr>
      <w:r w:rsidRPr="00126BA2">
        <w:t xml:space="preserve">If using </w:t>
      </w:r>
      <w:r w:rsidRPr="00126BA2">
        <w:rPr>
          <w:bCs/>
        </w:rPr>
        <w:t>Media</w:t>
      </w:r>
      <w:r w:rsidRPr="00126BA2">
        <w:t>:</w:t>
      </w:r>
    </w:p>
    <w:p w14:paraId="1EC25E82" w14:textId="77777777" w:rsidR="00126BA2" w:rsidRPr="00126BA2" w:rsidRDefault="00126BA2" w:rsidP="006D5A65">
      <w:pPr>
        <w:pStyle w:val="Heading1"/>
        <w:rPr>
          <w:rStyle w:val="normaltextrun"/>
          <w:color w:val="000000" w:themeColor="text1"/>
        </w:rPr>
      </w:pPr>
      <w:r w:rsidRPr="00126BA2">
        <w:rPr>
          <w:rStyle w:val="normaltextrun"/>
          <w:color w:val="000000" w:themeColor="text1"/>
        </w:rPr>
        <w:t xml:space="preserve">Click Browse to choose a destination. The </w:t>
      </w:r>
      <w:r w:rsidRPr="00126BA2">
        <w:rPr>
          <w:rStyle w:val="normaltextrun"/>
          <w:i/>
          <w:iCs/>
          <w:color w:val="000000" w:themeColor="text1"/>
        </w:rPr>
        <w:t>Browse for Folder</w:t>
      </w:r>
      <w:r w:rsidRPr="00126BA2">
        <w:rPr>
          <w:rStyle w:val="normaltextrun"/>
          <w:color w:val="000000" w:themeColor="text1"/>
        </w:rPr>
        <w:t xml:space="preserve"> window is displayed. </w:t>
      </w:r>
    </w:p>
    <w:p w14:paraId="21B05741" w14:textId="77777777" w:rsidR="00126BA2" w:rsidRPr="00B925CF" w:rsidRDefault="00126BA2" w:rsidP="009570CA">
      <w:pPr>
        <w:pStyle w:val="paragraph"/>
        <w:spacing w:after="0"/>
        <w:jc w:val="center"/>
        <w:textAlignment w:val="baseline"/>
        <w:rPr>
          <w:rStyle w:val="normaltextrun"/>
          <w:rFonts w:eastAsia="Batang"/>
        </w:rPr>
      </w:pPr>
      <w:r w:rsidRPr="00703D22">
        <w:rPr>
          <w:rFonts w:eastAsia="Batang"/>
          <w:noProof/>
          <w:color w:val="FF0000"/>
          <w:szCs w:val="20"/>
        </w:rPr>
        <w:drawing>
          <wp:inline distT="0" distB="0" distL="0" distR="0" wp14:anchorId="4F115EBF" wp14:editId="6783A920">
            <wp:extent cx="1828800" cy="1618488"/>
            <wp:effectExtent l="0" t="0" r="0" b="0"/>
            <wp:docPr id="252" name="Picture 25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828800" cy="1618488"/>
                    </a:xfrm>
                    <a:prstGeom prst="rect">
                      <a:avLst/>
                    </a:prstGeom>
                    <a:noFill/>
                    <a:ln>
                      <a:noFill/>
                    </a:ln>
                  </pic:spPr>
                </pic:pic>
              </a:graphicData>
            </a:graphic>
          </wp:inline>
        </w:drawing>
      </w:r>
    </w:p>
    <w:p w14:paraId="05100AAB" w14:textId="77777777" w:rsidR="00126BA2" w:rsidRPr="00126BA2" w:rsidRDefault="00126BA2" w:rsidP="006D5A65">
      <w:pPr>
        <w:pStyle w:val="Heading1"/>
        <w:rPr>
          <w:rStyle w:val="normaltextrun"/>
          <w:color w:val="000000" w:themeColor="text1"/>
        </w:rPr>
      </w:pPr>
      <w:r w:rsidRPr="00126BA2">
        <w:rPr>
          <w:rStyle w:val="normaltextrun"/>
          <w:color w:val="000000" w:themeColor="text1"/>
        </w:rPr>
        <w:t>Navigate the file system and select the location where the data is to be stored. </w:t>
      </w:r>
    </w:p>
    <w:p w14:paraId="5376027C" w14:textId="77777777" w:rsidR="00126BA2" w:rsidRPr="00126BA2" w:rsidRDefault="00126BA2" w:rsidP="006D5A65">
      <w:pPr>
        <w:pStyle w:val="Heading1"/>
        <w:rPr>
          <w:rStyle w:val="normaltextrun"/>
          <w:color w:val="000000" w:themeColor="text1"/>
        </w:rPr>
      </w:pPr>
      <w:r w:rsidRPr="00126BA2">
        <w:rPr>
          <w:rStyle w:val="normaltextrun"/>
          <w:color w:val="000000" w:themeColor="text1"/>
        </w:rPr>
        <w:t>Click OK when the location has been selected. </w:t>
      </w:r>
    </w:p>
    <w:p w14:paraId="714A2A02" w14:textId="77777777" w:rsidR="00126BA2" w:rsidRPr="00126BA2" w:rsidRDefault="00126BA2" w:rsidP="006D5A65">
      <w:pPr>
        <w:pStyle w:val="Heading1"/>
        <w:rPr>
          <w:rStyle w:val="normaltextrun"/>
          <w:color w:val="000000" w:themeColor="text1"/>
        </w:rPr>
      </w:pPr>
      <w:r w:rsidRPr="00126BA2">
        <w:rPr>
          <w:rStyle w:val="normaltextrun"/>
          <w:color w:val="000000" w:themeColor="text1"/>
        </w:rPr>
        <w:t xml:space="preserve">If additional Data formats are required, check the Version Options checkbox. </w:t>
      </w:r>
    </w:p>
    <w:p w14:paraId="453A7C32" w14:textId="77777777" w:rsidR="00126BA2" w:rsidRPr="00505494" w:rsidRDefault="00126BA2" w:rsidP="00B0379E">
      <w:pPr>
        <w:pStyle w:val="paragraph"/>
        <w:spacing w:before="120" w:beforeAutospacing="0" w:after="120" w:afterAutospacing="0"/>
        <w:jc w:val="center"/>
        <w:textAlignment w:val="baseline"/>
        <w:rPr>
          <w:rStyle w:val="normaltextrun"/>
          <w:rFonts w:eastAsia="Batang"/>
        </w:rPr>
      </w:pPr>
      <w:r>
        <w:rPr>
          <w:noProof/>
        </w:rPr>
        <w:drawing>
          <wp:inline distT="0" distB="0" distL="0" distR="0" wp14:anchorId="28B5564C" wp14:editId="46635A85">
            <wp:extent cx="2797603" cy="721701"/>
            <wp:effectExtent l="0" t="0" r="0" b="0"/>
            <wp:docPr id="258" name="Picture 25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rotWithShape="1">
                    <a:blip/>
                    <a:srcRect t="49796" b="22163"/>
                    <a:stretch/>
                  </pic:blipFill>
                  <pic:spPr bwMode="auto">
                    <a:xfrm>
                      <a:off x="0" y="0"/>
                      <a:ext cx="2808163" cy="724425"/>
                    </a:xfrm>
                    <a:prstGeom prst="rect">
                      <a:avLst/>
                    </a:prstGeom>
                    <a:ln>
                      <a:noFill/>
                    </a:ln>
                    <a:extLst>
                      <a:ext uri="{53640926-AAD7-44D8-BBD7-CCE9431645EC}">
                        <a14:shadowObscured xmlns:a14="http://schemas.microsoft.com/office/drawing/2010/main"/>
                      </a:ext>
                    </a:extLst>
                  </pic:spPr>
                </pic:pic>
              </a:graphicData>
            </a:graphic>
          </wp:inline>
        </w:drawing>
      </w:r>
    </w:p>
    <w:p w14:paraId="6FBB7289" w14:textId="77777777" w:rsidR="00126BA2" w:rsidRPr="00126BA2" w:rsidRDefault="00126BA2" w:rsidP="006D5A65">
      <w:pPr>
        <w:pStyle w:val="Heading1"/>
        <w:rPr>
          <w:rStyle w:val="normaltextrun"/>
          <w:color w:val="000000" w:themeColor="text1"/>
        </w:rPr>
      </w:pPr>
      <w:r w:rsidRPr="00126BA2">
        <w:rPr>
          <w:rStyle w:val="normaltextrun"/>
          <w:color w:val="000000" w:themeColor="text1"/>
        </w:rPr>
        <w:t>If a particular platform version is unchecked, and there exist platforms in the recipient list (see Step 5) that share the same version, the recipient list will automatically remove those platforms.</w:t>
      </w:r>
    </w:p>
    <w:p w14:paraId="1BE60D73" w14:textId="0AC4A13B" w:rsidR="00126BA2" w:rsidRPr="00126BA2" w:rsidRDefault="00126BA2" w:rsidP="006D5A65">
      <w:pPr>
        <w:pStyle w:val="Heading1"/>
      </w:pPr>
      <w:r w:rsidRPr="00126BA2">
        <w:rPr>
          <w:rStyle w:val="normaltextrun"/>
          <w:color w:val="000000" w:themeColor="text1"/>
        </w:rPr>
        <w:t>Additional platform versions can be added by selecting the appropriate checkbox(es) for the intended platform type recipient(s)</w:t>
      </w:r>
      <w:r>
        <w:rPr>
          <w:rStyle w:val="normaltextrun"/>
          <w:color w:val="000000" w:themeColor="text1"/>
        </w:rPr>
        <w:t>.</w:t>
      </w:r>
    </w:p>
    <w:p w14:paraId="639EBEF4" w14:textId="77777777" w:rsidR="00126BA2" w:rsidRPr="000665B0" w:rsidRDefault="00126BA2" w:rsidP="006D5A65">
      <w:pPr>
        <w:pStyle w:val="Heading1"/>
      </w:pPr>
      <w:r w:rsidRPr="000665B0">
        <w:t xml:space="preserve">Select the </w:t>
      </w:r>
      <w:r w:rsidRPr="00A0163E">
        <w:rPr>
          <w:bCs/>
          <w:i/>
          <w:iCs/>
        </w:rPr>
        <w:t>Activate</w:t>
      </w:r>
      <w:r w:rsidRPr="000665B0">
        <w:t xml:space="preserve"> tab.</w:t>
      </w:r>
    </w:p>
    <w:p w14:paraId="2B2CDE1D" w14:textId="418C91D1" w:rsidR="00DB7D87" w:rsidRPr="000665B0" w:rsidRDefault="00DB7D87" w:rsidP="006D5A65">
      <w:pPr>
        <w:pStyle w:val="Heading1"/>
      </w:pPr>
      <w:r w:rsidRPr="000665B0">
        <w:t>Invoke the context menu (</w:t>
      </w:r>
      <w:r w:rsidR="002E5173" w:rsidRPr="000665B0">
        <w:t>right</w:t>
      </w:r>
      <w:r w:rsidR="00132D1A" w:rsidRPr="000665B0">
        <w:t>-</w:t>
      </w:r>
      <w:r w:rsidR="002E5173" w:rsidRPr="000665B0">
        <w:t>click</w:t>
      </w:r>
      <w:r w:rsidRPr="000665B0">
        <w:t xml:space="preserve"> the mouse) in the white area and select </w:t>
      </w:r>
      <w:r w:rsidRPr="000665B0">
        <w:rPr>
          <w:bCs/>
        </w:rPr>
        <w:t>Add</w:t>
      </w:r>
      <w:r w:rsidRPr="000665B0">
        <w:t xml:space="preserve"> </w:t>
      </w:r>
      <w:r w:rsidRPr="000665B0">
        <w:sym w:font="Wingdings 3" w:char="F07D"/>
      </w:r>
      <w:r w:rsidRPr="000665B0">
        <w:rPr>
          <w:bCs/>
        </w:rPr>
        <w:t xml:space="preserve"> Mission </w:t>
      </w:r>
      <w:r w:rsidRPr="000665B0">
        <w:t>to display a list of missions to choose. This list only contains Active missions, as the operator cannot request the activation of missions if they are currently deactivated in their database.</w:t>
      </w:r>
    </w:p>
    <w:p w14:paraId="7351BE5F" w14:textId="77777777" w:rsidR="00DB7D87" w:rsidRPr="000665B0" w:rsidRDefault="00DB7D87" w:rsidP="006D5A65">
      <w:pPr>
        <w:pStyle w:val="Heading1"/>
      </w:pPr>
      <w:r w:rsidRPr="000665B0">
        <w:t>Select the desired missions and click the OK button.</w:t>
      </w:r>
    </w:p>
    <w:p w14:paraId="2201396D" w14:textId="77777777" w:rsidR="00DB7D87" w:rsidRPr="000665B0" w:rsidRDefault="00DB7D87" w:rsidP="009570CA">
      <w:pPr>
        <w:pStyle w:val="Number0205"/>
        <w:ind w:left="360" w:firstLine="0"/>
      </w:pPr>
      <w:r w:rsidRPr="000665B0">
        <w:t>or</w:t>
      </w:r>
    </w:p>
    <w:p w14:paraId="2404C844" w14:textId="77777777" w:rsidR="00DB7D87" w:rsidRPr="000665B0" w:rsidRDefault="00DB7D87" w:rsidP="006D5A65">
      <w:pPr>
        <w:pStyle w:val="Heading1"/>
      </w:pPr>
      <w:r w:rsidRPr="000665B0">
        <w:lastRenderedPageBreak/>
        <w:t xml:space="preserve">Select the </w:t>
      </w:r>
      <w:r w:rsidRPr="000665B0">
        <w:rPr>
          <w:bCs/>
        </w:rPr>
        <w:t>Add</w:t>
      </w:r>
      <w:r w:rsidRPr="000665B0">
        <w:t xml:space="preserve"> </w:t>
      </w:r>
      <w:r w:rsidRPr="000665B0">
        <w:sym w:font="Wingdings 3" w:char="F07D"/>
      </w:r>
      <w:r w:rsidRPr="000665B0">
        <w:rPr>
          <w:bCs/>
        </w:rPr>
        <w:t xml:space="preserve"> Mission Library</w:t>
      </w:r>
      <w:r w:rsidRPr="000665B0">
        <w:t xml:space="preserve"> option to display a list of all Mission Libraries to choose from. </w:t>
      </w:r>
    </w:p>
    <w:p w14:paraId="66839EFC" w14:textId="77777777" w:rsidR="00DB7D87" w:rsidRPr="000665B0" w:rsidRDefault="00DB7D87" w:rsidP="006D5A65">
      <w:pPr>
        <w:pStyle w:val="Heading1"/>
      </w:pPr>
      <w:r w:rsidRPr="000665B0">
        <w:t xml:space="preserve">Select the desired Mission Library(ies) and click the </w:t>
      </w:r>
      <w:r w:rsidRPr="000665B0">
        <w:rPr>
          <w:bCs/>
        </w:rPr>
        <w:t>OK</w:t>
      </w:r>
      <w:r w:rsidRPr="000665B0">
        <w:t xml:space="preserve"> button.</w:t>
      </w:r>
    </w:p>
    <w:p w14:paraId="627711EC" w14:textId="77777777" w:rsidR="00DB7D87" w:rsidRPr="000665B0" w:rsidRDefault="00DB7D87" w:rsidP="006D5A65">
      <w:pPr>
        <w:pStyle w:val="Heading1"/>
      </w:pPr>
      <w:r w:rsidRPr="000665B0">
        <w:t xml:space="preserve">Click the </w:t>
      </w:r>
      <w:r w:rsidRPr="000665B0">
        <w:rPr>
          <w:bCs/>
        </w:rPr>
        <w:t>Save</w:t>
      </w:r>
      <w:r w:rsidRPr="000665B0">
        <w:t xml:space="preserve"> icon in the toolbar to retain the template.</w:t>
      </w:r>
    </w:p>
    <w:p w14:paraId="0CF7658D" w14:textId="77777777" w:rsidR="00DB7D87" w:rsidRPr="000665B0" w:rsidRDefault="00DB7D87" w:rsidP="006D5A65">
      <w:pPr>
        <w:pStyle w:val="Heading1"/>
      </w:pPr>
      <w:r w:rsidRPr="000665B0">
        <w:t xml:space="preserve">Click the </w:t>
      </w:r>
      <w:r w:rsidRPr="000665B0">
        <w:rPr>
          <w:bCs/>
        </w:rPr>
        <w:t>Send</w:t>
      </w:r>
      <w:r w:rsidRPr="000665B0">
        <w:t xml:space="preserve"> icon in the toolbar to transmit the message. If a mission in the list is currently deactivated in the database, a message appears indicating the action cannot be completed and the operator should remove those missions before reattempting the transmission.</w:t>
      </w:r>
    </w:p>
    <w:p w14:paraId="09FF8B66" w14:textId="77777777" w:rsidR="00DB7D87" w:rsidRPr="000665B0" w:rsidRDefault="00DB7D87" w:rsidP="009570CA">
      <w:pPr>
        <w:keepNext/>
        <w:rPr>
          <w:b/>
        </w:rPr>
      </w:pPr>
      <w:r w:rsidRPr="000665B0">
        <w:rPr>
          <w:b/>
        </w:rPr>
        <w:t>Activate Tab</w:t>
      </w:r>
    </w:p>
    <w:p w14:paraId="0FE46562" w14:textId="16BBAFF7" w:rsidR="001932B8" w:rsidRDefault="00DB7D87" w:rsidP="009570CA">
      <w:r w:rsidRPr="000665B0">
        <w:t xml:space="preserve">The </w:t>
      </w:r>
      <w:r w:rsidRPr="000665B0">
        <w:rPr>
          <w:b/>
          <w:i/>
        </w:rPr>
        <w:t>Activate</w:t>
      </w:r>
      <w:r w:rsidRPr="000665B0">
        <w:rPr>
          <w:b/>
        </w:rPr>
        <w:t xml:space="preserve"> </w:t>
      </w:r>
      <w:r w:rsidRPr="000665B0">
        <w:t>tab contains the list information regarding which mission(s) the operator is requesting the recipient to activate.</w:t>
      </w:r>
    </w:p>
    <w:p w14:paraId="0FBF1A96" w14:textId="00CE86C2" w:rsidR="006E5C85" w:rsidRPr="000665B0" w:rsidRDefault="00D116F1" w:rsidP="009570CA">
      <w:pPr>
        <w:jc w:val="center"/>
      </w:pPr>
      <w:r>
        <w:rPr>
          <w:noProof/>
        </w:rPr>
        <w:drawing>
          <wp:inline distT="0" distB="0" distL="0" distR="0" wp14:anchorId="6DAE85CD" wp14:editId="78D66C29">
            <wp:extent cx="3601015" cy="2275840"/>
            <wp:effectExtent l="0" t="0" r="0" b="0"/>
            <wp:docPr id="607" name="Picture 60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a:stretch>
                      <a:fillRect/>
                    </a:stretch>
                  </pic:blipFill>
                  <pic:spPr>
                    <a:xfrm>
                      <a:off x="0" y="0"/>
                      <a:ext cx="3624450" cy="2290651"/>
                    </a:xfrm>
                    <a:prstGeom prst="rect">
                      <a:avLst/>
                    </a:prstGeom>
                  </pic:spPr>
                </pic:pic>
              </a:graphicData>
            </a:graphic>
          </wp:inline>
        </w:drawing>
      </w:r>
    </w:p>
    <w:p w14:paraId="519E1D1B" w14:textId="77777777" w:rsidR="00DB7D87" w:rsidRPr="000665B0" w:rsidRDefault="00DB7D87" w:rsidP="009570CA">
      <w:pPr>
        <w:rPr>
          <w:b/>
          <w:i/>
        </w:rPr>
      </w:pPr>
      <w:r w:rsidRPr="000665B0">
        <w:rPr>
          <w:b/>
          <w:i/>
        </w:rPr>
        <w:t>Activate</w:t>
      </w:r>
      <w:r w:rsidRPr="000665B0">
        <w:rPr>
          <w:b/>
        </w:rPr>
        <w:t xml:space="preserve"> </w:t>
      </w:r>
      <w:r w:rsidRPr="000665B0">
        <w:rPr>
          <w:b/>
          <w:i/>
        </w:rPr>
        <w:t>List View</w:t>
      </w:r>
    </w:p>
    <w:p w14:paraId="39CF7F82" w14:textId="77777777" w:rsidR="00DB7D87" w:rsidRPr="000665B0" w:rsidRDefault="00DB7D87" w:rsidP="006D5A65">
      <w:pPr>
        <w:pStyle w:val="Heading1"/>
      </w:pPr>
      <w:r w:rsidRPr="000665B0">
        <w:t>Columns</w:t>
      </w:r>
    </w:p>
    <w:p w14:paraId="685B6AE0" w14:textId="77777777" w:rsidR="00DB7D87" w:rsidRPr="000665B0" w:rsidRDefault="00DB7D87" w:rsidP="006D5A65">
      <w:pPr>
        <w:pStyle w:val="Heading2"/>
      </w:pPr>
      <w:r w:rsidRPr="000665B0">
        <w:rPr>
          <w:bCs/>
        </w:rPr>
        <w:t>ID</w:t>
      </w:r>
      <w:r w:rsidRPr="000665B0">
        <w:t xml:space="preserve"> – Unique ID identifying the specific data item.</w:t>
      </w:r>
    </w:p>
    <w:p w14:paraId="3C260B9A" w14:textId="77777777" w:rsidR="00D116F1" w:rsidRDefault="00DB7D87" w:rsidP="006D5A65">
      <w:pPr>
        <w:pStyle w:val="Heading2"/>
      </w:pPr>
      <w:r w:rsidRPr="000665B0">
        <w:rPr>
          <w:bCs/>
        </w:rPr>
        <w:t>Type</w:t>
      </w:r>
      <w:r w:rsidRPr="000665B0">
        <w:t xml:space="preserve"> – Data type of the data item being requested for deletion (</w:t>
      </w:r>
      <w:r w:rsidR="003509EA" w:rsidRPr="000665B0">
        <w:t xml:space="preserve">i.e., </w:t>
      </w:r>
      <w:r w:rsidRPr="000665B0">
        <w:t>Mission).</w:t>
      </w:r>
    </w:p>
    <w:p w14:paraId="1A97E931" w14:textId="77777777" w:rsidR="00D116F1" w:rsidRDefault="00D116F1" w:rsidP="006D5A65">
      <w:pPr>
        <w:pStyle w:val="Heading2"/>
      </w:pPr>
      <w:r>
        <w:rPr>
          <w:bCs/>
        </w:rPr>
        <w:t xml:space="preserve">Mission Name </w:t>
      </w:r>
      <w:r>
        <w:t>– The name of the Mission.</w:t>
      </w:r>
    </w:p>
    <w:p w14:paraId="50D9B2E6" w14:textId="4E409710" w:rsidR="00D116F1" w:rsidRDefault="00D116F1" w:rsidP="006D5A65">
      <w:pPr>
        <w:pStyle w:val="Heading2"/>
      </w:pPr>
      <w:r>
        <w:rPr>
          <w:bCs/>
        </w:rPr>
        <w:t>BE</w:t>
      </w:r>
      <w:r>
        <w:t xml:space="preserve"> – Basic Encyclopedia</w:t>
      </w:r>
      <w:r w:rsidR="001936AA">
        <w:t>:</w:t>
      </w:r>
      <w:r>
        <w:t xml:space="preserve"> An identified installation of potential significance as objectives for attack.</w:t>
      </w:r>
    </w:p>
    <w:p w14:paraId="4AB100F0" w14:textId="77777777" w:rsidR="00D116F1" w:rsidRDefault="00D116F1" w:rsidP="006D5A65">
      <w:pPr>
        <w:pStyle w:val="Heading2"/>
      </w:pPr>
      <w:r>
        <w:rPr>
          <w:bCs/>
        </w:rPr>
        <w:t>JDPI</w:t>
      </w:r>
      <w:r>
        <w:t xml:space="preserve"> – Joint Desired Point of Impact: A defined point of impact of the weapon.</w:t>
      </w:r>
    </w:p>
    <w:p w14:paraId="037DD9CC" w14:textId="77777777" w:rsidR="00D116F1" w:rsidRDefault="00D116F1" w:rsidP="006D5A65">
      <w:pPr>
        <w:pStyle w:val="Heading2"/>
      </w:pPr>
      <w:r>
        <w:rPr>
          <w:bCs/>
        </w:rPr>
        <w:t>Aimpt ID</w:t>
      </w:r>
      <w:r>
        <w:t xml:space="preserve"> – Two alphabetic characters which, in conjunction with the Installation BE number, are used to uniquely identify the point desired for intended interaction of the warhead with a target element.</w:t>
      </w:r>
    </w:p>
    <w:p w14:paraId="0E191C16" w14:textId="77777777" w:rsidR="00D116F1" w:rsidRDefault="00D116F1" w:rsidP="006D5A65">
      <w:pPr>
        <w:pStyle w:val="Heading2"/>
      </w:pPr>
      <w:r>
        <w:rPr>
          <w:bCs/>
        </w:rPr>
        <w:lastRenderedPageBreak/>
        <w:t>Missile</w:t>
      </w:r>
      <w:r>
        <w:t xml:space="preserve"> – Indicates the missile variant type.</w:t>
      </w:r>
    </w:p>
    <w:p w14:paraId="74573B93" w14:textId="77777777" w:rsidR="00D116F1" w:rsidRDefault="00D116F1" w:rsidP="006D5A65">
      <w:pPr>
        <w:pStyle w:val="Heading2"/>
      </w:pPr>
      <w:r>
        <w:rPr>
          <w:bCs/>
        </w:rPr>
        <w:t>Launch Area</w:t>
      </w:r>
      <w:r>
        <w:t xml:space="preserve"> – An area surrounding the FPPWP where a missile can be launched.</w:t>
      </w:r>
    </w:p>
    <w:p w14:paraId="51957076" w14:textId="77777777" w:rsidR="00D116F1" w:rsidRDefault="00D116F1" w:rsidP="006D5A65">
      <w:pPr>
        <w:pStyle w:val="Heading2"/>
      </w:pPr>
      <w:r>
        <w:rPr>
          <w:bCs/>
        </w:rPr>
        <w:t>Country</w:t>
      </w:r>
      <w:r>
        <w:t xml:space="preserve"> – The standard Country Code and country name from the </w:t>
      </w:r>
      <w:r>
        <w:rPr>
          <w:szCs w:val="24"/>
        </w:rPr>
        <w:t>CountryDB</w:t>
      </w:r>
      <w:r>
        <w:t xml:space="preserve"> that identifies the country </w:t>
      </w:r>
      <w:r>
        <w:rPr>
          <w:szCs w:val="24"/>
        </w:rPr>
        <w:t>where the target is located</w:t>
      </w:r>
      <w:r>
        <w:t>.</w:t>
      </w:r>
    </w:p>
    <w:p w14:paraId="6D0834A8" w14:textId="77777777" w:rsidR="00D116F1" w:rsidRDefault="00D116F1" w:rsidP="006D5A65">
      <w:pPr>
        <w:pStyle w:val="Heading2"/>
      </w:pPr>
      <w:r>
        <w:rPr>
          <w:bCs/>
        </w:rPr>
        <w:t>TEF TMPC Version(s)</w:t>
      </w:r>
      <w:r>
        <w:t xml:space="preserve"> – List of TEF TMPC Version formats that are available for the mission.</w:t>
      </w:r>
    </w:p>
    <w:p w14:paraId="6ED91068" w14:textId="77777777" w:rsidR="00D116F1" w:rsidRDefault="00D116F1" w:rsidP="00BB4EBE">
      <w:pPr>
        <w:keepNext/>
        <w:keepLines/>
        <w:pBdr>
          <w:top w:val="single" w:sz="12" w:space="0"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Pr>
          <w:b/>
        </w:rPr>
        <w:t>Note:</w:t>
      </w:r>
    </w:p>
    <w:p w14:paraId="16200C9D" w14:textId="2FCEEDCD" w:rsidR="00DB7D87" w:rsidRPr="009C0A5E" w:rsidRDefault="00D116F1" w:rsidP="00BB4EBE">
      <w:pPr>
        <w:keepNext/>
        <w:keepLines/>
        <w:pBdr>
          <w:top w:val="single" w:sz="12" w:space="0" w:color="auto"/>
          <w:left w:val="single" w:sz="12" w:space="4" w:color="auto"/>
          <w:bottom w:val="single" w:sz="12" w:space="1" w:color="auto"/>
          <w:right w:val="single" w:sz="12" w:space="4" w:color="auto"/>
        </w:pBdr>
        <w:shd w:val="clear" w:color="auto" w:fill="D9D9D9" w:themeFill="background1" w:themeFillShade="D9"/>
        <w:jc w:val="center"/>
        <w:rPr>
          <w:b/>
        </w:rPr>
      </w:pPr>
      <w:r>
        <w:rPr>
          <w:b/>
        </w:rPr>
        <w:t>The following 8 columns will display data only if the coordinate item is of type Mission: "Mission Name", "BE", "JDPI", "Aimpt ID", "Missile", "Launch Area', "Country", and "TEF TMPC Version(s)". Also, if the Mission ID input is not in the TED DB, then the column data will also be blank for these new columns. These columns are hidden by default and can be made visible through the columns properties dialog</w:t>
      </w:r>
    </w:p>
    <w:p w14:paraId="66909276" w14:textId="77777777" w:rsidR="00DB7D87" w:rsidRPr="000665B0" w:rsidRDefault="00DB7D87" w:rsidP="006D5A65">
      <w:pPr>
        <w:pStyle w:val="Heading1"/>
      </w:pPr>
      <w:r w:rsidRPr="000665B0">
        <w:t>Context Menu</w:t>
      </w:r>
    </w:p>
    <w:p w14:paraId="534FB83F" w14:textId="77777777" w:rsidR="00DB7D87" w:rsidRPr="000665B0" w:rsidRDefault="00DB7D87" w:rsidP="006D5A65">
      <w:pPr>
        <w:pStyle w:val="Heading2"/>
      </w:pPr>
      <w:r w:rsidRPr="000665B0">
        <w:t>Add…</w:t>
      </w:r>
    </w:p>
    <w:p w14:paraId="345C1AA2" w14:textId="4B0D9C87" w:rsidR="00DB7D87" w:rsidRPr="000665B0" w:rsidRDefault="00DB7D87" w:rsidP="006D5A65">
      <w:pPr>
        <w:pStyle w:val="Heading3"/>
      </w:pPr>
      <w:r w:rsidRPr="000665B0">
        <w:t xml:space="preserve">Mission… </w:t>
      </w:r>
      <w:r w:rsidR="00AA4102" w:rsidRPr="000665B0">
        <w:t xml:space="preserve">– </w:t>
      </w:r>
      <w:r w:rsidRPr="000665B0">
        <w:t>Opens the Mission selection view for the operator to select which missions should be affected.</w:t>
      </w:r>
    </w:p>
    <w:p w14:paraId="4C769935" w14:textId="77777777" w:rsidR="00DB7D87" w:rsidRPr="000665B0" w:rsidRDefault="00DB7D87" w:rsidP="006D5A65">
      <w:pPr>
        <w:pStyle w:val="Heading3"/>
      </w:pPr>
      <w:r w:rsidRPr="000665B0">
        <w:t>Mission Library… - Opens the Libraries selection view for the operator to select which missions from the selected libraries should be affected.</w:t>
      </w:r>
    </w:p>
    <w:p w14:paraId="7CE076B8" w14:textId="77777777" w:rsidR="00DB7D87" w:rsidRPr="000665B0" w:rsidRDefault="00DB7D87" w:rsidP="006D5A65">
      <w:pPr>
        <w:pStyle w:val="Heading2"/>
      </w:pPr>
      <w:r w:rsidRPr="000665B0">
        <w:t>Display</w:t>
      </w:r>
    </w:p>
    <w:p w14:paraId="4A376355" w14:textId="77777777" w:rsidR="00DB7D87" w:rsidRPr="000665B0" w:rsidRDefault="00DB7D87" w:rsidP="006D5A65">
      <w:pPr>
        <w:pStyle w:val="Heading3"/>
        <w:rPr>
          <w:rFonts w:eastAsia="Arial Unicode MS"/>
        </w:rPr>
      </w:pPr>
      <w:r w:rsidRPr="000665B0">
        <w:rPr>
          <w:rFonts w:eastAsia="Arial Unicode MS"/>
        </w:rPr>
        <w:t xml:space="preserve">in Excel – </w:t>
      </w:r>
      <w:r w:rsidRPr="000665B0">
        <w:t>Displays an Excel document containing the selected data item(s) information.</w:t>
      </w:r>
    </w:p>
    <w:p w14:paraId="49EAA2B3" w14:textId="77777777" w:rsidR="00DB7D87" w:rsidRPr="000665B0" w:rsidRDefault="00DB7D87" w:rsidP="006D5A65">
      <w:pPr>
        <w:pStyle w:val="Heading2"/>
      </w:pPr>
      <w:r w:rsidRPr="000665B0">
        <w:t>Print… - Print the selected data item’s list information.</w:t>
      </w:r>
    </w:p>
    <w:p w14:paraId="4970794E" w14:textId="77777777" w:rsidR="00DB7D87" w:rsidRPr="000665B0" w:rsidRDefault="00DB7D87" w:rsidP="006D5A65">
      <w:pPr>
        <w:pStyle w:val="Heading2"/>
      </w:pPr>
      <w:r w:rsidRPr="000665B0">
        <w:rPr>
          <w:rFonts w:eastAsia="Arial Unicode MS"/>
        </w:rPr>
        <w:t xml:space="preserve">Remove – </w:t>
      </w:r>
      <w:r w:rsidRPr="000665B0">
        <w:t>Removes the selected data item(s) from the list view.</w:t>
      </w:r>
    </w:p>
    <w:p w14:paraId="7AEA7BBA" w14:textId="3E9461C1" w:rsidR="005D1A26" w:rsidRPr="000665B0" w:rsidRDefault="005D1A26" w:rsidP="009570CA">
      <w:pPr>
        <w:pStyle w:val="Heading4"/>
      </w:pPr>
      <w:r w:rsidRPr="000665B0">
        <w:t>Create/Send Deactivation Message</w:t>
      </w:r>
      <w:bookmarkEnd w:id="4770"/>
      <w:bookmarkEnd w:id="4771"/>
      <w:bookmarkEnd w:id="4772"/>
      <w:bookmarkEnd w:id="4773"/>
      <w:bookmarkEnd w:id="4774"/>
    </w:p>
    <w:p w14:paraId="109978F9" w14:textId="77777777" w:rsidR="00DB7D87" w:rsidRPr="000665B0" w:rsidRDefault="00DB7D87" w:rsidP="009570CA">
      <w:bookmarkStart w:id="4775" w:name="_Toc71955507"/>
      <w:bookmarkStart w:id="4776" w:name="_Toc96170079"/>
      <w:bookmarkStart w:id="4777" w:name="_Toc96234124"/>
      <w:bookmarkStart w:id="4778" w:name="_Toc112733552"/>
      <w:bookmarkStart w:id="4779" w:name="_Toc289328594"/>
      <w:r w:rsidRPr="000665B0">
        <w:t>The Deactivation coordination message is a request for the recipient to deactivate a mission in their database. The operator can only request that a mission be deactivated if that mission is deactivated in their own database.</w:t>
      </w:r>
    </w:p>
    <w:p w14:paraId="6AC2993C" w14:textId="77777777" w:rsidR="00DB7D87" w:rsidRPr="000665B0" w:rsidRDefault="00DB7D87" w:rsidP="009570CA">
      <w:r w:rsidRPr="000665B0">
        <w:t>When the recipient processes the message, the missions specified are deactivated from the recipient’s end.</w:t>
      </w:r>
    </w:p>
    <w:p w14:paraId="467D7627" w14:textId="77777777" w:rsidR="00DB7D87" w:rsidRPr="000665B0" w:rsidRDefault="00DB7D87" w:rsidP="009570CA">
      <w:r w:rsidRPr="000665B0">
        <w:lastRenderedPageBreak/>
        <w:t>To create/send a deactivation message:</w:t>
      </w:r>
    </w:p>
    <w:p w14:paraId="562A8A76" w14:textId="77777777" w:rsidR="00DB7D87" w:rsidRPr="000665B0" w:rsidRDefault="00DB7D87" w:rsidP="006D5A65">
      <w:pPr>
        <w:pStyle w:val="Heading1"/>
      </w:pPr>
      <w:r w:rsidRPr="000665B0">
        <w:t>Navigate to the Coordination Template Tool.</w:t>
      </w:r>
    </w:p>
    <w:p w14:paraId="2CF047E4" w14:textId="77777777" w:rsidR="009C0A5E" w:rsidRDefault="009C0A5E" w:rsidP="006D5A65">
      <w:pPr>
        <w:pStyle w:val="Heading1"/>
      </w:pPr>
      <w:r w:rsidRPr="000665B0">
        <w:t xml:space="preserve">From the File menu select New, click the New </w:t>
      </w:r>
      <w:r w:rsidRPr="000665B0">
        <w:rPr>
          <w:noProof/>
        </w:rPr>
        <w:drawing>
          <wp:inline distT="0" distB="0" distL="0" distR="0" wp14:anchorId="51BB0292" wp14:editId="0E5E782E">
            <wp:extent cx="152400" cy="152400"/>
            <wp:effectExtent l="0" t="0" r="0" b="0"/>
            <wp:docPr id="296" name="Picture 296" descr="Description: 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Description: 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r w:rsidRPr="000665B0">
        <w:rPr>
          <w:szCs w:val="24"/>
        </w:rPr>
        <w:t xml:space="preserve">, or </w:t>
      </w:r>
      <w:r w:rsidRPr="000665B0">
        <w:rPr>
          <w:noProof/>
          <w:szCs w:val="24"/>
        </w:rPr>
        <w:t>invoke the context menu (right-click the mouse) and select New…</w:t>
      </w:r>
      <w:r w:rsidRPr="000665B0">
        <w:t>.</w:t>
      </w:r>
      <w:r w:rsidRPr="00FE4DD2">
        <w:t xml:space="preserve"> </w:t>
      </w:r>
      <w:r w:rsidRPr="000665B0">
        <w:t xml:space="preserve">A new </w:t>
      </w:r>
      <w:r w:rsidRPr="000665B0">
        <w:rPr>
          <w:i/>
        </w:rPr>
        <w:t>Coordination Template</w:t>
      </w:r>
      <w:r w:rsidRPr="000665B0">
        <w:t xml:space="preserve"> window is displayed.</w:t>
      </w:r>
    </w:p>
    <w:p w14:paraId="1902CC39" w14:textId="77777777" w:rsidR="009C0A5E" w:rsidRDefault="009C0A5E" w:rsidP="006D5A65">
      <w:pPr>
        <w:pStyle w:val="Heading1"/>
      </w:pPr>
      <w:r>
        <w:t>Select Appropriate Distribution Mode: (Comms or Media).  There are common elements to both, the difference is seen in the middle portion of the window.</w:t>
      </w:r>
    </w:p>
    <w:p w14:paraId="1B616ABF" w14:textId="77777777" w:rsidR="009C0A5E" w:rsidRDefault="009C0A5E" w:rsidP="009570CA">
      <w:pPr>
        <w:pStyle w:val="Number0205"/>
        <w:ind w:left="0" w:firstLine="0"/>
        <w:jc w:val="center"/>
      </w:pPr>
      <w:r w:rsidRPr="001379C8">
        <w:rPr>
          <w:noProof/>
        </w:rPr>
        <w:drawing>
          <wp:inline distT="0" distB="0" distL="0" distR="0" wp14:anchorId="593527B8" wp14:editId="1BAC715B">
            <wp:extent cx="2286000" cy="2130552"/>
            <wp:effectExtent l="0" t="0" r="0" b="0"/>
            <wp:docPr id="270" name="Picture 27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a:stretch>
                      <a:fillRect/>
                    </a:stretch>
                  </pic:blipFill>
                  <pic:spPr>
                    <a:xfrm>
                      <a:off x="0" y="0"/>
                      <a:ext cx="2286000" cy="2130552"/>
                    </a:xfrm>
                    <a:prstGeom prst="rect">
                      <a:avLst/>
                    </a:prstGeom>
                  </pic:spPr>
                </pic:pic>
              </a:graphicData>
            </a:graphic>
          </wp:inline>
        </w:drawing>
      </w:r>
      <w:r>
        <w:t xml:space="preserve"> </w:t>
      </w:r>
      <w:r w:rsidRPr="00BA1623">
        <w:rPr>
          <w:noProof/>
        </w:rPr>
        <w:drawing>
          <wp:inline distT="0" distB="0" distL="0" distR="0" wp14:anchorId="5BE614EA" wp14:editId="35CB9D2D">
            <wp:extent cx="2327178" cy="2131695"/>
            <wp:effectExtent l="0" t="0" r="0" b="0"/>
            <wp:docPr id="276" name="Picture 27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a:stretch>
                      <a:fillRect/>
                    </a:stretch>
                  </pic:blipFill>
                  <pic:spPr>
                    <a:xfrm>
                      <a:off x="0" y="0"/>
                      <a:ext cx="2329380" cy="2133712"/>
                    </a:xfrm>
                    <a:prstGeom prst="rect">
                      <a:avLst/>
                    </a:prstGeom>
                  </pic:spPr>
                </pic:pic>
              </a:graphicData>
            </a:graphic>
          </wp:inline>
        </w:drawing>
      </w:r>
    </w:p>
    <w:p w14:paraId="0348D22B" w14:textId="77777777" w:rsidR="009C0A5E" w:rsidRDefault="009C0A5E" w:rsidP="006D5A65">
      <w:pPr>
        <w:pStyle w:val="Heading1"/>
      </w:pPr>
      <w:r>
        <w:rPr>
          <w:noProof/>
        </w:rPr>
        <w:t>C</w:t>
      </w:r>
      <w:r w:rsidRPr="000665B0">
        <w:t xml:space="preserve">lick the </w:t>
      </w:r>
      <w:r w:rsidRPr="000665B0">
        <w:rPr>
          <w:bCs/>
        </w:rPr>
        <w:t>To</w:t>
      </w:r>
      <w:r>
        <w:rPr>
          <w:bCs/>
        </w:rPr>
        <w:t>…</w:t>
      </w:r>
      <w:r w:rsidRPr="000665B0">
        <w:t xml:space="preserve"> button to determine recipients.</w:t>
      </w:r>
    </w:p>
    <w:p w14:paraId="1BB3789E" w14:textId="77777777" w:rsidR="009C0A5E" w:rsidRPr="000665B0" w:rsidRDefault="009C0A5E" w:rsidP="009570CA">
      <w:pPr>
        <w:pStyle w:val="Number0205"/>
        <w:ind w:left="0" w:firstLine="0"/>
        <w:jc w:val="center"/>
      </w:pPr>
      <w:r w:rsidRPr="001379C8">
        <w:rPr>
          <w:noProof/>
        </w:rPr>
        <w:drawing>
          <wp:inline distT="0" distB="0" distL="0" distR="0" wp14:anchorId="0C24E531" wp14:editId="1B54C1D9">
            <wp:extent cx="4572000" cy="2404872"/>
            <wp:effectExtent l="0" t="0" r="0" b="0"/>
            <wp:docPr id="405" name="Picture 40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a:stretch>
                      <a:fillRect/>
                    </a:stretch>
                  </pic:blipFill>
                  <pic:spPr>
                    <a:xfrm>
                      <a:off x="0" y="0"/>
                      <a:ext cx="4572000" cy="2404872"/>
                    </a:xfrm>
                    <a:prstGeom prst="rect">
                      <a:avLst/>
                    </a:prstGeom>
                  </pic:spPr>
                </pic:pic>
              </a:graphicData>
            </a:graphic>
          </wp:inline>
        </w:drawing>
      </w:r>
    </w:p>
    <w:p w14:paraId="4F26F355" w14:textId="00039476" w:rsidR="009C0A5E" w:rsidRDefault="009C0A5E" w:rsidP="006D5A65">
      <w:pPr>
        <w:pStyle w:val="Heading1"/>
      </w:pPr>
      <w:r w:rsidRPr="000665B0">
        <w:t xml:space="preserve">Select the appropriate recipients (MDS or TTWCS Nodes only) in the left column of the Address Book, click the </w:t>
      </w:r>
      <w:r w:rsidRPr="00B04ED8">
        <w:t>A</w:t>
      </w:r>
      <w:r w:rsidR="00673D70">
        <w:t>dd</w:t>
      </w:r>
      <w:r w:rsidRPr="00B04ED8">
        <w:t xml:space="preserve"> –&gt;</w:t>
      </w:r>
      <w:r w:rsidRPr="000665B0">
        <w:rPr>
          <w:bCs/>
        </w:rPr>
        <w:t xml:space="preserve"> </w:t>
      </w:r>
      <w:r w:rsidRPr="000665B0">
        <w:t>button to move the selected recipient to the right column</w:t>
      </w:r>
      <w:r>
        <w:t>.</w:t>
      </w:r>
      <w:r w:rsidRPr="000665B0">
        <w:t xml:space="preserve"> </w:t>
      </w:r>
      <w:r>
        <w:t>C</w:t>
      </w:r>
      <w:r w:rsidRPr="000665B0">
        <w:t>lick</w:t>
      </w:r>
      <w:r w:rsidRPr="00BC0CF0">
        <w:t xml:space="preserve"> </w:t>
      </w:r>
      <w:r w:rsidRPr="000665B0">
        <w:t>the OK button when complete.</w:t>
      </w:r>
    </w:p>
    <w:p w14:paraId="2451DB9F" w14:textId="6FB05D10" w:rsidR="009C0A5E" w:rsidRPr="009C0A5E" w:rsidRDefault="009C0A5E" w:rsidP="009570CA">
      <w:pPr>
        <w:pStyle w:val="Number0205"/>
        <w:ind w:left="720" w:firstLine="0"/>
        <w:rPr>
          <w:color w:val="000000" w:themeColor="text1"/>
        </w:rPr>
      </w:pPr>
      <w:r w:rsidRPr="009C0A5E">
        <w:rPr>
          <w:rStyle w:val="normaltextrun"/>
          <w:color w:val="000000" w:themeColor="text1"/>
          <w:shd w:val="clear" w:color="auto" w:fill="FFFFFF"/>
        </w:rPr>
        <w:t>After clicking OK, the appropriate platform types will be automatically checked in the Media Information pane’s Version Options section (</w:t>
      </w:r>
      <w:r w:rsidRPr="00AE212D">
        <w:rPr>
          <w:rStyle w:val="normaltextrun"/>
          <w:color w:val="000000" w:themeColor="text1"/>
          <w:shd w:val="clear" w:color="auto" w:fill="FFFFFF"/>
        </w:rPr>
        <w:t>see Step 7.</w:t>
      </w:r>
      <w:r w:rsidR="00673D70">
        <w:rPr>
          <w:rStyle w:val="normaltextrun"/>
          <w:color w:val="000000" w:themeColor="text1"/>
          <w:shd w:val="clear" w:color="auto" w:fill="FFFFFF"/>
        </w:rPr>
        <w:t>b</w:t>
      </w:r>
      <w:r w:rsidRPr="00AE212D">
        <w:rPr>
          <w:rStyle w:val="normaltextrun"/>
          <w:color w:val="000000" w:themeColor="text1"/>
          <w:shd w:val="clear" w:color="auto" w:fill="FFFFFF"/>
        </w:rPr>
        <w:t>.iv</w:t>
      </w:r>
      <w:r w:rsidRPr="009C0A5E">
        <w:rPr>
          <w:rStyle w:val="normaltextrun"/>
          <w:color w:val="000000" w:themeColor="text1"/>
          <w:shd w:val="clear" w:color="auto" w:fill="FFFFFF"/>
        </w:rPr>
        <w:t>).</w:t>
      </w:r>
      <w:r w:rsidRPr="009C0A5E">
        <w:rPr>
          <w:rStyle w:val="eop"/>
          <w:color w:val="000000" w:themeColor="text1"/>
          <w:shd w:val="clear" w:color="auto" w:fill="FFFFFF"/>
        </w:rPr>
        <w:t> </w:t>
      </w:r>
    </w:p>
    <w:p w14:paraId="73633122" w14:textId="77777777" w:rsidR="009C0A5E" w:rsidRDefault="009C0A5E" w:rsidP="006D5A65">
      <w:pPr>
        <w:pStyle w:val="Heading1"/>
      </w:pPr>
      <w:r w:rsidRPr="000665B0">
        <w:lastRenderedPageBreak/>
        <w:t>Enter an Objective for the message. (Optional).</w:t>
      </w:r>
    </w:p>
    <w:p w14:paraId="3F60E568" w14:textId="7DBE2671" w:rsidR="009C0A5E" w:rsidRPr="00527B57" w:rsidRDefault="009C0A5E" w:rsidP="006D5A65">
      <w:pPr>
        <w:pStyle w:val="Heading1"/>
      </w:pPr>
      <w:bookmarkStart w:id="4780" w:name="_Hlk136871496"/>
      <w:r w:rsidRPr="00527B57">
        <w:t>Configure the Distribution Mode</w:t>
      </w:r>
      <w:r>
        <w:t>.</w:t>
      </w:r>
    </w:p>
    <w:p w14:paraId="034D8A98" w14:textId="77777777" w:rsidR="009C0A5E" w:rsidRPr="00AE212D" w:rsidRDefault="009C0A5E" w:rsidP="006D5A65">
      <w:pPr>
        <w:pStyle w:val="Heading1"/>
      </w:pPr>
      <w:r w:rsidRPr="00AE212D">
        <w:t xml:space="preserve">If using </w:t>
      </w:r>
      <w:r w:rsidRPr="00AE212D">
        <w:rPr>
          <w:bCs/>
        </w:rPr>
        <w:t>Comms</w:t>
      </w:r>
      <w:r w:rsidRPr="00AE212D">
        <w:t xml:space="preserve">: </w:t>
      </w:r>
    </w:p>
    <w:p w14:paraId="50CAAB74" w14:textId="77777777" w:rsidR="009C0A5E" w:rsidRPr="00AE212D" w:rsidRDefault="009C0A5E" w:rsidP="006D5A65">
      <w:pPr>
        <w:pStyle w:val="Heading1"/>
      </w:pPr>
      <w:r w:rsidRPr="00AE212D">
        <w:t>Select a precedence using the appropriate radio button. Optionally, select the Override SID checkbox and enter a SID to supersede all ADDEE SID numbers.</w:t>
      </w:r>
    </w:p>
    <w:p w14:paraId="0A2070DD" w14:textId="77777777" w:rsidR="009C0A5E" w:rsidRPr="00AE212D" w:rsidRDefault="009C0A5E" w:rsidP="006D5A65">
      <w:pPr>
        <w:pStyle w:val="Heading1"/>
      </w:pPr>
      <w:r w:rsidRPr="00AE212D">
        <w:t xml:space="preserve">If using </w:t>
      </w:r>
      <w:r w:rsidRPr="00AE212D">
        <w:rPr>
          <w:bCs/>
        </w:rPr>
        <w:t>Media</w:t>
      </w:r>
      <w:r w:rsidRPr="00AE212D">
        <w:t>:</w:t>
      </w:r>
    </w:p>
    <w:p w14:paraId="19969219" w14:textId="77777777" w:rsidR="009C0A5E" w:rsidRPr="00AE212D" w:rsidRDefault="009C0A5E" w:rsidP="006D5A65">
      <w:pPr>
        <w:pStyle w:val="Heading1"/>
        <w:rPr>
          <w:rStyle w:val="eop"/>
          <w:color w:val="000000" w:themeColor="text1"/>
        </w:rPr>
      </w:pPr>
      <w:r w:rsidRPr="00AE212D">
        <w:rPr>
          <w:rStyle w:val="normaltextrun"/>
          <w:color w:val="000000" w:themeColor="text1"/>
        </w:rPr>
        <w:t xml:space="preserve">Click Browse to choose a destination. The </w:t>
      </w:r>
      <w:r w:rsidRPr="00AE212D">
        <w:rPr>
          <w:rStyle w:val="normaltextrun"/>
          <w:i/>
          <w:iCs/>
          <w:color w:val="000000" w:themeColor="text1"/>
        </w:rPr>
        <w:t>Browse for Folder</w:t>
      </w:r>
      <w:r w:rsidRPr="00AE212D">
        <w:rPr>
          <w:rStyle w:val="normaltextrun"/>
          <w:color w:val="000000" w:themeColor="text1"/>
        </w:rPr>
        <w:t xml:space="preserve"> window is displayed.</w:t>
      </w:r>
      <w:r w:rsidRPr="00AE212D">
        <w:rPr>
          <w:rStyle w:val="eop"/>
          <w:color w:val="000000" w:themeColor="text1"/>
        </w:rPr>
        <w:t> </w:t>
      </w:r>
    </w:p>
    <w:p w14:paraId="406F8B52" w14:textId="77777777" w:rsidR="009C0A5E" w:rsidRPr="00E00101" w:rsidRDefault="009C0A5E" w:rsidP="00E00101">
      <w:pPr>
        <w:pStyle w:val="paragraph"/>
        <w:spacing w:before="120" w:beforeAutospacing="0" w:after="120" w:afterAutospacing="0"/>
        <w:jc w:val="center"/>
        <w:textAlignment w:val="baseline"/>
        <w:rPr>
          <w:rStyle w:val="eop"/>
          <w:rFonts w:eastAsia="Batang"/>
          <w:szCs w:val="20"/>
        </w:rPr>
      </w:pPr>
      <w:r w:rsidRPr="00E00101">
        <w:rPr>
          <w:rFonts w:eastAsia="Batang"/>
          <w:noProof/>
          <w:szCs w:val="20"/>
        </w:rPr>
        <w:drawing>
          <wp:inline distT="0" distB="0" distL="0" distR="0" wp14:anchorId="0DF2EB7C" wp14:editId="03539EED">
            <wp:extent cx="2286000" cy="2029968"/>
            <wp:effectExtent l="0" t="0" r="0" b="0"/>
            <wp:docPr id="434" name="Picture 4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86000" cy="2029968"/>
                    </a:xfrm>
                    <a:prstGeom prst="rect">
                      <a:avLst/>
                    </a:prstGeom>
                    <a:noFill/>
                    <a:ln>
                      <a:noFill/>
                    </a:ln>
                  </pic:spPr>
                </pic:pic>
              </a:graphicData>
            </a:graphic>
          </wp:inline>
        </w:drawing>
      </w:r>
    </w:p>
    <w:p w14:paraId="12409226" w14:textId="77777777" w:rsidR="009C0A5E" w:rsidRPr="00AE212D" w:rsidRDefault="009C0A5E" w:rsidP="006D5A65">
      <w:pPr>
        <w:pStyle w:val="Heading1"/>
        <w:rPr>
          <w:rStyle w:val="normaltextrun"/>
          <w:color w:val="000000" w:themeColor="text1"/>
        </w:rPr>
      </w:pPr>
      <w:r w:rsidRPr="00AE212D">
        <w:rPr>
          <w:rStyle w:val="normaltextrun"/>
          <w:color w:val="000000" w:themeColor="text1"/>
        </w:rPr>
        <w:t>Navigate the file system and select the location where the data is to be stored. </w:t>
      </w:r>
    </w:p>
    <w:p w14:paraId="5233689C" w14:textId="77777777" w:rsidR="009C0A5E" w:rsidRPr="00AE212D" w:rsidRDefault="009C0A5E" w:rsidP="006D5A65">
      <w:pPr>
        <w:pStyle w:val="Heading1"/>
        <w:rPr>
          <w:rStyle w:val="normaltextrun"/>
          <w:color w:val="000000" w:themeColor="text1"/>
        </w:rPr>
      </w:pPr>
      <w:r w:rsidRPr="00AE212D">
        <w:rPr>
          <w:rStyle w:val="normaltextrun"/>
          <w:color w:val="000000" w:themeColor="text1"/>
        </w:rPr>
        <w:t xml:space="preserve">Click </w:t>
      </w:r>
      <w:r w:rsidRPr="00673D70">
        <w:rPr>
          <w:rStyle w:val="normaltextrun"/>
          <w:bCs/>
          <w:color w:val="000000" w:themeColor="text1"/>
        </w:rPr>
        <w:t>OK</w:t>
      </w:r>
      <w:r w:rsidRPr="00AE212D">
        <w:rPr>
          <w:rStyle w:val="normaltextrun"/>
          <w:color w:val="000000" w:themeColor="text1"/>
        </w:rPr>
        <w:t xml:space="preserve"> when the location has been selected. </w:t>
      </w:r>
    </w:p>
    <w:p w14:paraId="19411A57" w14:textId="550D55CF" w:rsidR="009C0A5E" w:rsidRPr="00AE212D" w:rsidRDefault="009C0A5E" w:rsidP="006D5A65">
      <w:pPr>
        <w:pStyle w:val="Heading1"/>
        <w:rPr>
          <w:rStyle w:val="normaltextrun"/>
          <w:color w:val="000000" w:themeColor="text1"/>
        </w:rPr>
      </w:pPr>
      <w:r w:rsidRPr="00AE212D">
        <w:rPr>
          <w:rStyle w:val="normaltextrun"/>
          <w:color w:val="000000" w:themeColor="text1"/>
        </w:rPr>
        <w:t xml:space="preserve">If additional </w:t>
      </w:r>
      <w:r w:rsidR="00A209E1">
        <w:rPr>
          <w:rStyle w:val="normaltextrun"/>
          <w:color w:val="000000" w:themeColor="text1"/>
        </w:rPr>
        <w:t>d</w:t>
      </w:r>
      <w:r w:rsidR="00A209E1" w:rsidRPr="00AE212D">
        <w:rPr>
          <w:rStyle w:val="normaltextrun"/>
          <w:color w:val="000000" w:themeColor="text1"/>
        </w:rPr>
        <w:t xml:space="preserve">ata </w:t>
      </w:r>
      <w:r w:rsidRPr="00AE212D">
        <w:rPr>
          <w:rStyle w:val="normaltextrun"/>
          <w:color w:val="000000" w:themeColor="text1"/>
        </w:rPr>
        <w:t xml:space="preserve">formats are required, check the Version Options checkbox. </w:t>
      </w:r>
    </w:p>
    <w:p w14:paraId="719C4422" w14:textId="77777777" w:rsidR="009C0A5E" w:rsidRPr="00AE212D" w:rsidRDefault="009C0A5E" w:rsidP="009570CA">
      <w:pPr>
        <w:pStyle w:val="paragraph"/>
        <w:spacing w:before="0" w:beforeAutospacing="0" w:after="120" w:afterAutospacing="0"/>
        <w:jc w:val="center"/>
        <w:textAlignment w:val="baseline"/>
        <w:rPr>
          <w:rStyle w:val="normaltextrun"/>
          <w:rFonts w:eastAsia="Batang"/>
          <w:color w:val="000000" w:themeColor="text1"/>
        </w:rPr>
      </w:pPr>
      <w:r w:rsidRPr="00AE212D">
        <w:rPr>
          <w:noProof/>
          <w:color w:val="000000" w:themeColor="text1"/>
        </w:rPr>
        <w:drawing>
          <wp:inline distT="0" distB="0" distL="0" distR="0" wp14:anchorId="38D52375" wp14:editId="2AE9623F">
            <wp:extent cx="3154680" cy="813816"/>
            <wp:effectExtent l="0" t="0" r="0" b="0"/>
            <wp:docPr id="439" name="Picture 43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rotWithShape="1">
                    <a:blip/>
                    <a:srcRect t="49796" b="22163"/>
                    <a:stretch/>
                  </pic:blipFill>
                  <pic:spPr bwMode="auto">
                    <a:xfrm>
                      <a:off x="0" y="0"/>
                      <a:ext cx="3154680" cy="813816"/>
                    </a:xfrm>
                    <a:prstGeom prst="rect">
                      <a:avLst/>
                    </a:prstGeom>
                    <a:ln>
                      <a:noFill/>
                    </a:ln>
                    <a:extLst>
                      <a:ext uri="{53640926-AAD7-44D8-BBD7-CCE9431645EC}">
                        <a14:shadowObscured xmlns:a14="http://schemas.microsoft.com/office/drawing/2010/main"/>
                      </a:ext>
                    </a:extLst>
                  </pic:spPr>
                </pic:pic>
              </a:graphicData>
            </a:graphic>
          </wp:inline>
        </w:drawing>
      </w:r>
    </w:p>
    <w:p w14:paraId="12EEC5F7" w14:textId="77777777" w:rsidR="009C0A5E" w:rsidRPr="00AE212D" w:rsidRDefault="009C0A5E" w:rsidP="006D5A65">
      <w:pPr>
        <w:pStyle w:val="Heading1"/>
        <w:rPr>
          <w:rStyle w:val="normaltextrun"/>
          <w:color w:val="000000" w:themeColor="text1"/>
        </w:rPr>
      </w:pPr>
      <w:r w:rsidRPr="00AE212D">
        <w:rPr>
          <w:rStyle w:val="normaltextrun"/>
          <w:color w:val="000000" w:themeColor="text1"/>
        </w:rPr>
        <w:t>If a particular platform version is unchecked, and there exist platforms in the recipient list (see Step 5) that share the same version, the recipient list will automatically remove those platforms.</w:t>
      </w:r>
    </w:p>
    <w:p w14:paraId="7C1877DB" w14:textId="3F532AFF" w:rsidR="009C0A5E" w:rsidRPr="009C0A5E" w:rsidRDefault="009C0A5E" w:rsidP="006D5A65">
      <w:pPr>
        <w:pStyle w:val="Heading1"/>
        <w:rPr>
          <w:rStyle w:val="normaltextrun"/>
        </w:rPr>
      </w:pPr>
      <w:r>
        <w:rPr>
          <w:rStyle w:val="normaltextrun"/>
        </w:rPr>
        <w:t>Additional platform versions can be added by selecting the appropriate checkbox(es) for the intended platform type recipient(s).</w:t>
      </w:r>
    </w:p>
    <w:bookmarkEnd w:id="4780"/>
    <w:p w14:paraId="4C2898A5" w14:textId="77777777" w:rsidR="00DB7D87" w:rsidRPr="000665B0" w:rsidRDefault="00DB7D87" w:rsidP="006D5A65">
      <w:pPr>
        <w:pStyle w:val="Heading1"/>
      </w:pPr>
      <w:r w:rsidRPr="000665B0">
        <w:t xml:space="preserve">Select the </w:t>
      </w:r>
      <w:r w:rsidRPr="000665B0">
        <w:rPr>
          <w:bCs/>
          <w:i/>
        </w:rPr>
        <w:t>Deactivate</w:t>
      </w:r>
      <w:r w:rsidRPr="000665B0">
        <w:t xml:space="preserve"> tab.</w:t>
      </w:r>
    </w:p>
    <w:p w14:paraId="4C74C81C" w14:textId="48C2D52B" w:rsidR="00DB7D87" w:rsidRPr="000665B0" w:rsidRDefault="00DB7D87" w:rsidP="006D5A65">
      <w:pPr>
        <w:pStyle w:val="Heading1"/>
      </w:pPr>
      <w:r w:rsidRPr="000665B0">
        <w:t>Invoke the context menu (</w:t>
      </w:r>
      <w:r w:rsidR="002E5173" w:rsidRPr="000665B0">
        <w:t>right</w:t>
      </w:r>
      <w:r w:rsidR="00132D1A" w:rsidRPr="000665B0">
        <w:t>-</w:t>
      </w:r>
      <w:r w:rsidR="002E5173" w:rsidRPr="000665B0">
        <w:t>click</w:t>
      </w:r>
      <w:r w:rsidRPr="000665B0">
        <w:t xml:space="preserve"> the mouse) in the white area and select</w:t>
      </w:r>
      <w:r w:rsidRPr="000665B0">
        <w:rPr>
          <w:bCs/>
        </w:rPr>
        <w:t xml:space="preserve"> Add</w:t>
      </w:r>
      <w:r w:rsidRPr="000665B0">
        <w:t xml:space="preserve"> </w:t>
      </w:r>
      <w:r w:rsidRPr="000665B0">
        <w:sym w:font="Wingdings 3" w:char="F07D"/>
      </w:r>
      <w:r w:rsidRPr="000665B0">
        <w:rPr>
          <w:bCs/>
        </w:rPr>
        <w:t xml:space="preserve"> Mission</w:t>
      </w:r>
      <w:r w:rsidRPr="000665B0">
        <w:t xml:space="preserve"> to display a list of missions to choose. This list only contains Deactivated missions, as an </w:t>
      </w:r>
      <w:r w:rsidRPr="000665B0">
        <w:lastRenderedPageBreak/>
        <w:t>operator cannot request the deactivation of missions if they are currently activated in their database.</w:t>
      </w:r>
    </w:p>
    <w:p w14:paraId="372DAFAA" w14:textId="77777777" w:rsidR="00DB7D87" w:rsidRPr="000665B0" w:rsidRDefault="00DB7D87" w:rsidP="006D5A65">
      <w:pPr>
        <w:pStyle w:val="Heading1"/>
      </w:pPr>
      <w:r w:rsidRPr="000665B0">
        <w:t xml:space="preserve">Select the desired missions and click the </w:t>
      </w:r>
      <w:r w:rsidRPr="000665B0">
        <w:rPr>
          <w:bCs/>
        </w:rPr>
        <w:t>OK</w:t>
      </w:r>
      <w:r w:rsidRPr="000665B0">
        <w:t xml:space="preserve"> button.</w:t>
      </w:r>
    </w:p>
    <w:p w14:paraId="6EB8F043" w14:textId="77777777" w:rsidR="00DB7D87" w:rsidRPr="000665B0" w:rsidRDefault="00DB7D87" w:rsidP="009570CA">
      <w:pPr>
        <w:pStyle w:val="Number0205"/>
        <w:ind w:left="360" w:firstLine="0"/>
      </w:pPr>
      <w:r w:rsidRPr="000665B0">
        <w:t>or</w:t>
      </w:r>
    </w:p>
    <w:p w14:paraId="47E61C92" w14:textId="77777777" w:rsidR="00DB7D87" w:rsidRPr="000665B0" w:rsidRDefault="00DB7D87" w:rsidP="006D5A65">
      <w:pPr>
        <w:pStyle w:val="Heading1"/>
      </w:pPr>
      <w:r w:rsidRPr="000665B0">
        <w:t xml:space="preserve">Select the </w:t>
      </w:r>
      <w:r w:rsidRPr="000665B0">
        <w:rPr>
          <w:bCs/>
        </w:rPr>
        <w:t>Add</w:t>
      </w:r>
      <w:r w:rsidRPr="000665B0">
        <w:t xml:space="preserve"> </w:t>
      </w:r>
      <w:r w:rsidRPr="000665B0">
        <w:sym w:font="Wingdings 3" w:char="F07D"/>
      </w:r>
      <w:r w:rsidRPr="000665B0">
        <w:rPr>
          <w:bCs/>
        </w:rPr>
        <w:t xml:space="preserve"> Mission Library</w:t>
      </w:r>
      <w:r w:rsidRPr="000665B0">
        <w:t xml:space="preserve"> option to display a list of all Mission Libraries to choose from. </w:t>
      </w:r>
    </w:p>
    <w:p w14:paraId="61E2EBF9" w14:textId="77777777" w:rsidR="00DB7D87" w:rsidRPr="000665B0" w:rsidRDefault="00DB7D87" w:rsidP="006D5A65">
      <w:pPr>
        <w:pStyle w:val="Heading1"/>
      </w:pPr>
      <w:r w:rsidRPr="000665B0">
        <w:t xml:space="preserve">Select the desired Mission Library(ies) and click the </w:t>
      </w:r>
      <w:r w:rsidRPr="000665B0">
        <w:rPr>
          <w:bCs/>
        </w:rPr>
        <w:t>OK</w:t>
      </w:r>
      <w:r w:rsidRPr="000665B0">
        <w:t xml:space="preserve"> button.</w:t>
      </w:r>
    </w:p>
    <w:p w14:paraId="59838E9D" w14:textId="77777777" w:rsidR="00DB7D87" w:rsidRPr="000665B0" w:rsidRDefault="00DB7D87" w:rsidP="006D5A65">
      <w:pPr>
        <w:pStyle w:val="Heading1"/>
      </w:pPr>
      <w:r w:rsidRPr="000665B0">
        <w:t xml:space="preserve">Click the </w:t>
      </w:r>
      <w:r w:rsidRPr="000665B0">
        <w:rPr>
          <w:bCs/>
        </w:rPr>
        <w:t>Save</w:t>
      </w:r>
      <w:r w:rsidRPr="000665B0">
        <w:t xml:space="preserve"> icon in the toolbar to retain the template.</w:t>
      </w:r>
    </w:p>
    <w:p w14:paraId="2703111A" w14:textId="77777777" w:rsidR="00DB7D87" w:rsidRPr="000665B0" w:rsidRDefault="00DB7D87" w:rsidP="006D5A65">
      <w:pPr>
        <w:pStyle w:val="Heading1"/>
      </w:pPr>
      <w:r w:rsidRPr="000665B0">
        <w:t xml:space="preserve">Click the </w:t>
      </w:r>
      <w:r w:rsidRPr="000665B0">
        <w:rPr>
          <w:bCs/>
        </w:rPr>
        <w:t>Send</w:t>
      </w:r>
      <w:r w:rsidRPr="000665B0">
        <w:t xml:space="preserve"> icon in the toolbar to transmit the message. If a mission in the list is currently activated in the database, a message appear</w:t>
      </w:r>
      <w:r w:rsidR="002E5173" w:rsidRPr="000665B0">
        <w:t>s</w:t>
      </w:r>
      <w:r w:rsidRPr="000665B0">
        <w:t xml:space="preserve"> indicating the action cannot be completed and the operator will have to remove those missions before reattempting the transmission.</w:t>
      </w:r>
    </w:p>
    <w:p w14:paraId="3BB3D3C9" w14:textId="77777777" w:rsidR="00DB7D87" w:rsidRPr="000665B0" w:rsidRDefault="00DB7D87" w:rsidP="009570CA">
      <w:pPr>
        <w:rPr>
          <w:b/>
        </w:rPr>
      </w:pPr>
      <w:r w:rsidRPr="000665B0">
        <w:rPr>
          <w:b/>
        </w:rPr>
        <w:t>Deactivate Tab</w:t>
      </w:r>
    </w:p>
    <w:p w14:paraId="0EC475BA" w14:textId="3FA0BE06" w:rsidR="001932B8" w:rsidRDefault="00DB7D87" w:rsidP="008A67AC">
      <w:r w:rsidRPr="000665B0">
        <w:t xml:space="preserve">The </w:t>
      </w:r>
      <w:r w:rsidRPr="000665B0">
        <w:rPr>
          <w:b/>
          <w:i/>
        </w:rPr>
        <w:t>Deactivate</w:t>
      </w:r>
      <w:r w:rsidRPr="000665B0">
        <w:rPr>
          <w:b/>
        </w:rPr>
        <w:t xml:space="preserve"> </w:t>
      </w:r>
      <w:r w:rsidRPr="000665B0">
        <w:t xml:space="preserve">tab contains the list information regarding which mission(s) the operator </w:t>
      </w:r>
      <w:r w:rsidR="002E5173" w:rsidRPr="000665B0">
        <w:t>is</w:t>
      </w:r>
      <w:r w:rsidRPr="000665B0">
        <w:t xml:space="preserve"> requesting the recipient to deactivate.</w:t>
      </w:r>
    </w:p>
    <w:p w14:paraId="627B457F" w14:textId="04EE16E1" w:rsidR="00441F6C" w:rsidRDefault="00441F6C" w:rsidP="009570CA">
      <w:pPr>
        <w:spacing w:after="0" w:line="240" w:lineRule="auto"/>
        <w:jc w:val="center"/>
        <w:rPr>
          <w:rFonts w:eastAsiaTheme="minorHAnsi"/>
          <w:szCs w:val="24"/>
        </w:rPr>
      </w:pPr>
      <w:r>
        <w:rPr>
          <w:noProof/>
        </w:rPr>
        <w:drawing>
          <wp:inline distT="0" distB="0" distL="0" distR="0" wp14:anchorId="148C3934" wp14:editId="11F50A4A">
            <wp:extent cx="4572000" cy="3291840"/>
            <wp:effectExtent l="0" t="0" r="0" b="3810"/>
            <wp:docPr id="677" name="Picture 67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al user interface, text, application, email&#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572000" cy="3291840"/>
                    </a:xfrm>
                    <a:prstGeom prst="rect">
                      <a:avLst/>
                    </a:prstGeom>
                    <a:noFill/>
                    <a:ln>
                      <a:noFill/>
                    </a:ln>
                  </pic:spPr>
                </pic:pic>
              </a:graphicData>
            </a:graphic>
          </wp:inline>
        </w:drawing>
      </w:r>
    </w:p>
    <w:p w14:paraId="6710B4F1" w14:textId="21D07DB4" w:rsidR="00DB7D87" w:rsidRPr="000665B0" w:rsidRDefault="00DB7D87" w:rsidP="00E00101">
      <w:pPr>
        <w:spacing w:before="120"/>
        <w:rPr>
          <w:b/>
          <w:i/>
        </w:rPr>
      </w:pPr>
      <w:r w:rsidRPr="000665B0">
        <w:rPr>
          <w:b/>
          <w:i/>
        </w:rPr>
        <w:t>Deactivate</w:t>
      </w:r>
      <w:r w:rsidRPr="000665B0">
        <w:rPr>
          <w:b/>
        </w:rPr>
        <w:t xml:space="preserve"> </w:t>
      </w:r>
      <w:r w:rsidRPr="000665B0">
        <w:rPr>
          <w:b/>
          <w:i/>
        </w:rPr>
        <w:t>List View</w:t>
      </w:r>
    </w:p>
    <w:p w14:paraId="06FA6EE0" w14:textId="77777777" w:rsidR="00DB7D87" w:rsidRPr="000665B0" w:rsidRDefault="00DB7D87" w:rsidP="006D5A65">
      <w:pPr>
        <w:pStyle w:val="Heading1"/>
      </w:pPr>
      <w:r w:rsidRPr="000665B0">
        <w:t>Columns</w:t>
      </w:r>
    </w:p>
    <w:p w14:paraId="507C3B60" w14:textId="77777777" w:rsidR="00DB7D87" w:rsidRPr="000665B0" w:rsidRDefault="00DB7D87" w:rsidP="006D5A65">
      <w:pPr>
        <w:pStyle w:val="Heading2"/>
      </w:pPr>
      <w:r w:rsidRPr="000665B0">
        <w:rPr>
          <w:bCs/>
        </w:rPr>
        <w:t>ID</w:t>
      </w:r>
      <w:r w:rsidRPr="000665B0">
        <w:t xml:space="preserve"> – Unique ID identifying the specific data item.</w:t>
      </w:r>
    </w:p>
    <w:p w14:paraId="12AD1580" w14:textId="77777777" w:rsidR="00F03E38" w:rsidRDefault="00DB7D87" w:rsidP="006D5A65">
      <w:pPr>
        <w:pStyle w:val="Heading2"/>
      </w:pPr>
      <w:r w:rsidRPr="000665B0">
        <w:rPr>
          <w:bCs/>
        </w:rPr>
        <w:t>Type</w:t>
      </w:r>
      <w:r w:rsidRPr="000665B0">
        <w:t xml:space="preserve"> – Data type of the data item being requested for deletion (</w:t>
      </w:r>
      <w:r w:rsidR="003509EA" w:rsidRPr="000665B0">
        <w:t xml:space="preserve">i.e., </w:t>
      </w:r>
      <w:r w:rsidRPr="000665B0">
        <w:t>Mission).</w:t>
      </w:r>
    </w:p>
    <w:p w14:paraId="151E9D0E" w14:textId="77777777" w:rsidR="00F03E38" w:rsidRDefault="00F03E38" w:rsidP="006D5A65">
      <w:pPr>
        <w:pStyle w:val="Heading2"/>
      </w:pPr>
      <w:r>
        <w:rPr>
          <w:bCs/>
        </w:rPr>
        <w:lastRenderedPageBreak/>
        <w:t xml:space="preserve">Mission Name </w:t>
      </w:r>
      <w:r>
        <w:t>– The name of the Mission.</w:t>
      </w:r>
    </w:p>
    <w:p w14:paraId="527BD57C" w14:textId="57EEB5F3" w:rsidR="00F03E38" w:rsidRDefault="00F03E38" w:rsidP="006D5A65">
      <w:pPr>
        <w:pStyle w:val="Heading2"/>
      </w:pPr>
      <w:r>
        <w:rPr>
          <w:bCs/>
        </w:rPr>
        <w:t>BE</w:t>
      </w:r>
      <w:r>
        <w:t xml:space="preserve"> – Basic Encyclopedia</w:t>
      </w:r>
      <w:r w:rsidR="00673D70">
        <w:t>:</w:t>
      </w:r>
      <w:r>
        <w:t xml:space="preserve"> An identified installation of potential significance as objectives for attack.</w:t>
      </w:r>
    </w:p>
    <w:p w14:paraId="73B9E71C" w14:textId="77777777" w:rsidR="00F03E38" w:rsidRDefault="00F03E38" w:rsidP="006D5A65">
      <w:pPr>
        <w:pStyle w:val="Heading2"/>
      </w:pPr>
      <w:r>
        <w:rPr>
          <w:bCs/>
        </w:rPr>
        <w:t>JDPI</w:t>
      </w:r>
      <w:r>
        <w:t xml:space="preserve"> – Joint Desired Point of Impact: A defined point of impact of the weapon.</w:t>
      </w:r>
    </w:p>
    <w:p w14:paraId="3DE4210C" w14:textId="77777777" w:rsidR="00F03E38" w:rsidRDefault="00F03E38" w:rsidP="006D5A65">
      <w:pPr>
        <w:pStyle w:val="Heading2"/>
      </w:pPr>
      <w:r>
        <w:rPr>
          <w:bCs/>
        </w:rPr>
        <w:t>Aimpt ID</w:t>
      </w:r>
      <w:r>
        <w:t xml:space="preserve"> – Two alphabetic characters which, in conjunction with the Installation BE number, are used to uniquely identify the point desired for intended interaction of the warhead with a target element.</w:t>
      </w:r>
    </w:p>
    <w:p w14:paraId="73D49735" w14:textId="77777777" w:rsidR="00F03E38" w:rsidRDefault="00F03E38" w:rsidP="006D5A65">
      <w:pPr>
        <w:pStyle w:val="Heading2"/>
      </w:pPr>
      <w:r>
        <w:rPr>
          <w:bCs/>
        </w:rPr>
        <w:t>Missile</w:t>
      </w:r>
      <w:r>
        <w:t xml:space="preserve"> – Indicates the missile variant type.</w:t>
      </w:r>
    </w:p>
    <w:p w14:paraId="3DB9C1E4" w14:textId="77777777" w:rsidR="00F03E38" w:rsidRDefault="00F03E38" w:rsidP="006D5A65">
      <w:pPr>
        <w:pStyle w:val="Heading2"/>
      </w:pPr>
      <w:r>
        <w:rPr>
          <w:bCs/>
        </w:rPr>
        <w:t>Launch Area</w:t>
      </w:r>
      <w:r>
        <w:t xml:space="preserve"> – An area surrounding the FPPWP where a missile can be launched.</w:t>
      </w:r>
    </w:p>
    <w:p w14:paraId="1A502890" w14:textId="77777777" w:rsidR="00F03E38" w:rsidRDefault="00F03E38" w:rsidP="006D5A65">
      <w:pPr>
        <w:pStyle w:val="Heading2"/>
      </w:pPr>
      <w:r>
        <w:rPr>
          <w:bCs/>
        </w:rPr>
        <w:t>Country</w:t>
      </w:r>
      <w:r>
        <w:t xml:space="preserve"> – The standard Country Code and country name from the </w:t>
      </w:r>
      <w:r>
        <w:rPr>
          <w:szCs w:val="24"/>
        </w:rPr>
        <w:t>CountryDB</w:t>
      </w:r>
      <w:r>
        <w:t xml:space="preserve"> that identifies the country </w:t>
      </w:r>
      <w:r>
        <w:rPr>
          <w:szCs w:val="24"/>
        </w:rPr>
        <w:t>where the target is located</w:t>
      </w:r>
      <w:r>
        <w:t>.</w:t>
      </w:r>
    </w:p>
    <w:p w14:paraId="1030E2E6" w14:textId="77777777" w:rsidR="00F03E38" w:rsidRDefault="00F03E38" w:rsidP="006D5A65">
      <w:pPr>
        <w:pStyle w:val="Heading2"/>
      </w:pPr>
      <w:r>
        <w:rPr>
          <w:bCs/>
        </w:rPr>
        <w:t>TEF TMPC Version(s)</w:t>
      </w:r>
      <w:r>
        <w:t xml:space="preserve"> – List of TEF TMPC Version formats that are available for the mission.</w:t>
      </w:r>
    </w:p>
    <w:p w14:paraId="3E7D4914" w14:textId="77777777" w:rsidR="00F03E38" w:rsidRDefault="00F03E38" w:rsidP="00BB4EBE">
      <w:pPr>
        <w:keepNext/>
        <w:keepLines/>
        <w:pBdr>
          <w:top w:val="single" w:sz="12" w:space="0"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Pr>
          <w:b/>
        </w:rPr>
        <w:t>Note:</w:t>
      </w:r>
    </w:p>
    <w:p w14:paraId="48FEADF6" w14:textId="48E19C99" w:rsidR="00DB7D87" w:rsidRPr="00AE212D" w:rsidRDefault="00F03E38" w:rsidP="00BB4EBE">
      <w:pPr>
        <w:keepNext/>
        <w:keepLines/>
        <w:pBdr>
          <w:top w:val="single" w:sz="12" w:space="0" w:color="auto"/>
          <w:left w:val="single" w:sz="12" w:space="4" w:color="auto"/>
          <w:bottom w:val="single" w:sz="12" w:space="1" w:color="auto"/>
          <w:right w:val="single" w:sz="12" w:space="4" w:color="auto"/>
        </w:pBdr>
        <w:shd w:val="clear" w:color="auto" w:fill="D9D9D9" w:themeFill="background1" w:themeFillShade="D9"/>
        <w:jc w:val="center"/>
        <w:rPr>
          <w:b/>
        </w:rPr>
      </w:pPr>
      <w:r>
        <w:rPr>
          <w:b/>
        </w:rPr>
        <w:t>The following 8 columns will display data only if the coordinate item is of type Mission: "Mission Name", "BE", "JDPI", "Aimpt ID", "Missile", "Launch Area', "Country", and "TEF TMPC Version(s)". Also, if the Mission ID input is not in the TED DB, then the column data will be blank for these new columns. These columns are hidden by default and can be made visible through the columns properties dialog</w:t>
      </w:r>
    </w:p>
    <w:p w14:paraId="6D649945" w14:textId="77777777" w:rsidR="00DB7D87" w:rsidRPr="000665B0" w:rsidRDefault="00DB7D87" w:rsidP="006D5A65">
      <w:pPr>
        <w:pStyle w:val="Heading1"/>
      </w:pPr>
      <w:r w:rsidRPr="000665B0">
        <w:t>Context Menu</w:t>
      </w:r>
    </w:p>
    <w:p w14:paraId="4758E347" w14:textId="77777777" w:rsidR="00DB7D87" w:rsidRPr="000665B0" w:rsidRDefault="00DB7D87" w:rsidP="006D5A65">
      <w:pPr>
        <w:pStyle w:val="Heading2"/>
      </w:pPr>
      <w:r w:rsidRPr="000665B0">
        <w:t>Add…</w:t>
      </w:r>
    </w:p>
    <w:p w14:paraId="3813F455" w14:textId="4FA3BC6E" w:rsidR="00DB7D87" w:rsidRPr="000665B0" w:rsidRDefault="00DB7D87" w:rsidP="006D5A65">
      <w:pPr>
        <w:pStyle w:val="Heading3"/>
      </w:pPr>
      <w:r w:rsidRPr="000665B0">
        <w:t xml:space="preserve">Mission… </w:t>
      </w:r>
      <w:r w:rsidR="00846A0A" w:rsidRPr="000665B0">
        <w:t xml:space="preserve">– </w:t>
      </w:r>
      <w:r w:rsidRPr="000665B0">
        <w:t>Opens the Mission selection view for the operator to select which missions should be affected.</w:t>
      </w:r>
    </w:p>
    <w:p w14:paraId="70913D0A" w14:textId="77777777" w:rsidR="00DB7D87" w:rsidRPr="000665B0" w:rsidRDefault="00DB7D87" w:rsidP="006D5A65">
      <w:pPr>
        <w:pStyle w:val="Heading3"/>
      </w:pPr>
      <w:r w:rsidRPr="000665B0">
        <w:t>Mission Library… - Opens the Libraries selection view for the operator to select which missions from the selected libraries should be affected.</w:t>
      </w:r>
    </w:p>
    <w:p w14:paraId="0EDF9283" w14:textId="77777777" w:rsidR="00DB7D87" w:rsidRPr="000665B0" w:rsidRDefault="00DB7D87" w:rsidP="006D5A65">
      <w:pPr>
        <w:pStyle w:val="Heading2"/>
      </w:pPr>
      <w:r w:rsidRPr="000665B0">
        <w:t>Display</w:t>
      </w:r>
    </w:p>
    <w:p w14:paraId="32045207" w14:textId="77777777" w:rsidR="00DB7D87" w:rsidRPr="000665B0" w:rsidRDefault="00DB7D87" w:rsidP="006D5A65">
      <w:pPr>
        <w:pStyle w:val="Heading3"/>
        <w:rPr>
          <w:rFonts w:eastAsia="Arial Unicode MS"/>
        </w:rPr>
      </w:pPr>
      <w:r w:rsidRPr="000665B0">
        <w:rPr>
          <w:rFonts w:eastAsia="Arial Unicode MS"/>
        </w:rPr>
        <w:lastRenderedPageBreak/>
        <w:t xml:space="preserve">in Excel – </w:t>
      </w:r>
      <w:r w:rsidRPr="000665B0">
        <w:t>Displays an Excel document containing the selected data item(s) information.</w:t>
      </w:r>
    </w:p>
    <w:p w14:paraId="6ACBB759" w14:textId="5780AE16" w:rsidR="00DB7D87" w:rsidRPr="000665B0" w:rsidRDefault="00DB7D87" w:rsidP="006D5A65">
      <w:pPr>
        <w:pStyle w:val="Heading2"/>
      </w:pPr>
      <w:r w:rsidRPr="000665B0">
        <w:t xml:space="preserve">Print… </w:t>
      </w:r>
      <w:r w:rsidR="00846A0A" w:rsidRPr="000665B0">
        <w:t xml:space="preserve">– </w:t>
      </w:r>
      <w:r w:rsidRPr="000665B0">
        <w:t>Print the selected data item’s list information.</w:t>
      </w:r>
    </w:p>
    <w:p w14:paraId="2445C540" w14:textId="77777777" w:rsidR="00DB7D87" w:rsidRPr="000665B0" w:rsidRDefault="00DB7D87" w:rsidP="006D5A65">
      <w:pPr>
        <w:pStyle w:val="Heading2"/>
      </w:pPr>
      <w:r w:rsidRPr="000665B0">
        <w:rPr>
          <w:rFonts w:eastAsia="Arial Unicode MS"/>
        </w:rPr>
        <w:t xml:space="preserve">Remove – </w:t>
      </w:r>
      <w:r w:rsidRPr="000665B0">
        <w:t>Removes the selected data item(s) from the list view.</w:t>
      </w:r>
    </w:p>
    <w:p w14:paraId="23ACDBBA" w14:textId="5775D2E3" w:rsidR="005D1A26" w:rsidRPr="000665B0" w:rsidRDefault="005D1A26" w:rsidP="009570CA">
      <w:pPr>
        <w:pStyle w:val="Heading4"/>
      </w:pPr>
      <w:r w:rsidRPr="000665B0">
        <w:t>Create/Send Request Message</w:t>
      </w:r>
      <w:bookmarkEnd w:id="4775"/>
      <w:bookmarkEnd w:id="4776"/>
      <w:bookmarkEnd w:id="4777"/>
      <w:bookmarkEnd w:id="4778"/>
      <w:bookmarkEnd w:id="4779"/>
    </w:p>
    <w:p w14:paraId="3976403E" w14:textId="77777777" w:rsidR="00DB7D87" w:rsidRPr="000665B0" w:rsidRDefault="00DB7D87" w:rsidP="009570CA">
      <w:bookmarkStart w:id="4781" w:name="_Toc96170080"/>
      <w:bookmarkStart w:id="4782" w:name="_Toc96234125"/>
      <w:bookmarkStart w:id="4783" w:name="_Toc112733553"/>
      <w:bookmarkStart w:id="4784" w:name="_Toc289328595"/>
      <w:bookmarkStart w:id="4785" w:name="_Toc71955509"/>
      <w:r w:rsidRPr="000665B0">
        <w:t>The Request coordination message is a request for the recipient to send the requested information back.</w:t>
      </w:r>
    </w:p>
    <w:p w14:paraId="088B63EB" w14:textId="77777777" w:rsidR="00DB7D87" w:rsidRPr="000665B0" w:rsidRDefault="00DB7D87" w:rsidP="009570CA">
      <w:r w:rsidRPr="000665B0">
        <w:t>When the recipient processes the message, the recipient automatically sends back the data items that are being requested.</w:t>
      </w:r>
    </w:p>
    <w:p w14:paraId="6684D63B" w14:textId="77777777" w:rsidR="00DB7D87" w:rsidRPr="000665B0" w:rsidRDefault="00DB7D87" w:rsidP="009570CA">
      <w:r w:rsidRPr="000665B0">
        <w:t>To create/send a request message:</w:t>
      </w:r>
    </w:p>
    <w:p w14:paraId="111B878D" w14:textId="77777777" w:rsidR="00DB7D87" w:rsidRPr="000665B0" w:rsidRDefault="00DB7D87" w:rsidP="006D5A65">
      <w:pPr>
        <w:pStyle w:val="Heading1"/>
      </w:pPr>
      <w:r w:rsidRPr="000665B0">
        <w:t>Navigate to the Coordination Template Tool.</w:t>
      </w:r>
    </w:p>
    <w:p w14:paraId="31DD170F" w14:textId="77777777" w:rsidR="00AE212D" w:rsidRPr="00527B57" w:rsidRDefault="00AE212D" w:rsidP="006D5A65">
      <w:pPr>
        <w:pStyle w:val="Heading1"/>
      </w:pPr>
      <w:r w:rsidRPr="00527B57">
        <w:t xml:space="preserve">From the File menu select New, click the New </w:t>
      </w:r>
      <w:r w:rsidRPr="00527B57">
        <w:rPr>
          <w:noProof/>
        </w:rPr>
        <w:drawing>
          <wp:inline distT="0" distB="0" distL="0" distR="0" wp14:anchorId="06CBFB10" wp14:editId="5A6B5194">
            <wp:extent cx="152400" cy="152400"/>
            <wp:effectExtent l="0" t="0" r="0" b="0"/>
            <wp:docPr id="300" name="Picture 300" descr="Description: 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Description: 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527B57">
        <w:t xml:space="preserve"> icon on the toolbar</w:t>
      </w:r>
      <w:r w:rsidRPr="00527B57">
        <w:rPr>
          <w:szCs w:val="24"/>
        </w:rPr>
        <w:t xml:space="preserve">, or </w:t>
      </w:r>
      <w:r w:rsidRPr="00527B57">
        <w:rPr>
          <w:noProof/>
          <w:szCs w:val="24"/>
        </w:rPr>
        <w:t>invoke the context menu (right-click the mouse) and select New…</w:t>
      </w:r>
      <w:r w:rsidRPr="00527B57">
        <w:t xml:space="preserve">.. A new </w:t>
      </w:r>
      <w:r w:rsidRPr="00527B57">
        <w:rPr>
          <w:i/>
        </w:rPr>
        <w:t>Coordination Template</w:t>
      </w:r>
      <w:r w:rsidRPr="00527B57">
        <w:t xml:space="preserve"> window is displayed.</w:t>
      </w:r>
    </w:p>
    <w:p w14:paraId="09CA641B" w14:textId="77777777" w:rsidR="00AE212D" w:rsidRPr="00527B57" w:rsidRDefault="00AE212D" w:rsidP="006D5A65">
      <w:pPr>
        <w:pStyle w:val="Heading1"/>
      </w:pPr>
      <w:r w:rsidRPr="00527B57">
        <w:t>Select Appropriate Distribution Mode: (Comms or Media).  There are common elements to both, the difference is seen in the middle portion of the window.</w:t>
      </w:r>
    </w:p>
    <w:p w14:paraId="346F287D" w14:textId="77777777" w:rsidR="00AE212D" w:rsidRPr="00527B57" w:rsidRDefault="00AE212D" w:rsidP="009570CA">
      <w:pPr>
        <w:pStyle w:val="Number0205"/>
        <w:ind w:left="0" w:firstLine="0"/>
        <w:jc w:val="center"/>
        <w:rPr>
          <w:color w:val="000000" w:themeColor="text1"/>
        </w:rPr>
      </w:pPr>
      <w:r w:rsidRPr="00527B57">
        <w:rPr>
          <w:noProof/>
          <w:color w:val="000000" w:themeColor="text1"/>
        </w:rPr>
        <w:drawing>
          <wp:inline distT="0" distB="0" distL="0" distR="0" wp14:anchorId="62258084" wp14:editId="41F6BBB6">
            <wp:extent cx="2286000" cy="2130552"/>
            <wp:effectExtent l="0" t="0" r="0" b="0"/>
            <wp:docPr id="457" name="Picture 45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a:stretch>
                      <a:fillRect/>
                    </a:stretch>
                  </pic:blipFill>
                  <pic:spPr>
                    <a:xfrm>
                      <a:off x="0" y="0"/>
                      <a:ext cx="2286000" cy="2130552"/>
                    </a:xfrm>
                    <a:prstGeom prst="rect">
                      <a:avLst/>
                    </a:prstGeom>
                  </pic:spPr>
                </pic:pic>
              </a:graphicData>
            </a:graphic>
          </wp:inline>
        </w:drawing>
      </w:r>
      <w:r w:rsidRPr="00527B57">
        <w:rPr>
          <w:color w:val="000000" w:themeColor="text1"/>
        </w:rPr>
        <w:t xml:space="preserve"> </w:t>
      </w:r>
      <w:r w:rsidRPr="00527B57">
        <w:rPr>
          <w:noProof/>
          <w:color w:val="000000" w:themeColor="text1"/>
        </w:rPr>
        <w:drawing>
          <wp:inline distT="0" distB="0" distL="0" distR="0" wp14:anchorId="10B44E31" wp14:editId="0814F8FC">
            <wp:extent cx="2286000" cy="2093976"/>
            <wp:effectExtent l="0" t="0" r="0" b="0"/>
            <wp:docPr id="484" name="Picture 48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a:stretch>
                      <a:fillRect/>
                    </a:stretch>
                  </pic:blipFill>
                  <pic:spPr>
                    <a:xfrm>
                      <a:off x="0" y="0"/>
                      <a:ext cx="2286000" cy="2093976"/>
                    </a:xfrm>
                    <a:prstGeom prst="rect">
                      <a:avLst/>
                    </a:prstGeom>
                  </pic:spPr>
                </pic:pic>
              </a:graphicData>
            </a:graphic>
          </wp:inline>
        </w:drawing>
      </w:r>
    </w:p>
    <w:p w14:paraId="27712498" w14:textId="77777777" w:rsidR="00AE212D" w:rsidRPr="00527B57" w:rsidRDefault="00AE212D" w:rsidP="006D5A65">
      <w:pPr>
        <w:pStyle w:val="Heading1"/>
      </w:pPr>
      <w:r w:rsidRPr="00527B57">
        <w:lastRenderedPageBreak/>
        <w:t xml:space="preserve">Click the </w:t>
      </w:r>
      <w:r w:rsidRPr="00527B57">
        <w:rPr>
          <w:bCs/>
        </w:rPr>
        <w:t>To...</w:t>
      </w:r>
      <w:r w:rsidRPr="00527B57">
        <w:t xml:space="preserve"> button to determine recipients.</w:t>
      </w:r>
    </w:p>
    <w:p w14:paraId="3A95A540" w14:textId="77777777" w:rsidR="00AE212D" w:rsidRPr="00527B57" w:rsidRDefault="00AE212D" w:rsidP="009570CA">
      <w:pPr>
        <w:pStyle w:val="Number0205"/>
        <w:ind w:left="0" w:firstLine="0"/>
        <w:jc w:val="center"/>
        <w:rPr>
          <w:color w:val="000000" w:themeColor="text1"/>
        </w:rPr>
      </w:pPr>
      <w:r w:rsidRPr="00527B57">
        <w:rPr>
          <w:noProof/>
          <w:color w:val="000000" w:themeColor="text1"/>
        </w:rPr>
        <w:drawing>
          <wp:inline distT="0" distB="0" distL="0" distR="0" wp14:anchorId="5998A1E9" wp14:editId="1A51EDB8">
            <wp:extent cx="4572000" cy="2404872"/>
            <wp:effectExtent l="0" t="0" r="0" b="0"/>
            <wp:docPr id="514" name="Picture 51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a:stretch>
                      <a:fillRect/>
                    </a:stretch>
                  </pic:blipFill>
                  <pic:spPr>
                    <a:xfrm>
                      <a:off x="0" y="0"/>
                      <a:ext cx="4572000" cy="2404872"/>
                    </a:xfrm>
                    <a:prstGeom prst="rect">
                      <a:avLst/>
                    </a:prstGeom>
                  </pic:spPr>
                </pic:pic>
              </a:graphicData>
            </a:graphic>
          </wp:inline>
        </w:drawing>
      </w:r>
    </w:p>
    <w:p w14:paraId="19F14D69" w14:textId="77777777" w:rsidR="00AE212D" w:rsidRPr="00527B57" w:rsidRDefault="00AE212D" w:rsidP="006D5A65">
      <w:pPr>
        <w:pStyle w:val="Heading1"/>
      </w:pPr>
      <w:r w:rsidRPr="00527B57">
        <w:t xml:space="preserve">Select the appropriate recipients (MDS or TTWCS Nodes only) in the left column of the Address Book and then click the Add </w:t>
      </w:r>
      <w:r w:rsidRPr="00527B57">
        <w:rPr>
          <w:bCs/>
        </w:rPr>
        <w:t xml:space="preserve">–&gt; </w:t>
      </w:r>
      <w:r w:rsidRPr="00527B57">
        <w:t xml:space="preserve">button to move the selected recipient to the right column. Click the OK button when complete. </w:t>
      </w:r>
    </w:p>
    <w:p w14:paraId="593381B8" w14:textId="3E608154" w:rsidR="00AE212D" w:rsidRPr="00527B57" w:rsidRDefault="00AE212D" w:rsidP="009570CA">
      <w:pPr>
        <w:pStyle w:val="Number0205"/>
        <w:ind w:left="720" w:firstLine="0"/>
        <w:rPr>
          <w:color w:val="000000" w:themeColor="text1"/>
        </w:rPr>
      </w:pPr>
      <w:r w:rsidRPr="00527B57">
        <w:rPr>
          <w:rStyle w:val="normaltextrun"/>
          <w:color w:val="000000" w:themeColor="text1"/>
          <w:shd w:val="clear" w:color="auto" w:fill="FFFFFF"/>
        </w:rPr>
        <w:t>After clicking OK, the appropriate platform types will be automatically checked in the Media Information pane’s Version Options section (see Step 7.</w:t>
      </w:r>
      <w:r w:rsidR="00152C10">
        <w:rPr>
          <w:rStyle w:val="normaltextrun"/>
          <w:color w:val="000000" w:themeColor="text1"/>
          <w:shd w:val="clear" w:color="auto" w:fill="FFFFFF"/>
        </w:rPr>
        <w:t>b</w:t>
      </w:r>
      <w:r w:rsidRPr="00527B57">
        <w:rPr>
          <w:rStyle w:val="normaltextrun"/>
          <w:color w:val="000000" w:themeColor="text1"/>
          <w:shd w:val="clear" w:color="auto" w:fill="FFFFFF"/>
        </w:rPr>
        <w:t>.iv).</w:t>
      </w:r>
      <w:r w:rsidRPr="00527B57">
        <w:rPr>
          <w:rStyle w:val="eop"/>
          <w:color w:val="000000" w:themeColor="text1"/>
          <w:shd w:val="clear" w:color="auto" w:fill="FFFFFF"/>
        </w:rPr>
        <w:t> </w:t>
      </w:r>
    </w:p>
    <w:p w14:paraId="2804621C" w14:textId="77777777" w:rsidR="00AE212D" w:rsidRPr="00527B57" w:rsidRDefault="00AE212D" w:rsidP="006D5A65">
      <w:pPr>
        <w:pStyle w:val="Heading1"/>
      </w:pPr>
      <w:r w:rsidRPr="00527B57">
        <w:t>Enter an Objective for the message. (Optional).</w:t>
      </w:r>
    </w:p>
    <w:p w14:paraId="4B34A616" w14:textId="77777777" w:rsidR="00AE212D" w:rsidRPr="00527B57" w:rsidRDefault="00AE212D" w:rsidP="006D5A65">
      <w:pPr>
        <w:pStyle w:val="Heading1"/>
      </w:pPr>
      <w:r w:rsidRPr="00527B57">
        <w:t>Configure the Distribution Mode.</w:t>
      </w:r>
    </w:p>
    <w:p w14:paraId="3DD472A2" w14:textId="77777777" w:rsidR="00AE212D" w:rsidRPr="00527B57" w:rsidRDefault="00AE212D" w:rsidP="006D5A65">
      <w:pPr>
        <w:pStyle w:val="Heading1"/>
      </w:pPr>
      <w:r w:rsidRPr="00527B57">
        <w:t xml:space="preserve">If using </w:t>
      </w:r>
      <w:r w:rsidRPr="00527B57">
        <w:rPr>
          <w:bCs/>
        </w:rPr>
        <w:t>Comms</w:t>
      </w:r>
      <w:r w:rsidRPr="00527B57">
        <w:t xml:space="preserve">: </w:t>
      </w:r>
    </w:p>
    <w:p w14:paraId="1A3E861F" w14:textId="77777777" w:rsidR="00AE212D" w:rsidRPr="00527B57" w:rsidRDefault="00AE212D" w:rsidP="006D5A65">
      <w:pPr>
        <w:pStyle w:val="Heading1"/>
      </w:pPr>
      <w:r w:rsidRPr="00527B57">
        <w:t>Select a precedence using the appropriate radio button. Optionally, select the Override SID checkbox and enter a SID to supersede all ADDEE SID numbers.</w:t>
      </w:r>
    </w:p>
    <w:p w14:paraId="6BAC21DC" w14:textId="77777777" w:rsidR="00AE212D" w:rsidRPr="00527B57" w:rsidRDefault="00AE212D" w:rsidP="006D5A65">
      <w:pPr>
        <w:pStyle w:val="Heading1"/>
      </w:pPr>
      <w:r w:rsidRPr="00527B57">
        <w:t xml:space="preserve">If using </w:t>
      </w:r>
      <w:r w:rsidRPr="00527B57">
        <w:rPr>
          <w:bCs/>
        </w:rPr>
        <w:t>Media</w:t>
      </w:r>
      <w:r w:rsidRPr="00527B57">
        <w:t>:</w:t>
      </w:r>
    </w:p>
    <w:p w14:paraId="459BE384" w14:textId="77777777" w:rsidR="00AE212D" w:rsidRPr="00527B57" w:rsidRDefault="00AE212D" w:rsidP="006D5A65">
      <w:pPr>
        <w:pStyle w:val="Heading1"/>
        <w:rPr>
          <w:rStyle w:val="normaltextrun"/>
          <w:color w:val="000000" w:themeColor="text1"/>
        </w:rPr>
      </w:pPr>
      <w:r w:rsidRPr="00527B57">
        <w:rPr>
          <w:rStyle w:val="normaltextrun"/>
          <w:color w:val="000000" w:themeColor="text1"/>
        </w:rPr>
        <w:t xml:space="preserve">Click Browse to choose a destination. The </w:t>
      </w:r>
      <w:r w:rsidRPr="00527B57">
        <w:rPr>
          <w:rStyle w:val="normaltextrun"/>
          <w:i/>
          <w:iCs/>
          <w:color w:val="000000" w:themeColor="text1"/>
        </w:rPr>
        <w:t>Browse for Folder</w:t>
      </w:r>
      <w:r w:rsidRPr="00527B57">
        <w:rPr>
          <w:rStyle w:val="normaltextrun"/>
          <w:color w:val="000000" w:themeColor="text1"/>
        </w:rPr>
        <w:t xml:space="preserve"> window is displayed. </w:t>
      </w:r>
    </w:p>
    <w:p w14:paraId="08741CB1" w14:textId="77777777" w:rsidR="00AE212D" w:rsidRPr="00527B57" w:rsidRDefault="00AE212D" w:rsidP="00E00101">
      <w:pPr>
        <w:pStyle w:val="paragraph"/>
        <w:spacing w:before="120" w:beforeAutospacing="0" w:after="120" w:afterAutospacing="0"/>
        <w:jc w:val="center"/>
        <w:textAlignment w:val="baseline"/>
        <w:rPr>
          <w:rStyle w:val="normaltextrun"/>
          <w:rFonts w:eastAsia="Batang"/>
          <w:color w:val="000000" w:themeColor="text1"/>
        </w:rPr>
      </w:pPr>
      <w:r w:rsidRPr="00527B57">
        <w:rPr>
          <w:rFonts w:eastAsia="Batang"/>
          <w:noProof/>
          <w:color w:val="000000" w:themeColor="text1"/>
          <w:szCs w:val="20"/>
        </w:rPr>
        <w:drawing>
          <wp:inline distT="0" distB="0" distL="0" distR="0" wp14:anchorId="3AA973AF" wp14:editId="11FA9150">
            <wp:extent cx="1990788" cy="1767820"/>
            <wp:effectExtent l="0" t="0" r="0" b="0"/>
            <wp:docPr id="527" name="Picture 5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99123" cy="1775222"/>
                    </a:xfrm>
                    <a:prstGeom prst="rect">
                      <a:avLst/>
                    </a:prstGeom>
                    <a:noFill/>
                    <a:ln>
                      <a:noFill/>
                    </a:ln>
                  </pic:spPr>
                </pic:pic>
              </a:graphicData>
            </a:graphic>
          </wp:inline>
        </w:drawing>
      </w:r>
    </w:p>
    <w:p w14:paraId="697D6EB1" w14:textId="77777777" w:rsidR="00AE212D" w:rsidRPr="00527B57" w:rsidRDefault="00AE212D" w:rsidP="006D5A65">
      <w:pPr>
        <w:pStyle w:val="Heading1"/>
        <w:rPr>
          <w:rStyle w:val="normaltextrun"/>
          <w:color w:val="000000" w:themeColor="text1"/>
        </w:rPr>
      </w:pPr>
      <w:r w:rsidRPr="00527B57">
        <w:rPr>
          <w:rStyle w:val="normaltextrun"/>
          <w:color w:val="000000" w:themeColor="text1"/>
        </w:rPr>
        <w:lastRenderedPageBreak/>
        <w:t>Navigate the file system and select the location where the data is to be stored. </w:t>
      </w:r>
    </w:p>
    <w:p w14:paraId="0C0C6594" w14:textId="77777777" w:rsidR="00AE212D" w:rsidRPr="00527B57" w:rsidRDefault="00AE212D" w:rsidP="006D5A65">
      <w:pPr>
        <w:pStyle w:val="Heading1"/>
        <w:rPr>
          <w:rStyle w:val="normaltextrun"/>
          <w:color w:val="000000" w:themeColor="text1"/>
        </w:rPr>
      </w:pPr>
      <w:r w:rsidRPr="00527B57">
        <w:rPr>
          <w:rStyle w:val="normaltextrun"/>
          <w:color w:val="000000" w:themeColor="text1"/>
        </w:rPr>
        <w:t>Click OK when the location has been selected. </w:t>
      </w:r>
    </w:p>
    <w:p w14:paraId="52A19A1C" w14:textId="77777777" w:rsidR="00AE212D" w:rsidRPr="00527B57" w:rsidRDefault="00AE212D" w:rsidP="006D5A65">
      <w:pPr>
        <w:pStyle w:val="Heading1"/>
        <w:rPr>
          <w:rStyle w:val="normaltextrun"/>
          <w:color w:val="000000" w:themeColor="text1"/>
        </w:rPr>
      </w:pPr>
      <w:r w:rsidRPr="00527B57">
        <w:rPr>
          <w:rStyle w:val="normaltextrun"/>
          <w:color w:val="000000" w:themeColor="text1"/>
        </w:rPr>
        <w:t xml:space="preserve">If additional Data formats are required, check the Version Options checkbox. </w:t>
      </w:r>
    </w:p>
    <w:p w14:paraId="1CA1F89E" w14:textId="77777777" w:rsidR="00AE212D" w:rsidRPr="00527B57" w:rsidRDefault="00AE212D" w:rsidP="009570CA">
      <w:pPr>
        <w:pStyle w:val="paragraph"/>
        <w:spacing w:before="0" w:beforeAutospacing="0" w:after="120" w:afterAutospacing="0"/>
        <w:jc w:val="center"/>
        <w:textAlignment w:val="baseline"/>
        <w:rPr>
          <w:rStyle w:val="normaltextrun"/>
          <w:rFonts w:eastAsia="Batang"/>
          <w:color w:val="000000" w:themeColor="text1"/>
        </w:rPr>
      </w:pPr>
      <w:r w:rsidRPr="00527B57">
        <w:rPr>
          <w:noProof/>
          <w:color w:val="000000" w:themeColor="text1"/>
        </w:rPr>
        <w:drawing>
          <wp:inline distT="0" distB="0" distL="0" distR="0" wp14:anchorId="392A3C2A" wp14:editId="3C8AE89E">
            <wp:extent cx="3154680" cy="813816"/>
            <wp:effectExtent l="0" t="0" r="0" b="0"/>
            <wp:docPr id="528" name="Picture 5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rotWithShape="1">
                    <a:blip/>
                    <a:srcRect t="49796" b="22163"/>
                    <a:stretch/>
                  </pic:blipFill>
                  <pic:spPr bwMode="auto">
                    <a:xfrm>
                      <a:off x="0" y="0"/>
                      <a:ext cx="3154680" cy="813816"/>
                    </a:xfrm>
                    <a:prstGeom prst="rect">
                      <a:avLst/>
                    </a:prstGeom>
                    <a:ln>
                      <a:noFill/>
                    </a:ln>
                    <a:extLst>
                      <a:ext uri="{53640926-AAD7-44D8-BBD7-CCE9431645EC}">
                        <a14:shadowObscured xmlns:a14="http://schemas.microsoft.com/office/drawing/2010/main"/>
                      </a:ext>
                    </a:extLst>
                  </pic:spPr>
                </pic:pic>
              </a:graphicData>
            </a:graphic>
          </wp:inline>
        </w:drawing>
      </w:r>
    </w:p>
    <w:p w14:paraId="0CCB9414" w14:textId="77777777" w:rsidR="00AE212D" w:rsidRPr="00527B57" w:rsidRDefault="00AE212D" w:rsidP="006D5A65">
      <w:pPr>
        <w:pStyle w:val="Heading1"/>
        <w:rPr>
          <w:rStyle w:val="normaltextrun"/>
          <w:color w:val="000000" w:themeColor="text1"/>
        </w:rPr>
      </w:pPr>
      <w:r w:rsidRPr="00527B57">
        <w:rPr>
          <w:rStyle w:val="normaltextrun"/>
          <w:color w:val="000000" w:themeColor="text1"/>
        </w:rPr>
        <w:t>If a particular platform version is unchecked, and there exist platforms in the recipient list (see Step 5) that share the same version, the recipient list will automatically remove those platforms.</w:t>
      </w:r>
    </w:p>
    <w:p w14:paraId="5517A5F1" w14:textId="78FC6C19" w:rsidR="00DB7D87" w:rsidRPr="000665B0" w:rsidRDefault="00AE212D" w:rsidP="006D5A65">
      <w:pPr>
        <w:pStyle w:val="Heading1"/>
      </w:pPr>
      <w:r w:rsidRPr="00527B57">
        <w:rPr>
          <w:rStyle w:val="normaltextrun"/>
          <w:color w:val="000000" w:themeColor="text1"/>
        </w:rPr>
        <w:t>Additional platform versions can be added by selecting the appropriate checkbox(es) for the intended platform type recipients(s).</w:t>
      </w:r>
    </w:p>
    <w:p w14:paraId="074603E4" w14:textId="77777777" w:rsidR="00DB7D87" w:rsidRPr="000665B0" w:rsidRDefault="00DB7D87" w:rsidP="006D5A65">
      <w:pPr>
        <w:pStyle w:val="Heading1"/>
      </w:pPr>
      <w:r w:rsidRPr="000665B0">
        <w:t xml:space="preserve">Select the </w:t>
      </w:r>
      <w:r w:rsidRPr="000665B0">
        <w:rPr>
          <w:bCs/>
          <w:i/>
        </w:rPr>
        <w:t>Request</w:t>
      </w:r>
      <w:r w:rsidRPr="000665B0">
        <w:t xml:space="preserve"> tab.</w:t>
      </w:r>
    </w:p>
    <w:p w14:paraId="2410068A" w14:textId="7E3E091A" w:rsidR="00DB7D87" w:rsidRPr="000665B0" w:rsidRDefault="00DB7D87" w:rsidP="006D5A65">
      <w:pPr>
        <w:pStyle w:val="Heading1"/>
      </w:pPr>
      <w:r w:rsidRPr="000665B0">
        <w:t xml:space="preserve">Invoke the context menu (by right-clicking the mouse) in the white </w:t>
      </w:r>
      <w:r w:rsidR="00FC6B75" w:rsidRPr="000665B0">
        <w:t>area and</w:t>
      </w:r>
      <w:r w:rsidRPr="000665B0">
        <w:t xml:space="preserve"> select</w:t>
      </w:r>
      <w:r w:rsidRPr="000665B0">
        <w:rPr>
          <w:bCs/>
        </w:rPr>
        <w:t xml:space="preserve"> Add</w:t>
      </w:r>
      <w:r w:rsidRPr="000665B0">
        <w:t xml:space="preserve">. The </w:t>
      </w:r>
      <w:r w:rsidRPr="000665B0">
        <w:rPr>
          <w:i/>
        </w:rPr>
        <w:t>Coordination Data Type – Request</w:t>
      </w:r>
      <w:r w:rsidRPr="000665B0">
        <w:t xml:space="preserve"> window is displayed.</w:t>
      </w:r>
    </w:p>
    <w:p w14:paraId="15D7A544" w14:textId="5518F564" w:rsidR="00DB7D87" w:rsidRPr="000665B0" w:rsidRDefault="00496D02" w:rsidP="009570CA">
      <w:pPr>
        <w:jc w:val="center"/>
      </w:pPr>
      <w:r w:rsidRPr="000665B0">
        <w:rPr>
          <w:noProof/>
        </w:rPr>
        <w:drawing>
          <wp:inline distT="0" distB="0" distL="0" distR="0" wp14:anchorId="2967EA99" wp14:editId="6374222F">
            <wp:extent cx="2286000" cy="1097280"/>
            <wp:effectExtent l="0" t="0" r="0" b="0"/>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097280"/>
                    </a:xfrm>
                    <a:prstGeom prst="rect">
                      <a:avLst/>
                    </a:prstGeom>
                  </pic:spPr>
                </pic:pic>
              </a:graphicData>
            </a:graphic>
          </wp:inline>
        </w:drawing>
      </w:r>
    </w:p>
    <w:p w14:paraId="0CEBDFF9" w14:textId="3B48CB63" w:rsidR="00DB7D87" w:rsidRPr="000665B0" w:rsidRDefault="00DB7D87" w:rsidP="006D5A65">
      <w:pPr>
        <w:pStyle w:val="Heading1"/>
      </w:pPr>
      <w:r w:rsidRPr="000665B0">
        <w:t xml:space="preserve">Select a </w:t>
      </w:r>
      <w:r w:rsidRPr="000665B0">
        <w:rPr>
          <w:bCs/>
        </w:rPr>
        <w:t>Data Type</w:t>
      </w:r>
      <w:r w:rsidRPr="000665B0">
        <w:t xml:space="preserve"> from the </w:t>
      </w:r>
      <w:r w:rsidR="002A531A" w:rsidRPr="000665B0">
        <w:t>drop-down</w:t>
      </w:r>
      <w:r w:rsidRPr="000665B0">
        <w:t xml:space="preserve"> menu.</w:t>
      </w:r>
    </w:p>
    <w:p w14:paraId="4FFC04C2" w14:textId="77777777" w:rsidR="00DB7D87" w:rsidRPr="000665B0" w:rsidRDefault="00DB7D87" w:rsidP="006D5A65">
      <w:pPr>
        <w:pStyle w:val="Heading1"/>
      </w:pPr>
      <w:r w:rsidRPr="000665B0">
        <w:t>If ACMS is chosen, then select an ACMS Type from the drop-down menu.</w:t>
      </w:r>
    </w:p>
    <w:p w14:paraId="124F7440" w14:textId="77777777" w:rsidR="00DB7D87" w:rsidRPr="000665B0" w:rsidRDefault="00DB7D87" w:rsidP="006D5A65">
      <w:pPr>
        <w:pStyle w:val="Heading1"/>
      </w:pPr>
      <w:r w:rsidRPr="000665B0">
        <w:t>If Platform Information is chosen, enter the Platform Name in the field.</w:t>
      </w:r>
    </w:p>
    <w:p w14:paraId="69CE51AA" w14:textId="40159EE9" w:rsidR="00496D02" w:rsidRPr="000665B0" w:rsidRDefault="006B5DCE" w:rsidP="009570CA">
      <w:pPr>
        <w:pStyle w:val="Bullet"/>
        <w:jc w:val="center"/>
      </w:pPr>
      <w:r w:rsidRPr="000665B0">
        <w:rPr>
          <w:noProof/>
        </w:rPr>
        <w:drawing>
          <wp:inline distT="0" distB="0" distL="0" distR="0" wp14:anchorId="706E318E" wp14:editId="15D85D51">
            <wp:extent cx="2286000" cy="1499616"/>
            <wp:effectExtent l="0" t="0" r="0" b="0"/>
            <wp:docPr id="1965" name="Picture 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499616"/>
                    </a:xfrm>
                    <a:prstGeom prst="rect">
                      <a:avLst/>
                    </a:prstGeom>
                  </pic:spPr>
                </pic:pic>
              </a:graphicData>
            </a:graphic>
          </wp:inline>
        </w:drawing>
      </w:r>
    </w:p>
    <w:p w14:paraId="0D2B72B3" w14:textId="16006DE2" w:rsidR="00DB7D87" w:rsidRPr="000665B0" w:rsidRDefault="00DB7D87" w:rsidP="006D5A65">
      <w:pPr>
        <w:pStyle w:val="Heading1"/>
      </w:pPr>
      <w:r w:rsidRPr="000665B0">
        <w:t xml:space="preserve">Enter the Data ID or ACMS Name in the field. This is a required field (as denoted by the * and/or yellow background) </w:t>
      </w:r>
      <w:r w:rsidR="00C9502A" w:rsidRPr="000665B0">
        <w:t xml:space="preserve">and the </w:t>
      </w:r>
      <w:r w:rsidR="00C9502A" w:rsidRPr="000665B0">
        <w:lastRenderedPageBreak/>
        <w:t>user</w:t>
      </w:r>
      <w:r w:rsidRPr="000665B0">
        <w:t xml:space="preserve"> is unable to proceed without updating this field. For further information on mandatory fields see </w:t>
      </w:r>
      <w:hyperlink w:anchor="_5.2.7__Editing" w:history="1">
        <w:r w:rsidRPr="000665B0">
          <w:rPr>
            <w:rStyle w:val="Hyperlink"/>
          </w:rPr>
          <w:t>Section 5.2.8</w:t>
        </w:r>
      </w:hyperlink>
      <w:r w:rsidRPr="000665B0">
        <w:t>.</w:t>
      </w:r>
    </w:p>
    <w:p w14:paraId="7D1C41E6" w14:textId="4018FE47" w:rsidR="00496D02" w:rsidRPr="000665B0" w:rsidRDefault="00496D02" w:rsidP="009570CA">
      <w:pPr>
        <w:pStyle w:val="Number0205"/>
        <w:ind w:left="0" w:firstLine="0"/>
        <w:jc w:val="center"/>
      </w:pPr>
      <w:r w:rsidRPr="000665B0">
        <w:rPr>
          <w:noProof/>
        </w:rPr>
        <w:drawing>
          <wp:inline distT="0" distB="0" distL="0" distR="0" wp14:anchorId="19DFCF06" wp14:editId="42052108">
            <wp:extent cx="2286000" cy="1097280"/>
            <wp:effectExtent l="0" t="0" r="0" b="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097280"/>
                    </a:xfrm>
                    <a:prstGeom prst="rect">
                      <a:avLst/>
                    </a:prstGeom>
                  </pic:spPr>
                </pic:pic>
              </a:graphicData>
            </a:graphic>
          </wp:inline>
        </w:drawing>
      </w:r>
    </w:p>
    <w:p w14:paraId="1F615E54" w14:textId="78300933" w:rsidR="00496D02" w:rsidRDefault="00DB7D87" w:rsidP="006D5A65">
      <w:pPr>
        <w:pStyle w:val="Heading1"/>
      </w:pPr>
      <w:r w:rsidRPr="000665B0">
        <w:t xml:space="preserve">Click </w:t>
      </w:r>
      <w:r w:rsidRPr="000665B0">
        <w:rPr>
          <w:bCs/>
        </w:rPr>
        <w:t>OK</w:t>
      </w:r>
      <w:r w:rsidRPr="000665B0">
        <w:t xml:space="preserve"> to add the entry to the template.</w:t>
      </w:r>
    </w:p>
    <w:p w14:paraId="437D2CDB" w14:textId="209C4C43" w:rsidR="00F338E2" w:rsidRPr="000665B0" w:rsidRDefault="00F338E2" w:rsidP="009570CA">
      <w:pPr>
        <w:pStyle w:val="Number0205"/>
        <w:spacing w:after="240"/>
        <w:ind w:left="0" w:firstLine="0"/>
        <w:jc w:val="center"/>
      </w:pPr>
      <w:r>
        <w:rPr>
          <w:noProof/>
        </w:rPr>
        <w:drawing>
          <wp:inline distT="0" distB="0" distL="0" distR="0" wp14:anchorId="27266462" wp14:editId="253359D1">
            <wp:extent cx="3414888" cy="2458720"/>
            <wp:effectExtent l="0" t="0" r="0" b="0"/>
            <wp:docPr id="682" name="Picture 68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a:picLocks noChangeAspect="1"/>
                    </pic:cNvPicPr>
                  </pic:nvPicPr>
                  <pic:blipFill>
                    <a:blip/>
                    <a:stretch>
                      <a:fillRect/>
                    </a:stretch>
                  </pic:blipFill>
                  <pic:spPr>
                    <a:xfrm>
                      <a:off x="0" y="0"/>
                      <a:ext cx="3414888" cy="2458720"/>
                    </a:xfrm>
                    <a:prstGeom prst="rect">
                      <a:avLst/>
                    </a:prstGeom>
                  </pic:spPr>
                </pic:pic>
              </a:graphicData>
            </a:graphic>
          </wp:inline>
        </w:drawing>
      </w:r>
    </w:p>
    <w:p w14:paraId="5107BB1E" w14:textId="77777777" w:rsidR="00DB7D87" w:rsidRPr="000665B0" w:rsidRDefault="00DB7D87" w:rsidP="006D5A65">
      <w:pPr>
        <w:pStyle w:val="Heading1"/>
      </w:pPr>
      <w:r w:rsidRPr="000665B0">
        <w:t xml:space="preserve">Select the Node Inventory checkbox if requesting the Platform’s Mission Library (PML) inventory (TTWCS) or a </w:t>
      </w:r>
      <w:r w:rsidR="00D56649" w:rsidRPr="000665B0">
        <w:t xml:space="preserve">Standalone MDS </w:t>
      </w:r>
      <w:r w:rsidRPr="000665B0">
        <w:t>Node</w:t>
      </w:r>
      <w:r w:rsidR="008D07DB" w:rsidRPr="000665B0">
        <w:t>’</w:t>
      </w:r>
      <w:r w:rsidRPr="000665B0">
        <w:t>s Mission Inventory (MDS).</w:t>
      </w:r>
      <w:r w:rsidRPr="000665B0" w:rsidDel="00A16A3E">
        <w:t xml:space="preserve"> </w:t>
      </w:r>
      <w:r w:rsidRPr="000665B0">
        <w:t>By adding a Platform ID to the list, the recipient (MDS only) returns the data for that platform. The idea is that one MDS machine can request third party data from another MDS machine. If a Platform ID is added to the list, then the Node Inventory checkbox must also be checked to indicate what data is being requested. A TTWCS recipient return</w:t>
      </w:r>
      <w:r w:rsidR="002E5173" w:rsidRPr="000665B0">
        <w:t>s</w:t>
      </w:r>
      <w:r w:rsidRPr="000665B0">
        <w:t xml:space="preserve"> a </w:t>
      </w:r>
      <w:r w:rsidR="004F3F3B" w:rsidRPr="000665B0">
        <w:t xml:space="preserve">TAF </w:t>
      </w:r>
      <w:r w:rsidRPr="000665B0">
        <w:t>and an MDS site return</w:t>
      </w:r>
      <w:r w:rsidR="002E5173" w:rsidRPr="000665B0">
        <w:t>s</w:t>
      </w:r>
      <w:r w:rsidRPr="000665B0">
        <w:t xml:space="preserve"> a DDO containing Node Inventory.</w:t>
      </w:r>
    </w:p>
    <w:p w14:paraId="30A24FFB" w14:textId="45C0AE49" w:rsidR="00DB7D87" w:rsidRPr="000665B0" w:rsidRDefault="00DB7D87" w:rsidP="006D5A65">
      <w:pPr>
        <w:pStyle w:val="Heading1"/>
      </w:pPr>
      <w:r w:rsidRPr="000665B0">
        <w:t>Select the Missile Inventory checkbox if requesting missile inventory.</w:t>
      </w:r>
      <w:r w:rsidRPr="000665B0" w:rsidDel="00A16A3E">
        <w:t xml:space="preserve"> </w:t>
      </w:r>
      <w:r w:rsidRPr="000665B0">
        <w:t>By adding a Platform ID to the list, the Coordination message can only be sent to a</w:t>
      </w:r>
      <w:r w:rsidR="00122686" w:rsidRPr="000665B0">
        <w:t>n</w:t>
      </w:r>
      <w:r w:rsidRPr="000665B0">
        <w:t xml:space="preserve"> MDS site and the requested information (Missile Inventory) for the platforms </w:t>
      </w:r>
      <w:r w:rsidR="002E5173" w:rsidRPr="000665B0">
        <w:t>is</w:t>
      </w:r>
      <w:r w:rsidRPr="000665B0">
        <w:t xml:space="preserve"> returned in a DDO. The idea is that one MDS machine can request third party data from another MDS machine. If a Platform ID is added to the list, then the Missile Inventory checkbox must also be checked to indicate what data is being requested. TTWCS can also request either Tactical or Training inventory by </w:t>
      </w:r>
      <w:r w:rsidRPr="000665B0">
        <w:lastRenderedPageBreak/>
        <w:t>selecting the checkbox. A TTWCS site return</w:t>
      </w:r>
      <w:r w:rsidR="002E5173" w:rsidRPr="000665B0">
        <w:t>s</w:t>
      </w:r>
      <w:r w:rsidRPr="000665B0">
        <w:t xml:space="preserve"> a Missile Load-Out Situation Report File-TTWCS (MLOSRF-T).</w:t>
      </w:r>
    </w:p>
    <w:p w14:paraId="5DE3211B" w14:textId="77777777" w:rsidR="00DB7D87" w:rsidRPr="000665B0" w:rsidRDefault="00DB7D87" w:rsidP="006D5A65">
      <w:pPr>
        <w:pStyle w:val="Heading1"/>
      </w:pPr>
      <w:r w:rsidRPr="000665B0">
        <w:t>Select the ACMS List checkbox if requesting a list of ACMSs on a platform (TTWCS only).</w:t>
      </w:r>
    </w:p>
    <w:p w14:paraId="6D79E93D" w14:textId="77777777" w:rsidR="00DB7D87" w:rsidRPr="000665B0" w:rsidRDefault="00DB7D87" w:rsidP="006D5A65">
      <w:pPr>
        <w:pStyle w:val="Heading1"/>
      </w:pPr>
      <w:r w:rsidRPr="000665B0">
        <w:t xml:space="preserve">Click the </w:t>
      </w:r>
      <w:r w:rsidRPr="000665B0">
        <w:rPr>
          <w:bCs/>
        </w:rPr>
        <w:t>Save</w:t>
      </w:r>
      <w:r w:rsidRPr="000665B0">
        <w:t xml:space="preserve"> icon in the toolbar to retain the template.</w:t>
      </w:r>
    </w:p>
    <w:p w14:paraId="78F5C098" w14:textId="77777777" w:rsidR="00DB7D87" w:rsidRPr="000665B0" w:rsidRDefault="00DB7D87" w:rsidP="006D5A65">
      <w:pPr>
        <w:pStyle w:val="Heading1"/>
      </w:pPr>
      <w:r w:rsidRPr="000665B0">
        <w:t xml:space="preserve">Click the </w:t>
      </w:r>
      <w:r w:rsidRPr="000665B0">
        <w:rPr>
          <w:bCs/>
        </w:rPr>
        <w:t>Send</w:t>
      </w:r>
      <w:r w:rsidRPr="000665B0">
        <w:t xml:space="preserve"> icon in the toolbar to transmit the message.</w:t>
      </w:r>
    </w:p>
    <w:p w14:paraId="06EA75BE" w14:textId="77777777" w:rsidR="00DB7D87" w:rsidRPr="000665B0" w:rsidRDefault="00DB7D87" w:rsidP="009570CA">
      <w:pPr>
        <w:keepNext/>
        <w:rPr>
          <w:b/>
        </w:rPr>
      </w:pPr>
      <w:r w:rsidRPr="000665B0">
        <w:rPr>
          <w:b/>
        </w:rPr>
        <w:t>Request Tab</w:t>
      </w:r>
    </w:p>
    <w:p w14:paraId="6BB3AA80" w14:textId="77777777" w:rsidR="00DB7D87" w:rsidRPr="000665B0" w:rsidRDefault="00DB7D87" w:rsidP="009570CA">
      <w:r w:rsidRPr="000665B0">
        <w:t xml:space="preserve">The </w:t>
      </w:r>
      <w:r w:rsidRPr="000665B0">
        <w:rPr>
          <w:b/>
          <w:i/>
        </w:rPr>
        <w:t>Request</w:t>
      </w:r>
      <w:r w:rsidRPr="000665B0">
        <w:t xml:space="preserve"> tab contains the list information regarding the data item the operator is requesting the recipient to send back to them.</w:t>
      </w:r>
    </w:p>
    <w:p w14:paraId="66A0DE58" w14:textId="77777777" w:rsidR="00DB7D87" w:rsidRPr="000665B0" w:rsidRDefault="00DB7D87" w:rsidP="009570CA">
      <w:pPr>
        <w:keepNext/>
        <w:rPr>
          <w:b/>
          <w:i/>
        </w:rPr>
      </w:pPr>
      <w:r w:rsidRPr="000665B0">
        <w:rPr>
          <w:b/>
          <w:i/>
        </w:rPr>
        <w:t>Request List View</w:t>
      </w:r>
    </w:p>
    <w:p w14:paraId="447EBAE6" w14:textId="77777777" w:rsidR="00DB7D87" w:rsidRPr="000665B0" w:rsidRDefault="00DB7D87" w:rsidP="006D5A65">
      <w:pPr>
        <w:pStyle w:val="Heading1"/>
      </w:pPr>
      <w:r w:rsidRPr="000665B0">
        <w:t>Columns</w:t>
      </w:r>
    </w:p>
    <w:p w14:paraId="4CD4D6BB" w14:textId="77777777" w:rsidR="00DB7D87" w:rsidRPr="000665B0" w:rsidRDefault="00DB7D87" w:rsidP="006D5A65">
      <w:pPr>
        <w:pStyle w:val="Heading2"/>
      </w:pPr>
      <w:r w:rsidRPr="000665B0">
        <w:rPr>
          <w:bCs/>
        </w:rPr>
        <w:t>ID</w:t>
      </w:r>
      <w:r w:rsidRPr="000665B0">
        <w:t xml:space="preserve"> – Unique ID identifying the specific data item.</w:t>
      </w:r>
    </w:p>
    <w:p w14:paraId="0290396E" w14:textId="77777777" w:rsidR="00F338E2" w:rsidRDefault="00DB7D87" w:rsidP="006D5A65">
      <w:pPr>
        <w:pStyle w:val="Heading2"/>
      </w:pPr>
      <w:r w:rsidRPr="000665B0">
        <w:rPr>
          <w:bCs/>
        </w:rPr>
        <w:t>Type</w:t>
      </w:r>
      <w:r w:rsidRPr="000665B0">
        <w:t xml:space="preserve"> – Data type of the data item being requested for deletion (</w:t>
      </w:r>
      <w:r w:rsidR="003509EA" w:rsidRPr="000665B0">
        <w:t xml:space="preserve">i.e., </w:t>
      </w:r>
      <w:r w:rsidRPr="000665B0">
        <w:t>ACMS).</w:t>
      </w:r>
    </w:p>
    <w:p w14:paraId="71F7F18C" w14:textId="77777777" w:rsidR="00F338E2" w:rsidRDefault="00F338E2" w:rsidP="006D5A65">
      <w:pPr>
        <w:pStyle w:val="Heading2"/>
      </w:pPr>
      <w:r>
        <w:rPr>
          <w:bCs/>
        </w:rPr>
        <w:t xml:space="preserve">Mission Name </w:t>
      </w:r>
      <w:r>
        <w:t>– The name of the Mission.</w:t>
      </w:r>
    </w:p>
    <w:p w14:paraId="4FFA77BB" w14:textId="5E3E14B6" w:rsidR="00F338E2" w:rsidRDefault="00F338E2" w:rsidP="006D5A65">
      <w:pPr>
        <w:pStyle w:val="Heading2"/>
      </w:pPr>
      <w:r>
        <w:rPr>
          <w:bCs/>
        </w:rPr>
        <w:t>BE</w:t>
      </w:r>
      <w:r>
        <w:t xml:space="preserve"> – Basic Encyclopedia</w:t>
      </w:r>
      <w:r w:rsidR="00152C10">
        <w:t>:</w:t>
      </w:r>
      <w:r>
        <w:t xml:space="preserve"> An identified installation of potential significance as objectives for attack.</w:t>
      </w:r>
    </w:p>
    <w:p w14:paraId="56D012AE" w14:textId="77777777" w:rsidR="00F338E2" w:rsidRDefault="00F338E2" w:rsidP="006D5A65">
      <w:pPr>
        <w:pStyle w:val="Heading2"/>
      </w:pPr>
      <w:r>
        <w:rPr>
          <w:bCs/>
        </w:rPr>
        <w:t>JDPI</w:t>
      </w:r>
      <w:r>
        <w:t xml:space="preserve"> – Joint Desired Point of Impact: A defined point of impact of the weapon.</w:t>
      </w:r>
    </w:p>
    <w:p w14:paraId="07697D93" w14:textId="77777777" w:rsidR="00F338E2" w:rsidRDefault="00F338E2" w:rsidP="006D5A65">
      <w:pPr>
        <w:pStyle w:val="Heading2"/>
      </w:pPr>
      <w:r>
        <w:rPr>
          <w:bCs/>
        </w:rPr>
        <w:t>Aimpt ID</w:t>
      </w:r>
      <w:r>
        <w:t xml:space="preserve"> – Two alphabetic characters which, in conjunction with the Installation BE number, are used to uniquely identify the point desired for intended interaction of the warhead with a target element.</w:t>
      </w:r>
    </w:p>
    <w:p w14:paraId="75031424" w14:textId="77777777" w:rsidR="00F338E2" w:rsidRDefault="00F338E2" w:rsidP="006D5A65">
      <w:pPr>
        <w:pStyle w:val="Heading2"/>
      </w:pPr>
      <w:r>
        <w:rPr>
          <w:bCs/>
        </w:rPr>
        <w:t>Missile</w:t>
      </w:r>
      <w:r>
        <w:t xml:space="preserve"> – Indicates the missile variant type.</w:t>
      </w:r>
    </w:p>
    <w:p w14:paraId="12289B92" w14:textId="77777777" w:rsidR="00F338E2" w:rsidRDefault="00F338E2" w:rsidP="006D5A65">
      <w:pPr>
        <w:pStyle w:val="Heading2"/>
      </w:pPr>
      <w:r>
        <w:rPr>
          <w:bCs/>
        </w:rPr>
        <w:t>Launch Area</w:t>
      </w:r>
      <w:r>
        <w:t xml:space="preserve"> – An area surrounding the FPPWP where a missile can be launched.</w:t>
      </w:r>
    </w:p>
    <w:p w14:paraId="3AE4F87F" w14:textId="77777777" w:rsidR="00F338E2" w:rsidRDefault="00F338E2" w:rsidP="006D5A65">
      <w:pPr>
        <w:pStyle w:val="Heading2"/>
      </w:pPr>
      <w:r>
        <w:rPr>
          <w:bCs/>
        </w:rPr>
        <w:t>Country</w:t>
      </w:r>
      <w:r>
        <w:t xml:space="preserve"> – The standard Country Code and country name from the </w:t>
      </w:r>
      <w:r>
        <w:rPr>
          <w:szCs w:val="24"/>
        </w:rPr>
        <w:t>CountryDB</w:t>
      </w:r>
      <w:r>
        <w:t xml:space="preserve"> that identifies the country </w:t>
      </w:r>
      <w:r>
        <w:rPr>
          <w:szCs w:val="24"/>
        </w:rPr>
        <w:t>where the target is located</w:t>
      </w:r>
      <w:r>
        <w:t>.</w:t>
      </w:r>
    </w:p>
    <w:p w14:paraId="7D1DEC69" w14:textId="77777777" w:rsidR="00F338E2" w:rsidRDefault="00F338E2" w:rsidP="006D5A65">
      <w:pPr>
        <w:pStyle w:val="Heading2"/>
      </w:pPr>
      <w:r>
        <w:rPr>
          <w:bCs/>
        </w:rPr>
        <w:t>TEF TMPC Version(s)</w:t>
      </w:r>
      <w:r>
        <w:t xml:space="preserve"> – List of TEF TMPC Version formats that are available for the mission.</w:t>
      </w:r>
    </w:p>
    <w:p w14:paraId="000374E8" w14:textId="77777777" w:rsidR="00F338E2" w:rsidRDefault="00F338E2" w:rsidP="009570CA">
      <w:pPr>
        <w:keepNext/>
        <w:keepLines/>
        <w:pBdr>
          <w:top w:val="single" w:sz="12" w:space="0"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Pr>
          <w:b/>
        </w:rPr>
        <w:lastRenderedPageBreak/>
        <w:t>Note:</w:t>
      </w:r>
    </w:p>
    <w:p w14:paraId="1C3EA139" w14:textId="3D6A3F66" w:rsidR="00DB7D87" w:rsidRPr="005F35A5" w:rsidRDefault="00F338E2" w:rsidP="00E00101">
      <w:pPr>
        <w:keepNext/>
        <w:keepLines/>
        <w:pBdr>
          <w:top w:val="single" w:sz="12" w:space="0"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Pr>
          <w:b/>
        </w:rPr>
        <w:t>The following 8 columns will display data only if the coordinate item is of type Mission: "Mission Name", "BE", "JDPI", "Aimpt ID", "Missile", "Launch Area', "Country", and "TEF TMPC Version(s)". Also, if the Mission ID input is not in the TED DB then the column data will be blank for these new columns. These columns are hidden by default and can be made visible through the columns properties dialog</w:t>
      </w:r>
    </w:p>
    <w:p w14:paraId="29BBC0A7" w14:textId="77777777" w:rsidR="00DB7D87" w:rsidRPr="000665B0" w:rsidRDefault="00DB7D87" w:rsidP="006D5A65">
      <w:pPr>
        <w:pStyle w:val="Heading1"/>
      </w:pPr>
      <w:r w:rsidRPr="000665B0">
        <w:t>Context Menu</w:t>
      </w:r>
    </w:p>
    <w:p w14:paraId="22DAA24F" w14:textId="77777777" w:rsidR="00DB7D87" w:rsidRPr="000665B0" w:rsidRDefault="00DB7D87" w:rsidP="006D5A65">
      <w:pPr>
        <w:pStyle w:val="Heading3"/>
      </w:pPr>
      <w:r w:rsidRPr="000665B0">
        <w:t>Add… – Opens the ‘Coordination Data Item – Request’ dialog.</w:t>
      </w:r>
    </w:p>
    <w:p w14:paraId="3D947A52" w14:textId="2BE564E8" w:rsidR="00DB7D87" w:rsidRPr="00E00101" w:rsidRDefault="00DB7D87" w:rsidP="006D5A65">
      <w:pPr>
        <w:pStyle w:val="Heading3"/>
        <w:rPr>
          <w:rFonts w:eastAsia="Arial Unicode MS"/>
        </w:rPr>
      </w:pPr>
      <w:r w:rsidRPr="000665B0">
        <w:rPr>
          <w:rFonts w:eastAsia="Arial Unicode MS"/>
        </w:rPr>
        <w:t>Display</w:t>
      </w:r>
      <w:r w:rsidR="00E00101">
        <w:rPr>
          <w:rFonts w:eastAsia="Arial Unicode MS"/>
        </w:rPr>
        <w:t xml:space="preserve"> – </w:t>
      </w:r>
      <w:r w:rsidRPr="00E00101">
        <w:rPr>
          <w:rFonts w:eastAsia="Arial Unicode MS"/>
        </w:rPr>
        <w:t xml:space="preserve">in Excel – </w:t>
      </w:r>
      <w:r w:rsidRPr="000665B0">
        <w:t>Displays an Excel document containing the selected data item(s) information.</w:t>
      </w:r>
    </w:p>
    <w:p w14:paraId="04257302" w14:textId="77777777" w:rsidR="00DB7D87" w:rsidRPr="000665B0" w:rsidRDefault="00DB7D87" w:rsidP="006D5A65">
      <w:pPr>
        <w:pStyle w:val="Heading3"/>
      </w:pPr>
      <w:r w:rsidRPr="000665B0">
        <w:t>Print… – Print the selected data item’s list information.</w:t>
      </w:r>
    </w:p>
    <w:p w14:paraId="2BB9D7B0" w14:textId="77777777" w:rsidR="00DB7D87" w:rsidRPr="000665B0" w:rsidRDefault="00DB7D87" w:rsidP="006D5A65">
      <w:pPr>
        <w:pStyle w:val="Heading3"/>
      </w:pPr>
      <w:r w:rsidRPr="000665B0">
        <w:rPr>
          <w:rFonts w:eastAsia="Arial Unicode MS"/>
        </w:rPr>
        <w:t xml:space="preserve">Remove – </w:t>
      </w:r>
      <w:r w:rsidRPr="000665B0">
        <w:t>Removes the selected data item(s) from the list view.</w:t>
      </w:r>
    </w:p>
    <w:p w14:paraId="01A12F30" w14:textId="7BCFC87B" w:rsidR="005D1A26" w:rsidRPr="000665B0" w:rsidRDefault="005D1A26" w:rsidP="009570CA">
      <w:pPr>
        <w:pStyle w:val="Heading3"/>
      </w:pPr>
      <w:bookmarkStart w:id="4786" w:name="_Toc96170081"/>
      <w:bookmarkStart w:id="4787" w:name="_Toc96234126"/>
      <w:bookmarkStart w:id="4788" w:name="_Toc112733554"/>
      <w:bookmarkStart w:id="4789" w:name="_Toc289328596"/>
      <w:bookmarkStart w:id="4790" w:name="_Toc312331904"/>
      <w:bookmarkStart w:id="4791" w:name="_Toc214283356"/>
      <w:bookmarkEnd w:id="4743"/>
      <w:bookmarkEnd w:id="4781"/>
      <w:bookmarkEnd w:id="4782"/>
      <w:bookmarkEnd w:id="4783"/>
      <w:bookmarkEnd w:id="4784"/>
      <w:r w:rsidRPr="000665B0">
        <w:t>Find</w:t>
      </w:r>
      <w:bookmarkEnd w:id="4785"/>
      <w:bookmarkEnd w:id="4786"/>
      <w:bookmarkEnd w:id="4787"/>
      <w:bookmarkEnd w:id="4788"/>
      <w:bookmarkEnd w:id="4789"/>
      <w:bookmarkEnd w:id="4790"/>
      <w:bookmarkEnd w:id="4791"/>
    </w:p>
    <w:p w14:paraId="1F9C0388" w14:textId="5022AD43" w:rsidR="005D1A26" w:rsidRPr="000665B0" w:rsidRDefault="00F02F03" w:rsidP="009570CA">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1DE3BF45" w14:textId="77777777" w:rsidR="00464C11" w:rsidRPr="000665B0" w:rsidRDefault="00464C11" w:rsidP="009570CA">
      <w:pPr>
        <w:pStyle w:val="Heading3"/>
      </w:pPr>
      <w:bookmarkStart w:id="4792" w:name="_Toc214283357"/>
      <w:r w:rsidRPr="000665B0">
        <w:t>Plugin Tool</w:t>
      </w:r>
      <w:bookmarkEnd w:id="4792"/>
    </w:p>
    <w:p w14:paraId="79779168" w14:textId="7182901F" w:rsidR="00464C11" w:rsidRPr="000665B0" w:rsidRDefault="00F02F03" w:rsidP="009570CA">
      <w:r w:rsidRPr="000665B0">
        <w:t>See</w:t>
      </w:r>
      <w:r w:rsidR="00464C11" w:rsidRPr="000665B0">
        <w:t xml:space="preserve"> </w:t>
      </w:r>
      <w:hyperlink w:anchor="_Plugin__Tool" w:history="1">
        <w:r w:rsidR="00464C11" w:rsidRPr="000665B0">
          <w:rPr>
            <w:rStyle w:val="Hyperlink"/>
          </w:rPr>
          <w:t>Section 5.2.5.2</w:t>
        </w:r>
      </w:hyperlink>
      <w:r w:rsidR="00464C11" w:rsidRPr="000665B0">
        <w:t>.</w:t>
      </w:r>
    </w:p>
    <w:p w14:paraId="3F4029A3" w14:textId="5EEC7603" w:rsidR="005D1A26" w:rsidRPr="000665B0" w:rsidRDefault="00277DCD" w:rsidP="009570CA">
      <w:pPr>
        <w:pStyle w:val="Heading3"/>
      </w:pPr>
      <w:bookmarkStart w:id="4793" w:name="_Toc71955510"/>
      <w:bookmarkStart w:id="4794" w:name="_Toc96170082"/>
      <w:bookmarkStart w:id="4795" w:name="_Toc96234127"/>
      <w:bookmarkStart w:id="4796" w:name="_Toc112733555"/>
      <w:bookmarkStart w:id="4797" w:name="_Toc289328597"/>
      <w:bookmarkStart w:id="4798" w:name="_Toc312331905"/>
      <w:bookmarkStart w:id="4799" w:name="_Toc214283358"/>
      <w:r w:rsidRPr="000665B0">
        <w:t>Print All</w:t>
      </w:r>
      <w:bookmarkEnd w:id="4793"/>
      <w:bookmarkEnd w:id="4794"/>
      <w:bookmarkEnd w:id="4795"/>
      <w:bookmarkEnd w:id="4796"/>
      <w:bookmarkEnd w:id="4797"/>
      <w:bookmarkEnd w:id="4798"/>
      <w:bookmarkEnd w:id="4799"/>
    </w:p>
    <w:p w14:paraId="1B8A1E28" w14:textId="7EE4D57F" w:rsidR="005D1A26" w:rsidRPr="000665B0" w:rsidRDefault="00F02F03" w:rsidP="009570CA">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1CB3AEB6" w14:textId="13E25289" w:rsidR="005D1A26" w:rsidRPr="000665B0" w:rsidRDefault="00277DCD" w:rsidP="009570CA">
      <w:pPr>
        <w:pStyle w:val="Heading3"/>
      </w:pPr>
      <w:bookmarkStart w:id="4800" w:name="_Toc71955511"/>
      <w:bookmarkStart w:id="4801" w:name="_Toc96170083"/>
      <w:bookmarkStart w:id="4802" w:name="_Toc96234128"/>
      <w:bookmarkStart w:id="4803" w:name="_Toc112733556"/>
      <w:bookmarkStart w:id="4804" w:name="_Toc289328598"/>
      <w:bookmarkStart w:id="4805" w:name="_Toc312331906"/>
      <w:bookmarkStart w:id="4806" w:name="_Toc214283359"/>
      <w:r w:rsidRPr="000665B0">
        <w:t>Display All in Excel</w:t>
      </w:r>
      <w:bookmarkEnd w:id="4800"/>
      <w:bookmarkEnd w:id="4801"/>
      <w:bookmarkEnd w:id="4802"/>
      <w:bookmarkEnd w:id="4803"/>
      <w:bookmarkEnd w:id="4804"/>
      <w:bookmarkEnd w:id="4805"/>
      <w:bookmarkEnd w:id="4806"/>
    </w:p>
    <w:p w14:paraId="34424F37" w14:textId="34BF2198" w:rsidR="005D1A26" w:rsidRPr="000665B0" w:rsidRDefault="00F02F03" w:rsidP="009570CA">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6EE5B550" w14:textId="7F6579BE" w:rsidR="005D1A26" w:rsidRPr="000665B0" w:rsidRDefault="005D1A26" w:rsidP="009570CA">
      <w:pPr>
        <w:pStyle w:val="Heading3"/>
      </w:pPr>
      <w:bookmarkStart w:id="4807" w:name="_Toc71955512"/>
      <w:bookmarkStart w:id="4808" w:name="_Toc96170084"/>
      <w:bookmarkStart w:id="4809" w:name="_Toc96234129"/>
      <w:bookmarkStart w:id="4810" w:name="_Toc112733557"/>
      <w:bookmarkStart w:id="4811" w:name="_Toc289328599"/>
      <w:bookmarkStart w:id="4812" w:name="_Toc312331907"/>
      <w:bookmarkStart w:id="4813" w:name="_Toc214283360"/>
      <w:r w:rsidRPr="000665B0">
        <w:t>Select All</w:t>
      </w:r>
      <w:bookmarkEnd w:id="4807"/>
      <w:bookmarkEnd w:id="4808"/>
      <w:bookmarkEnd w:id="4809"/>
      <w:bookmarkEnd w:id="4810"/>
      <w:bookmarkEnd w:id="4811"/>
      <w:bookmarkEnd w:id="4812"/>
      <w:bookmarkEnd w:id="4813"/>
    </w:p>
    <w:p w14:paraId="7D69B113" w14:textId="61694441" w:rsidR="005D1A26" w:rsidRPr="000665B0" w:rsidRDefault="00F02F03" w:rsidP="009570CA">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5ABB1F36" w14:textId="330930EA" w:rsidR="005D1A26" w:rsidRPr="000665B0" w:rsidRDefault="005D1A26" w:rsidP="009570CA">
      <w:pPr>
        <w:pStyle w:val="Heading3"/>
      </w:pPr>
      <w:bookmarkStart w:id="4814" w:name="_Toc71955514"/>
      <w:bookmarkStart w:id="4815" w:name="_Toc96170085"/>
      <w:bookmarkStart w:id="4816" w:name="_Toc96234130"/>
      <w:bookmarkStart w:id="4817" w:name="_Toc112733558"/>
      <w:bookmarkStart w:id="4818" w:name="_Toc289328600"/>
      <w:bookmarkStart w:id="4819" w:name="_Toc312331908"/>
      <w:bookmarkStart w:id="4820" w:name="_Toc214283361"/>
      <w:r w:rsidRPr="000665B0">
        <w:t>Delete</w:t>
      </w:r>
      <w:bookmarkEnd w:id="4814"/>
      <w:bookmarkEnd w:id="4815"/>
      <w:bookmarkEnd w:id="4816"/>
      <w:bookmarkEnd w:id="4817"/>
      <w:bookmarkEnd w:id="4818"/>
      <w:bookmarkEnd w:id="4819"/>
      <w:bookmarkEnd w:id="4820"/>
    </w:p>
    <w:p w14:paraId="47DC8608" w14:textId="3E57B321" w:rsidR="008F4F8D" w:rsidRPr="00051B67" w:rsidRDefault="00F02F03" w:rsidP="00051B67">
      <w:r w:rsidRPr="000665B0">
        <w:t>See</w:t>
      </w:r>
      <w:r w:rsidR="005D1A26" w:rsidRPr="000665B0">
        <w:t xml:space="preserve"> </w:t>
      </w:r>
      <w:hyperlink w:anchor="_5.2.1.6__Delete" w:history="1">
        <w:r w:rsidR="00B9720D" w:rsidRPr="000665B0">
          <w:rPr>
            <w:rStyle w:val="Hyperlink"/>
          </w:rPr>
          <w:t>Section 5.2.1.6</w:t>
        </w:r>
      </w:hyperlink>
      <w:r w:rsidR="005D1A26" w:rsidRPr="000665B0">
        <w:t>.</w:t>
      </w:r>
      <w:bookmarkStart w:id="4821" w:name="_Toc71955516"/>
      <w:bookmarkStart w:id="4822" w:name="_Toc96170086"/>
      <w:bookmarkStart w:id="4823" w:name="_Toc96234131"/>
      <w:bookmarkStart w:id="4824" w:name="_Toc112733559"/>
      <w:bookmarkStart w:id="4825" w:name="_Toc289328601"/>
      <w:bookmarkStart w:id="4826" w:name="_Toc312331909"/>
    </w:p>
    <w:p w14:paraId="11C13901" w14:textId="61926293" w:rsidR="005D1A26" w:rsidRPr="000665B0" w:rsidRDefault="005D1A26" w:rsidP="009570CA">
      <w:pPr>
        <w:pStyle w:val="Heading3"/>
      </w:pPr>
      <w:bookmarkStart w:id="4827" w:name="_Toc214283362"/>
      <w:r w:rsidRPr="000665B0">
        <w:t>Properties</w:t>
      </w:r>
      <w:bookmarkEnd w:id="4821"/>
      <w:bookmarkEnd w:id="4822"/>
      <w:bookmarkEnd w:id="4823"/>
      <w:bookmarkEnd w:id="4824"/>
      <w:bookmarkEnd w:id="4825"/>
      <w:bookmarkEnd w:id="4826"/>
      <w:bookmarkEnd w:id="4827"/>
    </w:p>
    <w:p w14:paraId="3CB4A95D" w14:textId="51E2168B" w:rsidR="005D1A26" w:rsidRPr="000665B0" w:rsidRDefault="00F02F03" w:rsidP="009570CA">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79D231FE" w14:textId="0D801832" w:rsidR="005D1A26" w:rsidRPr="000665B0" w:rsidRDefault="005D1A26" w:rsidP="00E00101">
      <w:pPr>
        <w:pStyle w:val="Heading3"/>
        <w:keepNext w:val="0"/>
      </w:pPr>
      <w:bookmarkStart w:id="4828" w:name="_Toc71955517"/>
      <w:bookmarkStart w:id="4829" w:name="_Toc96170087"/>
      <w:bookmarkStart w:id="4830" w:name="_Toc96234132"/>
      <w:bookmarkStart w:id="4831" w:name="_Toc112733560"/>
      <w:bookmarkStart w:id="4832" w:name="_Toc289328602"/>
      <w:bookmarkStart w:id="4833" w:name="_Toc312331910"/>
      <w:bookmarkStart w:id="4834" w:name="_Toc214283363"/>
      <w:r w:rsidRPr="000665B0">
        <w:t>Sort</w:t>
      </w:r>
      <w:bookmarkEnd w:id="4828"/>
      <w:bookmarkEnd w:id="4829"/>
      <w:bookmarkEnd w:id="4830"/>
      <w:bookmarkEnd w:id="4831"/>
      <w:bookmarkEnd w:id="4832"/>
      <w:bookmarkEnd w:id="4833"/>
      <w:bookmarkEnd w:id="4834"/>
    </w:p>
    <w:p w14:paraId="0FD4DBFB" w14:textId="15BD077A" w:rsidR="005D1A26" w:rsidRPr="000665B0" w:rsidRDefault="00F02F03" w:rsidP="009570CA">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0AFDCEBB" w14:textId="77777777" w:rsidR="00A316EA" w:rsidRDefault="00A316EA" w:rsidP="006966D9">
      <w:pPr>
        <w:pStyle w:val="Heading2"/>
      </w:pPr>
      <w:r>
        <w:br w:type="page"/>
      </w:r>
      <w:bookmarkStart w:id="4835" w:name="_Toc159315325"/>
      <w:bookmarkStart w:id="4836" w:name="_Toc214283364"/>
      <w:r w:rsidR="002640A6" w:rsidRPr="000665B0">
        <w:lastRenderedPageBreak/>
        <w:t>VFIL TOOL</w:t>
      </w:r>
      <w:bookmarkEnd w:id="4835"/>
      <w:bookmarkEnd w:id="4836"/>
    </w:p>
    <w:p w14:paraId="623B04F7" w14:textId="77777777" w:rsidR="002640A6" w:rsidRPr="000665B0" w:rsidRDefault="002640A6" w:rsidP="009570CA">
      <w:r w:rsidRPr="000665B0">
        <w:t xml:space="preserve">The VFIL Tool is a tool that manages all the Block III Flight Software and the Valid Flight Software IDs in the system. The types of Block III Flight Software available are Conventional OFP, DFS, and GFS. MDS maintains the Flight Software collection and distributes them to the FRUs. The FRUs use Block III Flight Software to </w:t>
      </w:r>
      <w:r w:rsidR="00B2635E" w:rsidRPr="000665B0">
        <w:t xml:space="preserve">fly </w:t>
      </w:r>
      <w:r w:rsidRPr="000665B0">
        <w:t>Block III missions. The VFIL is a reference list of flight software available for use identified by Flight Software IDs. The VFIL is created and maintained by the SSA. The onboard presence or absence of the Flight Software in the system is indicated by either a “True” or “False” value in the Data column of the display. The entries (some or all) in the List View can be displayed in Excel, printed, or deleted. To view the VFIL list:</w:t>
      </w:r>
    </w:p>
    <w:p w14:paraId="0D3A71F1" w14:textId="77777777" w:rsidR="002640A6" w:rsidRPr="000665B0" w:rsidRDefault="002640A6" w:rsidP="009570CA">
      <w:pPr>
        <w:pStyle w:val="Number0205"/>
        <w:ind w:left="360" w:firstLine="0"/>
      </w:pPr>
      <w:r w:rsidRPr="000665B0">
        <w:t xml:space="preserve">From the </w:t>
      </w:r>
      <w:r w:rsidRPr="000665B0">
        <w:rPr>
          <w:b/>
        </w:rPr>
        <w:t>Go</w:t>
      </w:r>
      <w:r w:rsidRPr="000665B0">
        <w:t xml:space="preserve"> menu select </w:t>
      </w:r>
      <w:r w:rsidRPr="000665B0">
        <w:rPr>
          <w:b/>
          <w:bCs/>
        </w:rPr>
        <w:t>VFIL</w:t>
      </w:r>
      <w:r w:rsidRPr="000665B0">
        <w:t>.</w:t>
      </w:r>
    </w:p>
    <w:p w14:paraId="1631E7D8" w14:textId="044BA364" w:rsidR="002640A6" w:rsidRPr="000665B0" w:rsidRDefault="00CD2D23" w:rsidP="009570CA">
      <w:pPr>
        <w:pStyle w:val="Number0205"/>
        <w:ind w:left="0" w:firstLine="0"/>
        <w:jc w:val="center"/>
      </w:pPr>
      <w:r w:rsidRPr="000665B0">
        <w:rPr>
          <w:noProof/>
        </w:rPr>
        <w:drawing>
          <wp:inline distT="0" distB="0" distL="0" distR="0" wp14:anchorId="35CD210B" wp14:editId="39620159">
            <wp:extent cx="4983480" cy="2441448"/>
            <wp:effectExtent l="0" t="0" r="0" b="0"/>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2441448"/>
                    </a:xfrm>
                    <a:prstGeom prst="rect">
                      <a:avLst/>
                    </a:prstGeom>
                  </pic:spPr>
                </pic:pic>
              </a:graphicData>
            </a:graphic>
          </wp:inline>
        </w:drawing>
      </w:r>
    </w:p>
    <w:p w14:paraId="13981347" w14:textId="25F5C33B" w:rsidR="002640A6" w:rsidRPr="000665B0" w:rsidRDefault="002640A6" w:rsidP="009570CA">
      <w:pPr>
        <w:pStyle w:val="Heading3"/>
      </w:pPr>
      <w:bookmarkStart w:id="4837" w:name="_Toc214283365"/>
      <w:bookmarkStart w:id="4838" w:name="_Toc71955539"/>
      <w:bookmarkStart w:id="4839" w:name="_Toc96170095"/>
      <w:bookmarkStart w:id="4840" w:name="_Toc96234140"/>
      <w:bookmarkStart w:id="4841" w:name="_Toc112733568"/>
      <w:bookmarkStart w:id="4842" w:name="_Toc159315332"/>
      <w:r w:rsidRPr="000665B0">
        <w:t>Delete Binary Data</w:t>
      </w:r>
      <w:bookmarkEnd w:id="4837"/>
    </w:p>
    <w:p w14:paraId="4C283B0C" w14:textId="521B84CD" w:rsidR="002640A6" w:rsidRPr="000665B0" w:rsidRDefault="002640A6" w:rsidP="009570CA">
      <w:r w:rsidRPr="000665B0">
        <w:t xml:space="preserve">This deletes the actual flight software binary data; not the flight software entry of the VFIL. To delete the binary data, </w:t>
      </w:r>
      <w:r w:rsidR="00D71804" w:rsidRPr="000665B0">
        <w:t>right-click</w:t>
      </w:r>
      <w:r w:rsidRPr="000665B0">
        <w:t xml:space="preserve"> an entry in the list and select </w:t>
      </w:r>
      <w:r w:rsidRPr="000665B0">
        <w:rPr>
          <w:b/>
        </w:rPr>
        <w:t>Delete Binary Data</w:t>
      </w:r>
      <w:r w:rsidRPr="000665B0">
        <w:t>.</w:t>
      </w:r>
    </w:p>
    <w:p w14:paraId="3E6E144D" w14:textId="604F80EE" w:rsidR="002640A6" w:rsidRPr="000665B0" w:rsidRDefault="002640A6" w:rsidP="009570CA">
      <w:pPr>
        <w:pStyle w:val="Heading3"/>
      </w:pPr>
      <w:bookmarkStart w:id="4843" w:name="_Toc214283366"/>
      <w:r w:rsidRPr="000665B0">
        <w:t>Find</w:t>
      </w:r>
      <w:bookmarkEnd w:id="4843"/>
    </w:p>
    <w:p w14:paraId="200D98C1" w14:textId="681BA814" w:rsidR="002640A6" w:rsidRPr="000665B0" w:rsidRDefault="00F02F03" w:rsidP="009570CA">
      <w:r w:rsidRPr="000665B0">
        <w:t>See</w:t>
      </w:r>
      <w:r w:rsidR="002640A6" w:rsidRPr="000665B0">
        <w:t xml:space="preserve"> </w:t>
      </w:r>
      <w:hyperlink w:anchor="_5.2.5.1__Find_1" w:history="1">
        <w:r w:rsidR="002640A6" w:rsidRPr="000665B0">
          <w:rPr>
            <w:rStyle w:val="Hyperlink"/>
          </w:rPr>
          <w:t>Section 5.2.5.1</w:t>
        </w:r>
      </w:hyperlink>
      <w:r w:rsidR="002640A6" w:rsidRPr="000665B0">
        <w:t>.</w:t>
      </w:r>
    </w:p>
    <w:p w14:paraId="7555C052" w14:textId="77777777" w:rsidR="00464C11" w:rsidRPr="000665B0" w:rsidRDefault="00464C11" w:rsidP="009570CA">
      <w:pPr>
        <w:pStyle w:val="Heading3"/>
      </w:pPr>
      <w:bookmarkStart w:id="4844" w:name="_Toc214283367"/>
      <w:r w:rsidRPr="000665B0">
        <w:t>Plugin Tool</w:t>
      </w:r>
      <w:bookmarkEnd w:id="4844"/>
    </w:p>
    <w:p w14:paraId="57B73E29" w14:textId="5022BCCB" w:rsidR="00464C11" w:rsidRPr="000665B0" w:rsidRDefault="00F02F03" w:rsidP="009570CA">
      <w:r w:rsidRPr="000665B0">
        <w:t>See</w:t>
      </w:r>
      <w:r w:rsidR="00464C11" w:rsidRPr="000665B0">
        <w:t xml:space="preserve"> </w:t>
      </w:r>
      <w:hyperlink w:anchor="_Plugin__Tool" w:history="1">
        <w:r w:rsidR="00464C11" w:rsidRPr="000665B0">
          <w:rPr>
            <w:rStyle w:val="Hyperlink"/>
          </w:rPr>
          <w:t>Section 5.2.5.2</w:t>
        </w:r>
      </w:hyperlink>
      <w:r w:rsidR="00464C11" w:rsidRPr="000665B0">
        <w:t>.</w:t>
      </w:r>
    </w:p>
    <w:p w14:paraId="44A9E23B" w14:textId="651203C6" w:rsidR="002640A6" w:rsidRPr="000665B0" w:rsidRDefault="002640A6" w:rsidP="009570CA">
      <w:pPr>
        <w:pStyle w:val="Heading3"/>
      </w:pPr>
      <w:bookmarkStart w:id="4845" w:name="_Toc214283368"/>
      <w:r w:rsidRPr="000665B0">
        <w:t>Print All</w:t>
      </w:r>
      <w:bookmarkEnd w:id="4838"/>
      <w:bookmarkEnd w:id="4839"/>
      <w:bookmarkEnd w:id="4840"/>
      <w:bookmarkEnd w:id="4841"/>
      <w:bookmarkEnd w:id="4842"/>
      <w:bookmarkEnd w:id="4845"/>
    </w:p>
    <w:p w14:paraId="4458BB2A" w14:textId="38B829D9" w:rsidR="002640A6" w:rsidRPr="000665B0" w:rsidRDefault="00F02F03" w:rsidP="009570CA">
      <w:r w:rsidRPr="000665B0">
        <w:t>See</w:t>
      </w:r>
      <w:r w:rsidR="002640A6" w:rsidRPr="000665B0">
        <w:t xml:space="preserve"> </w:t>
      </w:r>
      <w:hyperlink w:anchor="_5.2.1.5__Print" w:history="1">
        <w:r w:rsidR="002640A6" w:rsidRPr="000665B0">
          <w:rPr>
            <w:rStyle w:val="Hyperlink"/>
          </w:rPr>
          <w:t>Section 5.2.1.5</w:t>
        </w:r>
      </w:hyperlink>
      <w:r w:rsidR="002640A6" w:rsidRPr="000665B0">
        <w:t>.</w:t>
      </w:r>
    </w:p>
    <w:p w14:paraId="1B1109E9" w14:textId="6F2222D4" w:rsidR="002640A6" w:rsidRPr="000665B0" w:rsidRDefault="002640A6" w:rsidP="009570CA">
      <w:pPr>
        <w:pStyle w:val="Heading3"/>
      </w:pPr>
      <w:bookmarkStart w:id="4846" w:name="_Toc71955540"/>
      <w:bookmarkStart w:id="4847" w:name="_Toc96170096"/>
      <w:bookmarkStart w:id="4848" w:name="_Toc96234141"/>
      <w:bookmarkStart w:id="4849" w:name="_Toc112733569"/>
      <w:bookmarkStart w:id="4850" w:name="_Toc159315333"/>
      <w:bookmarkStart w:id="4851" w:name="_Toc214283369"/>
      <w:r w:rsidRPr="000665B0">
        <w:lastRenderedPageBreak/>
        <w:t>Display All in Excel</w:t>
      </w:r>
      <w:bookmarkEnd w:id="4846"/>
      <w:bookmarkEnd w:id="4847"/>
      <w:bookmarkEnd w:id="4848"/>
      <w:bookmarkEnd w:id="4849"/>
      <w:bookmarkEnd w:id="4850"/>
      <w:bookmarkEnd w:id="4851"/>
    </w:p>
    <w:p w14:paraId="77B5E657" w14:textId="4B8FD95F" w:rsidR="002640A6" w:rsidRPr="000665B0" w:rsidRDefault="00F02F03" w:rsidP="009570CA">
      <w:r w:rsidRPr="000665B0">
        <w:t>See</w:t>
      </w:r>
      <w:r w:rsidR="002640A6" w:rsidRPr="000665B0">
        <w:t xml:space="preserve"> </w:t>
      </w:r>
      <w:hyperlink w:anchor="_5.2.1.2.1__Display_1" w:history="1">
        <w:r w:rsidR="002640A6" w:rsidRPr="000665B0">
          <w:rPr>
            <w:rStyle w:val="Hyperlink"/>
          </w:rPr>
          <w:t>Section 5.2.1.2.1</w:t>
        </w:r>
      </w:hyperlink>
      <w:r w:rsidR="002640A6" w:rsidRPr="000665B0">
        <w:t>.</w:t>
      </w:r>
    </w:p>
    <w:p w14:paraId="18528860" w14:textId="7EFA70BF" w:rsidR="002640A6" w:rsidRPr="000665B0" w:rsidRDefault="002640A6" w:rsidP="009570CA">
      <w:pPr>
        <w:pStyle w:val="Heading3"/>
      </w:pPr>
      <w:bookmarkStart w:id="4852" w:name="_Toc71955541"/>
      <w:bookmarkStart w:id="4853" w:name="_Toc96170097"/>
      <w:bookmarkStart w:id="4854" w:name="_Toc96234142"/>
      <w:bookmarkStart w:id="4855" w:name="_Toc112733570"/>
      <w:bookmarkStart w:id="4856" w:name="_Toc159315334"/>
      <w:bookmarkStart w:id="4857" w:name="_Toc214283370"/>
      <w:r w:rsidRPr="000665B0">
        <w:t>Select All</w:t>
      </w:r>
      <w:bookmarkEnd w:id="4852"/>
      <w:bookmarkEnd w:id="4853"/>
      <w:bookmarkEnd w:id="4854"/>
      <w:bookmarkEnd w:id="4855"/>
      <w:bookmarkEnd w:id="4856"/>
      <w:bookmarkEnd w:id="4857"/>
    </w:p>
    <w:p w14:paraId="31468C97" w14:textId="6A162DF0" w:rsidR="002640A6" w:rsidRPr="000665B0" w:rsidRDefault="00F02F03" w:rsidP="009570CA">
      <w:r w:rsidRPr="000665B0">
        <w:t>See</w:t>
      </w:r>
      <w:r w:rsidR="002640A6" w:rsidRPr="000665B0">
        <w:t xml:space="preserve"> </w:t>
      </w:r>
      <w:hyperlink w:anchor="_5.2.2.1__Select_1" w:history="1">
        <w:r w:rsidR="002640A6" w:rsidRPr="000665B0">
          <w:rPr>
            <w:rStyle w:val="Hyperlink"/>
          </w:rPr>
          <w:t>Section 5.2.2.1</w:t>
        </w:r>
      </w:hyperlink>
      <w:r w:rsidR="002640A6" w:rsidRPr="000665B0">
        <w:t>.</w:t>
      </w:r>
    </w:p>
    <w:p w14:paraId="7A8C3BCB" w14:textId="7F4F1CC8" w:rsidR="002640A6" w:rsidRPr="000665B0" w:rsidRDefault="002640A6" w:rsidP="009570CA">
      <w:pPr>
        <w:pStyle w:val="Heading3"/>
      </w:pPr>
      <w:bookmarkStart w:id="4858" w:name="_Toc71955543"/>
      <w:bookmarkStart w:id="4859" w:name="_Toc96170098"/>
      <w:bookmarkStart w:id="4860" w:name="_Toc96234143"/>
      <w:bookmarkStart w:id="4861" w:name="_Toc112733571"/>
      <w:bookmarkStart w:id="4862" w:name="_Toc159315335"/>
      <w:bookmarkStart w:id="4863" w:name="_Toc214283371"/>
      <w:r w:rsidRPr="000665B0">
        <w:t>Receive File</w:t>
      </w:r>
      <w:bookmarkEnd w:id="4858"/>
      <w:bookmarkEnd w:id="4859"/>
      <w:bookmarkEnd w:id="4860"/>
      <w:bookmarkEnd w:id="4861"/>
      <w:bookmarkEnd w:id="4862"/>
      <w:bookmarkEnd w:id="4863"/>
    </w:p>
    <w:p w14:paraId="70DECAC3" w14:textId="7D8845A0" w:rsidR="002640A6" w:rsidRPr="000665B0" w:rsidRDefault="00F02F03" w:rsidP="009570CA">
      <w:r w:rsidRPr="000665B0">
        <w:t>See</w:t>
      </w:r>
      <w:r w:rsidR="002640A6" w:rsidRPr="000665B0">
        <w:t xml:space="preserve"> </w:t>
      </w:r>
      <w:hyperlink w:anchor="_5.2.1.7__Receive" w:history="1">
        <w:r w:rsidR="002640A6" w:rsidRPr="000665B0">
          <w:rPr>
            <w:rStyle w:val="Hyperlink"/>
          </w:rPr>
          <w:t>Section 5.2.1.7</w:t>
        </w:r>
      </w:hyperlink>
      <w:r w:rsidR="002640A6" w:rsidRPr="000665B0">
        <w:t>.</w:t>
      </w:r>
    </w:p>
    <w:p w14:paraId="2E1589F6" w14:textId="016CADC4" w:rsidR="002640A6" w:rsidRPr="000665B0" w:rsidRDefault="002640A6" w:rsidP="009570CA">
      <w:pPr>
        <w:pStyle w:val="Heading3"/>
      </w:pPr>
      <w:bookmarkStart w:id="4864" w:name="_Toc71955547"/>
      <w:bookmarkStart w:id="4865" w:name="_Toc96170100"/>
      <w:bookmarkStart w:id="4866" w:name="_Toc96234145"/>
      <w:bookmarkStart w:id="4867" w:name="_Toc112733573"/>
      <w:bookmarkStart w:id="4868" w:name="_Toc159315337"/>
      <w:bookmarkStart w:id="4869" w:name="_Toc214283372"/>
      <w:r w:rsidRPr="000665B0">
        <w:t>Properties</w:t>
      </w:r>
      <w:bookmarkEnd w:id="4864"/>
      <w:bookmarkEnd w:id="4865"/>
      <w:bookmarkEnd w:id="4866"/>
      <w:bookmarkEnd w:id="4867"/>
      <w:bookmarkEnd w:id="4868"/>
      <w:bookmarkEnd w:id="4869"/>
    </w:p>
    <w:p w14:paraId="0B5A643C" w14:textId="1C76518A" w:rsidR="002640A6" w:rsidRPr="000665B0" w:rsidRDefault="00F02F03" w:rsidP="009570CA">
      <w:pPr>
        <w:pStyle w:val="Number0205"/>
        <w:ind w:left="0" w:firstLine="0"/>
      </w:pPr>
      <w:r w:rsidRPr="000665B0">
        <w:t>See</w:t>
      </w:r>
      <w:r w:rsidR="002640A6" w:rsidRPr="000665B0">
        <w:t xml:space="preserve"> </w:t>
      </w:r>
      <w:hyperlink w:anchor="_5.2.3.4__Properties" w:history="1">
        <w:r w:rsidR="00A75813" w:rsidRPr="000665B0">
          <w:rPr>
            <w:rStyle w:val="Hyperlink"/>
          </w:rPr>
          <w:t>Section 5.2.3.5</w:t>
        </w:r>
      </w:hyperlink>
      <w:r w:rsidR="002640A6" w:rsidRPr="000665B0">
        <w:t>.</w:t>
      </w:r>
    </w:p>
    <w:p w14:paraId="25C3F850" w14:textId="52FDB89C" w:rsidR="002640A6" w:rsidRPr="000665B0" w:rsidRDefault="002640A6" w:rsidP="009570CA">
      <w:pPr>
        <w:pStyle w:val="Heading3"/>
      </w:pPr>
      <w:bookmarkStart w:id="4870" w:name="_Toc71955548"/>
      <w:bookmarkStart w:id="4871" w:name="_Toc96170101"/>
      <w:bookmarkStart w:id="4872" w:name="_Toc96234146"/>
      <w:bookmarkStart w:id="4873" w:name="_Toc112733574"/>
      <w:bookmarkStart w:id="4874" w:name="_Toc159315338"/>
      <w:bookmarkStart w:id="4875" w:name="_Toc214283373"/>
      <w:r w:rsidRPr="000665B0">
        <w:t>Sort</w:t>
      </w:r>
      <w:bookmarkEnd w:id="4870"/>
      <w:bookmarkEnd w:id="4871"/>
      <w:bookmarkEnd w:id="4872"/>
      <w:bookmarkEnd w:id="4873"/>
      <w:bookmarkEnd w:id="4874"/>
      <w:bookmarkEnd w:id="4875"/>
    </w:p>
    <w:p w14:paraId="3ECC296C" w14:textId="77777777" w:rsidR="00A316EA" w:rsidRDefault="00F02F03" w:rsidP="009570CA">
      <w:pPr>
        <w:pStyle w:val="Number0205"/>
        <w:ind w:left="0" w:firstLine="0"/>
      </w:pPr>
      <w:r w:rsidRPr="000665B0">
        <w:t>See</w:t>
      </w:r>
      <w:r w:rsidR="002640A6" w:rsidRPr="000665B0">
        <w:t xml:space="preserve"> </w:t>
      </w:r>
      <w:hyperlink w:anchor="_5.2.3.4.1__Sort" w:history="1">
        <w:r w:rsidR="00A75813" w:rsidRPr="000665B0">
          <w:rPr>
            <w:rStyle w:val="Hyperlink"/>
          </w:rPr>
          <w:t>Section 5.2.3.5</w:t>
        </w:r>
        <w:r w:rsidR="002640A6" w:rsidRPr="000665B0">
          <w:rPr>
            <w:rStyle w:val="Hyperlink"/>
          </w:rPr>
          <w:t>.1</w:t>
        </w:r>
      </w:hyperlink>
      <w:r w:rsidR="002640A6" w:rsidRPr="000665B0">
        <w:t>.</w:t>
      </w:r>
      <w:r w:rsidR="00A316EA">
        <w:br w:type="page"/>
      </w:r>
      <w:bookmarkStart w:id="4876" w:name="_Toc71955549"/>
      <w:bookmarkStart w:id="4877" w:name="_Toc96170102"/>
      <w:bookmarkStart w:id="4878" w:name="_Toc96234147"/>
      <w:bookmarkStart w:id="4879" w:name="_Toc112733575"/>
      <w:bookmarkStart w:id="4880" w:name="_Toc289328617"/>
      <w:bookmarkStart w:id="4881" w:name="_Toc312331923"/>
      <w:bookmarkStart w:id="4882" w:name="_Toc214283374"/>
      <w:r w:rsidR="005D1A26" w:rsidRPr="000665B0">
        <w:lastRenderedPageBreak/>
        <w:t>OES TOOL</w:t>
      </w:r>
      <w:bookmarkEnd w:id="4876"/>
      <w:bookmarkEnd w:id="4877"/>
      <w:bookmarkEnd w:id="4878"/>
      <w:bookmarkEnd w:id="4879"/>
      <w:bookmarkEnd w:id="4880"/>
      <w:bookmarkEnd w:id="4881"/>
      <w:bookmarkEnd w:id="4882"/>
    </w:p>
    <w:p w14:paraId="1D3FD2E4" w14:textId="77777777" w:rsidR="005826FF" w:rsidRPr="000665B0" w:rsidRDefault="005826FF" w:rsidP="009570CA">
      <w:bookmarkStart w:id="4883" w:name="_Toc71955550"/>
      <w:bookmarkStart w:id="4884" w:name="_Toc96170103"/>
      <w:bookmarkStart w:id="4885" w:name="_Toc96234148"/>
      <w:bookmarkStart w:id="4886" w:name="_Toc112733576"/>
      <w:bookmarkStart w:id="4887" w:name="_Toc289328618"/>
      <w:bookmarkStart w:id="4888" w:name="_Toc312331924"/>
      <w:r w:rsidRPr="000665B0">
        <w:t xml:space="preserve">The OES Tool is a tool to manage the Valid OES List. OES is Block IV flight software that supports only Block IV missions. The actual Block IV flight software is called OES Component and is managed in the OES Components Tool. The Valid OES List is a list of OES Versions. Each OES Version is comprised of eight different types of OES Components and their associated Block IV VMIL. A newer OES Version may contain some of the same components of an older version, but the associated VMIL must contain a completely different set of missile IDs than the earlier version or an error will be received. </w:t>
      </w:r>
    </w:p>
    <w:p w14:paraId="348A3C16" w14:textId="77777777" w:rsidR="005826FF" w:rsidRPr="000665B0" w:rsidRDefault="005826FF" w:rsidP="009570CA">
      <w:r w:rsidRPr="000665B0">
        <w:t>The Valid OES List is created and maintained by the SSA. The original OES Components source media is also provided to the SSA for conversion to an acceptable format for MDS. The SSA post</w:t>
      </w:r>
      <w:r w:rsidR="009012DB" w:rsidRPr="000665B0">
        <w:t>s</w:t>
      </w:r>
      <w:r w:rsidRPr="000665B0">
        <w:t xml:space="preserve"> the most current OES on the TCI Home page along with the other support files provided in the Products link from the TCI Home page. </w:t>
      </w:r>
    </w:p>
    <w:p w14:paraId="362FE7DE" w14:textId="2474CCA2" w:rsidR="005D1A26" w:rsidRPr="000665B0" w:rsidRDefault="005D1A26" w:rsidP="009570CA">
      <w:pPr>
        <w:pStyle w:val="Heading3"/>
      </w:pPr>
      <w:bookmarkStart w:id="4889" w:name="_Toc214283375"/>
      <w:r w:rsidRPr="000665B0">
        <w:t>OES List View</w:t>
      </w:r>
      <w:bookmarkEnd w:id="4883"/>
      <w:bookmarkEnd w:id="4884"/>
      <w:bookmarkEnd w:id="4885"/>
      <w:bookmarkEnd w:id="4886"/>
      <w:bookmarkEnd w:id="4887"/>
      <w:bookmarkEnd w:id="4888"/>
      <w:bookmarkEnd w:id="4889"/>
    </w:p>
    <w:p w14:paraId="66DEFB40" w14:textId="77777777" w:rsidR="005826FF" w:rsidRPr="000665B0" w:rsidRDefault="005826FF" w:rsidP="009570CA">
      <w:bookmarkStart w:id="4890" w:name="_Toc100461578"/>
      <w:bookmarkStart w:id="4891" w:name="_Toc112733577"/>
      <w:bookmarkStart w:id="4892" w:name="_Toc71955551"/>
      <w:bookmarkStart w:id="4893" w:name="_Toc96170104"/>
      <w:bookmarkStart w:id="4894" w:name="_Toc96234149"/>
      <w:r w:rsidRPr="000665B0">
        <w:t>The OES display manages the processing, storage, and distribution of OES data.</w:t>
      </w:r>
    </w:p>
    <w:p w14:paraId="1359AAA8" w14:textId="77777777" w:rsidR="005826FF" w:rsidRPr="000665B0" w:rsidRDefault="005826FF" w:rsidP="009570CA">
      <w:r w:rsidRPr="000665B0">
        <w:t>To display the OES List View:</w:t>
      </w:r>
    </w:p>
    <w:p w14:paraId="71F4B1CA" w14:textId="77777777" w:rsidR="005826FF" w:rsidRPr="000665B0" w:rsidRDefault="005826FF" w:rsidP="009570CA">
      <w:pPr>
        <w:pStyle w:val="Number0205"/>
        <w:ind w:left="360" w:firstLine="0"/>
      </w:pPr>
      <w:r w:rsidRPr="000665B0">
        <w:t xml:space="preserve">From the </w:t>
      </w:r>
      <w:r w:rsidRPr="000665B0">
        <w:rPr>
          <w:b/>
        </w:rPr>
        <w:t>Go</w:t>
      </w:r>
      <w:r w:rsidRPr="000665B0">
        <w:t xml:space="preserve"> menu select </w:t>
      </w:r>
      <w:r w:rsidRPr="000665B0">
        <w:rPr>
          <w:b/>
          <w:bCs/>
        </w:rPr>
        <w:t>OES</w:t>
      </w:r>
      <w:r w:rsidRPr="000665B0">
        <w:t xml:space="preserve">. </w:t>
      </w:r>
    </w:p>
    <w:p w14:paraId="53558C84" w14:textId="6C9D2F18" w:rsidR="005826FF" w:rsidRPr="000665B0" w:rsidRDefault="00AA4102" w:rsidP="009570CA">
      <w:pPr>
        <w:pStyle w:val="Number0205"/>
        <w:ind w:left="0" w:firstLine="0"/>
        <w:jc w:val="center"/>
      </w:pPr>
      <w:r w:rsidRPr="000665B0">
        <w:rPr>
          <w:noProof/>
        </w:rPr>
        <w:drawing>
          <wp:inline distT="0" distB="0" distL="0" distR="0" wp14:anchorId="6483BAD0" wp14:editId="0355C079">
            <wp:extent cx="3429000" cy="1371600"/>
            <wp:effectExtent l="0" t="0" r="0" b="0"/>
            <wp:docPr id="2110" name="Picture 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438143" cy="1375257"/>
                    </a:xfrm>
                    <a:prstGeom prst="rect">
                      <a:avLst/>
                    </a:prstGeom>
                  </pic:spPr>
                </pic:pic>
              </a:graphicData>
            </a:graphic>
          </wp:inline>
        </w:drawing>
      </w:r>
    </w:p>
    <w:p w14:paraId="13FC80CB" w14:textId="77777777" w:rsidR="005826FF" w:rsidRPr="000665B0" w:rsidRDefault="005826FF" w:rsidP="009570CA">
      <w:r w:rsidRPr="000665B0">
        <w:t xml:space="preserve">This tool is populated when the Valid OES List is read into the system. The Valid OES List has a version DTG which will populate the OES Version List in the </w:t>
      </w:r>
      <w:r w:rsidRPr="000665B0">
        <w:rPr>
          <w:b/>
          <w:i/>
        </w:rPr>
        <w:t>Version</w:t>
      </w:r>
      <w:r w:rsidRPr="000665B0">
        <w:t xml:space="preserve"> tab of the Own Node Inventory.</w:t>
      </w:r>
    </w:p>
    <w:p w14:paraId="58E5A13E" w14:textId="77777777" w:rsidR="00EE40BD" w:rsidRPr="000665B0" w:rsidRDefault="00EE40BD" w:rsidP="009570CA">
      <w:pPr>
        <w:rPr>
          <w:b/>
          <w:i/>
        </w:rPr>
      </w:pPr>
      <w:r w:rsidRPr="000665B0">
        <w:rPr>
          <w:b/>
          <w:i/>
        </w:rPr>
        <w:t>OES List View</w:t>
      </w:r>
    </w:p>
    <w:p w14:paraId="7C67BBE2" w14:textId="77777777" w:rsidR="00EE40BD" w:rsidRPr="000665B0" w:rsidRDefault="00EE40BD" w:rsidP="006D5A65">
      <w:pPr>
        <w:pStyle w:val="Heading1"/>
      </w:pPr>
      <w:r w:rsidRPr="000665B0">
        <w:t>Columns</w:t>
      </w:r>
    </w:p>
    <w:p w14:paraId="329FD0AD" w14:textId="77777777" w:rsidR="00EE40BD" w:rsidRPr="000665B0" w:rsidRDefault="00EE40BD" w:rsidP="006D5A65">
      <w:pPr>
        <w:pStyle w:val="Heading2"/>
      </w:pPr>
      <w:r w:rsidRPr="000665B0">
        <w:rPr>
          <w:bCs/>
        </w:rPr>
        <w:t>ID</w:t>
      </w:r>
      <w:r w:rsidRPr="000665B0">
        <w:t xml:space="preserve"> –</w:t>
      </w:r>
      <w:r w:rsidR="00FC25FC" w:rsidRPr="000665B0">
        <w:t>OES ID</w:t>
      </w:r>
      <w:r w:rsidR="00E53B30" w:rsidRPr="000665B0">
        <w:t xml:space="preserve"> number (comprised of</w:t>
      </w:r>
      <w:r w:rsidR="008A32BD" w:rsidRPr="000665B0">
        <w:t xml:space="preserve"> four hexadecimal characters</w:t>
      </w:r>
      <w:r w:rsidR="00E53B30" w:rsidRPr="000665B0">
        <w:t>)</w:t>
      </w:r>
      <w:r w:rsidR="008A32BD" w:rsidRPr="000665B0">
        <w:t xml:space="preserve"> that </w:t>
      </w:r>
      <w:r w:rsidR="00F935A0" w:rsidRPr="000665B0">
        <w:t>identifies</w:t>
      </w:r>
      <w:r w:rsidR="008A32BD" w:rsidRPr="000665B0">
        <w:t xml:space="preserve"> the OES file that contains the data.</w:t>
      </w:r>
    </w:p>
    <w:p w14:paraId="38155530" w14:textId="77777777" w:rsidR="00EE40BD" w:rsidRPr="000665B0" w:rsidRDefault="00EE40BD" w:rsidP="006D5A65">
      <w:pPr>
        <w:pStyle w:val="Heading2"/>
      </w:pPr>
      <w:r w:rsidRPr="000665B0">
        <w:rPr>
          <w:bCs/>
        </w:rPr>
        <w:t>OES Missile List ID</w:t>
      </w:r>
      <w:r w:rsidRPr="000665B0">
        <w:t xml:space="preserve"> – </w:t>
      </w:r>
      <w:r w:rsidR="00E53B30" w:rsidRPr="000665B0">
        <w:t>ID number (comprised of t</w:t>
      </w:r>
      <w:r w:rsidR="008A32BD" w:rsidRPr="000665B0">
        <w:t>hree hexadecimal characters</w:t>
      </w:r>
      <w:r w:rsidR="00E53B30" w:rsidRPr="000665B0">
        <w:t>)</w:t>
      </w:r>
      <w:r w:rsidR="008A32BD" w:rsidRPr="000665B0">
        <w:t xml:space="preserve"> that </w:t>
      </w:r>
      <w:r w:rsidR="00F935A0" w:rsidRPr="000665B0">
        <w:t>identifies</w:t>
      </w:r>
      <w:r w:rsidR="008A32BD" w:rsidRPr="000665B0">
        <w:t xml:space="preserve"> the OES Missile List file that contains the missile data.</w:t>
      </w:r>
    </w:p>
    <w:p w14:paraId="2571F233" w14:textId="77777777" w:rsidR="00EE40BD" w:rsidRPr="000665B0" w:rsidRDefault="00EE40BD" w:rsidP="006D5A65">
      <w:pPr>
        <w:pStyle w:val="Heading2"/>
      </w:pPr>
      <w:r w:rsidRPr="000665B0">
        <w:rPr>
          <w:bCs/>
        </w:rPr>
        <w:t>TC2S</w:t>
      </w:r>
      <w:r w:rsidRPr="000665B0">
        <w:t xml:space="preserve"> –</w:t>
      </w:r>
      <w:r w:rsidR="00DC7D18" w:rsidRPr="000665B0">
        <w:t xml:space="preserve"> </w:t>
      </w:r>
      <w:r w:rsidR="00FC25FC" w:rsidRPr="000665B0">
        <w:t xml:space="preserve">Compatibility Indicator displays a TPS system parameter established at each TPS revision to indicate if new missions </w:t>
      </w:r>
      <w:r w:rsidR="008C5D29" w:rsidRPr="000665B0">
        <w:t>will work with only the new OES</w:t>
      </w:r>
      <w:r w:rsidR="00FC25FC" w:rsidRPr="000665B0">
        <w:t>.</w:t>
      </w:r>
    </w:p>
    <w:p w14:paraId="1F654740" w14:textId="77777777" w:rsidR="00E53B30" w:rsidRPr="000665B0" w:rsidRDefault="00EE40BD" w:rsidP="006D5A65">
      <w:pPr>
        <w:pStyle w:val="Heading2"/>
      </w:pPr>
      <w:r w:rsidRPr="000665B0">
        <w:rPr>
          <w:bCs/>
        </w:rPr>
        <w:lastRenderedPageBreak/>
        <w:t>Present</w:t>
      </w:r>
      <w:r w:rsidRPr="000665B0">
        <w:t xml:space="preserve"> – </w:t>
      </w:r>
      <w:r w:rsidR="00741B0C" w:rsidRPr="000665B0">
        <w:t xml:space="preserve">Indicates whether all the </w:t>
      </w:r>
      <w:r w:rsidR="008C5D29" w:rsidRPr="000665B0">
        <w:t xml:space="preserve">OES </w:t>
      </w:r>
      <w:r w:rsidR="00741B0C" w:rsidRPr="000665B0">
        <w:t>components are present</w:t>
      </w:r>
      <w:r w:rsidR="008C5D29" w:rsidRPr="000665B0">
        <w:t xml:space="preserve"> (True)</w:t>
      </w:r>
      <w:r w:rsidR="00741B0C" w:rsidRPr="000665B0">
        <w:t xml:space="preserve"> or absent</w:t>
      </w:r>
      <w:r w:rsidR="008C5D29" w:rsidRPr="000665B0">
        <w:t xml:space="preserve"> (False)</w:t>
      </w:r>
      <w:r w:rsidR="00741B0C" w:rsidRPr="000665B0">
        <w:t xml:space="preserve"> in the MDS database</w:t>
      </w:r>
      <w:r w:rsidRPr="000665B0">
        <w:t>.</w:t>
      </w:r>
      <w:r w:rsidR="00741B0C" w:rsidRPr="000665B0">
        <w:t xml:space="preserve"> When OES component</w:t>
      </w:r>
      <w:r w:rsidR="00E53B30" w:rsidRPr="000665B0">
        <w:t xml:space="preserve"> files are received, this column update</w:t>
      </w:r>
      <w:r w:rsidR="00741B0C" w:rsidRPr="000665B0">
        <w:t xml:space="preserve">s </w:t>
      </w:r>
      <w:r w:rsidR="00E53B30" w:rsidRPr="000665B0">
        <w:t>in the following manner:</w:t>
      </w:r>
    </w:p>
    <w:p w14:paraId="0B6B28FC" w14:textId="77777777" w:rsidR="00EE40BD" w:rsidRPr="000665B0" w:rsidRDefault="00E53B30" w:rsidP="006D5A65">
      <w:pPr>
        <w:pStyle w:val="Heading3"/>
        <w:rPr>
          <w:rFonts w:eastAsia="Arial Unicode MS"/>
        </w:rPr>
      </w:pPr>
      <w:r w:rsidRPr="000665B0">
        <w:rPr>
          <w:bCs/>
        </w:rPr>
        <w:t xml:space="preserve">If the </w:t>
      </w:r>
      <w:r w:rsidRPr="000665B0">
        <w:rPr>
          <w:bCs/>
          <w:i/>
        </w:rPr>
        <w:t>OES</w:t>
      </w:r>
      <w:r w:rsidRPr="000665B0">
        <w:rPr>
          <w:bCs/>
        </w:rPr>
        <w:t xml:space="preserve"> window is open when OES component files </w:t>
      </w:r>
      <w:r w:rsidR="00741B0C" w:rsidRPr="000665B0">
        <w:t xml:space="preserve">are processed, this column does not update until MDS is shut down and restarted. </w:t>
      </w:r>
    </w:p>
    <w:p w14:paraId="29101102" w14:textId="77777777" w:rsidR="00E53B30" w:rsidRPr="000665B0" w:rsidRDefault="00E53B30" w:rsidP="006D5A65">
      <w:pPr>
        <w:pStyle w:val="Heading3"/>
        <w:rPr>
          <w:rFonts w:eastAsia="Arial Unicode MS"/>
        </w:rPr>
      </w:pPr>
      <w:r w:rsidRPr="000665B0">
        <w:rPr>
          <w:bCs/>
        </w:rPr>
        <w:t xml:space="preserve">If the </w:t>
      </w:r>
      <w:r w:rsidRPr="000665B0">
        <w:rPr>
          <w:bCs/>
          <w:i/>
        </w:rPr>
        <w:t>OES</w:t>
      </w:r>
      <w:r w:rsidRPr="000665B0">
        <w:rPr>
          <w:bCs/>
        </w:rPr>
        <w:t xml:space="preserve"> window is not open when OES component files </w:t>
      </w:r>
      <w:r w:rsidRPr="000665B0">
        <w:t xml:space="preserve">are processed, this column will update when the </w:t>
      </w:r>
      <w:r w:rsidRPr="000665B0">
        <w:rPr>
          <w:i/>
        </w:rPr>
        <w:t>OES</w:t>
      </w:r>
      <w:r w:rsidRPr="000665B0">
        <w:t xml:space="preserve"> window is opened. </w:t>
      </w:r>
    </w:p>
    <w:p w14:paraId="68693BD0" w14:textId="77AC1B67" w:rsidR="005D1A26" w:rsidRPr="000665B0" w:rsidRDefault="005D1A26" w:rsidP="009570CA">
      <w:pPr>
        <w:pStyle w:val="Heading3"/>
      </w:pPr>
      <w:bookmarkStart w:id="4895" w:name="_Toc112733579"/>
      <w:bookmarkStart w:id="4896" w:name="_Toc289328622"/>
      <w:bookmarkStart w:id="4897" w:name="_Toc312331926"/>
      <w:bookmarkStart w:id="4898" w:name="_Toc214283376"/>
      <w:bookmarkEnd w:id="4890"/>
      <w:bookmarkEnd w:id="4891"/>
      <w:r w:rsidRPr="000665B0">
        <w:t xml:space="preserve">Display </w:t>
      </w:r>
      <w:r w:rsidR="00E92CAA" w:rsidRPr="000665B0">
        <w:t xml:space="preserve">OES </w:t>
      </w:r>
      <w:r w:rsidRPr="000665B0">
        <w:t>Textually</w:t>
      </w:r>
      <w:bookmarkEnd w:id="4892"/>
      <w:bookmarkEnd w:id="4893"/>
      <w:bookmarkEnd w:id="4894"/>
      <w:bookmarkEnd w:id="4895"/>
      <w:bookmarkEnd w:id="4896"/>
      <w:bookmarkEnd w:id="4897"/>
      <w:bookmarkEnd w:id="4898"/>
    </w:p>
    <w:p w14:paraId="28287C58" w14:textId="77777777" w:rsidR="005826FF" w:rsidRPr="000665B0" w:rsidRDefault="005826FF" w:rsidP="009570CA">
      <w:bookmarkStart w:id="4899" w:name="_Toc71955552"/>
      <w:bookmarkStart w:id="4900" w:name="_Toc96170105"/>
      <w:bookmarkStart w:id="4901" w:name="_Toc96234150"/>
      <w:bookmarkStart w:id="4902" w:name="_Toc112733580"/>
      <w:bookmarkStart w:id="4903" w:name="_Toc289328623"/>
      <w:bookmarkStart w:id="4904" w:name="_Toc312331927"/>
      <w:r w:rsidRPr="000665B0">
        <w:t>Each entry can be displayed textually to view the detailed information – OES ID, Valid Missile ID List, TC2S Compatibility Indicator, a tab listing the eight OES Components</w:t>
      </w:r>
      <w:r w:rsidR="009012DB" w:rsidRPr="000665B0">
        <w:t>,</w:t>
      </w:r>
      <w:r w:rsidRPr="000665B0">
        <w:t xml:space="preserve"> and a tab listing the Valid Missiles. An OES is not editable.</w:t>
      </w:r>
    </w:p>
    <w:p w14:paraId="34371762" w14:textId="7FED489D" w:rsidR="005826FF" w:rsidRPr="000665B0" w:rsidRDefault="005826FF" w:rsidP="009570CA">
      <w:pPr>
        <w:spacing w:after="0"/>
      </w:pPr>
      <w:r w:rsidRPr="000665B0">
        <w:t xml:space="preserve">To display the detailed information textually see </w:t>
      </w:r>
      <w:hyperlink w:anchor="_5.2.1.2.4__Display_1" w:history="1">
        <w:r w:rsidRPr="000665B0">
          <w:rPr>
            <w:rStyle w:val="Hyperlink"/>
          </w:rPr>
          <w:t>Section 5.2.1.2.4</w:t>
        </w:r>
      </w:hyperlink>
      <w:r w:rsidRPr="000665B0">
        <w:t>.</w:t>
      </w:r>
    </w:p>
    <w:p w14:paraId="4088D528" w14:textId="1F9972CA" w:rsidR="005D1A26" w:rsidRPr="000665B0" w:rsidRDefault="00277DCD" w:rsidP="009570CA">
      <w:pPr>
        <w:pStyle w:val="Heading3"/>
      </w:pPr>
      <w:bookmarkStart w:id="4905" w:name="_Toc214283377"/>
      <w:r w:rsidRPr="000665B0">
        <w:t>Display All in Excel</w:t>
      </w:r>
      <w:bookmarkEnd w:id="4899"/>
      <w:bookmarkEnd w:id="4900"/>
      <w:bookmarkEnd w:id="4901"/>
      <w:bookmarkEnd w:id="4902"/>
      <w:bookmarkEnd w:id="4903"/>
      <w:bookmarkEnd w:id="4904"/>
      <w:bookmarkEnd w:id="4905"/>
    </w:p>
    <w:p w14:paraId="5C662F1B" w14:textId="3B9280A1" w:rsidR="005D1A26" w:rsidRPr="000665B0" w:rsidRDefault="00F02F03" w:rsidP="009570CA">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5729F4E6" w14:textId="7074A3F5" w:rsidR="005D1A26" w:rsidRPr="000665B0" w:rsidRDefault="005D1A26" w:rsidP="009570CA">
      <w:pPr>
        <w:pStyle w:val="Heading3"/>
      </w:pPr>
      <w:bookmarkStart w:id="4906" w:name="_Toc71955553"/>
      <w:bookmarkStart w:id="4907" w:name="_Toc96170106"/>
      <w:bookmarkStart w:id="4908" w:name="_Toc96234151"/>
      <w:bookmarkStart w:id="4909" w:name="_Toc112733581"/>
      <w:bookmarkStart w:id="4910" w:name="_Toc289328624"/>
      <w:bookmarkStart w:id="4911" w:name="_Toc312331928"/>
      <w:bookmarkStart w:id="4912" w:name="_Toc214283378"/>
      <w:r w:rsidRPr="000665B0">
        <w:t>Print</w:t>
      </w:r>
      <w:bookmarkEnd w:id="4906"/>
      <w:bookmarkEnd w:id="4907"/>
      <w:bookmarkEnd w:id="4908"/>
      <w:bookmarkEnd w:id="4909"/>
      <w:r w:rsidR="006C312D" w:rsidRPr="000665B0">
        <w:t xml:space="preserve"> All</w:t>
      </w:r>
      <w:bookmarkEnd w:id="4910"/>
      <w:bookmarkEnd w:id="4911"/>
      <w:bookmarkEnd w:id="4912"/>
    </w:p>
    <w:p w14:paraId="7FA51070" w14:textId="64DCC6A8" w:rsidR="005D1A26" w:rsidRPr="000665B0" w:rsidRDefault="00F02F03" w:rsidP="009570CA">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7A74A6AC" w14:textId="17E139FB" w:rsidR="005D1A26" w:rsidRPr="000665B0" w:rsidRDefault="005D1A26" w:rsidP="009570CA">
      <w:pPr>
        <w:pStyle w:val="Heading3"/>
      </w:pPr>
      <w:bookmarkStart w:id="4913" w:name="_Toc71955554"/>
      <w:bookmarkStart w:id="4914" w:name="_Toc96170107"/>
      <w:bookmarkStart w:id="4915" w:name="_Toc96234152"/>
      <w:bookmarkStart w:id="4916" w:name="_Toc112733582"/>
      <w:bookmarkStart w:id="4917" w:name="_Toc289328625"/>
      <w:bookmarkStart w:id="4918" w:name="_Toc312331929"/>
      <w:bookmarkStart w:id="4919" w:name="_Toc214283379"/>
      <w:r w:rsidRPr="000665B0">
        <w:t>Delete</w:t>
      </w:r>
      <w:bookmarkEnd w:id="4913"/>
      <w:bookmarkEnd w:id="4914"/>
      <w:bookmarkEnd w:id="4915"/>
      <w:bookmarkEnd w:id="4916"/>
      <w:bookmarkEnd w:id="4917"/>
      <w:bookmarkEnd w:id="4918"/>
      <w:bookmarkEnd w:id="4919"/>
    </w:p>
    <w:p w14:paraId="682B1CC7" w14:textId="0AD46DBC" w:rsidR="005D1A26" w:rsidRPr="000665B0" w:rsidRDefault="00F02F03" w:rsidP="009570CA">
      <w:r w:rsidRPr="000665B0">
        <w:t>See</w:t>
      </w:r>
      <w:r w:rsidR="005D1A26" w:rsidRPr="000665B0">
        <w:t xml:space="preserve"> </w:t>
      </w:r>
      <w:hyperlink w:anchor="_5.2.1.6__Delete" w:history="1">
        <w:r w:rsidR="00B9720D" w:rsidRPr="000665B0">
          <w:rPr>
            <w:rStyle w:val="Hyperlink"/>
          </w:rPr>
          <w:t>Section 5.2.1.6</w:t>
        </w:r>
      </w:hyperlink>
      <w:r w:rsidR="005D1A26" w:rsidRPr="000665B0">
        <w:t>.</w:t>
      </w:r>
    </w:p>
    <w:p w14:paraId="58FBE7B7" w14:textId="7A2764DA" w:rsidR="005D1A26" w:rsidRPr="000665B0" w:rsidRDefault="005D1A26" w:rsidP="009570CA">
      <w:pPr>
        <w:pStyle w:val="Heading3"/>
      </w:pPr>
      <w:bookmarkStart w:id="4920" w:name="_Toc71955555"/>
      <w:bookmarkStart w:id="4921" w:name="_Toc96170108"/>
      <w:bookmarkStart w:id="4922" w:name="_Toc96234153"/>
      <w:bookmarkStart w:id="4923" w:name="_Toc112733583"/>
      <w:bookmarkStart w:id="4924" w:name="_Toc289328626"/>
      <w:bookmarkStart w:id="4925" w:name="_Toc312331930"/>
      <w:bookmarkStart w:id="4926" w:name="_Toc214283380"/>
      <w:r w:rsidRPr="000665B0">
        <w:t>Receive File</w:t>
      </w:r>
      <w:bookmarkEnd w:id="4920"/>
      <w:bookmarkEnd w:id="4921"/>
      <w:bookmarkEnd w:id="4922"/>
      <w:bookmarkEnd w:id="4923"/>
      <w:bookmarkEnd w:id="4924"/>
      <w:bookmarkEnd w:id="4925"/>
      <w:bookmarkEnd w:id="4926"/>
    </w:p>
    <w:p w14:paraId="52F5471F" w14:textId="3071ABD9" w:rsidR="005D1A26" w:rsidRPr="000665B0" w:rsidRDefault="00F02F03" w:rsidP="009570CA">
      <w:r w:rsidRPr="000665B0">
        <w:t>See</w:t>
      </w:r>
      <w:r w:rsidR="005D1A26" w:rsidRPr="000665B0">
        <w:t xml:space="preserve"> </w:t>
      </w:r>
      <w:hyperlink w:anchor="_5.2.1.7__Receive" w:history="1">
        <w:r w:rsidR="005D1A26" w:rsidRPr="000665B0">
          <w:rPr>
            <w:rStyle w:val="Hyperlink"/>
          </w:rPr>
          <w:t xml:space="preserve">Section </w:t>
        </w:r>
        <w:r w:rsidR="00B9720D" w:rsidRPr="000665B0">
          <w:rPr>
            <w:rStyle w:val="Hyperlink"/>
          </w:rPr>
          <w:t>5.2.1.7</w:t>
        </w:r>
      </w:hyperlink>
      <w:r w:rsidR="005D1A26" w:rsidRPr="000665B0">
        <w:t>.</w:t>
      </w:r>
    </w:p>
    <w:p w14:paraId="26B662D4" w14:textId="329B68E3" w:rsidR="005D1A26" w:rsidRPr="000665B0" w:rsidRDefault="005D1A26" w:rsidP="009570CA">
      <w:pPr>
        <w:pStyle w:val="Heading3"/>
      </w:pPr>
      <w:bookmarkStart w:id="4927" w:name="_Toc71955558"/>
      <w:bookmarkStart w:id="4928" w:name="_Toc96170109"/>
      <w:bookmarkStart w:id="4929" w:name="_Toc96234154"/>
      <w:bookmarkStart w:id="4930" w:name="_Toc112733584"/>
      <w:bookmarkStart w:id="4931" w:name="_Toc289328627"/>
      <w:bookmarkStart w:id="4932" w:name="_Toc312331931"/>
      <w:bookmarkStart w:id="4933" w:name="_Toc214283381"/>
      <w:r w:rsidRPr="000665B0">
        <w:t>Find</w:t>
      </w:r>
      <w:bookmarkEnd w:id="4927"/>
      <w:bookmarkEnd w:id="4928"/>
      <w:bookmarkEnd w:id="4929"/>
      <w:bookmarkEnd w:id="4930"/>
      <w:bookmarkEnd w:id="4931"/>
      <w:bookmarkEnd w:id="4932"/>
      <w:bookmarkEnd w:id="4933"/>
    </w:p>
    <w:p w14:paraId="3DFA2E71" w14:textId="3D006498" w:rsidR="005D1A26" w:rsidRPr="000665B0" w:rsidRDefault="00F02F03" w:rsidP="009570CA">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6FDEF39F" w14:textId="77777777" w:rsidR="00464C11" w:rsidRPr="000665B0" w:rsidRDefault="00464C11" w:rsidP="009570CA">
      <w:pPr>
        <w:pStyle w:val="Heading3"/>
      </w:pPr>
      <w:bookmarkStart w:id="4934" w:name="_Toc214283382"/>
      <w:r w:rsidRPr="000665B0">
        <w:t>Plugin Tool</w:t>
      </w:r>
      <w:bookmarkEnd w:id="4934"/>
    </w:p>
    <w:p w14:paraId="272CEFD3" w14:textId="08B63868" w:rsidR="00464C11" w:rsidRPr="000665B0" w:rsidRDefault="00F02F03" w:rsidP="009570CA">
      <w:r w:rsidRPr="000665B0">
        <w:t>See</w:t>
      </w:r>
      <w:r w:rsidR="00464C11" w:rsidRPr="000665B0">
        <w:t xml:space="preserve"> </w:t>
      </w:r>
      <w:hyperlink w:anchor="_Plugin__Tool" w:history="1">
        <w:r w:rsidR="00464C11" w:rsidRPr="000665B0">
          <w:rPr>
            <w:rStyle w:val="Hyperlink"/>
          </w:rPr>
          <w:t>Section 5.2.5.2</w:t>
        </w:r>
      </w:hyperlink>
      <w:r w:rsidR="00464C11" w:rsidRPr="000665B0">
        <w:t>.</w:t>
      </w:r>
    </w:p>
    <w:p w14:paraId="41D46D35" w14:textId="30FB2AE8" w:rsidR="005D1A26" w:rsidRPr="000665B0" w:rsidRDefault="005D1A26" w:rsidP="009570CA">
      <w:pPr>
        <w:pStyle w:val="Heading3"/>
      </w:pPr>
      <w:bookmarkStart w:id="4935" w:name="_Toc71955559"/>
      <w:bookmarkStart w:id="4936" w:name="_Toc96170110"/>
      <w:bookmarkStart w:id="4937" w:name="_Toc96234155"/>
      <w:bookmarkStart w:id="4938" w:name="_Toc112733585"/>
      <w:bookmarkStart w:id="4939" w:name="_Toc289328628"/>
      <w:bookmarkStart w:id="4940" w:name="_Toc312331932"/>
      <w:bookmarkStart w:id="4941" w:name="_Toc214283383"/>
      <w:r w:rsidRPr="000665B0">
        <w:t>Select All</w:t>
      </w:r>
      <w:bookmarkEnd w:id="4935"/>
      <w:bookmarkEnd w:id="4936"/>
      <w:bookmarkEnd w:id="4937"/>
      <w:bookmarkEnd w:id="4938"/>
      <w:bookmarkEnd w:id="4939"/>
      <w:bookmarkEnd w:id="4940"/>
      <w:bookmarkEnd w:id="4941"/>
    </w:p>
    <w:p w14:paraId="0D6E6106" w14:textId="4C6100E0" w:rsidR="005D1A26" w:rsidRPr="000665B0" w:rsidRDefault="00F02F03" w:rsidP="009570CA">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5E8CE3B1" w14:textId="2A9EA7D1" w:rsidR="005D1A26" w:rsidRPr="000665B0" w:rsidRDefault="005D1A26" w:rsidP="009570CA">
      <w:pPr>
        <w:pStyle w:val="Heading3"/>
      </w:pPr>
      <w:bookmarkStart w:id="4942" w:name="_Toc71955562"/>
      <w:bookmarkStart w:id="4943" w:name="_Toc96170111"/>
      <w:bookmarkStart w:id="4944" w:name="_Toc96234156"/>
      <w:bookmarkStart w:id="4945" w:name="_Toc112733586"/>
      <w:bookmarkStart w:id="4946" w:name="_Toc289328629"/>
      <w:bookmarkStart w:id="4947" w:name="_Toc312331933"/>
      <w:bookmarkStart w:id="4948" w:name="_Toc214283384"/>
      <w:r w:rsidRPr="000665B0">
        <w:lastRenderedPageBreak/>
        <w:t>Properties</w:t>
      </w:r>
      <w:bookmarkEnd w:id="4942"/>
      <w:bookmarkEnd w:id="4943"/>
      <w:bookmarkEnd w:id="4944"/>
      <w:bookmarkEnd w:id="4945"/>
      <w:bookmarkEnd w:id="4946"/>
      <w:bookmarkEnd w:id="4947"/>
      <w:bookmarkEnd w:id="4948"/>
    </w:p>
    <w:p w14:paraId="5E07E633" w14:textId="72DD7B95" w:rsidR="005D1A26" w:rsidRPr="000665B0" w:rsidRDefault="00F02F03" w:rsidP="009570CA">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701717C1" w14:textId="4D22577F" w:rsidR="005D1A26" w:rsidRPr="000665B0" w:rsidRDefault="005D1A26" w:rsidP="009570CA">
      <w:pPr>
        <w:pStyle w:val="Heading3"/>
      </w:pPr>
      <w:bookmarkStart w:id="4949" w:name="_Toc96170112"/>
      <w:bookmarkStart w:id="4950" w:name="_Toc96234157"/>
      <w:bookmarkStart w:id="4951" w:name="_Toc112733587"/>
      <w:bookmarkStart w:id="4952" w:name="_Toc289328630"/>
      <w:bookmarkStart w:id="4953" w:name="_Toc312331934"/>
      <w:bookmarkStart w:id="4954" w:name="_Toc214283385"/>
      <w:r w:rsidRPr="000665B0">
        <w:t>Sort</w:t>
      </w:r>
      <w:bookmarkEnd w:id="4949"/>
      <w:bookmarkEnd w:id="4950"/>
      <w:bookmarkEnd w:id="4951"/>
      <w:bookmarkEnd w:id="4952"/>
      <w:bookmarkEnd w:id="4953"/>
      <w:bookmarkEnd w:id="4954"/>
    </w:p>
    <w:p w14:paraId="40F7302A" w14:textId="2C8EF779" w:rsidR="005D1A26" w:rsidRPr="000665B0" w:rsidRDefault="00F02F03" w:rsidP="009570CA">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4F8C7619" w14:textId="77777777" w:rsidR="00A316EA" w:rsidRDefault="00A316EA" w:rsidP="006966D9">
      <w:pPr>
        <w:pStyle w:val="Heading2"/>
      </w:pPr>
      <w:r>
        <w:br w:type="page"/>
      </w:r>
      <w:bookmarkStart w:id="4955" w:name="_Toc71955563"/>
      <w:bookmarkStart w:id="4956" w:name="_Toc96170113"/>
      <w:bookmarkStart w:id="4957" w:name="_Toc96234158"/>
      <w:bookmarkStart w:id="4958" w:name="_Toc112733588"/>
      <w:bookmarkStart w:id="4959" w:name="_Toc289328631"/>
      <w:bookmarkStart w:id="4960" w:name="_Toc312331935"/>
      <w:bookmarkStart w:id="4961" w:name="_Toc214283386"/>
      <w:r w:rsidR="005D1A26" w:rsidRPr="000665B0">
        <w:lastRenderedPageBreak/>
        <w:t>OES COMPONENT TOOL</w:t>
      </w:r>
      <w:bookmarkEnd w:id="4955"/>
      <w:bookmarkEnd w:id="4956"/>
      <w:bookmarkEnd w:id="4957"/>
      <w:bookmarkEnd w:id="4958"/>
      <w:bookmarkEnd w:id="4959"/>
      <w:bookmarkEnd w:id="4960"/>
      <w:bookmarkEnd w:id="4961"/>
    </w:p>
    <w:p w14:paraId="3FEBED4F" w14:textId="1E8CED04" w:rsidR="00281F59" w:rsidRPr="000665B0" w:rsidRDefault="00281F59" w:rsidP="009570CA">
      <w:bookmarkStart w:id="4962" w:name="_Toc100461692"/>
      <w:bookmarkStart w:id="4963" w:name="_Toc112733589"/>
      <w:bookmarkStart w:id="4964" w:name="_Toc289328632"/>
      <w:bookmarkStart w:id="4965" w:name="_Toc312331936"/>
      <w:bookmarkStart w:id="4966" w:name="_Toc100461603"/>
      <w:bookmarkStart w:id="4967" w:name="_Toc71955564"/>
      <w:bookmarkStart w:id="4968" w:name="_Toc96170114"/>
      <w:bookmarkStart w:id="4969" w:name="_Toc96234159"/>
      <w:r w:rsidRPr="000665B0">
        <w:t>The OES Component Tool manages the processing, storage, and distribution of OES Components Data. OES is Block IV flight software that supports only Block IV missions. The actual Block IV flight software is called OES Component. This tool manages the actual OES Components that must also be listed in the Valid OES List. The OES Component binary data is present when the Data column says “True.” The</w:t>
      </w:r>
      <w:r w:rsidR="00137E89" w:rsidRPr="000665B0">
        <w:t xml:space="preserve"> </w:t>
      </w:r>
      <w:r w:rsidRPr="000665B0">
        <w:t>types of OES Components</w:t>
      </w:r>
      <w:r w:rsidR="00137E89" w:rsidRPr="000665B0">
        <w:t xml:space="preserve"> are</w:t>
      </w:r>
      <w:r w:rsidR="00325934" w:rsidRPr="000665B0">
        <w:t xml:space="preserve"> listed below</w:t>
      </w:r>
      <w:r w:rsidRPr="000665B0">
        <w:t xml:space="preserve">. These OES Components can be distributed to other MDSs or Firing Units. </w:t>
      </w:r>
      <w:r w:rsidR="009D7017" w:rsidRPr="000665B0">
        <w:t>Legacy systems do not recognize ACA OES Components, so a Data Limitation error will be displayed when ACA OES Components are distributed to legacy systems.</w:t>
      </w:r>
      <w:r w:rsidR="00D05E7C" w:rsidRPr="000665B0">
        <w:t xml:space="preserve"> Legacy systems also do not recognize MTIF/MCF OES Components.</w:t>
      </w:r>
    </w:p>
    <w:p w14:paraId="58FBCA36" w14:textId="77777777" w:rsidR="00281F59" w:rsidRPr="000665B0" w:rsidRDefault="00281F59" w:rsidP="009570CA">
      <w:r w:rsidRPr="000665B0">
        <w:t xml:space="preserve">The </w:t>
      </w:r>
      <w:r w:rsidRPr="000665B0">
        <w:rPr>
          <w:i/>
        </w:rPr>
        <w:t>OES Component</w:t>
      </w:r>
      <w:r w:rsidRPr="000665B0">
        <w:t xml:space="preserve"> window displays the component type and component ID of components that are present in the Valid List Database (VLDB) that MDS is connected to.</w:t>
      </w:r>
    </w:p>
    <w:p w14:paraId="4E8963A4" w14:textId="77777777" w:rsidR="00281F59" w:rsidRPr="000665B0" w:rsidRDefault="00281F59" w:rsidP="009570CA">
      <w:r w:rsidRPr="000665B0">
        <w:t>To display the OES Components:</w:t>
      </w:r>
    </w:p>
    <w:p w14:paraId="07C0653F" w14:textId="77777777" w:rsidR="00281F59" w:rsidRPr="000665B0" w:rsidRDefault="00281F59" w:rsidP="009570CA">
      <w:pPr>
        <w:pStyle w:val="Number0205"/>
        <w:ind w:left="360" w:firstLine="0"/>
      </w:pPr>
      <w:r w:rsidRPr="000665B0">
        <w:t xml:space="preserve">From the </w:t>
      </w:r>
      <w:r w:rsidRPr="000665B0">
        <w:rPr>
          <w:b/>
        </w:rPr>
        <w:t>Go</w:t>
      </w:r>
      <w:r w:rsidRPr="000665B0">
        <w:t xml:space="preserve"> menu select </w:t>
      </w:r>
      <w:r w:rsidRPr="000665B0">
        <w:rPr>
          <w:b/>
          <w:bCs/>
        </w:rPr>
        <w:t>OES Component</w:t>
      </w:r>
      <w:r w:rsidRPr="000665B0">
        <w:t>.</w:t>
      </w:r>
    </w:p>
    <w:p w14:paraId="7AF8CD1E" w14:textId="1F6D779D" w:rsidR="00281F59" w:rsidRPr="000665B0" w:rsidRDefault="00CF3CDA" w:rsidP="009570CA">
      <w:pPr>
        <w:pStyle w:val="Number0205"/>
        <w:ind w:left="0" w:firstLine="0"/>
        <w:jc w:val="center"/>
      </w:pPr>
      <w:r w:rsidRPr="000665B0">
        <w:rPr>
          <w:noProof/>
        </w:rPr>
        <w:drawing>
          <wp:inline distT="0" distB="0" distL="0" distR="0" wp14:anchorId="32E74BAE" wp14:editId="75320C1E">
            <wp:extent cx="3429000" cy="1453896"/>
            <wp:effectExtent l="0" t="0" r="0" b="0"/>
            <wp:docPr id="1966" name="Picture 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429000" cy="1453896"/>
                    </a:xfrm>
                    <a:prstGeom prst="rect">
                      <a:avLst/>
                    </a:prstGeom>
                  </pic:spPr>
                </pic:pic>
              </a:graphicData>
            </a:graphic>
          </wp:inline>
        </w:drawing>
      </w:r>
    </w:p>
    <w:p w14:paraId="35E1F0AF" w14:textId="77777777" w:rsidR="00281F59" w:rsidRPr="000665B0" w:rsidRDefault="00281F59" w:rsidP="009570CA">
      <w:pPr>
        <w:rPr>
          <w:b/>
        </w:rPr>
      </w:pPr>
      <w:r w:rsidRPr="000665B0">
        <w:rPr>
          <w:b/>
        </w:rPr>
        <w:t>OES Component List View Columns</w:t>
      </w:r>
    </w:p>
    <w:p w14:paraId="37DB3BEC" w14:textId="77777777" w:rsidR="00281F59" w:rsidRPr="000665B0" w:rsidRDefault="00281F59" w:rsidP="006D5A65">
      <w:pPr>
        <w:pStyle w:val="Heading1"/>
      </w:pPr>
      <w:r w:rsidRPr="000665B0">
        <w:t>ID – Identifies the OES Component of a specific type.</w:t>
      </w:r>
    </w:p>
    <w:p w14:paraId="7096981C" w14:textId="2076191B" w:rsidR="00281F59" w:rsidRPr="000665B0" w:rsidRDefault="00281F59" w:rsidP="006D5A65">
      <w:pPr>
        <w:pStyle w:val="Heading1"/>
      </w:pPr>
      <w:r w:rsidRPr="000665B0">
        <w:t xml:space="preserve">Type – Type of OES Component. The different types are: </w:t>
      </w:r>
      <w:r w:rsidR="00325934" w:rsidRPr="000665B0">
        <w:t xml:space="preserve">DFS (default), </w:t>
      </w:r>
      <w:r w:rsidRPr="000665B0">
        <w:t xml:space="preserve">GFS, OFS, NAVFS, </w:t>
      </w:r>
      <w:r w:rsidR="00F47AD0" w:rsidRPr="000665B0">
        <w:t xml:space="preserve">RSBL, RSAP, RSCL, RFBI, RFRL, RFRH, RFEN, RFTX, </w:t>
      </w:r>
      <w:r w:rsidRPr="000665B0">
        <w:t>SFSC, SFSD, SFSO, LFS</w:t>
      </w:r>
      <w:r w:rsidR="00325934" w:rsidRPr="000665B0">
        <w:t xml:space="preserve">, CPBS, CPTS, MABS, MATS, MBBS, MBTS, NPBS, NPTS, EXFW, SPFW, CPFW, MPFW, NPFW, and APFC. </w:t>
      </w:r>
    </w:p>
    <w:p w14:paraId="5C566008" w14:textId="62018A90" w:rsidR="00281F59" w:rsidRPr="000665B0" w:rsidRDefault="00281F59" w:rsidP="006D5A65">
      <w:pPr>
        <w:pStyle w:val="Heading1"/>
      </w:pPr>
      <w:r w:rsidRPr="000665B0">
        <w:t xml:space="preserve">Data – </w:t>
      </w:r>
      <w:r w:rsidR="0068415E" w:rsidRPr="000665B0">
        <w:t xml:space="preserve">Indicates </w:t>
      </w:r>
      <w:r w:rsidRPr="000665B0">
        <w:t xml:space="preserve">whether the actual binary data is present or not by </w:t>
      </w:r>
      <w:r w:rsidR="0068415E" w:rsidRPr="000665B0">
        <w:t xml:space="preserve">displaying </w:t>
      </w:r>
      <w:r w:rsidRPr="000665B0">
        <w:t>True or False.</w:t>
      </w:r>
    </w:p>
    <w:p w14:paraId="78AF0877" w14:textId="516F5F77" w:rsidR="004C6A48" w:rsidRPr="000665B0" w:rsidRDefault="004C6A48" w:rsidP="009570CA">
      <w:pPr>
        <w:pStyle w:val="Heading3"/>
      </w:pPr>
      <w:bookmarkStart w:id="4970" w:name="_Toc214283387"/>
      <w:r w:rsidRPr="000665B0">
        <w:t>Display References</w:t>
      </w:r>
      <w:bookmarkEnd w:id="4962"/>
      <w:bookmarkEnd w:id="4963"/>
      <w:bookmarkEnd w:id="4964"/>
      <w:bookmarkEnd w:id="4965"/>
      <w:bookmarkEnd w:id="4970"/>
    </w:p>
    <w:p w14:paraId="6DE4BD35" w14:textId="77777777" w:rsidR="00281F59" w:rsidRPr="000665B0" w:rsidRDefault="00281F59" w:rsidP="009570CA">
      <w:r w:rsidRPr="000665B0">
        <w:t>OES Components that are associated with at least one of the OES Versions in the Valid OES List cannot be deleted without first deleting their references. Each OES Component in the List View may or may not be associated with one or more OES Versions. When the Display Reference</w:t>
      </w:r>
      <w:r w:rsidR="00B2635E" w:rsidRPr="000665B0">
        <w:t>s</w:t>
      </w:r>
      <w:r w:rsidRPr="000665B0">
        <w:t xml:space="preserve"> operation is performed, the references are displayed in a window that indicates if they are locked (References must be deleted first) or unlocked (References do not need to be deleted first). </w:t>
      </w:r>
    </w:p>
    <w:p w14:paraId="7B3B7D61" w14:textId="77777777" w:rsidR="00281F59" w:rsidRPr="000665B0" w:rsidRDefault="00281F59" w:rsidP="009570CA">
      <w:pPr>
        <w:jc w:val="center"/>
      </w:pPr>
      <w:r w:rsidRPr="000665B0">
        <w:rPr>
          <w:noProof/>
        </w:rPr>
        <w:lastRenderedPageBreak/>
        <w:drawing>
          <wp:inline distT="0" distB="0" distL="0" distR="0" wp14:anchorId="7A1FF670" wp14:editId="5F75F693">
            <wp:extent cx="1600200" cy="18105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600200" cy="1810512"/>
                    </a:xfrm>
                    <a:prstGeom prst="rect">
                      <a:avLst/>
                    </a:prstGeom>
                    <a:noFill/>
                    <a:ln>
                      <a:noFill/>
                    </a:ln>
                  </pic:spPr>
                </pic:pic>
              </a:graphicData>
            </a:graphic>
          </wp:inline>
        </w:drawing>
      </w:r>
    </w:p>
    <w:p w14:paraId="3445FE6E" w14:textId="6040E22B" w:rsidR="004C6A48" w:rsidRPr="000665B0" w:rsidRDefault="004C6A48" w:rsidP="009570CA">
      <w:pPr>
        <w:spacing w:after="0"/>
      </w:pPr>
      <w:r w:rsidRPr="000665B0">
        <w:t xml:space="preserve">To display the associated </w:t>
      </w:r>
      <w:r w:rsidR="00732F97" w:rsidRPr="000665B0">
        <w:t>references,</w:t>
      </w:r>
      <w:r w:rsidRPr="000665B0">
        <w:t xml:space="preserve"> see </w:t>
      </w:r>
      <w:hyperlink w:anchor="_5.2.1.2.3__Display_1" w:history="1">
        <w:r w:rsidRPr="000665B0">
          <w:rPr>
            <w:rStyle w:val="Hyperlink"/>
          </w:rPr>
          <w:t>Section 5.2.1.2.3</w:t>
        </w:r>
      </w:hyperlink>
      <w:r w:rsidRPr="000665B0">
        <w:t>.</w:t>
      </w:r>
      <w:bookmarkEnd w:id="4966"/>
    </w:p>
    <w:p w14:paraId="7C3E961A" w14:textId="38AE3C09" w:rsidR="005D1A26" w:rsidRPr="000665B0" w:rsidRDefault="00277DCD" w:rsidP="009570CA">
      <w:pPr>
        <w:pStyle w:val="Heading3"/>
      </w:pPr>
      <w:bookmarkStart w:id="4971" w:name="_Toc71955565"/>
      <w:bookmarkStart w:id="4972" w:name="_Toc96170115"/>
      <w:bookmarkStart w:id="4973" w:name="_Toc96234160"/>
      <w:bookmarkStart w:id="4974" w:name="_Toc112733590"/>
      <w:bookmarkStart w:id="4975" w:name="_Toc289328633"/>
      <w:bookmarkStart w:id="4976" w:name="_Toc312331937"/>
      <w:bookmarkStart w:id="4977" w:name="_Toc214283388"/>
      <w:bookmarkEnd w:id="4967"/>
      <w:bookmarkEnd w:id="4968"/>
      <w:bookmarkEnd w:id="4969"/>
      <w:r w:rsidRPr="000665B0">
        <w:t>Display All in Excel</w:t>
      </w:r>
      <w:bookmarkEnd w:id="4971"/>
      <w:bookmarkEnd w:id="4972"/>
      <w:bookmarkEnd w:id="4973"/>
      <w:bookmarkEnd w:id="4974"/>
      <w:bookmarkEnd w:id="4975"/>
      <w:bookmarkEnd w:id="4976"/>
      <w:bookmarkEnd w:id="4977"/>
    </w:p>
    <w:p w14:paraId="081162FA" w14:textId="67D73CF9" w:rsidR="005D1A26" w:rsidRPr="000665B0" w:rsidRDefault="00F02F03" w:rsidP="009570CA">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1E0ECA4B" w14:textId="78ECCA6F" w:rsidR="005D1A26" w:rsidRPr="000665B0" w:rsidRDefault="005D1A26" w:rsidP="009570CA">
      <w:pPr>
        <w:pStyle w:val="Heading3"/>
      </w:pPr>
      <w:bookmarkStart w:id="4978" w:name="_Toc71955566"/>
      <w:bookmarkStart w:id="4979" w:name="_Toc96170116"/>
      <w:bookmarkStart w:id="4980" w:name="_Toc96234161"/>
      <w:bookmarkStart w:id="4981" w:name="_Toc112733591"/>
      <w:bookmarkStart w:id="4982" w:name="_Toc289328634"/>
      <w:bookmarkStart w:id="4983" w:name="_Toc312331938"/>
      <w:bookmarkStart w:id="4984" w:name="_Toc214283389"/>
      <w:r w:rsidRPr="000665B0">
        <w:t>Print</w:t>
      </w:r>
      <w:bookmarkEnd w:id="4978"/>
      <w:bookmarkEnd w:id="4979"/>
      <w:bookmarkEnd w:id="4980"/>
      <w:bookmarkEnd w:id="4981"/>
      <w:r w:rsidR="006C312D" w:rsidRPr="000665B0">
        <w:t xml:space="preserve"> All</w:t>
      </w:r>
      <w:bookmarkEnd w:id="4982"/>
      <w:bookmarkEnd w:id="4983"/>
      <w:bookmarkEnd w:id="4984"/>
    </w:p>
    <w:p w14:paraId="38735EF0" w14:textId="27103726" w:rsidR="005D1A26" w:rsidRPr="000665B0" w:rsidRDefault="00F02F03" w:rsidP="009570CA">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3D0DDFCD" w14:textId="42A22196" w:rsidR="005D1A26" w:rsidRPr="000665B0" w:rsidRDefault="00277DCD" w:rsidP="009570CA">
      <w:pPr>
        <w:pStyle w:val="Heading3"/>
      </w:pPr>
      <w:bookmarkStart w:id="4985" w:name="_Toc71955567"/>
      <w:bookmarkStart w:id="4986" w:name="_Toc96170117"/>
      <w:bookmarkStart w:id="4987" w:name="_Toc96234162"/>
      <w:bookmarkStart w:id="4988" w:name="_Toc112733592"/>
      <w:bookmarkStart w:id="4989" w:name="_Toc289328635"/>
      <w:bookmarkStart w:id="4990" w:name="_Toc312331939"/>
      <w:bookmarkStart w:id="4991" w:name="_Toc214283390"/>
      <w:r w:rsidRPr="000665B0">
        <w:t>Delete</w:t>
      </w:r>
      <w:bookmarkEnd w:id="4985"/>
      <w:bookmarkEnd w:id="4986"/>
      <w:bookmarkEnd w:id="4987"/>
      <w:bookmarkEnd w:id="4988"/>
      <w:bookmarkEnd w:id="4989"/>
      <w:bookmarkEnd w:id="4990"/>
      <w:bookmarkEnd w:id="4991"/>
    </w:p>
    <w:p w14:paraId="584F814E" w14:textId="5951195F" w:rsidR="005D1A26" w:rsidRPr="000665B0" w:rsidRDefault="00F02F03" w:rsidP="009570CA">
      <w:r w:rsidRPr="000665B0">
        <w:t>See</w:t>
      </w:r>
      <w:r w:rsidR="005D1A26" w:rsidRPr="000665B0">
        <w:t xml:space="preserve"> </w:t>
      </w:r>
      <w:hyperlink w:anchor="_5.2.1.6__Delete" w:history="1">
        <w:r w:rsidR="00B9720D" w:rsidRPr="000665B0">
          <w:rPr>
            <w:rStyle w:val="Hyperlink"/>
          </w:rPr>
          <w:t>Section 5.2.1.6</w:t>
        </w:r>
      </w:hyperlink>
      <w:r w:rsidR="005D1A26" w:rsidRPr="000665B0">
        <w:t>.</w:t>
      </w:r>
    </w:p>
    <w:p w14:paraId="7D207243" w14:textId="56EB74F3" w:rsidR="005D1A26" w:rsidRPr="000665B0" w:rsidRDefault="005D1A26" w:rsidP="009570CA">
      <w:pPr>
        <w:pStyle w:val="Heading3"/>
      </w:pPr>
      <w:bookmarkStart w:id="4992" w:name="_Toc71955568"/>
      <w:bookmarkStart w:id="4993" w:name="_Toc96170118"/>
      <w:bookmarkStart w:id="4994" w:name="_Toc96234163"/>
      <w:bookmarkStart w:id="4995" w:name="_Toc112733593"/>
      <w:bookmarkStart w:id="4996" w:name="_Toc289328636"/>
      <w:bookmarkStart w:id="4997" w:name="_Toc312331940"/>
      <w:bookmarkStart w:id="4998" w:name="_Toc214283391"/>
      <w:r w:rsidRPr="000665B0">
        <w:t>Receive File</w:t>
      </w:r>
      <w:bookmarkEnd w:id="4992"/>
      <w:bookmarkEnd w:id="4993"/>
      <w:bookmarkEnd w:id="4994"/>
      <w:bookmarkEnd w:id="4995"/>
      <w:bookmarkEnd w:id="4996"/>
      <w:bookmarkEnd w:id="4997"/>
      <w:bookmarkEnd w:id="4998"/>
    </w:p>
    <w:p w14:paraId="60CC67E1" w14:textId="200950DC" w:rsidR="005D1A26" w:rsidRPr="000665B0" w:rsidRDefault="00F02F03" w:rsidP="009570CA">
      <w:r w:rsidRPr="000665B0">
        <w:t>See</w:t>
      </w:r>
      <w:r w:rsidR="005D1A26" w:rsidRPr="000665B0">
        <w:t xml:space="preserve"> </w:t>
      </w:r>
      <w:hyperlink w:anchor="_5.2.1.7__Receive" w:history="1">
        <w:r w:rsidR="005D1A26" w:rsidRPr="000665B0">
          <w:rPr>
            <w:rStyle w:val="Hyperlink"/>
          </w:rPr>
          <w:t xml:space="preserve">Section </w:t>
        </w:r>
        <w:r w:rsidR="007F7ACA" w:rsidRPr="000665B0">
          <w:rPr>
            <w:rStyle w:val="Hyperlink"/>
          </w:rPr>
          <w:t>5.2.1.</w:t>
        </w:r>
        <w:r w:rsidR="00B9720D" w:rsidRPr="000665B0">
          <w:rPr>
            <w:rStyle w:val="Hyperlink"/>
          </w:rPr>
          <w:t>7</w:t>
        </w:r>
      </w:hyperlink>
      <w:r w:rsidR="005D1A26" w:rsidRPr="000665B0">
        <w:t>.</w:t>
      </w:r>
    </w:p>
    <w:p w14:paraId="1CBA002D" w14:textId="60B8DC39" w:rsidR="005D1A26" w:rsidRPr="000665B0" w:rsidRDefault="005D1A26" w:rsidP="009570CA">
      <w:pPr>
        <w:pStyle w:val="Heading3"/>
      </w:pPr>
      <w:bookmarkStart w:id="4999" w:name="_Toc71955571"/>
      <w:bookmarkStart w:id="5000" w:name="_Toc96170119"/>
      <w:bookmarkStart w:id="5001" w:name="_Toc96234164"/>
      <w:bookmarkStart w:id="5002" w:name="_Toc112733594"/>
      <w:bookmarkStart w:id="5003" w:name="_Toc289328637"/>
      <w:bookmarkStart w:id="5004" w:name="_Toc312331941"/>
      <w:bookmarkStart w:id="5005" w:name="_Toc214283392"/>
      <w:r w:rsidRPr="000665B0">
        <w:t>Find</w:t>
      </w:r>
      <w:bookmarkEnd w:id="4999"/>
      <w:bookmarkEnd w:id="5000"/>
      <w:bookmarkEnd w:id="5001"/>
      <w:bookmarkEnd w:id="5002"/>
      <w:bookmarkEnd w:id="5003"/>
      <w:bookmarkEnd w:id="5004"/>
      <w:bookmarkEnd w:id="5005"/>
    </w:p>
    <w:p w14:paraId="26A5853B" w14:textId="7E90EEE1" w:rsidR="005D1A26" w:rsidRPr="000665B0" w:rsidRDefault="00F02F03" w:rsidP="009570CA">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64E51065" w14:textId="77777777" w:rsidR="00464C11" w:rsidRPr="000665B0" w:rsidRDefault="00464C11" w:rsidP="009570CA">
      <w:pPr>
        <w:pStyle w:val="Heading3"/>
      </w:pPr>
      <w:bookmarkStart w:id="5006" w:name="_Toc214283393"/>
      <w:r w:rsidRPr="000665B0">
        <w:t>Plugin Tool</w:t>
      </w:r>
      <w:bookmarkEnd w:id="5006"/>
    </w:p>
    <w:p w14:paraId="74A04E83" w14:textId="5C7820DA" w:rsidR="00464C11" w:rsidRPr="000665B0" w:rsidRDefault="00F02F03" w:rsidP="009570CA">
      <w:r w:rsidRPr="000665B0">
        <w:t>See</w:t>
      </w:r>
      <w:r w:rsidR="00464C11" w:rsidRPr="000665B0">
        <w:t xml:space="preserve"> </w:t>
      </w:r>
      <w:hyperlink w:anchor="_Plugin__Tool" w:history="1">
        <w:r w:rsidR="00464C11" w:rsidRPr="000665B0">
          <w:rPr>
            <w:rStyle w:val="Hyperlink"/>
          </w:rPr>
          <w:t>Section 5.2.5.2</w:t>
        </w:r>
      </w:hyperlink>
      <w:r w:rsidR="00464C11" w:rsidRPr="000665B0">
        <w:t>.</w:t>
      </w:r>
    </w:p>
    <w:p w14:paraId="36F4FBD4" w14:textId="67118D6D" w:rsidR="005D1A26" w:rsidRPr="000665B0" w:rsidRDefault="005D1A26" w:rsidP="009570CA">
      <w:pPr>
        <w:pStyle w:val="Heading3"/>
      </w:pPr>
      <w:bookmarkStart w:id="5007" w:name="_Toc71955572"/>
      <w:bookmarkStart w:id="5008" w:name="_Toc96170120"/>
      <w:bookmarkStart w:id="5009" w:name="_Toc96234165"/>
      <w:bookmarkStart w:id="5010" w:name="_Toc112733595"/>
      <w:bookmarkStart w:id="5011" w:name="_Toc289328638"/>
      <w:bookmarkStart w:id="5012" w:name="_Toc312331942"/>
      <w:bookmarkStart w:id="5013" w:name="_Toc214283394"/>
      <w:r w:rsidRPr="000665B0">
        <w:t>Select All</w:t>
      </w:r>
      <w:bookmarkEnd w:id="5007"/>
      <w:bookmarkEnd w:id="5008"/>
      <w:bookmarkEnd w:id="5009"/>
      <w:bookmarkEnd w:id="5010"/>
      <w:bookmarkEnd w:id="5011"/>
      <w:bookmarkEnd w:id="5012"/>
      <w:bookmarkEnd w:id="5013"/>
    </w:p>
    <w:p w14:paraId="6F6DD439" w14:textId="658044DD" w:rsidR="005D1A26" w:rsidRPr="000665B0" w:rsidRDefault="00F02F03" w:rsidP="009570CA">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6373713C" w14:textId="01A44F7B" w:rsidR="005D1A26" w:rsidRPr="000665B0" w:rsidRDefault="005D1A26" w:rsidP="009570CA">
      <w:pPr>
        <w:pStyle w:val="Heading3"/>
      </w:pPr>
      <w:bookmarkStart w:id="5014" w:name="_Toc96170121"/>
      <w:bookmarkStart w:id="5015" w:name="_Toc96234166"/>
      <w:bookmarkStart w:id="5016" w:name="_Toc112733596"/>
      <w:bookmarkStart w:id="5017" w:name="_Toc289328639"/>
      <w:bookmarkStart w:id="5018" w:name="_Toc312331943"/>
      <w:bookmarkStart w:id="5019" w:name="_Toc214283395"/>
      <w:bookmarkStart w:id="5020" w:name="_Toc71955573"/>
      <w:r w:rsidRPr="000665B0">
        <w:t>Properties</w:t>
      </w:r>
      <w:bookmarkEnd w:id="5014"/>
      <w:bookmarkEnd w:id="5015"/>
      <w:bookmarkEnd w:id="5016"/>
      <w:bookmarkEnd w:id="5017"/>
      <w:bookmarkEnd w:id="5018"/>
      <w:bookmarkEnd w:id="5019"/>
    </w:p>
    <w:p w14:paraId="5ECC059A" w14:textId="6FCB5EC8" w:rsidR="005D1A26" w:rsidRPr="000665B0" w:rsidRDefault="00F02F03" w:rsidP="009570CA">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53FFD9FB" w14:textId="1789C414" w:rsidR="005D1A26" w:rsidRPr="000665B0" w:rsidRDefault="005D1A26" w:rsidP="009570CA">
      <w:pPr>
        <w:pStyle w:val="Heading3"/>
      </w:pPr>
      <w:bookmarkStart w:id="5021" w:name="_Toc96170122"/>
      <w:bookmarkStart w:id="5022" w:name="_Toc96234167"/>
      <w:bookmarkStart w:id="5023" w:name="_Toc112733597"/>
      <w:bookmarkStart w:id="5024" w:name="_Toc289328640"/>
      <w:bookmarkStart w:id="5025" w:name="_Toc312331944"/>
      <w:bookmarkStart w:id="5026" w:name="_Toc214283396"/>
      <w:r w:rsidRPr="000665B0">
        <w:t>Sort</w:t>
      </w:r>
      <w:bookmarkEnd w:id="5020"/>
      <w:bookmarkEnd w:id="5021"/>
      <w:bookmarkEnd w:id="5022"/>
      <w:bookmarkEnd w:id="5023"/>
      <w:bookmarkEnd w:id="5024"/>
      <w:bookmarkEnd w:id="5025"/>
      <w:bookmarkEnd w:id="5026"/>
    </w:p>
    <w:p w14:paraId="195A67C0" w14:textId="677BD1F1" w:rsidR="005D1A26" w:rsidRPr="000665B0" w:rsidRDefault="00F02F03" w:rsidP="009570CA">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3561AD1C" w14:textId="77777777" w:rsidR="00A316EA" w:rsidRDefault="00A316EA" w:rsidP="006966D9">
      <w:pPr>
        <w:pStyle w:val="Heading2"/>
        <w:numPr>
          <w:ilvl w:val="0"/>
          <w:numId w:val="0"/>
        </w:numPr>
      </w:pPr>
      <w:r>
        <w:br w:type="page"/>
      </w:r>
      <w:bookmarkStart w:id="5027" w:name="_5.28__ERROR"/>
      <w:bookmarkStart w:id="5028" w:name="_Toc71955576"/>
      <w:bookmarkStart w:id="5029" w:name="_Toc96170123"/>
      <w:bookmarkStart w:id="5030" w:name="_Toc96234168"/>
      <w:bookmarkStart w:id="5031" w:name="_Toc112733598"/>
      <w:bookmarkStart w:id="5032" w:name="_Toc289328641"/>
      <w:bookmarkStart w:id="5033" w:name="_Toc312331945"/>
      <w:bookmarkStart w:id="5034" w:name="_Toc214283397"/>
      <w:bookmarkEnd w:id="5027"/>
      <w:r w:rsidR="005D1A26" w:rsidRPr="000665B0">
        <w:lastRenderedPageBreak/>
        <w:t>ERROR LOG ENTRIES TOOL</w:t>
      </w:r>
      <w:bookmarkEnd w:id="5028"/>
      <w:bookmarkEnd w:id="5029"/>
      <w:bookmarkEnd w:id="5030"/>
      <w:bookmarkEnd w:id="5031"/>
      <w:bookmarkEnd w:id="5032"/>
      <w:bookmarkEnd w:id="5033"/>
      <w:bookmarkEnd w:id="5034"/>
      <w:r w:rsidR="005D1A26" w:rsidRPr="000665B0">
        <w:t xml:space="preserve"> </w:t>
      </w:r>
    </w:p>
    <w:p w14:paraId="4FDA1020" w14:textId="77777777" w:rsidR="003C12D6" w:rsidRPr="000665B0" w:rsidRDefault="003C12D6" w:rsidP="009570CA">
      <w:r w:rsidRPr="000665B0">
        <w:t xml:space="preserve">MDS creates and maintains a list of logs that describes an event or task. An event can be an error or a benign informational log </w:t>
      </w:r>
      <w:r w:rsidR="00B2635E" w:rsidRPr="000665B0">
        <w:t xml:space="preserve">entry </w:t>
      </w:r>
      <w:r w:rsidRPr="000665B0">
        <w:t xml:space="preserve">describing an event </w:t>
      </w:r>
      <w:r w:rsidR="00B2635E" w:rsidRPr="000665B0">
        <w:t xml:space="preserve">that </w:t>
      </w:r>
      <w:r w:rsidRPr="000665B0">
        <w:t xml:space="preserve">has occurred. Different log entries can have different severity levels depending on how the error impacts the system. Events that have serious impacts to the system would have </w:t>
      </w:r>
      <w:r w:rsidR="00AA24E3" w:rsidRPr="000665B0">
        <w:t xml:space="preserve">a </w:t>
      </w:r>
      <w:r w:rsidR="002F7E9C" w:rsidRPr="000665B0">
        <w:t>Red Error icon instead of a Yellow Warning icon</w:t>
      </w:r>
      <w:r w:rsidRPr="000665B0">
        <w:t>. The Error Log Tool provides various types of status and can be used to troubleshoot a problem encountered by the software.</w:t>
      </w:r>
    </w:p>
    <w:p w14:paraId="7BA971F0" w14:textId="77777777" w:rsidR="005D1A26" w:rsidRPr="000665B0" w:rsidRDefault="005D1A26" w:rsidP="009570CA">
      <w:r w:rsidRPr="000665B0">
        <w:t>This tool provides the capability to filter, print, display, and save log entries.</w:t>
      </w:r>
    </w:p>
    <w:p w14:paraId="2E850DFB" w14:textId="77777777" w:rsidR="005D1A26" w:rsidRPr="000665B0" w:rsidRDefault="005D1A26" w:rsidP="009570CA">
      <w:r w:rsidRPr="000665B0">
        <w:t xml:space="preserve">To view the Error Log </w:t>
      </w:r>
      <w:r w:rsidR="006562CD" w:rsidRPr="000665B0">
        <w:t xml:space="preserve">Entries </w:t>
      </w:r>
      <w:r w:rsidRPr="000665B0">
        <w:t>Tool:</w:t>
      </w:r>
    </w:p>
    <w:p w14:paraId="41763185" w14:textId="77777777" w:rsidR="005D1A26" w:rsidRPr="000665B0" w:rsidRDefault="005D1A26" w:rsidP="009570CA">
      <w:pPr>
        <w:pStyle w:val="Number0205"/>
        <w:ind w:left="360" w:firstLine="0"/>
      </w:pPr>
      <w:r w:rsidRPr="000665B0">
        <w:t xml:space="preserve">From the </w:t>
      </w:r>
      <w:r w:rsidRPr="000665B0">
        <w:rPr>
          <w:b/>
        </w:rPr>
        <w:t>Go</w:t>
      </w:r>
      <w:r w:rsidRPr="000665B0">
        <w:t xml:space="preserve"> menu select </w:t>
      </w:r>
      <w:r w:rsidRPr="000665B0">
        <w:rPr>
          <w:b/>
        </w:rPr>
        <w:t>Error Log Entries</w:t>
      </w:r>
      <w:r w:rsidRPr="000665B0">
        <w:t>.</w:t>
      </w:r>
    </w:p>
    <w:p w14:paraId="6E56A543" w14:textId="1BC7BE2D" w:rsidR="005D1A26" w:rsidRPr="000665B0" w:rsidRDefault="00AA4102" w:rsidP="009570CA">
      <w:pPr>
        <w:jc w:val="center"/>
      </w:pPr>
      <w:r w:rsidRPr="000665B0">
        <w:rPr>
          <w:noProof/>
        </w:rPr>
        <w:drawing>
          <wp:inline distT="0" distB="0" distL="0" distR="0" wp14:anchorId="0C4F8A55" wp14:editId="141952C2">
            <wp:extent cx="4114800" cy="2487168"/>
            <wp:effectExtent l="0" t="0" r="0" b="0"/>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487168"/>
                    </a:xfrm>
                    <a:prstGeom prst="rect">
                      <a:avLst/>
                    </a:prstGeom>
                  </pic:spPr>
                </pic:pic>
              </a:graphicData>
            </a:graphic>
          </wp:inline>
        </w:drawing>
      </w:r>
    </w:p>
    <w:p w14:paraId="0D0EF567" w14:textId="77777777" w:rsidR="003C12D6" w:rsidRPr="000665B0" w:rsidRDefault="003C12D6" w:rsidP="009570CA">
      <w:pPr>
        <w:rPr>
          <w:b/>
        </w:rPr>
      </w:pPr>
      <w:r w:rsidRPr="000665B0">
        <w:rPr>
          <w:b/>
        </w:rPr>
        <w:t>Error Log Entries List View Columns</w:t>
      </w:r>
    </w:p>
    <w:p w14:paraId="11E91FDA" w14:textId="5A19363B" w:rsidR="003C12D6" w:rsidRPr="000665B0" w:rsidRDefault="003C12D6" w:rsidP="009570CA">
      <w:pPr>
        <w:spacing w:after="0"/>
      </w:pPr>
      <w:r w:rsidRPr="000665B0">
        <w:t xml:space="preserve">The Error Log Entries List View columns shown are </w:t>
      </w:r>
      <w:r w:rsidRPr="000665B0">
        <w:rPr>
          <w:b/>
        </w:rPr>
        <w:t>Type</w:t>
      </w:r>
      <w:r w:rsidRPr="000665B0">
        <w:t xml:space="preserve">, </w:t>
      </w:r>
      <w:r w:rsidRPr="000665B0">
        <w:rPr>
          <w:b/>
        </w:rPr>
        <w:t>Time Stamp</w:t>
      </w:r>
      <w:r w:rsidRPr="000665B0">
        <w:t xml:space="preserve">, </w:t>
      </w:r>
      <w:r w:rsidRPr="000665B0">
        <w:rPr>
          <w:b/>
        </w:rPr>
        <w:t>Description</w:t>
      </w:r>
      <w:r w:rsidRPr="000665B0">
        <w:t xml:space="preserve">, </w:t>
      </w:r>
      <w:r w:rsidRPr="000665B0">
        <w:rPr>
          <w:b/>
        </w:rPr>
        <w:t>Event</w:t>
      </w:r>
      <w:r w:rsidRPr="000665B0">
        <w:t xml:space="preserve">, </w:t>
      </w:r>
      <w:r w:rsidRPr="000665B0">
        <w:rPr>
          <w:b/>
        </w:rPr>
        <w:t>Category</w:t>
      </w:r>
      <w:r w:rsidRPr="000665B0">
        <w:t xml:space="preserve">, and </w:t>
      </w:r>
      <w:r w:rsidRPr="000665B0">
        <w:rPr>
          <w:b/>
        </w:rPr>
        <w:t>Machine</w:t>
      </w:r>
      <w:r w:rsidRPr="000665B0">
        <w:t xml:space="preserve">. For more information, see </w:t>
      </w:r>
      <w:hyperlink w:anchor="_5.28.3__Display" w:history="1">
        <w:r w:rsidR="00FC2FC6" w:rsidRPr="000665B0">
          <w:rPr>
            <w:rStyle w:val="Hyperlink"/>
          </w:rPr>
          <w:t xml:space="preserve">Section </w:t>
        </w:r>
        <w:r w:rsidR="004231CC">
          <w:rPr>
            <w:rStyle w:val="Hyperlink"/>
          </w:rPr>
          <w:t>5.24</w:t>
        </w:r>
        <w:r w:rsidR="00FC2FC6" w:rsidRPr="000665B0">
          <w:rPr>
            <w:rStyle w:val="Hyperlink"/>
          </w:rPr>
          <w:t>.3</w:t>
        </w:r>
      </w:hyperlink>
      <w:r w:rsidRPr="000665B0">
        <w:t>.</w:t>
      </w:r>
    </w:p>
    <w:p w14:paraId="3777A0D9" w14:textId="3ABD292D" w:rsidR="003C12D6" w:rsidRPr="000665B0" w:rsidRDefault="003C12D6" w:rsidP="009570CA">
      <w:pPr>
        <w:pStyle w:val="Heading3"/>
      </w:pPr>
      <w:bookmarkStart w:id="5035" w:name="_5.28.1__Save"/>
      <w:bookmarkStart w:id="5036" w:name="_Save_Log"/>
      <w:bookmarkStart w:id="5037" w:name="_Toc289328642"/>
      <w:bookmarkStart w:id="5038" w:name="_Toc312331946"/>
      <w:bookmarkStart w:id="5039" w:name="_Toc214283398"/>
      <w:bookmarkStart w:id="5040" w:name="_Toc71955577"/>
      <w:bookmarkStart w:id="5041" w:name="_Toc96170124"/>
      <w:bookmarkStart w:id="5042" w:name="_Toc96234169"/>
      <w:bookmarkStart w:id="5043" w:name="_Toc112733599"/>
      <w:bookmarkEnd w:id="5035"/>
      <w:bookmarkEnd w:id="5036"/>
      <w:r w:rsidRPr="000665B0">
        <w:t>Save Log</w:t>
      </w:r>
      <w:bookmarkEnd w:id="5037"/>
      <w:bookmarkEnd w:id="5038"/>
      <w:bookmarkEnd w:id="5039"/>
    </w:p>
    <w:p w14:paraId="03627695" w14:textId="77777777" w:rsidR="003C12D6" w:rsidRPr="000665B0" w:rsidRDefault="003C12D6" w:rsidP="009570CA">
      <w:r w:rsidRPr="000665B0">
        <w:t>The Save Log feature gives the operator the ability to save the entire MDS Error Log into a single archive as an ASCII text file.</w:t>
      </w:r>
    </w:p>
    <w:p w14:paraId="736BEC1F" w14:textId="77777777" w:rsidR="003C12D6" w:rsidRPr="000665B0" w:rsidRDefault="003C12D6" w:rsidP="009570CA">
      <w:r w:rsidRPr="000665B0">
        <w:t>To save the entire log as a single ASCII text file:</w:t>
      </w:r>
    </w:p>
    <w:p w14:paraId="0E4E51BC" w14:textId="77777777" w:rsidR="003C12D6" w:rsidRPr="000665B0" w:rsidRDefault="003C12D6" w:rsidP="006D5A65">
      <w:pPr>
        <w:pStyle w:val="Heading1"/>
      </w:pPr>
      <w:r w:rsidRPr="000665B0">
        <w:lastRenderedPageBreak/>
        <w:t xml:space="preserve">Navigate to the Error Log </w:t>
      </w:r>
      <w:r w:rsidR="00773810" w:rsidRPr="000665B0">
        <w:t xml:space="preserve">Entries </w:t>
      </w:r>
      <w:r w:rsidRPr="000665B0">
        <w:t>Tool.</w:t>
      </w:r>
    </w:p>
    <w:p w14:paraId="6DA23F22" w14:textId="77777777" w:rsidR="003C12D6" w:rsidRPr="000665B0" w:rsidRDefault="003C12D6" w:rsidP="006D5A65">
      <w:pPr>
        <w:pStyle w:val="Heading1"/>
      </w:pPr>
      <w:r w:rsidRPr="000665B0">
        <w:t xml:space="preserve">From the </w:t>
      </w:r>
      <w:r w:rsidRPr="000665B0">
        <w:rPr>
          <w:bCs/>
        </w:rPr>
        <w:t>File</w:t>
      </w:r>
      <w:r w:rsidRPr="000665B0">
        <w:t xml:space="preserve"> menu select </w:t>
      </w:r>
      <w:r w:rsidRPr="000665B0">
        <w:rPr>
          <w:bCs/>
        </w:rPr>
        <w:t>Save Log…</w:t>
      </w:r>
      <w:r w:rsidRPr="000665B0">
        <w:t>.</w:t>
      </w:r>
    </w:p>
    <w:p w14:paraId="045CF125" w14:textId="77777777" w:rsidR="003C12D6" w:rsidRPr="000665B0" w:rsidRDefault="003C12D6" w:rsidP="006D5A65">
      <w:pPr>
        <w:pStyle w:val="Heading1"/>
      </w:pPr>
      <w:r w:rsidRPr="000665B0">
        <w:t xml:space="preserve">In the </w:t>
      </w:r>
      <w:r w:rsidRPr="000665B0">
        <w:rPr>
          <w:i/>
        </w:rPr>
        <w:t>Archive Error Log</w:t>
      </w:r>
      <w:r w:rsidRPr="000665B0">
        <w:t xml:space="preserve"> window, select a file name and choose the desired destination location for the Log Entry file.</w:t>
      </w:r>
    </w:p>
    <w:p w14:paraId="7C9BBA3B" w14:textId="77777777" w:rsidR="003C12D6" w:rsidRPr="000665B0" w:rsidRDefault="003C12D6" w:rsidP="006D5A65">
      <w:pPr>
        <w:pStyle w:val="Heading1"/>
      </w:pPr>
      <w:r w:rsidRPr="000665B0">
        <w:t xml:space="preserve">Click the </w:t>
      </w:r>
      <w:r w:rsidRPr="000665B0">
        <w:rPr>
          <w:bCs/>
        </w:rPr>
        <w:t xml:space="preserve">Save </w:t>
      </w:r>
      <w:r w:rsidRPr="000665B0">
        <w:t>button.</w:t>
      </w:r>
    </w:p>
    <w:p w14:paraId="7D44668F" w14:textId="05E16C7B" w:rsidR="003C12D6" w:rsidRPr="000665B0" w:rsidRDefault="003C12D6" w:rsidP="009570CA">
      <w:pPr>
        <w:pStyle w:val="Heading3"/>
      </w:pPr>
      <w:bookmarkStart w:id="5044" w:name="_Toc289328643"/>
      <w:bookmarkStart w:id="5045" w:name="_Toc312331947"/>
      <w:bookmarkStart w:id="5046" w:name="_Toc214283399"/>
      <w:r w:rsidRPr="000665B0">
        <w:t>Clear All Log Entries</w:t>
      </w:r>
      <w:bookmarkEnd w:id="5044"/>
      <w:bookmarkEnd w:id="5045"/>
      <w:bookmarkEnd w:id="5046"/>
    </w:p>
    <w:p w14:paraId="441F8957" w14:textId="50215401" w:rsidR="00773810" w:rsidRPr="000665B0" w:rsidRDefault="00773810" w:rsidP="009570CA">
      <w:r w:rsidRPr="000665B0">
        <w:t xml:space="preserve">The Clear All Log Entries function provides the ability to clear all existing log entries from the MDS Error Log Tool. In order for the Clear All Log Entries menu to be enabled, the user must be a member of the Administrators group and the MDS application must be executed using Run as administrator. It’s </w:t>
      </w:r>
      <w:r w:rsidR="00A255BB" w:rsidRPr="000665B0">
        <w:t>recommended</w:t>
      </w:r>
      <w:r w:rsidRPr="000665B0">
        <w:t xml:space="preserve"> that the operator archive the entire MDS Error Log first for record keeping prior to clearing out the log. This can be done via the Save Log feature</w:t>
      </w:r>
      <w:r w:rsidR="00172865" w:rsidRPr="000665B0">
        <w:t xml:space="preserve"> (see </w:t>
      </w:r>
      <w:hyperlink w:anchor="_5.28.1__Save" w:history="1">
        <w:r w:rsidR="00172865" w:rsidRPr="000665B0">
          <w:rPr>
            <w:rStyle w:val="Hyperlink"/>
          </w:rPr>
          <w:t xml:space="preserve">Section </w:t>
        </w:r>
        <w:r w:rsidR="004231CC">
          <w:rPr>
            <w:rStyle w:val="Hyperlink"/>
          </w:rPr>
          <w:t>5.24</w:t>
        </w:r>
        <w:r w:rsidR="00172865" w:rsidRPr="000665B0">
          <w:rPr>
            <w:rStyle w:val="Hyperlink"/>
          </w:rPr>
          <w:t>.1</w:t>
        </w:r>
      </w:hyperlink>
      <w:r w:rsidR="00172865" w:rsidRPr="000665B0">
        <w:t>)</w:t>
      </w:r>
      <w:r w:rsidRPr="000665B0">
        <w:t xml:space="preserve"> or using Microsoft’s Event Viewer. </w:t>
      </w:r>
    </w:p>
    <w:p w14:paraId="08E49F28" w14:textId="77777777" w:rsidR="003C12D6" w:rsidRPr="000665B0" w:rsidRDefault="003C12D6" w:rsidP="009570CA">
      <w:r w:rsidRPr="000665B0">
        <w:t>To clear all log entries:</w:t>
      </w:r>
    </w:p>
    <w:p w14:paraId="45BA7F1F" w14:textId="77777777" w:rsidR="003C12D6" w:rsidRPr="000665B0" w:rsidRDefault="003C12D6" w:rsidP="006D5A65">
      <w:pPr>
        <w:pStyle w:val="Heading1"/>
      </w:pPr>
      <w:r w:rsidRPr="000665B0">
        <w:t>Navigate to the Error Log</w:t>
      </w:r>
      <w:r w:rsidR="00773810" w:rsidRPr="000665B0">
        <w:t xml:space="preserve"> Entries</w:t>
      </w:r>
      <w:r w:rsidRPr="000665B0">
        <w:t xml:space="preserve"> Tool.</w:t>
      </w:r>
    </w:p>
    <w:p w14:paraId="1EABADF1" w14:textId="77777777" w:rsidR="003C12D6" w:rsidRPr="000665B0" w:rsidRDefault="003C12D6" w:rsidP="006D5A65">
      <w:pPr>
        <w:pStyle w:val="Heading1"/>
      </w:pPr>
      <w:r w:rsidRPr="000665B0">
        <w:t>From the File menu</w:t>
      </w:r>
      <w:r w:rsidR="002F7E9C" w:rsidRPr="000665B0">
        <w:t>,</w:t>
      </w:r>
      <w:r w:rsidRPr="000665B0">
        <w:t xml:space="preserve"> select Clear All Log Entries. A dialog will prompt the operator to confirm.</w:t>
      </w:r>
    </w:p>
    <w:p w14:paraId="3B3CBCAF" w14:textId="15790D8E" w:rsidR="003C12D6" w:rsidRPr="000665B0" w:rsidRDefault="00AA4102" w:rsidP="009570CA">
      <w:pPr>
        <w:jc w:val="center"/>
      </w:pPr>
      <w:r w:rsidRPr="000665B0">
        <w:rPr>
          <w:noProof/>
        </w:rPr>
        <w:drawing>
          <wp:inline distT="0" distB="0" distL="0" distR="0" wp14:anchorId="1F8D280E" wp14:editId="73C71953">
            <wp:extent cx="2286000" cy="1069848"/>
            <wp:effectExtent l="0" t="0" r="0" b="0"/>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069848"/>
                    </a:xfrm>
                    <a:prstGeom prst="rect">
                      <a:avLst/>
                    </a:prstGeom>
                  </pic:spPr>
                </pic:pic>
              </a:graphicData>
            </a:graphic>
          </wp:inline>
        </w:drawing>
      </w:r>
    </w:p>
    <w:p w14:paraId="241F6004" w14:textId="77777777" w:rsidR="003C12D6" w:rsidRPr="000665B0" w:rsidRDefault="003C12D6" w:rsidP="006D5A65">
      <w:pPr>
        <w:pStyle w:val="Heading1"/>
      </w:pPr>
      <w:r w:rsidRPr="000665B0">
        <w:t xml:space="preserve">Click the </w:t>
      </w:r>
      <w:r w:rsidRPr="000665B0">
        <w:rPr>
          <w:bCs/>
        </w:rPr>
        <w:t xml:space="preserve">Yes </w:t>
      </w:r>
      <w:r w:rsidRPr="000665B0">
        <w:t>button to confirm.</w:t>
      </w:r>
    </w:p>
    <w:p w14:paraId="62B33625" w14:textId="340B68F3" w:rsidR="005D1A26" w:rsidRPr="000665B0" w:rsidRDefault="005D1A26" w:rsidP="009570CA">
      <w:pPr>
        <w:pStyle w:val="Heading3"/>
      </w:pPr>
      <w:bookmarkStart w:id="5047" w:name="_5.28.3__Display"/>
      <w:bookmarkStart w:id="5048" w:name="_Toc289328644"/>
      <w:bookmarkStart w:id="5049" w:name="_Toc312331948"/>
      <w:bookmarkStart w:id="5050" w:name="_Toc214283400"/>
      <w:bookmarkEnd w:id="5047"/>
      <w:r w:rsidRPr="000665B0">
        <w:t>Display Textually</w:t>
      </w:r>
      <w:bookmarkEnd w:id="5040"/>
      <w:bookmarkEnd w:id="5041"/>
      <w:bookmarkEnd w:id="5042"/>
      <w:bookmarkEnd w:id="5043"/>
      <w:bookmarkEnd w:id="5048"/>
      <w:bookmarkEnd w:id="5049"/>
      <w:bookmarkEnd w:id="5050"/>
    </w:p>
    <w:p w14:paraId="1031083B" w14:textId="77777777" w:rsidR="003C12D6" w:rsidRPr="000665B0" w:rsidRDefault="003C12D6" w:rsidP="009570CA">
      <w:r w:rsidRPr="000665B0">
        <w:t>Each entry can be displayed textually to view the detailed information.</w:t>
      </w:r>
    </w:p>
    <w:p w14:paraId="44156A4B" w14:textId="144F02D2" w:rsidR="003C12D6" w:rsidRPr="000665B0" w:rsidRDefault="00AA4102" w:rsidP="009570CA">
      <w:pPr>
        <w:jc w:val="center"/>
      </w:pPr>
      <w:r w:rsidRPr="000665B0">
        <w:rPr>
          <w:noProof/>
        </w:rPr>
        <w:drawing>
          <wp:inline distT="0" distB="0" distL="0" distR="0" wp14:anchorId="12EE855B" wp14:editId="37A7B4ED">
            <wp:extent cx="4114800" cy="2185416"/>
            <wp:effectExtent l="0" t="0" r="0" b="0"/>
            <wp:docPr id="982"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185416"/>
                    </a:xfrm>
                    <a:prstGeom prst="rect">
                      <a:avLst/>
                    </a:prstGeom>
                  </pic:spPr>
                </pic:pic>
              </a:graphicData>
            </a:graphic>
          </wp:inline>
        </w:drawing>
      </w:r>
    </w:p>
    <w:p w14:paraId="049B9531" w14:textId="77777777" w:rsidR="003C12D6" w:rsidRPr="000665B0" w:rsidRDefault="003C12D6" w:rsidP="009570CA">
      <w:pPr>
        <w:keepNext/>
      </w:pPr>
      <w:r w:rsidRPr="000665B0">
        <w:lastRenderedPageBreak/>
        <w:t>Log Entries contain the following information:</w:t>
      </w:r>
    </w:p>
    <w:p w14:paraId="5FB73963" w14:textId="77777777" w:rsidR="003C12D6" w:rsidRPr="000665B0" w:rsidRDefault="003C12D6" w:rsidP="006D5A65">
      <w:pPr>
        <w:pStyle w:val="Heading1"/>
      </w:pPr>
      <w:r w:rsidRPr="000665B0">
        <w:rPr>
          <w:bCs/>
        </w:rPr>
        <w:t>Classification –</w:t>
      </w:r>
      <w:r w:rsidRPr="000665B0">
        <w:t xml:space="preserve"> Classification of the Log Entry.</w:t>
      </w:r>
    </w:p>
    <w:p w14:paraId="13217AD6" w14:textId="77777777" w:rsidR="003C12D6" w:rsidRPr="000665B0" w:rsidRDefault="003C12D6" w:rsidP="006D5A65">
      <w:pPr>
        <w:pStyle w:val="Heading1"/>
      </w:pPr>
      <w:r w:rsidRPr="000665B0">
        <w:t>Error Type - The severity level of the Log Entry (Error, Warning, Informational, Success Audit, and Failure Audit).</w:t>
      </w:r>
    </w:p>
    <w:p w14:paraId="06721E7D" w14:textId="77777777" w:rsidR="003C12D6" w:rsidRPr="000665B0" w:rsidRDefault="003C12D6" w:rsidP="006D5A65">
      <w:pPr>
        <w:pStyle w:val="Heading1"/>
      </w:pPr>
      <w:r w:rsidRPr="000665B0">
        <w:t>Time Stamp - The time (in DTG format) the Log Entry was created.</w:t>
      </w:r>
    </w:p>
    <w:p w14:paraId="63086478" w14:textId="77777777" w:rsidR="003C12D6" w:rsidRPr="000665B0" w:rsidRDefault="003C12D6" w:rsidP="006D5A65">
      <w:pPr>
        <w:pStyle w:val="Heading1"/>
      </w:pPr>
      <w:r w:rsidRPr="000665B0">
        <w:t>Event – The hexadecimal number that unique</w:t>
      </w:r>
      <w:r w:rsidR="00B2635E" w:rsidRPr="000665B0">
        <w:t>ly</w:t>
      </w:r>
      <w:r w:rsidRPr="000665B0">
        <w:t xml:space="preserve"> identifies a particular log event.</w:t>
      </w:r>
    </w:p>
    <w:p w14:paraId="54033F3C" w14:textId="77777777" w:rsidR="003C12D6" w:rsidRPr="000665B0" w:rsidRDefault="003C12D6" w:rsidP="006D5A65">
      <w:pPr>
        <w:pStyle w:val="Heading1"/>
      </w:pPr>
      <w:r w:rsidRPr="000665B0">
        <w:t>Machine – Machine name which logged the error.</w:t>
      </w:r>
    </w:p>
    <w:p w14:paraId="1B9DD35D" w14:textId="77777777" w:rsidR="003C12D6" w:rsidRPr="000665B0" w:rsidRDefault="003C12D6" w:rsidP="006D5A65">
      <w:pPr>
        <w:pStyle w:val="Heading1"/>
      </w:pPr>
      <w:r w:rsidRPr="000665B0">
        <w:t>Category – Subsystem in which the error occurred.</w:t>
      </w:r>
    </w:p>
    <w:p w14:paraId="10C26636" w14:textId="77777777" w:rsidR="003C12D6" w:rsidRPr="000665B0" w:rsidRDefault="003C12D6" w:rsidP="006D5A65">
      <w:pPr>
        <w:pStyle w:val="Heading1"/>
      </w:pPr>
      <w:r w:rsidRPr="000665B0">
        <w:t xml:space="preserve">Name – The user name that is currently </w:t>
      </w:r>
      <w:r w:rsidR="00773810" w:rsidRPr="000665B0">
        <w:t>logged into</w:t>
      </w:r>
      <w:r w:rsidRPr="000665B0">
        <w:t xml:space="preserve"> the system.</w:t>
      </w:r>
    </w:p>
    <w:p w14:paraId="0CD7EDC7" w14:textId="77777777" w:rsidR="003C12D6" w:rsidRPr="000665B0" w:rsidRDefault="003C12D6" w:rsidP="006D5A65">
      <w:pPr>
        <w:pStyle w:val="Heading1"/>
      </w:pPr>
      <w:r w:rsidRPr="000665B0">
        <w:t>Description - The text description about the Log Entry.</w:t>
      </w:r>
    </w:p>
    <w:p w14:paraId="52C99BB2" w14:textId="77777777" w:rsidR="003C12D6" w:rsidRPr="000665B0" w:rsidRDefault="003C12D6" w:rsidP="006D5A65">
      <w:pPr>
        <w:pStyle w:val="Heading1"/>
      </w:pPr>
      <w:r w:rsidRPr="000665B0">
        <w:t>Stack</w:t>
      </w:r>
      <w:r w:rsidR="00773810" w:rsidRPr="000665B0">
        <w:t xml:space="preserve"> Trace</w:t>
      </w:r>
      <w:r w:rsidRPr="000665B0">
        <w:t xml:space="preserve"> – The computer execution sequence which indicates where the Log Entry was created. </w:t>
      </w:r>
    </w:p>
    <w:p w14:paraId="1B66E28B" w14:textId="0F979E12" w:rsidR="00F77D60" w:rsidRPr="000665B0" w:rsidRDefault="005D1A26" w:rsidP="009570CA">
      <w:pPr>
        <w:spacing w:after="0"/>
      </w:pPr>
      <w:r w:rsidRPr="000665B0">
        <w:t xml:space="preserve">To display the detailed information textually see </w:t>
      </w:r>
      <w:hyperlink w:anchor="_5.2.1.2.4__Display_1" w:history="1">
        <w:r w:rsidRPr="000665B0">
          <w:rPr>
            <w:rStyle w:val="Hyperlink"/>
          </w:rPr>
          <w:t>Section 5.2.1.2.4</w:t>
        </w:r>
      </w:hyperlink>
      <w:r w:rsidRPr="000665B0">
        <w:t>.</w:t>
      </w:r>
    </w:p>
    <w:p w14:paraId="550DB108" w14:textId="1D97C7EE" w:rsidR="005D1A26" w:rsidRPr="000665B0" w:rsidRDefault="005D1A26" w:rsidP="009570CA">
      <w:pPr>
        <w:pStyle w:val="Heading4"/>
      </w:pPr>
      <w:bookmarkStart w:id="5051" w:name="_5.28.1.1__Save_As…_1"/>
      <w:bookmarkStart w:id="5052" w:name="_5.28.1.1__Save_As…"/>
      <w:bookmarkStart w:id="5053" w:name="_5.29.1.1__Save_As…"/>
      <w:bookmarkStart w:id="5054" w:name="_5.28.3.1__Save"/>
      <w:bookmarkStart w:id="5055" w:name="_Save_As…"/>
      <w:bookmarkStart w:id="5056" w:name="_Toc71955578"/>
      <w:bookmarkStart w:id="5057" w:name="_Toc96170125"/>
      <w:bookmarkStart w:id="5058" w:name="_Toc96234170"/>
      <w:bookmarkStart w:id="5059" w:name="_Toc112733600"/>
      <w:bookmarkStart w:id="5060" w:name="_Toc289328645"/>
      <w:bookmarkEnd w:id="5051"/>
      <w:bookmarkEnd w:id="5052"/>
      <w:bookmarkEnd w:id="5053"/>
      <w:bookmarkEnd w:id="5054"/>
      <w:bookmarkEnd w:id="5055"/>
      <w:r w:rsidRPr="000665B0">
        <w:t>Save As…</w:t>
      </w:r>
      <w:bookmarkEnd w:id="5056"/>
      <w:bookmarkEnd w:id="5057"/>
      <w:bookmarkEnd w:id="5058"/>
      <w:bookmarkEnd w:id="5059"/>
      <w:bookmarkEnd w:id="5060"/>
    </w:p>
    <w:p w14:paraId="094D6523" w14:textId="77777777" w:rsidR="00BD38C0" w:rsidRPr="000665B0" w:rsidRDefault="00BD38C0" w:rsidP="009570CA">
      <w:bookmarkStart w:id="5061" w:name="_Toc71955579"/>
      <w:bookmarkStart w:id="5062" w:name="_Toc96170126"/>
      <w:bookmarkStart w:id="5063" w:name="_Toc96234171"/>
      <w:bookmarkStart w:id="5064" w:name="_Toc112733601"/>
      <w:r w:rsidRPr="000665B0">
        <w:t xml:space="preserve">The Save As function gives the operator the ability to save a single Log Entry to a file at any given time. This function is only available in the file menu of the Textual Display. Multiple log entries can be saved, but only a single Log Entry at a time. This function writes a single Log Entry to </w:t>
      </w:r>
      <w:r w:rsidR="005E671D" w:rsidRPr="000665B0">
        <w:t>a</w:t>
      </w:r>
      <w:r w:rsidRPr="000665B0">
        <w:t xml:space="preserve"> </w:t>
      </w:r>
      <w:r w:rsidR="00EF526E" w:rsidRPr="000665B0">
        <w:t xml:space="preserve">Microsoft </w:t>
      </w:r>
      <w:r w:rsidRPr="000665B0">
        <w:t>Word document.</w:t>
      </w:r>
    </w:p>
    <w:p w14:paraId="792DB266" w14:textId="77777777" w:rsidR="00BD38C0" w:rsidRPr="000665B0" w:rsidRDefault="00BD38C0" w:rsidP="009570CA">
      <w:r w:rsidRPr="000665B0">
        <w:t>To save an individual log entry from a textual display:</w:t>
      </w:r>
    </w:p>
    <w:p w14:paraId="6921E638" w14:textId="77777777" w:rsidR="00BD38C0" w:rsidRPr="000665B0" w:rsidRDefault="00BD38C0" w:rsidP="006D5A65">
      <w:pPr>
        <w:pStyle w:val="Heading1"/>
      </w:pPr>
      <w:r w:rsidRPr="000665B0">
        <w:t>Navigate to the Error Log</w:t>
      </w:r>
      <w:r w:rsidR="00773810" w:rsidRPr="000665B0">
        <w:t xml:space="preserve"> Entries</w:t>
      </w:r>
      <w:r w:rsidRPr="000665B0">
        <w:t xml:space="preserve"> Tool and select an entry in the list.</w:t>
      </w:r>
    </w:p>
    <w:p w14:paraId="5489D33A" w14:textId="51F0257D" w:rsidR="00BD38C0" w:rsidRPr="000665B0" w:rsidRDefault="00BD38C0" w:rsidP="006D5A65">
      <w:pPr>
        <w:pStyle w:val="Heading1"/>
      </w:pPr>
      <w:r w:rsidRPr="000665B0">
        <w:t>From the File menu</w:t>
      </w:r>
      <w:r w:rsidR="002F7E9C" w:rsidRPr="000665B0">
        <w:t>,</w:t>
      </w:r>
      <w:r w:rsidRPr="000665B0">
        <w:t xml:space="preserve"> select Display </w:t>
      </w:r>
      <w:r w:rsidR="00A05D58" w:rsidRPr="000665B0">
        <w:sym w:font="Wingdings" w:char="F0E0"/>
      </w:r>
      <w:r w:rsidRPr="000665B0">
        <w:t xml:space="preserve"> Textually or invoke the context menu (by </w:t>
      </w:r>
      <w:r w:rsidR="00D71804" w:rsidRPr="000665B0">
        <w:t>right-click</w:t>
      </w:r>
      <w:r w:rsidRPr="000665B0">
        <w:t xml:space="preserve">ing the mouse) and select Display </w:t>
      </w:r>
      <w:r w:rsidR="00A05D58" w:rsidRPr="000665B0">
        <w:sym w:font="Wingdings" w:char="F0E0"/>
      </w:r>
      <w:r w:rsidRPr="000665B0">
        <w:t xml:space="preserve"> Textually. The </w:t>
      </w:r>
      <w:r w:rsidRPr="000665B0">
        <w:rPr>
          <w:i/>
        </w:rPr>
        <w:t>Error</w:t>
      </w:r>
      <w:r w:rsidRPr="000665B0">
        <w:t xml:space="preserve"> </w:t>
      </w:r>
      <w:r w:rsidRPr="000665B0">
        <w:rPr>
          <w:i/>
        </w:rPr>
        <w:t>Entry Textual View</w:t>
      </w:r>
      <w:r w:rsidRPr="000665B0">
        <w:t xml:space="preserve"> window will be displayed.</w:t>
      </w:r>
    </w:p>
    <w:p w14:paraId="46792C97" w14:textId="77777777" w:rsidR="00BD38C0" w:rsidRPr="000665B0" w:rsidRDefault="00BD38C0" w:rsidP="006D5A65">
      <w:pPr>
        <w:pStyle w:val="Heading1"/>
      </w:pPr>
      <w:r w:rsidRPr="000665B0">
        <w:t xml:space="preserve">From the File menu select </w:t>
      </w:r>
      <w:r w:rsidRPr="000665B0">
        <w:rPr>
          <w:bCs/>
        </w:rPr>
        <w:t>Save As…</w:t>
      </w:r>
      <w:r w:rsidRPr="000665B0">
        <w:t>.</w:t>
      </w:r>
    </w:p>
    <w:p w14:paraId="31B07280" w14:textId="77777777" w:rsidR="00BD38C0" w:rsidRPr="000665B0" w:rsidRDefault="00BD38C0" w:rsidP="006D5A65">
      <w:pPr>
        <w:pStyle w:val="Heading1"/>
      </w:pPr>
      <w:r w:rsidRPr="000665B0">
        <w:t xml:space="preserve">In the </w:t>
      </w:r>
      <w:r w:rsidRPr="000665B0">
        <w:rPr>
          <w:i/>
        </w:rPr>
        <w:t>Save As…</w:t>
      </w:r>
      <w:r w:rsidRPr="000665B0">
        <w:t xml:space="preserve"> window, select a file name and choose the desired destination location for the Log Entry file.</w:t>
      </w:r>
    </w:p>
    <w:p w14:paraId="59256394" w14:textId="77777777" w:rsidR="00BD38C0" w:rsidRPr="000665B0" w:rsidRDefault="00BD38C0" w:rsidP="006D5A65">
      <w:pPr>
        <w:pStyle w:val="Heading1"/>
      </w:pPr>
      <w:r w:rsidRPr="000665B0">
        <w:t xml:space="preserve">Click the </w:t>
      </w:r>
      <w:r w:rsidRPr="000665B0">
        <w:rPr>
          <w:bCs/>
        </w:rPr>
        <w:t xml:space="preserve">Save </w:t>
      </w:r>
      <w:r w:rsidRPr="000665B0">
        <w:t>button.</w:t>
      </w:r>
    </w:p>
    <w:p w14:paraId="0A69FEC2" w14:textId="310CAD2B" w:rsidR="005D1A26" w:rsidRPr="000665B0" w:rsidRDefault="005D1A26" w:rsidP="009570CA">
      <w:pPr>
        <w:pStyle w:val="Heading4"/>
      </w:pPr>
      <w:bookmarkStart w:id="5065" w:name="_5.28.3.2__Print"/>
      <w:bookmarkStart w:id="5066" w:name="_Print_Entry"/>
      <w:bookmarkStart w:id="5067" w:name="_Toc289328646"/>
      <w:bookmarkEnd w:id="5065"/>
      <w:bookmarkEnd w:id="5066"/>
      <w:r w:rsidRPr="000665B0">
        <w:t>Print Entry</w:t>
      </w:r>
      <w:bookmarkEnd w:id="5061"/>
      <w:bookmarkEnd w:id="5062"/>
      <w:bookmarkEnd w:id="5063"/>
      <w:bookmarkEnd w:id="5064"/>
      <w:bookmarkEnd w:id="5067"/>
    </w:p>
    <w:p w14:paraId="1F5F11B9" w14:textId="77777777" w:rsidR="005D1A26" w:rsidRPr="000665B0" w:rsidRDefault="005D1A26" w:rsidP="009570CA">
      <w:r w:rsidRPr="000665B0">
        <w:t>To obtain hard copy of the error:</w:t>
      </w:r>
    </w:p>
    <w:p w14:paraId="1D37B75B" w14:textId="77777777" w:rsidR="005D1A26" w:rsidRPr="000665B0" w:rsidRDefault="005D1A26" w:rsidP="006D5A65">
      <w:pPr>
        <w:pStyle w:val="Heading1"/>
      </w:pPr>
      <w:r w:rsidRPr="000665B0">
        <w:lastRenderedPageBreak/>
        <w:t>Navigate to the Error Log</w:t>
      </w:r>
      <w:r w:rsidR="00773810" w:rsidRPr="000665B0">
        <w:t xml:space="preserve"> Entries</w:t>
      </w:r>
      <w:r w:rsidRPr="000665B0">
        <w:t xml:space="preserve"> Tool and select an entry in the list.</w:t>
      </w:r>
    </w:p>
    <w:p w14:paraId="7D81ED08" w14:textId="70CBEA60" w:rsidR="005D1A26" w:rsidRPr="000665B0" w:rsidRDefault="005D1A26" w:rsidP="006D5A65">
      <w:pPr>
        <w:pStyle w:val="Heading1"/>
      </w:pPr>
      <w:r w:rsidRPr="000665B0">
        <w:t xml:space="preserve">From the File menu select Display </w:t>
      </w:r>
      <w:r w:rsidR="00A05D58" w:rsidRPr="000665B0">
        <w:sym w:font="Wingdings" w:char="F0E0"/>
      </w:r>
      <w:r w:rsidRPr="000665B0">
        <w:t xml:space="preserve"> Textually or invoke the context menu (by </w:t>
      </w:r>
      <w:r w:rsidR="00D71804" w:rsidRPr="000665B0">
        <w:t>right-click</w:t>
      </w:r>
      <w:r w:rsidRPr="000665B0">
        <w:t xml:space="preserve">ing the mouse) and select Display </w:t>
      </w:r>
      <w:r w:rsidR="00A05D58" w:rsidRPr="000665B0">
        <w:sym w:font="Wingdings" w:char="F0E0"/>
      </w:r>
      <w:r w:rsidRPr="000665B0">
        <w:t xml:space="preserve"> Textually. </w:t>
      </w:r>
    </w:p>
    <w:p w14:paraId="7C6F36FA" w14:textId="77777777" w:rsidR="005D1A26" w:rsidRPr="000665B0" w:rsidRDefault="005D1A26" w:rsidP="006D5A65">
      <w:pPr>
        <w:pStyle w:val="Heading1"/>
      </w:pPr>
      <w:r w:rsidRPr="000665B0">
        <w:t xml:space="preserve">From the File menu select </w:t>
      </w:r>
      <w:r w:rsidRPr="000665B0">
        <w:rPr>
          <w:bCs/>
        </w:rPr>
        <w:t>Print</w:t>
      </w:r>
      <w:r w:rsidRPr="000665B0">
        <w:t>.</w:t>
      </w:r>
    </w:p>
    <w:p w14:paraId="519D0463" w14:textId="77777777" w:rsidR="005D1A26" w:rsidRPr="000665B0" w:rsidRDefault="005D1A26" w:rsidP="006D5A65">
      <w:pPr>
        <w:pStyle w:val="Heading1"/>
      </w:pPr>
      <w:r w:rsidRPr="000665B0">
        <w:t xml:space="preserve">Click the </w:t>
      </w:r>
      <w:r w:rsidRPr="000665B0">
        <w:rPr>
          <w:bCs/>
        </w:rPr>
        <w:t>OK</w:t>
      </w:r>
      <w:r w:rsidRPr="000665B0">
        <w:t xml:space="preserve"> button in the print dialog box.</w:t>
      </w:r>
    </w:p>
    <w:p w14:paraId="0FBE35A4" w14:textId="5069A07E" w:rsidR="00D824F4" w:rsidRPr="000665B0" w:rsidRDefault="00D824F4" w:rsidP="009570CA">
      <w:pPr>
        <w:pStyle w:val="Heading3"/>
      </w:pPr>
      <w:bookmarkStart w:id="5068" w:name="_5.28.2__Error_Notifications"/>
      <w:bookmarkStart w:id="5069" w:name="_Toc289328647"/>
      <w:bookmarkStart w:id="5070" w:name="_Toc312331949"/>
      <w:bookmarkStart w:id="5071" w:name="_Toc214283401"/>
      <w:bookmarkStart w:id="5072" w:name="_Toc71955582"/>
      <w:bookmarkStart w:id="5073" w:name="_Toc96170127"/>
      <w:bookmarkStart w:id="5074" w:name="_Toc96234172"/>
      <w:bookmarkStart w:id="5075" w:name="_Toc112733602"/>
      <w:bookmarkEnd w:id="5068"/>
      <w:r w:rsidRPr="000665B0">
        <w:t>Error Notifications</w:t>
      </w:r>
      <w:bookmarkEnd w:id="5069"/>
      <w:bookmarkEnd w:id="5070"/>
      <w:bookmarkEnd w:id="5071"/>
    </w:p>
    <w:p w14:paraId="0F1C88BB" w14:textId="77777777" w:rsidR="00BD38C0" w:rsidRPr="000665B0" w:rsidRDefault="00BD38C0" w:rsidP="009570CA">
      <w:r w:rsidRPr="000665B0">
        <w:t>Error Notifications provide a greater visual and audio cue for different events by allowing the operator to be notified of incoming error log entries by either sound or pop-up notifications. These notifications are fully configurable and can be turned off if desired.</w:t>
      </w:r>
    </w:p>
    <w:p w14:paraId="54B63198" w14:textId="4C153D9C" w:rsidR="00D824F4" w:rsidRPr="000665B0" w:rsidRDefault="00D824F4" w:rsidP="009570CA">
      <w:pPr>
        <w:spacing w:after="0"/>
      </w:pPr>
      <w:r w:rsidRPr="000665B0">
        <w:t xml:space="preserve">To learn about the features of the Sound/Pop-up Notifications see </w:t>
      </w:r>
      <w:hyperlink w:anchor="_5.44__SOUND_1" w:history="1">
        <w:r w:rsidR="00A81D38" w:rsidRPr="000665B0">
          <w:rPr>
            <w:rStyle w:val="Hyperlink"/>
          </w:rPr>
          <w:t xml:space="preserve">Section </w:t>
        </w:r>
        <w:r w:rsidR="004231CC">
          <w:rPr>
            <w:rStyle w:val="Hyperlink"/>
          </w:rPr>
          <w:t>5.42</w:t>
        </w:r>
      </w:hyperlink>
      <w:r w:rsidRPr="000665B0">
        <w:t>.</w:t>
      </w:r>
    </w:p>
    <w:p w14:paraId="6C996EE1" w14:textId="5E27D8CD" w:rsidR="00D824F4" w:rsidRPr="000665B0" w:rsidRDefault="00D824F4" w:rsidP="009570CA">
      <w:pPr>
        <w:pStyle w:val="Heading4"/>
      </w:pPr>
      <w:bookmarkStart w:id="5076" w:name="_Toc289328648"/>
      <w:r w:rsidRPr="000665B0">
        <w:t>Error Notification Properties</w:t>
      </w:r>
      <w:bookmarkEnd w:id="5076"/>
    </w:p>
    <w:p w14:paraId="553FA5B3" w14:textId="59D9B430" w:rsidR="00D824F4" w:rsidRPr="000665B0" w:rsidRDefault="00D824F4" w:rsidP="009570CA">
      <w:pPr>
        <w:rPr>
          <w:snapToGrid w:val="0"/>
        </w:rPr>
      </w:pPr>
      <w:r w:rsidRPr="000665B0">
        <w:t xml:space="preserve">The </w:t>
      </w:r>
      <w:r w:rsidRPr="000665B0">
        <w:rPr>
          <w:i/>
          <w:iCs/>
        </w:rPr>
        <w:t>Error Notification</w:t>
      </w:r>
      <w:r w:rsidRPr="000665B0">
        <w:t xml:space="preserve"> </w:t>
      </w:r>
      <w:r w:rsidRPr="000665B0">
        <w:rPr>
          <w:i/>
          <w:iCs/>
        </w:rPr>
        <w:t xml:space="preserve">Properties </w:t>
      </w:r>
      <w:r w:rsidR="00D75A3E" w:rsidRPr="000665B0">
        <w:t xml:space="preserve">window </w:t>
      </w:r>
      <w:r w:rsidRPr="000665B0">
        <w:rPr>
          <w:snapToGrid w:val="0"/>
        </w:rPr>
        <w:t>allows the operator to customize which error events/tasks to be notified of, in addition to configuring the</w:t>
      </w:r>
      <w:r w:rsidRPr="000665B0">
        <w:rPr>
          <w:i/>
          <w:snapToGrid w:val="0"/>
        </w:rPr>
        <w:t xml:space="preserve"> </w:t>
      </w:r>
      <w:r w:rsidRPr="000665B0">
        <w:rPr>
          <w:snapToGrid w:val="0"/>
        </w:rPr>
        <w:t>Common Notification Properties.</w:t>
      </w:r>
    </w:p>
    <w:p w14:paraId="2BB6FD6D" w14:textId="294AA7FC" w:rsidR="00D75A3E" w:rsidRPr="000665B0" w:rsidRDefault="00D75A3E" w:rsidP="009570CA">
      <w:r w:rsidRPr="000665B0">
        <w:t xml:space="preserve">To modify the </w:t>
      </w:r>
      <w:r w:rsidRPr="000665B0">
        <w:rPr>
          <w:i/>
        </w:rPr>
        <w:t xml:space="preserve">Common Notification </w:t>
      </w:r>
      <w:r w:rsidR="00FC6B75" w:rsidRPr="000665B0">
        <w:rPr>
          <w:i/>
        </w:rPr>
        <w:t>Properties,</w:t>
      </w:r>
      <w:r w:rsidRPr="000665B0">
        <w:rPr>
          <w:i/>
        </w:rPr>
        <w:t xml:space="preserve"> </w:t>
      </w:r>
      <w:r w:rsidRPr="000665B0">
        <w:t xml:space="preserve">see </w:t>
      </w:r>
      <w:hyperlink w:anchor="_5.44.1__Common" w:history="1">
        <w:r w:rsidRPr="000665B0">
          <w:rPr>
            <w:rStyle w:val="Hyperlink"/>
          </w:rPr>
          <w:t xml:space="preserve">Section </w:t>
        </w:r>
        <w:r w:rsidR="004231CC">
          <w:rPr>
            <w:rStyle w:val="Hyperlink"/>
          </w:rPr>
          <w:t>5.42</w:t>
        </w:r>
        <w:r w:rsidRPr="000665B0">
          <w:rPr>
            <w:rStyle w:val="Hyperlink"/>
          </w:rPr>
          <w:t>.1</w:t>
        </w:r>
      </w:hyperlink>
      <w:r w:rsidRPr="000665B0">
        <w:t>.</w:t>
      </w:r>
    </w:p>
    <w:p w14:paraId="05C49687" w14:textId="0FE268D6" w:rsidR="00D824F4" w:rsidRPr="000665B0" w:rsidRDefault="00D75A3E" w:rsidP="00E00101">
      <w:pPr>
        <w:spacing w:before="120"/>
        <w:jc w:val="center"/>
      </w:pPr>
      <w:r w:rsidRPr="000665B0">
        <w:rPr>
          <w:noProof/>
        </w:rPr>
        <w:drawing>
          <wp:inline distT="0" distB="0" distL="0" distR="0" wp14:anchorId="20AFFA68" wp14:editId="2B442C75">
            <wp:extent cx="2743200" cy="4233672"/>
            <wp:effectExtent l="0" t="0" r="0" b="0"/>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4233672"/>
                    </a:xfrm>
                    <a:prstGeom prst="rect">
                      <a:avLst/>
                    </a:prstGeom>
                  </pic:spPr>
                </pic:pic>
              </a:graphicData>
            </a:graphic>
          </wp:inline>
        </w:drawing>
      </w:r>
    </w:p>
    <w:p w14:paraId="61CF6BFE" w14:textId="6A8D9059" w:rsidR="00D824F4" w:rsidRPr="000665B0" w:rsidRDefault="00D824F4" w:rsidP="009570CA">
      <w:r w:rsidRPr="000665B0">
        <w:lastRenderedPageBreak/>
        <w:t xml:space="preserve">In the </w:t>
      </w:r>
      <w:r w:rsidRPr="000665B0">
        <w:rPr>
          <w:b/>
        </w:rPr>
        <w:t>Notification Events</w:t>
      </w:r>
      <w:r w:rsidRPr="000665B0">
        <w:t xml:space="preserve"> pane, select which particular events </w:t>
      </w:r>
      <w:r w:rsidR="00D75A3E" w:rsidRPr="000665B0">
        <w:t>to be notified of by selecting/deselecting an event’s checkbox</w:t>
      </w:r>
      <w:r w:rsidRPr="000665B0">
        <w:t>.</w:t>
      </w:r>
      <w:r w:rsidR="00290219" w:rsidRPr="000665B0">
        <w:t xml:space="preserve"> </w:t>
      </w:r>
      <w:r w:rsidR="00D75A3E" w:rsidRPr="000665B0">
        <w:t>The following</w:t>
      </w:r>
      <w:r w:rsidRPr="000665B0">
        <w:t xml:space="preserve"> </w:t>
      </w:r>
      <w:r w:rsidR="00D75A3E" w:rsidRPr="000665B0">
        <w:t xml:space="preserve">events </w:t>
      </w:r>
      <w:r w:rsidRPr="000665B0">
        <w:t>are configurable:</w:t>
      </w:r>
    </w:p>
    <w:p w14:paraId="6D6EDCE4" w14:textId="372D24AE" w:rsidR="00D824F4" w:rsidRPr="000665B0" w:rsidRDefault="00D824F4" w:rsidP="006D5A65">
      <w:pPr>
        <w:pStyle w:val="Heading1"/>
      </w:pPr>
      <w:r w:rsidRPr="000665B0">
        <w:t xml:space="preserve">Error Messages </w:t>
      </w:r>
      <w:r w:rsidR="00D75A3E" w:rsidRPr="000665B0">
        <w:t xml:space="preserve">– </w:t>
      </w:r>
      <w:r w:rsidRPr="000665B0">
        <w:t xml:space="preserve">This indicates a significant problem the user should know </w:t>
      </w:r>
      <w:r w:rsidR="002A531A" w:rsidRPr="000665B0">
        <w:t>about,</w:t>
      </w:r>
      <w:r w:rsidRPr="000665B0">
        <w:t xml:space="preserve"> usually a loss of functionality or data.</w:t>
      </w:r>
    </w:p>
    <w:p w14:paraId="511D0D10" w14:textId="77F8526E" w:rsidR="00D824F4" w:rsidRPr="000665B0" w:rsidRDefault="00D824F4" w:rsidP="006D5A65">
      <w:pPr>
        <w:pStyle w:val="Heading1"/>
      </w:pPr>
      <w:r w:rsidRPr="000665B0">
        <w:t>Warning Messages</w:t>
      </w:r>
      <w:r w:rsidRPr="000665B0">
        <w:rPr>
          <w:i/>
        </w:rPr>
        <w:t xml:space="preserve"> </w:t>
      </w:r>
      <w:r w:rsidR="00D75A3E" w:rsidRPr="000665B0">
        <w:t>–</w:t>
      </w:r>
      <w:r w:rsidRPr="000665B0">
        <w:t xml:space="preserve"> This indicates a problem that is not immediately significant, but that may signify conditions that could cause future problems.</w:t>
      </w:r>
    </w:p>
    <w:p w14:paraId="628B10ED" w14:textId="0C7F4ABD" w:rsidR="00D824F4" w:rsidRPr="000665B0" w:rsidRDefault="00D824F4" w:rsidP="006D5A65">
      <w:pPr>
        <w:pStyle w:val="Heading1"/>
      </w:pPr>
      <w:r w:rsidRPr="000665B0">
        <w:t>Information Messages</w:t>
      </w:r>
      <w:r w:rsidRPr="000665B0">
        <w:rPr>
          <w:i/>
        </w:rPr>
        <w:t xml:space="preserve"> </w:t>
      </w:r>
      <w:r w:rsidR="00D75A3E" w:rsidRPr="000665B0">
        <w:t>–</w:t>
      </w:r>
      <w:r w:rsidRPr="000665B0">
        <w:t xml:space="preserve"> This indicates a significant, successful operation.</w:t>
      </w:r>
    </w:p>
    <w:p w14:paraId="0C154671" w14:textId="0A62E30B" w:rsidR="00D824F4" w:rsidRPr="000665B0" w:rsidRDefault="00D824F4" w:rsidP="006D5A65">
      <w:pPr>
        <w:pStyle w:val="Heading1"/>
      </w:pPr>
      <w:r w:rsidRPr="000665B0">
        <w:rPr>
          <w:bCs/>
        </w:rPr>
        <w:t>Success Audit</w:t>
      </w:r>
      <w:r w:rsidRPr="000665B0">
        <w:t xml:space="preserve"> Messages</w:t>
      </w:r>
      <w:r w:rsidRPr="000665B0">
        <w:rPr>
          <w:i/>
        </w:rPr>
        <w:t xml:space="preserve"> </w:t>
      </w:r>
      <w:r w:rsidR="00D75A3E" w:rsidRPr="000665B0">
        <w:t>–</w:t>
      </w:r>
      <w:r w:rsidRPr="000665B0">
        <w:t xml:space="preserve"> This indicates a security event that occurs when an audited access attempt is successful; for example, logging on successfully.</w:t>
      </w:r>
    </w:p>
    <w:p w14:paraId="273C1792" w14:textId="0EACE12F" w:rsidR="00D824F4" w:rsidRPr="000665B0" w:rsidRDefault="00D824F4" w:rsidP="006D5A65">
      <w:pPr>
        <w:pStyle w:val="Heading1"/>
      </w:pPr>
      <w:r w:rsidRPr="000665B0">
        <w:rPr>
          <w:bCs/>
        </w:rPr>
        <w:t>Failure Audit</w:t>
      </w:r>
      <w:r w:rsidRPr="000665B0">
        <w:t xml:space="preserve"> Messages </w:t>
      </w:r>
      <w:r w:rsidR="00D75A3E" w:rsidRPr="000665B0">
        <w:t>–</w:t>
      </w:r>
      <w:r w:rsidRPr="000665B0">
        <w:rPr>
          <w:i/>
        </w:rPr>
        <w:t xml:space="preserve"> </w:t>
      </w:r>
      <w:r w:rsidRPr="000665B0">
        <w:t>This indicates a security event that occurs when an audited access attempt fails; for example, a failed attempt to open a file.</w:t>
      </w:r>
    </w:p>
    <w:p w14:paraId="71C51397" w14:textId="7F3ED2B1" w:rsidR="005D1A26" w:rsidRPr="000665B0" w:rsidRDefault="005D1A26" w:rsidP="009570CA">
      <w:pPr>
        <w:pStyle w:val="Heading3"/>
      </w:pPr>
      <w:bookmarkStart w:id="5077" w:name="_Toc289328649"/>
      <w:bookmarkStart w:id="5078" w:name="_Toc312331950"/>
      <w:bookmarkStart w:id="5079" w:name="_Toc214283402"/>
      <w:r w:rsidRPr="000665B0">
        <w:t>Find</w:t>
      </w:r>
      <w:bookmarkEnd w:id="5072"/>
      <w:bookmarkEnd w:id="5073"/>
      <w:bookmarkEnd w:id="5074"/>
      <w:bookmarkEnd w:id="5075"/>
      <w:bookmarkEnd w:id="5077"/>
      <w:bookmarkEnd w:id="5078"/>
      <w:bookmarkEnd w:id="5079"/>
    </w:p>
    <w:p w14:paraId="308D794C" w14:textId="28A8A9AD" w:rsidR="005D1A26" w:rsidRPr="000665B0" w:rsidRDefault="00F02F03" w:rsidP="009570CA">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2DD9728C" w14:textId="77777777" w:rsidR="00464C11" w:rsidRPr="000665B0" w:rsidRDefault="00464C11" w:rsidP="009570CA">
      <w:pPr>
        <w:pStyle w:val="Heading3"/>
      </w:pPr>
      <w:bookmarkStart w:id="5080" w:name="_Toc214283403"/>
      <w:r w:rsidRPr="000665B0">
        <w:t>Plugin Tool</w:t>
      </w:r>
      <w:bookmarkEnd w:id="5080"/>
    </w:p>
    <w:p w14:paraId="1CF3066B" w14:textId="4100FA0D" w:rsidR="00464C11" w:rsidRPr="000665B0" w:rsidRDefault="00F02F03" w:rsidP="009570CA">
      <w:r w:rsidRPr="000665B0">
        <w:t>See</w:t>
      </w:r>
      <w:r w:rsidR="00464C11" w:rsidRPr="000665B0">
        <w:t xml:space="preserve"> </w:t>
      </w:r>
      <w:hyperlink w:anchor="_Plugin__Tool" w:history="1">
        <w:r w:rsidR="00464C11" w:rsidRPr="000665B0">
          <w:rPr>
            <w:rStyle w:val="Hyperlink"/>
          </w:rPr>
          <w:t>Section 5.2.5.2</w:t>
        </w:r>
      </w:hyperlink>
      <w:r w:rsidR="00464C11" w:rsidRPr="000665B0">
        <w:t>.</w:t>
      </w:r>
    </w:p>
    <w:p w14:paraId="3E7332C0" w14:textId="2FF28F91" w:rsidR="005D1A26" w:rsidRPr="000665B0" w:rsidRDefault="00277DCD" w:rsidP="009570CA">
      <w:pPr>
        <w:pStyle w:val="Heading3"/>
      </w:pPr>
      <w:bookmarkStart w:id="5081" w:name="_Toc71955583"/>
      <w:bookmarkStart w:id="5082" w:name="_Toc96170128"/>
      <w:bookmarkStart w:id="5083" w:name="_Toc96234173"/>
      <w:bookmarkStart w:id="5084" w:name="_Toc112733603"/>
      <w:bookmarkStart w:id="5085" w:name="_Toc289328650"/>
      <w:bookmarkStart w:id="5086" w:name="_Toc312331951"/>
      <w:bookmarkStart w:id="5087" w:name="_Toc214283404"/>
      <w:r w:rsidRPr="000665B0">
        <w:t>Print All</w:t>
      </w:r>
      <w:bookmarkEnd w:id="5081"/>
      <w:bookmarkEnd w:id="5082"/>
      <w:bookmarkEnd w:id="5083"/>
      <w:bookmarkEnd w:id="5084"/>
      <w:bookmarkEnd w:id="5085"/>
      <w:bookmarkEnd w:id="5086"/>
      <w:bookmarkEnd w:id="5087"/>
    </w:p>
    <w:p w14:paraId="646EB6EE" w14:textId="6926B73C" w:rsidR="005D1A26" w:rsidRPr="000665B0" w:rsidRDefault="00F02F03" w:rsidP="009570CA">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066CB7BC" w14:textId="34E53E38" w:rsidR="005D1A26" w:rsidRPr="000665B0" w:rsidRDefault="00277DCD" w:rsidP="009570CA">
      <w:pPr>
        <w:pStyle w:val="Heading3"/>
      </w:pPr>
      <w:bookmarkStart w:id="5088" w:name="_Toc71955584"/>
      <w:bookmarkStart w:id="5089" w:name="_Toc96170129"/>
      <w:bookmarkStart w:id="5090" w:name="_Toc96234174"/>
      <w:bookmarkStart w:id="5091" w:name="_Toc112733604"/>
      <w:bookmarkStart w:id="5092" w:name="_Toc289328651"/>
      <w:bookmarkStart w:id="5093" w:name="_Toc312331952"/>
      <w:bookmarkStart w:id="5094" w:name="_Toc214283405"/>
      <w:r w:rsidRPr="000665B0">
        <w:t>Display All in Excel</w:t>
      </w:r>
      <w:bookmarkEnd w:id="5088"/>
      <w:bookmarkEnd w:id="5089"/>
      <w:bookmarkEnd w:id="5090"/>
      <w:bookmarkEnd w:id="5091"/>
      <w:bookmarkEnd w:id="5092"/>
      <w:bookmarkEnd w:id="5093"/>
      <w:bookmarkEnd w:id="5094"/>
    </w:p>
    <w:p w14:paraId="13D150A9" w14:textId="5F6A92C5" w:rsidR="005D1A26" w:rsidRPr="000665B0" w:rsidRDefault="00F02F03" w:rsidP="009570CA">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6010210F" w14:textId="5441DE9F" w:rsidR="005D1A26" w:rsidRPr="000665B0" w:rsidRDefault="005D1A26" w:rsidP="009570CA">
      <w:pPr>
        <w:pStyle w:val="Heading3"/>
      </w:pPr>
      <w:bookmarkStart w:id="5095" w:name="_Toc71955585"/>
      <w:bookmarkStart w:id="5096" w:name="_Toc96170130"/>
      <w:bookmarkStart w:id="5097" w:name="_Toc96234175"/>
      <w:bookmarkStart w:id="5098" w:name="_Toc112733605"/>
      <w:bookmarkStart w:id="5099" w:name="_Toc289328652"/>
      <w:bookmarkStart w:id="5100" w:name="_Toc312331953"/>
      <w:bookmarkStart w:id="5101" w:name="_Toc214283406"/>
      <w:r w:rsidRPr="000665B0">
        <w:t>Select All</w:t>
      </w:r>
      <w:bookmarkEnd w:id="5095"/>
      <w:bookmarkEnd w:id="5096"/>
      <w:bookmarkEnd w:id="5097"/>
      <w:bookmarkEnd w:id="5098"/>
      <w:bookmarkEnd w:id="5099"/>
      <w:bookmarkEnd w:id="5100"/>
      <w:bookmarkEnd w:id="5101"/>
    </w:p>
    <w:p w14:paraId="65D12918" w14:textId="4DA0C375" w:rsidR="005D1A26" w:rsidRPr="000665B0" w:rsidRDefault="00F02F03" w:rsidP="009570CA">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24226619" w14:textId="18E86CE2" w:rsidR="005D1A26" w:rsidRPr="000665B0" w:rsidRDefault="00277DCD" w:rsidP="009570CA">
      <w:pPr>
        <w:pStyle w:val="Heading3"/>
      </w:pPr>
      <w:bookmarkStart w:id="5102" w:name="_Toc71955586"/>
      <w:bookmarkStart w:id="5103" w:name="_Toc96170131"/>
      <w:bookmarkStart w:id="5104" w:name="_Toc96234176"/>
      <w:bookmarkStart w:id="5105" w:name="_Toc112733606"/>
      <w:bookmarkStart w:id="5106" w:name="_Toc289328653"/>
      <w:bookmarkStart w:id="5107" w:name="_Toc312331954"/>
      <w:bookmarkStart w:id="5108" w:name="_Toc214283407"/>
      <w:r w:rsidRPr="000665B0">
        <w:t>Delete</w:t>
      </w:r>
      <w:bookmarkEnd w:id="5102"/>
      <w:bookmarkEnd w:id="5103"/>
      <w:bookmarkEnd w:id="5104"/>
      <w:bookmarkEnd w:id="5105"/>
      <w:bookmarkEnd w:id="5106"/>
      <w:bookmarkEnd w:id="5107"/>
      <w:bookmarkEnd w:id="5108"/>
    </w:p>
    <w:p w14:paraId="56B38188" w14:textId="1780DAE9" w:rsidR="005D1A26" w:rsidRPr="000665B0" w:rsidRDefault="00F02F03" w:rsidP="009570CA">
      <w:r w:rsidRPr="000665B0">
        <w:t>See</w:t>
      </w:r>
      <w:r w:rsidR="005D1A26" w:rsidRPr="000665B0">
        <w:t xml:space="preserve"> </w:t>
      </w:r>
      <w:hyperlink w:anchor="_5.2.1.6__Delete" w:history="1">
        <w:r w:rsidR="00B9720D" w:rsidRPr="000665B0">
          <w:rPr>
            <w:rStyle w:val="Hyperlink"/>
          </w:rPr>
          <w:t>Section 5.2.1.6</w:t>
        </w:r>
      </w:hyperlink>
      <w:r w:rsidR="005D1A26" w:rsidRPr="000665B0">
        <w:t>.</w:t>
      </w:r>
    </w:p>
    <w:p w14:paraId="3F7D1DF1" w14:textId="3C377209" w:rsidR="005D1A26" w:rsidRPr="000665B0" w:rsidRDefault="005D1A26" w:rsidP="009570CA">
      <w:pPr>
        <w:pStyle w:val="Heading3"/>
      </w:pPr>
      <w:bookmarkStart w:id="5109" w:name="_Toc96170132"/>
      <w:bookmarkStart w:id="5110" w:name="_Toc96234177"/>
      <w:bookmarkStart w:id="5111" w:name="_Toc112733607"/>
      <w:bookmarkStart w:id="5112" w:name="_Toc289328654"/>
      <w:bookmarkStart w:id="5113" w:name="_Toc312331955"/>
      <w:bookmarkStart w:id="5114" w:name="_Toc214283408"/>
      <w:bookmarkStart w:id="5115" w:name="_Toc71955588"/>
      <w:r w:rsidRPr="000665B0">
        <w:t>Properties</w:t>
      </w:r>
      <w:bookmarkEnd w:id="5109"/>
      <w:bookmarkEnd w:id="5110"/>
      <w:bookmarkEnd w:id="5111"/>
      <w:bookmarkEnd w:id="5112"/>
      <w:bookmarkEnd w:id="5113"/>
      <w:bookmarkEnd w:id="5114"/>
    </w:p>
    <w:p w14:paraId="3DF270BB" w14:textId="4AFFC3A1" w:rsidR="005D1A26" w:rsidRPr="000665B0" w:rsidRDefault="00F02F03" w:rsidP="009570CA">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18DB8908" w14:textId="361E9518" w:rsidR="005D1A26" w:rsidRPr="000665B0" w:rsidRDefault="005D1A26" w:rsidP="009570CA">
      <w:pPr>
        <w:pStyle w:val="Heading3"/>
      </w:pPr>
      <w:bookmarkStart w:id="5116" w:name="_Toc96170133"/>
      <w:bookmarkStart w:id="5117" w:name="_Toc96234178"/>
      <w:bookmarkStart w:id="5118" w:name="_Toc112733608"/>
      <w:bookmarkStart w:id="5119" w:name="_Toc289328655"/>
      <w:bookmarkStart w:id="5120" w:name="_Toc312331956"/>
      <w:bookmarkStart w:id="5121" w:name="_Toc214283409"/>
      <w:r w:rsidRPr="000665B0">
        <w:lastRenderedPageBreak/>
        <w:t>Sort</w:t>
      </w:r>
      <w:bookmarkEnd w:id="5115"/>
      <w:bookmarkEnd w:id="5116"/>
      <w:bookmarkEnd w:id="5117"/>
      <w:bookmarkEnd w:id="5118"/>
      <w:bookmarkEnd w:id="5119"/>
      <w:bookmarkEnd w:id="5120"/>
      <w:bookmarkEnd w:id="5121"/>
    </w:p>
    <w:p w14:paraId="3924BC3E" w14:textId="257A0B90" w:rsidR="005D1A26" w:rsidRPr="000665B0" w:rsidRDefault="00F02F03" w:rsidP="009570CA">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7F3AE395" w14:textId="77777777" w:rsidR="00A316EA" w:rsidRDefault="00A316EA" w:rsidP="009570CA">
      <w:r>
        <w:br w:type="page"/>
      </w:r>
      <w:bookmarkStart w:id="5122" w:name="_5.29__DATABASE"/>
      <w:bookmarkStart w:id="5123" w:name="_5.29.3.9__Backup__Database"/>
      <w:bookmarkStart w:id="5124" w:name="_5.29.3.10__Restore_Database"/>
      <w:bookmarkStart w:id="5125" w:name="_5.30__TPS_MESSAGES_TOOL"/>
      <w:bookmarkStart w:id="5126" w:name="_5.30__TPS_TOOL"/>
      <w:bookmarkStart w:id="5127" w:name="_5.31__TPS_TOOL"/>
      <w:bookmarkStart w:id="5128" w:name="_5.30.1.1__Activity_Complete_(AC)"/>
      <w:bookmarkStart w:id="5129" w:name="_5.30.1.3__Accept_File_For_Transfer_"/>
      <w:bookmarkStart w:id="5130" w:name="_5.31.1.3__Accept_File_For_Transfer_"/>
      <w:bookmarkStart w:id="5131" w:name="_5.30.1.7__Receive_C-E_Message/Data_"/>
      <w:bookmarkStart w:id="5132" w:name="_5.30.1.7__Receive_Communications-El"/>
      <w:bookmarkStart w:id="5133" w:name="_5.31.1.7__Receive_Communications-El"/>
      <w:bookmarkStart w:id="5134" w:name="_5.32_GEOGRAPHIC_TOOL"/>
      <w:bookmarkStart w:id="5135" w:name="_5.31__GEOGRAPHIC_TOOL"/>
      <w:bookmarkStart w:id="5136" w:name="_5.32__GEO_DISPLAY_TOOL"/>
      <w:bookmarkStart w:id="5137" w:name="_5.30__GEO_DISPLAY_TOOL"/>
      <w:bookmarkStart w:id="5138" w:name="_Toc97344801"/>
      <w:bookmarkStart w:id="5139" w:name="_Toc112733609"/>
      <w:bookmarkStart w:id="5140" w:name="_Toc289328656"/>
      <w:bookmarkStart w:id="5141" w:name="_Toc313609890"/>
      <w:bookmarkStart w:id="5142" w:name="_Toc214283410"/>
      <w:bookmarkStart w:id="5143" w:name="_Toc92529427"/>
      <w:bookmarkStart w:id="5144" w:name="_Toc96170134"/>
      <w:bookmarkStart w:id="5145" w:name="_Toc96234179"/>
      <w:bookmarkStart w:id="5146" w:name="_Hlk59694310"/>
      <w:bookmarkStart w:id="5147" w:name="_Toc96170162"/>
      <w:bookmarkStart w:id="5148" w:name="_Toc96234207"/>
      <w:bookmarkStart w:id="5149" w:name="_Toc112733628"/>
      <w:bookmarkStart w:id="5150" w:name="_Toc289328678"/>
      <w:bookmarkStart w:id="5151" w:name="_Toc312331970"/>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r w:rsidR="002A5758" w:rsidRPr="000665B0">
        <w:lastRenderedPageBreak/>
        <w:t>TED UTILITIES</w:t>
      </w:r>
      <w:bookmarkEnd w:id="5138"/>
      <w:bookmarkEnd w:id="5139"/>
      <w:bookmarkEnd w:id="5140"/>
      <w:bookmarkEnd w:id="5141"/>
      <w:bookmarkEnd w:id="5142"/>
    </w:p>
    <w:p w14:paraId="59A1A223" w14:textId="77777777" w:rsidR="00D64413" w:rsidRPr="000665B0" w:rsidRDefault="00D64413" w:rsidP="009570CA">
      <w:bookmarkStart w:id="5152" w:name="_Toc159315376"/>
      <w:bookmarkStart w:id="5153" w:name="_Toc289328657"/>
      <w:bookmarkStart w:id="5154" w:name="_Toc313609891"/>
      <w:r w:rsidRPr="000665B0">
        <w:t>The TED Utilities</w:t>
      </w:r>
      <w:r w:rsidR="00EB6776" w:rsidRPr="000665B0">
        <w:t xml:space="preserve"> </w:t>
      </w:r>
      <w:r w:rsidR="00C42CEB" w:rsidRPr="000665B0">
        <w:t>T</w:t>
      </w:r>
      <w:r w:rsidR="00EB6776" w:rsidRPr="000665B0">
        <w:t>ool</w:t>
      </w:r>
      <w:r w:rsidRPr="000665B0">
        <w:t xml:space="preserve"> provides administrative tools to monitor and manage the TED databases.</w:t>
      </w:r>
      <w:r w:rsidR="00CE357F" w:rsidRPr="000665B0">
        <w:t xml:space="preserve"> It also allows individual users to change the Country Code Format to suit their preference.</w:t>
      </w:r>
    </w:p>
    <w:p w14:paraId="28D5F1CE" w14:textId="77777777" w:rsidR="00D64413" w:rsidRPr="000665B0" w:rsidRDefault="00D64413" w:rsidP="009570CA">
      <w:r w:rsidRPr="000665B0">
        <w:t>To view the TED Utilities Tool:</w:t>
      </w:r>
    </w:p>
    <w:p w14:paraId="32AA448D" w14:textId="77777777" w:rsidR="00D64413" w:rsidRPr="000665B0" w:rsidRDefault="00D64413" w:rsidP="009570CA">
      <w:pPr>
        <w:pStyle w:val="Number0205"/>
        <w:ind w:left="360" w:firstLine="0"/>
      </w:pPr>
      <w:r w:rsidRPr="000665B0">
        <w:t xml:space="preserve">From the </w:t>
      </w:r>
      <w:r w:rsidRPr="000665B0">
        <w:rPr>
          <w:b/>
        </w:rPr>
        <w:t>Go</w:t>
      </w:r>
      <w:r w:rsidRPr="000665B0">
        <w:t xml:space="preserve"> menu select </w:t>
      </w:r>
      <w:r w:rsidRPr="000665B0">
        <w:rPr>
          <w:b/>
        </w:rPr>
        <w:t>TED Utilities</w:t>
      </w:r>
      <w:r w:rsidRPr="000665B0">
        <w:t>.</w:t>
      </w:r>
    </w:p>
    <w:p w14:paraId="4914B176" w14:textId="6F6BEDF5" w:rsidR="00D64413" w:rsidRPr="000665B0" w:rsidRDefault="00AE1F5E" w:rsidP="009570CA">
      <w:pPr>
        <w:jc w:val="center"/>
      </w:pPr>
      <w:r w:rsidRPr="000665B0">
        <w:rPr>
          <w:noProof/>
        </w:rPr>
        <w:drawing>
          <wp:inline distT="0" distB="0" distL="0" distR="0" wp14:anchorId="348F2F9D" wp14:editId="628CC4F5">
            <wp:extent cx="4983480" cy="2130552"/>
            <wp:effectExtent l="0" t="0" r="0" b="0"/>
            <wp:docPr id="1442" name="Picture 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2130552"/>
                    </a:xfrm>
                    <a:prstGeom prst="rect">
                      <a:avLst/>
                    </a:prstGeom>
                  </pic:spPr>
                </pic:pic>
              </a:graphicData>
            </a:graphic>
          </wp:inline>
        </w:drawing>
      </w:r>
      <w:r w:rsidR="00D75A3E" w:rsidRPr="000665B0">
        <w:rPr>
          <w:noProof/>
        </w:rPr>
        <w:t xml:space="preserve"> </w:t>
      </w:r>
    </w:p>
    <w:p w14:paraId="39E8C659" w14:textId="77777777" w:rsidR="00D64413" w:rsidRPr="000665B0" w:rsidRDefault="00D64413" w:rsidP="009570CA">
      <w:bookmarkStart w:id="5155" w:name="_Toc97344802"/>
      <w:bookmarkStart w:id="5156" w:name="_Toc112733610"/>
      <w:r w:rsidRPr="000665B0">
        <w:t>The TED Utilities Tool displays the following Database Information:</w:t>
      </w:r>
    </w:p>
    <w:p w14:paraId="320E0CF0" w14:textId="77777777" w:rsidR="00D64413" w:rsidRPr="000665B0" w:rsidRDefault="00D64413" w:rsidP="006D5A65">
      <w:pPr>
        <w:pStyle w:val="Heading1"/>
      </w:pPr>
      <w:r w:rsidRPr="000665B0">
        <w:t>TED Location Code – TED location code stored in the TED Database.</w:t>
      </w:r>
    </w:p>
    <w:p w14:paraId="60132D66" w14:textId="77777777" w:rsidR="00CE357F" w:rsidRPr="000665B0" w:rsidRDefault="00D64413" w:rsidP="006D5A65">
      <w:pPr>
        <w:pStyle w:val="Heading1"/>
      </w:pPr>
      <w:r w:rsidRPr="000665B0">
        <w:t>TED Server</w:t>
      </w:r>
      <w:r w:rsidR="005C5727" w:rsidRPr="000665B0">
        <w:t xml:space="preserve"> Name</w:t>
      </w:r>
      <w:r w:rsidRPr="000665B0">
        <w:t xml:space="preserve"> – Computer name or IP address of TED web services</w:t>
      </w:r>
      <w:r w:rsidR="00C42CEB" w:rsidRPr="000665B0">
        <w:t>.</w:t>
      </w:r>
      <w:r w:rsidR="00CE357F" w:rsidRPr="000665B0">
        <w:t xml:space="preserve"> </w:t>
      </w:r>
    </w:p>
    <w:p w14:paraId="5AC19691" w14:textId="77777777" w:rsidR="00D64413" w:rsidRPr="000665B0" w:rsidRDefault="00CE357F" w:rsidP="006D5A65">
      <w:pPr>
        <w:pStyle w:val="Heading1"/>
      </w:pPr>
      <w:r w:rsidRPr="000665B0">
        <w:t>Country Code Format – The current Country Code Format.</w:t>
      </w:r>
    </w:p>
    <w:p w14:paraId="4FBA23D3" w14:textId="16A39A04" w:rsidR="00CE357F" w:rsidRPr="000665B0" w:rsidRDefault="00CE357F" w:rsidP="009570CA">
      <w:pPr>
        <w:pStyle w:val="Heading3"/>
      </w:pPr>
      <w:bookmarkStart w:id="5157" w:name="_5.29.1__Set"/>
      <w:bookmarkStart w:id="5158" w:name="_Toc214283411"/>
      <w:bookmarkStart w:id="5159" w:name="_Toc97344814"/>
      <w:bookmarkStart w:id="5160" w:name="_Toc112733611"/>
      <w:bookmarkStart w:id="5161" w:name="_Toc159315377"/>
      <w:bookmarkStart w:id="5162" w:name="_Toc289328658"/>
      <w:bookmarkStart w:id="5163" w:name="_Toc313609892"/>
      <w:bookmarkStart w:id="5164" w:name="_Toc97344813"/>
      <w:bookmarkStart w:id="5165" w:name="_Toc97344803"/>
      <w:bookmarkEnd w:id="5152"/>
      <w:bookmarkEnd w:id="5153"/>
      <w:bookmarkEnd w:id="5154"/>
      <w:bookmarkEnd w:id="5155"/>
      <w:bookmarkEnd w:id="5156"/>
      <w:bookmarkEnd w:id="5157"/>
      <w:r w:rsidRPr="000665B0">
        <w:t>Set Country Code Format</w:t>
      </w:r>
      <w:bookmarkEnd w:id="5158"/>
    </w:p>
    <w:p w14:paraId="32FD25C0" w14:textId="4C64BF29" w:rsidR="00CE357F" w:rsidRPr="000665B0" w:rsidRDefault="00CE357F" w:rsidP="009570CA">
      <w:r w:rsidRPr="000665B0">
        <w:rPr>
          <w:szCs w:val="24"/>
        </w:rPr>
        <w:t xml:space="preserve">The database’s default Country Code Format is configured by an administrator in the </w:t>
      </w:r>
      <w:r w:rsidRPr="000665B0">
        <w:t>TMPC</w:t>
      </w:r>
      <w:r w:rsidRPr="000665B0">
        <w:rPr>
          <w:szCs w:val="24"/>
        </w:rPr>
        <w:t xml:space="preserve"> Database Utility (see </w:t>
      </w:r>
      <w:hyperlink w:anchor="_4_.5.2.1.7__1" w:history="1">
        <w:r w:rsidR="00B14F4A" w:rsidRPr="000665B0">
          <w:rPr>
            <w:color w:val="0000FF"/>
            <w:szCs w:val="24"/>
            <w:u w:val="single"/>
          </w:rPr>
          <w:t>Section 4.5.2.1.6</w:t>
        </w:r>
      </w:hyperlink>
      <w:r w:rsidRPr="00070E1D">
        <w:rPr>
          <w:color w:val="000000" w:themeColor="text1"/>
          <w:szCs w:val="24"/>
        </w:rPr>
        <w:t xml:space="preserve">), </w:t>
      </w:r>
      <w:r w:rsidRPr="000665B0">
        <w:t xml:space="preserve">but individual users can change the Country Code Format to suit their preference using the </w:t>
      </w:r>
      <w:r w:rsidRPr="000665B0">
        <w:rPr>
          <w:b/>
        </w:rPr>
        <w:t>Edit</w:t>
      </w:r>
      <w:r w:rsidRPr="000665B0">
        <w:t xml:space="preserve"> button in the TED Utilities tool.</w:t>
      </w:r>
    </w:p>
    <w:p w14:paraId="349E1742" w14:textId="77777777" w:rsidR="00CE357F" w:rsidRPr="000665B0" w:rsidRDefault="00CE357F" w:rsidP="009570CA">
      <w:r w:rsidRPr="000665B0">
        <w:t>The</w:t>
      </w:r>
      <w:r w:rsidRPr="000665B0">
        <w:rPr>
          <w:b/>
        </w:rPr>
        <w:t xml:space="preserve"> Edit</w:t>
      </w:r>
      <w:r w:rsidRPr="000665B0">
        <w:t xml:space="preserve"> setting overrides the database’s Country Code Format default setting. The setting is </w:t>
      </w:r>
      <w:r w:rsidRPr="000665B0">
        <w:rPr>
          <w:snapToGrid w:val="0"/>
        </w:rPr>
        <w:t xml:space="preserve">user unique and is saved locally on the MDS workstation, but it is not saved system-wide. </w:t>
      </w:r>
    </w:p>
    <w:p w14:paraId="2FEF1705" w14:textId="22D438F5" w:rsidR="00CE357F" w:rsidRPr="000665B0" w:rsidRDefault="00CE357F" w:rsidP="009570CA">
      <w:r w:rsidRPr="000665B0">
        <w:t xml:space="preserve">For information about the selection and display of Country Codes and country names during system operation, see </w:t>
      </w:r>
      <w:hyperlink w:anchor="_Appendix_C__Country_Codes__(SORTED__1" w:history="1">
        <w:r w:rsidRPr="000665B0">
          <w:rPr>
            <w:color w:val="0000FF"/>
            <w:u w:val="single"/>
          </w:rPr>
          <w:t>Appendix C</w:t>
        </w:r>
      </w:hyperlink>
      <w:r w:rsidRPr="000665B0">
        <w:t>.</w:t>
      </w:r>
      <w:r w:rsidR="009651B0">
        <w:t xml:space="preserve"> </w:t>
      </w:r>
    </w:p>
    <w:p w14:paraId="0252DEB5" w14:textId="77777777" w:rsidR="00CE357F" w:rsidRPr="000665B0" w:rsidRDefault="00CE357F" w:rsidP="006D5A65">
      <w:pPr>
        <w:pStyle w:val="Heading1"/>
      </w:pPr>
      <w:r w:rsidRPr="000665B0">
        <w:lastRenderedPageBreak/>
        <w:t xml:space="preserve">From the </w:t>
      </w:r>
      <w:r w:rsidRPr="000665B0">
        <w:rPr>
          <w:i/>
        </w:rPr>
        <w:t>TED Utilities</w:t>
      </w:r>
      <w:r w:rsidRPr="000665B0">
        <w:t xml:space="preserve"> window, click Edit.</w:t>
      </w:r>
    </w:p>
    <w:p w14:paraId="40366899" w14:textId="1A94C6B1" w:rsidR="00CE357F" w:rsidRPr="000665B0" w:rsidRDefault="00AE1F5E" w:rsidP="009570CA">
      <w:pPr>
        <w:jc w:val="center"/>
      </w:pPr>
      <w:r w:rsidRPr="000665B0">
        <w:rPr>
          <w:noProof/>
        </w:rPr>
        <w:drawing>
          <wp:inline distT="0" distB="0" distL="0" distR="0" wp14:anchorId="359A2546" wp14:editId="1B68FC55">
            <wp:extent cx="4159840" cy="1778426"/>
            <wp:effectExtent l="0" t="0" r="0" b="0"/>
            <wp:docPr id="1443" name="Picture 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76617" cy="1785599"/>
                    </a:xfrm>
                    <a:prstGeom prst="rect">
                      <a:avLst/>
                    </a:prstGeom>
                  </pic:spPr>
                </pic:pic>
              </a:graphicData>
            </a:graphic>
          </wp:inline>
        </w:drawing>
      </w:r>
    </w:p>
    <w:p w14:paraId="02577AD2" w14:textId="77777777" w:rsidR="00CE357F" w:rsidRPr="000665B0" w:rsidRDefault="00CE357F" w:rsidP="006D5A65">
      <w:pPr>
        <w:pStyle w:val="Heading1"/>
      </w:pPr>
      <w:r w:rsidRPr="000665B0">
        <w:t xml:space="preserve">The </w:t>
      </w:r>
      <w:r w:rsidRPr="000665B0">
        <w:rPr>
          <w:i/>
        </w:rPr>
        <w:t>Set Country Code Format</w:t>
      </w:r>
      <w:r w:rsidRPr="000665B0">
        <w:t xml:space="preserve"> window is displayed.</w:t>
      </w:r>
    </w:p>
    <w:p w14:paraId="710F8E79" w14:textId="7AE9F8AC" w:rsidR="00CE357F" w:rsidRPr="000665B0" w:rsidRDefault="00D75A3E" w:rsidP="009570CA">
      <w:pPr>
        <w:jc w:val="center"/>
      </w:pPr>
      <w:r w:rsidRPr="000665B0">
        <w:rPr>
          <w:noProof/>
        </w:rPr>
        <w:drawing>
          <wp:inline distT="0" distB="0" distL="0" distR="0" wp14:anchorId="00D9FD5F" wp14:editId="679E83E1">
            <wp:extent cx="2286000" cy="886968"/>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886968"/>
                    </a:xfrm>
                    <a:prstGeom prst="rect">
                      <a:avLst/>
                    </a:prstGeom>
                  </pic:spPr>
                </pic:pic>
              </a:graphicData>
            </a:graphic>
          </wp:inline>
        </w:drawing>
      </w:r>
    </w:p>
    <w:p w14:paraId="7CD99D09" w14:textId="77777777" w:rsidR="00CE357F" w:rsidRPr="000665B0" w:rsidRDefault="00CE357F" w:rsidP="006D5A65">
      <w:pPr>
        <w:pStyle w:val="Heading1"/>
      </w:pPr>
      <w:r w:rsidRPr="000665B0">
        <w:t>Select the desired Country Code Format and click OK.</w:t>
      </w:r>
    </w:p>
    <w:p w14:paraId="436A5463" w14:textId="7CF5E68D" w:rsidR="00CE357F" w:rsidRPr="000665B0" w:rsidRDefault="00F156DD" w:rsidP="009570CA">
      <w:pPr>
        <w:jc w:val="center"/>
      </w:pPr>
      <w:r w:rsidRPr="000665B0">
        <w:rPr>
          <w:noProof/>
        </w:rPr>
        <w:drawing>
          <wp:inline distT="0" distB="0" distL="0" distR="0" wp14:anchorId="72CF46F4" wp14:editId="1D6F6F2C">
            <wp:extent cx="2286000" cy="886968"/>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886968"/>
                    </a:xfrm>
                    <a:prstGeom prst="rect">
                      <a:avLst/>
                    </a:prstGeom>
                  </pic:spPr>
                </pic:pic>
              </a:graphicData>
            </a:graphic>
          </wp:inline>
        </w:drawing>
      </w:r>
    </w:p>
    <w:p w14:paraId="61342604" w14:textId="77777777" w:rsidR="00CE357F" w:rsidRPr="000665B0" w:rsidRDefault="00CE357F" w:rsidP="006D5A65">
      <w:pPr>
        <w:pStyle w:val="Heading1"/>
      </w:pPr>
      <w:r w:rsidRPr="000665B0">
        <w:t>All open windows are automatically updated to display the selected Country Code Format.</w:t>
      </w:r>
    </w:p>
    <w:p w14:paraId="28A34F4E" w14:textId="1D5856C2" w:rsidR="002A5758" w:rsidRPr="000665B0" w:rsidRDefault="002A5758" w:rsidP="009570CA">
      <w:pPr>
        <w:pStyle w:val="Heading3"/>
      </w:pPr>
      <w:bookmarkStart w:id="5166" w:name="_Toc214283412"/>
      <w:r w:rsidRPr="000665B0">
        <w:t xml:space="preserve">Change </w:t>
      </w:r>
      <w:bookmarkEnd w:id="5159"/>
      <w:bookmarkEnd w:id="5160"/>
      <w:bookmarkEnd w:id="5161"/>
      <w:r w:rsidRPr="000665B0">
        <w:t xml:space="preserve">TED (Admin </w:t>
      </w:r>
      <w:r w:rsidR="005C5727" w:rsidRPr="000665B0">
        <w:t>Only</w:t>
      </w:r>
      <w:r w:rsidRPr="000665B0">
        <w:t>)</w:t>
      </w:r>
      <w:bookmarkEnd w:id="5162"/>
      <w:bookmarkEnd w:id="5163"/>
      <w:bookmarkEnd w:id="5166"/>
    </w:p>
    <w:p w14:paraId="1C2633BD" w14:textId="7DEAFDEF" w:rsidR="00D64413" w:rsidRPr="000665B0" w:rsidRDefault="00D64413" w:rsidP="009570CA">
      <w:r w:rsidRPr="000665B0">
        <w:t>The Change TED function provides the ability to change to a local</w:t>
      </w:r>
      <w:r w:rsidR="00C42CEB" w:rsidRPr="000665B0">
        <w:t xml:space="preserve"> </w:t>
      </w:r>
      <w:r w:rsidRPr="000665B0">
        <w:t>or remote TED Server. In order for the Change TED menu to be enabled, the user must be a member of the Administrators group and the MDS application must be executed using Run as administrator.</w:t>
      </w:r>
      <w:r w:rsidR="009651B0">
        <w:t xml:space="preserve"> </w:t>
      </w:r>
    </w:p>
    <w:p w14:paraId="009B8952" w14:textId="77777777" w:rsidR="00D64413" w:rsidRPr="000665B0" w:rsidRDefault="00D64413" w:rsidP="006D5A65">
      <w:pPr>
        <w:pStyle w:val="Heading1"/>
      </w:pPr>
      <w:r w:rsidRPr="000665B0">
        <w:t>Navigate to the TED Utilities Tool.</w:t>
      </w:r>
    </w:p>
    <w:p w14:paraId="69EFAFFB" w14:textId="77777777" w:rsidR="00D64413" w:rsidRPr="000665B0" w:rsidRDefault="00D64413" w:rsidP="006D5A65">
      <w:pPr>
        <w:pStyle w:val="Heading1"/>
      </w:pPr>
      <w:r w:rsidRPr="000665B0">
        <w:t xml:space="preserve">From the File menu select Change TED…. The </w:t>
      </w:r>
      <w:r w:rsidRPr="000665B0">
        <w:rPr>
          <w:i/>
        </w:rPr>
        <w:t xml:space="preserve">Change TED </w:t>
      </w:r>
      <w:r w:rsidRPr="000665B0">
        <w:t xml:space="preserve">window </w:t>
      </w:r>
      <w:r w:rsidR="005C5727" w:rsidRPr="000665B0">
        <w:t>is</w:t>
      </w:r>
      <w:r w:rsidRPr="000665B0">
        <w:t xml:space="preserve"> displayed.</w:t>
      </w:r>
    </w:p>
    <w:p w14:paraId="2B3F1BEF" w14:textId="009AAA09" w:rsidR="00D64413" w:rsidRPr="000665B0" w:rsidRDefault="00F156DD" w:rsidP="009570CA">
      <w:pPr>
        <w:ind w:left="360"/>
        <w:jc w:val="center"/>
      </w:pPr>
      <w:r w:rsidRPr="000665B0">
        <w:rPr>
          <w:noProof/>
        </w:rPr>
        <w:drawing>
          <wp:inline distT="0" distB="0" distL="0" distR="0" wp14:anchorId="67AC085C" wp14:editId="03B6096A">
            <wp:extent cx="2286000" cy="923544"/>
            <wp:effectExtent l="0" t="0" r="0"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923544"/>
                    </a:xfrm>
                    <a:prstGeom prst="rect">
                      <a:avLst/>
                    </a:prstGeom>
                  </pic:spPr>
                </pic:pic>
              </a:graphicData>
            </a:graphic>
          </wp:inline>
        </w:drawing>
      </w:r>
    </w:p>
    <w:p w14:paraId="2F1F6668" w14:textId="77777777" w:rsidR="00D64413" w:rsidRPr="000665B0" w:rsidRDefault="00D64413" w:rsidP="006D5A65">
      <w:pPr>
        <w:pStyle w:val="Heading1"/>
      </w:pPr>
      <w:r w:rsidRPr="000665B0">
        <w:t xml:space="preserve">For TED Server Name, enter the local MDS Workstation name or the remote TED Server Name. The TED Server Name must match the local self-signed certificate or installed TED </w:t>
      </w:r>
      <w:r w:rsidRPr="000665B0">
        <w:lastRenderedPageBreak/>
        <w:t xml:space="preserve">server certificate located on the MDS Workstation. For CMSA systems, enter the FULL DOMAIN NAME (&lt;server name&gt;.&lt;domain&gt;) of the TED Server. </w:t>
      </w:r>
    </w:p>
    <w:p w14:paraId="62A881AA" w14:textId="77777777" w:rsidR="002A5758" w:rsidRPr="000665B0" w:rsidRDefault="002A5758"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75834772" w14:textId="77777777" w:rsidR="002A5758" w:rsidRPr="000665B0" w:rsidRDefault="002A5758"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 xml:space="preserve">Once the OK button has been selected, MDS will refresh all the MDS Tools. </w:t>
      </w:r>
    </w:p>
    <w:p w14:paraId="4858E7CF" w14:textId="61051901" w:rsidR="002A5758" w:rsidRPr="000665B0" w:rsidRDefault="002A5758" w:rsidP="009570CA">
      <w:pPr>
        <w:pStyle w:val="Heading3"/>
      </w:pPr>
      <w:bookmarkStart w:id="5167" w:name="_Toc112733613"/>
      <w:bookmarkStart w:id="5168" w:name="_Toc289328660"/>
      <w:bookmarkStart w:id="5169" w:name="_Toc313609894"/>
      <w:bookmarkStart w:id="5170" w:name="_Toc214283413"/>
      <w:bookmarkEnd w:id="5164"/>
      <w:r w:rsidRPr="000665B0">
        <w:t>TED Logs Tab</w:t>
      </w:r>
      <w:bookmarkEnd w:id="5165"/>
      <w:bookmarkEnd w:id="5167"/>
      <w:bookmarkEnd w:id="5168"/>
      <w:bookmarkEnd w:id="5169"/>
      <w:bookmarkEnd w:id="5170"/>
    </w:p>
    <w:p w14:paraId="15C1D2BC" w14:textId="77777777" w:rsidR="00D64413" w:rsidRPr="000665B0" w:rsidRDefault="00D64413" w:rsidP="009570CA">
      <w:bookmarkStart w:id="5171" w:name="_Toc97344817"/>
      <w:bookmarkStart w:id="5172" w:name="_Toc112733618"/>
      <w:r w:rsidRPr="000665B0">
        <w:t xml:space="preserve">The </w:t>
      </w:r>
      <w:r w:rsidRPr="000665B0">
        <w:rPr>
          <w:b/>
          <w:i/>
        </w:rPr>
        <w:t>TED Logs</w:t>
      </w:r>
      <w:r w:rsidRPr="000665B0">
        <w:t xml:space="preserve"> tab provides database logging of events. It can be used to troubleshoot a problem encountered by the software when accessing the TED or TSRT Databases.</w:t>
      </w:r>
    </w:p>
    <w:p w14:paraId="47BE244D" w14:textId="77777777" w:rsidR="00D64413" w:rsidRPr="000665B0" w:rsidRDefault="00D64413" w:rsidP="009570CA">
      <w:r w:rsidRPr="000665B0">
        <w:t xml:space="preserve">The </w:t>
      </w:r>
      <w:r w:rsidRPr="000665B0">
        <w:rPr>
          <w:b/>
        </w:rPr>
        <w:t>TED Utilities</w:t>
      </w:r>
      <w:r w:rsidRPr="000665B0">
        <w:t xml:space="preserve"> Tool provides the capability to filter, print, display, delete, and clear Database Log Entries.</w:t>
      </w:r>
    </w:p>
    <w:p w14:paraId="64838C0A" w14:textId="77777777" w:rsidR="00D64413" w:rsidRPr="000665B0" w:rsidRDefault="00D64413" w:rsidP="009570CA">
      <w:pPr>
        <w:pStyle w:val="Number0205"/>
        <w:ind w:left="360" w:firstLine="0"/>
      </w:pPr>
      <w:r w:rsidRPr="000665B0">
        <w:t xml:space="preserve">Navigate to the </w:t>
      </w:r>
      <w:r w:rsidRPr="000665B0">
        <w:rPr>
          <w:b/>
        </w:rPr>
        <w:t xml:space="preserve">TED Utilities </w:t>
      </w:r>
      <w:r w:rsidRPr="000665B0">
        <w:t>Tool and select the</w:t>
      </w:r>
      <w:r w:rsidRPr="000665B0">
        <w:rPr>
          <w:b/>
        </w:rPr>
        <w:t xml:space="preserve"> </w:t>
      </w:r>
      <w:r w:rsidRPr="000665B0">
        <w:rPr>
          <w:b/>
          <w:i/>
        </w:rPr>
        <w:t>TED Logs</w:t>
      </w:r>
      <w:r w:rsidRPr="000665B0">
        <w:t xml:space="preserve"> </w:t>
      </w:r>
      <w:r w:rsidR="00C42CEB" w:rsidRPr="000665B0">
        <w:t>tab</w:t>
      </w:r>
      <w:r w:rsidRPr="000665B0">
        <w:t>.</w:t>
      </w:r>
    </w:p>
    <w:p w14:paraId="25A05551" w14:textId="58974359" w:rsidR="00D64413" w:rsidRPr="000665B0" w:rsidRDefault="00AE1F5E" w:rsidP="009570CA">
      <w:pPr>
        <w:jc w:val="center"/>
      </w:pPr>
      <w:r w:rsidRPr="000665B0">
        <w:rPr>
          <w:noProof/>
        </w:rPr>
        <w:drawing>
          <wp:inline distT="0" distB="0" distL="0" distR="0" wp14:anchorId="16FA2EE8" wp14:editId="4DAB1720">
            <wp:extent cx="4261823" cy="1822027"/>
            <wp:effectExtent l="0" t="0" r="0" b="0"/>
            <wp:docPr id="1444" name="Picture 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285932" cy="1832334"/>
                    </a:xfrm>
                    <a:prstGeom prst="rect">
                      <a:avLst/>
                    </a:prstGeom>
                  </pic:spPr>
                </pic:pic>
              </a:graphicData>
            </a:graphic>
          </wp:inline>
        </w:drawing>
      </w:r>
    </w:p>
    <w:p w14:paraId="12F5DDAB" w14:textId="01DE3469" w:rsidR="00D64413" w:rsidRPr="000665B0" w:rsidRDefault="00D64413" w:rsidP="009570CA">
      <w:r w:rsidRPr="000665B0">
        <w:t xml:space="preserve">The left side of the </w:t>
      </w:r>
      <w:r w:rsidRPr="000665B0">
        <w:rPr>
          <w:b/>
          <w:i/>
        </w:rPr>
        <w:t>TED Logs</w:t>
      </w:r>
      <w:r w:rsidRPr="000665B0">
        <w:t xml:space="preserve"> </w:t>
      </w:r>
      <w:r w:rsidR="00B2635E" w:rsidRPr="000665B0">
        <w:t xml:space="preserve">tab </w:t>
      </w:r>
      <w:r w:rsidRPr="000665B0">
        <w:t xml:space="preserve">has a tree view listing each of the databases the MDS application is using. </w:t>
      </w:r>
      <w:bookmarkStart w:id="5173" w:name="_Toc97344804"/>
      <w:r w:rsidRPr="000665B0">
        <w:t xml:space="preserve">The right side of the </w:t>
      </w:r>
      <w:r w:rsidRPr="000665B0">
        <w:rPr>
          <w:b/>
          <w:i/>
        </w:rPr>
        <w:t>TED Logs</w:t>
      </w:r>
      <w:r w:rsidRPr="000665B0">
        <w:t xml:space="preserve"> </w:t>
      </w:r>
      <w:r w:rsidR="00B2635E" w:rsidRPr="000665B0">
        <w:t xml:space="preserve">tab </w:t>
      </w:r>
      <w:r w:rsidRPr="000665B0">
        <w:t>lists the database log entries for the selected database in the tree view.</w:t>
      </w:r>
      <w:r w:rsidR="009651B0">
        <w:t xml:space="preserve"> </w:t>
      </w:r>
    </w:p>
    <w:p w14:paraId="7D45A968" w14:textId="77777777" w:rsidR="00D64413" w:rsidRPr="000665B0" w:rsidRDefault="00D64413" w:rsidP="009570CA">
      <w:r w:rsidRPr="000665B0">
        <w:t xml:space="preserve">Each database log is dynamically updated every time a new database log entry is added to the database. The database log can also be completely refreshed from the database by selecting </w:t>
      </w:r>
      <w:r w:rsidRPr="000665B0">
        <w:rPr>
          <w:b/>
        </w:rPr>
        <w:t>Refresh</w:t>
      </w:r>
      <w:r w:rsidRPr="000665B0">
        <w:t xml:space="preserve"> from the tree view context menu. Additionally, each time a database is selected from the tree view, the database log is refreshed.</w:t>
      </w:r>
    </w:p>
    <w:p w14:paraId="7480F523" w14:textId="77777777" w:rsidR="00D64413" w:rsidRPr="000665B0" w:rsidRDefault="00D64413" w:rsidP="009570CA">
      <w:r w:rsidRPr="000665B0">
        <w:t>Each time a database is selected from the left side tree view, the database log on the right side is dynamically updated by retrieving the information stored in the associated database.</w:t>
      </w:r>
    </w:p>
    <w:p w14:paraId="12493162" w14:textId="77777777" w:rsidR="00D64413" w:rsidRPr="000665B0" w:rsidRDefault="00D64413" w:rsidP="009570CA">
      <w:r w:rsidRPr="000665B0">
        <w:t xml:space="preserve">When an error occurs in one of the TED databases, an entry is logged (if possible) to the TED database. </w:t>
      </w:r>
    </w:p>
    <w:p w14:paraId="1CF84536" w14:textId="77777777" w:rsidR="00D64413" w:rsidRPr="000665B0" w:rsidRDefault="00D64413" w:rsidP="009570CA">
      <w:r w:rsidRPr="000665B0">
        <w:t>The List View contains the following information:</w:t>
      </w:r>
    </w:p>
    <w:p w14:paraId="7B83DC77" w14:textId="77777777" w:rsidR="00D64413" w:rsidRPr="000665B0" w:rsidRDefault="00D64413" w:rsidP="006D5A65">
      <w:pPr>
        <w:pStyle w:val="Heading1"/>
      </w:pPr>
      <w:r w:rsidRPr="000665B0">
        <w:lastRenderedPageBreak/>
        <w:t xml:space="preserve">Log ID – The unique identifier for the log entry. </w:t>
      </w:r>
    </w:p>
    <w:p w14:paraId="0CADB5BF" w14:textId="77777777" w:rsidR="00D64413" w:rsidRPr="000665B0" w:rsidRDefault="00D64413" w:rsidP="006D5A65">
      <w:pPr>
        <w:pStyle w:val="Heading1"/>
      </w:pPr>
      <w:r w:rsidRPr="000665B0">
        <w:t>Time Stamp – When the log entry was made.</w:t>
      </w:r>
    </w:p>
    <w:p w14:paraId="7F22253E" w14:textId="77777777" w:rsidR="00D64413" w:rsidRPr="000665B0" w:rsidRDefault="00D64413" w:rsidP="006D5A65">
      <w:pPr>
        <w:pStyle w:val="Heading1"/>
      </w:pPr>
      <w:r w:rsidRPr="000665B0">
        <w:t>Description – A description of the log entry.</w:t>
      </w:r>
    </w:p>
    <w:p w14:paraId="5BFBB8F4" w14:textId="77777777" w:rsidR="00D64413" w:rsidRPr="000665B0" w:rsidRDefault="00D64413" w:rsidP="006D5A65">
      <w:pPr>
        <w:pStyle w:val="Heading1"/>
      </w:pPr>
      <w:r w:rsidRPr="000665B0">
        <w:t>Event Type – Log type – informational, error, or warning.</w:t>
      </w:r>
    </w:p>
    <w:p w14:paraId="62F3452D" w14:textId="77777777" w:rsidR="00D64413" w:rsidRPr="000665B0" w:rsidRDefault="00D64413" w:rsidP="006D5A65">
      <w:pPr>
        <w:pStyle w:val="Heading1"/>
      </w:pPr>
      <w:r w:rsidRPr="000665B0">
        <w:t>DB Event – Where the log occurred.</w:t>
      </w:r>
    </w:p>
    <w:p w14:paraId="29B1B5B4" w14:textId="77777777" w:rsidR="00D64413" w:rsidRPr="000665B0" w:rsidRDefault="00D64413" w:rsidP="006D5A65">
      <w:pPr>
        <w:pStyle w:val="Heading1"/>
      </w:pPr>
      <w:r w:rsidRPr="000665B0">
        <w:t>Machine Name – Server where the log occurred.</w:t>
      </w:r>
    </w:p>
    <w:p w14:paraId="21947284" w14:textId="3BB9764B" w:rsidR="00D64413" w:rsidRPr="000665B0" w:rsidRDefault="00D64413" w:rsidP="009570CA">
      <w:pPr>
        <w:pStyle w:val="Heading4"/>
      </w:pPr>
      <w:bookmarkStart w:id="5174" w:name="_Toc112733614"/>
      <w:bookmarkStart w:id="5175" w:name="_Toc159315380"/>
      <w:r w:rsidRPr="000665B0">
        <w:t>Filter</w:t>
      </w:r>
      <w:bookmarkEnd w:id="5173"/>
      <w:bookmarkEnd w:id="5174"/>
      <w:bookmarkEnd w:id="5175"/>
      <w:r w:rsidRPr="000665B0">
        <w:t>s</w:t>
      </w:r>
    </w:p>
    <w:p w14:paraId="56F9E74D" w14:textId="77777777" w:rsidR="00D64413" w:rsidRPr="000665B0" w:rsidRDefault="00D64413" w:rsidP="009570CA">
      <w:r w:rsidRPr="000665B0">
        <w:t xml:space="preserve">The </w:t>
      </w:r>
      <w:r w:rsidR="00672C8B" w:rsidRPr="000665B0">
        <w:t>List View</w:t>
      </w:r>
      <w:r w:rsidR="00B2635E" w:rsidRPr="000665B0">
        <w:t xml:space="preserve"> </w:t>
      </w:r>
      <w:r w:rsidRPr="000665B0">
        <w:t xml:space="preserve">can be filtered to show the following </w:t>
      </w:r>
      <w:r w:rsidR="00C95CE5" w:rsidRPr="000665B0">
        <w:t xml:space="preserve">database log </w:t>
      </w:r>
      <w:r w:rsidR="00672C8B" w:rsidRPr="000665B0">
        <w:t>entries</w:t>
      </w:r>
      <w:r w:rsidRPr="000665B0">
        <w:t>:</w:t>
      </w:r>
    </w:p>
    <w:p w14:paraId="4C2B5B66" w14:textId="77777777" w:rsidR="00D64413" w:rsidRPr="000665B0" w:rsidRDefault="00D64413" w:rsidP="006D5A65">
      <w:pPr>
        <w:pStyle w:val="Heading1"/>
      </w:pPr>
      <w:r w:rsidRPr="000665B0">
        <w:t>Error</w:t>
      </w:r>
    </w:p>
    <w:p w14:paraId="365E3D82" w14:textId="77777777" w:rsidR="00D64413" w:rsidRPr="000665B0" w:rsidRDefault="00D64413" w:rsidP="006D5A65">
      <w:pPr>
        <w:pStyle w:val="Heading1"/>
      </w:pPr>
      <w:r w:rsidRPr="000665B0">
        <w:t>Warning</w:t>
      </w:r>
    </w:p>
    <w:p w14:paraId="586A7BD1" w14:textId="77777777" w:rsidR="00D64413" w:rsidRPr="000665B0" w:rsidRDefault="00D64413" w:rsidP="006D5A65">
      <w:pPr>
        <w:pStyle w:val="Heading1"/>
      </w:pPr>
      <w:r w:rsidRPr="000665B0">
        <w:t>Information</w:t>
      </w:r>
    </w:p>
    <w:p w14:paraId="081CE7BB" w14:textId="77777777" w:rsidR="00D64413" w:rsidRPr="000665B0" w:rsidRDefault="00D64413" w:rsidP="006D5A65">
      <w:pPr>
        <w:pStyle w:val="Heading1"/>
      </w:pPr>
      <w:r w:rsidRPr="000665B0">
        <w:t>All</w:t>
      </w:r>
    </w:p>
    <w:p w14:paraId="57F2AC80" w14:textId="22FEB9F7" w:rsidR="00D64413" w:rsidRPr="000665B0" w:rsidRDefault="00D64413" w:rsidP="009570CA">
      <w:r w:rsidRPr="000665B0">
        <w:t xml:space="preserve">To filter the </w:t>
      </w:r>
      <w:r w:rsidR="00C95CE5" w:rsidRPr="000665B0">
        <w:t>d</w:t>
      </w:r>
      <w:r w:rsidR="00672C8B" w:rsidRPr="000665B0">
        <w:t xml:space="preserve">atabase </w:t>
      </w:r>
      <w:r w:rsidR="00C95CE5" w:rsidRPr="000665B0">
        <w:t>l</w:t>
      </w:r>
      <w:r w:rsidRPr="000665B0">
        <w:t xml:space="preserve">og </w:t>
      </w:r>
      <w:r w:rsidR="00220266" w:rsidRPr="000665B0">
        <w:t>List View</w:t>
      </w:r>
      <w:r w:rsidR="00B2635E" w:rsidRPr="000665B0">
        <w:t>,</w:t>
      </w:r>
      <w:r w:rsidRPr="000665B0">
        <w:t xml:space="preserve"> select the appropriate filter from the </w:t>
      </w:r>
      <w:r w:rsidR="002A531A" w:rsidRPr="000665B0">
        <w:t>pull-down</w:t>
      </w:r>
      <w:r w:rsidR="00B2635E" w:rsidRPr="000665B0">
        <w:t xml:space="preserve"> menu</w:t>
      </w:r>
      <w:r w:rsidR="00672C8B" w:rsidRPr="000665B0">
        <w:t xml:space="preserve"> </w:t>
      </w:r>
      <w:r w:rsidR="00C95CE5" w:rsidRPr="000665B0">
        <w:t xml:space="preserve">located </w:t>
      </w:r>
      <w:r w:rsidR="00672C8B" w:rsidRPr="000665B0">
        <w:t>just below the Toolbar</w:t>
      </w:r>
      <w:r w:rsidRPr="000665B0">
        <w:t>.</w:t>
      </w:r>
    </w:p>
    <w:p w14:paraId="13D093DA" w14:textId="3DFF9F60" w:rsidR="00D64413" w:rsidRPr="000665B0" w:rsidRDefault="00AE1F5E" w:rsidP="009570CA">
      <w:pPr>
        <w:jc w:val="center"/>
      </w:pPr>
      <w:r w:rsidRPr="000665B0">
        <w:rPr>
          <w:noProof/>
        </w:rPr>
        <w:drawing>
          <wp:inline distT="0" distB="0" distL="0" distR="0" wp14:anchorId="7CEF1ABD" wp14:editId="19C16DDA">
            <wp:extent cx="2102839" cy="950483"/>
            <wp:effectExtent l="0" t="0" r="0" b="0"/>
            <wp:docPr id="1445" name="Picture 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05110" cy="951510"/>
                    </a:xfrm>
                    <a:prstGeom prst="rect">
                      <a:avLst/>
                    </a:prstGeom>
                  </pic:spPr>
                </pic:pic>
              </a:graphicData>
            </a:graphic>
          </wp:inline>
        </w:drawing>
      </w:r>
    </w:p>
    <w:p w14:paraId="43C4D482" w14:textId="54FBEBF1" w:rsidR="00D64413" w:rsidRPr="000665B0" w:rsidRDefault="00D64413" w:rsidP="009570CA">
      <w:pPr>
        <w:pStyle w:val="Heading4"/>
      </w:pPr>
      <w:bookmarkStart w:id="5176" w:name="_Toc97344805"/>
      <w:bookmarkStart w:id="5177" w:name="_Toc112733615"/>
      <w:bookmarkStart w:id="5178" w:name="_Toc159315381"/>
      <w:r w:rsidRPr="000665B0">
        <w:t>Display Textually</w:t>
      </w:r>
      <w:bookmarkEnd w:id="5176"/>
      <w:bookmarkEnd w:id="5177"/>
      <w:bookmarkEnd w:id="5178"/>
    </w:p>
    <w:p w14:paraId="71194F8C" w14:textId="77777777" w:rsidR="00D64413" w:rsidRPr="000665B0" w:rsidRDefault="00D64413" w:rsidP="009570CA">
      <w:r w:rsidRPr="000665B0">
        <w:t xml:space="preserve">The </w:t>
      </w:r>
      <w:r w:rsidR="00C95CE5" w:rsidRPr="000665B0">
        <w:t>d</w:t>
      </w:r>
      <w:r w:rsidR="00D1711D" w:rsidRPr="000665B0">
        <w:t xml:space="preserve">atabase </w:t>
      </w:r>
      <w:r w:rsidR="00C95CE5" w:rsidRPr="000665B0">
        <w:t>l</w:t>
      </w:r>
      <w:r w:rsidRPr="000665B0">
        <w:t>og</w:t>
      </w:r>
      <w:r w:rsidR="00D1711D" w:rsidRPr="000665B0">
        <w:t xml:space="preserve"> entries</w:t>
      </w:r>
      <w:r w:rsidRPr="000665B0">
        <w:t xml:space="preserve"> can be displayed textually to view </w:t>
      </w:r>
      <w:r w:rsidR="00D1711D" w:rsidRPr="000665B0">
        <w:t xml:space="preserve">additional </w:t>
      </w:r>
      <w:r w:rsidRPr="000665B0">
        <w:t>detail</w:t>
      </w:r>
      <w:r w:rsidR="00D1711D" w:rsidRPr="000665B0">
        <w:t>s</w:t>
      </w:r>
      <w:r w:rsidRPr="000665B0">
        <w:t>.</w:t>
      </w:r>
    </w:p>
    <w:p w14:paraId="730DA345" w14:textId="77777777" w:rsidR="00D64413" w:rsidRPr="000665B0" w:rsidRDefault="00D1711D" w:rsidP="009570CA">
      <w:r w:rsidRPr="000665B0">
        <w:t>The textual display</w:t>
      </w:r>
      <w:r w:rsidR="00B2635E" w:rsidRPr="000665B0">
        <w:t xml:space="preserve"> </w:t>
      </w:r>
      <w:r w:rsidR="00D64413" w:rsidRPr="000665B0">
        <w:t>contain</w:t>
      </w:r>
      <w:r w:rsidRPr="000665B0">
        <w:t>s</w:t>
      </w:r>
      <w:r w:rsidR="00D64413" w:rsidRPr="000665B0">
        <w:t xml:space="preserve"> the following information:</w:t>
      </w:r>
    </w:p>
    <w:p w14:paraId="6D3D802E" w14:textId="77777777" w:rsidR="00D64413" w:rsidRPr="000665B0" w:rsidRDefault="00D64413" w:rsidP="006D5A65">
      <w:pPr>
        <w:pStyle w:val="Heading1"/>
      </w:pPr>
      <w:r w:rsidRPr="000665B0">
        <w:lastRenderedPageBreak/>
        <w:t>Machine Name – Server where the log occurred.</w:t>
      </w:r>
    </w:p>
    <w:p w14:paraId="6B6B5720" w14:textId="77777777" w:rsidR="00D64413" w:rsidRPr="000665B0" w:rsidRDefault="00D64413" w:rsidP="006D5A65">
      <w:pPr>
        <w:pStyle w:val="Heading1"/>
      </w:pPr>
      <w:r w:rsidRPr="000665B0">
        <w:t xml:space="preserve">Time Stamp </w:t>
      </w:r>
      <w:r w:rsidR="005C5727" w:rsidRPr="000665B0">
        <w:t>–</w:t>
      </w:r>
      <w:r w:rsidRPr="000665B0">
        <w:t xml:space="preserve"> When the log entry was made.</w:t>
      </w:r>
    </w:p>
    <w:p w14:paraId="0FFA4E8E" w14:textId="77777777" w:rsidR="00D64413" w:rsidRPr="000665B0" w:rsidRDefault="00D64413" w:rsidP="006D5A65">
      <w:pPr>
        <w:pStyle w:val="Heading1"/>
      </w:pPr>
      <w:r w:rsidRPr="000665B0">
        <w:t>Event Type – Log type – informational, error, or warning.</w:t>
      </w:r>
    </w:p>
    <w:p w14:paraId="10A44EAB" w14:textId="77777777" w:rsidR="00D64413" w:rsidRPr="000665B0" w:rsidRDefault="00D64413" w:rsidP="006D5A65">
      <w:pPr>
        <w:pStyle w:val="Heading1"/>
      </w:pPr>
      <w:r w:rsidRPr="000665B0">
        <w:t>DB Event – Where the log occurred.</w:t>
      </w:r>
    </w:p>
    <w:p w14:paraId="0A6AA8A0" w14:textId="77777777" w:rsidR="00D64413" w:rsidRPr="000665B0" w:rsidRDefault="00D64413" w:rsidP="006D5A65">
      <w:pPr>
        <w:pStyle w:val="Heading1"/>
      </w:pPr>
      <w:r w:rsidRPr="000665B0">
        <w:t>Description – A description of the log entry.</w:t>
      </w:r>
    </w:p>
    <w:p w14:paraId="38D3C5F0" w14:textId="77777777" w:rsidR="00D64413" w:rsidRPr="000665B0" w:rsidRDefault="00D64413" w:rsidP="006D5A65">
      <w:pPr>
        <w:pStyle w:val="Heading1"/>
      </w:pPr>
      <w:r w:rsidRPr="000665B0">
        <w:t>Detailed Description – A detailed description of the log entry which may include a stack trace.</w:t>
      </w:r>
    </w:p>
    <w:p w14:paraId="2F5D4A6D" w14:textId="1291EAE3" w:rsidR="00D64413" w:rsidRPr="000665B0" w:rsidRDefault="00AE1F5E" w:rsidP="009570CA">
      <w:pPr>
        <w:jc w:val="center"/>
      </w:pPr>
      <w:r w:rsidRPr="000665B0">
        <w:rPr>
          <w:noProof/>
        </w:rPr>
        <w:drawing>
          <wp:inline distT="0" distB="0" distL="0" distR="0" wp14:anchorId="1C54D97B" wp14:editId="11238C3B">
            <wp:extent cx="2905798" cy="2265680"/>
            <wp:effectExtent l="0" t="0" r="0" b="0"/>
            <wp:docPr id="1446" name="Picture 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915137" cy="2272962"/>
                    </a:xfrm>
                    <a:prstGeom prst="rect">
                      <a:avLst/>
                    </a:prstGeom>
                  </pic:spPr>
                </pic:pic>
              </a:graphicData>
            </a:graphic>
          </wp:inline>
        </w:drawing>
      </w:r>
    </w:p>
    <w:p w14:paraId="28FD00F4" w14:textId="5F976E71" w:rsidR="00D64413" w:rsidRPr="000665B0" w:rsidRDefault="00D64413" w:rsidP="009570CA">
      <w:pPr>
        <w:pStyle w:val="Heading4"/>
      </w:pPr>
      <w:bookmarkStart w:id="5179" w:name="_Toc97344806"/>
      <w:bookmarkStart w:id="5180" w:name="_Toc112733616"/>
      <w:bookmarkStart w:id="5181" w:name="_Toc159315382"/>
      <w:r w:rsidRPr="000665B0">
        <w:t>Print</w:t>
      </w:r>
      <w:bookmarkEnd w:id="5179"/>
      <w:bookmarkEnd w:id="5180"/>
      <w:bookmarkEnd w:id="5181"/>
    </w:p>
    <w:p w14:paraId="0D1A63D1" w14:textId="77777777" w:rsidR="00D64413" w:rsidRPr="000665B0" w:rsidRDefault="00D64413" w:rsidP="009570CA">
      <w:r w:rsidRPr="000665B0">
        <w:t>To obtain a hard copy of the TED Logs:</w:t>
      </w:r>
    </w:p>
    <w:p w14:paraId="4873EDDE" w14:textId="77777777" w:rsidR="00386268" w:rsidRPr="000665B0" w:rsidRDefault="00386268" w:rsidP="006D5A65">
      <w:pPr>
        <w:pStyle w:val="Heading1"/>
      </w:pPr>
      <w:bookmarkStart w:id="5182" w:name="_Toc97344807"/>
      <w:bookmarkStart w:id="5183" w:name="_Toc112733617"/>
      <w:bookmarkStart w:id="5184" w:name="_Toc159315383"/>
      <w:r w:rsidRPr="000665B0">
        <w:t xml:space="preserve">Navigate to the TED Utilities Tool, click on the </w:t>
      </w:r>
      <w:r w:rsidRPr="000665B0">
        <w:rPr>
          <w:i/>
        </w:rPr>
        <w:t>TED Logs</w:t>
      </w:r>
      <w:r w:rsidRPr="000665B0">
        <w:t xml:space="preserve"> tab and select a database from the list of databases in the left side tree view.</w:t>
      </w:r>
    </w:p>
    <w:p w14:paraId="2279262E" w14:textId="77777777" w:rsidR="00386268" w:rsidRPr="000665B0" w:rsidRDefault="00386268" w:rsidP="006D5A65">
      <w:pPr>
        <w:pStyle w:val="Heading1"/>
      </w:pPr>
      <w:r w:rsidRPr="000665B0">
        <w:t xml:space="preserve">From the File menu select </w:t>
      </w:r>
      <w:r w:rsidRPr="000665B0">
        <w:rPr>
          <w:bCs/>
        </w:rPr>
        <w:t>Print All</w:t>
      </w:r>
      <w:r w:rsidRPr="000665B0">
        <w:t>.</w:t>
      </w:r>
    </w:p>
    <w:p w14:paraId="1CBA85F5" w14:textId="77777777" w:rsidR="00386268" w:rsidRPr="000665B0" w:rsidRDefault="00386268" w:rsidP="009570CA">
      <w:pPr>
        <w:pStyle w:val="Number0205"/>
        <w:ind w:left="360" w:firstLine="0"/>
      </w:pPr>
      <w:r w:rsidRPr="000665B0">
        <w:t>or</w:t>
      </w:r>
    </w:p>
    <w:p w14:paraId="3AB1DA47" w14:textId="2130F4D3" w:rsidR="006B1822" w:rsidRPr="000665B0" w:rsidRDefault="006B1822" w:rsidP="006D5A65">
      <w:pPr>
        <w:pStyle w:val="Heading1"/>
      </w:pPr>
      <w:r w:rsidRPr="000665B0">
        <w:t xml:space="preserve">Click on the desired </w:t>
      </w:r>
      <w:r w:rsidR="00E007A5" w:rsidRPr="000665B0">
        <w:t>entry</w:t>
      </w:r>
      <w:r w:rsidRPr="000665B0">
        <w:t xml:space="preserve"> in the </w:t>
      </w:r>
      <w:r w:rsidR="002A531A" w:rsidRPr="000665B0">
        <w:t>right-hand</w:t>
      </w:r>
      <w:r w:rsidRPr="000665B0">
        <w:t xml:space="preserve"> pane, invoke the context menu (</w:t>
      </w:r>
      <w:r w:rsidR="00D71804" w:rsidRPr="000665B0">
        <w:t>right-click</w:t>
      </w:r>
      <w:r w:rsidRPr="000665B0">
        <w:t xml:space="preserve"> the mouse) and select Print.</w:t>
      </w:r>
    </w:p>
    <w:p w14:paraId="540F9A34" w14:textId="77777777" w:rsidR="006B1822" w:rsidRPr="000665B0" w:rsidRDefault="006B1822" w:rsidP="006D5A65">
      <w:pPr>
        <w:pStyle w:val="Heading1"/>
      </w:pPr>
      <w:r w:rsidRPr="000665B0">
        <w:t xml:space="preserve">Click the </w:t>
      </w:r>
      <w:r w:rsidRPr="000665B0">
        <w:rPr>
          <w:bCs/>
        </w:rPr>
        <w:t>OK</w:t>
      </w:r>
      <w:r w:rsidRPr="000665B0">
        <w:t xml:space="preserve"> button in the print window.</w:t>
      </w:r>
    </w:p>
    <w:p w14:paraId="759B9082" w14:textId="4F74C27C" w:rsidR="00D64413" w:rsidRPr="000665B0" w:rsidRDefault="00D64413" w:rsidP="009570CA">
      <w:pPr>
        <w:pStyle w:val="Heading4"/>
      </w:pPr>
      <w:r w:rsidRPr="000665B0">
        <w:t>Clear All Log Entries</w:t>
      </w:r>
      <w:bookmarkEnd w:id="5182"/>
      <w:bookmarkEnd w:id="5183"/>
      <w:bookmarkEnd w:id="5184"/>
      <w:r w:rsidRPr="000665B0">
        <w:t xml:space="preserve"> (Admin and Local DB </w:t>
      </w:r>
      <w:r w:rsidR="00D33CF1" w:rsidRPr="000665B0">
        <w:t>Only</w:t>
      </w:r>
      <w:r w:rsidRPr="000665B0">
        <w:t>)</w:t>
      </w:r>
    </w:p>
    <w:p w14:paraId="6C03C056" w14:textId="77777777" w:rsidR="00D64413" w:rsidRPr="000665B0" w:rsidRDefault="00D64413" w:rsidP="009570CA">
      <w:r w:rsidRPr="000665B0">
        <w:t xml:space="preserve">From the </w:t>
      </w:r>
      <w:r w:rsidRPr="000665B0">
        <w:rPr>
          <w:b/>
        </w:rPr>
        <w:t xml:space="preserve">TED Utilities </w:t>
      </w:r>
      <w:r w:rsidRPr="000665B0">
        <w:t>Tool, an authorized operator can clear all Database Log Entries for a selected database.</w:t>
      </w:r>
    </w:p>
    <w:p w14:paraId="66F69FD9" w14:textId="77777777" w:rsidR="00D64413" w:rsidRPr="000665B0" w:rsidRDefault="00D64413" w:rsidP="006D5A65">
      <w:pPr>
        <w:pStyle w:val="Heading1"/>
      </w:pPr>
      <w:r w:rsidRPr="000665B0">
        <w:lastRenderedPageBreak/>
        <w:t xml:space="preserve">Navigate to the TED Utilities Tool, click on the </w:t>
      </w:r>
      <w:r w:rsidRPr="000665B0">
        <w:rPr>
          <w:i/>
        </w:rPr>
        <w:t>TED Logs</w:t>
      </w:r>
      <w:r w:rsidRPr="000665B0">
        <w:t xml:space="preserve"> tab and select a database from the list of databases in the left side tree view.</w:t>
      </w:r>
    </w:p>
    <w:p w14:paraId="1E5F245F" w14:textId="77777777" w:rsidR="00D64413" w:rsidRPr="000665B0" w:rsidRDefault="00D64413" w:rsidP="006D5A65">
      <w:pPr>
        <w:pStyle w:val="Heading1"/>
      </w:pPr>
      <w:r w:rsidRPr="000665B0">
        <w:t xml:space="preserve">From the File menu select </w:t>
      </w:r>
      <w:r w:rsidRPr="000665B0">
        <w:rPr>
          <w:bCs/>
        </w:rPr>
        <w:t>Clear All Log Entries.</w:t>
      </w:r>
    </w:p>
    <w:p w14:paraId="43031080" w14:textId="77777777" w:rsidR="00D64413" w:rsidRPr="000665B0" w:rsidRDefault="00D64413" w:rsidP="006D5A65">
      <w:pPr>
        <w:pStyle w:val="Heading1"/>
      </w:pPr>
      <w:r w:rsidRPr="000665B0">
        <w:t xml:space="preserve">Select YES from the </w:t>
      </w:r>
      <w:r w:rsidRPr="000665B0">
        <w:rPr>
          <w:i/>
        </w:rPr>
        <w:t>Clear All Database Log Entries</w:t>
      </w:r>
      <w:r w:rsidRPr="000665B0">
        <w:t xml:space="preserve"> confirmation window.</w:t>
      </w:r>
    </w:p>
    <w:p w14:paraId="679CDCFC" w14:textId="4D55FC4B" w:rsidR="00D64413" w:rsidRPr="000665B0" w:rsidRDefault="00D64413" w:rsidP="009570CA">
      <w:pPr>
        <w:pStyle w:val="Heading4"/>
      </w:pPr>
      <w:r w:rsidRPr="000665B0">
        <w:t xml:space="preserve">Delete (Admin and Local DB </w:t>
      </w:r>
      <w:r w:rsidR="00D33CF1" w:rsidRPr="000665B0">
        <w:t>Only</w:t>
      </w:r>
      <w:r w:rsidRPr="000665B0">
        <w:t>)</w:t>
      </w:r>
    </w:p>
    <w:p w14:paraId="07D68B43" w14:textId="2402699A" w:rsidR="002A5758" w:rsidRPr="000665B0" w:rsidRDefault="00F02F03" w:rsidP="009570CA">
      <w:r w:rsidRPr="000665B0">
        <w:t>See</w:t>
      </w:r>
      <w:r w:rsidR="002A5758" w:rsidRPr="000665B0">
        <w:t xml:space="preserve"> </w:t>
      </w:r>
      <w:hyperlink w:anchor="_5.2.1.6__Delete" w:history="1">
        <w:r w:rsidR="002A5758" w:rsidRPr="000665B0">
          <w:rPr>
            <w:rStyle w:val="Hyperlink"/>
          </w:rPr>
          <w:t>Section 5.2.1.6</w:t>
        </w:r>
      </w:hyperlink>
      <w:r w:rsidR="002A5758" w:rsidRPr="000665B0">
        <w:t>.</w:t>
      </w:r>
    </w:p>
    <w:p w14:paraId="4CA94967" w14:textId="1B9D34F9" w:rsidR="00D64413" w:rsidRPr="000665B0" w:rsidRDefault="00D64413" w:rsidP="009570CA">
      <w:pPr>
        <w:pStyle w:val="Heading3"/>
      </w:pPr>
      <w:bookmarkStart w:id="5185" w:name="_Toc159315384"/>
      <w:bookmarkStart w:id="5186" w:name="_Toc214283414"/>
      <w:bookmarkStart w:id="5187" w:name="_Toc97344821"/>
      <w:bookmarkStart w:id="5188" w:name="_Toc112733620"/>
      <w:bookmarkStart w:id="5189" w:name="_Toc289328670"/>
      <w:bookmarkStart w:id="5190" w:name="_Toc313609896"/>
      <w:bookmarkEnd w:id="5171"/>
      <w:bookmarkEnd w:id="5172"/>
      <w:r w:rsidRPr="000665B0">
        <w:t>TED Connections Tab</w:t>
      </w:r>
      <w:bookmarkEnd w:id="5185"/>
      <w:bookmarkEnd w:id="5186"/>
    </w:p>
    <w:p w14:paraId="1571D9E0" w14:textId="77777777" w:rsidR="00D64413" w:rsidRPr="000665B0" w:rsidRDefault="00D64413" w:rsidP="009570CA">
      <w:bookmarkStart w:id="5191" w:name="_Toc97344818"/>
      <w:bookmarkStart w:id="5192" w:name="_Toc112733619"/>
      <w:r w:rsidRPr="000665B0">
        <w:t xml:space="preserve">The </w:t>
      </w:r>
      <w:r w:rsidRPr="000665B0">
        <w:rPr>
          <w:b/>
          <w:i/>
        </w:rPr>
        <w:t>TED Connections</w:t>
      </w:r>
      <w:r w:rsidRPr="000665B0">
        <w:t xml:space="preserve"> tab provides database properties, connection status to web services and archive\restore information. </w:t>
      </w:r>
    </w:p>
    <w:bookmarkEnd w:id="5191"/>
    <w:bookmarkEnd w:id="5192"/>
    <w:p w14:paraId="4BC0179A" w14:textId="505270F4" w:rsidR="00D64413" w:rsidRPr="000665B0" w:rsidRDefault="00046849" w:rsidP="009570CA">
      <w:pPr>
        <w:jc w:val="center"/>
      </w:pPr>
      <w:r w:rsidRPr="000665B0">
        <w:rPr>
          <w:noProof/>
        </w:rPr>
        <w:drawing>
          <wp:inline distT="0" distB="0" distL="0" distR="0" wp14:anchorId="1E2F6E7E" wp14:editId="7CBBC9F0">
            <wp:extent cx="4983480" cy="2276856"/>
            <wp:effectExtent l="0" t="0" r="0" b="0"/>
            <wp:docPr id="1448" name="Picture 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2276856"/>
                    </a:xfrm>
                    <a:prstGeom prst="rect">
                      <a:avLst/>
                    </a:prstGeom>
                  </pic:spPr>
                </pic:pic>
              </a:graphicData>
            </a:graphic>
          </wp:inline>
        </w:drawing>
      </w:r>
    </w:p>
    <w:p w14:paraId="235655C0" w14:textId="77777777" w:rsidR="00D64413" w:rsidRPr="000665B0" w:rsidRDefault="00D64413" w:rsidP="00DC3AA7">
      <w:pPr>
        <w:keepNext/>
      </w:pPr>
      <w:r w:rsidRPr="000665B0">
        <w:lastRenderedPageBreak/>
        <w:t>The List View contains the following information:</w:t>
      </w:r>
    </w:p>
    <w:p w14:paraId="42246251" w14:textId="77777777" w:rsidR="00D64413" w:rsidRPr="000665B0" w:rsidRDefault="00D64413" w:rsidP="006D5A65">
      <w:pPr>
        <w:pStyle w:val="Heading1"/>
      </w:pPr>
      <w:r w:rsidRPr="000665B0">
        <w:t xml:space="preserve">Type </w:t>
      </w:r>
      <w:r w:rsidR="00D33CF1" w:rsidRPr="000665B0">
        <w:t>–</w:t>
      </w:r>
      <w:r w:rsidRPr="000665B0">
        <w:t xml:space="preserve"> The type of database (usually the same as the database name).</w:t>
      </w:r>
    </w:p>
    <w:p w14:paraId="08DCA6C7" w14:textId="77777777" w:rsidR="00D64413" w:rsidRPr="000665B0" w:rsidRDefault="00D64413" w:rsidP="006D5A65">
      <w:pPr>
        <w:pStyle w:val="Heading1"/>
      </w:pPr>
      <w:r w:rsidRPr="000665B0">
        <w:t>Connection Status – The DB Connection status – SUCCESS or the reason for the failure.</w:t>
      </w:r>
    </w:p>
    <w:p w14:paraId="13F6E29C" w14:textId="77777777" w:rsidR="00D64413" w:rsidRPr="000665B0" w:rsidRDefault="00D64413" w:rsidP="006D5A65">
      <w:pPr>
        <w:pStyle w:val="Heading1"/>
      </w:pPr>
      <w:r w:rsidRPr="000665B0">
        <w:t>Message Queue Status – The message Queue status – SUCCESS or the reason for the failure.</w:t>
      </w:r>
    </w:p>
    <w:p w14:paraId="016024A3" w14:textId="77777777" w:rsidR="00D64413" w:rsidRPr="000665B0" w:rsidRDefault="00D64413" w:rsidP="006D5A65">
      <w:pPr>
        <w:pStyle w:val="Heading1"/>
      </w:pPr>
      <w:r w:rsidRPr="000665B0">
        <w:t>SQLServer\Instance – The SQL Server Instance.</w:t>
      </w:r>
    </w:p>
    <w:p w14:paraId="606A29E6" w14:textId="77777777" w:rsidR="00D64413" w:rsidRPr="000665B0" w:rsidRDefault="00D64413" w:rsidP="006D5A65">
      <w:pPr>
        <w:pStyle w:val="Heading1"/>
      </w:pPr>
      <w:r w:rsidRPr="000665B0">
        <w:t>Database Name – The name of the database.</w:t>
      </w:r>
    </w:p>
    <w:p w14:paraId="63D64E98" w14:textId="77777777" w:rsidR="00D64413" w:rsidRPr="000665B0" w:rsidRDefault="00D64413" w:rsidP="006D5A65">
      <w:pPr>
        <w:pStyle w:val="Heading1"/>
      </w:pPr>
      <w:r w:rsidRPr="000665B0">
        <w:t>Last Archive DTG –When the database was last archived.</w:t>
      </w:r>
    </w:p>
    <w:p w14:paraId="2F92140E" w14:textId="77777777" w:rsidR="00D64413" w:rsidRPr="000665B0" w:rsidRDefault="00D64413" w:rsidP="006D5A65">
      <w:pPr>
        <w:pStyle w:val="Heading1"/>
      </w:pPr>
      <w:r w:rsidRPr="000665B0">
        <w:t>Last Archive Destination – Where the database was last archived.</w:t>
      </w:r>
    </w:p>
    <w:p w14:paraId="12183A13" w14:textId="77777777" w:rsidR="00D64413" w:rsidRPr="000665B0" w:rsidRDefault="00D64413" w:rsidP="006D5A65">
      <w:pPr>
        <w:pStyle w:val="Heading1"/>
      </w:pPr>
      <w:r w:rsidRPr="000665B0">
        <w:t>Last Restore DTG – When the database was last restored.</w:t>
      </w:r>
    </w:p>
    <w:p w14:paraId="4678AE56" w14:textId="77777777" w:rsidR="00D64413" w:rsidRPr="000665B0" w:rsidRDefault="00D64413" w:rsidP="006D5A65">
      <w:pPr>
        <w:pStyle w:val="Heading1"/>
      </w:pPr>
      <w:r w:rsidRPr="000665B0">
        <w:t xml:space="preserve">Last Restore </w:t>
      </w:r>
      <w:r w:rsidR="00D33CF1" w:rsidRPr="000665B0">
        <w:t xml:space="preserve">Source </w:t>
      </w:r>
      <w:r w:rsidRPr="000665B0">
        <w:t>– Where the database was last restored from.</w:t>
      </w:r>
    </w:p>
    <w:p w14:paraId="1EC5055E" w14:textId="76BC9CA3" w:rsidR="00D64413" w:rsidRPr="000665B0" w:rsidRDefault="00D64413" w:rsidP="009570CA">
      <w:pPr>
        <w:pStyle w:val="Heading4"/>
      </w:pPr>
      <w:r w:rsidRPr="000665B0">
        <w:t>Ping Message Queue</w:t>
      </w:r>
    </w:p>
    <w:p w14:paraId="076B9EC0" w14:textId="77777777" w:rsidR="00D64413" w:rsidRPr="000665B0" w:rsidRDefault="00D64413" w:rsidP="009570CA">
      <w:r w:rsidRPr="000665B0">
        <w:t xml:space="preserve">Sends a ping message to Web Services if a DB with Web Services was selected. </w:t>
      </w:r>
      <w:r w:rsidR="00C42CEB" w:rsidRPr="000665B0">
        <w:t xml:space="preserve">The example </w:t>
      </w:r>
      <w:r w:rsidRPr="000665B0">
        <w:t xml:space="preserve">below shows what happens if </w:t>
      </w:r>
      <w:r w:rsidR="005C5727" w:rsidRPr="000665B0">
        <w:t xml:space="preserve">a </w:t>
      </w:r>
      <w:r w:rsidRPr="000665B0">
        <w:t>Ping</w:t>
      </w:r>
      <w:r w:rsidR="005C5727" w:rsidRPr="000665B0">
        <w:t xml:space="preserve"> is </w:t>
      </w:r>
      <w:r w:rsidR="00C907B8" w:rsidRPr="000665B0">
        <w:t>sent</w:t>
      </w:r>
      <w:r w:rsidR="005C5727" w:rsidRPr="000665B0">
        <w:t xml:space="preserve"> to</w:t>
      </w:r>
      <w:r w:rsidRPr="000665B0">
        <w:t xml:space="preserve"> the TED_</w:t>
      </w:r>
      <w:r w:rsidR="00C42CEB" w:rsidRPr="000665B0">
        <w:t>PLATFORM_DB</w:t>
      </w:r>
      <w:r w:rsidRPr="000665B0">
        <w:t xml:space="preserve">. </w:t>
      </w:r>
    </w:p>
    <w:p w14:paraId="46B5D6AF" w14:textId="0253DA34" w:rsidR="00D64413" w:rsidRPr="000665B0" w:rsidRDefault="00F156DD" w:rsidP="009570CA">
      <w:pPr>
        <w:spacing w:after="240"/>
        <w:jc w:val="center"/>
      </w:pPr>
      <w:r w:rsidRPr="000665B0">
        <w:rPr>
          <w:noProof/>
        </w:rPr>
        <w:drawing>
          <wp:inline distT="0" distB="0" distL="0" distR="0" wp14:anchorId="136A3C85" wp14:editId="1B1D76D8">
            <wp:extent cx="2286000" cy="896112"/>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896112"/>
                    </a:xfrm>
                    <a:prstGeom prst="rect">
                      <a:avLst/>
                    </a:prstGeom>
                  </pic:spPr>
                </pic:pic>
              </a:graphicData>
            </a:graphic>
          </wp:inline>
        </w:drawing>
      </w:r>
    </w:p>
    <w:p w14:paraId="48F9D47C" w14:textId="65E6B77C" w:rsidR="00D64413" w:rsidRPr="000665B0" w:rsidRDefault="00F156DD" w:rsidP="009570CA">
      <w:pPr>
        <w:jc w:val="center"/>
      </w:pPr>
      <w:r w:rsidRPr="000665B0">
        <w:rPr>
          <w:noProof/>
        </w:rPr>
        <w:drawing>
          <wp:inline distT="0" distB="0" distL="0" distR="0" wp14:anchorId="6F71D984" wp14:editId="126B4F02">
            <wp:extent cx="1828800" cy="1005840"/>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005840"/>
                    </a:xfrm>
                    <a:prstGeom prst="rect">
                      <a:avLst/>
                    </a:prstGeom>
                  </pic:spPr>
                </pic:pic>
              </a:graphicData>
            </a:graphic>
          </wp:inline>
        </w:drawing>
      </w:r>
    </w:p>
    <w:p w14:paraId="33597BE1" w14:textId="5F19EB89" w:rsidR="00D64413" w:rsidRPr="000665B0" w:rsidRDefault="00F156DD" w:rsidP="009570CA">
      <w:pPr>
        <w:jc w:val="center"/>
      </w:pPr>
      <w:r w:rsidRPr="000665B0">
        <w:rPr>
          <w:noProof/>
        </w:rPr>
        <w:drawing>
          <wp:inline distT="0" distB="0" distL="0" distR="0" wp14:anchorId="448D6962" wp14:editId="420F6897">
            <wp:extent cx="1828800" cy="877824"/>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877824"/>
                    </a:xfrm>
                    <a:prstGeom prst="rect">
                      <a:avLst/>
                    </a:prstGeom>
                  </pic:spPr>
                </pic:pic>
              </a:graphicData>
            </a:graphic>
          </wp:inline>
        </w:drawing>
      </w:r>
    </w:p>
    <w:p w14:paraId="0AF2309F" w14:textId="006DCF4C" w:rsidR="00D64413" w:rsidRPr="000665B0" w:rsidRDefault="00F156DD" w:rsidP="009570CA">
      <w:pPr>
        <w:jc w:val="center"/>
        <w:rPr>
          <w:noProof/>
        </w:rPr>
      </w:pPr>
      <w:r w:rsidRPr="000665B0">
        <w:rPr>
          <w:noProof/>
        </w:rPr>
        <w:drawing>
          <wp:inline distT="0" distB="0" distL="0" distR="0" wp14:anchorId="1CD527A3" wp14:editId="147C5C08">
            <wp:extent cx="1828800" cy="1069848"/>
            <wp:effectExtent l="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069848"/>
                    </a:xfrm>
                    <a:prstGeom prst="rect">
                      <a:avLst/>
                    </a:prstGeom>
                  </pic:spPr>
                </pic:pic>
              </a:graphicData>
            </a:graphic>
          </wp:inline>
        </w:drawing>
      </w:r>
    </w:p>
    <w:p w14:paraId="198C6A5E" w14:textId="3CD21FC9" w:rsidR="00D64413" w:rsidRPr="000665B0" w:rsidRDefault="00D64413" w:rsidP="009570CA">
      <w:pPr>
        <w:pStyle w:val="Heading4"/>
      </w:pPr>
      <w:r w:rsidRPr="000665B0">
        <w:lastRenderedPageBreak/>
        <w:t>Display In Excel</w:t>
      </w:r>
    </w:p>
    <w:p w14:paraId="3AD9634D" w14:textId="77777777" w:rsidR="00D64413" w:rsidRPr="000665B0" w:rsidRDefault="007B14E7" w:rsidP="009570CA">
      <w:pPr>
        <w:spacing w:after="0"/>
        <w:rPr>
          <w:bCs/>
          <w:i/>
        </w:rPr>
      </w:pPr>
      <w:r w:rsidRPr="000665B0">
        <w:t xml:space="preserve">Select one or more items in the List View and select </w:t>
      </w:r>
      <w:r w:rsidRPr="000665B0">
        <w:rPr>
          <w:b/>
        </w:rPr>
        <w:t xml:space="preserve">Display </w:t>
      </w:r>
      <w:r w:rsidRPr="000665B0">
        <w:rPr>
          <w:b/>
        </w:rPr>
        <w:sym w:font="Wingdings 3" w:char="F07D"/>
      </w:r>
      <w:r w:rsidRPr="000665B0">
        <w:rPr>
          <w:b/>
        </w:rPr>
        <w:t xml:space="preserve"> in Excel</w:t>
      </w:r>
      <w:r w:rsidRPr="000665B0">
        <w:t xml:space="preserve"> from the context menu. The data is automatically formatted into a Microsoft Office document for reviewing the information prior to print</w:t>
      </w:r>
    </w:p>
    <w:p w14:paraId="40C361EE" w14:textId="641A448C" w:rsidR="00D64413" w:rsidRPr="000665B0" w:rsidRDefault="00D64413" w:rsidP="009570CA">
      <w:pPr>
        <w:pStyle w:val="Heading4"/>
      </w:pPr>
      <w:r w:rsidRPr="000665B0">
        <w:t xml:space="preserve">Print </w:t>
      </w:r>
    </w:p>
    <w:p w14:paraId="2290C2F3" w14:textId="77777777" w:rsidR="00D64413" w:rsidRPr="000665B0" w:rsidRDefault="007B14E7" w:rsidP="009570CA">
      <w:pPr>
        <w:spacing w:after="0"/>
        <w:rPr>
          <w:bCs/>
          <w:i/>
        </w:rPr>
      </w:pPr>
      <w:r w:rsidRPr="000665B0">
        <w:t xml:space="preserve">Select one or more items in the List View, select </w:t>
      </w:r>
      <w:r w:rsidRPr="000665B0">
        <w:rPr>
          <w:b/>
        </w:rPr>
        <w:t>Print</w:t>
      </w:r>
      <w:r w:rsidRPr="000665B0">
        <w:t xml:space="preserve"> from the context menu, and click </w:t>
      </w:r>
      <w:r w:rsidRPr="000665B0">
        <w:rPr>
          <w:b/>
        </w:rPr>
        <w:t>OK</w:t>
      </w:r>
      <w:r w:rsidRPr="000665B0">
        <w:t xml:space="preserve"> in the ensuing </w:t>
      </w:r>
      <w:r w:rsidRPr="000665B0">
        <w:rPr>
          <w:i/>
        </w:rPr>
        <w:t>Print</w:t>
      </w:r>
      <w:r w:rsidRPr="000665B0">
        <w:t xml:space="preserve"> window.</w:t>
      </w:r>
    </w:p>
    <w:p w14:paraId="2693B5CD" w14:textId="790606BA" w:rsidR="002A5758" w:rsidRPr="000665B0" w:rsidRDefault="002A5758" w:rsidP="009570CA">
      <w:pPr>
        <w:pStyle w:val="Heading3"/>
      </w:pPr>
      <w:bookmarkStart w:id="5193" w:name="_Toc97344822"/>
      <w:bookmarkStart w:id="5194" w:name="_Toc112733621"/>
      <w:bookmarkStart w:id="5195" w:name="_Toc289328672"/>
      <w:bookmarkStart w:id="5196" w:name="_Toc313609897"/>
      <w:bookmarkStart w:id="5197" w:name="_Toc214283415"/>
      <w:bookmarkEnd w:id="5187"/>
      <w:bookmarkEnd w:id="5188"/>
      <w:bookmarkEnd w:id="5189"/>
      <w:bookmarkEnd w:id="5190"/>
      <w:r w:rsidRPr="000665B0">
        <w:t>Properties</w:t>
      </w:r>
      <w:bookmarkEnd w:id="5193"/>
      <w:bookmarkEnd w:id="5194"/>
      <w:bookmarkEnd w:id="5195"/>
      <w:bookmarkEnd w:id="5196"/>
      <w:bookmarkEnd w:id="5197"/>
    </w:p>
    <w:p w14:paraId="0BB244EE" w14:textId="2DE13C72" w:rsidR="002A5758" w:rsidRPr="000665B0" w:rsidRDefault="00F02F03" w:rsidP="009570CA">
      <w:r w:rsidRPr="000665B0">
        <w:t>See</w:t>
      </w:r>
      <w:r w:rsidR="002A5758" w:rsidRPr="000665B0">
        <w:t xml:space="preserve"> </w:t>
      </w:r>
      <w:hyperlink w:anchor="_5.2.3.4__Properties" w:history="1">
        <w:r w:rsidR="00A75813" w:rsidRPr="000665B0">
          <w:rPr>
            <w:rStyle w:val="Hyperlink"/>
          </w:rPr>
          <w:t>Section 5.2.3.5</w:t>
        </w:r>
      </w:hyperlink>
      <w:r w:rsidR="002A5758" w:rsidRPr="000665B0">
        <w:t>.</w:t>
      </w:r>
    </w:p>
    <w:p w14:paraId="510B0E90" w14:textId="773CF857" w:rsidR="002A5758" w:rsidRPr="000665B0" w:rsidRDefault="002A5758" w:rsidP="009570CA">
      <w:pPr>
        <w:pStyle w:val="Heading3"/>
      </w:pPr>
      <w:bookmarkStart w:id="5198" w:name="_Toc112733622"/>
      <w:bookmarkStart w:id="5199" w:name="_Toc289328673"/>
      <w:bookmarkStart w:id="5200" w:name="_Toc313609898"/>
      <w:bookmarkStart w:id="5201" w:name="_Toc214283416"/>
      <w:bookmarkStart w:id="5202" w:name="_Toc97344823"/>
      <w:r w:rsidRPr="000665B0">
        <w:t>Sort</w:t>
      </w:r>
      <w:bookmarkEnd w:id="5198"/>
      <w:bookmarkEnd w:id="5199"/>
      <w:bookmarkEnd w:id="5200"/>
      <w:bookmarkEnd w:id="5201"/>
    </w:p>
    <w:p w14:paraId="303A9BAE" w14:textId="79B9DC9A" w:rsidR="002A5758" w:rsidRPr="000665B0" w:rsidRDefault="00F02F03" w:rsidP="009570CA">
      <w:r w:rsidRPr="000665B0">
        <w:t>See</w:t>
      </w:r>
      <w:r w:rsidR="002A5758" w:rsidRPr="000665B0">
        <w:t xml:space="preserve"> </w:t>
      </w:r>
      <w:hyperlink w:anchor="_5.2.3.4.1__Sort" w:history="1">
        <w:r w:rsidR="00A75813" w:rsidRPr="000665B0">
          <w:rPr>
            <w:rStyle w:val="Hyperlink"/>
          </w:rPr>
          <w:t>Section 5.2.3.5</w:t>
        </w:r>
        <w:r w:rsidR="00227F8B" w:rsidRPr="000665B0">
          <w:rPr>
            <w:rStyle w:val="Hyperlink"/>
          </w:rPr>
          <w:t>.1</w:t>
        </w:r>
      </w:hyperlink>
      <w:r w:rsidR="002A5758" w:rsidRPr="000665B0">
        <w:t>.</w:t>
      </w:r>
    </w:p>
    <w:p w14:paraId="5373353B" w14:textId="79101BA9" w:rsidR="002A5758" w:rsidRPr="000665B0" w:rsidRDefault="002A5758" w:rsidP="009570CA">
      <w:pPr>
        <w:pStyle w:val="Heading3"/>
      </w:pPr>
      <w:bookmarkStart w:id="5203" w:name="_Toc112733623"/>
      <w:bookmarkStart w:id="5204" w:name="_Toc289328674"/>
      <w:bookmarkStart w:id="5205" w:name="_Toc313609899"/>
      <w:bookmarkStart w:id="5206" w:name="_Toc214283417"/>
      <w:r w:rsidRPr="000665B0">
        <w:t>Find</w:t>
      </w:r>
      <w:bookmarkEnd w:id="5202"/>
      <w:bookmarkEnd w:id="5203"/>
      <w:bookmarkEnd w:id="5204"/>
      <w:bookmarkEnd w:id="5205"/>
      <w:bookmarkEnd w:id="5206"/>
    </w:p>
    <w:p w14:paraId="05CDFC2B" w14:textId="3E26BEA8" w:rsidR="002A5758" w:rsidRPr="000665B0" w:rsidRDefault="00F02F03" w:rsidP="009570CA">
      <w:r w:rsidRPr="000665B0">
        <w:t>See</w:t>
      </w:r>
      <w:r w:rsidR="002A5758" w:rsidRPr="000665B0">
        <w:t xml:space="preserve"> </w:t>
      </w:r>
      <w:hyperlink w:anchor="_5.2.5.1__Find_1" w:history="1">
        <w:r w:rsidR="002A5758" w:rsidRPr="000665B0">
          <w:rPr>
            <w:rStyle w:val="Hyperlink"/>
          </w:rPr>
          <w:t>Section 5.2.5.1</w:t>
        </w:r>
      </w:hyperlink>
      <w:r w:rsidR="002A5758" w:rsidRPr="000665B0">
        <w:t>.</w:t>
      </w:r>
    </w:p>
    <w:p w14:paraId="4B8FF8FA" w14:textId="77777777" w:rsidR="0008399B" w:rsidRPr="000665B0" w:rsidRDefault="0008399B" w:rsidP="009570CA">
      <w:pPr>
        <w:pStyle w:val="Heading3"/>
      </w:pPr>
      <w:bookmarkStart w:id="5207" w:name="_Toc214283418"/>
      <w:r w:rsidRPr="000665B0">
        <w:t>Plugin Tool</w:t>
      </w:r>
      <w:bookmarkEnd w:id="5207"/>
    </w:p>
    <w:p w14:paraId="4971227B" w14:textId="447145BF" w:rsidR="0008399B" w:rsidRPr="000665B0" w:rsidRDefault="00F02F03" w:rsidP="009570CA">
      <w:r w:rsidRPr="000665B0">
        <w:t>See</w:t>
      </w:r>
      <w:r w:rsidR="0008399B" w:rsidRPr="000665B0">
        <w:t xml:space="preserve"> </w:t>
      </w:r>
      <w:hyperlink w:anchor="_Plugin__Tool" w:history="1">
        <w:r w:rsidR="0008399B" w:rsidRPr="000665B0">
          <w:rPr>
            <w:rStyle w:val="Hyperlink"/>
          </w:rPr>
          <w:t>Section 5.2.5.2</w:t>
        </w:r>
      </w:hyperlink>
      <w:r w:rsidR="0008399B" w:rsidRPr="000665B0">
        <w:t>.</w:t>
      </w:r>
    </w:p>
    <w:p w14:paraId="4A4FA808" w14:textId="7A021E8C" w:rsidR="002A5758" w:rsidRPr="000665B0" w:rsidRDefault="002A5758" w:rsidP="009570CA">
      <w:pPr>
        <w:pStyle w:val="Heading3"/>
      </w:pPr>
      <w:bookmarkStart w:id="5208" w:name="_Toc97344824"/>
      <w:bookmarkStart w:id="5209" w:name="_Toc112733624"/>
      <w:bookmarkStart w:id="5210" w:name="_Toc289328675"/>
      <w:bookmarkStart w:id="5211" w:name="_Toc313609900"/>
      <w:bookmarkStart w:id="5212" w:name="_Toc214283419"/>
      <w:r w:rsidRPr="000665B0">
        <w:t>Print All</w:t>
      </w:r>
      <w:bookmarkEnd w:id="5208"/>
      <w:bookmarkEnd w:id="5209"/>
      <w:bookmarkEnd w:id="5210"/>
      <w:bookmarkEnd w:id="5211"/>
      <w:bookmarkEnd w:id="5212"/>
    </w:p>
    <w:p w14:paraId="6CEE0D66" w14:textId="7810EF58" w:rsidR="002A5758" w:rsidRPr="000665B0" w:rsidRDefault="00F02F03" w:rsidP="009570CA">
      <w:r w:rsidRPr="000665B0">
        <w:t>See</w:t>
      </w:r>
      <w:r w:rsidR="002A5758" w:rsidRPr="000665B0">
        <w:t xml:space="preserve"> </w:t>
      </w:r>
      <w:hyperlink w:anchor="_5.2.1.5__Print" w:history="1">
        <w:r w:rsidR="002A5758" w:rsidRPr="000665B0">
          <w:rPr>
            <w:rStyle w:val="Hyperlink"/>
          </w:rPr>
          <w:t>Section 5.2.1.5</w:t>
        </w:r>
      </w:hyperlink>
      <w:r w:rsidR="002A5758" w:rsidRPr="000665B0">
        <w:t>.</w:t>
      </w:r>
    </w:p>
    <w:p w14:paraId="038501BD" w14:textId="3E5AE050" w:rsidR="002A5758" w:rsidRPr="000665B0" w:rsidRDefault="002A5758" w:rsidP="009570CA">
      <w:pPr>
        <w:pStyle w:val="Heading3"/>
      </w:pPr>
      <w:bookmarkStart w:id="5213" w:name="_Toc97344825"/>
      <w:bookmarkStart w:id="5214" w:name="_Toc112733625"/>
      <w:bookmarkStart w:id="5215" w:name="_Toc289328676"/>
      <w:bookmarkStart w:id="5216" w:name="_Toc313609901"/>
      <w:bookmarkStart w:id="5217" w:name="_Toc214283420"/>
      <w:r w:rsidRPr="000665B0">
        <w:t>Display All in Excel</w:t>
      </w:r>
      <w:bookmarkEnd w:id="5213"/>
      <w:bookmarkEnd w:id="5214"/>
      <w:bookmarkEnd w:id="5215"/>
      <w:bookmarkEnd w:id="5216"/>
      <w:bookmarkEnd w:id="5217"/>
    </w:p>
    <w:p w14:paraId="20A0508E" w14:textId="6C4A8E2E" w:rsidR="002A5758" w:rsidRPr="000665B0" w:rsidRDefault="00F02F03" w:rsidP="009570CA">
      <w:r w:rsidRPr="000665B0">
        <w:t>See</w:t>
      </w:r>
      <w:r w:rsidR="002A5758" w:rsidRPr="000665B0">
        <w:t xml:space="preserve"> </w:t>
      </w:r>
      <w:hyperlink w:anchor="_5.2.1.2.1__Display_1" w:history="1">
        <w:r w:rsidR="002A5758" w:rsidRPr="000665B0">
          <w:rPr>
            <w:rStyle w:val="Hyperlink"/>
          </w:rPr>
          <w:t>Section 5.2.1.2.1</w:t>
        </w:r>
      </w:hyperlink>
      <w:r w:rsidR="002A5758" w:rsidRPr="000665B0">
        <w:t>.</w:t>
      </w:r>
    </w:p>
    <w:p w14:paraId="413F2776" w14:textId="5256CF74" w:rsidR="002A5758" w:rsidRPr="000665B0" w:rsidRDefault="002A5758" w:rsidP="009570CA">
      <w:pPr>
        <w:pStyle w:val="Heading3"/>
      </w:pPr>
      <w:bookmarkStart w:id="5218" w:name="_Toc97344826"/>
      <w:bookmarkStart w:id="5219" w:name="_Toc112733626"/>
      <w:bookmarkStart w:id="5220" w:name="_Toc289328677"/>
      <w:bookmarkStart w:id="5221" w:name="_Toc313609902"/>
      <w:bookmarkStart w:id="5222" w:name="_Toc214283421"/>
      <w:r w:rsidRPr="000665B0">
        <w:t>Select All</w:t>
      </w:r>
      <w:bookmarkEnd w:id="5218"/>
      <w:bookmarkEnd w:id="5219"/>
      <w:bookmarkEnd w:id="5220"/>
      <w:bookmarkEnd w:id="5221"/>
      <w:bookmarkEnd w:id="5222"/>
    </w:p>
    <w:p w14:paraId="2ED9A579" w14:textId="64D88069" w:rsidR="002A5758" w:rsidRPr="000665B0" w:rsidRDefault="00F02F03" w:rsidP="009570CA">
      <w:r w:rsidRPr="000665B0">
        <w:t>See</w:t>
      </w:r>
      <w:r w:rsidR="002A5758" w:rsidRPr="000665B0">
        <w:t xml:space="preserve"> </w:t>
      </w:r>
      <w:hyperlink w:anchor="_5.2.2.1__Select_1" w:history="1">
        <w:r w:rsidR="002A5758" w:rsidRPr="000665B0">
          <w:rPr>
            <w:rStyle w:val="Hyperlink"/>
          </w:rPr>
          <w:t>Section 5.2.2.1</w:t>
        </w:r>
      </w:hyperlink>
      <w:r w:rsidR="002A5758" w:rsidRPr="000665B0">
        <w:t>.</w:t>
      </w:r>
    </w:p>
    <w:p w14:paraId="6EADD0FF" w14:textId="67616DEE" w:rsidR="006F4B6D" w:rsidRPr="000665B0" w:rsidRDefault="006F4B6D" w:rsidP="009570CA">
      <w:pPr>
        <w:pStyle w:val="Heading3"/>
        <w:keepNext w:val="0"/>
      </w:pPr>
      <w:bookmarkStart w:id="5223" w:name="_Toc214283422"/>
      <w:r w:rsidRPr="000665B0">
        <w:t>Receive File</w:t>
      </w:r>
      <w:bookmarkEnd w:id="5223"/>
    </w:p>
    <w:p w14:paraId="7C5E9FAE" w14:textId="3A5CC8A0" w:rsidR="006F4B6D" w:rsidRPr="000665B0" w:rsidRDefault="00F02F03" w:rsidP="009570CA">
      <w:r w:rsidRPr="000665B0">
        <w:t>See</w:t>
      </w:r>
      <w:r w:rsidR="006F4B6D" w:rsidRPr="000665B0">
        <w:t xml:space="preserve"> </w:t>
      </w:r>
      <w:hyperlink w:anchor="_5.2.1.7__Receive" w:history="1">
        <w:r w:rsidR="006F4B6D" w:rsidRPr="000665B0">
          <w:rPr>
            <w:rStyle w:val="Hyperlink"/>
          </w:rPr>
          <w:t>Section 5.2.1.7</w:t>
        </w:r>
      </w:hyperlink>
      <w:r w:rsidR="006F4B6D" w:rsidRPr="000665B0">
        <w:t>.</w:t>
      </w:r>
    </w:p>
    <w:bookmarkEnd w:id="5143"/>
    <w:bookmarkEnd w:id="5144"/>
    <w:bookmarkEnd w:id="5145"/>
    <w:p w14:paraId="1FF49FFF" w14:textId="77777777" w:rsidR="00A316EA" w:rsidRDefault="00A316EA" w:rsidP="006966D9">
      <w:pPr>
        <w:pStyle w:val="Heading2"/>
      </w:pPr>
      <w:r>
        <w:br w:type="page"/>
      </w:r>
      <w:bookmarkStart w:id="5224" w:name="_5.30__GEO"/>
      <w:bookmarkStart w:id="5225" w:name="_GEO_DISPLAY_TOOL"/>
      <w:bookmarkStart w:id="5226" w:name="_Toc214283423"/>
      <w:bookmarkEnd w:id="5146"/>
      <w:bookmarkEnd w:id="5224"/>
      <w:bookmarkEnd w:id="5225"/>
      <w:r w:rsidR="005D1A26" w:rsidRPr="000665B0">
        <w:lastRenderedPageBreak/>
        <w:t>GEO DISPLAY TOOL</w:t>
      </w:r>
      <w:bookmarkEnd w:id="5147"/>
      <w:bookmarkEnd w:id="5148"/>
      <w:bookmarkEnd w:id="5149"/>
      <w:bookmarkEnd w:id="5150"/>
      <w:bookmarkEnd w:id="5151"/>
      <w:bookmarkEnd w:id="5226"/>
    </w:p>
    <w:p w14:paraId="640D1784" w14:textId="77777777" w:rsidR="005E7675" w:rsidRPr="000665B0" w:rsidRDefault="005E7675" w:rsidP="009570CA">
      <w:r w:rsidRPr="000665B0">
        <w:t xml:space="preserve">The Geo Display presents a two-dimensional world view in two projections: Cylindrical Equidistant and Azimuthal Equidistant. The Cylindrical Equidistant projection is used primarily for high-resolution views. The Azimuthal Equidistant projection is used primarily for low-resolution views and polar views. The system adjusts the projection automatically based on the center latitude and scale of the display. Although the display is presented in two dimensions, the logical view is cylindrical. Therefore, the maximum viewable area does not exceed about one-third of the Earth’s surface. The scale of the view is normally presented in nautical miles, measured from the map center to its right-hand edge, with a maximum value of 5,000 nautical miles and a minimum of about 0.01 nautical miles, or 60 feet. Latitude and Longitude lines are displayed automatically and adjusted to match the scale. </w:t>
      </w:r>
    </w:p>
    <w:p w14:paraId="654C1A03" w14:textId="4C291A80" w:rsidR="005E7675" w:rsidRPr="000665B0" w:rsidRDefault="005E7675" w:rsidP="009570CA">
      <w:r w:rsidRPr="000665B0">
        <w:t>The Geo Display is the primary method for geographically viewing and analyzing Missions, Targets, Platforms, Strike Options, TERCOMs, DSMACs, Overlays, Threats, Air Plans, TMPRs, ACMSs</w:t>
      </w:r>
      <w:r w:rsidR="00EF3C0F" w:rsidRPr="000665B0">
        <w:t>, and Tracks</w:t>
      </w:r>
      <w:r w:rsidRPr="000665B0">
        <w:t>. Data is added to the display in layers to present information to the user in the most optimal way. The worldview is drawn first, either as coastlines or filled land. If digital maps or imagery are present for the region of interest, this is drawn on top of the Vector Product Format (</w:t>
      </w:r>
      <w:r w:rsidRPr="000665B0">
        <w:rPr>
          <w:b/>
        </w:rPr>
        <w:t>VPF</w:t>
      </w:r>
      <w:r w:rsidRPr="000665B0">
        <w:t>) data. Lastly, the TLAM or threat data is layered on top.</w:t>
      </w:r>
    </w:p>
    <w:p w14:paraId="338ED6FB" w14:textId="75AB2F56" w:rsidR="005E7675" w:rsidRPr="000665B0" w:rsidRDefault="005E7675" w:rsidP="009570CA">
      <w:r w:rsidRPr="000665B0">
        <w:t>The Geo Display allows the user to display data on top of vector and raster map data. For more information on map data, see</w:t>
      </w:r>
      <w:r w:rsidR="00300605" w:rsidRPr="000665B0">
        <w:t xml:space="preserve"> </w:t>
      </w:r>
      <w:hyperlink w:anchor="_5.30.7.2.4__Configuring" w:history="1">
        <w:r w:rsidR="00300605" w:rsidRPr="000665B0">
          <w:rPr>
            <w:rStyle w:val="Hyperlink"/>
          </w:rPr>
          <w:t xml:space="preserve">Section </w:t>
        </w:r>
        <w:r w:rsidR="004231CC">
          <w:rPr>
            <w:rStyle w:val="Hyperlink"/>
          </w:rPr>
          <w:t>5.26</w:t>
        </w:r>
        <w:r w:rsidR="00300605" w:rsidRPr="000665B0">
          <w:rPr>
            <w:rStyle w:val="Hyperlink"/>
          </w:rPr>
          <w:t>.7.2.4</w:t>
        </w:r>
      </w:hyperlink>
      <w:r w:rsidR="00300605" w:rsidRPr="000665B0">
        <w:t>.</w:t>
      </w:r>
    </w:p>
    <w:p w14:paraId="09DA389F" w14:textId="77777777" w:rsidR="005E7675" w:rsidRPr="000665B0" w:rsidRDefault="005E7675" w:rsidP="009570CA">
      <w:r w:rsidRPr="000665B0">
        <w:t>The Geo Display provides many display features and tools, accessed via pull down and popup menus, accelerator keys, and context menus.</w:t>
      </w:r>
    </w:p>
    <w:p w14:paraId="13BAF2A6" w14:textId="1F529C2F" w:rsidR="005E7675" w:rsidRPr="000665B0" w:rsidRDefault="005E7675" w:rsidP="009570CA">
      <w:r w:rsidRPr="000665B0">
        <w:t>The Geo Display Tool has two functional displays, which allow the user to quickly display or hide layers of information. They are the Geo Object Manager</w:t>
      </w:r>
      <w:r w:rsidR="00F156DD" w:rsidRPr="000665B0">
        <w:t xml:space="preserve"> (GOM) (see </w:t>
      </w:r>
      <w:hyperlink w:anchor="_Display_Geo_Object" w:history="1">
        <w:r w:rsidR="00F156DD" w:rsidRPr="000665B0">
          <w:rPr>
            <w:rStyle w:val="Hyperlink"/>
          </w:rPr>
          <w:t xml:space="preserve">Section </w:t>
        </w:r>
        <w:r w:rsidR="004231CC">
          <w:rPr>
            <w:rStyle w:val="Hyperlink"/>
          </w:rPr>
          <w:t>5.26</w:t>
        </w:r>
        <w:r w:rsidR="00F156DD" w:rsidRPr="000665B0">
          <w:rPr>
            <w:rStyle w:val="Hyperlink"/>
          </w:rPr>
          <w:t>.2.2.</w:t>
        </w:r>
        <w:r w:rsidR="00EF3C0F" w:rsidRPr="000665B0">
          <w:rPr>
            <w:rStyle w:val="Hyperlink"/>
          </w:rPr>
          <w:t>9</w:t>
        </w:r>
      </w:hyperlink>
      <w:r w:rsidR="00F156DD" w:rsidRPr="000665B0">
        <w:t>)</w:t>
      </w:r>
      <w:r w:rsidRPr="000665B0">
        <w:t xml:space="preserve"> and the Geographic Display. The Geo Display Status bar at the bottom of the window contains the latitude and longitude of the cursor position, and map scale.</w:t>
      </w:r>
    </w:p>
    <w:p w14:paraId="05FB7757" w14:textId="77777777" w:rsidR="00406CEB" w:rsidRPr="000665B0" w:rsidRDefault="00406CEB" w:rsidP="009570CA">
      <w:r w:rsidRPr="000665B0">
        <w:t xml:space="preserve">To display the </w:t>
      </w:r>
      <w:r w:rsidRPr="000665B0">
        <w:rPr>
          <w:i/>
        </w:rPr>
        <w:t>Geo</w:t>
      </w:r>
      <w:r w:rsidR="00C94E2C" w:rsidRPr="000665B0">
        <w:rPr>
          <w:i/>
        </w:rPr>
        <w:t xml:space="preserve"> Display </w:t>
      </w:r>
      <w:r w:rsidRPr="000665B0">
        <w:t>window:</w:t>
      </w:r>
    </w:p>
    <w:p w14:paraId="1B1DFE74" w14:textId="20233F8D" w:rsidR="005E7675" w:rsidRPr="000665B0" w:rsidRDefault="005E7675" w:rsidP="009570CA">
      <w:pPr>
        <w:ind w:left="360"/>
      </w:pPr>
      <w:r w:rsidRPr="000665B0">
        <w:t xml:space="preserve">From the </w:t>
      </w:r>
      <w:r w:rsidRPr="000665B0">
        <w:rPr>
          <w:b/>
        </w:rPr>
        <w:t>Go</w:t>
      </w:r>
      <w:r w:rsidRPr="000665B0">
        <w:t xml:space="preserve"> menu select </w:t>
      </w:r>
      <w:r w:rsidRPr="000665B0">
        <w:rPr>
          <w:b/>
        </w:rPr>
        <w:t>Geo Display</w:t>
      </w:r>
      <w:r w:rsidRPr="000665B0">
        <w:t>.</w:t>
      </w:r>
      <w:r w:rsidR="00F156DD" w:rsidRPr="000665B0">
        <w:t xml:space="preserve"> (Although the Geo Display can be invoked directly from the </w:t>
      </w:r>
      <w:r w:rsidR="00F156DD" w:rsidRPr="000665B0">
        <w:rPr>
          <w:b/>
        </w:rPr>
        <w:t>Go</w:t>
      </w:r>
      <w:r w:rsidR="00F156DD" w:rsidRPr="000665B0">
        <w:t xml:space="preserve"> menu, it is typically invoked from within other MDS tools.)</w:t>
      </w:r>
    </w:p>
    <w:p w14:paraId="68B7644E" w14:textId="63D6C732" w:rsidR="00406CEB" w:rsidRPr="000665B0" w:rsidRDefault="00F156DD" w:rsidP="009570CA">
      <w:pPr>
        <w:jc w:val="center"/>
      </w:pPr>
      <w:r w:rsidRPr="000665B0">
        <w:rPr>
          <w:noProof/>
        </w:rPr>
        <w:drawing>
          <wp:inline distT="0" distB="0" distL="0" distR="0" wp14:anchorId="1C4B8708" wp14:editId="384912F9">
            <wp:extent cx="4983480" cy="2450592"/>
            <wp:effectExtent l="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2450592"/>
                    </a:xfrm>
                    <a:prstGeom prst="rect">
                      <a:avLst/>
                    </a:prstGeom>
                  </pic:spPr>
                </pic:pic>
              </a:graphicData>
            </a:graphic>
          </wp:inline>
        </w:drawing>
      </w:r>
    </w:p>
    <w:p w14:paraId="5E8FFF11" w14:textId="4076C42C" w:rsidR="00DD6218" w:rsidRPr="000665B0" w:rsidRDefault="005E7675" w:rsidP="009570CA">
      <w:pPr>
        <w:pStyle w:val="Heading3"/>
      </w:pPr>
      <w:bookmarkStart w:id="5227" w:name="_5.30.1__Map_Data"/>
      <w:bookmarkStart w:id="5228" w:name="_Toc214283424"/>
      <w:bookmarkStart w:id="5229" w:name="_Toc112733632"/>
      <w:bookmarkStart w:id="5230" w:name="_Toc159315397"/>
      <w:bookmarkStart w:id="5231" w:name="_Toc71955645"/>
      <w:bookmarkEnd w:id="5227"/>
      <w:r w:rsidRPr="000665B0">
        <w:lastRenderedPageBreak/>
        <w:t>Create</w:t>
      </w:r>
      <w:r w:rsidR="0024776B" w:rsidRPr="000665B0">
        <w:t xml:space="preserve"> New ACMS or Overlay</w:t>
      </w:r>
      <w:bookmarkEnd w:id="5228"/>
    </w:p>
    <w:p w14:paraId="55391D3F" w14:textId="77777777" w:rsidR="00DD6218" w:rsidRPr="000665B0" w:rsidRDefault="00DD6218" w:rsidP="009570CA">
      <w:pPr>
        <w:spacing w:after="0"/>
      </w:pPr>
      <w:r w:rsidRPr="000665B0">
        <w:t xml:space="preserve">A new ACMS or Overlay can be created. </w:t>
      </w:r>
    </w:p>
    <w:p w14:paraId="0B23CD36" w14:textId="71BB9297" w:rsidR="00DD6218" w:rsidRPr="000665B0" w:rsidRDefault="00DD6218" w:rsidP="009570CA">
      <w:pPr>
        <w:pStyle w:val="Heading4"/>
      </w:pPr>
      <w:bookmarkStart w:id="5232" w:name="_Toc289328680"/>
      <w:r w:rsidRPr="000665B0">
        <w:t>Create ACMS</w:t>
      </w:r>
      <w:bookmarkEnd w:id="5232"/>
    </w:p>
    <w:p w14:paraId="7784437E" w14:textId="77777777" w:rsidR="00DD6218" w:rsidRPr="000665B0" w:rsidRDefault="005E7675" w:rsidP="009570CA">
      <w:r w:rsidRPr="000665B0">
        <w:t xml:space="preserve">From the </w:t>
      </w:r>
      <w:r w:rsidRPr="000665B0">
        <w:rPr>
          <w:b/>
          <w:bCs/>
        </w:rPr>
        <w:t>File</w:t>
      </w:r>
      <w:r w:rsidRPr="000665B0">
        <w:t xml:space="preserve"> menu, select </w:t>
      </w:r>
      <w:r w:rsidRPr="000665B0">
        <w:rPr>
          <w:b/>
          <w:bCs/>
        </w:rPr>
        <w:t xml:space="preserve">New </w:t>
      </w:r>
      <w:r w:rsidRPr="000665B0">
        <w:rPr>
          <w:rFonts w:ascii="Arial" w:hAnsi="Arial" w:cs="Arial"/>
          <w:sz w:val="20"/>
        </w:rPr>
        <w:t>►</w:t>
      </w:r>
      <w:r w:rsidRPr="000665B0">
        <w:rPr>
          <w:b/>
          <w:bCs/>
        </w:rPr>
        <w:t xml:space="preserve"> ACMS</w:t>
      </w:r>
      <w:r w:rsidRPr="000665B0">
        <w:t xml:space="preserve">, or select </w:t>
      </w:r>
      <w:r w:rsidRPr="000665B0">
        <w:rPr>
          <w:b/>
        </w:rPr>
        <w:t>ACMS</w:t>
      </w:r>
      <w:r w:rsidRPr="000665B0">
        <w:t xml:space="preserve"> from the </w:t>
      </w:r>
      <w:r w:rsidR="004F3F3B" w:rsidRPr="000665B0">
        <w:rPr>
          <w:b/>
        </w:rPr>
        <w:t xml:space="preserve">New </w:t>
      </w:r>
      <w:r w:rsidR="004F3F3B" w:rsidRPr="000665B0">
        <w:rPr>
          <w:b/>
          <w:noProof/>
        </w:rPr>
        <w:drawing>
          <wp:inline distT="0" distB="0" distL="0" distR="0" wp14:anchorId="6FFB0B0D" wp14:editId="266142E2">
            <wp:extent cx="133985" cy="133985"/>
            <wp:effectExtent l="0" t="0" r="0"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33985" cy="133985"/>
                    </a:xfrm>
                    <a:prstGeom prst="rect">
                      <a:avLst/>
                    </a:prstGeom>
                    <a:noFill/>
                    <a:ln>
                      <a:noFill/>
                    </a:ln>
                  </pic:spPr>
                </pic:pic>
              </a:graphicData>
            </a:graphic>
          </wp:inline>
        </w:drawing>
      </w:r>
      <w:r w:rsidR="004F3F3B" w:rsidRPr="000665B0">
        <w:rPr>
          <w:b/>
        </w:rPr>
        <w:t xml:space="preserve"> </w:t>
      </w:r>
      <w:r w:rsidR="004F3F3B" w:rsidRPr="000665B0">
        <w:t xml:space="preserve">icon </w:t>
      </w:r>
      <w:r w:rsidRPr="000665B0">
        <w:t>pull down on the toolbar. This opens the Geographic display with the editing tools on the right side of the display. The tools are used to add a geographic object describing the location and shape of the ACMS including lines, polygons, ellipses, rectangles, sectors, arcs, text, and symbols. Changing colors, thickness and/or style of outlines or fills may enhance the objects.</w:t>
      </w:r>
    </w:p>
    <w:p w14:paraId="281E1F6D" w14:textId="77777777" w:rsidR="00DD6218" w:rsidRPr="000665B0" w:rsidRDefault="005E7675" w:rsidP="006D5A65">
      <w:pPr>
        <w:pStyle w:val="Heading1"/>
        <w:rPr>
          <w:i/>
        </w:rPr>
      </w:pPr>
      <w:r w:rsidRPr="000665B0">
        <w:t>Select a shape from the palette to the right of the map display. Optionally select line color, width, and style (and fill style for a filled shape).</w:t>
      </w:r>
    </w:p>
    <w:p w14:paraId="69706C59" w14:textId="18F97324" w:rsidR="00FC3641" w:rsidRPr="000665B0" w:rsidRDefault="005E7675" w:rsidP="006D5A65">
      <w:pPr>
        <w:pStyle w:val="Heading1"/>
        <w:rPr>
          <w:i/>
        </w:rPr>
      </w:pPr>
      <w:r w:rsidRPr="000665B0">
        <w:t xml:space="preserve">Using the cursor, draw the shape on the map. </w:t>
      </w:r>
    </w:p>
    <w:p w14:paraId="34C2F9A1" w14:textId="5A36C1A0" w:rsidR="00FC3641" w:rsidRPr="000665B0" w:rsidRDefault="00FC3641" w:rsidP="006D5A65">
      <w:pPr>
        <w:pStyle w:val="Heading1"/>
      </w:pPr>
      <w:r w:rsidRPr="000665B0">
        <w:t>Geometric shapes (</w:t>
      </w:r>
      <w:r w:rsidR="005C4861" w:rsidRPr="000665B0">
        <w:t>e.g.,</w:t>
      </w:r>
      <w:r w:rsidRPr="000665B0">
        <w:t xml:space="preserve"> polygons, sectors, etc.) that are directly over or near the north or south pole may display unexpected behavior. While drawing the shapes and when viewing them geographically after they’ve been saved, they may “flip” to the opposite side of the pole compared to when originally drawn. Additionally, curved shapes that are converted to polygons when saved (see </w:t>
      </w:r>
      <w:hyperlink w:anchor="_5.33.1__Create" w:history="1">
        <w:r w:rsidRPr="000665B0">
          <w:rPr>
            <w:rStyle w:val="Hyperlink"/>
          </w:rPr>
          <w:t xml:space="preserve">Section </w:t>
        </w:r>
        <w:r w:rsidR="004231CC">
          <w:rPr>
            <w:rStyle w:val="Hyperlink"/>
          </w:rPr>
          <w:t>5.29</w:t>
        </w:r>
        <w:r w:rsidRPr="000665B0">
          <w:rPr>
            <w:rStyle w:val="Hyperlink"/>
          </w:rPr>
          <w:t>.1</w:t>
        </w:r>
      </w:hyperlink>
      <w:r w:rsidRPr="000665B0">
        <w:t>) may display differently than their original shape.</w:t>
      </w:r>
    </w:p>
    <w:p w14:paraId="26A86CBE" w14:textId="241F8CFC" w:rsidR="00DD6218" w:rsidRPr="000665B0" w:rsidRDefault="005E7675" w:rsidP="006D5A65">
      <w:pPr>
        <w:pStyle w:val="Heading1"/>
        <w:rPr>
          <w:i/>
        </w:rPr>
      </w:pPr>
      <w:r w:rsidRPr="000665B0">
        <w:t>Click OK on the palette to the right of the map when done.</w:t>
      </w:r>
    </w:p>
    <w:p w14:paraId="26608E31" w14:textId="2F452691" w:rsidR="00DD6218" w:rsidRPr="000665B0" w:rsidRDefault="005E7675" w:rsidP="006D5A65">
      <w:pPr>
        <w:pStyle w:val="Heading1"/>
        <w:rPr>
          <w:i/>
        </w:rPr>
      </w:pPr>
      <w:r w:rsidRPr="000665B0">
        <w:t xml:space="preserve">A new ACMS textual display window is displayed. For more information about ACMSs, see </w:t>
      </w:r>
      <w:hyperlink w:anchor="_5.34__ACMSs_TOOL" w:history="1">
        <w:r w:rsidR="00EE4996" w:rsidRPr="000665B0">
          <w:rPr>
            <w:color w:val="0000FF"/>
            <w:u w:val="single"/>
          </w:rPr>
          <w:t xml:space="preserve">Section </w:t>
        </w:r>
        <w:r w:rsidR="004231CC">
          <w:rPr>
            <w:color w:val="0000FF"/>
            <w:u w:val="single"/>
          </w:rPr>
          <w:t>5.29</w:t>
        </w:r>
      </w:hyperlink>
      <w:r w:rsidR="00DD6218" w:rsidRPr="000665B0">
        <w:t>.</w:t>
      </w:r>
    </w:p>
    <w:p w14:paraId="613BA71F" w14:textId="43F39F4B" w:rsidR="00DD6218" w:rsidRPr="000665B0" w:rsidRDefault="00DD6218" w:rsidP="009570CA">
      <w:pPr>
        <w:pStyle w:val="Heading4"/>
      </w:pPr>
      <w:bookmarkStart w:id="5233" w:name="_Toc289328681"/>
      <w:r w:rsidRPr="000665B0">
        <w:t>Create Overlay</w:t>
      </w:r>
      <w:bookmarkEnd w:id="5233"/>
    </w:p>
    <w:p w14:paraId="48872861" w14:textId="7B6576C7" w:rsidR="00386CCC" w:rsidRPr="000665B0" w:rsidRDefault="00386CCC" w:rsidP="009570CA">
      <w:r w:rsidRPr="000665B0">
        <w:t xml:space="preserve">From the </w:t>
      </w:r>
      <w:r w:rsidRPr="000665B0">
        <w:rPr>
          <w:b/>
          <w:bCs/>
        </w:rPr>
        <w:t>File</w:t>
      </w:r>
      <w:r w:rsidRPr="000665B0">
        <w:t xml:space="preserve"> menu select </w:t>
      </w:r>
      <w:r w:rsidRPr="000665B0">
        <w:rPr>
          <w:b/>
          <w:bCs/>
        </w:rPr>
        <w:t xml:space="preserve">New </w:t>
      </w:r>
      <w:r w:rsidRPr="000665B0">
        <w:rPr>
          <w:rFonts w:ascii="Arial" w:hAnsi="Arial" w:cs="Arial"/>
          <w:sz w:val="20"/>
        </w:rPr>
        <w:t>►</w:t>
      </w:r>
      <w:r w:rsidRPr="000665B0">
        <w:rPr>
          <w:b/>
          <w:bCs/>
        </w:rPr>
        <w:t xml:space="preserve"> </w:t>
      </w:r>
      <w:r w:rsidR="005C4861" w:rsidRPr="000665B0">
        <w:rPr>
          <w:b/>
        </w:rPr>
        <w:t>Overlay</w:t>
      </w:r>
      <w:r w:rsidR="005C4861" w:rsidRPr="000665B0">
        <w:t xml:space="preserve"> or</w:t>
      </w:r>
      <w:r w:rsidRPr="000665B0">
        <w:t xml:space="preserve"> select </w:t>
      </w:r>
      <w:r w:rsidRPr="000665B0">
        <w:rPr>
          <w:b/>
        </w:rPr>
        <w:t>Overlay</w:t>
      </w:r>
      <w:r w:rsidRPr="000665B0">
        <w:t xml:space="preserve"> from the </w:t>
      </w:r>
      <w:r w:rsidR="004F3F3B" w:rsidRPr="000665B0">
        <w:rPr>
          <w:b/>
        </w:rPr>
        <w:t xml:space="preserve">New </w:t>
      </w:r>
      <w:r w:rsidR="004F3F3B" w:rsidRPr="000665B0">
        <w:rPr>
          <w:b/>
          <w:noProof/>
        </w:rPr>
        <w:drawing>
          <wp:inline distT="0" distB="0" distL="0" distR="0" wp14:anchorId="56E83F06" wp14:editId="7C4FAC18">
            <wp:extent cx="133985" cy="133985"/>
            <wp:effectExtent l="0" t="0" r="0" b="0"/>
            <wp:docPr id="1976" name="Picture 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33985" cy="133985"/>
                    </a:xfrm>
                    <a:prstGeom prst="rect">
                      <a:avLst/>
                    </a:prstGeom>
                    <a:noFill/>
                    <a:ln>
                      <a:noFill/>
                    </a:ln>
                  </pic:spPr>
                </pic:pic>
              </a:graphicData>
            </a:graphic>
          </wp:inline>
        </w:drawing>
      </w:r>
      <w:r w:rsidR="004F3F3B" w:rsidRPr="000665B0">
        <w:rPr>
          <w:b/>
        </w:rPr>
        <w:t xml:space="preserve"> </w:t>
      </w:r>
      <w:r w:rsidR="004F3F3B" w:rsidRPr="000665B0">
        <w:t xml:space="preserve">icon </w:t>
      </w:r>
      <w:r w:rsidRPr="000665B0">
        <w:t xml:space="preserve">pull down on the toolbar. This opens the Geographic display with the editing tools on the right side of the display. The tools are used to add a geographic object describing the location and shape of the </w:t>
      </w:r>
      <w:r w:rsidR="00A217E3" w:rsidRPr="000665B0">
        <w:t>Overlay</w:t>
      </w:r>
      <w:r w:rsidRPr="000665B0">
        <w:t xml:space="preserve"> including lines, polygons, ellipses, rectangles, sectors, arcs, text, and symbols. Changing colors, thickness and/or style of outlines or fills may enhance the objects.</w:t>
      </w:r>
    </w:p>
    <w:p w14:paraId="0424DC18" w14:textId="77777777" w:rsidR="00386CCC" w:rsidRPr="000665B0" w:rsidRDefault="00386CCC" w:rsidP="006D5A65">
      <w:pPr>
        <w:pStyle w:val="Heading1"/>
        <w:rPr>
          <w:snapToGrid w:val="0"/>
        </w:rPr>
      </w:pPr>
      <w:r w:rsidRPr="000665B0">
        <w:rPr>
          <w:snapToGrid w:val="0"/>
        </w:rPr>
        <w:t>Select a shape</w:t>
      </w:r>
      <w:r w:rsidR="00A217E3" w:rsidRPr="000665B0">
        <w:rPr>
          <w:snapToGrid w:val="0"/>
        </w:rPr>
        <w:t>, label, or text</w:t>
      </w:r>
      <w:r w:rsidRPr="000665B0">
        <w:rPr>
          <w:snapToGrid w:val="0"/>
        </w:rPr>
        <w:t xml:space="preserve"> from the palette to the right of the map display. Optionally select line color, width, and style (and fill style for a filled shape).</w:t>
      </w:r>
    </w:p>
    <w:p w14:paraId="18130389" w14:textId="77777777" w:rsidR="00423102" w:rsidRPr="000665B0" w:rsidRDefault="00386CCC" w:rsidP="006D5A65">
      <w:pPr>
        <w:pStyle w:val="Heading1"/>
      </w:pPr>
      <w:r w:rsidRPr="000665B0">
        <w:rPr>
          <w:snapToGrid w:val="0"/>
        </w:rPr>
        <w:t xml:space="preserve">Using the cursor, draw the shape on the map. </w:t>
      </w:r>
    </w:p>
    <w:p w14:paraId="2C7B4AFB" w14:textId="1CBF2D9B" w:rsidR="00423102" w:rsidRPr="000665B0" w:rsidRDefault="00423102" w:rsidP="006D5A65">
      <w:pPr>
        <w:pStyle w:val="Heading1"/>
      </w:pPr>
      <w:r w:rsidRPr="000665B0">
        <w:t>Geometric shapes (</w:t>
      </w:r>
      <w:r w:rsidR="002A531A" w:rsidRPr="000665B0">
        <w:t>e.g.,</w:t>
      </w:r>
      <w:r w:rsidRPr="000665B0">
        <w:t xml:space="preserve"> polygons, sectors, etc.) that are directly over or near the north or south pole may display unexpected behavior. While drawing the shapes and when viewing them geographically after they’ve been saved, they may “flip” to the opposite side of the pole compared to when originally drawn. Additionally, curved shapes that are </w:t>
      </w:r>
      <w:r w:rsidRPr="000665B0">
        <w:lastRenderedPageBreak/>
        <w:t xml:space="preserve">converted to polygons when saved (see </w:t>
      </w:r>
      <w:hyperlink w:anchor="_5.33.1__Create" w:history="1">
        <w:r w:rsidRPr="000665B0">
          <w:rPr>
            <w:rStyle w:val="Hyperlink"/>
          </w:rPr>
          <w:t xml:space="preserve">Section </w:t>
        </w:r>
        <w:r w:rsidR="004231CC">
          <w:rPr>
            <w:rStyle w:val="Hyperlink"/>
          </w:rPr>
          <w:t>5.29</w:t>
        </w:r>
        <w:r w:rsidRPr="000665B0">
          <w:rPr>
            <w:rStyle w:val="Hyperlink"/>
          </w:rPr>
          <w:t>.1</w:t>
        </w:r>
      </w:hyperlink>
      <w:r w:rsidRPr="000665B0">
        <w:t>) may display differently than their original shape.</w:t>
      </w:r>
    </w:p>
    <w:p w14:paraId="79482971" w14:textId="77777777" w:rsidR="00386CCC" w:rsidRPr="000665B0" w:rsidRDefault="00386CCC" w:rsidP="006D5A65">
      <w:pPr>
        <w:pStyle w:val="Heading1"/>
        <w:rPr>
          <w:snapToGrid w:val="0"/>
        </w:rPr>
      </w:pPr>
      <w:r w:rsidRPr="000665B0">
        <w:rPr>
          <w:snapToGrid w:val="0"/>
        </w:rPr>
        <w:t xml:space="preserve">Repeat steps 1 and 2 for each object to be included in the </w:t>
      </w:r>
      <w:r w:rsidR="00A217E3" w:rsidRPr="000665B0">
        <w:rPr>
          <w:snapToGrid w:val="0"/>
        </w:rPr>
        <w:t>O</w:t>
      </w:r>
      <w:r w:rsidRPr="000665B0">
        <w:rPr>
          <w:snapToGrid w:val="0"/>
        </w:rPr>
        <w:t>verlay</w:t>
      </w:r>
      <w:r w:rsidR="00AB55DE" w:rsidRPr="000665B0">
        <w:rPr>
          <w:snapToGrid w:val="0"/>
        </w:rPr>
        <w:t>.</w:t>
      </w:r>
    </w:p>
    <w:p w14:paraId="606ACA70" w14:textId="77777777" w:rsidR="00386CCC" w:rsidRPr="000665B0" w:rsidRDefault="00386CCC" w:rsidP="006D5A65">
      <w:pPr>
        <w:pStyle w:val="Heading1"/>
        <w:rPr>
          <w:snapToGrid w:val="0"/>
        </w:rPr>
      </w:pPr>
      <w:r w:rsidRPr="000665B0">
        <w:rPr>
          <w:snapToGrid w:val="0"/>
        </w:rPr>
        <w:t>Click OK on the palette to the right of the map when done</w:t>
      </w:r>
      <w:r w:rsidR="00FD25A0" w:rsidRPr="000665B0">
        <w:rPr>
          <w:snapToGrid w:val="0"/>
        </w:rPr>
        <w:t>.</w:t>
      </w:r>
    </w:p>
    <w:p w14:paraId="7BE50439" w14:textId="17010FF3" w:rsidR="00DD6218" w:rsidRPr="000665B0" w:rsidRDefault="00386CCC" w:rsidP="006D5A65">
      <w:pPr>
        <w:pStyle w:val="Heading1"/>
      </w:pPr>
      <w:r w:rsidRPr="000665B0">
        <w:t xml:space="preserve">A new </w:t>
      </w:r>
      <w:r w:rsidRPr="000665B0">
        <w:rPr>
          <w:i/>
        </w:rPr>
        <w:t xml:space="preserve">Overlay </w:t>
      </w:r>
      <w:r w:rsidRPr="000665B0">
        <w:t>textual display</w:t>
      </w:r>
      <w:r w:rsidRPr="000665B0">
        <w:rPr>
          <w:i/>
        </w:rPr>
        <w:t xml:space="preserve"> </w:t>
      </w:r>
      <w:r w:rsidRPr="000665B0">
        <w:t xml:space="preserve">window is displayed. For more information about Overlays, see </w:t>
      </w:r>
      <w:hyperlink w:anchor="_5.34__OVERLAYS" w:history="1">
        <w:r w:rsidR="00650083" w:rsidRPr="000665B0">
          <w:rPr>
            <w:color w:val="0000FF"/>
            <w:u w:val="single"/>
          </w:rPr>
          <w:t xml:space="preserve">Section </w:t>
        </w:r>
        <w:r w:rsidR="004231CC">
          <w:rPr>
            <w:color w:val="0000FF"/>
            <w:u w:val="single"/>
          </w:rPr>
          <w:t>5.30</w:t>
        </w:r>
      </w:hyperlink>
      <w:r w:rsidR="00DD6218" w:rsidRPr="000665B0">
        <w:t>.</w:t>
      </w:r>
    </w:p>
    <w:p w14:paraId="1BE0013C" w14:textId="275092A5" w:rsidR="00386CCC" w:rsidRPr="000665B0" w:rsidRDefault="006D2DF6" w:rsidP="009570CA">
      <w:pPr>
        <w:pStyle w:val="Heading3"/>
        <w:keepLines/>
      </w:pPr>
      <w:bookmarkStart w:id="5234" w:name="_Toc289328682"/>
      <w:bookmarkStart w:id="5235" w:name="_Toc312331972"/>
      <w:bookmarkStart w:id="5236" w:name="_Toc214283425"/>
      <w:bookmarkStart w:id="5237" w:name="_Toc71955620"/>
      <w:bookmarkStart w:id="5238" w:name="_Toc96170164"/>
      <w:bookmarkStart w:id="5239" w:name="_Toc96234209"/>
      <w:bookmarkStart w:id="5240" w:name="_Toc112733633"/>
      <w:bookmarkStart w:id="5241" w:name="_Toc159315398"/>
      <w:bookmarkEnd w:id="5229"/>
      <w:bookmarkEnd w:id="5230"/>
      <w:r w:rsidRPr="000665B0">
        <w:t>Manipulating the Display</w:t>
      </w:r>
      <w:bookmarkStart w:id="5242" w:name="_Toc289328683"/>
      <w:bookmarkEnd w:id="5234"/>
      <w:bookmarkEnd w:id="5235"/>
      <w:bookmarkEnd w:id="5236"/>
      <w:r w:rsidR="00386CCC" w:rsidRPr="000665B0">
        <w:t xml:space="preserve"> </w:t>
      </w:r>
    </w:p>
    <w:p w14:paraId="7B9C1E74" w14:textId="77777777" w:rsidR="00386CCC" w:rsidRPr="000665B0" w:rsidRDefault="00386CCC" w:rsidP="009570CA">
      <w:pPr>
        <w:spacing w:after="0"/>
      </w:pPr>
      <w:r w:rsidRPr="000665B0">
        <w:t xml:space="preserve">The user can change the focus, zoom, and other attributes of the display using the mouse, menu, toolbar, or function/accelerator keys. </w:t>
      </w:r>
    </w:p>
    <w:p w14:paraId="2F49492B" w14:textId="7432E492" w:rsidR="00386CCC" w:rsidRPr="000665B0" w:rsidRDefault="00386CCC" w:rsidP="009570CA">
      <w:pPr>
        <w:pStyle w:val="Heading4"/>
      </w:pPr>
      <w:r w:rsidRPr="000665B0">
        <w:t>Mouse Support for the Geographical Display</w:t>
      </w:r>
    </w:p>
    <w:p w14:paraId="2988C85F" w14:textId="77777777" w:rsidR="00386CCC" w:rsidRPr="000665B0" w:rsidRDefault="00386CCC" w:rsidP="009570CA">
      <w:r w:rsidRPr="000665B0">
        <w:t>The Geographical Display allows the user to manipulate the display by using the mouse as follows:</w:t>
      </w:r>
    </w:p>
    <w:p w14:paraId="7F7B9E81" w14:textId="77777777" w:rsidR="00386CCC" w:rsidRPr="000665B0" w:rsidRDefault="00386CCC" w:rsidP="009570CA">
      <w:pPr>
        <w:rPr>
          <w:b/>
        </w:rPr>
      </w:pPr>
      <w:r w:rsidRPr="000665B0">
        <w:rPr>
          <w:b/>
        </w:rPr>
        <w:t>Left Mouse Button</w:t>
      </w:r>
    </w:p>
    <w:p w14:paraId="447CAB55" w14:textId="63D02D23" w:rsidR="00386CCC" w:rsidRPr="000665B0" w:rsidRDefault="00386CCC" w:rsidP="006D5A65">
      <w:pPr>
        <w:pStyle w:val="Heading1"/>
      </w:pPr>
      <w:r w:rsidRPr="000665B0">
        <w:t xml:space="preserve">This is the primary method for moving the center location of the display. Move the mouse to the desired location on the map and </w:t>
      </w:r>
      <w:r w:rsidR="0037038E" w:rsidRPr="000665B0">
        <w:t>double-click</w:t>
      </w:r>
      <w:r w:rsidRPr="000665B0">
        <w:t xml:space="preserve"> the left mouse button. The selected location moves to the center of the display.</w:t>
      </w:r>
    </w:p>
    <w:p w14:paraId="4979FFE5" w14:textId="6F65A56B" w:rsidR="00FC6670" w:rsidRPr="000665B0" w:rsidRDefault="00386CCC" w:rsidP="006D5A65">
      <w:pPr>
        <w:pStyle w:val="Heading1"/>
      </w:pPr>
      <w:r w:rsidRPr="000665B0">
        <w:t>While in manual zoom selection mode (the default mode), use the left mouse button to draw a bounding box to zoom in. Select a location, click and hold the left button, move the mouse to draw a bounding box, and then release the mouse button. Click inside the box to zoom in, or outside the box to cancel the zoom.</w:t>
      </w:r>
    </w:p>
    <w:p w14:paraId="7DC5A814" w14:textId="29514D82" w:rsidR="00386CCC" w:rsidRPr="000665B0" w:rsidRDefault="00FC6670" w:rsidP="006D5A65">
      <w:pPr>
        <w:pStyle w:val="Heading1"/>
      </w:pPr>
      <w:r w:rsidRPr="000665B0">
        <w:t>Bounding boxes that are directly over or near the north or south pole may display unexpected behavior. While drawing the box, it may “flip” to the opposite side of the pole once the cursor reaches 180-degrees from the origin of the box. Additionally, the box may be drawn in a shape other than an actual box (</w:t>
      </w:r>
      <w:r w:rsidR="005C4861" w:rsidRPr="000665B0">
        <w:t>e.g.,</w:t>
      </w:r>
      <w:r w:rsidRPr="000665B0">
        <w:t xml:space="preserve"> a semi-circle).</w:t>
      </w:r>
    </w:p>
    <w:p w14:paraId="22CDFD0E" w14:textId="77777777" w:rsidR="00386CCC" w:rsidRPr="000665B0" w:rsidRDefault="00386CCC" w:rsidP="006D5A65">
      <w:pPr>
        <w:pStyle w:val="Heading1"/>
      </w:pPr>
      <w:r w:rsidRPr="000665B0">
        <w:t>While in range bearing determination mode, use the left mouse button to select the two points to determine range and bearing.</w:t>
      </w:r>
    </w:p>
    <w:p w14:paraId="5371CA3E" w14:textId="77777777" w:rsidR="00386CCC" w:rsidRPr="000665B0" w:rsidRDefault="00386CCC" w:rsidP="006D5A65">
      <w:pPr>
        <w:pStyle w:val="Heading1"/>
      </w:pPr>
      <w:r w:rsidRPr="000665B0">
        <w:t xml:space="preserve">This is also used for selection of vertices when in drawing mode for creating ACMSs and Overlays. </w:t>
      </w:r>
    </w:p>
    <w:p w14:paraId="4F68834A" w14:textId="77777777" w:rsidR="00386CCC" w:rsidRPr="000665B0" w:rsidRDefault="00386CCC" w:rsidP="006D5A65">
      <w:pPr>
        <w:pStyle w:val="Heading1"/>
      </w:pPr>
      <w:r w:rsidRPr="000665B0">
        <w:t xml:space="preserve">When the cursor is moved near the </w:t>
      </w:r>
      <w:r w:rsidR="00151A06" w:rsidRPr="000665B0">
        <w:t>edge</w:t>
      </w:r>
      <w:r w:rsidRPr="000665B0">
        <w:t xml:space="preserve"> of the display, a hollow arrow appears. Click the left mouse button to move the display in the direction of the arrow.</w:t>
      </w:r>
    </w:p>
    <w:p w14:paraId="778194C2" w14:textId="77777777" w:rsidR="00386CCC" w:rsidRPr="000665B0" w:rsidRDefault="00386CCC" w:rsidP="009570CA">
      <w:pPr>
        <w:rPr>
          <w:b/>
        </w:rPr>
      </w:pPr>
      <w:r w:rsidRPr="000665B0">
        <w:rPr>
          <w:b/>
        </w:rPr>
        <w:t xml:space="preserve">Right Mouse Button </w:t>
      </w:r>
    </w:p>
    <w:p w14:paraId="4134BF60" w14:textId="537B5CA4" w:rsidR="00386CCC" w:rsidRPr="000665B0" w:rsidRDefault="00386CCC" w:rsidP="006D5A65">
      <w:pPr>
        <w:pStyle w:val="Heading1"/>
      </w:pPr>
      <w:r w:rsidRPr="000665B0">
        <w:t xml:space="preserve">The right mouse button is primarily used for context menu selection of individual missions. If the Geo Display contains </w:t>
      </w:r>
      <w:r w:rsidRPr="000665B0">
        <w:lastRenderedPageBreak/>
        <w:t>multiple missions and appears cluttered, use the mouse to determine what route equates to a specific mission. Place the mouse over the FPPWP or Target area and invoke the context menu (</w:t>
      </w:r>
      <w:r w:rsidR="00D71804" w:rsidRPr="000665B0">
        <w:t>right-click</w:t>
      </w:r>
      <w:r w:rsidRPr="000665B0">
        <w:t xml:space="preserve"> the mouse) to display the Mission ID(s).</w:t>
      </w:r>
      <w:r w:rsidR="00DD0C68" w:rsidRPr="000665B0">
        <w:t xml:space="preserve"> For a description of </w:t>
      </w:r>
      <w:r w:rsidR="000D738E" w:rsidRPr="000665B0">
        <w:t xml:space="preserve">other </w:t>
      </w:r>
      <w:r w:rsidR="00DD0C68" w:rsidRPr="000665B0">
        <w:t xml:space="preserve">context menu selections, see </w:t>
      </w:r>
      <w:hyperlink w:anchor="_5.30.2.2.7.1__Common" w:history="1">
        <w:r w:rsidR="00DD0C68" w:rsidRPr="000665B0">
          <w:rPr>
            <w:rStyle w:val="Hyperlink"/>
          </w:rPr>
          <w:t xml:space="preserve">Section </w:t>
        </w:r>
        <w:r w:rsidR="004231CC">
          <w:rPr>
            <w:rStyle w:val="Hyperlink"/>
          </w:rPr>
          <w:t>5.26</w:t>
        </w:r>
        <w:r w:rsidR="00DD0C68" w:rsidRPr="000665B0">
          <w:rPr>
            <w:rStyle w:val="Hyperlink"/>
          </w:rPr>
          <w:t>.2.2.</w:t>
        </w:r>
        <w:r w:rsidR="00EF3C0F" w:rsidRPr="000665B0">
          <w:rPr>
            <w:rStyle w:val="Hyperlink"/>
          </w:rPr>
          <w:t>9</w:t>
        </w:r>
        <w:r w:rsidR="00DD0C68" w:rsidRPr="000665B0">
          <w:rPr>
            <w:rStyle w:val="Hyperlink"/>
          </w:rPr>
          <w:t>.1</w:t>
        </w:r>
      </w:hyperlink>
      <w:r w:rsidR="00DD0C68" w:rsidRPr="000665B0">
        <w:t>.</w:t>
      </w:r>
    </w:p>
    <w:p w14:paraId="1F9EAB1B" w14:textId="49A1E46C" w:rsidR="00386CCC" w:rsidRPr="000665B0" w:rsidRDefault="00386CCC" w:rsidP="006D5A65">
      <w:pPr>
        <w:pStyle w:val="Heading1"/>
      </w:pPr>
      <w:r w:rsidRPr="000665B0">
        <w:t xml:space="preserve">The Query Geospatial Data context menu enables the operator to obtain more information about map features on the Geo Display. Certain conditions must be met in order for a particular map item or feature to be returned in response to a query. See </w:t>
      </w:r>
      <w:hyperlink w:anchor="_5.30.6__Querying" w:history="1">
        <w:r w:rsidRPr="000665B0">
          <w:rPr>
            <w:color w:val="0000FF"/>
            <w:u w:val="single"/>
          </w:rPr>
          <w:t xml:space="preserve">Section </w:t>
        </w:r>
        <w:r w:rsidR="004231CC">
          <w:rPr>
            <w:color w:val="0000FF"/>
            <w:u w:val="single"/>
          </w:rPr>
          <w:t>5.26</w:t>
        </w:r>
        <w:r w:rsidRPr="000665B0">
          <w:rPr>
            <w:color w:val="0000FF"/>
            <w:u w:val="single"/>
          </w:rPr>
          <w:t>.6</w:t>
        </w:r>
      </w:hyperlink>
      <w:r w:rsidRPr="000665B0">
        <w:t xml:space="preserve"> for more information about Querying Map Features.</w:t>
      </w:r>
    </w:p>
    <w:p w14:paraId="2516ED7F" w14:textId="77777777" w:rsidR="00386CCC" w:rsidRPr="000665B0" w:rsidRDefault="00386CCC" w:rsidP="006D5A65">
      <w:pPr>
        <w:pStyle w:val="Heading1"/>
      </w:pPr>
      <w:r w:rsidRPr="000665B0">
        <w:t>The Remove All context menu option removes all objects in the Geo Object Manager.</w:t>
      </w:r>
    </w:p>
    <w:p w14:paraId="7BA1EDEF" w14:textId="77777777" w:rsidR="00386CCC" w:rsidRPr="000665B0" w:rsidRDefault="00151A06" w:rsidP="006D5A65">
      <w:pPr>
        <w:pStyle w:val="Heading1"/>
      </w:pPr>
      <w:r w:rsidRPr="000665B0">
        <w:t>The</w:t>
      </w:r>
      <w:r w:rsidR="00386CCC" w:rsidRPr="000665B0">
        <w:t xml:space="preserve"> Center On Cursor context menu </w:t>
      </w:r>
      <w:r w:rsidRPr="000665B0">
        <w:t>option</w:t>
      </w:r>
      <w:r w:rsidR="00386CCC" w:rsidRPr="000665B0">
        <w:t xml:space="preserve"> re-center</w:t>
      </w:r>
      <w:r w:rsidRPr="000665B0">
        <w:t>s</w:t>
      </w:r>
      <w:r w:rsidR="00386CCC" w:rsidRPr="000665B0">
        <w:t xml:space="preserve"> the Geo Display on the mouse location.</w:t>
      </w:r>
    </w:p>
    <w:p w14:paraId="0E31F100" w14:textId="77777777" w:rsidR="00386CCC" w:rsidRPr="000665B0" w:rsidRDefault="00386CCC" w:rsidP="009570CA">
      <w:pPr>
        <w:rPr>
          <w:b/>
        </w:rPr>
      </w:pPr>
      <w:r w:rsidRPr="000665B0">
        <w:rPr>
          <w:b/>
        </w:rPr>
        <w:t>Mouse Wheel</w:t>
      </w:r>
    </w:p>
    <w:p w14:paraId="2CF73430" w14:textId="77777777" w:rsidR="00386CCC" w:rsidRPr="000665B0" w:rsidRDefault="00386CCC" w:rsidP="006D5A65">
      <w:pPr>
        <w:pStyle w:val="Heading1"/>
      </w:pPr>
      <w:r w:rsidRPr="000665B0">
        <w:t>When the Geo Display has the input focus, rotating the mouse wheel forward (away from the user) zooms the display in toward its center.</w:t>
      </w:r>
    </w:p>
    <w:p w14:paraId="2299EF34" w14:textId="77777777" w:rsidR="00386CCC" w:rsidRPr="000665B0" w:rsidRDefault="00386CCC" w:rsidP="006D5A65">
      <w:pPr>
        <w:pStyle w:val="Heading1"/>
      </w:pPr>
      <w:r w:rsidRPr="000665B0">
        <w:t>When the Geo Display has the input focus, rotating the mouse wheel back (toward the user) zooms the display out from its center.</w:t>
      </w:r>
    </w:p>
    <w:p w14:paraId="067A6899" w14:textId="5F77BD8F" w:rsidR="00386CCC" w:rsidRPr="000665B0" w:rsidRDefault="00386CCC" w:rsidP="009570CA">
      <w:pPr>
        <w:pStyle w:val="Heading4"/>
      </w:pPr>
      <w:r w:rsidRPr="000665B0">
        <w:t xml:space="preserve">Menu, Toolbar, and Function Key Support for the Geographical Display </w:t>
      </w:r>
    </w:p>
    <w:p w14:paraId="210B6CBB" w14:textId="77777777" w:rsidR="00386CCC" w:rsidRPr="000665B0" w:rsidRDefault="00386CCC" w:rsidP="009570CA">
      <w:r w:rsidRPr="000665B0">
        <w:t xml:space="preserve">The Geo Display </w:t>
      </w:r>
      <w:r w:rsidRPr="000665B0">
        <w:rPr>
          <w:b/>
        </w:rPr>
        <w:t>View</w:t>
      </w:r>
      <w:r w:rsidRPr="000665B0">
        <w:t xml:space="preserve"> menu provides options for manipulating the </w:t>
      </w:r>
      <w:r w:rsidRPr="000665B0">
        <w:rPr>
          <w:i/>
        </w:rPr>
        <w:t>Geo Display</w:t>
      </w:r>
      <w:r w:rsidRPr="000665B0">
        <w:t xml:space="preserve"> window. Accelerator/function keys can be used to perform certain actions without accessing the </w:t>
      </w:r>
      <w:r w:rsidRPr="000665B0">
        <w:rPr>
          <w:b/>
        </w:rPr>
        <w:t>View</w:t>
      </w:r>
      <w:r w:rsidRPr="000665B0">
        <w:t xml:space="preserve"> menu. In addition, some actions can be performed by selecting function buttons on the toolbar. Enable the menu and toolbar functions by clicking on the selection; disable the function(s) by clicking again.</w:t>
      </w:r>
    </w:p>
    <w:p w14:paraId="4E570FC9" w14:textId="77777777" w:rsidR="00386CCC" w:rsidRPr="000665B0" w:rsidRDefault="00386CCC" w:rsidP="009570CA">
      <w:pPr>
        <w:spacing w:after="0"/>
      </w:pPr>
      <w:r w:rsidRPr="000665B0">
        <w:t xml:space="preserve">The following options along with their corresponding keyboard accelerator are available from the </w:t>
      </w:r>
      <w:r w:rsidRPr="000665B0">
        <w:rPr>
          <w:b/>
        </w:rPr>
        <w:t>View</w:t>
      </w:r>
      <w:r w:rsidRPr="000665B0">
        <w:t xml:space="preserve"> menu.</w:t>
      </w:r>
    </w:p>
    <w:p w14:paraId="52725AD4" w14:textId="0117E047" w:rsidR="00386CCC" w:rsidRPr="000665B0" w:rsidRDefault="00EF3C0F" w:rsidP="009570CA">
      <w:pPr>
        <w:jc w:val="center"/>
      </w:pPr>
      <w:r w:rsidRPr="000665B0">
        <w:rPr>
          <w:noProof/>
        </w:rPr>
        <w:lastRenderedPageBreak/>
        <w:drawing>
          <wp:inline distT="0" distB="0" distL="0" distR="0" wp14:anchorId="56E030C8" wp14:editId="432D7222">
            <wp:extent cx="1828800" cy="2478024"/>
            <wp:effectExtent l="0" t="0" r="0" b="0"/>
            <wp:docPr id="2245" name="Picture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2478024"/>
                    </a:xfrm>
                    <a:prstGeom prst="rect">
                      <a:avLst/>
                    </a:prstGeom>
                  </pic:spPr>
                </pic:pic>
              </a:graphicData>
            </a:graphic>
          </wp:inline>
        </w:drawing>
      </w:r>
    </w:p>
    <w:p w14:paraId="0813561A" w14:textId="77777777" w:rsidR="00386CCC" w:rsidRPr="000665B0" w:rsidRDefault="00386CCC" w:rsidP="009570CA">
      <w:r w:rsidRPr="000665B0">
        <w:t>The following options are available on the toolbar.</w:t>
      </w:r>
    </w:p>
    <w:p w14:paraId="68DAEA2D" w14:textId="0C03B7F2" w:rsidR="00386CCC" w:rsidRPr="000665B0" w:rsidRDefault="00EF3C0F" w:rsidP="009570CA">
      <w:pPr>
        <w:spacing w:after="0"/>
        <w:jc w:val="center"/>
      </w:pPr>
      <w:r w:rsidRPr="000665B0">
        <w:rPr>
          <w:noProof/>
        </w:rPr>
        <w:drawing>
          <wp:inline distT="0" distB="0" distL="0" distR="0" wp14:anchorId="5AB0405C" wp14:editId="13BF5C81">
            <wp:extent cx="2514600" cy="265176"/>
            <wp:effectExtent l="0" t="0" r="0" b="0"/>
            <wp:docPr id="2246" name="Picture 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514600" cy="265176"/>
                    </a:xfrm>
                    <a:prstGeom prst="rect">
                      <a:avLst/>
                    </a:prstGeom>
                  </pic:spPr>
                </pic:pic>
              </a:graphicData>
            </a:graphic>
          </wp:inline>
        </w:drawing>
      </w:r>
    </w:p>
    <w:bookmarkEnd w:id="5237"/>
    <w:bookmarkEnd w:id="5238"/>
    <w:bookmarkEnd w:id="5239"/>
    <w:bookmarkEnd w:id="5240"/>
    <w:bookmarkEnd w:id="5241"/>
    <w:bookmarkEnd w:id="5242"/>
    <w:p w14:paraId="3156AC2C" w14:textId="56A26447" w:rsidR="00AF44AB" w:rsidRPr="000665B0" w:rsidRDefault="00AF44AB" w:rsidP="009570CA">
      <w:pPr>
        <w:pStyle w:val="Heading5"/>
      </w:pPr>
      <w:r w:rsidRPr="000665B0">
        <w:t>Zoom In (F2)</w:t>
      </w:r>
    </w:p>
    <w:p w14:paraId="6517D612" w14:textId="05B48294" w:rsidR="00AF44AB" w:rsidRPr="000665B0" w:rsidRDefault="00AF44AB" w:rsidP="009570CA">
      <w:pPr>
        <w:rPr>
          <w:bCs/>
        </w:rPr>
      </w:pPr>
      <w:bookmarkStart w:id="5243" w:name="_Toc71955621"/>
      <w:bookmarkStart w:id="5244" w:name="_Toc96170165"/>
      <w:bookmarkStart w:id="5245" w:name="_Toc96234210"/>
      <w:bookmarkStart w:id="5246" w:name="_Toc112733634"/>
      <w:bookmarkStart w:id="5247" w:name="_Toc159315399"/>
      <w:r w:rsidRPr="000665B0">
        <w:t xml:space="preserve">From the </w:t>
      </w:r>
      <w:r w:rsidRPr="000665B0">
        <w:rPr>
          <w:b/>
        </w:rPr>
        <w:t>View</w:t>
      </w:r>
      <w:r w:rsidRPr="000665B0">
        <w:t xml:space="preserve"> menu, selecting </w:t>
      </w:r>
      <w:r w:rsidRPr="000665B0">
        <w:rPr>
          <w:b/>
          <w:bCs/>
        </w:rPr>
        <w:t>Zoom In</w:t>
      </w:r>
      <w:r w:rsidRPr="000665B0">
        <w:t xml:space="preserve">, or pressing </w:t>
      </w:r>
      <w:r w:rsidRPr="000665B0">
        <w:rPr>
          <w:b/>
        </w:rPr>
        <w:t>F2</w:t>
      </w:r>
      <w:r w:rsidRPr="000665B0">
        <w:t xml:space="preserve"> on the keyboard, or clicking the zoom-in magnifying glass </w:t>
      </w:r>
      <w:r w:rsidRPr="000665B0">
        <w:rPr>
          <w:noProof/>
        </w:rPr>
        <w:drawing>
          <wp:inline distT="0" distB="0" distL="0" distR="0" wp14:anchorId="30E94BFB" wp14:editId="7B228D7D">
            <wp:extent cx="146050" cy="158750"/>
            <wp:effectExtent l="0" t="0" r="6350" b="0"/>
            <wp:docPr id="268" name="Picture 268" descr="Zoom I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Zoom In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46050" cy="158750"/>
                    </a:xfrm>
                    <a:prstGeom prst="rect">
                      <a:avLst/>
                    </a:prstGeom>
                    <a:noFill/>
                    <a:ln>
                      <a:noFill/>
                    </a:ln>
                  </pic:spPr>
                </pic:pic>
              </a:graphicData>
            </a:graphic>
          </wp:inline>
        </w:drawing>
      </w:r>
      <w:r w:rsidRPr="000665B0">
        <w:t xml:space="preserve"> on the toolbar increases the map </w:t>
      </w:r>
      <w:r w:rsidR="00EB54F7" w:rsidRPr="000665B0">
        <w:t xml:space="preserve">magnification </w:t>
      </w:r>
      <w:r w:rsidRPr="000665B0">
        <w:t>by double.</w:t>
      </w:r>
    </w:p>
    <w:p w14:paraId="5E7C5252" w14:textId="4345D968" w:rsidR="006D2DF6" w:rsidRPr="000665B0" w:rsidRDefault="006D2DF6" w:rsidP="009570CA">
      <w:pPr>
        <w:rPr>
          <w:bCs/>
        </w:rPr>
      </w:pPr>
      <w:r w:rsidRPr="000665B0">
        <w:t>If the Geo Display has the input focus, zoom in can also be accomplished by using the mouse wheel.</w:t>
      </w:r>
    </w:p>
    <w:p w14:paraId="69B23D20" w14:textId="6D2B112B" w:rsidR="00EF3C0F" w:rsidRPr="000665B0" w:rsidRDefault="00EB54F7" w:rsidP="009570CA">
      <w:pPr>
        <w:pStyle w:val="Heading5"/>
        <w:rPr>
          <w:bCs/>
        </w:rPr>
      </w:pPr>
      <w:bookmarkStart w:id="5248" w:name="_Hlk69809119"/>
      <w:r w:rsidRPr="000665B0">
        <w:rPr>
          <w:bCs/>
        </w:rPr>
        <w:t xml:space="preserve">Show </w:t>
      </w:r>
      <w:r w:rsidR="004C236E">
        <w:rPr>
          <w:bCs/>
        </w:rPr>
        <w:t xml:space="preserve">Filtered </w:t>
      </w:r>
      <w:r w:rsidRPr="000665B0">
        <w:rPr>
          <w:bCs/>
        </w:rPr>
        <w:t>Tracks</w:t>
      </w:r>
    </w:p>
    <w:p w14:paraId="1FC92C88" w14:textId="33F20421" w:rsidR="00EF3C0F" w:rsidRPr="000665B0" w:rsidRDefault="00424B8E" w:rsidP="009570CA">
      <w:r w:rsidRPr="000665B0">
        <w:t xml:space="preserve">To toggle the display on/off of tracks on the Geo Display and GOM: From the </w:t>
      </w:r>
      <w:r w:rsidRPr="000665B0">
        <w:rPr>
          <w:b/>
        </w:rPr>
        <w:t>View</w:t>
      </w:r>
      <w:r w:rsidRPr="000665B0">
        <w:t xml:space="preserve"> menu, select </w:t>
      </w:r>
      <w:r w:rsidRPr="000665B0">
        <w:rPr>
          <w:b/>
        </w:rPr>
        <w:t xml:space="preserve">Show </w:t>
      </w:r>
      <w:r w:rsidR="004C236E">
        <w:rPr>
          <w:b/>
        </w:rPr>
        <w:t xml:space="preserve">Filtered </w:t>
      </w:r>
      <w:r w:rsidRPr="000665B0">
        <w:rPr>
          <w:b/>
        </w:rPr>
        <w:t>Tracks</w:t>
      </w:r>
      <w:r w:rsidRPr="000665B0">
        <w:t xml:space="preserve">, or click the </w:t>
      </w:r>
      <w:r w:rsidRPr="000665B0">
        <w:rPr>
          <w:b/>
        </w:rPr>
        <w:t xml:space="preserve">Show </w:t>
      </w:r>
      <w:r w:rsidR="004C236E">
        <w:rPr>
          <w:b/>
        </w:rPr>
        <w:t xml:space="preserve">Filtered </w:t>
      </w:r>
      <w:r w:rsidRPr="000665B0">
        <w:rPr>
          <w:b/>
        </w:rPr>
        <w:t>Tracks</w:t>
      </w:r>
      <w:r w:rsidRPr="000665B0">
        <w:t xml:space="preserve"> icon </w:t>
      </w:r>
      <w:r w:rsidRPr="000665B0">
        <w:rPr>
          <w:noProof/>
          <w:position w:val="-6"/>
        </w:rPr>
        <w:drawing>
          <wp:inline distT="0" distB="0" distL="0" distR="0" wp14:anchorId="3D960836" wp14:editId="779AECAB">
            <wp:extent cx="164306" cy="171450"/>
            <wp:effectExtent l="0" t="0" r="7620" b="0"/>
            <wp:docPr id="2313" name="Picture 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66590" cy="173833"/>
                    </a:xfrm>
                    <a:prstGeom prst="rect">
                      <a:avLst/>
                    </a:prstGeom>
                    <a:noFill/>
                  </pic:spPr>
                </pic:pic>
              </a:graphicData>
            </a:graphic>
          </wp:inline>
        </w:drawing>
      </w:r>
      <w:r w:rsidRPr="000665B0">
        <w:t xml:space="preserve"> on the toolbar.</w:t>
      </w:r>
      <w:r w:rsidR="000D7C48" w:rsidRPr="000665B0">
        <w:t xml:space="preserve"> All Tracks of Interest (see </w:t>
      </w:r>
      <w:hyperlink w:anchor="_Display_Geographically_2" w:history="1">
        <w:r w:rsidR="000D7C48" w:rsidRPr="00063498">
          <w:rPr>
            <w:rStyle w:val="Hyperlink"/>
          </w:rPr>
          <w:t xml:space="preserve">Section </w:t>
        </w:r>
        <w:r w:rsidR="004231CC">
          <w:rPr>
            <w:rStyle w:val="Hyperlink"/>
          </w:rPr>
          <w:t>5.32</w:t>
        </w:r>
        <w:r w:rsidR="000D7C48" w:rsidRPr="00063498">
          <w:rPr>
            <w:rStyle w:val="Hyperlink"/>
          </w:rPr>
          <w:t>.</w:t>
        </w:r>
        <w:r w:rsidR="00063498" w:rsidRPr="00063498">
          <w:rPr>
            <w:rStyle w:val="Hyperlink"/>
          </w:rPr>
          <w:t>7</w:t>
        </w:r>
      </w:hyperlink>
      <w:r w:rsidR="000D7C48" w:rsidRPr="000665B0">
        <w:t xml:space="preserve"> are also automatically displayed geographically, and on the GOM in a separate tree level from other tracks. The lock icon indicates that they cannot be deleted.</w:t>
      </w:r>
    </w:p>
    <w:p w14:paraId="24B6E5DB" w14:textId="48E9333A" w:rsidR="00EF3C0F" w:rsidRPr="000665B0" w:rsidRDefault="00EB54F7" w:rsidP="009570CA">
      <w:pPr>
        <w:pStyle w:val="Heading5"/>
        <w:rPr>
          <w:bCs/>
        </w:rPr>
      </w:pPr>
      <w:r w:rsidRPr="000665B0">
        <w:rPr>
          <w:bCs/>
        </w:rPr>
        <w:t xml:space="preserve">Filter </w:t>
      </w:r>
      <w:r w:rsidR="00ED55BE" w:rsidRPr="000665B0">
        <w:rPr>
          <w:bCs/>
        </w:rPr>
        <w:t xml:space="preserve">Displayed </w:t>
      </w:r>
      <w:r w:rsidRPr="000665B0">
        <w:rPr>
          <w:bCs/>
        </w:rPr>
        <w:t>Tracks</w:t>
      </w:r>
    </w:p>
    <w:p w14:paraId="2B961BAC" w14:textId="053D4B05" w:rsidR="00EF3C0F" w:rsidRPr="000665B0" w:rsidRDefault="00ED55BE" w:rsidP="009570CA">
      <w:pPr>
        <w:rPr>
          <w:bCs/>
        </w:rPr>
      </w:pPr>
      <w:r w:rsidRPr="000665B0">
        <w:t xml:space="preserve">The tracks that are displayed geographically can be filtered to narrow the criteria of </w:t>
      </w:r>
      <w:r w:rsidR="00A857BF" w:rsidRPr="000665B0">
        <w:t>which</w:t>
      </w:r>
      <w:r w:rsidRPr="000665B0">
        <w:t xml:space="preserve"> tracks are displayed. </w:t>
      </w:r>
      <w:r w:rsidR="00A875EC" w:rsidRPr="000665B0">
        <w:t xml:space="preserve">From the </w:t>
      </w:r>
      <w:r w:rsidR="00A875EC" w:rsidRPr="000665B0">
        <w:rPr>
          <w:b/>
        </w:rPr>
        <w:t>View</w:t>
      </w:r>
      <w:r w:rsidR="00A875EC" w:rsidRPr="000665B0">
        <w:t xml:space="preserve"> menu, select </w:t>
      </w:r>
      <w:r w:rsidR="00A875EC" w:rsidRPr="000665B0">
        <w:rPr>
          <w:b/>
        </w:rPr>
        <w:t>Filter Tracks</w:t>
      </w:r>
      <w:r w:rsidR="00A875EC" w:rsidRPr="000665B0">
        <w:t xml:space="preserve">, or click the </w:t>
      </w:r>
      <w:r w:rsidR="00A875EC" w:rsidRPr="000665B0">
        <w:rPr>
          <w:b/>
        </w:rPr>
        <w:t xml:space="preserve">Filter </w:t>
      </w:r>
      <w:r w:rsidR="00036BF7" w:rsidRPr="000665B0">
        <w:rPr>
          <w:b/>
        </w:rPr>
        <w:t xml:space="preserve">Displayed </w:t>
      </w:r>
      <w:r w:rsidR="00A875EC" w:rsidRPr="000665B0">
        <w:rPr>
          <w:b/>
        </w:rPr>
        <w:t>Tracks</w:t>
      </w:r>
      <w:r w:rsidR="00A875EC" w:rsidRPr="000665B0">
        <w:t xml:space="preserve"> </w:t>
      </w:r>
      <w:r w:rsidR="00F73415" w:rsidRPr="000665B0">
        <w:t>icon</w:t>
      </w:r>
      <w:r w:rsidR="00A875EC" w:rsidRPr="000665B0">
        <w:t xml:space="preserve"> </w:t>
      </w:r>
      <w:r w:rsidR="00A875EC" w:rsidRPr="000665B0">
        <w:rPr>
          <w:noProof/>
          <w:position w:val="-6"/>
        </w:rPr>
        <w:drawing>
          <wp:inline distT="0" distB="0" distL="0" distR="0" wp14:anchorId="75A5E519" wp14:editId="0D764A7E">
            <wp:extent cx="200025" cy="190500"/>
            <wp:effectExtent l="0" t="0" r="9525" b="0"/>
            <wp:docPr id="2248" name="Picture 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0025" cy="190500"/>
                    </a:xfrm>
                    <a:prstGeom prst="rect">
                      <a:avLst/>
                    </a:prstGeom>
                    <a:noFill/>
                  </pic:spPr>
                </pic:pic>
              </a:graphicData>
            </a:graphic>
          </wp:inline>
        </w:drawing>
      </w:r>
      <w:r w:rsidR="00A875EC" w:rsidRPr="000665B0">
        <w:t xml:space="preserve"> on the toolbar </w:t>
      </w:r>
      <w:r w:rsidR="000D7C48" w:rsidRPr="000665B0">
        <w:t xml:space="preserve">to </w:t>
      </w:r>
      <w:r w:rsidR="00036BF7" w:rsidRPr="000665B0">
        <w:t xml:space="preserve">invoke the </w:t>
      </w:r>
      <w:r w:rsidR="00036BF7" w:rsidRPr="000665B0">
        <w:rPr>
          <w:i/>
        </w:rPr>
        <w:t>Filter Displayed Tracks</w:t>
      </w:r>
      <w:r w:rsidR="00036BF7" w:rsidRPr="000665B0">
        <w:t xml:space="preserve"> window</w:t>
      </w:r>
      <w:r w:rsidR="00A875EC" w:rsidRPr="000665B0">
        <w:t>.</w:t>
      </w:r>
      <w:r w:rsidR="000D7C48" w:rsidRPr="000665B0">
        <w:t xml:space="preserve"> See </w:t>
      </w:r>
      <w:hyperlink w:anchor="_Filter__Displayed_1" w:history="1">
        <w:r w:rsidR="000D7C48" w:rsidRPr="000665B0">
          <w:rPr>
            <w:rStyle w:val="Hyperlink"/>
          </w:rPr>
          <w:t xml:space="preserve">Section </w:t>
        </w:r>
        <w:r w:rsidR="004231CC">
          <w:rPr>
            <w:rStyle w:val="Hyperlink"/>
          </w:rPr>
          <w:t>5.32</w:t>
        </w:r>
        <w:r w:rsidR="000D7C48" w:rsidRPr="000665B0">
          <w:rPr>
            <w:rStyle w:val="Hyperlink"/>
          </w:rPr>
          <w:t>.</w:t>
        </w:r>
        <w:r w:rsidR="00484D76">
          <w:rPr>
            <w:rStyle w:val="Hyperlink"/>
          </w:rPr>
          <w:t>1</w:t>
        </w:r>
        <w:r w:rsidRPr="000665B0">
          <w:rPr>
            <w:rStyle w:val="Hyperlink"/>
          </w:rPr>
          <w:t>.</w:t>
        </w:r>
        <w:r w:rsidR="00484D76">
          <w:rPr>
            <w:rStyle w:val="Hyperlink"/>
          </w:rPr>
          <w:t>1</w:t>
        </w:r>
      </w:hyperlink>
      <w:r w:rsidR="000D7C48" w:rsidRPr="000665B0">
        <w:t xml:space="preserve"> for more information about the filter’s settings.</w:t>
      </w:r>
    </w:p>
    <w:bookmarkEnd w:id="5243"/>
    <w:bookmarkEnd w:id="5244"/>
    <w:bookmarkEnd w:id="5245"/>
    <w:bookmarkEnd w:id="5246"/>
    <w:bookmarkEnd w:id="5247"/>
    <w:bookmarkEnd w:id="5248"/>
    <w:p w14:paraId="626EEF33" w14:textId="2EEDEB8F" w:rsidR="00AF44AB" w:rsidRPr="000665B0" w:rsidRDefault="00AF44AB" w:rsidP="009570CA">
      <w:pPr>
        <w:pStyle w:val="Heading5"/>
      </w:pPr>
      <w:r w:rsidRPr="000665B0">
        <w:t>Zoom Out (F3)</w:t>
      </w:r>
    </w:p>
    <w:p w14:paraId="54DB6871" w14:textId="79022790" w:rsidR="00AF44AB" w:rsidRPr="000665B0" w:rsidRDefault="00AF44AB" w:rsidP="009570CA">
      <w:pPr>
        <w:rPr>
          <w:bCs/>
        </w:rPr>
      </w:pPr>
      <w:bookmarkStart w:id="5249" w:name="_Toc71955622"/>
      <w:bookmarkStart w:id="5250" w:name="_Toc96170166"/>
      <w:bookmarkStart w:id="5251" w:name="_Toc96234211"/>
      <w:bookmarkStart w:id="5252" w:name="_Toc112733635"/>
      <w:bookmarkStart w:id="5253" w:name="_Toc159315400"/>
      <w:r w:rsidRPr="000665B0">
        <w:t xml:space="preserve">From the </w:t>
      </w:r>
      <w:r w:rsidRPr="000665B0">
        <w:rPr>
          <w:b/>
        </w:rPr>
        <w:t>View</w:t>
      </w:r>
      <w:r w:rsidRPr="000665B0">
        <w:t xml:space="preserve"> menu, selecting </w:t>
      </w:r>
      <w:r w:rsidRPr="000665B0">
        <w:rPr>
          <w:b/>
          <w:bCs/>
        </w:rPr>
        <w:t>Zoom Out</w:t>
      </w:r>
      <w:r w:rsidRPr="000665B0">
        <w:t xml:space="preserve">, or pressing </w:t>
      </w:r>
      <w:r w:rsidRPr="000665B0">
        <w:rPr>
          <w:b/>
        </w:rPr>
        <w:t>F3</w:t>
      </w:r>
      <w:r w:rsidRPr="000665B0">
        <w:t xml:space="preserve"> on the keyboard, or clicking the zoom-out magnifying glass </w:t>
      </w:r>
      <w:r w:rsidRPr="000665B0">
        <w:rPr>
          <w:noProof/>
        </w:rPr>
        <w:drawing>
          <wp:inline distT="0" distB="0" distL="0" distR="0" wp14:anchorId="12B49490" wp14:editId="0E148CAF">
            <wp:extent cx="146050" cy="158750"/>
            <wp:effectExtent l="0" t="0" r="6350" b="0"/>
            <wp:docPr id="271" name="Picture 271" descr="Zoom Ou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Zoom Out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46050" cy="158750"/>
                    </a:xfrm>
                    <a:prstGeom prst="rect">
                      <a:avLst/>
                    </a:prstGeom>
                    <a:noFill/>
                    <a:ln>
                      <a:noFill/>
                    </a:ln>
                  </pic:spPr>
                </pic:pic>
              </a:graphicData>
            </a:graphic>
          </wp:inline>
        </w:drawing>
      </w:r>
      <w:r w:rsidRPr="000665B0">
        <w:t xml:space="preserve"> on the toolbar decreases the map </w:t>
      </w:r>
      <w:r w:rsidR="00EB54F7" w:rsidRPr="000665B0">
        <w:t xml:space="preserve">magnification </w:t>
      </w:r>
      <w:r w:rsidRPr="000665B0">
        <w:t>by half.</w:t>
      </w:r>
      <w:r w:rsidRPr="000665B0">
        <w:rPr>
          <w:bCs/>
        </w:rPr>
        <w:t xml:space="preserve"> </w:t>
      </w:r>
    </w:p>
    <w:p w14:paraId="0042ACFE" w14:textId="77777777" w:rsidR="006D2DF6" w:rsidRPr="000665B0" w:rsidRDefault="006D2DF6" w:rsidP="009570CA">
      <w:pPr>
        <w:spacing w:after="0"/>
      </w:pPr>
      <w:r w:rsidRPr="000665B0">
        <w:t>If the Geo Display has the input focus, zoom out can also be accomplished by using the mouse wheel.</w:t>
      </w:r>
    </w:p>
    <w:p w14:paraId="18F33C01" w14:textId="787298C6" w:rsidR="00AF44AB" w:rsidRPr="000665B0" w:rsidRDefault="00AF44AB" w:rsidP="009570CA">
      <w:pPr>
        <w:pStyle w:val="Heading5"/>
        <w:keepNext w:val="0"/>
      </w:pPr>
      <w:r w:rsidRPr="000665B0">
        <w:lastRenderedPageBreak/>
        <w:t>Lock Geo</w:t>
      </w:r>
    </w:p>
    <w:p w14:paraId="4651C0E4" w14:textId="77777777" w:rsidR="00AF44AB" w:rsidRPr="000665B0" w:rsidRDefault="00AF44AB" w:rsidP="009570CA">
      <w:pPr>
        <w:rPr>
          <w:bCs/>
        </w:rPr>
      </w:pPr>
      <w:bookmarkStart w:id="5254" w:name="_Toc289328686"/>
      <w:r w:rsidRPr="000665B0">
        <w:t xml:space="preserve">From the </w:t>
      </w:r>
      <w:r w:rsidRPr="000665B0">
        <w:rPr>
          <w:b/>
        </w:rPr>
        <w:t>View</w:t>
      </w:r>
      <w:r w:rsidRPr="000665B0">
        <w:t xml:space="preserve"> menu, selecting </w:t>
      </w:r>
      <w:r w:rsidRPr="000665B0">
        <w:rPr>
          <w:b/>
          <w:bCs/>
        </w:rPr>
        <w:t>Lock Geo,</w:t>
      </w:r>
      <w:r w:rsidRPr="000665B0">
        <w:rPr>
          <w:bCs/>
        </w:rPr>
        <w:t xml:space="preserve"> or clicking the lock button </w:t>
      </w:r>
      <w:r w:rsidRPr="000665B0">
        <w:rPr>
          <w:bCs/>
          <w:noProof/>
        </w:rPr>
        <w:drawing>
          <wp:inline distT="0" distB="0" distL="0" distR="0" wp14:anchorId="79B6A73E" wp14:editId="4565BEEF">
            <wp:extent cx="109855" cy="146050"/>
            <wp:effectExtent l="0" t="0" r="4445" b="6350"/>
            <wp:docPr id="272" name="Picture 272" descr="Geo Lock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Geo Lock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09855" cy="146050"/>
                    </a:xfrm>
                    <a:prstGeom prst="rect">
                      <a:avLst/>
                    </a:prstGeom>
                    <a:noFill/>
                    <a:ln>
                      <a:noFill/>
                    </a:ln>
                  </pic:spPr>
                </pic:pic>
              </a:graphicData>
            </a:graphic>
          </wp:inline>
        </w:drawing>
      </w:r>
      <w:r w:rsidRPr="000665B0">
        <w:rPr>
          <w:bCs/>
        </w:rPr>
        <w:t xml:space="preserve"> on the toolbar causes the zoom level and focus to remain unchanged when new Geo objects are added to the Geo Display. (Normally, when an object is added to the Geo Display, the zoom level and focus are changed, if necessary, so that the added object is visible.) When the zoom is locked, the </w:t>
      </w:r>
      <w:r w:rsidRPr="000665B0">
        <w:rPr>
          <w:b/>
          <w:bCs/>
        </w:rPr>
        <w:t>Lock</w:t>
      </w:r>
      <w:r w:rsidRPr="000665B0">
        <w:rPr>
          <w:bCs/>
        </w:rPr>
        <w:t xml:space="preserve"> button on the toolbar is surrounded by a gray square.</w:t>
      </w:r>
    </w:p>
    <w:bookmarkEnd w:id="5249"/>
    <w:bookmarkEnd w:id="5250"/>
    <w:bookmarkEnd w:id="5251"/>
    <w:bookmarkEnd w:id="5252"/>
    <w:bookmarkEnd w:id="5253"/>
    <w:bookmarkEnd w:id="5254"/>
    <w:p w14:paraId="4961BA75" w14:textId="5F5BDD3D" w:rsidR="00AF44AB" w:rsidRPr="000665B0" w:rsidRDefault="00AF44AB" w:rsidP="009570CA">
      <w:pPr>
        <w:pStyle w:val="Heading5"/>
        <w:keepNext w:val="0"/>
      </w:pPr>
      <w:r w:rsidRPr="000665B0">
        <w:t>Reset View</w:t>
      </w:r>
    </w:p>
    <w:p w14:paraId="453AFF6F" w14:textId="77777777" w:rsidR="00AF44AB" w:rsidRPr="000665B0" w:rsidRDefault="00AF44AB" w:rsidP="009570CA">
      <w:pPr>
        <w:spacing w:after="0"/>
      </w:pPr>
      <w:bookmarkStart w:id="5255" w:name="_Toc289328687"/>
      <w:bookmarkStart w:id="5256" w:name="_Toc96170167"/>
      <w:bookmarkStart w:id="5257" w:name="_Toc96234212"/>
      <w:bookmarkStart w:id="5258" w:name="_Toc112733636"/>
      <w:bookmarkStart w:id="5259" w:name="_Toc159315401"/>
      <w:bookmarkStart w:id="5260" w:name="_Toc71955628"/>
      <w:bookmarkStart w:id="5261" w:name="_Toc71955624"/>
      <w:r w:rsidRPr="000665B0">
        <w:t xml:space="preserve">From the </w:t>
      </w:r>
      <w:r w:rsidRPr="000665B0">
        <w:rPr>
          <w:b/>
        </w:rPr>
        <w:t>View</w:t>
      </w:r>
      <w:r w:rsidRPr="000665B0">
        <w:t xml:space="preserve"> menu, selecting </w:t>
      </w:r>
      <w:r w:rsidRPr="000665B0">
        <w:rPr>
          <w:b/>
          <w:bCs/>
        </w:rPr>
        <w:t>Reset View</w:t>
      </w:r>
      <w:r w:rsidRPr="000665B0">
        <w:t>, returns the display to the “world view” (a scale of 5,000 NM) centered at zero degrees latitude and longitude.</w:t>
      </w:r>
    </w:p>
    <w:bookmarkEnd w:id="5255"/>
    <w:p w14:paraId="03661281" w14:textId="624349FF" w:rsidR="00AF44AB" w:rsidRPr="000665B0" w:rsidRDefault="00AF44AB" w:rsidP="009570CA">
      <w:pPr>
        <w:pStyle w:val="Heading5"/>
        <w:keepNext w:val="0"/>
      </w:pPr>
      <w:r w:rsidRPr="000665B0">
        <w:t>Hide All Labels</w:t>
      </w:r>
    </w:p>
    <w:p w14:paraId="7DE095C8" w14:textId="77777777" w:rsidR="00EE4661" w:rsidRPr="000665B0" w:rsidRDefault="00EE4661" w:rsidP="009570CA">
      <w:r w:rsidRPr="000665B0">
        <w:t xml:space="preserve">From the </w:t>
      </w:r>
      <w:r w:rsidRPr="000665B0">
        <w:rPr>
          <w:b/>
        </w:rPr>
        <w:t>View</w:t>
      </w:r>
      <w:r w:rsidRPr="000665B0">
        <w:t xml:space="preserve"> menu, selecting </w:t>
      </w:r>
      <w:r w:rsidRPr="000665B0">
        <w:rPr>
          <w:b/>
        </w:rPr>
        <w:t>Hide All Labels</w:t>
      </w:r>
      <w:r w:rsidRPr="000665B0">
        <w:t xml:space="preserve">, or clicking the </w:t>
      </w:r>
      <w:r w:rsidRPr="000665B0">
        <w:rPr>
          <w:b/>
        </w:rPr>
        <w:t>Hide All Object Labels</w:t>
      </w:r>
      <w:r w:rsidRPr="000665B0">
        <w:t xml:space="preserve"> button </w:t>
      </w:r>
      <w:r w:rsidRPr="000665B0">
        <w:rPr>
          <w:noProof/>
          <w:position w:val="-4"/>
        </w:rPr>
        <w:drawing>
          <wp:inline distT="0" distB="0" distL="0" distR="0" wp14:anchorId="447FFBF4" wp14:editId="6B5ABADA">
            <wp:extent cx="152400" cy="123825"/>
            <wp:effectExtent l="0" t="0" r="0" b="9525"/>
            <wp:docPr id="274" name="Picture 274" descr="Labe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Label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23825"/>
                    </a:xfrm>
                    <a:prstGeom prst="rect">
                      <a:avLst/>
                    </a:prstGeom>
                    <a:noFill/>
                    <a:ln>
                      <a:noFill/>
                    </a:ln>
                  </pic:spPr>
                </pic:pic>
              </a:graphicData>
            </a:graphic>
          </wp:inline>
        </w:drawing>
      </w:r>
      <w:r w:rsidRPr="000665B0">
        <w:t xml:space="preserve"> on the toolbar causes labels for all Geo objects to be hidden. When labels are hidden, the </w:t>
      </w:r>
      <w:r w:rsidRPr="000665B0">
        <w:rPr>
          <w:b/>
        </w:rPr>
        <w:t>Hide All Object Labels</w:t>
      </w:r>
      <w:r w:rsidRPr="000665B0">
        <w:t xml:space="preserve"> button on the toolbar </w:t>
      </w:r>
      <w:r w:rsidRPr="000665B0">
        <w:rPr>
          <w:bCs/>
        </w:rPr>
        <w:t>is surrounded by a gray square</w:t>
      </w:r>
      <w:r w:rsidRPr="000665B0">
        <w:t>.</w:t>
      </w:r>
    </w:p>
    <w:p w14:paraId="2BDF1F54" w14:textId="42BF1F92" w:rsidR="006D2DF6" w:rsidRPr="000665B0" w:rsidRDefault="00EE4661" w:rsidP="009570CA">
      <w:r w:rsidRPr="000665B0">
        <w:t>The visibility of object labels may also be governed by map scale. See</w:t>
      </w:r>
      <w:r w:rsidR="0075347C" w:rsidRPr="000665B0">
        <w:t xml:space="preserve"> </w:t>
      </w:r>
      <w:hyperlink w:anchor="_5.30.7.1.2__Hiding" w:history="1">
        <w:r w:rsidR="0075347C" w:rsidRPr="000665B0">
          <w:rPr>
            <w:rStyle w:val="Hyperlink"/>
          </w:rPr>
          <w:t xml:space="preserve">Section </w:t>
        </w:r>
        <w:r w:rsidR="004231CC">
          <w:rPr>
            <w:rStyle w:val="Hyperlink"/>
          </w:rPr>
          <w:t>5.26</w:t>
        </w:r>
        <w:r w:rsidR="0075347C" w:rsidRPr="000665B0">
          <w:rPr>
            <w:rStyle w:val="Hyperlink"/>
          </w:rPr>
          <w:t>.7.1.2</w:t>
        </w:r>
      </w:hyperlink>
      <w:r w:rsidR="0075347C" w:rsidRPr="000665B0">
        <w:t>.</w:t>
      </w:r>
      <w:r w:rsidRPr="000665B0">
        <w:t xml:space="preserve"> </w:t>
      </w:r>
    </w:p>
    <w:p w14:paraId="29C1B528" w14:textId="4A7A9780" w:rsidR="00EE4661" w:rsidRPr="000665B0" w:rsidRDefault="00EE4661" w:rsidP="00DC3AA7">
      <w:pPr>
        <w:pStyle w:val="Heading5"/>
        <w:keepNext w:val="0"/>
      </w:pPr>
      <w:r w:rsidRPr="000665B0">
        <w:t>Close All Note Windows</w:t>
      </w:r>
    </w:p>
    <w:p w14:paraId="074F78A1" w14:textId="567AD6A9" w:rsidR="00EE4661" w:rsidRPr="000665B0" w:rsidRDefault="00EE4661" w:rsidP="009570CA">
      <w:pPr>
        <w:spacing w:after="0"/>
      </w:pPr>
      <w:bookmarkStart w:id="5262" w:name="_Toc289328689"/>
      <w:r w:rsidRPr="000665B0">
        <w:t xml:space="preserve">From the </w:t>
      </w:r>
      <w:r w:rsidRPr="000665B0">
        <w:rPr>
          <w:b/>
        </w:rPr>
        <w:t>View</w:t>
      </w:r>
      <w:r w:rsidRPr="000665B0">
        <w:t xml:space="preserve"> menu, selecting </w:t>
      </w:r>
      <w:r w:rsidRPr="000665B0">
        <w:rPr>
          <w:b/>
        </w:rPr>
        <w:t>Close All Note Windows</w:t>
      </w:r>
      <w:r w:rsidRPr="000665B0">
        <w:t xml:space="preserve">, or clicking the </w:t>
      </w:r>
      <w:r w:rsidRPr="000665B0">
        <w:rPr>
          <w:b/>
        </w:rPr>
        <w:t>Close All Note Windows</w:t>
      </w:r>
      <w:r w:rsidRPr="000665B0">
        <w:t xml:space="preserve"> button </w:t>
      </w:r>
      <w:r w:rsidRPr="000665B0">
        <w:rPr>
          <w:noProof/>
        </w:rPr>
        <w:drawing>
          <wp:inline distT="0" distB="0" distL="0" distR="0" wp14:anchorId="5B4958FA" wp14:editId="12BF29D8">
            <wp:extent cx="146050" cy="146050"/>
            <wp:effectExtent l="0" t="0" r="6350" b="6350"/>
            <wp:docPr id="275" name="Picture 275" descr="No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Note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46050" cy="146050"/>
                    </a:xfrm>
                    <a:prstGeom prst="rect">
                      <a:avLst/>
                    </a:prstGeom>
                    <a:noFill/>
                    <a:ln>
                      <a:noFill/>
                    </a:ln>
                  </pic:spPr>
                </pic:pic>
              </a:graphicData>
            </a:graphic>
          </wp:inline>
        </w:drawing>
      </w:r>
      <w:r w:rsidRPr="000665B0">
        <w:t xml:space="preserve"> on the toolbar closes all note windows open on the display. </w:t>
      </w:r>
    </w:p>
    <w:p w14:paraId="0ED37BB4" w14:textId="5C12D780" w:rsidR="00EE4661" w:rsidRPr="000665B0" w:rsidRDefault="00EE4661" w:rsidP="009570CA">
      <w:pPr>
        <w:pStyle w:val="Heading5"/>
        <w:keepNext w:val="0"/>
      </w:pPr>
      <w:bookmarkStart w:id="5263" w:name="_Display_Geo_Object"/>
      <w:bookmarkEnd w:id="5256"/>
      <w:bookmarkEnd w:id="5257"/>
      <w:bookmarkEnd w:id="5258"/>
      <w:bookmarkEnd w:id="5259"/>
      <w:bookmarkEnd w:id="5260"/>
      <w:bookmarkEnd w:id="5262"/>
      <w:bookmarkEnd w:id="5263"/>
      <w:r w:rsidRPr="000665B0">
        <w:t>Display Geo Object Manager</w:t>
      </w:r>
    </w:p>
    <w:p w14:paraId="623D593E" w14:textId="78E4C178" w:rsidR="006D2DF6" w:rsidRPr="000665B0" w:rsidRDefault="00EE4661" w:rsidP="009570CA">
      <w:r w:rsidRPr="000665B0">
        <w:t>The Geo Object Manager</w:t>
      </w:r>
      <w:r w:rsidR="005017BD" w:rsidRPr="000665B0">
        <w:t xml:space="preserve"> (GOM)</w:t>
      </w:r>
      <w:r w:rsidRPr="000665B0">
        <w:t xml:space="preserve"> presents a tree view of the objects that are displayed on top of the map data. When shown, it appears between the Geo Display and the MDS toolbox. To show the Geo Object Manager, select </w:t>
      </w:r>
      <w:r w:rsidRPr="000665B0">
        <w:rPr>
          <w:b/>
        </w:rPr>
        <w:t>Display Geo Object Manager</w:t>
      </w:r>
      <w:r w:rsidRPr="000665B0">
        <w:t xml:space="preserve"> from the </w:t>
      </w:r>
      <w:r w:rsidRPr="000665B0">
        <w:rPr>
          <w:b/>
        </w:rPr>
        <w:t>View</w:t>
      </w:r>
      <w:r w:rsidRPr="000665B0">
        <w:t xml:space="preserve"> menu or click the </w:t>
      </w:r>
      <w:r w:rsidRPr="000665B0">
        <w:rPr>
          <w:b/>
        </w:rPr>
        <w:t>Display</w:t>
      </w:r>
      <w:r w:rsidRPr="000665B0">
        <w:t xml:space="preserve"> </w:t>
      </w:r>
      <w:r w:rsidRPr="000665B0">
        <w:rPr>
          <w:b/>
        </w:rPr>
        <w:t>Geo Object Manager</w:t>
      </w:r>
      <w:r w:rsidRPr="000665B0">
        <w:t xml:space="preserve"> button </w:t>
      </w:r>
      <w:r w:rsidRPr="000665B0">
        <w:rPr>
          <w:noProof/>
        </w:rPr>
        <w:drawing>
          <wp:inline distT="0" distB="0" distL="0" distR="0" wp14:anchorId="6EDB4D10" wp14:editId="4AB505A1">
            <wp:extent cx="158750" cy="158750"/>
            <wp:effectExtent l="0" t="0" r="0" b="0"/>
            <wp:docPr id="277" name="Picture 277" descr="Object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Object Manager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on the toolbar. When the Geo Object Manager is being shown, the </w:t>
      </w:r>
      <w:r w:rsidRPr="000665B0">
        <w:rPr>
          <w:b/>
        </w:rPr>
        <w:t>Display</w:t>
      </w:r>
      <w:r w:rsidRPr="000665B0">
        <w:t xml:space="preserve"> </w:t>
      </w:r>
      <w:r w:rsidRPr="000665B0">
        <w:rPr>
          <w:b/>
        </w:rPr>
        <w:t>Geo Object Manager</w:t>
      </w:r>
      <w:r w:rsidRPr="000665B0">
        <w:t xml:space="preserve"> button on the toolbar </w:t>
      </w:r>
      <w:r w:rsidRPr="000665B0">
        <w:rPr>
          <w:bCs/>
        </w:rPr>
        <w:t>is surrounded by a gray square</w:t>
      </w:r>
      <w:r w:rsidRPr="000665B0">
        <w:t>.</w:t>
      </w:r>
      <w:r w:rsidR="00AB2EBA" w:rsidRPr="000665B0">
        <w:t xml:space="preserve"> </w:t>
      </w:r>
      <w:r w:rsidR="006D2DF6" w:rsidRPr="000665B0">
        <w:t xml:space="preserve">To hide the Geo Object Manager, select either </w:t>
      </w:r>
      <w:r w:rsidR="006D2DF6" w:rsidRPr="000665B0">
        <w:rPr>
          <w:b/>
        </w:rPr>
        <w:t>Display Geo Object Manager</w:t>
      </w:r>
      <w:r w:rsidR="006D2DF6" w:rsidRPr="000665B0">
        <w:t xml:space="preserve"> from the </w:t>
      </w:r>
      <w:r w:rsidR="006D2DF6" w:rsidRPr="000665B0">
        <w:rPr>
          <w:b/>
        </w:rPr>
        <w:t>View</w:t>
      </w:r>
      <w:r w:rsidR="006D2DF6" w:rsidRPr="000665B0">
        <w:t xml:space="preserve"> menu or the </w:t>
      </w:r>
      <w:r w:rsidR="006D2DF6" w:rsidRPr="000665B0">
        <w:rPr>
          <w:b/>
        </w:rPr>
        <w:t>Geo Object Manager</w:t>
      </w:r>
      <w:r w:rsidR="006D2DF6" w:rsidRPr="000665B0">
        <w:t xml:space="preserve"> button on the toolbar again.</w:t>
      </w:r>
    </w:p>
    <w:p w14:paraId="669589D8" w14:textId="186FF657" w:rsidR="006D2DF6" w:rsidRPr="000665B0" w:rsidRDefault="006D2DF6" w:rsidP="009570CA">
      <w:r w:rsidRPr="000665B0">
        <w:t>Using the Geo Object Manager tree view, a user can display</w:t>
      </w:r>
      <w:r w:rsidR="00AB2EBA" w:rsidRPr="000665B0">
        <w:t xml:space="preserve"> or hide</w:t>
      </w:r>
      <w:r w:rsidRPr="000665B0">
        <w:t xml:space="preserve"> </w:t>
      </w:r>
      <w:r w:rsidR="00DD0C68" w:rsidRPr="000665B0">
        <w:t xml:space="preserve">all or specific </w:t>
      </w:r>
      <w:r w:rsidR="00FE7AFD" w:rsidRPr="000665B0">
        <w:t>object</w:t>
      </w:r>
      <w:r w:rsidR="00DD0C68" w:rsidRPr="000665B0">
        <w:t>s</w:t>
      </w:r>
      <w:r w:rsidR="00FE7AFD" w:rsidRPr="000665B0">
        <w:t xml:space="preserve"> </w:t>
      </w:r>
      <w:r w:rsidRPr="000665B0">
        <w:t>by selecting</w:t>
      </w:r>
      <w:r w:rsidR="00AB2EBA" w:rsidRPr="000665B0">
        <w:t>/deselecting</w:t>
      </w:r>
      <w:r w:rsidRPr="000665B0">
        <w:t xml:space="preserve"> an </w:t>
      </w:r>
      <w:r w:rsidR="00FE7AFD" w:rsidRPr="000665B0">
        <w:t xml:space="preserve">object’s </w:t>
      </w:r>
      <w:r w:rsidRPr="000665B0">
        <w:t xml:space="preserve">checkbox. For example: To show all the missions in the display, click the checkbox in front of the Mission </w:t>
      </w:r>
      <w:r w:rsidR="00FE7AFD" w:rsidRPr="000665B0">
        <w:t>object</w:t>
      </w:r>
      <w:r w:rsidRPr="000665B0">
        <w:t xml:space="preserve">. </w:t>
      </w:r>
      <w:r w:rsidR="00FC0983" w:rsidRPr="000665B0">
        <w:t>T</w:t>
      </w:r>
      <w:r w:rsidRPr="000665B0">
        <w:t>o hide all the missions, uncheck the Mission checkbox.</w:t>
      </w:r>
      <w:r w:rsidR="00FA0E3A" w:rsidRPr="000665B0">
        <w:t xml:space="preserve"> Display or hide </w:t>
      </w:r>
      <w:r w:rsidR="00DD0C68" w:rsidRPr="000665B0">
        <w:t>specific objects</w:t>
      </w:r>
      <w:r w:rsidR="00FE7AFD" w:rsidRPr="000665B0">
        <w:t xml:space="preserve"> </w:t>
      </w:r>
      <w:r w:rsidR="00E37C9A" w:rsidRPr="000665B0">
        <w:t>in the tree view</w:t>
      </w:r>
      <w:r w:rsidR="00AB2EBA" w:rsidRPr="000665B0">
        <w:t xml:space="preserve"> in the same manner</w:t>
      </w:r>
      <w:r w:rsidR="00FA0E3A" w:rsidRPr="000665B0">
        <w:t xml:space="preserve">. </w:t>
      </w:r>
      <w:r w:rsidR="0037038E" w:rsidRPr="000665B0">
        <w:t>Double-click</w:t>
      </w:r>
      <w:r w:rsidR="00FA0E3A" w:rsidRPr="000665B0">
        <w:t xml:space="preserve"> </w:t>
      </w:r>
      <w:r w:rsidR="00FE7AFD" w:rsidRPr="000665B0">
        <w:t xml:space="preserve">a </w:t>
      </w:r>
      <w:r w:rsidR="00DD0C68" w:rsidRPr="000665B0">
        <w:t>specific object’s</w:t>
      </w:r>
      <w:r w:rsidR="00FE7AFD" w:rsidRPr="000665B0">
        <w:t xml:space="preserve"> </w:t>
      </w:r>
      <w:r w:rsidR="001449AD" w:rsidRPr="000665B0">
        <w:t>name/title</w:t>
      </w:r>
      <w:r w:rsidR="00FA0E3A" w:rsidRPr="000665B0">
        <w:t xml:space="preserve"> in the Geo Object Manager to center the map display on that </w:t>
      </w:r>
      <w:r w:rsidR="00FE7AFD" w:rsidRPr="000665B0">
        <w:t>object</w:t>
      </w:r>
      <w:r w:rsidR="00FA0E3A" w:rsidRPr="000665B0">
        <w:t>.</w:t>
      </w:r>
    </w:p>
    <w:p w14:paraId="11D61A02" w14:textId="7ACF7B7A" w:rsidR="00E37C9A" w:rsidRPr="000665B0" w:rsidRDefault="00F156DD" w:rsidP="009570CA">
      <w:pPr>
        <w:jc w:val="center"/>
      </w:pPr>
      <w:r w:rsidRPr="000665B0">
        <w:rPr>
          <w:noProof/>
        </w:rPr>
        <w:lastRenderedPageBreak/>
        <w:drawing>
          <wp:inline distT="0" distB="0" distL="0" distR="0" wp14:anchorId="2AE4409C" wp14:editId="7078BF9A">
            <wp:extent cx="1408682" cy="2373630"/>
            <wp:effectExtent l="0" t="0" r="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417294" cy="2388140"/>
                    </a:xfrm>
                    <a:prstGeom prst="rect">
                      <a:avLst/>
                    </a:prstGeom>
                  </pic:spPr>
                </pic:pic>
              </a:graphicData>
            </a:graphic>
          </wp:inline>
        </w:drawing>
      </w:r>
    </w:p>
    <w:p w14:paraId="5DB07FD6" w14:textId="7B566856" w:rsidR="00EE4661" w:rsidRPr="000665B0" w:rsidRDefault="00EE4661" w:rsidP="00306174">
      <w:pPr>
        <w:pStyle w:val="Heading6"/>
      </w:pPr>
      <w:bookmarkStart w:id="5264" w:name="_5.30.2.2.7.1__Common"/>
      <w:bookmarkEnd w:id="5264"/>
      <w:r w:rsidRPr="000665B0">
        <w:t>Common Geo Object Context Menus</w:t>
      </w:r>
    </w:p>
    <w:p w14:paraId="57252F06" w14:textId="40F8B6CF" w:rsidR="00E37C9A" w:rsidRPr="000665B0" w:rsidRDefault="00D71804" w:rsidP="009570CA">
      <w:r w:rsidRPr="000665B0">
        <w:t>Right-click</w:t>
      </w:r>
      <w:r w:rsidR="00A95BE6" w:rsidRPr="000665B0">
        <w:t xml:space="preserve"> </w:t>
      </w:r>
      <w:r w:rsidR="00DD0C68" w:rsidRPr="000665B0">
        <w:t>an object to</w:t>
      </w:r>
      <w:r w:rsidR="00A95BE6" w:rsidRPr="000665B0">
        <w:t xml:space="preserve"> highlight it and i</w:t>
      </w:r>
      <w:r w:rsidR="00E37C9A" w:rsidRPr="000665B0">
        <w:t>nvoke the context menu (</w:t>
      </w:r>
      <w:r w:rsidRPr="000665B0">
        <w:t>right-click</w:t>
      </w:r>
      <w:r w:rsidR="00E37C9A" w:rsidRPr="000665B0">
        <w:t xml:space="preserve"> the mouse) in the Geo Object Manager</w:t>
      </w:r>
      <w:r w:rsidR="00A95BE6" w:rsidRPr="000665B0">
        <w:t xml:space="preserve">. To quickly highlight multiple </w:t>
      </w:r>
      <w:r w:rsidR="000D738E" w:rsidRPr="000665B0">
        <w:t>objects</w:t>
      </w:r>
      <w:r w:rsidR="007E141E" w:rsidRPr="000665B0">
        <w:t>, (</w:t>
      </w:r>
      <w:r w:rsidR="004D5F0A" w:rsidRPr="000665B0">
        <w:t>e.g.,</w:t>
      </w:r>
      <w:r w:rsidR="007E141E" w:rsidRPr="000665B0">
        <w:t xml:space="preserve"> to highlight all Overlays) click and drag the mouse over all </w:t>
      </w:r>
      <w:r w:rsidR="000D738E" w:rsidRPr="000665B0">
        <w:t>objects</w:t>
      </w:r>
      <w:r w:rsidR="007E141E" w:rsidRPr="000665B0">
        <w:t xml:space="preserve">. Alternatively, </w:t>
      </w:r>
      <w:r w:rsidRPr="000665B0">
        <w:t>right-click</w:t>
      </w:r>
      <w:r w:rsidR="007E141E" w:rsidRPr="000665B0">
        <w:t xml:space="preserve"> an </w:t>
      </w:r>
      <w:r w:rsidR="00FE7AFD" w:rsidRPr="000665B0">
        <w:t>object (such as Overlay)</w:t>
      </w:r>
      <w:r w:rsidR="007E141E" w:rsidRPr="000665B0">
        <w:t xml:space="preserve">, hold the </w:t>
      </w:r>
      <w:r w:rsidR="007E141E" w:rsidRPr="000665B0">
        <w:rPr>
          <w:b/>
        </w:rPr>
        <w:t>Shift</w:t>
      </w:r>
      <w:r w:rsidR="007E141E" w:rsidRPr="000665B0">
        <w:t xml:space="preserve"> key</w:t>
      </w:r>
      <w:r w:rsidR="00FE7AFD" w:rsidRPr="000665B0">
        <w:t>,</w:t>
      </w:r>
      <w:r w:rsidR="007E141E" w:rsidRPr="000665B0">
        <w:t xml:space="preserve"> and use the </w:t>
      </w:r>
      <w:r w:rsidR="007E141E" w:rsidRPr="000665B0">
        <w:rPr>
          <w:b/>
        </w:rPr>
        <w:t>Up</w:t>
      </w:r>
      <w:r w:rsidR="007E141E" w:rsidRPr="000665B0">
        <w:t>/</w:t>
      </w:r>
      <w:r w:rsidR="007E141E" w:rsidRPr="000665B0">
        <w:rPr>
          <w:b/>
        </w:rPr>
        <w:t>Down</w:t>
      </w:r>
      <w:r w:rsidR="007E141E" w:rsidRPr="000665B0">
        <w:t xml:space="preserve"> arrow keys to highlight its </w:t>
      </w:r>
      <w:r w:rsidR="000D738E" w:rsidRPr="000665B0">
        <w:t>objects</w:t>
      </w:r>
      <w:r w:rsidR="00CB55FC" w:rsidRPr="000665B0">
        <w:t xml:space="preserve"> in the tree view</w:t>
      </w:r>
      <w:r w:rsidR="007E141E" w:rsidRPr="000665B0">
        <w:t xml:space="preserve">. Note that only one type of </w:t>
      </w:r>
      <w:r w:rsidR="00FE7AFD" w:rsidRPr="000665B0">
        <w:t>object</w:t>
      </w:r>
      <w:r w:rsidR="007E141E" w:rsidRPr="000665B0">
        <w:t xml:space="preserve"> may be highlighted at one time (</w:t>
      </w:r>
      <w:r w:rsidR="003509EA" w:rsidRPr="000665B0">
        <w:t xml:space="preserve">i.e., </w:t>
      </w:r>
      <w:r w:rsidR="007E141E" w:rsidRPr="000665B0">
        <w:t xml:space="preserve">all ACMSs or all Missions). To unhighlight an </w:t>
      </w:r>
      <w:r w:rsidR="00FE7AFD" w:rsidRPr="000665B0">
        <w:t>object</w:t>
      </w:r>
      <w:r w:rsidR="007E141E" w:rsidRPr="000665B0">
        <w:t xml:space="preserve">, </w:t>
      </w:r>
      <w:r w:rsidRPr="000665B0">
        <w:t>right-click</w:t>
      </w:r>
      <w:r w:rsidR="007E141E" w:rsidRPr="000665B0">
        <w:t xml:space="preserve"> </w:t>
      </w:r>
      <w:r w:rsidR="0054131B" w:rsidRPr="000665B0">
        <w:t xml:space="preserve">another </w:t>
      </w:r>
      <w:r w:rsidR="00FE7AFD" w:rsidRPr="000665B0">
        <w:t>object</w:t>
      </w:r>
      <w:r w:rsidR="0054131B" w:rsidRPr="000665B0">
        <w:t xml:space="preserve"> of a different type</w:t>
      </w:r>
      <w:r w:rsidR="007E141E" w:rsidRPr="000665B0">
        <w:t xml:space="preserve">. </w:t>
      </w:r>
      <w:r w:rsidR="000D738E" w:rsidRPr="000665B0">
        <w:t>The following context menu choices are accessible in the Geo Object Manager as well as</w:t>
      </w:r>
      <w:r w:rsidR="00C76A7A" w:rsidRPr="000665B0">
        <w:t xml:space="preserve"> in</w:t>
      </w:r>
      <w:r w:rsidR="000D738E" w:rsidRPr="000665B0">
        <w:t xml:space="preserve"> the Geo Display. Menu selections will depend on the type of </w:t>
      </w:r>
      <w:r w:rsidR="00C76A7A" w:rsidRPr="000665B0">
        <w:t>Geo O</w:t>
      </w:r>
      <w:r w:rsidR="000D738E" w:rsidRPr="000665B0">
        <w:t>bject selected.</w:t>
      </w:r>
      <w:r w:rsidR="00445F3C">
        <w:t xml:space="preserve"> Tracks also have a context menu associated with them (see </w:t>
      </w:r>
      <w:hyperlink w:anchor="_TRACKS_TOOL" w:history="1">
        <w:r w:rsidR="00445F3C" w:rsidRPr="00445F3C">
          <w:rPr>
            <w:rStyle w:val="Hyperlink"/>
          </w:rPr>
          <w:t xml:space="preserve">Section </w:t>
        </w:r>
        <w:r w:rsidR="004231CC">
          <w:rPr>
            <w:rStyle w:val="Hyperlink"/>
          </w:rPr>
          <w:t>5.32</w:t>
        </w:r>
      </w:hyperlink>
      <w:r w:rsidR="00445F3C">
        <w:t>).</w:t>
      </w:r>
    </w:p>
    <w:p w14:paraId="4889E3CD" w14:textId="56CF9BA4" w:rsidR="006D2DF6" w:rsidRPr="000665B0" w:rsidRDefault="006D2DF6" w:rsidP="006D5A65">
      <w:pPr>
        <w:pStyle w:val="Heading1"/>
      </w:pPr>
      <w:r w:rsidRPr="000665B0">
        <w:lastRenderedPageBreak/>
        <w:t xml:space="preserve">Show Note – </w:t>
      </w:r>
      <w:r w:rsidR="008A2DDD" w:rsidRPr="000665B0">
        <w:t>Invokes a sub-menu to d</w:t>
      </w:r>
      <w:r w:rsidRPr="000665B0">
        <w:t>isplay Geo Object information in a bubble box on the Geo Display.</w:t>
      </w:r>
    </w:p>
    <w:p w14:paraId="6CF51B84" w14:textId="77777777" w:rsidR="00E37C9A" w:rsidRPr="000665B0" w:rsidRDefault="00E37C9A" w:rsidP="006D5A65">
      <w:pPr>
        <w:pStyle w:val="Heading1"/>
      </w:pPr>
      <w:r w:rsidRPr="000665B0">
        <w:t>Show 4-Whisky Cells and Labels – Displays 4-Whisky cells and labels if applicable.</w:t>
      </w:r>
    </w:p>
    <w:p w14:paraId="122D9450" w14:textId="77777777" w:rsidR="006D2DF6" w:rsidRPr="000665B0" w:rsidRDefault="006D2DF6" w:rsidP="006D5A65">
      <w:pPr>
        <w:pStyle w:val="Heading1"/>
      </w:pPr>
      <w:r w:rsidRPr="000665B0">
        <w:t>Show Textually – Displays the Geo Object’s textual view.</w:t>
      </w:r>
    </w:p>
    <w:p w14:paraId="799F7030" w14:textId="77777777" w:rsidR="00A95BE6" w:rsidRPr="000665B0" w:rsidRDefault="00A95BE6" w:rsidP="006D5A65">
      <w:pPr>
        <w:pStyle w:val="Heading1"/>
      </w:pPr>
      <w:r w:rsidRPr="000665B0">
        <w:t>Route</w:t>
      </w:r>
      <w:r w:rsidR="000D738E" w:rsidRPr="000665B0">
        <w:t>s</w:t>
      </w:r>
      <w:r w:rsidRPr="000665B0">
        <w:t xml:space="preserve"> – Show/hide selected mission routes if applicable.</w:t>
      </w:r>
    </w:p>
    <w:p w14:paraId="749FEB4D" w14:textId="77777777" w:rsidR="006D2DF6" w:rsidRPr="000665B0" w:rsidRDefault="006D2DF6" w:rsidP="006D5A65">
      <w:pPr>
        <w:pStyle w:val="Heading1"/>
      </w:pPr>
      <w:r w:rsidRPr="000665B0">
        <w:t xml:space="preserve">Remove – Removes the </w:t>
      </w:r>
      <w:r w:rsidR="00CB55FC" w:rsidRPr="000665B0">
        <w:t>Geo Object</w:t>
      </w:r>
      <w:r w:rsidRPr="000665B0">
        <w:t>.</w:t>
      </w:r>
    </w:p>
    <w:p w14:paraId="3612F191" w14:textId="77777777" w:rsidR="006D2DF6" w:rsidRPr="000665B0" w:rsidRDefault="006D2DF6" w:rsidP="006D5A65">
      <w:pPr>
        <w:pStyle w:val="Heading1"/>
      </w:pPr>
      <w:r w:rsidRPr="000665B0">
        <w:t xml:space="preserve">Show – Displays or hides the </w:t>
      </w:r>
      <w:r w:rsidR="00CB55FC" w:rsidRPr="000665B0">
        <w:t>Geo Object</w:t>
      </w:r>
      <w:r w:rsidRPr="000665B0">
        <w:t>.</w:t>
      </w:r>
    </w:p>
    <w:p w14:paraId="0FCA269D" w14:textId="77777777" w:rsidR="006D2DF6" w:rsidRPr="000665B0" w:rsidRDefault="006D2DF6" w:rsidP="006D5A65">
      <w:pPr>
        <w:pStyle w:val="Heading1"/>
      </w:pPr>
      <w:r w:rsidRPr="000665B0">
        <w:t xml:space="preserve">Bring to Front – Draws the selected </w:t>
      </w:r>
      <w:r w:rsidR="00CB55FC" w:rsidRPr="000665B0">
        <w:t xml:space="preserve">Geo Object </w:t>
      </w:r>
      <w:r w:rsidRPr="000665B0">
        <w:t>on top of all others, when shown.</w:t>
      </w:r>
    </w:p>
    <w:p w14:paraId="59380DD4" w14:textId="77777777" w:rsidR="006D2DF6" w:rsidRPr="000665B0" w:rsidRDefault="006D2DF6" w:rsidP="006D5A65">
      <w:pPr>
        <w:pStyle w:val="Heading1"/>
      </w:pPr>
      <w:r w:rsidRPr="000665B0">
        <w:t xml:space="preserve">Push to Back – Draws the selected </w:t>
      </w:r>
      <w:r w:rsidR="00CB55FC" w:rsidRPr="000665B0">
        <w:t xml:space="preserve">Geo Object </w:t>
      </w:r>
      <w:r w:rsidRPr="000665B0">
        <w:t>beneath all others, when shown.</w:t>
      </w:r>
    </w:p>
    <w:p w14:paraId="56777214" w14:textId="77777777" w:rsidR="00A95BE6" w:rsidRPr="000665B0" w:rsidRDefault="00A95BE6" w:rsidP="006D5A65">
      <w:pPr>
        <w:pStyle w:val="Heading1"/>
      </w:pPr>
      <w:r w:rsidRPr="000665B0">
        <w:t>Over Water Waypoint Analysis – Perform</w:t>
      </w:r>
      <w:r w:rsidR="000D08A8" w:rsidRPr="000665B0">
        <w:t>s</w:t>
      </w:r>
      <w:r w:rsidRPr="000665B0">
        <w:t xml:space="preserve"> an Over Water Waypoint Analysis if a</w:t>
      </w:r>
      <w:r w:rsidR="000D738E" w:rsidRPr="000665B0">
        <w:t>pp</w:t>
      </w:r>
      <w:r w:rsidRPr="000665B0">
        <w:t>licable.</w:t>
      </w:r>
    </w:p>
    <w:p w14:paraId="3F6050F7" w14:textId="77777777" w:rsidR="006D2DF6" w:rsidRPr="000665B0" w:rsidRDefault="006D2DF6" w:rsidP="006D5A65">
      <w:pPr>
        <w:pStyle w:val="Heading1"/>
      </w:pPr>
      <w:r w:rsidRPr="000665B0">
        <w:t xml:space="preserve">Restore Normal Precedence – Returns the selected </w:t>
      </w:r>
      <w:r w:rsidR="00CB55FC" w:rsidRPr="000665B0">
        <w:t xml:space="preserve">Geo Object </w:t>
      </w:r>
      <w:r w:rsidRPr="000665B0">
        <w:t>to its usual precedence in the drawing order after a Bring to Front or a Push to Back.</w:t>
      </w:r>
    </w:p>
    <w:p w14:paraId="6D0EFC8D" w14:textId="77777777" w:rsidR="00DD0C68" w:rsidRPr="000665B0" w:rsidRDefault="00DD0C68" w:rsidP="006D5A65">
      <w:pPr>
        <w:pStyle w:val="Heading1"/>
      </w:pPr>
      <w:r w:rsidRPr="000665B0">
        <w:t xml:space="preserve">Display Properties – </w:t>
      </w:r>
      <w:r w:rsidR="000D738E" w:rsidRPr="000665B0">
        <w:t xml:space="preserve">Invokes the </w:t>
      </w:r>
      <w:r w:rsidR="000D738E" w:rsidRPr="000665B0">
        <w:rPr>
          <w:i/>
        </w:rPr>
        <w:t xml:space="preserve">Mission </w:t>
      </w:r>
      <w:r w:rsidR="000D08A8" w:rsidRPr="000665B0">
        <w:rPr>
          <w:i/>
        </w:rPr>
        <w:t>Display</w:t>
      </w:r>
      <w:r w:rsidR="000D738E" w:rsidRPr="000665B0">
        <w:rPr>
          <w:i/>
        </w:rPr>
        <w:t xml:space="preserve"> Preferences</w:t>
      </w:r>
      <w:r w:rsidR="000D738E" w:rsidRPr="000665B0">
        <w:t xml:space="preserve"> window which allows the user to change the mission display settings or restore the default settings.</w:t>
      </w:r>
    </w:p>
    <w:p w14:paraId="72FBB1D8" w14:textId="3CEDB45D" w:rsidR="00EE4661" w:rsidRPr="000665B0" w:rsidRDefault="00EE4661" w:rsidP="00306174">
      <w:pPr>
        <w:pStyle w:val="Heading6"/>
      </w:pPr>
      <w:r w:rsidRPr="000665B0">
        <w:t>Overwater Waypoint Analysis</w:t>
      </w:r>
    </w:p>
    <w:p w14:paraId="3CE298CA" w14:textId="77777777" w:rsidR="00DD6218" w:rsidRPr="000665B0" w:rsidRDefault="00DD6218" w:rsidP="009570CA">
      <w:r w:rsidRPr="000665B0">
        <w:t>Depending on the type of data being displayed, additional modifications can be displayed. For example, Over Water Waypoint Analysis can be performed on Missions.</w:t>
      </w:r>
    </w:p>
    <w:p w14:paraId="5C0C57D2" w14:textId="77777777" w:rsidR="003C2316" w:rsidRPr="000665B0" w:rsidRDefault="003C2316" w:rsidP="009570CA">
      <w:r w:rsidRPr="000665B0">
        <w:t>The geographic display tool provides the capability to add overwater waypoints and view them geographically to allow FRUs to plan the missile route from launch point to First Pre-Planned Waypoint (</w:t>
      </w:r>
      <w:r w:rsidRPr="000665B0">
        <w:rPr>
          <w:b/>
        </w:rPr>
        <w:t>FPPWP</w:t>
      </w:r>
      <w:r w:rsidRPr="000665B0">
        <w:t xml:space="preserve">). </w:t>
      </w:r>
    </w:p>
    <w:p w14:paraId="6091F658" w14:textId="77777777" w:rsidR="003C2316" w:rsidRPr="000665B0" w:rsidRDefault="003C2316" w:rsidP="009570CA">
      <w:r w:rsidRPr="000665B0">
        <w:t xml:space="preserve">Overwater Waypoints, added to a </w:t>
      </w:r>
      <w:r w:rsidR="00C2585F" w:rsidRPr="000665B0">
        <w:t>109E</w:t>
      </w:r>
      <w:r w:rsidRPr="000665B0">
        <w:t xml:space="preserve"> mission, and included in a Strike Plan, can be sent in the Electronic Strike Package to a TTWCS platform.</w:t>
      </w:r>
    </w:p>
    <w:p w14:paraId="5AA46CC0" w14:textId="77777777" w:rsidR="003C2316" w:rsidRPr="000665B0" w:rsidRDefault="003C2316" w:rsidP="009570CA">
      <w:r w:rsidRPr="000665B0">
        <w:t>To do an Overwater Waypoint Analysis:</w:t>
      </w:r>
    </w:p>
    <w:p w14:paraId="70ECF955" w14:textId="77777777" w:rsidR="003C2316" w:rsidRPr="000665B0" w:rsidRDefault="003C2316" w:rsidP="006D5A65">
      <w:pPr>
        <w:pStyle w:val="Heading1"/>
      </w:pPr>
      <w:r w:rsidRPr="000665B0">
        <w:lastRenderedPageBreak/>
        <w:t>Navigate to a location where missions reside (e.g., Mission, Mission Library, or Strike Tool) and highlight a mission.</w:t>
      </w:r>
    </w:p>
    <w:p w14:paraId="4E262E2F" w14:textId="2084F078" w:rsidR="00EE4661" w:rsidRPr="000665B0" w:rsidRDefault="00EE4661" w:rsidP="006D5A65">
      <w:pPr>
        <w:pStyle w:val="Heading1"/>
      </w:pPr>
      <w:r w:rsidRPr="000665B0">
        <w:t>Invoke the context menu (</w:t>
      </w:r>
      <w:r w:rsidR="00D71804" w:rsidRPr="000665B0">
        <w:t>right-click</w:t>
      </w:r>
      <w:r w:rsidRPr="000665B0">
        <w:t xml:space="preserve"> the mouse) and select Display </w:t>
      </w:r>
      <w:r w:rsidRPr="000665B0">
        <w:rPr>
          <w:rFonts w:cs="Arial"/>
          <w:sz w:val="20"/>
        </w:rPr>
        <w:t>►</w:t>
      </w:r>
      <w:r w:rsidRPr="000665B0">
        <w:t xml:space="preserve"> Geographically.</w:t>
      </w:r>
    </w:p>
    <w:p w14:paraId="29C6A81A" w14:textId="77777777" w:rsidR="00EE4661" w:rsidRPr="000665B0" w:rsidRDefault="00EE4661" w:rsidP="006D5A65">
      <w:pPr>
        <w:pStyle w:val="Heading1"/>
      </w:pPr>
      <w:r w:rsidRPr="000665B0">
        <w:t>Select the desired mission in the Geo Object Manager of the Geo Display.</w:t>
      </w:r>
    </w:p>
    <w:p w14:paraId="452BBDEB" w14:textId="43EA22BE" w:rsidR="00EE4661" w:rsidRPr="000665B0" w:rsidRDefault="00EE4661" w:rsidP="006D5A65">
      <w:pPr>
        <w:pStyle w:val="Heading1"/>
      </w:pPr>
      <w:r w:rsidRPr="000665B0">
        <w:t>Invoke the context menu (</w:t>
      </w:r>
      <w:r w:rsidR="00D71804" w:rsidRPr="000665B0">
        <w:t>right-click</w:t>
      </w:r>
      <w:r w:rsidRPr="000665B0">
        <w:t xml:space="preserve"> the mouse) and select</w:t>
      </w:r>
      <w:r w:rsidRPr="000665B0">
        <w:rPr>
          <w:bCs/>
        </w:rPr>
        <w:t xml:space="preserve"> </w:t>
      </w:r>
      <w:r w:rsidR="00F156DD" w:rsidRPr="000665B0">
        <w:rPr>
          <w:bCs/>
        </w:rPr>
        <w:t xml:space="preserve">Over Water </w:t>
      </w:r>
      <w:r w:rsidRPr="000665B0">
        <w:rPr>
          <w:bCs/>
        </w:rPr>
        <w:t>Waypoint Analysis</w:t>
      </w:r>
      <w:r w:rsidRPr="000665B0">
        <w:t xml:space="preserve">. The </w:t>
      </w:r>
      <w:r w:rsidRPr="000665B0">
        <w:rPr>
          <w:i/>
        </w:rPr>
        <w:t>Overwater Waypoints Analysis</w:t>
      </w:r>
      <w:r w:rsidRPr="000665B0">
        <w:t xml:space="preserve"> window is displayed.</w:t>
      </w:r>
    </w:p>
    <w:p w14:paraId="3A21BD5C" w14:textId="76A026FB" w:rsidR="003C2316" w:rsidRPr="000665B0" w:rsidRDefault="00F156DD" w:rsidP="009570CA">
      <w:pPr>
        <w:jc w:val="center"/>
      </w:pPr>
      <w:r w:rsidRPr="000665B0">
        <w:rPr>
          <w:noProof/>
        </w:rPr>
        <w:drawing>
          <wp:inline distT="0" distB="0" distL="0" distR="0" wp14:anchorId="2391DB14" wp14:editId="1AAEA25E">
            <wp:extent cx="3069167" cy="2209800"/>
            <wp:effectExtent l="0" t="0" r="0" b="0"/>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071647" cy="2211586"/>
                    </a:xfrm>
                    <a:prstGeom prst="rect">
                      <a:avLst/>
                    </a:prstGeom>
                  </pic:spPr>
                </pic:pic>
              </a:graphicData>
            </a:graphic>
          </wp:inline>
        </w:drawing>
      </w:r>
    </w:p>
    <w:p w14:paraId="3B6A35DC" w14:textId="27636A2B" w:rsidR="00EE4661" w:rsidRPr="000665B0" w:rsidRDefault="00EE4661" w:rsidP="006D5A65">
      <w:pPr>
        <w:pStyle w:val="Heading1"/>
      </w:pPr>
      <w:r w:rsidRPr="000665B0">
        <w:t xml:space="preserve">On the Geo Display, place the cursor in the desired location within the launch basket for a waypoint and </w:t>
      </w:r>
      <w:r w:rsidR="0037038E" w:rsidRPr="000665B0">
        <w:t>left-click</w:t>
      </w:r>
      <w:r w:rsidRPr="000665B0">
        <w:t xml:space="preserve">. (Selecting a point outside of the launch basket will have no effect.) When a valid waypoint has been </w:t>
      </w:r>
      <w:r w:rsidR="00BD4336" w:rsidRPr="000665B0">
        <w:t>selected,</w:t>
      </w:r>
      <w:r w:rsidRPr="000665B0">
        <w:t xml:space="preserve"> the waypoint </w:t>
      </w:r>
      <w:r w:rsidR="00D07041" w:rsidRPr="000665B0">
        <w:t>is</w:t>
      </w:r>
      <w:r w:rsidRPr="000665B0">
        <w:t xml:space="preserve"> added to the analysis window and the launch basket </w:t>
      </w:r>
      <w:r w:rsidR="00D07041" w:rsidRPr="000665B0">
        <w:t>is</w:t>
      </w:r>
      <w:r w:rsidRPr="000665B0">
        <w:t xml:space="preserve"> recalculated.</w:t>
      </w:r>
    </w:p>
    <w:p w14:paraId="74A0FEAD" w14:textId="77777777" w:rsidR="003C2316" w:rsidRPr="000665B0" w:rsidRDefault="003C2316" w:rsidP="006D5A65">
      <w:pPr>
        <w:pStyle w:val="Heading1"/>
      </w:pPr>
      <w:r w:rsidRPr="000665B0">
        <w:t xml:space="preserve">Repeat step 5 as necessary to complete the overwater planning. </w:t>
      </w:r>
    </w:p>
    <w:p w14:paraId="5F57372B" w14:textId="77777777" w:rsidR="00671F24" w:rsidRPr="000665B0" w:rsidRDefault="003C2316" w:rsidP="00BB4EBE">
      <w:pPr>
        <w:pBdr>
          <w:top w:val="single" w:sz="12" w:space="1" w:color="auto"/>
          <w:left w:val="single" w:sz="12" w:space="4" w:color="auto"/>
          <w:bottom w:val="single" w:sz="12" w:space="1" w:color="auto"/>
          <w:right w:val="single" w:sz="12" w:space="4" w:color="auto"/>
        </w:pBdr>
        <w:shd w:val="clear" w:color="auto" w:fill="D9D9D9"/>
        <w:spacing w:after="0"/>
        <w:ind w:right="90"/>
        <w:jc w:val="center"/>
        <w:rPr>
          <w:b/>
        </w:rPr>
      </w:pPr>
      <w:r w:rsidRPr="000665B0">
        <w:rPr>
          <w:b/>
        </w:rPr>
        <w:t>N</w:t>
      </w:r>
      <w:r w:rsidR="00B63106" w:rsidRPr="000665B0">
        <w:rPr>
          <w:b/>
        </w:rPr>
        <w:t>ote</w:t>
      </w:r>
      <w:r w:rsidRPr="000665B0">
        <w:rPr>
          <w:b/>
        </w:rPr>
        <w:t xml:space="preserve">: </w:t>
      </w:r>
    </w:p>
    <w:p w14:paraId="2FEC646F" w14:textId="77777777" w:rsidR="003C2316" w:rsidRPr="000665B0" w:rsidRDefault="003C2316" w:rsidP="00BB4EBE">
      <w:pPr>
        <w:pBdr>
          <w:top w:val="single" w:sz="12" w:space="1" w:color="auto"/>
          <w:left w:val="single" w:sz="12" w:space="4" w:color="auto"/>
          <w:bottom w:val="single" w:sz="12" w:space="1" w:color="auto"/>
          <w:right w:val="single" w:sz="12" w:space="4" w:color="auto"/>
        </w:pBdr>
        <w:shd w:val="clear" w:color="auto" w:fill="D9D9D9"/>
        <w:ind w:right="90"/>
        <w:jc w:val="center"/>
        <w:rPr>
          <w:b/>
        </w:rPr>
      </w:pPr>
      <w:r w:rsidRPr="000665B0">
        <w:rPr>
          <w:b/>
        </w:rPr>
        <w:t>Overwater Waypoints are limited to a maximum of 5.</w:t>
      </w:r>
    </w:p>
    <w:p w14:paraId="1AD5BAD0" w14:textId="39FB9D4E" w:rsidR="003C2316" w:rsidRPr="000665B0" w:rsidRDefault="003C2316" w:rsidP="006D5A65">
      <w:pPr>
        <w:pStyle w:val="Heading1"/>
      </w:pPr>
      <w:r w:rsidRPr="000665B0">
        <w:t xml:space="preserve">Click the </w:t>
      </w:r>
      <w:r w:rsidRPr="000665B0">
        <w:rPr>
          <w:bCs/>
        </w:rPr>
        <w:t>OK</w:t>
      </w:r>
      <w:r w:rsidRPr="000665B0">
        <w:t xml:space="preserve"> button in the </w:t>
      </w:r>
      <w:r w:rsidRPr="000665B0">
        <w:rPr>
          <w:i/>
        </w:rPr>
        <w:t>Overwater Waypoints Analysis</w:t>
      </w:r>
      <w:r w:rsidRPr="000665B0">
        <w:t xml:space="preserve"> window when satisfied with the waypoints. If the Keep overwater route visible when this dialog</w:t>
      </w:r>
      <w:r w:rsidR="00DD6218" w:rsidRPr="000665B0">
        <w:t xml:space="preserve"> is </w:t>
      </w:r>
      <w:r w:rsidRPr="000665B0">
        <w:t>close</w:t>
      </w:r>
      <w:r w:rsidR="00DD6218" w:rsidRPr="000665B0">
        <w:t>d</w:t>
      </w:r>
      <w:r w:rsidRPr="000665B0">
        <w:t xml:space="preserve"> checkbox is selected</w:t>
      </w:r>
      <w:r w:rsidR="007E2287">
        <w:t>,</w:t>
      </w:r>
      <w:r w:rsidRPr="000665B0">
        <w:t xml:space="preserve"> the overwater route </w:t>
      </w:r>
      <w:r w:rsidR="00D07041" w:rsidRPr="000665B0">
        <w:t>is</w:t>
      </w:r>
      <w:r w:rsidRPr="000665B0">
        <w:t xml:space="preserve"> displayed when the mission is displayed.</w:t>
      </w:r>
    </w:p>
    <w:p w14:paraId="146C71CA" w14:textId="59E226B6" w:rsidR="00731485" w:rsidRPr="000665B0" w:rsidRDefault="00731485" w:rsidP="009570CA">
      <w:pPr>
        <w:pStyle w:val="Heading5"/>
        <w:keepNext w:val="0"/>
      </w:pPr>
      <w:bookmarkStart w:id="5265" w:name="_Toc96170171"/>
      <w:bookmarkStart w:id="5266" w:name="_Toc96234216"/>
      <w:bookmarkStart w:id="5267" w:name="_Toc112733640"/>
      <w:bookmarkStart w:id="5268" w:name="_Toc159315405"/>
      <w:bookmarkStart w:id="5269" w:name="_Toc71955625"/>
      <w:r w:rsidRPr="000665B0">
        <w:t>Display Digital Maps</w:t>
      </w:r>
      <w:bookmarkEnd w:id="5265"/>
      <w:bookmarkEnd w:id="5266"/>
      <w:bookmarkEnd w:id="5267"/>
      <w:bookmarkEnd w:id="5268"/>
      <w:r w:rsidRPr="000665B0">
        <w:t xml:space="preserve"> </w:t>
      </w:r>
      <w:bookmarkEnd w:id="5269"/>
    </w:p>
    <w:p w14:paraId="1F561D04" w14:textId="66AC5219" w:rsidR="00731485" w:rsidRPr="000665B0" w:rsidRDefault="00731485" w:rsidP="009570CA">
      <w:pPr>
        <w:spacing w:after="0"/>
      </w:pPr>
      <w:bookmarkStart w:id="5270" w:name="_Toc96170180"/>
      <w:bookmarkStart w:id="5271" w:name="_Toc96234225"/>
      <w:bookmarkStart w:id="5272" w:name="_Toc112733649"/>
      <w:bookmarkStart w:id="5273" w:name="_Toc159315414"/>
      <w:bookmarkStart w:id="5274" w:name="_Toc289328693"/>
      <w:bookmarkStart w:id="5275" w:name="_Toc312331973"/>
      <w:bookmarkStart w:id="5276" w:name="_Toc71955640"/>
      <w:bookmarkEnd w:id="5261"/>
      <w:r w:rsidRPr="000665B0">
        <w:t xml:space="preserve">Choosing this option from the </w:t>
      </w:r>
      <w:r w:rsidRPr="000665B0">
        <w:rPr>
          <w:b/>
        </w:rPr>
        <w:t>View</w:t>
      </w:r>
      <w:r w:rsidRPr="000665B0">
        <w:t xml:space="preserve"> menu causes the geographic window to toggle digital maps on or off (hide or view). When a checkmark appears next to this item on the </w:t>
      </w:r>
      <w:r w:rsidRPr="000665B0">
        <w:rPr>
          <w:b/>
        </w:rPr>
        <w:t>View</w:t>
      </w:r>
      <w:r w:rsidRPr="000665B0">
        <w:t xml:space="preserve"> menu, display of digital maps is enabled. However, in order for digital maps to appear, they must first be loaded </w:t>
      </w:r>
      <w:r w:rsidRPr="000665B0">
        <w:lastRenderedPageBreak/>
        <w:t>onto the system</w:t>
      </w:r>
      <w:r w:rsidR="008A4236" w:rsidRPr="000665B0">
        <w:t xml:space="preserve"> (see </w:t>
      </w:r>
      <w:hyperlink w:anchor="_5.30.7.2.4.2__Adding" w:history="1">
        <w:r w:rsidR="008A4236" w:rsidRPr="000665B0">
          <w:rPr>
            <w:rStyle w:val="Hyperlink"/>
          </w:rPr>
          <w:t xml:space="preserve">Section </w:t>
        </w:r>
        <w:r w:rsidR="004231CC">
          <w:rPr>
            <w:rStyle w:val="Hyperlink"/>
          </w:rPr>
          <w:t>5.26</w:t>
        </w:r>
        <w:r w:rsidR="008A4236" w:rsidRPr="000665B0">
          <w:rPr>
            <w:rStyle w:val="Hyperlink"/>
          </w:rPr>
          <w:t>.7.2.4.2</w:t>
        </w:r>
      </w:hyperlink>
      <w:r w:rsidR="008A4236" w:rsidRPr="000665B0">
        <w:t>)</w:t>
      </w:r>
      <w:r w:rsidRPr="000665B0">
        <w:t xml:space="preserve"> and they must exist for the geographic region being displayed.</w:t>
      </w:r>
    </w:p>
    <w:p w14:paraId="45A3D2A2" w14:textId="5916826E" w:rsidR="003C2316" w:rsidRPr="000665B0" w:rsidRDefault="003C2316" w:rsidP="009570CA">
      <w:pPr>
        <w:pStyle w:val="Heading3"/>
      </w:pPr>
      <w:bookmarkStart w:id="5277" w:name="_Toc214283426"/>
      <w:r w:rsidRPr="000665B0">
        <w:t>Geo Display Tools</w:t>
      </w:r>
      <w:bookmarkEnd w:id="5270"/>
      <w:bookmarkEnd w:id="5271"/>
      <w:bookmarkEnd w:id="5272"/>
      <w:bookmarkEnd w:id="5273"/>
      <w:bookmarkEnd w:id="5274"/>
      <w:bookmarkEnd w:id="5275"/>
      <w:bookmarkEnd w:id="5277"/>
    </w:p>
    <w:p w14:paraId="38D462D3" w14:textId="0FAFEEFE" w:rsidR="003C2316" w:rsidRPr="000665B0" w:rsidRDefault="003C2316" w:rsidP="009570CA">
      <w:pPr>
        <w:pStyle w:val="Heading4"/>
      </w:pPr>
      <w:bookmarkStart w:id="5278" w:name="_Toc96170182"/>
      <w:bookmarkStart w:id="5279" w:name="_Toc96234227"/>
      <w:bookmarkStart w:id="5280" w:name="_Toc112733650"/>
      <w:bookmarkStart w:id="5281" w:name="_Toc159315415"/>
      <w:bookmarkStart w:id="5282" w:name="_Toc289328694"/>
      <w:r w:rsidRPr="000665B0">
        <w:t>Range and Bearing</w:t>
      </w:r>
      <w:bookmarkEnd w:id="5278"/>
      <w:bookmarkEnd w:id="5279"/>
      <w:bookmarkEnd w:id="5280"/>
      <w:bookmarkEnd w:id="5281"/>
      <w:bookmarkEnd w:id="5282"/>
      <w:r w:rsidRPr="000665B0">
        <w:t xml:space="preserve"> </w:t>
      </w:r>
    </w:p>
    <w:p w14:paraId="46E0078D" w14:textId="77777777" w:rsidR="00731485" w:rsidRPr="000665B0" w:rsidRDefault="00731485" w:rsidP="009570CA">
      <w:r w:rsidRPr="000665B0">
        <w:t xml:space="preserve">The ability to calculate the range and bearing from one location to another is provided in the </w:t>
      </w:r>
      <w:r w:rsidRPr="000665B0">
        <w:rPr>
          <w:b/>
        </w:rPr>
        <w:t>Tools</w:t>
      </w:r>
      <w:r w:rsidRPr="000665B0">
        <w:t xml:space="preserve"> menu or by using the accelerator keys. Although this function can be performed repeatedly, only one Range and Bearing can be displayed at a time. </w:t>
      </w:r>
    </w:p>
    <w:p w14:paraId="1B8E9054" w14:textId="77777777" w:rsidR="003C2316" w:rsidRPr="000665B0" w:rsidRDefault="003C2316" w:rsidP="009570CA">
      <w:r w:rsidRPr="000665B0">
        <w:t>To calculate a range and bearing:</w:t>
      </w:r>
    </w:p>
    <w:p w14:paraId="4743B3C4" w14:textId="77777777" w:rsidR="00F24F44" w:rsidRPr="000665B0" w:rsidRDefault="00F24F44" w:rsidP="006D5A65">
      <w:pPr>
        <w:pStyle w:val="Heading1"/>
      </w:pPr>
      <w:r w:rsidRPr="000665B0">
        <w:t>From the Tools menu select Range and Bearing or press Ctrl B on the keyboard.</w:t>
      </w:r>
    </w:p>
    <w:p w14:paraId="0B544A76" w14:textId="77777777" w:rsidR="003C2316" w:rsidRPr="000665B0" w:rsidRDefault="003C2316" w:rsidP="006D5A65">
      <w:pPr>
        <w:pStyle w:val="Heading1"/>
      </w:pPr>
      <w:r w:rsidRPr="000665B0">
        <w:t>Position the cursor at the desired starting point of the calculation.</w:t>
      </w:r>
    </w:p>
    <w:p w14:paraId="3BB945B1" w14:textId="77777777" w:rsidR="003C2316" w:rsidRPr="000665B0" w:rsidRDefault="003C2316" w:rsidP="006D5A65">
      <w:pPr>
        <w:pStyle w:val="Heading1"/>
      </w:pPr>
      <w:r w:rsidRPr="000665B0">
        <w:t>Click and hold the left mouse button.</w:t>
      </w:r>
    </w:p>
    <w:p w14:paraId="4DB37350" w14:textId="77777777" w:rsidR="00F24F44" w:rsidRPr="000665B0" w:rsidRDefault="00F24F44" w:rsidP="006D5A65">
      <w:pPr>
        <w:pStyle w:val="Heading1"/>
      </w:pPr>
      <w:r w:rsidRPr="000665B0">
        <w:t>Move the cursor to draw the bearing line and display the range and bearing box. These will continue to appear and follow the cursor until the left button is released.</w:t>
      </w:r>
    </w:p>
    <w:p w14:paraId="785B9FFF" w14:textId="77777777" w:rsidR="00F24F44" w:rsidRPr="000665B0" w:rsidRDefault="00F24F44" w:rsidP="006D5A65">
      <w:pPr>
        <w:pStyle w:val="Heading1"/>
      </w:pPr>
      <w:bookmarkStart w:id="5283" w:name="_Toc71955627"/>
      <w:bookmarkStart w:id="5284" w:name="_Toc96170183"/>
      <w:bookmarkStart w:id="5285" w:name="_Toc96234228"/>
      <w:bookmarkStart w:id="5286" w:name="_Toc112733651"/>
      <w:bookmarkStart w:id="5287" w:name="_Toc159315416"/>
      <w:bookmarkStart w:id="5288" w:name="_Toc289328695"/>
      <w:r w:rsidRPr="000665B0">
        <w:t>If desired, repeat the procedure for more calculations.</w:t>
      </w:r>
    </w:p>
    <w:p w14:paraId="6E15F4F7" w14:textId="6B704A28" w:rsidR="00F24F44" w:rsidRPr="000665B0" w:rsidRDefault="00F24F44" w:rsidP="009570CA">
      <w:pPr>
        <w:pStyle w:val="Heading4"/>
      </w:pPr>
      <w:bookmarkStart w:id="5289" w:name="_Toc71955642"/>
      <w:bookmarkStart w:id="5290" w:name="_Toc96170185"/>
      <w:bookmarkStart w:id="5291" w:name="_Toc96234230"/>
      <w:bookmarkStart w:id="5292" w:name="_Toc112733653"/>
      <w:bookmarkStart w:id="5293" w:name="_Toc159315417"/>
      <w:bookmarkEnd w:id="5276"/>
      <w:bookmarkEnd w:id="5283"/>
      <w:bookmarkEnd w:id="5284"/>
      <w:bookmarkEnd w:id="5285"/>
      <w:bookmarkEnd w:id="5286"/>
      <w:bookmarkEnd w:id="5287"/>
      <w:bookmarkEnd w:id="5288"/>
      <w:r w:rsidRPr="000665B0">
        <w:t>ViewPoints</w:t>
      </w:r>
    </w:p>
    <w:p w14:paraId="5B63A755" w14:textId="77777777" w:rsidR="00F24F44" w:rsidRPr="000665B0" w:rsidRDefault="00F24F44" w:rsidP="009570CA">
      <w:r w:rsidRPr="000665B0">
        <w:t xml:space="preserve">ViewPoints allow the user to define and save specific Views. </w:t>
      </w:r>
    </w:p>
    <w:p w14:paraId="19174E9C" w14:textId="77777777" w:rsidR="006F1946" w:rsidRPr="000665B0" w:rsidRDefault="00F24F44" w:rsidP="009570CA">
      <w:r w:rsidRPr="000665B0">
        <w:t>To create ViewPoints:</w:t>
      </w:r>
    </w:p>
    <w:p w14:paraId="2E2F6B46" w14:textId="77777777" w:rsidR="00F24F44" w:rsidRPr="000665B0" w:rsidRDefault="00F24F44" w:rsidP="006D5A65">
      <w:pPr>
        <w:pStyle w:val="Heading1"/>
      </w:pPr>
      <w:r w:rsidRPr="000665B0">
        <w:t xml:space="preserve">From the Tools menu select ViewPoints </w:t>
      </w:r>
      <w:r w:rsidRPr="000665B0">
        <w:rPr>
          <w:rFonts w:cs="Arial"/>
          <w:sz w:val="20"/>
        </w:rPr>
        <w:t>►</w:t>
      </w:r>
      <w:r w:rsidRPr="000665B0">
        <w:t xml:space="preserve"> Create From Current View…..</w:t>
      </w:r>
    </w:p>
    <w:p w14:paraId="6C332389" w14:textId="77777777" w:rsidR="00F24F44" w:rsidRPr="000665B0" w:rsidRDefault="00F24F44" w:rsidP="006D5A65">
      <w:pPr>
        <w:pStyle w:val="Heading1"/>
      </w:pPr>
      <w:r w:rsidRPr="000665B0">
        <w:t>At the prompt enter a name for the ViewPoint.</w:t>
      </w:r>
    </w:p>
    <w:p w14:paraId="00E72713" w14:textId="77777777" w:rsidR="00F24F44" w:rsidRPr="000665B0" w:rsidRDefault="00F24F44" w:rsidP="006D5A65">
      <w:pPr>
        <w:pStyle w:val="Heading1"/>
      </w:pPr>
      <w:r w:rsidRPr="000665B0">
        <w:t>Select the OK button to create the ViewPoint.</w:t>
      </w:r>
    </w:p>
    <w:p w14:paraId="3ED2B162" w14:textId="77777777" w:rsidR="00F24F44" w:rsidRPr="000665B0" w:rsidRDefault="00F24F44" w:rsidP="006D5A65">
      <w:pPr>
        <w:pStyle w:val="Heading1"/>
      </w:pPr>
      <w:r w:rsidRPr="000665B0">
        <w:t xml:space="preserve">To quickly return to a saved ViewPoint, select Tools </w:t>
      </w:r>
      <w:r w:rsidRPr="000665B0">
        <w:rPr>
          <w:rFonts w:cs="Arial"/>
          <w:sz w:val="20"/>
        </w:rPr>
        <w:t>►</w:t>
      </w:r>
      <w:r w:rsidRPr="000665B0">
        <w:t xml:space="preserve"> ViewPoints </w:t>
      </w:r>
      <w:r w:rsidRPr="000665B0">
        <w:rPr>
          <w:rFonts w:cs="Arial"/>
          <w:sz w:val="20"/>
        </w:rPr>
        <w:t>►</w:t>
      </w:r>
      <w:r w:rsidRPr="000665B0">
        <w:t xml:space="preserve"> and select the name of the ViewPoint from the resulting list.</w:t>
      </w:r>
      <w:r w:rsidRPr="000665B0">
        <w:rPr>
          <w:sz w:val="20"/>
        </w:rPr>
        <w:t xml:space="preserve"> </w:t>
      </w:r>
    </w:p>
    <w:p w14:paraId="33EBE042" w14:textId="316E74C6" w:rsidR="00F24F44" w:rsidRPr="000665B0" w:rsidRDefault="00F24F44" w:rsidP="006D5A65">
      <w:pPr>
        <w:pStyle w:val="Heading1"/>
      </w:pPr>
      <w:r w:rsidRPr="000665B0">
        <w:t xml:space="preserve">To delete a ViewPoint, select Tools </w:t>
      </w:r>
      <w:r w:rsidRPr="000665B0">
        <w:rPr>
          <w:rFonts w:cs="Arial"/>
          <w:sz w:val="20"/>
        </w:rPr>
        <w:t>►</w:t>
      </w:r>
      <w:r w:rsidRPr="000665B0">
        <w:t xml:space="preserve">ViewPoints </w:t>
      </w:r>
      <w:r w:rsidRPr="000665B0">
        <w:rPr>
          <w:rFonts w:cs="Arial"/>
        </w:rPr>
        <w:t>►</w:t>
      </w:r>
      <w:r w:rsidRPr="000665B0">
        <w:t xml:space="preserve">Manage ViewPoints…. Select the specific ViewPoint and click Delete </w:t>
      </w:r>
      <w:r w:rsidR="00BD4336" w:rsidRPr="000665B0">
        <w:t>Selection or</w:t>
      </w:r>
      <w:r w:rsidRPr="000665B0">
        <w:t xml:space="preserve"> Delete All to remove all ViewPoints.</w:t>
      </w:r>
    </w:p>
    <w:p w14:paraId="3B1585D6" w14:textId="77777777" w:rsidR="0008399B" w:rsidRPr="000665B0" w:rsidRDefault="0008399B" w:rsidP="009570CA">
      <w:pPr>
        <w:pStyle w:val="Heading4"/>
      </w:pPr>
      <w:r w:rsidRPr="000665B0">
        <w:t>Plugin Tool</w:t>
      </w:r>
    </w:p>
    <w:p w14:paraId="10A8BF33" w14:textId="6EF3577C" w:rsidR="0008399B" w:rsidRPr="000665B0" w:rsidRDefault="00F02F03" w:rsidP="009570CA">
      <w:pPr>
        <w:pStyle w:val="Number0205"/>
        <w:ind w:left="0" w:firstLine="0"/>
      </w:pPr>
      <w:r w:rsidRPr="000665B0">
        <w:t>See</w:t>
      </w:r>
      <w:r w:rsidR="0008399B" w:rsidRPr="000665B0">
        <w:t xml:space="preserve"> </w:t>
      </w:r>
      <w:hyperlink w:anchor="_Plugin__Tool" w:history="1">
        <w:r w:rsidR="0008399B" w:rsidRPr="000665B0">
          <w:rPr>
            <w:rStyle w:val="Hyperlink"/>
          </w:rPr>
          <w:t>Section 5.2.5.2</w:t>
        </w:r>
      </w:hyperlink>
      <w:r w:rsidR="0008399B" w:rsidRPr="000665B0">
        <w:t>.</w:t>
      </w:r>
    </w:p>
    <w:p w14:paraId="7B07193E" w14:textId="4F96A288" w:rsidR="003C2316" w:rsidRPr="000665B0" w:rsidRDefault="003C2316" w:rsidP="009570CA">
      <w:pPr>
        <w:pStyle w:val="Heading3"/>
      </w:pPr>
      <w:bookmarkStart w:id="5294" w:name="_Toc289328696"/>
      <w:bookmarkStart w:id="5295" w:name="_Toc312331974"/>
      <w:bookmarkStart w:id="5296" w:name="_Toc214283427"/>
      <w:r w:rsidRPr="000665B0">
        <w:t>Print G</w:t>
      </w:r>
      <w:r w:rsidR="00D249B3" w:rsidRPr="000665B0">
        <w:t>eo</w:t>
      </w:r>
      <w:r w:rsidRPr="000665B0">
        <w:t xml:space="preserve"> Display</w:t>
      </w:r>
      <w:bookmarkEnd w:id="5289"/>
      <w:bookmarkEnd w:id="5290"/>
      <w:bookmarkEnd w:id="5291"/>
      <w:bookmarkEnd w:id="5292"/>
      <w:bookmarkEnd w:id="5293"/>
      <w:bookmarkEnd w:id="5294"/>
      <w:bookmarkEnd w:id="5295"/>
      <w:bookmarkEnd w:id="5296"/>
    </w:p>
    <w:p w14:paraId="5A60547C" w14:textId="77777777" w:rsidR="005F6CA6" w:rsidRPr="000665B0" w:rsidRDefault="005F6CA6" w:rsidP="009570CA">
      <w:r w:rsidRPr="000665B0">
        <w:t>This prints the Geographic Display as it appears on the monitor. Note that a black and white printer may not produce a clear and concise picture.</w:t>
      </w:r>
    </w:p>
    <w:p w14:paraId="3C9607B7" w14:textId="77777777" w:rsidR="005F6CA6" w:rsidRPr="000665B0" w:rsidRDefault="005F6CA6" w:rsidP="009570CA">
      <w:pPr>
        <w:spacing w:after="0"/>
      </w:pPr>
      <w:bookmarkStart w:id="5297" w:name="_Toc71955643"/>
      <w:bookmarkStart w:id="5298" w:name="_Toc96170186"/>
      <w:bookmarkStart w:id="5299" w:name="_Toc96234231"/>
      <w:bookmarkStart w:id="5300" w:name="_Toc112733654"/>
      <w:bookmarkStart w:id="5301" w:name="_Toc159315418"/>
      <w:bookmarkStart w:id="5302" w:name="_Toc289328697"/>
      <w:bookmarkStart w:id="5303" w:name="_Toc312331975"/>
      <w:r w:rsidRPr="000665B0">
        <w:lastRenderedPageBreak/>
        <w:t xml:space="preserve">To print the Geo Display, from the </w:t>
      </w:r>
      <w:r w:rsidRPr="000665B0">
        <w:rPr>
          <w:b/>
        </w:rPr>
        <w:t>File</w:t>
      </w:r>
      <w:r w:rsidRPr="000665B0">
        <w:t xml:space="preserve"> menu select </w:t>
      </w:r>
      <w:r w:rsidRPr="000665B0">
        <w:rPr>
          <w:b/>
        </w:rPr>
        <w:t xml:space="preserve">Print… </w:t>
      </w:r>
      <w:r w:rsidRPr="000665B0">
        <w:t xml:space="preserve">or click the </w:t>
      </w:r>
      <w:r w:rsidRPr="000665B0">
        <w:rPr>
          <w:b/>
        </w:rPr>
        <w:t>Print</w:t>
      </w:r>
      <w:r w:rsidRPr="000665B0">
        <w:t xml:space="preserve"> </w:t>
      </w:r>
      <w:r w:rsidRPr="000665B0">
        <w:rPr>
          <w:noProof/>
        </w:rPr>
        <w:drawing>
          <wp:inline distT="0" distB="0" distL="0" distR="0" wp14:anchorId="6EC271D7" wp14:editId="14868612">
            <wp:extent cx="158750" cy="158750"/>
            <wp:effectExtent l="0" t="0" r="0" b="0"/>
            <wp:docPr id="282" name="Picture 282" descr="Description: Description: Prin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escription: Description: Print_16"/>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icon on the toolbar.</w:t>
      </w:r>
    </w:p>
    <w:p w14:paraId="62B2DC2F" w14:textId="60E61CD0" w:rsidR="003C2316" w:rsidRPr="000665B0" w:rsidRDefault="003C2316" w:rsidP="009570CA">
      <w:pPr>
        <w:pStyle w:val="Heading3"/>
      </w:pPr>
      <w:bookmarkStart w:id="5304" w:name="_Toc214283428"/>
      <w:r w:rsidRPr="000665B0">
        <w:t>Export</w:t>
      </w:r>
      <w:bookmarkEnd w:id="5297"/>
      <w:bookmarkEnd w:id="5298"/>
      <w:bookmarkEnd w:id="5299"/>
      <w:bookmarkEnd w:id="5300"/>
      <w:bookmarkEnd w:id="5301"/>
      <w:bookmarkEnd w:id="5302"/>
      <w:bookmarkEnd w:id="5303"/>
      <w:bookmarkEnd w:id="5304"/>
      <w:r w:rsidRPr="000665B0">
        <w:t xml:space="preserve"> </w:t>
      </w:r>
    </w:p>
    <w:p w14:paraId="02B5D5B6" w14:textId="77777777" w:rsidR="005F6CA6" w:rsidRPr="000665B0" w:rsidRDefault="005F6CA6" w:rsidP="009570CA">
      <w:bookmarkStart w:id="5305" w:name="_5.31.7__Mouse_Support_for_the_Geogr"/>
      <w:bookmarkStart w:id="5306" w:name="_Toc71955644"/>
      <w:bookmarkStart w:id="5307" w:name="_Toc96170187"/>
      <w:bookmarkStart w:id="5308" w:name="_Toc96234232"/>
      <w:bookmarkStart w:id="5309" w:name="_Toc112733655"/>
      <w:bookmarkStart w:id="5310" w:name="_Toc159315419"/>
      <w:bookmarkStart w:id="5311" w:name="_Toc289328698"/>
      <w:bookmarkStart w:id="5312" w:name="_Toc312331976"/>
      <w:bookmarkEnd w:id="5305"/>
      <w:r w:rsidRPr="000665B0">
        <w:t xml:space="preserve">This exports the Geographic Display as it appears on the monitor into a Microsoft PowerPoint slide where it can be used in formal briefs/presentations. </w:t>
      </w:r>
    </w:p>
    <w:p w14:paraId="14D46A68" w14:textId="77777777" w:rsidR="005F6CA6" w:rsidRPr="000665B0" w:rsidRDefault="005F6CA6" w:rsidP="009570CA">
      <w:pPr>
        <w:spacing w:after="0"/>
      </w:pPr>
      <w:r w:rsidRPr="000665B0">
        <w:t xml:space="preserve">To Export the Geo Display, from the </w:t>
      </w:r>
      <w:r w:rsidRPr="000665B0">
        <w:rPr>
          <w:b/>
        </w:rPr>
        <w:t>File</w:t>
      </w:r>
      <w:r w:rsidRPr="000665B0">
        <w:t xml:space="preserve"> menu select </w:t>
      </w:r>
      <w:r w:rsidRPr="000665B0">
        <w:rPr>
          <w:b/>
        </w:rPr>
        <w:t xml:space="preserve">Export </w:t>
      </w:r>
      <w:r w:rsidRPr="000665B0">
        <w:rPr>
          <w:rFonts w:ascii="Arial" w:hAnsi="Arial" w:cs="Arial"/>
        </w:rPr>
        <w:t>►</w:t>
      </w:r>
      <w:r w:rsidRPr="000665B0">
        <w:rPr>
          <w:b/>
        </w:rPr>
        <w:t xml:space="preserve"> PowerPoint</w:t>
      </w:r>
    </w:p>
    <w:p w14:paraId="3402CF9B" w14:textId="76EC367E" w:rsidR="00E4753E" w:rsidRPr="000665B0" w:rsidRDefault="00E4753E" w:rsidP="009570CA">
      <w:pPr>
        <w:pStyle w:val="Heading3"/>
      </w:pPr>
      <w:bookmarkStart w:id="5313" w:name="_5.30.7__Querying"/>
      <w:bookmarkStart w:id="5314" w:name="_5.30.7__Querying_1"/>
      <w:bookmarkStart w:id="5315" w:name="_5.30.6__Querying"/>
      <w:bookmarkStart w:id="5316" w:name="_Toc214283429"/>
      <w:bookmarkEnd w:id="5306"/>
      <w:bookmarkEnd w:id="5307"/>
      <w:bookmarkEnd w:id="5308"/>
      <w:bookmarkEnd w:id="5309"/>
      <w:bookmarkEnd w:id="5310"/>
      <w:bookmarkEnd w:id="5311"/>
      <w:bookmarkEnd w:id="5312"/>
      <w:bookmarkEnd w:id="5313"/>
      <w:bookmarkEnd w:id="5314"/>
      <w:bookmarkEnd w:id="5315"/>
      <w:r w:rsidRPr="000665B0">
        <w:t>Querying Map Features</w:t>
      </w:r>
      <w:bookmarkEnd w:id="5316"/>
    </w:p>
    <w:p w14:paraId="6AE34426" w14:textId="77777777" w:rsidR="00E4753E" w:rsidRPr="000665B0" w:rsidRDefault="00E4753E" w:rsidP="009570CA">
      <w:pPr>
        <w:spacing w:line="240" w:lineRule="auto"/>
        <w:rPr>
          <w:szCs w:val="24"/>
        </w:rPr>
      </w:pPr>
      <w:r w:rsidRPr="000665B0">
        <w:rPr>
          <w:szCs w:val="24"/>
        </w:rPr>
        <w:t xml:space="preserve">The Geo Display allows the operator to obtain more information about map features visible on the Geographic Display by providing a query function. From the </w:t>
      </w:r>
      <w:r w:rsidRPr="000665B0">
        <w:rPr>
          <w:bCs/>
          <w:szCs w:val="24"/>
        </w:rPr>
        <w:t>map</w:t>
      </w:r>
      <w:r w:rsidRPr="000665B0">
        <w:rPr>
          <w:szCs w:val="24"/>
        </w:rPr>
        <w:t xml:space="preserve"> context menu, choose the </w:t>
      </w:r>
      <w:r w:rsidRPr="000665B0">
        <w:rPr>
          <w:b/>
          <w:bCs/>
          <w:szCs w:val="24"/>
        </w:rPr>
        <w:t xml:space="preserve">Query Geospatial Data </w:t>
      </w:r>
      <w:r w:rsidRPr="000665B0">
        <w:rPr>
          <w:bCs/>
          <w:szCs w:val="24"/>
        </w:rPr>
        <w:t>menu</w:t>
      </w:r>
      <w:r w:rsidRPr="000665B0">
        <w:rPr>
          <w:szCs w:val="24"/>
        </w:rPr>
        <w:t xml:space="preserve"> item. The mouse pointer changes to a crosshair cursor. Click the left mouse button on a location on the Geo Display to obtain detailed information about the map overlays and features which are present at that location.</w:t>
      </w:r>
    </w:p>
    <w:p w14:paraId="2BBA53A7" w14:textId="77777777" w:rsidR="00286ED7" w:rsidRPr="000665B0" w:rsidRDefault="00286ED7"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rPr>
        <w:t>Certain conditions must be met in order for a particular map item or feature to be returned in response to a query.</w:t>
      </w:r>
    </w:p>
    <w:p w14:paraId="2627EC3C" w14:textId="77777777" w:rsidR="00286ED7" w:rsidRPr="000665B0" w:rsidRDefault="00286ED7" w:rsidP="006D5A65">
      <w:pPr>
        <w:pStyle w:val="Heading1"/>
      </w:pPr>
      <w:r w:rsidRPr="000665B0">
        <w:t>The map data type must either be included in the map configuration by adding the map data in the map list or be included in the default WVS040M.</w:t>
      </w:r>
    </w:p>
    <w:p w14:paraId="649E86F9" w14:textId="77777777" w:rsidR="00E4753E" w:rsidRPr="000665B0" w:rsidRDefault="00E4753E" w:rsidP="006D5A65">
      <w:pPr>
        <w:pStyle w:val="Heading1"/>
      </w:pPr>
      <w:r w:rsidRPr="000665B0">
        <w:t xml:space="preserve">The map data type must be included in queries using the Data Configuration panel of the </w:t>
      </w:r>
      <w:r w:rsidRPr="000665B0">
        <w:rPr>
          <w:bCs/>
        </w:rPr>
        <w:t>Geospatial Properties</w:t>
      </w:r>
      <w:r w:rsidRPr="000665B0">
        <w:t xml:space="preserve"> dialog.</w:t>
      </w:r>
    </w:p>
    <w:p w14:paraId="30ACDBBE" w14:textId="77777777" w:rsidR="00286ED7" w:rsidRPr="000665B0" w:rsidRDefault="00286ED7" w:rsidP="006D5A65">
      <w:pPr>
        <w:pStyle w:val="Heading1"/>
      </w:pPr>
      <w:r w:rsidRPr="000665B0">
        <w:t xml:space="preserve">The item group of the selected item must be enabled on the </w:t>
      </w:r>
      <w:r w:rsidRPr="000665B0">
        <w:rPr>
          <w:bCs/>
        </w:rPr>
        <w:t>Layers</w:t>
      </w:r>
      <w:r w:rsidRPr="000665B0">
        <w:t xml:space="preserve"> panel of the </w:t>
      </w:r>
      <w:r w:rsidRPr="000665B0">
        <w:rPr>
          <w:bCs/>
        </w:rPr>
        <w:t>Geospatial Properties</w:t>
      </w:r>
      <w:r w:rsidRPr="000665B0">
        <w:t xml:space="preserve"> dialog.</w:t>
      </w:r>
    </w:p>
    <w:p w14:paraId="7276E754" w14:textId="77777777" w:rsidR="00286ED7" w:rsidRPr="000665B0" w:rsidRDefault="00286ED7" w:rsidP="006D5A65">
      <w:pPr>
        <w:pStyle w:val="Heading1"/>
      </w:pPr>
      <w:r w:rsidRPr="000665B0">
        <w:t xml:space="preserve">The specific map item must be configured to display from the </w:t>
      </w:r>
      <w:r w:rsidRPr="000665B0">
        <w:rPr>
          <w:bCs/>
        </w:rPr>
        <w:t>Data Extents</w:t>
      </w:r>
      <w:r w:rsidRPr="000665B0">
        <w:t xml:space="preserve"> panel of the </w:t>
      </w:r>
      <w:r w:rsidRPr="000665B0">
        <w:rPr>
          <w:bCs/>
        </w:rPr>
        <w:t>Geospatial Properties</w:t>
      </w:r>
      <w:r w:rsidRPr="000665B0">
        <w:t>.</w:t>
      </w:r>
    </w:p>
    <w:p w14:paraId="56958384" w14:textId="77777777" w:rsidR="00286ED7" w:rsidRPr="000665B0" w:rsidRDefault="00286ED7" w:rsidP="006D5A65">
      <w:pPr>
        <w:pStyle w:val="Heading1"/>
      </w:pPr>
      <w:r w:rsidRPr="000665B0">
        <w:t xml:space="preserve">For VPF features, the selected feature must be enabled for display from the </w:t>
      </w:r>
      <w:r w:rsidRPr="000665B0">
        <w:rPr>
          <w:bCs/>
        </w:rPr>
        <w:t>VPF Features</w:t>
      </w:r>
      <w:r w:rsidRPr="000665B0">
        <w:t xml:space="preserve"> dialog.</w:t>
      </w:r>
    </w:p>
    <w:p w14:paraId="40E33E7D" w14:textId="77777777" w:rsidR="00286ED7" w:rsidRPr="000665B0" w:rsidRDefault="00286ED7" w:rsidP="006D5A65">
      <w:pPr>
        <w:pStyle w:val="Heading1"/>
      </w:pPr>
      <w:r w:rsidRPr="000665B0">
        <w:t>A specific map item must actually be visible, or eligible to be visible at the current scale, on the Geographic Display at the time the map query selection is made in order for that item to be returned. Note that the item may be obscured by another map item if multiple overlapping items are visible at the same location at the same scale.</w:t>
      </w:r>
    </w:p>
    <w:p w14:paraId="68E10B96" w14:textId="77777777" w:rsidR="003C2316" w:rsidRPr="000665B0" w:rsidRDefault="005A3F30" w:rsidP="009570CA">
      <w:r w:rsidRPr="000665B0">
        <w:t xml:space="preserve">If all conditions are met for a map item, one or more </w:t>
      </w:r>
      <w:r w:rsidRPr="000665B0">
        <w:rPr>
          <w:i/>
        </w:rPr>
        <w:t>Query Results</w:t>
      </w:r>
      <w:r w:rsidRPr="000665B0">
        <w:t xml:space="preserve"> windows are displayed. A separate </w:t>
      </w:r>
      <w:r w:rsidRPr="000665B0">
        <w:rPr>
          <w:i/>
        </w:rPr>
        <w:t>Query Results</w:t>
      </w:r>
      <w:r w:rsidRPr="000665B0">
        <w:t xml:space="preserve"> window is displayed for each type of map data. The title of each window indicates the map data type and the location of the query selection. For example: </w:t>
      </w:r>
      <w:r w:rsidRPr="000665B0">
        <w:rPr>
          <w:b/>
          <w:bCs/>
        </w:rPr>
        <w:t>CADRG (36-56-06.24N, 121-35-42.18W)</w:t>
      </w:r>
      <w:r w:rsidRPr="000665B0">
        <w:t xml:space="preserve">. A </w:t>
      </w:r>
      <w:r w:rsidRPr="000665B0">
        <w:rPr>
          <w:i/>
        </w:rPr>
        <w:t>No</w:t>
      </w:r>
      <w:r w:rsidRPr="000665B0">
        <w:t xml:space="preserve"> </w:t>
      </w:r>
      <w:r w:rsidRPr="000665B0">
        <w:rPr>
          <w:i/>
        </w:rPr>
        <w:t>Query Results</w:t>
      </w:r>
      <w:r w:rsidRPr="000665B0">
        <w:t xml:space="preserve"> window may also be displayed specifying those data types for which no results were returned. This dialog is separated into two lists. The upper list (</w:t>
      </w:r>
      <w:r w:rsidRPr="000665B0">
        <w:rPr>
          <w:b/>
        </w:rPr>
        <w:t>Data Types not returning query results</w:t>
      </w:r>
      <w:r w:rsidRPr="000665B0">
        <w:t xml:space="preserve"> pane) specifies those map types which were eligible for querying but for which no results were found. The lower list (</w:t>
      </w:r>
      <w:r w:rsidRPr="000665B0">
        <w:rPr>
          <w:b/>
        </w:rPr>
        <w:t>Data Types not active or not configured to include in query</w:t>
      </w:r>
      <w:r w:rsidRPr="000665B0">
        <w:t xml:space="preserve"> pane) specifies those map types for which querying is currently disabled.</w:t>
      </w:r>
    </w:p>
    <w:p w14:paraId="1C8672F4" w14:textId="77777777" w:rsidR="00215BE9" w:rsidRPr="000665B0" w:rsidRDefault="003C2316"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lastRenderedPageBreak/>
        <w:t>Note:</w:t>
      </w:r>
    </w:p>
    <w:p w14:paraId="6CF4BEF9" w14:textId="77777777" w:rsidR="005A3F30" w:rsidRPr="000665B0" w:rsidRDefault="005A3F30"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Occasionally, a query may return no results for a VPF feature that is clearly visible on the Geographic Display when the user clicks directly on the feature. This occurs when the location information provided in the map catalog for the associated VPF data is incomplete. The Geo Display loads additional information for query results from map data catalogs only. If this information is incomplete, the Geo Display returns no results for a query even though the features are present on the display. This condition has been noted to occur on disk DNC13 in the vicinity of the Hawaiian Islands.</w:t>
      </w:r>
    </w:p>
    <w:p w14:paraId="044F497A" w14:textId="77777777" w:rsidR="005A3F30" w:rsidRPr="000665B0" w:rsidRDefault="005A3F30" w:rsidP="009570CA">
      <w:pPr>
        <w:spacing w:before="120" w:line="240" w:lineRule="auto"/>
        <w:rPr>
          <w:szCs w:val="24"/>
        </w:rPr>
      </w:pPr>
      <w:r w:rsidRPr="000665B0">
        <w:rPr>
          <w:b/>
          <w:bCs/>
          <w:szCs w:val="24"/>
        </w:rPr>
        <w:t>VPF Query Results</w:t>
      </w:r>
    </w:p>
    <w:p w14:paraId="70C279E6" w14:textId="77777777" w:rsidR="005A3F30" w:rsidRPr="000665B0" w:rsidRDefault="005A3F30" w:rsidP="009570CA">
      <w:pPr>
        <w:spacing w:line="240" w:lineRule="auto"/>
      </w:pPr>
      <w:r w:rsidRPr="000665B0">
        <w:rPr>
          <w:szCs w:val="24"/>
        </w:rPr>
        <w:t>VPF Query Results present each feature in an open tree view, with the branch elements for the feature listing specific information based on the feature type, including the name and scale of the database from which it was extracted. The Overlay features are grouped by geometry, with area, line, point, and text features listed together in separate tree views. Clicking the checkbox next to an item causes the specific feature to highlight on the Geographic Display. Area features are filled with a light gray cross-hatch. Line, point and text features are outlined in light brown and filled with dark brown.</w:t>
      </w:r>
    </w:p>
    <w:p w14:paraId="6FCB6FAD" w14:textId="77777777" w:rsidR="005A3F30" w:rsidRPr="000665B0" w:rsidRDefault="005A3F30"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Note: </w:t>
      </w:r>
    </w:p>
    <w:p w14:paraId="6A883B41" w14:textId="75828A98" w:rsidR="005A3F30" w:rsidRPr="000665B0" w:rsidRDefault="005A3F30" w:rsidP="009570CA">
      <w:pPr>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VPF point features have an inherent </w:t>
      </w:r>
      <w:r w:rsidR="00A049A4" w:rsidRPr="000665B0">
        <w:rPr>
          <w:b/>
        </w:rPr>
        <w:t>“</w:t>
      </w:r>
      <w:r w:rsidRPr="000665B0">
        <w:rPr>
          <w:b/>
        </w:rPr>
        <w:t>hot spot</w:t>
      </w:r>
      <w:r w:rsidR="00A049A4" w:rsidRPr="000665B0">
        <w:rPr>
          <w:b/>
        </w:rPr>
        <w:t xml:space="preserve">” </w:t>
      </w:r>
      <w:r w:rsidRPr="000665B0">
        <w:rPr>
          <w:b/>
        </w:rPr>
        <w:t xml:space="preserve">which must be clicked in order to select the feature. When GeoSym Symbols are displayed, the hot spot may not be readily </w:t>
      </w:r>
      <w:r w:rsidR="004D5F0A" w:rsidRPr="000665B0">
        <w:rPr>
          <w:b/>
        </w:rPr>
        <w:t>apparent,</w:t>
      </w:r>
      <w:r w:rsidRPr="000665B0">
        <w:rPr>
          <w:b/>
        </w:rPr>
        <w:t xml:space="preserve"> and the user may need to click in multiple places before getting a valid return if the display scale is very small.</w:t>
      </w:r>
    </w:p>
    <w:p w14:paraId="07560CC0" w14:textId="7D1D2BD0" w:rsidR="005A3F30" w:rsidRPr="000665B0" w:rsidRDefault="005A3F30" w:rsidP="009570CA">
      <w:pPr>
        <w:spacing w:before="120" w:line="240" w:lineRule="auto"/>
        <w:rPr>
          <w:szCs w:val="24"/>
        </w:rPr>
      </w:pPr>
      <w:r w:rsidRPr="000665B0">
        <w:rPr>
          <w:b/>
          <w:bCs/>
          <w:szCs w:val="24"/>
        </w:rPr>
        <w:t>CADRG, CIB, and ASRP Query Results</w:t>
      </w:r>
    </w:p>
    <w:p w14:paraId="0B33D6F4" w14:textId="2DAB78B0" w:rsidR="005D1A26" w:rsidRPr="000665B0" w:rsidRDefault="008A4236" w:rsidP="009570CA">
      <w:pPr>
        <w:pStyle w:val="base"/>
        <w:spacing w:before="0" w:beforeAutospacing="0" w:after="0" w:afterAutospacing="0"/>
        <w:rPr>
          <w:rFonts w:ascii="Times New Roman" w:hAnsi="Times New Roman" w:cs="Times New Roman"/>
        </w:rPr>
      </w:pPr>
      <w:r w:rsidRPr="000665B0">
        <w:rPr>
          <w:rFonts w:ascii="Times New Roman" w:eastAsia="Times New Roman" w:hAnsi="Times New Roman" w:cs="Times New Roman"/>
        </w:rPr>
        <w:t xml:space="preserve">CADRG, CIB, and ASRP Query Results present a list of map sheets present at the selected location. The zoom factor indicates whether the selected map has been expanded or compressed to fit the current display scale. The operator may disable visibility of a map sheet from the Query Results window by selecting </w:t>
      </w:r>
      <w:r w:rsidRPr="000665B0">
        <w:rPr>
          <w:rFonts w:ascii="Times New Roman" w:eastAsia="Times New Roman" w:hAnsi="Times New Roman" w:cs="Times New Roman"/>
          <w:i/>
        </w:rPr>
        <w:t>Hide</w:t>
      </w:r>
      <w:r w:rsidRPr="000665B0">
        <w:rPr>
          <w:rFonts w:ascii="Times New Roman" w:eastAsia="Times New Roman" w:hAnsi="Times New Roman" w:cs="Times New Roman"/>
        </w:rPr>
        <w:t xml:space="preserve"> from the context menu. (The operator may re-enable display of the map by choosing the </w:t>
      </w:r>
      <w:r w:rsidRPr="000665B0">
        <w:rPr>
          <w:rFonts w:ascii="Times New Roman" w:eastAsia="Times New Roman" w:hAnsi="Times New Roman" w:cs="Times New Roman"/>
          <w:i/>
        </w:rPr>
        <w:t>Show</w:t>
      </w:r>
      <w:r w:rsidRPr="000665B0">
        <w:rPr>
          <w:rFonts w:ascii="Times New Roman" w:eastAsia="Times New Roman" w:hAnsi="Times New Roman" w:cs="Times New Roman"/>
        </w:rPr>
        <w:t xml:space="preserve"> option from the context </w:t>
      </w:r>
      <w:r w:rsidR="00FD25A0" w:rsidRPr="000665B0">
        <w:rPr>
          <w:rFonts w:ascii="Times New Roman" w:eastAsia="Times New Roman" w:hAnsi="Times New Roman" w:cs="Times New Roman"/>
        </w:rPr>
        <w:t>menu. The</w:t>
      </w:r>
      <w:r w:rsidRPr="000665B0">
        <w:rPr>
          <w:rFonts w:ascii="Times New Roman" w:eastAsia="Times New Roman" w:hAnsi="Times New Roman" w:cs="Times New Roman"/>
        </w:rPr>
        <w:t xml:space="preserve"> operator can also use the </w:t>
      </w:r>
      <w:r w:rsidRPr="000665B0">
        <w:rPr>
          <w:rFonts w:ascii="Times New Roman" w:eastAsia="Times New Roman" w:hAnsi="Times New Roman" w:cs="Times New Roman"/>
          <w:b/>
        </w:rPr>
        <w:t>Data Extents</w:t>
      </w:r>
      <w:r w:rsidRPr="000665B0">
        <w:rPr>
          <w:rFonts w:ascii="Times New Roman" w:eastAsia="Times New Roman" w:hAnsi="Times New Roman" w:cs="Times New Roman"/>
        </w:rPr>
        <w:t xml:space="preserve"> panel of the </w:t>
      </w:r>
      <w:r w:rsidRPr="000665B0">
        <w:rPr>
          <w:rFonts w:ascii="Times New Roman" w:eastAsia="Times New Roman" w:hAnsi="Times New Roman" w:cs="Times New Roman"/>
          <w:i/>
        </w:rPr>
        <w:t>Geospatial Properties</w:t>
      </w:r>
      <w:r w:rsidRPr="000665B0">
        <w:rPr>
          <w:rFonts w:ascii="Times New Roman" w:eastAsia="Times New Roman" w:hAnsi="Times New Roman" w:cs="Times New Roman"/>
        </w:rPr>
        <w:t xml:space="preserve"> dialog to re-enable the disabled map.) For CADRG and CIB maps, the operator may also access the list of frame files for a map by choosing the </w:t>
      </w:r>
      <w:r w:rsidRPr="000665B0">
        <w:rPr>
          <w:rFonts w:ascii="Times New Roman" w:eastAsia="Times New Roman" w:hAnsi="Times New Roman" w:cs="Times New Roman"/>
          <w:i/>
        </w:rPr>
        <w:t>Additional Info</w:t>
      </w:r>
      <w:r w:rsidRPr="000665B0">
        <w:rPr>
          <w:rFonts w:ascii="Times New Roman" w:eastAsia="Times New Roman" w:hAnsi="Times New Roman" w:cs="Times New Roman"/>
        </w:rPr>
        <w:t xml:space="preserve"> option from the context menu</w:t>
      </w:r>
      <w:r w:rsidR="005A3F30" w:rsidRPr="000665B0">
        <w:rPr>
          <w:rFonts w:ascii="Times New Roman" w:eastAsia="Times New Roman" w:hAnsi="Times New Roman" w:cs="Times New Roman"/>
        </w:rPr>
        <w:t>.</w:t>
      </w:r>
      <w:r w:rsidR="003C2316" w:rsidRPr="000665B0">
        <w:rPr>
          <w:rFonts w:ascii="Times New Roman" w:eastAsia="Times New Roman" w:hAnsi="Times New Roman" w:cs="Times New Roman"/>
        </w:rPr>
        <w:t xml:space="preserve"> </w:t>
      </w:r>
    </w:p>
    <w:p w14:paraId="5ECA00C4" w14:textId="5EF3854B" w:rsidR="005A3F30" w:rsidRPr="000665B0" w:rsidRDefault="005A3F30" w:rsidP="009570CA">
      <w:pPr>
        <w:pStyle w:val="Heading3"/>
      </w:pPr>
      <w:bookmarkStart w:id="5317" w:name="_5.30.7__Configuring"/>
      <w:bookmarkStart w:id="5318" w:name="_Configuring_the_Geo"/>
      <w:bookmarkStart w:id="5319" w:name="_Toc214283430"/>
      <w:bookmarkEnd w:id="5317"/>
      <w:bookmarkEnd w:id="5318"/>
      <w:r w:rsidRPr="000665B0">
        <w:t>Configuring the Geo Display</w:t>
      </w:r>
      <w:bookmarkEnd w:id="5319"/>
    </w:p>
    <w:p w14:paraId="068C4CE7" w14:textId="77777777" w:rsidR="005A3F30" w:rsidRPr="000665B0" w:rsidRDefault="005A3F30" w:rsidP="009570CA">
      <w:pPr>
        <w:spacing w:after="0" w:line="240" w:lineRule="auto"/>
        <w:rPr>
          <w:szCs w:val="24"/>
        </w:rPr>
      </w:pPr>
      <w:bookmarkStart w:id="5320" w:name="_Toc289328701"/>
      <w:r w:rsidRPr="000665B0">
        <w:rPr>
          <w:szCs w:val="24"/>
        </w:rPr>
        <w:t xml:space="preserve">Many aspects of the presentation of information on the Geo Display may be customized to enhance the overall usability of the display. Configuration also allows sources of map data to be specified. To configure the Geo Display, select the </w:t>
      </w:r>
      <w:r w:rsidRPr="000665B0">
        <w:rPr>
          <w:b/>
          <w:szCs w:val="24"/>
        </w:rPr>
        <w:t>Properties</w:t>
      </w:r>
      <w:r w:rsidRPr="000665B0">
        <w:rPr>
          <w:szCs w:val="24"/>
        </w:rPr>
        <w:t xml:space="preserve"> item from the </w:t>
      </w:r>
      <w:r w:rsidRPr="000665B0">
        <w:rPr>
          <w:b/>
          <w:szCs w:val="24"/>
        </w:rPr>
        <w:t>View</w:t>
      </w:r>
      <w:r w:rsidRPr="000665B0">
        <w:rPr>
          <w:szCs w:val="24"/>
        </w:rPr>
        <w:t xml:space="preserve"> menu. The </w:t>
      </w:r>
      <w:r w:rsidRPr="000665B0">
        <w:rPr>
          <w:i/>
          <w:szCs w:val="24"/>
        </w:rPr>
        <w:t>MDS Geographic Display Configuration</w:t>
      </w:r>
      <w:r w:rsidRPr="000665B0">
        <w:rPr>
          <w:szCs w:val="24"/>
        </w:rPr>
        <w:t xml:space="preserve"> window is shown.</w:t>
      </w:r>
    </w:p>
    <w:bookmarkEnd w:id="5320"/>
    <w:p w14:paraId="4F6EEA65" w14:textId="4DD9D019" w:rsidR="005A3F30" w:rsidRPr="000665B0" w:rsidRDefault="005A3F30" w:rsidP="009570CA">
      <w:pPr>
        <w:pStyle w:val="Heading4"/>
      </w:pPr>
      <w:r w:rsidRPr="000665B0">
        <w:t>Configuring the Display of Geographic Objects</w:t>
      </w:r>
    </w:p>
    <w:p w14:paraId="6D231289" w14:textId="77777777" w:rsidR="005A3F30" w:rsidRPr="000665B0" w:rsidRDefault="005A3F30" w:rsidP="009570CA">
      <w:pPr>
        <w:spacing w:line="240" w:lineRule="auto"/>
        <w:rPr>
          <w:szCs w:val="24"/>
        </w:rPr>
      </w:pPr>
      <w:r w:rsidRPr="000665B0">
        <w:rPr>
          <w:szCs w:val="24"/>
        </w:rPr>
        <w:t xml:space="preserve">Geographic objects are the representations of missions, routes, launch areas, etc. that the Geo Display draws on top of the map data. To configure the display of these objects, select the </w:t>
      </w:r>
      <w:r w:rsidRPr="000665B0">
        <w:rPr>
          <w:b/>
          <w:i/>
          <w:szCs w:val="24"/>
        </w:rPr>
        <w:t>Geo Objects</w:t>
      </w:r>
      <w:r w:rsidRPr="000665B0">
        <w:rPr>
          <w:szCs w:val="24"/>
        </w:rPr>
        <w:t xml:space="preserve"> tab of the </w:t>
      </w:r>
      <w:r w:rsidRPr="000665B0">
        <w:rPr>
          <w:i/>
          <w:szCs w:val="24"/>
        </w:rPr>
        <w:t>MDS Geographic Display Configuration</w:t>
      </w:r>
      <w:r w:rsidRPr="000665B0">
        <w:rPr>
          <w:szCs w:val="24"/>
        </w:rPr>
        <w:t xml:space="preserve"> window.</w:t>
      </w:r>
    </w:p>
    <w:p w14:paraId="758AF68C" w14:textId="2641D5F9" w:rsidR="008325F3" w:rsidRPr="000665B0" w:rsidRDefault="000D39B7" w:rsidP="009570CA">
      <w:pPr>
        <w:pStyle w:val="base"/>
        <w:spacing w:before="0" w:beforeAutospacing="0" w:after="120" w:afterAutospacing="0"/>
        <w:jc w:val="center"/>
      </w:pPr>
      <w:r w:rsidRPr="000665B0">
        <w:rPr>
          <w:noProof/>
        </w:rPr>
        <w:lastRenderedPageBreak/>
        <w:drawing>
          <wp:inline distT="0" distB="0" distL="0" distR="0" wp14:anchorId="17826CA3" wp14:editId="54119153">
            <wp:extent cx="3154680" cy="1984248"/>
            <wp:effectExtent l="0" t="0" r="0" b="0"/>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984248"/>
                    </a:xfrm>
                    <a:prstGeom prst="rect">
                      <a:avLst/>
                    </a:prstGeom>
                  </pic:spPr>
                </pic:pic>
              </a:graphicData>
            </a:graphic>
          </wp:inline>
        </w:drawing>
      </w:r>
    </w:p>
    <w:p w14:paraId="6F213E89" w14:textId="53F3EC75" w:rsidR="005A3F30" w:rsidRPr="000665B0" w:rsidRDefault="005A3F30" w:rsidP="009570CA">
      <w:pPr>
        <w:pStyle w:val="Heading5"/>
      </w:pPr>
      <w:r w:rsidRPr="000665B0">
        <w:t>Geographic Object Drawing Priority</w:t>
      </w:r>
    </w:p>
    <w:p w14:paraId="6968FA57" w14:textId="77777777" w:rsidR="005A3F30" w:rsidRPr="000665B0" w:rsidRDefault="005A3F30" w:rsidP="009570CA">
      <w:pPr>
        <w:spacing w:line="240" w:lineRule="auto"/>
        <w:rPr>
          <w:szCs w:val="24"/>
        </w:rPr>
      </w:pPr>
      <w:r w:rsidRPr="000665B0">
        <w:rPr>
          <w:szCs w:val="24"/>
        </w:rPr>
        <w:t xml:space="preserve">Geo objects are drawn on the display in priority order, with lower-priority objects drawn first, then higher-priority objects drawn on top of them. The precedence of objects drawn over the map display may be adjusted to some extent by rearranging the object types in the </w:t>
      </w:r>
      <w:r w:rsidRPr="000665B0">
        <w:rPr>
          <w:b/>
          <w:szCs w:val="24"/>
        </w:rPr>
        <w:t>Drawing Priority</w:t>
      </w:r>
      <w:r w:rsidRPr="000665B0">
        <w:rPr>
          <w:szCs w:val="24"/>
        </w:rPr>
        <w:t xml:space="preserve"> list. To change the priority of an object type in the </w:t>
      </w:r>
      <w:r w:rsidRPr="000665B0">
        <w:rPr>
          <w:b/>
          <w:szCs w:val="24"/>
        </w:rPr>
        <w:t>Drawing Priority</w:t>
      </w:r>
      <w:r w:rsidRPr="000665B0">
        <w:rPr>
          <w:szCs w:val="24"/>
        </w:rPr>
        <w:t xml:space="preserve"> list, select the object type in the list, </w:t>
      </w:r>
      <w:r w:rsidR="000A1E20" w:rsidRPr="000665B0">
        <w:rPr>
          <w:szCs w:val="24"/>
        </w:rPr>
        <w:t xml:space="preserve">and </w:t>
      </w:r>
      <w:r w:rsidRPr="000665B0">
        <w:rPr>
          <w:szCs w:val="24"/>
        </w:rPr>
        <w:t xml:space="preserve">then click on the </w:t>
      </w:r>
      <w:r w:rsidRPr="000665B0">
        <w:rPr>
          <w:b/>
          <w:szCs w:val="24"/>
        </w:rPr>
        <w:t>Move Up</w:t>
      </w:r>
      <w:r w:rsidRPr="000665B0">
        <w:rPr>
          <w:szCs w:val="24"/>
        </w:rPr>
        <w:t xml:space="preserve"> and </w:t>
      </w:r>
      <w:r w:rsidRPr="000665B0">
        <w:rPr>
          <w:b/>
          <w:szCs w:val="24"/>
        </w:rPr>
        <w:t>Move Down</w:t>
      </w:r>
      <w:r w:rsidRPr="000665B0">
        <w:rPr>
          <w:szCs w:val="24"/>
        </w:rPr>
        <w:t xml:space="preserve"> buttons as desired.</w:t>
      </w:r>
    </w:p>
    <w:p w14:paraId="7B58BD15" w14:textId="77777777" w:rsidR="005A3F30" w:rsidRPr="000665B0" w:rsidRDefault="005A3F30" w:rsidP="009570CA">
      <w:pPr>
        <w:spacing w:line="240" w:lineRule="auto"/>
        <w:rPr>
          <w:szCs w:val="24"/>
        </w:rPr>
      </w:pPr>
      <w:r w:rsidRPr="000665B0">
        <w:rPr>
          <w:szCs w:val="24"/>
        </w:rPr>
        <w:t xml:space="preserve">The priority in the </w:t>
      </w:r>
      <w:r w:rsidRPr="000665B0">
        <w:rPr>
          <w:b/>
          <w:szCs w:val="24"/>
        </w:rPr>
        <w:t>Drawing Priority</w:t>
      </w:r>
      <w:r w:rsidRPr="000665B0">
        <w:rPr>
          <w:szCs w:val="24"/>
        </w:rPr>
        <w:t xml:space="preserve"> list affects only </w:t>
      </w:r>
      <w:r w:rsidRPr="000665B0">
        <w:rPr>
          <w:i/>
          <w:szCs w:val="24"/>
        </w:rPr>
        <w:t>top-level</w:t>
      </w:r>
      <w:r w:rsidRPr="000665B0">
        <w:rPr>
          <w:szCs w:val="24"/>
        </w:rPr>
        <w:t xml:space="preserve"> objects. These are objects shown at the first indentation layer of the Geo Object Manager. Objects which are more deeply indented are part of some higher-level object, and their order of drawing is determined by the higher-level object to which they belong.</w:t>
      </w:r>
    </w:p>
    <w:p w14:paraId="165ADAE6" w14:textId="77777777" w:rsidR="005A3F30" w:rsidRPr="000665B0" w:rsidRDefault="005A3F30" w:rsidP="009570CA">
      <w:pPr>
        <w:spacing w:after="0" w:line="240" w:lineRule="auto"/>
        <w:rPr>
          <w:szCs w:val="24"/>
        </w:rPr>
      </w:pPr>
      <w:bookmarkStart w:id="5321" w:name="_5.30.8.1.2__Hiding"/>
      <w:bookmarkStart w:id="5322" w:name="_Toc289328703"/>
      <w:bookmarkEnd w:id="5321"/>
      <w:r w:rsidRPr="000665B0">
        <w:rPr>
          <w:szCs w:val="24"/>
        </w:rPr>
        <w:t xml:space="preserve">As an example, if several targets were being displayed geographically from the Targets Tool, the drawing priority of those targets would be governed by position of the Target type in the </w:t>
      </w:r>
      <w:r w:rsidRPr="000665B0">
        <w:rPr>
          <w:b/>
          <w:szCs w:val="24"/>
        </w:rPr>
        <w:t>Drawing Priority</w:t>
      </w:r>
      <w:r w:rsidRPr="000665B0">
        <w:rPr>
          <w:szCs w:val="24"/>
        </w:rPr>
        <w:t xml:space="preserve"> list. Targets displayed as part of a strike option, however, would be governed by the priority of the Strike Option type.</w:t>
      </w:r>
    </w:p>
    <w:p w14:paraId="368C5E3B" w14:textId="4FC32443" w:rsidR="005A3F30" w:rsidRPr="000665B0" w:rsidRDefault="005A3F30" w:rsidP="009570CA">
      <w:pPr>
        <w:pStyle w:val="Heading5"/>
      </w:pPr>
      <w:bookmarkStart w:id="5323" w:name="_5.30.7.1.2__Hiding"/>
      <w:bookmarkEnd w:id="5322"/>
      <w:bookmarkEnd w:id="5323"/>
      <w:r w:rsidRPr="000665B0">
        <w:t>Hiding Labels at Specified Map Scales</w:t>
      </w:r>
    </w:p>
    <w:p w14:paraId="4207CB82" w14:textId="77777777" w:rsidR="008325F3" w:rsidRPr="000665B0" w:rsidRDefault="008325F3"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rPr>
        <w:t>The text labels associated with certain kinds of objects can be hidden automatically when the display is zoomed out so far that they would obscure the information presented. The map scale at which labels begin to be hidden can be adjusted for each geo object type that has labels.</w:t>
      </w:r>
    </w:p>
    <w:p w14:paraId="40171E68" w14:textId="790474E6" w:rsidR="00170B30" w:rsidRPr="000665B0" w:rsidRDefault="00170B30" w:rsidP="009570CA">
      <w:pPr>
        <w:pStyle w:val="base"/>
        <w:keepNext/>
        <w:spacing w:before="0" w:beforeAutospacing="0" w:after="120" w:afterAutospacing="0"/>
        <w:jc w:val="center"/>
        <w:rPr>
          <w:rFonts w:ascii="Times New Roman" w:hAnsi="Times New Roman" w:cs="Times New Roman"/>
        </w:rPr>
      </w:pPr>
      <w:r w:rsidRPr="000665B0">
        <w:rPr>
          <w:rFonts w:ascii="Times New Roman" w:hAnsi="Times New Roman" w:cs="Times New Roman"/>
          <w:b/>
        </w:rPr>
        <w:lastRenderedPageBreak/>
        <w:t>Waypoint labels hidden at a map scale of 312 NM.</w:t>
      </w:r>
    </w:p>
    <w:p w14:paraId="51F65000" w14:textId="3B05965D" w:rsidR="008325F3" w:rsidRPr="000665B0" w:rsidRDefault="00DB605F" w:rsidP="009570CA">
      <w:pPr>
        <w:pStyle w:val="base"/>
        <w:spacing w:before="0" w:beforeAutospacing="0" w:after="120" w:afterAutospacing="0" w:line="240" w:lineRule="atLeast"/>
        <w:jc w:val="center"/>
      </w:pPr>
      <w:r w:rsidRPr="000665B0">
        <w:rPr>
          <w:noProof/>
        </w:rPr>
        <w:drawing>
          <wp:inline distT="0" distB="0" distL="0" distR="0" wp14:anchorId="73A46DC5" wp14:editId="3D2C834B">
            <wp:extent cx="3154680" cy="2487168"/>
            <wp:effectExtent l="0" t="0" r="0" b="0"/>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487168"/>
                    </a:xfrm>
                    <a:prstGeom prst="rect">
                      <a:avLst/>
                    </a:prstGeom>
                  </pic:spPr>
                </pic:pic>
              </a:graphicData>
            </a:graphic>
          </wp:inline>
        </w:drawing>
      </w:r>
    </w:p>
    <w:p w14:paraId="2129D593" w14:textId="77777777" w:rsidR="005A3F30" w:rsidRPr="000665B0" w:rsidRDefault="005A3F30" w:rsidP="009570CA">
      <w:pPr>
        <w:spacing w:line="240" w:lineRule="auto"/>
        <w:rPr>
          <w:szCs w:val="24"/>
        </w:rPr>
      </w:pPr>
      <w:r w:rsidRPr="000665B0">
        <w:rPr>
          <w:szCs w:val="24"/>
        </w:rPr>
        <w:t xml:space="preserve">To adjust the map scale threshold for one or more object types, select the type(s) in the </w:t>
      </w:r>
      <w:r w:rsidRPr="000665B0">
        <w:rPr>
          <w:b/>
          <w:szCs w:val="24"/>
        </w:rPr>
        <w:t>Hide Labels by Map Scale</w:t>
      </w:r>
      <w:r w:rsidRPr="000665B0">
        <w:rPr>
          <w:szCs w:val="24"/>
        </w:rPr>
        <w:t xml:space="preserve"> list, then right-click and select </w:t>
      </w:r>
      <w:r w:rsidRPr="000665B0">
        <w:rPr>
          <w:b/>
          <w:szCs w:val="24"/>
        </w:rPr>
        <w:t>Edit…</w:t>
      </w:r>
      <w:r w:rsidRPr="000665B0">
        <w:rPr>
          <w:szCs w:val="24"/>
        </w:rPr>
        <w:t xml:space="preserve">.. The </w:t>
      </w:r>
      <w:r w:rsidRPr="000665B0">
        <w:rPr>
          <w:i/>
          <w:szCs w:val="24"/>
        </w:rPr>
        <w:t>Hide Labels by Map Scale</w:t>
      </w:r>
      <w:r w:rsidRPr="000665B0">
        <w:rPr>
          <w:szCs w:val="24"/>
        </w:rPr>
        <w:t xml:space="preserve"> dialog is shown.</w:t>
      </w:r>
    </w:p>
    <w:p w14:paraId="5CF33727" w14:textId="58AEB1AE" w:rsidR="008325F3" w:rsidRPr="000665B0" w:rsidRDefault="00DB605F" w:rsidP="00DC3AA7">
      <w:pPr>
        <w:pStyle w:val="base"/>
        <w:spacing w:before="120" w:beforeAutospacing="0" w:after="120" w:afterAutospacing="0"/>
        <w:jc w:val="center"/>
      </w:pPr>
      <w:r w:rsidRPr="000665B0">
        <w:rPr>
          <w:noProof/>
        </w:rPr>
        <w:drawing>
          <wp:inline distT="0" distB="0" distL="0" distR="0" wp14:anchorId="068F1A55" wp14:editId="008C7270">
            <wp:extent cx="1828800" cy="1316736"/>
            <wp:effectExtent l="0" t="0" r="0"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316736"/>
                    </a:xfrm>
                    <a:prstGeom prst="rect">
                      <a:avLst/>
                    </a:prstGeom>
                  </pic:spPr>
                </pic:pic>
              </a:graphicData>
            </a:graphic>
          </wp:inline>
        </w:drawing>
      </w:r>
    </w:p>
    <w:p w14:paraId="7997A955" w14:textId="77777777" w:rsidR="008325F3" w:rsidRPr="000665B0" w:rsidRDefault="008325F3"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rPr>
        <w:t>Adjust the map scale threshold by entering a number into the field provided. To turn scale-based label hiding off or on, use the checkbox to the left of the numeric entry field.</w:t>
      </w:r>
    </w:p>
    <w:p w14:paraId="359BFAA1" w14:textId="77777777" w:rsidR="002E5056" w:rsidRDefault="008325F3" w:rsidP="00BB4EBE">
      <w:pPr>
        <w:pStyle w:val="base"/>
        <w:pBdr>
          <w:top w:val="single" w:sz="12" w:space="1" w:color="auto"/>
          <w:left w:val="single" w:sz="12" w:space="4" w:color="auto"/>
          <w:bottom w:val="single" w:sz="12" w:space="1" w:color="auto"/>
          <w:right w:val="single" w:sz="12" w:space="4" w:color="auto"/>
        </w:pBdr>
        <w:shd w:val="clear" w:color="auto" w:fill="D9D9D9" w:themeFill="background1" w:themeFillShade="D9"/>
        <w:spacing w:before="0" w:beforeAutospacing="0" w:after="0" w:afterAutospacing="0"/>
        <w:jc w:val="center"/>
        <w:rPr>
          <w:rFonts w:ascii="Times New Roman" w:hAnsi="Times New Roman" w:cs="Times New Roman"/>
          <w:b/>
          <w:bCs/>
        </w:rPr>
      </w:pPr>
      <w:r w:rsidRPr="00BB4EBE">
        <w:rPr>
          <w:rFonts w:ascii="Times New Roman" w:hAnsi="Times New Roman" w:cs="Times New Roman"/>
          <w:b/>
          <w:bCs/>
        </w:rPr>
        <w:t>Note:</w:t>
      </w:r>
    </w:p>
    <w:p w14:paraId="4A481DBC" w14:textId="06D22BA4" w:rsidR="008325F3" w:rsidRPr="00BB4EBE" w:rsidRDefault="008325F3" w:rsidP="00BB4EBE">
      <w:pPr>
        <w:pStyle w:val="base"/>
        <w:pBdr>
          <w:top w:val="single" w:sz="12" w:space="1" w:color="auto"/>
          <w:left w:val="single" w:sz="12" w:space="4" w:color="auto"/>
          <w:bottom w:val="single" w:sz="12" w:space="1" w:color="auto"/>
          <w:right w:val="single" w:sz="12" w:space="4" w:color="auto"/>
        </w:pBdr>
        <w:shd w:val="clear" w:color="auto" w:fill="D9D9D9" w:themeFill="background1" w:themeFillShade="D9"/>
        <w:spacing w:before="0" w:beforeAutospacing="0" w:after="0" w:afterAutospacing="0"/>
        <w:jc w:val="center"/>
        <w:rPr>
          <w:rFonts w:ascii="Times New Roman" w:hAnsi="Times New Roman" w:cs="Times New Roman"/>
          <w:b/>
          <w:bCs/>
        </w:rPr>
      </w:pPr>
      <w:r w:rsidRPr="00BB4EBE">
        <w:rPr>
          <w:rFonts w:ascii="Times New Roman" w:hAnsi="Times New Roman" w:cs="Times New Roman"/>
          <w:b/>
          <w:bCs/>
        </w:rPr>
        <w:t xml:space="preserve">Object labels will not reappear below the given map scale if they are also turned off using the </w:t>
      </w:r>
      <w:r w:rsidRPr="002E5056">
        <w:rPr>
          <w:rFonts w:ascii="Times New Roman" w:hAnsi="Times New Roman" w:cs="Times New Roman"/>
          <w:b/>
          <w:bCs/>
        </w:rPr>
        <w:t>Hide All Labels</w:t>
      </w:r>
      <w:r w:rsidRPr="00BB4EBE">
        <w:rPr>
          <w:rFonts w:ascii="Times New Roman" w:hAnsi="Times New Roman" w:cs="Times New Roman"/>
          <w:b/>
          <w:bCs/>
        </w:rPr>
        <w:t xml:space="preserve"> item of the </w:t>
      </w:r>
      <w:r w:rsidRPr="002E5056">
        <w:rPr>
          <w:rFonts w:ascii="Times New Roman" w:hAnsi="Times New Roman" w:cs="Times New Roman"/>
          <w:b/>
          <w:bCs/>
        </w:rPr>
        <w:t>View</w:t>
      </w:r>
      <w:r w:rsidRPr="00BB4EBE">
        <w:rPr>
          <w:rFonts w:ascii="Times New Roman" w:hAnsi="Times New Roman" w:cs="Times New Roman"/>
          <w:b/>
          <w:bCs/>
        </w:rPr>
        <w:t xml:space="preserve"> menu or the corresponding button of the toolbar.</w:t>
      </w:r>
    </w:p>
    <w:p w14:paraId="4BA998E0" w14:textId="38113AC1" w:rsidR="005A3F30" w:rsidRPr="000665B0" w:rsidRDefault="005A3F30" w:rsidP="009570CA">
      <w:pPr>
        <w:pStyle w:val="Heading4"/>
      </w:pPr>
      <w:r w:rsidRPr="000665B0">
        <w:t>Configuring Map Data and Features</w:t>
      </w:r>
    </w:p>
    <w:p w14:paraId="445AB293" w14:textId="77777777" w:rsidR="005A3F30" w:rsidRPr="000665B0" w:rsidRDefault="005A3F30" w:rsidP="009570CA">
      <w:pPr>
        <w:spacing w:line="240" w:lineRule="auto"/>
        <w:rPr>
          <w:szCs w:val="24"/>
        </w:rPr>
      </w:pPr>
      <w:r w:rsidRPr="000665B0">
        <w:rPr>
          <w:szCs w:val="24"/>
        </w:rPr>
        <w:t xml:space="preserve">The presentation of the map over which geo objects are drawn may be configured, as well as the sources of map data used for the Geo Display. To configure the map and its features, select the </w:t>
      </w:r>
      <w:r w:rsidRPr="000665B0">
        <w:rPr>
          <w:b/>
          <w:i/>
          <w:szCs w:val="24"/>
        </w:rPr>
        <w:t>Map/Features</w:t>
      </w:r>
      <w:r w:rsidRPr="000665B0">
        <w:rPr>
          <w:szCs w:val="24"/>
        </w:rPr>
        <w:t xml:space="preserve"> tab of the </w:t>
      </w:r>
      <w:r w:rsidRPr="000665B0">
        <w:rPr>
          <w:i/>
          <w:szCs w:val="24"/>
        </w:rPr>
        <w:t>MDS Geographic Display Configuration</w:t>
      </w:r>
      <w:r w:rsidRPr="000665B0">
        <w:rPr>
          <w:szCs w:val="24"/>
        </w:rPr>
        <w:t xml:space="preserve"> window.</w:t>
      </w:r>
    </w:p>
    <w:p w14:paraId="66818C23" w14:textId="46BA89B9" w:rsidR="008325F3" w:rsidRPr="000665B0" w:rsidRDefault="00F1239D" w:rsidP="00DC3AA7">
      <w:pPr>
        <w:pStyle w:val="base"/>
        <w:spacing w:before="120" w:beforeAutospacing="0" w:after="120" w:afterAutospacing="0"/>
        <w:jc w:val="center"/>
      </w:pPr>
      <w:r w:rsidRPr="000665B0">
        <w:rPr>
          <w:noProof/>
        </w:rPr>
        <w:lastRenderedPageBreak/>
        <w:drawing>
          <wp:inline distT="0" distB="0" distL="0" distR="0" wp14:anchorId="2CE15F2D" wp14:editId="44607F2F">
            <wp:extent cx="2822735" cy="1775460"/>
            <wp:effectExtent l="0" t="0" r="0" b="0"/>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842998" cy="1788205"/>
                    </a:xfrm>
                    <a:prstGeom prst="rect">
                      <a:avLst/>
                    </a:prstGeom>
                  </pic:spPr>
                </pic:pic>
              </a:graphicData>
            </a:graphic>
          </wp:inline>
        </w:drawing>
      </w:r>
    </w:p>
    <w:p w14:paraId="12EA19A5" w14:textId="0C52FD6D" w:rsidR="003C4A53" w:rsidRPr="000665B0" w:rsidRDefault="003C4A53" w:rsidP="009570CA">
      <w:pPr>
        <w:pStyle w:val="Heading5"/>
      </w:pPr>
      <w:r w:rsidRPr="000665B0">
        <w:t>Show VPF Features</w:t>
      </w:r>
    </w:p>
    <w:p w14:paraId="39E69D3E" w14:textId="77777777" w:rsidR="003C4A53" w:rsidRPr="000665B0" w:rsidRDefault="003C4A53" w:rsidP="009570CA">
      <w:pPr>
        <w:spacing w:after="0" w:line="240" w:lineRule="auto"/>
        <w:rPr>
          <w:szCs w:val="24"/>
        </w:rPr>
      </w:pPr>
      <w:bookmarkStart w:id="5324" w:name="_Toc289328706"/>
      <w:r w:rsidRPr="000665B0">
        <w:rPr>
          <w:szCs w:val="24"/>
        </w:rPr>
        <w:t xml:space="preserve">The </w:t>
      </w:r>
      <w:r w:rsidRPr="000665B0">
        <w:rPr>
          <w:b/>
          <w:szCs w:val="24"/>
        </w:rPr>
        <w:t>Show VPF</w:t>
      </w:r>
      <w:r w:rsidRPr="000665B0">
        <w:rPr>
          <w:szCs w:val="24"/>
        </w:rPr>
        <w:t xml:space="preserve"> Features checkbox may be used to enable or disable display of map features specified in the standard Vector Product Format data. When VPF features are disabled, the map shows only land and sea areas. When VPF features are enabled, the display can include country borders, depth contours, airfields, oilfields, and many other features of potential interest.</w:t>
      </w:r>
    </w:p>
    <w:bookmarkEnd w:id="5324"/>
    <w:p w14:paraId="5F2B263E" w14:textId="66D10554" w:rsidR="003C4A53" w:rsidRPr="000665B0" w:rsidRDefault="003C4A53" w:rsidP="009570CA">
      <w:pPr>
        <w:pStyle w:val="Heading5"/>
      </w:pPr>
      <w:r w:rsidRPr="000665B0">
        <w:t>Show Digital Maps</w:t>
      </w:r>
    </w:p>
    <w:p w14:paraId="156706BF" w14:textId="77777777" w:rsidR="003C4A53" w:rsidRPr="000665B0" w:rsidRDefault="003C4A53" w:rsidP="009570CA">
      <w:pPr>
        <w:spacing w:line="240" w:lineRule="auto"/>
        <w:rPr>
          <w:szCs w:val="24"/>
        </w:rPr>
      </w:pPr>
      <w:r w:rsidRPr="000665B0">
        <w:rPr>
          <w:szCs w:val="24"/>
        </w:rPr>
        <w:t xml:space="preserve">The </w:t>
      </w:r>
      <w:r w:rsidRPr="000665B0">
        <w:rPr>
          <w:b/>
          <w:szCs w:val="24"/>
        </w:rPr>
        <w:t>Show Digital</w:t>
      </w:r>
      <w:r w:rsidRPr="000665B0">
        <w:rPr>
          <w:szCs w:val="24"/>
        </w:rPr>
        <w:t xml:space="preserve"> </w:t>
      </w:r>
      <w:r w:rsidRPr="000665B0">
        <w:rPr>
          <w:b/>
          <w:szCs w:val="24"/>
        </w:rPr>
        <w:t>Maps</w:t>
      </w:r>
      <w:r w:rsidRPr="000665B0">
        <w:rPr>
          <w:szCs w:val="24"/>
        </w:rPr>
        <w:t xml:space="preserve"> checkbox may be used to enable or disable display of digital map data and imagery other than the standard VPF data (CADRG, ASRP, etc.). The display of digital map data can also be toggled by selecting the </w:t>
      </w:r>
      <w:r w:rsidRPr="000665B0">
        <w:rPr>
          <w:b/>
          <w:szCs w:val="24"/>
        </w:rPr>
        <w:t>Display Digital Maps</w:t>
      </w:r>
      <w:r w:rsidRPr="000665B0">
        <w:rPr>
          <w:szCs w:val="24"/>
        </w:rPr>
        <w:t xml:space="preserve"> item of the </w:t>
      </w:r>
      <w:r w:rsidRPr="000665B0">
        <w:rPr>
          <w:b/>
          <w:szCs w:val="24"/>
        </w:rPr>
        <w:t>View</w:t>
      </w:r>
      <w:r w:rsidRPr="000665B0">
        <w:rPr>
          <w:szCs w:val="24"/>
        </w:rPr>
        <w:t xml:space="preserve"> menu.</w:t>
      </w:r>
    </w:p>
    <w:p w14:paraId="4E44D692" w14:textId="7BC65356" w:rsidR="003C4A53" w:rsidRPr="000665B0" w:rsidRDefault="003C4A53" w:rsidP="009570CA">
      <w:pPr>
        <w:pStyle w:val="Heading5"/>
        <w:keepNext w:val="0"/>
      </w:pPr>
      <w:r w:rsidRPr="000665B0">
        <w:t>Use GeoSym Symbology</w:t>
      </w:r>
    </w:p>
    <w:p w14:paraId="41E86BFE" w14:textId="77777777" w:rsidR="003C4A53" w:rsidRPr="000665B0" w:rsidRDefault="003C4A53" w:rsidP="00686199">
      <w:pPr>
        <w:spacing w:line="240" w:lineRule="auto"/>
      </w:pPr>
      <w:bookmarkStart w:id="5325" w:name="_5.30.8.2.4__Configuring"/>
      <w:bookmarkStart w:id="5326" w:name="_Toc289328708"/>
      <w:bookmarkEnd w:id="5325"/>
      <w:r w:rsidRPr="000665B0">
        <w:t xml:space="preserve">The </w:t>
      </w:r>
      <w:r w:rsidRPr="000665B0">
        <w:rPr>
          <w:i/>
        </w:rPr>
        <w:t>MDS</w:t>
      </w:r>
      <w:r w:rsidRPr="000665B0">
        <w:t xml:space="preserve"> </w:t>
      </w:r>
      <w:r w:rsidRPr="000665B0">
        <w:rPr>
          <w:i/>
        </w:rPr>
        <w:t>Geographic Display Configuration</w:t>
      </w:r>
      <w:r w:rsidRPr="000665B0">
        <w:t xml:space="preserve"> window includes a </w:t>
      </w:r>
      <w:r w:rsidRPr="000665B0">
        <w:rPr>
          <w:b/>
        </w:rPr>
        <w:t>Use GeoSym Symbology</w:t>
      </w:r>
      <w:r w:rsidRPr="000665B0">
        <w:t xml:space="preserve"> checkbox which specifies whether or not Geospatial Symbols for Digital Displays (GeoSym) are displayed in accordance with the standard specified in MIL-STD-89045, 17 June 2004. Using GeoSym symbology also requires that map features be displayed using one of several standard color schemes.</w:t>
      </w:r>
    </w:p>
    <w:p w14:paraId="0C83B7A8" w14:textId="0277F2B2" w:rsidR="003C4A53" w:rsidRPr="000665B0" w:rsidRDefault="003C4A53" w:rsidP="00686199">
      <w:pPr>
        <w:pStyle w:val="Heading5"/>
        <w:keepNext w:val="0"/>
      </w:pPr>
      <w:bookmarkStart w:id="5327" w:name="_5.30.7.2.4__Configuring"/>
      <w:bookmarkEnd w:id="5326"/>
      <w:bookmarkEnd w:id="5327"/>
      <w:r w:rsidRPr="000665B0">
        <w:t>Configuring Map Data</w:t>
      </w:r>
    </w:p>
    <w:p w14:paraId="34296D57" w14:textId="77777777" w:rsidR="003C4A53" w:rsidRPr="000665B0" w:rsidRDefault="003C4A53" w:rsidP="009570CA">
      <w:r w:rsidRPr="000665B0">
        <w:t xml:space="preserve">The map data used to generate the map display may be configured from the </w:t>
      </w:r>
      <w:r w:rsidRPr="000665B0">
        <w:rPr>
          <w:b/>
          <w:i/>
        </w:rPr>
        <w:t>Map/Features</w:t>
      </w:r>
      <w:r w:rsidRPr="000665B0">
        <w:t xml:space="preserve"> tab of the </w:t>
      </w:r>
      <w:r w:rsidRPr="000665B0">
        <w:rPr>
          <w:i/>
        </w:rPr>
        <w:t>MDS</w:t>
      </w:r>
      <w:r w:rsidRPr="000665B0">
        <w:t xml:space="preserve"> </w:t>
      </w:r>
      <w:r w:rsidRPr="000665B0">
        <w:rPr>
          <w:i/>
        </w:rPr>
        <w:t>Geographic Display Configuration</w:t>
      </w:r>
      <w:r w:rsidRPr="000665B0">
        <w:t xml:space="preserve"> window using the </w:t>
      </w:r>
      <w:r w:rsidRPr="000665B0">
        <w:rPr>
          <w:b/>
        </w:rPr>
        <w:t>Map Directories</w:t>
      </w:r>
      <w:r w:rsidRPr="000665B0">
        <w:t xml:space="preserve"> list and its associated controls.</w:t>
      </w:r>
    </w:p>
    <w:p w14:paraId="34547D1F" w14:textId="77777777" w:rsidR="008325F3" w:rsidRPr="000665B0" w:rsidRDefault="008325F3" w:rsidP="009570CA">
      <w:r w:rsidRPr="000665B0">
        <w:t>The MDS distribution includes World Vector Shoreline (</w:t>
      </w:r>
      <w:r w:rsidRPr="000665B0">
        <w:rPr>
          <w:b/>
        </w:rPr>
        <w:t>WVS</w:t>
      </w:r>
      <w:r w:rsidRPr="000665B0">
        <w:t>) data at a 1:40,000,000 scale to provide a basic view of the world. WVS and other vector data products (such as Digital Nautical Charts) are available at higher resolutions. These, and a wide variety of geo-registered image data products, can be used by MDS to build its map displays.</w:t>
      </w:r>
    </w:p>
    <w:p w14:paraId="2850D1EC" w14:textId="77777777" w:rsidR="008325F3" w:rsidRPr="000665B0" w:rsidRDefault="008325F3" w:rsidP="009570CA">
      <w:r w:rsidRPr="000665B0">
        <w:t>Once included in the configuration, digital map data and registered imagery are displayed automatically by the MDS when an area of the world for which data is available is displayed at an appropriate map scale.</w:t>
      </w:r>
    </w:p>
    <w:p w14:paraId="3F922566" w14:textId="77777777" w:rsidR="008325F3" w:rsidRPr="000665B0" w:rsidRDefault="008325F3" w:rsidP="009570CA">
      <w:pPr>
        <w:spacing w:after="0"/>
      </w:pPr>
      <w:r w:rsidRPr="000665B0">
        <w:t>Map data configuration changes apply to all Geo Displays.</w:t>
      </w:r>
    </w:p>
    <w:p w14:paraId="64B18BA6" w14:textId="062D16DA" w:rsidR="003C4A53" w:rsidRPr="000665B0" w:rsidRDefault="003C4A53" w:rsidP="00306174">
      <w:pPr>
        <w:pStyle w:val="Heading6"/>
      </w:pPr>
      <w:r w:rsidRPr="000665B0">
        <w:lastRenderedPageBreak/>
        <w:t>Map Data Types</w:t>
      </w:r>
    </w:p>
    <w:p w14:paraId="0A475818" w14:textId="77777777" w:rsidR="003C4A53" w:rsidRPr="000665B0" w:rsidRDefault="003C4A53" w:rsidP="009570CA">
      <w:r w:rsidRPr="000665B0">
        <w:t>The Geo Display displays both raster and vector data from the National Geospatial-Intelligence Agency (NGA) (formerly the National Imagery and Mapping Agency [NIMA]) and other government agencies, such as the United Kingdom Military Survey.</w:t>
      </w:r>
    </w:p>
    <w:p w14:paraId="6E0B3CB3" w14:textId="77777777" w:rsidR="008325F3" w:rsidRPr="000665B0" w:rsidRDefault="008325F3" w:rsidP="009570CA">
      <w:r w:rsidRPr="000665B0">
        <w:t>Vector data used by the MDS is in Vector Product Format (</w:t>
      </w:r>
      <w:r w:rsidRPr="000665B0">
        <w:rPr>
          <w:b/>
        </w:rPr>
        <w:t>VPF</w:t>
      </w:r>
      <w:r w:rsidRPr="000665B0">
        <w:t>) which is a standard format for geographic databases. Map data available in VPF includes VMAP0, VMAP1, and Digital Nautical Charts (</w:t>
      </w:r>
      <w:r w:rsidRPr="000665B0">
        <w:rPr>
          <w:b/>
        </w:rPr>
        <w:t>DNCs</w:t>
      </w:r>
      <w:r w:rsidRPr="000665B0">
        <w:t>).</w:t>
      </w:r>
    </w:p>
    <w:p w14:paraId="402490C5" w14:textId="69470950" w:rsidR="008325F3" w:rsidRPr="000665B0" w:rsidRDefault="008325F3" w:rsidP="009570CA">
      <w:r w:rsidRPr="000665B0">
        <w:t>NGA also provides digitized raster data (digitized maps and imagery), which can be overlaid on the geographic display to provide more visual detail about an area of interest. Raster data types displayable by MDS include Compressed Arc Digitized Raster Graphics (</w:t>
      </w:r>
      <w:r w:rsidRPr="000665B0">
        <w:rPr>
          <w:b/>
        </w:rPr>
        <w:t>CADRG</w:t>
      </w:r>
      <w:r w:rsidRPr="000665B0">
        <w:t xml:space="preserve">), </w:t>
      </w:r>
      <w:r w:rsidRPr="000665B0">
        <w:rPr>
          <w:szCs w:val="24"/>
        </w:rPr>
        <w:t>Controlled Image Base (</w:t>
      </w:r>
      <w:r w:rsidRPr="000665B0">
        <w:rPr>
          <w:b/>
        </w:rPr>
        <w:t>CIB</w:t>
      </w:r>
      <w:r w:rsidRPr="000665B0">
        <w:t xml:space="preserve">), </w:t>
      </w:r>
      <w:r w:rsidR="00B707F5" w:rsidRPr="000665B0">
        <w:t xml:space="preserve">and </w:t>
      </w:r>
      <w:r w:rsidRPr="000665B0">
        <w:t>ARC Standard Raster Product (</w:t>
      </w:r>
      <w:r w:rsidRPr="000665B0">
        <w:rPr>
          <w:b/>
        </w:rPr>
        <w:t>ASRP</w:t>
      </w:r>
      <w:r w:rsidRPr="000665B0">
        <w:t>).</w:t>
      </w:r>
    </w:p>
    <w:p w14:paraId="55D2A537" w14:textId="503A788D" w:rsidR="003C4A53" w:rsidRPr="000665B0" w:rsidRDefault="003C4A53" w:rsidP="009570CA">
      <w:pPr>
        <w:spacing w:after="0"/>
      </w:pPr>
      <w:bookmarkStart w:id="5328" w:name="_5.30.8.2.4.2__Adding"/>
      <w:bookmarkStart w:id="5329" w:name="_Toc289328710"/>
      <w:bookmarkEnd w:id="5328"/>
      <w:r w:rsidRPr="000665B0">
        <w:t xml:space="preserve">Digital raster data have an inherent best scale, where the information is displayed with the best clarity. Although many digital maps include data at multiple scales, clarity considerations still apply for each of these scale values. In order to provide map displays at intermediate values, the Geo Display has the ability to bloom or compress the raster data in order to fit the image onto maps that have intermediate scale values. See </w:t>
      </w:r>
      <w:hyperlink w:anchor="_5.30.8.2.6.1.1__Image" w:history="1">
        <w:r w:rsidRPr="000665B0">
          <w:rPr>
            <w:color w:val="0000FF"/>
            <w:u w:val="single"/>
          </w:rPr>
          <w:t xml:space="preserve">Section </w:t>
        </w:r>
        <w:r w:rsidR="004231CC">
          <w:rPr>
            <w:color w:val="0000FF"/>
            <w:u w:val="single"/>
          </w:rPr>
          <w:t>5.26</w:t>
        </w:r>
        <w:r w:rsidRPr="000665B0">
          <w:rPr>
            <w:color w:val="0000FF"/>
            <w:u w:val="single"/>
          </w:rPr>
          <w:t>.7.2.6.1.1</w:t>
        </w:r>
      </w:hyperlink>
      <w:r w:rsidRPr="000665B0">
        <w:t>.</w:t>
      </w:r>
    </w:p>
    <w:p w14:paraId="0D190C0B" w14:textId="0AD24C1E" w:rsidR="003C4A53" w:rsidRPr="000665B0" w:rsidRDefault="003C4A53" w:rsidP="00306174">
      <w:pPr>
        <w:pStyle w:val="Heading6"/>
      </w:pPr>
      <w:bookmarkStart w:id="5330" w:name="_5.30.7.2.4.2__Adding"/>
      <w:bookmarkEnd w:id="5329"/>
      <w:bookmarkEnd w:id="5330"/>
      <w:r w:rsidRPr="000665B0">
        <w:t>Adding Map Data</w:t>
      </w:r>
    </w:p>
    <w:p w14:paraId="14EFCC67" w14:textId="77777777" w:rsidR="003C4A53" w:rsidRPr="000665B0" w:rsidRDefault="003C4A53" w:rsidP="009570CA">
      <w:r w:rsidRPr="000665B0">
        <w:t xml:space="preserve">To add a directory of map data to the configuration, select the </w:t>
      </w:r>
      <w:r w:rsidRPr="000665B0">
        <w:rPr>
          <w:b/>
        </w:rPr>
        <w:t>Add</w:t>
      </w:r>
      <w:r w:rsidRPr="000665B0">
        <w:t xml:space="preserve"> button </w:t>
      </w:r>
      <w:r w:rsidRPr="000665B0">
        <w:rPr>
          <w:noProof/>
        </w:rPr>
        <w:drawing>
          <wp:inline distT="0" distB="0" distL="0" distR="0" wp14:anchorId="587DB3EA" wp14:editId="697832FE">
            <wp:extent cx="121920" cy="146050"/>
            <wp:effectExtent l="0" t="0" r="0" b="6350"/>
            <wp:docPr id="423" name="Picture 423" descr="Add Map Dat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dd Map Data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21920" cy="146050"/>
                    </a:xfrm>
                    <a:prstGeom prst="rect">
                      <a:avLst/>
                    </a:prstGeom>
                    <a:noFill/>
                    <a:ln>
                      <a:noFill/>
                    </a:ln>
                  </pic:spPr>
                </pic:pic>
              </a:graphicData>
            </a:graphic>
          </wp:inline>
        </w:drawing>
      </w:r>
      <w:r w:rsidRPr="000665B0">
        <w:t xml:space="preserve"> in the upper right corner of the </w:t>
      </w:r>
      <w:r w:rsidRPr="000665B0">
        <w:rPr>
          <w:b/>
        </w:rPr>
        <w:t>Map Directories</w:t>
      </w:r>
      <w:r w:rsidRPr="000665B0">
        <w:t xml:space="preserve"> list. A new row </w:t>
      </w:r>
      <w:r w:rsidR="00D07041" w:rsidRPr="000665B0">
        <w:t>is</w:t>
      </w:r>
      <w:r w:rsidRPr="000665B0">
        <w:t xml:space="preserve"> inserted in the list. Select the </w:t>
      </w:r>
      <w:r w:rsidRPr="000665B0">
        <w:rPr>
          <w:b/>
        </w:rPr>
        <w:t>Browse</w:t>
      </w:r>
      <w:r w:rsidRPr="000665B0">
        <w:t xml:space="preserve"> button </w:t>
      </w:r>
      <w:r w:rsidRPr="000665B0">
        <w:rPr>
          <w:noProof/>
        </w:rPr>
        <w:drawing>
          <wp:inline distT="0" distB="0" distL="0" distR="0" wp14:anchorId="6EADF20B" wp14:editId="43492605">
            <wp:extent cx="207010" cy="109855"/>
            <wp:effectExtent l="0" t="0" r="2540" b="4445"/>
            <wp:docPr id="329" name="Picture 329" descr="Browse Map Dat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Browse Map Data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7010" cy="109855"/>
                    </a:xfrm>
                    <a:prstGeom prst="rect">
                      <a:avLst/>
                    </a:prstGeom>
                    <a:noFill/>
                    <a:ln>
                      <a:noFill/>
                    </a:ln>
                  </pic:spPr>
                </pic:pic>
              </a:graphicData>
            </a:graphic>
          </wp:inline>
        </w:drawing>
      </w:r>
      <w:r w:rsidRPr="000665B0">
        <w:t xml:space="preserve"> at the right end of the new row and browse to the directory that contains the data to be added to the configuration. When the configuration is okayed or applied, MDS will scan the directory for recognizable map data and incorporate them as appropriate into the displayed map.</w:t>
      </w:r>
    </w:p>
    <w:p w14:paraId="4E814D0E" w14:textId="77777777" w:rsidR="008325F3" w:rsidRPr="000665B0" w:rsidRDefault="008325F3" w:rsidP="009570CA">
      <w:pPr>
        <w:keepNext/>
      </w:pPr>
      <w:r w:rsidRPr="000665B0">
        <w:t>Important notes when adding map data:</w:t>
      </w:r>
    </w:p>
    <w:p w14:paraId="5175F06B" w14:textId="77777777" w:rsidR="008325F3" w:rsidRPr="000665B0" w:rsidRDefault="008325F3" w:rsidP="006D5A65">
      <w:pPr>
        <w:pStyle w:val="Heading1"/>
      </w:pPr>
      <w:r w:rsidRPr="000665B0">
        <w:t>Copy all map data in their entirety to a local hard drive. The map data can be very large. Accessing map data over a network will slow the Geo Display and also slow other systems on the network.</w:t>
      </w:r>
    </w:p>
    <w:p w14:paraId="34952D03" w14:textId="73555F81" w:rsidR="000F7917" w:rsidRPr="000665B0" w:rsidRDefault="000F7917" w:rsidP="006D5A65">
      <w:pPr>
        <w:pStyle w:val="Heading1"/>
      </w:pPr>
      <w:r w:rsidRPr="000665B0">
        <w:t xml:space="preserve">Do not add a map data directory that contains SQL Server </w:t>
      </w:r>
      <w:r w:rsidR="005C213F" w:rsidRPr="000665B0">
        <w:t xml:space="preserve">2016 </w:t>
      </w:r>
      <w:r w:rsidRPr="000665B0">
        <w:t>installation files (</w:t>
      </w:r>
      <w:r w:rsidR="003509EA" w:rsidRPr="000665B0">
        <w:t xml:space="preserve">e.g., </w:t>
      </w:r>
      <w:r w:rsidR="009B3BF7" w:rsidRPr="000665B0">
        <w:t xml:space="preserve">autorun.inf). If the MDS system crashes </w:t>
      </w:r>
      <w:r w:rsidR="00C928EE" w:rsidRPr="000665B0">
        <w:t>while</w:t>
      </w:r>
      <w:r w:rsidR="009B3BF7" w:rsidRPr="000665B0">
        <w:t xml:space="preserve"> saving </w:t>
      </w:r>
      <w:r w:rsidR="00C928EE" w:rsidRPr="000665B0">
        <w:t>changes made</w:t>
      </w:r>
      <w:r w:rsidR="009B3BF7" w:rsidRPr="000665B0">
        <w:t xml:space="preserve"> to the Geo</w:t>
      </w:r>
      <w:r w:rsidR="00C928EE" w:rsidRPr="000665B0">
        <w:t xml:space="preserve"> Display Tool</w:t>
      </w:r>
      <w:r w:rsidR="009B3BF7" w:rsidRPr="000665B0">
        <w:t xml:space="preserve"> </w:t>
      </w:r>
      <w:r w:rsidR="00C928EE" w:rsidRPr="000665B0">
        <w:t>configuration</w:t>
      </w:r>
      <w:r w:rsidR="009B3BF7" w:rsidRPr="000665B0">
        <w:t xml:space="preserve">, </w:t>
      </w:r>
      <w:r w:rsidR="00221B92" w:rsidRPr="000665B0">
        <w:t>navigate to</w:t>
      </w:r>
      <w:r w:rsidR="009B3BF7" w:rsidRPr="000665B0">
        <w:t xml:space="preserve"> the Geo Map Data directory configuration file (typically </w:t>
      </w:r>
      <w:r w:rsidR="00221B92" w:rsidRPr="000665B0">
        <w:t>located</w:t>
      </w:r>
      <w:r w:rsidR="009B3BF7" w:rsidRPr="000665B0">
        <w:t xml:space="preserve"> at C:\Users\&lt;Current User&gt;\AppData\Roaming\ComGlobal Systems. (Windows may need to be configured to show Hidden Files.) </w:t>
      </w:r>
      <w:r w:rsidR="00F2541A" w:rsidRPr="000665B0">
        <w:t xml:space="preserve">Delete the </w:t>
      </w:r>
      <w:r w:rsidR="00F2541A" w:rsidRPr="000665B0">
        <w:lastRenderedPageBreak/>
        <w:t>MdsGeoDirectories.xml file and restart MDS.</w:t>
      </w:r>
      <w:r w:rsidR="00B95E66" w:rsidRPr="000665B0">
        <w:t xml:space="preserve"> Any valid map data paths will need to be re-added.</w:t>
      </w:r>
    </w:p>
    <w:p w14:paraId="59EC9465" w14:textId="77777777" w:rsidR="008325F3" w:rsidRPr="000665B0" w:rsidRDefault="008325F3" w:rsidP="006D5A65">
      <w:pPr>
        <w:pStyle w:val="Heading1"/>
      </w:pPr>
      <w:r w:rsidRPr="000665B0">
        <w:t>If a map data directory is deleted, the Geo Display will not reflect that until MDS is brought up again.</w:t>
      </w:r>
    </w:p>
    <w:p w14:paraId="6405CB65" w14:textId="40BEC0BD" w:rsidR="003C4A53" w:rsidRPr="000665B0" w:rsidRDefault="003C4A53" w:rsidP="00306174">
      <w:pPr>
        <w:pStyle w:val="Heading6"/>
      </w:pPr>
      <w:r w:rsidRPr="000665B0">
        <w:t>Removing Map Data</w:t>
      </w:r>
    </w:p>
    <w:p w14:paraId="4D58C053" w14:textId="77777777" w:rsidR="003C4A53" w:rsidRPr="000665B0" w:rsidRDefault="003C4A53" w:rsidP="009570CA">
      <w:r w:rsidRPr="000665B0">
        <w:t xml:space="preserve">To remove a directory of map data from the configuration, select it on the </w:t>
      </w:r>
      <w:r w:rsidRPr="000665B0">
        <w:rPr>
          <w:b/>
        </w:rPr>
        <w:t>Map Directories</w:t>
      </w:r>
      <w:r w:rsidRPr="000665B0">
        <w:t xml:space="preserve"> list, then select the </w:t>
      </w:r>
      <w:r w:rsidRPr="000665B0">
        <w:rPr>
          <w:b/>
        </w:rPr>
        <w:t>Delete</w:t>
      </w:r>
      <w:r w:rsidRPr="000665B0">
        <w:t xml:space="preserve"> button </w:t>
      </w:r>
      <w:r w:rsidRPr="000665B0">
        <w:rPr>
          <w:noProof/>
        </w:rPr>
        <w:drawing>
          <wp:inline distT="0" distB="0" distL="0" distR="0" wp14:anchorId="7953C835" wp14:editId="68446F4C">
            <wp:extent cx="121920" cy="121920"/>
            <wp:effectExtent l="0" t="0" r="0" b="0"/>
            <wp:docPr id="424" name="Picture 424" descr="Delete Map Dat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elete Map Data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21920" cy="121920"/>
                    </a:xfrm>
                    <a:prstGeom prst="rect">
                      <a:avLst/>
                    </a:prstGeom>
                    <a:noFill/>
                    <a:ln>
                      <a:noFill/>
                    </a:ln>
                  </pic:spPr>
                </pic:pic>
              </a:graphicData>
            </a:graphic>
          </wp:inline>
        </w:drawing>
      </w:r>
      <w:r w:rsidRPr="000665B0">
        <w:t xml:space="preserve"> in the upper right corner of the list.</w:t>
      </w:r>
    </w:p>
    <w:p w14:paraId="60D719CD" w14:textId="77777777" w:rsidR="008325F3" w:rsidRPr="000665B0" w:rsidRDefault="008325F3"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Note: </w:t>
      </w:r>
    </w:p>
    <w:p w14:paraId="3705ABA9" w14:textId="77777777" w:rsidR="008325F3" w:rsidRPr="000665B0" w:rsidRDefault="008325F3"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default WVS040M world view provided with the MDS installation is not included on the Map Directories list. This is to ensure that the operator does not inadvertently remove this required folder from the map list.</w:t>
      </w:r>
    </w:p>
    <w:p w14:paraId="6F97323B" w14:textId="70F4E215" w:rsidR="003C4A53" w:rsidRPr="000665B0" w:rsidRDefault="003C4A53" w:rsidP="00306174">
      <w:pPr>
        <w:pStyle w:val="Heading6"/>
      </w:pPr>
      <w:r w:rsidRPr="000665B0">
        <w:t>Resetting Map Data</w:t>
      </w:r>
    </w:p>
    <w:p w14:paraId="166EF859" w14:textId="77777777" w:rsidR="003C4A53" w:rsidRPr="000665B0" w:rsidRDefault="003C4A53" w:rsidP="009570CA">
      <w:pPr>
        <w:spacing w:after="0"/>
      </w:pPr>
      <w:bookmarkStart w:id="5331" w:name="_5.30.8.2.5__Configuring"/>
      <w:bookmarkStart w:id="5332" w:name="_Toc289328713"/>
      <w:bookmarkEnd w:id="5331"/>
      <w:r w:rsidRPr="000665B0">
        <w:t xml:space="preserve">The </w:t>
      </w:r>
      <w:r w:rsidRPr="000665B0">
        <w:rPr>
          <w:b/>
        </w:rPr>
        <w:t>Reset Map Files</w:t>
      </w:r>
      <w:r w:rsidRPr="000665B0">
        <w:t xml:space="preserve"> checkbox in the lower left corner of the </w:t>
      </w:r>
      <w:r w:rsidRPr="000665B0">
        <w:rPr>
          <w:i/>
        </w:rPr>
        <w:t>MDS Geographic Display Configuration</w:t>
      </w:r>
      <w:r w:rsidRPr="000665B0">
        <w:t xml:space="preserve"> window allows all added map data to be removed with a single action. When this checkbox is selected, all added map data </w:t>
      </w:r>
      <w:r w:rsidR="00D07041" w:rsidRPr="000665B0">
        <w:t>is</w:t>
      </w:r>
      <w:r w:rsidRPr="000665B0">
        <w:t xml:space="preserve"> removed from the configuration when the MDS is next shut down. This does not remove the actual data files, but they will no longer be used for map generation.</w:t>
      </w:r>
    </w:p>
    <w:p w14:paraId="3A3A2C00" w14:textId="4EA6523B" w:rsidR="003C4A53" w:rsidRPr="000665B0" w:rsidRDefault="003C4A53" w:rsidP="009570CA">
      <w:pPr>
        <w:pStyle w:val="Heading5"/>
      </w:pPr>
      <w:bookmarkStart w:id="5333" w:name="_5.30.7.2.5__Configuring"/>
      <w:bookmarkEnd w:id="5332"/>
      <w:bookmarkEnd w:id="5333"/>
      <w:r w:rsidRPr="000665B0">
        <w:t>Configuring Basic Map Features</w:t>
      </w:r>
    </w:p>
    <w:p w14:paraId="64B6C248" w14:textId="77777777" w:rsidR="003C4A53" w:rsidRPr="000665B0" w:rsidRDefault="003C4A53" w:rsidP="009570CA">
      <w:r w:rsidRPr="000665B0">
        <w:t xml:space="preserve">The presentation of a small set of basic map features can be configured by selecting the </w:t>
      </w:r>
      <w:r w:rsidRPr="000665B0">
        <w:rPr>
          <w:b/>
        </w:rPr>
        <w:t>Features</w:t>
      </w:r>
      <w:r w:rsidRPr="000665B0">
        <w:t xml:space="preserve"> button on the </w:t>
      </w:r>
      <w:r w:rsidRPr="000665B0">
        <w:rPr>
          <w:b/>
          <w:i/>
        </w:rPr>
        <w:t>Map/Features</w:t>
      </w:r>
      <w:r w:rsidRPr="000665B0">
        <w:t xml:space="preserve"> tab. The </w:t>
      </w:r>
      <w:r w:rsidRPr="000665B0">
        <w:rPr>
          <w:i/>
        </w:rPr>
        <w:t>MDS Map Feature Configuration</w:t>
      </w:r>
      <w:r w:rsidRPr="000665B0">
        <w:t xml:space="preserve"> window is shown.</w:t>
      </w:r>
    </w:p>
    <w:p w14:paraId="52482C88" w14:textId="2C4715FA" w:rsidR="008325F3" w:rsidRPr="000665B0" w:rsidRDefault="00A06091" w:rsidP="009570CA">
      <w:pPr>
        <w:jc w:val="center"/>
      </w:pPr>
      <w:r w:rsidRPr="000665B0">
        <w:rPr>
          <w:noProof/>
        </w:rPr>
        <w:drawing>
          <wp:inline distT="0" distB="0" distL="0" distR="0" wp14:anchorId="6172BC73" wp14:editId="4149E075">
            <wp:extent cx="3154680" cy="2770632"/>
            <wp:effectExtent l="0" t="0" r="0"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770632"/>
                    </a:xfrm>
                    <a:prstGeom prst="rect">
                      <a:avLst/>
                    </a:prstGeom>
                  </pic:spPr>
                </pic:pic>
              </a:graphicData>
            </a:graphic>
          </wp:inline>
        </w:drawing>
      </w:r>
    </w:p>
    <w:p w14:paraId="35E13838" w14:textId="77777777" w:rsidR="008325F3" w:rsidRPr="000665B0" w:rsidRDefault="008325F3" w:rsidP="009570CA">
      <w:r w:rsidRPr="000665B0">
        <w:t xml:space="preserve">From this dialog, the visibility of the basic features can be toggled on and off using the checkboxes. The colors and (where applicable) the line styles used for the features can be selected from the drop-down boxes (accessible by selecting the </w:t>
      </w:r>
      <w:r w:rsidRPr="000665B0">
        <w:sym w:font="Wingdings 3" w:char="F071"/>
      </w:r>
      <w:r w:rsidRPr="000665B0">
        <w:t xml:space="preserve"> button).</w:t>
      </w:r>
    </w:p>
    <w:p w14:paraId="1C369BE1" w14:textId="2C0BF20A" w:rsidR="003C4A53" w:rsidRPr="000665B0" w:rsidRDefault="003C4A53" w:rsidP="009570CA">
      <w:pPr>
        <w:spacing w:line="240" w:lineRule="auto"/>
        <w:rPr>
          <w:szCs w:val="24"/>
        </w:rPr>
      </w:pPr>
      <w:bookmarkStart w:id="5334" w:name="_Toc289328714"/>
      <w:r w:rsidRPr="000665B0">
        <w:rPr>
          <w:szCs w:val="24"/>
        </w:rPr>
        <w:lastRenderedPageBreak/>
        <w:t xml:space="preserve">The default visibility, colors, and styles may be applied by selecting the </w:t>
      </w:r>
      <w:r w:rsidRPr="000665B0">
        <w:rPr>
          <w:b/>
          <w:szCs w:val="24"/>
        </w:rPr>
        <w:t>Defaults</w:t>
      </w:r>
      <w:r w:rsidRPr="000665B0">
        <w:rPr>
          <w:szCs w:val="24"/>
        </w:rPr>
        <w:t xml:space="preserve"> button at the bottom of the window. Click the </w:t>
      </w:r>
      <w:r w:rsidRPr="000665B0">
        <w:rPr>
          <w:b/>
          <w:szCs w:val="24"/>
        </w:rPr>
        <w:t>Apply</w:t>
      </w:r>
      <w:r w:rsidRPr="000665B0">
        <w:rPr>
          <w:szCs w:val="24"/>
        </w:rPr>
        <w:t xml:space="preserve"> button to preview the effect of the </w:t>
      </w:r>
      <w:r w:rsidR="00BD4336" w:rsidRPr="000665B0">
        <w:rPr>
          <w:szCs w:val="24"/>
        </w:rPr>
        <w:t>settings or</w:t>
      </w:r>
      <w:r w:rsidRPr="000665B0">
        <w:rPr>
          <w:szCs w:val="24"/>
        </w:rPr>
        <w:t xml:space="preserve"> click the </w:t>
      </w:r>
      <w:r w:rsidRPr="000665B0">
        <w:rPr>
          <w:b/>
          <w:szCs w:val="24"/>
        </w:rPr>
        <w:t>OK</w:t>
      </w:r>
      <w:r w:rsidRPr="000665B0">
        <w:rPr>
          <w:szCs w:val="24"/>
        </w:rPr>
        <w:t xml:space="preserve"> button to immediately invoke the settings.</w:t>
      </w:r>
    </w:p>
    <w:bookmarkEnd w:id="5334"/>
    <w:p w14:paraId="7606D0EA" w14:textId="5DAD8AC9" w:rsidR="003C4A53" w:rsidRPr="000665B0" w:rsidRDefault="003C4A53" w:rsidP="009570CA">
      <w:pPr>
        <w:pStyle w:val="Heading5"/>
      </w:pPr>
      <w:r w:rsidRPr="000665B0">
        <w:t>Advanced Configuration</w:t>
      </w:r>
    </w:p>
    <w:p w14:paraId="7E899A77" w14:textId="77777777" w:rsidR="003C4A53" w:rsidRPr="000665B0" w:rsidRDefault="003C4A53" w:rsidP="009570CA">
      <w:pPr>
        <w:spacing w:after="0"/>
      </w:pPr>
      <w:bookmarkStart w:id="5335" w:name="_5.30.8.2.6.1__Advanced"/>
      <w:bookmarkStart w:id="5336" w:name="_Toc289328715"/>
      <w:bookmarkEnd w:id="5335"/>
      <w:r w:rsidRPr="000665B0">
        <w:t xml:space="preserve">More advanced configuration actions may be accessed by selecting the </w:t>
      </w:r>
      <w:r w:rsidRPr="000665B0">
        <w:rPr>
          <w:b/>
        </w:rPr>
        <w:t>Advanced Properties</w:t>
      </w:r>
      <w:r w:rsidRPr="000665B0">
        <w:t xml:space="preserve"> button of the </w:t>
      </w:r>
      <w:r w:rsidRPr="000665B0">
        <w:rPr>
          <w:b/>
          <w:i/>
        </w:rPr>
        <w:t>Map/Features</w:t>
      </w:r>
      <w:r w:rsidRPr="000665B0">
        <w:t xml:space="preserve"> tab. This displays the </w:t>
      </w:r>
      <w:r w:rsidRPr="000665B0">
        <w:rPr>
          <w:i/>
        </w:rPr>
        <w:t>Geospatial Properties</w:t>
      </w:r>
      <w:r w:rsidRPr="000665B0">
        <w:t xml:space="preserve"> window.</w:t>
      </w:r>
    </w:p>
    <w:bookmarkEnd w:id="5336"/>
    <w:p w14:paraId="7FF7B200" w14:textId="7D922E25" w:rsidR="00130A08" w:rsidRPr="000665B0" w:rsidRDefault="00130A08" w:rsidP="00306174">
      <w:pPr>
        <w:pStyle w:val="Heading6"/>
      </w:pPr>
      <w:r w:rsidRPr="000665B0">
        <w:t>Advanced Data Configuration</w:t>
      </w:r>
    </w:p>
    <w:p w14:paraId="5C74A40F" w14:textId="345A2544" w:rsidR="003C4A53" w:rsidRPr="000665B0" w:rsidRDefault="003C4A53" w:rsidP="009570CA">
      <w:pPr>
        <w:spacing w:line="240" w:lineRule="auto"/>
        <w:rPr>
          <w:szCs w:val="24"/>
        </w:rPr>
      </w:pPr>
      <w:r w:rsidRPr="000665B0">
        <w:rPr>
          <w:szCs w:val="24"/>
        </w:rPr>
        <w:t xml:space="preserve">The </w:t>
      </w:r>
      <w:r w:rsidRPr="000665B0">
        <w:rPr>
          <w:b/>
          <w:bCs/>
          <w:i/>
          <w:szCs w:val="24"/>
        </w:rPr>
        <w:t>Data Configuration</w:t>
      </w:r>
      <w:r w:rsidRPr="000665B0">
        <w:rPr>
          <w:bCs/>
          <w:szCs w:val="24"/>
        </w:rPr>
        <w:t xml:space="preserve"> tab</w:t>
      </w:r>
      <w:r w:rsidRPr="000665B0">
        <w:rPr>
          <w:szCs w:val="24"/>
        </w:rPr>
        <w:t xml:space="preserve"> of the </w:t>
      </w:r>
      <w:r w:rsidRPr="000665B0">
        <w:rPr>
          <w:i/>
          <w:szCs w:val="24"/>
        </w:rPr>
        <w:t>Geospatial Properties</w:t>
      </w:r>
      <w:r w:rsidRPr="000665B0">
        <w:rPr>
          <w:szCs w:val="24"/>
        </w:rPr>
        <w:t xml:space="preserve"> window allows the operator to configure how MDS will display digital map, image overlays, and vector map data on the Geo Display. Each data type is handled by its own control library, and the presence of a data type in the left-hand pane of this tab indicates that the control library for that data type has been loaded. It does not indicate that any data of that data type has been included in the configuration (see </w:t>
      </w:r>
      <w:hyperlink w:anchor="_5.30.7.2.4.2__Adding" w:history="1">
        <w:r w:rsidRPr="000665B0">
          <w:rPr>
            <w:color w:val="0000FF"/>
            <w:szCs w:val="24"/>
            <w:u w:val="single"/>
          </w:rPr>
          <w:t xml:space="preserve">Section </w:t>
        </w:r>
        <w:r w:rsidR="004231CC">
          <w:rPr>
            <w:color w:val="0000FF"/>
            <w:szCs w:val="24"/>
            <w:u w:val="single"/>
          </w:rPr>
          <w:t>5.26</w:t>
        </w:r>
        <w:r w:rsidRPr="000665B0">
          <w:rPr>
            <w:color w:val="0000FF"/>
            <w:szCs w:val="24"/>
            <w:u w:val="single"/>
          </w:rPr>
          <w:t>.7.2.4.2</w:t>
        </w:r>
      </w:hyperlink>
      <w:r w:rsidRPr="000665B0">
        <w:rPr>
          <w:szCs w:val="24"/>
        </w:rPr>
        <w:t>); only that the MDS has the capability to load and display map or image data of that type.</w:t>
      </w:r>
    </w:p>
    <w:p w14:paraId="01C6A93F" w14:textId="328BF5B6" w:rsidR="008325F3" w:rsidRPr="000665B0" w:rsidRDefault="000D39B7" w:rsidP="009570CA">
      <w:pPr>
        <w:jc w:val="center"/>
      </w:pPr>
      <w:r w:rsidRPr="000665B0">
        <w:rPr>
          <w:noProof/>
        </w:rPr>
        <w:drawing>
          <wp:inline distT="0" distB="0" distL="0" distR="0" wp14:anchorId="14AD402C" wp14:editId="7EAE8FF0">
            <wp:extent cx="2743200" cy="2386584"/>
            <wp:effectExtent l="0" t="0" r="0" b="0"/>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386584"/>
                    </a:xfrm>
                    <a:prstGeom prst="rect">
                      <a:avLst/>
                    </a:prstGeom>
                  </pic:spPr>
                </pic:pic>
              </a:graphicData>
            </a:graphic>
          </wp:inline>
        </w:drawing>
      </w:r>
    </w:p>
    <w:p w14:paraId="3D57888A" w14:textId="77777777" w:rsidR="008325F3" w:rsidRPr="000665B0" w:rsidRDefault="008325F3" w:rsidP="009570CA">
      <w:pPr>
        <w:spacing w:after="0"/>
      </w:pPr>
      <w:r w:rsidRPr="000665B0">
        <w:t>From this tab, configuration actions specific to each of the supported map data types can be performed, allowing the user to configure the behavior of each control library when preparing data for display. Selecting a data type in the left-hand pane causes appropriate configuration actions to be made available in the right-hand pane. Actions are selected by double-clicking on them.</w:t>
      </w:r>
    </w:p>
    <w:p w14:paraId="621DE7E1" w14:textId="16206DB5" w:rsidR="003C4A53" w:rsidRPr="000665B0" w:rsidRDefault="003C4A53" w:rsidP="009570CA">
      <w:pPr>
        <w:pStyle w:val="Heading7"/>
      </w:pPr>
      <w:bookmarkStart w:id="5337" w:name="_5.30.8.2.6.1.1__Image"/>
      <w:bookmarkEnd w:id="5337"/>
      <w:r w:rsidRPr="000665B0">
        <w:t>Image Data Configuration Actions</w:t>
      </w:r>
    </w:p>
    <w:p w14:paraId="30559A1A" w14:textId="37D35A56" w:rsidR="003C4A53" w:rsidRPr="000665B0" w:rsidRDefault="003C4A53" w:rsidP="009570CA">
      <w:r w:rsidRPr="000665B0">
        <w:t>Image data types include ASRP, CADRG, CIB, and VPF. With exceptions noted below</w:t>
      </w:r>
      <w:r w:rsidR="00FB3C3E" w:rsidRPr="000665B0">
        <w:t>,</w:t>
      </w:r>
      <w:r w:rsidRPr="000665B0">
        <w:t xml:space="preserve"> the following actions are available for these data types.</w:t>
      </w:r>
    </w:p>
    <w:p w14:paraId="5F05987B" w14:textId="4B39FA86" w:rsidR="003C4A53" w:rsidRPr="000665B0" w:rsidRDefault="003C4A53" w:rsidP="009570CA">
      <w:r w:rsidRPr="000665B0">
        <w:rPr>
          <w:b/>
        </w:rPr>
        <w:t>Configure Visual Aspects</w:t>
      </w:r>
      <w:r w:rsidRPr="000665B0">
        <w:t xml:space="preserve"> – Shows the Raster Visual Aspects dialog for the data type. This action is not available for the VPF data type.</w:t>
      </w:r>
    </w:p>
    <w:p w14:paraId="74B799FF" w14:textId="0A4CBC07" w:rsidR="008325F3" w:rsidRPr="000665B0" w:rsidRDefault="000D39B7" w:rsidP="009570CA">
      <w:pPr>
        <w:jc w:val="center"/>
      </w:pPr>
      <w:r w:rsidRPr="000665B0">
        <w:rPr>
          <w:noProof/>
        </w:rPr>
        <w:lastRenderedPageBreak/>
        <w:drawing>
          <wp:inline distT="0" distB="0" distL="0" distR="0" wp14:anchorId="329E944F" wp14:editId="7861CAFB">
            <wp:extent cx="2406982" cy="1692910"/>
            <wp:effectExtent l="0" t="0" r="0" b="0"/>
            <wp:docPr id="981"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415757" cy="1699082"/>
                    </a:xfrm>
                    <a:prstGeom prst="rect">
                      <a:avLst/>
                    </a:prstGeom>
                  </pic:spPr>
                </pic:pic>
              </a:graphicData>
            </a:graphic>
          </wp:inline>
        </w:drawing>
      </w:r>
    </w:p>
    <w:p w14:paraId="429BBA62" w14:textId="77777777" w:rsidR="008325F3" w:rsidRPr="000665B0" w:rsidRDefault="008325F3" w:rsidP="009570CA">
      <w:r w:rsidRPr="000665B0">
        <w:rPr>
          <w:b/>
        </w:rPr>
        <w:t>Bloom</w:t>
      </w:r>
      <w:r w:rsidRPr="000665B0">
        <w:t xml:space="preserve"> </w:t>
      </w:r>
      <w:r w:rsidR="00F36E0D" w:rsidRPr="000665B0">
        <w:t>– C</w:t>
      </w:r>
      <w:r w:rsidRPr="000665B0">
        <w:t>ontrols the amount of zoom-in allowed, which controls the scales at which the image is displayed on the map. With a 4 to 1 bloom, the image can be shown on a map that is zoomed in to a map scale as small as ¼ of the scale at which the image was taken.</w:t>
      </w:r>
    </w:p>
    <w:p w14:paraId="6B4A070F" w14:textId="77777777" w:rsidR="008325F3" w:rsidRPr="000665B0" w:rsidRDefault="008325F3" w:rsidP="009570CA">
      <w:r w:rsidRPr="000665B0">
        <w:rPr>
          <w:b/>
        </w:rPr>
        <w:t>Reduce</w:t>
      </w:r>
      <w:r w:rsidRPr="000665B0">
        <w:t xml:space="preserve"> </w:t>
      </w:r>
      <w:r w:rsidR="00F36E0D" w:rsidRPr="000665B0">
        <w:t>– C</w:t>
      </w:r>
      <w:r w:rsidRPr="000665B0">
        <w:t>ontrols the amount of zoom-out allowed, which controls the scales at which the image is displayed on the map. With a 1 to 4 reduction, the image can be shown on a map that is zoomed out to a map scale as large as 4 times the scale at which the image was taken.</w:t>
      </w:r>
    </w:p>
    <w:p w14:paraId="11FDB2E7" w14:textId="77777777" w:rsidR="008325F3" w:rsidRPr="000665B0" w:rsidRDefault="008325F3" w:rsidP="009570CA">
      <w:r w:rsidRPr="000665B0">
        <w:rPr>
          <w:b/>
        </w:rPr>
        <w:t>Map Intensity</w:t>
      </w:r>
      <w:r w:rsidRPr="000665B0">
        <w:t xml:space="preserve"> </w:t>
      </w:r>
      <w:r w:rsidR="00F36E0D" w:rsidRPr="000665B0">
        <w:t>– C</w:t>
      </w:r>
      <w:r w:rsidRPr="000665B0">
        <w:t>ontrols the brightness of the image as it is painted on the map. Reducing the intensity from its maximum makes the image on the map dimmer than the original image.</w:t>
      </w:r>
    </w:p>
    <w:p w14:paraId="4CC5037C" w14:textId="40A88E83" w:rsidR="008325F3" w:rsidRPr="000665B0" w:rsidRDefault="008325F3" w:rsidP="009570CA">
      <w:r w:rsidRPr="000665B0">
        <w:rPr>
          <w:b/>
        </w:rPr>
        <w:t>Color Saturation</w:t>
      </w:r>
      <w:r w:rsidRPr="000665B0">
        <w:t xml:space="preserve"> </w:t>
      </w:r>
      <w:r w:rsidR="00F36E0D" w:rsidRPr="000665B0">
        <w:t>– C</w:t>
      </w:r>
      <w:r w:rsidRPr="000665B0">
        <w:t xml:space="preserve">ontrols the saturation of the colors in the image as it is painted on the map. Reducing the saturation from its maximum makes the colors of the image on the map </w:t>
      </w:r>
      <w:r w:rsidR="00971CE8" w:rsidRPr="000665B0">
        <w:t>duller</w:t>
      </w:r>
      <w:r w:rsidRPr="000665B0">
        <w:t xml:space="preserve"> than they are in the original image.</w:t>
      </w:r>
      <w:r w:rsidR="00FB3C3E" w:rsidRPr="000665B0">
        <w:t xml:space="preserve"> </w:t>
      </w:r>
    </w:p>
    <w:p w14:paraId="3D239566" w14:textId="21539253" w:rsidR="003C4A53" w:rsidRPr="000665B0" w:rsidRDefault="003C4A53" w:rsidP="009570CA">
      <w:pPr>
        <w:spacing w:after="0" w:line="240" w:lineRule="auto"/>
        <w:rPr>
          <w:szCs w:val="24"/>
        </w:rPr>
      </w:pPr>
      <w:bookmarkStart w:id="5338" w:name="_Toc289328717"/>
      <w:r w:rsidRPr="000665B0">
        <w:rPr>
          <w:b/>
          <w:szCs w:val="24"/>
        </w:rPr>
        <w:t>Include in Query</w:t>
      </w:r>
      <w:r w:rsidRPr="000665B0">
        <w:rPr>
          <w:szCs w:val="24"/>
        </w:rPr>
        <w:t xml:space="preserve"> – When checked, allows data of this type to be queried by the query tool</w:t>
      </w:r>
      <w:r w:rsidR="00454A82" w:rsidRPr="000665B0">
        <w:rPr>
          <w:szCs w:val="24"/>
        </w:rPr>
        <w:t xml:space="preserve"> (see </w:t>
      </w:r>
      <w:hyperlink w:anchor="_5.30.7__Querying" w:history="1">
        <w:r w:rsidR="00454A82" w:rsidRPr="000665B0">
          <w:rPr>
            <w:rStyle w:val="Hyperlink"/>
            <w:szCs w:val="24"/>
          </w:rPr>
          <w:t xml:space="preserve">Section </w:t>
        </w:r>
        <w:r w:rsidR="004231CC">
          <w:rPr>
            <w:rStyle w:val="Hyperlink"/>
            <w:szCs w:val="24"/>
          </w:rPr>
          <w:t>5.26</w:t>
        </w:r>
        <w:r w:rsidR="00454A82" w:rsidRPr="000665B0">
          <w:rPr>
            <w:rStyle w:val="Hyperlink"/>
            <w:szCs w:val="24"/>
          </w:rPr>
          <w:t>.6</w:t>
        </w:r>
      </w:hyperlink>
      <w:r w:rsidR="00454A82" w:rsidRPr="000665B0">
        <w:rPr>
          <w:szCs w:val="24"/>
        </w:rPr>
        <w:t>).</w:t>
      </w:r>
    </w:p>
    <w:p w14:paraId="19272C5E" w14:textId="751D8421" w:rsidR="003C4A53" w:rsidRPr="000665B0" w:rsidRDefault="003C4A53" w:rsidP="009570CA">
      <w:pPr>
        <w:pStyle w:val="Heading7"/>
        <w:keepNext w:val="0"/>
      </w:pPr>
      <w:bookmarkStart w:id="5339" w:name="_5.30.7.2.6.1.4__VPF"/>
      <w:bookmarkStart w:id="5340" w:name="_5.30.7.2.6.1.2__VPF"/>
      <w:bookmarkEnd w:id="5338"/>
      <w:bookmarkEnd w:id="5339"/>
      <w:bookmarkEnd w:id="5340"/>
      <w:r w:rsidRPr="000665B0">
        <w:t>VPF Data Configuration Actions</w:t>
      </w:r>
    </w:p>
    <w:p w14:paraId="0EDDE27A" w14:textId="77777777" w:rsidR="008325F3" w:rsidRPr="000665B0" w:rsidRDefault="008325F3" w:rsidP="009570CA">
      <w:r w:rsidRPr="000665B0">
        <w:t>The following actions are available for the VPF data type.</w:t>
      </w:r>
    </w:p>
    <w:p w14:paraId="71460B01" w14:textId="7D782D46" w:rsidR="003C4A53" w:rsidRPr="000665B0" w:rsidRDefault="003C4A53" w:rsidP="009570CA">
      <w:r w:rsidRPr="000665B0">
        <w:rPr>
          <w:b/>
        </w:rPr>
        <w:t>Configure Features</w:t>
      </w:r>
      <w:r w:rsidRPr="000665B0">
        <w:t xml:space="preserve"> – Shows the </w:t>
      </w:r>
      <w:r w:rsidRPr="000665B0">
        <w:rPr>
          <w:i/>
        </w:rPr>
        <w:t>VPF Features</w:t>
      </w:r>
      <w:r w:rsidRPr="000665B0">
        <w:t xml:space="preserve"> window. Se</w:t>
      </w:r>
      <w:r w:rsidR="00454A82" w:rsidRPr="000665B0">
        <w:t xml:space="preserve">e </w:t>
      </w:r>
      <w:hyperlink w:anchor="_5.30.7.2.7__Configuring" w:history="1">
        <w:r w:rsidR="00454A82" w:rsidRPr="000665B0">
          <w:rPr>
            <w:rStyle w:val="Hyperlink"/>
          </w:rPr>
          <w:t xml:space="preserve">Section </w:t>
        </w:r>
        <w:r w:rsidR="004231CC">
          <w:rPr>
            <w:rStyle w:val="Hyperlink"/>
          </w:rPr>
          <w:t>5.26</w:t>
        </w:r>
        <w:r w:rsidR="00454A82" w:rsidRPr="000665B0">
          <w:rPr>
            <w:rStyle w:val="Hyperlink"/>
          </w:rPr>
          <w:t>.7.2.7</w:t>
        </w:r>
      </w:hyperlink>
      <w:r w:rsidR="00454A82" w:rsidRPr="000665B0">
        <w:t>.</w:t>
      </w:r>
    </w:p>
    <w:p w14:paraId="27211768" w14:textId="3EC8A6F6" w:rsidR="003C4A53" w:rsidRPr="000665B0" w:rsidRDefault="003C4A53" w:rsidP="009570CA">
      <w:r w:rsidRPr="000665B0">
        <w:rPr>
          <w:b/>
        </w:rPr>
        <w:t>Configure Colors</w:t>
      </w:r>
      <w:r w:rsidRPr="000665B0">
        <w:t xml:space="preserve"> – Shows either the </w:t>
      </w:r>
      <w:r w:rsidRPr="000665B0">
        <w:rPr>
          <w:i/>
        </w:rPr>
        <w:t>VPF Feature Colors</w:t>
      </w:r>
      <w:r w:rsidRPr="000665B0">
        <w:t xml:space="preserve"> window or the </w:t>
      </w:r>
      <w:r w:rsidRPr="000665B0">
        <w:rPr>
          <w:i/>
        </w:rPr>
        <w:t>GeoSym Colorsets</w:t>
      </w:r>
      <w:r w:rsidRPr="000665B0">
        <w:t xml:space="preserve"> window. See </w:t>
      </w:r>
      <w:hyperlink w:anchor="_5.30.8.2.8__Configuring" w:history="1">
        <w:r w:rsidRPr="000665B0">
          <w:rPr>
            <w:color w:val="0000FF"/>
            <w:u w:val="single"/>
          </w:rPr>
          <w:t xml:space="preserve">Section </w:t>
        </w:r>
        <w:r w:rsidR="004231CC">
          <w:rPr>
            <w:color w:val="0000FF"/>
            <w:u w:val="single"/>
          </w:rPr>
          <w:t>5.26</w:t>
        </w:r>
        <w:r w:rsidRPr="000665B0">
          <w:rPr>
            <w:color w:val="0000FF"/>
            <w:u w:val="single"/>
          </w:rPr>
          <w:t>.7.2.8</w:t>
        </w:r>
      </w:hyperlink>
      <w:r w:rsidRPr="000665B0">
        <w:t>.</w:t>
      </w:r>
    </w:p>
    <w:p w14:paraId="3B8BB5F1" w14:textId="77777777" w:rsidR="008325F3" w:rsidRPr="000665B0" w:rsidRDefault="008325F3" w:rsidP="009570CA">
      <w:r w:rsidRPr="000665B0">
        <w:rPr>
          <w:b/>
        </w:rPr>
        <w:t>Load Default Stylesheet</w:t>
      </w:r>
      <w:r w:rsidRPr="000665B0">
        <w:t xml:space="preserve"> – Loads the default stylesheet, resetting the VPF features and colors selections.</w:t>
      </w:r>
    </w:p>
    <w:p w14:paraId="79CFAB20" w14:textId="25B3C01A" w:rsidR="003C4A53" w:rsidRPr="000665B0" w:rsidRDefault="003C4A53" w:rsidP="009570CA">
      <w:r w:rsidRPr="000665B0">
        <w:rPr>
          <w:b/>
        </w:rPr>
        <w:t>Load Stylesheet</w:t>
      </w:r>
      <w:r w:rsidRPr="000665B0">
        <w:t xml:space="preserve"> – Loads a saved stylesheet containing feature and color selections. Normally, MDS does this automatically, loading the user’s personalized stylesheet (if any) when it starts up. The </w:t>
      </w:r>
      <w:r w:rsidRPr="000665B0">
        <w:rPr>
          <w:i/>
        </w:rPr>
        <w:t>Select Stylesheet</w:t>
      </w:r>
      <w:r w:rsidRPr="000665B0">
        <w:t xml:space="preserve"> window displays a tree-view of previously defined stylesheets, grouped into three categories. Personal stylesheets are those saved by the current user. Shared stylesheets are those stored in the folder pointed to by the configuration parameter</w:t>
      </w:r>
      <w:r w:rsidR="00E971E8" w:rsidRPr="000665B0">
        <w:t>. System</w:t>
      </w:r>
      <w:r w:rsidRPr="000665B0">
        <w:t xml:space="preserve"> stylesheets are those stored in the folder pointed to by the configuration parameter </w:t>
      </w:r>
      <w:r w:rsidRPr="000665B0">
        <w:rPr>
          <w:bCs/>
        </w:rPr>
        <w:t>DefaultConfigDir</w:t>
      </w:r>
      <w:r w:rsidRPr="000665B0">
        <w:t>.</w:t>
      </w:r>
    </w:p>
    <w:p w14:paraId="2EE4DCE4" w14:textId="77777777" w:rsidR="00F14780" w:rsidRPr="000665B0" w:rsidRDefault="00F14780" w:rsidP="009570CA">
      <w:r w:rsidRPr="000665B0">
        <w:rPr>
          <w:b/>
        </w:rPr>
        <w:t>Save Stylesheet</w:t>
      </w:r>
      <w:r w:rsidRPr="000665B0">
        <w:t xml:space="preserve"> – Saves the current feature and color selections in a stylesheet. Normally, MDS does this automatically, saving the user’s choices automatically in a personalized stylesheet.</w:t>
      </w:r>
    </w:p>
    <w:p w14:paraId="1CFAF0D2" w14:textId="6151372F" w:rsidR="008325F3" w:rsidRPr="000665B0" w:rsidRDefault="008325F3" w:rsidP="009570CA">
      <w:r w:rsidRPr="000665B0">
        <w:rPr>
          <w:b/>
        </w:rPr>
        <w:lastRenderedPageBreak/>
        <w:t>Set Caching to High</w:t>
      </w:r>
      <w:r w:rsidRPr="000665B0">
        <w:t xml:space="preserve"> – Sets the size of the VPF data cache to 25% of available memory. Because VPF data can potentially be quite large, map generation performance can often be improved by increasing the amount of cache reserved for managing VPF </w:t>
      </w:r>
      <w:r w:rsidR="00BD4336" w:rsidRPr="000665B0">
        <w:t>information.</w:t>
      </w:r>
    </w:p>
    <w:p w14:paraId="61F56188" w14:textId="77777777" w:rsidR="008325F3" w:rsidRPr="000665B0" w:rsidRDefault="008325F3" w:rsidP="009570CA">
      <w:r w:rsidRPr="000665B0">
        <w:rPr>
          <w:b/>
        </w:rPr>
        <w:t>Set Caching to Medium</w:t>
      </w:r>
      <w:r w:rsidRPr="000665B0">
        <w:t xml:space="preserve"> – Sets the size of the VPF data cache to 15% of available memory.</w:t>
      </w:r>
    </w:p>
    <w:p w14:paraId="1DAB95EB" w14:textId="77777777" w:rsidR="008325F3" w:rsidRPr="000665B0" w:rsidRDefault="008325F3" w:rsidP="009570CA">
      <w:r w:rsidRPr="000665B0">
        <w:rPr>
          <w:b/>
        </w:rPr>
        <w:t>Set Caching to Low</w:t>
      </w:r>
      <w:r w:rsidRPr="000665B0">
        <w:t xml:space="preserve"> – Sets the size of the VPF data cache to 5% of available memory.</w:t>
      </w:r>
    </w:p>
    <w:p w14:paraId="5AA32758" w14:textId="22B1D318" w:rsidR="00F14780" w:rsidRPr="000665B0" w:rsidRDefault="00F14780" w:rsidP="009570CA">
      <w:pPr>
        <w:spacing w:after="0" w:line="240" w:lineRule="auto"/>
        <w:rPr>
          <w:szCs w:val="24"/>
        </w:rPr>
      </w:pPr>
      <w:bookmarkStart w:id="5341" w:name="_Toc289328719"/>
      <w:r w:rsidRPr="000665B0">
        <w:rPr>
          <w:b/>
          <w:szCs w:val="24"/>
        </w:rPr>
        <w:t>Include in Query</w:t>
      </w:r>
      <w:r w:rsidRPr="000665B0">
        <w:rPr>
          <w:szCs w:val="24"/>
        </w:rPr>
        <w:t xml:space="preserve"> – When checked, allows data of this type to be queried by the query tool (see </w:t>
      </w:r>
      <w:hyperlink w:anchor="_5.30.7__Querying" w:history="1">
        <w:r w:rsidR="000C2525" w:rsidRPr="000665B0">
          <w:rPr>
            <w:color w:val="0000FF"/>
            <w:szCs w:val="24"/>
            <w:u w:val="single"/>
          </w:rPr>
          <w:t xml:space="preserve">Section </w:t>
        </w:r>
        <w:r w:rsidR="004231CC">
          <w:rPr>
            <w:color w:val="0000FF"/>
            <w:szCs w:val="24"/>
            <w:u w:val="single"/>
          </w:rPr>
          <w:t>5.26</w:t>
        </w:r>
        <w:r w:rsidR="000C2525" w:rsidRPr="000665B0">
          <w:rPr>
            <w:color w:val="0000FF"/>
            <w:szCs w:val="24"/>
            <w:u w:val="single"/>
          </w:rPr>
          <w:t>.6</w:t>
        </w:r>
      </w:hyperlink>
      <w:r w:rsidRPr="000665B0">
        <w:rPr>
          <w:szCs w:val="24"/>
        </w:rPr>
        <w:t>).</w:t>
      </w:r>
    </w:p>
    <w:bookmarkEnd w:id="5341"/>
    <w:p w14:paraId="4029460B" w14:textId="6C013EA5" w:rsidR="00193FC2" w:rsidRPr="000665B0" w:rsidRDefault="00193FC2" w:rsidP="00306174">
      <w:pPr>
        <w:pStyle w:val="Heading6"/>
      </w:pPr>
      <w:r w:rsidRPr="000665B0">
        <w:t>Display of Data Extents</w:t>
      </w:r>
    </w:p>
    <w:p w14:paraId="0A70DD21" w14:textId="65CECE01" w:rsidR="00193FC2" w:rsidRPr="000665B0" w:rsidRDefault="00193FC2" w:rsidP="009570CA">
      <w:pPr>
        <w:spacing w:line="240" w:lineRule="auto"/>
        <w:rPr>
          <w:szCs w:val="24"/>
        </w:rPr>
      </w:pPr>
      <w:r w:rsidRPr="000665B0">
        <w:rPr>
          <w:szCs w:val="24"/>
        </w:rPr>
        <w:t xml:space="preserve">The </w:t>
      </w:r>
      <w:r w:rsidRPr="000665B0">
        <w:rPr>
          <w:b/>
          <w:i/>
          <w:szCs w:val="24"/>
        </w:rPr>
        <w:t>Data Extents</w:t>
      </w:r>
      <w:r w:rsidRPr="000665B0">
        <w:rPr>
          <w:szCs w:val="24"/>
        </w:rPr>
        <w:t xml:space="preserve"> tab of the </w:t>
      </w:r>
      <w:r w:rsidRPr="000665B0">
        <w:rPr>
          <w:i/>
          <w:szCs w:val="24"/>
        </w:rPr>
        <w:t>Geospatial Properties</w:t>
      </w:r>
      <w:r w:rsidRPr="000665B0">
        <w:rPr>
          <w:szCs w:val="24"/>
        </w:rPr>
        <w:t xml:space="preserve"> window contains a set of tabs, one for each loaded data type. Each tab contains, in a tree view, the map data files which have been loaded for that map type and allows the operator to display a frame, or bounding rectangle, on the map display showing the area(s) covered by selected map data.</w:t>
      </w:r>
    </w:p>
    <w:p w14:paraId="49C1DB99" w14:textId="727FADB7" w:rsidR="00F1239D" w:rsidRPr="000665B0" w:rsidRDefault="00F1239D" w:rsidP="009570CA">
      <w:pPr>
        <w:spacing w:line="240" w:lineRule="auto"/>
        <w:jc w:val="center"/>
        <w:rPr>
          <w:szCs w:val="24"/>
        </w:rPr>
      </w:pPr>
      <w:r w:rsidRPr="000665B0">
        <w:rPr>
          <w:noProof/>
        </w:rPr>
        <w:drawing>
          <wp:inline distT="0" distB="0" distL="0" distR="0" wp14:anchorId="27384469" wp14:editId="6CD20CB0">
            <wp:extent cx="2400300" cy="2080260"/>
            <wp:effectExtent l="0" t="0" r="0" b="0"/>
            <wp:docPr id="1391" name="Picture 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404797" cy="2084157"/>
                    </a:xfrm>
                    <a:prstGeom prst="rect">
                      <a:avLst/>
                    </a:prstGeom>
                  </pic:spPr>
                </pic:pic>
              </a:graphicData>
            </a:graphic>
          </wp:inline>
        </w:drawing>
      </w:r>
    </w:p>
    <w:p w14:paraId="796A0A47" w14:textId="77777777" w:rsidR="008325F3" w:rsidRPr="000665B0" w:rsidRDefault="008325F3"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rPr>
        <w:t xml:space="preserve">To enable the data extent frame for a map file, check the checkbox adjacent to the map file name. To enable all the frames for all maps files in a category, check the checkbox beside the root item in the tree view. If some, but not all, of the items in a tree view are checked, the checkmark on the root item </w:t>
      </w:r>
      <w:r w:rsidR="00D07041" w:rsidRPr="000665B0">
        <w:rPr>
          <w:rFonts w:ascii="Times New Roman" w:hAnsi="Times New Roman" w:cs="Times New Roman"/>
        </w:rPr>
        <w:t>is</w:t>
      </w:r>
      <w:r w:rsidRPr="000665B0">
        <w:rPr>
          <w:rFonts w:ascii="Times New Roman" w:hAnsi="Times New Roman" w:cs="Times New Roman"/>
        </w:rPr>
        <w:t xml:space="preserve"> grayed. Even though gray, the checkbox may still be accessed to disable or enable the display of frames for all items in the tree.</w:t>
      </w:r>
    </w:p>
    <w:p w14:paraId="7419338F" w14:textId="77777777" w:rsidR="008325F3" w:rsidRPr="000665B0" w:rsidRDefault="008325F3" w:rsidP="009570CA">
      <w:r w:rsidRPr="000665B0">
        <w:t>Enabling or disabling a data extent frame does not affect which data are used to generate a map display. In particular, making an extent frame visible does not guarantee that the data belonging to that extent will be considered for inclusion in any map.</w:t>
      </w:r>
    </w:p>
    <w:p w14:paraId="05DBF934" w14:textId="77777777" w:rsidR="008325F3" w:rsidRPr="000665B0" w:rsidRDefault="008325F3"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rPr>
        <w:t>Data extent frames are drawn with a 2-pixel-wide line. The color of the line may be configured by map data type. By default, frames are displayed in the following colors for the specified map types:</w:t>
      </w:r>
    </w:p>
    <w:p w14:paraId="62F3E3EE" w14:textId="7E3A1411" w:rsidR="00193FC2" w:rsidRPr="000665B0" w:rsidRDefault="00193FC2" w:rsidP="006D5A65">
      <w:pPr>
        <w:pStyle w:val="Heading1"/>
      </w:pPr>
      <w:r w:rsidRPr="000665B0">
        <w:t>ASRP and VPF map data – Yellow</w:t>
      </w:r>
    </w:p>
    <w:p w14:paraId="417C0976" w14:textId="77777777" w:rsidR="008325F3" w:rsidRPr="000665B0" w:rsidRDefault="008325F3" w:rsidP="006D5A65">
      <w:pPr>
        <w:pStyle w:val="Heading1"/>
      </w:pPr>
      <w:r w:rsidRPr="000665B0">
        <w:t xml:space="preserve">CADRG and CIB map data </w:t>
      </w:r>
      <w:r w:rsidR="00255B79" w:rsidRPr="000665B0">
        <w:t>–</w:t>
      </w:r>
      <w:r w:rsidRPr="000665B0">
        <w:t xml:space="preserve"> Aqua</w:t>
      </w:r>
    </w:p>
    <w:p w14:paraId="3223E2AB" w14:textId="77777777" w:rsidR="008325F3" w:rsidRPr="000665B0" w:rsidRDefault="008325F3"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rPr>
        <w:t>The display color of the frames for a map type may be changed by clicking with the right mouse button on the root item of the tree view. A popup menu will display. Choose the</w:t>
      </w:r>
      <w:r w:rsidRPr="000665B0">
        <w:t xml:space="preserve"> </w:t>
      </w:r>
      <w:r w:rsidRPr="000665B0">
        <w:rPr>
          <w:rFonts w:ascii="Times New Roman" w:hAnsi="Times New Roman" w:cs="Times New Roman"/>
          <w:b/>
          <w:iCs/>
        </w:rPr>
        <w:t>Color</w:t>
      </w:r>
      <w:r w:rsidRPr="000665B0">
        <w:rPr>
          <w:rFonts w:ascii="Times New Roman" w:hAnsi="Times New Roman" w:cs="Times New Roman"/>
        </w:rPr>
        <w:t xml:space="preserve"> item from </w:t>
      </w:r>
      <w:r w:rsidRPr="000665B0">
        <w:rPr>
          <w:rFonts w:ascii="Times New Roman" w:hAnsi="Times New Roman" w:cs="Times New Roman"/>
        </w:rPr>
        <w:lastRenderedPageBreak/>
        <w:t xml:space="preserve">the popup menu to display a standard Windows color selector. The selected color </w:t>
      </w:r>
      <w:r w:rsidR="00D07041" w:rsidRPr="000665B0">
        <w:rPr>
          <w:rFonts w:ascii="Times New Roman" w:hAnsi="Times New Roman" w:cs="Times New Roman"/>
        </w:rPr>
        <w:t>is</w:t>
      </w:r>
      <w:r w:rsidRPr="000665B0">
        <w:rPr>
          <w:rFonts w:ascii="Times New Roman" w:hAnsi="Times New Roman" w:cs="Times New Roman"/>
        </w:rPr>
        <w:t xml:space="preserve"> retained between executions of MDS.</w:t>
      </w:r>
    </w:p>
    <w:p w14:paraId="25BB826E" w14:textId="77777777" w:rsidR="008325F3" w:rsidRPr="000665B0" w:rsidRDefault="008325F3"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Note: </w:t>
      </w:r>
    </w:p>
    <w:p w14:paraId="2587744E" w14:textId="4C9E05CF" w:rsidR="00193FC2" w:rsidRPr="000665B0" w:rsidRDefault="00193FC2" w:rsidP="009570CA">
      <w:pPr>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CADRG and CIB list map data by type (scale) and then map sheet or source data folder, respectively. Color may be specified separately for each </w:t>
      </w:r>
      <w:r w:rsidR="00726C4B" w:rsidRPr="000665B0">
        <w:rPr>
          <w:b/>
        </w:rPr>
        <w:t>top-level</w:t>
      </w:r>
      <w:r w:rsidRPr="000665B0">
        <w:rPr>
          <w:b/>
        </w:rPr>
        <w:t xml:space="preserve"> group. VPF data is specified by data </w:t>
      </w:r>
      <w:r w:rsidR="00BD4336" w:rsidRPr="000665B0">
        <w:rPr>
          <w:b/>
        </w:rPr>
        <w:t>type,</w:t>
      </w:r>
      <w:r w:rsidRPr="000665B0">
        <w:rPr>
          <w:b/>
        </w:rPr>
        <w:t xml:space="preserve"> </w:t>
      </w:r>
      <w:r w:rsidR="003509EA" w:rsidRPr="000665B0">
        <w:rPr>
          <w:b/>
        </w:rPr>
        <w:t xml:space="preserve">e.g., </w:t>
      </w:r>
      <w:r w:rsidRPr="000665B0">
        <w:rPr>
          <w:b/>
        </w:rPr>
        <w:t xml:space="preserve">DNC, VMAP0, etc. Color may be specified separately for each VPF data type. ASRP </w:t>
      </w:r>
      <w:r w:rsidR="00A37029" w:rsidRPr="000665B0">
        <w:rPr>
          <w:b/>
        </w:rPr>
        <w:t xml:space="preserve">is </w:t>
      </w:r>
      <w:r w:rsidRPr="000665B0">
        <w:rPr>
          <w:b/>
        </w:rPr>
        <w:t xml:space="preserve">only a single type and will have only one top level group, therefore only one color may be specified for </w:t>
      </w:r>
      <w:r w:rsidR="00A37029" w:rsidRPr="000665B0">
        <w:rPr>
          <w:b/>
        </w:rPr>
        <w:t xml:space="preserve">this </w:t>
      </w:r>
      <w:r w:rsidRPr="000665B0">
        <w:rPr>
          <w:b/>
        </w:rPr>
        <w:t>map type. Color selections are persistent between executions of MDS and common to all users.</w:t>
      </w:r>
    </w:p>
    <w:p w14:paraId="58858C9B" w14:textId="77777777" w:rsidR="008325F3" w:rsidRPr="000665B0" w:rsidRDefault="008325F3"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rPr>
        <w:t>For CADRG, map sheets are made up of many files. The extents show the borders of the physical map sheet whether or not all files contained within the map boundaries are present in the current configuration.</w:t>
      </w:r>
    </w:p>
    <w:p w14:paraId="166FFFF6" w14:textId="77777777" w:rsidR="00193FC2" w:rsidRPr="000665B0" w:rsidRDefault="00193FC2" w:rsidP="009570CA">
      <w:pPr>
        <w:spacing w:line="240" w:lineRule="auto"/>
        <w:rPr>
          <w:szCs w:val="24"/>
        </w:rPr>
      </w:pPr>
      <w:r w:rsidRPr="000665B0">
        <w:rPr>
          <w:szCs w:val="24"/>
        </w:rPr>
        <w:t xml:space="preserve">The items in the tabs of the </w:t>
      </w:r>
      <w:r w:rsidRPr="000665B0">
        <w:rPr>
          <w:b/>
          <w:i/>
          <w:szCs w:val="24"/>
        </w:rPr>
        <w:t>Data Extents</w:t>
      </w:r>
      <w:r w:rsidRPr="000665B0">
        <w:rPr>
          <w:szCs w:val="24"/>
        </w:rPr>
        <w:t xml:space="preserve"> tab have context menus. The choices available on these context menus vary somewhat with the type of map data and the level of the item within its tree. When available, the menu items have the following effects:</w:t>
      </w:r>
    </w:p>
    <w:p w14:paraId="61BB3830" w14:textId="77777777" w:rsidR="008325F3" w:rsidRPr="000665B0" w:rsidRDefault="008325F3"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b/>
        </w:rPr>
        <w:t>Show</w:t>
      </w:r>
      <w:r w:rsidRPr="000665B0">
        <w:rPr>
          <w:rFonts w:ascii="Times New Roman" w:hAnsi="Times New Roman" w:cs="Times New Roman"/>
        </w:rPr>
        <w:t xml:space="preserve"> – Enables the display of data from that map file or sheet or from all files of that type of map data. This is independent of the layer configuration (see next section).</w:t>
      </w:r>
    </w:p>
    <w:p w14:paraId="66676FA3" w14:textId="77777777" w:rsidR="00193FC2" w:rsidRPr="000665B0" w:rsidRDefault="00193FC2" w:rsidP="009570CA">
      <w:pPr>
        <w:spacing w:line="240" w:lineRule="auto"/>
        <w:rPr>
          <w:szCs w:val="24"/>
        </w:rPr>
      </w:pPr>
      <w:r w:rsidRPr="000665B0">
        <w:rPr>
          <w:b/>
          <w:szCs w:val="24"/>
        </w:rPr>
        <w:t>Hide</w:t>
      </w:r>
      <w:r w:rsidRPr="000665B0">
        <w:rPr>
          <w:szCs w:val="24"/>
        </w:rPr>
        <w:t xml:space="preserve"> – Disables the display of data from that map file or sheet or from all files of that type of map data. This is independent of the layer configuration (see next section). While hidden, the item’s name is in blue italics.</w:t>
      </w:r>
    </w:p>
    <w:p w14:paraId="2932B721" w14:textId="77777777" w:rsidR="008325F3" w:rsidRPr="000665B0" w:rsidRDefault="008325F3"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Note: </w:t>
      </w:r>
    </w:p>
    <w:p w14:paraId="19A82A95" w14:textId="77777777" w:rsidR="00193FC2" w:rsidRPr="000665B0" w:rsidRDefault="00193FC2"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show/hide settings of individual map data items specified in the Data Extents panel are persistent and common to all users.</w:t>
      </w:r>
    </w:p>
    <w:p w14:paraId="63765571" w14:textId="77777777" w:rsidR="00193FC2" w:rsidRPr="000665B0" w:rsidRDefault="00193FC2" w:rsidP="009570CA">
      <w:pPr>
        <w:spacing w:line="240" w:lineRule="auto"/>
        <w:rPr>
          <w:szCs w:val="24"/>
        </w:rPr>
      </w:pPr>
      <w:r w:rsidRPr="000665B0">
        <w:rPr>
          <w:b/>
          <w:szCs w:val="24"/>
        </w:rPr>
        <w:t>Color</w:t>
      </w:r>
      <w:r w:rsidRPr="000665B0">
        <w:rPr>
          <w:szCs w:val="24"/>
        </w:rPr>
        <w:t xml:space="preserve"> – Changes the data extent frame color for a map data type or subtype.</w:t>
      </w:r>
    </w:p>
    <w:p w14:paraId="4DB8BC8C" w14:textId="77777777" w:rsidR="00193FC2" w:rsidRPr="000665B0" w:rsidRDefault="00193FC2" w:rsidP="009570CA">
      <w:pPr>
        <w:spacing w:line="240" w:lineRule="auto"/>
        <w:rPr>
          <w:szCs w:val="24"/>
        </w:rPr>
      </w:pPr>
      <w:r w:rsidRPr="000665B0">
        <w:rPr>
          <w:b/>
          <w:szCs w:val="24"/>
        </w:rPr>
        <w:t>Additional Info</w:t>
      </w:r>
      <w:r w:rsidRPr="000665B0">
        <w:rPr>
          <w:szCs w:val="24"/>
        </w:rPr>
        <w:t xml:space="preserve"> – Displays a dialog with additional information about the map file or sheet. For CADRG and CIB map data, a list of the frame files comprising the selected map sheet is displayed, along with the name of the file containing the selected map item. An internal timestamp within the file, possibly indicating when the map data file was produced, is also displayed. A checkbox next to each frame file allows the operator to display the frame or bounding rectangle for the individual frame files. This bounding rectangle is always displayed in white and will only be visible while the information window for the selected map is open. For VPF map data, the additional information displayed is the contents of the Lineage.doc file associated with the selected map item.</w:t>
      </w:r>
    </w:p>
    <w:p w14:paraId="6DBABC52" w14:textId="4D042792" w:rsidR="00B93DBC" w:rsidRPr="000665B0" w:rsidRDefault="00193FC2" w:rsidP="009570CA">
      <w:pPr>
        <w:spacing w:line="240" w:lineRule="auto"/>
        <w:rPr>
          <w:szCs w:val="24"/>
        </w:rPr>
      </w:pPr>
      <w:r w:rsidRPr="000665B0">
        <w:rPr>
          <w:b/>
          <w:szCs w:val="24"/>
        </w:rPr>
        <w:t>Recenter</w:t>
      </w:r>
      <w:r w:rsidRPr="000665B0">
        <w:rPr>
          <w:szCs w:val="24"/>
        </w:rPr>
        <w:t xml:space="preserve"> – Re-centers and re-scales the map display to show the area covered by the selected map file or sheet.</w:t>
      </w:r>
    </w:p>
    <w:p w14:paraId="28D843AB" w14:textId="77777777" w:rsidR="008325F3" w:rsidRPr="000665B0" w:rsidRDefault="008325F3"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Note: </w:t>
      </w:r>
    </w:p>
    <w:p w14:paraId="0BA8AF8C" w14:textId="77777777" w:rsidR="008325F3" w:rsidRPr="000665B0" w:rsidRDefault="008325F3"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map selected for Recenter or Display may not appear in the resulting display, depending on its visibility selection and layering order.</w:t>
      </w:r>
    </w:p>
    <w:p w14:paraId="616338B7" w14:textId="06CD2DDD" w:rsidR="00193FC2" w:rsidRPr="000665B0" w:rsidRDefault="00193FC2" w:rsidP="00306174">
      <w:pPr>
        <w:pStyle w:val="Heading6"/>
      </w:pPr>
      <w:r w:rsidRPr="000665B0">
        <w:lastRenderedPageBreak/>
        <w:t>Data Layer Configuration</w:t>
      </w:r>
    </w:p>
    <w:p w14:paraId="3683C0CA" w14:textId="77777777" w:rsidR="00193FC2" w:rsidRPr="000665B0" w:rsidRDefault="00193FC2" w:rsidP="009570CA">
      <w:r w:rsidRPr="000665B0">
        <w:t xml:space="preserve">The visibility of the configured map data and the order in which map and image information is layered prior to the addition of overlay information may be controlled using the </w:t>
      </w:r>
      <w:r w:rsidRPr="000665B0">
        <w:rPr>
          <w:b/>
          <w:i/>
        </w:rPr>
        <w:t>Layers</w:t>
      </w:r>
      <w:r w:rsidRPr="000665B0">
        <w:t xml:space="preserve"> tab of the </w:t>
      </w:r>
      <w:r w:rsidRPr="000665B0">
        <w:rPr>
          <w:i/>
        </w:rPr>
        <w:t>Geospatial Properties</w:t>
      </w:r>
      <w:r w:rsidRPr="000665B0">
        <w:t xml:space="preserve"> window.</w:t>
      </w:r>
    </w:p>
    <w:p w14:paraId="7787C5F8" w14:textId="72902EBB" w:rsidR="008325F3" w:rsidRPr="000665B0" w:rsidRDefault="00F1239D" w:rsidP="009570CA">
      <w:pPr>
        <w:jc w:val="center"/>
      </w:pPr>
      <w:r w:rsidRPr="000665B0">
        <w:rPr>
          <w:noProof/>
        </w:rPr>
        <w:drawing>
          <wp:inline distT="0" distB="0" distL="0" distR="0" wp14:anchorId="52F6DCBF" wp14:editId="7634EF92">
            <wp:extent cx="2743200" cy="2377440"/>
            <wp:effectExtent l="0" t="0" r="0" b="3810"/>
            <wp:docPr id="1143" name="Pictur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377440"/>
                    </a:xfrm>
                    <a:prstGeom prst="rect">
                      <a:avLst/>
                    </a:prstGeom>
                  </pic:spPr>
                </pic:pic>
              </a:graphicData>
            </a:graphic>
          </wp:inline>
        </w:drawing>
      </w:r>
    </w:p>
    <w:p w14:paraId="2EC2AAF7" w14:textId="77777777" w:rsidR="00193FC2" w:rsidRPr="000665B0" w:rsidRDefault="00193FC2" w:rsidP="009570CA">
      <w:r w:rsidRPr="000665B0">
        <w:t xml:space="preserve">Visibility of a type of data is toggled using the checkboxes provided. Data types that are checked </w:t>
      </w:r>
      <w:r w:rsidR="00D07041" w:rsidRPr="000665B0">
        <w:t>are</w:t>
      </w:r>
      <w:r w:rsidRPr="000665B0">
        <w:t xml:space="preserve"> visible in the map display (assuming that there’s data of that type in the displayed region and that the map scale is appropriate for the available data of that type). Data types that are not checked will not be considered for inclusion in any generated map.</w:t>
      </w:r>
    </w:p>
    <w:p w14:paraId="7D25808C" w14:textId="77777777" w:rsidR="00193FC2" w:rsidRPr="000665B0" w:rsidRDefault="00193FC2" w:rsidP="009570CA">
      <w:r w:rsidRPr="000665B0">
        <w:t>The order in which the map data is drawn is determined by the order of that data type in the list. Data types at the bottom of the list are drawn first, while data types higher in the list are drawn on top of them. To adjust the order of a data type, select that data type in the list, then use the up- and down-arrow buttons to adjust its priority.</w:t>
      </w:r>
    </w:p>
    <w:p w14:paraId="22C16B41" w14:textId="77777777" w:rsidR="008325F3" w:rsidRPr="000665B0" w:rsidRDefault="008325F3" w:rsidP="009570CA">
      <w:r w:rsidRPr="000665B0">
        <w:t xml:space="preserve">Note that while most data types have a single entry in the list, VPF data has four separate entries for area features, line features, point features, and text. </w:t>
      </w:r>
    </w:p>
    <w:p w14:paraId="713C61C5" w14:textId="77777777" w:rsidR="008325F3" w:rsidRPr="000665B0" w:rsidRDefault="008325F3"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Note: </w:t>
      </w:r>
    </w:p>
    <w:p w14:paraId="347FB582" w14:textId="77777777" w:rsidR="008325F3" w:rsidRPr="000665B0" w:rsidRDefault="008325F3"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Ordering and visibility specified in the Layers panel is persistent between executions of MDS and common to all users.</w:t>
      </w:r>
    </w:p>
    <w:p w14:paraId="22630848" w14:textId="375B8650" w:rsidR="00193FC2" w:rsidRPr="000665B0" w:rsidRDefault="00193FC2" w:rsidP="009570CA">
      <w:pPr>
        <w:spacing w:after="0" w:line="240" w:lineRule="auto"/>
        <w:rPr>
          <w:szCs w:val="24"/>
        </w:rPr>
      </w:pPr>
      <w:bookmarkStart w:id="5342" w:name="_5.30.8.2.7__Configuring"/>
      <w:bookmarkStart w:id="5343" w:name="_Toc289328721"/>
      <w:bookmarkEnd w:id="5342"/>
      <w:r w:rsidRPr="000665B0">
        <w:rPr>
          <w:szCs w:val="24"/>
        </w:rPr>
        <w:t xml:space="preserve">Careful consideration should be taken when specifying layering order. Normally, VPF line, point and text data </w:t>
      </w:r>
      <w:r w:rsidR="00392A15">
        <w:rPr>
          <w:szCs w:val="24"/>
        </w:rPr>
        <w:t>are</w:t>
      </w:r>
      <w:r w:rsidRPr="000665B0">
        <w:rPr>
          <w:szCs w:val="24"/>
        </w:rPr>
        <w:t xml:space="preserve"> displayed on top of other map types, as they represent enhancements of the image underneath. Data of the specified type must be added to the MDS configuration in order for layering and visibility settings to have an effect. </w:t>
      </w:r>
    </w:p>
    <w:p w14:paraId="4C4173A5" w14:textId="65B21A55" w:rsidR="00193FC2" w:rsidRPr="000665B0" w:rsidRDefault="00193FC2" w:rsidP="009570CA">
      <w:pPr>
        <w:pStyle w:val="Heading5"/>
      </w:pPr>
      <w:bookmarkStart w:id="5344" w:name="_5.30.7.2.7__Configuring"/>
      <w:bookmarkEnd w:id="5343"/>
      <w:bookmarkEnd w:id="5344"/>
      <w:r w:rsidRPr="000665B0">
        <w:t>Configuring the Display of Additional VPF Map Features</w:t>
      </w:r>
    </w:p>
    <w:p w14:paraId="05FE5158" w14:textId="53B83CC5" w:rsidR="00193FC2" w:rsidRPr="000665B0" w:rsidRDefault="00193FC2" w:rsidP="009570CA">
      <w:r w:rsidRPr="000665B0">
        <w:t>The basic map features (se</w:t>
      </w:r>
      <w:r w:rsidR="00B541EB" w:rsidRPr="000665B0">
        <w:t xml:space="preserve">e </w:t>
      </w:r>
      <w:hyperlink w:anchor="_5.30.7.2.5__Configuring" w:history="1">
        <w:r w:rsidR="00B541EB" w:rsidRPr="000665B0">
          <w:rPr>
            <w:rStyle w:val="Hyperlink"/>
          </w:rPr>
          <w:t xml:space="preserve">Section </w:t>
        </w:r>
        <w:r w:rsidR="004231CC">
          <w:rPr>
            <w:rStyle w:val="Hyperlink"/>
          </w:rPr>
          <w:t>5.26</w:t>
        </w:r>
        <w:r w:rsidR="00B541EB" w:rsidRPr="000665B0">
          <w:rPr>
            <w:rStyle w:val="Hyperlink"/>
          </w:rPr>
          <w:t>.7.2.5</w:t>
        </w:r>
      </w:hyperlink>
      <w:r w:rsidR="00B541EB" w:rsidRPr="000665B0">
        <w:t>)</w:t>
      </w:r>
      <w:r w:rsidRPr="000665B0">
        <w:t xml:space="preserve"> are only a small subset of the features typically available in the VPF map data. To display additional features of interest, select the </w:t>
      </w:r>
      <w:r w:rsidRPr="000665B0">
        <w:rPr>
          <w:b/>
        </w:rPr>
        <w:t>Advanced Features</w:t>
      </w:r>
      <w:r w:rsidRPr="000665B0">
        <w:t xml:space="preserve"> button on the </w:t>
      </w:r>
      <w:r w:rsidRPr="000665B0">
        <w:rPr>
          <w:b/>
          <w:i/>
        </w:rPr>
        <w:t>Map/Features</w:t>
      </w:r>
      <w:r w:rsidRPr="000665B0">
        <w:t xml:space="preserve"> tab. The </w:t>
      </w:r>
      <w:r w:rsidRPr="000665B0">
        <w:rPr>
          <w:i/>
        </w:rPr>
        <w:t>VPF Features</w:t>
      </w:r>
      <w:r w:rsidRPr="000665B0">
        <w:t xml:space="preserve"> window is shown.</w:t>
      </w:r>
    </w:p>
    <w:p w14:paraId="08834CA0" w14:textId="4626B69E" w:rsidR="00193FC2" w:rsidRPr="000665B0" w:rsidRDefault="00193FC2" w:rsidP="009570CA">
      <w:r w:rsidRPr="000665B0">
        <w:lastRenderedPageBreak/>
        <w:t xml:space="preserve">This window can also be accessed by selecting the </w:t>
      </w:r>
      <w:r w:rsidRPr="000665B0">
        <w:rPr>
          <w:b/>
        </w:rPr>
        <w:t>Configure Features</w:t>
      </w:r>
      <w:r w:rsidRPr="000665B0">
        <w:t xml:space="preserve"> item from the </w:t>
      </w:r>
      <w:r w:rsidRPr="000665B0">
        <w:rPr>
          <w:b/>
        </w:rPr>
        <w:t>VPF Data Configuration</w:t>
      </w:r>
      <w:r w:rsidRPr="000665B0">
        <w:t xml:space="preserve"> panel (see </w:t>
      </w:r>
      <w:hyperlink w:anchor="_5.30.7.2.6.1.2__VPF" w:history="1">
        <w:r w:rsidRPr="000665B0">
          <w:rPr>
            <w:rStyle w:val="Hyperlink"/>
          </w:rPr>
          <w:t xml:space="preserve">Section </w:t>
        </w:r>
        <w:r w:rsidR="004231CC">
          <w:rPr>
            <w:rStyle w:val="Hyperlink"/>
          </w:rPr>
          <w:t>5.26</w:t>
        </w:r>
        <w:r w:rsidRPr="000665B0">
          <w:rPr>
            <w:rStyle w:val="Hyperlink"/>
          </w:rPr>
          <w:t>.7.2.6.1.</w:t>
        </w:r>
        <w:r w:rsidR="00454A82" w:rsidRPr="000665B0">
          <w:rPr>
            <w:rStyle w:val="Hyperlink"/>
          </w:rPr>
          <w:t>2</w:t>
        </w:r>
      </w:hyperlink>
      <w:r w:rsidRPr="000665B0">
        <w:t>).</w:t>
      </w:r>
    </w:p>
    <w:p w14:paraId="301F5DAF" w14:textId="77777777" w:rsidR="008325F3" w:rsidRPr="000665B0" w:rsidRDefault="008325F3" w:rsidP="009570CA">
      <w:r w:rsidRPr="000665B0">
        <w:t>The list of features presented in this dialog is established at system startup time from the VPF data configured and may not reflect data added to the configuration during the user’s session.</w:t>
      </w:r>
    </w:p>
    <w:p w14:paraId="3E59C7F5" w14:textId="39E4168E" w:rsidR="008325F3" w:rsidRPr="000665B0" w:rsidRDefault="00A06091" w:rsidP="009570CA">
      <w:pPr>
        <w:jc w:val="center"/>
      </w:pPr>
      <w:r w:rsidRPr="000665B0">
        <w:rPr>
          <w:noProof/>
        </w:rPr>
        <w:drawing>
          <wp:inline distT="0" distB="0" distL="0" distR="0" wp14:anchorId="5FE1DF6B" wp14:editId="52F52603">
            <wp:extent cx="3984933" cy="2560320"/>
            <wp:effectExtent l="0" t="0" r="0" b="0"/>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989620" cy="2563332"/>
                    </a:xfrm>
                    <a:prstGeom prst="rect">
                      <a:avLst/>
                    </a:prstGeom>
                  </pic:spPr>
                </pic:pic>
              </a:graphicData>
            </a:graphic>
          </wp:inline>
        </w:drawing>
      </w:r>
    </w:p>
    <w:p w14:paraId="1558E37D" w14:textId="77777777" w:rsidR="008325F3" w:rsidRPr="000665B0" w:rsidRDefault="008325F3" w:rsidP="009570CA">
      <w:r w:rsidRPr="000665B0">
        <w:t>Expanding the tree view and selecting a feature type on the left-hand pane provides access to a list of map features in the right-hand pane. The visibility of specific features can then be toggled on and off using the checkboxes.</w:t>
      </w:r>
    </w:p>
    <w:p w14:paraId="0E1BF1F4" w14:textId="77777777" w:rsidR="00193FC2" w:rsidRPr="000665B0" w:rsidRDefault="00193FC2" w:rsidP="009570CA">
      <w:r w:rsidRPr="000665B0">
        <w:t xml:space="preserve">The features are sorted into four groups: Geometry, Coverage, VPF Type, and Scale. Geometry items are grouped by Area, Line, Point, and Text. In the </w:t>
      </w:r>
      <w:r w:rsidRPr="000665B0">
        <w:rPr>
          <w:b/>
        </w:rPr>
        <w:t>Area Features</w:t>
      </w:r>
      <w:r w:rsidRPr="000665B0">
        <w:t xml:space="preserve"> pane, certain items are defined as default Land and Water underlay features. These features are always on and cannot be toggled by the operator.</w:t>
      </w:r>
    </w:p>
    <w:p w14:paraId="611DD250" w14:textId="77777777" w:rsidR="00193FC2" w:rsidRPr="000665B0" w:rsidRDefault="00193FC2" w:rsidP="009570CA">
      <w:r w:rsidRPr="000665B0">
        <w:t>The Coverage group collects features by type, such as vegetation, population, elevation, etc. Within each feature group, items are sorted by Area, Line, Point, and Text.</w:t>
      </w:r>
    </w:p>
    <w:p w14:paraId="501A3B80" w14:textId="77777777" w:rsidR="008325F3" w:rsidRPr="000665B0" w:rsidRDefault="008325F3" w:rsidP="009570CA">
      <w:r w:rsidRPr="000665B0">
        <w:t>The VPF type group lists the map data by type, such as VMAP Level 0 or DNC. Entire categories of map data may be disabled by unchecking the checkbox for the selected type. Note that the default WVSPlus data set, which provides the basic world view, may not be disabled.</w:t>
      </w:r>
    </w:p>
    <w:p w14:paraId="196981AF" w14:textId="77777777" w:rsidR="008325F3" w:rsidRPr="000665B0" w:rsidRDefault="008325F3"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Note: </w:t>
      </w:r>
    </w:p>
    <w:p w14:paraId="7FA0C46D" w14:textId="77777777" w:rsidR="008325F3" w:rsidRPr="000665B0" w:rsidRDefault="008325F3"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WVS data type is not listed as a selectable type to prevent the user from disabling the default world view.</w:t>
      </w:r>
    </w:p>
    <w:p w14:paraId="559C9018" w14:textId="77777777" w:rsidR="008325F3" w:rsidRPr="000665B0" w:rsidRDefault="008325F3" w:rsidP="009570CA">
      <w:pPr>
        <w:pStyle w:val="base"/>
        <w:spacing w:before="0" w:beforeAutospacing="0" w:after="120" w:afterAutospacing="0"/>
        <w:rPr>
          <w:rFonts w:ascii="Times New Roman" w:hAnsi="Times New Roman" w:cs="Times New Roman"/>
        </w:rPr>
      </w:pPr>
      <w:r w:rsidRPr="000665B0">
        <w:rPr>
          <w:rFonts w:ascii="Times New Roman" w:hAnsi="Times New Roman" w:cs="Times New Roman"/>
        </w:rPr>
        <w:t xml:space="preserve">The Scale group collects features by map scale, the cartographic scale on which the map data is based. All data at a particular scale may be disabled by unchecking the checkbox for the selected scales. Note that the default scale of 1:40000000 cannot be disabled. </w:t>
      </w:r>
    </w:p>
    <w:p w14:paraId="7250C45A" w14:textId="77777777" w:rsidR="00193FC2" w:rsidRPr="000665B0" w:rsidRDefault="00193FC2" w:rsidP="009570CA">
      <w:r w:rsidRPr="000665B0">
        <w:t xml:space="preserve">Map feature changes are normally applied as soon as a feature selection is modified, causing the entire map to be redrawn. If it is anticipated that there will be a lot of selection or de-selection, it is recommended to check the checkbox for </w:t>
      </w:r>
      <w:r w:rsidRPr="000665B0">
        <w:rPr>
          <w:b/>
        </w:rPr>
        <w:t>Defer drawing until applied</w:t>
      </w:r>
      <w:r w:rsidRPr="000665B0">
        <w:t xml:space="preserve">. When this checkbox is checked, map feature changes are not applied until the </w:t>
      </w:r>
      <w:r w:rsidRPr="000665B0">
        <w:rPr>
          <w:b/>
          <w:bCs/>
        </w:rPr>
        <w:t>Apply</w:t>
      </w:r>
      <w:r w:rsidRPr="000665B0">
        <w:t xml:space="preserve"> button is clicked. If the window is </w:t>
      </w:r>
      <w:r w:rsidRPr="000665B0">
        <w:lastRenderedPageBreak/>
        <w:t xml:space="preserve">closed without clicking the </w:t>
      </w:r>
      <w:r w:rsidRPr="000665B0">
        <w:rPr>
          <w:b/>
          <w:bCs/>
        </w:rPr>
        <w:t>Apply</w:t>
      </w:r>
      <w:r w:rsidRPr="000665B0">
        <w:t xml:space="preserve"> button, map feature changes will not be applied until the Geo Display is re-centered or resized.</w:t>
      </w:r>
    </w:p>
    <w:p w14:paraId="1F89B685" w14:textId="77777777" w:rsidR="008325F3" w:rsidRPr="000665B0" w:rsidRDefault="00193FC2" w:rsidP="009570CA">
      <w:pPr>
        <w:spacing w:after="0"/>
      </w:pPr>
      <w:r w:rsidRPr="000665B0">
        <w:t>Configuration changes made in this dialog are saved in the user's default preferen</w:t>
      </w:r>
      <w:r w:rsidR="00FD25A0" w:rsidRPr="000665B0">
        <w:t>ces as a personalized style</w:t>
      </w:r>
      <w:r w:rsidRPr="000665B0">
        <w:t>sheet.</w:t>
      </w:r>
    </w:p>
    <w:p w14:paraId="012BCFAE" w14:textId="7CA91C7F" w:rsidR="00193FC2" w:rsidRPr="000665B0" w:rsidRDefault="00193FC2" w:rsidP="00DC3AA7">
      <w:pPr>
        <w:pStyle w:val="Heading5"/>
        <w:keepNext w:val="0"/>
      </w:pPr>
      <w:bookmarkStart w:id="5345" w:name="_5.30.8.2.8__Configuring"/>
      <w:bookmarkEnd w:id="5345"/>
      <w:r w:rsidRPr="000665B0">
        <w:t>Configuring Colors for Map Features</w:t>
      </w:r>
    </w:p>
    <w:p w14:paraId="08CB0501" w14:textId="77777777" w:rsidR="00193FC2" w:rsidRPr="000665B0" w:rsidRDefault="00193FC2" w:rsidP="009570CA">
      <w:pPr>
        <w:spacing w:after="0"/>
      </w:pPr>
      <w:bookmarkStart w:id="5346" w:name="_Toc289328723"/>
      <w:r w:rsidRPr="000665B0">
        <w:t xml:space="preserve">When GeoSym symbology is being used, maps can be drawn in any of several pre-set color schemes (including some designed specifically for use in darker environments). When GeoSym symbology is not being used, colors for the VPF map features can be individually configured. To access color configuration, select the </w:t>
      </w:r>
      <w:r w:rsidRPr="000665B0">
        <w:rPr>
          <w:b/>
        </w:rPr>
        <w:t>Advanced Colors</w:t>
      </w:r>
      <w:r w:rsidRPr="000665B0">
        <w:t xml:space="preserve"> button of the </w:t>
      </w:r>
      <w:r w:rsidRPr="000665B0">
        <w:rPr>
          <w:b/>
          <w:i/>
        </w:rPr>
        <w:t>Map/Features</w:t>
      </w:r>
      <w:r w:rsidRPr="000665B0">
        <w:t xml:space="preserve"> tab. The appropriate window is shown, based on whether GeoSym symbology is being applied.</w:t>
      </w:r>
    </w:p>
    <w:bookmarkEnd w:id="5346"/>
    <w:p w14:paraId="6F8BB314" w14:textId="08653CBF" w:rsidR="00193FC2" w:rsidRPr="000665B0" w:rsidRDefault="00193FC2" w:rsidP="00306174">
      <w:pPr>
        <w:pStyle w:val="Heading6"/>
      </w:pPr>
      <w:r w:rsidRPr="000665B0">
        <w:t>Configuring Colors for VPF Map Features</w:t>
      </w:r>
    </w:p>
    <w:p w14:paraId="5D62090D" w14:textId="77777777" w:rsidR="00193FC2" w:rsidRPr="000665B0" w:rsidRDefault="00193FC2" w:rsidP="009570CA">
      <w:r w:rsidRPr="000665B0">
        <w:t xml:space="preserve">The </w:t>
      </w:r>
      <w:r w:rsidRPr="000665B0">
        <w:rPr>
          <w:i/>
        </w:rPr>
        <w:t>VPF Feature Colors</w:t>
      </w:r>
      <w:r w:rsidRPr="000665B0">
        <w:t xml:space="preserve"> window allows individual configuration of the fill and outline colors of VPF area features, the line colors and line styles of line features, the shapes and fill and outline colors of point features, and the colors of text features.</w:t>
      </w:r>
    </w:p>
    <w:p w14:paraId="150226D8" w14:textId="588C2B49" w:rsidR="00193FC2" w:rsidRPr="000665B0" w:rsidRDefault="00193FC2" w:rsidP="009570CA">
      <w:r w:rsidRPr="000665B0">
        <w:t xml:space="preserve">This dialog can also be accessed by selecting the </w:t>
      </w:r>
      <w:r w:rsidRPr="000665B0">
        <w:rPr>
          <w:b/>
        </w:rPr>
        <w:t>Configure Colors</w:t>
      </w:r>
      <w:r w:rsidRPr="000665B0">
        <w:t xml:space="preserve"> item from the </w:t>
      </w:r>
      <w:r w:rsidRPr="000665B0">
        <w:rPr>
          <w:b/>
        </w:rPr>
        <w:t>VPF Data</w:t>
      </w:r>
      <w:r w:rsidRPr="000665B0">
        <w:t xml:space="preserve"> Configuration panel (see </w:t>
      </w:r>
      <w:hyperlink w:anchor="_5.30.7.2.6.1.4__VPF" w:history="1">
        <w:r w:rsidRPr="000665B0">
          <w:rPr>
            <w:color w:val="0000FF"/>
            <w:u w:val="single"/>
          </w:rPr>
          <w:t xml:space="preserve">Section </w:t>
        </w:r>
        <w:r w:rsidR="004231CC">
          <w:rPr>
            <w:color w:val="0000FF"/>
            <w:u w:val="single"/>
          </w:rPr>
          <w:t>5.26</w:t>
        </w:r>
        <w:r w:rsidRPr="000665B0">
          <w:rPr>
            <w:color w:val="0000FF"/>
            <w:u w:val="single"/>
          </w:rPr>
          <w:t>.7.2.6.1.</w:t>
        </w:r>
      </w:hyperlink>
      <w:r w:rsidR="00454A82" w:rsidRPr="000665B0">
        <w:rPr>
          <w:color w:val="0000FF"/>
          <w:u w:val="single"/>
        </w:rPr>
        <w:t>2</w:t>
      </w:r>
      <w:r w:rsidRPr="000665B0">
        <w:t>).</w:t>
      </w:r>
    </w:p>
    <w:p w14:paraId="0E98EE42" w14:textId="7E420A84" w:rsidR="008325F3" w:rsidRPr="000665B0" w:rsidRDefault="00DE4516" w:rsidP="009570CA">
      <w:pPr>
        <w:jc w:val="center"/>
      </w:pPr>
      <w:r w:rsidRPr="000665B0">
        <w:rPr>
          <w:noProof/>
        </w:rPr>
        <w:t xml:space="preserve"> </w:t>
      </w:r>
      <w:r w:rsidR="00A06091" w:rsidRPr="000665B0">
        <w:rPr>
          <w:noProof/>
        </w:rPr>
        <w:drawing>
          <wp:inline distT="0" distB="0" distL="0" distR="0" wp14:anchorId="045BDB8D" wp14:editId="1029F7B0">
            <wp:extent cx="2117927" cy="1242517"/>
            <wp:effectExtent l="0" t="0" r="0" b="0"/>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53422" cy="1263341"/>
                    </a:xfrm>
                    <a:prstGeom prst="rect">
                      <a:avLst/>
                    </a:prstGeom>
                  </pic:spPr>
                </pic:pic>
              </a:graphicData>
            </a:graphic>
          </wp:inline>
        </w:drawing>
      </w:r>
    </w:p>
    <w:p w14:paraId="1BF91FE3" w14:textId="6551B3B5" w:rsidR="00193FC2" w:rsidRPr="000665B0" w:rsidRDefault="00193FC2" w:rsidP="009570CA">
      <w:r w:rsidRPr="000665B0">
        <w:t xml:space="preserve">Expand the tree view to show the colors of the feature to be configured. To replace a color in the configuration, click on the corresponding color patch. A simple color palette appears. Either select a color from the simple </w:t>
      </w:r>
      <w:r w:rsidR="00BD4336" w:rsidRPr="000665B0">
        <w:t>palette or</w:t>
      </w:r>
      <w:r w:rsidRPr="000665B0">
        <w:t xml:space="preserve"> select the </w:t>
      </w:r>
      <w:r w:rsidRPr="000665B0">
        <w:rPr>
          <w:b/>
        </w:rPr>
        <w:t>More Colors</w:t>
      </w:r>
      <w:r w:rsidRPr="000665B0">
        <w:t xml:space="preserve"> button to select a color from the full gamut of available colors.</w:t>
      </w:r>
    </w:p>
    <w:p w14:paraId="3F490D00" w14:textId="77777777" w:rsidR="00193FC2" w:rsidRPr="000665B0" w:rsidRDefault="00193FC2" w:rsidP="009570CA">
      <w:r w:rsidRPr="000665B0">
        <w:t>Clicking on a line style (for a line feature) displays a drop-down list of styles from which a style can be selected. Clicking on a draw shape (for a point feature) displays a drop-down list of shapes from which a shape can be selected.</w:t>
      </w:r>
    </w:p>
    <w:p w14:paraId="7084820D" w14:textId="77777777" w:rsidR="00193FC2" w:rsidRPr="000665B0" w:rsidRDefault="00193FC2" w:rsidP="009570CA">
      <w:r w:rsidRPr="000665B0">
        <w:t xml:space="preserve">VPF Features defined as default underlay items are tied together in the color table. Adjusting the color of one of these features will adjust the color of all related features. For example, under the Area features, Administrative Areas and Islands are land underlay features and are therefore always the same color. Water underlay features such as Water (except Inland) and Lake/Pond are always the same color. The outline and fill color for default underlay items are tied together. If one color is adjusted, the other color </w:t>
      </w:r>
      <w:r w:rsidR="00D07041" w:rsidRPr="000665B0">
        <w:t>is</w:t>
      </w:r>
      <w:r w:rsidRPr="000665B0">
        <w:t xml:space="preserve"> updated automatically to match. This helps de-clutter the display by removing spurious lines from the middle of land and water areas.</w:t>
      </w:r>
    </w:p>
    <w:p w14:paraId="267E30C0" w14:textId="77777777" w:rsidR="00193FC2" w:rsidRPr="000665B0" w:rsidRDefault="00193FC2" w:rsidP="009570CA">
      <w:pPr>
        <w:spacing w:line="240" w:lineRule="auto"/>
        <w:rPr>
          <w:szCs w:val="24"/>
        </w:rPr>
      </w:pPr>
      <w:r w:rsidRPr="000665B0">
        <w:rPr>
          <w:szCs w:val="24"/>
        </w:rPr>
        <w:t xml:space="preserve">For all map items except text, the selected configuration </w:t>
      </w:r>
      <w:r w:rsidR="00D07041" w:rsidRPr="000665B0">
        <w:rPr>
          <w:szCs w:val="24"/>
        </w:rPr>
        <w:t>is</w:t>
      </w:r>
      <w:r w:rsidRPr="000665B0">
        <w:rPr>
          <w:szCs w:val="24"/>
        </w:rPr>
        <w:t xml:space="preserve"> displayed as a preview in the Map Colors window. Area features display a filled box in the selected color with a frame of the </w:t>
      </w:r>
      <w:r w:rsidRPr="000665B0">
        <w:rPr>
          <w:szCs w:val="24"/>
        </w:rPr>
        <w:lastRenderedPageBreak/>
        <w:t>selected outline color. Line features display a line segment in the selected color and pattern. Point features display the selected shape, filled with the selected fill color and outlined with the selected outline color.</w:t>
      </w:r>
    </w:p>
    <w:p w14:paraId="5220EB53" w14:textId="77777777" w:rsidR="008325F3" w:rsidRPr="000665B0" w:rsidRDefault="00193FC2" w:rsidP="009570CA">
      <w:pPr>
        <w:pStyle w:val="base"/>
        <w:spacing w:before="0" w:beforeAutospacing="0" w:after="0" w:afterAutospacing="0"/>
        <w:rPr>
          <w:rFonts w:ascii="Times New Roman" w:hAnsi="Times New Roman" w:cs="Times New Roman"/>
        </w:rPr>
      </w:pPr>
      <w:r w:rsidRPr="000665B0">
        <w:rPr>
          <w:rFonts w:ascii="Times New Roman" w:eastAsia="Times New Roman" w:hAnsi="Times New Roman" w:cs="Times New Roman"/>
          <w:szCs w:val="20"/>
        </w:rPr>
        <w:t>Configuration changes made in this dialog are saved in the user's default pref</w:t>
      </w:r>
      <w:r w:rsidR="00FD25A0" w:rsidRPr="000665B0">
        <w:rPr>
          <w:rFonts w:ascii="Times New Roman" w:eastAsia="Times New Roman" w:hAnsi="Times New Roman" w:cs="Times New Roman"/>
          <w:szCs w:val="20"/>
        </w:rPr>
        <w:t>erences as a personalized style</w:t>
      </w:r>
      <w:r w:rsidRPr="000665B0">
        <w:rPr>
          <w:rFonts w:ascii="Times New Roman" w:eastAsia="Times New Roman" w:hAnsi="Times New Roman" w:cs="Times New Roman"/>
          <w:szCs w:val="20"/>
        </w:rPr>
        <w:t>sheet.</w:t>
      </w:r>
    </w:p>
    <w:p w14:paraId="53F0A41F" w14:textId="2ED82D7A" w:rsidR="0034125F" w:rsidRPr="000665B0" w:rsidRDefault="0034125F" w:rsidP="00306174">
      <w:pPr>
        <w:pStyle w:val="Heading6"/>
      </w:pPr>
      <w:r w:rsidRPr="000665B0">
        <w:t>Configuring the GeoSym Colorset</w:t>
      </w:r>
    </w:p>
    <w:p w14:paraId="51D5125A" w14:textId="77777777" w:rsidR="0034125F" w:rsidRPr="000665B0" w:rsidRDefault="0034125F" w:rsidP="009570CA">
      <w:r w:rsidRPr="000665B0">
        <w:t>The GeoSym Colorsets dialog allows the selection of a standard colorset for use with GeoSym symbology.</w:t>
      </w:r>
    </w:p>
    <w:p w14:paraId="762DDF68" w14:textId="469A6E5A" w:rsidR="008325F3" w:rsidRPr="000665B0" w:rsidRDefault="00A06091" w:rsidP="00DC3AA7">
      <w:pPr>
        <w:spacing w:before="120"/>
        <w:jc w:val="center"/>
      </w:pPr>
      <w:r w:rsidRPr="000665B0">
        <w:rPr>
          <w:noProof/>
        </w:rPr>
        <w:drawing>
          <wp:inline distT="0" distB="0" distL="0" distR="0" wp14:anchorId="3DF5C3AB" wp14:editId="5D50D1E1">
            <wp:extent cx="1779023" cy="1470660"/>
            <wp:effectExtent l="0" t="0" r="0" b="0"/>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03350" cy="1490771"/>
                    </a:xfrm>
                    <a:prstGeom prst="rect">
                      <a:avLst/>
                    </a:prstGeom>
                  </pic:spPr>
                </pic:pic>
              </a:graphicData>
            </a:graphic>
          </wp:inline>
        </w:drawing>
      </w:r>
    </w:p>
    <w:p w14:paraId="58E09B61" w14:textId="77777777" w:rsidR="0034125F" w:rsidRPr="000665B0" w:rsidRDefault="0034125F" w:rsidP="009570CA">
      <w:r w:rsidRPr="000665B0">
        <w:t>Other than the Internal GeoSym colorset, the GeoSym colorsets have been standardized to correspond to illumination conditions in the work area, so that displayed features are made visible in a way that does not undo any adaptation made by the eyes for the conditions that exist. IHO Day is for daytime or brightly illuminated environments. IHO Dusk is for use in less well-illuminated conditions. Dusk dimmer is a slightly dimmer, and IHO Night is for use in the dark.</w:t>
      </w:r>
    </w:p>
    <w:p w14:paraId="3BB5C928" w14:textId="2B12FD9F" w:rsidR="008325F3" w:rsidRPr="000665B0" w:rsidRDefault="0034125F" w:rsidP="009570CA">
      <w:pPr>
        <w:spacing w:after="0"/>
      </w:pPr>
      <w:r w:rsidRPr="000665B0">
        <w:t>The IHO is the International Hydrographic Organization. The IHO colorsets are specified in their special publication S-52</w:t>
      </w:r>
      <w:r w:rsidR="00AA66C1" w:rsidRPr="000665B0">
        <w:t>.</w:t>
      </w:r>
    </w:p>
    <w:p w14:paraId="47F2D31B" w14:textId="0807D8A1" w:rsidR="0034125F" w:rsidRPr="000665B0" w:rsidRDefault="0034125F" w:rsidP="009570CA">
      <w:pPr>
        <w:pStyle w:val="Heading4"/>
      </w:pPr>
      <w:r w:rsidRPr="000665B0">
        <w:t>Configuring Area Fills</w:t>
      </w:r>
    </w:p>
    <w:p w14:paraId="499988E7" w14:textId="77777777" w:rsidR="0034125F" w:rsidRPr="000665B0" w:rsidRDefault="0034125F" w:rsidP="009570CA">
      <w:pPr>
        <w:spacing w:line="240" w:lineRule="auto"/>
        <w:rPr>
          <w:szCs w:val="24"/>
        </w:rPr>
      </w:pPr>
      <w:r w:rsidRPr="000665B0">
        <w:rPr>
          <w:szCs w:val="24"/>
        </w:rPr>
        <w:t xml:space="preserve">Area fills are areas on the map that are filled either with a solid color or a pattern, such as cross-hatching. They are typically used in Overlays and to depict ACMSs. The opacity of area fills can be adjusted to allow underlying features to show through, helping to ensure that vital information is not missed. To configure area fills, select the </w:t>
      </w:r>
      <w:r w:rsidRPr="000665B0">
        <w:rPr>
          <w:b/>
          <w:i/>
          <w:szCs w:val="24"/>
        </w:rPr>
        <w:t>Area Fills</w:t>
      </w:r>
      <w:r w:rsidRPr="000665B0">
        <w:rPr>
          <w:szCs w:val="24"/>
        </w:rPr>
        <w:t xml:space="preserve"> tab of the </w:t>
      </w:r>
      <w:r w:rsidRPr="000665B0">
        <w:rPr>
          <w:i/>
          <w:szCs w:val="24"/>
        </w:rPr>
        <w:t>MDS Geographic Display Configuration</w:t>
      </w:r>
      <w:r w:rsidRPr="000665B0">
        <w:rPr>
          <w:szCs w:val="24"/>
        </w:rPr>
        <w:t xml:space="preserve"> window.</w:t>
      </w:r>
    </w:p>
    <w:p w14:paraId="2225D472" w14:textId="2D884B0A" w:rsidR="008325F3" w:rsidRPr="000665B0" w:rsidRDefault="00A06091" w:rsidP="009570CA">
      <w:pPr>
        <w:pStyle w:val="base"/>
        <w:spacing w:before="0" w:beforeAutospacing="0" w:after="120" w:afterAutospacing="0"/>
        <w:jc w:val="center"/>
      </w:pPr>
      <w:r w:rsidRPr="000665B0">
        <w:rPr>
          <w:noProof/>
        </w:rPr>
        <w:drawing>
          <wp:inline distT="0" distB="0" distL="0" distR="0" wp14:anchorId="2AEACD7F" wp14:editId="0E4E7898">
            <wp:extent cx="2587535" cy="1597522"/>
            <wp:effectExtent l="0" t="0" r="0" b="0"/>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614526" cy="1614186"/>
                    </a:xfrm>
                    <a:prstGeom prst="rect">
                      <a:avLst/>
                    </a:prstGeom>
                  </pic:spPr>
                </pic:pic>
              </a:graphicData>
            </a:graphic>
          </wp:inline>
        </w:drawing>
      </w:r>
    </w:p>
    <w:p w14:paraId="2053DAAE" w14:textId="77777777" w:rsidR="0034125F" w:rsidRPr="000665B0" w:rsidRDefault="0034125F" w:rsidP="009570CA">
      <w:pPr>
        <w:spacing w:line="240" w:lineRule="auto"/>
        <w:rPr>
          <w:szCs w:val="24"/>
        </w:rPr>
      </w:pPr>
      <w:r w:rsidRPr="000665B0">
        <w:rPr>
          <w:szCs w:val="24"/>
        </w:rPr>
        <w:lastRenderedPageBreak/>
        <w:t xml:space="preserve">Opacity may be independently adjusted for solid color fills and pattern fills within the range of 20% (quite transparent) to 100% (fully opaque). Patterns generally don’t need to be quite as opaque as solids to get the same visibility to underlying objects. By checking the </w:t>
      </w:r>
      <w:r w:rsidRPr="000665B0">
        <w:rPr>
          <w:b/>
          <w:szCs w:val="24"/>
        </w:rPr>
        <w:t>Make Area Fills Fully Opaque</w:t>
      </w:r>
      <w:r w:rsidRPr="000665B0">
        <w:rPr>
          <w:szCs w:val="24"/>
        </w:rPr>
        <w:t xml:space="preserve"> checkbox, fills can be made fully opaque, emulating earlier versions of the Geo Display, but this carries a risk of missing information beneath a filled area.</w:t>
      </w:r>
    </w:p>
    <w:p w14:paraId="4BF900B4" w14:textId="0A681AF9" w:rsidR="008325F3" w:rsidRPr="000665B0" w:rsidRDefault="0034125F" w:rsidP="009570CA">
      <w:pPr>
        <w:pStyle w:val="base"/>
        <w:spacing w:before="0" w:beforeAutospacing="0" w:after="120" w:afterAutospacing="0"/>
        <w:rPr>
          <w:rFonts w:ascii="Times New Roman" w:eastAsia="Times New Roman" w:hAnsi="Times New Roman" w:cs="Times New Roman"/>
          <w:szCs w:val="20"/>
        </w:rPr>
      </w:pPr>
      <w:r w:rsidRPr="000665B0">
        <w:rPr>
          <w:rFonts w:ascii="Times New Roman" w:eastAsia="Times New Roman" w:hAnsi="Times New Roman" w:cs="Times New Roman"/>
          <w:szCs w:val="20"/>
        </w:rPr>
        <w:t xml:space="preserve">Click the </w:t>
      </w:r>
      <w:r w:rsidRPr="000665B0">
        <w:rPr>
          <w:rFonts w:ascii="Times New Roman" w:eastAsia="Times New Roman" w:hAnsi="Times New Roman" w:cs="Times New Roman"/>
          <w:b/>
          <w:szCs w:val="20"/>
        </w:rPr>
        <w:t>Apply</w:t>
      </w:r>
      <w:r w:rsidRPr="000665B0">
        <w:rPr>
          <w:rFonts w:ascii="Times New Roman" w:eastAsia="Times New Roman" w:hAnsi="Times New Roman" w:cs="Times New Roman"/>
          <w:szCs w:val="20"/>
        </w:rPr>
        <w:t xml:space="preserve"> button to preview the effect of the </w:t>
      </w:r>
      <w:r w:rsidR="00BD4336" w:rsidRPr="000665B0">
        <w:rPr>
          <w:rFonts w:ascii="Times New Roman" w:eastAsia="Times New Roman" w:hAnsi="Times New Roman" w:cs="Times New Roman"/>
          <w:szCs w:val="20"/>
        </w:rPr>
        <w:t>settings or</w:t>
      </w:r>
      <w:r w:rsidRPr="000665B0">
        <w:rPr>
          <w:rFonts w:ascii="Times New Roman" w:eastAsia="Times New Roman" w:hAnsi="Times New Roman" w:cs="Times New Roman"/>
          <w:szCs w:val="20"/>
        </w:rPr>
        <w:t xml:space="preserve"> click the </w:t>
      </w:r>
      <w:r w:rsidRPr="000665B0">
        <w:rPr>
          <w:rFonts w:ascii="Times New Roman" w:eastAsia="Times New Roman" w:hAnsi="Times New Roman" w:cs="Times New Roman"/>
          <w:b/>
          <w:szCs w:val="20"/>
        </w:rPr>
        <w:t>OK</w:t>
      </w:r>
      <w:r w:rsidRPr="000665B0">
        <w:rPr>
          <w:rFonts w:ascii="Times New Roman" w:eastAsia="Times New Roman" w:hAnsi="Times New Roman" w:cs="Times New Roman"/>
          <w:szCs w:val="20"/>
        </w:rPr>
        <w:t xml:space="preserve"> button to immediately invoke the settings.</w:t>
      </w:r>
    </w:p>
    <w:p w14:paraId="3D974CE4" w14:textId="066E802B" w:rsidR="00270370" w:rsidRPr="000665B0" w:rsidRDefault="00270370" w:rsidP="009570CA">
      <w:pPr>
        <w:pStyle w:val="Heading4"/>
      </w:pPr>
      <w:bookmarkStart w:id="5347" w:name="_Configuring__Missile"/>
      <w:bookmarkEnd w:id="5347"/>
      <w:r w:rsidRPr="000665B0">
        <w:t>Configuring Missile Icon and Route Colors</w:t>
      </w:r>
    </w:p>
    <w:p w14:paraId="500166AE" w14:textId="1225D8FC" w:rsidR="00270370" w:rsidRPr="000665B0" w:rsidRDefault="00270370" w:rsidP="009570CA">
      <w:pPr>
        <w:tabs>
          <w:tab w:val="left" w:pos="720"/>
        </w:tabs>
      </w:pPr>
      <w:r w:rsidRPr="000665B0">
        <w:t xml:space="preserve">The missile icon color in the GOM and Geo pane for all missiles defaults to the color that was set in Strike Properties. (To change the default missile color to a different palette, see </w:t>
      </w:r>
      <w:hyperlink w:anchor="_Geo_Properties_1" w:history="1">
        <w:r w:rsidRPr="000665B0">
          <w:rPr>
            <w:rStyle w:val="Hyperlink"/>
          </w:rPr>
          <w:t xml:space="preserve">Section </w:t>
        </w:r>
        <w:r w:rsidR="004231CC">
          <w:rPr>
            <w:rStyle w:val="Hyperlink"/>
          </w:rPr>
          <w:t>5.34</w:t>
        </w:r>
        <w:r w:rsidRPr="000665B0">
          <w:rPr>
            <w:rStyle w:val="Hyperlink"/>
          </w:rPr>
          <w:t>.1.2.5</w:t>
        </w:r>
      </w:hyperlink>
      <w:r w:rsidRPr="000665B0">
        <w:t>)</w:t>
      </w:r>
      <w:r w:rsidR="0001776F">
        <w:t>.</w:t>
      </w:r>
      <w:r w:rsidRPr="000665B0">
        <w:t xml:space="preserve"> </w:t>
      </w:r>
    </w:p>
    <w:p w14:paraId="3EC759C2" w14:textId="77777777" w:rsidR="00270370" w:rsidRPr="000665B0" w:rsidRDefault="00270370" w:rsidP="009570CA">
      <w:pPr>
        <w:pStyle w:val="base"/>
        <w:spacing w:before="0" w:beforeAutospacing="0" w:after="120" w:afterAutospacing="0"/>
        <w:rPr>
          <w:rFonts w:ascii="Times New Roman" w:eastAsia="Batang" w:hAnsi="Times New Roman" w:cs="Times New Roman"/>
          <w:szCs w:val="20"/>
        </w:rPr>
      </w:pPr>
      <w:r w:rsidRPr="000665B0">
        <w:rPr>
          <w:rFonts w:ascii="Times New Roman" w:eastAsia="Batang" w:hAnsi="Times New Roman" w:cs="Times New Roman"/>
          <w:szCs w:val="20"/>
        </w:rPr>
        <w:t xml:space="preserve">For a maritime strike, the missile icon on the Geo pane contains a halo background color behind the icon ( </w:t>
      </w:r>
      <w:r w:rsidRPr="000665B0">
        <w:rPr>
          <w:rFonts w:ascii="Times New Roman" w:eastAsia="Batang" w:hAnsi="Times New Roman" w:cs="Times New Roman"/>
          <w:noProof/>
          <w:position w:val="-6"/>
          <w:szCs w:val="20"/>
        </w:rPr>
        <w:drawing>
          <wp:inline distT="0" distB="0" distL="0" distR="0" wp14:anchorId="416DE314" wp14:editId="2052D7A6">
            <wp:extent cx="208801" cy="198362"/>
            <wp:effectExtent l="0" t="0" r="1270" b="0"/>
            <wp:docPr id="1999" name="Picture 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17453" cy="206581"/>
                    </a:xfrm>
                    <a:prstGeom prst="rect">
                      <a:avLst/>
                    </a:prstGeom>
                  </pic:spPr>
                </pic:pic>
              </a:graphicData>
            </a:graphic>
          </wp:inline>
        </w:drawing>
      </w:r>
      <w:r w:rsidRPr="000665B0">
        <w:rPr>
          <w:rFonts w:ascii="Times New Roman" w:eastAsia="Batang" w:hAnsi="Times New Roman" w:cs="Times New Roman"/>
          <w:szCs w:val="20"/>
        </w:rPr>
        <w:t xml:space="preserve"> ). The halo color indicates the missile’s progress. </w:t>
      </w:r>
    </w:p>
    <w:p w14:paraId="7B93EE9D" w14:textId="60F1D6C4" w:rsidR="00270370" w:rsidRPr="000665B0" w:rsidRDefault="00270370" w:rsidP="009570CA">
      <w:pPr>
        <w:pStyle w:val="base"/>
        <w:spacing w:before="0" w:beforeAutospacing="0" w:after="120" w:afterAutospacing="0"/>
        <w:rPr>
          <w:rFonts w:ascii="Times New Roman" w:eastAsia="Batang" w:hAnsi="Times New Roman" w:cs="Times New Roman"/>
          <w:szCs w:val="20"/>
        </w:rPr>
      </w:pPr>
      <w:r w:rsidRPr="000665B0">
        <w:rPr>
          <w:rFonts w:ascii="Times New Roman" w:eastAsia="Batang" w:hAnsi="Times New Roman" w:cs="Times New Roman"/>
          <w:szCs w:val="20"/>
        </w:rPr>
        <w:t>To change the default missile halo color to a different palette:</w:t>
      </w:r>
    </w:p>
    <w:p w14:paraId="408D5DE5" w14:textId="77777777" w:rsidR="00E529F0" w:rsidRPr="000665B0" w:rsidRDefault="009C52BC" w:rsidP="006D5A65">
      <w:pPr>
        <w:pStyle w:val="Heading1"/>
      </w:pPr>
      <w:r w:rsidRPr="000665B0">
        <w:t xml:space="preserve">From the View menu, select Properties. The </w:t>
      </w:r>
      <w:r w:rsidRPr="000665B0">
        <w:rPr>
          <w:i/>
        </w:rPr>
        <w:t>MDS Geographic Display Configuration</w:t>
      </w:r>
      <w:r w:rsidRPr="000665B0">
        <w:t xml:space="preserve"> window is displayed</w:t>
      </w:r>
      <w:r w:rsidR="00E529F0" w:rsidRPr="000665B0">
        <w:t>.</w:t>
      </w:r>
    </w:p>
    <w:p w14:paraId="5F78EF86" w14:textId="73FFF5EB" w:rsidR="009C52BC" w:rsidRPr="000665B0" w:rsidRDefault="00E529F0" w:rsidP="009570CA">
      <w:pPr>
        <w:pStyle w:val="base"/>
        <w:spacing w:before="0" w:beforeAutospacing="0" w:after="120" w:afterAutospacing="0"/>
        <w:jc w:val="center"/>
        <w:rPr>
          <w:rFonts w:ascii="Times New Roman" w:eastAsia="Batang" w:hAnsi="Times New Roman" w:cs="Times New Roman"/>
          <w:szCs w:val="20"/>
        </w:rPr>
      </w:pPr>
      <w:r w:rsidRPr="000665B0">
        <w:rPr>
          <w:noProof/>
        </w:rPr>
        <w:drawing>
          <wp:inline distT="0" distB="0" distL="0" distR="0" wp14:anchorId="696366C7" wp14:editId="7E04F4F6">
            <wp:extent cx="3154680" cy="1984248"/>
            <wp:effectExtent l="0" t="0" r="0" b="0"/>
            <wp:docPr id="2006" name="Pict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984248"/>
                    </a:xfrm>
                    <a:prstGeom prst="rect">
                      <a:avLst/>
                    </a:prstGeom>
                  </pic:spPr>
                </pic:pic>
              </a:graphicData>
            </a:graphic>
          </wp:inline>
        </w:drawing>
      </w:r>
    </w:p>
    <w:p w14:paraId="38C91610" w14:textId="427CE705" w:rsidR="003C5ACF" w:rsidRPr="000665B0" w:rsidRDefault="00625D86" w:rsidP="006D5A65">
      <w:pPr>
        <w:pStyle w:val="Heading1"/>
      </w:pPr>
      <w:r w:rsidRPr="000665B0">
        <w:t xml:space="preserve">Select the </w:t>
      </w:r>
      <w:r w:rsidRPr="000665B0">
        <w:rPr>
          <w:i/>
        </w:rPr>
        <w:t>Geo Symbol</w:t>
      </w:r>
      <w:r w:rsidRPr="000665B0">
        <w:t xml:space="preserve"> tab.</w:t>
      </w:r>
    </w:p>
    <w:p w14:paraId="2C6824FF" w14:textId="02F3C075" w:rsidR="00B32085" w:rsidRPr="000665B0" w:rsidRDefault="00794D55" w:rsidP="009570CA">
      <w:pPr>
        <w:pStyle w:val="base"/>
        <w:spacing w:before="0" w:beforeAutospacing="0" w:after="120" w:afterAutospacing="0"/>
        <w:jc w:val="center"/>
        <w:rPr>
          <w:rFonts w:ascii="Times New Roman" w:eastAsia="Batang" w:hAnsi="Times New Roman" w:cs="Times New Roman"/>
          <w:szCs w:val="20"/>
        </w:rPr>
      </w:pPr>
      <w:r w:rsidRPr="000665B0">
        <w:rPr>
          <w:noProof/>
        </w:rPr>
        <w:drawing>
          <wp:inline distT="0" distB="0" distL="0" distR="0" wp14:anchorId="5B9F518C" wp14:editId="52F5711B">
            <wp:extent cx="3154680" cy="1984248"/>
            <wp:effectExtent l="0" t="0" r="0" b="0"/>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984248"/>
                    </a:xfrm>
                    <a:prstGeom prst="rect">
                      <a:avLst/>
                    </a:prstGeom>
                  </pic:spPr>
                </pic:pic>
              </a:graphicData>
            </a:graphic>
          </wp:inline>
        </w:drawing>
      </w:r>
    </w:p>
    <w:p w14:paraId="5C2AF05D" w14:textId="56DF6B5E" w:rsidR="00BB6053" w:rsidRPr="000665B0" w:rsidRDefault="00BB6053" w:rsidP="006D5A65">
      <w:pPr>
        <w:pStyle w:val="Heading1"/>
      </w:pPr>
      <w:r w:rsidRPr="000665B0">
        <w:lastRenderedPageBreak/>
        <w:t xml:space="preserve">Ensure that the Geo Symbol Configuration menu is expanded. Select the desired item and click the down arrow to expand the color palette. Select the Custom, Web (default), or System tab and then select the desired color from the </w:t>
      </w:r>
      <w:r w:rsidR="00BD4336" w:rsidRPr="000665B0">
        <w:t>pull-down</w:t>
      </w:r>
      <w:r w:rsidRPr="000665B0">
        <w:t xml:space="preserve"> menu.</w:t>
      </w:r>
    </w:p>
    <w:p w14:paraId="1D45746E" w14:textId="0994CD55" w:rsidR="00D32FE8" w:rsidRPr="000665B0" w:rsidRDefault="00D32FE8" w:rsidP="009570CA">
      <w:pPr>
        <w:pStyle w:val="base"/>
        <w:spacing w:before="0" w:beforeAutospacing="0" w:after="120" w:afterAutospacing="0"/>
        <w:jc w:val="center"/>
        <w:rPr>
          <w:rFonts w:ascii="Times New Roman" w:eastAsia="Batang" w:hAnsi="Times New Roman" w:cs="Times New Roman"/>
          <w:szCs w:val="20"/>
        </w:rPr>
      </w:pPr>
      <w:r w:rsidRPr="000665B0">
        <w:rPr>
          <w:noProof/>
        </w:rPr>
        <w:drawing>
          <wp:inline distT="0" distB="0" distL="0" distR="0" wp14:anchorId="47F25C14" wp14:editId="7E4E1468">
            <wp:extent cx="3154680" cy="2368296"/>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368296"/>
                    </a:xfrm>
                    <a:prstGeom prst="rect">
                      <a:avLst/>
                    </a:prstGeom>
                  </pic:spPr>
                </pic:pic>
              </a:graphicData>
            </a:graphic>
          </wp:inline>
        </w:drawing>
      </w:r>
    </w:p>
    <w:p w14:paraId="2C95F711" w14:textId="60F68236" w:rsidR="00BB6053" w:rsidRPr="000665B0" w:rsidRDefault="00BB6053" w:rsidP="006D5A65">
      <w:pPr>
        <w:pStyle w:val="Heading1"/>
      </w:pPr>
      <w:r w:rsidRPr="000665B0">
        <w:t>Click OK.</w:t>
      </w:r>
    </w:p>
    <w:p w14:paraId="177ABADE" w14:textId="77777777" w:rsidR="00B66017" w:rsidRPr="000665B0" w:rsidRDefault="00B66017" w:rsidP="009570CA">
      <w:pPr>
        <w:pStyle w:val="base"/>
        <w:spacing w:before="0" w:beforeAutospacing="0" w:after="120" w:afterAutospacing="0"/>
        <w:rPr>
          <w:rFonts w:ascii="Times New Roman" w:hAnsi="Times New Roman" w:cs="Times New Roman"/>
        </w:rPr>
      </w:pPr>
    </w:p>
    <w:p w14:paraId="3D4DFBF4" w14:textId="77777777" w:rsidR="00A316EA" w:rsidRDefault="00A316EA" w:rsidP="009570CA">
      <w:r>
        <w:br w:type="page"/>
      </w:r>
      <w:bookmarkStart w:id="5348" w:name="_Toc96170188"/>
      <w:bookmarkStart w:id="5349" w:name="_Toc96234233"/>
      <w:bookmarkStart w:id="5350" w:name="_Toc112733656"/>
      <w:bookmarkStart w:id="5351" w:name="_Toc289328726"/>
      <w:bookmarkStart w:id="5352" w:name="_Toc312331979"/>
      <w:bookmarkStart w:id="5353" w:name="_Toc214283431"/>
      <w:r w:rsidR="005D1A26" w:rsidRPr="000665B0">
        <w:lastRenderedPageBreak/>
        <w:t>THREAT TOOL</w:t>
      </w:r>
      <w:bookmarkEnd w:id="5231"/>
      <w:bookmarkEnd w:id="5348"/>
      <w:bookmarkEnd w:id="5349"/>
      <w:bookmarkEnd w:id="5350"/>
      <w:bookmarkEnd w:id="5351"/>
      <w:bookmarkEnd w:id="5352"/>
      <w:bookmarkEnd w:id="5353"/>
    </w:p>
    <w:p w14:paraId="6E491CBB" w14:textId="77777777" w:rsidR="00FE0570" w:rsidRPr="000665B0" w:rsidRDefault="00FE0570" w:rsidP="009570CA">
      <w:bookmarkStart w:id="5354" w:name="_Toc71955650"/>
      <w:bookmarkStart w:id="5355" w:name="_Toc96170193"/>
      <w:bookmarkStart w:id="5356" w:name="_Toc96234238"/>
      <w:bookmarkStart w:id="5357" w:name="_Toc112733661"/>
      <w:bookmarkStart w:id="5358" w:name="_Toc289328734"/>
      <w:bookmarkStart w:id="5359" w:name="_Toc312331984"/>
      <w:r w:rsidRPr="000665B0">
        <w:t>The Threat Tool is a listing of all manually created Threats and Realtime Threats. Keeping track of the Threats allows the operator to determine what Threats exist, what kinds of Threats there are, and where the Threats are located. This can aid the operator in a variety of ways such as Mission planning, Strike planning, Retargeting, etc. By knowing what Threats exist, in addition to where they are located, the operator gains a better understanding of what areas to avoid or target, and why.</w:t>
      </w:r>
    </w:p>
    <w:p w14:paraId="05E02ADF" w14:textId="5B2BC628" w:rsidR="00FE0570" w:rsidRPr="000665B0" w:rsidRDefault="00B008C3" w:rsidP="009570CA">
      <w:pPr>
        <w:spacing w:line="240" w:lineRule="auto"/>
      </w:pPr>
      <w:r w:rsidRPr="000665B0">
        <w:t>The Threat List View contains the listing of known Threats within TED. Threat site data can be</w:t>
      </w:r>
      <w:r w:rsidR="00FE0570" w:rsidRPr="000665B0">
        <w:t xml:space="preserve"> updated in one of three ways: manually by an operator using MDS, manually by an operator performing BCP processing using ISAT</w:t>
      </w:r>
      <w:r w:rsidR="00461624" w:rsidRPr="000665B0">
        <w:t>,</w:t>
      </w:r>
      <w:r w:rsidR="00FE0570" w:rsidRPr="000665B0">
        <w:t xml:space="preserve"> or discretely by the TED Distribution background process while performing threat distribution. </w:t>
      </w:r>
    </w:p>
    <w:p w14:paraId="03D96716" w14:textId="77777777" w:rsidR="00655DC9" w:rsidRPr="000665B0" w:rsidRDefault="00655DC9" w:rsidP="009570CA">
      <w:r w:rsidRPr="000665B0">
        <w:t>To display the Threats List View:</w:t>
      </w:r>
    </w:p>
    <w:p w14:paraId="465461B4" w14:textId="77777777" w:rsidR="00655DC9" w:rsidRPr="000665B0" w:rsidRDefault="00655DC9" w:rsidP="009570CA">
      <w:pPr>
        <w:pStyle w:val="Number0205"/>
        <w:ind w:left="720"/>
      </w:pPr>
      <w:r w:rsidRPr="000665B0">
        <w:t xml:space="preserve">From the </w:t>
      </w:r>
      <w:r w:rsidRPr="000665B0">
        <w:rPr>
          <w:b/>
        </w:rPr>
        <w:t>Go</w:t>
      </w:r>
      <w:r w:rsidRPr="000665B0">
        <w:t xml:space="preserve"> menu select </w:t>
      </w:r>
      <w:r w:rsidRPr="000665B0">
        <w:rPr>
          <w:b/>
        </w:rPr>
        <w:t>Threats</w:t>
      </w:r>
      <w:r w:rsidRPr="000665B0">
        <w:t>.</w:t>
      </w:r>
    </w:p>
    <w:p w14:paraId="2E34FE66" w14:textId="7CC34792" w:rsidR="00B3443A" w:rsidRPr="000665B0" w:rsidRDefault="00237F53" w:rsidP="009570CA">
      <w:pPr>
        <w:jc w:val="center"/>
      </w:pPr>
      <w:r w:rsidRPr="000665B0">
        <w:rPr>
          <w:noProof/>
        </w:rPr>
        <w:drawing>
          <wp:inline distT="0" distB="0" distL="0" distR="0" wp14:anchorId="3BBBB1ED" wp14:editId="2097B76C">
            <wp:extent cx="6146292" cy="1127760"/>
            <wp:effectExtent l="0" t="0" r="0" b="0"/>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6151843" cy="1128779"/>
                    </a:xfrm>
                    <a:prstGeom prst="rect">
                      <a:avLst/>
                    </a:prstGeom>
                  </pic:spPr>
                </pic:pic>
              </a:graphicData>
            </a:graphic>
          </wp:inline>
        </w:drawing>
      </w:r>
    </w:p>
    <w:p w14:paraId="421057E3" w14:textId="77777777" w:rsidR="00B3443A" w:rsidRPr="000665B0" w:rsidRDefault="00B3443A" w:rsidP="009570CA">
      <w:pPr>
        <w:spacing w:line="240" w:lineRule="auto"/>
        <w:rPr>
          <w:b/>
          <w:i/>
        </w:rPr>
      </w:pPr>
      <w:r w:rsidRPr="000665B0">
        <w:rPr>
          <w:b/>
          <w:i/>
        </w:rPr>
        <w:t>Threats List View</w:t>
      </w:r>
    </w:p>
    <w:p w14:paraId="08086839" w14:textId="77777777" w:rsidR="00FE0570" w:rsidRPr="000665B0" w:rsidRDefault="00FE0570" w:rsidP="006D5A65">
      <w:pPr>
        <w:pStyle w:val="Heading1"/>
      </w:pPr>
      <w:r w:rsidRPr="000665B0">
        <w:t>Columns</w:t>
      </w:r>
    </w:p>
    <w:p w14:paraId="4593147E" w14:textId="77777777" w:rsidR="00FE0570" w:rsidRPr="000665B0" w:rsidRDefault="00FE0570" w:rsidP="006D5A65">
      <w:pPr>
        <w:pStyle w:val="Heading2"/>
      </w:pPr>
      <w:r w:rsidRPr="000665B0">
        <w:t>Creation Source – Source/system which created the Threat.</w:t>
      </w:r>
    </w:p>
    <w:p w14:paraId="3686120C" w14:textId="77777777" w:rsidR="00FE0570" w:rsidRPr="000665B0" w:rsidRDefault="00FE0570" w:rsidP="006D5A65">
      <w:pPr>
        <w:pStyle w:val="Heading2"/>
      </w:pPr>
      <w:r w:rsidRPr="000665B0">
        <w:t>Last Modified Source – Source/system which last modified the Threat’s information.</w:t>
      </w:r>
    </w:p>
    <w:p w14:paraId="506F1BE4" w14:textId="68AECB92" w:rsidR="00FE0570" w:rsidRPr="000665B0" w:rsidRDefault="00FE0570" w:rsidP="006D5A65">
      <w:pPr>
        <w:pStyle w:val="Heading2"/>
      </w:pPr>
      <w:r w:rsidRPr="000665B0">
        <w:rPr>
          <w:bCs/>
        </w:rPr>
        <w:t xml:space="preserve">BE </w:t>
      </w:r>
      <w:r w:rsidRPr="000665B0">
        <w:t xml:space="preserve">– Basic Encyclopedia; An identified installation of potential significance as objectives for attack. </w:t>
      </w:r>
    </w:p>
    <w:p w14:paraId="518DE93F" w14:textId="77777777" w:rsidR="00FE0570" w:rsidRPr="000665B0" w:rsidRDefault="00FE0570" w:rsidP="006D5A65">
      <w:pPr>
        <w:pStyle w:val="Heading2"/>
      </w:pPr>
      <w:r w:rsidRPr="000665B0">
        <w:t>OSuffix – Five-character suffix which in conjunction with a BE, uniquely identifies a facility or demographic area.</w:t>
      </w:r>
    </w:p>
    <w:p w14:paraId="4C39F38C" w14:textId="77777777" w:rsidR="00FE0570" w:rsidRPr="000665B0" w:rsidRDefault="00FE0570" w:rsidP="006D5A65">
      <w:pPr>
        <w:pStyle w:val="Heading2"/>
      </w:pPr>
      <w:r w:rsidRPr="000665B0">
        <w:t>Latitude – The latitude coordinate for the location of the Threat.</w:t>
      </w:r>
    </w:p>
    <w:p w14:paraId="66411DA5" w14:textId="77777777" w:rsidR="00FE0570" w:rsidRPr="000665B0" w:rsidRDefault="00FE0570" w:rsidP="006D5A65">
      <w:pPr>
        <w:pStyle w:val="Heading2"/>
      </w:pPr>
      <w:r w:rsidRPr="000665B0">
        <w:t>Longitude – The longitude coordinate for the location of the Threat.</w:t>
      </w:r>
    </w:p>
    <w:p w14:paraId="6B1B3056" w14:textId="77777777" w:rsidR="00FE0570" w:rsidRPr="000665B0" w:rsidRDefault="00FE0570" w:rsidP="006D5A65">
      <w:pPr>
        <w:pStyle w:val="Heading2"/>
      </w:pPr>
      <w:r w:rsidRPr="000665B0">
        <w:t>Facility Name – The standard MIDB name used for the facility.</w:t>
      </w:r>
    </w:p>
    <w:p w14:paraId="0D1A3494" w14:textId="77777777" w:rsidR="00FE0570" w:rsidRPr="000665B0" w:rsidRDefault="00FE0570" w:rsidP="006D5A65">
      <w:pPr>
        <w:pStyle w:val="Heading2"/>
      </w:pPr>
      <w:r w:rsidRPr="000665B0">
        <w:t>Creation DTG – The date when the Threat was created.</w:t>
      </w:r>
    </w:p>
    <w:p w14:paraId="415FC371" w14:textId="77777777" w:rsidR="00FE0570" w:rsidRPr="000665B0" w:rsidRDefault="00FE0570" w:rsidP="006D5A65">
      <w:pPr>
        <w:pStyle w:val="Heading2"/>
      </w:pPr>
      <w:r w:rsidRPr="000665B0">
        <w:lastRenderedPageBreak/>
        <w:t>Last Modified DTG – The date when the Threat was modified.</w:t>
      </w:r>
    </w:p>
    <w:p w14:paraId="11D9B04D" w14:textId="147B50DA" w:rsidR="00FE0570" w:rsidRPr="000665B0" w:rsidRDefault="00FE0570" w:rsidP="006D5A65">
      <w:pPr>
        <w:pStyle w:val="Heading2"/>
      </w:pPr>
      <w:r w:rsidRPr="000665B0">
        <w:t xml:space="preserve">Category – A </w:t>
      </w:r>
      <w:r w:rsidR="00FF4831" w:rsidRPr="000665B0">
        <w:t>five-digit</w:t>
      </w:r>
      <w:r w:rsidRPr="000665B0">
        <w:t xml:space="preserve"> number used in functional intelligence databases for describing characteristics of the </w:t>
      </w:r>
      <w:r w:rsidR="00877D11" w:rsidRPr="000665B0">
        <w:t>Threat.</w:t>
      </w:r>
    </w:p>
    <w:p w14:paraId="674D432D" w14:textId="52B1658C" w:rsidR="00FE0570" w:rsidRPr="000665B0" w:rsidRDefault="00FE0570" w:rsidP="006D5A65">
      <w:pPr>
        <w:pStyle w:val="Heading2"/>
      </w:pPr>
      <w:r w:rsidRPr="000665B0">
        <w:t>Country</w:t>
      </w:r>
      <w:r w:rsidR="002B0C1F" w:rsidRPr="000665B0">
        <w:t xml:space="preserve"> </w:t>
      </w:r>
      <w:r w:rsidRPr="000665B0">
        <w:t xml:space="preserve">– The standard </w:t>
      </w:r>
      <w:r w:rsidR="00542DE2" w:rsidRPr="000665B0">
        <w:t xml:space="preserve">Country Code </w:t>
      </w:r>
      <w:r w:rsidR="002B0C1F" w:rsidRPr="000665B0">
        <w:t xml:space="preserve">and country name </w:t>
      </w:r>
      <w:r w:rsidRPr="000665B0">
        <w:t xml:space="preserve">from the </w:t>
      </w:r>
      <w:r w:rsidR="00542DE2" w:rsidRPr="000665B0">
        <w:rPr>
          <w:szCs w:val="24"/>
        </w:rPr>
        <w:t>CountryDB</w:t>
      </w:r>
      <w:r w:rsidR="00542DE2" w:rsidRPr="000665B0">
        <w:t xml:space="preserve"> </w:t>
      </w:r>
      <w:r w:rsidRPr="000665B0">
        <w:t>that identifies the country where the target is located.</w:t>
      </w:r>
      <w:r w:rsidR="00542DE2" w:rsidRPr="000665B0">
        <w:t xml:space="preserve"> </w:t>
      </w:r>
      <w:r w:rsidR="00E16DAF" w:rsidRPr="000665B0">
        <w:t xml:space="preserve">For information about the selection and display of Country Codes and country names during system operation, see </w:t>
      </w:r>
      <w:hyperlink w:anchor="_Appendix_C__Country_Codes__(SORTED__1" w:history="1">
        <w:r w:rsidR="00E16DAF" w:rsidRPr="000665B0">
          <w:rPr>
            <w:rStyle w:val="Hyperlink"/>
          </w:rPr>
          <w:t>Appendix C</w:t>
        </w:r>
      </w:hyperlink>
      <w:r w:rsidR="00E16DAF" w:rsidRPr="000665B0">
        <w:t>.</w:t>
      </w:r>
    </w:p>
    <w:p w14:paraId="1A1700F3" w14:textId="3A70401A" w:rsidR="00FE0570" w:rsidRPr="000665B0" w:rsidRDefault="00FE0570" w:rsidP="006D5A65">
      <w:pPr>
        <w:pStyle w:val="Heading2"/>
      </w:pPr>
      <w:r w:rsidRPr="000665B0">
        <w:t>Pin – The identifier of a specific target, using the electronic site/set (PIN) numbering system.</w:t>
      </w:r>
    </w:p>
    <w:p w14:paraId="7F8C1775" w14:textId="7F580919" w:rsidR="00FE0570" w:rsidRPr="000665B0" w:rsidRDefault="00FE0570" w:rsidP="006D5A65">
      <w:pPr>
        <w:pStyle w:val="Heading2"/>
      </w:pPr>
      <w:r w:rsidRPr="000665B0">
        <w:t>Weapons System</w:t>
      </w:r>
      <w:r w:rsidR="00237F53" w:rsidRPr="000665B0">
        <w:t xml:space="preserve"> </w:t>
      </w:r>
      <w:r w:rsidRPr="000665B0">
        <w:t>– The standard or generic type/name/number of a specific ordnance/weapon.</w:t>
      </w:r>
    </w:p>
    <w:p w14:paraId="6B61995F" w14:textId="0B4D5C76" w:rsidR="00FE1A9C" w:rsidRPr="000665B0" w:rsidRDefault="00FE1A9C" w:rsidP="006D5A65">
      <w:pPr>
        <w:pStyle w:val="Heading2"/>
      </w:pPr>
      <w:r w:rsidRPr="000665B0">
        <w:t>Processed Data Exists – Indicates whether TPS has processed the Threat data.</w:t>
      </w:r>
    </w:p>
    <w:p w14:paraId="3C6CD1A6" w14:textId="77777777" w:rsidR="00FE0570" w:rsidRPr="000665B0" w:rsidRDefault="00FE0570" w:rsidP="006D5A65">
      <w:pPr>
        <w:pStyle w:val="Heading1"/>
      </w:pPr>
      <w:r w:rsidRPr="000665B0">
        <w:t>Context Menu</w:t>
      </w:r>
    </w:p>
    <w:p w14:paraId="429A8C68" w14:textId="0DC335C4" w:rsidR="00DB0CDF" w:rsidRPr="000665B0" w:rsidRDefault="00DB0CDF" w:rsidP="006D5A65">
      <w:pPr>
        <w:pStyle w:val="Heading2"/>
        <w:rPr>
          <w:rFonts w:eastAsia="Arial Unicode MS"/>
        </w:rPr>
      </w:pPr>
      <w:r w:rsidRPr="000665B0">
        <w:rPr>
          <w:rFonts w:eastAsia="Arial Unicode MS"/>
        </w:rPr>
        <w:t xml:space="preserve">New – </w:t>
      </w:r>
      <w:r w:rsidRPr="000665B0">
        <w:t xml:space="preserve">Invokes the </w:t>
      </w:r>
      <w:r w:rsidRPr="000665B0">
        <w:rPr>
          <w:i/>
        </w:rPr>
        <w:t>New Threat</w:t>
      </w:r>
      <w:r w:rsidRPr="000665B0">
        <w:t xml:space="preserve"> window.</w:t>
      </w:r>
    </w:p>
    <w:p w14:paraId="35B3A7BE" w14:textId="77777777" w:rsidR="00FE0570" w:rsidRPr="000665B0" w:rsidRDefault="00FE0570" w:rsidP="006D5A65">
      <w:pPr>
        <w:pStyle w:val="Heading2"/>
      </w:pPr>
      <w:r w:rsidRPr="000665B0">
        <w:t>Display</w:t>
      </w:r>
    </w:p>
    <w:p w14:paraId="48370714" w14:textId="77777777" w:rsidR="00FE0570" w:rsidRPr="000665B0" w:rsidRDefault="00FE0570" w:rsidP="006D5A65">
      <w:pPr>
        <w:pStyle w:val="Heading3"/>
        <w:rPr>
          <w:rFonts w:eastAsia="Arial Unicode MS"/>
        </w:rPr>
      </w:pPr>
      <w:r w:rsidRPr="000665B0">
        <w:rPr>
          <w:rFonts w:eastAsia="Arial Unicode MS"/>
        </w:rPr>
        <w:t xml:space="preserve">Textually </w:t>
      </w:r>
      <w:r w:rsidRPr="000665B0">
        <w:t>– Displays the textual view of the selected Threat(s).</w:t>
      </w:r>
    </w:p>
    <w:p w14:paraId="0217690E" w14:textId="77777777" w:rsidR="00FE0570" w:rsidRPr="000665B0" w:rsidRDefault="00FE0570" w:rsidP="006D5A65">
      <w:pPr>
        <w:pStyle w:val="Heading3"/>
      </w:pPr>
      <w:r w:rsidRPr="000665B0">
        <w:t>Geographically – Displays the selected Threat(s) geographically.</w:t>
      </w:r>
    </w:p>
    <w:p w14:paraId="5725E8F2" w14:textId="22A6DE88" w:rsidR="00FE0570" w:rsidRPr="000665B0" w:rsidRDefault="00FE0570" w:rsidP="006D5A65">
      <w:pPr>
        <w:pStyle w:val="Heading3"/>
      </w:pPr>
      <w:r w:rsidRPr="000665B0">
        <w:t xml:space="preserve">References – Displays </w:t>
      </w:r>
      <w:r w:rsidR="009136BE" w:rsidRPr="000665B0">
        <w:t>a reference</w:t>
      </w:r>
      <w:r w:rsidRPr="000665B0">
        <w:t xml:space="preserve"> window showing what other data in MDS is referencing the selected Threat(s).</w:t>
      </w:r>
    </w:p>
    <w:p w14:paraId="646661DB" w14:textId="77777777" w:rsidR="00FE0570" w:rsidRPr="000665B0" w:rsidRDefault="00FE0570" w:rsidP="006D5A65">
      <w:pPr>
        <w:pStyle w:val="Heading3"/>
        <w:rPr>
          <w:rFonts w:eastAsia="Arial Unicode MS"/>
        </w:rPr>
      </w:pPr>
      <w:r w:rsidRPr="000665B0">
        <w:rPr>
          <w:rFonts w:eastAsia="Arial Unicode MS"/>
        </w:rPr>
        <w:t xml:space="preserve">in Excel – </w:t>
      </w:r>
      <w:r w:rsidRPr="000665B0">
        <w:t>Displays an Excel document containing the selected Threat’s information.</w:t>
      </w:r>
    </w:p>
    <w:p w14:paraId="46C50C83" w14:textId="3F1E6F08" w:rsidR="006E6FA5" w:rsidRPr="000665B0" w:rsidRDefault="006E6FA5" w:rsidP="006D5A65">
      <w:pPr>
        <w:pStyle w:val="Heading2"/>
        <w:rPr>
          <w:rFonts w:eastAsia="Arial Unicode MS"/>
        </w:rPr>
      </w:pPr>
      <w:r w:rsidRPr="000665B0">
        <w:rPr>
          <w:rFonts w:eastAsia="Arial Unicode MS"/>
        </w:rPr>
        <w:t xml:space="preserve">Create TED Library… – </w:t>
      </w:r>
      <w:r w:rsidR="00B008C3" w:rsidRPr="000665B0">
        <w:t>This type of library is able to accept different types of</w:t>
      </w:r>
      <w:r w:rsidRPr="000665B0">
        <w:t xml:space="preserve"> data; instead of being restricted to a single data type as in the other MDS Libraries. </w:t>
      </w:r>
      <w:r w:rsidR="00B008C3" w:rsidRPr="000665B0">
        <w:t xml:space="preserve">For information on creating a TED Library see </w:t>
      </w:r>
      <w:hyperlink w:anchor="_5.13.1.1__New" w:history="1">
        <w:r w:rsidR="00B008C3" w:rsidRPr="000665B0">
          <w:rPr>
            <w:rStyle w:val="Hyperlink"/>
          </w:rPr>
          <w:t>Section 5.</w:t>
        </w:r>
        <w:r w:rsidR="00C77A5E" w:rsidRPr="000665B0">
          <w:rPr>
            <w:rStyle w:val="Hyperlink"/>
          </w:rPr>
          <w:t>12</w:t>
        </w:r>
        <w:r w:rsidR="00B008C3" w:rsidRPr="000665B0">
          <w:rPr>
            <w:rStyle w:val="Hyperlink"/>
          </w:rPr>
          <w:t>.1.1</w:t>
        </w:r>
      </w:hyperlink>
      <w:r w:rsidR="00B008C3" w:rsidRPr="000665B0">
        <w:t>.</w:t>
      </w:r>
    </w:p>
    <w:p w14:paraId="107DE465" w14:textId="77777777" w:rsidR="00FE0570" w:rsidRPr="000665B0" w:rsidRDefault="00FE0570" w:rsidP="006D5A65">
      <w:pPr>
        <w:pStyle w:val="Heading2"/>
        <w:rPr>
          <w:rFonts w:eastAsia="Arial Unicode MS"/>
        </w:rPr>
      </w:pPr>
      <w:r w:rsidRPr="000665B0">
        <w:rPr>
          <w:rFonts w:eastAsia="Arial Unicode MS"/>
        </w:rPr>
        <w:t>Send…</w:t>
      </w:r>
      <w:r w:rsidRPr="000665B0">
        <w:t xml:space="preserve"> – Displays a new DDO Template with the selected Threat(s) pre-populated in the Threats tab.</w:t>
      </w:r>
    </w:p>
    <w:p w14:paraId="48AFB242" w14:textId="77777777" w:rsidR="00FE0570" w:rsidRPr="000665B0" w:rsidRDefault="00FE0570" w:rsidP="006D5A65">
      <w:pPr>
        <w:pStyle w:val="Heading2"/>
      </w:pPr>
      <w:r w:rsidRPr="000665B0">
        <w:t>Print… – Print the selected Threat’s list information.</w:t>
      </w:r>
    </w:p>
    <w:p w14:paraId="17567754" w14:textId="6A684700" w:rsidR="00FE0570" w:rsidRPr="000665B0" w:rsidRDefault="00FE0570" w:rsidP="006D5A65">
      <w:pPr>
        <w:pStyle w:val="Heading2"/>
      </w:pPr>
      <w:r w:rsidRPr="000665B0">
        <w:rPr>
          <w:rFonts w:eastAsia="Arial Unicode MS"/>
        </w:rPr>
        <w:lastRenderedPageBreak/>
        <w:t xml:space="preserve">Delete </w:t>
      </w:r>
      <w:r w:rsidRPr="000665B0">
        <w:t>–</w:t>
      </w:r>
      <w:r w:rsidRPr="000665B0">
        <w:rPr>
          <w:rFonts w:eastAsia="Arial Unicode MS"/>
        </w:rPr>
        <w:t xml:space="preserve"> </w:t>
      </w:r>
      <w:r w:rsidRPr="000665B0">
        <w:t xml:space="preserve">Delete the selected Threat(s). A </w:t>
      </w:r>
      <w:r w:rsidR="009136BE" w:rsidRPr="000665B0">
        <w:t>r</w:t>
      </w:r>
      <w:r w:rsidRPr="000665B0">
        <w:t>eference window will be displayed if the selected Threats are referenced by another tool.</w:t>
      </w:r>
    </w:p>
    <w:p w14:paraId="6B2C93D3" w14:textId="32057871" w:rsidR="00FE0570" w:rsidRPr="000665B0" w:rsidRDefault="00FE0570" w:rsidP="009570CA">
      <w:pPr>
        <w:pStyle w:val="Heading3"/>
      </w:pPr>
      <w:bookmarkStart w:id="5360" w:name="_Toc214283432"/>
      <w:r w:rsidRPr="000665B0">
        <w:t>Display Textually</w:t>
      </w:r>
      <w:bookmarkEnd w:id="5360"/>
    </w:p>
    <w:p w14:paraId="282FFC57" w14:textId="77777777" w:rsidR="00FE0570" w:rsidRPr="000665B0" w:rsidRDefault="00FE0570" w:rsidP="009570CA">
      <w:pPr>
        <w:keepNext/>
      </w:pPr>
      <w:r w:rsidRPr="000665B0">
        <w:t>Allows for the textual display and editing of threats.</w:t>
      </w:r>
    </w:p>
    <w:p w14:paraId="53F064A7" w14:textId="6F61F43F" w:rsidR="00FE0570" w:rsidRPr="000665B0" w:rsidRDefault="00237F53" w:rsidP="009570CA">
      <w:pPr>
        <w:jc w:val="center"/>
      </w:pPr>
      <w:r w:rsidRPr="000665B0">
        <w:rPr>
          <w:noProof/>
        </w:rPr>
        <w:drawing>
          <wp:inline distT="0" distB="0" distL="0" distR="0" wp14:anchorId="3F1C784F" wp14:editId="0E328C43">
            <wp:extent cx="4572000" cy="3191256"/>
            <wp:effectExtent l="0" t="0" r="0" b="9525"/>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3191256"/>
                    </a:xfrm>
                    <a:prstGeom prst="rect">
                      <a:avLst/>
                    </a:prstGeom>
                  </pic:spPr>
                </pic:pic>
              </a:graphicData>
            </a:graphic>
          </wp:inline>
        </w:drawing>
      </w:r>
    </w:p>
    <w:p w14:paraId="48524CB5" w14:textId="77777777" w:rsidR="00FE0570" w:rsidRPr="000665B0" w:rsidRDefault="00FE0570" w:rsidP="009570CA">
      <w:pPr>
        <w:pStyle w:val="bullet2"/>
        <w:spacing w:before="0" w:beforeAutospacing="0" w:after="120" w:afterAutospacing="0"/>
        <w:rPr>
          <w:rFonts w:ascii="Times New Roman" w:hAnsi="Times New Roman" w:cs="Times New Roman"/>
          <w:b/>
          <w:i/>
        </w:rPr>
      </w:pPr>
      <w:r w:rsidRPr="000665B0">
        <w:rPr>
          <w:rFonts w:ascii="Times New Roman" w:hAnsi="Times New Roman" w:cs="Times New Roman"/>
          <w:b/>
          <w:i/>
        </w:rPr>
        <w:t>Threat Textual View</w:t>
      </w:r>
    </w:p>
    <w:p w14:paraId="1855A721" w14:textId="77777777" w:rsidR="00FE0570" w:rsidRPr="000665B0" w:rsidRDefault="00FE0570" w:rsidP="009570CA">
      <w:pPr>
        <w:pStyle w:val="bullet2"/>
        <w:spacing w:before="0" w:beforeAutospacing="0" w:after="120" w:afterAutospacing="0"/>
        <w:rPr>
          <w:rFonts w:ascii="Times New Roman" w:hAnsi="Times New Roman" w:cs="Times New Roman"/>
        </w:rPr>
      </w:pPr>
      <w:r w:rsidRPr="000665B0">
        <w:rPr>
          <w:rFonts w:ascii="Times New Roman" w:hAnsi="Times New Roman" w:cs="Times New Roman"/>
        </w:rPr>
        <w:t>The Threat Textual View contains the following information:</w:t>
      </w:r>
    </w:p>
    <w:p w14:paraId="28F95BA1" w14:textId="77777777" w:rsidR="00FE0570" w:rsidRPr="000665B0" w:rsidRDefault="00FE0570" w:rsidP="006D5A65">
      <w:pPr>
        <w:pStyle w:val="Heading2"/>
      </w:pPr>
      <w:r w:rsidRPr="000665B0">
        <w:t>Creation Source (Read-Only) – Source/system which created the Threat.</w:t>
      </w:r>
    </w:p>
    <w:p w14:paraId="013D03A3" w14:textId="1BE411F2" w:rsidR="00FE0570" w:rsidRPr="000665B0" w:rsidRDefault="00FE0570" w:rsidP="006D5A65">
      <w:pPr>
        <w:pStyle w:val="Heading2"/>
      </w:pPr>
      <w:r w:rsidRPr="000665B0">
        <w:t xml:space="preserve">Last Modified Source (Read-Only) </w:t>
      </w:r>
      <w:r w:rsidR="00237F53" w:rsidRPr="000665B0">
        <w:t xml:space="preserve">– </w:t>
      </w:r>
      <w:r w:rsidRPr="000665B0">
        <w:t>Source/system which last modified the Threat’s information.</w:t>
      </w:r>
    </w:p>
    <w:p w14:paraId="1CC13705" w14:textId="17912A89" w:rsidR="00FE0570" w:rsidRPr="000665B0" w:rsidRDefault="00FE0570" w:rsidP="006D5A65">
      <w:pPr>
        <w:pStyle w:val="Heading2"/>
      </w:pPr>
      <w:r w:rsidRPr="000665B0">
        <w:t xml:space="preserve">Creation DTG (Read-Only) </w:t>
      </w:r>
      <w:r w:rsidR="00237F53" w:rsidRPr="000665B0">
        <w:t xml:space="preserve">– </w:t>
      </w:r>
      <w:r w:rsidRPr="000665B0">
        <w:t>The date when the Threat was created.</w:t>
      </w:r>
    </w:p>
    <w:p w14:paraId="3B687423" w14:textId="37199765" w:rsidR="00FE0570" w:rsidRPr="000665B0" w:rsidRDefault="00FE0570" w:rsidP="006D5A65">
      <w:pPr>
        <w:pStyle w:val="Heading2"/>
      </w:pPr>
      <w:r w:rsidRPr="000665B0">
        <w:t xml:space="preserve">Last Modified DTG (Read-Only) </w:t>
      </w:r>
      <w:r w:rsidR="00237F53" w:rsidRPr="000665B0">
        <w:t xml:space="preserve">– </w:t>
      </w:r>
      <w:r w:rsidR="00B008C3" w:rsidRPr="000665B0">
        <w:t>The date when the Threat was last modified.</w:t>
      </w:r>
    </w:p>
    <w:p w14:paraId="313C4655" w14:textId="59D96CCC" w:rsidR="00FE0570" w:rsidRPr="000665B0" w:rsidRDefault="00FE0570" w:rsidP="006D5A65">
      <w:pPr>
        <w:pStyle w:val="Heading2"/>
      </w:pPr>
      <w:r w:rsidRPr="000665B0">
        <w:rPr>
          <w:bCs/>
        </w:rPr>
        <w:t xml:space="preserve">BE </w:t>
      </w:r>
      <w:r w:rsidRPr="000665B0">
        <w:t xml:space="preserve">(Required) – Basic </w:t>
      </w:r>
      <w:r w:rsidR="0074450A" w:rsidRPr="000665B0">
        <w:t>Encyclopedia,</w:t>
      </w:r>
      <w:r w:rsidRPr="000665B0">
        <w:t xml:space="preserve"> An identified installation of potential significance as objectives for attack. </w:t>
      </w:r>
    </w:p>
    <w:p w14:paraId="70630457" w14:textId="77777777" w:rsidR="00FE0570" w:rsidRPr="000665B0" w:rsidRDefault="00FE0570" w:rsidP="006D5A65">
      <w:pPr>
        <w:pStyle w:val="Heading2"/>
      </w:pPr>
      <w:r w:rsidRPr="000665B0">
        <w:lastRenderedPageBreak/>
        <w:t>OSuffix (Required) – Five-character suffix which in conjunction with a BE, uniquely identifies a facility or demographic area.</w:t>
      </w:r>
    </w:p>
    <w:p w14:paraId="21AA792A" w14:textId="77777777" w:rsidR="00FE0570" w:rsidRPr="000665B0" w:rsidRDefault="00FE0570" w:rsidP="006D5A65">
      <w:pPr>
        <w:pStyle w:val="Heading2"/>
      </w:pPr>
      <w:r w:rsidRPr="000665B0">
        <w:t>Defense Degrade Factor (Required) – The percentage of effectiveness of the Threat site defense degradation.</w:t>
      </w:r>
    </w:p>
    <w:p w14:paraId="23F707F7" w14:textId="052FB165" w:rsidR="00FE0570" w:rsidRPr="000665B0" w:rsidRDefault="00FE0570" w:rsidP="006D5A65">
      <w:pPr>
        <w:pStyle w:val="Heading2"/>
      </w:pPr>
      <w:r w:rsidRPr="000665B0">
        <w:t xml:space="preserve">Category Code (Required) – A </w:t>
      </w:r>
      <w:r w:rsidR="0074450A" w:rsidRPr="000665B0">
        <w:t>five-digit</w:t>
      </w:r>
      <w:r w:rsidRPr="000665B0">
        <w:t xml:space="preserve"> number used in functional intelligence databases for describing characteristics of the Threat</w:t>
      </w:r>
      <w:r w:rsidR="00866BEC" w:rsidRPr="000665B0">
        <w:t>.</w:t>
      </w:r>
    </w:p>
    <w:p w14:paraId="56F9620D" w14:textId="77777777" w:rsidR="00FE0570" w:rsidRPr="000665B0" w:rsidRDefault="00FE0570" w:rsidP="006D5A65">
      <w:pPr>
        <w:pStyle w:val="Heading2"/>
      </w:pPr>
      <w:r w:rsidRPr="000665B0">
        <w:t>Facility Name (</w:t>
      </w:r>
      <w:r w:rsidR="009051A7" w:rsidRPr="000665B0">
        <w:t>Required</w:t>
      </w:r>
      <w:r w:rsidRPr="000665B0">
        <w:t>) – The standard MIDB name used for the facility.</w:t>
      </w:r>
    </w:p>
    <w:p w14:paraId="383365F7" w14:textId="77777777" w:rsidR="00FE0570" w:rsidRPr="000665B0" w:rsidRDefault="00FE0570" w:rsidP="006D5A65">
      <w:pPr>
        <w:pStyle w:val="Heading2"/>
      </w:pPr>
      <w:r w:rsidRPr="000665B0">
        <w:t>Weapons System (Optional) – The standard or generic type/name/number of a specific ordnance/weapon.</w:t>
      </w:r>
    </w:p>
    <w:p w14:paraId="26DB7505" w14:textId="77777777" w:rsidR="00FE0570" w:rsidRPr="000665B0" w:rsidRDefault="00FE0570" w:rsidP="006D5A65">
      <w:pPr>
        <w:pStyle w:val="Heading2"/>
      </w:pPr>
      <w:r w:rsidRPr="000665B0">
        <w:t>Activity (Optional) – Indicates what type of activity that the Threat may be performing.</w:t>
      </w:r>
    </w:p>
    <w:p w14:paraId="4C2514D0" w14:textId="77777777" w:rsidR="00FE0570" w:rsidRPr="000665B0" w:rsidRDefault="00FE0570" w:rsidP="006D5A65">
      <w:pPr>
        <w:pStyle w:val="Heading2"/>
      </w:pPr>
      <w:r w:rsidRPr="000665B0">
        <w:t>Operational Status (Optional) – Indicates whether or not the Threat is operational in addition to when it may be.</w:t>
      </w:r>
    </w:p>
    <w:p w14:paraId="459C3ACA" w14:textId="5C263C98" w:rsidR="00FE0570" w:rsidRPr="000665B0" w:rsidRDefault="00FE0570" w:rsidP="006D5A65">
      <w:pPr>
        <w:pStyle w:val="Heading2"/>
      </w:pPr>
      <w:r w:rsidRPr="000665B0">
        <w:t>Country (Optional) –</w:t>
      </w:r>
      <w:r w:rsidR="00554DE6" w:rsidRPr="000665B0">
        <w:t xml:space="preserve"> </w:t>
      </w:r>
      <w:r w:rsidR="002B0C1F" w:rsidRPr="000665B0">
        <w:t xml:space="preserve">The standard Country Code and country name from the </w:t>
      </w:r>
      <w:r w:rsidR="002B0C1F" w:rsidRPr="000665B0">
        <w:rPr>
          <w:szCs w:val="24"/>
        </w:rPr>
        <w:t>CountryDB</w:t>
      </w:r>
      <w:r w:rsidR="002B0C1F" w:rsidRPr="000665B0">
        <w:t xml:space="preserve"> that identifies the country where the target is located. </w:t>
      </w:r>
      <w:r w:rsidR="00E16DAF" w:rsidRPr="000665B0">
        <w:t xml:space="preserve">For information about the selection and display of Country Codes and country names during system operation, see </w:t>
      </w:r>
      <w:hyperlink w:anchor="_Appendix_C__Country_Codes__(SORTED__1" w:history="1">
        <w:r w:rsidR="00E16DAF" w:rsidRPr="000665B0">
          <w:rPr>
            <w:rStyle w:val="Hyperlink"/>
          </w:rPr>
          <w:t>Appendix C</w:t>
        </w:r>
      </w:hyperlink>
      <w:r w:rsidR="00E16DAF" w:rsidRPr="000665B0">
        <w:t>.</w:t>
      </w:r>
      <w:r w:rsidR="00E16DAF" w:rsidRPr="000665B0" w:rsidDel="005059F5">
        <w:t xml:space="preserve"> </w:t>
      </w:r>
    </w:p>
    <w:p w14:paraId="15883F50" w14:textId="77777777" w:rsidR="00FE0570" w:rsidRPr="000665B0" w:rsidRDefault="00FE0570" w:rsidP="006D5A65">
      <w:pPr>
        <w:pStyle w:val="Heading2"/>
      </w:pPr>
      <w:r w:rsidRPr="000665B0">
        <w:t>Pin (Optional) – The identifier of a specific target, using the electronic site/set (PIN) numbering system.</w:t>
      </w:r>
    </w:p>
    <w:p w14:paraId="26F19111" w14:textId="77777777" w:rsidR="00FE0570" w:rsidRPr="000665B0" w:rsidRDefault="00FE0570" w:rsidP="006D5A65">
      <w:pPr>
        <w:pStyle w:val="Heading2"/>
      </w:pPr>
      <w:r w:rsidRPr="000665B0">
        <w:t>World Area Code (Optional) – A four-digit number identifying the area in the world that the Threat exists.</w:t>
      </w:r>
    </w:p>
    <w:p w14:paraId="1C570B13" w14:textId="77777777" w:rsidR="00FE0570" w:rsidRPr="000665B0" w:rsidRDefault="00FE0570" w:rsidP="006D5A65">
      <w:pPr>
        <w:pStyle w:val="Heading2"/>
      </w:pPr>
      <w:r w:rsidRPr="000665B0">
        <w:t>Air Defense Area (Optional) – A pre-defined geographic area with established (arbitrary) boundaries and under the operational jurisdiction of the air defense headquarters.</w:t>
      </w:r>
    </w:p>
    <w:p w14:paraId="52509FD5" w14:textId="77777777" w:rsidR="00FE0570" w:rsidRPr="000665B0" w:rsidRDefault="00FE0570" w:rsidP="006D5A65">
      <w:pPr>
        <w:pStyle w:val="Heading2"/>
      </w:pPr>
      <w:r w:rsidRPr="000665B0">
        <w:t>Record Status (Optional) – Code representing the status of a particular unit.</w:t>
      </w:r>
    </w:p>
    <w:p w14:paraId="7A10969A" w14:textId="77777777" w:rsidR="00FE0570" w:rsidRPr="000665B0" w:rsidRDefault="00FE0570" w:rsidP="006D5A65">
      <w:pPr>
        <w:pStyle w:val="Heading2"/>
      </w:pPr>
      <w:r w:rsidRPr="000665B0">
        <w:t>Geo Position</w:t>
      </w:r>
    </w:p>
    <w:p w14:paraId="696E852F" w14:textId="77777777" w:rsidR="00FE0570" w:rsidRPr="000665B0" w:rsidRDefault="00FE0570" w:rsidP="006D5A65">
      <w:pPr>
        <w:pStyle w:val="Heading3"/>
      </w:pPr>
      <w:r w:rsidRPr="000665B0">
        <w:lastRenderedPageBreak/>
        <w:t>Latitude (Required) – The latitude coordinate for the location of the Threat.</w:t>
      </w:r>
    </w:p>
    <w:p w14:paraId="4FF84400" w14:textId="77777777" w:rsidR="00FE0570" w:rsidRPr="000665B0" w:rsidRDefault="00FE0570" w:rsidP="006D5A65">
      <w:pPr>
        <w:pStyle w:val="Heading3"/>
      </w:pPr>
      <w:r w:rsidRPr="000665B0">
        <w:t>Longitude (Required) – The longitude coordinate for the location of the Threat.</w:t>
      </w:r>
    </w:p>
    <w:p w14:paraId="02558B5F" w14:textId="77777777" w:rsidR="00FE0570" w:rsidRPr="000665B0" w:rsidRDefault="00FE0570" w:rsidP="006D5A65">
      <w:pPr>
        <w:pStyle w:val="Heading3"/>
      </w:pPr>
      <w:r w:rsidRPr="000665B0">
        <w:t xml:space="preserve">Elevation/Elevation Datum (Optional) – Elevation and elevation datum of the Threat. </w:t>
      </w:r>
    </w:p>
    <w:p w14:paraId="26D0670C" w14:textId="77777777" w:rsidR="00FE0570" w:rsidRPr="000665B0" w:rsidRDefault="00FE0570" w:rsidP="006D5A65">
      <w:pPr>
        <w:pStyle w:val="Heading3"/>
      </w:pPr>
      <w:r w:rsidRPr="000665B0">
        <w:t>Mil Area (Optional) – The Military Area of the site.</w:t>
      </w:r>
    </w:p>
    <w:p w14:paraId="240DFF4B" w14:textId="77777777" w:rsidR="00FE0570" w:rsidRPr="000665B0" w:rsidRDefault="00FE0570" w:rsidP="006D5A65">
      <w:pPr>
        <w:pStyle w:val="Heading3"/>
      </w:pPr>
      <w:r w:rsidRPr="000665B0">
        <w:t>Mil Grid (Optional) – The position of the site in Military Grid Reference coordinates.</w:t>
      </w:r>
    </w:p>
    <w:p w14:paraId="4807B91C" w14:textId="77777777" w:rsidR="00FE0570" w:rsidRPr="000665B0" w:rsidRDefault="00FE0570" w:rsidP="006D5A65">
      <w:pPr>
        <w:pStyle w:val="Heading3"/>
      </w:pPr>
      <w:r w:rsidRPr="000665B0">
        <w:t>Datum (</w:t>
      </w:r>
      <w:r w:rsidR="00CE3CE5" w:rsidRPr="000665B0">
        <w:t>Required</w:t>
      </w:r>
      <w:r w:rsidRPr="000665B0">
        <w:t>) – The mathematical mode of the earth used to calculate the coordinates on a map.</w:t>
      </w:r>
    </w:p>
    <w:p w14:paraId="6B555158" w14:textId="77777777" w:rsidR="00FE0570" w:rsidRPr="000665B0" w:rsidRDefault="00FE0570" w:rsidP="009570CA">
      <w:pPr>
        <w:rPr>
          <w:b/>
          <w:i/>
        </w:rPr>
      </w:pPr>
      <w:r w:rsidRPr="000665B0">
        <w:rPr>
          <w:b/>
          <w:i/>
        </w:rPr>
        <w:t>Equipment List View</w:t>
      </w:r>
    </w:p>
    <w:p w14:paraId="431E8592" w14:textId="77777777" w:rsidR="00FE0570" w:rsidRPr="000665B0" w:rsidRDefault="00FE0570" w:rsidP="006D5A65">
      <w:pPr>
        <w:pStyle w:val="Heading1"/>
      </w:pPr>
      <w:r w:rsidRPr="000665B0">
        <w:t>Columns</w:t>
      </w:r>
    </w:p>
    <w:p w14:paraId="04F6FB66" w14:textId="77777777" w:rsidR="00FE0570" w:rsidRPr="000665B0" w:rsidRDefault="00FE0570" w:rsidP="006D5A65">
      <w:pPr>
        <w:pStyle w:val="Heading2"/>
      </w:pPr>
      <w:r w:rsidRPr="000665B0">
        <w:t>Equipment ID – Source/system which created the Threat.</w:t>
      </w:r>
    </w:p>
    <w:p w14:paraId="121724DD" w14:textId="77777777" w:rsidR="00FE0570" w:rsidRPr="000665B0" w:rsidRDefault="00FE0570" w:rsidP="006D5A65">
      <w:pPr>
        <w:pStyle w:val="Heading2"/>
      </w:pPr>
      <w:r w:rsidRPr="000665B0">
        <w:t>Last Modified DTG – The date when the Threat was last modified.</w:t>
      </w:r>
    </w:p>
    <w:p w14:paraId="1CEDFD97" w14:textId="77777777" w:rsidR="00FE0570" w:rsidRPr="000665B0" w:rsidRDefault="00FE0570" w:rsidP="006D5A65">
      <w:pPr>
        <w:pStyle w:val="Heading2"/>
      </w:pPr>
      <w:r w:rsidRPr="000665B0">
        <w:t>Latitude – The latitude coordinate for the location of the Threat.</w:t>
      </w:r>
    </w:p>
    <w:p w14:paraId="71265262" w14:textId="77777777" w:rsidR="00FE0570" w:rsidRPr="000665B0" w:rsidRDefault="00FE0570" w:rsidP="006D5A65">
      <w:pPr>
        <w:pStyle w:val="Heading2"/>
      </w:pPr>
      <w:r w:rsidRPr="000665B0">
        <w:t>Longitude – The longitude coordinate for the location of the Threat.</w:t>
      </w:r>
    </w:p>
    <w:p w14:paraId="66337335" w14:textId="77777777" w:rsidR="00FE0570" w:rsidRPr="000665B0" w:rsidRDefault="00FE0570" w:rsidP="006D5A65">
      <w:pPr>
        <w:pStyle w:val="Heading2"/>
      </w:pPr>
      <w:r w:rsidRPr="000665B0">
        <w:t>Primary Function – The standard MIDB name used for the facility.</w:t>
      </w:r>
    </w:p>
    <w:p w14:paraId="5ED7B0F6" w14:textId="11B516A8" w:rsidR="00FE0570" w:rsidRPr="000665B0" w:rsidRDefault="00FE0570" w:rsidP="006D5A65">
      <w:pPr>
        <w:pStyle w:val="Heading2"/>
      </w:pPr>
      <w:r w:rsidRPr="000665B0">
        <w:t xml:space="preserve">Equipment Code – A </w:t>
      </w:r>
      <w:r w:rsidR="0074450A" w:rsidRPr="000665B0">
        <w:t>5-character</w:t>
      </w:r>
      <w:r w:rsidRPr="000665B0">
        <w:t xml:space="preserve"> code assigned by the security group to all types of equipment.</w:t>
      </w:r>
    </w:p>
    <w:p w14:paraId="13ACBF1D" w14:textId="19AAA4F3" w:rsidR="00FE0570" w:rsidRPr="000665B0" w:rsidRDefault="00FE0570" w:rsidP="006D5A65">
      <w:pPr>
        <w:pStyle w:val="Heading2"/>
      </w:pPr>
      <w:r w:rsidRPr="000665B0">
        <w:t>Country</w:t>
      </w:r>
      <w:r w:rsidR="00F802D0" w:rsidRPr="000665B0">
        <w:t xml:space="preserve"> </w:t>
      </w:r>
      <w:r w:rsidRPr="000665B0">
        <w:t xml:space="preserve">– </w:t>
      </w:r>
      <w:r w:rsidR="002B0C1F" w:rsidRPr="000665B0">
        <w:t xml:space="preserve">The standard Country Code and country name from the </w:t>
      </w:r>
      <w:r w:rsidR="002B0C1F" w:rsidRPr="000665B0">
        <w:rPr>
          <w:szCs w:val="24"/>
        </w:rPr>
        <w:t>CountryDB</w:t>
      </w:r>
      <w:r w:rsidR="002B0C1F" w:rsidRPr="000665B0">
        <w:t xml:space="preserve"> that identifies the country where the target is located. </w:t>
      </w:r>
      <w:r w:rsidR="00E16DAF" w:rsidRPr="000665B0">
        <w:t xml:space="preserve">For information about the selection and display of Country Codes and country names during system operation, see </w:t>
      </w:r>
      <w:hyperlink w:anchor="_Appendix_C__Country_Codes__(SORTED__1" w:history="1">
        <w:r w:rsidR="00E16DAF" w:rsidRPr="000665B0">
          <w:rPr>
            <w:rStyle w:val="Hyperlink"/>
          </w:rPr>
          <w:t>Appendix C</w:t>
        </w:r>
      </w:hyperlink>
      <w:r w:rsidR="00E16DAF" w:rsidRPr="000665B0">
        <w:t>.</w:t>
      </w:r>
      <w:r w:rsidR="002B0C1F" w:rsidRPr="000665B0" w:rsidDel="005059F5">
        <w:t xml:space="preserve"> </w:t>
      </w:r>
    </w:p>
    <w:p w14:paraId="652C64AB" w14:textId="77777777" w:rsidR="00FE0570" w:rsidRPr="000665B0" w:rsidRDefault="00FE0570" w:rsidP="006D5A65">
      <w:pPr>
        <w:pStyle w:val="Heading2"/>
      </w:pPr>
      <w:r w:rsidRPr="000665B0">
        <w:t xml:space="preserve">Operational Status – </w:t>
      </w:r>
      <w:r w:rsidR="00F802D0" w:rsidRPr="000665B0">
        <w:t>Indicates whether or not the Threat is operational in addition to when it may be.</w:t>
      </w:r>
    </w:p>
    <w:p w14:paraId="731EE99B" w14:textId="77777777" w:rsidR="00FE0570" w:rsidRPr="000665B0" w:rsidRDefault="00FE0570" w:rsidP="006D5A65">
      <w:pPr>
        <w:pStyle w:val="Heading2"/>
      </w:pPr>
      <w:r w:rsidRPr="000665B0">
        <w:lastRenderedPageBreak/>
        <w:t>Responsible Producer – The MIDB term for the person or organization with responsibility for maintaining a particular record in the MIDB database.</w:t>
      </w:r>
    </w:p>
    <w:p w14:paraId="03F4D852" w14:textId="77777777" w:rsidR="00FE0570" w:rsidRPr="000665B0" w:rsidRDefault="00FE0570" w:rsidP="006D5A65">
      <w:pPr>
        <w:pStyle w:val="Heading1"/>
      </w:pPr>
      <w:r w:rsidRPr="000665B0">
        <w:t>Context Menu</w:t>
      </w:r>
    </w:p>
    <w:p w14:paraId="631B82C0" w14:textId="77777777" w:rsidR="00FE0570" w:rsidRPr="000665B0" w:rsidRDefault="00FE0570" w:rsidP="006D5A65">
      <w:pPr>
        <w:pStyle w:val="Heading2"/>
      </w:pPr>
      <w:r w:rsidRPr="000665B0">
        <w:t>New… – Displays a New Threat Equipment dialog.</w:t>
      </w:r>
    </w:p>
    <w:p w14:paraId="3173EC19" w14:textId="77777777" w:rsidR="00FE0570" w:rsidRPr="000665B0" w:rsidRDefault="00FE0570" w:rsidP="006D5A65">
      <w:pPr>
        <w:pStyle w:val="Heading2"/>
      </w:pPr>
      <w:r w:rsidRPr="000665B0">
        <w:t>Display</w:t>
      </w:r>
    </w:p>
    <w:p w14:paraId="47354795" w14:textId="77777777" w:rsidR="00FE0570" w:rsidRPr="000665B0" w:rsidRDefault="00FE0570" w:rsidP="006D5A65">
      <w:pPr>
        <w:pStyle w:val="Heading3"/>
        <w:rPr>
          <w:rFonts w:eastAsia="Arial Unicode MS"/>
        </w:rPr>
      </w:pPr>
      <w:r w:rsidRPr="000665B0">
        <w:rPr>
          <w:rFonts w:eastAsia="Arial Unicode MS"/>
        </w:rPr>
        <w:t xml:space="preserve">Textually </w:t>
      </w:r>
      <w:r w:rsidRPr="000665B0">
        <w:t>– Displays the textual view of the selected Threat Equipment.</w:t>
      </w:r>
    </w:p>
    <w:p w14:paraId="62080A6D" w14:textId="77777777" w:rsidR="00FE0570" w:rsidRPr="000665B0" w:rsidRDefault="00FE0570" w:rsidP="006D5A65">
      <w:pPr>
        <w:pStyle w:val="Heading3"/>
        <w:rPr>
          <w:rFonts w:eastAsia="Arial Unicode MS"/>
        </w:rPr>
      </w:pPr>
      <w:r w:rsidRPr="000665B0">
        <w:rPr>
          <w:rFonts w:eastAsia="Arial Unicode MS"/>
        </w:rPr>
        <w:t xml:space="preserve">in Excel – </w:t>
      </w:r>
      <w:r w:rsidRPr="000665B0">
        <w:t>Displays an Excel document containing the selected Threat Equipment’s information.</w:t>
      </w:r>
    </w:p>
    <w:p w14:paraId="6984D5A1" w14:textId="77777777" w:rsidR="00FE0570" w:rsidRPr="000665B0" w:rsidRDefault="00FE0570" w:rsidP="006D5A65">
      <w:pPr>
        <w:pStyle w:val="Heading2"/>
      </w:pPr>
      <w:r w:rsidRPr="000665B0">
        <w:t>Print… – Print the selected Threat Equipment’s list information.</w:t>
      </w:r>
    </w:p>
    <w:p w14:paraId="2804801E" w14:textId="6B32EFE3" w:rsidR="00FE0570" w:rsidRPr="000665B0" w:rsidRDefault="00FE0570" w:rsidP="006D5A65">
      <w:pPr>
        <w:pStyle w:val="Heading2"/>
      </w:pPr>
      <w:r w:rsidRPr="000665B0">
        <w:rPr>
          <w:rFonts w:eastAsia="Arial Unicode MS"/>
        </w:rPr>
        <w:t xml:space="preserve">Remove – </w:t>
      </w:r>
      <w:r w:rsidRPr="000665B0">
        <w:t xml:space="preserve">Removes the selected Threat Equipment from the list </w:t>
      </w:r>
      <w:r w:rsidR="0074450A" w:rsidRPr="000665B0">
        <w:t>view.</w:t>
      </w:r>
    </w:p>
    <w:p w14:paraId="4FB3D7B0" w14:textId="48579D01" w:rsidR="00FE0570" w:rsidRPr="000665B0" w:rsidRDefault="00FE0570" w:rsidP="009570CA">
      <w:r w:rsidRPr="000665B0">
        <w:t xml:space="preserve">To display the Threats textually see </w:t>
      </w:r>
      <w:hyperlink w:anchor="_5.2.1.2.4__Display_1" w:history="1">
        <w:r w:rsidRPr="000665B0">
          <w:rPr>
            <w:rStyle w:val="Hyperlink"/>
          </w:rPr>
          <w:t>Section 5.2.1.2.4</w:t>
        </w:r>
      </w:hyperlink>
      <w:r w:rsidRPr="000665B0">
        <w:t>.</w:t>
      </w:r>
    </w:p>
    <w:p w14:paraId="41665E25" w14:textId="7B476425" w:rsidR="00FE0570" w:rsidRPr="000665B0" w:rsidRDefault="00FE0570" w:rsidP="009570CA">
      <w:pPr>
        <w:pStyle w:val="Normal4"/>
        <w:spacing w:before="0" w:beforeAutospacing="0" w:after="120" w:afterAutospacing="0"/>
      </w:pPr>
      <w:r w:rsidRPr="000665B0">
        <w:t xml:space="preserve">In addition to viewing/editing information for the Threat, the user can also </w:t>
      </w:r>
      <w:r w:rsidRPr="000665B0">
        <w:rPr>
          <w:b/>
        </w:rPr>
        <w:t>Display</w:t>
      </w:r>
      <w:r w:rsidRPr="000665B0">
        <w:t xml:space="preserve"> (</w:t>
      </w:r>
      <w:r w:rsidRPr="000665B0">
        <w:rPr>
          <w:b/>
        </w:rPr>
        <w:t>Geographically, References, and In Excel</w:t>
      </w:r>
      <w:r w:rsidRPr="000665B0">
        <w:t xml:space="preserve">), view the </w:t>
      </w:r>
      <w:r w:rsidRPr="000665B0">
        <w:rPr>
          <w:b/>
        </w:rPr>
        <w:t>Print Preview</w:t>
      </w:r>
      <w:r w:rsidRPr="000665B0">
        <w:t xml:space="preserve">, as well as </w:t>
      </w:r>
      <w:r w:rsidRPr="000665B0">
        <w:rPr>
          <w:b/>
        </w:rPr>
        <w:t>Print</w:t>
      </w:r>
      <w:r w:rsidRPr="000665B0">
        <w:t xml:space="preserve"> the Threat information. See </w:t>
      </w:r>
      <w:hyperlink w:anchor="_5.2__COMMON_2" w:history="1">
        <w:r w:rsidRPr="000665B0">
          <w:rPr>
            <w:rStyle w:val="Hyperlink"/>
          </w:rPr>
          <w:t>Section 5.2</w:t>
        </w:r>
      </w:hyperlink>
      <w:r w:rsidRPr="000665B0">
        <w:t xml:space="preserve"> for information on how to perform those features.</w:t>
      </w:r>
    </w:p>
    <w:p w14:paraId="0F3677CD" w14:textId="77777777" w:rsidR="00FE0570" w:rsidRPr="000665B0" w:rsidRDefault="00FE0570" w:rsidP="009570CA">
      <w:pPr>
        <w:keepNext/>
        <w:rPr>
          <w:b/>
          <w:i/>
        </w:rPr>
      </w:pPr>
      <w:r w:rsidRPr="000665B0">
        <w:rPr>
          <w:b/>
          <w:i/>
        </w:rPr>
        <w:t>Threat Equipment Textual View</w:t>
      </w:r>
    </w:p>
    <w:p w14:paraId="379EBC74" w14:textId="6BD1DE6C" w:rsidR="00FE0570" w:rsidRPr="000665B0" w:rsidRDefault="00237F53" w:rsidP="00DC3AA7">
      <w:pPr>
        <w:pStyle w:val="bullet2"/>
        <w:spacing w:before="120" w:beforeAutospacing="0" w:after="120" w:afterAutospacing="0"/>
        <w:jc w:val="center"/>
        <w:rPr>
          <w:rFonts w:ascii="Times New Roman" w:hAnsi="Times New Roman" w:cs="Times New Roman"/>
        </w:rPr>
      </w:pPr>
      <w:r w:rsidRPr="000665B0">
        <w:rPr>
          <w:noProof/>
        </w:rPr>
        <w:drawing>
          <wp:inline distT="0" distB="0" distL="0" distR="0" wp14:anchorId="4C0C2E40" wp14:editId="42E939D8">
            <wp:extent cx="4572000" cy="1901952"/>
            <wp:effectExtent l="0" t="0" r="0" b="3175"/>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1901952"/>
                    </a:xfrm>
                    <a:prstGeom prst="rect">
                      <a:avLst/>
                    </a:prstGeom>
                  </pic:spPr>
                </pic:pic>
              </a:graphicData>
            </a:graphic>
          </wp:inline>
        </w:drawing>
      </w:r>
    </w:p>
    <w:p w14:paraId="5FB084D5" w14:textId="77777777" w:rsidR="00FE0570" w:rsidRPr="000665B0" w:rsidRDefault="00FE0570" w:rsidP="009570CA">
      <w:pPr>
        <w:pStyle w:val="bullet2"/>
        <w:spacing w:before="0" w:beforeAutospacing="0" w:after="120" w:afterAutospacing="0"/>
        <w:rPr>
          <w:rFonts w:ascii="Times New Roman" w:hAnsi="Times New Roman" w:cs="Times New Roman"/>
        </w:rPr>
      </w:pPr>
      <w:r w:rsidRPr="000665B0">
        <w:rPr>
          <w:rFonts w:ascii="Times New Roman" w:hAnsi="Times New Roman" w:cs="Times New Roman"/>
        </w:rPr>
        <w:t>The Threat Equipment Textual View displays a window which can be used to view or edit the Threat Equipment information for a particular Threat. The Threat Equipment Textual View contains the following information:</w:t>
      </w:r>
    </w:p>
    <w:p w14:paraId="11E4BF4A" w14:textId="77777777" w:rsidR="00FE0570" w:rsidRPr="000665B0" w:rsidRDefault="00FE0570" w:rsidP="006D5A65">
      <w:pPr>
        <w:pStyle w:val="Heading2"/>
      </w:pPr>
      <w:r w:rsidRPr="000665B0">
        <w:t>Equipment ID (Required) – Three-digit unique identifier for the Threat Equipment.</w:t>
      </w:r>
    </w:p>
    <w:p w14:paraId="0F8B408B" w14:textId="77777777" w:rsidR="00FE0570" w:rsidRPr="000665B0" w:rsidRDefault="00FE0570" w:rsidP="006D5A65">
      <w:pPr>
        <w:pStyle w:val="Heading2"/>
      </w:pPr>
      <w:r w:rsidRPr="000665B0">
        <w:lastRenderedPageBreak/>
        <w:t>Equipment Code (Required) – Five-character to seven-character code indicating the type of equipment the Threat Equipment is.</w:t>
      </w:r>
    </w:p>
    <w:p w14:paraId="6C37D2FC" w14:textId="711ED974" w:rsidR="00FE0570" w:rsidRPr="000665B0" w:rsidRDefault="00FE0570" w:rsidP="006D5A65">
      <w:pPr>
        <w:pStyle w:val="Heading2"/>
      </w:pPr>
      <w:r w:rsidRPr="000665B0">
        <w:t xml:space="preserve">Primary Function (Required) – </w:t>
      </w:r>
      <w:r w:rsidR="009F39D6" w:rsidRPr="000665B0">
        <w:t>The standard MIDB name used for the facility</w:t>
      </w:r>
      <w:r w:rsidRPr="000665B0">
        <w:t>.</w:t>
      </w:r>
    </w:p>
    <w:p w14:paraId="34A5FA1E" w14:textId="017C3CC0" w:rsidR="00FE0570" w:rsidRPr="000665B0" w:rsidRDefault="00FE0570" w:rsidP="006D5A65">
      <w:pPr>
        <w:pStyle w:val="Heading2"/>
      </w:pPr>
      <w:r w:rsidRPr="000665B0">
        <w:t xml:space="preserve">Last Modified DTG (Read-Only) – </w:t>
      </w:r>
      <w:r w:rsidR="00FE1A9C" w:rsidRPr="000665B0">
        <w:t>The date the Threat Equipment was last modified</w:t>
      </w:r>
      <w:r w:rsidRPr="000665B0">
        <w:t>.</w:t>
      </w:r>
    </w:p>
    <w:p w14:paraId="5E793261" w14:textId="77777777" w:rsidR="00FE0570" w:rsidRPr="000665B0" w:rsidRDefault="00FE0570" w:rsidP="006D5A65">
      <w:pPr>
        <w:pStyle w:val="Heading2"/>
      </w:pPr>
      <w:r w:rsidRPr="000665B0">
        <w:t>Elnot – A 5-character</w:t>
      </w:r>
      <w:r w:rsidR="00DF3D0D" w:rsidRPr="000665B0">
        <w:t xml:space="preserve"> Electronic Intelligence</w:t>
      </w:r>
      <w:r w:rsidRPr="000665B0">
        <w:t xml:space="preserve"> </w:t>
      </w:r>
      <w:r w:rsidR="00DF3D0D" w:rsidRPr="000665B0">
        <w:t>(</w:t>
      </w:r>
      <w:r w:rsidRPr="000665B0">
        <w:t>ELINT</w:t>
      </w:r>
      <w:r w:rsidR="00DF3D0D" w:rsidRPr="000665B0">
        <w:t>)</w:t>
      </w:r>
      <w:r w:rsidRPr="000665B0">
        <w:t xml:space="preserve"> notation for non-communications electronics emissions related to such equipment. </w:t>
      </w:r>
    </w:p>
    <w:p w14:paraId="6A8E9923" w14:textId="77777777" w:rsidR="00FE0570" w:rsidRPr="000665B0" w:rsidRDefault="00FE0570" w:rsidP="006D5A65">
      <w:pPr>
        <w:pStyle w:val="Heading2"/>
      </w:pPr>
      <w:r w:rsidRPr="000665B0">
        <w:t>Function Code – The code for the emission function designator</w:t>
      </w:r>
    </w:p>
    <w:p w14:paraId="7B95D51D" w14:textId="163343BB" w:rsidR="00FE0570" w:rsidRPr="000665B0" w:rsidRDefault="00FE0570" w:rsidP="006D5A65">
      <w:pPr>
        <w:pStyle w:val="Heading2"/>
      </w:pPr>
      <w:r w:rsidRPr="000665B0">
        <w:rPr>
          <w:bCs/>
        </w:rPr>
        <w:t xml:space="preserve">Nomenclature </w:t>
      </w:r>
      <w:r w:rsidRPr="000665B0">
        <w:t xml:space="preserve">(Required) </w:t>
      </w:r>
      <w:r w:rsidR="00237F53" w:rsidRPr="000665B0">
        <w:t xml:space="preserve">– </w:t>
      </w:r>
      <w:r w:rsidRPr="000665B0">
        <w:t>The MIDB field that contains descriptive information about equipment.</w:t>
      </w:r>
    </w:p>
    <w:p w14:paraId="3E1DADF9" w14:textId="4E2EC5A3" w:rsidR="00FE0570" w:rsidRPr="000665B0" w:rsidRDefault="00FE0570" w:rsidP="006D5A65">
      <w:pPr>
        <w:pStyle w:val="Heading2"/>
      </w:pPr>
      <w:r w:rsidRPr="000665B0">
        <w:t xml:space="preserve">Country (Optional) – </w:t>
      </w:r>
      <w:r w:rsidR="004F7CA5" w:rsidRPr="000665B0">
        <w:t xml:space="preserve">The standard Country Code and country name from the </w:t>
      </w:r>
      <w:r w:rsidR="004F7CA5" w:rsidRPr="000665B0">
        <w:rPr>
          <w:szCs w:val="24"/>
        </w:rPr>
        <w:t>CountryDB</w:t>
      </w:r>
      <w:r w:rsidR="004F7CA5" w:rsidRPr="000665B0">
        <w:t xml:space="preserve"> that identifies the country where the target is located. For information about Country Code and country name selection and displays in the </w:t>
      </w:r>
      <w:r w:rsidR="0074450A" w:rsidRPr="000665B0">
        <w:t>pull-down</w:t>
      </w:r>
      <w:r w:rsidR="004F7CA5" w:rsidRPr="000665B0">
        <w:t xml:space="preserve"> menus and list views, see </w:t>
      </w:r>
      <w:hyperlink w:anchor="_Appendix_C__Country_Codes__(SORTED__1" w:history="1">
        <w:r w:rsidR="004F7CA5" w:rsidRPr="000665B0">
          <w:rPr>
            <w:color w:val="0000FF"/>
            <w:u w:val="single"/>
          </w:rPr>
          <w:t>Appendix C</w:t>
        </w:r>
      </w:hyperlink>
      <w:r w:rsidR="004F7CA5" w:rsidRPr="000665B0">
        <w:t>.</w:t>
      </w:r>
      <w:r w:rsidR="004F7CA5" w:rsidRPr="000665B0" w:rsidDel="005059F5">
        <w:t xml:space="preserve"> </w:t>
      </w:r>
    </w:p>
    <w:p w14:paraId="13A80DCA" w14:textId="77777777" w:rsidR="00FE0570" w:rsidRPr="000665B0" w:rsidRDefault="00FE0570" w:rsidP="006D5A65">
      <w:pPr>
        <w:pStyle w:val="Heading2"/>
      </w:pPr>
      <w:r w:rsidRPr="000665B0">
        <w:t>Responsible Producer – The MIDB term for the person or organization with responsibility for maintaining a particular record in the MIDB database.</w:t>
      </w:r>
    </w:p>
    <w:p w14:paraId="3125BA2D" w14:textId="77777777" w:rsidR="00FE0570" w:rsidRPr="000665B0" w:rsidRDefault="00FE0570" w:rsidP="006D5A65">
      <w:pPr>
        <w:pStyle w:val="Heading2"/>
      </w:pPr>
      <w:r w:rsidRPr="000665B0">
        <w:t>Quantity On Hand (Optional) – The number of objects in an area.</w:t>
      </w:r>
    </w:p>
    <w:p w14:paraId="0F64283E" w14:textId="77777777" w:rsidR="00FE0570" w:rsidRPr="000665B0" w:rsidRDefault="00FE0570" w:rsidP="006D5A65">
      <w:pPr>
        <w:pStyle w:val="Heading2"/>
      </w:pPr>
      <w:r w:rsidRPr="000665B0">
        <w:t>Pin (Optional) – The identifier of a specific target, using the electronic site/set (PIN) numbering system.</w:t>
      </w:r>
    </w:p>
    <w:p w14:paraId="1068887A" w14:textId="77777777" w:rsidR="00FE0570" w:rsidRPr="000665B0" w:rsidRDefault="00FE0570" w:rsidP="006D5A65">
      <w:pPr>
        <w:pStyle w:val="Heading2"/>
      </w:pPr>
      <w:r w:rsidRPr="000665B0">
        <w:t>World Area Code (Optional) – A four-digit number identifying the area in the world that the Threat exists.</w:t>
      </w:r>
    </w:p>
    <w:p w14:paraId="15485B68" w14:textId="77777777" w:rsidR="00FE0570" w:rsidRPr="000665B0" w:rsidRDefault="00FE0570" w:rsidP="006D5A65">
      <w:pPr>
        <w:pStyle w:val="Heading2"/>
      </w:pPr>
      <w:r w:rsidRPr="000665B0">
        <w:t>Air Defense Area (Optional) – A pre-defined geographic area with established (arbitrary) boundaries and under the operational jurisdiction of the air defense headquarters.</w:t>
      </w:r>
    </w:p>
    <w:p w14:paraId="13E76945" w14:textId="77777777" w:rsidR="00FE0570" w:rsidRPr="000665B0" w:rsidRDefault="00FE0570" w:rsidP="006D5A65">
      <w:pPr>
        <w:pStyle w:val="Heading2"/>
      </w:pPr>
      <w:r w:rsidRPr="000665B0">
        <w:t>Record Status (Optional) – Code representing the status of a particular unit.</w:t>
      </w:r>
    </w:p>
    <w:p w14:paraId="2FBE304B" w14:textId="77777777" w:rsidR="00FE0570" w:rsidRPr="000665B0" w:rsidRDefault="00FE0570" w:rsidP="006D5A65">
      <w:pPr>
        <w:pStyle w:val="Heading2"/>
      </w:pPr>
      <w:r w:rsidRPr="000665B0">
        <w:t>Operational Status (Optional) – Indicates whether or not the Threat is operational in addition to when it may be.</w:t>
      </w:r>
    </w:p>
    <w:p w14:paraId="2E4F77E0" w14:textId="77777777" w:rsidR="00FE0570" w:rsidRPr="000665B0" w:rsidRDefault="00FE0570" w:rsidP="006D5A65">
      <w:pPr>
        <w:pStyle w:val="Heading2"/>
      </w:pPr>
      <w:r w:rsidRPr="000665B0">
        <w:lastRenderedPageBreak/>
        <w:t>Geo Position</w:t>
      </w:r>
    </w:p>
    <w:p w14:paraId="39B6A2EB" w14:textId="77777777" w:rsidR="00FE0570" w:rsidRPr="000665B0" w:rsidRDefault="00FE0570" w:rsidP="006D5A65">
      <w:pPr>
        <w:pStyle w:val="Heading3"/>
      </w:pPr>
      <w:r w:rsidRPr="000665B0">
        <w:t>Latitude (Required) – The latitude coordinate for the location of the Threat.</w:t>
      </w:r>
    </w:p>
    <w:p w14:paraId="2E94E358" w14:textId="77777777" w:rsidR="00FE0570" w:rsidRPr="000665B0" w:rsidRDefault="00FE0570" w:rsidP="006D5A65">
      <w:pPr>
        <w:pStyle w:val="Heading3"/>
      </w:pPr>
      <w:r w:rsidRPr="000665B0">
        <w:t>Longitude (Required) – The longitude coordinate for the location of the Threat.</w:t>
      </w:r>
    </w:p>
    <w:p w14:paraId="20E275DF" w14:textId="77777777" w:rsidR="00FE0570" w:rsidRPr="000665B0" w:rsidRDefault="00FE0570" w:rsidP="006D5A65">
      <w:pPr>
        <w:pStyle w:val="Heading3"/>
      </w:pPr>
      <w:r w:rsidRPr="000665B0">
        <w:t xml:space="preserve">Elevation/Elevation Datum (Optional) – Elevation and elevation datum of the Threat Equipment. </w:t>
      </w:r>
    </w:p>
    <w:p w14:paraId="2AD0A9C1" w14:textId="77777777" w:rsidR="00FE0570" w:rsidRPr="000665B0" w:rsidRDefault="00FE0570" w:rsidP="006D5A65">
      <w:pPr>
        <w:pStyle w:val="Heading3"/>
      </w:pPr>
      <w:r w:rsidRPr="000665B0">
        <w:t>Mil Area (Optional) – The Military Area of the site.</w:t>
      </w:r>
    </w:p>
    <w:p w14:paraId="220D1E5E" w14:textId="77777777" w:rsidR="00FE0570" w:rsidRPr="000665B0" w:rsidRDefault="00FE0570" w:rsidP="006D5A65">
      <w:pPr>
        <w:pStyle w:val="Heading3"/>
      </w:pPr>
      <w:r w:rsidRPr="000665B0">
        <w:t>Mil Grid (Optional) – The position of the site in Military Grid Reference coordinates.</w:t>
      </w:r>
    </w:p>
    <w:p w14:paraId="6C52BA09" w14:textId="77777777" w:rsidR="00FE0570" w:rsidRPr="000665B0" w:rsidRDefault="00FE0570" w:rsidP="006D5A65">
      <w:pPr>
        <w:pStyle w:val="Heading3"/>
      </w:pPr>
      <w:r w:rsidRPr="000665B0">
        <w:t>Datum (</w:t>
      </w:r>
      <w:r w:rsidR="00CE3CE5" w:rsidRPr="000665B0">
        <w:t>Required</w:t>
      </w:r>
      <w:r w:rsidRPr="000665B0">
        <w:t>) – The mathematical mode of the earth used to calculate the coordinates on a map.</w:t>
      </w:r>
    </w:p>
    <w:p w14:paraId="3CB7ECD2" w14:textId="77777777" w:rsidR="00FE0570" w:rsidRPr="000665B0" w:rsidRDefault="00FE0570" w:rsidP="009570CA">
      <w:r w:rsidRPr="000665B0">
        <w:t>To display the Threat Equipment textually:</w:t>
      </w:r>
    </w:p>
    <w:p w14:paraId="7705105F" w14:textId="610E61BB" w:rsidR="00FE0570" w:rsidRPr="000665B0" w:rsidRDefault="00FE0570" w:rsidP="006D5A65">
      <w:pPr>
        <w:pStyle w:val="Heading1"/>
      </w:pPr>
      <w:r w:rsidRPr="000665B0">
        <w:t xml:space="preserve">In the Threat Textual View, </w:t>
      </w:r>
      <w:r w:rsidR="00D71804" w:rsidRPr="000665B0">
        <w:t>right-click</w:t>
      </w:r>
      <w:r w:rsidRPr="000665B0">
        <w:t xml:space="preserve"> an item in the Equipment List View.</w:t>
      </w:r>
    </w:p>
    <w:p w14:paraId="185215C8" w14:textId="77777777" w:rsidR="00FE0570" w:rsidRPr="000665B0" w:rsidRDefault="00FE0570" w:rsidP="006D5A65">
      <w:pPr>
        <w:pStyle w:val="Heading1"/>
      </w:pPr>
      <w:r w:rsidRPr="000665B0">
        <w:t xml:space="preserve">Select Display </w:t>
      </w:r>
      <w:r w:rsidR="00E50A91" w:rsidRPr="000665B0">
        <w:sym w:font="Wingdings 3" w:char="F07D"/>
      </w:r>
      <w:r w:rsidRPr="000665B0">
        <w:t xml:space="preserve"> Textually.</w:t>
      </w:r>
    </w:p>
    <w:p w14:paraId="201A6A82" w14:textId="77777777" w:rsidR="00FE0570" w:rsidRPr="000665B0" w:rsidRDefault="00FE0570" w:rsidP="009570CA">
      <w:pPr>
        <w:ind w:left="360"/>
      </w:pPr>
      <w:r w:rsidRPr="000665B0">
        <w:t>or</w:t>
      </w:r>
    </w:p>
    <w:p w14:paraId="3074B054" w14:textId="77777777" w:rsidR="00FE0570" w:rsidRPr="000665B0" w:rsidRDefault="00FE0570" w:rsidP="006D5A65">
      <w:pPr>
        <w:pStyle w:val="Heading2"/>
      </w:pPr>
      <w:r w:rsidRPr="000665B0">
        <w:t>Double-click an item in the Equipment List View.</w:t>
      </w:r>
    </w:p>
    <w:p w14:paraId="079D5BB6" w14:textId="16EA48C4" w:rsidR="00FE0570" w:rsidRPr="000665B0" w:rsidRDefault="00FE0570" w:rsidP="009570CA">
      <w:pPr>
        <w:pStyle w:val="Heading3"/>
      </w:pPr>
      <w:bookmarkStart w:id="5361" w:name="_Toc214283433"/>
      <w:r w:rsidRPr="000665B0">
        <w:t>Display Geographically</w:t>
      </w:r>
      <w:bookmarkEnd w:id="5361"/>
    </w:p>
    <w:p w14:paraId="3AD41CC0" w14:textId="77777777" w:rsidR="00FE0570" w:rsidRPr="000665B0" w:rsidRDefault="00FE0570" w:rsidP="009570CA">
      <w:r w:rsidRPr="000665B0">
        <w:t xml:space="preserve">Selecting the </w:t>
      </w:r>
      <w:r w:rsidRPr="000665B0">
        <w:rPr>
          <w:b/>
        </w:rPr>
        <w:t>Display Geographically</w:t>
      </w:r>
      <w:r w:rsidRPr="000665B0">
        <w:t xml:space="preserve"> option will result in the displaying of an icon indicating the Threat position on the Geographical display. </w:t>
      </w:r>
    </w:p>
    <w:p w14:paraId="765FBE19" w14:textId="634DB9C7" w:rsidR="00FE0570" w:rsidRPr="000665B0" w:rsidRDefault="00FE0570" w:rsidP="009570CA">
      <w:pPr>
        <w:spacing w:after="0"/>
      </w:pPr>
      <w:r w:rsidRPr="000665B0">
        <w:t xml:space="preserve">To display the Threats geographically see </w:t>
      </w:r>
      <w:hyperlink w:anchor="_5.2.1.2.2__Display_1" w:history="1">
        <w:r w:rsidRPr="000665B0">
          <w:rPr>
            <w:rStyle w:val="Hyperlink"/>
          </w:rPr>
          <w:t>Section 5.2.1.2.2</w:t>
        </w:r>
      </w:hyperlink>
      <w:r w:rsidRPr="000665B0">
        <w:t>.</w:t>
      </w:r>
    </w:p>
    <w:p w14:paraId="520CC8CE" w14:textId="34F64625" w:rsidR="00FE0570" w:rsidRPr="000665B0" w:rsidRDefault="00FE0570" w:rsidP="009570CA">
      <w:pPr>
        <w:pStyle w:val="Heading3"/>
      </w:pPr>
      <w:bookmarkStart w:id="5362" w:name="_Toc214283434"/>
      <w:r w:rsidRPr="000665B0">
        <w:t>Create New Threat</w:t>
      </w:r>
      <w:bookmarkEnd w:id="5362"/>
    </w:p>
    <w:p w14:paraId="4F806D43" w14:textId="77777777" w:rsidR="00FE0570" w:rsidRPr="000665B0" w:rsidRDefault="00FE0570" w:rsidP="009570CA">
      <w:r w:rsidRPr="000665B0">
        <w:t xml:space="preserve">The </w:t>
      </w:r>
      <w:r w:rsidRPr="000665B0">
        <w:rPr>
          <w:b/>
        </w:rPr>
        <w:t>New…</w:t>
      </w:r>
      <w:r w:rsidRPr="000665B0">
        <w:t xml:space="preserve"> Threat function allows an operator a way to add Threats to TED that he may be aware of.</w:t>
      </w:r>
    </w:p>
    <w:p w14:paraId="0CEC88CC" w14:textId="77777777" w:rsidR="00FE0570" w:rsidRPr="000665B0" w:rsidRDefault="00FE0570" w:rsidP="009570CA">
      <w:r w:rsidRPr="000665B0">
        <w:t>To create a new manual Threat:</w:t>
      </w:r>
    </w:p>
    <w:p w14:paraId="6948AB56" w14:textId="77777777" w:rsidR="00FE0570" w:rsidRPr="000665B0" w:rsidRDefault="00FE0570" w:rsidP="006D5A65">
      <w:pPr>
        <w:pStyle w:val="Heading1"/>
      </w:pPr>
      <w:r w:rsidRPr="000665B0">
        <w:lastRenderedPageBreak/>
        <w:t>Navigate to the Threats Tool.</w:t>
      </w:r>
    </w:p>
    <w:p w14:paraId="23E1E90C" w14:textId="59D3DDDD" w:rsidR="00FE0570" w:rsidRPr="000665B0" w:rsidRDefault="00FE0570" w:rsidP="006D5A65">
      <w:pPr>
        <w:pStyle w:val="Heading1"/>
      </w:pPr>
      <w:r w:rsidRPr="000665B0">
        <w:t>From the File menu select New</w:t>
      </w:r>
      <w:r w:rsidR="00DB0CDF" w:rsidRPr="000665B0">
        <w:t>,</w:t>
      </w:r>
      <w:r w:rsidRPr="000665B0">
        <w:t xml:space="preserve"> click on the New </w:t>
      </w:r>
      <w:r w:rsidRPr="000665B0">
        <w:rPr>
          <w:noProof/>
        </w:rPr>
        <w:drawing>
          <wp:inline distT="0" distB="0" distL="0" distR="0" wp14:anchorId="494E95C0" wp14:editId="59DD66B3">
            <wp:extent cx="152400" cy="152400"/>
            <wp:effectExtent l="0" t="0" r="0" b="0"/>
            <wp:docPr id="30" name="Picture 30"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in the toolbar</w:t>
      </w:r>
      <w:r w:rsidR="00DB0CDF" w:rsidRPr="000665B0">
        <w:rPr>
          <w:szCs w:val="24"/>
        </w:rPr>
        <w:t xml:space="preserve">, or </w:t>
      </w:r>
      <w:r w:rsidR="00DB0CDF" w:rsidRPr="000665B0">
        <w:rPr>
          <w:noProof/>
          <w:szCs w:val="24"/>
        </w:rPr>
        <w:t>invoke the context menu (right-click the mouse) and select New…</w:t>
      </w:r>
      <w:r w:rsidRPr="000665B0">
        <w:t xml:space="preserve">. The </w:t>
      </w:r>
      <w:r w:rsidR="00E6594F" w:rsidRPr="000665B0">
        <w:rPr>
          <w:i/>
        </w:rPr>
        <w:t xml:space="preserve">New </w:t>
      </w:r>
      <w:r w:rsidRPr="000665B0">
        <w:rPr>
          <w:i/>
        </w:rPr>
        <w:t xml:space="preserve">Threat </w:t>
      </w:r>
      <w:r w:rsidRPr="000665B0">
        <w:t xml:space="preserve">window </w:t>
      </w:r>
      <w:r w:rsidR="00E6594F" w:rsidRPr="000665B0">
        <w:t>is</w:t>
      </w:r>
      <w:r w:rsidRPr="000665B0">
        <w:t xml:space="preserve"> displayed.</w:t>
      </w:r>
    </w:p>
    <w:p w14:paraId="2CB62CEE" w14:textId="2FF343D3" w:rsidR="00FE0570" w:rsidRPr="000665B0" w:rsidRDefault="00E6594F" w:rsidP="009570CA">
      <w:pPr>
        <w:jc w:val="center"/>
      </w:pPr>
      <w:r w:rsidRPr="000665B0">
        <w:rPr>
          <w:noProof/>
        </w:rPr>
        <w:drawing>
          <wp:inline distT="0" distB="0" distL="0" distR="0" wp14:anchorId="76217762" wp14:editId="3FB85609">
            <wp:extent cx="4572000" cy="3191256"/>
            <wp:effectExtent l="0" t="0" r="0" b="9525"/>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3191256"/>
                    </a:xfrm>
                    <a:prstGeom prst="rect">
                      <a:avLst/>
                    </a:prstGeom>
                  </pic:spPr>
                </pic:pic>
              </a:graphicData>
            </a:graphic>
          </wp:inline>
        </w:drawing>
      </w:r>
    </w:p>
    <w:p w14:paraId="63E66972" w14:textId="3BF24638" w:rsidR="00FE0570" w:rsidRPr="000665B0" w:rsidRDefault="00FE0570" w:rsidP="006D5A65">
      <w:pPr>
        <w:pStyle w:val="Heading1"/>
      </w:pPr>
      <w:r w:rsidRPr="000665B0">
        <w:t xml:space="preserve">In the </w:t>
      </w:r>
      <w:r w:rsidRPr="000665B0">
        <w:rPr>
          <w:i/>
        </w:rPr>
        <w:t xml:space="preserve">New Threat </w:t>
      </w:r>
      <w:r w:rsidRPr="000665B0">
        <w:t xml:space="preserve">window set the classification by clicking on the EDIT button and selecting the applicable classification from the </w:t>
      </w:r>
      <w:r w:rsidR="0074450A" w:rsidRPr="000665B0">
        <w:t>drop-down</w:t>
      </w:r>
      <w:r w:rsidRPr="000665B0">
        <w:t xml:space="preserve"> menu.</w:t>
      </w:r>
    </w:p>
    <w:p w14:paraId="19682317" w14:textId="77777777" w:rsidR="00FE0570" w:rsidRPr="000665B0" w:rsidRDefault="00FE0570" w:rsidP="006D5A65">
      <w:pPr>
        <w:pStyle w:val="Heading1"/>
      </w:pPr>
      <w:r w:rsidRPr="000665B0">
        <w:t>Click the OK button.</w:t>
      </w:r>
    </w:p>
    <w:p w14:paraId="4B16F9AE" w14:textId="30569FC8" w:rsidR="00FE0570" w:rsidRPr="000665B0" w:rsidRDefault="00FE0570" w:rsidP="006D5A65">
      <w:pPr>
        <w:pStyle w:val="Heading1"/>
      </w:pPr>
      <w:r w:rsidRPr="000665B0">
        <w:t xml:space="preserve">Enter all the values that are required. All required fields are </w:t>
      </w:r>
      <w:r w:rsidR="00B008C3" w:rsidRPr="000665B0">
        <w:t xml:space="preserve">denoted by the * and/or yellow background and the user </w:t>
      </w:r>
      <w:r w:rsidR="00B008C3" w:rsidRPr="000665B0">
        <w:lastRenderedPageBreak/>
        <w:t xml:space="preserve">is unable to proceed without updating this field. For further information on mandatory fields see </w:t>
      </w:r>
      <w:hyperlink w:anchor="_5.2.7__Editing" w:history="1">
        <w:r w:rsidR="00B008C3" w:rsidRPr="000665B0">
          <w:rPr>
            <w:color w:val="0000FF"/>
            <w:u w:val="single"/>
          </w:rPr>
          <w:t>Section 5.2.8</w:t>
        </w:r>
      </w:hyperlink>
      <w:r w:rsidR="00B008C3" w:rsidRPr="000665B0">
        <w:t>.</w:t>
      </w:r>
    </w:p>
    <w:p w14:paraId="4B755743" w14:textId="77777777" w:rsidR="00FE0570" w:rsidRPr="000665B0" w:rsidRDefault="00FE0570" w:rsidP="006D5A65">
      <w:pPr>
        <w:pStyle w:val="Heading1"/>
      </w:pPr>
      <w:r w:rsidRPr="000665B0">
        <w:t>New Threat Equipment can be added to the Equipment List View by selecting New from the List View control’s context menu.</w:t>
      </w:r>
    </w:p>
    <w:p w14:paraId="6FA17104" w14:textId="227DB5A5" w:rsidR="00FE0570" w:rsidRPr="000665B0" w:rsidRDefault="00E6594F" w:rsidP="009570CA">
      <w:pPr>
        <w:jc w:val="center"/>
      </w:pPr>
      <w:r w:rsidRPr="000665B0">
        <w:rPr>
          <w:noProof/>
        </w:rPr>
        <w:drawing>
          <wp:inline distT="0" distB="0" distL="0" distR="0" wp14:anchorId="30A4F08E" wp14:editId="758FBF5A">
            <wp:extent cx="4983480" cy="2075688"/>
            <wp:effectExtent l="0" t="0" r="0" b="0"/>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2075688"/>
                    </a:xfrm>
                    <a:prstGeom prst="rect">
                      <a:avLst/>
                    </a:prstGeom>
                  </pic:spPr>
                </pic:pic>
              </a:graphicData>
            </a:graphic>
          </wp:inline>
        </w:drawing>
      </w:r>
    </w:p>
    <w:p w14:paraId="1F7991D4" w14:textId="5D17BC9E" w:rsidR="00FE0570" w:rsidRPr="000665B0" w:rsidRDefault="00FE0570" w:rsidP="006D5A65">
      <w:pPr>
        <w:pStyle w:val="Heading1"/>
      </w:pPr>
      <w:r w:rsidRPr="000665B0">
        <w:t xml:space="preserve">In the </w:t>
      </w:r>
      <w:r w:rsidRPr="000665B0">
        <w:rPr>
          <w:i/>
        </w:rPr>
        <w:t xml:space="preserve">New Threat Equipment </w:t>
      </w:r>
      <w:r w:rsidRPr="000665B0">
        <w:t xml:space="preserve">window, enter all the values that are required. All required fields are </w:t>
      </w:r>
      <w:r w:rsidR="00B008C3" w:rsidRPr="000665B0">
        <w:t xml:space="preserve">denoted by the * and/or yellow background and the user is unable to proceed without updating this field. For further information on mandatory fields see </w:t>
      </w:r>
      <w:hyperlink w:anchor="_5.2.7__Editing" w:history="1">
        <w:r w:rsidR="00B008C3" w:rsidRPr="000665B0">
          <w:rPr>
            <w:color w:val="0000FF"/>
            <w:u w:val="single"/>
          </w:rPr>
          <w:t>Section 5.2.8</w:t>
        </w:r>
      </w:hyperlink>
      <w:r w:rsidR="00B008C3" w:rsidRPr="000665B0">
        <w:t>.</w:t>
      </w:r>
    </w:p>
    <w:p w14:paraId="15DC30BC" w14:textId="77777777" w:rsidR="00FE0570" w:rsidRPr="000665B0" w:rsidRDefault="00FE0570" w:rsidP="006D5A65">
      <w:pPr>
        <w:pStyle w:val="Heading1"/>
      </w:pPr>
      <w:r w:rsidRPr="000665B0">
        <w:t>Click the OK button. The Equipment is added to the Equipment List View.</w:t>
      </w:r>
    </w:p>
    <w:p w14:paraId="3B46510C" w14:textId="77777777" w:rsidR="00FE0570" w:rsidRPr="000665B0" w:rsidRDefault="00FE0570" w:rsidP="006D5A65">
      <w:pPr>
        <w:pStyle w:val="Heading1"/>
      </w:pPr>
      <w:r w:rsidRPr="000665B0">
        <w:t>Click on the Save icon in the toolbar. The saved Threat will be assigned a number indicating the BE and OSuffix.</w:t>
      </w:r>
    </w:p>
    <w:p w14:paraId="13A00E68" w14:textId="66EDC318" w:rsidR="005D1A26" w:rsidRPr="000665B0" w:rsidRDefault="00277DCD" w:rsidP="009570CA">
      <w:pPr>
        <w:pStyle w:val="Heading3"/>
      </w:pPr>
      <w:bookmarkStart w:id="5363" w:name="_Toc214283435"/>
      <w:r w:rsidRPr="000665B0">
        <w:t>Print All</w:t>
      </w:r>
      <w:bookmarkEnd w:id="5354"/>
      <w:bookmarkEnd w:id="5355"/>
      <w:bookmarkEnd w:id="5356"/>
      <w:bookmarkEnd w:id="5357"/>
      <w:bookmarkEnd w:id="5358"/>
      <w:bookmarkEnd w:id="5359"/>
      <w:bookmarkEnd w:id="5363"/>
    </w:p>
    <w:p w14:paraId="7E556579" w14:textId="47A7FC3E" w:rsidR="005D1A26" w:rsidRPr="000665B0" w:rsidRDefault="00F02F03" w:rsidP="009570CA">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2D22CDEA" w14:textId="3F9D08EA" w:rsidR="005D1A26" w:rsidRPr="000665B0" w:rsidRDefault="00277DCD" w:rsidP="009570CA">
      <w:pPr>
        <w:pStyle w:val="Heading3"/>
      </w:pPr>
      <w:bookmarkStart w:id="5364" w:name="_Toc71955651"/>
      <w:bookmarkStart w:id="5365" w:name="_Toc96170194"/>
      <w:bookmarkStart w:id="5366" w:name="_Toc96234239"/>
      <w:bookmarkStart w:id="5367" w:name="_Toc112733662"/>
      <w:bookmarkStart w:id="5368" w:name="_Toc289328735"/>
      <w:bookmarkStart w:id="5369" w:name="_Toc312331985"/>
      <w:bookmarkStart w:id="5370" w:name="_Toc214283436"/>
      <w:r w:rsidRPr="000665B0">
        <w:t>Display All in Excel</w:t>
      </w:r>
      <w:bookmarkEnd w:id="5364"/>
      <w:bookmarkEnd w:id="5365"/>
      <w:bookmarkEnd w:id="5366"/>
      <w:bookmarkEnd w:id="5367"/>
      <w:bookmarkEnd w:id="5368"/>
      <w:bookmarkEnd w:id="5369"/>
      <w:bookmarkEnd w:id="5370"/>
    </w:p>
    <w:p w14:paraId="2B4266B2" w14:textId="06FBB6A2" w:rsidR="005D1A26" w:rsidRPr="000665B0" w:rsidRDefault="00F02F03" w:rsidP="009570CA">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2D6A8897" w14:textId="0B797A76" w:rsidR="005D1A26" w:rsidRPr="000665B0" w:rsidRDefault="005D1A26" w:rsidP="009570CA">
      <w:pPr>
        <w:pStyle w:val="Heading3"/>
      </w:pPr>
      <w:bookmarkStart w:id="5371" w:name="_Toc71955652"/>
      <w:bookmarkStart w:id="5372" w:name="_Toc96170195"/>
      <w:bookmarkStart w:id="5373" w:name="_Toc96234240"/>
      <w:bookmarkStart w:id="5374" w:name="_Toc112733663"/>
      <w:bookmarkStart w:id="5375" w:name="_Toc289328736"/>
      <w:bookmarkStart w:id="5376" w:name="_Toc312331986"/>
      <w:bookmarkStart w:id="5377" w:name="_Toc214283437"/>
      <w:r w:rsidRPr="000665B0">
        <w:t>Select All</w:t>
      </w:r>
      <w:bookmarkEnd w:id="5371"/>
      <w:bookmarkEnd w:id="5372"/>
      <w:bookmarkEnd w:id="5373"/>
      <w:bookmarkEnd w:id="5374"/>
      <w:bookmarkEnd w:id="5375"/>
      <w:bookmarkEnd w:id="5376"/>
      <w:bookmarkEnd w:id="5377"/>
    </w:p>
    <w:p w14:paraId="6B06DF18" w14:textId="1147CD4F" w:rsidR="005D1A26" w:rsidRPr="000665B0" w:rsidRDefault="00F02F03" w:rsidP="009570CA">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01A99E8C" w14:textId="1A11E18D" w:rsidR="005D1A26" w:rsidRPr="000665B0" w:rsidRDefault="005D1A26" w:rsidP="009570CA">
      <w:pPr>
        <w:pStyle w:val="Heading3"/>
      </w:pPr>
      <w:bookmarkStart w:id="5378" w:name="_Toc71955654"/>
      <w:bookmarkStart w:id="5379" w:name="_Toc96170196"/>
      <w:bookmarkStart w:id="5380" w:name="_Toc96234241"/>
      <w:bookmarkStart w:id="5381" w:name="_Toc112733664"/>
      <w:bookmarkStart w:id="5382" w:name="_Toc289328737"/>
      <w:bookmarkStart w:id="5383" w:name="_Toc312331987"/>
      <w:bookmarkStart w:id="5384" w:name="_Toc214283438"/>
      <w:r w:rsidRPr="000665B0">
        <w:t>Delete</w:t>
      </w:r>
      <w:bookmarkEnd w:id="5378"/>
      <w:bookmarkEnd w:id="5379"/>
      <w:bookmarkEnd w:id="5380"/>
      <w:bookmarkEnd w:id="5381"/>
      <w:bookmarkEnd w:id="5382"/>
      <w:bookmarkEnd w:id="5383"/>
      <w:bookmarkEnd w:id="5384"/>
    </w:p>
    <w:p w14:paraId="63341A07" w14:textId="1FF31E59" w:rsidR="005D1A26" w:rsidRPr="000665B0" w:rsidRDefault="00F02F03" w:rsidP="009570CA">
      <w:r w:rsidRPr="000665B0">
        <w:t>See</w:t>
      </w:r>
      <w:r w:rsidR="005D1A26" w:rsidRPr="000665B0">
        <w:t xml:space="preserve"> </w:t>
      </w:r>
      <w:hyperlink w:anchor="_5.2.1.6__Delete" w:history="1">
        <w:r w:rsidR="00B9720D" w:rsidRPr="000665B0">
          <w:rPr>
            <w:rStyle w:val="Hyperlink"/>
          </w:rPr>
          <w:t>Section 5.2.1.6</w:t>
        </w:r>
      </w:hyperlink>
      <w:r w:rsidR="005D1A26" w:rsidRPr="000665B0">
        <w:t>.</w:t>
      </w:r>
    </w:p>
    <w:p w14:paraId="60D76F16" w14:textId="3314ED8C" w:rsidR="005D1A26" w:rsidRPr="000665B0" w:rsidRDefault="005D1A26" w:rsidP="009570CA">
      <w:pPr>
        <w:pStyle w:val="Heading3"/>
      </w:pPr>
      <w:bookmarkStart w:id="5385" w:name="_Toc71955656"/>
      <w:bookmarkStart w:id="5386" w:name="_Toc96170197"/>
      <w:bookmarkStart w:id="5387" w:name="_Toc96234242"/>
      <w:bookmarkStart w:id="5388" w:name="_Toc112733665"/>
      <w:bookmarkStart w:id="5389" w:name="_Toc289328738"/>
      <w:bookmarkStart w:id="5390" w:name="_Toc312331988"/>
      <w:bookmarkStart w:id="5391" w:name="_Toc214283439"/>
      <w:r w:rsidRPr="000665B0">
        <w:t>Find</w:t>
      </w:r>
      <w:bookmarkEnd w:id="5385"/>
      <w:bookmarkEnd w:id="5386"/>
      <w:bookmarkEnd w:id="5387"/>
      <w:bookmarkEnd w:id="5388"/>
      <w:bookmarkEnd w:id="5389"/>
      <w:bookmarkEnd w:id="5390"/>
      <w:bookmarkEnd w:id="5391"/>
    </w:p>
    <w:p w14:paraId="43CD7D8D" w14:textId="4984D154" w:rsidR="005D1A26" w:rsidRPr="000665B0" w:rsidRDefault="00F02F03" w:rsidP="009570CA">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78C82BF5" w14:textId="77777777" w:rsidR="0008399B" w:rsidRPr="000665B0" w:rsidRDefault="0008399B" w:rsidP="009570CA">
      <w:pPr>
        <w:pStyle w:val="Heading3"/>
      </w:pPr>
      <w:bookmarkStart w:id="5392" w:name="_Toc214283440"/>
      <w:r w:rsidRPr="000665B0">
        <w:lastRenderedPageBreak/>
        <w:t>Plugin Tool</w:t>
      </w:r>
      <w:bookmarkEnd w:id="5392"/>
    </w:p>
    <w:p w14:paraId="2CA2B360" w14:textId="6F766A46" w:rsidR="0008399B" w:rsidRPr="000665B0" w:rsidRDefault="00F02F03" w:rsidP="009570CA">
      <w:r w:rsidRPr="000665B0">
        <w:t>See</w:t>
      </w:r>
      <w:r w:rsidR="0008399B" w:rsidRPr="000665B0">
        <w:t xml:space="preserve"> </w:t>
      </w:r>
      <w:hyperlink w:anchor="_Plugin__Tool" w:history="1">
        <w:r w:rsidR="0008399B" w:rsidRPr="000665B0">
          <w:rPr>
            <w:rStyle w:val="Hyperlink"/>
          </w:rPr>
          <w:t>Section 5.2.5.2</w:t>
        </w:r>
      </w:hyperlink>
      <w:r w:rsidR="0008399B" w:rsidRPr="000665B0">
        <w:t>.</w:t>
      </w:r>
    </w:p>
    <w:p w14:paraId="3D566CE7" w14:textId="3CB894BE" w:rsidR="009A0F3F" w:rsidRPr="000665B0" w:rsidRDefault="009A0F3F" w:rsidP="009570CA">
      <w:pPr>
        <w:pStyle w:val="Heading3"/>
      </w:pPr>
      <w:bookmarkStart w:id="5393" w:name="_Toc289328739"/>
      <w:bookmarkStart w:id="5394" w:name="_Toc312331989"/>
      <w:bookmarkStart w:id="5395" w:name="_Toc214283441"/>
      <w:r w:rsidRPr="000665B0">
        <w:t>Properties</w:t>
      </w:r>
      <w:bookmarkEnd w:id="5393"/>
      <w:bookmarkEnd w:id="5394"/>
      <w:bookmarkEnd w:id="5395"/>
    </w:p>
    <w:p w14:paraId="379CBC3A" w14:textId="720FC2B5" w:rsidR="009A0F3F" w:rsidRPr="000665B0" w:rsidRDefault="00F02F03" w:rsidP="009570CA">
      <w:r w:rsidRPr="000665B0">
        <w:t>See</w:t>
      </w:r>
      <w:r w:rsidR="009A0F3F" w:rsidRPr="000665B0">
        <w:t xml:space="preserve"> </w:t>
      </w:r>
      <w:hyperlink w:anchor="_5.2.3.4__Properties" w:history="1">
        <w:r w:rsidR="00A75813" w:rsidRPr="000665B0">
          <w:rPr>
            <w:rStyle w:val="Hyperlink"/>
          </w:rPr>
          <w:t>Section 5.2.3.5</w:t>
        </w:r>
      </w:hyperlink>
      <w:r w:rsidR="009A0F3F" w:rsidRPr="000665B0">
        <w:t>.</w:t>
      </w:r>
    </w:p>
    <w:p w14:paraId="12EDBC8A" w14:textId="5FC74C98" w:rsidR="009A0F3F" w:rsidRPr="000665B0" w:rsidRDefault="009A0F3F" w:rsidP="009570CA">
      <w:pPr>
        <w:pStyle w:val="Heading3"/>
      </w:pPr>
      <w:bookmarkStart w:id="5396" w:name="_Toc289328740"/>
      <w:bookmarkStart w:id="5397" w:name="_Toc312331990"/>
      <w:bookmarkStart w:id="5398" w:name="_Toc214283442"/>
      <w:r w:rsidRPr="000665B0">
        <w:t>Sort</w:t>
      </w:r>
      <w:bookmarkEnd w:id="5396"/>
      <w:bookmarkEnd w:id="5397"/>
      <w:bookmarkEnd w:id="5398"/>
    </w:p>
    <w:p w14:paraId="4566A7D7" w14:textId="594EDC7A" w:rsidR="009A0F3F" w:rsidRPr="000665B0" w:rsidRDefault="00F02F03" w:rsidP="009570CA">
      <w:r w:rsidRPr="000665B0">
        <w:t>See</w:t>
      </w:r>
      <w:r w:rsidR="009A0F3F" w:rsidRPr="000665B0">
        <w:t xml:space="preserve"> </w:t>
      </w:r>
      <w:hyperlink w:anchor="_5.2.3.4.1__Sort" w:history="1">
        <w:r w:rsidR="00A75813" w:rsidRPr="000665B0">
          <w:rPr>
            <w:rStyle w:val="Hyperlink"/>
          </w:rPr>
          <w:t>Section 5.2.3.5</w:t>
        </w:r>
        <w:r w:rsidR="00227F8B" w:rsidRPr="000665B0">
          <w:rPr>
            <w:rStyle w:val="Hyperlink"/>
          </w:rPr>
          <w:t>.1</w:t>
        </w:r>
      </w:hyperlink>
      <w:r w:rsidR="009A0F3F" w:rsidRPr="000665B0">
        <w:t>.</w:t>
      </w:r>
    </w:p>
    <w:p w14:paraId="1041927C" w14:textId="77777777" w:rsidR="00A316EA" w:rsidRDefault="00A316EA" w:rsidP="009570CA">
      <w:r>
        <w:br w:type="page"/>
      </w:r>
      <w:bookmarkStart w:id="5399" w:name="_Toc71955657"/>
      <w:bookmarkStart w:id="5400" w:name="_Toc96170198"/>
      <w:bookmarkStart w:id="5401" w:name="_Toc96234243"/>
      <w:bookmarkStart w:id="5402" w:name="_Toc112733666"/>
      <w:bookmarkStart w:id="5403" w:name="_Toc289328741"/>
      <w:bookmarkStart w:id="5404" w:name="_Toc312331991"/>
      <w:bookmarkStart w:id="5405" w:name="_Toc214283443"/>
      <w:r w:rsidR="005D1A26" w:rsidRPr="000665B0">
        <w:lastRenderedPageBreak/>
        <w:t>TARGETS TOOL</w:t>
      </w:r>
      <w:bookmarkEnd w:id="5399"/>
      <w:bookmarkEnd w:id="5400"/>
      <w:bookmarkEnd w:id="5401"/>
      <w:bookmarkEnd w:id="5402"/>
      <w:bookmarkEnd w:id="5403"/>
      <w:bookmarkEnd w:id="5404"/>
      <w:bookmarkEnd w:id="5405"/>
    </w:p>
    <w:p w14:paraId="52706008" w14:textId="3BB95AD1" w:rsidR="00631837" w:rsidRPr="000665B0" w:rsidRDefault="00631837" w:rsidP="009570CA">
      <w:bookmarkStart w:id="5406" w:name="_Toc71955658"/>
      <w:bookmarkStart w:id="5407" w:name="_Toc96170199"/>
      <w:bookmarkStart w:id="5408" w:name="_Toc96234244"/>
      <w:bookmarkStart w:id="5409" w:name="_Toc112733667"/>
      <w:bookmarkStart w:id="5410" w:name="_Toc289328742"/>
      <w:bookmarkStart w:id="5411" w:name="_Toc312331992"/>
      <w:r w:rsidRPr="000665B0">
        <w:t>The Targets Tool is a listing of all targets addressed by the missions in this system’s mission list and is referred to as the Target List View. The list is populated, or updated, by the successful addition of missions to the database (i.e., Mission Tool). As the mission is added, the Target information is extracted and added/updated in the Target List. For 109D missions, a Target is generated for each Target Segment with the exception of the Endpoint. In addition to generation of Targets by the processing of Mission Data, Targets can be added to MDS through the processing of a JIPTL, Target XML File</w:t>
      </w:r>
      <w:r w:rsidR="00526CAD" w:rsidRPr="000665B0">
        <w:t>,</w:t>
      </w:r>
      <w:r w:rsidRPr="000665B0">
        <w:t xml:space="preserve"> and manually.</w:t>
      </w:r>
    </w:p>
    <w:p w14:paraId="3C2107A5" w14:textId="77777777" w:rsidR="00631837" w:rsidRPr="000665B0" w:rsidRDefault="00631837" w:rsidP="009570CA">
      <w:r w:rsidRPr="000665B0">
        <w:t>To display the Target List View:</w:t>
      </w:r>
    </w:p>
    <w:p w14:paraId="5A2F1EA1" w14:textId="77777777" w:rsidR="00631837" w:rsidRPr="000665B0" w:rsidRDefault="00631837" w:rsidP="009570CA">
      <w:pPr>
        <w:pStyle w:val="Number0205"/>
        <w:ind w:left="360" w:firstLine="0"/>
      </w:pPr>
      <w:r w:rsidRPr="000665B0">
        <w:t xml:space="preserve">From the </w:t>
      </w:r>
      <w:r w:rsidRPr="000665B0">
        <w:rPr>
          <w:b/>
        </w:rPr>
        <w:t>Go</w:t>
      </w:r>
      <w:r w:rsidRPr="000665B0">
        <w:t xml:space="preserve"> menu select </w:t>
      </w:r>
      <w:r w:rsidRPr="000665B0">
        <w:rPr>
          <w:b/>
          <w:bCs/>
        </w:rPr>
        <w:t>Targets</w:t>
      </w:r>
      <w:r w:rsidRPr="000665B0">
        <w:t>.</w:t>
      </w:r>
    </w:p>
    <w:p w14:paraId="71388C1F" w14:textId="39E7824A" w:rsidR="005D1A26" w:rsidRPr="000665B0" w:rsidRDefault="005D1A26" w:rsidP="009570CA">
      <w:pPr>
        <w:pStyle w:val="Heading3"/>
      </w:pPr>
      <w:bookmarkStart w:id="5412" w:name="_5.32.1__Add"/>
      <w:bookmarkStart w:id="5413" w:name="_Add_New_Target"/>
      <w:bookmarkStart w:id="5414" w:name="_Toc214283444"/>
      <w:bookmarkEnd w:id="5412"/>
      <w:bookmarkEnd w:id="5413"/>
      <w:r w:rsidRPr="000665B0">
        <w:t>Add New Target</w:t>
      </w:r>
      <w:bookmarkEnd w:id="5406"/>
      <w:bookmarkEnd w:id="5407"/>
      <w:bookmarkEnd w:id="5408"/>
      <w:bookmarkEnd w:id="5409"/>
      <w:bookmarkEnd w:id="5410"/>
      <w:bookmarkEnd w:id="5411"/>
      <w:bookmarkEnd w:id="5414"/>
    </w:p>
    <w:p w14:paraId="2164751A" w14:textId="77777777" w:rsidR="00631837" w:rsidRPr="000665B0" w:rsidRDefault="00631837" w:rsidP="009570CA">
      <w:bookmarkStart w:id="5415" w:name="_Toc289328743"/>
      <w:bookmarkStart w:id="5416" w:name="_Toc312331993"/>
      <w:bookmarkStart w:id="5417" w:name="_Toc71955659"/>
      <w:bookmarkStart w:id="5418" w:name="_Toc96170200"/>
      <w:bookmarkStart w:id="5419" w:name="_Toc96234245"/>
      <w:bookmarkStart w:id="5420" w:name="_Toc112733668"/>
      <w:r w:rsidRPr="000665B0">
        <w:t xml:space="preserve">If it becomes apparent that a known target exists and it is not contained in the Target Tool, the operator has the option of adding targets to the database. However, since these targets were not part of the mission planning process, they will not have referenced missions. </w:t>
      </w:r>
    </w:p>
    <w:p w14:paraId="25ED3965" w14:textId="0EAE391D" w:rsidR="00631837" w:rsidRPr="000665B0" w:rsidRDefault="00631837" w:rsidP="009570CA">
      <w:r w:rsidRPr="000665B0">
        <w:t>If a new target is added, then there is a good chance that a mission should be planned against it. To initiate this process the operator can create and send a TMPR (</w:t>
      </w:r>
      <w:r w:rsidR="00650083" w:rsidRPr="000665B0">
        <w:t xml:space="preserve">see </w:t>
      </w:r>
      <w:hyperlink w:anchor="_5.36__MPRs_TOOL" w:history="1">
        <w:r w:rsidR="00650083" w:rsidRPr="000665B0">
          <w:rPr>
            <w:rStyle w:val="Hyperlink"/>
          </w:rPr>
          <w:t xml:space="preserve">Section </w:t>
        </w:r>
        <w:r w:rsidR="004231CC">
          <w:rPr>
            <w:rStyle w:val="Hyperlink"/>
          </w:rPr>
          <w:t>5.31</w:t>
        </w:r>
      </w:hyperlink>
      <w:r w:rsidRPr="000665B0">
        <w:t xml:space="preserve">). </w:t>
      </w:r>
    </w:p>
    <w:p w14:paraId="18BF8E18" w14:textId="77777777" w:rsidR="00631837" w:rsidRPr="000665B0" w:rsidRDefault="00631837" w:rsidP="009570CA">
      <w:r w:rsidRPr="000665B0">
        <w:t>These added targets can also be displayed geographically if desired.</w:t>
      </w:r>
    </w:p>
    <w:p w14:paraId="07BADD41" w14:textId="77777777" w:rsidR="00631837" w:rsidRPr="000665B0" w:rsidRDefault="00631837" w:rsidP="009570CA">
      <w:r w:rsidRPr="000665B0">
        <w:t>To add a new target:</w:t>
      </w:r>
    </w:p>
    <w:p w14:paraId="26C6B260" w14:textId="77777777" w:rsidR="00631837" w:rsidRPr="000665B0" w:rsidRDefault="00631837" w:rsidP="006D5A65">
      <w:pPr>
        <w:pStyle w:val="Heading1"/>
      </w:pPr>
      <w:r w:rsidRPr="000665B0">
        <w:t>Navigate to the Targets Tool.</w:t>
      </w:r>
    </w:p>
    <w:p w14:paraId="2FB5C359" w14:textId="3B37F442" w:rsidR="00631837" w:rsidRPr="000665B0" w:rsidRDefault="00631837" w:rsidP="006D5A65">
      <w:pPr>
        <w:pStyle w:val="Heading1"/>
      </w:pPr>
      <w:r w:rsidRPr="000665B0">
        <w:t xml:space="preserve">From the </w:t>
      </w:r>
      <w:r w:rsidRPr="000665B0">
        <w:rPr>
          <w:bCs/>
        </w:rPr>
        <w:t>File</w:t>
      </w:r>
      <w:r w:rsidRPr="000665B0">
        <w:t xml:space="preserve"> menu select </w:t>
      </w:r>
      <w:r w:rsidRPr="000665B0">
        <w:rPr>
          <w:bCs/>
        </w:rPr>
        <w:t>New</w:t>
      </w:r>
      <w:r w:rsidRPr="000665B0">
        <w:t xml:space="preserve">, click the New </w:t>
      </w:r>
      <w:r w:rsidRPr="000665B0">
        <w:rPr>
          <w:noProof/>
        </w:rPr>
        <w:drawing>
          <wp:inline distT="0" distB="0" distL="0" distR="0" wp14:anchorId="0D42AACB" wp14:editId="2F2ED620">
            <wp:extent cx="152400" cy="152400"/>
            <wp:effectExtent l="0" t="0" r="0" b="0"/>
            <wp:docPr id="446" name="Picture 446"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new 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Bar</w:t>
      </w:r>
      <w:r w:rsidR="00DB0CDF" w:rsidRPr="000665B0">
        <w:rPr>
          <w:szCs w:val="24"/>
        </w:rPr>
        <w:t xml:space="preserve">, or </w:t>
      </w:r>
      <w:r w:rsidR="00DB0CDF" w:rsidRPr="000665B0">
        <w:rPr>
          <w:noProof/>
          <w:szCs w:val="24"/>
        </w:rPr>
        <w:t>invoke the context menu (right-click the mouse) and select New…</w:t>
      </w:r>
      <w:r w:rsidRPr="000665B0">
        <w:t xml:space="preserve">. The </w:t>
      </w:r>
      <w:r w:rsidRPr="000665B0">
        <w:rPr>
          <w:i/>
        </w:rPr>
        <w:t>Target ID</w:t>
      </w:r>
      <w:r w:rsidRPr="000665B0">
        <w:t xml:space="preserve"> window </w:t>
      </w:r>
      <w:r w:rsidR="00C80F8C" w:rsidRPr="000665B0">
        <w:t>is</w:t>
      </w:r>
      <w:r w:rsidRPr="000665B0">
        <w:t xml:space="preserve"> displayed.</w:t>
      </w:r>
    </w:p>
    <w:p w14:paraId="773FE83B" w14:textId="56836CBF" w:rsidR="004B56A8" w:rsidRPr="000665B0" w:rsidRDefault="00961140" w:rsidP="009570CA">
      <w:pPr>
        <w:jc w:val="center"/>
      </w:pPr>
      <w:r w:rsidRPr="008C7060">
        <w:rPr>
          <w:noProof/>
        </w:rPr>
        <w:drawing>
          <wp:inline distT="0" distB="0" distL="0" distR="0" wp14:anchorId="0AEFB24F" wp14:editId="4C46673B">
            <wp:extent cx="4390998" cy="2994660"/>
            <wp:effectExtent l="0" t="0" r="0" b="0"/>
            <wp:docPr id="697" name="Picture 69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a:stretch>
                      <a:fillRect/>
                    </a:stretch>
                  </pic:blipFill>
                  <pic:spPr>
                    <a:xfrm>
                      <a:off x="0" y="0"/>
                      <a:ext cx="4397170" cy="2998869"/>
                    </a:xfrm>
                    <a:prstGeom prst="rect">
                      <a:avLst/>
                    </a:prstGeom>
                  </pic:spPr>
                </pic:pic>
              </a:graphicData>
            </a:graphic>
          </wp:inline>
        </w:drawing>
      </w:r>
    </w:p>
    <w:p w14:paraId="7AB19129" w14:textId="283F26BC" w:rsidR="00631837" w:rsidRPr="000665B0" w:rsidRDefault="00631837" w:rsidP="006D5A65">
      <w:pPr>
        <w:pStyle w:val="Heading1"/>
      </w:pPr>
      <w:r w:rsidRPr="000665B0">
        <w:lastRenderedPageBreak/>
        <w:t xml:space="preserve">In the </w:t>
      </w:r>
      <w:r w:rsidRPr="000665B0">
        <w:rPr>
          <w:i/>
        </w:rPr>
        <w:t>Target ID</w:t>
      </w:r>
      <w:r w:rsidRPr="000665B0">
        <w:t xml:space="preserve"> window, click the </w:t>
      </w:r>
      <w:r w:rsidRPr="000665B0">
        <w:rPr>
          <w:bCs/>
        </w:rPr>
        <w:t>Edit</w:t>
      </w:r>
      <w:r w:rsidRPr="000665B0">
        <w:t xml:space="preserve"> button, in the </w:t>
      </w:r>
      <w:r w:rsidRPr="000665B0">
        <w:rPr>
          <w:i/>
          <w:iCs/>
        </w:rPr>
        <w:t>Edit Classification</w:t>
      </w:r>
      <w:r w:rsidRPr="000665B0">
        <w:t xml:space="preserve"> window click the </w:t>
      </w:r>
      <w:r w:rsidRPr="000665B0">
        <w:sym w:font="Wingdings 3" w:char="F071"/>
      </w:r>
      <w:r w:rsidRPr="000665B0">
        <w:t xml:space="preserve">button to select a classification. For information on editing the classification see </w:t>
      </w:r>
      <w:hyperlink w:anchor="_5.2.7__Edit" w:history="1">
        <w:r w:rsidRPr="000665B0">
          <w:rPr>
            <w:rStyle w:val="Hyperlink"/>
          </w:rPr>
          <w:t>Section 5.2.7</w:t>
        </w:r>
      </w:hyperlink>
      <w:r w:rsidRPr="000665B0">
        <w:t>.</w:t>
      </w:r>
    </w:p>
    <w:p w14:paraId="091AD58C" w14:textId="6CA268B5" w:rsidR="00631837" w:rsidRPr="000665B0" w:rsidRDefault="00631837" w:rsidP="006D5A65">
      <w:pPr>
        <w:pStyle w:val="Heading1"/>
      </w:pPr>
      <w:r w:rsidRPr="000665B0">
        <w:t xml:space="preserve">Specify the Target Type by using the </w:t>
      </w:r>
      <w:r w:rsidRPr="000665B0">
        <w:sym w:font="Wingdings 3" w:char="F071"/>
      </w:r>
      <w:r w:rsidRPr="000665B0">
        <w:t xml:space="preserve"> button and selecting the desired Reference Type. Available choices are BE, JDPI, Tactical Target Number (TTN), and Unit Identification Code (UIC). </w:t>
      </w:r>
      <w:r w:rsidRPr="000665B0">
        <w:rPr>
          <w:szCs w:val="24"/>
        </w:rPr>
        <w:t>(Required) (</w:t>
      </w:r>
      <w:r w:rsidR="00E86B08" w:rsidRPr="000665B0">
        <w:rPr>
          <w:szCs w:val="24"/>
        </w:rPr>
        <w:t xml:space="preserve">cannot </w:t>
      </w:r>
      <w:r w:rsidRPr="000665B0">
        <w:rPr>
          <w:szCs w:val="24"/>
        </w:rPr>
        <w:t xml:space="preserve">be changed after a Target is saved.). </w:t>
      </w:r>
    </w:p>
    <w:p w14:paraId="657F14E1" w14:textId="77777777" w:rsidR="00631837" w:rsidRPr="000665B0" w:rsidRDefault="00631837" w:rsidP="006D5A65">
      <w:pPr>
        <w:pStyle w:val="Heading1"/>
      </w:pPr>
      <w:r w:rsidRPr="000665B0">
        <w:t xml:space="preserve">Enter a valid value for one or more of the following fields based on the selected Target Reference Type: </w:t>
      </w:r>
    </w:p>
    <w:p w14:paraId="5750DE58" w14:textId="77777777" w:rsidR="00631837" w:rsidRPr="000665B0" w:rsidRDefault="00631837" w:rsidP="009570CA">
      <w:pPr>
        <w:pStyle w:val="Bullet"/>
        <w:ind w:left="1080"/>
        <w:rPr>
          <w:b/>
        </w:rPr>
      </w:pPr>
      <w:r w:rsidRPr="000665B0">
        <w:rPr>
          <w:b/>
        </w:rPr>
        <w:t xml:space="preserve">Target ID </w:t>
      </w:r>
      <w:r w:rsidRPr="000665B0">
        <w:t>(The Target ID is made up of the Identification and Location Fields and cannot be changed after a Target is saved.)</w:t>
      </w:r>
      <w:r w:rsidRPr="000665B0">
        <w:rPr>
          <w:b/>
        </w:rPr>
        <w:t xml:space="preserve"> </w:t>
      </w:r>
    </w:p>
    <w:p w14:paraId="7FBE463D" w14:textId="1FD6D30A" w:rsidR="00E86B08" w:rsidRPr="000665B0" w:rsidRDefault="005C0E1D" w:rsidP="009570CA">
      <w:pPr>
        <w:pStyle w:val="Bullet"/>
        <w:ind w:left="1080"/>
      </w:pPr>
      <w:r w:rsidRPr="000665B0">
        <w:t xml:space="preserve">It is recommended to </w:t>
      </w:r>
      <w:r w:rsidR="00627680" w:rsidRPr="000665B0">
        <w:t>enter</w:t>
      </w:r>
      <w:r w:rsidR="00C00908" w:rsidRPr="000665B0">
        <w:t xml:space="preserve"> latitude and longitude coordinates that contain</w:t>
      </w:r>
      <w:r w:rsidRPr="000665B0">
        <w:t xml:space="preserve"> the same </w:t>
      </w:r>
      <w:r w:rsidR="00394013" w:rsidRPr="000665B0">
        <w:t>numerical</w:t>
      </w:r>
      <w:r w:rsidRPr="000665B0">
        <w:t xml:space="preserve"> precision (number of </w:t>
      </w:r>
      <w:r w:rsidR="00394013" w:rsidRPr="000665B0">
        <w:t>digits</w:t>
      </w:r>
      <w:r w:rsidR="00602C61" w:rsidRPr="000665B0">
        <w:t xml:space="preserve"> after the decimal place). S</w:t>
      </w:r>
      <w:r w:rsidR="00394013" w:rsidRPr="000665B0">
        <w:t xml:space="preserve">ee </w:t>
      </w:r>
      <w:hyperlink w:anchor="_Display_Textually_1" w:history="1">
        <w:r w:rsidR="00394013" w:rsidRPr="000665B0">
          <w:rPr>
            <w:rStyle w:val="Hyperlink"/>
          </w:rPr>
          <w:t xml:space="preserve">Section </w:t>
        </w:r>
        <w:r w:rsidR="004231CC">
          <w:rPr>
            <w:rStyle w:val="Hyperlink"/>
          </w:rPr>
          <w:t>5.28</w:t>
        </w:r>
        <w:r w:rsidR="00394013" w:rsidRPr="000665B0">
          <w:rPr>
            <w:rStyle w:val="Hyperlink"/>
          </w:rPr>
          <w:t>.2</w:t>
        </w:r>
      </w:hyperlink>
      <w:r w:rsidRPr="000665B0">
        <w:t xml:space="preserve">. </w:t>
      </w:r>
    </w:p>
    <w:p w14:paraId="546EB14E" w14:textId="77777777" w:rsidR="00631837" w:rsidRPr="000665B0" w:rsidRDefault="00631837" w:rsidP="006D5A65">
      <w:pPr>
        <w:pStyle w:val="Heading1"/>
      </w:pPr>
      <w:r w:rsidRPr="000665B0">
        <w:t>BE Based References:</w:t>
      </w:r>
    </w:p>
    <w:p w14:paraId="3594E749" w14:textId="77777777" w:rsidR="00631837" w:rsidRPr="000665B0" w:rsidRDefault="00631837" w:rsidP="006D5A65">
      <w:pPr>
        <w:pStyle w:val="Heading1"/>
      </w:pPr>
      <w:r w:rsidRPr="000665B0">
        <w:t>Reference Type (in this case the value “BE”)</w:t>
      </w:r>
    </w:p>
    <w:p w14:paraId="2C79AF37" w14:textId="13D0783B" w:rsidR="00631837" w:rsidRPr="000665B0" w:rsidRDefault="00631837" w:rsidP="006D5A65">
      <w:pPr>
        <w:pStyle w:val="Heading1"/>
      </w:pPr>
      <w:r w:rsidRPr="000665B0">
        <w:t xml:space="preserve">BE (This is a required field </w:t>
      </w:r>
      <w:r w:rsidR="00C10238" w:rsidRPr="000665B0">
        <w:t>[</w:t>
      </w:r>
      <w:r w:rsidRPr="000665B0">
        <w:t>as denoted by the * and/or yellow background</w:t>
      </w:r>
      <w:r w:rsidR="00C10238" w:rsidRPr="000665B0">
        <w:t xml:space="preserve">] </w:t>
      </w:r>
      <w:r w:rsidR="009F566D" w:rsidRPr="000665B0">
        <w:t>and the user</w:t>
      </w:r>
      <w:r w:rsidRPr="000665B0">
        <w:t xml:space="preserve"> is unable to proceed without updating this field. For further information on mandatory fields see </w:t>
      </w:r>
      <w:hyperlink w:anchor="_5.2.7__Editing" w:history="1">
        <w:r w:rsidRPr="000665B0">
          <w:rPr>
            <w:rStyle w:val="Hyperlink"/>
          </w:rPr>
          <w:t>Section 5.2.8</w:t>
        </w:r>
      </w:hyperlink>
      <w:r w:rsidRPr="000665B0">
        <w:t>.)</w:t>
      </w:r>
    </w:p>
    <w:p w14:paraId="5343A6B3" w14:textId="26011C95" w:rsidR="00631837" w:rsidRPr="000665B0" w:rsidRDefault="00631837" w:rsidP="006D5A65">
      <w:pPr>
        <w:pStyle w:val="Heading1"/>
      </w:pPr>
      <w:r w:rsidRPr="000665B0">
        <w:t>Aimpoint ID</w:t>
      </w:r>
      <w:r w:rsidR="00450F1A" w:rsidRPr="000665B0">
        <w:t xml:space="preserve"> </w:t>
      </w:r>
      <w:r w:rsidRPr="000665B0">
        <w:t xml:space="preserve">(This is a required field </w:t>
      </w:r>
      <w:r w:rsidR="00C10238" w:rsidRPr="000665B0">
        <w:t>[</w:t>
      </w:r>
      <w:r w:rsidRPr="000665B0">
        <w:t>as denoted by the * and/or yellow background</w:t>
      </w:r>
      <w:r w:rsidR="00C10238" w:rsidRPr="000665B0">
        <w:t xml:space="preserve">] </w:t>
      </w:r>
      <w:r w:rsidR="009F566D" w:rsidRPr="000665B0">
        <w:t>and the user</w:t>
      </w:r>
      <w:r w:rsidRPr="000665B0">
        <w:t xml:space="preserve"> is unable to proceed without updating this field. For further information on mandatory fields see </w:t>
      </w:r>
      <w:hyperlink w:anchor="_5.2.7__Editing" w:history="1">
        <w:r w:rsidRPr="000665B0">
          <w:rPr>
            <w:rStyle w:val="Hyperlink"/>
          </w:rPr>
          <w:t>Section 5.2.8</w:t>
        </w:r>
      </w:hyperlink>
      <w:r w:rsidRPr="000665B0">
        <w:t>.)</w:t>
      </w:r>
    </w:p>
    <w:p w14:paraId="655EF312" w14:textId="3EEEDA32" w:rsidR="00631837" w:rsidRPr="000665B0" w:rsidRDefault="00631837" w:rsidP="006D5A65">
      <w:pPr>
        <w:pStyle w:val="Heading1"/>
      </w:pPr>
      <w:r w:rsidRPr="000665B0">
        <w:t>Latitude (optional)</w:t>
      </w:r>
      <w:r w:rsidR="00321DB2" w:rsidRPr="000665B0">
        <w:t xml:space="preserve"> (Mandatory if Elevation is specified)</w:t>
      </w:r>
    </w:p>
    <w:p w14:paraId="069FF5C6" w14:textId="5E9CE748" w:rsidR="00631837" w:rsidRPr="000665B0" w:rsidRDefault="00631837" w:rsidP="006D5A65">
      <w:pPr>
        <w:pStyle w:val="Heading1"/>
      </w:pPr>
      <w:r w:rsidRPr="000665B0">
        <w:t>Longitude (optional)</w:t>
      </w:r>
      <w:r w:rsidR="00321DB2" w:rsidRPr="000665B0">
        <w:t xml:space="preserve"> (Mandatory if Elevation is specified)</w:t>
      </w:r>
    </w:p>
    <w:p w14:paraId="41A4668D" w14:textId="77777777" w:rsidR="00631837" w:rsidRPr="000665B0" w:rsidRDefault="00631837" w:rsidP="006D5A65">
      <w:pPr>
        <w:pStyle w:val="Heading1"/>
      </w:pPr>
      <w:r w:rsidRPr="000665B0">
        <w:t>Elevation (optional)</w:t>
      </w:r>
    </w:p>
    <w:p w14:paraId="5AFEFCD9" w14:textId="77777777" w:rsidR="00631837" w:rsidRPr="000665B0" w:rsidRDefault="00631837" w:rsidP="006D5A65">
      <w:pPr>
        <w:pStyle w:val="Heading1"/>
      </w:pPr>
      <w:r w:rsidRPr="000665B0">
        <w:t>Elevation Reference Type (Mandatory if Elevation is specified)</w:t>
      </w:r>
    </w:p>
    <w:p w14:paraId="0336F192" w14:textId="39F64A81" w:rsidR="00631837" w:rsidRPr="000665B0" w:rsidRDefault="00631837" w:rsidP="009570CA">
      <w:pPr>
        <w:pStyle w:val="Number0205"/>
        <w:ind w:firstLine="0"/>
      </w:pPr>
      <w:r w:rsidRPr="000665B0">
        <w:t>The unique ID will look like (BE:AAAAAAAAAA</w:t>
      </w:r>
      <w:r w:rsidR="00394013" w:rsidRPr="000665B0">
        <w:t>,</w:t>
      </w:r>
      <w:r w:rsidRPr="000665B0">
        <w:t>CC:00-00-00.000N:000-00-00.000E:00000; where A is BE ID, C is Aimpoint ID)</w:t>
      </w:r>
      <w:r w:rsidR="00394013" w:rsidRPr="000665B0">
        <w:t xml:space="preserve">. The latitude and longitude values </w:t>
      </w:r>
      <w:r w:rsidR="0012713B" w:rsidRPr="000665B0">
        <w:t xml:space="preserve">both </w:t>
      </w:r>
      <w:r w:rsidR="00394013" w:rsidRPr="000665B0">
        <w:t>display coordinates that contain the lowest numerical precision (</w:t>
      </w:r>
      <w:r w:rsidR="00757F84" w:rsidRPr="000665B0">
        <w:t xml:space="preserve">fewest </w:t>
      </w:r>
      <w:r w:rsidR="00394013" w:rsidRPr="000665B0">
        <w:t>number of digits after the decimal place)</w:t>
      </w:r>
      <w:r w:rsidR="00602C61" w:rsidRPr="000665B0">
        <w:t>,</w:t>
      </w:r>
      <w:r w:rsidR="00394013" w:rsidRPr="000665B0">
        <w:t xml:space="preserve"> of the least-precise coordinate when the Target is saved (see </w:t>
      </w:r>
      <w:hyperlink w:anchor="_Display_Textually_1" w:history="1">
        <w:r w:rsidR="00394013" w:rsidRPr="000665B0">
          <w:rPr>
            <w:rStyle w:val="Hyperlink"/>
          </w:rPr>
          <w:t xml:space="preserve">Section </w:t>
        </w:r>
        <w:r w:rsidR="004231CC">
          <w:rPr>
            <w:rStyle w:val="Hyperlink"/>
          </w:rPr>
          <w:t>5.28</w:t>
        </w:r>
        <w:r w:rsidR="00394013" w:rsidRPr="000665B0">
          <w:rPr>
            <w:rStyle w:val="Hyperlink"/>
          </w:rPr>
          <w:t>.2</w:t>
        </w:r>
      </w:hyperlink>
      <w:r w:rsidR="00394013" w:rsidRPr="000665B0">
        <w:t>).</w:t>
      </w:r>
    </w:p>
    <w:p w14:paraId="6DDE0E41" w14:textId="77777777" w:rsidR="00631837" w:rsidRPr="000665B0" w:rsidRDefault="00631837" w:rsidP="006D5A65">
      <w:pPr>
        <w:pStyle w:val="Heading1"/>
      </w:pPr>
      <w:r w:rsidRPr="000665B0">
        <w:lastRenderedPageBreak/>
        <w:t>JDPI Based References:</w:t>
      </w:r>
    </w:p>
    <w:p w14:paraId="7AD5D7DC" w14:textId="77777777" w:rsidR="00631837" w:rsidRPr="000665B0" w:rsidRDefault="00631837" w:rsidP="006D5A65">
      <w:pPr>
        <w:pStyle w:val="Heading1"/>
      </w:pPr>
      <w:r w:rsidRPr="000665B0">
        <w:t>Reference Type (in this case the value “JDPI”)</w:t>
      </w:r>
    </w:p>
    <w:p w14:paraId="78C71A9D" w14:textId="77777777" w:rsidR="00631837" w:rsidRPr="000665B0" w:rsidRDefault="00631837" w:rsidP="006D5A65">
      <w:pPr>
        <w:pStyle w:val="Heading1"/>
      </w:pPr>
      <w:r w:rsidRPr="000665B0">
        <w:t>JDPI ID (Mandatory when denoted by the *)</w:t>
      </w:r>
    </w:p>
    <w:p w14:paraId="0954F771" w14:textId="44619EE1" w:rsidR="00631837" w:rsidRPr="000665B0" w:rsidRDefault="00631837" w:rsidP="006D5A65">
      <w:pPr>
        <w:pStyle w:val="Heading1"/>
      </w:pPr>
      <w:r w:rsidRPr="000665B0">
        <w:t>Latitude (optional)</w:t>
      </w:r>
      <w:r w:rsidR="00321DB2" w:rsidRPr="000665B0">
        <w:t xml:space="preserve"> (Mandatory if Elevation is specified)</w:t>
      </w:r>
    </w:p>
    <w:p w14:paraId="1BA56E03" w14:textId="701902E4" w:rsidR="00631837" w:rsidRPr="000665B0" w:rsidRDefault="00631837" w:rsidP="006D5A65">
      <w:pPr>
        <w:pStyle w:val="Heading1"/>
      </w:pPr>
      <w:r w:rsidRPr="000665B0">
        <w:t>Longitude (optional)</w:t>
      </w:r>
      <w:r w:rsidR="00321DB2" w:rsidRPr="000665B0">
        <w:t xml:space="preserve"> (Mandatory if Elevation is specified)</w:t>
      </w:r>
    </w:p>
    <w:p w14:paraId="347A3944" w14:textId="77777777" w:rsidR="00631837" w:rsidRPr="000665B0" w:rsidRDefault="00631837" w:rsidP="006D5A65">
      <w:pPr>
        <w:pStyle w:val="Heading1"/>
      </w:pPr>
      <w:r w:rsidRPr="000665B0">
        <w:t>Elevation (optional)</w:t>
      </w:r>
    </w:p>
    <w:p w14:paraId="4FF3A6D1" w14:textId="77777777" w:rsidR="00631837" w:rsidRPr="000665B0" w:rsidRDefault="00631837" w:rsidP="006D5A65">
      <w:pPr>
        <w:pStyle w:val="Heading1"/>
      </w:pPr>
      <w:r w:rsidRPr="000665B0">
        <w:t>Elevation Reference Type (Mandatory if Elevation is specified)</w:t>
      </w:r>
    </w:p>
    <w:p w14:paraId="515373D8" w14:textId="46086518" w:rsidR="00631837" w:rsidRPr="000665B0" w:rsidRDefault="00631837" w:rsidP="009570CA">
      <w:pPr>
        <w:pStyle w:val="Number0205"/>
        <w:ind w:firstLine="0"/>
      </w:pPr>
      <w:r w:rsidRPr="000665B0">
        <w:t>The unique ID will look like (JDPI:JJJJJJ:00-00-00.000N:000-00-00.000E:00000; where J is JDPI ID)</w:t>
      </w:r>
      <w:r w:rsidR="00394013" w:rsidRPr="000665B0">
        <w:t xml:space="preserve">. The latitude and longitude values </w:t>
      </w:r>
      <w:r w:rsidR="0012713B" w:rsidRPr="000665B0">
        <w:t xml:space="preserve">both </w:t>
      </w:r>
      <w:r w:rsidR="00394013" w:rsidRPr="000665B0">
        <w:t>display coordinates that contain the lowest numerical precision (</w:t>
      </w:r>
      <w:r w:rsidR="00757F84" w:rsidRPr="000665B0">
        <w:t xml:space="preserve">fewest </w:t>
      </w:r>
      <w:r w:rsidR="00394013" w:rsidRPr="000665B0">
        <w:t>number of digits after the decimal place)</w:t>
      </w:r>
      <w:r w:rsidR="00602C61" w:rsidRPr="000665B0">
        <w:t>,</w:t>
      </w:r>
      <w:r w:rsidR="00394013" w:rsidRPr="000665B0">
        <w:t xml:space="preserve"> of the least-precise coordinate when the Target is saved (see </w:t>
      </w:r>
      <w:hyperlink w:anchor="_Display_Textually_1" w:history="1">
        <w:r w:rsidR="00394013" w:rsidRPr="000665B0">
          <w:rPr>
            <w:rStyle w:val="Hyperlink"/>
          </w:rPr>
          <w:t xml:space="preserve">Section </w:t>
        </w:r>
        <w:r w:rsidR="004231CC">
          <w:rPr>
            <w:rStyle w:val="Hyperlink"/>
          </w:rPr>
          <w:t>5.28</w:t>
        </w:r>
        <w:r w:rsidR="00394013" w:rsidRPr="000665B0">
          <w:rPr>
            <w:rStyle w:val="Hyperlink"/>
          </w:rPr>
          <w:t>.2</w:t>
        </w:r>
      </w:hyperlink>
      <w:r w:rsidR="00394013" w:rsidRPr="000665B0">
        <w:t>).</w:t>
      </w:r>
    </w:p>
    <w:p w14:paraId="09901018" w14:textId="77777777" w:rsidR="00631837" w:rsidRPr="000665B0" w:rsidRDefault="00631837" w:rsidP="006D5A65">
      <w:pPr>
        <w:pStyle w:val="Heading1"/>
      </w:pPr>
      <w:r w:rsidRPr="000665B0">
        <w:t>TTN Based Reference:</w:t>
      </w:r>
    </w:p>
    <w:p w14:paraId="76C62E66" w14:textId="77777777" w:rsidR="00631837" w:rsidRPr="000665B0" w:rsidRDefault="00631837" w:rsidP="006D5A65">
      <w:pPr>
        <w:pStyle w:val="Heading1"/>
      </w:pPr>
      <w:r w:rsidRPr="000665B0">
        <w:t>Reference Type (in this case the value “TTN”)</w:t>
      </w:r>
    </w:p>
    <w:p w14:paraId="2BEEFC69" w14:textId="77777777" w:rsidR="00631837" w:rsidRPr="000665B0" w:rsidRDefault="00631837" w:rsidP="006D5A65">
      <w:pPr>
        <w:pStyle w:val="Heading1"/>
      </w:pPr>
      <w:r w:rsidRPr="000665B0">
        <w:t>TTN ID (Mandatory when denoted by the *)</w:t>
      </w:r>
    </w:p>
    <w:p w14:paraId="0A561DA4" w14:textId="0A90C6EA" w:rsidR="00631837" w:rsidRPr="000665B0" w:rsidRDefault="00631837" w:rsidP="006D5A65">
      <w:pPr>
        <w:pStyle w:val="Heading1"/>
      </w:pPr>
      <w:r w:rsidRPr="000665B0">
        <w:t>Latitude (optional)</w:t>
      </w:r>
      <w:r w:rsidR="00321DB2" w:rsidRPr="000665B0">
        <w:t xml:space="preserve"> (Mandatory if Elevation is specified)</w:t>
      </w:r>
    </w:p>
    <w:p w14:paraId="24BBD9B9" w14:textId="6F2BA9A4" w:rsidR="00631837" w:rsidRPr="000665B0" w:rsidRDefault="00631837" w:rsidP="006D5A65">
      <w:pPr>
        <w:pStyle w:val="Heading1"/>
      </w:pPr>
      <w:r w:rsidRPr="000665B0">
        <w:t>Longitude (optional)</w:t>
      </w:r>
      <w:r w:rsidR="00321DB2" w:rsidRPr="000665B0">
        <w:t xml:space="preserve"> (Mandatory if Elevation is specified)</w:t>
      </w:r>
    </w:p>
    <w:p w14:paraId="559C4A13" w14:textId="77777777" w:rsidR="00631837" w:rsidRPr="000665B0" w:rsidRDefault="00631837" w:rsidP="006D5A65">
      <w:pPr>
        <w:pStyle w:val="Heading1"/>
      </w:pPr>
      <w:r w:rsidRPr="000665B0">
        <w:t>Elevation (optional)</w:t>
      </w:r>
    </w:p>
    <w:p w14:paraId="67D299C2" w14:textId="77777777" w:rsidR="00631837" w:rsidRPr="000665B0" w:rsidRDefault="00631837" w:rsidP="006D5A65">
      <w:pPr>
        <w:pStyle w:val="Heading1"/>
      </w:pPr>
      <w:r w:rsidRPr="000665B0">
        <w:t>Elevation Reference Type (Mandatory if Elevation is specified)</w:t>
      </w:r>
    </w:p>
    <w:p w14:paraId="1561A609" w14:textId="6A9D5D37" w:rsidR="00631837" w:rsidRPr="000665B0" w:rsidRDefault="00631837" w:rsidP="009570CA">
      <w:pPr>
        <w:pStyle w:val="Number0205"/>
        <w:ind w:firstLine="0"/>
      </w:pPr>
      <w:r w:rsidRPr="000665B0">
        <w:t>The unique ID will look like (TTN:</w:t>
      </w:r>
      <w:r w:rsidR="00757F84" w:rsidRPr="000665B0">
        <w:t>TTTTT</w:t>
      </w:r>
      <w:r w:rsidRPr="000665B0">
        <w:t>TTTTT:00-00-00.000N:000-00-00.000E:00000; where T is TTN ID)</w:t>
      </w:r>
      <w:r w:rsidR="009C21B3" w:rsidRPr="000665B0">
        <w:t>.</w:t>
      </w:r>
      <w:r w:rsidRPr="000665B0">
        <w:t xml:space="preserve"> </w:t>
      </w:r>
      <w:r w:rsidR="00394013" w:rsidRPr="000665B0">
        <w:t xml:space="preserve">The latitude and longitude values </w:t>
      </w:r>
      <w:r w:rsidR="0012713B" w:rsidRPr="000665B0">
        <w:t xml:space="preserve">both </w:t>
      </w:r>
      <w:r w:rsidR="00394013" w:rsidRPr="000665B0">
        <w:t>display coordinates that contain the lowest numerical precision (</w:t>
      </w:r>
      <w:r w:rsidR="00757F84" w:rsidRPr="000665B0">
        <w:t xml:space="preserve">fewest </w:t>
      </w:r>
      <w:r w:rsidR="00394013" w:rsidRPr="000665B0">
        <w:t>number of digits after the decimal place)</w:t>
      </w:r>
      <w:r w:rsidR="00602C61" w:rsidRPr="000665B0">
        <w:t>,</w:t>
      </w:r>
      <w:r w:rsidR="00394013" w:rsidRPr="000665B0">
        <w:t xml:space="preserve"> of the least-precise coordinate when the Target is saved (see </w:t>
      </w:r>
      <w:hyperlink w:anchor="_Display_Textually_1" w:history="1">
        <w:r w:rsidR="00394013" w:rsidRPr="000665B0">
          <w:rPr>
            <w:rStyle w:val="Hyperlink"/>
          </w:rPr>
          <w:t xml:space="preserve">Section </w:t>
        </w:r>
        <w:r w:rsidR="004231CC">
          <w:rPr>
            <w:rStyle w:val="Hyperlink"/>
          </w:rPr>
          <w:t>5.28</w:t>
        </w:r>
        <w:r w:rsidR="00394013" w:rsidRPr="000665B0">
          <w:rPr>
            <w:rStyle w:val="Hyperlink"/>
          </w:rPr>
          <w:t>.2</w:t>
        </w:r>
      </w:hyperlink>
      <w:r w:rsidR="00394013" w:rsidRPr="000665B0">
        <w:t>).</w:t>
      </w:r>
    </w:p>
    <w:p w14:paraId="5E2B52BA" w14:textId="77777777" w:rsidR="00631837" w:rsidRPr="000665B0" w:rsidRDefault="00631837" w:rsidP="006D5A65">
      <w:pPr>
        <w:pStyle w:val="Heading1"/>
      </w:pPr>
      <w:r w:rsidRPr="000665B0">
        <w:t>UIC Based References:</w:t>
      </w:r>
    </w:p>
    <w:p w14:paraId="3F1190E6" w14:textId="77777777" w:rsidR="00631837" w:rsidRPr="000665B0" w:rsidRDefault="00631837" w:rsidP="006D5A65">
      <w:pPr>
        <w:pStyle w:val="Heading1"/>
      </w:pPr>
      <w:r w:rsidRPr="000665B0">
        <w:t>Reference Type (in this case the value “UIC”)</w:t>
      </w:r>
    </w:p>
    <w:p w14:paraId="1FF08D8A" w14:textId="77777777" w:rsidR="00631837" w:rsidRPr="000665B0" w:rsidRDefault="00631837" w:rsidP="006D5A65">
      <w:pPr>
        <w:pStyle w:val="Heading1"/>
      </w:pPr>
      <w:r w:rsidRPr="000665B0">
        <w:t>UIC ID (Mandatory when denoted by the *)</w:t>
      </w:r>
    </w:p>
    <w:p w14:paraId="6A72B3A2" w14:textId="7917DFFA" w:rsidR="00631837" w:rsidRPr="000665B0" w:rsidRDefault="00631837" w:rsidP="006D5A65">
      <w:pPr>
        <w:pStyle w:val="Heading1"/>
      </w:pPr>
      <w:r w:rsidRPr="000665B0">
        <w:t>Latitude (optional)</w:t>
      </w:r>
      <w:r w:rsidR="00321DB2" w:rsidRPr="000665B0">
        <w:t xml:space="preserve"> (Mandatory if Elevation is specified)</w:t>
      </w:r>
    </w:p>
    <w:p w14:paraId="4D623926" w14:textId="23F86D23" w:rsidR="00631837" w:rsidRPr="000665B0" w:rsidRDefault="00631837" w:rsidP="006D5A65">
      <w:pPr>
        <w:pStyle w:val="Heading1"/>
      </w:pPr>
      <w:r w:rsidRPr="000665B0">
        <w:t>Longitude (optional)</w:t>
      </w:r>
      <w:r w:rsidR="00321DB2" w:rsidRPr="000665B0">
        <w:t xml:space="preserve"> (Mandatory if Elevation is specified)</w:t>
      </w:r>
    </w:p>
    <w:p w14:paraId="4C3744D7" w14:textId="77777777" w:rsidR="00631837" w:rsidRPr="000665B0" w:rsidRDefault="00631837" w:rsidP="006D5A65">
      <w:pPr>
        <w:pStyle w:val="Heading1"/>
      </w:pPr>
      <w:r w:rsidRPr="000665B0">
        <w:t>Elevation (optional)</w:t>
      </w:r>
    </w:p>
    <w:p w14:paraId="7F58C45E" w14:textId="77777777" w:rsidR="00631837" w:rsidRPr="000665B0" w:rsidRDefault="00631837" w:rsidP="006D5A65">
      <w:pPr>
        <w:pStyle w:val="Heading1"/>
      </w:pPr>
      <w:r w:rsidRPr="000665B0">
        <w:t>Elevation Reference Type (Mandatory if Elevation is specified)</w:t>
      </w:r>
    </w:p>
    <w:p w14:paraId="0B72494E" w14:textId="5C25AB0D" w:rsidR="00631837" w:rsidRPr="000665B0" w:rsidRDefault="00631837" w:rsidP="009570CA">
      <w:pPr>
        <w:pStyle w:val="Number0205"/>
        <w:ind w:firstLine="0"/>
        <w:rPr>
          <w:b/>
        </w:rPr>
      </w:pPr>
      <w:r w:rsidRPr="000665B0">
        <w:t>The unique ID will look like (UIC:UUUUUUUU:00-00-00.000N:000-00-00.000E:00000; where U is UIC ID)</w:t>
      </w:r>
      <w:r w:rsidR="00394013" w:rsidRPr="000665B0">
        <w:t xml:space="preserve">. The latitude and longitude values </w:t>
      </w:r>
      <w:r w:rsidR="0012713B" w:rsidRPr="000665B0">
        <w:t xml:space="preserve">both </w:t>
      </w:r>
      <w:r w:rsidR="00394013" w:rsidRPr="000665B0">
        <w:t>display coordinates that contain the lowest numerical precision (</w:t>
      </w:r>
      <w:r w:rsidR="00757F84" w:rsidRPr="000665B0">
        <w:t xml:space="preserve">fewest </w:t>
      </w:r>
      <w:r w:rsidR="00394013" w:rsidRPr="000665B0">
        <w:t>number of digits after the decimal place)</w:t>
      </w:r>
      <w:r w:rsidR="00602C61" w:rsidRPr="000665B0">
        <w:t>,</w:t>
      </w:r>
      <w:r w:rsidR="00394013" w:rsidRPr="000665B0">
        <w:t xml:space="preserve"> of the least-precise coordinate when the Target is saved (see </w:t>
      </w:r>
      <w:hyperlink w:anchor="_Display_Textually_1" w:history="1">
        <w:r w:rsidR="00394013" w:rsidRPr="000665B0">
          <w:rPr>
            <w:rStyle w:val="Hyperlink"/>
          </w:rPr>
          <w:t xml:space="preserve">Section </w:t>
        </w:r>
        <w:r w:rsidR="004231CC">
          <w:rPr>
            <w:rStyle w:val="Hyperlink"/>
          </w:rPr>
          <w:t>5.28</w:t>
        </w:r>
        <w:r w:rsidR="00394013" w:rsidRPr="000665B0">
          <w:rPr>
            <w:rStyle w:val="Hyperlink"/>
          </w:rPr>
          <w:t>.2</w:t>
        </w:r>
      </w:hyperlink>
      <w:r w:rsidR="00394013" w:rsidRPr="000665B0">
        <w:t>).</w:t>
      </w:r>
    </w:p>
    <w:p w14:paraId="3A72F241" w14:textId="77777777" w:rsidR="00631837" w:rsidRPr="000665B0" w:rsidRDefault="00631837" w:rsidP="006D5A65">
      <w:pPr>
        <w:pStyle w:val="Heading1"/>
      </w:pPr>
      <w:r w:rsidRPr="000665B0">
        <w:lastRenderedPageBreak/>
        <w:t>OSuffix (Optional)</w:t>
      </w:r>
    </w:p>
    <w:p w14:paraId="66C474F0" w14:textId="77777777" w:rsidR="00631837" w:rsidRPr="000665B0" w:rsidRDefault="00631837" w:rsidP="006D5A65">
      <w:pPr>
        <w:pStyle w:val="Heading1"/>
      </w:pPr>
      <w:r w:rsidRPr="000665B0">
        <w:t>Enter Facility Name (optional).</w:t>
      </w:r>
    </w:p>
    <w:p w14:paraId="19C7066A" w14:textId="77777777" w:rsidR="00631837" w:rsidRPr="000665B0" w:rsidRDefault="00631837" w:rsidP="006D5A65">
      <w:pPr>
        <w:pStyle w:val="Heading1"/>
      </w:pPr>
      <w:r w:rsidRPr="000665B0">
        <w:t>Enter the Installation Name (optional).</w:t>
      </w:r>
    </w:p>
    <w:p w14:paraId="034DC137" w14:textId="77777777" w:rsidR="00631837" w:rsidRPr="000665B0" w:rsidRDefault="00631837" w:rsidP="006D5A65">
      <w:pPr>
        <w:pStyle w:val="Heading1"/>
      </w:pPr>
      <w:r w:rsidRPr="000665B0">
        <w:t>Enter User Target Number (optional).</w:t>
      </w:r>
    </w:p>
    <w:p w14:paraId="58FA1101" w14:textId="77777777" w:rsidR="00631837" w:rsidRPr="000665B0" w:rsidRDefault="00631837" w:rsidP="006D5A65">
      <w:pPr>
        <w:pStyle w:val="Heading1"/>
      </w:pPr>
      <w:r w:rsidRPr="000665B0">
        <w:t>Enter the Category Code (optional).</w:t>
      </w:r>
    </w:p>
    <w:p w14:paraId="6AB9AB64" w14:textId="1773C277" w:rsidR="009E1324" w:rsidRPr="000665B0" w:rsidRDefault="00631837" w:rsidP="006D5A65">
      <w:pPr>
        <w:pStyle w:val="Heading1"/>
      </w:pPr>
      <w:r w:rsidRPr="000665B0">
        <w:t xml:space="preserve">Using the </w:t>
      </w:r>
      <w:r w:rsidRPr="000665B0">
        <w:sym w:font="Wingdings 3" w:char="F071"/>
      </w:r>
      <w:r w:rsidRPr="000665B0">
        <w:t xml:space="preserve"> button select the Target Type (optional).</w:t>
      </w:r>
      <w:r w:rsidR="009E1324" w:rsidRPr="000665B0">
        <w:t xml:space="preserve"> </w:t>
      </w:r>
    </w:p>
    <w:p w14:paraId="246133F8" w14:textId="6C5BFC28" w:rsidR="009E1324" w:rsidRPr="000665B0" w:rsidRDefault="009E1324" w:rsidP="006D5A65">
      <w:pPr>
        <w:pStyle w:val="Heading1"/>
      </w:pPr>
      <w:r w:rsidRPr="000665B0">
        <w:t xml:space="preserve">Using the </w:t>
      </w:r>
      <w:r w:rsidRPr="000665B0">
        <w:sym w:font="Wingdings 3" w:char="F071"/>
      </w:r>
      <w:r w:rsidRPr="000665B0">
        <w:t xml:space="preserve"> button select the TAR Type (optional).</w:t>
      </w:r>
    </w:p>
    <w:p w14:paraId="067B6F07" w14:textId="77777777" w:rsidR="00631837" w:rsidRPr="000665B0" w:rsidRDefault="00631837" w:rsidP="006D5A65">
      <w:pPr>
        <w:pStyle w:val="Heading1"/>
      </w:pPr>
      <w:r w:rsidRPr="000665B0">
        <w:t xml:space="preserve">Using the </w:t>
      </w:r>
      <w:r w:rsidRPr="000665B0">
        <w:sym w:font="Wingdings 3" w:char="F071"/>
      </w:r>
      <w:r w:rsidRPr="000665B0">
        <w:t xml:space="preserve"> button select the Country (optional).</w:t>
      </w:r>
    </w:p>
    <w:p w14:paraId="485F0B13" w14:textId="77777777" w:rsidR="00631837" w:rsidRPr="000665B0" w:rsidRDefault="00631837" w:rsidP="006D5A65">
      <w:pPr>
        <w:pStyle w:val="Heading1"/>
      </w:pPr>
      <w:r w:rsidRPr="000665B0">
        <w:t>Enter the Aimpoint Description (optional).</w:t>
      </w:r>
    </w:p>
    <w:p w14:paraId="0138C633" w14:textId="77777777" w:rsidR="00631837" w:rsidRPr="000665B0" w:rsidRDefault="00631837" w:rsidP="006D5A65">
      <w:pPr>
        <w:pStyle w:val="Heading1"/>
      </w:pPr>
      <w:r w:rsidRPr="000665B0">
        <w:t>Enter the Critical Element information (optional).</w:t>
      </w:r>
    </w:p>
    <w:p w14:paraId="1ED92456" w14:textId="30A38F77" w:rsidR="00E86B08" w:rsidRPr="00D7579B" w:rsidRDefault="00E86B08" w:rsidP="006D5A65">
      <w:pPr>
        <w:pStyle w:val="Heading1"/>
      </w:pPr>
      <w:r w:rsidRPr="000665B0">
        <w:t xml:space="preserve">From the File menu select </w:t>
      </w:r>
      <w:r w:rsidRPr="000665B0">
        <w:rPr>
          <w:bCs/>
        </w:rPr>
        <w:t>Save</w:t>
      </w:r>
      <w:r w:rsidRPr="000665B0">
        <w:t xml:space="preserve"> or select the Save icon </w:t>
      </w:r>
      <w:r w:rsidRPr="000665B0">
        <w:sym w:font="Wingdings" w:char="F03C"/>
      </w:r>
      <w:r w:rsidRPr="000665B0">
        <w:t xml:space="preserve"> on the toolbar</w:t>
      </w:r>
      <w:r w:rsidRPr="000665B0">
        <w:rPr>
          <w:rFonts w:eastAsia="Calibri"/>
        </w:rPr>
        <w:t>.</w:t>
      </w:r>
    </w:p>
    <w:p w14:paraId="37B43A0F" w14:textId="77777777" w:rsidR="00961140" w:rsidRDefault="00961140" w:rsidP="009570CA">
      <w:pPr>
        <w:pStyle w:val="Heading4"/>
      </w:pPr>
      <w:bookmarkStart w:id="5421" w:name="_Hlk140223374"/>
      <w:r>
        <w:t>MGRS Conversion</w:t>
      </w:r>
    </w:p>
    <w:p w14:paraId="18242E10" w14:textId="640EAD7A" w:rsidR="00961140" w:rsidRDefault="00961140" w:rsidP="009570CA">
      <w:pPr>
        <w:pStyle w:val="Bullet"/>
      </w:pPr>
      <w:r>
        <w:t xml:space="preserve">After the user enters a valid latitude and longitude, the latitude/longitude coordinates can be </w:t>
      </w:r>
      <w:r w:rsidR="002708FD">
        <w:t xml:space="preserve">directly </w:t>
      </w:r>
      <w:r>
        <w:t>converted to a Military Grid Reference System (MGRS) coordinate in MDS.</w:t>
      </w:r>
    </w:p>
    <w:p w14:paraId="3F07E2C5" w14:textId="77777777" w:rsidR="00961140" w:rsidRDefault="00961140" w:rsidP="006D5A65">
      <w:pPr>
        <w:pStyle w:val="Heading1"/>
      </w:pPr>
      <w:r>
        <w:t xml:space="preserve">In the </w:t>
      </w:r>
      <w:r>
        <w:rPr>
          <w:bCs/>
        </w:rPr>
        <w:t>Location</w:t>
      </w:r>
      <w:r>
        <w:t xml:space="preserve"> pane, select the latitude/longitude radio button to swap to latitude/longitude.</w:t>
      </w:r>
    </w:p>
    <w:p w14:paraId="2C9379EE" w14:textId="77777777" w:rsidR="00961140" w:rsidRDefault="00961140" w:rsidP="006D5A65">
      <w:pPr>
        <w:pStyle w:val="Heading1"/>
      </w:pPr>
      <w:r>
        <w:t>Enter valid latitude/longitude coordinates in their respective textboxes. Note that elevation is not required for MGRS coordinate conversion.</w:t>
      </w:r>
    </w:p>
    <w:p w14:paraId="30B97B8D" w14:textId="77777777" w:rsidR="00961140" w:rsidRDefault="00961140" w:rsidP="006D5A65">
      <w:pPr>
        <w:pStyle w:val="Heading1"/>
      </w:pPr>
      <w:r>
        <w:t>Tabbing out of or clicking a selectable, non-Toolbar field or picklist from either of the textboxes will convert the latitude/longitude coordinates to an MGRS coordinate with 1m precision (15 digits) and populate the MGRS textbox with the converted value.</w:t>
      </w:r>
    </w:p>
    <w:bookmarkEnd w:id="5421"/>
    <w:p w14:paraId="56C58CC3" w14:textId="77777777" w:rsidR="00961140" w:rsidRDefault="00961140" w:rsidP="009570CA">
      <w:pPr>
        <w:pStyle w:val="Bullet"/>
      </w:pPr>
      <w:r>
        <w:t>The latitude and longitude of a Target can also be derived from an MGRS coordinate.</w:t>
      </w:r>
    </w:p>
    <w:p w14:paraId="73B60C0C" w14:textId="77777777" w:rsidR="00961140" w:rsidRDefault="00961140" w:rsidP="006D5A65">
      <w:pPr>
        <w:pStyle w:val="Heading1"/>
      </w:pPr>
      <w:r>
        <w:t xml:space="preserve">In the </w:t>
      </w:r>
      <w:r>
        <w:rPr>
          <w:bCs/>
        </w:rPr>
        <w:t>Location</w:t>
      </w:r>
      <w:r>
        <w:t xml:space="preserve"> pane, select the MGRS radio button to swap to MGRS.</w:t>
      </w:r>
    </w:p>
    <w:p w14:paraId="29F92830" w14:textId="77777777" w:rsidR="00961140" w:rsidRDefault="00961140" w:rsidP="006D5A65">
      <w:pPr>
        <w:pStyle w:val="Heading1"/>
      </w:pPr>
      <w:r>
        <w:t>In the MGRS textbox, enter an MGRS coordinate.</w:t>
      </w:r>
      <w:r w:rsidRPr="00FB2CC5">
        <w:t xml:space="preserve"> </w:t>
      </w:r>
      <w:r>
        <w:t>Note that elevation is not required for MGRS coordinate conversion.</w:t>
      </w:r>
    </w:p>
    <w:p w14:paraId="56878EC8" w14:textId="77777777" w:rsidR="00961140" w:rsidRDefault="00961140" w:rsidP="006D5A65">
      <w:pPr>
        <w:pStyle w:val="Heading1"/>
      </w:pPr>
      <w:r>
        <w:t>Tabbing out of or clicking a selectable, non-Toolbar field or picklist from the textbox will convert the MGRS coordinate to latitude/longitude coordinates and populate the latitude/longitude textboxes with the converted values.</w:t>
      </w:r>
    </w:p>
    <w:p w14:paraId="297D643A" w14:textId="77777777" w:rsidR="00961140" w:rsidRDefault="00961140" w:rsidP="009570CA">
      <w:pPr>
        <w:pStyle w:val="Bullet"/>
      </w:pPr>
      <w:r>
        <w:t>Note that MGRS coordinates are not saved in the MDDB. When a Target is saved to the MDDB, only the latitude/longitude coordinates are retained in the database.</w:t>
      </w:r>
    </w:p>
    <w:p w14:paraId="497BE079" w14:textId="2C1B2000" w:rsidR="00961140" w:rsidRPr="000665B0" w:rsidRDefault="00961140" w:rsidP="009570CA">
      <w:pPr>
        <w:pStyle w:val="Bullet"/>
      </w:pPr>
      <w:r w:rsidRPr="007A3026">
        <w:t xml:space="preserve">If </w:t>
      </w:r>
      <w:r>
        <w:t xml:space="preserve">an error occurs during a conversion, </w:t>
      </w:r>
      <w:r w:rsidRPr="007A3026">
        <w:t>an error message is generated with instructions to contact a System Administrator.</w:t>
      </w:r>
      <w:r>
        <w:t xml:space="preserve"> Any further attempts at conversions will generate the same error message.</w:t>
      </w:r>
    </w:p>
    <w:p w14:paraId="7A185463" w14:textId="4CE45E8D" w:rsidR="009B2433" w:rsidRPr="000665B0" w:rsidRDefault="009B2433" w:rsidP="009570CA">
      <w:pPr>
        <w:pStyle w:val="Heading3"/>
      </w:pPr>
      <w:bookmarkStart w:id="5422" w:name="_Display_Textually_1"/>
      <w:bookmarkStart w:id="5423" w:name="_Toc214283445"/>
      <w:bookmarkEnd w:id="5422"/>
      <w:r w:rsidRPr="000665B0">
        <w:lastRenderedPageBreak/>
        <w:t>Display Textually</w:t>
      </w:r>
      <w:bookmarkEnd w:id="5415"/>
      <w:bookmarkEnd w:id="5416"/>
      <w:bookmarkEnd w:id="5423"/>
    </w:p>
    <w:p w14:paraId="126A4D35" w14:textId="5D770279" w:rsidR="009B2433" w:rsidRPr="000665B0" w:rsidRDefault="009B2433" w:rsidP="009570CA">
      <w:r w:rsidRPr="000665B0">
        <w:t xml:space="preserve">This function displays the detailed information about a Target and provides the capability to edit </w:t>
      </w:r>
      <w:r w:rsidR="00E86B08" w:rsidRPr="000665B0">
        <w:t xml:space="preserve">some of </w:t>
      </w:r>
      <w:r w:rsidRPr="000665B0">
        <w:t xml:space="preserve">the Target information. The Target Textual Display is broken into several </w:t>
      </w:r>
      <w:r w:rsidR="00E86B08" w:rsidRPr="000665B0">
        <w:t>panes</w:t>
      </w:r>
      <w:r w:rsidRPr="000665B0">
        <w:t xml:space="preserve">: </w:t>
      </w:r>
      <w:r w:rsidRPr="000665B0">
        <w:rPr>
          <w:b/>
        </w:rPr>
        <w:t>Identification</w:t>
      </w:r>
      <w:r w:rsidRPr="000665B0">
        <w:t xml:space="preserve">, </w:t>
      </w:r>
      <w:r w:rsidRPr="000665B0">
        <w:rPr>
          <w:b/>
        </w:rPr>
        <w:t>Location</w:t>
      </w:r>
      <w:r w:rsidR="00E86B08" w:rsidRPr="000665B0">
        <w:t>,</w:t>
      </w:r>
      <w:r w:rsidRPr="000665B0">
        <w:t xml:space="preserve"> and </w:t>
      </w:r>
      <w:r w:rsidRPr="000665B0">
        <w:rPr>
          <w:b/>
        </w:rPr>
        <w:t>General Information</w:t>
      </w:r>
      <w:r w:rsidRPr="000665B0">
        <w:t>.</w:t>
      </w:r>
    </w:p>
    <w:p w14:paraId="1320B735" w14:textId="616B9029" w:rsidR="009B2433" w:rsidRPr="000665B0" w:rsidRDefault="009B2433" w:rsidP="009570CA">
      <w:r w:rsidRPr="000665B0">
        <w:t xml:space="preserve">To display textually see </w:t>
      </w:r>
      <w:hyperlink w:anchor="_5.2.1.2.4__Display_1" w:history="1">
        <w:r w:rsidRPr="000665B0">
          <w:rPr>
            <w:color w:val="0000FF"/>
            <w:u w:val="single"/>
          </w:rPr>
          <w:t>Section 5.2.1.2.4</w:t>
        </w:r>
      </w:hyperlink>
      <w:r w:rsidRPr="000665B0">
        <w:t>.</w:t>
      </w:r>
    </w:p>
    <w:p w14:paraId="7AD57301" w14:textId="18F3CE63" w:rsidR="00A02CFE" w:rsidRDefault="00E86B08" w:rsidP="00DC3AA7">
      <w:r w:rsidRPr="000665B0">
        <w:t xml:space="preserve">When displayed textually, a Target’s latitude and longitude </w:t>
      </w:r>
      <w:r w:rsidR="00602C61" w:rsidRPr="000665B0">
        <w:t>values</w:t>
      </w:r>
      <w:r w:rsidRPr="000665B0">
        <w:t xml:space="preserve"> </w:t>
      </w:r>
      <w:r w:rsidR="005C0E1D" w:rsidRPr="000665B0">
        <w:t xml:space="preserve">both </w:t>
      </w:r>
      <w:r w:rsidRPr="000665B0">
        <w:t>display</w:t>
      </w:r>
      <w:r w:rsidR="005C0E1D" w:rsidRPr="000665B0">
        <w:t xml:space="preserve"> </w:t>
      </w:r>
      <w:r w:rsidR="00627680" w:rsidRPr="000665B0">
        <w:t>coordinates</w:t>
      </w:r>
      <w:r w:rsidR="005C0E1D" w:rsidRPr="000665B0">
        <w:t xml:space="preserve"> that contain</w:t>
      </w:r>
      <w:r w:rsidRPr="000665B0">
        <w:t xml:space="preserve"> </w:t>
      </w:r>
      <w:r w:rsidR="0063588F" w:rsidRPr="000665B0">
        <w:t>t</w:t>
      </w:r>
      <w:r w:rsidRPr="000665B0">
        <w:t xml:space="preserve">he lowest </w:t>
      </w:r>
      <w:r w:rsidR="00394013" w:rsidRPr="000665B0">
        <w:t xml:space="preserve">numerical </w:t>
      </w:r>
      <w:r w:rsidRPr="000665B0">
        <w:t>precision (</w:t>
      </w:r>
      <w:r w:rsidR="00602C61" w:rsidRPr="000665B0">
        <w:t xml:space="preserve">fewest </w:t>
      </w:r>
      <w:r w:rsidRPr="000665B0">
        <w:t xml:space="preserve">number of </w:t>
      </w:r>
      <w:r w:rsidR="00394013" w:rsidRPr="000665B0">
        <w:t>digits</w:t>
      </w:r>
      <w:r w:rsidRPr="000665B0">
        <w:t xml:space="preserve"> </w:t>
      </w:r>
      <w:r w:rsidR="005C0E1D" w:rsidRPr="000665B0">
        <w:t>after</w:t>
      </w:r>
      <w:r w:rsidRPr="000665B0">
        <w:t xml:space="preserve"> the decimal place)</w:t>
      </w:r>
      <w:r w:rsidR="00602C61" w:rsidRPr="000665B0">
        <w:t>,</w:t>
      </w:r>
      <w:r w:rsidRPr="000665B0">
        <w:t xml:space="preserve"> of the least-precise </w:t>
      </w:r>
      <w:r w:rsidR="00627680" w:rsidRPr="000665B0">
        <w:t>coordinate</w:t>
      </w:r>
      <w:r w:rsidRPr="000665B0">
        <w:t xml:space="preserve"> when the Target </w:t>
      </w:r>
      <w:r w:rsidR="005C0E1D" w:rsidRPr="000665B0">
        <w:t>is</w:t>
      </w:r>
      <w:r w:rsidRPr="000665B0">
        <w:t xml:space="preserve"> saved. For example, if the </w:t>
      </w:r>
      <w:r w:rsidR="005C0E1D" w:rsidRPr="000665B0">
        <w:t>Target is saved with a</w:t>
      </w:r>
      <w:r w:rsidRPr="000665B0">
        <w:t xml:space="preserve"> latitude </w:t>
      </w:r>
      <w:r w:rsidR="00627680" w:rsidRPr="000665B0">
        <w:t>coordinate</w:t>
      </w:r>
      <w:r w:rsidRPr="000665B0">
        <w:t xml:space="preserve"> </w:t>
      </w:r>
      <w:r w:rsidR="005C0E1D" w:rsidRPr="000665B0">
        <w:t>that has</w:t>
      </w:r>
      <w:r w:rsidRPr="000665B0">
        <w:t xml:space="preserve"> one </w:t>
      </w:r>
      <w:r w:rsidR="00394013" w:rsidRPr="000665B0">
        <w:t>digit</w:t>
      </w:r>
      <w:r w:rsidRPr="000665B0">
        <w:t xml:space="preserve"> </w:t>
      </w:r>
      <w:r w:rsidR="005C0E1D" w:rsidRPr="000665B0">
        <w:t>after</w:t>
      </w:r>
      <w:r w:rsidRPr="000665B0">
        <w:t xml:space="preserve"> the decimal place (</w:t>
      </w:r>
      <w:r w:rsidR="003509EA" w:rsidRPr="000665B0">
        <w:t xml:space="preserve">e.g., </w:t>
      </w:r>
      <w:r w:rsidRPr="000665B0">
        <w:t xml:space="preserve">37-00-00.5N) and </w:t>
      </w:r>
      <w:r w:rsidR="005C0E1D" w:rsidRPr="000665B0">
        <w:t>a</w:t>
      </w:r>
      <w:r w:rsidRPr="000665B0">
        <w:t xml:space="preserve"> longitude </w:t>
      </w:r>
      <w:r w:rsidR="00627680" w:rsidRPr="000665B0">
        <w:t>coordinate</w:t>
      </w:r>
      <w:r w:rsidRPr="000665B0">
        <w:t xml:space="preserve"> </w:t>
      </w:r>
      <w:r w:rsidR="005C0E1D" w:rsidRPr="000665B0">
        <w:t>that has</w:t>
      </w:r>
      <w:r w:rsidRPr="000665B0">
        <w:t xml:space="preserve"> three </w:t>
      </w:r>
      <w:r w:rsidR="00394013" w:rsidRPr="000665B0">
        <w:t>digits</w:t>
      </w:r>
      <w:r w:rsidRPr="000665B0">
        <w:t xml:space="preserve"> </w:t>
      </w:r>
      <w:r w:rsidR="005C0E1D" w:rsidRPr="000665B0">
        <w:t>after</w:t>
      </w:r>
      <w:r w:rsidRPr="000665B0">
        <w:t xml:space="preserve"> the decimal place (</w:t>
      </w:r>
      <w:r w:rsidR="003509EA" w:rsidRPr="000665B0">
        <w:t xml:space="preserve">e.g., </w:t>
      </w:r>
      <w:r w:rsidRPr="000665B0">
        <w:t xml:space="preserve">121-00-00.735W), the textual view displays both </w:t>
      </w:r>
      <w:r w:rsidR="00627680" w:rsidRPr="000665B0">
        <w:t>coordinates</w:t>
      </w:r>
      <w:r w:rsidRPr="000665B0">
        <w:t xml:space="preserve"> with one </w:t>
      </w:r>
      <w:r w:rsidR="00394013" w:rsidRPr="000665B0">
        <w:t>digit</w:t>
      </w:r>
      <w:r w:rsidRPr="000665B0">
        <w:t xml:space="preserve"> </w:t>
      </w:r>
      <w:r w:rsidR="005C0E1D" w:rsidRPr="000665B0">
        <w:t>after the decimal place (</w:t>
      </w:r>
      <w:r w:rsidRPr="000665B0">
        <w:t xml:space="preserve">Latitude = 37-00-00.5N, Longitude = 121-00-00.7W). Note that the </w:t>
      </w:r>
      <w:r w:rsidRPr="000665B0">
        <w:rPr>
          <w:b/>
        </w:rPr>
        <w:t>Latitude</w:t>
      </w:r>
      <w:r w:rsidRPr="000665B0">
        <w:t xml:space="preserve"> and </w:t>
      </w:r>
      <w:r w:rsidRPr="000665B0">
        <w:rPr>
          <w:b/>
        </w:rPr>
        <w:t>Longitude</w:t>
      </w:r>
      <w:r w:rsidRPr="000665B0">
        <w:t xml:space="preserve"> column</w:t>
      </w:r>
      <w:r w:rsidR="00C00908" w:rsidRPr="000665B0">
        <w:t xml:space="preserve"> value</w:t>
      </w:r>
      <w:r w:rsidRPr="000665B0">
        <w:t>s</w:t>
      </w:r>
      <w:r w:rsidR="0063588F" w:rsidRPr="000665B0">
        <w:t xml:space="preserve"> in the Target list view</w:t>
      </w:r>
      <w:r w:rsidRPr="000665B0">
        <w:t xml:space="preserve"> always display </w:t>
      </w:r>
      <w:r w:rsidR="00627680" w:rsidRPr="000665B0">
        <w:t>coordinates</w:t>
      </w:r>
      <w:r w:rsidR="005C0E1D" w:rsidRPr="000665B0">
        <w:t xml:space="preserve"> that contain</w:t>
      </w:r>
      <w:r w:rsidRPr="000665B0">
        <w:t xml:space="preserve"> three </w:t>
      </w:r>
      <w:r w:rsidR="00394013" w:rsidRPr="000665B0">
        <w:t>digits</w:t>
      </w:r>
      <w:r w:rsidRPr="000665B0">
        <w:t xml:space="preserve"> </w:t>
      </w:r>
      <w:r w:rsidR="005C0E1D" w:rsidRPr="000665B0">
        <w:t>after</w:t>
      </w:r>
      <w:r w:rsidRPr="000665B0">
        <w:t xml:space="preserve"> the decimal place.</w:t>
      </w:r>
    </w:p>
    <w:p w14:paraId="55BC3965" w14:textId="77777777" w:rsidR="002E5056" w:rsidRDefault="00A02CFE" w:rsidP="00DC3AA7">
      <w:r>
        <w:t>A Target will also display an MGRS coordinate by converting saved latitude and longitude coordinates to MGRS with 1m precision (15 digits).</w:t>
      </w:r>
    </w:p>
    <w:p w14:paraId="26D2E9D9" w14:textId="77777777" w:rsidR="002E5056" w:rsidRDefault="00A02CFE" w:rsidP="002E5056">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sidRPr="00BB4EBE">
        <w:rPr>
          <w:b/>
          <w:bCs/>
        </w:rPr>
        <w:t>Note:</w:t>
      </w:r>
    </w:p>
    <w:p w14:paraId="633873CA" w14:textId="7C02F2A4" w:rsidR="00A02CFE" w:rsidRPr="00BB4EBE" w:rsidRDefault="00A02CFE"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sidRPr="00BB4EBE">
        <w:rPr>
          <w:b/>
          <w:bCs/>
        </w:rPr>
        <w:t>If a Target’s latitude/longitude coordinates were originally derived from an MGRS coordinate, it is possible to get an MGRS coordinate that is different from the original string.</w:t>
      </w:r>
    </w:p>
    <w:p w14:paraId="692134A2" w14:textId="498C208A" w:rsidR="002C21B4" w:rsidRPr="000665B0" w:rsidRDefault="002C21B4" w:rsidP="009570CA">
      <w:pPr>
        <w:pStyle w:val="Heading4"/>
      </w:pPr>
      <w:bookmarkStart w:id="5424" w:name="_Toc159315139"/>
      <w:bookmarkStart w:id="5425" w:name="_Toc289328744"/>
      <w:r w:rsidRPr="000665B0">
        <w:t>Edit Target Information</w:t>
      </w:r>
      <w:bookmarkEnd w:id="5424"/>
      <w:bookmarkEnd w:id="5425"/>
    </w:p>
    <w:p w14:paraId="39ED1686" w14:textId="77777777" w:rsidR="002C21B4" w:rsidRPr="000665B0" w:rsidRDefault="002C21B4" w:rsidP="009570CA">
      <w:pPr>
        <w:spacing w:after="0"/>
      </w:pPr>
      <w:r w:rsidRPr="000665B0">
        <w:t>After a Target has been displayed textually, several of the fields can be modified, and others are for informational purposes only. The data elements that make up the Target ID cannot be modified. All other data elements of a Target can be modified.</w:t>
      </w:r>
    </w:p>
    <w:p w14:paraId="5785ED31" w14:textId="1FC9249A" w:rsidR="002C21B4" w:rsidRPr="000665B0" w:rsidRDefault="002C21B4" w:rsidP="009570CA">
      <w:pPr>
        <w:pStyle w:val="Heading4"/>
      </w:pPr>
      <w:bookmarkStart w:id="5426" w:name="_Toc159315149"/>
      <w:bookmarkStart w:id="5427" w:name="_Toc289328745"/>
      <w:r w:rsidRPr="000665B0">
        <w:t>Save Target Information</w:t>
      </w:r>
      <w:bookmarkEnd w:id="5426"/>
      <w:bookmarkEnd w:id="5427"/>
    </w:p>
    <w:p w14:paraId="47E95AD3" w14:textId="77777777" w:rsidR="002C21B4" w:rsidRPr="000665B0" w:rsidRDefault="002C21B4" w:rsidP="009570CA">
      <w:r w:rsidRPr="000665B0">
        <w:t>After changes are made to the Target’s information, changes</w:t>
      </w:r>
      <w:r w:rsidR="00C80F8C" w:rsidRPr="000665B0">
        <w:t xml:space="preserve"> must be saved</w:t>
      </w:r>
      <w:r w:rsidRPr="000665B0">
        <w:t xml:space="preserve"> for them to take effect. If changes are made and the </w:t>
      </w:r>
      <w:r w:rsidRPr="000665B0">
        <w:rPr>
          <w:b/>
          <w:bCs/>
        </w:rPr>
        <w:t>Save</w:t>
      </w:r>
      <w:r w:rsidRPr="000665B0">
        <w:t xml:space="preserve"> function is NOT performed when closing the window, a message window will appear asking if the changes should be saved.</w:t>
      </w:r>
    </w:p>
    <w:p w14:paraId="5E4E2B50" w14:textId="77777777" w:rsidR="002C21B4" w:rsidRPr="000665B0" w:rsidRDefault="002C21B4" w:rsidP="009570CA">
      <w:r w:rsidRPr="000665B0">
        <w:t>To save the change(s):</w:t>
      </w:r>
    </w:p>
    <w:p w14:paraId="77E09405" w14:textId="77777777" w:rsidR="002C21B4" w:rsidRPr="000665B0" w:rsidRDefault="002C21B4" w:rsidP="009570CA">
      <w:pPr>
        <w:pStyle w:val="Number0205"/>
        <w:spacing w:after="0"/>
        <w:ind w:left="360" w:firstLine="0"/>
      </w:pPr>
      <w:r w:rsidRPr="000665B0">
        <w:t xml:space="preserve">From the </w:t>
      </w:r>
      <w:r w:rsidRPr="000665B0">
        <w:rPr>
          <w:b/>
        </w:rPr>
        <w:t>File</w:t>
      </w:r>
      <w:r w:rsidRPr="000665B0">
        <w:t xml:space="preserve"> menu select </w:t>
      </w:r>
      <w:r w:rsidRPr="000665B0">
        <w:rPr>
          <w:b/>
          <w:bCs/>
        </w:rPr>
        <w:t>Save</w:t>
      </w:r>
      <w:r w:rsidRPr="000665B0">
        <w:t xml:space="preserve"> or select the </w:t>
      </w:r>
      <w:r w:rsidRPr="000665B0">
        <w:rPr>
          <w:b/>
        </w:rPr>
        <w:t>Save</w:t>
      </w:r>
      <w:r w:rsidRPr="000665B0">
        <w:t xml:space="preserve"> icon </w:t>
      </w:r>
      <w:r w:rsidRPr="000665B0">
        <w:sym w:font="Wingdings" w:char="F03C"/>
      </w:r>
      <w:r w:rsidRPr="000665B0">
        <w:t xml:space="preserve"> on the toolbar.</w:t>
      </w:r>
    </w:p>
    <w:p w14:paraId="7D9B7C99" w14:textId="028DF2F4" w:rsidR="002C21B4" w:rsidRPr="000665B0" w:rsidRDefault="002C21B4" w:rsidP="009570CA">
      <w:pPr>
        <w:pStyle w:val="Heading4"/>
      </w:pPr>
      <w:bookmarkStart w:id="5428" w:name="_Toc289328746"/>
      <w:r w:rsidRPr="000665B0">
        <w:t>Create Editable Copy</w:t>
      </w:r>
      <w:bookmarkEnd w:id="5428"/>
    </w:p>
    <w:p w14:paraId="5107F24A" w14:textId="3278D24C" w:rsidR="002C21B4" w:rsidRPr="000665B0" w:rsidRDefault="002C21B4" w:rsidP="009570CA">
      <w:pPr>
        <w:spacing w:after="0"/>
      </w:pPr>
      <w:r w:rsidRPr="000665B0">
        <w:t>This is another way an operator can create a Target. When the</w:t>
      </w:r>
      <w:r w:rsidR="00E86B08" w:rsidRPr="000665B0">
        <w:t xml:space="preserve"> </w:t>
      </w:r>
      <w:r w:rsidR="00E86B08" w:rsidRPr="000665B0">
        <w:rPr>
          <w:b/>
        </w:rPr>
        <w:t>File</w:t>
      </w:r>
      <w:r w:rsidR="00E86B08" w:rsidRPr="000665B0">
        <w:t xml:space="preserve"> </w:t>
      </w:r>
      <w:r w:rsidR="00E86B08" w:rsidRPr="000665B0">
        <w:rPr>
          <w:b/>
        </w:rPr>
        <w:sym w:font="Wingdings" w:char="F0E0"/>
      </w:r>
      <w:r w:rsidRPr="000665B0">
        <w:t xml:space="preserve"> </w:t>
      </w:r>
      <w:r w:rsidRPr="000665B0">
        <w:rPr>
          <w:b/>
        </w:rPr>
        <w:t xml:space="preserve">Create Editable Copy </w:t>
      </w:r>
      <w:r w:rsidRPr="000665B0">
        <w:t xml:space="preserve">function is initiated from the Textual Display of a Target, a new Target is displayed containing the Target Information from the copied Target. At this point the Target has not yet been saved to the database and the Target ID Fields (including Location) can be edited. In order to save the new </w:t>
      </w:r>
      <w:r w:rsidR="0074450A" w:rsidRPr="000665B0">
        <w:t>Target,</w:t>
      </w:r>
      <w:r w:rsidRPr="000665B0">
        <w:t xml:space="preserve"> the Target ID Fields must be edited to generate a unique Target ID.</w:t>
      </w:r>
    </w:p>
    <w:p w14:paraId="38E6F2B3" w14:textId="1AAE274D" w:rsidR="002C21B4" w:rsidRPr="000665B0" w:rsidRDefault="002C21B4" w:rsidP="009570CA">
      <w:pPr>
        <w:pStyle w:val="Heading4"/>
      </w:pPr>
      <w:bookmarkStart w:id="5429" w:name="_Toc159315150"/>
      <w:bookmarkStart w:id="5430" w:name="_Toc289328747"/>
      <w:r w:rsidRPr="000665B0">
        <w:lastRenderedPageBreak/>
        <w:t>Print Target Information</w:t>
      </w:r>
      <w:bookmarkEnd w:id="5429"/>
      <w:bookmarkEnd w:id="5430"/>
    </w:p>
    <w:p w14:paraId="0EF9937F" w14:textId="77777777" w:rsidR="002C21B4" w:rsidRPr="000665B0" w:rsidRDefault="002C21B4" w:rsidP="009570CA">
      <w:r w:rsidRPr="000665B0">
        <w:t xml:space="preserve">In the event a hardcopy is necessary, the operator can print the Target Information. When the print function is initiated from the textual display, MDS formats the data in a </w:t>
      </w:r>
      <w:r w:rsidR="00EF526E" w:rsidRPr="000665B0">
        <w:t xml:space="preserve">Microsoft </w:t>
      </w:r>
      <w:r w:rsidRPr="000665B0">
        <w:t>Word document before sending it to the printer.</w:t>
      </w:r>
    </w:p>
    <w:p w14:paraId="179C3A25" w14:textId="77777777" w:rsidR="002C21B4" w:rsidRPr="000665B0" w:rsidRDefault="002C21B4" w:rsidP="009570CA">
      <w:r w:rsidRPr="000665B0">
        <w:t xml:space="preserve">From the </w:t>
      </w:r>
      <w:r w:rsidRPr="000665B0">
        <w:rPr>
          <w:b/>
        </w:rPr>
        <w:t>File</w:t>
      </w:r>
      <w:r w:rsidRPr="000665B0">
        <w:t xml:space="preserve"> menu select </w:t>
      </w:r>
      <w:r w:rsidRPr="000665B0">
        <w:rPr>
          <w:b/>
          <w:bCs/>
        </w:rPr>
        <w:t>Print</w:t>
      </w:r>
      <w:r w:rsidRPr="000665B0">
        <w:t xml:space="preserve"> or the </w:t>
      </w:r>
      <w:r w:rsidRPr="000665B0">
        <w:rPr>
          <w:b/>
        </w:rPr>
        <w:t>Print</w:t>
      </w:r>
      <w:r w:rsidRPr="000665B0">
        <w:t xml:space="preserve"> </w:t>
      </w:r>
      <w:r w:rsidR="009A1FDF" w:rsidRPr="000665B0">
        <w:rPr>
          <w:noProof/>
        </w:rPr>
        <w:drawing>
          <wp:inline distT="0" distB="0" distL="0" distR="0" wp14:anchorId="5613888D" wp14:editId="36ECDBD6">
            <wp:extent cx="152400" cy="152400"/>
            <wp:effectExtent l="19050" t="0" r="0" b="0"/>
            <wp:docPr id="387" name="Picture 387" descr="Prin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Print_16"/>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on the toolbar to initiate this process.</w:t>
      </w:r>
    </w:p>
    <w:p w14:paraId="5F6F4A19" w14:textId="77777777" w:rsidR="002C21B4" w:rsidRPr="000665B0" w:rsidRDefault="002C21B4" w:rsidP="009570CA">
      <w:pPr>
        <w:spacing w:after="0"/>
      </w:pPr>
      <w:r w:rsidRPr="000665B0">
        <w:t xml:space="preserve">Also from the </w:t>
      </w:r>
      <w:r w:rsidRPr="000665B0">
        <w:rPr>
          <w:b/>
          <w:bCs/>
        </w:rPr>
        <w:t>File</w:t>
      </w:r>
      <w:r w:rsidRPr="000665B0">
        <w:t xml:space="preserve"> menu is a </w:t>
      </w:r>
      <w:r w:rsidRPr="000665B0">
        <w:rPr>
          <w:b/>
          <w:bCs/>
        </w:rPr>
        <w:t>Print Preview</w:t>
      </w:r>
      <w:r w:rsidRPr="000665B0">
        <w:t xml:space="preserve"> option which allows the operator to review the information prior to printing or if the operator chooses to add additional information.</w:t>
      </w:r>
    </w:p>
    <w:p w14:paraId="4B7A84D0" w14:textId="700C2734" w:rsidR="005D1A26" w:rsidRPr="000665B0" w:rsidRDefault="005D1A26" w:rsidP="009570CA">
      <w:pPr>
        <w:pStyle w:val="Heading3"/>
      </w:pPr>
      <w:bookmarkStart w:id="5431" w:name="_Toc289328748"/>
      <w:bookmarkStart w:id="5432" w:name="_Toc312331994"/>
      <w:bookmarkStart w:id="5433" w:name="_Toc214283446"/>
      <w:r w:rsidRPr="000665B0">
        <w:t>Display Geographically</w:t>
      </w:r>
      <w:bookmarkEnd w:id="5417"/>
      <w:bookmarkEnd w:id="5418"/>
      <w:bookmarkEnd w:id="5419"/>
      <w:bookmarkEnd w:id="5420"/>
      <w:bookmarkEnd w:id="5431"/>
      <w:bookmarkEnd w:id="5432"/>
      <w:bookmarkEnd w:id="5433"/>
    </w:p>
    <w:p w14:paraId="3645F056" w14:textId="77777777" w:rsidR="00066BF9" w:rsidRPr="000665B0" w:rsidRDefault="00066BF9" w:rsidP="009570CA">
      <w:r w:rsidRPr="000665B0">
        <w:t xml:space="preserve">Targets can be displayed geographically to enhance the GEO display. For Targets to display on the GEO display ensure that a </w:t>
      </w:r>
      <w:r w:rsidRPr="000665B0">
        <w:rPr>
          <w:b/>
          <w:i/>
          <w:iCs/>
        </w:rPr>
        <w:t>Location</w:t>
      </w:r>
      <w:r w:rsidRPr="000665B0">
        <w:t xml:space="preserve"> has been specified and saved. For Targets that have unsaved change</w:t>
      </w:r>
      <w:r w:rsidR="00BC44DE" w:rsidRPr="000665B0">
        <w:t>s</w:t>
      </w:r>
      <w:r w:rsidRPr="000665B0">
        <w:t>, the Display Geographic feature will not be available until these changes have been saved.</w:t>
      </w:r>
    </w:p>
    <w:p w14:paraId="3421E5BD" w14:textId="77777777" w:rsidR="00BC44DE" w:rsidRPr="000665B0" w:rsidRDefault="009A1FDF" w:rsidP="009570CA">
      <w:pPr>
        <w:pBdr>
          <w:top w:val="single" w:sz="12" w:space="1" w:color="auto"/>
          <w:left w:val="single" w:sz="12" w:space="4" w:color="auto"/>
          <w:bottom w:val="single" w:sz="12" w:space="1" w:color="auto"/>
          <w:right w:val="single" w:sz="12" w:space="4" w:color="auto"/>
        </w:pBdr>
        <w:shd w:val="clear" w:color="auto" w:fill="F3F3F3"/>
        <w:rPr>
          <w:b/>
          <w:szCs w:val="24"/>
        </w:rPr>
      </w:pPr>
      <w:r w:rsidRPr="000665B0">
        <w:rPr>
          <w:b/>
          <w:noProof/>
        </w:rPr>
        <w:drawing>
          <wp:inline distT="0" distB="0" distL="0" distR="0" wp14:anchorId="7CDCB229" wp14:editId="20F0FF38">
            <wp:extent cx="352425" cy="381000"/>
            <wp:effectExtent l="0" t="0" r="9525"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BC44DE" w:rsidRPr="000665B0">
        <w:rPr>
          <w:b/>
        </w:rPr>
        <w:t xml:space="preserve">TIP: </w:t>
      </w:r>
      <w:r w:rsidR="00BC44DE" w:rsidRPr="000665B0">
        <w:rPr>
          <w:rStyle w:val="bodycopy"/>
          <w:b/>
          <w:szCs w:val="24"/>
        </w:rPr>
        <w:t xml:space="preserve">A Target requires a latitude and longitude to be entered before it can be displayed geographically. Otherwise, the error message “Error displaying Target Geographically” </w:t>
      </w:r>
      <w:r w:rsidR="00C80F8C" w:rsidRPr="000665B0">
        <w:rPr>
          <w:rStyle w:val="bodycopy"/>
          <w:b/>
          <w:szCs w:val="24"/>
        </w:rPr>
        <w:t>is</w:t>
      </w:r>
      <w:r w:rsidR="00BC44DE" w:rsidRPr="000665B0">
        <w:rPr>
          <w:rStyle w:val="bodycopy"/>
          <w:b/>
          <w:szCs w:val="24"/>
        </w:rPr>
        <w:t xml:space="preserve"> displayed.</w:t>
      </w:r>
    </w:p>
    <w:p w14:paraId="13775CFA" w14:textId="1D83C60F" w:rsidR="005D1A26" w:rsidRPr="000665B0" w:rsidRDefault="005D1A26" w:rsidP="009570CA">
      <w:r w:rsidRPr="000665B0">
        <w:t xml:space="preserve">To display the Target(s) geographically see </w:t>
      </w:r>
      <w:hyperlink w:anchor="_5.2.1.2.2__Display_1" w:history="1">
        <w:r w:rsidRPr="000665B0">
          <w:rPr>
            <w:rStyle w:val="Hyperlink"/>
          </w:rPr>
          <w:t>Section 5.2.1.2.2</w:t>
        </w:r>
      </w:hyperlink>
      <w:r w:rsidRPr="000665B0">
        <w:t>.</w:t>
      </w:r>
    </w:p>
    <w:p w14:paraId="6536AA13" w14:textId="51D4CF79" w:rsidR="005D1A26" w:rsidRPr="000665B0" w:rsidRDefault="005D1A26" w:rsidP="009570CA">
      <w:pPr>
        <w:pStyle w:val="Heading3"/>
      </w:pPr>
      <w:bookmarkStart w:id="5434" w:name="_Toc71955660"/>
      <w:bookmarkStart w:id="5435" w:name="_Toc96170201"/>
      <w:bookmarkStart w:id="5436" w:name="_Toc96234246"/>
      <w:bookmarkStart w:id="5437" w:name="_Toc112733669"/>
      <w:bookmarkStart w:id="5438" w:name="_Toc289328749"/>
      <w:bookmarkStart w:id="5439" w:name="_Toc312331995"/>
      <w:bookmarkStart w:id="5440" w:name="_Toc214283447"/>
      <w:r w:rsidRPr="000665B0">
        <w:t>Display References</w:t>
      </w:r>
      <w:bookmarkEnd w:id="5434"/>
      <w:bookmarkEnd w:id="5435"/>
      <w:bookmarkEnd w:id="5436"/>
      <w:bookmarkEnd w:id="5437"/>
      <w:bookmarkEnd w:id="5438"/>
      <w:bookmarkEnd w:id="5439"/>
      <w:bookmarkEnd w:id="5440"/>
    </w:p>
    <w:p w14:paraId="7D279123" w14:textId="77777777" w:rsidR="00066BF9" w:rsidRPr="000665B0" w:rsidRDefault="00066BF9" w:rsidP="009570CA">
      <w:r w:rsidRPr="000665B0">
        <w:t>Each Target in the List View may or may not be associated with one or more Missions, Targets Libraries, Strike Folders and/or Strike Options. When this option is performed, the references are displayed in a window that indicates if they are locked (References must be deleted first) or unlocked (References do not need to be deleted first).</w:t>
      </w:r>
    </w:p>
    <w:p w14:paraId="71F7DDAE" w14:textId="5C19BD20" w:rsidR="005D1A26" w:rsidRPr="000665B0" w:rsidRDefault="005D1A26" w:rsidP="009570CA">
      <w:pPr>
        <w:spacing w:after="0"/>
      </w:pPr>
      <w:r w:rsidRPr="000665B0">
        <w:t xml:space="preserve">To display the associated </w:t>
      </w:r>
      <w:r w:rsidR="0082044D" w:rsidRPr="000665B0">
        <w:t>references,</w:t>
      </w:r>
      <w:r w:rsidRPr="000665B0">
        <w:t xml:space="preserve"> see </w:t>
      </w:r>
      <w:hyperlink w:anchor="_5.2.1.2.3__Display_1" w:history="1">
        <w:r w:rsidRPr="000665B0">
          <w:rPr>
            <w:rStyle w:val="Hyperlink"/>
          </w:rPr>
          <w:t>Section 5.2.1.2.3</w:t>
        </w:r>
      </w:hyperlink>
      <w:r w:rsidRPr="000665B0">
        <w:t>.</w:t>
      </w:r>
    </w:p>
    <w:p w14:paraId="4D0040B0" w14:textId="24D17662" w:rsidR="005D1A26" w:rsidRPr="000665B0" w:rsidRDefault="005D1A26" w:rsidP="009570CA">
      <w:pPr>
        <w:pStyle w:val="Heading3"/>
      </w:pPr>
      <w:bookmarkStart w:id="5441" w:name="_Toc71955661"/>
      <w:bookmarkStart w:id="5442" w:name="_Toc96170202"/>
      <w:bookmarkStart w:id="5443" w:name="_Toc96234247"/>
      <w:bookmarkStart w:id="5444" w:name="_Toc112733670"/>
      <w:bookmarkStart w:id="5445" w:name="_Toc289328750"/>
      <w:bookmarkStart w:id="5446" w:name="_Toc312331996"/>
      <w:bookmarkStart w:id="5447" w:name="_Toc214283448"/>
      <w:r w:rsidRPr="000665B0">
        <w:rPr>
          <w:bCs/>
        </w:rPr>
        <w:t xml:space="preserve">Display </w:t>
      </w:r>
      <w:r w:rsidRPr="000665B0">
        <w:t>Target Numbers in Excel</w:t>
      </w:r>
      <w:bookmarkEnd w:id="5441"/>
      <w:bookmarkEnd w:id="5442"/>
      <w:bookmarkEnd w:id="5443"/>
      <w:bookmarkEnd w:id="5444"/>
      <w:bookmarkEnd w:id="5445"/>
      <w:bookmarkEnd w:id="5446"/>
      <w:bookmarkEnd w:id="5447"/>
    </w:p>
    <w:p w14:paraId="1DBE901C" w14:textId="77777777" w:rsidR="000F4FB1" w:rsidRPr="000665B0" w:rsidRDefault="000F4FB1" w:rsidP="009570CA">
      <w:pPr>
        <w:spacing w:line="240" w:lineRule="auto"/>
        <w:rPr>
          <w:szCs w:val="24"/>
        </w:rPr>
      </w:pPr>
      <w:r w:rsidRPr="000665B0">
        <w:rPr>
          <w:szCs w:val="24"/>
        </w:rPr>
        <w:t>To display the list of all items:</w:t>
      </w:r>
    </w:p>
    <w:p w14:paraId="32AB326D" w14:textId="77777777" w:rsidR="000F4FB1" w:rsidRPr="000665B0" w:rsidRDefault="000F4FB1" w:rsidP="006D5A65">
      <w:pPr>
        <w:pStyle w:val="Heading1"/>
      </w:pPr>
      <w:r w:rsidRPr="000665B0">
        <w:t>Navigate to the Target Tool.</w:t>
      </w:r>
    </w:p>
    <w:p w14:paraId="6CBA5889" w14:textId="77777777" w:rsidR="000F4FB1" w:rsidRPr="000665B0" w:rsidRDefault="000F4FB1" w:rsidP="006D5A65">
      <w:pPr>
        <w:pStyle w:val="Heading1"/>
      </w:pPr>
      <w:r w:rsidRPr="000665B0">
        <w:t xml:space="preserve">From the File menu select Display </w:t>
      </w:r>
      <w:r w:rsidR="00A05D58" w:rsidRPr="000665B0">
        <w:sym w:font="Wingdings" w:char="F0E0"/>
      </w:r>
      <w:r w:rsidRPr="000665B0">
        <w:t xml:space="preserve"> All Target Numbers in Excel.</w:t>
      </w:r>
    </w:p>
    <w:p w14:paraId="43E370E9" w14:textId="77777777" w:rsidR="000F4FB1" w:rsidRPr="000665B0" w:rsidRDefault="000F4FB1" w:rsidP="009570CA">
      <w:pPr>
        <w:spacing w:before="120" w:line="240" w:lineRule="auto"/>
        <w:rPr>
          <w:szCs w:val="24"/>
        </w:rPr>
      </w:pPr>
      <w:r w:rsidRPr="000665B0">
        <w:rPr>
          <w:szCs w:val="24"/>
        </w:rPr>
        <w:t>To display only selected items:</w:t>
      </w:r>
    </w:p>
    <w:p w14:paraId="076F7F47" w14:textId="77777777" w:rsidR="005D1A26" w:rsidRPr="000665B0" w:rsidRDefault="005D1A26" w:rsidP="006D5A65">
      <w:pPr>
        <w:pStyle w:val="Heading1"/>
      </w:pPr>
      <w:r w:rsidRPr="000665B0">
        <w:t>Navigate to the Target Tool and highlight the desired Target(s).</w:t>
      </w:r>
    </w:p>
    <w:p w14:paraId="5B727818" w14:textId="7173738E" w:rsidR="005D1A26" w:rsidRPr="000665B0" w:rsidRDefault="000F4FB1" w:rsidP="006D5A65">
      <w:pPr>
        <w:pStyle w:val="Heading1"/>
      </w:pPr>
      <w:r w:rsidRPr="000665B0">
        <w:t>I</w:t>
      </w:r>
      <w:r w:rsidR="005D1A26" w:rsidRPr="000665B0">
        <w:t>nvoke the context menu (</w:t>
      </w:r>
      <w:r w:rsidR="00D71804" w:rsidRPr="000665B0">
        <w:t>right-click</w:t>
      </w:r>
      <w:r w:rsidR="005D1A26" w:rsidRPr="000665B0">
        <w:t xml:space="preserve"> the mouse) and select</w:t>
      </w:r>
      <w:r w:rsidR="005D1A26" w:rsidRPr="000665B0">
        <w:rPr>
          <w:bCs/>
        </w:rPr>
        <w:t xml:space="preserve"> Display </w:t>
      </w:r>
      <w:r w:rsidR="00A05D58" w:rsidRPr="000665B0">
        <w:sym w:font="Wingdings" w:char="F0E0"/>
      </w:r>
      <w:r w:rsidR="005D1A26" w:rsidRPr="000665B0">
        <w:rPr>
          <w:bCs/>
        </w:rPr>
        <w:t xml:space="preserve"> </w:t>
      </w:r>
      <w:r w:rsidR="005D1A26" w:rsidRPr="000665B0">
        <w:rPr>
          <w:szCs w:val="24"/>
        </w:rPr>
        <w:t>Target Numbers in Excel</w:t>
      </w:r>
      <w:r w:rsidR="005D1A26" w:rsidRPr="000665B0">
        <w:t>.</w:t>
      </w:r>
    </w:p>
    <w:p w14:paraId="51761E7D" w14:textId="77777777" w:rsidR="00066BF9" w:rsidRPr="000665B0" w:rsidRDefault="00066BF9" w:rsidP="009570CA">
      <w:pPr>
        <w:pStyle w:val="Number0205"/>
        <w:spacing w:after="0"/>
        <w:ind w:left="0" w:firstLine="0"/>
      </w:pPr>
      <w:bookmarkStart w:id="5448" w:name="_Toc71955663"/>
      <w:bookmarkStart w:id="5449" w:name="_Toc96170203"/>
      <w:bookmarkStart w:id="5450" w:name="_Toc96234248"/>
      <w:bookmarkStart w:id="5451" w:name="_Toc112733671"/>
      <w:r w:rsidRPr="000665B0">
        <w:t xml:space="preserve">MDS formats the Target Numbers in </w:t>
      </w:r>
      <w:r w:rsidR="005E671D" w:rsidRPr="000665B0">
        <w:t>a</w:t>
      </w:r>
      <w:r w:rsidRPr="000665B0">
        <w:t xml:space="preserve"> </w:t>
      </w:r>
      <w:r w:rsidR="00EF526E" w:rsidRPr="000665B0">
        <w:t xml:space="preserve">Microsoft </w:t>
      </w:r>
      <w:r w:rsidRPr="000665B0">
        <w:t xml:space="preserve">Excel document containing the Target ID and its associated Target Number. </w:t>
      </w:r>
    </w:p>
    <w:p w14:paraId="3B7C7F39" w14:textId="4226CEF3" w:rsidR="00204E27" w:rsidRPr="000665B0" w:rsidRDefault="00204E27" w:rsidP="009570CA">
      <w:pPr>
        <w:pStyle w:val="Heading3"/>
      </w:pPr>
      <w:bookmarkStart w:id="5452" w:name="_Toc289328751"/>
      <w:bookmarkStart w:id="5453" w:name="_Toc312331997"/>
      <w:bookmarkStart w:id="5454" w:name="_Toc214283449"/>
      <w:r w:rsidRPr="000665B0">
        <w:lastRenderedPageBreak/>
        <w:t>Target Number</w:t>
      </w:r>
      <w:bookmarkEnd w:id="5452"/>
      <w:bookmarkEnd w:id="5453"/>
      <w:bookmarkEnd w:id="5454"/>
    </w:p>
    <w:p w14:paraId="32297112" w14:textId="189C0A3E" w:rsidR="0087376E" w:rsidRPr="000665B0" w:rsidRDefault="00EF526E" w:rsidP="009570CA">
      <w:r w:rsidRPr="000665B0">
        <w:t xml:space="preserve">Microsoft </w:t>
      </w:r>
      <w:r w:rsidR="00204E27" w:rsidRPr="000665B0">
        <w:t xml:space="preserve">Excel files can be read in containing Target Number information. The </w:t>
      </w:r>
      <w:r w:rsidRPr="000665B0">
        <w:t xml:space="preserve">Microsoft </w:t>
      </w:r>
      <w:r w:rsidR="00204E27" w:rsidRPr="000665B0">
        <w:t>Excel document must end with the ‘</w:t>
      </w:r>
      <w:r w:rsidR="00204E27" w:rsidRPr="000665B0">
        <w:rPr>
          <w:b/>
        </w:rPr>
        <w:t>.xls</w:t>
      </w:r>
      <w:r w:rsidR="0081774C" w:rsidRPr="000665B0">
        <w:rPr>
          <w:b/>
        </w:rPr>
        <w:t>x</w:t>
      </w:r>
      <w:r w:rsidR="00204E27" w:rsidRPr="000665B0">
        <w:t>’ extension and must contain a worksheet titled “</w:t>
      </w:r>
      <w:r w:rsidR="00204E27" w:rsidRPr="000665B0">
        <w:rPr>
          <w:b/>
        </w:rPr>
        <w:t>User Target Number</w:t>
      </w:r>
      <w:r w:rsidR="00204E27" w:rsidRPr="000665B0">
        <w:t>” and have the 2 columns – “</w:t>
      </w:r>
      <w:r w:rsidR="00204E27" w:rsidRPr="000665B0">
        <w:rPr>
          <w:b/>
        </w:rPr>
        <w:t>Target ID</w:t>
      </w:r>
      <w:r w:rsidR="00204E27" w:rsidRPr="000665B0">
        <w:t>” and “</w:t>
      </w:r>
      <w:r w:rsidR="00204E27" w:rsidRPr="000665B0">
        <w:rPr>
          <w:b/>
        </w:rPr>
        <w:t>User Target Number</w:t>
      </w:r>
      <w:r w:rsidR="007D4834" w:rsidRPr="000665B0">
        <w:rPr>
          <w:bCs/>
        </w:rPr>
        <w:t>.</w:t>
      </w:r>
      <w:r w:rsidR="00204E27" w:rsidRPr="000665B0">
        <w:rPr>
          <w:bCs/>
        </w:rPr>
        <w:t>”</w:t>
      </w:r>
      <w:r w:rsidR="00204E27" w:rsidRPr="000665B0">
        <w:t xml:space="preserve"> </w:t>
      </w:r>
    </w:p>
    <w:p w14:paraId="7AE37E53" w14:textId="77777777" w:rsidR="0087376E" w:rsidRPr="000665B0" w:rsidRDefault="0087376E"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04723E9A" w14:textId="77777777" w:rsidR="00204E27" w:rsidRPr="000665B0" w:rsidRDefault="00204E27"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The </w:t>
      </w:r>
      <w:r w:rsidR="00EF526E" w:rsidRPr="000665B0">
        <w:rPr>
          <w:b/>
        </w:rPr>
        <w:t>Microsoft</w:t>
      </w:r>
      <w:r w:rsidR="00EF526E" w:rsidRPr="000665B0">
        <w:t xml:space="preserve"> </w:t>
      </w:r>
      <w:r w:rsidRPr="000665B0">
        <w:rPr>
          <w:b/>
        </w:rPr>
        <w:t xml:space="preserve">Excel document must be closed when receiving. </w:t>
      </w:r>
      <w:r w:rsidR="00EF526E" w:rsidRPr="000665B0">
        <w:rPr>
          <w:b/>
        </w:rPr>
        <w:t>Microsoft</w:t>
      </w:r>
      <w:r w:rsidR="00EF526E" w:rsidRPr="000665B0">
        <w:t xml:space="preserve"> </w:t>
      </w:r>
      <w:r w:rsidRPr="000665B0">
        <w:rPr>
          <w:b/>
        </w:rPr>
        <w:t xml:space="preserve">Excel does </w:t>
      </w:r>
      <w:r w:rsidR="005666ED" w:rsidRPr="000665B0">
        <w:rPr>
          <w:b/>
        </w:rPr>
        <w:t xml:space="preserve">not </w:t>
      </w:r>
      <w:r w:rsidRPr="000665B0">
        <w:rPr>
          <w:b/>
        </w:rPr>
        <w:t xml:space="preserve">allow a file to be open in more than </w:t>
      </w:r>
      <w:r w:rsidR="005666ED" w:rsidRPr="000665B0">
        <w:rPr>
          <w:b/>
        </w:rPr>
        <w:t>one</w:t>
      </w:r>
      <w:r w:rsidRPr="000665B0">
        <w:rPr>
          <w:b/>
        </w:rPr>
        <w:t xml:space="preserve"> process</w:t>
      </w:r>
      <w:r w:rsidR="008200AA" w:rsidRPr="000665B0">
        <w:rPr>
          <w:b/>
        </w:rPr>
        <w:t>.</w:t>
      </w:r>
    </w:p>
    <w:p w14:paraId="2DD84495" w14:textId="65DE298D" w:rsidR="00066BF9" w:rsidRPr="000665B0" w:rsidRDefault="00066BF9" w:rsidP="009570CA">
      <w:pPr>
        <w:pStyle w:val="Heading3"/>
      </w:pPr>
      <w:bookmarkStart w:id="5455" w:name="_Create__TMPR"/>
      <w:bookmarkStart w:id="5456" w:name="_Toc171731958"/>
      <w:bookmarkStart w:id="5457" w:name="_Toc289328752"/>
      <w:bookmarkStart w:id="5458" w:name="_Toc312331998"/>
      <w:bookmarkStart w:id="5459" w:name="_Toc214283450"/>
      <w:bookmarkEnd w:id="5455"/>
      <w:r w:rsidRPr="000665B0">
        <w:t>Create TMPR</w:t>
      </w:r>
      <w:bookmarkEnd w:id="5456"/>
      <w:bookmarkEnd w:id="5457"/>
      <w:bookmarkEnd w:id="5458"/>
      <w:bookmarkEnd w:id="5459"/>
    </w:p>
    <w:p w14:paraId="5CCBC92A" w14:textId="77777777" w:rsidR="00DD4A17" w:rsidRPr="000665B0" w:rsidRDefault="00DD4A17"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10F14393" w14:textId="77777777" w:rsidR="00DD4A17" w:rsidRPr="000665B0" w:rsidRDefault="00DD4A17"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rPr>
      </w:pPr>
      <w:r w:rsidRPr="000665B0">
        <w:rPr>
          <w:b/>
        </w:rPr>
        <w:t>When performing “Create TMPR” from a list of targets, select maximum of 50 targets.</w:t>
      </w:r>
      <w:r w:rsidR="006377E4" w:rsidRPr="000665B0">
        <w:t xml:space="preserve"> </w:t>
      </w:r>
      <w:r w:rsidR="006377E4" w:rsidRPr="000665B0">
        <w:rPr>
          <w:b/>
        </w:rPr>
        <w:t xml:space="preserve">A </w:t>
      </w:r>
      <w:r w:rsidR="006377E4" w:rsidRPr="000665B0">
        <w:rPr>
          <w:b/>
          <w:i/>
        </w:rPr>
        <w:t xml:space="preserve">TMPR </w:t>
      </w:r>
      <w:r w:rsidR="006377E4" w:rsidRPr="000665B0">
        <w:rPr>
          <w:b/>
        </w:rPr>
        <w:t>window for each Target sel</w:t>
      </w:r>
      <w:r w:rsidR="00456D75" w:rsidRPr="000665B0">
        <w:rPr>
          <w:b/>
        </w:rPr>
        <w:t>e</w:t>
      </w:r>
      <w:r w:rsidR="006377E4" w:rsidRPr="000665B0">
        <w:rPr>
          <w:b/>
        </w:rPr>
        <w:t xml:space="preserve">cted </w:t>
      </w:r>
      <w:r w:rsidR="00C80F8C" w:rsidRPr="000665B0">
        <w:rPr>
          <w:b/>
        </w:rPr>
        <w:t>is</w:t>
      </w:r>
      <w:r w:rsidR="006377E4" w:rsidRPr="000665B0">
        <w:rPr>
          <w:b/>
        </w:rPr>
        <w:t xml:space="preserve"> displayed.</w:t>
      </w:r>
    </w:p>
    <w:p w14:paraId="12BA26C9" w14:textId="1E35C01D" w:rsidR="00066BF9" w:rsidRPr="000665B0" w:rsidRDefault="00066BF9" w:rsidP="009570CA">
      <w:r w:rsidRPr="000665B0">
        <w:t xml:space="preserve">A TMPR can be created by manually selecting </w:t>
      </w:r>
      <w:r w:rsidR="009E1324" w:rsidRPr="000665B0">
        <w:t xml:space="preserve">one or more </w:t>
      </w:r>
      <w:r w:rsidRPr="000665B0">
        <w:t>Target</w:t>
      </w:r>
      <w:r w:rsidR="009E1324" w:rsidRPr="000665B0">
        <w:t>s</w:t>
      </w:r>
      <w:r w:rsidRPr="000665B0">
        <w:t xml:space="preserve"> from the Target List View. </w:t>
      </w:r>
      <w:r w:rsidR="009E1324" w:rsidRPr="000665B0">
        <w:t>A TMPR is created for each target, with each</w:t>
      </w:r>
      <w:r w:rsidRPr="000665B0">
        <w:t xml:space="preserve"> TMPR pre-populated with the </w:t>
      </w:r>
      <w:r w:rsidR="009E1324" w:rsidRPr="000665B0">
        <w:t xml:space="preserve">selected </w:t>
      </w:r>
      <w:r w:rsidRPr="000665B0">
        <w:t>target</w:t>
      </w:r>
      <w:r w:rsidR="009E1324" w:rsidRPr="000665B0">
        <w:t>’s</w:t>
      </w:r>
      <w:r w:rsidRPr="000665B0">
        <w:t xml:space="preserve"> information. </w:t>
      </w:r>
    </w:p>
    <w:p w14:paraId="0A6EB255" w14:textId="77777777" w:rsidR="00066BF9" w:rsidRPr="000665B0" w:rsidRDefault="00066BF9" w:rsidP="009570CA">
      <w:r w:rsidRPr="000665B0">
        <w:t>To create a TMPR from an existing Target:</w:t>
      </w:r>
    </w:p>
    <w:p w14:paraId="53BC1B07" w14:textId="77777777" w:rsidR="00066BF9" w:rsidRPr="000665B0" w:rsidRDefault="00066BF9" w:rsidP="006D5A65">
      <w:pPr>
        <w:pStyle w:val="Heading1"/>
      </w:pPr>
      <w:r w:rsidRPr="000665B0">
        <w:t>From the Go menu select Targets.</w:t>
      </w:r>
    </w:p>
    <w:p w14:paraId="7265C590" w14:textId="77777777" w:rsidR="00066BF9" w:rsidRPr="000665B0" w:rsidRDefault="00066BF9" w:rsidP="006D5A65">
      <w:pPr>
        <w:pStyle w:val="Heading1"/>
      </w:pPr>
      <w:r w:rsidRPr="000665B0">
        <w:t xml:space="preserve">From the Target List View, select the desired target. </w:t>
      </w:r>
    </w:p>
    <w:p w14:paraId="4F76B101" w14:textId="566C8CB8" w:rsidR="009E1324" w:rsidRDefault="00066BF9" w:rsidP="006D5A65">
      <w:pPr>
        <w:pStyle w:val="Heading1"/>
      </w:pPr>
      <w:r w:rsidRPr="000665B0">
        <w:t xml:space="preserve">From the File menu select Create TMPR… </w:t>
      </w:r>
      <w:r w:rsidR="00FC4324" w:rsidRPr="000665B0">
        <w:t xml:space="preserve">or invoke the context menu </w:t>
      </w:r>
      <w:r w:rsidRPr="000665B0">
        <w:t>(right</w:t>
      </w:r>
      <w:r w:rsidR="00D67F43" w:rsidRPr="000665B0">
        <w:t>-</w:t>
      </w:r>
      <w:r w:rsidRPr="000665B0">
        <w:t xml:space="preserve">click the mouse) and select Create </w:t>
      </w:r>
      <w:r w:rsidR="006377E4" w:rsidRPr="000665B0">
        <w:t>TMPR</w:t>
      </w:r>
      <w:r w:rsidRPr="000665B0">
        <w:t xml:space="preserve">…. The </w:t>
      </w:r>
      <w:r w:rsidRPr="000665B0">
        <w:rPr>
          <w:i/>
        </w:rPr>
        <w:t xml:space="preserve">TMPR </w:t>
      </w:r>
      <w:r w:rsidRPr="000665B0">
        <w:t xml:space="preserve">window </w:t>
      </w:r>
      <w:r w:rsidR="00C80F8C" w:rsidRPr="000665B0">
        <w:t>is</w:t>
      </w:r>
      <w:r w:rsidRPr="000665B0">
        <w:t xml:space="preserve"> displayed.</w:t>
      </w:r>
    </w:p>
    <w:p w14:paraId="12E81656" w14:textId="642884AB" w:rsidR="004A2B19" w:rsidRPr="000665B0" w:rsidRDefault="00241FB3" w:rsidP="006E72D1">
      <w:pPr>
        <w:spacing w:before="120"/>
        <w:jc w:val="center"/>
      </w:pPr>
      <w:r>
        <w:rPr>
          <w:noProof/>
        </w:rPr>
        <w:drawing>
          <wp:inline distT="0" distB="0" distL="0" distR="0" wp14:anchorId="1DF7B3ED" wp14:editId="348A840A">
            <wp:extent cx="2777796" cy="2400300"/>
            <wp:effectExtent l="0" t="0" r="0" b="0"/>
            <wp:docPr id="2137803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2790653" cy="2411410"/>
                    </a:xfrm>
                    <a:prstGeom prst="rect">
                      <a:avLst/>
                    </a:prstGeom>
                    <a:noFill/>
                    <a:ln>
                      <a:noFill/>
                    </a:ln>
                  </pic:spPr>
                </pic:pic>
              </a:graphicData>
            </a:graphic>
          </wp:inline>
        </w:drawing>
      </w:r>
    </w:p>
    <w:p w14:paraId="10FFC6E5" w14:textId="77777777" w:rsidR="009E1324" w:rsidRPr="000665B0" w:rsidRDefault="009E1324" w:rsidP="009570CA">
      <w:pPr>
        <w:spacing w:before="240" w:after="240"/>
        <w:ind w:left="360"/>
      </w:pPr>
      <w:r w:rsidRPr="000665B0">
        <w:t>or</w:t>
      </w:r>
    </w:p>
    <w:p w14:paraId="3F7E0BB2" w14:textId="31E19804" w:rsidR="009E1324" w:rsidRPr="000665B0" w:rsidRDefault="009E1324" w:rsidP="006D5A65">
      <w:pPr>
        <w:pStyle w:val="Heading1"/>
      </w:pPr>
      <w:r w:rsidRPr="000665B0">
        <w:lastRenderedPageBreak/>
        <w:t>Invoke the context menu (right</w:t>
      </w:r>
      <w:r w:rsidR="00D67F43" w:rsidRPr="000665B0">
        <w:t>-</w:t>
      </w:r>
      <w:r w:rsidRPr="000665B0">
        <w:t xml:space="preserve">click the mouse) and select Create Attack Plan TMPR…. The </w:t>
      </w:r>
      <w:r w:rsidRPr="000665B0">
        <w:rPr>
          <w:i/>
        </w:rPr>
        <w:t xml:space="preserve">TMPR </w:t>
      </w:r>
      <w:r w:rsidRPr="000665B0">
        <w:t>window is displayed.</w:t>
      </w:r>
    </w:p>
    <w:p w14:paraId="61937C19" w14:textId="0176924E" w:rsidR="009E1324" w:rsidRPr="000665B0" w:rsidRDefault="00241FB3" w:rsidP="009570CA">
      <w:pPr>
        <w:pStyle w:val="Number0205"/>
        <w:ind w:left="0" w:firstLine="0"/>
        <w:jc w:val="center"/>
      </w:pPr>
      <w:r>
        <w:rPr>
          <w:noProof/>
        </w:rPr>
        <w:drawing>
          <wp:inline distT="0" distB="0" distL="0" distR="0" wp14:anchorId="37931751" wp14:editId="14E872D8">
            <wp:extent cx="2906724" cy="3063240"/>
            <wp:effectExtent l="0" t="0" r="0" b="0"/>
            <wp:docPr id="150052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2916492" cy="3073534"/>
                    </a:xfrm>
                    <a:prstGeom prst="rect">
                      <a:avLst/>
                    </a:prstGeom>
                    <a:noFill/>
                    <a:ln>
                      <a:noFill/>
                    </a:ln>
                  </pic:spPr>
                </pic:pic>
              </a:graphicData>
            </a:graphic>
          </wp:inline>
        </w:drawing>
      </w:r>
    </w:p>
    <w:p w14:paraId="680DC20D" w14:textId="77777777" w:rsidR="00066BF9" w:rsidRPr="000665B0" w:rsidRDefault="00066BF9" w:rsidP="006D5A65">
      <w:pPr>
        <w:pStyle w:val="Heading1"/>
      </w:pPr>
      <w:r w:rsidRPr="000665B0">
        <w:t xml:space="preserve">In the </w:t>
      </w:r>
      <w:r w:rsidRPr="000665B0">
        <w:rPr>
          <w:i/>
        </w:rPr>
        <w:t>TMPR</w:t>
      </w:r>
      <w:r w:rsidR="00290219" w:rsidRPr="000665B0">
        <w:rPr>
          <w:i/>
        </w:rPr>
        <w:t xml:space="preserve"> </w:t>
      </w:r>
      <w:r w:rsidRPr="000665B0">
        <w:t>window, add additional information as required.</w:t>
      </w:r>
    </w:p>
    <w:p w14:paraId="72DA5D30" w14:textId="77777777" w:rsidR="00066BF9" w:rsidRPr="000665B0" w:rsidRDefault="00066BF9" w:rsidP="006D5A65">
      <w:pPr>
        <w:pStyle w:val="Heading1"/>
      </w:pPr>
      <w:r w:rsidRPr="000665B0">
        <w:t xml:space="preserve">Click on the Save </w:t>
      </w:r>
      <w:r w:rsidR="009A1FDF" w:rsidRPr="000665B0">
        <w:rPr>
          <w:noProof/>
        </w:rPr>
        <w:drawing>
          <wp:inline distT="0" distB="0" distL="0" distR="0" wp14:anchorId="02F4A755" wp14:editId="474DC355">
            <wp:extent cx="152400" cy="152400"/>
            <wp:effectExtent l="19050" t="0" r="0" b="0"/>
            <wp:docPr id="390" name="Picture 390" descr="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save%20toolbar"/>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to save the newly created TMPR.</w:t>
      </w:r>
    </w:p>
    <w:p w14:paraId="3E35ECEE" w14:textId="6268010A" w:rsidR="00066BF9" w:rsidRPr="000665B0" w:rsidRDefault="00066BF9" w:rsidP="009570CA">
      <w:pPr>
        <w:spacing w:after="0"/>
      </w:pPr>
      <w:r w:rsidRPr="000665B0">
        <w:t>For more information on TMPRs</w:t>
      </w:r>
      <w:r w:rsidR="00985413" w:rsidRPr="000665B0">
        <w:t>,</w:t>
      </w:r>
      <w:r w:rsidRPr="000665B0">
        <w:t xml:space="preserve"> </w:t>
      </w:r>
      <w:r w:rsidR="005F1C4D" w:rsidRPr="000665B0">
        <w:t>s</w:t>
      </w:r>
      <w:r w:rsidRPr="000665B0">
        <w:t xml:space="preserve">ee </w:t>
      </w:r>
      <w:hyperlink w:anchor="_5.35__TMPRs" w:history="1">
        <w:r w:rsidR="00650083" w:rsidRPr="000665B0">
          <w:rPr>
            <w:rStyle w:val="Hyperlink"/>
          </w:rPr>
          <w:t xml:space="preserve">Section </w:t>
        </w:r>
        <w:r w:rsidR="004231CC">
          <w:rPr>
            <w:rStyle w:val="Hyperlink"/>
          </w:rPr>
          <w:t>5.31</w:t>
        </w:r>
      </w:hyperlink>
      <w:r w:rsidRPr="000665B0">
        <w:t>.</w:t>
      </w:r>
    </w:p>
    <w:p w14:paraId="35CF2EEB" w14:textId="16ECE7EF" w:rsidR="00066BF9" w:rsidRPr="000665B0" w:rsidRDefault="00066BF9" w:rsidP="009570CA">
      <w:pPr>
        <w:pStyle w:val="Heading3"/>
      </w:pPr>
      <w:bookmarkStart w:id="5460" w:name="_Toc289328753"/>
      <w:bookmarkStart w:id="5461" w:name="_Toc312331999"/>
      <w:bookmarkStart w:id="5462" w:name="_Toc214283451"/>
      <w:r w:rsidRPr="000665B0">
        <w:t>Create Target Library</w:t>
      </w:r>
      <w:bookmarkEnd w:id="5460"/>
      <w:bookmarkEnd w:id="5461"/>
      <w:bookmarkEnd w:id="5462"/>
    </w:p>
    <w:p w14:paraId="6847B9A5" w14:textId="77777777" w:rsidR="00066BF9" w:rsidRPr="000665B0" w:rsidRDefault="00066BF9" w:rsidP="009570CA">
      <w:r w:rsidRPr="000665B0">
        <w:t>Target Libraries can be created by manually selecting the Targets from the Target List View.</w:t>
      </w:r>
      <w:r w:rsidR="004F3F3B" w:rsidRPr="000665B0">
        <w:t xml:space="preserve"> Only the Node that creates a Target Library can modify its contents. Nodes that receive a Target Library will have read-only permission.</w:t>
      </w:r>
    </w:p>
    <w:p w14:paraId="22A9EBB3" w14:textId="77777777" w:rsidR="00066BF9" w:rsidRPr="000665B0" w:rsidRDefault="00066BF9" w:rsidP="009570CA">
      <w:pPr>
        <w:keepNext/>
      </w:pPr>
      <w:r w:rsidRPr="000665B0">
        <w:lastRenderedPageBreak/>
        <w:t>To create a Target Library from the Target List View:</w:t>
      </w:r>
    </w:p>
    <w:p w14:paraId="6BC3F60F" w14:textId="77777777" w:rsidR="00066BF9" w:rsidRPr="000665B0" w:rsidRDefault="00066BF9" w:rsidP="006D5A65">
      <w:pPr>
        <w:pStyle w:val="Heading1"/>
      </w:pPr>
      <w:r w:rsidRPr="000665B0">
        <w:t>From the Go menu select Targets.</w:t>
      </w:r>
    </w:p>
    <w:p w14:paraId="57C39AF4" w14:textId="77777777" w:rsidR="00066BF9" w:rsidRPr="000665B0" w:rsidRDefault="00066BF9" w:rsidP="006D5A65">
      <w:pPr>
        <w:pStyle w:val="Heading1"/>
      </w:pPr>
      <w:r w:rsidRPr="000665B0">
        <w:t xml:space="preserve">From the Target List View, select the desired target(s). </w:t>
      </w:r>
    </w:p>
    <w:p w14:paraId="061C6613" w14:textId="271A4B23" w:rsidR="00066BF9" w:rsidRPr="000665B0" w:rsidRDefault="00066BF9" w:rsidP="006D5A65">
      <w:pPr>
        <w:pStyle w:val="Heading1"/>
      </w:pPr>
      <w:r w:rsidRPr="000665B0">
        <w:t xml:space="preserve">From the File menu select Create Target Library… </w:t>
      </w:r>
      <w:r w:rsidR="00FC4324" w:rsidRPr="000665B0">
        <w:t xml:space="preserve">or invoke the context menu </w:t>
      </w:r>
      <w:r w:rsidRPr="000665B0">
        <w:t>(</w:t>
      </w:r>
      <w:r w:rsidR="00D71804" w:rsidRPr="000665B0">
        <w:t>right-click</w:t>
      </w:r>
      <w:r w:rsidRPr="000665B0">
        <w:t xml:space="preserve"> the mouse) and select Create Target Library…. The </w:t>
      </w:r>
      <w:r w:rsidRPr="000665B0">
        <w:rPr>
          <w:i/>
        </w:rPr>
        <w:t xml:space="preserve">Target Library </w:t>
      </w:r>
      <w:r w:rsidRPr="000665B0">
        <w:t xml:space="preserve">window </w:t>
      </w:r>
      <w:r w:rsidR="00C80F8C" w:rsidRPr="000665B0">
        <w:t>is</w:t>
      </w:r>
      <w:r w:rsidRPr="000665B0">
        <w:t xml:space="preserve"> displayed.</w:t>
      </w:r>
    </w:p>
    <w:p w14:paraId="0A849BCE" w14:textId="13EB8291" w:rsidR="00066BF9" w:rsidRPr="000665B0" w:rsidRDefault="00FE1A9C" w:rsidP="009570CA">
      <w:pPr>
        <w:spacing w:before="240" w:after="240"/>
        <w:jc w:val="center"/>
      </w:pPr>
      <w:r w:rsidRPr="000665B0">
        <w:rPr>
          <w:noProof/>
        </w:rPr>
        <w:drawing>
          <wp:inline distT="0" distB="0" distL="0" distR="0" wp14:anchorId="49EA9C15" wp14:editId="0D331730">
            <wp:extent cx="4114800" cy="1892808"/>
            <wp:effectExtent l="0" t="0" r="0" b="0"/>
            <wp:docPr id="2188" name="Picture 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1892808"/>
                    </a:xfrm>
                    <a:prstGeom prst="rect">
                      <a:avLst/>
                    </a:prstGeom>
                  </pic:spPr>
                </pic:pic>
              </a:graphicData>
            </a:graphic>
          </wp:inline>
        </w:drawing>
      </w:r>
    </w:p>
    <w:p w14:paraId="1C59EA75" w14:textId="77777777" w:rsidR="00066BF9" w:rsidRPr="000665B0" w:rsidRDefault="00066BF9" w:rsidP="006D5A65">
      <w:pPr>
        <w:pStyle w:val="Heading1"/>
      </w:pPr>
      <w:r w:rsidRPr="000665B0">
        <w:t xml:space="preserve">In the </w:t>
      </w:r>
      <w:r w:rsidRPr="000665B0">
        <w:rPr>
          <w:i/>
        </w:rPr>
        <w:t xml:space="preserve">Target Library </w:t>
      </w:r>
      <w:r w:rsidRPr="000665B0">
        <w:t>window, provide a Name and Description for the Target Library.</w:t>
      </w:r>
    </w:p>
    <w:p w14:paraId="40843BF5" w14:textId="77777777" w:rsidR="00066BF9" w:rsidRPr="000665B0" w:rsidRDefault="00066BF9" w:rsidP="006D5A65">
      <w:pPr>
        <w:pStyle w:val="Heading1"/>
      </w:pPr>
      <w:r w:rsidRPr="000665B0">
        <w:t xml:space="preserve">Click on the Save </w:t>
      </w:r>
      <w:r w:rsidR="009A1FDF" w:rsidRPr="000665B0">
        <w:rPr>
          <w:noProof/>
        </w:rPr>
        <w:drawing>
          <wp:inline distT="0" distB="0" distL="0" distR="0" wp14:anchorId="21619576" wp14:editId="2488BD51">
            <wp:extent cx="152400" cy="152400"/>
            <wp:effectExtent l="19050" t="0" r="0" b="0"/>
            <wp:docPr id="392" name="Picture 392" descr="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save%20toolbar"/>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to save the newly created Target Library.</w:t>
      </w:r>
    </w:p>
    <w:p w14:paraId="2BFCFB59" w14:textId="198A69E8" w:rsidR="006377E4" w:rsidRPr="000665B0" w:rsidRDefault="006377E4" w:rsidP="009570CA">
      <w:pPr>
        <w:pStyle w:val="Heading3"/>
        <w:keepNext w:val="0"/>
      </w:pPr>
      <w:bookmarkStart w:id="5463" w:name="_Toc214283452"/>
      <w:bookmarkStart w:id="5464" w:name="_Toc289328754"/>
      <w:bookmarkStart w:id="5465" w:name="_Toc312332000"/>
      <w:r w:rsidRPr="000665B0">
        <w:t>Create TED Library</w:t>
      </w:r>
      <w:bookmarkEnd w:id="5463"/>
    </w:p>
    <w:p w14:paraId="23435AE7" w14:textId="5E63B56F" w:rsidR="006377E4" w:rsidRPr="000665B0" w:rsidRDefault="009F566D" w:rsidP="009570CA">
      <w:r w:rsidRPr="000665B0">
        <w:t xml:space="preserve">A TED Library can be created by manually selecting Targets from the Target List View. This type of library is able to accept different types of data instead of being restricted to a single data type as in the other MDS Libraries. Its main function is to enable the operator to assemble all of the required data needed for automated distribution into one library. Only the Node that creates a TED Library can modify its contents. Nodes that receive a TED Library will have read-only permissions. For information on creating a TED Library see </w:t>
      </w:r>
      <w:hyperlink w:anchor="_5.13.1.1__New" w:history="1">
        <w:r w:rsidRPr="000665B0">
          <w:rPr>
            <w:rStyle w:val="Hyperlink"/>
          </w:rPr>
          <w:t>Section 5.</w:t>
        </w:r>
        <w:r w:rsidR="00C77A5E" w:rsidRPr="000665B0">
          <w:rPr>
            <w:rStyle w:val="Hyperlink"/>
          </w:rPr>
          <w:t>12</w:t>
        </w:r>
        <w:r w:rsidRPr="000665B0">
          <w:rPr>
            <w:rStyle w:val="Hyperlink"/>
          </w:rPr>
          <w:t>.1.1</w:t>
        </w:r>
      </w:hyperlink>
      <w:r w:rsidR="006377E4" w:rsidRPr="000665B0">
        <w:t>.</w:t>
      </w:r>
    </w:p>
    <w:p w14:paraId="6A031407" w14:textId="490C3B6A" w:rsidR="00204E27" w:rsidRPr="000665B0" w:rsidRDefault="00204E27" w:rsidP="009570CA">
      <w:pPr>
        <w:pStyle w:val="Heading3"/>
      </w:pPr>
      <w:bookmarkStart w:id="5466" w:name="_Toc214283453"/>
      <w:r w:rsidRPr="000665B0">
        <w:t>JIPTL</w:t>
      </w:r>
      <w:r w:rsidR="00B53C7E" w:rsidRPr="000665B0">
        <w:t>s</w:t>
      </w:r>
      <w:bookmarkEnd w:id="5464"/>
      <w:bookmarkEnd w:id="5465"/>
      <w:bookmarkEnd w:id="5466"/>
    </w:p>
    <w:p w14:paraId="13242EA8" w14:textId="4A2220DA" w:rsidR="0087376E" w:rsidRPr="000665B0" w:rsidRDefault="00985413" w:rsidP="009570CA">
      <w:r w:rsidRPr="000665B0">
        <w:t>A Joint Integrated Prioritized Target List (</w:t>
      </w:r>
      <w:r w:rsidRPr="000665B0">
        <w:rPr>
          <w:b/>
        </w:rPr>
        <w:t>JIPTL</w:t>
      </w:r>
      <w:r w:rsidRPr="000665B0">
        <w:t xml:space="preserve">) </w:t>
      </w:r>
      <w:r w:rsidR="0087376E" w:rsidRPr="000665B0">
        <w:t xml:space="preserve">is a list of prioritized targets along with their relevant information. The file is in </w:t>
      </w:r>
      <w:r w:rsidR="00EF526E" w:rsidRPr="000665B0">
        <w:t xml:space="preserve">Microsoft </w:t>
      </w:r>
      <w:r w:rsidR="0087376E" w:rsidRPr="000665B0">
        <w:t>Excel format and can be processed by MDS using the “Receive File” function, so that they may be used in strike planning. The JIPTL Excel document must end with the ‘</w:t>
      </w:r>
      <w:r w:rsidR="0087376E" w:rsidRPr="000665B0">
        <w:rPr>
          <w:b/>
        </w:rPr>
        <w:t>.xls</w:t>
      </w:r>
      <w:r w:rsidR="008107F4" w:rsidRPr="000665B0">
        <w:rPr>
          <w:b/>
        </w:rPr>
        <w:t>x</w:t>
      </w:r>
      <w:r w:rsidR="0087376E" w:rsidRPr="000665B0">
        <w:t>’ extension. MDS reads the spreadsheet column headers to determine its contents. Valid columns in a JIPTL include:</w:t>
      </w:r>
    </w:p>
    <w:p w14:paraId="3E9D5512" w14:textId="77777777" w:rsidR="00A316EA" w:rsidRDefault="00A316EA" w:rsidP="006D5A65">
      <w:pPr>
        <w:pStyle w:val="Heading1"/>
      </w:pPr>
      <w:r>
        <w:br w:type="page"/>
      </w:r>
      <w:r w:rsidR="0087376E" w:rsidRPr="000665B0">
        <w:lastRenderedPageBreak/>
        <w:t>Priority</w:t>
      </w:r>
    </w:p>
    <w:p w14:paraId="39C27B39" w14:textId="77777777" w:rsidR="0087376E" w:rsidRPr="000665B0" w:rsidRDefault="0087376E" w:rsidP="006D5A65">
      <w:pPr>
        <w:pStyle w:val="Heading1"/>
      </w:pPr>
      <w:r w:rsidRPr="000665B0">
        <w:t>BE#</w:t>
      </w:r>
    </w:p>
    <w:p w14:paraId="74FE0A7A" w14:textId="77777777" w:rsidR="0087376E" w:rsidRPr="000665B0" w:rsidRDefault="0087376E" w:rsidP="006D5A65">
      <w:pPr>
        <w:pStyle w:val="Heading1"/>
      </w:pPr>
      <w:r w:rsidRPr="000665B0">
        <w:t>JDPI</w:t>
      </w:r>
    </w:p>
    <w:p w14:paraId="50E4E32E" w14:textId="77777777" w:rsidR="005666ED" w:rsidRPr="000665B0" w:rsidRDefault="005666ED" w:rsidP="006D5A65">
      <w:pPr>
        <w:pStyle w:val="Heading1"/>
      </w:pPr>
      <w:r w:rsidRPr="000665B0">
        <w:t>Latitude</w:t>
      </w:r>
    </w:p>
    <w:p w14:paraId="77EC3519" w14:textId="77777777" w:rsidR="005666ED" w:rsidRPr="000665B0" w:rsidRDefault="005666ED" w:rsidP="006D5A65">
      <w:pPr>
        <w:pStyle w:val="Heading1"/>
      </w:pPr>
      <w:r w:rsidRPr="000665B0">
        <w:t>Longitude</w:t>
      </w:r>
    </w:p>
    <w:p w14:paraId="3BBDF4AC" w14:textId="77777777" w:rsidR="005666ED" w:rsidRPr="000665B0" w:rsidRDefault="005666ED" w:rsidP="006D5A65">
      <w:pPr>
        <w:pStyle w:val="Heading1"/>
      </w:pPr>
      <w:r w:rsidRPr="000665B0">
        <w:t>Facility Name</w:t>
      </w:r>
    </w:p>
    <w:p w14:paraId="0160363E" w14:textId="77777777" w:rsidR="0087376E" w:rsidRPr="000665B0" w:rsidRDefault="0087376E" w:rsidP="006D5A65">
      <w:pPr>
        <w:pStyle w:val="Heading1"/>
      </w:pPr>
      <w:r w:rsidRPr="000665B0">
        <w:t>Aimpoint ID</w:t>
      </w:r>
    </w:p>
    <w:p w14:paraId="630D8E23" w14:textId="77777777" w:rsidR="0087376E" w:rsidRPr="000665B0" w:rsidRDefault="0087376E" w:rsidP="006D5A65">
      <w:pPr>
        <w:pStyle w:val="Heading1"/>
      </w:pPr>
      <w:r w:rsidRPr="000665B0">
        <w:t>OSuffix</w:t>
      </w:r>
    </w:p>
    <w:p w14:paraId="1A12B59A" w14:textId="77777777" w:rsidR="0087376E" w:rsidRPr="000665B0" w:rsidRDefault="0087376E" w:rsidP="006D5A65">
      <w:pPr>
        <w:pStyle w:val="Heading1"/>
      </w:pPr>
      <w:r w:rsidRPr="000665B0">
        <w:t>Category Code</w:t>
      </w:r>
    </w:p>
    <w:p w14:paraId="5ACD8E90" w14:textId="77777777" w:rsidR="008107F4" w:rsidRPr="000665B0" w:rsidRDefault="008107F4" w:rsidP="006D5A65">
      <w:pPr>
        <w:pStyle w:val="Heading1"/>
      </w:pPr>
      <w:r w:rsidRPr="000665B0">
        <w:t>ELEVATION</w:t>
      </w:r>
    </w:p>
    <w:p w14:paraId="1AE31E4E" w14:textId="77777777" w:rsidR="008107F4" w:rsidRPr="000665B0" w:rsidRDefault="008107F4" w:rsidP="006D5A65">
      <w:pPr>
        <w:pStyle w:val="Heading1"/>
      </w:pPr>
      <w:r w:rsidRPr="000665B0">
        <w:t>ELEVATION REF_HAE</w:t>
      </w:r>
    </w:p>
    <w:p w14:paraId="160E50B5" w14:textId="38E14D71" w:rsidR="008107F4" w:rsidRPr="000665B0" w:rsidRDefault="008107F4" w:rsidP="006D5A65">
      <w:pPr>
        <w:pStyle w:val="Heading1"/>
      </w:pPr>
      <w:r w:rsidRPr="000665B0">
        <w:t>ELEVATION REF_MSL</w:t>
      </w:r>
      <w:r w:rsidR="00321DB2" w:rsidRPr="000665B0">
        <w:t xml:space="preserve"> (default)</w:t>
      </w:r>
    </w:p>
    <w:p w14:paraId="3E3AF656" w14:textId="77777777" w:rsidR="005666ED" w:rsidRPr="000665B0" w:rsidRDefault="005666ED" w:rsidP="006D5A65">
      <w:pPr>
        <w:pStyle w:val="Heading1"/>
      </w:pPr>
      <w:r w:rsidRPr="000665B0">
        <w:t>Installation Name</w:t>
      </w:r>
    </w:p>
    <w:p w14:paraId="77091F20" w14:textId="77777777" w:rsidR="005666ED" w:rsidRPr="000665B0" w:rsidRDefault="005666ED" w:rsidP="006D5A65">
      <w:pPr>
        <w:pStyle w:val="Heading1"/>
      </w:pPr>
      <w:r w:rsidRPr="000665B0">
        <w:t>Installation Latitude</w:t>
      </w:r>
    </w:p>
    <w:p w14:paraId="33FBFF51" w14:textId="77777777" w:rsidR="005666ED" w:rsidRPr="000665B0" w:rsidRDefault="005666ED" w:rsidP="006D5A65">
      <w:pPr>
        <w:pStyle w:val="Heading1"/>
      </w:pPr>
      <w:r w:rsidRPr="000665B0">
        <w:t>Installation Longitude</w:t>
      </w:r>
    </w:p>
    <w:p w14:paraId="657EA775" w14:textId="77777777" w:rsidR="0087376E" w:rsidRPr="000665B0" w:rsidRDefault="0087376E" w:rsidP="006D5A65">
      <w:pPr>
        <w:pStyle w:val="Heading1"/>
      </w:pPr>
      <w:r w:rsidRPr="000665B0">
        <w:t>Description</w:t>
      </w:r>
    </w:p>
    <w:p w14:paraId="46EB15F6" w14:textId="77777777" w:rsidR="0087376E" w:rsidRPr="000665B0" w:rsidRDefault="0087376E" w:rsidP="006D5A65">
      <w:pPr>
        <w:pStyle w:val="Heading1"/>
      </w:pPr>
      <w:r w:rsidRPr="000665B0">
        <w:t>Nominating Source</w:t>
      </w:r>
    </w:p>
    <w:p w14:paraId="43B64BC5" w14:textId="77777777" w:rsidR="0087376E" w:rsidRPr="000665B0" w:rsidRDefault="0087376E" w:rsidP="006D5A65">
      <w:pPr>
        <w:pStyle w:val="Heading1"/>
      </w:pPr>
      <w:r w:rsidRPr="000665B0">
        <w:t>Amplifying Information</w:t>
      </w:r>
    </w:p>
    <w:p w14:paraId="43859065" w14:textId="77777777" w:rsidR="0087376E" w:rsidRPr="000665B0" w:rsidRDefault="0087376E" w:rsidP="006D5A65">
      <w:pPr>
        <w:pStyle w:val="Heading1"/>
      </w:pPr>
      <w:r w:rsidRPr="000665B0">
        <w:t>Assign A/C</w:t>
      </w:r>
    </w:p>
    <w:p w14:paraId="760145A2" w14:textId="77777777" w:rsidR="0087376E" w:rsidRPr="000665B0" w:rsidRDefault="0087376E" w:rsidP="006D5A65">
      <w:pPr>
        <w:pStyle w:val="Heading1"/>
      </w:pPr>
      <w:r w:rsidRPr="000665B0">
        <w:t>BDA</w:t>
      </w:r>
    </w:p>
    <w:p w14:paraId="29D95AFA" w14:textId="77777777" w:rsidR="0087376E" w:rsidRPr="000665B0" w:rsidRDefault="0087376E" w:rsidP="006D5A65">
      <w:pPr>
        <w:pStyle w:val="Heading1"/>
      </w:pPr>
      <w:r w:rsidRPr="000665B0">
        <w:t>Re-Strike</w:t>
      </w:r>
    </w:p>
    <w:p w14:paraId="7A9B565D" w14:textId="77777777" w:rsidR="00A316EA" w:rsidRDefault="0087376E" w:rsidP="006D5A65">
      <w:pPr>
        <w:pStyle w:val="Heading1"/>
      </w:pPr>
      <w:r w:rsidRPr="000665B0">
        <w:t xml:space="preserve">Requires </w:t>
      </w:r>
      <w:r w:rsidR="009434F1" w:rsidRPr="000665B0">
        <w:t>109E</w:t>
      </w:r>
      <w:r w:rsidR="00A316EA">
        <w:br w:type="page"/>
      </w:r>
      <w:r w:rsidR="00321DB2" w:rsidRPr="000665B0">
        <w:rPr>
          <w:noProof/>
        </w:rPr>
        <w:lastRenderedPageBreak/>
        <w:drawing>
          <wp:inline distT="0" distB="0" distL="0" distR="0" wp14:anchorId="696AEB05" wp14:editId="4C74E5E6">
            <wp:extent cx="5120968" cy="2540000"/>
            <wp:effectExtent l="0" t="0" r="0" b="0"/>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133450" cy="2546191"/>
                    </a:xfrm>
                    <a:prstGeom prst="rect">
                      <a:avLst/>
                    </a:prstGeom>
                  </pic:spPr>
                </pic:pic>
              </a:graphicData>
            </a:graphic>
          </wp:inline>
        </w:drawing>
      </w:r>
    </w:p>
    <w:p w14:paraId="071EA9E2" w14:textId="77777777" w:rsidR="00845A35" w:rsidRPr="000665B0" w:rsidRDefault="00845A35" w:rsidP="009570CA">
      <w:r w:rsidRPr="000665B0">
        <w:t xml:space="preserve">In order to create a Target ID, the target type values must be valid and formatted correctly: </w:t>
      </w:r>
    </w:p>
    <w:p w14:paraId="3E680424" w14:textId="77777777" w:rsidR="00845A35" w:rsidRPr="000665B0" w:rsidRDefault="00845A35" w:rsidP="006D5A65">
      <w:pPr>
        <w:pStyle w:val="Heading1"/>
      </w:pPr>
      <w:r w:rsidRPr="000665B0">
        <w:t xml:space="preserve">Aimpoint ID is a mandatory field when the BE# is specified. </w:t>
      </w:r>
    </w:p>
    <w:p w14:paraId="3773A608" w14:textId="221E5C89" w:rsidR="00845A35" w:rsidRPr="000665B0" w:rsidRDefault="00845A35" w:rsidP="006D5A65">
      <w:pPr>
        <w:pStyle w:val="Heading1"/>
      </w:pPr>
      <w:r w:rsidRPr="000665B0">
        <w:t xml:space="preserve">A JDPI may be specified as the only identifier. The BE# and Aimpoint </w:t>
      </w:r>
      <w:r w:rsidR="00816181" w:rsidRPr="000665B0">
        <w:t>I</w:t>
      </w:r>
      <w:r w:rsidR="00816181">
        <w:t>D</w:t>
      </w:r>
      <w:r w:rsidR="00816181" w:rsidRPr="000665B0">
        <w:t xml:space="preserve"> </w:t>
      </w:r>
      <w:r w:rsidRPr="000665B0">
        <w:t>column headers must be present, but do not require values within the columns.</w:t>
      </w:r>
    </w:p>
    <w:p w14:paraId="6AB54949" w14:textId="795DBCBA" w:rsidR="00845A35" w:rsidRPr="000665B0" w:rsidRDefault="00845A35" w:rsidP="006D5A65">
      <w:pPr>
        <w:pStyle w:val="Heading1"/>
      </w:pPr>
      <w:r w:rsidRPr="000665B0">
        <w:t xml:space="preserve">If the latitude and longitude are specified, they are included in the generation of the </w:t>
      </w:r>
      <w:r w:rsidR="00E971E8" w:rsidRPr="000665B0">
        <w:t>Target ID and</w:t>
      </w:r>
      <w:r w:rsidRPr="000665B0">
        <w:t xml:space="preserve"> therefore must be valid values. Latitude and longitude are not required fields unless an elevation is specified. </w:t>
      </w:r>
    </w:p>
    <w:p w14:paraId="69CF2CD9" w14:textId="77777777" w:rsidR="00327B6A" w:rsidRPr="000665B0" w:rsidRDefault="00327B6A" w:rsidP="006D5A65">
      <w:pPr>
        <w:pStyle w:val="Heading1"/>
      </w:pPr>
      <w:r w:rsidRPr="000665B0">
        <w:t>The target’s ground elevation specifications are optional, but latitude and longitude are mandatory fields when elevation is specified:</w:t>
      </w:r>
    </w:p>
    <w:p w14:paraId="4BF86D54" w14:textId="77777777" w:rsidR="00327B6A" w:rsidRPr="000665B0" w:rsidRDefault="00327B6A" w:rsidP="006D5A65">
      <w:pPr>
        <w:pStyle w:val="Heading3"/>
      </w:pPr>
      <w:r w:rsidRPr="000665B0">
        <w:t>Elevation column – Enter the target’s elevation (in feet). (Elevation cannot be specified in meters.)</w:t>
      </w:r>
    </w:p>
    <w:p w14:paraId="148709F5" w14:textId="77777777" w:rsidR="00327B6A" w:rsidRPr="000665B0" w:rsidRDefault="00327B6A" w:rsidP="006D5A65">
      <w:pPr>
        <w:pStyle w:val="Heading3"/>
      </w:pPr>
      <w:r w:rsidRPr="000665B0">
        <w:rPr>
          <w:szCs w:val="24"/>
        </w:rPr>
        <w:t>Elevation Ref_MSL column – Enter MSL</w:t>
      </w:r>
      <w:r w:rsidRPr="000665B0">
        <w:t xml:space="preserve"> (default) to define the target’s ground elevation reference in MSL (Mean Sea Level)</w:t>
      </w:r>
    </w:p>
    <w:p w14:paraId="1B95B8B3" w14:textId="77777777" w:rsidR="00327B6A" w:rsidRPr="000665B0" w:rsidRDefault="00327B6A" w:rsidP="009570CA">
      <w:pPr>
        <w:ind w:left="1080"/>
        <w:rPr>
          <w:szCs w:val="24"/>
        </w:rPr>
      </w:pPr>
      <w:r w:rsidRPr="000665B0">
        <w:rPr>
          <w:szCs w:val="24"/>
        </w:rPr>
        <w:t>or</w:t>
      </w:r>
    </w:p>
    <w:p w14:paraId="59DB6372" w14:textId="77777777" w:rsidR="00327B6A" w:rsidRPr="000665B0" w:rsidRDefault="00327B6A" w:rsidP="006D5A65">
      <w:pPr>
        <w:pStyle w:val="Heading3"/>
      </w:pPr>
      <w:r w:rsidRPr="000665B0">
        <w:rPr>
          <w:szCs w:val="24"/>
        </w:rPr>
        <w:lastRenderedPageBreak/>
        <w:t>Elevation Ref_HAE column – Enter HAE</w:t>
      </w:r>
      <w:r w:rsidRPr="000665B0">
        <w:t xml:space="preserve"> to define the target’s ground elevation reference in HAE (Height Above Ellipsoid).</w:t>
      </w:r>
    </w:p>
    <w:p w14:paraId="50830400" w14:textId="77777777" w:rsidR="00327B6A" w:rsidRPr="000665B0" w:rsidRDefault="00327B6A" w:rsidP="006D5A65">
      <w:pPr>
        <w:pStyle w:val="Heading3"/>
      </w:pPr>
      <w:r w:rsidRPr="000665B0">
        <w:t>If no entry is made in either Elevation Ref column, the resulting target’s elevation reference is set to MSL.</w:t>
      </w:r>
    </w:p>
    <w:p w14:paraId="13A26F51" w14:textId="27DA7128" w:rsidR="00845A35" w:rsidRPr="000665B0" w:rsidRDefault="00327B6A" w:rsidP="009570CA">
      <w:pPr>
        <w:jc w:val="center"/>
      </w:pPr>
      <w:r w:rsidRPr="000665B0">
        <w:rPr>
          <w:noProof/>
        </w:rPr>
        <w:drawing>
          <wp:inline distT="0" distB="0" distL="0" distR="0" wp14:anchorId="434A8981" wp14:editId="41EB1DBD">
            <wp:extent cx="4572000" cy="17739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1773936"/>
                    </a:xfrm>
                    <a:prstGeom prst="rect">
                      <a:avLst/>
                    </a:prstGeom>
                  </pic:spPr>
                </pic:pic>
              </a:graphicData>
            </a:graphic>
          </wp:inline>
        </w:drawing>
      </w:r>
    </w:p>
    <w:p w14:paraId="1F0C4400" w14:textId="33D1F9AF" w:rsidR="0087376E" w:rsidRPr="000665B0" w:rsidRDefault="0087376E" w:rsidP="006D5A65">
      <w:pPr>
        <w:pStyle w:val="Heading1"/>
      </w:pPr>
      <w:r w:rsidRPr="000665B0">
        <w:t>Any extra columns contained within the JIPTL are ignored</w:t>
      </w:r>
      <w:r w:rsidR="006E294F" w:rsidRPr="000665B0">
        <w:t xml:space="preserve"> for processing by MDS. This includes columns with blank or undefined/unrecognizable JIPTL column headers. </w:t>
      </w:r>
    </w:p>
    <w:p w14:paraId="349981ED" w14:textId="196482CC" w:rsidR="00A37E82" w:rsidRPr="000665B0" w:rsidRDefault="0087376E" w:rsidP="009570CA">
      <w:r w:rsidRPr="000665B0">
        <w:t>The targets that are created by processing the JIPTL in MDS will have the following fields a</w:t>
      </w:r>
      <w:r w:rsidR="00D54F3A" w:rsidRPr="000665B0">
        <w:t>dded to the target information</w:t>
      </w:r>
      <w:r w:rsidR="00326016" w:rsidRPr="000665B0">
        <w:t xml:space="preserve"> (</w:t>
      </w:r>
      <w:r w:rsidR="00845A35" w:rsidRPr="000665B0">
        <w:t xml:space="preserve">their </w:t>
      </w:r>
      <w:r w:rsidR="00326016" w:rsidRPr="000665B0">
        <w:t>valid formats are listed as well)</w:t>
      </w:r>
      <w:r w:rsidR="00D54F3A" w:rsidRPr="000665B0">
        <w:t>:</w:t>
      </w:r>
    </w:p>
    <w:p w14:paraId="001A3758" w14:textId="77777777" w:rsidR="00326016" w:rsidRPr="000665B0" w:rsidRDefault="00326016" w:rsidP="006D5A65">
      <w:pPr>
        <w:pStyle w:val="Heading1"/>
      </w:pPr>
      <w:r w:rsidRPr="000665B0">
        <w:t>BE# – Valid format is nnnnA$nnnn or nnnn-$nnnn.</w:t>
      </w:r>
    </w:p>
    <w:p w14:paraId="08C9E112" w14:textId="77777777" w:rsidR="00326016" w:rsidRPr="000665B0" w:rsidRDefault="00326016" w:rsidP="006D5A65">
      <w:pPr>
        <w:pStyle w:val="Heading1"/>
      </w:pPr>
      <w:r w:rsidRPr="000665B0">
        <w:t>JDPI – Valid format must be 6 alphanumeric characters.</w:t>
      </w:r>
    </w:p>
    <w:p w14:paraId="43CC2890" w14:textId="77777777" w:rsidR="00326016" w:rsidRPr="000665B0" w:rsidRDefault="00326016" w:rsidP="006D5A65">
      <w:pPr>
        <w:pStyle w:val="Heading1"/>
        <w:rPr>
          <w:szCs w:val="24"/>
        </w:rPr>
      </w:pPr>
      <w:r w:rsidRPr="000665B0">
        <w:t>Latitude</w:t>
      </w:r>
      <w:r w:rsidRPr="000665B0">
        <w:rPr>
          <w:szCs w:val="24"/>
        </w:rPr>
        <w:t xml:space="preserve"> – Valid format is </w:t>
      </w:r>
      <w:r w:rsidRPr="000665B0">
        <w:t>DD-MM-SSX or DD-MM-SS.SSSX.</w:t>
      </w:r>
    </w:p>
    <w:p w14:paraId="0A3CE6EF" w14:textId="77777777" w:rsidR="00326016" w:rsidRPr="000665B0" w:rsidRDefault="00326016" w:rsidP="006D5A65">
      <w:pPr>
        <w:pStyle w:val="Heading1"/>
        <w:rPr>
          <w:szCs w:val="24"/>
        </w:rPr>
      </w:pPr>
      <w:r w:rsidRPr="000665B0">
        <w:t>Longitude</w:t>
      </w:r>
      <w:r w:rsidRPr="000665B0">
        <w:rPr>
          <w:szCs w:val="24"/>
        </w:rPr>
        <w:t xml:space="preserve"> – Valid format is D</w:t>
      </w:r>
      <w:r w:rsidRPr="000665B0">
        <w:t>DD-MM-SSX or DDD-MM-SS.SSSX.</w:t>
      </w:r>
    </w:p>
    <w:p w14:paraId="5D742614" w14:textId="77777777" w:rsidR="00326016" w:rsidRPr="000665B0" w:rsidRDefault="00326016" w:rsidP="006D5A65">
      <w:pPr>
        <w:pStyle w:val="Heading1"/>
      </w:pPr>
      <w:r w:rsidRPr="000665B0">
        <w:t>Facility Name – Up to 38 free format characters.</w:t>
      </w:r>
    </w:p>
    <w:p w14:paraId="4BE5C381" w14:textId="77777777" w:rsidR="00326016" w:rsidRPr="000665B0" w:rsidRDefault="00326016" w:rsidP="006D5A65">
      <w:pPr>
        <w:pStyle w:val="Heading1"/>
      </w:pPr>
      <w:r w:rsidRPr="000665B0">
        <w:t>Aimpoint ID – Valid format is AA.</w:t>
      </w:r>
    </w:p>
    <w:p w14:paraId="4889F777" w14:textId="77777777" w:rsidR="00326016" w:rsidRPr="000665B0" w:rsidRDefault="00326016" w:rsidP="006D5A65">
      <w:pPr>
        <w:pStyle w:val="Heading1"/>
      </w:pPr>
      <w:r w:rsidRPr="000665B0">
        <w:t>OSuffix – Valid format is AAnnn or AA.</w:t>
      </w:r>
    </w:p>
    <w:p w14:paraId="6FE774A2" w14:textId="77777777" w:rsidR="00326016" w:rsidRPr="000665B0" w:rsidRDefault="00326016" w:rsidP="006D5A65">
      <w:pPr>
        <w:pStyle w:val="Heading1"/>
      </w:pPr>
      <w:r w:rsidRPr="000665B0">
        <w:t>Category Code – Up to 5 free format characters.</w:t>
      </w:r>
    </w:p>
    <w:p w14:paraId="1D7253FA" w14:textId="77777777" w:rsidR="00326016" w:rsidRPr="000665B0" w:rsidRDefault="00326016" w:rsidP="006D5A65">
      <w:pPr>
        <w:pStyle w:val="Heading1"/>
      </w:pPr>
      <w:r w:rsidRPr="000665B0">
        <w:t>Description – Up to 60 free format characters.</w:t>
      </w:r>
    </w:p>
    <w:p w14:paraId="460C71AA" w14:textId="77777777" w:rsidR="00326016" w:rsidRPr="000665B0" w:rsidRDefault="00326016"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66716A69" w14:textId="77777777" w:rsidR="00326016" w:rsidRPr="000665B0" w:rsidRDefault="00326016"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C7F valid latitude format is DDMMSSX, DDMMSSSSSX (ex: 334412959N), or DDMMSS.SSSX (ex. 334412.959N).</w:t>
      </w:r>
    </w:p>
    <w:p w14:paraId="280C2E50" w14:textId="77777777" w:rsidR="00326016" w:rsidRPr="000665B0" w:rsidRDefault="00326016"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The C7F valid longitude format is DDDMMSSX to DDDMMSSSSSX (1103204232E), or DDDMMSS.SSSX (ex. 1103204.232E).</w:t>
      </w:r>
    </w:p>
    <w:p w14:paraId="765989AD" w14:textId="77777777" w:rsidR="00326016" w:rsidRPr="000665B0" w:rsidRDefault="00326016" w:rsidP="009570CA">
      <w:pPr>
        <w:spacing w:after="0"/>
        <w:rPr>
          <w:szCs w:val="24"/>
        </w:rPr>
      </w:pPr>
    </w:p>
    <w:p w14:paraId="6403B126" w14:textId="77777777" w:rsidR="003D18B7" w:rsidRPr="000665B0" w:rsidRDefault="003D18B7" w:rsidP="006E72D1">
      <w:pPr>
        <w:keepNext/>
        <w:pageBreakBefore/>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lastRenderedPageBreak/>
        <w:t>Note:</w:t>
      </w:r>
    </w:p>
    <w:p w14:paraId="7CAFF005" w14:textId="77777777" w:rsidR="003D18B7" w:rsidRPr="000665B0" w:rsidRDefault="003D18B7"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The </w:t>
      </w:r>
      <w:r w:rsidR="00EF526E" w:rsidRPr="000665B0">
        <w:rPr>
          <w:b/>
        </w:rPr>
        <w:t>Microsoft</w:t>
      </w:r>
      <w:r w:rsidR="00EF526E" w:rsidRPr="000665B0">
        <w:t xml:space="preserve"> </w:t>
      </w:r>
      <w:r w:rsidRPr="000665B0">
        <w:rPr>
          <w:b/>
        </w:rPr>
        <w:t xml:space="preserve">Excel document must be closed when processing it with the “Receive File” function. </w:t>
      </w:r>
      <w:r w:rsidR="00EF526E" w:rsidRPr="000665B0">
        <w:rPr>
          <w:b/>
        </w:rPr>
        <w:t>Microsoft</w:t>
      </w:r>
      <w:r w:rsidR="00EF526E" w:rsidRPr="000665B0">
        <w:t xml:space="preserve"> </w:t>
      </w:r>
      <w:r w:rsidRPr="000665B0">
        <w:rPr>
          <w:b/>
        </w:rPr>
        <w:t>Excel does not allow a file to be open in more than one process</w:t>
      </w:r>
      <w:r w:rsidR="00EA098C" w:rsidRPr="000665B0">
        <w:rPr>
          <w:b/>
        </w:rPr>
        <w:t>.</w:t>
      </w:r>
    </w:p>
    <w:p w14:paraId="0497DB44" w14:textId="77777777" w:rsidR="003D18B7" w:rsidRPr="000665B0" w:rsidRDefault="003D18B7" w:rsidP="009570CA">
      <w:pPr>
        <w:spacing w:after="0"/>
        <w:rPr>
          <w:szCs w:val="24"/>
        </w:rPr>
      </w:pPr>
    </w:p>
    <w:p w14:paraId="50C38576" w14:textId="77777777" w:rsidR="003D18B7" w:rsidRPr="000665B0" w:rsidRDefault="003D18B7"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77E3DDD3" w14:textId="7AC4748B" w:rsidR="003D18B7" w:rsidRPr="000665B0" w:rsidRDefault="003D18B7"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There is a possibility that some blank cells in the </w:t>
      </w:r>
      <w:r w:rsidR="00EF526E" w:rsidRPr="000665B0">
        <w:rPr>
          <w:b/>
        </w:rPr>
        <w:t>Microsoft</w:t>
      </w:r>
      <w:r w:rsidR="00EF526E" w:rsidRPr="000665B0">
        <w:t xml:space="preserve"> </w:t>
      </w:r>
      <w:r w:rsidRPr="000665B0">
        <w:rPr>
          <w:b/>
        </w:rPr>
        <w:t xml:space="preserve">Excel document will be recognized as valid cells for processing. This typically happens if they originally had data, and only the string was deleted from the cell, whereas the actual cell was deleted itself. Any of the blank valid cells may result in some errors in processing. In order to remedy, any blank cells in the </w:t>
      </w:r>
      <w:r w:rsidR="00EF526E" w:rsidRPr="000665B0">
        <w:rPr>
          <w:b/>
        </w:rPr>
        <w:t>Microsoft</w:t>
      </w:r>
      <w:r w:rsidR="00EF526E" w:rsidRPr="000665B0">
        <w:t xml:space="preserve"> </w:t>
      </w:r>
      <w:r w:rsidRPr="000665B0">
        <w:rPr>
          <w:b/>
        </w:rPr>
        <w:t>Excel document must be selected and deleted (by press</w:t>
      </w:r>
      <w:r w:rsidR="00484CAF" w:rsidRPr="000665B0">
        <w:rPr>
          <w:b/>
        </w:rPr>
        <w:t>ing</w:t>
      </w:r>
      <w:r w:rsidRPr="000665B0">
        <w:rPr>
          <w:b/>
        </w:rPr>
        <w:t xml:space="preserve"> the ‘Delete’ key).</w:t>
      </w:r>
      <w:r w:rsidR="00484CAF" w:rsidRPr="000665B0">
        <w:rPr>
          <w:b/>
        </w:rPr>
        <w:t xml:space="preserve"> In </w:t>
      </w:r>
      <w:r w:rsidR="0074450A" w:rsidRPr="000665B0">
        <w:rPr>
          <w:b/>
        </w:rPr>
        <w:t>addition,</w:t>
      </w:r>
      <w:r w:rsidR="006671AB" w:rsidRPr="000665B0">
        <w:rPr>
          <w:b/>
        </w:rPr>
        <w:t xml:space="preserve"> delete any empty columns</w:t>
      </w:r>
      <w:r w:rsidR="00484CAF" w:rsidRPr="000665B0">
        <w:rPr>
          <w:b/>
        </w:rPr>
        <w:t>.</w:t>
      </w:r>
    </w:p>
    <w:p w14:paraId="7BC1DF4F" w14:textId="78FC2755" w:rsidR="0087376E" w:rsidRPr="000665B0" w:rsidRDefault="0087376E" w:rsidP="009570CA">
      <w:pPr>
        <w:pStyle w:val="Heading4"/>
      </w:pPr>
      <w:bookmarkStart w:id="5467" w:name="_Toc289328755"/>
      <w:r w:rsidRPr="000665B0">
        <w:t>JIPTL Translation Form</w:t>
      </w:r>
      <w:bookmarkEnd w:id="5467"/>
    </w:p>
    <w:p w14:paraId="57A0DD0C" w14:textId="3FFA85E1" w:rsidR="0087376E" w:rsidRPr="000665B0" w:rsidRDefault="0087376E" w:rsidP="009570CA">
      <w:r w:rsidRPr="000665B0">
        <w:t xml:space="preserve">MDS reads the spreadsheet column headers of a JIPTL to determine its contents. However, there is no standard convention for the column header or worksheet names. MDS provides a JIPTL Translation form that can be used to translate the column headers for a particular JIPTL file into the </w:t>
      </w:r>
      <w:r w:rsidR="007A5413" w:rsidRPr="000665B0">
        <w:t xml:space="preserve">column headers </w:t>
      </w:r>
      <w:r w:rsidRPr="000665B0">
        <w:t>that MDS understands.</w:t>
      </w:r>
    </w:p>
    <w:p w14:paraId="514CFF3B" w14:textId="77777777" w:rsidR="0087376E" w:rsidRPr="000665B0" w:rsidRDefault="0087376E" w:rsidP="009570CA">
      <w:pPr>
        <w:spacing w:line="240" w:lineRule="auto"/>
        <w:rPr>
          <w:szCs w:val="24"/>
        </w:rPr>
      </w:pPr>
      <w:r w:rsidRPr="000665B0">
        <w:rPr>
          <w:szCs w:val="24"/>
        </w:rPr>
        <w:t>To rename or give alias to column headers of JIPTL:</w:t>
      </w:r>
    </w:p>
    <w:p w14:paraId="11E86D87" w14:textId="5EFFE6EA" w:rsidR="0087376E" w:rsidRPr="000665B0" w:rsidRDefault="0087376E" w:rsidP="006D5A65">
      <w:pPr>
        <w:pStyle w:val="Heading1"/>
      </w:pPr>
      <w:r w:rsidRPr="000665B0">
        <w:t>Navigate to the Target</w:t>
      </w:r>
      <w:r w:rsidR="004E58CD" w:rsidRPr="000665B0">
        <w:t>s</w:t>
      </w:r>
      <w:r w:rsidRPr="000665B0">
        <w:t xml:space="preserve"> Tool.</w:t>
      </w:r>
    </w:p>
    <w:p w14:paraId="1CBE8785" w14:textId="17E202C5" w:rsidR="0087376E" w:rsidRPr="000665B0" w:rsidRDefault="0087376E" w:rsidP="006D5A65">
      <w:pPr>
        <w:pStyle w:val="Heading1"/>
      </w:pPr>
      <w:r w:rsidRPr="000665B0">
        <w:t xml:space="preserve">From the </w:t>
      </w:r>
      <w:r w:rsidRPr="000665B0">
        <w:rPr>
          <w:bCs/>
        </w:rPr>
        <w:t>View</w:t>
      </w:r>
      <w:r w:rsidRPr="000665B0">
        <w:t xml:space="preserve"> menu, select</w:t>
      </w:r>
      <w:r w:rsidRPr="000665B0">
        <w:rPr>
          <w:bCs/>
        </w:rPr>
        <w:t xml:space="preserve"> Properties</w:t>
      </w:r>
      <w:r w:rsidRPr="000665B0">
        <w:t>.</w:t>
      </w:r>
      <w:r w:rsidRPr="000665B0">
        <w:rPr>
          <w:bCs/>
        </w:rPr>
        <w:t xml:space="preserve"> </w:t>
      </w:r>
      <w:r w:rsidRPr="000665B0">
        <w:t xml:space="preserve">The </w:t>
      </w:r>
      <w:r w:rsidR="006A0B47" w:rsidRPr="000665B0">
        <w:rPr>
          <w:i/>
        </w:rPr>
        <w:t>Targets</w:t>
      </w:r>
      <w:r w:rsidR="006A0B47" w:rsidRPr="000665B0">
        <w:t xml:space="preserve"> </w:t>
      </w:r>
      <w:r w:rsidRPr="000665B0">
        <w:rPr>
          <w:i/>
          <w:iCs/>
        </w:rPr>
        <w:t>Properties</w:t>
      </w:r>
      <w:r w:rsidRPr="000665B0">
        <w:t xml:space="preserve"> window </w:t>
      </w:r>
      <w:r w:rsidR="00C80F8C" w:rsidRPr="000665B0">
        <w:t>is</w:t>
      </w:r>
      <w:r w:rsidRPr="000665B0">
        <w:t xml:space="preserve"> displayed</w:t>
      </w:r>
      <w:r w:rsidR="007A5413" w:rsidRPr="000665B0">
        <w:t>.</w:t>
      </w:r>
    </w:p>
    <w:p w14:paraId="5461CAFD" w14:textId="1FEEB5C5" w:rsidR="0087376E" w:rsidRPr="000665B0" w:rsidRDefault="009E1324" w:rsidP="009570CA">
      <w:pPr>
        <w:jc w:val="center"/>
      </w:pPr>
      <w:r w:rsidRPr="000665B0">
        <w:rPr>
          <w:noProof/>
        </w:rPr>
        <w:drawing>
          <wp:inline distT="0" distB="0" distL="0" distR="0" wp14:anchorId="272D7BCA" wp14:editId="2C9C2EB4">
            <wp:extent cx="2286000" cy="1207008"/>
            <wp:effectExtent l="0" t="0" r="0" b="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207008"/>
                    </a:xfrm>
                    <a:prstGeom prst="rect">
                      <a:avLst/>
                    </a:prstGeom>
                  </pic:spPr>
                </pic:pic>
              </a:graphicData>
            </a:graphic>
          </wp:inline>
        </w:drawing>
      </w:r>
    </w:p>
    <w:p w14:paraId="46B5254D" w14:textId="08EEE44E" w:rsidR="0087376E" w:rsidRPr="000665B0" w:rsidRDefault="0087376E" w:rsidP="006D5A65">
      <w:pPr>
        <w:pStyle w:val="Heading1"/>
      </w:pPr>
      <w:r w:rsidRPr="000665B0">
        <w:t>Click the JIPTL Translation button.</w:t>
      </w:r>
    </w:p>
    <w:p w14:paraId="2E64C933" w14:textId="5490EEB2" w:rsidR="0087376E" w:rsidRPr="000665B0" w:rsidRDefault="0087376E" w:rsidP="006D5A65">
      <w:pPr>
        <w:pStyle w:val="Heading1"/>
      </w:pPr>
      <w:r w:rsidRPr="000665B0">
        <w:t xml:space="preserve">The </w:t>
      </w:r>
      <w:r w:rsidRPr="000665B0">
        <w:rPr>
          <w:i/>
        </w:rPr>
        <w:t>JIPTL Translation</w:t>
      </w:r>
      <w:r w:rsidRPr="000665B0">
        <w:t xml:space="preserve"> </w:t>
      </w:r>
      <w:r w:rsidR="006A0B47" w:rsidRPr="000665B0">
        <w:t xml:space="preserve">window </w:t>
      </w:r>
      <w:r w:rsidR="00C80F8C" w:rsidRPr="000665B0">
        <w:t>is</w:t>
      </w:r>
      <w:r w:rsidRPr="000665B0">
        <w:t xml:space="preserve"> displayed.</w:t>
      </w:r>
    </w:p>
    <w:p w14:paraId="6B877547" w14:textId="77777777" w:rsidR="0087376E" w:rsidRPr="000665B0" w:rsidRDefault="008107F4" w:rsidP="006D5A65">
      <w:pPr>
        <w:pStyle w:val="Heading2"/>
      </w:pPr>
      <w:r w:rsidRPr="000665B0">
        <w:t xml:space="preserve">The Column Headers section provides the list of column headers in a JIPTL. </w:t>
      </w:r>
      <w:r w:rsidR="00C80F8C" w:rsidRPr="000665B0">
        <w:t>E</w:t>
      </w:r>
      <w:r w:rsidRPr="000665B0">
        <w:t xml:space="preserve">nter up to five aliases for a particular column head in the associated textbox. </w:t>
      </w:r>
      <w:r w:rsidR="00450F1A" w:rsidRPr="000665B0">
        <w:t xml:space="preserve">Separate </w:t>
      </w:r>
      <w:r w:rsidRPr="000665B0">
        <w:t>each alias by a semicolon, (;).</w:t>
      </w:r>
    </w:p>
    <w:p w14:paraId="2CA35463" w14:textId="77777777" w:rsidR="0087376E" w:rsidRPr="000665B0" w:rsidRDefault="0087376E" w:rsidP="006D5A65">
      <w:pPr>
        <w:pStyle w:val="Heading2"/>
      </w:pPr>
      <w:r w:rsidRPr="000665B0">
        <w:t>The Quadrant section provides the latitude/longitude quadrant identifiers to associate any latitude/longitude with, that are not specified in the JIPTL. Selecting the quadrant identifiers for the latitude/longitude wil</w:t>
      </w:r>
      <w:r w:rsidR="007E5985" w:rsidRPr="000665B0">
        <w:t>l</w:t>
      </w:r>
      <w:r w:rsidRPr="000665B0">
        <w:t xml:space="preserve"> associate that direction with the latitudes/longitudes in the JIPTL that do not have them.</w:t>
      </w:r>
    </w:p>
    <w:p w14:paraId="10E9160F" w14:textId="6731871E" w:rsidR="0087376E" w:rsidRPr="000665B0" w:rsidRDefault="00484742" w:rsidP="009570CA">
      <w:pPr>
        <w:spacing w:after="240"/>
        <w:jc w:val="center"/>
      </w:pPr>
      <w:r w:rsidRPr="000665B0">
        <w:rPr>
          <w:noProof/>
        </w:rPr>
        <w:lastRenderedPageBreak/>
        <w:drawing>
          <wp:inline distT="0" distB="0" distL="0" distR="0" wp14:anchorId="7DCB97BA" wp14:editId="02F93FDC">
            <wp:extent cx="1828800" cy="404164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4041648"/>
                    </a:xfrm>
                    <a:prstGeom prst="rect">
                      <a:avLst/>
                    </a:prstGeom>
                  </pic:spPr>
                </pic:pic>
              </a:graphicData>
            </a:graphic>
          </wp:inline>
        </w:drawing>
      </w:r>
    </w:p>
    <w:p w14:paraId="59000AD9" w14:textId="77777777" w:rsidR="0087376E" w:rsidRPr="000665B0" w:rsidRDefault="0087376E" w:rsidP="009570CA">
      <w:pPr>
        <w:pBdr>
          <w:top w:val="single" w:sz="12" w:space="1" w:color="auto"/>
          <w:left w:val="single" w:sz="12" w:space="4" w:color="auto"/>
          <w:bottom w:val="single" w:sz="12" w:space="1" w:color="auto"/>
          <w:right w:val="single" w:sz="12" w:space="4" w:color="auto"/>
        </w:pBdr>
        <w:shd w:val="clear" w:color="auto" w:fill="D9D9D9"/>
        <w:spacing w:before="120" w:after="0"/>
        <w:jc w:val="center"/>
        <w:rPr>
          <w:b/>
        </w:rPr>
      </w:pPr>
      <w:r w:rsidRPr="000665B0">
        <w:rPr>
          <w:b/>
        </w:rPr>
        <w:t>Note:</w:t>
      </w:r>
    </w:p>
    <w:p w14:paraId="71AD1905" w14:textId="439B4A31" w:rsidR="0087376E" w:rsidRPr="000665B0" w:rsidRDefault="007A5413" w:rsidP="00BB4EBE">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If the Alias column is not filled in</w:t>
      </w:r>
      <w:r w:rsidR="00C14654">
        <w:rPr>
          <w:b/>
        </w:rPr>
        <w:t>, the</w:t>
      </w:r>
      <w:r w:rsidRPr="000665B0">
        <w:rPr>
          <w:b/>
        </w:rPr>
        <w:t xml:space="preserve"> MDS will use the default names</w:t>
      </w:r>
      <w:r w:rsidR="00C14654">
        <w:rPr>
          <w:b/>
        </w:rPr>
        <w:br/>
      </w:r>
      <w:r w:rsidRPr="000665B0">
        <w:rPr>
          <w:b/>
        </w:rPr>
        <w:t>when parsing JIPTL</w:t>
      </w:r>
      <w:r w:rsidR="00F36252" w:rsidRPr="000665B0">
        <w:rPr>
          <w:b/>
        </w:rPr>
        <w:t xml:space="preserve"> </w:t>
      </w:r>
      <w:r w:rsidRPr="000665B0">
        <w:rPr>
          <w:b/>
        </w:rPr>
        <w:t>files.</w:t>
      </w:r>
    </w:p>
    <w:p w14:paraId="18A5CE21" w14:textId="77777777" w:rsidR="00B53C7E" w:rsidRPr="000665B0" w:rsidRDefault="00B53C7E" w:rsidP="00BB4EBE">
      <w:pPr>
        <w:spacing w:after="0"/>
      </w:pPr>
    </w:p>
    <w:p w14:paraId="2BE17E76" w14:textId="77777777" w:rsidR="00B53C7E" w:rsidRPr="000665B0" w:rsidRDefault="00B53C7E" w:rsidP="00BB4EBE">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04BD50BC" w14:textId="0F6B3A91" w:rsidR="008107F4" w:rsidRPr="000665B0" w:rsidRDefault="008107F4"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bookmarkStart w:id="5468" w:name="_Toc289328756"/>
      <w:bookmarkStart w:id="5469" w:name="_Toc312332001"/>
      <w:r w:rsidRPr="000665B0">
        <w:rPr>
          <w:b/>
        </w:rPr>
        <w:t xml:space="preserve">If no previous JIPTL </w:t>
      </w:r>
      <w:r w:rsidR="00BD50CC" w:rsidRPr="000665B0">
        <w:rPr>
          <w:b/>
        </w:rPr>
        <w:t xml:space="preserve">Translation Form </w:t>
      </w:r>
      <w:r w:rsidRPr="000665B0">
        <w:rPr>
          <w:b/>
        </w:rPr>
        <w:t>has been saved, the JIPTL Translation Form will populate all of the aliases with their respective default names. After saving the preferences, the JIPTL translation will save to database.</w:t>
      </w:r>
    </w:p>
    <w:p w14:paraId="6DCEE3EE" w14:textId="77777777" w:rsidR="008107F4" w:rsidRPr="000665B0" w:rsidRDefault="008107F4" w:rsidP="009570CA">
      <w:pPr>
        <w:pBdr>
          <w:top w:val="single" w:sz="12" w:space="1" w:color="auto"/>
          <w:left w:val="single" w:sz="12" w:space="4" w:color="auto"/>
          <w:bottom w:val="single" w:sz="12" w:space="1" w:color="auto"/>
          <w:right w:val="single" w:sz="12" w:space="4" w:color="auto"/>
        </w:pBdr>
        <w:shd w:val="clear" w:color="auto" w:fill="D9D9D9"/>
        <w:spacing w:before="120" w:after="0"/>
        <w:jc w:val="center"/>
        <w:rPr>
          <w:b/>
        </w:rPr>
      </w:pPr>
      <w:r w:rsidRPr="000665B0">
        <w:rPr>
          <w:b/>
        </w:rPr>
        <w:t>If the JIPTL translation exists in database, any aliases that use the default names will not be populated in the JIPTL Translation Form (although the default names will still be used).</w:t>
      </w:r>
    </w:p>
    <w:p w14:paraId="350B2509" w14:textId="75503CA7" w:rsidR="005D1A26" w:rsidRPr="000665B0" w:rsidRDefault="005D1A26" w:rsidP="009570CA">
      <w:pPr>
        <w:pStyle w:val="Heading3"/>
      </w:pPr>
      <w:bookmarkStart w:id="5470" w:name="_Toc214283454"/>
      <w:r w:rsidRPr="000665B0">
        <w:t>Find</w:t>
      </w:r>
      <w:bookmarkEnd w:id="5448"/>
      <w:bookmarkEnd w:id="5449"/>
      <w:bookmarkEnd w:id="5450"/>
      <w:bookmarkEnd w:id="5451"/>
      <w:bookmarkEnd w:id="5468"/>
      <w:bookmarkEnd w:id="5469"/>
      <w:bookmarkEnd w:id="5470"/>
    </w:p>
    <w:p w14:paraId="0798A29D" w14:textId="1C62A02B" w:rsidR="005D1A26" w:rsidRPr="000665B0" w:rsidRDefault="00F02F03" w:rsidP="009570CA">
      <w:pPr>
        <w:spacing w:after="0"/>
      </w:pPr>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4E320D07" w14:textId="77777777" w:rsidR="0008399B" w:rsidRPr="000665B0" w:rsidRDefault="0008399B" w:rsidP="009570CA">
      <w:pPr>
        <w:pStyle w:val="Heading3"/>
      </w:pPr>
      <w:bookmarkStart w:id="5471" w:name="_Toc214283455"/>
      <w:r w:rsidRPr="000665B0">
        <w:t>Plugin Tool</w:t>
      </w:r>
      <w:bookmarkEnd w:id="5471"/>
    </w:p>
    <w:p w14:paraId="6789BD41" w14:textId="45A4B8A1" w:rsidR="0008399B" w:rsidRPr="000665B0" w:rsidRDefault="00F02F03" w:rsidP="009570CA">
      <w:pPr>
        <w:spacing w:after="0"/>
      </w:pPr>
      <w:r w:rsidRPr="000665B0">
        <w:t>See</w:t>
      </w:r>
      <w:r w:rsidR="0008399B" w:rsidRPr="000665B0">
        <w:t xml:space="preserve"> </w:t>
      </w:r>
      <w:hyperlink w:anchor="_Plugin__Tool" w:history="1">
        <w:r w:rsidR="0008399B" w:rsidRPr="000665B0">
          <w:rPr>
            <w:rStyle w:val="Hyperlink"/>
          </w:rPr>
          <w:t>Section 5.2.5.2</w:t>
        </w:r>
      </w:hyperlink>
      <w:r w:rsidR="0008399B" w:rsidRPr="000665B0">
        <w:t>.</w:t>
      </w:r>
    </w:p>
    <w:p w14:paraId="05A31A6F" w14:textId="4B76CEFD" w:rsidR="005D1A26" w:rsidRPr="000665B0" w:rsidRDefault="00277DCD" w:rsidP="009570CA">
      <w:pPr>
        <w:pStyle w:val="Heading3"/>
      </w:pPr>
      <w:bookmarkStart w:id="5472" w:name="_Toc71955664"/>
      <w:bookmarkStart w:id="5473" w:name="_Toc96170204"/>
      <w:bookmarkStart w:id="5474" w:name="_Toc96234249"/>
      <w:bookmarkStart w:id="5475" w:name="_Toc112733672"/>
      <w:bookmarkStart w:id="5476" w:name="_Toc289328757"/>
      <w:bookmarkStart w:id="5477" w:name="_Toc312332002"/>
      <w:bookmarkStart w:id="5478" w:name="_Toc214283456"/>
      <w:r w:rsidRPr="000665B0">
        <w:t>Print All</w:t>
      </w:r>
      <w:bookmarkEnd w:id="5472"/>
      <w:bookmarkEnd w:id="5473"/>
      <w:bookmarkEnd w:id="5474"/>
      <w:bookmarkEnd w:id="5475"/>
      <w:bookmarkEnd w:id="5476"/>
      <w:bookmarkEnd w:id="5477"/>
      <w:bookmarkEnd w:id="5478"/>
    </w:p>
    <w:p w14:paraId="5D39CD0B" w14:textId="05D3BD92" w:rsidR="005D1A26" w:rsidRPr="000665B0" w:rsidRDefault="00F02F03" w:rsidP="009570CA">
      <w:pPr>
        <w:spacing w:after="0"/>
      </w:pPr>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0D7C0C18" w14:textId="494C7507" w:rsidR="005D1A26" w:rsidRPr="000665B0" w:rsidRDefault="00277DCD" w:rsidP="009570CA">
      <w:pPr>
        <w:pStyle w:val="Heading3"/>
      </w:pPr>
      <w:bookmarkStart w:id="5479" w:name="_Toc71955665"/>
      <w:bookmarkStart w:id="5480" w:name="_Toc96170205"/>
      <w:bookmarkStart w:id="5481" w:name="_Toc96234250"/>
      <w:bookmarkStart w:id="5482" w:name="_Toc112733673"/>
      <w:bookmarkStart w:id="5483" w:name="_Toc289328758"/>
      <w:bookmarkStart w:id="5484" w:name="_Toc312332003"/>
      <w:bookmarkStart w:id="5485" w:name="_Toc214283457"/>
      <w:r w:rsidRPr="000665B0">
        <w:lastRenderedPageBreak/>
        <w:t>Display All in Excel</w:t>
      </w:r>
      <w:bookmarkEnd w:id="5479"/>
      <w:bookmarkEnd w:id="5480"/>
      <w:bookmarkEnd w:id="5481"/>
      <w:bookmarkEnd w:id="5482"/>
      <w:bookmarkEnd w:id="5483"/>
      <w:bookmarkEnd w:id="5484"/>
      <w:bookmarkEnd w:id="5485"/>
    </w:p>
    <w:p w14:paraId="6AE8BA2D" w14:textId="03FA6567" w:rsidR="005D1A26" w:rsidRPr="000665B0" w:rsidRDefault="00F02F03" w:rsidP="009570CA">
      <w:pPr>
        <w:spacing w:after="0"/>
      </w:pPr>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7D3B38CB" w14:textId="411E5CBE" w:rsidR="005D1A26" w:rsidRPr="000665B0" w:rsidRDefault="005D1A26" w:rsidP="009570CA">
      <w:pPr>
        <w:pStyle w:val="Heading3"/>
      </w:pPr>
      <w:bookmarkStart w:id="5486" w:name="_Toc71955666"/>
      <w:bookmarkStart w:id="5487" w:name="_Toc96170206"/>
      <w:bookmarkStart w:id="5488" w:name="_Toc96234251"/>
      <w:bookmarkStart w:id="5489" w:name="_Toc112733674"/>
      <w:bookmarkStart w:id="5490" w:name="_Toc289328759"/>
      <w:bookmarkStart w:id="5491" w:name="_Toc312332004"/>
      <w:bookmarkStart w:id="5492" w:name="_Toc214283458"/>
      <w:r w:rsidRPr="000665B0">
        <w:t>Select All</w:t>
      </w:r>
      <w:bookmarkEnd w:id="5486"/>
      <w:bookmarkEnd w:id="5487"/>
      <w:bookmarkEnd w:id="5488"/>
      <w:bookmarkEnd w:id="5489"/>
      <w:bookmarkEnd w:id="5490"/>
      <w:bookmarkEnd w:id="5491"/>
      <w:bookmarkEnd w:id="5492"/>
    </w:p>
    <w:p w14:paraId="63FECC0A" w14:textId="76F45D00" w:rsidR="005D1A26" w:rsidRPr="000665B0" w:rsidRDefault="00F02F03" w:rsidP="009570CA">
      <w:pPr>
        <w:spacing w:after="0"/>
      </w:pPr>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40E6850F" w14:textId="4C823ED2" w:rsidR="005D1A26" w:rsidRPr="000665B0" w:rsidRDefault="005D1A26" w:rsidP="009570CA">
      <w:pPr>
        <w:pStyle w:val="Heading3"/>
      </w:pPr>
      <w:bookmarkStart w:id="5493" w:name="_Toc71955668"/>
      <w:bookmarkStart w:id="5494" w:name="_Toc96170207"/>
      <w:bookmarkStart w:id="5495" w:name="_Toc96234252"/>
      <w:bookmarkStart w:id="5496" w:name="_Toc112733675"/>
      <w:bookmarkStart w:id="5497" w:name="_Toc289328760"/>
      <w:bookmarkStart w:id="5498" w:name="_Toc312332005"/>
      <w:bookmarkStart w:id="5499" w:name="_Toc214283459"/>
      <w:r w:rsidRPr="000665B0">
        <w:t>Delete</w:t>
      </w:r>
      <w:bookmarkEnd w:id="5493"/>
      <w:bookmarkEnd w:id="5494"/>
      <w:bookmarkEnd w:id="5495"/>
      <w:bookmarkEnd w:id="5496"/>
      <w:bookmarkEnd w:id="5497"/>
      <w:bookmarkEnd w:id="5498"/>
      <w:bookmarkEnd w:id="5499"/>
    </w:p>
    <w:p w14:paraId="668B59BA" w14:textId="0DACE924" w:rsidR="005D1A26" w:rsidRPr="000665B0" w:rsidRDefault="00F02F03" w:rsidP="009570CA">
      <w:pPr>
        <w:spacing w:after="0"/>
      </w:pPr>
      <w:r w:rsidRPr="000665B0">
        <w:t>See</w:t>
      </w:r>
      <w:r w:rsidR="005D1A26" w:rsidRPr="000665B0">
        <w:t xml:space="preserve"> </w:t>
      </w:r>
      <w:hyperlink w:anchor="_5.2.1.6__Delete" w:history="1">
        <w:r w:rsidR="00B9720D" w:rsidRPr="000665B0">
          <w:rPr>
            <w:rStyle w:val="Hyperlink"/>
          </w:rPr>
          <w:t>Section 5.2.1.6</w:t>
        </w:r>
      </w:hyperlink>
      <w:r w:rsidR="005D1A26" w:rsidRPr="000665B0">
        <w:t>.</w:t>
      </w:r>
    </w:p>
    <w:p w14:paraId="0AFE2724" w14:textId="1174B06C" w:rsidR="005D1A26" w:rsidRPr="000665B0" w:rsidRDefault="005D1A26" w:rsidP="009570CA">
      <w:pPr>
        <w:pStyle w:val="Heading3"/>
      </w:pPr>
      <w:bookmarkStart w:id="5500" w:name="_Toc71955670"/>
      <w:bookmarkStart w:id="5501" w:name="_Toc96170208"/>
      <w:bookmarkStart w:id="5502" w:name="_Toc96234253"/>
      <w:bookmarkStart w:id="5503" w:name="_Toc112733676"/>
      <w:bookmarkStart w:id="5504" w:name="_Toc289328761"/>
      <w:bookmarkStart w:id="5505" w:name="_Toc312332006"/>
      <w:bookmarkStart w:id="5506" w:name="_Toc214283460"/>
      <w:r w:rsidRPr="000665B0">
        <w:t>Properties</w:t>
      </w:r>
      <w:bookmarkEnd w:id="5500"/>
      <w:bookmarkEnd w:id="5501"/>
      <w:bookmarkEnd w:id="5502"/>
      <w:bookmarkEnd w:id="5503"/>
      <w:bookmarkEnd w:id="5504"/>
      <w:bookmarkEnd w:id="5505"/>
      <w:bookmarkEnd w:id="5506"/>
    </w:p>
    <w:p w14:paraId="53303923" w14:textId="5E5A07BF" w:rsidR="005D1A26" w:rsidRPr="000665B0" w:rsidRDefault="00F02F03" w:rsidP="009570CA">
      <w:pPr>
        <w:spacing w:after="0"/>
      </w:pPr>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7C0CE23B" w14:textId="30C95884" w:rsidR="005D1A26" w:rsidRPr="000665B0" w:rsidRDefault="005D1A26" w:rsidP="009570CA">
      <w:pPr>
        <w:pStyle w:val="Heading3"/>
      </w:pPr>
      <w:bookmarkStart w:id="5507" w:name="_Toc71955671"/>
      <w:bookmarkStart w:id="5508" w:name="_Toc96170209"/>
      <w:bookmarkStart w:id="5509" w:name="_Toc96234254"/>
      <w:bookmarkStart w:id="5510" w:name="_Toc112733677"/>
      <w:bookmarkStart w:id="5511" w:name="_Toc289328762"/>
      <w:bookmarkStart w:id="5512" w:name="_Toc312332007"/>
      <w:bookmarkStart w:id="5513" w:name="_Toc214283461"/>
      <w:r w:rsidRPr="000665B0">
        <w:t>Sort</w:t>
      </w:r>
      <w:bookmarkEnd w:id="5507"/>
      <w:bookmarkEnd w:id="5508"/>
      <w:bookmarkEnd w:id="5509"/>
      <w:bookmarkEnd w:id="5510"/>
      <w:bookmarkEnd w:id="5511"/>
      <w:bookmarkEnd w:id="5512"/>
      <w:bookmarkEnd w:id="5513"/>
    </w:p>
    <w:p w14:paraId="2255C7F1" w14:textId="77777777" w:rsidR="00A316EA" w:rsidRDefault="00F02F03" w:rsidP="009570CA">
      <w:pPr>
        <w:spacing w:after="0"/>
      </w:pPr>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r w:rsidR="00A316EA">
        <w:br w:type="page"/>
      </w:r>
      <w:bookmarkStart w:id="5514" w:name="_5.34__ACMSs_TOOL"/>
      <w:bookmarkStart w:id="5515" w:name="_5.33__ACMS"/>
      <w:bookmarkStart w:id="5516" w:name="_Toc71955672"/>
      <w:bookmarkStart w:id="5517" w:name="_Toc96170210"/>
      <w:bookmarkStart w:id="5518" w:name="_Toc96234255"/>
      <w:bookmarkStart w:id="5519" w:name="_Toc112733678"/>
      <w:bookmarkStart w:id="5520" w:name="_Toc289328763"/>
      <w:bookmarkStart w:id="5521" w:name="_Toc312332008"/>
      <w:bookmarkStart w:id="5522" w:name="_Toc214283462"/>
      <w:bookmarkStart w:id="5523" w:name="_Hlk55993365"/>
      <w:bookmarkEnd w:id="5514"/>
      <w:bookmarkEnd w:id="5515"/>
      <w:r w:rsidR="005D1A26" w:rsidRPr="000665B0">
        <w:lastRenderedPageBreak/>
        <w:t>ACMS TOOL</w:t>
      </w:r>
      <w:bookmarkEnd w:id="5516"/>
      <w:bookmarkEnd w:id="5517"/>
      <w:bookmarkEnd w:id="5518"/>
      <w:bookmarkEnd w:id="5519"/>
      <w:bookmarkEnd w:id="5520"/>
      <w:bookmarkEnd w:id="5521"/>
      <w:bookmarkEnd w:id="5522"/>
    </w:p>
    <w:p w14:paraId="655A6714" w14:textId="77777777" w:rsidR="00D53874" w:rsidRPr="000665B0" w:rsidRDefault="00D53874" w:rsidP="009570CA">
      <w:r w:rsidRPr="000665B0">
        <w:t>ACMSs define tactical geographical area definitions necessary for the execution of Tomahawk Strike Operations or mission planning and in accordance with Air/Integrated Tasking Order (</w:t>
      </w:r>
      <w:r w:rsidRPr="000665B0">
        <w:rPr>
          <w:b/>
        </w:rPr>
        <w:t>A/ITO</w:t>
      </w:r>
      <w:r w:rsidRPr="000665B0">
        <w:t>) or other authorized tasking documents. MDS has the ability to create ACMSs based on ACO Messages</w:t>
      </w:r>
      <w:r w:rsidRPr="000665B0">
        <w:rPr>
          <w:rFonts w:ascii="Arial" w:hAnsi="Arial" w:cs="Arial"/>
          <w:sz w:val="20"/>
        </w:rPr>
        <w:t xml:space="preserve"> </w:t>
      </w:r>
      <w:r w:rsidRPr="000665B0">
        <w:t>based on United States Message Text Format (</w:t>
      </w:r>
      <w:r w:rsidRPr="000665B0">
        <w:rPr>
          <w:b/>
        </w:rPr>
        <w:t>USMTF</w:t>
      </w:r>
      <w:r w:rsidRPr="000665B0">
        <w:t xml:space="preserve">) via the Airspace Management Tool. </w:t>
      </w:r>
    </w:p>
    <w:p w14:paraId="58314740" w14:textId="77777777" w:rsidR="00AC1698" w:rsidRPr="000665B0" w:rsidRDefault="00AC1698" w:rsidP="009570CA">
      <w:r w:rsidRPr="000665B0">
        <w:t>The ACMS Tool manages the processing, storage, and distribution of this data which can be displayed textually or geographically, printed, and deleted. ACMSs can be transmitted between MDSs and from MDS to TTWCS.</w:t>
      </w:r>
    </w:p>
    <w:p w14:paraId="75874C0C" w14:textId="4FBF4D49" w:rsidR="00AC1698" w:rsidRPr="000665B0" w:rsidRDefault="00AC1698" w:rsidP="009570CA">
      <w:r w:rsidRPr="000665B0">
        <w:t xml:space="preserve">Using the </w:t>
      </w:r>
      <w:r w:rsidRPr="000665B0">
        <w:rPr>
          <w:b/>
        </w:rPr>
        <w:t>Coordination Templates</w:t>
      </w:r>
      <w:r w:rsidRPr="000665B0">
        <w:t xml:space="preserve"> Tool (</w:t>
      </w:r>
      <w:r w:rsidR="00172865" w:rsidRPr="000665B0">
        <w:t xml:space="preserve">see </w:t>
      </w:r>
      <w:hyperlink w:anchor="_COORDINATION_TEMPLATES_TOOL_1" w:history="1">
        <w:r w:rsidR="009D51E9" w:rsidRPr="000665B0">
          <w:rPr>
            <w:color w:val="0000FF"/>
            <w:u w:val="single"/>
          </w:rPr>
          <w:t xml:space="preserve">Section </w:t>
        </w:r>
        <w:r w:rsidR="004231CC">
          <w:rPr>
            <w:color w:val="0000FF"/>
            <w:u w:val="single"/>
          </w:rPr>
          <w:t>5.20</w:t>
        </w:r>
      </w:hyperlink>
      <w:r w:rsidRPr="000665B0">
        <w:t>), actions regarding ACMSs can be performed in the following manner:</w:t>
      </w:r>
    </w:p>
    <w:p w14:paraId="627D547B" w14:textId="77777777" w:rsidR="00AC1698" w:rsidRPr="000665B0" w:rsidRDefault="00AC1698" w:rsidP="006D5A65">
      <w:pPr>
        <w:pStyle w:val="Heading1"/>
      </w:pPr>
      <w:r w:rsidRPr="000665B0">
        <w:t>MDS requests an ACMS List from TTWCS. The TTWCS platform will reply with an ACMS Report (ACMS-R) message that reports the ACMSs defined on that platform.</w:t>
      </w:r>
    </w:p>
    <w:p w14:paraId="7D1ED0B7" w14:textId="77777777" w:rsidR="00AC1698" w:rsidRPr="000665B0" w:rsidRDefault="00AC1698" w:rsidP="006D5A65">
      <w:pPr>
        <w:pStyle w:val="Heading1"/>
      </w:pPr>
      <w:r w:rsidRPr="000665B0">
        <w:t>MDS transmits an ACMS Delete (ACMS-D) message notifying TTWCS to delete certain ACMSs.</w:t>
      </w:r>
    </w:p>
    <w:p w14:paraId="2239FB1D" w14:textId="77777777" w:rsidR="00AC1698" w:rsidRPr="000665B0" w:rsidRDefault="00AC1698" w:rsidP="006D5A65">
      <w:pPr>
        <w:pStyle w:val="Heading1"/>
      </w:pPr>
      <w:r w:rsidRPr="000665B0">
        <w:t>MDS transmits a DDO message notifying another MDS to delete certain ACMSs.</w:t>
      </w:r>
    </w:p>
    <w:p w14:paraId="25633A1D" w14:textId="36918DC5" w:rsidR="005D1A26" w:rsidRPr="000665B0" w:rsidRDefault="005D1A26" w:rsidP="009570CA">
      <w:r w:rsidRPr="000665B0">
        <w:t>To view the ACMS Tool</w:t>
      </w:r>
      <w:r w:rsidR="00CE359E" w:rsidRPr="000665B0">
        <w:t>:</w:t>
      </w:r>
    </w:p>
    <w:p w14:paraId="6AB93550" w14:textId="77777777" w:rsidR="001556E2" w:rsidRPr="000665B0" w:rsidRDefault="001556E2" w:rsidP="009570CA">
      <w:pPr>
        <w:pStyle w:val="Number0205"/>
        <w:ind w:left="360" w:firstLine="0"/>
      </w:pPr>
      <w:r w:rsidRPr="000665B0">
        <w:t xml:space="preserve">From the </w:t>
      </w:r>
      <w:r w:rsidRPr="000665B0">
        <w:rPr>
          <w:b/>
        </w:rPr>
        <w:t>Go</w:t>
      </w:r>
      <w:r w:rsidRPr="000665B0">
        <w:t xml:space="preserve"> menu select </w:t>
      </w:r>
      <w:r w:rsidRPr="000665B0">
        <w:rPr>
          <w:b/>
        </w:rPr>
        <w:t>ACMS</w:t>
      </w:r>
      <w:r w:rsidR="00B92811" w:rsidRPr="000665B0">
        <w:rPr>
          <w:b/>
        </w:rPr>
        <w:t>s</w:t>
      </w:r>
      <w:r w:rsidRPr="000665B0">
        <w:t>.</w:t>
      </w:r>
    </w:p>
    <w:p w14:paraId="5E3F228A" w14:textId="266ED448" w:rsidR="00706F4C" w:rsidRPr="000665B0" w:rsidRDefault="00014963" w:rsidP="009570CA">
      <w:pPr>
        <w:pStyle w:val="Number0205"/>
        <w:ind w:left="0" w:firstLine="0"/>
        <w:jc w:val="center"/>
      </w:pPr>
      <w:r w:rsidRPr="000665B0">
        <w:rPr>
          <w:noProof/>
        </w:rPr>
        <w:drawing>
          <wp:inline distT="0" distB="0" distL="0" distR="0" wp14:anchorId="2D6BCC92" wp14:editId="79A85BC8">
            <wp:extent cx="4572000" cy="1956816"/>
            <wp:effectExtent l="0" t="0" r="0" b="5715"/>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1956816"/>
                    </a:xfrm>
                    <a:prstGeom prst="rect">
                      <a:avLst/>
                    </a:prstGeom>
                  </pic:spPr>
                </pic:pic>
              </a:graphicData>
            </a:graphic>
          </wp:inline>
        </w:drawing>
      </w:r>
    </w:p>
    <w:p w14:paraId="371CF83A" w14:textId="3F141D0E" w:rsidR="008040CC" w:rsidRPr="000665B0" w:rsidRDefault="008040CC" w:rsidP="009570CA">
      <w:pPr>
        <w:pStyle w:val="Heading3"/>
      </w:pPr>
      <w:bookmarkStart w:id="5524" w:name="_5.33.1__Create"/>
      <w:bookmarkStart w:id="5525" w:name="_Create_New_ACMS"/>
      <w:bookmarkStart w:id="5526" w:name="_Toc102447107"/>
      <w:bookmarkStart w:id="5527" w:name="_Toc112733679"/>
      <w:bookmarkStart w:id="5528" w:name="_Toc289328764"/>
      <w:bookmarkStart w:id="5529" w:name="_Toc312332009"/>
      <w:bookmarkStart w:id="5530" w:name="_Toc214283463"/>
      <w:bookmarkStart w:id="5531" w:name="_Toc71955673"/>
      <w:bookmarkStart w:id="5532" w:name="_Toc96170211"/>
      <w:bookmarkStart w:id="5533" w:name="_Toc96234256"/>
      <w:bookmarkEnd w:id="5524"/>
      <w:bookmarkEnd w:id="5525"/>
      <w:r w:rsidRPr="000665B0">
        <w:lastRenderedPageBreak/>
        <w:t xml:space="preserve">Create </w:t>
      </w:r>
      <w:r w:rsidR="0015397F" w:rsidRPr="000665B0">
        <w:t xml:space="preserve">New </w:t>
      </w:r>
      <w:r w:rsidRPr="000665B0">
        <w:t>ACMS</w:t>
      </w:r>
      <w:bookmarkEnd w:id="5526"/>
      <w:bookmarkEnd w:id="5527"/>
      <w:bookmarkEnd w:id="5528"/>
      <w:bookmarkEnd w:id="5529"/>
      <w:bookmarkEnd w:id="5530"/>
    </w:p>
    <w:p w14:paraId="6D6B98B7" w14:textId="77777777" w:rsidR="008040CC" w:rsidRPr="000665B0" w:rsidRDefault="008040CC" w:rsidP="009570CA">
      <w:pPr>
        <w:keepNext/>
      </w:pPr>
      <w:r w:rsidRPr="000665B0">
        <w:t>To create an ACMS:</w:t>
      </w:r>
    </w:p>
    <w:p w14:paraId="53CEA7E7" w14:textId="08F8A0E0" w:rsidR="008040CC" w:rsidRPr="000665B0" w:rsidRDefault="008040CC" w:rsidP="006D5A65">
      <w:pPr>
        <w:pStyle w:val="Heading1"/>
      </w:pPr>
      <w:r w:rsidRPr="000665B0">
        <w:t>Navigate to the ACMS Tool.</w:t>
      </w:r>
    </w:p>
    <w:p w14:paraId="3A0C39D6" w14:textId="32DA4FDE" w:rsidR="008040CC" w:rsidRPr="000665B0" w:rsidRDefault="001556E2" w:rsidP="006D5A65">
      <w:pPr>
        <w:pStyle w:val="Heading1"/>
      </w:pPr>
      <w:r w:rsidRPr="000665B0">
        <w:t xml:space="preserve">From the </w:t>
      </w:r>
      <w:r w:rsidRPr="000665B0">
        <w:rPr>
          <w:bCs/>
        </w:rPr>
        <w:t>File</w:t>
      </w:r>
      <w:r w:rsidRPr="000665B0">
        <w:t xml:space="preserve"> menu select </w:t>
      </w:r>
      <w:r w:rsidRPr="000665B0">
        <w:rPr>
          <w:bCs/>
        </w:rPr>
        <w:t>New…</w:t>
      </w:r>
      <w:r w:rsidRPr="000665B0">
        <w:t xml:space="preserve">, click the New </w:t>
      </w:r>
      <w:r w:rsidRPr="000665B0">
        <w:rPr>
          <w:noProof/>
        </w:rPr>
        <w:drawing>
          <wp:inline distT="0" distB="0" distL="0" distR="0" wp14:anchorId="32FAB15E" wp14:editId="0E3B275B">
            <wp:extent cx="133985" cy="133985"/>
            <wp:effectExtent l="0" t="0" r="0" b="0"/>
            <wp:docPr id="1135"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33985" cy="133985"/>
                    </a:xfrm>
                    <a:prstGeom prst="rect">
                      <a:avLst/>
                    </a:prstGeom>
                    <a:noFill/>
                    <a:ln>
                      <a:noFill/>
                    </a:ln>
                  </pic:spPr>
                </pic:pic>
              </a:graphicData>
            </a:graphic>
          </wp:inline>
        </w:drawing>
      </w:r>
      <w:r w:rsidRPr="000665B0">
        <w:t xml:space="preserve"> icon on the Tool Bar</w:t>
      </w:r>
      <w:r w:rsidR="00A550DE" w:rsidRPr="000665B0">
        <w:t xml:space="preserve">, or </w:t>
      </w:r>
      <w:r w:rsidR="00A550DE" w:rsidRPr="000665B0">
        <w:rPr>
          <w:noProof/>
        </w:rPr>
        <w:t>invoke the context menu (right-click the mouse) and select New…</w:t>
      </w:r>
      <w:r w:rsidRPr="000665B0">
        <w:t xml:space="preserve">. A new </w:t>
      </w:r>
      <w:r w:rsidRPr="000665B0">
        <w:rPr>
          <w:i/>
        </w:rPr>
        <w:t xml:space="preserve">ACMS </w:t>
      </w:r>
      <w:r w:rsidRPr="000665B0">
        <w:t>window is displayed</w:t>
      </w:r>
      <w:r w:rsidR="008040CC" w:rsidRPr="000665B0">
        <w:t>.</w:t>
      </w:r>
    </w:p>
    <w:p w14:paraId="02139652" w14:textId="7C36C7E5" w:rsidR="008040CC" w:rsidRPr="000665B0" w:rsidRDefault="00DD215F" w:rsidP="009570CA">
      <w:pPr>
        <w:jc w:val="center"/>
      </w:pPr>
      <w:r w:rsidRPr="000665B0">
        <w:rPr>
          <w:noProof/>
        </w:rPr>
        <w:drawing>
          <wp:inline distT="0" distB="0" distL="0" distR="0" wp14:anchorId="1CDE305F" wp14:editId="700A72FE">
            <wp:extent cx="4572000" cy="3813048"/>
            <wp:effectExtent l="0" t="0" r="0" b="0"/>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3813048"/>
                    </a:xfrm>
                    <a:prstGeom prst="rect">
                      <a:avLst/>
                    </a:prstGeom>
                  </pic:spPr>
                </pic:pic>
              </a:graphicData>
            </a:graphic>
          </wp:inline>
        </w:drawing>
      </w:r>
    </w:p>
    <w:p w14:paraId="447A7785" w14:textId="47E6E529" w:rsidR="009679E1" w:rsidRPr="000665B0" w:rsidRDefault="009679E1" w:rsidP="006D5A65">
      <w:pPr>
        <w:pStyle w:val="Heading1"/>
      </w:pPr>
      <w:r w:rsidRPr="000665B0">
        <w:t xml:space="preserve">If it is required to change the classification, click the </w:t>
      </w:r>
      <w:r w:rsidRPr="000665B0">
        <w:rPr>
          <w:bCs/>
        </w:rPr>
        <w:t>EDIT</w:t>
      </w:r>
      <w:r w:rsidRPr="000665B0">
        <w:t xml:space="preserve"> </w:t>
      </w:r>
      <w:r w:rsidR="00850E8E" w:rsidRPr="000665B0">
        <w:t>button,</w:t>
      </w:r>
      <w:r w:rsidRPr="000665B0">
        <w:t xml:space="preserve"> and select the classification from the drop-down menu of the </w:t>
      </w:r>
      <w:r w:rsidRPr="000665B0">
        <w:rPr>
          <w:i/>
          <w:iCs/>
        </w:rPr>
        <w:t>Edit Classification</w:t>
      </w:r>
      <w:r w:rsidRPr="000665B0">
        <w:t xml:space="preserve"> window. For information on editing the classification see </w:t>
      </w:r>
      <w:hyperlink w:anchor="_5.2.7__Edit" w:history="1">
        <w:r w:rsidRPr="000665B0">
          <w:rPr>
            <w:color w:val="0000FF"/>
            <w:u w:val="single"/>
          </w:rPr>
          <w:t>Section 5.2.7</w:t>
        </w:r>
      </w:hyperlink>
      <w:r w:rsidRPr="000665B0">
        <w:t>.</w:t>
      </w:r>
    </w:p>
    <w:p w14:paraId="2947F7D8" w14:textId="77777777" w:rsidR="008040CC" w:rsidRPr="000665B0" w:rsidRDefault="008040CC" w:rsidP="006D5A65">
      <w:pPr>
        <w:pStyle w:val="Heading1"/>
      </w:pPr>
      <w:r w:rsidRPr="000665B0">
        <w:t xml:space="preserve">Enter or select the following information under the </w:t>
      </w:r>
      <w:r w:rsidRPr="000665B0">
        <w:rPr>
          <w:i/>
        </w:rPr>
        <w:t>Area Description</w:t>
      </w:r>
      <w:r w:rsidRPr="000665B0">
        <w:t xml:space="preserve"> tab:</w:t>
      </w:r>
    </w:p>
    <w:p w14:paraId="48FBF1BC" w14:textId="0A8E006B" w:rsidR="009679E1" w:rsidRPr="000665B0" w:rsidRDefault="009679E1" w:rsidP="006D5A65">
      <w:pPr>
        <w:pStyle w:val="Heading1"/>
      </w:pPr>
      <w:r w:rsidRPr="000665B0">
        <w:t xml:space="preserve">ACMS Name – Must be a unique name and can contain up to 22 alphanumeric characters with two exceptions: the ACMS name of type FPPWP is limited to </w:t>
      </w:r>
      <w:r w:rsidR="002E5B8B" w:rsidRPr="000665B0">
        <w:t>14 alphanumeric</w:t>
      </w:r>
      <w:r w:rsidRPr="000665B0">
        <w:t xml:space="preserve"> characters and the ACMS name of type Launch Area is limited to 10 alphanumeric characters. </w:t>
      </w:r>
      <w:r w:rsidRPr="000665B0">
        <w:rPr>
          <w:szCs w:val="24"/>
        </w:rPr>
        <w:t xml:space="preserve">This is a required field (as denoted by the * and/or yellow background) and the user is unable to proceed without updating this field. For further information on mandatory fields see </w:t>
      </w:r>
      <w:hyperlink w:anchor="_5.2.7__Editing" w:history="1">
        <w:r w:rsidRPr="000665B0">
          <w:rPr>
            <w:color w:val="0000FF"/>
            <w:szCs w:val="24"/>
            <w:u w:val="single"/>
          </w:rPr>
          <w:t>Section 5.2.8</w:t>
        </w:r>
      </w:hyperlink>
      <w:r w:rsidRPr="000665B0">
        <w:rPr>
          <w:szCs w:val="24"/>
        </w:rPr>
        <w:t>.</w:t>
      </w:r>
    </w:p>
    <w:p w14:paraId="04759217" w14:textId="77777777" w:rsidR="009679E1" w:rsidRPr="000665B0" w:rsidRDefault="009679E1" w:rsidP="006D5A65">
      <w:pPr>
        <w:pStyle w:val="Heading1"/>
      </w:pPr>
      <w:r w:rsidRPr="000665B0">
        <w:t xml:space="preserve">ACMS Short Name (Optional Field) – Must be unique and is limited to 14 alphanumeric characters, (Launch Area Name is </w:t>
      </w:r>
      <w:r w:rsidRPr="000665B0">
        <w:lastRenderedPageBreak/>
        <w:t>limited to alphanumeric 10 characters). MDS will auto-generate if no data is entered.</w:t>
      </w:r>
    </w:p>
    <w:p w14:paraId="2D723933" w14:textId="5954E3F7" w:rsidR="009679E1" w:rsidRPr="000665B0" w:rsidRDefault="009679E1" w:rsidP="006D5A65">
      <w:pPr>
        <w:pStyle w:val="Heading1"/>
      </w:pPr>
      <w:r w:rsidRPr="000665B0">
        <w:t xml:space="preserve">ACMS Type (Required Field) – The type of ACMS being created. This is a required field (as denoted by the * and/or yellow background) and the user is unable to proceed without updating this field. For further information on mandatory fields see </w:t>
      </w:r>
      <w:hyperlink w:anchor="_5.2.7__Editing" w:history="1">
        <w:r w:rsidRPr="000665B0">
          <w:rPr>
            <w:color w:val="0000FF"/>
            <w:u w:val="single"/>
          </w:rPr>
          <w:t>Section 5.2.8</w:t>
        </w:r>
      </w:hyperlink>
      <w:r w:rsidRPr="000665B0">
        <w:t>.</w:t>
      </w:r>
    </w:p>
    <w:p w14:paraId="20C6B5A9" w14:textId="3E3433AC" w:rsidR="00171706" w:rsidRPr="00171706" w:rsidRDefault="00171706" w:rsidP="006D5A65">
      <w:pPr>
        <w:pStyle w:val="Heading1"/>
      </w:pPr>
      <w:r w:rsidRPr="006971E0">
        <w:rPr>
          <w:bCs/>
        </w:rPr>
        <w:t>Avoidance Area</w:t>
      </w:r>
      <w:r>
        <w:rPr>
          <w:bCs/>
          <w:i/>
          <w:iCs/>
        </w:rPr>
        <w:t xml:space="preserve"> </w:t>
      </w:r>
      <w:r w:rsidRPr="000665B0">
        <w:t xml:space="preserve">– An area </w:t>
      </w:r>
      <w:r>
        <w:t>that should be avoided</w:t>
      </w:r>
      <w:r w:rsidRPr="000665B0">
        <w:t>.</w:t>
      </w:r>
    </w:p>
    <w:p w14:paraId="12091FE3" w14:textId="62C7A9B7" w:rsidR="008040CC" w:rsidRPr="000665B0" w:rsidRDefault="008040CC" w:rsidP="006D5A65">
      <w:pPr>
        <w:pStyle w:val="Heading1"/>
      </w:pPr>
      <w:r w:rsidRPr="006971E0">
        <w:rPr>
          <w:bCs/>
        </w:rPr>
        <w:t>Launch Area</w:t>
      </w:r>
      <w:r w:rsidRPr="000665B0">
        <w:t xml:space="preserve"> – An area surrounding the FPPWP where a missile can be launched.</w:t>
      </w:r>
    </w:p>
    <w:p w14:paraId="03191073" w14:textId="77777777" w:rsidR="008040CC" w:rsidRPr="000665B0" w:rsidRDefault="008040CC" w:rsidP="006D5A65">
      <w:pPr>
        <w:pStyle w:val="Heading1"/>
      </w:pPr>
      <w:r w:rsidRPr="006971E0">
        <w:rPr>
          <w:bCs/>
        </w:rPr>
        <w:t>Target Area</w:t>
      </w:r>
      <w:r w:rsidRPr="000665B0">
        <w:t xml:space="preserve"> – An area where the missile is expected to deliver a strike.</w:t>
      </w:r>
    </w:p>
    <w:p w14:paraId="7398BC1A" w14:textId="77777777" w:rsidR="008040CC" w:rsidRPr="000665B0" w:rsidRDefault="008040CC" w:rsidP="006D5A65">
      <w:pPr>
        <w:pStyle w:val="Heading1"/>
      </w:pPr>
      <w:r w:rsidRPr="006971E0">
        <w:rPr>
          <w:bCs/>
        </w:rPr>
        <w:t>Prohibited Are</w:t>
      </w:r>
      <w:r w:rsidRPr="000665B0">
        <w:rPr>
          <w:bCs/>
          <w:i/>
          <w:iCs/>
        </w:rPr>
        <w:t>a</w:t>
      </w:r>
      <w:r w:rsidRPr="000665B0">
        <w:t xml:space="preserve"> – An area that should be avoided.</w:t>
      </w:r>
    </w:p>
    <w:p w14:paraId="457537B8" w14:textId="77777777" w:rsidR="008040CC" w:rsidRPr="000665B0" w:rsidRDefault="008040CC" w:rsidP="006D5A65">
      <w:pPr>
        <w:pStyle w:val="Heading1"/>
      </w:pPr>
      <w:r w:rsidRPr="006971E0">
        <w:rPr>
          <w:bCs/>
        </w:rPr>
        <w:t>Operational Area</w:t>
      </w:r>
      <w:r w:rsidRPr="000665B0">
        <w:t xml:space="preserve"> – An area of assignment.</w:t>
      </w:r>
    </w:p>
    <w:p w14:paraId="3CE76B94" w14:textId="77777777" w:rsidR="008040CC" w:rsidRPr="000665B0" w:rsidRDefault="008040CC" w:rsidP="006D5A65">
      <w:pPr>
        <w:pStyle w:val="Heading1"/>
      </w:pPr>
      <w:r w:rsidRPr="006971E0">
        <w:rPr>
          <w:bCs/>
        </w:rPr>
        <w:t>FPPWP</w:t>
      </w:r>
      <w:r w:rsidRPr="000665B0">
        <w:rPr>
          <w:bCs/>
          <w:i/>
          <w:iCs/>
        </w:rPr>
        <w:t xml:space="preserve"> </w:t>
      </w:r>
      <w:r w:rsidRPr="000665B0">
        <w:t>– The starting point of the CMSA/</w:t>
      </w:r>
      <w:r w:rsidR="004F6AE2" w:rsidRPr="000665B0">
        <w:t>TSMPC</w:t>
      </w:r>
      <w:r w:rsidRPr="000665B0">
        <w:t xml:space="preserve"> planned portion of a TLAM mission to which the firing unit’s engagement plan delivers the missile.</w:t>
      </w:r>
    </w:p>
    <w:p w14:paraId="1516EF86" w14:textId="77777777" w:rsidR="008040CC" w:rsidRPr="000665B0" w:rsidRDefault="008040CC" w:rsidP="006D5A65">
      <w:pPr>
        <w:pStyle w:val="Heading1"/>
        <w:rPr>
          <w:bCs/>
          <w:iCs/>
        </w:rPr>
      </w:pPr>
      <w:r w:rsidRPr="006971E0">
        <w:rPr>
          <w:bCs/>
        </w:rPr>
        <w:t>Flight Corridor</w:t>
      </w:r>
      <w:r w:rsidRPr="000665B0">
        <w:t xml:space="preserve"> – Specific area that the missile should fly through as part of the missile route.</w:t>
      </w:r>
    </w:p>
    <w:p w14:paraId="2BEFAA98" w14:textId="13224A7C" w:rsidR="00562F83" w:rsidRPr="000665B0" w:rsidRDefault="00562F83" w:rsidP="006D5A65">
      <w:pPr>
        <w:pStyle w:val="Heading1"/>
      </w:pPr>
      <w:r w:rsidRPr="006971E0">
        <w:t xml:space="preserve">Planned Outcomes Boundary </w:t>
      </w:r>
      <w:r w:rsidR="0009112A" w:rsidRPr="006971E0">
        <w:t>(POB)</w:t>
      </w:r>
      <w:r w:rsidR="00FC5C00" w:rsidRPr="000665B0">
        <w:rPr>
          <w:i/>
        </w:rPr>
        <w:t xml:space="preserve"> </w:t>
      </w:r>
      <w:r w:rsidRPr="000665B0">
        <w:t>– A polygon with 4 vertices that encloses the area from the First Preplanned Waypoint (FPPWP) for strike package missions, the enroute flight paths for those missions, and the target outcomes for those missions (to include alternate outcomes in any multiple outcome-capable missions).</w:t>
      </w:r>
      <w:r w:rsidR="0009112A" w:rsidRPr="000665B0">
        <w:t xml:space="preserve"> See </w:t>
      </w:r>
      <w:hyperlink w:anchor="_5.33.1.1__Planned" w:history="1">
        <w:r w:rsidR="0009112A" w:rsidRPr="000665B0">
          <w:rPr>
            <w:rStyle w:val="Hyperlink"/>
            <w:bCs/>
            <w:iCs/>
          </w:rPr>
          <w:t xml:space="preserve">Section </w:t>
        </w:r>
        <w:r w:rsidR="004231CC">
          <w:rPr>
            <w:rStyle w:val="Hyperlink"/>
            <w:bCs/>
            <w:iCs/>
          </w:rPr>
          <w:t>5.29</w:t>
        </w:r>
        <w:r w:rsidR="0009112A" w:rsidRPr="000665B0">
          <w:rPr>
            <w:rStyle w:val="Hyperlink"/>
            <w:bCs/>
            <w:iCs/>
          </w:rPr>
          <w:t>.1.1</w:t>
        </w:r>
      </w:hyperlink>
      <w:r w:rsidR="0009112A" w:rsidRPr="000665B0">
        <w:t>.</w:t>
      </w:r>
    </w:p>
    <w:p w14:paraId="24704490" w14:textId="77777777" w:rsidR="008040CC" w:rsidRPr="000665B0" w:rsidRDefault="008040CC" w:rsidP="006D5A65">
      <w:pPr>
        <w:pStyle w:val="Heading1"/>
      </w:pPr>
      <w:r w:rsidRPr="006971E0">
        <w:rPr>
          <w:bCs/>
        </w:rPr>
        <w:t>PLP</w:t>
      </w:r>
      <w:r w:rsidRPr="000665B0">
        <w:rPr>
          <w:bCs/>
          <w:i/>
          <w:iCs/>
        </w:rPr>
        <w:t xml:space="preserve"> </w:t>
      </w:r>
      <w:r w:rsidRPr="000665B0">
        <w:t>– An area that designates the Preferred Launch Position for a firing unit.</w:t>
      </w:r>
    </w:p>
    <w:p w14:paraId="02031CC3" w14:textId="77777777" w:rsidR="008040CC" w:rsidRPr="000665B0" w:rsidRDefault="008040CC" w:rsidP="006D5A65">
      <w:pPr>
        <w:pStyle w:val="Heading1"/>
        <w:rPr>
          <w:i/>
        </w:rPr>
      </w:pPr>
      <w:r w:rsidRPr="006971E0">
        <w:t>Loiter Area</w:t>
      </w:r>
      <w:r w:rsidRPr="000665B0">
        <w:rPr>
          <w:i/>
        </w:rPr>
        <w:t xml:space="preserve"> – </w:t>
      </w:r>
      <w:r w:rsidRPr="000665B0">
        <w:t>A tactical useful location along the flight path where the missile is kept for a predetermined duration.</w:t>
      </w:r>
    </w:p>
    <w:p w14:paraId="4C730D27" w14:textId="77777777" w:rsidR="001F7573" w:rsidRPr="000665B0" w:rsidRDefault="001F7573" w:rsidP="006D5A65">
      <w:pPr>
        <w:pStyle w:val="Heading1"/>
      </w:pPr>
      <w:r w:rsidRPr="000665B0">
        <w:t>Elevation Ceiling (Optional Fields) – Maximum height in feet above Mean Sea Level (ft. MSL) or Above Ground Level (ft. AGL) where the ACMS occurs. For FPPWP ACMS types, the elevation ceiling is constrained to the IDS-8 range. If appropriate, ceiling can be specified in both feet MSL and feet AGL. Not available for ACMSs of type Operational Area.</w:t>
      </w:r>
    </w:p>
    <w:p w14:paraId="74CC605E" w14:textId="77777777" w:rsidR="001F7573" w:rsidRPr="000665B0" w:rsidRDefault="001F7573" w:rsidP="006D5A65">
      <w:pPr>
        <w:pStyle w:val="Heading1"/>
      </w:pPr>
      <w:r w:rsidRPr="000665B0">
        <w:t>Elevation Floor (Optional Fields) –Minimum height in feet above MSL or AGL where the ACMS occurs. For FPPWP ACMS types, the elevation floor is constrained to the IDS-8 range. If appropriate, floor can be specified in both feet MSL and feet AGL. Not available for ACMSs of type Operational Area.</w:t>
      </w:r>
    </w:p>
    <w:p w14:paraId="5F99E6C4" w14:textId="77777777" w:rsidR="00D20A53" w:rsidRPr="000665B0" w:rsidRDefault="009A1FDF" w:rsidP="009570CA">
      <w:pPr>
        <w:pBdr>
          <w:top w:val="single" w:sz="12" w:space="1" w:color="auto"/>
          <w:left w:val="single" w:sz="12" w:space="4" w:color="auto"/>
          <w:bottom w:val="single" w:sz="12" w:space="1" w:color="auto"/>
          <w:right w:val="single" w:sz="12" w:space="4" w:color="auto"/>
        </w:pBdr>
        <w:shd w:val="clear" w:color="auto" w:fill="F3F3F3"/>
        <w:autoSpaceDE w:val="0"/>
        <w:autoSpaceDN w:val="0"/>
        <w:adjustRightInd w:val="0"/>
        <w:spacing w:after="0" w:line="240" w:lineRule="auto"/>
        <w:ind w:left="90"/>
        <w:rPr>
          <w:b/>
          <w:szCs w:val="24"/>
        </w:rPr>
      </w:pPr>
      <w:r w:rsidRPr="000665B0">
        <w:rPr>
          <w:rFonts w:cs="Arial"/>
          <w:noProof/>
          <w:sz w:val="20"/>
        </w:rPr>
        <w:drawing>
          <wp:inline distT="0" distB="0" distL="0" distR="0" wp14:anchorId="1EE7F41A" wp14:editId="4ECA09E5">
            <wp:extent cx="352425" cy="381000"/>
            <wp:effectExtent l="0" t="0" r="9525" b="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D20A53" w:rsidRPr="000665B0">
        <w:rPr>
          <w:b/>
        </w:rPr>
        <w:t>TIP:</w:t>
      </w:r>
      <w:r w:rsidR="00D20A53" w:rsidRPr="000665B0">
        <w:rPr>
          <w:b/>
          <w:szCs w:val="24"/>
        </w:rPr>
        <w:t xml:space="preserve"> </w:t>
      </w:r>
      <w:r w:rsidR="00D20A53" w:rsidRPr="000665B0">
        <w:rPr>
          <w:rStyle w:val="bodycopy"/>
          <w:b/>
        </w:rPr>
        <w:t xml:space="preserve">Users should ensure </w:t>
      </w:r>
      <w:r w:rsidR="002C3A47" w:rsidRPr="000665B0">
        <w:rPr>
          <w:rStyle w:val="bodycopy"/>
          <w:b/>
        </w:rPr>
        <w:t xml:space="preserve">to </w:t>
      </w:r>
      <w:r w:rsidR="00D20A53" w:rsidRPr="000665B0">
        <w:rPr>
          <w:rStyle w:val="bodycopy"/>
          <w:b/>
        </w:rPr>
        <w:t>include a floor value and ceiling value for FPPWPs that will be distributed to V5 TTWCS platforms. This does not apply to V4 platforms</w:t>
      </w:r>
      <w:r w:rsidR="00D20A53" w:rsidRPr="000665B0">
        <w:rPr>
          <w:rStyle w:val="bodycopy"/>
        </w:rPr>
        <w:t>.</w:t>
      </w:r>
    </w:p>
    <w:p w14:paraId="2E36C758" w14:textId="77777777" w:rsidR="00555259" w:rsidRPr="000665B0" w:rsidRDefault="00555259" w:rsidP="009570CA">
      <w:pPr>
        <w:spacing w:after="0" w:line="240" w:lineRule="auto"/>
      </w:pPr>
    </w:p>
    <w:p w14:paraId="068A4228" w14:textId="77777777" w:rsidR="002F2735" w:rsidRPr="000665B0" w:rsidRDefault="002F2735" w:rsidP="006E72D1">
      <w:pPr>
        <w:pBdr>
          <w:top w:val="single" w:sz="12" w:space="1" w:color="auto"/>
          <w:left w:val="single" w:sz="12" w:space="4" w:color="auto"/>
          <w:bottom w:val="single" w:sz="12" w:space="1" w:color="auto"/>
          <w:right w:val="single" w:sz="12" w:space="4" w:color="auto"/>
        </w:pBdr>
        <w:shd w:val="clear" w:color="auto" w:fill="D9D9D9"/>
        <w:autoSpaceDE w:val="0"/>
        <w:autoSpaceDN w:val="0"/>
        <w:adjustRightInd w:val="0"/>
        <w:spacing w:after="0" w:line="240" w:lineRule="auto"/>
        <w:ind w:left="86"/>
        <w:jc w:val="center"/>
        <w:rPr>
          <w:b/>
          <w:szCs w:val="24"/>
        </w:rPr>
      </w:pPr>
      <w:r w:rsidRPr="000665B0">
        <w:rPr>
          <w:b/>
          <w:szCs w:val="24"/>
        </w:rPr>
        <w:lastRenderedPageBreak/>
        <w:t>N</w:t>
      </w:r>
      <w:r w:rsidR="00B63106" w:rsidRPr="000665B0">
        <w:rPr>
          <w:b/>
          <w:szCs w:val="24"/>
        </w:rPr>
        <w:t>ote</w:t>
      </w:r>
      <w:r w:rsidRPr="000665B0">
        <w:rPr>
          <w:b/>
          <w:szCs w:val="24"/>
        </w:rPr>
        <w:t xml:space="preserve">: </w:t>
      </w:r>
    </w:p>
    <w:p w14:paraId="01189B14" w14:textId="77777777" w:rsidR="002F2735" w:rsidRPr="000665B0" w:rsidRDefault="002F2735" w:rsidP="006E72D1">
      <w:pPr>
        <w:pBdr>
          <w:top w:val="single" w:sz="12" w:space="1" w:color="auto"/>
          <w:left w:val="single" w:sz="12" w:space="4" w:color="auto"/>
          <w:bottom w:val="single" w:sz="12" w:space="1" w:color="auto"/>
          <w:right w:val="single" w:sz="12" w:space="4" w:color="auto"/>
        </w:pBdr>
        <w:shd w:val="clear" w:color="auto" w:fill="D9D9D9"/>
        <w:autoSpaceDE w:val="0"/>
        <w:autoSpaceDN w:val="0"/>
        <w:adjustRightInd w:val="0"/>
        <w:spacing w:after="240" w:line="240" w:lineRule="auto"/>
        <w:ind w:left="86"/>
        <w:jc w:val="center"/>
        <w:rPr>
          <w:b/>
          <w:szCs w:val="24"/>
        </w:rPr>
      </w:pPr>
      <w:r w:rsidRPr="000665B0">
        <w:rPr>
          <w:b/>
          <w:szCs w:val="24"/>
        </w:rPr>
        <w:t>The elevation ceiling and floor when specified for the various ACMS types have the meanings in the table below.</w:t>
      </w:r>
    </w:p>
    <w:tbl>
      <w:tblPr>
        <w:tblW w:w="9468"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48"/>
        <w:gridCol w:w="1980"/>
        <w:gridCol w:w="1620"/>
        <w:gridCol w:w="1980"/>
        <w:gridCol w:w="2340"/>
      </w:tblGrid>
      <w:tr w:rsidR="00D73E41" w:rsidRPr="000665B0" w14:paraId="111B1D9B" w14:textId="77777777" w:rsidTr="008A550A">
        <w:tc>
          <w:tcPr>
            <w:tcW w:w="1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01F7A1" w14:textId="77777777" w:rsidR="00D73E41" w:rsidRPr="000665B0" w:rsidRDefault="00D73E41" w:rsidP="009570CA">
            <w:pPr>
              <w:keepNext/>
              <w:autoSpaceDE w:val="0"/>
              <w:autoSpaceDN w:val="0"/>
              <w:adjustRightInd w:val="0"/>
              <w:spacing w:after="0" w:line="240" w:lineRule="auto"/>
              <w:jc w:val="center"/>
              <w:rPr>
                <w:rFonts w:ascii="Arial" w:hAnsi="Arial" w:cs="Arial"/>
                <w:b/>
                <w:sz w:val="22"/>
                <w:szCs w:val="22"/>
              </w:rPr>
            </w:pPr>
            <w:r w:rsidRPr="000665B0">
              <w:rPr>
                <w:rFonts w:ascii="Arial" w:hAnsi="Arial" w:cs="Arial"/>
                <w:b/>
                <w:sz w:val="22"/>
                <w:szCs w:val="22"/>
              </w:rPr>
              <w:t>ACMS Type</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859927" w14:textId="4A252240" w:rsidR="00D73E41" w:rsidRPr="000665B0" w:rsidRDefault="00D73E41" w:rsidP="009570CA">
            <w:pPr>
              <w:keepNext/>
              <w:autoSpaceDE w:val="0"/>
              <w:autoSpaceDN w:val="0"/>
              <w:adjustRightInd w:val="0"/>
              <w:spacing w:after="0" w:line="240" w:lineRule="auto"/>
              <w:jc w:val="center"/>
              <w:rPr>
                <w:rFonts w:ascii="Arial" w:hAnsi="Arial" w:cs="Arial"/>
                <w:b/>
                <w:sz w:val="22"/>
                <w:szCs w:val="22"/>
              </w:rPr>
            </w:pPr>
            <w:r w:rsidRPr="000665B0">
              <w:rPr>
                <w:rFonts w:ascii="Arial" w:hAnsi="Arial" w:cs="Arial"/>
                <w:b/>
                <w:sz w:val="22"/>
                <w:szCs w:val="22"/>
              </w:rPr>
              <w:t xml:space="preserve">Neither </w:t>
            </w:r>
            <w:r w:rsidR="009C0732" w:rsidRPr="000665B0">
              <w:rPr>
                <w:rFonts w:ascii="Arial" w:hAnsi="Arial" w:cs="Arial"/>
                <w:b/>
                <w:sz w:val="22"/>
                <w:szCs w:val="22"/>
              </w:rPr>
              <w:t>Specified</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6516551" w14:textId="0D9FD55C" w:rsidR="00D73E41" w:rsidRPr="000665B0" w:rsidRDefault="00D73E41" w:rsidP="009570CA">
            <w:pPr>
              <w:keepNext/>
              <w:autoSpaceDE w:val="0"/>
              <w:autoSpaceDN w:val="0"/>
              <w:adjustRightInd w:val="0"/>
              <w:spacing w:after="0" w:line="240" w:lineRule="auto"/>
              <w:jc w:val="center"/>
              <w:rPr>
                <w:rFonts w:ascii="Arial" w:hAnsi="Arial" w:cs="Arial"/>
                <w:b/>
                <w:sz w:val="22"/>
                <w:szCs w:val="22"/>
              </w:rPr>
            </w:pPr>
            <w:r w:rsidRPr="000665B0">
              <w:rPr>
                <w:rFonts w:ascii="Arial" w:hAnsi="Arial" w:cs="Arial"/>
                <w:b/>
                <w:sz w:val="22"/>
                <w:szCs w:val="22"/>
              </w:rPr>
              <w:t xml:space="preserve">Ceiling </w:t>
            </w:r>
            <w:r w:rsidR="009C0732" w:rsidRPr="000665B0">
              <w:rPr>
                <w:rFonts w:ascii="Arial" w:hAnsi="Arial" w:cs="Arial"/>
                <w:b/>
                <w:sz w:val="22"/>
                <w:szCs w:val="22"/>
              </w:rPr>
              <w:t>Only</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A8A520" w14:textId="47C8E850" w:rsidR="00D73E41" w:rsidRPr="000665B0" w:rsidRDefault="00D73E41" w:rsidP="009570CA">
            <w:pPr>
              <w:keepNext/>
              <w:autoSpaceDE w:val="0"/>
              <w:autoSpaceDN w:val="0"/>
              <w:adjustRightInd w:val="0"/>
              <w:spacing w:after="0" w:line="240" w:lineRule="auto"/>
              <w:jc w:val="center"/>
              <w:rPr>
                <w:rFonts w:ascii="Arial" w:hAnsi="Arial" w:cs="Arial"/>
                <w:b/>
                <w:sz w:val="22"/>
                <w:szCs w:val="22"/>
              </w:rPr>
            </w:pPr>
            <w:r w:rsidRPr="000665B0">
              <w:rPr>
                <w:rFonts w:ascii="Arial" w:hAnsi="Arial" w:cs="Arial"/>
                <w:b/>
                <w:sz w:val="22"/>
                <w:szCs w:val="22"/>
              </w:rPr>
              <w:t xml:space="preserve">Floor </w:t>
            </w:r>
            <w:r w:rsidR="009C0732" w:rsidRPr="000665B0">
              <w:rPr>
                <w:rFonts w:ascii="Arial" w:hAnsi="Arial" w:cs="Arial"/>
                <w:b/>
                <w:sz w:val="22"/>
                <w:szCs w:val="22"/>
              </w:rPr>
              <w:t>Only</w:t>
            </w: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D38828" w14:textId="01852041" w:rsidR="00D73E41" w:rsidRPr="000665B0" w:rsidRDefault="00D73E41" w:rsidP="009570CA">
            <w:pPr>
              <w:keepNext/>
              <w:autoSpaceDE w:val="0"/>
              <w:autoSpaceDN w:val="0"/>
              <w:adjustRightInd w:val="0"/>
              <w:spacing w:after="0" w:line="240" w:lineRule="auto"/>
              <w:jc w:val="center"/>
              <w:rPr>
                <w:rFonts w:ascii="Arial" w:hAnsi="Arial" w:cs="Arial"/>
                <w:b/>
                <w:sz w:val="22"/>
                <w:szCs w:val="22"/>
              </w:rPr>
            </w:pPr>
            <w:r w:rsidRPr="000665B0">
              <w:rPr>
                <w:rFonts w:ascii="Arial" w:hAnsi="Arial" w:cs="Arial"/>
                <w:b/>
                <w:sz w:val="22"/>
                <w:szCs w:val="22"/>
              </w:rPr>
              <w:t xml:space="preserve">Both </w:t>
            </w:r>
            <w:r w:rsidR="009C0732" w:rsidRPr="000665B0">
              <w:rPr>
                <w:rFonts w:ascii="Arial" w:hAnsi="Arial" w:cs="Arial"/>
                <w:b/>
                <w:sz w:val="22"/>
                <w:szCs w:val="22"/>
              </w:rPr>
              <w:t>Specified</w:t>
            </w:r>
          </w:p>
        </w:tc>
      </w:tr>
      <w:tr w:rsidR="00171706" w:rsidRPr="000665B0" w14:paraId="2F7273CD" w14:textId="77777777" w:rsidTr="008A550A">
        <w:tc>
          <w:tcPr>
            <w:tcW w:w="1548" w:type="dxa"/>
            <w:tcBorders>
              <w:top w:val="single" w:sz="4" w:space="0" w:color="auto"/>
              <w:left w:val="single" w:sz="4" w:space="0" w:color="auto"/>
              <w:bottom w:val="single" w:sz="4" w:space="0" w:color="auto"/>
              <w:right w:val="single" w:sz="4" w:space="0" w:color="auto"/>
            </w:tcBorders>
          </w:tcPr>
          <w:p w14:paraId="2AE77071" w14:textId="3E0AD0F4" w:rsidR="00171706" w:rsidRPr="000665B0" w:rsidRDefault="00171706" w:rsidP="009570CA">
            <w:pPr>
              <w:keepNext/>
              <w:autoSpaceDE w:val="0"/>
              <w:autoSpaceDN w:val="0"/>
              <w:adjustRightInd w:val="0"/>
              <w:spacing w:after="0" w:line="240" w:lineRule="auto"/>
              <w:rPr>
                <w:rFonts w:ascii="Arial" w:hAnsi="Arial" w:cs="Arial"/>
                <w:sz w:val="20"/>
              </w:rPr>
            </w:pPr>
            <w:r>
              <w:rPr>
                <w:rFonts w:ascii="Arial" w:hAnsi="Arial" w:cs="Arial"/>
                <w:sz w:val="20"/>
              </w:rPr>
              <w:t>Avoidance Area</w:t>
            </w:r>
          </w:p>
        </w:tc>
        <w:tc>
          <w:tcPr>
            <w:tcW w:w="1980" w:type="dxa"/>
            <w:tcBorders>
              <w:top w:val="single" w:sz="4" w:space="0" w:color="auto"/>
              <w:left w:val="single" w:sz="4" w:space="0" w:color="auto"/>
              <w:bottom w:val="single" w:sz="4" w:space="0" w:color="auto"/>
              <w:right w:val="single" w:sz="4" w:space="0" w:color="auto"/>
            </w:tcBorders>
          </w:tcPr>
          <w:p w14:paraId="0BD17AEB" w14:textId="12745DFA" w:rsidR="00171706" w:rsidRPr="000665B0" w:rsidRDefault="00171706"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All altitudes prohibited</w:t>
            </w:r>
          </w:p>
        </w:tc>
        <w:tc>
          <w:tcPr>
            <w:tcW w:w="1620" w:type="dxa"/>
            <w:tcBorders>
              <w:top w:val="single" w:sz="4" w:space="0" w:color="auto"/>
              <w:left w:val="single" w:sz="4" w:space="0" w:color="auto"/>
              <w:bottom w:val="single" w:sz="4" w:space="0" w:color="auto"/>
              <w:right w:val="single" w:sz="4" w:space="0" w:color="auto"/>
            </w:tcBorders>
          </w:tcPr>
          <w:p w14:paraId="7E653101" w14:textId="3E670A37" w:rsidR="00171706" w:rsidRPr="000665B0" w:rsidRDefault="00171706"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Prohibited below ceiling</w:t>
            </w:r>
          </w:p>
        </w:tc>
        <w:tc>
          <w:tcPr>
            <w:tcW w:w="1980" w:type="dxa"/>
            <w:tcBorders>
              <w:top w:val="single" w:sz="4" w:space="0" w:color="auto"/>
              <w:left w:val="single" w:sz="4" w:space="0" w:color="auto"/>
              <w:bottom w:val="single" w:sz="4" w:space="0" w:color="auto"/>
              <w:right w:val="single" w:sz="4" w:space="0" w:color="auto"/>
            </w:tcBorders>
          </w:tcPr>
          <w:p w14:paraId="0B15F6F1" w14:textId="183299DD" w:rsidR="00171706" w:rsidRPr="000665B0" w:rsidRDefault="00171706"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Prohibited above floor</w:t>
            </w:r>
          </w:p>
        </w:tc>
        <w:tc>
          <w:tcPr>
            <w:tcW w:w="2340" w:type="dxa"/>
            <w:tcBorders>
              <w:top w:val="single" w:sz="4" w:space="0" w:color="auto"/>
              <w:left w:val="single" w:sz="4" w:space="0" w:color="auto"/>
              <w:bottom w:val="single" w:sz="4" w:space="0" w:color="auto"/>
              <w:right w:val="single" w:sz="4" w:space="0" w:color="auto"/>
            </w:tcBorders>
          </w:tcPr>
          <w:p w14:paraId="64AF2D87" w14:textId="4B6CC287" w:rsidR="00171706" w:rsidRPr="000665B0" w:rsidRDefault="00171706"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Prohibited between floor and ceiling</w:t>
            </w:r>
          </w:p>
        </w:tc>
      </w:tr>
      <w:tr w:rsidR="00D73E41" w:rsidRPr="000665B0" w14:paraId="0B8B19BB" w14:textId="77777777" w:rsidTr="008A550A">
        <w:tc>
          <w:tcPr>
            <w:tcW w:w="1548" w:type="dxa"/>
            <w:tcBorders>
              <w:top w:val="single" w:sz="4" w:space="0" w:color="auto"/>
              <w:left w:val="single" w:sz="4" w:space="0" w:color="auto"/>
              <w:bottom w:val="single" w:sz="4" w:space="0" w:color="auto"/>
              <w:right w:val="single" w:sz="4" w:space="0" w:color="auto"/>
            </w:tcBorders>
          </w:tcPr>
          <w:p w14:paraId="584B8A31"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Flight Corridor</w:t>
            </w:r>
          </w:p>
        </w:tc>
        <w:tc>
          <w:tcPr>
            <w:tcW w:w="1980" w:type="dxa"/>
            <w:tcBorders>
              <w:top w:val="single" w:sz="4" w:space="0" w:color="auto"/>
              <w:left w:val="single" w:sz="4" w:space="0" w:color="auto"/>
              <w:bottom w:val="single" w:sz="4" w:space="0" w:color="auto"/>
              <w:right w:val="single" w:sz="4" w:space="0" w:color="auto"/>
            </w:tcBorders>
          </w:tcPr>
          <w:p w14:paraId="65014D32"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No restrictions</w:t>
            </w:r>
          </w:p>
        </w:tc>
        <w:tc>
          <w:tcPr>
            <w:tcW w:w="1620" w:type="dxa"/>
            <w:tcBorders>
              <w:top w:val="single" w:sz="4" w:space="0" w:color="auto"/>
              <w:left w:val="single" w:sz="4" w:space="0" w:color="auto"/>
              <w:bottom w:val="single" w:sz="4" w:space="0" w:color="auto"/>
              <w:right w:val="single" w:sz="4" w:space="0" w:color="auto"/>
            </w:tcBorders>
          </w:tcPr>
          <w:p w14:paraId="7DFB575E"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Permitted below ceiling</w:t>
            </w:r>
          </w:p>
        </w:tc>
        <w:tc>
          <w:tcPr>
            <w:tcW w:w="1980" w:type="dxa"/>
            <w:tcBorders>
              <w:top w:val="single" w:sz="4" w:space="0" w:color="auto"/>
              <w:left w:val="single" w:sz="4" w:space="0" w:color="auto"/>
              <w:bottom w:val="single" w:sz="4" w:space="0" w:color="auto"/>
              <w:right w:val="single" w:sz="4" w:space="0" w:color="auto"/>
            </w:tcBorders>
          </w:tcPr>
          <w:p w14:paraId="2E53BA0B"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Permitted above floor</w:t>
            </w:r>
          </w:p>
        </w:tc>
        <w:tc>
          <w:tcPr>
            <w:tcW w:w="2340" w:type="dxa"/>
            <w:tcBorders>
              <w:top w:val="single" w:sz="4" w:space="0" w:color="auto"/>
              <w:left w:val="single" w:sz="4" w:space="0" w:color="auto"/>
              <w:bottom w:val="single" w:sz="4" w:space="0" w:color="auto"/>
              <w:right w:val="single" w:sz="4" w:space="0" w:color="auto"/>
            </w:tcBorders>
          </w:tcPr>
          <w:p w14:paraId="5D150C70"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Permitted between floor and ceiling</w:t>
            </w:r>
          </w:p>
        </w:tc>
      </w:tr>
      <w:tr w:rsidR="00D73E41" w:rsidRPr="000665B0" w14:paraId="000C5543" w14:textId="77777777" w:rsidTr="008A550A">
        <w:tc>
          <w:tcPr>
            <w:tcW w:w="1548" w:type="dxa"/>
            <w:tcBorders>
              <w:top w:val="single" w:sz="4" w:space="0" w:color="auto"/>
              <w:left w:val="single" w:sz="4" w:space="0" w:color="auto"/>
              <w:bottom w:val="single" w:sz="4" w:space="0" w:color="auto"/>
              <w:right w:val="single" w:sz="4" w:space="0" w:color="auto"/>
            </w:tcBorders>
          </w:tcPr>
          <w:p w14:paraId="7266C3C4"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FPPWP</w:t>
            </w:r>
          </w:p>
        </w:tc>
        <w:tc>
          <w:tcPr>
            <w:tcW w:w="1980" w:type="dxa"/>
            <w:tcBorders>
              <w:top w:val="single" w:sz="4" w:space="0" w:color="auto"/>
              <w:left w:val="single" w:sz="4" w:space="0" w:color="auto"/>
              <w:bottom w:val="single" w:sz="4" w:space="0" w:color="auto"/>
              <w:right w:val="single" w:sz="4" w:space="0" w:color="auto"/>
            </w:tcBorders>
          </w:tcPr>
          <w:p w14:paraId="6B71362E"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No restrictions</w:t>
            </w:r>
          </w:p>
        </w:tc>
        <w:tc>
          <w:tcPr>
            <w:tcW w:w="1620" w:type="dxa"/>
            <w:tcBorders>
              <w:top w:val="single" w:sz="4" w:space="0" w:color="auto"/>
              <w:left w:val="single" w:sz="4" w:space="0" w:color="auto"/>
              <w:bottom w:val="single" w:sz="4" w:space="0" w:color="auto"/>
              <w:right w:val="single" w:sz="4" w:space="0" w:color="auto"/>
            </w:tcBorders>
          </w:tcPr>
          <w:p w14:paraId="713865D7" w14:textId="77777777" w:rsidR="00D73E41" w:rsidRPr="000665B0" w:rsidRDefault="00D73E41" w:rsidP="009570CA">
            <w:pPr>
              <w:keepNext/>
              <w:autoSpaceDE w:val="0"/>
              <w:autoSpaceDN w:val="0"/>
              <w:adjustRightInd w:val="0"/>
              <w:spacing w:after="0" w:line="240" w:lineRule="auto"/>
              <w:jc w:val="center"/>
              <w:rPr>
                <w:rFonts w:ascii="Arial" w:hAnsi="Arial" w:cs="Arial"/>
                <w:sz w:val="20"/>
              </w:rPr>
            </w:pPr>
            <w:r w:rsidRPr="000665B0">
              <w:rPr>
                <w:rFonts w:ascii="Arial" w:hAnsi="Arial" w:cs="Arial"/>
                <w:sz w:val="20"/>
              </w:rPr>
              <w:t>Permitted below ceiling</w:t>
            </w:r>
          </w:p>
        </w:tc>
        <w:tc>
          <w:tcPr>
            <w:tcW w:w="1980" w:type="dxa"/>
            <w:tcBorders>
              <w:top w:val="single" w:sz="4" w:space="0" w:color="auto"/>
              <w:left w:val="single" w:sz="4" w:space="0" w:color="auto"/>
              <w:bottom w:val="single" w:sz="4" w:space="0" w:color="auto"/>
              <w:right w:val="single" w:sz="4" w:space="0" w:color="auto"/>
            </w:tcBorders>
          </w:tcPr>
          <w:p w14:paraId="1BA7CEF0"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Permitted above floor</w:t>
            </w:r>
          </w:p>
        </w:tc>
        <w:tc>
          <w:tcPr>
            <w:tcW w:w="2340" w:type="dxa"/>
            <w:tcBorders>
              <w:top w:val="single" w:sz="4" w:space="0" w:color="auto"/>
              <w:left w:val="single" w:sz="4" w:space="0" w:color="auto"/>
              <w:bottom w:val="single" w:sz="4" w:space="0" w:color="auto"/>
              <w:right w:val="single" w:sz="4" w:space="0" w:color="auto"/>
            </w:tcBorders>
          </w:tcPr>
          <w:p w14:paraId="0FBA7AF9"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Permitted between floor and ceiling</w:t>
            </w:r>
          </w:p>
        </w:tc>
      </w:tr>
      <w:tr w:rsidR="00D73E41" w:rsidRPr="000665B0" w14:paraId="57238081" w14:textId="77777777" w:rsidTr="008A550A">
        <w:tc>
          <w:tcPr>
            <w:tcW w:w="1548" w:type="dxa"/>
            <w:tcBorders>
              <w:top w:val="single" w:sz="4" w:space="0" w:color="auto"/>
              <w:left w:val="single" w:sz="4" w:space="0" w:color="auto"/>
              <w:bottom w:val="single" w:sz="4" w:space="0" w:color="auto"/>
              <w:right w:val="single" w:sz="4" w:space="0" w:color="auto"/>
            </w:tcBorders>
          </w:tcPr>
          <w:p w14:paraId="742FA4A8"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Launch Area</w:t>
            </w:r>
          </w:p>
        </w:tc>
        <w:tc>
          <w:tcPr>
            <w:tcW w:w="1980" w:type="dxa"/>
            <w:tcBorders>
              <w:top w:val="single" w:sz="4" w:space="0" w:color="auto"/>
              <w:left w:val="single" w:sz="4" w:space="0" w:color="auto"/>
              <w:bottom w:val="single" w:sz="4" w:space="0" w:color="auto"/>
              <w:right w:val="single" w:sz="4" w:space="0" w:color="auto"/>
            </w:tcBorders>
          </w:tcPr>
          <w:p w14:paraId="62CCBF83"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No restrictions</w:t>
            </w:r>
          </w:p>
        </w:tc>
        <w:tc>
          <w:tcPr>
            <w:tcW w:w="1620" w:type="dxa"/>
            <w:tcBorders>
              <w:top w:val="single" w:sz="4" w:space="0" w:color="auto"/>
              <w:left w:val="single" w:sz="4" w:space="0" w:color="auto"/>
              <w:bottom w:val="single" w:sz="4" w:space="0" w:color="auto"/>
              <w:right w:val="single" w:sz="4" w:space="0" w:color="auto"/>
            </w:tcBorders>
          </w:tcPr>
          <w:p w14:paraId="63DBDD3A"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Permitted below ceiling</w:t>
            </w:r>
          </w:p>
        </w:tc>
        <w:tc>
          <w:tcPr>
            <w:tcW w:w="1980" w:type="dxa"/>
            <w:tcBorders>
              <w:top w:val="single" w:sz="4" w:space="0" w:color="auto"/>
              <w:left w:val="single" w:sz="4" w:space="0" w:color="auto"/>
              <w:bottom w:val="single" w:sz="4" w:space="0" w:color="auto"/>
              <w:right w:val="single" w:sz="4" w:space="0" w:color="auto"/>
            </w:tcBorders>
          </w:tcPr>
          <w:p w14:paraId="04C2F5B5"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Permitted above floor</w:t>
            </w:r>
          </w:p>
        </w:tc>
        <w:tc>
          <w:tcPr>
            <w:tcW w:w="2340" w:type="dxa"/>
            <w:tcBorders>
              <w:top w:val="single" w:sz="4" w:space="0" w:color="auto"/>
              <w:left w:val="single" w:sz="4" w:space="0" w:color="auto"/>
              <w:bottom w:val="single" w:sz="4" w:space="0" w:color="auto"/>
              <w:right w:val="single" w:sz="4" w:space="0" w:color="auto"/>
            </w:tcBorders>
          </w:tcPr>
          <w:p w14:paraId="4658C8FE"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Permitted between floor and ceiling</w:t>
            </w:r>
          </w:p>
        </w:tc>
      </w:tr>
      <w:tr w:rsidR="00D73E41" w:rsidRPr="000665B0" w14:paraId="1E0878C8" w14:textId="77777777" w:rsidTr="008A550A">
        <w:tc>
          <w:tcPr>
            <w:tcW w:w="1548" w:type="dxa"/>
            <w:tcBorders>
              <w:top w:val="single" w:sz="4" w:space="0" w:color="auto"/>
              <w:left w:val="single" w:sz="4" w:space="0" w:color="auto"/>
              <w:bottom w:val="single" w:sz="4" w:space="0" w:color="auto"/>
              <w:right w:val="single" w:sz="4" w:space="0" w:color="auto"/>
            </w:tcBorders>
          </w:tcPr>
          <w:p w14:paraId="0805B29A"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Loiter Area</w:t>
            </w:r>
          </w:p>
        </w:tc>
        <w:tc>
          <w:tcPr>
            <w:tcW w:w="1980" w:type="dxa"/>
            <w:tcBorders>
              <w:top w:val="single" w:sz="4" w:space="0" w:color="auto"/>
              <w:left w:val="single" w:sz="4" w:space="0" w:color="auto"/>
              <w:bottom w:val="single" w:sz="4" w:space="0" w:color="auto"/>
              <w:right w:val="single" w:sz="4" w:space="0" w:color="auto"/>
            </w:tcBorders>
          </w:tcPr>
          <w:p w14:paraId="5DA17A56"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No restrictions</w:t>
            </w:r>
          </w:p>
        </w:tc>
        <w:tc>
          <w:tcPr>
            <w:tcW w:w="1620" w:type="dxa"/>
            <w:tcBorders>
              <w:top w:val="single" w:sz="4" w:space="0" w:color="auto"/>
              <w:left w:val="single" w:sz="4" w:space="0" w:color="auto"/>
              <w:bottom w:val="single" w:sz="4" w:space="0" w:color="auto"/>
              <w:right w:val="single" w:sz="4" w:space="0" w:color="auto"/>
            </w:tcBorders>
          </w:tcPr>
          <w:p w14:paraId="16DF1E85"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Permitted below ceiling</w:t>
            </w:r>
          </w:p>
        </w:tc>
        <w:tc>
          <w:tcPr>
            <w:tcW w:w="1980" w:type="dxa"/>
            <w:tcBorders>
              <w:top w:val="single" w:sz="4" w:space="0" w:color="auto"/>
              <w:left w:val="single" w:sz="4" w:space="0" w:color="auto"/>
              <w:bottom w:val="single" w:sz="4" w:space="0" w:color="auto"/>
              <w:right w:val="single" w:sz="4" w:space="0" w:color="auto"/>
            </w:tcBorders>
          </w:tcPr>
          <w:p w14:paraId="08A28FAA"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Permitted above floor</w:t>
            </w:r>
          </w:p>
        </w:tc>
        <w:tc>
          <w:tcPr>
            <w:tcW w:w="2340" w:type="dxa"/>
            <w:tcBorders>
              <w:top w:val="single" w:sz="4" w:space="0" w:color="auto"/>
              <w:left w:val="single" w:sz="4" w:space="0" w:color="auto"/>
              <w:bottom w:val="single" w:sz="4" w:space="0" w:color="auto"/>
              <w:right w:val="single" w:sz="4" w:space="0" w:color="auto"/>
            </w:tcBorders>
          </w:tcPr>
          <w:p w14:paraId="5F6E1AD6"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Permitted between floor and ceiling</w:t>
            </w:r>
          </w:p>
        </w:tc>
      </w:tr>
      <w:tr w:rsidR="00D73E41" w:rsidRPr="000665B0" w14:paraId="4782B3DD" w14:textId="77777777" w:rsidTr="008A550A">
        <w:tc>
          <w:tcPr>
            <w:tcW w:w="1548" w:type="dxa"/>
            <w:tcBorders>
              <w:top w:val="single" w:sz="4" w:space="0" w:color="auto"/>
              <w:left w:val="single" w:sz="4" w:space="0" w:color="auto"/>
              <w:bottom w:val="single" w:sz="4" w:space="0" w:color="auto"/>
              <w:right w:val="single" w:sz="4" w:space="0" w:color="auto"/>
            </w:tcBorders>
          </w:tcPr>
          <w:p w14:paraId="460E5FDB"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Operational Area</w:t>
            </w:r>
          </w:p>
        </w:tc>
        <w:tc>
          <w:tcPr>
            <w:tcW w:w="1980" w:type="dxa"/>
            <w:tcBorders>
              <w:top w:val="single" w:sz="4" w:space="0" w:color="auto"/>
              <w:left w:val="single" w:sz="4" w:space="0" w:color="auto"/>
              <w:bottom w:val="single" w:sz="4" w:space="0" w:color="auto"/>
              <w:right w:val="single" w:sz="4" w:space="0" w:color="auto"/>
            </w:tcBorders>
          </w:tcPr>
          <w:p w14:paraId="30802E2D"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No restrictions</w:t>
            </w:r>
          </w:p>
        </w:tc>
        <w:tc>
          <w:tcPr>
            <w:tcW w:w="1620" w:type="dxa"/>
            <w:tcBorders>
              <w:top w:val="single" w:sz="4" w:space="0" w:color="auto"/>
              <w:left w:val="single" w:sz="4" w:space="0" w:color="auto"/>
              <w:bottom w:val="single" w:sz="4" w:space="0" w:color="auto"/>
              <w:right w:val="single" w:sz="4" w:space="0" w:color="auto"/>
            </w:tcBorders>
          </w:tcPr>
          <w:p w14:paraId="4078311D"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N/A</w:t>
            </w:r>
          </w:p>
        </w:tc>
        <w:tc>
          <w:tcPr>
            <w:tcW w:w="1980" w:type="dxa"/>
            <w:tcBorders>
              <w:top w:val="single" w:sz="4" w:space="0" w:color="auto"/>
              <w:left w:val="single" w:sz="4" w:space="0" w:color="auto"/>
              <w:bottom w:val="single" w:sz="4" w:space="0" w:color="auto"/>
              <w:right w:val="single" w:sz="4" w:space="0" w:color="auto"/>
            </w:tcBorders>
          </w:tcPr>
          <w:p w14:paraId="5E010B49"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N/A</w:t>
            </w:r>
          </w:p>
        </w:tc>
        <w:tc>
          <w:tcPr>
            <w:tcW w:w="2340" w:type="dxa"/>
            <w:tcBorders>
              <w:top w:val="single" w:sz="4" w:space="0" w:color="auto"/>
              <w:left w:val="single" w:sz="4" w:space="0" w:color="auto"/>
              <w:bottom w:val="single" w:sz="4" w:space="0" w:color="auto"/>
              <w:right w:val="single" w:sz="4" w:space="0" w:color="auto"/>
            </w:tcBorders>
          </w:tcPr>
          <w:p w14:paraId="691AE2FB"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N/A</w:t>
            </w:r>
          </w:p>
        </w:tc>
      </w:tr>
      <w:tr w:rsidR="00D73E41" w:rsidRPr="000665B0" w14:paraId="631623F3" w14:textId="77777777" w:rsidTr="008A550A">
        <w:tc>
          <w:tcPr>
            <w:tcW w:w="1548" w:type="dxa"/>
            <w:tcBorders>
              <w:top w:val="single" w:sz="4" w:space="0" w:color="auto"/>
              <w:left w:val="single" w:sz="4" w:space="0" w:color="auto"/>
              <w:bottom w:val="single" w:sz="4" w:space="0" w:color="auto"/>
              <w:right w:val="single" w:sz="4" w:space="0" w:color="auto"/>
            </w:tcBorders>
          </w:tcPr>
          <w:p w14:paraId="7C3B08B6"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Prohibited Area</w:t>
            </w:r>
          </w:p>
        </w:tc>
        <w:tc>
          <w:tcPr>
            <w:tcW w:w="1980" w:type="dxa"/>
            <w:tcBorders>
              <w:top w:val="single" w:sz="4" w:space="0" w:color="auto"/>
              <w:left w:val="single" w:sz="4" w:space="0" w:color="auto"/>
              <w:bottom w:val="single" w:sz="4" w:space="0" w:color="auto"/>
              <w:right w:val="single" w:sz="4" w:space="0" w:color="auto"/>
            </w:tcBorders>
          </w:tcPr>
          <w:p w14:paraId="7FCA2FBD"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All altitudes prohibited</w:t>
            </w:r>
          </w:p>
        </w:tc>
        <w:tc>
          <w:tcPr>
            <w:tcW w:w="1620" w:type="dxa"/>
            <w:tcBorders>
              <w:top w:val="single" w:sz="4" w:space="0" w:color="auto"/>
              <w:left w:val="single" w:sz="4" w:space="0" w:color="auto"/>
              <w:bottom w:val="single" w:sz="4" w:space="0" w:color="auto"/>
              <w:right w:val="single" w:sz="4" w:space="0" w:color="auto"/>
            </w:tcBorders>
          </w:tcPr>
          <w:p w14:paraId="0A966F28"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Prohibited below ceiling</w:t>
            </w:r>
          </w:p>
        </w:tc>
        <w:tc>
          <w:tcPr>
            <w:tcW w:w="1980" w:type="dxa"/>
            <w:tcBorders>
              <w:top w:val="single" w:sz="4" w:space="0" w:color="auto"/>
              <w:left w:val="single" w:sz="4" w:space="0" w:color="auto"/>
              <w:bottom w:val="single" w:sz="4" w:space="0" w:color="auto"/>
              <w:right w:val="single" w:sz="4" w:space="0" w:color="auto"/>
            </w:tcBorders>
          </w:tcPr>
          <w:p w14:paraId="483310FF"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Prohibited above floor</w:t>
            </w:r>
          </w:p>
        </w:tc>
        <w:tc>
          <w:tcPr>
            <w:tcW w:w="2340" w:type="dxa"/>
            <w:tcBorders>
              <w:top w:val="single" w:sz="4" w:space="0" w:color="auto"/>
              <w:left w:val="single" w:sz="4" w:space="0" w:color="auto"/>
              <w:bottom w:val="single" w:sz="4" w:space="0" w:color="auto"/>
              <w:right w:val="single" w:sz="4" w:space="0" w:color="auto"/>
            </w:tcBorders>
          </w:tcPr>
          <w:p w14:paraId="6A1FDAB4" w14:textId="77777777" w:rsidR="00D73E41" w:rsidRPr="000665B0" w:rsidRDefault="00D73E41" w:rsidP="009570CA">
            <w:pPr>
              <w:keepNext/>
              <w:autoSpaceDE w:val="0"/>
              <w:autoSpaceDN w:val="0"/>
              <w:adjustRightInd w:val="0"/>
              <w:spacing w:after="0" w:line="240" w:lineRule="auto"/>
              <w:rPr>
                <w:rFonts w:ascii="Arial" w:hAnsi="Arial" w:cs="Arial"/>
                <w:sz w:val="20"/>
              </w:rPr>
            </w:pPr>
            <w:r w:rsidRPr="000665B0">
              <w:rPr>
                <w:rFonts w:ascii="Arial" w:hAnsi="Arial" w:cs="Arial"/>
                <w:sz w:val="20"/>
              </w:rPr>
              <w:t>Prohibited between floor and ceiling</w:t>
            </w:r>
          </w:p>
        </w:tc>
      </w:tr>
      <w:tr w:rsidR="00D73E41" w:rsidRPr="000665B0" w14:paraId="181C3A56" w14:textId="77777777" w:rsidTr="008A550A">
        <w:tc>
          <w:tcPr>
            <w:tcW w:w="1548" w:type="dxa"/>
            <w:tcBorders>
              <w:top w:val="single" w:sz="4" w:space="0" w:color="auto"/>
              <w:left w:val="single" w:sz="4" w:space="0" w:color="auto"/>
              <w:bottom w:val="single" w:sz="4" w:space="0" w:color="auto"/>
              <w:right w:val="single" w:sz="4" w:space="0" w:color="auto"/>
            </w:tcBorders>
          </w:tcPr>
          <w:p w14:paraId="636E0514" w14:textId="77777777" w:rsidR="00D73E41" w:rsidRPr="000665B0" w:rsidRDefault="00D73E41" w:rsidP="009570CA">
            <w:pPr>
              <w:autoSpaceDE w:val="0"/>
              <w:autoSpaceDN w:val="0"/>
              <w:adjustRightInd w:val="0"/>
              <w:spacing w:after="0" w:line="240" w:lineRule="auto"/>
              <w:rPr>
                <w:rFonts w:ascii="Arial" w:hAnsi="Arial" w:cs="Arial"/>
                <w:sz w:val="20"/>
              </w:rPr>
            </w:pPr>
            <w:r w:rsidRPr="000665B0">
              <w:rPr>
                <w:rFonts w:ascii="Arial" w:hAnsi="Arial" w:cs="Arial"/>
                <w:sz w:val="20"/>
              </w:rPr>
              <w:t>Target Area</w:t>
            </w:r>
          </w:p>
        </w:tc>
        <w:tc>
          <w:tcPr>
            <w:tcW w:w="1980" w:type="dxa"/>
            <w:tcBorders>
              <w:top w:val="single" w:sz="4" w:space="0" w:color="auto"/>
              <w:left w:val="single" w:sz="4" w:space="0" w:color="auto"/>
              <w:bottom w:val="single" w:sz="4" w:space="0" w:color="auto"/>
              <w:right w:val="single" w:sz="4" w:space="0" w:color="auto"/>
            </w:tcBorders>
          </w:tcPr>
          <w:p w14:paraId="0EC5CE60" w14:textId="77777777" w:rsidR="00D73E41" w:rsidRPr="000665B0" w:rsidRDefault="00D73E41" w:rsidP="009570CA">
            <w:pPr>
              <w:autoSpaceDE w:val="0"/>
              <w:autoSpaceDN w:val="0"/>
              <w:adjustRightInd w:val="0"/>
              <w:spacing w:after="0" w:line="240" w:lineRule="auto"/>
              <w:rPr>
                <w:rFonts w:ascii="Arial" w:hAnsi="Arial" w:cs="Arial"/>
                <w:sz w:val="20"/>
              </w:rPr>
            </w:pPr>
            <w:r w:rsidRPr="000665B0">
              <w:rPr>
                <w:rFonts w:ascii="Arial" w:hAnsi="Arial" w:cs="Arial"/>
                <w:sz w:val="20"/>
              </w:rPr>
              <w:t>No restrictions</w:t>
            </w:r>
          </w:p>
        </w:tc>
        <w:tc>
          <w:tcPr>
            <w:tcW w:w="1620" w:type="dxa"/>
            <w:tcBorders>
              <w:top w:val="single" w:sz="4" w:space="0" w:color="auto"/>
              <w:left w:val="single" w:sz="4" w:space="0" w:color="auto"/>
              <w:bottom w:val="single" w:sz="4" w:space="0" w:color="auto"/>
              <w:right w:val="single" w:sz="4" w:space="0" w:color="auto"/>
            </w:tcBorders>
          </w:tcPr>
          <w:p w14:paraId="558AE0E3" w14:textId="77777777" w:rsidR="00D73E41" w:rsidRPr="000665B0" w:rsidRDefault="00D73E41" w:rsidP="009570CA">
            <w:pPr>
              <w:autoSpaceDE w:val="0"/>
              <w:autoSpaceDN w:val="0"/>
              <w:adjustRightInd w:val="0"/>
              <w:spacing w:after="0" w:line="240" w:lineRule="auto"/>
              <w:rPr>
                <w:rFonts w:ascii="Arial" w:hAnsi="Arial" w:cs="Arial"/>
                <w:sz w:val="20"/>
              </w:rPr>
            </w:pPr>
            <w:r w:rsidRPr="000665B0">
              <w:rPr>
                <w:rFonts w:ascii="Arial" w:hAnsi="Arial" w:cs="Arial"/>
                <w:sz w:val="20"/>
              </w:rPr>
              <w:t>N/A</w:t>
            </w:r>
          </w:p>
        </w:tc>
        <w:tc>
          <w:tcPr>
            <w:tcW w:w="1980" w:type="dxa"/>
            <w:tcBorders>
              <w:top w:val="single" w:sz="4" w:space="0" w:color="auto"/>
              <w:left w:val="single" w:sz="4" w:space="0" w:color="auto"/>
              <w:bottom w:val="single" w:sz="4" w:space="0" w:color="auto"/>
              <w:right w:val="single" w:sz="4" w:space="0" w:color="auto"/>
            </w:tcBorders>
          </w:tcPr>
          <w:p w14:paraId="4BE23E27" w14:textId="77777777" w:rsidR="00D73E41" w:rsidRPr="000665B0" w:rsidRDefault="00D73E41" w:rsidP="009570CA">
            <w:pPr>
              <w:autoSpaceDE w:val="0"/>
              <w:autoSpaceDN w:val="0"/>
              <w:adjustRightInd w:val="0"/>
              <w:spacing w:after="0" w:line="240" w:lineRule="auto"/>
              <w:rPr>
                <w:rFonts w:ascii="Arial" w:hAnsi="Arial" w:cs="Arial"/>
                <w:sz w:val="20"/>
              </w:rPr>
            </w:pPr>
            <w:r w:rsidRPr="000665B0">
              <w:rPr>
                <w:rFonts w:ascii="Arial" w:hAnsi="Arial" w:cs="Arial"/>
                <w:sz w:val="20"/>
              </w:rPr>
              <w:t>N/A</w:t>
            </w:r>
          </w:p>
        </w:tc>
        <w:tc>
          <w:tcPr>
            <w:tcW w:w="2340" w:type="dxa"/>
            <w:tcBorders>
              <w:top w:val="single" w:sz="4" w:space="0" w:color="auto"/>
              <w:left w:val="single" w:sz="4" w:space="0" w:color="auto"/>
              <w:bottom w:val="single" w:sz="4" w:space="0" w:color="auto"/>
              <w:right w:val="single" w:sz="4" w:space="0" w:color="auto"/>
            </w:tcBorders>
          </w:tcPr>
          <w:p w14:paraId="41774844" w14:textId="77777777" w:rsidR="00D73E41" w:rsidRPr="000665B0" w:rsidRDefault="00D73E41" w:rsidP="009570CA">
            <w:pPr>
              <w:autoSpaceDE w:val="0"/>
              <w:autoSpaceDN w:val="0"/>
              <w:adjustRightInd w:val="0"/>
              <w:spacing w:after="0" w:line="240" w:lineRule="auto"/>
              <w:rPr>
                <w:rFonts w:ascii="Arial" w:hAnsi="Arial" w:cs="Arial"/>
                <w:sz w:val="20"/>
              </w:rPr>
            </w:pPr>
            <w:r w:rsidRPr="000665B0">
              <w:rPr>
                <w:rFonts w:ascii="Arial" w:hAnsi="Arial" w:cs="Arial"/>
                <w:sz w:val="20"/>
              </w:rPr>
              <w:t>N/A</w:t>
            </w:r>
          </w:p>
        </w:tc>
      </w:tr>
    </w:tbl>
    <w:p w14:paraId="0DF6C2B9" w14:textId="282C17CD" w:rsidR="003B2EFC" w:rsidRPr="000665B0" w:rsidRDefault="003B2EFC" w:rsidP="006D5A65">
      <w:pPr>
        <w:pStyle w:val="Heading1"/>
        <w:rPr>
          <w:szCs w:val="24"/>
        </w:rPr>
      </w:pPr>
      <w:r w:rsidRPr="000665B0">
        <w:rPr>
          <w:szCs w:val="24"/>
        </w:rPr>
        <w:t xml:space="preserve">Country </w:t>
      </w:r>
      <w:r w:rsidRPr="000665B0">
        <w:t>(Optional Field)</w:t>
      </w:r>
      <w:r w:rsidRPr="000665B0">
        <w:rPr>
          <w:szCs w:val="24"/>
        </w:rPr>
        <w:t xml:space="preserve"> – </w:t>
      </w:r>
      <w:r w:rsidR="004F7CA5" w:rsidRPr="000665B0">
        <w:t xml:space="preserve">The standard Country Code and country name from the </w:t>
      </w:r>
      <w:r w:rsidR="004F7CA5" w:rsidRPr="000665B0">
        <w:rPr>
          <w:szCs w:val="24"/>
        </w:rPr>
        <w:t>CountryDB</w:t>
      </w:r>
      <w:r w:rsidR="004F7CA5" w:rsidRPr="000665B0">
        <w:t xml:space="preserve"> that identifies the principal country </w:t>
      </w:r>
      <w:r w:rsidR="004F7CA5" w:rsidRPr="000665B0">
        <w:rPr>
          <w:szCs w:val="24"/>
        </w:rPr>
        <w:t>underlying the ACMS</w:t>
      </w:r>
      <w:r w:rsidR="004F7CA5" w:rsidRPr="000665B0">
        <w:t xml:space="preserve">. </w:t>
      </w:r>
      <w:r w:rsidR="00E16DAF" w:rsidRPr="000665B0">
        <w:t xml:space="preserve">For information about the selection and display of Country Codes and country names during system operation, see </w:t>
      </w:r>
      <w:hyperlink w:anchor="_Appendix_C__Country_Codes__(SORTED__1" w:history="1">
        <w:r w:rsidR="00E16DAF" w:rsidRPr="000665B0">
          <w:rPr>
            <w:rStyle w:val="Hyperlink"/>
          </w:rPr>
          <w:t>Appendix C</w:t>
        </w:r>
      </w:hyperlink>
      <w:r w:rsidR="00E16DAF" w:rsidRPr="000665B0">
        <w:t>.</w:t>
      </w:r>
      <w:r w:rsidR="004F7CA5" w:rsidRPr="000665B0" w:rsidDel="005059F5">
        <w:t xml:space="preserve"> </w:t>
      </w:r>
    </w:p>
    <w:p w14:paraId="4E98DFA4" w14:textId="77777777" w:rsidR="001F7573" w:rsidRPr="000665B0" w:rsidRDefault="001F7573" w:rsidP="006D5A65">
      <w:pPr>
        <w:pStyle w:val="Heading1"/>
      </w:pPr>
      <w:r w:rsidRPr="000665B0">
        <w:t>Associated Launch Area (FPPWP Types only, Optional Field) – This field is displayed when the ACMS Type is changed to FPPWP. Select the ACMS Launch Area to associate with the FPPWP.</w:t>
      </w:r>
    </w:p>
    <w:p w14:paraId="59C86567" w14:textId="77777777" w:rsidR="001F7573" w:rsidRPr="000665B0" w:rsidRDefault="001F7573" w:rsidP="006D5A65">
      <w:pPr>
        <w:pStyle w:val="Heading1"/>
      </w:pPr>
      <w:r w:rsidRPr="000665B0">
        <w:t>FPPWP Code (</w:t>
      </w:r>
      <w:r w:rsidRPr="000665B0">
        <w:rPr>
          <w:szCs w:val="24"/>
        </w:rPr>
        <w:t xml:space="preserve">FPPWP Types only, </w:t>
      </w:r>
      <w:r w:rsidRPr="000665B0">
        <w:t>Optional Field) – This field is displayed when the ACMS Type is changed to FPPWP.</w:t>
      </w:r>
    </w:p>
    <w:p w14:paraId="77E6FD8D" w14:textId="77777777" w:rsidR="001F7573" w:rsidRPr="000665B0" w:rsidRDefault="001F7573" w:rsidP="006D5A65">
      <w:pPr>
        <w:pStyle w:val="Heading1"/>
      </w:pPr>
      <w:r w:rsidRPr="000665B0">
        <w:t xml:space="preserve">Launch Area Code (Launch Area Types only, Optional Field) – This field is displayed when the ACMS Type is changed to Launch Area. </w:t>
      </w:r>
    </w:p>
    <w:p w14:paraId="739A01F5" w14:textId="77777777" w:rsidR="00D0334C" w:rsidRPr="000665B0" w:rsidRDefault="001F7573" w:rsidP="006D5A65">
      <w:pPr>
        <w:pStyle w:val="Heading1"/>
      </w:pPr>
      <w:r w:rsidRPr="000665B0">
        <w:t>Description (Optional Field) – Describes the ACMS.</w:t>
      </w:r>
    </w:p>
    <w:p w14:paraId="7649F808" w14:textId="77777777" w:rsidR="001F7573" w:rsidRPr="000665B0" w:rsidRDefault="001F7573" w:rsidP="006D5A65">
      <w:pPr>
        <w:pStyle w:val="Heading1"/>
      </w:pPr>
      <w:r w:rsidRPr="000665B0">
        <w:t xml:space="preserve">Effective Period – An ACMS effective period is a time period for which an ACMS is considered to be “In Effect.” An ACMS can have multiple effective periods. The effective period is used for deconfliction processing for an ACMS of type Prohibited </w:t>
      </w:r>
      <w:r w:rsidRPr="000665B0">
        <w:lastRenderedPageBreak/>
        <w:t>Area during Strike Option Analysis. An ACMS is considered “In Effect” if:</w:t>
      </w:r>
    </w:p>
    <w:p w14:paraId="0EBD37A1" w14:textId="454070D7" w:rsidR="00294FEE" w:rsidRPr="000665B0" w:rsidRDefault="001F7573" w:rsidP="006D5A65">
      <w:pPr>
        <w:pStyle w:val="Heading1"/>
      </w:pPr>
      <w:r w:rsidRPr="000665B0">
        <w:t>Start DTG ≤ reference time &lt; End DTG</w:t>
      </w:r>
      <w:r w:rsidR="00B14249" w:rsidRPr="000665B0">
        <w:t>,</w:t>
      </w:r>
    </w:p>
    <w:p w14:paraId="0C0BE48C" w14:textId="5435BC2D" w:rsidR="00294FEE" w:rsidRPr="000665B0" w:rsidRDefault="001F7573" w:rsidP="006D5A65">
      <w:pPr>
        <w:pStyle w:val="Heading1"/>
      </w:pPr>
      <w:r w:rsidRPr="000665B0">
        <w:t>or Start DTG ≤ reference time AND End DTG does not exist</w:t>
      </w:r>
      <w:r w:rsidR="00B14249" w:rsidRPr="000665B0">
        <w:t>,</w:t>
      </w:r>
    </w:p>
    <w:p w14:paraId="3F4B8628" w14:textId="2C80DC8C" w:rsidR="00D52741" w:rsidRPr="000665B0" w:rsidRDefault="001F7573" w:rsidP="006D5A65">
      <w:pPr>
        <w:pStyle w:val="Heading1"/>
      </w:pPr>
      <w:r w:rsidRPr="000665B0">
        <w:t xml:space="preserve">or </w:t>
      </w:r>
      <w:r w:rsidR="00D52741" w:rsidRPr="000665B0">
        <w:t>Start DTG does not exist AND reference time &lt; End DTG</w:t>
      </w:r>
      <w:r w:rsidR="00B14249" w:rsidRPr="000665B0">
        <w:t>,</w:t>
      </w:r>
    </w:p>
    <w:p w14:paraId="4F668851" w14:textId="77777777" w:rsidR="00F4267F" w:rsidRPr="000665B0" w:rsidRDefault="001F7573" w:rsidP="006D5A65">
      <w:pPr>
        <w:pStyle w:val="Heading1"/>
      </w:pPr>
      <w:r w:rsidRPr="000665B0">
        <w:t xml:space="preserve">or </w:t>
      </w:r>
      <w:r w:rsidR="00AF6111" w:rsidRPr="000665B0">
        <w:t xml:space="preserve">there </w:t>
      </w:r>
      <w:r w:rsidR="00D52741" w:rsidRPr="000665B0">
        <w:t xml:space="preserve">are no effective periods </w:t>
      </w:r>
      <w:r w:rsidR="00F4267F" w:rsidRPr="000665B0">
        <w:t>defined</w:t>
      </w:r>
      <w:r w:rsidR="00AF6111" w:rsidRPr="000665B0">
        <w:t>.</w:t>
      </w:r>
    </w:p>
    <w:p w14:paraId="2B8878D3" w14:textId="6699A44C" w:rsidR="00F4267F" w:rsidRPr="000665B0" w:rsidRDefault="00F4267F" w:rsidP="009570CA">
      <w:pPr>
        <w:ind w:left="1080"/>
      </w:pPr>
      <w:r w:rsidRPr="000665B0">
        <w:t>To define an Effective Period, right</w:t>
      </w:r>
      <w:r w:rsidR="00B14249" w:rsidRPr="000665B0">
        <w:t>-</w:t>
      </w:r>
      <w:r w:rsidRPr="000665B0">
        <w:t xml:space="preserve">click in the blank area of the </w:t>
      </w:r>
      <w:r w:rsidRPr="000665B0">
        <w:rPr>
          <w:b/>
        </w:rPr>
        <w:t>Effective Period</w:t>
      </w:r>
      <w:r w:rsidRPr="000665B0">
        <w:t xml:space="preserve"> pane and select </w:t>
      </w:r>
      <w:r w:rsidRPr="000665B0">
        <w:rPr>
          <w:b/>
        </w:rPr>
        <w:t>Add</w:t>
      </w:r>
      <w:r w:rsidRPr="000665B0">
        <w:t xml:space="preserve">. Enter Start/End dates in the </w:t>
      </w:r>
      <w:r w:rsidRPr="000665B0">
        <w:rPr>
          <w:i/>
        </w:rPr>
        <w:t>Add Effective Period</w:t>
      </w:r>
      <w:r w:rsidRPr="000665B0">
        <w:t xml:space="preserve"> window and click </w:t>
      </w:r>
      <w:r w:rsidRPr="000665B0">
        <w:rPr>
          <w:b/>
        </w:rPr>
        <w:t>OK</w:t>
      </w:r>
      <w:r w:rsidRPr="000665B0">
        <w:t>.</w:t>
      </w:r>
    </w:p>
    <w:p w14:paraId="2D8FF19F" w14:textId="5C9F8AA2" w:rsidR="00F4267F" w:rsidRPr="000665B0" w:rsidRDefault="00F167CA" w:rsidP="009570CA">
      <w:pPr>
        <w:spacing w:after="240"/>
        <w:jc w:val="center"/>
      </w:pPr>
      <w:r w:rsidRPr="000665B0">
        <w:rPr>
          <w:noProof/>
        </w:rPr>
        <w:drawing>
          <wp:inline distT="0" distB="0" distL="0" distR="0" wp14:anchorId="2794D883" wp14:editId="5BCEB02B">
            <wp:extent cx="4572000" cy="795528"/>
            <wp:effectExtent l="0" t="0" r="0" b="5080"/>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795528"/>
                    </a:xfrm>
                    <a:prstGeom prst="rect">
                      <a:avLst/>
                    </a:prstGeom>
                  </pic:spPr>
                </pic:pic>
              </a:graphicData>
            </a:graphic>
          </wp:inline>
        </w:drawing>
      </w:r>
    </w:p>
    <w:p w14:paraId="063538BB" w14:textId="6F965F29" w:rsidR="00F4267F" w:rsidRPr="000665B0" w:rsidRDefault="00F167CA" w:rsidP="006E72D1">
      <w:pPr>
        <w:jc w:val="center"/>
      </w:pPr>
      <w:r w:rsidRPr="000665B0">
        <w:rPr>
          <w:noProof/>
        </w:rPr>
        <w:drawing>
          <wp:inline distT="0" distB="0" distL="0" distR="0" wp14:anchorId="22FFAFB6" wp14:editId="2C1FF7A0">
            <wp:extent cx="1828800" cy="859536"/>
            <wp:effectExtent l="0" t="0" r="0" b="0"/>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859536"/>
                    </a:xfrm>
                    <a:prstGeom prst="rect">
                      <a:avLst/>
                    </a:prstGeom>
                  </pic:spPr>
                </pic:pic>
              </a:graphicData>
            </a:graphic>
          </wp:inline>
        </w:drawing>
      </w:r>
    </w:p>
    <w:p w14:paraId="42CE1ADA" w14:textId="77777777" w:rsidR="00B63603" w:rsidRPr="000665B0" w:rsidRDefault="00B63603" w:rsidP="006D5A65">
      <w:pPr>
        <w:pStyle w:val="Heading1"/>
      </w:pPr>
      <w:r w:rsidRPr="000665B0">
        <w:t xml:space="preserve">Area Of Validity (Optional Field) – Describes the area of authority related to an ACO. See USMTF Message 2000 for more information. </w:t>
      </w:r>
    </w:p>
    <w:p w14:paraId="77E8EA85" w14:textId="77777777" w:rsidR="00294FEE" w:rsidRPr="000665B0" w:rsidRDefault="00294FEE" w:rsidP="006D5A65">
      <w:pPr>
        <w:pStyle w:val="Heading1"/>
      </w:pPr>
      <w:r w:rsidRPr="000665B0">
        <w:t xml:space="preserve">Control Authority Name (Optional Field) – The agency that will control the airspace control means. See USMTF Message 2000 for more information. </w:t>
      </w:r>
    </w:p>
    <w:p w14:paraId="3D79DB8A" w14:textId="77777777" w:rsidR="00294FEE" w:rsidRPr="000665B0" w:rsidRDefault="00294FEE" w:rsidP="006D5A65">
      <w:pPr>
        <w:pStyle w:val="Heading1"/>
      </w:pPr>
      <w:r w:rsidRPr="000665B0">
        <w:t xml:space="preserve">Control Authority Freq (Optional Field) – The contact information for the control authority. See USMTF Message 2000 for more information. </w:t>
      </w:r>
    </w:p>
    <w:p w14:paraId="06E81447" w14:textId="77777777" w:rsidR="00B63603" w:rsidRPr="000665B0" w:rsidRDefault="00B63603" w:rsidP="006D5A65">
      <w:pPr>
        <w:pStyle w:val="Heading1"/>
      </w:pPr>
      <w:r w:rsidRPr="000665B0">
        <w:t>Vertical Dimension (Optional Field) – The vertical dimensions of the Airspace Control Means. See USMTF Message 2000 for more information.</w:t>
      </w:r>
    </w:p>
    <w:p w14:paraId="105EA4CA" w14:textId="77777777" w:rsidR="00294FEE" w:rsidRPr="000665B0" w:rsidRDefault="00294FEE" w:rsidP="006D5A65">
      <w:pPr>
        <w:pStyle w:val="Heading1"/>
      </w:pPr>
      <w:r w:rsidRPr="000665B0">
        <w:t xml:space="preserve">ACM Identifier (Optional Field) – Unique identifier for the Airspace Control Means. See USMTF Message 2000 for more information. </w:t>
      </w:r>
    </w:p>
    <w:p w14:paraId="19E48751" w14:textId="2C0195E7" w:rsidR="00294FEE" w:rsidRPr="000665B0" w:rsidRDefault="00294FEE" w:rsidP="006D5A65">
      <w:pPr>
        <w:pStyle w:val="Heading1"/>
      </w:pPr>
      <w:r w:rsidRPr="000665B0">
        <w:t>ACM Type (Optional Field) – Type of Airspace. See USMTF Message 2000 for more information.</w:t>
      </w:r>
      <w:r w:rsidR="009651B0">
        <w:t xml:space="preserve"> </w:t>
      </w:r>
    </w:p>
    <w:p w14:paraId="6F27EF29" w14:textId="77777777" w:rsidR="00294FEE" w:rsidRPr="000665B0" w:rsidRDefault="00294FEE" w:rsidP="006D5A65">
      <w:pPr>
        <w:pStyle w:val="Heading1"/>
      </w:pPr>
      <w:r w:rsidRPr="000665B0">
        <w:t xml:space="preserve">Serial Number (Optional Field) – Serial number associated with Airspace. See USMTF Message 2000 for more information. </w:t>
      </w:r>
    </w:p>
    <w:p w14:paraId="6A0EF5B2" w14:textId="77777777" w:rsidR="00B63603" w:rsidRPr="000665B0" w:rsidRDefault="00B63603" w:rsidP="006D5A65">
      <w:pPr>
        <w:pStyle w:val="Heading1"/>
      </w:pPr>
      <w:r w:rsidRPr="000665B0">
        <w:t xml:space="preserve">Add a geographic object describing the location and shape of the ACMS into the ACMS object list. Only one object is allowed per ACMS. Objects may be assigned by manually </w:t>
      </w:r>
      <w:r w:rsidRPr="000665B0">
        <w:lastRenderedPageBreak/>
        <w:t>specifying attribute values, or by drawing them on the map display.</w:t>
      </w:r>
    </w:p>
    <w:p w14:paraId="5AF4ACF7" w14:textId="77777777" w:rsidR="00B63603" w:rsidRPr="000665B0" w:rsidRDefault="00B63603" w:rsidP="009570CA">
      <w:pPr>
        <w:keepNext/>
        <w:spacing w:line="240" w:lineRule="auto"/>
        <w:ind w:left="720"/>
        <w:rPr>
          <w:szCs w:val="24"/>
        </w:rPr>
      </w:pPr>
      <w:r w:rsidRPr="000665B0">
        <w:rPr>
          <w:bCs/>
          <w:szCs w:val="24"/>
        </w:rPr>
        <w:t xml:space="preserve">The following are acceptable ACMS Geographic Object Types for each ACMS Type: </w:t>
      </w:r>
    </w:p>
    <w:tbl>
      <w:tblPr>
        <w:tblW w:w="4948" w:type="pct"/>
        <w:tblInd w:w="108" w:type="dxa"/>
        <w:tblLayout w:type="fixed"/>
        <w:tblCellMar>
          <w:left w:w="0" w:type="dxa"/>
          <w:right w:w="0" w:type="dxa"/>
        </w:tblCellMar>
        <w:tblLook w:val="0000" w:firstRow="0" w:lastRow="0" w:firstColumn="0" w:lastColumn="0" w:noHBand="0" w:noVBand="0"/>
      </w:tblPr>
      <w:tblGrid>
        <w:gridCol w:w="1729"/>
        <w:gridCol w:w="943"/>
        <w:gridCol w:w="1078"/>
        <w:gridCol w:w="810"/>
        <w:gridCol w:w="1261"/>
        <w:gridCol w:w="900"/>
        <w:gridCol w:w="810"/>
        <w:gridCol w:w="1712"/>
      </w:tblGrid>
      <w:tr w:rsidR="00B63603" w:rsidRPr="000665B0" w14:paraId="53304E94" w14:textId="77777777" w:rsidTr="00C63237">
        <w:trPr>
          <w:trHeight w:val="255"/>
        </w:trPr>
        <w:tc>
          <w:tcPr>
            <w:tcW w:w="936" w:type="pct"/>
            <w:vMerge w:val="restart"/>
            <w:tcBorders>
              <w:top w:val="single" w:sz="8" w:space="0" w:color="auto"/>
              <w:left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bottom"/>
          </w:tcPr>
          <w:p w14:paraId="779C70DE" w14:textId="77777777" w:rsidR="00B63603" w:rsidRPr="000665B0" w:rsidRDefault="00B63603" w:rsidP="009570CA">
            <w:pPr>
              <w:keepNext/>
              <w:spacing w:after="0" w:line="240" w:lineRule="auto"/>
              <w:jc w:val="center"/>
              <w:rPr>
                <w:rFonts w:ascii="Arial" w:hAnsi="Arial" w:cs="Arial"/>
                <w:b/>
                <w:bCs/>
                <w:sz w:val="22"/>
                <w:szCs w:val="22"/>
              </w:rPr>
            </w:pPr>
            <w:r w:rsidRPr="000665B0">
              <w:rPr>
                <w:rFonts w:ascii="Arial" w:hAnsi="Arial" w:cs="Arial"/>
                <w:b/>
                <w:bCs/>
                <w:sz w:val="22"/>
                <w:szCs w:val="22"/>
              </w:rPr>
              <w:t>ACMS Type</w:t>
            </w:r>
          </w:p>
        </w:tc>
        <w:tc>
          <w:tcPr>
            <w:tcW w:w="4064" w:type="pct"/>
            <w:gridSpan w:val="7"/>
            <w:tcBorders>
              <w:top w:val="single" w:sz="8" w:space="0" w:color="auto"/>
              <w:left w:val="nil"/>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bottom"/>
          </w:tcPr>
          <w:p w14:paraId="47A2FF7E" w14:textId="77777777" w:rsidR="00B63603" w:rsidRPr="000665B0" w:rsidRDefault="00B63603" w:rsidP="009570CA">
            <w:pPr>
              <w:keepNext/>
              <w:spacing w:after="0" w:line="240" w:lineRule="auto"/>
              <w:jc w:val="center"/>
              <w:rPr>
                <w:rFonts w:ascii="Arial" w:hAnsi="Arial" w:cs="Arial"/>
                <w:b/>
                <w:bCs/>
                <w:sz w:val="22"/>
                <w:szCs w:val="22"/>
              </w:rPr>
            </w:pPr>
            <w:r w:rsidRPr="000665B0">
              <w:rPr>
                <w:rFonts w:ascii="Arial" w:hAnsi="Arial" w:cs="Arial"/>
                <w:b/>
                <w:bCs/>
                <w:sz w:val="22"/>
                <w:szCs w:val="22"/>
              </w:rPr>
              <w:t>ACMS Geographic Object Type</w:t>
            </w:r>
          </w:p>
        </w:tc>
      </w:tr>
      <w:tr w:rsidR="009C0732" w:rsidRPr="000665B0" w14:paraId="41EACFBB" w14:textId="77777777" w:rsidTr="00C63237">
        <w:trPr>
          <w:trHeight w:val="255"/>
        </w:trPr>
        <w:tc>
          <w:tcPr>
            <w:tcW w:w="936" w:type="pct"/>
            <w:vMerge/>
            <w:tcBorders>
              <w:left w:val="single" w:sz="8" w:space="0" w:color="auto"/>
              <w:bottom w:val="single" w:sz="8" w:space="0" w:color="auto"/>
              <w:right w:val="single" w:sz="8" w:space="0" w:color="auto"/>
            </w:tcBorders>
            <w:noWrap/>
            <w:tcMar>
              <w:top w:w="0" w:type="dxa"/>
              <w:left w:w="108" w:type="dxa"/>
              <w:bottom w:w="0" w:type="dxa"/>
              <w:right w:w="108" w:type="dxa"/>
            </w:tcMar>
            <w:vAlign w:val="bottom"/>
          </w:tcPr>
          <w:p w14:paraId="7F435A61" w14:textId="77777777" w:rsidR="00B63603" w:rsidRPr="000665B0" w:rsidRDefault="00B63603" w:rsidP="009570CA">
            <w:pPr>
              <w:keepNext/>
              <w:spacing w:after="0" w:line="240" w:lineRule="auto"/>
              <w:jc w:val="center"/>
              <w:rPr>
                <w:rFonts w:ascii="Arial" w:hAnsi="Arial" w:cs="Arial"/>
                <w:sz w:val="20"/>
              </w:rPr>
            </w:pPr>
          </w:p>
        </w:tc>
        <w:tc>
          <w:tcPr>
            <w:tcW w:w="510" w:type="pct"/>
            <w:tcBorders>
              <w:top w:val="single" w:sz="8" w:space="0" w:color="auto"/>
              <w:left w:val="nil"/>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bottom"/>
          </w:tcPr>
          <w:p w14:paraId="55EF3A8A" w14:textId="77777777" w:rsidR="00B63603" w:rsidRPr="000665B0" w:rsidRDefault="00B63603" w:rsidP="009570CA">
            <w:pPr>
              <w:keepNext/>
              <w:spacing w:after="0" w:line="240" w:lineRule="auto"/>
              <w:jc w:val="center"/>
              <w:rPr>
                <w:rFonts w:ascii="Arial" w:hAnsi="Arial" w:cs="Arial"/>
                <w:sz w:val="22"/>
                <w:szCs w:val="22"/>
              </w:rPr>
            </w:pPr>
            <w:r w:rsidRPr="000665B0">
              <w:rPr>
                <w:rFonts w:ascii="Arial" w:hAnsi="Arial" w:cs="Arial"/>
                <w:b/>
                <w:bCs/>
                <w:sz w:val="22"/>
                <w:szCs w:val="22"/>
              </w:rPr>
              <w:t>Ellipse</w:t>
            </w:r>
          </w:p>
        </w:tc>
        <w:tc>
          <w:tcPr>
            <w:tcW w:w="583" w:type="pct"/>
            <w:tcBorders>
              <w:top w:val="single" w:sz="8" w:space="0" w:color="auto"/>
              <w:left w:val="nil"/>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bottom"/>
          </w:tcPr>
          <w:p w14:paraId="55A5B159" w14:textId="77777777" w:rsidR="00B63603" w:rsidRPr="000665B0" w:rsidRDefault="00B63603" w:rsidP="009570CA">
            <w:pPr>
              <w:keepNext/>
              <w:spacing w:after="0" w:line="240" w:lineRule="auto"/>
              <w:jc w:val="center"/>
              <w:rPr>
                <w:rFonts w:ascii="Arial" w:hAnsi="Arial" w:cs="Arial"/>
                <w:sz w:val="22"/>
                <w:szCs w:val="22"/>
              </w:rPr>
            </w:pPr>
            <w:r w:rsidRPr="000665B0">
              <w:rPr>
                <w:rFonts w:ascii="Arial" w:hAnsi="Arial" w:cs="Arial"/>
                <w:b/>
                <w:bCs/>
                <w:sz w:val="22"/>
                <w:szCs w:val="22"/>
              </w:rPr>
              <w:t>FPPWP</w:t>
            </w:r>
          </w:p>
        </w:tc>
        <w:tc>
          <w:tcPr>
            <w:tcW w:w="438" w:type="pct"/>
            <w:tcBorders>
              <w:top w:val="single" w:sz="8" w:space="0" w:color="auto"/>
              <w:left w:val="nil"/>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bottom"/>
          </w:tcPr>
          <w:p w14:paraId="50918EC7" w14:textId="77777777" w:rsidR="00B63603" w:rsidRPr="000665B0" w:rsidRDefault="00B63603" w:rsidP="009570CA">
            <w:pPr>
              <w:keepNext/>
              <w:spacing w:after="0" w:line="240" w:lineRule="auto"/>
              <w:jc w:val="center"/>
              <w:rPr>
                <w:rFonts w:ascii="Arial" w:hAnsi="Arial" w:cs="Arial"/>
                <w:sz w:val="22"/>
                <w:szCs w:val="22"/>
              </w:rPr>
            </w:pPr>
            <w:r w:rsidRPr="000665B0">
              <w:rPr>
                <w:rFonts w:ascii="Arial" w:hAnsi="Arial" w:cs="Arial"/>
                <w:b/>
                <w:bCs/>
                <w:sz w:val="22"/>
                <w:szCs w:val="22"/>
              </w:rPr>
              <w:t>PLP</w:t>
            </w:r>
          </w:p>
        </w:tc>
        <w:tc>
          <w:tcPr>
            <w:tcW w:w="682" w:type="pct"/>
            <w:tcBorders>
              <w:top w:val="single" w:sz="8" w:space="0" w:color="auto"/>
              <w:left w:val="nil"/>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bottom"/>
          </w:tcPr>
          <w:p w14:paraId="7B1F5443" w14:textId="77777777" w:rsidR="00B63603" w:rsidRPr="000665B0" w:rsidRDefault="00B63603" w:rsidP="009570CA">
            <w:pPr>
              <w:keepNext/>
              <w:spacing w:after="0" w:line="240" w:lineRule="auto"/>
              <w:jc w:val="center"/>
              <w:rPr>
                <w:rFonts w:ascii="Arial" w:hAnsi="Arial" w:cs="Arial"/>
                <w:b/>
                <w:bCs/>
                <w:sz w:val="22"/>
                <w:szCs w:val="22"/>
              </w:rPr>
            </w:pPr>
            <w:r w:rsidRPr="000665B0">
              <w:rPr>
                <w:rFonts w:ascii="Arial" w:hAnsi="Arial" w:cs="Arial"/>
                <w:b/>
                <w:bCs/>
                <w:sz w:val="22"/>
                <w:szCs w:val="22"/>
              </w:rPr>
              <w:t>Polygon</w:t>
            </w:r>
          </w:p>
          <w:p w14:paraId="7BF084B9" w14:textId="77777777" w:rsidR="00B63603" w:rsidRPr="000665B0" w:rsidRDefault="00B63603" w:rsidP="009570CA">
            <w:pPr>
              <w:keepNext/>
              <w:spacing w:after="0" w:line="240" w:lineRule="auto"/>
              <w:jc w:val="center"/>
              <w:rPr>
                <w:rFonts w:ascii="Arial" w:hAnsi="Arial" w:cs="Arial"/>
                <w:sz w:val="22"/>
                <w:szCs w:val="22"/>
              </w:rPr>
            </w:pPr>
            <w:r w:rsidRPr="000665B0">
              <w:rPr>
                <w:rFonts w:ascii="Arial" w:hAnsi="Arial" w:cs="Arial"/>
                <w:b/>
                <w:bCs/>
                <w:sz w:val="22"/>
                <w:szCs w:val="22"/>
              </w:rPr>
              <w:t>(3-250 pts)</w:t>
            </w:r>
          </w:p>
        </w:tc>
        <w:tc>
          <w:tcPr>
            <w:tcW w:w="487" w:type="pct"/>
            <w:tcBorders>
              <w:top w:val="single" w:sz="8" w:space="0" w:color="auto"/>
              <w:left w:val="nil"/>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bottom"/>
          </w:tcPr>
          <w:p w14:paraId="5520AD1C" w14:textId="2C8E6A96" w:rsidR="00B63603" w:rsidRPr="000665B0" w:rsidRDefault="00B63603" w:rsidP="009570CA">
            <w:pPr>
              <w:keepNext/>
              <w:spacing w:after="0" w:line="240" w:lineRule="auto"/>
              <w:jc w:val="center"/>
              <w:rPr>
                <w:rFonts w:ascii="Arial" w:hAnsi="Arial" w:cs="Arial"/>
                <w:sz w:val="22"/>
                <w:szCs w:val="22"/>
              </w:rPr>
            </w:pPr>
            <w:r w:rsidRPr="000665B0">
              <w:rPr>
                <w:rFonts w:ascii="Arial" w:hAnsi="Arial" w:cs="Arial"/>
                <w:b/>
                <w:bCs/>
                <w:sz w:val="22"/>
                <w:szCs w:val="22"/>
              </w:rPr>
              <w:t>Rec</w:t>
            </w:r>
            <w:r w:rsidR="009C0732" w:rsidRPr="000665B0">
              <w:rPr>
                <w:rFonts w:ascii="Arial" w:hAnsi="Arial" w:cs="Arial"/>
                <w:b/>
                <w:bCs/>
                <w:sz w:val="22"/>
                <w:szCs w:val="22"/>
              </w:rPr>
              <w:t>-</w:t>
            </w:r>
            <w:r w:rsidR="009C0732" w:rsidRPr="000665B0">
              <w:rPr>
                <w:rFonts w:ascii="Arial" w:hAnsi="Arial" w:cs="Arial"/>
                <w:b/>
                <w:bCs/>
                <w:sz w:val="22"/>
                <w:szCs w:val="22"/>
              </w:rPr>
              <w:br/>
            </w:r>
            <w:r w:rsidRPr="000665B0">
              <w:rPr>
                <w:rFonts w:ascii="Arial" w:hAnsi="Arial" w:cs="Arial"/>
                <w:b/>
                <w:bCs/>
                <w:sz w:val="22"/>
                <w:szCs w:val="22"/>
              </w:rPr>
              <w:t>tangle</w:t>
            </w:r>
          </w:p>
        </w:tc>
        <w:tc>
          <w:tcPr>
            <w:tcW w:w="438" w:type="pct"/>
            <w:tcBorders>
              <w:top w:val="single" w:sz="8" w:space="0" w:color="auto"/>
              <w:left w:val="nil"/>
              <w:bottom w:val="single" w:sz="8" w:space="0" w:color="auto"/>
              <w:right w:val="single" w:sz="8" w:space="0" w:color="auto"/>
            </w:tcBorders>
            <w:shd w:val="clear" w:color="auto" w:fill="D9D9D9" w:themeFill="background1" w:themeFillShade="D9"/>
            <w:vAlign w:val="bottom"/>
          </w:tcPr>
          <w:p w14:paraId="619DE768" w14:textId="77777777" w:rsidR="00B63603" w:rsidRPr="000665B0" w:rsidRDefault="00B63603" w:rsidP="009570CA">
            <w:pPr>
              <w:keepNext/>
              <w:spacing w:after="0" w:line="240" w:lineRule="auto"/>
              <w:jc w:val="center"/>
              <w:rPr>
                <w:rFonts w:ascii="Arial" w:hAnsi="Arial" w:cs="Arial"/>
                <w:b/>
                <w:bCs/>
                <w:sz w:val="22"/>
                <w:szCs w:val="22"/>
              </w:rPr>
            </w:pPr>
            <w:r w:rsidRPr="000665B0">
              <w:rPr>
                <w:rFonts w:ascii="Arial" w:hAnsi="Arial" w:cs="Arial"/>
                <w:b/>
                <w:bCs/>
                <w:sz w:val="22"/>
                <w:szCs w:val="22"/>
              </w:rPr>
              <w:t>Sector</w:t>
            </w:r>
          </w:p>
        </w:tc>
        <w:tc>
          <w:tcPr>
            <w:tcW w:w="926"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bottom"/>
          </w:tcPr>
          <w:p w14:paraId="01C371A1" w14:textId="77777777" w:rsidR="00B63603" w:rsidRPr="000665B0" w:rsidRDefault="00B63603" w:rsidP="009570CA">
            <w:pPr>
              <w:keepNext/>
              <w:spacing w:after="0" w:line="240" w:lineRule="auto"/>
              <w:jc w:val="center"/>
              <w:rPr>
                <w:rFonts w:ascii="Arial" w:hAnsi="Arial" w:cs="Arial"/>
                <w:sz w:val="22"/>
                <w:szCs w:val="22"/>
              </w:rPr>
            </w:pPr>
            <w:r w:rsidRPr="000665B0">
              <w:rPr>
                <w:rFonts w:ascii="Arial" w:hAnsi="Arial" w:cs="Arial"/>
                <w:b/>
                <w:bCs/>
                <w:sz w:val="22"/>
                <w:szCs w:val="22"/>
              </w:rPr>
              <w:t>Other Requirements</w:t>
            </w:r>
          </w:p>
        </w:tc>
      </w:tr>
      <w:tr w:rsidR="00171706" w:rsidRPr="000665B0" w14:paraId="1B6C7E6C" w14:textId="77777777" w:rsidTr="00C63237">
        <w:trPr>
          <w:trHeight w:val="255"/>
        </w:trPr>
        <w:tc>
          <w:tcPr>
            <w:tcW w:w="93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5393F548" w14:textId="7B584C86" w:rsidR="00171706" w:rsidRPr="000665B0" w:rsidRDefault="00171706" w:rsidP="009570CA">
            <w:pPr>
              <w:keepNext/>
              <w:spacing w:after="0" w:line="240" w:lineRule="auto"/>
              <w:rPr>
                <w:rFonts w:ascii="Arial" w:hAnsi="Arial" w:cs="Arial"/>
                <w:b/>
                <w:bCs/>
                <w:sz w:val="20"/>
              </w:rPr>
            </w:pPr>
            <w:r>
              <w:rPr>
                <w:rFonts w:ascii="Arial" w:hAnsi="Arial" w:cs="Arial"/>
                <w:b/>
                <w:bCs/>
                <w:sz w:val="20"/>
              </w:rPr>
              <w:t>Avoidance Area</w:t>
            </w:r>
          </w:p>
        </w:tc>
        <w:tc>
          <w:tcPr>
            <w:tcW w:w="510"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6E35BCF8" w14:textId="09EB5E68" w:rsidR="00171706" w:rsidRPr="000665B0" w:rsidRDefault="00171706" w:rsidP="009570CA">
            <w:pPr>
              <w:keepNext/>
              <w:spacing w:after="0" w:line="240" w:lineRule="auto"/>
              <w:jc w:val="center"/>
              <w:rPr>
                <w:rFonts w:ascii="Arial" w:hAnsi="Arial" w:cs="Arial"/>
                <w:sz w:val="20"/>
              </w:rPr>
            </w:pPr>
            <w:r>
              <w:rPr>
                <w:rFonts w:ascii="Arial" w:hAnsi="Arial" w:cs="Arial"/>
                <w:sz w:val="20"/>
              </w:rPr>
              <w:t>x</w:t>
            </w:r>
          </w:p>
        </w:tc>
        <w:tc>
          <w:tcPr>
            <w:tcW w:w="583"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1E9F72ED" w14:textId="77777777" w:rsidR="00171706" w:rsidRPr="000665B0" w:rsidRDefault="00171706" w:rsidP="009570CA">
            <w:pPr>
              <w:keepNext/>
              <w:spacing w:after="0" w:line="240" w:lineRule="auto"/>
              <w:jc w:val="center"/>
              <w:rPr>
                <w:rFonts w:ascii="Arial" w:hAnsi="Arial" w:cs="Arial"/>
                <w:sz w:val="20"/>
              </w:rPr>
            </w:pPr>
          </w:p>
        </w:tc>
        <w:tc>
          <w:tcPr>
            <w:tcW w:w="438"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6608B940" w14:textId="77777777" w:rsidR="00171706" w:rsidRPr="000665B0" w:rsidRDefault="00171706" w:rsidP="009570CA">
            <w:pPr>
              <w:keepNext/>
              <w:spacing w:after="0" w:line="240" w:lineRule="auto"/>
              <w:jc w:val="center"/>
              <w:rPr>
                <w:rFonts w:ascii="Arial" w:hAnsi="Arial" w:cs="Arial"/>
                <w:sz w:val="20"/>
              </w:rPr>
            </w:pPr>
          </w:p>
        </w:tc>
        <w:tc>
          <w:tcPr>
            <w:tcW w:w="682"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77B7AD34" w14:textId="77777777" w:rsidR="00171706" w:rsidRPr="000665B0" w:rsidRDefault="00171706" w:rsidP="009570CA">
            <w:pPr>
              <w:keepNext/>
              <w:spacing w:after="0" w:line="240" w:lineRule="auto"/>
              <w:jc w:val="center"/>
              <w:rPr>
                <w:rFonts w:ascii="Arial" w:hAnsi="Arial" w:cs="Arial"/>
                <w:sz w:val="20"/>
              </w:rPr>
            </w:pPr>
          </w:p>
        </w:tc>
        <w:tc>
          <w:tcPr>
            <w:tcW w:w="487"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5C7CA5BD" w14:textId="77777777" w:rsidR="00171706" w:rsidRPr="000665B0" w:rsidRDefault="00171706" w:rsidP="009570CA">
            <w:pPr>
              <w:keepNext/>
              <w:spacing w:after="0" w:line="240" w:lineRule="auto"/>
              <w:jc w:val="center"/>
              <w:rPr>
                <w:rFonts w:ascii="Arial" w:hAnsi="Arial" w:cs="Arial"/>
                <w:sz w:val="20"/>
              </w:rPr>
            </w:pPr>
          </w:p>
        </w:tc>
        <w:tc>
          <w:tcPr>
            <w:tcW w:w="438" w:type="pct"/>
            <w:tcBorders>
              <w:top w:val="single" w:sz="8" w:space="0" w:color="auto"/>
              <w:left w:val="nil"/>
              <w:bottom w:val="single" w:sz="8" w:space="0" w:color="auto"/>
              <w:right w:val="single" w:sz="8" w:space="0" w:color="auto"/>
            </w:tcBorders>
            <w:vAlign w:val="center"/>
          </w:tcPr>
          <w:p w14:paraId="34EF3B9F" w14:textId="77777777" w:rsidR="00171706" w:rsidRPr="000665B0" w:rsidRDefault="00171706" w:rsidP="009570CA">
            <w:pPr>
              <w:keepNext/>
              <w:spacing w:after="0" w:line="240" w:lineRule="auto"/>
              <w:jc w:val="center"/>
              <w:rPr>
                <w:rFonts w:ascii="Arial" w:hAnsi="Arial" w:cs="Arial"/>
                <w:sz w:val="20"/>
              </w:rPr>
            </w:pPr>
          </w:p>
        </w:tc>
        <w:tc>
          <w:tcPr>
            <w:tcW w:w="92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58CF152F" w14:textId="77777777" w:rsidR="00171706" w:rsidRPr="000665B0" w:rsidRDefault="00171706" w:rsidP="009570CA">
            <w:pPr>
              <w:keepNext/>
              <w:spacing w:after="0" w:line="240" w:lineRule="auto"/>
              <w:rPr>
                <w:rFonts w:ascii="Arial" w:hAnsi="Arial" w:cs="Arial"/>
                <w:sz w:val="20"/>
              </w:rPr>
            </w:pPr>
          </w:p>
        </w:tc>
      </w:tr>
      <w:tr w:rsidR="009C0732" w:rsidRPr="000665B0" w14:paraId="05DCCF89" w14:textId="77777777" w:rsidTr="00C63237">
        <w:trPr>
          <w:trHeight w:val="255"/>
        </w:trPr>
        <w:tc>
          <w:tcPr>
            <w:tcW w:w="93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68301326" w14:textId="77777777" w:rsidR="00B63603" w:rsidRPr="000665B0" w:rsidRDefault="00B63603" w:rsidP="009570CA">
            <w:pPr>
              <w:keepNext/>
              <w:spacing w:after="0" w:line="240" w:lineRule="auto"/>
              <w:rPr>
                <w:rFonts w:ascii="Arial" w:hAnsi="Arial" w:cs="Arial"/>
                <w:sz w:val="20"/>
              </w:rPr>
            </w:pPr>
            <w:r w:rsidRPr="000665B0">
              <w:rPr>
                <w:rFonts w:ascii="Arial" w:hAnsi="Arial" w:cs="Arial"/>
                <w:b/>
                <w:bCs/>
                <w:sz w:val="20"/>
              </w:rPr>
              <w:t>Flight Corridor</w:t>
            </w:r>
          </w:p>
        </w:tc>
        <w:tc>
          <w:tcPr>
            <w:tcW w:w="510"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175B7DF6"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583"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2BFC0216"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438"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7DE8D6E9"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682"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6889AF70"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87"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051C5334"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38" w:type="pct"/>
            <w:tcBorders>
              <w:top w:val="single" w:sz="8" w:space="0" w:color="auto"/>
              <w:left w:val="nil"/>
              <w:bottom w:val="single" w:sz="8" w:space="0" w:color="auto"/>
              <w:right w:val="single" w:sz="8" w:space="0" w:color="auto"/>
            </w:tcBorders>
            <w:vAlign w:val="center"/>
          </w:tcPr>
          <w:p w14:paraId="2AB09A81"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92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54240B92" w14:textId="77777777" w:rsidR="00B63603" w:rsidRPr="000665B0" w:rsidRDefault="00B63603" w:rsidP="009570CA">
            <w:pPr>
              <w:keepNext/>
              <w:spacing w:after="0" w:line="240" w:lineRule="auto"/>
              <w:rPr>
                <w:rFonts w:ascii="Arial" w:hAnsi="Arial" w:cs="Arial"/>
                <w:sz w:val="20"/>
              </w:rPr>
            </w:pPr>
            <w:r w:rsidRPr="000665B0">
              <w:rPr>
                <w:rFonts w:ascii="Arial" w:hAnsi="Arial" w:cs="Arial"/>
                <w:sz w:val="20"/>
              </w:rPr>
              <w:t>Entry/Exit Lines</w:t>
            </w:r>
          </w:p>
        </w:tc>
      </w:tr>
      <w:tr w:rsidR="009C0732" w:rsidRPr="000665B0" w14:paraId="6C0A619D" w14:textId="77777777" w:rsidTr="00C63237">
        <w:trPr>
          <w:trHeight w:val="255"/>
        </w:trPr>
        <w:tc>
          <w:tcPr>
            <w:tcW w:w="93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0312790A" w14:textId="77777777" w:rsidR="00B63603" w:rsidRPr="000665B0" w:rsidRDefault="00B63603" w:rsidP="009570CA">
            <w:pPr>
              <w:keepNext/>
              <w:spacing w:after="0" w:line="240" w:lineRule="auto"/>
              <w:rPr>
                <w:rFonts w:ascii="Arial" w:hAnsi="Arial" w:cs="Arial"/>
                <w:sz w:val="20"/>
              </w:rPr>
            </w:pPr>
            <w:r w:rsidRPr="000665B0">
              <w:rPr>
                <w:rFonts w:ascii="Arial" w:hAnsi="Arial" w:cs="Arial"/>
                <w:b/>
                <w:bCs/>
                <w:sz w:val="20"/>
              </w:rPr>
              <w:t>FPPWP</w:t>
            </w:r>
          </w:p>
        </w:tc>
        <w:tc>
          <w:tcPr>
            <w:tcW w:w="510"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76BA25EF"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583"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5E4E2F98"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38"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7884CF07"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682"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1A074691"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487"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242AE871"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438" w:type="pct"/>
            <w:tcBorders>
              <w:top w:val="single" w:sz="8" w:space="0" w:color="auto"/>
              <w:left w:val="nil"/>
              <w:bottom w:val="single" w:sz="8" w:space="0" w:color="auto"/>
              <w:right w:val="single" w:sz="8" w:space="0" w:color="auto"/>
            </w:tcBorders>
            <w:vAlign w:val="center"/>
          </w:tcPr>
          <w:p w14:paraId="1D2400A2" w14:textId="77777777" w:rsidR="00B63603" w:rsidRPr="000665B0" w:rsidRDefault="00B63603" w:rsidP="009570CA">
            <w:pPr>
              <w:keepNext/>
              <w:spacing w:after="0" w:line="240" w:lineRule="auto"/>
              <w:jc w:val="center"/>
              <w:rPr>
                <w:rFonts w:ascii="Arial" w:hAnsi="Arial" w:cs="Arial"/>
                <w:sz w:val="20"/>
              </w:rPr>
            </w:pPr>
          </w:p>
        </w:tc>
        <w:tc>
          <w:tcPr>
            <w:tcW w:w="92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09390891" w14:textId="77777777" w:rsidR="00B63603" w:rsidRPr="000665B0" w:rsidRDefault="00B63603" w:rsidP="009570CA">
            <w:pPr>
              <w:keepNext/>
              <w:spacing w:after="0" w:line="240" w:lineRule="auto"/>
              <w:rPr>
                <w:rFonts w:ascii="Arial" w:hAnsi="Arial" w:cs="Arial"/>
                <w:sz w:val="20"/>
              </w:rPr>
            </w:pPr>
            <w:r w:rsidRPr="000665B0">
              <w:rPr>
                <w:rFonts w:ascii="Arial" w:hAnsi="Arial" w:cs="Arial"/>
                <w:sz w:val="20"/>
              </w:rPr>
              <w:t> </w:t>
            </w:r>
          </w:p>
        </w:tc>
      </w:tr>
      <w:tr w:rsidR="009C0732" w:rsidRPr="000665B0" w14:paraId="4BAB6F61" w14:textId="77777777" w:rsidTr="00C63237">
        <w:trPr>
          <w:trHeight w:val="255"/>
        </w:trPr>
        <w:tc>
          <w:tcPr>
            <w:tcW w:w="93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654FB40D" w14:textId="77777777" w:rsidR="00B63603" w:rsidRPr="000665B0" w:rsidRDefault="00B63603" w:rsidP="009570CA">
            <w:pPr>
              <w:keepNext/>
              <w:spacing w:after="0" w:line="240" w:lineRule="auto"/>
              <w:rPr>
                <w:rFonts w:ascii="Arial" w:hAnsi="Arial" w:cs="Arial"/>
                <w:sz w:val="20"/>
              </w:rPr>
            </w:pPr>
            <w:r w:rsidRPr="000665B0">
              <w:rPr>
                <w:rFonts w:ascii="Arial" w:hAnsi="Arial" w:cs="Arial"/>
                <w:b/>
                <w:bCs/>
                <w:sz w:val="20"/>
              </w:rPr>
              <w:t>Launch Area</w:t>
            </w:r>
          </w:p>
        </w:tc>
        <w:tc>
          <w:tcPr>
            <w:tcW w:w="510"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3DBB45D7"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583"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54733141"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438"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623576E2"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682"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381EA800"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87"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0B1FD10F"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38" w:type="pct"/>
            <w:tcBorders>
              <w:top w:val="single" w:sz="8" w:space="0" w:color="auto"/>
              <w:left w:val="nil"/>
              <w:bottom w:val="single" w:sz="8" w:space="0" w:color="auto"/>
              <w:right w:val="single" w:sz="8" w:space="0" w:color="auto"/>
            </w:tcBorders>
            <w:vAlign w:val="center"/>
          </w:tcPr>
          <w:p w14:paraId="5EA3E3BF"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92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5064F22C" w14:textId="77777777" w:rsidR="00B63603" w:rsidRPr="000665B0" w:rsidRDefault="00B63603" w:rsidP="009570CA">
            <w:pPr>
              <w:keepNext/>
              <w:spacing w:after="0" w:line="240" w:lineRule="auto"/>
              <w:rPr>
                <w:rFonts w:ascii="Arial" w:hAnsi="Arial" w:cs="Arial"/>
                <w:sz w:val="20"/>
              </w:rPr>
            </w:pPr>
            <w:r w:rsidRPr="000665B0">
              <w:rPr>
                <w:rFonts w:ascii="Arial" w:hAnsi="Arial" w:cs="Arial"/>
                <w:sz w:val="20"/>
              </w:rPr>
              <w:t> </w:t>
            </w:r>
          </w:p>
        </w:tc>
      </w:tr>
      <w:tr w:rsidR="009C0732" w:rsidRPr="000665B0" w14:paraId="39B7EAC9" w14:textId="77777777" w:rsidTr="00C63237">
        <w:trPr>
          <w:trHeight w:val="255"/>
        </w:trPr>
        <w:tc>
          <w:tcPr>
            <w:tcW w:w="93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0ADCBD93" w14:textId="77777777" w:rsidR="00B63603" w:rsidRPr="000665B0" w:rsidRDefault="00B63603" w:rsidP="009570CA">
            <w:pPr>
              <w:keepNext/>
              <w:spacing w:after="0" w:line="240" w:lineRule="auto"/>
              <w:rPr>
                <w:rFonts w:ascii="Arial" w:hAnsi="Arial" w:cs="Arial"/>
                <w:sz w:val="20"/>
              </w:rPr>
            </w:pPr>
            <w:r w:rsidRPr="000665B0">
              <w:rPr>
                <w:rFonts w:ascii="Arial" w:hAnsi="Arial" w:cs="Arial"/>
                <w:b/>
                <w:bCs/>
                <w:sz w:val="20"/>
              </w:rPr>
              <w:t>Loiter Area</w:t>
            </w:r>
          </w:p>
        </w:tc>
        <w:tc>
          <w:tcPr>
            <w:tcW w:w="510"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51616201"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583"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1FF9A3A5"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438"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4707BE44"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682"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0F1B21EE"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87"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1EF1582B"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38" w:type="pct"/>
            <w:tcBorders>
              <w:top w:val="single" w:sz="8" w:space="0" w:color="auto"/>
              <w:left w:val="nil"/>
              <w:bottom w:val="single" w:sz="8" w:space="0" w:color="auto"/>
              <w:right w:val="single" w:sz="8" w:space="0" w:color="auto"/>
            </w:tcBorders>
            <w:vAlign w:val="center"/>
          </w:tcPr>
          <w:p w14:paraId="2BD01FA5"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92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6A5AD55B" w14:textId="77777777" w:rsidR="00B63603" w:rsidRPr="000665B0" w:rsidRDefault="00B63603" w:rsidP="009570CA">
            <w:pPr>
              <w:keepNext/>
              <w:spacing w:after="0" w:line="240" w:lineRule="auto"/>
              <w:rPr>
                <w:rFonts w:ascii="Arial" w:hAnsi="Arial" w:cs="Arial"/>
                <w:sz w:val="20"/>
              </w:rPr>
            </w:pPr>
            <w:r w:rsidRPr="000665B0">
              <w:rPr>
                <w:rFonts w:ascii="Arial" w:hAnsi="Arial" w:cs="Arial"/>
                <w:sz w:val="20"/>
              </w:rPr>
              <w:t>Entry/Exit Lines</w:t>
            </w:r>
          </w:p>
        </w:tc>
      </w:tr>
      <w:tr w:rsidR="009C0732" w:rsidRPr="000665B0" w14:paraId="55A88723" w14:textId="77777777" w:rsidTr="00B34016">
        <w:trPr>
          <w:trHeight w:val="255"/>
        </w:trPr>
        <w:tc>
          <w:tcPr>
            <w:tcW w:w="936" w:type="pct"/>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5FB6FBFB" w14:textId="77777777" w:rsidR="00B63603" w:rsidRPr="000665B0" w:rsidRDefault="00B63603" w:rsidP="009570CA">
            <w:pPr>
              <w:keepNext/>
              <w:spacing w:after="0" w:line="240" w:lineRule="auto"/>
              <w:rPr>
                <w:rFonts w:ascii="Arial" w:hAnsi="Arial" w:cs="Arial"/>
                <w:sz w:val="20"/>
              </w:rPr>
            </w:pPr>
            <w:r w:rsidRPr="000665B0">
              <w:rPr>
                <w:rFonts w:ascii="Arial" w:hAnsi="Arial" w:cs="Arial"/>
                <w:b/>
                <w:bCs/>
                <w:sz w:val="20"/>
              </w:rPr>
              <w:t>Operational Area</w:t>
            </w:r>
          </w:p>
        </w:tc>
        <w:tc>
          <w:tcPr>
            <w:tcW w:w="510"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09EDB9A8"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583"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7FF823F7"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438"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6D88B4F0"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682"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30923EEB"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4pts</w:t>
            </w:r>
          </w:p>
        </w:tc>
        <w:tc>
          <w:tcPr>
            <w:tcW w:w="487"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75848E37"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38" w:type="pct"/>
            <w:tcBorders>
              <w:top w:val="single" w:sz="8" w:space="0" w:color="auto"/>
              <w:left w:val="nil"/>
              <w:bottom w:val="single" w:sz="8" w:space="0" w:color="auto"/>
              <w:right w:val="single" w:sz="8" w:space="0" w:color="auto"/>
            </w:tcBorders>
            <w:vAlign w:val="center"/>
          </w:tcPr>
          <w:p w14:paraId="7950D3CE" w14:textId="77777777" w:rsidR="00B63603" w:rsidRPr="000665B0" w:rsidRDefault="00B63603" w:rsidP="009570CA">
            <w:pPr>
              <w:keepNext/>
              <w:spacing w:after="0" w:line="240" w:lineRule="auto"/>
              <w:jc w:val="center"/>
              <w:rPr>
                <w:rFonts w:ascii="Arial" w:hAnsi="Arial" w:cs="Arial"/>
                <w:sz w:val="20"/>
              </w:rPr>
            </w:pPr>
          </w:p>
        </w:tc>
        <w:tc>
          <w:tcPr>
            <w:tcW w:w="92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2CDA818B" w14:textId="77777777" w:rsidR="00B63603" w:rsidRPr="000665B0" w:rsidRDefault="00B63603" w:rsidP="009570CA">
            <w:pPr>
              <w:keepNext/>
              <w:spacing w:after="0" w:line="240" w:lineRule="auto"/>
              <w:rPr>
                <w:rFonts w:ascii="Arial" w:hAnsi="Arial" w:cs="Arial"/>
                <w:sz w:val="20"/>
              </w:rPr>
            </w:pPr>
            <w:r w:rsidRPr="000665B0">
              <w:rPr>
                <w:rFonts w:ascii="Arial" w:hAnsi="Arial" w:cs="Arial"/>
                <w:sz w:val="20"/>
              </w:rPr>
              <w:t>Min 100 nm/side; side must follow rhumb lines</w:t>
            </w:r>
          </w:p>
        </w:tc>
      </w:tr>
      <w:tr w:rsidR="009C0732" w:rsidRPr="000665B0" w14:paraId="5F42B30B" w14:textId="77777777" w:rsidTr="00C63237">
        <w:trPr>
          <w:trHeight w:val="255"/>
        </w:trPr>
        <w:tc>
          <w:tcPr>
            <w:tcW w:w="93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3D553B28" w14:textId="77777777" w:rsidR="0009112A" w:rsidRPr="000665B0" w:rsidRDefault="0009112A" w:rsidP="009570CA">
            <w:pPr>
              <w:keepNext/>
              <w:spacing w:after="0" w:line="240" w:lineRule="auto"/>
              <w:rPr>
                <w:rFonts w:ascii="Arial" w:hAnsi="Arial" w:cs="Arial"/>
                <w:b/>
                <w:bCs/>
                <w:sz w:val="20"/>
              </w:rPr>
            </w:pPr>
            <w:r w:rsidRPr="000665B0">
              <w:rPr>
                <w:rFonts w:ascii="Arial" w:hAnsi="Arial" w:cs="Arial"/>
                <w:b/>
                <w:bCs/>
                <w:sz w:val="20"/>
              </w:rPr>
              <w:t>Planned Outcomes Boundary</w:t>
            </w:r>
          </w:p>
        </w:tc>
        <w:tc>
          <w:tcPr>
            <w:tcW w:w="510"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09CB4786" w14:textId="77777777" w:rsidR="0009112A" w:rsidRPr="000665B0" w:rsidRDefault="0009112A" w:rsidP="009570CA">
            <w:pPr>
              <w:keepNext/>
              <w:spacing w:after="0" w:line="240" w:lineRule="auto"/>
              <w:jc w:val="center"/>
              <w:rPr>
                <w:rFonts w:ascii="Arial" w:hAnsi="Arial" w:cs="Arial"/>
                <w:sz w:val="20"/>
              </w:rPr>
            </w:pPr>
          </w:p>
        </w:tc>
        <w:tc>
          <w:tcPr>
            <w:tcW w:w="583"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568398ED" w14:textId="77777777" w:rsidR="0009112A" w:rsidRPr="000665B0" w:rsidRDefault="0009112A" w:rsidP="009570CA">
            <w:pPr>
              <w:keepNext/>
              <w:spacing w:after="0" w:line="240" w:lineRule="auto"/>
              <w:jc w:val="center"/>
              <w:rPr>
                <w:rFonts w:ascii="Arial" w:hAnsi="Arial" w:cs="Arial"/>
                <w:sz w:val="20"/>
              </w:rPr>
            </w:pPr>
          </w:p>
        </w:tc>
        <w:tc>
          <w:tcPr>
            <w:tcW w:w="438"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118E8D40" w14:textId="77777777" w:rsidR="0009112A" w:rsidRPr="000665B0" w:rsidRDefault="0009112A" w:rsidP="009570CA">
            <w:pPr>
              <w:keepNext/>
              <w:spacing w:after="0" w:line="240" w:lineRule="auto"/>
              <w:jc w:val="center"/>
              <w:rPr>
                <w:rFonts w:ascii="Arial" w:hAnsi="Arial" w:cs="Arial"/>
                <w:sz w:val="20"/>
              </w:rPr>
            </w:pPr>
          </w:p>
        </w:tc>
        <w:tc>
          <w:tcPr>
            <w:tcW w:w="682"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24CD78DD" w14:textId="77777777" w:rsidR="0009112A" w:rsidRPr="000665B0" w:rsidRDefault="0009112A" w:rsidP="009570CA">
            <w:pPr>
              <w:keepNext/>
              <w:spacing w:after="0" w:line="240" w:lineRule="auto"/>
              <w:jc w:val="center"/>
              <w:rPr>
                <w:rFonts w:ascii="Arial" w:hAnsi="Arial" w:cs="Arial"/>
                <w:sz w:val="20"/>
              </w:rPr>
            </w:pPr>
            <w:r w:rsidRPr="000665B0">
              <w:rPr>
                <w:rFonts w:ascii="Arial" w:hAnsi="Arial" w:cs="Arial"/>
                <w:sz w:val="20"/>
              </w:rPr>
              <w:t>4pts</w:t>
            </w:r>
          </w:p>
        </w:tc>
        <w:tc>
          <w:tcPr>
            <w:tcW w:w="487"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79A27AFE" w14:textId="77777777" w:rsidR="0009112A" w:rsidRPr="000665B0" w:rsidRDefault="0009112A" w:rsidP="009570CA">
            <w:pPr>
              <w:keepNext/>
              <w:spacing w:after="0" w:line="240" w:lineRule="auto"/>
              <w:jc w:val="center"/>
              <w:rPr>
                <w:rFonts w:ascii="Arial" w:hAnsi="Arial" w:cs="Arial"/>
                <w:sz w:val="20"/>
              </w:rPr>
            </w:pPr>
          </w:p>
        </w:tc>
        <w:tc>
          <w:tcPr>
            <w:tcW w:w="438" w:type="pct"/>
            <w:tcBorders>
              <w:top w:val="single" w:sz="8" w:space="0" w:color="auto"/>
              <w:left w:val="nil"/>
              <w:bottom w:val="single" w:sz="8" w:space="0" w:color="auto"/>
              <w:right w:val="single" w:sz="8" w:space="0" w:color="auto"/>
            </w:tcBorders>
            <w:vAlign w:val="center"/>
          </w:tcPr>
          <w:p w14:paraId="695551C4" w14:textId="77777777" w:rsidR="0009112A" w:rsidRPr="000665B0" w:rsidRDefault="0009112A" w:rsidP="009570CA">
            <w:pPr>
              <w:keepNext/>
              <w:spacing w:after="0" w:line="240" w:lineRule="auto"/>
              <w:jc w:val="center"/>
              <w:rPr>
                <w:rFonts w:ascii="Arial" w:hAnsi="Arial" w:cs="Arial"/>
                <w:sz w:val="20"/>
              </w:rPr>
            </w:pPr>
          </w:p>
        </w:tc>
        <w:tc>
          <w:tcPr>
            <w:tcW w:w="92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092EB0D6" w14:textId="77777777" w:rsidR="0009112A" w:rsidRPr="000665B0" w:rsidRDefault="0009112A" w:rsidP="009570CA">
            <w:pPr>
              <w:keepNext/>
              <w:spacing w:after="0" w:line="240" w:lineRule="auto"/>
              <w:rPr>
                <w:rFonts w:ascii="Arial" w:hAnsi="Arial" w:cs="Arial"/>
                <w:sz w:val="20"/>
              </w:rPr>
            </w:pPr>
          </w:p>
        </w:tc>
      </w:tr>
      <w:tr w:rsidR="009C0732" w:rsidRPr="000665B0" w14:paraId="7959F1AC" w14:textId="77777777" w:rsidTr="00C63237">
        <w:trPr>
          <w:trHeight w:val="255"/>
        </w:trPr>
        <w:tc>
          <w:tcPr>
            <w:tcW w:w="93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1CDB9AC5" w14:textId="77777777" w:rsidR="00B63603" w:rsidRPr="000665B0" w:rsidRDefault="00B63603" w:rsidP="009570CA">
            <w:pPr>
              <w:keepNext/>
              <w:spacing w:after="0" w:line="240" w:lineRule="auto"/>
              <w:rPr>
                <w:rFonts w:ascii="Arial" w:hAnsi="Arial" w:cs="Arial"/>
                <w:sz w:val="20"/>
              </w:rPr>
            </w:pPr>
            <w:r w:rsidRPr="000665B0">
              <w:rPr>
                <w:rFonts w:ascii="Arial" w:hAnsi="Arial" w:cs="Arial"/>
                <w:b/>
                <w:bCs/>
                <w:sz w:val="20"/>
              </w:rPr>
              <w:t>PLP</w:t>
            </w:r>
          </w:p>
        </w:tc>
        <w:tc>
          <w:tcPr>
            <w:tcW w:w="510"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2FCD2F04"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583"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6D916FD0"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438"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7F7B63B6"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682"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3BAD45B6"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87"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0158360E"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438" w:type="pct"/>
            <w:tcBorders>
              <w:top w:val="single" w:sz="8" w:space="0" w:color="auto"/>
              <w:left w:val="nil"/>
              <w:bottom w:val="single" w:sz="8" w:space="0" w:color="auto"/>
              <w:right w:val="single" w:sz="8" w:space="0" w:color="auto"/>
            </w:tcBorders>
            <w:vAlign w:val="center"/>
          </w:tcPr>
          <w:p w14:paraId="301E6FE2" w14:textId="77777777" w:rsidR="00B63603" w:rsidRPr="000665B0" w:rsidRDefault="00B63603" w:rsidP="009570CA">
            <w:pPr>
              <w:keepNext/>
              <w:spacing w:after="0" w:line="240" w:lineRule="auto"/>
              <w:jc w:val="center"/>
              <w:rPr>
                <w:rFonts w:ascii="Arial" w:hAnsi="Arial" w:cs="Arial"/>
                <w:sz w:val="20"/>
              </w:rPr>
            </w:pPr>
          </w:p>
        </w:tc>
        <w:tc>
          <w:tcPr>
            <w:tcW w:w="92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1AB6FECE" w14:textId="77777777" w:rsidR="00B63603" w:rsidRPr="000665B0" w:rsidRDefault="00B63603" w:rsidP="009570CA">
            <w:pPr>
              <w:keepNext/>
              <w:spacing w:after="0" w:line="240" w:lineRule="auto"/>
              <w:rPr>
                <w:rFonts w:ascii="Arial" w:hAnsi="Arial" w:cs="Arial"/>
                <w:sz w:val="20"/>
              </w:rPr>
            </w:pPr>
            <w:r w:rsidRPr="000665B0">
              <w:rPr>
                <w:rFonts w:ascii="Arial" w:hAnsi="Arial" w:cs="Arial"/>
                <w:sz w:val="20"/>
              </w:rPr>
              <w:t> </w:t>
            </w:r>
          </w:p>
        </w:tc>
      </w:tr>
      <w:tr w:rsidR="009C0732" w:rsidRPr="000665B0" w14:paraId="00343647" w14:textId="77777777" w:rsidTr="00C63237">
        <w:trPr>
          <w:trHeight w:val="255"/>
        </w:trPr>
        <w:tc>
          <w:tcPr>
            <w:tcW w:w="93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0A994AF6" w14:textId="77777777" w:rsidR="00B63603" w:rsidRPr="000665B0" w:rsidRDefault="00B63603" w:rsidP="009570CA">
            <w:pPr>
              <w:keepNext/>
              <w:spacing w:after="0" w:line="240" w:lineRule="auto"/>
              <w:rPr>
                <w:rFonts w:ascii="Arial" w:hAnsi="Arial" w:cs="Arial"/>
                <w:sz w:val="20"/>
              </w:rPr>
            </w:pPr>
            <w:r w:rsidRPr="000665B0">
              <w:rPr>
                <w:rFonts w:ascii="Arial" w:hAnsi="Arial" w:cs="Arial"/>
                <w:b/>
                <w:bCs/>
                <w:sz w:val="20"/>
              </w:rPr>
              <w:t>Prohibited Area</w:t>
            </w:r>
          </w:p>
        </w:tc>
        <w:tc>
          <w:tcPr>
            <w:tcW w:w="510"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35DD77CA"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583"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0C49519C"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438"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73CC7D40"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682"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06EDE735"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87"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6FCB7F8B"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38" w:type="pct"/>
            <w:tcBorders>
              <w:top w:val="single" w:sz="8" w:space="0" w:color="auto"/>
              <w:left w:val="nil"/>
              <w:bottom w:val="single" w:sz="8" w:space="0" w:color="auto"/>
              <w:right w:val="single" w:sz="8" w:space="0" w:color="auto"/>
            </w:tcBorders>
            <w:vAlign w:val="center"/>
          </w:tcPr>
          <w:p w14:paraId="6CE8E68A"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92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3DE11D77" w14:textId="77777777" w:rsidR="00B63603" w:rsidRPr="000665B0" w:rsidRDefault="00B63603" w:rsidP="009570CA">
            <w:pPr>
              <w:keepNext/>
              <w:spacing w:after="0" w:line="240" w:lineRule="auto"/>
              <w:rPr>
                <w:rFonts w:ascii="Arial" w:hAnsi="Arial" w:cs="Arial"/>
                <w:sz w:val="20"/>
              </w:rPr>
            </w:pPr>
            <w:r w:rsidRPr="000665B0">
              <w:rPr>
                <w:rFonts w:ascii="Arial" w:hAnsi="Arial" w:cs="Arial"/>
                <w:sz w:val="20"/>
              </w:rPr>
              <w:t> </w:t>
            </w:r>
          </w:p>
        </w:tc>
      </w:tr>
      <w:tr w:rsidR="009C0732" w:rsidRPr="000665B0" w14:paraId="20CAD1F6" w14:textId="77777777" w:rsidTr="00C63237">
        <w:trPr>
          <w:trHeight w:val="255"/>
        </w:trPr>
        <w:tc>
          <w:tcPr>
            <w:tcW w:w="93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6E12DF50" w14:textId="77777777" w:rsidR="00B63603" w:rsidRPr="000665B0" w:rsidRDefault="00B63603" w:rsidP="009570CA">
            <w:pPr>
              <w:keepNext/>
              <w:spacing w:after="0" w:line="240" w:lineRule="auto"/>
              <w:rPr>
                <w:rFonts w:ascii="Arial" w:hAnsi="Arial" w:cs="Arial"/>
                <w:sz w:val="20"/>
              </w:rPr>
            </w:pPr>
            <w:r w:rsidRPr="000665B0">
              <w:rPr>
                <w:rFonts w:ascii="Arial" w:hAnsi="Arial" w:cs="Arial"/>
                <w:b/>
                <w:bCs/>
                <w:sz w:val="20"/>
              </w:rPr>
              <w:t>Target Area</w:t>
            </w:r>
          </w:p>
        </w:tc>
        <w:tc>
          <w:tcPr>
            <w:tcW w:w="510"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650DEFA1"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583"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62AEED8B"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438"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6BDBE993"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 </w:t>
            </w:r>
          </w:p>
        </w:tc>
        <w:tc>
          <w:tcPr>
            <w:tcW w:w="682"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6E9CA4CF"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87" w:type="pct"/>
            <w:tcBorders>
              <w:top w:val="nil"/>
              <w:left w:val="nil"/>
              <w:bottom w:val="single" w:sz="8" w:space="0" w:color="auto"/>
              <w:right w:val="single" w:sz="8" w:space="0" w:color="auto"/>
            </w:tcBorders>
            <w:noWrap/>
            <w:tcMar>
              <w:top w:w="0" w:type="dxa"/>
              <w:left w:w="108" w:type="dxa"/>
              <w:bottom w:w="0" w:type="dxa"/>
              <w:right w:w="108" w:type="dxa"/>
            </w:tcMar>
            <w:vAlign w:val="bottom"/>
          </w:tcPr>
          <w:p w14:paraId="0A6B9582"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438" w:type="pct"/>
            <w:tcBorders>
              <w:top w:val="single" w:sz="8" w:space="0" w:color="auto"/>
              <w:left w:val="nil"/>
              <w:bottom w:val="single" w:sz="8" w:space="0" w:color="auto"/>
              <w:right w:val="single" w:sz="8" w:space="0" w:color="auto"/>
            </w:tcBorders>
            <w:vAlign w:val="center"/>
          </w:tcPr>
          <w:p w14:paraId="5C535CE3" w14:textId="77777777" w:rsidR="00B63603" w:rsidRPr="000665B0" w:rsidRDefault="00B63603" w:rsidP="009570CA">
            <w:pPr>
              <w:keepNext/>
              <w:spacing w:after="0" w:line="240" w:lineRule="auto"/>
              <w:jc w:val="center"/>
              <w:rPr>
                <w:rFonts w:ascii="Arial" w:hAnsi="Arial" w:cs="Arial"/>
                <w:sz w:val="20"/>
              </w:rPr>
            </w:pPr>
            <w:r w:rsidRPr="000665B0">
              <w:rPr>
                <w:rFonts w:ascii="Arial" w:hAnsi="Arial" w:cs="Arial"/>
                <w:sz w:val="20"/>
              </w:rPr>
              <w:t>x</w:t>
            </w:r>
          </w:p>
        </w:tc>
        <w:tc>
          <w:tcPr>
            <w:tcW w:w="92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051F674E" w14:textId="77777777" w:rsidR="00B63603" w:rsidRPr="000665B0" w:rsidRDefault="00B63603" w:rsidP="009570CA">
            <w:pPr>
              <w:keepNext/>
              <w:spacing w:after="0" w:line="240" w:lineRule="auto"/>
              <w:rPr>
                <w:rFonts w:ascii="Arial" w:hAnsi="Arial" w:cs="Arial"/>
                <w:sz w:val="20"/>
              </w:rPr>
            </w:pPr>
            <w:r w:rsidRPr="000665B0">
              <w:rPr>
                <w:rFonts w:ascii="Arial" w:hAnsi="Arial" w:cs="Arial"/>
                <w:sz w:val="20"/>
              </w:rPr>
              <w:t> </w:t>
            </w:r>
          </w:p>
        </w:tc>
      </w:tr>
    </w:tbl>
    <w:p w14:paraId="447DDD98" w14:textId="2DD0DA2C" w:rsidR="00B63603" w:rsidRPr="000665B0" w:rsidRDefault="00B63603" w:rsidP="006D5A65">
      <w:pPr>
        <w:pStyle w:val="Heading1"/>
      </w:pPr>
      <w:r w:rsidRPr="000665B0">
        <w:t xml:space="preserve">Manual Specification – Select a shape from the toolbar located just above the left end of the list. Enter the appropriate values in the </w:t>
      </w:r>
      <w:r w:rsidRPr="000665B0">
        <w:rPr>
          <w:i/>
        </w:rPr>
        <w:t>Add XXXXX</w:t>
      </w:r>
      <w:r w:rsidRPr="000665B0">
        <w:t xml:space="preserve"> window that appears (mandatory fields are </w:t>
      </w:r>
      <w:r w:rsidRPr="000665B0">
        <w:rPr>
          <w:szCs w:val="24"/>
        </w:rPr>
        <w:t>denoted by the * and/or yellow background</w:t>
      </w:r>
      <w:r w:rsidR="0049270B" w:rsidRPr="000665B0">
        <w:t xml:space="preserve"> and the user is unable to proceed without updating this field. </w:t>
      </w:r>
      <w:r w:rsidR="0049270B" w:rsidRPr="000665B0">
        <w:rPr>
          <w:szCs w:val="24"/>
        </w:rPr>
        <w:t xml:space="preserve">For further information on mandatory fields see </w:t>
      </w:r>
      <w:hyperlink w:anchor="_5.2.7__Editing" w:history="1">
        <w:r w:rsidR="0049270B" w:rsidRPr="000665B0">
          <w:rPr>
            <w:color w:val="0000FF"/>
            <w:szCs w:val="24"/>
            <w:u w:val="single"/>
          </w:rPr>
          <w:t>Section 5.2.8</w:t>
        </w:r>
      </w:hyperlink>
      <w:r w:rsidRPr="000665B0">
        <w:rPr>
          <w:szCs w:val="24"/>
        </w:rPr>
        <w:t>)</w:t>
      </w:r>
      <w:r w:rsidRPr="000665B0">
        <w:t>. Click OK.</w:t>
      </w:r>
    </w:p>
    <w:p w14:paraId="2BAAEE2E" w14:textId="77777777" w:rsidR="00B63603" w:rsidRPr="000665B0" w:rsidRDefault="00B63603" w:rsidP="009570CA">
      <w:pPr>
        <w:pStyle w:val="Number0205"/>
        <w:ind w:left="360" w:firstLine="0"/>
        <w:jc w:val="center"/>
      </w:pPr>
      <w:r w:rsidRPr="000665B0">
        <w:rPr>
          <w:noProof/>
        </w:rPr>
        <w:drawing>
          <wp:inline distT="0" distB="0" distL="0" distR="0" wp14:anchorId="071EF20A" wp14:editId="66239E2B">
            <wp:extent cx="1371600" cy="265176"/>
            <wp:effectExtent l="0" t="0" r="0" b="0"/>
            <wp:docPr id="1147" name="Picture 1147" descr="ACMS Shape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ACMS Shape 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371600" cy="265176"/>
                    </a:xfrm>
                    <a:prstGeom prst="rect">
                      <a:avLst/>
                    </a:prstGeom>
                    <a:noFill/>
                    <a:ln>
                      <a:noFill/>
                    </a:ln>
                  </pic:spPr>
                </pic:pic>
              </a:graphicData>
            </a:graphic>
          </wp:inline>
        </w:drawing>
      </w:r>
    </w:p>
    <w:p w14:paraId="57802C02" w14:textId="76CDA0D3" w:rsidR="00B63603" w:rsidRPr="000665B0" w:rsidRDefault="00F167CA" w:rsidP="009570CA">
      <w:pPr>
        <w:pStyle w:val="Number0205"/>
        <w:ind w:left="360" w:firstLine="0"/>
        <w:jc w:val="center"/>
      </w:pPr>
      <w:r w:rsidRPr="000665B0">
        <w:rPr>
          <w:noProof/>
        </w:rPr>
        <w:drawing>
          <wp:inline distT="0" distB="0" distL="0" distR="0" wp14:anchorId="61FEB171" wp14:editId="39C2BB61">
            <wp:extent cx="1371600" cy="2157984"/>
            <wp:effectExtent l="0" t="0" r="0" b="0"/>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371600" cy="2157984"/>
                    </a:xfrm>
                    <a:prstGeom prst="rect">
                      <a:avLst/>
                    </a:prstGeom>
                  </pic:spPr>
                </pic:pic>
              </a:graphicData>
            </a:graphic>
          </wp:inline>
        </w:drawing>
      </w:r>
    </w:p>
    <w:p w14:paraId="6B2525A3" w14:textId="77777777" w:rsidR="003B2EFC" w:rsidRPr="000665B0" w:rsidRDefault="003B2EFC" w:rsidP="009570CA">
      <w:pPr>
        <w:pStyle w:val="Number0205"/>
        <w:ind w:firstLine="0"/>
      </w:pPr>
      <w:r w:rsidRPr="000665B0">
        <w:rPr>
          <w:b/>
        </w:rPr>
        <w:t>Color</w:t>
      </w:r>
      <w:r w:rsidRPr="000665B0">
        <w:t xml:space="preserve"> – Outline color of the shape, when drawn.</w:t>
      </w:r>
    </w:p>
    <w:p w14:paraId="0B21C10C" w14:textId="77777777" w:rsidR="003B2EFC" w:rsidRPr="000665B0" w:rsidRDefault="003B2EFC" w:rsidP="009570CA">
      <w:pPr>
        <w:pStyle w:val="Number0205"/>
        <w:ind w:firstLine="0"/>
      </w:pPr>
      <w:r w:rsidRPr="000665B0">
        <w:rPr>
          <w:b/>
        </w:rPr>
        <w:t>Line Style</w:t>
      </w:r>
      <w:r w:rsidRPr="000665B0">
        <w:t xml:space="preserve"> – Type of outline (solid, dashed, dotted, etc.) when drawn.</w:t>
      </w:r>
    </w:p>
    <w:p w14:paraId="3B36C619" w14:textId="1B8A2BAE" w:rsidR="001318C8" w:rsidRPr="000665B0" w:rsidRDefault="003B2EFC" w:rsidP="009570CA">
      <w:pPr>
        <w:pStyle w:val="Number0205"/>
        <w:ind w:firstLine="0"/>
        <w:rPr>
          <w:b/>
          <w:snapToGrid w:val="0"/>
        </w:rPr>
      </w:pPr>
      <w:r w:rsidRPr="000665B0">
        <w:rPr>
          <w:b/>
        </w:rPr>
        <w:lastRenderedPageBreak/>
        <w:t>Line Width</w:t>
      </w:r>
      <w:r w:rsidRPr="000665B0">
        <w:t xml:space="preserve"> – Thickness of outline when drawn.</w:t>
      </w:r>
    </w:p>
    <w:p w14:paraId="3F5A789C" w14:textId="77777777" w:rsidR="003B2EFC" w:rsidRPr="000665B0" w:rsidRDefault="003B2EFC" w:rsidP="009570CA">
      <w:pPr>
        <w:pStyle w:val="Number0205"/>
        <w:ind w:firstLine="0"/>
      </w:pPr>
      <w:r w:rsidRPr="000665B0">
        <w:rPr>
          <w:b/>
        </w:rPr>
        <w:t>Fill Style</w:t>
      </w:r>
      <w:r w:rsidRPr="000665B0">
        <w:t xml:space="preserve"> (filled shapes only) – Pattern used to fill the interior of the shape when drawn.</w:t>
      </w:r>
    </w:p>
    <w:p w14:paraId="0CD1D61C" w14:textId="77777777" w:rsidR="003B2EFC" w:rsidRPr="000665B0" w:rsidRDefault="003B2EFC" w:rsidP="009570CA">
      <w:pPr>
        <w:pStyle w:val="Number0205"/>
        <w:ind w:firstLine="0"/>
      </w:pPr>
      <w:r w:rsidRPr="000665B0">
        <w:rPr>
          <w:b/>
        </w:rPr>
        <w:t>Fill Color</w:t>
      </w:r>
      <w:r w:rsidRPr="000665B0">
        <w:t xml:space="preserve"> (filled shapes only) – Color used to fill the interior of the shape when drawn.</w:t>
      </w:r>
    </w:p>
    <w:p w14:paraId="690FB70D" w14:textId="77777777" w:rsidR="003B2EFC" w:rsidRPr="000665B0" w:rsidRDefault="003B2EFC" w:rsidP="009570CA">
      <w:pPr>
        <w:pStyle w:val="Number0205"/>
        <w:ind w:firstLine="0"/>
      </w:pPr>
      <w:r w:rsidRPr="000665B0">
        <w:rPr>
          <w:b/>
        </w:rPr>
        <w:t>Semi-Major Axis</w:t>
      </w:r>
      <w:r w:rsidRPr="000665B0">
        <w:t xml:space="preserve"> – Extent of the shape from its center to its edge in the direction given by the orientation (nautical miles).</w:t>
      </w:r>
    </w:p>
    <w:p w14:paraId="1AEE677C" w14:textId="77777777" w:rsidR="003B2EFC" w:rsidRPr="000665B0" w:rsidRDefault="003B2EFC" w:rsidP="009570CA">
      <w:pPr>
        <w:pStyle w:val="Number0205"/>
        <w:ind w:firstLine="0"/>
      </w:pPr>
      <w:r w:rsidRPr="000665B0">
        <w:rPr>
          <w:b/>
        </w:rPr>
        <w:t>Semi-Minor Axis</w:t>
      </w:r>
      <w:r w:rsidRPr="000665B0">
        <w:t xml:space="preserve"> – Extent of the shape from its center to its edge in a direction perpendicular to that given by its orientation (nautical miles).</w:t>
      </w:r>
    </w:p>
    <w:p w14:paraId="4704B9E4" w14:textId="77777777" w:rsidR="003B2EFC" w:rsidRPr="000665B0" w:rsidRDefault="003B2EFC" w:rsidP="009570CA">
      <w:pPr>
        <w:pStyle w:val="Number0205"/>
        <w:ind w:firstLine="0"/>
      </w:pPr>
      <w:r w:rsidRPr="000665B0">
        <w:rPr>
          <w:b/>
        </w:rPr>
        <w:t>Orientation</w:t>
      </w:r>
      <w:r w:rsidRPr="000665B0">
        <w:t xml:space="preserve"> – Direction in which the shape (or its major axis) is oriented (degrees bearing from north).</w:t>
      </w:r>
    </w:p>
    <w:p w14:paraId="1B5C425D" w14:textId="77777777" w:rsidR="003B2EFC" w:rsidRPr="000665B0" w:rsidRDefault="003B2EFC" w:rsidP="009570CA">
      <w:pPr>
        <w:pStyle w:val="Number0205"/>
        <w:ind w:firstLine="0"/>
      </w:pPr>
      <w:r w:rsidRPr="000665B0">
        <w:rPr>
          <w:b/>
        </w:rPr>
        <w:t>Latitude</w:t>
      </w:r>
      <w:r w:rsidRPr="000665B0">
        <w:t xml:space="preserve"> – Latitude of the center, a corner, or a vertex of the shape.</w:t>
      </w:r>
    </w:p>
    <w:p w14:paraId="3D6A97CB" w14:textId="77777777" w:rsidR="003B2EFC" w:rsidRPr="000665B0" w:rsidRDefault="003B2EFC" w:rsidP="009570CA">
      <w:pPr>
        <w:pStyle w:val="Number0205"/>
        <w:ind w:firstLine="0"/>
      </w:pPr>
      <w:r w:rsidRPr="000665B0">
        <w:rPr>
          <w:b/>
        </w:rPr>
        <w:t>Longitude</w:t>
      </w:r>
      <w:r w:rsidRPr="000665B0">
        <w:t xml:space="preserve"> – Longitude of the center, a corner, or a vertex of the shape.</w:t>
      </w:r>
    </w:p>
    <w:p w14:paraId="3D4E0E74" w14:textId="77777777" w:rsidR="003B2EFC" w:rsidRPr="000665B0" w:rsidRDefault="003B2EFC" w:rsidP="009570CA">
      <w:pPr>
        <w:pStyle w:val="Number0205"/>
        <w:ind w:firstLine="0"/>
      </w:pPr>
      <w:r w:rsidRPr="000665B0">
        <w:rPr>
          <w:b/>
        </w:rPr>
        <w:t xml:space="preserve">Altitude </w:t>
      </w:r>
      <w:r w:rsidRPr="000665B0">
        <w:t>– Altitude of a vertex of the shape.</w:t>
      </w:r>
    </w:p>
    <w:p w14:paraId="768D4B75" w14:textId="77777777" w:rsidR="003B2EFC" w:rsidRPr="000665B0" w:rsidRDefault="003B2EFC" w:rsidP="009570CA">
      <w:pPr>
        <w:pStyle w:val="Number0205"/>
        <w:ind w:firstLine="0"/>
      </w:pPr>
      <w:r w:rsidRPr="000665B0">
        <w:rPr>
          <w:b/>
        </w:rPr>
        <w:t xml:space="preserve">Bearing </w:t>
      </w:r>
      <w:r w:rsidRPr="000665B0">
        <w:t>– Direction of travel from the vertex of a FPPWP</w:t>
      </w:r>
      <w:r w:rsidR="004E1FD3" w:rsidRPr="000665B0">
        <w:t xml:space="preserve"> </w:t>
      </w:r>
      <w:r w:rsidRPr="000665B0">
        <w:t>(degrees bearing from north).</w:t>
      </w:r>
    </w:p>
    <w:p w14:paraId="2594C71C" w14:textId="77777777" w:rsidR="003B2EFC" w:rsidRPr="000665B0" w:rsidRDefault="003B2EFC" w:rsidP="009570CA">
      <w:pPr>
        <w:pStyle w:val="Number0205"/>
        <w:ind w:firstLine="0"/>
      </w:pPr>
      <w:r w:rsidRPr="000665B0">
        <w:rPr>
          <w:b/>
        </w:rPr>
        <w:t xml:space="preserve">Start Bearing </w:t>
      </w:r>
      <w:r w:rsidRPr="000665B0">
        <w:t>– Direction from the center of the leading edge of a sector (degrees bearing from north).</w:t>
      </w:r>
    </w:p>
    <w:p w14:paraId="57A73D89" w14:textId="77777777" w:rsidR="003B2EFC" w:rsidRPr="000665B0" w:rsidRDefault="003B2EFC" w:rsidP="009570CA">
      <w:pPr>
        <w:pStyle w:val="Number0205"/>
        <w:ind w:firstLine="0"/>
      </w:pPr>
      <w:r w:rsidRPr="000665B0">
        <w:rPr>
          <w:b/>
        </w:rPr>
        <w:t xml:space="preserve">End Bearing </w:t>
      </w:r>
      <w:r w:rsidRPr="000665B0">
        <w:t>– Direction from the center of the trailing edge of a sector (degrees bearing from north).</w:t>
      </w:r>
    </w:p>
    <w:p w14:paraId="45F08BBC" w14:textId="77777777" w:rsidR="003B2EFC" w:rsidRPr="000665B0" w:rsidRDefault="003B2EFC" w:rsidP="009570CA">
      <w:pPr>
        <w:pStyle w:val="Number0205"/>
        <w:ind w:firstLine="0"/>
      </w:pPr>
      <w:r w:rsidRPr="000665B0">
        <w:rPr>
          <w:b/>
        </w:rPr>
        <w:t xml:space="preserve">Inner Radius </w:t>
      </w:r>
      <w:r w:rsidRPr="000665B0">
        <w:t>– Radius of the inner curve of a sector (nautical miles).</w:t>
      </w:r>
    </w:p>
    <w:p w14:paraId="382D7268" w14:textId="77777777" w:rsidR="005355E5" w:rsidRPr="000665B0" w:rsidRDefault="005355E5" w:rsidP="009570CA">
      <w:pPr>
        <w:pStyle w:val="Number0205"/>
        <w:ind w:firstLine="0"/>
      </w:pPr>
      <w:r w:rsidRPr="000665B0">
        <w:rPr>
          <w:b/>
        </w:rPr>
        <w:t xml:space="preserve">Outer Radius </w:t>
      </w:r>
      <w:r w:rsidRPr="000665B0">
        <w:t>– Radius of the outer curve of a sector (nautical miles).</w:t>
      </w:r>
    </w:p>
    <w:p w14:paraId="428AC1B8" w14:textId="77777777" w:rsidR="005355E5" w:rsidRPr="000665B0" w:rsidRDefault="005355E5" w:rsidP="009570CA">
      <w:pPr>
        <w:pStyle w:val="Number0205"/>
        <w:keepNext/>
        <w:ind w:firstLine="0"/>
      </w:pPr>
      <w:r w:rsidRPr="000665B0">
        <w:lastRenderedPageBreak/>
        <w:t>The following characteristics are available for each geographic shape:</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080"/>
        <w:gridCol w:w="1080"/>
        <w:gridCol w:w="1170"/>
        <w:gridCol w:w="1084"/>
        <w:gridCol w:w="1268"/>
        <w:gridCol w:w="1530"/>
      </w:tblGrid>
      <w:tr w:rsidR="005355E5" w:rsidRPr="000665B0" w14:paraId="6AC6E544" w14:textId="77777777" w:rsidTr="00C63237">
        <w:tc>
          <w:tcPr>
            <w:tcW w:w="1710" w:type="dxa"/>
            <w:shd w:val="clear" w:color="auto" w:fill="D9D9D9" w:themeFill="background1" w:themeFillShade="D9"/>
          </w:tcPr>
          <w:p w14:paraId="603683B0" w14:textId="77777777" w:rsidR="005355E5" w:rsidRPr="000665B0" w:rsidRDefault="005355E5" w:rsidP="009570CA">
            <w:pPr>
              <w:pStyle w:val="Number0205"/>
              <w:keepNext/>
              <w:ind w:left="0" w:firstLine="0"/>
              <w:rPr>
                <w:rFonts w:ascii="Arial" w:hAnsi="Arial" w:cs="Arial"/>
                <w:b/>
                <w:sz w:val="22"/>
                <w:szCs w:val="22"/>
              </w:rPr>
            </w:pPr>
          </w:p>
        </w:tc>
        <w:tc>
          <w:tcPr>
            <w:tcW w:w="1080" w:type="dxa"/>
            <w:shd w:val="clear" w:color="auto" w:fill="D9D9D9" w:themeFill="background1" w:themeFillShade="D9"/>
          </w:tcPr>
          <w:p w14:paraId="2666DA98" w14:textId="77777777" w:rsidR="005355E5" w:rsidRPr="000665B0" w:rsidRDefault="005355E5" w:rsidP="009570CA">
            <w:pPr>
              <w:pStyle w:val="Number0205"/>
              <w:keepNext/>
              <w:ind w:left="0" w:firstLine="0"/>
              <w:jc w:val="center"/>
              <w:rPr>
                <w:rFonts w:ascii="Arial" w:hAnsi="Arial" w:cs="Arial"/>
                <w:b/>
                <w:sz w:val="22"/>
                <w:szCs w:val="22"/>
              </w:rPr>
            </w:pPr>
            <w:r w:rsidRPr="000665B0">
              <w:rPr>
                <w:rFonts w:ascii="Arial" w:hAnsi="Arial" w:cs="Arial"/>
                <w:b/>
                <w:sz w:val="22"/>
                <w:szCs w:val="22"/>
              </w:rPr>
              <w:t>Ellipse</w:t>
            </w:r>
          </w:p>
        </w:tc>
        <w:tc>
          <w:tcPr>
            <w:tcW w:w="1080" w:type="dxa"/>
            <w:shd w:val="clear" w:color="auto" w:fill="D9D9D9" w:themeFill="background1" w:themeFillShade="D9"/>
          </w:tcPr>
          <w:p w14:paraId="52DCC306" w14:textId="77777777" w:rsidR="005355E5" w:rsidRPr="000665B0" w:rsidRDefault="005355E5" w:rsidP="009570CA">
            <w:pPr>
              <w:pStyle w:val="Number0205"/>
              <w:keepNext/>
              <w:ind w:left="0" w:firstLine="0"/>
              <w:jc w:val="center"/>
              <w:rPr>
                <w:rFonts w:ascii="Arial" w:hAnsi="Arial" w:cs="Arial"/>
                <w:b/>
                <w:sz w:val="22"/>
                <w:szCs w:val="22"/>
              </w:rPr>
            </w:pPr>
            <w:r w:rsidRPr="000665B0">
              <w:rPr>
                <w:rFonts w:ascii="Arial" w:hAnsi="Arial" w:cs="Arial"/>
                <w:b/>
                <w:sz w:val="22"/>
                <w:szCs w:val="22"/>
              </w:rPr>
              <w:t>FPPWP</w:t>
            </w:r>
          </w:p>
        </w:tc>
        <w:tc>
          <w:tcPr>
            <w:tcW w:w="1170" w:type="dxa"/>
            <w:shd w:val="clear" w:color="auto" w:fill="D9D9D9" w:themeFill="background1" w:themeFillShade="D9"/>
          </w:tcPr>
          <w:p w14:paraId="7A3293CB" w14:textId="77777777" w:rsidR="005355E5" w:rsidRPr="000665B0" w:rsidRDefault="005355E5" w:rsidP="009570CA">
            <w:pPr>
              <w:pStyle w:val="Number0205"/>
              <w:keepNext/>
              <w:ind w:left="0" w:firstLine="0"/>
              <w:jc w:val="center"/>
              <w:rPr>
                <w:rFonts w:ascii="Arial" w:hAnsi="Arial" w:cs="Arial"/>
                <w:b/>
                <w:sz w:val="22"/>
                <w:szCs w:val="22"/>
              </w:rPr>
            </w:pPr>
            <w:r w:rsidRPr="000665B0">
              <w:rPr>
                <w:rFonts w:ascii="Arial" w:hAnsi="Arial" w:cs="Arial"/>
                <w:b/>
                <w:sz w:val="22"/>
                <w:szCs w:val="22"/>
              </w:rPr>
              <w:t>PLP</w:t>
            </w:r>
          </w:p>
        </w:tc>
        <w:tc>
          <w:tcPr>
            <w:tcW w:w="1080" w:type="dxa"/>
            <w:shd w:val="clear" w:color="auto" w:fill="D9D9D9" w:themeFill="background1" w:themeFillShade="D9"/>
          </w:tcPr>
          <w:p w14:paraId="015CD20E" w14:textId="77777777" w:rsidR="005355E5" w:rsidRPr="000665B0" w:rsidRDefault="005355E5" w:rsidP="009570CA">
            <w:pPr>
              <w:pStyle w:val="Number0205"/>
              <w:keepNext/>
              <w:ind w:left="0" w:firstLine="0"/>
              <w:jc w:val="center"/>
              <w:rPr>
                <w:rFonts w:ascii="Arial" w:hAnsi="Arial" w:cs="Arial"/>
                <w:b/>
                <w:sz w:val="22"/>
                <w:szCs w:val="22"/>
              </w:rPr>
            </w:pPr>
            <w:r w:rsidRPr="000665B0">
              <w:rPr>
                <w:rFonts w:ascii="Arial" w:hAnsi="Arial" w:cs="Arial"/>
                <w:b/>
                <w:sz w:val="22"/>
                <w:szCs w:val="22"/>
              </w:rPr>
              <w:t>Polygon</w:t>
            </w:r>
          </w:p>
        </w:tc>
        <w:tc>
          <w:tcPr>
            <w:tcW w:w="1176" w:type="dxa"/>
            <w:shd w:val="clear" w:color="auto" w:fill="D9D9D9" w:themeFill="background1" w:themeFillShade="D9"/>
          </w:tcPr>
          <w:p w14:paraId="60F30793" w14:textId="77777777" w:rsidR="005355E5" w:rsidRPr="000665B0" w:rsidRDefault="005355E5" w:rsidP="009570CA">
            <w:pPr>
              <w:pStyle w:val="Number0205"/>
              <w:keepNext/>
              <w:ind w:left="0" w:firstLine="0"/>
              <w:jc w:val="center"/>
              <w:rPr>
                <w:rFonts w:ascii="Arial" w:hAnsi="Arial" w:cs="Arial"/>
                <w:b/>
                <w:sz w:val="22"/>
                <w:szCs w:val="22"/>
              </w:rPr>
            </w:pPr>
            <w:r w:rsidRPr="000665B0">
              <w:rPr>
                <w:rFonts w:ascii="Arial" w:hAnsi="Arial" w:cs="Arial"/>
                <w:b/>
                <w:sz w:val="22"/>
                <w:szCs w:val="22"/>
              </w:rPr>
              <w:t>Rectangle</w:t>
            </w:r>
          </w:p>
        </w:tc>
        <w:tc>
          <w:tcPr>
            <w:tcW w:w="1530" w:type="dxa"/>
            <w:shd w:val="clear" w:color="auto" w:fill="D9D9D9" w:themeFill="background1" w:themeFillShade="D9"/>
          </w:tcPr>
          <w:p w14:paraId="66767DD9" w14:textId="77777777" w:rsidR="005355E5" w:rsidRPr="000665B0" w:rsidRDefault="005355E5" w:rsidP="009570CA">
            <w:pPr>
              <w:pStyle w:val="Number0205"/>
              <w:keepNext/>
              <w:ind w:left="0" w:firstLine="0"/>
              <w:jc w:val="center"/>
              <w:rPr>
                <w:rFonts w:ascii="Arial" w:hAnsi="Arial" w:cs="Arial"/>
                <w:b/>
                <w:sz w:val="22"/>
                <w:szCs w:val="22"/>
              </w:rPr>
            </w:pPr>
            <w:r w:rsidRPr="000665B0">
              <w:rPr>
                <w:rFonts w:ascii="Arial" w:hAnsi="Arial" w:cs="Arial"/>
                <w:b/>
                <w:sz w:val="22"/>
                <w:szCs w:val="22"/>
              </w:rPr>
              <w:t>Sector</w:t>
            </w:r>
          </w:p>
        </w:tc>
      </w:tr>
      <w:tr w:rsidR="005355E5" w:rsidRPr="000665B0" w14:paraId="67250CCC" w14:textId="77777777" w:rsidTr="00B3443A">
        <w:tc>
          <w:tcPr>
            <w:tcW w:w="1710" w:type="dxa"/>
          </w:tcPr>
          <w:p w14:paraId="6B565012"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Color</w:t>
            </w:r>
          </w:p>
        </w:tc>
        <w:tc>
          <w:tcPr>
            <w:tcW w:w="1080" w:type="dxa"/>
          </w:tcPr>
          <w:p w14:paraId="694AB1CE"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719421FF"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0" w:type="dxa"/>
          </w:tcPr>
          <w:p w14:paraId="5AE91EA2"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3C491561"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6" w:type="dxa"/>
          </w:tcPr>
          <w:p w14:paraId="5AC5ECA0"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530" w:type="dxa"/>
          </w:tcPr>
          <w:p w14:paraId="76138D6A"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46188A02" w14:textId="77777777" w:rsidTr="00B3443A">
        <w:tc>
          <w:tcPr>
            <w:tcW w:w="1710" w:type="dxa"/>
          </w:tcPr>
          <w:p w14:paraId="1368E087"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Line Style</w:t>
            </w:r>
          </w:p>
        </w:tc>
        <w:tc>
          <w:tcPr>
            <w:tcW w:w="1080" w:type="dxa"/>
          </w:tcPr>
          <w:p w14:paraId="397A5C88"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263C9DCE"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0" w:type="dxa"/>
          </w:tcPr>
          <w:p w14:paraId="7E7EBDDA"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5F46421D"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6" w:type="dxa"/>
          </w:tcPr>
          <w:p w14:paraId="25633E5C"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530" w:type="dxa"/>
          </w:tcPr>
          <w:p w14:paraId="6B5C1182"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604673D9" w14:textId="77777777" w:rsidTr="00B3443A">
        <w:tc>
          <w:tcPr>
            <w:tcW w:w="1710" w:type="dxa"/>
          </w:tcPr>
          <w:p w14:paraId="36734A37"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Line Width</w:t>
            </w:r>
          </w:p>
        </w:tc>
        <w:tc>
          <w:tcPr>
            <w:tcW w:w="1080" w:type="dxa"/>
          </w:tcPr>
          <w:p w14:paraId="7FF2F180"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2627AD51"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0" w:type="dxa"/>
          </w:tcPr>
          <w:p w14:paraId="5B30D2F7"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7B1A4610"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6" w:type="dxa"/>
          </w:tcPr>
          <w:p w14:paraId="39FEC913"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530" w:type="dxa"/>
          </w:tcPr>
          <w:p w14:paraId="7E74C214"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105B160F" w14:textId="77777777" w:rsidTr="00B3443A">
        <w:tc>
          <w:tcPr>
            <w:tcW w:w="1710" w:type="dxa"/>
          </w:tcPr>
          <w:p w14:paraId="09D72BF8"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Fill Style</w:t>
            </w:r>
          </w:p>
        </w:tc>
        <w:tc>
          <w:tcPr>
            <w:tcW w:w="1080" w:type="dxa"/>
          </w:tcPr>
          <w:p w14:paraId="1EBE7E4C"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0CFFDBBD" w14:textId="77777777" w:rsidR="005355E5" w:rsidRPr="000665B0" w:rsidRDefault="005355E5" w:rsidP="009570CA">
            <w:pPr>
              <w:pStyle w:val="Number0205"/>
              <w:keepNext/>
              <w:ind w:left="0" w:firstLine="0"/>
              <w:jc w:val="center"/>
              <w:rPr>
                <w:rFonts w:ascii="Arial" w:hAnsi="Arial" w:cs="Arial"/>
                <w:sz w:val="20"/>
              </w:rPr>
            </w:pPr>
          </w:p>
        </w:tc>
        <w:tc>
          <w:tcPr>
            <w:tcW w:w="1170" w:type="dxa"/>
          </w:tcPr>
          <w:p w14:paraId="4E9DA8FE"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1168EF1E"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6" w:type="dxa"/>
          </w:tcPr>
          <w:p w14:paraId="01AA1962"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530" w:type="dxa"/>
          </w:tcPr>
          <w:p w14:paraId="759C8304"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49757A02" w14:textId="77777777" w:rsidTr="00B3443A">
        <w:tc>
          <w:tcPr>
            <w:tcW w:w="1710" w:type="dxa"/>
          </w:tcPr>
          <w:p w14:paraId="116A0828"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Fill Color</w:t>
            </w:r>
          </w:p>
        </w:tc>
        <w:tc>
          <w:tcPr>
            <w:tcW w:w="1080" w:type="dxa"/>
          </w:tcPr>
          <w:p w14:paraId="2BC79DAE"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23F8EA10" w14:textId="77777777" w:rsidR="005355E5" w:rsidRPr="000665B0" w:rsidRDefault="005355E5" w:rsidP="009570CA">
            <w:pPr>
              <w:pStyle w:val="Number0205"/>
              <w:keepNext/>
              <w:ind w:left="0" w:firstLine="0"/>
              <w:jc w:val="center"/>
              <w:rPr>
                <w:rFonts w:ascii="Arial" w:hAnsi="Arial" w:cs="Arial"/>
                <w:sz w:val="20"/>
              </w:rPr>
            </w:pPr>
          </w:p>
        </w:tc>
        <w:tc>
          <w:tcPr>
            <w:tcW w:w="1170" w:type="dxa"/>
          </w:tcPr>
          <w:p w14:paraId="1F383717"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4AA62793"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6" w:type="dxa"/>
          </w:tcPr>
          <w:p w14:paraId="63491169"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530" w:type="dxa"/>
          </w:tcPr>
          <w:p w14:paraId="052DCF47"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331635F9" w14:textId="77777777" w:rsidTr="00B3443A">
        <w:tc>
          <w:tcPr>
            <w:tcW w:w="1710" w:type="dxa"/>
          </w:tcPr>
          <w:p w14:paraId="3AD686CD"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Semi-Major Axis</w:t>
            </w:r>
          </w:p>
        </w:tc>
        <w:tc>
          <w:tcPr>
            <w:tcW w:w="1080" w:type="dxa"/>
          </w:tcPr>
          <w:p w14:paraId="52FE4BC6"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00ADDAF4" w14:textId="77777777" w:rsidR="005355E5" w:rsidRPr="000665B0" w:rsidRDefault="005355E5" w:rsidP="009570CA">
            <w:pPr>
              <w:pStyle w:val="Number0205"/>
              <w:keepNext/>
              <w:ind w:left="0" w:firstLine="0"/>
              <w:jc w:val="center"/>
              <w:rPr>
                <w:rFonts w:ascii="Arial" w:hAnsi="Arial" w:cs="Arial"/>
                <w:sz w:val="20"/>
              </w:rPr>
            </w:pPr>
          </w:p>
        </w:tc>
        <w:tc>
          <w:tcPr>
            <w:tcW w:w="1170" w:type="dxa"/>
          </w:tcPr>
          <w:p w14:paraId="28B564F6"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51EEEC30" w14:textId="77777777" w:rsidR="005355E5" w:rsidRPr="000665B0" w:rsidRDefault="005355E5" w:rsidP="009570CA">
            <w:pPr>
              <w:pStyle w:val="Number0205"/>
              <w:keepNext/>
              <w:ind w:left="0" w:firstLine="0"/>
              <w:jc w:val="center"/>
              <w:rPr>
                <w:rFonts w:ascii="Arial" w:hAnsi="Arial" w:cs="Arial"/>
                <w:sz w:val="20"/>
              </w:rPr>
            </w:pPr>
          </w:p>
        </w:tc>
        <w:tc>
          <w:tcPr>
            <w:tcW w:w="1176" w:type="dxa"/>
          </w:tcPr>
          <w:p w14:paraId="55E7C2F8" w14:textId="77777777" w:rsidR="005355E5" w:rsidRPr="000665B0" w:rsidRDefault="005355E5" w:rsidP="009570CA">
            <w:pPr>
              <w:pStyle w:val="Number0205"/>
              <w:keepNext/>
              <w:ind w:left="0" w:firstLine="0"/>
              <w:jc w:val="center"/>
              <w:rPr>
                <w:rFonts w:ascii="Arial" w:hAnsi="Arial" w:cs="Arial"/>
                <w:sz w:val="20"/>
              </w:rPr>
            </w:pPr>
          </w:p>
        </w:tc>
        <w:tc>
          <w:tcPr>
            <w:tcW w:w="1530" w:type="dxa"/>
          </w:tcPr>
          <w:p w14:paraId="372F77DD" w14:textId="77777777" w:rsidR="005355E5" w:rsidRPr="000665B0" w:rsidRDefault="005355E5" w:rsidP="009570CA">
            <w:pPr>
              <w:pStyle w:val="Number0205"/>
              <w:keepNext/>
              <w:ind w:left="0" w:firstLine="0"/>
              <w:jc w:val="center"/>
              <w:rPr>
                <w:rFonts w:ascii="Arial" w:hAnsi="Arial" w:cs="Arial"/>
                <w:sz w:val="20"/>
              </w:rPr>
            </w:pPr>
          </w:p>
        </w:tc>
      </w:tr>
      <w:tr w:rsidR="005355E5" w:rsidRPr="000665B0" w14:paraId="5D152224" w14:textId="77777777" w:rsidTr="00B3443A">
        <w:tc>
          <w:tcPr>
            <w:tcW w:w="1710" w:type="dxa"/>
          </w:tcPr>
          <w:p w14:paraId="76215F61"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Semi-Minor Axis</w:t>
            </w:r>
          </w:p>
        </w:tc>
        <w:tc>
          <w:tcPr>
            <w:tcW w:w="1080" w:type="dxa"/>
          </w:tcPr>
          <w:p w14:paraId="795508D7"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4E412301" w14:textId="77777777" w:rsidR="005355E5" w:rsidRPr="000665B0" w:rsidRDefault="005355E5" w:rsidP="009570CA">
            <w:pPr>
              <w:pStyle w:val="Number0205"/>
              <w:keepNext/>
              <w:ind w:left="0" w:firstLine="0"/>
              <w:jc w:val="center"/>
              <w:rPr>
                <w:rFonts w:ascii="Arial" w:hAnsi="Arial" w:cs="Arial"/>
                <w:sz w:val="20"/>
              </w:rPr>
            </w:pPr>
          </w:p>
        </w:tc>
        <w:tc>
          <w:tcPr>
            <w:tcW w:w="1170" w:type="dxa"/>
          </w:tcPr>
          <w:p w14:paraId="33E8C3CB"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03AC01D7" w14:textId="77777777" w:rsidR="005355E5" w:rsidRPr="000665B0" w:rsidRDefault="005355E5" w:rsidP="009570CA">
            <w:pPr>
              <w:pStyle w:val="Number0205"/>
              <w:keepNext/>
              <w:ind w:left="0" w:firstLine="0"/>
              <w:jc w:val="center"/>
              <w:rPr>
                <w:rFonts w:ascii="Arial" w:hAnsi="Arial" w:cs="Arial"/>
                <w:sz w:val="20"/>
              </w:rPr>
            </w:pPr>
          </w:p>
        </w:tc>
        <w:tc>
          <w:tcPr>
            <w:tcW w:w="1176" w:type="dxa"/>
          </w:tcPr>
          <w:p w14:paraId="78CF4655" w14:textId="77777777" w:rsidR="005355E5" w:rsidRPr="000665B0" w:rsidRDefault="005355E5" w:rsidP="009570CA">
            <w:pPr>
              <w:pStyle w:val="Number0205"/>
              <w:keepNext/>
              <w:ind w:left="0" w:firstLine="0"/>
              <w:jc w:val="center"/>
              <w:rPr>
                <w:rFonts w:ascii="Arial" w:hAnsi="Arial" w:cs="Arial"/>
                <w:sz w:val="20"/>
              </w:rPr>
            </w:pPr>
          </w:p>
        </w:tc>
        <w:tc>
          <w:tcPr>
            <w:tcW w:w="1530" w:type="dxa"/>
          </w:tcPr>
          <w:p w14:paraId="42CA11AE" w14:textId="77777777" w:rsidR="005355E5" w:rsidRPr="000665B0" w:rsidRDefault="005355E5" w:rsidP="009570CA">
            <w:pPr>
              <w:pStyle w:val="Number0205"/>
              <w:keepNext/>
              <w:ind w:left="0" w:firstLine="0"/>
              <w:jc w:val="center"/>
              <w:rPr>
                <w:rFonts w:ascii="Arial" w:hAnsi="Arial" w:cs="Arial"/>
                <w:sz w:val="20"/>
              </w:rPr>
            </w:pPr>
          </w:p>
        </w:tc>
      </w:tr>
      <w:tr w:rsidR="005355E5" w:rsidRPr="000665B0" w14:paraId="2F0110C4" w14:textId="77777777" w:rsidTr="00B3443A">
        <w:tc>
          <w:tcPr>
            <w:tcW w:w="1710" w:type="dxa"/>
          </w:tcPr>
          <w:p w14:paraId="0ECBA86E"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Orientation</w:t>
            </w:r>
          </w:p>
        </w:tc>
        <w:tc>
          <w:tcPr>
            <w:tcW w:w="1080" w:type="dxa"/>
          </w:tcPr>
          <w:p w14:paraId="36094646"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1CD9BBC1" w14:textId="77777777" w:rsidR="005355E5" w:rsidRPr="000665B0" w:rsidRDefault="005355E5" w:rsidP="009570CA">
            <w:pPr>
              <w:pStyle w:val="Number0205"/>
              <w:keepNext/>
              <w:ind w:left="0" w:firstLine="0"/>
              <w:jc w:val="center"/>
              <w:rPr>
                <w:rFonts w:ascii="Arial" w:hAnsi="Arial" w:cs="Arial"/>
                <w:sz w:val="20"/>
              </w:rPr>
            </w:pPr>
          </w:p>
        </w:tc>
        <w:tc>
          <w:tcPr>
            <w:tcW w:w="1170" w:type="dxa"/>
          </w:tcPr>
          <w:p w14:paraId="6804AA29"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1600D8F0" w14:textId="77777777" w:rsidR="005355E5" w:rsidRPr="000665B0" w:rsidRDefault="005355E5" w:rsidP="009570CA">
            <w:pPr>
              <w:pStyle w:val="Number0205"/>
              <w:keepNext/>
              <w:ind w:left="0" w:firstLine="0"/>
              <w:jc w:val="center"/>
              <w:rPr>
                <w:rFonts w:ascii="Arial" w:hAnsi="Arial" w:cs="Arial"/>
                <w:sz w:val="20"/>
              </w:rPr>
            </w:pPr>
          </w:p>
        </w:tc>
        <w:tc>
          <w:tcPr>
            <w:tcW w:w="1176" w:type="dxa"/>
          </w:tcPr>
          <w:p w14:paraId="398F3432" w14:textId="77777777" w:rsidR="005355E5" w:rsidRPr="000665B0" w:rsidRDefault="005355E5" w:rsidP="009570CA">
            <w:pPr>
              <w:pStyle w:val="Number0205"/>
              <w:keepNext/>
              <w:ind w:left="0" w:firstLine="0"/>
              <w:jc w:val="center"/>
              <w:rPr>
                <w:rFonts w:ascii="Arial" w:hAnsi="Arial" w:cs="Arial"/>
                <w:sz w:val="20"/>
              </w:rPr>
            </w:pPr>
          </w:p>
        </w:tc>
        <w:tc>
          <w:tcPr>
            <w:tcW w:w="1530" w:type="dxa"/>
          </w:tcPr>
          <w:p w14:paraId="45D2472B"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461F3C00" w14:textId="77777777" w:rsidTr="00B3443A">
        <w:tc>
          <w:tcPr>
            <w:tcW w:w="1710" w:type="dxa"/>
          </w:tcPr>
          <w:p w14:paraId="56ED085E"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Latitude</w:t>
            </w:r>
          </w:p>
        </w:tc>
        <w:tc>
          <w:tcPr>
            <w:tcW w:w="1080" w:type="dxa"/>
          </w:tcPr>
          <w:p w14:paraId="5E66DDD5"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2B590C7F"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0" w:type="dxa"/>
          </w:tcPr>
          <w:p w14:paraId="12412EFE"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69B48B5B"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6" w:type="dxa"/>
          </w:tcPr>
          <w:p w14:paraId="4E530E08"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530" w:type="dxa"/>
          </w:tcPr>
          <w:p w14:paraId="634E18EE"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4AE211A9" w14:textId="77777777" w:rsidTr="00B3443A">
        <w:tc>
          <w:tcPr>
            <w:tcW w:w="1710" w:type="dxa"/>
          </w:tcPr>
          <w:p w14:paraId="374DA82A"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Longitude</w:t>
            </w:r>
          </w:p>
        </w:tc>
        <w:tc>
          <w:tcPr>
            <w:tcW w:w="1080" w:type="dxa"/>
          </w:tcPr>
          <w:p w14:paraId="393916C5"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5E2B504B"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0" w:type="dxa"/>
          </w:tcPr>
          <w:p w14:paraId="3EB42716"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080" w:type="dxa"/>
          </w:tcPr>
          <w:p w14:paraId="204C48AB"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6" w:type="dxa"/>
          </w:tcPr>
          <w:p w14:paraId="298C7B26"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530" w:type="dxa"/>
          </w:tcPr>
          <w:p w14:paraId="0D5D2F09"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517A38AD" w14:textId="77777777" w:rsidTr="00B3443A">
        <w:tc>
          <w:tcPr>
            <w:tcW w:w="1710" w:type="dxa"/>
          </w:tcPr>
          <w:p w14:paraId="5DCC4C5F"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Altitude</w:t>
            </w:r>
          </w:p>
        </w:tc>
        <w:tc>
          <w:tcPr>
            <w:tcW w:w="1080" w:type="dxa"/>
          </w:tcPr>
          <w:p w14:paraId="019AB966"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27C72C36" w14:textId="77777777" w:rsidR="005355E5" w:rsidRPr="000665B0" w:rsidRDefault="005355E5" w:rsidP="009570CA">
            <w:pPr>
              <w:pStyle w:val="Number0205"/>
              <w:keepNext/>
              <w:ind w:left="0" w:firstLine="0"/>
              <w:jc w:val="center"/>
              <w:rPr>
                <w:rFonts w:ascii="Arial" w:hAnsi="Arial" w:cs="Arial"/>
                <w:sz w:val="20"/>
              </w:rPr>
            </w:pPr>
          </w:p>
        </w:tc>
        <w:tc>
          <w:tcPr>
            <w:tcW w:w="1170" w:type="dxa"/>
          </w:tcPr>
          <w:p w14:paraId="1EF7E944"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27BC85EC"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6" w:type="dxa"/>
          </w:tcPr>
          <w:p w14:paraId="066A7103" w14:textId="77777777" w:rsidR="005355E5" w:rsidRPr="000665B0" w:rsidRDefault="005355E5" w:rsidP="009570CA">
            <w:pPr>
              <w:pStyle w:val="Number0205"/>
              <w:keepNext/>
              <w:ind w:left="0" w:firstLine="0"/>
              <w:jc w:val="center"/>
              <w:rPr>
                <w:rFonts w:ascii="Arial" w:hAnsi="Arial" w:cs="Arial"/>
                <w:sz w:val="20"/>
              </w:rPr>
            </w:pPr>
          </w:p>
        </w:tc>
        <w:tc>
          <w:tcPr>
            <w:tcW w:w="1530" w:type="dxa"/>
          </w:tcPr>
          <w:p w14:paraId="3C7E39BF" w14:textId="77777777" w:rsidR="005355E5" w:rsidRPr="000665B0" w:rsidRDefault="005355E5" w:rsidP="009570CA">
            <w:pPr>
              <w:pStyle w:val="Number0205"/>
              <w:keepNext/>
              <w:ind w:left="0" w:firstLine="0"/>
              <w:jc w:val="center"/>
              <w:rPr>
                <w:rFonts w:ascii="Arial" w:hAnsi="Arial" w:cs="Arial"/>
                <w:sz w:val="20"/>
              </w:rPr>
            </w:pPr>
          </w:p>
        </w:tc>
      </w:tr>
      <w:tr w:rsidR="005355E5" w:rsidRPr="000665B0" w14:paraId="0CA80D89" w14:textId="77777777" w:rsidTr="00B3443A">
        <w:tc>
          <w:tcPr>
            <w:tcW w:w="1710" w:type="dxa"/>
          </w:tcPr>
          <w:p w14:paraId="58DD36BD"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Bearing</w:t>
            </w:r>
          </w:p>
        </w:tc>
        <w:tc>
          <w:tcPr>
            <w:tcW w:w="1080" w:type="dxa"/>
          </w:tcPr>
          <w:p w14:paraId="3989CE19"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76B45BF6"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c>
          <w:tcPr>
            <w:tcW w:w="1170" w:type="dxa"/>
          </w:tcPr>
          <w:p w14:paraId="0038E621"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21E139E9" w14:textId="77777777" w:rsidR="005355E5" w:rsidRPr="000665B0" w:rsidRDefault="005355E5" w:rsidP="009570CA">
            <w:pPr>
              <w:pStyle w:val="Number0205"/>
              <w:keepNext/>
              <w:ind w:left="0" w:firstLine="0"/>
              <w:jc w:val="center"/>
              <w:rPr>
                <w:rFonts w:ascii="Arial" w:hAnsi="Arial" w:cs="Arial"/>
                <w:sz w:val="20"/>
              </w:rPr>
            </w:pPr>
          </w:p>
        </w:tc>
        <w:tc>
          <w:tcPr>
            <w:tcW w:w="1176" w:type="dxa"/>
          </w:tcPr>
          <w:p w14:paraId="587762C8" w14:textId="77777777" w:rsidR="005355E5" w:rsidRPr="000665B0" w:rsidRDefault="005355E5" w:rsidP="009570CA">
            <w:pPr>
              <w:pStyle w:val="Number0205"/>
              <w:keepNext/>
              <w:ind w:left="0" w:firstLine="0"/>
              <w:jc w:val="center"/>
              <w:rPr>
                <w:rFonts w:ascii="Arial" w:hAnsi="Arial" w:cs="Arial"/>
                <w:sz w:val="20"/>
              </w:rPr>
            </w:pPr>
          </w:p>
        </w:tc>
        <w:tc>
          <w:tcPr>
            <w:tcW w:w="1530" w:type="dxa"/>
          </w:tcPr>
          <w:p w14:paraId="7715714A" w14:textId="77777777" w:rsidR="005355E5" w:rsidRPr="000665B0" w:rsidRDefault="005355E5" w:rsidP="009570CA">
            <w:pPr>
              <w:pStyle w:val="Number0205"/>
              <w:keepNext/>
              <w:ind w:left="0" w:firstLine="0"/>
              <w:jc w:val="center"/>
              <w:rPr>
                <w:rFonts w:ascii="Arial" w:hAnsi="Arial" w:cs="Arial"/>
                <w:sz w:val="20"/>
              </w:rPr>
            </w:pPr>
          </w:p>
        </w:tc>
      </w:tr>
      <w:tr w:rsidR="005355E5" w:rsidRPr="000665B0" w14:paraId="570D98D9" w14:textId="77777777" w:rsidTr="00B3443A">
        <w:tc>
          <w:tcPr>
            <w:tcW w:w="1710" w:type="dxa"/>
          </w:tcPr>
          <w:p w14:paraId="261BF8BE"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Start Bearing</w:t>
            </w:r>
          </w:p>
        </w:tc>
        <w:tc>
          <w:tcPr>
            <w:tcW w:w="1080" w:type="dxa"/>
          </w:tcPr>
          <w:p w14:paraId="1A225ECD"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339BA6C8" w14:textId="77777777" w:rsidR="005355E5" w:rsidRPr="000665B0" w:rsidRDefault="005355E5" w:rsidP="009570CA">
            <w:pPr>
              <w:pStyle w:val="Number0205"/>
              <w:keepNext/>
              <w:ind w:left="0" w:firstLine="0"/>
              <w:jc w:val="center"/>
              <w:rPr>
                <w:rFonts w:ascii="Arial" w:hAnsi="Arial" w:cs="Arial"/>
                <w:sz w:val="20"/>
              </w:rPr>
            </w:pPr>
          </w:p>
        </w:tc>
        <w:tc>
          <w:tcPr>
            <w:tcW w:w="1170" w:type="dxa"/>
          </w:tcPr>
          <w:p w14:paraId="755A04FE"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197E8946" w14:textId="77777777" w:rsidR="005355E5" w:rsidRPr="000665B0" w:rsidRDefault="005355E5" w:rsidP="009570CA">
            <w:pPr>
              <w:pStyle w:val="Number0205"/>
              <w:keepNext/>
              <w:ind w:left="0" w:firstLine="0"/>
              <w:jc w:val="center"/>
              <w:rPr>
                <w:rFonts w:ascii="Arial" w:hAnsi="Arial" w:cs="Arial"/>
                <w:sz w:val="20"/>
              </w:rPr>
            </w:pPr>
          </w:p>
        </w:tc>
        <w:tc>
          <w:tcPr>
            <w:tcW w:w="1176" w:type="dxa"/>
          </w:tcPr>
          <w:p w14:paraId="266505CB" w14:textId="77777777" w:rsidR="005355E5" w:rsidRPr="000665B0" w:rsidRDefault="005355E5" w:rsidP="009570CA">
            <w:pPr>
              <w:pStyle w:val="Number0205"/>
              <w:keepNext/>
              <w:ind w:left="0" w:firstLine="0"/>
              <w:jc w:val="center"/>
              <w:rPr>
                <w:rFonts w:ascii="Arial" w:hAnsi="Arial" w:cs="Arial"/>
                <w:sz w:val="20"/>
              </w:rPr>
            </w:pPr>
          </w:p>
        </w:tc>
        <w:tc>
          <w:tcPr>
            <w:tcW w:w="1530" w:type="dxa"/>
          </w:tcPr>
          <w:p w14:paraId="0C9BFB8A"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452F8C97" w14:textId="77777777" w:rsidTr="00B3443A">
        <w:tc>
          <w:tcPr>
            <w:tcW w:w="1710" w:type="dxa"/>
          </w:tcPr>
          <w:p w14:paraId="3FADB41E"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End Bearing</w:t>
            </w:r>
          </w:p>
        </w:tc>
        <w:tc>
          <w:tcPr>
            <w:tcW w:w="1080" w:type="dxa"/>
          </w:tcPr>
          <w:p w14:paraId="05E3C356"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0DC964F4" w14:textId="77777777" w:rsidR="005355E5" w:rsidRPr="000665B0" w:rsidRDefault="005355E5" w:rsidP="009570CA">
            <w:pPr>
              <w:pStyle w:val="Number0205"/>
              <w:keepNext/>
              <w:ind w:left="0" w:firstLine="0"/>
              <w:jc w:val="center"/>
              <w:rPr>
                <w:rFonts w:ascii="Arial" w:hAnsi="Arial" w:cs="Arial"/>
                <w:sz w:val="20"/>
              </w:rPr>
            </w:pPr>
          </w:p>
        </w:tc>
        <w:tc>
          <w:tcPr>
            <w:tcW w:w="1170" w:type="dxa"/>
          </w:tcPr>
          <w:p w14:paraId="0232ACA7"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6D162522" w14:textId="77777777" w:rsidR="005355E5" w:rsidRPr="000665B0" w:rsidRDefault="005355E5" w:rsidP="009570CA">
            <w:pPr>
              <w:pStyle w:val="Number0205"/>
              <w:keepNext/>
              <w:ind w:left="0" w:firstLine="0"/>
              <w:jc w:val="center"/>
              <w:rPr>
                <w:rFonts w:ascii="Arial" w:hAnsi="Arial" w:cs="Arial"/>
                <w:sz w:val="20"/>
              </w:rPr>
            </w:pPr>
          </w:p>
        </w:tc>
        <w:tc>
          <w:tcPr>
            <w:tcW w:w="1176" w:type="dxa"/>
          </w:tcPr>
          <w:p w14:paraId="059B787A" w14:textId="77777777" w:rsidR="005355E5" w:rsidRPr="000665B0" w:rsidRDefault="005355E5" w:rsidP="009570CA">
            <w:pPr>
              <w:pStyle w:val="Number0205"/>
              <w:keepNext/>
              <w:ind w:left="0" w:firstLine="0"/>
              <w:jc w:val="center"/>
              <w:rPr>
                <w:rFonts w:ascii="Arial" w:hAnsi="Arial" w:cs="Arial"/>
                <w:sz w:val="20"/>
              </w:rPr>
            </w:pPr>
          </w:p>
        </w:tc>
        <w:tc>
          <w:tcPr>
            <w:tcW w:w="1530" w:type="dxa"/>
          </w:tcPr>
          <w:p w14:paraId="386992BF"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122B70A2" w14:textId="77777777" w:rsidTr="00B3443A">
        <w:tc>
          <w:tcPr>
            <w:tcW w:w="1710" w:type="dxa"/>
          </w:tcPr>
          <w:p w14:paraId="4C316993"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Inner Radius</w:t>
            </w:r>
          </w:p>
        </w:tc>
        <w:tc>
          <w:tcPr>
            <w:tcW w:w="1080" w:type="dxa"/>
          </w:tcPr>
          <w:p w14:paraId="1EAC1BC0"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4BB14514" w14:textId="77777777" w:rsidR="005355E5" w:rsidRPr="000665B0" w:rsidRDefault="005355E5" w:rsidP="009570CA">
            <w:pPr>
              <w:pStyle w:val="Number0205"/>
              <w:keepNext/>
              <w:ind w:left="0" w:firstLine="0"/>
              <w:jc w:val="center"/>
              <w:rPr>
                <w:rFonts w:ascii="Arial" w:hAnsi="Arial" w:cs="Arial"/>
                <w:sz w:val="20"/>
              </w:rPr>
            </w:pPr>
          </w:p>
        </w:tc>
        <w:tc>
          <w:tcPr>
            <w:tcW w:w="1170" w:type="dxa"/>
          </w:tcPr>
          <w:p w14:paraId="6AB3F02C" w14:textId="77777777" w:rsidR="005355E5" w:rsidRPr="000665B0" w:rsidRDefault="005355E5" w:rsidP="009570CA">
            <w:pPr>
              <w:pStyle w:val="Number0205"/>
              <w:keepNext/>
              <w:ind w:left="0" w:firstLine="0"/>
              <w:jc w:val="center"/>
              <w:rPr>
                <w:rFonts w:ascii="Arial" w:hAnsi="Arial" w:cs="Arial"/>
                <w:sz w:val="20"/>
              </w:rPr>
            </w:pPr>
          </w:p>
        </w:tc>
        <w:tc>
          <w:tcPr>
            <w:tcW w:w="1080" w:type="dxa"/>
          </w:tcPr>
          <w:p w14:paraId="1411B502" w14:textId="77777777" w:rsidR="005355E5" w:rsidRPr="000665B0" w:rsidRDefault="005355E5" w:rsidP="009570CA">
            <w:pPr>
              <w:pStyle w:val="Number0205"/>
              <w:keepNext/>
              <w:ind w:left="0" w:firstLine="0"/>
              <w:jc w:val="center"/>
              <w:rPr>
                <w:rFonts w:ascii="Arial" w:hAnsi="Arial" w:cs="Arial"/>
                <w:sz w:val="20"/>
              </w:rPr>
            </w:pPr>
          </w:p>
        </w:tc>
        <w:tc>
          <w:tcPr>
            <w:tcW w:w="1176" w:type="dxa"/>
          </w:tcPr>
          <w:p w14:paraId="0659CC38" w14:textId="77777777" w:rsidR="005355E5" w:rsidRPr="000665B0" w:rsidRDefault="005355E5" w:rsidP="009570CA">
            <w:pPr>
              <w:pStyle w:val="Number0205"/>
              <w:keepNext/>
              <w:ind w:left="0" w:firstLine="0"/>
              <w:jc w:val="center"/>
              <w:rPr>
                <w:rFonts w:ascii="Arial" w:hAnsi="Arial" w:cs="Arial"/>
                <w:sz w:val="20"/>
              </w:rPr>
            </w:pPr>
          </w:p>
        </w:tc>
        <w:tc>
          <w:tcPr>
            <w:tcW w:w="1530" w:type="dxa"/>
          </w:tcPr>
          <w:p w14:paraId="3DFC468D"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0F340112" w14:textId="77777777" w:rsidTr="00C63237">
        <w:tc>
          <w:tcPr>
            <w:tcW w:w="1710" w:type="dxa"/>
            <w:tcBorders>
              <w:bottom w:val="single" w:sz="4" w:space="0" w:color="auto"/>
            </w:tcBorders>
          </w:tcPr>
          <w:p w14:paraId="278CAF6D" w14:textId="77777777" w:rsidR="005355E5" w:rsidRPr="000665B0" w:rsidRDefault="005355E5" w:rsidP="009570CA">
            <w:pPr>
              <w:pStyle w:val="Number0205"/>
              <w:keepNext/>
              <w:ind w:left="0" w:firstLine="0"/>
              <w:rPr>
                <w:rFonts w:ascii="Arial" w:hAnsi="Arial" w:cs="Arial"/>
                <w:sz w:val="20"/>
              </w:rPr>
            </w:pPr>
            <w:r w:rsidRPr="000665B0">
              <w:rPr>
                <w:rFonts w:ascii="Arial" w:hAnsi="Arial" w:cs="Arial"/>
                <w:b/>
                <w:sz w:val="20"/>
              </w:rPr>
              <w:t>Outer Radius</w:t>
            </w:r>
          </w:p>
        </w:tc>
        <w:tc>
          <w:tcPr>
            <w:tcW w:w="1080" w:type="dxa"/>
            <w:tcBorders>
              <w:bottom w:val="single" w:sz="4" w:space="0" w:color="auto"/>
            </w:tcBorders>
          </w:tcPr>
          <w:p w14:paraId="5B32A164" w14:textId="77777777" w:rsidR="005355E5" w:rsidRPr="000665B0" w:rsidRDefault="005355E5" w:rsidP="009570CA">
            <w:pPr>
              <w:pStyle w:val="Number0205"/>
              <w:keepNext/>
              <w:ind w:left="0" w:firstLine="0"/>
              <w:jc w:val="center"/>
              <w:rPr>
                <w:rFonts w:ascii="Arial" w:hAnsi="Arial" w:cs="Arial"/>
                <w:sz w:val="20"/>
              </w:rPr>
            </w:pPr>
          </w:p>
        </w:tc>
        <w:tc>
          <w:tcPr>
            <w:tcW w:w="1080" w:type="dxa"/>
            <w:tcBorders>
              <w:bottom w:val="single" w:sz="4" w:space="0" w:color="auto"/>
            </w:tcBorders>
          </w:tcPr>
          <w:p w14:paraId="40666D64" w14:textId="77777777" w:rsidR="005355E5" w:rsidRPr="000665B0" w:rsidRDefault="005355E5" w:rsidP="009570CA">
            <w:pPr>
              <w:pStyle w:val="Number0205"/>
              <w:keepNext/>
              <w:ind w:left="0" w:firstLine="0"/>
              <w:jc w:val="center"/>
              <w:rPr>
                <w:rFonts w:ascii="Arial" w:hAnsi="Arial" w:cs="Arial"/>
                <w:sz w:val="20"/>
              </w:rPr>
            </w:pPr>
          </w:p>
        </w:tc>
        <w:tc>
          <w:tcPr>
            <w:tcW w:w="1170" w:type="dxa"/>
            <w:tcBorders>
              <w:bottom w:val="single" w:sz="4" w:space="0" w:color="auto"/>
            </w:tcBorders>
          </w:tcPr>
          <w:p w14:paraId="347F7D08" w14:textId="77777777" w:rsidR="005355E5" w:rsidRPr="000665B0" w:rsidRDefault="005355E5" w:rsidP="009570CA">
            <w:pPr>
              <w:pStyle w:val="Number0205"/>
              <w:keepNext/>
              <w:ind w:left="0" w:firstLine="0"/>
              <w:jc w:val="center"/>
              <w:rPr>
                <w:rFonts w:ascii="Arial" w:hAnsi="Arial" w:cs="Arial"/>
                <w:sz w:val="20"/>
              </w:rPr>
            </w:pPr>
          </w:p>
        </w:tc>
        <w:tc>
          <w:tcPr>
            <w:tcW w:w="1080" w:type="dxa"/>
            <w:tcBorders>
              <w:bottom w:val="single" w:sz="4" w:space="0" w:color="auto"/>
            </w:tcBorders>
          </w:tcPr>
          <w:p w14:paraId="19EC5E5F" w14:textId="77777777" w:rsidR="005355E5" w:rsidRPr="000665B0" w:rsidRDefault="005355E5" w:rsidP="009570CA">
            <w:pPr>
              <w:pStyle w:val="Number0205"/>
              <w:keepNext/>
              <w:ind w:left="0" w:firstLine="0"/>
              <w:jc w:val="center"/>
              <w:rPr>
                <w:rFonts w:ascii="Arial" w:hAnsi="Arial" w:cs="Arial"/>
                <w:sz w:val="20"/>
              </w:rPr>
            </w:pPr>
          </w:p>
        </w:tc>
        <w:tc>
          <w:tcPr>
            <w:tcW w:w="1176" w:type="dxa"/>
            <w:tcBorders>
              <w:bottom w:val="single" w:sz="4" w:space="0" w:color="auto"/>
            </w:tcBorders>
          </w:tcPr>
          <w:p w14:paraId="1BED1A69" w14:textId="77777777" w:rsidR="005355E5" w:rsidRPr="000665B0" w:rsidRDefault="005355E5" w:rsidP="009570CA">
            <w:pPr>
              <w:pStyle w:val="Number0205"/>
              <w:keepNext/>
              <w:ind w:left="0" w:firstLine="0"/>
              <w:jc w:val="center"/>
              <w:rPr>
                <w:rFonts w:ascii="Arial" w:hAnsi="Arial" w:cs="Arial"/>
                <w:sz w:val="20"/>
              </w:rPr>
            </w:pPr>
          </w:p>
        </w:tc>
        <w:tc>
          <w:tcPr>
            <w:tcW w:w="1530" w:type="dxa"/>
            <w:tcBorders>
              <w:bottom w:val="single" w:sz="4" w:space="0" w:color="auto"/>
            </w:tcBorders>
          </w:tcPr>
          <w:p w14:paraId="721AF4F3"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X</w:t>
            </w:r>
          </w:p>
        </w:tc>
      </w:tr>
      <w:tr w:rsidR="005355E5" w:rsidRPr="000665B0" w14:paraId="3D146402" w14:textId="77777777" w:rsidTr="00C63237">
        <w:tc>
          <w:tcPr>
            <w:tcW w:w="1710" w:type="dxa"/>
            <w:tcBorders>
              <w:bottom w:val="single" w:sz="4" w:space="0" w:color="auto"/>
            </w:tcBorders>
          </w:tcPr>
          <w:p w14:paraId="5919CD81" w14:textId="77777777" w:rsidR="005355E5" w:rsidRPr="000665B0" w:rsidRDefault="005355E5" w:rsidP="009570CA">
            <w:pPr>
              <w:pStyle w:val="Number0205"/>
              <w:keepNext/>
              <w:ind w:left="0" w:firstLine="0"/>
              <w:rPr>
                <w:rFonts w:ascii="Arial" w:hAnsi="Arial" w:cs="Arial"/>
                <w:b/>
                <w:sz w:val="20"/>
              </w:rPr>
            </w:pPr>
            <w:r w:rsidRPr="000665B0">
              <w:rPr>
                <w:rFonts w:ascii="Arial" w:hAnsi="Arial" w:cs="Arial"/>
                <w:b/>
                <w:sz w:val="20"/>
              </w:rPr>
              <w:t>Number of Points</w:t>
            </w:r>
          </w:p>
        </w:tc>
        <w:tc>
          <w:tcPr>
            <w:tcW w:w="1080" w:type="dxa"/>
            <w:tcBorders>
              <w:bottom w:val="single" w:sz="4" w:space="0" w:color="auto"/>
            </w:tcBorders>
          </w:tcPr>
          <w:p w14:paraId="4DEDB005"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1</w:t>
            </w:r>
          </w:p>
        </w:tc>
        <w:tc>
          <w:tcPr>
            <w:tcW w:w="1080" w:type="dxa"/>
            <w:tcBorders>
              <w:bottom w:val="single" w:sz="4" w:space="0" w:color="auto"/>
            </w:tcBorders>
          </w:tcPr>
          <w:p w14:paraId="328687B5"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1</w:t>
            </w:r>
          </w:p>
        </w:tc>
        <w:tc>
          <w:tcPr>
            <w:tcW w:w="1170" w:type="dxa"/>
            <w:tcBorders>
              <w:bottom w:val="single" w:sz="4" w:space="0" w:color="auto"/>
            </w:tcBorders>
          </w:tcPr>
          <w:p w14:paraId="6E110710"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1</w:t>
            </w:r>
          </w:p>
        </w:tc>
        <w:tc>
          <w:tcPr>
            <w:tcW w:w="1080" w:type="dxa"/>
            <w:tcBorders>
              <w:bottom w:val="single" w:sz="4" w:space="0" w:color="auto"/>
            </w:tcBorders>
          </w:tcPr>
          <w:p w14:paraId="1E48E8A0"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3-250</w:t>
            </w:r>
            <w:r w:rsidR="00B3443A" w:rsidRPr="000665B0">
              <w:rPr>
                <w:rFonts w:ascii="Arial" w:hAnsi="Arial" w:cs="Arial"/>
                <w:sz w:val="20"/>
                <w:vertAlign w:val="superscript"/>
              </w:rPr>
              <w:t>1</w:t>
            </w:r>
          </w:p>
        </w:tc>
        <w:tc>
          <w:tcPr>
            <w:tcW w:w="1176" w:type="dxa"/>
            <w:tcBorders>
              <w:bottom w:val="single" w:sz="4" w:space="0" w:color="auto"/>
            </w:tcBorders>
          </w:tcPr>
          <w:p w14:paraId="6E1106AF"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2</w:t>
            </w:r>
          </w:p>
        </w:tc>
        <w:tc>
          <w:tcPr>
            <w:tcW w:w="1530" w:type="dxa"/>
            <w:tcBorders>
              <w:bottom w:val="single" w:sz="4" w:space="0" w:color="auto"/>
            </w:tcBorders>
          </w:tcPr>
          <w:p w14:paraId="1E3A4922" w14:textId="77777777" w:rsidR="005355E5" w:rsidRPr="000665B0" w:rsidRDefault="005355E5" w:rsidP="009570CA">
            <w:pPr>
              <w:pStyle w:val="Number0205"/>
              <w:keepNext/>
              <w:ind w:left="0" w:firstLine="0"/>
              <w:jc w:val="center"/>
              <w:rPr>
                <w:rFonts w:ascii="Arial" w:hAnsi="Arial" w:cs="Arial"/>
                <w:sz w:val="20"/>
              </w:rPr>
            </w:pPr>
            <w:r w:rsidRPr="000665B0">
              <w:rPr>
                <w:rFonts w:ascii="Arial" w:hAnsi="Arial" w:cs="Arial"/>
                <w:sz w:val="20"/>
              </w:rPr>
              <w:t>1</w:t>
            </w:r>
          </w:p>
        </w:tc>
      </w:tr>
      <w:tr w:rsidR="00B3443A" w:rsidRPr="000665B0" w14:paraId="030A6B57" w14:textId="77777777" w:rsidTr="00C63237">
        <w:tc>
          <w:tcPr>
            <w:tcW w:w="8826" w:type="dxa"/>
            <w:gridSpan w:val="7"/>
            <w:tcBorders>
              <w:top w:val="single" w:sz="4" w:space="0" w:color="auto"/>
              <w:left w:val="nil"/>
              <w:bottom w:val="nil"/>
              <w:right w:val="nil"/>
            </w:tcBorders>
          </w:tcPr>
          <w:p w14:paraId="524D8594" w14:textId="77777777" w:rsidR="00B3443A" w:rsidRPr="000665B0" w:rsidRDefault="00B3443A" w:rsidP="009570CA">
            <w:pPr>
              <w:pStyle w:val="Number0205"/>
              <w:keepNext/>
              <w:ind w:left="0" w:firstLine="0"/>
              <w:rPr>
                <w:rFonts w:ascii="Arial" w:hAnsi="Arial" w:cs="Arial"/>
                <w:sz w:val="20"/>
              </w:rPr>
            </w:pPr>
            <w:r w:rsidRPr="000665B0">
              <w:rPr>
                <w:rFonts w:ascii="Arial" w:hAnsi="Arial" w:cs="Arial"/>
                <w:sz w:val="16"/>
                <w:szCs w:val="16"/>
              </w:rPr>
              <w:t>1. An ACMS with more than 24 points that is generated from an ACO cannot be sent to a TTWCS</w:t>
            </w:r>
            <w:r w:rsidRPr="000665B0">
              <w:rPr>
                <w:rFonts w:ascii="Arial" w:hAnsi="Arial" w:cs="Arial"/>
                <w:sz w:val="20"/>
              </w:rPr>
              <w:t>.</w:t>
            </w:r>
          </w:p>
        </w:tc>
      </w:tr>
    </w:tbl>
    <w:p w14:paraId="41C4A3A6" w14:textId="2FF9983C" w:rsidR="001B79BE" w:rsidRPr="000665B0" w:rsidRDefault="005355E5" w:rsidP="006D5A65">
      <w:pPr>
        <w:pStyle w:val="Heading1"/>
      </w:pPr>
      <w:r w:rsidRPr="000665B0">
        <w:t xml:space="preserve">Edit Geographically – Click on the Edit Geographically button below the list. The map display appears. Re-center and zoom the map to the area of interest. Select a shape from the palette to the right of the map display. Optionally select line color, width, and style (and fill </w:t>
      </w:r>
      <w:r w:rsidR="006C42DC" w:rsidRPr="000665B0">
        <w:t xml:space="preserve">color and </w:t>
      </w:r>
      <w:r w:rsidRPr="000665B0">
        <w:t>style for a filled shape). Using the cursor, draw the shape on the map. Click OK on the palette to the right of the map when done</w:t>
      </w:r>
      <w:r w:rsidR="003B2EFC" w:rsidRPr="000665B0">
        <w:t>.</w:t>
      </w:r>
    </w:p>
    <w:p w14:paraId="155212C9" w14:textId="23432F16" w:rsidR="00C43745" w:rsidRPr="000665B0" w:rsidRDefault="00C43745" w:rsidP="006D5A65">
      <w:pPr>
        <w:pStyle w:val="Heading1"/>
      </w:pPr>
      <w:r w:rsidRPr="000665B0">
        <w:t>Geometric shapes (</w:t>
      </w:r>
      <w:r w:rsidR="002D123F" w:rsidRPr="000665B0">
        <w:t>e.g.,</w:t>
      </w:r>
      <w:r w:rsidRPr="000665B0">
        <w:t xml:space="preserve"> polygons, sectors, etc.) that are directly over or near the north or south pole may display unexpected behavior. While drawing the shapes and when viewing them geographically after they’ve been saved, they may “flip” to the opposite side of the pole compared to when originally drawn. Additionally, curved shapes that are </w:t>
      </w:r>
      <w:r w:rsidRPr="000665B0">
        <w:lastRenderedPageBreak/>
        <w:t xml:space="preserve">converted to polygons when saved (see </w:t>
      </w:r>
      <w:hyperlink w:anchor="_5.33.1__Create" w:history="1">
        <w:r w:rsidRPr="000665B0">
          <w:rPr>
            <w:rStyle w:val="Hyperlink"/>
          </w:rPr>
          <w:t xml:space="preserve">Section </w:t>
        </w:r>
        <w:r w:rsidR="004231CC">
          <w:rPr>
            <w:rStyle w:val="Hyperlink"/>
          </w:rPr>
          <w:t>5.29</w:t>
        </w:r>
        <w:r w:rsidRPr="000665B0">
          <w:rPr>
            <w:rStyle w:val="Hyperlink"/>
          </w:rPr>
          <w:t>.1</w:t>
        </w:r>
      </w:hyperlink>
      <w:r w:rsidRPr="000665B0">
        <w:t>) may display differently than their original shape.</w:t>
      </w:r>
    </w:p>
    <w:p w14:paraId="2FC6F63E" w14:textId="23C43013" w:rsidR="003B2EFC" w:rsidRPr="000665B0" w:rsidRDefault="00D15484" w:rsidP="009570CA">
      <w:pPr>
        <w:pStyle w:val="Number0205"/>
        <w:ind w:left="0" w:firstLine="0"/>
        <w:jc w:val="center"/>
      </w:pPr>
      <w:r w:rsidRPr="000665B0">
        <w:rPr>
          <w:noProof/>
        </w:rPr>
        <w:drawing>
          <wp:inline distT="0" distB="0" distL="0" distR="0" wp14:anchorId="387514F5" wp14:editId="7EB1BC7D">
            <wp:extent cx="3154680" cy="5477256"/>
            <wp:effectExtent l="0" t="0" r="0" b="0"/>
            <wp:docPr id="2149" name="Picture 2149" descr="cid:image002.jpg@01D1F147.EED2C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jpg@01D1F147.EED2CEE0"/>
                    <pic:cNvPicPr>
                      <a:picLocks noChangeAspect="1" noChangeArrowheads="1"/>
                    </pic:cNvPicPr>
                  </pic:nvPicPr>
                  <pic:blipFill rotWithShape="1">
                    <a:blip r:link="rId20" cstate="screen">
                      <a:extLst>
                        <a:ext uri="{28A0092B-C50C-407E-A947-70E740481C1C}">
                          <a14:useLocalDpi xmlns:a14="http://schemas.microsoft.com/office/drawing/2010/main"/>
                        </a:ext>
                      </a:extLst>
                    </a:blip>
                    <a:srcRect/>
                    <a:stretch/>
                  </pic:blipFill>
                  <pic:spPr bwMode="auto">
                    <a:xfrm>
                      <a:off x="0" y="0"/>
                      <a:ext cx="3154680" cy="5477256"/>
                    </a:xfrm>
                    <a:prstGeom prst="rect">
                      <a:avLst/>
                    </a:prstGeom>
                    <a:noFill/>
                    <a:ln>
                      <a:noFill/>
                    </a:ln>
                    <a:extLst>
                      <a:ext uri="{53640926-AAD7-44D8-BBD7-CCE9431645EC}">
                        <a14:shadowObscured xmlns:a14="http://schemas.microsoft.com/office/drawing/2010/main"/>
                      </a:ext>
                    </a:extLst>
                  </pic:spPr>
                </pic:pic>
              </a:graphicData>
            </a:graphic>
          </wp:inline>
        </w:drawing>
      </w:r>
    </w:p>
    <w:p w14:paraId="7EE17852" w14:textId="77777777" w:rsidR="008040CC" w:rsidRPr="000665B0" w:rsidRDefault="00943E0C" w:rsidP="006D5A65">
      <w:pPr>
        <w:pStyle w:val="Heading1"/>
      </w:pPr>
      <w:r w:rsidRPr="000665B0">
        <w:t>For Loiter Areas and Flight Corridors only – After entering the ACMS Geo Object Type of Polygon, Rectangle, Ellipse, or Sector:</w:t>
      </w:r>
    </w:p>
    <w:p w14:paraId="2AD1CCCA" w14:textId="77777777" w:rsidR="00943E0C" w:rsidRPr="000665B0" w:rsidRDefault="00943E0C" w:rsidP="006D5A65">
      <w:pPr>
        <w:pStyle w:val="Heading1"/>
      </w:pPr>
      <w:r w:rsidRPr="000665B0">
        <w:t xml:space="preserve">Select the </w:t>
      </w:r>
      <w:r w:rsidRPr="000665B0">
        <w:rPr>
          <w:i/>
        </w:rPr>
        <w:t>Entry Lines</w:t>
      </w:r>
      <w:r w:rsidRPr="000665B0">
        <w:t xml:space="preserve"> tab and choose one or more entry points for the ACMS by checking all the appropriate checkboxes. </w:t>
      </w:r>
    </w:p>
    <w:p w14:paraId="4DAA238B" w14:textId="77777777" w:rsidR="008040CC" w:rsidRPr="000665B0" w:rsidRDefault="00943E0C" w:rsidP="006D5A65">
      <w:pPr>
        <w:pStyle w:val="Heading1"/>
      </w:pPr>
      <w:r w:rsidRPr="000665B0">
        <w:t xml:space="preserve">Select the </w:t>
      </w:r>
      <w:r w:rsidRPr="000665B0">
        <w:rPr>
          <w:i/>
        </w:rPr>
        <w:t>Exit Lines</w:t>
      </w:r>
      <w:r w:rsidRPr="000665B0">
        <w:t xml:space="preserve"> tab and choose one or more exit points for the ACMS by checking all the appropriate checkboxes.</w:t>
      </w:r>
      <w:r w:rsidR="008040CC" w:rsidRPr="000665B0">
        <w:t xml:space="preserve"> </w:t>
      </w:r>
    </w:p>
    <w:p w14:paraId="13227440" w14:textId="77777777" w:rsidR="00D0334C" w:rsidRPr="000665B0" w:rsidRDefault="00943E0C" w:rsidP="009570CA">
      <w:pPr>
        <w:pStyle w:val="Bullet"/>
        <w:ind w:left="720"/>
      </w:pPr>
      <w:r w:rsidRPr="000665B0">
        <w:t>Each time the ACMS Geo Object Type is edited, the Entry and Exit points are recalculated.</w:t>
      </w:r>
    </w:p>
    <w:p w14:paraId="2BD26C2E" w14:textId="2CB97A8F" w:rsidR="0009112A" w:rsidRPr="000665B0" w:rsidRDefault="0009112A" w:rsidP="006D5A65">
      <w:pPr>
        <w:pStyle w:val="Heading1"/>
        <w:rPr>
          <w:szCs w:val="24"/>
        </w:rPr>
      </w:pPr>
      <w:r w:rsidRPr="000665B0">
        <w:rPr>
          <w:noProof/>
        </w:rPr>
        <w:lastRenderedPageBreak/>
        <w:t xml:space="preserve">For Planned Outcomes Boundary only – See </w:t>
      </w:r>
      <w:hyperlink w:anchor="_5.33.1.1__Planned" w:history="1">
        <w:r w:rsidRPr="000665B0">
          <w:rPr>
            <w:rStyle w:val="Hyperlink"/>
            <w:noProof/>
          </w:rPr>
          <w:t xml:space="preserve">Section </w:t>
        </w:r>
        <w:r w:rsidR="004231CC">
          <w:rPr>
            <w:rStyle w:val="Hyperlink"/>
            <w:noProof/>
          </w:rPr>
          <w:t>5.29</w:t>
        </w:r>
        <w:r w:rsidRPr="000665B0">
          <w:rPr>
            <w:rStyle w:val="Hyperlink"/>
            <w:noProof/>
          </w:rPr>
          <w:t>.1.1</w:t>
        </w:r>
      </w:hyperlink>
      <w:r w:rsidRPr="000665B0">
        <w:rPr>
          <w:noProof/>
        </w:rPr>
        <w:t>.</w:t>
      </w:r>
    </w:p>
    <w:p w14:paraId="428CEBA4" w14:textId="4D3C72C5" w:rsidR="00CA5E0F" w:rsidRPr="000665B0" w:rsidRDefault="00943E0C" w:rsidP="006D5A65">
      <w:pPr>
        <w:pStyle w:val="Heading1"/>
        <w:rPr>
          <w:noProof/>
        </w:rPr>
      </w:pPr>
      <w:r w:rsidRPr="000665B0">
        <w:t xml:space="preserve">Click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bookmarkEnd w:id="5531"/>
      <w:bookmarkEnd w:id="5532"/>
      <w:bookmarkEnd w:id="5533"/>
      <w:r w:rsidR="00CA5E0F" w:rsidRPr="000665B0">
        <w:rPr>
          <w:noProof/>
        </w:rPr>
        <w:t xml:space="preserve"> </w:t>
      </w:r>
    </w:p>
    <w:p w14:paraId="3338BEA2" w14:textId="77777777" w:rsidR="00CA5E0F" w:rsidRPr="000665B0" w:rsidRDefault="00CA5E0F" w:rsidP="009570CA">
      <w:pPr>
        <w:autoSpaceDE w:val="0"/>
        <w:autoSpaceDN w:val="0"/>
        <w:adjustRightInd w:val="0"/>
        <w:spacing w:after="0"/>
        <w:ind w:left="720"/>
        <w:rPr>
          <w:noProof/>
        </w:rPr>
      </w:pPr>
    </w:p>
    <w:p w14:paraId="22F60E57" w14:textId="77777777" w:rsidR="00CA5E0F" w:rsidRPr="000665B0" w:rsidRDefault="00CA5E0F"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695788E" w14:textId="77777777" w:rsidR="00643D72" w:rsidRDefault="00CA5E0F"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When an ACMS is saved, the ACMS Geographic Object Type is automatically converted to a Polygon EXCEPT for ACMS Type FPPWP. </w:t>
      </w:r>
    </w:p>
    <w:p w14:paraId="5490F001" w14:textId="39A268A6" w:rsidR="00CA5E0F" w:rsidRPr="000665B0" w:rsidRDefault="00CA5E0F"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br/>
        <w:t>Example: If the ACMS type is any Type other than an FPPWP, with a Geographic Object Type of Ellipse, PLP, Rectangle, or Sector, the Geographic Object Type is converted to a Polygon when the ACMS is saved.</w:t>
      </w:r>
    </w:p>
    <w:p w14:paraId="57542C61" w14:textId="77777777" w:rsidR="00CA5E0F" w:rsidRPr="000665B0" w:rsidRDefault="00CA5E0F" w:rsidP="009570CA">
      <w:pPr>
        <w:autoSpaceDE w:val="0"/>
        <w:autoSpaceDN w:val="0"/>
        <w:adjustRightInd w:val="0"/>
        <w:spacing w:after="0"/>
        <w:ind w:left="360"/>
        <w:rPr>
          <w:noProof/>
        </w:rPr>
      </w:pPr>
      <w:r w:rsidRPr="000665B0" w:rsidDel="00427A08">
        <w:rPr>
          <w:noProof/>
        </w:rPr>
        <w:t xml:space="preserve"> </w:t>
      </w:r>
    </w:p>
    <w:p w14:paraId="53377328" w14:textId="77777777" w:rsidR="00CA5E0F" w:rsidRPr="000665B0" w:rsidRDefault="00CA5E0F"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Note: </w:t>
      </w:r>
    </w:p>
    <w:p w14:paraId="1149B148" w14:textId="77777777" w:rsidR="00CA5E0F" w:rsidRPr="000665B0" w:rsidRDefault="00CA5E0F"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Once the ACMS is saved, the ACMS Name, ACMS Short Name, and ACMS Type can no longer be edited.</w:t>
      </w:r>
    </w:p>
    <w:p w14:paraId="5322D246" w14:textId="4B851325" w:rsidR="0009112A" w:rsidRPr="000665B0" w:rsidRDefault="0009112A" w:rsidP="009570CA">
      <w:pPr>
        <w:pStyle w:val="Heading4"/>
      </w:pPr>
      <w:bookmarkStart w:id="5534" w:name="_5.33.1.1__Planned"/>
      <w:bookmarkStart w:id="5535" w:name="_Planned_Outcomes_Boundary"/>
      <w:bookmarkStart w:id="5536" w:name="_Toc71955674"/>
      <w:bookmarkStart w:id="5537" w:name="_Toc96170212"/>
      <w:bookmarkStart w:id="5538" w:name="_Toc96234257"/>
      <w:bookmarkStart w:id="5539" w:name="_Toc112733680"/>
      <w:bookmarkStart w:id="5540" w:name="_Toc162850588"/>
      <w:bookmarkEnd w:id="5534"/>
      <w:bookmarkEnd w:id="5535"/>
      <w:r w:rsidRPr="000665B0">
        <w:t xml:space="preserve">Planned Outcomes Boundary </w:t>
      </w:r>
      <w:r w:rsidR="000D16AA" w:rsidRPr="000665B0">
        <w:t>ACMS</w:t>
      </w:r>
    </w:p>
    <w:p w14:paraId="79E9AD54" w14:textId="49DBBB32" w:rsidR="006C42DC" w:rsidRPr="000665B0" w:rsidRDefault="0009112A" w:rsidP="009570CA">
      <w:r w:rsidRPr="000665B0">
        <w:t>Creating a new Planned Outcomes Boundary (POB) ACMS</w:t>
      </w:r>
      <w:r w:rsidR="00EF26F0" w:rsidRPr="000665B0">
        <w:t xml:space="preserve"> Type</w:t>
      </w:r>
      <w:r w:rsidRPr="000665B0">
        <w:t xml:space="preserve"> or viewing an existing POB ACMS </w:t>
      </w:r>
      <w:r w:rsidR="00F84DD3" w:rsidRPr="000665B0">
        <w:t>displays</w:t>
      </w:r>
      <w:r w:rsidRPr="000665B0">
        <w:t xml:space="preserve"> the </w:t>
      </w:r>
      <w:r w:rsidRPr="000665B0">
        <w:rPr>
          <w:i/>
        </w:rPr>
        <w:t>ACMS: POBxxxxxxxxxxxxxxx</w:t>
      </w:r>
      <w:r w:rsidRPr="000665B0">
        <w:t xml:space="preserve"> window. The window </w:t>
      </w:r>
      <w:r w:rsidR="00EF26F0" w:rsidRPr="000665B0">
        <w:t xml:space="preserve">is somewhat similar to other ACMS Type </w:t>
      </w:r>
      <w:r w:rsidR="00E971E8" w:rsidRPr="000665B0">
        <w:t>windows but</w:t>
      </w:r>
      <w:r w:rsidR="00EF26F0" w:rsidRPr="000665B0">
        <w:t xml:space="preserve"> also</w:t>
      </w:r>
      <w:r w:rsidRPr="000665B0">
        <w:t xml:space="preserve"> </w:t>
      </w:r>
      <w:r w:rsidR="0049270B" w:rsidRPr="000665B0">
        <w:t>contains</w:t>
      </w:r>
      <w:r w:rsidRPr="000665B0">
        <w:t xml:space="preserve"> data that is specifically relevant only to the POB</w:t>
      </w:r>
      <w:r w:rsidR="0069002C" w:rsidRPr="000665B0">
        <w:t xml:space="preserve"> ACMS type</w:t>
      </w:r>
      <w:r w:rsidRPr="000665B0">
        <w:t xml:space="preserve">. </w:t>
      </w:r>
    </w:p>
    <w:p w14:paraId="14AB70EB" w14:textId="4B5C847F" w:rsidR="0009112A" w:rsidRPr="000665B0" w:rsidRDefault="00F167CA" w:rsidP="009570CA">
      <w:pPr>
        <w:jc w:val="center"/>
      </w:pPr>
      <w:r w:rsidRPr="000665B0">
        <w:rPr>
          <w:noProof/>
        </w:rPr>
        <w:drawing>
          <wp:inline distT="0" distB="0" distL="0" distR="0" wp14:anchorId="01EA0ECD" wp14:editId="1C69A267">
            <wp:extent cx="3154680" cy="2779776"/>
            <wp:effectExtent l="0" t="0" r="0" b="0"/>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779776"/>
                    </a:xfrm>
                    <a:prstGeom prst="rect">
                      <a:avLst/>
                    </a:prstGeom>
                  </pic:spPr>
                </pic:pic>
              </a:graphicData>
            </a:graphic>
          </wp:inline>
        </w:drawing>
      </w:r>
    </w:p>
    <w:p w14:paraId="1017B586" w14:textId="1AEAE4F6" w:rsidR="00EF26F0" w:rsidRPr="000665B0" w:rsidRDefault="00EF26F0" w:rsidP="009570CA">
      <w:r w:rsidRPr="000665B0">
        <w:t xml:space="preserve">Enter or edit the appropriate values/selections (mandatory fields are </w:t>
      </w:r>
      <w:r w:rsidRPr="000665B0">
        <w:rPr>
          <w:szCs w:val="24"/>
        </w:rPr>
        <w:t xml:space="preserve">denoted by the * and/or yellow background </w:t>
      </w:r>
      <w:r w:rsidRPr="000665B0">
        <w:t xml:space="preserve">and the user is unable to proceed without updating this field. </w:t>
      </w:r>
      <w:r w:rsidRPr="000665B0">
        <w:rPr>
          <w:szCs w:val="24"/>
        </w:rPr>
        <w:t xml:space="preserve">For further information on mandatory fields see </w:t>
      </w:r>
      <w:hyperlink w:anchor="_5.2.7__Editing" w:history="1">
        <w:r w:rsidRPr="000665B0">
          <w:rPr>
            <w:color w:val="0000FF"/>
            <w:szCs w:val="24"/>
            <w:u w:val="single"/>
          </w:rPr>
          <w:t>Section 5.2.8</w:t>
        </w:r>
      </w:hyperlink>
      <w:r w:rsidRPr="000665B0">
        <w:rPr>
          <w:szCs w:val="24"/>
        </w:rPr>
        <w:t>)</w:t>
      </w:r>
      <w:r w:rsidRPr="000665B0">
        <w:t xml:space="preserve">. </w:t>
      </w:r>
      <w:r w:rsidRPr="000665B0">
        <w:rPr>
          <w:szCs w:val="24"/>
        </w:rPr>
        <w:t xml:space="preserve">Click on the </w:t>
      </w:r>
      <w:r w:rsidRPr="000665B0">
        <w:rPr>
          <w:b/>
          <w:szCs w:val="24"/>
        </w:rPr>
        <w:t>Save</w:t>
      </w:r>
      <w:r w:rsidRPr="000665B0">
        <w:rPr>
          <w:szCs w:val="24"/>
        </w:rPr>
        <w:t xml:space="preserve"> </w:t>
      </w:r>
      <w:r w:rsidRPr="000665B0">
        <w:rPr>
          <w:rFonts w:ascii="Wingdings" w:hAnsi="Wingdings" w:cs="Wingdings"/>
          <w:szCs w:val="24"/>
        </w:rPr>
        <w:t></w:t>
      </w:r>
      <w:r w:rsidRPr="000665B0">
        <w:rPr>
          <w:szCs w:val="24"/>
        </w:rPr>
        <w:t xml:space="preserve"> icon or select the </w:t>
      </w:r>
      <w:r w:rsidRPr="000665B0">
        <w:rPr>
          <w:b/>
          <w:bCs/>
          <w:szCs w:val="24"/>
        </w:rPr>
        <w:t>Save</w:t>
      </w:r>
      <w:r w:rsidRPr="000665B0">
        <w:rPr>
          <w:szCs w:val="24"/>
        </w:rPr>
        <w:t xml:space="preserve"> option from the </w:t>
      </w:r>
      <w:r w:rsidRPr="000665B0">
        <w:rPr>
          <w:b/>
          <w:bCs/>
          <w:szCs w:val="24"/>
        </w:rPr>
        <w:t>File</w:t>
      </w:r>
      <w:r w:rsidRPr="000665B0">
        <w:rPr>
          <w:szCs w:val="24"/>
        </w:rPr>
        <w:t xml:space="preserve"> pull down menu.</w:t>
      </w:r>
      <w:r w:rsidRPr="000665B0">
        <w:rPr>
          <w:noProof/>
        </w:rPr>
        <w:t xml:space="preserve"> Alternatively,</w:t>
      </w:r>
      <w:r w:rsidRPr="000665B0">
        <w:t xml:space="preserve"> click on the </w:t>
      </w:r>
      <w:r w:rsidRPr="000665B0">
        <w:rPr>
          <w:b/>
        </w:rPr>
        <w:t>Edit Geographically</w:t>
      </w:r>
      <w:r w:rsidRPr="000665B0">
        <w:t xml:space="preserve"> button to display the map. Re-center and zoom the map to the area of interest. Select the </w:t>
      </w:r>
      <w:r w:rsidRPr="000665B0">
        <w:rPr>
          <w:b/>
        </w:rPr>
        <w:t>POB</w:t>
      </w:r>
      <w:r w:rsidRPr="000665B0">
        <w:t xml:space="preserve"> shape from the palette to the right of the map display, then select line color, width, and style as well as fill </w:t>
      </w:r>
      <w:r w:rsidRPr="000665B0">
        <w:lastRenderedPageBreak/>
        <w:t xml:space="preserve">color and style. Using the cursor, draw the shape on the map. Click </w:t>
      </w:r>
      <w:r w:rsidRPr="000665B0">
        <w:rPr>
          <w:b/>
        </w:rPr>
        <w:t>OK</w:t>
      </w:r>
      <w:r w:rsidRPr="000665B0">
        <w:t xml:space="preserve"> on the palette to the right of the map when done. </w:t>
      </w:r>
      <w:r w:rsidRPr="000665B0">
        <w:rPr>
          <w:szCs w:val="24"/>
        </w:rPr>
        <w:t xml:space="preserve">Click on the </w:t>
      </w:r>
      <w:r w:rsidRPr="000665B0">
        <w:rPr>
          <w:b/>
          <w:szCs w:val="24"/>
        </w:rPr>
        <w:t>Save</w:t>
      </w:r>
      <w:r w:rsidRPr="000665B0">
        <w:rPr>
          <w:szCs w:val="24"/>
        </w:rPr>
        <w:t xml:space="preserve"> </w:t>
      </w:r>
      <w:r w:rsidRPr="000665B0">
        <w:rPr>
          <w:rFonts w:ascii="Wingdings" w:hAnsi="Wingdings" w:cs="Wingdings"/>
          <w:szCs w:val="24"/>
        </w:rPr>
        <w:t></w:t>
      </w:r>
      <w:r w:rsidRPr="000665B0">
        <w:rPr>
          <w:szCs w:val="24"/>
        </w:rPr>
        <w:t xml:space="preserve"> icon or select the </w:t>
      </w:r>
      <w:r w:rsidRPr="000665B0">
        <w:rPr>
          <w:b/>
          <w:bCs/>
          <w:szCs w:val="24"/>
        </w:rPr>
        <w:t>Save</w:t>
      </w:r>
      <w:r w:rsidRPr="000665B0">
        <w:rPr>
          <w:szCs w:val="24"/>
        </w:rPr>
        <w:t xml:space="preserve"> option from the </w:t>
      </w:r>
      <w:r w:rsidRPr="000665B0">
        <w:rPr>
          <w:b/>
          <w:bCs/>
          <w:szCs w:val="24"/>
        </w:rPr>
        <w:t>File</w:t>
      </w:r>
      <w:r w:rsidRPr="000665B0">
        <w:rPr>
          <w:szCs w:val="24"/>
        </w:rPr>
        <w:t xml:space="preserve"> pull down menu.</w:t>
      </w:r>
    </w:p>
    <w:p w14:paraId="789B9A76" w14:textId="218E5686" w:rsidR="005D1A26" w:rsidRPr="000665B0" w:rsidRDefault="00CA5E0F" w:rsidP="009570CA">
      <w:pPr>
        <w:pStyle w:val="Heading3"/>
      </w:pPr>
      <w:bookmarkStart w:id="5541" w:name="_5.33.2__Display"/>
      <w:bookmarkStart w:id="5542" w:name="_Toc214283464"/>
      <w:bookmarkEnd w:id="5541"/>
      <w:r w:rsidRPr="000665B0">
        <w:t>Display Textually</w:t>
      </w:r>
      <w:bookmarkEnd w:id="5536"/>
      <w:bookmarkEnd w:id="5537"/>
      <w:bookmarkEnd w:id="5538"/>
      <w:bookmarkEnd w:id="5539"/>
      <w:bookmarkEnd w:id="5540"/>
      <w:bookmarkEnd w:id="5542"/>
    </w:p>
    <w:p w14:paraId="04819755" w14:textId="77777777" w:rsidR="00591EE1" w:rsidRPr="000665B0" w:rsidRDefault="00591EE1" w:rsidP="009570CA">
      <w:bookmarkStart w:id="5543" w:name="_Toc71955675"/>
      <w:bookmarkStart w:id="5544" w:name="_Toc96170213"/>
      <w:bookmarkStart w:id="5545" w:name="_Toc96234258"/>
      <w:bookmarkStart w:id="5546" w:name="_Toc112733681"/>
      <w:bookmarkStart w:id="5547" w:name="_Toc289328766"/>
      <w:bookmarkStart w:id="5548" w:name="_Toc312332011"/>
      <w:r w:rsidRPr="000665B0">
        <w:t>This allows for the textual display and editing of the ACMS.</w:t>
      </w:r>
      <w:r w:rsidRPr="000665B0">
        <w:rPr>
          <w:snapToGrid w:val="0"/>
        </w:rPr>
        <w:t xml:space="preserve"> ACMSs that are distributed are automatically set to “Read-Only.” </w:t>
      </w:r>
    </w:p>
    <w:p w14:paraId="1A356818" w14:textId="3D4E9AC4" w:rsidR="00591EE1" w:rsidRPr="006E72D1" w:rsidRDefault="00591EE1" w:rsidP="006E72D1">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bCs/>
        </w:rPr>
      </w:pPr>
      <w:r w:rsidRPr="006E72D1">
        <w:rPr>
          <w:b/>
          <w:bCs/>
        </w:rPr>
        <w:t>Note:</w:t>
      </w:r>
      <w:r w:rsidR="006E72D1">
        <w:rPr>
          <w:b/>
          <w:bCs/>
        </w:rPr>
        <w:br/>
      </w:r>
      <w:r w:rsidRPr="006E72D1">
        <w:rPr>
          <w:b/>
          <w:bCs/>
        </w:rPr>
        <w:t>The display attributes of an ACMS with “Read Only” status cannot be modified from the ACMS Textual View.</w:t>
      </w:r>
    </w:p>
    <w:p w14:paraId="0DE7207C" w14:textId="01C53355" w:rsidR="00E71FF6" w:rsidRPr="000665B0" w:rsidRDefault="00E71FF6" w:rsidP="009570CA">
      <w:r w:rsidRPr="000665B0">
        <w:t xml:space="preserve">To display textually see </w:t>
      </w:r>
      <w:hyperlink w:anchor="_5.2.1.2.4__Display_1" w:history="1">
        <w:r w:rsidRPr="000665B0">
          <w:rPr>
            <w:color w:val="0000FF"/>
            <w:u w:val="single"/>
          </w:rPr>
          <w:t>Section 5.2.1.2.4</w:t>
        </w:r>
      </w:hyperlink>
      <w:r w:rsidRPr="000665B0">
        <w:t>.</w:t>
      </w:r>
    </w:p>
    <w:p w14:paraId="76D5FEA0" w14:textId="03FA95EE" w:rsidR="005D1A26" w:rsidRPr="000665B0" w:rsidRDefault="005D1A26" w:rsidP="009570CA">
      <w:pPr>
        <w:pStyle w:val="Heading3"/>
      </w:pPr>
      <w:bookmarkStart w:id="5549" w:name="_Toc214283465"/>
      <w:r w:rsidRPr="000665B0">
        <w:t>Display Geographically</w:t>
      </w:r>
      <w:bookmarkEnd w:id="5543"/>
      <w:bookmarkEnd w:id="5544"/>
      <w:bookmarkEnd w:id="5545"/>
      <w:bookmarkEnd w:id="5546"/>
      <w:bookmarkEnd w:id="5547"/>
      <w:bookmarkEnd w:id="5548"/>
      <w:bookmarkEnd w:id="5549"/>
    </w:p>
    <w:p w14:paraId="0A962834" w14:textId="77777777" w:rsidR="005D1A26" w:rsidRPr="000665B0" w:rsidRDefault="0004610C" w:rsidP="009570CA">
      <w:r w:rsidRPr="000665B0">
        <w:t>This a</w:t>
      </w:r>
      <w:r w:rsidR="005D1A26" w:rsidRPr="000665B0">
        <w:t>llows for the display of the ACMS geographically.</w:t>
      </w:r>
    </w:p>
    <w:p w14:paraId="3D9111E8" w14:textId="4196AE2E" w:rsidR="005D1A26" w:rsidRPr="000665B0" w:rsidRDefault="005D1A26" w:rsidP="009570CA">
      <w:pPr>
        <w:spacing w:after="0"/>
      </w:pPr>
      <w:r w:rsidRPr="000665B0">
        <w:t xml:space="preserve">To display geographically see </w:t>
      </w:r>
      <w:hyperlink w:anchor="_5.2.1.2.2__Display_1" w:history="1">
        <w:r w:rsidRPr="000665B0">
          <w:rPr>
            <w:rStyle w:val="Hyperlink"/>
          </w:rPr>
          <w:t>Section 5.2.1.2.2</w:t>
        </w:r>
      </w:hyperlink>
      <w:r w:rsidRPr="000665B0">
        <w:t>.</w:t>
      </w:r>
    </w:p>
    <w:p w14:paraId="0168C1E9" w14:textId="1D423BBA" w:rsidR="008040CC" w:rsidRPr="000665B0" w:rsidRDefault="008040CC" w:rsidP="009570CA">
      <w:pPr>
        <w:pStyle w:val="Heading3"/>
      </w:pPr>
      <w:bookmarkStart w:id="5550" w:name="_Toc112733682"/>
      <w:bookmarkStart w:id="5551" w:name="_Toc289328767"/>
      <w:bookmarkStart w:id="5552" w:name="_Toc312332012"/>
      <w:bookmarkStart w:id="5553" w:name="_Toc214283466"/>
      <w:bookmarkStart w:id="5554" w:name="_Toc102447110"/>
      <w:bookmarkStart w:id="5555" w:name="_Toc71955678"/>
      <w:bookmarkStart w:id="5556" w:name="_Toc96170214"/>
      <w:bookmarkStart w:id="5557" w:name="_Toc96234259"/>
      <w:r w:rsidRPr="000665B0">
        <w:t>Filter</w:t>
      </w:r>
      <w:bookmarkEnd w:id="5550"/>
      <w:bookmarkEnd w:id="5551"/>
      <w:bookmarkEnd w:id="5552"/>
      <w:bookmarkEnd w:id="5553"/>
      <w:r w:rsidRPr="000665B0">
        <w:t xml:space="preserve"> </w:t>
      </w:r>
      <w:bookmarkEnd w:id="5554"/>
    </w:p>
    <w:p w14:paraId="2AE3A5D8" w14:textId="471BDF15" w:rsidR="008040CC" w:rsidRPr="000665B0" w:rsidRDefault="008040CC" w:rsidP="009570CA">
      <w:r w:rsidRPr="000665B0">
        <w:t xml:space="preserve">The ACMS List View can be filtered </w:t>
      </w:r>
      <w:r w:rsidR="00EA11F0" w:rsidRPr="000665B0">
        <w:t xml:space="preserve">by using the </w:t>
      </w:r>
      <w:r w:rsidR="00EA11F0" w:rsidRPr="000665B0">
        <w:sym w:font="Wingdings 3" w:char="F071"/>
      </w:r>
      <w:r w:rsidR="00D90DF5" w:rsidRPr="000665B0">
        <w:t xml:space="preserve"> button on the tool bar to select the desired filter</w:t>
      </w:r>
      <w:r w:rsidRPr="000665B0">
        <w:t>:</w:t>
      </w:r>
    </w:p>
    <w:p w14:paraId="2EA451C6" w14:textId="74E3EFC0" w:rsidR="00AB513C" w:rsidRPr="000665B0" w:rsidRDefault="00AB513C" w:rsidP="009570CA">
      <w:pPr>
        <w:jc w:val="center"/>
      </w:pPr>
      <w:r w:rsidRPr="000665B0">
        <w:rPr>
          <w:noProof/>
        </w:rPr>
        <w:drawing>
          <wp:inline distT="0" distB="0" distL="0" distR="0" wp14:anchorId="67719A99" wp14:editId="44B608EA">
            <wp:extent cx="4572000" cy="914400"/>
            <wp:effectExtent l="0" t="0" r="0" b="0"/>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914400"/>
                    </a:xfrm>
                    <a:prstGeom prst="rect">
                      <a:avLst/>
                    </a:prstGeom>
                  </pic:spPr>
                </pic:pic>
              </a:graphicData>
            </a:graphic>
          </wp:inline>
        </w:drawing>
      </w:r>
    </w:p>
    <w:p w14:paraId="7A5E0AA9" w14:textId="77777777" w:rsidR="00591EE1" w:rsidRPr="000665B0" w:rsidRDefault="00591EE1" w:rsidP="006D5A65">
      <w:pPr>
        <w:pStyle w:val="Heading1"/>
      </w:pPr>
      <w:r w:rsidRPr="000665B0">
        <w:t>All ACMSs – Display all ACMSs in the database.</w:t>
      </w:r>
    </w:p>
    <w:p w14:paraId="04CBEDC5" w14:textId="16856894" w:rsidR="00591EE1" w:rsidRPr="000665B0" w:rsidRDefault="00591EE1" w:rsidP="006D5A65">
      <w:pPr>
        <w:pStyle w:val="Heading1"/>
      </w:pPr>
      <w:r w:rsidRPr="000665B0">
        <w:t>Expired – Displays ACMSs with Latest Effective End DTG before or equal to the filter DTG.</w:t>
      </w:r>
      <w:r w:rsidRPr="000665B0" w:rsidDel="004A571F">
        <w:t xml:space="preserve"> </w:t>
      </w:r>
    </w:p>
    <w:p w14:paraId="64B76D3C" w14:textId="77777777" w:rsidR="00591EE1" w:rsidRPr="000665B0" w:rsidRDefault="00591EE1" w:rsidP="006D5A65">
      <w:pPr>
        <w:pStyle w:val="Heading1"/>
      </w:pPr>
      <w:r w:rsidRPr="000665B0">
        <w:t>Not Expired – Displays ACMSs with Latest Effective not defined or with the Latest Effective Period after the filter DTG.</w:t>
      </w:r>
    </w:p>
    <w:p w14:paraId="0292EDDB" w14:textId="10FA098B" w:rsidR="008040CC" w:rsidRPr="000665B0" w:rsidRDefault="008040CC" w:rsidP="009570CA">
      <w:pPr>
        <w:pStyle w:val="Heading3"/>
      </w:pPr>
      <w:bookmarkStart w:id="5558" w:name="_Toc8913881"/>
      <w:bookmarkStart w:id="5559" w:name="_Toc112733683"/>
      <w:bookmarkStart w:id="5560" w:name="_Toc289328768"/>
      <w:bookmarkStart w:id="5561" w:name="_Toc312332013"/>
      <w:bookmarkStart w:id="5562" w:name="_Toc214283467"/>
      <w:bookmarkEnd w:id="5558"/>
      <w:r w:rsidRPr="000665B0">
        <w:t>Edit Color, Style</w:t>
      </w:r>
      <w:r w:rsidR="00224A7F" w:rsidRPr="000665B0">
        <w:t>,</w:t>
      </w:r>
      <w:r w:rsidRPr="000665B0">
        <w:t xml:space="preserve"> </w:t>
      </w:r>
      <w:r w:rsidR="00D82A53" w:rsidRPr="000665B0">
        <w:t xml:space="preserve">and </w:t>
      </w:r>
      <w:r w:rsidRPr="000665B0">
        <w:t>Width Properties</w:t>
      </w:r>
      <w:bookmarkEnd w:id="5559"/>
      <w:bookmarkEnd w:id="5560"/>
      <w:bookmarkEnd w:id="5561"/>
      <w:bookmarkEnd w:id="5562"/>
    </w:p>
    <w:p w14:paraId="59BBA321" w14:textId="77777777" w:rsidR="00591EE1" w:rsidRPr="000665B0" w:rsidRDefault="00591EE1" w:rsidP="009570CA">
      <w:bookmarkStart w:id="5563" w:name="_Toc71955679"/>
      <w:bookmarkStart w:id="5564" w:name="_Toc96170215"/>
      <w:bookmarkStart w:id="5565" w:name="_Toc96234260"/>
      <w:bookmarkStart w:id="5566" w:name="_Toc112733684"/>
      <w:bookmarkStart w:id="5567" w:name="_Toc289328769"/>
      <w:bookmarkStart w:id="5568" w:name="_Toc312332014"/>
      <w:bookmarkEnd w:id="5555"/>
      <w:bookmarkEnd w:id="5556"/>
      <w:bookmarkEnd w:id="5557"/>
      <w:r w:rsidRPr="000665B0">
        <w:t xml:space="preserve">The </w:t>
      </w:r>
      <w:r w:rsidRPr="000665B0">
        <w:rPr>
          <w:b/>
        </w:rPr>
        <w:t>Edit Color, Style and Width</w:t>
      </w:r>
      <w:r w:rsidRPr="000665B0">
        <w:t xml:space="preserve"> </w:t>
      </w:r>
      <w:r w:rsidRPr="000665B0">
        <w:rPr>
          <w:b/>
        </w:rPr>
        <w:t>Properties</w:t>
      </w:r>
      <w:r w:rsidRPr="000665B0">
        <w:t xml:space="preserve"> option provides the capability to edit display attributes (Color, Line Style, Line Width, Fill Style, and Fill Color) of one or more ACMSs, regardless of READ ONLY status.</w:t>
      </w:r>
    </w:p>
    <w:p w14:paraId="0E6E0827" w14:textId="77777777" w:rsidR="00591EE1" w:rsidRPr="000665B0" w:rsidRDefault="00591EE1" w:rsidP="009570CA">
      <w:r w:rsidRPr="000665B0">
        <w:t>To edit display attributes:</w:t>
      </w:r>
    </w:p>
    <w:p w14:paraId="2E3B7E82" w14:textId="2F40F5B7" w:rsidR="00591EE1" w:rsidRPr="000665B0" w:rsidRDefault="00591EE1" w:rsidP="006D5A65">
      <w:pPr>
        <w:pStyle w:val="Heading1"/>
      </w:pPr>
      <w:r w:rsidRPr="000665B0">
        <w:lastRenderedPageBreak/>
        <w:t>Navigate to the ACMS Tool.</w:t>
      </w:r>
    </w:p>
    <w:p w14:paraId="3B711FDD" w14:textId="2B01AD72" w:rsidR="00591EE1" w:rsidRPr="000665B0" w:rsidRDefault="00591EE1" w:rsidP="006D5A65">
      <w:pPr>
        <w:pStyle w:val="Heading1"/>
      </w:pPr>
      <w:r w:rsidRPr="000665B0">
        <w:t xml:space="preserve">Select one or more ACMS(s). </w:t>
      </w:r>
      <w:r w:rsidR="00D71804" w:rsidRPr="000665B0">
        <w:t>Right-click</w:t>
      </w:r>
      <w:r w:rsidRPr="000665B0">
        <w:t xml:space="preserve"> the mouse and select Edit Color, Style and Width Properties.</w:t>
      </w:r>
    </w:p>
    <w:p w14:paraId="7DE02491" w14:textId="32D0D074" w:rsidR="00591EE1" w:rsidRPr="000665B0" w:rsidRDefault="00AB513C" w:rsidP="009570CA">
      <w:pPr>
        <w:jc w:val="center"/>
      </w:pPr>
      <w:r w:rsidRPr="000665B0">
        <w:rPr>
          <w:noProof/>
        </w:rPr>
        <w:drawing>
          <wp:inline distT="0" distB="0" distL="0" distR="0" wp14:anchorId="6B6E2F79" wp14:editId="5053E928">
            <wp:extent cx="2286000" cy="1609344"/>
            <wp:effectExtent l="0" t="0" r="0" b="0"/>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609344"/>
                    </a:xfrm>
                    <a:prstGeom prst="rect">
                      <a:avLst/>
                    </a:prstGeom>
                  </pic:spPr>
                </pic:pic>
              </a:graphicData>
            </a:graphic>
          </wp:inline>
        </w:drawing>
      </w:r>
    </w:p>
    <w:p w14:paraId="5467F610" w14:textId="77777777" w:rsidR="00555259" w:rsidRPr="000665B0" w:rsidRDefault="00591EE1" w:rsidP="006D5A65">
      <w:pPr>
        <w:pStyle w:val="Heading1"/>
      </w:pPr>
      <w:r w:rsidRPr="000665B0">
        <w:t>Edit the characteristics as desired and click OK.</w:t>
      </w:r>
    </w:p>
    <w:p w14:paraId="3357A3A6" w14:textId="35154082" w:rsidR="00591EE1" w:rsidRPr="000665B0" w:rsidRDefault="00591EE1" w:rsidP="009570CA">
      <w:r w:rsidRPr="000665B0">
        <w:t xml:space="preserve">If more than one ACMS is selected, the values initially displayed are those from the first ACMS in the list. Upon selection of the OK button, the attributes that pertain to each of the selected ACMSs are updated. For instance, if two ACMSs are </w:t>
      </w:r>
      <w:r w:rsidR="00E971E8" w:rsidRPr="000665B0">
        <w:t>selected,</w:t>
      </w:r>
      <w:r w:rsidRPr="000665B0">
        <w:t xml:space="preserve"> one is a Polygon and the other is an FPPWP object, the Polygon’s Color, Line Style, Line Width, Fill Style and Fill Color attributes are updated. Only the FPPWP’s Color, Line Style, and Line Width attributes are updated, since the FPPWP does not have Fill Style and Fill Color attributes.</w:t>
      </w:r>
    </w:p>
    <w:p w14:paraId="442DD6FE" w14:textId="634CCB19" w:rsidR="00591EE1" w:rsidRPr="000665B0" w:rsidRDefault="00591EE1" w:rsidP="009570CA">
      <w:pPr>
        <w:pStyle w:val="Heading3"/>
      </w:pPr>
      <w:bookmarkStart w:id="5569" w:name="_Toc214283468"/>
      <w:r w:rsidRPr="000665B0">
        <w:t>Create ACMS Library</w:t>
      </w:r>
      <w:bookmarkEnd w:id="5569"/>
    </w:p>
    <w:p w14:paraId="2D9DB740" w14:textId="77777777" w:rsidR="00591EE1" w:rsidRPr="000665B0" w:rsidRDefault="00591EE1" w:rsidP="009570CA">
      <w:r w:rsidRPr="000665B0">
        <w:t>ACMS Libraries can be created by manually selecting the ACMSs from the ACMS List View.</w:t>
      </w:r>
      <w:r w:rsidR="004F3F3B" w:rsidRPr="000665B0">
        <w:t xml:space="preserve"> Only the Node that creates an ACMS Library can modify its contents. Nodes that receive an ACMS Library will have read-only permission.</w:t>
      </w:r>
    </w:p>
    <w:p w14:paraId="168BD816" w14:textId="77777777" w:rsidR="00591EE1" w:rsidRPr="000665B0" w:rsidRDefault="00591EE1" w:rsidP="009570CA">
      <w:r w:rsidRPr="000665B0">
        <w:t>To create an ACMS Library from the ACMS List View:</w:t>
      </w:r>
    </w:p>
    <w:p w14:paraId="0DED8290" w14:textId="77777777" w:rsidR="00591EE1" w:rsidRPr="000665B0" w:rsidRDefault="00591EE1" w:rsidP="006D5A65">
      <w:pPr>
        <w:pStyle w:val="Heading1"/>
      </w:pPr>
      <w:r w:rsidRPr="000665B0">
        <w:t xml:space="preserve">From the Go menu select ACMSs. </w:t>
      </w:r>
    </w:p>
    <w:p w14:paraId="6BB6751F" w14:textId="77777777" w:rsidR="00591EE1" w:rsidRPr="000665B0" w:rsidRDefault="00591EE1" w:rsidP="006D5A65">
      <w:pPr>
        <w:pStyle w:val="Heading1"/>
      </w:pPr>
      <w:r w:rsidRPr="000665B0">
        <w:t xml:space="preserve">From the ACMS List View, select the desired ACMSs. </w:t>
      </w:r>
    </w:p>
    <w:p w14:paraId="51B829E9" w14:textId="79802289" w:rsidR="00591EE1" w:rsidRPr="000665B0" w:rsidRDefault="00591EE1" w:rsidP="006D5A65">
      <w:pPr>
        <w:pStyle w:val="Heading1"/>
      </w:pPr>
      <w:r w:rsidRPr="000665B0">
        <w:t xml:space="preserve">From the File menu </w:t>
      </w:r>
      <w:r w:rsidR="00FC4324" w:rsidRPr="000665B0">
        <w:t xml:space="preserve">or invoke the context menu </w:t>
      </w:r>
      <w:r w:rsidRPr="000665B0">
        <w:t>(</w:t>
      </w:r>
      <w:r w:rsidR="00D71804" w:rsidRPr="000665B0">
        <w:t>right-click</w:t>
      </w:r>
      <w:r w:rsidRPr="000665B0">
        <w:t xml:space="preserve"> the mouse) select Create ACMS Library. The </w:t>
      </w:r>
      <w:r w:rsidRPr="000665B0">
        <w:rPr>
          <w:i/>
        </w:rPr>
        <w:t xml:space="preserve">ACMS Library </w:t>
      </w:r>
      <w:r w:rsidRPr="000665B0">
        <w:t>window is displayed.</w:t>
      </w:r>
    </w:p>
    <w:p w14:paraId="212CAF08" w14:textId="0FD9AE03" w:rsidR="00591EE1" w:rsidRPr="000665B0" w:rsidRDefault="00014963" w:rsidP="009570CA">
      <w:pPr>
        <w:spacing w:before="240" w:after="240"/>
        <w:jc w:val="center"/>
        <w:rPr>
          <w:noProof/>
        </w:rPr>
      </w:pPr>
      <w:r w:rsidRPr="000665B0">
        <w:rPr>
          <w:noProof/>
        </w:rPr>
        <w:drawing>
          <wp:inline distT="0" distB="0" distL="0" distR="0" wp14:anchorId="17D07994" wp14:editId="07E23CCE">
            <wp:extent cx="4114800" cy="2112264"/>
            <wp:effectExtent l="0" t="0" r="0" b="2540"/>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112264"/>
                    </a:xfrm>
                    <a:prstGeom prst="rect">
                      <a:avLst/>
                    </a:prstGeom>
                  </pic:spPr>
                </pic:pic>
              </a:graphicData>
            </a:graphic>
          </wp:inline>
        </w:drawing>
      </w:r>
    </w:p>
    <w:p w14:paraId="4A438226" w14:textId="77777777" w:rsidR="00591EE1" w:rsidRPr="000665B0" w:rsidRDefault="00591EE1" w:rsidP="006D5A65">
      <w:pPr>
        <w:pStyle w:val="Heading1"/>
      </w:pPr>
      <w:r w:rsidRPr="000665B0">
        <w:lastRenderedPageBreak/>
        <w:t>There are two methods for adding additional data items to the library: drag and drop or use of the Add option from the context menu within the library.</w:t>
      </w:r>
    </w:p>
    <w:p w14:paraId="1AE4C725" w14:textId="77777777" w:rsidR="00591EE1" w:rsidRPr="000665B0" w:rsidRDefault="00591EE1" w:rsidP="006D5A65">
      <w:pPr>
        <w:pStyle w:val="Heading1"/>
      </w:pPr>
      <w:r w:rsidRPr="000665B0">
        <w:t>Highlight the desired data in any other ACMS List View. Drag and drop selected data from the List View into the bottom pane of the new library.</w:t>
      </w:r>
    </w:p>
    <w:p w14:paraId="55B89A07" w14:textId="77777777" w:rsidR="00591EE1" w:rsidRPr="000665B0" w:rsidRDefault="00591EE1" w:rsidP="009570CA">
      <w:pPr>
        <w:ind w:left="1080" w:hanging="360"/>
      </w:pPr>
      <w:r w:rsidRPr="000665B0">
        <w:t>or</w:t>
      </w:r>
    </w:p>
    <w:p w14:paraId="25F9D23D" w14:textId="494D8B2D" w:rsidR="00591EE1" w:rsidRPr="000665B0" w:rsidRDefault="00D71804" w:rsidP="006D5A65">
      <w:pPr>
        <w:pStyle w:val="Heading1"/>
      </w:pPr>
      <w:r w:rsidRPr="000665B0">
        <w:t>Right-click</w:t>
      </w:r>
      <w:r w:rsidR="00591EE1" w:rsidRPr="000665B0">
        <w:t xml:space="preserve"> in the data pane of the new library and select Add…. Choose the data from the ensuing window and click the OK button.</w:t>
      </w:r>
    </w:p>
    <w:p w14:paraId="7C0343E0" w14:textId="77777777" w:rsidR="00591EE1" w:rsidRPr="000665B0" w:rsidRDefault="00591EE1" w:rsidP="006D5A65">
      <w:pPr>
        <w:pStyle w:val="Heading1"/>
      </w:pPr>
      <w:r w:rsidRPr="000665B0">
        <w:t xml:space="preserve">In the </w:t>
      </w:r>
      <w:r w:rsidRPr="000665B0">
        <w:rPr>
          <w:i/>
        </w:rPr>
        <w:t xml:space="preserve">ACMS Library </w:t>
      </w:r>
      <w:r w:rsidRPr="000665B0">
        <w:t>window, provide a Name and Description for the ACMS Library if desired.</w:t>
      </w:r>
    </w:p>
    <w:p w14:paraId="244FE0C9" w14:textId="77777777" w:rsidR="00591EE1" w:rsidRPr="000665B0" w:rsidRDefault="00591EE1"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276F54F7" w14:textId="1418615D" w:rsidR="00591EE1" w:rsidRPr="000665B0" w:rsidRDefault="00591EE1" w:rsidP="009570CA">
      <w:pPr>
        <w:pStyle w:val="Heading3"/>
      </w:pPr>
      <w:bookmarkStart w:id="5570" w:name="_Toc214283469"/>
      <w:r w:rsidRPr="000665B0">
        <w:t>Create TED Library</w:t>
      </w:r>
      <w:bookmarkEnd w:id="5570"/>
    </w:p>
    <w:p w14:paraId="751B4851" w14:textId="70FE0718" w:rsidR="00591EE1" w:rsidRPr="000665B0" w:rsidRDefault="00591EE1" w:rsidP="009570CA">
      <w:r w:rsidRPr="000665B0">
        <w:t xml:space="preserve">A TED Library can be created by manually selecting ACMSs from the ACMSs List View. This type of library is able to accept different types of data instead of being restricted to a single data type as in the other MDS Libraries. Its main function is to enable the operator to assemble all of the required data needed for automated distribution into one library. Only the Node that creates a TED Library can modify its contents. Nodes that receive a TED Library will have read-only permissions. For information on creating a TED Library see </w:t>
      </w:r>
      <w:hyperlink w:anchor="_5.13.1.1__New" w:history="1">
        <w:r w:rsidRPr="000665B0">
          <w:rPr>
            <w:rStyle w:val="Hyperlink"/>
          </w:rPr>
          <w:t>Section 5.</w:t>
        </w:r>
        <w:r w:rsidR="00C77A5E" w:rsidRPr="000665B0">
          <w:rPr>
            <w:rStyle w:val="Hyperlink"/>
          </w:rPr>
          <w:t>12</w:t>
        </w:r>
        <w:r w:rsidRPr="000665B0">
          <w:rPr>
            <w:rStyle w:val="Hyperlink"/>
          </w:rPr>
          <w:t>.1.1</w:t>
        </w:r>
      </w:hyperlink>
      <w:r w:rsidRPr="000665B0">
        <w:t>.</w:t>
      </w:r>
    </w:p>
    <w:p w14:paraId="32B23B4B" w14:textId="065BFA1D" w:rsidR="00591EE1" w:rsidRPr="000665B0" w:rsidRDefault="00591EE1" w:rsidP="009570CA">
      <w:pPr>
        <w:pStyle w:val="Heading3"/>
      </w:pPr>
      <w:bookmarkStart w:id="5571" w:name="_Toc337629841"/>
      <w:bookmarkStart w:id="5572" w:name="_Toc214283470"/>
      <w:r w:rsidRPr="000665B0">
        <w:t>Send</w:t>
      </w:r>
      <w:bookmarkEnd w:id="5571"/>
      <w:bookmarkEnd w:id="5572"/>
    </w:p>
    <w:p w14:paraId="7A998D6D" w14:textId="5F8327CB" w:rsidR="00591EE1" w:rsidRDefault="00591EE1" w:rsidP="009570CA">
      <w:pPr>
        <w:rPr>
          <w:snapToGrid w:val="0"/>
        </w:rPr>
      </w:pPr>
      <w:r w:rsidRPr="000665B0">
        <w:rPr>
          <w:snapToGrid w:val="0"/>
        </w:rPr>
        <w:t xml:space="preserve">The </w:t>
      </w:r>
      <w:r w:rsidRPr="000665B0">
        <w:rPr>
          <w:b/>
          <w:snapToGrid w:val="0"/>
        </w:rPr>
        <w:t>Send</w:t>
      </w:r>
      <w:r w:rsidRPr="000665B0">
        <w:rPr>
          <w:snapToGrid w:val="0"/>
        </w:rPr>
        <w:t xml:space="preserve"> option adds the selected ACMS to a DDO template for further distribution. For more details on DDO Templates see </w:t>
      </w:r>
      <w:hyperlink w:anchor="_5.20__DDO_TEMPLATES_TOOL" w:history="1">
        <w:r w:rsidR="00DE0842" w:rsidRPr="000665B0">
          <w:rPr>
            <w:snapToGrid w:val="0"/>
            <w:color w:val="0000FF"/>
            <w:u w:val="single"/>
          </w:rPr>
          <w:t xml:space="preserve">Section </w:t>
        </w:r>
        <w:r w:rsidR="004231CC">
          <w:rPr>
            <w:snapToGrid w:val="0"/>
            <w:color w:val="0000FF"/>
            <w:u w:val="single"/>
          </w:rPr>
          <w:t>5.16</w:t>
        </w:r>
      </w:hyperlink>
      <w:r w:rsidRPr="000665B0">
        <w:rPr>
          <w:snapToGrid w:val="0"/>
        </w:rPr>
        <w:t>. When an ACMS is distributed, its status is automatically set to “Read-Only.”</w:t>
      </w:r>
    </w:p>
    <w:p w14:paraId="5060DE2E" w14:textId="0D98AAC4" w:rsidR="002475CF" w:rsidRDefault="00B34016" w:rsidP="009570CA">
      <w:pPr>
        <w:rPr>
          <w:snapToGrid w:val="0"/>
        </w:rPr>
      </w:pPr>
      <w:r>
        <w:rPr>
          <w:snapToGrid w:val="0"/>
        </w:rPr>
        <w:t xml:space="preserve">Avoidance Area ACMSs can be sent via DDO to TTWCS </w:t>
      </w:r>
      <w:r w:rsidR="002475CF">
        <w:rPr>
          <w:snapToGrid w:val="0"/>
        </w:rPr>
        <w:t>V</w:t>
      </w:r>
      <w:r>
        <w:rPr>
          <w:snapToGrid w:val="0"/>
        </w:rPr>
        <w:t xml:space="preserve">5.6.1 </w:t>
      </w:r>
      <w:r w:rsidR="002475CF">
        <w:rPr>
          <w:snapToGrid w:val="0"/>
        </w:rPr>
        <w:t>or</w:t>
      </w:r>
      <w:r>
        <w:rPr>
          <w:snapToGrid w:val="0"/>
        </w:rPr>
        <w:t xml:space="preserve"> above and TED 7.0 </w:t>
      </w:r>
      <w:r w:rsidR="002475CF">
        <w:rPr>
          <w:snapToGrid w:val="0"/>
        </w:rPr>
        <w:t>or</w:t>
      </w:r>
      <w:r>
        <w:rPr>
          <w:snapToGrid w:val="0"/>
        </w:rPr>
        <w:t xml:space="preserve"> above nodes only. Avoidance Area ACMSs cannot be sent via DDO to </w:t>
      </w:r>
      <w:r w:rsidR="002475CF">
        <w:rPr>
          <w:snapToGrid w:val="0"/>
        </w:rPr>
        <w:t xml:space="preserve">pre-V5.6.1 </w:t>
      </w:r>
      <w:r>
        <w:rPr>
          <w:snapToGrid w:val="0"/>
        </w:rPr>
        <w:t xml:space="preserve">TTWCS </w:t>
      </w:r>
      <w:r w:rsidR="002475CF">
        <w:rPr>
          <w:snapToGrid w:val="0"/>
        </w:rPr>
        <w:t>nodes</w:t>
      </w:r>
      <w:r>
        <w:rPr>
          <w:snapToGrid w:val="0"/>
        </w:rPr>
        <w:t xml:space="preserve">, </w:t>
      </w:r>
      <w:r w:rsidR="002475CF">
        <w:rPr>
          <w:snapToGrid w:val="0"/>
        </w:rPr>
        <w:t xml:space="preserve">pre-7.0 </w:t>
      </w:r>
      <w:r>
        <w:rPr>
          <w:snapToGrid w:val="0"/>
        </w:rPr>
        <w:t>TED nodes, or MDS nodes.</w:t>
      </w:r>
    </w:p>
    <w:p w14:paraId="4D2DF71C" w14:textId="77777777" w:rsidR="00F401D2" w:rsidRDefault="00F401D2" w:rsidP="00F401D2">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lastRenderedPageBreak/>
        <w:t>Note:</w:t>
      </w:r>
    </w:p>
    <w:p w14:paraId="776DC163" w14:textId="77777777" w:rsidR="00F401D2" w:rsidRDefault="00F401D2" w:rsidP="00F401D2">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Pr>
          <w:b/>
        </w:rPr>
        <w:t>There are limitations when sending ACMSs to TTWCS based on the number of vertices:</w:t>
      </w:r>
    </w:p>
    <w:p w14:paraId="48A0F976" w14:textId="77777777" w:rsidR="00F401D2" w:rsidRPr="00FD7EB8" w:rsidRDefault="00F401D2" w:rsidP="006D5A65">
      <w:pPr>
        <w:pStyle w:val="Heading1"/>
      </w:pPr>
      <w:r w:rsidRPr="00D62595">
        <w:t>Operational Areas and Prohibited Areas with more than 24 vertices can be distributed to TTWCS 5.4.0.2 or higher.</w:t>
      </w:r>
    </w:p>
    <w:p w14:paraId="628EFF81" w14:textId="77777777" w:rsidR="00F401D2" w:rsidRDefault="00F401D2" w:rsidP="006D5A65">
      <w:pPr>
        <w:pStyle w:val="Heading1"/>
      </w:pPr>
      <w:r w:rsidRPr="00D62595">
        <w:t>All other ACMSs with more than 24 vertices cannot be distributed to TTWCS.</w:t>
      </w:r>
    </w:p>
    <w:p w14:paraId="22ECD753" w14:textId="77777777" w:rsidR="00F401D2" w:rsidRPr="001F5951" w:rsidRDefault="00F401D2" w:rsidP="00B17338">
      <w:pPr>
        <w:keepNext/>
        <w:keepLines/>
        <w:pBdr>
          <w:top w:val="single" w:sz="12" w:space="1" w:color="auto"/>
          <w:left w:val="single" w:sz="12" w:space="4" w:color="auto"/>
          <w:bottom w:val="single" w:sz="12" w:space="0" w:color="auto"/>
          <w:right w:val="single" w:sz="12" w:space="4" w:color="auto"/>
        </w:pBdr>
        <w:shd w:val="clear" w:color="auto" w:fill="D9D9D9"/>
        <w:jc w:val="center"/>
        <w:rPr>
          <w:b/>
          <w:szCs w:val="24"/>
        </w:rPr>
      </w:pPr>
    </w:p>
    <w:p w14:paraId="730D4E5C" w14:textId="77777777" w:rsidR="00F401D2" w:rsidRDefault="00F401D2" w:rsidP="00F401D2">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Pr>
          <w:b/>
        </w:rPr>
        <w:t>Attempting to send an ACMS that doesn’t comply with these limitations will result in a Data Limitation Error with the following message:</w:t>
      </w:r>
    </w:p>
    <w:p w14:paraId="60841D00" w14:textId="28817EE5" w:rsidR="00F401D2" w:rsidRDefault="00F401D2" w:rsidP="00F401D2">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Pr>
          <w:b/>
        </w:rPr>
        <w:t>“Data Item cannot be distributed to TTWCS 5.6.0 or earlier.</w:t>
      </w:r>
      <w:r w:rsidR="00CE7024">
        <w:rPr>
          <w:b/>
        </w:rPr>
        <w:t xml:space="preserve"> </w:t>
      </w:r>
      <w:r>
        <w:rPr>
          <w:b/>
        </w:rPr>
        <w:t>Number of points exceeds 24.”</w:t>
      </w:r>
    </w:p>
    <w:p w14:paraId="47597353" w14:textId="77777777" w:rsidR="00F401D2" w:rsidRDefault="00F401D2" w:rsidP="00F401D2">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p>
    <w:p w14:paraId="1D5E6055" w14:textId="402A025A" w:rsidR="00F401D2" w:rsidRPr="00B17338" w:rsidRDefault="00F401D2" w:rsidP="00B17338">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Pr>
          <w:b/>
        </w:rPr>
        <w:t>The error message specifies “TTWCS 5.6.0 or earlier” however the version information in the message is incorrect and will be corrected in a future build.</w:t>
      </w:r>
    </w:p>
    <w:p w14:paraId="6FD37EFD" w14:textId="1196EF66" w:rsidR="00E56FC4" w:rsidRPr="000665B0" w:rsidRDefault="00E56FC4" w:rsidP="008376B8">
      <w:pPr>
        <w:pStyle w:val="Heading3"/>
        <w:pageBreakBefore/>
        <w:spacing w:before="120"/>
      </w:pPr>
      <w:bookmarkStart w:id="5573" w:name="_Toc214283471"/>
      <w:bookmarkEnd w:id="5563"/>
      <w:bookmarkEnd w:id="5564"/>
      <w:bookmarkEnd w:id="5565"/>
      <w:bookmarkEnd w:id="5566"/>
      <w:bookmarkEnd w:id="5567"/>
      <w:bookmarkEnd w:id="5568"/>
      <w:r w:rsidRPr="000665B0">
        <w:lastRenderedPageBreak/>
        <w:t>Display References</w:t>
      </w:r>
      <w:bookmarkEnd w:id="5573"/>
    </w:p>
    <w:p w14:paraId="1FBB9B6F" w14:textId="50A19EE1" w:rsidR="00E56FC4" w:rsidRPr="000665B0" w:rsidRDefault="00F02F03" w:rsidP="009570CA">
      <w:r w:rsidRPr="000665B0">
        <w:t>See</w:t>
      </w:r>
      <w:r w:rsidR="00E56FC4" w:rsidRPr="000665B0">
        <w:t xml:space="preserve"> </w:t>
      </w:r>
      <w:hyperlink w:anchor="_5.2.1.2.3__Display_1" w:history="1">
        <w:r w:rsidR="00E56FC4" w:rsidRPr="000665B0">
          <w:rPr>
            <w:color w:val="0000FF"/>
            <w:u w:val="single"/>
          </w:rPr>
          <w:t>Section 5.2.1.2.3</w:t>
        </w:r>
      </w:hyperlink>
      <w:r w:rsidR="00E56FC4" w:rsidRPr="000665B0">
        <w:t>.</w:t>
      </w:r>
    </w:p>
    <w:p w14:paraId="7B46BDF9" w14:textId="1CD4863D" w:rsidR="00E56FC4" w:rsidRPr="000665B0" w:rsidRDefault="00E56FC4" w:rsidP="009570CA">
      <w:pPr>
        <w:pStyle w:val="Heading3"/>
      </w:pPr>
      <w:bookmarkStart w:id="5574" w:name="_Toc162850593"/>
      <w:bookmarkStart w:id="5575" w:name="_Toc214283472"/>
      <w:bookmarkStart w:id="5576" w:name="_Toc71955681"/>
      <w:bookmarkStart w:id="5577" w:name="_Toc96170216"/>
      <w:bookmarkStart w:id="5578" w:name="_Toc96234261"/>
      <w:bookmarkStart w:id="5579" w:name="_Toc112733685"/>
      <w:r w:rsidRPr="000665B0">
        <w:t>Find</w:t>
      </w:r>
      <w:bookmarkEnd w:id="5574"/>
      <w:bookmarkEnd w:id="5575"/>
      <w:r w:rsidRPr="000665B0">
        <w:t xml:space="preserve"> </w:t>
      </w:r>
      <w:bookmarkEnd w:id="5576"/>
      <w:bookmarkEnd w:id="5577"/>
      <w:bookmarkEnd w:id="5578"/>
      <w:bookmarkEnd w:id="5579"/>
    </w:p>
    <w:p w14:paraId="63F2F2B0" w14:textId="68860A45" w:rsidR="00E56FC4" w:rsidRPr="000665B0" w:rsidRDefault="00F02F03" w:rsidP="009570CA">
      <w:r w:rsidRPr="000665B0">
        <w:t>See</w:t>
      </w:r>
      <w:r w:rsidR="00E56FC4" w:rsidRPr="000665B0">
        <w:t xml:space="preserve"> </w:t>
      </w:r>
      <w:hyperlink w:anchor="_5.2.5.1__Find_1" w:history="1">
        <w:r w:rsidR="00E56FC4" w:rsidRPr="000665B0">
          <w:rPr>
            <w:color w:val="0000FF"/>
            <w:u w:val="single"/>
          </w:rPr>
          <w:t>Section 5.2.5.1</w:t>
        </w:r>
      </w:hyperlink>
      <w:r w:rsidR="00E56FC4" w:rsidRPr="000665B0">
        <w:t>.</w:t>
      </w:r>
    </w:p>
    <w:p w14:paraId="0F403A18" w14:textId="77777777" w:rsidR="00190086" w:rsidRPr="000665B0" w:rsidRDefault="00190086" w:rsidP="009570CA">
      <w:pPr>
        <w:pStyle w:val="Heading3"/>
      </w:pPr>
      <w:bookmarkStart w:id="5580" w:name="_Toc214283473"/>
      <w:r w:rsidRPr="000665B0">
        <w:t>Plugin Tool</w:t>
      </w:r>
      <w:bookmarkEnd w:id="5580"/>
    </w:p>
    <w:p w14:paraId="08661874" w14:textId="6394DAD6" w:rsidR="00190086" w:rsidRPr="000665B0" w:rsidRDefault="00F02F03" w:rsidP="009570CA">
      <w:r w:rsidRPr="000665B0">
        <w:t>See</w:t>
      </w:r>
      <w:r w:rsidR="00190086" w:rsidRPr="000665B0">
        <w:t xml:space="preserve"> </w:t>
      </w:r>
      <w:hyperlink w:anchor="_Plugin__Tool" w:history="1">
        <w:r w:rsidR="00190086" w:rsidRPr="000665B0">
          <w:rPr>
            <w:rStyle w:val="Hyperlink"/>
          </w:rPr>
          <w:t>Section 5.2.5.2</w:t>
        </w:r>
      </w:hyperlink>
      <w:r w:rsidR="00190086" w:rsidRPr="000665B0">
        <w:t>.</w:t>
      </w:r>
    </w:p>
    <w:p w14:paraId="7A55463E" w14:textId="6A6A1845" w:rsidR="00E56FC4" w:rsidRPr="000665B0" w:rsidRDefault="00E56FC4" w:rsidP="009570CA">
      <w:pPr>
        <w:pStyle w:val="Heading3"/>
      </w:pPr>
      <w:bookmarkStart w:id="5581" w:name="_Toc71955682"/>
      <w:bookmarkStart w:id="5582" w:name="_Toc96170217"/>
      <w:bookmarkStart w:id="5583" w:name="_Toc96234262"/>
      <w:bookmarkStart w:id="5584" w:name="_Toc112733686"/>
      <w:bookmarkStart w:id="5585" w:name="_Toc162850594"/>
      <w:bookmarkStart w:id="5586" w:name="_Toc214283474"/>
      <w:r w:rsidRPr="000665B0">
        <w:t>Print All</w:t>
      </w:r>
      <w:bookmarkEnd w:id="5581"/>
      <w:bookmarkEnd w:id="5582"/>
      <w:bookmarkEnd w:id="5583"/>
      <w:bookmarkEnd w:id="5584"/>
      <w:bookmarkEnd w:id="5585"/>
      <w:bookmarkEnd w:id="5586"/>
    </w:p>
    <w:p w14:paraId="34749F7A" w14:textId="61136432" w:rsidR="00E56FC4" w:rsidRPr="000665B0" w:rsidRDefault="00F02F03" w:rsidP="009570CA">
      <w:r w:rsidRPr="000665B0">
        <w:t>See</w:t>
      </w:r>
      <w:r w:rsidR="00E56FC4" w:rsidRPr="000665B0">
        <w:t xml:space="preserve"> </w:t>
      </w:r>
      <w:hyperlink w:anchor="_5.2.1.5__Print" w:history="1">
        <w:r w:rsidR="00E56FC4" w:rsidRPr="000665B0">
          <w:rPr>
            <w:color w:val="0000FF"/>
            <w:u w:val="single"/>
          </w:rPr>
          <w:t>Section 5.2.1.5</w:t>
        </w:r>
      </w:hyperlink>
      <w:r w:rsidR="00E56FC4" w:rsidRPr="000665B0">
        <w:t>.</w:t>
      </w:r>
    </w:p>
    <w:p w14:paraId="7916D4F9" w14:textId="7D002C71" w:rsidR="00E56FC4" w:rsidRPr="000665B0" w:rsidRDefault="00E56FC4" w:rsidP="009570CA">
      <w:pPr>
        <w:pStyle w:val="Heading3"/>
      </w:pPr>
      <w:bookmarkStart w:id="5587" w:name="_Toc71955683"/>
      <w:bookmarkStart w:id="5588" w:name="_Toc96170218"/>
      <w:bookmarkStart w:id="5589" w:name="_Toc96234263"/>
      <w:bookmarkStart w:id="5590" w:name="_Toc112733687"/>
      <w:bookmarkStart w:id="5591" w:name="_Toc162850595"/>
      <w:bookmarkStart w:id="5592" w:name="_Toc214283475"/>
      <w:r w:rsidRPr="000665B0">
        <w:t>Display All in Excel</w:t>
      </w:r>
      <w:bookmarkEnd w:id="5587"/>
      <w:bookmarkEnd w:id="5588"/>
      <w:bookmarkEnd w:id="5589"/>
      <w:bookmarkEnd w:id="5590"/>
      <w:bookmarkEnd w:id="5591"/>
      <w:bookmarkEnd w:id="5592"/>
    </w:p>
    <w:p w14:paraId="7BF5437F" w14:textId="1C96E824" w:rsidR="00E56FC4" w:rsidRPr="000665B0" w:rsidRDefault="00F02F03" w:rsidP="009570CA">
      <w:r w:rsidRPr="000665B0">
        <w:t>See</w:t>
      </w:r>
      <w:r w:rsidR="00E56FC4" w:rsidRPr="000665B0">
        <w:t xml:space="preserve"> </w:t>
      </w:r>
      <w:hyperlink w:anchor="_5.2.1.2.1__Display_1" w:history="1">
        <w:r w:rsidR="00E56FC4" w:rsidRPr="000665B0">
          <w:rPr>
            <w:color w:val="0000FF"/>
            <w:u w:val="single"/>
          </w:rPr>
          <w:t>Section 5.2.1.2.1</w:t>
        </w:r>
      </w:hyperlink>
      <w:r w:rsidR="00E56FC4" w:rsidRPr="000665B0">
        <w:t>.</w:t>
      </w:r>
    </w:p>
    <w:p w14:paraId="0B2B66D6" w14:textId="7F6E8D88" w:rsidR="00E56FC4" w:rsidRPr="000665B0" w:rsidRDefault="00E56FC4" w:rsidP="009570CA">
      <w:pPr>
        <w:pStyle w:val="Heading3"/>
      </w:pPr>
      <w:bookmarkStart w:id="5593" w:name="_Toc71955684"/>
      <w:bookmarkStart w:id="5594" w:name="_Toc96170219"/>
      <w:bookmarkStart w:id="5595" w:name="_Toc96234264"/>
      <w:bookmarkStart w:id="5596" w:name="_Toc112733688"/>
      <w:bookmarkStart w:id="5597" w:name="_Toc162850596"/>
      <w:bookmarkStart w:id="5598" w:name="_Toc214283476"/>
      <w:r w:rsidRPr="000665B0">
        <w:t>Select All</w:t>
      </w:r>
      <w:bookmarkEnd w:id="5593"/>
      <w:bookmarkEnd w:id="5594"/>
      <w:bookmarkEnd w:id="5595"/>
      <w:bookmarkEnd w:id="5596"/>
      <w:bookmarkEnd w:id="5597"/>
      <w:bookmarkEnd w:id="5598"/>
    </w:p>
    <w:p w14:paraId="1B14D16C" w14:textId="14A43247" w:rsidR="00E56FC4" w:rsidRPr="000665B0" w:rsidRDefault="00F02F03" w:rsidP="009570CA">
      <w:r w:rsidRPr="000665B0">
        <w:t>See</w:t>
      </w:r>
      <w:r w:rsidR="00E56FC4" w:rsidRPr="000665B0">
        <w:t xml:space="preserve"> </w:t>
      </w:r>
      <w:hyperlink w:anchor="_5.2.2.1__Select_1" w:history="1">
        <w:r w:rsidR="00E56FC4" w:rsidRPr="000665B0">
          <w:rPr>
            <w:color w:val="0000FF"/>
            <w:u w:val="single"/>
          </w:rPr>
          <w:t>Section 5.2.2.1</w:t>
        </w:r>
      </w:hyperlink>
      <w:r w:rsidR="00E56FC4" w:rsidRPr="000665B0">
        <w:t>.</w:t>
      </w:r>
    </w:p>
    <w:p w14:paraId="08B2E020" w14:textId="5C06612D" w:rsidR="00E56FC4" w:rsidRPr="000665B0" w:rsidRDefault="00E56FC4" w:rsidP="009570CA">
      <w:pPr>
        <w:pStyle w:val="Heading3"/>
      </w:pPr>
      <w:bookmarkStart w:id="5599" w:name="_Toc71955687"/>
      <w:bookmarkStart w:id="5600" w:name="_Toc96170220"/>
      <w:bookmarkStart w:id="5601" w:name="_Toc96234265"/>
      <w:bookmarkStart w:id="5602" w:name="_Toc112733689"/>
      <w:bookmarkStart w:id="5603" w:name="_Toc162850597"/>
      <w:bookmarkStart w:id="5604" w:name="_Toc214283477"/>
      <w:r w:rsidRPr="000665B0">
        <w:t>Properties</w:t>
      </w:r>
      <w:bookmarkEnd w:id="5599"/>
      <w:bookmarkEnd w:id="5600"/>
      <w:bookmarkEnd w:id="5601"/>
      <w:bookmarkEnd w:id="5602"/>
      <w:bookmarkEnd w:id="5603"/>
      <w:bookmarkEnd w:id="5604"/>
    </w:p>
    <w:p w14:paraId="514CCE77" w14:textId="2664F953" w:rsidR="00E56FC4" w:rsidRPr="000665B0" w:rsidRDefault="00F02F03" w:rsidP="009570CA">
      <w:r w:rsidRPr="000665B0">
        <w:t>See</w:t>
      </w:r>
      <w:r w:rsidR="00E91891" w:rsidRPr="000665B0">
        <w:t xml:space="preserve"> </w:t>
      </w:r>
      <w:hyperlink w:anchor="_5.2.3.4__Properties" w:history="1">
        <w:r w:rsidR="00A75813" w:rsidRPr="000665B0">
          <w:rPr>
            <w:rStyle w:val="Hyperlink"/>
          </w:rPr>
          <w:t>Section 5.2.3.5</w:t>
        </w:r>
      </w:hyperlink>
      <w:r w:rsidR="00E91891" w:rsidRPr="000665B0">
        <w:t>.</w:t>
      </w:r>
    </w:p>
    <w:p w14:paraId="0A9996D5" w14:textId="270FECD3" w:rsidR="00E56FC4" w:rsidRPr="000665B0" w:rsidRDefault="00E56FC4" w:rsidP="009570CA">
      <w:pPr>
        <w:pStyle w:val="Heading3"/>
      </w:pPr>
      <w:bookmarkStart w:id="5605" w:name="_Toc71955688"/>
      <w:bookmarkStart w:id="5606" w:name="_Toc96170221"/>
      <w:bookmarkStart w:id="5607" w:name="_Toc96234266"/>
      <w:bookmarkStart w:id="5608" w:name="_Toc112733690"/>
      <w:bookmarkStart w:id="5609" w:name="_Toc162850598"/>
      <w:bookmarkStart w:id="5610" w:name="_Toc214283478"/>
      <w:r w:rsidRPr="000665B0">
        <w:t>Sort</w:t>
      </w:r>
      <w:bookmarkEnd w:id="5605"/>
      <w:bookmarkEnd w:id="5606"/>
      <w:bookmarkEnd w:id="5607"/>
      <w:bookmarkEnd w:id="5608"/>
      <w:bookmarkEnd w:id="5609"/>
      <w:bookmarkEnd w:id="5610"/>
    </w:p>
    <w:p w14:paraId="413C1690" w14:textId="2A7D7D28" w:rsidR="00E56FC4" w:rsidRPr="000665B0" w:rsidRDefault="00F02F03" w:rsidP="009570CA">
      <w:r w:rsidRPr="000665B0">
        <w:t>See</w:t>
      </w:r>
      <w:r w:rsidR="00E56FC4" w:rsidRPr="000665B0">
        <w:t xml:space="preserve"> </w:t>
      </w:r>
      <w:hyperlink w:anchor="_5.2.3.4.1__Sort" w:history="1">
        <w:r w:rsidR="00A75813" w:rsidRPr="000665B0">
          <w:rPr>
            <w:color w:val="0000FF"/>
            <w:u w:val="single"/>
          </w:rPr>
          <w:t>Section 5.2.3.5</w:t>
        </w:r>
        <w:r w:rsidR="00E56FC4" w:rsidRPr="000665B0">
          <w:rPr>
            <w:color w:val="0000FF"/>
            <w:u w:val="single"/>
          </w:rPr>
          <w:t>.1</w:t>
        </w:r>
      </w:hyperlink>
      <w:r w:rsidR="00E56FC4" w:rsidRPr="000665B0">
        <w:t>.</w:t>
      </w:r>
    </w:p>
    <w:p w14:paraId="393A5A18" w14:textId="2C812BAB" w:rsidR="00E56FC4" w:rsidRPr="000665B0" w:rsidRDefault="00E56FC4" w:rsidP="009570CA">
      <w:pPr>
        <w:pStyle w:val="Heading3"/>
      </w:pPr>
      <w:bookmarkStart w:id="5611" w:name="_Toc71955689"/>
      <w:bookmarkStart w:id="5612" w:name="_Toc96170222"/>
      <w:bookmarkStart w:id="5613" w:name="_Toc96234267"/>
      <w:bookmarkStart w:id="5614" w:name="_Toc112733691"/>
      <w:bookmarkStart w:id="5615" w:name="_Toc162850599"/>
      <w:bookmarkStart w:id="5616" w:name="_Toc214283479"/>
      <w:r w:rsidRPr="000665B0">
        <w:t>Delete</w:t>
      </w:r>
      <w:bookmarkEnd w:id="5611"/>
      <w:bookmarkEnd w:id="5612"/>
      <w:bookmarkEnd w:id="5613"/>
      <w:bookmarkEnd w:id="5614"/>
      <w:bookmarkEnd w:id="5615"/>
      <w:bookmarkEnd w:id="5616"/>
    </w:p>
    <w:p w14:paraId="0E9F2503" w14:textId="7F8F054E" w:rsidR="00E56FC4" w:rsidRPr="000665B0" w:rsidRDefault="00F02F03" w:rsidP="009570CA">
      <w:pPr>
        <w:spacing w:after="0"/>
      </w:pPr>
      <w:r w:rsidRPr="000665B0">
        <w:t>See</w:t>
      </w:r>
      <w:r w:rsidR="00E56FC4" w:rsidRPr="000665B0">
        <w:t xml:space="preserve"> </w:t>
      </w:r>
      <w:hyperlink w:anchor="_5.2.1.6__Delete" w:history="1">
        <w:r w:rsidR="00E56FC4" w:rsidRPr="000665B0">
          <w:rPr>
            <w:color w:val="0000FF"/>
            <w:u w:val="single"/>
          </w:rPr>
          <w:t>Section 5.2.1.6</w:t>
        </w:r>
      </w:hyperlink>
      <w:r w:rsidR="00E56FC4" w:rsidRPr="000665B0">
        <w:t>.</w:t>
      </w:r>
    </w:p>
    <w:p w14:paraId="0A5B92D9" w14:textId="0689BFDE" w:rsidR="00E56FC4" w:rsidRPr="000665B0" w:rsidRDefault="00E56FC4" w:rsidP="009570CA">
      <w:pPr>
        <w:pStyle w:val="Heading3"/>
      </w:pPr>
      <w:bookmarkStart w:id="5617" w:name="_Toc337630315"/>
      <w:bookmarkStart w:id="5618" w:name="_Toc214283480"/>
      <w:r w:rsidRPr="000665B0">
        <w:t>Receive File</w:t>
      </w:r>
      <w:bookmarkEnd w:id="5617"/>
      <w:bookmarkEnd w:id="5618"/>
    </w:p>
    <w:p w14:paraId="761D4F7E" w14:textId="14697193" w:rsidR="005D1A26" w:rsidRPr="000665B0" w:rsidRDefault="00F02F03" w:rsidP="009570CA">
      <w:pPr>
        <w:spacing w:after="0"/>
      </w:pPr>
      <w:r w:rsidRPr="000665B0">
        <w:t>See</w:t>
      </w:r>
      <w:r w:rsidR="00E56FC4" w:rsidRPr="000665B0">
        <w:t xml:space="preserve"> </w:t>
      </w:r>
      <w:hyperlink w:anchor="_5.2.1.7__Receive" w:history="1">
        <w:r w:rsidR="00E56FC4" w:rsidRPr="000665B0">
          <w:rPr>
            <w:rStyle w:val="Hyperlink"/>
          </w:rPr>
          <w:t>Section 5.2.1.7.</w:t>
        </w:r>
      </w:hyperlink>
    </w:p>
    <w:p w14:paraId="5D7F8B9C" w14:textId="77777777" w:rsidR="00D97D0C" w:rsidRPr="000665B0" w:rsidRDefault="00D97D0C" w:rsidP="009570CA"/>
    <w:p w14:paraId="16E15829" w14:textId="77777777" w:rsidR="00A316EA" w:rsidRDefault="00A316EA" w:rsidP="009570CA">
      <w:pPr>
        <w:pStyle w:val="StyleHeading2Left0Firstline0"/>
      </w:pPr>
      <w:r>
        <w:br w:type="page"/>
      </w:r>
      <w:bookmarkStart w:id="5619" w:name="_5.35__OVERLAY_TOOL"/>
      <w:bookmarkStart w:id="5620" w:name="_5.36__OVERLAY_TOOL"/>
      <w:bookmarkStart w:id="5621" w:name="_5.34__OVERLAYS"/>
      <w:bookmarkStart w:id="5622" w:name="_Toc71955690"/>
      <w:bookmarkStart w:id="5623" w:name="_Toc96170223"/>
      <w:bookmarkStart w:id="5624" w:name="_Toc96234268"/>
      <w:bookmarkStart w:id="5625" w:name="_Toc112733692"/>
      <w:bookmarkStart w:id="5626" w:name="_Toc289328778"/>
      <w:bookmarkStart w:id="5627" w:name="_Toc312332023"/>
      <w:bookmarkStart w:id="5628" w:name="_Toc214283481"/>
      <w:bookmarkEnd w:id="5523"/>
      <w:bookmarkEnd w:id="5619"/>
      <w:bookmarkEnd w:id="5620"/>
      <w:bookmarkEnd w:id="5621"/>
      <w:r w:rsidR="005D1A26" w:rsidRPr="000665B0">
        <w:lastRenderedPageBreak/>
        <w:t>OVERLAY</w:t>
      </w:r>
      <w:r w:rsidR="00C21BB2" w:rsidRPr="000665B0">
        <w:t>S</w:t>
      </w:r>
      <w:r w:rsidR="005D1A26" w:rsidRPr="000665B0">
        <w:t xml:space="preserve"> TOOL</w:t>
      </w:r>
      <w:bookmarkEnd w:id="5622"/>
      <w:bookmarkEnd w:id="5623"/>
      <w:bookmarkEnd w:id="5624"/>
      <w:bookmarkEnd w:id="5625"/>
      <w:bookmarkEnd w:id="5626"/>
      <w:bookmarkEnd w:id="5627"/>
      <w:bookmarkEnd w:id="5628"/>
    </w:p>
    <w:p w14:paraId="18661EEC" w14:textId="7206CA77" w:rsidR="005D1A26" w:rsidRPr="000665B0" w:rsidRDefault="0090065E" w:rsidP="009570CA">
      <w:r w:rsidRPr="000665B0">
        <w:t>Overlays are used to display supplemental map and tactical information related to military operations. An Overlay is a printing or drawing on a transparent or semi-transparent medium at the same scale as a map, chart, etc., to show details or special emphasis not appearing on the original. Each Overlay may contain one or more object</w:t>
      </w:r>
      <w:r w:rsidR="00FB055D" w:rsidRPr="000665B0">
        <w:t>s</w:t>
      </w:r>
      <w:r w:rsidRPr="000665B0">
        <w:t>.</w:t>
      </w:r>
    </w:p>
    <w:p w14:paraId="20BD0796" w14:textId="77777777" w:rsidR="005D1A26" w:rsidRPr="000665B0" w:rsidRDefault="005D1A26" w:rsidP="009570CA">
      <w:r w:rsidRPr="000665B0">
        <w:t>To display the Overlay List View:</w:t>
      </w:r>
    </w:p>
    <w:p w14:paraId="0ED8B809" w14:textId="77777777" w:rsidR="0090065E" w:rsidRPr="000665B0" w:rsidRDefault="0090065E" w:rsidP="009570CA">
      <w:pPr>
        <w:ind w:left="360"/>
      </w:pPr>
      <w:r w:rsidRPr="000665B0">
        <w:t xml:space="preserve">From the </w:t>
      </w:r>
      <w:r w:rsidRPr="000665B0">
        <w:rPr>
          <w:b/>
        </w:rPr>
        <w:t>Go</w:t>
      </w:r>
      <w:r w:rsidRPr="000665B0">
        <w:t xml:space="preserve"> menu select </w:t>
      </w:r>
      <w:r w:rsidRPr="000665B0">
        <w:rPr>
          <w:b/>
          <w:bCs/>
        </w:rPr>
        <w:t>Overlays</w:t>
      </w:r>
      <w:r w:rsidRPr="000665B0">
        <w:t>.</w:t>
      </w:r>
    </w:p>
    <w:p w14:paraId="2B18E562" w14:textId="00A86507" w:rsidR="005D1A26" w:rsidRPr="000665B0" w:rsidRDefault="006364AB" w:rsidP="009570CA">
      <w:pPr>
        <w:jc w:val="center"/>
      </w:pPr>
      <w:r w:rsidRPr="000665B0">
        <w:rPr>
          <w:noProof/>
        </w:rPr>
        <w:drawing>
          <wp:inline distT="0" distB="0" distL="0" distR="0" wp14:anchorId="5F2F1EEF" wp14:editId="522F4A56">
            <wp:extent cx="4572000" cy="1417320"/>
            <wp:effectExtent l="0" t="0" r="0" b="0"/>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1417320"/>
                    </a:xfrm>
                    <a:prstGeom prst="rect">
                      <a:avLst/>
                    </a:prstGeom>
                  </pic:spPr>
                </pic:pic>
              </a:graphicData>
            </a:graphic>
          </wp:inline>
        </w:drawing>
      </w:r>
    </w:p>
    <w:p w14:paraId="7524B3F5" w14:textId="77777777" w:rsidR="000C6122" w:rsidRPr="000665B0" w:rsidRDefault="000C6122" w:rsidP="009570CA">
      <w:pPr>
        <w:rPr>
          <w:b/>
          <w:i/>
        </w:rPr>
      </w:pPr>
      <w:bookmarkStart w:id="5629" w:name="_Toc71955691"/>
      <w:bookmarkStart w:id="5630" w:name="_Toc96170224"/>
      <w:bookmarkStart w:id="5631" w:name="_Toc96234269"/>
      <w:bookmarkStart w:id="5632" w:name="_Toc112733693"/>
      <w:bookmarkStart w:id="5633" w:name="_Toc289328779"/>
      <w:bookmarkStart w:id="5634" w:name="_Toc312332024"/>
      <w:r w:rsidRPr="000665B0">
        <w:rPr>
          <w:b/>
          <w:i/>
        </w:rPr>
        <w:t xml:space="preserve">Overlays List View </w:t>
      </w:r>
    </w:p>
    <w:p w14:paraId="1C18ADE9" w14:textId="77777777" w:rsidR="000C6122" w:rsidRPr="000665B0" w:rsidRDefault="000C6122" w:rsidP="006D5A65">
      <w:pPr>
        <w:pStyle w:val="Heading1"/>
      </w:pPr>
      <w:r w:rsidRPr="000665B0">
        <w:t>Columns</w:t>
      </w:r>
    </w:p>
    <w:p w14:paraId="79D49517" w14:textId="77777777" w:rsidR="000C6122" w:rsidRPr="000665B0" w:rsidRDefault="000C6122" w:rsidP="006D5A65">
      <w:pPr>
        <w:pStyle w:val="Heading2"/>
      </w:pPr>
      <w:r w:rsidRPr="000665B0">
        <w:t>Title – The title of the Overlay.</w:t>
      </w:r>
    </w:p>
    <w:p w14:paraId="6B687E33" w14:textId="77777777" w:rsidR="000C6122" w:rsidRPr="000665B0" w:rsidRDefault="000C6122" w:rsidP="006D5A65">
      <w:pPr>
        <w:pStyle w:val="Heading2"/>
      </w:pPr>
      <w:r w:rsidRPr="000665B0">
        <w:t>Description – A free text description of the Overlay.</w:t>
      </w:r>
    </w:p>
    <w:p w14:paraId="22BE6BA2" w14:textId="77777777" w:rsidR="000C6122" w:rsidRPr="000665B0" w:rsidRDefault="000C6122" w:rsidP="006D5A65">
      <w:pPr>
        <w:pStyle w:val="Heading2"/>
      </w:pPr>
      <w:r w:rsidRPr="000665B0">
        <w:t>Creation DTG – The date the Overlay was created.</w:t>
      </w:r>
    </w:p>
    <w:p w14:paraId="7E33D820" w14:textId="77777777" w:rsidR="000C6122" w:rsidRPr="000665B0" w:rsidRDefault="000C6122" w:rsidP="006D5A65">
      <w:pPr>
        <w:pStyle w:val="Heading2"/>
      </w:pPr>
      <w:r w:rsidRPr="000665B0">
        <w:t>Last Modified DTG – The date the Overlay was last modified.</w:t>
      </w:r>
    </w:p>
    <w:p w14:paraId="25F73F42" w14:textId="77777777" w:rsidR="000C6122" w:rsidRPr="000665B0" w:rsidRDefault="000C6122" w:rsidP="006D5A65">
      <w:pPr>
        <w:pStyle w:val="Heading2"/>
      </w:pPr>
      <w:r w:rsidRPr="000665B0">
        <w:t>Msg Command – Automatically set by the system.</w:t>
      </w:r>
    </w:p>
    <w:p w14:paraId="194295BB" w14:textId="77777777" w:rsidR="000C6122" w:rsidRPr="000665B0" w:rsidRDefault="000C6122" w:rsidP="006D5A65">
      <w:pPr>
        <w:pStyle w:val="Heading2"/>
      </w:pPr>
      <w:r w:rsidRPr="000665B0">
        <w:t>Msg Serial # – Automatically set by the system.</w:t>
      </w:r>
    </w:p>
    <w:p w14:paraId="2A76D6BD" w14:textId="77777777" w:rsidR="000C6122" w:rsidRPr="000665B0" w:rsidRDefault="000C6122" w:rsidP="006D5A65">
      <w:pPr>
        <w:pStyle w:val="Heading2"/>
      </w:pPr>
      <w:r w:rsidRPr="000665B0">
        <w:t>Msg Month – Automatically set by the system.</w:t>
      </w:r>
    </w:p>
    <w:p w14:paraId="2C18E628" w14:textId="77777777" w:rsidR="000C6122" w:rsidRPr="000665B0" w:rsidRDefault="000C6122" w:rsidP="006D5A65">
      <w:pPr>
        <w:pStyle w:val="Heading1"/>
      </w:pPr>
      <w:r w:rsidRPr="000665B0">
        <w:t>Context Menu</w:t>
      </w:r>
    </w:p>
    <w:p w14:paraId="4A216E50" w14:textId="6731FAE5" w:rsidR="00B55EE2" w:rsidRPr="000665B0" w:rsidRDefault="00B55EE2" w:rsidP="006D5A65">
      <w:pPr>
        <w:pStyle w:val="Heading2"/>
        <w:rPr>
          <w:rFonts w:eastAsia="Arial Unicode MS"/>
        </w:rPr>
      </w:pPr>
      <w:r w:rsidRPr="000665B0">
        <w:rPr>
          <w:rFonts w:eastAsia="Arial Unicode MS"/>
        </w:rPr>
        <w:t xml:space="preserve">New – </w:t>
      </w:r>
      <w:r w:rsidRPr="000665B0">
        <w:t xml:space="preserve">Invokes the </w:t>
      </w:r>
      <w:r w:rsidRPr="000665B0">
        <w:rPr>
          <w:i/>
        </w:rPr>
        <w:t>Overlay</w:t>
      </w:r>
      <w:r w:rsidRPr="000665B0">
        <w:t xml:space="preserve"> window.</w:t>
      </w:r>
    </w:p>
    <w:p w14:paraId="524249AC" w14:textId="7F91D55D" w:rsidR="000C6122" w:rsidRPr="000665B0" w:rsidRDefault="000C6122" w:rsidP="006D5A65">
      <w:pPr>
        <w:pStyle w:val="Heading2"/>
      </w:pPr>
      <w:r w:rsidRPr="000665B0">
        <w:t>Display</w:t>
      </w:r>
    </w:p>
    <w:p w14:paraId="54112DB7" w14:textId="77777777" w:rsidR="000C6122" w:rsidRPr="000665B0" w:rsidRDefault="000C6122" w:rsidP="006D5A65">
      <w:pPr>
        <w:pStyle w:val="Heading3"/>
        <w:rPr>
          <w:rFonts w:eastAsia="Arial Unicode MS"/>
        </w:rPr>
      </w:pPr>
      <w:r w:rsidRPr="000665B0">
        <w:rPr>
          <w:rFonts w:eastAsia="Arial Unicode MS"/>
        </w:rPr>
        <w:lastRenderedPageBreak/>
        <w:t xml:space="preserve">Textually </w:t>
      </w:r>
      <w:r w:rsidRPr="000665B0">
        <w:t>– Displays the textual view of the selected Overlay(s).</w:t>
      </w:r>
    </w:p>
    <w:p w14:paraId="3213A457" w14:textId="77777777" w:rsidR="000C6122" w:rsidRPr="000665B0" w:rsidRDefault="000C6122" w:rsidP="006D5A65">
      <w:pPr>
        <w:pStyle w:val="Heading3"/>
        <w:rPr>
          <w:rFonts w:eastAsia="Arial Unicode MS"/>
        </w:rPr>
      </w:pPr>
      <w:r w:rsidRPr="000665B0">
        <w:rPr>
          <w:rFonts w:eastAsia="Arial Unicode MS"/>
        </w:rPr>
        <w:t xml:space="preserve">Geographically – </w:t>
      </w:r>
      <w:r w:rsidRPr="000665B0">
        <w:t>Displays the selected Overlay(s) geographically.</w:t>
      </w:r>
    </w:p>
    <w:p w14:paraId="369475CC" w14:textId="77777777" w:rsidR="000C6122" w:rsidRPr="000665B0" w:rsidRDefault="000C6122" w:rsidP="006D5A65">
      <w:pPr>
        <w:pStyle w:val="Heading3"/>
        <w:rPr>
          <w:rFonts w:eastAsia="Arial Unicode MS"/>
        </w:rPr>
      </w:pPr>
      <w:r w:rsidRPr="000665B0">
        <w:rPr>
          <w:rFonts w:eastAsia="Arial Unicode MS"/>
        </w:rPr>
        <w:t xml:space="preserve">in Excel – </w:t>
      </w:r>
      <w:r w:rsidRPr="000665B0">
        <w:t>Creates an Excel document containing the selected Overlay’s information.</w:t>
      </w:r>
    </w:p>
    <w:p w14:paraId="7877E4EE" w14:textId="77777777" w:rsidR="000C6122" w:rsidRPr="000665B0" w:rsidRDefault="000C6122" w:rsidP="006D5A65">
      <w:pPr>
        <w:pStyle w:val="Heading2"/>
      </w:pPr>
      <w:r w:rsidRPr="000665B0">
        <w:t>Create Overlay Library… – Creates a library populated with the selected Overlay(s).</w:t>
      </w:r>
    </w:p>
    <w:p w14:paraId="2A9665CA" w14:textId="4EACDCBE" w:rsidR="000C6122" w:rsidRPr="000665B0" w:rsidRDefault="000C6122" w:rsidP="006D5A65">
      <w:pPr>
        <w:pStyle w:val="Heading2"/>
      </w:pPr>
      <w:r w:rsidRPr="000665B0">
        <w:rPr>
          <w:rFonts w:eastAsia="Arial Unicode MS"/>
        </w:rPr>
        <w:t>Create TED Library</w:t>
      </w:r>
      <w:r w:rsidRPr="000665B0">
        <w:t xml:space="preserve">… </w:t>
      </w:r>
      <w:r w:rsidRPr="000665B0">
        <w:rPr>
          <w:rFonts w:eastAsia="Arial Unicode MS"/>
        </w:rPr>
        <w:t xml:space="preserve">– </w:t>
      </w:r>
      <w:r w:rsidRPr="000665B0">
        <w:t xml:space="preserve">This type of library is able to accept different types of data instead of being restricted to a single data type as in the other MDS Libraries. For information on creating a TED Library see </w:t>
      </w:r>
      <w:hyperlink w:anchor="_5.13.1.1__New" w:history="1">
        <w:r w:rsidRPr="000665B0">
          <w:rPr>
            <w:rStyle w:val="Hyperlink"/>
          </w:rPr>
          <w:t>Section 5.</w:t>
        </w:r>
        <w:r w:rsidR="00C77A5E" w:rsidRPr="000665B0">
          <w:rPr>
            <w:rStyle w:val="Hyperlink"/>
          </w:rPr>
          <w:t>12</w:t>
        </w:r>
        <w:r w:rsidRPr="000665B0">
          <w:rPr>
            <w:rStyle w:val="Hyperlink"/>
          </w:rPr>
          <w:t>.1</w:t>
        </w:r>
        <w:r w:rsidR="0045148D" w:rsidRPr="000665B0">
          <w:rPr>
            <w:rStyle w:val="Hyperlink"/>
          </w:rPr>
          <w:t>.1</w:t>
        </w:r>
      </w:hyperlink>
      <w:r w:rsidRPr="000665B0">
        <w:t>.</w:t>
      </w:r>
    </w:p>
    <w:p w14:paraId="66CBBC70" w14:textId="77777777" w:rsidR="000C6122" w:rsidRPr="000665B0" w:rsidRDefault="000C6122" w:rsidP="006D5A65">
      <w:pPr>
        <w:pStyle w:val="Heading2"/>
        <w:rPr>
          <w:rFonts w:eastAsia="Arial Unicode MS"/>
        </w:rPr>
      </w:pPr>
      <w:r w:rsidRPr="000665B0">
        <w:rPr>
          <w:rFonts w:eastAsia="Arial Unicode MS"/>
        </w:rPr>
        <w:t>Send…</w:t>
      </w:r>
      <w:r w:rsidRPr="000665B0">
        <w:t xml:space="preserve"> – Displays a new DDO Template with the selected Overlays(s) pre-populated in the </w:t>
      </w:r>
      <w:r w:rsidRPr="000665B0">
        <w:rPr>
          <w:i/>
        </w:rPr>
        <w:t>Overlays</w:t>
      </w:r>
      <w:r w:rsidRPr="000665B0">
        <w:t xml:space="preserve"> tab.</w:t>
      </w:r>
    </w:p>
    <w:p w14:paraId="31090E86" w14:textId="77777777" w:rsidR="000C6122" w:rsidRPr="000665B0" w:rsidRDefault="000C6122" w:rsidP="006D5A65">
      <w:pPr>
        <w:pStyle w:val="Heading2"/>
      </w:pPr>
      <w:r w:rsidRPr="000665B0">
        <w:t>Print… – Prints the selected Overlay’s list information.</w:t>
      </w:r>
    </w:p>
    <w:p w14:paraId="437EEB7E" w14:textId="77777777" w:rsidR="000C6122" w:rsidRPr="000665B0" w:rsidRDefault="000C6122" w:rsidP="006D5A65">
      <w:pPr>
        <w:pStyle w:val="Heading2"/>
      </w:pPr>
      <w:r w:rsidRPr="000665B0">
        <w:rPr>
          <w:rFonts w:eastAsia="Arial Unicode MS"/>
        </w:rPr>
        <w:t xml:space="preserve">Delete… </w:t>
      </w:r>
      <w:r w:rsidRPr="000665B0">
        <w:t>–</w:t>
      </w:r>
      <w:r w:rsidRPr="000665B0">
        <w:rPr>
          <w:rFonts w:eastAsia="Arial Unicode MS"/>
        </w:rPr>
        <w:t xml:space="preserve"> </w:t>
      </w:r>
      <w:r w:rsidRPr="000665B0">
        <w:t xml:space="preserve">Deletes the selected Overlay(s). </w:t>
      </w:r>
    </w:p>
    <w:p w14:paraId="771D1F2E" w14:textId="5C8806CF" w:rsidR="005D1A26" w:rsidRPr="000665B0" w:rsidRDefault="005D1A26" w:rsidP="009570CA">
      <w:pPr>
        <w:pStyle w:val="Heading3"/>
      </w:pPr>
      <w:bookmarkStart w:id="5635" w:name="_5.34.1__Create"/>
      <w:bookmarkStart w:id="5636" w:name="_Toc214283482"/>
      <w:bookmarkEnd w:id="5635"/>
      <w:r w:rsidRPr="000665B0">
        <w:t>Create New Overlay</w:t>
      </w:r>
      <w:bookmarkEnd w:id="5629"/>
      <w:bookmarkEnd w:id="5630"/>
      <w:bookmarkEnd w:id="5631"/>
      <w:bookmarkEnd w:id="5632"/>
      <w:bookmarkEnd w:id="5633"/>
      <w:bookmarkEnd w:id="5634"/>
      <w:bookmarkEnd w:id="5636"/>
    </w:p>
    <w:p w14:paraId="334222D2" w14:textId="77777777" w:rsidR="005D1A26" w:rsidRPr="000665B0" w:rsidRDefault="005D1A26" w:rsidP="009570CA">
      <w:r w:rsidRPr="000665B0">
        <w:t>The Overlay</w:t>
      </w:r>
      <w:r w:rsidR="00C21BB2" w:rsidRPr="000665B0">
        <w:t>s</w:t>
      </w:r>
      <w:r w:rsidRPr="000665B0">
        <w:t xml:space="preserve"> Tool allows the operator to input either text or geographic information to be displayed at a predetermined location on the MDS Geographic display. </w:t>
      </w:r>
    </w:p>
    <w:p w14:paraId="4E292FE2" w14:textId="00EA93BB" w:rsidR="00CF0E8E" w:rsidRPr="000665B0" w:rsidRDefault="000C6122" w:rsidP="009570CA">
      <w:r w:rsidRPr="000665B0">
        <w:t>The Classification, Title, Description, and at least one object are required entries for saving an Overlay.</w:t>
      </w:r>
      <w:r w:rsidR="00CF0E8E" w:rsidRPr="000665B0">
        <w:t xml:space="preserve"> </w:t>
      </w:r>
    </w:p>
    <w:p w14:paraId="1D1EDA3A" w14:textId="77777777" w:rsidR="00CF0E8E" w:rsidRPr="000665B0" w:rsidRDefault="00CF0E8E"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snapToGrid w:val="0"/>
        </w:rPr>
      </w:pPr>
      <w:r w:rsidRPr="000665B0">
        <w:rPr>
          <w:b/>
          <w:snapToGrid w:val="0"/>
        </w:rPr>
        <w:t>Note:</w:t>
      </w:r>
    </w:p>
    <w:p w14:paraId="43A6B6D7" w14:textId="77777777" w:rsidR="00CF0E8E" w:rsidRPr="000665B0" w:rsidRDefault="00CF0E8E" w:rsidP="009570CA">
      <w:pPr>
        <w:pBdr>
          <w:top w:val="single" w:sz="12" w:space="1" w:color="auto"/>
          <w:left w:val="single" w:sz="12" w:space="4" w:color="auto"/>
          <w:bottom w:val="single" w:sz="12" w:space="1" w:color="auto"/>
          <w:right w:val="single" w:sz="12" w:space="4" w:color="auto"/>
        </w:pBdr>
        <w:shd w:val="clear" w:color="auto" w:fill="D9D9D9"/>
        <w:jc w:val="center"/>
        <w:rPr>
          <w:b/>
          <w:snapToGrid w:val="0"/>
        </w:rPr>
      </w:pPr>
      <w:r w:rsidRPr="000665B0">
        <w:rPr>
          <w:b/>
          <w:snapToGrid w:val="0"/>
        </w:rPr>
        <w:t>TTWCS version 5.4.0.2 and above does not support Overlays.</w:t>
      </w:r>
    </w:p>
    <w:p w14:paraId="7B2264E7" w14:textId="77777777" w:rsidR="005D1A26" w:rsidRPr="000665B0" w:rsidRDefault="000C6122" w:rsidP="009570CA">
      <w:r w:rsidRPr="000665B0">
        <w:t>To create a new Overlay:</w:t>
      </w:r>
    </w:p>
    <w:p w14:paraId="7185EF45" w14:textId="77777777" w:rsidR="005D1A26" w:rsidRPr="000665B0" w:rsidRDefault="005D1A26" w:rsidP="006D5A65">
      <w:pPr>
        <w:pStyle w:val="Heading1"/>
      </w:pPr>
      <w:r w:rsidRPr="000665B0">
        <w:lastRenderedPageBreak/>
        <w:t>Navigate to the Overlay</w:t>
      </w:r>
      <w:r w:rsidR="00C21BB2" w:rsidRPr="000665B0">
        <w:t>s</w:t>
      </w:r>
      <w:r w:rsidRPr="000665B0">
        <w:t xml:space="preserve"> </w:t>
      </w:r>
      <w:r w:rsidRPr="000665B0">
        <w:rPr>
          <w:bCs/>
        </w:rPr>
        <w:t>Tool</w:t>
      </w:r>
      <w:r w:rsidRPr="000665B0">
        <w:t>.</w:t>
      </w:r>
    </w:p>
    <w:p w14:paraId="3A3925EC" w14:textId="174B0768" w:rsidR="005D1A26" w:rsidRPr="000665B0" w:rsidRDefault="000C6122" w:rsidP="006D5A65">
      <w:pPr>
        <w:pStyle w:val="Heading1"/>
      </w:pPr>
      <w:r w:rsidRPr="000665B0">
        <w:t xml:space="preserve">From the </w:t>
      </w:r>
      <w:r w:rsidRPr="000665B0">
        <w:rPr>
          <w:bCs/>
        </w:rPr>
        <w:t>File</w:t>
      </w:r>
      <w:r w:rsidRPr="000665B0">
        <w:t xml:space="preserve"> menu select </w:t>
      </w:r>
      <w:r w:rsidRPr="000665B0">
        <w:rPr>
          <w:bCs/>
        </w:rPr>
        <w:t>New</w:t>
      </w:r>
      <w:r w:rsidRPr="000665B0">
        <w:t xml:space="preserve">, click the New </w:t>
      </w:r>
      <w:r w:rsidRPr="000665B0">
        <w:rPr>
          <w:noProof/>
        </w:rPr>
        <w:drawing>
          <wp:inline distT="0" distB="0" distL="0" distR="0" wp14:anchorId="2DC35C8E" wp14:editId="204102E8">
            <wp:extent cx="158750" cy="158750"/>
            <wp:effectExtent l="0" t="0" r="0" b="0"/>
            <wp:docPr id="431" name="Picture 431"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new 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icon on the Tool Bar</w:t>
      </w:r>
      <w:r w:rsidR="00B55EE2" w:rsidRPr="000665B0">
        <w:rPr>
          <w:szCs w:val="24"/>
        </w:rPr>
        <w:t xml:space="preserve">, or </w:t>
      </w:r>
      <w:r w:rsidR="00B55EE2" w:rsidRPr="000665B0">
        <w:rPr>
          <w:noProof/>
          <w:szCs w:val="24"/>
        </w:rPr>
        <w:t>invoke the context menu (right-click the mouse) and select New…</w:t>
      </w:r>
      <w:r w:rsidRPr="000665B0">
        <w:t xml:space="preserve">. A new </w:t>
      </w:r>
      <w:r w:rsidRPr="000665B0">
        <w:rPr>
          <w:i/>
        </w:rPr>
        <w:t>Overlay</w:t>
      </w:r>
      <w:r w:rsidRPr="000665B0">
        <w:t xml:space="preserve"> window is displayed.</w:t>
      </w:r>
    </w:p>
    <w:p w14:paraId="3D70B251" w14:textId="4E84AE8B" w:rsidR="005D1A26" w:rsidRPr="000665B0" w:rsidRDefault="00CA7C39" w:rsidP="009570CA">
      <w:pPr>
        <w:jc w:val="center"/>
      </w:pPr>
      <w:r w:rsidRPr="000665B0">
        <w:rPr>
          <w:noProof/>
        </w:rPr>
        <w:drawing>
          <wp:inline distT="0" distB="0" distL="0" distR="0" wp14:anchorId="1B83A23F" wp14:editId="103FF3D1">
            <wp:extent cx="2484120" cy="2952142"/>
            <wp:effectExtent l="0" t="0" r="0" b="0"/>
            <wp:docPr id="1991" name="Picture 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484120" cy="2952142"/>
                    </a:xfrm>
                    <a:prstGeom prst="rect">
                      <a:avLst/>
                    </a:prstGeom>
                  </pic:spPr>
                </pic:pic>
              </a:graphicData>
            </a:graphic>
          </wp:inline>
        </w:drawing>
      </w:r>
    </w:p>
    <w:p w14:paraId="27759043" w14:textId="2567401A" w:rsidR="005D1A26" w:rsidRPr="000665B0" w:rsidRDefault="000C6122" w:rsidP="006D5A65">
      <w:pPr>
        <w:pStyle w:val="Heading1"/>
      </w:pPr>
      <w:r w:rsidRPr="000665B0">
        <w:t xml:space="preserve">If it is required to change the classification, click the </w:t>
      </w:r>
      <w:r w:rsidRPr="000665B0">
        <w:rPr>
          <w:bCs/>
        </w:rPr>
        <w:t>EDIT</w:t>
      </w:r>
      <w:r w:rsidRPr="000665B0">
        <w:t xml:space="preserve"> button and select the classification from the drop-down menu of the </w:t>
      </w:r>
      <w:r w:rsidRPr="000665B0">
        <w:rPr>
          <w:i/>
          <w:iCs/>
        </w:rPr>
        <w:t>Edit Classification</w:t>
      </w:r>
      <w:r w:rsidRPr="000665B0">
        <w:t xml:space="preserve"> window. For information on editing the classification see </w:t>
      </w:r>
      <w:hyperlink w:anchor="_5.2.7__Edit" w:history="1">
        <w:r w:rsidRPr="000665B0">
          <w:rPr>
            <w:color w:val="0000FF"/>
            <w:u w:val="single"/>
          </w:rPr>
          <w:t>Section 5.2.7</w:t>
        </w:r>
      </w:hyperlink>
      <w:r w:rsidRPr="000665B0">
        <w:t>.</w:t>
      </w:r>
    </w:p>
    <w:p w14:paraId="642C3513" w14:textId="77777777" w:rsidR="005D1A26" w:rsidRPr="000665B0" w:rsidRDefault="00A830F2" w:rsidP="006D5A65">
      <w:pPr>
        <w:pStyle w:val="Heading1"/>
      </w:pPr>
      <w:r w:rsidRPr="000665B0">
        <w:t>F</w:t>
      </w:r>
      <w:r w:rsidR="005D1A26" w:rsidRPr="000665B0">
        <w:t xml:space="preserve">ields </w:t>
      </w:r>
      <w:r w:rsidRPr="000665B0">
        <w:t xml:space="preserve">are </w:t>
      </w:r>
      <w:r w:rsidR="005D1A26" w:rsidRPr="000665B0">
        <w:t>described below:</w:t>
      </w:r>
    </w:p>
    <w:p w14:paraId="0EFD18D6" w14:textId="77777777" w:rsidR="000C6122" w:rsidRPr="000665B0" w:rsidRDefault="000C6122" w:rsidP="006D5A65">
      <w:pPr>
        <w:pStyle w:val="Heading1"/>
      </w:pPr>
      <w:r w:rsidRPr="000665B0">
        <w:t xml:space="preserve">Creation DTG – The date when the Overlay was created. Automatically set by the system at creation time for a locally created Overlay or from information received from an incoming (Receive File or DDO) Overlay. </w:t>
      </w:r>
    </w:p>
    <w:p w14:paraId="1EAE71AE" w14:textId="77777777" w:rsidR="000C6122" w:rsidRPr="000665B0" w:rsidRDefault="000C6122" w:rsidP="006D5A65">
      <w:pPr>
        <w:pStyle w:val="Heading1"/>
      </w:pPr>
      <w:r w:rsidRPr="000665B0">
        <w:t>Last Modified DTG – The date when the Overlay was last modified.</w:t>
      </w:r>
      <w:r w:rsidR="00A830F2" w:rsidRPr="000665B0">
        <w:t xml:space="preserve"> Automatically set by the system at last modified time for a locally created non-read only Overlay or from information received from an incoming (Receive File or DDO) Overlay.</w:t>
      </w:r>
    </w:p>
    <w:p w14:paraId="254BF2EF" w14:textId="77777777" w:rsidR="00C927D3" w:rsidRPr="000665B0" w:rsidRDefault="000C6122" w:rsidP="006D5A65">
      <w:pPr>
        <w:pStyle w:val="Heading1"/>
      </w:pPr>
      <w:r w:rsidRPr="000665B0">
        <w:t>Msg Command – Automatically set by the system at time of transmission for a locally created Overlay or from information received from an incoming (Receive File or DDO) Overlay. For transmitted messages from MDS, the Own Node name is used as the command.</w:t>
      </w:r>
    </w:p>
    <w:p w14:paraId="6DB382AE" w14:textId="77777777" w:rsidR="000C6122" w:rsidRPr="000665B0" w:rsidRDefault="000C6122" w:rsidP="006D5A65">
      <w:pPr>
        <w:pStyle w:val="Heading1"/>
      </w:pPr>
      <w:r w:rsidRPr="000665B0">
        <w:t xml:space="preserve">Source Command – Automatically set by the system at time of transmission for a locally created Overlay or from information received from an incoming (Receive File or DDO) </w:t>
      </w:r>
      <w:r w:rsidRPr="000665B0">
        <w:lastRenderedPageBreak/>
        <w:t>Overlay. For transmitted messages from MDS, the Own Node name is used as the command.</w:t>
      </w:r>
    </w:p>
    <w:p w14:paraId="1AA92E78" w14:textId="77777777" w:rsidR="000C6122" w:rsidRPr="000665B0" w:rsidRDefault="000C6122" w:rsidP="006D5A65">
      <w:pPr>
        <w:pStyle w:val="Heading1"/>
      </w:pPr>
      <w:r w:rsidRPr="000665B0">
        <w:t>Msg Serial # – The message serial number is automatically set by the system at time of transmission for a locally created Overlay or from information received from an incoming (Receive File or DDO) Overlay. For transmitted Overlay Messages from MDS, the message serial number is a one up counter specific to the system it was created on.</w:t>
      </w:r>
    </w:p>
    <w:p w14:paraId="676882BD" w14:textId="77777777" w:rsidR="000C6122" w:rsidRPr="000665B0" w:rsidRDefault="000C6122" w:rsidP="006D5A65">
      <w:pPr>
        <w:pStyle w:val="Heading1"/>
      </w:pPr>
      <w:r w:rsidRPr="000665B0">
        <w:t>Source UID – A unique identifier automatically set by the system at time of transmission for a locally created Overlay or from information received from an incoming (Receive File or DDO) Overlay. For transmitted messages from MDS, the unique identifier is a one up counter specific to the system it was created on.</w:t>
      </w:r>
    </w:p>
    <w:p w14:paraId="2F6C8200" w14:textId="43E4102F" w:rsidR="000C6122" w:rsidRPr="000665B0" w:rsidRDefault="000C6122" w:rsidP="006D5A65">
      <w:pPr>
        <w:pStyle w:val="Heading1"/>
      </w:pPr>
      <w:r w:rsidRPr="000665B0">
        <w:t xml:space="preserve">Title – 1-14 alphanumeric and special or space characters. This is a required field (as denoted by the * and/or yellow background) and the user is unable to proceed without updating this field. </w:t>
      </w:r>
      <w:r w:rsidRPr="000665B0">
        <w:rPr>
          <w:szCs w:val="24"/>
        </w:rPr>
        <w:t xml:space="preserve">For further information on mandatory fields see </w:t>
      </w:r>
      <w:hyperlink w:anchor="_5.2.7__Editing" w:history="1">
        <w:r w:rsidRPr="000665B0">
          <w:rPr>
            <w:color w:val="0000FF"/>
            <w:szCs w:val="24"/>
            <w:u w:val="single"/>
          </w:rPr>
          <w:t>Section 5.2.8</w:t>
        </w:r>
      </w:hyperlink>
      <w:r w:rsidRPr="000665B0">
        <w:rPr>
          <w:szCs w:val="24"/>
        </w:rPr>
        <w:t>.</w:t>
      </w:r>
    </w:p>
    <w:p w14:paraId="70C3FEB5" w14:textId="03D19ECB" w:rsidR="000C6122" w:rsidRPr="000665B0" w:rsidRDefault="000C6122" w:rsidP="006D5A65">
      <w:pPr>
        <w:pStyle w:val="Heading1"/>
      </w:pPr>
      <w:r w:rsidRPr="000665B0">
        <w:t xml:space="preserve">Description – 1-33 alphanumeric and special or space characters. This is a required field (as denoted by the * and/or yellow background) and the user is unable to proceed without updating this field. </w:t>
      </w:r>
      <w:r w:rsidRPr="000665B0">
        <w:rPr>
          <w:szCs w:val="24"/>
        </w:rPr>
        <w:t xml:space="preserve">For further information on mandatory fields see </w:t>
      </w:r>
      <w:hyperlink w:anchor="_5.2.7__Editing" w:history="1">
        <w:r w:rsidRPr="000665B0">
          <w:rPr>
            <w:color w:val="0000FF"/>
            <w:szCs w:val="24"/>
            <w:u w:val="single"/>
          </w:rPr>
          <w:t>Section 5.2.8</w:t>
        </w:r>
      </w:hyperlink>
      <w:r w:rsidRPr="000665B0">
        <w:rPr>
          <w:szCs w:val="24"/>
        </w:rPr>
        <w:t>.</w:t>
      </w:r>
    </w:p>
    <w:p w14:paraId="2A0F5540" w14:textId="77777777" w:rsidR="000C6122" w:rsidRPr="000665B0" w:rsidRDefault="000C6122" w:rsidP="006D5A65">
      <w:pPr>
        <w:pStyle w:val="Heading1"/>
      </w:pPr>
      <w:r w:rsidRPr="000665B0">
        <w:t xml:space="preserve">Start DTG (optional) – DTG that the Overlay goes into effect. </w:t>
      </w:r>
    </w:p>
    <w:p w14:paraId="29463684" w14:textId="77777777" w:rsidR="000C6122" w:rsidRPr="000665B0" w:rsidRDefault="000C6122" w:rsidP="006D5A65">
      <w:pPr>
        <w:pStyle w:val="Heading1"/>
      </w:pPr>
      <w:r w:rsidRPr="000665B0">
        <w:t xml:space="preserve">End DTG (optional) – DTG that the Overlay expires. </w:t>
      </w:r>
    </w:p>
    <w:p w14:paraId="05A63DA0" w14:textId="77777777" w:rsidR="000C6122" w:rsidRPr="000665B0" w:rsidRDefault="000C6122" w:rsidP="006D5A65">
      <w:pPr>
        <w:pStyle w:val="Heading1"/>
      </w:pPr>
      <w:r w:rsidRPr="000665B0">
        <w:t xml:space="preserve">Remarks (optional) – Amplifying information regarding the Overlay. The valid format is 1 to 4 lines of 64 maximum characters per line of alphanumeric or blank space characters. All leading and trailing blank space characters are trimmed before saving to database. </w:t>
      </w:r>
    </w:p>
    <w:p w14:paraId="5596C42B" w14:textId="0615B08B" w:rsidR="000C6122" w:rsidRPr="000665B0" w:rsidRDefault="000C6122" w:rsidP="006D5A65">
      <w:pPr>
        <w:pStyle w:val="Heading1"/>
      </w:pPr>
      <w:r w:rsidRPr="000665B0">
        <w:t xml:space="preserve">Add a geographic object describing the location and shape of the Overlay into the Overlay object list. Objects may be assigned by manually assigning </w:t>
      </w:r>
      <w:r w:rsidR="00A830F2" w:rsidRPr="000665B0">
        <w:t>values</w:t>
      </w:r>
      <w:r w:rsidRPr="000665B0">
        <w:t xml:space="preserve"> to their location parameters and dimensions, or by drawing them on the map display.</w:t>
      </w:r>
      <w:r w:rsidR="006B4AE5" w:rsidRPr="000665B0">
        <w:t xml:space="preserve"> All required fields are denoted by the * and/or yellow background) and the user is unable to proceed without updating these fields. </w:t>
      </w:r>
      <w:r w:rsidR="006B4AE5" w:rsidRPr="000665B0">
        <w:rPr>
          <w:szCs w:val="24"/>
        </w:rPr>
        <w:t xml:space="preserve">For further information on mandatory fields see </w:t>
      </w:r>
      <w:hyperlink w:anchor="_5.2.7__Editing" w:history="1">
        <w:r w:rsidR="006B4AE5" w:rsidRPr="000665B0">
          <w:rPr>
            <w:color w:val="0000FF"/>
            <w:szCs w:val="24"/>
            <w:u w:val="single"/>
          </w:rPr>
          <w:t>Section 5.2.8</w:t>
        </w:r>
      </w:hyperlink>
      <w:r w:rsidR="006B4AE5" w:rsidRPr="000665B0">
        <w:rPr>
          <w:szCs w:val="24"/>
        </w:rPr>
        <w:t>.</w:t>
      </w:r>
    </w:p>
    <w:p w14:paraId="13F0836F" w14:textId="77777777" w:rsidR="000C6122" w:rsidRPr="000665B0" w:rsidRDefault="000C6122" w:rsidP="006D5A65">
      <w:pPr>
        <w:pStyle w:val="Heading2"/>
      </w:pPr>
      <w:r w:rsidRPr="000665B0">
        <w:t xml:space="preserve">Manual Specification – Select a shape, label, or text from the toolbar located just above the left end of the list. Enter the appropriate values in the </w:t>
      </w:r>
      <w:r w:rsidRPr="000665B0">
        <w:rPr>
          <w:i/>
        </w:rPr>
        <w:t>Add XXXXX</w:t>
      </w:r>
      <w:r w:rsidRPr="000665B0">
        <w:t xml:space="preserve"> window that appears (mandatory fields are </w:t>
      </w:r>
      <w:r w:rsidRPr="000665B0">
        <w:rPr>
          <w:szCs w:val="24"/>
        </w:rPr>
        <w:t>denoted by the * and/or yellow background)</w:t>
      </w:r>
      <w:r w:rsidRPr="000665B0">
        <w:t>. Click OK.</w:t>
      </w:r>
    </w:p>
    <w:p w14:paraId="0CEEFCB0" w14:textId="77777777" w:rsidR="000C6122" w:rsidRPr="000665B0" w:rsidRDefault="000C6122" w:rsidP="009570CA">
      <w:pPr>
        <w:jc w:val="center"/>
        <w:rPr>
          <w:noProof/>
        </w:rPr>
      </w:pPr>
      <w:r w:rsidRPr="000665B0">
        <w:rPr>
          <w:noProof/>
        </w:rPr>
        <w:lastRenderedPageBreak/>
        <w:drawing>
          <wp:inline distT="0" distB="0" distL="0" distR="0" wp14:anchorId="11CED675" wp14:editId="6931CCCE">
            <wp:extent cx="2286000" cy="228600"/>
            <wp:effectExtent l="0" t="0" r="0" b="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286000" cy="228600"/>
                    </a:xfrm>
                    <a:prstGeom prst="rect">
                      <a:avLst/>
                    </a:prstGeom>
                    <a:noFill/>
                    <a:ln>
                      <a:noFill/>
                    </a:ln>
                  </pic:spPr>
                </pic:pic>
              </a:graphicData>
            </a:graphic>
          </wp:inline>
        </w:drawing>
      </w:r>
    </w:p>
    <w:p w14:paraId="4760AABA" w14:textId="1F8B42D3" w:rsidR="000C6122" w:rsidRPr="000665B0" w:rsidRDefault="006364AB" w:rsidP="009570CA">
      <w:pPr>
        <w:jc w:val="center"/>
        <w:rPr>
          <w:noProof/>
        </w:rPr>
      </w:pPr>
      <w:r w:rsidRPr="000665B0">
        <w:rPr>
          <w:noProof/>
        </w:rPr>
        <w:drawing>
          <wp:inline distT="0" distB="0" distL="0" distR="0" wp14:anchorId="7D32160C" wp14:editId="3DFDCC6A">
            <wp:extent cx="1828800" cy="2880360"/>
            <wp:effectExtent l="0" t="0" r="0" b="0"/>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2880360"/>
                    </a:xfrm>
                    <a:prstGeom prst="rect">
                      <a:avLst/>
                    </a:prstGeom>
                  </pic:spPr>
                </pic:pic>
              </a:graphicData>
            </a:graphic>
          </wp:inline>
        </w:drawing>
      </w:r>
    </w:p>
    <w:p w14:paraId="628283A6" w14:textId="77777777" w:rsidR="000C6122" w:rsidRPr="000665B0" w:rsidRDefault="000C6122" w:rsidP="009570CA">
      <w:pPr>
        <w:ind w:left="1080"/>
      </w:pPr>
      <w:r w:rsidRPr="000665B0">
        <w:rPr>
          <w:b/>
        </w:rPr>
        <w:t>Color</w:t>
      </w:r>
      <w:r w:rsidRPr="000665B0">
        <w:t xml:space="preserve"> – Outline color of the shape, when drawn.</w:t>
      </w:r>
    </w:p>
    <w:p w14:paraId="44016E97" w14:textId="77777777" w:rsidR="000C6122" w:rsidRPr="000665B0" w:rsidRDefault="000C6122" w:rsidP="009570CA">
      <w:pPr>
        <w:ind w:left="1080"/>
      </w:pPr>
      <w:r w:rsidRPr="000665B0">
        <w:rPr>
          <w:b/>
        </w:rPr>
        <w:t>Line Style</w:t>
      </w:r>
      <w:r w:rsidRPr="000665B0">
        <w:t xml:space="preserve"> – Type of outline (solid, dashed, dotted, etc.) when drawn.</w:t>
      </w:r>
    </w:p>
    <w:p w14:paraId="05FC774B" w14:textId="77777777" w:rsidR="000C6122" w:rsidRPr="000665B0" w:rsidRDefault="000C6122" w:rsidP="009570CA">
      <w:pPr>
        <w:ind w:left="1080"/>
      </w:pPr>
      <w:r w:rsidRPr="000665B0">
        <w:rPr>
          <w:b/>
        </w:rPr>
        <w:t>Line Width</w:t>
      </w:r>
      <w:r w:rsidRPr="000665B0">
        <w:t xml:space="preserve"> – Thickness of outline when drawn.</w:t>
      </w:r>
    </w:p>
    <w:p w14:paraId="091810EC" w14:textId="77777777" w:rsidR="000C6122" w:rsidRPr="000665B0" w:rsidRDefault="000C6122" w:rsidP="009570CA">
      <w:pPr>
        <w:ind w:left="1080"/>
      </w:pPr>
      <w:r w:rsidRPr="000665B0">
        <w:rPr>
          <w:b/>
        </w:rPr>
        <w:t>Fill Style</w:t>
      </w:r>
      <w:r w:rsidRPr="000665B0">
        <w:t xml:space="preserve"> (filled shapes only) – Pattern used to fill the interior of the shape when drawn.</w:t>
      </w:r>
    </w:p>
    <w:p w14:paraId="7B4DF67D" w14:textId="77777777" w:rsidR="000C6122" w:rsidRPr="000665B0" w:rsidRDefault="000C6122" w:rsidP="009570CA">
      <w:pPr>
        <w:ind w:left="1080"/>
      </w:pPr>
      <w:r w:rsidRPr="000665B0">
        <w:rPr>
          <w:b/>
        </w:rPr>
        <w:t>Fill Color</w:t>
      </w:r>
      <w:r w:rsidRPr="000665B0">
        <w:t xml:space="preserve"> (filled shapes only) – Color used to fill the interior of the shape when drawn.</w:t>
      </w:r>
    </w:p>
    <w:p w14:paraId="78F6018F" w14:textId="77777777" w:rsidR="000C6122" w:rsidRPr="000665B0" w:rsidRDefault="000C6122" w:rsidP="009570CA">
      <w:pPr>
        <w:ind w:left="1080"/>
      </w:pPr>
      <w:r w:rsidRPr="000665B0">
        <w:rPr>
          <w:b/>
        </w:rPr>
        <w:t>Semi-Major Axis</w:t>
      </w:r>
      <w:r w:rsidRPr="000665B0">
        <w:t xml:space="preserve"> – Extent of the shape from its center to its edge in the direction given by the orientation (nautical miles).</w:t>
      </w:r>
    </w:p>
    <w:p w14:paraId="10A6B760" w14:textId="77777777" w:rsidR="000C6122" w:rsidRPr="000665B0" w:rsidRDefault="000C6122" w:rsidP="009570CA">
      <w:pPr>
        <w:ind w:left="1080"/>
      </w:pPr>
      <w:r w:rsidRPr="000665B0">
        <w:rPr>
          <w:b/>
        </w:rPr>
        <w:t>Semi-Minor Axis</w:t>
      </w:r>
      <w:r w:rsidRPr="000665B0">
        <w:t xml:space="preserve"> – Extent of the shape from its center to its edge in a direction perpendicular to that given by its orientation (nautical miles).</w:t>
      </w:r>
    </w:p>
    <w:p w14:paraId="66D58B0E" w14:textId="77777777" w:rsidR="000C6122" w:rsidRPr="000665B0" w:rsidRDefault="000C6122" w:rsidP="009570CA">
      <w:pPr>
        <w:ind w:left="1080"/>
      </w:pPr>
      <w:r w:rsidRPr="000665B0">
        <w:rPr>
          <w:b/>
        </w:rPr>
        <w:t>Orientation</w:t>
      </w:r>
      <w:r w:rsidRPr="000665B0">
        <w:t xml:space="preserve"> – Direction in which the shape (or its major axis) is oriented (degrees bearing from north).</w:t>
      </w:r>
    </w:p>
    <w:p w14:paraId="2944863B" w14:textId="77777777" w:rsidR="000C6122" w:rsidRPr="000665B0" w:rsidRDefault="000C6122" w:rsidP="009570CA">
      <w:pPr>
        <w:ind w:left="1080"/>
      </w:pPr>
      <w:r w:rsidRPr="000665B0">
        <w:rPr>
          <w:b/>
        </w:rPr>
        <w:t>Latitude</w:t>
      </w:r>
      <w:r w:rsidRPr="000665B0">
        <w:t xml:space="preserve"> – Latitude of the center, a corner, or a vertex of the shape.</w:t>
      </w:r>
    </w:p>
    <w:p w14:paraId="44DE5FB9" w14:textId="77777777" w:rsidR="000C6122" w:rsidRPr="000665B0" w:rsidRDefault="000C6122" w:rsidP="009570CA">
      <w:pPr>
        <w:ind w:left="1080"/>
      </w:pPr>
      <w:r w:rsidRPr="000665B0">
        <w:rPr>
          <w:b/>
        </w:rPr>
        <w:t>Longitude</w:t>
      </w:r>
      <w:r w:rsidRPr="000665B0">
        <w:t xml:space="preserve"> – Longitude of the center, a corner, or a vertex of the shape.</w:t>
      </w:r>
    </w:p>
    <w:p w14:paraId="220B1154" w14:textId="77777777" w:rsidR="000C6122" w:rsidRPr="000665B0" w:rsidRDefault="000C6122" w:rsidP="009570CA">
      <w:pPr>
        <w:ind w:left="1080"/>
      </w:pPr>
      <w:r w:rsidRPr="000665B0">
        <w:rPr>
          <w:b/>
        </w:rPr>
        <w:t xml:space="preserve">Altitude </w:t>
      </w:r>
      <w:r w:rsidRPr="000665B0">
        <w:t>– Altitude of a vertex of the shape.</w:t>
      </w:r>
    </w:p>
    <w:p w14:paraId="1DA4842E" w14:textId="77777777" w:rsidR="000C6122" w:rsidRPr="000665B0" w:rsidRDefault="000C6122" w:rsidP="009570CA">
      <w:pPr>
        <w:ind w:left="1080"/>
      </w:pPr>
      <w:r w:rsidRPr="000665B0">
        <w:rPr>
          <w:b/>
        </w:rPr>
        <w:t xml:space="preserve">Start Bearing </w:t>
      </w:r>
      <w:r w:rsidRPr="000665B0">
        <w:t>– Direction from the center of the leading edge of a sector (degrees bearing from north).</w:t>
      </w:r>
    </w:p>
    <w:p w14:paraId="4B6FA92F" w14:textId="77777777" w:rsidR="000C6122" w:rsidRPr="000665B0" w:rsidRDefault="000C6122" w:rsidP="009570CA">
      <w:pPr>
        <w:ind w:left="1080"/>
      </w:pPr>
      <w:r w:rsidRPr="000665B0">
        <w:rPr>
          <w:b/>
        </w:rPr>
        <w:t xml:space="preserve">End Bearing </w:t>
      </w:r>
      <w:r w:rsidRPr="000665B0">
        <w:t>– Direction from the center of the trailing edge of a sector (degrees bearing from north).</w:t>
      </w:r>
    </w:p>
    <w:p w14:paraId="15BA4D10" w14:textId="77777777" w:rsidR="000C6122" w:rsidRPr="000665B0" w:rsidRDefault="000C6122" w:rsidP="009570CA">
      <w:pPr>
        <w:ind w:left="1080"/>
      </w:pPr>
      <w:r w:rsidRPr="000665B0">
        <w:rPr>
          <w:b/>
        </w:rPr>
        <w:t xml:space="preserve">Inner Radius </w:t>
      </w:r>
      <w:r w:rsidRPr="000665B0">
        <w:t>– Radius of the inner curve of a sector (nautical miles).</w:t>
      </w:r>
    </w:p>
    <w:p w14:paraId="272B2240" w14:textId="77777777" w:rsidR="000C6122" w:rsidRPr="000665B0" w:rsidRDefault="000C6122" w:rsidP="009570CA">
      <w:pPr>
        <w:ind w:left="1080"/>
      </w:pPr>
      <w:r w:rsidRPr="000665B0">
        <w:rPr>
          <w:b/>
        </w:rPr>
        <w:lastRenderedPageBreak/>
        <w:t xml:space="preserve">Outer Radius </w:t>
      </w:r>
      <w:r w:rsidRPr="000665B0">
        <w:t>– Radius of the outer curve of a sector (nautical miles).</w:t>
      </w:r>
    </w:p>
    <w:p w14:paraId="3CCDB702" w14:textId="77777777" w:rsidR="000C6122" w:rsidRPr="000665B0" w:rsidRDefault="000C6122" w:rsidP="009570CA">
      <w:pPr>
        <w:ind w:left="1080"/>
      </w:pPr>
      <w:r w:rsidRPr="000665B0">
        <w:rPr>
          <w:b/>
        </w:rPr>
        <w:t xml:space="preserve">Grids per Row </w:t>
      </w:r>
      <w:r w:rsidRPr="000665B0">
        <w:t>– Number of grids per row of a grid (1-50).</w:t>
      </w:r>
    </w:p>
    <w:p w14:paraId="3AF2A5B0" w14:textId="77777777" w:rsidR="000C6122" w:rsidRPr="000665B0" w:rsidRDefault="000C6122" w:rsidP="009570CA">
      <w:pPr>
        <w:ind w:left="1080"/>
      </w:pPr>
      <w:r w:rsidRPr="000665B0">
        <w:rPr>
          <w:b/>
        </w:rPr>
        <w:t xml:space="preserve">Label </w:t>
      </w:r>
      <w:r w:rsidRPr="000665B0">
        <w:t>– Text for label or symbol.</w:t>
      </w:r>
    </w:p>
    <w:p w14:paraId="09CB223D" w14:textId="77777777" w:rsidR="000C6122" w:rsidRPr="000665B0" w:rsidRDefault="000C6122" w:rsidP="009570CA">
      <w:pPr>
        <w:ind w:left="1080"/>
      </w:pPr>
      <w:r w:rsidRPr="000665B0">
        <w:rPr>
          <w:b/>
        </w:rPr>
        <w:t xml:space="preserve">Grid Name </w:t>
      </w:r>
      <w:r w:rsidRPr="000665B0">
        <w:t>– Name of grid in a 4-Whisky (1-40 alphanumeric and special or space characters).</w:t>
      </w:r>
    </w:p>
    <w:p w14:paraId="50ED34B5" w14:textId="77777777" w:rsidR="000C6122" w:rsidRPr="000665B0" w:rsidRDefault="000C6122" w:rsidP="009570CA">
      <w:pPr>
        <w:ind w:left="1080"/>
      </w:pPr>
      <w:r w:rsidRPr="000665B0">
        <w:rPr>
          <w:b/>
        </w:rPr>
        <w:t xml:space="preserve">Number of Cells </w:t>
      </w:r>
      <w:r w:rsidRPr="000665B0">
        <w:t>– Number of cells in a 4-Whisky (24-48).</w:t>
      </w:r>
    </w:p>
    <w:p w14:paraId="370BE696" w14:textId="77777777" w:rsidR="000C6122" w:rsidRPr="000665B0" w:rsidRDefault="000C6122" w:rsidP="009570CA">
      <w:pPr>
        <w:ind w:left="1080"/>
      </w:pPr>
      <w:r w:rsidRPr="000665B0">
        <w:rPr>
          <w:b/>
        </w:rPr>
        <w:t xml:space="preserve">Cell Size </w:t>
      </w:r>
      <w:r w:rsidRPr="000665B0">
        <w:t>– Cell size in a 4-Whisky (1-50 nautical miles).</w:t>
      </w:r>
    </w:p>
    <w:p w14:paraId="5E99D25F" w14:textId="77777777" w:rsidR="000C6122" w:rsidRPr="000665B0" w:rsidRDefault="000C6122" w:rsidP="009570CA">
      <w:pPr>
        <w:ind w:left="1080"/>
      </w:pPr>
      <w:r w:rsidRPr="000665B0">
        <w:rPr>
          <w:b/>
        </w:rPr>
        <w:t xml:space="preserve">PIM Cell </w:t>
      </w:r>
      <w:r w:rsidRPr="000665B0">
        <w:t>– Format is Ann or AAnn (alphanumeric characters A-Z or AA-ZZ [I, O, II, and OO not permitted], 0-48).</w:t>
      </w:r>
    </w:p>
    <w:p w14:paraId="7A1871CA" w14:textId="77777777" w:rsidR="00697CCD" w:rsidRPr="000665B0" w:rsidRDefault="000C6122" w:rsidP="006D5A65">
      <w:pPr>
        <w:pStyle w:val="Heading1"/>
      </w:pPr>
      <w:r w:rsidRPr="000665B0">
        <w:t xml:space="preserve">Edit Geographically – Click on the Edit Geographically button below the list. The map display appears. Re-center and zoom the map to the area of interest. Select a shape, label, or text from the palette to the right of the map display. Optionally select line color, width, and style (and fill style for a filled shape). Using the cursor, draw the shape on the map. Click OK on the palette to the right of the map when done. Object data is populated after clicking the OK button. </w:t>
      </w:r>
    </w:p>
    <w:p w14:paraId="4E286419" w14:textId="0A923AEF" w:rsidR="000C6122" w:rsidRPr="000665B0" w:rsidRDefault="00697CCD" w:rsidP="006D5A65">
      <w:pPr>
        <w:pStyle w:val="Heading1"/>
      </w:pPr>
      <w:r w:rsidRPr="000665B0">
        <w:t>Geometric shapes (</w:t>
      </w:r>
      <w:r w:rsidR="002D123F" w:rsidRPr="000665B0">
        <w:t>e.g.,</w:t>
      </w:r>
      <w:r w:rsidRPr="000665B0">
        <w:t xml:space="preserve"> polygons, sectors, etc.) that are directly over or near the north or south pole may display unexpected behavior. While drawing the shapes and when viewing them geographically after they’ve been saved, they may “flip” to the opposite side of the pole compared to when originally drawn. Additionally, curved shapes that are </w:t>
      </w:r>
      <w:r w:rsidRPr="000665B0">
        <w:lastRenderedPageBreak/>
        <w:t xml:space="preserve">converted to polygons when saved (see </w:t>
      </w:r>
      <w:hyperlink w:anchor="_5.33.1__Create" w:history="1">
        <w:r w:rsidRPr="000665B0">
          <w:rPr>
            <w:rStyle w:val="Hyperlink"/>
          </w:rPr>
          <w:t xml:space="preserve">Section </w:t>
        </w:r>
        <w:r w:rsidR="004231CC">
          <w:rPr>
            <w:rStyle w:val="Hyperlink"/>
          </w:rPr>
          <w:t>5.29</w:t>
        </w:r>
        <w:r w:rsidRPr="000665B0">
          <w:rPr>
            <w:rStyle w:val="Hyperlink"/>
          </w:rPr>
          <w:t>.1</w:t>
        </w:r>
      </w:hyperlink>
      <w:r w:rsidRPr="000665B0">
        <w:t>) may display differently than their original shape.</w:t>
      </w:r>
    </w:p>
    <w:p w14:paraId="7E94E7E6" w14:textId="0EB87FDE" w:rsidR="000C6122" w:rsidRPr="000665B0" w:rsidRDefault="0053360D" w:rsidP="009570CA">
      <w:pPr>
        <w:pStyle w:val="Number0205"/>
        <w:spacing w:before="120"/>
        <w:ind w:left="0" w:firstLine="0"/>
        <w:jc w:val="center"/>
      </w:pPr>
      <w:r w:rsidRPr="000665B0">
        <w:rPr>
          <w:noProof/>
        </w:rPr>
        <w:drawing>
          <wp:inline distT="0" distB="0" distL="0" distR="0" wp14:anchorId="570E1654" wp14:editId="527B7493">
            <wp:extent cx="2743200" cy="4636008"/>
            <wp:effectExtent l="0" t="0" r="0" b="0"/>
            <wp:docPr id="2151" name="Picture 2151" descr="cid:image003.jpg@01D1F147.EED2C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jpg@01D1F147.EED2CEE0"/>
                    <pic:cNvPicPr>
                      <a:picLocks noChangeAspect="1" noChangeArrowheads="1"/>
                    </pic:cNvPicPr>
                  </pic:nvPicPr>
                  <pic:blipFill rotWithShape="1">
                    <a:blip r:link="rId21" cstate="screen">
                      <a:extLst>
                        <a:ext uri="{28A0092B-C50C-407E-A947-70E740481C1C}">
                          <a14:useLocalDpi xmlns:a14="http://schemas.microsoft.com/office/drawing/2010/main"/>
                        </a:ext>
                      </a:extLst>
                    </a:blip>
                    <a:srcRect r="-2"/>
                    <a:stretch/>
                  </pic:blipFill>
                  <pic:spPr bwMode="auto">
                    <a:xfrm>
                      <a:off x="0" y="0"/>
                      <a:ext cx="2743200" cy="4636008"/>
                    </a:xfrm>
                    <a:prstGeom prst="rect">
                      <a:avLst/>
                    </a:prstGeom>
                    <a:noFill/>
                    <a:ln>
                      <a:noFill/>
                    </a:ln>
                    <a:extLst>
                      <a:ext uri="{53640926-AAD7-44D8-BBD7-CCE9431645EC}">
                        <a14:shadowObscured xmlns:a14="http://schemas.microsoft.com/office/drawing/2010/main"/>
                      </a:ext>
                    </a:extLst>
                  </pic:spPr>
                </pic:pic>
              </a:graphicData>
            </a:graphic>
          </wp:inline>
        </w:drawing>
      </w:r>
    </w:p>
    <w:p w14:paraId="31915412" w14:textId="77777777" w:rsidR="00744AFF" w:rsidRPr="000665B0" w:rsidRDefault="00744AFF" w:rsidP="006D5A65">
      <w:pPr>
        <w:pStyle w:val="Heading1"/>
      </w:pPr>
      <w:r w:rsidRPr="000665B0">
        <w:t xml:space="preserve">Click on the </w:t>
      </w:r>
      <w:r w:rsidRPr="000665B0">
        <w:rPr>
          <w:bCs/>
        </w:rPr>
        <w:t>Save</w:t>
      </w:r>
      <w:r w:rsidRPr="000665B0">
        <w:t xml:space="preserve"> </w:t>
      </w:r>
      <w:r w:rsidRPr="000665B0">
        <w:rPr>
          <w:rFonts w:ascii="Wingdings" w:hAnsi="Wingdings" w:cs="Wingdings"/>
        </w:rPr>
        <w:t></w:t>
      </w:r>
      <w:r w:rsidRPr="000665B0">
        <w:t xml:space="preserve"> icon to save the changes or select the </w:t>
      </w:r>
      <w:r w:rsidRPr="000665B0">
        <w:rPr>
          <w:bCs/>
        </w:rPr>
        <w:t>Save</w:t>
      </w:r>
      <w:r w:rsidRPr="000665B0">
        <w:t xml:space="preserve"> option from the </w:t>
      </w:r>
      <w:r w:rsidRPr="000665B0">
        <w:rPr>
          <w:bCs/>
        </w:rPr>
        <w:t>File</w:t>
      </w:r>
      <w:r w:rsidRPr="000665B0">
        <w:t xml:space="preserve"> pull down menu.</w:t>
      </w:r>
    </w:p>
    <w:p w14:paraId="2F531793" w14:textId="148CB0F3" w:rsidR="00744AFF" w:rsidRPr="000665B0" w:rsidRDefault="00744AFF" w:rsidP="009570CA">
      <w:pPr>
        <w:pStyle w:val="Heading3"/>
      </w:pPr>
      <w:bookmarkStart w:id="5637" w:name="_Toc71955692"/>
      <w:bookmarkStart w:id="5638" w:name="_Toc96170225"/>
      <w:bookmarkStart w:id="5639" w:name="_Toc96234270"/>
      <w:bookmarkStart w:id="5640" w:name="_Toc112733694"/>
      <w:bookmarkStart w:id="5641" w:name="_Toc159315467"/>
      <w:bookmarkStart w:id="5642" w:name="_Toc214283483"/>
      <w:r w:rsidRPr="000665B0">
        <w:t>Display Textually</w:t>
      </w:r>
      <w:bookmarkEnd w:id="5637"/>
      <w:bookmarkEnd w:id="5638"/>
      <w:bookmarkEnd w:id="5639"/>
      <w:bookmarkEnd w:id="5640"/>
      <w:bookmarkEnd w:id="5641"/>
      <w:bookmarkEnd w:id="5642"/>
    </w:p>
    <w:p w14:paraId="21BC1E7F" w14:textId="77777777" w:rsidR="008B6FB4" w:rsidRPr="000665B0" w:rsidRDefault="008B6FB4" w:rsidP="009570CA">
      <w:pPr>
        <w:rPr>
          <w:snapToGrid w:val="0"/>
        </w:rPr>
      </w:pPr>
      <w:r w:rsidRPr="000665B0">
        <w:rPr>
          <w:snapToGrid w:val="0"/>
        </w:rPr>
        <w:t>This option opens the Overlay for review and/or modifications.</w:t>
      </w:r>
    </w:p>
    <w:p w14:paraId="48EABB8A" w14:textId="77777777" w:rsidR="008B6FB4" w:rsidRPr="000665B0" w:rsidRDefault="008B6FB4" w:rsidP="009570CA">
      <w:pPr>
        <w:keepNext/>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szCs w:val="24"/>
        </w:rPr>
      </w:pPr>
      <w:r w:rsidRPr="000665B0">
        <w:rPr>
          <w:b/>
          <w:bCs/>
          <w:szCs w:val="24"/>
        </w:rPr>
        <w:t>Note:</w:t>
      </w:r>
    </w:p>
    <w:p w14:paraId="702968F5" w14:textId="77777777" w:rsidR="008B6FB4" w:rsidRPr="000665B0" w:rsidRDefault="008B6FB4"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szCs w:val="24"/>
        </w:rPr>
      </w:pPr>
      <w:r w:rsidRPr="000665B0">
        <w:rPr>
          <w:b/>
          <w:szCs w:val="24"/>
        </w:rPr>
        <w:t>Sent or received overlays cannot be modified and are designated by “(Read Only)” in the title bar of the textual display.</w:t>
      </w:r>
    </w:p>
    <w:p w14:paraId="7FAC784F" w14:textId="37E06EE9" w:rsidR="005D1A26" w:rsidRPr="000665B0" w:rsidRDefault="005D1A26" w:rsidP="009570CA">
      <w:pPr>
        <w:spacing w:after="0"/>
      </w:pPr>
      <w:r w:rsidRPr="000665B0">
        <w:t xml:space="preserve">To display the Overlay(s) textually see </w:t>
      </w:r>
      <w:hyperlink w:anchor="_5.2.1.2.4__Display_1" w:history="1">
        <w:r w:rsidRPr="000665B0">
          <w:rPr>
            <w:rStyle w:val="Hyperlink"/>
          </w:rPr>
          <w:t>Section 5.2.1.2.4</w:t>
        </w:r>
      </w:hyperlink>
      <w:r w:rsidRPr="000665B0">
        <w:t>.</w:t>
      </w:r>
    </w:p>
    <w:p w14:paraId="169071E7" w14:textId="689EF555" w:rsidR="005D1A26" w:rsidRPr="000665B0" w:rsidRDefault="005D1A26" w:rsidP="009570CA">
      <w:pPr>
        <w:pStyle w:val="Heading3"/>
      </w:pPr>
      <w:bookmarkStart w:id="5643" w:name="_Toc71955693"/>
      <w:bookmarkStart w:id="5644" w:name="_Toc96170226"/>
      <w:bookmarkStart w:id="5645" w:name="_Toc96234271"/>
      <w:bookmarkStart w:id="5646" w:name="_Toc112733695"/>
      <w:bookmarkStart w:id="5647" w:name="_Toc289328781"/>
      <w:bookmarkStart w:id="5648" w:name="_Toc312332026"/>
      <w:bookmarkStart w:id="5649" w:name="_Toc214283484"/>
      <w:r w:rsidRPr="000665B0">
        <w:t>Display Geographically</w:t>
      </w:r>
      <w:bookmarkEnd w:id="5643"/>
      <w:bookmarkEnd w:id="5644"/>
      <w:bookmarkEnd w:id="5645"/>
      <w:bookmarkEnd w:id="5646"/>
      <w:bookmarkEnd w:id="5647"/>
      <w:bookmarkEnd w:id="5648"/>
      <w:bookmarkEnd w:id="5649"/>
    </w:p>
    <w:p w14:paraId="3E6E607E" w14:textId="77777777" w:rsidR="005D1A26" w:rsidRPr="000665B0" w:rsidRDefault="00F9645E" w:rsidP="009570CA">
      <w:pPr>
        <w:rPr>
          <w:snapToGrid w:val="0"/>
        </w:rPr>
      </w:pPr>
      <w:r w:rsidRPr="000665B0">
        <w:rPr>
          <w:snapToGrid w:val="0"/>
        </w:rPr>
        <w:t>This function d</w:t>
      </w:r>
      <w:r w:rsidR="005D1A26" w:rsidRPr="000665B0">
        <w:rPr>
          <w:snapToGrid w:val="0"/>
        </w:rPr>
        <w:t xml:space="preserve">isplays the default Geographic Tool and displays the Overlay(s) objects on the map. If the default Geographic Tool is MDS, then the Overlay checkbox should be selected in the Display Geo </w:t>
      </w:r>
      <w:r w:rsidR="00A830F2" w:rsidRPr="000665B0">
        <w:rPr>
          <w:snapToGrid w:val="0"/>
        </w:rPr>
        <w:t xml:space="preserve">Object </w:t>
      </w:r>
      <w:r w:rsidR="005D1A26" w:rsidRPr="000665B0">
        <w:rPr>
          <w:snapToGrid w:val="0"/>
        </w:rPr>
        <w:t>Manager.</w:t>
      </w:r>
    </w:p>
    <w:p w14:paraId="2B7896BE" w14:textId="356853EF" w:rsidR="003B23C4" w:rsidRPr="000665B0" w:rsidRDefault="005D1A26" w:rsidP="009570CA">
      <w:pPr>
        <w:spacing w:after="0"/>
      </w:pPr>
      <w:r w:rsidRPr="000665B0">
        <w:lastRenderedPageBreak/>
        <w:t xml:space="preserve">To display the Overlays(s) geographically </w:t>
      </w:r>
      <w:r w:rsidR="00A830F2" w:rsidRPr="000665B0">
        <w:t xml:space="preserve">see </w:t>
      </w:r>
      <w:hyperlink w:anchor="_5.2.1.2.2__Display_1" w:history="1">
        <w:r w:rsidR="00A830F2" w:rsidRPr="000665B0">
          <w:rPr>
            <w:color w:val="0000FF"/>
            <w:u w:val="single"/>
          </w:rPr>
          <w:t>Section 5.2.1.2.2</w:t>
        </w:r>
      </w:hyperlink>
      <w:bookmarkStart w:id="5650" w:name="_Toc71955695"/>
      <w:bookmarkStart w:id="5651" w:name="_Toc96170227"/>
      <w:bookmarkStart w:id="5652" w:name="_Toc96234272"/>
      <w:bookmarkStart w:id="5653" w:name="_Toc112733696"/>
      <w:bookmarkStart w:id="5654" w:name="_Toc289328782"/>
      <w:bookmarkStart w:id="5655" w:name="_Toc312332027"/>
    </w:p>
    <w:p w14:paraId="4C3BD01D" w14:textId="46C3E8D6" w:rsidR="003B23C4" w:rsidRPr="000665B0" w:rsidRDefault="003B23C4" w:rsidP="009570CA">
      <w:pPr>
        <w:pStyle w:val="Heading3"/>
      </w:pPr>
      <w:bookmarkStart w:id="5656" w:name="_Toc214283485"/>
      <w:r w:rsidRPr="000665B0">
        <w:t>Create Overlay Library</w:t>
      </w:r>
      <w:bookmarkEnd w:id="5656"/>
    </w:p>
    <w:p w14:paraId="2DABC140" w14:textId="77777777" w:rsidR="003B23C4" w:rsidRPr="000665B0" w:rsidRDefault="003B23C4" w:rsidP="009570CA">
      <w:r w:rsidRPr="000665B0">
        <w:t>Overlay Libraries can be created by manually selecting the Overlays from the Overlay List View.</w:t>
      </w:r>
    </w:p>
    <w:p w14:paraId="3121907D" w14:textId="77777777" w:rsidR="003B23C4" w:rsidRPr="000665B0" w:rsidRDefault="003B23C4" w:rsidP="009570CA">
      <w:r w:rsidRPr="000665B0">
        <w:t>To create an Overlay Library from the Overlay List View:</w:t>
      </w:r>
    </w:p>
    <w:p w14:paraId="6FB0D5E3" w14:textId="77777777" w:rsidR="003B23C4" w:rsidRPr="000665B0" w:rsidRDefault="003B23C4" w:rsidP="006D5A65">
      <w:pPr>
        <w:pStyle w:val="Heading1"/>
      </w:pPr>
      <w:r w:rsidRPr="000665B0">
        <w:t>From the Go menu select Overlays.</w:t>
      </w:r>
    </w:p>
    <w:p w14:paraId="6E0A546E" w14:textId="77777777" w:rsidR="003B23C4" w:rsidRPr="000665B0" w:rsidRDefault="003B23C4" w:rsidP="006D5A65">
      <w:pPr>
        <w:pStyle w:val="Heading1"/>
      </w:pPr>
      <w:r w:rsidRPr="000665B0">
        <w:t xml:space="preserve">From the Overlay List View, select the desired Overlay(s). </w:t>
      </w:r>
    </w:p>
    <w:p w14:paraId="1D56009E" w14:textId="7121DDB9" w:rsidR="003B23C4" w:rsidRPr="000665B0" w:rsidRDefault="003B23C4" w:rsidP="006D5A65">
      <w:pPr>
        <w:pStyle w:val="Heading1"/>
      </w:pPr>
      <w:r w:rsidRPr="000665B0">
        <w:t>From the File menu select Create Overlay Library… or invoke the context menu (</w:t>
      </w:r>
      <w:r w:rsidR="00D71804" w:rsidRPr="000665B0">
        <w:t>right-click</w:t>
      </w:r>
      <w:r w:rsidRPr="000665B0">
        <w:t xml:space="preserve"> the mouse) and select Create Overlay Library…. The </w:t>
      </w:r>
      <w:r w:rsidRPr="000665B0">
        <w:rPr>
          <w:i/>
        </w:rPr>
        <w:t xml:space="preserve">Overlay Library </w:t>
      </w:r>
      <w:r w:rsidRPr="000665B0">
        <w:t>window is displayed.</w:t>
      </w:r>
    </w:p>
    <w:p w14:paraId="07625C3B" w14:textId="57A6C31D" w:rsidR="003B23C4" w:rsidRPr="000665B0" w:rsidRDefault="006364AB" w:rsidP="009570CA">
      <w:pPr>
        <w:spacing w:before="240" w:after="240"/>
        <w:jc w:val="center"/>
      </w:pPr>
      <w:r w:rsidRPr="000665B0">
        <w:rPr>
          <w:noProof/>
        </w:rPr>
        <w:drawing>
          <wp:inline distT="0" distB="0" distL="0" distR="0" wp14:anchorId="15E1B4E9" wp14:editId="6EAAE91A">
            <wp:extent cx="3657600" cy="1783080"/>
            <wp:effectExtent l="0" t="0" r="0" b="0"/>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1783080"/>
                    </a:xfrm>
                    <a:prstGeom prst="rect">
                      <a:avLst/>
                    </a:prstGeom>
                  </pic:spPr>
                </pic:pic>
              </a:graphicData>
            </a:graphic>
          </wp:inline>
        </w:drawing>
      </w:r>
    </w:p>
    <w:p w14:paraId="63790B10" w14:textId="77777777" w:rsidR="003B23C4" w:rsidRPr="000665B0" w:rsidRDefault="003B23C4" w:rsidP="006D5A65">
      <w:pPr>
        <w:pStyle w:val="Heading1"/>
      </w:pPr>
      <w:r w:rsidRPr="000665B0">
        <w:t xml:space="preserve">In the </w:t>
      </w:r>
      <w:r w:rsidRPr="000665B0">
        <w:rPr>
          <w:i/>
        </w:rPr>
        <w:t xml:space="preserve">Overlay Library </w:t>
      </w:r>
      <w:r w:rsidRPr="000665B0">
        <w:t>window, enter a Name and Description for the Overlay Library.</w:t>
      </w:r>
    </w:p>
    <w:p w14:paraId="35AA5787" w14:textId="77777777" w:rsidR="003B23C4" w:rsidRPr="000665B0" w:rsidRDefault="003B23C4" w:rsidP="006D5A65">
      <w:pPr>
        <w:pStyle w:val="Heading1"/>
      </w:pPr>
      <w:r w:rsidRPr="000665B0">
        <w:t xml:space="preserve">Click on the </w:t>
      </w:r>
      <w:r w:rsidRPr="000665B0">
        <w:rPr>
          <w:bCs/>
        </w:rPr>
        <w:t>Save</w:t>
      </w:r>
      <w:r w:rsidRPr="000665B0">
        <w:t xml:space="preserve"> </w:t>
      </w:r>
      <w:r w:rsidRPr="000665B0">
        <w:rPr>
          <w:rFonts w:ascii="Wingdings" w:hAnsi="Wingdings" w:cs="Wingdings"/>
        </w:rPr>
        <w:t></w:t>
      </w:r>
      <w:r w:rsidRPr="000665B0">
        <w:t xml:space="preserve"> icon to save the changes or select the </w:t>
      </w:r>
      <w:r w:rsidRPr="000665B0">
        <w:rPr>
          <w:bCs/>
        </w:rPr>
        <w:t>Save</w:t>
      </w:r>
      <w:r w:rsidRPr="000665B0">
        <w:t xml:space="preserve"> option from the </w:t>
      </w:r>
      <w:r w:rsidRPr="000665B0">
        <w:rPr>
          <w:bCs/>
        </w:rPr>
        <w:t>File</w:t>
      </w:r>
      <w:r w:rsidRPr="000665B0">
        <w:t xml:space="preserve"> pull down menu.</w:t>
      </w:r>
    </w:p>
    <w:p w14:paraId="62ECB367" w14:textId="64C826C4" w:rsidR="003B23C4" w:rsidRPr="000665B0" w:rsidRDefault="003B23C4" w:rsidP="009570CA">
      <w:pPr>
        <w:pStyle w:val="Heading3"/>
      </w:pPr>
      <w:bookmarkStart w:id="5657" w:name="_Toc214283486"/>
      <w:r w:rsidRPr="000665B0">
        <w:t>Create TED Library</w:t>
      </w:r>
      <w:bookmarkEnd w:id="5657"/>
    </w:p>
    <w:p w14:paraId="2DAB5CB2" w14:textId="16545787" w:rsidR="003B23C4" w:rsidRPr="000665B0" w:rsidRDefault="003B23C4" w:rsidP="009570CA">
      <w:r w:rsidRPr="000665B0">
        <w:t xml:space="preserve">A TED Library can be created by manually selecting Overlays from the Overlays List View. This type of library is able to accept different types of data instead of being restricted to a single data type as in the other MDS Libraries. Its main function is to enable the operator to assemble all of the required data needed for automated distribution into one library. Only the Node that creates a TED Library can modify its contents. Nodes that receive a TED Library will have read-only permissions. For information on creating a TED Library see </w:t>
      </w:r>
      <w:hyperlink w:anchor="_5.13.1.1__New" w:history="1">
        <w:r w:rsidRPr="000665B0">
          <w:rPr>
            <w:rStyle w:val="Hyperlink"/>
          </w:rPr>
          <w:t>Section 5.</w:t>
        </w:r>
        <w:r w:rsidR="00C77A5E" w:rsidRPr="000665B0">
          <w:rPr>
            <w:rStyle w:val="Hyperlink"/>
          </w:rPr>
          <w:t>12</w:t>
        </w:r>
        <w:r w:rsidRPr="000665B0">
          <w:rPr>
            <w:rStyle w:val="Hyperlink"/>
          </w:rPr>
          <w:t>.1.1</w:t>
        </w:r>
      </w:hyperlink>
      <w:r w:rsidRPr="000665B0">
        <w:t>.</w:t>
      </w:r>
    </w:p>
    <w:p w14:paraId="220FF02F" w14:textId="6D8422EA" w:rsidR="00356CBD" w:rsidRPr="000665B0" w:rsidRDefault="00356CBD" w:rsidP="009570CA">
      <w:pPr>
        <w:pStyle w:val="Heading3"/>
      </w:pPr>
      <w:bookmarkStart w:id="5658" w:name="_Toc214283487"/>
      <w:bookmarkStart w:id="5659" w:name="_Toc159315469"/>
      <w:bookmarkEnd w:id="5650"/>
      <w:bookmarkEnd w:id="5651"/>
      <w:bookmarkEnd w:id="5652"/>
      <w:bookmarkEnd w:id="5653"/>
      <w:bookmarkEnd w:id="5654"/>
      <w:bookmarkEnd w:id="5655"/>
      <w:r w:rsidRPr="000665B0">
        <w:t>Send</w:t>
      </w:r>
      <w:bookmarkEnd w:id="5658"/>
    </w:p>
    <w:p w14:paraId="587DF48B" w14:textId="103D3537" w:rsidR="00356CBD" w:rsidRPr="000665B0" w:rsidRDefault="00356CBD" w:rsidP="009570CA">
      <w:pPr>
        <w:rPr>
          <w:snapToGrid w:val="0"/>
        </w:rPr>
      </w:pPr>
      <w:r w:rsidRPr="000665B0">
        <w:rPr>
          <w:snapToGrid w:val="0"/>
        </w:rPr>
        <w:t xml:space="preserve">The </w:t>
      </w:r>
      <w:r w:rsidRPr="000665B0">
        <w:rPr>
          <w:b/>
          <w:snapToGrid w:val="0"/>
        </w:rPr>
        <w:t>Send</w:t>
      </w:r>
      <w:r w:rsidRPr="000665B0">
        <w:rPr>
          <w:snapToGrid w:val="0"/>
        </w:rPr>
        <w:t xml:space="preserve"> option adds the selected Overlay to a DDO template for further distribution. For more details on DDO Templates see </w:t>
      </w:r>
      <w:hyperlink w:anchor="_5.20__DDO_TEMPLATES_TOOL" w:history="1">
        <w:r w:rsidR="00DE0842" w:rsidRPr="000665B0">
          <w:rPr>
            <w:snapToGrid w:val="0"/>
            <w:color w:val="0000FF"/>
            <w:u w:val="single"/>
          </w:rPr>
          <w:t xml:space="preserve">Section </w:t>
        </w:r>
        <w:r w:rsidR="004231CC">
          <w:rPr>
            <w:snapToGrid w:val="0"/>
            <w:color w:val="0000FF"/>
            <w:u w:val="single"/>
          </w:rPr>
          <w:t>5.16</w:t>
        </w:r>
      </w:hyperlink>
      <w:r w:rsidRPr="000665B0">
        <w:rPr>
          <w:snapToGrid w:val="0"/>
        </w:rPr>
        <w:t>. When an Overlay is distributed, its status is automatically set to “Read-Only.”</w:t>
      </w:r>
    </w:p>
    <w:p w14:paraId="31014462" w14:textId="77777777" w:rsidR="00CF0E8E" w:rsidRPr="000665B0" w:rsidRDefault="00CF0E8E" w:rsidP="009570CA">
      <w:pPr>
        <w:keepNext/>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szCs w:val="24"/>
        </w:rPr>
      </w:pPr>
      <w:r w:rsidRPr="000665B0">
        <w:rPr>
          <w:b/>
          <w:bCs/>
          <w:szCs w:val="24"/>
        </w:rPr>
        <w:lastRenderedPageBreak/>
        <w:t>Note:</w:t>
      </w:r>
    </w:p>
    <w:p w14:paraId="18A9428A" w14:textId="77777777" w:rsidR="00CF0E8E" w:rsidRPr="000665B0" w:rsidRDefault="00CF0E8E"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szCs w:val="24"/>
        </w:rPr>
        <w:t>TTWCS version 5.4.0.2 and above does not support Overlays.</w:t>
      </w:r>
    </w:p>
    <w:p w14:paraId="731B5E8C" w14:textId="50D8C32F" w:rsidR="003B23C4" w:rsidRPr="000665B0" w:rsidRDefault="003B23C4" w:rsidP="009570CA">
      <w:pPr>
        <w:pStyle w:val="Heading3"/>
      </w:pPr>
      <w:bookmarkStart w:id="5660" w:name="_Toc214283488"/>
      <w:r w:rsidRPr="000665B0">
        <w:t>Find</w:t>
      </w:r>
      <w:bookmarkEnd w:id="5659"/>
      <w:bookmarkEnd w:id="5660"/>
    </w:p>
    <w:p w14:paraId="7C0709D5" w14:textId="08030BF0" w:rsidR="005D1A26" w:rsidRPr="000665B0" w:rsidRDefault="00F02F03" w:rsidP="009570CA">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03EA07C8" w14:textId="77777777" w:rsidR="00190086" w:rsidRPr="000665B0" w:rsidRDefault="00190086" w:rsidP="009570CA">
      <w:pPr>
        <w:pStyle w:val="Heading3"/>
      </w:pPr>
      <w:bookmarkStart w:id="5661" w:name="_Toc214283489"/>
      <w:r w:rsidRPr="000665B0">
        <w:t>Plugin Tool</w:t>
      </w:r>
      <w:bookmarkEnd w:id="5661"/>
    </w:p>
    <w:p w14:paraId="140A8407" w14:textId="7610D3B7" w:rsidR="00190086" w:rsidRPr="000665B0" w:rsidRDefault="00F02F03" w:rsidP="009570CA">
      <w:r w:rsidRPr="000665B0">
        <w:t>See</w:t>
      </w:r>
      <w:r w:rsidR="00190086" w:rsidRPr="000665B0">
        <w:t xml:space="preserve"> </w:t>
      </w:r>
      <w:hyperlink w:anchor="_Plugin__Tool" w:history="1">
        <w:r w:rsidR="00190086" w:rsidRPr="000665B0">
          <w:rPr>
            <w:rStyle w:val="Hyperlink"/>
          </w:rPr>
          <w:t>Section 5.2.5.2</w:t>
        </w:r>
      </w:hyperlink>
      <w:r w:rsidR="00190086" w:rsidRPr="000665B0">
        <w:t>.</w:t>
      </w:r>
    </w:p>
    <w:p w14:paraId="35111CA7" w14:textId="1F920470" w:rsidR="005D1A26" w:rsidRPr="000665B0" w:rsidRDefault="00277DCD" w:rsidP="009570CA">
      <w:pPr>
        <w:pStyle w:val="Heading3"/>
      </w:pPr>
      <w:bookmarkStart w:id="5662" w:name="_Toc71955696"/>
      <w:bookmarkStart w:id="5663" w:name="_Toc96170228"/>
      <w:bookmarkStart w:id="5664" w:name="_Toc96234273"/>
      <w:bookmarkStart w:id="5665" w:name="_Toc112733697"/>
      <w:bookmarkStart w:id="5666" w:name="_Toc289328783"/>
      <w:bookmarkStart w:id="5667" w:name="_Toc312332028"/>
      <w:bookmarkStart w:id="5668" w:name="_Toc214283490"/>
      <w:r w:rsidRPr="000665B0">
        <w:t>Print All</w:t>
      </w:r>
      <w:bookmarkEnd w:id="5662"/>
      <w:bookmarkEnd w:id="5663"/>
      <w:bookmarkEnd w:id="5664"/>
      <w:bookmarkEnd w:id="5665"/>
      <w:bookmarkEnd w:id="5666"/>
      <w:bookmarkEnd w:id="5667"/>
      <w:bookmarkEnd w:id="5668"/>
    </w:p>
    <w:p w14:paraId="6C84F846" w14:textId="05A9E903" w:rsidR="005D1A26" w:rsidRPr="000665B0" w:rsidRDefault="00F02F03" w:rsidP="009570CA">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44358BD1" w14:textId="7542A476" w:rsidR="005D1A26" w:rsidRPr="000665B0" w:rsidRDefault="00277DCD" w:rsidP="009570CA">
      <w:pPr>
        <w:pStyle w:val="Heading3"/>
      </w:pPr>
      <w:bookmarkStart w:id="5669" w:name="_Toc71955697"/>
      <w:bookmarkStart w:id="5670" w:name="_Toc96170229"/>
      <w:bookmarkStart w:id="5671" w:name="_Toc96234274"/>
      <w:bookmarkStart w:id="5672" w:name="_Toc112733698"/>
      <w:bookmarkStart w:id="5673" w:name="_Toc289328784"/>
      <w:bookmarkStart w:id="5674" w:name="_Toc312332029"/>
      <w:bookmarkStart w:id="5675" w:name="_Toc214283491"/>
      <w:r w:rsidRPr="000665B0">
        <w:t>Display All in Excel</w:t>
      </w:r>
      <w:bookmarkEnd w:id="5669"/>
      <w:bookmarkEnd w:id="5670"/>
      <w:bookmarkEnd w:id="5671"/>
      <w:bookmarkEnd w:id="5672"/>
      <w:bookmarkEnd w:id="5673"/>
      <w:bookmarkEnd w:id="5674"/>
      <w:bookmarkEnd w:id="5675"/>
    </w:p>
    <w:p w14:paraId="5541AA77" w14:textId="1F7E2E62" w:rsidR="005D1A26" w:rsidRPr="000665B0" w:rsidRDefault="00F02F03" w:rsidP="009570CA">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53357364" w14:textId="683A03BA" w:rsidR="005D1A26" w:rsidRPr="000665B0" w:rsidRDefault="005D1A26" w:rsidP="009570CA">
      <w:pPr>
        <w:pStyle w:val="Heading3"/>
      </w:pPr>
      <w:bookmarkStart w:id="5676" w:name="_Toc71955698"/>
      <w:bookmarkStart w:id="5677" w:name="_Toc96170230"/>
      <w:bookmarkStart w:id="5678" w:name="_Toc96234275"/>
      <w:bookmarkStart w:id="5679" w:name="_Toc112733699"/>
      <w:bookmarkStart w:id="5680" w:name="_Toc289328785"/>
      <w:bookmarkStart w:id="5681" w:name="_Toc312332030"/>
      <w:bookmarkStart w:id="5682" w:name="_Toc214283492"/>
      <w:r w:rsidRPr="000665B0">
        <w:t>Select All</w:t>
      </w:r>
      <w:bookmarkEnd w:id="5676"/>
      <w:bookmarkEnd w:id="5677"/>
      <w:bookmarkEnd w:id="5678"/>
      <w:bookmarkEnd w:id="5679"/>
      <w:bookmarkEnd w:id="5680"/>
      <w:bookmarkEnd w:id="5681"/>
      <w:bookmarkEnd w:id="5682"/>
    </w:p>
    <w:p w14:paraId="4498AD34" w14:textId="384FAADA" w:rsidR="005D1A26" w:rsidRPr="000665B0" w:rsidRDefault="00F02F03" w:rsidP="009570CA">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3039709E" w14:textId="2D9447CA" w:rsidR="005D1A26" w:rsidRPr="000665B0" w:rsidRDefault="005D1A26" w:rsidP="009570CA">
      <w:pPr>
        <w:pStyle w:val="Heading3"/>
      </w:pPr>
      <w:bookmarkStart w:id="5683" w:name="_Toc71955699"/>
      <w:bookmarkStart w:id="5684" w:name="_Toc96170231"/>
      <w:bookmarkStart w:id="5685" w:name="_Toc96234276"/>
      <w:bookmarkStart w:id="5686" w:name="_Toc112733700"/>
      <w:bookmarkStart w:id="5687" w:name="_Toc289328786"/>
      <w:bookmarkStart w:id="5688" w:name="_Toc312332031"/>
      <w:bookmarkStart w:id="5689" w:name="_Toc214283493"/>
      <w:r w:rsidRPr="000665B0">
        <w:t>Delete</w:t>
      </w:r>
      <w:bookmarkEnd w:id="5683"/>
      <w:bookmarkEnd w:id="5684"/>
      <w:bookmarkEnd w:id="5685"/>
      <w:bookmarkEnd w:id="5686"/>
      <w:bookmarkEnd w:id="5687"/>
      <w:bookmarkEnd w:id="5688"/>
      <w:bookmarkEnd w:id="5689"/>
    </w:p>
    <w:p w14:paraId="26A2373D" w14:textId="19CB714A" w:rsidR="005D1A26" w:rsidRPr="000665B0" w:rsidRDefault="00F02F03" w:rsidP="009570CA">
      <w:r w:rsidRPr="000665B0">
        <w:t>See</w:t>
      </w:r>
      <w:r w:rsidR="005D1A26" w:rsidRPr="000665B0">
        <w:t xml:space="preserve"> </w:t>
      </w:r>
      <w:hyperlink w:anchor="_5.2.1.6__Delete" w:history="1">
        <w:r w:rsidR="00B9720D" w:rsidRPr="000665B0">
          <w:rPr>
            <w:rStyle w:val="Hyperlink"/>
          </w:rPr>
          <w:t>Section 5.2.1.6</w:t>
        </w:r>
      </w:hyperlink>
      <w:r w:rsidR="005D1A26" w:rsidRPr="000665B0">
        <w:t>.</w:t>
      </w:r>
    </w:p>
    <w:p w14:paraId="382DF0D5" w14:textId="5D55ECD8" w:rsidR="005D1A26" w:rsidRPr="000665B0" w:rsidRDefault="005D1A26" w:rsidP="009570CA">
      <w:pPr>
        <w:pStyle w:val="Heading3"/>
      </w:pPr>
      <w:bookmarkStart w:id="5690" w:name="_Toc71955703"/>
      <w:bookmarkStart w:id="5691" w:name="_Toc96170232"/>
      <w:bookmarkStart w:id="5692" w:name="_Toc96234277"/>
      <w:bookmarkStart w:id="5693" w:name="_Toc112733701"/>
      <w:bookmarkStart w:id="5694" w:name="_Toc289328787"/>
      <w:bookmarkStart w:id="5695" w:name="_Toc312332032"/>
      <w:bookmarkStart w:id="5696" w:name="_Toc214283494"/>
      <w:bookmarkStart w:id="5697" w:name="_Toc71955701"/>
      <w:r w:rsidRPr="000665B0">
        <w:t>Properties</w:t>
      </w:r>
      <w:bookmarkEnd w:id="5690"/>
      <w:bookmarkEnd w:id="5691"/>
      <w:bookmarkEnd w:id="5692"/>
      <w:bookmarkEnd w:id="5693"/>
      <w:bookmarkEnd w:id="5694"/>
      <w:bookmarkEnd w:id="5695"/>
      <w:bookmarkEnd w:id="5696"/>
    </w:p>
    <w:p w14:paraId="557CF4C4" w14:textId="3D95EE13" w:rsidR="005D1A26" w:rsidRPr="000665B0" w:rsidRDefault="00F02F03" w:rsidP="009570CA">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35C6F7CB" w14:textId="446C058B" w:rsidR="005D1A26" w:rsidRPr="000665B0" w:rsidRDefault="005D1A26" w:rsidP="009570CA">
      <w:pPr>
        <w:pStyle w:val="Heading3"/>
      </w:pPr>
      <w:bookmarkStart w:id="5698" w:name="_Toc96170233"/>
      <w:bookmarkStart w:id="5699" w:name="_Toc96234278"/>
      <w:bookmarkStart w:id="5700" w:name="_Toc112733702"/>
      <w:bookmarkStart w:id="5701" w:name="_Toc289328788"/>
      <w:bookmarkStart w:id="5702" w:name="_Toc312332033"/>
      <w:bookmarkStart w:id="5703" w:name="_Toc214283495"/>
      <w:r w:rsidRPr="000665B0">
        <w:t>Sort</w:t>
      </w:r>
      <w:bookmarkEnd w:id="5697"/>
      <w:bookmarkEnd w:id="5698"/>
      <w:bookmarkEnd w:id="5699"/>
      <w:bookmarkEnd w:id="5700"/>
      <w:bookmarkEnd w:id="5701"/>
      <w:bookmarkEnd w:id="5702"/>
      <w:bookmarkEnd w:id="5703"/>
    </w:p>
    <w:p w14:paraId="2D1CF280" w14:textId="6399BCF7" w:rsidR="005D1A26" w:rsidRPr="000665B0" w:rsidRDefault="00F02F03" w:rsidP="009570CA">
      <w:pPr>
        <w:spacing w:after="0"/>
      </w:pPr>
      <w:r w:rsidRPr="000665B0">
        <w:t>See</w:t>
      </w:r>
      <w:r w:rsidR="005D1A26" w:rsidRPr="000665B0">
        <w:t xml:space="preserve"> </w:t>
      </w:r>
      <w:hyperlink w:anchor="_5.2.3.4.1__Sort" w:history="1">
        <w:r w:rsidR="00A75813" w:rsidRPr="000665B0">
          <w:rPr>
            <w:rStyle w:val="Hyperlink"/>
          </w:rPr>
          <w:t>Section 5.2.3.5</w:t>
        </w:r>
        <w:r w:rsidR="00227F8B" w:rsidRPr="000665B0">
          <w:rPr>
            <w:rStyle w:val="Hyperlink"/>
          </w:rPr>
          <w:t>.1</w:t>
        </w:r>
      </w:hyperlink>
      <w:r w:rsidR="005D1A26" w:rsidRPr="000665B0">
        <w:t>.</w:t>
      </w:r>
    </w:p>
    <w:p w14:paraId="4A8FE47A" w14:textId="0C68AC71" w:rsidR="00356CBD" w:rsidRPr="000665B0" w:rsidRDefault="00356CBD" w:rsidP="009570CA">
      <w:pPr>
        <w:pStyle w:val="Heading3"/>
      </w:pPr>
      <w:bookmarkStart w:id="5704" w:name="_Toc214283496"/>
      <w:r w:rsidRPr="000665B0">
        <w:t>Receive File</w:t>
      </w:r>
      <w:bookmarkEnd w:id="5704"/>
    </w:p>
    <w:p w14:paraId="0D3CFD35" w14:textId="5FF81960" w:rsidR="00466457" w:rsidRPr="000665B0" w:rsidRDefault="00F02F03" w:rsidP="009570CA">
      <w:r w:rsidRPr="000665B0">
        <w:t>See</w:t>
      </w:r>
      <w:r w:rsidR="00356CBD" w:rsidRPr="000665B0">
        <w:t xml:space="preserve"> </w:t>
      </w:r>
      <w:hyperlink w:anchor="_5.2.1.7__Receive" w:history="1">
        <w:r w:rsidR="00356CBD" w:rsidRPr="000665B0">
          <w:rPr>
            <w:rStyle w:val="Hyperlink"/>
          </w:rPr>
          <w:t>Section 5.2.1.7.</w:t>
        </w:r>
      </w:hyperlink>
      <w:r w:rsidR="00466457" w:rsidRPr="000665B0">
        <w:t xml:space="preserve"> </w:t>
      </w:r>
    </w:p>
    <w:p w14:paraId="77CA8868" w14:textId="77777777" w:rsidR="00466457" w:rsidRPr="000665B0" w:rsidRDefault="00466457" w:rsidP="009570CA">
      <w:pPr>
        <w:keepNext/>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bCs/>
          <w:szCs w:val="24"/>
        </w:rPr>
        <w:t>Note:</w:t>
      </w:r>
    </w:p>
    <w:p w14:paraId="2FDFF9CA" w14:textId="77777777" w:rsidR="00466457" w:rsidRPr="000665B0" w:rsidRDefault="00466457"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0665B0">
        <w:rPr>
          <w:b/>
          <w:szCs w:val="24"/>
        </w:rPr>
        <w:t>Receive File does not support processing of multiple Overlays. When a file that contains more than one Overlay is received, only the first Overlay is processed.</w:t>
      </w:r>
    </w:p>
    <w:p w14:paraId="5DFFCF78" w14:textId="77777777" w:rsidR="00A316EA" w:rsidRDefault="00A316EA" w:rsidP="009570CA">
      <w:pPr>
        <w:spacing w:after="0"/>
        <w:rPr>
          <w:caps/>
        </w:rPr>
      </w:pPr>
      <w:r>
        <w:br w:type="page"/>
      </w:r>
      <w:bookmarkStart w:id="5705" w:name="_5.36__MPRs_TOOL"/>
      <w:bookmarkStart w:id="5706" w:name="_5.36__MPRs"/>
      <w:bookmarkStart w:id="5707" w:name="_5.37__TMPRs_TOOL"/>
      <w:bookmarkStart w:id="5708" w:name="_5.35__TMPRs"/>
      <w:bookmarkStart w:id="5709" w:name="_5.37__STRIKE_ORGANIZATION_TOOL"/>
      <w:bookmarkStart w:id="5710" w:name="_5.37__STRIKE"/>
      <w:bookmarkStart w:id="5711" w:name="_5.38__STRIKE_ORGANIZATIONS_TOOL"/>
      <w:bookmarkStart w:id="5712" w:name="_5.36__STRIKE"/>
      <w:bookmarkStart w:id="5713" w:name="_5.35__TMPR"/>
      <w:bookmarkStart w:id="5714" w:name="_Toc100461725"/>
      <w:bookmarkStart w:id="5715" w:name="_Toc112733703"/>
      <w:bookmarkStart w:id="5716" w:name="_Toc194984782"/>
      <w:bookmarkStart w:id="5717" w:name="_Toc289328790"/>
      <w:bookmarkStart w:id="5718" w:name="_Toc312332035"/>
      <w:bookmarkStart w:id="5719" w:name="_Toc214283497"/>
      <w:bookmarkStart w:id="5720" w:name="_Toc71955704"/>
      <w:bookmarkStart w:id="5721" w:name="_Toc96170234"/>
      <w:bookmarkStart w:id="5722" w:name="_Toc96234279"/>
      <w:bookmarkStart w:id="5723" w:name="_Hlk59020401"/>
      <w:bookmarkStart w:id="5724" w:name="_Toc71955721"/>
      <w:bookmarkStart w:id="5725" w:name="_Toc96170253"/>
      <w:bookmarkStart w:id="5726" w:name="_Toc96234298"/>
      <w:bookmarkStart w:id="5727" w:name="_Toc112733718"/>
      <w:bookmarkEnd w:id="5705"/>
      <w:bookmarkEnd w:id="5706"/>
      <w:bookmarkEnd w:id="5707"/>
      <w:bookmarkEnd w:id="5708"/>
      <w:bookmarkEnd w:id="5709"/>
      <w:bookmarkEnd w:id="5710"/>
      <w:bookmarkEnd w:id="5711"/>
      <w:bookmarkEnd w:id="5712"/>
      <w:bookmarkEnd w:id="5713"/>
      <w:r w:rsidR="000D70ED" w:rsidRPr="000665B0">
        <w:lastRenderedPageBreak/>
        <w:t>TMPR TOOL</w:t>
      </w:r>
      <w:bookmarkEnd w:id="5714"/>
      <w:bookmarkEnd w:id="5715"/>
      <w:bookmarkEnd w:id="5716"/>
      <w:bookmarkEnd w:id="5717"/>
      <w:bookmarkEnd w:id="5718"/>
      <w:bookmarkEnd w:id="5719"/>
    </w:p>
    <w:p w14:paraId="2042F00F" w14:textId="0B99CAA2" w:rsidR="00E90156" w:rsidRPr="000665B0" w:rsidRDefault="00E90156" w:rsidP="009570CA">
      <w:pPr>
        <w:rPr>
          <w:rFonts w:eastAsia="Arial Unicode MS"/>
        </w:rPr>
      </w:pPr>
      <w:r w:rsidRPr="000665B0">
        <w:rPr>
          <w:rFonts w:eastAsia="Arial Unicode MS"/>
        </w:rPr>
        <w:t xml:space="preserve">A </w:t>
      </w:r>
      <w:r w:rsidR="00DC7D18" w:rsidRPr="000665B0">
        <w:t>TMPC</w:t>
      </w:r>
      <w:r w:rsidRPr="000665B0">
        <w:rPr>
          <w:rFonts w:eastAsia="Arial Unicode MS"/>
        </w:rPr>
        <w:t xml:space="preserve"> Mission Planning Request (</w:t>
      </w:r>
      <w:r w:rsidRPr="000665B0">
        <w:rPr>
          <w:rFonts w:eastAsia="Arial Unicode MS"/>
          <w:b/>
        </w:rPr>
        <w:t>TMPR</w:t>
      </w:r>
      <w:r w:rsidRPr="000665B0">
        <w:rPr>
          <w:rFonts w:eastAsia="Arial Unicode MS"/>
        </w:rPr>
        <w:t xml:space="preserve">) is used in Strike Planning to facilitate a mission generation. Based on the strike analysis process, it may be determined that no existing mission satisfies the requirements, so generating a new mission may be necessary to achieve those goals. The information needed to generate a TMPR is provided by the upper levels of the Chain of Command. </w:t>
      </w:r>
    </w:p>
    <w:p w14:paraId="430040F9" w14:textId="77777777" w:rsidR="00E90156" w:rsidRPr="000665B0" w:rsidRDefault="00E90156" w:rsidP="009570CA">
      <w:pPr>
        <w:rPr>
          <w:rFonts w:eastAsia="Arial Unicode MS"/>
        </w:rPr>
      </w:pPr>
      <w:r w:rsidRPr="000665B0">
        <w:rPr>
          <w:rFonts w:eastAsia="Arial Unicode MS"/>
        </w:rPr>
        <w:t>Once a TMPR is created, it is passed to mission planning for the development of a new mission. The TMPR can be added to a DDO and then sent to a Planning Organization (</w:t>
      </w:r>
      <w:r w:rsidRPr="000665B0">
        <w:rPr>
          <w:rFonts w:eastAsia="Arial Unicode MS"/>
          <w:b/>
        </w:rPr>
        <w:t>PO</w:t>
      </w:r>
      <w:r w:rsidRPr="000665B0">
        <w:rPr>
          <w:rFonts w:eastAsia="Arial Unicode MS"/>
        </w:rPr>
        <w:t>), or it can be processed locally if the MDS is configured as an MDS with Embedded TPS.</w:t>
      </w:r>
    </w:p>
    <w:p w14:paraId="7BC95BE8" w14:textId="03B2625D" w:rsidR="00E90156" w:rsidRDefault="00E90156" w:rsidP="009570CA">
      <w:pPr>
        <w:rPr>
          <w:rFonts w:eastAsia="Arial Unicode MS"/>
        </w:rPr>
      </w:pPr>
      <w:r w:rsidRPr="000665B0">
        <w:rPr>
          <w:rFonts w:eastAsia="Arial Unicode MS"/>
        </w:rPr>
        <w:t>All TMPRs can be sent to a remote PO in a DDO. When the remote MDS receives the DDO, it is processed and the attached TMPR is added to the TED. Only an MDS that has a collocated TPS (determined by the presence of a Site Code) can change the state of a TMPR to “Submitted.” TPS recognizes the “Submitted” TMPR and notifies the Mission Planner. The Mission Planner uses TPS to complete the TMPR. When finished, the state of the TMPR changes to either “Complete</w:t>
      </w:r>
      <w:r w:rsidR="000C5D67" w:rsidRPr="000665B0">
        <w:rPr>
          <w:rFonts w:eastAsia="Arial Unicode MS"/>
        </w:rPr>
        <w:t>d</w:t>
      </w:r>
      <w:r w:rsidRPr="000665B0">
        <w:rPr>
          <w:rFonts w:eastAsia="Arial Unicode MS"/>
        </w:rPr>
        <w:t>” or Infeasible.” It is the responsibility of the Mission Planner to add the items generated from the TMPR to a DDO and return them to the originator.</w:t>
      </w:r>
    </w:p>
    <w:p w14:paraId="1EE938B0" w14:textId="31C179FA" w:rsidR="0091094A" w:rsidRDefault="0091094A" w:rsidP="009570CA">
      <w:pPr>
        <w:rPr>
          <w:rFonts w:eastAsia="Arial Unicode MS"/>
        </w:rPr>
      </w:pPr>
      <w:r>
        <w:rPr>
          <w:rFonts w:eastAsia="Arial Unicode MS"/>
        </w:rPr>
        <w:t>For TMPC 6.0.2 and 7.0, a TMPR can be of two types of requests – Ground Launch Required or not. The non-Ground Launch Required TMPR results in a planned mission that is for sea launch FRUs only. When the Ground Launch Required checkbox is checked in the TMPR, the returned mission is assignable to GL FRU only and is planned by a Mission Planner only. Ground Launch Required with Auto Generate will not be requestable in a TMPR.</w:t>
      </w:r>
    </w:p>
    <w:p w14:paraId="76D7D01C" w14:textId="5CADD8C4" w:rsidR="00E90156" w:rsidRPr="000665B0" w:rsidRDefault="00E90156" w:rsidP="009570CA">
      <w:pPr>
        <w:rPr>
          <w:rFonts w:eastAsia="Arial Unicode MS"/>
        </w:rPr>
      </w:pPr>
      <w:r w:rsidRPr="000665B0">
        <w:rPr>
          <w:rFonts w:eastAsia="Arial Unicode MS"/>
        </w:rPr>
        <w:t xml:space="preserve">If the MDS is configured as an MDS with Embedded TPS, then the embedded TPS is connected to the same TED as the MDS. To direct the internal auto-router to process the </w:t>
      </w:r>
      <w:r w:rsidR="0091094A">
        <w:rPr>
          <w:rFonts w:eastAsia="Arial Unicode MS"/>
        </w:rPr>
        <w:t xml:space="preserve">non-Ground Launch Required </w:t>
      </w:r>
      <w:r w:rsidRPr="000665B0">
        <w:rPr>
          <w:rFonts w:eastAsia="Arial Unicode MS"/>
        </w:rPr>
        <w:t xml:space="preserve">TMPR, the operator must check the </w:t>
      </w:r>
      <w:r w:rsidRPr="000665B0">
        <w:rPr>
          <w:rFonts w:eastAsia="Arial Unicode MS"/>
          <w:b/>
        </w:rPr>
        <w:t>Auto Generate</w:t>
      </w:r>
      <w:r w:rsidRPr="000665B0">
        <w:rPr>
          <w:rFonts w:eastAsia="Arial Unicode MS"/>
        </w:rPr>
        <w:t xml:space="preserve"> checkbox. When the state of the TMPR becomes “Submitted,” the embedded TPS begins its auto-routing using the CMARS algorithm. Only TMPRs of type “Create</w:t>
      </w:r>
      <w:r w:rsidR="00554BE4" w:rsidRPr="000665B0">
        <w:rPr>
          <w:rFonts w:eastAsia="Arial Unicode MS"/>
        </w:rPr>
        <w:t>,</w:t>
      </w:r>
      <w:r w:rsidRPr="000665B0">
        <w:rPr>
          <w:rFonts w:eastAsia="Arial Unicode MS"/>
        </w:rPr>
        <w:t>” “Retarget</w:t>
      </w:r>
      <w:r w:rsidR="00554BE4" w:rsidRPr="000665B0">
        <w:rPr>
          <w:rFonts w:eastAsia="Arial Unicode MS"/>
        </w:rPr>
        <w:t>,</w:t>
      </w:r>
      <w:r w:rsidRPr="000665B0">
        <w:rPr>
          <w:rFonts w:eastAsia="Arial Unicode MS"/>
        </w:rPr>
        <w:t>”</w:t>
      </w:r>
      <w:r w:rsidR="00554BE4" w:rsidRPr="000665B0">
        <w:rPr>
          <w:rFonts w:eastAsia="Arial Unicode MS"/>
        </w:rPr>
        <w:t xml:space="preserve"> or “Attack Plan”</w:t>
      </w:r>
      <w:r w:rsidRPr="000665B0">
        <w:rPr>
          <w:rFonts w:eastAsia="Arial Unicode MS"/>
        </w:rPr>
        <w:t xml:space="preserve"> can be processed by an MDS with Embedded TPS. When finished, the TMPR state becomes “Complete</w:t>
      </w:r>
      <w:r w:rsidR="000C5D67" w:rsidRPr="000665B0">
        <w:rPr>
          <w:rFonts w:eastAsia="Arial Unicode MS"/>
        </w:rPr>
        <w:t>d</w:t>
      </w:r>
      <w:r w:rsidRPr="000665B0">
        <w:rPr>
          <w:rFonts w:eastAsia="Arial Unicode MS"/>
        </w:rPr>
        <w:t>,” “Infeasible,” or “Incomplete.” If the state is either “Complete</w:t>
      </w:r>
      <w:r w:rsidR="000C5D67" w:rsidRPr="000665B0">
        <w:rPr>
          <w:rFonts w:eastAsia="Arial Unicode MS"/>
        </w:rPr>
        <w:t>d</w:t>
      </w:r>
      <w:r w:rsidRPr="000665B0">
        <w:rPr>
          <w:rFonts w:eastAsia="Arial Unicode MS"/>
        </w:rPr>
        <w:t xml:space="preserve">” or “Infeasible,” a mission report will be provided to the operator. A TMPR whose state is “Incomplete” means that TPS was unable to run. </w:t>
      </w:r>
      <w:r w:rsidR="002809E0" w:rsidRPr="000665B0">
        <w:rPr>
          <w:rFonts w:eastAsia="Arial Unicode MS"/>
        </w:rPr>
        <w:t xml:space="preserve">A TMPR that is in the </w:t>
      </w:r>
      <w:r w:rsidR="008E6F3F" w:rsidRPr="000665B0">
        <w:rPr>
          <w:rFonts w:eastAsia="Arial Unicode MS"/>
        </w:rPr>
        <w:t xml:space="preserve">“Incomplete” or </w:t>
      </w:r>
      <w:r w:rsidR="002809E0" w:rsidRPr="000665B0">
        <w:rPr>
          <w:rFonts w:eastAsia="Arial Unicode MS"/>
        </w:rPr>
        <w:t>“Completed</w:t>
      </w:r>
      <w:r w:rsidR="00C40CFA" w:rsidRPr="000665B0">
        <w:rPr>
          <w:rFonts w:eastAsia="Arial Unicode MS"/>
        </w:rPr>
        <w:t>” state is read-only;</w:t>
      </w:r>
      <w:r w:rsidR="002809E0" w:rsidRPr="000665B0">
        <w:rPr>
          <w:rFonts w:eastAsia="Arial Unicode MS"/>
        </w:rPr>
        <w:t xml:space="preserve"> the</w:t>
      </w:r>
      <w:r w:rsidR="002809E0" w:rsidRPr="000665B0">
        <w:t xml:space="preserve"> fields can no longer be </w:t>
      </w:r>
      <w:r w:rsidR="002D123F" w:rsidRPr="000665B0">
        <w:t>modified,</w:t>
      </w:r>
      <w:r w:rsidR="00C40CFA" w:rsidRPr="000665B0">
        <w:t xml:space="preserve"> and it cannot be re-submitted to TPS</w:t>
      </w:r>
      <w:r w:rsidR="002809E0" w:rsidRPr="000665B0">
        <w:t xml:space="preserve">. </w:t>
      </w:r>
      <w:r w:rsidR="005F5695" w:rsidRPr="000665B0">
        <w:rPr>
          <w:rFonts w:eastAsia="Arial Unicode MS"/>
        </w:rPr>
        <w:t xml:space="preserve">If the MDS is configured as an MDS with Embedded TPS or is connected to a full TPS, it is </w:t>
      </w:r>
      <w:r w:rsidR="001B1A72" w:rsidRPr="000665B0">
        <w:rPr>
          <w:rFonts w:eastAsia="Arial Unicode MS"/>
        </w:rPr>
        <w:t>capable</w:t>
      </w:r>
      <w:r w:rsidR="005F5695" w:rsidRPr="000665B0">
        <w:rPr>
          <w:rFonts w:eastAsia="Arial Unicode MS"/>
        </w:rPr>
        <w:t xml:space="preserve"> of </w:t>
      </w:r>
      <w:r w:rsidR="003E549D" w:rsidRPr="000665B0">
        <w:rPr>
          <w:rFonts w:eastAsia="Arial Unicode MS"/>
        </w:rPr>
        <w:t>auto-generat</w:t>
      </w:r>
      <w:r w:rsidR="005F5695" w:rsidRPr="000665B0">
        <w:rPr>
          <w:rFonts w:eastAsia="Arial Unicode MS"/>
        </w:rPr>
        <w:t xml:space="preserve">ion of </w:t>
      </w:r>
      <w:r w:rsidR="003E549D" w:rsidRPr="000665B0">
        <w:rPr>
          <w:rFonts w:eastAsia="Arial Unicode MS"/>
        </w:rPr>
        <w:t xml:space="preserve">missions </w:t>
      </w:r>
      <w:r w:rsidR="005F5695" w:rsidRPr="000665B0">
        <w:rPr>
          <w:rFonts w:eastAsia="Arial Unicode MS"/>
        </w:rPr>
        <w:t xml:space="preserve">for </w:t>
      </w:r>
      <w:r w:rsidR="003E549D" w:rsidRPr="000665B0">
        <w:rPr>
          <w:rFonts w:eastAsia="Arial Unicode MS"/>
        </w:rPr>
        <w:t xml:space="preserve">a TMPR. </w:t>
      </w:r>
    </w:p>
    <w:p w14:paraId="1CF7664E" w14:textId="651A4E97" w:rsidR="002434A0" w:rsidRPr="000665B0" w:rsidRDefault="002434A0" w:rsidP="009570CA">
      <w:pPr>
        <w:rPr>
          <w:rFonts w:eastAsia="Arial Unicode MS"/>
        </w:rPr>
      </w:pPr>
      <w:r>
        <w:rPr>
          <w:rFonts w:eastAsia="Arial Unicode MS"/>
        </w:rPr>
        <w:t xml:space="preserve">When a TMPR is Ground Launch Required, the TMPR can only be submitted without a check in the Auto Generate checkbox. When it is submitted to Embedded TPS (such as when MDS is </w:t>
      </w:r>
      <w:r w:rsidR="000A408B">
        <w:rPr>
          <w:rFonts w:eastAsia="Arial Unicode MS"/>
        </w:rPr>
        <w:t>c</w:t>
      </w:r>
      <w:r>
        <w:rPr>
          <w:rFonts w:eastAsia="Arial Unicode MS"/>
        </w:rPr>
        <w:t>onnected to Embedded TPS only), a Ground Launch Required TMPR will not be processed and will remain in submitted status. When the Auto Generate checkbox is checked, if the Ground Launch Required checkbox is checked, it will be unchecked and disabled.</w:t>
      </w:r>
    </w:p>
    <w:p w14:paraId="5057B3B0" w14:textId="77777777" w:rsidR="00E90156" w:rsidRPr="000665B0" w:rsidRDefault="00E90156" w:rsidP="009570CA">
      <w:pPr>
        <w:rPr>
          <w:rFonts w:eastAsia="Arial Unicode MS"/>
        </w:rPr>
      </w:pPr>
      <w:r w:rsidRPr="000665B0">
        <w:rPr>
          <w:rFonts w:eastAsia="Arial Unicode MS"/>
        </w:rPr>
        <w:t>The TMPR Tool manages the storage of all TMPRs in the database. The entries in the TMPR Tools List View can be displayed textually or in Excel. In addition, they can be edited, saved, deleted, and printed. In addition, a TED Library can be created using this tool.</w:t>
      </w:r>
    </w:p>
    <w:p w14:paraId="4F9547F8" w14:textId="57484E8B" w:rsidR="000D70ED" w:rsidRPr="000665B0" w:rsidRDefault="00E90156" w:rsidP="009570CA">
      <w:r w:rsidRPr="000665B0">
        <w:rPr>
          <w:rFonts w:eastAsia="Arial Unicode MS"/>
        </w:rPr>
        <w:t xml:space="preserve">TMPRs can be initiated from the TMPR Tool, the Strike Plan Folder, </w:t>
      </w:r>
      <w:r w:rsidR="00F074D2" w:rsidRPr="000665B0">
        <w:rPr>
          <w:rFonts w:eastAsia="Arial Unicode MS"/>
        </w:rPr>
        <w:t xml:space="preserve">the Strike Options, </w:t>
      </w:r>
      <w:r w:rsidRPr="000665B0">
        <w:rPr>
          <w:rFonts w:eastAsia="Arial Unicode MS"/>
        </w:rPr>
        <w:t xml:space="preserve">the Targets Tool, the </w:t>
      </w:r>
      <w:r w:rsidR="00E75AC3">
        <w:rPr>
          <w:rFonts w:eastAsia="Arial Unicode MS"/>
        </w:rPr>
        <w:t>TAWS</w:t>
      </w:r>
      <w:r w:rsidRPr="000665B0">
        <w:rPr>
          <w:rFonts w:eastAsia="Arial Unicode MS"/>
        </w:rPr>
        <w:t xml:space="preserve"> Tool, the Missions Tool</w:t>
      </w:r>
      <w:r w:rsidR="00F074D2" w:rsidRPr="000665B0">
        <w:rPr>
          <w:rFonts w:eastAsia="Arial Unicode MS"/>
        </w:rPr>
        <w:t xml:space="preserve">, or from the Retarget Calculator in the </w:t>
      </w:r>
      <w:r w:rsidR="00F6402E" w:rsidRPr="000665B0">
        <w:rPr>
          <w:rFonts w:eastAsia="Arial Unicode MS"/>
        </w:rPr>
        <w:t xml:space="preserve">Strike </w:t>
      </w:r>
      <w:r w:rsidR="00F6402E" w:rsidRPr="000665B0">
        <w:rPr>
          <w:rFonts w:eastAsia="Arial Unicode MS"/>
        </w:rPr>
        <w:lastRenderedPageBreak/>
        <w:t>Management Display (</w:t>
      </w:r>
      <w:r w:rsidR="00F074D2" w:rsidRPr="000665B0">
        <w:rPr>
          <w:rFonts w:eastAsia="Arial Unicode MS"/>
        </w:rPr>
        <w:t>SMD</w:t>
      </w:r>
      <w:r w:rsidR="00F6402E" w:rsidRPr="000665B0">
        <w:rPr>
          <w:rFonts w:eastAsia="Arial Unicode MS"/>
        </w:rPr>
        <w:t>)</w:t>
      </w:r>
      <w:r w:rsidRPr="000665B0">
        <w:rPr>
          <w:rFonts w:eastAsia="Arial Unicode MS"/>
        </w:rPr>
        <w:t xml:space="preserve">. The TMPR Tool is primarily used to create a new TMPR, </w:t>
      </w:r>
      <w:r w:rsidR="002A3CFA" w:rsidRPr="000665B0">
        <w:rPr>
          <w:rFonts w:eastAsia="Arial Unicode MS"/>
        </w:rPr>
        <w:t xml:space="preserve">create a new Attack Plan TMPR, </w:t>
      </w:r>
      <w:r w:rsidRPr="000665B0">
        <w:rPr>
          <w:rFonts w:eastAsia="Arial Unicode MS"/>
        </w:rPr>
        <w:t xml:space="preserve">modify a TMPR (mission), </w:t>
      </w:r>
      <w:r w:rsidR="00F06FE4" w:rsidRPr="000665B0">
        <w:rPr>
          <w:rFonts w:eastAsia="Arial Unicode MS"/>
        </w:rPr>
        <w:t xml:space="preserve">or </w:t>
      </w:r>
      <w:r w:rsidR="00483D5E" w:rsidRPr="000665B0">
        <w:rPr>
          <w:rFonts w:eastAsia="Arial Unicode MS"/>
        </w:rPr>
        <w:t xml:space="preserve">retarget </w:t>
      </w:r>
      <w:r w:rsidRPr="000665B0">
        <w:rPr>
          <w:rFonts w:eastAsia="Arial Unicode MS"/>
        </w:rPr>
        <w:t>a TMPR</w:t>
      </w:r>
      <w:r w:rsidR="00F06FE4" w:rsidRPr="000665B0">
        <w:rPr>
          <w:rFonts w:eastAsia="Arial Unicode MS"/>
        </w:rPr>
        <w:t>. Retarget TMPRs are created only during Strike Execution from the retarget calculator of the SMD.</w:t>
      </w:r>
      <w:r w:rsidRPr="000665B0">
        <w:rPr>
          <w:rFonts w:eastAsia="Arial Unicode MS"/>
        </w:rPr>
        <w:t xml:space="preserve"> </w:t>
      </w:r>
    </w:p>
    <w:p w14:paraId="2CF6D78D" w14:textId="77777777" w:rsidR="00E90156" w:rsidRPr="000665B0" w:rsidRDefault="00E90156" w:rsidP="009570CA">
      <w:pPr>
        <w:keepNext/>
        <w:rPr>
          <w:rFonts w:eastAsia="Arial Unicode MS"/>
        </w:rPr>
      </w:pPr>
      <w:r w:rsidRPr="000665B0">
        <w:rPr>
          <w:rFonts w:eastAsia="Arial Unicode MS"/>
        </w:rPr>
        <w:t>To display the TMPR Tool:</w:t>
      </w:r>
    </w:p>
    <w:p w14:paraId="14B809A0" w14:textId="77777777" w:rsidR="00E90156" w:rsidRPr="000665B0" w:rsidRDefault="00E90156" w:rsidP="009570CA">
      <w:pPr>
        <w:keepNext/>
        <w:ind w:left="360"/>
      </w:pPr>
      <w:r w:rsidRPr="000665B0">
        <w:t xml:space="preserve">From the </w:t>
      </w:r>
      <w:r w:rsidRPr="000665B0">
        <w:rPr>
          <w:b/>
        </w:rPr>
        <w:t>Go</w:t>
      </w:r>
      <w:r w:rsidRPr="000665B0">
        <w:t xml:space="preserve"> menu select </w:t>
      </w:r>
      <w:r w:rsidRPr="000665B0">
        <w:rPr>
          <w:b/>
        </w:rPr>
        <w:t>TMPRs</w:t>
      </w:r>
      <w:r w:rsidR="00282C4C" w:rsidRPr="000665B0">
        <w:t>.</w:t>
      </w:r>
    </w:p>
    <w:p w14:paraId="73560AF3" w14:textId="592A379D" w:rsidR="00E90156" w:rsidRPr="000665B0" w:rsidRDefault="00FF2A98" w:rsidP="009570CA">
      <w:pPr>
        <w:jc w:val="center"/>
      </w:pPr>
      <w:r w:rsidRPr="000665B0">
        <w:rPr>
          <w:noProof/>
        </w:rPr>
        <w:drawing>
          <wp:inline distT="0" distB="0" distL="0" distR="0" wp14:anchorId="629B491D" wp14:editId="5050A894">
            <wp:extent cx="4983480" cy="1499616"/>
            <wp:effectExtent l="0" t="0" r="0" b="0"/>
            <wp:docPr id="2186" name="Picture 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499616"/>
                    </a:xfrm>
                    <a:prstGeom prst="rect">
                      <a:avLst/>
                    </a:prstGeom>
                  </pic:spPr>
                </pic:pic>
              </a:graphicData>
            </a:graphic>
          </wp:inline>
        </w:drawing>
      </w:r>
    </w:p>
    <w:p w14:paraId="46EF0596" w14:textId="77777777" w:rsidR="000D70ED" w:rsidRPr="000665B0" w:rsidRDefault="000D70ED" w:rsidP="009570CA">
      <w:pPr>
        <w:rPr>
          <w:b/>
          <w:i/>
        </w:rPr>
      </w:pPr>
      <w:r w:rsidRPr="000665B0">
        <w:rPr>
          <w:b/>
          <w:i/>
        </w:rPr>
        <w:t xml:space="preserve">TMPR List View </w:t>
      </w:r>
    </w:p>
    <w:p w14:paraId="5AB62854" w14:textId="77777777" w:rsidR="00E90156" w:rsidRPr="000665B0" w:rsidRDefault="00E90156" w:rsidP="006D5A65">
      <w:pPr>
        <w:pStyle w:val="Heading1"/>
      </w:pPr>
      <w:r w:rsidRPr="000665B0">
        <w:t>Columns</w:t>
      </w:r>
    </w:p>
    <w:p w14:paraId="1935FA61" w14:textId="77777777" w:rsidR="00E90156" w:rsidRPr="000665B0" w:rsidRDefault="00E90156" w:rsidP="006D5A65">
      <w:pPr>
        <w:pStyle w:val="Heading2"/>
      </w:pPr>
      <w:r w:rsidRPr="000665B0">
        <w:t>TMPR ID – The ID for a specific TMPR.</w:t>
      </w:r>
    </w:p>
    <w:p w14:paraId="46D3293D" w14:textId="77777777" w:rsidR="00E90156" w:rsidRPr="000665B0" w:rsidRDefault="00E90156" w:rsidP="006D5A65">
      <w:pPr>
        <w:pStyle w:val="Heading2"/>
      </w:pPr>
      <w:r w:rsidRPr="000665B0">
        <w:t>Creation DTG – The date the TMPR was created.</w:t>
      </w:r>
    </w:p>
    <w:p w14:paraId="2DE1E65F" w14:textId="77777777" w:rsidR="00E90156" w:rsidRPr="000665B0" w:rsidRDefault="00E90156" w:rsidP="006D5A65">
      <w:pPr>
        <w:pStyle w:val="Heading2"/>
      </w:pPr>
      <w:r w:rsidRPr="000665B0">
        <w:t>Need By DTG – The date when the mission(s) to satisfy the TMPR are required. The date must be equal to or greater than the creation date.</w:t>
      </w:r>
    </w:p>
    <w:p w14:paraId="4E4FA2DA" w14:textId="77777777" w:rsidR="00E90156" w:rsidRPr="000665B0" w:rsidRDefault="00E90156" w:rsidP="006D5A65">
      <w:pPr>
        <w:pStyle w:val="Heading2"/>
      </w:pPr>
      <w:r w:rsidRPr="000665B0">
        <w:t>Priority – The numerical priority assigned to the task.</w:t>
      </w:r>
    </w:p>
    <w:p w14:paraId="602764F4" w14:textId="77777777" w:rsidR="00E90156" w:rsidRPr="000665B0" w:rsidRDefault="00E90156" w:rsidP="006D5A65">
      <w:pPr>
        <w:pStyle w:val="Heading2"/>
      </w:pPr>
      <w:r w:rsidRPr="000665B0">
        <w:t>State – The current state of the TMPR. The following are the varying states of a TMPR:</w:t>
      </w:r>
    </w:p>
    <w:p w14:paraId="6258C3B9" w14:textId="77777777" w:rsidR="00E90156" w:rsidRPr="000665B0" w:rsidRDefault="00E90156" w:rsidP="006D5A65">
      <w:pPr>
        <w:pStyle w:val="Heading3"/>
      </w:pPr>
      <w:r w:rsidRPr="008376B8">
        <w:rPr>
          <w:iCs/>
        </w:rPr>
        <w:lastRenderedPageBreak/>
        <w:t>Creating</w:t>
      </w:r>
      <w:r w:rsidRPr="000665B0">
        <w:rPr>
          <w:i/>
        </w:rPr>
        <w:t xml:space="preserve"> </w:t>
      </w:r>
      <w:r w:rsidRPr="000665B0">
        <w:t>– During this state, the operator can enter/edit the information needed for a TMPR. This is the only state in which the information in the TMPR can be edited.</w:t>
      </w:r>
    </w:p>
    <w:p w14:paraId="02597D4F" w14:textId="77777777" w:rsidR="00E90156" w:rsidRPr="000665B0" w:rsidRDefault="00E90156" w:rsidP="006D5A65">
      <w:pPr>
        <w:pStyle w:val="Heading3"/>
      </w:pPr>
      <w:r w:rsidRPr="008376B8">
        <w:rPr>
          <w:iCs/>
        </w:rPr>
        <w:t>Submitted</w:t>
      </w:r>
      <w:r w:rsidRPr="000665B0">
        <w:t xml:space="preserve"> – Indicates that the information entered in the TMPR is ready to be used and that mission planning can proceed. Once a TMPR is in this state, it can no longer be edited.</w:t>
      </w:r>
    </w:p>
    <w:p w14:paraId="3E28DECB" w14:textId="77777777" w:rsidR="00E90156" w:rsidRPr="000665B0" w:rsidRDefault="00E90156" w:rsidP="006D5A65">
      <w:pPr>
        <w:pStyle w:val="Heading3"/>
      </w:pPr>
      <w:r w:rsidRPr="008376B8">
        <w:rPr>
          <w:iCs/>
        </w:rPr>
        <w:t xml:space="preserve">In Work </w:t>
      </w:r>
      <w:r w:rsidRPr="000665B0">
        <w:t>– Indicates that TPS is currently working on generating a mission for the TMPR.</w:t>
      </w:r>
    </w:p>
    <w:p w14:paraId="40F7FA33" w14:textId="36B27F72" w:rsidR="00E90156" w:rsidRPr="000665B0" w:rsidRDefault="00E90156" w:rsidP="006D5A65">
      <w:pPr>
        <w:pStyle w:val="Heading3"/>
      </w:pPr>
      <w:r w:rsidRPr="008376B8">
        <w:rPr>
          <w:iCs/>
        </w:rPr>
        <w:t xml:space="preserve">Incomplete </w:t>
      </w:r>
      <w:r w:rsidRPr="000665B0">
        <w:t>–Indicates that TPS was unable to run.</w:t>
      </w:r>
      <w:r w:rsidR="00CE1201" w:rsidRPr="000665B0">
        <w:t xml:space="preserve"> The TMPR is read-only and cannot be re-submitted to TPS.</w:t>
      </w:r>
    </w:p>
    <w:p w14:paraId="044648F4" w14:textId="77777777" w:rsidR="00E90156" w:rsidRPr="000665B0" w:rsidRDefault="00E90156" w:rsidP="006D5A65">
      <w:pPr>
        <w:pStyle w:val="Heading3"/>
      </w:pPr>
      <w:r w:rsidRPr="008376B8">
        <w:rPr>
          <w:iCs/>
        </w:rPr>
        <w:t>Infeasible</w:t>
      </w:r>
      <w:r w:rsidRPr="000665B0">
        <w:t xml:space="preserve"> – Indicates that the TPS could not generate the mission for the TMPR. TPS will update the TMPR Status information to indicate why the mission could not be created.</w:t>
      </w:r>
    </w:p>
    <w:p w14:paraId="176964A0" w14:textId="77777777" w:rsidR="00E90156" w:rsidRPr="000665B0" w:rsidRDefault="00E90156" w:rsidP="006D5A65">
      <w:pPr>
        <w:pStyle w:val="Heading3"/>
      </w:pPr>
      <w:r w:rsidRPr="008376B8">
        <w:rPr>
          <w:iCs/>
        </w:rPr>
        <w:t>Waiting for Senior Planner Review</w:t>
      </w:r>
      <w:r w:rsidRPr="000665B0">
        <w:t xml:space="preserve"> – During this state, the mission for a particular TMPR has been created and is undergoing a series of checks in order for the mission to be approved.</w:t>
      </w:r>
    </w:p>
    <w:p w14:paraId="41461981" w14:textId="1461CC05" w:rsidR="00E90156" w:rsidRPr="000665B0" w:rsidRDefault="00E90156" w:rsidP="006D5A65">
      <w:pPr>
        <w:pStyle w:val="Heading3"/>
      </w:pPr>
      <w:r w:rsidRPr="008376B8">
        <w:rPr>
          <w:iCs/>
        </w:rPr>
        <w:t>Completed</w:t>
      </w:r>
      <w:r w:rsidRPr="000665B0">
        <w:t xml:space="preserve"> – Once in this state, the TMPR has gone through the entire mission planning process and a mission has been created and </w:t>
      </w:r>
      <w:r w:rsidRPr="000665B0">
        <w:lastRenderedPageBreak/>
        <w:t>inserted into the database by TPS.</w:t>
      </w:r>
      <w:r w:rsidR="002809E0" w:rsidRPr="000665B0">
        <w:t xml:space="preserve"> </w:t>
      </w:r>
      <w:r w:rsidR="002809E0" w:rsidRPr="000665B0">
        <w:rPr>
          <w:rFonts w:eastAsia="Arial Unicode MS"/>
        </w:rPr>
        <w:t>The TMPR is read-only</w:t>
      </w:r>
      <w:r w:rsidR="00C40CFA" w:rsidRPr="000665B0">
        <w:rPr>
          <w:rFonts w:eastAsia="Arial Unicode MS"/>
        </w:rPr>
        <w:t>;</w:t>
      </w:r>
      <w:r w:rsidR="002809E0" w:rsidRPr="000665B0">
        <w:rPr>
          <w:rFonts w:eastAsia="Arial Unicode MS"/>
        </w:rPr>
        <w:t xml:space="preserve"> the</w:t>
      </w:r>
      <w:r w:rsidR="002809E0" w:rsidRPr="000665B0">
        <w:t xml:space="preserve"> fields can no longer be </w:t>
      </w:r>
      <w:r w:rsidR="002D123F" w:rsidRPr="000665B0">
        <w:t>modified,</w:t>
      </w:r>
      <w:r w:rsidR="00C40CFA" w:rsidRPr="000665B0">
        <w:t xml:space="preserve"> and it cannot be re-submitted to TPS</w:t>
      </w:r>
      <w:r w:rsidR="002809E0" w:rsidRPr="000665B0">
        <w:t xml:space="preserve">. </w:t>
      </w:r>
    </w:p>
    <w:p w14:paraId="394D395D" w14:textId="77777777" w:rsidR="00E90156" w:rsidRPr="000665B0" w:rsidRDefault="00E90156" w:rsidP="006D5A65">
      <w:pPr>
        <w:pStyle w:val="Heading4"/>
      </w:pPr>
      <w:r w:rsidRPr="000665B0">
        <w:t>Type – The type of the particular TMPR entry. These types are listed as followed:</w:t>
      </w:r>
    </w:p>
    <w:p w14:paraId="629E73E8" w14:textId="77777777" w:rsidR="00E90156" w:rsidRPr="000665B0" w:rsidRDefault="00E90156" w:rsidP="006D5A65">
      <w:pPr>
        <w:pStyle w:val="Heading5"/>
      </w:pPr>
      <w:r w:rsidRPr="000665B0">
        <w:t>Create – Request for a brand new mission to be created.</w:t>
      </w:r>
    </w:p>
    <w:p w14:paraId="73D1844A" w14:textId="77777777" w:rsidR="00E90156" w:rsidRPr="000665B0" w:rsidRDefault="00E90156" w:rsidP="006D5A65">
      <w:pPr>
        <w:pStyle w:val="Heading5"/>
      </w:pPr>
      <w:r w:rsidRPr="000665B0">
        <w:t>Modify – Request for a particular mission to be modified.</w:t>
      </w:r>
    </w:p>
    <w:p w14:paraId="04B31436" w14:textId="67FA5E53" w:rsidR="002A3CFA" w:rsidRPr="000665B0" w:rsidRDefault="002A3CFA" w:rsidP="006D5A65">
      <w:pPr>
        <w:pStyle w:val="Heading5"/>
      </w:pPr>
      <w:r w:rsidRPr="000665B0">
        <w:t xml:space="preserve">Attack Plan – Request for </w:t>
      </w:r>
      <w:r w:rsidR="008F2DD5" w:rsidRPr="000665B0">
        <w:t xml:space="preserve">an </w:t>
      </w:r>
      <w:r w:rsidRPr="000665B0">
        <w:t>Attack Plan (</w:t>
      </w:r>
      <w:r w:rsidR="008F2DD5" w:rsidRPr="000665B0">
        <w:t>a collection of missions which provides a coordinated attack, usually against a complicated target</w:t>
      </w:r>
      <w:r w:rsidRPr="000665B0">
        <w:t>) to be created.</w:t>
      </w:r>
    </w:p>
    <w:p w14:paraId="47CCF222" w14:textId="77777777" w:rsidR="00E90156" w:rsidRPr="000665B0" w:rsidRDefault="00E90156" w:rsidP="006D5A65">
      <w:pPr>
        <w:pStyle w:val="Heading5"/>
      </w:pPr>
      <w:r w:rsidRPr="000665B0">
        <w:t>Retarget – Request for a current mission to be retargeted to a different target.</w:t>
      </w:r>
    </w:p>
    <w:p w14:paraId="7C2EF034" w14:textId="132BF4A3" w:rsidR="00923424" w:rsidRPr="000665B0" w:rsidRDefault="00FF2A98" w:rsidP="006D5A65">
      <w:pPr>
        <w:pStyle w:val="Heading4"/>
      </w:pPr>
      <w:r w:rsidRPr="000665B0">
        <w:t xml:space="preserve">Missile </w:t>
      </w:r>
      <w:r w:rsidR="00923424" w:rsidRPr="000665B0">
        <w:t>– Missile variant.</w:t>
      </w:r>
    </w:p>
    <w:p w14:paraId="1C71E7E2" w14:textId="2FC20369" w:rsidR="000D70ED" w:rsidRPr="000665B0" w:rsidRDefault="00E90156" w:rsidP="006D5A65">
      <w:pPr>
        <w:pStyle w:val="Heading4"/>
      </w:pPr>
      <w:r w:rsidRPr="000665B0">
        <w:t>Authorizing Organization – The organization providing authority for the mission(s) to be generated as a result of the TMPR.</w:t>
      </w:r>
    </w:p>
    <w:p w14:paraId="0E49FC70" w14:textId="400C77E1" w:rsidR="001166B6" w:rsidRPr="000665B0" w:rsidRDefault="001166B6" w:rsidP="006D5A65">
      <w:pPr>
        <w:pStyle w:val="Heading4"/>
      </w:pPr>
      <w:r w:rsidRPr="000665B0">
        <w:t>Navigation Mode – The commanded navigation mode of the missile.</w:t>
      </w:r>
    </w:p>
    <w:p w14:paraId="4376362B" w14:textId="0A25B4D5" w:rsidR="002A3CFA" w:rsidRPr="000665B0" w:rsidRDefault="002A3CFA" w:rsidP="006D5A65">
      <w:pPr>
        <w:pStyle w:val="Heading4"/>
      </w:pPr>
      <w:r w:rsidRPr="000665B0">
        <w:rPr>
          <w:rFonts w:cs="Calibri"/>
          <w:szCs w:val="24"/>
        </w:rPr>
        <w:t>Attack Plan ID – A</w:t>
      </w:r>
      <w:r w:rsidRPr="000665B0">
        <w:t>ttack Plan ID associated with the Attack Plan TMPR.</w:t>
      </w:r>
    </w:p>
    <w:p w14:paraId="1759E178" w14:textId="1BB454B7" w:rsidR="002A3CFA" w:rsidRPr="000665B0" w:rsidRDefault="002A3CFA" w:rsidP="006D5A65">
      <w:pPr>
        <w:pStyle w:val="Heading4"/>
      </w:pPr>
      <w:r w:rsidRPr="000665B0">
        <w:t>TAR Type – Target Attack Requirements type for the target associated with the Attack Plan TMPR.</w:t>
      </w:r>
    </w:p>
    <w:p w14:paraId="7022ACF2" w14:textId="4B70B7AC" w:rsidR="00076BD9" w:rsidRDefault="00076BD9" w:rsidP="006D5A65">
      <w:pPr>
        <w:pStyle w:val="Heading4"/>
      </w:pPr>
      <w:r w:rsidRPr="000665B0">
        <w:t>TTN – Indicates the TTN of the target.</w:t>
      </w:r>
    </w:p>
    <w:p w14:paraId="30D22170" w14:textId="12DAAA91" w:rsidR="002434A0" w:rsidRPr="00535A59" w:rsidRDefault="002434A0" w:rsidP="006D5A65">
      <w:pPr>
        <w:pStyle w:val="Heading4"/>
        <w:rPr>
          <w:iCs/>
        </w:rPr>
      </w:pPr>
      <w:r w:rsidRPr="002434A0">
        <w:t>Ground Launch Required</w:t>
      </w:r>
      <w:r w:rsidRPr="00535A59">
        <w:rPr>
          <w:iCs/>
        </w:rPr>
        <w:t xml:space="preserve"> </w:t>
      </w:r>
      <w:r>
        <w:rPr>
          <w:iCs/>
        </w:rPr>
        <w:t>–</w:t>
      </w:r>
      <w:r w:rsidRPr="00535A59">
        <w:rPr>
          <w:iCs/>
        </w:rPr>
        <w:t xml:space="preserve"> </w:t>
      </w:r>
      <w:r>
        <w:t>Indicates that the requested mission planning is for a mission that is assignable to ground launch FRU only.</w:t>
      </w:r>
    </w:p>
    <w:p w14:paraId="58D9814C" w14:textId="77777777" w:rsidR="00E90156" w:rsidRPr="000665B0" w:rsidRDefault="00E90156" w:rsidP="006D5A65">
      <w:pPr>
        <w:pStyle w:val="Heading1"/>
      </w:pPr>
      <w:r w:rsidRPr="000665B0">
        <w:t>Context Menu</w:t>
      </w:r>
    </w:p>
    <w:p w14:paraId="48736AB1" w14:textId="70D7D361" w:rsidR="00DB0CDF" w:rsidRPr="000665B0" w:rsidRDefault="00DB0CDF" w:rsidP="006D5A65">
      <w:pPr>
        <w:pStyle w:val="Heading2"/>
        <w:rPr>
          <w:rFonts w:eastAsia="Arial Unicode MS"/>
        </w:rPr>
      </w:pPr>
      <w:r w:rsidRPr="000665B0">
        <w:rPr>
          <w:rFonts w:eastAsia="Arial Unicode MS"/>
        </w:rPr>
        <w:t xml:space="preserve">New – </w:t>
      </w:r>
      <w:r w:rsidRPr="000665B0">
        <w:t xml:space="preserve">Invokes the </w:t>
      </w:r>
      <w:r w:rsidRPr="000665B0">
        <w:rPr>
          <w:i/>
        </w:rPr>
        <w:t>TMPR (</w:t>
      </w:r>
      <w:r w:rsidRPr="000665B0">
        <w:t>or</w:t>
      </w:r>
      <w:r w:rsidRPr="000665B0">
        <w:rPr>
          <w:i/>
        </w:rPr>
        <w:t xml:space="preserve"> Missions)</w:t>
      </w:r>
      <w:r w:rsidRPr="000665B0">
        <w:t xml:space="preserve"> window.</w:t>
      </w:r>
    </w:p>
    <w:p w14:paraId="2B42234B" w14:textId="0ED0D601" w:rsidR="00E90156" w:rsidRPr="000665B0" w:rsidRDefault="00E90156" w:rsidP="006D5A65">
      <w:pPr>
        <w:pStyle w:val="Heading2"/>
      </w:pPr>
      <w:r w:rsidRPr="000665B0">
        <w:t>Display</w:t>
      </w:r>
    </w:p>
    <w:p w14:paraId="2350B031" w14:textId="77777777" w:rsidR="00E90156" w:rsidRPr="000665B0" w:rsidRDefault="00E90156" w:rsidP="006D5A65">
      <w:pPr>
        <w:pStyle w:val="Heading3"/>
        <w:rPr>
          <w:rFonts w:eastAsia="Arial Unicode MS"/>
        </w:rPr>
      </w:pPr>
      <w:r w:rsidRPr="000665B0">
        <w:rPr>
          <w:rFonts w:eastAsia="Arial Unicode MS"/>
        </w:rPr>
        <w:lastRenderedPageBreak/>
        <w:t xml:space="preserve">Textually </w:t>
      </w:r>
      <w:r w:rsidRPr="000665B0">
        <w:t>– Displays the textual view of the selected TMPR(s).</w:t>
      </w:r>
    </w:p>
    <w:p w14:paraId="69840743" w14:textId="20D55E7B" w:rsidR="00E90156" w:rsidRPr="000665B0" w:rsidRDefault="00E90156" w:rsidP="006D5A65">
      <w:pPr>
        <w:pStyle w:val="Heading3"/>
      </w:pPr>
      <w:r w:rsidRPr="000665B0">
        <w:t xml:space="preserve">References – Displays </w:t>
      </w:r>
      <w:r w:rsidR="009136BE" w:rsidRPr="000665B0">
        <w:t>a reference</w:t>
      </w:r>
      <w:r w:rsidRPr="000665B0">
        <w:t xml:space="preserve"> window showing what other data in MDS is referencing the selected TMPR(s).</w:t>
      </w:r>
    </w:p>
    <w:p w14:paraId="09178FC7" w14:textId="77777777" w:rsidR="00E90156" w:rsidRPr="000665B0" w:rsidRDefault="00E90156" w:rsidP="006D5A65">
      <w:pPr>
        <w:pStyle w:val="Heading3"/>
        <w:rPr>
          <w:rFonts w:eastAsia="Arial Unicode MS"/>
        </w:rPr>
      </w:pPr>
      <w:r w:rsidRPr="000665B0">
        <w:rPr>
          <w:rFonts w:eastAsia="Arial Unicode MS"/>
        </w:rPr>
        <w:t xml:space="preserve">in Excel – </w:t>
      </w:r>
      <w:r w:rsidRPr="000665B0">
        <w:t>Creates an Excel document containing the selected TMPR’s information.</w:t>
      </w:r>
    </w:p>
    <w:p w14:paraId="67F37120" w14:textId="77777777" w:rsidR="00E90156" w:rsidRPr="000665B0" w:rsidRDefault="00E90156" w:rsidP="006D5A65">
      <w:pPr>
        <w:pStyle w:val="Heading2"/>
      </w:pPr>
      <w:r w:rsidRPr="000665B0">
        <w:t>Submit to TPS – Sets the TMPR state to “Submitted” indicating that the TMPR is ready to be used for mission planning. This menu option is enabled when the own node capabilities has a collocated TPS, the TMPR state is “Creating,” and the TMPR type is not Retarget.</w:t>
      </w:r>
    </w:p>
    <w:p w14:paraId="0147BC6F" w14:textId="2B6C1D30" w:rsidR="00E90156" w:rsidRPr="000665B0" w:rsidRDefault="00E90156" w:rsidP="006D5A65">
      <w:pPr>
        <w:pStyle w:val="Heading2"/>
        <w:rPr>
          <w:rFonts w:eastAsia="Arial Unicode MS"/>
        </w:rPr>
      </w:pPr>
      <w:r w:rsidRPr="000665B0">
        <w:rPr>
          <w:rFonts w:eastAsia="Arial Unicode MS"/>
        </w:rPr>
        <w:t xml:space="preserve">Create TED Library – </w:t>
      </w:r>
      <w:r w:rsidRPr="000665B0">
        <w:t xml:space="preserve">This type of library is able to accept different types of data instead of being restricted to a single data type as in the other MDS Libraries. For information on creating a TED Library see </w:t>
      </w:r>
      <w:hyperlink w:anchor="_5.13.1.1__New" w:history="1">
        <w:r w:rsidRPr="000665B0">
          <w:rPr>
            <w:color w:val="0000FF"/>
            <w:u w:val="single"/>
          </w:rPr>
          <w:t>Section 5.</w:t>
        </w:r>
        <w:r w:rsidR="00C77A5E" w:rsidRPr="000665B0">
          <w:rPr>
            <w:color w:val="0000FF"/>
            <w:u w:val="single"/>
          </w:rPr>
          <w:t>12</w:t>
        </w:r>
        <w:r w:rsidRPr="000665B0">
          <w:rPr>
            <w:color w:val="0000FF"/>
            <w:u w:val="single"/>
          </w:rPr>
          <w:t>.1.1</w:t>
        </w:r>
      </w:hyperlink>
      <w:r w:rsidRPr="000665B0">
        <w:rPr>
          <w:color w:val="0000FF"/>
          <w:u w:val="single"/>
        </w:rPr>
        <w:t>.</w:t>
      </w:r>
    </w:p>
    <w:p w14:paraId="38149FB4" w14:textId="77777777" w:rsidR="00E90156" w:rsidRPr="000665B0" w:rsidRDefault="00E90156" w:rsidP="006D5A65">
      <w:pPr>
        <w:pStyle w:val="Heading2"/>
        <w:rPr>
          <w:rFonts w:eastAsia="Arial Unicode MS"/>
        </w:rPr>
      </w:pPr>
      <w:r w:rsidRPr="000665B0">
        <w:rPr>
          <w:rFonts w:eastAsia="Arial Unicode MS"/>
        </w:rPr>
        <w:t>Send…</w:t>
      </w:r>
      <w:r w:rsidRPr="000665B0">
        <w:t xml:space="preserve"> – Displays a new DDO Template with the selected TMPR(s) pre-populated in the TMPR tab.</w:t>
      </w:r>
    </w:p>
    <w:p w14:paraId="0A3F8AC5" w14:textId="77777777" w:rsidR="00E90156" w:rsidRPr="000665B0" w:rsidRDefault="00E90156" w:rsidP="006D5A65">
      <w:pPr>
        <w:pStyle w:val="Heading2"/>
      </w:pPr>
      <w:r w:rsidRPr="000665B0">
        <w:t>Print… – Prints the selected TMPR’s list information.</w:t>
      </w:r>
    </w:p>
    <w:p w14:paraId="42BB665B" w14:textId="070A1FA9" w:rsidR="000D70ED" w:rsidRPr="000665B0" w:rsidRDefault="00E90156" w:rsidP="006D5A65">
      <w:pPr>
        <w:pStyle w:val="Heading4"/>
      </w:pPr>
      <w:r w:rsidRPr="000665B0">
        <w:rPr>
          <w:rFonts w:eastAsia="Arial Unicode MS"/>
        </w:rPr>
        <w:t xml:space="preserve">Delete </w:t>
      </w:r>
      <w:r w:rsidRPr="000665B0">
        <w:t>–</w:t>
      </w:r>
      <w:r w:rsidRPr="000665B0">
        <w:rPr>
          <w:rFonts w:eastAsia="Arial Unicode MS"/>
        </w:rPr>
        <w:t xml:space="preserve"> </w:t>
      </w:r>
      <w:r w:rsidRPr="000665B0">
        <w:t xml:space="preserve">Deletes the selected TMPR(s). A </w:t>
      </w:r>
      <w:r w:rsidR="009136BE" w:rsidRPr="000665B0">
        <w:t>r</w:t>
      </w:r>
      <w:r w:rsidRPr="000665B0">
        <w:t>eference window will be displayed if the selected TMPRs are referenced by another tool.</w:t>
      </w:r>
    </w:p>
    <w:p w14:paraId="1F09C8D4" w14:textId="480159A3" w:rsidR="000D70ED" w:rsidRPr="000665B0" w:rsidRDefault="000D70ED" w:rsidP="009570CA">
      <w:pPr>
        <w:pStyle w:val="Heading3"/>
      </w:pPr>
      <w:bookmarkStart w:id="5728" w:name="_Toc67401750"/>
      <w:bookmarkStart w:id="5729" w:name="_Toc69208387"/>
      <w:bookmarkStart w:id="5730" w:name="_Toc70071941"/>
      <w:bookmarkStart w:id="5731" w:name="_Toc71012722"/>
      <w:bookmarkStart w:id="5732" w:name="_Toc71809391"/>
      <w:bookmarkStart w:id="5733" w:name="_Toc67401751"/>
      <w:bookmarkStart w:id="5734" w:name="_Toc69208388"/>
      <w:bookmarkStart w:id="5735" w:name="_Toc70071942"/>
      <w:bookmarkStart w:id="5736" w:name="_Toc71012723"/>
      <w:bookmarkStart w:id="5737" w:name="_Toc71809392"/>
      <w:bookmarkStart w:id="5738" w:name="_Toc67401752"/>
      <w:bookmarkStart w:id="5739" w:name="_Toc69208389"/>
      <w:bookmarkStart w:id="5740" w:name="_Toc70071943"/>
      <w:bookmarkStart w:id="5741" w:name="_Toc71012724"/>
      <w:bookmarkStart w:id="5742" w:name="_Toc71809393"/>
      <w:bookmarkStart w:id="5743" w:name="_Toc67401753"/>
      <w:bookmarkStart w:id="5744" w:name="_Toc69208390"/>
      <w:bookmarkStart w:id="5745" w:name="_Toc70071944"/>
      <w:bookmarkStart w:id="5746" w:name="_Toc71012725"/>
      <w:bookmarkStart w:id="5747" w:name="_Toc71809394"/>
      <w:bookmarkStart w:id="5748" w:name="_Toc67401754"/>
      <w:bookmarkStart w:id="5749" w:name="_Toc69208391"/>
      <w:bookmarkStart w:id="5750" w:name="_Toc70071945"/>
      <w:bookmarkStart w:id="5751" w:name="_Toc71012726"/>
      <w:bookmarkStart w:id="5752" w:name="_Toc71809395"/>
      <w:bookmarkStart w:id="5753" w:name="_Toc67401755"/>
      <w:bookmarkStart w:id="5754" w:name="_Toc69208392"/>
      <w:bookmarkStart w:id="5755" w:name="_Toc70071946"/>
      <w:bookmarkStart w:id="5756" w:name="_Toc71012727"/>
      <w:bookmarkStart w:id="5757" w:name="_Toc71809396"/>
      <w:bookmarkStart w:id="5758" w:name="_Toc67401756"/>
      <w:bookmarkStart w:id="5759" w:name="_Toc69208393"/>
      <w:bookmarkStart w:id="5760" w:name="_Toc70071947"/>
      <w:bookmarkStart w:id="5761" w:name="_Toc71012728"/>
      <w:bookmarkStart w:id="5762" w:name="_Toc71809397"/>
      <w:bookmarkStart w:id="5763" w:name="_Toc67401757"/>
      <w:bookmarkStart w:id="5764" w:name="_Toc69208394"/>
      <w:bookmarkStart w:id="5765" w:name="_Toc70071948"/>
      <w:bookmarkStart w:id="5766" w:name="_Toc71012729"/>
      <w:bookmarkStart w:id="5767" w:name="_Toc71809398"/>
      <w:bookmarkStart w:id="5768" w:name="_Toc67401758"/>
      <w:bookmarkStart w:id="5769" w:name="_Toc69208395"/>
      <w:bookmarkStart w:id="5770" w:name="_Toc70071949"/>
      <w:bookmarkStart w:id="5771" w:name="_Toc71012730"/>
      <w:bookmarkStart w:id="5772" w:name="_Toc71809399"/>
      <w:bookmarkStart w:id="5773" w:name="_Toc67401759"/>
      <w:bookmarkStart w:id="5774" w:name="_Toc69208396"/>
      <w:bookmarkStart w:id="5775" w:name="_Toc70071950"/>
      <w:bookmarkStart w:id="5776" w:name="_Toc71012731"/>
      <w:bookmarkStart w:id="5777" w:name="_Toc71809400"/>
      <w:bookmarkStart w:id="5778" w:name="_Toc67401760"/>
      <w:bookmarkStart w:id="5779" w:name="_Toc69208397"/>
      <w:bookmarkStart w:id="5780" w:name="_Toc70071951"/>
      <w:bookmarkStart w:id="5781" w:name="_Toc71012732"/>
      <w:bookmarkStart w:id="5782" w:name="_Toc71809401"/>
      <w:bookmarkStart w:id="5783" w:name="_Toc67401761"/>
      <w:bookmarkStart w:id="5784" w:name="_Toc69208398"/>
      <w:bookmarkStart w:id="5785" w:name="_Toc70071952"/>
      <w:bookmarkStart w:id="5786" w:name="_Toc71012733"/>
      <w:bookmarkStart w:id="5787" w:name="_Toc71809402"/>
      <w:bookmarkStart w:id="5788" w:name="_Toc67401762"/>
      <w:bookmarkStart w:id="5789" w:name="_Toc69208399"/>
      <w:bookmarkStart w:id="5790" w:name="_Toc70071953"/>
      <w:bookmarkStart w:id="5791" w:name="_Toc71012734"/>
      <w:bookmarkStart w:id="5792" w:name="_Toc71809403"/>
      <w:bookmarkStart w:id="5793" w:name="_Toc67401763"/>
      <w:bookmarkStart w:id="5794" w:name="_Toc69208400"/>
      <w:bookmarkStart w:id="5795" w:name="_Toc70071954"/>
      <w:bookmarkStart w:id="5796" w:name="_Toc71012735"/>
      <w:bookmarkStart w:id="5797" w:name="_Toc71809404"/>
      <w:bookmarkStart w:id="5798" w:name="_Toc67401764"/>
      <w:bookmarkStart w:id="5799" w:name="_Toc69208401"/>
      <w:bookmarkStart w:id="5800" w:name="_Toc70071955"/>
      <w:bookmarkStart w:id="5801" w:name="_Toc71012736"/>
      <w:bookmarkStart w:id="5802" w:name="_Toc71809405"/>
      <w:bookmarkStart w:id="5803" w:name="_Toc100461726"/>
      <w:bookmarkStart w:id="5804" w:name="_Toc112733704"/>
      <w:bookmarkStart w:id="5805" w:name="_Toc194984784"/>
      <w:bookmarkStart w:id="5806" w:name="_Toc289328791"/>
      <w:bookmarkStart w:id="5807" w:name="_Toc312332036"/>
      <w:bookmarkStart w:id="5808" w:name="_Toc214283498"/>
      <w:bookmarkStart w:id="5809" w:name="_Hlk69482246"/>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r w:rsidRPr="000665B0">
        <w:t>Create TMPR (Create Mission)</w:t>
      </w:r>
      <w:bookmarkEnd w:id="5803"/>
      <w:bookmarkEnd w:id="5804"/>
      <w:bookmarkEnd w:id="5805"/>
      <w:bookmarkEnd w:id="5806"/>
      <w:bookmarkEnd w:id="5807"/>
      <w:bookmarkEnd w:id="5808"/>
    </w:p>
    <w:p w14:paraId="556A1DDE" w14:textId="0DEE8EDF" w:rsidR="00260DEF" w:rsidRPr="000665B0" w:rsidRDefault="00260DEF" w:rsidP="009570CA">
      <w:bookmarkStart w:id="5810" w:name="_Toc100461727"/>
      <w:bookmarkStart w:id="5811" w:name="_Toc112733705"/>
      <w:r w:rsidRPr="000665B0">
        <w:t xml:space="preserve">The Create TMPR, also referred to as “Create Mission,” includes all of the information necessary to create a new mission. Upon completion of the mission planning process, the operator forwards the resultant mission(s) to all appropriate FRUs and </w:t>
      </w:r>
      <w:r w:rsidR="00D56649" w:rsidRPr="000665B0">
        <w:t xml:space="preserve">Standalone MDS </w:t>
      </w:r>
      <w:r w:rsidRPr="000665B0">
        <w:t>Nodes.</w:t>
      </w:r>
    </w:p>
    <w:p w14:paraId="6308B7F8" w14:textId="77777777" w:rsidR="00260DEF" w:rsidRPr="000665B0" w:rsidRDefault="00260DEF" w:rsidP="009570CA">
      <w:r w:rsidRPr="000665B0">
        <w:t>To create a TMPR:</w:t>
      </w:r>
    </w:p>
    <w:p w14:paraId="60869BA1" w14:textId="77777777" w:rsidR="00260DEF" w:rsidRPr="000665B0" w:rsidRDefault="00260DEF" w:rsidP="006D5A65">
      <w:pPr>
        <w:pStyle w:val="Heading2"/>
      </w:pPr>
      <w:r w:rsidRPr="000665B0">
        <w:t>Navigate to the TMPRs Tool.</w:t>
      </w:r>
    </w:p>
    <w:p w14:paraId="45CE15A6" w14:textId="6134C0B3" w:rsidR="00260DEF" w:rsidRDefault="00260DEF" w:rsidP="006D5A65">
      <w:pPr>
        <w:pStyle w:val="Heading1"/>
      </w:pPr>
      <w:r w:rsidRPr="000665B0">
        <w:t xml:space="preserve">From the File menu select New </w:t>
      </w:r>
      <w:r w:rsidRPr="000665B0">
        <w:rPr>
          <w:rFonts w:cs="Arial"/>
          <w:sz w:val="20"/>
        </w:rPr>
        <w:t>►</w:t>
      </w:r>
      <w:r w:rsidRPr="000665B0">
        <w:t xml:space="preserve"> Create TMPR</w:t>
      </w:r>
      <w:r w:rsidR="002D123F" w:rsidRPr="000665B0">
        <w:t>… or</w:t>
      </w:r>
      <w:r w:rsidR="00DB0CDF" w:rsidRPr="000665B0">
        <w:t xml:space="preserve"> click</w:t>
      </w:r>
      <w:r w:rsidRPr="000665B0">
        <w:t xml:space="preserve"> the </w:t>
      </w:r>
      <w:r w:rsidRPr="000665B0">
        <w:sym w:font="Wingdings 3" w:char="F082"/>
      </w:r>
      <w:r w:rsidRPr="000665B0">
        <w:t xml:space="preserve"> button next to the New </w:t>
      </w:r>
      <w:r w:rsidRPr="000665B0">
        <w:rPr>
          <w:noProof/>
        </w:rPr>
        <w:drawing>
          <wp:inline distT="0" distB="0" distL="0" distR="0" wp14:anchorId="62238DB6" wp14:editId="46FA488D">
            <wp:extent cx="152400" cy="152400"/>
            <wp:effectExtent l="0" t="0" r="0" b="0"/>
            <wp:docPr id="269" name="Picture 269"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new 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r w:rsidR="00DB0CDF" w:rsidRPr="000665B0">
        <w:t xml:space="preserve"> and</w:t>
      </w:r>
      <w:r w:rsidRPr="000665B0">
        <w:t xml:space="preserve"> select Create TMPR</w:t>
      </w:r>
      <w:r w:rsidR="007C235A" w:rsidRPr="000665B0">
        <w:t>…</w:t>
      </w:r>
      <w:r w:rsidR="007C235A" w:rsidRPr="000665B0">
        <w:rPr>
          <w:szCs w:val="24"/>
        </w:rPr>
        <w:t xml:space="preserve"> or</w:t>
      </w:r>
      <w:r w:rsidR="00DB0CDF" w:rsidRPr="000665B0">
        <w:rPr>
          <w:szCs w:val="24"/>
        </w:rPr>
        <w:t xml:space="preserve"> </w:t>
      </w:r>
      <w:r w:rsidR="00DB0CDF" w:rsidRPr="000665B0">
        <w:rPr>
          <w:noProof/>
          <w:szCs w:val="24"/>
        </w:rPr>
        <w:t xml:space="preserve">invoke the context menu (right-click the </w:t>
      </w:r>
      <w:r w:rsidR="00DB0CDF" w:rsidRPr="000665B0">
        <w:rPr>
          <w:noProof/>
          <w:szCs w:val="24"/>
        </w:rPr>
        <w:lastRenderedPageBreak/>
        <w:t xml:space="preserve">mouse) and select New </w:t>
      </w:r>
      <w:r w:rsidR="00DB0CDF" w:rsidRPr="000665B0">
        <w:rPr>
          <w:rFonts w:cs="Arial"/>
          <w:sz w:val="20"/>
        </w:rPr>
        <w:t>►</w:t>
      </w:r>
      <w:r w:rsidR="00DB0CDF" w:rsidRPr="000665B0">
        <w:t xml:space="preserve"> Create TMPR</w:t>
      </w:r>
      <w:r w:rsidR="00DB0CDF" w:rsidRPr="000665B0">
        <w:rPr>
          <w:noProof/>
          <w:szCs w:val="24"/>
        </w:rPr>
        <w:t>…</w:t>
      </w:r>
      <w:r w:rsidRPr="000665B0">
        <w:t xml:space="preserve">. A new </w:t>
      </w:r>
      <w:r w:rsidRPr="000665B0">
        <w:rPr>
          <w:i/>
        </w:rPr>
        <w:t>TMPR</w:t>
      </w:r>
      <w:r w:rsidRPr="000665B0">
        <w:t xml:space="preserve"> window is displayed.</w:t>
      </w:r>
      <w:r w:rsidR="009651B0">
        <w:t xml:space="preserve"> </w:t>
      </w:r>
      <w:r w:rsidR="009651B0">
        <w:rPr>
          <w:noProof/>
        </w:rPr>
        <w:t xml:space="preserve"> </w:t>
      </w:r>
    </w:p>
    <w:p w14:paraId="49C98DB3" w14:textId="59F57FC6" w:rsidR="008E0611" w:rsidRPr="000665B0" w:rsidRDefault="00241FB3" w:rsidP="009570CA">
      <w:pPr>
        <w:jc w:val="center"/>
      </w:pPr>
      <w:r>
        <w:rPr>
          <w:noProof/>
        </w:rPr>
        <w:drawing>
          <wp:inline distT="0" distB="0" distL="0" distR="0" wp14:anchorId="4843E943" wp14:editId="79CBA792">
            <wp:extent cx="3002280" cy="2594278"/>
            <wp:effectExtent l="0" t="0" r="0" b="0"/>
            <wp:docPr id="4526170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3009697" cy="2600687"/>
                    </a:xfrm>
                    <a:prstGeom prst="rect">
                      <a:avLst/>
                    </a:prstGeom>
                    <a:noFill/>
                    <a:ln>
                      <a:noFill/>
                    </a:ln>
                  </pic:spPr>
                </pic:pic>
              </a:graphicData>
            </a:graphic>
          </wp:inline>
        </w:drawing>
      </w:r>
    </w:p>
    <w:p w14:paraId="0E216BEE" w14:textId="73C6A212" w:rsidR="00260DEF" w:rsidRPr="000665B0" w:rsidRDefault="00260DEF" w:rsidP="006D5A65">
      <w:pPr>
        <w:pStyle w:val="Heading1"/>
      </w:pPr>
      <w:r w:rsidRPr="000665B0">
        <w:t xml:space="preserve">If it is required to change the classification of the TMPR, click the </w:t>
      </w:r>
      <w:r w:rsidRPr="000665B0">
        <w:rPr>
          <w:bCs/>
        </w:rPr>
        <w:t>EDIT</w:t>
      </w:r>
      <w:r w:rsidRPr="000665B0">
        <w:t xml:space="preserve"> button and select the classification from the drop-down menu of the </w:t>
      </w:r>
      <w:r w:rsidRPr="000665B0">
        <w:rPr>
          <w:i/>
        </w:rPr>
        <w:t>Edit Classification</w:t>
      </w:r>
      <w:r w:rsidRPr="000665B0">
        <w:t xml:space="preserve"> window. For information on editing the classification see </w:t>
      </w:r>
      <w:hyperlink w:anchor="_5.2.7__Edit" w:history="1">
        <w:r w:rsidRPr="000665B0">
          <w:rPr>
            <w:color w:val="0000FF"/>
            <w:u w:val="single"/>
          </w:rPr>
          <w:t>Section 5.2.7</w:t>
        </w:r>
      </w:hyperlink>
      <w:r w:rsidRPr="000665B0">
        <w:t>.</w:t>
      </w:r>
    </w:p>
    <w:p w14:paraId="33364F25" w14:textId="2D3A3965" w:rsidR="00260DEF" w:rsidRPr="000665B0" w:rsidRDefault="00260DEF" w:rsidP="006D5A65">
      <w:pPr>
        <w:pStyle w:val="Heading1"/>
      </w:pPr>
      <w:r w:rsidRPr="000665B0">
        <w:t xml:space="preserve">Click on the </w:t>
      </w:r>
      <w:r w:rsidRPr="000665B0">
        <w:rPr>
          <w:i/>
        </w:rPr>
        <w:t xml:space="preserve">General Information </w:t>
      </w:r>
      <w:r w:rsidRPr="000665B0">
        <w:t xml:space="preserve">tab and enter in the required data. See </w:t>
      </w:r>
      <w:hyperlink w:anchor="_5.35.1.1__Create" w:history="1">
        <w:r w:rsidRPr="000665B0">
          <w:rPr>
            <w:color w:val="0000FF"/>
            <w:u w:val="single"/>
          </w:rPr>
          <w:t xml:space="preserve">Section </w:t>
        </w:r>
        <w:r w:rsidR="004231CC">
          <w:rPr>
            <w:color w:val="0000FF"/>
            <w:u w:val="single"/>
          </w:rPr>
          <w:t>5.31</w:t>
        </w:r>
        <w:r w:rsidRPr="000665B0">
          <w:rPr>
            <w:color w:val="0000FF"/>
            <w:u w:val="single"/>
          </w:rPr>
          <w:t>.1.1</w:t>
        </w:r>
      </w:hyperlink>
      <w:r w:rsidRPr="000665B0">
        <w:t>.</w:t>
      </w:r>
    </w:p>
    <w:p w14:paraId="4587156F" w14:textId="1F6BB801" w:rsidR="00260DEF" w:rsidRPr="000665B0" w:rsidRDefault="00260DEF" w:rsidP="006D5A65">
      <w:pPr>
        <w:pStyle w:val="Heading1"/>
      </w:pPr>
      <w:r w:rsidRPr="000665B0">
        <w:t xml:space="preserve">Click on the </w:t>
      </w:r>
      <w:r w:rsidRPr="000665B0">
        <w:rPr>
          <w:i/>
        </w:rPr>
        <w:t>Advanced</w:t>
      </w:r>
      <w:r w:rsidRPr="000665B0">
        <w:t xml:space="preserve"> tab to enter more information. See </w:t>
      </w:r>
      <w:hyperlink w:anchor="_5.35.1.2__Create_1" w:history="1">
        <w:r w:rsidRPr="000665B0">
          <w:rPr>
            <w:color w:val="0000FF"/>
            <w:u w:val="single"/>
          </w:rPr>
          <w:t xml:space="preserve">Section </w:t>
        </w:r>
        <w:r w:rsidR="004231CC">
          <w:rPr>
            <w:color w:val="0000FF"/>
            <w:u w:val="single"/>
          </w:rPr>
          <w:t>5.31</w:t>
        </w:r>
        <w:r w:rsidRPr="000665B0">
          <w:rPr>
            <w:color w:val="0000FF"/>
            <w:u w:val="single"/>
          </w:rPr>
          <w:t>.1.2</w:t>
        </w:r>
      </w:hyperlink>
      <w:r w:rsidRPr="000665B0">
        <w:t>.</w:t>
      </w:r>
    </w:p>
    <w:p w14:paraId="6A4E18BD" w14:textId="77777777" w:rsidR="00260DEF" w:rsidRPr="000665B0" w:rsidRDefault="00260DEF" w:rsidP="006D5A65">
      <w:pPr>
        <w:pStyle w:val="Heading1"/>
      </w:pPr>
      <w:bookmarkStart w:id="5812" w:name="_5.35.1.1__TMPR_General_Information"/>
      <w:bookmarkEnd w:id="5812"/>
      <w:r w:rsidRPr="000665B0">
        <w:t xml:space="preserve">Click on the Save </w:t>
      </w:r>
      <w:r w:rsidRPr="000665B0">
        <w:rPr>
          <w:rFonts w:ascii="Wingdings" w:hAnsi="Wingdings"/>
        </w:rPr>
        <w:t></w:t>
      </w:r>
      <w:r w:rsidRPr="000665B0">
        <w:t xml:space="preserve"> icon to save the changes or select the </w:t>
      </w:r>
      <w:r w:rsidRPr="000665B0">
        <w:rPr>
          <w:bCs/>
        </w:rPr>
        <w:t>Save</w:t>
      </w:r>
      <w:r w:rsidRPr="000665B0">
        <w:t xml:space="preserve"> option from the </w:t>
      </w:r>
      <w:r w:rsidRPr="000665B0">
        <w:rPr>
          <w:bCs/>
        </w:rPr>
        <w:t>File</w:t>
      </w:r>
      <w:r w:rsidRPr="000665B0">
        <w:t xml:space="preserve"> pull down menu. </w:t>
      </w:r>
    </w:p>
    <w:p w14:paraId="51180D8F" w14:textId="566CFDBE" w:rsidR="00260DEF" w:rsidRPr="000665B0" w:rsidRDefault="00260DEF" w:rsidP="006D5A65">
      <w:pPr>
        <w:pStyle w:val="Heading1"/>
      </w:pPr>
      <w:r w:rsidRPr="000665B0">
        <w:t xml:space="preserve">If the Own Node has a collocated TPS, then the Submit tool button </w:t>
      </w:r>
      <w:r w:rsidRPr="000665B0">
        <w:rPr>
          <w:noProof/>
        </w:rPr>
        <w:drawing>
          <wp:inline distT="0" distB="0" distL="0" distR="0" wp14:anchorId="1531B7FC" wp14:editId="3B0EF197">
            <wp:extent cx="180975" cy="161925"/>
            <wp:effectExtent l="0" t="0" r="9525" b="95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0975" cy="161925"/>
                    </a:xfrm>
                    <a:prstGeom prst="rect">
                      <a:avLst/>
                    </a:prstGeom>
                    <a:noFill/>
                    <a:ln>
                      <a:noFill/>
                    </a:ln>
                  </pic:spPr>
                </pic:pic>
              </a:graphicData>
            </a:graphic>
          </wp:inline>
        </w:drawing>
      </w:r>
      <w:r w:rsidRPr="000665B0">
        <w:t xml:space="preserve"> </w:t>
      </w:r>
      <w:r w:rsidR="00327ACD" w:rsidRPr="000665B0">
        <w:t>is</w:t>
      </w:r>
      <w:r w:rsidRPr="000665B0">
        <w:t xml:space="preserve"> enabled after saving a TMPR. Selecting this changes the state of the TMPR to “Submitted</w:t>
      </w:r>
      <w:r w:rsidR="0034019D" w:rsidRPr="000665B0">
        <w:t>.</w:t>
      </w:r>
      <w:r w:rsidRPr="000665B0">
        <w:t xml:space="preserve">” The collocated TPS or Embedded TPS </w:t>
      </w:r>
      <w:r w:rsidR="00327ACD" w:rsidRPr="000665B0">
        <w:t>is</w:t>
      </w:r>
      <w:r w:rsidRPr="000665B0">
        <w:t xml:space="preserve"> notified of the TMPR state change. (See </w:t>
      </w:r>
      <w:hyperlink w:anchor="_5.35.8__Checking" w:history="1">
        <w:r w:rsidR="007903C7" w:rsidRPr="000665B0">
          <w:rPr>
            <w:color w:val="0000FF"/>
            <w:u w:val="single"/>
          </w:rPr>
          <w:t xml:space="preserve">Section </w:t>
        </w:r>
        <w:r w:rsidR="004231CC">
          <w:rPr>
            <w:color w:val="0000FF"/>
            <w:u w:val="single"/>
          </w:rPr>
          <w:t>5.31</w:t>
        </w:r>
        <w:r w:rsidR="007903C7" w:rsidRPr="000665B0">
          <w:rPr>
            <w:color w:val="0000FF"/>
            <w:u w:val="single"/>
          </w:rPr>
          <w:t>.9</w:t>
        </w:r>
      </w:hyperlink>
      <w:r w:rsidRPr="000665B0">
        <w:t>.)</w:t>
      </w:r>
    </w:p>
    <w:p w14:paraId="22CD0D4E" w14:textId="3441ED39" w:rsidR="000D70ED" w:rsidRPr="000665B0" w:rsidRDefault="00260DEF" w:rsidP="009570CA">
      <w:pPr>
        <w:pStyle w:val="Normal1"/>
        <w:spacing w:before="0" w:beforeAutospacing="0" w:after="0" w:afterAutospacing="0"/>
      </w:pPr>
      <w:r w:rsidRPr="000665B0">
        <w:rPr>
          <w:szCs w:val="20"/>
        </w:rPr>
        <w:t xml:space="preserve">In addition to viewing/editing information for the TMPR and </w:t>
      </w:r>
      <w:r w:rsidRPr="000665B0">
        <w:rPr>
          <w:b/>
          <w:szCs w:val="20"/>
        </w:rPr>
        <w:t>Submit to TPS</w:t>
      </w:r>
      <w:r w:rsidRPr="000665B0">
        <w:rPr>
          <w:szCs w:val="20"/>
        </w:rPr>
        <w:t xml:space="preserve">, the user can also </w:t>
      </w:r>
      <w:r w:rsidRPr="000665B0">
        <w:rPr>
          <w:b/>
          <w:szCs w:val="20"/>
        </w:rPr>
        <w:t>Display</w:t>
      </w:r>
      <w:r w:rsidRPr="000665B0">
        <w:rPr>
          <w:szCs w:val="20"/>
        </w:rPr>
        <w:t xml:space="preserve"> (</w:t>
      </w:r>
      <w:r w:rsidRPr="000665B0">
        <w:rPr>
          <w:b/>
          <w:szCs w:val="20"/>
        </w:rPr>
        <w:t>Geographically</w:t>
      </w:r>
      <w:r w:rsidRPr="000665B0">
        <w:rPr>
          <w:szCs w:val="20"/>
        </w:rPr>
        <w:t xml:space="preserve">), </w:t>
      </w:r>
      <w:r w:rsidRPr="000665B0">
        <w:rPr>
          <w:b/>
          <w:szCs w:val="20"/>
        </w:rPr>
        <w:t>Send</w:t>
      </w:r>
      <w:r w:rsidRPr="000665B0">
        <w:rPr>
          <w:szCs w:val="20"/>
        </w:rPr>
        <w:t xml:space="preserve"> the TMPR as a DDO, view the </w:t>
      </w:r>
      <w:r w:rsidRPr="000665B0">
        <w:rPr>
          <w:b/>
          <w:szCs w:val="20"/>
        </w:rPr>
        <w:t>Print Preview</w:t>
      </w:r>
      <w:r w:rsidRPr="000665B0">
        <w:rPr>
          <w:szCs w:val="20"/>
        </w:rPr>
        <w:t xml:space="preserve">, as well as </w:t>
      </w:r>
      <w:r w:rsidRPr="000665B0">
        <w:rPr>
          <w:b/>
          <w:szCs w:val="20"/>
        </w:rPr>
        <w:t>Print</w:t>
      </w:r>
      <w:r w:rsidRPr="000665B0">
        <w:rPr>
          <w:szCs w:val="20"/>
        </w:rPr>
        <w:t xml:space="preserve"> the TMPR information. See </w:t>
      </w:r>
      <w:hyperlink w:anchor="_5.2__COMMON_2" w:history="1">
        <w:r w:rsidRPr="000665B0">
          <w:rPr>
            <w:color w:val="0000FF"/>
            <w:szCs w:val="20"/>
            <w:u w:val="single"/>
          </w:rPr>
          <w:t>Section 5.2</w:t>
        </w:r>
      </w:hyperlink>
      <w:r w:rsidRPr="000665B0">
        <w:rPr>
          <w:szCs w:val="20"/>
        </w:rPr>
        <w:t xml:space="preserve"> for information on how to perform those </w:t>
      </w:r>
      <w:r w:rsidR="002D123F" w:rsidRPr="000665B0">
        <w:rPr>
          <w:szCs w:val="20"/>
        </w:rPr>
        <w:t>features.</w:t>
      </w:r>
    </w:p>
    <w:p w14:paraId="2F842175" w14:textId="3A503D98" w:rsidR="000D70ED" w:rsidRPr="000665B0" w:rsidRDefault="000D70ED" w:rsidP="009570CA">
      <w:pPr>
        <w:pStyle w:val="Heading4"/>
      </w:pPr>
      <w:bookmarkStart w:id="5813" w:name="_5.35.2.1__TMPR"/>
      <w:bookmarkStart w:id="5814" w:name="_5.35.1.1_Create_TMPR"/>
      <w:bookmarkStart w:id="5815" w:name="_5.35.1.1__Create"/>
      <w:bookmarkStart w:id="5816" w:name="_Toc194984785"/>
      <w:bookmarkStart w:id="5817" w:name="_Toc289328792"/>
      <w:bookmarkStart w:id="5818" w:name="_Hlk66805957"/>
      <w:bookmarkEnd w:id="5813"/>
      <w:bookmarkEnd w:id="5814"/>
      <w:bookmarkEnd w:id="5815"/>
      <w:r w:rsidRPr="000665B0">
        <w:t>Create TMPR General Information</w:t>
      </w:r>
      <w:bookmarkEnd w:id="5816"/>
      <w:bookmarkEnd w:id="5817"/>
      <w:r w:rsidR="001D6307" w:rsidRPr="000665B0">
        <w:t xml:space="preserve"> Tab</w:t>
      </w:r>
    </w:p>
    <w:p w14:paraId="72126168" w14:textId="7D8F3674" w:rsidR="001C7EF0" w:rsidRDefault="001C7EF0" w:rsidP="00B07C11">
      <w:r w:rsidRPr="000665B0">
        <w:t xml:space="preserve">The </w:t>
      </w:r>
      <w:r w:rsidRPr="000665B0">
        <w:rPr>
          <w:b/>
          <w:i/>
        </w:rPr>
        <w:t>General Information</w:t>
      </w:r>
      <w:r w:rsidRPr="000665B0">
        <w:t xml:space="preserve"> tab contains the basic information that may be filled out for a TMPR.</w:t>
      </w:r>
    </w:p>
    <w:p w14:paraId="33623B79" w14:textId="20560EF0" w:rsidR="008E0611" w:rsidRPr="000665B0" w:rsidRDefault="00241FB3" w:rsidP="009570CA">
      <w:pPr>
        <w:jc w:val="center"/>
      </w:pPr>
      <w:r>
        <w:rPr>
          <w:noProof/>
        </w:rPr>
        <w:lastRenderedPageBreak/>
        <w:drawing>
          <wp:inline distT="0" distB="0" distL="0" distR="0" wp14:anchorId="21D9D3EE" wp14:editId="12C3BA38">
            <wp:extent cx="3077622" cy="2659380"/>
            <wp:effectExtent l="0" t="0" r="0" b="0"/>
            <wp:docPr id="621762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3088237" cy="2668553"/>
                    </a:xfrm>
                    <a:prstGeom prst="rect">
                      <a:avLst/>
                    </a:prstGeom>
                    <a:noFill/>
                    <a:ln>
                      <a:noFill/>
                    </a:ln>
                  </pic:spPr>
                </pic:pic>
              </a:graphicData>
            </a:graphic>
          </wp:inline>
        </w:drawing>
      </w:r>
    </w:p>
    <w:p w14:paraId="462FB84F" w14:textId="77777777" w:rsidR="001C7EF0" w:rsidRPr="000665B0" w:rsidRDefault="001C7EF0" w:rsidP="006D5A65">
      <w:pPr>
        <w:pStyle w:val="Heading1"/>
      </w:pPr>
      <w:r w:rsidRPr="000665B0">
        <w:t>The following information is displayed and cannot be edited:</w:t>
      </w:r>
    </w:p>
    <w:p w14:paraId="2FBE8D56" w14:textId="77777777" w:rsidR="001C7EF0" w:rsidRPr="000665B0" w:rsidRDefault="001C7EF0" w:rsidP="006D5A65">
      <w:pPr>
        <w:pStyle w:val="Heading1"/>
      </w:pPr>
      <w:r w:rsidRPr="000665B0">
        <w:t>TMPR Type – The type of the particular TMPR entry.</w:t>
      </w:r>
    </w:p>
    <w:p w14:paraId="3C40DF87" w14:textId="77777777" w:rsidR="001C7EF0" w:rsidRPr="000665B0" w:rsidRDefault="001C7EF0" w:rsidP="006D5A65">
      <w:pPr>
        <w:pStyle w:val="Heading1"/>
      </w:pPr>
      <w:r w:rsidRPr="000665B0">
        <w:rPr>
          <w:bCs/>
        </w:rPr>
        <w:t>TMPR State</w:t>
      </w:r>
      <w:r w:rsidRPr="000665B0">
        <w:t xml:space="preserve"> – The current state of the request.</w:t>
      </w:r>
    </w:p>
    <w:p w14:paraId="1FCC1C3B" w14:textId="77777777" w:rsidR="00E82DB8" w:rsidRPr="000665B0" w:rsidRDefault="00E82DB8" w:rsidP="006D5A65">
      <w:pPr>
        <w:pStyle w:val="Heading1"/>
      </w:pPr>
      <w:r w:rsidRPr="000665B0">
        <w:t>Creation DTG – The date when the TMPR was created.</w:t>
      </w:r>
    </w:p>
    <w:p w14:paraId="7463C345" w14:textId="77777777" w:rsidR="001C7EF0" w:rsidRPr="000665B0" w:rsidRDefault="001C7EF0" w:rsidP="006D5A65">
      <w:pPr>
        <w:pStyle w:val="Heading1"/>
      </w:pPr>
      <w:r w:rsidRPr="000665B0">
        <w:t xml:space="preserve">Enter or select the following information under the </w:t>
      </w:r>
      <w:r w:rsidRPr="000665B0">
        <w:rPr>
          <w:bCs/>
          <w:i/>
          <w:iCs/>
        </w:rPr>
        <w:t xml:space="preserve">General Information </w:t>
      </w:r>
      <w:r w:rsidRPr="000665B0">
        <w:t>tab:</w:t>
      </w:r>
    </w:p>
    <w:p w14:paraId="324724FB" w14:textId="77777777" w:rsidR="001C7EF0" w:rsidRPr="000665B0" w:rsidRDefault="001C7EF0" w:rsidP="006D5A65">
      <w:pPr>
        <w:pStyle w:val="Heading1"/>
      </w:pPr>
      <w:r w:rsidRPr="000665B0">
        <w:t>Mission Name (optional) – Defines the name of the mission. If it is not specified, TPS automatically generates a mission name for the TMPR.</w:t>
      </w:r>
    </w:p>
    <w:p w14:paraId="6E626ED9" w14:textId="24FCBB39" w:rsidR="001C7EF0" w:rsidRPr="000665B0" w:rsidRDefault="001C7EF0" w:rsidP="006D5A65">
      <w:pPr>
        <w:pStyle w:val="Heading1"/>
      </w:pPr>
      <w:r w:rsidRPr="000665B0">
        <w:rPr>
          <w:bCs/>
          <w:iCs/>
        </w:rPr>
        <w:t>FPPWP</w:t>
      </w:r>
      <w:r w:rsidRPr="000665B0">
        <w:rPr>
          <w:bCs/>
          <w:i/>
          <w:iCs/>
        </w:rPr>
        <w:t xml:space="preserve"> </w:t>
      </w:r>
      <w:r w:rsidRPr="000665B0">
        <w:t>– The starting point of the CMSA/</w:t>
      </w:r>
      <w:r w:rsidR="004F6AE2" w:rsidRPr="000665B0">
        <w:t>TSMPC</w:t>
      </w:r>
      <w:r w:rsidRPr="000665B0">
        <w:t xml:space="preserve"> planned portion of a TLAM mission to which the firing unit’s engagement plan delivers the missile. The </w:t>
      </w:r>
      <w:r w:rsidR="002D123F" w:rsidRPr="000665B0">
        <w:t>pull-down</w:t>
      </w:r>
      <w:r w:rsidRPr="000665B0">
        <w:t xml:space="preserve"> options include the FPPWPs that are in the TED database. (Required if </w:t>
      </w:r>
      <w:r w:rsidR="00303404" w:rsidRPr="000665B0">
        <w:t xml:space="preserve">Expedited </w:t>
      </w:r>
      <w:r w:rsidRPr="000665B0">
        <w:t>Route</w:t>
      </w:r>
      <w:r w:rsidR="00303404" w:rsidRPr="000665B0">
        <w:t xml:space="preserve"> Generation</w:t>
      </w:r>
      <w:r w:rsidRPr="000665B0">
        <w:t xml:space="preserve"> is true, as denoted by the * and/or yellow background </w:t>
      </w:r>
      <w:r w:rsidR="001B1A72" w:rsidRPr="000665B0">
        <w:t>and the</w:t>
      </w:r>
      <w:r w:rsidRPr="000665B0">
        <w:t xml:space="preserve"> user is unable to proceed without updating this field. For further information on mandatory fields see </w:t>
      </w:r>
      <w:hyperlink w:anchor="_5.2.7__Editing" w:history="1">
        <w:r w:rsidRPr="000665B0">
          <w:rPr>
            <w:color w:val="0000FF"/>
            <w:u w:val="single"/>
          </w:rPr>
          <w:t>Section 5.2.8</w:t>
        </w:r>
      </w:hyperlink>
      <w:r w:rsidRPr="000665B0">
        <w:t>.)</w:t>
      </w:r>
      <w:r w:rsidR="00295329" w:rsidRPr="000665B0">
        <w:t xml:space="preserve"> The selected FPPWP is added to the </w:t>
      </w:r>
      <w:r w:rsidR="00295329" w:rsidRPr="000665B0">
        <w:rPr>
          <w:i/>
        </w:rPr>
        <w:t xml:space="preserve">ACMS/Area Constraints </w:t>
      </w:r>
      <w:r w:rsidR="00295329" w:rsidRPr="000665B0">
        <w:t xml:space="preserve">tab of the </w:t>
      </w:r>
      <w:r w:rsidR="00295329" w:rsidRPr="000665B0">
        <w:rPr>
          <w:i/>
        </w:rPr>
        <w:t>Advanced</w:t>
      </w:r>
      <w:r w:rsidR="00295329" w:rsidRPr="000665B0">
        <w:t xml:space="preserve"> tab.</w:t>
      </w:r>
    </w:p>
    <w:p w14:paraId="16C7C144" w14:textId="2EDF1A4B" w:rsidR="002434A0" w:rsidRPr="000665B0" w:rsidRDefault="001C7EF0" w:rsidP="006D5A65">
      <w:pPr>
        <w:pStyle w:val="Heading1"/>
      </w:pPr>
      <w:r w:rsidRPr="000665B0">
        <w:t>Missile</w:t>
      </w:r>
      <w:r w:rsidR="000E114A" w:rsidRPr="000665B0">
        <w:t xml:space="preserve"> </w:t>
      </w:r>
      <w:r w:rsidRPr="000665B0">
        <w:t>– Defines the weapon/missile type</w:t>
      </w:r>
      <w:r w:rsidR="009C515B" w:rsidRPr="000665B0">
        <w:t xml:space="preserve"> (default is 109E)</w:t>
      </w:r>
      <w:r w:rsidRPr="000665B0">
        <w:t xml:space="preserve">. </w:t>
      </w:r>
      <w:r w:rsidR="000559BB" w:rsidRPr="000665B0">
        <w:t xml:space="preserve">The AGR-4 Required checkbox is automatically selected and set to </w:t>
      </w:r>
      <w:r w:rsidR="000559BB" w:rsidRPr="000665B0">
        <w:lastRenderedPageBreak/>
        <w:t>read-only i</w:t>
      </w:r>
      <w:r w:rsidR="005D5231" w:rsidRPr="000665B0">
        <w:t>f missile type MSTM</w:t>
      </w:r>
      <w:r w:rsidR="00924AC4">
        <w:t>, 109E, ACP, 109M, ACP2</w:t>
      </w:r>
      <w:r w:rsidR="005D5231" w:rsidRPr="000665B0">
        <w:t xml:space="preserve"> is selected</w:t>
      </w:r>
      <w:r w:rsidR="002434A0">
        <w:t xml:space="preserve"> or </w:t>
      </w:r>
      <w:r w:rsidR="002434A0" w:rsidRPr="002434A0">
        <w:rPr>
          <w:bCs/>
        </w:rPr>
        <w:t>Ground Launch Required</w:t>
      </w:r>
      <w:r w:rsidR="002434A0">
        <w:t xml:space="preserve"> is checked</w:t>
      </w:r>
      <w:r w:rsidR="002434A0" w:rsidRPr="000665B0">
        <w:t>.</w:t>
      </w:r>
    </w:p>
    <w:p w14:paraId="21E59BD9" w14:textId="77777777" w:rsidR="001C7EF0" w:rsidRPr="000665B0" w:rsidRDefault="001C7EF0" w:rsidP="006D5A65">
      <w:pPr>
        <w:pStyle w:val="Heading1"/>
      </w:pPr>
      <w:r w:rsidRPr="000665B0">
        <w:t>TOT (Time on Target)</w:t>
      </w:r>
      <w:r w:rsidR="00773293" w:rsidRPr="000665B0">
        <w:t xml:space="preserve"> Required</w:t>
      </w:r>
      <w:r w:rsidRPr="000665B0">
        <w:t xml:space="preserve"> – Identifies whether or not a mission is set with TOT control. </w:t>
      </w:r>
    </w:p>
    <w:p w14:paraId="00989639" w14:textId="7BC67DD1" w:rsidR="001C7EF0" w:rsidRPr="000665B0" w:rsidRDefault="001C7EF0" w:rsidP="006D5A65">
      <w:pPr>
        <w:pStyle w:val="Heading1"/>
      </w:pPr>
      <w:r w:rsidRPr="000665B0">
        <w:t>Inert. Alt. Pad (AGL) (optional) – The backup altitude Above Ground Level (AGL) that is used to maintain a minimum offset above the surrounding terrain.</w:t>
      </w:r>
    </w:p>
    <w:p w14:paraId="083C9076" w14:textId="4A12587B" w:rsidR="004E1DD6" w:rsidRDefault="004E1DD6" w:rsidP="006D5A65">
      <w:pPr>
        <w:pStyle w:val="Heading1"/>
      </w:pPr>
      <w:r w:rsidRPr="000665B0">
        <w:t>Select TEFs – Specifies the TEF TMPC Version(s). The current TMPC version is selected</w:t>
      </w:r>
      <w:r w:rsidR="00120592" w:rsidRPr="000665B0">
        <w:t xml:space="preserve"> by default and </w:t>
      </w:r>
      <w:r w:rsidRPr="000665B0">
        <w:t>cannot be edited.</w:t>
      </w:r>
    </w:p>
    <w:p w14:paraId="518112F2" w14:textId="40006A97" w:rsidR="00877D11" w:rsidRDefault="00924AC4" w:rsidP="009570CA">
      <w:pPr>
        <w:jc w:val="center"/>
      </w:pPr>
      <w:r w:rsidRPr="007E7AED">
        <w:rPr>
          <w:noProof/>
        </w:rPr>
        <w:drawing>
          <wp:inline distT="0" distB="0" distL="0" distR="0" wp14:anchorId="1BC25AF8" wp14:editId="0A289305">
            <wp:extent cx="3177540" cy="609600"/>
            <wp:effectExtent l="0" t="0" r="3810" b="0"/>
            <wp:docPr id="1804643044"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3044" name="Picture 1" descr="Text&#10;&#10;AI-generated content may be incorrect."/>
                    <pic:cNvPicPr/>
                  </pic:nvPicPr>
                  <pic:blipFill>
                    <a:blip/>
                    <a:stretch>
                      <a:fillRect/>
                    </a:stretch>
                  </pic:blipFill>
                  <pic:spPr>
                    <a:xfrm>
                      <a:off x="0" y="0"/>
                      <a:ext cx="3177816" cy="609653"/>
                    </a:xfrm>
                    <a:prstGeom prst="rect">
                      <a:avLst/>
                    </a:prstGeom>
                  </pic:spPr>
                </pic:pic>
              </a:graphicData>
            </a:graphic>
          </wp:inline>
        </w:drawing>
      </w:r>
    </w:p>
    <w:p w14:paraId="15F84805" w14:textId="77777777" w:rsidR="00601FE2" w:rsidRPr="004D1C45" w:rsidRDefault="00601FE2" w:rsidP="00601FE2">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BC3B71">
        <w:rPr>
          <w:b/>
          <w:szCs w:val="24"/>
        </w:rPr>
        <w:t>Note:</w:t>
      </w:r>
    </w:p>
    <w:p w14:paraId="70EFA481" w14:textId="5BCCA0E1" w:rsidR="00601FE2" w:rsidRPr="004465AE" w:rsidRDefault="00601FE2" w:rsidP="00601FE2">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4D1C45">
        <w:rPr>
          <w:b/>
        </w:rPr>
        <w:t>When the missile type is 109M</w:t>
      </w:r>
      <w:r w:rsidR="00924AC4">
        <w:rPr>
          <w:b/>
        </w:rPr>
        <w:t xml:space="preserve"> or ACP2,</w:t>
      </w:r>
      <w:r w:rsidRPr="004D1C45">
        <w:rPr>
          <w:b/>
        </w:rPr>
        <w:t xml:space="preserve"> all TEF versions </w:t>
      </w:r>
      <w:r>
        <w:rPr>
          <w:b/>
        </w:rPr>
        <w:t>prior to</w:t>
      </w:r>
      <w:r w:rsidRPr="004D1C45">
        <w:rPr>
          <w:b/>
        </w:rPr>
        <w:t xml:space="preserve"> 8.0.0 will be unchecked and read only.</w:t>
      </w:r>
    </w:p>
    <w:p w14:paraId="78C7B9A2" w14:textId="74D8608B" w:rsidR="00773293" w:rsidRPr="000665B0" w:rsidRDefault="00773293" w:rsidP="006D5A65">
      <w:pPr>
        <w:pStyle w:val="Heading1"/>
      </w:pPr>
      <w:r w:rsidRPr="000665B0">
        <w:t>Analysis Day Type (optional) – Specifies the day type analyzed for a mission. Required if Auto-Gen is true.</w:t>
      </w:r>
    </w:p>
    <w:p w14:paraId="4CE7C018" w14:textId="2C8D00C5" w:rsidR="00A92F7C" w:rsidRPr="000665B0" w:rsidRDefault="00773293" w:rsidP="006D5A65">
      <w:pPr>
        <w:pStyle w:val="Heading1"/>
      </w:pPr>
      <w:r w:rsidRPr="000665B0">
        <w:t>Navigation Mode</w:t>
      </w:r>
      <w:r w:rsidR="00303404" w:rsidRPr="000665B0">
        <w:t xml:space="preserve"> (optional)</w:t>
      </w:r>
      <w:r w:rsidRPr="000665B0">
        <w:t xml:space="preserve"> </w:t>
      </w:r>
      <w:r w:rsidR="00303404" w:rsidRPr="000665B0">
        <w:t xml:space="preserve">– The commanded navigation mode of the missile. </w:t>
      </w:r>
      <w:r w:rsidR="00ED3233" w:rsidRPr="000665B0">
        <w:t>To specify that an Anti-Access/Area Denial (A2AD) capable mission is required select GPS/TERCOM/DSMAC in conjunction with</w:t>
      </w:r>
      <w:r w:rsidR="00601FE2">
        <w:t xml:space="preserve"> a</w:t>
      </w:r>
      <w:r w:rsidR="00ED3233" w:rsidRPr="000665B0">
        <w:t xml:space="preserve"> 109E</w:t>
      </w:r>
      <w:r w:rsidR="00601FE2">
        <w:t>/M</w:t>
      </w:r>
      <w:r w:rsidR="00ED3233" w:rsidRPr="000665B0">
        <w:t xml:space="preserve"> Missile Type. For surface platforms</w:t>
      </w:r>
      <w:r w:rsidR="00303404" w:rsidRPr="000665B0">
        <w:t xml:space="preserve">, GPS Only </w:t>
      </w:r>
      <w:r w:rsidR="00ED3233" w:rsidRPr="000665B0">
        <w:t>is</w:t>
      </w:r>
      <w:r w:rsidR="00303404" w:rsidRPr="000665B0">
        <w:t xml:space="preserve"> the </w:t>
      </w:r>
      <w:r w:rsidR="003B1530" w:rsidRPr="000665B0">
        <w:t>default</w:t>
      </w:r>
      <w:r w:rsidR="00303404" w:rsidRPr="000665B0">
        <w:t xml:space="preserve"> Navigation Mode</w:t>
      </w:r>
      <w:r w:rsidR="00E8029B" w:rsidRPr="000665B0">
        <w:t xml:space="preserve"> and cannot be changed,</w:t>
      </w:r>
      <w:r w:rsidR="00303404" w:rsidRPr="000665B0">
        <w:t xml:space="preserve"> when Auto Generate is selected</w:t>
      </w:r>
      <w:r w:rsidR="00D405EE">
        <w:t xml:space="preserve">. When </w:t>
      </w:r>
      <w:r w:rsidR="00D405EE" w:rsidRPr="00C82EA1">
        <w:rPr>
          <w:bCs/>
        </w:rPr>
        <w:t>Ground Launch Required</w:t>
      </w:r>
      <w:r w:rsidR="00D405EE">
        <w:t xml:space="preserve"> is checked, the option “GPS/TERCOM/DSMAC” will not be available for selection because missions planned for ground launch require “GPS is required” navigation mode at launch</w:t>
      </w:r>
      <w:r w:rsidR="00303404" w:rsidRPr="000665B0">
        <w:t xml:space="preserve">. </w:t>
      </w:r>
    </w:p>
    <w:p w14:paraId="1A927713" w14:textId="77777777" w:rsidR="00A92F7C" w:rsidRPr="000665B0" w:rsidRDefault="00A92F7C" w:rsidP="006D5A65">
      <w:pPr>
        <w:pStyle w:val="Heading1"/>
      </w:pPr>
      <w:r w:rsidRPr="000665B0">
        <w:t>GPS Only – GPS is required.</w:t>
      </w:r>
    </w:p>
    <w:p w14:paraId="7FEECDAB" w14:textId="4B77C297" w:rsidR="00A92F7C" w:rsidRPr="000665B0" w:rsidRDefault="00A92F7C" w:rsidP="006D5A65">
      <w:pPr>
        <w:pStyle w:val="Heading1"/>
      </w:pPr>
      <w:r w:rsidRPr="000665B0">
        <w:t>GPS/DSMAC – GPS is required with DSMAC.</w:t>
      </w:r>
    </w:p>
    <w:p w14:paraId="07551B0D" w14:textId="77777777" w:rsidR="00A92F7C" w:rsidRPr="000665B0" w:rsidRDefault="00A92F7C" w:rsidP="006D5A65">
      <w:pPr>
        <w:pStyle w:val="Heading1"/>
      </w:pPr>
      <w:r w:rsidRPr="000665B0">
        <w:t>GPS/TERCOM/DSMAC – GPS is not required, TERCOM and DSMAC are required.</w:t>
      </w:r>
    </w:p>
    <w:p w14:paraId="4D9F3EFD" w14:textId="77777777" w:rsidR="00A92F7C" w:rsidRPr="000665B0" w:rsidRDefault="00A92F7C" w:rsidP="006D5A65">
      <w:pPr>
        <w:pStyle w:val="Heading1"/>
        <w:rPr>
          <w:rFonts w:cs="Calibri"/>
          <w:szCs w:val="24"/>
        </w:rPr>
      </w:pPr>
      <w:r w:rsidRPr="000665B0">
        <w:t>GPS/DSMAC/TERCOM Backup – GPS is required, TERCOM/DSMAC are not required.</w:t>
      </w:r>
    </w:p>
    <w:p w14:paraId="21296D26" w14:textId="71404207" w:rsidR="00303404" w:rsidRPr="000665B0" w:rsidRDefault="00303404" w:rsidP="009570CA">
      <w:pPr>
        <w:ind w:left="1080"/>
        <w:rPr>
          <w:rFonts w:cs="Calibri"/>
          <w:szCs w:val="24"/>
        </w:rPr>
      </w:pPr>
      <w:r w:rsidRPr="000665B0">
        <w:t xml:space="preserve">The following table defines the Navigation Modes </w:t>
      </w:r>
      <w:r w:rsidR="00732CD8" w:rsidRPr="000665B0">
        <w:t xml:space="preserve">available </w:t>
      </w:r>
      <w:r w:rsidRPr="000665B0">
        <w:t>for each type of platform</w:t>
      </w:r>
      <w:r w:rsidR="00732CD8" w:rsidRPr="000665B0">
        <w:t xml:space="preserve"> when the TMPR is auto generated</w:t>
      </w:r>
      <w:r w:rsidRPr="000665B0">
        <w:t>.</w:t>
      </w:r>
    </w:p>
    <w:tbl>
      <w:tblPr>
        <w:tblW w:w="8165" w:type="dxa"/>
        <w:tblInd w:w="108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410"/>
        <w:gridCol w:w="900"/>
        <w:gridCol w:w="1080"/>
        <w:gridCol w:w="1350"/>
        <w:gridCol w:w="1425"/>
      </w:tblGrid>
      <w:tr w:rsidR="00732CD8" w:rsidRPr="000665B0" w14:paraId="19546678" w14:textId="77777777" w:rsidTr="00C63237">
        <w:trPr>
          <w:cantSplit/>
          <w:tblHeader/>
        </w:trPr>
        <w:tc>
          <w:tcPr>
            <w:tcW w:w="3410" w:type="dxa"/>
            <w:shd w:val="clear" w:color="auto" w:fill="D9D9D9" w:themeFill="background1" w:themeFillShade="D9"/>
            <w:vAlign w:val="bottom"/>
          </w:tcPr>
          <w:p w14:paraId="4D4CFC08" w14:textId="2A5DD6BA" w:rsidR="00732CD8" w:rsidRPr="000665B0" w:rsidRDefault="00273092" w:rsidP="009570CA">
            <w:pPr>
              <w:spacing w:before="40" w:after="40"/>
              <w:jc w:val="center"/>
              <w:rPr>
                <w:rFonts w:ascii="Arial" w:hAnsi="Arial" w:cs="Arial"/>
                <w:b/>
                <w:bCs/>
                <w:sz w:val="22"/>
                <w:szCs w:val="22"/>
              </w:rPr>
            </w:pPr>
            <w:r w:rsidRPr="000665B0">
              <w:rPr>
                <w:rFonts w:ascii="Arial" w:hAnsi="Arial" w:cs="Arial"/>
                <w:b/>
                <w:bCs/>
                <w:sz w:val="22"/>
                <w:szCs w:val="22"/>
              </w:rPr>
              <w:t>Platform/</w:t>
            </w:r>
            <w:r>
              <w:rPr>
                <w:rFonts w:ascii="Arial" w:hAnsi="Arial" w:cs="Arial"/>
                <w:b/>
                <w:bCs/>
                <w:sz w:val="22"/>
                <w:szCs w:val="22"/>
              </w:rPr>
              <w:t>(</w:t>
            </w:r>
            <w:r w:rsidR="00E8029B" w:rsidRPr="000665B0">
              <w:rPr>
                <w:rFonts w:ascii="Arial" w:hAnsi="Arial" w:cs="Arial"/>
                <w:b/>
                <w:bCs/>
                <w:sz w:val="22"/>
                <w:szCs w:val="22"/>
              </w:rPr>
              <w:t>Node</w:t>
            </w:r>
            <w:r>
              <w:rPr>
                <w:rFonts w:ascii="Arial" w:hAnsi="Arial" w:cs="Arial"/>
                <w:b/>
                <w:bCs/>
                <w:sz w:val="22"/>
                <w:szCs w:val="22"/>
              </w:rPr>
              <w:t>)</w:t>
            </w:r>
          </w:p>
        </w:tc>
        <w:tc>
          <w:tcPr>
            <w:tcW w:w="900" w:type="dxa"/>
            <w:shd w:val="clear" w:color="auto" w:fill="D9D9D9" w:themeFill="background1" w:themeFillShade="D9"/>
            <w:vAlign w:val="bottom"/>
          </w:tcPr>
          <w:p w14:paraId="1D6DA5B6" w14:textId="77777777" w:rsidR="00732CD8" w:rsidRPr="000665B0" w:rsidRDefault="00732CD8" w:rsidP="009570CA">
            <w:pPr>
              <w:spacing w:before="40" w:after="40"/>
              <w:jc w:val="center"/>
              <w:rPr>
                <w:rFonts w:ascii="Arial" w:hAnsi="Arial" w:cs="Arial"/>
                <w:b/>
                <w:bCs/>
                <w:sz w:val="22"/>
                <w:szCs w:val="22"/>
              </w:rPr>
            </w:pPr>
            <w:r w:rsidRPr="000665B0">
              <w:rPr>
                <w:rFonts w:ascii="Arial" w:hAnsi="Arial" w:cs="Arial"/>
                <w:b/>
                <w:bCs/>
                <w:sz w:val="22"/>
                <w:szCs w:val="22"/>
              </w:rPr>
              <w:t>GPS Only</w:t>
            </w:r>
          </w:p>
        </w:tc>
        <w:tc>
          <w:tcPr>
            <w:tcW w:w="1080" w:type="dxa"/>
            <w:shd w:val="clear" w:color="auto" w:fill="D9D9D9" w:themeFill="background1" w:themeFillShade="D9"/>
            <w:vAlign w:val="bottom"/>
          </w:tcPr>
          <w:p w14:paraId="127AF2B0" w14:textId="77777777" w:rsidR="00732CD8" w:rsidRPr="000665B0" w:rsidRDefault="00732CD8" w:rsidP="009570CA">
            <w:pPr>
              <w:spacing w:before="40" w:after="40"/>
              <w:jc w:val="center"/>
              <w:rPr>
                <w:rFonts w:ascii="Arial" w:hAnsi="Arial" w:cs="Arial"/>
                <w:b/>
                <w:bCs/>
                <w:sz w:val="22"/>
                <w:szCs w:val="22"/>
              </w:rPr>
            </w:pPr>
            <w:r w:rsidRPr="000665B0">
              <w:rPr>
                <w:rFonts w:ascii="Arial" w:hAnsi="Arial" w:cs="Arial"/>
                <w:b/>
                <w:bCs/>
                <w:sz w:val="22"/>
                <w:szCs w:val="22"/>
              </w:rPr>
              <w:t>GPS/</w:t>
            </w:r>
            <w:r w:rsidRPr="000665B0">
              <w:rPr>
                <w:rFonts w:ascii="Arial" w:hAnsi="Arial" w:cs="Arial"/>
                <w:b/>
                <w:bCs/>
                <w:sz w:val="22"/>
                <w:szCs w:val="22"/>
              </w:rPr>
              <w:br/>
              <w:t>DSMAC</w:t>
            </w:r>
          </w:p>
        </w:tc>
        <w:tc>
          <w:tcPr>
            <w:tcW w:w="1350" w:type="dxa"/>
            <w:shd w:val="clear" w:color="auto" w:fill="D9D9D9" w:themeFill="background1" w:themeFillShade="D9"/>
            <w:vAlign w:val="bottom"/>
          </w:tcPr>
          <w:p w14:paraId="11BD0CED" w14:textId="77777777" w:rsidR="00732CD8" w:rsidRPr="000665B0" w:rsidRDefault="00732CD8" w:rsidP="009570CA">
            <w:pPr>
              <w:spacing w:before="40" w:after="40"/>
              <w:jc w:val="center"/>
              <w:rPr>
                <w:rFonts w:ascii="Arial" w:hAnsi="Arial" w:cs="Arial"/>
                <w:b/>
                <w:bCs/>
                <w:sz w:val="22"/>
                <w:szCs w:val="22"/>
              </w:rPr>
            </w:pPr>
            <w:r w:rsidRPr="000665B0">
              <w:rPr>
                <w:rFonts w:ascii="Arial" w:hAnsi="Arial" w:cs="Arial"/>
                <w:b/>
                <w:bCs/>
                <w:sz w:val="22"/>
                <w:szCs w:val="22"/>
              </w:rPr>
              <w:t>GPS/</w:t>
            </w:r>
            <w:r w:rsidRPr="000665B0">
              <w:rPr>
                <w:rFonts w:ascii="Arial" w:hAnsi="Arial" w:cs="Arial"/>
                <w:b/>
                <w:bCs/>
                <w:sz w:val="22"/>
                <w:szCs w:val="22"/>
              </w:rPr>
              <w:br/>
              <w:t>TERCOM/</w:t>
            </w:r>
            <w:r w:rsidR="003B1530" w:rsidRPr="000665B0">
              <w:rPr>
                <w:rFonts w:ascii="Arial" w:hAnsi="Arial" w:cs="Arial"/>
                <w:b/>
                <w:bCs/>
                <w:sz w:val="22"/>
                <w:szCs w:val="22"/>
              </w:rPr>
              <w:br/>
            </w:r>
            <w:r w:rsidRPr="000665B0">
              <w:rPr>
                <w:rFonts w:ascii="Arial" w:hAnsi="Arial" w:cs="Arial"/>
                <w:b/>
                <w:bCs/>
                <w:sz w:val="22"/>
                <w:szCs w:val="22"/>
              </w:rPr>
              <w:t>DSMAC</w:t>
            </w:r>
          </w:p>
        </w:tc>
        <w:tc>
          <w:tcPr>
            <w:tcW w:w="1425" w:type="dxa"/>
            <w:shd w:val="clear" w:color="auto" w:fill="D9D9D9" w:themeFill="background1" w:themeFillShade="D9"/>
            <w:vAlign w:val="bottom"/>
          </w:tcPr>
          <w:p w14:paraId="1CA5A269" w14:textId="77777777" w:rsidR="00732CD8" w:rsidRPr="000665B0" w:rsidRDefault="00732CD8" w:rsidP="009570CA">
            <w:pPr>
              <w:spacing w:before="40" w:after="40"/>
              <w:jc w:val="center"/>
              <w:rPr>
                <w:rFonts w:ascii="Arial" w:hAnsi="Arial" w:cs="Arial"/>
                <w:b/>
                <w:bCs/>
                <w:sz w:val="22"/>
                <w:szCs w:val="22"/>
              </w:rPr>
            </w:pPr>
            <w:r w:rsidRPr="000665B0">
              <w:rPr>
                <w:rFonts w:ascii="Arial" w:hAnsi="Arial" w:cs="Arial"/>
                <w:b/>
                <w:bCs/>
                <w:sz w:val="22"/>
                <w:szCs w:val="22"/>
              </w:rPr>
              <w:t>GPS/</w:t>
            </w:r>
            <w:r w:rsidRPr="000665B0">
              <w:rPr>
                <w:rFonts w:ascii="Arial" w:hAnsi="Arial" w:cs="Arial"/>
                <w:b/>
                <w:bCs/>
                <w:sz w:val="22"/>
                <w:szCs w:val="22"/>
              </w:rPr>
              <w:br/>
              <w:t>DSMAC/</w:t>
            </w:r>
            <w:r w:rsidRPr="000665B0">
              <w:rPr>
                <w:rFonts w:ascii="Arial" w:hAnsi="Arial" w:cs="Arial"/>
                <w:b/>
                <w:bCs/>
                <w:sz w:val="22"/>
                <w:szCs w:val="22"/>
              </w:rPr>
              <w:br/>
              <w:t>TERCOM Backup</w:t>
            </w:r>
          </w:p>
        </w:tc>
      </w:tr>
      <w:tr w:rsidR="00732CD8" w:rsidRPr="000665B0" w14:paraId="2EAF643E" w14:textId="77777777" w:rsidTr="00732CD8">
        <w:trPr>
          <w:cantSplit/>
        </w:trPr>
        <w:tc>
          <w:tcPr>
            <w:tcW w:w="3410" w:type="dxa"/>
          </w:tcPr>
          <w:p w14:paraId="55EBD8A4" w14:textId="77777777" w:rsidR="00732CD8" w:rsidRPr="000665B0" w:rsidRDefault="00732CD8" w:rsidP="009570CA">
            <w:pPr>
              <w:spacing w:before="40" w:after="40"/>
              <w:jc w:val="center"/>
              <w:rPr>
                <w:rFonts w:ascii="Arial" w:hAnsi="Arial" w:cs="Arial"/>
                <w:sz w:val="20"/>
              </w:rPr>
            </w:pPr>
            <w:r w:rsidRPr="000665B0">
              <w:rPr>
                <w:rFonts w:ascii="Arial" w:hAnsi="Arial" w:cs="Arial"/>
                <w:sz w:val="20"/>
              </w:rPr>
              <w:t>CG</w:t>
            </w:r>
          </w:p>
        </w:tc>
        <w:tc>
          <w:tcPr>
            <w:tcW w:w="900" w:type="dxa"/>
          </w:tcPr>
          <w:p w14:paraId="53E2FD9E" w14:textId="77777777" w:rsidR="00732CD8" w:rsidRPr="000665B0" w:rsidRDefault="003B1530" w:rsidP="009570CA">
            <w:pPr>
              <w:spacing w:before="40" w:after="40"/>
              <w:jc w:val="center"/>
              <w:rPr>
                <w:rFonts w:ascii="Arial" w:hAnsi="Arial" w:cs="Arial"/>
                <w:sz w:val="20"/>
              </w:rPr>
            </w:pPr>
            <w:r w:rsidRPr="000665B0">
              <w:rPr>
                <w:rFonts w:ascii="Arial" w:hAnsi="Arial" w:cs="Arial"/>
                <w:sz w:val="20"/>
              </w:rPr>
              <w:t>X</w:t>
            </w:r>
          </w:p>
        </w:tc>
        <w:tc>
          <w:tcPr>
            <w:tcW w:w="1080" w:type="dxa"/>
          </w:tcPr>
          <w:p w14:paraId="462881C5" w14:textId="77777777" w:rsidR="00732CD8" w:rsidRPr="000665B0" w:rsidRDefault="00732CD8" w:rsidP="009570CA">
            <w:pPr>
              <w:spacing w:before="40" w:after="40"/>
              <w:jc w:val="center"/>
              <w:rPr>
                <w:rFonts w:ascii="Arial" w:hAnsi="Arial" w:cs="Arial"/>
                <w:sz w:val="20"/>
              </w:rPr>
            </w:pPr>
          </w:p>
        </w:tc>
        <w:tc>
          <w:tcPr>
            <w:tcW w:w="1350" w:type="dxa"/>
          </w:tcPr>
          <w:p w14:paraId="1B074793" w14:textId="77777777" w:rsidR="00732CD8" w:rsidRPr="000665B0" w:rsidRDefault="00732CD8" w:rsidP="009570CA">
            <w:pPr>
              <w:spacing w:before="40" w:after="40"/>
              <w:jc w:val="center"/>
              <w:rPr>
                <w:rFonts w:ascii="Arial" w:hAnsi="Arial" w:cs="Arial"/>
                <w:sz w:val="20"/>
              </w:rPr>
            </w:pPr>
          </w:p>
        </w:tc>
        <w:tc>
          <w:tcPr>
            <w:tcW w:w="1425" w:type="dxa"/>
          </w:tcPr>
          <w:p w14:paraId="01518030" w14:textId="77777777" w:rsidR="00732CD8" w:rsidRPr="000665B0" w:rsidRDefault="00732CD8" w:rsidP="009570CA">
            <w:pPr>
              <w:spacing w:before="40" w:after="40"/>
              <w:jc w:val="center"/>
              <w:rPr>
                <w:rFonts w:ascii="Arial" w:hAnsi="Arial" w:cs="Arial"/>
                <w:sz w:val="20"/>
              </w:rPr>
            </w:pPr>
          </w:p>
        </w:tc>
      </w:tr>
      <w:tr w:rsidR="003B1530" w:rsidRPr="000665B0" w14:paraId="6DA403AE" w14:textId="77777777" w:rsidTr="00732CD8">
        <w:trPr>
          <w:cantSplit/>
        </w:trPr>
        <w:tc>
          <w:tcPr>
            <w:tcW w:w="3410" w:type="dxa"/>
          </w:tcPr>
          <w:p w14:paraId="19A557D9" w14:textId="77777777" w:rsidR="003B1530" w:rsidRPr="000665B0" w:rsidRDefault="003B1530" w:rsidP="009570CA">
            <w:pPr>
              <w:spacing w:before="40" w:after="40"/>
              <w:jc w:val="center"/>
              <w:rPr>
                <w:rFonts w:ascii="Arial" w:hAnsi="Arial" w:cs="Arial"/>
                <w:sz w:val="20"/>
              </w:rPr>
            </w:pPr>
            <w:r w:rsidRPr="000665B0">
              <w:rPr>
                <w:rFonts w:ascii="Arial" w:hAnsi="Arial" w:cs="Arial"/>
                <w:sz w:val="20"/>
              </w:rPr>
              <w:t>DDG</w:t>
            </w:r>
          </w:p>
        </w:tc>
        <w:tc>
          <w:tcPr>
            <w:tcW w:w="900" w:type="dxa"/>
          </w:tcPr>
          <w:p w14:paraId="7727DD15" w14:textId="77777777" w:rsidR="003B1530" w:rsidRPr="000665B0" w:rsidRDefault="003B1530" w:rsidP="009570CA">
            <w:pPr>
              <w:spacing w:before="40" w:after="40"/>
              <w:jc w:val="center"/>
              <w:rPr>
                <w:rFonts w:ascii="Arial" w:hAnsi="Arial" w:cs="Arial"/>
                <w:sz w:val="20"/>
              </w:rPr>
            </w:pPr>
            <w:r w:rsidRPr="000665B0">
              <w:rPr>
                <w:rFonts w:ascii="Arial" w:hAnsi="Arial" w:cs="Arial"/>
                <w:sz w:val="20"/>
              </w:rPr>
              <w:t>X</w:t>
            </w:r>
          </w:p>
        </w:tc>
        <w:tc>
          <w:tcPr>
            <w:tcW w:w="1080" w:type="dxa"/>
          </w:tcPr>
          <w:p w14:paraId="4F596E7E" w14:textId="77777777" w:rsidR="003B1530" w:rsidRPr="000665B0" w:rsidRDefault="003B1530" w:rsidP="009570CA">
            <w:pPr>
              <w:spacing w:before="40" w:after="40"/>
              <w:jc w:val="center"/>
              <w:rPr>
                <w:rFonts w:ascii="Arial" w:hAnsi="Arial" w:cs="Arial"/>
                <w:sz w:val="20"/>
              </w:rPr>
            </w:pPr>
          </w:p>
        </w:tc>
        <w:tc>
          <w:tcPr>
            <w:tcW w:w="1350" w:type="dxa"/>
          </w:tcPr>
          <w:p w14:paraId="34F0C3BF" w14:textId="77777777" w:rsidR="003B1530" w:rsidRPr="000665B0" w:rsidRDefault="003B1530" w:rsidP="009570CA">
            <w:pPr>
              <w:spacing w:before="40" w:after="40"/>
              <w:jc w:val="center"/>
              <w:rPr>
                <w:rFonts w:ascii="Arial" w:hAnsi="Arial" w:cs="Arial"/>
                <w:sz w:val="20"/>
              </w:rPr>
            </w:pPr>
          </w:p>
        </w:tc>
        <w:tc>
          <w:tcPr>
            <w:tcW w:w="1425" w:type="dxa"/>
          </w:tcPr>
          <w:p w14:paraId="1392466A" w14:textId="77777777" w:rsidR="003B1530" w:rsidRPr="000665B0" w:rsidRDefault="003B1530" w:rsidP="009570CA">
            <w:pPr>
              <w:spacing w:before="40" w:after="40"/>
              <w:jc w:val="center"/>
              <w:rPr>
                <w:rFonts w:ascii="Arial" w:hAnsi="Arial" w:cs="Arial"/>
                <w:sz w:val="20"/>
              </w:rPr>
            </w:pPr>
          </w:p>
        </w:tc>
      </w:tr>
      <w:tr w:rsidR="00E8029B" w:rsidRPr="000665B0" w14:paraId="71573269" w14:textId="77777777" w:rsidTr="00732CD8">
        <w:trPr>
          <w:cantSplit/>
        </w:trPr>
        <w:tc>
          <w:tcPr>
            <w:tcW w:w="3410" w:type="dxa"/>
          </w:tcPr>
          <w:p w14:paraId="77A88484" w14:textId="0254E67C" w:rsidR="00E8029B" w:rsidRPr="000665B0" w:rsidRDefault="002C0686" w:rsidP="009570CA">
            <w:pPr>
              <w:spacing w:before="40" w:after="40"/>
              <w:jc w:val="center"/>
              <w:rPr>
                <w:rFonts w:ascii="Arial" w:hAnsi="Arial" w:cs="Arial"/>
                <w:sz w:val="20"/>
              </w:rPr>
            </w:pPr>
            <w:r w:rsidRPr="000665B0">
              <w:rPr>
                <w:rFonts w:ascii="Arial" w:hAnsi="Arial" w:cs="Arial"/>
                <w:sz w:val="20"/>
              </w:rPr>
              <w:t>DDG-1000</w:t>
            </w:r>
          </w:p>
        </w:tc>
        <w:tc>
          <w:tcPr>
            <w:tcW w:w="900" w:type="dxa"/>
          </w:tcPr>
          <w:p w14:paraId="16F0C2FA" w14:textId="110B9901" w:rsidR="00E8029B" w:rsidRPr="000665B0" w:rsidRDefault="00E8029B" w:rsidP="009570CA">
            <w:pPr>
              <w:spacing w:before="40" w:after="40"/>
              <w:jc w:val="center"/>
              <w:rPr>
                <w:rFonts w:ascii="Arial" w:hAnsi="Arial" w:cs="Arial"/>
                <w:sz w:val="20"/>
              </w:rPr>
            </w:pPr>
            <w:r w:rsidRPr="000665B0">
              <w:rPr>
                <w:rFonts w:ascii="Arial" w:hAnsi="Arial" w:cs="Arial"/>
                <w:sz w:val="20"/>
              </w:rPr>
              <w:t>X</w:t>
            </w:r>
          </w:p>
        </w:tc>
        <w:tc>
          <w:tcPr>
            <w:tcW w:w="1080" w:type="dxa"/>
          </w:tcPr>
          <w:p w14:paraId="2D74B096" w14:textId="77777777" w:rsidR="00E8029B" w:rsidRPr="000665B0" w:rsidRDefault="00E8029B" w:rsidP="009570CA">
            <w:pPr>
              <w:spacing w:before="40" w:after="40"/>
              <w:jc w:val="center"/>
              <w:rPr>
                <w:rFonts w:ascii="Arial" w:hAnsi="Arial" w:cs="Arial"/>
                <w:sz w:val="20"/>
              </w:rPr>
            </w:pPr>
          </w:p>
        </w:tc>
        <w:tc>
          <w:tcPr>
            <w:tcW w:w="1350" w:type="dxa"/>
          </w:tcPr>
          <w:p w14:paraId="70A73412" w14:textId="77777777" w:rsidR="00E8029B" w:rsidRPr="000665B0" w:rsidRDefault="00E8029B" w:rsidP="009570CA">
            <w:pPr>
              <w:spacing w:before="40" w:after="40"/>
              <w:jc w:val="center"/>
              <w:rPr>
                <w:rFonts w:ascii="Arial" w:hAnsi="Arial" w:cs="Arial"/>
                <w:sz w:val="20"/>
              </w:rPr>
            </w:pPr>
          </w:p>
        </w:tc>
        <w:tc>
          <w:tcPr>
            <w:tcW w:w="1425" w:type="dxa"/>
          </w:tcPr>
          <w:p w14:paraId="59857E9D" w14:textId="77777777" w:rsidR="00E8029B" w:rsidRPr="000665B0" w:rsidRDefault="00E8029B" w:rsidP="009570CA">
            <w:pPr>
              <w:spacing w:before="40" w:after="40"/>
              <w:jc w:val="center"/>
              <w:rPr>
                <w:rFonts w:ascii="Arial" w:hAnsi="Arial" w:cs="Arial"/>
                <w:sz w:val="20"/>
              </w:rPr>
            </w:pPr>
          </w:p>
        </w:tc>
      </w:tr>
      <w:tr w:rsidR="003B1530" w:rsidRPr="000665B0" w14:paraId="26EED9FA" w14:textId="77777777" w:rsidTr="00732CD8">
        <w:trPr>
          <w:cantSplit/>
        </w:trPr>
        <w:tc>
          <w:tcPr>
            <w:tcW w:w="3410" w:type="dxa"/>
          </w:tcPr>
          <w:p w14:paraId="482E2CBC" w14:textId="77777777" w:rsidR="003B1530" w:rsidRPr="000665B0" w:rsidRDefault="003B1530" w:rsidP="009570CA">
            <w:pPr>
              <w:spacing w:before="40" w:after="40"/>
              <w:jc w:val="center"/>
              <w:rPr>
                <w:rFonts w:ascii="Arial" w:hAnsi="Arial" w:cs="Arial"/>
                <w:sz w:val="20"/>
              </w:rPr>
            </w:pPr>
            <w:r w:rsidRPr="000665B0">
              <w:rPr>
                <w:rFonts w:ascii="Arial" w:hAnsi="Arial" w:cs="Arial"/>
                <w:sz w:val="20"/>
              </w:rPr>
              <w:lastRenderedPageBreak/>
              <w:t>SSN (Los Angeles – hulls 688-718)</w:t>
            </w:r>
          </w:p>
        </w:tc>
        <w:tc>
          <w:tcPr>
            <w:tcW w:w="900" w:type="dxa"/>
          </w:tcPr>
          <w:p w14:paraId="2E771252" w14:textId="77777777" w:rsidR="003B1530" w:rsidRPr="000665B0" w:rsidRDefault="003B1530" w:rsidP="009570CA">
            <w:pPr>
              <w:spacing w:before="40" w:after="40"/>
              <w:jc w:val="center"/>
              <w:rPr>
                <w:rFonts w:ascii="Arial" w:hAnsi="Arial" w:cs="Arial"/>
                <w:sz w:val="20"/>
              </w:rPr>
            </w:pPr>
            <w:r w:rsidRPr="000665B0">
              <w:rPr>
                <w:rFonts w:ascii="Arial" w:hAnsi="Arial" w:cs="Arial"/>
                <w:sz w:val="20"/>
              </w:rPr>
              <w:t>X</w:t>
            </w:r>
          </w:p>
        </w:tc>
        <w:tc>
          <w:tcPr>
            <w:tcW w:w="1080" w:type="dxa"/>
          </w:tcPr>
          <w:p w14:paraId="2906AE74" w14:textId="77777777" w:rsidR="003B1530" w:rsidRPr="000665B0" w:rsidRDefault="003B1530" w:rsidP="009570CA">
            <w:pPr>
              <w:spacing w:before="40" w:after="40"/>
              <w:jc w:val="center"/>
              <w:rPr>
                <w:rFonts w:ascii="Arial" w:hAnsi="Arial" w:cs="Arial"/>
                <w:sz w:val="20"/>
              </w:rPr>
            </w:pPr>
          </w:p>
        </w:tc>
        <w:tc>
          <w:tcPr>
            <w:tcW w:w="1350" w:type="dxa"/>
          </w:tcPr>
          <w:p w14:paraId="005F69BE" w14:textId="77777777" w:rsidR="003B1530" w:rsidRPr="000665B0" w:rsidRDefault="003B1530" w:rsidP="009570CA">
            <w:pPr>
              <w:spacing w:before="40" w:after="40"/>
              <w:jc w:val="center"/>
              <w:rPr>
                <w:rFonts w:ascii="Arial" w:hAnsi="Arial" w:cs="Arial"/>
                <w:sz w:val="20"/>
              </w:rPr>
            </w:pPr>
          </w:p>
        </w:tc>
        <w:tc>
          <w:tcPr>
            <w:tcW w:w="1425" w:type="dxa"/>
          </w:tcPr>
          <w:p w14:paraId="67684A14" w14:textId="77777777" w:rsidR="003B1530" w:rsidRPr="000665B0" w:rsidRDefault="003B1530" w:rsidP="009570CA">
            <w:pPr>
              <w:spacing w:before="40" w:after="40"/>
              <w:jc w:val="center"/>
              <w:rPr>
                <w:rFonts w:ascii="Arial" w:hAnsi="Arial" w:cs="Arial"/>
                <w:sz w:val="20"/>
              </w:rPr>
            </w:pPr>
          </w:p>
        </w:tc>
      </w:tr>
      <w:tr w:rsidR="00716350" w:rsidRPr="000665B0" w14:paraId="0C47AB8F" w14:textId="77777777" w:rsidTr="00732CD8">
        <w:trPr>
          <w:cantSplit/>
        </w:trPr>
        <w:tc>
          <w:tcPr>
            <w:tcW w:w="3410" w:type="dxa"/>
          </w:tcPr>
          <w:p w14:paraId="342D2596"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SSN (Los Angeles – hulls 719-773)</w:t>
            </w:r>
          </w:p>
        </w:tc>
        <w:tc>
          <w:tcPr>
            <w:tcW w:w="900" w:type="dxa"/>
          </w:tcPr>
          <w:p w14:paraId="4307B632"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080" w:type="dxa"/>
          </w:tcPr>
          <w:p w14:paraId="19E579AD"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350" w:type="dxa"/>
          </w:tcPr>
          <w:p w14:paraId="1379AFB4"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425" w:type="dxa"/>
          </w:tcPr>
          <w:p w14:paraId="3E56354D"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r>
      <w:tr w:rsidR="00716350" w:rsidRPr="000665B0" w14:paraId="3A16AE76" w14:textId="77777777" w:rsidTr="00732CD8">
        <w:trPr>
          <w:cantSplit/>
        </w:trPr>
        <w:tc>
          <w:tcPr>
            <w:tcW w:w="3410" w:type="dxa"/>
          </w:tcPr>
          <w:p w14:paraId="348D4599" w14:textId="56CFF42D" w:rsidR="00716350" w:rsidRPr="000665B0" w:rsidRDefault="00716350" w:rsidP="009570CA">
            <w:pPr>
              <w:spacing w:before="40" w:after="40"/>
              <w:jc w:val="center"/>
              <w:rPr>
                <w:rFonts w:ascii="Arial" w:hAnsi="Arial" w:cs="Arial"/>
                <w:sz w:val="20"/>
              </w:rPr>
            </w:pPr>
            <w:r w:rsidRPr="000665B0">
              <w:rPr>
                <w:rFonts w:ascii="Arial" w:hAnsi="Arial" w:cs="Arial"/>
                <w:sz w:val="20"/>
              </w:rPr>
              <w:t xml:space="preserve">SSN (Virginia Blk I/II – </w:t>
            </w:r>
            <w:r w:rsidR="00CF155F" w:rsidRPr="000665B0">
              <w:rPr>
                <w:rFonts w:ascii="Arial" w:hAnsi="Arial" w:cs="Arial"/>
                <w:sz w:val="20"/>
              </w:rPr>
              <w:br/>
            </w:r>
            <w:r w:rsidRPr="000665B0">
              <w:rPr>
                <w:rFonts w:ascii="Arial" w:hAnsi="Arial" w:cs="Arial"/>
                <w:sz w:val="20"/>
              </w:rPr>
              <w:t>hulls 774-783)</w:t>
            </w:r>
          </w:p>
        </w:tc>
        <w:tc>
          <w:tcPr>
            <w:tcW w:w="900" w:type="dxa"/>
          </w:tcPr>
          <w:p w14:paraId="2AB3BE59"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080" w:type="dxa"/>
          </w:tcPr>
          <w:p w14:paraId="4C9A25E9"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350" w:type="dxa"/>
          </w:tcPr>
          <w:p w14:paraId="50AD43B8"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425" w:type="dxa"/>
          </w:tcPr>
          <w:p w14:paraId="220BCF26"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r>
      <w:tr w:rsidR="00716350" w:rsidRPr="000665B0" w14:paraId="01289500" w14:textId="77777777" w:rsidTr="00732CD8">
        <w:trPr>
          <w:cantSplit/>
        </w:trPr>
        <w:tc>
          <w:tcPr>
            <w:tcW w:w="3410" w:type="dxa"/>
          </w:tcPr>
          <w:p w14:paraId="132FAD8D" w14:textId="02D737D8" w:rsidR="00716350" w:rsidRPr="000665B0" w:rsidRDefault="00716350" w:rsidP="009570CA">
            <w:pPr>
              <w:spacing w:before="40" w:after="40"/>
              <w:jc w:val="center"/>
              <w:rPr>
                <w:rFonts w:ascii="Arial" w:hAnsi="Arial" w:cs="Arial"/>
                <w:sz w:val="20"/>
              </w:rPr>
            </w:pPr>
            <w:r w:rsidRPr="000665B0">
              <w:rPr>
                <w:rFonts w:ascii="Arial" w:hAnsi="Arial" w:cs="Arial"/>
                <w:sz w:val="20"/>
              </w:rPr>
              <w:t xml:space="preserve">SSN (Virginia Blk III/IV – </w:t>
            </w:r>
            <w:r w:rsidR="00CF155F" w:rsidRPr="000665B0">
              <w:rPr>
                <w:rFonts w:ascii="Arial" w:hAnsi="Arial" w:cs="Arial"/>
                <w:sz w:val="20"/>
              </w:rPr>
              <w:br/>
            </w:r>
            <w:r w:rsidRPr="000665B0">
              <w:rPr>
                <w:rFonts w:ascii="Arial" w:hAnsi="Arial" w:cs="Arial"/>
                <w:sz w:val="20"/>
              </w:rPr>
              <w:t>hulls 784-801)</w:t>
            </w:r>
          </w:p>
        </w:tc>
        <w:tc>
          <w:tcPr>
            <w:tcW w:w="900" w:type="dxa"/>
          </w:tcPr>
          <w:p w14:paraId="2721B50B"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080" w:type="dxa"/>
          </w:tcPr>
          <w:p w14:paraId="532B3106"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350" w:type="dxa"/>
          </w:tcPr>
          <w:p w14:paraId="3B049EB4"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425" w:type="dxa"/>
          </w:tcPr>
          <w:p w14:paraId="3B492BF8"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r>
      <w:tr w:rsidR="00716350" w:rsidRPr="000665B0" w14:paraId="7D636708" w14:textId="77777777" w:rsidTr="00732CD8">
        <w:trPr>
          <w:cantSplit/>
        </w:trPr>
        <w:tc>
          <w:tcPr>
            <w:tcW w:w="3410" w:type="dxa"/>
          </w:tcPr>
          <w:p w14:paraId="0CE8D48E" w14:textId="382C8A55" w:rsidR="00716350" w:rsidRPr="000665B0" w:rsidRDefault="00716350" w:rsidP="009570CA">
            <w:pPr>
              <w:spacing w:before="40" w:after="40"/>
              <w:jc w:val="center"/>
              <w:rPr>
                <w:rFonts w:ascii="Arial" w:hAnsi="Arial" w:cs="Arial"/>
                <w:sz w:val="20"/>
              </w:rPr>
            </w:pPr>
            <w:r w:rsidRPr="000665B0">
              <w:rPr>
                <w:rFonts w:ascii="Arial" w:hAnsi="Arial" w:cs="Arial"/>
                <w:sz w:val="20"/>
              </w:rPr>
              <w:t xml:space="preserve">SSN (Virginia Blk V – </w:t>
            </w:r>
            <w:r w:rsidR="00CF155F" w:rsidRPr="000665B0">
              <w:rPr>
                <w:rFonts w:ascii="Arial" w:hAnsi="Arial" w:cs="Arial"/>
                <w:sz w:val="20"/>
              </w:rPr>
              <w:br/>
            </w:r>
            <w:r w:rsidRPr="000665B0">
              <w:rPr>
                <w:rFonts w:ascii="Arial" w:hAnsi="Arial" w:cs="Arial"/>
                <w:sz w:val="20"/>
              </w:rPr>
              <w:t>hulls 802/AFS)</w:t>
            </w:r>
          </w:p>
        </w:tc>
        <w:tc>
          <w:tcPr>
            <w:tcW w:w="900" w:type="dxa"/>
          </w:tcPr>
          <w:p w14:paraId="5B2EFDDD"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080" w:type="dxa"/>
          </w:tcPr>
          <w:p w14:paraId="34CDE80E"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350" w:type="dxa"/>
          </w:tcPr>
          <w:p w14:paraId="5A4C3E4C"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425" w:type="dxa"/>
          </w:tcPr>
          <w:p w14:paraId="39FEC1F3"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r>
      <w:tr w:rsidR="00716350" w:rsidRPr="000665B0" w14:paraId="080E07E6" w14:textId="77777777" w:rsidTr="00732CD8">
        <w:trPr>
          <w:cantSplit/>
        </w:trPr>
        <w:tc>
          <w:tcPr>
            <w:tcW w:w="3410" w:type="dxa"/>
          </w:tcPr>
          <w:p w14:paraId="6974A35A"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SSN (Seawolf – hulls 21-23)</w:t>
            </w:r>
          </w:p>
        </w:tc>
        <w:tc>
          <w:tcPr>
            <w:tcW w:w="900" w:type="dxa"/>
          </w:tcPr>
          <w:p w14:paraId="3AABA0DE"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080" w:type="dxa"/>
          </w:tcPr>
          <w:p w14:paraId="65473113"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350" w:type="dxa"/>
          </w:tcPr>
          <w:p w14:paraId="77328A3A"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425" w:type="dxa"/>
          </w:tcPr>
          <w:p w14:paraId="68EDDB96"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r>
      <w:tr w:rsidR="00716350" w:rsidRPr="000665B0" w14:paraId="349D76DE" w14:textId="77777777" w:rsidTr="00732CD8">
        <w:trPr>
          <w:cantSplit/>
        </w:trPr>
        <w:tc>
          <w:tcPr>
            <w:tcW w:w="3410" w:type="dxa"/>
          </w:tcPr>
          <w:p w14:paraId="1D51C671"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SSGN (hulls 726-729)</w:t>
            </w:r>
          </w:p>
        </w:tc>
        <w:tc>
          <w:tcPr>
            <w:tcW w:w="900" w:type="dxa"/>
          </w:tcPr>
          <w:p w14:paraId="6536A641"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080" w:type="dxa"/>
          </w:tcPr>
          <w:p w14:paraId="7C94F735"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350" w:type="dxa"/>
          </w:tcPr>
          <w:p w14:paraId="79DCA629"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c>
          <w:tcPr>
            <w:tcW w:w="1425" w:type="dxa"/>
          </w:tcPr>
          <w:p w14:paraId="20DF611E" w14:textId="77777777" w:rsidR="00716350" w:rsidRPr="000665B0" w:rsidRDefault="00716350" w:rsidP="009570CA">
            <w:pPr>
              <w:spacing w:before="40" w:after="40"/>
              <w:jc w:val="center"/>
              <w:rPr>
                <w:rFonts w:ascii="Arial" w:hAnsi="Arial" w:cs="Arial"/>
                <w:sz w:val="20"/>
              </w:rPr>
            </w:pPr>
            <w:r w:rsidRPr="000665B0">
              <w:rPr>
                <w:rFonts w:ascii="Arial" w:hAnsi="Arial" w:cs="Arial"/>
                <w:sz w:val="20"/>
              </w:rPr>
              <w:t>X</w:t>
            </w:r>
          </w:p>
        </w:tc>
      </w:tr>
      <w:tr w:rsidR="003B1530" w:rsidRPr="000665B0" w14:paraId="2AAED7F0" w14:textId="77777777" w:rsidTr="00732CD8">
        <w:trPr>
          <w:cantSplit/>
        </w:trPr>
        <w:tc>
          <w:tcPr>
            <w:tcW w:w="3410" w:type="dxa"/>
          </w:tcPr>
          <w:p w14:paraId="17E5FA9E" w14:textId="77777777" w:rsidR="003B1530" w:rsidRPr="000665B0" w:rsidRDefault="003B1530" w:rsidP="009570CA">
            <w:pPr>
              <w:spacing w:before="40" w:after="40"/>
              <w:jc w:val="center"/>
              <w:rPr>
                <w:rFonts w:ascii="Arial" w:hAnsi="Arial" w:cs="Arial"/>
                <w:sz w:val="20"/>
              </w:rPr>
            </w:pPr>
            <w:r w:rsidRPr="000665B0">
              <w:rPr>
                <w:rFonts w:ascii="Arial" w:hAnsi="Arial" w:cs="Arial"/>
                <w:sz w:val="20"/>
              </w:rPr>
              <w:t>UK (Trafalgar – hulls 13-19)</w:t>
            </w:r>
          </w:p>
        </w:tc>
        <w:tc>
          <w:tcPr>
            <w:tcW w:w="900" w:type="dxa"/>
          </w:tcPr>
          <w:p w14:paraId="6CCC3C50" w14:textId="77777777" w:rsidR="003B1530" w:rsidRPr="000665B0" w:rsidRDefault="003B1530" w:rsidP="009570CA">
            <w:pPr>
              <w:spacing w:before="40" w:after="40"/>
              <w:jc w:val="center"/>
              <w:rPr>
                <w:rFonts w:ascii="Arial" w:hAnsi="Arial" w:cs="Arial"/>
                <w:sz w:val="20"/>
              </w:rPr>
            </w:pPr>
            <w:r w:rsidRPr="000665B0">
              <w:rPr>
                <w:rFonts w:ascii="Arial" w:hAnsi="Arial" w:cs="Arial"/>
                <w:sz w:val="20"/>
              </w:rPr>
              <w:t>X</w:t>
            </w:r>
          </w:p>
        </w:tc>
        <w:tc>
          <w:tcPr>
            <w:tcW w:w="1080" w:type="dxa"/>
          </w:tcPr>
          <w:p w14:paraId="7232BCC0" w14:textId="77777777" w:rsidR="003B1530" w:rsidRPr="000665B0" w:rsidRDefault="003B1530" w:rsidP="009570CA">
            <w:pPr>
              <w:spacing w:before="40" w:after="40"/>
              <w:jc w:val="center"/>
              <w:rPr>
                <w:rFonts w:ascii="Arial" w:hAnsi="Arial" w:cs="Arial"/>
                <w:sz w:val="20"/>
              </w:rPr>
            </w:pPr>
          </w:p>
        </w:tc>
        <w:tc>
          <w:tcPr>
            <w:tcW w:w="1350" w:type="dxa"/>
          </w:tcPr>
          <w:p w14:paraId="1F7FFCFA" w14:textId="77777777" w:rsidR="003B1530" w:rsidRPr="000665B0" w:rsidRDefault="003B1530" w:rsidP="009570CA">
            <w:pPr>
              <w:spacing w:before="40" w:after="40"/>
              <w:jc w:val="center"/>
              <w:rPr>
                <w:rFonts w:ascii="Arial" w:hAnsi="Arial" w:cs="Arial"/>
                <w:sz w:val="20"/>
              </w:rPr>
            </w:pPr>
          </w:p>
        </w:tc>
        <w:tc>
          <w:tcPr>
            <w:tcW w:w="1425" w:type="dxa"/>
          </w:tcPr>
          <w:p w14:paraId="0C18B39A" w14:textId="77777777" w:rsidR="003B1530" w:rsidRPr="000665B0" w:rsidRDefault="003B1530" w:rsidP="009570CA">
            <w:pPr>
              <w:spacing w:before="40" w:after="40"/>
              <w:jc w:val="center"/>
              <w:rPr>
                <w:rFonts w:ascii="Arial" w:hAnsi="Arial" w:cs="Arial"/>
                <w:sz w:val="20"/>
              </w:rPr>
            </w:pPr>
          </w:p>
        </w:tc>
      </w:tr>
      <w:tr w:rsidR="003B1530" w:rsidRPr="000665B0" w14:paraId="3C044469" w14:textId="77777777" w:rsidTr="00732CD8">
        <w:trPr>
          <w:cantSplit/>
        </w:trPr>
        <w:tc>
          <w:tcPr>
            <w:tcW w:w="3410" w:type="dxa"/>
          </w:tcPr>
          <w:p w14:paraId="109EE67C" w14:textId="77777777" w:rsidR="003B1530" w:rsidRPr="000665B0" w:rsidRDefault="003B1530" w:rsidP="009570CA">
            <w:pPr>
              <w:spacing w:before="40" w:after="40"/>
              <w:jc w:val="center"/>
              <w:rPr>
                <w:rFonts w:ascii="Arial" w:hAnsi="Arial" w:cs="Arial"/>
                <w:sz w:val="20"/>
              </w:rPr>
            </w:pPr>
            <w:r w:rsidRPr="000665B0">
              <w:rPr>
                <w:rFonts w:ascii="Arial" w:hAnsi="Arial" w:cs="Arial"/>
                <w:sz w:val="20"/>
              </w:rPr>
              <w:t>UK (Astute – hulls 20-22)</w:t>
            </w:r>
          </w:p>
        </w:tc>
        <w:tc>
          <w:tcPr>
            <w:tcW w:w="900" w:type="dxa"/>
          </w:tcPr>
          <w:p w14:paraId="3AFCE3C9" w14:textId="77777777" w:rsidR="003B1530" w:rsidRPr="000665B0" w:rsidRDefault="003B1530" w:rsidP="009570CA">
            <w:pPr>
              <w:spacing w:before="40" w:after="40"/>
              <w:jc w:val="center"/>
              <w:rPr>
                <w:rFonts w:ascii="Arial" w:hAnsi="Arial" w:cs="Arial"/>
                <w:sz w:val="20"/>
              </w:rPr>
            </w:pPr>
            <w:r w:rsidRPr="000665B0">
              <w:rPr>
                <w:rFonts w:ascii="Arial" w:hAnsi="Arial" w:cs="Arial"/>
                <w:sz w:val="20"/>
              </w:rPr>
              <w:t>X</w:t>
            </w:r>
          </w:p>
        </w:tc>
        <w:tc>
          <w:tcPr>
            <w:tcW w:w="1080" w:type="dxa"/>
          </w:tcPr>
          <w:p w14:paraId="12BB6D77" w14:textId="77777777" w:rsidR="003B1530" w:rsidRPr="000665B0" w:rsidRDefault="003B1530" w:rsidP="009570CA">
            <w:pPr>
              <w:spacing w:before="40" w:after="40"/>
              <w:jc w:val="center"/>
              <w:rPr>
                <w:rFonts w:ascii="Arial" w:hAnsi="Arial" w:cs="Arial"/>
                <w:sz w:val="20"/>
              </w:rPr>
            </w:pPr>
          </w:p>
        </w:tc>
        <w:tc>
          <w:tcPr>
            <w:tcW w:w="1350" w:type="dxa"/>
          </w:tcPr>
          <w:p w14:paraId="3B6320BC" w14:textId="77777777" w:rsidR="003B1530" w:rsidRPr="000665B0" w:rsidRDefault="003B1530" w:rsidP="009570CA">
            <w:pPr>
              <w:spacing w:before="40" w:after="40"/>
              <w:jc w:val="center"/>
              <w:rPr>
                <w:rFonts w:ascii="Arial" w:hAnsi="Arial" w:cs="Arial"/>
                <w:sz w:val="20"/>
              </w:rPr>
            </w:pPr>
          </w:p>
        </w:tc>
        <w:tc>
          <w:tcPr>
            <w:tcW w:w="1425" w:type="dxa"/>
          </w:tcPr>
          <w:p w14:paraId="64EB901B" w14:textId="77777777" w:rsidR="003B1530" w:rsidRPr="000665B0" w:rsidRDefault="003B1530" w:rsidP="009570CA">
            <w:pPr>
              <w:spacing w:before="40" w:after="40"/>
              <w:jc w:val="center"/>
              <w:rPr>
                <w:rFonts w:ascii="Arial" w:hAnsi="Arial" w:cs="Arial"/>
                <w:sz w:val="20"/>
              </w:rPr>
            </w:pPr>
          </w:p>
        </w:tc>
      </w:tr>
      <w:tr w:rsidR="003B1530" w:rsidRPr="000665B0" w14:paraId="520903E3" w14:textId="77777777" w:rsidTr="00732CD8">
        <w:trPr>
          <w:cantSplit/>
        </w:trPr>
        <w:tc>
          <w:tcPr>
            <w:tcW w:w="3410" w:type="dxa"/>
          </w:tcPr>
          <w:p w14:paraId="0AC13981" w14:textId="2F2F43C9" w:rsidR="003B1530" w:rsidRPr="000665B0" w:rsidRDefault="003B1530" w:rsidP="009570CA">
            <w:pPr>
              <w:spacing w:before="40" w:after="40"/>
              <w:jc w:val="center"/>
              <w:rPr>
                <w:rFonts w:ascii="Arial" w:hAnsi="Arial" w:cs="Arial"/>
                <w:sz w:val="20"/>
              </w:rPr>
            </w:pPr>
            <w:r w:rsidRPr="000665B0">
              <w:rPr>
                <w:rFonts w:ascii="Arial" w:hAnsi="Arial" w:cs="Arial"/>
                <w:sz w:val="20"/>
              </w:rPr>
              <w:t>Other</w:t>
            </w:r>
            <w:r w:rsidR="00E8029B" w:rsidRPr="000665B0">
              <w:rPr>
                <w:rFonts w:ascii="Arial" w:hAnsi="Arial" w:cs="Arial"/>
                <w:sz w:val="20"/>
              </w:rPr>
              <w:t xml:space="preserve"> (subsurface platforms and CMSA/TSMPC nodes)</w:t>
            </w:r>
          </w:p>
        </w:tc>
        <w:tc>
          <w:tcPr>
            <w:tcW w:w="900" w:type="dxa"/>
          </w:tcPr>
          <w:p w14:paraId="31C7B6AC" w14:textId="77777777" w:rsidR="003B1530" w:rsidRPr="000665B0" w:rsidRDefault="003B1530" w:rsidP="009570CA">
            <w:pPr>
              <w:spacing w:before="40" w:after="40"/>
              <w:jc w:val="center"/>
              <w:rPr>
                <w:rFonts w:ascii="Arial" w:hAnsi="Arial" w:cs="Arial"/>
                <w:sz w:val="20"/>
              </w:rPr>
            </w:pPr>
            <w:r w:rsidRPr="000665B0">
              <w:rPr>
                <w:rFonts w:ascii="Arial" w:hAnsi="Arial" w:cs="Arial"/>
                <w:sz w:val="20"/>
              </w:rPr>
              <w:t>X</w:t>
            </w:r>
          </w:p>
        </w:tc>
        <w:tc>
          <w:tcPr>
            <w:tcW w:w="1080" w:type="dxa"/>
          </w:tcPr>
          <w:p w14:paraId="55B7AFC9" w14:textId="6B05F74C" w:rsidR="003B1530" w:rsidRPr="000665B0" w:rsidRDefault="003B1530" w:rsidP="009570CA">
            <w:pPr>
              <w:spacing w:before="40" w:after="40"/>
              <w:jc w:val="center"/>
              <w:rPr>
                <w:rFonts w:ascii="Arial" w:hAnsi="Arial" w:cs="Arial"/>
                <w:sz w:val="20"/>
              </w:rPr>
            </w:pPr>
          </w:p>
        </w:tc>
        <w:tc>
          <w:tcPr>
            <w:tcW w:w="1350" w:type="dxa"/>
          </w:tcPr>
          <w:p w14:paraId="02DFA0EB" w14:textId="5EED13A5" w:rsidR="003B1530" w:rsidRPr="000665B0" w:rsidRDefault="003B1530" w:rsidP="009570CA">
            <w:pPr>
              <w:spacing w:before="40" w:after="40"/>
              <w:jc w:val="center"/>
              <w:rPr>
                <w:rFonts w:ascii="Arial" w:hAnsi="Arial" w:cs="Arial"/>
                <w:sz w:val="20"/>
              </w:rPr>
            </w:pPr>
          </w:p>
        </w:tc>
        <w:tc>
          <w:tcPr>
            <w:tcW w:w="1425" w:type="dxa"/>
          </w:tcPr>
          <w:p w14:paraId="582D0441" w14:textId="481796A7" w:rsidR="003B1530" w:rsidRPr="000665B0" w:rsidRDefault="003B1530" w:rsidP="009570CA">
            <w:pPr>
              <w:spacing w:before="40" w:after="40"/>
              <w:jc w:val="center"/>
              <w:rPr>
                <w:rFonts w:ascii="Arial" w:hAnsi="Arial" w:cs="Arial"/>
                <w:sz w:val="20"/>
              </w:rPr>
            </w:pPr>
          </w:p>
        </w:tc>
      </w:tr>
    </w:tbl>
    <w:p w14:paraId="3EE6F6E1" w14:textId="77777777" w:rsidR="001C7EF0" w:rsidRPr="000665B0" w:rsidRDefault="001C7EF0" w:rsidP="006D5A65">
      <w:pPr>
        <w:pStyle w:val="Heading1"/>
      </w:pPr>
      <w:r w:rsidRPr="000665B0">
        <w:t>Inert. Alt. Command (MSL) (optional) – The Mean Sea Level (MSL) altitude at which a missile flying in inertial mode is commanded to fly, unless the MSL value is below the AGL Inertial Altitude Pad relative to the surrounding terrain. If the inertial command is not specified, the Inertial Altitude Pad is used to create the inertial command profile for the mission based on the offset (Pad) above the terrain throughout the mission.</w:t>
      </w:r>
    </w:p>
    <w:p w14:paraId="3D99E04B" w14:textId="6C049BFF" w:rsidR="00773293" w:rsidRPr="000665B0" w:rsidRDefault="00773293" w:rsidP="006D5A65">
      <w:pPr>
        <w:pStyle w:val="Heading1"/>
      </w:pPr>
      <w:r w:rsidRPr="000665B0">
        <w:t>Mission Class (optional) – Provides the capability to modify missile mass property configuration (TAC, TST, RSS [RSS available only in conjunction with missile type 109E</w:t>
      </w:r>
      <w:r w:rsidR="00601FE2">
        <w:t>/M</w:t>
      </w:r>
      <w:r w:rsidRPr="000665B0">
        <w:t>]).</w:t>
      </w:r>
    </w:p>
    <w:p w14:paraId="533E6CD2" w14:textId="277B0FCD" w:rsidR="001C7EF0" w:rsidRPr="000665B0" w:rsidRDefault="001C7EF0" w:rsidP="006D5A65">
      <w:pPr>
        <w:pStyle w:val="Heading1"/>
      </w:pPr>
      <w:r w:rsidRPr="000665B0">
        <w:t xml:space="preserve">Auto Generate (optional) – Flag used </w:t>
      </w:r>
      <w:r w:rsidR="003215F2" w:rsidRPr="000665B0">
        <w:t>to indicate</w:t>
      </w:r>
      <w:r w:rsidRPr="000665B0">
        <w:t xml:space="preserve"> whether or not the submitted TMPR should automatically be processed by the auto-router.</w:t>
      </w:r>
      <w:r w:rsidR="00D405EE">
        <w:t xml:space="preserve"> When this checkbox is checked, the Ground Launch Required checkbox will be unchecked and disabled. When Auto Generate is unchecked, the Ground Launch Required checkbox will be enabled again.</w:t>
      </w:r>
    </w:p>
    <w:p w14:paraId="1CE18A62" w14:textId="1C9DD371" w:rsidR="001C7EF0" w:rsidRPr="000665B0" w:rsidRDefault="00773293" w:rsidP="006D5A65">
      <w:pPr>
        <w:pStyle w:val="Heading1"/>
      </w:pPr>
      <w:r w:rsidRPr="000665B0">
        <w:t xml:space="preserve">Expedited </w:t>
      </w:r>
      <w:r w:rsidR="001C7EF0" w:rsidRPr="000665B0">
        <w:t>Route</w:t>
      </w:r>
      <w:r w:rsidRPr="000665B0">
        <w:t xml:space="preserve"> Generation</w:t>
      </w:r>
      <w:r w:rsidR="001C7EF0" w:rsidRPr="000665B0">
        <w:t xml:space="preserve"> (optional) – </w:t>
      </w:r>
      <w:r w:rsidR="00E81586" w:rsidRPr="000665B0">
        <w:t>The route that can be generated the fastest, given the TMPR inputs.</w:t>
      </w:r>
      <w:r w:rsidR="005D0383">
        <w:t xml:space="preserve"> </w:t>
      </w:r>
      <w:r w:rsidR="001C7EF0" w:rsidRPr="000665B0">
        <w:t xml:space="preserve"> </w:t>
      </w:r>
    </w:p>
    <w:p w14:paraId="1386A021" w14:textId="253DAB29" w:rsidR="00773293" w:rsidRPr="000665B0" w:rsidRDefault="00773293" w:rsidP="006D5A65">
      <w:pPr>
        <w:pStyle w:val="Heading1"/>
      </w:pPr>
      <w:r w:rsidRPr="000665B0">
        <w:t xml:space="preserve">AGR-4 Required </w:t>
      </w:r>
      <w:r w:rsidR="00890260" w:rsidRPr="000665B0">
        <w:t xml:space="preserve">(optional) </w:t>
      </w:r>
      <w:r w:rsidRPr="000665B0">
        <w:t xml:space="preserve">– </w:t>
      </w:r>
      <w:r w:rsidR="00890260" w:rsidRPr="000665B0">
        <w:rPr>
          <w:color w:val="000000"/>
        </w:rPr>
        <w:t xml:space="preserve">Indicates whether one or more AGR-4 missions are required by the TMPR </w:t>
      </w:r>
      <w:r w:rsidR="00450CFC" w:rsidRPr="000665B0">
        <w:t>(</w:t>
      </w:r>
      <w:r w:rsidR="00890260" w:rsidRPr="000665B0">
        <w:t>available only i</w:t>
      </w:r>
      <w:r w:rsidR="00D4771E" w:rsidRPr="000665B0">
        <w:t>f</w:t>
      </w:r>
      <w:r w:rsidR="00890260" w:rsidRPr="000665B0">
        <w:t xml:space="preserve"> missile type 109E</w:t>
      </w:r>
      <w:r w:rsidR="00D4771E" w:rsidRPr="000665B0">
        <w:t xml:space="preserve"> is selected or automatically selected and set to read-only </w:t>
      </w:r>
      <w:r w:rsidR="000559BB" w:rsidRPr="000665B0">
        <w:t>i</w:t>
      </w:r>
      <w:r w:rsidR="005D5231" w:rsidRPr="000665B0">
        <w:t>f missile type</w:t>
      </w:r>
      <w:r w:rsidR="005F757E">
        <w:t>s 109E ACP</w:t>
      </w:r>
      <w:r w:rsidR="00601FE2">
        <w:t>,</w:t>
      </w:r>
      <w:r w:rsidR="005F757E">
        <w:t xml:space="preserve"> </w:t>
      </w:r>
      <w:r w:rsidR="005D5231" w:rsidRPr="000665B0">
        <w:t>MSTM</w:t>
      </w:r>
      <w:r w:rsidR="00601FE2">
        <w:t>, or 109M</w:t>
      </w:r>
      <w:r w:rsidR="005D5231" w:rsidRPr="000665B0">
        <w:t xml:space="preserve"> </w:t>
      </w:r>
      <w:r w:rsidR="005F757E">
        <w:t>are</w:t>
      </w:r>
      <w:r w:rsidR="005F757E" w:rsidRPr="000665B0">
        <w:t xml:space="preserve"> </w:t>
      </w:r>
      <w:r w:rsidR="005D5231" w:rsidRPr="000665B0">
        <w:t>selected</w:t>
      </w:r>
      <w:r w:rsidR="0084582A" w:rsidRPr="000665B0">
        <w:t>)</w:t>
      </w:r>
      <w:r w:rsidR="00D4771E" w:rsidRPr="000665B0">
        <w:t>.</w:t>
      </w:r>
    </w:p>
    <w:p w14:paraId="2EB9D341" w14:textId="4A8A68E7" w:rsidR="001C7EF0" w:rsidRPr="000665B0" w:rsidRDefault="001C7EF0" w:rsidP="006D5A65">
      <w:pPr>
        <w:pStyle w:val="Heading1"/>
      </w:pPr>
      <w:r w:rsidRPr="000665B0">
        <w:t xml:space="preserve">Ignore Threats (optional) – Indicates whether or not threats (AAA, SAM, Radars, and Airbases) will be avoided during mission creation. If </w:t>
      </w:r>
      <w:r w:rsidR="00EB74E2" w:rsidRPr="000665B0">
        <w:rPr>
          <w:i/>
        </w:rPr>
        <w:t xml:space="preserve">Expedited </w:t>
      </w:r>
      <w:r w:rsidRPr="000665B0">
        <w:rPr>
          <w:i/>
        </w:rPr>
        <w:t>Route</w:t>
      </w:r>
      <w:r w:rsidR="00EB74E2" w:rsidRPr="000665B0">
        <w:rPr>
          <w:i/>
        </w:rPr>
        <w:t xml:space="preserve"> Generation</w:t>
      </w:r>
      <w:r w:rsidRPr="000665B0">
        <w:t xml:space="preserve"> is true, then </w:t>
      </w:r>
      <w:r w:rsidRPr="000665B0">
        <w:lastRenderedPageBreak/>
        <w:t>this value will automatically be set to true and cannot be edited.</w:t>
      </w:r>
    </w:p>
    <w:p w14:paraId="4D009B43" w14:textId="49DBF965" w:rsidR="00D405EE" w:rsidRPr="000665B0" w:rsidRDefault="00D405EE" w:rsidP="006D5A65">
      <w:pPr>
        <w:pStyle w:val="Heading1"/>
      </w:pPr>
      <w:r>
        <w:t xml:space="preserve">Ground Launch Required </w:t>
      </w:r>
      <w:r w:rsidRPr="005D3178">
        <w:t>(optional) – Indicates whet</w:t>
      </w:r>
      <w:r>
        <w:t>her the mission planning request is for the planning of a mission that is to be launched by a ground launch FRU. When this checkbox is checked, the mission parameters are restricted to 109E</w:t>
      </w:r>
      <w:r w:rsidR="00BD6F59">
        <w:t>,</w:t>
      </w:r>
      <w:r>
        <w:t xml:space="preserve"> 109E ACP</w:t>
      </w:r>
      <w:r w:rsidR="00BD6F59">
        <w:t>, MSTM</w:t>
      </w:r>
      <w:r w:rsidR="00601FE2">
        <w:t>, and 109M</w:t>
      </w:r>
      <w:r>
        <w:t>. The Auto Generate checkbox will be unchecked and disabled. When the Ground Launch Required checkbox is unchecked, the Auto Generate checkbox will be enabled again.</w:t>
      </w:r>
    </w:p>
    <w:p w14:paraId="29EA201C" w14:textId="77777777" w:rsidR="001C7EF0" w:rsidRPr="000665B0" w:rsidRDefault="001C7EF0" w:rsidP="006D5A65">
      <w:pPr>
        <w:pStyle w:val="Heading1"/>
      </w:pPr>
      <w:r w:rsidRPr="000665B0">
        <w:t>Enter or select the following information under the Target Data section:</w:t>
      </w:r>
    </w:p>
    <w:p w14:paraId="15DE8E31" w14:textId="6DC54793" w:rsidR="001C7EF0" w:rsidRPr="000665B0" w:rsidRDefault="001C7EF0" w:rsidP="006D5A65">
      <w:pPr>
        <w:pStyle w:val="Heading1"/>
      </w:pPr>
      <w:r w:rsidRPr="000665B0">
        <w:rPr>
          <w:bCs/>
        </w:rPr>
        <w:t>Run-in Azimuth</w:t>
      </w:r>
      <w:r w:rsidRPr="000665B0">
        <w:t xml:space="preserve"> (optional) – Entry azimuth into the target area.</w:t>
      </w:r>
      <w:r w:rsidR="005D0383">
        <w:t xml:space="preserve"> </w:t>
      </w:r>
      <w:r w:rsidRPr="000665B0">
        <w:t> </w:t>
      </w:r>
    </w:p>
    <w:p w14:paraId="1601B43C" w14:textId="77777777" w:rsidR="001C7EF0" w:rsidRPr="000665B0" w:rsidRDefault="001C7EF0" w:rsidP="006D5A65">
      <w:pPr>
        <w:pStyle w:val="Heading1"/>
      </w:pPr>
      <w:r w:rsidRPr="000665B0">
        <w:rPr>
          <w:bCs/>
        </w:rPr>
        <w:t>Dive Angle</w:t>
      </w:r>
      <w:r w:rsidRPr="000665B0">
        <w:t xml:space="preserve"> (optional) – Desired impact angle. Required if Auto-Gen is true.</w:t>
      </w:r>
    </w:p>
    <w:p w14:paraId="5A6C31BE" w14:textId="77777777" w:rsidR="001C7EF0" w:rsidRPr="000665B0" w:rsidRDefault="001C7EF0" w:rsidP="006D5A65">
      <w:pPr>
        <w:pStyle w:val="Heading1"/>
      </w:pPr>
      <w:r w:rsidRPr="000665B0">
        <w:rPr>
          <w:bCs/>
        </w:rPr>
        <w:t>Fuze Setting</w:t>
      </w:r>
      <w:r w:rsidRPr="000665B0">
        <w:t xml:space="preserve"> (optional) – Desired fuze delay. Required if Auto-Gen is true.</w:t>
      </w:r>
    </w:p>
    <w:p w14:paraId="03BD3EF6" w14:textId="77777777" w:rsidR="001C7EF0" w:rsidRPr="000665B0" w:rsidRDefault="001C7EF0" w:rsidP="006D5A65">
      <w:pPr>
        <w:pStyle w:val="Heading1"/>
      </w:pPr>
      <w:r w:rsidRPr="000665B0">
        <w:rPr>
          <w:bCs/>
        </w:rPr>
        <w:t>Target Type</w:t>
      </w:r>
      <w:r w:rsidRPr="000665B0">
        <w:t xml:space="preserve"> (optional) – Indicates the target type.</w:t>
      </w:r>
    </w:p>
    <w:p w14:paraId="0E251D4A" w14:textId="4299466A" w:rsidR="001C7EF0" w:rsidRPr="000665B0" w:rsidRDefault="001C7EF0" w:rsidP="006D5A65">
      <w:pPr>
        <w:pStyle w:val="Heading1"/>
      </w:pPr>
      <w:r w:rsidRPr="000665B0">
        <w:rPr>
          <w:bCs/>
        </w:rPr>
        <w:t>Target Info Usage</w:t>
      </w:r>
      <w:r w:rsidRPr="000665B0">
        <w:t xml:space="preserve"> (optional) – Indicates whether target information is included or not. </w:t>
      </w:r>
      <w:r w:rsidR="005F5695" w:rsidRPr="000665B0">
        <w:t xml:space="preserve">See </w:t>
      </w:r>
      <w:hyperlink w:anchor="_5.35.1.1.1__Target_1" w:history="1">
        <w:r w:rsidR="005F5695" w:rsidRPr="000665B0">
          <w:rPr>
            <w:color w:val="0000FF"/>
            <w:u w:val="single"/>
          </w:rPr>
          <w:t xml:space="preserve">Section </w:t>
        </w:r>
        <w:r w:rsidR="004231CC">
          <w:rPr>
            <w:color w:val="0000FF"/>
            <w:u w:val="single"/>
          </w:rPr>
          <w:t>5.31</w:t>
        </w:r>
        <w:r w:rsidR="005F5695" w:rsidRPr="000665B0">
          <w:rPr>
            <w:color w:val="0000FF"/>
            <w:u w:val="single"/>
          </w:rPr>
          <w:t>.1.1.1</w:t>
        </w:r>
      </w:hyperlink>
      <w:r w:rsidR="005F5695" w:rsidRPr="000665B0">
        <w:t>.</w:t>
      </w:r>
    </w:p>
    <w:p w14:paraId="40E16305" w14:textId="77777777" w:rsidR="001C7EF0" w:rsidRPr="000665B0" w:rsidRDefault="001C7EF0" w:rsidP="006D5A65">
      <w:pPr>
        <w:pStyle w:val="Heading1"/>
      </w:pPr>
      <w:r w:rsidRPr="000665B0">
        <w:rPr>
          <w:bCs/>
        </w:rPr>
        <w:t>Facility Name</w:t>
      </w:r>
      <w:r w:rsidRPr="000665B0">
        <w:t xml:space="preserve"> (optional) – Official name of the facility or populated area. </w:t>
      </w:r>
    </w:p>
    <w:p w14:paraId="21A08711" w14:textId="2F007425" w:rsidR="001C7EF0" w:rsidRPr="000665B0" w:rsidRDefault="001C7EF0" w:rsidP="006D5A65">
      <w:pPr>
        <w:pStyle w:val="Heading1"/>
      </w:pPr>
      <w:r w:rsidRPr="000665B0">
        <w:t>Installation Name (optional) –</w:t>
      </w:r>
      <w:r w:rsidR="009E54C9" w:rsidRPr="000665B0">
        <w:t xml:space="preserve"> </w:t>
      </w:r>
      <w:r w:rsidRPr="000665B0">
        <w:t>The standard MIDB name used for the installations containing the Target Segment.</w:t>
      </w:r>
    </w:p>
    <w:p w14:paraId="266A5F42" w14:textId="63957FBB" w:rsidR="001C7EF0" w:rsidRPr="000665B0" w:rsidRDefault="001C7EF0" w:rsidP="006D5A65">
      <w:pPr>
        <w:pStyle w:val="Heading1"/>
      </w:pPr>
      <w:r w:rsidRPr="000665B0">
        <w:t xml:space="preserve">Latitude/Longitude – Latitude/Longitude coordinates of the primary aimpoint. This is a required field (as denoted by the * and/or yellow background) and the user is unable to proceed without updating this field. For further information on mandatory fields see </w:t>
      </w:r>
      <w:hyperlink w:anchor="_5.2.7__Editing" w:history="1">
        <w:r w:rsidRPr="000665B0">
          <w:rPr>
            <w:color w:val="0000FF"/>
            <w:u w:val="single"/>
          </w:rPr>
          <w:t>Section 5.2.8</w:t>
        </w:r>
      </w:hyperlink>
      <w:r w:rsidRPr="000665B0">
        <w:t>.</w:t>
      </w:r>
    </w:p>
    <w:p w14:paraId="59D536C6" w14:textId="77777777" w:rsidR="001C7EF0" w:rsidRPr="000665B0" w:rsidRDefault="001C7EF0" w:rsidP="006D5A65">
      <w:pPr>
        <w:pStyle w:val="Heading1"/>
      </w:pPr>
      <w:r w:rsidRPr="000665B0">
        <w:rPr>
          <w:bCs/>
        </w:rPr>
        <w:t xml:space="preserve">Elevation/Elevation Datum </w:t>
      </w:r>
      <w:r w:rsidRPr="000665B0">
        <w:t>(optional) – Elevation and elevation datum of the target. Required if Auto-Gen is true.</w:t>
      </w:r>
    </w:p>
    <w:p w14:paraId="63A334ED" w14:textId="77777777" w:rsidR="001C7EF0" w:rsidRPr="000665B0" w:rsidRDefault="001C7EF0" w:rsidP="006D5A65">
      <w:pPr>
        <w:pStyle w:val="Heading1"/>
      </w:pPr>
      <w:r w:rsidRPr="000665B0">
        <w:t>Target Identifiers</w:t>
      </w:r>
    </w:p>
    <w:p w14:paraId="073250A0" w14:textId="77777777" w:rsidR="001C7EF0" w:rsidRPr="000665B0" w:rsidRDefault="001C7EF0" w:rsidP="006D5A65">
      <w:pPr>
        <w:pStyle w:val="Heading1"/>
      </w:pPr>
      <w:r w:rsidRPr="000665B0">
        <w:rPr>
          <w:bCs/>
        </w:rPr>
        <w:t xml:space="preserve">BE </w:t>
      </w:r>
      <w:r w:rsidRPr="000665B0">
        <w:t xml:space="preserve">(optional) – Basic Encyclopedia; An identified installation of potential significance as objectives for attack. </w:t>
      </w:r>
    </w:p>
    <w:p w14:paraId="304BCC83" w14:textId="77777777" w:rsidR="001C7EF0" w:rsidRPr="000665B0" w:rsidRDefault="001C7EF0" w:rsidP="006D5A65">
      <w:pPr>
        <w:pStyle w:val="Heading1"/>
      </w:pPr>
      <w:r w:rsidRPr="000665B0">
        <w:rPr>
          <w:bCs/>
        </w:rPr>
        <w:t xml:space="preserve">Aimpt ID </w:t>
      </w:r>
      <w:r w:rsidRPr="000665B0">
        <w:t>(optional) – Two alphabetic characters which, in conjunction with the Installation BE number, are used to uniquely identify the point desired for intended interaction of the warhead with a target element.</w:t>
      </w:r>
    </w:p>
    <w:p w14:paraId="66F194E1" w14:textId="77777777" w:rsidR="001C7EF0" w:rsidRPr="000665B0" w:rsidRDefault="001C7EF0" w:rsidP="006D5A65">
      <w:pPr>
        <w:pStyle w:val="Heading1"/>
      </w:pPr>
      <w:r w:rsidRPr="000665B0">
        <w:rPr>
          <w:bCs/>
        </w:rPr>
        <w:t xml:space="preserve">JDPI </w:t>
      </w:r>
      <w:r w:rsidRPr="000665B0">
        <w:t>(optional) – Joint Desired Point of Impact: A defined point of impact of the weapon.</w:t>
      </w:r>
    </w:p>
    <w:p w14:paraId="5CE96D07" w14:textId="77777777" w:rsidR="001C7EF0" w:rsidRPr="000665B0" w:rsidRDefault="001C7EF0" w:rsidP="006D5A65">
      <w:pPr>
        <w:pStyle w:val="Heading1"/>
      </w:pPr>
      <w:r w:rsidRPr="000665B0">
        <w:rPr>
          <w:bCs/>
        </w:rPr>
        <w:t xml:space="preserve">Tactical Target Number (TTN) </w:t>
      </w:r>
      <w:r w:rsidRPr="000665B0">
        <w:t xml:space="preserve">(optional) – Mechanism for a Joint Commander to call for fire. </w:t>
      </w:r>
    </w:p>
    <w:p w14:paraId="020897F6" w14:textId="77777777" w:rsidR="001C7EF0" w:rsidRPr="000665B0" w:rsidRDefault="001C7EF0" w:rsidP="006D5A65">
      <w:pPr>
        <w:pStyle w:val="Heading1"/>
      </w:pPr>
      <w:r w:rsidRPr="000665B0">
        <w:t xml:space="preserve">CE (optional) – The circular (horizontal) error for a target. It is comprised of a numerical accuracy value, along with a </w:t>
      </w:r>
      <w:r w:rsidRPr="000665B0">
        <w:lastRenderedPageBreak/>
        <w:t>unit of measure, and a confidence level percentage. Required if Auto-Gen is true.</w:t>
      </w:r>
    </w:p>
    <w:p w14:paraId="35AEB1ED" w14:textId="77777777" w:rsidR="007C4576" w:rsidRPr="000665B0" w:rsidRDefault="001C7EF0" w:rsidP="006D5A65">
      <w:pPr>
        <w:pStyle w:val="Heading1"/>
      </w:pPr>
      <w:r w:rsidRPr="000665B0">
        <w:t>LE (optional) –- The linear (vertical) error for a target. It is comprised of a numerical accuracy value, along with a unit of measure, and a confidence level percentage. Required if Auto-Gen is true.</w:t>
      </w:r>
    </w:p>
    <w:p w14:paraId="2139974A" w14:textId="419416F6" w:rsidR="007C4576" w:rsidRPr="007C4576" w:rsidRDefault="007C4576" w:rsidP="006D5A65">
      <w:pPr>
        <w:pStyle w:val="Heading1"/>
      </w:pPr>
      <w:r w:rsidRPr="000665B0">
        <w:t>Enter or select the following information under the Target Data section:</w:t>
      </w:r>
      <w:r w:rsidRPr="007C4576">
        <w:rPr>
          <w:rFonts w:ascii="Aptos" w:eastAsia="Times New Roman" w:hAnsi="Aptos"/>
          <w:color w:val="000000"/>
          <w:szCs w:val="24"/>
        </w:rPr>
        <w:t xml:space="preserve"> </w:t>
      </w:r>
      <w:r w:rsidRPr="007C4576">
        <w:t>MDS TMPR form has been updated with a new releasability drop-down menu with a list of countries.</w:t>
      </w:r>
    </w:p>
    <w:p w14:paraId="7801F636" w14:textId="2D7F991D" w:rsidR="007C4576" w:rsidRPr="007C4576" w:rsidRDefault="007C4576" w:rsidP="004B1275">
      <w:pPr>
        <w:ind w:left="720"/>
      </w:pPr>
      <w:r w:rsidRPr="007C4576">
        <w:t>User needs to look at the classified Appendix from Reference classified doc 3900/183 and select available associated countries.</w:t>
      </w:r>
    </w:p>
    <w:p w14:paraId="72E196F5" w14:textId="77777777" w:rsidR="001C7EF0" w:rsidRPr="000665B0" w:rsidRDefault="001C7EF0" w:rsidP="004B1275">
      <w:pPr>
        <w:keepNext/>
        <w:pBdr>
          <w:top w:val="single" w:sz="12" w:space="1" w:color="auto"/>
          <w:left w:val="single" w:sz="12" w:space="4" w:color="auto"/>
          <w:bottom w:val="single" w:sz="12" w:space="1" w:color="auto"/>
          <w:right w:val="single" w:sz="12" w:space="4" w:color="auto"/>
        </w:pBdr>
        <w:shd w:val="clear" w:color="auto" w:fill="D9D9D9"/>
        <w:spacing w:before="120" w:after="0"/>
        <w:jc w:val="center"/>
        <w:rPr>
          <w:b/>
          <w:szCs w:val="24"/>
        </w:rPr>
      </w:pPr>
      <w:r w:rsidRPr="000665B0">
        <w:rPr>
          <w:b/>
          <w:szCs w:val="24"/>
        </w:rPr>
        <w:t>Note:</w:t>
      </w:r>
    </w:p>
    <w:p w14:paraId="53692206" w14:textId="77777777" w:rsidR="001C7EF0" w:rsidRPr="000665B0" w:rsidRDefault="00A96BC3"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 xml:space="preserve">If the Auto Generate box is checked the following fields become required: </w:t>
      </w:r>
      <w:r w:rsidR="001C7EF0" w:rsidRPr="000665B0">
        <w:rPr>
          <w:b/>
          <w:szCs w:val="24"/>
        </w:rPr>
        <w:t xml:space="preserve">FPPWP, Analysis Day Type, Dive Angle, Fuze Setting, Elevation, CE, and LE. </w:t>
      </w:r>
    </w:p>
    <w:p w14:paraId="034B251D" w14:textId="77777777" w:rsidR="001C7EF0" w:rsidRPr="000665B0" w:rsidRDefault="001C7EF0"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p>
    <w:p w14:paraId="74DB7058" w14:textId="2D595D75" w:rsidR="000D70ED" w:rsidRPr="000665B0" w:rsidRDefault="001C7EF0"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 xml:space="preserve">This information is necessary for all mission planning. In the case of the auto-router, there is no mission planner to add the data at the TPS. </w:t>
      </w:r>
      <w:r w:rsidR="002D123F" w:rsidRPr="000665B0">
        <w:rPr>
          <w:b/>
          <w:szCs w:val="24"/>
        </w:rPr>
        <w:t>Therefore,</w:t>
      </w:r>
      <w:r w:rsidRPr="000665B0">
        <w:rPr>
          <w:b/>
          <w:szCs w:val="24"/>
        </w:rPr>
        <w:t xml:space="preserve"> the data must be supplied in the TMPR</w:t>
      </w:r>
      <w:r w:rsidR="00ED09C5" w:rsidRPr="000665B0">
        <w:rPr>
          <w:b/>
          <w:szCs w:val="24"/>
        </w:rPr>
        <w:t>.</w:t>
      </w:r>
    </w:p>
    <w:p w14:paraId="2171E39F" w14:textId="11165D62" w:rsidR="000D70ED" w:rsidRPr="000665B0" w:rsidRDefault="000D70ED" w:rsidP="009570CA">
      <w:pPr>
        <w:pStyle w:val="Heading5"/>
        <w:rPr>
          <w:bCs/>
          <w:caps/>
        </w:rPr>
      </w:pPr>
      <w:bookmarkStart w:id="5819" w:name="_5.35.1.1.1__Target"/>
      <w:bookmarkStart w:id="5820" w:name="_5.35.2.1.1__Target"/>
      <w:bookmarkStart w:id="5821" w:name="_5.35.1.1.1__Target_1"/>
      <w:bookmarkStart w:id="5822" w:name="_Target_Information_Usage"/>
      <w:bookmarkStart w:id="5823" w:name="_Toc194984786"/>
      <w:bookmarkStart w:id="5824" w:name="_Toc289328793"/>
      <w:bookmarkEnd w:id="5819"/>
      <w:bookmarkEnd w:id="5820"/>
      <w:bookmarkEnd w:id="5821"/>
      <w:bookmarkEnd w:id="5822"/>
      <w:r w:rsidRPr="000665B0">
        <w:t>Target Information Usage</w:t>
      </w:r>
      <w:bookmarkEnd w:id="5823"/>
      <w:bookmarkEnd w:id="5824"/>
    </w:p>
    <w:p w14:paraId="29361AB6" w14:textId="77777777" w:rsidR="000D70ED" w:rsidRPr="000665B0" w:rsidRDefault="000D70ED" w:rsidP="009570CA">
      <w:pPr>
        <w:rPr>
          <w:szCs w:val="24"/>
        </w:rPr>
      </w:pPr>
      <w:r w:rsidRPr="000665B0">
        <w:rPr>
          <w:szCs w:val="24"/>
        </w:rPr>
        <w:t xml:space="preserve">The </w:t>
      </w:r>
      <w:r w:rsidRPr="000665B0">
        <w:rPr>
          <w:b/>
          <w:i/>
          <w:szCs w:val="24"/>
        </w:rPr>
        <w:t>Target Info. Usage</w:t>
      </w:r>
      <w:r w:rsidRPr="000665B0">
        <w:rPr>
          <w:szCs w:val="24"/>
        </w:rPr>
        <w:t xml:space="preserve"> field is an indicator used by TPS to determine how it should handle the </w:t>
      </w:r>
      <w:r w:rsidRPr="000665B0">
        <w:rPr>
          <w:i/>
          <w:szCs w:val="24"/>
        </w:rPr>
        <w:t>Run-In Azimuth</w:t>
      </w:r>
      <w:r w:rsidRPr="000665B0">
        <w:rPr>
          <w:szCs w:val="24"/>
        </w:rPr>
        <w:t xml:space="preserve">, </w:t>
      </w:r>
      <w:r w:rsidRPr="000665B0">
        <w:rPr>
          <w:i/>
          <w:szCs w:val="24"/>
        </w:rPr>
        <w:t>Dive Angle</w:t>
      </w:r>
      <w:r w:rsidRPr="000665B0">
        <w:rPr>
          <w:szCs w:val="24"/>
        </w:rPr>
        <w:t xml:space="preserve">, and </w:t>
      </w:r>
      <w:r w:rsidRPr="000665B0">
        <w:rPr>
          <w:i/>
          <w:szCs w:val="24"/>
        </w:rPr>
        <w:t>Fuze Setting</w:t>
      </w:r>
      <w:r w:rsidRPr="000665B0">
        <w:rPr>
          <w:szCs w:val="24"/>
        </w:rPr>
        <w:t xml:space="preserve"> when generating missions from TMPRs. By selecting one of three settings, TPS decide</w:t>
      </w:r>
      <w:r w:rsidR="00483E4A" w:rsidRPr="000665B0">
        <w:rPr>
          <w:szCs w:val="24"/>
        </w:rPr>
        <w:t>s</w:t>
      </w:r>
      <w:r w:rsidRPr="000665B0">
        <w:rPr>
          <w:szCs w:val="24"/>
        </w:rPr>
        <w:t xml:space="preserve"> how to use the specified target data when generating missions.</w:t>
      </w:r>
    </w:p>
    <w:p w14:paraId="1BAB8AB1" w14:textId="34750A46" w:rsidR="000D70ED" w:rsidRPr="000665B0" w:rsidRDefault="0000227D" w:rsidP="009570CA">
      <w:pPr>
        <w:jc w:val="center"/>
        <w:rPr>
          <w:rFonts w:ascii="Arial" w:hAnsi="Arial" w:cs="Arial"/>
          <w:sz w:val="20"/>
        </w:rPr>
      </w:pPr>
      <w:r w:rsidRPr="000665B0">
        <w:rPr>
          <w:noProof/>
        </w:rPr>
        <w:drawing>
          <wp:inline distT="0" distB="0" distL="0" distR="0" wp14:anchorId="113F3C3A" wp14:editId="31625F50">
            <wp:extent cx="2286000" cy="576072"/>
            <wp:effectExtent l="0" t="0" r="0" b="0"/>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576072"/>
                    </a:xfrm>
                    <a:prstGeom prst="rect">
                      <a:avLst/>
                    </a:prstGeom>
                  </pic:spPr>
                </pic:pic>
              </a:graphicData>
            </a:graphic>
          </wp:inline>
        </w:drawing>
      </w:r>
    </w:p>
    <w:p w14:paraId="1EF46239" w14:textId="77777777" w:rsidR="000D70ED" w:rsidRPr="000665B0" w:rsidRDefault="000D70ED" w:rsidP="009570CA">
      <w:pPr>
        <w:rPr>
          <w:szCs w:val="24"/>
        </w:rPr>
      </w:pPr>
      <w:r w:rsidRPr="000665B0">
        <w:rPr>
          <w:szCs w:val="24"/>
        </w:rPr>
        <w:t xml:space="preserve">If the </w:t>
      </w:r>
      <w:r w:rsidRPr="000665B0">
        <w:rPr>
          <w:i/>
          <w:szCs w:val="24"/>
        </w:rPr>
        <w:t>Run-In Azimuth</w:t>
      </w:r>
      <w:r w:rsidRPr="000665B0">
        <w:rPr>
          <w:szCs w:val="24"/>
        </w:rPr>
        <w:t xml:space="preserve">, </w:t>
      </w:r>
      <w:r w:rsidRPr="000665B0">
        <w:rPr>
          <w:i/>
          <w:szCs w:val="24"/>
        </w:rPr>
        <w:t>Dive Angle</w:t>
      </w:r>
      <w:r w:rsidRPr="000665B0">
        <w:rPr>
          <w:szCs w:val="24"/>
        </w:rPr>
        <w:t xml:space="preserve">, and </w:t>
      </w:r>
      <w:r w:rsidRPr="000665B0">
        <w:rPr>
          <w:i/>
          <w:szCs w:val="24"/>
        </w:rPr>
        <w:t>Fuze Setting</w:t>
      </w:r>
      <w:r w:rsidRPr="000665B0">
        <w:rPr>
          <w:szCs w:val="24"/>
        </w:rPr>
        <w:t xml:space="preserve"> are provided within the TMPR and they are different from the values entered in the TPS Retarget Parameters Form, those differences </w:t>
      </w:r>
      <w:r w:rsidR="00483E4A" w:rsidRPr="000665B0">
        <w:rPr>
          <w:szCs w:val="24"/>
        </w:rPr>
        <w:t>are</w:t>
      </w:r>
      <w:r w:rsidRPr="000665B0">
        <w:rPr>
          <w:szCs w:val="24"/>
        </w:rPr>
        <w:t xml:space="preserve"> reported in the TPS Retarget Route Report. This behavior applies regardless of what the </w:t>
      </w:r>
      <w:r w:rsidRPr="000665B0">
        <w:rPr>
          <w:i/>
          <w:szCs w:val="24"/>
        </w:rPr>
        <w:t>Target Info. Usage</w:t>
      </w:r>
      <w:r w:rsidRPr="000665B0">
        <w:rPr>
          <w:szCs w:val="24"/>
        </w:rPr>
        <w:t xml:space="preserve"> indicator is set to.</w:t>
      </w:r>
    </w:p>
    <w:p w14:paraId="2068E7D8" w14:textId="77777777" w:rsidR="00CD6108" w:rsidRPr="000665B0" w:rsidRDefault="00CD6108" w:rsidP="009570CA">
      <w:pPr>
        <w:rPr>
          <w:szCs w:val="24"/>
        </w:rPr>
      </w:pPr>
      <w:r w:rsidRPr="000665B0">
        <w:rPr>
          <w:szCs w:val="24"/>
        </w:rPr>
        <w:t xml:space="preserve">However, depending on what the </w:t>
      </w:r>
      <w:r w:rsidRPr="000665B0">
        <w:rPr>
          <w:i/>
          <w:szCs w:val="24"/>
        </w:rPr>
        <w:t>Target Info. Usage</w:t>
      </w:r>
      <w:r w:rsidRPr="000665B0">
        <w:rPr>
          <w:szCs w:val="24"/>
        </w:rPr>
        <w:t xml:space="preserve"> is set to, TPS will handle the TMPR differently. These differences are described below:</w:t>
      </w:r>
    </w:p>
    <w:p w14:paraId="739319B7" w14:textId="77777777" w:rsidR="000D70ED" w:rsidRPr="000665B0" w:rsidRDefault="000D70ED" w:rsidP="009570CA">
      <w:pPr>
        <w:spacing w:line="240" w:lineRule="auto"/>
        <w:rPr>
          <w:b/>
          <w:szCs w:val="24"/>
        </w:rPr>
      </w:pPr>
      <w:r w:rsidRPr="000665B0">
        <w:rPr>
          <w:b/>
          <w:szCs w:val="24"/>
        </w:rPr>
        <w:t>Has Target Information</w:t>
      </w:r>
    </w:p>
    <w:p w14:paraId="6D4E6FEC" w14:textId="77777777" w:rsidR="00CD6108" w:rsidRPr="000665B0" w:rsidRDefault="00CD6108" w:rsidP="009570CA">
      <w:pPr>
        <w:rPr>
          <w:szCs w:val="24"/>
        </w:rPr>
      </w:pPr>
      <w:r w:rsidRPr="000665B0">
        <w:rPr>
          <w:szCs w:val="24"/>
        </w:rPr>
        <w:t xml:space="preserve">If the </w:t>
      </w:r>
      <w:r w:rsidRPr="000665B0">
        <w:rPr>
          <w:i/>
          <w:szCs w:val="24"/>
        </w:rPr>
        <w:t>Target Info. Usage</w:t>
      </w:r>
      <w:r w:rsidRPr="000665B0">
        <w:rPr>
          <w:szCs w:val="24"/>
        </w:rPr>
        <w:t xml:space="preserve"> is set to </w:t>
      </w:r>
      <w:r w:rsidRPr="000665B0">
        <w:rPr>
          <w:b/>
          <w:i/>
          <w:szCs w:val="24"/>
        </w:rPr>
        <w:t>“Has Target Information</w:t>
      </w:r>
      <w:r w:rsidRPr="000665B0">
        <w:rPr>
          <w:szCs w:val="24"/>
        </w:rPr>
        <w:t xml:space="preserve">,” the TMPR may have the </w:t>
      </w:r>
      <w:r w:rsidRPr="000665B0">
        <w:rPr>
          <w:i/>
          <w:szCs w:val="24"/>
        </w:rPr>
        <w:t>Run-In Azimuth</w:t>
      </w:r>
      <w:r w:rsidRPr="000665B0">
        <w:rPr>
          <w:szCs w:val="24"/>
        </w:rPr>
        <w:t xml:space="preserve">, </w:t>
      </w:r>
      <w:r w:rsidRPr="000665B0">
        <w:rPr>
          <w:i/>
          <w:szCs w:val="24"/>
        </w:rPr>
        <w:t>Dive Angle</w:t>
      </w:r>
      <w:r w:rsidRPr="000665B0">
        <w:rPr>
          <w:szCs w:val="24"/>
        </w:rPr>
        <w:t xml:space="preserve">, and </w:t>
      </w:r>
      <w:r w:rsidRPr="000665B0">
        <w:rPr>
          <w:i/>
          <w:szCs w:val="24"/>
        </w:rPr>
        <w:t>Fuze Setting</w:t>
      </w:r>
      <w:r w:rsidRPr="000665B0">
        <w:rPr>
          <w:b/>
          <w:i/>
          <w:szCs w:val="24"/>
        </w:rPr>
        <w:t xml:space="preserve"> </w:t>
      </w:r>
      <w:r w:rsidRPr="000665B0">
        <w:rPr>
          <w:szCs w:val="24"/>
        </w:rPr>
        <w:t>included in the TMPR. However,</w:t>
      </w:r>
      <w:r w:rsidRPr="000665B0">
        <w:rPr>
          <w:b/>
          <w:i/>
          <w:szCs w:val="24"/>
        </w:rPr>
        <w:t xml:space="preserve"> </w:t>
      </w:r>
      <w:r w:rsidRPr="000665B0">
        <w:rPr>
          <w:szCs w:val="24"/>
        </w:rPr>
        <w:t>TPS may ignore this information when generating a mission.</w:t>
      </w:r>
    </w:p>
    <w:p w14:paraId="7528A70B" w14:textId="77777777" w:rsidR="00CD6108" w:rsidRPr="000665B0" w:rsidRDefault="00CD6108" w:rsidP="009570CA">
      <w:pPr>
        <w:rPr>
          <w:szCs w:val="24"/>
        </w:rPr>
      </w:pPr>
      <w:r w:rsidRPr="000665B0">
        <w:rPr>
          <w:szCs w:val="24"/>
        </w:rPr>
        <w:t xml:space="preserve">If the </w:t>
      </w:r>
      <w:r w:rsidRPr="000665B0">
        <w:rPr>
          <w:i/>
          <w:szCs w:val="24"/>
        </w:rPr>
        <w:t>Run-In Azimuth</w:t>
      </w:r>
      <w:r w:rsidRPr="000665B0">
        <w:rPr>
          <w:szCs w:val="24"/>
        </w:rPr>
        <w:t xml:space="preserve">, </w:t>
      </w:r>
      <w:r w:rsidRPr="000665B0">
        <w:rPr>
          <w:i/>
          <w:szCs w:val="24"/>
        </w:rPr>
        <w:t>Dive Angle</w:t>
      </w:r>
      <w:r w:rsidRPr="000665B0">
        <w:rPr>
          <w:szCs w:val="24"/>
        </w:rPr>
        <w:t xml:space="preserve">, or </w:t>
      </w:r>
      <w:r w:rsidRPr="000665B0">
        <w:rPr>
          <w:i/>
          <w:szCs w:val="24"/>
        </w:rPr>
        <w:t>Fuze Setting</w:t>
      </w:r>
      <w:r w:rsidRPr="000665B0">
        <w:rPr>
          <w:szCs w:val="24"/>
        </w:rPr>
        <w:t xml:space="preserve"> are left blank, TPS will ignore that fact when generating the mission. Default values are not provided for any of those fields. After the retarget mission segment has been created, TPS does not take into account the empty values when generating the TPS Retarget Route Report.</w:t>
      </w:r>
    </w:p>
    <w:p w14:paraId="339D4A02" w14:textId="77777777" w:rsidR="00CD6108" w:rsidRPr="000665B0" w:rsidRDefault="00CD6108" w:rsidP="009570CA">
      <w:pPr>
        <w:spacing w:line="240" w:lineRule="auto"/>
        <w:rPr>
          <w:b/>
          <w:szCs w:val="24"/>
        </w:rPr>
      </w:pPr>
      <w:r w:rsidRPr="000665B0">
        <w:rPr>
          <w:b/>
          <w:szCs w:val="24"/>
        </w:rPr>
        <w:lastRenderedPageBreak/>
        <w:t>Must use Target Information</w:t>
      </w:r>
    </w:p>
    <w:p w14:paraId="342CEFB1" w14:textId="77777777" w:rsidR="00CD6108" w:rsidRPr="000665B0" w:rsidRDefault="00CD6108" w:rsidP="009570CA">
      <w:pPr>
        <w:rPr>
          <w:szCs w:val="24"/>
        </w:rPr>
      </w:pPr>
      <w:r w:rsidRPr="000665B0">
        <w:rPr>
          <w:szCs w:val="24"/>
        </w:rPr>
        <w:t xml:space="preserve">By selecting the </w:t>
      </w:r>
      <w:r w:rsidRPr="000665B0">
        <w:rPr>
          <w:b/>
          <w:i/>
          <w:szCs w:val="24"/>
        </w:rPr>
        <w:t>“Must use Target Information”</w:t>
      </w:r>
      <w:r w:rsidRPr="000665B0">
        <w:rPr>
          <w:szCs w:val="24"/>
        </w:rPr>
        <w:t xml:space="preserve"> setting for the </w:t>
      </w:r>
      <w:r w:rsidRPr="000665B0">
        <w:rPr>
          <w:i/>
          <w:szCs w:val="24"/>
        </w:rPr>
        <w:t>Target Info. Usage</w:t>
      </w:r>
      <w:r w:rsidRPr="000665B0">
        <w:rPr>
          <w:szCs w:val="24"/>
        </w:rPr>
        <w:t>, TPS must use the target information included with the TMPR in generating missions. Depending on what information is included with the TMPR, TPS handles generating the mission in different ways.</w:t>
      </w:r>
    </w:p>
    <w:p w14:paraId="3AF41F49" w14:textId="77777777" w:rsidR="00CD6108" w:rsidRPr="000665B0" w:rsidRDefault="00CD6108" w:rsidP="009570CA">
      <w:pPr>
        <w:rPr>
          <w:szCs w:val="24"/>
        </w:rPr>
      </w:pPr>
      <w:r w:rsidRPr="000665B0">
        <w:rPr>
          <w:szCs w:val="24"/>
        </w:rPr>
        <w:t xml:space="preserve">If the </w:t>
      </w:r>
      <w:r w:rsidRPr="000665B0">
        <w:rPr>
          <w:i/>
          <w:szCs w:val="24"/>
        </w:rPr>
        <w:t>Dive Angle</w:t>
      </w:r>
      <w:r w:rsidRPr="000665B0">
        <w:rPr>
          <w:szCs w:val="24"/>
        </w:rPr>
        <w:t xml:space="preserve"> or </w:t>
      </w:r>
      <w:r w:rsidRPr="000665B0">
        <w:rPr>
          <w:i/>
          <w:szCs w:val="24"/>
        </w:rPr>
        <w:t>Fuze Setting</w:t>
      </w:r>
      <w:r w:rsidRPr="000665B0">
        <w:rPr>
          <w:szCs w:val="24"/>
        </w:rPr>
        <w:t xml:space="preserve"> are left blank, TPS will provide default values for them in generating the mission. However, if the TMPR does not have the </w:t>
      </w:r>
      <w:r w:rsidRPr="000665B0">
        <w:rPr>
          <w:i/>
          <w:szCs w:val="24"/>
        </w:rPr>
        <w:t>Run-In Azimuth</w:t>
      </w:r>
      <w:r w:rsidRPr="000665B0">
        <w:rPr>
          <w:szCs w:val="24"/>
        </w:rPr>
        <w:t xml:space="preserve"> set, the TPS operator must enter in that value before the retarget planning can begin. After the retarget segment has been generated, TPS will not register a difference between the TMPR and the planned route in the TPS Retarget Route Report.</w:t>
      </w:r>
    </w:p>
    <w:p w14:paraId="42610006" w14:textId="77777777" w:rsidR="00CD6108" w:rsidRPr="000665B0" w:rsidRDefault="00CD6108" w:rsidP="009570CA">
      <w:pPr>
        <w:spacing w:line="240" w:lineRule="auto"/>
        <w:rPr>
          <w:b/>
          <w:szCs w:val="24"/>
        </w:rPr>
      </w:pPr>
      <w:r w:rsidRPr="000665B0">
        <w:rPr>
          <w:b/>
          <w:szCs w:val="24"/>
        </w:rPr>
        <w:t>No Target Information</w:t>
      </w:r>
    </w:p>
    <w:p w14:paraId="1E4AAB1E" w14:textId="77777777" w:rsidR="00FA586C" w:rsidRDefault="00CD6108" w:rsidP="009570CA">
      <w:pPr>
        <w:rPr>
          <w:szCs w:val="24"/>
        </w:rPr>
      </w:pPr>
      <w:r w:rsidRPr="000665B0">
        <w:rPr>
          <w:szCs w:val="24"/>
        </w:rPr>
        <w:t xml:space="preserve">If the </w:t>
      </w:r>
      <w:r w:rsidRPr="000665B0">
        <w:rPr>
          <w:i/>
          <w:szCs w:val="24"/>
        </w:rPr>
        <w:t>Target Info. Usage</w:t>
      </w:r>
      <w:r w:rsidRPr="000665B0">
        <w:rPr>
          <w:szCs w:val="24"/>
        </w:rPr>
        <w:t xml:space="preserve"> is set to </w:t>
      </w:r>
      <w:r w:rsidRPr="000665B0">
        <w:rPr>
          <w:b/>
          <w:i/>
          <w:szCs w:val="24"/>
        </w:rPr>
        <w:t>“No Target Information</w:t>
      </w:r>
      <w:r w:rsidRPr="000665B0">
        <w:rPr>
          <w:szCs w:val="24"/>
        </w:rPr>
        <w:t xml:space="preserve">,” TPS does not require the </w:t>
      </w:r>
      <w:r w:rsidRPr="000665B0">
        <w:rPr>
          <w:i/>
          <w:szCs w:val="24"/>
        </w:rPr>
        <w:t>Run-In</w:t>
      </w:r>
      <w:r w:rsidRPr="000665B0">
        <w:rPr>
          <w:b/>
          <w:i/>
          <w:szCs w:val="24"/>
        </w:rPr>
        <w:t xml:space="preserve"> </w:t>
      </w:r>
      <w:r w:rsidRPr="000665B0">
        <w:rPr>
          <w:i/>
          <w:szCs w:val="24"/>
        </w:rPr>
        <w:t>Azimuth</w:t>
      </w:r>
      <w:r w:rsidRPr="000665B0">
        <w:rPr>
          <w:szCs w:val="24"/>
        </w:rPr>
        <w:t xml:space="preserve">, </w:t>
      </w:r>
      <w:r w:rsidRPr="000665B0">
        <w:rPr>
          <w:i/>
          <w:szCs w:val="24"/>
        </w:rPr>
        <w:t>Dive Angle</w:t>
      </w:r>
      <w:r w:rsidRPr="000665B0">
        <w:rPr>
          <w:szCs w:val="24"/>
        </w:rPr>
        <w:t xml:space="preserve">, and </w:t>
      </w:r>
      <w:r w:rsidRPr="000665B0">
        <w:rPr>
          <w:i/>
          <w:szCs w:val="24"/>
        </w:rPr>
        <w:t>Fuze Setting</w:t>
      </w:r>
      <w:r w:rsidRPr="000665B0">
        <w:rPr>
          <w:szCs w:val="24"/>
        </w:rPr>
        <w:t xml:space="preserve"> of the TMPR to be completed and used in generating a mission. Default values are not provided for any of those fields by TPS, and any differences between that TMPR and the TPS Retarget Parameters Form will not be noted in the TPS Retarget Route Report.</w:t>
      </w:r>
    </w:p>
    <w:p w14:paraId="4DB5BE92" w14:textId="77777777" w:rsidR="00B07C11" w:rsidRPr="000665B0" w:rsidRDefault="00B07C11" w:rsidP="00B07C11">
      <w:pPr>
        <w:keepNext/>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6AE4B004" w14:textId="77777777" w:rsidR="00B07C11" w:rsidRDefault="00B07C11" w:rsidP="00B07C11">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The Target Info. Usage field is located in the Create, Modify, Retarget,</w:t>
      </w:r>
    </w:p>
    <w:p w14:paraId="505CD482" w14:textId="2D7B3673" w:rsidR="00B07C11" w:rsidRPr="000665B0" w:rsidRDefault="00B07C11" w:rsidP="00B07C11">
      <w:pPr>
        <w:pBdr>
          <w:top w:val="single" w:sz="12" w:space="1" w:color="auto"/>
          <w:left w:val="single" w:sz="12" w:space="4" w:color="auto"/>
          <w:bottom w:val="single" w:sz="12" w:space="1" w:color="auto"/>
          <w:right w:val="single" w:sz="12" w:space="4" w:color="auto"/>
        </w:pBdr>
        <w:shd w:val="clear" w:color="auto" w:fill="D9D9D9"/>
        <w:spacing w:after="0"/>
        <w:jc w:val="center"/>
        <w:rPr>
          <w:szCs w:val="24"/>
        </w:rPr>
      </w:pPr>
      <w:r w:rsidRPr="000665B0">
        <w:rPr>
          <w:b/>
          <w:szCs w:val="24"/>
        </w:rPr>
        <w:t>and Attack Plan TMPRs.</w:t>
      </w:r>
    </w:p>
    <w:p w14:paraId="2903FE6A" w14:textId="77777777" w:rsidR="00B07C11" w:rsidRPr="000665B0" w:rsidRDefault="00B07C11" w:rsidP="00B07C11">
      <w:pPr>
        <w:spacing w:after="0"/>
        <w:rPr>
          <w:szCs w:val="24"/>
        </w:rPr>
      </w:pPr>
    </w:p>
    <w:p w14:paraId="30725DE8" w14:textId="77777777" w:rsidR="00FA586C" w:rsidRPr="000665B0" w:rsidRDefault="00FA586C" w:rsidP="009570CA">
      <w:pPr>
        <w:keepNext/>
        <w:pBdr>
          <w:top w:val="single" w:sz="12" w:space="1" w:color="auto"/>
          <w:left w:val="single" w:sz="12" w:space="4" w:color="auto"/>
          <w:bottom w:val="single" w:sz="12" w:space="0" w:color="auto"/>
          <w:right w:val="single" w:sz="12" w:space="4" w:color="auto"/>
        </w:pBdr>
        <w:shd w:val="clear" w:color="auto" w:fill="D9D9D9"/>
        <w:spacing w:after="0"/>
        <w:jc w:val="center"/>
        <w:rPr>
          <w:b/>
          <w:szCs w:val="24"/>
        </w:rPr>
      </w:pPr>
      <w:bookmarkStart w:id="5825" w:name="_5.35.2.2__TMPR"/>
      <w:bookmarkStart w:id="5826" w:name="_5.35.1.2__Create"/>
      <w:bookmarkStart w:id="5827" w:name="_Toc194984787"/>
      <w:bookmarkStart w:id="5828" w:name="_Toc289328794"/>
      <w:bookmarkEnd w:id="5825"/>
      <w:bookmarkEnd w:id="5826"/>
      <w:r w:rsidRPr="000665B0">
        <w:rPr>
          <w:b/>
          <w:szCs w:val="24"/>
        </w:rPr>
        <w:t>Note:</w:t>
      </w:r>
    </w:p>
    <w:p w14:paraId="2E895A9C" w14:textId="5A74F546" w:rsidR="00FA586C" w:rsidRPr="000665B0" w:rsidRDefault="00FA586C" w:rsidP="009570CA">
      <w:pPr>
        <w:pBdr>
          <w:top w:val="single" w:sz="12" w:space="1" w:color="auto"/>
          <w:left w:val="single" w:sz="12" w:space="4" w:color="auto"/>
          <w:bottom w:val="single" w:sz="12" w:space="0" w:color="auto"/>
          <w:right w:val="single" w:sz="12" w:space="4" w:color="auto"/>
        </w:pBdr>
        <w:shd w:val="clear" w:color="auto" w:fill="D9D9D9"/>
        <w:jc w:val="center"/>
        <w:rPr>
          <w:b/>
          <w:szCs w:val="24"/>
        </w:rPr>
      </w:pPr>
      <w:r w:rsidRPr="000665B0">
        <w:rPr>
          <w:b/>
          <w:szCs w:val="24"/>
        </w:rPr>
        <w:t>MDS does NOT look at the Target Info. Usage field when validating the returned Retarget Mission Segment. There is no correlation between the Target Info. Usage and the Retarget Validation Settings (</w:t>
      </w:r>
      <w:r w:rsidR="00230F20" w:rsidRPr="000665B0">
        <w:rPr>
          <w:b/>
          <w:szCs w:val="24"/>
        </w:rPr>
        <w:t>s</w:t>
      </w:r>
      <w:r w:rsidRPr="000665B0">
        <w:rPr>
          <w:b/>
          <w:szCs w:val="24"/>
        </w:rPr>
        <w:t xml:space="preserve">ee </w:t>
      </w:r>
      <w:hyperlink w:anchor="_5.37.1.1.4.4__Retarget" w:history="1">
        <w:r w:rsidR="009326FE" w:rsidRPr="000665B0">
          <w:rPr>
            <w:b/>
            <w:color w:val="0000FF"/>
            <w:szCs w:val="24"/>
            <w:u w:val="single"/>
          </w:rPr>
          <w:t xml:space="preserve">Section </w:t>
        </w:r>
        <w:r w:rsidR="004231CC">
          <w:rPr>
            <w:b/>
            <w:color w:val="0000FF"/>
            <w:szCs w:val="24"/>
            <w:u w:val="single"/>
          </w:rPr>
          <w:t>5.34</w:t>
        </w:r>
        <w:r w:rsidRPr="000665B0">
          <w:rPr>
            <w:b/>
            <w:color w:val="0000FF"/>
            <w:szCs w:val="24"/>
            <w:u w:val="single"/>
          </w:rPr>
          <w:t>.1</w:t>
        </w:r>
        <w:r w:rsidR="0089269C" w:rsidRPr="000665B0">
          <w:rPr>
            <w:b/>
            <w:color w:val="0000FF"/>
            <w:szCs w:val="24"/>
            <w:u w:val="single"/>
          </w:rPr>
          <w:t>.1.4.4</w:t>
        </w:r>
      </w:hyperlink>
      <w:r w:rsidRPr="000665B0">
        <w:rPr>
          <w:b/>
          <w:szCs w:val="24"/>
        </w:rPr>
        <w:t>).</w:t>
      </w:r>
    </w:p>
    <w:p w14:paraId="6665D787" w14:textId="0917F00E" w:rsidR="00FA586C" w:rsidRPr="000665B0" w:rsidRDefault="005A41AD" w:rsidP="009570CA">
      <w:pPr>
        <w:pBdr>
          <w:top w:val="single" w:sz="12" w:space="1" w:color="auto"/>
          <w:left w:val="single" w:sz="12" w:space="4" w:color="auto"/>
          <w:bottom w:val="single" w:sz="12" w:space="0" w:color="auto"/>
          <w:right w:val="single" w:sz="12" w:space="4" w:color="auto"/>
        </w:pBdr>
        <w:shd w:val="clear" w:color="auto" w:fill="D9D9D9"/>
        <w:jc w:val="center"/>
        <w:rPr>
          <w:rFonts w:ascii="Arial" w:hAnsi="Arial" w:cs="Arial"/>
          <w:sz w:val="20"/>
        </w:rPr>
      </w:pPr>
      <w:r w:rsidRPr="000665B0">
        <w:rPr>
          <w:noProof/>
        </w:rPr>
        <w:drawing>
          <wp:inline distT="0" distB="0" distL="0" distR="0" wp14:anchorId="13E4B7D4" wp14:editId="0405BE8E">
            <wp:extent cx="3153148" cy="2455817"/>
            <wp:effectExtent l="0" t="0" r="9525" b="1905"/>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61516" cy="2462334"/>
                    </a:xfrm>
                    <a:prstGeom prst="rect">
                      <a:avLst/>
                    </a:prstGeom>
                  </pic:spPr>
                </pic:pic>
              </a:graphicData>
            </a:graphic>
          </wp:inline>
        </w:drawing>
      </w:r>
    </w:p>
    <w:p w14:paraId="63312558" w14:textId="14BE6CE1" w:rsidR="00FA586C" w:rsidRPr="00643D72" w:rsidRDefault="00FA586C" w:rsidP="009570CA">
      <w:pPr>
        <w:pBdr>
          <w:top w:val="single" w:sz="12" w:space="1" w:color="auto"/>
          <w:left w:val="single" w:sz="12" w:space="4" w:color="auto"/>
          <w:bottom w:val="single" w:sz="12" w:space="0" w:color="auto"/>
          <w:right w:val="single" w:sz="12" w:space="4" w:color="auto"/>
        </w:pBdr>
        <w:shd w:val="clear" w:color="auto" w:fill="D9D9D9"/>
        <w:jc w:val="both"/>
        <w:rPr>
          <w:b/>
          <w:szCs w:val="24"/>
        </w:rPr>
      </w:pPr>
      <w:r w:rsidRPr="000665B0">
        <w:rPr>
          <w:b/>
          <w:szCs w:val="24"/>
        </w:rPr>
        <w:t>Example:</w:t>
      </w:r>
      <w:r w:rsidR="00643D72">
        <w:rPr>
          <w:b/>
          <w:szCs w:val="24"/>
        </w:rPr>
        <w:t xml:space="preserve"> </w:t>
      </w:r>
      <w:r w:rsidRPr="000665B0">
        <w:rPr>
          <w:b/>
          <w:spacing w:val="-5"/>
          <w:szCs w:val="24"/>
        </w:rPr>
        <w:t>If the Verify Dive Angle Checkbox is checked, MDS validates whether the retarget segment matches the Dive Angle it is requesting for regardless of what the Target Info. Usage is set to.</w:t>
      </w:r>
    </w:p>
    <w:p w14:paraId="6F727975" w14:textId="3357C929" w:rsidR="000D70ED" w:rsidRPr="000665B0" w:rsidRDefault="000D70ED" w:rsidP="008376B8">
      <w:pPr>
        <w:pStyle w:val="Heading4"/>
        <w:pageBreakBefore/>
      </w:pPr>
      <w:bookmarkStart w:id="5829" w:name="_5.35.1.2__Create_1"/>
      <w:bookmarkStart w:id="5830" w:name="_Create_TMPR_Advanced"/>
      <w:bookmarkEnd w:id="5818"/>
      <w:bookmarkEnd w:id="5829"/>
      <w:bookmarkEnd w:id="5830"/>
      <w:r w:rsidRPr="000665B0">
        <w:lastRenderedPageBreak/>
        <w:t>Create TMPR Advanced Tab</w:t>
      </w:r>
      <w:bookmarkEnd w:id="5827"/>
      <w:bookmarkEnd w:id="5828"/>
    </w:p>
    <w:p w14:paraId="15AA6B34" w14:textId="77777777" w:rsidR="00AA3078" w:rsidRPr="000665B0" w:rsidRDefault="00AA3078" w:rsidP="009570CA">
      <w:r w:rsidRPr="000665B0">
        <w:t xml:space="preserve">The </w:t>
      </w:r>
      <w:r w:rsidRPr="000665B0">
        <w:rPr>
          <w:b/>
          <w:i/>
        </w:rPr>
        <w:t>Advanced</w:t>
      </w:r>
      <w:r w:rsidRPr="000665B0">
        <w:t xml:space="preserve"> tab contains information that can be viewed or entered for mission planning that is specific to the type of TMPR (Create, Modify, or Retarget). </w:t>
      </w:r>
    </w:p>
    <w:p w14:paraId="45DF5A5F" w14:textId="5DBE6DF8" w:rsidR="00AA3078" w:rsidRPr="000665B0" w:rsidRDefault="00090B8D" w:rsidP="009570CA">
      <w:pPr>
        <w:jc w:val="center"/>
        <w:rPr>
          <w:noProof/>
        </w:rPr>
      </w:pPr>
      <w:r w:rsidRPr="000665B0">
        <w:rPr>
          <w:noProof/>
        </w:rPr>
        <w:drawing>
          <wp:inline distT="0" distB="0" distL="0" distR="0" wp14:anchorId="546B4001" wp14:editId="07278858">
            <wp:extent cx="3154680" cy="2167128"/>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167128"/>
                    </a:xfrm>
                    <a:prstGeom prst="rect">
                      <a:avLst/>
                    </a:prstGeom>
                  </pic:spPr>
                </pic:pic>
              </a:graphicData>
            </a:graphic>
          </wp:inline>
        </w:drawing>
      </w:r>
      <w:r w:rsidRPr="000665B0">
        <w:rPr>
          <w:noProof/>
        </w:rPr>
        <w:t xml:space="preserve"> </w:t>
      </w:r>
    </w:p>
    <w:p w14:paraId="249AB5FF" w14:textId="77777777" w:rsidR="00AA3078" w:rsidRPr="000665B0" w:rsidRDefault="00AA3078" w:rsidP="009570CA">
      <w:r w:rsidRPr="000665B0">
        <w:t xml:space="preserve">By selecting the </w:t>
      </w:r>
      <w:r w:rsidRPr="000665B0">
        <w:rPr>
          <w:b/>
          <w:bCs/>
          <w:i/>
          <w:iCs/>
        </w:rPr>
        <w:t xml:space="preserve">Advanced </w:t>
      </w:r>
      <w:r w:rsidRPr="000665B0">
        <w:t>tab, the following information for Create TMPRs can viewed/edited. Enter the following descriptive information as needed:</w:t>
      </w:r>
    </w:p>
    <w:p w14:paraId="5E44B60D" w14:textId="77777777" w:rsidR="00AA3078" w:rsidRPr="000665B0" w:rsidRDefault="00AA3078" w:rsidP="006D5A65">
      <w:pPr>
        <w:pStyle w:val="Heading1"/>
      </w:pPr>
      <w:r w:rsidRPr="000665B0">
        <w:rPr>
          <w:bCs/>
        </w:rPr>
        <w:t>Generation Priority</w:t>
      </w:r>
      <w:r w:rsidRPr="000665B0">
        <w:t xml:space="preserve"> (optional) – The priority assigned to task. </w:t>
      </w:r>
    </w:p>
    <w:p w14:paraId="0D08F654" w14:textId="77777777" w:rsidR="00AA3078" w:rsidRPr="000665B0" w:rsidRDefault="00AA3078" w:rsidP="006D5A65">
      <w:pPr>
        <w:pStyle w:val="Heading1"/>
      </w:pPr>
      <w:r w:rsidRPr="000665B0">
        <w:rPr>
          <w:bCs/>
        </w:rPr>
        <w:t>Operational Plan</w:t>
      </w:r>
      <w:r w:rsidRPr="000665B0">
        <w:t xml:space="preserve"> (optional) – The name of the exercise or live set of military missions and activities. </w:t>
      </w:r>
    </w:p>
    <w:p w14:paraId="2BDEB3AF" w14:textId="5DC1BCD0" w:rsidR="00AA3078" w:rsidRPr="006D7B19" w:rsidRDefault="00AA3078" w:rsidP="006D5A65">
      <w:pPr>
        <w:pStyle w:val="Heading1"/>
      </w:pPr>
      <w:r w:rsidRPr="006D7B19">
        <w:rPr>
          <w:bCs/>
        </w:rPr>
        <w:t>Tasking Authority</w:t>
      </w:r>
      <w:r w:rsidRPr="006D7B19">
        <w:t xml:space="preserve"> (optional) – The organization providing authority for the mission(s) to be generated as a result of the TMPR.</w:t>
      </w:r>
      <w:r w:rsidR="009651B0" w:rsidRPr="006D7B19">
        <w:t xml:space="preserve"> </w:t>
      </w:r>
    </w:p>
    <w:p w14:paraId="199FF8C6" w14:textId="77777777" w:rsidR="00AA3078" w:rsidRPr="000665B0" w:rsidRDefault="00AA3078" w:rsidP="006D5A65">
      <w:pPr>
        <w:pStyle w:val="Heading1"/>
      </w:pPr>
      <w:r w:rsidRPr="000665B0">
        <w:rPr>
          <w:bCs/>
        </w:rPr>
        <w:t>Desired Effect</w:t>
      </w:r>
      <w:r w:rsidRPr="000665B0">
        <w:t xml:space="preserve"> (optional) – Free text describing the desired effect. </w:t>
      </w:r>
    </w:p>
    <w:p w14:paraId="29178040" w14:textId="13819D1F" w:rsidR="00AA3078" w:rsidRPr="000665B0" w:rsidRDefault="00AA3078" w:rsidP="006D5A65">
      <w:pPr>
        <w:pStyle w:val="Heading1"/>
      </w:pPr>
      <w:r w:rsidRPr="000665B0">
        <w:rPr>
          <w:bCs/>
        </w:rPr>
        <w:t>Need By DTG</w:t>
      </w:r>
      <w:r w:rsidRPr="000665B0">
        <w:t xml:space="preserve"> – Date when the mission(s) to satisfy the TMPR is required. Date must be equal to or greater than the creation date. </w:t>
      </w:r>
      <w:r w:rsidRPr="000665B0">
        <w:rPr>
          <w:szCs w:val="24"/>
        </w:rPr>
        <w:t xml:space="preserve">This is a required field (as denoted by the * and/or yellow background) and the user is unable to proceed without updating this field. For further information on mandatory fields see </w:t>
      </w:r>
      <w:hyperlink w:anchor="_5.2.7__Editing" w:history="1">
        <w:r w:rsidRPr="000665B0">
          <w:rPr>
            <w:color w:val="0000FF"/>
            <w:szCs w:val="24"/>
            <w:u w:val="single"/>
          </w:rPr>
          <w:t>Section 5.2.8</w:t>
        </w:r>
      </w:hyperlink>
      <w:r w:rsidRPr="000665B0">
        <w:t>.</w:t>
      </w:r>
      <w:r w:rsidR="005D0383">
        <w:t xml:space="preserve"> </w:t>
      </w:r>
    </w:p>
    <w:p w14:paraId="059FD332" w14:textId="77777777" w:rsidR="00AA3078" w:rsidRPr="000665B0" w:rsidRDefault="00AA3078" w:rsidP="009570CA">
      <w:pPr>
        <w:rPr>
          <w:b/>
          <w:bCs/>
          <w:iCs/>
        </w:rPr>
      </w:pPr>
      <w:r w:rsidRPr="000665B0">
        <w:rPr>
          <w:b/>
        </w:rPr>
        <w:t>Aimpoints Tab</w:t>
      </w:r>
    </w:p>
    <w:p w14:paraId="5F75E4A0" w14:textId="2E6F3523" w:rsidR="00AA3078" w:rsidRPr="000665B0" w:rsidRDefault="00AA3078" w:rsidP="009570CA">
      <w:r w:rsidRPr="000665B0">
        <w:rPr>
          <w:bCs/>
          <w:iCs/>
        </w:rPr>
        <w:t>The</w:t>
      </w:r>
      <w:r w:rsidRPr="000665B0">
        <w:rPr>
          <w:bCs/>
          <w:i/>
          <w:iCs/>
        </w:rPr>
        <w:t xml:space="preserve"> </w:t>
      </w:r>
      <w:r w:rsidRPr="000665B0">
        <w:rPr>
          <w:b/>
          <w:bCs/>
          <w:i/>
          <w:iCs/>
        </w:rPr>
        <w:t>Aimpoints</w:t>
      </w:r>
      <w:r w:rsidRPr="000665B0">
        <w:rPr>
          <w:b/>
          <w:bCs/>
        </w:rPr>
        <w:t xml:space="preserve"> </w:t>
      </w:r>
      <w:r w:rsidRPr="000665B0">
        <w:t xml:space="preserve">tab represents the primary target information of the </w:t>
      </w:r>
      <w:r w:rsidRPr="000665B0">
        <w:rPr>
          <w:b/>
          <w:i/>
        </w:rPr>
        <w:t>General Information</w:t>
      </w:r>
      <w:r w:rsidRPr="000665B0">
        <w:t xml:space="preserve"> tab. At least one aimpoint must exist in a TMPR, and the information for the first aimpoint in the list view will match that of the General Information tab (</w:t>
      </w:r>
      <w:r w:rsidR="003509EA" w:rsidRPr="000665B0">
        <w:t xml:space="preserve">i.e., </w:t>
      </w:r>
      <w:r w:rsidRPr="000665B0">
        <w:t>Latitude, Longitude, etc.).</w:t>
      </w:r>
    </w:p>
    <w:p w14:paraId="48D0C88F" w14:textId="6D8DB439" w:rsidR="00AA3078" w:rsidRPr="000665B0" w:rsidRDefault="00090B8D" w:rsidP="009570CA">
      <w:pPr>
        <w:jc w:val="center"/>
      </w:pPr>
      <w:r w:rsidRPr="000665B0">
        <w:rPr>
          <w:noProof/>
        </w:rPr>
        <w:lastRenderedPageBreak/>
        <w:drawing>
          <wp:inline distT="0" distB="0" distL="0" distR="0" wp14:anchorId="65BC9ADC" wp14:editId="6779AF96">
            <wp:extent cx="3154680" cy="2167128"/>
            <wp:effectExtent l="0" t="0" r="0" b="0"/>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167128"/>
                    </a:xfrm>
                    <a:prstGeom prst="rect">
                      <a:avLst/>
                    </a:prstGeom>
                  </pic:spPr>
                </pic:pic>
              </a:graphicData>
            </a:graphic>
          </wp:inline>
        </w:drawing>
      </w:r>
      <w:r w:rsidRPr="000665B0">
        <w:rPr>
          <w:noProof/>
        </w:rPr>
        <w:t xml:space="preserve"> </w:t>
      </w:r>
    </w:p>
    <w:p w14:paraId="0CAAE826" w14:textId="77777777" w:rsidR="00AC2303" w:rsidRPr="000665B0" w:rsidRDefault="00AC2303" w:rsidP="009570CA">
      <w:pPr>
        <w:rPr>
          <w:i/>
        </w:rPr>
      </w:pPr>
      <w:r w:rsidRPr="000665B0">
        <w:rPr>
          <w:b/>
          <w:i/>
        </w:rPr>
        <w:t>Aimpoints List View</w:t>
      </w:r>
    </w:p>
    <w:p w14:paraId="1398B740" w14:textId="77777777" w:rsidR="00AC2303" w:rsidRPr="000665B0" w:rsidRDefault="00AC2303" w:rsidP="006D5A65">
      <w:pPr>
        <w:pStyle w:val="Heading1"/>
      </w:pPr>
      <w:r w:rsidRPr="000665B0">
        <w:t>Columns</w:t>
      </w:r>
    </w:p>
    <w:p w14:paraId="64BAC3A0" w14:textId="77777777" w:rsidR="000D70ED" w:rsidRPr="000665B0" w:rsidRDefault="000D70ED" w:rsidP="006D5A65">
      <w:pPr>
        <w:pStyle w:val="Heading2"/>
      </w:pPr>
      <w:r w:rsidRPr="000665B0">
        <w:rPr>
          <w:bCs/>
        </w:rPr>
        <w:t xml:space="preserve">BE </w:t>
      </w:r>
      <w:r w:rsidRPr="000665B0">
        <w:t>(Optional) – Basic Encyclopedia</w:t>
      </w:r>
      <w:r w:rsidR="00483E4A" w:rsidRPr="000665B0">
        <w:t xml:space="preserve">: </w:t>
      </w:r>
      <w:r w:rsidRPr="000665B0">
        <w:t xml:space="preserve">An identified installation of potential significance as objectives for attack. </w:t>
      </w:r>
    </w:p>
    <w:p w14:paraId="6BEFC5DC" w14:textId="77777777" w:rsidR="000D70ED" w:rsidRPr="000665B0" w:rsidRDefault="000D70ED" w:rsidP="006D5A65">
      <w:pPr>
        <w:pStyle w:val="Heading2"/>
      </w:pPr>
      <w:r w:rsidRPr="000665B0">
        <w:rPr>
          <w:bCs/>
        </w:rPr>
        <w:t xml:space="preserve">JDPI </w:t>
      </w:r>
      <w:r w:rsidRPr="000665B0">
        <w:t>(Optional) – Joint Desired Point of Impact</w:t>
      </w:r>
      <w:r w:rsidR="00483E4A" w:rsidRPr="000665B0">
        <w:t xml:space="preserve">: </w:t>
      </w:r>
      <w:r w:rsidRPr="000665B0">
        <w:t>A defined point of impact of the weapon.</w:t>
      </w:r>
    </w:p>
    <w:p w14:paraId="688688F9" w14:textId="77777777" w:rsidR="00010BA2" w:rsidRPr="000665B0" w:rsidRDefault="00010BA2" w:rsidP="006D5A65">
      <w:pPr>
        <w:pStyle w:val="Heading2"/>
      </w:pPr>
      <w:r w:rsidRPr="000665B0">
        <w:rPr>
          <w:bCs/>
        </w:rPr>
        <w:t xml:space="preserve">Tactical Target Number (TTN) </w:t>
      </w:r>
      <w:r w:rsidRPr="000665B0">
        <w:t xml:space="preserve">(optional) – Mechanism for a Joint Commander to call for fire. </w:t>
      </w:r>
    </w:p>
    <w:p w14:paraId="0C41A2A2" w14:textId="77777777" w:rsidR="000D70ED" w:rsidRPr="000665B0" w:rsidRDefault="000D70ED" w:rsidP="006D5A65">
      <w:pPr>
        <w:pStyle w:val="Heading2"/>
      </w:pPr>
      <w:r w:rsidRPr="000665B0">
        <w:rPr>
          <w:bCs/>
        </w:rPr>
        <w:t xml:space="preserve">Aimpoint ID </w:t>
      </w:r>
      <w:r w:rsidRPr="000665B0">
        <w:t xml:space="preserve">(Optional) – Two alphabetic characters which, in conjunction with the Installation BE number, </w:t>
      </w:r>
      <w:r w:rsidR="00483E4A" w:rsidRPr="000665B0">
        <w:t xml:space="preserve">is </w:t>
      </w:r>
      <w:r w:rsidRPr="000665B0">
        <w:t>used to uniquely identify the point desired for intended interaction of the warhead with a target element.</w:t>
      </w:r>
    </w:p>
    <w:p w14:paraId="4D08E316" w14:textId="77777777" w:rsidR="000D70ED" w:rsidRPr="000665B0" w:rsidRDefault="000D70ED" w:rsidP="006D5A65">
      <w:pPr>
        <w:pStyle w:val="Heading2"/>
      </w:pPr>
      <w:r w:rsidRPr="000665B0">
        <w:t>Target Latitude/Longitude – Latitude/Longitude of the aimpoint.</w:t>
      </w:r>
    </w:p>
    <w:p w14:paraId="68FCB2B5" w14:textId="11F2FA6A" w:rsidR="000D70ED" w:rsidRPr="000665B0" w:rsidRDefault="000D70ED" w:rsidP="006D5A65">
      <w:pPr>
        <w:pStyle w:val="Heading2"/>
      </w:pPr>
      <w:r w:rsidRPr="000665B0">
        <w:t xml:space="preserve">CE Accy </w:t>
      </w:r>
      <w:r w:rsidR="00090B8D" w:rsidRPr="000665B0">
        <w:t>and LE Accy</w:t>
      </w:r>
      <w:r w:rsidRPr="000665B0">
        <w:t>– The numerical value representing the amount of circular/linear error there can be for a given aimpoint.</w:t>
      </w:r>
    </w:p>
    <w:p w14:paraId="4160C34A" w14:textId="317D618A" w:rsidR="000D70ED" w:rsidRPr="000665B0" w:rsidRDefault="000D70ED" w:rsidP="006D5A65">
      <w:pPr>
        <w:pStyle w:val="Heading2"/>
      </w:pPr>
      <w:r w:rsidRPr="000665B0">
        <w:t>CE</w:t>
      </w:r>
      <w:r w:rsidR="00090B8D" w:rsidRPr="000665B0">
        <w:t xml:space="preserve"> Units and </w:t>
      </w:r>
      <w:r w:rsidRPr="000665B0">
        <w:t>LE Units – The unit of measure associated with the accuracy value (feet or meters).</w:t>
      </w:r>
    </w:p>
    <w:p w14:paraId="3830B930" w14:textId="3C6CAB23" w:rsidR="00010BA2" w:rsidRPr="000665B0" w:rsidRDefault="000D70ED" w:rsidP="006D5A65">
      <w:pPr>
        <w:pStyle w:val="Heading2"/>
      </w:pPr>
      <w:r w:rsidRPr="000665B0">
        <w:t>CE</w:t>
      </w:r>
      <w:r w:rsidR="00090B8D" w:rsidRPr="000665B0">
        <w:t xml:space="preserve"> Conf and </w:t>
      </w:r>
      <w:r w:rsidRPr="000665B0">
        <w:t>LE Conf – The level of confidence measured as a percentage that the aimpoint will be hit within the specified error accuracy specified.</w:t>
      </w:r>
      <w:r w:rsidR="00010BA2" w:rsidRPr="000665B0">
        <w:t xml:space="preserve"> </w:t>
      </w:r>
    </w:p>
    <w:p w14:paraId="403D2EF8" w14:textId="77777777" w:rsidR="00010BA2" w:rsidRPr="000665B0" w:rsidRDefault="00010BA2" w:rsidP="006D5A65">
      <w:pPr>
        <w:pStyle w:val="Heading1"/>
      </w:pPr>
      <w:r w:rsidRPr="000665B0">
        <w:lastRenderedPageBreak/>
        <w:t>Context Menu</w:t>
      </w:r>
    </w:p>
    <w:p w14:paraId="063FB358" w14:textId="77777777" w:rsidR="00010BA2" w:rsidRPr="000665B0" w:rsidRDefault="00010BA2" w:rsidP="006D5A65">
      <w:pPr>
        <w:pStyle w:val="Heading2"/>
      </w:pPr>
      <w:r w:rsidRPr="000665B0">
        <w:t xml:space="preserve">New… – Opens a blank </w:t>
      </w:r>
      <w:r w:rsidRPr="000665B0">
        <w:rPr>
          <w:i/>
        </w:rPr>
        <w:t>Target Information</w:t>
      </w:r>
      <w:r w:rsidRPr="000665B0">
        <w:t xml:space="preserve"> window to add an aimpoint to the Aimpoints List View.</w:t>
      </w:r>
    </w:p>
    <w:p w14:paraId="54CFE2E0" w14:textId="77777777" w:rsidR="00010BA2" w:rsidRPr="000665B0" w:rsidRDefault="00010BA2" w:rsidP="006D5A65">
      <w:pPr>
        <w:pStyle w:val="Heading2"/>
      </w:pPr>
      <w:r w:rsidRPr="000665B0">
        <w:t xml:space="preserve">Copy… – Opens a </w:t>
      </w:r>
      <w:r w:rsidRPr="000665B0">
        <w:rPr>
          <w:i/>
        </w:rPr>
        <w:t>Target Information</w:t>
      </w:r>
      <w:r w:rsidRPr="000665B0">
        <w:t xml:space="preserve"> window containing the same information as the aimpoint that was selected.</w:t>
      </w:r>
    </w:p>
    <w:p w14:paraId="463F9626" w14:textId="77777777" w:rsidR="00010BA2" w:rsidRPr="000665B0" w:rsidRDefault="00010BA2" w:rsidP="006D5A65">
      <w:pPr>
        <w:pStyle w:val="Heading2"/>
      </w:pPr>
      <w:r w:rsidRPr="000665B0">
        <w:t>Display</w:t>
      </w:r>
    </w:p>
    <w:p w14:paraId="1070036E" w14:textId="77777777" w:rsidR="00010BA2" w:rsidRPr="000665B0" w:rsidRDefault="00010BA2" w:rsidP="006D5A65">
      <w:pPr>
        <w:pStyle w:val="Heading1"/>
      </w:pPr>
      <w:r w:rsidRPr="000665B0">
        <w:t>Textually – Displays the selected aimpoint’s target information in the Target Information dialog.</w:t>
      </w:r>
    </w:p>
    <w:p w14:paraId="34403B59" w14:textId="77777777" w:rsidR="00010BA2" w:rsidRPr="000665B0" w:rsidRDefault="00010BA2" w:rsidP="006D5A65">
      <w:pPr>
        <w:pStyle w:val="Heading1"/>
        <w:rPr>
          <w:rFonts w:eastAsia="Arial Unicode MS"/>
        </w:rPr>
      </w:pPr>
      <w:r w:rsidRPr="000665B0">
        <w:t>in Excel – Creates an Excel document containing the selected aimpoint’s information.</w:t>
      </w:r>
    </w:p>
    <w:p w14:paraId="1F319B80" w14:textId="77777777" w:rsidR="00010BA2" w:rsidRPr="000665B0" w:rsidRDefault="00010BA2" w:rsidP="006D5A65">
      <w:pPr>
        <w:pStyle w:val="Heading2"/>
      </w:pPr>
      <w:r w:rsidRPr="000665B0">
        <w:t>Print… – Prints the selected aimpoint’s list information.</w:t>
      </w:r>
    </w:p>
    <w:p w14:paraId="4D2752FE" w14:textId="77777777" w:rsidR="00010BA2" w:rsidRPr="000665B0" w:rsidRDefault="00010BA2" w:rsidP="006D5A65">
      <w:pPr>
        <w:pStyle w:val="Heading2"/>
      </w:pPr>
      <w:r w:rsidRPr="000665B0">
        <w:t>Remove – Removes the selected aimpoint(s) from the list view.</w:t>
      </w:r>
    </w:p>
    <w:p w14:paraId="78A7BDC6" w14:textId="77777777" w:rsidR="000D70ED" w:rsidRPr="000665B0" w:rsidRDefault="000D70ED" w:rsidP="009570CA">
      <w:pPr>
        <w:pStyle w:val="List1"/>
        <w:spacing w:after="120"/>
        <w:ind w:left="0" w:firstLine="0"/>
      </w:pPr>
      <w:r w:rsidRPr="000665B0">
        <w:t>To Add Aimpoints to TMPR:</w:t>
      </w:r>
    </w:p>
    <w:p w14:paraId="56285D86" w14:textId="77777777" w:rsidR="000D70ED" w:rsidRPr="000665B0" w:rsidRDefault="000D70ED" w:rsidP="009570CA">
      <w:r w:rsidRPr="000665B0">
        <w:t xml:space="preserve">The TMPR holds aimpoints to help the mission planner determine what </w:t>
      </w:r>
      <w:r w:rsidR="002E4987" w:rsidRPr="000665B0">
        <w:t xml:space="preserve">is to </w:t>
      </w:r>
      <w:r w:rsidRPr="000665B0">
        <w:t>be targeted during a mission.</w:t>
      </w:r>
    </w:p>
    <w:p w14:paraId="6598BC9D" w14:textId="77777777" w:rsidR="000D70ED" w:rsidRPr="000665B0" w:rsidRDefault="000D70ED" w:rsidP="009570CA">
      <w:r w:rsidRPr="000665B0">
        <w:t xml:space="preserve">The item(s) under the </w:t>
      </w:r>
      <w:r w:rsidRPr="000665B0">
        <w:rPr>
          <w:b/>
          <w:bCs/>
          <w:i/>
          <w:iCs/>
        </w:rPr>
        <w:t>Aimpoints</w:t>
      </w:r>
      <w:r w:rsidRPr="000665B0">
        <w:rPr>
          <w:b/>
          <w:bCs/>
        </w:rPr>
        <w:t xml:space="preserve"> </w:t>
      </w:r>
      <w:r w:rsidRPr="000665B0">
        <w:t xml:space="preserve">tab represent the primary target information of the </w:t>
      </w:r>
      <w:r w:rsidRPr="000665B0">
        <w:rPr>
          <w:b/>
          <w:i/>
        </w:rPr>
        <w:t>General Information</w:t>
      </w:r>
      <w:r w:rsidRPr="000665B0">
        <w:t xml:space="preserve"> tab. </w:t>
      </w:r>
    </w:p>
    <w:p w14:paraId="2F88B232" w14:textId="77777777" w:rsidR="000D70ED" w:rsidRPr="000665B0" w:rsidRDefault="000D70ED" w:rsidP="009570CA">
      <w:r w:rsidRPr="000665B0">
        <w:t>To add an aimpoint:</w:t>
      </w:r>
    </w:p>
    <w:p w14:paraId="2A28F5DE" w14:textId="2816A2A1" w:rsidR="00131FF2" w:rsidRPr="000665B0" w:rsidRDefault="00D71804" w:rsidP="006D5A65">
      <w:pPr>
        <w:pStyle w:val="Heading1"/>
      </w:pPr>
      <w:r w:rsidRPr="000665B0">
        <w:t>Right-click</w:t>
      </w:r>
      <w:r w:rsidR="00131FF2" w:rsidRPr="000665B0">
        <w:t xml:space="preserve"> in the data pane and select New…. The </w:t>
      </w:r>
      <w:r w:rsidR="00131FF2" w:rsidRPr="000665B0">
        <w:rPr>
          <w:i/>
        </w:rPr>
        <w:t>Target Information</w:t>
      </w:r>
      <w:r w:rsidR="00131FF2" w:rsidRPr="000665B0">
        <w:t xml:space="preserve"> window is displayed. For more information on the </w:t>
      </w:r>
      <w:r w:rsidR="00131FF2" w:rsidRPr="000665B0">
        <w:rPr>
          <w:i/>
        </w:rPr>
        <w:t>Target Information</w:t>
      </w:r>
      <w:r w:rsidR="00131FF2" w:rsidRPr="000665B0">
        <w:t xml:space="preserve"> window, see </w:t>
      </w:r>
      <w:hyperlink w:anchor="_5.35.4__Target" w:history="1">
        <w:r w:rsidR="00865446" w:rsidRPr="000665B0">
          <w:rPr>
            <w:color w:val="0000FF"/>
            <w:u w:val="single"/>
          </w:rPr>
          <w:t xml:space="preserve">Section </w:t>
        </w:r>
        <w:r w:rsidR="004231CC">
          <w:rPr>
            <w:color w:val="0000FF"/>
            <w:u w:val="single"/>
          </w:rPr>
          <w:t>5.31</w:t>
        </w:r>
        <w:r w:rsidR="00865446" w:rsidRPr="000665B0">
          <w:rPr>
            <w:color w:val="0000FF"/>
            <w:u w:val="single"/>
          </w:rPr>
          <w:t>.5</w:t>
        </w:r>
      </w:hyperlink>
      <w:r w:rsidR="00131FF2" w:rsidRPr="000665B0">
        <w:t>.</w:t>
      </w:r>
    </w:p>
    <w:p w14:paraId="006D06FD" w14:textId="77777777" w:rsidR="000D70ED" w:rsidRPr="000665B0" w:rsidRDefault="000D70ED" w:rsidP="009570CA">
      <w:pPr>
        <w:ind w:left="360"/>
      </w:pPr>
      <w:r w:rsidRPr="000665B0">
        <w:t xml:space="preserve">or </w:t>
      </w:r>
    </w:p>
    <w:p w14:paraId="71B1DA5E" w14:textId="77777777" w:rsidR="000D70ED" w:rsidRPr="000665B0" w:rsidRDefault="000D70ED" w:rsidP="006D5A65">
      <w:pPr>
        <w:pStyle w:val="Heading1"/>
      </w:pPr>
      <w:r w:rsidRPr="000665B0">
        <w:t xml:space="preserve">Drag and drop selected targets from the Targets tool. </w:t>
      </w:r>
    </w:p>
    <w:p w14:paraId="4F134CC6" w14:textId="77777777" w:rsidR="000D70ED" w:rsidRPr="000665B0" w:rsidRDefault="00131FF2" w:rsidP="009570CA">
      <w:r w:rsidRPr="000665B0">
        <w:t xml:space="preserve">To </w:t>
      </w:r>
      <w:r w:rsidR="00701FE6" w:rsidRPr="000665B0">
        <w:t>c</w:t>
      </w:r>
      <w:r w:rsidRPr="000665B0">
        <w:t>opy an existing aimpoint in a TMPR</w:t>
      </w:r>
      <w:r w:rsidR="000D70ED" w:rsidRPr="000665B0">
        <w:t>:</w:t>
      </w:r>
    </w:p>
    <w:p w14:paraId="32751A47" w14:textId="77777777" w:rsidR="000D70ED" w:rsidRPr="000665B0" w:rsidRDefault="00131FF2" w:rsidP="009570CA">
      <w:r w:rsidRPr="000665B0">
        <w:t xml:space="preserve">An existing aimpoint in the </w:t>
      </w:r>
      <w:r w:rsidRPr="000665B0">
        <w:rPr>
          <w:b/>
          <w:i/>
        </w:rPr>
        <w:t>Aimpoints</w:t>
      </w:r>
      <w:r w:rsidRPr="000665B0">
        <w:t xml:space="preserve"> tab can be copied and added to the TMPR</w:t>
      </w:r>
      <w:r w:rsidR="000D70ED" w:rsidRPr="000665B0">
        <w:t>.</w:t>
      </w:r>
    </w:p>
    <w:p w14:paraId="517DE12C" w14:textId="2BC6662A" w:rsidR="000D70ED" w:rsidRPr="000665B0" w:rsidRDefault="00131FF2" w:rsidP="009570CA">
      <w:pPr>
        <w:ind w:left="810"/>
      </w:pPr>
      <w:r w:rsidRPr="000665B0">
        <w:t xml:space="preserve">Select an existing aimpoint, </w:t>
      </w:r>
      <w:r w:rsidR="00D71804" w:rsidRPr="000665B0">
        <w:t>right-click</w:t>
      </w:r>
      <w:r w:rsidRPr="000665B0">
        <w:t xml:space="preserve"> and select </w:t>
      </w:r>
      <w:r w:rsidRPr="000665B0">
        <w:rPr>
          <w:b/>
        </w:rPr>
        <w:t>Copy…</w:t>
      </w:r>
      <w:r w:rsidRPr="000665B0">
        <w:t xml:space="preserve">. The </w:t>
      </w:r>
      <w:r w:rsidRPr="000665B0">
        <w:rPr>
          <w:i/>
        </w:rPr>
        <w:t>Target Information</w:t>
      </w:r>
      <w:r w:rsidRPr="000665B0">
        <w:t xml:space="preserve"> window is displayed, pre-populated with the same information of the selected aimpoint.</w:t>
      </w:r>
    </w:p>
    <w:p w14:paraId="6534247B" w14:textId="77777777" w:rsidR="000D70ED" w:rsidRPr="000665B0" w:rsidRDefault="000D70ED" w:rsidP="00BB4EBE">
      <w:pPr>
        <w:pBdr>
          <w:top w:val="single" w:sz="12" w:space="1" w:color="auto"/>
          <w:left w:val="single" w:sz="12" w:space="4" w:color="auto"/>
          <w:bottom w:val="single" w:sz="12" w:space="1" w:color="auto"/>
          <w:right w:val="single" w:sz="12" w:space="4" w:color="auto"/>
        </w:pBdr>
        <w:shd w:val="clear" w:color="auto" w:fill="D9D9D9"/>
        <w:spacing w:after="0"/>
        <w:ind w:right="90"/>
        <w:jc w:val="center"/>
        <w:rPr>
          <w:b/>
        </w:rPr>
      </w:pPr>
      <w:r w:rsidRPr="000665B0">
        <w:rPr>
          <w:b/>
        </w:rPr>
        <w:t>Note:</w:t>
      </w:r>
    </w:p>
    <w:p w14:paraId="1C68782C" w14:textId="77777777" w:rsidR="000D70ED" w:rsidRPr="000665B0" w:rsidRDefault="000D70ED" w:rsidP="00BB4EBE">
      <w:pPr>
        <w:pBdr>
          <w:top w:val="single" w:sz="12" w:space="1" w:color="auto"/>
          <w:left w:val="single" w:sz="12" w:space="4" w:color="auto"/>
          <w:bottom w:val="single" w:sz="12" w:space="1" w:color="auto"/>
          <w:right w:val="single" w:sz="12" w:space="4" w:color="auto"/>
        </w:pBdr>
        <w:shd w:val="clear" w:color="auto" w:fill="D9D9D9"/>
        <w:spacing w:after="0"/>
        <w:ind w:right="90"/>
        <w:jc w:val="center"/>
        <w:rPr>
          <w:b/>
        </w:rPr>
      </w:pPr>
      <w:r w:rsidRPr="000665B0">
        <w:rPr>
          <w:b/>
        </w:rPr>
        <w:t>Aimpoints can only be ad</w:t>
      </w:r>
      <w:r w:rsidR="00891855" w:rsidRPr="000665B0">
        <w:rPr>
          <w:b/>
        </w:rPr>
        <w:t xml:space="preserve">ded/copied in the Create TMPR. </w:t>
      </w:r>
      <w:r w:rsidRPr="000665B0">
        <w:rPr>
          <w:b/>
        </w:rPr>
        <w:t>They cannot be added in the Modify TMPR, as those aimpoints are selected based on the mission being modified.</w:t>
      </w:r>
    </w:p>
    <w:p w14:paraId="6ED702A1" w14:textId="77777777" w:rsidR="00004EC3" w:rsidRPr="000665B0" w:rsidRDefault="00004EC3" w:rsidP="00BB4EBE">
      <w:pPr>
        <w:spacing w:after="0" w:line="240" w:lineRule="auto"/>
        <w:ind w:right="90"/>
      </w:pPr>
    </w:p>
    <w:p w14:paraId="498CC1BD" w14:textId="77777777" w:rsidR="000D70ED" w:rsidRPr="000665B0" w:rsidRDefault="000D70ED" w:rsidP="00BB4EBE">
      <w:pPr>
        <w:pBdr>
          <w:top w:val="single" w:sz="12" w:space="1" w:color="auto"/>
          <w:left w:val="single" w:sz="12" w:space="4" w:color="auto"/>
          <w:bottom w:val="single" w:sz="12" w:space="1" w:color="auto"/>
          <w:right w:val="single" w:sz="12" w:space="4" w:color="auto"/>
        </w:pBdr>
        <w:shd w:val="clear" w:color="auto" w:fill="D9D9D9"/>
        <w:spacing w:after="0"/>
        <w:ind w:right="90"/>
        <w:jc w:val="center"/>
        <w:rPr>
          <w:b/>
        </w:rPr>
      </w:pPr>
      <w:r w:rsidRPr="000665B0">
        <w:rPr>
          <w:b/>
        </w:rPr>
        <w:t>Note:</w:t>
      </w:r>
    </w:p>
    <w:p w14:paraId="37F15530" w14:textId="77777777" w:rsidR="000D70ED" w:rsidRPr="000665B0" w:rsidRDefault="000D70ED" w:rsidP="00BB4EBE">
      <w:pPr>
        <w:pBdr>
          <w:top w:val="single" w:sz="12" w:space="1" w:color="auto"/>
          <w:left w:val="single" w:sz="12" w:space="4" w:color="auto"/>
          <w:bottom w:val="single" w:sz="12" w:space="1" w:color="auto"/>
          <w:right w:val="single" w:sz="12" w:space="4" w:color="auto"/>
        </w:pBdr>
        <w:shd w:val="clear" w:color="auto" w:fill="D9D9D9"/>
        <w:ind w:right="90"/>
        <w:jc w:val="center"/>
        <w:rPr>
          <w:b/>
        </w:rPr>
      </w:pPr>
      <w:r w:rsidRPr="000665B0">
        <w:rPr>
          <w:b/>
        </w:rPr>
        <w:t xml:space="preserve">If any of the Target Data in the General Information tab is filled out, an aimpoint </w:t>
      </w:r>
      <w:r w:rsidR="002E4987" w:rsidRPr="000665B0">
        <w:rPr>
          <w:b/>
        </w:rPr>
        <w:t>is</w:t>
      </w:r>
      <w:r w:rsidRPr="000665B0">
        <w:rPr>
          <w:b/>
        </w:rPr>
        <w:t xml:space="preserve"> created using that information automatically in the Aimpoints tab. Since it represents the primary aimpoint, it </w:t>
      </w:r>
      <w:r w:rsidR="002E4987" w:rsidRPr="000665B0">
        <w:rPr>
          <w:b/>
        </w:rPr>
        <w:t xml:space="preserve">is </w:t>
      </w:r>
      <w:r w:rsidRPr="000665B0">
        <w:rPr>
          <w:b/>
        </w:rPr>
        <w:t>always the first aimpoint in the Aimpoints list view.</w:t>
      </w:r>
    </w:p>
    <w:p w14:paraId="405DF0FF" w14:textId="77777777" w:rsidR="000D70ED" w:rsidRPr="000665B0" w:rsidRDefault="000D70ED" w:rsidP="009570CA">
      <w:r w:rsidRPr="000665B0">
        <w:lastRenderedPageBreak/>
        <w:t xml:space="preserve">If information for a particular aimpoint needs to be viewed in detail or edited, this can be accomplished by viewing the aimpoint textually. </w:t>
      </w:r>
    </w:p>
    <w:p w14:paraId="6EF34951" w14:textId="77777777" w:rsidR="000D70ED" w:rsidRPr="000665B0" w:rsidRDefault="000D70ED" w:rsidP="009570CA">
      <w:r w:rsidRPr="000665B0">
        <w:t>To view the aimpoint textually:</w:t>
      </w:r>
    </w:p>
    <w:p w14:paraId="06508ABC" w14:textId="7C9FAA43" w:rsidR="000D70ED" w:rsidRPr="000665B0" w:rsidRDefault="00A27F45" w:rsidP="009570CA">
      <w:pPr>
        <w:ind w:left="360"/>
      </w:pPr>
      <w:r w:rsidRPr="000665B0">
        <w:t xml:space="preserve">Select an existing aimpoint, </w:t>
      </w:r>
      <w:r w:rsidR="00D71804" w:rsidRPr="000665B0">
        <w:t>right-click</w:t>
      </w:r>
      <w:r w:rsidRPr="000665B0">
        <w:t xml:space="preserve"> and select </w:t>
      </w:r>
      <w:r w:rsidRPr="000665B0">
        <w:rPr>
          <w:b/>
        </w:rPr>
        <w:t xml:space="preserve">Display </w:t>
      </w:r>
      <w:r w:rsidRPr="000665B0">
        <w:rPr>
          <w:rFonts w:ascii="Arial" w:hAnsi="Arial" w:cs="Arial"/>
          <w:sz w:val="20"/>
        </w:rPr>
        <w:t>►</w:t>
      </w:r>
      <w:r w:rsidRPr="000665B0">
        <w:rPr>
          <w:b/>
        </w:rPr>
        <w:t xml:space="preserve"> Textually</w:t>
      </w:r>
      <w:r w:rsidRPr="000665B0">
        <w:t>.</w:t>
      </w:r>
      <w:r w:rsidRPr="000665B0">
        <w:rPr>
          <w:b/>
        </w:rPr>
        <w:t xml:space="preserve"> </w:t>
      </w:r>
      <w:r w:rsidRPr="000665B0">
        <w:t xml:space="preserve">The </w:t>
      </w:r>
      <w:r w:rsidRPr="000665B0">
        <w:rPr>
          <w:i/>
        </w:rPr>
        <w:t>Target Information</w:t>
      </w:r>
      <w:r w:rsidRPr="000665B0">
        <w:t xml:space="preserve"> window is displayed containing the information for that aimpoint. For more information on the </w:t>
      </w:r>
      <w:r w:rsidRPr="000665B0">
        <w:rPr>
          <w:i/>
        </w:rPr>
        <w:t>Target Information</w:t>
      </w:r>
      <w:r w:rsidRPr="000665B0">
        <w:t xml:space="preserve"> window</w:t>
      </w:r>
      <w:r w:rsidR="000D70ED" w:rsidRPr="000665B0">
        <w:t xml:space="preserve">, </w:t>
      </w:r>
      <w:r w:rsidR="00BD325A" w:rsidRPr="000665B0">
        <w:t>s</w:t>
      </w:r>
      <w:r w:rsidR="000D70ED" w:rsidRPr="000665B0">
        <w:t xml:space="preserve">ee </w:t>
      </w:r>
      <w:hyperlink w:anchor="_5.35.5__Target" w:history="1">
        <w:r w:rsidR="00865446" w:rsidRPr="000665B0">
          <w:rPr>
            <w:rStyle w:val="Hyperlink"/>
          </w:rPr>
          <w:t xml:space="preserve">Section </w:t>
        </w:r>
        <w:r w:rsidR="004231CC">
          <w:rPr>
            <w:rStyle w:val="Hyperlink"/>
          </w:rPr>
          <w:t>5.31</w:t>
        </w:r>
        <w:r w:rsidR="00865446" w:rsidRPr="000665B0">
          <w:rPr>
            <w:rStyle w:val="Hyperlink"/>
          </w:rPr>
          <w:t>.5</w:t>
        </w:r>
      </w:hyperlink>
      <w:r w:rsidR="000D70ED" w:rsidRPr="000665B0">
        <w:t>.</w:t>
      </w:r>
    </w:p>
    <w:p w14:paraId="5AE70DC3" w14:textId="6B459FFC" w:rsidR="000D70ED" w:rsidRPr="000665B0" w:rsidRDefault="000D70ED" w:rsidP="009570CA">
      <w:pPr>
        <w:pStyle w:val="Normal1"/>
        <w:spacing w:before="0" w:beforeAutospacing="0" w:after="120" w:afterAutospacing="0"/>
      </w:pPr>
      <w:r w:rsidRPr="000665B0">
        <w:t xml:space="preserve">The user can also </w:t>
      </w:r>
      <w:r w:rsidRPr="000665B0">
        <w:rPr>
          <w:b/>
        </w:rPr>
        <w:t xml:space="preserve">Display </w:t>
      </w:r>
      <w:r w:rsidRPr="000665B0">
        <w:t>(</w:t>
      </w:r>
      <w:r w:rsidRPr="000665B0">
        <w:rPr>
          <w:b/>
        </w:rPr>
        <w:t>in Excel</w:t>
      </w:r>
      <w:r w:rsidRPr="000665B0">
        <w:t xml:space="preserve">), </w:t>
      </w:r>
      <w:r w:rsidRPr="000665B0">
        <w:rPr>
          <w:b/>
        </w:rPr>
        <w:t>Print, and Remove</w:t>
      </w:r>
      <w:r w:rsidRPr="000665B0">
        <w:t xml:space="preserve"> elements. See </w:t>
      </w:r>
      <w:hyperlink w:anchor="_5.2__COMMON_2" w:history="1">
        <w:r w:rsidRPr="000665B0">
          <w:rPr>
            <w:rStyle w:val="Hyperlink"/>
          </w:rPr>
          <w:t>Section 5.2</w:t>
        </w:r>
      </w:hyperlink>
      <w:r w:rsidRPr="000665B0">
        <w:t xml:space="preserve"> for information on how to perform those features.</w:t>
      </w:r>
      <w:r w:rsidRPr="000665B0" w:rsidDel="00F0499D">
        <w:t xml:space="preserve"> </w:t>
      </w:r>
    </w:p>
    <w:p w14:paraId="6D07C5E8" w14:textId="3F0C61B1" w:rsidR="00BE5B87" w:rsidRPr="000665B0" w:rsidRDefault="000D70ED" w:rsidP="008376B8">
      <w:pPr>
        <w:pageBreakBefore/>
        <w:rPr>
          <w:b/>
        </w:rPr>
      </w:pPr>
      <w:r w:rsidRPr="000665B0">
        <w:rPr>
          <w:b/>
        </w:rPr>
        <w:lastRenderedPageBreak/>
        <w:t>ACMSs</w:t>
      </w:r>
      <w:r w:rsidR="00E8029B" w:rsidRPr="000665B0">
        <w:rPr>
          <w:b/>
        </w:rPr>
        <w:t>/Area Conditions</w:t>
      </w:r>
      <w:r w:rsidRPr="000665B0">
        <w:rPr>
          <w:b/>
        </w:rPr>
        <w:t xml:space="preserve"> Tab</w:t>
      </w:r>
    </w:p>
    <w:p w14:paraId="45AD0BC3" w14:textId="43FA75BB" w:rsidR="009F5641" w:rsidRPr="000665B0" w:rsidRDefault="00A37404" w:rsidP="009570CA">
      <w:r w:rsidRPr="000665B0">
        <w:t xml:space="preserve">The </w:t>
      </w:r>
      <w:r w:rsidRPr="000665B0">
        <w:rPr>
          <w:b/>
          <w:i/>
        </w:rPr>
        <w:t>ACMSs</w:t>
      </w:r>
      <w:r w:rsidR="00E8029B" w:rsidRPr="000665B0">
        <w:rPr>
          <w:b/>
          <w:i/>
        </w:rPr>
        <w:t>/Area Conditions</w:t>
      </w:r>
      <w:r w:rsidRPr="000665B0">
        <w:t xml:space="preserve"> tab displays the area constraints and selected ACMSs for the TMPR. If Auto Generate or </w:t>
      </w:r>
      <w:r w:rsidR="00EB74E2" w:rsidRPr="000665B0">
        <w:t xml:space="preserve">Expedited </w:t>
      </w:r>
      <w:r w:rsidRPr="000665B0">
        <w:t xml:space="preserve">Route </w:t>
      </w:r>
      <w:r w:rsidR="00EB74E2" w:rsidRPr="000665B0">
        <w:t xml:space="preserve">Generation </w:t>
      </w:r>
      <w:r w:rsidRPr="000665B0">
        <w:t xml:space="preserve">are selected (true), it is required that the TMPR contains </w:t>
      </w:r>
      <w:r w:rsidR="009F5641" w:rsidRPr="000665B0">
        <w:t xml:space="preserve">only one </w:t>
      </w:r>
      <w:r w:rsidRPr="000665B0">
        <w:t xml:space="preserve">ACMS of type FPPWP. </w:t>
      </w:r>
    </w:p>
    <w:p w14:paraId="1B250043" w14:textId="6B2FF26E" w:rsidR="009F5641" w:rsidRPr="000665B0" w:rsidRDefault="009F5641" w:rsidP="009570CA">
      <w:r w:rsidRPr="000665B0">
        <w:t xml:space="preserve">When Expedited Route Generation is selected in the </w:t>
      </w:r>
      <w:r w:rsidRPr="000665B0">
        <w:rPr>
          <w:b/>
          <w:i/>
        </w:rPr>
        <w:t>General Information</w:t>
      </w:r>
      <w:r w:rsidRPr="000665B0">
        <w:t xml:space="preserve"> tab adding and removing ACMSs using the context menu is disabled. In this case, only one FPPWP ACMS can be added to the TMPR using the </w:t>
      </w:r>
      <w:r w:rsidRPr="000665B0">
        <w:rPr>
          <w:b/>
        </w:rPr>
        <w:t>FPPWP</w:t>
      </w:r>
      <w:r w:rsidRPr="000665B0">
        <w:t xml:space="preserve"> pull down menu on the </w:t>
      </w:r>
      <w:r w:rsidRPr="000665B0">
        <w:rPr>
          <w:b/>
          <w:i/>
        </w:rPr>
        <w:t>General Information</w:t>
      </w:r>
      <w:r w:rsidRPr="000665B0">
        <w:t xml:space="preserve"> tab. Once that FPPWP ACMS is selected, the </w:t>
      </w:r>
      <w:r w:rsidRPr="000665B0">
        <w:rPr>
          <w:b/>
          <w:i/>
        </w:rPr>
        <w:t>ACMSs</w:t>
      </w:r>
      <w:r w:rsidRPr="000665B0">
        <w:t xml:space="preserve"> tab displays only that selected ACMS. When Expedited Route Generation is not selected in the </w:t>
      </w:r>
      <w:r w:rsidRPr="000665B0">
        <w:rPr>
          <w:b/>
          <w:i/>
        </w:rPr>
        <w:t>General Information</w:t>
      </w:r>
      <w:r w:rsidRPr="000665B0">
        <w:t xml:space="preserve"> tab adding and removing ACMSs using the context menu is enabled. In this case, one or more ACMSs can be added to the TMPR and the </w:t>
      </w:r>
      <w:r w:rsidRPr="000665B0">
        <w:rPr>
          <w:b/>
          <w:i/>
        </w:rPr>
        <w:t>ACMSs</w:t>
      </w:r>
      <w:r w:rsidRPr="000665B0">
        <w:t xml:space="preserve"> sub tab of the </w:t>
      </w:r>
      <w:r w:rsidRPr="000665B0">
        <w:rPr>
          <w:b/>
          <w:i/>
        </w:rPr>
        <w:t>Advanced</w:t>
      </w:r>
      <w:r w:rsidRPr="000665B0">
        <w:t xml:space="preserve"> tab displays all selected ACMSs. If Expedited Route Generation is toggled on/off (selected/not selected) in the </w:t>
      </w:r>
      <w:r w:rsidRPr="000665B0">
        <w:rPr>
          <w:b/>
          <w:i/>
        </w:rPr>
        <w:t>General Information</w:t>
      </w:r>
      <w:r w:rsidRPr="000665B0">
        <w:t xml:space="preserve"> tab, the ACMS(s) list in the </w:t>
      </w:r>
      <w:r w:rsidRPr="000665B0">
        <w:rPr>
          <w:b/>
        </w:rPr>
        <w:t>ACMSs</w:t>
      </w:r>
      <w:r w:rsidRPr="000665B0">
        <w:t xml:space="preserve"> tab reflects that selection (lists only one FPPWP ACMS if Expedited Route Generation is selected, lists one or more ACMSs if Expedited Route Generation</w:t>
      </w:r>
      <w:r w:rsidR="009651B0">
        <w:t xml:space="preserve"> </w:t>
      </w:r>
      <w:r w:rsidRPr="000665B0">
        <w:t>is not selected).</w:t>
      </w:r>
    </w:p>
    <w:p w14:paraId="63F714FC" w14:textId="590C974B" w:rsidR="00A37404" w:rsidRPr="000665B0" w:rsidRDefault="00E8029B" w:rsidP="009570CA">
      <w:pPr>
        <w:jc w:val="center"/>
      </w:pPr>
      <w:r w:rsidRPr="000665B0">
        <w:rPr>
          <w:noProof/>
        </w:rPr>
        <w:drawing>
          <wp:inline distT="0" distB="0" distL="0" distR="0" wp14:anchorId="6888E83D" wp14:editId="136EE7CB">
            <wp:extent cx="3154680" cy="3419856"/>
            <wp:effectExtent l="0" t="0" r="0" b="0"/>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419856"/>
                    </a:xfrm>
                    <a:prstGeom prst="rect">
                      <a:avLst/>
                    </a:prstGeom>
                  </pic:spPr>
                </pic:pic>
              </a:graphicData>
            </a:graphic>
          </wp:inline>
        </w:drawing>
      </w:r>
    </w:p>
    <w:p w14:paraId="18ECE642" w14:textId="77777777" w:rsidR="00A37404" w:rsidRPr="000665B0" w:rsidRDefault="00A37404" w:rsidP="009570CA">
      <w:r w:rsidRPr="000665B0">
        <w:t>Enter the following descriptive information (if desired):</w:t>
      </w:r>
    </w:p>
    <w:p w14:paraId="534A3C3B" w14:textId="77777777" w:rsidR="00A37404" w:rsidRPr="000665B0" w:rsidRDefault="00A37404" w:rsidP="006D5A65">
      <w:pPr>
        <w:pStyle w:val="Heading1"/>
      </w:pPr>
      <w:r w:rsidRPr="000665B0">
        <w:lastRenderedPageBreak/>
        <w:t>Loiter Area – A tactical useful location along the flight path where the missile is kept for a predetermined duration.</w:t>
      </w:r>
      <w:r w:rsidRPr="000665B0" w:rsidDel="00AD7BFE">
        <w:t xml:space="preserve"> </w:t>
      </w:r>
    </w:p>
    <w:p w14:paraId="61F57D7F" w14:textId="77777777" w:rsidR="00A37404" w:rsidRPr="000665B0" w:rsidRDefault="00A37404" w:rsidP="006D5A65">
      <w:pPr>
        <w:pStyle w:val="Heading1"/>
      </w:pPr>
      <w:r w:rsidRPr="000665B0">
        <w:t>FPPWP Area – The starting point of the CMSA/</w:t>
      </w:r>
      <w:r w:rsidR="004F6AE2" w:rsidRPr="000665B0">
        <w:t>TSMPC</w:t>
      </w:r>
      <w:r w:rsidRPr="000665B0">
        <w:t xml:space="preserve"> planned portion of a TLAM mission to which the firing unit’s engagement plan delivers the missile.</w:t>
      </w:r>
    </w:p>
    <w:p w14:paraId="21DC57B7" w14:textId="77777777" w:rsidR="00A37404" w:rsidRPr="000665B0" w:rsidRDefault="00A37404" w:rsidP="006D5A65">
      <w:pPr>
        <w:pStyle w:val="Heading1"/>
      </w:pPr>
      <w:r w:rsidRPr="000665B0">
        <w:t>Target Area – An area where the missile is expected to deliver a strike.</w:t>
      </w:r>
    </w:p>
    <w:p w14:paraId="1D1DD482" w14:textId="77777777" w:rsidR="00A37404" w:rsidRPr="000665B0" w:rsidRDefault="00A37404" w:rsidP="006D5A65">
      <w:pPr>
        <w:pStyle w:val="Heading1"/>
      </w:pPr>
      <w:r w:rsidRPr="000665B0">
        <w:t>Launch Area – An area surrounding the FPPWP where a missile can be launched.</w:t>
      </w:r>
    </w:p>
    <w:p w14:paraId="1C6E4E94" w14:textId="77777777" w:rsidR="00A37404" w:rsidRPr="000665B0" w:rsidRDefault="00A37404" w:rsidP="006D5A65">
      <w:pPr>
        <w:pStyle w:val="Heading1"/>
        <w:rPr>
          <w:bCs/>
          <w:iCs/>
        </w:rPr>
      </w:pPr>
      <w:r w:rsidRPr="000665B0">
        <w:t>Flight Corridors – Specific area that the missile should fly through as part of the missile route.</w:t>
      </w:r>
    </w:p>
    <w:p w14:paraId="4EC944F4" w14:textId="77777777" w:rsidR="00A37404" w:rsidRPr="000665B0" w:rsidRDefault="00A37404" w:rsidP="006D5A65">
      <w:pPr>
        <w:pStyle w:val="Heading1"/>
      </w:pPr>
      <w:r w:rsidRPr="000665B0">
        <w:t>Prohibited Area – An area that should be avoided.</w:t>
      </w:r>
    </w:p>
    <w:p w14:paraId="1A671F88" w14:textId="77777777" w:rsidR="00A37404" w:rsidRPr="000665B0" w:rsidRDefault="00A37404"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0131648D" w14:textId="77777777" w:rsidR="00A37404" w:rsidRPr="000665B0" w:rsidRDefault="00A37404"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Loiter Area field is only enabled if the Missile Type selected in the TMPR General Information tab is “109E.”</w:t>
      </w:r>
    </w:p>
    <w:p w14:paraId="5EEB14EA" w14:textId="77777777" w:rsidR="000D70ED" w:rsidRPr="000665B0" w:rsidRDefault="000D70ED" w:rsidP="004B1275">
      <w:pPr>
        <w:rPr>
          <w:b/>
          <w:i/>
        </w:rPr>
      </w:pPr>
      <w:r w:rsidRPr="000665B0">
        <w:rPr>
          <w:b/>
          <w:i/>
        </w:rPr>
        <w:t>ACMS List View</w:t>
      </w:r>
    </w:p>
    <w:p w14:paraId="7B8E4ED7" w14:textId="77777777" w:rsidR="000D70ED" w:rsidRPr="000665B0" w:rsidRDefault="000D70ED" w:rsidP="006D5A65">
      <w:pPr>
        <w:pStyle w:val="Heading1"/>
      </w:pPr>
      <w:r w:rsidRPr="000665B0">
        <w:t>Columns</w:t>
      </w:r>
    </w:p>
    <w:p w14:paraId="1D7380C0" w14:textId="77777777" w:rsidR="00A37404" w:rsidRPr="000665B0" w:rsidRDefault="00A37404" w:rsidP="006D5A65">
      <w:pPr>
        <w:pStyle w:val="Heading2"/>
      </w:pPr>
      <w:r w:rsidRPr="000665B0">
        <w:t xml:space="preserve">ACMS Name – A unique name for the ACMS that can contain up to 22 alphanumeric characters except for the FPPWP ACMS Name, which is limited to 14 alphanumeric characters, and the ACMS Launch Area Name is limited to 10 alphanumeric characters. </w:t>
      </w:r>
    </w:p>
    <w:p w14:paraId="731EF5ED" w14:textId="77777777" w:rsidR="00A37404" w:rsidRPr="000665B0" w:rsidRDefault="00A37404" w:rsidP="006D5A65">
      <w:pPr>
        <w:pStyle w:val="Heading2"/>
        <w:rPr>
          <w:bCs/>
        </w:rPr>
      </w:pPr>
      <w:r w:rsidRPr="000665B0">
        <w:t xml:space="preserve">ACMS Short Name – A unique shorter name for the ACMS that is limited to 14 alphanumeric characters, and the Launch Area Name is limited to 10 alphanumeric characters. </w:t>
      </w:r>
    </w:p>
    <w:p w14:paraId="05CD7D70" w14:textId="77777777" w:rsidR="00A37404" w:rsidRPr="000665B0" w:rsidRDefault="00A37404" w:rsidP="006D5A65">
      <w:pPr>
        <w:pStyle w:val="Heading2"/>
      </w:pPr>
      <w:r w:rsidRPr="000665B0">
        <w:t>Type – The type of ACMS being created.</w:t>
      </w:r>
    </w:p>
    <w:p w14:paraId="3751DA60" w14:textId="77777777" w:rsidR="00A37404" w:rsidRPr="000665B0" w:rsidRDefault="00A37404" w:rsidP="006D5A65">
      <w:pPr>
        <w:pStyle w:val="Heading2"/>
      </w:pPr>
      <w:r w:rsidRPr="000665B0">
        <w:t>ACM Identifier – Unique identifier for the Airspace Control Means. See USMTF Message 2000 for more information.</w:t>
      </w:r>
    </w:p>
    <w:p w14:paraId="5A33608D" w14:textId="77777777" w:rsidR="00A37404" w:rsidRPr="000665B0" w:rsidRDefault="00A37404" w:rsidP="006D5A65">
      <w:pPr>
        <w:pStyle w:val="Heading2"/>
      </w:pPr>
      <w:r w:rsidRPr="000665B0">
        <w:t>Description – Describes the ACMS.</w:t>
      </w:r>
    </w:p>
    <w:p w14:paraId="000BEC99" w14:textId="77777777" w:rsidR="00A37404" w:rsidRPr="000665B0" w:rsidRDefault="00A37404" w:rsidP="006D5A65">
      <w:pPr>
        <w:pStyle w:val="Heading2"/>
      </w:pPr>
      <w:r w:rsidRPr="000665B0">
        <w:t>Launch Area Code – This field is populated when the ACMS Type is “Launch Area.”</w:t>
      </w:r>
    </w:p>
    <w:p w14:paraId="64806838" w14:textId="77777777" w:rsidR="00A37404" w:rsidRPr="000665B0" w:rsidRDefault="00A37404" w:rsidP="006D5A65">
      <w:pPr>
        <w:pStyle w:val="Heading2"/>
      </w:pPr>
      <w:r w:rsidRPr="000665B0">
        <w:t>FPPWP Code – This field is populated when the ACMS Type is “FPPWP.”</w:t>
      </w:r>
    </w:p>
    <w:p w14:paraId="2D2B26DB" w14:textId="4F74CC36" w:rsidR="00A37404" w:rsidRPr="000665B0" w:rsidRDefault="00A37404" w:rsidP="006D5A65">
      <w:pPr>
        <w:pStyle w:val="Heading2"/>
      </w:pPr>
      <w:r w:rsidRPr="000665B0">
        <w:t xml:space="preserve">Earliest Effective Start DTG – Denotes the beginning of an ACMS effective period. An ACMS effective period is a time period for which an ACMS is considered to be “In Effect.” An ACMS can have multiple effective periods. The effective </w:t>
      </w:r>
      <w:r w:rsidRPr="000665B0">
        <w:lastRenderedPageBreak/>
        <w:t>period is used for deconfliction processing for an ACMS of type Prohibited Area during Strike Option Analysis.</w:t>
      </w:r>
    </w:p>
    <w:p w14:paraId="6B7E5FFF" w14:textId="77777777" w:rsidR="00A37404" w:rsidRPr="000665B0" w:rsidRDefault="00A37404" w:rsidP="006D5A65">
      <w:pPr>
        <w:pStyle w:val="Heading2"/>
      </w:pPr>
      <w:r w:rsidRPr="000665B0">
        <w:t>Latest Effective End DTG – Denotes the end of an ACMS effective period.</w:t>
      </w:r>
    </w:p>
    <w:p w14:paraId="6A359B91" w14:textId="77777777" w:rsidR="00A37404" w:rsidRPr="000665B0" w:rsidRDefault="00A37404" w:rsidP="006D5A65">
      <w:pPr>
        <w:pStyle w:val="Heading1"/>
      </w:pPr>
      <w:r w:rsidRPr="000665B0">
        <w:t>Elevation Ceiling (Optional Fields) – Maximum height in feet above Mean Sea Level (ft. MSL) or Above Ground Level (ft. AGL) where the ACMS occurs. For FPPWP ACMS types, the elevation ceiling is constrained to the IDS-8 range. If appropriate, ceiling can be specified in both feet MSL and feet AGL. Not available for ACMSs of type Operational Area.</w:t>
      </w:r>
    </w:p>
    <w:p w14:paraId="259DF31A" w14:textId="77777777" w:rsidR="00A37404" w:rsidRPr="000665B0" w:rsidRDefault="00A37404" w:rsidP="006D5A65">
      <w:pPr>
        <w:pStyle w:val="Heading1"/>
      </w:pPr>
      <w:r w:rsidRPr="000665B0">
        <w:t>Elevation Floor (Optional Fields) –Minimum height in feet above MSL or AGL where the ACMS occurs. For FPPWP ACMS types, the elevation floor is constrained to the IDS-8 range. If appropriate, floor can be specified in both feet MSL and feet AGL. Not available for ACMSs of type Operational Area.</w:t>
      </w:r>
    </w:p>
    <w:p w14:paraId="3783F5BA" w14:textId="77777777" w:rsidR="00A37404" w:rsidRPr="000665B0" w:rsidRDefault="00A37404" w:rsidP="006D5A65">
      <w:pPr>
        <w:pStyle w:val="Heading2"/>
      </w:pPr>
      <w:r w:rsidRPr="000665B0">
        <w:t>Creation DTG – When the ACMS was created.</w:t>
      </w:r>
    </w:p>
    <w:p w14:paraId="5C76ACC5" w14:textId="77777777" w:rsidR="00A37404" w:rsidRPr="000665B0" w:rsidRDefault="00A37404" w:rsidP="006D5A65">
      <w:pPr>
        <w:pStyle w:val="Heading2"/>
      </w:pPr>
      <w:r w:rsidRPr="000665B0">
        <w:t>Last Modified DTG – When the ACMS information was last modified.</w:t>
      </w:r>
    </w:p>
    <w:p w14:paraId="4FCEF75A" w14:textId="77777777" w:rsidR="00A37404" w:rsidRPr="000665B0" w:rsidRDefault="00A37404" w:rsidP="006D5A65">
      <w:pPr>
        <w:pStyle w:val="Heading2"/>
      </w:pPr>
      <w:r w:rsidRPr="000665B0">
        <w:t>Read Only – Display attributes of an ACMS with Read Only status cannot be modified in the ACMS Textual View.</w:t>
      </w:r>
    </w:p>
    <w:p w14:paraId="51F42637" w14:textId="77777777" w:rsidR="00A37404" w:rsidRPr="000665B0" w:rsidRDefault="00A37404" w:rsidP="006D5A65">
      <w:pPr>
        <w:pStyle w:val="Heading2"/>
      </w:pPr>
      <w:r w:rsidRPr="000665B0">
        <w:t>Loiter Duration – Desired minimum amount of time for the missile to spend in</w:t>
      </w:r>
      <w:r w:rsidR="00406691" w:rsidRPr="000665B0">
        <w:t xml:space="preserve"> the preplanned</w:t>
      </w:r>
      <w:r w:rsidRPr="000665B0">
        <w:t xml:space="preserve"> loiter (in minutes).</w:t>
      </w:r>
    </w:p>
    <w:p w14:paraId="1E6AE2C0" w14:textId="77777777" w:rsidR="000D70ED" w:rsidRPr="000665B0" w:rsidRDefault="00A37404" w:rsidP="006D5A65">
      <w:pPr>
        <w:pStyle w:val="Heading2"/>
      </w:pPr>
      <w:r w:rsidRPr="000665B0">
        <w:t>Loiter Altitude – Desired altitude for</w:t>
      </w:r>
      <w:r w:rsidR="00406691" w:rsidRPr="000665B0">
        <w:t xml:space="preserve"> the preplanned</w:t>
      </w:r>
      <w:r w:rsidRPr="000665B0">
        <w:t xml:space="preserve"> loiter (MSL).</w:t>
      </w:r>
    </w:p>
    <w:p w14:paraId="0589A044" w14:textId="77777777" w:rsidR="000D70ED" w:rsidRPr="000665B0" w:rsidRDefault="000D70ED" w:rsidP="006D5A65">
      <w:pPr>
        <w:pStyle w:val="Heading1"/>
      </w:pPr>
      <w:r w:rsidRPr="000665B0">
        <w:t>Context Menu</w:t>
      </w:r>
    </w:p>
    <w:p w14:paraId="0BD6133E" w14:textId="4ECB1DDD" w:rsidR="008F6433" w:rsidRPr="000665B0" w:rsidRDefault="008F6433" w:rsidP="006D5A65">
      <w:pPr>
        <w:pStyle w:val="Heading2"/>
      </w:pPr>
      <w:r w:rsidRPr="000665B0">
        <w:t xml:space="preserve">Add… – Opens a selection view to allow the </w:t>
      </w:r>
      <w:r w:rsidR="001A248F" w:rsidRPr="000665B0">
        <w:t xml:space="preserve">user to add ACMSs to the TMPR. </w:t>
      </w:r>
      <w:r w:rsidRPr="000665B0">
        <w:t xml:space="preserve">This </w:t>
      </w:r>
      <w:r w:rsidR="009F5641" w:rsidRPr="000665B0">
        <w:t>is</w:t>
      </w:r>
      <w:r w:rsidRPr="000665B0">
        <w:t xml:space="preserve"> disabled when </w:t>
      </w:r>
      <w:r w:rsidR="00EB74E2" w:rsidRPr="000665B0">
        <w:t xml:space="preserve">Expedited </w:t>
      </w:r>
      <w:r w:rsidRPr="000665B0">
        <w:t xml:space="preserve">Route </w:t>
      </w:r>
      <w:r w:rsidR="00EB74E2" w:rsidRPr="000665B0">
        <w:t xml:space="preserve">Generation </w:t>
      </w:r>
      <w:r w:rsidRPr="000665B0">
        <w:t>is set to true.</w:t>
      </w:r>
    </w:p>
    <w:p w14:paraId="2EACF064" w14:textId="77777777" w:rsidR="008F6433" w:rsidRPr="000665B0" w:rsidRDefault="008F6433" w:rsidP="006D5A65">
      <w:pPr>
        <w:pStyle w:val="Heading2"/>
      </w:pPr>
      <w:r w:rsidRPr="000665B0">
        <w:t xml:space="preserve">Edit Loiter Info… – Opens the </w:t>
      </w:r>
      <w:r w:rsidRPr="000665B0">
        <w:rPr>
          <w:i/>
        </w:rPr>
        <w:t>Loiter Info</w:t>
      </w:r>
      <w:r w:rsidRPr="000665B0">
        <w:t xml:space="preserve"> window to edit the time and altitude of the selected ACMS. Only available when the ACMS Type is “Loiter Area.”</w:t>
      </w:r>
    </w:p>
    <w:p w14:paraId="3B8EEF04" w14:textId="77777777" w:rsidR="000D70ED" w:rsidRPr="000665B0" w:rsidRDefault="000D70ED" w:rsidP="006D5A65">
      <w:pPr>
        <w:pStyle w:val="Heading2"/>
      </w:pPr>
      <w:r w:rsidRPr="000665B0">
        <w:t>Display</w:t>
      </w:r>
    </w:p>
    <w:p w14:paraId="75743940" w14:textId="77777777" w:rsidR="000D70ED" w:rsidRPr="000665B0" w:rsidRDefault="000D70ED" w:rsidP="006D5A65">
      <w:pPr>
        <w:pStyle w:val="Heading3"/>
      </w:pPr>
      <w:r w:rsidRPr="000665B0">
        <w:lastRenderedPageBreak/>
        <w:t>Textually – Displays the selected ACMS(s) textually.</w:t>
      </w:r>
    </w:p>
    <w:p w14:paraId="06C5536D" w14:textId="77777777" w:rsidR="000D70ED" w:rsidRPr="000665B0" w:rsidRDefault="000D70ED" w:rsidP="006D5A65">
      <w:pPr>
        <w:pStyle w:val="Heading3"/>
      </w:pPr>
      <w:r w:rsidRPr="000665B0">
        <w:t>Geographically – Displays the selected ACMS(s) geographically.</w:t>
      </w:r>
    </w:p>
    <w:p w14:paraId="5B1E23C9" w14:textId="77777777" w:rsidR="000D70ED" w:rsidRPr="000665B0" w:rsidRDefault="000D70ED" w:rsidP="006D5A65">
      <w:pPr>
        <w:pStyle w:val="Heading3"/>
      </w:pPr>
      <w:r w:rsidRPr="000665B0">
        <w:t>References – Displays the selected ACMS(s) references.</w:t>
      </w:r>
    </w:p>
    <w:p w14:paraId="2E4FAFC9" w14:textId="77777777" w:rsidR="000D70ED" w:rsidRPr="000665B0" w:rsidRDefault="000D70ED" w:rsidP="006D5A65">
      <w:pPr>
        <w:pStyle w:val="Heading3"/>
      </w:pPr>
      <w:r w:rsidRPr="000665B0">
        <w:t>in Excel – Displays the selected ACMS(s) summary data in Excel.</w:t>
      </w:r>
    </w:p>
    <w:p w14:paraId="42177CB9" w14:textId="77777777" w:rsidR="000D70ED" w:rsidRPr="000665B0" w:rsidRDefault="000D70ED" w:rsidP="006D5A65">
      <w:pPr>
        <w:pStyle w:val="Heading2"/>
      </w:pPr>
      <w:r w:rsidRPr="000665B0">
        <w:t>Edit, Color, Style, and Width Properties – Displays the Edit, Color, Style and Width Properties dialog for the selected ACMS.</w:t>
      </w:r>
    </w:p>
    <w:p w14:paraId="1A18A2B8" w14:textId="77777777" w:rsidR="008F6433" w:rsidRPr="000665B0" w:rsidRDefault="000D70ED" w:rsidP="006D5A65">
      <w:pPr>
        <w:pStyle w:val="Heading2"/>
      </w:pPr>
      <w:r w:rsidRPr="000665B0">
        <w:t>Create ACMS Library… – Displays the ACMS Library dialog with the selected ACMS(s) populated in it.</w:t>
      </w:r>
      <w:r w:rsidR="008F6433" w:rsidRPr="000665B0">
        <w:t xml:space="preserve"> </w:t>
      </w:r>
    </w:p>
    <w:p w14:paraId="3E273AB2" w14:textId="77777777" w:rsidR="008F6433" w:rsidRPr="000665B0" w:rsidRDefault="008F6433" w:rsidP="006D5A65">
      <w:pPr>
        <w:pStyle w:val="Heading2"/>
      </w:pPr>
      <w:r w:rsidRPr="000665B0">
        <w:t xml:space="preserve">Create TED Library… – Displays the </w:t>
      </w:r>
      <w:r w:rsidRPr="000665B0">
        <w:rPr>
          <w:i/>
        </w:rPr>
        <w:t>TED Library</w:t>
      </w:r>
      <w:r w:rsidRPr="000665B0">
        <w:t xml:space="preserve"> dialog with the selected ACMS(s) populated in it.</w:t>
      </w:r>
    </w:p>
    <w:p w14:paraId="02038DF1" w14:textId="77777777" w:rsidR="000D70ED" w:rsidRPr="000665B0" w:rsidRDefault="000D70ED" w:rsidP="006D5A65">
      <w:pPr>
        <w:pStyle w:val="Heading2"/>
      </w:pPr>
      <w:r w:rsidRPr="000665B0">
        <w:t>Send… – Displays a new DDO Template with the selected ACMS(s) pre-populated in the ACMS tab.</w:t>
      </w:r>
    </w:p>
    <w:p w14:paraId="5D6910C5" w14:textId="77777777" w:rsidR="000D70ED" w:rsidRPr="000665B0" w:rsidRDefault="000D70ED" w:rsidP="006D5A65">
      <w:pPr>
        <w:pStyle w:val="Heading2"/>
      </w:pPr>
      <w:r w:rsidRPr="000665B0">
        <w:t>Print… – Prints the selected ACMS’s list information.</w:t>
      </w:r>
    </w:p>
    <w:p w14:paraId="22B53494" w14:textId="58F17A81" w:rsidR="008F6433" w:rsidRPr="000665B0" w:rsidRDefault="008F6433" w:rsidP="006D5A65">
      <w:pPr>
        <w:pStyle w:val="Heading2"/>
      </w:pPr>
      <w:r w:rsidRPr="000665B0">
        <w:t>Remove –</w:t>
      </w:r>
      <w:r w:rsidRPr="000665B0">
        <w:rPr>
          <w:rFonts w:eastAsia="Arial Unicode MS"/>
        </w:rPr>
        <w:t xml:space="preserve"> </w:t>
      </w:r>
      <w:r w:rsidRPr="000665B0">
        <w:t xml:space="preserve">Removes the selected ACMS(s) from the ACMS List View. This is disabled when </w:t>
      </w:r>
      <w:r w:rsidR="00EB74E2" w:rsidRPr="000665B0">
        <w:t xml:space="preserve">Expedited </w:t>
      </w:r>
      <w:r w:rsidRPr="000665B0">
        <w:t xml:space="preserve">Route </w:t>
      </w:r>
      <w:r w:rsidR="00EB74E2" w:rsidRPr="000665B0">
        <w:t xml:space="preserve">Generation </w:t>
      </w:r>
      <w:r w:rsidRPr="000665B0">
        <w:t xml:space="preserve">is set to true. </w:t>
      </w:r>
    </w:p>
    <w:p w14:paraId="1CAEE889" w14:textId="77777777" w:rsidR="000D70ED" w:rsidRPr="000665B0" w:rsidRDefault="000D70ED" w:rsidP="009570CA">
      <w:r w:rsidRPr="000665B0">
        <w:t xml:space="preserve">To add an ACMS: </w:t>
      </w:r>
    </w:p>
    <w:p w14:paraId="7D1B9048" w14:textId="2422C6E3" w:rsidR="008F6433" w:rsidRPr="000665B0" w:rsidRDefault="00D71804" w:rsidP="006D5A65">
      <w:pPr>
        <w:pStyle w:val="Heading1"/>
      </w:pPr>
      <w:r w:rsidRPr="000665B0">
        <w:t>Right-click</w:t>
      </w:r>
      <w:r w:rsidR="008F6433" w:rsidRPr="000665B0">
        <w:t xml:space="preserve"> in the data pane and select Add…. </w:t>
      </w:r>
    </w:p>
    <w:p w14:paraId="257B030F" w14:textId="77777777" w:rsidR="008F6433" w:rsidRPr="000665B0" w:rsidRDefault="008F6433" w:rsidP="006D5A65">
      <w:pPr>
        <w:pStyle w:val="Heading1"/>
      </w:pPr>
      <w:r w:rsidRPr="000665B0">
        <w:t xml:space="preserve">Select ACMSs… or From Library </w:t>
      </w:r>
      <w:r w:rsidRPr="000665B0">
        <w:rPr>
          <w:rFonts w:cs="Arial"/>
          <w:sz w:val="20"/>
        </w:rPr>
        <w:t>►</w:t>
      </w:r>
      <w:r w:rsidRPr="000665B0">
        <w:t xml:space="preserve"> ACMS Libraries… or TED Libraries…</w:t>
      </w:r>
    </w:p>
    <w:p w14:paraId="7B311550" w14:textId="77777777" w:rsidR="008F6433" w:rsidRPr="000665B0" w:rsidRDefault="008F6433" w:rsidP="006D5A65">
      <w:pPr>
        <w:pStyle w:val="Heading1"/>
      </w:pPr>
      <w:r w:rsidRPr="000665B0">
        <w:t xml:space="preserve">The </w:t>
      </w:r>
      <w:r w:rsidRPr="000665B0">
        <w:rPr>
          <w:i/>
        </w:rPr>
        <w:t>ACMSs</w:t>
      </w:r>
      <w:r w:rsidRPr="000665B0">
        <w:t xml:space="preserve"> or </w:t>
      </w:r>
      <w:r w:rsidRPr="000665B0">
        <w:rPr>
          <w:i/>
        </w:rPr>
        <w:t>Libraries</w:t>
      </w:r>
      <w:r w:rsidRPr="000665B0">
        <w:t xml:space="preserve"> selection window is displayed. Select the appropriate ACMS(s) and click the OK button.</w:t>
      </w:r>
    </w:p>
    <w:p w14:paraId="250B871D" w14:textId="77777777" w:rsidR="008F6433" w:rsidRPr="000665B0" w:rsidRDefault="008F6433" w:rsidP="009570CA">
      <w:pPr>
        <w:ind w:left="360"/>
      </w:pPr>
      <w:r w:rsidRPr="000665B0">
        <w:t>or</w:t>
      </w:r>
    </w:p>
    <w:p w14:paraId="464B307D" w14:textId="77777777" w:rsidR="008F6433" w:rsidRPr="000665B0" w:rsidRDefault="008F6433" w:rsidP="006D5A65">
      <w:pPr>
        <w:pStyle w:val="Heading1"/>
      </w:pPr>
      <w:r w:rsidRPr="000665B0">
        <w:t>Drag and drop selected ACMSs from the ACMS tool.</w:t>
      </w:r>
    </w:p>
    <w:p w14:paraId="4D8FF3CA" w14:textId="77777777" w:rsidR="000D70ED" w:rsidRPr="000665B0" w:rsidRDefault="000D70ED"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688780F" w14:textId="77777777" w:rsidR="008F6433" w:rsidRPr="000665B0" w:rsidRDefault="008F6433"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The TMPR author needs to ensure applicable ACMSs are held at the Planning Org or must send the applicable ACMSs to the Planning Org along with the TMPR. If the Planning Org does not hold the ACMSs referenced in a TMPR, the mission planner may not be able to successfully complete the TMPR as requested.</w:t>
      </w:r>
    </w:p>
    <w:p w14:paraId="5C728B99" w14:textId="77777777" w:rsidR="008D7443" w:rsidRPr="000665B0" w:rsidRDefault="008D7443" w:rsidP="009570CA">
      <w:pPr>
        <w:spacing w:after="0" w:line="240" w:lineRule="auto"/>
      </w:pPr>
    </w:p>
    <w:p w14:paraId="3162569B" w14:textId="77777777" w:rsidR="00891855" w:rsidRPr="000665B0" w:rsidRDefault="00891855"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4A152F9" w14:textId="4BFB6C38" w:rsidR="008F6433" w:rsidRPr="000665B0" w:rsidRDefault="008F6433"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When a TMPR is initiated from a Strike Folder or a Strike Option, the TMPR title bar will display the Strike Folder\Option </w:t>
      </w:r>
      <w:r w:rsidR="00816181" w:rsidRPr="000665B0">
        <w:rPr>
          <w:b/>
        </w:rPr>
        <w:t>I</w:t>
      </w:r>
      <w:r w:rsidR="00816181">
        <w:rPr>
          <w:b/>
        </w:rPr>
        <w:t>D</w:t>
      </w:r>
      <w:r w:rsidR="00816181" w:rsidRPr="000665B0">
        <w:rPr>
          <w:b/>
        </w:rPr>
        <w:t xml:space="preserve"> </w:t>
      </w:r>
      <w:r w:rsidRPr="000665B0">
        <w:rPr>
          <w:b/>
        </w:rPr>
        <w:t>and the ACMS selection list will be limited to only those ACMSs contained within the Strike Folder\Option.</w:t>
      </w:r>
    </w:p>
    <w:p w14:paraId="5BF8EC0D" w14:textId="77777777" w:rsidR="00143E6F" w:rsidRPr="000665B0" w:rsidRDefault="00143E6F" w:rsidP="009570CA">
      <w:r w:rsidRPr="000665B0">
        <w:lastRenderedPageBreak/>
        <w:t>To Edit</w:t>
      </w:r>
      <w:r w:rsidR="00406691" w:rsidRPr="000665B0">
        <w:t xml:space="preserve"> Preplanned</w:t>
      </w:r>
      <w:r w:rsidRPr="000665B0">
        <w:t xml:space="preserve"> Loiter Info:</w:t>
      </w:r>
    </w:p>
    <w:p w14:paraId="7784A781" w14:textId="77777777" w:rsidR="000D70ED" w:rsidRPr="000665B0" w:rsidRDefault="00143E6F" w:rsidP="009570CA">
      <w:r w:rsidRPr="000665B0">
        <w:t xml:space="preserve">A user may want to edit the </w:t>
      </w:r>
      <w:r w:rsidR="00406691" w:rsidRPr="000665B0">
        <w:t xml:space="preserve">Preplanned </w:t>
      </w:r>
      <w:r w:rsidRPr="000665B0">
        <w:t>Loiter Information of an ACMS. This may be accomplished by:</w:t>
      </w:r>
    </w:p>
    <w:p w14:paraId="371AF893" w14:textId="332D396D" w:rsidR="000D70ED" w:rsidRPr="000665B0" w:rsidRDefault="00D71804" w:rsidP="006D5A65">
      <w:pPr>
        <w:pStyle w:val="Heading1"/>
      </w:pPr>
      <w:r w:rsidRPr="000665B0">
        <w:t>Right-click</w:t>
      </w:r>
      <w:r w:rsidR="000D70ED" w:rsidRPr="000665B0">
        <w:t xml:space="preserve"> an ACMS of type Loiter Area in the ACMS List View.</w:t>
      </w:r>
    </w:p>
    <w:p w14:paraId="20BEEADB" w14:textId="614596DA" w:rsidR="00143E6F" w:rsidRPr="000665B0" w:rsidRDefault="00143E6F" w:rsidP="006D5A65">
      <w:pPr>
        <w:pStyle w:val="Heading1"/>
      </w:pPr>
      <w:r w:rsidRPr="000665B0">
        <w:t xml:space="preserve">Select Edit Loiter Info…. The </w:t>
      </w:r>
      <w:r w:rsidRPr="000665B0">
        <w:rPr>
          <w:i/>
        </w:rPr>
        <w:t>Loiter Info</w:t>
      </w:r>
      <w:r w:rsidRPr="000665B0">
        <w:t xml:space="preserve"> dialog is displayed.</w:t>
      </w:r>
    </w:p>
    <w:p w14:paraId="5744AA06" w14:textId="531509D6" w:rsidR="00143E6F" w:rsidRPr="000665B0" w:rsidRDefault="00E8029B" w:rsidP="009570CA">
      <w:pPr>
        <w:jc w:val="center"/>
      </w:pPr>
      <w:r w:rsidRPr="000665B0">
        <w:rPr>
          <w:noProof/>
        </w:rPr>
        <w:drawing>
          <wp:inline distT="0" distB="0" distL="0" distR="0" wp14:anchorId="43D3003C" wp14:editId="575FD351">
            <wp:extent cx="1828800" cy="1005840"/>
            <wp:effectExtent l="0" t="0" r="0" b="381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005840"/>
                    </a:xfrm>
                    <a:prstGeom prst="rect">
                      <a:avLst/>
                    </a:prstGeom>
                  </pic:spPr>
                </pic:pic>
              </a:graphicData>
            </a:graphic>
          </wp:inline>
        </w:drawing>
      </w:r>
    </w:p>
    <w:p w14:paraId="003B998D" w14:textId="77777777" w:rsidR="000D70ED" w:rsidRPr="000665B0" w:rsidRDefault="00143E6F" w:rsidP="006D5A65">
      <w:pPr>
        <w:pStyle w:val="Heading1"/>
      </w:pPr>
      <w:r w:rsidRPr="000665B0">
        <w:t xml:space="preserve">Enter the Desired Time in the Loiter (minutes) and the Loiter </w:t>
      </w:r>
      <w:r w:rsidR="00A96BC3" w:rsidRPr="000665B0">
        <w:t>Al</w:t>
      </w:r>
      <w:r w:rsidRPr="000665B0">
        <w:t>titude (MSL) and click OK.</w:t>
      </w:r>
    </w:p>
    <w:p w14:paraId="097E62E2"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50A43578" w14:textId="77777777" w:rsidR="00143E6F" w:rsidRPr="000665B0" w:rsidRDefault="00143E6F"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Edit Loiter Info function is only enabled for ACMS(s) of type “Loiter Area.”</w:t>
      </w:r>
    </w:p>
    <w:p w14:paraId="46A41BBE" w14:textId="45E42D92" w:rsidR="000D70ED" w:rsidRPr="000665B0" w:rsidRDefault="000D70ED" w:rsidP="009570CA">
      <w:pPr>
        <w:pStyle w:val="Normal1"/>
        <w:spacing w:before="0" w:beforeAutospacing="0" w:after="120" w:afterAutospacing="0"/>
      </w:pPr>
      <w:r w:rsidRPr="000665B0">
        <w:t xml:space="preserve">The user can also </w:t>
      </w:r>
      <w:r w:rsidRPr="000665B0">
        <w:rPr>
          <w:b/>
        </w:rPr>
        <w:t xml:space="preserve">Display </w:t>
      </w:r>
      <w:r w:rsidRPr="000665B0">
        <w:t>(</w:t>
      </w:r>
      <w:r w:rsidRPr="000665B0">
        <w:rPr>
          <w:b/>
        </w:rPr>
        <w:t>Textually</w:t>
      </w:r>
      <w:r w:rsidRPr="000665B0">
        <w:t xml:space="preserve">, </w:t>
      </w:r>
      <w:r w:rsidRPr="000665B0">
        <w:rPr>
          <w:b/>
        </w:rPr>
        <w:t>Geographically</w:t>
      </w:r>
      <w:r w:rsidRPr="000665B0">
        <w:t xml:space="preserve">, </w:t>
      </w:r>
      <w:r w:rsidRPr="000665B0">
        <w:rPr>
          <w:b/>
        </w:rPr>
        <w:t>References</w:t>
      </w:r>
      <w:r w:rsidRPr="000665B0">
        <w:t xml:space="preserve">, and </w:t>
      </w:r>
      <w:r w:rsidRPr="000665B0">
        <w:rPr>
          <w:b/>
        </w:rPr>
        <w:t>in Excel</w:t>
      </w:r>
      <w:r w:rsidRPr="000665B0">
        <w:t xml:space="preserve">), </w:t>
      </w:r>
      <w:r w:rsidRPr="000665B0">
        <w:rPr>
          <w:b/>
        </w:rPr>
        <w:t>Send</w:t>
      </w:r>
      <w:r w:rsidRPr="000665B0">
        <w:t xml:space="preserve">, </w:t>
      </w:r>
      <w:r w:rsidRPr="000665B0">
        <w:rPr>
          <w:b/>
        </w:rPr>
        <w:t>Print, and Remove</w:t>
      </w:r>
      <w:r w:rsidRPr="000665B0">
        <w:t xml:space="preserve"> elements. See </w:t>
      </w:r>
      <w:hyperlink w:anchor="_5.2__COMMON_2" w:history="1">
        <w:r w:rsidRPr="000665B0">
          <w:rPr>
            <w:rStyle w:val="Hyperlink"/>
          </w:rPr>
          <w:t>Section 5.2</w:t>
        </w:r>
      </w:hyperlink>
      <w:r w:rsidRPr="000665B0">
        <w:t xml:space="preserve"> for information on how to perform those features.</w:t>
      </w:r>
    </w:p>
    <w:p w14:paraId="20C92CCE" w14:textId="746E3DA5" w:rsidR="000D70ED" w:rsidRPr="000665B0" w:rsidRDefault="000D70ED" w:rsidP="009570CA">
      <w:pPr>
        <w:pStyle w:val="Normal1"/>
        <w:spacing w:before="0" w:beforeAutospacing="0" w:after="120" w:afterAutospacing="0"/>
      </w:pPr>
      <w:r w:rsidRPr="000665B0">
        <w:t xml:space="preserve">For information on how to </w:t>
      </w:r>
      <w:r w:rsidRPr="000665B0">
        <w:rPr>
          <w:b/>
        </w:rPr>
        <w:t>Edit, Color, Style, and Width Properties</w:t>
      </w:r>
      <w:r w:rsidRPr="000665B0">
        <w:t xml:space="preserve">, and </w:t>
      </w:r>
      <w:r w:rsidRPr="000665B0">
        <w:rPr>
          <w:b/>
        </w:rPr>
        <w:t>Create ACMS Library</w:t>
      </w:r>
      <w:r w:rsidRPr="000665B0">
        <w:t xml:space="preserve">, see </w:t>
      </w:r>
      <w:hyperlink w:anchor="_5.33__ACMS" w:history="1">
        <w:r w:rsidR="00EE4996" w:rsidRPr="000665B0">
          <w:rPr>
            <w:rStyle w:val="Hyperlink"/>
          </w:rPr>
          <w:t xml:space="preserve">Section </w:t>
        </w:r>
        <w:r w:rsidR="004231CC">
          <w:rPr>
            <w:rStyle w:val="Hyperlink"/>
          </w:rPr>
          <w:t>5.29</w:t>
        </w:r>
      </w:hyperlink>
      <w:r w:rsidRPr="000665B0">
        <w:t>.</w:t>
      </w:r>
      <w:r w:rsidR="00143E6F" w:rsidRPr="000665B0">
        <w:rPr>
          <w:szCs w:val="20"/>
        </w:rPr>
        <w:t xml:space="preserve"> For information on how to </w:t>
      </w:r>
      <w:r w:rsidR="00143E6F" w:rsidRPr="000665B0">
        <w:rPr>
          <w:b/>
          <w:szCs w:val="20"/>
        </w:rPr>
        <w:t>Create TED Library</w:t>
      </w:r>
      <w:r w:rsidR="00143E6F" w:rsidRPr="000665B0">
        <w:rPr>
          <w:szCs w:val="20"/>
        </w:rPr>
        <w:t xml:space="preserve"> see </w:t>
      </w:r>
      <w:hyperlink w:anchor="_5.13.1.1__New" w:history="1">
        <w:r w:rsidR="00143E6F" w:rsidRPr="000665B0">
          <w:rPr>
            <w:color w:val="0000FF"/>
            <w:szCs w:val="20"/>
            <w:u w:val="single"/>
          </w:rPr>
          <w:t>Section 5.</w:t>
        </w:r>
        <w:r w:rsidR="00C77A5E" w:rsidRPr="000665B0">
          <w:rPr>
            <w:color w:val="0000FF"/>
            <w:szCs w:val="20"/>
            <w:u w:val="single"/>
          </w:rPr>
          <w:t>12</w:t>
        </w:r>
        <w:r w:rsidR="00143E6F" w:rsidRPr="000665B0">
          <w:rPr>
            <w:color w:val="0000FF"/>
            <w:szCs w:val="20"/>
            <w:u w:val="single"/>
          </w:rPr>
          <w:t>.1.1</w:t>
        </w:r>
      </w:hyperlink>
      <w:r w:rsidR="00143E6F" w:rsidRPr="000665B0">
        <w:rPr>
          <w:color w:val="0000FF"/>
          <w:szCs w:val="20"/>
          <w:u w:val="single"/>
        </w:rPr>
        <w:t>.</w:t>
      </w:r>
    </w:p>
    <w:p w14:paraId="60C89A13" w14:textId="77777777" w:rsidR="000D70ED" w:rsidRPr="000665B0" w:rsidRDefault="000D70ED" w:rsidP="009570CA">
      <w:pPr>
        <w:pStyle w:val="Normal1"/>
        <w:keepNext/>
        <w:spacing w:before="0" w:beforeAutospacing="0" w:after="120" w:afterAutospacing="0"/>
        <w:rPr>
          <w:b/>
          <w:bCs/>
        </w:rPr>
      </w:pPr>
      <w:r w:rsidRPr="000665B0">
        <w:rPr>
          <w:b/>
          <w:bCs/>
        </w:rPr>
        <w:lastRenderedPageBreak/>
        <w:t>Text Constraints Tab</w:t>
      </w:r>
    </w:p>
    <w:p w14:paraId="0ACBB06F" w14:textId="77777777" w:rsidR="000D70ED" w:rsidRPr="000665B0" w:rsidRDefault="000D70ED" w:rsidP="009570CA">
      <w:pPr>
        <w:pStyle w:val="Normal1"/>
        <w:keepNext/>
        <w:spacing w:before="0" w:beforeAutospacing="0" w:after="120" w:afterAutospacing="0"/>
        <w:rPr>
          <w:bCs/>
        </w:rPr>
      </w:pPr>
      <w:r w:rsidRPr="000665B0">
        <w:rPr>
          <w:bCs/>
        </w:rPr>
        <w:t xml:space="preserve">The </w:t>
      </w:r>
      <w:r w:rsidRPr="000665B0">
        <w:rPr>
          <w:b/>
          <w:bCs/>
          <w:i/>
        </w:rPr>
        <w:t>Text Constraints</w:t>
      </w:r>
      <w:r w:rsidRPr="000665B0">
        <w:rPr>
          <w:bCs/>
        </w:rPr>
        <w:t xml:space="preserve"> tab contains fields where the user can enter descriptions for various constraints that the mission should follow.</w:t>
      </w:r>
    </w:p>
    <w:p w14:paraId="10515C95" w14:textId="62652D2C" w:rsidR="0043023F" w:rsidRDefault="00E8029B" w:rsidP="00F63C77">
      <w:pPr>
        <w:jc w:val="center"/>
      </w:pPr>
      <w:r w:rsidRPr="000665B0">
        <w:rPr>
          <w:noProof/>
        </w:rPr>
        <w:drawing>
          <wp:inline distT="0" distB="0" distL="0" distR="0" wp14:anchorId="277667C2" wp14:editId="45765D78">
            <wp:extent cx="3154680" cy="3419856"/>
            <wp:effectExtent l="0" t="0" r="0" b="0"/>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419856"/>
                    </a:xfrm>
                    <a:prstGeom prst="rect">
                      <a:avLst/>
                    </a:prstGeom>
                  </pic:spPr>
                </pic:pic>
              </a:graphicData>
            </a:graphic>
          </wp:inline>
        </w:drawing>
      </w:r>
    </w:p>
    <w:p w14:paraId="7B03B2FE" w14:textId="6551DB27" w:rsidR="000D70ED" w:rsidRPr="000665B0" w:rsidRDefault="000D70ED" w:rsidP="009570CA">
      <w:r w:rsidRPr="000665B0">
        <w:t xml:space="preserve">Enter the text constraints if desired: </w:t>
      </w:r>
    </w:p>
    <w:p w14:paraId="57F6C2F1" w14:textId="77777777" w:rsidR="000D70ED" w:rsidRPr="000665B0" w:rsidRDefault="000D70ED" w:rsidP="006D5A65">
      <w:pPr>
        <w:pStyle w:val="Heading1"/>
      </w:pPr>
      <w:r w:rsidRPr="000665B0">
        <w:t xml:space="preserve">Operational Requirements – A field in the mission information display on MDS that provides narrative notes describing important requirements in the use of the mission. </w:t>
      </w:r>
    </w:p>
    <w:p w14:paraId="30A17D61" w14:textId="77777777" w:rsidR="000D70ED" w:rsidRPr="000665B0" w:rsidRDefault="000D70ED" w:rsidP="006D5A65">
      <w:pPr>
        <w:pStyle w:val="Heading1"/>
      </w:pPr>
      <w:r w:rsidRPr="000665B0">
        <w:t>Collateral Damage Concerns – Describes the specific items or areas where damage is to be avoided.</w:t>
      </w:r>
    </w:p>
    <w:p w14:paraId="3E53C64F" w14:textId="219BFD7D" w:rsidR="000D70ED" w:rsidRPr="000665B0" w:rsidRDefault="000D70ED" w:rsidP="006D5A65">
      <w:pPr>
        <w:pStyle w:val="Heading1"/>
      </w:pPr>
      <w:r w:rsidRPr="000665B0">
        <w:t xml:space="preserve">Employment Conditions </w:t>
      </w:r>
      <w:r w:rsidR="00E8029B" w:rsidRPr="000665B0">
        <w:t xml:space="preserve">– </w:t>
      </w:r>
      <w:r w:rsidRPr="000665B0">
        <w:t>Contains information to describe other special environmental circumstances that might influence employment of the mission</w:t>
      </w:r>
      <w:r w:rsidR="00E25FE6" w:rsidRPr="000665B0">
        <w:t>.</w:t>
      </w:r>
    </w:p>
    <w:p w14:paraId="2EEB96E6" w14:textId="77777777" w:rsidR="000D70ED" w:rsidRPr="000665B0" w:rsidRDefault="000D70ED" w:rsidP="006D5A65">
      <w:pPr>
        <w:pStyle w:val="Heading1"/>
      </w:pPr>
      <w:r w:rsidRPr="000665B0">
        <w:t>Desired Candidate Routing – Describes the desired route or stick route as a list of lat/lon pairs.</w:t>
      </w:r>
    </w:p>
    <w:p w14:paraId="1F08B300" w14:textId="77777777" w:rsidR="000D70ED" w:rsidRPr="000665B0" w:rsidRDefault="000D70ED" w:rsidP="006D5A65">
      <w:pPr>
        <w:pStyle w:val="Heading1"/>
      </w:pPr>
      <w:r w:rsidRPr="000665B0">
        <w:t>MOM Arrival Strategies – Identifies the defining relationships between aimpoints and the TOT.</w:t>
      </w:r>
    </w:p>
    <w:p w14:paraId="2BC7B861" w14:textId="77777777" w:rsidR="000D70ED" w:rsidRPr="000665B0" w:rsidRDefault="000D70ED" w:rsidP="006D5A65">
      <w:pPr>
        <w:pStyle w:val="Heading1"/>
      </w:pPr>
      <w:r w:rsidRPr="000665B0">
        <w:t>Battle Space Features – Describes a list of defenses, event timing conflicts, and referenced mission shortcomings.</w:t>
      </w:r>
    </w:p>
    <w:p w14:paraId="27F92F9D" w14:textId="77777777" w:rsidR="00AC2303" w:rsidRPr="000665B0" w:rsidRDefault="00AC2303" w:rsidP="006D5A65">
      <w:pPr>
        <w:pStyle w:val="Heading1"/>
      </w:pPr>
      <w:r w:rsidRPr="000665B0">
        <w:t>Communications Related Instructions – Describes the mission route features to assist in communication with the missile, usually as lat/lon, heading, and length of time.</w:t>
      </w:r>
    </w:p>
    <w:p w14:paraId="1DA473BA"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48F86A4E" w14:textId="77777777" w:rsidR="00C11A3C" w:rsidRPr="000665B0" w:rsidRDefault="00C11A3C"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MOM Arrival Strategies field is only enabled if the Missile Type selected in the TMPR General Information tab is “109E.”</w:t>
      </w:r>
    </w:p>
    <w:p w14:paraId="7D1313F7" w14:textId="77777777" w:rsidR="000D70ED" w:rsidRPr="000665B0" w:rsidRDefault="000D70ED" w:rsidP="009570CA">
      <w:pPr>
        <w:pStyle w:val="Normal1"/>
        <w:spacing w:before="0" w:beforeAutospacing="0" w:after="120" w:afterAutospacing="0"/>
        <w:rPr>
          <w:b/>
          <w:bCs/>
        </w:rPr>
      </w:pPr>
      <w:r w:rsidRPr="000665B0">
        <w:rPr>
          <w:b/>
          <w:bCs/>
        </w:rPr>
        <w:lastRenderedPageBreak/>
        <w:t>PST Outcome Description Tab</w:t>
      </w:r>
    </w:p>
    <w:p w14:paraId="5FF1DE91" w14:textId="629ACCF2" w:rsidR="00C11A3C" w:rsidRPr="000665B0" w:rsidRDefault="00C11A3C" w:rsidP="009570CA">
      <w:r w:rsidRPr="000665B0">
        <w:rPr>
          <w:b/>
          <w:szCs w:val="24"/>
        </w:rPr>
        <w:t>PST</w:t>
      </w:r>
      <w:r w:rsidRPr="000665B0">
        <w:rPr>
          <w:szCs w:val="24"/>
        </w:rPr>
        <w:t xml:space="preserve"> missions are designed to reduce the risk of collateral damage. With PST, the mission request is more specific and contains added information including more detailed mission objectives and target descriptions, and added planning criteria such as approach and ingress routes, areas and objects to avoid, collateral damage consideration, and divert areas and alternate aimpoints that can be used to dispose of malfunctioning missiles (see </w:t>
      </w:r>
      <w:hyperlink w:anchor="Appendix_I" w:history="1">
        <w:r w:rsidRPr="000665B0">
          <w:rPr>
            <w:color w:val="0000FF"/>
            <w:szCs w:val="24"/>
            <w:u w:val="single"/>
          </w:rPr>
          <w:t>Appendix</w:t>
        </w:r>
        <w:r w:rsidR="003604C5">
          <w:rPr>
            <w:color w:val="0000FF"/>
            <w:szCs w:val="24"/>
            <w:u w:val="single"/>
          </w:rPr>
          <w:t xml:space="preserve"> I</w:t>
        </w:r>
      </w:hyperlink>
      <w:r w:rsidRPr="000665B0">
        <w:rPr>
          <w:szCs w:val="24"/>
        </w:rPr>
        <w:t xml:space="preserve"> for more information). </w:t>
      </w:r>
    </w:p>
    <w:p w14:paraId="5CF459FC" w14:textId="77777777" w:rsidR="00C11A3C" w:rsidRPr="000665B0" w:rsidRDefault="000D70ED" w:rsidP="009570CA">
      <w:r w:rsidRPr="000665B0">
        <w:t xml:space="preserve">The </w:t>
      </w:r>
      <w:r w:rsidRPr="000665B0">
        <w:rPr>
          <w:b/>
          <w:i/>
        </w:rPr>
        <w:t>PST Outcome Description</w:t>
      </w:r>
      <w:r w:rsidRPr="000665B0">
        <w:t xml:space="preserve"> tab allows the mission planner to specify whether or not the mission requested requires PST. </w:t>
      </w:r>
    </w:p>
    <w:p w14:paraId="252CF54F" w14:textId="7858764E" w:rsidR="00C11A3C" w:rsidRPr="000665B0" w:rsidRDefault="00E8029B" w:rsidP="009570CA">
      <w:pPr>
        <w:jc w:val="center"/>
      </w:pPr>
      <w:r w:rsidRPr="000665B0">
        <w:rPr>
          <w:noProof/>
        </w:rPr>
        <w:drawing>
          <wp:inline distT="0" distB="0" distL="0" distR="0" wp14:anchorId="0EE5C189" wp14:editId="45DAD4F4">
            <wp:extent cx="3154680" cy="3419856"/>
            <wp:effectExtent l="0" t="0" r="0" b="0"/>
            <wp:docPr id="2059"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419856"/>
                    </a:xfrm>
                    <a:prstGeom prst="rect">
                      <a:avLst/>
                    </a:prstGeom>
                  </pic:spPr>
                </pic:pic>
              </a:graphicData>
            </a:graphic>
          </wp:inline>
        </w:drawing>
      </w:r>
    </w:p>
    <w:p w14:paraId="48CBAC98" w14:textId="77777777" w:rsidR="000D70ED" w:rsidRPr="000665B0" w:rsidRDefault="000D70ED" w:rsidP="009570CA">
      <w:pPr>
        <w:rPr>
          <w:b/>
          <w:i/>
        </w:rPr>
      </w:pPr>
      <w:r w:rsidRPr="000665B0">
        <w:rPr>
          <w:b/>
          <w:i/>
        </w:rPr>
        <w:t>PST List View</w:t>
      </w:r>
    </w:p>
    <w:p w14:paraId="48A91557" w14:textId="77777777" w:rsidR="000D70ED" w:rsidRPr="000665B0" w:rsidRDefault="000D70ED" w:rsidP="006D5A65">
      <w:pPr>
        <w:pStyle w:val="Heading1"/>
      </w:pPr>
      <w:r w:rsidRPr="000665B0">
        <w:t>Columns</w:t>
      </w:r>
    </w:p>
    <w:p w14:paraId="19A48772" w14:textId="77777777" w:rsidR="000D70ED" w:rsidRPr="000665B0" w:rsidRDefault="000D70ED" w:rsidP="006D5A65">
      <w:pPr>
        <w:pStyle w:val="Heading1"/>
      </w:pPr>
      <w:r w:rsidRPr="000665B0">
        <w:t>Description – Description of the PST Outcome.</w:t>
      </w:r>
    </w:p>
    <w:p w14:paraId="57ECD5E9" w14:textId="77777777" w:rsidR="000D70ED" w:rsidRPr="000665B0" w:rsidRDefault="000D70ED" w:rsidP="006D5A65">
      <w:pPr>
        <w:pStyle w:val="Heading1"/>
      </w:pPr>
      <w:r w:rsidRPr="000665B0">
        <w:t>Context Menu</w:t>
      </w:r>
    </w:p>
    <w:p w14:paraId="33D74002" w14:textId="77777777" w:rsidR="000D70ED" w:rsidRPr="000665B0" w:rsidRDefault="000D70ED" w:rsidP="006D5A65">
      <w:pPr>
        <w:pStyle w:val="Heading1"/>
      </w:pPr>
      <w:r w:rsidRPr="000665B0">
        <w:t>Add… – Displays a blank PST Outcome Description dialog to add a PST outcome description.</w:t>
      </w:r>
    </w:p>
    <w:p w14:paraId="63BF69EF" w14:textId="77777777" w:rsidR="000D70ED" w:rsidRPr="000665B0" w:rsidRDefault="000D70ED" w:rsidP="006D5A65">
      <w:pPr>
        <w:pStyle w:val="Heading1"/>
      </w:pPr>
      <w:r w:rsidRPr="000665B0">
        <w:t>Display</w:t>
      </w:r>
    </w:p>
    <w:p w14:paraId="414FF487" w14:textId="77777777" w:rsidR="000D70ED" w:rsidRPr="000665B0" w:rsidRDefault="000D70ED" w:rsidP="006D5A65">
      <w:pPr>
        <w:pStyle w:val="Heading2"/>
      </w:pPr>
      <w:r w:rsidRPr="000665B0">
        <w:t>Textually – Displays the textual view of the selected PST Outcome Description(s).</w:t>
      </w:r>
    </w:p>
    <w:p w14:paraId="3364BECD" w14:textId="77777777" w:rsidR="00C11A3C" w:rsidRPr="000665B0" w:rsidRDefault="00C11A3C" w:rsidP="006D5A65">
      <w:pPr>
        <w:pStyle w:val="Heading2"/>
      </w:pPr>
      <w:r w:rsidRPr="000665B0">
        <w:t>in Excel – Creates an Excel document containing the selected PST Outcome Description’s information.</w:t>
      </w:r>
    </w:p>
    <w:p w14:paraId="3AF89D8F" w14:textId="29744D10" w:rsidR="00C11A3C" w:rsidRPr="000665B0" w:rsidRDefault="00C11A3C" w:rsidP="006D5A65">
      <w:pPr>
        <w:pStyle w:val="Heading1"/>
      </w:pPr>
      <w:r w:rsidRPr="000665B0">
        <w:lastRenderedPageBreak/>
        <w:t xml:space="preserve">Print… – Prints the selected PST Outcome Description’s list </w:t>
      </w:r>
      <w:r w:rsidR="008C333E" w:rsidRPr="000665B0">
        <w:t>information.</w:t>
      </w:r>
    </w:p>
    <w:p w14:paraId="6EC13DAE" w14:textId="77777777" w:rsidR="000D70ED" w:rsidRPr="000665B0" w:rsidRDefault="000D70ED" w:rsidP="006D5A65">
      <w:pPr>
        <w:pStyle w:val="Heading1"/>
      </w:pPr>
      <w:r w:rsidRPr="000665B0">
        <w:t>Remove – Removes the selected PST Outcome Description(s) from the list view.</w:t>
      </w:r>
    </w:p>
    <w:p w14:paraId="06682809" w14:textId="77777777" w:rsidR="000D70ED" w:rsidRPr="000665B0" w:rsidRDefault="000D70ED" w:rsidP="009570CA">
      <w:r w:rsidRPr="000665B0">
        <w:t>To add a description:</w:t>
      </w:r>
    </w:p>
    <w:p w14:paraId="64D4A36E" w14:textId="77777777" w:rsidR="00C11A3C" w:rsidRPr="000665B0" w:rsidRDefault="00C11A3C" w:rsidP="006D5A65">
      <w:pPr>
        <w:pStyle w:val="Heading1"/>
      </w:pPr>
      <w:r w:rsidRPr="000665B0">
        <w:t xml:space="preserve">Right-click in the data pane and select Add…. </w:t>
      </w:r>
    </w:p>
    <w:p w14:paraId="4C8E9BB6" w14:textId="77777777" w:rsidR="00C11A3C" w:rsidRPr="000665B0" w:rsidRDefault="00C11A3C" w:rsidP="006D5A65">
      <w:pPr>
        <w:pStyle w:val="Heading1"/>
      </w:pPr>
      <w:r w:rsidRPr="000665B0">
        <w:t xml:space="preserve">The </w:t>
      </w:r>
      <w:r w:rsidRPr="000665B0">
        <w:rPr>
          <w:i/>
        </w:rPr>
        <w:t>PST Outcome Description</w:t>
      </w:r>
      <w:r w:rsidRPr="000665B0">
        <w:t xml:space="preserve"> dialog window is displayed. Enter a description and click the OK button.</w:t>
      </w:r>
    </w:p>
    <w:p w14:paraId="15F86C69" w14:textId="74BF7CA1" w:rsidR="00C11A3C" w:rsidRPr="000665B0" w:rsidRDefault="00E8029B" w:rsidP="009570CA">
      <w:pPr>
        <w:jc w:val="center"/>
      </w:pPr>
      <w:r w:rsidRPr="000665B0">
        <w:rPr>
          <w:noProof/>
        </w:rPr>
        <w:drawing>
          <wp:inline distT="0" distB="0" distL="0" distR="0" wp14:anchorId="005632D5" wp14:editId="56338A83">
            <wp:extent cx="2743200" cy="1051560"/>
            <wp:effectExtent l="0" t="0" r="0" b="0"/>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051560"/>
                    </a:xfrm>
                    <a:prstGeom prst="rect">
                      <a:avLst/>
                    </a:prstGeom>
                  </pic:spPr>
                </pic:pic>
              </a:graphicData>
            </a:graphic>
          </wp:inline>
        </w:drawing>
      </w:r>
    </w:p>
    <w:p w14:paraId="7663C312" w14:textId="77777777" w:rsidR="000D70ED" w:rsidRPr="000665B0" w:rsidRDefault="000D70ED" w:rsidP="006D5A65">
      <w:pPr>
        <w:pStyle w:val="Heading1"/>
      </w:pPr>
      <w:r w:rsidRPr="000665B0">
        <w:t xml:space="preserve">Click on the Save icon </w:t>
      </w:r>
      <w:r w:rsidRPr="000665B0">
        <w:rPr>
          <w:rFonts w:ascii="Wingdings" w:hAnsi="Wingdings"/>
        </w:rPr>
        <w:t></w:t>
      </w:r>
      <w:r w:rsidRPr="000665B0">
        <w:t xml:space="preserve"> to save the changes. </w:t>
      </w:r>
    </w:p>
    <w:p w14:paraId="6C3F7BF4" w14:textId="2F588892" w:rsidR="000D70ED" w:rsidRPr="000665B0" w:rsidRDefault="000D70ED" w:rsidP="009570CA">
      <w:pPr>
        <w:pStyle w:val="Normal1"/>
        <w:spacing w:before="0" w:beforeAutospacing="0" w:after="120" w:afterAutospacing="0"/>
      </w:pPr>
      <w:r w:rsidRPr="000665B0">
        <w:t xml:space="preserve">The user can also </w:t>
      </w:r>
      <w:r w:rsidRPr="000665B0">
        <w:rPr>
          <w:b/>
        </w:rPr>
        <w:t xml:space="preserve">Display </w:t>
      </w:r>
      <w:r w:rsidRPr="000665B0">
        <w:t>(</w:t>
      </w:r>
      <w:r w:rsidRPr="000665B0">
        <w:rPr>
          <w:b/>
        </w:rPr>
        <w:t>Textually</w:t>
      </w:r>
      <w:r w:rsidRPr="000665B0">
        <w:t xml:space="preserve"> and </w:t>
      </w:r>
      <w:r w:rsidRPr="000665B0">
        <w:rPr>
          <w:b/>
        </w:rPr>
        <w:t>in Excel</w:t>
      </w:r>
      <w:r w:rsidRPr="000665B0">
        <w:t xml:space="preserve">), </w:t>
      </w:r>
      <w:r w:rsidRPr="000665B0">
        <w:rPr>
          <w:b/>
        </w:rPr>
        <w:t>Print, and Remove</w:t>
      </w:r>
      <w:r w:rsidRPr="000665B0">
        <w:t xml:space="preserve"> elements. See </w:t>
      </w:r>
      <w:hyperlink w:anchor="_5.2__COMMON_2" w:history="1">
        <w:r w:rsidRPr="000665B0">
          <w:rPr>
            <w:rStyle w:val="Hyperlink"/>
          </w:rPr>
          <w:t>Section 5.2</w:t>
        </w:r>
      </w:hyperlink>
      <w:r w:rsidRPr="000665B0">
        <w:t xml:space="preserve"> for information on how to perform those features.</w:t>
      </w:r>
    </w:p>
    <w:p w14:paraId="5A832791" w14:textId="77777777" w:rsidR="000D70ED" w:rsidRPr="000665B0" w:rsidRDefault="000D70ED" w:rsidP="009570CA">
      <w:pPr>
        <w:keepNext/>
        <w:rPr>
          <w:b/>
        </w:rPr>
      </w:pPr>
      <w:r w:rsidRPr="000665B0">
        <w:rPr>
          <w:b/>
        </w:rPr>
        <w:t>TMPR Status Tab</w:t>
      </w:r>
    </w:p>
    <w:p w14:paraId="7491BD1D" w14:textId="77777777" w:rsidR="00271ABD" w:rsidRPr="000665B0" w:rsidRDefault="00271ABD" w:rsidP="009570CA">
      <w:pPr>
        <w:keepNext/>
      </w:pPr>
      <w:r w:rsidRPr="000665B0">
        <w:t xml:space="preserve">Once the TMPR has been submitted and has been processed by TPS, the </w:t>
      </w:r>
      <w:r w:rsidRPr="000665B0">
        <w:rPr>
          <w:b/>
          <w:i/>
        </w:rPr>
        <w:t>TMPR Status</w:t>
      </w:r>
      <w:r w:rsidRPr="000665B0">
        <w:t xml:space="preserve"> tab will contain information:</w:t>
      </w:r>
    </w:p>
    <w:p w14:paraId="161100C4" w14:textId="711D14B6" w:rsidR="00271ABD" w:rsidRPr="000665B0" w:rsidRDefault="00E8029B" w:rsidP="009570CA">
      <w:pPr>
        <w:jc w:val="center"/>
      </w:pPr>
      <w:r w:rsidRPr="000665B0">
        <w:rPr>
          <w:noProof/>
        </w:rPr>
        <w:drawing>
          <wp:inline distT="0" distB="0" distL="0" distR="0" wp14:anchorId="3447BD7E" wp14:editId="48B0BB4A">
            <wp:extent cx="3154680" cy="3593592"/>
            <wp:effectExtent l="0" t="0" r="0" b="0"/>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593592"/>
                    </a:xfrm>
                    <a:prstGeom prst="rect">
                      <a:avLst/>
                    </a:prstGeom>
                  </pic:spPr>
                </pic:pic>
              </a:graphicData>
            </a:graphic>
          </wp:inline>
        </w:drawing>
      </w:r>
    </w:p>
    <w:p w14:paraId="2557232A" w14:textId="77777777" w:rsidR="00271ABD" w:rsidRPr="000665B0" w:rsidRDefault="00271ABD" w:rsidP="009570CA">
      <w:r w:rsidRPr="000665B0">
        <w:lastRenderedPageBreak/>
        <w:t xml:space="preserve">The </w:t>
      </w:r>
      <w:r w:rsidRPr="000665B0">
        <w:rPr>
          <w:b/>
          <w:i/>
        </w:rPr>
        <w:t>TMPR Status</w:t>
      </w:r>
      <w:r w:rsidRPr="000665B0">
        <w:t xml:space="preserve"> tab contains the mission report in the </w:t>
      </w:r>
      <w:r w:rsidRPr="000665B0">
        <w:rPr>
          <w:b/>
        </w:rPr>
        <w:t>Description</w:t>
      </w:r>
      <w:r w:rsidRPr="000665B0">
        <w:t xml:space="preserve"> textbox. In addition, it lists the Originator for the mission and the DTG when the mission was received.</w:t>
      </w:r>
    </w:p>
    <w:p w14:paraId="1AECD26F" w14:textId="77777777" w:rsidR="000D70ED" w:rsidRPr="000665B0" w:rsidRDefault="000D70ED" w:rsidP="009570CA">
      <w:pPr>
        <w:rPr>
          <w:b/>
          <w:i/>
        </w:rPr>
      </w:pPr>
      <w:r w:rsidRPr="000665B0">
        <w:rPr>
          <w:b/>
          <w:i/>
        </w:rPr>
        <w:t>Ground Track Point(s) List View</w:t>
      </w:r>
    </w:p>
    <w:p w14:paraId="0A51AD71" w14:textId="77777777" w:rsidR="000D70ED" w:rsidRPr="000665B0" w:rsidRDefault="000D70ED" w:rsidP="009570CA">
      <w:r w:rsidRPr="000665B0">
        <w:t xml:space="preserve">The Ground Track Point(s) list view </w:t>
      </w:r>
      <w:r w:rsidRPr="000665B0">
        <w:rPr>
          <w:szCs w:val="24"/>
        </w:rPr>
        <w:t>displays a listing of the</w:t>
      </w:r>
      <w:r w:rsidRPr="000665B0">
        <w:rPr>
          <w:rFonts w:ascii="Courier New" w:hAnsi="Courier New" w:cs="Courier New"/>
          <w:sz w:val="20"/>
        </w:rPr>
        <w:t xml:space="preserve"> </w:t>
      </w:r>
      <w:r w:rsidRPr="000665B0">
        <w:t xml:space="preserve">mission’s horizontal profile. The route can be displayed geographically by selecting the </w:t>
      </w:r>
      <w:r w:rsidR="009A1FDF" w:rsidRPr="000665B0">
        <w:rPr>
          <w:noProof/>
          <w:position w:val="-12"/>
        </w:rPr>
        <w:drawing>
          <wp:inline distT="0" distB="0" distL="0" distR="0" wp14:anchorId="317BBEC9" wp14:editId="1EB68C16">
            <wp:extent cx="266700" cy="228600"/>
            <wp:effectExtent l="19050" t="0" r="0"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cstate="print"/>
                    <a:srcRect/>
                    <a:stretch>
                      <a:fillRect/>
                    </a:stretch>
                  </pic:blipFill>
                  <pic:spPr bwMode="auto">
                    <a:xfrm>
                      <a:off x="0" y="0"/>
                      <a:ext cx="266700" cy="228600"/>
                    </a:xfrm>
                    <a:prstGeom prst="rect">
                      <a:avLst/>
                    </a:prstGeom>
                    <a:noFill/>
                    <a:ln w="9525">
                      <a:noFill/>
                      <a:miter lim="800000"/>
                      <a:headEnd/>
                      <a:tailEnd/>
                    </a:ln>
                  </pic:spPr>
                </pic:pic>
              </a:graphicData>
            </a:graphic>
          </wp:inline>
        </w:drawing>
      </w:r>
      <w:r w:rsidRPr="000665B0">
        <w:t xml:space="preserve"> tool button.</w:t>
      </w:r>
    </w:p>
    <w:p w14:paraId="7A77759B" w14:textId="77777777" w:rsidR="000D70ED" w:rsidRPr="000665B0" w:rsidRDefault="000D70ED" w:rsidP="006D5A65">
      <w:pPr>
        <w:pStyle w:val="Heading1"/>
      </w:pPr>
      <w:r w:rsidRPr="000665B0">
        <w:t>Columns</w:t>
      </w:r>
    </w:p>
    <w:p w14:paraId="53E7A5EE" w14:textId="77777777" w:rsidR="000D70ED" w:rsidRPr="000665B0" w:rsidRDefault="000D70ED" w:rsidP="006D5A65">
      <w:pPr>
        <w:pStyle w:val="Heading2"/>
      </w:pPr>
      <w:r w:rsidRPr="000665B0">
        <w:t>PT Sequence Number – Sequence number for the route’s points.</w:t>
      </w:r>
    </w:p>
    <w:p w14:paraId="78D58794" w14:textId="77777777" w:rsidR="000D70ED" w:rsidRPr="000665B0" w:rsidRDefault="000D70ED" w:rsidP="006D5A65">
      <w:pPr>
        <w:pStyle w:val="Heading2"/>
      </w:pPr>
      <w:r w:rsidRPr="000665B0">
        <w:t>Latitude – Latitude value for the point.</w:t>
      </w:r>
    </w:p>
    <w:p w14:paraId="32BF3D17" w14:textId="77777777" w:rsidR="000D70ED" w:rsidRPr="000665B0" w:rsidRDefault="000D70ED" w:rsidP="006D5A65">
      <w:pPr>
        <w:pStyle w:val="Heading2"/>
      </w:pPr>
      <w:r w:rsidRPr="000665B0">
        <w:t>Longitude – Longitude value for the point.</w:t>
      </w:r>
    </w:p>
    <w:p w14:paraId="6D976CCD" w14:textId="77777777" w:rsidR="000D70ED" w:rsidRPr="000665B0" w:rsidRDefault="000D70ED" w:rsidP="006D5A65">
      <w:pPr>
        <w:pStyle w:val="Heading1"/>
      </w:pPr>
      <w:r w:rsidRPr="000665B0">
        <w:t>Context Menu</w:t>
      </w:r>
    </w:p>
    <w:p w14:paraId="6535DF52" w14:textId="77777777" w:rsidR="000D70ED" w:rsidRPr="000665B0" w:rsidRDefault="000D70ED" w:rsidP="006D5A65">
      <w:pPr>
        <w:pStyle w:val="Heading2"/>
      </w:pPr>
      <w:r w:rsidRPr="000665B0">
        <w:t>Display</w:t>
      </w:r>
    </w:p>
    <w:p w14:paraId="5EC52787" w14:textId="77777777" w:rsidR="00F01BE5" w:rsidRPr="000665B0" w:rsidRDefault="00F01BE5" w:rsidP="006D5A65">
      <w:pPr>
        <w:pStyle w:val="Heading2"/>
      </w:pPr>
      <w:r w:rsidRPr="000665B0">
        <w:t>in Excel – Creates an Excel document containing the selected Ground Track Points’ information.</w:t>
      </w:r>
    </w:p>
    <w:p w14:paraId="4C8A3E9C" w14:textId="6DBD3640" w:rsidR="000D70ED" w:rsidRPr="000665B0" w:rsidRDefault="000D70ED" w:rsidP="006D5A65">
      <w:pPr>
        <w:pStyle w:val="Heading2"/>
      </w:pPr>
      <w:r w:rsidRPr="000665B0">
        <w:t xml:space="preserve">Print… – Prints the selected Ground Track Points’ list </w:t>
      </w:r>
      <w:r w:rsidR="008C333E" w:rsidRPr="000665B0">
        <w:t>information.</w:t>
      </w:r>
    </w:p>
    <w:p w14:paraId="6E90B4F8" w14:textId="1C75E464" w:rsidR="000D70ED" w:rsidRPr="000665B0" w:rsidRDefault="000D70ED" w:rsidP="009570CA">
      <w:pPr>
        <w:pStyle w:val="Normal1"/>
        <w:spacing w:before="0" w:beforeAutospacing="0" w:after="120" w:afterAutospacing="0"/>
      </w:pPr>
      <w:r w:rsidRPr="000665B0">
        <w:t xml:space="preserve">The user can also </w:t>
      </w:r>
      <w:r w:rsidRPr="000665B0">
        <w:rPr>
          <w:b/>
        </w:rPr>
        <w:t xml:space="preserve">Display </w:t>
      </w:r>
      <w:r w:rsidRPr="000665B0">
        <w:t>(</w:t>
      </w:r>
      <w:r w:rsidRPr="000665B0">
        <w:rPr>
          <w:b/>
        </w:rPr>
        <w:t>in Excel</w:t>
      </w:r>
      <w:r w:rsidRPr="000665B0">
        <w:t xml:space="preserve">), and </w:t>
      </w:r>
      <w:r w:rsidRPr="000665B0">
        <w:rPr>
          <w:b/>
        </w:rPr>
        <w:t>Print</w:t>
      </w:r>
      <w:r w:rsidRPr="000665B0">
        <w:t xml:space="preserve"> elements. See</w:t>
      </w:r>
      <w:r w:rsidR="00395F7C" w:rsidRPr="000665B0">
        <w:t xml:space="preserve"> </w:t>
      </w:r>
      <w:hyperlink w:anchor="_5.2__COMMON_2" w:history="1">
        <w:r w:rsidRPr="000665B0">
          <w:rPr>
            <w:rStyle w:val="Hyperlink"/>
          </w:rPr>
          <w:t>Section 5.2</w:t>
        </w:r>
      </w:hyperlink>
      <w:r w:rsidRPr="000665B0">
        <w:t xml:space="preserve"> for information on how to perform those features.</w:t>
      </w:r>
    </w:p>
    <w:p w14:paraId="407B872E"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5DFDB791" w14:textId="0ED7347B" w:rsidR="00F01BE5" w:rsidRPr="000665B0" w:rsidRDefault="00F01BE5" w:rsidP="009570CA">
      <w:pPr>
        <w:pBdr>
          <w:top w:val="single" w:sz="12" w:space="1" w:color="auto"/>
          <w:left w:val="single" w:sz="12" w:space="4" w:color="auto"/>
          <w:bottom w:val="single" w:sz="12" w:space="1" w:color="auto"/>
          <w:right w:val="single" w:sz="12" w:space="4" w:color="auto"/>
        </w:pBdr>
        <w:shd w:val="clear" w:color="auto" w:fill="D9D9D9"/>
        <w:jc w:val="center"/>
        <w:rPr>
          <w:b/>
        </w:rPr>
      </w:pPr>
      <w:bookmarkStart w:id="5831" w:name="_Toc194984788"/>
      <w:r w:rsidRPr="000665B0">
        <w:rPr>
          <w:b/>
        </w:rPr>
        <w:t xml:space="preserve">To interpret the mission generation </w:t>
      </w:r>
      <w:r w:rsidR="008C333E" w:rsidRPr="000665B0">
        <w:rPr>
          <w:b/>
        </w:rPr>
        <w:t>report,</w:t>
      </w:r>
      <w:r w:rsidRPr="000665B0">
        <w:rPr>
          <w:b/>
        </w:rPr>
        <w:t xml:space="preserve"> refer to the TPS SUM.</w:t>
      </w:r>
    </w:p>
    <w:p w14:paraId="697816EE" w14:textId="066237EF" w:rsidR="00F01BE5" w:rsidRPr="000665B0" w:rsidRDefault="00F01BE5" w:rsidP="009570CA">
      <w:pPr>
        <w:rPr>
          <w:b/>
        </w:rPr>
      </w:pPr>
      <w:r w:rsidRPr="000665B0">
        <w:rPr>
          <w:b/>
        </w:rPr>
        <w:t>Resultant Mission</w:t>
      </w:r>
      <w:r w:rsidR="00B51BAF" w:rsidRPr="000665B0">
        <w:rPr>
          <w:b/>
        </w:rPr>
        <w:t>s</w:t>
      </w:r>
      <w:r w:rsidRPr="000665B0">
        <w:rPr>
          <w:b/>
        </w:rPr>
        <w:t xml:space="preserve"> Tab</w:t>
      </w:r>
    </w:p>
    <w:p w14:paraId="3F149FD2" w14:textId="09A5C478" w:rsidR="00F01BE5" w:rsidRPr="000665B0" w:rsidRDefault="00F01BE5" w:rsidP="009570CA">
      <w:r w:rsidRPr="000665B0">
        <w:t xml:space="preserve">When TPS has completed processing, the resulting mission is added to the TED. Selecting the </w:t>
      </w:r>
      <w:r w:rsidRPr="000665B0">
        <w:rPr>
          <w:b/>
          <w:i/>
        </w:rPr>
        <w:t>Resultant</w:t>
      </w:r>
      <w:r w:rsidRPr="000665B0">
        <w:t xml:space="preserve"> </w:t>
      </w:r>
      <w:r w:rsidRPr="000665B0">
        <w:rPr>
          <w:b/>
          <w:i/>
        </w:rPr>
        <w:t>Mission</w:t>
      </w:r>
      <w:r w:rsidR="00A73D3A" w:rsidRPr="000665B0">
        <w:rPr>
          <w:b/>
          <w:i/>
        </w:rPr>
        <w:t>s</w:t>
      </w:r>
      <w:r w:rsidRPr="000665B0">
        <w:t xml:space="preserve"> tab displays the missions that were generated from the TMPR.</w:t>
      </w:r>
    </w:p>
    <w:p w14:paraId="154422B1" w14:textId="03B07D70" w:rsidR="000D70ED" w:rsidRPr="000665B0" w:rsidRDefault="00E8029B" w:rsidP="009570CA">
      <w:pPr>
        <w:jc w:val="center"/>
      </w:pPr>
      <w:r w:rsidRPr="000665B0">
        <w:rPr>
          <w:noProof/>
        </w:rPr>
        <w:lastRenderedPageBreak/>
        <w:drawing>
          <wp:inline distT="0" distB="0" distL="0" distR="0" wp14:anchorId="6B04512F" wp14:editId="04C1F4E2">
            <wp:extent cx="3040294" cy="3463290"/>
            <wp:effectExtent l="0" t="0" r="0" b="0"/>
            <wp:docPr id="2062"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052912" cy="3477664"/>
                    </a:xfrm>
                    <a:prstGeom prst="rect">
                      <a:avLst/>
                    </a:prstGeom>
                  </pic:spPr>
                </pic:pic>
              </a:graphicData>
            </a:graphic>
          </wp:inline>
        </w:drawing>
      </w:r>
    </w:p>
    <w:p w14:paraId="71F3AD40" w14:textId="104BAE2A" w:rsidR="008D7443" w:rsidRPr="000665B0" w:rsidRDefault="000D70ED" w:rsidP="009570CA">
      <w:pPr>
        <w:spacing w:after="0"/>
        <w:rPr>
          <w:rFonts w:ascii="Arial" w:hAnsi="Arial"/>
          <w:b/>
        </w:rPr>
      </w:pPr>
      <w:r w:rsidRPr="000665B0">
        <w:t xml:space="preserve">For more information regarding the Missions List View, see </w:t>
      </w:r>
      <w:hyperlink w:anchor="_5.6__MISSIONS" w:history="1">
        <w:r w:rsidR="00C526BF" w:rsidRPr="000665B0">
          <w:rPr>
            <w:rStyle w:val="Hyperlink"/>
          </w:rPr>
          <w:t>Section 5.5</w:t>
        </w:r>
      </w:hyperlink>
      <w:r w:rsidRPr="000665B0">
        <w:t>.</w:t>
      </w:r>
      <w:bookmarkStart w:id="5832" w:name="_Toc194984789"/>
      <w:bookmarkStart w:id="5833" w:name="_Toc289328795"/>
      <w:bookmarkStart w:id="5834" w:name="_Toc312332037"/>
      <w:bookmarkEnd w:id="5831"/>
    </w:p>
    <w:p w14:paraId="2C4A5EFF" w14:textId="76D89741" w:rsidR="000D70ED" w:rsidRPr="000665B0" w:rsidRDefault="000D70ED" w:rsidP="009570CA">
      <w:pPr>
        <w:pStyle w:val="Heading3"/>
      </w:pPr>
      <w:bookmarkStart w:id="5835" w:name="_Toc214283499"/>
      <w:bookmarkEnd w:id="5809"/>
      <w:r w:rsidRPr="000665B0">
        <w:t>Modify TMPR</w:t>
      </w:r>
      <w:bookmarkEnd w:id="5810"/>
      <w:bookmarkEnd w:id="5811"/>
      <w:bookmarkEnd w:id="5832"/>
      <w:bookmarkEnd w:id="5833"/>
      <w:bookmarkEnd w:id="5834"/>
      <w:bookmarkEnd w:id="5835"/>
      <w:r w:rsidRPr="000665B0">
        <w:t xml:space="preserve"> </w:t>
      </w:r>
    </w:p>
    <w:p w14:paraId="3C2B2219" w14:textId="65468637" w:rsidR="000D70ED" w:rsidRPr="000665B0" w:rsidRDefault="000D70ED" w:rsidP="009570CA">
      <w:r w:rsidRPr="000665B0">
        <w:t xml:space="preserve">MDS requests a planning site (TPS) to plan the necessary portions of an existing mission. Once the Resultant Mission(s) of the Modify TMPR are received, MDS forwards the mission(s) to all appropriate FRUs and </w:t>
      </w:r>
      <w:r w:rsidR="00D56649" w:rsidRPr="000665B0">
        <w:t xml:space="preserve">Standalone MDS </w:t>
      </w:r>
      <w:r w:rsidRPr="000665B0">
        <w:t>Nodes.</w:t>
      </w:r>
    </w:p>
    <w:p w14:paraId="5DC7DB2B" w14:textId="77777777" w:rsidR="000D70ED" w:rsidRPr="000665B0" w:rsidRDefault="000D70ED" w:rsidP="009570CA">
      <w:pPr>
        <w:keepNext/>
      </w:pPr>
      <w:r w:rsidRPr="000665B0">
        <w:t>To create a Modify TMPR:</w:t>
      </w:r>
    </w:p>
    <w:p w14:paraId="572FE267" w14:textId="77777777" w:rsidR="000D70ED" w:rsidRPr="000665B0" w:rsidRDefault="000D70ED" w:rsidP="006D5A65">
      <w:pPr>
        <w:pStyle w:val="Heading1"/>
      </w:pPr>
      <w:r w:rsidRPr="000665B0">
        <w:t xml:space="preserve">Navigate to the TMPRs Tool. </w:t>
      </w:r>
    </w:p>
    <w:p w14:paraId="630D64D4" w14:textId="4D7C0ED3" w:rsidR="00F01BE5" w:rsidRPr="000665B0" w:rsidRDefault="00F01BE5" w:rsidP="006D5A65">
      <w:pPr>
        <w:pStyle w:val="Heading1"/>
      </w:pPr>
      <w:r w:rsidRPr="000665B0">
        <w:t xml:space="preserve">From the File menu select New </w:t>
      </w:r>
      <w:r w:rsidRPr="000665B0">
        <w:rPr>
          <w:rFonts w:cs="Arial"/>
          <w:sz w:val="20"/>
        </w:rPr>
        <w:t>►</w:t>
      </w:r>
      <w:r w:rsidRPr="000665B0">
        <w:t xml:space="preserve"> Modify TMPR</w:t>
      </w:r>
      <w:r w:rsidR="008C333E" w:rsidRPr="000665B0">
        <w:t>… or</w:t>
      </w:r>
      <w:r w:rsidRPr="000665B0">
        <w:t xml:space="preserve"> </w:t>
      </w:r>
      <w:r w:rsidR="00DB0CDF" w:rsidRPr="000665B0">
        <w:t xml:space="preserve">click </w:t>
      </w:r>
      <w:r w:rsidRPr="000665B0">
        <w:t xml:space="preserve">the </w:t>
      </w:r>
      <w:r w:rsidRPr="000665B0">
        <w:sym w:font="Wingdings 3" w:char="F082"/>
      </w:r>
      <w:r w:rsidRPr="000665B0">
        <w:t xml:space="preserve"> button next to the New </w:t>
      </w:r>
      <w:r w:rsidRPr="000665B0">
        <w:rPr>
          <w:noProof/>
        </w:rPr>
        <w:drawing>
          <wp:inline distT="0" distB="0" distL="0" distR="0" wp14:anchorId="781F0867" wp14:editId="27E56BD8">
            <wp:extent cx="158750" cy="158750"/>
            <wp:effectExtent l="0" t="0" r="0" b="0"/>
            <wp:docPr id="966" name="Picture 966"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new 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icon on the toolbar</w:t>
      </w:r>
      <w:r w:rsidR="00DB0CDF" w:rsidRPr="000665B0">
        <w:t xml:space="preserve"> and</w:t>
      </w:r>
      <w:r w:rsidRPr="000665B0">
        <w:t xml:space="preserve"> select Modify TMPR</w:t>
      </w:r>
      <w:r w:rsidR="00F8243D" w:rsidRPr="000665B0">
        <w:t>…</w:t>
      </w:r>
      <w:r w:rsidR="00F8243D" w:rsidRPr="000665B0">
        <w:rPr>
          <w:szCs w:val="24"/>
        </w:rPr>
        <w:t xml:space="preserve"> or</w:t>
      </w:r>
      <w:r w:rsidR="00DB0CDF" w:rsidRPr="000665B0">
        <w:rPr>
          <w:szCs w:val="24"/>
        </w:rPr>
        <w:t xml:space="preserve"> </w:t>
      </w:r>
      <w:r w:rsidR="00DB0CDF" w:rsidRPr="000665B0">
        <w:rPr>
          <w:noProof/>
          <w:szCs w:val="24"/>
        </w:rPr>
        <w:t xml:space="preserve">invoke the context menu (right-click the </w:t>
      </w:r>
      <w:r w:rsidR="00DB0CDF" w:rsidRPr="000665B0">
        <w:rPr>
          <w:noProof/>
          <w:szCs w:val="24"/>
        </w:rPr>
        <w:lastRenderedPageBreak/>
        <w:t xml:space="preserve">mouse) and select New </w:t>
      </w:r>
      <w:r w:rsidR="00DB0CDF" w:rsidRPr="000665B0">
        <w:rPr>
          <w:rFonts w:cs="Arial"/>
          <w:sz w:val="20"/>
        </w:rPr>
        <w:t xml:space="preserve">► </w:t>
      </w:r>
      <w:r w:rsidR="00DB0CDF" w:rsidRPr="000665B0">
        <w:rPr>
          <w:noProof/>
          <w:szCs w:val="24"/>
        </w:rPr>
        <w:t>Modify TMPR</w:t>
      </w:r>
      <w:r w:rsidRPr="000665B0">
        <w:t xml:space="preserve">. The </w:t>
      </w:r>
      <w:r w:rsidRPr="000665B0">
        <w:rPr>
          <w:i/>
        </w:rPr>
        <w:t>Missions</w:t>
      </w:r>
      <w:r w:rsidRPr="000665B0">
        <w:t xml:space="preserve"> window is displayed.</w:t>
      </w:r>
    </w:p>
    <w:p w14:paraId="13E209F0" w14:textId="77777777" w:rsidR="00F01BE5" w:rsidRPr="000665B0" w:rsidRDefault="00F01BE5" w:rsidP="006D5A65">
      <w:pPr>
        <w:pStyle w:val="Heading1"/>
      </w:pPr>
      <w:r w:rsidRPr="000665B0">
        <w:t xml:space="preserve">From the </w:t>
      </w:r>
      <w:r w:rsidRPr="000665B0">
        <w:rPr>
          <w:i/>
        </w:rPr>
        <w:t>Missions</w:t>
      </w:r>
      <w:r w:rsidRPr="000665B0">
        <w:t xml:space="preserve"> window, select the mission to be modified and click the OK button. The </w:t>
      </w:r>
      <w:r w:rsidRPr="000665B0">
        <w:rPr>
          <w:i/>
        </w:rPr>
        <w:t>TMPR</w:t>
      </w:r>
      <w:r w:rsidRPr="000665B0">
        <w:t xml:space="preserve"> textual view window for the selected mission is displayed. </w:t>
      </w:r>
    </w:p>
    <w:p w14:paraId="49E3A274" w14:textId="2B9C2445" w:rsidR="00BD6F59" w:rsidRPr="000665B0" w:rsidRDefault="002B203A" w:rsidP="009570CA">
      <w:pPr>
        <w:jc w:val="center"/>
      </w:pPr>
      <w:r>
        <w:rPr>
          <w:noProof/>
        </w:rPr>
        <w:drawing>
          <wp:inline distT="0" distB="0" distL="0" distR="0" wp14:anchorId="515B236A" wp14:editId="5960C7B4">
            <wp:extent cx="2690338" cy="2804160"/>
            <wp:effectExtent l="0" t="0" r="0" b="0"/>
            <wp:docPr id="2173298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2701364" cy="2815652"/>
                    </a:xfrm>
                    <a:prstGeom prst="rect">
                      <a:avLst/>
                    </a:prstGeom>
                    <a:noFill/>
                    <a:ln>
                      <a:noFill/>
                    </a:ln>
                  </pic:spPr>
                </pic:pic>
              </a:graphicData>
            </a:graphic>
          </wp:inline>
        </w:drawing>
      </w:r>
    </w:p>
    <w:p w14:paraId="67A45025" w14:textId="3F48E61C" w:rsidR="00F01BE5" w:rsidRPr="000665B0" w:rsidRDefault="00F01BE5" w:rsidP="006D5A65">
      <w:pPr>
        <w:pStyle w:val="Heading1"/>
      </w:pPr>
      <w:r w:rsidRPr="000665B0">
        <w:t xml:space="preserve">If it is required to change the classification of the TMPR, click the </w:t>
      </w:r>
      <w:r w:rsidRPr="000665B0">
        <w:rPr>
          <w:bCs/>
        </w:rPr>
        <w:t>EDIT</w:t>
      </w:r>
      <w:r w:rsidRPr="000665B0">
        <w:t xml:space="preserve"> button and select the classification from the drop-down menu of the </w:t>
      </w:r>
      <w:r w:rsidRPr="000665B0">
        <w:rPr>
          <w:i/>
        </w:rPr>
        <w:t>Edit Classification</w:t>
      </w:r>
      <w:r w:rsidRPr="000665B0">
        <w:t xml:space="preserve"> window. For information on editing the classification see </w:t>
      </w:r>
      <w:hyperlink w:anchor="_5.2.7__Edit" w:history="1">
        <w:r w:rsidRPr="000665B0">
          <w:rPr>
            <w:color w:val="0000FF"/>
            <w:u w:val="single"/>
          </w:rPr>
          <w:t>Section 5.2.7</w:t>
        </w:r>
      </w:hyperlink>
      <w:r w:rsidRPr="000665B0">
        <w:t>.</w:t>
      </w:r>
    </w:p>
    <w:p w14:paraId="25A39055" w14:textId="10C41CC9" w:rsidR="000D70ED" w:rsidRPr="000665B0" w:rsidRDefault="000D70ED" w:rsidP="006D5A65">
      <w:pPr>
        <w:pStyle w:val="Heading1"/>
      </w:pPr>
      <w:r w:rsidRPr="000665B0">
        <w:t xml:space="preserve">Click on the </w:t>
      </w:r>
      <w:r w:rsidRPr="000665B0">
        <w:rPr>
          <w:i/>
        </w:rPr>
        <w:t>General Information</w:t>
      </w:r>
      <w:r w:rsidRPr="000665B0">
        <w:t xml:space="preserve"> tab and enter in the required data. See </w:t>
      </w:r>
      <w:hyperlink w:anchor="_Toc100461728" w:history="1">
        <w:r w:rsidRPr="000665B0">
          <w:rPr>
            <w:rStyle w:val="Hyperlink"/>
          </w:rPr>
          <w:t xml:space="preserve">Section </w:t>
        </w:r>
        <w:r w:rsidR="004231CC">
          <w:rPr>
            <w:rStyle w:val="Hyperlink"/>
          </w:rPr>
          <w:t>5.31</w:t>
        </w:r>
        <w:r w:rsidRPr="000665B0">
          <w:rPr>
            <w:rStyle w:val="Hyperlink"/>
          </w:rPr>
          <w:t>.2.1</w:t>
        </w:r>
      </w:hyperlink>
      <w:r w:rsidRPr="000665B0">
        <w:t>.</w:t>
      </w:r>
    </w:p>
    <w:p w14:paraId="0EE4CE25" w14:textId="2EC77A0C" w:rsidR="000D70ED" w:rsidRPr="000665B0" w:rsidRDefault="000D70ED" w:rsidP="006D5A65">
      <w:pPr>
        <w:pStyle w:val="Heading1"/>
      </w:pPr>
      <w:r w:rsidRPr="000665B0">
        <w:t xml:space="preserve">Click on the </w:t>
      </w:r>
      <w:r w:rsidRPr="000665B0">
        <w:rPr>
          <w:i/>
        </w:rPr>
        <w:t>Advanced</w:t>
      </w:r>
      <w:r w:rsidRPr="000665B0">
        <w:t xml:space="preserve"> tab to enter more information. See </w:t>
      </w:r>
      <w:hyperlink w:anchor="_5.35.2.2__Modify" w:history="1">
        <w:r w:rsidRPr="000665B0">
          <w:rPr>
            <w:rStyle w:val="Hyperlink"/>
          </w:rPr>
          <w:t xml:space="preserve">Section </w:t>
        </w:r>
        <w:r w:rsidR="004231CC">
          <w:rPr>
            <w:rStyle w:val="Hyperlink"/>
          </w:rPr>
          <w:t>5.31</w:t>
        </w:r>
        <w:r w:rsidRPr="000665B0">
          <w:rPr>
            <w:rStyle w:val="Hyperlink"/>
          </w:rPr>
          <w:t>.2.2</w:t>
        </w:r>
      </w:hyperlink>
      <w:r w:rsidRPr="000665B0">
        <w:t>.</w:t>
      </w:r>
    </w:p>
    <w:p w14:paraId="7AC51CEE" w14:textId="77777777" w:rsidR="00F01BE5" w:rsidRPr="000665B0" w:rsidRDefault="00F01BE5" w:rsidP="006D5A65">
      <w:pPr>
        <w:pStyle w:val="Heading1"/>
      </w:pPr>
      <w:r w:rsidRPr="000665B0">
        <w:t xml:space="preserve">Click on the Save </w:t>
      </w:r>
      <w:r w:rsidRPr="000665B0">
        <w:sym w:font="Wingdings" w:char="F03C"/>
      </w:r>
      <w:r w:rsidRPr="000665B0">
        <w:t xml:space="preserve"> icon to save the changes or select the Save option from the File pull down menu. </w:t>
      </w:r>
    </w:p>
    <w:p w14:paraId="76F3DF34" w14:textId="1F8DE74A" w:rsidR="000D70ED" w:rsidRPr="000665B0" w:rsidRDefault="00F01BE5" w:rsidP="006D5A65">
      <w:pPr>
        <w:pStyle w:val="Heading1"/>
      </w:pPr>
      <w:r w:rsidRPr="000665B0">
        <w:t xml:space="preserve">If the Own Node has a collocated TPS, then the Submit tool button </w:t>
      </w:r>
      <w:r w:rsidRPr="000665B0">
        <w:rPr>
          <w:noProof/>
        </w:rPr>
        <w:drawing>
          <wp:inline distT="0" distB="0" distL="0" distR="0" wp14:anchorId="1CDD6E41" wp14:editId="35330EB2">
            <wp:extent cx="182880" cy="158750"/>
            <wp:effectExtent l="0" t="0" r="7620" b="0"/>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2880" cy="158750"/>
                    </a:xfrm>
                    <a:prstGeom prst="rect">
                      <a:avLst/>
                    </a:prstGeom>
                    <a:noFill/>
                    <a:ln>
                      <a:noFill/>
                    </a:ln>
                  </pic:spPr>
                </pic:pic>
              </a:graphicData>
            </a:graphic>
          </wp:inline>
        </w:drawing>
      </w:r>
      <w:r w:rsidRPr="000665B0">
        <w:t xml:space="preserve"> </w:t>
      </w:r>
      <w:r w:rsidR="00327ACD" w:rsidRPr="000665B0">
        <w:t>is</w:t>
      </w:r>
      <w:r w:rsidRPr="000665B0">
        <w:t xml:space="preserve"> enabled. </w:t>
      </w:r>
      <w:r w:rsidR="006E2142" w:rsidRPr="000665B0">
        <w:t xml:space="preserve">Selecting </w:t>
      </w:r>
      <w:r w:rsidRPr="000665B0">
        <w:t xml:space="preserve">this will change the state of the TMPR to “Submitted.” The collocated TPS or Embedded TPS </w:t>
      </w:r>
      <w:r w:rsidR="00327ACD" w:rsidRPr="000665B0">
        <w:t>is</w:t>
      </w:r>
      <w:r w:rsidRPr="000665B0">
        <w:t xml:space="preserve"> notified of the TMPR state change (see </w:t>
      </w:r>
      <w:hyperlink w:anchor="_5.35.9__Checking/Setting" w:history="1">
        <w:r w:rsidR="007903C7" w:rsidRPr="000665B0">
          <w:rPr>
            <w:rStyle w:val="Hyperlink"/>
          </w:rPr>
          <w:t xml:space="preserve">Section </w:t>
        </w:r>
        <w:r w:rsidR="004231CC">
          <w:rPr>
            <w:rStyle w:val="Hyperlink"/>
          </w:rPr>
          <w:t>5.31</w:t>
        </w:r>
        <w:r w:rsidR="007903C7" w:rsidRPr="000665B0">
          <w:rPr>
            <w:rStyle w:val="Hyperlink"/>
          </w:rPr>
          <w:t>.9</w:t>
        </w:r>
      </w:hyperlink>
      <w:r w:rsidR="000D70ED" w:rsidRPr="000665B0">
        <w:t>)</w:t>
      </w:r>
    </w:p>
    <w:p w14:paraId="04C6BAC4" w14:textId="62732542" w:rsidR="000D70ED" w:rsidRPr="000665B0" w:rsidRDefault="000D70ED" w:rsidP="009570CA">
      <w:pPr>
        <w:pStyle w:val="Normal1"/>
        <w:spacing w:before="0" w:beforeAutospacing="0" w:after="0" w:afterAutospacing="0"/>
      </w:pPr>
      <w:r w:rsidRPr="000665B0">
        <w:t xml:space="preserve">In addition to viewing/editing information for the TMPR and </w:t>
      </w:r>
      <w:r w:rsidRPr="000665B0">
        <w:rPr>
          <w:b/>
        </w:rPr>
        <w:t>Submit</w:t>
      </w:r>
      <w:r w:rsidRPr="000665B0">
        <w:t xml:space="preserve"> to TPS, the user can also </w:t>
      </w:r>
      <w:r w:rsidRPr="000665B0">
        <w:rPr>
          <w:b/>
        </w:rPr>
        <w:t>Display</w:t>
      </w:r>
      <w:r w:rsidRPr="000665B0">
        <w:t xml:space="preserve"> (</w:t>
      </w:r>
      <w:r w:rsidRPr="000665B0">
        <w:rPr>
          <w:b/>
        </w:rPr>
        <w:t>Geographically</w:t>
      </w:r>
      <w:r w:rsidRPr="000665B0">
        <w:t xml:space="preserve">), </w:t>
      </w:r>
      <w:r w:rsidRPr="000665B0">
        <w:rPr>
          <w:b/>
        </w:rPr>
        <w:t>Send</w:t>
      </w:r>
      <w:r w:rsidRPr="000665B0">
        <w:t xml:space="preserve"> the TMPR as a DDO, view the </w:t>
      </w:r>
      <w:r w:rsidRPr="000665B0">
        <w:rPr>
          <w:b/>
        </w:rPr>
        <w:t>Print Preview</w:t>
      </w:r>
      <w:r w:rsidRPr="000665B0">
        <w:t xml:space="preserve">, as well as </w:t>
      </w:r>
      <w:r w:rsidRPr="000665B0">
        <w:rPr>
          <w:b/>
        </w:rPr>
        <w:t>Print</w:t>
      </w:r>
      <w:r w:rsidRPr="000665B0">
        <w:t xml:space="preserve"> the TMPR information.</w:t>
      </w:r>
      <w:r w:rsidR="00290219" w:rsidRPr="000665B0">
        <w:t xml:space="preserve"> </w:t>
      </w:r>
      <w:r w:rsidRPr="000665B0">
        <w:t xml:space="preserve">See </w:t>
      </w:r>
      <w:hyperlink w:anchor="_5.2__COMMON_2" w:history="1">
        <w:r w:rsidRPr="000665B0">
          <w:rPr>
            <w:rStyle w:val="Hyperlink"/>
          </w:rPr>
          <w:t>Section 5.2</w:t>
        </w:r>
      </w:hyperlink>
      <w:r w:rsidRPr="000665B0">
        <w:t xml:space="preserve"> for information on how to perform those features.</w:t>
      </w:r>
    </w:p>
    <w:p w14:paraId="56F7A1D5" w14:textId="1FE58797" w:rsidR="000D70ED" w:rsidRPr="000665B0" w:rsidRDefault="000D70ED" w:rsidP="009570CA">
      <w:pPr>
        <w:pStyle w:val="Heading4"/>
      </w:pPr>
      <w:bookmarkStart w:id="5836" w:name="_Toc100461728"/>
      <w:bookmarkStart w:id="5837" w:name="_Toc119914565"/>
      <w:bookmarkStart w:id="5838" w:name="_Toc112733706"/>
      <w:bookmarkStart w:id="5839" w:name="_5.35.2.1__Modify"/>
      <w:bookmarkStart w:id="5840" w:name="_Toc289328796"/>
      <w:bookmarkStart w:id="5841" w:name="_Toc194984790"/>
      <w:bookmarkEnd w:id="5836"/>
      <w:bookmarkEnd w:id="5837"/>
      <w:bookmarkEnd w:id="5838"/>
      <w:bookmarkEnd w:id="5839"/>
      <w:r w:rsidRPr="000665B0">
        <w:t>Modify TMPR General Information</w:t>
      </w:r>
      <w:bookmarkEnd w:id="5840"/>
      <w:r w:rsidR="00E161E7" w:rsidRPr="000665B0">
        <w:t xml:space="preserve"> Tab</w:t>
      </w:r>
    </w:p>
    <w:p w14:paraId="583797A5" w14:textId="30989074" w:rsidR="000D70ED" w:rsidRDefault="000D70ED" w:rsidP="006117AD">
      <w:r w:rsidRPr="000665B0">
        <w:t xml:space="preserve">The </w:t>
      </w:r>
      <w:r w:rsidRPr="000665B0">
        <w:rPr>
          <w:b/>
          <w:i/>
        </w:rPr>
        <w:t>General Information</w:t>
      </w:r>
      <w:r w:rsidRPr="000665B0">
        <w:t xml:space="preserve"> tab contains the basic information that may be filled out </w:t>
      </w:r>
      <w:r w:rsidR="00DB32AB" w:rsidRPr="000665B0">
        <w:t>in regard to</w:t>
      </w:r>
      <w:r w:rsidRPr="000665B0">
        <w:t xml:space="preserve"> a TMPR.</w:t>
      </w:r>
    </w:p>
    <w:p w14:paraId="2AF635A1" w14:textId="0A27DDD9" w:rsidR="00BD6F59" w:rsidRPr="000665B0" w:rsidRDefault="002B203A" w:rsidP="009570CA">
      <w:pPr>
        <w:jc w:val="center"/>
      </w:pPr>
      <w:r>
        <w:rPr>
          <w:noProof/>
        </w:rPr>
        <w:lastRenderedPageBreak/>
        <w:drawing>
          <wp:inline distT="0" distB="0" distL="0" distR="0" wp14:anchorId="3182D07D" wp14:editId="4756A08A">
            <wp:extent cx="3070860" cy="3200782"/>
            <wp:effectExtent l="0" t="0" r="0" b="0"/>
            <wp:docPr id="17700786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3082851" cy="3213280"/>
                    </a:xfrm>
                    <a:prstGeom prst="rect">
                      <a:avLst/>
                    </a:prstGeom>
                    <a:noFill/>
                    <a:ln>
                      <a:noFill/>
                    </a:ln>
                  </pic:spPr>
                </pic:pic>
              </a:graphicData>
            </a:graphic>
          </wp:inline>
        </w:drawing>
      </w:r>
    </w:p>
    <w:p w14:paraId="67C17B5E" w14:textId="77777777" w:rsidR="000D70ED" w:rsidRPr="000665B0" w:rsidRDefault="000D70ED" w:rsidP="006D5A65">
      <w:pPr>
        <w:pStyle w:val="Heading1"/>
      </w:pPr>
      <w:r w:rsidRPr="000665B0">
        <w:lastRenderedPageBreak/>
        <w:t>The following information is displayed and cannot be edited:</w:t>
      </w:r>
    </w:p>
    <w:p w14:paraId="04A6AA9B" w14:textId="77777777" w:rsidR="000D70ED" w:rsidRPr="000665B0" w:rsidRDefault="000D70ED" w:rsidP="006D5A65">
      <w:pPr>
        <w:pStyle w:val="Heading1"/>
      </w:pPr>
      <w:r w:rsidRPr="000665B0">
        <w:t>TMPR Type – The type of the particular TMPR entry.</w:t>
      </w:r>
    </w:p>
    <w:p w14:paraId="08EBAD8A" w14:textId="77777777" w:rsidR="00F01BE5" w:rsidRPr="000665B0" w:rsidRDefault="00F01BE5" w:rsidP="006D5A65">
      <w:pPr>
        <w:pStyle w:val="Heading1"/>
      </w:pPr>
      <w:r w:rsidRPr="000665B0">
        <w:t>TMPR State – The current state of the request.</w:t>
      </w:r>
    </w:p>
    <w:p w14:paraId="546D4792" w14:textId="2B519E14" w:rsidR="00F01BE5" w:rsidRPr="000665B0" w:rsidRDefault="00F01BE5" w:rsidP="006D5A65">
      <w:pPr>
        <w:pStyle w:val="Heading1"/>
      </w:pPr>
      <w:r w:rsidRPr="000665B0">
        <w:t xml:space="preserve">Creation DTG – The date when the TMPR was </w:t>
      </w:r>
      <w:r w:rsidR="008C333E" w:rsidRPr="000665B0">
        <w:t>created.</w:t>
      </w:r>
    </w:p>
    <w:p w14:paraId="7F5F8DF8" w14:textId="77777777" w:rsidR="000D70ED" w:rsidRPr="000665B0" w:rsidRDefault="00F01BE5" w:rsidP="006D5A65">
      <w:pPr>
        <w:pStyle w:val="Heading1"/>
      </w:pPr>
      <w:r w:rsidRPr="000665B0">
        <w:t>Ref. Mission – The Mission ID for the mission this TMPR is based on.</w:t>
      </w:r>
    </w:p>
    <w:p w14:paraId="3908C409" w14:textId="661D8B8D" w:rsidR="00A72888" w:rsidRPr="00A72888" w:rsidRDefault="00A72888" w:rsidP="006D5A65">
      <w:pPr>
        <w:pStyle w:val="Heading1"/>
      </w:pPr>
      <w:r>
        <w:t xml:space="preserve">Ground Launch Required checked – </w:t>
      </w:r>
      <w:r w:rsidRPr="00A72888">
        <w:t xml:space="preserve">If the TMPR is a </w:t>
      </w:r>
      <w:r>
        <w:t>modification</w:t>
      </w:r>
      <w:r w:rsidRPr="00A72888">
        <w:t xml:space="preserve"> of </w:t>
      </w:r>
      <w:r>
        <w:t xml:space="preserve">a </w:t>
      </w:r>
      <w:r w:rsidRPr="00A72888">
        <w:t>Ground Launch Required TMPR then the checkbox is checked</w:t>
      </w:r>
      <w:r w:rsidR="00BD6F59">
        <w:t>. It is always</w:t>
      </w:r>
      <w:r w:rsidRPr="00A72888">
        <w:t xml:space="preserve"> disable</w:t>
      </w:r>
      <w:r>
        <w:t>d</w:t>
      </w:r>
      <w:r w:rsidRPr="00A72888">
        <w:t>, not modifiable.</w:t>
      </w:r>
    </w:p>
    <w:p w14:paraId="0FD64C72" w14:textId="77777777" w:rsidR="000D70ED" w:rsidRPr="000665B0" w:rsidRDefault="00F01BE5" w:rsidP="006D5A65">
      <w:pPr>
        <w:pStyle w:val="Heading1"/>
      </w:pPr>
      <w:r w:rsidRPr="000665B0">
        <w:t xml:space="preserve">Edit or select the following information under the </w:t>
      </w:r>
      <w:r w:rsidRPr="000665B0">
        <w:rPr>
          <w:bCs/>
          <w:i/>
          <w:iCs/>
        </w:rPr>
        <w:t xml:space="preserve">General Information </w:t>
      </w:r>
      <w:r w:rsidRPr="000665B0">
        <w:t>tab as needed:</w:t>
      </w:r>
    </w:p>
    <w:p w14:paraId="2B3F73E1" w14:textId="16FB65B2" w:rsidR="00F01BE5" w:rsidRPr="000665B0" w:rsidRDefault="00F01BE5" w:rsidP="006D5A65">
      <w:pPr>
        <w:pStyle w:val="Heading1"/>
      </w:pPr>
      <w:r w:rsidRPr="000665B0">
        <w:t xml:space="preserve">Missile – Defines the weapon/missile type. </w:t>
      </w:r>
      <w:r w:rsidR="00A72888">
        <w:t>If the TMPR is Ground Launch Required the Missile type will be limited to 109E</w:t>
      </w:r>
      <w:r w:rsidR="00BD6F59">
        <w:t xml:space="preserve">, </w:t>
      </w:r>
      <w:r w:rsidR="00A72888">
        <w:t>109E ACP</w:t>
      </w:r>
      <w:r w:rsidR="00BD6F59">
        <w:t>, MSTM</w:t>
      </w:r>
      <w:r w:rsidR="00601FE2">
        <w:t>, and 109M</w:t>
      </w:r>
      <w:r w:rsidR="00A72888">
        <w:t>.</w:t>
      </w:r>
    </w:p>
    <w:p w14:paraId="3C4D36A3" w14:textId="77777777" w:rsidR="00F01BE5" w:rsidRPr="000665B0" w:rsidRDefault="00F01BE5" w:rsidP="006D5A65">
      <w:pPr>
        <w:pStyle w:val="Heading1"/>
      </w:pPr>
      <w:r w:rsidRPr="000665B0">
        <w:t>Analysis Day Type (optional) – Specifies the day type analyzed for a mission.</w:t>
      </w:r>
    </w:p>
    <w:p w14:paraId="7935D205" w14:textId="3963831E" w:rsidR="000D70ED" w:rsidRPr="000665B0" w:rsidRDefault="00F01BE5" w:rsidP="006D5A65">
      <w:pPr>
        <w:pStyle w:val="Heading1"/>
      </w:pPr>
      <w:r w:rsidRPr="000665B0">
        <w:t>Mission Class (optional) – Provides the capability to modify missile mass property configuration (TAC, TST, RSS</w:t>
      </w:r>
      <w:r w:rsidR="005C0526" w:rsidRPr="000665B0">
        <w:t xml:space="preserve"> [RSS available only in conjunction with missile type 109E</w:t>
      </w:r>
      <w:r w:rsidR="00601FE2">
        <w:t>/M</w:t>
      </w:r>
      <w:r w:rsidR="005C0526" w:rsidRPr="000665B0">
        <w:t>]</w:t>
      </w:r>
      <w:r w:rsidRPr="000665B0">
        <w:t>).</w:t>
      </w:r>
    </w:p>
    <w:p w14:paraId="20C6FC9C" w14:textId="77777777" w:rsidR="000D70ED" w:rsidRPr="000665B0" w:rsidRDefault="00F01BE5" w:rsidP="006D5A65">
      <w:pPr>
        <w:pStyle w:val="Heading1"/>
      </w:pPr>
      <w:r w:rsidRPr="000665B0">
        <w:t>Edit or select the following information under the Target Data section as needed:</w:t>
      </w:r>
    </w:p>
    <w:p w14:paraId="0CD5AAA4" w14:textId="77777777" w:rsidR="000D70ED" w:rsidRPr="000665B0" w:rsidRDefault="000D70ED" w:rsidP="006D5A65">
      <w:pPr>
        <w:pStyle w:val="Heading1"/>
      </w:pPr>
      <w:r w:rsidRPr="000665B0">
        <w:rPr>
          <w:bCs/>
        </w:rPr>
        <w:t>Run-in Azimuth</w:t>
      </w:r>
      <w:r w:rsidRPr="000665B0">
        <w:t xml:space="preserve"> (Optional) – Entry azimuth into the target area. </w:t>
      </w:r>
    </w:p>
    <w:p w14:paraId="7C00115E" w14:textId="77777777" w:rsidR="000D70ED" w:rsidRPr="000665B0" w:rsidRDefault="000D70ED" w:rsidP="006D5A65">
      <w:pPr>
        <w:pStyle w:val="Heading1"/>
      </w:pPr>
      <w:r w:rsidRPr="000665B0">
        <w:rPr>
          <w:bCs/>
        </w:rPr>
        <w:t>Dive Angle</w:t>
      </w:r>
      <w:r w:rsidRPr="000665B0">
        <w:t xml:space="preserve"> (Optional) – Desired impact angle. </w:t>
      </w:r>
    </w:p>
    <w:p w14:paraId="29A74168" w14:textId="77777777" w:rsidR="000D70ED" w:rsidRPr="000665B0" w:rsidRDefault="000D70ED" w:rsidP="006D5A65">
      <w:pPr>
        <w:pStyle w:val="Heading1"/>
      </w:pPr>
      <w:r w:rsidRPr="000665B0">
        <w:rPr>
          <w:bCs/>
        </w:rPr>
        <w:t>Fuze Setting</w:t>
      </w:r>
      <w:r w:rsidRPr="000665B0">
        <w:t xml:space="preserve"> (Optional) – Desired fuze delay.</w:t>
      </w:r>
    </w:p>
    <w:p w14:paraId="00E3E26E" w14:textId="77777777" w:rsidR="00FA2568" w:rsidRPr="000665B0" w:rsidRDefault="000D70ED" w:rsidP="006D5A65">
      <w:pPr>
        <w:pStyle w:val="Heading1"/>
      </w:pPr>
      <w:r w:rsidRPr="000665B0">
        <w:rPr>
          <w:bCs/>
        </w:rPr>
        <w:t>Target Type</w:t>
      </w:r>
      <w:r w:rsidRPr="000665B0">
        <w:t xml:space="preserve"> (Optional) – Indicates the target type.</w:t>
      </w:r>
    </w:p>
    <w:p w14:paraId="58E75741" w14:textId="3EBF7C5F" w:rsidR="00FA2568" w:rsidRPr="000665B0" w:rsidRDefault="000D70ED" w:rsidP="006D5A65">
      <w:pPr>
        <w:pStyle w:val="Heading1"/>
      </w:pPr>
      <w:r w:rsidRPr="000665B0">
        <w:rPr>
          <w:bCs/>
        </w:rPr>
        <w:t>Target Information Usage</w:t>
      </w:r>
      <w:r w:rsidRPr="000665B0">
        <w:t xml:space="preserve"> (Optional) – Indicates whether target information is included or not. See </w:t>
      </w:r>
      <w:hyperlink w:anchor="_5.35.1.1.1__Target_1" w:history="1">
        <w:r w:rsidRPr="000665B0">
          <w:rPr>
            <w:rStyle w:val="Hyperlink"/>
          </w:rPr>
          <w:t xml:space="preserve">Section </w:t>
        </w:r>
        <w:r w:rsidR="004231CC">
          <w:rPr>
            <w:rStyle w:val="Hyperlink"/>
          </w:rPr>
          <w:t>5.31</w:t>
        </w:r>
        <w:r w:rsidRPr="000665B0">
          <w:rPr>
            <w:rStyle w:val="Hyperlink"/>
          </w:rPr>
          <w:t>.1.1.1</w:t>
        </w:r>
      </w:hyperlink>
      <w:r w:rsidRPr="000665B0">
        <w:t>.</w:t>
      </w:r>
    </w:p>
    <w:p w14:paraId="23CA4821" w14:textId="0D90C6BF" w:rsidR="004B7B27" w:rsidRDefault="00FA2568" w:rsidP="006D5A65">
      <w:pPr>
        <w:pStyle w:val="Heading1"/>
      </w:pPr>
      <w:r w:rsidRPr="000665B0">
        <w:t xml:space="preserve">Select TEFs – Specifies the TEF TMPC Version(s). The current TMPC version is selected </w:t>
      </w:r>
      <w:r w:rsidR="00120592" w:rsidRPr="000665B0">
        <w:t>by default and</w:t>
      </w:r>
      <w:r w:rsidRPr="000665B0">
        <w:t xml:space="preserve"> cannot be edited. </w:t>
      </w:r>
    </w:p>
    <w:p w14:paraId="0F1E0A45" w14:textId="45791483" w:rsidR="00877D11" w:rsidRDefault="00601FE2" w:rsidP="009570CA">
      <w:pPr>
        <w:pStyle w:val="Number0205"/>
        <w:ind w:left="0" w:firstLine="0"/>
        <w:jc w:val="center"/>
        <w:rPr>
          <w:noProof/>
        </w:rPr>
      </w:pPr>
      <w:r w:rsidRPr="00601FE2">
        <w:rPr>
          <w:noProof/>
        </w:rPr>
        <w:drawing>
          <wp:inline distT="0" distB="0" distL="0" distR="0" wp14:anchorId="25A2D3AB" wp14:editId="729EFDF7">
            <wp:extent cx="2636520" cy="505546"/>
            <wp:effectExtent l="0" t="0" r="0" b="8890"/>
            <wp:docPr id="399098545"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67874" name="Picture 1" descr="Text&#10;&#10;AI-generated content may be incorrect."/>
                    <pic:cNvPicPr/>
                  </pic:nvPicPr>
                  <pic:blipFill>
                    <a:blip/>
                    <a:stretch>
                      <a:fillRect/>
                    </a:stretch>
                  </pic:blipFill>
                  <pic:spPr>
                    <a:xfrm>
                      <a:off x="0" y="0"/>
                      <a:ext cx="2675609" cy="513041"/>
                    </a:xfrm>
                    <a:prstGeom prst="rect">
                      <a:avLst/>
                    </a:prstGeom>
                  </pic:spPr>
                </pic:pic>
              </a:graphicData>
            </a:graphic>
          </wp:inline>
        </w:drawing>
      </w:r>
    </w:p>
    <w:p w14:paraId="4FF12E09" w14:textId="77777777" w:rsidR="00601FE2" w:rsidRPr="004D1C45" w:rsidRDefault="00601FE2" w:rsidP="00601FE2">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BC3B71">
        <w:rPr>
          <w:b/>
          <w:szCs w:val="24"/>
        </w:rPr>
        <w:t>Note:</w:t>
      </w:r>
    </w:p>
    <w:p w14:paraId="4B171799" w14:textId="317D3EB2" w:rsidR="00601FE2" w:rsidRPr="00601FE2" w:rsidRDefault="00601FE2" w:rsidP="00A0163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4D1C45">
        <w:rPr>
          <w:b/>
        </w:rPr>
        <w:t xml:space="preserve">When the missile type is 109M all TEF versions </w:t>
      </w:r>
      <w:r>
        <w:rPr>
          <w:b/>
        </w:rPr>
        <w:t>prior to</w:t>
      </w:r>
      <w:r w:rsidRPr="004D1C45">
        <w:rPr>
          <w:b/>
        </w:rPr>
        <w:t xml:space="preserve"> 8.0.0 will be unchecked and read only.</w:t>
      </w:r>
    </w:p>
    <w:p w14:paraId="26C420FB" w14:textId="41E00B1C" w:rsidR="000D70ED" w:rsidRPr="000665B0" w:rsidRDefault="000D70ED" w:rsidP="006D5A65">
      <w:pPr>
        <w:pStyle w:val="Heading1"/>
      </w:pPr>
      <w:r w:rsidRPr="000665B0">
        <w:rPr>
          <w:bCs/>
        </w:rPr>
        <w:t>Facility Name</w:t>
      </w:r>
      <w:r w:rsidRPr="000665B0">
        <w:t xml:space="preserve"> (Optional) – Official name of the facility or populated area. </w:t>
      </w:r>
    </w:p>
    <w:p w14:paraId="4D31F1C8" w14:textId="77777777" w:rsidR="00F01BE5" w:rsidRPr="000665B0" w:rsidRDefault="00F01BE5" w:rsidP="006D5A65">
      <w:pPr>
        <w:pStyle w:val="Heading1"/>
      </w:pPr>
      <w:r w:rsidRPr="000665B0">
        <w:t>Installation Name (optional) –The standard MIDB name used for the installations containing the Target Segment.</w:t>
      </w:r>
    </w:p>
    <w:p w14:paraId="10157321" w14:textId="1E703B82" w:rsidR="00564B8B" w:rsidRPr="000665B0" w:rsidRDefault="00564B8B" w:rsidP="006D5A65">
      <w:pPr>
        <w:pStyle w:val="Heading1"/>
      </w:pPr>
      <w:r w:rsidRPr="000665B0">
        <w:t xml:space="preserve">Latitude/Longitude – Latitude/Longitude coordinates of the primary aimpoint. This is a required field (as denoted by the * and/or yellow background) and the user is unable to proceed </w:t>
      </w:r>
      <w:r w:rsidRPr="000665B0">
        <w:lastRenderedPageBreak/>
        <w:t xml:space="preserve">without updating this field. For further information on mandatory fields see </w:t>
      </w:r>
      <w:hyperlink w:anchor="_5.2.7__Editing" w:history="1">
        <w:r w:rsidRPr="000665B0">
          <w:rPr>
            <w:rStyle w:val="Hyperlink"/>
          </w:rPr>
          <w:t>Section 5.2.8</w:t>
        </w:r>
      </w:hyperlink>
      <w:r w:rsidRPr="000665B0">
        <w:t>.</w:t>
      </w:r>
    </w:p>
    <w:p w14:paraId="21EE7AED" w14:textId="77777777" w:rsidR="000D70ED" w:rsidRPr="000665B0" w:rsidRDefault="000D70ED" w:rsidP="006D5A65">
      <w:pPr>
        <w:pStyle w:val="Heading1"/>
      </w:pPr>
      <w:r w:rsidRPr="000665B0">
        <w:rPr>
          <w:bCs/>
        </w:rPr>
        <w:t xml:space="preserve">Elevation/Elevation Datum </w:t>
      </w:r>
      <w:r w:rsidRPr="000665B0">
        <w:t xml:space="preserve">(Optional) – Elevation and elevation datum of the target. </w:t>
      </w:r>
    </w:p>
    <w:p w14:paraId="54EEA9F1" w14:textId="77777777" w:rsidR="000D70ED" w:rsidRPr="000665B0" w:rsidRDefault="000D70ED" w:rsidP="006D5A65">
      <w:pPr>
        <w:pStyle w:val="Heading1"/>
      </w:pPr>
      <w:r w:rsidRPr="000665B0">
        <w:t>Target Identifiers</w:t>
      </w:r>
    </w:p>
    <w:p w14:paraId="62FA6634" w14:textId="77777777" w:rsidR="000D70ED" w:rsidRPr="000665B0" w:rsidRDefault="000D70ED" w:rsidP="006D5A65">
      <w:pPr>
        <w:pStyle w:val="Heading1"/>
      </w:pPr>
      <w:r w:rsidRPr="000665B0">
        <w:rPr>
          <w:bCs/>
        </w:rPr>
        <w:t xml:space="preserve">BE </w:t>
      </w:r>
      <w:r w:rsidRPr="000665B0">
        <w:t>(Optional) – Basic Encyclopedia;</w:t>
      </w:r>
      <w:r w:rsidR="006641F5" w:rsidRPr="000665B0">
        <w:t xml:space="preserve"> </w:t>
      </w:r>
      <w:r w:rsidRPr="000665B0">
        <w:t xml:space="preserve">An identified installation of potential significance as objectives for attack. </w:t>
      </w:r>
    </w:p>
    <w:p w14:paraId="3B2FC90F" w14:textId="77777777" w:rsidR="00026D51" w:rsidRPr="000665B0" w:rsidRDefault="00026D51" w:rsidP="006D5A65">
      <w:pPr>
        <w:pStyle w:val="Heading1"/>
      </w:pPr>
      <w:r w:rsidRPr="000665B0">
        <w:rPr>
          <w:bCs/>
        </w:rPr>
        <w:t xml:space="preserve">Aimpt ID </w:t>
      </w:r>
      <w:r w:rsidRPr="000665B0">
        <w:t>(optional) – Two alphabetic characters which, in conjunction with the Installation BE number, used to uniquely identify the point desired for intended interaction of the warhead with a target element.</w:t>
      </w:r>
    </w:p>
    <w:p w14:paraId="33411B11" w14:textId="77777777" w:rsidR="00026D51" w:rsidRPr="000665B0" w:rsidRDefault="00026D51" w:rsidP="006D5A65">
      <w:pPr>
        <w:pStyle w:val="Heading1"/>
      </w:pPr>
      <w:r w:rsidRPr="000665B0">
        <w:rPr>
          <w:bCs/>
        </w:rPr>
        <w:t xml:space="preserve">JDPI </w:t>
      </w:r>
      <w:r w:rsidRPr="000665B0">
        <w:t>(optional) – Joint Desired Point of Impact; A defined point of impact of the weapon.</w:t>
      </w:r>
    </w:p>
    <w:p w14:paraId="63B8341D" w14:textId="77777777" w:rsidR="000D70ED" w:rsidRPr="000665B0" w:rsidRDefault="00026D51" w:rsidP="006D5A65">
      <w:pPr>
        <w:pStyle w:val="Heading1"/>
        <w:rPr>
          <w:bCs/>
        </w:rPr>
      </w:pPr>
      <w:r w:rsidRPr="000665B0">
        <w:rPr>
          <w:bCs/>
        </w:rPr>
        <w:t xml:space="preserve">Tactical Target Number (TTN) </w:t>
      </w:r>
      <w:r w:rsidRPr="000665B0">
        <w:t>(optional) – Mechanism for a Joint Commander to call for fire.</w:t>
      </w:r>
    </w:p>
    <w:p w14:paraId="2CB42DAE" w14:textId="77777777" w:rsidR="000D70ED" w:rsidRPr="000665B0" w:rsidRDefault="000D70ED" w:rsidP="006D5A65">
      <w:pPr>
        <w:pStyle w:val="Heading1"/>
      </w:pPr>
      <w:r w:rsidRPr="000665B0">
        <w:t>CE (Optional) – The circular (horizontal) error for a target.</w:t>
      </w:r>
      <w:r w:rsidR="00290219" w:rsidRPr="000665B0">
        <w:t xml:space="preserve"> </w:t>
      </w:r>
      <w:r w:rsidRPr="000665B0">
        <w:t>It is comprised of a numerical accuracy value, along with a unit of measure, and a confidence level percentage.</w:t>
      </w:r>
    </w:p>
    <w:p w14:paraId="4BBF8DBE" w14:textId="77777777" w:rsidR="007C4576" w:rsidRPr="000665B0" w:rsidRDefault="000D70ED" w:rsidP="006D5A65">
      <w:pPr>
        <w:pStyle w:val="Heading1"/>
      </w:pPr>
      <w:r w:rsidRPr="000665B0">
        <w:t>LE (Optional) – The linear (vertical) error for a target.</w:t>
      </w:r>
      <w:r w:rsidR="00290219" w:rsidRPr="000665B0">
        <w:t xml:space="preserve"> </w:t>
      </w:r>
      <w:r w:rsidRPr="000665B0">
        <w:t>It is comprised of a numerical accuracy value, along with a unit of measure, and a confidence level percentage.</w:t>
      </w:r>
    </w:p>
    <w:p w14:paraId="0EAD9B73" w14:textId="77777777" w:rsidR="007C4576" w:rsidRPr="007C4576" w:rsidRDefault="007C4576" w:rsidP="006D5A65">
      <w:pPr>
        <w:pStyle w:val="Heading1"/>
      </w:pPr>
      <w:r w:rsidRPr="000665B0">
        <w:t>Enter or select the following information under the Target Data section:</w:t>
      </w:r>
      <w:r w:rsidRPr="007C4576">
        <w:rPr>
          <w:rFonts w:ascii="Aptos" w:eastAsia="Times New Roman" w:hAnsi="Aptos"/>
          <w:color w:val="000000"/>
          <w:szCs w:val="24"/>
        </w:rPr>
        <w:t xml:space="preserve"> </w:t>
      </w:r>
      <w:r w:rsidRPr="007C4576">
        <w:t>MDS TMPR form has been updated with a new releasability drop-down menu with a list of countries.</w:t>
      </w:r>
    </w:p>
    <w:p w14:paraId="3531540F" w14:textId="77777777" w:rsidR="007C4576" w:rsidRPr="007C4576" w:rsidRDefault="007C4576" w:rsidP="007C4576">
      <w:pPr>
        <w:ind w:left="720"/>
      </w:pPr>
      <w:r w:rsidRPr="007C4576">
        <w:t>User needs to look at the classified Appendix from Reference classified doc 3900/183 and select available associated countries.</w:t>
      </w:r>
    </w:p>
    <w:p w14:paraId="6CE9A23E" w14:textId="56D34EF6" w:rsidR="000D70ED" w:rsidRPr="000665B0" w:rsidRDefault="000D70ED" w:rsidP="004B1275">
      <w:pPr>
        <w:pStyle w:val="Heading4"/>
      </w:pPr>
      <w:bookmarkStart w:id="5842" w:name="_5.35.2.2__Modify"/>
      <w:bookmarkStart w:id="5843" w:name="_Toc289328797"/>
      <w:bookmarkEnd w:id="5842"/>
      <w:r w:rsidRPr="000665B0">
        <w:t>Modify TMPR Advanced Tab</w:t>
      </w:r>
      <w:bookmarkEnd w:id="5843"/>
    </w:p>
    <w:p w14:paraId="5A021A89" w14:textId="77777777" w:rsidR="00026D51" w:rsidRPr="000665B0" w:rsidRDefault="00026D51" w:rsidP="009570CA">
      <w:r w:rsidRPr="000665B0">
        <w:t xml:space="preserve">The </w:t>
      </w:r>
      <w:r w:rsidRPr="000665B0">
        <w:rPr>
          <w:b/>
          <w:i/>
        </w:rPr>
        <w:t>Advanced</w:t>
      </w:r>
      <w:r w:rsidRPr="000665B0">
        <w:t xml:space="preserve"> Tab contains information that can be viewed or entered for mission planning that is specific to the type of TMPR (Create, Modify, or Retarget). </w:t>
      </w:r>
    </w:p>
    <w:p w14:paraId="1DC0D6E8" w14:textId="29C2B1AA" w:rsidR="00026D51" w:rsidRPr="000665B0" w:rsidRDefault="00B730B7" w:rsidP="009570CA">
      <w:pPr>
        <w:jc w:val="center"/>
        <w:rPr>
          <w:noProof/>
        </w:rPr>
      </w:pPr>
      <w:r w:rsidRPr="000665B0">
        <w:rPr>
          <w:noProof/>
        </w:rPr>
        <w:drawing>
          <wp:inline distT="0" distB="0" distL="0" distR="0" wp14:anchorId="7D9D6F3B" wp14:editId="69C8DE85">
            <wp:extent cx="4114800" cy="2066544"/>
            <wp:effectExtent l="0" t="0" r="0" b="0"/>
            <wp:docPr id="2202" name="Picture 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066544"/>
                    </a:xfrm>
                    <a:prstGeom prst="rect">
                      <a:avLst/>
                    </a:prstGeom>
                  </pic:spPr>
                </pic:pic>
              </a:graphicData>
            </a:graphic>
          </wp:inline>
        </w:drawing>
      </w:r>
    </w:p>
    <w:p w14:paraId="0A0153A8" w14:textId="77777777" w:rsidR="00026D51" w:rsidRPr="000665B0" w:rsidRDefault="00026D51" w:rsidP="009570CA">
      <w:r w:rsidRPr="000665B0">
        <w:t xml:space="preserve">By selecting the </w:t>
      </w:r>
      <w:r w:rsidRPr="000665B0">
        <w:rPr>
          <w:b/>
          <w:bCs/>
          <w:i/>
          <w:iCs/>
        </w:rPr>
        <w:t xml:space="preserve">Advanced </w:t>
      </w:r>
      <w:r w:rsidRPr="000665B0">
        <w:t>tab, the following information for Modify TMPRs can viewed/edited. Enter/edit the following descriptive information as needed:</w:t>
      </w:r>
    </w:p>
    <w:p w14:paraId="6FF3118B" w14:textId="77777777" w:rsidR="00026D51" w:rsidRPr="000665B0" w:rsidRDefault="00026D51" w:rsidP="006D5A65">
      <w:pPr>
        <w:pStyle w:val="Heading1"/>
      </w:pPr>
      <w:r w:rsidRPr="000665B0">
        <w:rPr>
          <w:bCs/>
        </w:rPr>
        <w:lastRenderedPageBreak/>
        <w:t>Generation Priority</w:t>
      </w:r>
      <w:r w:rsidRPr="000665B0">
        <w:t xml:space="preserve"> (optional) – The priority assigned to task. </w:t>
      </w:r>
    </w:p>
    <w:p w14:paraId="5AF50691" w14:textId="77777777" w:rsidR="00026D51" w:rsidRPr="000665B0" w:rsidRDefault="00026D51" w:rsidP="006D5A65">
      <w:pPr>
        <w:pStyle w:val="Heading1"/>
      </w:pPr>
      <w:r w:rsidRPr="000665B0">
        <w:rPr>
          <w:bCs/>
        </w:rPr>
        <w:t>Operational Plan</w:t>
      </w:r>
      <w:r w:rsidRPr="000665B0">
        <w:t xml:space="preserve"> (optional) – The name of the exercise or live set of military missions and activities. </w:t>
      </w:r>
    </w:p>
    <w:p w14:paraId="0509D94C" w14:textId="6DCEB66C" w:rsidR="00026D51" w:rsidRPr="006D7B19" w:rsidRDefault="00026D51" w:rsidP="006D5A65">
      <w:pPr>
        <w:pStyle w:val="Heading1"/>
      </w:pPr>
      <w:r w:rsidRPr="006D7B19">
        <w:rPr>
          <w:bCs/>
        </w:rPr>
        <w:t>Tasking Authority</w:t>
      </w:r>
      <w:r w:rsidRPr="006D7B19">
        <w:t xml:space="preserve"> (optional) – The organization providing authority for the mission(s) to be generated as a result of the TMPR.</w:t>
      </w:r>
      <w:r w:rsidR="009651B0" w:rsidRPr="006D7B19">
        <w:t xml:space="preserve"> </w:t>
      </w:r>
    </w:p>
    <w:p w14:paraId="65E1EC4F" w14:textId="77777777" w:rsidR="00026D51" w:rsidRPr="000665B0" w:rsidRDefault="00026D51" w:rsidP="006D5A65">
      <w:pPr>
        <w:pStyle w:val="Heading1"/>
      </w:pPr>
      <w:r w:rsidRPr="000665B0">
        <w:rPr>
          <w:bCs/>
        </w:rPr>
        <w:t>Desired Effect</w:t>
      </w:r>
      <w:r w:rsidRPr="000665B0">
        <w:t xml:space="preserve"> (optional) – Free text describing the desired effect. </w:t>
      </w:r>
    </w:p>
    <w:p w14:paraId="27337947" w14:textId="77777777" w:rsidR="00026D51" w:rsidRPr="000665B0" w:rsidRDefault="00026D51" w:rsidP="006D5A65">
      <w:pPr>
        <w:pStyle w:val="Heading1"/>
      </w:pPr>
      <w:r w:rsidRPr="000665B0">
        <w:rPr>
          <w:bCs/>
        </w:rPr>
        <w:t>Need By DTG</w:t>
      </w:r>
      <w:r w:rsidRPr="000665B0">
        <w:t xml:space="preserve"> – Date when the mission(s) to satisfy the TMPR is required. Date must be equal to or greater than the creation date. </w:t>
      </w:r>
    </w:p>
    <w:p w14:paraId="7CC065D1" w14:textId="77777777" w:rsidR="00700625" w:rsidRPr="000665B0" w:rsidRDefault="00700625" w:rsidP="009570CA">
      <w:pPr>
        <w:keepNext/>
        <w:rPr>
          <w:b/>
          <w:bCs/>
          <w:iCs/>
        </w:rPr>
      </w:pPr>
      <w:r w:rsidRPr="000665B0">
        <w:rPr>
          <w:b/>
          <w:bCs/>
          <w:iCs/>
        </w:rPr>
        <w:t>Aimpoints Tab</w:t>
      </w:r>
    </w:p>
    <w:p w14:paraId="7C0EF8A3" w14:textId="3B548725" w:rsidR="000D70ED" w:rsidRPr="000665B0" w:rsidRDefault="000D70ED" w:rsidP="009570CA">
      <w:r w:rsidRPr="000665B0">
        <w:rPr>
          <w:bCs/>
          <w:iCs/>
        </w:rPr>
        <w:t>The</w:t>
      </w:r>
      <w:r w:rsidRPr="000665B0">
        <w:rPr>
          <w:bCs/>
          <w:i/>
          <w:iCs/>
        </w:rPr>
        <w:t xml:space="preserve"> </w:t>
      </w:r>
      <w:r w:rsidRPr="000665B0">
        <w:rPr>
          <w:b/>
          <w:bCs/>
          <w:i/>
          <w:iCs/>
        </w:rPr>
        <w:t>Aimpoints</w:t>
      </w:r>
      <w:r w:rsidRPr="000665B0">
        <w:rPr>
          <w:b/>
          <w:bCs/>
        </w:rPr>
        <w:t xml:space="preserve"> </w:t>
      </w:r>
      <w:r w:rsidRPr="000665B0">
        <w:t xml:space="preserve">tab represents the primary target information of the </w:t>
      </w:r>
      <w:r w:rsidRPr="000665B0">
        <w:rPr>
          <w:b/>
          <w:i/>
        </w:rPr>
        <w:t>General Information</w:t>
      </w:r>
      <w:r w:rsidRPr="000665B0">
        <w:t xml:space="preserve"> tab. At least one aimpoint must exist in a TMPR, and the information for the first aimpoint in the list view </w:t>
      </w:r>
      <w:r w:rsidR="00C0533E" w:rsidRPr="000665B0">
        <w:t xml:space="preserve">must </w:t>
      </w:r>
      <w:r w:rsidRPr="000665B0">
        <w:t>match that of the General Information tab (</w:t>
      </w:r>
      <w:r w:rsidR="003509EA" w:rsidRPr="000665B0">
        <w:t xml:space="preserve">i.e., </w:t>
      </w:r>
      <w:r w:rsidRPr="000665B0">
        <w:t>Latitude, Longitude, etc.).</w:t>
      </w:r>
    </w:p>
    <w:p w14:paraId="65656CD7" w14:textId="6D809D3A" w:rsidR="000D70ED" w:rsidRPr="000665B0" w:rsidRDefault="007F6AE9" w:rsidP="009570CA">
      <w:pPr>
        <w:jc w:val="center"/>
      </w:pPr>
      <w:r w:rsidRPr="000665B0">
        <w:rPr>
          <w:noProof/>
        </w:rPr>
        <w:drawing>
          <wp:inline distT="0" distB="0" distL="0" distR="0" wp14:anchorId="7C7E6DC8" wp14:editId="3249F1EE">
            <wp:extent cx="3976061" cy="2686050"/>
            <wp:effectExtent l="0" t="0" r="0" b="0"/>
            <wp:docPr id="1194"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987890" cy="2694041"/>
                    </a:xfrm>
                    <a:prstGeom prst="rect">
                      <a:avLst/>
                    </a:prstGeom>
                  </pic:spPr>
                </pic:pic>
              </a:graphicData>
            </a:graphic>
          </wp:inline>
        </w:drawing>
      </w:r>
    </w:p>
    <w:p w14:paraId="7F0D5609" w14:textId="77777777" w:rsidR="000D70ED" w:rsidRPr="000665B0" w:rsidRDefault="000D70ED" w:rsidP="009570CA">
      <w:pPr>
        <w:rPr>
          <w:i/>
        </w:rPr>
      </w:pPr>
      <w:r w:rsidRPr="000665B0">
        <w:rPr>
          <w:b/>
          <w:i/>
        </w:rPr>
        <w:t>Aimpoints List View</w:t>
      </w:r>
    </w:p>
    <w:p w14:paraId="3DAA809F" w14:textId="77777777" w:rsidR="000D70ED" w:rsidRPr="000665B0" w:rsidRDefault="000D70ED" w:rsidP="006D5A65">
      <w:pPr>
        <w:pStyle w:val="Heading1"/>
      </w:pPr>
      <w:r w:rsidRPr="000665B0">
        <w:t>Columns</w:t>
      </w:r>
    </w:p>
    <w:p w14:paraId="51151639" w14:textId="77777777" w:rsidR="000D70ED" w:rsidRPr="000665B0" w:rsidRDefault="000D70ED" w:rsidP="006D5A65">
      <w:pPr>
        <w:pStyle w:val="Heading2"/>
      </w:pPr>
      <w:r w:rsidRPr="000665B0">
        <w:rPr>
          <w:bCs/>
        </w:rPr>
        <w:t xml:space="preserve">BE </w:t>
      </w:r>
      <w:r w:rsidRPr="000665B0">
        <w:t>(Optional) – Basic Encyclopedia;</w:t>
      </w:r>
      <w:r w:rsidR="00C0533E" w:rsidRPr="000665B0">
        <w:t xml:space="preserve"> </w:t>
      </w:r>
      <w:r w:rsidRPr="000665B0">
        <w:t xml:space="preserve">An identified installation of potential significance as objectives for attack. </w:t>
      </w:r>
    </w:p>
    <w:p w14:paraId="310266F8" w14:textId="77777777" w:rsidR="000D70ED" w:rsidRPr="000665B0" w:rsidRDefault="000D70ED" w:rsidP="006D5A65">
      <w:pPr>
        <w:pStyle w:val="Heading2"/>
      </w:pPr>
      <w:r w:rsidRPr="000665B0">
        <w:rPr>
          <w:bCs/>
        </w:rPr>
        <w:t xml:space="preserve">JDPI </w:t>
      </w:r>
      <w:r w:rsidRPr="000665B0">
        <w:t>(Optional) – Joint Desired Point of Impact;</w:t>
      </w:r>
      <w:r w:rsidR="00C0533E" w:rsidRPr="000665B0">
        <w:t xml:space="preserve"> </w:t>
      </w:r>
      <w:r w:rsidRPr="000665B0">
        <w:t>A defined point of impact of the weapon.</w:t>
      </w:r>
    </w:p>
    <w:p w14:paraId="4434FEE7" w14:textId="77777777" w:rsidR="00BA662D" w:rsidRPr="000665B0" w:rsidRDefault="00BA662D" w:rsidP="006D5A65">
      <w:pPr>
        <w:pStyle w:val="Heading2"/>
      </w:pPr>
      <w:r w:rsidRPr="000665B0">
        <w:rPr>
          <w:bCs/>
        </w:rPr>
        <w:t xml:space="preserve">Tactical Target Number (TTN) </w:t>
      </w:r>
      <w:r w:rsidRPr="000665B0">
        <w:t xml:space="preserve">(optional) – Mechanism for a Joint Commander to call for fire. </w:t>
      </w:r>
    </w:p>
    <w:p w14:paraId="4023B058" w14:textId="77777777" w:rsidR="000D70ED" w:rsidRPr="000665B0" w:rsidRDefault="000D70ED" w:rsidP="006D5A65">
      <w:pPr>
        <w:pStyle w:val="Heading2"/>
      </w:pPr>
      <w:r w:rsidRPr="000665B0">
        <w:rPr>
          <w:bCs/>
        </w:rPr>
        <w:lastRenderedPageBreak/>
        <w:t xml:space="preserve">Aimpoint ID </w:t>
      </w:r>
      <w:r w:rsidRPr="000665B0">
        <w:t>(Optional) – Two alphabetic characters which, in conjunction with the Installation BE number, used to uniquely identify the point desired for intended interaction of the warhead with a target element.</w:t>
      </w:r>
    </w:p>
    <w:p w14:paraId="3431044C" w14:textId="77777777" w:rsidR="000D70ED" w:rsidRPr="000665B0" w:rsidRDefault="000D70ED" w:rsidP="006D5A65">
      <w:pPr>
        <w:pStyle w:val="Heading2"/>
      </w:pPr>
      <w:r w:rsidRPr="000665B0">
        <w:t>Target Latitude/Longitude – Latitude/Longitude of the aimpoint.</w:t>
      </w:r>
    </w:p>
    <w:p w14:paraId="577EB9C4" w14:textId="3F2812BE" w:rsidR="000D70ED" w:rsidRPr="000665B0" w:rsidRDefault="000D70ED" w:rsidP="006D5A65">
      <w:pPr>
        <w:pStyle w:val="Heading2"/>
      </w:pPr>
      <w:r w:rsidRPr="000665B0">
        <w:t>CE Accy</w:t>
      </w:r>
      <w:r w:rsidR="007712A4" w:rsidRPr="000665B0">
        <w:t xml:space="preserve"> and LE Accy</w:t>
      </w:r>
      <w:r w:rsidRPr="000665B0">
        <w:t xml:space="preserve"> – The numerical value representing the amount of circular/linear error there can be for a given aimpoint.</w:t>
      </w:r>
    </w:p>
    <w:p w14:paraId="33A96C18" w14:textId="34F77DA4" w:rsidR="000D70ED" w:rsidRPr="000665B0" w:rsidRDefault="000D70ED" w:rsidP="006D5A65">
      <w:pPr>
        <w:pStyle w:val="Heading2"/>
      </w:pPr>
      <w:r w:rsidRPr="000665B0">
        <w:t>CE Units</w:t>
      </w:r>
      <w:r w:rsidR="007712A4" w:rsidRPr="000665B0">
        <w:t xml:space="preserve"> and LE Units</w:t>
      </w:r>
      <w:r w:rsidRPr="000665B0">
        <w:t xml:space="preserve"> – The unit of measure associated with the accuracy value (feet or meters).</w:t>
      </w:r>
    </w:p>
    <w:p w14:paraId="05A4B109" w14:textId="12F70128" w:rsidR="000D70ED" w:rsidRPr="000665B0" w:rsidRDefault="000D70ED" w:rsidP="006D5A65">
      <w:pPr>
        <w:pStyle w:val="Heading2"/>
      </w:pPr>
      <w:r w:rsidRPr="000665B0">
        <w:t xml:space="preserve">CE </w:t>
      </w:r>
      <w:r w:rsidR="007712A4" w:rsidRPr="000665B0">
        <w:t xml:space="preserve">Conf and LE Conf </w:t>
      </w:r>
      <w:r w:rsidRPr="000665B0">
        <w:t>– The level of confidence measured as a percentage that the aimpoint will be hit within the specified error accuracy specified.</w:t>
      </w:r>
    </w:p>
    <w:p w14:paraId="1A28515B" w14:textId="77777777" w:rsidR="000D70ED" w:rsidRPr="000665B0" w:rsidRDefault="000D70ED" w:rsidP="006D5A65">
      <w:pPr>
        <w:pStyle w:val="Heading1"/>
      </w:pPr>
      <w:r w:rsidRPr="000665B0">
        <w:t>Context Menu</w:t>
      </w:r>
    </w:p>
    <w:p w14:paraId="17C5D48C" w14:textId="77777777" w:rsidR="000D70ED" w:rsidRPr="000665B0" w:rsidRDefault="000D70ED" w:rsidP="006D5A65">
      <w:pPr>
        <w:pStyle w:val="Heading2"/>
      </w:pPr>
      <w:r w:rsidRPr="000665B0">
        <w:t>Display</w:t>
      </w:r>
    </w:p>
    <w:p w14:paraId="1B77B316" w14:textId="77777777" w:rsidR="000D70ED" w:rsidRPr="000665B0" w:rsidRDefault="000D70ED" w:rsidP="006D5A65">
      <w:pPr>
        <w:pStyle w:val="Heading1"/>
      </w:pPr>
      <w:r w:rsidRPr="000665B0">
        <w:t>Textually – Displays the selected aimpoint’s target information in the Target Information dialog.</w:t>
      </w:r>
    </w:p>
    <w:p w14:paraId="5A1E1D9F" w14:textId="77777777" w:rsidR="00BA662D" w:rsidRPr="000665B0" w:rsidRDefault="00BA662D" w:rsidP="006D5A65">
      <w:pPr>
        <w:pStyle w:val="Heading1"/>
        <w:rPr>
          <w:rFonts w:eastAsia="Arial Unicode MS"/>
        </w:rPr>
      </w:pPr>
      <w:r w:rsidRPr="000665B0">
        <w:t>in Excel – Creates an Excel document containing the selected aimpoint’s information.</w:t>
      </w:r>
    </w:p>
    <w:p w14:paraId="5063334E" w14:textId="77777777" w:rsidR="000D70ED" w:rsidRPr="000665B0" w:rsidRDefault="000D70ED" w:rsidP="006D5A65">
      <w:pPr>
        <w:pStyle w:val="Heading2"/>
      </w:pPr>
      <w:r w:rsidRPr="000665B0">
        <w:t>Print… – Prints the selected aimpoint</w:t>
      </w:r>
      <w:r w:rsidR="00004EC3" w:rsidRPr="000665B0">
        <w:t>’</w:t>
      </w:r>
      <w:r w:rsidRPr="000665B0">
        <w:t>s list information.</w:t>
      </w:r>
    </w:p>
    <w:p w14:paraId="08B40950" w14:textId="77777777" w:rsidR="00BA662D" w:rsidRPr="000665B0" w:rsidRDefault="00BA662D" w:rsidP="006D5A65">
      <w:pPr>
        <w:pStyle w:val="Heading2"/>
      </w:pPr>
      <w:r w:rsidRPr="000665B0">
        <w:t>Remove – Removes the selected aimpoint(s) from the list view (there must be at least one aimpoint in a TMPR).</w:t>
      </w:r>
    </w:p>
    <w:p w14:paraId="7DD5EA98"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spacing w:after="0"/>
        <w:ind w:right="90"/>
        <w:jc w:val="center"/>
        <w:rPr>
          <w:b/>
        </w:rPr>
      </w:pPr>
      <w:r w:rsidRPr="000665B0">
        <w:rPr>
          <w:b/>
        </w:rPr>
        <w:t>Note:</w:t>
      </w:r>
    </w:p>
    <w:p w14:paraId="1295D3B0" w14:textId="77777777" w:rsidR="000D70ED" w:rsidRPr="000665B0" w:rsidRDefault="000D70ED" w:rsidP="00BB4EBE">
      <w:pPr>
        <w:pBdr>
          <w:top w:val="single" w:sz="12" w:space="1" w:color="auto"/>
          <w:left w:val="single" w:sz="12" w:space="4" w:color="auto"/>
          <w:bottom w:val="single" w:sz="12" w:space="1" w:color="auto"/>
          <w:right w:val="single" w:sz="12" w:space="4" w:color="auto"/>
        </w:pBdr>
        <w:shd w:val="clear" w:color="auto" w:fill="D9D9D9"/>
        <w:spacing w:after="0"/>
        <w:ind w:right="90"/>
        <w:jc w:val="center"/>
        <w:rPr>
          <w:b/>
        </w:rPr>
      </w:pPr>
      <w:r w:rsidRPr="000665B0">
        <w:rPr>
          <w:b/>
        </w:rPr>
        <w:t>Aimpoints can only be added/copied in the Create TMPR. They cannot be added</w:t>
      </w:r>
      <w:r w:rsidR="00004EC3" w:rsidRPr="000665B0">
        <w:rPr>
          <w:b/>
        </w:rPr>
        <w:t>/copied</w:t>
      </w:r>
      <w:r w:rsidRPr="000665B0">
        <w:rPr>
          <w:b/>
        </w:rPr>
        <w:t xml:space="preserve"> in the Modify TMPR, as those aimpoints are selected based on the mission being modified.</w:t>
      </w:r>
    </w:p>
    <w:p w14:paraId="18E6D431" w14:textId="77777777" w:rsidR="00850043" w:rsidRPr="000665B0" w:rsidRDefault="00850043" w:rsidP="009570CA">
      <w:pPr>
        <w:spacing w:after="0" w:line="240" w:lineRule="auto"/>
        <w:ind w:left="90" w:right="90"/>
      </w:pPr>
    </w:p>
    <w:p w14:paraId="6A6719B0" w14:textId="77777777" w:rsidR="000D70ED" w:rsidRPr="000665B0" w:rsidRDefault="000D70ED" w:rsidP="00BB4EBE">
      <w:pPr>
        <w:pBdr>
          <w:top w:val="single" w:sz="12" w:space="1" w:color="auto"/>
          <w:left w:val="single" w:sz="12" w:space="4" w:color="auto"/>
          <w:bottom w:val="single" w:sz="12" w:space="1" w:color="auto"/>
          <w:right w:val="single" w:sz="12" w:space="4" w:color="auto"/>
        </w:pBdr>
        <w:shd w:val="clear" w:color="auto" w:fill="D9D9D9"/>
        <w:spacing w:after="0"/>
        <w:ind w:right="90"/>
        <w:jc w:val="center"/>
        <w:rPr>
          <w:b/>
        </w:rPr>
      </w:pPr>
      <w:r w:rsidRPr="000665B0">
        <w:rPr>
          <w:b/>
        </w:rPr>
        <w:t>Note:</w:t>
      </w:r>
    </w:p>
    <w:p w14:paraId="30F38BE0" w14:textId="7B344905" w:rsidR="006117AD" w:rsidRPr="00F63C77" w:rsidRDefault="000D70ED" w:rsidP="00F63C77">
      <w:pPr>
        <w:pBdr>
          <w:top w:val="single" w:sz="12" w:space="1" w:color="auto"/>
          <w:left w:val="single" w:sz="12" w:space="4" w:color="auto"/>
          <w:bottom w:val="single" w:sz="12" w:space="1" w:color="auto"/>
          <w:right w:val="single" w:sz="12" w:space="4" w:color="auto"/>
        </w:pBdr>
        <w:shd w:val="clear" w:color="auto" w:fill="D9D9D9"/>
        <w:ind w:right="90"/>
        <w:jc w:val="center"/>
        <w:rPr>
          <w:b/>
        </w:rPr>
      </w:pPr>
      <w:r w:rsidRPr="000665B0">
        <w:rPr>
          <w:b/>
        </w:rPr>
        <w:t>If any of the Target Data in the General Information tab is filled out, an aimpoint will be created using that information automatically in the Aimpoints tab. Since it represents the primary aimpoint, it will</w:t>
      </w:r>
      <w:r w:rsidR="00AE34F3" w:rsidRPr="000665B0">
        <w:rPr>
          <w:b/>
        </w:rPr>
        <w:t xml:space="preserve"> </w:t>
      </w:r>
      <w:r w:rsidRPr="000665B0">
        <w:rPr>
          <w:b/>
        </w:rPr>
        <w:t>always be the first aimpoint in the Aimpoints list view.</w:t>
      </w:r>
    </w:p>
    <w:p w14:paraId="203B756D" w14:textId="46010A43" w:rsidR="00700625" w:rsidRPr="000665B0" w:rsidRDefault="00700625" w:rsidP="00442152">
      <w:r w:rsidRPr="000665B0">
        <w:t>To display the Aimpoint Textually:</w:t>
      </w:r>
    </w:p>
    <w:p w14:paraId="24148C2C" w14:textId="77777777" w:rsidR="00BA662D" w:rsidRPr="000665B0" w:rsidRDefault="00BA662D" w:rsidP="009570CA">
      <w:r w:rsidRPr="000665B0">
        <w:t xml:space="preserve">If information for a particular aimpoint needs to be viewed in detail or edited, this can be accomplished by viewing the aimpoint textually. </w:t>
      </w:r>
    </w:p>
    <w:p w14:paraId="435248F4" w14:textId="0872D95A" w:rsidR="00BA662D" w:rsidRPr="000665B0" w:rsidRDefault="00BA662D" w:rsidP="009570CA">
      <w:pPr>
        <w:ind w:left="360"/>
      </w:pPr>
      <w:r w:rsidRPr="000665B0">
        <w:lastRenderedPageBreak/>
        <w:t xml:space="preserve">Select an existing aimpoint, </w:t>
      </w:r>
      <w:r w:rsidR="00D71804" w:rsidRPr="000665B0">
        <w:t>right-click</w:t>
      </w:r>
      <w:r w:rsidRPr="000665B0">
        <w:t xml:space="preserve"> and select </w:t>
      </w:r>
      <w:r w:rsidRPr="000665B0">
        <w:rPr>
          <w:b/>
        </w:rPr>
        <w:t xml:space="preserve">Display </w:t>
      </w:r>
      <w:r w:rsidRPr="000665B0">
        <w:rPr>
          <w:rFonts w:ascii="Arial" w:hAnsi="Arial" w:cs="Arial"/>
          <w:sz w:val="20"/>
        </w:rPr>
        <w:t>►</w:t>
      </w:r>
      <w:r w:rsidRPr="000665B0">
        <w:rPr>
          <w:b/>
        </w:rPr>
        <w:t xml:space="preserve"> Textually</w:t>
      </w:r>
      <w:r w:rsidRPr="000665B0">
        <w:t>.</w:t>
      </w:r>
      <w:r w:rsidRPr="000665B0">
        <w:rPr>
          <w:b/>
        </w:rPr>
        <w:t xml:space="preserve"> </w:t>
      </w:r>
      <w:r w:rsidRPr="000665B0">
        <w:t xml:space="preserve">The </w:t>
      </w:r>
      <w:r w:rsidRPr="000665B0">
        <w:rPr>
          <w:i/>
        </w:rPr>
        <w:t>Target Information</w:t>
      </w:r>
      <w:r w:rsidRPr="000665B0">
        <w:t xml:space="preserve"> window is displayed containing the information for that aimpoint. For more information on the </w:t>
      </w:r>
      <w:r w:rsidRPr="000665B0">
        <w:rPr>
          <w:i/>
        </w:rPr>
        <w:t>Target Information</w:t>
      </w:r>
      <w:r w:rsidRPr="000665B0">
        <w:t xml:space="preserve"> window, see </w:t>
      </w:r>
      <w:hyperlink w:anchor="_5.35.5__Target" w:history="1">
        <w:r w:rsidR="00865446" w:rsidRPr="000665B0">
          <w:rPr>
            <w:color w:val="0000FF"/>
            <w:u w:val="single"/>
          </w:rPr>
          <w:t xml:space="preserve">Section </w:t>
        </w:r>
        <w:r w:rsidR="004231CC">
          <w:rPr>
            <w:color w:val="0000FF"/>
            <w:u w:val="single"/>
          </w:rPr>
          <w:t>5.31</w:t>
        </w:r>
        <w:r w:rsidR="00865446" w:rsidRPr="000665B0">
          <w:rPr>
            <w:color w:val="0000FF"/>
            <w:u w:val="single"/>
          </w:rPr>
          <w:t>.5</w:t>
        </w:r>
      </w:hyperlink>
      <w:r w:rsidRPr="000665B0">
        <w:t>.</w:t>
      </w:r>
    </w:p>
    <w:p w14:paraId="4A878A4C" w14:textId="2B5A2C2C" w:rsidR="00FB32EF" w:rsidRDefault="00BA662D" w:rsidP="00442152">
      <w:r w:rsidRPr="000665B0">
        <w:t xml:space="preserve">The user can also </w:t>
      </w:r>
      <w:r w:rsidRPr="000665B0">
        <w:rPr>
          <w:b/>
        </w:rPr>
        <w:t xml:space="preserve">Display </w:t>
      </w:r>
      <w:r w:rsidRPr="000665B0">
        <w:t>(</w:t>
      </w:r>
      <w:r w:rsidRPr="000665B0">
        <w:rPr>
          <w:b/>
        </w:rPr>
        <w:t>in Excel</w:t>
      </w:r>
      <w:r w:rsidRPr="000665B0">
        <w:t xml:space="preserve">), </w:t>
      </w:r>
      <w:r w:rsidRPr="000665B0">
        <w:rPr>
          <w:b/>
        </w:rPr>
        <w:t>Print, and Remove</w:t>
      </w:r>
      <w:r w:rsidRPr="000665B0">
        <w:t xml:space="preserve"> elements. See </w:t>
      </w:r>
      <w:hyperlink w:anchor="_5.2__COMMON_2" w:history="1">
        <w:r w:rsidRPr="000665B0">
          <w:rPr>
            <w:color w:val="0000FF"/>
            <w:u w:val="single"/>
          </w:rPr>
          <w:t>Section 5.2</w:t>
        </w:r>
      </w:hyperlink>
      <w:r w:rsidRPr="000665B0">
        <w:t xml:space="preserve"> for information on how to perform those features.</w:t>
      </w:r>
    </w:p>
    <w:p w14:paraId="24748BA7" w14:textId="5234B16D" w:rsidR="000D70ED" w:rsidRPr="00442152" w:rsidRDefault="000D70ED" w:rsidP="00442152">
      <w:r w:rsidRPr="000665B0">
        <w:rPr>
          <w:b/>
        </w:rPr>
        <w:t>ACMSs Tab</w:t>
      </w:r>
    </w:p>
    <w:p w14:paraId="261E3B8B" w14:textId="77777777" w:rsidR="00BA662D" w:rsidRPr="000665B0" w:rsidRDefault="00BA662D" w:rsidP="00FB32EF">
      <w:pPr>
        <w:widowControl w:val="0"/>
      </w:pPr>
      <w:r w:rsidRPr="000665B0">
        <w:t xml:space="preserve">The </w:t>
      </w:r>
      <w:r w:rsidRPr="000665B0">
        <w:rPr>
          <w:b/>
          <w:i/>
        </w:rPr>
        <w:t>ACMSs</w:t>
      </w:r>
      <w:r w:rsidRPr="000665B0">
        <w:t xml:space="preserve"> tab displays the area constraints and selected ACMSs for the TMPR. </w:t>
      </w:r>
    </w:p>
    <w:p w14:paraId="70DF0DF9" w14:textId="7A1CA2E4" w:rsidR="00BA662D" w:rsidRPr="000665B0" w:rsidRDefault="007F6AE9" w:rsidP="009570CA">
      <w:pPr>
        <w:jc w:val="center"/>
      </w:pPr>
      <w:r w:rsidRPr="000665B0">
        <w:rPr>
          <w:noProof/>
        </w:rPr>
        <w:drawing>
          <wp:inline distT="0" distB="0" distL="0" distR="0" wp14:anchorId="099D3230" wp14:editId="0C0E0080">
            <wp:extent cx="3310266" cy="3482976"/>
            <wp:effectExtent l="0" t="0" r="0" b="0"/>
            <wp:docPr id="1198" name="Picture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321524" cy="3494821"/>
                    </a:xfrm>
                    <a:prstGeom prst="rect">
                      <a:avLst/>
                    </a:prstGeom>
                  </pic:spPr>
                </pic:pic>
              </a:graphicData>
            </a:graphic>
          </wp:inline>
        </w:drawing>
      </w:r>
    </w:p>
    <w:p w14:paraId="3827F86D" w14:textId="77777777" w:rsidR="000D70ED" w:rsidRPr="000665B0" w:rsidRDefault="000D70ED" w:rsidP="009570CA">
      <w:r w:rsidRPr="000665B0">
        <w:t>Enter the following descriptive information (if desired):</w:t>
      </w:r>
    </w:p>
    <w:p w14:paraId="707247E2" w14:textId="77777777" w:rsidR="00BA662D" w:rsidRPr="000665B0" w:rsidRDefault="00BA662D" w:rsidP="006D5A65">
      <w:pPr>
        <w:pStyle w:val="Heading1"/>
      </w:pPr>
      <w:r w:rsidRPr="000665B0">
        <w:t>Loiter Area – A tactical useful location along the flight path where the missile is kept for a predetermined duration.</w:t>
      </w:r>
    </w:p>
    <w:p w14:paraId="6B3CA495" w14:textId="77777777" w:rsidR="000D70ED" w:rsidRPr="000665B0" w:rsidRDefault="000D70ED" w:rsidP="006D5A65">
      <w:pPr>
        <w:pStyle w:val="Heading1"/>
      </w:pPr>
      <w:r w:rsidRPr="000665B0">
        <w:t>FPPWP Area – The starting point of the CMSA/</w:t>
      </w:r>
      <w:r w:rsidR="004F6AE2" w:rsidRPr="000665B0">
        <w:t>TSMPC</w:t>
      </w:r>
      <w:r w:rsidRPr="000665B0">
        <w:t xml:space="preserve"> planned portion of a TLAM mission to which the firing unit’s engagement plan delivers the missile.</w:t>
      </w:r>
    </w:p>
    <w:p w14:paraId="1082CF29" w14:textId="77777777" w:rsidR="000D70ED" w:rsidRPr="000665B0" w:rsidRDefault="000D70ED" w:rsidP="006D5A65">
      <w:pPr>
        <w:pStyle w:val="Heading1"/>
      </w:pPr>
      <w:r w:rsidRPr="000665B0">
        <w:t>Target Area – An area where the missile is expected to deliver a strike.</w:t>
      </w:r>
    </w:p>
    <w:p w14:paraId="05520215" w14:textId="77777777" w:rsidR="000D70ED" w:rsidRPr="000665B0" w:rsidRDefault="000D70ED" w:rsidP="006D5A65">
      <w:pPr>
        <w:pStyle w:val="Heading1"/>
      </w:pPr>
      <w:r w:rsidRPr="000665B0">
        <w:t>Launch Area – An area surrounding the FPPWP where a missile can be launched.</w:t>
      </w:r>
    </w:p>
    <w:p w14:paraId="36269D39" w14:textId="77777777" w:rsidR="000D70ED" w:rsidRPr="000665B0" w:rsidRDefault="000D70ED" w:rsidP="006D5A65">
      <w:pPr>
        <w:pStyle w:val="Heading1"/>
        <w:rPr>
          <w:bCs/>
          <w:iCs/>
        </w:rPr>
      </w:pPr>
      <w:r w:rsidRPr="000665B0">
        <w:t>Flight Corridors – Specific area that the missile should fly through as part of the missile route.</w:t>
      </w:r>
    </w:p>
    <w:p w14:paraId="026A5307" w14:textId="77777777" w:rsidR="000D70ED" w:rsidRPr="000665B0" w:rsidRDefault="000D70ED" w:rsidP="006D5A65">
      <w:pPr>
        <w:pStyle w:val="Heading1"/>
      </w:pPr>
      <w:r w:rsidRPr="000665B0">
        <w:t>Prohibited Area – An area that should be avoided.</w:t>
      </w:r>
    </w:p>
    <w:p w14:paraId="43FFD350"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485A7E81" w14:textId="77777777" w:rsidR="00BA662D" w:rsidRPr="000665B0" w:rsidRDefault="00BA662D"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Loiter Area field is only enabled if the Missile Type selected in the TMPR General Information tab is “109E.”</w:t>
      </w:r>
    </w:p>
    <w:p w14:paraId="52B3EE8F" w14:textId="77777777" w:rsidR="000D70ED" w:rsidRPr="000665B0" w:rsidRDefault="000D70ED" w:rsidP="009570CA">
      <w:pPr>
        <w:rPr>
          <w:b/>
          <w:i/>
        </w:rPr>
      </w:pPr>
      <w:r w:rsidRPr="000665B0">
        <w:rPr>
          <w:b/>
          <w:i/>
        </w:rPr>
        <w:lastRenderedPageBreak/>
        <w:t>ACMS List View</w:t>
      </w:r>
    </w:p>
    <w:p w14:paraId="5BD3B9AA" w14:textId="77777777" w:rsidR="000D70ED" w:rsidRPr="000665B0" w:rsidRDefault="000D70ED" w:rsidP="006D5A65">
      <w:pPr>
        <w:pStyle w:val="Heading1"/>
      </w:pPr>
      <w:r w:rsidRPr="000665B0">
        <w:t>Columns</w:t>
      </w:r>
    </w:p>
    <w:p w14:paraId="6486A72A" w14:textId="77777777" w:rsidR="00BA662D" w:rsidRPr="000665B0" w:rsidRDefault="00BA662D" w:rsidP="006D5A65">
      <w:pPr>
        <w:pStyle w:val="Heading1"/>
      </w:pPr>
      <w:r w:rsidRPr="000665B0">
        <w:t xml:space="preserve">ACMS Name – A unique name for the ACMS that can contain up to 22 alphanumeric characters except for the FPPWP ACMS Name, which is limited to 14 alphanumeric characters, and the ACMS Launch Area Name is limited to 10 alphanumeric characters. </w:t>
      </w:r>
    </w:p>
    <w:p w14:paraId="1CC7F27E" w14:textId="77777777" w:rsidR="00BA662D" w:rsidRPr="000665B0" w:rsidRDefault="00BA662D" w:rsidP="006D5A65">
      <w:pPr>
        <w:pStyle w:val="Heading1"/>
        <w:rPr>
          <w:bCs/>
        </w:rPr>
      </w:pPr>
      <w:r w:rsidRPr="000665B0">
        <w:t xml:space="preserve">ACMS Short Name – A unique shorter name for the ACMS that is limited to 14 alphanumeric characters, and the Launch Area Name is limited to 10 alphanumeric characters. </w:t>
      </w:r>
    </w:p>
    <w:p w14:paraId="3DAE8565" w14:textId="77777777" w:rsidR="00BA662D" w:rsidRPr="000665B0" w:rsidRDefault="00BA662D" w:rsidP="006D5A65">
      <w:pPr>
        <w:pStyle w:val="Heading1"/>
      </w:pPr>
      <w:r w:rsidRPr="000665B0">
        <w:t>Type – The type of ACMS being created.</w:t>
      </w:r>
    </w:p>
    <w:p w14:paraId="6B404151" w14:textId="77777777" w:rsidR="00BA662D" w:rsidRPr="000665B0" w:rsidRDefault="00BA662D" w:rsidP="006D5A65">
      <w:pPr>
        <w:pStyle w:val="Heading2"/>
      </w:pPr>
      <w:r w:rsidRPr="000665B0">
        <w:t>ACM Identifier – Unique identifier for the Airspace Control Means. See USMTF Message 2000 for more information.</w:t>
      </w:r>
    </w:p>
    <w:p w14:paraId="1B16A129" w14:textId="77777777" w:rsidR="00BA662D" w:rsidRPr="000665B0" w:rsidRDefault="00BA662D" w:rsidP="006D5A65">
      <w:pPr>
        <w:pStyle w:val="Heading2"/>
      </w:pPr>
      <w:r w:rsidRPr="000665B0">
        <w:t>Description – Describes the ACMS.</w:t>
      </w:r>
    </w:p>
    <w:p w14:paraId="4E31688D" w14:textId="77777777" w:rsidR="00BA662D" w:rsidRPr="000665B0" w:rsidRDefault="00BA662D" w:rsidP="006D5A65">
      <w:pPr>
        <w:pStyle w:val="Heading2"/>
      </w:pPr>
      <w:r w:rsidRPr="000665B0">
        <w:t>Launch Area Code – This field is populated when the ACMS Type is “Launch Area.”</w:t>
      </w:r>
    </w:p>
    <w:p w14:paraId="5884CE13" w14:textId="77777777" w:rsidR="00BA662D" w:rsidRPr="000665B0" w:rsidRDefault="00BA662D" w:rsidP="006D5A65">
      <w:pPr>
        <w:pStyle w:val="Heading2"/>
      </w:pPr>
      <w:r w:rsidRPr="000665B0">
        <w:t>FPPWP Code – This field is populated when the ACMS Type is “FPPWP.”</w:t>
      </w:r>
    </w:p>
    <w:p w14:paraId="79E29B78" w14:textId="333C9C07" w:rsidR="00BA662D" w:rsidRPr="000665B0" w:rsidRDefault="00BA662D" w:rsidP="006D5A65">
      <w:pPr>
        <w:pStyle w:val="Heading1"/>
      </w:pPr>
      <w:r w:rsidRPr="000665B0">
        <w:t>Earliest Effective Start DTG – Denotes the beginning of an ACMS effective period. An ACMS effective period is a time period for which an ACMS is considered to be “In Effect.” An ACMS can have multiple effective periods. The effective period is used for deconfliction processing for an ACMS of type Prohibited Area during Strike Option Analysis.</w:t>
      </w:r>
    </w:p>
    <w:p w14:paraId="0573525E" w14:textId="77777777" w:rsidR="00BA662D" w:rsidRPr="000665B0" w:rsidRDefault="00BA662D" w:rsidP="006D5A65">
      <w:pPr>
        <w:pStyle w:val="Heading2"/>
      </w:pPr>
      <w:r w:rsidRPr="000665B0">
        <w:t>Latest Effective End DTG – Denotes the end of an ACMS effective period.</w:t>
      </w:r>
    </w:p>
    <w:p w14:paraId="342B98B8" w14:textId="77777777" w:rsidR="00BA662D" w:rsidRPr="000665B0" w:rsidRDefault="00BA662D" w:rsidP="006D5A65">
      <w:pPr>
        <w:pStyle w:val="Heading2"/>
      </w:pPr>
      <w:r w:rsidRPr="000665B0">
        <w:t>Elev Floor Ft MSL or AGL – Minimum height in feet above MSL or AGL where the ACMS occurs. For FPPWP ACMS types, the elevation floor will be constrained to the IDS-8 range. If appropriate, floor can be specified in both feet MSL and feet AGL. Not available for ACMSs of type Operational Area.</w:t>
      </w:r>
    </w:p>
    <w:p w14:paraId="078EAA02" w14:textId="77777777" w:rsidR="00BA662D" w:rsidRPr="000665B0" w:rsidRDefault="00BA662D" w:rsidP="006D5A65">
      <w:pPr>
        <w:pStyle w:val="Heading2"/>
      </w:pPr>
      <w:r w:rsidRPr="000665B0">
        <w:t>Elev Ceiling Ft MSL or AGL – Maximum height in feet above Mean Sea Level (ft MSL) or above Ground Level (ft AGL) where the ACMS occurs. For FPPWP ACMS types, the elevation ceiling is constrained to the IDS-8 range. If appropriate, ceiling can be specified in both feet MSL and feet AGL. Not available for ACMSs of type Operational Area.</w:t>
      </w:r>
    </w:p>
    <w:p w14:paraId="071CB611" w14:textId="77777777" w:rsidR="00BA662D" w:rsidRPr="000665B0" w:rsidRDefault="00BA662D" w:rsidP="006D5A65">
      <w:pPr>
        <w:pStyle w:val="Heading2"/>
      </w:pPr>
      <w:r w:rsidRPr="000665B0">
        <w:t>Creation DTG – When the ACMS was created.</w:t>
      </w:r>
    </w:p>
    <w:p w14:paraId="73816B83" w14:textId="77777777" w:rsidR="00BA662D" w:rsidRPr="000665B0" w:rsidRDefault="00BA662D" w:rsidP="006D5A65">
      <w:pPr>
        <w:pStyle w:val="Heading2"/>
      </w:pPr>
      <w:r w:rsidRPr="000665B0">
        <w:lastRenderedPageBreak/>
        <w:t>Last Modified DTG – When the ACMS information was last modified.</w:t>
      </w:r>
    </w:p>
    <w:p w14:paraId="4706696A" w14:textId="77777777" w:rsidR="00BA662D" w:rsidRPr="000665B0" w:rsidRDefault="00BA662D" w:rsidP="006D5A65">
      <w:pPr>
        <w:pStyle w:val="Heading2"/>
      </w:pPr>
      <w:r w:rsidRPr="000665B0">
        <w:t>Read Only – Display attributes of an ACMS with Read Only status cannot be modified in the ACMS Textual View.</w:t>
      </w:r>
    </w:p>
    <w:p w14:paraId="5C06E5D7" w14:textId="77777777" w:rsidR="00BA662D" w:rsidRPr="000665B0" w:rsidRDefault="00BA662D" w:rsidP="006D5A65">
      <w:pPr>
        <w:pStyle w:val="Heading2"/>
      </w:pPr>
      <w:r w:rsidRPr="000665B0">
        <w:t>Loiter Duration – Desired minimum amount of time for the missile to spend in</w:t>
      </w:r>
      <w:r w:rsidR="00406691" w:rsidRPr="000665B0">
        <w:t xml:space="preserve"> the preplanned</w:t>
      </w:r>
      <w:r w:rsidRPr="000665B0">
        <w:t xml:space="preserve"> loiter (in minutes).</w:t>
      </w:r>
    </w:p>
    <w:p w14:paraId="0FAC5D3F" w14:textId="77777777" w:rsidR="000D70ED" w:rsidRPr="000665B0" w:rsidRDefault="00BA662D" w:rsidP="006D5A65">
      <w:pPr>
        <w:pStyle w:val="Heading2"/>
      </w:pPr>
      <w:r w:rsidRPr="000665B0">
        <w:t>Loiter Altitude – Desired altitude for</w:t>
      </w:r>
      <w:r w:rsidR="00406691" w:rsidRPr="000665B0">
        <w:t xml:space="preserve"> the preplanned</w:t>
      </w:r>
      <w:r w:rsidRPr="000665B0">
        <w:t xml:space="preserve"> loiter (MSL).</w:t>
      </w:r>
    </w:p>
    <w:p w14:paraId="62820231" w14:textId="77777777" w:rsidR="000D70ED" w:rsidRPr="000665B0" w:rsidRDefault="000D70ED" w:rsidP="006D5A65">
      <w:pPr>
        <w:pStyle w:val="Heading1"/>
      </w:pPr>
      <w:r w:rsidRPr="000665B0">
        <w:t>Context Menu</w:t>
      </w:r>
    </w:p>
    <w:p w14:paraId="309AF681" w14:textId="77777777" w:rsidR="000D70ED" w:rsidRPr="000665B0" w:rsidRDefault="000D70ED" w:rsidP="006D5A65">
      <w:pPr>
        <w:pStyle w:val="Heading2"/>
      </w:pPr>
      <w:r w:rsidRPr="000665B0">
        <w:t>Add… – Opens a selection view to allow the user to add ACMSs to the TMPR.</w:t>
      </w:r>
    </w:p>
    <w:p w14:paraId="43EF917F" w14:textId="77777777" w:rsidR="00BA662D" w:rsidRPr="000665B0" w:rsidRDefault="00BA662D" w:rsidP="006D5A65">
      <w:pPr>
        <w:pStyle w:val="Heading2"/>
      </w:pPr>
      <w:r w:rsidRPr="000665B0">
        <w:t xml:space="preserve">Edit Loiter Info… – Opens the </w:t>
      </w:r>
      <w:r w:rsidRPr="000665B0">
        <w:rPr>
          <w:i/>
        </w:rPr>
        <w:t>Loiter Info</w:t>
      </w:r>
      <w:r w:rsidRPr="000665B0">
        <w:t xml:space="preserve"> window to edit the time and altitude of the selected ACMS. Only available when the ACMS Type is “Loiter Area.”</w:t>
      </w:r>
    </w:p>
    <w:p w14:paraId="58AD9EC9" w14:textId="77777777" w:rsidR="00BA662D" w:rsidRPr="000665B0" w:rsidRDefault="00BA662D" w:rsidP="006D5A65">
      <w:pPr>
        <w:pStyle w:val="Heading2"/>
      </w:pPr>
      <w:r w:rsidRPr="000665B0">
        <w:t>Display</w:t>
      </w:r>
    </w:p>
    <w:p w14:paraId="17B16335" w14:textId="77777777" w:rsidR="00BA662D" w:rsidRPr="000665B0" w:rsidRDefault="00BA662D" w:rsidP="006D5A65">
      <w:pPr>
        <w:pStyle w:val="Heading3"/>
      </w:pPr>
      <w:r w:rsidRPr="000665B0">
        <w:t>Textually – Displays the selected ACMS(s) textually.</w:t>
      </w:r>
    </w:p>
    <w:p w14:paraId="0B37A819" w14:textId="77777777" w:rsidR="00BA662D" w:rsidRPr="000665B0" w:rsidRDefault="00BA662D" w:rsidP="006D5A65">
      <w:pPr>
        <w:pStyle w:val="Heading3"/>
      </w:pPr>
      <w:r w:rsidRPr="000665B0">
        <w:t>Geographically – Displays the selected ACMS(s) geographically.</w:t>
      </w:r>
    </w:p>
    <w:p w14:paraId="71387144" w14:textId="77777777" w:rsidR="00BA662D" w:rsidRPr="000665B0" w:rsidRDefault="00BA662D" w:rsidP="006D5A65">
      <w:pPr>
        <w:pStyle w:val="Heading3"/>
      </w:pPr>
      <w:r w:rsidRPr="000665B0">
        <w:t>References – Displays the selected ACMS(s) references.</w:t>
      </w:r>
    </w:p>
    <w:p w14:paraId="1D5E21A9" w14:textId="77777777" w:rsidR="00BA662D" w:rsidRPr="000665B0" w:rsidRDefault="00BA662D" w:rsidP="006D5A65">
      <w:pPr>
        <w:pStyle w:val="Heading3"/>
      </w:pPr>
      <w:r w:rsidRPr="000665B0">
        <w:t>in Excel – Displays the selected ACMS(s) summary data in Excel.</w:t>
      </w:r>
    </w:p>
    <w:p w14:paraId="3F3E0FDC" w14:textId="77777777" w:rsidR="00BA662D" w:rsidRPr="000665B0" w:rsidRDefault="00BA662D" w:rsidP="006D5A65">
      <w:pPr>
        <w:pStyle w:val="Heading2"/>
      </w:pPr>
      <w:r w:rsidRPr="000665B0">
        <w:t>Edit, Color, Style, and Width Properties – Displays the Edit, Color, Style and Width Properties dialog for the selected ACMS.</w:t>
      </w:r>
    </w:p>
    <w:p w14:paraId="4AF33EFE" w14:textId="77777777" w:rsidR="00BA662D" w:rsidRPr="000665B0" w:rsidRDefault="00BA662D" w:rsidP="006D5A65">
      <w:pPr>
        <w:pStyle w:val="Heading2"/>
      </w:pPr>
      <w:r w:rsidRPr="000665B0">
        <w:t>Create ACMS Library… – Displays the ACMS Library dialog with the selected ACMS(s) populated in it.</w:t>
      </w:r>
    </w:p>
    <w:p w14:paraId="70C46878" w14:textId="77777777" w:rsidR="00BA662D" w:rsidRPr="000665B0" w:rsidRDefault="00BA662D" w:rsidP="006D5A65">
      <w:pPr>
        <w:pStyle w:val="Heading2"/>
      </w:pPr>
      <w:r w:rsidRPr="000665B0">
        <w:t xml:space="preserve">Create TED Library… – Displays the </w:t>
      </w:r>
      <w:r w:rsidRPr="000665B0">
        <w:rPr>
          <w:i/>
        </w:rPr>
        <w:t>TED Library</w:t>
      </w:r>
      <w:r w:rsidRPr="000665B0">
        <w:t xml:space="preserve"> dialog with the selected ACMS(s) populated in it.</w:t>
      </w:r>
    </w:p>
    <w:p w14:paraId="39E8A766" w14:textId="77777777" w:rsidR="000D70ED" w:rsidRPr="000665B0" w:rsidRDefault="00BA662D" w:rsidP="006D5A65">
      <w:pPr>
        <w:pStyle w:val="Heading2"/>
      </w:pPr>
      <w:r w:rsidRPr="000665B0">
        <w:t>Send… – Displays a new DDO Template with the selected ACMS(s) pre-populated in the ACMS tab</w:t>
      </w:r>
      <w:r w:rsidR="000D70ED" w:rsidRPr="000665B0">
        <w:t>.</w:t>
      </w:r>
    </w:p>
    <w:p w14:paraId="2D6ACBCC" w14:textId="77777777" w:rsidR="000D70ED" w:rsidRPr="000665B0" w:rsidRDefault="000D70ED" w:rsidP="006D5A65">
      <w:pPr>
        <w:pStyle w:val="Heading2"/>
      </w:pPr>
      <w:r w:rsidRPr="000665B0">
        <w:t>Print… – Prints the selected ACMS’s list information.</w:t>
      </w:r>
    </w:p>
    <w:p w14:paraId="75191F7B" w14:textId="77777777" w:rsidR="000D70ED" w:rsidRPr="000665B0" w:rsidRDefault="000D70ED" w:rsidP="006D5A65">
      <w:pPr>
        <w:pStyle w:val="Heading2"/>
      </w:pPr>
      <w:r w:rsidRPr="000665B0">
        <w:t>Remove…</w:t>
      </w:r>
      <w:r w:rsidRPr="000665B0">
        <w:rPr>
          <w:rFonts w:eastAsia="Arial Unicode MS"/>
        </w:rPr>
        <w:t xml:space="preserve"> </w:t>
      </w:r>
      <w:r w:rsidRPr="000665B0">
        <w:t>–</w:t>
      </w:r>
      <w:r w:rsidRPr="000665B0">
        <w:rPr>
          <w:rFonts w:eastAsia="Arial Unicode MS"/>
        </w:rPr>
        <w:t xml:space="preserve"> </w:t>
      </w:r>
      <w:r w:rsidRPr="000665B0">
        <w:t xml:space="preserve">Removes the selected ACMS(s) from the ACMS List View. </w:t>
      </w:r>
    </w:p>
    <w:p w14:paraId="5FD9B1BC" w14:textId="77777777" w:rsidR="000D70ED" w:rsidRPr="000665B0" w:rsidRDefault="000D70ED" w:rsidP="00FD67D3">
      <w:r w:rsidRPr="000665B0">
        <w:lastRenderedPageBreak/>
        <w:t xml:space="preserve">To add an ACMS: </w:t>
      </w:r>
    </w:p>
    <w:p w14:paraId="3D846379" w14:textId="0B9AF90E" w:rsidR="00BA662D" w:rsidRPr="000665B0" w:rsidRDefault="00D71804" w:rsidP="006D5A65">
      <w:pPr>
        <w:pStyle w:val="Heading1"/>
      </w:pPr>
      <w:r w:rsidRPr="000665B0">
        <w:t>Right-click</w:t>
      </w:r>
      <w:r w:rsidR="00BA662D" w:rsidRPr="000665B0">
        <w:t xml:space="preserve"> in the data pane and select Add…. </w:t>
      </w:r>
    </w:p>
    <w:p w14:paraId="1AE8DB32" w14:textId="77777777" w:rsidR="00BA662D" w:rsidRPr="000665B0" w:rsidRDefault="00BA662D" w:rsidP="006D5A65">
      <w:pPr>
        <w:pStyle w:val="Heading1"/>
      </w:pPr>
      <w:r w:rsidRPr="000665B0">
        <w:t xml:space="preserve">Select ACMSs… or From Library </w:t>
      </w:r>
      <w:r w:rsidRPr="000665B0">
        <w:rPr>
          <w:rFonts w:cs="Arial"/>
          <w:sz w:val="20"/>
        </w:rPr>
        <w:t>►</w:t>
      </w:r>
      <w:r w:rsidRPr="000665B0">
        <w:t xml:space="preserve"> ACMS Libraries… or TED Libraries…</w:t>
      </w:r>
    </w:p>
    <w:p w14:paraId="722DD684" w14:textId="77777777" w:rsidR="00BA662D" w:rsidRPr="000665B0" w:rsidRDefault="00BA662D" w:rsidP="006D5A65">
      <w:pPr>
        <w:pStyle w:val="Heading1"/>
      </w:pPr>
      <w:r w:rsidRPr="000665B0">
        <w:t xml:space="preserve">The </w:t>
      </w:r>
      <w:r w:rsidRPr="000665B0">
        <w:rPr>
          <w:i/>
        </w:rPr>
        <w:t>ACMSs</w:t>
      </w:r>
      <w:r w:rsidRPr="000665B0">
        <w:t xml:space="preserve"> or </w:t>
      </w:r>
      <w:r w:rsidRPr="000665B0">
        <w:rPr>
          <w:i/>
        </w:rPr>
        <w:t>Libraries</w:t>
      </w:r>
      <w:r w:rsidRPr="000665B0">
        <w:t xml:space="preserve"> selection window is displayed. Select the appropriate ACMS(s) and click the OK button. </w:t>
      </w:r>
    </w:p>
    <w:p w14:paraId="638B7F7C" w14:textId="77777777" w:rsidR="00BA662D" w:rsidRPr="000665B0" w:rsidRDefault="00BA662D" w:rsidP="009570CA">
      <w:pPr>
        <w:ind w:left="360"/>
      </w:pPr>
      <w:r w:rsidRPr="000665B0">
        <w:t>or</w:t>
      </w:r>
    </w:p>
    <w:p w14:paraId="79A6A9DC" w14:textId="77777777" w:rsidR="00BA662D" w:rsidRPr="000665B0" w:rsidRDefault="00BA662D" w:rsidP="006D5A65">
      <w:pPr>
        <w:pStyle w:val="Heading1"/>
      </w:pPr>
      <w:r w:rsidRPr="000665B0">
        <w:t>Drag and drop selected ACMSs from the ACMS tool.</w:t>
      </w:r>
    </w:p>
    <w:p w14:paraId="09CF59C2" w14:textId="77777777" w:rsidR="00BA662D" w:rsidRPr="000665B0" w:rsidRDefault="00BA662D"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72B30C43" w14:textId="77777777" w:rsidR="000D70ED" w:rsidRPr="000665B0" w:rsidRDefault="00BA662D" w:rsidP="009570CA">
      <w:pPr>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The TMPR author needs to ensure applicable ACMSs are held at the Planning Org or must send the applicable ACMSs to the Planning Org along with the TMPR. If the Planning Org does not hold the ACMSs referenced in a TMPR, the mission planner may not be able to successfully complete the TMPR as requested.</w:t>
      </w:r>
    </w:p>
    <w:p w14:paraId="59EA6DA9" w14:textId="77777777" w:rsidR="00891855" w:rsidRPr="000665B0" w:rsidRDefault="00891855" w:rsidP="009570CA">
      <w:pPr>
        <w:spacing w:after="0"/>
      </w:pPr>
    </w:p>
    <w:p w14:paraId="117DC809" w14:textId="77777777" w:rsidR="00891855" w:rsidRPr="000665B0" w:rsidRDefault="00891855"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16FBA5E" w14:textId="07737B3C" w:rsidR="00C46510" w:rsidRPr="000665B0" w:rsidRDefault="00C46510"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When a TMPR is initiated from a Strike Folder or a Strike Option, the TMPR title bar will display the Strike Folder\Option </w:t>
      </w:r>
      <w:r w:rsidR="00816181" w:rsidRPr="000665B0">
        <w:rPr>
          <w:b/>
        </w:rPr>
        <w:t>I</w:t>
      </w:r>
      <w:r w:rsidR="00816181">
        <w:rPr>
          <w:b/>
        </w:rPr>
        <w:t>D</w:t>
      </w:r>
      <w:r w:rsidR="00816181" w:rsidRPr="000665B0">
        <w:rPr>
          <w:b/>
        </w:rPr>
        <w:t xml:space="preserve"> </w:t>
      </w:r>
      <w:r w:rsidRPr="000665B0">
        <w:rPr>
          <w:b/>
        </w:rPr>
        <w:t>and the ACMS selection list will be limited to only those ACMSs contained within the Strike Folder\Option.</w:t>
      </w:r>
    </w:p>
    <w:p w14:paraId="564D6B5C" w14:textId="77777777" w:rsidR="00C46510" w:rsidRPr="000665B0" w:rsidRDefault="00C46510" w:rsidP="009570CA">
      <w:r w:rsidRPr="000665B0">
        <w:t>To Edit</w:t>
      </w:r>
      <w:r w:rsidR="00406691" w:rsidRPr="000665B0">
        <w:t xml:space="preserve"> Preplanned</w:t>
      </w:r>
      <w:r w:rsidRPr="000665B0">
        <w:t xml:space="preserve"> Loiter Info:</w:t>
      </w:r>
    </w:p>
    <w:p w14:paraId="731C7FA3" w14:textId="77777777" w:rsidR="00C46510" w:rsidRPr="000665B0" w:rsidRDefault="00C46510" w:rsidP="009570CA">
      <w:r w:rsidRPr="000665B0">
        <w:t xml:space="preserve">A user may want to edit the </w:t>
      </w:r>
      <w:r w:rsidR="00406691" w:rsidRPr="000665B0">
        <w:t xml:space="preserve">Preplanned </w:t>
      </w:r>
      <w:r w:rsidRPr="000665B0">
        <w:t>Loiter Information of an ACMS. This may be accomplished by:</w:t>
      </w:r>
    </w:p>
    <w:p w14:paraId="27597A8A" w14:textId="77777777" w:rsidR="00C46510" w:rsidRPr="000665B0" w:rsidRDefault="00C46510" w:rsidP="006D5A65">
      <w:pPr>
        <w:pStyle w:val="Heading1"/>
      </w:pPr>
      <w:r w:rsidRPr="000665B0">
        <w:t>Right-click an ACMS of type “Loiter Area” in the ACMS List View.</w:t>
      </w:r>
    </w:p>
    <w:p w14:paraId="2EBED062" w14:textId="77777777" w:rsidR="00C46510" w:rsidRPr="000665B0" w:rsidRDefault="00C46510" w:rsidP="006D5A65">
      <w:pPr>
        <w:pStyle w:val="Heading1"/>
      </w:pPr>
      <w:r w:rsidRPr="000665B0">
        <w:t xml:space="preserve">Select Edit Loiter Info…. The </w:t>
      </w:r>
      <w:r w:rsidRPr="000665B0">
        <w:rPr>
          <w:i/>
        </w:rPr>
        <w:t>Loiter Info</w:t>
      </w:r>
      <w:r w:rsidRPr="000665B0">
        <w:t xml:space="preserve"> dialog is displayed.</w:t>
      </w:r>
    </w:p>
    <w:p w14:paraId="694D07AE" w14:textId="3452A406" w:rsidR="00C46510" w:rsidRPr="000665B0" w:rsidRDefault="00E8029B" w:rsidP="009570CA">
      <w:pPr>
        <w:jc w:val="center"/>
      </w:pPr>
      <w:r w:rsidRPr="000665B0">
        <w:rPr>
          <w:noProof/>
        </w:rPr>
        <w:drawing>
          <wp:inline distT="0" distB="0" distL="0" distR="0" wp14:anchorId="3854DE6D" wp14:editId="4CD72C81">
            <wp:extent cx="1828800" cy="1005840"/>
            <wp:effectExtent l="0" t="0" r="0" b="3810"/>
            <wp:docPr id="2064" name="Picture 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005840"/>
                    </a:xfrm>
                    <a:prstGeom prst="rect">
                      <a:avLst/>
                    </a:prstGeom>
                  </pic:spPr>
                </pic:pic>
              </a:graphicData>
            </a:graphic>
          </wp:inline>
        </w:drawing>
      </w:r>
    </w:p>
    <w:p w14:paraId="4B2C945F" w14:textId="77777777" w:rsidR="00C46510" w:rsidRPr="000665B0" w:rsidRDefault="00C46510" w:rsidP="006D5A65">
      <w:pPr>
        <w:pStyle w:val="Heading1"/>
      </w:pPr>
      <w:r w:rsidRPr="000665B0">
        <w:t>Enter the Desired Time in Loiter (minutes) and the Loiter Altitude (MSL) and click the OK button.</w:t>
      </w:r>
    </w:p>
    <w:p w14:paraId="0844EB83" w14:textId="77777777" w:rsidR="00C46510" w:rsidRPr="000665B0" w:rsidRDefault="00C46510"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570BC2C0" w14:textId="77777777" w:rsidR="000D70ED" w:rsidRPr="000665B0" w:rsidRDefault="00C46510"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Edit Loiter Info function is only enabled for ACMS(s) of type “Loiter Area.”</w:t>
      </w:r>
    </w:p>
    <w:p w14:paraId="793B287F" w14:textId="440BCC2B" w:rsidR="000D70ED" w:rsidRPr="000665B0" w:rsidRDefault="000D70ED" w:rsidP="009570CA">
      <w:pPr>
        <w:pStyle w:val="Normal1"/>
        <w:spacing w:before="0" w:beforeAutospacing="0" w:after="120" w:afterAutospacing="0"/>
      </w:pPr>
      <w:r w:rsidRPr="000665B0">
        <w:t xml:space="preserve">The user can also </w:t>
      </w:r>
      <w:r w:rsidRPr="000665B0">
        <w:rPr>
          <w:b/>
        </w:rPr>
        <w:t xml:space="preserve">Display </w:t>
      </w:r>
      <w:r w:rsidRPr="000665B0">
        <w:t>(</w:t>
      </w:r>
      <w:r w:rsidRPr="000665B0">
        <w:rPr>
          <w:b/>
        </w:rPr>
        <w:t>Textually</w:t>
      </w:r>
      <w:r w:rsidRPr="000665B0">
        <w:t xml:space="preserve">, </w:t>
      </w:r>
      <w:r w:rsidRPr="000665B0">
        <w:rPr>
          <w:b/>
        </w:rPr>
        <w:t>Geographically</w:t>
      </w:r>
      <w:r w:rsidRPr="000665B0">
        <w:t xml:space="preserve">, </w:t>
      </w:r>
      <w:r w:rsidRPr="000665B0">
        <w:rPr>
          <w:b/>
        </w:rPr>
        <w:t>References</w:t>
      </w:r>
      <w:r w:rsidRPr="000665B0">
        <w:t xml:space="preserve">, and </w:t>
      </w:r>
      <w:r w:rsidRPr="000665B0">
        <w:rPr>
          <w:b/>
        </w:rPr>
        <w:t>in Excel</w:t>
      </w:r>
      <w:r w:rsidRPr="000665B0">
        <w:t xml:space="preserve">), </w:t>
      </w:r>
      <w:r w:rsidRPr="000665B0">
        <w:rPr>
          <w:b/>
        </w:rPr>
        <w:t>Send</w:t>
      </w:r>
      <w:r w:rsidRPr="000665B0">
        <w:t xml:space="preserve">, </w:t>
      </w:r>
      <w:r w:rsidRPr="000665B0">
        <w:rPr>
          <w:b/>
        </w:rPr>
        <w:t>Print, and Remove</w:t>
      </w:r>
      <w:r w:rsidRPr="000665B0">
        <w:t xml:space="preserve"> elements. See </w:t>
      </w:r>
      <w:hyperlink w:anchor="_5.2__COMMON_2" w:history="1">
        <w:r w:rsidRPr="000665B0">
          <w:rPr>
            <w:rStyle w:val="Hyperlink"/>
          </w:rPr>
          <w:t>Section 5.2</w:t>
        </w:r>
      </w:hyperlink>
      <w:r w:rsidRPr="000665B0">
        <w:t xml:space="preserve"> for information on how to perform those features.</w:t>
      </w:r>
    </w:p>
    <w:p w14:paraId="6D8D8DCA" w14:textId="4921D567" w:rsidR="000D70ED" w:rsidRPr="000665B0" w:rsidRDefault="000D70ED" w:rsidP="009570CA">
      <w:pPr>
        <w:pStyle w:val="Normal1"/>
        <w:spacing w:before="0" w:beforeAutospacing="0" w:after="120" w:afterAutospacing="0"/>
      </w:pPr>
      <w:r w:rsidRPr="000665B0">
        <w:t xml:space="preserve">For information on how to </w:t>
      </w:r>
      <w:r w:rsidRPr="000665B0">
        <w:rPr>
          <w:b/>
        </w:rPr>
        <w:t>Edit, Color, Style, and Width Properties</w:t>
      </w:r>
      <w:r w:rsidRPr="000665B0">
        <w:t xml:space="preserve">, and </w:t>
      </w:r>
      <w:r w:rsidRPr="000665B0">
        <w:rPr>
          <w:b/>
        </w:rPr>
        <w:t>Create ACMS Library</w:t>
      </w:r>
      <w:r w:rsidRPr="000665B0">
        <w:t xml:space="preserve">, see </w:t>
      </w:r>
      <w:hyperlink w:anchor="_5.34__ACMSs_TOOL" w:history="1">
        <w:r w:rsidR="00EE4996" w:rsidRPr="000665B0">
          <w:rPr>
            <w:rStyle w:val="Hyperlink"/>
          </w:rPr>
          <w:t xml:space="preserve">Section </w:t>
        </w:r>
        <w:r w:rsidR="004231CC">
          <w:rPr>
            <w:rStyle w:val="Hyperlink"/>
          </w:rPr>
          <w:t>5.29</w:t>
        </w:r>
      </w:hyperlink>
      <w:r w:rsidRPr="000665B0">
        <w:t>.</w:t>
      </w:r>
      <w:r w:rsidR="00C46510" w:rsidRPr="000665B0">
        <w:t xml:space="preserve"> </w:t>
      </w:r>
      <w:r w:rsidR="00C46510" w:rsidRPr="000665B0">
        <w:rPr>
          <w:szCs w:val="20"/>
        </w:rPr>
        <w:t xml:space="preserve">For information on creating a TED Library see </w:t>
      </w:r>
      <w:hyperlink w:anchor="_5.13.1.1__New" w:history="1">
        <w:r w:rsidR="00C46510" w:rsidRPr="000665B0">
          <w:rPr>
            <w:color w:val="0000FF"/>
            <w:szCs w:val="20"/>
            <w:u w:val="single"/>
          </w:rPr>
          <w:t>Section 5.</w:t>
        </w:r>
        <w:r w:rsidR="00C77A5E" w:rsidRPr="000665B0">
          <w:rPr>
            <w:color w:val="0000FF"/>
            <w:szCs w:val="20"/>
            <w:u w:val="single"/>
          </w:rPr>
          <w:t>12</w:t>
        </w:r>
        <w:r w:rsidR="00C46510" w:rsidRPr="000665B0">
          <w:rPr>
            <w:color w:val="0000FF"/>
            <w:szCs w:val="20"/>
            <w:u w:val="single"/>
          </w:rPr>
          <w:t>.1.1</w:t>
        </w:r>
      </w:hyperlink>
      <w:r w:rsidR="00C46510" w:rsidRPr="000665B0">
        <w:rPr>
          <w:color w:val="0000FF"/>
          <w:szCs w:val="20"/>
          <w:u w:val="single"/>
        </w:rPr>
        <w:t>.</w:t>
      </w:r>
    </w:p>
    <w:p w14:paraId="6A856FBF" w14:textId="77777777" w:rsidR="000D70ED" w:rsidRPr="000665B0" w:rsidRDefault="000D70ED" w:rsidP="009570CA">
      <w:pPr>
        <w:pStyle w:val="Normal1"/>
        <w:keepNext/>
        <w:spacing w:before="0" w:beforeAutospacing="0" w:after="120" w:afterAutospacing="0"/>
        <w:rPr>
          <w:b/>
          <w:bCs/>
        </w:rPr>
      </w:pPr>
      <w:r w:rsidRPr="000665B0">
        <w:rPr>
          <w:b/>
          <w:bCs/>
        </w:rPr>
        <w:lastRenderedPageBreak/>
        <w:t>Text Constraints Tab</w:t>
      </w:r>
    </w:p>
    <w:p w14:paraId="1C1CEBD9" w14:textId="77777777" w:rsidR="000D70ED" w:rsidRPr="000665B0" w:rsidRDefault="000D70ED" w:rsidP="009570CA">
      <w:pPr>
        <w:pStyle w:val="Normal1"/>
        <w:spacing w:before="0" w:beforeAutospacing="0" w:after="120" w:afterAutospacing="0"/>
        <w:rPr>
          <w:bCs/>
        </w:rPr>
      </w:pPr>
      <w:r w:rsidRPr="000665B0">
        <w:rPr>
          <w:bCs/>
        </w:rPr>
        <w:t xml:space="preserve">The </w:t>
      </w:r>
      <w:r w:rsidRPr="000665B0">
        <w:rPr>
          <w:b/>
          <w:bCs/>
          <w:i/>
        </w:rPr>
        <w:t>Text Constraints</w:t>
      </w:r>
      <w:r w:rsidRPr="000665B0">
        <w:rPr>
          <w:bCs/>
        </w:rPr>
        <w:t xml:space="preserve"> tab contains fields where the user can enter descriptions for various constraints that the mission should follow.</w:t>
      </w:r>
    </w:p>
    <w:p w14:paraId="1C90A82B" w14:textId="37A20987" w:rsidR="000D70ED" w:rsidRPr="000665B0" w:rsidRDefault="007F6AE9" w:rsidP="009570CA">
      <w:pPr>
        <w:jc w:val="center"/>
      </w:pPr>
      <w:r w:rsidRPr="000665B0">
        <w:rPr>
          <w:noProof/>
        </w:rPr>
        <w:drawing>
          <wp:inline distT="0" distB="0" distL="0" distR="0" wp14:anchorId="7FEFC378" wp14:editId="2BA761F1">
            <wp:extent cx="3154680" cy="3310128"/>
            <wp:effectExtent l="0" t="0" r="0" b="0"/>
            <wp:docPr id="1199" name="Picture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310128"/>
                    </a:xfrm>
                    <a:prstGeom prst="rect">
                      <a:avLst/>
                    </a:prstGeom>
                  </pic:spPr>
                </pic:pic>
              </a:graphicData>
            </a:graphic>
          </wp:inline>
        </w:drawing>
      </w:r>
    </w:p>
    <w:p w14:paraId="74904645" w14:textId="77777777" w:rsidR="000D70ED" w:rsidRPr="000665B0" w:rsidRDefault="000D70ED" w:rsidP="009570CA">
      <w:r w:rsidRPr="000665B0">
        <w:t xml:space="preserve">Enter the text constraints if desired: </w:t>
      </w:r>
    </w:p>
    <w:p w14:paraId="5DE4BE4D" w14:textId="77777777" w:rsidR="000D70ED" w:rsidRPr="000665B0" w:rsidRDefault="000D70ED" w:rsidP="006D5A65">
      <w:pPr>
        <w:pStyle w:val="Heading1"/>
      </w:pPr>
      <w:r w:rsidRPr="000665B0">
        <w:t xml:space="preserve">Operational Requirements – A field in the mission information display on MDS that provides narrative notes describing important requirements in the use of the mission. </w:t>
      </w:r>
    </w:p>
    <w:p w14:paraId="2B6565EB" w14:textId="77777777" w:rsidR="000D70ED" w:rsidRPr="000665B0" w:rsidRDefault="000D70ED" w:rsidP="006D5A65">
      <w:pPr>
        <w:pStyle w:val="Heading1"/>
      </w:pPr>
      <w:r w:rsidRPr="000665B0">
        <w:t>Collateral Damage Concerns – Describes the specific items or areas where damage is to be avoided.</w:t>
      </w:r>
    </w:p>
    <w:p w14:paraId="6C03A8F5" w14:textId="752A2E8B" w:rsidR="000D70ED" w:rsidRPr="000665B0" w:rsidRDefault="000D70ED" w:rsidP="006D5A65">
      <w:pPr>
        <w:pStyle w:val="Heading1"/>
      </w:pPr>
      <w:r w:rsidRPr="000665B0">
        <w:t xml:space="preserve">Employment Conditions – Contains information to describe other special environmental circumstances that might influence employment of the </w:t>
      </w:r>
      <w:r w:rsidR="008C333E" w:rsidRPr="000665B0">
        <w:t>mission.</w:t>
      </w:r>
    </w:p>
    <w:p w14:paraId="6375AEDF" w14:textId="77777777" w:rsidR="000D70ED" w:rsidRPr="000665B0" w:rsidRDefault="000D70ED" w:rsidP="006D5A65">
      <w:pPr>
        <w:pStyle w:val="Heading1"/>
      </w:pPr>
      <w:r w:rsidRPr="000665B0">
        <w:t xml:space="preserve">Desired Candidate Routing – Describes the desired </w:t>
      </w:r>
      <w:r w:rsidR="001E3B29" w:rsidRPr="000665B0">
        <w:t>route or</w:t>
      </w:r>
      <w:r w:rsidRPr="000665B0">
        <w:t xml:space="preserve"> stick route as a list of lat/lon pairs.</w:t>
      </w:r>
    </w:p>
    <w:p w14:paraId="34C28232" w14:textId="77777777" w:rsidR="000D70ED" w:rsidRPr="000665B0" w:rsidRDefault="000D70ED" w:rsidP="006D5A65">
      <w:pPr>
        <w:pStyle w:val="Heading1"/>
      </w:pPr>
      <w:r w:rsidRPr="000665B0">
        <w:t>MOM Arrival Strategies – Identifies the defining relationships between aimpoints and the TOT.</w:t>
      </w:r>
    </w:p>
    <w:p w14:paraId="25098232" w14:textId="77777777" w:rsidR="000D70ED" w:rsidRPr="000665B0" w:rsidRDefault="000D70ED" w:rsidP="006D5A65">
      <w:pPr>
        <w:pStyle w:val="Heading1"/>
      </w:pPr>
      <w:r w:rsidRPr="000665B0">
        <w:t>Battle Space Features – Describes a list of defenses, event timing conflicts, and referenced mission shortcomings.</w:t>
      </w:r>
    </w:p>
    <w:p w14:paraId="78D47D52" w14:textId="77777777" w:rsidR="000D70ED" w:rsidRPr="000665B0" w:rsidRDefault="000D70ED" w:rsidP="006D5A65">
      <w:pPr>
        <w:pStyle w:val="Heading1"/>
      </w:pPr>
      <w:r w:rsidRPr="000665B0">
        <w:t xml:space="preserve">Communications Related Instructions – Describes the mission route features to assist in communication with the missile, usually as lat/lon, </w:t>
      </w:r>
      <w:r w:rsidR="001E3B29" w:rsidRPr="000665B0">
        <w:t>heading, and</w:t>
      </w:r>
      <w:r w:rsidRPr="000665B0">
        <w:t xml:space="preserve"> length of time.</w:t>
      </w:r>
    </w:p>
    <w:p w14:paraId="0AD8A5BC"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344CA187" w14:textId="4226255B" w:rsidR="006117AD" w:rsidRDefault="00C46510" w:rsidP="00F63C77">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MOM Arrival Strategies field is only enabled if the Missile Type selected in the TMPR General Information tab is “109E.”</w:t>
      </w:r>
    </w:p>
    <w:p w14:paraId="18F72566" w14:textId="76C66639" w:rsidR="000D70ED" w:rsidRPr="000665B0" w:rsidRDefault="000D70ED" w:rsidP="00FD67D3">
      <w:pPr>
        <w:rPr>
          <w:b/>
        </w:rPr>
      </w:pPr>
      <w:r w:rsidRPr="000665B0">
        <w:rPr>
          <w:b/>
        </w:rPr>
        <w:lastRenderedPageBreak/>
        <w:t>Branch IDs To Be Removed Tab</w:t>
      </w:r>
    </w:p>
    <w:p w14:paraId="5C628A74" w14:textId="77777777" w:rsidR="000D70ED" w:rsidRPr="000665B0" w:rsidRDefault="000D70ED" w:rsidP="009570CA">
      <w:r w:rsidRPr="000665B0">
        <w:t xml:space="preserve">It may be the case that the mission planner may want to remove a particular branch from a multi-outcome mission when trying to modify a mission using a Modify TMPR. This can be performed in the </w:t>
      </w:r>
      <w:r w:rsidRPr="000665B0">
        <w:rPr>
          <w:b/>
          <w:i/>
        </w:rPr>
        <w:t>Branch IDs To Be Removed</w:t>
      </w:r>
      <w:r w:rsidRPr="000665B0">
        <w:t xml:space="preserve"> tab.</w:t>
      </w:r>
    </w:p>
    <w:p w14:paraId="4B665A28" w14:textId="5E544DE4" w:rsidR="000D70ED" w:rsidRPr="000665B0" w:rsidRDefault="007F6AE9" w:rsidP="009570CA">
      <w:pPr>
        <w:jc w:val="center"/>
      </w:pPr>
      <w:r w:rsidRPr="000665B0">
        <w:rPr>
          <w:noProof/>
        </w:rPr>
        <w:drawing>
          <wp:inline distT="0" distB="0" distL="0" distR="0" wp14:anchorId="43C349AB" wp14:editId="4B79C486">
            <wp:extent cx="3154680" cy="2971800"/>
            <wp:effectExtent l="0" t="0" r="0" b="0"/>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971800"/>
                    </a:xfrm>
                    <a:prstGeom prst="rect">
                      <a:avLst/>
                    </a:prstGeom>
                  </pic:spPr>
                </pic:pic>
              </a:graphicData>
            </a:graphic>
          </wp:inline>
        </w:drawing>
      </w:r>
    </w:p>
    <w:p w14:paraId="309D9E74" w14:textId="77777777" w:rsidR="000D70ED" w:rsidRPr="000665B0" w:rsidRDefault="000D70ED" w:rsidP="009570CA">
      <w:r w:rsidRPr="000665B0">
        <w:rPr>
          <w:b/>
          <w:i/>
        </w:rPr>
        <w:t>Branch IDs List View</w:t>
      </w:r>
    </w:p>
    <w:p w14:paraId="29D48D87" w14:textId="77777777" w:rsidR="000D70ED" w:rsidRPr="000665B0" w:rsidRDefault="000D70ED" w:rsidP="006D5A65">
      <w:pPr>
        <w:pStyle w:val="Heading1"/>
      </w:pPr>
      <w:r w:rsidRPr="000665B0">
        <w:t>Columns</w:t>
      </w:r>
    </w:p>
    <w:p w14:paraId="5A462F29" w14:textId="77777777" w:rsidR="000D70ED" w:rsidRPr="000665B0" w:rsidRDefault="000D70ED" w:rsidP="006D5A65">
      <w:pPr>
        <w:pStyle w:val="Heading1"/>
      </w:pPr>
      <w:r w:rsidRPr="000665B0">
        <w:t xml:space="preserve">Branch ID – Branch IDs are a numbering scheme used for the Primary Route (which is always Branch ID 0) and each of the Flex Routes in </w:t>
      </w:r>
      <w:r w:rsidR="000C3648" w:rsidRPr="000665B0">
        <w:t xml:space="preserve">a </w:t>
      </w:r>
      <w:r w:rsidRPr="000665B0">
        <w:t>109E mission.</w:t>
      </w:r>
    </w:p>
    <w:p w14:paraId="518C1DCC" w14:textId="77777777" w:rsidR="000D70ED" w:rsidRPr="000665B0" w:rsidRDefault="000D70ED" w:rsidP="006D5A65">
      <w:pPr>
        <w:pStyle w:val="Heading1"/>
      </w:pPr>
      <w:r w:rsidRPr="000665B0">
        <w:t>Context Menu</w:t>
      </w:r>
    </w:p>
    <w:p w14:paraId="075FF627" w14:textId="77777777" w:rsidR="000D70ED" w:rsidRPr="000665B0" w:rsidRDefault="000D70ED" w:rsidP="006D5A65">
      <w:pPr>
        <w:pStyle w:val="Heading2"/>
      </w:pPr>
      <w:r w:rsidRPr="000665B0">
        <w:t xml:space="preserve">Add… – Opens a selection view displaying a list of Branch IDs that the mission being modified </w:t>
      </w:r>
      <w:r w:rsidR="000C3648" w:rsidRPr="000665B0">
        <w:t>has</w:t>
      </w:r>
      <w:r w:rsidRPr="000665B0">
        <w:t>, which can be selected to be removed from the mission.</w:t>
      </w:r>
    </w:p>
    <w:p w14:paraId="0772DDE2" w14:textId="77777777" w:rsidR="000D70ED" w:rsidRPr="000665B0" w:rsidRDefault="000D70ED" w:rsidP="006D5A65">
      <w:pPr>
        <w:pStyle w:val="Heading2"/>
      </w:pPr>
      <w:r w:rsidRPr="000665B0">
        <w:t>Display</w:t>
      </w:r>
    </w:p>
    <w:p w14:paraId="5CB6E4EA" w14:textId="77777777" w:rsidR="000D70ED" w:rsidRPr="000665B0" w:rsidRDefault="000D70ED" w:rsidP="006D5A65">
      <w:pPr>
        <w:pStyle w:val="Heading3"/>
      </w:pPr>
      <w:r w:rsidRPr="000665B0">
        <w:t>in Excel – Displays the selected Branch ID(s) information in Excel.</w:t>
      </w:r>
    </w:p>
    <w:p w14:paraId="6F78DF97" w14:textId="77777777" w:rsidR="000D70ED" w:rsidRPr="000665B0" w:rsidRDefault="000D70ED" w:rsidP="006D5A65">
      <w:pPr>
        <w:pStyle w:val="Heading2"/>
      </w:pPr>
      <w:r w:rsidRPr="000665B0">
        <w:t>Print… – Prints the selected Branch ID list information.</w:t>
      </w:r>
    </w:p>
    <w:p w14:paraId="0B2683FE" w14:textId="77777777" w:rsidR="000D70ED" w:rsidRPr="000665B0" w:rsidRDefault="000D70ED" w:rsidP="006D5A65">
      <w:pPr>
        <w:pStyle w:val="Heading2"/>
      </w:pPr>
      <w:r w:rsidRPr="000665B0">
        <w:t>Remove</w:t>
      </w:r>
      <w:r w:rsidRPr="000665B0">
        <w:rPr>
          <w:rFonts w:eastAsia="Arial Unicode MS"/>
        </w:rPr>
        <w:t xml:space="preserve"> </w:t>
      </w:r>
      <w:r w:rsidRPr="000665B0">
        <w:t>–</w:t>
      </w:r>
      <w:r w:rsidRPr="000665B0">
        <w:rPr>
          <w:rFonts w:eastAsia="Arial Unicode MS"/>
        </w:rPr>
        <w:t xml:space="preserve"> </w:t>
      </w:r>
      <w:r w:rsidRPr="000665B0">
        <w:t xml:space="preserve">Removes the selected Branch ID (s) from the Branch IDs List View. </w:t>
      </w:r>
    </w:p>
    <w:p w14:paraId="5FA25C8C" w14:textId="77777777" w:rsidR="000D70ED" w:rsidRPr="000665B0" w:rsidRDefault="00D6264D" w:rsidP="009570CA">
      <w:pPr>
        <w:pStyle w:val="Normal1"/>
        <w:spacing w:before="0" w:beforeAutospacing="0" w:after="120" w:afterAutospacing="0"/>
      </w:pPr>
      <w:r w:rsidRPr="000665B0">
        <w:t>To select a Branch ID to remove from the mission:</w:t>
      </w:r>
    </w:p>
    <w:p w14:paraId="72C54651" w14:textId="6E55E519" w:rsidR="00D6264D" w:rsidRPr="000665B0" w:rsidRDefault="00D71804" w:rsidP="006D5A65">
      <w:pPr>
        <w:pStyle w:val="Heading1"/>
      </w:pPr>
      <w:r w:rsidRPr="000665B0">
        <w:lastRenderedPageBreak/>
        <w:t>Right-click</w:t>
      </w:r>
      <w:r w:rsidR="00D6264D" w:rsidRPr="000665B0">
        <w:t xml:space="preserve"> the data pane and select Add…. The </w:t>
      </w:r>
      <w:r w:rsidR="00D6264D" w:rsidRPr="000665B0">
        <w:rPr>
          <w:i/>
        </w:rPr>
        <w:t>Branch IDs To Be Removed</w:t>
      </w:r>
      <w:r w:rsidR="00D6264D" w:rsidRPr="000665B0">
        <w:t xml:space="preserve"> selection window is displayed. </w:t>
      </w:r>
    </w:p>
    <w:p w14:paraId="15277B01" w14:textId="77777777" w:rsidR="000D70ED" w:rsidRPr="000665B0" w:rsidRDefault="000D70ED" w:rsidP="006D5A65">
      <w:pPr>
        <w:pStyle w:val="Heading1"/>
      </w:pPr>
      <w:r w:rsidRPr="000665B0">
        <w:t xml:space="preserve">Select the appropriate ACMS(s) and click the OK button. </w:t>
      </w:r>
    </w:p>
    <w:p w14:paraId="26A6864B" w14:textId="78A57067" w:rsidR="000D70ED" w:rsidRPr="000665B0" w:rsidRDefault="000D70ED" w:rsidP="009570CA">
      <w:pPr>
        <w:pStyle w:val="Normal1"/>
        <w:spacing w:before="0" w:beforeAutospacing="0" w:after="120" w:afterAutospacing="0"/>
      </w:pPr>
      <w:r w:rsidRPr="000665B0">
        <w:t>The user can also</w:t>
      </w:r>
      <w:r w:rsidR="000C3648" w:rsidRPr="000665B0">
        <w:t xml:space="preserve"> </w:t>
      </w:r>
      <w:r w:rsidRPr="000665B0">
        <w:rPr>
          <w:b/>
        </w:rPr>
        <w:t xml:space="preserve">Display </w:t>
      </w:r>
      <w:r w:rsidRPr="000665B0">
        <w:t>(</w:t>
      </w:r>
      <w:r w:rsidRPr="000665B0">
        <w:rPr>
          <w:b/>
        </w:rPr>
        <w:t>in Excel</w:t>
      </w:r>
      <w:r w:rsidRPr="000665B0">
        <w:t xml:space="preserve">), and </w:t>
      </w:r>
      <w:r w:rsidRPr="000665B0">
        <w:rPr>
          <w:b/>
        </w:rPr>
        <w:t xml:space="preserve">Print </w:t>
      </w:r>
      <w:r w:rsidRPr="000665B0">
        <w:t xml:space="preserve">elements. See </w:t>
      </w:r>
      <w:hyperlink w:anchor="_5.2__COMMON_2" w:history="1">
        <w:r w:rsidRPr="000665B0">
          <w:rPr>
            <w:rStyle w:val="Hyperlink"/>
          </w:rPr>
          <w:t>Section 5.2</w:t>
        </w:r>
      </w:hyperlink>
      <w:r w:rsidRPr="000665B0">
        <w:t xml:space="preserve"> for information on how to perform those features.</w:t>
      </w:r>
    </w:p>
    <w:p w14:paraId="5D7AB62C" w14:textId="77777777" w:rsidR="00D6264D" w:rsidRPr="000665B0" w:rsidRDefault="00D6264D" w:rsidP="009570CA">
      <w:pPr>
        <w:rPr>
          <w:b/>
        </w:rPr>
      </w:pPr>
      <w:r w:rsidRPr="000665B0">
        <w:rPr>
          <w:b/>
        </w:rPr>
        <w:t>Resultant Missions Tab</w:t>
      </w:r>
    </w:p>
    <w:p w14:paraId="47ABA866" w14:textId="069D7F26" w:rsidR="00D6264D" w:rsidRPr="000665B0" w:rsidRDefault="00D6264D" w:rsidP="009570CA">
      <w:r w:rsidRPr="000665B0">
        <w:t xml:space="preserve">When TPS has completed processing, the resulting mission is added to the TED. Selecting the </w:t>
      </w:r>
      <w:r w:rsidRPr="000665B0">
        <w:rPr>
          <w:b/>
          <w:i/>
        </w:rPr>
        <w:t>Resultant</w:t>
      </w:r>
      <w:r w:rsidRPr="000665B0">
        <w:t xml:space="preserve"> </w:t>
      </w:r>
      <w:r w:rsidRPr="000665B0">
        <w:rPr>
          <w:b/>
          <w:i/>
        </w:rPr>
        <w:t>Mission</w:t>
      </w:r>
      <w:r w:rsidR="00A73D3A" w:rsidRPr="000665B0">
        <w:rPr>
          <w:b/>
          <w:i/>
        </w:rPr>
        <w:t>s</w:t>
      </w:r>
      <w:r w:rsidRPr="000665B0">
        <w:t xml:space="preserve"> tab displays the missions that were generated from the TMPR.</w:t>
      </w:r>
    </w:p>
    <w:p w14:paraId="1F6838E8" w14:textId="633D1977" w:rsidR="000D70ED" w:rsidRPr="000665B0" w:rsidRDefault="007F6AE9" w:rsidP="009570CA">
      <w:pPr>
        <w:jc w:val="center"/>
      </w:pPr>
      <w:r w:rsidRPr="000665B0">
        <w:rPr>
          <w:noProof/>
        </w:rPr>
        <w:drawing>
          <wp:inline distT="0" distB="0" distL="0" distR="0" wp14:anchorId="4D5A0054" wp14:editId="0FAD31A0">
            <wp:extent cx="3154680" cy="2971800"/>
            <wp:effectExtent l="0" t="0" r="0" b="0"/>
            <wp:docPr id="1205" name="Picture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971800"/>
                    </a:xfrm>
                    <a:prstGeom prst="rect">
                      <a:avLst/>
                    </a:prstGeom>
                  </pic:spPr>
                </pic:pic>
              </a:graphicData>
            </a:graphic>
          </wp:inline>
        </w:drawing>
      </w:r>
    </w:p>
    <w:p w14:paraId="7C5BECAD" w14:textId="1A5FAA52" w:rsidR="000D70ED" w:rsidRPr="000665B0" w:rsidRDefault="000D70ED" w:rsidP="009570CA">
      <w:pPr>
        <w:spacing w:after="0"/>
      </w:pPr>
      <w:r w:rsidRPr="000665B0">
        <w:t xml:space="preserve">For more information regarding the Missions List View, see </w:t>
      </w:r>
      <w:hyperlink w:anchor="_5.6__MISSIONS" w:history="1">
        <w:r w:rsidR="00C526BF" w:rsidRPr="000665B0">
          <w:rPr>
            <w:rStyle w:val="Hyperlink"/>
          </w:rPr>
          <w:t>Section 5.5</w:t>
        </w:r>
      </w:hyperlink>
      <w:r w:rsidRPr="000665B0">
        <w:t>.</w:t>
      </w:r>
    </w:p>
    <w:p w14:paraId="12D62872" w14:textId="77777777" w:rsidR="00F9093C" w:rsidRPr="000665B0" w:rsidRDefault="00F9093C" w:rsidP="00FD67D3">
      <w:pPr>
        <w:pStyle w:val="Heading3"/>
        <w:keepLines/>
      </w:pPr>
      <w:bookmarkStart w:id="5844" w:name="_5.35.4__Creating_a_Retarget_TMPR"/>
      <w:bookmarkStart w:id="5845" w:name="_5.35.4__Creating"/>
      <w:bookmarkStart w:id="5846" w:name="_5_.35.3_"/>
      <w:bookmarkStart w:id="5847" w:name="_Attack_Plan_TMPR"/>
      <w:bookmarkStart w:id="5848" w:name="_Toc214283500"/>
      <w:bookmarkStart w:id="5849" w:name="_Toc100461729"/>
      <w:bookmarkStart w:id="5850" w:name="_Toc112733707"/>
      <w:bookmarkStart w:id="5851" w:name="_Toc194984791"/>
      <w:bookmarkStart w:id="5852" w:name="_Toc289328800"/>
      <w:bookmarkStart w:id="5853" w:name="_Toc312332039"/>
      <w:bookmarkEnd w:id="5841"/>
      <w:bookmarkEnd w:id="5844"/>
      <w:bookmarkEnd w:id="5845"/>
      <w:bookmarkEnd w:id="5846"/>
      <w:bookmarkEnd w:id="5847"/>
      <w:r w:rsidRPr="000665B0">
        <w:t>Attack Plan TMPR</w:t>
      </w:r>
      <w:bookmarkEnd w:id="5848"/>
    </w:p>
    <w:p w14:paraId="7E009037" w14:textId="2E3933D0" w:rsidR="003B5A07" w:rsidRPr="000665B0" w:rsidRDefault="00F9093C" w:rsidP="00FD67D3">
      <w:pPr>
        <w:keepNext/>
        <w:keepLines/>
      </w:pPr>
      <w:r w:rsidRPr="000665B0">
        <w:t xml:space="preserve">The objective of an Attack Plan is to </w:t>
      </w:r>
      <w:r w:rsidR="00D3135E" w:rsidRPr="000665B0">
        <w:t>reduce</w:t>
      </w:r>
      <w:r w:rsidRPr="000665B0">
        <w:t xml:space="preserve"> the time </w:t>
      </w:r>
      <w:r w:rsidR="00D3135E" w:rsidRPr="000665B0">
        <w:t>between receiving</w:t>
      </w:r>
      <w:r w:rsidRPr="000665B0">
        <w:t xml:space="preserve"> a target </w:t>
      </w:r>
      <w:r w:rsidR="00D3135E" w:rsidRPr="000665B0">
        <w:t>and launching missiles</w:t>
      </w:r>
      <w:r w:rsidRPr="000665B0">
        <w:t xml:space="preserve">. </w:t>
      </w:r>
      <w:r w:rsidR="00D3135E" w:rsidRPr="000665B0">
        <w:t xml:space="preserve">An Attack Plan is a collection of missions which provides a coordinated attack, usually against a complicated target. </w:t>
      </w:r>
      <w:r w:rsidR="003B5A07" w:rsidRPr="000665B0">
        <w:t xml:space="preserve">The Attack Plan TMPR serves as the mission planning request to create the mission(s) for the </w:t>
      </w:r>
      <w:r w:rsidR="008F2DD5" w:rsidRPr="000665B0">
        <w:t>Attack Plan</w:t>
      </w:r>
      <w:r w:rsidR="00085A3C" w:rsidRPr="000665B0">
        <w:t>, by tasking TPS to auto-generate this group of missions.</w:t>
      </w:r>
      <w:r w:rsidR="009651B0">
        <w:t xml:space="preserve"> </w:t>
      </w:r>
    </w:p>
    <w:p w14:paraId="4FFFF6A6" w14:textId="6ECFDE88" w:rsidR="003B5A07" w:rsidRPr="000665B0" w:rsidRDefault="003B5A07" w:rsidP="009570CA">
      <w:r w:rsidRPr="000665B0">
        <w:t>An</w:t>
      </w:r>
      <w:r w:rsidR="00D3135E" w:rsidRPr="000665B0">
        <w:t xml:space="preserve"> Attack </w:t>
      </w:r>
      <w:r w:rsidRPr="000665B0">
        <w:t xml:space="preserve">Plan </w:t>
      </w:r>
      <w:r w:rsidR="00D3135E" w:rsidRPr="000665B0">
        <w:t xml:space="preserve">TMPR </w:t>
      </w:r>
      <w:r w:rsidRPr="000665B0">
        <w:t>must be</w:t>
      </w:r>
      <w:r w:rsidR="00D3135E" w:rsidRPr="000665B0">
        <w:t xml:space="preserve"> assigned a </w:t>
      </w:r>
      <w:r w:rsidRPr="000665B0">
        <w:t>Target Attac</w:t>
      </w:r>
      <w:r w:rsidR="008F2DD5" w:rsidRPr="000665B0">
        <w:t>k</w:t>
      </w:r>
      <w:r w:rsidRPr="000665B0">
        <w:t xml:space="preserve"> Requirement (</w:t>
      </w:r>
      <w:r w:rsidR="00D3135E" w:rsidRPr="000665B0">
        <w:t>TAR</w:t>
      </w:r>
      <w:r w:rsidRPr="000665B0">
        <w:t>)</w:t>
      </w:r>
      <w:r w:rsidR="00D3135E" w:rsidRPr="000665B0">
        <w:t xml:space="preserve"> Type</w:t>
      </w:r>
      <w:r w:rsidRPr="000665B0">
        <w:t>, which is</w:t>
      </w:r>
      <w:r w:rsidR="00D3135E" w:rsidRPr="000665B0">
        <w:t xml:space="preserve"> retrieved from the TED Target Attack Requirements. </w:t>
      </w:r>
      <w:r w:rsidRPr="000665B0">
        <w:t>Similar to other Valid List Files, Target Attack Requirements are defined in a file maint</w:t>
      </w:r>
      <w:r w:rsidR="00D639E2" w:rsidRPr="000665B0">
        <w:t>ai</w:t>
      </w:r>
      <w:r w:rsidRPr="000665B0">
        <w:t>ned by the SSA.</w:t>
      </w:r>
      <w:r w:rsidR="00D3135E" w:rsidRPr="000665B0">
        <w:t xml:space="preserve"> </w:t>
      </w:r>
    </w:p>
    <w:p w14:paraId="555A38CD" w14:textId="63857FA9" w:rsidR="003B5A07" w:rsidRPr="000665B0" w:rsidRDefault="003B5A07" w:rsidP="009570CA">
      <w:r w:rsidRPr="000665B0">
        <w:t xml:space="preserve">Once the TAR Type is selected, other fields of the Attack Plan are </w:t>
      </w:r>
      <w:r w:rsidR="00D639E2" w:rsidRPr="000665B0">
        <w:t>populated</w:t>
      </w:r>
      <w:r w:rsidRPr="000665B0">
        <w:t xml:space="preserve"> based on the TAR </w:t>
      </w:r>
      <w:r w:rsidR="00053549" w:rsidRPr="000665B0">
        <w:t>Type selected</w:t>
      </w:r>
      <w:r w:rsidRPr="000665B0">
        <w:t xml:space="preserve">. </w:t>
      </w:r>
      <w:r w:rsidR="00D639E2" w:rsidRPr="000665B0">
        <w:t>Th</w:t>
      </w:r>
      <w:r w:rsidR="008F2DD5" w:rsidRPr="000665B0">
        <w:t>e</w:t>
      </w:r>
      <w:r w:rsidR="00D639E2" w:rsidRPr="000665B0">
        <w:t xml:space="preserve"> o</w:t>
      </w:r>
      <w:r w:rsidRPr="000665B0">
        <w:t>ther fields may be overridde</w:t>
      </w:r>
      <w:r w:rsidR="00D639E2" w:rsidRPr="000665B0">
        <w:t>n</w:t>
      </w:r>
      <w:r w:rsidRPr="000665B0">
        <w:t>, but deviating from the TAR may result in decreased mission objectives.</w:t>
      </w:r>
      <w:r w:rsidR="009651B0">
        <w:t xml:space="preserve"> </w:t>
      </w:r>
    </w:p>
    <w:p w14:paraId="4E563FFC" w14:textId="01B6FC51" w:rsidR="003B5A07" w:rsidRPr="000665B0" w:rsidRDefault="00D639E2" w:rsidP="009570CA">
      <w:r w:rsidRPr="000665B0">
        <w:t>A</w:t>
      </w:r>
      <w:r w:rsidR="003B5A07" w:rsidRPr="000665B0">
        <w:t xml:space="preserve"> mission name</w:t>
      </w:r>
      <w:r w:rsidRPr="000665B0">
        <w:t xml:space="preserve"> cannot be entered</w:t>
      </w:r>
      <w:r w:rsidR="003B5A07" w:rsidRPr="000665B0">
        <w:t xml:space="preserve"> since multip</w:t>
      </w:r>
      <w:r w:rsidRPr="000665B0">
        <w:t xml:space="preserve">le missions will be generated. </w:t>
      </w:r>
      <w:r w:rsidR="003B5A07" w:rsidRPr="000665B0">
        <w:t xml:space="preserve">The TAR Type, based on the number of missiles it displays, determines the number of missions that TPS will generate on a 1:1 basis. For example, if the TAR </w:t>
      </w:r>
      <w:r w:rsidR="008F2DD5" w:rsidRPr="000665B0">
        <w:t>T</w:t>
      </w:r>
      <w:r w:rsidR="003B5A07" w:rsidRPr="000665B0">
        <w:t>ype specifies 8 missiles, 8 missions will be created.</w:t>
      </w:r>
    </w:p>
    <w:p w14:paraId="3746CA34" w14:textId="5ECCA0E9" w:rsidR="00D52AFD" w:rsidRPr="000665B0" w:rsidRDefault="00D639E2" w:rsidP="009570CA">
      <w:r w:rsidRPr="000665B0">
        <w:lastRenderedPageBreak/>
        <w:t>When opening an existing Attack Plan TMPR, the display depends</w:t>
      </w:r>
      <w:r w:rsidR="00F9093C" w:rsidRPr="000665B0">
        <w:t xml:space="preserve"> on the TMPR state</w:t>
      </w:r>
      <w:r w:rsidRPr="000665B0">
        <w:t xml:space="preserve">. </w:t>
      </w:r>
      <w:r w:rsidR="00F9093C" w:rsidRPr="000665B0">
        <w:t>If the Attack Plan</w:t>
      </w:r>
      <w:r w:rsidR="00707B2A" w:rsidRPr="000665B0">
        <w:t xml:space="preserve"> TMPR</w:t>
      </w:r>
      <w:r w:rsidR="00F9093C" w:rsidRPr="000665B0">
        <w:t xml:space="preserve"> is in the “Creating” state, the </w:t>
      </w:r>
      <w:r w:rsidR="00F9093C" w:rsidRPr="000665B0">
        <w:rPr>
          <w:b/>
          <w:i/>
        </w:rPr>
        <w:t>Tasking</w:t>
      </w:r>
      <w:r w:rsidR="00F9093C" w:rsidRPr="000665B0">
        <w:t xml:space="preserve"> tab</w:t>
      </w:r>
      <w:r w:rsidR="00707B2A" w:rsidRPr="000665B0">
        <w:t xml:space="preserve"> is displayed</w:t>
      </w:r>
      <w:r w:rsidR="00F9093C" w:rsidRPr="000665B0">
        <w:t xml:space="preserve">. Once the Attack Plan TMPR is submitted to TPS, the Attack Plan TMPR </w:t>
      </w:r>
      <w:r w:rsidR="00F9093C" w:rsidRPr="000665B0">
        <w:rPr>
          <w:b/>
          <w:i/>
        </w:rPr>
        <w:t>Processing</w:t>
      </w:r>
      <w:r w:rsidR="00F9093C" w:rsidRPr="000665B0">
        <w:t xml:space="preserve"> tab</w:t>
      </w:r>
      <w:r w:rsidR="00707B2A" w:rsidRPr="000665B0">
        <w:t xml:space="preserve"> is displayed</w:t>
      </w:r>
      <w:r w:rsidR="00F9093C" w:rsidRPr="000665B0">
        <w:t xml:space="preserve"> </w:t>
      </w:r>
      <w:r w:rsidRPr="000665B0">
        <w:t>to provide</w:t>
      </w:r>
      <w:r w:rsidR="00F9093C" w:rsidRPr="000665B0">
        <w:t xml:space="preserve"> </w:t>
      </w:r>
      <w:r w:rsidRPr="000665B0">
        <w:t>quick</w:t>
      </w:r>
      <w:r w:rsidR="00F9093C" w:rsidRPr="000665B0">
        <w:t xml:space="preserve"> access to the TMPR status messages.</w:t>
      </w:r>
    </w:p>
    <w:p w14:paraId="2250DC5D" w14:textId="77777777" w:rsidR="000C5D67" w:rsidRPr="000665B0" w:rsidRDefault="000C5D67" w:rsidP="009570CA">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1322A1B2" w14:textId="77777777" w:rsidR="000C5D67" w:rsidRPr="000665B0" w:rsidRDefault="000C5D67" w:rsidP="009570CA">
      <w:pPr>
        <w:keepNext/>
        <w:keepLines/>
        <w:pBdr>
          <w:top w:val="single" w:sz="12" w:space="1" w:color="auto"/>
          <w:left w:val="single" w:sz="12" w:space="4" w:color="auto"/>
          <w:bottom w:val="single" w:sz="12" w:space="0" w:color="auto"/>
          <w:right w:val="single" w:sz="12" w:space="4" w:color="auto"/>
        </w:pBdr>
        <w:shd w:val="clear" w:color="auto" w:fill="D9D9D9"/>
        <w:jc w:val="center"/>
        <w:rPr>
          <w:b/>
        </w:rPr>
      </w:pPr>
      <w:r w:rsidRPr="000665B0">
        <w:rPr>
          <w:b/>
        </w:rPr>
        <w:t>Attack Plan TMPRs are not recognized by pre-6.0 systems. When a DDO template containing an Attack Plan TMPR is distributed to a pre-6.0 system, the Attack Plan TMPR will not be sent.</w:t>
      </w:r>
    </w:p>
    <w:p w14:paraId="1CF99C8A" w14:textId="77777777" w:rsidR="00F9093C" w:rsidRPr="000665B0" w:rsidRDefault="00F9093C" w:rsidP="009570CA">
      <w:r w:rsidRPr="000665B0">
        <w:t>To create an Attack Plan TMPR:</w:t>
      </w:r>
    </w:p>
    <w:p w14:paraId="2EF71973" w14:textId="77777777" w:rsidR="00F9093C" w:rsidRPr="000665B0" w:rsidRDefault="00F9093C" w:rsidP="006D5A65">
      <w:pPr>
        <w:pStyle w:val="Heading1"/>
      </w:pPr>
      <w:r w:rsidRPr="000665B0">
        <w:t xml:space="preserve">Navigate to the TMPRs Tool. </w:t>
      </w:r>
    </w:p>
    <w:p w14:paraId="589816E9" w14:textId="75850E07" w:rsidR="00F9093C" w:rsidRPr="000665B0" w:rsidRDefault="00F9093C" w:rsidP="006D5A65">
      <w:pPr>
        <w:pStyle w:val="Heading1"/>
      </w:pPr>
      <w:r w:rsidRPr="000665B0">
        <w:t xml:space="preserve">From the File menu select New </w:t>
      </w:r>
      <w:r w:rsidRPr="000665B0">
        <w:rPr>
          <w:rFonts w:cs="Arial"/>
          <w:sz w:val="20"/>
        </w:rPr>
        <w:t xml:space="preserve">► </w:t>
      </w:r>
      <w:r w:rsidRPr="000665B0">
        <w:t>Attack Plan TMPR</w:t>
      </w:r>
      <w:r w:rsidR="008C333E" w:rsidRPr="000665B0">
        <w:t>… or</w:t>
      </w:r>
      <w:r w:rsidRPr="000665B0">
        <w:t xml:space="preserve"> </w:t>
      </w:r>
      <w:r w:rsidR="00DB0CDF" w:rsidRPr="000665B0">
        <w:t xml:space="preserve">click </w:t>
      </w:r>
      <w:r w:rsidRPr="000665B0">
        <w:t xml:space="preserve">the </w:t>
      </w:r>
      <w:r w:rsidRPr="000665B0">
        <w:sym w:font="Wingdings 3" w:char="F082"/>
      </w:r>
      <w:r w:rsidRPr="000665B0">
        <w:t xml:space="preserve"> button next to the New </w:t>
      </w:r>
      <w:r w:rsidRPr="000665B0">
        <w:rPr>
          <w:noProof/>
        </w:rPr>
        <w:drawing>
          <wp:inline distT="0" distB="0" distL="0" distR="0" wp14:anchorId="46B583AD" wp14:editId="298C24A5">
            <wp:extent cx="158750" cy="158750"/>
            <wp:effectExtent l="0" t="0" r="0" b="0"/>
            <wp:docPr id="1977" name="Picture 1977"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new 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icon on the toolbar</w:t>
      </w:r>
      <w:r w:rsidR="00DB0CDF" w:rsidRPr="000665B0">
        <w:t xml:space="preserve"> and</w:t>
      </w:r>
      <w:r w:rsidRPr="000665B0">
        <w:t xml:space="preserve"> select Attack Plan TMPR</w:t>
      </w:r>
      <w:r w:rsidR="00D1594B" w:rsidRPr="000665B0">
        <w:t>… or</w:t>
      </w:r>
      <w:r w:rsidR="00DB0CDF" w:rsidRPr="000665B0">
        <w:t xml:space="preserve"> </w:t>
      </w:r>
      <w:r w:rsidR="00DB0CDF" w:rsidRPr="000665B0">
        <w:rPr>
          <w:noProof/>
        </w:rPr>
        <w:t xml:space="preserve">invoke the context menu (right-click the mouse) and select New </w:t>
      </w:r>
      <w:r w:rsidR="00DB0CDF" w:rsidRPr="000665B0">
        <w:rPr>
          <w:rFonts w:cs="Arial"/>
          <w:sz w:val="20"/>
        </w:rPr>
        <w:t xml:space="preserve">► </w:t>
      </w:r>
      <w:r w:rsidR="00DB0CDF" w:rsidRPr="000665B0">
        <w:t>Attack Plan TMPR…</w:t>
      </w:r>
      <w:r w:rsidRPr="000665B0">
        <w:t xml:space="preserve">. A new </w:t>
      </w:r>
      <w:r w:rsidRPr="000665B0">
        <w:rPr>
          <w:i/>
        </w:rPr>
        <w:t>TMPR</w:t>
      </w:r>
      <w:r w:rsidRPr="000665B0">
        <w:t xml:space="preserve"> window is displayed.</w:t>
      </w:r>
    </w:p>
    <w:p w14:paraId="5DB3C315" w14:textId="0278BF1D" w:rsidR="00F9093C" w:rsidRPr="000665B0" w:rsidRDefault="00B730B7" w:rsidP="009570CA">
      <w:pPr>
        <w:pStyle w:val="Number0205"/>
        <w:ind w:left="0" w:firstLine="0"/>
        <w:jc w:val="center"/>
      </w:pPr>
      <w:r w:rsidRPr="000665B0">
        <w:rPr>
          <w:noProof/>
        </w:rPr>
        <w:drawing>
          <wp:inline distT="0" distB="0" distL="0" distR="0" wp14:anchorId="017B9F20" wp14:editId="19FCF1FA">
            <wp:extent cx="3154680" cy="3776472"/>
            <wp:effectExtent l="0" t="0" r="0" b="0"/>
            <wp:docPr id="2199" name="Picture 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3776472"/>
                    </a:xfrm>
                    <a:prstGeom prst="rect">
                      <a:avLst/>
                    </a:prstGeom>
                  </pic:spPr>
                </pic:pic>
              </a:graphicData>
            </a:graphic>
          </wp:inline>
        </w:drawing>
      </w:r>
    </w:p>
    <w:p w14:paraId="544FDFAF" w14:textId="5839F8A1" w:rsidR="00F9093C" w:rsidRPr="000665B0" w:rsidRDefault="00F9093C" w:rsidP="006D5A65">
      <w:pPr>
        <w:pStyle w:val="Heading1"/>
      </w:pPr>
      <w:r w:rsidRPr="000665B0">
        <w:t xml:space="preserve">If it is required to change the classification of the TMPR, click the Edit button and select the classification from the </w:t>
      </w:r>
      <w:r w:rsidRPr="000665B0">
        <w:lastRenderedPageBreak/>
        <w:t xml:space="preserve">drop-down menu of the </w:t>
      </w:r>
      <w:r w:rsidRPr="000665B0">
        <w:rPr>
          <w:i/>
        </w:rPr>
        <w:t>Edit Classification</w:t>
      </w:r>
      <w:r w:rsidRPr="000665B0">
        <w:t xml:space="preserve"> window. For information on editing the classification see </w:t>
      </w:r>
      <w:hyperlink w:anchor="_5.2.7__Edit" w:history="1">
        <w:r w:rsidRPr="000665B0">
          <w:rPr>
            <w:color w:val="0000FF"/>
            <w:u w:val="single"/>
          </w:rPr>
          <w:t>Section 5.2.7</w:t>
        </w:r>
      </w:hyperlink>
      <w:r w:rsidRPr="000665B0">
        <w:t>.</w:t>
      </w:r>
    </w:p>
    <w:p w14:paraId="17451B5C" w14:textId="0D377E17" w:rsidR="00F9093C" w:rsidRPr="000665B0" w:rsidRDefault="00F9093C" w:rsidP="006D5A65">
      <w:pPr>
        <w:pStyle w:val="Heading1"/>
      </w:pPr>
      <w:r w:rsidRPr="000665B0">
        <w:t xml:space="preserve">Click on the </w:t>
      </w:r>
      <w:r w:rsidRPr="000665B0">
        <w:rPr>
          <w:i/>
        </w:rPr>
        <w:t>Tasking</w:t>
      </w:r>
      <w:r w:rsidRPr="000665B0">
        <w:t xml:space="preserve"> tab and enter in the required data. See </w:t>
      </w:r>
      <w:hyperlink w:anchor="_Attack_Plan_Tasking" w:history="1">
        <w:r w:rsidRPr="000665B0">
          <w:rPr>
            <w:rStyle w:val="Hyperlink"/>
          </w:rPr>
          <w:t xml:space="preserve">Section </w:t>
        </w:r>
        <w:r w:rsidR="004231CC">
          <w:rPr>
            <w:rStyle w:val="Hyperlink"/>
          </w:rPr>
          <w:t>5.31</w:t>
        </w:r>
        <w:r w:rsidRPr="000665B0">
          <w:rPr>
            <w:rStyle w:val="Hyperlink"/>
          </w:rPr>
          <w:t>.</w:t>
        </w:r>
        <w:r w:rsidR="00865446" w:rsidRPr="000665B0">
          <w:rPr>
            <w:rStyle w:val="Hyperlink"/>
          </w:rPr>
          <w:t>3</w:t>
        </w:r>
        <w:r w:rsidRPr="000665B0">
          <w:rPr>
            <w:rStyle w:val="Hyperlink"/>
          </w:rPr>
          <w:t>.1</w:t>
        </w:r>
      </w:hyperlink>
      <w:r w:rsidRPr="000665B0">
        <w:t>.</w:t>
      </w:r>
    </w:p>
    <w:p w14:paraId="513769A5" w14:textId="2F626496" w:rsidR="00F9093C" w:rsidRPr="000665B0" w:rsidRDefault="00F9093C" w:rsidP="006D5A65">
      <w:pPr>
        <w:pStyle w:val="Heading1"/>
      </w:pPr>
      <w:r w:rsidRPr="000665B0">
        <w:t xml:space="preserve">Click on the </w:t>
      </w:r>
      <w:r w:rsidRPr="000665B0">
        <w:rPr>
          <w:i/>
        </w:rPr>
        <w:t>Processing</w:t>
      </w:r>
      <w:r w:rsidRPr="000665B0">
        <w:t xml:space="preserve"> tab to enter more information. See </w:t>
      </w:r>
      <w:hyperlink w:anchor="_Attack_Plan_Processing" w:history="1">
        <w:r w:rsidRPr="000665B0">
          <w:rPr>
            <w:rStyle w:val="Hyperlink"/>
          </w:rPr>
          <w:t xml:space="preserve">Section </w:t>
        </w:r>
        <w:r w:rsidR="004231CC">
          <w:rPr>
            <w:rStyle w:val="Hyperlink"/>
          </w:rPr>
          <w:t>5.31</w:t>
        </w:r>
        <w:r w:rsidRPr="000665B0">
          <w:rPr>
            <w:rStyle w:val="Hyperlink"/>
          </w:rPr>
          <w:t>.3.2</w:t>
        </w:r>
      </w:hyperlink>
      <w:r w:rsidRPr="000665B0">
        <w:t>.</w:t>
      </w:r>
    </w:p>
    <w:p w14:paraId="55DCB4E2" w14:textId="77777777" w:rsidR="00F9093C" w:rsidRPr="000665B0" w:rsidRDefault="00F9093C" w:rsidP="006D5A65">
      <w:pPr>
        <w:pStyle w:val="Heading1"/>
      </w:pPr>
      <w:r w:rsidRPr="000665B0">
        <w:t xml:space="preserve">Click on the Save </w:t>
      </w:r>
      <w:r w:rsidRPr="000665B0">
        <w:rPr>
          <w:rFonts w:ascii="Wingdings" w:hAnsi="Wingdings"/>
        </w:rPr>
        <w:t></w:t>
      </w:r>
      <w:r w:rsidRPr="000665B0">
        <w:t xml:space="preserve"> icon to save the changes or select the Save option from the File pull down menu.</w:t>
      </w:r>
    </w:p>
    <w:p w14:paraId="0F14290E" w14:textId="29EE9161" w:rsidR="00F9093C" w:rsidRPr="000665B0" w:rsidRDefault="00F9093C" w:rsidP="006D5A65">
      <w:pPr>
        <w:pStyle w:val="Heading1"/>
      </w:pPr>
      <w:r w:rsidRPr="000665B0">
        <w:t xml:space="preserve">If the Own Node has a collocated TPS, then the Submit tool button </w:t>
      </w:r>
      <w:r w:rsidRPr="000665B0">
        <w:rPr>
          <w:noProof/>
        </w:rPr>
        <w:drawing>
          <wp:inline distT="0" distB="0" distL="0" distR="0" wp14:anchorId="60A70183" wp14:editId="7B9BC835">
            <wp:extent cx="182880" cy="158750"/>
            <wp:effectExtent l="0" t="0" r="7620" b="0"/>
            <wp:docPr id="1979" name="Picture 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2880" cy="158750"/>
                    </a:xfrm>
                    <a:prstGeom prst="rect">
                      <a:avLst/>
                    </a:prstGeom>
                    <a:noFill/>
                    <a:ln>
                      <a:noFill/>
                    </a:ln>
                  </pic:spPr>
                </pic:pic>
              </a:graphicData>
            </a:graphic>
          </wp:inline>
        </w:drawing>
      </w:r>
      <w:r w:rsidRPr="000665B0">
        <w:t xml:space="preserve"> is enabled. Selecting this will change the state of the TMPR to “Submitted.” The collocated TPS or Embedded TPS is notified of the TM</w:t>
      </w:r>
      <w:r w:rsidR="007903C7" w:rsidRPr="000665B0">
        <w:t>PR</w:t>
      </w:r>
      <w:r w:rsidRPr="000665B0">
        <w:t xml:space="preserve"> state change</w:t>
      </w:r>
      <w:r w:rsidR="00707B2A" w:rsidRPr="000665B0">
        <w:t xml:space="preserve"> (</w:t>
      </w:r>
      <w:r w:rsidR="00A27B09" w:rsidRPr="000665B0">
        <w:t xml:space="preserve">see </w:t>
      </w:r>
      <w:hyperlink w:anchor="_5.35.8__Checking" w:history="1">
        <w:r w:rsidRPr="000665B0">
          <w:rPr>
            <w:rStyle w:val="Hyperlink"/>
          </w:rPr>
          <w:t xml:space="preserve">Section </w:t>
        </w:r>
        <w:r w:rsidR="004231CC">
          <w:rPr>
            <w:rStyle w:val="Hyperlink"/>
          </w:rPr>
          <w:t>5.31</w:t>
        </w:r>
        <w:r w:rsidRPr="000665B0">
          <w:rPr>
            <w:rStyle w:val="Hyperlink"/>
          </w:rPr>
          <w:t>.</w:t>
        </w:r>
        <w:r w:rsidR="007903C7" w:rsidRPr="000665B0">
          <w:rPr>
            <w:rStyle w:val="Hyperlink"/>
          </w:rPr>
          <w:t>9</w:t>
        </w:r>
      </w:hyperlink>
      <w:r w:rsidRPr="000665B0">
        <w:t>)</w:t>
      </w:r>
      <w:r w:rsidR="00A27B09" w:rsidRPr="000665B0">
        <w:t>.</w:t>
      </w:r>
    </w:p>
    <w:p w14:paraId="44376BB1" w14:textId="3F51351D" w:rsidR="00F9093C" w:rsidRPr="000665B0" w:rsidRDefault="00F9093C" w:rsidP="009570CA">
      <w:r w:rsidRPr="000665B0">
        <w:t xml:space="preserve">In addition to viewing/editing information for the TMPR and </w:t>
      </w:r>
      <w:r w:rsidRPr="000665B0">
        <w:rPr>
          <w:b/>
        </w:rPr>
        <w:t>Submit to TPS</w:t>
      </w:r>
      <w:r w:rsidRPr="000665B0">
        <w:t xml:space="preserve">, the user can also </w:t>
      </w:r>
      <w:r w:rsidRPr="000665B0">
        <w:rPr>
          <w:b/>
        </w:rPr>
        <w:t>Display</w:t>
      </w:r>
      <w:r w:rsidRPr="000665B0">
        <w:t xml:space="preserve"> (</w:t>
      </w:r>
      <w:r w:rsidRPr="000665B0">
        <w:rPr>
          <w:b/>
        </w:rPr>
        <w:t>Geographically</w:t>
      </w:r>
      <w:r w:rsidRPr="000665B0">
        <w:t xml:space="preserve">), </w:t>
      </w:r>
      <w:r w:rsidRPr="000665B0">
        <w:rPr>
          <w:b/>
        </w:rPr>
        <w:t>Send</w:t>
      </w:r>
      <w:r w:rsidRPr="000665B0">
        <w:t xml:space="preserve"> the TMPR as a DDO, view the </w:t>
      </w:r>
      <w:r w:rsidRPr="000665B0">
        <w:rPr>
          <w:b/>
        </w:rPr>
        <w:t>Print Preview</w:t>
      </w:r>
      <w:r w:rsidRPr="000665B0">
        <w:t xml:space="preserve">, as well as </w:t>
      </w:r>
      <w:r w:rsidRPr="000665B0">
        <w:rPr>
          <w:b/>
        </w:rPr>
        <w:t>Print</w:t>
      </w:r>
      <w:r w:rsidRPr="000665B0">
        <w:t xml:space="preserve"> the TMPR information. See </w:t>
      </w:r>
      <w:hyperlink w:anchor="_5.2__COMMON_2" w:history="1">
        <w:r w:rsidRPr="000665B0">
          <w:rPr>
            <w:color w:val="0000FF"/>
            <w:u w:val="single"/>
          </w:rPr>
          <w:t>Section 5.2</w:t>
        </w:r>
      </w:hyperlink>
      <w:r w:rsidRPr="000665B0">
        <w:t xml:space="preserve"> for information on how to perform those features.</w:t>
      </w:r>
    </w:p>
    <w:p w14:paraId="2E33ACE2" w14:textId="0562E391" w:rsidR="000C5D67" w:rsidRPr="000665B0" w:rsidRDefault="000C5D67" w:rsidP="009570CA">
      <w:pPr>
        <w:tabs>
          <w:tab w:val="left" w:pos="720"/>
        </w:tabs>
        <w:spacing w:after="0"/>
      </w:pPr>
      <w:r w:rsidRPr="000665B0">
        <w:t>If an Attack Plan TMPR has been initiated, wait for all missions to be returned before sending to TTWCS.</w:t>
      </w:r>
    </w:p>
    <w:p w14:paraId="1DFFC6D0" w14:textId="77777777" w:rsidR="00F9093C" w:rsidRPr="000665B0" w:rsidRDefault="00F9093C" w:rsidP="004B1275">
      <w:pPr>
        <w:pStyle w:val="Heading4"/>
        <w:keepLines/>
      </w:pPr>
      <w:bookmarkStart w:id="5854" w:name="_Attack_Plan_Tasking"/>
      <w:bookmarkStart w:id="5855" w:name="_Hlk48213572"/>
      <w:bookmarkEnd w:id="5854"/>
      <w:r w:rsidRPr="000665B0">
        <w:t>Attack Plan Tasking Tab</w:t>
      </w:r>
    </w:p>
    <w:p w14:paraId="787AED2E" w14:textId="77777777" w:rsidR="00F9093C" w:rsidRPr="000665B0" w:rsidRDefault="00F9093C" w:rsidP="004B1275">
      <w:pPr>
        <w:keepNext/>
        <w:keepLines/>
      </w:pPr>
      <w:r w:rsidRPr="000665B0">
        <w:t xml:space="preserve">The </w:t>
      </w:r>
      <w:r w:rsidRPr="000665B0">
        <w:rPr>
          <w:b/>
          <w:i/>
        </w:rPr>
        <w:t>Tasking</w:t>
      </w:r>
      <w:r w:rsidRPr="000665B0">
        <w:t xml:space="preserve"> tab contains the basic information that may be filled out for an Attack Plan TMPR.</w:t>
      </w:r>
    </w:p>
    <w:p w14:paraId="1EE9F2D4" w14:textId="1B821353" w:rsidR="00F9093C" w:rsidRPr="000665B0" w:rsidRDefault="000E114A" w:rsidP="009570CA">
      <w:pPr>
        <w:jc w:val="center"/>
      </w:pPr>
      <w:r w:rsidRPr="000665B0">
        <w:rPr>
          <w:noProof/>
        </w:rPr>
        <w:drawing>
          <wp:inline distT="0" distB="0" distL="0" distR="0" wp14:anchorId="272B87F9" wp14:editId="7E21C5F3">
            <wp:extent cx="3154680" cy="3776472"/>
            <wp:effectExtent l="0" t="0" r="0" b="0"/>
            <wp:docPr id="2204" name="Picture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3776472"/>
                    </a:xfrm>
                    <a:prstGeom prst="rect">
                      <a:avLst/>
                    </a:prstGeom>
                  </pic:spPr>
                </pic:pic>
              </a:graphicData>
            </a:graphic>
          </wp:inline>
        </w:drawing>
      </w:r>
    </w:p>
    <w:p w14:paraId="10155EE6" w14:textId="7CFC1402" w:rsidR="00F9093C" w:rsidRPr="000665B0" w:rsidRDefault="00F9093C" w:rsidP="006D5A65">
      <w:pPr>
        <w:pStyle w:val="Heading1"/>
      </w:pPr>
      <w:r w:rsidRPr="000665B0">
        <w:lastRenderedPageBreak/>
        <w:t>The following information is displayed and cannot be edited:</w:t>
      </w:r>
    </w:p>
    <w:p w14:paraId="1EE653A8" w14:textId="77777777" w:rsidR="00F9093C" w:rsidRPr="000665B0" w:rsidRDefault="00F9093C" w:rsidP="006D5A65">
      <w:pPr>
        <w:pStyle w:val="Heading1"/>
      </w:pPr>
      <w:r w:rsidRPr="000665B0">
        <w:t>TMPR Type – The type of the particular TMPR entry.</w:t>
      </w:r>
    </w:p>
    <w:p w14:paraId="05240D0E" w14:textId="77777777" w:rsidR="00F9093C" w:rsidRPr="000665B0" w:rsidRDefault="00F9093C" w:rsidP="006D5A65">
      <w:pPr>
        <w:pStyle w:val="Heading1"/>
      </w:pPr>
      <w:r w:rsidRPr="000665B0">
        <w:t>TMPR State – The current state of the request.</w:t>
      </w:r>
    </w:p>
    <w:p w14:paraId="53158E54" w14:textId="0C780CA5" w:rsidR="00F9093C" w:rsidRPr="000665B0" w:rsidRDefault="00F9093C" w:rsidP="006D5A65">
      <w:pPr>
        <w:pStyle w:val="Heading1"/>
      </w:pPr>
      <w:r w:rsidRPr="000665B0">
        <w:t xml:space="preserve">Creation DTG – The date when the TMPR was </w:t>
      </w:r>
      <w:r w:rsidR="008C333E" w:rsidRPr="000665B0">
        <w:t>created.</w:t>
      </w:r>
    </w:p>
    <w:p w14:paraId="7D0207DA" w14:textId="77777777" w:rsidR="00F9093C" w:rsidRPr="000665B0" w:rsidRDefault="00F9093C" w:rsidP="006D5A65">
      <w:pPr>
        <w:pStyle w:val="Heading1"/>
      </w:pPr>
      <w:r w:rsidRPr="000665B0">
        <w:t>Ref. Mission – The Mission ID for the mission this TMPR is based on.</w:t>
      </w:r>
    </w:p>
    <w:p w14:paraId="51F42025" w14:textId="00F0FDCF" w:rsidR="00F9093C" w:rsidRPr="000665B0" w:rsidRDefault="00707B2A" w:rsidP="006D5A65">
      <w:pPr>
        <w:pStyle w:val="Heading1"/>
      </w:pPr>
      <w:r w:rsidRPr="000665B0">
        <w:t>Enter</w:t>
      </w:r>
      <w:r w:rsidR="00F9093C" w:rsidRPr="000665B0">
        <w:t xml:space="preserve"> or select the following information under the </w:t>
      </w:r>
      <w:r w:rsidR="00F9093C" w:rsidRPr="000665B0">
        <w:rPr>
          <w:i/>
        </w:rPr>
        <w:t>Tasking</w:t>
      </w:r>
      <w:r w:rsidR="00F9093C" w:rsidRPr="000665B0">
        <w:t xml:space="preserve"> </w:t>
      </w:r>
      <w:r w:rsidRPr="000665B0">
        <w:t>tab</w:t>
      </w:r>
      <w:r w:rsidR="00F9093C" w:rsidRPr="000665B0">
        <w:t>:</w:t>
      </w:r>
    </w:p>
    <w:p w14:paraId="1D81FF4A" w14:textId="28DEEC32" w:rsidR="00F9093C" w:rsidRPr="000665B0" w:rsidRDefault="00F9093C" w:rsidP="006D5A65">
      <w:pPr>
        <w:pStyle w:val="Heading2"/>
      </w:pPr>
      <w:r w:rsidRPr="000665B0">
        <w:t>Attack Plan ID (optional) – The missions will be associated with an Attack Plan identifier (ID), which is used to associate the resultant missions for coordinated execution in a strike. By default, the Attack Plan ID is set to the TMPR ID</w:t>
      </w:r>
      <w:r w:rsidR="00707B2A" w:rsidRPr="000665B0">
        <w:t xml:space="preserve"> but</w:t>
      </w:r>
      <w:r w:rsidRPr="000665B0">
        <w:t xml:space="preserve"> can be changed. The Attack Plan ID of an Attack Plan is not unique and is separate from a TMPR ID.</w:t>
      </w:r>
      <w:r w:rsidR="00707B2A" w:rsidRPr="000665B0">
        <w:t xml:space="preserve"> More than one Attack Plan can have the same Attack Plan ID.</w:t>
      </w:r>
      <w:r w:rsidR="00B8219D" w:rsidRPr="000665B0">
        <w:t xml:space="preserve"> Valid value is free text up to 30 characters.</w:t>
      </w:r>
    </w:p>
    <w:p w14:paraId="1F2B772D" w14:textId="20BCE614" w:rsidR="00F9093C" w:rsidRPr="000665B0" w:rsidRDefault="00F9093C" w:rsidP="006D5A65">
      <w:pPr>
        <w:pStyle w:val="Heading2"/>
      </w:pPr>
      <w:r w:rsidRPr="000665B0">
        <w:t xml:space="preserve">TAR Type – </w:t>
      </w:r>
      <w:r w:rsidR="00053549" w:rsidRPr="000665B0">
        <w:rPr>
          <w:rFonts w:cs="Calibri"/>
          <w:szCs w:val="24"/>
        </w:rPr>
        <w:t xml:space="preserve">Target Attack Requirements type for the target associated with the Attack Plan TMPR. </w:t>
      </w:r>
      <w:r w:rsidR="00232DA9" w:rsidRPr="000665B0">
        <w:t>Once the TAR Type is selected, other fields of the Attack Plan are populated based on the TAR values.</w:t>
      </w:r>
      <w:r w:rsidR="00F9343F" w:rsidRPr="000665B0">
        <w:t xml:space="preserve"> The other fields may be overridden, but deviating from the TAR may result in decreased mission objectives. In this case, the field displays “Custom.” “Custom” is also displayed if</w:t>
      </w:r>
      <w:r w:rsidR="00A0082B" w:rsidRPr="000665B0">
        <w:t xml:space="preserve"> viewing a TMPR with a</w:t>
      </w:r>
      <w:r w:rsidR="00F9343F" w:rsidRPr="000665B0">
        <w:t xml:space="preserve"> TAR </w:t>
      </w:r>
      <w:r w:rsidR="00A0082B" w:rsidRPr="000665B0">
        <w:t>T</w:t>
      </w:r>
      <w:r w:rsidR="00F9343F" w:rsidRPr="000665B0">
        <w:t xml:space="preserve">ype </w:t>
      </w:r>
      <w:r w:rsidR="00A0082B" w:rsidRPr="000665B0">
        <w:t>that no longer</w:t>
      </w:r>
      <w:r w:rsidR="00F9343F" w:rsidRPr="000665B0">
        <w:t xml:space="preserve"> exist</w:t>
      </w:r>
      <w:r w:rsidR="00A0082B" w:rsidRPr="000665B0">
        <w:t>s</w:t>
      </w:r>
      <w:r w:rsidR="00F9343F" w:rsidRPr="000665B0">
        <w:t xml:space="preserve"> within the current TAR list stored in the Valid</w:t>
      </w:r>
      <w:r w:rsidR="00A0082B" w:rsidRPr="000665B0">
        <w:t xml:space="preserve"> </w:t>
      </w:r>
      <w:r w:rsidR="00F9343F" w:rsidRPr="000665B0">
        <w:t>List database</w:t>
      </w:r>
      <w:r w:rsidR="00A0082B" w:rsidRPr="000665B0">
        <w:t>.</w:t>
      </w:r>
    </w:p>
    <w:p w14:paraId="6187C326" w14:textId="36DDBCE9" w:rsidR="00F9093C" w:rsidRPr="000665B0" w:rsidRDefault="00F9093C" w:rsidP="006D5A65">
      <w:pPr>
        <w:pStyle w:val="Heading1"/>
      </w:pPr>
      <w:r w:rsidRPr="000665B0">
        <w:t>E</w:t>
      </w:r>
      <w:r w:rsidR="008F2DD5" w:rsidRPr="000665B0">
        <w:t>nter</w:t>
      </w:r>
      <w:r w:rsidRPr="000665B0">
        <w:t xml:space="preserve"> or select the following information under the Target Attack Requirements </w:t>
      </w:r>
      <w:r w:rsidR="008F2DD5" w:rsidRPr="000665B0">
        <w:t>pane</w:t>
      </w:r>
      <w:r w:rsidRPr="000665B0">
        <w:t xml:space="preserve"> as needed:</w:t>
      </w:r>
    </w:p>
    <w:p w14:paraId="305685C9" w14:textId="5A1011EA" w:rsidR="00F9093C" w:rsidRPr="000665B0" w:rsidRDefault="00F9093C" w:rsidP="006D5A65">
      <w:pPr>
        <w:pStyle w:val="Heading2"/>
      </w:pPr>
      <w:r w:rsidRPr="000665B0">
        <w:t>Number of Missiles Needed (</w:t>
      </w:r>
      <w:r w:rsidR="008F2DD5" w:rsidRPr="000665B0">
        <w:t>o</w:t>
      </w:r>
      <w:r w:rsidRPr="000665B0">
        <w:t>ptional) – The desired number of missiles for the Attack Plan</w:t>
      </w:r>
      <w:r w:rsidR="008F2DD5" w:rsidRPr="000665B0">
        <w:t>.</w:t>
      </w:r>
    </w:p>
    <w:p w14:paraId="6344CDB0" w14:textId="04A7760B" w:rsidR="008F2DD5" w:rsidRPr="000665B0" w:rsidRDefault="008F2DD5" w:rsidP="006D5A65">
      <w:pPr>
        <w:pStyle w:val="Heading2"/>
      </w:pPr>
      <w:r w:rsidRPr="000665B0">
        <w:t>Dive Angle – The desired impact angle (in degrees).</w:t>
      </w:r>
    </w:p>
    <w:p w14:paraId="010D1BFA" w14:textId="218CC36B" w:rsidR="008F2DD5" w:rsidRPr="000665B0" w:rsidRDefault="008F2DD5" w:rsidP="006D5A65">
      <w:pPr>
        <w:pStyle w:val="Heading2"/>
      </w:pPr>
      <w:r w:rsidRPr="000665B0">
        <w:t>Run In Heading Offset (optional) – Only expected for use in offsetting multi-missile solutions when weaponeering indicates that specific offsets are required. Mission Planning use: Use in target area planning for Attack Plans requiring more than one mission. If None, the autorouter selects the best run in heading(s).</w:t>
      </w:r>
    </w:p>
    <w:p w14:paraId="2F1C82EF" w14:textId="09ADC186" w:rsidR="008F2DD5" w:rsidRPr="000665B0" w:rsidRDefault="008F2DD5" w:rsidP="006D5A65">
      <w:pPr>
        <w:pStyle w:val="Heading2"/>
      </w:pPr>
      <w:r w:rsidRPr="000665B0">
        <w:t>Run In Heading Offset Tol. (optional) – Tolerance for Run In Heading Offset.</w:t>
      </w:r>
    </w:p>
    <w:p w14:paraId="0B62BF7E" w14:textId="6ABC2D45" w:rsidR="008F2DD5" w:rsidRPr="000665B0" w:rsidRDefault="008F2DD5" w:rsidP="006D5A65">
      <w:pPr>
        <w:pStyle w:val="Heading2"/>
      </w:pPr>
      <w:r w:rsidRPr="000665B0">
        <w:t xml:space="preserve">Simultaneous TOT – Indicator specifying whether or not a multi-mission solution requires a simultaneous TOT. </w:t>
      </w:r>
      <w:r w:rsidRPr="000665B0">
        <w:lastRenderedPageBreak/>
        <w:t>Expectation is that weaponeering solutions requiring simultaneous TOTs will always include offset heading during mission planning. All missions in an Attack Plan would be tasked with the same TOT in the strike package.</w:t>
      </w:r>
    </w:p>
    <w:p w14:paraId="25B77F2E" w14:textId="2BB4777E" w:rsidR="00F9093C" w:rsidRPr="000665B0" w:rsidRDefault="00F9093C" w:rsidP="006D5A65">
      <w:pPr>
        <w:pStyle w:val="Heading2"/>
      </w:pPr>
      <w:r w:rsidRPr="000665B0">
        <w:t>TOT Time Separation (</w:t>
      </w:r>
      <w:r w:rsidR="008F2DD5" w:rsidRPr="000665B0">
        <w:t>o</w:t>
      </w:r>
      <w:r w:rsidRPr="000665B0">
        <w:t>ptional) – The required separation between TOTs in the event that a multi-missile solution does not require a simultaneous TOT.</w:t>
      </w:r>
    </w:p>
    <w:p w14:paraId="31332B21" w14:textId="5E58D60A" w:rsidR="00F9093C" w:rsidRPr="000665B0" w:rsidRDefault="00F9093C" w:rsidP="006D5A65">
      <w:pPr>
        <w:pStyle w:val="Heading1"/>
      </w:pPr>
      <w:r w:rsidRPr="000665B0">
        <w:t>E</w:t>
      </w:r>
      <w:r w:rsidR="008F2DD5" w:rsidRPr="000665B0">
        <w:t>nter</w:t>
      </w:r>
      <w:r w:rsidRPr="000665B0">
        <w:t xml:space="preserve"> or select the following information under the Target Data </w:t>
      </w:r>
      <w:r w:rsidR="00B8219D" w:rsidRPr="000665B0">
        <w:t>pane</w:t>
      </w:r>
      <w:r w:rsidRPr="000665B0">
        <w:t xml:space="preserve"> as needed:</w:t>
      </w:r>
    </w:p>
    <w:p w14:paraId="130A4BA9" w14:textId="2F935F4A" w:rsidR="00F9093C" w:rsidRPr="000665B0" w:rsidRDefault="00F9093C" w:rsidP="006D5A65">
      <w:pPr>
        <w:pStyle w:val="Heading2"/>
      </w:pPr>
      <w:r w:rsidRPr="000665B0">
        <w:t>Run-in Azimuth (</w:t>
      </w:r>
      <w:r w:rsidR="00B8219D" w:rsidRPr="000665B0">
        <w:t>o</w:t>
      </w:r>
      <w:r w:rsidRPr="000665B0">
        <w:t xml:space="preserve">ptional) – </w:t>
      </w:r>
      <w:r w:rsidR="00B8219D" w:rsidRPr="000665B0">
        <w:t>The degree of the run-in azimuth.</w:t>
      </w:r>
    </w:p>
    <w:p w14:paraId="0D054E7E" w14:textId="4A9877B9" w:rsidR="00F9093C" w:rsidRPr="000665B0" w:rsidRDefault="00F9093C" w:rsidP="006D5A65">
      <w:pPr>
        <w:pStyle w:val="Heading2"/>
      </w:pPr>
      <w:r w:rsidRPr="000665B0">
        <w:t>Dive Angle (</w:t>
      </w:r>
      <w:r w:rsidR="00B8219D" w:rsidRPr="000665B0">
        <w:t>r</w:t>
      </w:r>
      <w:r w:rsidRPr="000665B0">
        <w:t xml:space="preserve">equired) – </w:t>
      </w:r>
      <w:r w:rsidR="00B8219D" w:rsidRPr="000665B0">
        <w:t>The desired impact angle (in degrees). Defaults to the value entered</w:t>
      </w:r>
      <w:r w:rsidRPr="000665B0">
        <w:t xml:space="preserve"> in Target Attack Requirements </w:t>
      </w:r>
      <w:r w:rsidR="00B8219D" w:rsidRPr="000665B0">
        <w:t>pane</w:t>
      </w:r>
      <w:r w:rsidRPr="000665B0">
        <w:t xml:space="preserve">. </w:t>
      </w:r>
    </w:p>
    <w:p w14:paraId="1FA0DED0" w14:textId="28EADA7A" w:rsidR="00F9093C" w:rsidRPr="000665B0" w:rsidRDefault="00F9093C" w:rsidP="006D5A65">
      <w:pPr>
        <w:pStyle w:val="Heading2"/>
      </w:pPr>
      <w:r w:rsidRPr="000665B0">
        <w:t>Fuze Setting (</w:t>
      </w:r>
      <w:r w:rsidR="00B8219D" w:rsidRPr="000665B0">
        <w:t>r</w:t>
      </w:r>
      <w:r w:rsidRPr="000665B0">
        <w:t xml:space="preserve">equired) – </w:t>
      </w:r>
      <w:r w:rsidR="00B8219D" w:rsidRPr="000665B0">
        <w:t>The d</w:t>
      </w:r>
      <w:r w:rsidRPr="000665B0">
        <w:t>esired fuze delay.</w:t>
      </w:r>
    </w:p>
    <w:p w14:paraId="79909D63" w14:textId="2451E9B7" w:rsidR="00F9093C" w:rsidRPr="000665B0" w:rsidRDefault="00F9093C" w:rsidP="006D5A65">
      <w:pPr>
        <w:pStyle w:val="Heading2"/>
      </w:pPr>
      <w:r w:rsidRPr="000665B0">
        <w:t xml:space="preserve">Target Type – </w:t>
      </w:r>
      <w:r w:rsidR="00B8219D" w:rsidRPr="000665B0">
        <w:t>The type of target</w:t>
      </w:r>
      <w:r w:rsidRPr="000665B0">
        <w:t>.</w:t>
      </w:r>
    </w:p>
    <w:p w14:paraId="3BF2D846" w14:textId="32344C5C" w:rsidR="00F9093C" w:rsidRPr="000665B0" w:rsidRDefault="00F9093C" w:rsidP="006D5A65">
      <w:pPr>
        <w:pStyle w:val="Heading2"/>
      </w:pPr>
      <w:r w:rsidRPr="000665B0">
        <w:t xml:space="preserve">Target Info. Usage – Indicates whether target information is included or not. See </w:t>
      </w:r>
      <w:hyperlink w:anchor="_5.35.1.1.1__Target_1" w:history="1">
        <w:r w:rsidRPr="000665B0">
          <w:rPr>
            <w:rStyle w:val="Hyperlink"/>
          </w:rPr>
          <w:t xml:space="preserve">Section </w:t>
        </w:r>
        <w:r w:rsidR="004231CC">
          <w:rPr>
            <w:rStyle w:val="Hyperlink"/>
          </w:rPr>
          <w:t>5.31</w:t>
        </w:r>
        <w:r w:rsidRPr="000665B0">
          <w:rPr>
            <w:rStyle w:val="Hyperlink"/>
          </w:rPr>
          <w:t>.1.1.1</w:t>
        </w:r>
      </w:hyperlink>
    </w:p>
    <w:p w14:paraId="6E5FD243" w14:textId="53DAAAD7" w:rsidR="00F9093C" w:rsidRPr="000665B0" w:rsidRDefault="00F9093C" w:rsidP="006D5A65">
      <w:pPr>
        <w:pStyle w:val="Heading2"/>
      </w:pPr>
      <w:bookmarkStart w:id="5856" w:name="_Hlk48210857"/>
      <w:r w:rsidRPr="000665B0">
        <w:t>Facility Name (</w:t>
      </w:r>
      <w:r w:rsidR="00B8219D" w:rsidRPr="000665B0">
        <w:t>o</w:t>
      </w:r>
      <w:r w:rsidRPr="000665B0">
        <w:t>ptional) – Official name of the facility or populated area.</w:t>
      </w:r>
    </w:p>
    <w:p w14:paraId="6D125690" w14:textId="467BA5C5" w:rsidR="00F9093C" w:rsidRPr="000665B0" w:rsidRDefault="00F9093C" w:rsidP="006D5A65">
      <w:pPr>
        <w:pStyle w:val="Heading2"/>
      </w:pPr>
      <w:r w:rsidRPr="000665B0">
        <w:t>Installation Name (</w:t>
      </w:r>
      <w:r w:rsidR="00B8219D" w:rsidRPr="000665B0">
        <w:t>o</w:t>
      </w:r>
      <w:r w:rsidRPr="000665B0">
        <w:t>ptional) – The standard MIDB name used for the installations containing the Target Segment.</w:t>
      </w:r>
    </w:p>
    <w:p w14:paraId="738FC6D3" w14:textId="5A885763" w:rsidR="00F9093C" w:rsidRPr="000665B0" w:rsidRDefault="00F9093C" w:rsidP="006D5A65">
      <w:pPr>
        <w:pStyle w:val="Heading2"/>
      </w:pPr>
      <w:r w:rsidRPr="000665B0">
        <w:t>Latitude (</w:t>
      </w:r>
      <w:r w:rsidR="00B8219D" w:rsidRPr="000665B0">
        <w:t>r</w:t>
      </w:r>
      <w:r w:rsidRPr="000665B0">
        <w:t xml:space="preserve">equired) – </w:t>
      </w:r>
      <w:r w:rsidR="00B8219D" w:rsidRPr="000665B0">
        <w:t>The target latitude</w:t>
      </w:r>
      <w:r w:rsidRPr="000665B0">
        <w:t>.</w:t>
      </w:r>
    </w:p>
    <w:p w14:paraId="6DCB77DF" w14:textId="6201AF1A" w:rsidR="00F9093C" w:rsidRPr="000665B0" w:rsidRDefault="00F9093C" w:rsidP="006D5A65">
      <w:pPr>
        <w:pStyle w:val="Heading2"/>
      </w:pPr>
      <w:r w:rsidRPr="000665B0">
        <w:t>Longitude (</w:t>
      </w:r>
      <w:r w:rsidR="00B8219D" w:rsidRPr="000665B0">
        <w:t>required</w:t>
      </w:r>
      <w:r w:rsidRPr="000665B0">
        <w:t xml:space="preserve">) – </w:t>
      </w:r>
      <w:r w:rsidR="00B8219D" w:rsidRPr="000665B0">
        <w:t>The target longitude</w:t>
      </w:r>
      <w:r w:rsidRPr="000665B0">
        <w:t>.</w:t>
      </w:r>
    </w:p>
    <w:p w14:paraId="31C2A385" w14:textId="3CC848B8" w:rsidR="00F9093C" w:rsidRPr="000665B0" w:rsidRDefault="00F9093C" w:rsidP="006D5A65">
      <w:pPr>
        <w:pStyle w:val="Heading2"/>
      </w:pPr>
      <w:r w:rsidRPr="000665B0">
        <w:t>Elevation/Elevation Datum (</w:t>
      </w:r>
      <w:r w:rsidR="00B8219D" w:rsidRPr="000665B0">
        <w:t>r</w:t>
      </w:r>
      <w:r w:rsidRPr="000665B0">
        <w:t>equired) – Elevation and elevation datum of the target.</w:t>
      </w:r>
    </w:p>
    <w:p w14:paraId="1307E263" w14:textId="77777777" w:rsidR="00F9093C" w:rsidRPr="000665B0" w:rsidRDefault="00F9093C" w:rsidP="006D5A65">
      <w:pPr>
        <w:pStyle w:val="Heading2"/>
      </w:pPr>
      <w:r w:rsidRPr="000665B0">
        <w:t>Target Identifiers</w:t>
      </w:r>
    </w:p>
    <w:p w14:paraId="3084A4DE" w14:textId="34580456" w:rsidR="00F9093C" w:rsidRPr="000665B0" w:rsidRDefault="00F9093C" w:rsidP="006D5A65">
      <w:pPr>
        <w:pStyle w:val="Heading1"/>
      </w:pPr>
      <w:bookmarkStart w:id="5857" w:name="_Hlk48210722"/>
      <w:r w:rsidRPr="000665B0">
        <w:t>BE (</w:t>
      </w:r>
      <w:r w:rsidR="00B8219D" w:rsidRPr="000665B0">
        <w:t>o</w:t>
      </w:r>
      <w:r w:rsidRPr="000665B0">
        <w:t xml:space="preserve">ptional) </w:t>
      </w:r>
      <w:r w:rsidR="00B8219D" w:rsidRPr="000665B0">
        <w:t>–</w:t>
      </w:r>
      <w:r w:rsidRPr="000665B0">
        <w:t xml:space="preserve"> Basic Encyclopedia; An identified installation of potential significance as objectives for attack.</w:t>
      </w:r>
    </w:p>
    <w:p w14:paraId="6BB59543" w14:textId="3B28D23B" w:rsidR="00F9093C" w:rsidRPr="000665B0" w:rsidRDefault="00F9093C" w:rsidP="006D5A65">
      <w:pPr>
        <w:pStyle w:val="Heading1"/>
      </w:pPr>
      <w:r w:rsidRPr="000665B0">
        <w:t>Aimpt ID (</w:t>
      </w:r>
      <w:r w:rsidR="00B8219D" w:rsidRPr="000665B0">
        <w:t>optional) –</w:t>
      </w:r>
      <w:r w:rsidRPr="000665B0">
        <w:t xml:space="preserve"> Two alphabetic characters which, in conjunction with the Installation BE number, are used to </w:t>
      </w:r>
      <w:r w:rsidRPr="000665B0">
        <w:lastRenderedPageBreak/>
        <w:t>uniquely identify the point desired for intended interaction of the warhead with a target element.</w:t>
      </w:r>
    </w:p>
    <w:p w14:paraId="302C2985" w14:textId="77777777" w:rsidR="00F9093C" w:rsidRPr="000665B0" w:rsidRDefault="00F9093C" w:rsidP="006D5A65">
      <w:pPr>
        <w:pStyle w:val="Heading1"/>
      </w:pPr>
      <w:r w:rsidRPr="000665B0">
        <w:t>JDPI (optional) – Joint Desired Point of Impact: A defined point of impact of the weapon.</w:t>
      </w:r>
    </w:p>
    <w:p w14:paraId="2941A8A9" w14:textId="671684A9" w:rsidR="00F9093C" w:rsidRPr="000665B0" w:rsidRDefault="00F9093C" w:rsidP="006D5A65">
      <w:pPr>
        <w:pStyle w:val="Heading1"/>
      </w:pPr>
      <w:r w:rsidRPr="000665B0">
        <w:t xml:space="preserve">TTN (optional) – Mechanism for a Joint Commander to call for fire. </w:t>
      </w:r>
    </w:p>
    <w:bookmarkEnd w:id="5857"/>
    <w:p w14:paraId="56F030F6" w14:textId="71A6272F" w:rsidR="00F9093C" w:rsidRPr="000665B0" w:rsidRDefault="00F9093C" w:rsidP="006D5A65">
      <w:pPr>
        <w:pStyle w:val="Heading2"/>
      </w:pPr>
      <w:r w:rsidRPr="000665B0">
        <w:t>CE (</w:t>
      </w:r>
      <w:r w:rsidR="00B8219D" w:rsidRPr="000665B0">
        <w:t>r</w:t>
      </w:r>
      <w:r w:rsidRPr="000665B0">
        <w:t>equired) – The circular (horizontal) error for a target. It is comprised of a numerical accuracy value, along with a unit of measure, and a confidence level percentage.</w:t>
      </w:r>
    </w:p>
    <w:bookmarkEnd w:id="5856"/>
    <w:p w14:paraId="579337D7" w14:textId="2815F102" w:rsidR="00F9093C" w:rsidRPr="000665B0" w:rsidRDefault="00F9093C" w:rsidP="006D5A65">
      <w:pPr>
        <w:pStyle w:val="Heading2"/>
      </w:pPr>
      <w:r w:rsidRPr="000665B0">
        <w:t>LE (</w:t>
      </w:r>
      <w:r w:rsidR="00B8219D" w:rsidRPr="000665B0">
        <w:t>r</w:t>
      </w:r>
      <w:r w:rsidRPr="000665B0">
        <w:t>equired) – The linear (vertical) error for a target. It is comprised of a numerical accuracy value, along with a unit of measure, and a confidence level percentage.</w:t>
      </w:r>
    </w:p>
    <w:p w14:paraId="3A0442E8" w14:textId="3F76EA97" w:rsidR="00B8219D" w:rsidRPr="000665B0" w:rsidRDefault="00B8219D" w:rsidP="006D5A65">
      <w:pPr>
        <w:pStyle w:val="Heading1"/>
      </w:pPr>
      <w:r w:rsidRPr="000665B0">
        <w:t>CE Units and LE Units – The unit of measure associated with the accuracy value (feet or meters).</w:t>
      </w:r>
    </w:p>
    <w:p w14:paraId="294A9829" w14:textId="2DBC1C49" w:rsidR="00B8219D" w:rsidRPr="000665B0" w:rsidRDefault="00B8219D" w:rsidP="006D5A65">
      <w:pPr>
        <w:pStyle w:val="Heading1"/>
      </w:pPr>
      <w:r w:rsidRPr="000665B0">
        <w:t>CE Conf and LE Conf – The level of confidence measured as a percentage that the aimpoint will be hit within the specified error accuracy specified.</w:t>
      </w:r>
    </w:p>
    <w:p w14:paraId="45D21137" w14:textId="7EB7C14C" w:rsidR="00F9093C" w:rsidRPr="000665B0" w:rsidRDefault="008F2DD5" w:rsidP="006D5A65">
      <w:pPr>
        <w:pStyle w:val="Heading1"/>
      </w:pPr>
      <w:r w:rsidRPr="000665B0">
        <w:t>Enter</w:t>
      </w:r>
      <w:r w:rsidR="00F9093C" w:rsidRPr="000665B0">
        <w:t xml:space="preserve"> or select the following information:</w:t>
      </w:r>
    </w:p>
    <w:p w14:paraId="26EB4A37" w14:textId="7489D135" w:rsidR="00F9093C" w:rsidRPr="000665B0" w:rsidRDefault="00F9093C" w:rsidP="006D5A65">
      <w:pPr>
        <w:pStyle w:val="Heading2"/>
      </w:pPr>
      <w:r w:rsidRPr="000665B0">
        <w:t>FPPWP (</w:t>
      </w:r>
      <w:r w:rsidR="00800751" w:rsidRPr="000665B0">
        <w:t>r</w:t>
      </w:r>
      <w:r w:rsidRPr="000665B0">
        <w:t xml:space="preserve">equired) </w:t>
      </w:r>
      <w:r w:rsidR="00677EAB" w:rsidRPr="000665B0">
        <w:t>–</w:t>
      </w:r>
      <w:r w:rsidRPr="000665B0">
        <w:t xml:space="preserve"> The starting point of the CMSA/TSMPC planned portion of a TLAM mission to which the firing unit’s engagement plan delivers the missile. The </w:t>
      </w:r>
      <w:r w:rsidR="000C627C" w:rsidRPr="000665B0">
        <w:t>pull-down</w:t>
      </w:r>
      <w:r w:rsidRPr="000665B0">
        <w:t xml:space="preserve"> options include the FPPWPs that are in the TED database.</w:t>
      </w:r>
    </w:p>
    <w:p w14:paraId="2B8AF4A7" w14:textId="22DCC21E" w:rsidR="00F9093C" w:rsidRPr="000665B0" w:rsidRDefault="00F9093C" w:rsidP="006D5A65">
      <w:pPr>
        <w:pStyle w:val="Heading2"/>
      </w:pPr>
      <w:r w:rsidRPr="000665B0">
        <w:t xml:space="preserve">Navigation Mode </w:t>
      </w:r>
      <w:r w:rsidR="00677EAB" w:rsidRPr="000665B0">
        <w:t>–</w:t>
      </w:r>
      <w:r w:rsidRPr="000665B0">
        <w:t xml:space="preserve"> The commanded navigation mode of the missile</w:t>
      </w:r>
      <w:r w:rsidR="00554BE4" w:rsidRPr="000665B0">
        <w:t xml:space="preserve"> (see </w:t>
      </w:r>
      <w:hyperlink w:anchor="_Target_Information_Usage" w:history="1">
        <w:r w:rsidR="00554BE4" w:rsidRPr="000665B0">
          <w:rPr>
            <w:rStyle w:val="Hyperlink"/>
            <w:rFonts w:cs="Calibri"/>
            <w:szCs w:val="24"/>
          </w:rPr>
          <w:t xml:space="preserve">Section </w:t>
        </w:r>
        <w:r w:rsidR="004231CC">
          <w:rPr>
            <w:rStyle w:val="Hyperlink"/>
            <w:rFonts w:cs="Calibri"/>
            <w:szCs w:val="24"/>
          </w:rPr>
          <w:t>5.31</w:t>
        </w:r>
        <w:r w:rsidR="00554BE4" w:rsidRPr="000665B0">
          <w:rPr>
            <w:rStyle w:val="Hyperlink"/>
            <w:rFonts w:cs="Calibri"/>
            <w:szCs w:val="24"/>
          </w:rPr>
          <w:t>.1.1.1</w:t>
        </w:r>
      </w:hyperlink>
      <w:r w:rsidR="00554BE4" w:rsidRPr="000665B0">
        <w:t>)</w:t>
      </w:r>
      <w:r w:rsidRPr="000665B0">
        <w:t>. For surface platforms, GPS Only is the default Navigation Mode and cannot be changed.</w:t>
      </w:r>
    </w:p>
    <w:p w14:paraId="0CD867E3" w14:textId="0C9EF940" w:rsidR="00F9093C" w:rsidRPr="000665B0" w:rsidRDefault="00F9093C" w:rsidP="006D5A65">
      <w:pPr>
        <w:pStyle w:val="Heading2"/>
      </w:pPr>
      <w:r w:rsidRPr="000665B0">
        <w:t>Miss</w:t>
      </w:r>
      <w:r w:rsidR="00677EAB" w:rsidRPr="000665B0">
        <w:t>i</w:t>
      </w:r>
      <w:r w:rsidRPr="000665B0">
        <w:t xml:space="preserve">le </w:t>
      </w:r>
      <w:r w:rsidR="00E53E4F" w:rsidRPr="000665B0">
        <w:t>– Defines the weapon/missile type</w:t>
      </w:r>
      <w:r w:rsidR="009C515B" w:rsidRPr="000665B0">
        <w:t xml:space="preserve"> (default is 109E)</w:t>
      </w:r>
      <w:r w:rsidR="00E53E4F" w:rsidRPr="000665B0">
        <w:t xml:space="preserve">. </w:t>
      </w:r>
      <w:r w:rsidR="00462197" w:rsidRPr="000665B0">
        <w:t>The AGR-4 Required checkbox is automatically selected and set to read-only</w:t>
      </w:r>
      <w:r w:rsidR="005D5231" w:rsidRPr="000665B0">
        <w:t xml:space="preserve"> if missile type</w:t>
      </w:r>
      <w:r w:rsidR="00815B0B">
        <w:t>s 109E ACP</w:t>
      </w:r>
      <w:r w:rsidR="00924AC4">
        <w:t xml:space="preserve">, </w:t>
      </w:r>
      <w:r w:rsidR="005D5231" w:rsidRPr="000665B0">
        <w:t>MSTM</w:t>
      </w:r>
      <w:r w:rsidR="00924AC4">
        <w:t>, 109M, and ACP2</w:t>
      </w:r>
      <w:r w:rsidR="005D5231" w:rsidRPr="000665B0">
        <w:t xml:space="preserve"> </w:t>
      </w:r>
      <w:r w:rsidR="00815B0B">
        <w:t>are</w:t>
      </w:r>
      <w:r w:rsidR="00815B0B" w:rsidRPr="000665B0">
        <w:t xml:space="preserve"> </w:t>
      </w:r>
      <w:r w:rsidR="005D5231" w:rsidRPr="000665B0">
        <w:t>selected.</w:t>
      </w:r>
      <w:r w:rsidR="005D5231" w:rsidRPr="000665B0">
        <w:rPr>
          <w:rStyle w:val="CommentReference"/>
        </w:rPr>
        <w:t xml:space="preserve"> </w:t>
      </w:r>
    </w:p>
    <w:p w14:paraId="6516324D" w14:textId="429BCAE6" w:rsidR="00F9093C" w:rsidRPr="000665B0" w:rsidRDefault="00F9093C" w:rsidP="006D5A65">
      <w:pPr>
        <w:pStyle w:val="Heading2"/>
      </w:pPr>
      <w:r w:rsidRPr="000665B0">
        <w:t xml:space="preserve">TOT </w:t>
      </w:r>
      <w:r w:rsidR="00677EAB" w:rsidRPr="000665B0">
        <w:t>Required (optional) – Id</w:t>
      </w:r>
      <w:r w:rsidRPr="000665B0">
        <w:t xml:space="preserve">entifies whether or not a mission is set with TOT control. </w:t>
      </w:r>
    </w:p>
    <w:p w14:paraId="3D0353A6" w14:textId="5D6E208B" w:rsidR="00677EAB" w:rsidRPr="000665B0" w:rsidRDefault="00677EAB" w:rsidP="006D5A65">
      <w:pPr>
        <w:pStyle w:val="Heading2"/>
      </w:pPr>
      <w:r w:rsidRPr="000665B0">
        <w:t>Expedited Route Gen (optional) – The route that can be generated the fastest, given the TMPR inputs.</w:t>
      </w:r>
    </w:p>
    <w:p w14:paraId="459EFEB0" w14:textId="49CCB96E" w:rsidR="00571B0A" w:rsidRPr="000665B0" w:rsidRDefault="00677EAB" w:rsidP="006D5A65">
      <w:pPr>
        <w:pStyle w:val="Heading2"/>
      </w:pPr>
      <w:r w:rsidRPr="000665B0">
        <w:rPr>
          <w:szCs w:val="24"/>
        </w:rPr>
        <w:t xml:space="preserve">AGR-4 Required (optional) </w:t>
      </w:r>
      <w:r w:rsidRPr="000665B0">
        <w:t xml:space="preserve">– Indicates whether one or more AGR-4 missions are required by the TMPR (available only </w:t>
      </w:r>
      <w:r w:rsidR="00D4771E" w:rsidRPr="000665B0">
        <w:t xml:space="preserve">if </w:t>
      </w:r>
      <w:r w:rsidRPr="000665B0">
        <w:t>missile type 109E</w:t>
      </w:r>
      <w:r w:rsidR="00601FE2">
        <w:t>/M</w:t>
      </w:r>
      <w:r w:rsidR="00D4771E" w:rsidRPr="000665B0">
        <w:t xml:space="preserve"> is </w:t>
      </w:r>
      <w:r w:rsidR="00E971E8" w:rsidRPr="000665B0">
        <w:t>selected or</w:t>
      </w:r>
      <w:r w:rsidR="0084582A" w:rsidRPr="000665B0">
        <w:t xml:space="preserve"> automatically selected and set to read-only </w:t>
      </w:r>
      <w:r w:rsidR="005D5231" w:rsidRPr="000665B0">
        <w:t>if missile type</w:t>
      </w:r>
      <w:r w:rsidR="00815B0B">
        <w:t>s 109E ACP</w:t>
      </w:r>
      <w:r w:rsidR="00601FE2">
        <w:t>,</w:t>
      </w:r>
      <w:r w:rsidR="005D5231" w:rsidRPr="000665B0">
        <w:t xml:space="preserve"> MSTM</w:t>
      </w:r>
      <w:r w:rsidR="00601FE2">
        <w:t>, 109M</w:t>
      </w:r>
      <w:r w:rsidR="00924AC4">
        <w:t>, or ACP2</w:t>
      </w:r>
      <w:r w:rsidR="005D5231" w:rsidRPr="000665B0">
        <w:t xml:space="preserve"> </w:t>
      </w:r>
      <w:r w:rsidR="00815B0B">
        <w:t>are</w:t>
      </w:r>
      <w:r w:rsidR="00815B0B" w:rsidRPr="000665B0">
        <w:t xml:space="preserve"> </w:t>
      </w:r>
      <w:r w:rsidR="005D5231" w:rsidRPr="000665B0">
        <w:t>selected</w:t>
      </w:r>
      <w:r w:rsidR="00D4771E" w:rsidRPr="000665B0">
        <w:t>).</w:t>
      </w:r>
    </w:p>
    <w:p w14:paraId="26C595DE" w14:textId="361E5B3D" w:rsidR="00571B0A" w:rsidRDefault="00571B0A" w:rsidP="006D5A65">
      <w:pPr>
        <w:pStyle w:val="Heading2"/>
      </w:pPr>
      <w:r w:rsidRPr="000665B0">
        <w:lastRenderedPageBreak/>
        <w:t xml:space="preserve">Select TEFs – Specifies the TEF TMPC Version(s). The current TMPC version is selected by default and cannot be edited. </w:t>
      </w:r>
    </w:p>
    <w:p w14:paraId="739EBEC1" w14:textId="77777777" w:rsidR="002B203A" w:rsidRDefault="002B203A" w:rsidP="006D5A65">
      <w:pPr>
        <w:pStyle w:val="Heading1"/>
      </w:pPr>
      <w:r w:rsidRPr="004B1275">
        <w:t>MDS TMPR form has been updated with a new releasability drop-down menu with a list of countries.</w:t>
      </w:r>
    </w:p>
    <w:p w14:paraId="0CFBE74C" w14:textId="0FEF8A71" w:rsidR="002B203A" w:rsidRPr="000665B0" w:rsidRDefault="002B203A" w:rsidP="004B1275">
      <w:pPr>
        <w:pStyle w:val="Number0205"/>
        <w:ind w:left="720" w:firstLine="0"/>
      </w:pPr>
      <w:r w:rsidRPr="004B1275">
        <w:rPr>
          <w:rFonts w:eastAsia="Times New Roman"/>
          <w:color w:val="000000"/>
          <w:szCs w:val="24"/>
        </w:rPr>
        <w:t>User needs to look at the classified Appendix from Reference classified doc 3900/183 and select available associated countries.</w:t>
      </w:r>
    </w:p>
    <w:p w14:paraId="7362CB32" w14:textId="23C73339" w:rsidR="00877D11" w:rsidRDefault="00601FE2" w:rsidP="009570CA">
      <w:pPr>
        <w:pStyle w:val="Number0205"/>
        <w:ind w:left="0" w:firstLine="0"/>
        <w:jc w:val="center"/>
        <w:rPr>
          <w:noProof/>
        </w:rPr>
      </w:pPr>
      <w:r w:rsidRPr="00601FE2">
        <w:rPr>
          <w:noProof/>
        </w:rPr>
        <w:drawing>
          <wp:inline distT="0" distB="0" distL="0" distR="0" wp14:anchorId="556B307D" wp14:editId="0C301703">
            <wp:extent cx="2636520" cy="505546"/>
            <wp:effectExtent l="0" t="0" r="0" b="8890"/>
            <wp:docPr id="1509817535"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67874" name="Picture 1" descr="Text&#10;&#10;AI-generated content may be incorrect."/>
                    <pic:cNvPicPr/>
                  </pic:nvPicPr>
                  <pic:blipFill>
                    <a:blip/>
                    <a:stretch>
                      <a:fillRect/>
                    </a:stretch>
                  </pic:blipFill>
                  <pic:spPr>
                    <a:xfrm>
                      <a:off x="0" y="0"/>
                      <a:ext cx="2675609" cy="513041"/>
                    </a:xfrm>
                    <a:prstGeom prst="rect">
                      <a:avLst/>
                    </a:prstGeom>
                  </pic:spPr>
                </pic:pic>
              </a:graphicData>
            </a:graphic>
          </wp:inline>
        </w:drawing>
      </w:r>
    </w:p>
    <w:p w14:paraId="2503BC15" w14:textId="77777777" w:rsidR="00601FE2" w:rsidRPr="004D1C45" w:rsidRDefault="00601FE2" w:rsidP="00601FE2">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szCs w:val="24"/>
        </w:rPr>
      </w:pPr>
      <w:r w:rsidRPr="00BC3B71">
        <w:rPr>
          <w:b/>
          <w:szCs w:val="24"/>
        </w:rPr>
        <w:t>Note:</w:t>
      </w:r>
    </w:p>
    <w:p w14:paraId="30182B73" w14:textId="1096F33D" w:rsidR="00601FE2" w:rsidRPr="00601FE2" w:rsidRDefault="00601FE2" w:rsidP="00A0163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4D1C45">
        <w:rPr>
          <w:b/>
        </w:rPr>
        <w:t xml:space="preserve">When the missile type is 109M all TEF versions </w:t>
      </w:r>
      <w:r>
        <w:rPr>
          <w:b/>
        </w:rPr>
        <w:t>prior to</w:t>
      </w:r>
      <w:r w:rsidRPr="004D1C45">
        <w:rPr>
          <w:b/>
        </w:rPr>
        <w:t xml:space="preserve"> 8.0.0 will be unchecked and read only.</w:t>
      </w:r>
    </w:p>
    <w:p w14:paraId="58B3AC38" w14:textId="2C756E60" w:rsidR="00677EAB" w:rsidRPr="000665B0" w:rsidRDefault="00677EAB" w:rsidP="006D5A65">
      <w:pPr>
        <w:pStyle w:val="Heading2"/>
      </w:pPr>
      <w:r w:rsidRPr="000665B0">
        <w:t>Ignore Threats (optional) – Indicates whether or not threats (AAA, SAM, Radars, and Airbases) will be avoided during mission creation.</w:t>
      </w:r>
      <w:r w:rsidR="005B5C73" w:rsidRPr="000665B0">
        <w:t xml:space="preserve"> If </w:t>
      </w:r>
      <w:r w:rsidR="005B5C73" w:rsidRPr="000665B0">
        <w:rPr>
          <w:i/>
        </w:rPr>
        <w:t>Expedited Route Generation</w:t>
      </w:r>
      <w:r w:rsidR="005B5C73" w:rsidRPr="000665B0">
        <w:t xml:space="preserve"> is true, then this value will automatically be set to true and cannot be edited.</w:t>
      </w:r>
    </w:p>
    <w:p w14:paraId="1F948EB7" w14:textId="264174B3" w:rsidR="00F9093C" w:rsidRPr="000665B0" w:rsidRDefault="00F9093C" w:rsidP="006D5A65">
      <w:pPr>
        <w:pStyle w:val="Heading2"/>
      </w:pPr>
      <w:r w:rsidRPr="000665B0">
        <w:t>Analysis Day Type (</w:t>
      </w:r>
      <w:r w:rsidR="00800751" w:rsidRPr="000665B0">
        <w:t>r</w:t>
      </w:r>
      <w:r w:rsidRPr="000665B0">
        <w:t xml:space="preserve">equired) </w:t>
      </w:r>
      <w:r w:rsidR="00677EAB" w:rsidRPr="000665B0">
        <w:t>–</w:t>
      </w:r>
      <w:r w:rsidRPr="000665B0">
        <w:t xml:space="preserve"> Specifies the day type analyzed for a mission.</w:t>
      </w:r>
    </w:p>
    <w:p w14:paraId="2133B4AF" w14:textId="01B888CC" w:rsidR="00F9093C" w:rsidRPr="000665B0" w:rsidRDefault="00F9093C" w:rsidP="006D5A65">
      <w:pPr>
        <w:pStyle w:val="Heading2"/>
      </w:pPr>
      <w:r w:rsidRPr="000665B0">
        <w:t>Inert. Alt. Command (MSL) (</w:t>
      </w:r>
      <w:r w:rsidR="00800751" w:rsidRPr="000665B0">
        <w:t>o</w:t>
      </w:r>
      <w:r w:rsidRPr="000665B0">
        <w:t xml:space="preserve">ptional) </w:t>
      </w:r>
      <w:r w:rsidR="00677EAB" w:rsidRPr="000665B0">
        <w:t>–</w:t>
      </w:r>
      <w:r w:rsidRPr="000665B0">
        <w:t xml:space="preserve"> The Mean Sea Level (MSL) altitude at which a missile flying in inertial mode is commanded to fly, unless the MSL value is below the AGL Inertial Altitude Pad relative to the surrounding terrain. If the inertial command is not specified, the Inertial Altitude Pad is used to create the inertial command profile for the mission based on the offset (Pad) above the terrain throughout the mission.</w:t>
      </w:r>
    </w:p>
    <w:p w14:paraId="4A332172" w14:textId="12B40F96" w:rsidR="00F9093C" w:rsidRPr="000665B0" w:rsidRDefault="00F9093C" w:rsidP="006D5A65">
      <w:pPr>
        <w:pStyle w:val="Heading2"/>
      </w:pPr>
      <w:r w:rsidRPr="000665B0">
        <w:t>Mission Class (</w:t>
      </w:r>
      <w:r w:rsidR="00800751" w:rsidRPr="000665B0">
        <w:t>o</w:t>
      </w:r>
      <w:r w:rsidRPr="000665B0">
        <w:t xml:space="preserve">ptional) </w:t>
      </w:r>
      <w:r w:rsidR="00677EAB" w:rsidRPr="000665B0">
        <w:t>–</w:t>
      </w:r>
      <w:r w:rsidRPr="000665B0">
        <w:t xml:space="preserve"> Provides the capability to modify missile mass property configuration (TAC, TST, RSS [RSS available only in conjunction with missile type 109E]).</w:t>
      </w:r>
    </w:p>
    <w:p w14:paraId="2696E36A" w14:textId="696BD2CF" w:rsidR="00F9093C" w:rsidRPr="000665B0" w:rsidRDefault="00F9093C" w:rsidP="006D5A65">
      <w:pPr>
        <w:pStyle w:val="Heading2"/>
      </w:pPr>
      <w:r w:rsidRPr="000665B0">
        <w:t>Inert. Alt. Pad (AGL) (</w:t>
      </w:r>
      <w:r w:rsidR="00800751" w:rsidRPr="000665B0">
        <w:t>o</w:t>
      </w:r>
      <w:r w:rsidRPr="000665B0">
        <w:t xml:space="preserve">ptional) </w:t>
      </w:r>
      <w:r w:rsidR="00677EAB" w:rsidRPr="000665B0">
        <w:t xml:space="preserve">– </w:t>
      </w:r>
      <w:r w:rsidRPr="000665B0">
        <w:t>The backup altitude Above Ground Level (AGL) that is used to maintain a minimum offset above the surrounding terrain.</w:t>
      </w:r>
    </w:p>
    <w:p w14:paraId="3907EEC7" w14:textId="19964B0C" w:rsidR="005E48D8" w:rsidRPr="000665B0" w:rsidRDefault="00F9093C" w:rsidP="009570CA">
      <w:pPr>
        <w:rPr>
          <w:b/>
          <w:i/>
        </w:rPr>
      </w:pPr>
      <w:r w:rsidRPr="000665B0">
        <w:t>The</w:t>
      </w:r>
      <w:r w:rsidR="005E48D8" w:rsidRPr="000665B0">
        <w:t xml:space="preserve"> </w:t>
      </w:r>
      <w:r w:rsidR="00F3440B" w:rsidRPr="000665B0">
        <w:t>pane</w:t>
      </w:r>
      <w:r w:rsidR="005E48D8" w:rsidRPr="000665B0">
        <w:t xml:space="preserve"> </w:t>
      </w:r>
      <w:r w:rsidRPr="000665B0">
        <w:t xml:space="preserve">at the bottom of the </w:t>
      </w:r>
      <w:r w:rsidRPr="000665B0">
        <w:rPr>
          <w:b/>
          <w:i/>
        </w:rPr>
        <w:t>Tasking</w:t>
      </w:r>
      <w:r w:rsidRPr="000665B0">
        <w:t xml:space="preserve"> tab</w:t>
      </w:r>
      <w:r w:rsidR="005E48D8" w:rsidRPr="000665B0">
        <w:t xml:space="preserve"> displays</w:t>
      </w:r>
      <w:r w:rsidR="00F3440B" w:rsidRPr="000665B0">
        <w:t xml:space="preserve"> the</w:t>
      </w:r>
      <w:r w:rsidR="00F3440B" w:rsidRPr="000665B0">
        <w:rPr>
          <w:b/>
          <w:i/>
        </w:rPr>
        <w:t xml:space="preserve"> ACMS List View </w:t>
      </w:r>
      <w:r w:rsidR="00F3440B" w:rsidRPr="000665B0">
        <w:t>which are</w:t>
      </w:r>
      <w:r w:rsidR="005E48D8" w:rsidRPr="000665B0">
        <w:t xml:space="preserve"> the area constraints and selected ACMSs for the TMPR.</w:t>
      </w:r>
      <w:r w:rsidR="00F3440B" w:rsidRPr="000665B0">
        <w:t xml:space="preserve"> The </w:t>
      </w:r>
      <w:r w:rsidR="00F3440B" w:rsidRPr="000665B0">
        <w:rPr>
          <w:b/>
          <w:i/>
        </w:rPr>
        <w:t xml:space="preserve">ACMS List View functions the same way as the ACMS List View </w:t>
      </w:r>
      <w:r w:rsidR="00F3440B" w:rsidRPr="000665B0">
        <w:t xml:space="preserve">of the </w:t>
      </w:r>
      <w:r w:rsidR="00F3440B" w:rsidRPr="000665B0">
        <w:rPr>
          <w:b/>
          <w:i/>
        </w:rPr>
        <w:t xml:space="preserve">ACMSs/Area </w:t>
      </w:r>
      <w:r w:rsidR="007845D2" w:rsidRPr="000665B0">
        <w:rPr>
          <w:b/>
          <w:i/>
        </w:rPr>
        <w:t>Constraints</w:t>
      </w:r>
      <w:r w:rsidR="00F3440B" w:rsidRPr="000665B0">
        <w:t xml:space="preserve"> tab of a regular TMPR with one exception: an ACMS of type Loiter may not be added to an Attack Plan TMPR</w:t>
      </w:r>
      <w:r w:rsidR="009C20FA" w:rsidRPr="000665B0">
        <w:t xml:space="preserve"> because the purpose of an Attack Plan is to route missiles directly to the target. </w:t>
      </w:r>
      <w:r w:rsidR="007845D2" w:rsidRPr="000665B0">
        <w:t>Similarly</w:t>
      </w:r>
      <w:r w:rsidR="009C20FA" w:rsidRPr="000665B0">
        <w:t xml:space="preserve">, an Attack Plan </w:t>
      </w:r>
      <w:r w:rsidR="009C20FA" w:rsidRPr="000665B0">
        <w:lastRenderedPageBreak/>
        <w:t xml:space="preserve">cannot be retargeted. </w:t>
      </w:r>
      <w:r w:rsidR="00F3440B" w:rsidRPr="000665B0">
        <w:t xml:space="preserve">For more information, see </w:t>
      </w:r>
      <w:hyperlink w:anchor="_Create_TMPR_Advanced" w:history="1">
        <w:r w:rsidR="00F3440B" w:rsidRPr="000665B0">
          <w:rPr>
            <w:rStyle w:val="Hyperlink"/>
          </w:rPr>
          <w:t xml:space="preserve">Section </w:t>
        </w:r>
        <w:r w:rsidR="004231CC">
          <w:rPr>
            <w:rStyle w:val="Hyperlink"/>
          </w:rPr>
          <w:t>5.31</w:t>
        </w:r>
        <w:r w:rsidR="00F3440B" w:rsidRPr="000665B0">
          <w:rPr>
            <w:rStyle w:val="Hyperlink"/>
          </w:rPr>
          <w:t>.1.2</w:t>
        </w:r>
      </w:hyperlink>
      <w:r w:rsidR="00F3440B" w:rsidRPr="000665B0">
        <w:t xml:space="preserve"> at “ACMSs/Area </w:t>
      </w:r>
      <w:r w:rsidR="007845D2" w:rsidRPr="000665B0">
        <w:t>Constraints</w:t>
      </w:r>
      <w:r w:rsidR="00F3440B" w:rsidRPr="000665B0">
        <w:t xml:space="preserve"> tab.”</w:t>
      </w:r>
    </w:p>
    <w:p w14:paraId="2B84F79D" w14:textId="7DA5DEE6" w:rsidR="00F9093C" w:rsidRPr="000665B0" w:rsidRDefault="00F9093C" w:rsidP="00442152">
      <w:pPr>
        <w:pStyle w:val="Heading4"/>
        <w:pageBreakBefore/>
      </w:pPr>
      <w:bookmarkStart w:id="5858" w:name="_Attack_Plan_Processing"/>
      <w:bookmarkEnd w:id="5855"/>
      <w:bookmarkEnd w:id="5858"/>
      <w:r w:rsidRPr="000665B0">
        <w:lastRenderedPageBreak/>
        <w:t>Attack Plan Processing Tab</w:t>
      </w:r>
    </w:p>
    <w:p w14:paraId="3765271A" w14:textId="73DF2A17" w:rsidR="00085A3C" w:rsidRPr="000665B0" w:rsidRDefault="00085A3C" w:rsidP="009570CA">
      <w:r w:rsidRPr="000665B0">
        <w:t xml:space="preserve">The </w:t>
      </w:r>
      <w:r w:rsidRPr="000665B0">
        <w:rPr>
          <w:b/>
          <w:i/>
        </w:rPr>
        <w:t>Processing</w:t>
      </w:r>
      <w:r w:rsidRPr="000665B0">
        <w:t xml:space="preserve"> tab contains the processing information and status of the Attack Plan TMPR after it’s been submitted and TPS is auto-generating missions. </w:t>
      </w:r>
    </w:p>
    <w:p w14:paraId="7C042968" w14:textId="464A320D" w:rsidR="00F9093C" w:rsidRPr="000665B0" w:rsidRDefault="009747DA" w:rsidP="009570CA">
      <w:pPr>
        <w:jc w:val="center"/>
      </w:pPr>
      <w:r w:rsidRPr="000665B0">
        <w:rPr>
          <w:noProof/>
        </w:rPr>
        <w:drawing>
          <wp:inline distT="0" distB="0" distL="0" distR="0" wp14:anchorId="5A4805EF" wp14:editId="71E434AA">
            <wp:extent cx="2857500" cy="3445565"/>
            <wp:effectExtent l="0" t="0" r="0" b="0"/>
            <wp:docPr id="1987" name="Picture 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858782" cy="3447111"/>
                    </a:xfrm>
                    <a:prstGeom prst="rect">
                      <a:avLst/>
                    </a:prstGeom>
                  </pic:spPr>
                </pic:pic>
              </a:graphicData>
            </a:graphic>
          </wp:inline>
        </w:drawing>
      </w:r>
    </w:p>
    <w:p w14:paraId="77FF2E61" w14:textId="77777777" w:rsidR="00085A3C" w:rsidRPr="000665B0" w:rsidRDefault="00085A3C" w:rsidP="006D5A65">
      <w:pPr>
        <w:pStyle w:val="Heading1"/>
      </w:pPr>
      <w:r w:rsidRPr="000665B0">
        <w:lastRenderedPageBreak/>
        <w:t>The following information is displayed and cannot be edited:</w:t>
      </w:r>
    </w:p>
    <w:p w14:paraId="13A3428E" w14:textId="77777777" w:rsidR="00085A3C" w:rsidRPr="000665B0" w:rsidRDefault="00085A3C" w:rsidP="006D5A65">
      <w:pPr>
        <w:pStyle w:val="Heading1"/>
      </w:pPr>
      <w:r w:rsidRPr="000665B0">
        <w:t>TMPR Type – The type of the particular TMPR entry.</w:t>
      </w:r>
    </w:p>
    <w:p w14:paraId="793CEE77" w14:textId="77777777" w:rsidR="00085A3C" w:rsidRPr="000665B0" w:rsidRDefault="00085A3C" w:rsidP="006D5A65">
      <w:pPr>
        <w:pStyle w:val="Heading1"/>
      </w:pPr>
      <w:r w:rsidRPr="000665B0">
        <w:t>TMPR State – The current state of the request.</w:t>
      </w:r>
    </w:p>
    <w:p w14:paraId="3EE2CF07" w14:textId="3A80063C" w:rsidR="009747DA" w:rsidRPr="000665B0" w:rsidRDefault="009747DA" w:rsidP="006D5A65">
      <w:pPr>
        <w:pStyle w:val="Heading1"/>
      </w:pPr>
      <w:r w:rsidRPr="000665B0">
        <w:t xml:space="preserve">Attack Plan ID – Attack Plan ID </w:t>
      </w:r>
      <w:r w:rsidR="00284960" w:rsidRPr="000665B0">
        <w:t xml:space="preserve">provided </w:t>
      </w:r>
      <w:r w:rsidRPr="000665B0">
        <w:t xml:space="preserve">by </w:t>
      </w:r>
      <w:r w:rsidR="005B5C73" w:rsidRPr="000665B0">
        <w:t>user</w:t>
      </w:r>
      <w:r w:rsidRPr="000665B0">
        <w:t>.</w:t>
      </w:r>
    </w:p>
    <w:p w14:paraId="319543DE" w14:textId="6979D84D" w:rsidR="00085A3C" w:rsidRPr="000665B0" w:rsidRDefault="00085A3C" w:rsidP="006D5A65">
      <w:pPr>
        <w:pStyle w:val="Heading1"/>
      </w:pPr>
      <w:r w:rsidRPr="000665B0">
        <w:t>Creation DTG – The date when the TMPR was created</w:t>
      </w:r>
      <w:r w:rsidR="009747DA" w:rsidRPr="000665B0">
        <w:t>.</w:t>
      </w:r>
    </w:p>
    <w:p w14:paraId="46596035" w14:textId="38B0D3C1" w:rsidR="00085A3C" w:rsidRPr="000665B0" w:rsidRDefault="009747DA" w:rsidP="006D5A65">
      <w:pPr>
        <w:pStyle w:val="Heading1"/>
      </w:pPr>
      <w:r w:rsidRPr="000665B0">
        <w:t>Running Time</w:t>
      </w:r>
      <w:r w:rsidR="00085A3C" w:rsidRPr="000665B0">
        <w:t xml:space="preserve"> – </w:t>
      </w:r>
      <w:r w:rsidRPr="000665B0">
        <w:t>Time elapsed since the Creation DTG</w:t>
      </w:r>
      <w:r w:rsidR="00085A3C" w:rsidRPr="000665B0">
        <w:t>.</w:t>
      </w:r>
    </w:p>
    <w:p w14:paraId="171B0CD4" w14:textId="6D16C331" w:rsidR="009747DA" w:rsidRPr="000665B0" w:rsidRDefault="009747DA" w:rsidP="006D5A65">
      <w:pPr>
        <w:pStyle w:val="Heading1"/>
      </w:pPr>
      <w:r w:rsidRPr="000665B0">
        <w:t>Progress – Progress of overall status of the TMPR.</w:t>
      </w:r>
    </w:p>
    <w:p w14:paraId="1D4B20D8" w14:textId="6EF71002" w:rsidR="009747DA" w:rsidRPr="000665B0" w:rsidRDefault="009747DA" w:rsidP="006D5A65">
      <w:pPr>
        <w:pStyle w:val="Heading1"/>
      </w:pPr>
      <w:r w:rsidRPr="000665B0">
        <w:t xml:space="preserve">TMPR Status – Indicates the </w:t>
      </w:r>
      <w:r w:rsidR="00543346" w:rsidRPr="000665B0">
        <w:t xml:space="preserve">Attack Plan’s </w:t>
      </w:r>
      <w:r w:rsidRPr="000665B0">
        <w:t>planned/total number of missions, each mission’s planning state, and date the mission was received.</w:t>
      </w:r>
    </w:p>
    <w:p w14:paraId="74616D28" w14:textId="74CC37E3" w:rsidR="009747DA" w:rsidRPr="000665B0" w:rsidRDefault="009747DA" w:rsidP="006D5A65">
      <w:pPr>
        <w:pStyle w:val="Heading1"/>
      </w:pPr>
      <w:r w:rsidRPr="000665B0">
        <w:t xml:space="preserve">Description – </w:t>
      </w:r>
      <w:r w:rsidR="00543346" w:rsidRPr="000665B0">
        <w:t xml:space="preserve">When a mission is selected in the TMPR Status pane, displays details of the mission’s creation. </w:t>
      </w:r>
    </w:p>
    <w:p w14:paraId="7C317AC1" w14:textId="10B2025D" w:rsidR="00543346" w:rsidRPr="000665B0" w:rsidRDefault="00543346" w:rsidP="006D5A65">
      <w:pPr>
        <w:pStyle w:val="Heading1"/>
      </w:pPr>
      <w:r w:rsidRPr="000665B0">
        <w:t># Missions Needed – Total number of missions requested in the Attack Plan TMPR.</w:t>
      </w:r>
    </w:p>
    <w:p w14:paraId="0F0B71CA" w14:textId="355EA292" w:rsidR="00543346" w:rsidRPr="000665B0" w:rsidRDefault="00543346" w:rsidP="006D5A65">
      <w:pPr>
        <w:pStyle w:val="Heading1"/>
      </w:pPr>
      <w:r w:rsidRPr="000665B0">
        <w:t># Missions Completed – Number of missions completed in the Attack Plan TMPR. Completed missions are displayed in the lower mission list view.</w:t>
      </w:r>
    </w:p>
    <w:p w14:paraId="6ADD67C8" w14:textId="7BAD29C9" w:rsidR="00543346" w:rsidRPr="000665B0" w:rsidRDefault="00543346" w:rsidP="006D5A65">
      <w:pPr>
        <w:pStyle w:val="Heading1"/>
      </w:pPr>
      <w:r w:rsidRPr="000665B0">
        <w:t># Missions Failed – Number of missions that failed to be created in the Attack Plan TMPR.</w:t>
      </w:r>
    </w:p>
    <w:p w14:paraId="6D93A53A" w14:textId="6E2F9F08" w:rsidR="000D70ED" w:rsidRPr="000665B0" w:rsidRDefault="000D70ED" w:rsidP="009570CA">
      <w:pPr>
        <w:pStyle w:val="Heading3"/>
      </w:pPr>
      <w:bookmarkStart w:id="5859" w:name="_Creating_a_Retarget"/>
      <w:bookmarkStart w:id="5860" w:name="_Toc214283501"/>
      <w:bookmarkStart w:id="5861" w:name="_Hlk36803405"/>
      <w:bookmarkEnd w:id="5859"/>
      <w:r w:rsidRPr="000665B0">
        <w:t>Creating a Retarget TMPR</w:t>
      </w:r>
      <w:bookmarkEnd w:id="5849"/>
      <w:bookmarkEnd w:id="5850"/>
      <w:bookmarkEnd w:id="5851"/>
      <w:bookmarkEnd w:id="5852"/>
      <w:bookmarkEnd w:id="5853"/>
      <w:bookmarkEnd w:id="5860"/>
      <w:r w:rsidRPr="000665B0">
        <w:t xml:space="preserve"> </w:t>
      </w:r>
    </w:p>
    <w:p w14:paraId="2E3ACFE8" w14:textId="4D6A2AE3" w:rsidR="00543346" w:rsidRPr="000665B0" w:rsidRDefault="000D70ED" w:rsidP="009570CA">
      <w:bookmarkStart w:id="5862" w:name="_Toc100461730"/>
      <w:bookmarkStart w:id="5863" w:name="_Toc112733708"/>
      <w:r w:rsidRPr="000665B0">
        <w:t>MDS requests a planning site (TPS) to retarget an in-flight missile based on new operational information. The Retarget TMPR can only be created during Strike Execution because the missile information (position, fuel, branch ID, etc.) is needed. It only includes the information necessary to accommodate the quick reaction planning of a retarget and/or aimpoint update mission.</w:t>
      </w:r>
      <w:r w:rsidR="00543346" w:rsidRPr="000665B0">
        <w:t xml:space="preserve"> In-flight missiles flying Attack Plan missions cannot be retargeted.</w:t>
      </w:r>
    </w:p>
    <w:p w14:paraId="659CAAA7" w14:textId="77777777" w:rsidR="00040EA7" w:rsidRPr="000665B0" w:rsidRDefault="00040EA7"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464BB7DD" w14:textId="3F40FD85" w:rsidR="00040EA7" w:rsidRPr="000665B0" w:rsidRDefault="00040EA7"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szCs w:val="24"/>
        </w:rPr>
      </w:pPr>
      <w:r w:rsidRPr="000665B0">
        <w:rPr>
          <w:b/>
        </w:rPr>
        <w:t xml:space="preserve">Do not </w:t>
      </w:r>
      <w:r w:rsidRPr="000665B0">
        <w:rPr>
          <w:b/>
          <w:szCs w:val="24"/>
        </w:rPr>
        <w:t xml:space="preserve">submit a retarget/aimpoint update TMPR until after an H&amp;S message has been received </w:t>
      </w:r>
      <w:r w:rsidR="00F05AB4" w:rsidRPr="000665B0">
        <w:rPr>
          <w:b/>
          <w:szCs w:val="24"/>
        </w:rPr>
        <w:t>to indicate</w:t>
      </w:r>
      <w:r w:rsidRPr="000665B0">
        <w:rPr>
          <w:b/>
          <w:szCs w:val="24"/>
        </w:rPr>
        <w:t xml:space="preserve"> that the missile has passed the ITCP point.</w:t>
      </w:r>
    </w:p>
    <w:p w14:paraId="5E2BB3FA" w14:textId="16B97448" w:rsidR="00893390" w:rsidRPr="000665B0" w:rsidRDefault="00893390" w:rsidP="006D5A65">
      <w:pPr>
        <w:pStyle w:val="Heading1"/>
      </w:pPr>
      <w:r w:rsidRPr="000665B0">
        <w:lastRenderedPageBreak/>
        <w:t xml:space="preserve">To initiate creating a Retarget TMPR from the SMD, see </w:t>
      </w:r>
      <w:hyperlink w:anchor="_5.38.3.1.7.1.2_How_to" w:history="1">
        <w:r w:rsidR="00985815" w:rsidRPr="000665B0">
          <w:rPr>
            <w:rStyle w:val="Hyperlink"/>
            <w:szCs w:val="24"/>
          </w:rPr>
          <w:t xml:space="preserve">Section </w:t>
        </w:r>
        <w:r w:rsidR="004231CC">
          <w:rPr>
            <w:rStyle w:val="Hyperlink"/>
            <w:szCs w:val="24"/>
          </w:rPr>
          <w:t>5.35</w:t>
        </w:r>
        <w:r w:rsidR="00985815" w:rsidRPr="000665B0">
          <w:rPr>
            <w:rStyle w:val="Hyperlink"/>
            <w:szCs w:val="24"/>
          </w:rPr>
          <w:t>.3.1.8</w:t>
        </w:r>
        <w:r w:rsidRPr="000665B0">
          <w:rPr>
            <w:rStyle w:val="Hyperlink"/>
          </w:rPr>
          <w:t>.1.2</w:t>
        </w:r>
      </w:hyperlink>
      <w:r w:rsidRPr="000665B0">
        <w:t>.</w:t>
      </w:r>
    </w:p>
    <w:p w14:paraId="25713C76" w14:textId="2644DF2D" w:rsidR="00893390" w:rsidRPr="000665B0" w:rsidRDefault="00AC6873" w:rsidP="009570CA">
      <w:pPr>
        <w:pStyle w:val="Number0205"/>
        <w:ind w:left="0" w:firstLine="0"/>
        <w:jc w:val="center"/>
      </w:pPr>
      <w:r w:rsidRPr="000665B0">
        <w:rPr>
          <w:noProof/>
        </w:rPr>
        <w:drawing>
          <wp:inline distT="0" distB="0" distL="0" distR="0" wp14:anchorId="2E503C2C" wp14:editId="64A3605B">
            <wp:extent cx="3154680" cy="3273552"/>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273552"/>
                    </a:xfrm>
                    <a:prstGeom prst="rect">
                      <a:avLst/>
                    </a:prstGeom>
                  </pic:spPr>
                </pic:pic>
              </a:graphicData>
            </a:graphic>
          </wp:inline>
        </w:drawing>
      </w:r>
    </w:p>
    <w:p w14:paraId="742C88B3" w14:textId="1B2CD4FC" w:rsidR="000D70ED" w:rsidRPr="000665B0" w:rsidRDefault="000D70ED" w:rsidP="006D5A65">
      <w:pPr>
        <w:pStyle w:val="Heading1"/>
      </w:pPr>
      <w:r w:rsidRPr="000665B0">
        <w:t>Enter any information that is desired to make the retarget more specific.</w:t>
      </w:r>
      <w:r w:rsidR="000C3648" w:rsidRPr="000665B0">
        <w:t xml:space="preserve"> See </w:t>
      </w:r>
      <w:hyperlink w:anchor="_5.35.3.1__Retarget" w:history="1">
        <w:r w:rsidR="000C3648" w:rsidRPr="000665B0">
          <w:rPr>
            <w:rStyle w:val="Hyperlink"/>
          </w:rPr>
          <w:t xml:space="preserve">Section </w:t>
        </w:r>
        <w:r w:rsidR="004231CC">
          <w:rPr>
            <w:rStyle w:val="Hyperlink"/>
          </w:rPr>
          <w:t>5.31</w:t>
        </w:r>
        <w:r w:rsidR="000C3648" w:rsidRPr="000665B0">
          <w:rPr>
            <w:rStyle w:val="Hyperlink"/>
          </w:rPr>
          <w:t>.</w:t>
        </w:r>
        <w:r w:rsidR="00865446" w:rsidRPr="000665B0">
          <w:rPr>
            <w:rStyle w:val="Hyperlink"/>
          </w:rPr>
          <w:t>4</w:t>
        </w:r>
        <w:r w:rsidR="000C3648" w:rsidRPr="000665B0">
          <w:rPr>
            <w:rStyle w:val="Hyperlink"/>
          </w:rPr>
          <w:t>.1</w:t>
        </w:r>
      </w:hyperlink>
      <w:r w:rsidR="000C3648" w:rsidRPr="000665B0">
        <w:t xml:space="preserve"> for </w:t>
      </w:r>
      <w:r w:rsidR="000C3648" w:rsidRPr="000665B0">
        <w:rPr>
          <w:i/>
        </w:rPr>
        <w:t>General Information</w:t>
      </w:r>
      <w:r w:rsidR="000C3648" w:rsidRPr="000665B0">
        <w:t xml:space="preserve"> and</w:t>
      </w:r>
      <w:r w:rsidR="00650083" w:rsidRPr="000665B0">
        <w:t xml:space="preserve"> see</w:t>
      </w:r>
      <w:r w:rsidR="000C3648" w:rsidRPr="000665B0">
        <w:t xml:space="preserve"> </w:t>
      </w:r>
      <w:hyperlink w:anchor="_5.35.3.2__Retarget" w:history="1">
        <w:r w:rsidR="000C3648" w:rsidRPr="000665B0">
          <w:rPr>
            <w:rStyle w:val="Hyperlink"/>
          </w:rPr>
          <w:t xml:space="preserve">Section </w:t>
        </w:r>
        <w:r w:rsidR="004231CC">
          <w:rPr>
            <w:rStyle w:val="Hyperlink"/>
          </w:rPr>
          <w:t>5.31</w:t>
        </w:r>
        <w:r w:rsidR="000C3648" w:rsidRPr="000665B0">
          <w:rPr>
            <w:rStyle w:val="Hyperlink"/>
          </w:rPr>
          <w:t>.</w:t>
        </w:r>
        <w:r w:rsidR="00865446" w:rsidRPr="000665B0">
          <w:rPr>
            <w:rStyle w:val="Hyperlink"/>
          </w:rPr>
          <w:t>4</w:t>
        </w:r>
        <w:r w:rsidR="000C3648" w:rsidRPr="000665B0">
          <w:rPr>
            <w:rStyle w:val="Hyperlink"/>
          </w:rPr>
          <w:t>.2</w:t>
        </w:r>
      </w:hyperlink>
      <w:r w:rsidR="000C3648" w:rsidRPr="000665B0">
        <w:t xml:space="preserve"> for </w:t>
      </w:r>
      <w:r w:rsidR="000C3648" w:rsidRPr="000665B0">
        <w:rPr>
          <w:i/>
        </w:rPr>
        <w:t>Advanced</w:t>
      </w:r>
      <w:r w:rsidR="000C3648" w:rsidRPr="000665B0">
        <w:t>.</w:t>
      </w:r>
    </w:p>
    <w:p w14:paraId="6B8522A7" w14:textId="4C4A51CA" w:rsidR="00B223D7" w:rsidRPr="000665B0" w:rsidRDefault="00D231B0" w:rsidP="006D5A65">
      <w:pPr>
        <w:pStyle w:val="Heading1"/>
      </w:pPr>
      <w:r w:rsidRPr="000665B0">
        <w:t xml:space="preserve">After entering information in the </w:t>
      </w:r>
      <w:r w:rsidRPr="000665B0">
        <w:rPr>
          <w:i/>
        </w:rPr>
        <w:t>General Information</w:t>
      </w:r>
      <w:r w:rsidRPr="000665B0">
        <w:t xml:space="preserve"> and/or </w:t>
      </w:r>
      <w:r w:rsidRPr="000665B0">
        <w:rPr>
          <w:i/>
        </w:rPr>
        <w:t>Advanced</w:t>
      </w:r>
      <w:r w:rsidRPr="000665B0">
        <w:t xml:space="preserve"> tab, click </w:t>
      </w:r>
      <w:r w:rsidR="00B223D7" w:rsidRPr="000665B0">
        <w:t xml:space="preserve">on the Save </w:t>
      </w:r>
      <w:r w:rsidR="00B223D7" w:rsidRPr="000665B0">
        <w:sym w:font="Wingdings" w:char="F03C"/>
      </w:r>
      <w:r w:rsidR="00B223D7" w:rsidRPr="000665B0">
        <w:t xml:space="preserve"> icon to save the changes</w:t>
      </w:r>
      <w:r w:rsidR="00B223D7" w:rsidRPr="000665B0">
        <w:rPr>
          <w:szCs w:val="24"/>
        </w:rPr>
        <w:t xml:space="preserve"> or select the </w:t>
      </w:r>
      <w:r w:rsidR="00B223D7" w:rsidRPr="000665B0">
        <w:rPr>
          <w:bCs/>
          <w:szCs w:val="24"/>
        </w:rPr>
        <w:t>Save</w:t>
      </w:r>
      <w:r w:rsidR="00B223D7" w:rsidRPr="000665B0">
        <w:rPr>
          <w:szCs w:val="24"/>
        </w:rPr>
        <w:t xml:space="preserve"> option from the </w:t>
      </w:r>
      <w:r w:rsidR="00B223D7" w:rsidRPr="000665B0">
        <w:rPr>
          <w:bCs/>
          <w:szCs w:val="24"/>
        </w:rPr>
        <w:t>File</w:t>
      </w:r>
      <w:r w:rsidR="00B223D7" w:rsidRPr="000665B0">
        <w:rPr>
          <w:szCs w:val="24"/>
        </w:rPr>
        <w:t xml:space="preserve"> pull down menu</w:t>
      </w:r>
      <w:r w:rsidR="00B223D7" w:rsidRPr="000665B0">
        <w:t>. The Retarget TMPR will automatically be submitted to TPS.</w:t>
      </w:r>
    </w:p>
    <w:p w14:paraId="010688DD" w14:textId="153C216C" w:rsidR="006117AD" w:rsidRPr="004A107F" w:rsidRDefault="000D70ED" w:rsidP="004A107F">
      <w:pPr>
        <w:pStyle w:val="Normal1"/>
        <w:spacing w:before="0" w:beforeAutospacing="0" w:after="0" w:afterAutospacing="0"/>
      </w:pPr>
      <w:r w:rsidRPr="000665B0">
        <w:t xml:space="preserve">In addition to viewing/editing information for the TMPR, the user can also </w:t>
      </w:r>
      <w:r w:rsidRPr="000665B0">
        <w:rPr>
          <w:b/>
        </w:rPr>
        <w:t>Display</w:t>
      </w:r>
      <w:r w:rsidRPr="000665B0">
        <w:t xml:space="preserve"> (</w:t>
      </w:r>
      <w:r w:rsidRPr="000665B0">
        <w:rPr>
          <w:b/>
        </w:rPr>
        <w:t>Geographically</w:t>
      </w:r>
      <w:r w:rsidRPr="000665B0">
        <w:t xml:space="preserve">), </w:t>
      </w:r>
      <w:r w:rsidRPr="000665B0">
        <w:rPr>
          <w:b/>
        </w:rPr>
        <w:t>Send</w:t>
      </w:r>
      <w:r w:rsidRPr="000665B0">
        <w:t xml:space="preserve"> the TMPR as a DDO, view the </w:t>
      </w:r>
      <w:r w:rsidRPr="000665B0">
        <w:rPr>
          <w:b/>
        </w:rPr>
        <w:t>Print Preview</w:t>
      </w:r>
      <w:r w:rsidRPr="000665B0">
        <w:t xml:space="preserve">, as well as </w:t>
      </w:r>
      <w:r w:rsidRPr="000665B0">
        <w:rPr>
          <w:b/>
        </w:rPr>
        <w:t>Print</w:t>
      </w:r>
      <w:r w:rsidRPr="000665B0">
        <w:t xml:space="preserve"> the TMPR information. See </w:t>
      </w:r>
      <w:hyperlink w:anchor="_5.2__COMMON_2" w:history="1">
        <w:r w:rsidRPr="000665B0">
          <w:rPr>
            <w:rStyle w:val="Hyperlink"/>
          </w:rPr>
          <w:t>Section 5.2</w:t>
        </w:r>
      </w:hyperlink>
      <w:r w:rsidRPr="000665B0">
        <w:t xml:space="preserve"> for information on how to perform those features.</w:t>
      </w:r>
      <w:bookmarkStart w:id="5864" w:name="_5.35.4.1__Retarget"/>
      <w:bookmarkStart w:id="5865" w:name="_5.35.3.1__Retarget"/>
      <w:bookmarkStart w:id="5866" w:name="_Toc289328801"/>
      <w:bookmarkEnd w:id="5864"/>
      <w:bookmarkEnd w:id="5865"/>
    </w:p>
    <w:p w14:paraId="2BFAD102" w14:textId="0827FC4B" w:rsidR="000D70ED" w:rsidRPr="000665B0" w:rsidRDefault="000D70ED" w:rsidP="004A107F">
      <w:pPr>
        <w:pStyle w:val="Heading4"/>
        <w:pageBreakBefore/>
        <w:spacing w:before="0"/>
      </w:pPr>
      <w:r w:rsidRPr="000665B0">
        <w:lastRenderedPageBreak/>
        <w:t>Retarget TMPR General Information</w:t>
      </w:r>
      <w:bookmarkEnd w:id="5866"/>
    </w:p>
    <w:p w14:paraId="50310315" w14:textId="77777777" w:rsidR="000D70ED" w:rsidRPr="000665B0" w:rsidRDefault="000D70ED" w:rsidP="009570CA">
      <w:r w:rsidRPr="000665B0">
        <w:t xml:space="preserve">The </w:t>
      </w:r>
      <w:r w:rsidRPr="000665B0">
        <w:rPr>
          <w:b/>
          <w:i/>
        </w:rPr>
        <w:t>General Information</w:t>
      </w:r>
      <w:r w:rsidRPr="000665B0">
        <w:t xml:space="preserve"> tab contains </w:t>
      </w:r>
      <w:r w:rsidR="00931728" w:rsidRPr="000665B0">
        <w:t>desired target and weapon solution</w:t>
      </w:r>
      <w:r w:rsidRPr="000665B0">
        <w:t>.</w:t>
      </w:r>
    </w:p>
    <w:p w14:paraId="03500FCE" w14:textId="5A309AAF" w:rsidR="000D70ED" w:rsidRPr="000665B0" w:rsidRDefault="00AC6873" w:rsidP="009570CA">
      <w:pPr>
        <w:jc w:val="center"/>
      </w:pPr>
      <w:r w:rsidRPr="000665B0">
        <w:rPr>
          <w:noProof/>
        </w:rPr>
        <w:drawing>
          <wp:inline distT="0" distB="0" distL="0" distR="0" wp14:anchorId="397E12DE" wp14:editId="07A0E994">
            <wp:extent cx="3154680" cy="3273552"/>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273552"/>
                    </a:xfrm>
                    <a:prstGeom prst="rect">
                      <a:avLst/>
                    </a:prstGeom>
                  </pic:spPr>
                </pic:pic>
              </a:graphicData>
            </a:graphic>
          </wp:inline>
        </w:drawing>
      </w:r>
    </w:p>
    <w:p w14:paraId="317AF6C7" w14:textId="77777777" w:rsidR="00B223D7" w:rsidRPr="000665B0" w:rsidRDefault="00B223D7" w:rsidP="009570CA">
      <w:r w:rsidRPr="000665B0">
        <w:t>The following information is displayed and cannot be edited:</w:t>
      </w:r>
    </w:p>
    <w:p w14:paraId="5559F8D3" w14:textId="77777777" w:rsidR="00B223D7" w:rsidRPr="000665B0" w:rsidRDefault="00B223D7" w:rsidP="006D5A65">
      <w:pPr>
        <w:pStyle w:val="Heading1"/>
      </w:pPr>
      <w:r w:rsidRPr="000665B0">
        <w:lastRenderedPageBreak/>
        <w:t>TMPR Type – The type of the particular TMPR entry.</w:t>
      </w:r>
    </w:p>
    <w:p w14:paraId="77ABA0E6" w14:textId="77777777" w:rsidR="00B223D7" w:rsidRPr="000665B0" w:rsidRDefault="00B223D7" w:rsidP="006D5A65">
      <w:pPr>
        <w:pStyle w:val="Heading1"/>
      </w:pPr>
      <w:r w:rsidRPr="000665B0">
        <w:rPr>
          <w:bCs/>
        </w:rPr>
        <w:t xml:space="preserve">TMPR State </w:t>
      </w:r>
      <w:r w:rsidRPr="000665B0">
        <w:t>– The current state of the request.</w:t>
      </w:r>
    </w:p>
    <w:p w14:paraId="0E488720" w14:textId="77777777" w:rsidR="00B223D7" w:rsidRPr="000665B0" w:rsidRDefault="00B223D7" w:rsidP="006D5A65">
      <w:pPr>
        <w:pStyle w:val="Heading1"/>
      </w:pPr>
      <w:r w:rsidRPr="000665B0">
        <w:t>Creation DTG – The date when the TMPR was created.</w:t>
      </w:r>
    </w:p>
    <w:p w14:paraId="0F749BF0" w14:textId="137F7314" w:rsidR="00B223D7" w:rsidRPr="000665B0" w:rsidRDefault="00B223D7" w:rsidP="006D5A65">
      <w:pPr>
        <w:pStyle w:val="Heading1"/>
      </w:pPr>
      <w:r w:rsidRPr="000665B0">
        <w:t>Ref. Mission – The Mission ID for the mission this TMPR is based on.</w:t>
      </w:r>
      <w:r w:rsidR="009651B0">
        <w:t xml:space="preserve"> </w:t>
      </w:r>
    </w:p>
    <w:p w14:paraId="078EFA57" w14:textId="77777777" w:rsidR="00B223D7" w:rsidRPr="000665B0" w:rsidRDefault="00B223D7" w:rsidP="006D5A65">
      <w:pPr>
        <w:pStyle w:val="Heading1"/>
      </w:pPr>
      <w:r w:rsidRPr="000665B0">
        <w:t>Retarget Type – The type of Retarget TMPR.</w:t>
      </w:r>
    </w:p>
    <w:p w14:paraId="13269F45" w14:textId="77777777" w:rsidR="00B223D7" w:rsidRPr="000665B0" w:rsidRDefault="00B223D7" w:rsidP="006D5A65">
      <w:pPr>
        <w:pStyle w:val="Heading1"/>
      </w:pPr>
      <w:r w:rsidRPr="000665B0">
        <w:rPr>
          <w:i/>
        </w:rPr>
        <w:t>Retarget</w:t>
      </w:r>
      <w:r w:rsidRPr="000665B0">
        <w:t xml:space="preserve"> – The retarget has a mission generated by TPS.</w:t>
      </w:r>
    </w:p>
    <w:p w14:paraId="4BB8CE5E" w14:textId="77777777" w:rsidR="00B223D7" w:rsidRPr="000665B0" w:rsidRDefault="00B223D7" w:rsidP="006D5A65">
      <w:pPr>
        <w:pStyle w:val="Heading1"/>
      </w:pPr>
      <w:r w:rsidRPr="000665B0">
        <w:rPr>
          <w:i/>
        </w:rPr>
        <w:t>Aimpoint Update</w:t>
      </w:r>
      <w:r w:rsidRPr="000665B0">
        <w:t xml:space="preserve"> – The retarget is performed as an aimpoint update.</w:t>
      </w:r>
    </w:p>
    <w:p w14:paraId="0BD1BDC0" w14:textId="77777777" w:rsidR="00B223D7" w:rsidRPr="000665B0" w:rsidRDefault="00B223D7" w:rsidP="006D5A65">
      <w:pPr>
        <w:pStyle w:val="Heading1"/>
      </w:pPr>
      <w:r w:rsidRPr="000665B0">
        <w:t xml:space="preserve">Auto Generate (optional) – Flag used </w:t>
      </w:r>
      <w:r w:rsidR="007A4D04" w:rsidRPr="000665B0">
        <w:t>to indicate</w:t>
      </w:r>
      <w:r w:rsidRPr="000665B0">
        <w:t xml:space="preserve"> whether or not the submitted TMPR should automatically be processed by the auto-router.</w:t>
      </w:r>
    </w:p>
    <w:p w14:paraId="08691AD0" w14:textId="77777777" w:rsidR="00B223D7" w:rsidRPr="000665B0" w:rsidRDefault="00B223D7" w:rsidP="006D5A65">
      <w:pPr>
        <w:pStyle w:val="Heading1"/>
      </w:pPr>
      <w:r w:rsidRPr="000665B0">
        <w:t>Enter or edit the following information under the Target Data section:</w:t>
      </w:r>
    </w:p>
    <w:p w14:paraId="4336498C" w14:textId="34FDFDF7" w:rsidR="00B223D7" w:rsidRPr="000665B0" w:rsidRDefault="00B223D7" w:rsidP="006D5A65">
      <w:pPr>
        <w:pStyle w:val="Heading1"/>
      </w:pPr>
      <w:r w:rsidRPr="000665B0">
        <w:rPr>
          <w:bCs/>
        </w:rPr>
        <w:t>Run-in Azimuth</w:t>
      </w:r>
      <w:r w:rsidRPr="000665B0">
        <w:t xml:space="preserve"> (optional) – Entry azimuth into the target area.</w:t>
      </w:r>
      <w:r w:rsidR="005D0383">
        <w:t xml:space="preserve"> </w:t>
      </w:r>
    </w:p>
    <w:p w14:paraId="14B04B3D" w14:textId="77777777" w:rsidR="00B223D7" w:rsidRPr="000665B0" w:rsidRDefault="00B223D7" w:rsidP="006D5A65">
      <w:pPr>
        <w:pStyle w:val="Heading1"/>
      </w:pPr>
      <w:r w:rsidRPr="000665B0">
        <w:rPr>
          <w:bCs/>
        </w:rPr>
        <w:t>Dive Angle</w:t>
      </w:r>
      <w:r w:rsidRPr="000665B0">
        <w:t xml:space="preserve"> (optional) – Desired impact angle. </w:t>
      </w:r>
    </w:p>
    <w:p w14:paraId="4A4332A9" w14:textId="77777777" w:rsidR="00B223D7" w:rsidRPr="000665B0" w:rsidRDefault="00B223D7" w:rsidP="006D5A65">
      <w:pPr>
        <w:pStyle w:val="Heading1"/>
      </w:pPr>
      <w:r w:rsidRPr="000665B0">
        <w:rPr>
          <w:bCs/>
        </w:rPr>
        <w:t>Fuze Setting</w:t>
      </w:r>
      <w:r w:rsidRPr="000665B0">
        <w:t xml:space="preserve"> (optional) – Desired fuze delay. </w:t>
      </w:r>
    </w:p>
    <w:p w14:paraId="0EFB4C86" w14:textId="77777777" w:rsidR="00B223D7" w:rsidRPr="000665B0" w:rsidRDefault="00B223D7" w:rsidP="006D5A65">
      <w:pPr>
        <w:pStyle w:val="Heading1"/>
      </w:pPr>
      <w:r w:rsidRPr="000665B0">
        <w:rPr>
          <w:bCs/>
        </w:rPr>
        <w:t>Target Type</w:t>
      </w:r>
      <w:r w:rsidRPr="000665B0">
        <w:t xml:space="preserve"> (optional) – Indicates the target type.</w:t>
      </w:r>
    </w:p>
    <w:p w14:paraId="59B35CF6" w14:textId="70827B3B" w:rsidR="00B223D7" w:rsidRPr="000665B0" w:rsidRDefault="00B223D7" w:rsidP="006D5A65">
      <w:pPr>
        <w:pStyle w:val="Heading1"/>
      </w:pPr>
      <w:r w:rsidRPr="000665B0">
        <w:rPr>
          <w:bCs/>
        </w:rPr>
        <w:t>Target Info Usage</w:t>
      </w:r>
      <w:r w:rsidRPr="000665B0">
        <w:t xml:space="preserve"> (optional) – Indicates whether target information is included or not. See </w:t>
      </w:r>
      <w:hyperlink w:anchor="_5.35.1.1.1__Target_1" w:history="1">
        <w:r w:rsidRPr="000665B0">
          <w:rPr>
            <w:color w:val="0000FF"/>
            <w:u w:val="single"/>
          </w:rPr>
          <w:t xml:space="preserve">Section </w:t>
        </w:r>
        <w:r w:rsidR="004231CC">
          <w:rPr>
            <w:color w:val="0000FF"/>
            <w:u w:val="single"/>
          </w:rPr>
          <w:t>5.31</w:t>
        </w:r>
        <w:r w:rsidRPr="000665B0">
          <w:rPr>
            <w:color w:val="0000FF"/>
            <w:u w:val="single"/>
          </w:rPr>
          <w:t>.1.1.1</w:t>
        </w:r>
      </w:hyperlink>
      <w:r w:rsidRPr="000665B0">
        <w:t>.</w:t>
      </w:r>
    </w:p>
    <w:p w14:paraId="5102309E" w14:textId="77777777" w:rsidR="00B223D7" w:rsidRPr="000665B0" w:rsidRDefault="00B223D7" w:rsidP="006D5A65">
      <w:pPr>
        <w:pStyle w:val="Heading1"/>
      </w:pPr>
      <w:r w:rsidRPr="000665B0">
        <w:rPr>
          <w:bCs/>
        </w:rPr>
        <w:t>Facility Name</w:t>
      </w:r>
      <w:r w:rsidRPr="000665B0">
        <w:t xml:space="preserve"> (optional) – Official name of the facility or populated area. </w:t>
      </w:r>
    </w:p>
    <w:p w14:paraId="5C1002C6" w14:textId="465BF4F1" w:rsidR="00B223D7" w:rsidRPr="000665B0" w:rsidRDefault="00B223D7" w:rsidP="006D5A65">
      <w:pPr>
        <w:pStyle w:val="Heading1"/>
      </w:pPr>
      <w:r w:rsidRPr="000665B0">
        <w:t>Installation Name (optional) –</w:t>
      </w:r>
      <w:r w:rsidR="007D4834" w:rsidRPr="000665B0">
        <w:t xml:space="preserve"> </w:t>
      </w:r>
      <w:r w:rsidRPr="000665B0">
        <w:t>The standard MIDB name used for the installations containing the Target Segment.</w:t>
      </w:r>
    </w:p>
    <w:p w14:paraId="6D475CEA" w14:textId="1EF83BB5" w:rsidR="00B223D7" w:rsidRPr="000665B0" w:rsidRDefault="00B223D7" w:rsidP="006D5A65">
      <w:pPr>
        <w:pStyle w:val="Heading1"/>
      </w:pPr>
      <w:r w:rsidRPr="000665B0">
        <w:t xml:space="preserve">Latitude/Longitude – Latitude/Longitude coordinates of the primary aimpoint. This is a required field (as denoted by the * and/or yellow background) and the user is unable to proceed without updating this field. For further information on mandatory fields see </w:t>
      </w:r>
      <w:hyperlink w:anchor="_5.2.7__Editing" w:history="1">
        <w:r w:rsidRPr="000665B0">
          <w:rPr>
            <w:color w:val="0000FF"/>
            <w:u w:val="single"/>
          </w:rPr>
          <w:t>Section 5.2.8</w:t>
        </w:r>
      </w:hyperlink>
      <w:r w:rsidRPr="000665B0">
        <w:t>.</w:t>
      </w:r>
    </w:p>
    <w:p w14:paraId="65C467EE" w14:textId="77777777" w:rsidR="00B223D7" w:rsidRPr="000665B0" w:rsidRDefault="00B223D7" w:rsidP="006D5A65">
      <w:pPr>
        <w:pStyle w:val="Heading1"/>
      </w:pPr>
      <w:r w:rsidRPr="000665B0">
        <w:rPr>
          <w:bCs/>
        </w:rPr>
        <w:t xml:space="preserve">Elevation/Elevation Datum </w:t>
      </w:r>
      <w:r w:rsidRPr="000665B0">
        <w:t xml:space="preserve">(optional) – Elevation and elevation datum of the target. </w:t>
      </w:r>
    </w:p>
    <w:p w14:paraId="3AD3F718" w14:textId="77777777" w:rsidR="00B223D7" w:rsidRPr="000665B0" w:rsidRDefault="00B223D7" w:rsidP="006D5A65">
      <w:pPr>
        <w:pStyle w:val="Heading1"/>
      </w:pPr>
      <w:r w:rsidRPr="000665B0">
        <w:t>Target Identifiers</w:t>
      </w:r>
    </w:p>
    <w:p w14:paraId="70BB2131" w14:textId="77777777" w:rsidR="00B223D7" w:rsidRPr="000665B0" w:rsidRDefault="00B223D7" w:rsidP="006D5A65">
      <w:pPr>
        <w:pStyle w:val="Heading1"/>
      </w:pPr>
      <w:r w:rsidRPr="000665B0">
        <w:rPr>
          <w:bCs/>
        </w:rPr>
        <w:t xml:space="preserve">BE </w:t>
      </w:r>
      <w:r w:rsidRPr="000665B0">
        <w:t xml:space="preserve">(optional) – Basic Encyclopedia; An identified installation of potential significance as objectives for attack. </w:t>
      </w:r>
    </w:p>
    <w:p w14:paraId="55F54DF5" w14:textId="77777777" w:rsidR="00B223D7" w:rsidRPr="000665B0" w:rsidRDefault="00B223D7" w:rsidP="006D5A65">
      <w:pPr>
        <w:pStyle w:val="Heading1"/>
      </w:pPr>
      <w:r w:rsidRPr="000665B0">
        <w:rPr>
          <w:bCs/>
        </w:rPr>
        <w:t xml:space="preserve">Aimpt ID </w:t>
      </w:r>
      <w:r w:rsidRPr="000665B0">
        <w:t>(optional) – Two alphabetic characters which, in conjunction with the Installation BE number, are used to uniquely identify the point desired for intended interaction of the warhead with a target element.</w:t>
      </w:r>
    </w:p>
    <w:p w14:paraId="3EBCA544" w14:textId="77777777" w:rsidR="00B223D7" w:rsidRPr="000665B0" w:rsidRDefault="00B223D7" w:rsidP="006D5A65">
      <w:pPr>
        <w:pStyle w:val="Heading1"/>
      </w:pPr>
      <w:r w:rsidRPr="000665B0">
        <w:rPr>
          <w:bCs/>
        </w:rPr>
        <w:t xml:space="preserve">JDPI </w:t>
      </w:r>
      <w:r w:rsidRPr="000665B0">
        <w:t>(optional) – Joint Desired Point of Impact: A defined point of impact of the weapon.</w:t>
      </w:r>
    </w:p>
    <w:p w14:paraId="661D05CE" w14:textId="77777777" w:rsidR="00B223D7" w:rsidRPr="000665B0" w:rsidRDefault="00B223D7" w:rsidP="006D5A65">
      <w:pPr>
        <w:pStyle w:val="Heading1"/>
      </w:pPr>
      <w:r w:rsidRPr="000665B0">
        <w:rPr>
          <w:bCs/>
        </w:rPr>
        <w:t xml:space="preserve">Tactical Target Number (TTN) </w:t>
      </w:r>
      <w:r w:rsidRPr="000665B0">
        <w:t xml:space="preserve">(optional) – Mechanism for a Joint Commander to call for fire. </w:t>
      </w:r>
    </w:p>
    <w:p w14:paraId="0274A374"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4FAF5708" w14:textId="77777777" w:rsidR="000D70ED" w:rsidRPr="000665B0" w:rsidRDefault="004342EB"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szCs w:val="24"/>
        </w:rPr>
      </w:pPr>
      <w:r w:rsidRPr="000665B0">
        <w:rPr>
          <w:b/>
        </w:rPr>
        <w:lastRenderedPageBreak/>
        <w:t>MDS allows the operator to enter a dive angle greater than or equal to 5 and less than or equal to 85 degrees for a TMPR Aimpoint Update.</w:t>
      </w:r>
    </w:p>
    <w:p w14:paraId="14AAA919" w14:textId="20711785" w:rsidR="000D70ED" w:rsidRPr="000665B0" w:rsidRDefault="000D70ED" w:rsidP="009570CA">
      <w:r w:rsidRPr="000665B0">
        <w:rPr>
          <w:szCs w:val="24"/>
        </w:rPr>
        <w:t>The Auto Generate checkbox determines whether or not the TMPR should be processed by the TPS auto-router. If checked, when the TMPR goes to the “Submitted” state, TPS will begin automated route planning. The state of the TMPR become</w:t>
      </w:r>
      <w:r w:rsidR="00931728" w:rsidRPr="000665B0">
        <w:rPr>
          <w:szCs w:val="24"/>
        </w:rPr>
        <w:t>s</w:t>
      </w:r>
      <w:r w:rsidRPr="000665B0">
        <w:rPr>
          <w:szCs w:val="24"/>
        </w:rPr>
        <w:t xml:space="preserve"> “</w:t>
      </w:r>
      <w:r w:rsidR="000E58FB" w:rsidRPr="001F4B14">
        <w:rPr>
          <w:i/>
          <w:iCs/>
          <w:szCs w:val="24"/>
        </w:rPr>
        <w:t>In</w:t>
      </w:r>
      <w:r w:rsidR="00352D71">
        <w:rPr>
          <w:i/>
          <w:iCs/>
          <w:szCs w:val="24"/>
        </w:rPr>
        <w:t xml:space="preserve"> </w:t>
      </w:r>
      <w:r w:rsidR="000E58FB" w:rsidRPr="001F4B14">
        <w:rPr>
          <w:i/>
          <w:iCs/>
          <w:szCs w:val="24"/>
        </w:rPr>
        <w:t>Work</w:t>
      </w:r>
      <w:r w:rsidRPr="000665B0">
        <w:rPr>
          <w:szCs w:val="24"/>
        </w:rPr>
        <w:t xml:space="preserve">” while TPS is developing the retarget route. When TPS has completed, the state of the TMPR </w:t>
      </w:r>
      <w:r w:rsidR="00931728" w:rsidRPr="000665B0">
        <w:rPr>
          <w:szCs w:val="24"/>
        </w:rPr>
        <w:t>is</w:t>
      </w:r>
      <w:r w:rsidRPr="000665B0">
        <w:rPr>
          <w:szCs w:val="24"/>
        </w:rPr>
        <w:t xml:space="preserve"> set to “Complete” or “Failed</w:t>
      </w:r>
      <w:r w:rsidR="00F06FE4" w:rsidRPr="000665B0">
        <w:rPr>
          <w:szCs w:val="24"/>
        </w:rPr>
        <w:t>.</w:t>
      </w:r>
      <w:r w:rsidRPr="000665B0">
        <w:rPr>
          <w:szCs w:val="24"/>
        </w:rPr>
        <w:t>” In either case, the TMPR Status contain</w:t>
      </w:r>
      <w:r w:rsidR="00931728" w:rsidRPr="000665B0">
        <w:rPr>
          <w:szCs w:val="24"/>
        </w:rPr>
        <w:t>s</w:t>
      </w:r>
      <w:r w:rsidRPr="000665B0">
        <w:rPr>
          <w:szCs w:val="24"/>
        </w:rPr>
        <w:t xml:space="preserve"> the results of the route generation.</w:t>
      </w:r>
    </w:p>
    <w:p w14:paraId="7225F0BB" w14:textId="77777777" w:rsidR="000D70ED" w:rsidRPr="000665B0" w:rsidRDefault="000D70ED" w:rsidP="009570CA">
      <w:r w:rsidRPr="000665B0">
        <w:t xml:space="preserve">If the MDS </w:t>
      </w:r>
      <w:r w:rsidR="00B461D1" w:rsidRPr="000665B0">
        <w:t>does not have an Embedded TPS</w:t>
      </w:r>
      <w:r w:rsidRPr="000665B0">
        <w:t>, the TMPR must be sent via DDO to a PO.</w:t>
      </w:r>
    </w:p>
    <w:p w14:paraId="34912F2B" w14:textId="3F223584" w:rsidR="000D70ED" w:rsidRPr="000665B0" w:rsidRDefault="000D70ED" w:rsidP="009570CA">
      <w:pPr>
        <w:pStyle w:val="Heading4"/>
      </w:pPr>
      <w:bookmarkStart w:id="5867" w:name="_5.35.4.2__Retarget"/>
      <w:bookmarkStart w:id="5868" w:name="_5.35.3.2__Retarget"/>
      <w:bookmarkStart w:id="5869" w:name="_Toc289328802"/>
      <w:bookmarkEnd w:id="5867"/>
      <w:bookmarkEnd w:id="5868"/>
      <w:r w:rsidRPr="000665B0">
        <w:t>Retarget TMPR Advanced Tab</w:t>
      </w:r>
      <w:bookmarkEnd w:id="5869"/>
    </w:p>
    <w:p w14:paraId="40CB5A90" w14:textId="77777777" w:rsidR="004342EB" w:rsidRPr="000665B0" w:rsidRDefault="004342EB" w:rsidP="009570CA">
      <w:pPr>
        <w:keepNext/>
      </w:pPr>
      <w:r w:rsidRPr="000665B0">
        <w:t xml:space="preserve">The </w:t>
      </w:r>
      <w:r w:rsidRPr="000665B0">
        <w:rPr>
          <w:b/>
          <w:i/>
        </w:rPr>
        <w:t>Advanced</w:t>
      </w:r>
      <w:r w:rsidRPr="000665B0">
        <w:t xml:space="preserve"> tab contains information that can be viewed or entered for mission planning that is specific to the type of TMPR (Create, Modify, or Retarget). </w:t>
      </w:r>
    </w:p>
    <w:p w14:paraId="545E2D43" w14:textId="15AAFF6C" w:rsidR="000D70ED" w:rsidRPr="000665B0" w:rsidRDefault="00AC6873" w:rsidP="009570CA">
      <w:pPr>
        <w:jc w:val="center"/>
      </w:pPr>
      <w:r w:rsidRPr="000665B0">
        <w:rPr>
          <w:noProof/>
        </w:rPr>
        <w:drawing>
          <wp:inline distT="0" distB="0" distL="0" distR="0" wp14:anchorId="6EE9C40C" wp14:editId="56B1CFF7">
            <wp:extent cx="3154680" cy="3282696"/>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282696"/>
                    </a:xfrm>
                    <a:prstGeom prst="rect">
                      <a:avLst/>
                    </a:prstGeom>
                  </pic:spPr>
                </pic:pic>
              </a:graphicData>
            </a:graphic>
          </wp:inline>
        </w:drawing>
      </w:r>
    </w:p>
    <w:p w14:paraId="3BFB5335" w14:textId="77777777" w:rsidR="004342EB" w:rsidRPr="006D7B19" w:rsidRDefault="004342EB" w:rsidP="009570CA">
      <w:r w:rsidRPr="006D7B19">
        <w:t xml:space="preserve">By selecting the </w:t>
      </w:r>
      <w:r w:rsidRPr="006D7B19">
        <w:rPr>
          <w:b/>
          <w:bCs/>
          <w:i/>
          <w:iCs/>
        </w:rPr>
        <w:t xml:space="preserve">Advanced </w:t>
      </w:r>
      <w:r w:rsidRPr="006D7B19">
        <w:t>tab, the following information for Retarget TMPRs can viewed/edited. Enter/edit the following descriptive information as needed:</w:t>
      </w:r>
    </w:p>
    <w:p w14:paraId="33B3F95D" w14:textId="77777777" w:rsidR="004342EB" w:rsidRPr="006D7B19" w:rsidRDefault="004342EB" w:rsidP="006D5A65">
      <w:pPr>
        <w:pStyle w:val="Heading1"/>
      </w:pPr>
      <w:r w:rsidRPr="006D7B19">
        <w:lastRenderedPageBreak/>
        <w:t>Generation Priority – The numerical priority assigned to the task.</w:t>
      </w:r>
    </w:p>
    <w:p w14:paraId="1A7227D9" w14:textId="77777777" w:rsidR="004342EB" w:rsidRPr="006D7B19" w:rsidRDefault="004342EB" w:rsidP="006D5A65">
      <w:pPr>
        <w:pStyle w:val="Heading1"/>
      </w:pPr>
      <w:r w:rsidRPr="006D7B19">
        <w:t xml:space="preserve">Operational Plan – The name of the exercise or live set of military missions and activities. </w:t>
      </w:r>
    </w:p>
    <w:p w14:paraId="286F791D" w14:textId="77777777" w:rsidR="004342EB" w:rsidRPr="006D7B19" w:rsidRDefault="004342EB" w:rsidP="006D5A65">
      <w:pPr>
        <w:pStyle w:val="Heading1"/>
      </w:pPr>
      <w:r w:rsidRPr="006D7B19">
        <w:t>Tasking Authority – The organization providing authority for the mission(s) to be generated as a result of the TMPR.</w:t>
      </w:r>
    </w:p>
    <w:p w14:paraId="578619BC" w14:textId="77777777" w:rsidR="004342EB" w:rsidRPr="006D7B19" w:rsidRDefault="004342EB" w:rsidP="006D5A65">
      <w:pPr>
        <w:pStyle w:val="Heading1"/>
      </w:pPr>
      <w:r w:rsidRPr="006D7B19">
        <w:rPr>
          <w:bCs/>
        </w:rPr>
        <w:t>Desired Effect</w:t>
      </w:r>
      <w:r w:rsidRPr="006D7B19">
        <w:t xml:space="preserve"> (optional) – Free text describing the desired effect.</w:t>
      </w:r>
    </w:p>
    <w:p w14:paraId="4E963715" w14:textId="77777777" w:rsidR="000D70ED" w:rsidRPr="006D7B19" w:rsidRDefault="004342EB" w:rsidP="006D5A65">
      <w:pPr>
        <w:pStyle w:val="Heading1"/>
      </w:pPr>
      <w:r w:rsidRPr="006D7B19">
        <w:rPr>
          <w:bCs/>
        </w:rPr>
        <w:t>Need By DTG</w:t>
      </w:r>
      <w:r w:rsidRPr="006D7B19">
        <w:t xml:space="preserve"> – Date when the mission(s) to satisfy the TMPR is required. Date must be equal to or greater than the creation date.</w:t>
      </w:r>
    </w:p>
    <w:p w14:paraId="73CC0F25" w14:textId="77777777" w:rsidR="009C1FCC" w:rsidRPr="006D7B19" w:rsidRDefault="009C1FCC" w:rsidP="009570CA">
      <w:pPr>
        <w:keepNext/>
        <w:rPr>
          <w:b/>
        </w:rPr>
      </w:pPr>
      <w:r w:rsidRPr="006D7B19">
        <w:rPr>
          <w:b/>
        </w:rPr>
        <w:t>Possible Retarget Departure Regions Tab</w:t>
      </w:r>
    </w:p>
    <w:p w14:paraId="766DFB92" w14:textId="77777777" w:rsidR="004342EB" w:rsidRPr="006D7B19" w:rsidRDefault="004342EB" w:rsidP="009570CA">
      <w:pPr>
        <w:keepNext/>
      </w:pPr>
      <w:r w:rsidRPr="006D7B19">
        <w:t xml:space="preserve">The </w:t>
      </w:r>
      <w:r w:rsidRPr="006D7B19">
        <w:rPr>
          <w:b/>
          <w:i/>
        </w:rPr>
        <w:t>Possible Retarget Departure Regions</w:t>
      </w:r>
      <w:r w:rsidRPr="006D7B19">
        <w:t xml:space="preserve"> tab allows the user to select various possible action points within the missile’s current route, where the missile will discontinue its route and begin the retargeted mission route.</w:t>
      </w:r>
    </w:p>
    <w:p w14:paraId="7458F710" w14:textId="5C158F86" w:rsidR="000D70ED" w:rsidRPr="006D7B19" w:rsidRDefault="00AC6873" w:rsidP="009570CA">
      <w:pPr>
        <w:jc w:val="center"/>
      </w:pPr>
      <w:r w:rsidRPr="006D7B19">
        <w:rPr>
          <w:noProof/>
        </w:rPr>
        <w:drawing>
          <wp:inline distT="0" distB="0" distL="0" distR="0" wp14:anchorId="7FBD26F0" wp14:editId="708899A6">
            <wp:extent cx="3154680" cy="3282696"/>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282696"/>
                    </a:xfrm>
                    <a:prstGeom prst="rect">
                      <a:avLst/>
                    </a:prstGeom>
                  </pic:spPr>
                </pic:pic>
              </a:graphicData>
            </a:graphic>
          </wp:inline>
        </w:drawing>
      </w:r>
    </w:p>
    <w:p w14:paraId="140B17BA" w14:textId="77777777" w:rsidR="000D70ED" w:rsidRPr="006D7B19" w:rsidRDefault="000D70ED" w:rsidP="009570CA">
      <w:r w:rsidRPr="006D7B19">
        <w:rPr>
          <w:b/>
          <w:i/>
        </w:rPr>
        <w:t>Possible Retarget Departure Regions List View</w:t>
      </w:r>
    </w:p>
    <w:p w14:paraId="0899F83D" w14:textId="77777777" w:rsidR="000D70ED" w:rsidRPr="006D7B19" w:rsidRDefault="000D70ED" w:rsidP="006D5A65">
      <w:pPr>
        <w:pStyle w:val="Heading4"/>
      </w:pPr>
      <w:r w:rsidRPr="006D7B19">
        <w:lastRenderedPageBreak/>
        <w:t>Columns</w:t>
      </w:r>
    </w:p>
    <w:p w14:paraId="15D50272" w14:textId="77777777" w:rsidR="000D70ED" w:rsidRPr="006D7B19" w:rsidRDefault="000D70ED" w:rsidP="006D5A65">
      <w:pPr>
        <w:pStyle w:val="Heading5"/>
      </w:pPr>
      <w:r w:rsidRPr="006D7B19">
        <w:t>Branch ID – Branch IDs are a numbering scheme used for the Primary Route (which is always Branch ID 0) and each of the Flex Routes in 109E mission.</w:t>
      </w:r>
    </w:p>
    <w:p w14:paraId="27CB916D" w14:textId="77777777" w:rsidR="004342EB" w:rsidRPr="006D7B19" w:rsidRDefault="004342EB" w:rsidP="006D5A65">
      <w:pPr>
        <w:pStyle w:val="Heading5"/>
      </w:pPr>
      <w:r w:rsidRPr="006D7B19">
        <w:t>Desired Earliest Departure Action Point – The action point in the mission route of the current mission (that is being retargeted), where the missile can divert from its current route and begin the new mission route.</w:t>
      </w:r>
    </w:p>
    <w:p w14:paraId="4796DD69" w14:textId="77777777" w:rsidR="000D70ED" w:rsidRPr="006D7B19" w:rsidRDefault="000D70ED" w:rsidP="006D5A65">
      <w:pPr>
        <w:pStyle w:val="Heading4"/>
      </w:pPr>
      <w:r w:rsidRPr="006D7B19">
        <w:t>Context Menu</w:t>
      </w:r>
    </w:p>
    <w:p w14:paraId="01B8E4AF" w14:textId="77777777" w:rsidR="000D70ED" w:rsidRPr="006D7B19" w:rsidRDefault="000D70ED" w:rsidP="006D5A65">
      <w:pPr>
        <w:pStyle w:val="Heading2"/>
      </w:pPr>
      <w:r w:rsidRPr="006D7B19">
        <w:t>Display</w:t>
      </w:r>
    </w:p>
    <w:p w14:paraId="2D29B164" w14:textId="77777777" w:rsidR="000D70ED" w:rsidRPr="000665B0" w:rsidRDefault="000D70ED" w:rsidP="006D5A65">
      <w:pPr>
        <w:pStyle w:val="Heading3"/>
      </w:pPr>
      <w:r w:rsidRPr="006D7B19">
        <w:t>in Excel – Displays</w:t>
      </w:r>
      <w:r w:rsidRPr="000665B0">
        <w:t xml:space="preserve"> the selected Branch ID(s) information in Excel.</w:t>
      </w:r>
    </w:p>
    <w:p w14:paraId="33871C6D" w14:textId="77777777" w:rsidR="000D70ED" w:rsidRPr="000665B0" w:rsidRDefault="000D70ED" w:rsidP="006D5A65">
      <w:pPr>
        <w:pStyle w:val="Heading2"/>
      </w:pPr>
      <w:r w:rsidRPr="000665B0">
        <w:t>Edit Action Point… – Displays the Edit Action Point dialog to allow the user to edit which action</w:t>
      </w:r>
      <w:r w:rsidR="00765516" w:rsidRPr="000665B0">
        <w:t xml:space="preserve"> </w:t>
      </w:r>
      <w:r w:rsidRPr="000665B0">
        <w:t>point the missile should attempt to depart from for a particular branch.</w:t>
      </w:r>
    </w:p>
    <w:p w14:paraId="615A5CEF" w14:textId="77777777" w:rsidR="000D70ED" w:rsidRPr="000665B0" w:rsidRDefault="000D70ED" w:rsidP="006D5A65">
      <w:pPr>
        <w:pStyle w:val="Heading2"/>
      </w:pPr>
      <w:r w:rsidRPr="000665B0">
        <w:t>Print… – Prints the selected Branch ID list information.</w:t>
      </w:r>
    </w:p>
    <w:p w14:paraId="62AC26C5" w14:textId="77777777" w:rsidR="000D70ED" w:rsidRPr="000665B0" w:rsidRDefault="000D70ED" w:rsidP="009570CA">
      <w:pPr>
        <w:pStyle w:val="Normal1"/>
        <w:keepNext/>
        <w:spacing w:before="0" w:beforeAutospacing="0" w:after="120" w:afterAutospacing="0"/>
      </w:pPr>
      <w:r w:rsidRPr="000665B0">
        <w:t>To edit an action point:</w:t>
      </w:r>
    </w:p>
    <w:p w14:paraId="01584DA1" w14:textId="50B02D5F" w:rsidR="004342EB" w:rsidRPr="000665B0" w:rsidRDefault="00D71804" w:rsidP="006D5A65">
      <w:pPr>
        <w:pStyle w:val="Heading1"/>
      </w:pPr>
      <w:r w:rsidRPr="000665B0">
        <w:t>Right-click</w:t>
      </w:r>
      <w:r w:rsidR="004342EB" w:rsidRPr="000665B0">
        <w:t xml:space="preserve"> the data pane and select Edit Action Point…. The </w:t>
      </w:r>
      <w:r w:rsidR="004342EB" w:rsidRPr="000665B0">
        <w:rPr>
          <w:i/>
        </w:rPr>
        <w:t>Possible Retarget Departure Region</w:t>
      </w:r>
      <w:r w:rsidR="004342EB" w:rsidRPr="000665B0">
        <w:t xml:space="preserve"> window is displayed. </w:t>
      </w:r>
    </w:p>
    <w:p w14:paraId="33A6C8D8" w14:textId="422FF7D9" w:rsidR="000D70ED" w:rsidRPr="000665B0" w:rsidRDefault="008B6573" w:rsidP="009570CA">
      <w:pPr>
        <w:jc w:val="center"/>
      </w:pPr>
      <w:r w:rsidRPr="000665B0">
        <w:rPr>
          <w:noProof/>
        </w:rPr>
        <w:drawing>
          <wp:inline distT="0" distB="0" distL="0" distR="0" wp14:anchorId="1CC2BDFE" wp14:editId="66AC64DB">
            <wp:extent cx="2286000" cy="850392"/>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850392"/>
                    </a:xfrm>
                    <a:prstGeom prst="rect">
                      <a:avLst/>
                    </a:prstGeom>
                  </pic:spPr>
                </pic:pic>
              </a:graphicData>
            </a:graphic>
          </wp:inline>
        </w:drawing>
      </w:r>
    </w:p>
    <w:p w14:paraId="2073D885" w14:textId="77777777" w:rsidR="000D70ED" w:rsidRPr="000665B0" w:rsidRDefault="000D70ED" w:rsidP="006D5A65">
      <w:pPr>
        <w:pStyle w:val="Heading1"/>
      </w:pPr>
      <w:r w:rsidRPr="000665B0">
        <w:t xml:space="preserve">Select the desired action point and click the OK button. </w:t>
      </w:r>
    </w:p>
    <w:p w14:paraId="17462153"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7879356B" w14:textId="77777777" w:rsidR="004342EB" w:rsidRPr="000665B0" w:rsidRDefault="004342EB" w:rsidP="009570CA">
      <w:pPr>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0665B0">
        <w:rPr>
          <w:b/>
        </w:rPr>
        <w:t>If the Retarget TMPR is being viewed from the TMPR tool, the Edit Action Point… menu item is disabled. Editing the Action Point is enabled only when the Retarget TMPR is created during Strike Rehearsal/Execution.</w:t>
      </w:r>
    </w:p>
    <w:p w14:paraId="5D033E45" w14:textId="7DB8E78E" w:rsidR="000D70ED" w:rsidRPr="000665B0" w:rsidRDefault="000D70ED" w:rsidP="009570CA">
      <w:pPr>
        <w:pStyle w:val="Normal1"/>
        <w:spacing w:before="0" w:beforeAutospacing="0" w:after="120" w:afterAutospacing="0"/>
      </w:pPr>
      <w:r w:rsidRPr="000665B0">
        <w:t xml:space="preserve">The user can also </w:t>
      </w:r>
      <w:r w:rsidRPr="000665B0">
        <w:rPr>
          <w:b/>
        </w:rPr>
        <w:t xml:space="preserve">Display </w:t>
      </w:r>
      <w:r w:rsidRPr="000665B0">
        <w:t>(</w:t>
      </w:r>
      <w:r w:rsidRPr="000665B0">
        <w:rPr>
          <w:b/>
        </w:rPr>
        <w:t>in Excel</w:t>
      </w:r>
      <w:r w:rsidRPr="000665B0">
        <w:t xml:space="preserve">) and </w:t>
      </w:r>
      <w:r w:rsidRPr="000665B0">
        <w:rPr>
          <w:b/>
        </w:rPr>
        <w:t xml:space="preserve">Print </w:t>
      </w:r>
      <w:r w:rsidRPr="000665B0">
        <w:t>elements. See</w:t>
      </w:r>
      <w:r w:rsidR="00931728" w:rsidRPr="000665B0">
        <w:t xml:space="preserve"> </w:t>
      </w:r>
      <w:hyperlink w:anchor="_5.2__COMMON_2" w:history="1">
        <w:r w:rsidRPr="000665B0">
          <w:rPr>
            <w:rStyle w:val="Hyperlink"/>
          </w:rPr>
          <w:t>Section 5.2</w:t>
        </w:r>
      </w:hyperlink>
      <w:r w:rsidRPr="000665B0">
        <w:t xml:space="preserve"> for information on how to perform those features.</w:t>
      </w:r>
    </w:p>
    <w:p w14:paraId="6078D0FB" w14:textId="77777777" w:rsidR="000D70ED" w:rsidRPr="000665B0" w:rsidRDefault="000D70ED" w:rsidP="009570CA">
      <w:pPr>
        <w:rPr>
          <w:b/>
        </w:rPr>
      </w:pPr>
      <w:r w:rsidRPr="000665B0">
        <w:rPr>
          <w:b/>
        </w:rPr>
        <w:t>ACMSs/Area Conditions Tab</w:t>
      </w:r>
    </w:p>
    <w:p w14:paraId="15F606F3" w14:textId="77777777" w:rsidR="004342EB" w:rsidRPr="000665B0" w:rsidRDefault="004342EB" w:rsidP="009570CA">
      <w:r w:rsidRPr="000665B0">
        <w:t xml:space="preserve">The </w:t>
      </w:r>
      <w:r w:rsidRPr="000665B0">
        <w:rPr>
          <w:b/>
          <w:i/>
        </w:rPr>
        <w:t>ACMSs/Area Conditions</w:t>
      </w:r>
      <w:r w:rsidRPr="000665B0">
        <w:t xml:space="preserve"> tab displays the area constraints and selected ACMSs for the TMPR.</w:t>
      </w:r>
    </w:p>
    <w:p w14:paraId="1A7562FC" w14:textId="45441673" w:rsidR="000D70ED" w:rsidRPr="000665B0" w:rsidRDefault="00AC6873" w:rsidP="009570CA">
      <w:pPr>
        <w:jc w:val="center"/>
      </w:pPr>
      <w:r w:rsidRPr="000665B0">
        <w:rPr>
          <w:noProof/>
        </w:rPr>
        <w:lastRenderedPageBreak/>
        <w:drawing>
          <wp:inline distT="0" distB="0" distL="0" distR="0" wp14:anchorId="22F26936" wp14:editId="5E8D7329">
            <wp:extent cx="3154680" cy="329184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291840"/>
                    </a:xfrm>
                    <a:prstGeom prst="rect">
                      <a:avLst/>
                    </a:prstGeom>
                  </pic:spPr>
                </pic:pic>
              </a:graphicData>
            </a:graphic>
          </wp:inline>
        </w:drawing>
      </w:r>
    </w:p>
    <w:p w14:paraId="246314B2" w14:textId="77777777" w:rsidR="000D70ED" w:rsidRPr="000665B0" w:rsidRDefault="000D70ED" w:rsidP="009570CA">
      <w:pPr>
        <w:rPr>
          <w:b/>
          <w:i/>
        </w:rPr>
      </w:pPr>
      <w:r w:rsidRPr="000665B0">
        <w:rPr>
          <w:b/>
          <w:i/>
        </w:rPr>
        <w:t>ACMS List View</w:t>
      </w:r>
    </w:p>
    <w:p w14:paraId="081DBE85" w14:textId="77777777" w:rsidR="000D70ED" w:rsidRPr="000665B0" w:rsidRDefault="000D70ED" w:rsidP="006D5A65">
      <w:pPr>
        <w:pStyle w:val="Heading1"/>
      </w:pPr>
      <w:r w:rsidRPr="000665B0">
        <w:t>Columns</w:t>
      </w:r>
    </w:p>
    <w:p w14:paraId="78229D39" w14:textId="1F7F5A18" w:rsidR="000D70ED" w:rsidRPr="000665B0" w:rsidRDefault="00A8013A" w:rsidP="006D5A65">
      <w:pPr>
        <w:pStyle w:val="Heading2"/>
      </w:pPr>
      <w:r w:rsidRPr="000665B0">
        <w:t xml:space="preserve">For all column descriptions, see </w:t>
      </w:r>
      <w:hyperlink w:anchor="_5.35.1.2__Create_1" w:history="1">
        <w:r w:rsidRPr="000665B0">
          <w:rPr>
            <w:color w:val="0000FF"/>
            <w:u w:val="single"/>
          </w:rPr>
          <w:t xml:space="preserve">Section </w:t>
        </w:r>
        <w:r w:rsidR="004231CC">
          <w:rPr>
            <w:color w:val="0000FF"/>
            <w:u w:val="single"/>
          </w:rPr>
          <w:t>5.31</w:t>
        </w:r>
        <w:r w:rsidRPr="000665B0">
          <w:rPr>
            <w:color w:val="0000FF"/>
            <w:u w:val="single"/>
          </w:rPr>
          <w:t>.1.2</w:t>
        </w:r>
      </w:hyperlink>
      <w:r w:rsidRPr="000665B0">
        <w:t>.</w:t>
      </w:r>
    </w:p>
    <w:p w14:paraId="62F69AA7" w14:textId="77777777" w:rsidR="000D70ED" w:rsidRPr="000665B0" w:rsidRDefault="000D70ED" w:rsidP="006D5A65">
      <w:pPr>
        <w:pStyle w:val="Heading1"/>
      </w:pPr>
      <w:r w:rsidRPr="000665B0">
        <w:t>Context Menu</w:t>
      </w:r>
    </w:p>
    <w:p w14:paraId="2997D7C1" w14:textId="601E12B7" w:rsidR="00A8013A" w:rsidRPr="000665B0" w:rsidRDefault="00A8013A" w:rsidP="006D5A65">
      <w:pPr>
        <w:pStyle w:val="Heading2"/>
      </w:pPr>
      <w:r w:rsidRPr="000665B0">
        <w:t>Add… – Opens a selection view to allow the user to add ACMSs to the TMPR.</w:t>
      </w:r>
    </w:p>
    <w:p w14:paraId="413CCDD9" w14:textId="77777777" w:rsidR="00A8013A" w:rsidRPr="000665B0" w:rsidRDefault="00A8013A" w:rsidP="006D5A65">
      <w:pPr>
        <w:pStyle w:val="Heading2"/>
      </w:pPr>
      <w:r w:rsidRPr="000665B0">
        <w:t>Display</w:t>
      </w:r>
    </w:p>
    <w:p w14:paraId="54B1C34A" w14:textId="77777777" w:rsidR="00A8013A" w:rsidRPr="000665B0" w:rsidRDefault="00A8013A" w:rsidP="006D5A65">
      <w:pPr>
        <w:pStyle w:val="Heading3"/>
      </w:pPr>
      <w:r w:rsidRPr="000665B0">
        <w:t>Textually – Displays the selected ACMS(s) textually.</w:t>
      </w:r>
    </w:p>
    <w:p w14:paraId="429DD655" w14:textId="77777777" w:rsidR="00A8013A" w:rsidRPr="000665B0" w:rsidRDefault="00A8013A" w:rsidP="006D5A65">
      <w:pPr>
        <w:pStyle w:val="Heading3"/>
      </w:pPr>
      <w:r w:rsidRPr="000665B0">
        <w:t>Geographically – Displays the selected ACMS(s) geographically.</w:t>
      </w:r>
    </w:p>
    <w:p w14:paraId="3C345CA9" w14:textId="77777777" w:rsidR="00A8013A" w:rsidRPr="000665B0" w:rsidRDefault="00A8013A" w:rsidP="006D5A65">
      <w:pPr>
        <w:pStyle w:val="Heading3"/>
      </w:pPr>
      <w:r w:rsidRPr="000665B0">
        <w:t>References – Displays the selected ACMS(s) references.</w:t>
      </w:r>
    </w:p>
    <w:p w14:paraId="3FD39ACF" w14:textId="77777777" w:rsidR="00A8013A" w:rsidRPr="000665B0" w:rsidRDefault="00A8013A" w:rsidP="006D5A65">
      <w:pPr>
        <w:pStyle w:val="Heading3"/>
      </w:pPr>
      <w:r w:rsidRPr="000665B0">
        <w:t>in Excel – Displays the selected ACMS(s) summary data in Excel.</w:t>
      </w:r>
    </w:p>
    <w:p w14:paraId="33E6C1C1" w14:textId="77777777" w:rsidR="00A8013A" w:rsidRPr="000665B0" w:rsidRDefault="00A8013A" w:rsidP="006D5A65">
      <w:pPr>
        <w:pStyle w:val="Heading2"/>
      </w:pPr>
      <w:r w:rsidRPr="000665B0">
        <w:t xml:space="preserve">Edit, Color, Style, and Width Properties – Displays the </w:t>
      </w:r>
      <w:r w:rsidRPr="000665B0">
        <w:rPr>
          <w:i/>
        </w:rPr>
        <w:t>Edit, Color, Style and Width Properties</w:t>
      </w:r>
      <w:r w:rsidRPr="000665B0">
        <w:t xml:space="preserve"> dialog for the selected ACMS.</w:t>
      </w:r>
    </w:p>
    <w:p w14:paraId="36A3D8B0" w14:textId="77777777" w:rsidR="00A8013A" w:rsidRPr="000665B0" w:rsidRDefault="00A8013A" w:rsidP="006D5A65">
      <w:pPr>
        <w:pStyle w:val="Heading2"/>
      </w:pPr>
      <w:r w:rsidRPr="000665B0">
        <w:t xml:space="preserve">Create ACMS Library… – Displays the </w:t>
      </w:r>
      <w:r w:rsidRPr="000665B0">
        <w:rPr>
          <w:i/>
        </w:rPr>
        <w:t>ACMS Library</w:t>
      </w:r>
      <w:r w:rsidRPr="000665B0">
        <w:t xml:space="preserve"> dialog with the selected ACMS(s) populated in it.</w:t>
      </w:r>
    </w:p>
    <w:p w14:paraId="46BCAE08" w14:textId="77777777" w:rsidR="00A8013A" w:rsidRPr="000665B0" w:rsidRDefault="00A8013A" w:rsidP="006D5A65">
      <w:pPr>
        <w:pStyle w:val="Heading2"/>
      </w:pPr>
      <w:r w:rsidRPr="000665B0">
        <w:lastRenderedPageBreak/>
        <w:t xml:space="preserve">Create TED Library… – Displays the </w:t>
      </w:r>
      <w:r w:rsidRPr="000665B0">
        <w:rPr>
          <w:i/>
        </w:rPr>
        <w:t>TED Library</w:t>
      </w:r>
      <w:r w:rsidRPr="000665B0">
        <w:t xml:space="preserve"> dialog with the selected ACMS(s) populated in it.</w:t>
      </w:r>
    </w:p>
    <w:p w14:paraId="4F6D376E" w14:textId="77777777" w:rsidR="00A8013A" w:rsidRPr="000665B0" w:rsidRDefault="00A8013A" w:rsidP="006D5A65">
      <w:pPr>
        <w:pStyle w:val="Heading2"/>
      </w:pPr>
      <w:r w:rsidRPr="000665B0">
        <w:t xml:space="preserve">Send… – Displays a new </w:t>
      </w:r>
      <w:r w:rsidRPr="000665B0">
        <w:rPr>
          <w:i/>
        </w:rPr>
        <w:t>DDO Template</w:t>
      </w:r>
      <w:r w:rsidRPr="000665B0">
        <w:t xml:space="preserve"> with the selected ACMS(s) pre-populated in the ACMS tab.</w:t>
      </w:r>
    </w:p>
    <w:p w14:paraId="2BF45E97" w14:textId="77777777" w:rsidR="00A8013A" w:rsidRPr="000665B0" w:rsidRDefault="00A8013A" w:rsidP="006D5A65">
      <w:pPr>
        <w:pStyle w:val="Heading2"/>
      </w:pPr>
      <w:r w:rsidRPr="000665B0">
        <w:t>Print… – Prints the selected ACMS’s list information.</w:t>
      </w:r>
    </w:p>
    <w:p w14:paraId="58DD8259" w14:textId="77777777" w:rsidR="00B461D1" w:rsidRPr="000665B0" w:rsidRDefault="00A8013A" w:rsidP="006D5A65">
      <w:pPr>
        <w:pStyle w:val="Heading2"/>
      </w:pPr>
      <w:r w:rsidRPr="000665B0">
        <w:t>Remove –</w:t>
      </w:r>
      <w:r w:rsidRPr="000665B0">
        <w:rPr>
          <w:rFonts w:eastAsia="Arial Unicode MS"/>
        </w:rPr>
        <w:t xml:space="preserve"> </w:t>
      </w:r>
      <w:r w:rsidRPr="000665B0">
        <w:t>Removes the selected ACMS(s) from the ACMS List View.</w:t>
      </w:r>
    </w:p>
    <w:p w14:paraId="44DE72B7" w14:textId="77777777" w:rsidR="000D70ED" w:rsidRPr="000665B0" w:rsidRDefault="000D70ED" w:rsidP="009570CA">
      <w:r w:rsidRPr="000665B0">
        <w:t xml:space="preserve">To add an ACMS: </w:t>
      </w:r>
    </w:p>
    <w:p w14:paraId="24E39CEA" w14:textId="76A22E4C" w:rsidR="000D70ED" w:rsidRPr="000665B0" w:rsidRDefault="00D71804" w:rsidP="006D5A65">
      <w:pPr>
        <w:pStyle w:val="Heading1"/>
      </w:pPr>
      <w:r w:rsidRPr="000665B0">
        <w:t>Right-click</w:t>
      </w:r>
      <w:r w:rsidR="000D70ED" w:rsidRPr="000665B0">
        <w:t xml:space="preserve"> the data pane and select Add…. </w:t>
      </w:r>
    </w:p>
    <w:p w14:paraId="4B078CF5" w14:textId="77777777" w:rsidR="00A8013A" w:rsidRPr="000665B0" w:rsidRDefault="00A8013A" w:rsidP="006D5A65">
      <w:pPr>
        <w:pStyle w:val="Heading1"/>
      </w:pPr>
      <w:r w:rsidRPr="000665B0">
        <w:t xml:space="preserve">Select ACMSs… or From Library </w:t>
      </w:r>
      <w:r w:rsidRPr="000665B0">
        <w:rPr>
          <w:rFonts w:cs="Arial"/>
          <w:sz w:val="20"/>
        </w:rPr>
        <w:t>►</w:t>
      </w:r>
      <w:r w:rsidRPr="000665B0">
        <w:t xml:space="preserve"> ACMS Libraries… or TED Libraries….</w:t>
      </w:r>
    </w:p>
    <w:p w14:paraId="7BB76592" w14:textId="77777777" w:rsidR="00A8013A" w:rsidRPr="000665B0" w:rsidRDefault="00A8013A" w:rsidP="006D5A65">
      <w:pPr>
        <w:pStyle w:val="Heading1"/>
      </w:pPr>
      <w:r w:rsidRPr="000665B0">
        <w:t xml:space="preserve">The </w:t>
      </w:r>
      <w:r w:rsidRPr="000665B0">
        <w:rPr>
          <w:i/>
        </w:rPr>
        <w:t>ACMSs</w:t>
      </w:r>
      <w:r w:rsidRPr="000665B0">
        <w:t xml:space="preserve"> or </w:t>
      </w:r>
      <w:r w:rsidRPr="000665B0">
        <w:rPr>
          <w:i/>
        </w:rPr>
        <w:t>Libraries</w:t>
      </w:r>
      <w:r w:rsidRPr="000665B0">
        <w:t xml:space="preserve"> selection window is displayed. Select the appropriate ACMS(s) and click the OK button.</w:t>
      </w:r>
    </w:p>
    <w:p w14:paraId="45C098AF" w14:textId="77777777" w:rsidR="00A8013A" w:rsidRPr="000665B0" w:rsidRDefault="00A8013A" w:rsidP="009570CA">
      <w:pPr>
        <w:pStyle w:val="Number0205"/>
        <w:ind w:left="360" w:firstLine="0"/>
      </w:pPr>
      <w:r w:rsidRPr="000665B0">
        <w:t>or</w:t>
      </w:r>
    </w:p>
    <w:p w14:paraId="08AE5B27" w14:textId="77777777" w:rsidR="000D70ED" w:rsidRPr="000665B0" w:rsidRDefault="00A8013A" w:rsidP="006D5A65">
      <w:pPr>
        <w:pStyle w:val="Heading1"/>
      </w:pPr>
      <w:r w:rsidRPr="000665B0">
        <w:t>Drag and drop selected ACMSs from the ACMS tool.</w:t>
      </w:r>
    </w:p>
    <w:p w14:paraId="23EB9806"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033E224" w14:textId="77777777" w:rsidR="00A8013A" w:rsidRPr="000665B0" w:rsidRDefault="00A8013A"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TMPR author needs to ensure applicable ACMSs are held at the Planning Org or must send the applicable ACMSs to the Planning Org along with the TMPR. If the Planning Org does not hold the ACMSs referenced in a TMPR, the mission planner may not be able to successfully complete the TMPR as requested.</w:t>
      </w:r>
    </w:p>
    <w:p w14:paraId="01774F41" w14:textId="4444187B" w:rsidR="00A8013A" w:rsidRPr="000665B0" w:rsidRDefault="00A8013A" w:rsidP="009570CA">
      <w:pPr>
        <w:spacing w:line="240" w:lineRule="auto"/>
        <w:rPr>
          <w:szCs w:val="24"/>
        </w:rPr>
      </w:pPr>
      <w:r w:rsidRPr="000665B0">
        <w:rPr>
          <w:szCs w:val="24"/>
        </w:rPr>
        <w:t xml:space="preserve">The user can also </w:t>
      </w:r>
      <w:r w:rsidRPr="000665B0">
        <w:rPr>
          <w:b/>
          <w:szCs w:val="24"/>
        </w:rPr>
        <w:t xml:space="preserve">Display </w:t>
      </w:r>
      <w:r w:rsidRPr="000665B0">
        <w:rPr>
          <w:szCs w:val="24"/>
        </w:rPr>
        <w:t>(</w:t>
      </w:r>
      <w:r w:rsidRPr="000665B0">
        <w:rPr>
          <w:b/>
          <w:szCs w:val="24"/>
        </w:rPr>
        <w:t>Textually</w:t>
      </w:r>
      <w:r w:rsidRPr="000665B0">
        <w:rPr>
          <w:szCs w:val="24"/>
        </w:rPr>
        <w:t xml:space="preserve">, </w:t>
      </w:r>
      <w:r w:rsidRPr="000665B0">
        <w:rPr>
          <w:b/>
          <w:szCs w:val="24"/>
        </w:rPr>
        <w:t>Geographically</w:t>
      </w:r>
      <w:r w:rsidRPr="000665B0">
        <w:rPr>
          <w:szCs w:val="24"/>
        </w:rPr>
        <w:t xml:space="preserve">, </w:t>
      </w:r>
      <w:r w:rsidRPr="000665B0">
        <w:rPr>
          <w:b/>
          <w:szCs w:val="24"/>
        </w:rPr>
        <w:t>References</w:t>
      </w:r>
      <w:r w:rsidRPr="000665B0">
        <w:rPr>
          <w:szCs w:val="24"/>
        </w:rPr>
        <w:t xml:space="preserve">, and </w:t>
      </w:r>
      <w:r w:rsidRPr="000665B0">
        <w:rPr>
          <w:b/>
          <w:szCs w:val="24"/>
        </w:rPr>
        <w:t>in Excel</w:t>
      </w:r>
      <w:r w:rsidRPr="000665B0">
        <w:rPr>
          <w:szCs w:val="24"/>
        </w:rPr>
        <w:t xml:space="preserve">), </w:t>
      </w:r>
      <w:r w:rsidRPr="000665B0">
        <w:rPr>
          <w:b/>
          <w:szCs w:val="24"/>
        </w:rPr>
        <w:t>Send</w:t>
      </w:r>
      <w:r w:rsidRPr="000665B0">
        <w:rPr>
          <w:szCs w:val="24"/>
        </w:rPr>
        <w:t xml:space="preserve">, </w:t>
      </w:r>
      <w:r w:rsidRPr="000665B0">
        <w:rPr>
          <w:b/>
          <w:szCs w:val="24"/>
        </w:rPr>
        <w:t>Print, and Remove</w:t>
      </w:r>
      <w:r w:rsidRPr="000665B0">
        <w:rPr>
          <w:szCs w:val="24"/>
        </w:rPr>
        <w:t xml:space="preserve"> elements. See </w:t>
      </w:r>
      <w:hyperlink w:anchor="_5.2__COMMON_2" w:history="1">
        <w:r w:rsidRPr="000665B0">
          <w:rPr>
            <w:color w:val="0000FF"/>
            <w:szCs w:val="24"/>
            <w:u w:val="single"/>
          </w:rPr>
          <w:t>Section 5.2</w:t>
        </w:r>
      </w:hyperlink>
      <w:r w:rsidRPr="000665B0">
        <w:rPr>
          <w:szCs w:val="24"/>
        </w:rPr>
        <w:t xml:space="preserve"> for information on how to perform those features.</w:t>
      </w:r>
    </w:p>
    <w:p w14:paraId="592831BA" w14:textId="63ECA542" w:rsidR="000D70ED" w:rsidRPr="000665B0" w:rsidRDefault="000D70ED" w:rsidP="009570CA">
      <w:pPr>
        <w:pStyle w:val="Normal1"/>
        <w:spacing w:before="0" w:beforeAutospacing="0" w:after="120" w:afterAutospacing="0"/>
      </w:pPr>
      <w:r w:rsidRPr="000665B0">
        <w:t xml:space="preserve">For information on how to </w:t>
      </w:r>
      <w:r w:rsidRPr="000665B0">
        <w:rPr>
          <w:b/>
        </w:rPr>
        <w:t>Edit, Color, Style, and Width Properties</w:t>
      </w:r>
      <w:r w:rsidRPr="000665B0">
        <w:t xml:space="preserve">, and </w:t>
      </w:r>
      <w:r w:rsidRPr="000665B0">
        <w:rPr>
          <w:b/>
        </w:rPr>
        <w:t>Create ACMS Library</w:t>
      </w:r>
      <w:r w:rsidRPr="000665B0">
        <w:t xml:space="preserve">, see </w:t>
      </w:r>
      <w:hyperlink w:anchor="_5.34__ACMSs_TOOL" w:history="1">
        <w:r w:rsidR="00EE4996" w:rsidRPr="000665B0">
          <w:rPr>
            <w:rStyle w:val="Hyperlink"/>
          </w:rPr>
          <w:t xml:space="preserve">Section </w:t>
        </w:r>
        <w:r w:rsidR="004231CC">
          <w:rPr>
            <w:rStyle w:val="Hyperlink"/>
          </w:rPr>
          <w:t>5.29</w:t>
        </w:r>
      </w:hyperlink>
      <w:r w:rsidRPr="000665B0">
        <w:t>.</w:t>
      </w:r>
      <w:r w:rsidR="00A8013A" w:rsidRPr="000665B0">
        <w:rPr>
          <w:szCs w:val="20"/>
        </w:rPr>
        <w:t xml:space="preserve"> For information on creating a TED Library see </w:t>
      </w:r>
      <w:hyperlink w:anchor="_5.13.1.1__New" w:history="1">
        <w:r w:rsidR="00A8013A" w:rsidRPr="000665B0">
          <w:rPr>
            <w:color w:val="0000FF"/>
            <w:szCs w:val="20"/>
            <w:u w:val="single"/>
          </w:rPr>
          <w:t>Section 5.</w:t>
        </w:r>
        <w:r w:rsidR="00C77A5E" w:rsidRPr="000665B0">
          <w:rPr>
            <w:color w:val="0000FF"/>
            <w:szCs w:val="20"/>
            <w:u w:val="single"/>
          </w:rPr>
          <w:t>12</w:t>
        </w:r>
        <w:r w:rsidR="00A8013A" w:rsidRPr="000665B0">
          <w:rPr>
            <w:color w:val="0000FF"/>
            <w:szCs w:val="20"/>
            <w:u w:val="single"/>
          </w:rPr>
          <w:t>.1.1</w:t>
        </w:r>
      </w:hyperlink>
      <w:r w:rsidR="00A8013A" w:rsidRPr="000665B0">
        <w:rPr>
          <w:color w:val="0000FF"/>
          <w:szCs w:val="20"/>
          <w:u w:val="single"/>
        </w:rPr>
        <w:t>.</w:t>
      </w:r>
    </w:p>
    <w:p w14:paraId="7608807D" w14:textId="77777777" w:rsidR="000D70ED" w:rsidRPr="000665B0" w:rsidRDefault="000D70ED" w:rsidP="009570CA">
      <w:pPr>
        <w:rPr>
          <w:b/>
        </w:rPr>
      </w:pPr>
      <w:r w:rsidRPr="000665B0">
        <w:rPr>
          <w:b/>
        </w:rPr>
        <w:t>Missile Health &amp; Status Tab</w:t>
      </w:r>
    </w:p>
    <w:p w14:paraId="3F36317F" w14:textId="77777777" w:rsidR="000D70ED" w:rsidRPr="000665B0" w:rsidRDefault="000D70ED" w:rsidP="009570CA">
      <w:r w:rsidRPr="000665B0">
        <w:t>The Missile Health &amp; Status tab displays health and status information for the missile that is being retargeted.</w:t>
      </w:r>
    </w:p>
    <w:p w14:paraId="1D15B92B" w14:textId="7CC0E79E" w:rsidR="000D70ED" w:rsidRPr="000665B0" w:rsidRDefault="00AC6873" w:rsidP="009570CA">
      <w:pPr>
        <w:jc w:val="center"/>
      </w:pPr>
      <w:r w:rsidRPr="000665B0">
        <w:rPr>
          <w:noProof/>
        </w:rPr>
        <w:lastRenderedPageBreak/>
        <w:drawing>
          <wp:inline distT="0" distB="0" distL="0" distR="0" wp14:anchorId="6D7C7CC6" wp14:editId="64FA60A8">
            <wp:extent cx="3154680" cy="3300984"/>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300984"/>
                    </a:xfrm>
                    <a:prstGeom prst="rect">
                      <a:avLst/>
                    </a:prstGeom>
                  </pic:spPr>
                </pic:pic>
              </a:graphicData>
            </a:graphic>
          </wp:inline>
        </w:drawing>
      </w:r>
    </w:p>
    <w:p w14:paraId="656D6CE7" w14:textId="77777777" w:rsidR="000D70ED" w:rsidRPr="000665B0" w:rsidRDefault="000D70ED" w:rsidP="009570CA">
      <w:pPr>
        <w:rPr>
          <w:b/>
          <w:i/>
        </w:rPr>
      </w:pPr>
      <w:r w:rsidRPr="000665B0">
        <w:rPr>
          <w:b/>
          <w:i/>
        </w:rPr>
        <w:t>Missile Health &amp; Status List View</w:t>
      </w:r>
    </w:p>
    <w:p w14:paraId="31F7C24B" w14:textId="77777777" w:rsidR="000D70ED" w:rsidRPr="000665B0" w:rsidRDefault="000D70ED" w:rsidP="006D5A65">
      <w:pPr>
        <w:pStyle w:val="Heading1"/>
      </w:pPr>
      <w:r w:rsidRPr="000665B0">
        <w:t>Columns</w:t>
      </w:r>
    </w:p>
    <w:p w14:paraId="08E59210" w14:textId="77777777" w:rsidR="000D70ED" w:rsidRPr="000665B0" w:rsidRDefault="000D70ED" w:rsidP="006D5A65">
      <w:pPr>
        <w:pStyle w:val="Heading2"/>
      </w:pPr>
      <w:r w:rsidRPr="000665B0">
        <w:t>Missile Heading – Current missile heading in degrees true.</w:t>
      </w:r>
    </w:p>
    <w:p w14:paraId="6A2128FB" w14:textId="77777777" w:rsidR="000D70ED" w:rsidRPr="000665B0" w:rsidRDefault="000D70ED" w:rsidP="006D5A65">
      <w:pPr>
        <w:pStyle w:val="Heading2"/>
      </w:pPr>
      <w:r w:rsidRPr="000665B0">
        <w:t>Fuel Used (range 0 – 2000 pounds) – The amount of fuel the missile has used.</w:t>
      </w:r>
    </w:p>
    <w:p w14:paraId="152E15BB" w14:textId="77777777" w:rsidR="004F7F8F" w:rsidRPr="000665B0" w:rsidRDefault="004F7F8F" w:rsidP="006D5A65">
      <w:pPr>
        <w:pStyle w:val="Heading2"/>
      </w:pPr>
      <w:r w:rsidRPr="000665B0">
        <w:t>Last Action Point Passed – Index of last action point passed, or zero if none.</w:t>
      </w:r>
    </w:p>
    <w:p w14:paraId="240453AB" w14:textId="77777777" w:rsidR="000D70ED" w:rsidRPr="000665B0" w:rsidRDefault="000D70ED" w:rsidP="006D5A65">
      <w:pPr>
        <w:pStyle w:val="Heading2"/>
      </w:pPr>
      <w:r w:rsidRPr="000665B0">
        <w:t>Branch ID – Branch IDs are a numbering scheme used for the Primary Route (which is always Branch ID 0) and each of the Flex Routes in 109E mission.</w:t>
      </w:r>
    </w:p>
    <w:p w14:paraId="550A8B74" w14:textId="77777777" w:rsidR="000D70ED" w:rsidRPr="000665B0" w:rsidRDefault="000D70ED" w:rsidP="006D5A65">
      <w:pPr>
        <w:pStyle w:val="Heading2"/>
      </w:pPr>
      <w:r w:rsidRPr="000665B0">
        <w:t>Radial Position Uncertainty (range 0 – 2000 feet) – Indicates the accuracy of the missile’s current navigation solution.</w:t>
      </w:r>
    </w:p>
    <w:p w14:paraId="1094D429" w14:textId="77777777" w:rsidR="000D70ED" w:rsidRPr="000665B0" w:rsidRDefault="000D70ED" w:rsidP="006D5A65">
      <w:pPr>
        <w:pStyle w:val="Heading2"/>
      </w:pPr>
      <w:r w:rsidRPr="000665B0">
        <w:t>Received DTG – The DTG of when the status was last received.</w:t>
      </w:r>
    </w:p>
    <w:p w14:paraId="389BD567" w14:textId="77777777" w:rsidR="000D70ED" w:rsidRPr="000665B0" w:rsidRDefault="000D70ED" w:rsidP="006D5A65">
      <w:pPr>
        <w:pStyle w:val="Heading2"/>
        <w:rPr>
          <w:lang w:val="fr-FR"/>
        </w:rPr>
      </w:pPr>
      <w:r w:rsidRPr="000665B0">
        <w:rPr>
          <w:lang w:val="fr-FR"/>
        </w:rPr>
        <w:t>Latitude/Longitude –</w:t>
      </w:r>
      <w:r w:rsidRPr="000665B0">
        <w:t xml:space="preserve"> Current</w:t>
      </w:r>
      <w:r w:rsidRPr="000665B0">
        <w:rPr>
          <w:lang w:val="fr-FR"/>
        </w:rPr>
        <w:t xml:space="preserve"> missile Latitude/Longitude.</w:t>
      </w:r>
    </w:p>
    <w:p w14:paraId="4D56A636" w14:textId="77777777" w:rsidR="000D70ED" w:rsidRPr="000665B0" w:rsidRDefault="000D70ED" w:rsidP="006D5A65">
      <w:pPr>
        <w:pStyle w:val="Heading1"/>
      </w:pPr>
      <w:r w:rsidRPr="000665B0">
        <w:lastRenderedPageBreak/>
        <w:t>Context Menu</w:t>
      </w:r>
    </w:p>
    <w:p w14:paraId="10333EA3" w14:textId="77777777" w:rsidR="000D70ED" w:rsidRPr="000665B0" w:rsidRDefault="000D70ED" w:rsidP="006D5A65">
      <w:pPr>
        <w:pStyle w:val="Heading2"/>
      </w:pPr>
      <w:r w:rsidRPr="000665B0">
        <w:t>Display</w:t>
      </w:r>
    </w:p>
    <w:p w14:paraId="18F69E9A" w14:textId="77777777" w:rsidR="000D70ED" w:rsidRPr="000665B0" w:rsidRDefault="000D70ED" w:rsidP="006D5A65">
      <w:pPr>
        <w:pStyle w:val="Heading3"/>
      </w:pPr>
      <w:r w:rsidRPr="000665B0">
        <w:t>in Excel – Displays the selected Branch ID(s) information in Excel.</w:t>
      </w:r>
    </w:p>
    <w:p w14:paraId="482F33F1" w14:textId="77777777" w:rsidR="004F7F8F" w:rsidRPr="000665B0" w:rsidRDefault="004F7F8F" w:rsidP="006D5A65">
      <w:pPr>
        <w:pStyle w:val="Heading2"/>
      </w:pPr>
      <w:r w:rsidRPr="000665B0">
        <w:t>Print… – Prints the selected Branch ID list information.</w:t>
      </w:r>
    </w:p>
    <w:p w14:paraId="55E86EA7" w14:textId="191E0DF6" w:rsidR="000D70ED" w:rsidRPr="000665B0" w:rsidRDefault="000D70ED" w:rsidP="009570CA">
      <w:pPr>
        <w:pStyle w:val="Normal1"/>
        <w:spacing w:before="0" w:beforeAutospacing="0" w:after="120" w:afterAutospacing="0"/>
      </w:pPr>
      <w:r w:rsidRPr="000665B0">
        <w:t xml:space="preserve">The user can </w:t>
      </w:r>
      <w:r w:rsidRPr="000665B0">
        <w:rPr>
          <w:b/>
        </w:rPr>
        <w:t xml:space="preserve">Display </w:t>
      </w:r>
      <w:r w:rsidRPr="000665B0">
        <w:t>(</w:t>
      </w:r>
      <w:r w:rsidRPr="000665B0">
        <w:rPr>
          <w:b/>
        </w:rPr>
        <w:t>in Excel</w:t>
      </w:r>
      <w:r w:rsidRPr="000665B0">
        <w:t xml:space="preserve">), and </w:t>
      </w:r>
      <w:r w:rsidRPr="000665B0">
        <w:rPr>
          <w:b/>
        </w:rPr>
        <w:t>Print</w:t>
      </w:r>
      <w:r w:rsidRPr="000665B0">
        <w:t xml:space="preserve"> elements. See</w:t>
      </w:r>
      <w:r w:rsidR="00931728" w:rsidRPr="000665B0">
        <w:t xml:space="preserve"> </w:t>
      </w:r>
      <w:hyperlink w:anchor="_5.2__COMMON_2" w:history="1">
        <w:r w:rsidRPr="000665B0">
          <w:rPr>
            <w:rStyle w:val="Hyperlink"/>
          </w:rPr>
          <w:t>Section 5.2</w:t>
        </w:r>
      </w:hyperlink>
      <w:r w:rsidRPr="000665B0">
        <w:t xml:space="preserve"> for information on how to perform those features.</w:t>
      </w:r>
    </w:p>
    <w:p w14:paraId="50E9EF28" w14:textId="77777777" w:rsidR="000D70ED" w:rsidRPr="000665B0" w:rsidRDefault="000D70ED" w:rsidP="009570CA">
      <w:pPr>
        <w:keepNext/>
        <w:tabs>
          <w:tab w:val="left" w:pos="5955"/>
        </w:tabs>
        <w:rPr>
          <w:b/>
        </w:rPr>
      </w:pPr>
      <w:r w:rsidRPr="000665B0">
        <w:rPr>
          <w:b/>
        </w:rPr>
        <w:t>TMPR Status Tab</w:t>
      </w:r>
    </w:p>
    <w:p w14:paraId="3988C05A" w14:textId="77777777" w:rsidR="004F7F8F" w:rsidRPr="000665B0" w:rsidRDefault="004F7F8F" w:rsidP="009570CA">
      <w:r w:rsidRPr="000665B0">
        <w:t xml:space="preserve">Once the TMPR has been submitted and has been processed by TPS, the </w:t>
      </w:r>
      <w:r w:rsidRPr="000665B0">
        <w:rPr>
          <w:b/>
          <w:i/>
        </w:rPr>
        <w:t>TMPR Status</w:t>
      </w:r>
      <w:r w:rsidRPr="000665B0">
        <w:t xml:space="preserve"> tab will contain information.</w:t>
      </w:r>
    </w:p>
    <w:p w14:paraId="4E4808F9" w14:textId="297476FD" w:rsidR="000D70ED" w:rsidRPr="000665B0" w:rsidRDefault="00BD0857" w:rsidP="009570CA">
      <w:pPr>
        <w:jc w:val="center"/>
      </w:pPr>
      <w:r w:rsidRPr="000665B0">
        <w:rPr>
          <w:noProof/>
        </w:rPr>
        <w:drawing>
          <wp:inline distT="0" distB="0" distL="0" distR="0" wp14:anchorId="7405832D" wp14:editId="09134310">
            <wp:extent cx="3154680" cy="3282696"/>
            <wp:effectExtent l="0" t="0" r="0" b="0"/>
            <wp:docPr id="633688084" name="Picture 633688084"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88084" name="Picture 633688084" descr="Graphical user interface, text, application, email&#10;&#10;AI-generated content may be incorrect."/>
                    <pic:cNvPicPr/>
                  </pic:nvPicPr>
                  <pic:blipFill>
                    <a:blip/>
                    <a:stretch>
                      <a:fillRect/>
                    </a:stretch>
                  </pic:blipFill>
                  <pic:spPr>
                    <a:xfrm>
                      <a:off x="0" y="0"/>
                      <a:ext cx="3154680" cy="3282696"/>
                    </a:xfrm>
                    <a:prstGeom prst="rect">
                      <a:avLst/>
                    </a:prstGeom>
                  </pic:spPr>
                </pic:pic>
              </a:graphicData>
            </a:graphic>
          </wp:inline>
        </w:drawing>
      </w:r>
    </w:p>
    <w:p w14:paraId="3C8D0EDA" w14:textId="21BD4B54" w:rsidR="000D70ED" w:rsidRPr="000665B0" w:rsidRDefault="000D70ED" w:rsidP="009570CA">
      <w:r w:rsidRPr="000665B0">
        <w:t xml:space="preserve">The </w:t>
      </w:r>
      <w:r w:rsidRPr="000665B0">
        <w:rPr>
          <w:b/>
          <w:i/>
        </w:rPr>
        <w:t>TMPR Status</w:t>
      </w:r>
      <w:r w:rsidRPr="000665B0">
        <w:t xml:space="preserve"> tab contains the mission report in the </w:t>
      </w:r>
      <w:r w:rsidRPr="000665B0">
        <w:rPr>
          <w:b/>
        </w:rPr>
        <w:t>Description</w:t>
      </w:r>
      <w:r w:rsidRPr="000665B0">
        <w:t xml:space="preserve"> </w:t>
      </w:r>
      <w:r w:rsidR="00D231B0" w:rsidRPr="000665B0">
        <w:t>pane</w:t>
      </w:r>
      <w:r w:rsidRPr="000665B0">
        <w:t>.</w:t>
      </w:r>
      <w:r w:rsidR="00290219" w:rsidRPr="000665B0">
        <w:t xml:space="preserve"> </w:t>
      </w:r>
      <w:r w:rsidRPr="000665B0">
        <w:t>In addition</w:t>
      </w:r>
      <w:r w:rsidR="00931728" w:rsidRPr="000665B0">
        <w:t>,</w:t>
      </w:r>
      <w:r w:rsidRPr="000665B0">
        <w:t xml:space="preserve"> it lists the Originator for the mission and the DTG when the mission was received.</w:t>
      </w:r>
    </w:p>
    <w:p w14:paraId="0A7F853C" w14:textId="0F067E0D" w:rsidR="000D70ED" w:rsidRPr="000665B0" w:rsidRDefault="000D70ED" w:rsidP="009570CA">
      <w:pPr>
        <w:rPr>
          <w:b/>
          <w:i/>
        </w:rPr>
      </w:pPr>
      <w:r w:rsidRPr="000665B0">
        <w:rPr>
          <w:b/>
          <w:i/>
        </w:rPr>
        <w:t>Ground Track Point(s) List View</w:t>
      </w:r>
    </w:p>
    <w:p w14:paraId="5926FF93" w14:textId="77777777" w:rsidR="000D70ED" w:rsidRPr="000665B0" w:rsidRDefault="004F7F8F" w:rsidP="009570CA">
      <w:r w:rsidRPr="000665B0">
        <w:t xml:space="preserve">The Ground Track Point(s) list view </w:t>
      </w:r>
      <w:r w:rsidRPr="000665B0">
        <w:rPr>
          <w:szCs w:val="24"/>
        </w:rPr>
        <w:t>displays a listing of the</w:t>
      </w:r>
      <w:r w:rsidRPr="000665B0">
        <w:rPr>
          <w:rFonts w:ascii="Courier New" w:hAnsi="Courier New" w:cs="Courier New"/>
          <w:sz w:val="20"/>
        </w:rPr>
        <w:t xml:space="preserve"> </w:t>
      </w:r>
      <w:r w:rsidRPr="000665B0">
        <w:t xml:space="preserve">mission’s horizontal profile. The route can be displayed geographically by selecting the </w:t>
      </w:r>
      <w:r w:rsidRPr="000665B0">
        <w:rPr>
          <w:noProof/>
          <w:position w:val="-8"/>
        </w:rPr>
        <w:drawing>
          <wp:inline distT="0" distB="0" distL="0" distR="0" wp14:anchorId="2F3D9E10" wp14:editId="42B8600D">
            <wp:extent cx="267970" cy="231775"/>
            <wp:effectExtent l="0" t="0" r="0" b="0"/>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67970" cy="231775"/>
                    </a:xfrm>
                    <a:prstGeom prst="rect">
                      <a:avLst/>
                    </a:prstGeom>
                    <a:noFill/>
                    <a:ln>
                      <a:noFill/>
                    </a:ln>
                  </pic:spPr>
                </pic:pic>
              </a:graphicData>
            </a:graphic>
          </wp:inline>
        </w:drawing>
      </w:r>
      <w:r w:rsidRPr="000665B0">
        <w:t xml:space="preserve"> tool button.</w:t>
      </w:r>
    </w:p>
    <w:p w14:paraId="48278DC2" w14:textId="77777777" w:rsidR="000D70ED" w:rsidRPr="000665B0" w:rsidRDefault="000D70ED" w:rsidP="006D5A65">
      <w:pPr>
        <w:pStyle w:val="Heading1"/>
      </w:pPr>
      <w:r w:rsidRPr="000665B0">
        <w:t>Columns</w:t>
      </w:r>
    </w:p>
    <w:p w14:paraId="30761FC6" w14:textId="77777777" w:rsidR="000D70ED" w:rsidRPr="000665B0" w:rsidRDefault="000D70ED" w:rsidP="006D5A65">
      <w:pPr>
        <w:pStyle w:val="Heading2"/>
      </w:pPr>
      <w:r w:rsidRPr="000665B0">
        <w:t>PT Sequence Number – Sequence number for the route’s points.</w:t>
      </w:r>
    </w:p>
    <w:p w14:paraId="3EADAFAB" w14:textId="77777777" w:rsidR="000D70ED" w:rsidRPr="000665B0" w:rsidRDefault="000D70ED" w:rsidP="006D5A65">
      <w:pPr>
        <w:pStyle w:val="Heading2"/>
      </w:pPr>
      <w:r w:rsidRPr="000665B0">
        <w:t>Latitude – Latitude value for the point.</w:t>
      </w:r>
    </w:p>
    <w:p w14:paraId="28390A90" w14:textId="77777777" w:rsidR="000D70ED" w:rsidRPr="000665B0" w:rsidRDefault="000D70ED" w:rsidP="006D5A65">
      <w:pPr>
        <w:pStyle w:val="Heading2"/>
      </w:pPr>
      <w:r w:rsidRPr="000665B0">
        <w:t>Longitude – Longitude value for the point.</w:t>
      </w:r>
    </w:p>
    <w:p w14:paraId="2F570F2E" w14:textId="77777777" w:rsidR="000D70ED" w:rsidRPr="000665B0" w:rsidRDefault="000D70ED" w:rsidP="006D5A65">
      <w:pPr>
        <w:pStyle w:val="Heading1"/>
      </w:pPr>
      <w:r w:rsidRPr="000665B0">
        <w:lastRenderedPageBreak/>
        <w:t>Context Menu</w:t>
      </w:r>
    </w:p>
    <w:p w14:paraId="39EE1B86" w14:textId="77777777" w:rsidR="000D70ED" w:rsidRPr="000665B0" w:rsidRDefault="000D70ED" w:rsidP="006D5A65">
      <w:pPr>
        <w:pStyle w:val="Heading2"/>
      </w:pPr>
      <w:r w:rsidRPr="000665B0">
        <w:t>Display</w:t>
      </w:r>
    </w:p>
    <w:p w14:paraId="7EA2A5EA" w14:textId="77777777" w:rsidR="000D70ED" w:rsidRPr="000665B0" w:rsidRDefault="004F7F8F" w:rsidP="006D5A65">
      <w:pPr>
        <w:pStyle w:val="Heading1"/>
      </w:pPr>
      <w:r w:rsidRPr="000665B0">
        <w:t>in Excel – Creates an Excel document containing the selected Ground Track Point’s information.</w:t>
      </w:r>
    </w:p>
    <w:p w14:paraId="40C3F1BA" w14:textId="2DA01E36" w:rsidR="000D70ED" w:rsidRPr="000665B0" w:rsidRDefault="00BE414F" w:rsidP="006D5A65">
      <w:pPr>
        <w:pStyle w:val="Heading2"/>
      </w:pPr>
      <w:r w:rsidRPr="000665B0">
        <w:t xml:space="preserve">Print… – Prints the selected Ground Track Point’s list </w:t>
      </w:r>
      <w:r w:rsidR="000C627C" w:rsidRPr="000665B0">
        <w:t>information.</w:t>
      </w:r>
    </w:p>
    <w:p w14:paraId="381D3FD1" w14:textId="74971FEE" w:rsidR="000D70ED" w:rsidRPr="000665B0" w:rsidRDefault="000D70ED" w:rsidP="00A0163E">
      <w:pPr>
        <w:pStyle w:val="Normal1"/>
        <w:spacing w:after="120" w:afterAutospacing="0"/>
      </w:pPr>
      <w:r w:rsidRPr="000665B0">
        <w:t xml:space="preserve">The user can also </w:t>
      </w:r>
      <w:r w:rsidRPr="000665B0">
        <w:rPr>
          <w:b/>
        </w:rPr>
        <w:t xml:space="preserve">Display </w:t>
      </w:r>
      <w:r w:rsidRPr="000665B0">
        <w:t>(</w:t>
      </w:r>
      <w:r w:rsidRPr="000665B0">
        <w:rPr>
          <w:b/>
        </w:rPr>
        <w:t>in Excel</w:t>
      </w:r>
      <w:r w:rsidRPr="000665B0">
        <w:t xml:space="preserve">), and </w:t>
      </w:r>
      <w:r w:rsidRPr="000665B0">
        <w:rPr>
          <w:b/>
        </w:rPr>
        <w:t>Print</w:t>
      </w:r>
      <w:r w:rsidRPr="000665B0">
        <w:t xml:space="preserve"> elements. See</w:t>
      </w:r>
      <w:r w:rsidR="00931728" w:rsidRPr="000665B0">
        <w:t xml:space="preserve"> </w:t>
      </w:r>
      <w:hyperlink w:anchor="_5.2__COMMON_2" w:history="1">
        <w:r w:rsidRPr="000665B0">
          <w:rPr>
            <w:rStyle w:val="Hyperlink"/>
          </w:rPr>
          <w:t>Section 5.2</w:t>
        </w:r>
      </w:hyperlink>
      <w:r w:rsidRPr="000665B0">
        <w:t xml:space="preserve"> for information on how to perform those features.</w:t>
      </w:r>
    </w:p>
    <w:p w14:paraId="55260732"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EEEF3F0" w14:textId="72B3CFBC"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To interpret the mission generation </w:t>
      </w:r>
      <w:r w:rsidR="00AB761E" w:rsidRPr="000665B0">
        <w:rPr>
          <w:b/>
        </w:rPr>
        <w:t>report,</w:t>
      </w:r>
      <w:r w:rsidRPr="000665B0">
        <w:rPr>
          <w:b/>
        </w:rPr>
        <w:t xml:space="preserve"> refer to the TPS SUM.</w:t>
      </w:r>
    </w:p>
    <w:p w14:paraId="201111CF" w14:textId="33F4F104" w:rsidR="000D70ED" w:rsidRPr="000665B0" w:rsidRDefault="000D70ED" w:rsidP="009570CA">
      <w:pPr>
        <w:pStyle w:val="Heading3"/>
        <w:keepNext w:val="0"/>
      </w:pPr>
      <w:bookmarkStart w:id="5870" w:name="_5.35.5__Target"/>
      <w:bookmarkStart w:id="5871" w:name="_5.35.5__Target_1"/>
      <w:bookmarkStart w:id="5872" w:name="_5.35.4__Target"/>
      <w:bookmarkStart w:id="5873" w:name="_Toc289328803"/>
      <w:bookmarkStart w:id="5874" w:name="_Toc312332040"/>
      <w:bookmarkStart w:id="5875" w:name="_Toc214283502"/>
      <w:bookmarkStart w:id="5876" w:name="_Toc194984792"/>
      <w:bookmarkEnd w:id="5861"/>
      <w:bookmarkEnd w:id="5870"/>
      <w:bookmarkEnd w:id="5871"/>
      <w:bookmarkEnd w:id="5872"/>
      <w:r w:rsidRPr="000665B0">
        <w:t>Target Information</w:t>
      </w:r>
      <w:bookmarkEnd w:id="5873"/>
      <w:bookmarkEnd w:id="5874"/>
      <w:bookmarkEnd w:id="5875"/>
    </w:p>
    <w:p w14:paraId="49E500F3" w14:textId="20702A39" w:rsidR="000D70ED" w:rsidRPr="000665B0" w:rsidRDefault="000D70ED" w:rsidP="009570CA">
      <w:r w:rsidRPr="000665B0">
        <w:t>Target Information contains more detailed information regarding a target in a TMPR.</w:t>
      </w:r>
      <w:r w:rsidR="005B5C73" w:rsidRPr="000665B0">
        <w:t xml:space="preserve"> (Does not apply to Attack Plan TMPRs.)</w:t>
      </w:r>
    </w:p>
    <w:p w14:paraId="71624071" w14:textId="1EE3B2A8" w:rsidR="000D70ED" w:rsidRPr="000665B0" w:rsidRDefault="002C1582" w:rsidP="009570CA">
      <w:pPr>
        <w:jc w:val="center"/>
      </w:pPr>
      <w:r w:rsidRPr="000665B0">
        <w:rPr>
          <w:noProof/>
        </w:rPr>
        <w:drawing>
          <wp:inline distT="0" distB="0" distL="0" distR="0" wp14:anchorId="0CAEC780" wp14:editId="387D06F3">
            <wp:extent cx="3154680" cy="3712464"/>
            <wp:effectExtent l="0" t="0" r="0" b="0"/>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712464"/>
                    </a:xfrm>
                    <a:prstGeom prst="rect">
                      <a:avLst/>
                    </a:prstGeom>
                  </pic:spPr>
                </pic:pic>
              </a:graphicData>
            </a:graphic>
          </wp:inline>
        </w:drawing>
      </w:r>
    </w:p>
    <w:p w14:paraId="614F2AE8" w14:textId="77777777" w:rsidR="000D70ED" w:rsidRPr="000665B0" w:rsidRDefault="000D70ED" w:rsidP="009570CA">
      <w:r w:rsidRPr="000665B0">
        <w:t>To view/edit the Target Information in a Create or Modify TMPR:</w:t>
      </w:r>
    </w:p>
    <w:p w14:paraId="352DE9DD" w14:textId="56107E13" w:rsidR="00BE414F" w:rsidRPr="000665B0" w:rsidRDefault="00BE414F" w:rsidP="006D5A65">
      <w:pPr>
        <w:pStyle w:val="Heading1"/>
      </w:pPr>
      <w:r w:rsidRPr="000665B0">
        <w:t xml:space="preserve">For a Create TMPR: From the File menu select New </w:t>
      </w:r>
      <w:r w:rsidRPr="000665B0">
        <w:rPr>
          <w:rFonts w:cs="Arial"/>
          <w:sz w:val="20"/>
        </w:rPr>
        <w:t>►</w:t>
      </w:r>
      <w:r w:rsidRPr="000665B0">
        <w:t xml:space="preserve"> Create TMPR</w:t>
      </w:r>
      <w:r w:rsidR="000C627C" w:rsidRPr="000665B0">
        <w:t>… or</w:t>
      </w:r>
      <w:r w:rsidRPr="000665B0">
        <w:t xml:space="preserve"> </w:t>
      </w:r>
      <w:r w:rsidR="006C53F1" w:rsidRPr="000665B0">
        <w:t xml:space="preserve">click </w:t>
      </w:r>
      <w:r w:rsidRPr="000665B0">
        <w:t xml:space="preserve">the </w:t>
      </w:r>
      <w:r w:rsidRPr="000665B0">
        <w:sym w:font="Wingdings 3" w:char="F082"/>
      </w:r>
      <w:r w:rsidRPr="000665B0">
        <w:t xml:space="preserve"> button next to the New </w:t>
      </w:r>
      <w:r w:rsidRPr="000665B0">
        <w:rPr>
          <w:noProof/>
        </w:rPr>
        <w:drawing>
          <wp:inline distT="0" distB="0" distL="0" distR="0" wp14:anchorId="3A75316E" wp14:editId="448D550D">
            <wp:extent cx="152400" cy="152400"/>
            <wp:effectExtent l="0" t="0" r="0" b="0"/>
            <wp:docPr id="1065" name="Picture 1065"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new 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r w:rsidR="006C53F1" w:rsidRPr="000665B0">
        <w:t xml:space="preserve"> and</w:t>
      </w:r>
      <w:r w:rsidRPr="000665B0">
        <w:t xml:space="preserve"> select Create TMPR</w:t>
      </w:r>
      <w:r w:rsidR="006C53F1" w:rsidRPr="000665B0">
        <w:rPr>
          <w:szCs w:val="24"/>
        </w:rPr>
        <w:t xml:space="preserve"> or </w:t>
      </w:r>
      <w:r w:rsidR="006C53F1" w:rsidRPr="000665B0">
        <w:rPr>
          <w:noProof/>
          <w:szCs w:val="24"/>
        </w:rPr>
        <w:t xml:space="preserve">invoke the context menu </w:t>
      </w:r>
      <w:r w:rsidR="006C53F1" w:rsidRPr="000665B0">
        <w:rPr>
          <w:noProof/>
          <w:szCs w:val="24"/>
        </w:rPr>
        <w:lastRenderedPageBreak/>
        <w:t xml:space="preserve">(right-click the mouse) and select New </w:t>
      </w:r>
      <w:r w:rsidR="006C53F1" w:rsidRPr="000665B0">
        <w:rPr>
          <w:rFonts w:cs="Arial"/>
          <w:sz w:val="20"/>
        </w:rPr>
        <w:t>►</w:t>
      </w:r>
      <w:r w:rsidR="006C53F1" w:rsidRPr="000665B0">
        <w:t xml:space="preserve"> Create TMPR</w:t>
      </w:r>
      <w:r w:rsidR="006C53F1" w:rsidRPr="000665B0">
        <w:rPr>
          <w:noProof/>
          <w:szCs w:val="24"/>
        </w:rPr>
        <w:t>…</w:t>
      </w:r>
      <w:r w:rsidRPr="000665B0">
        <w:t xml:space="preserve">. The </w:t>
      </w:r>
      <w:r w:rsidRPr="000665B0">
        <w:rPr>
          <w:i/>
        </w:rPr>
        <w:t>TMPR</w:t>
      </w:r>
      <w:r w:rsidRPr="000665B0">
        <w:t xml:space="preserve"> textual view window is displayed.</w:t>
      </w:r>
    </w:p>
    <w:p w14:paraId="3D71861F" w14:textId="2895A9F5" w:rsidR="00BE414F" w:rsidRPr="000665B0" w:rsidRDefault="00BE414F" w:rsidP="006D5A65">
      <w:pPr>
        <w:pStyle w:val="Heading1"/>
      </w:pPr>
      <w:r w:rsidRPr="000665B0">
        <w:t xml:space="preserve">For a Modify TMPR: From the File menu select New </w:t>
      </w:r>
      <w:r w:rsidRPr="000665B0">
        <w:rPr>
          <w:rFonts w:cs="Arial"/>
          <w:sz w:val="20"/>
        </w:rPr>
        <w:t>►</w:t>
      </w:r>
      <w:r w:rsidRPr="000665B0">
        <w:t xml:space="preserve"> Modify TMPR</w:t>
      </w:r>
      <w:r w:rsidR="000C627C" w:rsidRPr="000665B0">
        <w:t>… or</w:t>
      </w:r>
      <w:r w:rsidRPr="000665B0">
        <w:t xml:space="preserve"> </w:t>
      </w:r>
      <w:r w:rsidR="006C53F1" w:rsidRPr="000665B0">
        <w:t xml:space="preserve">click </w:t>
      </w:r>
      <w:r w:rsidRPr="000665B0">
        <w:t xml:space="preserve">the </w:t>
      </w:r>
      <w:r w:rsidRPr="000665B0">
        <w:sym w:font="Wingdings 3" w:char="F082"/>
      </w:r>
      <w:r w:rsidRPr="000665B0">
        <w:t xml:space="preserve"> button next to the New </w:t>
      </w:r>
      <w:r w:rsidRPr="000665B0">
        <w:rPr>
          <w:noProof/>
        </w:rPr>
        <w:drawing>
          <wp:inline distT="0" distB="0" distL="0" distR="0" wp14:anchorId="47A51B09" wp14:editId="7D04B700">
            <wp:extent cx="152400" cy="152400"/>
            <wp:effectExtent l="0" t="0" r="0" b="0"/>
            <wp:docPr id="1064" name="Picture 1064"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new 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r w:rsidR="006C53F1" w:rsidRPr="000665B0">
        <w:t xml:space="preserve"> and</w:t>
      </w:r>
      <w:r w:rsidRPr="000665B0">
        <w:t xml:space="preserve"> select Modify TMPR</w:t>
      </w:r>
      <w:r w:rsidR="00E971E8" w:rsidRPr="000665B0">
        <w:t>…</w:t>
      </w:r>
      <w:r w:rsidR="00E971E8" w:rsidRPr="000665B0">
        <w:rPr>
          <w:szCs w:val="24"/>
        </w:rPr>
        <w:t xml:space="preserve"> or</w:t>
      </w:r>
      <w:r w:rsidR="006C53F1" w:rsidRPr="000665B0">
        <w:rPr>
          <w:szCs w:val="24"/>
        </w:rPr>
        <w:t xml:space="preserve"> </w:t>
      </w:r>
      <w:r w:rsidR="006C53F1" w:rsidRPr="000665B0">
        <w:rPr>
          <w:noProof/>
          <w:szCs w:val="24"/>
        </w:rPr>
        <w:t xml:space="preserve">invoke the context menu (right-click the mouse) and select New </w:t>
      </w:r>
      <w:r w:rsidR="006C53F1" w:rsidRPr="000665B0">
        <w:rPr>
          <w:rFonts w:cs="Arial"/>
          <w:sz w:val="20"/>
        </w:rPr>
        <w:t xml:space="preserve">► </w:t>
      </w:r>
      <w:r w:rsidR="006C53F1" w:rsidRPr="000665B0">
        <w:rPr>
          <w:noProof/>
          <w:szCs w:val="24"/>
        </w:rPr>
        <w:t>Modify TMPR</w:t>
      </w:r>
      <w:r w:rsidRPr="000665B0">
        <w:t xml:space="preserve">. The </w:t>
      </w:r>
      <w:r w:rsidRPr="000665B0">
        <w:rPr>
          <w:i/>
        </w:rPr>
        <w:t>Missions</w:t>
      </w:r>
      <w:r w:rsidRPr="000665B0">
        <w:t xml:space="preserve"> window is displayed.</w:t>
      </w:r>
    </w:p>
    <w:p w14:paraId="47332E00" w14:textId="77777777" w:rsidR="00BE414F" w:rsidRPr="000665B0" w:rsidRDefault="00BE414F" w:rsidP="006D5A65">
      <w:pPr>
        <w:pStyle w:val="Heading1"/>
      </w:pPr>
      <w:r w:rsidRPr="000665B0">
        <w:t xml:space="preserve">From the </w:t>
      </w:r>
      <w:r w:rsidRPr="000665B0">
        <w:rPr>
          <w:i/>
        </w:rPr>
        <w:t>Missions</w:t>
      </w:r>
      <w:r w:rsidRPr="000665B0">
        <w:t xml:space="preserve"> window, select the mission to be modified and click the OK button. </w:t>
      </w:r>
    </w:p>
    <w:p w14:paraId="11788E92" w14:textId="77777777" w:rsidR="00BE414F" w:rsidRPr="000665B0" w:rsidRDefault="00BE414F" w:rsidP="006D5A65">
      <w:pPr>
        <w:pStyle w:val="Heading1"/>
      </w:pPr>
      <w:r w:rsidRPr="000665B0">
        <w:t xml:space="preserve">The </w:t>
      </w:r>
      <w:r w:rsidRPr="000665B0">
        <w:rPr>
          <w:i/>
        </w:rPr>
        <w:t>TMPR</w:t>
      </w:r>
      <w:r w:rsidRPr="000665B0">
        <w:t xml:space="preserve"> textual view window is displayed.</w:t>
      </w:r>
    </w:p>
    <w:p w14:paraId="59021EFA" w14:textId="61137FC9" w:rsidR="00BE414F" w:rsidRPr="000665B0" w:rsidRDefault="002C1582" w:rsidP="009570CA">
      <w:pPr>
        <w:jc w:val="center"/>
      </w:pPr>
      <w:r w:rsidRPr="000665B0">
        <w:rPr>
          <w:noProof/>
        </w:rPr>
        <w:drawing>
          <wp:inline distT="0" distB="0" distL="0" distR="0" wp14:anchorId="3B4ADFD7" wp14:editId="61274FEC">
            <wp:extent cx="3154680" cy="2615184"/>
            <wp:effectExtent l="0" t="0" r="0" b="0"/>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cstate="screen">
                      <a:extLst>
                        <a:ext uri="{28A0092B-C50C-407E-A947-70E740481C1C}">
                          <a14:useLocalDpi xmlns:a14="http://schemas.microsoft.com/office/drawing/2010/main"/>
                        </a:ext>
                      </a:extLst>
                    </a:blip>
                    <a:stretch>
                      <a:fillRect/>
                    </a:stretch>
                  </pic:blipFill>
                  <pic:spPr>
                    <a:xfrm>
                      <a:off x="0" y="0"/>
                      <a:ext cx="3154680" cy="2615184"/>
                    </a:xfrm>
                    <a:prstGeom prst="rect">
                      <a:avLst/>
                    </a:prstGeom>
                  </pic:spPr>
                </pic:pic>
              </a:graphicData>
            </a:graphic>
          </wp:inline>
        </w:drawing>
      </w:r>
    </w:p>
    <w:p w14:paraId="416B2F8B" w14:textId="77777777" w:rsidR="000D70ED" w:rsidRPr="000665B0" w:rsidRDefault="00BE414F" w:rsidP="006D5A65">
      <w:pPr>
        <w:pStyle w:val="Heading1"/>
      </w:pPr>
      <w:r w:rsidRPr="000665B0">
        <w:t xml:space="preserve">Click on the </w:t>
      </w:r>
      <w:r w:rsidRPr="000665B0">
        <w:rPr>
          <w:i/>
        </w:rPr>
        <w:t>Advanced</w:t>
      </w:r>
      <w:r w:rsidRPr="000665B0">
        <w:t xml:space="preserve"> tab for a Create/Modify TMPR. Ensure that the </w:t>
      </w:r>
      <w:r w:rsidRPr="000665B0">
        <w:rPr>
          <w:i/>
        </w:rPr>
        <w:t>Aimpoints</w:t>
      </w:r>
      <w:r w:rsidRPr="000665B0">
        <w:t xml:space="preserve"> tab is selected.</w:t>
      </w:r>
    </w:p>
    <w:p w14:paraId="480BAF5A" w14:textId="441A2A3F" w:rsidR="000D70ED" w:rsidRPr="000665B0" w:rsidRDefault="002C1582" w:rsidP="009570CA">
      <w:pPr>
        <w:jc w:val="center"/>
      </w:pPr>
      <w:r w:rsidRPr="000665B0">
        <w:rPr>
          <w:noProof/>
        </w:rPr>
        <w:drawing>
          <wp:inline distT="0" distB="0" distL="0" distR="0" wp14:anchorId="5373F148" wp14:editId="4D44C8EA">
            <wp:extent cx="3154680" cy="2194560"/>
            <wp:effectExtent l="0" t="0" r="0" b="0"/>
            <wp:docPr id="1161"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2194560"/>
                    </a:xfrm>
                    <a:prstGeom prst="rect">
                      <a:avLst/>
                    </a:prstGeom>
                  </pic:spPr>
                </pic:pic>
              </a:graphicData>
            </a:graphic>
          </wp:inline>
        </w:drawing>
      </w:r>
    </w:p>
    <w:p w14:paraId="0352F0F5" w14:textId="2ECEFA56" w:rsidR="00BE414F" w:rsidRPr="000665B0" w:rsidRDefault="00BE414F" w:rsidP="006D5A65">
      <w:pPr>
        <w:pStyle w:val="Heading1"/>
      </w:pPr>
      <w:r w:rsidRPr="000665B0">
        <w:lastRenderedPageBreak/>
        <w:t>For a Create TMPR: Right</w:t>
      </w:r>
      <w:r w:rsidR="00873A72" w:rsidRPr="000665B0">
        <w:t>-</w:t>
      </w:r>
      <w:r w:rsidRPr="000665B0">
        <w:t>click in the data pane and select New</w:t>
      </w:r>
      <w:r w:rsidR="000C627C" w:rsidRPr="000665B0">
        <w:t>… or</w:t>
      </w:r>
      <w:r w:rsidRPr="000665B0">
        <w:t xml:space="preserve"> drag and drop selected targets from the Targets tool.</w:t>
      </w:r>
    </w:p>
    <w:p w14:paraId="1FF291A4" w14:textId="4B481A3F" w:rsidR="00BE414F" w:rsidRPr="000665B0" w:rsidRDefault="00BE414F" w:rsidP="006D5A65">
      <w:pPr>
        <w:pStyle w:val="Heading1"/>
      </w:pPr>
      <w:r w:rsidRPr="000665B0">
        <w:t>Right</w:t>
      </w:r>
      <w:r w:rsidR="00873A72" w:rsidRPr="000665B0">
        <w:t>-</w:t>
      </w:r>
      <w:r w:rsidRPr="000665B0">
        <w:t xml:space="preserve">click an aimpoint and select Display </w:t>
      </w:r>
      <w:r w:rsidRPr="000665B0">
        <w:rPr>
          <w:rFonts w:cs="Arial"/>
          <w:sz w:val="20"/>
        </w:rPr>
        <w:t>►</w:t>
      </w:r>
      <w:r w:rsidRPr="000665B0">
        <w:t xml:space="preserve"> Textually. </w:t>
      </w:r>
    </w:p>
    <w:p w14:paraId="37CA019E" w14:textId="77777777" w:rsidR="000D70ED" w:rsidRPr="000665B0" w:rsidRDefault="00BE414F" w:rsidP="006D5A65">
      <w:pPr>
        <w:pStyle w:val="Heading1"/>
      </w:pPr>
      <w:r w:rsidRPr="000665B0">
        <w:t xml:space="preserve">The </w:t>
      </w:r>
      <w:r w:rsidRPr="000665B0">
        <w:rPr>
          <w:i/>
        </w:rPr>
        <w:t>Target Information</w:t>
      </w:r>
      <w:r w:rsidRPr="000665B0">
        <w:t xml:space="preserve"> window is displayed.</w:t>
      </w:r>
    </w:p>
    <w:p w14:paraId="5BACEE5A" w14:textId="5ED9439D" w:rsidR="000D70ED" w:rsidRPr="000665B0" w:rsidRDefault="002C1582" w:rsidP="009570CA">
      <w:pPr>
        <w:jc w:val="center"/>
      </w:pPr>
      <w:r w:rsidRPr="000665B0">
        <w:rPr>
          <w:noProof/>
        </w:rPr>
        <w:drawing>
          <wp:inline distT="0" distB="0" distL="0" distR="0" wp14:anchorId="5BED240F" wp14:editId="5284CEA6">
            <wp:extent cx="3154680" cy="3803904"/>
            <wp:effectExtent l="0" t="0" r="0" b="0"/>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803904"/>
                    </a:xfrm>
                    <a:prstGeom prst="rect">
                      <a:avLst/>
                    </a:prstGeom>
                  </pic:spPr>
                </pic:pic>
              </a:graphicData>
            </a:graphic>
          </wp:inline>
        </w:drawing>
      </w:r>
    </w:p>
    <w:p w14:paraId="1440D860" w14:textId="6EFCCE25" w:rsidR="000D70ED" w:rsidRPr="000665B0" w:rsidRDefault="00BE414F" w:rsidP="006D5A65">
      <w:pPr>
        <w:pStyle w:val="Heading1"/>
      </w:pPr>
      <w:r w:rsidRPr="000665B0">
        <w:t>Enter/edit the General Information</w:t>
      </w:r>
      <w:r w:rsidR="000D70ED" w:rsidRPr="000665B0">
        <w:t xml:space="preserve"> for the target data if desired. See</w:t>
      </w:r>
      <w:r w:rsidR="00230F20" w:rsidRPr="000665B0">
        <w:t xml:space="preserve"> </w:t>
      </w:r>
      <w:hyperlink w:anchor="_5.35.4.1__Target" w:history="1">
        <w:r w:rsidR="00230F20" w:rsidRPr="000665B0">
          <w:rPr>
            <w:rStyle w:val="Hyperlink"/>
          </w:rPr>
          <w:t xml:space="preserve">Section </w:t>
        </w:r>
        <w:r w:rsidR="004231CC">
          <w:rPr>
            <w:rStyle w:val="Hyperlink"/>
          </w:rPr>
          <w:t>5.31</w:t>
        </w:r>
        <w:r w:rsidR="00230F20" w:rsidRPr="000665B0">
          <w:rPr>
            <w:rStyle w:val="Hyperlink"/>
          </w:rPr>
          <w:t>.</w:t>
        </w:r>
        <w:r w:rsidR="00865446" w:rsidRPr="000665B0">
          <w:rPr>
            <w:rStyle w:val="Hyperlink"/>
          </w:rPr>
          <w:t>5</w:t>
        </w:r>
        <w:r w:rsidR="00230F20" w:rsidRPr="000665B0">
          <w:rPr>
            <w:rStyle w:val="Hyperlink"/>
          </w:rPr>
          <w:t>.1</w:t>
        </w:r>
      </w:hyperlink>
      <w:r w:rsidR="00230F20" w:rsidRPr="000665B0">
        <w:t>.</w:t>
      </w:r>
    </w:p>
    <w:p w14:paraId="16B9A103" w14:textId="2AB63886" w:rsidR="00BE414F" w:rsidRPr="000665B0" w:rsidRDefault="00BE414F" w:rsidP="006D5A65">
      <w:pPr>
        <w:pStyle w:val="Heading1"/>
      </w:pPr>
      <w:r w:rsidRPr="000665B0">
        <w:t xml:space="preserve">Click through the various Target Information tabs and add the required information, in addition to any other information desired. See </w:t>
      </w:r>
      <w:hyperlink w:anchor="_5.35.4.2__Target" w:history="1">
        <w:r w:rsidRPr="000665B0">
          <w:rPr>
            <w:rStyle w:val="Hyperlink"/>
          </w:rPr>
          <w:t xml:space="preserve">Section </w:t>
        </w:r>
        <w:r w:rsidR="004231CC">
          <w:rPr>
            <w:rStyle w:val="Hyperlink"/>
          </w:rPr>
          <w:t>5.31</w:t>
        </w:r>
        <w:r w:rsidRPr="000665B0">
          <w:rPr>
            <w:rStyle w:val="Hyperlink"/>
          </w:rPr>
          <w:t>.</w:t>
        </w:r>
        <w:r w:rsidR="00865446" w:rsidRPr="000665B0">
          <w:rPr>
            <w:rStyle w:val="Hyperlink"/>
          </w:rPr>
          <w:t>5</w:t>
        </w:r>
        <w:r w:rsidRPr="000665B0">
          <w:rPr>
            <w:rStyle w:val="Hyperlink"/>
          </w:rPr>
          <w:t>.2</w:t>
        </w:r>
      </w:hyperlink>
      <w:r w:rsidRPr="000665B0">
        <w:t>.</w:t>
      </w:r>
    </w:p>
    <w:p w14:paraId="6A62A42A" w14:textId="77777777" w:rsidR="000D70ED" w:rsidRPr="000665B0" w:rsidRDefault="00BE414F" w:rsidP="006D5A65">
      <w:pPr>
        <w:pStyle w:val="Heading1"/>
      </w:pPr>
      <w:r w:rsidRPr="000665B0">
        <w:t>Click the OK button to save changes to the Target Information.</w:t>
      </w:r>
    </w:p>
    <w:p w14:paraId="6540C250" w14:textId="2D4062C1" w:rsidR="006E2142" w:rsidRPr="000665B0" w:rsidRDefault="000D70ED" w:rsidP="009570CA">
      <w:pPr>
        <w:spacing w:after="0" w:line="240" w:lineRule="auto"/>
        <w:rPr>
          <w:rFonts w:ascii="Arial" w:hAnsi="Arial"/>
          <w:b/>
          <w:i/>
        </w:rPr>
      </w:pPr>
      <w:r w:rsidRPr="000665B0">
        <w:t xml:space="preserve">In addition to viewing/editing information for the target, the user can also view the </w:t>
      </w:r>
      <w:r w:rsidRPr="000665B0">
        <w:rPr>
          <w:b/>
        </w:rPr>
        <w:t>Print Preview</w:t>
      </w:r>
      <w:r w:rsidRPr="000665B0">
        <w:t xml:space="preserve">, as well as </w:t>
      </w:r>
      <w:r w:rsidRPr="000665B0">
        <w:rPr>
          <w:b/>
        </w:rPr>
        <w:t>Print</w:t>
      </w:r>
      <w:r w:rsidRPr="000665B0">
        <w:t xml:space="preserve"> the target information.</w:t>
      </w:r>
      <w:r w:rsidR="00290219" w:rsidRPr="000665B0">
        <w:t xml:space="preserve"> </w:t>
      </w:r>
      <w:r w:rsidRPr="000665B0">
        <w:t xml:space="preserve">See </w:t>
      </w:r>
      <w:hyperlink w:anchor="_5.2__COMMON_2" w:history="1">
        <w:r w:rsidRPr="000665B0">
          <w:rPr>
            <w:rStyle w:val="Hyperlink"/>
          </w:rPr>
          <w:t>Section 5.2</w:t>
        </w:r>
      </w:hyperlink>
      <w:r w:rsidRPr="000665B0">
        <w:t xml:space="preserve"> for information on how to perform those features.</w:t>
      </w:r>
      <w:bookmarkStart w:id="5877" w:name="_5.35.5.1__Target"/>
      <w:bookmarkStart w:id="5878" w:name="_Toc289328804"/>
      <w:bookmarkEnd w:id="5877"/>
    </w:p>
    <w:p w14:paraId="006B55DA" w14:textId="1E6BE604" w:rsidR="000D70ED" w:rsidRPr="000665B0" w:rsidRDefault="000D70ED" w:rsidP="009570CA">
      <w:pPr>
        <w:pStyle w:val="Heading4"/>
      </w:pPr>
      <w:bookmarkStart w:id="5879" w:name="_5.35.5.1__Target_1"/>
      <w:bookmarkStart w:id="5880" w:name="_5.35.4.1__Target"/>
      <w:bookmarkEnd w:id="5879"/>
      <w:bookmarkEnd w:id="5880"/>
      <w:r w:rsidRPr="000665B0">
        <w:t>Target Information General Information</w:t>
      </w:r>
      <w:bookmarkEnd w:id="5878"/>
    </w:p>
    <w:p w14:paraId="30C9370E" w14:textId="77777777" w:rsidR="00BE414F" w:rsidRPr="000665B0" w:rsidRDefault="00BE414F" w:rsidP="009570CA">
      <w:r w:rsidRPr="000665B0">
        <w:t xml:space="preserve">In the </w:t>
      </w:r>
      <w:r w:rsidRPr="000665B0">
        <w:rPr>
          <w:b/>
          <w:bCs/>
          <w:i/>
          <w:iCs/>
        </w:rPr>
        <w:t xml:space="preserve">General Information </w:t>
      </w:r>
      <w:r w:rsidRPr="000665B0">
        <w:t>pane, the mission planner can enter the following information.</w:t>
      </w:r>
    </w:p>
    <w:p w14:paraId="3251EA08" w14:textId="5003CDD4" w:rsidR="00BE414F" w:rsidRPr="000665B0" w:rsidRDefault="00B9227C" w:rsidP="009570CA">
      <w:pPr>
        <w:jc w:val="center"/>
      </w:pPr>
      <w:r w:rsidRPr="000665B0">
        <w:rPr>
          <w:noProof/>
        </w:rPr>
        <w:lastRenderedPageBreak/>
        <w:drawing>
          <wp:inline distT="0" distB="0" distL="0" distR="0" wp14:anchorId="75BDE384" wp14:editId="029181D7">
            <wp:extent cx="3154680" cy="877824"/>
            <wp:effectExtent l="0" t="0" r="0" b="0"/>
            <wp:docPr id="1191" name="Picture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877824"/>
                    </a:xfrm>
                    <a:prstGeom prst="rect">
                      <a:avLst/>
                    </a:prstGeom>
                  </pic:spPr>
                </pic:pic>
              </a:graphicData>
            </a:graphic>
          </wp:inline>
        </w:drawing>
      </w:r>
    </w:p>
    <w:p w14:paraId="0B8C0100" w14:textId="77777777" w:rsidR="000D70ED" w:rsidRPr="000665B0" w:rsidRDefault="000D70ED" w:rsidP="006D5A65">
      <w:pPr>
        <w:pStyle w:val="Heading1"/>
      </w:pPr>
      <w:r w:rsidRPr="000665B0">
        <w:t xml:space="preserve">Branch Timing Value – The time (in seconds) it takes the missile to fly from FPPWP to the target of a specific branch </w:t>
      </w:r>
      <w:r w:rsidR="009B0352" w:rsidRPr="000665B0">
        <w:t xml:space="preserve">of </w:t>
      </w:r>
      <w:r w:rsidRPr="000665B0">
        <w:t>the mission.</w:t>
      </w:r>
    </w:p>
    <w:p w14:paraId="150F0ECB" w14:textId="77777777" w:rsidR="000D70ED" w:rsidRPr="000665B0" w:rsidRDefault="000D70ED" w:rsidP="006D5A65">
      <w:pPr>
        <w:pStyle w:val="Heading1"/>
      </w:pPr>
      <w:r w:rsidRPr="000665B0">
        <w:t>Desired Delta Time of Arrival (</w:t>
      </w:r>
      <w:r w:rsidRPr="000665B0">
        <w:rPr>
          <w:bCs/>
        </w:rPr>
        <w:t>TOA</w:t>
      </w:r>
      <w:r w:rsidRPr="000665B0">
        <w:t>) – At this particular target, the time in +/- seconds from the primary TOT.</w:t>
      </w:r>
    </w:p>
    <w:p w14:paraId="7DB73CE6" w14:textId="77777777" w:rsidR="000D70ED" w:rsidRPr="000665B0" w:rsidRDefault="00BE414F" w:rsidP="006D5A65">
      <w:pPr>
        <w:pStyle w:val="Heading1"/>
      </w:pPr>
      <w:r w:rsidRPr="000665B0">
        <w:t>Desired Run-In Heading – The final direction of the missile flight, in true North, into a 109C target or over a 109D target segment.</w:t>
      </w:r>
    </w:p>
    <w:p w14:paraId="79A8401F" w14:textId="77777777" w:rsidR="000D70ED" w:rsidRPr="000665B0" w:rsidRDefault="000D70ED" w:rsidP="006D5A65">
      <w:pPr>
        <w:pStyle w:val="Heading1"/>
      </w:pPr>
      <w:r w:rsidRPr="000665B0">
        <w:t>Heading Offset – The angle representing the offset between the direct line of a missile to its target and the actual flight pattern it will take to hit the target.</w:t>
      </w:r>
    </w:p>
    <w:p w14:paraId="46B0D188" w14:textId="2C63F1DC" w:rsidR="000D70ED" w:rsidRPr="000665B0" w:rsidRDefault="000D70ED" w:rsidP="009570CA">
      <w:pPr>
        <w:pStyle w:val="Heading4"/>
      </w:pPr>
      <w:bookmarkStart w:id="5881" w:name="_5.35.5.2_Target_Information"/>
      <w:bookmarkStart w:id="5882" w:name="_5.35.4.2__Target"/>
      <w:bookmarkStart w:id="5883" w:name="_Toc289328805"/>
      <w:bookmarkEnd w:id="5881"/>
      <w:bookmarkEnd w:id="5882"/>
      <w:r w:rsidRPr="000665B0">
        <w:t>Target Information Tab</w:t>
      </w:r>
      <w:bookmarkEnd w:id="5883"/>
    </w:p>
    <w:p w14:paraId="08633A62" w14:textId="77777777" w:rsidR="000D70ED" w:rsidRPr="000665B0" w:rsidRDefault="00BE414F" w:rsidP="009570CA">
      <w:r w:rsidRPr="000665B0">
        <w:t>The user can view and enter/edit information for a target to make the mission more specific. The various tabs regarding this information are listed below.</w:t>
      </w:r>
    </w:p>
    <w:p w14:paraId="61C36B43" w14:textId="77777777" w:rsidR="000D70ED" w:rsidRPr="000665B0" w:rsidRDefault="000D70ED" w:rsidP="009570CA">
      <w:pPr>
        <w:rPr>
          <w:b/>
        </w:rPr>
      </w:pPr>
      <w:r w:rsidRPr="000665B0">
        <w:rPr>
          <w:b/>
        </w:rPr>
        <w:t>Aimpoint Information Tab</w:t>
      </w:r>
    </w:p>
    <w:p w14:paraId="20F6C2E2" w14:textId="5974B178" w:rsidR="000D70ED" w:rsidRPr="000665B0" w:rsidRDefault="001246E0" w:rsidP="009570CA">
      <w:r w:rsidRPr="000665B0">
        <w:t>T</w:t>
      </w:r>
      <w:r w:rsidR="000D70ED" w:rsidRPr="000665B0">
        <w:t>he</w:t>
      </w:r>
      <w:r w:rsidR="000D70ED" w:rsidRPr="000665B0">
        <w:rPr>
          <w:b/>
          <w:bCs/>
          <w:i/>
          <w:iCs/>
        </w:rPr>
        <w:t xml:space="preserve"> Aimpoint Information</w:t>
      </w:r>
      <w:r w:rsidR="000D70ED" w:rsidRPr="000665B0">
        <w:rPr>
          <w:b/>
          <w:bCs/>
        </w:rPr>
        <w:t xml:space="preserve"> </w:t>
      </w:r>
      <w:r w:rsidR="000D70ED" w:rsidRPr="000665B0">
        <w:t xml:space="preserve">tab displays information </w:t>
      </w:r>
      <w:r w:rsidR="00EA713B" w:rsidRPr="000665B0">
        <w:t xml:space="preserve">about </w:t>
      </w:r>
      <w:r w:rsidR="000D70ED" w:rsidRPr="000665B0">
        <w:t xml:space="preserve">the target. The Target Data section is similar to the Target Data section in the </w:t>
      </w:r>
      <w:r w:rsidR="000D70ED" w:rsidRPr="000665B0">
        <w:rPr>
          <w:b/>
          <w:i/>
        </w:rPr>
        <w:t>General Information</w:t>
      </w:r>
      <w:r w:rsidR="000D70ED" w:rsidRPr="000665B0">
        <w:t xml:space="preserve"> tab of the Create and Modify TMPRs. For more information regarding the Target Data information, see </w:t>
      </w:r>
      <w:hyperlink w:anchor="_5.35.2.1__TMPR" w:history="1">
        <w:r w:rsidR="000D70ED" w:rsidRPr="000665B0">
          <w:rPr>
            <w:rStyle w:val="Hyperlink"/>
          </w:rPr>
          <w:t xml:space="preserve">Section </w:t>
        </w:r>
        <w:r w:rsidR="004231CC">
          <w:rPr>
            <w:rStyle w:val="Hyperlink"/>
          </w:rPr>
          <w:t>5.31</w:t>
        </w:r>
        <w:r w:rsidR="000D70ED" w:rsidRPr="000665B0">
          <w:rPr>
            <w:rStyle w:val="Hyperlink"/>
          </w:rPr>
          <w:t>.1.1</w:t>
        </w:r>
      </w:hyperlink>
      <w:r w:rsidR="000D70ED" w:rsidRPr="000665B0">
        <w:t xml:space="preserve">. </w:t>
      </w:r>
    </w:p>
    <w:p w14:paraId="359F0DE7" w14:textId="3CFC1828" w:rsidR="000D70ED" w:rsidRPr="000665B0" w:rsidRDefault="002C1582" w:rsidP="009570CA">
      <w:pPr>
        <w:jc w:val="center"/>
      </w:pPr>
      <w:r w:rsidRPr="000665B0">
        <w:rPr>
          <w:noProof/>
        </w:rPr>
        <w:lastRenderedPageBreak/>
        <w:drawing>
          <wp:inline distT="0" distB="0" distL="0" distR="0" wp14:anchorId="1C9C2937" wp14:editId="41DB03C4">
            <wp:extent cx="3154680" cy="3712464"/>
            <wp:effectExtent l="0" t="0" r="0" b="0"/>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712464"/>
                    </a:xfrm>
                    <a:prstGeom prst="rect">
                      <a:avLst/>
                    </a:prstGeom>
                  </pic:spPr>
                </pic:pic>
              </a:graphicData>
            </a:graphic>
          </wp:inline>
        </w:drawing>
      </w:r>
    </w:p>
    <w:p w14:paraId="31E51A6E"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3D33BAB0" w14:textId="7BB9484D" w:rsidR="00BE414F" w:rsidRPr="000665B0" w:rsidRDefault="00BE414F"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The Aimpoint latitude and longitude are mandatory fields (as denoted by the * and/or yellow background) and the user is unable to proceed without updating this field. For further information on mandatory fields see </w:t>
      </w:r>
      <w:hyperlink w:anchor="_5.2.7__Editing" w:history="1">
        <w:r w:rsidRPr="000665B0">
          <w:rPr>
            <w:b/>
            <w:color w:val="0000FF"/>
            <w:u w:val="single"/>
          </w:rPr>
          <w:t>Section 5.2.8</w:t>
        </w:r>
      </w:hyperlink>
      <w:r w:rsidRPr="000665B0">
        <w:rPr>
          <w:b/>
        </w:rPr>
        <w:t>. Values must be entered in order to save the Target Information.</w:t>
      </w:r>
    </w:p>
    <w:p w14:paraId="048DCBC8" w14:textId="77777777" w:rsidR="00850043" w:rsidRPr="000665B0" w:rsidRDefault="00850043" w:rsidP="009570CA">
      <w:pPr>
        <w:spacing w:after="0" w:line="240" w:lineRule="auto"/>
      </w:pPr>
    </w:p>
    <w:p w14:paraId="4ECF62F7" w14:textId="77777777" w:rsidR="000D70ED" w:rsidRPr="000665B0" w:rsidRDefault="000D70ED" w:rsidP="009570CA">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05147720" w14:textId="77777777" w:rsidR="000D70ED" w:rsidRPr="000665B0" w:rsidRDefault="000D70ED" w:rsidP="009570CA">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Target Data section for the first aimpoint of the Aimpoints List View contain</w:t>
      </w:r>
      <w:r w:rsidR="00EA713B" w:rsidRPr="000665B0">
        <w:rPr>
          <w:b/>
        </w:rPr>
        <w:t>s</w:t>
      </w:r>
      <w:r w:rsidRPr="000665B0">
        <w:rPr>
          <w:b/>
        </w:rPr>
        <w:t xml:space="preserve"> the same information as the Target Data section in the General Information tab of the Create/Modify TMPRs.</w:t>
      </w:r>
      <w:r w:rsidR="00290219" w:rsidRPr="000665B0">
        <w:rPr>
          <w:b/>
        </w:rPr>
        <w:t xml:space="preserve"> </w:t>
      </w:r>
      <w:r w:rsidRPr="000665B0">
        <w:rPr>
          <w:b/>
        </w:rPr>
        <w:t xml:space="preserve">Any edits to these fields </w:t>
      </w:r>
      <w:r w:rsidR="00EA713B" w:rsidRPr="000665B0">
        <w:rPr>
          <w:b/>
        </w:rPr>
        <w:t xml:space="preserve">are </w:t>
      </w:r>
      <w:r w:rsidRPr="000665B0">
        <w:rPr>
          <w:b/>
        </w:rPr>
        <w:t xml:space="preserve">automatically updated </w:t>
      </w:r>
      <w:r w:rsidR="00EA713B" w:rsidRPr="000665B0">
        <w:rPr>
          <w:b/>
        </w:rPr>
        <w:t xml:space="preserve">in </w:t>
      </w:r>
      <w:r w:rsidRPr="000665B0">
        <w:rPr>
          <w:b/>
        </w:rPr>
        <w:t xml:space="preserve">both </w:t>
      </w:r>
      <w:r w:rsidR="00EA713B" w:rsidRPr="000665B0">
        <w:rPr>
          <w:b/>
        </w:rPr>
        <w:t>sections</w:t>
      </w:r>
      <w:r w:rsidRPr="000665B0">
        <w:rPr>
          <w:b/>
        </w:rPr>
        <w:t>.</w:t>
      </w:r>
    </w:p>
    <w:p w14:paraId="7D2AAE7C" w14:textId="2E377DB7" w:rsidR="000D70ED" w:rsidRPr="000665B0" w:rsidRDefault="000D70ED" w:rsidP="009570CA">
      <w:pPr>
        <w:keepNext/>
      </w:pPr>
      <w:r w:rsidRPr="000665B0">
        <w:t xml:space="preserve">In addition, the </w:t>
      </w:r>
      <w:r w:rsidRPr="000665B0">
        <w:rPr>
          <w:b/>
          <w:i/>
        </w:rPr>
        <w:t xml:space="preserve">Aimpoint Information </w:t>
      </w:r>
      <w:r w:rsidRPr="000665B0">
        <w:t>tab displays the following fields which are not editable:</w:t>
      </w:r>
    </w:p>
    <w:p w14:paraId="6974BD29" w14:textId="10B6323B" w:rsidR="000D70ED" w:rsidRPr="000665B0" w:rsidRDefault="00E75AC3" w:rsidP="006D5A65">
      <w:pPr>
        <w:pStyle w:val="Heading1"/>
      </w:pPr>
      <w:r>
        <w:t>TAWS</w:t>
      </w:r>
      <w:r w:rsidR="000D70ED" w:rsidRPr="000665B0">
        <w:t xml:space="preserve"> ID – Unique ID for the </w:t>
      </w:r>
      <w:r>
        <w:t>TAWS</w:t>
      </w:r>
      <w:r w:rsidR="000D70ED" w:rsidRPr="000665B0">
        <w:t>.</w:t>
      </w:r>
    </w:p>
    <w:p w14:paraId="3E89C04F" w14:textId="77777777" w:rsidR="000D70ED" w:rsidRPr="000665B0" w:rsidRDefault="000D70ED" w:rsidP="009570CA">
      <w:r w:rsidRPr="000665B0">
        <w:t xml:space="preserve">The </w:t>
      </w:r>
      <w:r w:rsidRPr="000665B0">
        <w:rPr>
          <w:b/>
          <w:i/>
        </w:rPr>
        <w:t xml:space="preserve">Aimpoint Information </w:t>
      </w:r>
      <w:r w:rsidRPr="000665B0">
        <w:t>tab also contains the following fields which are editable and can be filled out if desired:</w:t>
      </w:r>
    </w:p>
    <w:p w14:paraId="45A37E8D" w14:textId="77777777" w:rsidR="000D70ED" w:rsidRPr="000665B0" w:rsidRDefault="00BE414F" w:rsidP="006D5A65">
      <w:pPr>
        <w:pStyle w:val="Heading1"/>
      </w:pPr>
      <w:r w:rsidRPr="000665B0">
        <w:t>Equipment ID – Three-digit code identifying the equipment.</w:t>
      </w:r>
    </w:p>
    <w:p w14:paraId="2C3AB79F" w14:textId="3FA22882" w:rsidR="000D70ED" w:rsidRPr="000665B0" w:rsidRDefault="00BE414F" w:rsidP="006D5A65">
      <w:pPr>
        <w:pStyle w:val="Heading1"/>
      </w:pPr>
      <w:r w:rsidRPr="000665B0">
        <w:t xml:space="preserve">Terminal Maneuver – The specific attack maneuver defined for the primary route. See </w:t>
      </w:r>
      <w:hyperlink w:anchor="_Appendix_H_" w:history="1">
        <w:r w:rsidRPr="000665B0">
          <w:rPr>
            <w:color w:val="0000FF"/>
            <w:u w:val="single"/>
          </w:rPr>
          <w:t>Appendix G</w:t>
        </w:r>
      </w:hyperlink>
      <w:r w:rsidRPr="000665B0">
        <w:t xml:space="preserve"> for the types of </w:t>
      </w:r>
      <w:r w:rsidRPr="000665B0">
        <w:lastRenderedPageBreak/>
        <w:t>Terminal Maneuvers that are compatible with each missile type.</w:t>
      </w:r>
    </w:p>
    <w:p w14:paraId="63A324C7" w14:textId="77777777" w:rsidR="000D70ED" w:rsidRPr="000665B0" w:rsidRDefault="000D70ED" w:rsidP="006D5A65">
      <w:pPr>
        <w:pStyle w:val="Heading1"/>
      </w:pPr>
      <w:r w:rsidRPr="000665B0">
        <w:t>Critical Element ID – Identifier for the critical element.</w:t>
      </w:r>
    </w:p>
    <w:p w14:paraId="04C6D437" w14:textId="77777777" w:rsidR="000D70ED" w:rsidRPr="000665B0" w:rsidRDefault="000D70ED" w:rsidP="006D5A65">
      <w:pPr>
        <w:pStyle w:val="Heading1"/>
      </w:pPr>
      <w:r w:rsidRPr="000665B0">
        <w:t>Aimpoint Description – Text used to assist in identifying the specific aimpoint of the attack.</w:t>
      </w:r>
    </w:p>
    <w:p w14:paraId="5AC8075D" w14:textId="77777777" w:rsidR="000D70ED" w:rsidRPr="000665B0" w:rsidRDefault="000D70ED" w:rsidP="006D5A65">
      <w:pPr>
        <w:pStyle w:val="Heading1"/>
      </w:pPr>
      <w:r w:rsidRPr="000665B0">
        <w:t>Target Material Reference – Identifies the source of the target materials.</w:t>
      </w:r>
    </w:p>
    <w:p w14:paraId="46CF5C44" w14:textId="77777777" w:rsidR="000D70ED" w:rsidRPr="000665B0" w:rsidRDefault="00BE414F" w:rsidP="006D5A65">
      <w:pPr>
        <w:pStyle w:val="Heading1"/>
      </w:pPr>
      <w:r w:rsidRPr="000665B0">
        <w:t>Warhead Type – Refers to the warhead for which a mission was planned.</w:t>
      </w:r>
    </w:p>
    <w:p w14:paraId="1C13829C" w14:textId="21DE9E63" w:rsidR="000D70ED" w:rsidRPr="000665B0" w:rsidRDefault="000D70ED" w:rsidP="009570CA">
      <w:pPr>
        <w:rPr>
          <w:b/>
        </w:rPr>
      </w:pPr>
      <w:r w:rsidRPr="000665B0">
        <w:rPr>
          <w:b/>
        </w:rPr>
        <w:t>Facility Information Tab</w:t>
      </w:r>
    </w:p>
    <w:p w14:paraId="33864F59" w14:textId="77777777" w:rsidR="000D70ED" w:rsidRPr="000665B0" w:rsidRDefault="005C2598" w:rsidP="009570CA">
      <w:r w:rsidRPr="000665B0">
        <w:t xml:space="preserve">The </w:t>
      </w:r>
      <w:r w:rsidRPr="000665B0">
        <w:rPr>
          <w:b/>
          <w:bCs/>
          <w:i/>
          <w:iCs/>
        </w:rPr>
        <w:t>Facility Information</w:t>
      </w:r>
      <w:r w:rsidRPr="000665B0">
        <w:rPr>
          <w:i/>
          <w:iCs/>
        </w:rPr>
        <w:t xml:space="preserve"> </w:t>
      </w:r>
      <w:r w:rsidRPr="000665B0">
        <w:t>tab contains the facility information for the mission being planned.</w:t>
      </w:r>
    </w:p>
    <w:p w14:paraId="429ED768" w14:textId="632042F7" w:rsidR="005C2598" w:rsidRPr="000665B0" w:rsidRDefault="009F5441" w:rsidP="009570CA">
      <w:pPr>
        <w:jc w:val="center"/>
      </w:pPr>
      <w:r w:rsidRPr="000665B0">
        <w:rPr>
          <w:noProof/>
        </w:rPr>
        <w:drawing>
          <wp:inline distT="0" distB="0" distL="0" distR="0" wp14:anchorId="671A133C" wp14:editId="17D00AC8">
            <wp:extent cx="2880360" cy="3566160"/>
            <wp:effectExtent l="0" t="0" r="0" b="0"/>
            <wp:docPr id="1179" name="Picture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880360" cy="3566160"/>
                    </a:xfrm>
                    <a:prstGeom prst="rect">
                      <a:avLst/>
                    </a:prstGeom>
                  </pic:spPr>
                </pic:pic>
              </a:graphicData>
            </a:graphic>
          </wp:inline>
        </w:drawing>
      </w:r>
    </w:p>
    <w:p w14:paraId="62BA94F5" w14:textId="77777777" w:rsidR="005C2598" w:rsidRPr="000665B0" w:rsidRDefault="005C2598" w:rsidP="009570CA">
      <w:r w:rsidRPr="000665B0">
        <w:t>The following information can be entered:</w:t>
      </w:r>
    </w:p>
    <w:p w14:paraId="2AF17597" w14:textId="77777777" w:rsidR="000D70ED" w:rsidRPr="000665B0" w:rsidRDefault="000D70ED" w:rsidP="006D5A65">
      <w:pPr>
        <w:pStyle w:val="Heading1"/>
      </w:pPr>
      <w:r w:rsidRPr="000665B0">
        <w:lastRenderedPageBreak/>
        <w:t>Facility Significance – Describes why this target has been placed on the target list.</w:t>
      </w:r>
    </w:p>
    <w:p w14:paraId="0C38DBA1" w14:textId="77777777" w:rsidR="000D70ED" w:rsidRPr="000665B0" w:rsidRDefault="000D70ED" w:rsidP="006D5A65">
      <w:pPr>
        <w:pStyle w:val="Heading1"/>
      </w:pPr>
      <w:r w:rsidRPr="000665B0">
        <w:t>Facility OSUFFIX – Five-character facility suffix</w:t>
      </w:r>
      <w:r w:rsidR="00EA713B" w:rsidRPr="000665B0">
        <w:t>,</w:t>
      </w:r>
      <w:r w:rsidRPr="000665B0">
        <w:t xml:space="preserve"> which in conjunction with a Defense Installation BE</w:t>
      </w:r>
      <w:r w:rsidR="00EA713B" w:rsidRPr="000665B0">
        <w:t>,</w:t>
      </w:r>
      <w:r w:rsidRPr="000665B0">
        <w:t xml:space="preserve"> uniquely identifies a defense facility or demographic area.</w:t>
      </w:r>
    </w:p>
    <w:p w14:paraId="7C4E64AF" w14:textId="55667C33" w:rsidR="000D70ED" w:rsidRPr="000665B0" w:rsidRDefault="000D70ED" w:rsidP="006D5A65">
      <w:pPr>
        <w:pStyle w:val="Heading1"/>
      </w:pPr>
      <w:r w:rsidRPr="000665B0">
        <w:t xml:space="preserve">Facility Category – A </w:t>
      </w:r>
      <w:r w:rsidR="000C627C" w:rsidRPr="000665B0">
        <w:t>five-digit</w:t>
      </w:r>
      <w:r w:rsidRPr="000665B0">
        <w:t xml:space="preserve"> number used in functional intelligence databases for describing characteristics of facilities as listed in the MIDB system specification.</w:t>
      </w:r>
    </w:p>
    <w:p w14:paraId="66798C6D" w14:textId="77777777" w:rsidR="000D70ED" w:rsidRPr="000665B0" w:rsidRDefault="000D70ED" w:rsidP="006D5A65">
      <w:pPr>
        <w:pStyle w:val="Heading1"/>
      </w:pPr>
      <w:r w:rsidRPr="000665B0">
        <w:t>Latitude – The latitude value for the location of the facility.</w:t>
      </w:r>
    </w:p>
    <w:p w14:paraId="600D1F5E" w14:textId="77777777" w:rsidR="000D70ED" w:rsidRPr="000665B0" w:rsidRDefault="000D70ED" w:rsidP="006D5A65">
      <w:pPr>
        <w:pStyle w:val="Heading1"/>
      </w:pPr>
      <w:r w:rsidRPr="000665B0">
        <w:t>Longitude – The longitude value for the location of the facility.</w:t>
      </w:r>
    </w:p>
    <w:p w14:paraId="727936F5" w14:textId="77777777" w:rsidR="000D70ED" w:rsidRPr="000665B0" w:rsidRDefault="000D70ED" w:rsidP="009570CA">
      <w:pPr>
        <w:keepNext/>
        <w:rPr>
          <w:b/>
        </w:rPr>
      </w:pPr>
      <w:r w:rsidRPr="000665B0">
        <w:rPr>
          <w:b/>
        </w:rPr>
        <w:t>DSMACs Tab</w:t>
      </w:r>
    </w:p>
    <w:p w14:paraId="2F3E3EBB" w14:textId="77777777" w:rsidR="005C2598" w:rsidRPr="000665B0" w:rsidRDefault="000D70ED" w:rsidP="009570CA">
      <w:pPr>
        <w:keepNext/>
      </w:pPr>
      <w:r w:rsidRPr="000665B0">
        <w:t xml:space="preserve">Select the </w:t>
      </w:r>
      <w:r w:rsidRPr="000665B0">
        <w:rPr>
          <w:b/>
          <w:i/>
        </w:rPr>
        <w:t>DSMACs</w:t>
      </w:r>
      <w:r w:rsidRPr="000665B0">
        <w:t xml:space="preserve"> tab to display the list of DSMACs to avoid.</w:t>
      </w:r>
      <w:r w:rsidR="005C2598" w:rsidRPr="000665B0">
        <w:t xml:space="preserve"> </w:t>
      </w:r>
    </w:p>
    <w:p w14:paraId="01F94ACD" w14:textId="67B5EA73" w:rsidR="005C2598" w:rsidRPr="000665B0" w:rsidRDefault="002C1582" w:rsidP="009570CA">
      <w:pPr>
        <w:jc w:val="center"/>
      </w:pPr>
      <w:r w:rsidRPr="000665B0">
        <w:rPr>
          <w:noProof/>
        </w:rPr>
        <w:drawing>
          <wp:inline distT="0" distB="0" distL="0" distR="0" wp14:anchorId="0FF22DBD" wp14:editId="0D9F06B2">
            <wp:extent cx="3154680" cy="3712464"/>
            <wp:effectExtent l="0" t="0" r="0" b="0"/>
            <wp:docPr id="1175"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3712464"/>
                    </a:xfrm>
                    <a:prstGeom prst="rect">
                      <a:avLst/>
                    </a:prstGeom>
                  </pic:spPr>
                </pic:pic>
              </a:graphicData>
            </a:graphic>
          </wp:inline>
        </w:drawing>
      </w:r>
      <w:r w:rsidR="00CF1ED4" w:rsidRPr="000665B0">
        <w:rPr>
          <w:noProof/>
        </w:rPr>
        <w:t xml:space="preserve"> </w:t>
      </w:r>
    </w:p>
    <w:p w14:paraId="53B75D28" w14:textId="77777777" w:rsidR="000D70ED" w:rsidRPr="000665B0" w:rsidRDefault="000D70ED" w:rsidP="009570CA">
      <w:pPr>
        <w:rPr>
          <w:b/>
          <w:i/>
        </w:rPr>
      </w:pPr>
      <w:r w:rsidRPr="000665B0">
        <w:rPr>
          <w:b/>
          <w:i/>
        </w:rPr>
        <w:t>DSMACs List View</w:t>
      </w:r>
    </w:p>
    <w:p w14:paraId="3C7DBAB3" w14:textId="77777777" w:rsidR="000D70ED" w:rsidRPr="000665B0" w:rsidRDefault="000D70ED" w:rsidP="006D5A65">
      <w:pPr>
        <w:pStyle w:val="Heading1"/>
      </w:pPr>
      <w:r w:rsidRPr="000665B0">
        <w:t>Columns</w:t>
      </w:r>
    </w:p>
    <w:p w14:paraId="3E70367A" w14:textId="77777777" w:rsidR="000D70ED" w:rsidRPr="000665B0" w:rsidRDefault="000D70ED" w:rsidP="006D5A65">
      <w:pPr>
        <w:pStyle w:val="Heading2"/>
      </w:pPr>
      <w:r w:rsidRPr="000665B0">
        <w:t>ID – The unique identifier for the DSMAC.</w:t>
      </w:r>
    </w:p>
    <w:p w14:paraId="71E6AACD" w14:textId="77777777" w:rsidR="005C2598" w:rsidRPr="000665B0" w:rsidRDefault="005C2598" w:rsidP="006D5A65">
      <w:pPr>
        <w:pStyle w:val="Heading2"/>
      </w:pPr>
      <w:r w:rsidRPr="000665B0">
        <w:t>Type – The type of the DSMAC.</w:t>
      </w:r>
    </w:p>
    <w:p w14:paraId="39337B6D" w14:textId="77777777" w:rsidR="005C2598" w:rsidRPr="000665B0" w:rsidRDefault="005C2598" w:rsidP="006D5A65">
      <w:pPr>
        <w:pStyle w:val="Heading2"/>
      </w:pPr>
      <w:r w:rsidRPr="000665B0">
        <w:t>Center Latitude – The latitude value associated with the center of the DSMAC.</w:t>
      </w:r>
    </w:p>
    <w:p w14:paraId="0712CF4E" w14:textId="77777777" w:rsidR="005C2598" w:rsidRPr="000665B0" w:rsidRDefault="005C2598" w:rsidP="006D5A65">
      <w:pPr>
        <w:pStyle w:val="Heading2"/>
      </w:pPr>
      <w:r w:rsidRPr="000665B0">
        <w:lastRenderedPageBreak/>
        <w:t>Center Longitude – The longitude value associated with the center of the DSMAC.</w:t>
      </w:r>
    </w:p>
    <w:p w14:paraId="77A79A7B" w14:textId="77777777" w:rsidR="000D70ED" w:rsidRPr="000665B0" w:rsidRDefault="005C2598" w:rsidP="006D5A65">
      <w:pPr>
        <w:pStyle w:val="Heading2"/>
      </w:pPr>
      <w:r w:rsidRPr="000665B0">
        <w:t>Classification – Classification of the DSMAC.</w:t>
      </w:r>
    </w:p>
    <w:p w14:paraId="73DE54E5" w14:textId="77777777" w:rsidR="000D70ED" w:rsidRPr="000665B0" w:rsidRDefault="000D70ED" w:rsidP="006D5A65">
      <w:pPr>
        <w:pStyle w:val="Heading1"/>
      </w:pPr>
      <w:r w:rsidRPr="000665B0">
        <w:t>Context Menu</w:t>
      </w:r>
    </w:p>
    <w:p w14:paraId="336BCAE8" w14:textId="77777777" w:rsidR="000D70ED" w:rsidRPr="000665B0" w:rsidRDefault="000D70ED" w:rsidP="006D5A65">
      <w:pPr>
        <w:pStyle w:val="Heading2"/>
      </w:pPr>
      <w:r w:rsidRPr="000665B0">
        <w:t>Add… – Opens a selection view to allow the user to add DSMACs to the target.</w:t>
      </w:r>
    </w:p>
    <w:p w14:paraId="4953E78B" w14:textId="77777777" w:rsidR="000D70ED" w:rsidRPr="000665B0" w:rsidRDefault="000D70ED" w:rsidP="006D5A65">
      <w:pPr>
        <w:pStyle w:val="Heading2"/>
      </w:pPr>
      <w:r w:rsidRPr="000665B0">
        <w:t>Display</w:t>
      </w:r>
    </w:p>
    <w:p w14:paraId="32E6A15B" w14:textId="77777777" w:rsidR="000D70ED" w:rsidRPr="000665B0" w:rsidRDefault="005C2598" w:rsidP="006D5A65">
      <w:pPr>
        <w:pStyle w:val="Heading3"/>
      </w:pPr>
      <w:r w:rsidRPr="000665B0">
        <w:t>Geographically – Displays the selected DSMAC(s) geographically.</w:t>
      </w:r>
    </w:p>
    <w:p w14:paraId="54C8DC13" w14:textId="77777777" w:rsidR="000D70ED" w:rsidRPr="000665B0" w:rsidRDefault="005C2598" w:rsidP="006D5A65">
      <w:pPr>
        <w:pStyle w:val="Heading3"/>
      </w:pPr>
      <w:r w:rsidRPr="000665B0">
        <w:t>References – Displays the selected DSMAC’s references.</w:t>
      </w:r>
    </w:p>
    <w:p w14:paraId="38AFB1B3" w14:textId="77777777" w:rsidR="000D70ED" w:rsidRPr="000665B0" w:rsidRDefault="005C2598" w:rsidP="006D5A65">
      <w:pPr>
        <w:pStyle w:val="Heading3"/>
      </w:pPr>
      <w:r w:rsidRPr="000665B0">
        <w:t>in Excel – Displays the selected DSMAC’s summary data in Excel.</w:t>
      </w:r>
    </w:p>
    <w:p w14:paraId="4740EFFA" w14:textId="77777777" w:rsidR="000D70ED" w:rsidRPr="000665B0" w:rsidRDefault="005C2598" w:rsidP="006D5A65">
      <w:pPr>
        <w:pStyle w:val="Heading2"/>
      </w:pPr>
      <w:r w:rsidRPr="000665B0">
        <w:t xml:space="preserve">Send… – Displays a new </w:t>
      </w:r>
      <w:r w:rsidRPr="000665B0">
        <w:rPr>
          <w:i/>
        </w:rPr>
        <w:t>DDO Template</w:t>
      </w:r>
      <w:r w:rsidRPr="000665B0">
        <w:t xml:space="preserve"> with the selected DSMAC(s) pre-populated in the DSMACs tab.</w:t>
      </w:r>
    </w:p>
    <w:p w14:paraId="21431C65" w14:textId="77777777" w:rsidR="000D70ED" w:rsidRPr="000665B0" w:rsidRDefault="000D70ED" w:rsidP="006D5A65">
      <w:pPr>
        <w:pStyle w:val="Heading2"/>
      </w:pPr>
      <w:r w:rsidRPr="000665B0">
        <w:t>Print… – Prints the selected DSMAC’s list information.</w:t>
      </w:r>
    </w:p>
    <w:p w14:paraId="26A5089D" w14:textId="77777777" w:rsidR="000D70ED" w:rsidRPr="000665B0" w:rsidRDefault="005C2598" w:rsidP="006D5A65">
      <w:pPr>
        <w:pStyle w:val="Heading2"/>
      </w:pPr>
      <w:r w:rsidRPr="000665B0">
        <w:t>Remove – Removes the selected DSMAC(s) from the DSMAC List View.</w:t>
      </w:r>
    </w:p>
    <w:p w14:paraId="2448322C" w14:textId="77777777" w:rsidR="000D70ED" w:rsidRPr="000665B0" w:rsidRDefault="005C2598" w:rsidP="009570CA">
      <w:r w:rsidRPr="000665B0">
        <w:t xml:space="preserve">To add a DSMAC, invoke the context menu (right-click the mouse) and select </w:t>
      </w:r>
      <w:r w:rsidRPr="000665B0">
        <w:rPr>
          <w:b/>
        </w:rPr>
        <w:t>Add</w:t>
      </w:r>
      <w:r w:rsidRPr="000665B0">
        <w:t xml:space="preserve">. A selection view of DSMACs is displayed. Select a DSMAC and click the </w:t>
      </w:r>
      <w:r w:rsidRPr="000665B0">
        <w:rPr>
          <w:b/>
        </w:rPr>
        <w:t>OK</w:t>
      </w:r>
      <w:r w:rsidRPr="000665B0">
        <w:t xml:space="preserve"> button.</w:t>
      </w:r>
    </w:p>
    <w:p w14:paraId="00B9923D" w14:textId="48F02D1F" w:rsidR="000D70ED" w:rsidRPr="000665B0" w:rsidRDefault="00982470" w:rsidP="009570CA">
      <w:pPr>
        <w:jc w:val="center"/>
      </w:pPr>
      <w:r w:rsidRPr="000665B0">
        <w:rPr>
          <w:noProof/>
        </w:rPr>
        <w:drawing>
          <wp:inline distT="0" distB="0" distL="0" distR="0" wp14:anchorId="27F687E9" wp14:editId="5FC2EA9A">
            <wp:extent cx="3154680" cy="932688"/>
            <wp:effectExtent l="0" t="0" r="0" b="0"/>
            <wp:docPr id="1178"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932688"/>
                    </a:xfrm>
                    <a:prstGeom prst="rect">
                      <a:avLst/>
                    </a:prstGeom>
                  </pic:spPr>
                </pic:pic>
              </a:graphicData>
            </a:graphic>
          </wp:inline>
        </w:drawing>
      </w:r>
    </w:p>
    <w:p w14:paraId="499FAF99" w14:textId="45BEE3F2" w:rsidR="00442152" w:rsidRDefault="005C2598" w:rsidP="00442152">
      <w:pPr>
        <w:spacing w:line="240" w:lineRule="auto"/>
        <w:rPr>
          <w:szCs w:val="24"/>
        </w:rPr>
      </w:pPr>
      <w:r w:rsidRPr="000665B0">
        <w:rPr>
          <w:szCs w:val="24"/>
        </w:rPr>
        <w:t xml:space="preserve">The user can also </w:t>
      </w:r>
      <w:r w:rsidRPr="000665B0">
        <w:rPr>
          <w:b/>
          <w:szCs w:val="24"/>
        </w:rPr>
        <w:t xml:space="preserve">Display </w:t>
      </w:r>
      <w:r w:rsidRPr="000665B0">
        <w:rPr>
          <w:szCs w:val="24"/>
        </w:rPr>
        <w:t>(</w:t>
      </w:r>
      <w:r w:rsidRPr="000665B0">
        <w:rPr>
          <w:b/>
          <w:szCs w:val="24"/>
        </w:rPr>
        <w:t>Geographically</w:t>
      </w:r>
      <w:r w:rsidRPr="000665B0">
        <w:rPr>
          <w:szCs w:val="24"/>
        </w:rPr>
        <w:t xml:space="preserve">, </w:t>
      </w:r>
      <w:r w:rsidRPr="000665B0">
        <w:rPr>
          <w:b/>
          <w:szCs w:val="24"/>
        </w:rPr>
        <w:t>References</w:t>
      </w:r>
      <w:r w:rsidRPr="000665B0">
        <w:rPr>
          <w:szCs w:val="24"/>
        </w:rPr>
        <w:t xml:space="preserve">, and </w:t>
      </w:r>
      <w:r w:rsidRPr="000665B0">
        <w:rPr>
          <w:b/>
          <w:szCs w:val="24"/>
        </w:rPr>
        <w:t>in Excel</w:t>
      </w:r>
      <w:r w:rsidRPr="000665B0">
        <w:rPr>
          <w:szCs w:val="24"/>
        </w:rPr>
        <w:t xml:space="preserve">), </w:t>
      </w:r>
      <w:r w:rsidRPr="000665B0">
        <w:rPr>
          <w:b/>
          <w:szCs w:val="24"/>
        </w:rPr>
        <w:t>Send</w:t>
      </w:r>
      <w:r w:rsidRPr="000665B0">
        <w:rPr>
          <w:szCs w:val="24"/>
        </w:rPr>
        <w:t xml:space="preserve">, </w:t>
      </w:r>
      <w:r w:rsidRPr="000665B0">
        <w:rPr>
          <w:b/>
          <w:szCs w:val="24"/>
        </w:rPr>
        <w:t>Print</w:t>
      </w:r>
      <w:r w:rsidRPr="000665B0">
        <w:rPr>
          <w:szCs w:val="24"/>
        </w:rPr>
        <w:t xml:space="preserve">, and </w:t>
      </w:r>
      <w:r w:rsidRPr="000665B0">
        <w:rPr>
          <w:b/>
          <w:szCs w:val="24"/>
        </w:rPr>
        <w:t>Remove</w:t>
      </w:r>
      <w:r w:rsidRPr="000665B0">
        <w:rPr>
          <w:szCs w:val="24"/>
        </w:rPr>
        <w:t xml:space="preserve"> elements. See </w:t>
      </w:r>
      <w:hyperlink w:anchor="_5.2__COMMON_2" w:history="1">
        <w:r w:rsidRPr="000665B0">
          <w:rPr>
            <w:color w:val="0000FF"/>
            <w:szCs w:val="24"/>
            <w:u w:val="single"/>
          </w:rPr>
          <w:t>Section 5.2</w:t>
        </w:r>
      </w:hyperlink>
      <w:r w:rsidRPr="000665B0">
        <w:rPr>
          <w:szCs w:val="24"/>
        </w:rPr>
        <w:t xml:space="preserve"> for information on how to perform those features.</w:t>
      </w:r>
    </w:p>
    <w:p w14:paraId="23E21106" w14:textId="77777777" w:rsidR="00442152" w:rsidRDefault="000D70ED" w:rsidP="00442152">
      <w:pPr>
        <w:spacing w:line="240" w:lineRule="auto"/>
        <w:rPr>
          <w:szCs w:val="24"/>
        </w:rPr>
      </w:pPr>
      <w:r w:rsidRPr="000665B0">
        <w:rPr>
          <w:b/>
        </w:rPr>
        <w:t>TAWS No Strike Objects Tab</w:t>
      </w:r>
    </w:p>
    <w:p w14:paraId="084B103C" w14:textId="083CE9CD" w:rsidR="005C2598" w:rsidRPr="00442152" w:rsidRDefault="005C2598" w:rsidP="00442152">
      <w:pPr>
        <w:spacing w:line="240" w:lineRule="auto"/>
        <w:rPr>
          <w:szCs w:val="24"/>
        </w:rPr>
      </w:pPr>
      <w:r w:rsidRPr="000665B0">
        <w:t xml:space="preserve">Select the </w:t>
      </w:r>
      <w:r w:rsidRPr="000665B0">
        <w:rPr>
          <w:b/>
          <w:i/>
        </w:rPr>
        <w:t xml:space="preserve">TAWS No Strike Objects </w:t>
      </w:r>
      <w:r w:rsidRPr="000665B0">
        <w:t>tab to display the list of TAWS No Strike Objects.</w:t>
      </w:r>
    </w:p>
    <w:p w14:paraId="42BA87F1" w14:textId="40FFD4F4" w:rsidR="000D70ED" w:rsidRPr="000665B0" w:rsidRDefault="002C1582" w:rsidP="009570CA">
      <w:pPr>
        <w:jc w:val="center"/>
      </w:pPr>
      <w:r w:rsidRPr="000665B0">
        <w:rPr>
          <w:noProof/>
        </w:rPr>
        <w:lastRenderedPageBreak/>
        <w:drawing>
          <wp:inline distT="0" distB="0" distL="0" distR="0" wp14:anchorId="2EB1FE0E" wp14:editId="2F41C22B">
            <wp:extent cx="2688316" cy="3163646"/>
            <wp:effectExtent l="0" t="0" r="0" b="0"/>
            <wp:docPr id="1176"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692299" cy="3168333"/>
                    </a:xfrm>
                    <a:prstGeom prst="rect">
                      <a:avLst/>
                    </a:prstGeom>
                  </pic:spPr>
                </pic:pic>
              </a:graphicData>
            </a:graphic>
          </wp:inline>
        </w:drawing>
      </w:r>
    </w:p>
    <w:p w14:paraId="08FE0098" w14:textId="38B1AA45" w:rsidR="000D70ED" w:rsidRPr="000665B0" w:rsidRDefault="00E75AC3" w:rsidP="009570CA">
      <w:pPr>
        <w:rPr>
          <w:b/>
          <w:i/>
        </w:rPr>
      </w:pPr>
      <w:r>
        <w:rPr>
          <w:b/>
          <w:i/>
        </w:rPr>
        <w:t>TAWS</w:t>
      </w:r>
      <w:r w:rsidR="005C2598" w:rsidRPr="000665B0">
        <w:rPr>
          <w:b/>
          <w:i/>
        </w:rPr>
        <w:t xml:space="preserve"> List View</w:t>
      </w:r>
    </w:p>
    <w:p w14:paraId="13698B1B" w14:textId="77777777" w:rsidR="000D70ED" w:rsidRPr="000665B0" w:rsidRDefault="000D70ED" w:rsidP="006D5A65">
      <w:pPr>
        <w:pStyle w:val="Heading1"/>
      </w:pPr>
      <w:r w:rsidRPr="000665B0">
        <w:t>Columns</w:t>
      </w:r>
    </w:p>
    <w:p w14:paraId="530A5403" w14:textId="12DDF2AF" w:rsidR="005C2598" w:rsidRPr="000665B0" w:rsidRDefault="005C2598" w:rsidP="006D5A65">
      <w:pPr>
        <w:pStyle w:val="Heading2"/>
      </w:pPr>
      <w:r w:rsidRPr="000665B0">
        <w:t xml:space="preserve">ID – The unique identifier for the </w:t>
      </w:r>
      <w:r w:rsidR="00E75AC3">
        <w:t>TAWS</w:t>
      </w:r>
      <w:r w:rsidRPr="000665B0">
        <w:t>.</w:t>
      </w:r>
    </w:p>
    <w:p w14:paraId="4E45E2B0" w14:textId="77777777" w:rsidR="000D70ED" w:rsidRPr="000665B0" w:rsidRDefault="000D70ED" w:rsidP="006D5A65">
      <w:pPr>
        <w:pStyle w:val="Heading1"/>
      </w:pPr>
      <w:r w:rsidRPr="000665B0">
        <w:t>Context Menu</w:t>
      </w:r>
    </w:p>
    <w:p w14:paraId="6A164D7B" w14:textId="77777777" w:rsidR="000D70ED" w:rsidRPr="000665B0" w:rsidRDefault="000D70ED" w:rsidP="006D5A65">
      <w:pPr>
        <w:pStyle w:val="Heading2"/>
      </w:pPr>
      <w:r w:rsidRPr="000665B0">
        <w:t>Display</w:t>
      </w:r>
    </w:p>
    <w:p w14:paraId="74A755D3" w14:textId="67B3E057" w:rsidR="005C2598" w:rsidRPr="000665B0" w:rsidRDefault="005C2598" w:rsidP="006D5A65">
      <w:pPr>
        <w:pStyle w:val="Heading3"/>
      </w:pPr>
      <w:r w:rsidRPr="000665B0">
        <w:t xml:space="preserve">in Excel – Displays the selected </w:t>
      </w:r>
      <w:r w:rsidR="00E75AC3">
        <w:t>TAWS</w:t>
      </w:r>
      <w:r w:rsidRPr="000665B0">
        <w:t>’s summary data in Excel.</w:t>
      </w:r>
    </w:p>
    <w:p w14:paraId="5294804E" w14:textId="7AB24F5B" w:rsidR="005C2598" w:rsidRPr="000665B0" w:rsidRDefault="005C2598" w:rsidP="006D5A65">
      <w:pPr>
        <w:pStyle w:val="Heading2"/>
      </w:pPr>
      <w:r w:rsidRPr="000665B0">
        <w:t xml:space="preserve">Print… – Prints the selected </w:t>
      </w:r>
      <w:r w:rsidR="00E75AC3">
        <w:t>TAWS</w:t>
      </w:r>
      <w:r w:rsidRPr="000665B0">
        <w:t>’s list information.</w:t>
      </w:r>
    </w:p>
    <w:p w14:paraId="260B0588" w14:textId="51607012" w:rsidR="005C2598" w:rsidRPr="000665B0" w:rsidRDefault="005C2598" w:rsidP="006D5A65">
      <w:pPr>
        <w:pStyle w:val="Heading2"/>
      </w:pPr>
      <w:r w:rsidRPr="000665B0">
        <w:t xml:space="preserve">Remove – Removes the selected </w:t>
      </w:r>
      <w:r w:rsidR="00E75AC3">
        <w:t>TAWS</w:t>
      </w:r>
      <w:r w:rsidRPr="000665B0">
        <w:t xml:space="preserve">(s) from the </w:t>
      </w:r>
      <w:r w:rsidR="00E75AC3">
        <w:t>TAWS</w:t>
      </w:r>
      <w:r w:rsidRPr="000665B0">
        <w:t xml:space="preserve"> List View. </w:t>
      </w:r>
    </w:p>
    <w:p w14:paraId="0FDFFA0A" w14:textId="54AF574F" w:rsidR="000D70ED" w:rsidRPr="000665B0" w:rsidRDefault="005C2598" w:rsidP="009570CA">
      <w:pPr>
        <w:pStyle w:val="Normal1"/>
        <w:spacing w:before="0" w:beforeAutospacing="0" w:after="0" w:afterAutospacing="0"/>
      </w:pPr>
      <w:r w:rsidRPr="000665B0">
        <w:rPr>
          <w:szCs w:val="20"/>
        </w:rPr>
        <w:t xml:space="preserve">The user can </w:t>
      </w:r>
      <w:r w:rsidRPr="000665B0">
        <w:rPr>
          <w:b/>
          <w:szCs w:val="20"/>
        </w:rPr>
        <w:t xml:space="preserve">Display </w:t>
      </w:r>
      <w:r w:rsidRPr="000665B0">
        <w:rPr>
          <w:szCs w:val="20"/>
        </w:rPr>
        <w:t>(</w:t>
      </w:r>
      <w:r w:rsidRPr="000665B0">
        <w:rPr>
          <w:b/>
          <w:szCs w:val="20"/>
        </w:rPr>
        <w:t>in Excel</w:t>
      </w:r>
      <w:r w:rsidRPr="000665B0">
        <w:rPr>
          <w:szCs w:val="20"/>
        </w:rPr>
        <w:t xml:space="preserve">), </w:t>
      </w:r>
      <w:r w:rsidRPr="000665B0">
        <w:rPr>
          <w:b/>
          <w:szCs w:val="20"/>
        </w:rPr>
        <w:t>Print</w:t>
      </w:r>
      <w:r w:rsidRPr="000665B0">
        <w:rPr>
          <w:szCs w:val="20"/>
        </w:rPr>
        <w:t xml:space="preserve">, and </w:t>
      </w:r>
      <w:r w:rsidRPr="000665B0">
        <w:rPr>
          <w:b/>
          <w:szCs w:val="20"/>
        </w:rPr>
        <w:t xml:space="preserve">Remove </w:t>
      </w:r>
      <w:r w:rsidRPr="000665B0">
        <w:rPr>
          <w:szCs w:val="20"/>
        </w:rPr>
        <w:t xml:space="preserve">elements. See </w:t>
      </w:r>
      <w:hyperlink w:anchor="_5.2__COMMON_2" w:history="1">
        <w:r w:rsidRPr="000665B0">
          <w:rPr>
            <w:color w:val="0000FF"/>
            <w:szCs w:val="20"/>
            <w:u w:val="single"/>
          </w:rPr>
          <w:t>Section 5.2</w:t>
        </w:r>
      </w:hyperlink>
      <w:r w:rsidRPr="000665B0">
        <w:rPr>
          <w:szCs w:val="20"/>
        </w:rPr>
        <w:t xml:space="preserve"> for information on how to perform those features.</w:t>
      </w:r>
    </w:p>
    <w:p w14:paraId="1E881DFD" w14:textId="56CEEAB6" w:rsidR="000D70ED" w:rsidRPr="000665B0" w:rsidRDefault="000D70ED" w:rsidP="009570CA">
      <w:pPr>
        <w:pStyle w:val="Heading3"/>
      </w:pPr>
      <w:bookmarkStart w:id="5884" w:name="_Toc289328806"/>
      <w:bookmarkStart w:id="5885" w:name="_Toc312332041"/>
      <w:bookmarkStart w:id="5886" w:name="_Toc214283503"/>
      <w:r w:rsidRPr="000665B0">
        <w:t>Display Textually</w:t>
      </w:r>
      <w:bookmarkEnd w:id="5862"/>
      <w:bookmarkEnd w:id="5863"/>
      <w:bookmarkEnd w:id="5876"/>
      <w:bookmarkEnd w:id="5884"/>
      <w:bookmarkEnd w:id="5885"/>
      <w:bookmarkEnd w:id="5886"/>
    </w:p>
    <w:p w14:paraId="66F329E8" w14:textId="77777777" w:rsidR="005C2598" w:rsidRPr="000665B0" w:rsidRDefault="005C2598" w:rsidP="009570CA">
      <w:r w:rsidRPr="000665B0">
        <w:t>This function allows for the display of the TMPR textually so that the TMPR can be modified if necessary.</w:t>
      </w:r>
    </w:p>
    <w:p w14:paraId="199B8F90" w14:textId="78C64BCA" w:rsidR="000D70ED" w:rsidRPr="000665B0" w:rsidRDefault="000D70ED" w:rsidP="009570CA">
      <w:r w:rsidRPr="000665B0">
        <w:t xml:space="preserve">To display a TMPR textually see </w:t>
      </w:r>
      <w:hyperlink w:anchor="_5.2.1.2.4__Display_1" w:history="1">
        <w:r w:rsidRPr="000665B0">
          <w:rPr>
            <w:rStyle w:val="Hyperlink"/>
          </w:rPr>
          <w:t>Section 5.2.1.2.4</w:t>
        </w:r>
      </w:hyperlink>
      <w:r w:rsidRPr="000665B0">
        <w:t>.</w:t>
      </w:r>
    </w:p>
    <w:p w14:paraId="1A996869" w14:textId="77777777" w:rsidR="00726BD5" w:rsidRPr="000665B0" w:rsidRDefault="00726BD5" w:rsidP="009570CA">
      <w:pPr>
        <w:pStyle w:val="Heading4"/>
      </w:pPr>
      <w:bookmarkStart w:id="5887" w:name="_Toc100461731"/>
      <w:bookmarkStart w:id="5888" w:name="_Toc112733709"/>
      <w:bookmarkStart w:id="5889" w:name="_Toc194984793"/>
      <w:bookmarkStart w:id="5890" w:name="_Toc289328807"/>
      <w:bookmarkStart w:id="5891" w:name="_Toc312332042"/>
      <w:r w:rsidRPr="000665B0">
        <w:t>Display Geographically</w:t>
      </w:r>
    </w:p>
    <w:p w14:paraId="0A473A06" w14:textId="77777777" w:rsidR="00726BD5" w:rsidRPr="000665B0" w:rsidRDefault="00726BD5" w:rsidP="009570CA">
      <w:pPr>
        <w:rPr>
          <w:szCs w:val="24"/>
        </w:rPr>
      </w:pPr>
      <w:r w:rsidRPr="000665B0">
        <w:rPr>
          <w:szCs w:val="24"/>
        </w:rPr>
        <w:t>To display additional TMPR information on the Geo Display:</w:t>
      </w:r>
    </w:p>
    <w:p w14:paraId="69899C4B" w14:textId="154B931B" w:rsidR="00726BD5" w:rsidRPr="000665B0" w:rsidRDefault="00726BD5" w:rsidP="006D5A65">
      <w:pPr>
        <w:pStyle w:val="Heading2"/>
      </w:pPr>
      <w:r w:rsidRPr="000665B0">
        <w:lastRenderedPageBreak/>
        <w:t xml:space="preserve">From the TMPR textual display, display the TMPR geographically (see </w:t>
      </w:r>
      <w:hyperlink w:anchor="_5.2.1.2.2__Display_1" w:history="1">
        <w:r w:rsidRPr="000665B0">
          <w:rPr>
            <w:rStyle w:val="Hyperlink"/>
            <w:szCs w:val="24"/>
          </w:rPr>
          <w:t>Section 5.2.1.2.2</w:t>
        </w:r>
      </w:hyperlink>
      <w:r w:rsidRPr="000665B0">
        <w:t>).</w:t>
      </w:r>
    </w:p>
    <w:p w14:paraId="5F3DD837" w14:textId="77777777" w:rsidR="00726BD5" w:rsidRPr="000665B0" w:rsidRDefault="00726BD5" w:rsidP="006D5A65">
      <w:pPr>
        <w:pStyle w:val="Heading2"/>
      </w:pPr>
      <w:r w:rsidRPr="000665B0">
        <w:t>To view additional TMPR information:</w:t>
      </w:r>
    </w:p>
    <w:p w14:paraId="629C9031" w14:textId="77777777" w:rsidR="00726BD5" w:rsidRPr="000665B0" w:rsidRDefault="00726BD5" w:rsidP="006D5A65">
      <w:pPr>
        <w:pStyle w:val="Heading1"/>
      </w:pPr>
      <w:r w:rsidRPr="000665B0">
        <w:t xml:space="preserve">From the </w:t>
      </w:r>
      <w:r w:rsidRPr="000665B0">
        <w:rPr>
          <w:i/>
        </w:rPr>
        <w:t>Geo Display</w:t>
      </w:r>
      <w:r w:rsidRPr="000665B0">
        <w:t xml:space="preserve"> window, select View </w:t>
      </w:r>
      <w:r w:rsidRPr="000665B0">
        <w:sym w:font="Wingdings" w:char="F0E0"/>
      </w:r>
      <w:r w:rsidRPr="000665B0">
        <w:t xml:space="preserve"> Display Geo Object Manager. </w:t>
      </w:r>
    </w:p>
    <w:p w14:paraId="2B549C51" w14:textId="77777777" w:rsidR="00726BD5" w:rsidRPr="000665B0" w:rsidRDefault="00726BD5" w:rsidP="006D5A65">
      <w:pPr>
        <w:pStyle w:val="Heading1"/>
      </w:pPr>
      <w:r w:rsidRPr="000665B0">
        <w:t>In the Geo Object Manager, select the TMPR Object (if not already selected).</w:t>
      </w:r>
    </w:p>
    <w:p w14:paraId="67FD9435" w14:textId="43796428" w:rsidR="00726BD5" w:rsidRPr="000665B0" w:rsidRDefault="00726BD5" w:rsidP="006D5A65">
      <w:pPr>
        <w:pStyle w:val="Heading1"/>
      </w:pPr>
      <w:r w:rsidRPr="000665B0">
        <w:t xml:space="preserve">Select the TMPR Object </w:t>
      </w:r>
      <w:r w:rsidRPr="000665B0">
        <w:rPr>
          <w:noProof/>
          <w:position w:val="-4"/>
        </w:rPr>
        <w:drawing>
          <wp:inline distT="0" distB="0" distL="0" distR="0" wp14:anchorId="54676BFD" wp14:editId="5D13F9AC">
            <wp:extent cx="171450" cy="180975"/>
            <wp:effectExtent l="0" t="0" r="0" b="9525"/>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71450" cy="180975"/>
                    </a:xfrm>
                    <a:prstGeom prst="rect">
                      <a:avLst/>
                    </a:prstGeom>
                    <a:noFill/>
                    <a:ln>
                      <a:noFill/>
                    </a:ln>
                  </pic:spPr>
                </pic:pic>
              </a:graphicData>
            </a:graphic>
          </wp:inline>
        </w:drawing>
      </w:r>
      <w:r w:rsidRPr="000665B0">
        <w:t xml:space="preserve"> icon on the Geo display. </w:t>
      </w:r>
      <w:r w:rsidR="00D71804" w:rsidRPr="000665B0">
        <w:t>Right-click</w:t>
      </w:r>
      <w:r w:rsidRPr="000665B0">
        <w:t xml:space="preserve"> to invoke the context menu and select TMPR ► Show Note.</w:t>
      </w:r>
    </w:p>
    <w:p w14:paraId="062BABB8" w14:textId="77777777" w:rsidR="00726BD5" w:rsidRPr="000665B0" w:rsidRDefault="00726BD5" w:rsidP="009570CA">
      <w:pPr>
        <w:jc w:val="center"/>
      </w:pPr>
      <w:r w:rsidRPr="000665B0">
        <w:rPr>
          <w:noProof/>
        </w:rPr>
        <w:drawing>
          <wp:inline distT="0" distB="0" distL="0" distR="0" wp14:anchorId="79797486" wp14:editId="3A634890">
            <wp:extent cx="4114800" cy="2743200"/>
            <wp:effectExtent l="0" t="0" r="0" b="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743200"/>
                    </a:xfrm>
                    <a:prstGeom prst="rect">
                      <a:avLst/>
                    </a:prstGeom>
                  </pic:spPr>
                </pic:pic>
              </a:graphicData>
            </a:graphic>
          </wp:inline>
        </w:drawing>
      </w:r>
    </w:p>
    <w:p w14:paraId="7FDF3876" w14:textId="5B0F342A" w:rsidR="000D70ED" w:rsidRPr="000665B0" w:rsidRDefault="000D70ED" w:rsidP="009570CA">
      <w:pPr>
        <w:pStyle w:val="Heading3"/>
      </w:pPr>
      <w:bookmarkStart w:id="5892" w:name="_Toc214283504"/>
      <w:r w:rsidRPr="000665B0">
        <w:t>Creating TMPR(s) from other Tools</w:t>
      </w:r>
      <w:bookmarkEnd w:id="5887"/>
      <w:bookmarkEnd w:id="5888"/>
      <w:bookmarkEnd w:id="5889"/>
      <w:bookmarkEnd w:id="5890"/>
      <w:bookmarkEnd w:id="5891"/>
      <w:bookmarkEnd w:id="5892"/>
      <w:r w:rsidRPr="000665B0">
        <w:t xml:space="preserve"> </w:t>
      </w:r>
    </w:p>
    <w:p w14:paraId="31860D11" w14:textId="7BB84CEF" w:rsidR="005C2598" w:rsidRPr="000665B0" w:rsidRDefault="005C2598" w:rsidP="009570CA">
      <w:pPr>
        <w:spacing w:after="0"/>
        <w:rPr>
          <w:rFonts w:eastAsia="Arial Unicode MS"/>
        </w:rPr>
      </w:pPr>
      <w:bookmarkStart w:id="5893" w:name="_Toc100461732"/>
      <w:bookmarkStart w:id="5894" w:name="_Toc112733710"/>
      <w:bookmarkStart w:id="5895" w:name="_Toc194984794"/>
      <w:bookmarkStart w:id="5896" w:name="_Toc289328808"/>
      <w:r w:rsidRPr="000665B0">
        <w:rPr>
          <w:rFonts w:eastAsia="Arial Unicode MS"/>
        </w:rPr>
        <w:t xml:space="preserve">TMPRs can also be initiated from the </w:t>
      </w:r>
      <w:r w:rsidRPr="000665B0">
        <w:rPr>
          <w:rFonts w:eastAsia="Arial Unicode MS"/>
          <w:b/>
        </w:rPr>
        <w:t>Strike Plan Folder</w:t>
      </w:r>
      <w:r w:rsidRPr="000665B0">
        <w:rPr>
          <w:rFonts w:eastAsia="Arial Unicode MS"/>
        </w:rPr>
        <w:t xml:space="preserve"> Tool</w:t>
      </w:r>
      <w:r w:rsidR="009B0352" w:rsidRPr="000665B0">
        <w:rPr>
          <w:rFonts w:eastAsia="Arial Unicode MS"/>
        </w:rPr>
        <w:t xml:space="preserve"> and </w:t>
      </w:r>
      <w:r w:rsidR="009B0352" w:rsidRPr="000665B0">
        <w:rPr>
          <w:rFonts w:eastAsia="Arial Unicode MS"/>
          <w:b/>
        </w:rPr>
        <w:t>Strike Options</w:t>
      </w:r>
      <w:r w:rsidR="003927BC" w:rsidRPr="000665B0">
        <w:rPr>
          <w:rFonts w:eastAsia="Arial Unicode MS"/>
        </w:rPr>
        <w:t xml:space="preserve"> </w:t>
      </w:r>
      <w:r w:rsidR="003927BC" w:rsidRPr="000665B0">
        <w:rPr>
          <w:rFonts w:eastAsia="Arial Unicode MS"/>
          <w:i/>
        </w:rPr>
        <w:t>Mission Candidates</w:t>
      </w:r>
      <w:r w:rsidR="003927BC" w:rsidRPr="000665B0">
        <w:rPr>
          <w:rFonts w:eastAsia="Arial Unicode MS"/>
        </w:rPr>
        <w:t xml:space="preserve"> window</w:t>
      </w:r>
      <w:r w:rsidRPr="000665B0">
        <w:rPr>
          <w:rFonts w:eastAsia="Arial Unicode MS"/>
        </w:rPr>
        <w:t xml:space="preserve">, </w:t>
      </w:r>
      <w:r w:rsidRPr="000665B0">
        <w:rPr>
          <w:rFonts w:eastAsia="Arial Unicode MS"/>
          <w:b/>
        </w:rPr>
        <w:t>Missions</w:t>
      </w:r>
      <w:r w:rsidRPr="000665B0">
        <w:rPr>
          <w:rFonts w:eastAsia="Arial Unicode MS"/>
        </w:rPr>
        <w:t xml:space="preserve"> Tool, </w:t>
      </w:r>
      <w:r w:rsidRPr="000665B0">
        <w:rPr>
          <w:rFonts w:eastAsia="Arial Unicode MS"/>
          <w:b/>
        </w:rPr>
        <w:t>Target</w:t>
      </w:r>
      <w:r w:rsidRPr="000665B0">
        <w:rPr>
          <w:rFonts w:eastAsia="Arial Unicode MS"/>
        </w:rPr>
        <w:t xml:space="preserve"> Tool, the </w:t>
      </w:r>
      <w:r w:rsidR="00E75AC3">
        <w:rPr>
          <w:rFonts w:eastAsia="Arial Unicode MS"/>
          <w:b/>
        </w:rPr>
        <w:t>TAWS</w:t>
      </w:r>
      <w:r w:rsidRPr="000665B0">
        <w:rPr>
          <w:rFonts w:eastAsia="Arial Unicode MS"/>
        </w:rPr>
        <w:t xml:space="preserve"> Tool or the </w:t>
      </w:r>
      <w:r w:rsidRPr="000665B0">
        <w:rPr>
          <w:rFonts w:eastAsia="Arial Unicode MS"/>
          <w:b/>
        </w:rPr>
        <w:t>Strike Management Display</w:t>
      </w:r>
      <w:r w:rsidRPr="000665B0">
        <w:rPr>
          <w:rFonts w:eastAsia="Arial Unicode MS"/>
        </w:rPr>
        <w:t>.</w:t>
      </w:r>
    </w:p>
    <w:p w14:paraId="7EB004F0" w14:textId="11424690" w:rsidR="000D70ED" w:rsidRPr="000665B0" w:rsidRDefault="000D70ED" w:rsidP="009570CA">
      <w:pPr>
        <w:pStyle w:val="Heading4"/>
      </w:pPr>
      <w:r w:rsidRPr="000665B0">
        <w:lastRenderedPageBreak/>
        <w:t>Creating from Mission Tool</w:t>
      </w:r>
      <w:bookmarkEnd w:id="5893"/>
      <w:bookmarkEnd w:id="5894"/>
      <w:bookmarkEnd w:id="5895"/>
      <w:bookmarkEnd w:id="5896"/>
    </w:p>
    <w:p w14:paraId="41BA5B21" w14:textId="77777777" w:rsidR="000D70ED" w:rsidRPr="000665B0" w:rsidRDefault="000D70ED" w:rsidP="006D5A65">
      <w:pPr>
        <w:pStyle w:val="Heading1"/>
      </w:pPr>
      <w:r w:rsidRPr="000665B0">
        <w:t>From the Mission Tool, select the mission to create the TMPR.</w:t>
      </w:r>
    </w:p>
    <w:p w14:paraId="2546E937" w14:textId="721E6A92" w:rsidR="005C2598" w:rsidRPr="000665B0" w:rsidRDefault="005C2598" w:rsidP="006D5A65">
      <w:pPr>
        <w:pStyle w:val="Heading1"/>
      </w:pPr>
      <w:r w:rsidRPr="000665B0">
        <w:t>Invoke the context menu (</w:t>
      </w:r>
      <w:r w:rsidR="00D71804" w:rsidRPr="000665B0">
        <w:t>right-click</w:t>
      </w:r>
      <w:r w:rsidRPr="000665B0">
        <w:t xml:space="preserve"> the mouse), select Create TMPR, and select the type of TMPR to create. </w:t>
      </w:r>
    </w:p>
    <w:p w14:paraId="2C6DAFDC" w14:textId="77777777" w:rsidR="000D70ED" w:rsidRPr="000665B0" w:rsidRDefault="000D70ED" w:rsidP="006D5A65">
      <w:pPr>
        <w:pStyle w:val="Heading1"/>
      </w:pPr>
      <w:r w:rsidRPr="000665B0">
        <w:t xml:space="preserve">The TMPR textual view </w:t>
      </w:r>
      <w:r w:rsidR="00327ACD" w:rsidRPr="000665B0">
        <w:t>is</w:t>
      </w:r>
      <w:r w:rsidRPr="000665B0">
        <w:t xml:space="preserve"> displayed to edit and save.</w:t>
      </w:r>
    </w:p>
    <w:p w14:paraId="07004C57" w14:textId="3699BA49" w:rsidR="000D70ED" w:rsidRPr="000665B0" w:rsidRDefault="000D70ED" w:rsidP="009570CA">
      <w:pPr>
        <w:pStyle w:val="Heading4"/>
      </w:pPr>
      <w:bookmarkStart w:id="5897" w:name="_Toc100461733"/>
      <w:bookmarkStart w:id="5898" w:name="_Toc112733711"/>
      <w:bookmarkStart w:id="5899" w:name="_Toc194984795"/>
      <w:bookmarkStart w:id="5900" w:name="_Toc289328809"/>
      <w:r w:rsidRPr="000665B0">
        <w:t>Creating from Mission Candidates Window</w:t>
      </w:r>
      <w:bookmarkEnd w:id="5897"/>
      <w:bookmarkEnd w:id="5898"/>
      <w:bookmarkEnd w:id="5899"/>
      <w:bookmarkEnd w:id="5900"/>
    </w:p>
    <w:p w14:paraId="317D48AC" w14:textId="77777777" w:rsidR="000D70ED" w:rsidRPr="000665B0" w:rsidRDefault="000D70ED" w:rsidP="006D5A65">
      <w:pPr>
        <w:pStyle w:val="Heading1"/>
      </w:pPr>
      <w:r w:rsidRPr="000665B0">
        <w:t xml:space="preserve">From the </w:t>
      </w:r>
      <w:r w:rsidRPr="000665B0">
        <w:rPr>
          <w:i/>
          <w:iCs/>
        </w:rPr>
        <w:t>Mission Candidates</w:t>
      </w:r>
      <w:r w:rsidRPr="000665B0">
        <w:t xml:space="preserve"> window, select the mission to create the TMPR.</w:t>
      </w:r>
    </w:p>
    <w:p w14:paraId="2E59C8A0" w14:textId="445460FF" w:rsidR="000D70ED" w:rsidRPr="000665B0" w:rsidRDefault="007156F4" w:rsidP="006D5A65">
      <w:pPr>
        <w:pStyle w:val="Heading1"/>
      </w:pPr>
      <w:r w:rsidRPr="000665B0">
        <w:t>Invoke the context menu (</w:t>
      </w:r>
      <w:r w:rsidR="00D71804" w:rsidRPr="000665B0">
        <w:t>right-click</w:t>
      </w:r>
      <w:r w:rsidRPr="000665B0">
        <w:t xml:space="preserve"> the mouse), select Create TMPR, and select the type of TMPR to create.</w:t>
      </w:r>
    </w:p>
    <w:p w14:paraId="4572694F" w14:textId="77777777" w:rsidR="000D70ED" w:rsidRPr="000665B0" w:rsidRDefault="000D70ED" w:rsidP="006D5A65">
      <w:pPr>
        <w:pStyle w:val="Heading1"/>
      </w:pPr>
      <w:r w:rsidRPr="000665B0">
        <w:t xml:space="preserve">The TMPR textual view </w:t>
      </w:r>
      <w:r w:rsidR="00327ACD" w:rsidRPr="000665B0">
        <w:t>is</w:t>
      </w:r>
      <w:r w:rsidRPr="000665B0">
        <w:t xml:space="preserve"> displayed to edit and save. </w:t>
      </w:r>
    </w:p>
    <w:p w14:paraId="513EC49B" w14:textId="428C504C" w:rsidR="000D70ED" w:rsidRPr="000665B0" w:rsidRDefault="000D70ED" w:rsidP="009570CA">
      <w:pPr>
        <w:pStyle w:val="Heading4"/>
      </w:pPr>
      <w:bookmarkStart w:id="5901" w:name="_Toc100461734"/>
      <w:bookmarkStart w:id="5902" w:name="_Toc112733712"/>
      <w:bookmarkStart w:id="5903" w:name="_Toc194984796"/>
      <w:bookmarkStart w:id="5904" w:name="_Toc289328810"/>
      <w:r w:rsidRPr="000665B0">
        <w:t>Creating from Target Tool</w:t>
      </w:r>
      <w:bookmarkEnd w:id="5901"/>
      <w:bookmarkEnd w:id="5902"/>
      <w:bookmarkEnd w:id="5903"/>
      <w:bookmarkEnd w:id="5904"/>
    </w:p>
    <w:p w14:paraId="129A698C" w14:textId="1E30A703" w:rsidR="000D70ED" w:rsidRPr="000665B0" w:rsidRDefault="00726BD5" w:rsidP="009570CA">
      <w:pPr>
        <w:pStyle w:val="Number0205"/>
        <w:ind w:left="0" w:firstLine="0"/>
      </w:pPr>
      <w:r w:rsidRPr="000665B0">
        <w:t xml:space="preserve">See </w:t>
      </w:r>
      <w:hyperlink w:anchor="_Create__TMPR" w:history="1">
        <w:r w:rsidRPr="000665B0">
          <w:rPr>
            <w:rStyle w:val="Hyperlink"/>
          </w:rPr>
          <w:t xml:space="preserve">Section </w:t>
        </w:r>
        <w:r w:rsidR="004231CC">
          <w:rPr>
            <w:rStyle w:val="Hyperlink"/>
          </w:rPr>
          <w:t>5.28</w:t>
        </w:r>
        <w:r w:rsidRPr="000665B0">
          <w:rPr>
            <w:rStyle w:val="Hyperlink"/>
          </w:rPr>
          <w:t>.7</w:t>
        </w:r>
      </w:hyperlink>
      <w:r w:rsidRPr="000665B0">
        <w:t>.</w:t>
      </w:r>
    </w:p>
    <w:p w14:paraId="48CFE8D7" w14:textId="686C6A54" w:rsidR="007156F4" w:rsidRPr="000665B0" w:rsidRDefault="007156F4" w:rsidP="009570CA">
      <w:pPr>
        <w:pStyle w:val="Heading4"/>
      </w:pPr>
      <w:r w:rsidRPr="000665B0">
        <w:t xml:space="preserve">Creating from </w:t>
      </w:r>
      <w:r w:rsidR="00E75AC3">
        <w:t>TAWS</w:t>
      </w:r>
      <w:r w:rsidRPr="000665B0">
        <w:t xml:space="preserve"> Tool</w:t>
      </w:r>
    </w:p>
    <w:p w14:paraId="4CBBB4DB" w14:textId="1D1F416D" w:rsidR="007156F4" w:rsidRPr="000665B0" w:rsidRDefault="003927BC" w:rsidP="009570CA">
      <w:r w:rsidRPr="000665B0">
        <w:t xml:space="preserve">See </w:t>
      </w:r>
      <w:hyperlink w:anchor="_Create_TMPR" w:history="1">
        <w:r w:rsidRPr="000665B0">
          <w:rPr>
            <w:rStyle w:val="Hyperlink"/>
          </w:rPr>
          <w:t xml:space="preserve">Section </w:t>
        </w:r>
        <w:r w:rsidR="004231CC">
          <w:rPr>
            <w:rStyle w:val="Hyperlink"/>
          </w:rPr>
          <w:t>5.41</w:t>
        </w:r>
        <w:r w:rsidRPr="000665B0">
          <w:rPr>
            <w:rStyle w:val="Hyperlink"/>
          </w:rPr>
          <w:t>.3</w:t>
        </w:r>
      </w:hyperlink>
      <w:r w:rsidRPr="000665B0">
        <w:t>.</w:t>
      </w:r>
      <w:bookmarkStart w:id="5905" w:name="_Toc100461739"/>
      <w:bookmarkStart w:id="5906" w:name="_Toc112733713"/>
    </w:p>
    <w:p w14:paraId="58161504" w14:textId="109464B7" w:rsidR="007156F4" w:rsidRPr="000665B0" w:rsidRDefault="007156F4" w:rsidP="009570CA">
      <w:pPr>
        <w:pStyle w:val="Heading4"/>
      </w:pPr>
      <w:r w:rsidRPr="000665B0">
        <w:t>Creating from Strike Management Display</w:t>
      </w:r>
    </w:p>
    <w:p w14:paraId="62312406" w14:textId="342290F2" w:rsidR="000D70ED" w:rsidRPr="000665B0" w:rsidRDefault="00C47FA5" w:rsidP="009570CA">
      <w:pPr>
        <w:pStyle w:val="Number0205"/>
        <w:ind w:left="0" w:firstLine="0"/>
      </w:pPr>
      <w:r w:rsidRPr="000665B0">
        <w:t xml:space="preserve">See </w:t>
      </w:r>
      <w:hyperlink w:anchor="_5.38.3.1.7.1.2_How_to" w:history="1">
        <w:r w:rsidR="00985815" w:rsidRPr="000665B0">
          <w:rPr>
            <w:rStyle w:val="Hyperlink"/>
          </w:rPr>
          <w:t xml:space="preserve">Section </w:t>
        </w:r>
        <w:r w:rsidR="004231CC">
          <w:rPr>
            <w:rStyle w:val="Hyperlink"/>
          </w:rPr>
          <w:t>5.35</w:t>
        </w:r>
        <w:r w:rsidR="00985815" w:rsidRPr="000665B0">
          <w:rPr>
            <w:rStyle w:val="Hyperlink"/>
          </w:rPr>
          <w:t>.3.1.8</w:t>
        </w:r>
        <w:r w:rsidR="00113EC6" w:rsidRPr="000665B0">
          <w:rPr>
            <w:rStyle w:val="Hyperlink"/>
          </w:rPr>
          <w:t>.</w:t>
        </w:r>
        <w:r w:rsidR="00A25437">
          <w:rPr>
            <w:rStyle w:val="Hyperlink"/>
          </w:rPr>
          <w:t>1.</w:t>
        </w:r>
        <w:r w:rsidR="00113EC6" w:rsidRPr="000665B0">
          <w:rPr>
            <w:rStyle w:val="Hyperlink"/>
          </w:rPr>
          <w:t>2</w:t>
        </w:r>
      </w:hyperlink>
      <w:r w:rsidR="00F77E28" w:rsidRPr="000665B0">
        <w:t>.</w:t>
      </w:r>
    </w:p>
    <w:p w14:paraId="123FF7C3" w14:textId="7151063F" w:rsidR="000D70ED" w:rsidRPr="000665B0" w:rsidRDefault="000D70ED" w:rsidP="009570CA">
      <w:pPr>
        <w:pStyle w:val="Heading3"/>
      </w:pPr>
      <w:bookmarkStart w:id="5907" w:name="_Toc289328812"/>
      <w:bookmarkStart w:id="5908" w:name="_Toc312332043"/>
      <w:bookmarkStart w:id="5909" w:name="_Toc214283505"/>
      <w:bookmarkStart w:id="5910" w:name="_Hlk59694450"/>
      <w:bookmarkStart w:id="5911" w:name="_Toc194984798"/>
      <w:r w:rsidRPr="000665B0">
        <w:t>Set TMPR ID Sequence Number</w:t>
      </w:r>
      <w:bookmarkEnd w:id="5907"/>
      <w:bookmarkEnd w:id="5908"/>
      <w:bookmarkEnd w:id="5909"/>
    </w:p>
    <w:p w14:paraId="3B10B7CD" w14:textId="77777777" w:rsidR="000D70ED" w:rsidRPr="000665B0" w:rsidRDefault="000D70ED" w:rsidP="009570CA">
      <w:r w:rsidRPr="000665B0">
        <w:t>MDS maintains the last TMPR ID sequence number in the database. If the database has been reset</w:t>
      </w:r>
      <w:r w:rsidR="00EA713B" w:rsidRPr="000665B0">
        <w:t>,</w:t>
      </w:r>
      <w:r w:rsidRPr="000665B0">
        <w:t xml:space="preserve"> the last TMPR ID sequence number must also be reset to avoid duplicate and/or mismatched TMPR IDs between two MDS nodes. If it is not updated, the TMPR ID at an MDS node may not be synchronized with the ID in the TPS database. </w:t>
      </w:r>
    </w:p>
    <w:p w14:paraId="0B6803A6" w14:textId="27BFCDF0" w:rsidR="007156F4" w:rsidRPr="000665B0" w:rsidRDefault="007156F4" w:rsidP="009570CA">
      <w:r w:rsidRPr="000665B0">
        <w:t>To update the TMPR ID sequence number, prior to dropping the database</w:t>
      </w:r>
      <w:r w:rsidR="005E6AF9" w:rsidRPr="000665B0">
        <w:t>,</w:t>
      </w:r>
      <w:r w:rsidRPr="000665B0">
        <w:t xml:space="preserve"> note the ID of the last TMPR. After the database has been reset, use the </w:t>
      </w:r>
      <w:r w:rsidR="00DC7D18" w:rsidRPr="000665B0">
        <w:t>TMPC</w:t>
      </w:r>
      <w:r w:rsidRPr="000665B0">
        <w:t xml:space="preserve"> Database Utility to update the TMPR ID Sequence Number in the TED_</w:t>
      </w:r>
      <w:r w:rsidR="00B62DA0" w:rsidRPr="000665B0">
        <w:t>TASK</w:t>
      </w:r>
      <w:r w:rsidRPr="000665B0">
        <w:t xml:space="preserve">_DB database. See </w:t>
      </w:r>
      <w:hyperlink w:anchor="_4.5.2.1.13__Data" w:history="1">
        <w:r w:rsidR="00B14F4A" w:rsidRPr="000665B0">
          <w:rPr>
            <w:rStyle w:val="Hyperlink"/>
          </w:rPr>
          <w:t>Section 4.5.2.1.12</w:t>
        </w:r>
      </w:hyperlink>
      <w:r w:rsidRPr="000665B0">
        <w:t>.</w:t>
      </w:r>
    </w:p>
    <w:p w14:paraId="3060B86B" w14:textId="4C699AAB" w:rsidR="000D70ED" w:rsidRPr="000665B0" w:rsidRDefault="00606FE1" w:rsidP="009570CA">
      <w:pPr>
        <w:pStyle w:val="Heading3"/>
      </w:pPr>
      <w:bookmarkStart w:id="5912" w:name="_5.35.9__Checking/Setting"/>
      <w:bookmarkStart w:id="5913" w:name="_5.35.8__Checking"/>
      <w:bookmarkStart w:id="5914" w:name="_Toc214283506"/>
      <w:bookmarkEnd w:id="5910"/>
      <w:bookmarkEnd w:id="5912"/>
      <w:bookmarkEnd w:id="5913"/>
      <w:r w:rsidRPr="000665B0">
        <w:t>Checking the Collocated TPS</w:t>
      </w:r>
      <w:bookmarkEnd w:id="5914"/>
    </w:p>
    <w:p w14:paraId="098FB4CB" w14:textId="77777777" w:rsidR="000D70ED" w:rsidRPr="000665B0" w:rsidRDefault="00606FE1" w:rsidP="009570CA">
      <w:r w:rsidRPr="000665B0">
        <w:t xml:space="preserve">If the Own Node has a collocated TPS (determined by the presence of a Site Code), the </w:t>
      </w:r>
      <w:r w:rsidRPr="000665B0">
        <w:rPr>
          <w:b/>
        </w:rPr>
        <w:t>Submit</w:t>
      </w:r>
      <w:r w:rsidRPr="000665B0">
        <w:t xml:space="preserve"> tool button </w:t>
      </w:r>
      <w:r w:rsidRPr="000665B0">
        <w:rPr>
          <w:noProof/>
        </w:rPr>
        <w:drawing>
          <wp:inline distT="0" distB="0" distL="0" distR="0" wp14:anchorId="45D56E97" wp14:editId="4FDD71E2">
            <wp:extent cx="182880" cy="158750"/>
            <wp:effectExtent l="0" t="0" r="7620" b="0"/>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2880" cy="158750"/>
                    </a:xfrm>
                    <a:prstGeom prst="rect">
                      <a:avLst/>
                    </a:prstGeom>
                    <a:noFill/>
                    <a:ln>
                      <a:noFill/>
                    </a:ln>
                  </pic:spPr>
                </pic:pic>
              </a:graphicData>
            </a:graphic>
          </wp:inline>
        </w:drawing>
      </w:r>
      <w:r w:rsidRPr="000665B0">
        <w:t xml:space="preserve"> will be enabled. The Site Code is determined by the Valid Platform List that is being used. To display Own Node and determine if it has a Site Code:</w:t>
      </w:r>
    </w:p>
    <w:p w14:paraId="69179401" w14:textId="77777777" w:rsidR="000D70ED" w:rsidRPr="000665B0" w:rsidRDefault="000D70ED" w:rsidP="006D5A65">
      <w:pPr>
        <w:pStyle w:val="Heading1"/>
      </w:pPr>
      <w:r w:rsidRPr="000665B0">
        <w:lastRenderedPageBreak/>
        <w:t>Navigate to the Nodes Tool.</w:t>
      </w:r>
    </w:p>
    <w:p w14:paraId="0A045A8C" w14:textId="77777777" w:rsidR="004A71EA" w:rsidRDefault="00606FE1" w:rsidP="006D5A65">
      <w:pPr>
        <w:pStyle w:val="Heading1"/>
      </w:pPr>
      <w:r w:rsidRPr="000665B0">
        <w:t xml:space="preserve">From the File menu select </w:t>
      </w:r>
      <w:r w:rsidRPr="000665B0">
        <w:rPr>
          <w:bCs/>
        </w:rPr>
        <w:t xml:space="preserve">Display </w:t>
      </w:r>
      <w:r w:rsidRPr="000665B0">
        <w:rPr>
          <w:rFonts w:cs="Arial"/>
          <w:sz w:val="20"/>
        </w:rPr>
        <w:sym w:font="Wingdings" w:char="F0E0"/>
      </w:r>
      <w:r w:rsidRPr="000665B0">
        <w:rPr>
          <w:bCs/>
        </w:rPr>
        <w:t xml:space="preserve"> Own Node</w:t>
      </w:r>
      <w:r w:rsidRPr="000665B0">
        <w:t xml:space="preserve"> or click on the Display Own Node icon </w:t>
      </w:r>
      <w:r w:rsidRPr="000665B0">
        <w:rPr>
          <w:noProof/>
          <w:position w:val="-8"/>
        </w:rPr>
        <w:drawing>
          <wp:inline distT="0" distB="0" distL="0" distR="0" wp14:anchorId="31D3C6A6" wp14:editId="7D66C1B7">
            <wp:extent cx="219710" cy="267970"/>
            <wp:effectExtent l="0" t="0" r="8890" b="0"/>
            <wp:docPr id="1139" name="Picture 1139" descr="Own%20Node%20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Own%20Node%20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19710" cy="267970"/>
                    </a:xfrm>
                    <a:prstGeom prst="rect">
                      <a:avLst/>
                    </a:prstGeom>
                    <a:noFill/>
                    <a:ln>
                      <a:noFill/>
                    </a:ln>
                  </pic:spPr>
                </pic:pic>
              </a:graphicData>
            </a:graphic>
          </wp:inline>
        </w:drawing>
      </w:r>
      <w:r w:rsidRPr="000665B0">
        <w:t xml:space="preserve"> on the toolbar. The </w:t>
      </w:r>
      <w:r w:rsidRPr="000665B0">
        <w:rPr>
          <w:i/>
          <w:iCs/>
        </w:rPr>
        <w:t>Node: XXXXX</w:t>
      </w:r>
      <w:r w:rsidRPr="000665B0">
        <w:t xml:space="preserve"> window is displayed.</w:t>
      </w:r>
      <w:r w:rsidR="004A71EA">
        <w:t xml:space="preserve"> </w:t>
      </w:r>
    </w:p>
    <w:p w14:paraId="78E88121" w14:textId="50208111" w:rsidR="00606FE1" w:rsidRPr="000665B0" w:rsidRDefault="004A71EA" w:rsidP="006D5A65">
      <w:pPr>
        <w:pStyle w:val="Heading1"/>
      </w:pPr>
      <w:r>
        <w:t>V</w:t>
      </w:r>
      <w:r w:rsidR="00606FE1" w:rsidRPr="000665B0">
        <w:t>erify that the Node has a TPS Site Code listed.</w:t>
      </w:r>
    </w:p>
    <w:p w14:paraId="0AAED1E4" w14:textId="0A5F6EA9" w:rsidR="00C83B83" w:rsidRPr="000665B0" w:rsidRDefault="00C83B83" w:rsidP="009570CA">
      <w:pPr>
        <w:pStyle w:val="Heading3"/>
      </w:pPr>
      <w:bookmarkStart w:id="5915" w:name="_5.35.10__Send"/>
      <w:bookmarkStart w:id="5916" w:name="_5.35.9__Send"/>
      <w:bookmarkStart w:id="5917" w:name="_Toc214283507"/>
      <w:bookmarkStart w:id="5918" w:name="_Toc289328814"/>
      <w:bookmarkStart w:id="5919" w:name="_Toc312332045"/>
      <w:bookmarkEnd w:id="5915"/>
      <w:bookmarkEnd w:id="5916"/>
      <w:r w:rsidRPr="000665B0">
        <w:t>Send</w:t>
      </w:r>
      <w:bookmarkEnd w:id="5917"/>
    </w:p>
    <w:p w14:paraId="6FB6D7E4" w14:textId="79401412" w:rsidR="00C83B83" w:rsidRPr="000665B0" w:rsidRDefault="00C83B83" w:rsidP="009570CA">
      <w:pPr>
        <w:rPr>
          <w:snapToGrid w:val="0"/>
        </w:rPr>
      </w:pPr>
      <w:r w:rsidRPr="000665B0">
        <w:rPr>
          <w:snapToGrid w:val="0"/>
        </w:rPr>
        <w:t xml:space="preserve">The </w:t>
      </w:r>
      <w:r w:rsidRPr="000665B0">
        <w:rPr>
          <w:b/>
          <w:snapToGrid w:val="0"/>
        </w:rPr>
        <w:t>Send</w:t>
      </w:r>
      <w:r w:rsidRPr="000665B0">
        <w:rPr>
          <w:snapToGrid w:val="0"/>
        </w:rPr>
        <w:t xml:space="preserve"> option adds the selected TMPR to a DDO template for further distribution. For more details on DDO Templates see </w:t>
      </w:r>
      <w:hyperlink w:anchor="_5.20__DDO_TEMPLATES_TOOL" w:history="1">
        <w:r w:rsidR="00DE0842" w:rsidRPr="000665B0">
          <w:rPr>
            <w:snapToGrid w:val="0"/>
            <w:color w:val="0000FF"/>
            <w:u w:val="single"/>
          </w:rPr>
          <w:t xml:space="preserve">Section </w:t>
        </w:r>
        <w:r w:rsidR="004231CC">
          <w:rPr>
            <w:snapToGrid w:val="0"/>
            <w:color w:val="0000FF"/>
            <w:u w:val="single"/>
          </w:rPr>
          <w:t>5.16</w:t>
        </w:r>
      </w:hyperlink>
      <w:r w:rsidRPr="000665B0">
        <w:rPr>
          <w:snapToGrid w:val="0"/>
        </w:rPr>
        <w:t xml:space="preserve">. </w:t>
      </w:r>
      <w:r w:rsidR="00A3422F" w:rsidRPr="000665B0">
        <w:rPr>
          <w:snapToGrid w:val="0"/>
        </w:rPr>
        <w:t>Attack Plan TMPRs distributed to a pre-6.0 system will NOT be processed by the receiving MDS.</w:t>
      </w:r>
      <w:r w:rsidR="005F003C" w:rsidRPr="000665B0">
        <w:rPr>
          <w:snapToGrid w:val="0"/>
        </w:rPr>
        <w:t xml:space="preserve"> </w:t>
      </w:r>
      <w:r w:rsidR="00F30E2A">
        <w:t>TMPRs that specify use of a MSTM</w:t>
      </w:r>
      <w:r w:rsidR="005F003C" w:rsidRPr="000665B0">
        <w:t xml:space="preserve"> are not recognized by pre-7.0 MDS nodes and pre-V5.6.1 TTWCS nodes. When a DDO containing a MSTM TMPR is distributed to those nodes, a Data Limitation error is </w:t>
      </w:r>
      <w:r w:rsidR="000C627C" w:rsidRPr="000665B0">
        <w:t>displayed,</w:t>
      </w:r>
      <w:r w:rsidR="005F003C" w:rsidRPr="000665B0">
        <w:t xml:space="preserve"> and the data will not be sent.</w:t>
      </w:r>
    </w:p>
    <w:p w14:paraId="54852B48" w14:textId="1F3DE088" w:rsidR="00C83B83" w:rsidRPr="000665B0" w:rsidRDefault="00C83B83" w:rsidP="009570CA">
      <w:pPr>
        <w:pStyle w:val="Heading3"/>
      </w:pPr>
      <w:bookmarkStart w:id="5920" w:name="_5.35.11__Display"/>
      <w:bookmarkStart w:id="5921" w:name="_Toc214283508"/>
      <w:bookmarkEnd w:id="5920"/>
      <w:r w:rsidRPr="000665B0">
        <w:t>Display References</w:t>
      </w:r>
      <w:bookmarkEnd w:id="5921"/>
    </w:p>
    <w:p w14:paraId="13DA40E6" w14:textId="32BB846E" w:rsidR="00C83B83" w:rsidRPr="000665B0" w:rsidRDefault="00F02F03" w:rsidP="009570CA">
      <w:r w:rsidRPr="000665B0">
        <w:t>See</w:t>
      </w:r>
      <w:r w:rsidR="00C83B83" w:rsidRPr="000665B0">
        <w:t xml:space="preserve"> </w:t>
      </w:r>
      <w:hyperlink w:anchor="_5.2.1.2.3__Display_1" w:history="1">
        <w:r w:rsidR="00C83B83" w:rsidRPr="000665B0">
          <w:rPr>
            <w:color w:val="0000FF"/>
            <w:u w:val="single"/>
          </w:rPr>
          <w:t>Section 5.2.1.2.3</w:t>
        </w:r>
      </w:hyperlink>
      <w:r w:rsidR="00C83B83" w:rsidRPr="000665B0">
        <w:t>.</w:t>
      </w:r>
    </w:p>
    <w:p w14:paraId="36F885EE" w14:textId="23DB9507" w:rsidR="000D70ED" w:rsidRPr="000665B0" w:rsidRDefault="000D70ED" w:rsidP="009570CA">
      <w:pPr>
        <w:pStyle w:val="Heading3"/>
      </w:pPr>
      <w:bookmarkStart w:id="5922" w:name="_Toc214283509"/>
      <w:r w:rsidRPr="000665B0">
        <w:t>Find</w:t>
      </w:r>
      <w:bookmarkEnd w:id="5905"/>
      <w:bookmarkEnd w:id="5906"/>
      <w:bookmarkEnd w:id="5911"/>
      <w:bookmarkEnd w:id="5918"/>
      <w:bookmarkEnd w:id="5919"/>
      <w:bookmarkEnd w:id="5922"/>
    </w:p>
    <w:p w14:paraId="7736D526" w14:textId="0DECD401" w:rsidR="000D70ED" w:rsidRPr="000665B0" w:rsidRDefault="00F02F03" w:rsidP="009570CA">
      <w:pPr>
        <w:spacing w:before="120"/>
      </w:pPr>
      <w:r w:rsidRPr="000665B0">
        <w:t>See</w:t>
      </w:r>
      <w:r w:rsidR="000D70ED" w:rsidRPr="000665B0">
        <w:t xml:space="preserve"> </w:t>
      </w:r>
      <w:hyperlink w:anchor="_5.2.5.1__Find_1" w:history="1">
        <w:r w:rsidR="000D70ED" w:rsidRPr="000665B0">
          <w:rPr>
            <w:rStyle w:val="Hyperlink"/>
          </w:rPr>
          <w:t>Section 5.2.5.1</w:t>
        </w:r>
      </w:hyperlink>
      <w:r w:rsidR="000D70ED" w:rsidRPr="000665B0">
        <w:t>.</w:t>
      </w:r>
    </w:p>
    <w:p w14:paraId="080859DC" w14:textId="77777777" w:rsidR="00190086" w:rsidRPr="000665B0" w:rsidRDefault="00190086" w:rsidP="009570CA">
      <w:pPr>
        <w:pStyle w:val="Heading3"/>
      </w:pPr>
      <w:bookmarkStart w:id="5923" w:name="_Toc214283510"/>
      <w:r w:rsidRPr="000665B0">
        <w:t>Plugin Tool</w:t>
      </w:r>
      <w:bookmarkEnd w:id="5923"/>
    </w:p>
    <w:p w14:paraId="22614C46" w14:textId="4DFC8AD1" w:rsidR="00190086" w:rsidRPr="000665B0" w:rsidRDefault="00F02F03" w:rsidP="009570CA">
      <w:pPr>
        <w:spacing w:before="120"/>
      </w:pPr>
      <w:r w:rsidRPr="000665B0">
        <w:t>See</w:t>
      </w:r>
      <w:r w:rsidR="00190086" w:rsidRPr="000665B0">
        <w:t xml:space="preserve"> </w:t>
      </w:r>
      <w:hyperlink w:anchor="_Plugin__Tool" w:history="1">
        <w:r w:rsidR="00190086" w:rsidRPr="000665B0">
          <w:rPr>
            <w:rStyle w:val="Hyperlink"/>
          </w:rPr>
          <w:t>Section 5.2.5.2</w:t>
        </w:r>
      </w:hyperlink>
      <w:r w:rsidR="00190086" w:rsidRPr="000665B0">
        <w:t>.</w:t>
      </w:r>
    </w:p>
    <w:p w14:paraId="0D9BFCE8" w14:textId="39F0FC4B" w:rsidR="000D70ED" w:rsidRPr="000665B0" w:rsidRDefault="000D70ED" w:rsidP="009570CA">
      <w:pPr>
        <w:pStyle w:val="Heading3"/>
      </w:pPr>
      <w:bookmarkStart w:id="5924" w:name="_Toc100461740"/>
      <w:bookmarkStart w:id="5925" w:name="_Toc112733714"/>
      <w:bookmarkStart w:id="5926" w:name="_Toc194984799"/>
      <w:bookmarkStart w:id="5927" w:name="_Toc289328815"/>
      <w:bookmarkStart w:id="5928" w:name="_Toc312332046"/>
      <w:bookmarkStart w:id="5929" w:name="_Toc214283511"/>
      <w:r w:rsidRPr="000665B0">
        <w:t>Print All</w:t>
      </w:r>
      <w:bookmarkEnd w:id="5924"/>
      <w:bookmarkEnd w:id="5925"/>
      <w:bookmarkEnd w:id="5926"/>
      <w:bookmarkEnd w:id="5927"/>
      <w:bookmarkEnd w:id="5928"/>
      <w:bookmarkEnd w:id="5929"/>
    </w:p>
    <w:p w14:paraId="34420B8D" w14:textId="2A945775" w:rsidR="000D70ED" w:rsidRPr="000665B0" w:rsidRDefault="00F02F03" w:rsidP="009570CA">
      <w:r w:rsidRPr="000665B0">
        <w:t>See</w:t>
      </w:r>
      <w:r w:rsidR="000D70ED" w:rsidRPr="000665B0">
        <w:t xml:space="preserve"> </w:t>
      </w:r>
      <w:hyperlink w:anchor="_5.2.1.5__Print" w:history="1">
        <w:r w:rsidR="000D70ED" w:rsidRPr="000665B0">
          <w:rPr>
            <w:rStyle w:val="Hyperlink"/>
          </w:rPr>
          <w:t>Section 5.2.1.5</w:t>
        </w:r>
      </w:hyperlink>
      <w:r w:rsidR="000D70ED" w:rsidRPr="000665B0">
        <w:t>.</w:t>
      </w:r>
    </w:p>
    <w:p w14:paraId="64C1EDB2" w14:textId="6D0B9F69" w:rsidR="000D70ED" w:rsidRPr="000665B0" w:rsidRDefault="000D70ED" w:rsidP="009570CA">
      <w:pPr>
        <w:pStyle w:val="Heading3"/>
      </w:pPr>
      <w:bookmarkStart w:id="5930" w:name="_Toc100461741"/>
      <w:bookmarkStart w:id="5931" w:name="_Toc112733715"/>
      <w:bookmarkStart w:id="5932" w:name="_Toc194984800"/>
      <w:bookmarkStart w:id="5933" w:name="_Toc289328816"/>
      <w:bookmarkStart w:id="5934" w:name="_Toc312332047"/>
      <w:bookmarkStart w:id="5935" w:name="_Toc214283512"/>
      <w:r w:rsidRPr="000665B0">
        <w:t>Display All in Excel</w:t>
      </w:r>
      <w:bookmarkEnd w:id="5930"/>
      <w:bookmarkEnd w:id="5931"/>
      <w:bookmarkEnd w:id="5932"/>
      <w:bookmarkEnd w:id="5933"/>
      <w:bookmarkEnd w:id="5934"/>
      <w:bookmarkEnd w:id="5935"/>
    </w:p>
    <w:p w14:paraId="7EC8BED2" w14:textId="4F2FDB02" w:rsidR="000D70ED" w:rsidRPr="000665B0" w:rsidRDefault="00F02F03" w:rsidP="009570CA">
      <w:r w:rsidRPr="000665B0">
        <w:t>See</w:t>
      </w:r>
      <w:r w:rsidR="000D70ED" w:rsidRPr="000665B0">
        <w:t xml:space="preserve"> </w:t>
      </w:r>
      <w:hyperlink w:anchor="_5.2.1.2.1__Display_1" w:history="1">
        <w:r w:rsidR="000D70ED" w:rsidRPr="000665B0">
          <w:rPr>
            <w:rStyle w:val="Hyperlink"/>
          </w:rPr>
          <w:t>Section 5.2.1.2.1</w:t>
        </w:r>
      </w:hyperlink>
      <w:r w:rsidR="000D70ED" w:rsidRPr="000665B0">
        <w:t>.</w:t>
      </w:r>
    </w:p>
    <w:p w14:paraId="764D7379" w14:textId="71EF7B00" w:rsidR="000D70ED" w:rsidRPr="000665B0" w:rsidRDefault="000D70ED" w:rsidP="009570CA">
      <w:pPr>
        <w:pStyle w:val="Heading3"/>
      </w:pPr>
      <w:bookmarkStart w:id="5936" w:name="_Toc100461742"/>
      <w:bookmarkStart w:id="5937" w:name="_Toc112733716"/>
      <w:bookmarkStart w:id="5938" w:name="_Toc194984801"/>
      <w:bookmarkStart w:id="5939" w:name="_Toc289328817"/>
      <w:bookmarkStart w:id="5940" w:name="_Toc312332048"/>
      <w:bookmarkStart w:id="5941" w:name="_Toc214283513"/>
      <w:r w:rsidRPr="000665B0">
        <w:t>Select All</w:t>
      </w:r>
      <w:bookmarkEnd w:id="5936"/>
      <w:bookmarkEnd w:id="5937"/>
      <w:bookmarkEnd w:id="5938"/>
      <w:bookmarkEnd w:id="5939"/>
      <w:bookmarkEnd w:id="5940"/>
      <w:bookmarkEnd w:id="5941"/>
    </w:p>
    <w:p w14:paraId="1453EC76" w14:textId="49C0C27C" w:rsidR="000D70ED" w:rsidRPr="000665B0" w:rsidRDefault="00F02F03" w:rsidP="009570CA">
      <w:r w:rsidRPr="000665B0">
        <w:t>See</w:t>
      </w:r>
      <w:r w:rsidR="000D70ED" w:rsidRPr="000665B0">
        <w:t xml:space="preserve"> </w:t>
      </w:r>
      <w:hyperlink w:anchor="_5.2.2.1__Select_1" w:history="1">
        <w:r w:rsidR="000D70ED" w:rsidRPr="000665B0">
          <w:rPr>
            <w:rStyle w:val="Hyperlink"/>
          </w:rPr>
          <w:t>Section 5.2.2.1</w:t>
        </w:r>
      </w:hyperlink>
      <w:r w:rsidR="000D70ED" w:rsidRPr="000665B0">
        <w:t>.</w:t>
      </w:r>
    </w:p>
    <w:p w14:paraId="72A315F3" w14:textId="0B4E9295" w:rsidR="000D70ED" w:rsidRPr="000665B0" w:rsidRDefault="000D70ED" w:rsidP="009570CA">
      <w:pPr>
        <w:pStyle w:val="Heading3"/>
      </w:pPr>
      <w:bookmarkStart w:id="5942" w:name="_Toc100461743"/>
      <w:bookmarkStart w:id="5943" w:name="_Toc112733717"/>
      <w:bookmarkStart w:id="5944" w:name="_Toc194984802"/>
      <w:bookmarkStart w:id="5945" w:name="_Toc289328818"/>
      <w:bookmarkStart w:id="5946" w:name="_Toc312332049"/>
      <w:bookmarkStart w:id="5947" w:name="_Toc214283514"/>
      <w:r w:rsidRPr="000665B0">
        <w:t>Delete</w:t>
      </w:r>
      <w:bookmarkEnd w:id="5942"/>
      <w:bookmarkEnd w:id="5943"/>
      <w:bookmarkEnd w:id="5944"/>
      <w:bookmarkEnd w:id="5945"/>
      <w:bookmarkEnd w:id="5946"/>
      <w:bookmarkEnd w:id="5947"/>
    </w:p>
    <w:p w14:paraId="758DF61F" w14:textId="15522035" w:rsidR="00606FE1" w:rsidRPr="000665B0" w:rsidRDefault="00F02F03" w:rsidP="009570CA">
      <w:r w:rsidRPr="000665B0">
        <w:t>See</w:t>
      </w:r>
      <w:r w:rsidR="000D70ED" w:rsidRPr="000665B0">
        <w:t xml:space="preserve"> </w:t>
      </w:r>
      <w:hyperlink w:anchor="_5.2.1.6__Delete" w:history="1">
        <w:r w:rsidR="000D70ED" w:rsidRPr="000665B0">
          <w:rPr>
            <w:rStyle w:val="Hyperlink"/>
          </w:rPr>
          <w:t>Section 5.2.1.6</w:t>
        </w:r>
      </w:hyperlink>
    </w:p>
    <w:p w14:paraId="6228045D" w14:textId="605A210A" w:rsidR="00606FE1" w:rsidRPr="000665B0" w:rsidRDefault="00606FE1" w:rsidP="009570CA">
      <w:pPr>
        <w:pStyle w:val="Heading3"/>
      </w:pPr>
      <w:bookmarkStart w:id="5948" w:name="_Toc214283515"/>
      <w:r w:rsidRPr="000665B0">
        <w:t>Properties</w:t>
      </w:r>
      <w:bookmarkEnd w:id="5948"/>
    </w:p>
    <w:p w14:paraId="343C3C6D" w14:textId="452C33CB" w:rsidR="00606FE1" w:rsidRPr="000665B0" w:rsidRDefault="00F02F03" w:rsidP="009570CA">
      <w:r w:rsidRPr="000665B0">
        <w:t>See</w:t>
      </w:r>
      <w:r w:rsidR="00606FE1" w:rsidRPr="000665B0">
        <w:t xml:space="preserve"> </w:t>
      </w:r>
      <w:hyperlink w:anchor="_5.2.3.4__Properties" w:history="1">
        <w:r w:rsidR="00A75813" w:rsidRPr="000665B0">
          <w:rPr>
            <w:color w:val="0000FF"/>
            <w:u w:val="single"/>
          </w:rPr>
          <w:t>Section 5.2.3.5</w:t>
        </w:r>
      </w:hyperlink>
      <w:r w:rsidR="00606FE1" w:rsidRPr="000665B0">
        <w:t>.</w:t>
      </w:r>
    </w:p>
    <w:p w14:paraId="05E6F6DF" w14:textId="7CB25E56" w:rsidR="00606FE1" w:rsidRPr="000665B0" w:rsidRDefault="00606FE1" w:rsidP="009570CA">
      <w:pPr>
        <w:pStyle w:val="Heading3"/>
      </w:pPr>
      <w:bookmarkStart w:id="5949" w:name="_Toc214283516"/>
      <w:r w:rsidRPr="000665B0">
        <w:lastRenderedPageBreak/>
        <w:t>Sort</w:t>
      </w:r>
      <w:bookmarkEnd w:id="5949"/>
    </w:p>
    <w:p w14:paraId="08997140" w14:textId="63AE1116" w:rsidR="00606FE1" w:rsidRPr="000665B0" w:rsidRDefault="00F02F03" w:rsidP="009570CA">
      <w:r w:rsidRPr="000665B0">
        <w:t>See</w:t>
      </w:r>
      <w:r w:rsidR="00606FE1" w:rsidRPr="000665B0">
        <w:t xml:space="preserve"> </w:t>
      </w:r>
      <w:hyperlink w:anchor="_5.2.3.4.1__Sort" w:history="1">
        <w:r w:rsidR="00A75813" w:rsidRPr="000665B0">
          <w:rPr>
            <w:color w:val="0000FF"/>
            <w:u w:val="single"/>
          </w:rPr>
          <w:t>Section 5.2.3.5</w:t>
        </w:r>
        <w:r w:rsidR="00606FE1" w:rsidRPr="000665B0">
          <w:rPr>
            <w:color w:val="0000FF"/>
            <w:u w:val="single"/>
          </w:rPr>
          <w:t>.1</w:t>
        </w:r>
      </w:hyperlink>
      <w:r w:rsidR="00606FE1" w:rsidRPr="000665B0">
        <w:t>.</w:t>
      </w:r>
    </w:p>
    <w:p w14:paraId="019A6C7C" w14:textId="61DA040C" w:rsidR="00737CE9" w:rsidRPr="000665B0" w:rsidRDefault="00737CE9" w:rsidP="009570CA">
      <w:pPr>
        <w:pStyle w:val="Heading3"/>
      </w:pPr>
      <w:bookmarkStart w:id="5950" w:name="_Toc214283517"/>
      <w:r w:rsidRPr="000665B0">
        <w:t>Receive File</w:t>
      </w:r>
      <w:bookmarkEnd w:id="5950"/>
    </w:p>
    <w:p w14:paraId="1C40886C" w14:textId="4D0DCC8A" w:rsidR="00737CE9" w:rsidRPr="000665B0" w:rsidRDefault="00F02F03" w:rsidP="009570CA">
      <w:pPr>
        <w:spacing w:after="0"/>
      </w:pPr>
      <w:r w:rsidRPr="000665B0">
        <w:t>See</w:t>
      </w:r>
      <w:r w:rsidR="00737CE9" w:rsidRPr="000665B0">
        <w:t xml:space="preserve"> </w:t>
      </w:r>
      <w:hyperlink w:anchor="_5.2.1.7__Receive" w:history="1">
        <w:r w:rsidR="00737CE9" w:rsidRPr="000665B0">
          <w:rPr>
            <w:rStyle w:val="Hyperlink"/>
          </w:rPr>
          <w:t>Section 5.2.1.7.</w:t>
        </w:r>
      </w:hyperlink>
    </w:p>
    <w:bookmarkEnd w:id="5720"/>
    <w:bookmarkEnd w:id="5721"/>
    <w:bookmarkEnd w:id="5722"/>
    <w:p w14:paraId="39C71FBC" w14:textId="77777777" w:rsidR="00A316EA" w:rsidRDefault="00A316EA" w:rsidP="009570CA">
      <w:r>
        <w:br w:type="page"/>
      </w:r>
      <w:bookmarkStart w:id="5951" w:name="_5.36__STRIKE_1"/>
      <w:bookmarkStart w:id="5952" w:name="_5_.36_"/>
      <w:bookmarkStart w:id="5953" w:name="_TRACKS_TOOL"/>
      <w:bookmarkStart w:id="5954" w:name="_Toc214283518"/>
      <w:bookmarkStart w:id="5955" w:name="_Hlk61957309"/>
      <w:bookmarkStart w:id="5956" w:name="_Hlk69894432"/>
      <w:bookmarkStart w:id="5957" w:name="_Toc289328819"/>
      <w:bookmarkStart w:id="5958" w:name="_Toc312332050"/>
      <w:bookmarkStart w:id="5959" w:name="_Hlk55993504"/>
      <w:bookmarkEnd w:id="5723"/>
      <w:bookmarkEnd w:id="5951"/>
      <w:bookmarkEnd w:id="5952"/>
      <w:bookmarkEnd w:id="5953"/>
      <w:r w:rsidR="0013295E" w:rsidRPr="000665B0">
        <w:lastRenderedPageBreak/>
        <w:t>TRACKS TOOL</w:t>
      </w:r>
      <w:bookmarkEnd w:id="5954"/>
    </w:p>
    <w:p w14:paraId="560E20C8" w14:textId="479999B4" w:rsidR="00AE2913" w:rsidRPr="000665B0" w:rsidRDefault="0013295E" w:rsidP="009570CA">
      <w:pPr>
        <w:rPr>
          <w:rFonts w:cstheme="minorHAnsi"/>
        </w:rPr>
      </w:pPr>
      <w:r w:rsidRPr="000665B0">
        <w:rPr>
          <w:rFonts w:cstheme="minorHAnsi"/>
        </w:rPr>
        <w:t>Tracks are textual and geographic representations of observable entities throughout the world. For the purposes of Maritime Strike Tomahawk (MST), the tracks of most interest are principally water-based vessels ranging from fishing boats to submarines. A track contain</w:t>
      </w:r>
      <w:r w:rsidR="00AE2913" w:rsidRPr="000665B0">
        <w:rPr>
          <w:rFonts w:cstheme="minorHAnsi"/>
        </w:rPr>
        <w:t>s</w:t>
      </w:r>
      <w:r w:rsidRPr="000665B0">
        <w:rPr>
          <w:rFonts w:cstheme="minorHAnsi"/>
        </w:rPr>
        <w:t xml:space="preserve"> multiple </w:t>
      </w:r>
      <w:r w:rsidR="001865C8" w:rsidRPr="000665B0">
        <w:rPr>
          <w:rFonts w:cstheme="minorHAnsi"/>
        </w:rPr>
        <w:t>components</w:t>
      </w:r>
      <w:r w:rsidRPr="000665B0">
        <w:rPr>
          <w:rFonts w:cstheme="minorHAnsi"/>
        </w:rPr>
        <w:t xml:space="preserve"> of information about the </w:t>
      </w:r>
      <w:r w:rsidR="00413333" w:rsidRPr="000665B0">
        <w:rPr>
          <w:rFonts w:cstheme="minorHAnsi"/>
        </w:rPr>
        <w:t>vessel</w:t>
      </w:r>
      <w:r w:rsidRPr="000665B0">
        <w:rPr>
          <w:rFonts w:cstheme="minorHAnsi"/>
        </w:rPr>
        <w:t xml:space="preserve"> represented</w:t>
      </w:r>
      <w:r w:rsidR="00AE2913" w:rsidRPr="000665B0">
        <w:rPr>
          <w:rFonts w:cstheme="minorHAnsi"/>
        </w:rPr>
        <w:t>, which are primarily</w:t>
      </w:r>
      <w:r w:rsidRPr="000665B0">
        <w:rPr>
          <w:rFonts w:cstheme="minorHAnsi"/>
        </w:rPr>
        <w:t xml:space="preserve"> attributes or events. A track’s attributes are typically textual information, such as the name of a ship class or a registry or hull number</w:t>
      </w:r>
      <w:r w:rsidR="00AE2913" w:rsidRPr="000665B0">
        <w:rPr>
          <w:rFonts w:cstheme="minorHAnsi"/>
        </w:rPr>
        <w:t>, while a track’s</w:t>
      </w:r>
      <w:r w:rsidRPr="000665B0">
        <w:rPr>
          <w:rFonts w:cstheme="minorHAnsi"/>
        </w:rPr>
        <w:t xml:space="preserve"> events are time-tagged observations of the entity </w:t>
      </w:r>
      <w:r w:rsidR="005574F1" w:rsidRPr="000665B0">
        <w:rPr>
          <w:rFonts w:cstheme="minorHAnsi"/>
        </w:rPr>
        <w:t xml:space="preserve">that are made </w:t>
      </w:r>
      <w:r w:rsidRPr="000665B0">
        <w:rPr>
          <w:rFonts w:cstheme="minorHAnsi"/>
        </w:rPr>
        <w:t xml:space="preserve">by </w:t>
      </w:r>
      <w:r w:rsidR="00AE2913" w:rsidRPr="000665B0">
        <w:rPr>
          <w:rFonts w:cstheme="minorHAnsi"/>
        </w:rPr>
        <w:t>a</w:t>
      </w:r>
      <w:r w:rsidRPr="000665B0">
        <w:rPr>
          <w:rFonts w:cstheme="minorHAnsi"/>
        </w:rPr>
        <w:t xml:space="preserve"> reporting agency. </w:t>
      </w:r>
      <w:r w:rsidR="00F94623" w:rsidRPr="000665B0">
        <w:rPr>
          <w:rFonts w:cstheme="minorHAnsi"/>
        </w:rPr>
        <w:t>A track’s</w:t>
      </w:r>
      <w:r w:rsidRPr="000665B0">
        <w:rPr>
          <w:rFonts w:cstheme="minorHAnsi"/>
        </w:rPr>
        <w:t xml:space="preserve"> set of attributes </w:t>
      </w:r>
      <w:r w:rsidR="00F94623" w:rsidRPr="000665B0">
        <w:rPr>
          <w:rFonts w:cstheme="minorHAnsi"/>
        </w:rPr>
        <w:t>may range from</w:t>
      </w:r>
      <w:r w:rsidRPr="000665B0">
        <w:rPr>
          <w:rFonts w:cstheme="minorHAnsi"/>
        </w:rPr>
        <w:t xml:space="preserve"> </w:t>
      </w:r>
      <w:r w:rsidR="001865C8" w:rsidRPr="000665B0">
        <w:rPr>
          <w:rFonts w:cstheme="minorHAnsi"/>
        </w:rPr>
        <w:t xml:space="preserve">minimal </w:t>
      </w:r>
      <w:r w:rsidR="00F94623" w:rsidRPr="000665B0">
        <w:rPr>
          <w:rFonts w:cstheme="minorHAnsi"/>
        </w:rPr>
        <w:t>to</w:t>
      </w:r>
      <w:r w:rsidR="001865C8" w:rsidRPr="000665B0">
        <w:rPr>
          <w:rFonts w:cstheme="minorHAnsi"/>
        </w:rPr>
        <w:t xml:space="preserve"> very detailed</w:t>
      </w:r>
      <w:r w:rsidRPr="000665B0">
        <w:rPr>
          <w:rFonts w:cstheme="minorHAnsi"/>
        </w:rPr>
        <w:t xml:space="preserve">, depending on the capabilities of the observer and the format in which the information was obtained and transmitted. </w:t>
      </w:r>
    </w:p>
    <w:p w14:paraId="528C4155" w14:textId="669562CE" w:rsidR="00523D7A" w:rsidRPr="000665B0" w:rsidRDefault="00523D7A" w:rsidP="009570CA">
      <w:pPr>
        <w:rPr>
          <w:rFonts w:cstheme="minorHAnsi"/>
        </w:rPr>
      </w:pPr>
      <w:r w:rsidRPr="000665B0">
        <w:rPr>
          <w:rFonts w:cstheme="minorHAnsi"/>
        </w:rPr>
        <w:t xml:space="preserve">The primary piece of track information is the set of events associated with it. Each event is, at minimum, a time and location at which an outside source (such as a plane, other ship, submarine, etc.) observes the </w:t>
      </w:r>
      <w:r w:rsidR="007210E7" w:rsidRPr="000665B0">
        <w:rPr>
          <w:rFonts w:cstheme="minorHAnsi"/>
        </w:rPr>
        <w:t>vessel</w:t>
      </w:r>
      <w:r w:rsidRPr="000665B0">
        <w:rPr>
          <w:rFonts w:cstheme="minorHAnsi"/>
        </w:rPr>
        <w:t xml:space="preserve">. It may also contain attributes, such as ship name or hull color, and </w:t>
      </w:r>
      <w:r w:rsidR="00350DF9" w:rsidRPr="000665B0">
        <w:rPr>
          <w:rFonts w:cstheme="minorHAnsi"/>
        </w:rPr>
        <w:t>parametric</w:t>
      </w:r>
      <w:r w:rsidRPr="000665B0">
        <w:rPr>
          <w:rFonts w:cstheme="minorHAnsi"/>
        </w:rPr>
        <w:t xml:space="preserve"> (often the characteristics of a radar emission that was observed, such as frequency and pulse width). From a set of events, which defines the track’s history, a track can be identified and </w:t>
      </w:r>
      <w:r w:rsidR="000C627C" w:rsidRPr="000665B0">
        <w:rPr>
          <w:rFonts w:cstheme="minorHAnsi"/>
        </w:rPr>
        <w:t>located,</w:t>
      </w:r>
      <w:r w:rsidRPr="000665B0">
        <w:rPr>
          <w:rFonts w:cstheme="minorHAnsi"/>
        </w:rPr>
        <w:t xml:space="preserve"> and its future positions can be predicted.</w:t>
      </w:r>
      <w:r w:rsidR="00445F3C">
        <w:rPr>
          <w:rFonts w:cstheme="minorHAnsi"/>
        </w:rPr>
        <w:t xml:space="preserve"> </w:t>
      </w:r>
      <w:r w:rsidR="00445F3C">
        <w:t>In other words, a track describes a vessel (attributes) and the observations of the vessel’s positions and movements (events). Track data is updated as new attributes and events are reported.</w:t>
      </w:r>
    </w:p>
    <w:p w14:paraId="7A83175E" w14:textId="4F227231" w:rsidR="00AE2913" w:rsidRPr="000665B0" w:rsidRDefault="00ED249D" w:rsidP="009570CA">
      <w:pPr>
        <w:rPr>
          <w:rFonts w:cstheme="minorHAnsi"/>
        </w:rPr>
      </w:pPr>
      <w:r w:rsidRPr="00E03E43">
        <w:rPr>
          <w:rFonts w:cstheme="minorHAnsi"/>
        </w:rPr>
        <w:t xml:space="preserve">MDS is used to display mission assignments, overlays, ACMSs, and </w:t>
      </w:r>
      <w:r>
        <w:rPr>
          <w:rFonts w:cstheme="minorHAnsi"/>
        </w:rPr>
        <w:t>OWRs</w:t>
      </w:r>
      <w:r w:rsidRPr="00E03E43">
        <w:rPr>
          <w:rFonts w:cstheme="minorHAnsi"/>
        </w:rPr>
        <w:t xml:space="preserve">. </w:t>
      </w:r>
      <w:r>
        <w:rPr>
          <w:rFonts w:cstheme="minorHAnsi"/>
        </w:rPr>
        <w:t>In addition, the</w:t>
      </w:r>
      <w:r w:rsidRPr="000665B0">
        <w:rPr>
          <w:rFonts w:cstheme="minorHAnsi"/>
        </w:rPr>
        <w:t xml:space="preserve"> </w:t>
      </w:r>
      <w:r w:rsidR="00AE2913" w:rsidRPr="000665B0">
        <w:rPr>
          <w:rFonts w:cstheme="minorHAnsi"/>
        </w:rPr>
        <w:t xml:space="preserve">capability </w:t>
      </w:r>
      <w:r w:rsidR="008F4231" w:rsidRPr="000665B0">
        <w:rPr>
          <w:rFonts w:cstheme="minorHAnsi"/>
        </w:rPr>
        <w:t>to display surface tracks enables overwater deconfliction verification by the Launch Area Coordinator (LAC) from MDS.</w:t>
      </w:r>
      <w:r w:rsidR="00445F3C">
        <w:rPr>
          <w:rFonts w:cstheme="minorHAnsi"/>
        </w:rPr>
        <w:t xml:space="preserve"> </w:t>
      </w:r>
      <w:r w:rsidR="00445F3C" w:rsidRPr="00445F3C">
        <w:rPr>
          <w:rFonts w:cstheme="minorHAnsi"/>
        </w:rPr>
        <w:t>To receive tracks</w:t>
      </w:r>
      <w:r w:rsidR="00445F3C">
        <w:rPr>
          <w:rFonts w:cstheme="minorHAnsi"/>
        </w:rPr>
        <w:t>,</w:t>
      </w:r>
      <w:r w:rsidR="00445F3C" w:rsidRPr="00445F3C">
        <w:rPr>
          <w:rFonts w:cstheme="minorHAnsi"/>
        </w:rPr>
        <w:t xml:space="preserve"> establish a connection to GCCS-M or another track source</w:t>
      </w:r>
      <w:r w:rsidR="00AD6369">
        <w:rPr>
          <w:rFonts w:cstheme="minorHAnsi"/>
        </w:rPr>
        <w:t xml:space="preserve"> </w:t>
      </w:r>
      <w:r w:rsidR="00445F3C" w:rsidRPr="00445F3C">
        <w:rPr>
          <w:rFonts w:cstheme="minorHAnsi"/>
        </w:rPr>
        <w:t>(TDG).</w:t>
      </w:r>
      <w:r w:rsidR="00445F3C">
        <w:rPr>
          <w:rFonts w:cstheme="minorHAnsi"/>
        </w:rPr>
        <w:t xml:space="preserve"> </w:t>
      </w:r>
      <w:r w:rsidR="00445F3C" w:rsidRPr="00445F3C">
        <w:rPr>
          <w:rFonts w:cstheme="minorHAnsi"/>
        </w:rPr>
        <w:t>After establishing the connection to GCCS or another track source</w:t>
      </w:r>
      <w:r w:rsidR="00117445">
        <w:rPr>
          <w:rFonts w:cstheme="minorHAnsi"/>
        </w:rPr>
        <w:t xml:space="preserve"> </w:t>
      </w:r>
      <w:r w:rsidR="00445F3C" w:rsidRPr="00445F3C">
        <w:rPr>
          <w:rFonts w:cstheme="minorHAnsi"/>
        </w:rPr>
        <w:t>(TDG), tracks will populate the list view</w:t>
      </w:r>
      <w:r w:rsidR="00445F3C">
        <w:rPr>
          <w:rFonts w:cstheme="minorHAnsi"/>
        </w:rPr>
        <w:t>.</w:t>
      </w:r>
    </w:p>
    <w:bookmarkEnd w:id="5955"/>
    <w:p w14:paraId="2E59E590" w14:textId="53AA7B54" w:rsidR="000D129C" w:rsidRDefault="000D129C" w:rsidP="009570CA">
      <w:pPr>
        <w:rPr>
          <w:rFonts w:cstheme="minorHAnsi"/>
        </w:rPr>
      </w:pPr>
      <w:r w:rsidRPr="000665B0">
        <w:rPr>
          <w:snapToGrid w:val="0"/>
          <w:szCs w:val="24"/>
        </w:rPr>
        <w:t xml:space="preserve">Tracks are not created within MDS. Track data from an external track source is ingested into MDS/TED through ISAT. </w:t>
      </w:r>
      <w:r>
        <w:rPr>
          <w:snapToGrid w:val="0"/>
          <w:szCs w:val="24"/>
        </w:rPr>
        <w:t xml:space="preserve">Manually generated track data can be sent from MDS to TED which then creates a new track with ISAT (see </w:t>
      </w:r>
      <w:hyperlink w:anchor="_Create_New_(Manual)" w:history="1">
        <w:r w:rsidRPr="00484349">
          <w:rPr>
            <w:rStyle w:val="Hyperlink"/>
            <w:snapToGrid w:val="0"/>
            <w:szCs w:val="24"/>
          </w:rPr>
          <w:t xml:space="preserve">Section </w:t>
        </w:r>
        <w:r w:rsidR="004231CC">
          <w:rPr>
            <w:rStyle w:val="Hyperlink"/>
            <w:snapToGrid w:val="0"/>
            <w:szCs w:val="24"/>
          </w:rPr>
          <w:t>5.32</w:t>
        </w:r>
        <w:r w:rsidRPr="00484349">
          <w:rPr>
            <w:rStyle w:val="Hyperlink"/>
            <w:snapToGrid w:val="0"/>
            <w:szCs w:val="24"/>
          </w:rPr>
          <w:t>.</w:t>
        </w:r>
        <w:r w:rsidR="00FE101A">
          <w:rPr>
            <w:rStyle w:val="Hyperlink"/>
            <w:snapToGrid w:val="0"/>
            <w:szCs w:val="24"/>
          </w:rPr>
          <w:t>9</w:t>
        </w:r>
      </w:hyperlink>
      <w:r>
        <w:rPr>
          <w:snapToGrid w:val="0"/>
          <w:szCs w:val="24"/>
        </w:rPr>
        <w:t xml:space="preserve">). </w:t>
      </w:r>
    </w:p>
    <w:p w14:paraId="296EACCB" w14:textId="28CE2D1E" w:rsidR="00196709" w:rsidRPr="000665B0" w:rsidRDefault="00196709" w:rsidP="009570CA">
      <w:r w:rsidRPr="000665B0">
        <w:t xml:space="preserve">The Tracks Tool manages the processing and storage of </w:t>
      </w:r>
      <w:r w:rsidR="001865C8" w:rsidRPr="000665B0">
        <w:t>track</w:t>
      </w:r>
      <w:r w:rsidRPr="000665B0">
        <w:t xml:space="preserve"> data</w:t>
      </w:r>
      <w:r w:rsidR="001865C8" w:rsidRPr="000665B0">
        <w:t>. The entries in the Tracks Tool List View can be</w:t>
      </w:r>
      <w:r w:rsidRPr="000665B0">
        <w:t xml:space="preserve"> displayed textually or geographically, printed, and deleted. </w:t>
      </w:r>
      <w:r w:rsidR="00B35D36">
        <w:t xml:space="preserve">Manual Tracks can be created from the Tracks Tool List View and the Geo Display (see </w:t>
      </w:r>
      <w:hyperlink w:anchor="_Display_Geographically_2" w:history="1">
        <w:r w:rsidR="00B35D36" w:rsidRPr="00080D9A">
          <w:rPr>
            <w:rStyle w:val="Hyperlink"/>
          </w:rPr>
          <w:t xml:space="preserve">Section </w:t>
        </w:r>
        <w:r w:rsidR="004231CC">
          <w:rPr>
            <w:rStyle w:val="Hyperlink"/>
          </w:rPr>
          <w:t>5.32</w:t>
        </w:r>
        <w:r w:rsidR="00B35D36" w:rsidRPr="00080D9A">
          <w:rPr>
            <w:rStyle w:val="Hyperlink"/>
          </w:rPr>
          <w:t>.</w:t>
        </w:r>
        <w:r w:rsidR="00FE101A">
          <w:rPr>
            <w:rStyle w:val="Hyperlink"/>
          </w:rPr>
          <w:t>7</w:t>
        </w:r>
      </w:hyperlink>
      <w:r w:rsidR="00B35D36">
        <w:t xml:space="preserve">). </w:t>
      </w:r>
      <w:r w:rsidR="005574F1" w:rsidRPr="000665B0">
        <w:t>The ingestion of t</w:t>
      </w:r>
      <w:r w:rsidRPr="000665B0">
        <w:t xml:space="preserve">rack data </w:t>
      </w:r>
      <w:r w:rsidR="005574F1" w:rsidRPr="000665B0">
        <w:t>and the automatic deletion of track data can be controlled by</w:t>
      </w:r>
      <w:r w:rsidRPr="000665B0">
        <w:t xml:space="preserve"> using Track Filters</w:t>
      </w:r>
      <w:r w:rsidR="00FA7949" w:rsidRPr="000665B0">
        <w:t xml:space="preserve"> (see </w:t>
      </w:r>
      <w:hyperlink w:anchor="_Track_Filters_1" w:history="1">
        <w:r w:rsidR="00FE101A" w:rsidRPr="000665B0">
          <w:rPr>
            <w:rStyle w:val="Hyperlink"/>
          </w:rPr>
          <w:t xml:space="preserve">Section </w:t>
        </w:r>
        <w:r w:rsidR="004231CC">
          <w:rPr>
            <w:rStyle w:val="Hyperlink"/>
          </w:rPr>
          <w:t>5.32</w:t>
        </w:r>
        <w:r w:rsidR="00FE101A" w:rsidRPr="000665B0">
          <w:rPr>
            <w:rStyle w:val="Hyperlink"/>
          </w:rPr>
          <w:t>.</w:t>
        </w:r>
        <w:r w:rsidR="00FE101A">
          <w:rPr>
            <w:rStyle w:val="Hyperlink"/>
          </w:rPr>
          <w:t>1</w:t>
        </w:r>
      </w:hyperlink>
      <w:r w:rsidR="00FA7949" w:rsidRPr="000665B0">
        <w:t>)</w:t>
      </w:r>
      <w:r w:rsidRPr="000665B0">
        <w:t>.</w:t>
      </w:r>
    </w:p>
    <w:p w14:paraId="15E7B107" w14:textId="77777777" w:rsidR="00196709" w:rsidRPr="000665B0" w:rsidRDefault="00196709" w:rsidP="009570CA">
      <w:pPr>
        <w:keepNext/>
      </w:pPr>
      <w:r w:rsidRPr="000665B0">
        <w:t>To view the Tracks Tool:</w:t>
      </w:r>
    </w:p>
    <w:p w14:paraId="747F25BE" w14:textId="4C817AF4" w:rsidR="00196709" w:rsidRDefault="00196709" w:rsidP="009570CA">
      <w:pPr>
        <w:pStyle w:val="Number0205"/>
        <w:keepNext/>
        <w:ind w:left="360" w:firstLine="0"/>
      </w:pPr>
      <w:r w:rsidRPr="000665B0">
        <w:t xml:space="preserve">From the </w:t>
      </w:r>
      <w:r w:rsidRPr="000665B0">
        <w:rPr>
          <w:b/>
        </w:rPr>
        <w:t>Go</w:t>
      </w:r>
      <w:r w:rsidRPr="000665B0">
        <w:t xml:space="preserve"> menu select </w:t>
      </w:r>
      <w:r w:rsidRPr="000665B0">
        <w:rPr>
          <w:b/>
        </w:rPr>
        <w:t>Tracks</w:t>
      </w:r>
      <w:r w:rsidRPr="000665B0">
        <w:t>.</w:t>
      </w:r>
    </w:p>
    <w:p w14:paraId="1E56C566" w14:textId="01DF9CF8" w:rsidR="00B35D36" w:rsidRPr="000665B0" w:rsidRDefault="00B35D36" w:rsidP="009570CA">
      <w:pPr>
        <w:pStyle w:val="Number0205"/>
        <w:ind w:left="360" w:firstLine="0"/>
        <w:jc w:val="center"/>
      </w:pPr>
      <w:r>
        <w:rPr>
          <w:noProof/>
        </w:rPr>
        <w:drawing>
          <wp:inline distT="0" distB="0" distL="0" distR="0" wp14:anchorId="7A95916F" wp14:editId="7F2692D0">
            <wp:extent cx="4983480" cy="1060704"/>
            <wp:effectExtent l="0" t="0" r="0" b="0"/>
            <wp:docPr id="337" name="Picture 337"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337" descr="Graphical user interface, table&#10;&#10;Description automatically generat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1060704"/>
                    </a:xfrm>
                    <a:prstGeom prst="rect">
                      <a:avLst/>
                    </a:prstGeom>
                    <a:noFill/>
                    <a:ln>
                      <a:noFill/>
                    </a:ln>
                  </pic:spPr>
                </pic:pic>
              </a:graphicData>
            </a:graphic>
          </wp:inline>
        </w:drawing>
      </w:r>
    </w:p>
    <w:p w14:paraId="4CD7DFCF" w14:textId="3EE6451A" w:rsidR="00196709" w:rsidRPr="000665B0" w:rsidRDefault="00196709" w:rsidP="009570CA">
      <w:pPr>
        <w:pStyle w:val="Number0205"/>
        <w:ind w:left="0" w:firstLine="0"/>
        <w:jc w:val="center"/>
      </w:pPr>
    </w:p>
    <w:p w14:paraId="03FC6ED1" w14:textId="1B1DBDE0" w:rsidR="008F4231" w:rsidRPr="000665B0" w:rsidRDefault="008F4231" w:rsidP="009570CA">
      <w:pPr>
        <w:keepNext/>
        <w:rPr>
          <w:b/>
          <w:i/>
        </w:rPr>
      </w:pPr>
      <w:r w:rsidRPr="000665B0">
        <w:rPr>
          <w:b/>
          <w:i/>
        </w:rPr>
        <w:lastRenderedPageBreak/>
        <w:t xml:space="preserve">Tracks List View </w:t>
      </w:r>
    </w:p>
    <w:p w14:paraId="0633EBF8" w14:textId="77777777" w:rsidR="008F4231" w:rsidRPr="000665B0" w:rsidRDefault="008F4231" w:rsidP="006D5A65">
      <w:pPr>
        <w:pStyle w:val="Heading1"/>
      </w:pPr>
      <w:r w:rsidRPr="000665B0">
        <w:t>Columns</w:t>
      </w:r>
    </w:p>
    <w:p w14:paraId="5523530A" w14:textId="77777777" w:rsidR="00B35D36" w:rsidRPr="000665B0" w:rsidRDefault="008F4231" w:rsidP="006D5A65">
      <w:pPr>
        <w:pStyle w:val="Heading2"/>
      </w:pPr>
      <w:r w:rsidRPr="000665B0">
        <w:t>Label –</w:t>
      </w:r>
      <w:r w:rsidR="00C7278C" w:rsidRPr="000665B0">
        <w:t xml:space="preserve"> </w:t>
      </w:r>
      <w:r w:rsidR="00B35D36">
        <w:t>The user label assigned to the track, normally by the operator.</w:t>
      </w:r>
    </w:p>
    <w:p w14:paraId="47358139" w14:textId="4DA8CB3B" w:rsidR="00B35D36" w:rsidRPr="000665B0" w:rsidRDefault="00B35D36" w:rsidP="006D5A65">
      <w:pPr>
        <w:pStyle w:val="Heading2"/>
      </w:pPr>
      <w:r w:rsidRPr="000665B0">
        <w:t xml:space="preserve">RTN – </w:t>
      </w:r>
      <w:r w:rsidRPr="00B23419">
        <w:t>The Received Track Number of the track, assigned by the track originator</w:t>
      </w:r>
      <w:r>
        <w:t>.</w:t>
      </w:r>
      <w:r w:rsidR="00C717F7">
        <w:t xml:space="preserve"> (For manual entry, this is a</w:t>
      </w:r>
      <w:r w:rsidR="00C717F7" w:rsidRPr="00F30CD4">
        <w:t xml:space="preserve"> 5-digit track number with an "L" prefix</w:t>
      </w:r>
      <w:r w:rsidR="00C717F7">
        <w:t>)</w:t>
      </w:r>
      <w:r w:rsidR="00C717F7" w:rsidRPr="00F30CD4">
        <w:t>.</w:t>
      </w:r>
    </w:p>
    <w:p w14:paraId="6AAB3255" w14:textId="77777777" w:rsidR="00B35D36" w:rsidRPr="000665B0" w:rsidRDefault="00B35D36" w:rsidP="006D5A65">
      <w:pPr>
        <w:pStyle w:val="Heading2"/>
      </w:pPr>
      <w:r w:rsidRPr="000665B0">
        <w:t xml:space="preserve">Command – </w:t>
      </w:r>
      <w:r w:rsidRPr="00B23419">
        <w:t>The command of the track originator</w:t>
      </w:r>
      <w:r>
        <w:t>.</w:t>
      </w:r>
    </w:p>
    <w:p w14:paraId="0DDDB0EE" w14:textId="5383ED8E" w:rsidR="008F4231" w:rsidRPr="000665B0" w:rsidRDefault="008F4231" w:rsidP="006D5A65">
      <w:pPr>
        <w:pStyle w:val="Heading2"/>
      </w:pPr>
      <w:r w:rsidRPr="000665B0">
        <w:t>Category –</w:t>
      </w:r>
      <w:r w:rsidR="00C7278C" w:rsidRPr="000665B0">
        <w:t xml:space="preserve"> </w:t>
      </w:r>
      <w:r w:rsidR="00FA7949" w:rsidRPr="000665B0">
        <w:t>Characteristic of a track. Valid values are Land, Air, Surface, Submarine, Unknown, and Spacecraft</w:t>
      </w:r>
      <w:r w:rsidRPr="000665B0">
        <w:t>.</w:t>
      </w:r>
    </w:p>
    <w:p w14:paraId="0CD94074" w14:textId="56F182D7" w:rsidR="008F4231" w:rsidRPr="000665B0" w:rsidRDefault="008F4231" w:rsidP="006D5A65">
      <w:pPr>
        <w:pStyle w:val="Heading2"/>
      </w:pPr>
      <w:r w:rsidRPr="000665B0">
        <w:t xml:space="preserve">Threat – </w:t>
      </w:r>
      <w:r w:rsidR="00FA7949" w:rsidRPr="000665B0">
        <w:t xml:space="preserve">Characteristic of a track. Valid values are Friendly, Assumed Friendly, Hostile, Suspect, Neutral, Pending, </w:t>
      </w:r>
      <w:r w:rsidR="00F24831" w:rsidRPr="000665B0">
        <w:t xml:space="preserve">and </w:t>
      </w:r>
      <w:r w:rsidR="00FA7949" w:rsidRPr="000665B0">
        <w:t xml:space="preserve">Unknown. </w:t>
      </w:r>
    </w:p>
    <w:p w14:paraId="43EB5C22" w14:textId="74CF3F15" w:rsidR="00B35D36" w:rsidRPr="000665B0" w:rsidRDefault="008F4231" w:rsidP="006D5A65">
      <w:pPr>
        <w:pStyle w:val="Heading4"/>
      </w:pPr>
      <w:r w:rsidRPr="000665B0">
        <w:t xml:space="preserve">Class – </w:t>
      </w:r>
      <w:r w:rsidR="00B35D36">
        <w:t xml:space="preserve">Characteristic of a track. </w:t>
      </w:r>
      <w:r w:rsidR="00F84C11">
        <w:t>For external track, v</w:t>
      </w:r>
      <w:r w:rsidR="00B35D36">
        <w:t xml:space="preserve">alid values </w:t>
      </w:r>
      <w:r w:rsidR="00F84C11">
        <w:t xml:space="preserve">can </w:t>
      </w:r>
      <w:r w:rsidR="00B35D36">
        <w:t xml:space="preserve">depend on the Category of the track. </w:t>
      </w:r>
      <w:bookmarkStart w:id="5960" w:name="_Hlk126075339"/>
      <w:r w:rsidR="00F84C11">
        <w:t>In MDS,</w:t>
      </w:r>
      <w:r w:rsidR="00211CEA">
        <w:t xml:space="preserve"> valid values depend on the TCIL and SCNF (see </w:t>
      </w:r>
      <w:hyperlink w:anchor="_Importing_an_SCNF" w:history="1">
        <w:r w:rsidR="00706666" w:rsidRPr="00706666">
          <w:rPr>
            <w:rStyle w:val="Hyperlink"/>
          </w:rPr>
          <w:t xml:space="preserve">Section </w:t>
        </w:r>
        <w:r w:rsidR="004231CC">
          <w:rPr>
            <w:rStyle w:val="Hyperlink"/>
          </w:rPr>
          <w:t>5.32</w:t>
        </w:r>
        <w:r w:rsidR="00706666" w:rsidRPr="00706666">
          <w:rPr>
            <w:rStyle w:val="Hyperlink"/>
          </w:rPr>
          <w:t>.20</w:t>
        </w:r>
      </w:hyperlink>
      <w:r w:rsidR="000F43D3">
        <w:t>)</w:t>
      </w:r>
      <w:r w:rsidR="00706666">
        <w:t xml:space="preserve"> </w:t>
      </w:r>
      <w:r w:rsidR="00211CEA">
        <w:t>files.</w:t>
      </w:r>
      <w:bookmarkEnd w:id="5960"/>
      <w:r w:rsidR="00F84C11">
        <w:t xml:space="preserve"> </w:t>
      </w:r>
    </w:p>
    <w:p w14:paraId="4FE6C9CD" w14:textId="5CF501DA" w:rsidR="008F4231" w:rsidRPr="000665B0" w:rsidRDefault="008F4231" w:rsidP="006D5A65">
      <w:pPr>
        <w:pStyle w:val="Heading4"/>
      </w:pPr>
      <w:r w:rsidRPr="000665B0">
        <w:t>Track Mode –</w:t>
      </w:r>
      <w:r w:rsidR="00C7278C" w:rsidRPr="000665B0">
        <w:t xml:space="preserve"> </w:t>
      </w:r>
      <w:r w:rsidR="00FA7949" w:rsidRPr="000665B0">
        <w:t>Characteristic of a track. Valid values are Tactical, Live Training, and Simulated.</w:t>
      </w:r>
    </w:p>
    <w:p w14:paraId="63D89ECD" w14:textId="05761CB4" w:rsidR="008F4231" w:rsidRPr="000665B0" w:rsidRDefault="008F4231" w:rsidP="006D5A65">
      <w:pPr>
        <w:pStyle w:val="Heading4"/>
      </w:pPr>
      <w:r w:rsidRPr="000665B0">
        <w:t>Flag –</w:t>
      </w:r>
      <w:r w:rsidR="00C7278C" w:rsidRPr="000665B0">
        <w:t xml:space="preserve"> </w:t>
      </w:r>
      <w:r w:rsidR="00B35D36">
        <w:t>The country code of the country operating the track</w:t>
      </w:r>
      <w:r w:rsidRPr="000665B0">
        <w:t>.</w:t>
      </w:r>
    </w:p>
    <w:p w14:paraId="08511CCE" w14:textId="152F555B" w:rsidR="008F4231" w:rsidRPr="000665B0" w:rsidRDefault="008F4231" w:rsidP="006D5A65">
      <w:pPr>
        <w:pStyle w:val="Heading4"/>
      </w:pPr>
      <w:r w:rsidRPr="000665B0">
        <w:t xml:space="preserve">Num Events – The number of Events associated with the </w:t>
      </w:r>
      <w:r w:rsidR="00F94623" w:rsidRPr="000665B0">
        <w:t>t</w:t>
      </w:r>
      <w:r w:rsidRPr="000665B0">
        <w:t>rack.</w:t>
      </w:r>
    </w:p>
    <w:p w14:paraId="0D51B422" w14:textId="0A13FD04" w:rsidR="00B13E66" w:rsidRDefault="008F4231" w:rsidP="006D5A65">
      <w:pPr>
        <w:pStyle w:val="Heading4"/>
      </w:pPr>
      <w:r w:rsidRPr="000665B0">
        <w:t>Num Solutions – The number of Solutio</w:t>
      </w:r>
      <w:r w:rsidR="001934E6" w:rsidRPr="000665B0">
        <w:t>n</w:t>
      </w:r>
      <w:r w:rsidRPr="000665B0">
        <w:t xml:space="preserve">s associated with the </w:t>
      </w:r>
      <w:r w:rsidR="00F94623" w:rsidRPr="000665B0">
        <w:t>t</w:t>
      </w:r>
      <w:r w:rsidRPr="000665B0">
        <w:t>rack.</w:t>
      </w:r>
    </w:p>
    <w:p w14:paraId="64D1A072" w14:textId="5D84DBF7" w:rsidR="00B13E66" w:rsidRPr="00BB4EBE" w:rsidRDefault="00B13E66"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line="240" w:lineRule="auto"/>
        <w:jc w:val="center"/>
        <w:rPr>
          <w:b/>
          <w:bCs/>
        </w:rPr>
      </w:pPr>
      <w:r w:rsidRPr="00BB4EBE">
        <w:rPr>
          <w:b/>
          <w:bCs/>
        </w:rPr>
        <w:t>N</w:t>
      </w:r>
      <w:r w:rsidR="00BC3B71">
        <w:rPr>
          <w:b/>
          <w:bCs/>
        </w:rPr>
        <w:t>ote</w:t>
      </w:r>
      <w:r w:rsidRPr="00BB4EBE">
        <w:rPr>
          <w:b/>
          <w:bCs/>
        </w:rPr>
        <w:t>:</w:t>
      </w:r>
    </w:p>
    <w:p w14:paraId="15D675A4" w14:textId="7CFE046C" w:rsidR="00CF4E06" w:rsidRDefault="006C747F" w:rsidP="00CF4E06">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line="240" w:lineRule="auto"/>
        <w:jc w:val="center"/>
        <w:rPr>
          <w:b/>
          <w:bCs/>
        </w:rPr>
      </w:pPr>
      <w:r>
        <w:rPr>
          <w:b/>
          <w:bCs/>
        </w:rPr>
        <w:t xml:space="preserve">If Num Solutions is zero, </w:t>
      </w:r>
      <w:r w:rsidRPr="00D91831">
        <w:rPr>
          <w:b/>
          <w:bCs/>
        </w:rPr>
        <w:t>track solutions provided to TED may be disabled</w:t>
      </w:r>
      <w:r>
        <w:rPr>
          <w:b/>
          <w:bCs/>
        </w:rPr>
        <w:t>.</w:t>
      </w:r>
    </w:p>
    <w:p w14:paraId="4D686AF6" w14:textId="462658BD" w:rsidR="00CF4E06" w:rsidRDefault="00CF4E06" w:rsidP="007C3E5F">
      <w:pPr>
        <w:pBdr>
          <w:top w:val="single" w:sz="12" w:space="1" w:color="auto"/>
          <w:left w:val="single" w:sz="12" w:space="4" w:color="auto"/>
          <w:bottom w:val="single" w:sz="12" w:space="1" w:color="auto"/>
          <w:right w:val="single" w:sz="12" w:space="4" w:color="auto"/>
        </w:pBdr>
        <w:shd w:val="clear" w:color="auto" w:fill="D9D9D9" w:themeFill="background1" w:themeFillShade="D9"/>
        <w:spacing w:line="240" w:lineRule="auto"/>
        <w:jc w:val="center"/>
        <w:rPr>
          <w:b/>
          <w:bCs/>
        </w:rPr>
      </w:pPr>
      <w:r>
        <w:rPr>
          <w:b/>
          <w:bCs/>
        </w:rPr>
        <w:t xml:space="preserve">There is a setting in ISAT to generate solutions for tracks being provided to TED when no solutions are provided by the originator of the track. Only originators using the C4I Web Services (CWS) interface may provide solutions with track data, so tracks received from any other source will not have associated solutions, except those generated by the ISAT as part of its normal tracker processing. The ISAT setting’s default value is unchecked, meaning the ISAT will not provide solutions for </w:t>
      </w:r>
      <w:r w:rsidR="002D0FED">
        <w:rPr>
          <w:b/>
          <w:bCs/>
        </w:rPr>
        <w:t xml:space="preserve">the </w:t>
      </w:r>
      <w:r>
        <w:rPr>
          <w:b/>
          <w:bCs/>
        </w:rPr>
        <w:t>tracks transferred to TED. When solutions are received from a CWS Service provider like GCCS-M, the received solutions are retained and provided to TED even when the checkbox is unchecked.</w:t>
      </w:r>
    </w:p>
    <w:p w14:paraId="405E0471" w14:textId="26D27F94" w:rsidR="008F4231" w:rsidRPr="000665B0" w:rsidRDefault="008F4231" w:rsidP="006D5A65">
      <w:pPr>
        <w:pStyle w:val="Heading4"/>
      </w:pPr>
      <w:r w:rsidRPr="000665B0">
        <w:lastRenderedPageBreak/>
        <w:t>Track of Interest</w:t>
      </w:r>
      <w:r w:rsidRPr="000665B0">
        <w:rPr>
          <w:rFonts w:cs="Calibri"/>
          <w:szCs w:val="24"/>
        </w:rPr>
        <w:t xml:space="preserve"> –</w:t>
      </w:r>
      <w:r w:rsidR="004F79DE" w:rsidRPr="000665B0">
        <w:t xml:space="preserve"> An X indicates that the track is set as a Track of Interest.</w:t>
      </w:r>
    </w:p>
    <w:p w14:paraId="4E43D259" w14:textId="1F876FEE" w:rsidR="008F4231" w:rsidRPr="000665B0" w:rsidRDefault="008F4231" w:rsidP="006D5A65">
      <w:pPr>
        <w:pStyle w:val="Heading4"/>
      </w:pPr>
      <w:r w:rsidRPr="000665B0">
        <w:t>Parent ID –</w:t>
      </w:r>
      <w:r w:rsidR="00C7278C" w:rsidRPr="000665B0">
        <w:t xml:space="preserve"> </w:t>
      </w:r>
      <w:r w:rsidR="00B35D36">
        <w:t>ID of master track to which the track belongs</w:t>
      </w:r>
      <w:r w:rsidR="00B35D36" w:rsidRPr="00C831ED">
        <w:t>.</w:t>
      </w:r>
    </w:p>
    <w:p w14:paraId="766BCC10" w14:textId="22A687FF" w:rsidR="00B35D36" w:rsidRDefault="00B35D36" w:rsidP="006D5A65">
      <w:pPr>
        <w:pStyle w:val="Heading4"/>
      </w:pPr>
      <w:r w:rsidRPr="00A147A4">
        <w:t xml:space="preserve">Track Source – </w:t>
      </w:r>
      <w:r>
        <w:t xml:space="preserve">The </w:t>
      </w:r>
      <w:r w:rsidR="00CF4E06">
        <w:t xml:space="preserve">local program </w:t>
      </w:r>
      <w:r>
        <w:t>source of the track data</w:t>
      </w:r>
      <w:r w:rsidRPr="00C831ED">
        <w:t xml:space="preserve">. Valid values </w:t>
      </w:r>
      <w:r>
        <w:t>include</w:t>
      </w:r>
      <w:r w:rsidRPr="00C831ED">
        <w:t xml:space="preserve"> ISAT</w:t>
      </w:r>
      <w:r w:rsidRPr="00216AA9">
        <w:t>, TMPC, and TSRT.</w:t>
      </w:r>
    </w:p>
    <w:p w14:paraId="1C40EED9" w14:textId="0115FC88" w:rsidR="00CF4E06" w:rsidRPr="009614F3" w:rsidRDefault="00CF4E06" w:rsidP="006D5A65">
      <w:pPr>
        <w:pStyle w:val="Heading4"/>
      </w:pPr>
      <w:r>
        <w:t>Data Source – The originator of the track data provided to ISAT. Valid values include Link 16, IBS, GCCS, and TMPC.</w:t>
      </w:r>
    </w:p>
    <w:p w14:paraId="2080846A" w14:textId="77777777" w:rsidR="00B35D36" w:rsidRPr="009614F3" w:rsidRDefault="00B35D36" w:rsidP="006D5A65">
      <w:pPr>
        <w:pStyle w:val="Heading4"/>
      </w:pPr>
      <w:r w:rsidRPr="009614F3">
        <w:t>UID –</w:t>
      </w:r>
      <w:r>
        <w:t xml:space="preserve"> The unique track identifier provided by the Track Source.</w:t>
      </w:r>
    </w:p>
    <w:p w14:paraId="7D64A10F" w14:textId="77777777" w:rsidR="00B35D36" w:rsidRPr="00A147A4" w:rsidRDefault="00B35D36" w:rsidP="006D5A65">
      <w:pPr>
        <w:pStyle w:val="Heading4"/>
      </w:pPr>
      <w:r w:rsidRPr="009614F3">
        <w:t xml:space="preserve">Alert – </w:t>
      </w:r>
      <w:r w:rsidRPr="00B23419">
        <w:t>The alert status of the track, either Suspected Carrier, Non-suspected Carrier, High Interest Track, Target Data Available</w:t>
      </w:r>
      <w:r>
        <w:t>,</w:t>
      </w:r>
      <w:r w:rsidRPr="00B23419">
        <w:t xml:space="preserve"> </w:t>
      </w:r>
      <w:r>
        <w:t xml:space="preserve">Threat Warning </w:t>
      </w:r>
      <w:r w:rsidRPr="00B23419">
        <w:t xml:space="preserve">or </w:t>
      </w:r>
      <w:r>
        <w:t>Unknown</w:t>
      </w:r>
      <w:r w:rsidRPr="00A147A4">
        <w:t>.</w:t>
      </w:r>
    </w:p>
    <w:p w14:paraId="1883B264" w14:textId="77777777" w:rsidR="00B35D36" w:rsidRPr="000665B0" w:rsidRDefault="00B35D36" w:rsidP="006D5A65">
      <w:pPr>
        <w:pStyle w:val="Heading4"/>
      </w:pPr>
      <w:r w:rsidRPr="000665B0">
        <w:t>DI –</w:t>
      </w:r>
      <w:r>
        <w:t xml:space="preserve"> The 4-digit code, Discrete Identifier, </w:t>
      </w:r>
      <w:r w:rsidRPr="00216AA9">
        <w:t>used in Maritime reporting of tracks that are not identified as Friend, Assumed Friend, or Unknown</w:t>
      </w:r>
      <w:r w:rsidRPr="00132B6D">
        <w:t>.</w:t>
      </w:r>
    </w:p>
    <w:p w14:paraId="0F5F5636" w14:textId="77777777" w:rsidR="00B35D36" w:rsidRPr="000665B0" w:rsidRDefault="00B35D36" w:rsidP="006D5A65">
      <w:pPr>
        <w:pStyle w:val="Heading4"/>
      </w:pPr>
      <w:r w:rsidRPr="000665B0">
        <w:t xml:space="preserve">Hull Number – </w:t>
      </w:r>
      <w:r>
        <w:t>Platform attribute of the track. Used to create the UID.</w:t>
      </w:r>
    </w:p>
    <w:p w14:paraId="577B0BB7" w14:textId="77777777" w:rsidR="00B35D36" w:rsidRPr="000665B0" w:rsidRDefault="00B35D36" w:rsidP="006D5A65">
      <w:pPr>
        <w:pStyle w:val="Heading4"/>
      </w:pPr>
      <w:r w:rsidRPr="000665B0">
        <w:t>ID –</w:t>
      </w:r>
      <w:r>
        <w:t xml:space="preserve"> The Bucket ID of the data bucket the track is assigned to.</w:t>
      </w:r>
    </w:p>
    <w:p w14:paraId="267D4ADE" w14:textId="77777777" w:rsidR="00B35D36" w:rsidRPr="000665B0" w:rsidRDefault="00B35D36" w:rsidP="006D5A65">
      <w:pPr>
        <w:pStyle w:val="Heading4"/>
      </w:pPr>
      <w:r w:rsidRPr="000665B0">
        <w:t xml:space="preserve">IRCS – </w:t>
      </w:r>
      <w:r>
        <w:t>The International Radio Call Sign of the track.</w:t>
      </w:r>
    </w:p>
    <w:p w14:paraId="2FADE2E4" w14:textId="77777777" w:rsidR="00B35D36" w:rsidRPr="000665B0" w:rsidRDefault="00B35D36" w:rsidP="006D5A65">
      <w:pPr>
        <w:pStyle w:val="Heading4"/>
      </w:pPr>
      <w:r w:rsidRPr="000F0436">
        <w:t>Platform –</w:t>
      </w:r>
      <w:r w:rsidRPr="000665B0">
        <w:t xml:space="preserve"> </w:t>
      </w:r>
      <w:r w:rsidRPr="00B23419">
        <w:t>The long name, or ship name, of the track</w:t>
      </w:r>
      <w:r w:rsidRPr="000665B0">
        <w:t>.</w:t>
      </w:r>
    </w:p>
    <w:p w14:paraId="3CE6202B" w14:textId="77777777" w:rsidR="00B35D36" w:rsidRPr="000665B0" w:rsidRDefault="00B35D36" w:rsidP="006D5A65">
      <w:pPr>
        <w:pStyle w:val="Heading4"/>
      </w:pPr>
      <w:r w:rsidRPr="000665B0">
        <w:t xml:space="preserve">SCONUM – </w:t>
      </w:r>
      <w:r w:rsidRPr="00216AA9">
        <w:t xml:space="preserve">The Ship Control Number unique identification code assigned to </w:t>
      </w:r>
      <w:r>
        <w:t>the ship by the Office of Naval Intelligence.</w:t>
      </w:r>
    </w:p>
    <w:p w14:paraId="4C50ECB6" w14:textId="46B5B7C8" w:rsidR="008F4231" w:rsidRPr="000665B0" w:rsidRDefault="008F4231" w:rsidP="006D5A65">
      <w:pPr>
        <w:pStyle w:val="Heading1"/>
      </w:pPr>
      <w:r w:rsidRPr="000665B0">
        <w:t>Context Menu</w:t>
      </w:r>
    </w:p>
    <w:p w14:paraId="2B8B9306" w14:textId="77777777" w:rsidR="008F4231" w:rsidRPr="000665B0" w:rsidRDefault="008F4231" w:rsidP="006D5A65">
      <w:pPr>
        <w:pStyle w:val="Heading2"/>
      </w:pPr>
      <w:r w:rsidRPr="000665B0">
        <w:t>Display</w:t>
      </w:r>
    </w:p>
    <w:p w14:paraId="2494054E" w14:textId="3AC3737B" w:rsidR="008F4231" w:rsidRPr="000665B0" w:rsidRDefault="008F4231" w:rsidP="006D5A65">
      <w:pPr>
        <w:pStyle w:val="Heading3"/>
        <w:rPr>
          <w:rFonts w:eastAsia="Arial Unicode MS"/>
        </w:rPr>
      </w:pPr>
      <w:r w:rsidRPr="000665B0">
        <w:rPr>
          <w:rFonts w:eastAsia="Arial Unicode MS"/>
        </w:rPr>
        <w:lastRenderedPageBreak/>
        <w:t xml:space="preserve">Textually </w:t>
      </w:r>
      <w:r w:rsidRPr="000665B0">
        <w:t xml:space="preserve">– </w:t>
      </w:r>
      <w:r w:rsidR="001934E6" w:rsidRPr="000665B0">
        <w:t>Displays the selected items textually</w:t>
      </w:r>
      <w:r w:rsidRPr="000665B0">
        <w:t>.</w:t>
      </w:r>
    </w:p>
    <w:p w14:paraId="5D9C36AF" w14:textId="4C267BEA" w:rsidR="008F4231" w:rsidRPr="000665B0" w:rsidRDefault="001934E6" w:rsidP="006D5A65">
      <w:pPr>
        <w:pStyle w:val="Heading3"/>
        <w:rPr>
          <w:rFonts w:eastAsia="Arial Unicode MS"/>
        </w:rPr>
      </w:pPr>
      <w:r w:rsidRPr="000665B0">
        <w:t xml:space="preserve">Geographically – Displays the selected items </w:t>
      </w:r>
      <w:r w:rsidR="000C627C" w:rsidRPr="000665B0">
        <w:t>geographically.</w:t>
      </w:r>
    </w:p>
    <w:p w14:paraId="4A449117" w14:textId="6A983797" w:rsidR="001934E6" w:rsidRPr="000665B0" w:rsidRDefault="008F4231" w:rsidP="006D5A65">
      <w:pPr>
        <w:pStyle w:val="Heading3"/>
        <w:rPr>
          <w:rFonts w:eastAsia="Arial Unicode MS"/>
        </w:rPr>
      </w:pPr>
      <w:r w:rsidRPr="000665B0">
        <w:rPr>
          <w:rFonts w:eastAsia="Arial Unicode MS"/>
        </w:rPr>
        <w:t xml:space="preserve">in Excel – </w:t>
      </w:r>
      <w:r w:rsidRPr="000665B0">
        <w:t xml:space="preserve">Creates an Excel document containing the selected </w:t>
      </w:r>
      <w:r w:rsidR="00F94623" w:rsidRPr="000665B0">
        <w:t>item’s</w:t>
      </w:r>
      <w:r w:rsidRPr="000665B0">
        <w:t xml:space="preserve"> information.</w:t>
      </w:r>
    </w:p>
    <w:p w14:paraId="6487EB73" w14:textId="00AEC4EC" w:rsidR="008F4231" w:rsidRPr="000665B0" w:rsidRDefault="001934E6" w:rsidP="006D5A65">
      <w:pPr>
        <w:pStyle w:val="Heading2"/>
        <w:rPr>
          <w:rFonts w:eastAsia="Arial Unicode MS"/>
        </w:rPr>
      </w:pPr>
      <w:r w:rsidRPr="000665B0">
        <w:rPr>
          <w:rFonts w:eastAsia="Arial Unicode MS"/>
        </w:rPr>
        <w:t>Set as Tack of Interest</w:t>
      </w:r>
      <w:r w:rsidR="008F4231" w:rsidRPr="000665B0">
        <w:rPr>
          <w:rFonts w:eastAsia="Arial Unicode MS"/>
        </w:rPr>
        <w:t xml:space="preserve"> – </w:t>
      </w:r>
      <w:r w:rsidRPr="000665B0">
        <w:t xml:space="preserve">Sets the selected </w:t>
      </w:r>
      <w:r w:rsidR="00F94623" w:rsidRPr="000665B0">
        <w:t>t</w:t>
      </w:r>
      <w:r w:rsidRPr="000665B0">
        <w:t>rack as a Track of Interest.</w:t>
      </w:r>
    </w:p>
    <w:p w14:paraId="0DD024BD" w14:textId="68704C23" w:rsidR="008F4231" w:rsidRPr="000665B0" w:rsidRDefault="001934E6" w:rsidP="006D5A65">
      <w:pPr>
        <w:pStyle w:val="Heading2"/>
        <w:rPr>
          <w:rFonts w:eastAsia="Arial Unicode MS"/>
        </w:rPr>
      </w:pPr>
      <w:r w:rsidRPr="000665B0">
        <w:rPr>
          <w:rFonts w:eastAsia="Arial Unicode MS"/>
        </w:rPr>
        <w:t>Unset as Track of Interest</w:t>
      </w:r>
      <w:r w:rsidR="008F4231" w:rsidRPr="000665B0">
        <w:rPr>
          <w:rFonts w:eastAsia="Arial Unicode MS"/>
        </w:rPr>
        <w:t xml:space="preserve"> – </w:t>
      </w:r>
      <w:r w:rsidRPr="000665B0">
        <w:t xml:space="preserve">Unsets the selected </w:t>
      </w:r>
      <w:r w:rsidR="00F94623" w:rsidRPr="000665B0">
        <w:t>t</w:t>
      </w:r>
      <w:r w:rsidRPr="000665B0">
        <w:t>rack as a Track of Interest.</w:t>
      </w:r>
    </w:p>
    <w:p w14:paraId="3F1273B9" w14:textId="34BAA8F8" w:rsidR="00C230B2" w:rsidRPr="00C230B2" w:rsidRDefault="00B35D36" w:rsidP="006D5A65">
      <w:pPr>
        <w:pStyle w:val="Heading2"/>
      </w:pPr>
      <w:r>
        <w:t>Add Track</w:t>
      </w:r>
      <w:r w:rsidRPr="000665B0">
        <w:t xml:space="preserve"> –</w:t>
      </w:r>
      <w:r>
        <w:t xml:space="preserve"> Opens the Manual </w:t>
      </w:r>
      <w:r w:rsidR="00C230B2">
        <w:t xml:space="preserve">Add </w:t>
      </w:r>
      <w:r>
        <w:t>Track Window.</w:t>
      </w:r>
      <w:r w:rsidR="00C230B2" w:rsidRPr="00C230B2">
        <w:t xml:space="preserve"> </w:t>
      </w:r>
    </w:p>
    <w:p w14:paraId="7123A2F7" w14:textId="77777777" w:rsidR="00C230B2" w:rsidRPr="00C230B2" w:rsidRDefault="00C230B2" w:rsidP="006D5A65">
      <w:pPr>
        <w:pStyle w:val="Heading2"/>
      </w:pPr>
      <w:r w:rsidRPr="00C230B2">
        <w:t>Edit Track – Opens the Edit Track Window for a Manually Added Track.</w:t>
      </w:r>
    </w:p>
    <w:p w14:paraId="7F2FE340" w14:textId="1A9CE46D" w:rsidR="00C230B2" w:rsidRPr="00C230B2" w:rsidRDefault="00C230B2" w:rsidP="006D5A65">
      <w:pPr>
        <w:pStyle w:val="Heading2"/>
      </w:pPr>
      <w:r w:rsidRPr="00C230B2">
        <w:t>Associate Tracks – Create</w:t>
      </w:r>
      <w:r w:rsidR="00817BD6">
        <w:t>s</w:t>
      </w:r>
      <w:r w:rsidRPr="00C230B2">
        <w:t xml:space="preserve"> a Master Track from two tracks.</w:t>
      </w:r>
    </w:p>
    <w:p w14:paraId="6B2E0276" w14:textId="24FA769E" w:rsidR="00C230B2" w:rsidRPr="00C230B2" w:rsidRDefault="00C230B2" w:rsidP="006D5A65">
      <w:pPr>
        <w:pStyle w:val="Heading2"/>
      </w:pPr>
      <w:r w:rsidRPr="00C230B2">
        <w:t>Disassociate Tracks – Delete</w:t>
      </w:r>
      <w:r w:rsidR="00817BD6">
        <w:t>s</w:t>
      </w:r>
      <w:r w:rsidRPr="00C230B2">
        <w:t xml:space="preserve"> a Master Track created from two associated tracks.</w:t>
      </w:r>
    </w:p>
    <w:p w14:paraId="5F215E94" w14:textId="77777777" w:rsidR="00C230B2" w:rsidRPr="00C230B2" w:rsidRDefault="00C230B2" w:rsidP="006D5A65">
      <w:pPr>
        <w:pStyle w:val="Heading2"/>
      </w:pPr>
      <w:r w:rsidRPr="00C230B2">
        <w:t>Print… – Prints the selected track’s list information.</w:t>
      </w:r>
    </w:p>
    <w:p w14:paraId="737EDC52" w14:textId="48EE4919" w:rsidR="008F4231" w:rsidRPr="000665B0" w:rsidRDefault="008F4231" w:rsidP="006D5A65">
      <w:pPr>
        <w:pStyle w:val="Heading2"/>
        <w:rPr>
          <w:rFonts w:eastAsia="Arial Unicode MS"/>
        </w:rPr>
      </w:pPr>
      <w:r w:rsidRPr="000665B0">
        <w:rPr>
          <w:rFonts w:eastAsia="Arial Unicode MS"/>
        </w:rPr>
        <w:t xml:space="preserve">Delete </w:t>
      </w:r>
      <w:r w:rsidRPr="000665B0">
        <w:t>–</w:t>
      </w:r>
      <w:r w:rsidRPr="000665B0">
        <w:rPr>
          <w:rFonts w:eastAsia="Arial Unicode MS"/>
        </w:rPr>
        <w:t xml:space="preserve"> </w:t>
      </w:r>
      <w:r w:rsidRPr="000665B0">
        <w:t xml:space="preserve">Deletes the selected </w:t>
      </w:r>
      <w:r w:rsidR="00F94623" w:rsidRPr="000665B0">
        <w:t>t</w:t>
      </w:r>
      <w:r w:rsidR="001934E6" w:rsidRPr="000665B0">
        <w:t>rack</w:t>
      </w:r>
      <w:r w:rsidRPr="000665B0">
        <w:t>(s).</w:t>
      </w:r>
    </w:p>
    <w:p w14:paraId="10B1F6B9" w14:textId="60AE5EF7" w:rsidR="00196709" w:rsidRPr="000665B0" w:rsidRDefault="00196709" w:rsidP="009570CA">
      <w:pPr>
        <w:pStyle w:val="Heading3"/>
      </w:pPr>
      <w:bookmarkStart w:id="5961" w:name="_Track_Filters"/>
      <w:bookmarkStart w:id="5962" w:name="_Display_Geographically_1"/>
      <w:bookmarkStart w:id="5963" w:name="_Filter__Displayed_1"/>
      <w:bookmarkStart w:id="5964" w:name="_Track_Filters_1"/>
      <w:bookmarkStart w:id="5965" w:name="_Toc214283519"/>
      <w:bookmarkStart w:id="5966" w:name="_Hlk69827200"/>
      <w:bookmarkEnd w:id="5961"/>
      <w:bookmarkEnd w:id="5962"/>
      <w:bookmarkEnd w:id="5963"/>
      <w:bookmarkEnd w:id="5964"/>
      <w:r w:rsidRPr="000665B0">
        <w:t>Filters</w:t>
      </w:r>
      <w:bookmarkEnd w:id="5965"/>
    </w:p>
    <w:p w14:paraId="05BB1FFA" w14:textId="34A2250C" w:rsidR="009007AE" w:rsidRDefault="00221BF0" w:rsidP="009570CA">
      <w:r>
        <w:t>Filters</w:t>
      </w:r>
      <w:r w:rsidR="009007AE">
        <w:t xml:space="preserve"> specify attributes characterized in tracks. Each type of filter has a different use in processing track data.</w:t>
      </w:r>
    </w:p>
    <w:p w14:paraId="00C0928D" w14:textId="4B740E5B" w:rsidR="00196709" w:rsidRPr="00412AF7" w:rsidRDefault="00221BF0" w:rsidP="009570CA">
      <w:pPr>
        <w:pStyle w:val="Heading4"/>
        <w:rPr>
          <w:i w:val="0"/>
          <w:iCs/>
        </w:rPr>
      </w:pPr>
      <w:bookmarkStart w:id="5967" w:name="_GCCS_Filter"/>
      <w:bookmarkEnd w:id="5967"/>
      <w:r w:rsidRPr="00412AF7">
        <w:rPr>
          <w:i w:val="0"/>
          <w:iCs/>
        </w:rPr>
        <w:t>Track</w:t>
      </w:r>
      <w:r w:rsidR="00196709" w:rsidRPr="00412AF7">
        <w:rPr>
          <w:i w:val="0"/>
          <w:iCs/>
        </w:rPr>
        <w:t xml:space="preserve"> Filter</w:t>
      </w:r>
    </w:p>
    <w:p w14:paraId="76C2EDC2" w14:textId="0B60A92E" w:rsidR="00196709" w:rsidRDefault="00196709" w:rsidP="009570CA">
      <w:r w:rsidRPr="000665B0">
        <w:t xml:space="preserve">A </w:t>
      </w:r>
      <w:r w:rsidR="00221BF0">
        <w:t>Track</w:t>
      </w:r>
      <w:r w:rsidR="001865C8" w:rsidRPr="000665B0">
        <w:t xml:space="preserve"> </w:t>
      </w:r>
      <w:r w:rsidRPr="000665B0">
        <w:t xml:space="preserve">Filter is </w:t>
      </w:r>
      <w:r w:rsidR="001865C8" w:rsidRPr="000665B0">
        <w:t xml:space="preserve">created in MDS (see </w:t>
      </w:r>
      <w:hyperlink w:anchor="_Create_New_Filter" w:history="1">
        <w:r w:rsidR="001865C8" w:rsidRPr="000665B0">
          <w:rPr>
            <w:rStyle w:val="Hyperlink"/>
          </w:rPr>
          <w:t xml:space="preserve">Section </w:t>
        </w:r>
        <w:r w:rsidR="004231CC">
          <w:rPr>
            <w:rStyle w:val="Hyperlink"/>
          </w:rPr>
          <w:t>5.32</w:t>
        </w:r>
        <w:r w:rsidR="001865C8" w:rsidRPr="000665B0">
          <w:rPr>
            <w:rStyle w:val="Hyperlink"/>
          </w:rPr>
          <w:t>.</w:t>
        </w:r>
        <w:r w:rsidR="00FE101A">
          <w:rPr>
            <w:rStyle w:val="Hyperlink"/>
          </w:rPr>
          <w:t>2</w:t>
        </w:r>
      </w:hyperlink>
      <w:r w:rsidR="001865C8" w:rsidRPr="000665B0">
        <w:t xml:space="preserve">) and </w:t>
      </w:r>
      <w:r w:rsidRPr="000665B0">
        <w:t xml:space="preserve">used to define what kinds of tracks to ingest into MDS. Only incoming tracks with the attributes that meet the </w:t>
      </w:r>
      <w:r w:rsidR="00221BF0">
        <w:t>Track</w:t>
      </w:r>
      <w:r w:rsidR="00221BF0" w:rsidRPr="000665B0">
        <w:t xml:space="preserve"> </w:t>
      </w:r>
      <w:r w:rsidRPr="000665B0">
        <w:t xml:space="preserve">Filter’s criteria will be </w:t>
      </w:r>
      <w:r w:rsidR="009007AE">
        <w:t>saved in</w:t>
      </w:r>
      <w:r w:rsidRPr="000665B0">
        <w:t xml:space="preserve"> the Tracks Tool. </w:t>
      </w:r>
      <w:r w:rsidR="009007AE" w:rsidRPr="000665B0">
        <w:t xml:space="preserve">Only </w:t>
      </w:r>
      <w:r w:rsidR="009007AE">
        <w:t>a</w:t>
      </w:r>
      <w:r w:rsidR="009007AE" w:rsidRPr="000665B0">
        <w:t xml:space="preserve"> </w:t>
      </w:r>
      <w:r w:rsidR="00221BF0">
        <w:t>Track</w:t>
      </w:r>
      <w:r w:rsidR="00221BF0" w:rsidRPr="000665B0">
        <w:t xml:space="preserve"> </w:t>
      </w:r>
      <w:r w:rsidRPr="000665B0">
        <w:t>Filter</w:t>
      </w:r>
      <w:r w:rsidR="003D3EFE" w:rsidRPr="000665B0">
        <w:t xml:space="preserve"> </w:t>
      </w:r>
      <w:r w:rsidR="009007AE">
        <w:t>that is</w:t>
      </w:r>
      <w:r w:rsidR="001865C8" w:rsidRPr="000665B0">
        <w:t xml:space="preserve"> set as </w:t>
      </w:r>
      <w:r w:rsidR="001865C8" w:rsidRPr="000665B0">
        <w:rPr>
          <w:b/>
        </w:rPr>
        <w:t>Active</w:t>
      </w:r>
      <w:r w:rsidR="001865C8" w:rsidRPr="000665B0">
        <w:t xml:space="preserve"> </w:t>
      </w:r>
      <w:r w:rsidR="009007AE">
        <w:t>is</w:t>
      </w:r>
      <w:r w:rsidR="009007AE" w:rsidRPr="000665B0">
        <w:t xml:space="preserve"> </w:t>
      </w:r>
      <w:r w:rsidRPr="000665B0">
        <w:t xml:space="preserve">used to ingest tracks. </w:t>
      </w:r>
      <w:r w:rsidR="009007AE">
        <w:t xml:space="preserve">There can only be one active </w:t>
      </w:r>
      <w:r w:rsidR="00221BF0">
        <w:t xml:space="preserve">Track </w:t>
      </w:r>
      <w:r w:rsidR="009007AE">
        <w:t>Filter at a time</w:t>
      </w:r>
      <w:r w:rsidR="00221BF0">
        <w:t xml:space="preserve">; </w:t>
      </w:r>
      <w:r w:rsidR="009007AE">
        <w:t xml:space="preserve">setting another </w:t>
      </w:r>
      <w:r w:rsidR="00221BF0">
        <w:t xml:space="preserve">Track </w:t>
      </w:r>
      <w:r w:rsidR="009007AE">
        <w:t xml:space="preserve">Filter as active will set the previously active </w:t>
      </w:r>
      <w:r w:rsidR="00221BF0">
        <w:t xml:space="preserve">Track </w:t>
      </w:r>
      <w:r w:rsidR="009007AE">
        <w:t>Filter to inactive.</w:t>
      </w:r>
    </w:p>
    <w:p w14:paraId="277054B8" w14:textId="407E5F38" w:rsidR="009007AE" w:rsidRDefault="00221BF0" w:rsidP="009570CA">
      <w:r>
        <w:t>For example, s</w:t>
      </w:r>
      <w:r w:rsidR="009007AE">
        <w:t xml:space="preserve">etting a </w:t>
      </w:r>
      <w:r>
        <w:t xml:space="preserve">Track </w:t>
      </w:r>
      <w:r w:rsidR="009007AE">
        <w:t xml:space="preserve">filter to the ACTIVE state will initiate a CWS data transfer or “track dump”, that will populate MDS with any tracks that have been defined under the ACTIVE </w:t>
      </w:r>
      <w:r>
        <w:t xml:space="preserve">Track </w:t>
      </w:r>
      <w:r w:rsidR="009007AE">
        <w:t>filter.</w:t>
      </w:r>
    </w:p>
    <w:p w14:paraId="49E8900B" w14:textId="22B282F7" w:rsidR="00221BF0" w:rsidRPr="000665B0" w:rsidRDefault="00221BF0" w:rsidP="009570CA">
      <w:pPr>
        <w:jc w:val="center"/>
      </w:pPr>
      <w:r>
        <w:rPr>
          <w:noProof/>
        </w:rPr>
        <w:lastRenderedPageBreak/>
        <w:drawing>
          <wp:inline distT="0" distB="0" distL="0" distR="0" wp14:anchorId="35570271" wp14:editId="046D2D37">
            <wp:extent cx="3154680" cy="3300984"/>
            <wp:effectExtent l="0" t="0" r="0" b="0"/>
            <wp:docPr id="2287" name="Picture 228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154680" cy="3300984"/>
                    </a:xfrm>
                    <a:prstGeom prst="rect">
                      <a:avLst/>
                    </a:prstGeom>
                  </pic:spPr>
                </pic:pic>
              </a:graphicData>
            </a:graphic>
          </wp:inline>
        </w:drawing>
      </w:r>
    </w:p>
    <w:p w14:paraId="2F15BE0E" w14:textId="77777777" w:rsidR="00196709" w:rsidRPr="000665B0" w:rsidRDefault="00196709" w:rsidP="009570CA">
      <w:pPr>
        <w:pStyle w:val="Heading4"/>
      </w:pPr>
      <w:bookmarkStart w:id="5968" w:name="_Purge_Filter"/>
      <w:bookmarkEnd w:id="5968"/>
      <w:r w:rsidRPr="000665B0">
        <w:t>Purge Filter</w:t>
      </w:r>
    </w:p>
    <w:p w14:paraId="40648470" w14:textId="1A5683A4" w:rsidR="009007AE" w:rsidRDefault="009007AE" w:rsidP="009570CA">
      <w:r>
        <w:t xml:space="preserve">Purge Filters are filters that periodically delete tracks based on user defined attributes. Once set and defined, this process is done automatically to purge tracks that a user has deemed as “Stale” and does not want to remain in the system. </w:t>
      </w:r>
    </w:p>
    <w:p w14:paraId="6B399BC5" w14:textId="3C85CAF2" w:rsidR="009007AE" w:rsidRDefault="009007AE" w:rsidP="009570CA">
      <w:r>
        <w:t xml:space="preserve">Purge </w:t>
      </w:r>
      <w:r w:rsidR="00205863">
        <w:t>F</w:t>
      </w:r>
      <w:r>
        <w:t xml:space="preserve">ilters differ from </w:t>
      </w:r>
      <w:r w:rsidR="00205863">
        <w:t>Track F</w:t>
      </w:r>
      <w:r>
        <w:t xml:space="preserve">ilters in the sense that more than one Purge Filter may be </w:t>
      </w:r>
      <w:r w:rsidRPr="009007AE">
        <w:rPr>
          <w:b/>
          <w:bCs/>
        </w:rPr>
        <w:t>Active</w:t>
      </w:r>
      <w:r>
        <w:t xml:space="preserve"> at a given time. A track only needs to meet the criteria of a single Purge Filter to be purged from MDS. Tracks that are set as a Track of Interest (see </w:t>
      </w:r>
      <w:hyperlink w:anchor="_Set_as_Track_3" w:history="1">
        <w:r w:rsidRPr="00940EBE">
          <w:rPr>
            <w:rStyle w:val="Hyperlink"/>
          </w:rPr>
          <w:t xml:space="preserve">Section </w:t>
        </w:r>
        <w:r w:rsidR="004231CC">
          <w:rPr>
            <w:rStyle w:val="Hyperlink"/>
          </w:rPr>
          <w:t>5.32</w:t>
        </w:r>
        <w:r w:rsidR="00940EBE" w:rsidRPr="00940EBE">
          <w:rPr>
            <w:rStyle w:val="Hyperlink"/>
          </w:rPr>
          <w:t>.</w:t>
        </w:r>
        <w:r w:rsidR="00AD6369">
          <w:rPr>
            <w:rStyle w:val="Hyperlink"/>
          </w:rPr>
          <w:t>8</w:t>
        </w:r>
      </w:hyperlink>
      <w:r w:rsidR="00940EBE">
        <w:t>)</w:t>
      </w:r>
      <w:r w:rsidR="00094E1E">
        <w:t xml:space="preserve"> </w:t>
      </w:r>
      <w:r>
        <w:t xml:space="preserve">will not be deleted. </w:t>
      </w:r>
    </w:p>
    <w:p w14:paraId="6DD15A0E" w14:textId="1D6A5B10" w:rsidR="00196709" w:rsidRPr="000665B0" w:rsidRDefault="00C5698C" w:rsidP="009570CA">
      <w:pPr>
        <w:jc w:val="center"/>
      </w:pPr>
      <w:r w:rsidRPr="000665B0">
        <w:rPr>
          <w:noProof/>
        </w:rPr>
        <w:drawing>
          <wp:inline distT="0" distB="0" distL="0" distR="0" wp14:anchorId="34E7F810" wp14:editId="3EB06BA2">
            <wp:extent cx="2148840" cy="2971800"/>
            <wp:effectExtent l="0" t="0" r="0" b="0"/>
            <wp:docPr id="2271" name="Picture 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148840" cy="2971800"/>
                    </a:xfrm>
                    <a:prstGeom prst="rect">
                      <a:avLst/>
                    </a:prstGeom>
                  </pic:spPr>
                </pic:pic>
              </a:graphicData>
            </a:graphic>
          </wp:inline>
        </w:drawing>
      </w:r>
      <w:r w:rsidR="009651B0">
        <w:rPr>
          <w:noProof/>
        </w:rPr>
        <w:t xml:space="preserve"> </w:t>
      </w:r>
    </w:p>
    <w:p w14:paraId="1378AC6C" w14:textId="01BAC883" w:rsidR="00196709" w:rsidRPr="000665B0" w:rsidRDefault="00196709" w:rsidP="009570CA">
      <w:pPr>
        <w:pStyle w:val="Heading3"/>
      </w:pPr>
      <w:bookmarkStart w:id="5969" w:name="_Create_New_Filter"/>
      <w:bookmarkStart w:id="5970" w:name="_Create__New"/>
      <w:bookmarkStart w:id="5971" w:name="_Create_New_GCCS"/>
      <w:bookmarkStart w:id="5972" w:name="_Toc214283520"/>
      <w:bookmarkEnd w:id="5969"/>
      <w:bookmarkEnd w:id="5970"/>
      <w:bookmarkEnd w:id="5971"/>
      <w:r w:rsidRPr="000665B0">
        <w:lastRenderedPageBreak/>
        <w:t xml:space="preserve">Create New </w:t>
      </w:r>
      <w:r w:rsidR="00D07021" w:rsidRPr="000665B0">
        <w:t>Filter</w:t>
      </w:r>
      <w:bookmarkEnd w:id="5972"/>
    </w:p>
    <w:p w14:paraId="5F32183A" w14:textId="77777777" w:rsidR="00940EBE" w:rsidRDefault="00940EBE" w:rsidP="009570CA">
      <w:r>
        <w:t>To create a new filter:</w:t>
      </w:r>
    </w:p>
    <w:p w14:paraId="1FD86095" w14:textId="77777777" w:rsidR="00940EBE" w:rsidRDefault="00940EBE" w:rsidP="006D5A65">
      <w:pPr>
        <w:pStyle w:val="Heading1"/>
      </w:pPr>
      <w:r>
        <w:t>Navigate to the Tracks Tool.</w:t>
      </w:r>
    </w:p>
    <w:p w14:paraId="4AFE031A" w14:textId="2F416719" w:rsidR="00940EBE" w:rsidRDefault="003447B1" w:rsidP="006D5A65">
      <w:pPr>
        <w:pStyle w:val="Heading1"/>
      </w:pPr>
      <w:r w:rsidRPr="000665B0">
        <w:t xml:space="preserve">From the </w:t>
      </w:r>
      <w:r w:rsidRPr="000665B0">
        <w:rPr>
          <w:bCs/>
        </w:rPr>
        <w:t>File</w:t>
      </w:r>
      <w:r w:rsidRPr="000665B0">
        <w:t xml:space="preserve"> menu select New </w:t>
      </w:r>
      <w:r w:rsidRPr="000665B0">
        <w:rPr>
          <w:rFonts w:cs="Arial"/>
          <w:sz w:val="20"/>
        </w:rPr>
        <w:t>►</w:t>
      </w:r>
      <w:r w:rsidRPr="000665B0">
        <w:t xml:space="preserve"> or click the </w:t>
      </w:r>
      <w:r w:rsidRPr="000665B0">
        <w:sym w:font="Wingdings 3" w:char="F082"/>
      </w:r>
      <w:r w:rsidRPr="000665B0">
        <w:t xml:space="preserve"> button next to the New </w:t>
      </w:r>
      <w:r w:rsidRPr="000665B0">
        <w:rPr>
          <w:noProof/>
        </w:rPr>
        <w:drawing>
          <wp:inline distT="0" distB="0" distL="0" distR="0" wp14:anchorId="7B2929FD" wp14:editId="550E5758">
            <wp:extent cx="152400" cy="152400"/>
            <wp:effectExtent l="0" t="0" r="0" b="0"/>
            <wp:docPr id="2300" name="Picture 2300"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new 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r w:rsidR="00940EBE">
        <w:t xml:space="preserve"> and choose between a </w:t>
      </w:r>
      <w:r w:rsidR="00205863">
        <w:t xml:space="preserve">Track </w:t>
      </w:r>
      <w:r w:rsidR="00940EBE">
        <w:t xml:space="preserve">Filter or a Purge Filter. A </w:t>
      </w:r>
      <w:r w:rsidR="00094E1E">
        <w:rPr>
          <w:i/>
          <w:iCs/>
        </w:rPr>
        <w:t>N</w:t>
      </w:r>
      <w:r w:rsidR="00940EBE" w:rsidRPr="00094E1E">
        <w:rPr>
          <w:i/>
          <w:iCs/>
        </w:rPr>
        <w:t>ew</w:t>
      </w:r>
      <w:r w:rsidR="00940EBE">
        <w:t xml:space="preserve"> </w:t>
      </w:r>
      <w:r w:rsidR="00205863">
        <w:rPr>
          <w:i/>
        </w:rPr>
        <w:t xml:space="preserve">Track </w:t>
      </w:r>
      <w:r w:rsidR="00094E1E">
        <w:rPr>
          <w:i/>
        </w:rPr>
        <w:t xml:space="preserve">Filter </w:t>
      </w:r>
      <w:r w:rsidR="00940EBE" w:rsidRPr="00094E1E">
        <w:rPr>
          <w:iCs/>
        </w:rPr>
        <w:t xml:space="preserve">or </w:t>
      </w:r>
      <w:r w:rsidR="00094E1E" w:rsidRPr="00094E1E">
        <w:rPr>
          <w:iCs/>
        </w:rPr>
        <w:t>a</w:t>
      </w:r>
      <w:r w:rsidR="00094E1E">
        <w:rPr>
          <w:i/>
        </w:rPr>
        <w:t xml:space="preserve"> New </w:t>
      </w:r>
      <w:r w:rsidR="00940EBE">
        <w:rPr>
          <w:i/>
        </w:rPr>
        <w:t xml:space="preserve">Purge Filter </w:t>
      </w:r>
      <w:r w:rsidR="00940EBE">
        <w:t>window is displayed.</w:t>
      </w:r>
    </w:p>
    <w:p w14:paraId="5FA06DC3" w14:textId="711B11E2" w:rsidR="00205863" w:rsidRDefault="00205863" w:rsidP="009570CA">
      <w:pPr>
        <w:pStyle w:val="Number0205"/>
        <w:ind w:left="720" w:firstLine="0"/>
        <w:jc w:val="center"/>
      </w:pPr>
      <w:r>
        <w:rPr>
          <w:noProof/>
        </w:rPr>
        <w:drawing>
          <wp:inline distT="0" distB="0" distL="0" distR="0" wp14:anchorId="23054963" wp14:editId="7BB9E089">
            <wp:extent cx="2743200" cy="2852928"/>
            <wp:effectExtent l="0" t="0" r="0" b="5080"/>
            <wp:docPr id="2288" name="Picture 228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2743200" cy="2852928"/>
                    </a:xfrm>
                    <a:prstGeom prst="rect">
                      <a:avLst/>
                    </a:prstGeom>
                  </pic:spPr>
                </pic:pic>
              </a:graphicData>
            </a:graphic>
          </wp:inline>
        </w:drawing>
      </w:r>
    </w:p>
    <w:p w14:paraId="368A03E3" w14:textId="50E7BEF0" w:rsidR="00205863" w:rsidRPr="000665B0" w:rsidRDefault="00205863" w:rsidP="009570CA">
      <w:pPr>
        <w:pStyle w:val="Number0205"/>
        <w:ind w:left="720" w:firstLine="0"/>
        <w:jc w:val="center"/>
      </w:pPr>
      <w:r>
        <w:rPr>
          <w:noProof/>
        </w:rPr>
        <w:drawing>
          <wp:inline distT="0" distB="0" distL="0" distR="0" wp14:anchorId="6594D4ED" wp14:editId="6D83E048">
            <wp:extent cx="2743200" cy="2898648"/>
            <wp:effectExtent l="0" t="0" r="0" b="0"/>
            <wp:docPr id="2291" name="Picture 229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2743200" cy="2898648"/>
                    </a:xfrm>
                    <a:prstGeom prst="rect">
                      <a:avLst/>
                    </a:prstGeom>
                  </pic:spPr>
                </pic:pic>
              </a:graphicData>
            </a:graphic>
          </wp:inline>
        </w:drawing>
      </w:r>
    </w:p>
    <w:p w14:paraId="1BE0FBCF" w14:textId="479C7F5D" w:rsidR="00940EBE" w:rsidRDefault="00940EBE" w:rsidP="006D5A65">
      <w:pPr>
        <w:pStyle w:val="Heading1"/>
      </w:pPr>
      <w:r>
        <w:t xml:space="preserve">If it is required to change the classification, click the </w:t>
      </w:r>
      <w:r>
        <w:rPr>
          <w:bCs/>
        </w:rPr>
        <w:t>EDIT</w:t>
      </w:r>
      <w:r>
        <w:t xml:space="preserve"> </w:t>
      </w:r>
      <w:r w:rsidR="006F0699">
        <w:t>button,</w:t>
      </w:r>
      <w:r>
        <w:t xml:space="preserve"> and select the classification from the drop-down </w:t>
      </w:r>
      <w:r>
        <w:lastRenderedPageBreak/>
        <w:t xml:space="preserve">menu of the </w:t>
      </w:r>
      <w:r>
        <w:rPr>
          <w:i/>
          <w:iCs/>
        </w:rPr>
        <w:t>Edit Classification</w:t>
      </w:r>
      <w:r>
        <w:t xml:space="preserve"> window. For information on editing the classification see </w:t>
      </w:r>
      <w:hyperlink w:anchor="_5.2.7__Edit" w:history="1">
        <w:r>
          <w:rPr>
            <w:color w:val="0000FF"/>
            <w:u w:val="single"/>
          </w:rPr>
          <w:t>Section 5.2.7</w:t>
        </w:r>
      </w:hyperlink>
      <w:r>
        <w:t>.</w:t>
      </w:r>
    </w:p>
    <w:p w14:paraId="21290712" w14:textId="77777777" w:rsidR="00940EBE" w:rsidRDefault="00940EBE" w:rsidP="006D5A65">
      <w:pPr>
        <w:pStyle w:val="Heading1"/>
      </w:pPr>
      <w:r>
        <w:t xml:space="preserve">Enter or select the following information under the </w:t>
      </w:r>
      <w:r>
        <w:rPr>
          <w:i/>
        </w:rPr>
        <w:t>Area Description</w:t>
      </w:r>
      <w:r>
        <w:t xml:space="preserve"> tab:</w:t>
      </w:r>
    </w:p>
    <w:p w14:paraId="3E011355" w14:textId="6B267907" w:rsidR="00940EBE" w:rsidRDefault="00940EBE" w:rsidP="006D5A65">
      <w:pPr>
        <w:pStyle w:val="Heading1"/>
      </w:pPr>
      <w:r w:rsidRPr="00940EBE">
        <w:rPr>
          <w:bCs/>
        </w:rPr>
        <w:t>Name</w:t>
      </w:r>
      <w:r>
        <w:t xml:space="preserve"> – User friendly identifier of the filter</w:t>
      </w:r>
      <w:r w:rsidR="003447B1">
        <w:t>.</w:t>
      </w:r>
    </w:p>
    <w:p w14:paraId="4A4F7CE5" w14:textId="7D2F8623" w:rsidR="00940EBE" w:rsidRDefault="00940EBE" w:rsidP="006D5A65">
      <w:pPr>
        <w:pStyle w:val="Heading1"/>
      </w:pPr>
      <w:r w:rsidRPr="00940EBE">
        <w:rPr>
          <w:bCs/>
        </w:rPr>
        <w:t>Status</w:t>
      </w:r>
      <w:r>
        <w:t xml:space="preserve"> – Indicates whether is the filter is </w:t>
      </w:r>
      <w:r w:rsidR="00982593" w:rsidRPr="00982593">
        <w:rPr>
          <w:bCs/>
        </w:rPr>
        <w:t>Active</w:t>
      </w:r>
      <w:r w:rsidR="00982593">
        <w:t xml:space="preserve"> (default) or </w:t>
      </w:r>
      <w:r w:rsidR="00982593" w:rsidRPr="00982593">
        <w:rPr>
          <w:bCs/>
        </w:rPr>
        <w:t>Inactive</w:t>
      </w:r>
      <w:r>
        <w:t>.</w:t>
      </w:r>
    </w:p>
    <w:p w14:paraId="7FCFCA4A" w14:textId="77777777" w:rsidR="00982593" w:rsidRPr="00982593" w:rsidRDefault="00982593" w:rsidP="006D5A65">
      <w:pPr>
        <w:pStyle w:val="Heading1"/>
      </w:pPr>
      <w:r w:rsidRPr="00982593">
        <w:rPr>
          <w:bCs/>
        </w:rPr>
        <w:t>Purge Interval</w:t>
      </w:r>
      <w:r w:rsidRPr="00982593">
        <w:t xml:space="preserve"> (Purge Filter only) – Sets the time interval for automatic track deletion.</w:t>
      </w:r>
    </w:p>
    <w:p w14:paraId="619064A1" w14:textId="77777777" w:rsidR="00982593" w:rsidRPr="000665B0" w:rsidRDefault="00982593" w:rsidP="006D5A65">
      <w:pPr>
        <w:pStyle w:val="Heading1"/>
      </w:pPr>
      <w:r w:rsidRPr="000665B0">
        <w:t>Purge Interval – Enter a numeric value from 1.000 to 5000.000.</w:t>
      </w:r>
    </w:p>
    <w:p w14:paraId="7B71561E" w14:textId="0EFDFB07" w:rsidR="00982593" w:rsidRPr="000665B0" w:rsidRDefault="00982593" w:rsidP="006D5A65">
      <w:pPr>
        <w:pStyle w:val="Heading1"/>
      </w:pPr>
      <w:r w:rsidRPr="000665B0">
        <w:t xml:space="preserve">Purge Interval Ref – Select the time reference (HRS or MINS) from the </w:t>
      </w:r>
      <w:r w:rsidR="009F2A39" w:rsidRPr="000665B0">
        <w:t>pull-down</w:t>
      </w:r>
      <w:r w:rsidRPr="000665B0">
        <w:t xml:space="preserve"> menu.</w:t>
      </w:r>
    </w:p>
    <w:p w14:paraId="0A964898" w14:textId="1762C55B" w:rsidR="00982593" w:rsidRPr="00943238" w:rsidRDefault="00940EBE" w:rsidP="006D5A65">
      <w:pPr>
        <w:pStyle w:val="Heading1"/>
      </w:pPr>
      <w:r w:rsidRPr="00943238">
        <w:rPr>
          <w:bCs/>
        </w:rPr>
        <w:t>Attributes</w:t>
      </w:r>
      <w:r w:rsidRPr="00943238">
        <w:t xml:space="preserve"> </w:t>
      </w:r>
      <w:r w:rsidR="00982593" w:rsidRPr="00943238">
        <w:t>tab</w:t>
      </w:r>
      <w:r w:rsidR="00094E1E">
        <w:t xml:space="preserve"> </w:t>
      </w:r>
      <w:r w:rsidRPr="00943238">
        <w:t>– Selected attributes are used to define a criteria to filter tracks that do not meet the characterization.</w:t>
      </w:r>
    </w:p>
    <w:p w14:paraId="05508D8D" w14:textId="17F969E3" w:rsidR="00940EBE" w:rsidRDefault="00940EBE" w:rsidP="006D5A65">
      <w:pPr>
        <w:pStyle w:val="Heading1"/>
      </w:pPr>
      <w:r w:rsidRPr="00943238">
        <w:rPr>
          <w:bCs/>
        </w:rPr>
        <w:t>Advanced</w:t>
      </w:r>
      <w:r w:rsidRPr="00943238">
        <w:t xml:space="preserve"> </w:t>
      </w:r>
      <w:r w:rsidR="00943238">
        <w:t>tab</w:t>
      </w:r>
      <w:r w:rsidR="00094E1E">
        <w:t xml:space="preserve"> </w:t>
      </w:r>
      <w:r w:rsidRPr="00943238">
        <w:t xml:space="preserve">– </w:t>
      </w:r>
      <w:r w:rsidR="00943238">
        <w:t>Additional</w:t>
      </w:r>
      <w:r w:rsidRPr="00943238">
        <w:t xml:space="preserve"> specified attributes.</w:t>
      </w:r>
    </w:p>
    <w:p w14:paraId="7E52FDF6" w14:textId="4093EA86" w:rsidR="00940EBE" w:rsidRPr="00943238" w:rsidRDefault="00940EBE" w:rsidP="006D5A65">
      <w:pPr>
        <w:pStyle w:val="Heading1"/>
      </w:pPr>
      <w:r w:rsidRPr="00943238">
        <w:rPr>
          <w:bCs/>
        </w:rPr>
        <w:t>Time Late</w:t>
      </w:r>
      <w:r w:rsidRPr="00943238">
        <w:t xml:space="preserve"> – Purge Filters (ONLY), this defines a threshold where track data older than the threshold will be purged. (</w:t>
      </w:r>
      <w:r w:rsidR="009F2A39" w:rsidRPr="00943238">
        <w:t>i.e.,</w:t>
      </w:r>
      <w:r w:rsidRPr="00943238">
        <w:t xml:space="preserve"> if time late value is 2 hours, th</w:t>
      </w:r>
      <w:r w:rsidR="00094E1E">
        <w:t>e</w:t>
      </w:r>
      <w:r w:rsidRPr="00943238">
        <w:t>n the system will delete tracks that meet the other attribute characteristics that don’t have a report within the last 2 hours).</w:t>
      </w:r>
    </w:p>
    <w:p w14:paraId="50E5B8DB" w14:textId="77777777" w:rsidR="00940EBE" w:rsidRPr="00943238" w:rsidRDefault="00940EBE" w:rsidP="006D5A65">
      <w:pPr>
        <w:pStyle w:val="Heading1"/>
      </w:pPr>
      <w:r w:rsidRPr="00943238">
        <w:rPr>
          <w:bCs/>
        </w:rPr>
        <w:t>Geographic Area</w:t>
      </w:r>
      <w:r w:rsidRPr="00943238">
        <w:t xml:space="preserve"> – A geographic criteria to filter tracks.</w:t>
      </w:r>
    </w:p>
    <w:p w14:paraId="17F19861" w14:textId="77777777" w:rsidR="00940EBE" w:rsidRPr="00105DE6" w:rsidRDefault="00940EBE" w:rsidP="006D5A65">
      <w:pPr>
        <w:pStyle w:val="Heading1"/>
      </w:pPr>
      <w:r>
        <w:t xml:space="preserve">Click on the </w:t>
      </w:r>
      <w:r w:rsidRPr="007B6A27">
        <w:t>Save</w:t>
      </w:r>
      <w:r w:rsidRPr="00427A08">
        <w:t xml:space="preserve"> </w:t>
      </w:r>
      <w:r w:rsidRPr="00427A08">
        <w:rPr>
          <w:rFonts w:ascii="Wingdings" w:hAnsi="Wingdings" w:cs="Wingdings"/>
        </w:rPr>
        <w:t></w:t>
      </w:r>
      <w:r w:rsidRPr="00427A08">
        <w:t xml:space="preserve"> icon or select the </w:t>
      </w:r>
      <w:r w:rsidRPr="00427A08">
        <w:rPr>
          <w:bCs/>
        </w:rPr>
        <w:t>Save</w:t>
      </w:r>
      <w:r w:rsidRPr="00427A08">
        <w:t xml:space="preserve"> option from the </w:t>
      </w:r>
      <w:r w:rsidRPr="00427A08">
        <w:rPr>
          <w:bCs/>
        </w:rPr>
        <w:t>File</w:t>
      </w:r>
      <w:r>
        <w:rPr>
          <w:bCs/>
        </w:rPr>
        <w:t xml:space="preserve"> pull down menu.</w:t>
      </w:r>
    </w:p>
    <w:p w14:paraId="600469FB" w14:textId="77777777" w:rsidR="002F623A" w:rsidRPr="000665B0" w:rsidRDefault="002F623A" w:rsidP="009570CA">
      <w:pPr>
        <w:pStyle w:val="Heading3"/>
      </w:pPr>
      <w:bookmarkStart w:id="5973" w:name="_Track__Filter"/>
      <w:bookmarkStart w:id="5974" w:name="_Toc214283521"/>
      <w:bookmarkEnd w:id="5973"/>
      <w:r w:rsidRPr="000665B0">
        <w:t>Track Filter Status</w:t>
      </w:r>
      <w:bookmarkEnd w:id="5974"/>
    </w:p>
    <w:p w14:paraId="025E22FD" w14:textId="27C5A8CC" w:rsidR="006117AD" w:rsidRDefault="00943238" w:rsidP="006117AD">
      <w:r>
        <w:t xml:space="preserve">The </w:t>
      </w:r>
      <w:r w:rsidRPr="00943238">
        <w:rPr>
          <w:b/>
          <w:bCs/>
        </w:rPr>
        <w:t>Track Filter Status</w:t>
      </w:r>
      <w:r>
        <w:t xml:space="preserve"> toolbar </w:t>
      </w:r>
      <w:r w:rsidR="00617E86">
        <w:t>icon</w:t>
      </w:r>
      <w:r>
        <w:t xml:space="preserve"> </w:t>
      </w:r>
      <w:r w:rsidR="00617E86" w:rsidRPr="000665B0">
        <w:rPr>
          <w:noProof/>
          <w:position w:val="-6"/>
        </w:rPr>
        <w:drawing>
          <wp:inline distT="0" distB="0" distL="0" distR="0" wp14:anchorId="0EBAE1CC" wp14:editId="0C1B1ED8">
            <wp:extent cx="182880" cy="182880"/>
            <wp:effectExtent l="0" t="0" r="7620" b="7620"/>
            <wp:docPr id="2303" name="Picture 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82880" cy="182880"/>
                    </a:xfrm>
                    <a:prstGeom prst="rect">
                      <a:avLst/>
                    </a:prstGeom>
                    <a:ln>
                      <a:noFill/>
                    </a:ln>
                    <a:extLst>
                      <a:ext uri="{53640926-AAD7-44D8-BBD7-CCE9431645EC}">
                        <a14:shadowObscured xmlns:a14="http://schemas.microsoft.com/office/drawing/2010/main"/>
                      </a:ext>
                    </a:extLst>
                  </pic:spPr>
                </pic:pic>
              </a:graphicData>
            </a:graphic>
          </wp:inline>
        </w:drawing>
      </w:r>
      <w:r>
        <w:t xml:space="preserve">will open a window of all the </w:t>
      </w:r>
      <w:r w:rsidR="00205863" w:rsidRPr="00412AF7">
        <w:t>filters</w:t>
      </w:r>
      <w:r w:rsidRPr="00205863">
        <w:t xml:space="preserve"> </w:t>
      </w:r>
      <w:r>
        <w:t>created.</w:t>
      </w:r>
    </w:p>
    <w:p w14:paraId="408A2941" w14:textId="6673C51F" w:rsidR="00205863" w:rsidRPr="000665B0" w:rsidRDefault="00205863" w:rsidP="009570CA">
      <w:pPr>
        <w:pStyle w:val="Number0205"/>
        <w:ind w:left="0" w:firstLine="0"/>
        <w:jc w:val="center"/>
      </w:pPr>
      <w:r>
        <w:rPr>
          <w:noProof/>
        </w:rPr>
        <w:drawing>
          <wp:inline distT="0" distB="0" distL="0" distR="0" wp14:anchorId="67341EF7" wp14:editId="52DBEA39">
            <wp:extent cx="4114504" cy="1363980"/>
            <wp:effectExtent l="0" t="0" r="0" b="0"/>
            <wp:docPr id="2293" name="Picture 229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rotWithShape="1">
                    <a:blip>
                      <a:extLst>
                        <a:ext uri="{28A0092B-C50C-407E-A947-70E740481C1C}">
                          <a14:useLocalDpi xmlns:a14="http://schemas.microsoft.com/office/drawing/2010/main"/>
                        </a:ext>
                      </a:extLst>
                    </a:blip>
                    <a:srcRect b="22706"/>
                    <a:stretch/>
                  </pic:blipFill>
                  <pic:spPr bwMode="auto">
                    <a:xfrm>
                      <a:off x="0" y="0"/>
                      <a:ext cx="4114800" cy="1364078"/>
                    </a:xfrm>
                    <a:prstGeom prst="rect">
                      <a:avLst/>
                    </a:prstGeom>
                    <a:ln>
                      <a:noFill/>
                    </a:ln>
                    <a:extLst>
                      <a:ext uri="{53640926-AAD7-44D8-BBD7-CCE9431645EC}">
                        <a14:shadowObscured xmlns:a14="http://schemas.microsoft.com/office/drawing/2010/main"/>
                      </a:ext>
                    </a:extLst>
                  </pic:spPr>
                </pic:pic>
              </a:graphicData>
            </a:graphic>
          </wp:inline>
        </w:drawing>
      </w:r>
    </w:p>
    <w:p w14:paraId="5AFA85E2" w14:textId="713ED478" w:rsidR="009F0265" w:rsidRDefault="009F0265" w:rsidP="009570CA">
      <w:r>
        <w:t xml:space="preserve">In this window, the displayed </w:t>
      </w:r>
      <w:r w:rsidR="00205863">
        <w:t>filters</w:t>
      </w:r>
      <w:r>
        <w:t xml:space="preserve"> will show the type</w:t>
      </w:r>
      <w:r w:rsidR="00205863">
        <w:t xml:space="preserve"> (Track </w:t>
      </w:r>
      <w:r>
        <w:t>or Purge</w:t>
      </w:r>
      <w:r w:rsidR="00205863">
        <w:t>)</w:t>
      </w:r>
      <w:r>
        <w:t xml:space="preserve">, and whether the </w:t>
      </w:r>
      <w:r w:rsidR="00C55383">
        <w:t>f</w:t>
      </w:r>
      <w:r>
        <w:t xml:space="preserve">ilter is active. A new filter can be created in the Track Filters window from the file menu or the new icon on the toolbar (see </w:t>
      </w:r>
      <w:hyperlink w:anchor="_Create_New_GCCS" w:history="1">
        <w:r w:rsidRPr="009F0265">
          <w:rPr>
            <w:rStyle w:val="Hyperlink"/>
          </w:rPr>
          <w:t xml:space="preserve">Section </w:t>
        </w:r>
        <w:r w:rsidR="004231CC">
          <w:rPr>
            <w:rStyle w:val="Hyperlink"/>
          </w:rPr>
          <w:t>5.32</w:t>
        </w:r>
        <w:r w:rsidRPr="009F0265">
          <w:rPr>
            <w:rStyle w:val="Hyperlink"/>
          </w:rPr>
          <w:t>.2</w:t>
        </w:r>
      </w:hyperlink>
      <w:r>
        <w:t>).</w:t>
      </w:r>
    </w:p>
    <w:p w14:paraId="66C55338" w14:textId="77777777" w:rsidR="000D63A6" w:rsidRPr="000665B0" w:rsidRDefault="000D63A6" w:rsidP="009570CA">
      <w:pPr>
        <w:pStyle w:val="Heading3"/>
      </w:pPr>
      <w:bookmarkStart w:id="5975" w:name="_Display_Geographically"/>
      <w:bookmarkStart w:id="5976" w:name="_Set_as_Track"/>
      <w:bookmarkStart w:id="5977" w:name="_Filter__Displayed"/>
      <w:bookmarkStart w:id="5978" w:name="_Toc214283522"/>
      <w:bookmarkStart w:id="5979" w:name="_Hlk142311887"/>
      <w:bookmarkEnd w:id="5966"/>
      <w:bookmarkEnd w:id="5975"/>
      <w:bookmarkEnd w:id="5976"/>
      <w:bookmarkEnd w:id="5977"/>
      <w:r w:rsidRPr="000665B0">
        <w:t>Filter Displayed Tracks</w:t>
      </w:r>
      <w:bookmarkEnd w:id="5978"/>
    </w:p>
    <w:p w14:paraId="61E8809C" w14:textId="6FEB9D6F" w:rsidR="00617E86" w:rsidRDefault="00617E86" w:rsidP="009570CA">
      <w:r>
        <w:t xml:space="preserve">The Filter Displayed Tracks toolbar icon </w:t>
      </w:r>
      <w:r w:rsidRPr="000665B0">
        <w:rPr>
          <w:noProof/>
          <w:position w:val="-6"/>
        </w:rPr>
        <w:drawing>
          <wp:inline distT="0" distB="0" distL="0" distR="0" wp14:anchorId="552C349C" wp14:editId="118FC739">
            <wp:extent cx="200025" cy="190500"/>
            <wp:effectExtent l="0" t="0" r="9525"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0025" cy="190500"/>
                    </a:xfrm>
                    <a:prstGeom prst="rect">
                      <a:avLst/>
                    </a:prstGeom>
                    <a:noFill/>
                  </pic:spPr>
                </pic:pic>
              </a:graphicData>
            </a:graphic>
          </wp:inline>
        </w:drawing>
      </w:r>
      <w:r>
        <w:t xml:space="preserve"> opens the </w:t>
      </w:r>
      <w:r w:rsidRPr="005F35A5">
        <w:rPr>
          <w:i/>
          <w:iCs/>
        </w:rPr>
        <w:t>Display Filter</w:t>
      </w:r>
      <w:r>
        <w:t xml:space="preserve"> window.</w:t>
      </w:r>
      <w:r w:rsidR="005114EE">
        <w:t xml:space="preserve"> Selections herein are used to determine the Tracks displayed when </w:t>
      </w:r>
      <w:r w:rsidR="005114EE" w:rsidRPr="005F35A5">
        <w:rPr>
          <w:b/>
          <w:bCs/>
        </w:rPr>
        <w:t>Show Filtered Tracks</w:t>
      </w:r>
      <w:r w:rsidR="005114EE">
        <w:t xml:space="preserve"> is enabled.</w:t>
      </w:r>
    </w:p>
    <w:bookmarkEnd w:id="5979"/>
    <w:p w14:paraId="2DC1A340" w14:textId="4A886AD9" w:rsidR="000D63A6" w:rsidRDefault="00617E86" w:rsidP="009570CA">
      <w:pPr>
        <w:jc w:val="center"/>
      </w:pPr>
      <w:r w:rsidRPr="00993CDE">
        <w:rPr>
          <w:noProof/>
        </w:rPr>
        <w:lastRenderedPageBreak/>
        <w:drawing>
          <wp:inline distT="0" distB="0" distL="0" distR="0" wp14:anchorId="580060DA" wp14:editId="7EAA734E">
            <wp:extent cx="3154680" cy="3035808"/>
            <wp:effectExtent l="0" t="0" r="0" b="0"/>
            <wp:docPr id="395" name="Picture 39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Picture 395" descr="Graphical user interface&#10;&#10;Description automatically generated"/>
                    <pic:cNvPicPr/>
                  </pic:nvPicPr>
                  <pic:blipFill>
                    <a:blip/>
                    <a:stretch>
                      <a:fillRect/>
                    </a:stretch>
                  </pic:blipFill>
                  <pic:spPr>
                    <a:xfrm>
                      <a:off x="0" y="0"/>
                      <a:ext cx="3154680" cy="3035808"/>
                    </a:xfrm>
                    <a:prstGeom prst="rect">
                      <a:avLst/>
                    </a:prstGeom>
                  </pic:spPr>
                </pic:pic>
              </a:graphicData>
            </a:graphic>
          </wp:inline>
        </w:drawing>
      </w:r>
    </w:p>
    <w:p w14:paraId="41E9ABC8" w14:textId="77777777" w:rsidR="00617E86" w:rsidRDefault="00617E86" w:rsidP="009570CA">
      <w:r>
        <w:t>Attributes and Time Late values can be selected to filter out on the display tracks that do not meet the criteria.</w:t>
      </w:r>
    </w:p>
    <w:p w14:paraId="6DB73621" w14:textId="57D017E2" w:rsidR="009341FC" w:rsidRPr="000665B0" w:rsidRDefault="000D63A6" w:rsidP="009570CA">
      <w:pPr>
        <w:pStyle w:val="Heading3"/>
      </w:pPr>
      <w:bookmarkStart w:id="5980" w:name="_Toc214283523"/>
      <w:r>
        <w:t>Search filter</w:t>
      </w:r>
      <w:bookmarkEnd w:id="5980"/>
    </w:p>
    <w:p w14:paraId="411E56B2" w14:textId="178078ED" w:rsidR="00617E86" w:rsidRDefault="00617E86" w:rsidP="009570CA">
      <w:r>
        <w:t>The Search Filter text field allows text to be used as criteria in displaying tracks.</w:t>
      </w:r>
    </w:p>
    <w:p w14:paraId="43F0C567" w14:textId="77777777" w:rsidR="00617E86" w:rsidRDefault="00617E86" w:rsidP="009570CA">
      <w:pPr>
        <w:jc w:val="center"/>
      </w:pPr>
      <w:r w:rsidRPr="00770BE3">
        <w:rPr>
          <w:noProof/>
        </w:rPr>
        <w:drawing>
          <wp:inline distT="0" distB="0" distL="0" distR="0" wp14:anchorId="6D4C9C8D" wp14:editId="5AD43F33">
            <wp:extent cx="4983480" cy="137160"/>
            <wp:effectExtent l="0" t="0" r="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37160"/>
                    </a:xfrm>
                    <a:prstGeom prst="rect">
                      <a:avLst/>
                    </a:prstGeom>
                  </pic:spPr>
                </pic:pic>
              </a:graphicData>
            </a:graphic>
          </wp:inline>
        </w:drawing>
      </w:r>
    </w:p>
    <w:p w14:paraId="06D1D8FD" w14:textId="46FB58EA" w:rsidR="00617E86" w:rsidRDefault="00617E86" w:rsidP="009570CA">
      <w:r>
        <w:t>If the text matches or is contained in any of the values in any column of a track, the track will pass the filter and be shown on the list view. The Search Filter is dynamic, so adding to or removing the text will refresh the view with another set of tracks that meet the criteria. The ‘X’ button on the right</w:t>
      </w:r>
      <w:r w:rsidR="00DB563F">
        <w:t>-</w:t>
      </w:r>
      <w:r>
        <w:t>hand side will clear the text in the search filter, consequently displaying all tracks.</w:t>
      </w:r>
    </w:p>
    <w:p w14:paraId="3B7E09D9" w14:textId="77777777" w:rsidR="00617E86" w:rsidRDefault="00617E86" w:rsidP="009570CA">
      <w:r>
        <w:t>The Search Filter works in conjunction with the Display Filter. If the Display Filter is enabled, tracks will only be shown if they meet the criteria of both the Search Filter and the Display Filter.</w:t>
      </w:r>
    </w:p>
    <w:p w14:paraId="28F02682" w14:textId="77777777" w:rsidR="000D129C" w:rsidRPr="000665B0" w:rsidRDefault="000D129C" w:rsidP="009570CA">
      <w:pPr>
        <w:pStyle w:val="Heading3"/>
      </w:pPr>
      <w:bookmarkStart w:id="5981" w:name="_Set_as_Track_1"/>
      <w:bookmarkStart w:id="5982" w:name="_Toc214283524"/>
      <w:bookmarkEnd w:id="5981"/>
      <w:r w:rsidRPr="000665B0">
        <w:t>Display Textually</w:t>
      </w:r>
      <w:bookmarkEnd w:id="5982"/>
    </w:p>
    <w:p w14:paraId="20020B77" w14:textId="04BE26EF" w:rsidR="000D129C" w:rsidRDefault="000D129C" w:rsidP="009570CA">
      <w:r w:rsidRPr="000665B0">
        <w:t xml:space="preserve">Tracks may be displayed textually. See </w:t>
      </w:r>
      <w:hyperlink w:anchor="_5.2.1.2.4__Display_1" w:history="1">
        <w:r w:rsidRPr="000665B0">
          <w:rPr>
            <w:color w:val="0000FF"/>
            <w:u w:val="single"/>
          </w:rPr>
          <w:t>Section 5.2.1.2.4</w:t>
        </w:r>
      </w:hyperlink>
      <w:r w:rsidRPr="000665B0">
        <w:t>.</w:t>
      </w:r>
    </w:p>
    <w:p w14:paraId="04AE6643" w14:textId="6C720C32" w:rsidR="00CF4E06" w:rsidRPr="000665B0" w:rsidRDefault="00CF4E06" w:rsidP="009570CA">
      <w:r>
        <w:t xml:space="preserve">There are two tabs available: Event and Solutions. An Event is the RAW data of a track that has a Date Time corresponding to a Position and Velocity (it may also include an AOU). </w:t>
      </w:r>
      <w:r w:rsidR="003D4D31">
        <w:t xml:space="preserve">An Event’s raw data is not modified when a track is displayed textually, but it may be modified when distributed to a missile (see </w:t>
      </w:r>
      <w:hyperlink w:anchor="_Target_State_UpdatesIMMM" w:history="1">
        <w:r w:rsidR="003D4D31" w:rsidRPr="003D4D31">
          <w:rPr>
            <w:rStyle w:val="Hyperlink"/>
          </w:rPr>
          <w:t xml:space="preserve">Section </w:t>
        </w:r>
        <w:r w:rsidR="004231CC">
          <w:rPr>
            <w:rStyle w:val="Hyperlink"/>
          </w:rPr>
          <w:t>5.35</w:t>
        </w:r>
        <w:r w:rsidR="003D4D31" w:rsidRPr="003D4D31">
          <w:rPr>
            <w:rStyle w:val="Hyperlink"/>
          </w:rPr>
          <w:t>.3.1.3.2.5</w:t>
        </w:r>
      </w:hyperlink>
      <w:r w:rsidR="00B47890">
        <w:t xml:space="preserve">). </w:t>
      </w:r>
      <w:r>
        <w:t xml:space="preserve">A Solution is data generated by an algorithm based on </w:t>
      </w:r>
      <w:r w:rsidR="00350DF9">
        <w:t>Track</w:t>
      </w:r>
      <w:r>
        <w:t xml:space="preserve"> Events.</w:t>
      </w:r>
    </w:p>
    <w:p w14:paraId="097E9D97" w14:textId="77777777" w:rsidR="000D129C" w:rsidRDefault="000D129C" w:rsidP="009570CA">
      <w:pPr>
        <w:jc w:val="center"/>
      </w:pPr>
      <w:r>
        <w:rPr>
          <w:noProof/>
        </w:rPr>
        <w:lastRenderedPageBreak/>
        <w:drawing>
          <wp:inline distT="0" distB="0" distL="0" distR="0" wp14:anchorId="597056A9" wp14:editId="063385C4">
            <wp:extent cx="3657600" cy="2496312"/>
            <wp:effectExtent l="0" t="0" r="0" b="0"/>
            <wp:docPr id="338" name="Picture 33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338" descr="Table&#10;&#10;Description automatically generated"/>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3657600" cy="2496312"/>
                    </a:xfrm>
                    <a:prstGeom prst="rect">
                      <a:avLst/>
                    </a:prstGeom>
                    <a:noFill/>
                    <a:ln>
                      <a:noFill/>
                    </a:ln>
                    <a:extLst>
                      <a:ext uri="{53640926-AAD7-44D8-BBD7-CCE9431645EC}">
                        <a14:shadowObscured xmlns:a14="http://schemas.microsoft.com/office/drawing/2010/main"/>
                      </a:ext>
                    </a:extLst>
                  </pic:spPr>
                </pic:pic>
              </a:graphicData>
            </a:graphic>
          </wp:inline>
        </w:drawing>
      </w:r>
    </w:p>
    <w:p w14:paraId="17BFCA53" w14:textId="133FAE12" w:rsidR="00CF4E06" w:rsidRDefault="00CF4E06">
      <w:r>
        <w:t xml:space="preserve">When </w:t>
      </w:r>
      <w:r w:rsidRPr="00695767">
        <w:t>ISAT receives track data with no AOU values specified, it will generate fake values</w:t>
      </w:r>
      <w:r>
        <w:t>. This is indicated by an open and close parenthesis on the AOU values</w:t>
      </w:r>
      <w:r w:rsidR="00D85ED1" w:rsidRPr="00D85ED1">
        <w:t xml:space="preserve"> </w:t>
      </w:r>
      <w:r w:rsidR="00D85ED1">
        <w:t>in ISAT.  A default value is assigned to the AOU of the Track in order to send a Target State IMMM</w:t>
      </w:r>
      <w:r w:rsidR="00D85ED1" w:rsidRPr="004F0972">
        <w:t>.</w:t>
      </w:r>
    </w:p>
    <w:p w14:paraId="433CA225" w14:textId="0BD05833" w:rsidR="004D3251" w:rsidRPr="000665B0" w:rsidRDefault="004D3251" w:rsidP="004D3251">
      <w:pPr>
        <w:jc w:val="center"/>
      </w:pPr>
      <w:r>
        <w:rPr>
          <w:noProof/>
        </w:rPr>
        <w:drawing>
          <wp:inline distT="0" distB="0" distL="0" distR="0" wp14:anchorId="52D453C0" wp14:editId="13B5FA79">
            <wp:extent cx="3657600" cy="2240280"/>
            <wp:effectExtent l="0" t="0" r="0" b="0"/>
            <wp:docPr id="56589038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90381" name="Picture 1" descr="Table&#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3657600" cy="2240280"/>
                    </a:xfrm>
                    <a:prstGeom prst="rect">
                      <a:avLst/>
                    </a:prstGeom>
                    <a:noFill/>
                    <a:ln>
                      <a:noFill/>
                    </a:ln>
                  </pic:spPr>
                </pic:pic>
              </a:graphicData>
            </a:graphic>
          </wp:inline>
        </w:drawing>
      </w:r>
    </w:p>
    <w:p w14:paraId="3F8D8A59" w14:textId="77777777" w:rsidR="000D129C" w:rsidRPr="000665B0" w:rsidRDefault="000D129C" w:rsidP="009570CA">
      <w:pPr>
        <w:pStyle w:val="Heading3"/>
      </w:pPr>
      <w:bookmarkStart w:id="5983" w:name="_Display_Geographically_2"/>
      <w:bookmarkStart w:id="5984" w:name="_Toc214283525"/>
      <w:bookmarkStart w:id="5985" w:name="_Hlk142311843"/>
      <w:bookmarkEnd w:id="5983"/>
      <w:r w:rsidRPr="000665B0">
        <w:t>Display Geographically</w:t>
      </w:r>
      <w:bookmarkEnd w:id="5984"/>
    </w:p>
    <w:p w14:paraId="267DBC58" w14:textId="4D8F9B6F" w:rsidR="00DB563F" w:rsidRDefault="00DB563F" w:rsidP="009570CA">
      <w:pPr>
        <w:spacing w:after="0" w:line="360" w:lineRule="auto"/>
      </w:pPr>
      <w:bookmarkStart w:id="5986" w:name="_Set_as_Track_2"/>
      <w:bookmarkEnd w:id="5986"/>
      <w:r>
        <w:t xml:space="preserve">To display geographically see </w:t>
      </w:r>
      <w:hyperlink w:anchor="_5.2.1.2.2__Display_1" w:history="1">
        <w:r>
          <w:rPr>
            <w:rStyle w:val="Hyperlink"/>
          </w:rPr>
          <w:t>Section 5.2.1.2.2</w:t>
        </w:r>
      </w:hyperlink>
      <w:r>
        <w:t>.</w:t>
      </w:r>
    </w:p>
    <w:p w14:paraId="40AF30DE" w14:textId="57555609" w:rsidR="00DB563F" w:rsidRDefault="00DB563F" w:rsidP="009570CA">
      <w:pPr>
        <w:spacing w:line="276" w:lineRule="auto"/>
      </w:pPr>
      <w:r>
        <w:t xml:space="preserve">When displaying a track geographically, this will automatically enable the ‘Show </w:t>
      </w:r>
      <w:r w:rsidR="00DE44BC">
        <w:t xml:space="preserve">Filtered </w:t>
      </w:r>
      <w:r>
        <w:t xml:space="preserve">Tracks’ button to show all </w:t>
      </w:r>
      <w:r w:rsidR="00DE44BC">
        <w:t>Filtered T</w:t>
      </w:r>
      <w:r>
        <w:t>racks in MDS. The explicitly selected track to be shown geographically will be displayed in a fashion to highlight this track in comparison to the other tracks.</w:t>
      </w:r>
    </w:p>
    <w:bookmarkEnd w:id="5985"/>
    <w:p w14:paraId="1BF297A2" w14:textId="77777777" w:rsidR="00DB563F" w:rsidRDefault="00DB563F" w:rsidP="009570CA">
      <w:pPr>
        <w:spacing w:line="276" w:lineRule="auto"/>
        <w:rPr>
          <w:szCs w:val="24"/>
        </w:rPr>
      </w:pPr>
      <w:r>
        <w:t>Not</w:t>
      </w:r>
      <w:r w:rsidRPr="00843F14">
        <w:rPr>
          <w:szCs w:val="24"/>
        </w:rPr>
        <w:t xml:space="preserve"> all tracks displayed in the Geo region will be in the GOM, only the Tracks of Interest, or tracks explicitly selected to be displayed geographically will be in the GOM.</w:t>
      </w:r>
    </w:p>
    <w:p w14:paraId="284A2CAE" w14:textId="77777777" w:rsidR="00DB563F" w:rsidRPr="001E53B4" w:rsidRDefault="00DB563F" w:rsidP="009570CA">
      <w:pPr>
        <w:spacing w:line="276" w:lineRule="auto"/>
        <w:jc w:val="center"/>
      </w:pPr>
      <w:r>
        <w:rPr>
          <w:noProof/>
        </w:rPr>
        <w:lastRenderedPageBreak/>
        <w:drawing>
          <wp:inline distT="0" distB="0" distL="0" distR="0" wp14:anchorId="40A0E4C8" wp14:editId="1187F61F">
            <wp:extent cx="1371600" cy="1965960"/>
            <wp:effectExtent l="0" t="0" r="0" b="0"/>
            <wp:docPr id="397" name="Picture 39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Picture 397" descr="Text, letter&#10;&#10;Description automatically generate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371600" cy="1965960"/>
                    </a:xfrm>
                    <a:prstGeom prst="rect">
                      <a:avLst/>
                    </a:prstGeom>
                    <a:noFill/>
                    <a:ln>
                      <a:noFill/>
                    </a:ln>
                  </pic:spPr>
                </pic:pic>
              </a:graphicData>
            </a:graphic>
          </wp:inline>
        </w:drawing>
      </w:r>
    </w:p>
    <w:p w14:paraId="0DDC0F10" w14:textId="77777777" w:rsidR="00196709" w:rsidRPr="000665B0" w:rsidRDefault="00196709" w:rsidP="009570CA">
      <w:pPr>
        <w:pStyle w:val="Heading3"/>
      </w:pPr>
      <w:bookmarkStart w:id="5987" w:name="_Set_as_Track_3"/>
      <w:bookmarkStart w:id="5988" w:name="_Toc214283526"/>
      <w:bookmarkEnd w:id="5987"/>
      <w:r w:rsidRPr="000665B0">
        <w:t>Set as Track of Interest</w:t>
      </w:r>
      <w:bookmarkEnd w:id="5988"/>
    </w:p>
    <w:p w14:paraId="116B2615" w14:textId="77777777" w:rsidR="00FC0F75" w:rsidRPr="000665B0" w:rsidRDefault="00FC0F75" w:rsidP="009570CA">
      <w:r w:rsidRPr="000665B0">
        <w:t xml:space="preserve">Setting a track as a Track of Interest indicates explicit importance. </w:t>
      </w:r>
    </w:p>
    <w:p w14:paraId="3B15395F" w14:textId="3A3BCEAD" w:rsidR="00FC0F75" w:rsidRPr="000665B0" w:rsidRDefault="00196709" w:rsidP="009570CA">
      <w:r w:rsidRPr="000665B0">
        <w:t xml:space="preserve">To set a </w:t>
      </w:r>
      <w:r w:rsidR="004952F9" w:rsidRPr="000665B0">
        <w:t>t</w:t>
      </w:r>
      <w:r w:rsidRPr="000665B0">
        <w:t>rack as a Track of Interest</w:t>
      </w:r>
      <w:r w:rsidR="00FC0F75" w:rsidRPr="000665B0">
        <w:t>:</w:t>
      </w:r>
      <w:r w:rsidRPr="000665B0">
        <w:t xml:space="preserve"> </w:t>
      </w:r>
    </w:p>
    <w:p w14:paraId="29E00EA2" w14:textId="77777777" w:rsidR="00FC0F75" w:rsidRPr="000665B0" w:rsidRDefault="00FC0F75" w:rsidP="006D5A65">
      <w:pPr>
        <w:pStyle w:val="Heading1"/>
      </w:pPr>
      <w:r w:rsidRPr="000665B0">
        <w:t>Navigate to the Tracks Tool.</w:t>
      </w:r>
    </w:p>
    <w:p w14:paraId="6A315B9E" w14:textId="2CC5DD09" w:rsidR="00FC0F75" w:rsidRPr="000665B0" w:rsidRDefault="00FC0F75" w:rsidP="006D5A65">
      <w:pPr>
        <w:pStyle w:val="Heading1"/>
      </w:pPr>
      <w:r w:rsidRPr="000665B0">
        <w:t>Select the desired track in the list view.</w:t>
      </w:r>
    </w:p>
    <w:p w14:paraId="4C6217A1" w14:textId="0F521D41" w:rsidR="00FC0F75" w:rsidRPr="000665B0" w:rsidRDefault="00FC0F75" w:rsidP="006D5A65">
      <w:pPr>
        <w:pStyle w:val="Heading1"/>
      </w:pPr>
      <w:r w:rsidRPr="000665B0">
        <w:t>Invoke the context menu (right-click the mouse) and select Set as Track of Interest.</w:t>
      </w:r>
    </w:p>
    <w:p w14:paraId="5C38F418" w14:textId="4B7B330C" w:rsidR="00FC0F75" w:rsidRPr="000665B0" w:rsidRDefault="00FC0F75" w:rsidP="006D5A65">
      <w:pPr>
        <w:pStyle w:val="Heading1"/>
      </w:pPr>
      <w:r w:rsidRPr="000665B0">
        <w:t>The list view is updated</w:t>
      </w:r>
      <w:r w:rsidR="005102C3" w:rsidRPr="000665B0">
        <w:t xml:space="preserve"> (an X is displayed in the Track of Interest column).</w:t>
      </w:r>
    </w:p>
    <w:p w14:paraId="4E3A9F65" w14:textId="7F6578CB" w:rsidR="00196709" w:rsidRPr="000665B0" w:rsidRDefault="00196709" w:rsidP="006D5A65">
      <w:pPr>
        <w:pStyle w:val="Heading1"/>
      </w:pPr>
      <w:r w:rsidRPr="000665B0">
        <w:t>To unset a track as a Track of Interest, right click a track that is already a Track of Interest and select Unset as Track of Interest.</w:t>
      </w:r>
    </w:p>
    <w:p w14:paraId="5DEBB29D" w14:textId="28BF4207" w:rsidR="00837F8C" w:rsidRDefault="00837F8C" w:rsidP="009570CA">
      <w:r>
        <w:t xml:space="preserve">Tracks of Interest cannot be deleted unless they are unset as Tracks of Interest. Tracks of Interest will also not be purged even if their attributes meet the criteria of an active Purge Filter. These tracks will also be displayed in the GOM when enabling the </w:t>
      </w:r>
      <w:r w:rsidRPr="00B9043A">
        <w:t xml:space="preserve">Show </w:t>
      </w:r>
      <w:r w:rsidR="00746574" w:rsidRPr="00B9043A">
        <w:t xml:space="preserve">Filtered </w:t>
      </w:r>
      <w:r w:rsidRPr="00B9043A">
        <w:t>Tracks toggle in any Geo Display.</w:t>
      </w:r>
    </w:p>
    <w:p w14:paraId="23235395" w14:textId="6877585D" w:rsidR="003B67EF" w:rsidRPr="00B9043A" w:rsidRDefault="003B67EF" w:rsidP="009570CA">
      <w:r w:rsidRPr="003B67EF">
        <w:t xml:space="preserve">Tracks that are set as Track of Interest may be targeted during strike execution and track data may be sent to the missile (see </w:t>
      </w:r>
      <w:hyperlink w:anchor="_Target_State_UpdatesIMMM" w:history="1">
        <w:r>
          <w:rPr>
            <w:rStyle w:val="Hyperlink"/>
          </w:rPr>
          <w:t xml:space="preserve">Section </w:t>
        </w:r>
        <w:r w:rsidR="004231CC">
          <w:rPr>
            <w:rStyle w:val="Hyperlink"/>
          </w:rPr>
          <w:t>5.35</w:t>
        </w:r>
        <w:r w:rsidRPr="003B67EF">
          <w:rPr>
            <w:rStyle w:val="Hyperlink"/>
          </w:rPr>
          <w:t>.3.1.3.2.5</w:t>
        </w:r>
      </w:hyperlink>
      <w:r w:rsidRPr="003B67EF">
        <w:t>).</w:t>
      </w:r>
    </w:p>
    <w:p w14:paraId="5804CDA8" w14:textId="4B620452" w:rsidR="007B3013" w:rsidRPr="000F37E3" w:rsidRDefault="007B3013" w:rsidP="009570CA">
      <w:pPr>
        <w:pStyle w:val="Heading3"/>
      </w:pPr>
      <w:bookmarkStart w:id="5989" w:name="_Filter_Displayed_Tracks"/>
      <w:bookmarkStart w:id="5990" w:name="_Connection_Status"/>
      <w:bookmarkStart w:id="5991" w:name="_Create_New_(Manual)"/>
      <w:bookmarkStart w:id="5992" w:name="_Add/Edit_(Manual)_Track"/>
      <w:bookmarkStart w:id="5993" w:name="_Toc214283527"/>
      <w:bookmarkEnd w:id="5989"/>
      <w:bookmarkEnd w:id="5990"/>
      <w:bookmarkEnd w:id="5991"/>
      <w:bookmarkEnd w:id="5992"/>
      <w:r w:rsidRPr="000F37E3">
        <w:t>Add/Edit (Manual) Track</w:t>
      </w:r>
      <w:bookmarkEnd w:id="5993"/>
    </w:p>
    <w:p w14:paraId="384810F1" w14:textId="59364681" w:rsidR="007B3013" w:rsidRPr="007B3013" w:rsidRDefault="007B3013" w:rsidP="009570CA">
      <w:r w:rsidRPr="007B3013">
        <w:t xml:space="preserve">To add a new track, submit the </w:t>
      </w:r>
      <w:r w:rsidRPr="007B3013">
        <w:rPr>
          <w:i/>
          <w:iCs/>
        </w:rPr>
        <w:t>Manual Add Track</w:t>
      </w:r>
      <w:r w:rsidRPr="007B3013">
        <w:t xml:space="preserve"> </w:t>
      </w:r>
      <w:r w:rsidR="00977723">
        <w:t>w</w:t>
      </w:r>
      <w:r w:rsidRPr="007B3013">
        <w:t xml:space="preserve">indow in MDS. To edit a manual track, submit the </w:t>
      </w:r>
      <w:r w:rsidRPr="007B3013">
        <w:rPr>
          <w:i/>
          <w:iCs/>
        </w:rPr>
        <w:t>Edit Track</w:t>
      </w:r>
      <w:r w:rsidRPr="007B3013">
        <w:t xml:space="preserve"> </w:t>
      </w:r>
      <w:r w:rsidR="00977723">
        <w:t>w</w:t>
      </w:r>
      <w:r w:rsidRPr="007B3013">
        <w:t xml:space="preserve">indow in MDS. The window can be opened by selecting </w:t>
      </w:r>
      <w:r w:rsidRPr="007B3013">
        <w:rPr>
          <w:b/>
          <w:bCs/>
        </w:rPr>
        <w:t>Add Track</w:t>
      </w:r>
      <w:r w:rsidRPr="007B3013">
        <w:t xml:space="preserve"> or </w:t>
      </w:r>
      <w:r w:rsidRPr="007B3013">
        <w:rPr>
          <w:b/>
          <w:bCs/>
        </w:rPr>
        <w:t>Edit Track</w:t>
      </w:r>
      <w:r w:rsidRPr="007B3013">
        <w:t xml:space="preserve"> from the context menu of the </w:t>
      </w:r>
      <w:r w:rsidRPr="007B3013">
        <w:rPr>
          <w:b/>
          <w:bCs/>
        </w:rPr>
        <w:t xml:space="preserve">Track Tool </w:t>
      </w:r>
      <w:r w:rsidR="00595C94">
        <w:t>l</w:t>
      </w:r>
      <w:r w:rsidRPr="007B3013">
        <w:t>ist</w:t>
      </w:r>
      <w:r w:rsidRPr="007B3013">
        <w:rPr>
          <w:b/>
          <w:bCs/>
        </w:rPr>
        <w:t xml:space="preserve"> </w:t>
      </w:r>
      <w:r w:rsidR="00977723">
        <w:t>v</w:t>
      </w:r>
      <w:r w:rsidRPr="007B3013">
        <w:t xml:space="preserve">iew or </w:t>
      </w:r>
      <w:r w:rsidRPr="007B3013">
        <w:rPr>
          <w:b/>
          <w:bCs/>
        </w:rPr>
        <w:t>Geo</w:t>
      </w:r>
      <w:r w:rsidRPr="007B3013">
        <w:t xml:space="preserve"> </w:t>
      </w:r>
      <w:r w:rsidR="007F3B81" w:rsidRPr="006D7B19">
        <w:rPr>
          <w:b/>
          <w:bCs/>
        </w:rPr>
        <w:t>Di</w:t>
      </w:r>
      <w:r w:rsidRPr="006D7B19">
        <w:rPr>
          <w:b/>
          <w:bCs/>
        </w:rPr>
        <w:t>splay</w:t>
      </w:r>
      <w:r w:rsidRPr="007B3013">
        <w:t xml:space="preserve">. </w:t>
      </w:r>
    </w:p>
    <w:p w14:paraId="3FBEBD80" w14:textId="39AE7211" w:rsidR="007B3013" w:rsidRPr="007B3013" w:rsidRDefault="00C717F7" w:rsidP="009570CA">
      <w:pPr>
        <w:jc w:val="center"/>
      </w:pPr>
      <w:r w:rsidRPr="009F1644">
        <w:rPr>
          <w:noProof/>
        </w:rPr>
        <w:lastRenderedPageBreak/>
        <w:drawing>
          <wp:inline distT="0" distB="0" distL="0" distR="0" wp14:anchorId="022A4CCC" wp14:editId="20F7C58E">
            <wp:extent cx="2743200" cy="3236976"/>
            <wp:effectExtent l="0" t="0" r="0" b="0"/>
            <wp:docPr id="181881108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11089" name="Picture 1" descr="Graphical user interface, application&#10;&#10;Description automatically generated"/>
                    <pic:cNvPicPr/>
                  </pic:nvPicPr>
                  <pic:blipFill>
                    <a:blip/>
                    <a:stretch>
                      <a:fillRect/>
                    </a:stretch>
                  </pic:blipFill>
                  <pic:spPr>
                    <a:xfrm>
                      <a:off x="0" y="0"/>
                      <a:ext cx="2743200" cy="3236976"/>
                    </a:xfrm>
                    <a:prstGeom prst="rect">
                      <a:avLst/>
                    </a:prstGeom>
                  </pic:spPr>
                </pic:pic>
              </a:graphicData>
            </a:graphic>
          </wp:inline>
        </w:drawing>
      </w:r>
    </w:p>
    <w:p w14:paraId="172154D3" w14:textId="5532379C" w:rsidR="007B3013" w:rsidRPr="007B3013" w:rsidRDefault="00C717F7" w:rsidP="009570CA">
      <w:pPr>
        <w:jc w:val="center"/>
      </w:pPr>
      <w:r w:rsidRPr="009F1644">
        <w:rPr>
          <w:noProof/>
        </w:rPr>
        <w:drawing>
          <wp:inline distT="0" distB="0" distL="0" distR="0" wp14:anchorId="6574FAA3" wp14:editId="294091A8">
            <wp:extent cx="2743200" cy="3438144"/>
            <wp:effectExtent l="0" t="0" r="0" b="0"/>
            <wp:docPr id="188906857"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857" name="Picture 1" descr="Graphical user interface&#10;&#10;Description automatically generated"/>
                    <pic:cNvPicPr/>
                  </pic:nvPicPr>
                  <pic:blipFill>
                    <a:blip/>
                    <a:stretch>
                      <a:fillRect/>
                    </a:stretch>
                  </pic:blipFill>
                  <pic:spPr>
                    <a:xfrm>
                      <a:off x="0" y="0"/>
                      <a:ext cx="2743200" cy="3438144"/>
                    </a:xfrm>
                    <a:prstGeom prst="rect">
                      <a:avLst/>
                    </a:prstGeom>
                  </pic:spPr>
                </pic:pic>
              </a:graphicData>
            </a:graphic>
          </wp:inline>
        </w:drawing>
      </w:r>
    </w:p>
    <w:p w14:paraId="29CA3F60" w14:textId="2342606F" w:rsidR="002E5056" w:rsidRDefault="007B3013" w:rsidP="006D5A65">
      <w:pPr>
        <w:pStyle w:val="Heading1"/>
        <w:rPr>
          <w:rFonts w:eastAsia="Calibri"/>
          <w:szCs w:val="24"/>
        </w:rPr>
      </w:pPr>
      <w:r w:rsidRPr="007B3013">
        <w:rPr>
          <w:rFonts w:eastAsia="Calibri"/>
          <w:bCs/>
          <w:szCs w:val="24"/>
        </w:rPr>
        <w:t xml:space="preserve">Track </w:t>
      </w:r>
      <w:r w:rsidR="00C717F7">
        <w:rPr>
          <w:rFonts w:eastAsia="Calibri"/>
          <w:bCs/>
          <w:szCs w:val="24"/>
        </w:rPr>
        <w:t>UID</w:t>
      </w:r>
      <w:r w:rsidR="00C717F7" w:rsidRPr="007B3013">
        <w:rPr>
          <w:rFonts w:eastAsia="Calibri"/>
          <w:bCs/>
          <w:szCs w:val="24"/>
        </w:rPr>
        <w:t xml:space="preserve"> </w:t>
      </w:r>
      <w:r w:rsidRPr="007B3013">
        <w:rPr>
          <w:rFonts w:eastAsia="Calibri"/>
          <w:szCs w:val="24"/>
        </w:rPr>
        <w:t xml:space="preserve">– </w:t>
      </w:r>
      <w:r w:rsidR="00C717F7" w:rsidRPr="00FC60AB">
        <w:t>The unique track identifier provided by the Track Source.</w:t>
      </w:r>
      <w:r w:rsidR="00C717F7" w:rsidRPr="007B3013" w:rsidDel="00C717F7">
        <w:rPr>
          <w:rFonts w:eastAsia="Calibri"/>
          <w:szCs w:val="24"/>
        </w:rPr>
        <w:t xml:space="preserve"> </w:t>
      </w:r>
    </w:p>
    <w:p w14:paraId="5A487D1B" w14:textId="22404AB0" w:rsidR="002E5056" w:rsidRDefault="002E5056"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line="240" w:lineRule="auto"/>
        <w:jc w:val="center"/>
        <w:rPr>
          <w:rFonts w:eastAsia="Calibri"/>
          <w:b/>
          <w:bCs/>
          <w:szCs w:val="24"/>
        </w:rPr>
      </w:pPr>
      <w:r>
        <w:rPr>
          <w:rFonts w:eastAsia="Calibri"/>
          <w:b/>
          <w:bCs/>
          <w:szCs w:val="24"/>
        </w:rPr>
        <w:t>Note</w:t>
      </w:r>
      <w:r w:rsidR="007B3013" w:rsidRPr="00BB4EBE">
        <w:rPr>
          <w:rFonts w:eastAsia="Calibri"/>
          <w:b/>
          <w:bCs/>
          <w:szCs w:val="24"/>
        </w:rPr>
        <w:t>:</w:t>
      </w:r>
    </w:p>
    <w:p w14:paraId="00DF46A3" w14:textId="5662137F" w:rsidR="007B3013" w:rsidRPr="00BB4EBE" w:rsidRDefault="007B3013"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line="240" w:lineRule="auto"/>
        <w:jc w:val="center"/>
        <w:rPr>
          <w:rFonts w:eastAsia="Calibri"/>
          <w:b/>
          <w:bCs/>
          <w:szCs w:val="24"/>
        </w:rPr>
      </w:pPr>
      <w:r w:rsidRPr="00BB4EBE">
        <w:rPr>
          <w:rFonts w:eastAsia="Calibri"/>
          <w:b/>
          <w:bCs/>
          <w:szCs w:val="24"/>
        </w:rPr>
        <w:t xml:space="preserve">This will be displayed </w:t>
      </w:r>
      <w:r w:rsidR="00977723" w:rsidRPr="00BB4EBE">
        <w:rPr>
          <w:rFonts w:eastAsia="Calibri"/>
          <w:b/>
          <w:bCs/>
          <w:szCs w:val="24"/>
        </w:rPr>
        <w:t xml:space="preserve">only </w:t>
      </w:r>
      <w:r w:rsidRPr="00BB4EBE">
        <w:rPr>
          <w:rFonts w:eastAsia="Calibri"/>
          <w:b/>
          <w:bCs/>
          <w:szCs w:val="24"/>
        </w:rPr>
        <w:t>in the Edit Track dialog, and it is read-only as it is set by ISAT when the track is added</w:t>
      </w:r>
      <w:r w:rsidR="0038736C" w:rsidRPr="00BB4EBE">
        <w:rPr>
          <w:rFonts w:eastAsia="Calibri"/>
          <w:b/>
          <w:bCs/>
          <w:szCs w:val="24"/>
        </w:rPr>
        <w:t>.</w:t>
      </w:r>
    </w:p>
    <w:p w14:paraId="10A57D03" w14:textId="77777777" w:rsidR="007B3013" w:rsidRPr="007B3013" w:rsidRDefault="007B3013" w:rsidP="006D5A65">
      <w:pPr>
        <w:pStyle w:val="Heading1"/>
        <w:rPr>
          <w:bCs/>
        </w:rPr>
      </w:pPr>
      <w:r w:rsidRPr="007B3013">
        <w:rPr>
          <w:bCs/>
        </w:rPr>
        <w:lastRenderedPageBreak/>
        <w:t xml:space="preserve">Track Type </w:t>
      </w:r>
      <w:r w:rsidRPr="007B3013">
        <w:t xml:space="preserve">– Characteristic of the track. Valid values are Tactical, Live Training, Simulated, and Demand Entry. </w:t>
      </w:r>
    </w:p>
    <w:p w14:paraId="37B98C7F" w14:textId="77777777" w:rsidR="007B3013" w:rsidRPr="007B3013" w:rsidRDefault="007B3013" w:rsidP="006D5A65">
      <w:pPr>
        <w:pStyle w:val="Heading1"/>
        <w:rPr>
          <w:bCs/>
        </w:rPr>
      </w:pPr>
      <w:r w:rsidRPr="007B3013">
        <w:rPr>
          <w:bCs/>
        </w:rPr>
        <w:t xml:space="preserve">Platform Name </w:t>
      </w:r>
      <w:r w:rsidRPr="007B3013">
        <w:t>– The name given to the track.</w:t>
      </w:r>
    </w:p>
    <w:p w14:paraId="644FB026" w14:textId="77777777" w:rsidR="007B3013" w:rsidRPr="007B3013" w:rsidRDefault="007B3013" w:rsidP="006D5A65">
      <w:pPr>
        <w:pStyle w:val="Heading1"/>
        <w:rPr>
          <w:bCs/>
        </w:rPr>
      </w:pPr>
      <w:r w:rsidRPr="007B3013">
        <w:rPr>
          <w:bCs/>
        </w:rPr>
        <w:t xml:space="preserve">Track Threat </w:t>
      </w:r>
      <w:r w:rsidRPr="007B3013">
        <w:t>– Characteristic of the track. Valid values are Friendly, Assumed Friendly, Hostile, Suspect, Neutral, Pending, Unknown, Joker, and Faker.</w:t>
      </w:r>
    </w:p>
    <w:p w14:paraId="60259963" w14:textId="77777777" w:rsidR="007B3013" w:rsidRPr="007B3013" w:rsidRDefault="007B3013" w:rsidP="006D5A65">
      <w:pPr>
        <w:pStyle w:val="Heading1"/>
        <w:rPr>
          <w:bCs/>
        </w:rPr>
      </w:pPr>
      <w:r w:rsidRPr="007B3013">
        <w:rPr>
          <w:bCs/>
        </w:rPr>
        <w:t xml:space="preserve">Track Alert </w:t>
      </w:r>
      <w:r w:rsidRPr="007B3013">
        <w:t>– Characteristic of the track. Valid values are Non-suspected Carrier, High Interest Track, Suspected Carrier, Target Data Available, Threat Warning, and Alert Unknown.</w:t>
      </w:r>
    </w:p>
    <w:p w14:paraId="1D7A6746" w14:textId="0B92DFAF" w:rsidR="007B3013" w:rsidRPr="007B3013" w:rsidRDefault="007B3013" w:rsidP="006D5A65">
      <w:pPr>
        <w:pStyle w:val="Heading1"/>
        <w:rPr>
          <w:bCs/>
        </w:rPr>
      </w:pPr>
      <w:r w:rsidRPr="007B3013">
        <w:rPr>
          <w:bCs/>
        </w:rPr>
        <w:t xml:space="preserve">Track Ship Class </w:t>
      </w:r>
      <w:r w:rsidRPr="007B3013">
        <w:t xml:space="preserve">– Characteristic of the track. Valid values are </w:t>
      </w:r>
      <w:r w:rsidR="00C717F7" w:rsidRPr="00733289">
        <w:t xml:space="preserve">drawn from the TCIL </w:t>
      </w:r>
      <w:r w:rsidR="00C717F7">
        <w:t>or</w:t>
      </w:r>
      <w:r w:rsidR="00C717F7" w:rsidRPr="00733289">
        <w:t xml:space="preserve"> SCNF</w:t>
      </w:r>
      <w:r w:rsidR="00C717F7">
        <w:t xml:space="preserve"> list, or “User Entered”. This has a searchable filter list.</w:t>
      </w:r>
    </w:p>
    <w:p w14:paraId="7BD8A904" w14:textId="77777777" w:rsidR="007B3013" w:rsidRPr="007B3013" w:rsidRDefault="007B3013" w:rsidP="006D5A65">
      <w:pPr>
        <w:pStyle w:val="Heading1"/>
        <w:rPr>
          <w:bCs/>
        </w:rPr>
      </w:pPr>
      <w:r w:rsidRPr="007B3013">
        <w:rPr>
          <w:bCs/>
        </w:rPr>
        <w:t xml:space="preserve">Country Code </w:t>
      </w:r>
      <w:r w:rsidRPr="007B3013">
        <w:t>– The unique code of the country the track is from.</w:t>
      </w:r>
    </w:p>
    <w:p w14:paraId="41D8EE52" w14:textId="40BB3499" w:rsidR="007B3013" w:rsidRPr="007B3013" w:rsidRDefault="007B3013" w:rsidP="006D5A65">
      <w:pPr>
        <w:pStyle w:val="Heading1"/>
        <w:rPr>
          <w:bCs/>
        </w:rPr>
      </w:pPr>
      <w:r w:rsidRPr="007B3013">
        <w:rPr>
          <w:bCs/>
        </w:rPr>
        <w:t xml:space="preserve">Track Category </w:t>
      </w:r>
      <w:r w:rsidRPr="007B3013">
        <w:t>– A track can be Naval, Fishery, Merchant</w:t>
      </w:r>
      <w:r w:rsidR="00977723">
        <w:t>,</w:t>
      </w:r>
      <w:r w:rsidRPr="007B3013">
        <w:t xml:space="preserve"> or Surface Other.</w:t>
      </w:r>
    </w:p>
    <w:p w14:paraId="3A3BA0F9" w14:textId="77777777" w:rsidR="007B3013" w:rsidRPr="007B3013" w:rsidRDefault="007B3013" w:rsidP="006D5A65">
      <w:pPr>
        <w:pStyle w:val="Heading1"/>
      </w:pPr>
      <w:r w:rsidRPr="007B3013">
        <w:rPr>
          <w:bCs/>
        </w:rPr>
        <w:t xml:space="preserve">Track DTG </w:t>
      </w:r>
      <w:r w:rsidRPr="007B3013">
        <w:t>– Date and time corresponding to the given position.</w:t>
      </w:r>
    </w:p>
    <w:p w14:paraId="1C9B3A7D" w14:textId="77777777" w:rsidR="007B3013" w:rsidRPr="007B3013" w:rsidRDefault="007B3013" w:rsidP="006D5A65">
      <w:pPr>
        <w:pStyle w:val="Heading1"/>
      </w:pPr>
      <w:r w:rsidRPr="007B3013">
        <w:t>Track Position – Position given in Latitude and Longitude.</w:t>
      </w:r>
    </w:p>
    <w:p w14:paraId="0A1F9293" w14:textId="77777777" w:rsidR="007B3013" w:rsidRPr="007B3013" w:rsidRDefault="007B3013" w:rsidP="006D5A65">
      <w:pPr>
        <w:pStyle w:val="Heading1"/>
        <w:rPr>
          <w:bCs/>
        </w:rPr>
      </w:pPr>
      <w:r w:rsidRPr="007B3013">
        <w:rPr>
          <w:bCs/>
        </w:rPr>
        <w:t xml:space="preserve">Speed </w:t>
      </w:r>
      <w:r w:rsidRPr="007B3013">
        <w:t>– Speed, in knots, at the given position.</w:t>
      </w:r>
    </w:p>
    <w:p w14:paraId="7846B79D" w14:textId="77777777" w:rsidR="007B3013" w:rsidRPr="007B3013" w:rsidRDefault="007B3013" w:rsidP="006D5A65">
      <w:pPr>
        <w:pStyle w:val="Heading1"/>
        <w:rPr>
          <w:bCs/>
        </w:rPr>
      </w:pPr>
      <w:r w:rsidRPr="007B3013">
        <w:rPr>
          <w:bCs/>
        </w:rPr>
        <w:t xml:space="preserve">Course </w:t>
      </w:r>
      <w:r w:rsidRPr="007B3013">
        <w:t>– Course, in degrees true, at the given position.</w:t>
      </w:r>
    </w:p>
    <w:p w14:paraId="4BFEF44D" w14:textId="77777777" w:rsidR="007B3013" w:rsidRPr="007B3013" w:rsidRDefault="007B3013" w:rsidP="006D5A65">
      <w:pPr>
        <w:pStyle w:val="Heading1"/>
        <w:rPr>
          <w:bCs/>
        </w:rPr>
      </w:pPr>
      <w:r w:rsidRPr="007B3013">
        <w:rPr>
          <w:bCs/>
        </w:rPr>
        <w:t xml:space="preserve">Heading </w:t>
      </w:r>
      <w:r w:rsidRPr="007B3013">
        <w:t>– Heading, in degrees true, at the given position.</w:t>
      </w:r>
    </w:p>
    <w:p w14:paraId="0EEF07F7" w14:textId="77777777" w:rsidR="007B3013" w:rsidRPr="007B3013" w:rsidRDefault="007B3013" w:rsidP="006D5A65">
      <w:pPr>
        <w:pStyle w:val="Heading1"/>
        <w:rPr>
          <w:bCs/>
        </w:rPr>
      </w:pPr>
      <w:r w:rsidRPr="007B3013">
        <w:rPr>
          <w:bCs/>
        </w:rPr>
        <w:t xml:space="preserve">Semi Major </w:t>
      </w:r>
      <w:r w:rsidRPr="007B3013">
        <w:t>– AOU semi-major axis, in NM.</w:t>
      </w:r>
    </w:p>
    <w:p w14:paraId="031147FB" w14:textId="77777777" w:rsidR="007B3013" w:rsidRPr="007B3013" w:rsidRDefault="007B3013" w:rsidP="006D5A65">
      <w:pPr>
        <w:pStyle w:val="Heading1"/>
        <w:rPr>
          <w:bCs/>
        </w:rPr>
      </w:pPr>
      <w:r w:rsidRPr="007B3013">
        <w:rPr>
          <w:bCs/>
        </w:rPr>
        <w:t xml:space="preserve">Semi Minor </w:t>
      </w:r>
      <w:r w:rsidRPr="007B3013">
        <w:t>– AOU semi-minor axis, in NM.</w:t>
      </w:r>
    </w:p>
    <w:p w14:paraId="490312F8" w14:textId="77777777" w:rsidR="007B3013" w:rsidRPr="007B3013" w:rsidRDefault="007B3013" w:rsidP="006D5A65">
      <w:pPr>
        <w:pStyle w:val="Heading1"/>
        <w:rPr>
          <w:bCs/>
        </w:rPr>
      </w:pPr>
      <w:r w:rsidRPr="007B3013">
        <w:rPr>
          <w:bCs/>
        </w:rPr>
        <w:t xml:space="preserve">Angle </w:t>
      </w:r>
      <w:r w:rsidRPr="007B3013">
        <w:t>– AOU orientation, in degrees true.</w:t>
      </w:r>
    </w:p>
    <w:p w14:paraId="15FB8313" w14:textId="39F42B2F" w:rsidR="007B3013" w:rsidRPr="007B3013" w:rsidRDefault="007B3013" w:rsidP="009570CA">
      <w:pPr>
        <w:spacing w:before="240" w:after="240"/>
      </w:pPr>
      <w:r w:rsidRPr="007B3013">
        <w:t xml:space="preserve">MDS sends the manual track data to TED and the track is added or updated. The new track is </w:t>
      </w:r>
      <w:r w:rsidR="009F2A39" w:rsidRPr="007B3013">
        <w:t>auto</w:t>
      </w:r>
      <w:r w:rsidR="009F2A39">
        <w:t xml:space="preserve"> populated</w:t>
      </w:r>
      <w:r w:rsidRPr="007B3013">
        <w:t xml:space="preserve"> in the </w:t>
      </w:r>
      <w:r w:rsidRPr="007B3013">
        <w:rPr>
          <w:b/>
          <w:bCs/>
        </w:rPr>
        <w:t>Tracks Tool List</w:t>
      </w:r>
      <w:r w:rsidRPr="007B3013">
        <w:t xml:space="preserve"> </w:t>
      </w:r>
      <w:r w:rsidR="00125DE9">
        <w:t>v</w:t>
      </w:r>
      <w:r w:rsidRPr="007B3013">
        <w:t xml:space="preserve">iew (see </w:t>
      </w:r>
      <w:hyperlink w:anchor="_Set_as_Track_1" w:history="1">
        <w:r w:rsidRPr="007B3013">
          <w:rPr>
            <w:color w:val="0000FF"/>
            <w:u w:val="single"/>
          </w:rPr>
          <w:t xml:space="preserve">Section </w:t>
        </w:r>
        <w:r w:rsidR="004231CC">
          <w:rPr>
            <w:color w:val="0000FF"/>
            <w:u w:val="single"/>
          </w:rPr>
          <w:t>5.32</w:t>
        </w:r>
        <w:r w:rsidRPr="007B3013">
          <w:rPr>
            <w:color w:val="0000FF"/>
            <w:u w:val="single"/>
          </w:rPr>
          <w:t>.6</w:t>
        </w:r>
      </w:hyperlink>
      <w:r w:rsidRPr="007B3013">
        <w:t>) and can be interacted within MDS in the same way as tracks from an external track source.</w:t>
      </w:r>
    </w:p>
    <w:p w14:paraId="6CE02540" w14:textId="3B32C229" w:rsidR="007B3013" w:rsidRPr="007B3013" w:rsidRDefault="007B3013" w:rsidP="009570CA">
      <w:r w:rsidRPr="007B3013">
        <w:t xml:space="preserve">The manual track AOU is observable in the Geo Display (see </w:t>
      </w:r>
      <w:hyperlink w:anchor="_Display_Geographically_2" w:history="1">
        <w:r w:rsidRPr="007B3013">
          <w:rPr>
            <w:color w:val="0000FF"/>
            <w:u w:val="single"/>
          </w:rPr>
          <w:t xml:space="preserve">Section </w:t>
        </w:r>
        <w:r w:rsidR="004231CC">
          <w:rPr>
            <w:color w:val="0000FF"/>
            <w:u w:val="single"/>
          </w:rPr>
          <w:t>5.32</w:t>
        </w:r>
        <w:r w:rsidRPr="007B3013">
          <w:rPr>
            <w:color w:val="0000FF"/>
            <w:u w:val="single"/>
          </w:rPr>
          <w:t>.7</w:t>
        </w:r>
      </w:hyperlink>
      <w:r w:rsidRPr="007B3013">
        <w:t xml:space="preserve">) as usual. The AOU matches the values specified in the creation window, except in the case where the semi-major and semi-minor axes have the same size, in which case the orientation does not matter and need not match the entered value. </w:t>
      </w:r>
    </w:p>
    <w:p w14:paraId="6E01EEAD" w14:textId="77777777" w:rsidR="007B3013" w:rsidRPr="007B3013" w:rsidRDefault="007B3013" w:rsidP="009570CA">
      <w:pPr>
        <w:jc w:val="center"/>
      </w:pPr>
      <w:r w:rsidRPr="007B3013">
        <w:rPr>
          <w:noProof/>
        </w:rPr>
        <w:lastRenderedPageBreak/>
        <w:drawing>
          <wp:inline distT="0" distB="0" distL="0" distR="0" wp14:anchorId="2F475B46" wp14:editId="3973BE3D">
            <wp:extent cx="3488376" cy="2686050"/>
            <wp:effectExtent l="0" t="0" r="0" b="0"/>
            <wp:docPr id="2218" name="Picture 2218"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347" descr="Graphical user interface, chart&#10;&#10;Description automatically generat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3498312" cy="2693701"/>
                    </a:xfrm>
                    <a:prstGeom prst="rect">
                      <a:avLst/>
                    </a:prstGeom>
                    <a:noFill/>
                    <a:ln>
                      <a:noFill/>
                    </a:ln>
                  </pic:spPr>
                </pic:pic>
              </a:graphicData>
            </a:graphic>
          </wp:inline>
        </w:drawing>
      </w:r>
    </w:p>
    <w:p w14:paraId="5B2E4860" w14:textId="77777777" w:rsidR="007B3013" w:rsidRPr="00474C31" w:rsidRDefault="007B3013" w:rsidP="009570CA">
      <w:pPr>
        <w:pStyle w:val="Heading3"/>
      </w:pPr>
      <w:bookmarkStart w:id="5994" w:name="_Toc214283528"/>
      <w:r w:rsidRPr="00474C31">
        <w:t>Associate Tracks</w:t>
      </w:r>
      <w:bookmarkEnd w:id="5994"/>
    </w:p>
    <w:p w14:paraId="6E9F7AB0" w14:textId="77777777" w:rsidR="00C1342A" w:rsidRDefault="006C747F" w:rsidP="009570CA">
      <w:r w:rsidRPr="0081014E">
        <w:t>Tracks that are missing information may be associated with another track to create a new track with a complete set of Attributes and Event information. After association, the two tracks are called “component tracks” and the resulting track is referred to as the “Master Track.”</w:t>
      </w:r>
    </w:p>
    <w:p w14:paraId="7A2B89DF" w14:textId="424F132D" w:rsidR="007B3013" w:rsidRPr="007B3013" w:rsidRDefault="007B3013" w:rsidP="009570CA">
      <w:r w:rsidRPr="007B3013">
        <w:t xml:space="preserve">To associate two tracks from the </w:t>
      </w:r>
      <w:r w:rsidRPr="007B3013">
        <w:rPr>
          <w:b/>
          <w:bCs/>
        </w:rPr>
        <w:t>Tracks</w:t>
      </w:r>
      <w:r w:rsidRPr="007B3013">
        <w:t xml:space="preserve"> Tool:</w:t>
      </w:r>
    </w:p>
    <w:p w14:paraId="7355348F" w14:textId="77777777" w:rsidR="007B3013" w:rsidRPr="00474C31" w:rsidRDefault="007B3013" w:rsidP="006D5A65">
      <w:pPr>
        <w:pStyle w:val="Heading1"/>
      </w:pPr>
      <w:r w:rsidRPr="00474C31">
        <w:t>Navigate to the Tracks Tool.</w:t>
      </w:r>
    </w:p>
    <w:p w14:paraId="26CE383A" w14:textId="7A6E4A91" w:rsidR="007B3013" w:rsidRDefault="007B3013" w:rsidP="006D5A65">
      <w:pPr>
        <w:pStyle w:val="Heading1"/>
      </w:pPr>
      <w:r w:rsidRPr="00474C31">
        <w:t xml:space="preserve">Select </w:t>
      </w:r>
      <w:r w:rsidR="006C747F" w:rsidRPr="00003EA7">
        <w:t>two tracks which meet the following association criteria:</w:t>
      </w:r>
    </w:p>
    <w:p w14:paraId="3FD536BB" w14:textId="695B2B30" w:rsidR="006C747F" w:rsidRPr="00003EA7" w:rsidRDefault="006C747F" w:rsidP="006D5A65">
      <w:pPr>
        <w:pStyle w:val="Heading2"/>
      </w:pPr>
      <w:r w:rsidRPr="00003EA7">
        <w:t xml:space="preserve">The tracks have the same Track Mode, or one is Demand </w:t>
      </w:r>
      <w:r w:rsidR="00C1342A" w:rsidRPr="00003EA7">
        <w:t>Entry,</w:t>
      </w:r>
      <w:r w:rsidRPr="00003EA7">
        <w:t xml:space="preserve"> and the other is Tactical</w:t>
      </w:r>
      <w:r>
        <w:t>.</w:t>
      </w:r>
    </w:p>
    <w:p w14:paraId="17570300" w14:textId="7E7C9E3C" w:rsidR="005067A0" w:rsidRPr="005067A0" w:rsidRDefault="006C747F" w:rsidP="006D5A65">
      <w:pPr>
        <w:pStyle w:val="Heading2"/>
      </w:pPr>
      <w:r w:rsidRPr="00003EA7">
        <w:t>The tracks have Category of Surface</w:t>
      </w:r>
      <w:r>
        <w:t>.</w:t>
      </w:r>
    </w:p>
    <w:p w14:paraId="2F9945D5" w14:textId="3028FE6C" w:rsidR="006C747F" w:rsidRPr="00474C31" w:rsidRDefault="006C747F" w:rsidP="006D5A65">
      <w:pPr>
        <w:pStyle w:val="Heading2"/>
      </w:pPr>
      <w:r w:rsidRPr="007A4F37">
        <w:t>The tracks have different Track Source.</w:t>
      </w:r>
    </w:p>
    <w:p w14:paraId="236A9A33" w14:textId="742F838D" w:rsidR="007B3013" w:rsidRPr="00BB4EBE" w:rsidRDefault="007B3013" w:rsidP="006D5A65">
      <w:pPr>
        <w:pStyle w:val="Heading1"/>
        <w:rPr>
          <w:rFonts w:eastAsia="Calibri"/>
          <w:szCs w:val="24"/>
        </w:rPr>
      </w:pPr>
      <w:r w:rsidRPr="00474C31">
        <w:t>Invoke the context menu (right-click the mouse) and select Associate.</w:t>
      </w:r>
    </w:p>
    <w:p w14:paraId="240DDDC1" w14:textId="4AD99134" w:rsidR="006C747F" w:rsidRPr="00BB4EBE" w:rsidRDefault="006C747F" w:rsidP="006D5A65">
      <w:pPr>
        <w:pStyle w:val="Heading1"/>
      </w:pPr>
      <w:r w:rsidRPr="00003EA7">
        <w:t xml:space="preserve">Select a track to prioritize in association. The resulting Master Track’s attributes will prioritize the selected track’s values unless they are UNEQUATED or blank. </w:t>
      </w:r>
    </w:p>
    <w:p w14:paraId="4BAA5218" w14:textId="33C3C1F5" w:rsidR="007B3013" w:rsidRPr="007B3013" w:rsidRDefault="007B3013" w:rsidP="009570CA">
      <w:pPr>
        <w:widowControl w:val="0"/>
        <w:rPr>
          <w:szCs w:val="24"/>
        </w:rPr>
      </w:pPr>
      <w:r w:rsidRPr="007B3013">
        <w:rPr>
          <w:szCs w:val="24"/>
        </w:rPr>
        <w:t xml:space="preserve">To associate two tracks from the </w:t>
      </w:r>
      <w:r w:rsidRPr="007B3013">
        <w:rPr>
          <w:b/>
          <w:bCs/>
          <w:szCs w:val="24"/>
        </w:rPr>
        <w:t>Geo Display</w:t>
      </w:r>
      <w:r w:rsidRPr="007B3013">
        <w:rPr>
          <w:szCs w:val="24"/>
        </w:rPr>
        <w:t>:</w:t>
      </w:r>
    </w:p>
    <w:p w14:paraId="601C4C11" w14:textId="77777777" w:rsidR="007B3013" w:rsidRPr="00474C31" w:rsidRDefault="007B3013" w:rsidP="006D5A65">
      <w:pPr>
        <w:pStyle w:val="Heading1"/>
      </w:pPr>
      <w:r w:rsidRPr="00474C31">
        <w:t>Navigate to the Geo Display.</w:t>
      </w:r>
    </w:p>
    <w:p w14:paraId="389F10DA" w14:textId="6F40893C" w:rsidR="007B3013" w:rsidRPr="00474C31" w:rsidRDefault="007B3013" w:rsidP="006D5A65">
      <w:pPr>
        <w:pStyle w:val="Heading1"/>
      </w:pPr>
      <w:r w:rsidRPr="00474C31">
        <w:t xml:space="preserve">Select </w:t>
      </w:r>
      <w:r w:rsidR="006C747F">
        <w:t>the first</w:t>
      </w:r>
      <w:r w:rsidRPr="00474C31">
        <w:t xml:space="preserve"> of the desired track</w:t>
      </w:r>
      <w:r w:rsidR="00F44DB5">
        <w:t>s</w:t>
      </w:r>
      <w:r w:rsidRPr="00474C31">
        <w:t xml:space="preserve"> from the Geo Display.</w:t>
      </w:r>
    </w:p>
    <w:p w14:paraId="775B438F" w14:textId="776B462C" w:rsidR="006C747F" w:rsidRPr="00BB4EBE" w:rsidRDefault="006C747F" w:rsidP="006D5A65">
      <w:pPr>
        <w:pStyle w:val="Heading2"/>
      </w:pPr>
      <w:r>
        <w:t>W</w:t>
      </w:r>
      <w:r w:rsidRPr="00003EA7">
        <w:t>hen associating from the Geo Display, the first selected track is prioritized by the resulting Master Track.</w:t>
      </w:r>
    </w:p>
    <w:p w14:paraId="49564B85" w14:textId="71878737" w:rsidR="007B3013" w:rsidRPr="00474C31" w:rsidRDefault="007B3013" w:rsidP="006D5A65">
      <w:pPr>
        <w:pStyle w:val="Heading1"/>
      </w:pPr>
      <w:r w:rsidRPr="00474C31">
        <w:lastRenderedPageBreak/>
        <w:t>Invoke the context menu and choose Select for Association.</w:t>
      </w:r>
    </w:p>
    <w:p w14:paraId="2C8C1394" w14:textId="34444510" w:rsidR="006C747F" w:rsidRPr="00BB4EBE" w:rsidRDefault="007B3013" w:rsidP="006D5A65">
      <w:pPr>
        <w:pStyle w:val="Heading1"/>
        <w:rPr>
          <w:rFonts w:eastAsia="Calibri"/>
        </w:rPr>
      </w:pPr>
      <w:r w:rsidRPr="00474C31">
        <w:t xml:space="preserve">Select the </w:t>
      </w:r>
      <w:r w:rsidR="006C747F">
        <w:t>second</w:t>
      </w:r>
      <w:r w:rsidRPr="00474C31">
        <w:t xml:space="preserve"> desired track from the Geo Display.</w:t>
      </w:r>
    </w:p>
    <w:p w14:paraId="112D6DD4" w14:textId="77777777" w:rsidR="007B3013" w:rsidRPr="00BB4EBE" w:rsidRDefault="007B3013" w:rsidP="006D5A65">
      <w:pPr>
        <w:pStyle w:val="Heading1"/>
        <w:rPr>
          <w:rFonts w:eastAsia="Calibri"/>
          <w:szCs w:val="24"/>
        </w:rPr>
      </w:pPr>
      <w:r w:rsidRPr="00474C31">
        <w:t>Invoke the context menu and choose Associate with Selected Track</w:t>
      </w:r>
      <w:r w:rsidRPr="007B3013">
        <w:t>.</w:t>
      </w:r>
      <w:r w:rsidRPr="00474C31">
        <w:t xml:space="preserve"> </w:t>
      </w:r>
    </w:p>
    <w:p w14:paraId="0BD26D62" w14:textId="77777777" w:rsidR="006C747F" w:rsidRDefault="006C747F"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rFonts w:eastAsia="Calibri"/>
          <w:b/>
          <w:bCs/>
        </w:rPr>
      </w:pPr>
      <w:bookmarkStart w:id="5995" w:name="_Hlk173150446"/>
      <w:r w:rsidRPr="00BB4EBE">
        <w:rPr>
          <w:rFonts w:eastAsia="Calibri"/>
          <w:b/>
          <w:bCs/>
        </w:rPr>
        <w:t>Note:</w:t>
      </w:r>
      <w:bookmarkEnd w:id="5995"/>
    </w:p>
    <w:p w14:paraId="199806CD" w14:textId="6A8BAF56" w:rsidR="006C747F" w:rsidRPr="006C747F" w:rsidRDefault="006C747F" w:rsidP="005F0D64">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pPr>
      <w:r w:rsidRPr="00003EA7">
        <w:rPr>
          <w:rFonts w:eastAsia="Calibri"/>
          <w:b/>
          <w:bCs/>
        </w:rPr>
        <w:t>If the context menu is disabled, this means the second selected track does not meet association criteria from steps 2.a-2.c.</w:t>
      </w:r>
    </w:p>
    <w:p w14:paraId="7AB1F543" w14:textId="31BC60E7" w:rsidR="006C747F" w:rsidRPr="006C747F" w:rsidRDefault="006C747F" w:rsidP="00BB4EBE">
      <w:r w:rsidRPr="00003EA7">
        <w:t>The resulting Master Track will contain Events from both component tracks, and the Master Track’s Events and Attributes are updated with the newest values from the components in order of priority.</w:t>
      </w:r>
    </w:p>
    <w:p w14:paraId="16DB2307" w14:textId="77777777" w:rsidR="007B3013" w:rsidRPr="00474C31" w:rsidRDefault="007B3013" w:rsidP="009570CA">
      <w:pPr>
        <w:pStyle w:val="Heading3"/>
      </w:pPr>
      <w:bookmarkStart w:id="5996" w:name="_Toc214283529"/>
      <w:r w:rsidRPr="00474C31">
        <w:t>Disassociate Tracks</w:t>
      </w:r>
      <w:bookmarkEnd w:id="5996"/>
    </w:p>
    <w:p w14:paraId="6FDB822E" w14:textId="31727362" w:rsidR="007B3013" w:rsidRPr="007B3013" w:rsidRDefault="007B3013" w:rsidP="009570CA">
      <w:r w:rsidRPr="007B3013">
        <w:t>Disassociating tracks removes the Master Track that was created when two tracks were associated.</w:t>
      </w:r>
      <w:r w:rsidR="005D0383">
        <w:t xml:space="preserve"> </w:t>
      </w:r>
    </w:p>
    <w:p w14:paraId="531E1938" w14:textId="44682418" w:rsidR="007B3013" w:rsidRPr="007B3013" w:rsidRDefault="00F44DB5" w:rsidP="009570CA">
      <w:r>
        <w:t>To d</w:t>
      </w:r>
      <w:r w:rsidR="007B3013" w:rsidRPr="007B3013">
        <w:t xml:space="preserve">isassociate tracks from the </w:t>
      </w:r>
      <w:r w:rsidR="007B3013" w:rsidRPr="007B3013">
        <w:rPr>
          <w:b/>
          <w:bCs/>
        </w:rPr>
        <w:t>Tracks</w:t>
      </w:r>
      <w:r w:rsidR="007B3013" w:rsidRPr="007B3013">
        <w:t xml:space="preserve"> Tool:</w:t>
      </w:r>
    </w:p>
    <w:p w14:paraId="44BA5295" w14:textId="77777777" w:rsidR="007B3013" w:rsidRPr="00474C31" w:rsidRDefault="007B3013" w:rsidP="006D5A65">
      <w:pPr>
        <w:pStyle w:val="Heading1"/>
      </w:pPr>
      <w:r w:rsidRPr="00474C31">
        <w:t>Navigate to the Tracks Tool.</w:t>
      </w:r>
    </w:p>
    <w:p w14:paraId="3AFF04C8" w14:textId="77777777" w:rsidR="007B3013" w:rsidRPr="00474C31" w:rsidRDefault="007B3013" w:rsidP="006D5A65">
      <w:pPr>
        <w:pStyle w:val="Heading1"/>
      </w:pPr>
      <w:r w:rsidRPr="00474C31">
        <w:t>Select the desired Master Track.</w:t>
      </w:r>
    </w:p>
    <w:p w14:paraId="646740A6" w14:textId="3A1A4A82" w:rsidR="007B3013" w:rsidRPr="00474C31" w:rsidRDefault="007B3013" w:rsidP="006D5A65">
      <w:pPr>
        <w:pStyle w:val="Heading1"/>
      </w:pPr>
      <w:r w:rsidRPr="00474C31">
        <w:t>Invoke the context menu and select Disassociate.</w:t>
      </w:r>
    </w:p>
    <w:p w14:paraId="6443661D" w14:textId="02B99507" w:rsidR="007B3013" w:rsidRPr="00474C31" w:rsidRDefault="007B3013" w:rsidP="006D5A65">
      <w:pPr>
        <w:pStyle w:val="Heading1"/>
      </w:pPr>
      <w:r w:rsidRPr="00474C31">
        <w:t xml:space="preserve">The </w:t>
      </w:r>
      <w:r w:rsidR="006C747F">
        <w:t>M</w:t>
      </w:r>
      <w:r w:rsidR="006C747F" w:rsidRPr="00474C31">
        <w:t xml:space="preserve">aster </w:t>
      </w:r>
      <w:r w:rsidR="006C747F">
        <w:t>T</w:t>
      </w:r>
      <w:r w:rsidR="006C747F" w:rsidRPr="00474C31">
        <w:t xml:space="preserve">rack </w:t>
      </w:r>
      <w:r w:rsidRPr="00474C31">
        <w:t>will be removed from the list view.</w:t>
      </w:r>
    </w:p>
    <w:p w14:paraId="08B16445" w14:textId="6A3D837C" w:rsidR="007B3013" w:rsidRPr="007B3013" w:rsidRDefault="00F44DB5" w:rsidP="00A0163E">
      <w:pPr>
        <w:pStyle w:val="Number0205"/>
        <w:ind w:left="0" w:firstLine="0"/>
        <w:rPr>
          <w:szCs w:val="24"/>
        </w:rPr>
      </w:pPr>
      <w:r>
        <w:t>To d</w:t>
      </w:r>
      <w:r w:rsidR="007B3013" w:rsidRPr="00474C31">
        <w:t>isassociate tracks from the Geo Display:</w:t>
      </w:r>
    </w:p>
    <w:p w14:paraId="1860569A" w14:textId="77777777" w:rsidR="007B3013" w:rsidRPr="00474C31" w:rsidRDefault="007B3013" w:rsidP="006D5A65">
      <w:pPr>
        <w:pStyle w:val="Heading1"/>
      </w:pPr>
      <w:r w:rsidRPr="00474C31">
        <w:t>Navigate to the Geo Display.</w:t>
      </w:r>
    </w:p>
    <w:p w14:paraId="42E719E0" w14:textId="77777777" w:rsidR="007B3013" w:rsidRPr="00474C31" w:rsidRDefault="007B3013" w:rsidP="006D5A65">
      <w:pPr>
        <w:pStyle w:val="Heading1"/>
      </w:pPr>
      <w:r w:rsidRPr="00474C31">
        <w:t>Select the desired Master track.</w:t>
      </w:r>
    </w:p>
    <w:p w14:paraId="36D88E9A" w14:textId="77777777" w:rsidR="007B3013" w:rsidRPr="00474C31" w:rsidRDefault="007B3013" w:rsidP="006D5A65">
      <w:pPr>
        <w:pStyle w:val="Heading1"/>
      </w:pPr>
      <w:r w:rsidRPr="00474C31">
        <w:t>Invoke the context menu and select Disassociate.</w:t>
      </w:r>
    </w:p>
    <w:p w14:paraId="7ACD75B7" w14:textId="4B0F90D1" w:rsidR="006C747F" w:rsidRDefault="007B3013" w:rsidP="006D5A65">
      <w:pPr>
        <w:pStyle w:val="Heading1"/>
        <w:rPr>
          <w:rFonts w:eastAsia="Calibri"/>
          <w:szCs w:val="24"/>
        </w:rPr>
      </w:pPr>
      <w:r w:rsidRPr="00474C31">
        <w:t xml:space="preserve">The </w:t>
      </w:r>
      <w:r w:rsidR="006C747F">
        <w:t>M</w:t>
      </w:r>
      <w:r w:rsidRPr="00474C31">
        <w:t xml:space="preserve">aster </w:t>
      </w:r>
      <w:r w:rsidR="006C747F">
        <w:t>T</w:t>
      </w:r>
      <w:r w:rsidRPr="00474C31">
        <w:t>rack will be removed from the Geo Display</w:t>
      </w:r>
      <w:r w:rsidR="006C747F">
        <w:t xml:space="preserve"> and Geo GOM</w:t>
      </w:r>
      <w:r w:rsidR="00474C31" w:rsidRPr="00474C31">
        <w:t>.</w:t>
      </w:r>
    </w:p>
    <w:p w14:paraId="028721C2" w14:textId="729B8FB4" w:rsidR="006C747F" w:rsidRPr="00BB4EBE" w:rsidRDefault="006C747F" w:rsidP="00BB4EBE">
      <w:pPr>
        <w:rPr>
          <w:szCs w:val="24"/>
        </w:rPr>
      </w:pPr>
      <w:r w:rsidRPr="006C747F">
        <w:rPr>
          <w:szCs w:val="24"/>
        </w:rPr>
        <w:t xml:space="preserve">A Master Track is automatically disassociated when one or all of its component tracks are deleted. If a Master Track reaches its maximum number of Events, ISAT automatically deletes the Master Track’s oldest Event to add new Events. If the oldest Event was the only Event of one of the components, then that component track is also deleted and the Master Track becomes disassociated. A Manual Track (see </w:t>
      </w:r>
      <w:hyperlink w:anchor="_Filter_Displayed_Tracks" w:history="1">
        <w:r w:rsidR="008233E0" w:rsidRPr="008233E0">
          <w:rPr>
            <w:rStyle w:val="Hyperlink"/>
            <w:szCs w:val="24"/>
          </w:rPr>
          <w:t>S</w:t>
        </w:r>
        <w:r w:rsidRPr="008233E0">
          <w:rPr>
            <w:rStyle w:val="Hyperlink"/>
            <w:szCs w:val="24"/>
          </w:rPr>
          <w:t xml:space="preserve">ection </w:t>
        </w:r>
        <w:r w:rsidR="004231CC">
          <w:rPr>
            <w:rStyle w:val="Hyperlink"/>
            <w:szCs w:val="24"/>
          </w:rPr>
          <w:t>5.32</w:t>
        </w:r>
        <w:r w:rsidRPr="008233E0">
          <w:rPr>
            <w:rStyle w:val="Hyperlink"/>
            <w:szCs w:val="24"/>
          </w:rPr>
          <w:t>.9</w:t>
        </w:r>
      </w:hyperlink>
      <w:r w:rsidRPr="006C747F">
        <w:rPr>
          <w:szCs w:val="24"/>
        </w:rPr>
        <w:t xml:space="preserve">) component frequently only has one Event but it avoids automatic deletion by automatically updating its most recent Event to match the DTG of the other component’s newest Event. </w:t>
      </w:r>
    </w:p>
    <w:p w14:paraId="4FCE66FF" w14:textId="6D7D189C" w:rsidR="000D63A6" w:rsidRPr="000665B0" w:rsidRDefault="000D63A6" w:rsidP="009570CA">
      <w:pPr>
        <w:pStyle w:val="Heading3"/>
      </w:pPr>
      <w:bookmarkStart w:id="5997" w:name="_Toc214283530"/>
      <w:bookmarkStart w:id="5998" w:name="_Hlk142314325"/>
      <w:r w:rsidRPr="000665B0">
        <w:t xml:space="preserve">Show </w:t>
      </w:r>
      <w:r w:rsidR="009A3F37">
        <w:t xml:space="preserve">Filtered </w:t>
      </w:r>
      <w:r w:rsidRPr="000665B0">
        <w:t>Tracks</w:t>
      </w:r>
      <w:bookmarkEnd w:id="5997"/>
    </w:p>
    <w:p w14:paraId="362A7BF0" w14:textId="372F6E26" w:rsidR="00837F8C" w:rsidRDefault="00837F8C" w:rsidP="009570CA">
      <w:r>
        <w:t xml:space="preserve">The </w:t>
      </w:r>
      <w:r w:rsidRPr="00837F8C">
        <w:rPr>
          <w:b/>
          <w:bCs/>
        </w:rPr>
        <w:t xml:space="preserve">Show </w:t>
      </w:r>
      <w:r w:rsidR="009A3F37">
        <w:rPr>
          <w:b/>
          <w:bCs/>
        </w:rPr>
        <w:t xml:space="preserve">Filtered </w:t>
      </w:r>
      <w:r w:rsidRPr="00837F8C">
        <w:rPr>
          <w:b/>
          <w:bCs/>
        </w:rPr>
        <w:t>Tracks</w:t>
      </w:r>
      <w:r>
        <w:t xml:space="preserve"> toolbar icon </w:t>
      </w:r>
      <w:r w:rsidRPr="000665B0">
        <w:rPr>
          <w:noProof/>
          <w:position w:val="-6"/>
        </w:rPr>
        <w:drawing>
          <wp:inline distT="0" distB="0" distL="0" distR="0" wp14:anchorId="5A707CA8" wp14:editId="4CA23DAA">
            <wp:extent cx="164306" cy="171450"/>
            <wp:effectExtent l="0" t="0" r="762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66590" cy="173833"/>
                    </a:xfrm>
                    <a:prstGeom prst="rect">
                      <a:avLst/>
                    </a:prstGeom>
                    <a:noFill/>
                  </pic:spPr>
                </pic:pic>
              </a:graphicData>
            </a:graphic>
          </wp:inline>
        </w:drawing>
      </w:r>
      <w:r>
        <w:t xml:space="preserve"> is used to toggle on or off the applicable display filters. Display filters are used to customize the tracks viewed on the Geo Display</w:t>
      </w:r>
      <w:r w:rsidR="009A3F37">
        <w:t xml:space="preserve"> and Tracks tool</w:t>
      </w:r>
      <w:r>
        <w:t>.</w:t>
      </w:r>
    </w:p>
    <w:p w14:paraId="3FEA15D1" w14:textId="05618B79" w:rsidR="000D63A6" w:rsidRDefault="00521141" w:rsidP="009570CA">
      <w:pPr>
        <w:pStyle w:val="Heading3"/>
      </w:pPr>
      <w:bookmarkStart w:id="5999" w:name="_Track_Source_Connection"/>
      <w:bookmarkStart w:id="6000" w:name="_Track_Source_Connection_1"/>
      <w:bookmarkStart w:id="6001" w:name="_Connection_Status_Bar"/>
      <w:bookmarkStart w:id="6002" w:name="_Track_Connections_Status"/>
      <w:bookmarkStart w:id="6003" w:name="_Toc214283531"/>
      <w:bookmarkEnd w:id="5998"/>
      <w:bookmarkEnd w:id="5999"/>
      <w:bookmarkEnd w:id="6000"/>
      <w:bookmarkEnd w:id="6001"/>
      <w:bookmarkEnd w:id="6002"/>
      <w:r>
        <w:lastRenderedPageBreak/>
        <w:t xml:space="preserve">Track </w:t>
      </w:r>
      <w:r w:rsidR="000D63A6" w:rsidRPr="000665B0">
        <w:t>Connection</w:t>
      </w:r>
      <w:r>
        <w:t>s</w:t>
      </w:r>
      <w:r w:rsidR="000D63A6" w:rsidRPr="000665B0">
        <w:t xml:space="preserve"> Status</w:t>
      </w:r>
      <w:r w:rsidR="000D63A6">
        <w:t xml:space="preserve"> Bar</w:t>
      </w:r>
      <w:bookmarkEnd w:id="6003"/>
    </w:p>
    <w:p w14:paraId="7DBC043B" w14:textId="1DCC3BBE" w:rsidR="006F52B2" w:rsidRDefault="006F52B2" w:rsidP="009570CA">
      <w:pPr>
        <w:rPr>
          <w:rFonts w:cstheme="minorHAnsi"/>
          <w:color w:val="222222"/>
        </w:rPr>
      </w:pPr>
      <w:r>
        <w:rPr>
          <w:rFonts w:cstheme="minorHAnsi"/>
          <w:color w:val="222222"/>
        </w:rPr>
        <w:t xml:space="preserve">MDS Tools displays the track source connection status(es) at the bottom right side of the window, located on the Status Bar (see </w:t>
      </w:r>
      <w:hyperlink w:anchor="_Status_Bar" w:history="1">
        <w:r w:rsidRPr="009A6B53">
          <w:rPr>
            <w:rStyle w:val="Hyperlink"/>
            <w:rFonts w:cstheme="minorHAnsi"/>
          </w:rPr>
          <w:t>Section 5.2.3.4</w:t>
        </w:r>
      </w:hyperlink>
      <w:r>
        <w:rPr>
          <w:rFonts w:cstheme="minorHAnsi"/>
          <w:color w:val="222222"/>
        </w:rPr>
        <w:t xml:space="preserve">). The connection status display is configured on the </w:t>
      </w:r>
      <w:r w:rsidRPr="009C1E39">
        <w:rPr>
          <w:rFonts w:cstheme="minorHAnsi"/>
          <w:b/>
          <w:bCs/>
          <w:color w:val="222222"/>
        </w:rPr>
        <w:t>View</w:t>
      </w:r>
      <w:r>
        <w:rPr>
          <w:rFonts w:cstheme="minorHAnsi"/>
          <w:color w:val="222222"/>
        </w:rPr>
        <w:t xml:space="preserve"> menu</w:t>
      </w:r>
      <w:r w:rsidRPr="00357651">
        <w:rPr>
          <w:rFonts w:cstheme="minorHAnsi"/>
          <w:color w:val="222222"/>
        </w:rPr>
        <w:sym w:font="Wingdings" w:char="F0E0"/>
      </w:r>
      <w:r w:rsidRPr="009C1E39">
        <w:rPr>
          <w:rFonts w:cstheme="minorHAnsi"/>
          <w:b/>
          <w:bCs/>
          <w:color w:val="222222"/>
        </w:rPr>
        <w:t>Track Connections</w:t>
      </w:r>
      <w:r>
        <w:rPr>
          <w:rFonts w:cstheme="minorHAnsi"/>
          <w:color w:val="222222"/>
        </w:rPr>
        <w:t xml:space="preserve"> (see </w:t>
      </w:r>
      <w:hyperlink w:anchor="_View_Menu" w:history="1">
        <w:r w:rsidRPr="009A6B53">
          <w:rPr>
            <w:rStyle w:val="Hyperlink"/>
            <w:rFonts w:cstheme="minorHAnsi"/>
          </w:rPr>
          <w:t>Section 5.2.3</w:t>
        </w:r>
      </w:hyperlink>
      <w:r>
        <w:rPr>
          <w:rFonts w:cstheme="minorHAnsi"/>
          <w:color w:val="222222"/>
        </w:rPr>
        <w:t>).</w:t>
      </w:r>
      <w:r w:rsidR="004A331E">
        <w:rPr>
          <w:rFonts w:cstheme="minorHAnsi"/>
          <w:color w:val="222222"/>
        </w:rPr>
        <w:t xml:space="preserve"> </w:t>
      </w:r>
      <w:r w:rsidR="004A331E">
        <w:rPr>
          <w:rStyle w:val="ui-provider"/>
        </w:rPr>
        <w:t xml:space="preserve">The track source connection status icons are also visible at the bottom of the Strike Management Display if a strike is active (see </w:t>
      </w:r>
      <w:hyperlink w:anchor="_Strike_Management_Display" w:history="1">
        <w:r w:rsidR="004A331E" w:rsidRPr="004A331E">
          <w:rPr>
            <w:rStyle w:val="Hyperlink"/>
          </w:rPr>
          <w:t xml:space="preserve">Section </w:t>
        </w:r>
        <w:r w:rsidR="004231CC">
          <w:rPr>
            <w:rStyle w:val="Hyperlink"/>
          </w:rPr>
          <w:t>5.35</w:t>
        </w:r>
        <w:r w:rsidR="004A331E" w:rsidRPr="004A331E">
          <w:rPr>
            <w:rStyle w:val="Hyperlink"/>
          </w:rPr>
          <w:t>.3.1</w:t>
        </w:r>
      </w:hyperlink>
      <w:r w:rsidR="004A331E">
        <w:rPr>
          <w:rStyle w:val="ui-provider"/>
        </w:rPr>
        <w:t>).</w:t>
      </w:r>
    </w:p>
    <w:p w14:paraId="30FB3CBA" w14:textId="77777777" w:rsidR="006F52B2" w:rsidRPr="00C36B36" w:rsidRDefault="006F52B2" w:rsidP="009570CA">
      <w:pPr>
        <w:rPr>
          <w:rFonts w:cstheme="minorHAnsi"/>
        </w:rPr>
      </w:pPr>
      <w:r w:rsidRPr="00C36B36">
        <w:rPr>
          <w:rFonts w:cstheme="minorHAnsi"/>
        </w:rPr>
        <w:t xml:space="preserve">The color of the circular dot identifies the connection state. </w:t>
      </w:r>
    </w:p>
    <w:p w14:paraId="50267485" w14:textId="77777777" w:rsidR="004F2EFD" w:rsidRPr="00C36B36" w:rsidRDefault="004F2EFD" w:rsidP="006D5A65">
      <w:pPr>
        <w:pStyle w:val="Heading2"/>
      </w:pPr>
      <w:r w:rsidRPr="00C36B36">
        <w:t xml:space="preserve">White indicates </w:t>
      </w:r>
      <w:r w:rsidRPr="00C36B36">
        <w:rPr>
          <w:bCs/>
        </w:rPr>
        <w:t>initializing</w:t>
      </w:r>
    </w:p>
    <w:p w14:paraId="6E50F080" w14:textId="77777777" w:rsidR="004F2EFD" w:rsidRPr="00C36B36" w:rsidRDefault="004F2EFD" w:rsidP="006D5A65">
      <w:pPr>
        <w:pStyle w:val="Heading3"/>
      </w:pPr>
      <w:r w:rsidRPr="00C36B36">
        <w:t>When a Track Source Connection is first created, it will remain in the Initializing state until a successful connection is established, or an error occurs.</w:t>
      </w:r>
    </w:p>
    <w:p w14:paraId="79459916" w14:textId="2BB12CAC" w:rsidR="004F2EFD" w:rsidRDefault="004F2EFD" w:rsidP="009570CA">
      <w:pPr>
        <w:jc w:val="center"/>
        <w:rPr>
          <w:rFonts w:cstheme="minorHAnsi"/>
          <w:color w:val="222222"/>
        </w:rPr>
      </w:pPr>
      <w:r w:rsidRPr="00E14693">
        <w:rPr>
          <w:rFonts w:cstheme="minorHAnsi"/>
          <w:noProof/>
          <w:color w:val="FF0000"/>
        </w:rPr>
        <w:drawing>
          <wp:inline distT="0" distB="0" distL="0" distR="0" wp14:anchorId="470B83BF" wp14:editId="1A809578">
            <wp:extent cx="925231" cy="189791"/>
            <wp:effectExtent l="0" t="0" r="0" b="1270"/>
            <wp:docPr id="394685937" name="Picture 39468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85937" name="Picture 394685937"/>
                    <pic:cNvPicPr/>
                  </pic:nvPicPr>
                  <pic:blipFill>
                    <a:blip>
                      <a:extLst>
                        <a:ext uri="{28A0092B-C50C-407E-A947-70E740481C1C}">
                          <a14:useLocalDpi xmlns:a14="http://schemas.microsoft.com/office/drawing/2010/main" val="0"/>
                        </a:ext>
                      </a:extLst>
                    </a:blip>
                    <a:stretch>
                      <a:fillRect/>
                    </a:stretch>
                  </pic:blipFill>
                  <pic:spPr>
                    <a:xfrm>
                      <a:off x="0" y="0"/>
                      <a:ext cx="925231" cy="189791"/>
                    </a:xfrm>
                    <a:prstGeom prst="rect">
                      <a:avLst/>
                    </a:prstGeom>
                  </pic:spPr>
                </pic:pic>
              </a:graphicData>
            </a:graphic>
          </wp:inline>
        </w:drawing>
      </w:r>
    </w:p>
    <w:p w14:paraId="74590112" w14:textId="319022DC" w:rsidR="008813C7" w:rsidRDefault="008813C7" w:rsidP="006D5A65">
      <w:pPr>
        <w:pStyle w:val="Heading2"/>
      </w:pPr>
      <w:r>
        <w:t xml:space="preserve">Green indicates </w:t>
      </w:r>
      <w:r w:rsidRPr="008813C7">
        <w:rPr>
          <w:bCs/>
        </w:rPr>
        <w:t>connected</w:t>
      </w:r>
      <w:r>
        <w:t xml:space="preserve"> and </w:t>
      </w:r>
      <w:r w:rsidRPr="008813C7">
        <w:rPr>
          <w:bCs/>
        </w:rPr>
        <w:t>not stale</w:t>
      </w:r>
    </w:p>
    <w:p w14:paraId="158B0448" w14:textId="5DB50A81" w:rsidR="008813C7" w:rsidRPr="00002C34" w:rsidRDefault="008813C7" w:rsidP="006D5A65">
      <w:pPr>
        <w:pStyle w:val="Heading3"/>
      </w:pPr>
      <w:r>
        <w:t>Example: Track source is connected</w:t>
      </w:r>
      <w:r w:rsidR="009F2A39">
        <w:t>,</w:t>
      </w:r>
      <w:r>
        <w:t xml:space="preserve"> and ISAT is relaying the connectivity information to MDS/TED -&gt; Connected/Green.</w:t>
      </w:r>
    </w:p>
    <w:p w14:paraId="0B451188" w14:textId="77777777" w:rsidR="000C6563" w:rsidRDefault="000C6563" w:rsidP="009570CA">
      <w:pPr>
        <w:jc w:val="center"/>
        <w:rPr>
          <w:rFonts w:cstheme="minorHAnsi"/>
          <w:color w:val="222222"/>
        </w:rPr>
      </w:pPr>
      <w:r>
        <w:rPr>
          <w:rFonts w:cstheme="minorHAnsi"/>
          <w:noProof/>
          <w:color w:val="222222"/>
        </w:rPr>
        <w:drawing>
          <wp:inline distT="0" distB="0" distL="0" distR="0" wp14:anchorId="73BE4C25" wp14:editId="25944534">
            <wp:extent cx="1143000" cy="164592"/>
            <wp:effectExtent l="0" t="0" r="0" b="0"/>
            <wp:docPr id="2295" name="Picture 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a:extLst>
                        <a:ext uri="{28A0092B-C50C-407E-A947-70E740481C1C}">
                          <a14:useLocalDpi xmlns:a14="http://schemas.microsoft.com/office/drawing/2010/main"/>
                        </a:ext>
                      </a:extLst>
                    </a:blip>
                    <a:stretch>
                      <a:fillRect/>
                    </a:stretch>
                  </pic:blipFill>
                  <pic:spPr>
                    <a:xfrm>
                      <a:off x="0" y="0"/>
                      <a:ext cx="1143000" cy="164592"/>
                    </a:xfrm>
                    <a:prstGeom prst="rect">
                      <a:avLst/>
                    </a:prstGeom>
                  </pic:spPr>
                </pic:pic>
              </a:graphicData>
            </a:graphic>
          </wp:inline>
        </w:drawing>
      </w:r>
    </w:p>
    <w:p w14:paraId="7755A585" w14:textId="176B3FD0" w:rsidR="008813C7" w:rsidRDefault="008813C7" w:rsidP="006D5A65">
      <w:pPr>
        <w:pStyle w:val="Heading2"/>
      </w:pPr>
      <w:r>
        <w:t xml:space="preserve">Yellow indicates </w:t>
      </w:r>
      <w:r w:rsidRPr="008813C7">
        <w:rPr>
          <w:bCs/>
        </w:rPr>
        <w:t>connected</w:t>
      </w:r>
      <w:r>
        <w:t xml:space="preserve"> and </w:t>
      </w:r>
      <w:r w:rsidRPr="008813C7">
        <w:rPr>
          <w:bCs/>
        </w:rPr>
        <w:t>stale</w:t>
      </w:r>
    </w:p>
    <w:p w14:paraId="6F035E16" w14:textId="4ACE23F9" w:rsidR="000C6563" w:rsidRDefault="000C6563" w:rsidP="009570CA">
      <w:pPr>
        <w:jc w:val="center"/>
        <w:rPr>
          <w:rFonts w:cstheme="minorHAnsi"/>
          <w:color w:val="222222"/>
        </w:rPr>
      </w:pPr>
      <w:r>
        <w:rPr>
          <w:rFonts w:cstheme="minorHAnsi"/>
          <w:noProof/>
          <w:color w:val="222222"/>
        </w:rPr>
        <w:drawing>
          <wp:inline distT="0" distB="0" distL="0" distR="0" wp14:anchorId="6146EB56" wp14:editId="1DE0E47B">
            <wp:extent cx="2301240" cy="552298"/>
            <wp:effectExtent l="0" t="0" r="0" b="0"/>
            <wp:docPr id="2298" name="Picture 229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336475" cy="560754"/>
                    </a:xfrm>
                    <a:prstGeom prst="rect">
                      <a:avLst/>
                    </a:prstGeom>
                  </pic:spPr>
                </pic:pic>
              </a:graphicData>
            </a:graphic>
          </wp:inline>
        </w:drawing>
      </w:r>
    </w:p>
    <w:p w14:paraId="616983D6" w14:textId="4849C661" w:rsidR="008813C7" w:rsidRDefault="008813C7" w:rsidP="006D5A65">
      <w:pPr>
        <w:pStyle w:val="Heading3"/>
      </w:pPr>
      <w:bookmarkStart w:id="6004" w:name="_Hlk126945677"/>
      <w:r>
        <w:t xml:space="preserve">Stale </w:t>
      </w:r>
      <w:r w:rsidR="000C6563">
        <w:t xml:space="preserve">is </w:t>
      </w:r>
      <w:r>
        <w:t xml:space="preserve">defined as not receiving a track update for the last X minutes, where X is configurable by the operator in </w:t>
      </w:r>
      <w:r w:rsidR="000C6563">
        <w:t xml:space="preserve">the </w:t>
      </w:r>
      <w:r w:rsidR="000C6563" w:rsidRPr="00412AF7">
        <w:rPr>
          <w:i/>
          <w:iCs/>
        </w:rPr>
        <w:t>Track Connection</w:t>
      </w:r>
      <w:r w:rsidR="000C6563">
        <w:t xml:space="preserve"> window </w:t>
      </w:r>
      <w:r>
        <w:t>(default is 5 minutes)</w:t>
      </w:r>
      <w:r w:rsidR="000C6563">
        <w:t xml:space="preserve"> (see </w:t>
      </w:r>
      <w:hyperlink w:anchor="_Track_Connection" w:history="1">
        <w:r w:rsidR="000C6563" w:rsidRPr="00E82C69">
          <w:rPr>
            <w:rStyle w:val="Hyperlink"/>
            <w:rFonts w:cstheme="minorHAnsi"/>
          </w:rPr>
          <w:t xml:space="preserve">Section </w:t>
        </w:r>
        <w:r w:rsidR="004231CC">
          <w:rPr>
            <w:rStyle w:val="Hyperlink"/>
            <w:rFonts w:cstheme="minorHAnsi"/>
          </w:rPr>
          <w:t>5.32</w:t>
        </w:r>
        <w:r w:rsidR="000C6563" w:rsidRPr="00E82C69">
          <w:rPr>
            <w:rStyle w:val="Hyperlink"/>
            <w:rFonts w:cstheme="minorHAnsi"/>
          </w:rPr>
          <w:t>.</w:t>
        </w:r>
        <w:r w:rsidR="008A112F">
          <w:rPr>
            <w:rStyle w:val="Hyperlink"/>
            <w:rFonts w:cstheme="minorHAnsi"/>
          </w:rPr>
          <w:t>19</w:t>
        </w:r>
        <w:r w:rsidR="000C6563" w:rsidRPr="00E82C69">
          <w:rPr>
            <w:rStyle w:val="Hyperlink"/>
            <w:rFonts w:cstheme="minorHAnsi"/>
          </w:rPr>
          <w:t>.3</w:t>
        </w:r>
      </w:hyperlink>
      <w:r w:rsidR="000C6563">
        <w:t>)</w:t>
      </w:r>
      <w:r>
        <w:t>.</w:t>
      </w:r>
    </w:p>
    <w:p w14:paraId="2836455D" w14:textId="2BB2FAA4" w:rsidR="008E356B" w:rsidRDefault="008E356B" w:rsidP="006D5A65">
      <w:pPr>
        <w:pStyle w:val="Heading3"/>
      </w:pPr>
      <w:r>
        <w:t>Hovering the mouse over any track source in the status bar will show the tool-tip message “Last message received at</w:t>
      </w:r>
      <w:r w:rsidR="00E82C69">
        <w:t>:”</w:t>
      </w:r>
    </w:p>
    <w:p w14:paraId="1F53816B" w14:textId="0A030421" w:rsidR="00317CEE" w:rsidRPr="00317CEE" w:rsidRDefault="00317CEE" w:rsidP="006D5A65">
      <w:pPr>
        <w:pStyle w:val="Heading2"/>
      </w:pPr>
      <w:r>
        <w:t xml:space="preserve">Red indicates </w:t>
      </w:r>
      <w:r w:rsidRPr="007B6DDB">
        <w:t>disconnected</w:t>
      </w:r>
      <w:r>
        <w:t>.</w:t>
      </w:r>
    </w:p>
    <w:bookmarkEnd w:id="6004"/>
    <w:p w14:paraId="5D0E310F" w14:textId="62C1B8B6" w:rsidR="007B3BA9" w:rsidRDefault="007B3BA9" w:rsidP="00FD7521">
      <w:pPr>
        <w:spacing w:after="240"/>
        <w:jc w:val="center"/>
        <w:rPr>
          <w:rFonts w:cstheme="minorHAnsi"/>
          <w:color w:val="222222"/>
        </w:rPr>
      </w:pPr>
      <w:r w:rsidRPr="00345997">
        <w:rPr>
          <w:rFonts w:cstheme="minorHAnsi"/>
          <w:noProof/>
          <w:color w:val="222222"/>
        </w:rPr>
        <w:drawing>
          <wp:inline distT="0" distB="0" distL="0" distR="0" wp14:anchorId="4690C141" wp14:editId="4CC93748">
            <wp:extent cx="2743200" cy="173736"/>
            <wp:effectExtent l="0" t="0" r="0" b="0"/>
            <wp:docPr id="181796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0639" name="Picture 1817960639"/>
                    <pic:cNvPicPr/>
                  </pic:nvPicPr>
                  <pic:blipFill>
                    <a:blip>
                      <a:extLst>
                        <a:ext uri="{28A0092B-C50C-407E-A947-70E740481C1C}">
                          <a14:useLocalDpi xmlns:a14="http://schemas.microsoft.com/office/drawing/2010/main" val="0"/>
                        </a:ext>
                      </a:extLst>
                    </a:blip>
                    <a:stretch>
                      <a:fillRect/>
                    </a:stretch>
                  </pic:blipFill>
                  <pic:spPr>
                    <a:xfrm>
                      <a:off x="0" y="0"/>
                      <a:ext cx="2743200" cy="173736"/>
                    </a:xfrm>
                    <a:prstGeom prst="rect">
                      <a:avLst/>
                    </a:prstGeom>
                  </pic:spPr>
                </pic:pic>
              </a:graphicData>
            </a:graphic>
          </wp:inline>
        </w:drawing>
      </w:r>
    </w:p>
    <w:p w14:paraId="047D0756" w14:textId="77777777" w:rsidR="007B3BA9" w:rsidRDefault="007B3BA9" w:rsidP="006D5A65">
      <w:pPr>
        <w:pStyle w:val="Heading2"/>
      </w:pPr>
      <w:r>
        <w:t>A disconnect is defined based on one of two scenarios:</w:t>
      </w:r>
    </w:p>
    <w:p w14:paraId="75FBB476" w14:textId="77777777" w:rsidR="007B3BA9" w:rsidRDefault="007B3BA9" w:rsidP="006D5A65">
      <w:pPr>
        <w:pStyle w:val="Heading3"/>
      </w:pPr>
      <w:r>
        <w:lastRenderedPageBreak/>
        <w:t>In an initialization failure scenario, the user fails to connect to the track source, either from imputing improper connection info or the track source not being online.</w:t>
      </w:r>
    </w:p>
    <w:p w14:paraId="544718D7" w14:textId="20A1ACC7" w:rsidR="007B3BA9" w:rsidRPr="00364035" w:rsidRDefault="007B3BA9" w:rsidP="006D5A65">
      <w:pPr>
        <w:pStyle w:val="Heading3"/>
      </w:pPr>
      <w:r>
        <w:t>In a disconnect scenario, the user has an established connection (</w:t>
      </w:r>
      <w:r w:rsidRPr="00B5523B">
        <w:rPr>
          <w:bCs/>
        </w:rPr>
        <w:t>Connected</w:t>
      </w:r>
      <w:r>
        <w:t xml:space="preserve"> or </w:t>
      </w:r>
      <w:r w:rsidRPr="00B5523B">
        <w:rPr>
          <w:bCs/>
        </w:rPr>
        <w:t>Stale</w:t>
      </w:r>
      <w:r>
        <w:t xml:space="preserve"> status) that suddenly breaks. That </w:t>
      </w:r>
      <w:r w:rsidRPr="00C36B36">
        <w:t xml:space="preserve">can </w:t>
      </w:r>
      <w:r w:rsidR="004F2EFD" w:rsidRPr="00C36B36">
        <w:t>potentially occur if the track source goes offline, or ISAT Track Services fails.</w:t>
      </w:r>
    </w:p>
    <w:p w14:paraId="6C38B45F" w14:textId="77777777" w:rsidR="007B3BA9" w:rsidRDefault="007B3BA9" w:rsidP="006D5A65">
      <w:pPr>
        <w:pStyle w:val="Heading2"/>
      </w:pPr>
      <w:r>
        <w:t>For the disconnect scenario, the user will receive the following popup:</w:t>
      </w:r>
    </w:p>
    <w:p w14:paraId="566C86DD" w14:textId="77777777" w:rsidR="007B3BA9" w:rsidRDefault="007B3BA9" w:rsidP="00FD7521">
      <w:pPr>
        <w:pStyle w:val="ListParagraph"/>
        <w:spacing w:after="240" w:line="240" w:lineRule="atLeast"/>
        <w:ind w:left="0"/>
        <w:jc w:val="center"/>
        <w:rPr>
          <w:rFonts w:cstheme="minorHAnsi"/>
          <w:color w:val="222222"/>
        </w:rPr>
      </w:pPr>
      <w:r w:rsidRPr="00345997">
        <w:rPr>
          <w:rFonts w:cstheme="minorHAnsi"/>
          <w:noProof/>
          <w:color w:val="222222"/>
        </w:rPr>
        <w:drawing>
          <wp:inline distT="0" distB="0" distL="0" distR="0" wp14:anchorId="59651500" wp14:editId="0E897A4D">
            <wp:extent cx="2286000" cy="950976"/>
            <wp:effectExtent l="19050" t="19050" r="0" b="1905"/>
            <wp:docPr id="1682803995"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03995" name="Picture 2" descr="Graphical user interface, application&#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2286000" cy="950976"/>
                    </a:xfrm>
                    <a:prstGeom prst="rect">
                      <a:avLst/>
                    </a:prstGeom>
                    <a:ln>
                      <a:solidFill>
                        <a:schemeClr val="tx1"/>
                      </a:solidFill>
                    </a:ln>
                  </pic:spPr>
                </pic:pic>
              </a:graphicData>
            </a:graphic>
          </wp:inline>
        </w:drawing>
      </w:r>
    </w:p>
    <w:p w14:paraId="1C7EAAEC" w14:textId="77777777" w:rsidR="007B3BA9" w:rsidRDefault="007B3BA9" w:rsidP="006D5A65">
      <w:pPr>
        <w:pStyle w:val="Heading2"/>
      </w:pPr>
      <w:r>
        <w:t>If the user clicks “Yes”, the specified track source will attempt to reconnect with the same info. If the user clicks “No”, the specified track source will become disabled and will disappear from the status bar.</w:t>
      </w:r>
    </w:p>
    <w:p w14:paraId="426FE305" w14:textId="77777777" w:rsidR="007B3BA9" w:rsidRDefault="007B3BA9" w:rsidP="009570CA">
      <w:pPr>
        <w:ind w:left="360"/>
        <w:rPr>
          <w:rFonts w:cstheme="minorHAnsi"/>
          <w:color w:val="222222"/>
        </w:rPr>
      </w:pPr>
      <w:r>
        <w:rPr>
          <w:rFonts w:cstheme="minorHAnsi"/>
          <w:color w:val="222222"/>
        </w:rPr>
        <w:t>Regardless of the disconnect scenarios, an audio cue will play and an error log entry will be posted in the MDS Error Log tool.</w:t>
      </w:r>
    </w:p>
    <w:p w14:paraId="18CAAE4B" w14:textId="4ADB2989" w:rsidR="008813C7" w:rsidRDefault="008813C7" w:rsidP="009570CA">
      <w:pPr>
        <w:ind w:left="360"/>
        <w:rPr>
          <w:rFonts w:cstheme="minorHAnsi"/>
          <w:color w:val="222222"/>
        </w:rPr>
      </w:pPr>
      <w:r>
        <w:rPr>
          <w:rFonts w:cstheme="minorHAnsi"/>
          <w:color w:val="222222"/>
        </w:rPr>
        <w:t xml:space="preserve">The status bar also indicates how recently track data has been received from the track source by showing a </w:t>
      </w:r>
      <w:r w:rsidR="00867998">
        <w:rPr>
          <w:rFonts w:cstheme="minorHAnsi"/>
          <w:color w:val="222222"/>
        </w:rPr>
        <w:t xml:space="preserve">tooltip </w:t>
      </w:r>
      <w:r>
        <w:rPr>
          <w:rFonts w:cstheme="minorHAnsi"/>
          <w:color w:val="222222"/>
        </w:rPr>
        <w:t>timestamp of the last message received from the track source.</w:t>
      </w:r>
    </w:p>
    <w:p w14:paraId="6420BC9D" w14:textId="77777777" w:rsidR="006B655E" w:rsidRDefault="006B655E" w:rsidP="009570CA">
      <w:pPr>
        <w:ind w:left="360"/>
        <w:rPr>
          <w:rFonts w:cstheme="minorHAnsi"/>
          <w:color w:val="222222"/>
        </w:rPr>
      </w:pPr>
      <w:r>
        <w:rPr>
          <w:rFonts w:cstheme="minorHAnsi"/>
          <w:color w:val="222222"/>
        </w:rPr>
        <w:t>Users may also find that a track source that was previously connected to may unexpectedly be re-enabled when ISAT Track Services recovers from a crash. When this occurs, the chain of events is:</w:t>
      </w:r>
    </w:p>
    <w:p w14:paraId="56F0C9CC" w14:textId="77777777" w:rsidR="006B655E" w:rsidRPr="006B655E" w:rsidRDefault="006B655E" w:rsidP="006D5A65">
      <w:pPr>
        <w:pStyle w:val="Heading1"/>
      </w:pPr>
      <w:r w:rsidRPr="006B655E">
        <w:t>MDS User is connected to a track source when ISAT Track Services becomes unresponsive.</w:t>
      </w:r>
    </w:p>
    <w:p w14:paraId="6E7A6D20" w14:textId="77777777" w:rsidR="006B655E" w:rsidRPr="006B655E" w:rsidRDefault="006B655E" w:rsidP="006D5A65">
      <w:pPr>
        <w:pStyle w:val="Heading1"/>
      </w:pPr>
      <w:r w:rsidRPr="006B655E">
        <w:t xml:space="preserve">MDS will alert the user with a pop-up and error entry that they have been disconnected for this reason. </w:t>
      </w:r>
    </w:p>
    <w:p w14:paraId="69B9528B" w14:textId="77777777" w:rsidR="006B655E" w:rsidRPr="006B655E" w:rsidRDefault="006B655E" w:rsidP="006D5A65">
      <w:pPr>
        <w:pStyle w:val="Heading1"/>
      </w:pPr>
      <w:r w:rsidRPr="006B655E">
        <w:t>MDS User decides to attempt to reconnect and sees that the initialization fails, or they decide to not reconnect. The result is that the MDS User decides to disable the connection, turning it off.</w:t>
      </w:r>
    </w:p>
    <w:p w14:paraId="05A08A52" w14:textId="77777777" w:rsidR="006B655E" w:rsidRPr="006B655E" w:rsidRDefault="006B655E" w:rsidP="006D5A65">
      <w:pPr>
        <w:pStyle w:val="Heading1"/>
      </w:pPr>
      <w:r w:rsidRPr="006B655E">
        <w:t>ISAT Track Services is still unresponsive and cannot receive the message to disable the connection.</w:t>
      </w:r>
    </w:p>
    <w:p w14:paraId="7AE72DDF" w14:textId="77777777" w:rsidR="006B655E" w:rsidRPr="006B655E" w:rsidRDefault="006B655E" w:rsidP="006D5A65">
      <w:pPr>
        <w:pStyle w:val="Heading1"/>
      </w:pPr>
      <w:r w:rsidRPr="006B655E">
        <w:t>ISAT Track Services recovers, and as part of the recovery, re-establishes any connections that were active when it was last running successfully. It will begin forwarding status messages and track information to TED/MDS.</w:t>
      </w:r>
    </w:p>
    <w:p w14:paraId="6B788FF6" w14:textId="4CF14AF0" w:rsidR="006B655E" w:rsidRPr="006B655E" w:rsidRDefault="006B655E" w:rsidP="006D5A65">
      <w:pPr>
        <w:pStyle w:val="Heading1"/>
      </w:pPr>
      <w:r w:rsidRPr="006B655E">
        <w:t xml:space="preserve">MDS User will see a Green status circle, hear an audible ping, and find a new error log entry alerting them that they </w:t>
      </w:r>
      <w:r w:rsidRPr="006B655E">
        <w:lastRenderedPageBreak/>
        <w:t>are again connected to the track source. The user may disconnect again if desired.</w:t>
      </w:r>
    </w:p>
    <w:p w14:paraId="45E2EC9A" w14:textId="77777777" w:rsidR="00196709" w:rsidRPr="000665B0" w:rsidRDefault="00196709" w:rsidP="009570CA">
      <w:pPr>
        <w:pStyle w:val="Heading3"/>
      </w:pPr>
      <w:bookmarkStart w:id="6005" w:name="_Toc214283532"/>
      <w:r w:rsidRPr="000665B0">
        <w:t>Find</w:t>
      </w:r>
      <w:bookmarkEnd w:id="6005"/>
    </w:p>
    <w:p w14:paraId="459711F0" w14:textId="75FD92E3" w:rsidR="00DA6945" w:rsidRPr="000665B0" w:rsidRDefault="00196709" w:rsidP="009570CA">
      <w:r w:rsidRPr="000665B0">
        <w:t xml:space="preserve">See </w:t>
      </w:r>
      <w:hyperlink w:anchor="_5.2.5.1__Find_1" w:history="1">
        <w:r w:rsidRPr="000665B0">
          <w:rPr>
            <w:color w:val="0000FF"/>
            <w:u w:val="single"/>
          </w:rPr>
          <w:t>Section 5.2.5.1</w:t>
        </w:r>
      </w:hyperlink>
      <w:r w:rsidRPr="000665B0">
        <w:t>.</w:t>
      </w:r>
    </w:p>
    <w:p w14:paraId="0CE80D3D" w14:textId="77777777" w:rsidR="000D63A6" w:rsidRPr="000665B0" w:rsidRDefault="000D63A6" w:rsidP="009570CA">
      <w:pPr>
        <w:pStyle w:val="Heading3"/>
      </w:pPr>
      <w:bookmarkStart w:id="6006" w:name="_Toc214283533"/>
      <w:r w:rsidRPr="000665B0">
        <w:t>Print All</w:t>
      </w:r>
      <w:bookmarkEnd w:id="6006"/>
    </w:p>
    <w:p w14:paraId="3D509C53" w14:textId="3933B038" w:rsidR="000D63A6" w:rsidRPr="000665B0" w:rsidRDefault="000D63A6" w:rsidP="009570CA">
      <w:r w:rsidRPr="000665B0">
        <w:t xml:space="preserve">See </w:t>
      </w:r>
      <w:hyperlink w:anchor="_5.2.1.5__Print" w:history="1">
        <w:r w:rsidRPr="000665B0">
          <w:rPr>
            <w:color w:val="0000FF"/>
            <w:u w:val="single"/>
          </w:rPr>
          <w:t>Section 5.2.1.5</w:t>
        </w:r>
      </w:hyperlink>
      <w:r w:rsidRPr="000665B0">
        <w:t>.</w:t>
      </w:r>
    </w:p>
    <w:p w14:paraId="64386475" w14:textId="77777777" w:rsidR="001F30B0" w:rsidRPr="000665B0" w:rsidRDefault="001F30B0" w:rsidP="009570CA">
      <w:pPr>
        <w:pStyle w:val="Heading3"/>
      </w:pPr>
      <w:bookmarkStart w:id="6007" w:name="_Toc214283534"/>
      <w:r w:rsidRPr="000665B0">
        <w:t>Display All in Excel</w:t>
      </w:r>
      <w:bookmarkEnd w:id="6007"/>
    </w:p>
    <w:p w14:paraId="6272D1EA" w14:textId="79B5C790" w:rsidR="001F30B0" w:rsidRPr="000665B0" w:rsidRDefault="001F30B0" w:rsidP="009570CA">
      <w:r w:rsidRPr="000665B0">
        <w:t xml:space="preserve">See </w:t>
      </w:r>
      <w:hyperlink w:anchor="_5.2.1.2.1__Display_1" w:history="1">
        <w:r w:rsidRPr="000665B0">
          <w:rPr>
            <w:color w:val="0000FF"/>
            <w:u w:val="single"/>
          </w:rPr>
          <w:t>Section 5.2.1.2.1</w:t>
        </w:r>
      </w:hyperlink>
      <w:r w:rsidRPr="000665B0">
        <w:t xml:space="preserve">. </w:t>
      </w:r>
    </w:p>
    <w:p w14:paraId="7F559217" w14:textId="77777777" w:rsidR="000D63A6" w:rsidRPr="000665B0" w:rsidRDefault="000D63A6" w:rsidP="009570CA">
      <w:pPr>
        <w:pStyle w:val="Heading3"/>
      </w:pPr>
      <w:bookmarkStart w:id="6008" w:name="_Toc214283535"/>
      <w:r w:rsidRPr="000665B0">
        <w:t>Select All</w:t>
      </w:r>
      <w:bookmarkEnd w:id="6008"/>
    </w:p>
    <w:p w14:paraId="10D26E66" w14:textId="56ED69DF" w:rsidR="000D63A6" w:rsidRPr="000665B0" w:rsidRDefault="000D63A6" w:rsidP="009570CA">
      <w:r w:rsidRPr="000665B0">
        <w:t xml:space="preserve">See </w:t>
      </w:r>
      <w:hyperlink w:anchor="_5.2.2.1__Select_1" w:history="1">
        <w:r w:rsidRPr="000665B0">
          <w:rPr>
            <w:color w:val="0000FF"/>
            <w:u w:val="single"/>
          </w:rPr>
          <w:t>Section 5.2.2.1</w:t>
        </w:r>
      </w:hyperlink>
      <w:r w:rsidRPr="000665B0">
        <w:t>.</w:t>
      </w:r>
    </w:p>
    <w:p w14:paraId="32116847" w14:textId="77777777" w:rsidR="001F30B0" w:rsidRPr="000665B0" w:rsidRDefault="001F30B0" w:rsidP="009570CA">
      <w:pPr>
        <w:pStyle w:val="Heading3"/>
      </w:pPr>
      <w:bookmarkStart w:id="6009" w:name="_Toc214283536"/>
      <w:r w:rsidRPr="000665B0">
        <w:t>Delete</w:t>
      </w:r>
      <w:bookmarkEnd w:id="6009"/>
    </w:p>
    <w:p w14:paraId="392026A2" w14:textId="395F2695" w:rsidR="008813C7" w:rsidRDefault="008813C7" w:rsidP="009570CA">
      <w:pPr>
        <w:rPr>
          <w:snapToGrid w:val="0"/>
        </w:rPr>
      </w:pPr>
      <w:r>
        <w:rPr>
          <w:snapToGrid w:val="0"/>
        </w:rPr>
        <w:t xml:space="preserve">When tracks in the List View are no longer needed, they can be deleted from the list. Tracks can be deleted by right-clicking on an individual or a group of tracks and selecting </w:t>
      </w:r>
      <w:r>
        <w:rPr>
          <w:b/>
          <w:bCs/>
          <w:snapToGrid w:val="0"/>
        </w:rPr>
        <w:t>Delete</w:t>
      </w:r>
      <w:r>
        <w:rPr>
          <w:snapToGrid w:val="0"/>
        </w:rPr>
        <w:t xml:space="preserve"> from the context menu, or by</w:t>
      </w:r>
      <w:r w:rsidR="009E2291">
        <w:rPr>
          <w:snapToGrid w:val="0"/>
        </w:rPr>
        <w:t xml:space="preserve"> clicking </w:t>
      </w:r>
      <w:r>
        <w:rPr>
          <w:snapToGrid w:val="0"/>
        </w:rPr>
        <w:t xml:space="preserve">the delete button </w:t>
      </w:r>
      <w:r w:rsidR="009E2291">
        <w:rPr>
          <w:snapToGrid w:val="0"/>
        </w:rPr>
        <w:t>in</w:t>
      </w:r>
      <w:r>
        <w:rPr>
          <w:snapToGrid w:val="0"/>
        </w:rPr>
        <w:t xml:space="preserve"> the top, left portion of the Tracks Tool window</w:t>
      </w:r>
      <w:r w:rsidR="009E2291">
        <w:rPr>
          <w:snapToGrid w:val="0"/>
        </w:rPr>
        <w:t xml:space="preserve"> (</w:t>
      </w:r>
      <w:r w:rsidR="00094E1E">
        <w:t>s</w:t>
      </w:r>
      <w:r w:rsidR="009E2291" w:rsidRPr="00E56FC4">
        <w:t xml:space="preserve">ee “Common Window Features” </w:t>
      </w:r>
      <w:hyperlink w:anchor="_5.2.1.6__Delete" w:history="1">
        <w:r w:rsidR="009E2291" w:rsidRPr="00E56FC4">
          <w:rPr>
            <w:color w:val="0000FF"/>
            <w:u w:val="single"/>
          </w:rPr>
          <w:t>Section 5.2.1.6</w:t>
        </w:r>
      </w:hyperlink>
      <w:r w:rsidR="009E2291">
        <w:rPr>
          <w:color w:val="0000FF"/>
          <w:u w:val="single"/>
        </w:rPr>
        <w:t>)</w:t>
      </w:r>
      <w:r w:rsidR="009E2291" w:rsidRPr="00E56FC4">
        <w:t>.</w:t>
      </w:r>
      <w:r w:rsidR="00094E1E">
        <w:t xml:space="preserve"> </w:t>
      </w:r>
      <w:r>
        <w:rPr>
          <w:snapToGrid w:val="0"/>
        </w:rPr>
        <w:t>Tracks will only be deleted if they are not currently set as a Track of Interest. A Track of Interest must be unset as a Track of Interest to be deleted.</w:t>
      </w:r>
    </w:p>
    <w:p w14:paraId="0CB40BE5" w14:textId="1CD95B19" w:rsidR="00B056E8" w:rsidRDefault="00B056E8" w:rsidP="009570CA">
      <w:pPr>
        <w:jc w:val="center"/>
        <w:rPr>
          <w:snapToGrid w:val="0"/>
        </w:rPr>
      </w:pPr>
      <w:r>
        <w:rPr>
          <w:noProof/>
        </w:rPr>
        <w:drawing>
          <wp:inline distT="0" distB="0" distL="0" distR="0" wp14:anchorId="59889E2E" wp14:editId="2C92B63D">
            <wp:extent cx="4983480" cy="2185416"/>
            <wp:effectExtent l="0" t="0" r="0" b="0"/>
            <wp:docPr id="2227" name="Picture 222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 name="Picture 2227" descr="Table&#10;&#10;Description automatically generated"/>
                    <pic:cNvPicPr>
                      <a:picLocks noChangeAspect="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2185416"/>
                    </a:xfrm>
                    <a:prstGeom prst="rect">
                      <a:avLst/>
                    </a:prstGeom>
                    <a:noFill/>
                    <a:ln>
                      <a:noFill/>
                    </a:ln>
                  </pic:spPr>
                </pic:pic>
              </a:graphicData>
            </a:graphic>
          </wp:inline>
        </w:drawing>
      </w:r>
    </w:p>
    <w:p w14:paraId="5573EB55" w14:textId="77777777" w:rsidR="00196709" w:rsidRPr="000665B0" w:rsidRDefault="00196709" w:rsidP="009570CA">
      <w:pPr>
        <w:pStyle w:val="Heading3"/>
      </w:pPr>
      <w:bookmarkStart w:id="6010" w:name="_Toc214283537"/>
      <w:r w:rsidRPr="000665B0">
        <w:t>Properties</w:t>
      </w:r>
      <w:bookmarkEnd w:id="6010"/>
    </w:p>
    <w:p w14:paraId="5B17FFE8" w14:textId="50879783" w:rsidR="00196709" w:rsidRPr="000665B0" w:rsidRDefault="00196709" w:rsidP="009570CA">
      <w:r w:rsidRPr="000665B0">
        <w:t xml:space="preserve">See </w:t>
      </w:r>
      <w:hyperlink w:anchor="_5.2.3.4__Properties" w:history="1">
        <w:r w:rsidRPr="000665B0">
          <w:rPr>
            <w:rStyle w:val="Hyperlink"/>
          </w:rPr>
          <w:t>Section 5.2.3.</w:t>
        </w:r>
        <w:r w:rsidR="00094E1E">
          <w:rPr>
            <w:rStyle w:val="Hyperlink"/>
          </w:rPr>
          <w:t>5</w:t>
        </w:r>
      </w:hyperlink>
      <w:r w:rsidRPr="000665B0">
        <w:t>.</w:t>
      </w:r>
    </w:p>
    <w:p w14:paraId="33BDB4FD" w14:textId="0FD5220F" w:rsidR="009B4726" w:rsidRPr="000665B0" w:rsidRDefault="009B4726" w:rsidP="009570CA">
      <w:pPr>
        <w:jc w:val="center"/>
      </w:pPr>
      <w:r w:rsidRPr="000665B0">
        <w:rPr>
          <w:noProof/>
        </w:rPr>
        <w:lastRenderedPageBreak/>
        <w:drawing>
          <wp:inline distT="0" distB="0" distL="0" distR="0" wp14:anchorId="7E884C3F" wp14:editId="00C37FF4">
            <wp:extent cx="2286000" cy="1581912"/>
            <wp:effectExtent l="0" t="0" r="0" b="0"/>
            <wp:docPr id="2299" name="Picture 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286000" cy="1581912"/>
                    </a:xfrm>
                    <a:prstGeom prst="rect">
                      <a:avLst/>
                    </a:prstGeom>
                  </pic:spPr>
                </pic:pic>
              </a:graphicData>
            </a:graphic>
          </wp:inline>
        </w:drawing>
      </w:r>
    </w:p>
    <w:p w14:paraId="42C153ED" w14:textId="77777777" w:rsidR="00196709" w:rsidRPr="000665B0" w:rsidRDefault="00196709" w:rsidP="009570CA">
      <w:pPr>
        <w:pStyle w:val="Heading4"/>
      </w:pPr>
      <w:r w:rsidRPr="000665B0">
        <w:t>Parameters</w:t>
      </w:r>
    </w:p>
    <w:p w14:paraId="0DBD937A" w14:textId="4D38DAE8" w:rsidR="00196709" w:rsidRPr="000665B0" w:rsidRDefault="00196709" w:rsidP="009570CA">
      <w:r w:rsidRPr="000665B0">
        <w:t xml:space="preserve">The </w:t>
      </w:r>
      <w:r w:rsidR="008248F3" w:rsidRPr="000665B0">
        <w:rPr>
          <w:b/>
        </w:rPr>
        <w:t>Parameters</w:t>
      </w:r>
      <w:r w:rsidR="008248F3" w:rsidRPr="000665B0">
        <w:t xml:space="preserve"> features</w:t>
      </w:r>
      <w:r w:rsidRPr="000665B0">
        <w:t xml:space="preserve"> </w:t>
      </w:r>
      <w:r w:rsidR="008248F3" w:rsidRPr="000665B0">
        <w:t>provides the option to</w:t>
      </w:r>
      <w:r w:rsidRPr="000665B0">
        <w:t xml:space="preserve"> </w:t>
      </w:r>
      <w:r w:rsidR="008248F3" w:rsidRPr="000665B0">
        <w:t>customize</w:t>
      </w:r>
      <w:r w:rsidRPr="000665B0">
        <w:t xml:space="preserve"> certain preferences regarding the Track</w:t>
      </w:r>
      <w:r w:rsidR="009B4726" w:rsidRPr="000665B0">
        <w:t>s</w:t>
      </w:r>
      <w:r w:rsidRPr="000665B0">
        <w:t xml:space="preserve"> </w:t>
      </w:r>
      <w:r w:rsidR="00D34C09" w:rsidRPr="000665B0">
        <w:t>t</w:t>
      </w:r>
      <w:r w:rsidRPr="000665B0">
        <w:t>ool and track data.</w:t>
      </w:r>
      <w:r w:rsidR="000E5080" w:rsidRPr="000665B0">
        <w:t xml:space="preserve"> </w:t>
      </w:r>
    </w:p>
    <w:p w14:paraId="7E9F46C8" w14:textId="5EBB0C9C" w:rsidR="009B4726" w:rsidRPr="000665B0" w:rsidRDefault="009B4726" w:rsidP="006D5A65">
      <w:pPr>
        <w:pStyle w:val="Heading1"/>
      </w:pPr>
      <w:r w:rsidRPr="000665B0">
        <w:t xml:space="preserve">From the </w:t>
      </w:r>
      <w:r w:rsidRPr="000665B0">
        <w:rPr>
          <w:i/>
        </w:rPr>
        <w:t>Track Properties</w:t>
      </w:r>
      <w:r w:rsidRPr="000665B0">
        <w:t xml:space="preserve"> window, click the Parameters button to invoke the </w:t>
      </w:r>
      <w:r w:rsidRPr="000665B0">
        <w:rPr>
          <w:i/>
        </w:rPr>
        <w:t xml:space="preserve">Track Parameter Preferences </w:t>
      </w:r>
      <w:r w:rsidRPr="000665B0">
        <w:t>window.</w:t>
      </w:r>
    </w:p>
    <w:p w14:paraId="3CCF63C5" w14:textId="77777777" w:rsidR="00196709" w:rsidRPr="000665B0" w:rsidRDefault="00196709" w:rsidP="009570CA">
      <w:pPr>
        <w:jc w:val="center"/>
      </w:pPr>
      <w:r w:rsidRPr="000665B0">
        <w:rPr>
          <w:noProof/>
        </w:rPr>
        <w:drawing>
          <wp:inline distT="0" distB="0" distL="0" distR="0" wp14:anchorId="7CA31378" wp14:editId="72A783F6">
            <wp:extent cx="2286000" cy="1837944"/>
            <wp:effectExtent l="0" t="0" r="0" b="0"/>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837944"/>
                    </a:xfrm>
                    <a:prstGeom prst="rect">
                      <a:avLst/>
                    </a:prstGeom>
                  </pic:spPr>
                </pic:pic>
              </a:graphicData>
            </a:graphic>
          </wp:inline>
        </w:drawing>
      </w:r>
    </w:p>
    <w:p w14:paraId="7B335C19" w14:textId="6D1BEC2F" w:rsidR="00196709" w:rsidRPr="000665B0" w:rsidRDefault="009B4726" w:rsidP="006D5A65">
      <w:pPr>
        <w:pStyle w:val="Heading1"/>
      </w:pPr>
      <w:r w:rsidRPr="000665B0">
        <w:t xml:space="preserve">To </w:t>
      </w:r>
      <w:r w:rsidR="005106B6" w:rsidRPr="000665B0">
        <w:t xml:space="preserve">change the </w:t>
      </w:r>
      <w:r w:rsidR="00196709" w:rsidRPr="000665B0">
        <w:t xml:space="preserve">Document Settings </w:t>
      </w:r>
      <w:r w:rsidR="005106B6" w:rsidRPr="000665B0">
        <w:sym w:font="Wingdings 3" w:char="F071"/>
      </w:r>
      <w:r w:rsidR="005106B6" w:rsidRPr="000665B0">
        <w:t xml:space="preserve"> Save On Close (default</w:t>
      </w:r>
      <w:r w:rsidR="008248F3" w:rsidRPr="000665B0">
        <w:t xml:space="preserve"> is True</w:t>
      </w:r>
      <w:r w:rsidR="005106B6" w:rsidRPr="000665B0">
        <w:t>)</w:t>
      </w:r>
      <w:r w:rsidR="00775D43" w:rsidRPr="000665B0">
        <w:t xml:space="preserve"> setting</w:t>
      </w:r>
      <w:r w:rsidR="005106B6" w:rsidRPr="000665B0">
        <w:t>, select the row and then select False from the pull down menu</w:t>
      </w:r>
      <w:r w:rsidR="00196709" w:rsidRPr="000665B0">
        <w:t>.</w:t>
      </w:r>
    </w:p>
    <w:p w14:paraId="7A40E31F" w14:textId="06369B4C" w:rsidR="005106B6" w:rsidRPr="000665B0" w:rsidRDefault="005106B6" w:rsidP="009570CA">
      <w:pPr>
        <w:pStyle w:val="Number0205"/>
        <w:ind w:left="0" w:firstLine="0"/>
        <w:jc w:val="center"/>
      </w:pPr>
      <w:r w:rsidRPr="000665B0">
        <w:rPr>
          <w:noProof/>
        </w:rPr>
        <w:drawing>
          <wp:inline distT="0" distB="0" distL="0" distR="0" wp14:anchorId="3C9C2F70" wp14:editId="2EBF9BCC">
            <wp:extent cx="3154680" cy="502920"/>
            <wp:effectExtent l="0" t="0" r="0" b="0"/>
            <wp:docPr id="2301" name="Picture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502920"/>
                    </a:xfrm>
                    <a:prstGeom prst="rect">
                      <a:avLst/>
                    </a:prstGeom>
                  </pic:spPr>
                </pic:pic>
              </a:graphicData>
            </a:graphic>
          </wp:inline>
        </w:drawing>
      </w:r>
    </w:p>
    <w:p w14:paraId="7C611B9F" w14:textId="6DC70525" w:rsidR="00196709" w:rsidRPr="000665B0" w:rsidRDefault="00D34C09" w:rsidP="006D5A65">
      <w:pPr>
        <w:pStyle w:val="Heading1"/>
      </w:pPr>
      <w:r w:rsidRPr="000665B0">
        <w:t xml:space="preserve">The </w:t>
      </w:r>
      <w:r w:rsidR="008248F3" w:rsidRPr="000665B0">
        <w:t>Merge/Demerge</w:t>
      </w:r>
      <w:r w:rsidRPr="000665B0">
        <w:t xml:space="preserve"> sets </w:t>
      </w:r>
      <w:r w:rsidR="008248F3" w:rsidRPr="000665B0">
        <w:t xml:space="preserve">the filter distance for </w:t>
      </w:r>
      <w:r w:rsidRPr="000665B0">
        <w:t xml:space="preserve">detection of Merge candidates. Merging is the non-destructive association of two or more tracks because the evidence suggests that the same physical entity is being tracked. </w:t>
      </w:r>
      <w:r w:rsidR="008334DA" w:rsidRPr="000665B0">
        <w:t xml:space="preserve">To change the Merge Demerge </w:t>
      </w:r>
      <w:r w:rsidR="008334DA" w:rsidRPr="000665B0">
        <w:sym w:font="Wingdings 3" w:char="F071"/>
      </w:r>
      <w:r w:rsidR="008334DA" w:rsidRPr="000665B0">
        <w:t xml:space="preserve"> Filter Distance</w:t>
      </w:r>
      <w:r w:rsidR="00775D43" w:rsidRPr="000665B0">
        <w:t xml:space="preserve"> setting</w:t>
      </w:r>
      <w:r w:rsidR="008334DA" w:rsidRPr="000665B0">
        <w:t xml:space="preserve">, select the row and then enter a new value (in miles; default is 200). </w:t>
      </w:r>
    </w:p>
    <w:p w14:paraId="346D9C5F" w14:textId="67C77443" w:rsidR="00196709" w:rsidRPr="000665B0" w:rsidRDefault="00D34C09" w:rsidP="006D5A65">
      <w:pPr>
        <w:pStyle w:val="Heading1"/>
      </w:pPr>
      <w:r w:rsidRPr="000665B0">
        <w:t xml:space="preserve">The Performance setting optimizes retrieval of track data from TED by limiting the count of track IDs while loading tracks. </w:t>
      </w:r>
      <w:r w:rsidR="00F54288" w:rsidRPr="000665B0">
        <w:t xml:space="preserve">To change the Performance </w:t>
      </w:r>
      <w:r w:rsidR="00F54288" w:rsidRPr="000665B0">
        <w:sym w:font="Wingdings 3" w:char="F071"/>
      </w:r>
      <w:r w:rsidR="00F54288" w:rsidRPr="000665B0">
        <w:t xml:space="preserve"> Fetch</w:t>
      </w:r>
      <w:r w:rsidR="00775D43" w:rsidRPr="000665B0">
        <w:t xml:space="preserve"> setting</w:t>
      </w:r>
      <w:r w:rsidR="00F54288" w:rsidRPr="000665B0">
        <w:t xml:space="preserve">, select the row and then enter a new value (default is 100). </w:t>
      </w:r>
    </w:p>
    <w:p w14:paraId="6A47D414" w14:textId="374AE8DF" w:rsidR="00D34C09" w:rsidRPr="000665B0" w:rsidRDefault="00775D43" w:rsidP="006D5A65">
      <w:pPr>
        <w:pStyle w:val="Heading1"/>
      </w:pPr>
      <w:r w:rsidRPr="000665B0">
        <w:t xml:space="preserve">The </w:t>
      </w:r>
      <w:r w:rsidR="00196709" w:rsidRPr="000665B0">
        <w:t xml:space="preserve">Velocity Leader </w:t>
      </w:r>
      <w:r w:rsidRPr="000665B0">
        <w:t xml:space="preserve">settings determine </w:t>
      </w:r>
      <w:r w:rsidR="00196709" w:rsidRPr="000665B0">
        <w:t>how the track data is drawn on a Geo Display.</w:t>
      </w:r>
      <w:r w:rsidRPr="000665B0">
        <w:t xml:space="preserve"> Arrow Angle specifies the vector </w:t>
      </w:r>
      <w:r w:rsidRPr="000665B0">
        <w:lastRenderedPageBreak/>
        <w:t>arrow angle (de</w:t>
      </w:r>
      <w:r w:rsidR="002534D5" w:rsidRPr="000665B0">
        <w:t>f</w:t>
      </w:r>
      <w:r w:rsidRPr="000665B0">
        <w:t>ault is 10). Fraction Distance sets the percentage for drawing the vector arrow (default is 80</w:t>
      </w:r>
      <w:r w:rsidR="00D34C09" w:rsidRPr="000665B0">
        <w:t>%</w:t>
      </w:r>
      <w:r w:rsidRPr="000665B0">
        <w:t>). Predict Time sets the track prediction time in minutes (default is 30).</w:t>
      </w:r>
      <w:r w:rsidR="00D34C09" w:rsidRPr="000665B0">
        <w:t xml:space="preserve"> To change the Velocity Leader settings, select the desired row (Arrow Angle, Fraction Distance, or Predict Time) and then enter a new value.</w:t>
      </w:r>
    </w:p>
    <w:p w14:paraId="4FD489DA" w14:textId="27B95E0B" w:rsidR="008248F3" w:rsidRPr="000665B0" w:rsidRDefault="008248F3" w:rsidP="006D5A65">
      <w:pPr>
        <w:pStyle w:val="Heading1"/>
      </w:pPr>
      <w:r w:rsidRPr="000665B0">
        <w:t xml:space="preserve">Select the desired options and click the </w:t>
      </w:r>
      <w:r w:rsidRPr="000665B0">
        <w:rPr>
          <w:noProof/>
        </w:rPr>
        <w:drawing>
          <wp:inline distT="0" distB="0" distL="0" distR="0" wp14:anchorId="0D598A6A" wp14:editId="19F23E35">
            <wp:extent cx="152400" cy="152400"/>
            <wp:effectExtent l="19050" t="0" r="0" b="0"/>
            <wp:docPr id="2302" name="Picture 2302" descr="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Exit"/>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in the top right corner of the window to close the window and retain the settings.</w:t>
      </w:r>
    </w:p>
    <w:p w14:paraId="7251554C" w14:textId="36A6A1AA" w:rsidR="00196709" w:rsidRPr="000665B0" w:rsidRDefault="00196709" w:rsidP="009570CA">
      <w:pPr>
        <w:pStyle w:val="Heading4"/>
      </w:pPr>
      <w:r w:rsidRPr="000665B0">
        <w:t>Cache S</w:t>
      </w:r>
      <w:r w:rsidR="00DB4790" w:rsidRPr="000665B0">
        <w:t>t</w:t>
      </w:r>
      <w:r w:rsidRPr="000665B0">
        <w:t>atus</w:t>
      </w:r>
    </w:p>
    <w:p w14:paraId="2DF88D83" w14:textId="02960FD2" w:rsidR="009E2291" w:rsidRPr="003F64F3" w:rsidRDefault="009E2291" w:rsidP="009570CA">
      <w:pPr>
        <w:rPr>
          <w:b/>
          <w:bCs/>
        </w:rPr>
      </w:pPr>
      <w:r>
        <w:rPr>
          <w:rFonts w:cstheme="minorHAnsi"/>
        </w:rPr>
        <w:t xml:space="preserve">Maintaining two separate caches in the Track Services architecture introduces some risk of synchronization issues. To mitigate that risk, the system has a Track Cache which allows the user to be able to compare the contents of each cache and re-sync the caches automatically at a designated rate. </w:t>
      </w:r>
      <w:r>
        <w:rPr>
          <w:rFonts w:cstheme="minorHAnsi"/>
          <w:color w:val="222222"/>
          <w:shd w:val="clear" w:color="auto" w:fill="FFFFFF"/>
        </w:rPr>
        <w:t xml:space="preserve">The Track Cache Status window adds the ability to observe and configure the size of the Track Service cache. </w:t>
      </w:r>
      <w:r>
        <w:rPr>
          <w:rFonts w:cstheme="minorHAnsi"/>
        </w:rPr>
        <w:t xml:space="preserve">The Track Service cache can also be cleared and re-populated with the contents of the Track DB cache. </w:t>
      </w:r>
      <w:r>
        <w:t xml:space="preserve">The Tracks tool provides access to the Track Cache through </w:t>
      </w:r>
      <w:r>
        <w:rPr>
          <w:b/>
          <w:bCs/>
        </w:rPr>
        <w:t xml:space="preserve">View </w:t>
      </w:r>
      <w:r>
        <w:t xml:space="preserve">menu. Select </w:t>
      </w:r>
      <w:r>
        <w:rPr>
          <w:b/>
          <w:bCs/>
        </w:rPr>
        <w:t xml:space="preserve">Properties </w:t>
      </w:r>
      <w:r w:rsidRPr="00DB541B">
        <w:rPr>
          <w:rFonts w:ascii="Arial" w:hAnsi="Arial" w:cs="Arial"/>
          <w:sz w:val="20"/>
        </w:rPr>
        <w:sym w:font="Wingdings" w:char="F0E0"/>
      </w:r>
      <w:r w:rsidR="009651B0">
        <w:rPr>
          <w:rFonts w:ascii="Arial" w:hAnsi="Arial" w:cs="Arial"/>
          <w:sz w:val="20"/>
        </w:rPr>
        <w:t xml:space="preserve"> </w:t>
      </w:r>
      <w:r>
        <w:rPr>
          <w:b/>
          <w:bCs/>
        </w:rPr>
        <w:t xml:space="preserve">Cache Status. </w:t>
      </w:r>
      <w:r>
        <w:t>The Cache Status Property dialog displays the current amount of data as well as capacity in the Track Cache.</w:t>
      </w:r>
    </w:p>
    <w:p w14:paraId="3359B58E" w14:textId="77777777" w:rsidR="009E2291" w:rsidRDefault="009E2291" w:rsidP="009570CA">
      <w:pPr>
        <w:jc w:val="center"/>
      </w:pPr>
      <w:r w:rsidRPr="001D3034">
        <w:rPr>
          <w:noProof/>
        </w:rPr>
        <w:drawing>
          <wp:inline distT="0" distB="0" distL="0" distR="0" wp14:anchorId="1BAAA19A" wp14:editId="01387397">
            <wp:extent cx="2286000" cy="1682496"/>
            <wp:effectExtent l="0" t="0" r="0" b="0"/>
            <wp:docPr id="406" name="Picture 40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Picture 406" descr="Graphical user interface, application&#10;&#10;Description automatically generated"/>
                    <pic:cNvPicPr/>
                  </pic:nvPicPr>
                  <pic:blipFill>
                    <a:blip/>
                    <a:stretch>
                      <a:fillRect/>
                    </a:stretch>
                  </pic:blipFill>
                  <pic:spPr>
                    <a:xfrm>
                      <a:off x="0" y="0"/>
                      <a:ext cx="2286000" cy="1682496"/>
                    </a:xfrm>
                    <a:prstGeom prst="rect">
                      <a:avLst/>
                    </a:prstGeom>
                  </pic:spPr>
                </pic:pic>
              </a:graphicData>
            </a:graphic>
          </wp:inline>
        </w:drawing>
      </w:r>
    </w:p>
    <w:p w14:paraId="1396CFB2" w14:textId="77777777" w:rsidR="009E2291" w:rsidRPr="000C48D8" w:rsidRDefault="009E2291" w:rsidP="009570CA">
      <w:pPr>
        <w:autoSpaceDE w:val="0"/>
        <w:autoSpaceDN w:val="0"/>
        <w:spacing w:after="0" w:line="240" w:lineRule="auto"/>
        <w:rPr>
          <w:szCs w:val="24"/>
        </w:rPr>
      </w:pPr>
      <w:r w:rsidRPr="000C48D8">
        <w:rPr>
          <w:szCs w:val="24"/>
        </w:rPr>
        <w:t xml:space="preserve">The capacity of the Track Cache can be set to a custom size. The Cache Sync Rate defines how often MDS will sync with the Track Cache to keep ensure the track data displayed is up to date and correct. </w:t>
      </w:r>
      <w:r w:rsidRPr="000C48D8">
        <w:rPr>
          <w:color w:val="000000"/>
          <w:szCs w:val="24"/>
        </w:rPr>
        <w:t>When pressed, the Wipe/Reload function will clear TED's cached track information, and TED will request all tracks again, from TED Track Services.</w:t>
      </w:r>
    </w:p>
    <w:p w14:paraId="4B66E1FA" w14:textId="08131BD4" w:rsidR="00196709" w:rsidRPr="000665B0" w:rsidRDefault="00840E5B" w:rsidP="009570CA">
      <w:pPr>
        <w:pStyle w:val="Heading4"/>
      </w:pPr>
      <w:bookmarkStart w:id="6011" w:name="_Track_Connection"/>
      <w:bookmarkEnd w:id="6011"/>
      <w:r>
        <w:t xml:space="preserve">Track </w:t>
      </w:r>
      <w:r w:rsidR="00196709" w:rsidRPr="000665B0">
        <w:t>Connection</w:t>
      </w:r>
    </w:p>
    <w:p w14:paraId="715FFB22" w14:textId="626A7D14" w:rsidR="009C5FFB" w:rsidRPr="00E22ED5" w:rsidRDefault="006F23E1" w:rsidP="00E22ED5">
      <w:pPr>
        <w:rPr>
          <w:sz w:val="22"/>
        </w:rPr>
      </w:pPr>
      <w:r>
        <w:t>The Track Connection Property dialog (</w:t>
      </w:r>
      <w:r>
        <w:rPr>
          <w:b/>
          <w:bCs/>
        </w:rPr>
        <w:t>View menu</w:t>
      </w:r>
      <w:r>
        <w:rPr>
          <w:rFonts w:ascii="Wingdings" w:hAnsi="Wingdings"/>
          <w:b/>
          <w:bCs/>
        </w:rPr>
        <w:t>à</w:t>
      </w:r>
      <w:r>
        <w:rPr>
          <w:b/>
          <w:bCs/>
        </w:rPr>
        <w:t>Properties</w:t>
      </w:r>
      <w:r>
        <w:rPr>
          <w:rFonts w:ascii="Wingdings" w:hAnsi="Wingdings"/>
          <w:b/>
          <w:bCs/>
        </w:rPr>
        <w:t>à</w:t>
      </w:r>
      <w:r>
        <w:rPr>
          <w:b/>
          <w:bCs/>
        </w:rPr>
        <w:t>Connection)</w:t>
      </w:r>
      <w:r>
        <w:t xml:space="preserve"> provides the option to set how the connection status functions. Users can modify the connections for GCCS (CWS Server), LMMT (Link16), TIN (IBS) or ENTR (IBS).</w:t>
      </w:r>
    </w:p>
    <w:p w14:paraId="0A2D5D3D" w14:textId="098FEC81" w:rsidR="009E2291" w:rsidRDefault="005D0383" w:rsidP="009570CA">
      <w:pPr>
        <w:jc w:val="center"/>
      </w:pPr>
      <w:r>
        <w:rPr>
          <w:noProof/>
        </w:rPr>
        <w:lastRenderedPageBreak/>
        <w:t xml:space="preserve"> </w:t>
      </w:r>
      <w:r w:rsidR="009C5FFB">
        <w:rPr>
          <w:noProof/>
        </w:rPr>
        <w:drawing>
          <wp:inline distT="0" distB="0" distL="0" distR="0" wp14:anchorId="544A3143" wp14:editId="31BA2085">
            <wp:extent cx="1952625" cy="3311653"/>
            <wp:effectExtent l="0" t="0" r="0" b="0"/>
            <wp:docPr id="2310" name="Picture 23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957638" cy="3320155"/>
                    </a:xfrm>
                    <a:prstGeom prst="rect">
                      <a:avLst/>
                    </a:prstGeom>
                  </pic:spPr>
                </pic:pic>
              </a:graphicData>
            </a:graphic>
          </wp:inline>
        </w:drawing>
      </w:r>
    </w:p>
    <w:p w14:paraId="095E9241" w14:textId="47028149" w:rsidR="009E2291" w:rsidRDefault="009E2291" w:rsidP="009570CA">
      <w:r>
        <w:t xml:space="preserve">The Refresh Interval value represents how often TED will receive status messages of the connection status of the external track source. The Stale Connection Threshold value represents how long since TED has received the last message from the external track source deems the connection be to stale. If the last message received from the external track source is outside of the Threshold limit, the connection status will change from Green (connected not stale) to Yellow (connected but stale) (see </w:t>
      </w:r>
      <w:hyperlink w:anchor="_Track_Source_Connection_1" w:history="1">
        <w:r w:rsidRPr="009E2291">
          <w:rPr>
            <w:rStyle w:val="Hyperlink"/>
          </w:rPr>
          <w:t xml:space="preserve">Section </w:t>
        </w:r>
        <w:r w:rsidR="004231CC">
          <w:rPr>
            <w:rStyle w:val="Hyperlink"/>
          </w:rPr>
          <w:t>5.32</w:t>
        </w:r>
        <w:r w:rsidRPr="009E2291">
          <w:rPr>
            <w:rStyle w:val="Hyperlink"/>
          </w:rPr>
          <w:t>.1</w:t>
        </w:r>
        <w:r w:rsidR="00B23B3D">
          <w:rPr>
            <w:rStyle w:val="Hyperlink"/>
          </w:rPr>
          <w:t>3</w:t>
        </w:r>
      </w:hyperlink>
      <w:r>
        <w:t>).</w:t>
      </w:r>
    </w:p>
    <w:p w14:paraId="301C8837" w14:textId="48F7DB19" w:rsidR="009C5FFB" w:rsidRDefault="009C5FFB" w:rsidP="009570CA">
      <w:bookmarkStart w:id="6012" w:name="_Hlk127265026"/>
      <w:r>
        <w:t xml:space="preserve">External track sources are enabled through the </w:t>
      </w:r>
      <w:r w:rsidRPr="00412AF7">
        <w:rPr>
          <w:i/>
          <w:iCs/>
        </w:rPr>
        <w:t>Track Connection</w:t>
      </w:r>
      <w:r>
        <w:t xml:space="preserve"> window by checking the Enablement boxes next to each external track source. If relevant, the IP and Port values must be filled prior to checking the Enablement boxes. Track Connection form changes will be saved after selecting OK on the </w:t>
      </w:r>
      <w:r w:rsidRPr="00412AF7">
        <w:rPr>
          <w:i/>
          <w:iCs/>
        </w:rPr>
        <w:t>Properties</w:t>
      </w:r>
      <w:r>
        <w:t xml:space="preserve"> </w:t>
      </w:r>
      <w:r w:rsidR="00E971E8">
        <w:t>window and</w:t>
      </w:r>
      <w:r>
        <w:t xml:space="preserve"> then enabled track sources should display on the Connection Status Bar (see </w:t>
      </w:r>
      <w:hyperlink w:anchor="_Track_Connections_Status" w:history="1">
        <w:r w:rsidRPr="00DB291A">
          <w:rPr>
            <w:rStyle w:val="Hyperlink"/>
          </w:rPr>
          <w:t xml:space="preserve">Section </w:t>
        </w:r>
        <w:r w:rsidR="004231CC">
          <w:rPr>
            <w:rStyle w:val="Hyperlink"/>
          </w:rPr>
          <w:t>5.32</w:t>
        </w:r>
        <w:r w:rsidRPr="00DB291A">
          <w:rPr>
            <w:rStyle w:val="Hyperlink"/>
          </w:rPr>
          <w:t>.1</w:t>
        </w:r>
        <w:r w:rsidR="00B23B3D" w:rsidRPr="00DB291A">
          <w:rPr>
            <w:rStyle w:val="Hyperlink"/>
          </w:rPr>
          <w:t>3</w:t>
        </w:r>
      </w:hyperlink>
      <w:r>
        <w:t>).</w:t>
      </w:r>
    </w:p>
    <w:p w14:paraId="51A263A5" w14:textId="407B2216" w:rsidR="009C5FFB" w:rsidRDefault="009C5FFB" w:rsidP="009570CA">
      <w:r>
        <w:t xml:space="preserve">Multiple external track sources may be enabled at the same time, but enabling multiple track sources can result in receiving duplicate track data. Click </w:t>
      </w:r>
      <w:r w:rsidRPr="00412AF7">
        <w:rPr>
          <w:b/>
          <w:bCs/>
        </w:rPr>
        <w:t>OK</w:t>
      </w:r>
      <w:r>
        <w:t xml:space="preserve"> on the Warning to enable multiple sources at once.</w:t>
      </w:r>
    </w:p>
    <w:bookmarkEnd w:id="6012"/>
    <w:p w14:paraId="670B6BDE" w14:textId="07BB5C32" w:rsidR="009C5FFB" w:rsidRPr="00387790" w:rsidRDefault="009C5FFB" w:rsidP="009570CA">
      <w:pPr>
        <w:jc w:val="center"/>
      </w:pPr>
      <w:r>
        <w:rPr>
          <w:noProof/>
        </w:rPr>
        <w:drawing>
          <wp:inline distT="0" distB="0" distL="0" distR="0" wp14:anchorId="3C35FE76" wp14:editId="48BB7C39">
            <wp:extent cx="2828925" cy="1065972"/>
            <wp:effectExtent l="0" t="0" r="0" b="0"/>
            <wp:docPr id="2311" name="Picture 23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838953" cy="1069751"/>
                    </a:xfrm>
                    <a:prstGeom prst="rect">
                      <a:avLst/>
                    </a:prstGeom>
                  </pic:spPr>
                </pic:pic>
              </a:graphicData>
            </a:graphic>
          </wp:inline>
        </w:drawing>
      </w:r>
    </w:p>
    <w:p w14:paraId="7F277608" w14:textId="58D72E6E" w:rsidR="00E15B3D" w:rsidRDefault="00E15B3D" w:rsidP="009570CA">
      <w:pPr>
        <w:pStyle w:val="Heading3"/>
      </w:pPr>
      <w:bookmarkStart w:id="6013" w:name="_Importing_an_SCNF"/>
      <w:bookmarkStart w:id="6014" w:name="_Toc214283538"/>
      <w:bookmarkStart w:id="6015" w:name="_Hlk126840359"/>
      <w:bookmarkEnd w:id="6013"/>
      <w:r>
        <w:t>Importing an SCNF</w:t>
      </w:r>
      <w:bookmarkEnd w:id="6014"/>
    </w:p>
    <w:p w14:paraId="27E8189A" w14:textId="495249C3" w:rsidR="00E15B3D" w:rsidRDefault="00E15B3D" w:rsidP="009570CA">
      <w:pPr>
        <w:rPr>
          <w:szCs w:val="24"/>
        </w:rPr>
      </w:pPr>
      <w:bookmarkStart w:id="6016" w:name="_Hlk126078437"/>
      <w:r>
        <w:rPr>
          <w:szCs w:val="24"/>
        </w:rPr>
        <w:t xml:space="preserve">Users can import a Ship Class Name File (SCNF) xml. </w:t>
      </w:r>
      <w:bookmarkEnd w:id="6016"/>
      <w:r>
        <w:rPr>
          <w:szCs w:val="24"/>
        </w:rPr>
        <w:t xml:space="preserve">On the </w:t>
      </w:r>
      <w:r w:rsidRPr="00412AF7">
        <w:rPr>
          <w:b/>
          <w:bCs/>
          <w:szCs w:val="24"/>
        </w:rPr>
        <w:t xml:space="preserve">Add </w:t>
      </w:r>
      <w:r>
        <w:rPr>
          <w:szCs w:val="24"/>
        </w:rPr>
        <w:t xml:space="preserve">and </w:t>
      </w:r>
      <w:r w:rsidRPr="00412AF7">
        <w:rPr>
          <w:b/>
          <w:bCs/>
          <w:szCs w:val="24"/>
        </w:rPr>
        <w:t>Edit Track</w:t>
      </w:r>
      <w:r>
        <w:rPr>
          <w:szCs w:val="24"/>
        </w:rPr>
        <w:t xml:space="preserve"> Forms</w:t>
      </w:r>
      <w:r w:rsidR="00C717F7">
        <w:rPr>
          <w:szCs w:val="24"/>
        </w:rPr>
        <w:t xml:space="preserve"> (see </w:t>
      </w:r>
      <w:hyperlink w:anchor="_Add/Edit_(Manual)_Track" w:history="1">
        <w:r w:rsidR="00C717F7" w:rsidRPr="00C717F7">
          <w:rPr>
            <w:rStyle w:val="Hyperlink"/>
            <w:szCs w:val="24"/>
          </w:rPr>
          <w:t xml:space="preserve">Section </w:t>
        </w:r>
        <w:r w:rsidR="004231CC">
          <w:rPr>
            <w:rStyle w:val="Hyperlink"/>
            <w:szCs w:val="24"/>
          </w:rPr>
          <w:t>5.32</w:t>
        </w:r>
        <w:r w:rsidR="00C717F7" w:rsidRPr="00C717F7">
          <w:rPr>
            <w:rStyle w:val="Hyperlink"/>
            <w:szCs w:val="24"/>
          </w:rPr>
          <w:t>.9</w:t>
        </w:r>
      </w:hyperlink>
      <w:r w:rsidR="00C717F7">
        <w:rPr>
          <w:szCs w:val="24"/>
        </w:rPr>
        <w:t>)</w:t>
      </w:r>
      <w:r>
        <w:rPr>
          <w:szCs w:val="24"/>
        </w:rPr>
        <w:t xml:space="preserve">, the user will have to click the </w:t>
      </w:r>
      <w:r w:rsidR="00C717F7">
        <w:rPr>
          <w:szCs w:val="24"/>
        </w:rPr>
        <w:t xml:space="preserve">SCNF Box </w:t>
      </w:r>
      <w:r>
        <w:rPr>
          <w:szCs w:val="24"/>
        </w:rPr>
        <w:t xml:space="preserve">to toggle between the TCIL or SCNF </w:t>
      </w:r>
      <w:r>
        <w:rPr>
          <w:szCs w:val="24"/>
        </w:rPr>
        <w:lastRenderedPageBreak/>
        <w:t xml:space="preserve">lists. </w:t>
      </w:r>
      <w:r w:rsidR="00C717F7">
        <w:rPr>
          <w:szCs w:val="24"/>
        </w:rPr>
        <w:t>If there is an existing SCNF loaded, importing another SCNF overwrites existing SCNF data.</w:t>
      </w:r>
    </w:p>
    <w:bookmarkEnd w:id="6015"/>
    <w:p w14:paraId="0E04A3FD" w14:textId="77777777" w:rsidR="00E15B3D" w:rsidRDefault="00E15B3D" w:rsidP="009570CA">
      <w:pPr>
        <w:rPr>
          <w:szCs w:val="24"/>
        </w:rPr>
      </w:pPr>
      <w:r>
        <w:rPr>
          <w:szCs w:val="24"/>
        </w:rPr>
        <w:t>To import an SCNF to MDS:</w:t>
      </w:r>
    </w:p>
    <w:p w14:paraId="6313E4CB" w14:textId="77777777" w:rsidR="00E15B3D" w:rsidRDefault="00E15B3D" w:rsidP="006D5A65">
      <w:pPr>
        <w:pStyle w:val="Heading1"/>
      </w:pPr>
      <w:r>
        <w:t>Logon to the system.</w:t>
      </w:r>
    </w:p>
    <w:p w14:paraId="0D3D2F51" w14:textId="77777777" w:rsidR="00E15B3D" w:rsidRDefault="00E15B3D" w:rsidP="006D5A65">
      <w:pPr>
        <w:pStyle w:val="Heading1"/>
      </w:pPr>
      <w:r>
        <w:t xml:space="preserve">Navigate to the </w:t>
      </w:r>
      <w:r>
        <w:rPr>
          <w:bCs/>
        </w:rPr>
        <w:t xml:space="preserve">Tracks </w:t>
      </w:r>
      <w:r>
        <w:t>tool.</w:t>
      </w:r>
    </w:p>
    <w:p w14:paraId="70A9132E" w14:textId="77777777" w:rsidR="00E57276" w:rsidRPr="001F4B14" w:rsidRDefault="00E15B3D" w:rsidP="006D5A65">
      <w:pPr>
        <w:pStyle w:val="Heading1"/>
      </w:pPr>
      <w:r>
        <w:t xml:space="preserve">On the top of the screen, click </w:t>
      </w:r>
      <w:r>
        <w:rPr>
          <w:bCs/>
        </w:rPr>
        <w:t>File -&gt; Import -&gt; SCNF</w:t>
      </w:r>
    </w:p>
    <w:p w14:paraId="7F4CFBA8" w14:textId="4B5E144C" w:rsidR="00E22ED5" w:rsidRDefault="00E15B3D" w:rsidP="009570CA">
      <w:pPr>
        <w:jc w:val="center"/>
        <w:rPr>
          <w:szCs w:val="24"/>
        </w:rPr>
      </w:pPr>
      <w:r>
        <w:rPr>
          <w:noProof/>
        </w:rPr>
        <w:drawing>
          <wp:inline distT="0" distB="0" distL="0" distR="0" wp14:anchorId="4335CA66" wp14:editId="160C61E0">
            <wp:extent cx="2900070" cy="2076450"/>
            <wp:effectExtent l="0" t="0" r="0" b="0"/>
            <wp:docPr id="2283" name="Picture 2283" descr="Graphical user interface, application,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al user interface, application, Excel&#10;&#10;Description automatically generat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906839" cy="2081297"/>
                    </a:xfrm>
                    <a:prstGeom prst="rect">
                      <a:avLst/>
                    </a:prstGeom>
                    <a:noFill/>
                    <a:ln>
                      <a:noFill/>
                    </a:ln>
                  </pic:spPr>
                </pic:pic>
              </a:graphicData>
            </a:graphic>
          </wp:inline>
        </w:drawing>
      </w:r>
    </w:p>
    <w:p w14:paraId="6DF93C36" w14:textId="77777777" w:rsidR="002E5056" w:rsidRDefault="00E15B3D" w:rsidP="00FD7521">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szCs w:val="24"/>
        </w:rPr>
      </w:pPr>
      <w:r w:rsidRPr="00BB4EBE">
        <w:rPr>
          <w:b/>
          <w:bCs/>
          <w:szCs w:val="24"/>
        </w:rPr>
        <w:t>Note:</w:t>
      </w:r>
    </w:p>
    <w:p w14:paraId="475F55F1" w14:textId="1E036C92" w:rsidR="00E15B3D" w:rsidRPr="00BB4EBE" w:rsidRDefault="00E15B3D" w:rsidP="008233E0">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bCs/>
          <w:szCs w:val="24"/>
        </w:rPr>
      </w:pPr>
      <w:r w:rsidRPr="00BB4EBE">
        <w:rPr>
          <w:b/>
          <w:bCs/>
          <w:szCs w:val="24"/>
        </w:rPr>
        <w:t>The “Receive File…” option cannot import SCNF because it is treated as a generic file by TMPC. Receive File will not work for generic files.</w:t>
      </w:r>
    </w:p>
    <w:p w14:paraId="2F70C669" w14:textId="0747BF07" w:rsidR="00E15B3D" w:rsidRDefault="00E15B3D" w:rsidP="006D5A65">
      <w:pPr>
        <w:pStyle w:val="Heading1"/>
      </w:pPr>
      <w:r>
        <w:t>Navigate to the appropriate directory of the file structure. Select a file in the File name field and click Open. Only one file may be imported at a time.</w:t>
      </w:r>
    </w:p>
    <w:p w14:paraId="1478650B" w14:textId="336D233B" w:rsidR="00E15B3D" w:rsidRDefault="00E15B3D" w:rsidP="006D5A65">
      <w:pPr>
        <w:pStyle w:val="Heading1"/>
      </w:pPr>
      <w:r>
        <w:t>A popup box should appear indicating success or failure of the import. Only files that are determined to be valid SCNFs will be imported successfully.</w:t>
      </w:r>
    </w:p>
    <w:p w14:paraId="753C4D78" w14:textId="0468D53D" w:rsidR="00F362AC" w:rsidRDefault="00F362AC" w:rsidP="006D5A65">
      <w:pPr>
        <w:pStyle w:val="Heading2"/>
      </w:pPr>
      <w:r>
        <w:t xml:space="preserve">Successful </w:t>
      </w:r>
      <w:r w:rsidR="00C717F7">
        <w:t>Import</w:t>
      </w:r>
      <w:r>
        <w:t>:</w:t>
      </w:r>
    </w:p>
    <w:p w14:paraId="69C901A1" w14:textId="44C9417A" w:rsidR="00E15B3D" w:rsidRDefault="00C717F7" w:rsidP="009570CA">
      <w:pPr>
        <w:pStyle w:val="ListParagraph"/>
        <w:spacing w:after="120"/>
        <w:ind w:left="0"/>
        <w:jc w:val="center"/>
        <w:rPr>
          <w:rFonts w:ascii="Times New Roman" w:hAnsi="Times New Roman"/>
          <w:sz w:val="24"/>
          <w:szCs w:val="24"/>
        </w:rPr>
      </w:pPr>
      <w:r w:rsidRPr="00860D51">
        <w:rPr>
          <w:noProof/>
        </w:rPr>
        <w:drawing>
          <wp:inline distT="0" distB="0" distL="0" distR="0" wp14:anchorId="152200FD" wp14:editId="6BC8EF58">
            <wp:extent cx="1483179" cy="1038225"/>
            <wp:effectExtent l="0" t="0" r="0" b="0"/>
            <wp:docPr id="684071585"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71585" name="Picture 1" descr="Graphical user interface, text, application, chat or text message&#10;&#10;Description automatically generated"/>
                    <pic:cNvPicPr/>
                  </pic:nvPicPr>
                  <pic:blipFill>
                    <a:blip/>
                    <a:stretch>
                      <a:fillRect/>
                    </a:stretch>
                  </pic:blipFill>
                  <pic:spPr>
                    <a:xfrm>
                      <a:off x="0" y="0"/>
                      <a:ext cx="1484589" cy="1039212"/>
                    </a:xfrm>
                    <a:prstGeom prst="rect">
                      <a:avLst/>
                    </a:prstGeom>
                  </pic:spPr>
                </pic:pic>
              </a:graphicData>
            </a:graphic>
          </wp:inline>
        </w:drawing>
      </w:r>
    </w:p>
    <w:p w14:paraId="5E1B3ED6" w14:textId="77E1C7A0" w:rsidR="00F362AC" w:rsidRPr="00412AF7" w:rsidRDefault="00F362AC" w:rsidP="006D5A65">
      <w:pPr>
        <w:pStyle w:val="Heading2"/>
      </w:pPr>
      <w:r>
        <w:t xml:space="preserve">Failed </w:t>
      </w:r>
      <w:r w:rsidR="00C717F7">
        <w:t>Import (sample error message)</w:t>
      </w:r>
      <w:r>
        <w:t>:</w:t>
      </w:r>
    </w:p>
    <w:p w14:paraId="5F5064E3" w14:textId="2BB42AF4" w:rsidR="00E15B3D" w:rsidRPr="00F362AC" w:rsidRDefault="00C717F7" w:rsidP="009570CA">
      <w:pPr>
        <w:jc w:val="center"/>
        <w:rPr>
          <w:szCs w:val="24"/>
        </w:rPr>
      </w:pPr>
      <w:r w:rsidRPr="00C428DF">
        <w:rPr>
          <w:noProof/>
        </w:rPr>
        <w:lastRenderedPageBreak/>
        <w:drawing>
          <wp:inline distT="0" distB="0" distL="0" distR="0" wp14:anchorId="175E9101" wp14:editId="76191207">
            <wp:extent cx="2500313" cy="1200150"/>
            <wp:effectExtent l="0" t="0" r="0" b="0"/>
            <wp:docPr id="647613953"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13953" name="Picture 1" descr="Graphical user interface, text, application&#10;&#10;Description automatically generated"/>
                    <pic:cNvPicPr/>
                  </pic:nvPicPr>
                  <pic:blipFill>
                    <a:blip/>
                    <a:stretch>
                      <a:fillRect/>
                    </a:stretch>
                  </pic:blipFill>
                  <pic:spPr>
                    <a:xfrm>
                      <a:off x="0" y="0"/>
                      <a:ext cx="2500313" cy="1200150"/>
                    </a:xfrm>
                    <a:prstGeom prst="rect">
                      <a:avLst/>
                    </a:prstGeom>
                  </pic:spPr>
                </pic:pic>
              </a:graphicData>
            </a:graphic>
          </wp:inline>
        </w:drawing>
      </w:r>
    </w:p>
    <w:p w14:paraId="2A3B4BC8" w14:textId="77777777" w:rsidR="00E15B3D" w:rsidRDefault="00E15B3D" w:rsidP="009570CA">
      <w:pPr>
        <w:rPr>
          <w:szCs w:val="24"/>
        </w:rPr>
      </w:pPr>
      <w:r>
        <w:rPr>
          <w:szCs w:val="24"/>
        </w:rPr>
        <w:t>To overwrite an SCNF:</w:t>
      </w:r>
    </w:p>
    <w:p w14:paraId="3FD7000A" w14:textId="77777777" w:rsidR="00E15B3D" w:rsidRDefault="00E15B3D" w:rsidP="006D5A65">
      <w:pPr>
        <w:pStyle w:val="Heading1"/>
      </w:pPr>
      <w:r>
        <w:t xml:space="preserve">Navigate to the </w:t>
      </w:r>
      <w:r>
        <w:rPr>
          <w:bCs/>
        </w:rPr>
        <w:t xml:space="preserve">Tracks </w:t>
      </w:r>
      <w:r>
        <w:t>tool.</w:t>
      </w:r>
    </w:p>
    <w:p w14:paraId="35E77B0F" w14:textId="77777777" w:rsidR="00DB291A" w:rsidRPr="001F4B14" w:rsidRDefault="00E15B3D" w:rsidP="006D5A65">
      <w:pPr>
        <w:pStyle w:val="Heading1"/>
      </w:pPr>
      <w:r>
        <w:t xml:space="preserve">On the top of the screen, click </w:t>
      </w:r>
      <w:r>
        <w:rPr>
          <w:bCs/>
        </w:rPr>
        <w:t>File -&gt; Import -&gt; SCNF</w:t>
      </w:r>
    </w:p>
    <w:p w14:paraId="73928886" w14:textId="653F0593" w:rsidR="00F20F76" w:rsidRPr="00E22ED5" w:rsidRDefault="00E15B3D" w:rsidP="00E22ED5">
      <w:pPr>
        <w:spacing w:before="120" w:line="360" w:lineRule="auto"/>
        <w:jc w:val="center"/>
        <w:rPr>
          <w:szCs w:val="24"/>
        </w:rPr>
      </w:pPr>
      <w:r>
        <w:rPr>
          <w:noProof/>
        </w:rPr>
        <w:drawing>
          <wp:inline distT="0" distB="0" distL="0" distR="0" wp14:anchorId="45EF6B2A" wp14:editId="0152732B">
            <wp:extent cx="2767039" cy="1981200"/>
            <wp:effectExtent l="0" t="0" r="0" b="0"/>
            <wp:docPr id="2280" name="Picture 2280" descr="Graphical user interface, application,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ical user interface, application, Excel&#10;&#10;Description automatically generat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70082" cy="1983379"/>
                    </a:xfrm>
                    <a:prstGeom prst="rect">
                      <a:avLst/>
                    </a:prstGeom>
                    <a:noFill/>
                    <a:ln>
                      <a:noFill/>
                    </a:ln>
                  </pic:spPr>
                </pic:pic>
              </a:graphicData>
            </a:graphic>
          </wp:inline>
        </w:drawing>
      </w:r>
    </w:p>
    <w:p w14:paraId="6846AC10" w14:textId="62DC2F8F" w:rsidR="00E15B3D" w:rsidRDefault="00E15B3D" w:rsidP="006D5A65">
      <w:pPr>
        <w:pStyle w:val="Heading1"/>
      </w:pPr>
      <w:r>
        <w:t>Navigate to the appropriate directory of the file structure. Select a file in the File name field and click Open. Only one file may be imported at a time.</w:t>
      </w:r>
    </w:p>
    <w:p w14:paraId="7A43CBD5" w14:textId="7938D6A2" w:rsidR="00E15B3D" w:rsidRDefault="00E15B3D" w:rsidP="006D5A65">
      <w:pPr>
        <w:pStyle w:val="Heading1"/>
      </w:pPr>
      <w:r>
        <w:t xml:space="preserve">A popup box should appear indicating success or failure of the import and asking User to approve override. Only files that are determined to be valid SCNFs </w:t>
      </w:r>
      <w:r w:rsidR="00C45EE2">
        <w:t xml:space="preserve">which follow the SCNF schema </w:t>
      </w:r>
      <w:r>
        <w:t>will be imported successfully.</w:t>
      </w:r>
    </w:p>
    <w:p w14:paraId="15EFAB69" w14:textId="75272DF9" w:rsidR="00E15B3D" w:rsidRDefault="00E15B3D" w:rsidP="006D5A65">
      <w:pPr>
        <w:pStyle w:val="Heading2"/>
      </w:pPr>
      <w:r>
        <w:t>Successful Override:</w:t>
      </w:r>
    </w:p>
    <w:p w14:paraId="13ACE4F9" w14:textId="7A6B462E" w:rsidR="00C717F7" w:rsidRDefault="00C717F7" w:rsidP="008233E0">
      <w:pPr>
        <w:pStyle w:val="ListParagraph"/>
        <w:spacing w:after="240"/>
        <w:ind w:left="0"/>
        <w:jc w:val="center"/>
        <w:rPr>
          <w:rFonts w:ascii="Times New Roman" w:hAnsi="Times New Roman"/>
          <w:noProof/>
          <w:sz w:val="24"/>
          <w:szCs w:val="24"/>
        </w:rPr>
      </w:pPr>
      <w:r w:rsidRPr="00173234">
        <w:rPr>
          <w:noProof/>
        </w:rPr>
        <w:drawing>
          <wp:inline distT="0" distB="0" distL="0" distR="0" wp14:anchorId="650DFE3E" wp14:editId="744866A4">
            <wp:extent cx="2743200" cy="1143000"/>
            <wp:effectExtent l="0" t="0" r="0" b="0"/>
            <wp:docPr id="175361520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15201" name="Picture 1" descr="Graphical user interface, text, application&#10;&#10;Description automatically generated"/>
                    <pic:cNvPicPr/>
                  </pic:nvPicPr>
                  <pic:blipFill>
                    <a:blip/>
                    <a:stretch>
                      <a:fillRect/>
                    </a:stretch>
                  </pic:blipFill>
                  <pic:spPr>
                    <a:xfrm>
                      <a:off x="0" y="0"/>
                      <a:ext cx="2743200" cy="1143000"/>
                    </a:xfrm>
                    <a:prstGeom prst="rect">
                      <a:avLst/>
                    </a:prstGeom>
                  </pic:spPr>
                </pic:pic>
              </a:graphicData>
            </a:graphic>
          </wp:inline>
        </w:drawing>
      </w:r>
    </w:p>
    <w:p w14:paraId="268F8688" w14:textId="619E5EEF" w:rsidR="00E15B3D" w:rsidRDefault="00C717F7" w:rsidP="009570CA">
      <w:pPr>
        <w:pStyle w:val="ListParagraph"/>
        <w:ind w:left="0"/>
        <w:jc w:val="center"/>
        <w:rPr>
          <w:rFonts w:ascii="Times New Roman" w:hAnsi="Times New Roman"/>
          <w:noProof/>
          <w:sz w:val="24"/>
          <w:szCs w:val="24"/>
        </w:rPr>
      </w:pPr>
      <w:r w:rsidRPr="00860D51">
        <w:rPr>
          <w:noProof/>
        </w:rPr>
        <w:lastRenderedPageBreak/>
        <w:drawing>
          <wp:inline distT="0" distB="0" distL="0" distR="0" wp14:anchorId="00EBDE23" wp14:editId="54ACBC86">
            <wp:extent cx="1828800" cy="1280160"/>
            <wp:effectExtent l="0" t="0" r="0" b="0"/>
            <wp:docPr id="1667781355"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71585" name="Picture 1" descr="Graphical user interface, text, application, chat or text message&#10;&#10;Description automatically generated"/>
                    <pic:cNvPicPr/>
                  </pic:nvPicPr>
                  <pic:blipFill>
                    <a:blip/>
                    <a:stretch>
                      <a:fillRect/>
                    </a:stretch>
                  </pic:blipFill>
                  <pic:spPr>
                    <a:xfrm>
                      <a:off x="0" y="0"/>
                      <a:ext cx="1828800" cy="1280160"/>
                    </a:xfrm>
                    <a:prstGeom prst="rect">
                      <a:avLst/>
                    </a:prstGeom>
                  </pic:spPr>
                </pic:pic>
              </a:graphicData>
            </a:graphic>
          </wp:inline>
        </w:drawing>
      </w:r>
    </w:p>
    <w:p w14:paraId="6B28C966" w14:textId="53BB4AA5" w:rsidR="00E15B3D" w:rsidRDefault="00E15B3D" w:rsidP="00A0163E">
      <w:pPr>
        <w:pStyle w:val="ListParagraph"/>
        <w:spacing w:before="120" w:after="120"/>
        <w:ind w:left="1440"/>
        <w:rPr>
          <w:rFonts w:ascii="Times New Roman" w:hAnsi="Times New Roman"/>
          <w:noProof/>
          <w:sz w:val="24"/>
          <w:szCs w:val="24"/>
        </w:rPr>
      </w:pPr>
      <w:r>
        <w:rPr>
          <w:rFonts w:ascii="Times New Roman" w:hAnsi="Times New Roman"/>
          <w:noProof/>
          <w:sz w:val="24"/>
          <w:szCs w:val="24"/>
        </w:rPr>
        <w:t>Clicking “No” will stop the new SCNF import.</w:t>
      </w:r>
    </w:p>
    <w:p w14:paraId="16C33E86" w14:textId="4BB6473E" w:rsidR="00E15B3D" w:rsidRDefault="00E15B3D" w:rsidP="006D5A65">
      <w:pPr>
        <w:pStyle w:val="Heading2"/>
        <w:rPr>
          <w:noProof/>
        </w:rPr>
      </w:pPr>
      <w:r>
        <w:rPr>
          <w:noProof/>
        </w:rPr>
        <w:t>Failed Override:</w:t>
      </w:r>
    </w:p>
    <w:p w14:paraId="5B4266E1" w14:textId="007058C3" w:rsidR="00E15B3D" w:rsidRDefault="00C717F7" w:rsidP="00A0163E">
      <w:pPr>
        <w:pStyle w:val="ListParagraph"/>
        <w:spacing w:after="120"/>
        <w:ind w:left="0"/>
        <w:jc w:val="center"/>
        <w:rPr>
          <w:rFonts w:ascii="Times New Roman" w:hAnsi="Times New Roman"/>
          <w:noProof/>
          <w:sz w:val="24"/>
          <w:szCs w:val="24"/>
        </w:rPr>
      </w:pPr>
      <w:r w:rsidRPr="00C428DF">
        <w:rPr>
          <w:noProof/>
        </w:rPr>
        <w:drawing>
          <wp:inline distT="0" distB="0" distL="0" distR="0" wp14:anchorId="11943FC7" wp14:editId="2D378F0C">
            <wp:extent cx="2743201" cy="1313121"/>
            <wp:effectExtent l="0" t="0" r="0" b="1905"/>
            <wp:docPr id="1328986558"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13953" name="Picture 1" descr="Graphical user interface, text, application&#10;&#10;Description automatically generated"/>
                    <pic:cNvPicPr/>
                  </pic:nvPicPr>
                  <pic:blipFill>
                    <a:blip/>
                    <a:stretch>
                      <a:fillRect/>
                    </a:stretch>
                  </pic:blipFill>
                  <pic:spPr>
                    <a:xfrm>
                      <a:off x="0" y="0"/>
                      <a:ext cx="2743201" cy="1313121"/>
                    </a:xfrm>
                    <a:prstGeom prst="rect">
                      <a:avLst/>
                    </a:prstGeom>
                  </pic:spPr>
                </pic:pic>
              </a:graphicData>
            </a:graphic>
          </wp:inline>
        </w:drawing>
      </w:r>
    </w:p>
    <w:p w14:paraId="28638310" w14:textId="77777777" w:rsidR="002E5056" w:rsidRDefault="00C45EE2" w:rsidP="00BB4EBE">
      <w:pPr>
        <w:pStyle w:val="Number0205"/>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0" w:firstLine="0"/>
        <w:jc w:val="center"/>
        <w:rPr>
          <w:b/>
          <w:bCs/>
        </w:rPr>
      </w:pPr>
      <w:r w:rsidRPr="00BB4EBE">
        <w:rPr>
          <w:b/>
          <w:bCs/>
        </w:rPr>
        <w:t>Note:</w:t>
      </w:r>
    </w:p>
    <w:p w14:paraId="4EF2062E" w14:textId="7109E2AA" w:rsidR="00C45EE2" w:rsidRPr="00BB4EBE" w:rsidRDefault="00C45EE2" w:rsidP="00BB4EBE">
      <w:pPr>
        <w:pStyle w:val="Number0205"/>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0" w:firstLine="0"/>
        <w:jc w:val="center"/>
        <w:rPr>
          <w:b/>
          <w:bCs/>
        </w:rPr>
      </w:pPr>
      <w:r w:rsidRPr="00BB4EBE">
        <w:rPr>
          <w:b/>
          <w:bCs/>
        </w:rPr>
        <w:t xml:space="preserve">A failed override will report the first issue encountered while attempting to import the SCNF. It is possible an SCNF import has multiple issues, but only the first one will be reported in the Failed Override popup and Error Log entry. </w:t>
      </w:r>
    </w:p>
    <w:p w14:paraId="0FB3970B" w14:textId="4CED928E" w:rsidR="00984175" w:rsidRPr="000665B0" w:rsidRDefault="00984175" w:rsidP="00F63C77">
      <w:pPr>
        <w:pStyle w:val="Number0205"/>
        <w:ind w:left="0" w:firstLine="0"/>
      </w:pPr>
    </w:p>
    <w:p w14:paraId="271953C7" w14:textId="77777777" w:rsidR="00A316EA" w:rsidRDefault="00A316EA" w:rsidP="009570CA">
      <w:pPr>
        <w:pStyle w:val="Number0205"/>
        <w:ind w:left="720" w:firstLine="0"/>
      </w:pPr>
      <w:r>
        <w:br w:type="page"/>
      </w:r>
      <w:bookmarkStart w:id="6017" w:name="_STRIKE_ORGANIZATIONS_TOOL"/>
      <w:bookmarkStart w:id="6018" w:name="_Toc214283539"/>
      <w:bookmarkEnd w:id="5956"/>
      <w:bookmarkEnd w:id="6017"/>
      <w:r w:rsidR="001857ED" w:rsidRPr="000665B0">
        <w:lastRenderedPageBreak/>
        <w:t xml:space="preserve">TASK </w:t>
      </w:r>
      <w:r w:rsidR="005D1A26" w:rsidRPr="000665B0">
        <w:t>ORGANIZATIONS TOOL</w:t>
      </w:r>
      <w:bookmarkEnd w:id="5724"/>
      <w:bookmarkEnd w:id="5725"/>
      <w:bookmarkEnd w:id="5726"/>
      <w:bookmarkEnd w:id="5727"/>
      <w:bookmarkEnd w:id="5957"/>
      <w:bookmarkEnd w:id="5958"/>
      <w:bookmarkEnd w:id="6018"/>
    </w:p>
    <w:p w14:paraId="7AA40905" w14:textId="5B904FB1" w:rsidR="00861477" w:rsidRPr="000665B0" w:rsidRDefault="00861477" w:rsidP="009570CA">
      <w:bookmarkStart w:id="6019" w:name="_5.36.1__Create"/>
      <w:bookmarkStart w:id="6020" w:name="_Toc71955722"/>
      <w:bookmarkStart w:id="6021" w:name="_Toc96170254"/>
      <w:bookmarkStart w:id="6022" w:name="_Toc96234299"/>
      <w:bookmarkStart w:id="6023" w:name="_Toc112733719"/>
      <w:bookmarkStart w:id="6024" w:name="_Toc289328820"/>
      <w:bookmarkStart w:id="6025" w:name="_Toc312332051"/>
      <w:bookmarkEnd w:id="6019"/>
      <w:r w:rsidRPr="000665B0">
        <w:t xml:space="preserve">A </w:t>
      </w:r>
      <w:r w:rsidR="001857ED" w:rsidRPr="000665B0">
        <w:t xml:space="preserve">Task </w:t>
      </w:r>
      <w:r w:rsidRPr="000665B0">
        <w:t xml:space="preserve">Organization identifies the hierarchical relationship of organizations using the MDS, and external organizations with tasking and reporting relationships for Tomahawk employment. </w:t>
      </w:r>
      <w:r w:rsidR="001857ED" w:rsidRPr="000665B0">
        <w:t>Task</w:t>
      </w:r>
      <w:r w:rsidR="001857ED" w:rsidRPr="000665B0" w:rsidDel="001857ED">
        <w:t xml:space="preserve"> </w:t>
      </w:r>
      <w:r w:rsidRPr="000665B0">
        <w:t xml:space="preserve">Organization profiles may describe the natural relationships of the organizations as they are established for long-term use. </w:t>
      </w:r>
      <w:r w:rsidR="001857ED" w:rsidRPr="000665B0">
        <w:t>Task</w:t>
      </w:r>
      <w:r w:rsidR="001857ED" w:rsidRPr="000665B0" w:rsidDel="001857ED">
        <w:t xml:space="preserve"> </w:t>
      </w:r>
      <w:r w:rsidRPr="000665B0">
        <w:t xml:space="preserve">Organization profiles can also be established for deployments, plans, and tactical assignments such as a strike. A </w:t>
      </w:r>
      <w:r w:rsidR="001857ED" w:rsidRPr="000665B0">
        <w:t>Task</w:t>
      </w:r>
      <w:r w:rsidR="001857ED" w:rsidRPr="000665B0" w:rsidDel="001857ED">
        <w:t xml:space="preserve"> </w:t>
      </w:r>
      <w:r w:rsidRPr="000665B0">
        <w:t>Organization is associated with a Strike Folder and can be used to accomplish strike objectives. Multiple organizations can be developed with different platforms/</w:t>
      </w:r>
      <w:r w:rsidR="00D56649" w:rsidRPr="000665B0">
        <w:t xml:space="preserve">Standalone MDS </w:t>
      </w:r>
      <w:r w:rsidRPr="000665B0">
        <w:t>nodes to support different Strike Planning options.</w:t>
      </w:r>
    </w:p>
    <w:p w14:paraId="01FAF750" w14:textId="3D2DE0E3" w:rsidR="00861477" w:rsidRPr="000665B0" w:rsidRDefault="001857ED" w:rsidP="009570CA">
      <w:r w:rsidRPr="000665B0">
        <w:t>Task</w:t>
      </w:r>
      <w:r w:rsidRPr="000665B0" w:rsidDel="001857ED">
        <w:t xml:space="preserve"> </w:t>
      </w:r>
      <w:r w:rsidR="00861477" w:rsidRPr="000665B0">
        <w:t>Organizations describes the platforms and nodes assigned to a strike and their roles within the strike</w:t>
      </w:r>
      <w:r w:rsidR="00E51FE6" w:rsidRPr="00C97B43">
        <w:t xml:space="preserve">. </w:t>
      </w:r>
      <w:r w:rsidR="00861477" w:rsidRPr="00C97B43">
        <w:t>One and only one TSC</w:t>
      </w:r>
      <w:r w:rsidR="00E51FE6" w:rsidRPr="00C97B43">
        <w:t xml:space="preserve"> and at least one ATSC </w:t>
      </w:r>
      <w:r w:rsidR="00861477" w:rsidRPr="00C97B43">
        <w:t xml:space="preserve">are required in a </w:t>
      </w:r>
      <w:r w:rsidRPr="00C97B43">
        <w:t>Task</w:t>
      </w:r>
      <w:r w:rsidRPr="00C97B43" w:rsidDel="001857ED">
        <w:t xml:space="preserve"> </w:t>
      </w:r>
      <w:r w:rsidR="00861477" w:rsidRPr="00C97B43">
        <w:t>Organization</w:t>
      </w:r>
      <w:r w:rsidR="00861477" w:rsidRPr="006D7B19">
        <w:t>.</w:t>
      </w:r>
    </w:p>
    <w:p w14:paraId="13EE5A28" w14:textId="6FF6C2D2" w:rsidR="00861477" w:rsidRPr="000665B0" w:rsidRDefault="00861477" w:rsidP="009570CA">
      <w:r w:rsidRPr="000665B0">
        <w:t xml:space="preserve">To view the </w:t>
      </w:r>
      <w:r w:rsidR="00EA51F4" w:rsidRPr="000665B0">
        <w:t xml:space="preserve">Task </w:t>
      </w:r>
      <w:r w:rsidRPr="000665B0">
        <w:t>Organizations Tool:</w:t>
      </w:r>
    </w:p>
    <w:p w14:paraId="3A057CD0" w14:textId="689CECCB" w:rsidR="00861477" w:rsidRPr="000665B0" w:rsidRDefault="00861477" w:rsidP="009570CA">
      <w:pPr>
        <w:ind w:left="360"/>
      </w:pPr>
      <w:r w:rsidRPr="000665B0">
        <w:t xml:space="preserve">From the </w:t>
      </w:r>
      <w:r w:rsidRPr="000665B0">
        <w:rPr>
          <w:b/>
        </w:rPr>
        <w:t>Go</w:t>
      </w:r>
      <w:r w:rsidRPr="000665B0">
        <w:t xml:space="preserve"> menu select </w:t>
      </w:r>
      <w:r w:rsidR="001857ED" w:rsidRPr="000665B0">
        <w:rPr>
          <w:b/>
          <w:bCs/>
        </w:rPr>
        <w:t xml:space="preserve">Task </w:t>
      </w:r>
      <w:r w:rsidRPr="000665B0">
        <w:rPr>
          <w:b/>
          <w:bCs/>
        </w:rPr>
        <w:t>Organizations</w:t>
      </w:r>
      <w:r w:rsidRPr="000665B0">
        <w:t>.</w:t>
      </w:r>
    </w:p>
    <w:p w14:paraId="7F91FE97" w14:textId="67352759" w:rsidR="00861477" w:rsidRPr="000665B0" w:rsidRDefault="001857ED" w:rsidP="009570CA">
      <w:pPr>
        <w:jc w:val="center"/>
      </w:pPr>
      <w:r w:rsidRPr="000665B0">
        <w:rPr>
          <w:noProof/>
        </w:rPr>
        <w:drawing>
          <wp:inline distT="0" distB="0" distL="0" distR="0" wp14:anchorId="688DBC73" wp14:editId="16626945">
            <wp:extent cx="3657600" cy="2404872"/>
            <wp:effectExtent l="0" t="0" r="0" b="0"/>
            <wp:docPr id="2240" name="Picture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657600" cy="2404872"/>
                    </a:xfrm>
                    <a:prstGeom prst="rect">
                      <a:avLst/>
                    </a:prstGeom>
                  </pic:spPr>
                </pic:pic>
              </a:graphicData>
            </a:graphic>
          </wp:inline>
        </w:drawing>
      </w:r>
    </w:p>
    <w:p w14:paraId="1EE0EE8E" w14:textId="7D3367FB" w:rsidR="00861477" w:rsidRPr="000665B0" w:rsidRDefault="001857ED" w:rsidP="009570CA">
      <w:pPr>
        <w:rPr>
          <w:b/>
          <w:i/>
        </w:rPr>
      </w:pPr>
      <w:r w:rsidRPr="000665B0">
        <w:rPr>
          <w:b/>
          <w:i/>
        </w:rPr>
        <w:t xml:space="preserve">Task </w:t>
      </w:r>
      <w:r w:rsidR="00861477" w:rsidRPr="000665B0">
        <w:rPr>
          <w:b/>
          <w:i/>
        </w:rPr>
        <w:t>Organizations List View</w:t>
      </w:r>
    </w:p>
    <w:p w14:paraId="362C6F44" w14:textId="77777777" w:rsidR="00861477" w:rsidRPr="000665B0" w:rsidRDefault="00861477" w:rsidP="006D5A65">
      <w:pPr>
        <w:pStyle w:val="Heading1"/>
      </w:pPr>
      <w:r w:rsidRPr="000665B0">
        <w:t>Columns</w:t>
      </w:r>
    </w:p>
    <w:p w14:paraId="61B54796" w14:textId="77777777" w:rsidR="00861477" w:rsidRPr="000665B0" w:rsidRDefault="00861477" w:rsidP="006D5A65">
      <w:pPr>
        <w:pStyle w:val="Heading2"/>
      </w:pPr>
      <w:r w:rsidRPr="000665B0">
        <w:t>Name – Up to 38 free-format characters.</w:t>
      </w:r>
    </w:p>
    <w:p w14:paraId="02883511" w14:textId="77777777" w:rsidR="00861477" w:rsidRPr="000665B0" w:rsidRDefault="00861477" w:rsidP="006D5A65">
      <w:pPr>
        <w:pStyle w:val="Heading2"/>
      </w:pPr>
      <w:r w:rsidRPr="000665B0">
        <w:t>TSC – Node name of the Tomahawk Strike Coordinator.</w:t>
      </w:r>
    </w:p>
    <w:p w14:paraId="3E686C0C" w14:textId="3829028B" w:rsidR="00861477" w:rsidRPr="000665B0" w:rsidRDefault="00861477" w:rsidP="006D5A65">
      <w:pPr>
        <w:pStyle w:val="Heading2"/>
      </w:pPr>
      <w:r w:rsidRPr="000665B0">
        <w:t xml:space="preserve">Last Modified – Date the </w:t>
      </w:r>
      <w:r w:rsidR="001857ED" w:rsidRPr="000665B0">
        <w:t>Task</w:t>
      </w:r>
      <w:r w:rsidR="001857ED" w:rsidRPr="000665B0" w:rsidDel="001857ED">
        <w:t xml:space="preserve"> </w:t>
      </w:r>
      <w:r w:rsidRPr="000665B0">
        <w:t>Organization was last modified.</w:t>
      </w:r>
    </w:p>
    <w:p w14:paraId="4705DBE8" w14:textId="77777777" w:rsidR="00861477" w:rsidRPr="000665B0" w:rsidRDefault="00861477" w:rsidP="006D5A65">
      <w:pPr>
        <w:pStyle w:val="Heading1"/>
      </w:pPr>
      <w:r w:rsidRPr="000665B0">
        <w:t>Context Menu</w:t>
      </w:r>
    </w:p>
    <w:p w14:paraId="0228EB4F" w14:textId="185359CD" w:rsidR="004928AF" w:rsidRPr="000665B0" w:rsidRDefault="004928AF" w:rsidP="006D5A65">
      <w:pPr>
        <w:pStyle w:val="Heading2"/>
        <w:rPr>
          <w:rFonts w:eastAsia="Arial Unicode MS"/>
        </w:rPr>
      </w:pPr>
      <w:r w:rsidRPr="000665B0">
        <w:rPr>
          <w:rFonts w:eastAsia="Arial Unicode MS"/>
        </w:rPr>
        <w:t xml:space="preserve">New – </w:t>
      </w:r>
      <w:r w:rsidRPr="000665B0">
        <w:t xml:space="preserve">Invokes the </w:t>
      </w:r>
      <w:r w:rsidR="001857ED" w:rsidRPr="000665B0">
        <w:rPr>
          <w:i/>
        </w:rPr>
        <w:t xml:space="preserve">Task </w:t>
      </w:r>
      <w:r w:rsidRPr="000665B0">
        <w:rPr>
          <w:i/>
        </w:rPr>
        <w:t>Organization</w:t>
      </w:r>
      <w:r w:rsidRPr="000665B0">
        <w:t xml:space="preserve"> window.</w:t>
      </w:r>
    </w:p>
    <w:p w14:paraId="46D23211" w14:textId="76D7FA08" w:rsidR="00861477" w:rsidRPr="000665B0" w:rsidRDefault="00861477" w:rsidP="006D5A65">
      <w:pPr>
        <w:pStyle w:val="Heading2"/>
      </w:pPr>
      <w:r w:rsidRPr="000665B0">
        <w:t>Display</w:t>
      </w:r>
    </w:p>
    <w:p w14:paraId="08D78767" w14:textId="50A8D601" w:rsidR="00861477" w:rsidRPr="000665B0" w:rsidRDefault="00861477" w:rsidP="006D5A65">
      <w:pPr>
        <w:pStyle w:val="Heading1"/>
      </w:pPr>
      <w:r w:rsidRPr="000665B0">
        <w:rPr>
          <w:rFonts w:eastAsia="Arial Unicode MS"/>
        </w:rPr>
        <w:lastRenderedPageBreak/>
        <w:t xml:space="preserve">Textually </w:t>
      </w:r>
      <w:r w:rsidRPr="000665B0">
        <w:t xml:space="preserve">– Displays the textual view of the </w:t>
      </w:r>
      <w:r w:rsidR="001857ED" w:rsidRPr="000665B0">
        <w:t xml:space="preserve">Task </w:t>
      </w:r>
      <w:r w:rsidRPr="000665B0">
        <w:t xml:space="preserve">Organization. </w:t>
      </w:r>
    </w:p>
    <w:p w14:paraId="4F7229FF" w14:textId="7826B79B" w:rsidR="00861477" w:rsidRPr="000665B0" w:rsidRDefault="00861477" w:rsidP="006D5A65">
      <w:pPr>
        <w:pStyle w:val="Heading1"/>
      </w:pPr>
      <w:r w:rsidRPr="000665B0">
        <w:t xml:space="preserve">References – Displays the selected </w:t>
      </w:r>
      <w:r w:rsidR="001857ED" w:rsidRPr="000665B0">
        <w:t>Task</w:t>
      </w:r>
      <w:r w:rsidR="001857ED" w:rsidRPr="000665B0" w:rsidDel="001857ED">
        <w:t xml:space="preserve"> </w:t>
      </w:r>
      <w:r w:rsidRPr="000665B0">
        <w:t>Organization’s references.</w:t>
      </w:r>
    </w:p>
    <w:p w14:paraId="69C20296" w14:textId="0C463A40" w:rsidR="00861477" w:rsidRPr="000665B0" w:rsidRDefault="00861477" w:rsidP="006D5A65">
      <w:pPr>
        <w:pStyle w:val="Heading1"/>
      </w:pPr>
      <w:r w:rsidRPr="000665B0">
        <w:t xml:space="preserve">In Excel – Creates an Excel document containing the selected </w:t>
      </w:r>
      <w:r w:rsidR="001857ED" w:rsidRPr="000665B0">
        <w:t>Task</w:t>
      </w:r>
      <w:r w:rsidR="001857ED" w:rsidRPr="000665B0" w:rsidDel="001857ED">
        <w:t xml:space="preserve"> </w:t>
      </w:r>
      <w:r w:rsidRPr="000665B0">
        <w:t xml:space="preserve">Organization’s </w:t>
      </w:r>
      <w:r w:rsidR="0089729B" w:rsidRPr="000665B0">
        <w:t>information.</w:t>
      </w:r>
    </w:p>
    <w:p w14:paraId="52EA245C" w14:textId="4B43E179" w:rsidR="00861477" w:rsidRPr="000665B0" w:rsidRDefault="00861477" w:rsidP="006D5A65">
      <w:pPr>
        <w:pStyle w:val="Heading1"/>
      </w:pPr>
      <w:r w:rsidRPr="000665B0">
        <w:t xml:space="preserve">Send… – Displays a new DDO Template with the selected </w:t>
      </w:r>
      <w:r w:rsidR="001857ED" w:rsidRPr="000665B0">
        <w:t>Task</w:t>
      </w:r>
      <w:r w:rsidR="001857ED" w:rsidRPr="000665B0" w:rsidDel="001857ED">
        <w:t xml:space="preserve"> </w:t>
      </w:r>
      <w:r w:rsidRPr="000665B0">
        <w:t>Organization(s) pre-populated in the Strike Data tab.</w:t>
      </w:r>
    </w:p>
    <w:p w14:paraId="7B81BE87" w14:textId="062DC085" w:rsidR="00861477" w:rsidRPr="000665B0" w:rsidRDefault="00861477" w:rsidP="006D5A65">
      <w:pPr>
        <w:pStyle w:val="Heading1"/>
      </w:pPr>
      <w:r w:rsidRPr="000665B0">
        <w:t xml:space="preserve">Print… – Prints the selected </w:t>
      </w:r>
      <w:r w:rsidR="001857ED" w:rsidRPr="000665B0">
        <w:t>Task</w:t>
      </w:r>
      <w:r w:rsidR="001857ED" w:rsidRPr="000665B0" w:rsidDel="001857ED">
        <w:t xml:space="preserve"> </w:t>
      </w:r>
      <w:r w:rsidRPr="000665B0">
        <w:t>Organization’s list information.</w:t>
      </w:r>
    </w:p>
    <w:p w14:paraId="3B772A78" w14:textId="243F5CD9" w:rsidR="00861477" w:rsidRPr="000665B0" w:rsidRDefault="00861477" w:rsidP="006D5A65">
      <w:pPr>
        <w:pStyle w:val="Heading1"/>
      </w:pPr>
      <w:r w:rsidRPr="000665B0">
        <w:t xml:space="preserve">Delete – Deletes the selected </w:t>
      </w:r>
      <w:r w:rsidR="001857ED" w:rsidRPr="000665B0">
        <w:t>Task</w:t>
      </w:r>
      <w:r w:rsidR="001857ED" w:rsidRPr="000665B0" w:rsidDel="001857ED">
        <w:t xml:space="preserve"> </w:t>
      </w:r>
      <w:r w:rsidRPr="000665B0">
        <w:t>Organization(s) from the List View.</w:t>
      </w:r>
    </w:p>
    <w:p w14:paraId="65A506F2" w14:textId="2DD9C2F4" w:rsidR="005D1A26" w:rsidRPr="000665B0" w:rsidRDefault="005D1A26" w:rsidP="009570CA">
      <w:pPr>
        <w:pStyle w:val="Heading3"/>
      </w:pPr>
      <w:bookmarkStart w:id="6026" w:name="_Toc214283540"/>
      <w:r w:rsidRPr="000665B0">
        <w:t xml:space="preserve">Create </w:t>
      </w:r>
      <w:r w:rsidR="00A377A2" w:rsidRPr="000665B0">
        <w:t xml:space="preserve">a </w:t>
      </w:r>
      <w:r w:rsidR="00BE53EB" w:rsidRPr="000665B0">
        <w:t xml:space="preserve">Task </w:t>
      </w:r>
      <w:r w:rsidRPr="000665B0">
        <w:t>Organization</w:t>
      </w:r>
      <w:bookmarkEnd w:id="6020"/>
      <w:bookmarkEnd w:id="6021"/>
      <w:bookmarkEnd w:id="6022"/>
      <w:bookmarkEnd w:id="6023"/>
      <w:bookmarkEnd w:id="6024"/>
      <w:bookmarkEnd w:id="6025"/>
      <w:bookmarkEnd w:id="6026"/>
    </w:p>
    <w:p w14:paraId="07086B74" w14:textId="54750F2E" w:rsidR="003C66CF" w:rsidRPr="000665B0" w:rsidRDefault="003C66CF" w:rsidP="009570CA">
      <w:r w:rsidRPr="000665B0">
        <w:t xml:space="preserve">Creating a new </w:t>
      </w:r>
      <w:r w:rsidR="00BE53EB" w:rsidRPr="000665B0">
        <w:t xml:space="preserve">Task </w:t>
      </w:r>
      <w:r w:rsidRPr="000665B0">
        <w:t xml:space="preserve">Organization allows the operator to select various platforms and </w:t>
      </w:r>
      <w:r w:rsidR="00D56649" w:rsidRPr="000665B0">
        <w:t xml:space="preserve">Standalone MDS </w:t>
      </w:r>
      <w:r w:rsidRPr="000665B0">
        <w:t xml:space="preserve">nodes to be part of a specific organization and to specify their roles within the organization. The </w:t>
      </w:r>
      <w:r w:rsidR="00BE53EB" w:rsidRPr="000665B0">
        <w:t xml:space="preserve">Task </w:t>
      </w:r>
      <w:r w:rsidRPr="000665B0">
        <w:t xml:space="preserve">Organization is then used in the Strike Plan Folders Tool when creating a Strike Plan. </w:t>
      </w:r>
    </w:p>
    <w:p w14:paraId="690EE614" w14:textId="29D44C14" w:rsidR="003C66CF" w:rsidRPr="000665B0" w:rsidRDefault="003C66CF" w:rsidP="009570CA">
      <w:r w:rsidRPr="000665B0">
        <w:t xml:space="preserve">To create a new </w:t>
      </w:r>
      <w:r w:rsidR="00BE53EB" w:rsidRPr="000665B0">
        <w:t>Task</w:t>
      </w:r>
      <w:r w:rsidR="00BE53EB" w:rsidRPr="000665B0" w:rsidDel="00BE53EB">
        <w:t xml:space="preserve"> </w:t>
      </w:r>
      <w:r w:rsidRPr="000665B0">
        <w:t>Organization:</w:t>
      </w:r>
    </w:p>
    <w:p w14:paraId="7B9D7C28" w14:textId="5077521D" w:rsidR="003C66CF" w:rsidRPr="000665B0" w:rsidRDefault="003C66CF" w:rsidP="006D5A65">
      <w:pPr>
        <w:pStyle w:val="Heading1"/>
      </w:pPr>
      <w:r w:rsidRPr="000665B0">
        <w:t xml:space="preserve">Navigate to the </w:t>
      </w:r>
      <w:r w:rsidR="00BE53EB" w:rsidRPr="000665B0">
        <w:t xml:space="preserve">Task </w:t>
      </w:r>
      <w:r w:rsidRPr="000665B0">
        <w:t>Organization Tool.</w:t>
      </w:r>
    </w:p>
    <w:p w14:paraId="63B10423" w14:textId="24192EB9" w:rsidR="003C66CF" w:rsidRPr="000665B0" w:rsidRDefault="003C66CF" w:rsidP="006D5A65">
      <w:pPr>
        <w:pStyle w:val="Heading1"/>
      </w:pPr>
      <w:r w:rsidRPr="00C97B43">
        <w:t xml:space="preserve">From the </w:t>
      </w:r>
      <w:r w:rsidRPr="00C97B43">
        <w:rPr>
          <w:bCs/>
        </w:rPr>
        <w:t>File</w:t>
      </w:r>
      <w:r w:rsidRPr="00C97B43">
        <w:t xml:space="preserve"> menu select </w:t>
      </w:r>
      <w:r w:rsidRPr="00C97B43">
        <w:rPr>
          <w:bCs/>
        </w:rPr>
        <w:t>New…</w:t>
      </w:r>
      <w:r w:rsidR="004928AF" w:rsidRPr="00C97B43">
        <w:t>,</w:t>
      </w:r>
      <w:r w:rsidRPr="00C97B43">
        <w:t xml:space="preserve"> </w:t>
      </w:r>
      <w:r w:rsidR="007A75CC" w:rsidRPr="00C97B43">
        <w:t xml:space="preserve">click </w:t>
      </w:r>
      <w:r w:rsidRPr="00C97B43">
        <w:t xml:space="preserve">the New </w:t>
      </w:r>
      <w:r w:rsidRPr="00C97B43">
        <w:rPr>
          <w:noProof/>
        </w:rPr>
        <w:drawing>
          <wp:inline distT="0" distB="0" distL="0" distR="0" wp14:anchorId="003D5C78" wp14:editId="2ED3FD91">
            <wp:extent cx="152400" cy="152400"/>
            <wp:effectExtent l="0" t="0" r="0" b="0"/>
            <wp:docPr id="1221" name="Picture 1221"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new 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C97B43">
        <w:t xml:space="preserve"> icon </w:t>
      </w:r>
      <w:r w:rsidR="007A75CC" w:rsidRPr="00C97B43">
        <w:t xml:space="preserve">on </w:t>
      </w:r>
      <w:r w:rsidRPr="00C97B43">
        <w:t>the toolbar</w:t>
      </w:r>
      <w:r w:rsidR="004928AF" w:rsidRPr="00C97B43">
        <w:rPr>
          <w:szCs w:val="24"/>
        </w:rPr>
        <w:t xml:space="preserve">, or </w:t>
      </w:r>
      <w:r w:rsidR="004928AF" w:rsidRPr="00C97B43">
        <w:rPr>
          <w:noProof/>
          <w:szCs w:val="24"/>
        </w:rPr>
        <w:t>invoke the context menu (right-click the mouse) and select New…</w:t>
      </w:r>
      <w:r w:rsidRPr="00C97B43">
        <w:t xml:space="preserve">. A new </w:t>
      </w:r>
      <w:r w:rsidR="00BE53EB" w:rsidRPr="00C97B43">
        <w:rPr>
          <w:i/>
          <w:iCs/>
        </w:rPr>
        <w:t xml:space="preserve">Task </w:t>
      </w:r>
      <w:r w:rsidRPr="00C97B43">
        <w:rPr>
          <w:i/>
          <w:iCs/>
        </w:rPr>
        <w:t xml:space="preserve">Organization </w:t>
      </w:r>
      <w:r w:rsidRPr="00C97B43">
        <w:t>window is displayed. The operator’s own node is automatically added to the List View, and defaults to TSC</w:t>
      </w:r>
      <w:r w:rsidR="00E51FE6" w:rsidRPr="00C97B43">
        <w:t xml:space="preserve"> and </w:t>
      </w:r>
      <w:r w:rsidRPr="00C97B43">
        <w:t>MC roles. However, the user can edit these roles</w:t>
      </w:r>
      <w:r w:rsidRPr="000665B0">
        <w:t>.</w:t>
      </w:r>
    </w:p>
    <w:p w14:paraId="18F8AB6D" w14:textId="351AB471" w:rsidR="003C66CF" w:rsidRPr="000665B0" w:rsidRDefault="00174457" w:rsidP="00E22ED5">
      <w:pPr>
        <w:jc w:val="center"/>
        <w:rPr>
          <w:noProof/>
        </w:rPr>
      </w:pPr>
      <w:r>
        <w:rPr>
          <w:noProof/>
        </w:rPr>
        <w:drawing>
          <wp:inline distT="0" distB="0" distL="0" distR="0" wp14:anchorId="3612290B" wp14:editId="3E7C0D15">
            <wp:extent cx="4983480" cy="2167128"/>
            <wp:effectExtent l="0" t="0" r="0" b="0"/>
            <wp:docPr id="10" name="Picture 10"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table&#10;&#10;Description automatically generated"/>
                    <pic:cNvPicPr/>
                  </pic:nvPicPr>
                  <pic:blipFill>
                    <a:blip/>
                    <a:stretch>
                      <a:fillRect/>
                    </a:stretch>
                  </pic:blipFill>
                  <pic:spPr>
                    <a:xfrm>
                      <a:off x="0" y="0"/>
                      <a:ext cx="4983480" cy="2167128"/>
                    </a:xfrm>
                    <a:prstGeom prst="rect">
                      <a:avLst/>
                    </a:prstGeom>
                  </pic:spPr>
                </pic:pic>
              </a:graphicData>
            </a:graphic>
          </wp:inline>
        </w:drawing>
      </w:r>
    </w:p>
    <w:p w14:paraId="16D53FFA" w14:textId="77777777" w:rsidR="003C66CF" w:rsidRPr="00952892" w:rsidRDefault="003C66CF" w:rsidP="009570CA">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952892">
        <w:rPr>
          <w:b/>
        </w:rPr>
        <w:lastRenderedPageBreak/>
        <w:t>Note:</w:t>
      </w:r>
    </w:p>
    <w:p w14:paraId="0E042953" w14:textId="39A204DC" w:rsidR="003C66CF" w:rsidRPr="000665B0" w:rsidRDefault="003C66CF" w:rsidP="009570CA">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952892">
        <w:rPr>
          <w:b/>
        </w:rPr>
        <w:t>One and only one TSC</w:t>
      </w:r>
      <w:r w:rsidR="004E7017" w:rsidRPr="00952892">
        <w:rPr>
          <w:b/>
        </w:rPr>
        <w:t xml:space="preserve"> </w:t>
      </w:r>
      <w:r w:rsidRPr="00952892">
        <w:rPr>
          <w:b/>
        </w:rPr>
        <w:t>and at least one AT</w:t>
      </w:r>
      <w:r w:rsidR="00E51FE6" w:rsidRPr="00952892">
        <w:rPr>
          <w:b/>
        </w:rPr>
        <w:t>SC</w:t>
      </w:r>
      <w:r w:rsidRPr="00952892">
        <w:rPr>
          <w:b/>
        </w:rPr>
        <w:t xml:space="preserve"> are required in a </w:t>
      </w:r>
      <w:r w:rsidR="00BE53EB" w:rsidRPr="00952892">
        <w:rPr>
          <w:b/>
        </w:rPr>
        <w:t xml:space="preserve">Task </w:t>
      </w:r>
      <w:r w:rsidRPr="00952892">
        <w:rPr>
          <w:b/>
        </w:rPr>
        <w:t>Organization.</w:t>
      </w:r>
    </w:p>
    <w:p w14:paraId="50B1FDEA" w14:textId="036FE580" w:rsidR="003C66CF" w:rsidRPr="000665B0" w:rsidRDefault="003C66CF" w:rsidP="006D5A65">
      <w:pPr>
        <w:pStyle w:val="Heading1"/>
      </w:pPr>
      <w:r w:rsidRPr="000665B0">
        <w:t xml:space="preserve">The </w:t>
      </w:r>
      <w:r w:rsidR="00BE53EB" w:rsidRPr="000665B0">
        <w:rPr>
          <w:i/>
        </w:rPr>
        <w:t xml:space="preserve">Task </w:t>
      </w:r>
      <w:r w:rsidRPr="000665B0">
        <w:rPr>
          <w:i/>
        </w:rPr>
        <w:t>Organization</w:t>
      </w:r>
      <w:r w:rsidRPr="000665B0">
        <w:t xml:space="preserve"> window displays the following information fields:</w:t>
      </w:r>
    </w:p>
    <w:p w14:paraId="5766CCA7" w14:textId="76C40590" w:rsidR="003C66CF" w:rsidRPr="000665B0" w:rsidRDefault="00BE53EB" w:rsidP="006D5A65">
      <w:pPr>
        <w:pStyle w:val="Heading1"/>
      </w:pPr>
      <w:r w:rsidRPr="000665B0">
        <w:t xml:space="preserve">Task </w:t>
      </w:r>
      <w:r w:rsidR="003C66CF" w:rsidRPr="000665B0">
        <w:t>Organization Name – Up to 38 free-format characters.</w:t>
      </w:r>
    </w:p>
    <w:p w14:paraId="1DC609EC" w14:textId="59165523" w:rsidR="003C66CF" w:rsidRPr="000665B0" w:rsidRDefault="003C66CF" w:rsidP="006D5A65">
      <w:pPr>
        <w:pStyle w:val="Heading1"/>
      </w:pPr>
      <w:r w:rsidRPr="000665B0">
        <w:t xml:space="preserve">Received DTG – Date the </w:t>
      </w:r>
      <w:r w:rsidR="00BE53EB" w:rsidRPr="000665B0">
        <w:t xml:space="preserve">Task </w:t>
      </w:r>
      <w:r w:rsidRPr="000665B0">
        <w:t>Organization was received.</w:t>
      </w:r>
    </w:p>
    <w:p w14:paraId="517761C0" w14:textId="48CD08FD" w:rsidR="003C66CF" w:rsidRPr="000665B0" w:rsidRDefault="003C66CF" w:rsidP="006D5A65">
      <w:pPr>
        <w:pStyle w:val="Heading1"/>
      </w:pPr>
      <w:r w:rsidRPr="000665B0">
        <w:t xml:space="preserve">Last Modified DTG – Date the </w:t>
      </w:r>
      <w:r w:rsidR="00BE53EB" w:rsidRPr="000665B0">
        <w:t>Task</w:t>
      </w:r>
      <w:r w:rsidR="00BE53EB" w:rsidRPr="000665B0" w:rsidDel="00BE53EB">
        <w:t xml:space="preserve"> </w:t>
      </w:r>
      <w:r w:rsidRPr="000665B0">
        <w:t>Organization was last modified.</w:t>
      </w:r>
    </w:p>
    <w:p w14:paraId="6BEDD35F" w14:textId="195BD0F4" w:rsidR="003C66CF" w:rsidRPr="000665B0" w:rsidRDefault="003C66CF" w:rsidP="006D5A65">
      <w:pPr>
        <w:pStyle w:val="Heading1"/>
      </w:pPr>
      <w:r w:rsidRPr="000665B0">
        <w:t xml:space="preserve">Missile Inventory – </w:t>
      </w:r>
      <w:r w:rsidR="00174457" w:rsidRPr="00991CE9">
        <w:t>Total number o</w:t>
      </w:r>
      <w:r w:rsidR="00174457">
        <w:t>f tactical and training missile</w:t>
      </w:r>
      <w:r w:rsidR="00174457" w:rsidRPr="00991CE9">
        <w:t xml:space="preserve"> inventory</w:t>
      </w:r>
      <w:r w:rsidR="00174457" w:rsidRPr="00991CE9">
        <w:rPr>
          <w:rStyle w:val="normaltextrun"/>
          <w:color w:val="000000"/>
          <w:shd w:val="clear" w:color="auto" w:fill="FFFFFF"/>
        </w:rPr>
        <w:t xml:space="preserve"> </w:t>
      </w:r>
      <w:r w:rsidR="00174457">
        <w:rPr>
          <w:rStyle w:val="normaltextrun"/>
          <w:color w:val="000000"/>
          <w:shd w:val="clear" w:color="auto" w:fill="FFFFFF"/>
        </w:rPr>
        <w:t xml:space="preserve">grouped </w:t>
      </w:r>
      <w:r w:rsidR="00174457" w:rsidRPr="00991CE9">
        <w:rPr>
          <w:rStyle w:val="normaltextrun"/>
          <w:color w:val="000000"/>
          <w:shd w:val="clear" w:color="auto" w:fill="FFFFFF"/>
        </w:rPr>
        <w:t xml:space="preserve">using the 4-Character identifiers </w:t>
      </w:r>
      <w:r w:rsidR="00174457" w:rsidRPr="00991CE9">
        <w:t>for all FRUs in the Task Organization.</w:t>
      </w:r>
    </w:p>
    <w:p w14:paraId="1DD2CE70" w14:textId="0011C618" w:rsidR="003C66CF" w:rsidRPr="000665B0" w:rsidRDefault="003C66CF" w:rsidP="006D5A65">
      <w:pPr>
        <w:pStyle w:val="Heading1"/>
      </w:pPr>
      <w:r w:rsidRPr="000665B0">
        <w:t xml:space="preserve">If it is required to change the classification, click the </w:t>
      </w:r>
      <w:r w:rsidRPr="000665B0">
        <w:rPr>
          <w:bCs/>
        </w:rPr>
        <w:t>EDIT</w:t>
      </w:r>
      <w:r w:rsidRPr="000665B0">
        <w:t xml:space="preserve"> button and select the classification from the drop-down menu of the </w:t>
      </w:r>
      <w:r w:rsidRPr="000665B0">
        <w:rPr>
          <w:i/>
        </w:rPr>
        <w:t>Edit Classification</w:t>
      </w:r>
      <w:r w:rsidRPr="000665B0">
        <w:t xml:space="preserve"> window. For information on editing the classification see </w:t>
      </w:r>
      <w:hyperlink w:anchor="_5.2.7__Edit" w:history="1">
        <w:r w:rsidRPr="000665B0">
          <w:rPr>
            <w:color w:val="0000FF"/>
            <w:u w:val="single"/>
          </w:rPr>
          <w:t>Section 5.2.7</w:t>
        </w:r>
      </w:hyperlink>
      <w:r w:rsidRPr="000665B0">
        <w:rPr>
          <w:color w:val="0000FF"/>
          <w:u w:val="single"/>
        </w:rPr>
        <w:t>.</w:t>
      </w:r>
    </w:p>
    <w:p w14:paraId="3B4659F5" w14:textId="069D88D9" w:rsidR="003C66CF" w:rsidRPr="000665B0" w:rsidRDefault="003C66CF" w:rsidP="006D5A65">
      <w:pPr>
        <w:pStyle w:val="Heading1"/>
      </w:pPr>
      <w:r w:rsidRPr="000665B0">
        <w:t xml:space="preserve">The Add Node option allows the operator to choose node(s) from a List View to add to the </w:t>
      </w:r>
      <w:r w:rsidR="00BE53EB" w:rsidRPr="000665B0">
        <w:t>Task</w:t>
      </w:r>
      <w:r w:rsidR="00BE53EB" w:rsidRPr="000665B0" w:rsidDel="00BE53EB">
        <w:t xml:space="preserve"> </w:t>
      </w:r>
      <w:r w:rsidRPr="000665B0">
        <w:t>Organization. Once added, nodes are displayed in a tree list view format with platform as parent, node(s) as child. The tree list view can be sorted by columns displaying platform information</w:t>
      </w:r>
      <w:r w:rsidR="00031BEB" w:rsidRPr="000665B0">
        <w:t xml:space="preserve"> using the View </w:t>
      </w:r>
      <w:r w:rsidR="00031BEB" w:rsidRPr="000665B0">
        <w:sym w:font="Wingdings" w:char="F0E0"/>
      </w:r>
      <w:r w:rsidR="00031BEB" w:rsidRPr="000665B0">
        <w:t xml:space="preserve"> Properties </w:t>
      </w:r>
      <w:r w:rsidR="00031BEB" w:rsidRPr="000665B0">
        <w:sym w:font="Wingdings" w:char="F0E0"/>
      </w:r>
      <w:r w:rsidR="00031BEB" w:rsidRPr="000665B0">
        <w:t xml:space="preserve"> Column menu. The ID column must be present and at the top of the Sort list.</w:t>
      </w:r>
      <w:r w:rsidRPr="000665B0">
        <w:t xml:space="preserve"> </w:t>
      </w:r>
    </w:p>
    <w:p w14:paraId="14F5D97C" w14:textId="77777777" w:rsidR="003C66CF" w:rsidRPr="000665B0" w:rsidRDefault="003C66CF" w:rsidP="009570CA">
      <w:pPr>
        <w:ind w:left="720"/>
      </w:pPr>
      <w:r w:rsidRPr="000665B0">
        <w:t xml:space="preserve">The </w:t>
      </w:r>
      <w:r w:rsidRPr="000665B0">
        <w:rPr>
          <w:b/>
        </w:rPr>
        <w:t>OPER CLASSIF</w:t>
      </w:r>
      <w:r w:rsidRPr="000665B0">
        <w:t xml:space="preserve"> (Operational Classification) column is the security classification of each Tomahawk node. It shows the highest classification of data that the node can receive and use. The default is Secret. The enumerated choices are Unclassified, Secret, and Top Secret.</w:t>
      </w:r>
    </w:p>
    <w:p w14:paraId="36A5167B" w14:textId="77777777" w:rsidR="003C66CF" w:rsidRPr="000665B0" w:rsidRDefault="003C66CF" w:rsidP="009570CA">
      <w:pPr>
        <w:ind w:left="720"/>
      </w:pPr>
      <w:r w:rsidRPr="000665B0">
        <w:t>To add node(s):</w:t>
      </w:r>
    </w:p>
    <w:p w14:paraId="765C3B81" w14:textId="64979537" w:rsidR="003C66CF" w:rsidRPr="000665B0" w:rsidRDefault="003C66CF" w:rsidP="006D5A65">
      <w:pPr>
        <w:pStyle w:val="Heading1"/>
      </w:pPr>
      <w:r w:rsidRPr="000665B0">
        <w:lastRenderedPageBreak/>
        <w:t>Invoke the context menu (right</w:t>
      </w:r>
      <w:r w:rsidR="004636AD" w:rsidRPr="000665B0">
        <w:t>-</w:t>
      </w:r>
      <w:r w:rsidRPr="000665B0">
        <w:t xml:space="preserve">click the mouse) in the bottom pane of the new </w:t>
      </w:r>
      <w:r w:rsidR="00BE53EB" w:rsidRPr="000665B0">
        <w:rPr>
          <w:i/>
          <w:iCs/>
        </w:rPr>
        <w:t xml:space="preserve">Task </w:t>
      </w:r>
      <w:r w:rsidRPr="000665B0">
        <w:rPr>
          <w:i/>
          <w:iCs/>
        </w:rPr>
        <w:t>Organization</w:t>
      </w:r>
      <w:r w:rsidRPr="000665B0">
        <w:rPr>
          <w:i/>
        </w:rPr>
        <w:t xml:space="preserve"> </w:t>
      </w:r>
      <w:r w:rsidRPr="000665B0">
        <w:t xml:space="preserve">window and select </w:t>
      </w:r>
      <w:r w:rsidRPr="000665B0">
        <w:rPr>
          <w:bCs/>
        </w:rPr>
        <w:t>Add Node…</w:t>
      </w:r>
      <w:r w:rsidRPr="000665B0">
        <w:t xml:space="preserve">. The </w:t>
      </w:r>
      <w:r w:rsidRPr="000665B0">
        <w:rPr>
          <w:i/>
          <w:iCs/>
        </w:rPr>
        <w:t xml:space="preserve">Nodes </w:t>
      </w:r>
      <w:r w:rsidRPr="000665B0">
        <w:t>window is displayed.</w:t>
      </w:r>
    </w:p>
    <w:p w14:paraId="4B63C75D" w14:textId="2B5FB72C" w:rsidR="003C66CF" w:rsidRPr="000665B0" w:rsidRDefault="002454DE" w:rsidP="009570CA">
      <w:pPr>
        <w:tabs>
          <w:tab w:val="left" w:pos="720"/>
        </w:tabs>
        <w:jc w:val="center"/>
      </w:pPr>
      <w:r w:rsidRPr="000665B0">
        <w:rPr>
          <w:noProof/>
        </w:rPr>
        <w:drawing>
          <wp:inline distT="0" distB="0" distL="0" distR="0" wp14:anchorId="05CEA73B" wp14:editId="3212C249">
            <wp:extent cx="1630595" cy="2943225"/>
            <wp:effectExtent l="0" t="0" r="0" b="0"/>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639651" cy="2959571"/>
                    </a:xfrm>
                    <a:prstGeom prst="rect">
                      <a:avLst/>
                    </a:prstGeom>
                  </pic:spPr>
                </pic:pic>
              </a:graphicData>
            </a:graphic>
          </wp:inline>
        </w:drawing>
      </w:r>
    </w:p>
    <w:p w14:paraId="4DE40C3B" w14:textId="77777777" w:rsidR="003C66CF" w:rsidRPr="000665B0" w:rsidRDefault="003C66CF" w:rsidP="006D5A65">
      <w:pPr>
        <w:pStyle w:val="Heading1"/>
      </w:pPr>
      <w:r w:rsidRPr="000665B0">
        <w:t>Choose the desired node(s) and click the OK button. (Multiple nodes may be selected by holding the Shift or Control key.)</w:t>
      </w:r>
      <w:r w:rsidR="00A81DEA" w:rsidRPr="000665B0">
        <w:t xml:space="preserve"> Note that not all FRUs will display TTWCS in the Nodes list.</w:t>
      </w:r>
    </w:p>
    <w:p w14:paraId="40B61E48" w14:textId="4344D802" w:rsidR="003C66CF" w:rsidRPr="000665B0" w:rsidRDefault="003C66CF" w:rsidP="006D5A65">
      <w:pPr>
        <w:pStyle w:val="Heading1"/>
      </w:pPr>
      <w:r w:rsidRPr="000665B0">
        <w:t xml:space="preserve">At least one node must be designated as an </w:t>
      </w:r>
      <w:r w:rsidR="00551E3E">
        <w:t>ATSC</w:t>
      </w:r>
      <w:r w:rsidR="00DD66F5" w:rsidRPr="000665B0">
        <w:t xml:space="preserve">. See </w:t>
      </w:r>
      <w:hyperlink w:anchor="_5.36.2.1.1__Edit" w:history="1">
        <w:r w:rsidR="00DD66F5" w:rsidRPr="000665B0">
          <w:rPr>
            <w:rStyle w:val="Hyperlink"/>
          </w:rPr>
          <w:t xml:space="preserve">Section </w:t>
        </w:r>
        <w:r w:rsidR="004231CC">
          <w:rPr>
            <w:rStyle w:val="Hyperlink"/>
          </w:rPr>
          <w:t>5.33</w:t>
        </w:r>
        <w:r w:rsidR="00DD66F5" w:rsidRPr="000665B0">
          <w:rPr>
            <w:rStyle w:val="Hyperlink"/>
          </w:rPr>
          <w:t>.2.1.1</w:t>
        </w:r>
      </w:hyperlink>
      <w:r w:rsidR="00DD66F5" w:rsidRPr="000665B0">
        <w:t>.</w:t>
      </w:r>
    </w:p>
    <w:p w14:paraId="25B48ABF" w14:textId="301B6673" w:rsidR="00707BCF" w:rsidRPr="000665B0" w:rsidRDefault="00707BCF" w:rsidP="006D5A65">
      <w:pPr>
        <w:pStyle w:val="Heading1"/>
      </w:pPr>
      <w:r w:rsidRPr="000665B0">
        <w:t xml:space="preserve">Enter a distinctive name in the </w:t>
      </w:r>
      <w:r w:rsidR="00BE53EB" w:rsidRPr="000665B0">
        <w:rPr>
          <w:bCs/>
        </w:rPr>
        <w:t xml:space="preserve">Task </w:t>
      </w:r>
      <w:r w:rsidRPr="000665B0">
        <w:rPr>
          <w:bCs/>
        </w:rPr>
        <w:t>Organization Name</w:t>
      </w:r>
      <w:r w:rsidRPr="000665B0">
        <w:t xml:space="preserve"> field (up to 38 free-format characters) at the top of the new </w:t>
      </w:r>
      <w:r w:rsidR="00BE53EB" w:rsidRPr="000665B0">
        <w:rPr>
          <w:i/>
          <w:iCs/>
        </w:rPr>
        <w:t xml:space="preserve">Task </w:t>
      </w:r>
      <w:r w:rsidRPr="000665B0">
        <w:rPr>
          <w:i/>
          <w:iCs/>
        </w:rPr>
        <w:t xml:space="preserve">Organization </w:t>
      </w:r>
      <w:r w:rsidRPr="000665B0">
        <w:t xml:space="preserve">window. </w:t>
      </w:r>
      <w:r w:rsidRPr="000665B0">
        <w:rPr>
          <w:szCs w:val="24"/>
        </w:rPr>
        <w:t xml:space="preserve">This is a required field (as denoted by the * and/or yellow background) and the user is unable to proceed without updating this field. For further information on mandatory fields see </w:t>
      </w:r>
      <w:hyperlink w:anchor="_5.2.7__Editing" w:history="1">
        <w:r w:rsidRPr="000665B0">
          <w:rPr>
            <w:color w:val="0000FF"/>
            <w:szCs w:val="24"/>
            <w:u w:val="single"/>
          </w:rPr>
          <w:t>Section 5.2.8</w:t>
        </w:r>
      </w:hyperlink>
      <w:r w:rsidRPr="000665B0">
        <w:t>.</w:t>
      </w:r>
    </w:p>
    <w:p w14:paraId="1A3B8C05" w14:textId="77777777" w:rsidR="00707BCF" w:rsidRPr="000665B0" w:rsidRDefault="00707BCF" w:rsidP="006D5A65">
      <w:pPr>
        <w:pStyle w:val="Heading1"/>
      </w:pPr>
      <w:r w:rsidRPr="000665B0">
        <w:t xml:space="preserve">Click on the Save </w:t>
      </w:r>
      <w:r w:rsidRPr="000665B0">
        <w:rPr>
          <w:rFonts w:ascii="Wingdings" w:hAnsi="Wingdings"/>
        </w:rPr>
        <w:t></w:t>
      </w:r>
      <w:r w:rsidRPr="000665B0">
        <w:t xml:space="preserve"> icon to save the changes or select the </w:t>
      </w:r>
      <w:r w:rsidRPr="000665B0">
        <w:rPr>
          <w:bCs/>
        </w:rPr>
        <w:t>Save</w:t>
      </w:r>
      <w:r w:rsidRPr="000665B0">
        <w:t xml:space="preserve"> option from the </w:t>
      </w:r>
      <w:r w:rsidRPr="000665B0">
        <w:rPr>
          <w:bCs/>
        </w:rPr>
        <w:t>File</w:t>
      </w:r>
      <w:r w:rsidRPr="000665B0">
        <w:t xml:space="preserve"> pull down menu. </w:t>
      </w:r>
    </w:p>
    <w:p w14:paraId="79774BFE" w14:textId="06017596" w:rsidR="00592852" w:rsidRPr="000665B0" w:rsidRDefault="00592852" w:rsidP="009570CA">
      <w:pPr>
        <w:pStyle w:val="Heading3"/>
      </w:pPr>
      <w:bookmarkStart w:id="6027" w:name="_Toc214283541"/>
      <w:bookmarkStart w:id="6028" w:name="_Toc289328821"/>
      <w:bookmarkStart w:id="6029" w:name="_Toc159315497"/>
      <w:bookmarkStart w:id="6030" w:name="_Toc71955723"/>
      <w:bookmarkStart w:id="6031" w:name="_Toc96170255"/>
      <w:bookmarkStart w:id="6032" w:name="_Toc96234300"/>
      <w:bookmarkStart w:id="6033" w:name="_Toc112733720"/>
      <w:r w:rsidRPr="000665B0">
        <w:t xml:space="preserve">Display </w:t>
      </w:r>
      <w:r w:rsidR="002307F0" w:rsidRPr="000665B0">
        <w:t xml:space="preserve">Task </w:t>
      </w:r>
      <w:r w:rsidRPr="000665B0">
        <w:t>Organization Textually</w:t>
      </w:r>
      <w:bookmarkEnd w:id="6027"/>
    </w:p>
    <w:p w14:paraId="70AB479B" w14:textId="7DECF435" w:rsidR="00592852" w:rsidRPr="000665B0" w:rsidRDefault="00592852" w:rsidP="009570CA">
      <w:r w:rsidRPr="000665B0">
        <w:t xml:space="preserve">This function displays </w:t>
      </w:r>
      <w:r w:rsidR="006A28DC" w:rsidRPr="000665B0">
        <w:t>detailed</w:t>
      </w:r>
      <w:r w:rsidRPr="000665B0">
        <w:t xml:space="preserve"> information about a </w:t>
      </w:r>
      <w:r w:rsidR="002307F0" w:rsidRPr="000665B0">
        <w:t xml:space="preserve">Task Organization </w:t>
      </w:r>
      <w:r w:rsidRPr="000665B0">
        <w:t xml:space="preserve">and provides the capability to edit </w:t>
      </w:r>
      <w:r w:rsidR="00EA51F4" w:rsidRPr="000665B0">
        <w:t xml:space="preserve">Task </w:t>
      </w:r>
      <w:r w:rsidRPr="000665B0">
        <w:t>Organization information.</w:t>
      </w:r>
      <w:r w:rsidR="006E574D" w:rsidRPr="000665B0">
        <w:t xml:space="preserve"> The </w:t>
      </w:r>
      <w:r w:rsidR="002307F0" w:rsidRPr="000665B0">
        <w:rPr>
          <w:b/>
        </w:rPr>
        <w:t xml:space="preserve">Task </w:t>
      </w:r>
      <w:r w:rsidR="006E574D" w:rsidRPr="000665B0">
        <w:rPr>
          <w:b/>
        </w:rPr>
        <w:t>Organization Name</w:t>
      </w:r>
      <w:r w:rsidR="006E574D" w:rsidRPr="000665B0">
        <w:t xml:space="preserve"> field is not editable, but other aspects can be modified.</w:t>
      </w:r>
    </w:p>
    <w:p w14:paraId="75E6FAB8" w14:textId="4FA1191A" w:rsidR="00592852" w:rsidRPr="000665B0" w:rsidRDefault="00592852" w:rsidP="009570CA">
      <w:r w:rsidRPr="000665B0">
        <w:t xml:space="preserve">To display a </w:t>
      </w:r>
      <w:r w:rsidR="002307F0" w:rsidRPr="000665B0">
        <w:t xml:space="preserve">Task </w:t>
      </w:r>
      <w:r w:rsidRPr="000665B0">
        <w:t>Organization textually:</w:t>
      </w:r>
    </w:p>
    <w:p w14:paraId="392D56F6" w14:textId="724CDC99" w:rsidR="00592852" w:rsidRPr="000665B0" w:rsidRDefault="00592852" w:rsidP="006D5A65">
      <w:pPr>
        <w:pStyle w:val="Heading1"/>
      </w:pPr>
      <w:r w:rsidRPr="000665B0">
        <w:t xml:space="preserve">Navigate to the </w:t>
      </w:r>
      <w:r w:rsidR="002307F0" w:rsidRPr="000665B0">
        <w:t xml:space="preserve">Task </w:t>
      </w:r>
      <w:r w:rsidRPr="000665B0">
        <w:t>Organization Tool.</w:t>
      </w:r>
    </w:p>
    <w:p w14:paraId="1B6DE76C" w14:textId="77777777" w:rsidR="00592852" w:rsidRPr="000665B0" w:rsidRDefault="00592852" w:rsidP="006D5A65">
      <w:pPr>
        <w:pStyle w:val="Heading1"/>
      </w:pPr>
      <w:r w:rsidRPr="000665B0">
        <w:t>Select an item(s) in the list view.</w:t>
      </w:r>
    </w:p>
    <w:p w14:paraId="6253DBB8" w14:textId="4AB81598" w:rsidR="00592852" w:rsidRPr="000665B0" w:rsidRDefault="00592852" w:rsidP="006D5A65">
      <w:pPr>
        <w:pStyle w:val="Heading1"/>
      </w:pPr>
      <w:r w:rsidRPr="000665B0">
        <w:t xml:space="preserve">From the File menu select Display </w:t>
      </w:r>
      <w:r w:rsidRPr="000665B0">
        <w:rPr>
          <w:rFonts w:cs="Arial"/>
          <w:sz w:val="20"/>
        </w:rPr>
        <w:t>►</w:t>
      </w:r>
      <w:r w:rsidRPr="000665B0">
        <w:t xml:space="preserve"> </w:t>
      </w:r>
      <w:r w:rsidR="0089729B" w:rsidRPr="000665B0">
        <w:t>Textually or</w:t>
      </w:r>
      <w:r w:rsidRPr="000665B0">
        <w:t xml:space="preserve"> invoke the context menu (</w:t>
      </w:r>
      <w:r w:rsidR="00D71804" w:rsidRPr="000665B0">
        <w:t>right-click</w:t>
      </w:r>
      <w:r w:rsidRPr="000665B0">
        <w:t xml:space="preserve"> the mouse) and select Display </w:t>
      </w:r>
      <w:r w:rsidRPr="000665B0">
        <w:rPr>
          <w:rFonts w:cs="Arial"/>
          <w:sz w:val="20"/>
        </w:rPr>
        <w:t>►</w:t>
      </w:r>
      <w:r w:rsidRPr="000665B0">
        <w:t xml:space="preserve"> </w:t>
      </w:r>
      <w:r w:rsidR="001D6FAE" w:rsidRPr="000665B0">
        <w:lastRenderedPageBreak/>
        <w:t>Textually or</w:t>
      </w:r>
      <w:r w:rsidRPr="000665B0">
        <w:t xml:space="preserve"> click the Display Textually </w:t>
      </w:r>
      <w:r w:rsidRPr="000665B0">
        <w:rPr>
          <w:noProof/>
        </w:rPr>
        <w:drawing>
          <wp:inline distT="0" distB="0" distL="0" distR="0" wp14:anchorId="69351273" wp14:editId="326FEBC1">
            <wp:extent cx="152400" cy="152400"/>
            <wp:effectExtent l="0" t="0" r="0" b="0"/>
            <wp:docPr id="1225" name="Picture 1225" desc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bar. The </w:t>
      </w:r>
      <w:r w:rsidR="002307F0" w:rsidRPr="000665B0">
        <w:rPr>
          <w:i/>
        </w:rPr>
        <w:t xml:space="preserve">Task </w:t>
      </w:r>
      <w:r w:rsidRPr="000665B0">
        <w:rPr>
          <w:i/>
        </w:rPr>
        <w:t>Organization XXXXX</w:t>
      </w:r>
      <w:r w:rsidRPr="000665B0">
        <w:t xml:space="preserve"> window is displayed.</w:t>
      </w:r>
    </w:p>
    <w:p w14:paraId="4621189B" w14:textId="4DF29F1B" w:rsidR="00592852" w:rsidRPr="000665B0" w:rsidRDefault="002307F0" w:rsidP="009570CA">
      <w:pPr>
        <w:jc w:val="center"/>
      </w:pPr>
      <w:bookmarkStart w:id="6034" w:name="_Hlk124502398"/>
      <w:r w:rsidRPr="000665B0">
        <w:rPr>
          <w:noProof/>
        </w:rPr>
        <w:t xml:space="preserve"> </w:t>
      </w:r>
      <w:r w:rsidR="00236067">
        <w:rPr>
          <w:b/>
          <w:bCs/>
          <w:noProof/>
        </w:rPr>
        <w:drawing>
          <wp:inline distT="0" distB="0" distL="0" distR="0" wp14:anchorId="092A93D5" wp14:editId="6AFD5515">
            <wp:extent cx="4373880" cy="3319663"/>
            <wp:effectExtent l="0" t="0" r="7620" b="0"/>
            <wp:docPr id="1739911583" name="Picture 1" descr="Graphical user interface, application, table, Exc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1583" name="Picture 1" descr="Graphical user interface, application, table, Excel&#10;&#10;AI-generated content may be incorrect."/>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385824" cy="3328728"/>
                    </a:xfrm>
                    <a:prstGeom prst="rect">
                      <a:avLst/>
                    </a:prstGeom>
                    <a:noFill/>
                    <a:ln>
                      <a:noFill/>
                    </a:ln>
                  </pic:spPr>
                </pic:pic>
              </a:graphicData>
            </a:graphic>
          </wp:inline>
        </w:drawing>
      </w:r>
    </w:p>
    <w:bookmarkEnd w:id="6034"/>
    <w:p w14:paraId="7EB9C853" w14:textId="77777777" w:rsidR="006E574D" w:rsidRPr="000665B0" w:rsidRDefault="006E574D" w:rsidP="006D5A65">
      <w:pPr>
        <w:pStyle w:val="Heading1"/>
      </w:pPr>
      <w:r w:rsidRPr="000665B0">
        <w:t>Missile Inventory Pane</w:t>
      </w:r>
    </w:p>
    <w:p w14:paraId="38470613" w14:textId="39F37A7F" w:rsidR="006E574D" w:rsidRPr="000665B0" w:rsidRDefault="006E574D" w:rsidP="006D5A65">
      <w:pPr>
        <w:pStyle w:val="Heading2"/>
      </w:pPr>
      <w:r w:rsidRPr="000665B0">
        <w:t>Tactical</w:t>
      </w:r>
      <w:r w:rsidR="00FD4D09" w:rsidRPr="000665B0">
        <w:t xml:space="preserve"> - TAC</w:t>
      </w:r>
      <w:r w:rsidRPr="000665B0">
        <w:t xml:space="preserve"> – </w:t>
      </w:r>
      <w:r w:rsidR="00FD4D09" w:rsidRPr="000665B0">
        <w:t xml:space="preserve">Tactical missile </w:t>
      </w:r>
      <w:r w:rsidR="000F7F11" w:rsidRPr="000665B0">
        <w:t xml:space="preserve">counts </w:t>
      </w:r>
      <w:r w:rsidR="00174457">
        <w:t xml:space="preserve">by group: </w:t>
      </w:r>
      <w:r w:rsidR="00174457" w:rsidRPr="00827BCD">
        <w:rPr>
          <w:rStyle w:val="normaltextrun"/>
          <w:color w:val="000000"/>
        </w:rPr>
        <w:t>LUD3/LUD4</w:t>
      </w:r>
      <w:r w:rsidR="00174457" w:rsidRPr="003453E7">
        <w:t xml:space="preserve">, </w:t>
      </w:r>
      <w:r w:rsidR="00174457" w:rsidRPr="00827BCD">
        <w:rPr>
          <w:rStyle w:val="normaltextrun"/>
          <w:color w:val="000000"/>
        </w:rPr>
        <w:t xml:space="preserve">LUA4/LUA5, LUP4/LUP5, SUP4/SUP5, LJP4/LJP5, </w:t>
      </w:r>
      <w:r w:rsidR="00BF5AA2" w:rsidRPr="00B30F63">
        <w:rPr>
          <w:rStyle w:val="normaltextrun"/>
          <w:color w:val="000000"/>
        </w:rPr>
        <w:t>LU24/LU25</w:t>
      </w:r>
      <w:r w:rsidR="00BF5AA2">
        <w:rPr>
          <w:rStyle w:val="normaltextrun"/>
          <w:color w:val="000000"/>
        </w:rPr>
        <w:t xml:space="preserve">, </w:t>
      </w:r>
      <w:r w:rsidR="00BF5AA2" w:rsidRPr="00B30F63">
        <w:rPr>
          <w:rStyle w:val="normaltextrun"/>
          <w:color w:val="000000"/>
        </w:rPr>
        <w:t>LJ24/LJ25</w:t>
      </w:r>
      <w:r w:rsidR="00BF5AA2">
        <w:rPr>
          <w:rStyle w:val="normaltextrun"/>
          <w:color w:val="000000"/>
        </w:rPr>
        <w:t xml:space="preserve">, </w:t>
      </w:r>
      <w:r w:rsidR="00BF5AA2" w:rsidRPr="00B30F63">
        <w:rPr>
          <w:rStyle w:val="normaltextrun"/>
          <w:color w:val="000000"/>
        </w:rPr>
        <w:t>2U24/2U25</w:t>
      </w:r>
      <w:r w:rsidR="00BF5AA2">
        <w:rPr>
          <w:rStyle w:val="normaltextrun"/>
          <w:color w:val="000000"/>
        </w:rPr>
        <w:t>,</w:t>
      </w:r>
      <w:r w:rsidR="00BF5AA2" w:rsidRPr="00827BCD">
        <w:rPr>
          <w:rStyle w:val="normaltextrun"/>
          <w:color w:val="000000"/>
        </w:rPr>
        <w:t xml:space="preserve"> </w:t>
      </w:r>
      <w:r w:rsidR="00174457" w:rsidRPr="00827BCD">
        <w:t>Other MSLs</w:t>
      </w:r>
      <w:r w:rsidR="00174457" w:rsidRPr="003453E7">
        <w:t>, Total.</w:t>
      </w:r>
    </w:p>
    <w:p w14:paraId="67AE363E" w14:textId="62B03964" w:rsidR="00174457" w:rsidRPr="00827BCD" w:rsidRDefault="006E574D" w:rsidP="006D5A65">
      <w:pPr>
        <w:pStyle w:val="Heading2"/>
      </w:pPr>
      <w:r w:rsidRPr="000665B0">
        <w:t>Training</w:t>
      </w:r>
      <w:r w:rsidR="00FD4D09" w:rsidRPr="000665B0">
        <w:t xml:space="preserve"> - TRN</w:t>
      </w:r>
      <w:r w:rsidR="000F7F11" w:rsidRPr="000665B0">
        <w:t xml:space="preserve"> – </w:t>
      </w:r>
      <w:r w:rsidR="00FD4D09" w:rsidRPr="000665B0">
        <w:t>Training m</w:t>
      </w:r>
      <w:r w:rsidR="000F7F11" w:rsidRPr="000665B0">
        <w:t xml:space="preserve">issile counts by type: </w:t>
      </w:r>
      <w:r w:rsidR="00174457" w:rsidRPr="00174457">
        <w:rPr>
          <w:rStyle w:val="normaltextrun"/>
          <w:color w:val="000000"/>
        </w:rPr>
        <w:t xml:space="preserve"> </w:t>
      </w:r>
      <w:r w:rsidR="00174457" w:rsidRPr="00AB72FE">
        <w:rPr>
          <w:rStyle w:val="normaltextrun"/>
          <w:color w:val="000000"/>
        </w:rPr>
        <w:t>LUD3/LUD4</w:t>
      </w:r>
      <w:r w:rsidR="00174457" w:rsidRPr="003453E7">
        <w:rPr>
          <w:szCs w:val="24"/>
        </w:rPr>
        <w:t xml:space="preserve">, </w:t>
      </w:r>
      <w:r w:rsidR="00174457" w:rsidRPr="00AB72FE">
        <w:rPr>
          <w:rStyle w:val="normaltextrun"/>
          <w:color w:val="000000"/>
        </w:rPr>
        <w:t xml:space="preserve">LUA4/LUA5, LUP4/LUP5, SUP4/SUP5, LJP4/LJP5, </w:t>
      </w:r>
      <w:r w:rsidR="00BF5AA2" w:rsidRPr="00B30F63">
        <w:rPr>
          <w:rStyle w:val="normaltextrun"/>
          <w:color w:val="000000"/>
        </w:rPr>
        <w:t>LU24/LU25</w:t>
      </w:r>
      <w:r w:rsidR="00BF5AA2">
        <w:rPr>
          <w:rStyle w:val="normaltextrun"/>
          <w:color w:val="000000"/>
        </w:rPr>
        <w:t xml:space="preserve">, </w:t>
      </w:r>
      <w:r w:rsidR="00BF5AA2" w:rsidRPr="00B30F63">
        <w:rPr>
          <w:rStyle w:val="normaltextrun"/>
          <w:color w:val="000000"/>
        </w:rPr>
        <w:t>LJ24/LJ25</w:t>
      </w:r>
      <w:r w:rsidR="00BF5AA2">
        <w:rPr>
          <w:rStyle w:val="normaltextrun"/>
          <w:color w:val="000000"/>
        </w:rPr>
        <w:t xml:space="preserve">, </w:t>
      </w:r>
      <w:r w:rsidR="00BF5AA2" w:rsidRPr="00B30F63">
        <w:rPr>
          <w:rStyle w:val="normaltextrun"/>
          <w:color w:val="000000"/>
        </w:rPr>
        <w:t>2U24/2U25</w:t>
      </w:r>
      <w:r w:rsidR="00BF5AA2">
        <w:rPr>
          <w:rStyle w:val="normaltextrun"/>
          <w:color w:val="000000"/>
        </w:rPr>
        <w:t>,</w:t>
      </w:r>
      <w:r w:rsidR="00BF5AA2" w:rsidRPr="00827BCD">
        <w:rPr>
          <w:rStyle w:val="normaltextrun"/>
          <w:color w:val="000000"/>
        </w:rPr>
        <w:t xml:space="preserve"> </w:t>
      </w:r>
      <w:r w:rsidR="00174457" w:rsidRPr="00AB72FE">
        <w:t>Other MSLs</w:t>
      </w:r>
      <w:r w:rsidR="00174457" w:rsidRPr="003453E7">
        <w:rPr>
          <w:szCs w:val="24"/>
        </w:rPr>
        <w:t>, Total.</w:t>
      </w:r>
    </w:p>
    <w:p w14:paraId="5B47F0F2" w14:textId="77777777" w:rsidR="00174457" w:rsidRPr="004036BD" w:rsidRDefault="00174457" w:rsidP="009570CA">
      <w:pPr>
        <w:pStyle w:val="paragraph"/>
        <w:spacing w:before="0" w:beforeAutospacing="0" w:after="120" w:afterAutospacing="0"/>
        <w:ind w:left="360"/>
        <w:textAlignment w:val="baseline"/>
      </w:pPr>
      <w:r w:rsidRPr="004036BD">
        <w:rPr>
          <w:rStyle w:val="normaltextrun"/>
          <w:color w:val="000000"/>
        </w:rPr>
        <w:t>The Available Tactical and Training Columns will include:</w:t>
      </w:r>
      <w:r w:rsidRPr="004036BD">
        <w:rPr>
          <w:rStyle w:val="eop"/>
          <w:color w:val="000000"/>
        </w:rPr>
        <w:t> </w:t>
      </w:r>
    </w:p>
    <w:p w14:paraId="71F3535F" w14:textId="77777777" w:rsidR="00174457" w:rsidRPr="004036BD" w:rsidRDefault="00174457" w:rsidP="006D5A65">
      <w:pPr>
        <w:pStyle w:val="Heading1"/>
      </w:pPr>
      <w:r>
        <w:rPr>
          <w:rStyle w:val="normaltextrun"/>
          <w:color w:val="000000"/>
        </w:rPr>
        <w:t xml:space="preserve">The number of </w:t>
      </w:r>
      <w:r w:rsidRPr="004036BD">
        <w:rPr>
          <w:rStyle w:val="normaltextrun"/>
          <w:color w:val="000000"/>
        </w:rPr>
        <w:t xml:space="preserve">LUD3/LUD4 </w:t>
      </w:r>
      <w:r>
        <w:rPr>
          <w:rStyle w:val="normaltextrun"/>
          <w:color w:val="000000"/>
        </w:rPr>
        <w:t>missile types.</w:t>
      </w:r>
    </w:p>
    <w:p w14:paraId="1ED24D17" w14:textId="77777777" w:rsidR="00174457" w:rsidRPr="004036BD" w:rsidRDefault="00174457" w:rsidP="006D5A65">
      <w:pPr>
        <w:pStyle w:val="Heading1"/>
      </w:pPr>
      <w:r>
        <w:rPr>
          <w:rStyle w:val="normaltextrun"/>
          <w:color w:val="000000"/>
        </w:rPr>
        <w:t xml:space="preserve">The number of </w:t>
      </w:r>
      <w:r w:rsidRPr="004036BD">
        <w:rPr>
          <w:rStyle w:val="normaltextrun"/>
          <w:color w:val="000000"/>
        </w:rPr>
        <w:t xml:space="preserve">LUA4/LUA5 </w:t>
      </w:r>
      <w:r>
        <w:rPr>
          <w:rStyle w:val="normaltextrun"/>
          <w:color w:val="000000"/>
        </w:rPr>
        <w:t>missile types.</w:t>
      </w:r>
    </w:p>
    <w:p w14:paraId="04E41C4A" w14:textId="77777777" w:rsidR="00174457" w:rsidRPr="004036BD" w:rsidRDefault="00174457" w:rsidP="006D5A65">
      <w:pPr>
        <w:pStyle w:val="Heading1"/>
      </w:pPr>
      <w:r>
        <w:rPr>
          <w:rStyle w:val="normaltextrun"/>
          <w:color w:val="000000"/>
        </w:rPr>
        <w:t xml:space="preserve">The number of </w:t>
      </w:r>
      <w:r w:rsidRPr="004036BD">
        <w:rPr>
          <w:rStyle w:val="normaltextrun"/>
          <w:color w:val="000000"/>
        </w:rPr>
        <w:t xml:space="preserve">LUP4/LUP5 </w:t>
      </w:r>
      <w:r>
        <w:rPr>
          <w:rStyle w:val="normaltextrun"/>
          <w:color w:val="000000"/>
        </w:rPr>
        <w:t>missile types.</w:t>
      </w:r>
    </w:p>
    <w:p w14:paraId="3E1DE773" w14:textId="77777777" w:rsidR="00174457" w:rsidRPr="004036BD" w:rsidRDefault="00174457" w:rsidP="006D5A65">
      <w:pPr>
        <w:pStyle w:val="Heading1"/>
      </w:pPr>
      <w:r>
        <w:rPr>
          <w:rStyle w:val="normaltextrun"/>
          <w:color w:val="000000"/>
        </w:rPr>
        <w:t xml:space="preserve">The number of </w:t>
      </w:r>
      <w:r w:rsidRPr="004036BD">
        <w:rPr>
          <w:rStyle w:val="normaltextrun"/>
          <w:color w:val="000000"/>
        </w:rPr>
        <w:t xml:space="preserve">SUP4/SUP5 </w:t>
      </w:r>
      <w:r>
        <w:rPr>
          <w:rStyle w:val="normaltextrun"/>
          <w:color w:val="000000"/>
        </w:rPr>
        <w:t>missile types.</w:t>
      </w:r>
    </w:p>
    <w:p w14:paraId="55014150" w14:textId="77777777" w:rsidR="00BF5AA2" w:rsidRPr="0064295B" w:rsidRDefault="00174457" w:rsidP="006D5A65">
      <w:pPr>
        <w:pStyle w:val="Heading1"/>
      </w:pPr>
      <w:r>
        <w:rPr>
          <w:rStyle w:val="normaltextrun"/>
          <w:color w:val="000000"/>
        </w:rPr>
        <w:t xml:space="preserve">The number of </w:t>
      </w:r>
      <w:r w:rsidRPr="004036BD">
        <w:rPr>
          <w:rStyle w:val="normaltextrun"/>
          <w:color w:val="000000"/>
        </w:rPr>
        <w:t xml:space="preserve">LJP4/LJP5 </w:t>
      </w:r>
      <w:r>
        <w:rPr>
          <w:rStyle w:val="normaltextrun"/>
          <w:color w:val="000000"/>
        </w:rPr>
        <w:t>missile types</w:t>
      </w:r>
      <w:r w:rsidR="002E5056">
        <w:t>.</w:t>
      </w:r>
    </w:p>
    <w:p w14:paraId="2C337241" w14:textId="77777777" w:rsidR="00BF5AA2" w:rsidRPr="0066670F" w:rsidRDefault="00BF5AA2" w:rsidP="006D5A65">
      <w:pPr>
        <w:pStyle w:val="Heading1"/>
      </w:pPr>
      <w:r>
        <w:rPr>
          <w:rStyle w:val="normaltextrun"/>
          <w:color w:val="000000"/>
        </w:rPr>
        <w:t xml:space="preserve">The number of </w:t>
      </w:r>
      <w:r w:rsidRPr="00B30F63">
        <w:rPr>
          <w:rStyle w:val="normaltextrun"/>
          <w:color w:val="000000"/>
        </w:rPr>
        <w:t>LU24/LU25</w:t>
      </w:r>
      <w:r w:rsidRPr="004036BD">
        <w:rPr>
          <w:rStyle w:val="normaltextrun"/>
          <w:color w:val="000000"/>
        </w:rPr>
        <w:t xml:space="preserve"> </w:t>
      </w:r>
      <w:r>
        <w:rPr>
          <w:rStyle w:val="normaltextrun"/>
          <w:color w:val="000000"/>
        </w:rPr>
        <w:t>missile types</w:t>
      </w:r>
      <w:r>
        <w:t>.</w:t>
      </w:r>
    </w:p>
    <w:p w14:paraId="4CB2F96F" w14:textId="77777777" w:rsidR="00BF5AA2" w:rsidRPr="0066670F" w:rsidRDefault="00BF5AA2" w:rsidP="006D5A65">
      <w:pPr>
        <w:pStyle w:val="Heading1"/>
      </w:pPr>
      <w:r>
        <w:rPr>
          <w:rStyle w:val="normaltextrun"/>
          <w:color w:val="000000"/>
        </w:rPr>
        <w:t xml:space="preserve">The number of </w:t>
      </w:r>
      <w:r w:rsidRPr="00B30F63">
        <w:rPr>
          <w:rStyle w:val="normaltextrun"/>
          <w:color w:val="000000"/>
        </w:rPr>
        <w:t>LJ24/LJ25</w:t>
      </w:r>
      <w:r>
        <w:rPr>
          <w:rStyle w:val="normaltextrun"/>
          <w:color w:val="000000"/>
        </w:rPr>
        <w:t xml:space="preserve"> missile types</w:t>
      </w:r>
      <w:r>
        <w:t>.</w:t>
      </w:r>
    </w:p>
    <w:p w14:paraId="1C2496DE" w14:textId="13C7D95C" w:rsidR="00174457" w:rsidRPr="004036BD" w:rsidRDefault="00BF5AA2" w:rsidP="006D5A65">
      <w:pPr>
        <w:pStyle w:val="Heading1"/>
      </w:pPr>
      <w:r>
        <w:rPr>
          <w:rStyle w:val="normaltextrun"/>
          <w:color w:val="000000"/>
        </w:rPr>
        <w:t xml:space="preserve">The number of </w:t>
      </w:r>
      <w:r w:rsidRPr="00B30F63">
        <w:rPr>
          <w:rStyle w:val="normaltextrun"/>
          <w:color w:val="000000"/>
        </w:rPr>
        <w:t>2U24/2U25</w:t>
      </w:r>
      <w:r>
        <w:rPr>
          <w:rStyle w:val="normaltextrun"/>
          <w:color w:val="000000"/>
        </w:rPr>
        <w:t xml:space="preserve"> missile </w:t>
      </w:r>
      <w:r w:rsidR="005444EA">
        <w:rPr>
          <w:rStyle w:val="normaltextrun"/>
          <w:color w:val="000000"/>
        </w:rPr>
        <w:t>types. The</w:t>
      </w:r>
      <w:r w:rsidR="00174457">
        <w:rPr>
          <w:rStyle w:val="normaltextrun"/>
          <w:color w:val="000000"/>
        </w:rPr>
        <w:t xml:space="preserve"> number of </w:t>
      </w:r>
      <w:r w:rsidR="00174457" w:rsidRPr="004036BD">
        <w:t>Other MSLs</w:t>
      </w:r>
      <w:r w:rsidR="00174457">
        <w:t xml:space="preserve"> – </w:t>
      </w:r>
      <w:r w:rsidR="00174457" w:rsidRPr="009152D4">
        <w:rPr>
          <w:shd w:val="clear" w:color="auto" w:fill="FFFFFF"/>
        </w:rPr>
        <w:t xml:space="preserve">Block III and Exercise </w:t>
      </w:r>
      <w:r w:rsidR="00174457" w:rsidRPr="009152D4">
        <w:t>missiles</w:t>
      </w:r>
      <w:r w:rsidR="00174457">
        <w:t>.</w:t>
      </w:r>
    </w:p>
    <w:p w14:paraId="56F09200" w14:textId="77777777" w:rsidR="002E5056" w:rsidRPr="00BB4EBE" w:rsidRDefault="00174457" w:rsidP="006D5A65">
      <w:pPr>
        <w:pStyle w:val="Heading1"/>
      </w:pPr>
      <w:r>
        <w:rPr>
          <w:rStyle w:val="normaltextrun"/>
          <w:color w:val="000000"/>
        </w:rPr>
        <w:t xml:space="preserve">The </w:t>
      </w:r>
      <w:r w:rsidRPr="004036BD">
        <w:t>Total</w:t>
      </w:r>
      <w:r>
        <w:t xml:space="preserve"> </w:t>
      </w:r>
      <w:r>
        <w:rPr>
          <w:rStyle w:val="normaltextrun"/>
          <w:color w:val="000000"/>
        </w:rPr>
        <w:t>number of</w:t>
      </w:r>
      <w:r>
        <w:t xml:space="preserve"> all missiles.</w:t>
      </w:r>
    </w:p>
    <w:p w14:paraId="325CFAE4" w14:textId="77777777" w:rsidR="002E5056" w:rsidRDefault="00174457" w:rsidP="00BB4EBE">
      <w:pPr>
        <w:pStyle w:val="paragraph"/>
        <w:pBdr>
          <w:top w:val="single" w:sz="12" w:space="1" w:color="auto"/>
          <w:left w:val="single" w:sz="12" w:space="4" w:color="auto"/>
          <w:bottom w:val="single" w:sz="12" w:space="1" w:color="auto"/>
          <w:right w:val="single" w:sz="12" w:space="4" w:color="auto"/>
        </w:pBdr>
        <w:shd w:val="clear" w:color="auto" w:fill="D9D9D9" w:themeFill="background1" w:themeFillShade="D9"/>
        <w:spacing w:before="0" w:beforeAutospacing="0" w:after="0" w:afterAutospacing="0"/>
        <w:jc w:val="center"/>
        <w:textAlignment w:val="baseline"/>
        <w:rPr>
          <w:rStyle w:val="normaltextrun"/>
          <w:b/>
          <w:bCs/>
          <w:color w:val="000000"/>
        </w:rPr>
      </w:pPr>
      <w:r w:rsidRPr="00BB4EBE">
        <w:rPr>
          <w:rStyle w:val="normaltextrun"/>
          <w:b/>
          <w:bCs/>
          <w:color w:val="000000"/>
        </w:rPr>
        <w:t>Note:</w:t>
      </w:r>
    </w:p>
    <w:p w14:paraId="2A38C348" w14:textId="77777777" w:rsidR="00BF5AA2" w:rsidRPr="00BB4EBE" w:rsidRDefault="00BF5AA2" w:rsidP="00BF5AA2">
      <w:pPr>
        <w:pStyle w:val="paragraph"/>
        <w:pBdr>
          <w:top w:val="single" w:sz="12" w:space="1" w:color="auto"/>
          <w:left w:val="single" w:sz="12" w:space="4" w:color="auto"/>
          <w:bottom w:val="single" w:sz="12" w:space="1" w:color="auto"/>
          <w:right w:val="single" w:sz="12" w:space="4" w:color="auto"/>
        </w:pBdr>
        <w:shd w:val="clear" w:color="auto" w:fill="D9D9D9" w:themeFill="background1" w:themeFillShade="D9"/>
        <w:spacing w:before="0" w:beforeAutospacing="0" w:after="120" w:afterAutospacing="0"/>
        <w:jc w:val="center"/>
        <w:textAlignment w:val="baseline"/>
        <w:rPr>
          <w:rStyle w:val="eop"/>
          <w:b/>
          <w:bCs/>
        </w:rPr>
      </w:pPr>
      <w:r w:rsidRPr="00BB4EBE">
        <w:rPr>
          <w:rStyle w:val="normaltextrun"/>
          <w:b/>
          <w:bCs/>
          <w:color w:val="000000"/>
        </w:rPr>
        <w:t>For TMPC 7.0.</w:t>
      </w:r>
      <w:r>
        <w:rPr>
          <w:rStyle w:val="normaltextrun"/>
          <w:b/>
          <w:bCs/>
          <w:color w:val="000000"/>
        </w:rPr>
        <w:t>5</w:t>
      </w:r>
      <w:r w:rsidRPr="00BB4EBE">
        <w:rPr>
          <w:rStyle w:val="normaltextrun"/>
          <w:b/>
          <w:bCs/>
          <w:color w:val="000000"/>
        </w:rPr>
        <w:t>,</w:t>
      </w:r>
      <w:r>
        <w:rPr>
          <w:rStyle w:val="normaltextrun"/>
          <w:b/>
          <w:bCs/>
          <w:color w:val="000000"/>
        </w:rPr>
        <w:t xml:space="preserve"> 109M &amp; ACP2 Missiles will not be included (always have a total of “0”) in any summary totals.</w:t>
      </w:r>
    </w:p>
    <w:p w14:paraId="32BAC63C" w14:textId="324228B9" w:rsidR="00BF5AA2" w:rsidRDefault="00174457" w:rsidP="00E229F9">
      <w:pPr>
        <w:pStyle w:val="paragraph"/>
        <w:spacing w:before="0" w:beforeAutospacing="0" w:after="120" w:afterAutospacing="0"/>
        <w:textAlignment w:val="baseline"/>
      </w:pPr>
      <w:r>
        <w:rPr>
          <w:rStyle w:val="normaltextrun"/>
          <w:color w:val="000000"/>
          <w:shd w:val="clear" w:color="auto" w:fill="FFFFFF"/>
        </w:rPr>
        <w:lastRenderedPageBreak/>
        <w:t>Tactical Missile groupings:</w:t>
      </w:r>
    </w:p>
    <w:tbl>
      <w:tblPr>
        <w:tblW w:w="7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2"/>
        <w:gridCol w:w="1867"/>
        <w:gridCol w:w="1867"/>
        <w:gridCol w:w="1679"/>
      </w:tblGrid>
      <w:tr w:rsidR="00BF5AA2" w:rsidRPr="000665B0" w14:paraId="0A134543" w14:textId="77777777" w:rsidTr="005444EA">
        <w:trPr>
          <w:tblHeader/>
          <w:jc w:val="center"/>
        </w:trPr>
        <w:tc>
          <w:tcPr>
            <w:tcW w:w="1692" w:type="dxa"/>
            <w:shd w:val="clear" w:color="auto" w:fill="D9D9D9" w:themeFill="background1" w:themeFillShade="D9"/>
          </w:tcPr>
          <w:p w14:paraId="4253B959" w14:textId="77777777" w:rsidR="00BF5AA2" w:rsidRPr="000665B0" w:rsidRDefault="00BF5AA2" w:rsidP="008931B1">
            <w:pPr>
              <w:keepNext/>
              <w:keepLines/>
              <w:spacing w:before="60" w:after="60"/>
              <w:jc w:val="center"/>
              <w:rPr>
                <w:rFonts w:ascii="Arial" w:hAnsi="Arial" w:cs="Arial"/>
                <w:b/>
              </w:rPr>
            </w:pPr>
            <w:r w:rsidRPr="000665B0">
              <w:rPr>
                <w:rFonts w:ascii="Arial" w:hAnsi="Arial" w:cs="Arial"/>
                <w:b/>
              </w:rPr>
              <w:t>Missile Type</w:t>
            </w:r>
          </w:p>
        </w:tc>
        <w:tc>
          <w:tcPr>
            <w:tcW w:w="1867" w:type="dxa"/>
            <w:shd w:val="clear" w:color="auto" w:fill="D9D9D9" w:themeFill="background1" w:themeFillShade="D9"/>
          </w:tcPr>
          <w:p w14:paraId="20FA6519" w14:textId="77777777" w:rsidR="00BF5AA2" w:rsidRPr="000665B0" w:rsidRDefault="00BF5AA2" w:rsidP="008931B1">
            <w:pPr>
              <w:keepNext/>
              <w:keepLines/>
              <w:spacing w:before="60" w:after="60"/>
              <w:jc w:val="center"/>
              <w:rPr>
                <w:rFonts w:ascii="Arial" w:hAnsi="Arial" w:cs="Arial"/>
                <w:b/>
              </w:rPr>
            </w:pPr>
            <w:r>
              <w:rPr>
                <w:rFonts w:ascii="Arial" w:hAnsi="Arial" w:cs="Arial"/>
                <w:b/>
              </w:rPr>
              <w:t>Missile</w:t>
            </w:r>
          </w:p>
        </w:tc>
        <w:tc>
          <w:tcPr>
            <w:tcW w:w="1867" w:type="dxa"/>
            <w:shd w:val="clear" w:color="auto" w:fill="D9D9D9" w:themeFill="background1" w:themeFillShade="D9"/>
          </w:tcPr>
          <w:p w14:paraId="41053AC9" w14:textId="77777777" w:rsidR="00BF5AA2" w:rsidRPr="000665B0" w:rsidRDefault="00BF5AA2" w:rsidP="008931B1">
            <w:pPr>
              <w:keepNext/>
              <w:keepLines/>
              <w:spacing w:before="60" w:after="60"/>
              <w:jc w:val="center"/>
              <w:rPr>
                <w:rFonts w:ascii="Arial" w:hAnsi="Arial" w:cs="Arial"/>
                <w:b/>
              </w:rPr>
            </w:pPr>
            <w:r>
              <w:rPr>
                <w:rFonts w:ascii="Arial" w:hAnsi="Arial" w:cs="Arial"/>
                <w:b/>
              </w:rPr>
              <w:t>TSN</w:t>
            </w:r>
          </w:p>
        </w:tc>
        <w:tc>
          <w:tcPr>
            <w:tcW w:w="1679" w:type="dxa"/>
            <w:shd w:val="clear" w:color="auto" w:fill="D9D9D9" w:themeFill="background1" w:themeFillShade="D9"/>
          </w:tcPr>
          <w:p w14:paraId="00AD0E89" w14:textId="77777777" w:rsidR="00BF5AA2" w:rsidRPr="000665B0" w:rsidRDefault="00BF5AA2" w:rsidP="008931B1">
            <w:pPr>
              <w:keepNext/>
              <w:keepLines/>
              <w:spacing w:before="60" w:after="60"/>
              <w:jc w:val="center"/>
              <w:rPr>
                <w:rFonts w:ascii="Arial" w:hAnsi="Arial" w:cs="Arial"/>
                <w:b/>
              </w:rPr>
            </w:pPr>
            <w:r>
              <w:rPr>
                <w:rFonts w:ascii="Arial" w:hAnsi="Arial" w:cs="Arial"/>
                <w:b/>
              </w:rPr>
              <w:t>Missile Type Bucket</w:t>
            </w:r>
          </w:p>
        </w:tc>
      </w:tr>
      <w:tr w:rsidR="00BF5AA2" w:rsidRPr="000665B0" w14:paraId="13142670" w14:textId="77777777" w:rsidTr="0064295B">
        <w:trPr>
          <w:jc w:val="center"/>
        </w:trPr>
        <w:tc>
          <w:tcPr>
            <w:tcW w:w="1692" w:type="dxa"/>
            <w:shd w:val="clear" w:color="auto" w:fill="E1EBF7" w:themeFill="text2" w:themeFillTint="1A"/>
          </w:tcPr>
          <w:p w14:paraId="2054C441"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LUD3</w:t>
            </w:r>
          </w:p>
        </w:tc>
        <w:tc>
          <w:tcPr>
            <w:tcW w:w="1867" w:type="dxa"/>
            <w:shd w:val="clear" w:color="auto" w:fill="E1EBF7" w:themeFill="text2" w:themeFillTint="1A"/>
          </w:tcPr>
          <w:p w14:paraId="6EF9B755"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109E</w:t>
            </w:r>
          </w:p>
        </w:tc>
        <w:tc>
          <w:tcPr>
            <w:tcW w:w="1867" w:type="dxa"/>
            <w:shd w:val="clear" w:color="auto" w:fill="E1EBF7" w:themeFill="text2" w:themeFillTint="1A"/>
          </w:tcPr>
          <w:p w14:paraId="7CFB2588"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DAMA</w:t>
            </w:r>
          </w:p>
        </w:tc>
        <w:tc>
          <w:tcPr>
            <w:tcW w:w="1679" w:type="dxa"/>
            <w:shd w:val="clear" w:color="auto" w:fill="E1EBF7" w:themeFill="text2" w:themeFillTint="1A"/>
          </w:tcPr>
          <w:p w14:paraId="49DBDF59"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LUD3/LUD4</w:t>
            </w:r>
          </w:p>
        </w:tc>
      </w:tr>
      <w:tr w:rsidR="00BF5AA2" w:rsidRPr="000665B0" w14:paraId="3CA336A5" w14:textId="77777777" w:rsidTr="0064295B">
        <w:trPr>
          <w:jc w:val="center"/>
        </w:trPr>
        <w:tc>
          <w:tcPr>
            <w:tcW w:w="1692" w:type="dxa"/>
            <w:shd w:val="clear" w:color="auto" w:fill="E1EBF7" w:themeFill="text2" w:themeFillTint="1A"/>
          </w:tcPr>
          <w:p w14:paraId="071346A5" w14:textId="77777777" w:rsidR="00BF5AA2" w:rsidRPr="000665B0" w:rsidRDefault="00BF5AA2" w:rsidP="008931B1">
            <w:pPr>
              <w:keepNext/>
              <w:keepLines/>
              <w:spacing w:before="60" w:after="60"/>
              <w:jc w:val="center"/>
              <w:rPr>
                <w:rFonts w:ascii="Arial" w:hAnsi="Arial" w:cs="Arial"/>
                <w:sz w:val="20"/>
              </w:rPr>
            </w:pPr>
            <w:r w:rsidRPr="000665B0">
              <w:rPr>
                <w:rFonts w:ascii="Arial" w:hAnsi="Arial" w:cs="Arial"/>
                <w:sz w:val="20"/>
              </w:rPr>
              <w:t>L</w:t>
            </w:r>
            <w:r>
              <w:rPr>
                <w:rFonts w:ascii="Arial" w:hAnsi="Arial" w:cs="Arial"/>
                <w:sz w:val="20"/>
              </w:rPr>
              <w:t>UD4</w:t>
            </w:r>
          </w:p>
        </w:tc>
        <w:tc>
          <w:tcPr>
            <w:tcW w:w="1867" w:type="dxa"/>
            <w:shd w:val="clear" w:color="auto" w:fill="E1EBF7" w:themeFill="text2" w:themeFillTint="1A"/>
          </w:tcPr>
          <w:p w14:paraId="0989E503"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109E</w:t>
            </w:r>
          </w:p>
        </w:tc>
        <w:tc>
          <w:tcPr>
            <w:tcW w:w="1867" w:type="dxa"/>
            <w:shd w:val="clear" w:color="auto" w:fill="E1EBF7" w:themeFill="text2" w:themeFillTint="1A"/>
          </w:tcPr>
          <w:p w14:paraId="0A2358FE"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DAMA</w:t>
            </w:r>
          </w:p>
        </w:tc>
        <w:tc>
          <w:tcPr>
            <w:tcW w:w="1679" w:type="dxa"/>
            <w:shd w:val="clear" w:color="auto" w:fill="E1EBF7" w:themeFill="text2" w:themeFillTint="1A"/>
          </w:tcPr>
          <w:p w14:paraId="0919C4E5"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LUD3/LUD4</w:t>
            </w:r>
          </w:p>
        </w:tc>
      </w:tr>
      <w:tr w:rsidR="00BF5AA2" w:rsidRPr="000665B0" w14:paraId="2A88D0B6" w14:textId="77777777" w:rsidTr="0064295B">
        <w:trPr>
          <w:jc w:val="center"/>
        </w:trPr>
        <w:tc>
          <w:tcPr>
            <w:tcW w:w="1692" w:type="dxa"/>
            <w:shd w:val="clear" w:color="auto" w:fill="B7CFED" w:themeFill="text2" w:themeFillTint="40"/>
          </w:tcPr>
          <w:p w14:paraId="5C742D49"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LUA4</w:t>
            </w:r>
          </w:p>
        </w:tc>
        <w:tc>
          <w:tcPr>
            <w:tcW w:w="1867" w:type="dxa"/>
            <w:shd w:val="clear" w:color="auto" w:fill="B7CFED" w:themeFill="text2" w:themeFillTint="40"/>
          </w:tcPr>
          <w:p w14:paraId="6FFA1F16" w14:textId="77777777" w:rsidR="00BF5AA2" w:rsidRDefault="00BF5AA2" w:rsidP="008931B1">
            <w:pPr>
              <w:keepNext/>
              <w:keepLines/>
              <w:spacing w:before="60" w:after="60"/>
              <w:jc w:val="center"/>
              <w:rPr>
                <w:rFonts w:ascii="Arial" w:hAnsi="Arial" w:cs="Arial"/>
                <w:sz w:val="20"/>
              </w:rPr>
            </w:pPr>
            <w:r>
              <w:rPr>
                <w:rFonts w:ascii="Arial" w:hAnsi="Arial" w:cs="Arial"/>
                <w:sz w:val="20"/>
              </w:rPr>
              <w:t>109E</w:t>
            </w:r>
          </w:p>
        </w:tc>
        <w:tc>
          <w:tcPr>
            <w:tcW w:w="1867" w:type="dxa"/>
            <w:shd w:val="clear" w:color="auto" w:fill="B7CFED" w:themeFill="text2" w:themeFillTint="40"/>
          </w:tcPr>
          <w:p w14:paraId="69877977"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B7CFED" w:themeFill="text2" w:themeFillTint="40"/>
          </w:tcPr>
          <w:p w14:paraId="0D4BA86B" w14:textId="77777777" w:rsidR="00BF5AA2" w:rsidRDefault="00BF5AA2" w:rsidP="008931B1">
            <w:pPr>
              <w:keepNext/>
              <w:keepLines/>
              <w:spacing w:before="60" w:after="60"/>
              <w:jc w:val="center"/>
              <w:rPr>
                <w:rFonts w:ascii="Arial" w:hAnsi="Arial" w:cs="Arial"/>
                <w:sz w:val="20"/>
              </w:rPr>
            </w:pPr>
            <w:r>
              <w:rPr>
                <w:rFonts w:ascii="Arial" w:hAnsi="Arial" w:cs="Arial"/>
                <w:sz w:val="20"/>
              </w:rPr>
              <w:t>LUA4/LUA5</w:t>
            </w:r>
          </w:p>
        </w:tc>
      </w:tr>
      <w:tr w:rsidR="00BF5AA2" w:rsidRPr="000665B0" w14:paraId="65924DF7" w14:textId="77777777" w:rsidTr="0064295B">
        <w:trPr>
          <w:jc w:val="center"/>
        </w:trPr>
        <w:tc>
          <w:tcPr>
            <w:tcW w:w="1692" w:type="dxa"/>
            <w:shd w:val="clear" w:color="auto" w:fill="B7CFED" w:themeFill="text2" w:themeFillTint="40"/>
          </w:tcPr>
          <w:p w14:paraId="5DBBA6AA"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LUA5</w:t>
            </w:r>
          </w:p>
        </w:tc>
        <w:tc>
          <w:tcPr>
            <w:tcW w:w="1867" w:type="dxa"/>
            <w:shd w:val="clear" w:color="auto" w:fill="B7CFED" w:themeFill="text2" w:themeFillTint="40"/>
          </w:tcPr>
          <w:p w14:paraId="02F5ABB7" w14:textId="77777777" w:rsidR="00BF5AA2" w:rsidRDefault="00BF5AA2" w:rsidP="008931B1">
            <w:pPr>
              <w:keepNext/>
              <w:keepLines/>
              <w:spacing w:before="60" w:after="60"/>
              <w:jc w:val="center"/>
              <w:rPr>
                <w:rFonts w:ascii="Arial" w:hAnsi="Arial" w:cs="Arial"/>
                <w:sz w:val="20"/>
              </w:rPr>
            </w:pPr>
            <w:r>
              <w:rPr>
                <w:rFonts w:ascii="Arial" w:hAnsi="Arial" w:cs="Arial"/>
                <w:sz w:val="20"/>
              </w:rPr>
              <w:t>109E</w:t>
            </w:r>
          </w:p>
        </w:tc>
        <w:tc>
          <w:tcPr>
            <w:tcW w:w="1867" w:type="dxa"/>
            <w:shd w:val="clear" w:color="auto" w:fill="B7CFED" w:themeFill="text2" w:themeFillTint="40"/>
          </w:tcPr>
          <w:p w14:paraId="25C94ACC"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B7CFED" w:themeFill="text2" w:themeFillTint="40"/>
          </w:tcPr>
          <w:p w14:paraId="36473A3F" w14:textId="77777777" w:rsidR="00BF5AA2" w:rsidRDefault="00BF5AA2" w:rsidP="008931B1">
            <w:pPr>
              <w:keepNext/>
              <w:keepLines/>
              <w:spacing w:before="60" w:after="60"/>
              <w:jc w:val="center"/>
              <w:rPr>
                <w:rFonts w:ascii="Arial" w:hAnsi="Arial" w:cs="Arial"/>
                <w:sz w:val="20"/>
              </w:rPr>
            </w:pPr>
            <w:r>
              <w:rPr>
                <w:rFonts w:ascii="Arial" w:hAnsi="Arial" w:cs="Arial"/>
                <w:sz w:val="20"/>
              </w:rPr>
              <w:t>LUA4/LUA5</w:t>
            </w:r>
          </w:p>
        </w:tc>
      </w:tr>
      <w:tr w:rsidR="00BF5AA2" w:rsidRPr="000665B0" w14:paraId="6BAEE8A1" w14:textId="77777777" w:rsidTr="0064295B">
        <w:trPr>
          <w:jc w:val="center"/>
        </w:trPr>
        <w:tc>
          <w:tcPr>
            <w:tcW w:w="1692" w:type="dxa"/>
            <w:shd w:val="clear" w:color="auto" w:fill="E1EBF7" w:themeFill="text2" w:themeFillTint="1A"/>
          </w:tcPr>
          <w:p w14:paraId="38C5D6B8"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LUP4</w:t>
            </w:r>
          </w:p>
        </w:tc>
        <w:tc>
          <w:tcPr>
            <w:tcW w:w="1867" w:type="dxa"/>
            <w:shd w:val="clear" w:color="auto" w:fill="E1EBF7" w:themeFill="text2" w:themeFillTint="1A"/>
          </w:tcPr>
          <w:p w14:paraId="18CB3074" w14:textId="77777777" w:rsidR="00BF5AA2" w:rsidRDefault="00BF5AA2" w:rsidP="008931B1">
            <w:pPr>
              <w:keepNext/>
              <w:keepLines/>
              <w:spacing w:before="60" w:after="60"/>
              <w:jc w:val="center"/>
              <w:rPr>
                <w:rFonts w:ascii="Arial" w:hAnsi="Arial" w:cs="Arial"/>
                <w:sz w:val="20"/>
              </w:rPr>
            </w:pPr>
            <w:r>
              <w:rPr>
                <w:rFonts w:ascii="Arial" w:hAnsi="Arial" w:cs="Arial"/>
                <w:sz w:val="20"/>
              </w:rPr>
              <w:t>109E</w:t>
            </w:r>
          </w:p>
        </w:tc>
        <w:tc>
          <w:tcPr>
            <w:tcW w:w="1867" w:type="dxa"/>
            <w:shd w:val="clear" w:color="auto" w:fill="E1EBF7" w:themeFill="text2" w:themeFillTint="1A"/>
          </w:tcPr>
          <w:p w14:paraId="460EA34A"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E1EBF7" w:themeFill="text2" w:themeFillTint="1A"/>
          </w:tcPr>
          <w:p w14:paraId="3A9B1CDC" w14:textId="77777777" w:rsidR="00BF5AA2" w:rsidRDefault="00BF5AA2" w:rsidP="008931B1">
            <w:pPr>
              <w:keepNext/>
              <w:keepLines/>
              <w:spacing w:before="60" w:after="60"/>
              <w:jc w:val="center"/>
              <w:rPr>
                <w:rFonts w:ascii="Arial" w:hAnsi="Arial" w:cs="Arial"/>
                <w:sz w:val="20"/>
              </w:rPr>
            </w:pPr>
            <w:r>
              <w:rPr>
                <w:rFonts w:ascii="Arial" w:hAnsi="Arial" w:cs="Arial"/>
                <w:sz w:val="20"/>
              </w:rPr>
              <w:t>LUP4/LUP5</w:t>
            </w:r>
          </w:p>
        </w:tc>
      </w:tr>
      <w:tr w:rsidR="00BF5AA2" w:rsidRPr="000665B0" w14:paraId="4D9C62EA" w14:textId="77777777" w:rsidTr="0064295B">
        <w:trPr>
          <w:jc w:val="center"/>
        </w:trPr>
        <w:tc>
          <w:tcPr>
            <w:tcW w:w="1692" w:type="dxa"/>
            <w:shd w:val="clear" w:color="auto" w:fill="E1EBF7" w:themeFill="text2" w:themeFillTint="1A"/>
          </w:tcPr>
          <w:p w14:paraId="301F57FC"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LUP5</w:t>
            </w:r>
          </w:p>
        </w:tc>
        <w:tc>
          <w:tcPr>
            <w:tcW w:w="1867" w:type="dxa"/>
            <w:shd w:val="clear" w:color="auto" w:fill="E1EBF7" w:themeFill="text2" w:themeFillTint="1A"/>
          </w:tcPr>
          <w:p w14:paraId="3D7F1CD0" w14:textId="77777777" w:rsidR="00BF5AA2" w:rsidRDefault="00BF5AA2" w:rsidP="008931B1">
            <w:pPr>
              <w:keepNext/>
              <w:keepLines/>
              <w:spacing w:before="60" w:after="60"/>
              <w:jc w:val="center"/>
              <w:rPr>
                <w:rFonts w:ascii="Arial" w:hAnsi="Arial" w:cs="Arial"/>
                <w:sz w:val="20"/>
              </w:rPr>
            </w:pPr>
            <w:r>
              <w:rPr>
                <w:rFonts w:ascii="Arial" w:hAnsi="Arial" w:cs="Arial"/>
                <w:sz w:val="20"/>
              </w:rPr>
              <w:t>109E</w:t>
            </w:r>
          </w:p>
        </w:tc>
        <w:tc>
          <w:tcPr>
            <w:tcW w:w="1867" w:type="dxa"/>
            <w:shd w:val="clear" w:color="auto" w:fill="E1EBF7" w:themeFill="text2" w:themeFillTint="1A"/>
          </w:tcPr>
          <w:p w14:paraId="50812F3A"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E1EBF7" w:themeFill="text2" w:themeFillTint="1A"/>
          </w:tcPr>
          <w:p w14:paraId="06FDB1D8" w14:textId="77777777" w:rsidR="00BF5AA2" w:rsidRDefault="00BF5AA2" w:rsidP="008931B1">
            <w:pPr>
              <w:keepNext/>
              <w:keepLines/>
              <w:spacing w:before="60" w:after="60"/>
              <w:jc w:val="center"/>
              <w:rPr>
                <w:rFonts w:ascii="Arial" w:hAnsi="Arial" w:cs="Arial"/>
                <w:sz w:val="20"/>
              </w:rPr>
            </w:pPr>
            <w:r>
              <w:rPr>
                <w:rFonts w:ascii="Arial" w:hAnsi="Arial" w:cs="Arial"/>
                <w:sz w:val="20"/>
              </w:rPr>
              <w:t>LUP4/LUP5</w:t>
            </w:r>
          </w:p>
        </w:tc>
      </w:tr>
      <w:tr w:rsidR="00BF5AA2" w:rsidRPr="000665B0" w14:paraId="04816D17" w14:textId="77777777" w:rsidTr="0064295B">
        <w:trPr>
          <w:jc w:val="center"/>
        </w:trPr>
        <w:tc>
          <w:tcPr>
            <w:tcW w:w="1692" w:type="dxa"/>
            <w:shd w:val="clear" w:color="auto" w:fill="B7CFED" w:themeFill="text2" w:themeFillTint="40"/>
          </w:tcPr>
          <w:p w14:paraId="038B94BC"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SUP4</w:t>
            </w:r>
          </w:p>
        </w:tc>
        <w:tc>
          <w:tcPr>
            <w:tcW w:w="1867" w:type="dxa"/>
            <w:shd w:val="clear" w:color="auto" w:fill="B7CFED" w:themeFill="text2" w:themeFillTint="40"/>
          </w:tcPr>
          <w:p w14:paraId="1CD5AF17" w14:textId="77777777" w:rsidR="00BF5AA2" w:rsidRDefault="00BF5AA2" w:rsidP="008931B1">
            <w:pPr>
              <w:keepNext/>
              <w:keepLines/>
              <w:spacing w:before="60" w:after="60"/>
              <w:jc w:val="center"/>
              <w:rPr>
                <w:rFonts w:ascii="Arial" w:hAnsi="Arial" w:cs="Arial"/>
                <w:sz w:val="20"/>
              </w:rPr>
            </w:pPr>
            <w:r>
              <w:rPr>
                <w:rFonts w:ascii="Arial" w:hAnsi="Arial" w:cs="Arial"/>
                <w:sz w:val="20"/>
              </w:rPr>
              <w:t>MSTM</w:t>
            </w:r>
          </w:p>
        </w:tc>
        <w:tc>
          <w:tcPr>
            <w:tcW w:w="1867" w:type="dxa"/>
            <w:shd w:val="clear" w:color="auto" w:fill="B7CFED" w:themeFill="text2" w:themeFillTint="40"/>
          </w:tcPr>
          <w:p w14:paraId="4CAAC113"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B7CFED" w:themeFill="text2" w:themeFillTint="40"/>
          </w:tcPr>
          <w:p w14:paraId="4DBDC6D3" w14:textId="77777777" w:rsidR="00BF5AA2" w:rsidRDefault="00BF5AA2" w:rsidP="008931B1">
            <w:pPr>
              <w:keepNext/>
              <w:keepLines/>
              <w:spacing w:before="60" w:after="60"/>
              <w:jc w:val="center"/>
              <w:rPr>
                <w:rFonts w:ascii="Arial" w:hAnsi="Arial" w:cs="Arial"/>
                <w:sz w:val="20"/>
              </w:rPr>
            </w:pPr>
            <w:r>
              <w:rPr>
                <w:rFonts w:ascii="Arial" w:hAnsi="Arial" w:cs="Arial"/>
                <w:sz w:val="20"/>
              </w:rPr>
              <w:t>SUP4/SUP5</w:t>
            </w:r>
          </w:p>
        </w:tc>
      </w:tr>
      <w:tr w:rsidR="00BF5AA2" w:rsidRPr="000665B0" w14:paraId="097DC950" w14:textId="77777777" w:rsidTr="0064295B">
        <w:trPr>
          <w:jc w:val="center"/>
        </w:trPr>
        <w:tc>
          <w:tcPr>
            <w:tcW w:w="1692" w:type="dxa"/>
            <w:shd w:val="clear" w:color="auto" w:fill="B7CFED" w:themeFill="text2" w:themeFillTint="40"/>
          </w:tcPr>
          <w:p w14:paraId="7442B610"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SUP5</w:t>
            </w:r>
          </w:p>
        </w:tc>
        <w:tc>
          <w:tcPr>
            <w:tcW w:w="1867" w:type="dxa"/>
            <w:shd w:val="clear" w:color="auto" w:fill="B7CFED" w:themeFill="text2" w:themeFillTint="40"/>
          </w:tcPr>
          <w:p w14:paraId="3E4F722F" w14:textId="77777777" w:rsidR="00BF5AA2" w:rsidRDefault="00BF5AA2" w:rsidP="008931B1">
            <w:pPr>
              <w:keepNext/>
              <w:keepLines/>
              <w:spacing w:before="60" w:after="60"/>
              <w:jc w:val="center"/>
              <w:rPr>
                <w:rFonts w:ascii="Arial" w:hAnsi="Arial" w:cs="Arial"/>
                <w:sz w:val="20"/>
              </w:rPr>
            </w:pPr>
            <w:r>
              <w:rPr>
                <w:rFonts w:ascii="Arial" w:hAnsi="Arial" w:cs="Arial"/>
                <w:sz w:val="20"/>
              </w:rPr>
              <w:t>MSTM</w:t>
            </w:r>
          </w:p>
        </w:tc>
        <w:tc>
          <w:tcPr>
            <w:tcW w:w="1867" w:type="dxa"/>
            <w:shd w:val="clear" w:color="auto" w:fill="B7CFED" w:themeFill="text2" w:themeFillTint="40"/>
          </w:tcPr>
          <w:p w14:paraId="08DC3DFC"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B7CFED" w:themeFill="text2" w:themeFillTint="40"/>
          </w:tcPr>
          <w:p w14:paraId="044295E9" w14:textId="77777777" w:rsidR="00BF5AA2" w:rsidRDefault="00BF5AA2" w:rsidP="008931B1">
            <w:pPr>
              <w:keepNext/>
              <w:keepLines/>
              <w:spacing w:before="60" w:after="60"/>
              <w:jc w:val="center"/>
              <w:rPr>
                <w:rFonts w:ascii="Arial" w:hAnsi="Arial" w:cs="Arial"/>
                <w:sz w:val="20"/>
              </w:rPr>
            </w:pPr>
            <w:r>
              <w:rPr>
                <w:rFonts w:ascii="Arial" w:hAnsi="Arial" w:cs="Arial"/>
                <w:sz w:val="20"/>
              </w:rPr>
              <w:t>SUP4/SUP5</w:t>
            </w:r>
          </w:p>
        </w:tc>
      </w:tr>
      <w:tr w:rsidR="00BF5AA2" w:rsidRPr="000665B0" w14:paraId="3B86340E" w14:textId="77777777" w:rsidTr="0064295B">
        <w:trPr>
          <w:jc w:val="center"/>
        </w:trPr>
        <w:tc>
          <w:tcPr>
            <w:tcW w:w="1692" w:type="dxa"/>
            <w:shd w:val="clear" w:color="auto" w:fill="E1EBF7" w:themeFill="text2" w:themeFillTint="1A"/>
          </w:tcPr>
          <w:p w14:paraId="39A0C859"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LJP4</w:t>
            </w:r>
          </w:p>
        </w:tc>
        <w:tc>
          <w:tcPr>
            <w:tcW w:w="1867" w:type="dxa"/>
            <w:shd w:val="clear" w:color="auto" w:fill="E1EBF7" w:themeFill="text2" w:themeFillTint="1A"/>
          </w:tcPr>
          <w:p w14:paraId="6832C057" w14:textId="77777777" w:rsidR="00BF5AA2" w:rsidRDefault="00BF5AA2" w:rsidP="008931B1">
            <w:pPr>
              <w:keepNext/>
              <w:keepLines/>
              <w:spacing w:before="60" w:after="60"/>
              <w:jc w:val="center"/>
              <w:rPr>
                <w:rFonts w:ascii="Arial" w:hAnsi="Arial" w:cs="Arial"/>
                <w:sz w:val="20"/>
              </w:rPr>
            </w:pPr>
            <w:r>
              <w:rPr>
                <w:rFonts w:ascii="Arial" w:hAnsi="Arial" w:cs="Arial"/>
                <w:sz w:val="20"/>
              </w:rPr>
              <w:t>109M</w:t>
            </w:r>
          </w:p>
        </w:tc>
        <w:tc>
          <w:tcPr>
            <w:tcW w:w="1867" w:type="dxa"/>
            <w:shd w:val="clear" w:color="auto" w:fill="E1EBF7" w:themeFill="text2" w:themeFillTint="1A"/>
          </w:tcPr>
          <w:p w14:paraId="7E09CAC7"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E1EBF7" w:themeFill="text2" w:themeFillTint="1A"/>
          </w:tcPr>
          <w:p w14:paraId="58B53A30" w14:textId="77777777" w:rsidR="00BF5AA2" w:rsidRDefault="00BF5AA2" w:rsidP="008931B1">
            <w:pPr>
              <w:keepNext/>
              <w:keepLines/>
              <w:spacing w:before="60" w:after="60"/>
              <w:jc w:val="center"/>
              <w:rPr>
                <w:rFonts w:ascii="Arial" w:hAnsi="Arial" w:cs="Arial"/>
                <w:sz w:val="20"/>
              </w:rPr>
            </w:pPr>
            <w:r>
              <w:rPr>
                <w:rFonts w:ascii="Arial" w:hAnsi="Arial" w:cs="Arial"/>
                <w:sz w:val="20"/>
              </w:rPr>
              <w:t>LJP4/LJP5</w:t>
            </w:r>
          </w:p>
        </w:tc>
      </w:tr>
      <w:tr w:rsidR="00BF5AA2" w:rsidRPr="000665B0" w14:paraId="5CB6A74B" w14:textId="77777777" w:rsidTr="0064295B">
        <w:trPr>
          <w:jc w:val="center"/>
        </w:trPr>
        <w:tc>
          <w:tcPr>
            <w:tcW w:w="1692" w:type="dxa"/>
            <w:shd w:val="clear" w:color="auto" w:fill="E1EBF7" w:themeFill="text2" w:themeFillTint="1A"/>
          </w:tcPr>
          <w:p w14:paraId="2687D727"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LJP5</w:t>
            </w:r>
          </w:p>
        </w:tc>
        <w:tc>
          <w:tcPr>
            <w:tcW w:w="1867" w:type="dxa"/>
            <w:shd w:val="clear" w:color="auto" w:fill="E1EBF7" w:themeFill="text2" w:themeFillTint="1A"/>
          </w:tcPr>
          <w:p w14:paraId="4455B362" w14:textId="77777777" w:rsidR="00BF5AA2" w:rsidRDefault="00BF5AA2" w:rsidP="008931B1">
            <w:pPr>
              <w:keepNext/>
              <w:keepLines/>
              <w:spacing w:before="60" w:after="60"/>
              <w:jc w:val="center"/>
              <w:rPr>
                <w:rFonts w:ascii="Arial" w:hAnsi="Arial" w:cs="Arial"/>
                <w:sz w:val="20"/>
              </w:rPr>
            </w:pPr>
            <w:r>
              <w:rPr>
                <w:rFonts w:ascii="Arial" w:hAnsi="Arial" w:cs="Arial"/>
                <w:sz w:val="20"/>
              </w:rPr>
              <w:t>109M</w:t>
            </w:r>
          </w:p>
        </w:tc>
        <w:tc>
          <w:tcPr>
            <w:tcW w:w="1867" w:type="dxa"/>
            <w:shd w:val="clear" w:color="auto" w:fill="E1EBF7"/>
          </w:tcPr>
          <w:p w14:paraId="26CF83A1"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E1EBF7" w:themeFill="text2" w:themeFillTint="1A"/>
          </w:tcPr>
          <w:p w14:paraId="01F986D7" w14:textId="77777777" w:rsidR="00BF5AA2" w:rsidRDefault="00BF5AA2" w:rsidP="008931B1">
            <w:pPr>
              <w:keepNext/>
              <w:keepLines/>
              <w:spacing w:before="60" w:after="60"/>
              <w:jc w:val="center"/>
              <w:rPr>
                <w:rFonts w:ascii="Arial" w:hAnsi="Arial" w:cs="Arial"/>
                <w:sz w:val="20"/>
              </w:rPr>
            </w:pPr>
            <w:r>
              <w:rPr>
                <w:rFonts w:ascii="Arial" w:hAnsi="Arial" w:cs="Arial"/>
                <w:sz w:val="20"/>
              </w:rPr>
              <w:t>LJP4/LJP5</w:t>
            </w:r>
          </w:p>
        </w:tc>
      </w:tr>
      <w:tr w:rsidR="00BF5AA2" w:rsidRPr="000665B0" w14:paraId="39159213" w14:textId="77777777" w:rsidTr="0064295B">
        <w:trPr>
          <w:jc w:val="center"/>
        </w:trPr>
        <w:tc>
          <w:tcPr>
            <w:tcW w:w="1692" w:type="dxa"/>
            <w:shd w:val="clear" w:color="auto" w:fill="B7CFED" w:themeFill="text2" w:themeFillTint="40"/>
          </w:tcPr>
          <w:p w14:paraId="663CC322"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LU24</w:t>
            </w:r>
          </w:p>
        </w:tc>
        <w:tc>
          <w:tcPr>
            <w:tcW w:w="1867" w:type="dxa"/>
            <w:shd w:val="clear" w:color="auto" w:fill="B7CFED" w:themeFill="text2" w:themeFillTint="40"/>
          </w:tcPr>
          <w:p w14:paraId="4416ECDB" w14:textId="77777777" w:rsidR="00BF5AA2" w:rsidRDefault="00BF5AA2" w:rsidP="008931B1">
            <w:pPr>
              <w:keepNext/>
              <w:keepLines/>
              <w:spacing w:before="60" w:after="60"/>
              <w:jc w:val="center"/>
              <w:rPr>
                <w:rFonts w:ascii="Arial" w:hAnsi="Arial" w:cs="Arial"/>
                <w:sz w:val="20"/>
              </w:rPr>
            </w:pPr>
            <w:r>
              <w:rPr>
                <w:rFonts w:ascii="Arial" w:hAnsi="Arial" w:cs="Arial"/>
                <w:sz w:val="20"/>
              </w:rPr>
              <w:t>109E ACP2</w:t>
            </w:r>
          </w:p>
        </w:tc>
        <w:tc>
          <w:tcPr>
            <w:tcW w:w="1867" w:type="dxa"/>
            <w:shd w:val="clear" w:color="auto" w:fill="B7CFED" w:themeFill="text2" w:themeFillTint="40"/>
          </w:tcPr>
          <w:p w14:paraId="3E8970EA"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B7CFED" w:themeFill="text2" w:themeFillTint="40"/>
          </w:tcPr>
          <w:p w14:paraId="39BD954E" w14:textId="77777777" w:rsidR="00BF5AA2" w:rsidRDefault="00BF5AA2" w:rsidP="008931B1">
            <w:pPr>
              <w:keepNext/>
              <w:keepLines/>
              <w:spacing w:before="60" w:after="60"/>
              <w:jc w:val="center"/>
              <w:rPr>
                <w:rFonts w:ascii="Arial" w:hAnsi="Arial" w:cs="Arial"/>
                <w:sz w:val="20"/>
              </w:rPr>
            </w:pPr>
            <w:r>
              <w:rPr>
                <w:rFonts w:ascii="Arial" w:hAnsi="Arial" w:cs="Arial"/>
                <w:sz w:val="20"/>
              </w:rPr>
              <w:t>LU24/LU25</w:t>
            </w:r>
          </w:p>
        </w:tc>
      </w:tr>
      <w:tr w:rsidR="00BF5AA2" w:rsidRPr="000665B0" w14:paraId="27E7CBE1" w14:textId="77777777" w:rsidTr="0064295B">
        <w:trPr>
          <w:jc w:val="center"/>
        </w:trPr>
        <w:tc>
          <w:tcPr>
            <w:tcW w:w="1692" w:type="dxa"/>
            <w:shd w:val="clear" w:color="auto" w:fill="B7CFED" w:themeFill="text2" w:themeFillTint="40"/>
          </w:tcPr>
          <w:p w14:paraId="0B91BA59"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LU25</w:t>
            </w:r>
          </w:p>
        </w:tc>
        <w:tc>
          <w:tcPr>
            <w:tcW w:w="1867" w:type="dxa"/>
            <w:shd w:val="clear" w:color="auto" w:fill="B7CFED" w:themeFill="text2" w:themeFillTint="40"/>
          </w:tcPr>
          <w:p w14:paraId="70A69AD5" w14:textId="77777777" w:rsidR="00BF5AA2" w:rsidRDefault="00BF5AA2" w:rsidP="008931B1">
            <w:pPr>
              <w:keepNext/>
              <w:keepLines/>
              <w:spacing w:before="60" w:after="60"/>
              <w:jc w:val="center"/>
              <w:rPr>
                <w:rFonts w:ascii="Arial" w:hAnsi="Arial" w:cs="Arial"/>
                <w:sz w:val="20"/>
              </w:rPr>
            </w:pPr>
            <w:r>
              <w:rPr>
                <w:rFonts w:ascii="Arial" w:hAnsi="Arial" w:cs="Arial"/>
                <w:sz w:val="20"/>
              </w:rPr>
              <w:t>109E ACP2</w:t>
            </w:r>
          </w:p>
        </w:tc>
        <w:tc>
          <w:tcPr>
            <w:tcW w:w="1867" w:type="dxa"/>
            <w:shd w:val="clear" w:color="auto" w:fill="B7CFED" w:themeFill="text2" w:themeFillTint="40"/>
          </w:tcPr>
          <w:p w14:paraId="428EC78D"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B7CFED" w:themeFill="text2" w:themeFillTint="40"/>
          </w:tcPr>
          <w:p w14:paraId="7A8A54E5" w14:textId="77777777" w:rsidR="00BF5AA2" w:rsidRDefault="00BF5AA2" w:rsidP="008931B1">
            <w:pPr>
              <w:keepNext/>
              <w:keepLines/>
              <w:spacing w:before="60" w:after="60"/>
              <w:jc w:val="center"/>
              <w:rPr>
                <w:rFonts w:ascii="Arial" w:hAnsi="Arial" w:cs="Arial"/>
                <w:sz w:val="20"/>
              </w:rPr>
            </w:pPr>
            <w:r>
              <w:rPr>
                <w:rFonts w:ascii="Arial" w:hAnsi="Arial" w:cs="Arial"/>
                <w:sz w:val="20"/>
              </w:rPr>
              <w:t>LU24/LU25</w:t>
            </w:r>
          </w:p>
        </w:tc>
      </w:tr>
      <w:tr w:rsidR="00BF5AA2" w:rsidRPr="000665B0" w14:paraId="580FF6B0" w14:textId="77777777" w:rsidTr="0064295B">
        <w:trPr>
          <w:jc w:val="center"/>
        </w:trPr>
        <w:tc>
          <w:tcPr>
            <w:tcW w:w="1692" w:type="dxa"/>
            <w:shd w:val="clear" w:color="auto" w:fill="E1EBF7"/>
          </w:tcPr>
          <w:p w14:paraId="028545CB" w14:textId="77777777" w:rsidR="00BF5AA2" w:rsidRDefault="00BF5AA2" w:rsidP="008931B1">
            <w:pPr>
              <w:keepNext/>
              <w:keepLines/>
              <w:spacing w:before="60" w:after="60"/>
              <w:jc w:val="center"/>
              <w:rPr>
                <w:rFonts w:ascii="Arial" w:hAnsi="Arial" w:cs="Arial"/>
                <w:sz w:val="20"/>
              </w:rPr>
            </w:pPr>
            <w:r>
              <w:rPr>
                <w:rFonts w:ascii="Arial" w:hAnsi="Arial" w:cs="Arial"/>
                <w:sz w:val="20"/>
              </w:rPr>
              <w:t>2U24</w:t>
            </w:r>
          </w:p>
        </w:tc>
        <w:tc>
          <w:tcPr>
            <w:tcW w:w="1867" w:type="dxa"/>
            <w:shd w:val="clear" w:color="auto" w:fill="E1EBF7"/>
          </w:tcPr>
          <w:p w14:paraId="4DD3220F" w14:textId="77777777" w:rsidR="00BF5AA2" w:rsidRDefault="00BF5AA2" w:rsidP="008931B1">
            <w:pPr>
              <w:keepNext/>
              <w:keepLines/>
              <w:spacing w:before="60" w:after="60"/>
              <w:jc w:val="center"/>
              <w:rPr>
                <w:rFonts w:ascii="Arial" w:hAnsi="Arial" w:cs="Arial"/>
                <w:sz w:val="20"/>
              </w:rPr>
            </w:pPr>
            <w:r>
              <w:rPr>
                <w:rFonts w:ascii="Arial" w:hAnsi="Arial" w:cs="Arial"/>
                <w:sz w:val="20"/>
              </w:rPr>
              <w:t>MSTM ACP2</w:t>
            </w:r>
          </w:p>
        </w:tc>
        <w:tc>
          <w:tcPr>
            <w:tcW w:w="1867" w:type="dxa"/>
            <w:shd w:val="clear" w:color="auto" w:fill="E1EBF7"/>
          </w:tcPr>
          <w:p w14:paraId="37CE84D3"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E1EBF7"/>
          </w:tcPr>
          <w:p w14:paraId="08CA684D" w14:textId="77777777" w:rsidR="00BF5AA2" w:rsidRDefault="00BF5AA2" w:rsidP="008931B1">
            <w:pPr>
              <w:keepNext/>
              <w:keepLines/>
              <w:spacing w:before="60" w:after="60"/>
              <w:jc w:val="center"/>
              <w:rPr>
                <w:rFonts w:ascii="Arial" w:hAnsi="Arial" w:cs="Arial"/>
                <w:sz w:val="20"/>
              </w:rPr>
            </w:pPr>
            <w:r>
              <w:rPr>
                <w:rFonts w:ascii="Arial" w:hAnsi="Arial" w:cs="Arial"/>
                <w:sz w:val="20"/>
              </w:rPr>
              <w:t>2U24/2U25</w:t>
            </w:r>
          </w:p>
        </w:tc>
      </w:tr>
      <w:tr w:rsidR="00BF5AA2" w:rsidRPr="000665B0" w14:paraId="58A9F80D" w14:textId="77777777" w:rsidTr="0064295B">
        <w:trPr>
          <w:jc w:val="center"/>
        </w:trPr>
        <w:tc>
          <w:tcPr>
            <w:tcW w:w="1692" w:type="dxa"/>
            <w:shd w:val="clear" w:color="auto" w:fill="E1EBF7"/>
          </w:tcPr>
          <w:p w14:paraId="777797EC" w14:textId="77777777" w:rsidR="00BF5AA2" w:rsidRDefault="00BF5AA2" w:rsidP="008931B1">
            <w:pPr>
              <w:keepNext/>
              <w:keepLines/>
              <w:spacing w:before="60" w:after="60"/>
              <w:jc w:val="center"/>
              <w:rPr>
                <w:rFonts w:ascii="Arial" w:hAnsi="Arial" w:cs="Arial"/>
                <w:sz w:val="20"/>
              </w:rPr>
            </w:pPr>
            <w:r>
              <w:rPr>
                <w:rFonts w:ascii="Arial" w:hAnsi="Arial" w:cs="Arial"/>
                <w:sz w:val="20"/>
              </w:rPr>
              <w:t>2U25</w:t>
            </w:r>
          </w:p>
        </w:tc>
        <w:tc>
          <w:tcPr>
            <w:tcW w:w="1867" w:type="dxa"/>
            <w:shd w:val="clear" w:color="auto" w:fill="E1EBF7"/>
          </w:tcPr>
          <w:p w14:paraId="420C3EB5" w14:textId="77777777" w:rsidR="00BF5AA2" w:rsidRDefault="00BF5AA2" w:rsidP="008931B1">
            <w:pPr>
              <w:keepNext/>
              <w:keepLines/>
              <w:spacing w:before="60" w:after="60"/>
              <w:jc w:val="center"/>
              <w:rPr>
                <w:rFonts w:ascii="Arial" w:hAnsi="Arial" w:cs="Arial"/>
                <w:sz w:val="20"/>
              </w:rPr>
            </w:pPr>
            <w:r>
              <w:rPr>
                <w:rFonts w:ascii="Arial" w:hAnsi="Arial" w:cs="Arial"/>
                <w:sz w:val="20"/>
              </w:rPr>
              <w:t>MSTM ACP2</w:t>
            </w:r>
          </w:p>
        </w:tc>
        <w:tc>
          <w:tcPr>
            <w:tcW w:w="1867" w:type="dxa"/>
            <w:shd w:val="clear" w:color="auto" w:fill="E1EBF7"/>
          </w:tcPr>
          <w:p w14:paraId="6ACE76E6"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E1EBF7"/>
          </w:tcPr>
          <w:p w14:paraId="0DB44AE5" w14:textId="77777777" w:rsidR="00BF5AA2" w:rsidRDefault="00BF5AA2" w:rsidP="008931B1">
            <w:pPr>
              <w:keepNext/>
              <w:keepLines/>
              <w:spacing w:before="60" w:after="60"/>
              <w:jc w:val="center"/>
              <w:rPr>
                <w:rFonts w:ascii="Arial" w:hAnsi="Arial" w:cs="Arial"/>
                <w:sz w:val="20"/>
              </w:rPr>
            </w:pPr>
            <w:r>
              <w:rPr>
                <w:rFonts w:ascii="Arial" w:hAnsi="Arial" w:cs="Arial"/>
                <w:sz w:val="20"/>
              </w:rPr>
              <w:t>2U24/2U25</w:t>
            </w:r>
          </w:p>
        </w:tc>
      </w:tr>
      <w:tr w:rsidR="00BF5AA2" w:rsidRPr="000665B0" w14:paraId="07F2B7B0" w14:textId="77777777" w:rsidTr="0064295B">
        <w:trPr>
          <w:jc w:val="center"/>
        </w:trPr>
        <w:tc>
          <w:tcPr>
            <w:tcW w:w="1692" w:type="dxa"/>
            <w:shd w:val="clear" w:color="auto" w:fill="B7CFED" w:themeFill="text2" w:themeFillTint="40"/>
          </w:tcPr>
          <w:p w14:paraId="0B9DE1CB" w14:textId="77777777" w:rsidR="00BF5AA2" w:rsidRDefault="00BF5AA2" w:rsidP="008931B1">
            <w:pPr>
              <w:keepNext/>
              <w:keepLines/>
              <w:spacing w:before="60" w:after="60"/>
              <w:jc w:val="center"/>
              <w:rPr>
                <w:rFonts w:ascii="Arial" w:hAnsi="Arial" w:cs="Arial"/>
                <w:sz w:val="20"/>
              </w:rPr>
            </w:pPr>
            <w:r>
              <w:rPr>
                <w:rFonts w:ascii="Arial" w:hAnsi="Arial" w:cs="Arial"/>
                <w:sz w:val="20"/>
              </w:rPr>
              <w:t>LJ24</w:t>
            </w:r>
          </w:p>
        </w:tc>
        <w:tc>
          <w:tcPr>
            <w:tcW w:w="1867" w:type="dxa"/>
            <w:shd w:val="clear" w:color="auto" w:fill="B7CFED" w:themeFill="text2" w:themeFillTint="40"/>
          </w:tcPr>
          <w:p w14:paraId="42EBDEC5" w14:textId="77777777" w:rsidR="00BF5AA2" w:rsidRDefault="00BF5AA2" w:rsidP="008931B1">
            <w:pPr>
              <w:keepNext/>
              <w:keepLines/>
              <w:spacing w:before="60" w:after="60"/>
              <w:jc w:val="center"/>
              <w:rPr>
                <w:rFonts w:ascii="Arial" w:hAnsi="Arial" w:cs="Arial"/>
                <w:sz w:val="20"/>
              </w:rPr>
            </w:pPr>
            <w:r>
              <w:rPr>
                <w:rFonts w:ascii="Arial" w:hAnsi="Arial" w:cs="Arial"/>
                <w:sz w:val="20"/>
              </w:rPr>
              <w:t>109M ACP2</w:t>
            </w:r>
          </w:p>
        </w:tc>
        <w:tc>
          <w:tcPr>
            <w:tcW w:w="1867" w:type="dxa"/>
            <w:shd w:val="clear" w:color="auto" w:fill="B7CFED" w:themeFill="text2" w:themeFillTint="40"/>
          </w:tcPr>
          <w:p w14:paraId="6DCE03FB"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B7CFED" w:themeFill="text2" w:themeFillTint="40"/>
          </w:tcPr>
          <w:p w14:paraId="137B9AEA" w14:textId="77777777" w:rsidR="00BF5AA2" w:rsidRDefault="00BF5AA2" w:rsidP="008931B1">
            <w:pPr>
              <w:keepNext/>
              <w:keepLines/>
              <w:spacing w:before="60" w:after="60"/>
              <w:jc w:val="center"/>
              <w:rPr>
                <w:rFonts w:ascii="Arial" w:hAnsi="Arial" w:cs="Arial"/>
                <w:sz w:val="20"/>
              </w:rPr>
            </w:pPr>
            <w:r>
              <w:rPr>
                <w:rFonts w:ascii="Arial" w:hAnsi="Arial" w:cs="Arial"/>
                <w:sz w:val="20"/>
              </w:rPr>
              <w:t>LJ24/LJ25</w:t>
            </w:r>
          </w:p>
        </w:tc>
      </w:tr>
      <w:tr w:rsidR="00BF5AA2" w:rsidRPr="000665B0" w14:paraId="01BE244F" w14:textId="77777777" w:rsidTr="0064295B">
        <w:trPr>
          <w:jc w:val="center"/>
        </w:trPr>
        <w:tc>
          <w:tcPr>
            <w:tcW w:w="1692" w:type="dxa"/>
            <w:shd w:val="clear" w:color="auto" w:fill="B7CFED" w:themeFill="text2" w:themeFillTint="40"/>
          </w:tcPr>
          <w:p w14:paraId="057D82A7" w14:textId="77777777" w:rsidR="00BF5AA2" w:rsidRDefault="00BF5AA2" w:rsidP="008931B1">
            <w:pPr>
              <w:keepNext/>
              <w:keepLines/>
              <w:spacing w:before="60" w:after="60"/>
              <w:jc w:val="center"/>
              <w:rPr>
                <w:rFonts w:ascii="Arial" w:hAnsi="Arial" w:cs="Arial"/>
                <w:sz w:val="20"/>
              </w:rPr>
            </w:pPr>
            <w:r>
              <w:rPr>
                <w:rFonts w:ascii="Arial" w:hAnsi="Arial" w:cs="Arial"/>
                <w:sz w:val="20"/>
              </w:rPr>
              <w:t>LJ25</w:t>
            </w:r>
          </w:p>
        </w:tc>
        <w:tc>
          <w:tcPr>
            <w:tcW w:w="1867" w:type="dxa"/>
            <w:shd w:val="clear" w:color="auto" w:fill="B7CFED" w:themeFill="text2" w:themeFillTint="40"/>
          </w:tcPr>
          <w:p w14:paraId="3B09FE7C" w14:textId="77777777" w:rsidR="00BF5AA2" w:rsidRDefault="00BF5AA2" w:rsidP="008931B1">
            <w:pPr>
              <w:keepNext/>
              <w:keepLines/>
              <w:spacing w:before="60" w:after="60"/>
              <w:jc w:val="center"/>
              <w:rPr>
                <w:rFonts w:ascii="Arial" w:hAnsi="Arial" w:cs="Arial"/>
                <w:sz w:val="20"/>
              </w:rPr>
            </w:pPr>
            <w:r>
              <w:rPr>
                <w:rFonts w:ascii="Arial" w:hAnsi="Arial" w:cs="Arial"/>
                <w:sz w:val="20"/>
              </w:rPr>
              <w:t>109M ACP2</w:t>
            </w:r>
          </w:p>
        </w:tc>
        <w:tc>
          <w:tcPr>
            <w:tcW w:w="1867" w:type="dxa"/>
            <w:shd w:val="clear" w:color="auto" w:fill="B7CFED" w:themeFill="text2" w:themeFillTint="40"/>
          </w:tcPr>
          <w:p w14:paraId="0974AF45"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679" w:type="dxa"/>
            <w:shd w:val="clear" w:color="auto" w:fill="B7CFED" w:themeFill="text2" w:themeFillTint="40"/>
          </w:tcPr>
          <w:p w14:paraId="5C74A3D6" w14:textId="77777777" w:rsidR="00BF5AA2" w:rsidRDefault="00BF5AA2" w:rsidP="008931B1">
            <w:pPr>
              <w:keepNext/>
              <w:keepLines/>
              <w:spacing w:before="60" w:after="60"/>
              <w:jc w:val="center"/>
              <w:rPr>
                <w:rFonts w:ascii="Arial" w:hAnsi="Arial" w:cs="Arial"/>
                <w:sz w:val="20"/>
              </w:rPr>
            </w:pPr>
            <w:r>
              <w:rPr>
                <w:rFonts w:ascii="Arial" w:hAnsi="Arial" w:cs="Arial"/>
                <w:sz w:val="20"/>
              </w:rPr>
              <w:t>LJ24/LJ25</w:t>
            </w:r>
          </w:p>
        </w:tc>
      </w:tr>
    </w:tbl>
    <w:p w14:paraId="1FA93C87" w14:textId="4448AA51" w:rsidR="00174457" w:rsidRDefault="00174457" w:rsidP="009570CA">
      <w:pPr>
        <w:pStyle w:val="paragraph"/>
        <w:spacing w:before="0" w:beforeAutospacing="0" w:after="120" w:afterAutospacing="0"/>
        <w:jc w:val="center"/>
        <w:textAlignment w:val="baseline"/>
      </w:pPr>
    </w:p>
    <w:p w14:paraId="05A6298D" w14:textId="59C04324" w:rsidR="00BF5AA2" w:rsidRDefault="00FC561B" w:rsidP="00E229F9">
      <w:pPr>
        <w:pStyle w:val="paragraph"/>
        <w:keepNext/>
        <w:keepLines/>
        <w:spacing w:before="0" w:beforeAutospacing="0" w:after="120" w:afterAutospacing="0"/>
        <w:textAlignment w:val="baseline"/>
      </w:pPr>
      <w:r>
        <w:lastRenderedPageBreak/>
        <w:t>Exercise Missile groupings:</w:t>
      </w:r>
    </w:p>
    <w:tbl>
      <w:tblPr>
        <w:tblW w:w="7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0"/>
        <w:gridCol w:w="1795"/>
        <w:gridCol w:w="820"/>
        <w:gridCol w:w="1520"/>
        <w:gridCol w:w="1720"/>
      </w:tblGrid>
      <w:tr w:rsidR="00BF5AA2" w:rsidRPr="000665B0" w14:paraId="6592A4A2" w14:textId="77777777" w:rsidTr="005444EA">
        <w:trPr>
          <w:tblHeader/>
          <w:jc w:val="center"/>
        </w:trPr>
        <w:tc>
          <w:tcPr>
            <w:tcW w:w="1170" w:type="dxa"/>
            <w:shd w:val="clear" w:color="auto" w:fill="D9D9D9" w:themeFill="background1" w:themeFillShade="D9"/>
          </w:tcPr>
          <w:p w14:paraId="5294C8FC" w14:textId="77777777" w:rsidR="00BF5AA2" w:rsidRPr="000665B0" w:rsidRDefault="00BF5AA2" w:rsidP="008931B1">
            <w:pPr>
              <w:keepNext/>
              <w:keepLines/>
              <w:spacing w:before="60" w:after="60"/>
              <w:jc w:val="center"/>
              <w:rPr>
                <w:rFonts w:ascii="Arial" w:hAnsi="Arial" w:cs="Arial"/>
                <w:b/>
              </w:rPr>
            </w:pPr>
            <w:r w:rsidRPr="000665B0">
              <w:rPr>
                <w:rFonts w:ascii="Arial" w:hAnsi="Arial" w:cs="Arial"/>
                <w:b/>
              </w:rPr>
              <w:t>Missile Type</w:t>
            </w:r>
          </w:p>
        </w:tc>
        <w:tc>
          <w:tcPr>
            <w:tcW w:w="1795" w:type="dxa"/>
            <w:shd w:val="clear" w:color="auto" w:fill="D9D9D9" w:themeFill="background1" w:themeFillShade="D9"/>
          </w:tcPr>
          <w:p w14:paraId="30EF3F51" w14:textId="77777777" w:rsidR="00BF5AA2" w:rsidRPr="000665B0" w:rsidRDefault="00BF5AA2" w:rsidP="008931B1">
            <w:pPr>
              <w:keepNext/>
              <w:keepLines/>
              <w:spacing w:before="60" w:after="60"/>
              <w:jc w:val="center"/>
              <w:rPr>
                <w:rFonts w:ascii="Arial" w:hAnsi="Arial" w:cs="Arial"/>
                <w:b/>
              </w:rPr>
            </w:pPr>
            <w:r>
              <w:rPr>
                <w:rFonts w:ascii="Arial" w:hAnsi="Arial" w:cs="Arial"/>
                <w:b/>
              </w:rPr>
              <w:t>Missile</w:t>
            </w:r>
          </w:p>
        </w:tc>
        <w:tc>
          <w:tcPr>
            <w:tcW w:w="820" w:type="dxa"/>
            <w:shd w:val="clear" w:color="auto" w:fill="D9D9D9" w:themeFill="background1" w:themeFillShade="D9"/>
          </w:tcPr>
          <w:p w14:paraId="655CE31C" w14:textId="77777777" w:rsidR="00BF5AA2" w:rsidRPr="000665B0" w:rsidRDefault="00BF5AA2" w:rsidP="008931B1">
            <w:pPr>
              <w:keepNext/>
              <w:keepLines/>
              <w:spacing w:before="60" w:after="60"/>
              <w:jc w:val="center"/>
              <w:rPr>
                <w:rFonts w:ascii="Arial" w:hAnsi="Arial" w:cs="Arial"/>
                <w:b/>
              </w:rPr>
            </w:pPr>
            <w:r>
              <w:rPr>
                <w:rFonts w:ascii="Arial" w:hAnsi="Arial" w:cs="Arial"/>
                <w:b/>
              </w:rPr>
              <w:t>TSN</w:t>
            </w:r>
          </w:p>
        </w:tc>
        <w:tc>
          <w:tcPr>
            <w:tcW w:w="1520" w:type="dxa"/>
            <w:shd w:val="clear" w:color="auto" w:fill="D9D9D9" w:themeFill="background1" w:themeFillShade="D9"/>
          </w:tcPr>
          <w:p w14:paraId="37819D76" w14:textId="77777777" w:rsidR="00BF5AA2" w:rsidRDefault="00BF5AA2" w:rsidP="008931B1">
            <w:pPr>
              <w:keepNext/>
              <w:keepLines/>
              <w:spacing w:before="60" w:after="60"/>
              <w:jc w:val="center"/>
              <w:rPr>
                <w:rFonts w:ascii="Arial" w:hAnsi="Arial" w:cs="Arial"/>
                <w:b/>
              </w:rPr>
            </w:pPr>
            <w:r>
              <w:rPr>
                <w:rFonts w:ascii="Arial" w:hAnsi="Arial" w:cs="Arial"/>
                <w:b/>
              </w:rPr>
              <w:t>Payload</w:t>
            </w:r>
          </w:p>
        </w:tc>
        <w:tc>
          <w:tcPr>
            <w:tcW w:w="1720" w:type="dxa"/>
            <w:shd w:val="clear" w:color="auto" w:fill="D9D9D9" w:themeFill="background1" w:themeFillShade="D9"/>
          </w:tcPr>
          <w:p w14:paraId="02828E1D" w14:textId="77777777" w:rsidR="00BF5AA2" w:rsidRDefault="00BF5AA2" w:rsidP="008931B1">
            <w:pPr>
              <w:keepNext/>
              <w:keepLines/>
              <w:spacing w:before="60" w:after="60"/>
              <w:jc w:val="center"/>
              <w:rPr>
                <w:rFonts w:ascii="Arial" w:hAnsi="Arial" w:cs="Arial"/>
                <w:b/>
              </w:rPr>
            </w:pPr>
            <w:r>
              <w:rPr>
                <w:rFonts w:ascii="Arial" w:hAnsi="Arial" w:cs="Arial"/>
                <w:b/>
              </w:rPr>
              <w:t>Missile Type Bucket</w:t>
            </w:r>
          </w:p>
        </w:tc>
      </w:tr>
      <w:tr w:rsidR="00BF5AA2" w:rsidRPr="000665B0" w14:paraId="110ED63B" w14:textId="77777777" w:rsidTr="0064295B">
        <w:trPr>
          <w:jc w:val="center"/>
        </w:trPr>
        <w:tc>
          <w:tcPr>
            <w:tcW w:w="1170" w:type="dxa"/>
            <w:shd w:val="clear" w:color="auto" w:fill="E1EBF7" w:themeFill="text2" w:themeFillTint="1A"/>
          </w:tcPr>
          <w:p w14:paraId="45C2BA3D"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LND3</w:t>
            </w:r>
          </w:p>
        </w:tc>
        <w:tc>
          <w:tcPr>
            <w:tcW w:w="1795" w:type="dxa"/>
            <w:shd w:val="clear" w:color="auto" w:fill="E1EBF7" w:themeFill="text2" w:themeFillTint="1A"/>
          </w:tcPr>
          <w:p w14:paraId="5A6F8967"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109E</w:t>
            </w:r>
          </w:p>
        </w:tc>
        <w:tc>
          <w:tcPr>
            <w:tcW w:w="820" w:type="dxa"/>
            <w:shd w:val="clear" w:color="auto" w:fill="E1EBF7" w:themeFill="text2" w:themeFillTint="1A"/>
          </w:tcPr>
          <w:p w14:paraId="03F72D0E"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DAMA</w:t>
            </w:r>
          </w:p>
        </w:tc>
        <w:tc>
          <w:tcPr>
            <w:tcW w:w="1520" w:type="dxa"/>
            <w:shd w:val="clear" w:color="auto" w:fill="E1EBF7" w:themeFill="text2" w:themeFillTint="1A"/>
          </w:tcPr>
          <w:p w14:paraId="3C88367F" w14:textId="77777777" w:rsidR="00BF5AA2" w:rsidRDefault="00BF5AA2" w:rsidP="008931B1">
            <w:pPr>
              <w:keepNext/>
              <w:keepLines/>
              <w:spacing w:before="60" w:after="60"/>
              <w:jc w:val="center"/>
              <w:rPr>
                <w:rFonts w:ascii="Arial" w:hAnsi="Arial" w:cs="Arial"/>
                <w:sz w:val="20"/>
              </w:rPr>
            </w:pPr>
            <w:r>
              <w:rPr>
                <w:rFonts w:ascii="Arial" w:hAnsi="Arial" w:cs="Arial"/>
                <w:sz w:val="20"/>
              </w:rPr>
              <w:t>Inert</w:t>
            </w:r>
          </w:p>
        </w:tc>
        <w:tc>
          <w:tcPr>
            <w:tcW w:w="1720" w:type="dxa"/>
            <w:shd w:val="clear" w:color="auto" w:fill="E1EBF7" w:themeFill="text2" w:themeFillTint="1A"/>
          </w:tcPr>
          <w:p w14:paraId="509F79C2"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rsidRPr="000665B0" w14:paraId="7FA8B072" w14:textId="77777777" w:rsidTr="0064295B">
        <w:trPr>
          <w:jc w:val="center"/>
        </w:trPr>
        <w:tc>
          <w:tcPr>
            <w:tcW w:w="1170" w:type="dxa"/>
            <w:shd w:val="clear" w:color="auto" w:fill="E1EBF7" w:themeFill="text2" w:themeFillTint="1A"/>
          </w:tcPr>
          <w:p w14:paraId="013D453E"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LND4</w:t>
            </w:r>
          </w:p>
        </w:tc>
        <w:tc>
          <w:tcPr>
            <w:tcW w:w="1795" w:type="dxa"/>
            <w:shd w:val="clear" w:color="auto" w:fill="E1EBF7" w:themeFill="text2" w:themeFillTint="1A"/>
          </w:tcPr>
          <w:p w14:paraId="26960AA8"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109E</w:t>
            </w:r>
          </w:p>
        </w:tc>
        <w:tc>
          <w:tcPr>
            <w:tcW w:w="820" w:type="dxa"/>
            <w:shd w:val="clear" w:color="auto" w:fill="E1EBF7" w:themeFill="text2" w:themeFillTint="1A"/>
          </w:tcPr>
          <w:p w14:paraId="65238C2C"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DAMA</w:t>
            </w:r>
          </w:p>
        </w:tc>
        <w:tc>
          <w:tcPr>
            <w:tcW w:w="1520" w:type="dxa"/>
            <w:shd w:val="clear" w:color="auto" w:fill="E1EBF7" w:themeFill="text2" w:themeFillTint="1A"/>
          </w:tcPr>
          <w:p w14:paraId="1FC561B8" w14:textId="77777777" w:rsidR="00BF5AA2" w:rsidRDefault="00BF5AA2" w:rsidP="008931B1">
            <w:pPr>
              <w:keepNext/>
              <w:keepLines/>
              <w:spacing w:before="60" w:after="60"/>
              <w:jc w:val="center"/>
              <w:rPr>
                <w:rFonts w:ascii="Arial" w:hAnsi="Arial" w:cs="Arial"/>
                <w:sz w:val="20"/>
              </w:rPr>
            </w:pPr>
            <w:r>
              <w:rPr>
                <w:rFonts w:ascii="Arial" w:hAnsi="Arial" w:cs="Arial"/>
                <w:sz w:val="20"/>
              </w:rPr>
              <w:t>Inert</w:t>
            </w:r>
          </w:p>
        </w:tc>
        <w:tc>
          <w:tcPr>
            <w:tcW w:w="1720" w:type="dxa"/>
            <w:shd w:val="clear" w:color="auto" w:fill="E1EBF7" w:themeFill="text2" w:themeFillTint="1A"/>
          </w:tcPr>
          <w:p w14:paraId="72429706"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79182AA5" w14:textId="77777777" w:rsidTr="0064295B">
        <w:trPr>
          <w:jc w:val="center"/>
        </w:trPr>
        <w:tc>
          <w:tcPr>
            <w:tcW w:w="1170" w:type="dxa"/>
            <w:shd w:val="clear" w:color="auto" w:fill="B7CFED" w:themeFill="text2" w:themeFillTint="40"/>
          </w:tcPr>
          <w:p w14:paraId="0585FB94"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LNA4</w:t>
            </w:r>
          </w:p>
        </w:tc>
        <w:tc>
          <w:tcPr>
            <w:tcW w:w="1795" w:type="dxa"/>
            <w:shd w:val="clear" w:color="auto" w:fill="B7CFED" w:themeFill="text2" w:themeFillTint="40"/>
          </w:tcPr>
          <w:p w14:paraId="0011217B" w14:textId="77777777" w:rsidR="00BF5AA2" w:rsidRDefault="00BF5AA2" w:rsidP="008931B1">
            <w:pPr>
              <w:keepNext/>
              <w:keepLines/>
              <w:spacing w:before="60" w:after="60"/>
              <w:jc w:val="center"/>
              <w:rPr>
                <w:rFonts w:ascii="Arial" w:hAnsi="Arial" w:cs="Arial"/>
                <w:sz w:val="20"/>
              </w:rPr>
            </w:pPr>
            <w:r>
              <w:rPr>
                <w:rFonts w:ascii="Arial" w:hAnsi="Arial" w:cs="Arial"/>
                <w:sz w:val="20"/>
              </w:rPr>
              <w:t>109E, 109M</w:t>
            </w:r>
          </w:p>
        </w:tc>
        <w:tc>
          <w:tcPr>
            <w:tcW w:w="820" w:type="dxa"/>
            <w:shd w:val="clear" w:color="auto" w:fill="B7CFED" w:themeFill="text2" w:themeFillTint="40"/>
          </w:tcPr>
          <w:p w14:paraId="2C3E0E74"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B7CFED" w:themeFill="text2" w:themeFillTint="40"/>
          </w:tcPr>
          <w:p w14:paraId="63BD3668" w14:textId="77777777" w:rsidR="00BF5AA2" w:rsidRDefault="00BF5AA2" w:rsidP="008931B1">
            <w:pPr>
              <w:keepNext/>
              <w:keepLines/>
              <w:spacing w:before="60" w:after="60"/>
              <w:jc w:val="center"/>
              <w:rPr>
                <w:rFonts w:ascii="Arial" w:hAnsi="Arial" w:cs="Arial"/>
                <w:sz w:val="20"/>
              </w:rPr>
            </w:pPr>
            <w:r>
              <w:rPr>
                <w:rFonts w:ascii="Arial" w:hAnsi="Arial" w:cs="Arial"/>
                <w:sz w:val="20"/>
              </w:rPr>
              <w:t>Inert</w:t>
            </w:r>
          </w:p>
        </w:tc>
        <w:tc>
          <w:tcPr>
            <w:tcW w:w="1720" w:type="dxa"/>
            <w:shd w:val="clear" w:color="auto" w:fill="B7CFED" w:themeFill="text2" w:themeFillTint="40"/>
          </w:tcPr>
          <w:p w14:paraId="6CDD1915"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712BCFF5" w14:textId="77777777" w:rsidTr="0064295B">
        <w:trPr>
          <w:jc w:val="center"/>
        </w:trPr>
        <w:tc>
          <w:tcPr>
            <w:tcW w:w="1170" w:type="dxa"/>
            <w:shd w:val="clear" w:color="auto" w:fill="B7CFED" w:themeFill="text2" w:themeFillTint="40"/>
          </w:tcPr>
          <w:p w14:paraId="2F28EB10"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LNA5</w:t>
            </w:r>
          </w:p>
        </w:tc>
        <w:tc>
          <w:tcPr>
            <w:tcW w:w="1795" w:type="dxa"/>
            <w:shd w:val="clear" w:color="auto" w:fill="B7CFED" w:themeFill="text2" w:themeFillTint="40"/>
          </w:tcPr>
          <w:p w14:paraId="4FCE86AD" w14:textId="77777777" w:rsidR="00BF5AA2" w:rsidRDefault="00BF5AA2" w:rsidP="008931B1">
            <w:pPr>
              <w:keepNext/>
              <w:keepLines/>
              <w:spacing w:before="60" w:after="60"/>
              <w:jc w:val="center"/>
              <w:rPr>
                <w:rFonts w:ascii="Arial" w:hAnsi="Arial" w:cs="Arial"/>
                <w:sz w:val="20"/>
              </w:rPr>
            </w:pPr>
            <w:r>
              <w:rPr>
                <w:rFonts w:ascii="Arial" w:hAnsi="Arial" w:cs="Arial"/>
                <w:sz w:val="20"/>
              </w:rPr>
              <w:t>109E, 109M</w:t>
            </w:r>
          </w:p>
        </w:tc>
        <w:tc>
          <w:tcPr>
            <w:tcW w:w="820" w:type="dxa"/>
            <w:shd w:val="clear" w:color="auto" w:fill="B7CFED" w:themeFill="text2" w:themeFillTint="40"/>
          </w:tcPr>
          <w:p w14:paraId="411167B9"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B7CFED" w:themeFill="text2" w:themeFillTint="40"/>
          </w:tcPr>
          <w:p w14:paraId="53C50BFB" w14:textId="77777777" w:rsidR="00BF5AA2" w:rsidRDefault="00BF5AA2" w:rsidP="008931B1">
            <w:pPr>
              <w:keepNext/>
              <w:keepLines/>
              <w:spacing w:before="60" w:after="60"/>
              <w:jc w:val="center"/>
              <w:rPr>
                <w:rFonts w:ascii="Arial" w:hAnsi="Arial" w:cs="Arial"/>
                <w:sz w:val="20"/>
              </w:rPr>
            </w:pPr>
            <w:r>
              <w:rPr>
                <w:rFonts w:ascii="Arial" w:hAnsi="Arial" w:cs="Arial"/>
                <w:sz w:val="20"/>
              </w:rPr>
              <w:t>Inert</w:t>
            </w:r>
          </w:p>
        </w:tc>
        <w:tc>
          <w:tcPr>
            <w:tcW w:w="1720" w:type="dxa"/>
            <w:shd w:val="clear" w:color="auto" w:fill="B7CFED" w:themeFill="text2" w:themeFillTint="40"/>
          </w:tcPr>
          <w:p w14:paraId="49698BFA"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36C222E3" w14:textId="77777777" w:rsidTr="0064295B">
        <w:trPr>
          <w:jc w:val="center"/>
        </w:trPr>
        <w:tc>
          <w:tcPr>
            <w:tcW w:w="1170" w:type="dxa"/>
            <w:shd w:val="clear" w:color="auto" w:fill="E1EBF7" w:themeFill="text2" w:themeFillTint="1A"/>
          </w:tcPr>
          <w:p w14:paraId="38D5D78D"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SNA4</w:t>
            </w:r>
          </w:p>
        </w:tc>
        <w:tc>
          <w:tcPr>
            <w:tcW w:w="1795" w:type="dxa"/>
            <w:shd w:val="clear" w:color="auto" w:fill="E1EBF7" w:themeFill="text2" w:themeFillTint="1A"/>
          </w:tcPr>
          <w:p w14:paraId="7EBB0546" w14:textId="77777777" w:rsidR="00BF5AA2" w:rsidRDefault="00BF5AA2" w:rsidP="008931B1">
            <w:pPr>
              <w:keepNext/>
              <w:keepLines/>
              <w:spacing w:before="60" w:after="60"/>
              <w:jc w:val="center"/>
              <w:rPr>
                <w:rFonts w:ascii="Arial" w:hAnsi="Arial" w:cs="Arial"/>
                <w:sz w:val="20"/>
              </w:rPr>
            </w:pPr>
            <w:r>
              <w:rPr>
                <w:rFonts w:ascii="Arial" w:hAnsi="Arial" w:cs="Arial"/>
                <w:sz w:val="20"/>
              </w:rPr>
              <w:t>MSTM</w:t>
            </w:r>
          </w:p>
        </w:tc>
        <w:tc>
          <w:tcPr>
            <w:tcW w:w="820" w:type="dxa"/>
            <w:shd w:val="clear" w:color="auto" w:fill="E1EBF7" w:themeFill="text2" w:themeFillTint="1A"/>
          </w:tcPr>
          <w:p w14:paraId="67C65274"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E1EBF7" w:themeFill="text2" w:themeFillTint="1A"/>
          </w:tcPr>
          <w:p w14:paraId="3E560814" w14:textId="77777777" w:rsidR="00BF5AA2" w:rsidRDefault="00BF5AA2" w:rsidP="008931B1">
            <w:pPr>
              <w:keepNext/>
              <w:keepLines/>
              <w:spacing w:before="60" w:after="60"/>
              <w:jc w:val="center"/>
              <w:rPr>
                <w:rFonts w:ascii="Arial" w:hAnsi="Arial" w:cs="Arial"/>
                <w:sz w:val="20"/>
              </w:rPr>
            </w:pPr>
            <w:r>
              <w:rPr>
                <w:rFonts w:ascii="Arial" w:hAnsi="Arial" w:cs="Arial"/>
                <w:sz w:val="20"/>
              </w:rPr>
              <w:t>Inert</w:t>
            </w:r>
          </w:p>
        </w:tc>
        <w:tc>
          <w:tcPr>
            <w:tcW w:w="1720" w:type="dxa"/>
            <w:shd w:val="clear" w:color="auto" w:fill="E1EBF7" w:themeFill="text2" w:themeFillTint="1A"/>
          </w:tcPr>
          <w:p w14:paraId="0580BC3D"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5A9F517D" w14:textId="77777777" w:rsidTr="0064295B">
        <w:trPr>
          <w:jc w:val="center"/>
        </w:trPr>
        <w:tc>
          <w:tcPr>
            <w:tcW w:w="1170" w:type="dxa"/>
            <w:shd w:val="clear" w:color="auto" w:fill="E1EBF7" w:themeFill="text2" w:themeFillTint="1A"/>
          </w:tcPr>
          <w:p w14:paraId="50C1372E"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SNA5</w:t>
            </w:r>
          </w:p>
        </w:tc>
        <w:tc>
          <w:tcPr>
            <w:tcW w:w="1795" w:type="dxa"/>
            <w:shd w:val="clear" w:color="auto" w:fill="E1EBF7" w:themeFill="text2" w:themeFillTint="1A"/>
          </w:tcPr>
          <w:p w14:paraId="1F6EBBF3" w14:textId="77777777" w:rsidR="00BF5AA2" w:rsidRDefault="00BF5AA2" w:rsidP="008931B1">
            <w:pPr>
              <w:keepNext/>
              <w:keepLines/>
              <w:spacing w:before="60" w:after="60"/>
              <w:jc w:val="center"/>
              <w:rPr>
                <w:rFonts w:ascii="Arial" w:hAnsi="Arial" w:cs="Arial"/>
                <w:sz w:val="20"/>
              </w:rPr>
            </w:pPr>
            <w:r>
              <w:rPr>
                <w:rFonts w:ascii="Arial" w:hAnsi="Arial" w:cs="Arial"/>
                <w:sz w:val="20"/>
              </w:rPr>
              <w:t>MSTM</w:t>
            </w:r>
          </w:p>
        </w:tc>
        <w:tc>
          <w:tcPr>
            <w:tcW w:w="820" w:type="dxa"/>
            <w:shd w:val="clear" w:color="auto" w:fill="E1EBF7" w:themeFill="text2" w:themeFillTint="1A"/>
          </w:tcPr>
          <w:p w14:paraId="762D23C1"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E1EBF7" w:themeFill="text2" w:themeFillTint="1A"/>
          </w:tcPr>
          <w:p w14:paraId="3CC19215" w14:textId="77777777" w:rsidR="00BF5AA2" w:rsidRDefault="00BF5AA2" w:rsidP="008931B1">
            <w:pPr>
              <w:keepNext/>
              <w:keepLines/>
              <w:spacing w:before="60" w:after="60"/>
              <w:jc w:val="center"/>
              <w:rPr>
                <w:rFonts w:ascii="Arial" w:hAnsi="Arial" w:cs="Arial"/>
                <w:sz w:val="20"/>
              </w:rPr>
            </w:pPr>
            <w:r>
              <w:rPr>
                <w:rFonts w:ascii="Arial" w:hAnsi="Arial" w:cs="Arial"/>
                <w:sz w:val="20"/>
              </w:rPr>
              <w:t>Inert</w:t>
            </w:r>
          </w:p>
        </w:tc>
        <w:tc>
          <w:tcPr>
            <w:tcW w:w="1720" w:type="dxa"/>
            <w:shd w:val="clear" w:color="auto" w:fill="E1EBF7" w:themeFill="text2" w:themeFillTint="1A"/>
          </w:tcPr>
          <w:p w14:paraId="690E09EA"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036109CB" w14:textId="77777777" w:rsidTr="0064295B">
        <w:trPr>
          <w:jc w:val="center"/>
        </w:trPr>
        <w:tc>
          <w:tcPr>
            <w:tcW w:w="1170" w:type="dxa"/>
            <w:shd w:val="clear" w:color="auto" w:fill="B7CFED" w:themeFill="text2" w:themeFillTint="40"/>
          </w:tcPr>
          <w:p w14:paraId="2D060F70"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LUD3</w:t>
            </w:r>
          </w:p>
        </w:tc>
        <w:tc>
          <w:tcPr>
            <w:tcW w:w="1795" w:type="dxa"/>
            <w:shd w:val="clear" w:color="auto" w:fill="B7CFED" w:themeFill="text2" w:themeFillTint="40"/>
          </w:tcPr>
          <w:p w14:paraId="5C8B0C29" w14:textId="77777777" w:rsidR="00BF5AA2" w:rsidRDefault="00BF5AA2" w:rsidP="008931B1">
            <w:pPr>
              <w:keepNext/>
              <w:keepLines/>
              <w:spacing w:before="60" w:after="60"/>
              <w:jc w:val="center"/>
              <w:rPr>
                <w:rFonts w:ascii="Arial" w:hAnsi="Arial" w:cs="Arial"/>
                <w:sz w:val="20"/>
              </w:rPr>
            </w:pPr>
            <w:r>
              <w:rPr>
                <w:rFonts w:ascii="Arial" w:hAnsi="Arial" w:cs="Arial"/>
                <w:sz w:val="20"/>
              </w:rPr>
              <w:t>109E</w:t>
            </w:r>
          </w:p>
        </w:tc>
        <w:tc>
          <w:tcPr>
            <w:tcW w:w="820" w:type="dxa"/>
            <w:shd w:val="clear" w:color="auto" w:fill="B7CFED" w:themeFill="text2" w:themeFillTint="40"/>
          </w:tcPr>
          <w:p w14:paraId="5D5E5DE1" w14:textId="77777777" w:rsidR="00BF5AA2" w:rsidRDefault="00BF5AA2" w:rsidP="008931B1">
            <w:pPr>
              <w:keepNext/>
              <w:keepLines/>
              <w:spacing w:before="60" w:after="60"/>
              <w:jc w:val="center"/>
              <w:rPr>
                <w:rFonts w:ascii="Arial" w:hAnsi="Arial" w:cs="Arial"/>
                <w:sz w:val="20"/>
              </w:rPr>
            </w:pPr>
            <w:r>
              <w:rPr>
                <w:rFonts w:ascii="Arial" w:hAnsi="Arial" w:cs="Arial"/>
                <w:sz w:val="20"/>
              </w:rPr>
              <w:t>DAMA</w:t>
            </w:r>
          </w:p>
        </w:tc>
        <w:tc>
          <w:tcPr>
            <w:tcW w:w="1520" w:type="dxa"/>
            <w:shd w:val="clear" w:color="auto" w:fill="B7CFED" w:themeFill="text2" w:themeFillTint="40"/>
          </w:tcPr>
          <w:p w14:paraId="08446A8A" w14:textId="77777777" w:rsidR="00BF5AA2" w:rsidRDefault="00BF5AA2" w:rsidP="008931B1">
            <w:pPr>
              <w:keepNext/>
              <w:keepLines/>
              <w:spacing w:before="60" w:after="60"/>
              <w:jc w:val="center"/>
              <w:rPr>
                <w:rFonts w:ascii="Arial" w:hAnsi="Arial" w:cs="Arial"/>
                <w:sz w:val="20"/>
              </w:rPr>
            </w:pPr>
            <w:r>
              <w:rPr>
                <w:rFonts w:ascii="Arial" w:hAnsi="Arial" w:cs="Arial"/>
                <w:sz w:val="20"/>
              </w:rPr>
              <w:t>Conventional</w:t>
            </w:r>
          </w:p>
        </w:tc>
        <w:tc>
          <w:tcPr>
            <w:tcW w:w="1720" w:type="dxa"/>
            <w:shd w:val="clear" w:color="auto" w:fill="B7CFED" w:themeFill="text2" w:themeFillTint="40"/>
          </w:tcPr>
          <w:p w14:paraId="43B7F5E4"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7C33CE83" w14:textId="77777777" w:rsidTr="0064295B">
        <w:trPr>
          <w:jc w:val="center"/>
        </w:trPr>
        <w:tc>
          <w:tcPr>
            <w:tcW w:w="1170" w:type="dxa"/>
            <w:shd w:val="clear" w:color="auto" w:fill="B7CFED" w:themeFill="text2" w:themeFillTint="40"/>
          </w:tcPr>
          <w:p w14:paraId="3CC15BAE"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LUD4</w:t>
            </w:r>
          </w:p>
        </w:tc>
        <w:tc>
          <w:tcPr>
            <w:tcW w:w="1795" w:type="dxa"/>
            <w:shd w:val="clear" w:color="auto" w:fill="B7CFED" w:themeFill="text2" w:themeFillTint="40"/>
          </w:tcPr>
          <w:p w14:paraId="60E6FF1F" w14:textId="77777777" w:rsidR="00BF5AA2" w:rsidRDefault="00BF5AA2" w:rsidP="008931B1">
            <w:pPr>
              <w:keepNext/>
              <w:keepLines/>
              <w:spacing w:before="60" w:after="60"/>
              <w:jc w:val="center"/>
              <w:rPr>
                <w:rFonts w:ascii="Arial" w:hAnsi="Arial" w:cs="Arial"/>
                <w:sz w:val="20"/>
              </w:rPr>
            </w:pPr>
            <w:r>
              <w:rPr>
                <w:rFonts w:ascii="Arial" w:hAnsi="Arial" w:cs="Arial"/>
                <w:sz w:val="20"/>
              </w:rPr>
              <w:t>109E</w:t>
            </w:r>
          </w:p>
        </w:tc>
        <w:tc>
          <w:tcPr>
            <w:tcW w:w="820" w:type="dxa"/>
            <w:shd w:val="clear" w:color="auto" w:fill="B7CFED" w:themeFill="text2" w:themeFillTint="40"/>
          </w:tcPr>
          <w:p w14:paraId="18D62B18" w14:textId="77777777" w:rsidR="00BF5AA2" w:rsidRDefault="00BF5AA2" w:rsidP="008931B1">
            <w:pPr>
              <w:keepNext/>
              <w:keepLines/>
              <w:spacing w:before="60" w:after="60"/>
              <w:jc w:val="center"/>
              <w:rPr>
                <w:rFonts w:ascii="Arial" w:hAnsi="Arial" w:cs="Arial"/>
                <w:sz w:val="20"/>
              </w:rPr>
            </w:pPr>
            <w:r>
              <w:rPr>
                <w:rFonts w:ascii="Arial" w:hAnsi="Arial" w:cs="Arial"/>
                <w:sz w:val="20"/>
              </w:rPr>
              <w:t>DAMA</w:t>
            </w:r>
          </w:p>
        </w:tc>
        <w:tc>
          <w:tcPr>
            <w:tcW w:w="1520" w:type="dxa"/>
            <w:shd w:val="clear" w:color="auto" w:fill="B7CFED" w:themeFill="text2" w:themeFillTint="40"/>
          </w:tcPr>
          <w:p w14:paraId="6B400199" w14:textId="77777777" w:rsidR="00BF5AA2" w:rsidRDefault="00BF5AA2" w:rsidP="008931B1">
            <w:pPr>
              <w:keepNext/>
              <w:keepLines/>
              <w:spacing w:before="60" w:after="60"/>
              <w:jc w:val="center"/>
              <w:rPr>
                <w:rFonts w:ascii="Arial" w:hAnsi="Arial" w:cs="Arial"/>
                <w:sz w:val="20"/>
              </w:rPr>
            </w:pPr>
            <w:r>
              <w:rPr>
                <w:rFonts w:ascii="Arial" w:hAnsi="Arial" w:cs="Arial"/>
                <w:sz w:val="20"/>
              </w:rPr>
              <w:t>Conventional</w:t>
            </w:r>
          </w:p>
        </w:tc>
        <w:tc>
          <w:tcPr>
            <w:tcW w:w="1720" w:type="dxa"/>
            <w:shd w:val="clear" w:color="auto" w:fill="B7CFED" w:themeFill="text2" w:themeFillTint="40"/>
          </w:tcPr>
          <w:p w14:paraId="118A282C"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11A70494" w14:textId="77777777" w:rsidTr="0064295B">
        <w:trPr>
          <w:jc w:val="center"/>
        </w:trPr>
        <w:tc>
          <w:tcPr>
            <w:tcW w:w="1170" w:type="dxa"/>
            <w:shd w:val="clear" w:color="auto" w:fill="E1EBF7" w:themeFill="text2" w:themeFillTint="1A"/>
          </w:tcPr>
          <w:p w14:paraId="6A867012"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LUA4</w:t>
            </w:r>
          </w:p>
        </w:tc>
        <w:tc>
          <w:tcPr>
            <w:tcW w:w="1795" w:type="dxa"/>
            <w:shd w:val="clear" w:color="auto" w:fill="E1EBF7" w:themeFill="text2" w:themeFillTint="1A"/>
          </w:tcPr>
          <w:p w14:paraId="428665BD" w14:textId="77777777" w:rsidR="00BF5AA2" w:rsidRDefault="00BF5AA2" w:rsidP="008931B1">
            <w:pPr>
              <w:keepNext/>
              <w:keepLines/>
              <w:spacing w:before="60" w:after="60"/>
              <w:jc w:val="center"/>
              <w:rPr>
                <w:rFonts w:ascii="Arial" w:hAnsi="Arial" w:cs="Arial"/>
                <w:sz w:val="20"/>
              </w:rPr>
            </w:pPr>
            <w:r>
              <w:rPr>
                <w:rFonts w:ascii="Arial" w:hAnsi="Arial" w:cs="Arial"/>
                <w:sz w:val="20"/>
              </w:rPr>
              <w:t>109E</w:t>
            </w:r>
          </w:p>
        </w:tc>
        <w:tc>
          <w:tcPr>
            <w:tcW w:w="820" w:type="dxa"/>
            <w:shd w:val="clear" w:color="auto" w:fill="E1EBF7" w:themeFill="text2" w:themeFillTint="1A"/>
          </w:tcPr>
          <w:p w14:paraId="38F9DF86"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E1EBF7" w:themeFill="text2" w:themeFillTint="1A"/>
          </w:tcPr>
          <w:p w14:paraId="6500E5AE" w14:textId="77777777" w:rsidR="00BF5AA2" w:rsidRDefault="00BF5AA2" w:rsidP="008931B1">
            <w:pPr>
              <w:keepNext/>
              <w:keepLines/>
              <w:spacing w:before="60" w:after="60"/>
              <w:jc w:val="center"/>
              <w:rPr>
                <w:rFonts w:ascii="Arial" w:hAnsi="Arial" w:cs="Arial"/>
                <w:sz w:val="20"/>
              </w:rPr>
            </w:pPr>
            <w:r>
              <w:rPr>
                <w:rFonts w:ascii="Arial" w:hAnsi="Arial" w:cs="Arial"/>
                <w:sz w:val="20"/>
              </w:rPr>
              <w:t>Conventional</w:t>
            </w:r>
          </w:p>
        </w:tc>
        <w:tc>
          <w:tcPr>
            <w:tcW w:w="1720" w:type="dxa"/>
            <w:shd w:val="clear" w:color="auto" w:fill="E1EBF7" w:themeFill="text2" w:themeFillTint="1A"/>
          </w:tcPr>
          <w:p w14:paraId="6E78216B"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10B84FEC" w14:textId="77777777" w:rsidTr="0064295B">
        <w:trPr>
          <w:jc w:val="center"/>
        </w:trPr>
        <w:tc>
          <w:tcPr>
            <w:tcW w:w="1170" w:type="dxa"/>
            <w:shd w:val="clear" w:color="auto" w:fill="E1EBF7" w:themeFill="text2" w:themeFillTint="1A"/>
          </w:tcPr>
          <w:p w14:paraId="4F675B3C"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LUA5</w:t>
            </w:r>
          </w:p>
        </w:tc>
        <w:tc>
          <w:tcPr>
            <w:tcW w:w="1795" w:type="dxa"/>
            <w:shd w:val="clear" w:color="auto" w:fill="E1EBF7" w:themeFill="text2" w:themeFillTint="1A"/>
          </w:tcPr>
          <w:p w14:paraId="4B23F2D9" w14:textId="77777777" w:rsidR="00BF5AA2" w:rsidRDefault="00BF5AA2" w:rsidP="008931B1">
            <w:pPr>
              <w:keepNext/>
              <w:keepLines/>
              <w:spacing w:before="60" w:after="60"/>
              <w:jc w:val="center"/>
              <w:rPr>
                <w:rFonts w:ascii="Arial" w:hAnsi="Arial" w:cs="Arial"/>
                <w:sz w:val="20"/>
              </w:rPr>
            </w:pPr>
            <w:r>
              <w:rPr>
                <w:rFonts w:ascii="Arial" w:hAnsi="Arial" w:cs="Arial"/>
                <w:sz w:val="20"/>
              </w:rPr>
              <w:t>109E</w:t>
            </w:r>
          </w:p>
        </w:tc>
        <w:tc>
          <w:tcPr>
            <w:tcW w:w="820" w:type="dxa"/>
            <w:shd w:val="clear" w:color="auto" w:fill="E1EBF7" w:themeFill="text2" w:themeFillTint="1A"/>
          </w:tcPr>
          <w:p w14:paraId="3D2857CF"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E1EBF7" w:themeFill="text2" w:themeFillTint="1A"/>
          </w:tcPr>
          <w:p w14:paraId="4FBD6608" w14:textId="77777777" w:rsidR="00BF5AA2" w:rsidRDefault="00BF5AA2" w:rsidP="008931B1">
            <w:pPr>
              <w:keepNext/>
              <w:keepLines/>
              <w:spacing w:before="60" w:after="60"/>
              <w:jc w:val="center"/>
              <w:rPr>
                <w:rFonts w:ascii="Arial" w:hAnsi="Arial" w:cs="Arial"/>
                <w:sz w:val="20"/>
              </w:rPr>
            </w:pPr>
            <w:r>
              <w:rPr>
                <w:rFonts w:ascii="Arial" w:hAnsi="Arial" w:cs="Arial"/>
                <w:sz w:val="20"/>
              </w:rPr>
              <w:t>Conventional</w:t>
            </w:r>
          </w:p>
        </w:tc>
        <w:tc>
          <w:tcPr>
            <w:tcW w:w="1720" w:type="dxa"/>
            <w:shd w:val="clear" w:color="auto" w:fill="E1EBF7" w:themeFill="text2" w:themeFillTint="1A"/>
          </w:tcPr>
          <w:p w14:paraId="300025D6"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2DC348B2" w14:textId="77777777" w:rsidTr="0064295B">
        <w:trPr>
          <w:jc w:val="center"/>
        </w:trPr>
        <w:tc>
          <w:tcPr>
            <w:tcW w:w="1170" w:type="dxa"/>
            <w:shd w:val="clear" w:color="auto" w:fill="B7CFED" w:themeFill="text2" w:themeFillTint="40"/>
          </w:tcPr>
          <w:p w14:paraId="09DEC7A9"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SUA4</w:t>
            </w:r>
          </w:p>
        </w:tc>
        <w:tc>
          <w:tcPr>
            <w:tcW w:w="1795" w:type="dxa"/>
            <w:shd w:val="clear" w:color="auto" w:fill="B7CFED" w:themeFill="text2" w:themeFillTint="40"/>
          </w:tcPr>
          <w:p w14:paraId="429E5757" w14:textId="77777777" w:rsidR="00BF5AA2" w:rsidRDefault="00BF5AA2" w:rsidP="008931B1">
            <w:pPr>
              <w:keepNext/>
              <w:keepLines/>
              <w:spacing w:before="60" w:after="60"/>
              <w:jc w:val="center"/>
              <w:rPr>
                <w:rFonts w:ascii="Arial" w:hAnsi="Arial" w:cs="Arial"/>
                <w:sz w:val="20"/>
              </w:rPr>
            </w:pPr>
            <w:r>
              <w:rPr>
                <w:rFonts w:ascii="Arial" w:hAnsi="Arial" w:cs="Arial"/>
                <w:sz w:val="20"/>
              </w:rPr>
              <w:t>MSTM</w:t>
            </w:r>
          </w:p>
        </w:tc>
        <w:tc>
          <w:tcPr>
            <w:tcW w:w="820" w:type="dxa"/>
            <w:shd w:val="clear" w:color="auto" w:fill="B7CFED" w:themeFill="text2" w:themeFillTint="40"/>
          </w:tcPr>
          <w:p w14:paraId="4F89803E"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B7CFED" w:themeFill="text2" w:themeFillTint="40"/>
          </w:tcPr>
          <w:p w14:paraId="6909A9FB" w14:textId="77777777" w:rsidR="00BF5AA2" w:rsidRDefault="00BF5AA2" w:rsidP="008931B1">
            <w:pPr>
              <w:keepNext/>
              <w:keepLines/>
              <w:spacing w:before="60" w:after="60"/>
              <w:jc w:val="center"/>
              <w:rPr>
                <w:rFonts w:ascii="Arial" w:hAnsi="Arial" w:cs="Arial"/>
                <w:sz w:val="20"/>
              </w:rPr>
            </w:pPr>
            <w:r>
              <w:rPr>
                <w:rFonts w:ascii="Arial" w:hAnsi="Arial" w:cs="Arial"/>
                <w:sz w:val="20"/>
              </w:rPr>
              <w:t>Conventional</w:t>
            </w:r>
          </w:p>
        </w:tc>
        <w:tc>
          <w:tcPr>
            <w:tcW w:w="1720" w:type="dxa"/>
            <w:shd w:val="clear" w:color="auto" w:fill="B7CFED" w:themeFill="text2" w:themeFillTint="40"/>
          </w:tcPr>
          <w:p w14:paraId="32CAEBC2"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2A55EDC0" w14:textId="77777777" w:rsidTr="0064295B">
        <w:trPr>
          <w:jc w:val="center"/>
        </w:trPr>
        <w:tc>
          <w:tcPr>
            <w:tcW w:w="1170" w:type="dxa"/>
            <w:shd w:val="clear" w:color="auto" w:fill="B7CFED" w:themeFill="text2" w:themeFillTint="40"/>
          </w:tcPr>
          <w:p w14:paraId="37C898A0" w14:textId="77777777" w:rsidR="00BF5AA2" w:rsidRPr="000665B0" w:rsidRDefault="00BF5AA2" w:rsidP="008931B1">
            <w:pPr>
              <w:keepNext/>
              <w:keepLines/>
              <w:spacing w:before="60" w:after="60"/>
              <w:jc w:val="center"/>
              <w:rPr>
                <w:rFonts w:ascii="Arial" w:hAnsi="Arial" w:cs="Arial"/>
                <w:sz w:val="20"/>
              </w:rPr>
            </w:pPr>
            <w:r>
              <w:rPr>
                <w:rFonts w:ascii="Arial" w:hAnsi="Arial" w:cs="Arial"/>
                <w:sz w:val="20"/>
              </w:rPr>
              <w:t>SUA5</w:t>
            </w:r>
          </w:p>
        </w:tc>
        <w:tc>
          <w:tcPr>
            <w:tcW w:w="1795" w:type="dxa"/>
            <w:shd w:val="clear" w:color="auto" w:fill="B7CFED" w:themeFill="text2" w:themeFillTint="40"/>
          </w:tcPr>
          <w:p w14:paraId="2594024D" w14:textId="77777777" w:rsidR="00BF5AA2" w:rsidRDefault="00BF5AA2" w:rsidP="008931B1">
            <w:pPr>
              <w:keepNext/>
              <w:keepLines/>
              <w:spacing w:before="60" w:after="60"/>
              <w:jc w:val="center"/>
              <w:rPr>
                <w:rFonts w:ascii="Arial" w:hAnsi="Arial" w:cs="Arial"/>
                <w:sz w:val="20"/>
              </w:rPr>
            </w:pPr>
            <w:r>
              <w:rPr>
                <w:rFonts w:ascii="Arial" w:hAnsi="Arial" w:cs="Arial"/>
                <w:sz w:val="20"/>
              </w:rPr>
              <w:t>MSTM</w:t>
            </w:r>
          </w:p>
        </w:tc>
        <w:tc>
          <w:tcPr>
            <w:tcW w:w="820" w:type="dxa"/>
            <w:shd w:val="clear" w:color="auto" w:fill="B7CFED" w:themeFill="text2" w:themeFillTint="40"/>
          </w:tcPr>
          <w:p w14:paraId="3A290516"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B7CFED" w:themeFill="text2" w:themeFillTint="40"/>
          </w:tcPr>
          <w:p w14:paraId="52B4F0E9" w14:textId="77777777" w:rsidR="00BF5AA2" w:rsidRDefault="00BF5AA2" w:rsidP="008931B1">
            <w:pPr>
              <w:keepNext/>
              <w:keepLines/>
              <w:spacing w:before="60" w:after="60"/>
              <w:jc w:val="center"/>
              <w:rPr>
                <w:rFonts w:ascii="Arial" w:hAnsi="Arial" w:cs="Arial"/>
                <w:sz w:val="20"/>
              </w:rPr>
            </w:pPr>
            <w:r>
              <w:rPr>
                <w:rFonts w:ascii="Arial" w:hAnsi="Arial" w:cs="Arial"/>
                <w:sz w:val="20"/>
              </w:rPr>
              <w:t>Conventional</w:t>
            </w:r>
          </w:p>
        </w:tc>
        <w:tc>
          <w:tcPr>
            <w:tcW w:w="1720" w:type="dxa"/>
            <w:shd w:val="clear" w:color="auto" w:fill="B7CFED" w:themeFill="text2" w:themeFillTint="40"/>
          </w:tcPr>
          <w:p w14:paraId="028B0546"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2B6214A3" w14:textId="77777777" w:rsidTr="0064295B">
        <w:trPr>
          <w:jc w:val="center"/>
        </w:trPr>
        <w:tc>
          <w:tcPr>
            <w:tcW w:w="1170" w:type="dxa"/>
            <w:shd w:val="clear" w:color="auto" w:fill="E1EBF7" w:themeFill="text2" w:themeFillTint="1A"/>
          </w:tcPr>
          <w:p w14:paraId="3D8EB5BF" w14:textId="77777777" w:rsidR="00BF5AA2" w:rsidRDefault="00BF5AA2" w:rsidP="008931B1">
            <w:pPr>
              <w:keepNext/>
              <w:keepLines/>
              <w:spacing w:before="60" w:after="60"/>
              <w:jc w:val="center"/>
              <w:rPr>
                <w:rFonts w:ascii="Arial" w:hAnsi="Arial" w:cs="Arial"/>
                <w:sz w:val="20"/>
              </w:rPr>
            </w:pPr>
            <w:r>
              <w:rPr>
                <w:rFonts w:ascii="Arial" w:hAnsi="Arial" w:cs="Arial"/>
                <w:sz w:val="20"/>
              </w:rPr>
              <w:t>2NA4</w:t>
            </w:r>
          </w:p>
        </w:tc>
        <w:tc>
          <w:tcPr>
            <w:tcW w:w="1795" w:type="dxa"/>
            <w:shd w:val="clear" w:color="auto" w:fill="E1EBF7" w:themeFill="text2" w:themeFillTint="1A"/>
          </w:tcPr>
          <w:p w14:paraId="26DF2672" w14:textId="77777777" w:rsidR="00BF5AA2" w:rsidRDefault="00BF5AA2" w:rsidP="008931B1">
            <w:pPr>
              <w:keepNext/>
              <w:keepLines/>
              <w:spacing w:before="60" w:after="60"/>
              <w:jc w:val="center"/>
              <w:rPr>
                <w:rFonts w:ascii="Arial" w:hAnsi="Arial" w:cs="Arial"/>
                <w:sz w:val="20"/>
              </w:rPr>
            </w:pPr>
            <w:r>
              <w:rPr>
                <w:rFonts w:ascii="Arial" w:hAnsi="Arial" w:cs="Arial"/>
                <w:sz w:val="20"/>
              </w:rPr>
              <w:t>MSTM ACP2</w:t>
            </w:r>
          </w:p>
        </w:tc>
        <w:tc>
          <w:tcPr>
            <w:tcW w:w="820" w:type="dxa"/>
            <w:shd w:val="clear" w:color="auto" w:fill="E1EBF7" w:themeFill="text2" w:themeFillTint="1A"/>
          </w:tcPr>
          <w:p w14:paraId="59D2B6E2"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E1EBF7" w:themeFill="text2" w:themeFillTint="1A"/>
          </w:tcPr>
          <w:p w14:paraId="03BEE348" w14:textId="77777777" w:rsidR="00BF5AA2" w:rsidRDefault="00BF5AA2" w:rsidP="008931B1">
            <w:pPr>
              <w:keepNext/>
              <w:keepLines/>
              <w:spacing w:before="60" w:after="60"/>
              <w:jc w:val="center"/>
              <w:rPr>
                <w:rFonts w:ascii="Arial" w:hAnsi="Arial" w:cs="Arial"/>
                <w:sz w:val="20"/>
              </w:rPr>
            </w:pPr>
            <w:r>
              <w:rPr>
                <w:rFonts w:ascii="Arial" w:hAnsi="Arial" w:cs="Arial"/>
                <w:sz w:val="20"/>
              </w:rPr>
              <w:t>Inert</w:t>
            </w:r>
          </w:p>
        </w:tc>
        <w:tc>
          <w:tcPr>
            <w:tcW w:w="1720" w:type="dxa"/>
            <w:shd w:val="clear" w:color="auto" w:fill="E1EBF7" w:themeFill="text2" w:themeFillTint="1A"/>
          </w:tcPr>
          <w:p w14:paraId="4D21F934"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513FC135" w14:textId="77777777" w:rsidTr="0064295B">
        <w:trPr>
          <w:jc w:val="center"/>
        </w:trPr>
        <w:tc>
          <w:tcPr>
            <w:tcW w:w="1170" w:type="dxa"/>
            <w:shd w:val="clear" w:color="auto" w:fill="E1EBF7" w:themeFill="text2" w:themeFillTint="1A"/>
          </w:tcPr>
          <w:p w14:paraId="6CBE7566" w14:textId="77777777" w:rsidR="00BF5AA2" w:rsidRDefault="00BF5AA2" w:rsidP="008931B1">
            <w:pPr>
              <w:keepNext/>
              <w:keepLines/>
              <w:spacing w:before="60" w:after="60"/>
              <w:jc w:val="center"/>
              <w:rPr>
                <w:rFonts w:ascii="Arial" w:hAnsi="Arial" w:cs="Arial"/>
                <w:sz w:val="20"/>
              </w:rPr>
            </w:pPr>
            <w:r>
              <w:rPr>
                <w:rFonts w:ascii="Arial" w:hAnsi="Arial" w:cs="Arial"/>
                <w:sz w:val="20"/>
              </w:rPr>
              <w:t>2NA5</w:t>
            </w:r>
          </w:p>
        </w:tc>
        <w:tc>
          <w:tcPr>
            <w:tcW w:w="1795" w:type="dxa"/>
            <w:shd w:val="clear" w:color="auto" w:fill="E1EBF7" w:themeFill="text2" w:themeFillTint="1A"/>
          </w:tcPr>
          <w:p w14:paraId="61AAAF22" w14:textId="77777777" w:rsidR="00BF5AA2" w:rsidRDefault="00BF5AA2" w:rsidP="008931B1">
            <w:pPr>
              <w:keepNext/>
              <w:keepLines/>
              <w:spacing w:before="60" w:after="60"/>
              <w:jc w:val="center"/>
              <w:rPr>
                <w:rFonts w:ascii="Arial" w:hAnsi="Arial" w:cs="Arial"/>
                <w:sz w:val="20"/>
              </w:rPr>
            </w:pPr>
            <w:r>
              <w:rPr>
                <w:rFonts w:ascii="Arial" w:hAnsi="Arial" w:cs="Arial"/>
                <w:sz w:val="20"/>
              </w:rPr>
              <w:t>MSTM ACP2</w:t>
            </w:r>
          </w:p>
        </w:tc>
        <w:tc>
          <w:tcPr>
            <w:tcW w:w="820" w:type="dxa"/>
            <w:shd w:val="clear" w:color="auto" w:fill="E1EBF7" w:themeFill="text2" w:themeFillTint="1A"/>
          </w:tcPr>
          <w:p w14:paraId="6C0D8689"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E1EBF7" w:themeFill="text2" w:themeFillTint="1A"/>
          </w:tcPr>
          <w:p w14:paraId="5DEF3825" w14:textId="77777777" w:rsidR="00BF5AA2" w:rsidRDefault="00BF5AA2" w:rsidP="008931B1">
            <w:pPr>
              <w:keepNext/>
              <w:keepLines/>
              <w:spacing w:before="60" w:after="60"/>
              <w:jc w:val="center"/>
              <w:rPr>
                <w:rFonts w:ascii="Arial" w:hAnsi="Arial" w:cs="Arial"/>
                <w:sz w:val="20"/>
              </w:rPr>
            </w:pPr>
            <w:r>
              <w:rPr>
                <w:rFonts w:ascii="Arial" w:hAnsi="Arial" w:cs="Arial"/>
                <w:sz w:val="20"/>
              </w:rPr>
              <w:t>Inert</w:t>
            </w:r>
          </w:p>
        </w:tc>
        <w:tc>
          <w:tcPr>
            <w:tcW w:w="1720" w:type="dxa"/>
            <w:shd w:val="clear" w:color="auto" w:fill="E1EBF7" w:themeFill="text2" w:themeFillTint="1A"/>
          </w:tcPr>
          <w:p w14:paraId="3D49BF61"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041CD62A" w14:textId="77777777" w:rsidTr="0064295B">
        <w:trPr>
          <w:jc w:val="center"/>
        </w:trPr>
        <w:tc>
          <w:tcPr>
            <w:tcW w:w="1170" w:type="dxa"/>
            <w:shd w:val="clear" w:color="auto" w:fill="B7CFED"/>
          </w:tcPr>
          <w:p w14:paraId="15E3E759" w14:textId="77777777" w:rsidR="00BF5AA2" w:rsidRDefault="00BF5AA2" w:rsidP="008931B1">
            <w:pPr>
              <w:keepNext/>
              <w:keepLines/>
              <w:spacing w:before="60" w:after="60"/>
              <w:jc w:val="center"/>
              <w:rPr>
                <w:rFonts w:ascii="Arial" w:hAnsi="Arial" w:cs="Arial"/>
                <w:sz w:val="20"/>
              </w:rPr>
            </w:pPr>
            <w:r>
              <w:rPr>
                <w:rFonts w:ascii="Arial" w:hAnsi="Arial" w:cs="Arial"/>
                <w:sz w:val="20"/>
              </w:rPr>
              <w:t>2UA4</w:t>
            </w:r>
          </w:p>
        </w:tc>
        <w:tc>
          <w:tcPr>
            <w:tcW w:w="1795" w:type="dxa"/>
            <w:shd w:val="clear" w:color="auto" w:fill="B7CFED"/>
          </w:tcPr>
          <w:p w14:paraId="632EF3AF" w14:textId="77777777" w:rsidR="00BF5AA2" w:rsidRDefault="00BF5AA2" w:rsidP="008931B1">
            <w:pPr>
              <w:keepNext/>
              <w:keepLines/>
              <w:spacing w:before="60" w:after="60"/>
              <w:jc w:val="center"/>
              <w:rPr>
                <w:rFonts w:ascii="Arial" w:hAnsi="Arial" w:cs="Arial"/>
                <w:sz w:val="20"/>
              </w:rPr>
            </w:pPr>
            <w:r>
              <w:rPr>
                <w:rFonts w:ascii="Arial" w:hAnsi="Arial" w:cs="Arial"/>
                <w:sz w:val="20"/>
              </w:rPr>
              <w:t>MSTM ACP2</w:t>
            </w:r>
          </w:p>
        </w:tc>
        <w:tc>
          <w:tcPr>
            <w:tcW w:w="820" w:type="dxa"/>
            <w:shd w:val="clear" w:color="auto" w:fill="B7CFED"/>
          </w:tcPr>
          <w:p w14:paraId="1B475CD0"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B7CFED"/>
          </w:tcPr>
          <w:p w14:paraId="1BC0620B" w14:textId="77777777" w:rsidR="00BF5AA2" w:rsidRDefault="00BF5AA2" w:rsidP="008931B1">
            <w:pPr>
              <w:keepNext/>
              <w:keepLines/>
              <w:spacing w:before="60" w:after="60"/>
              <w:jc w:val="center"/>
              <w:rPr>
                <w:rFonts w:ascii="Arial" w:hAnsi="Arial" w:cs="Arial"/>
                <w:sz w:val="20"/>
              </w:rPr>
            </w:pPr>
            <w:r>
              <w:rPr>
                <w:rFonts w:ascii="Arial" w:hAnsi="Arial" w:cs="Arial"/>
                <w:sz w:val="20"/>
              </w:rPr>
              <w:t>Conventional</w:t>
            </w:r>
          </w:p>
        </w:tc>
        <w:tc>
          <w:tcPr>
            <w:tcW w:w="1720" w:type="dxa"/>
            <w:shd w:val="clear" w:color="auto" w:fill="B7CFED"/>
          </w:tcPr>
          <w:p w14:paraId="3E7E089A"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1372638A" w14:textId="77777777" w:rsidTr="0064295B">
        <w:trPr>
          <w:jc w:val="center"/>
        </w:trPr>
        <w:tc>
          <w:tcPr>
            <w:tcW w:w="1170" w:type="dxa"/>
            <w:shd w:val="clear" w:color="auto" w:fill="B7CFED"/>
          </w:tcPr>
          <w:p w14:paraId="6150B10B" w14:textId="77777777" w:rsidR="00BF5AA2" w:rsidRDefault="00BF5AA2" w:rsidP="008931B1">
            <w:pPr>
              <w:keepNext/>
              <w:keepLines/>
              <w:spacing w:before="60" w:after="60"/>
              <w:jc w:val="center"/>
              <w:rPr>
                <w:rFonts w:ascii="Arial" w:hAnsi="Arial" w:cs="Arial"/>
                <w:sz w:val="20"/>
              </w:rPr>
            </w:pPr>
            <w:r>
              <w:rPr>
                <w:rFonts w:ascii="Arial" w:hAnsi="Arial" w:cs="Arial"/>
                <w:sz w:val="20"/>
              </w:rPr>
              <w:t>2UA5</w:t>
            </w:r>
          </w:p>
        </w:tc>
        <w:tc>
          <w:tcPr>
            <w:tcW w:w="1795" w:type="dxa"/>
            <w:shd w:val="clear" w:color="auto" w:fill="B7CFED"/>
          </w:tcPr>
          <w:p w14:paraId="6FA4DE24" w14:textId="77777777" w:rsidR="00BF5AA2" w:rsidRDefault="00BF5AA2" w:rsidP="008931B1">
            <w:pPr>
              <w:keepNext/>
              <w:keepLines/>
              <w:spacing w:before="60" w:after="60"/>
              <w:jc w:val="center"/>
              <w:rPr>
                <w:rFonts w:ascii="Arial" w:hAnsi="Arial" w:cs="Arial"/>
                <w:sz w:val="20"/>
              </w:rPr>
            </w:pPr>
            <w:r>
              <w:rPr>
                <w:rFonts w:ascii="Arial" w:hAnsi="Arial" w:cs="Arial"/>
                <w:sz w:val="20"/>
              </w:rPr>
              <w:t>MSTM ACP2</w:t>
            </w:r>
          </w:p>
        </w:tc>
        <w:tc>
          <w:tcPr>
            <w:tcW w:w="820" w:type="dxa"/>
            <w:shd w:val="clear" w:color="auto" w:fill="B7CFED"/>
          </w:tcPr>
          <w:p w14:paraId="22EB018B"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B7CFED"/>
          </w:tcPr>
          <w:p w14:paraId="2CA6EBB8" w14:textId="77777777" w:rsidR="00BF5AA2" w:rsidRDefault="00BF5AA2" w:rsidP="008931B1">
            <w:pPr>
              <w:keepNext/>
              <w:keepLines/>
              <w:spacing w:before="60" w:after="60"/>
              <w:jc w:val="center"/>
              <w:rPr>
                <w:rFonts w:ascii="Arial" w:hAnsi="Arial" w:cs="Arial"/>
                <w:sz w:val="20"/>
              </w:rPr>
            </w:pPr>
            <w:r>
              <w:rPr>
                <w:rFonts w:ascii="Arial" w:hAnsi="Arial" w:cs="Arial"/>
                <w:sz w:val="20"/>
              </w:rPr>
              <w:t>Conventional</w:t>
            </w:r>
          </w:p>
        </w:tc>
        <w:tc>
          <w:tcPr>
            <w:tcW w:w="1720" w:type="dxa"/>
            <w:shd w:val="clear" w:color="auto" w:fill="B7CFED"/>
          </w:tcPr>
          <w:p w14:paraId="1AADAA7E"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29DF1F20" w14:textId="77777777" w:rsidTr="0064295B">
        <w:trPr>
          <w:jc w:val="center"/>
        </w:trPr>
        <w:tc>
          <w:tcPr>
            <w:tcW w:w="1170" w:type="dxa"/>
            <w:shd w:val="clear" w:color="auto" w:fill="E1EBF7" w:themeFill="text2" w:themeFillTint="1A"/>
          </w:tcPr>
          <w:p w14:paraId="26616EB7" w14:textId="77777777" w:rsidR="00BF5AA2" w:rsidRDefault="00BF5AA2" w:rsidP="008931B1">
            <w:pPr>
              <w:keepNext/>
              <w:keepLines/>
              <w:spacing w:before="60" w:after="60"/>
              <w:jc w:val="center"/>
              <w:rPr>
                <w:rFonts w:ascii="Arial" w:hAnsi="Arial" w:cs="Arial"/>
                <w:sz w:val="20"/>
              </w:rPr>
            </w:pPr>
            <w:r>
              <w:rPr>
                <w:rFonts w:ascii="Arial" w:hAnsi="Arial" w:cs="Arial"/>
                <w:sz w:val="20"/>
              </w:rPr>
              <w:t>LJA4</w:t>
            </w:r>
          </w:p>
        </w:tc>
        <w:tc>
          <w:tcPr>
            <w:tcW w:w="1795" w:type="dxa"/>
            <w:shd w:val="clear" w:color="auto" w:fill="E1EBF7" w:themeFill="text2" w:themeFillTint="1A"/>
          </w:tcPr>
          <w:p w14:paraId="02E12432" w14:textId="77777777" w:rsidR="00BF5AA2" w:rsidRDefault="00BF5AA2" w:rsidP="008931B1">
            <w:pPr>
              <w:keepNext/>
              <w:keepLines/>
              <w:spacing w:before="60" w:after="60"/>
              <w:jc w:val="center"/>
              <w:rPr>
                <w:rFonts w:ascii="Arial" w:hAnsi="Arial" w:cs="Arial"/>
                <w:sz w:val="20"/>
              </w:rPr>
            </w:pPr>
            <w:r>
              <w:rPr>
                <w:rFonts w:ascii="Arial" w:hAnsi="Arial" w:cs="Arial"/>
                <w:sz w:val="20"/>
              </w:rPr>
              <w:t>109M</w:t>
            </w:r>
          </w:p>
        </w:tc>
        <w:tc>
          <w:tcPr>
            <w:tcW w:w="820" w:type="dxa"/>
            <w:shd w:val="clear" w:color="auto" w:fill="E1EBF7" w:themeFill="text2" w:themeFillTint="1A"/>
          </w:tcPr>
          <w:p w14:paraId="1236511B"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E1EBF7" w:themeFill="text2" w:themeFillTint="1A"/>
          </w:tcPr>
          <w:p w14:paraId="48D24277" w14:textId="77777777" w:rsidR="00BF5AA2" w:rsidRDefault="00BF5AA2" w:rsidP="008931B1">
            <w:pPr>
              <w:keepNext/>
              <w:keepLines/>
              <w:spacing w:before="60" w:after="60"/>
              <w:jc w:val="center"/>
              <w:rPr>
                <w:rFonts w:ascii="Arial" w:hAnsi="Arial" w:cs="Arial"/>
                <w:sz w:val="20"/>
              </w:rPr>
            </w:pPr>
            <w:r>
              <w:rPr>
                <w:rFonts w:ascii="Arial" w:hAnsi="Arial" w:cs="Arial"/>
                <w:sz w:val="20"/>
              </w:rPr>
              <w:t>Conventional</w:t>
            </w:r>
          </w:p>
        </w:tc>
        <w:tc>
          <w:tcPr>
            <w:tcW w:w="1720" w:type="dxa"/>
            <w:shd w:val="clear" w:color="auto" w:fill="E1EBF7" w:themeFill="text2" w:themeFillTint="1A"/>
          </w:tcPr>
          <w:p w14:paraId="454CAEEA"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r w:rsidR="00BF5AA2" w14:paraId="01CBAA09" w14:textId="77777777" w:rsidTr="0064295B">
        <w:trPr>
          <w:jc w:val="center"/>
        </w:trPr>
        <w:tc>
          <w:tcPr>
            <w:tcW w:w="1170" w:type="dxa"/>
            <w:shd w:val="clear" w:color="auto" w:fill="E1EBF7" w:themeFill="text2" w:themeFillTint="1A"/>
          </w:tcPr>
          <w:p w14:paraId="6FB9D97A" w14:textId="77777777" w:rsidR="00BF5AA2" w:rsidRDefault="00BF5AA2" w:rsidP="008931B1">
            <w:pPr>
              <w:keepNext/>
              <w:keepLines/>
              <w:spacing w:before="60" w:after="60"/>
              <w:jc w:val="center"/>
              <w:rPr>
                <w:rFonts w:ascii="Arial" w:hAnsi="Arial" w:cs="Arial"/>
                <w:sz w:val="20"/>
              </w:rPr>
            </w:pPr>
            <w:r>
              <w:rPr>
                <w:rFonts w:ascii="Arial" w:hAnsi="Arial" w:cs="Arial"/>
                <w:sz w:val="20"/>
              </w:rPr>
              <w:t>LJA5</w:t>
            </w:r>
          </w:p>
        </w:tc>
        <w:tc>
          <w:tcPr>
            <w:tcW w:w="1795" w:type="dxa"/>
            <w:shd w:val="clear" w:color="auto" w:fill="E1EBF7" w:themeFill="text2" w:themeFillTint="1A"/>
          </w:tcPr>
          <w:p w14:paraId="47D908C4" w14:textId="77777777" w:rsidR="00BF5AA2" w:rsidRDefault="00BF5AA2" w:rsidP="008931B1">
            <w:pPr>
              <w:keepNext/>
              <w:keepLines/>
              <w:spacing w:before="60" w:after="60"/>
              <w:jc w:val="center"/>
              <w:rPr>
                <w:rFonts w:ascii="Arial" w:hAnsi="Arial" w:cs="Arial"/>
                <w:sz w:val="20"/>
              </w:rPr>
            </w:pPr>
            <w:r>
              <w:rPr>
                <w:rFonts w:ascii="Arial" w:hAnsi="Arial" w:cs="Arial"/>
                <w:sz w:val="20"/>
              </w:rPr>
              <w:t>109M</w:t>
            </w:r>
          </w:p>
        </w:tc>
        <w:tc>
          <w:tcPr>
            <w:tcW w:w="820" w:type="dxa"/>
            <w:shd w:val="clear" w:color="auto" w:fill="E1EBF7" w:themeFill="text2" w:themeFillTint="1A"/>
          </w:tcPr>
          <w:p w14:paraId="6C323353" w14:textId="77777777" w:rsidR="00BF5AA2" w:rsidRDefault="00BF5AA2" w:rsidP="008931B1">
            <w:pPr>
              <w:keepNext/>
              <w:keepLines/>
              <w:spacing w:before="60" w:after="60"/>
              <w:jc w:val="center"/>
              <w:rPr>
                <w:rFonts w:ascii="Arial" w:hAnsi="Arial" w:cs="Arial"/>
                <w:sz w:val="20"/>
              </w:rPr>
            </w:pPr>
            <w:r>
              <w:rPr>
                <w:rFonts w:ascii="Arial" w:hAnsi="Arial" w:cs="Arial"/>
                <w:sz w:val="20"/>
              </w:rPr>
              <w:t>ACA</w:t>
            </w:r>
          </w:p>
        </w:tc>
        <w:tc>
          <w:tcPr>
            <w:tcW w:w="1520" w:type="dxa"/>
            <w:shd w:val="clear" w:color="auto" w:fill="E1EBF7" w:themeFill="text2" w:themeFillTint="1A"/>
          </w:tcPr>
          <w:p w14:paraId="5CE7D51C" w14:textId="77777777" w:rsidR="00BF5AA2" w:rsidRDefault="00BF5AA2" w:rsidP="008931B1">
            <w:pPr>
              <w:keepNext/>
              <w:keepLines/>
              <w:spacing w:before="60" w:after="60"/>
              <w:jc w:val="center"/>
              <w:rPr>
                <w:rFonts w:ascii="Arial" w:hAnsi="Arial" w:cs="Arial"/>
                <w:sz w:val="20"/>
              </w:rPr>
            </w:pPr>
            <w:r>
              <w:rPr>
                <w:rFonts w:ascii="Arial" w:hAnsi="Arial" w:cs="Arial"/>
                <w:sz w:val="20"/>
              </w:rPr>
              <w:t>Conventional</w:t>
            </w:r>
          </w:p>
        </w:tc>
        <w:tc>
          <w:tcPr>
            <w:tcW w:w="1720" w:type="dxa"/>
            <w:shd w:val="clear" w:color="auto" w:fill="E1EBF7" w:themeFill="text2" w:themeFillTint="1A"/>
          </w:tcPr>
          <w:p w14:paraId="44E78AFB" w14:textId="77777777" w:rsidR="00BF5AA2" w:rsidRDefault="00BF5AA2" w:rsidP="008931B1">
            <w:pPr>
              <w:keepNext/>
              <w:keepLines/>
              <w:spacing w:before="60" w:after="60"/>
              <w:jc w:val="center"/>
              <w:rPr>
                <w:rFonts w:ascii="Arial" w:hAnsi="Arial" w:cs="Arial"/>
                <w:sz w:val="20"/>
              </w:rPr>
            </w:pPr>
            <w:r>
              <w:rPr>
                <w:rFonts w:ascii="Arial" w:hAnsi="Arial" w:cs="Arial"/>
                <w:sz w:val="20"/>
              </w:rPr>
              <w:t>Other</w:t>
            </w:r>
          </w:p>
        </w:tc>
      </w:tr>
    </w:tbl>
    <w:p w14:paraId="0215B68F" w14:textId="76BB2C7A" w:rsidR="00174457" w:rsidRDefault="00174457" w:rsidP="00E22ED5">
      <w:pPr>
        <w:pStyle w:val="paragraph"/>
        <w:spacing w:before="0" w:beforeAutospacing="0" w:after="120" w:afterAutospacing="0"/>
        <w:jc w:val="center"/>
        <w:textAlignment w:val="baseline"/>
      </w:pPr>
    </w:p>
    <w:p w14:paraId="5A6CCDDF" w14:textId="77777777" w:rsidR="006E574D" w:rsidRPr="000665B0" w:rsidRDefault="006E574D" w:rsidP="006D5A65">
      <w:pPr>
        <w:pStyle w:val="Heading1"/>
      </w:pPr>
      <w:r w:rsidRPr="000665B0">
        <w:t>Columns</w:t>
      </w:r>
      <w:r w:rsidR="000F7F11" w:rsidRPr="000665B0">
        <w:t xml:space="preserve"> (Platform</w:t>
      </w:r>
      <w:r w:rsidR="00457A00" w:rsidRPr="000665B0">
        <w:t xml:space="preserve"> Level</w:t>
      </w:r>
      <w:r w:rsidR="000F7F11" w:rsidRPr="000665B0">
        <w:t>)</w:t>
      </w:r>
    </w:p>
    <w:p w14:paraId="1B22C5CC" w14:textId="77777777" w:rsidR="006E574D" w:rsidRPr="000665B0" w:rsidRDefault="006E574D" w:rsidP="006D5A65">
      <w:pPr>
        <w:pStyle w:val="Heading2"/>
      </w:pPr>
      <w:r w:rsidRPr="000665B0">
        <w:t xml:space="preserve">ID – The </w:t>
      </w:r>
      <w:r w:rsidR="00457A00" w:rsidRPr="000665B0">
        <w:t>p</w:t>
      </w:r>
      <w:r w:rsidRPr="000665B0">
        <w:t>latform ID.</w:t>
      </w:r>
    </w:p>
    <w:p w14:paraId="200AD829" w14:textId="77777777" w:rsidR="006E574D" w:rsidRPr="000665B0" w:rsidRDefault="006E574D" w:rsidP="006D5A65">
      <w:pPr>
        <w:pStyle w:val="Heading2"/>
      </w:pPr>
      <w:r w:rsidRPr="000665B0">
        <w:t xml:space="preserve">Name – </w:t>
      </w:r>
      <w:r w:rsidR="00AF6A27" w:rsidRPr="000665B0">
        <w:t>Name of t</w:t>
      </w:r>
      <w:r w:rsidRPr="000665B0">
        <w:t xml:space="preserve">he </w:t>
      </w:r>
      <w:r w:rsidR="00457A00" w:rsidRPr="000665B0">
        <w:t>p</w:t>
      </w:r>
      <w:r w:rsidRPr="000665B0">
        <w:t>latform.</w:t>
      </w:r>
    </w:p>
    <w:p w14:paraId="630DD6CD" w14:textId="77777777" w:rsidR="00FC561B" w:rsidRPr="000665B0" w:rsidRDefault="00FC561B" w:rsidP="006D5A65">
      <w:pPr>
        <w:pStyle w:val="Heading2"/>
      </w:pPr>
      <w:r w:rsidRPr="00827BCD">
        <w:rPr>
          <w:rStyle w:val="normaltextrun"/>
          <w:color w:val="000000"/>
        </w:rPr>
        <w:t>LUD3/LUD4</w:t>
      </w:r>
      <w:r w:rsidRPr="000665B0">
        <w:t xml:space="preserve"> TAC – Number of tactical </w:t>
      </w:r>
      <w:r w:rsidRPr="004036BD">
        <w:rPr>
          <w:rStyle w:val="normaltextrun"/>
          <w:color w:val="000000"/>
        </w:rPr>
        <w:t>LUD3/LUD4</w:t>
      </w:r>
      <w:r>
        <w:rPr>
          <w:rStyle w:val="normaltextrun"/>
          <w:color w:val="000000"/>
        </w:rPr>
        <w:t xml:space="preserve"> </w:t>
      </w:r>
      <w:r w:rsidRPr="000665B0">
        <w:t>missiles.</w:t>
      </w:r>
    </w:p>
    <w:p w14:paraId="24F65A47" w14:textId="77777777" w:rsidR="00FC561B" w:rsidRPr="000665B0" w:rsidRDefault="00FC561B" w:rsidP="006D5A65">
      <w:pPr>
        <w:pStyle w:val="Heading2"/>
      </w:pPr>
      <w:r w:rsidRPr="00AB72FE">
        <w:rPr>
          <w:rStyle w:val="normaltextrun"/>
          <w:color w:val="000000"/>
        </w:rPr>
        <w:t>LUD3/LUD4</w:t>
      </w:r>
      <w:r w:rsidRPr="000665B0">
        <w:t xml:space="preserve"> TRN – Number of training </w:t>
      </w:r>
      <w:r w:rsidRPr="004036BD">
        <w:rPr>
          <w:rStyle w:val="normaltextrun"/>
          <w:color w:val="000000"/>
        </w:rPr>
        <w:t>LUD3/LUD4</w:t>
      </w:r>
      <w:r>
        <w:rPr>
          <w:rStyle w:val="normaltextrun"/>
          <w:color w:val="000000"/>
        </w:rPr>
        <w:t xml:space="preserve"> </w:t>
      </w:r>
      <w:r w:rsidRPr="000665B0">
        <w:t>missiles.</w:t>
      </w:r>
    </w:p>
    <w:p w14:paraId="19F22D89" w14:textId="77777777" w:rsidR="00FC561B" w:rsidRPr="000665B0" w:rsidRDefault="00FC561B" w:rsidP="006D5A65">
      <w:pPr>
        <w:pStyle w:val="Heading2"/>
      </w:pPr>
      <w:r w:rsidRPr="00827BCD">
        <w:rPr>
          <w:rStyle w:val="normaltextrun"/>
          <w:color w:val="000000"/>
        </w:rPr>
        <w:t>LUA4/LUA5</w:t>
      </w:r>
      <w:r w:rsidRPr="000665B0">
        <w:t xml:space="preserve"> TAC – Number of tactical </w:t>
      </w:r>
      <w:r w:rsidRPr="004036BD">
        <w:rPr>
          <w:rStyle w:val="normaltextrun"/>
          <w:color w:val="000000"/>
        </w:rPr>
        <w:t xml:space="preserve">LUA4/LUA5 </w:t>
      </w:r>
      <w:r w:rsidRPr="000665B0">
        <w:t>missiles.</w:t>
      </w:r>
    </w:p>
    <w:p w14:paraId="7AC9AF24" w14:textId="77777777" w:rsidR="00FC561B" w:rsidRPr="000665B0" w:rsidRDefault="00FC561B" w:rsidP="006D5A65">
      <w:pPr>
        <w:pStyle w:val="Heading2"/>
      </w:pPr>
      <w:r w:rsidRPr="00AB72FE">
        <w:rPr>
          <w:rStyle w:val="normaltextrun"/>
          <w:color w:val="000000"/>
        </w:rPr>
        <w:t>LUA4/LUA5</w:t>
      </w:r>
      <w:r w:rsidRPr="000665B0">
        <w:t xml:space="preserve"> TRN – Number of training </w:t>
      </w:r>
      <w:r w:rsidRPr="004036BD">
        <w:rPr>
          <w:rStyle w:val="normaltextrun"/>
          <w:color w:val="000000"/>
        </w:rPr>
        <w:t xml:space="preserve">LUA4/LUA5 </w:t>
      </w:r>
      <w:r w:rsidRPr="000665B0">
        <w:t>missiles.</w:t>
      </w:r>
    </w:p>
    <w:p w14:paraId="2650F822" w14:textId="77777777" w:rsidR="00FC561B" w:rsidRPr="000665B0" w:rsidRDefault="00FC561B" w:rsidP="006D5A65">
      <w:pPr>
        <w:pStyle w:val="Heading2"/>
      </w:pPr>
      <w:r w:rsidRPr="00827BCD">
        <w:rPr>
          <w:rStyle w:val="normaltextrun"/>
          <w:color w:val="000000"/>
        </w:rPr>
        <w:t>LUP4/LUP5</w:t>
      </w:r>
      <w:r>
        <w:rPr>
          <w:rStyle w:val="normaltextrun"/>
          <w:color w:val="000000"/>
        </w:rPr>
        <w:t xml:space="preserve"> </w:t>
      </w:r>
      <w:r w:rsidRPr="000665B0">
        <w:t xml:space="preserve">TAC – Number of tactical </w:t>
      </w:r>
      <w:r>
        <w:rPr>
          <w:rStyle w:val="normaltextrun"/>
          <w:color w:val="000000"/>
        </w:rPr>
        <w:t xml:space="preserve">LUP4/LUP5 </w:t>
      </w:r>
      <w:r w:rsidRPr="000665B0">
        <w:t>missiles.</w:t>
      </w:r>
    </w:p>
    <w:p w14:paraId="0B4BF42A" w14:textId="77777777" w:rsidR="00FC561B" w:rsidRPr="000665B0" w:rsidRDefault="00FC561B" w:rsidP="006D5A65">
      <w:pPr>
        <w:pStyle w:val="Heading2"/>
      </w:pPr>
      <w:r w:rsidRPr="00AB72FE">
        <w:rPr>
          <w:rStyle w:val="normaltextrun"/>
          <w:color w:val="000000"/>
        </w:rPr>
        <w:t>LUP4/LUP5</w:t>
      </w:r>
      <w:r>
        <w:rPr>
          <w:rStyle w:val="normaltextrun"/>
          <w:color w:val="000000"/>
        </w:rPr>
        <w:t xml:space="preserve"> </w:t>
      </w:r>
      <w:r w:rsidRPr="000665B0">
        <w:t xml:space="preserve">TRN – Number of training </w:t>
      </w:r>
      <w:r>
        <w:rPr>
          <w:rStyle w:val="normaltextrun"/>
          <w:color w:val="000000"/>
        </w:rPr>
        <w:t xml:space="preserve">LUP4/LUP5 </w:t>
      </w:r>
      <w:r w:rsidRPr="000665B0">
        <w:t>missiles.</w:t>
      </w:r>
    </w:p>
    <w:p w14:paraId="7BE2B17E" w14:textId="77777777" w:rsidR="00FC561B" w:rsidRPr="000665B0" w:rsidRDefault="00FC561B" w:rsidP="006D5A65">
      <w:pPr>
        <w:pStyle w:val="Heading2"/>
      </w:pPr>
      <w:r w:rsidRPr="00827BCD">
        <w:rPr>
          <w:rStyle w:val="normaltextrun"/>
          <w:color w:val="000000"/>
        </w:rPr>
        <w:lastRenderedPageBreak/>
        <w:t>SUP4/SUP5</w:t>
      </w:r>
      <w:r w:rsidRPr="000665B0">
        <w:t xml:space="preserve"> TAC – Number of tactical </w:t>
      </w:r>
      <w:r w:rsidRPr="004036BD">
        <w:rPr>
          <w:rStyle w:val="normaltextrun"/>
          <w:color w:val="000000"/>
        </w:rPr>
        <w:t>SUP4/SUP5</w:t>
      </w:r>
      <w:r>
        <w:rPr>
          <w:rStyle w:val="normaltextrun"/>
          <w:color w:val="000000"/>
        </w:rPr>
        <w:t xml:space="preserve"> </w:t>
      </w:r>
      <w:r w:rsidRPr="000665B0">
        <w:t>missiles.</w:t>
      </w:r>
    </w:p>
    <w:p w14:paraId="42C01E7E" w14:textId="77777777" w:rsidR="00FC561B" w:rsidRPr="000665B0" w:rsidRDefault="00FC561B" w:rsidP="006D5A65">
      <w:pPr>
        <w:pStyle w:val="Heading2"/>
      </w:pPr>
      <w:r w:rsidRPr="00AB72FE">
        <w:rPr>
          <w:rStyle w:val="normaltextrun"/>
          <w:color w:val="000000"/>
        </w:rPr>
        <w:t>SUP4/SUP5</w:t>
      </w:r>
      <w:r>
        <w:rPr>
          <w:rStyle w:val="normaltextrun"/>
          <w:color w:val="000000"/>
        </w:rPr>
        <w:t xml:space="preserve"> </w:t>
      </w:r>
      <w:r w:rsidRPr="000665B0">
        <w:t xml:space="preserve">TRN – Number of training </w:t>
      </w:r>
      <w:r w:rsidRPr="004036BD">
        <w:rPr>
          <w:rStyle w:val="normaltextrun"/>
          <w:color w:val="000000"/>
        </w:rPr>
        <w:t>SUP4/SUP5</w:t>
      </w:r>
      <w:r>
        <w:rPr>
          <w:rStyle w:val="normaltextrun"/>
          <w:color w:val="000000"/>
        </w:rPr>
        <w:t xml:space="preserve"> </w:t>
      </w:r>
      <w:r w:rsidRPr="000665B0">
        <w:t>missiles.</w:t>
      </w:r>
    </w:p>
    <w:p w14:paraId="1EB1D161" w14:textId="77777777" w:rsidR="00BF5AA2" w:rsidRDefault="00FC561B" w:rsidP="006D5A65">
      <w:pPr>
        <w:pStyle w:val="Heading2"/>
      </w:pPr>
      <w:r w:rsidRPr="00827BCD">
        <w:rPr>
          <w:rStyle w:val="normaltextrun"/>
          <w:color w:val="000000"/>
        </w:rPr>
        <w:t>LJP4/LJP5</w:t>
      </w:r>
      <w:r>
        <w:rPr>
          <w:rStyle w:val="normaltextrun"/>
          <w:color w:val="000000"/>
        </w:rPr>
        <w:t xml:space="preserve"> </w:t>
      </w:r>
      <w:r w:rsidRPr="000665B0">
        <w:t xml:space="preserve">TAC – Number of tactical </w:t>
      </w:r>
      <w:r w:rsidRPr="004036BD">
        <w:rPr>
          <w:rStyle w:val="normaltextrun"/>
          <w:color w:val="000000"/>
        </w:rPr>
        <w:t>LJP4/LJP5</w:t>
      </w:r>
      <w:r>
        <w:rPr>
          <w:rStyle w:val="normaltextrun"/>
          <w:color w:val="000000"/>
        </w:rPr>
        <w:t xml:space="preserve"> </w:t>
      </w:r>
      <w:r w:rsidRPr="000665B0">
        <w:t>missiles.</w:t>
      </w:r>
    </w:p>
    <w:p w14:paraId="26BA4763" w14:textId="7A513AB8" w:rsidR="00BF5AA2" w:rsidRDefault="00BF5AA2" w:rsidP="006D5A65">
      <w:pPr>
        <w:pStyle w:val="Heading2"/>
      </w:pPr>
      <w:r w:rsidRPr="00827BCD">
        <w:rPr>
          <w:rStyle w:val="normaltextrun"/>
          <w:color w:val="000000"/>
        </w:rPr>
        <w:t>LJP4/LJP5</w:t>
      </w:r>
      <w:r>
        <w:rPr>
          <w:rStyle w:val="normaltextrun"/>
          <w:color w:val="000000"/>
        </w:rPr>
        <w:t xml:space="preserve"> </w:t>
      </w:r>
      <w:r>
        <w:t>TRN</w:t>
      </w:r>
      <w:r w:rsidRPr="000665B0">
        <w:t xml:space="preserve"> – Number of </w:t>
      </w:r>
      <w:r>
        <w:t>training</w:t>
      </w:r>
      <w:r w:rsidRPr="000665B0">
        <w:t xml:space="preserve"> </w:t>
      </w:r>
      <w:r w:rsidRPr="004036BD">
        <w:rPr>
          <w:rStyle w:val="normaltextrun"/>
          <w:color w:val="000000"/>
        </w:rPr>
        <w:t>LJP4/LJP5</w:t>
      </w:r>
      <w:r>
        <w:rPr>
          <w:rStyle w:val="normaltextrun"/>
          <w:color w:val="000000"/>
        </w:rPr>
        <w:t xml:space="preserve"> </w:t>
      </w:r>
      <w:r w:rsidRPr="000665B0">
        <w:t>missiles.</w:t>
      </w:r>
    </w:p>
    <w:p w14:paraId="53516FF0" w14:textId="77777777" w:rsidR="00BF5AA2" w:rsidRDefault="00BF5AA2" w:rsidP="006D5A65">
      <w:pPr>
        <w:pStyle w:val="Heading2"/>
      </w:pPr>
      <w:r>
        <w:rPr>
          <w:rStyle w:val="normaltextrun"/>
          <w:color w:val="000000"/>
        </w:rPr>
        <w:t xml:space="preserve">LU24/LU25 TAC </w:t>
      </w:r>
      <w:r w:rsidRPr="0064295B">
        <w:t>-</w:t>
      </w:r>
      <w:r>
        <w:t xml:space="preserve"> </w:t>
      </w:r>
      <w:r w:rsidRPr="00C42124">
        <w:t>Number of tactical LU24/LU25 missiles.</w:t>
      </w:r>
    </w:p>
    <w:p w14:paraId="76403542" w14:textId="1946AAD1" w:rsidR="00BF5AA2" w:rsidRDefault="00BF5AA2" w:rsidP="006D5A65">
      <w:pPr>
        <w:pStyle w:val="Heading2"/>
      </w:pPr>
      <w:r>
        <w:rPr>
          <w:rStyle w:val="normaltextrun"/>
          <w:color w:val="000000"/>
        </w:rPr>
        <w:t>LU24/LU25 TRN</w:t>
      </w:r>
      <w:r w:rsidRPr="00EF0D11">
        <w:t>-</w:t>
      </w:r>
      <w:r>
        <w:t xml:space="preserve"> </w:t>
      </w:r>
      <w:r w:rsidRPr="00C42124">
        <w:t xml:space="preserve">Number of </w:t>
      </w:r>
      <w:r>
        <w:t>training</w:t>
      </w:r>
      <w:r w:rsidRPr="00C42124">
        <w:t xml:space="preserve"> LU24/LU25 missiles.</w:t>
      </w:r>
    </w:p>
    <w:p w14:paraId="18481479" w14:textId="77777777" w:rsidR="00BF5AA2" w:rsidRDefault="00BF5AA2" w:rsidP="006D5A65">
      <w:pPr>
        <w:pStyle w:val="Heading2"/>
      </w:pPr>
      <w:r>
        <w:rPr>
          <w:rStyle w:val="normaltextrun"/>
          <w:color w:val="000000"/>
        </w:rPr>
        <w:t xml:space="preserve">LJ24/LJ25 TAC </w:t>
      </w:r>
      <w:r w:rsidRPr="0066670F">
        <w:t>-</w:t>
      </w:r>
      <w:r>
        <w:t xml:space="preserve"> </w:t>
      </w:r>
      <w:r w:rsidRPr="00C42124">
        <w:t>Number of tactical LJ24/LJ25 missiles.</w:t>
      </w:r>
    </w:p>
    <w:p w14:paraId="2046243A" w14:textId="4713E513" w:rsidR="00BF5AA2" w:rsidRDefault="00BF5AA2" w:rsidP="006D5A65">
      <w:pPr>
        <w:pStyle w:val="Heading2"/>
      </w:pPr>
      <w:r>
        <w:rPr>
          <w:rStyle w:val="normaltextrun"/>
          <w:color w:val="000000"/>
        </w:rPr>
        <w:t xml:space="preserve">LJ24/LJ25 TRN </w:t>
      </w:r>
      <w:r w:rsidRPr="0066670F">
        <w:t>-</w:t>
      </w:r>
      <w:r>
        <w:t xml:space="preserve"> </w:t>
      </w:r>
      <w:r w:rsidRPr="00C42124">
        <w:t xml:space="preserve">Number of </w:t>
      </w:r>
      <w:r>
        <w:t>training</w:t>
      </w:r>
      <w:r w:rsidRPr="00C42124">
        <w:t xml:space="preserve"> LJ24/LJ25 missiles.</w:t>
      </w:r>
    </w:p>
    <w:p w14:paraId="3DE87660" w14:textId="77777777" w:rsidR="00BF5AA2" w:rsidRDefault="00BF5AA2" w:rsidP="006D5A65">
      <w:pPr>
        <w:pStyle w:val="Heading2"/>
      </w:pPr>
      <w:r>
        <w:rPr>
          <w:bCs/>
        </w:rPr>
        <w:t xml:space="preserve">2U24/2U25 TAC </w:t>
      </w:r>
      <w:r w:rsidRPr="0066670F">
        <w:t>-</w:t>
      </w:r>
      <w:r>
        <w:t xml:space="preserve"> </w:t>
      </w:r>
      <w:r w:rsidRPr="00C42124">
        <w:t xml:space="preserve">Number of tactical </w:t>
      </w:r>
      <w:r w:rsidRPr="00322A61">
        <w:t xml:space="preserve">2U24/2U25 </w:t>
      </w:r>
      <w:r w:rsidRPr="00C42124">
        <w:t>missiles.</w:t>
      </w:r>
    </w:p>
    <w:p w14:paraId="1A120849" w14:textId="6147D8E0" w:rsidR="00BF5AA2" w:rsidRPr="009C0B78" w:rsidRDefault="00BF5AA2" w:rsidP="006D5A65">
      <w:pPr>
        <w:pStyle w:val="Heading2"/>
      </w:pPr>
      <w:r>
        <w:rPr>
          <w:bCs/>
        </w:rPr>
        <w:t xml:space="preserve">2U24/2U25 TRN </w:t>
      </w:r>
      <w:r w:rsidRPr="0066670F">
        <w:t>-</w:t>
      </w:r>
      <w:r>
        <w:t xml:space="preserve"> </w:t>
      </w:r>
      <w:r w:rsidRPr="00C42124">
        <w:t xml:space="preserve">Number of </w:t>
      </w:r>
      <w:r>
        <w:t>training</w:t>
      </w:r>
      <w:r w:rsidRPr="00C42124">
        <w:t xml:space="preserve"> </w:t>
      </w:r>
      <w:r w:rsidRPr="00322A61">
        <w:t xml:space="preserve">2U24/2U25 </w:t>
      </w:r>
      <w:r w:rsidRPr="00C42124">
        <w:t>missiles.</w:t>
      </w:r>
    </w:p>
    <w:p w14:paraId="0A3459EE" w14:textId="77777777" w:rsidR="002E5056" w:rsidRDefault="00FC561B" w:rsidP="00BB4EBE">
      <w:pPr>
        <w:pStyle w:val="BodyText"/>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rStyle w:val="normaltextrun"/>
          <w:b/>
          <w:bCs/>
          <w:color w:val="000000"/>
        </w:rPr>
      </w:pPr>
      <w:r w:rsidRPr="00BB4EBE">
        <w:rPr>
          <w:rStyle w:val="normaltextrun"/>
          <w:b/>
          <w:bCs/>
          <w:color w:val="000000"/>
        </w:rPr>
        <w:t>Note:</w:t>
      </w:r>
    </w:p>
    <w:p w14:paraId="5F5E9B04" w14:textId="02F208A9" w:rsidR="00FC561B" w:rsidRPr="00BB4EBE" w:rsidRDefault="00FC561B" w:rsidP="006E59C8">
      <w:pPr>
        <w:pStyle w:val="BodyText"/>
        <w:pBdr>
          <w:top w:val="single" w:sz="12" w:space="1" w:color="auto"/>
          <w:left w:val="single" w:sz="12" w:space="4" w:color="auto"/>
          <w:bottom w:val="single" w:sz="12" w:space="1" w:color="auto"/>
          <w:right w:val="single" w:sz="12" w:space="4" w:color="auto"/>
        </w:pBdr>
        <w:shd w:val="clear" w:color="auto" w:fill="D9D9D9" w:themeFill="background1" w:themeFillShade="D9"/>
        <w:spacing w:after="120"/>
        <w:jc w:val="center"/>
        <w:rPr>
          <w:b/>
          <w:bCs/>
        </w:rPr>
      </w:pPr>
      <w:r w:rsidRPr="00BB4EBE">
        <w:rPr>
          <w:rStyle w:val="normaltextrun"/>
          <w:b/>
          <w:bCs/>
          <w:color w:val="000000"/>
        </w:rPr>
        <w:t>For TMPC 7.0.</w:t>
      </w:r>
      <w:r w:rsidR="006C5CE8">
        <w:rPr>
          <w:rStyle w:val="normaltextrun"/>
          <w:b/>
          <w:bCs/>
          <w:color w:val="000000"/>
        </w:rPr>
        <w:t>5</w:t>
      </w:r>
      <w:r w:rsidRPr="00BB4EBE">
        <w:rPr>
          <w:rStyle w:val="normaltextrun"/>
          <w:b/>
          <w:bCs/>
          <w:color w:val="000000"/>
        </w:rPr>
        <w:t xml:space="preserve">, </w:t>
      </w:r>
      <w:r w:rsidR="002E5056">
        <w:rPr>
          <w:rStyle w:val="normaltextrun"/>
          <w:b/>
          <w:bCs/>
          <w:color w:val="000000"/>
        </w:rPr>
        <w:t>109M</w:t>
      </w:r>
      <w:r w:rsidR="006C5CE8">
        <w:rPr>
          <w:rStyle w:val="normaltextrun"/>
          <w:b/>
          <w:bCs/>
          <w:color w:val="000000"/>
        </w:rPr>
        <w:t xml:space="preserve"> &amp; ACP2</w:t>
      </w:r>
      <w:r w:rsidR="002E5056">
        <w:rPr>
          <w:rStyle w:val="normaltextrun"/>
          <w:b/>
          <w:bCs/>
          <w:color w:val="000000"/>
        </w:rPr>
        <w:t xml:space="preserve"> Missiles will not be included (always have a total of “0”) in any summary totals.</w:t>
      </w:r>
    </w:p>
    <w:p w14:paraId="5160F3C4" w14:textId="77777777" w:rsidR="00FC561B" w:rsidRPr="000665B0" w:rsidRDefault="00FC561B" w:rsidP="006D5A65">
      <w:pPr>
        <w:pStyle w:val="Heading2"/>
      </w:pPr>
      <w:r>
        <w:rPr>
          <w:rStyle w:val="normaltextrun"/>
          <w:color w:val="000000"/>
        </w:rPr>
        <w:t xml:space="preserve">Other MSLs </w:t>
      </w:r>
      <w:r w:rsidRPr="000665B0">
        <w:t xml:space="preserve">TAC – Number of </w:t>
      </w:r>
      <w:r w:rsidRPr="009152D4">
        <w:rPr>
          <w:color w:val="000000"/>
          <w:szCs w:val="24"/>
          <w:shd w:val="clear" w:color="auto" w:fill="FFFFFF"/>
        </w:rPr>
        <w:t>Block III and Exercise</w:t>
      </w:r>
      <w:r>
        <w:rPr>
          <w:color w:val="000000"/>
          <w:szCs w:val="24"/>
          <w:shd w:val="clear" w:color="auto" w:fill="FFFFFF"/>
        </w:rPr>
        <w:t xml:space="preserve"> </w:t>
      </w:r>
      <w:r w:rsidRPr="000665B0">
        <w:t>tactical missiles.</w:t>
      </w:r>
    </w:p>
    <w:p w14:paraId="0F7479D4" w14:textId="77777777" w:rsidR="00FC561B" w:rsidRPr="000665B0" w:rsidRDefault="00FC561B" w:rsidP="006D5A65">
      <w:pPr>
        <w:pStyle w:val="Heading2"/>
      </w:pPr>
      <w:r>
        <w:rPr>
          <w:rStyle w:val="normaltextrun"/>
          <w:color w:val="000000"/>
        </w:rPr>
        <w:t xml:space="preserve">Other MSLs </w:t>
      </w:r>
      <w:r w:rsidRPr="000665B0">
        <w:t xml:space="preserve">TRN – Number of </w:t>
      </w:r>
      <w:r w:rsidRPr="009152D4">
        <w:rPr>
          <w:color w:val="000000"/>
          <w:szCs w:val="24"/>
          <w:shd w:val="clear" w:color="auto" w:fill="FFFFFF"/>
        </w:rPr>
        <w:t>Block III and Exercise</w:t>
      </w:r>
      <w:r>
        <w:t xml:space="preserve"> </w:t>
      </w:r>
      <w:r w:rsidRPr="000665B0">
        <w:t>training missiles.</w:t>
      </w:r>
    </w:p>
    <w:p w14:paraId="580B6490" w14:textId="77777777" w:rsidR="006E574D" w:rsidRPr="000665B0" w:rsidRDefault="006E574D" w:rsidP="006D5A65">
      <w:pPr>
        <w:pStyle w:val="Heading2"/>
      </w:pPr>
      <w:r w:rsidRPr="000665B0">
        <w:t>Radio Frequency</w:t>
      </w:r>
      <w:r w:rsidR="008E3BA2" w:rsidRPr="000665B0">
        <w:t xml:space="preserve"> – The radio frequency of the </w:t>
      </w:r>
      <w:r w:rsidR="00457A00" w:rsidRPr="000665B0">
        <w:t>p</w:t>
      </w:r>
      <w:r w:rsidR="008E3BA2" w:rsidRPr="000665B0">
        <w:t>latform.</w:t>
      </w:r>
    </w:p>
    <w:p w14:paraId="481DCDB1" w14:textId="77777777" w:rsidR="006E574D" w:rsidRPr="000665B0" w:rsidRDefault="006E574D" w:rsidP="006D5A65">
      <w:pPr>
        <w:pStyle w:val="Heading2"/>
      </w:pPr>
      <w:r w:rsidRPr="000665B0">
        <w:t>Status</w:t>
      </w:r>
      <w:r w:rsidR="005F001A" w:rsidRPr="000665B0">
        <w:t xml:space="preserve"> – </w:t>
      </w:r>
      <w:r w:rsidR="00B34C9B" w:rsidRPr="000665B0">
        <w:t>The status of the platform.</w:t>
      </w:r>
    </w:p>
    <w:p w14:paraId="3A68CFED" w14:textId="77777777" w:rsidR="006E574D" w:rsidRPr="000665B0" w:rsidRDefault="006E574D" w:rsidP="006D5A65">
      <w:pPr>
        <w:pStyle w:val="Heading1"/>
      </w:pPr>
      <w:r w:rsidRPr="000665B0">
        <w:t>Columns</w:t>
      </w:r>
      <w:r w:rsidR="00457A00" w:rsidRPr="000665B0">
        <w:t xml:space="preserve"> (Node Level</w:t>
      </w:r>
      <w:r w:rsidR="000F7F11" w:rsidRPr="000665B0">
        <w:t>)</w:t>
      </w:r>
    </w:p>
    <w:p w14:paraId="61FD7BA8" w14:textId="77777777" w:rsidR="006E574D" w:rsidRPr="000665B0" w:rsidRDefault="006E574D" w:rsidP="006D5A65">
      <w:pPr>
        <w:pStyle w:val="Heading2"/>
      </w:pPr>
      <w:r w:rsidRPr="000665B0">
        <w:t xml:space="preserve">ID – The </w:t>
      </w:r>
      <w:r w:rsidR="00457A00" w:rsidRPr="000665B0">
        <w:t>n</w:t>
      </w:r>
      <w:r w:rsidRPr="000665B0">
        <w:t>ode ID.</w:t>
      </w:r>
    </w:p>
    <w:p w14:paraId="547DBD96" w14:textId="77777777" w:rsidR="006E574D" w:rsidRPr="000665B0" w:rsidRDefault="006E574D" w:rsidP="006D5A65">
      <w:pPr>
        <w:pStyle w:val="Heading2"/>
      </w:pPr>
      <w:r w:rsidRPr="000665B0">
        <w:t xml:space="preserve">Name – </w:t>
      </w:r>
      <w:r w:rsidR="00AF6A27" w:rsidRPr="000665B0">
        <w:t>Name of t</w:t>
      </w:r>
      <w:r w:rsidRPr="000665B0">
        <w:t xml:space="preserve">he </w:t>
      </w:r>
      <w:r w:rsidR="00457A00" w:rsidRPr="000665B0">
        <w:t>n</w:t>
      </w:r>
      <w:r w:rsidRPr="000665B0">
        <w:t>ode.</w:t>
      </w:r>
    </w:p>
    <w:p w14:paraId="41C91301" w14:textId="0CEF3AB0" w:rsidR="00FD4D09" w:rsidRPr="00C97B43" w:rsidRDefault="00FD4D09" w:rsidP="006D5A65">
      <w:pPr>
        <w:pStyle w:val="Heading2"/>
      </w:pPr>
      <w:r w:rsidRPr="00C97B43">
        <w:t xml:space="preserve">Node Type – (NSP, TED, MDS, </w:t>
      </w:r>
      <w:r w:rsidR="00352384" w:rsidRPr="00C97B43">
        <w:t xml:space="preserve">or </w:t>
      </w:r>
      <w:r w:rsidRPr="00C97B43">
        <w:t>TTWCS).</w:t>
      </w:r>
    </w:p>
    <w:p w14:paraId="668396B3" w14:textId="5EC48B3C" w:rsidR="006E574D" w:rsidRPr="00C97B43" w:rsidRDefault="006E574D" w:rsidP="006D5A65">
      <w:pPr>
        <w:pStyle w:val="Heading2"/>
      </w:pPr>
      <w:r w:rsidRPr="00C97B43">
        <w:t xml:space="preserve">TSC – </w:t>
      </w:r>
      <w:r w:rsidR="00CD0017" w:rsidRPr="00C97B43">
        <w:t xml:space="preserve">An </w:t>
      </w:r>
      <w:r w:rsidR="00285BC7" w:rsidRPr="00C97B43">
        <w:t xml:space="preserve">X indicates that the node </w:t>
      </w:r>
      <w:r w:rsidRPr="00C97B43">
        <w:t>is a TSC (</w:t>
      </w:r>
      <w:r w:rsidRPr="00C97B43">
        <w:rPr>
          <w:snapToGrid w:val="0"/>
        </w:rPr>
        <w:t>Tomahawk Strike Coordinator)</w:t>
      </w:r>
      <w:r w:rsidR="00285BC7" w:rsidRPr="00C97B43">
        <w:rPr>
          <w:snapToGrid w:val="0"/>
        </w:rPr>
        <w:t>.</w:t>
      </w:r>
    </w:p>
    <w:p w14:paraId="351E767B" w14:textId="6CF9B6CE" w:rsidR="00D06531" w:rsidRPr="00C97B43" w:rsidRDefault="00D06531" w:rsidP="006D5A65">
      <w:pPr>
        <w:pStyle w:val="Heading2"/>
      </w:pPr>
      <w:r w:rsidRPr="00C97B43">
        <w:t>ATSC – Alternate Tomahawk Strike Coordinator</w:t>
      </w:r>
    </w:p>
    <w:p w14:paraId="6D3929C3" w14:textId="77777777" w:rsidR="006E574D" w:rsidRPr="00C97B43" w:rsidRDefault="006E574D" w:rsidP="006D5A65">
      <w:pPr>
        <w:pStyle w:val="Heading2"/>
      </w:pPr>
      <w:r w:rsidRPr="00C97B43">
        <w:lastRenderedPageBreak/>
        <w:t xml:space="preserve">MC – </w:t>
      </w:r>
      <w:r w:rsidR="00CD0017" w:rsidRPr="00C97B43">
        <w:t xml:space="preserve">An </w:t>
      </w:r>
      <w:r w:rsidR="00285BC7" w:rsidRPr="00C97B43">
        <w:t>X indicates that the node</w:t>
      </w:r>
      <w:r w:rsidRPr="00C97B43">
        <w:t xml:space="preserve"> is a</w:t>
      </w:r>
      <w:r w:rsidR="00285BC7" w:rsidRPr="00C97B43">
        <w:t>n</w:t>
      </w:r>
      <w:r w:rsidRPr="00C97B43">
        <w:t xml:space="preserve"> MC (</w:t>
      </w:r>
      <w:r w:rsidRPr="00C97B43">
        <w:rPr>
          <w:snapToGrid w:val="0"/>
        </w:rPr>
        <w:t>Missile Controller)</w:t>
      </w:r>
      <w:r w:rsidR="00285BC7" w:rsidRPr="00C97B43">
        <w:rPr>
          <w:snapToGrid w:val="0"/>
        </w:rPr>
        <w:t>.</w:t>
      </w:r>
    </w:p>
    <w:p w14:paraId="450403D1" w14:textId="77777777" w:rsidR="006E574D" w:rsidRPr="000665B0" w:rsidRDefault="006E574D" w:rsidP="006D5A65">
      <w:pPr>
        <w:pStyle w:val="Heading2"/>
      </w:pPr>
      <w:r w:rsidRPr="000665B0">
        <w:t xml:space="preserve">LAC – </w:t>
      </w:r>
      <w:r w:rsidR="00CD0017" w:rsidRPr="000665B0">
        <w:t xml:space="preserve">An </w:t>
      </w:r>
      <w:r w:rsidR="00285BC7" w:rsidRPr="000665B0">
        <w:t>X indicates that the node</w:t>
      </w:r>
      <w:r w:rsidRPr="000665B0">
        <w:t xml:space="preserve"> is a LAC (</w:t>
      </w:r>
      <w:r w:rsidRPr="000665B0">
        <w:rPr>
          <w:snapToGrid w:val="0"/>
        </w:rPr>
        <w:t>Launch Area Coordinator)</w:t>
      </w:r>
      <w:r w:rsidR="00285BC7" w:rsidRPr="000665B0">
        <w:rPr>
          <w:snapToGrid w:val="0"/>
        </w:rPr>
        <w:t>.</w:t>
      </w:r>
    </w:p>
    <w:p w14:paraId="46134B02" w14:textId="77777777" w:rsidR="006E574D" w:rsidRPr="000665B0" w:rsidRDefault="006E574D" w:rsidP="006D5A65">
      <w:pPr>
        <w:pStyle w:val="Heading2"/>
      </w:pPr>
      <w:r w:rsidRPr="000665B0">
        <w:t xml:space="preserve">ALAC – </w:t>
      </w:r>
      <w:r w:rsidR="00CD0017" w:rsidRPr="000665B0">
        <w:t xml:space="preserve">An </w:t>
      </w:r>
      <w:r w:rsidR="00285BC7" w:rsidRPr="000665B0">
        <w:t>X indicates that the node</w:t>
      </w:r>
      <w:r w:rsidRPr="000665B0">
        <w:t xml:space="preserve"> is a</w:t>
      </w:r>
      <w:r w:rsidR="00285BC7" w:rsidRPr="000665B0">
        <w:t>n</w:t>
      </w:r>
      <w:r w:rsidRPr="000665B0">
        <w:t xml:space="preserve"> ALAC (Alternate </w:t>
      </w:r>
      <w:r w:rsidRPr="000665B0">
        <w:rPr>
          <w:snapToGrid w:val="0"/>
        </w:rPr>
        <w:t>Launch Area Coordinator)</w:t>
      </w:r>
      <w:r w:rsidR="00285BC7" w:rsidRPr="000665B0">
        <w:rPr>
          <w:snapToGrid w:val="0"/>
        </w:rPr>
        <w:t>.</w:t>
      </w:r>
    </w:p>
    <w:p w14:paraId="6D315CA6" w14:textId="77777777" w:rsidR="006E574D" w:rsidRPr="000665B0" w:rsidRDefault="006E574D" w:rsidP="006D5A65">
      <w:pPr>
        <w:pStyle w:val="Heading2"/>
      </w:pPr>
      <w:r w:rsidRPr="000665B0">
        <w:t xml:space="preserve">FRU – </w:t>
      </w:r>
      <w:r w:rsidR="00CD0017" w:rsidRPr="000665B0">
        <w:t xml:space="preserve">An </w:t>
      </w:r>
      <w:r w:rsidR="00285BC7" w:rsidRPr="000665B0">
        <w:t>X indicates that the node</w:t>
      </w:r>
      <w:r w:rsidRPr="000665B0">
        <w:t xml:space="preserve"> is a FRU (</w:t>
      </w:r>
      <w:r w:rsidRPr="000665B0">
        <w:rPr>
          <w:snapToGrid w:val="0"/>
        </w:rPr>
        <w:t>Firing Unit)</w:t>
      </w:r>
      <w:r w:rsidR="00285BC7" w:rsidRPr="000665B0">
        <w:rPr>
          <w:snapToGrid w:val="0"/>
        </w:rPr>
        <w:t>.</w:t>
      </w:r>
    </w:p>
    <w:p w14:paraId="19BC2CBD" w14:textId="77777777" w:rsidR="006E574D" w:rsidRPr="000665B0" w:rsidRDefault="006E574D" w:rsidP="006D5A65">
      <w:pPr>
        <w:pStyle w:val="Heading2"/>
      </w:pPr>
      <w:r w:rsidRPr="000665B0">
        <w:t xml:space="preserve">SM – </w:t>
      </w:r>
      <w:r w:rsidR="00CD0017" w:rsidRPr="000665B0">
        <w:t xml:space="preserve">An </w:t>
      </w:r>
      <w:r w:rsidR="00285BC7" w:rsidRPr="000665B0">
        <w:t xml:space="preserve">X indicates that the node </w:t>
      </w:r>
      <w:r w:rsidRPr="000665B0">
        <w:t>is a</w:t>
      </w:r>
      <w:r w:rsidR="00285BC7" w:rsidRPr="000665B0">
        <w:t>n</w:t>
      </w:r>
      <w:r w:rsidRPr="000665B0">
        <w:t xml:space="preserve"> SM (</w:t>
      </w:r>
      <w:r w:rsidRPr="000665B0">
        <w:rPr>
          <w:snapToGrid w:val="0"/>
        </w:rPr>
        <w:t>Strike Monitor)</w:t>
      </w:r>
      <w:r w:rsidR="00285BC7" w:rsidRPr="000665B0">
        <w:rPr>
          <w:snapToGrid w:val="0"/>
        </w:rPr>
        <w:t>.</w:t>
      </w:r>
    </w:p>
    <w:p w14:paraId="630D1FCE" w14:textId="77777777" w:rsidR="006E574D" w:rsidRPr="000665B0" w:rsidRDefault="006E574D" w:rsidP="006D5A65">
      <w:pPr>
        <w:pStyle w:val="Heading2"/>
      </w:pPr>
      <w:r w:rsidRPr="000665B0">
        <w:t xml:space="preserve">PO – </w:t>
      </w:r>
      <w:r w:rsidR="00CD0017" w:rsidRPr="000665B0">
        <w:t xml:space="preserve">An </w:t>
      </w:r>
      <w:r w:rsidR="00285BC7" w:rsidRPr="000665B0">
        <w:t xml:space="preserve">X indicates that the node </w:t>
      </w:r>
      <w:r w:rsidRPr="000665B0">
        <w:t>is a PO (</w:t>
      </w:r>
      <w:r w:rsidRPr="000665B0">
        <w:rPr>
          <w:snapToGrid w:val="0"/>
        </w:rPr>
        <w:t>Planning Organization)</w:t>
      </w:r>
      <w:r w:rsidR="00285BC7" w:rsidRPr="000665B0">
        <w:rPr>
          <w:snapToGrid w:val="0"/>
        </w:rPr>
        <w:t>.</w:t>
      </w:r>
    </w:p>
    <w:p w14:paraId="72F2226E" w14:textId="77777777" w:rsidR="006E574D" w:rsidRPr="000665B0" w:rsidRDefault="00911336" w:rsidP="006D5A65">
      <w:pPr>
        <w:pStyle w:val="Heading2"/>
      </w:pPr>
      <w:r w:rsidRPr="000665B0">
        <w:t>Oper Classif</w:t>
      </w:r>
      <w:r w:rsidR="00285BC7" w:rsidRPr="000665B0">
        <w:t xml:space="preserve"> – </w:t>
      </w:r>
      <w:r w:rsidR="00AF6A27" w:rsidRPr="000665B0">
        <w:t>Security classification of each Tomahawk node (UNCLASSIFIED, SECRET, or TOP SECRET).</w:t>
      </w:r>
    </w:p>
    <w:p w14:paraId="4E1FCAB3" w14:textId="77777777" w:rsidR="006E574D" w:rsidRPr="000665B0" w:rsidRDefault="006E574D" w:rsidP="006D5A65">
      <w:pPr>
        <w:pStyle w:val="Heading2"/>
      </w:pPr>
      <w:r w:rsidRPr="000665B0">
        <w:t>Loc Code</w:t>
      </w:r>
      <w:r w:rsidR="00285BC7" w:rsidRPr="000665B0">
        <w:t xml:space="preserve"> – </w:t>
      </w:r>
      <w:r w:rsidR="00F94052" w:rsidRPr="000665B0">
        <w:t xml:space="preserve">Location Code of the </w:t>
      </w:r>
      <w:r w:rsidR="00AF6A27" w:rsidRPr="000665B0">
        <w:t>n</w:t>
      </w:r>
      <w:r w:rsidR="00F94052" w:rsidRPr="000665B0">
        <w:t>ode.</w:t>
      </w:r>
    </w:p>
    <w:p w14:paraId="34B00EDE" w14:textId="77777777" w:rsidR="006E574D" w:rsidRPr="000665B0" w:rsidRDefault="006E574D" w:rsidP="006D5A65">
      <w:pPr>
        <w:pStyle w:val="Heading2"/>
      </w:pPr>
      <w:r w:rsidRPr="000665B0">
        <w:t>SID</w:t>
      </w:r>
      <w:r w:rsidR="00285BC7" w:rsidRPr="000665B0">
        <w:t xml:space="preserve"> – </w:t>
      </w:r>
      <w:r w:rsidR="00F94052" w:rsidRPr="000665B0">
        <w:t>Subscriber ID is used when transfer Over The Horizon (OTH) is selected for communication.</w:t>
      </w:r>
    </w:p>
    <w:p w14:paraId="61372C52" w14:textId="77777777" w:rsidR="006E574D" w:rsidRPr="000665B0" w:rsidRDefault="006E574D" w:rsidP="006D5A65">
      <w:pPr>
        <w:pStyle w:val="Heading2"/>
      </w:pPr>
      <w:r w:rsidRPr="000665B0">
        <w:t>User Notes</w:t>
      </w:r>
      <w:r w:rsidR="00285BC7" w:rsidRPr="000665B0">
        <w:t xml:space="preserve"> – </w:t>
      </w:r>
      <w:r w:rsidR="00B34C9B" w:rsidRPr="000665B0">
        <w:t>Any user notes associated with the node (up to 256 alphanumeric characters).</w:t>
      </w:r>
    </w:p>
    <w:p w14:paraId="1CAC1F2E" w14:textId="77777777" w:rsidR="006E574D" w:rsidRPr="000665B0" w:rsidRDefault="00285BC7" w:rsidP="006D5A65">
      <w:pPr>
        <w:pStyle w:val="Heading2"/>
      </w:pPr>
      <w:r w:rsidRPr="000665B0">
        <w:t xml:space="preserve">Status – </w:t>
      </w:r>
      <w:r w:rsidR="00B34C9B" w:rsidRPr="000665B0">
        <w:t>The status of the node.</w:t>
      </w:r>
    </w:p>
    <w:bookmarkEnd w:id="6028"/>
    <w:p w14:paraId="1234F5F0" w14:textId="2F36750F" w:rsidR="00592852" w:rsidRPr="000665B0" w:rsidRDefault="00592852" w:rsidP="009570CA">
      <w:pPr>
        <w:pStyle w:val="Heading4"/>
        <w:keepLines/>
      </w:pPr>
      <w:r w:rsidRPr="000665B0">
        <w:t>Edit</w:t>
      </w:r>
    </w:p>
    <w:p w14:paraId="14CBC3F1" w14:textId="314BFB1D" w:rsidR="00996AD7" w:rsidRPr="000665B0" w:rsidRDefault="00996AD7" w:rsidP="009570CA">
      <w:pPr>
        <w:pStyle w:val="Heading5"/>
        <w:keepLines/>
      </w:pPr>
      <w:bookmarkStart w:id="6035" w:name="_5.36.2.1.1__Edit"/>
      <w:bookmarkStart w:id="6036" w:name="_Toc71955725"/>
      <w:bookmarkStart w:id="6037" w:name="_Toc96170257"/>
      <w:bookmarkStart w:id="6038" w:name="_Toc96234302"/>
      <w:bookmarkStart w:id="6039" w:name="_Toc112733722"/>
      <w:bookmarkStart w:id="6040" w:name="_Toc159315499"/>
      <w:bookmarkStart w:id="6041" w:name="_Toc71955726"/>
      <w:bookmarkStart w:id="6042" w:name="_Toc96170258"/>
      <w:bookmarkStart w:id="6043" w:name="_Toc96234303"/>
      <w:bookmarkStart w:id="6044" w:name="_Toc112733723"/>
      <w:bookmarkEnd w:id="6029"/>
      <w:bookmarkEnd w:id="6030"/>
      <w:bookmarkEnd w:id="6031"/>
      <w:bookmarkEnd w:id="6032"/>
      <w:bookmarkEnd w:id="6033"/>
      <w:bookmarkEnd w:id="6035"/>
      <w:r w:rsidRPr="000665B0">
        <w:t>Edit Roles</w:t>
      </w:r>
      <w:bookmarkEnd w:id="6036"/>
      <w:bookmarkEnd w:id="6037"/>
      <w:bookmarkEnd w:id="6038"/>
      <w:bookmarkEnd w:id="6039"/>
      <w:bookmarkEnd w:id="6040"/>
      <w:r w:rsidRPr="000665B0">
        <w:t xml:space="preserve"> (Nodes Only)</w:t>
      </w:r>
    </w:p>
    <w:p w14:paraId="6828C087" w14:textId="77777777" w:rsidR="00996AD7" w:rsidRPr="000665B0" w:rsidRDefault="00996AD7" w:rsidP="009570CA">
      <w:pPr>
        <w:keepNext/>
        <w:keepLines/>
      </w:pPr>
      <w:r w:rsidRPr="000665B0">
        <w:t xml:space="preserve">The </w:t>
      </w:r>
      <w:r w:rsidRPr="000665B0">
        <w:rPr>
          <w:b/>
        </w:rPr>
        <w:t>Edit Roles</w:t>
      </w:r>
      <w:r w:rsidRPr="000665B0">
        <w:t xml:space="preserve"> option allows the role of each node to be modified as needed. A node’s role may change during the course of the strike as events occur. Some of the nodes are prohibited from taking on a specific role. The following table defines nodes and their roles.</w:t>
      </w: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1A0" w:firstRow="1" w:lastRow="0" w:firstColumn="1" w:lastColumn="1" w:noHBand="0" w:noVBand="0"/>
      </w:tblPr>
      <w:tblGrid>
        <w:gridCol w:w="4068"/>
        <w:gridCol w:w="3060"/>
      </w:tblGrid>
      <w:tr w:rsidR="00996AD7" w:rsidRPr="000665B0" w14:paraId="2A7D6E0B" w14:textId="77777777" w:rsidTr="00F66383">
        <w:trPr>
          <w:trHeight w:val="288"/>
          <w:jc w:val="center"/>
        </w:trPr>
        <w:tc>
          <w:tcPr>
            <w:tcW w:w="4068" w:type="dxa"/>
            <w:shd w:val="clear" w:color="auto" w:fill="D9D9D9" w:themeFill="background1" w:themeFillShade="D9"/>
          </w:tcPr>
          <w:p w14:paraId="7E6EDBEC" w14:textId="77777777" w:rsidR="00996AD7" w:rsidRPr="000665B0" w:rsidRDefault="00996AD7" w:rsidP="00A0163E">
            <w:pPr>
              <w:spacing w:before="40" w:after="20"/>
              <w:jc w:val="center"/>
              <w:rPr>
                <w:rFonts w:ascii="Arial" w:hAnsi="Arial" w:cs="Arial"/>
                <w:b/>
                <w:snapToGrid w:val="0"/>
                <w:sz w:val="22"/>
                <w:szCs w:val="22"/>
              </w:rPr>
            </w:pPr>
            <w:bookmarkStart w:id="6045" w:name="_Hlk124502599"/>
            <w:r w:rsidRPr="000665B0">
              <w:rPr>
                <w:rFonts w:ascii="Arial" w:hAnsi="Arial" w:cs="Arial"/>
                <w:b/>
                <w:snapToGrid w:val="0"/>
                <w:sz w:val="22"/>
                <w:szCs w:val="22"/>
              </w:rPr>
              <w:t>Roles</w:t>
            </w:r>
          </w:p>
        </w:tc>
        <w:tc>
          <w:tcPr>
            <w:tcW w:w="3060" w:type="dxa"/>
            <w:shd w:val="clear" w:color="auto" w:fill="D9D9D9" w:themeFill="background1" w:themeFillShade="D9"/>
          </w:tcPr>
          <w:p w14:paraId="7DF7E79D" w14:textId="77777777" w:rsidR="00996AD7" w:rsidRPr="000665B0" w:rsidRDefault="00996AD7" w:rsidP="00A0163E">
            <w:pPr>
              <w:spacing w:before="40" w:after="20"/>
              <w:jc w:val="center"/>
              <w:rPr>
                <w:rFonts w:ascii="Arial" w:hAnsi="Arial" w:cs="Arial"/>
                <w:b/>
                <w:snapToGrid w:val="0"/>
                <w:sz w:val="22"/>
                <w:szCs w:val="22"/>
              </w:rPr>
            </w:pPr>
            <w:r w:rsidRPr="000665B0">
              <w:rPr>
                <w:rFonts w:ascii="Arial" w:hAnsi="Arial" w:cs="Arial"/>
                <w:b/>
                <w:snapToGrid w:val="0"/>
                <w:sz w:val="22"/>
                <w:szCs w:val="22"/>
              </w:rPr>
              <w:t>Permissible Nodes</w:t>
            </w:r>
          </w:p>
        </w:tc>
      </w:tr>
      <w:tr w:rsidR="00996AD7" w:rsidRPr="000665B0" w14:paraId="5826CFEA" w14:textId="77777777" w:rsidTr="00F66383">
        <w:trPr>
          <w:trHeight w:val="288"/>
          <w:jc w:val="center"/>
        </w:trPr>
        <w:tc>
          <w:tcPr>
            <w:tcW w:w="4068" w:type="dxa"/>
          </w:tcPr>
          <w:p w14:paraId="7FA52BBD" w14:textId="77777777" w:rsidR="00996AD7" w:rsidRPr="000665B0" w:rsidRDefault="00996AD7" w:rsidP="00A0163E">
            <w:pPr>
              <w:spacing w:before="40" w:after="20"/>
              <w:rPr>
                <w:rFonts w:ascii="Arial" w:hAnsi="Arial" w:cs="Arial"/>
                <w:snapToGrid w:val="0"/>
                <w:sz w:val="20"/>
              </w:rPr>
            </w:pPr>
            <w:r w:rsidRPr="000665B0">
              <w:rPr>
                <w:rFonts w:ascii="Arial" w:hAnsi="Arial" w:cs="Arial"/>
                <w:snapToGrid w:val="0"/>
                <w:sz w:val="20"/>
              </w:rPr>
              <w:t>Tomahawk Strike Coordinator (TSC)</w:t>
            </w:r>
          </w:p>
        </w:tc>
        <w:tc>
          <w:tcPr>
            <w:tcW w:w="3060" w:type="dxa"/>
          </w:tcPr>
          <w:p w14:paraId="7E8BE6EB" w14:textId="77777777" w:rsidR="00996AD7" w:rsidRPr="000665B0" w:rsidRDefault="00EF4330" w:rsidP="00A0163E">
            <w:pPr>
              <w:spacing w:before="40" w:after="20"/>
              <w:rPr>
                <w:rFonts w:ascii="Arial" w:hAnsi="Arial" w:cs="Arial"/>
                <w:sz w:val="20"/>
              </w:rPr>
            </w:pPr>
            <w:r w:rsidRPr="000665B0">
              <w:rPr>
                <w:rFonts w:ascii="Arial" w:hAnsi="Arial" w:cs="Arial"/>
                <w:snapToGrid w:val="0"/>
                <w:sz w:val="20"/>
              </w:rPr>
              <w:t xml:space="preserve">TED, </w:t>
            </w:r>
            <w:r w:rsidR="00996AD7" w:rsidRPr="000665B0">
              <w:rPr>
                <w:rFonts w:ascii="Arial" w:hAnsi="Arial" w:cs="Arial"/>
                <w:snapToGrid w:val="0"/>
                <w:sz w:val="20"/>
              </w:rPr>
              <w:t>MDS</w:t>
            </w:r>
          </w:p>
        </w:tc>
      </w:tr>
      <w:tr w:rsidR="006B31B6" w:rsidRPr="000665B0" w14:paraId="6220DBD7" w14:textId="77777777" w:rsidTr="00F66383">
        <w:trPr>
          <w:trHeight w:val="288"/>
          <w:jc w:val="center"/>
        </w:trPr>
        <w:tc>
          <w:tcPr>
            <w:tcW w:w="4068" w:type="dxa"/>
          </w:tcPr>
          <w:p w14:paraId="362B7E55" w14:textId="39AAE15C" w:rsidR="006B31B6" w:rsidRPr="000665B0" w:rsidRDefault="006B31B6" w:rsidP="00A0163E">
            <w:pPr>
              <w:spacing w:before="40" w:after="20"/>
              <w:rPr>
                <w:rFonts w:ascii="Arial" w:hAnsi="Arial" w:cs="Arial"/>
                <w:snapToGrid w:val="0"/>
                <w:sz w:val="20"/>
              </w:rPr>
            </w:pPr>
            <w:r>
              <w:rPr>
                <w:rFonts w:ascii="Arial" w:hAnsi="Arial" w:cs="Arial"/>
                <w:snapToGrid w:val="0"/>
                <w:sz w:val="20"/>
              </w:rPr>
              <w:t xml:space="preserve">Alternate </w:t>
            </w:r>
            <w:r w:rsidRPr="000665B0">
              <w:rPr>
                <w:rFonts w:ascii="Arial" w:hAnsi="Arial" w:cs="Arial"/>
                <w:snapToGrid w:val="0"/>
                <w:sz w:val="20"/>
              </w:rPr>
              <w:t>Tomahawk Strike Coordinator (</w:t>
            </w:r>
            <w:r>
              <w:rPr>
                <w:rFonts w:ascii="Arial" w:hAnsi="Arial" w:cs="Arial"/>
                <w:snapToGrid w:val="0"/>
                <w:sz w:val="20"/>
              </w:rPr>
              <w:t>A</w:t>
            </w:r>
            <w:r w:rsidRPr="000665B0">
              <w:rPr>
                <w:rFonts w:ascii="Arial" w:hAnsi="Arial" w:cs="Arial"/>
                <w:snapToGrid w:val="0"/>
                <w:sz w:val="20"/>
              </w:rPr>
              <w:t>TSC)</w:t>
            </w:r>
          </w:p>
        </w:tc>
        <w:tc>
          <w:tcPr>
            <w:tcW w:w="3060" w:type="dxa"/>
          </w:tcPr>
          <w:p w14:paraId="3D9A439E" w14:textId="6E571FFE" w:rsidR="006B31B6" w:rsidRPr="000665B0" w:rsidRDefault="006B31B6" w:rsidP="00A0163E">
            <w:pPr>
              <w:spacing w:before="40" w:after="20"/>
              <w:rPr>
                <w:rFonts w:ascii="Arial" w:hAnsi="Arial" w:cs="Arial"/>
                <w:snapToGrid w:val="0"/>
                <w:sz w:val="20"/>
              </w:rPr>
            </w:pPr>
            <w:r w:rsidRPr="000665B0">
              <w:rPr>
                <w:rFonts w:ascii="Arial" w:hAnsi="Arial" w:cs="Arial"/>
                <w:snapToGrid w:val="0"/>
                <w:sz w:val="20"/>
              </w:rPr>
              <w:t>TED, MDS</w:t>
            </w:r>
          </w:p>
        </w:tc>
      </w:tr>
      <w:tr w:rsidR="006B31B6" w:rsidRPr="000665B0" w14:paraId="4ADC9558" w14:textId="77777777" w:rsidTr="00F66383">
        <w:trPr>
          <w:trHeight w:val="288"/>
          <w:jc w:val="center"/>
        </w:trPr>
        <w:tc>
          <w:tcPr>
            <w:tcW w:w="4068" w:type="dxa"/>
          </w:tcPr>
          <w:p w14:paraId="6403184D" w14:textId="77777777" w:rsidR="006B31B6" w:rsidRPr="000665B0" w:rsidRDefault="006B31B6" w:rsidP="00A0163E">
            <w:pPr>
              <w:spacing w:before="40" w:after="20"/>
              <w:rPr>
                <w:rFonts w:ascii="Arial" w:hAnsi="Arial" w:cs="Arial"/>
                <w:snapToGrid w:val="0"/>
                <w:sz w:val="20"/>
              </w:rPr>
            </w:pPr>
            <w:r w:rsidRPr="000665B0">
              <w:rPr>
                <w:rFonts w:ascii="Arial" w:hAnsi="Arial" w:cs="Arial"/>
                <w:snapToGrid w:val="0"/>
                <w:sz w:val="20"/>
              </w:rPr>
              <w:t>Missile Controller (MC)</w:t>
            </w:r>
          </w:p>
        </w:tc>
        <w:tc>
          <w:tcPr>
            <w:tcW w:w="3060" w:type="dxa"/>
          </w:tcPr>
          <w:p w14:paraId="65C82912" w14:textId="77777777" w:rsidR="006B31B6" w:rsidRPr="000665B0" w:rsidRDefault="006B31B6" w:rsidP="00A0163E">
            <w:pPr>
              <w:spacing w:before="40" w:after="20"/>
              <w:rPr>
                <w:rFonts w:ascii="Arial" w:hAnsi="Arial" w:cs="Arial"/>
                <w:sz w:val="20"/>
                <w:vertAlign w:val="superscript"/>
              </w:rPr>
            </w:pPr>
            <w:r w:rsidRPr="000665B0">
              <w:rPr>
                <w:rFonts w:ascii="Arial" w:hAnsi="Arial" w:cs="Arial"/>
                <w:snapToGrid w:val="0"/>
                <w:sz w:val="20"/>
              </w:rPr>
              <w:t>TED, MDS, TTWCS</w:t>
            </w:r>
            <w:r w:rsidRPr="000665B0">
              <w:rPr>
                <w:rFonts w:ascii="Arial" w:hAnsi="Arial" w:cs="Arial"/>
                <w:sz w:val="20"/>
                <w:vertAlign w:val="superscript"/>
              </w:rPr>
              <w:t>1</w:t>
            </w:r>
          </w:p>
        </w:tc>
      </w:tr>
      <w:tr w:rsidR="006B31B6" w:rsidRPr="000665B0" w14:paraId="33189BD3" w14:textId="77777777" w:rsidTr="00F66383">
        <w:trPr>
          <w:trHeight w:val="288"/>
          <w:jc w:val="center"/>
        </w:trPr>
        <w:tc>
          <w:tcPr>
            <w:tcW w:w="4068" w:type="dxa"/>
          </w:tcPr>
          <w:p w14:paraId="0B5A29D6" w14:textId="77777777" w:rsidR="006B31B6" w:rsidRPr="000665B0" w:rsidRDefault="006B31B6" w:rsidP="00A0163E">
            <w:pPr>
              <w:spacing w:before="40" w:after="20"/>
              <w:rPr>
                <w:rFonts w:ascii="Arial" w:hAnsi="Arial" w:cs="Arial"/>
                <w:snapToGrid w:val="0"/>
                <w:sz w:val="20"/>
              </w:rPr>
            </w:pPr>
            <w:r w:rsidRPr="000665B0">
              <w:rPr>
                <w:rFonts w:ascii="Arial" w:hAnsi="Arial" w:cs="Arial"/>
                <w:snapToGrid w:val="0"/>
                <w:sz w:val="20"/>
              </w:rPr>
              <w:t>Launch Area Coordinator (LAC)</w:t>
            </w:r>
          </w:p>
        </w:tc>
        <w:tc>
          <w:tcPr>
            <w:tcW w:w="3060" w:type="dxa"/>
          </w:tcPr>
          <w:p w14:paraId="1D03BA8E" w14:textId="50AB385F" w:rsidR="006B31B6" w:rsidRPr="000665B0" w:rsidRDefault="006B31B6" w:rsidP="00A0163E">
            <w:pPr>
              <w:spacing w:before="40" w:after="20"/>
              <w:rPr>
                <w:rFonts w:ascii="Arial" w:hAnsi="Arial" w:cs="Arial"/>
                <w:sz w:val="20"/>
              </w:rPr>
            </w:pPr>
            <w:r w:rsidRPr="000665B0">
              <w:rPr>
                <w:rFonts w:ascii="Arial" w:hAnsi="Arial" w:cs="Arial"/>
                <w:snapToGrid w:val="0"/>
                <w:sz w:val="20"/>
              </w:rPr>
              <w:t>TED, MDS</w:t>
            </w:r>
          </w:p>
        </w:tc>
      </w:tr>
      <w:tr w:rsidR="006B31B6" w:rsidRPr="000665B0" w14:paraId="11C634DC" w14:textId="77777777" w:rsidTr="00F66383">
        <w:trPr>
          <w:trHeight w:val="288"/>
          <w:jc w:val="center"/>
        </w:trPr>
        <w:tc>
          <w:tcPr>
            <w:tcW w:w="4068" w:type="dxa"/>
          </w:tcPr>
          <w:p w14:paraId="521EB702" w14:textId="77777777" w:rsidR="006B31B6" w:rsidRPr="000665B0" w:rsidRDefault="006B31B6" w:rsidP="00A0163E">
            <w:pPr>
              <w:spacing w:before="40" w:after="20"/>
              <w:rPr>
                <w:rFonts w:ascii="Arial" w:hAnsi="Arial" w:cs="Arial"/>
                <w:snapToGrid w:val="0"/>
                <w:sz w:val="20"/>
              </w:rPr>
            </w:pPr>
            <w:r w:rsidRPr="000665B0">
              <w:rPr>
                <w:rFonts w:ascii="Arial" w:hAnsi="Arial" w:cs="Arial"/>
                <w:snapToGrid w:val="0"/>
                <w:sz w:val="20"/>
              </w:rPr>
              <w:t>Alternate LAC (ALAC)</w:t>
            </w:r>
          </w:p>
        </w:tc>
        <w:tc>
          <w:tcPr>
            <w:tcW w:w="3060" w:type="dxa"/>
          </w:tcPr>
          <w:p w14:paraId="7F5F9AE5" w14:textId="539E6476" w:rsidR="006B31B6" w:rsidRPr="000665B0" w:rsidRDefault="006B31B6" w:rsidP="00A0163E">
            <w:pPr>
              <w:spacing w:before="40" w:after="20"/>
              <w:rPr>
                <w:rFonts w:ascii="Arial" w:hAnsi="Arial" w:cs="Arial"/>
                <w:snapToGrid w:val="0"/>
                <w:sz w:val="20"/>
              </w:rPr>
            </w:pPr>
            <w:r w:rsidRPr="000665B0">
              <w:rPr>
                <w:rFonts w:ascii="Arial" w:hAnsi="Arial" w:cs="Arial"/>
                <w:snapToGrid w:val="0"/>
                <w:sz w:val="20"/>
              </w:rPr>
              <w:t>TED, MDS</w:t>
            </w:r>
          </w:p>
        </w:tc>
      </w:tr>
      <w:tr w:rsidR="006B31B6" w:rsidRPr="000665B0" w14:paraId="4A641720" w14:textId="77777777" w:rsidTr="00F66383">
        <w:trPr>
          <w:trHeight w:val="288"/>
          <w:jc w:val="center"/>
        </w:trPr>
        <w:tc>
          <w:tcPr>
            <w:tcW w:w="4068" w:type="dxa"/>
          </w:tcPr>
          <w:p w14:paraId="7BE6A486" w14:textId="77777777" w:rsidR="006B31B6" w:rsidRPr="000665B0" w:rsidRDefault="006B31B6" w:rsidP="00A0163E">
            <w:pPr>
              <w:spacing w:before="40" w:after="20"/>
              <w:rPr>
                <w:rFonts w:ascii="Arial" w:hAnsi="Arial" w:cs="Arial"/>
                <w:sz w:val="20"/>
              </w:rPr>
            </w:pPr>
            <w:r w:rsidRPr="000665B0">
              <w:rPr>
                <w:rFonts w:ascii="Arial" w:hAnsi="Arial" w:cs="Arial"/>
                <w:snapToGrid w:val="0"/>
                <w:sz w:val="20"/>
              </w:rPr>
              <w:t>Firing Unit (FRU)</w:t>
            </w:r>
          </w:p>
        </w:tc>
        <w:tc>
          <w:tcPr>
            <w:tcW w:w="3060" w:type="dxa"/>
          </w:tcPr>
          <w:p w14:paraId="5A42A941" w14:textId="7E80D56F" w:rsidR="006B31B6" w:rsidRPr="000665B0" w:rsidRDefault="006B31B6" w:rsidP="00A0163E">
            <w:pPr>
              <w:spacing w:before="40" w:after="20"/>
              <w:rPr>
                <w:rFonts w:ascii="Arial" w:hAnsi="Arial" w:cs="Arial"/>
                <w:snapToGrid w:val="0"/>
                <w:sz w:val="20"/>
              </w:rPr>
            </w:pPr>
            <w:r w:rsidRPr="000665B0">
              <w:rPr>
                <w:rFonts w:ascii="Arial" w:hAnsi="Arial" w:cs="Arial"/>
                <w:snapToGrid w:val="0"/>
                <w:sz w:val="20"/>
              </w:rPr>
              <w:t>TED, TTWCS</w:t>
            </w:r>
          </w:p>
        </w:tc>
      </w:tr>
      <w:tr w:rsidR="006B31B6" w:rsidRPr="000665B0" w14:paraId="01175221" w14:textId="77777777" w:rsidTr="00F66383">
        <w:trPr>
          <w:trHeight w:val="216"/>
          <w:jc w:val="center"/>
        </w:trPr>
        <w:tc>
          <w:tcPr>
            <w:tcW w:w="4068" w:type="dxa"/>
          </w:tcPr>
          <w:p w14:paraId="7CD811C5" w14:textId="0265BB7A" w:rsidR="006B31B6" w:rsidRPr="000665B0" w:rsidRDefault="006B31B6" w:rsidP="00A0163E">
            <w:pPr>
              <w:spacing w:before="40" w:after="20"/>
              <w:rPr>
                <w:rFonts w:ascii="Arial" w:hAnsi="Arial" w:cs="Arial"/>
                <w:snapToGrid w:val="0"/>
                <w:sz w:val="20"/>
              </w:rPr>
            </w:pPr>
            <w:r w:rsidRPr="000665B0">
              <w:rPr>
                <w:rFonts w:ascii="Arial" w:hAnsi="Arial" w:cs="Arial"/>
                <w:snapToGrid w:val="0"/>
                <w:sz w:val="20"/>
              </w:rPr>
              <w:t>Strike Monitor (SM)</w:t>
            </w:r>
            <w:r w:rsidRPr="000665B0">
              <w:rPr>
                <w:rFonts w:ascii="Arial" w:hAnsi="Arial" w:cs="Arial"/>
                <w:sz w:val="20"/>
                <w:vertAlign w:val="superscript"/>
              </w:rPr>
              <w:t>2</w:t>
            </w:r>
          </w:p>
        </w:tc>
        <w:tc>
          <w:tcPr>
            <w:tcW w:w="3060" w:type="dxa"/>
          </w:tcPr>
          <w:p w14:paraId="082EA908" w14:textId="77777777" w:rsidR="006B31B6" w:rsidRPr="000665B0" w:rsidRDefault="006B31B6" w:rsidP="00A0163E">
            <w:pPr>
              <w:spacing w:before="40" w:after="20"/>
              <w:rPr>
                <w:rFonts w:ascii="Arial" w:hAnsi="Arial" w:cs="Arial"/>
                <w:sz w:val="20"/>
              </w:rPr>
            </w:pPr>
            <w:r w:rsidRPr="000665B0">
              <w:rPr>
                <w:rFonts w:ascii="Arial" w:hAnsi="Arial" w:cs="Arial"/>
                <w:snapToGrid w:val="0"/>
                <w:sz w:val="20"/>
              </w:rPr>
              <w:t>TED, MDS, TTWCS</w:t>
            </w:r>
            <w:r w:rsidRPr="000665B0">
              <w:rPr>
                <w:rFonts w:ascii="Arial" w:hAnsi="Arial" w:cs="Arial"/>
                <w:sz w:val="20"/>
                <w:vertAlign w:val="superscript"/>
              </w:rPr>
              <w:t>1</w:t>
            </w:r>
          </w:p>
        </w:tc>
      </w:tr>
      <w:tr w:rsidR="006B31B6" w:rsidRPr="000665B0" w14:paraId="71208260" w14:textId="77777777" w:rsidTr="00F66383">
        <w:trPr>
          <w:trHeight w:val="288"/>
          <w:jc w:val="center"/>
        </w:trPr>
        <w:tc>
          <w:tcPr>
            <w:tcW w:w="4068" w:type="dxa"/>
          </w:tcPr>
          <w:p w14:paraId="76B674A2" w14:textId="77777777" w:rsidR="006B31B6" w:rsidRPr="000665B0" w:rsidRDefault="006B31B6" w:rsidP="00A0163E">
            <w:pPr>
              <w:spacing w:before="40" w:after="20"/>
              <w:rPr>
                <w:rFonts w:ascii="Arial" w:hAnsi="Arial" w:cs="Arial"/>
                <w:snapToGrid w:val="0"/>
                <w:sz w:val="20"/>
              </w:rPr>
            </w:pPr>
            <w:r w:rsidRPr="000665B0">
              <w:rPr>
                <w:rFonts w:ascii="Arial" w:hAnsi="Arial" w:cs="Arial"/>
                <w:snapToGrid w:val="0"/>
                <w:sz w:val="20"/>
              </w:rPr>
              <w:lastRenderedPageBreak/>
              <w:t>Planning Organization (PO)</w:t>
            </w:r>
          </w:p>
        </w:tc>
        <w:tc>
          <w:tcPr>
            <w:tcW w:w="3060" w:type="dxa"/>
          </w:tcPr>
          <w:p w14:paraId="50A550FB" w14:textId="62F33127" w:rsidR="006B31B6" w:rsidRPr="000665B0" w:rsidRDefault="006B31B6" w:rsidP="00A0163E">
            <w:pPr>
              <w:spacing w:before="40" w:after="20"/>
              <w:rPr>
                <w:rFonts w:ascii="Arial" w:hAnsi="Arial" w:cs="Arial"/>
                <w:sz w:val="20"/>
              </w:rPr>
            </w:pPr>
            <w:r w:rsidRPr="000665B0">
              <w:rPr>
                <w:rFonts w:ascii="Arial" w:hAnsi="Arial" w:cs="Arial"/>
                <w:snapToGrid w:val="0"/>
                <w:sz w:val="20"/>
              </w:rPr>
              <w:t>TED, MDS</w:t>
            </w:r>
            <w:r w:rsidRPr="000665B0">
              <w:rPr>
                <w:rFonts w:ascii="Arial" w:hAnsi="Arial" w:cs="Arial"/>
                <w:sz w:val="20"/>
                <w:vertAlign w:val="superscript"/>
              </w:rPr>
              <w:t>3</w:t>
            </w:r>
          </w:p>
        </w:tc>
      </w:tr>
      <w:tr w:rsidR="006B31B6" w:rsidRPr="000665B0" w14:paraId="59F93972" w14:textId="77777777" w:rsidTr="006E6218">
        <w:trPr>
          <w:trHeight w:val="288"/>
          <w:jc w:val="center"/>
        </w:trPr>
        <w:tc>
          <w:tcPr>
            <w:tcW w:w="7128" w:type="dxa"/>
            <w:gridSpan w:val="2"/>
            <w:tcBorders>
              <w:top w:val="single" w:sz="4" w:space="0" w:color="auto"/>
              <w:left w:val="nil"/>
              <w:bottom w:val="nil"/>
              <w:right w:val="nil"/>
            </w:tcBorders>
          </w:tcPr>
          <w:p w14:paraId="57261858" w14:textId="77777777" w:rsidR="006B31B6" w:rsidRPr="000665B0" w:rsidRDefault="006B31B6" w:rsidP="006D5A65">
            <w:pPr>
              <w:pStyle w:val="Heading1"/>
            </w:pPr>
            <w:r w:rsidRPr="000665B0">
              <w:t>TTWCS is limited to monitoring or controlling missiles that the FRU launched. A TTWCS cannot monitor or control missiles launched from another FRU.</w:t>
            </w:r>
          </w:p>
          <w:p w14:paraId="2DAC701B" w14:textId="73DBFFBC" w:rsidR="006B31B6" w:rsidRPr="000665B0" w:rsidRDefault="006B31B6" w:rsidP="006D5A65">
            <w:pPr>
              <w:pStyle w:val="Heading1"/>
            </w:pPr>
            <w:r w:rsidRPr="000665B0">
              <w:t xml:space="preserve">The Strike Monitor role is for situational awareness only. Nodes assigned the Strike Monitor role should not perform strike-related activities such as sending ACA Filter Messages. </w:t>
            </w:r>
          </w:p>
          <w:p w14:paraId="24B1882A" w14:textId="77777777" w:rsidR="006B31B6" w:rsidRPr="000665B0" w:rsidRDefault="006B31B6" w:rsidP="006D5A65">
            <w:pPr>
              <w:pStyle w:val="Heading1"/>
              <w:rPr>
                <w:snapToGrid w:val="0"/>
              </w:rPr>
            </w:pPr>
            <w:r w:rsidRPr="000665B0">
              <w:t>Applies to MDS platforms with a collocated TPS.</w:t>
            </w:r>
          </w:p>
          <w:p w14:paraId="5A8C788A" w14:textId="03368D34" w:rsidR="006B31B6" w:rsidRPr="000665B0" w:rsidRDefault="006B31B6" w:rsidP="009570CA">
            <w:pPr>
              <w:spacing w:before="60" w:after="60"/>
              <w:ind w:left="331"/>
              <w:rPr>
                <w:rFonts w:ascii="Arial" w:hAnsi="Arial" w:cs="Arial"/>
                <w:snapToGrid w:val="0"/>
                <w:sz w:val="20"/>
              </w:rPr>
            </w:pPr>
          </w:p>
        </w:tc>
      </w:tr>
    </w:tbl>
    <w:bookmarkEnd w:id="6045"/>
    <w:p w14:paraId="3B571F82" w14:textId="7CD379BB" w:rsidR="00996AD7" w:rsidRPr="000665B0" w:rsidRDefault="00996AD7" w:rsidP="009570CA">
      <w:pPr>
        <w:keepNext/>
      </w:pPr>
      <w:r w:rsidRPr="000665B0">
        <w:t xml:space="preserve">To edit the </w:t>
      </w:r>
      <w:r w:rsidR="002307F0" w:rsidRPr="000665B0">
        <w:t xml:space="preserve">Task </w:t>
      </w:r>
      <w:r w:rsidRPr="000665B0">
        <w:t>Organization Node Roles:</w:t>
      </w:r>
    </w:p>
    <w:p w14:paraId="1860A4E2" w14:textId="2E1AC925" w:rsidR="00996AD7" w:rsidRPr="000665B0" w:rsidRDefault="00996AD7" w:rsidP="006D5A65">
      <w:pPr>
        <w:pStyle w:val="Heading1"/>
      </w:pPr>
      <w:r w:rsidRPr="000665B0">
        <w:t xml:space="preserve">From the </w:t>
      </w:r>
      <w:r w:rsidR="002307F0" w:rsidRPr="000665B0">
        <w:rPr>
          <w:i/>
        </w:rPr>
        <w:t xml:space="preserve">Task </w:t>
      </w:r>
      <w:r w:rsidRPr="000665B0">
        <w:rPr>
          <w:i/>
        </w:rPr>
        <w:t>Organization XXXXX</w:t>
      </w:r>
      <w:r w:rsidRPr="000665B0">
        <w:t xml:space="preserve"> window</w:t>
      </w:r>
      <w:r w:rsidRPr="000665B0" w:rsidDel="00895618">
        <w:t xml:space="preserve"> </w:t>
      </w:r>
      <w:r w:rsidRPr="000665B0">
        <w:t>highlight the desired node, invoke the context menu (right</w:t>
      </w:r>
      <w:r w:rsidR="004636AD" w:rsidRPr="000665B0">
        <w:t>-</w:t>
      </w:r>
      <w:r w:rsidRPr="000665B0">
        <w:t xml:space="preserve">click the mouse), and select </w:t>
      </w:r>
      <w:r w:rsidRPr="000665B0">
        <w:rPr>
          <w:bCs/>
        </w:rPr>
        <w:t xml:space="preserve">Edit </w:t>
      </w:r>
      <w:r w:rsidRPr="000665B0">
        <w:rPr>
          <w:rFonts w:cs="Arial"/>
          <w:sz w:val="20"/>
        </w:rPr>
        <w:t>►</w:t>
      </w:r>
      <w:r w:rsidRPr="000665B0">
        <w:rPr>
          <w:bCs/>
        </w:rPr>
        <w:t xml:space="preserve"> Roles…</w:t>
      </w:r>
      <w:r w:rsidRPr="000665B0">
        <w:t xml:space="preserve">. The </w:t>
      </w:r>
      <w:r w:rsidRPr="000665B0">
        <w:rPr>
          <w:i/>
        </w:rPr>
        <w:t>Edit Roles</w:t>
      </w:r>
      <w:r w:rsidRPr="000665B0">
        <w:t xml:space="preserve"> window is displayed.</w:t>
      </w:r>
    </w:p>
    <w:p w14:paraId="4EA21FBB" w14:textId="6A8BA4FF" w:rsidR="00996AD7" w:rsidRDefault="00996AD7" w:rsidP="009570CA">
      <w:pPr>
        <w:jc w:val="center"/>
      </w:pPr>
    </w:p>
    <w:p w14:paraId="7E7B6F0C" w14:textId="03208874" w:rsidR="00254AFD" w:rsidRPr="000665B0" w:rsidRDefault="00254AFD" w:rsidP="009570CA">
      <w:pPr>
        <w:jc w:val="center"/>
      </w:pPr>
      <w:r>
        <w:rPr>
          <w:noProof/>
        </w:rPr>
        <w:drawing>
          <wp:inline distT="0" distB="0" distL="0" distR="0" wp14:anchorId="121F75FA" wp14:editId="181E6489">
            <wp:extent cx="3154680" cy="1234440"/>
            <wp:effectExtent l="0" t="0" r="0" b="0"/>
            <wp:docPr id="2265" name="Picture 226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 name="Picture 2265" descr="Graphical user interface, text,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154680" cy="1234440"/>
                    </a:xfrm>
                    <a:prstGeom prst="rect">
                      <a:avLst/>
                    </a:prstGeom>
                  </pic:spPr>
                </pic:pic>
              </a:graphicData>
            </a:graphic>
          </wp:inline>
        </w:drawing>
      </w:r>
    </w:p>
    <w:p w14:paraId="3CA83A87" w14:textId="77777777" w:rsidR="00996AD7" w:rsidRPr="000665B0" w:rsidRDefault="00996AD7" w:rsidP="006D5A65">
      <w:pPr>
        <w:pStyle w:val="Heading1"/>
      </w:pPr>
      <w:r w:rsidRPr="000665B0">
        <w:t>Select the desired role for that node by placing a check in that box and de-select any roles not desired.</w:t>
      </w:r>
    </w:p>
    <w:p w14:paraId="1CDA0E9C" w14:textId="77777777" w:rsidR="00996AD7" w:rsidRPr="000665B0" w:rsidRDefault="00996AD7" w:rsidP="006D5A65">
      <w:pPr>
        <w:pStyle w:val="Heading1"/>
      </w:pPr>
      <w:r w:rsidRPr="000665B0">
        <w:t xml:space="preserve">Click the </w:t>
      </w:r>
      <w:r w:rsidRPr="000665B0">
        <w:rPr>
          <w:bCs/>
        </w:rPr>
        <w:t>OK</w:t>
      </w:r>
      <w:r w:rsidRPr="000665B0">
        <w:t xml:space="preserve"> button in the </w:t>
      </w:r>
      <w:r w:rsidRPr="000665B0">
        <w:rPr>
          <w:i/>
          <w:iCs/>
        </w:rPr>
        <w:t>Edit Roles</w:t>
      </w:r>
      <w:r w:rsidRPr="000665B0">
        <w:t xml:space="preserve"> window.</w:t>
      </w:r>
    </w:p>
    <w:p w14:paraId="746F27AC" w14:textId="77777777" w:rsidR="00E81F7D" w:rsidRPr="000665B0" w:rsidRDefault="00996AD7" w:rsidP="006D5A65">
      <w:pPr>
        <w:pStyle w:val="Heading1"/>
      </w:pPr>
      <w:r w:rsidRPr="000665B0">
        <w:t xml:space="preserve">Click on the Save </w:t>
      </w:r>
      <w:r w:rsidRPr="000665B0">
        <w:rPr>
          <w:rFonts w:ascii="Wingdings" w:hAnsi="Wingdings"/>
        </w:rPr>
        <w:t></w:t>
      </w:r>
      <w:r w:rsidRPr="000665B0">
        <w:t xml:space="preserve"> icon to save the changes or select the </w:t>
      </w:r>
      <w:r w:rsidRPr="000665B0">
        <w:rPr>
          <w:bCs/>
        </w:rPr>
        <w:t>Save</w:t>
      </w:r>
      <w:r w:rsidRPr="000665B0">
        <w:t xml:space="preserve"> option from the </w:t>
      </w:r>
      <w:r w:rsidRPr="000665B0">
        <w:rPr>
          <w:bCs/>
        </w:rPr>
        <w:t>File</w:t>
      </w:r>
      <w:r w:rsidRPr="000665B0">
        <w:t xml:space="preserve"> pull down menu</w:t>
      </w:r>
      <w:r w:rsidR="005C4297" w:rsidRPr="000665B0">
        <w:t>.</w:t>
      </w:r>
    </w:p>
    <w:p w14:paraId="6751E9BE" w14:textId="4AED67AB" w:rsidR="00996AD7" w:rsidRPr="000665B0" w:rsidRDefault="00996AD7" w:rsidP="009570CA">
      <w:pPr>
        <w:pStyle w:val="Heading5"/>
        <w:keepNext w:val="0"/>
      </w:pPr>
      <w:bookmarkStart w:id="6046" w:name="_Toc159315500"/>
      <w:bookmarkStart w:id="6047" w:name="_Toc71955727"/>
      <w:bookmarkStart w:id="6048" w:name="_Toc96170259"/>
      <w:bookmarkStart w:id="6049" w:name="_Toc96234304"/>
      <w:bookmarkStart w:id="6050" w:name="_Toc112733724"/>
      <w:bookmarkEnd w:id="6041"/>
      <w:bookmarkEnd w:id="6042"/>
      <w:bookmarkEnd w:id="6043"/>
      <w:bookmarkEnd w:id="6044"/>
      <w:r w:rsidRPr="000665B0">
        <w:t>Edit User Notes (Nodes Only)</w:t>
      </w:r>
    </w:p>
    <w:bookmarkEnd w:id="6046"/>
    <w:p w14:paraId="4C810C64" w14:textId="77777777" w:rsidR="00996AD7" w:rsidRPr="000665B0" w:rsidRDefault="00996AD7" w:rsidP="009570CA">
      <w:r w:rsidRPr="000665B0">
        <w:t xml:space="preserve">The </w:t>
      </w:r>
      <w:r w:rsidRPr="000665B0">
        <w:rPr>
          <w:b/>
        </w:rPr>
        <w:t>User Notes</w:t>
      </w:r>
      <w:r w:rsidRPr="000665B0">
        <w:t xml:space="preserve"> option allows for any additional information to be entered that may pertain to the platform’s role, missile load, availability, etc.</w:t>
      </w:r>
    </w:p>
    <w:p w14:paraId="0DC54786" w14:textId="54A36B67" w:rsidR="00996AD7" w:rsidRPr="000665B0" w:rsidRDefault="00996AD7" w:rsidP="009570CA">
      <w:r w:rsidRPr="000665B0">
        <w:t xml:space="preserve">To edit the </w:t>
      </w:r>
      <w:r w:rsidR="002307F0" w:rsidRPr="000665B0">
        <w:t xml:space="preserve">Task </w:t>
      </w:r>
      <w:r w:rsidRPr="000665B0">
        <w:t>Organization Node User Notes:</w:t>
      </w:r>
    </w:p>
    <w:p w14:paraId="6455A86F" w14:textId="1C5C3BE4" w:rsidR="00996AD7" w:rsidRPr="000665B0" w:rsidRDefault="00996AD7" w:rsidP="006D5A65">
      <w:pPr>
        <w:pStyle w:val="Heading1"/>
      </w:pPr>
      <w:r w:rsidRPr="000665B0">
        <w:t xml:space="preserve">From the </w:t>
      </w:r>
      <w:r w:rsidR="002307F0" w:rsidRPr="000665B0">
        <w:rPr>
          <w:i/>
        </w:rPr>
        <w:t xml:space="preserve">Task </w:t>
      </w:r>
      <w:r w:rsidRPr="000665B0">
        <w:rPr>
          <w:i/>
        </w:rPr>
        <w:t>Organization XXXXX</w:t>
      </w:r>
      <w:r w:rsidRPr="000665B0">
        <w:t xml:space="preserve"> window highlight the desired node, invoke the context menu (</w:t>
      </w:r>
      <w:r w:rsidR="00D71804" w:rsidRPr="000665B0">
        <w:t>right-click</w:t>
      </w:r>
      <w:r w:rsidRPr="000665B0">
        <w:t xml:space="preserve"> the mouse), </w:t>
      </w:r>
      <w:r w:rsidRPr="000665B0">
        <w:lastRenderedPageBreak/>
        <w:t xml:space="preserve">and select </w:t>
      </w:r>
      <w:r w:rsidRPr="000665B0">
        <w:rPr>
          <w:bCs/>
        </w:rPr>
        <w:t xml:space="preserve">Edit </w:t>
      </w:r>
      <w:r w:rsidRPr="000665B0">
        <w:rPr>
          <w:rFonts w:cs="Arial"/>
          <w:sz w:val="20"/>
        </w:rPr>
        <w:t>►</w:t>
      </w:r>
      <w:r w:rsidRPr="000665B0">
        <w:rPr>
          <w:bCs/>
        </w:rPr>
        <w:t xml:space="preserve"> User Notes</w:t>
      </w:r>
      <w:r w:rsidRPr="000665B0">
        <w:t xml:space="preserve">. The </w:t>
      </w:r>
      <w:r w:rsidRPr="000665B0">
        <w:rPr>
          <w:i/>
        </w:rPr>
        <w:t>Edit User Notes</w:t>
      </w:r>
      <w:r w:rsidRPr="000665B0">
        <w:t xml:space="preserve"> window is displayed.</w:t>
      </w:r>
    </w:p>
    <w:p w14:paraId="452B9279" w14:textId="1DC3271A" w:rsidR="00996AD7" w:rsidRPr="000665B0" w:rsidRDefault="002454DE" w:rsidP="009570CA">
      <w:pPr>
        <w:jc w:val="center"/>
      </w:pPr>
      <w:r w:rsidRPr="000665B0">
        <w:rPr>
          <w:noProof/>
        </w:rPr>
        <w:drawing>
          <wp:inline distT="0" distB="0" distL="0" distR="0" wp14:anchorId="55135004" wp14:editId="2696AFAF">
            <wp:extent cx="3191889" cy="2000250"/>
            <wp:effectExtent l="0" t="0" r="0" b="0"/>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95829" cy="2002719"/>
                    </a:xfrm>
                    <a:prstGeom prst="rect">
                      <a:avLst/>
                    </a:prstGeom>
                  </pic:spPr>
                </pic:pic>
              </a:graphicData>
            </a:graphic>
          </wp:inline>
        </w:drawing>
      </w:r>
    </w:p>
    <w:p w14:paraId="339F183B" w14:textId="77777777" w:rsidR="00996AD7" w:rsidRPr="000665B0" w:rsidRDefault="00996AD7" w:rsidP="006D5A65">
      <w:pPr>
        <w:pStyle w:val="Heading1"/>
      </w:pPr>
      <w:r w:rsidRPr="000665B0" w:rsidDel="00853AE0">
        <w:t xml:space="preserve">In the </w:t>
      </w:r>
      <w:r w:rsidRPr="000665B0">
        <w:t xml:space="preserve">Enter any additional information required, up to 256 characters of text and click the </w:t>
      </w:r>
      <w:r w:rsidRPr="000665B0">
        <w:rPr>
          <w:bCs/>
        </w:rPr>
        <w:t>OK</w:t>
      </w:r>
      <w:r w:rsidRPr="000665B0">
        <w:t xml:space="preserve"> button.</w:t>
      </w:r>
    </w:p>
    <w:p w14:paraId="797154F7" w14:textId="77777777" w:rsidR="00996AD7" w:rsidRPr="000665B0" w:rsidRDefault="00996AD7" w:rsidP="006D5A65">
      <w:pPr>
        <w:pStyle w:val="Heading1"/>
      </w:pPr>
      <w:r w:rsidRPr="000665B0">
        <w:t xml:space="preserve">Click on the Save </w:t>
      </w:r>
      <w:r w:rsidRPr="000665B0">
        <w:rPr>
          <w:rFonts w:ascii="Wingdings" w:hAnsi="Wingdings"/>
        </w:rPr>
        <w:t></w:t>
      </w:r>
      <w:r w:rsidRPr="000665B0">
        <w:t xml:space="preserve"> icon to save the changes or select the </w:t>
      </w:r>
      <w:r w:rsidRPr="000665B0">
        <w:rPr>
          <w:bCs/>
        </w:rPr>
        <w:t>Save</w:t>
      </w:r>
      <w:r w:rsidRPr="000665B0">
        <w:t xml:space="preserve"> option from the </w:t>
      </w:r>
      <w:r w:rsidRPr="000665B0">
        <w:rPr>
          <w:bCs/>
        </w:rPr>
        <w:t>File</w:t>
      </w:r>
      <w:r w:rsidRPr="000665B0">
        <w:t xml:space="preserve"> pull down menu.</w:t>
      </w:r>
    </w:p>
    <w:p w14:paraId="0BD57727" w14:textId="10AEE6B0" w:rsidR="00996AD7" w:rsidRPr="000665B0" w:rsidRDefault="00996AD7" w:rsidP="004C79AD">
      <w:pPr>
        <w:pStyle w:val="Heading5"/>
        <w:keepLines/>
      </w:pPr>
      <w:bookmarkStart w:id="6051" w:name="_Toc159315501"/>
      <w:bookmarkEnd w:id="6047"/>
      <w:bookmarkEnd w:id="6048"/>
      <w:bookmarkEnd w:id="6049"/>
      <w:bookmarkEnd w:id="6050"/>
      <w:r w:rsidRPr="000665B0">
        <w:t>Edit Radio Frequency (Platforms Only)</w:t>
      </w:r>
    </w:p>
    <w:bookmarkEnd w:id="6051"/>
    <w:p w14:paraId="1748CA8B" w14:textId="77777777" w:rsidR="00996AD7" w:rsidRPr="000665B0" w:rsidRDefault="00996AD7" w:rsidP="004C79AD">
      <w:pPr>
        <w:keepLines/>
      </w:pPr>
      <w:r w:rsidRPr="000665B0">
        <w:t xml:space="preserve">The </w:t>
      </w:r>
      <w:r w:rsidRPr="000665B0">
        <w:rPr>
          <w:b/>
        </w:rPr>
        <w:t>Edit Radio Frequency</w:t>
      </w:r>
      <w:r w:rsidRPr="000665B0">
        <w:t xml:space="preserve"> option allows modification of the radio frequency for the strike. Such modification may be necessary due to ship capabilities, weather, etc.</w:t>
      </w:r>
    </w:p>
    <w:p w14:paraId="5E8EF2E3" w14:textId="19725BC5" w:rsidR="00996AD7" w:rsidRPr="000665B0" w:rsidRDefault="00996AD7" w:rsidP="009570CA">
      <w:r w:rsidRPr="000665B0">
        <w:t xml:space="preserve">To edit the </w:t>
      </w:r>
      <w:r w:rsidR="002307F0" w:rsidRPr="000665B0">
        <w:t xml:space="preserve">Task </w:t>
      </w:r>
      <w:r w:rsidRPr="000665B0">
        <w:t>Organization Platform’s Radio Frequency:</w:t>
      </w:r>
    </w:p>
    <w:p w14:paraId="2D08D7BE" w14:textId="5337420C" w:rsidR="00996AD7" w:rsidRPr="000665B0" w:rsidRDefault="00996AD7" w:rsidP="006D5A65">
      <w:pPr>
        <w:pStyle w:val="Heading1"/>
      </w:pPr>
      <w:r w:rsidRPr="000665B0">
        <w:t xml:space="preserve">From the </w:t>
      </w:r>
      <w:r w:rsidR="002307F0" w:rsidRPr="000665B0">
        <w:rPr>
          <w:i/>
        </w:rPr>
        <w:t xml:space="preserve">Task </w:t>
      </w:r>
      <w:r w:rsidRPr="000665B0">
        <w:rPr>
          <w:i/>
        </w:rPr>
        <w:t>Organization XXXXX</w:t>
      </w:r>
      <w:r w:rsidRPr="000665B0">
        <w:t xml:space="preserve"> window highlight the desired platform, invoke the context menu (</w:t>
      </w:r>
      <w:r w:rsidR="00D71804" w:rsidRPr="000665B0">
        <w:t>right-click</w:t>
      </w:r>
      <w:r w:rsidRPr="000665B0">
        <w:t xml:space="preserve"> the mouse) and select </w:t>
      </w:r>
      <w:r w:rsidRPr="000665B0">
        <w:rPr>
          <w:bCs/>
        </w:rPr>
        <w:t xml:space="preserve">Edit </w:t>
      </w:r>
      <w:r w:rsidRPr="000665B0">
        <w:rPr>
          <w:rFonts w:cs="Arial"/>
          <w:sz w:val="20"/>
        </w:rPr>
        <w:t>►</w:t>
      </w:r>
      <w:r w:rsidRPr="000665B0">
        <w:rPr>
          <w:bCs/>
        </w:rPr>
        <w:t xml:space="preserve"> Radio Frequency</w:t>
      </w:r>
      <w:r w:rsidRPr="000665B0">
        <w:t xml:space="preserve">. The </w:t>
      </w:r>
      <w:r w:rsidRPr="000665B0">
        <w:rPr>
          <w:i/>
        </w:rPr>
        <w:t>Edit Radio Frequency</w:t>
      </w:r>
      <w:r w:rsidRPr="000665B0">
        <w:t xml:space="preserve"> window is displayed.</w:t>
      </w:r>
    </w:p>
    <w:p w14:paraId="47494F5E" w14:textId="6B588254" w:rsidR="00996AD7" w:rsidRPr="000665B0" w:rsidRDefault="002454DE" w:rsidP="009570CA">
      <w:pPr>
        <w:jc w:val="center"/>
      </w:pPr>
      <w:r w:rsidRPr="000665B0">
        <w:rPr>
          <w:noProof/>
        </w:rPr>
        <w:drawing>
          <wp:inline distT="0" distB="0" distL="0" distR="0" wp14:anchorId="4736495C" wp14:editId="6E1D9460">
            <wp:extent cx="2620108" cy="1135380"/>
            <wp:effectExtent l="0" t="0" r="0" b="0"/>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626755" cy="1138260"/>
                    </a:xfrm>
                    <a:prstGeom prst="rect">
                      <a:avLst/>
                    </a:prstGeom>
                  </pic:spPr>
                </pic:pic>
              </a:graphicData>
            </a:graphic>
          </wp:inline>
        </w:drawing>
      </w:r>
    </w:p>
    <w:p w14:paraId="62769D97" w14:textId="77777777" w:rsidR="00996AD7" w:rsidRPr="000665B0" w:rsidRDefault="00996AD7" w:rsidP="006D5A65">
      <w:pPr>
        <w:pStyle w:val="Heading1"/>
      </w:pPr>
      <w:r w:rsidRPr="000665B0">
        <w:t xml:space="preserve">Enter the desired Radio Frequency for the strike, up to 28 characters of text and click the </w:t>
      </w:r>
      <w:r w:rsidRPr="000665B0">
        <w:rPr>
          <w:bCs/>
        </w:rPr>
        <w:t>OK</w:t>
      </w:r>
      <w:r w:rsidRPr="000665B0">
        <w:t xml:space="preserve"> button.</w:t>
      </w:r>
    </w:p>
    <w:p w14:paraId="7B889EE4" w14:textId="77777777" w:rsidR="005D1A26" w:rsidRPr="000665B0" w:rsidRDefault="00996AD7" w:rsidP="006D5A65">
      <w:pPr>
        <w:pStyle w:val="Heading1"/>
      </w:pPr>
      <w:r w:rsidRPr="000665B0">
        <w:t xml:space="preserve">Click on the Save </w:t>
      </w:r>
      <w:r w:rsidRPr="000665B0">
        <w:rPr>
          <w:rFonts w:ascii="Wingdings" w:hAnsi="Wingdings"/>
        </w:rPr>
        <w:t></w:t>
      </w:r>
      <w:r w:rsidRPr="000665B0">
        <w:t xml:space="preserve"> icon to save the changes or select the </w:t>
      </w:r>
      <w:r w:rsidRPr="000665B0">
        <w:rPr>
          <w:bCs/>
        </w:rPr>
        <w:t>Save</w:t>
      </w:r>
      <w:r w:rsidRPr="000665B0">
        <w:t xml:space="preserve"> option from the </w:t>
      </w:r>
      <w:r w:rsidRPr="000665B0">
        <w:rPr>
          <w:bCs/>
        </w:rPr>
        <w:t>File</w:t>
      </w:r>
      <w:r w:rsidRPr="000665B0">
        <w:t xml:space="preserve"> pull down menu.</w:t>
      </w:r>
    </w:p>
    <w:p w14:paraId="43448664" w14:textId="3E87671E" w:rsidR="00996AD7" w:rsidRPr="000665B0" w:rsidRDefault="00996AD7" w:rsidP="009570CA">
      <w:pPr>
        <w:pStyle w:val="Heading4"/>
      </w:pPr>
      <w:bookmarkStart w:id="6052" w:name="_Toc206231608"/>
      <w:bookmarkStart w:id="6053" w:name="_Toc71955728"/>
      <w:bookmarkStart w:id="6054" w:name="_Toc96170260"/>
      <w:bookmarkStart w:id="6055" w:name="_Toc96234305"/>
      <w:bookmarkStart w:id="6056" w:name="_Toc112733725"/>
      <w:bookmarkStart w:id="6057" w:name="_Toc159315502"/>
      <w:bookmarkStart w:id="6058" w:name="_Toc71955729"/>
      <w:bookmarkStart w:id="6059" w:name="_Toc96170261"/>
      <w:bookmarkStart w:id="6060" w:name="_Toc96234306"/>
      <w:bookmarkStart w:id="6061" w:name="_Toc112733726"/>
      <w:r w:rsidRPr="000665B0">
        <w:t>Remove Platform</w:t>
      </w:r>
      <w:bookmarkEnd w:id="6052"/>
    </w:p>
    <w:bookmarkEnd w:id="6053"/>
    <w:bookmarkEnd w:id="6054"/>
    <w:bookmarkEnd w:id="6055"/>
    <w:bookmarkEnd w:id="6056"/>
    <w:bookmarkEnd w:id="6057"/>
    <w:p w14:paraId="36E48405" w14:textId="09EDAA05" w:rsidR="00996AD7" w:rsidRPr="000665B0" w:rsidRDefault="00996AD7" w:rsidP="009570CA">
      <w:r w:rsidRPr="000665B0">
        <w:t xml:space="preserve">The </w:t>
      </w:r>
      <w:r w:rsidRPr="000665B0">
        <w:rPr>
          <w:b/>
        </w:rPr>
        <w:t>Remove</w:t>
      </w:r>
      <w:r w:rsidRPr="000665B0">
        <w:t xml:space="preserve"> option allows for removal of a platform or a node from the </w:t>
      </w:r>
      <w:r w:rsidR="002307F0" w:rsidRPr="000665B0">
        <w:t xml:space="preserve">Task </w:t>
      </w:r>
      <w:r w:rsidRPr="000665B0">
        <w:t>Organization. The removal may be required due to missile depletion, battle damage, or call to another Area of Interest (</w:t>
      </w:r>
      <w:r w:rsidRPr="000665B0">
        <w:rPr>
          <w:b/>
        </w:rPr>
        <w:t>AOI</w:t>
      </w:r>
      <w:r w:rsidRPr="000665B0">
        <w:t>).</w:t>
      </w:r>
    </w:p>
    <w:p w14:paraId="77A9778C" w14:textId="7DA02541" w:rsidR="00996AD7" w:rsidRPr="000665B0" w:rsidRDefault="00996AD7" w:rsidP="009570CA">
      <w:r w:rsidRPr="000665B0">
        <w:lastRenderedPageBreak/>
        <w:t xml:space="preserve">To remove the platform and/or node from the </w:t>
      </w:r>
      <w:r w:rsidR="002307F0" w:rsidRPr="000665B0">
        <w:t xml:space="preserve">Task </w:t>
      </w:r>
      <w:r w:rsidRPr="000665B0">
        <w:t>Organization:</w:t>
      </w:r>
    </w:p>
    <w:p w14:paraId="3B5C3DDB" w14:textId="13213686" w:rsidR="00996AD7" w:rsidRPr="000665B0" w:rsidRDefault="00996AD7" w:rsidP="006D5A65">
      <w:pPr>
        <w:pStyle w:val="Heading1"/>
      </w:pPr>
      <w:r w:rsidRPr="000665B0">
        <w:t xml:space="preserve">From the </w:t>
      </w:r>
      <w:r w:rsidR="002307F0" w:rsidRPr="000665B0">
        <w:rPr>
          <w:i/>
        </w:rPr>
        <w:t xml:space="preserve">Task </w:t>
      </w:r>
      <w:r w:rsidRPr="000665B0">
        <w:rPr>
          <w:i/>
        </w:rPr>
        <w:t>Organization XXXXX</w:t>
      </w:r>
      <w:r w:rsidRPr="000665B0">
        <w:t xml:space="preserve"> window highlight the desired platform and/or node, invoke the context menu (</w:t>
      </w:r>
      <w:r w:rsidR="00D71804" w:rsidRPr="000665B0">
        <w:t>right-click</w:t>
      </w:r>
      <w:r w:rsidRPr="000665B0">
        <w:t xml:space="preserve"> the mouse), and select </w:t>
      </w:r>
      <w:r w:rsidRPr="000665B0">
        <w:rPr>
          <w:bCs/>
        </w:rPr>
        <w:t>Remove</w:t>
      </w:r>
      <w:r w:rsidRPr="000665B0">
        <w:t xml:space="preserve">. The selected item is removed from the </w:t>
      </w:r>
      <w:r w:rsidR="002307F0" w:rsidRPr="000665B0">
        <w:t xml:space="preserve">Task </w:t>
      </w:r>
      <w:r w:rsidRPr="000665B0">
        <w:t xml:space="preserve">Organization </w:t>
      </w:r>
      <w:r w:rsidR="0089729B" w:rsidRPr="000665B0">
        <w:t>display,</w:t>
      </w:r>
      <w:r w:rsidRPr="000665B0">
        <w:t xml:space="preserve"> but changes must be saved for permanent removal.</w:t>
      </w:r>
    </w:p>
    <w:p w14:paraId="5CBDC81C" w14:textId="77777777" w:rsidR="00E81F7D" w:rsidRPr="000665B0" w:rsidRDefault="00996AD7" w:rsidP="006D5A65">
      <w:pPr>
        <w:pStyle w:val="Heading1"/>
      </w:pPr>
      <w:r w:rsidRPr="000665B0">
        <w:t xml:space="preserve">Click on the Save </w:t>
      </w:r>
      <w:r w:rsidRPr="000665B0">
        <w:rPr>
          <w:rFonts w:ascii="Wingdings" w:hAnsi="Wingdings"/>
        </w:rPr>
        <w:t></w:t>
      </w:r>
      <w:r w:rsidRPr="000665B0">
        <w:t xml:space="preserve"> icon to save the changes or select the </w:t>
      </w:r>
      <w:r w:rsidRPr="000665B0">
        <w:rPr>
          <w:bCs/>
        </w:rPr>
        <w:t>Save</w:t>
      </w:r>
      <w:r w:rsidRPr="000665B0">
        <w:t xml:space="preserve"> option from the </w:t>
      </w:r>
      <w:r w:rsidRPr="000665B0">
        <w:rPr>
          <w:bCs/>
        </w:rPr>
        <w:t>File</w:t>
      </w:r>
      <w:r w:rsidRPr="000665B0">
        <w:t xml:space="preserve"> pull down menu.</w:t>
      </w:r>
    </w:p>
    <w:p w14:paraId="77B2B3EF" w14:textId="6B8BD0EC" w:rsidR="004853FF" w:rsidRPr="000665B0" w:rsidRDefault="004853FF" w:rsidP="009570CA">
      <w:pPr>
        <w:pStyle w:val="Heading4"/>
      </w:pPr>
      <w:r w:rsidRPr="000665B0">
        <w:t>Expand All</w:t>
      </w:r>
    </w:p>
    <w:p w14:paraId="1DADC8E5" w14:textId="22F6D2AD" w:rsidR="004853FF" w:rsidRPr="000665B0" w:rsidRDefault="004853FF" w:rsidP="009570CA">
      <w:pPr>
        <w:spacing w:after="0"/>
      </w:pPr>
      <w:r w:rsidRPr="000665B0">
        <w:t xml:space="preserve">From the </w:t>
      </w:r>
      <w:r w:rsidR="002307F0" w:rsidRPr="000665B0">
        <w:rPr>
          <w:i/>
        </w:rPr>
        <w:t xml:space="preserve">Task </w:t>
      </w:r>
      <w:r w:rsidRPr="000665B0">
        <w:rPr>
          <w:i/>
        </w:rPr>
        <w:t>Organization XXXXX</w:t>
      </w:r>
      <w:r w:rsidRPr="000665B0">
        <w:t xml:space="preserve"> window invoke the context menu (</w:t>
      </w:r>
      <w:r w:rsidR="00D71804" w:rsidRPr="000665B0">
        <w:t>right-click</w:t>
      </w:r>
      <w:r w:rsidRPr="000665B0">
        <w:t xml:space="preserve"> the mouse) and select </w:t>
      </w:r>
      <w:r w:rsidRPr="000665B0">
        <w:rPr>
          <w:b/>
        </w:rPr>
        <w:t>Expand All</w:t>
      </w:r>
      <w:r w:rsidRPr="000665B0">
        <w:t>. The entire tree expands.</w:t>
      </w:r>
    </w:p>
    <w:p w14:paraId="2F00B06A" w14:textId="6DDAE491" w:rsidR="004853FF" w:rsidRPr="000665B0" w:rsidRDefault="004853FF" w:rsidP="009570CA">
      <w:pPr>
        <w:pStyle w:val="Heading4"/>
      </w:pPr>
      <w:r w:rsidRPr="000665B0">
        <w:t>Collapse All</w:t>
      </w:r>
    </w:p>
    <w:p w14:paraId="487CA754" w14:textId="71FCF4F6" w:rsidR="004853FF" w:rsidRPr="000665B0" w:rsidRDefault="004853FF" w:rsidP="009570CA">
      <w:pPr>
        <w:spacing w:after="0"/>
      </w:pPr>
      <w:r w:rsidRPr="000665B0">
        <w:t xml:space="preserve">From the </w:t>
      </w:r>
      <w:r w:rsidR="002307F0" w:rsidRPr="000665B0">
        <w:rPr>
          <w:i/>
        </w:rPr>
        <w:t xml:space="preserve">Task </w:t>
      </w:r>
      <w:r w:rsidRPr="000665B0">
        <w:rPr>
          <w:i/>
        </w:rPr>
        <w:t>Organization XXXXX</w:t>
      </w:r>
      <w:r w:rsidRPr="000665B0">
        <w:t xml:space="preserve"> window invoke the context menu (</w:t>
      </w:r>
      <w:r w:rsidR="00D71804" w:rsidRPr="000665B0">
        <w:t>right-click</w:t>
      </w:r>
      <w:r w:rsidRPr="000665B0">
        <w:t xml:space="preserve"> the mouse) and select </w:t>
      </w:r>
      <w:r w:rsidRPr="000665B0">
        <w:rPr>
          <w:b/>
        </w:rPr>
        <w:t>Collapse All</w:t>
      </w:r>
      <w:r w:rsidRPr="000665B0">
        <w:t>. The entire tree collapses.</w:t>
      </w:r>
    </w:p>
    <w:p w14:paraId="712C0CAB" w14:textId="017F922E" w:rsidR="004853FF" w:rsidRPr="000665B0" w:rsidRDefault="004853FF" w:rsidP="004C79AD">
      <w:pPr>
        <w:pStyle w:val="Heading4"/>
        <w:keepLines/>
      </w:pPr>
      <w:r w:rsidRPr="000665B0">
        <w:t>Print</w:t>
      </w:r>
    </w:p>
    <w:p w14:paraId="41EEDD14" w14:textId="0D091986" w:rsidR="00E81F7D" w:rsidRPr="000665B0" w:rsidRDefault="004853FF" w:rsidP="009570CA">
      <w:pPr>
        <w:spacing w:after="0"/>
      </w:pPr>
      <w:r w:rsidRPr="000665B0">
        <w:t xml:space="preserve">From the </w:t>
      </w:r>
      <w:r w:rsidR="002307F0" w:rsidRPr="000665B0">
        <w:rPr>
          <w:i/>
        </w:rPr>
        <w:t xml:space="preserve">Task </w:t>
      </w:r>
      <w:r w:rsidRPr="000665B0">
        <w:rPr>
          <w:i/>
        </w:rPr>
        <w:t>Organization XXXXX</w:t>
      </w:r>
      <w:r w:rsidRPr="000665B0">
        <w:t xml:space="preserve"> window</w:t>
      </w:r>
      <w:r w:rsidRPr="000665B0" w:rsidDel="004B6736">
        <w:t xml:space="preserve"> </w:t>
      </w:r>
      <w:r w:rsidRPr="000665B0">
        <w:t xml:space="preserve">select one or more items in the List View and select </w:t>
      </w:r>
      <w:r w:rsidR="00A81DEA" w:rsidRPr="000665B0">
        <w:rPr>
          <w:b/>
        </w:rPr>
        <w:t>File</w:t>
      </w:r>
      <w:r w:rsidR="00A81DEA" w:rsidRPr="000665B0">
        <w:t xml:space="preserve"> </w:t>
      </w:r>
      <w:r w:rsidR="00A81DEA" w:rsidRPr="000665B0">
        <w:rPr>
          <w:b/>
        </w:rPr>
        <w:sym w:font="Wingdings" w:char="F0E0"/>
      </w:r>
      <w:r w:rsidR="00A81DEA" w:rsidRPr="000665B0">
        <w:rPr>
          <w:b/>
        </w:rPr>
        <w:t xml:space="preserve"> </w:t>
      </w:r>
      <w:r w:rsidRPr="000665B0">
        <w:rPr>
          <w:b/>
        </w:rPr>
        <w:t>Print</w:t>
      </w:r>
      <w:r w:rsidR="009651B0">
        <w:t xml:space="preserve"> </w:t>
      </w:r>
      <w:r w:rsidR="00F73415" w:rsidRPr="000665B0">
        <w:t xml:space="preserve">or </w:t>
      </w:r>
      <w:r w:rsidR="00A81DEA" w:rsidRPr="000665B0">
        <w:t>invoke the context menu and select</w:t>
      </w:r>
      <w:r w:rsidR="00A81DEA" w:rsidRPr="000665B0">
        <w:rPr>
          <w:b/>
        </w:rPr>
        <w:t xml:space="preserve"> Print</w:t>
      </w:r>
      <w:r w:rsidRPr="000665B0">
        <w:t xml:space="preserve">. </w:t>
      </w:r>
      <w:r w:rsidR="00A81DEA" w:rsidRPr="000665B0">
        <w:t xml:space="preserve">Click </w:t>
      </w:r>
      <w:r w:rsidR="00A81DEA" w:rsidRPr="000665B0">
        <w:rPr>
          <w:b/>
        </w:rPr>
        <w:t>OK</w:t>
      </w:r>
      <w:r w:rsidR="00A81DEA" w:rsidRPr="000665B0">
        <w:t xml:space="preserve"> on the ensuing </w:t>
      </w:r>
      <w:r w:rsidR="00A81DEA" w:rsidRPr="000665B0">
        <w:rPr>
          <w:i/>
        </w:rPr>
        <w:t>Print</w:t>
      </w:r>
      <w:r w:rsidR="00A81DEA" w:rsidRPr="000665B0">
        <w:t xml:space="preserve"> window.</w:t>
      </w:r>
    </w:p>
    <w:p w14:paraId="1E238A8E" w14:textId="5CF93E6C" w:rsidR="009748C6" w:rsidRPr="000665B0" w:rsidRDefault="009748C6" w:rsidP="009570CA">
      <w:pPr>
        <w:pStyle w:val="Heading3"/>
      </w:pPr>
      <w:bookmarkStart w:id="6062" w:name="_Toc214283542"/>
      <w:bookmarkStart w:id="6063" w:name="_Toc289328836"/>
      <w:bookmarkStart w:id="6064" w:name="_Toc312332053"/>
      <w:r w:rsidRPr="000665B0">
        <w:t>Send</w:t>
      </w:r>
      <w:bookmarkEnd w:id="6062"/>
    </w:p>
    <w:p w14:paraId="54872F45" w14:textId="069C6F17" w:rsidR="009748C6" w:rsidRPr="000665B0" w:rsidRDefault="009748C6" w:rsidP="009570CA">
      <w:pPr>
        <w:rPr>
          <w:snapToGrid w:val="0"/>
        </w:rPr>
      </w:pPr>
      <w:r w:rsidRPr="000665B0">
        <w:rPr>
          <w:snapToGrid w:val="0"/>
        </w:rPr>
        <w:t xml:space="preserve">The </w:t>
      </w:r>
      <w:r w:rsidRPr="000665B0">
        <w:rPr>
          <w:b/>
          <w:snapToGrid w:val="0"/>
        </w:rPr>
        <w:t>Send</w:t>
      </w:r>
      <w:r w:rsidRPr="000665B0">
        <w:rPr>
          <w:snapToGrid w:val="0"/>
        </w:rPr>
        <w:t xml:space="preserve"> option adds the selected </w:t>
      </w:r>
      <w:r w:rsidR="002307F0" w:rsidRPr="000665B0">
        <w:t xml:space="preserve">Task </w:t>
      </w:r>
      <w:r w:rsidRPr="000665B0">
        <w:rPr>
          <w:snapToGrid w:val="0"/>
        </w:rPr>
        <w:t xml:space="preserve">Organization to a DDO template for further distribution. For more details on DDO Templates see </w:t>
      </w:r>
      <w:hyperlink w:anchor="_5.20__DDO_TEMPLATES_TOOL" w:history="1">
        <w:r w:rsidR="00DE0842" w:rsidRPr="000665B0">
          <w:rPr>
            <w:snapToGrid w:val="0"/>
            <w:color w:val="0000FF"/>
            <w:u w:val="single"/>
          </w:rPr>
          <w:t xml:space="preserve">Section </w:t>
        </w:r>
        <w:r w:rsidR="004231CC">
          <w:rPr>
            <w:snapToGrid w:val="0"/>
            <w:color w:val="0000FF"/>
            <w:u w:val="single"/>
          </w:rPr>
          <w:t>5.16</w:t>
        </w:r>
      </w:hyperlink>
      <w:r w:rsidRPr="000665B0">
        <w:rPr>
          <w:snapToGrid w:val="0"/>
        </w:rPr>
        <w:t xml:space="preserve">. </w:t>
      </w:r>
    </w:p>
    <w:p w14:paraId="612D410E" w14:textId="5CEC261F" w:rsidR="005D1A26" w:rsidRPr="000665B0" w:rsidRDefault="005D1A26" w:rsidP="009570CA">
      <w:pPr>
        <w:pStyle w:val="Heading3"/>
      </w:pPr>
      <w:bookmarkStart w:id="6065" w:name="_Toc214283543"/>
      <w:r w:rsidRPr="000665B0">
        <w:t>Print</w:t>
      </w:r>
      <w:bookmarkEnd w:id="6058"/>
      <w:bookmarkEnd w:id="6059"/>
      <w:bookmarkEnd w:id="6060"/>
      <w:bookmarkEnd w:id="6061"/>
      <w:r w:rsidR="006C312D" w:rsidRPr="000665B0">
        <w:t xml:space="preserve"> All</w:t>
      </w:r>
      <w:bookmarkEnd w:id="6063"/>
      <w:bookmarkEnd w:id="6064"/>
      <w:bookmarkEnd w:id="6065"/>
    </w:p>
    <w:p w14:paraId="2025B1DF" w14:textId="566248A2" w:rsidR="005D1A26" w:rsidRPr="000665B0" w:rsidRDefault="00F02F03" w:rsidP="009570CA">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61256E2F" w14:textId="2B47FEC4" w:rsidR="00642CF7" w:rsidRPr="000665B0" w:rsidRDefault="00642CF7" w:rsidP="009570CA">
      <w:pPr>
        <w:pStyle w:val="Heading3"/>
      </w:pPr>
      <w:bookmarkStart w:id="6066" w:name="_Toc289328837"/>
      <w:bookmarkStart w:id="6067" w:name="_Toc312332054"/>
      <w:bookmarkStart w:id="6068" w:name="_Toc214283544"/>
      <w:bookmarkStart w:id="6069" w:name="_Toc71955731"/>
      <w:bookmarkStart w:id="6070" w:name="_Toc96170262"/>
      <w:bookmarkStart w:id="6071" w:name="_Toc96234307"/>
      <w:bookmarkStart w:id="6072" w:name="_Toc112733727"/>
      <w:r w:rsidRPr="000665B0">
        <w:t>Display References</w:t>
      </w:r>
      <w:bookmarkEnd w:id="6066"/>
      <w:bookmarkEnd w:id="6067"/>
      <w:bookmarkEnd w:id="6068"/>
    </w:p>
    <w:p w14:paraId="7400E76C" w14:textId="1899133B" w:rsidR="00642CF7" w:rsidRPr="000665B0" w:rsidRDefault="00F02F03" w:rsidP="009570CA">
      <w:r w:rsidRPr="000665B0">
        <w:t>See</w:t>
      </w:r>
      <w:r w:rsidR="00642CF7" w:rsidRPr="000665B0">
        <w:t xml:space="preserve"> </w:t>
      </w:r>
      <w:hyperlink w:anchor="_5.2.1.2.3__Display_1" w:history="1">
        <w:r w:rsidR="00642CF7" w:rsidRPr="000665B0">
          <w:rPr>
            <w:rStyle w:val="Hyperlink"/>
          </w:rPr>
          <w:t>Section 5.2.1.2.3</w:t>
        </w:r>
      </w:hyperlink>
      <w:r w:rsidR="00642CF7" w:rsidRPr="000665B0">
        <w:t>.</w:t>
      </w:r>
    </w:p>
    <w:p w14:paraId="61BB1F15" w14:textId="51AB7B95" w:rsidR="005D1A26" w:rsidRPr="000665B0" w:rsidRDefault="00277DCD" w:rsidP="009570CA">
      <w:pPr>
        <w:pStyle w:val="Heading3"/>
      </w:pPr>
      <w:bookmarkStart w:id="6073" w:name="_Toc289328838"/>
      <w:bookmarkStart w:id="6074" w:name="_Toc312332055"/>
      <w:bookmarkStart w:id="6075" w:name="_Toc214283545"/>
      <w:r w:rsidRPr="000665B0">
        <w:t>Display All in Excel</w:t>
      </w:r>
      <w:bookmarkEnd w:id="6069"/>
      <w:bookmarkEnd w:id="6070"/>
      <w:bookmarkEnd w:id="6071"/>
      <w:bookmarkEnd w:id="6072"/>
      <w:bookmarkEnd w:id="6073"/>
      <w:bookmarkEnd w:id="6074"/>
      <w:bookmarkEnd w:id="6075"/>
    </w:p>
    <w:p w14:paraId="62A4446A" w14:textId="23AD5537" w:rsidR="005D1A26" w:rsidRPr="000665B0" w:rsidRDefault="00F02F03" w:rsidP="009570CA">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52E183E7" w14:textId="7EA42F86" w:rsidR="005D1A26" w:rsidRPr="000665B0" w:rsidRDefault="005D1A26" w:rsidP="009570CA">
      <w:pPr>
        <w:pStyle w:val="Heading3"/>
      </w:pPr>
      <w:bookmarkStart w:id="6076" w:name="_Toc71955732"/>
      <w:bookmarkStart w:id="6077" w:name="_Toc96170263"/>
      <w:bookmarkStart w:id="6078" w:name="_Toc96234308"/>
      <w:bookmarkStart w:id="6079" w:name="_Toc112733728"/>
      <w:bookmarkStart w:id="6080" w:name="_Toc289328839"/>
      <w:bookmarkStart w:id="6081" w:name="_Toc312332056"/>
      <w:bookmarkStart w:id="6082" w:name="_Toc214283546"/>
      <w:r w:rsidRPr="000665B0">
        <w:t>Delete</w:t>
      </w:r>
      <w:bookmarkEnd w:id="6076"/>
      <w:bookmarkEnd w:id="6077"/>
      <w:bookmarkEnd w:id="6078"/>
      <w:bookmarkEnd w:id="6079"/>
      <w:bookmarkEnd w:id="6080"/>
      <w:bookmarkEnd w:id="6081"/>
      <w:bookmarkEnd w:id="6082"/>
    </w:p>
    <w:p w14:paraId="308E1640" w14:textId="785AAA7E" w:rsidR="005D1A26" w:rsidRPr="000665B0" w:rsidRDefault="00F02F03" w:rsidP="009570CA">
      <w:r w:rsidRPr="000665B0">
        <w:t>See</w:t>
      </w:r>
      <w:r w:rsidR="005D1A26" w:rsidRPr="000665B0">
        <w:t xml:space="preserve"> </w:t>
      </w:r>
      <w:hyperlink w:anchor="_5.2.1.6__Delete" w:history="1">
        <w:r w:rsidR="00B9720D" w:rsidRPr="000665B0">
          <w:rPr>
            <w:rStyle w:val="Hyperlink"/>
          </w:rPr>
          <w:t>Section 5.2.1.6</w:t>
        </w:r>
      </w:hyperlink>
      <w:r w:rsidR="005D1A26" w:rsidRPr="000665B0">
        <w:t>.</w:t>
      </w:r>
    </w:p>
    <w:p w14:paraId="55F86D37" w14:textId="0B61AB4D" w:rsidR="00642CF7" w:rsidRPr="000665B0" w:rsidRDefault="00642CF7" w:rsidP="009570CA">
      <w:pPr>
        <w:pStyle w:val="Heading3"/>
      </w:pPr>
      <w:bookmarkStart w:id="6083" w:name="_Toc289328840"/>
      <w:bookmarkStart w:id="6084" w:name="_Toc312332057"/>
      <w:bookmarkStart w:id="6085" w:name="_Toc214283547"/>
      <w:bookmarkStart w:id="6086" w:name="_Toc71955733"/>
      <w:bookmarkStart w:id="6087" w:name="_Toc96170264"/>
      <w:bookmarkStart w:id="6088" w:name="_Toc96234309"/>
      <w:bookmarkStart w:id="6089" w:name="_Toc112733729"/>
      <w:r w:rsidRPr="000665B0">
        <w:lastRenderedPageBreak/>
        <w:t>Receive File</w:t>
      </w:r>
      <w:bookmarkEnd w:id="6083"/>
      <w:bookmarkEnd w:id="6084"/>
      <w:bookmarkEnd w:id="6085"/>
    </w:p>
    <w:p w14:paraId="3682BA43" w14:textId="76517A64" w:rsidR="00642CF7" w:rsidRPr="000665B0" w:rsidRDefault="00F02F03" w:rsidP="009570CA">
      <w:r w:rsidRPr="000665B0">
        <w:t>See</w:t>
      </w:r>
      <w:r w:rsidR="00642CF7" w:rsidRPr="000665B0">
        <w:t xml:space="preserve"> </w:t>
      </w:r>
      <w:hyperlink w:anchor="_5.2.1.7__Receive" w:history="1">
        <w:r w:rsidR="00642CF7" w:rsidRPr="000665B0">
          <w:rPr>
            <w:rStyle w:val="Hyperlink"/>
          </w:rPr>
          <w:t>Section 5.2.1.7</w:t>
        </w:r>
      </w:hyperlink>
      <w:r w:rsidR="00642CF7" w:rsidRPr="000665B0">
        <w:t>.</w:t>
      </w:r>
    </w:p>
    <w:p w14:paraId="503069AA" w14:textId="3CF56A29" w:rsidR="005D1A26" w:rsidRPr="000665B0" w:rsidRDefault="005D1A26" w:rsidP="009570CA">
      <w:pPr>
        <w:pStyle w:val="Heading3"/>
      </w:pPr>
      <w:bookmarkStart w:id="6090" w:name="_Toc289328841"/>
      <w:bookmarkStart w:id="6091" w:name="_Toc312332058"/>
      <w:bookmarkStart w:id="6092" w:name="_Toc214283548"/>
      <w:r w:rsidRPr="000665B0">
        <w:t>Find</w:t>
      </w:r>
      <w:bookmarkEnd w:id="6086"/>
      <w:bookmarkEnd w:id="6087"/>
      <w:bookmarkEnd w:id="6088"/>
      <w:bookmarkEnd w:id="6089"/>
      <w:bookmarkEnd w:id="6090"/>
      <w:bookmarkEnd w:id="6091"/>
      <w:bookmarkEnd w:id="6092"/>
    </w:p>
    <w:p w14:paraId="6C5289FA" w14:textId="2E03B1A3" w:rsidR="005D1A26" w:rsidRPr="000665B0" w:rsidRDefault="00F02F03" w:rsidP="009570CA">
      <w:pPr>
        <w:pStyle w:val="Bullet"/>
        <w:spacing w:after="0" w:line="240" w:lineRule="auto"/>
      </w:pPr>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36E1C0BC" w14:textId="77777777" w:rsidR="00190086" w:rsidRPr="000665B0" w:rsidRDefault="00190086" w:rsidP="009570CA">
      <w:pPr>
        <w:pStyle w:val="Heading3"/>
      </w:pPr>
      <w:bookmarkStart w:id="6093" w:name="_Toc214283549"/>
      <w:r w:rsidRPr="000665B0">
        <w:t>Plugin Tool</w:t>
      </w:r>
      <w:bookmarkEnd w:id="6093"/>
    </w:p>
    <w:p w14:paraId="2D887101" w14:textId="65E27ADB" w:rsidR="00190086" w:rsidRPr="000665B0" w:rsidRDefault="00F02F03" w:rsidP="009570CA">
      <w:pPr>
        <w:pStyle w:val="Bullet"/>
        <w:spacing w:after="0" w:line="240" w:lineRule="auto"/>
      </w:pPr>
      <w:r w:rsidRPr="000665B0">
        <w:t>See</w:t>
      </w:r>
      <w:r w:rsidR="00190086" w:rsidRPr="000665B0">
        <w:t xml:space="preserve"> </w:t>
      </w:r>
      <w:hyperlink w:anchor="_Plugin__Tool" w:history="1">
        <w:r w:rsidR="00190086" w:rsidRPr="000665B0">
          <w:rPr>
            <w:rStyle w:val="Hyperlink"/>
          </w:rPr>
          <w:t>Section 5.2.5.2</w:t>
        </w:r>
      </w:hyperlink>
      <w:r w:rsidR="00190086" w:rsidRPr="000665B0">
        <w:t>.</w:t>
      </w:r>
    </w:p>
    <w:p w14:paraId="35843940" w14:textId="036C1F53" w:rsidR="005D1A26" w:rsidRPr="000665B0" w:rsidRDefault="005D1A26" w:rsidP="009570CA">
      <w:pPr>
        <w:pStyle w:val="Heading3"/>
      </w:pPr>
      <w:bookmarkStart w:id="6094" w:name="_Toc71955734"/>
      <w:bookmarkStart w:id="6095" w:name="_Toc96170265"/>
      <w:bookmarkStart w:id="6096" w:name="_Toc96234310"/>
      <w:bookmarkStart w:id="6097" w:name="_Toc112733730"/>
      <w:bookmarkStart w:id="6098" w:name="_Toc289328842"/>
      <w:bookmarkStart w:id="6099" w:name="_Toc312332059"/>
      <w:bookmarkStart w:id="6100" w:name="_Toc214283550"/>
      <w:r w:rsidRPr="000665B0">
        <w:t>Select All</w:t>
      </w:r>
      <w:bookmarkEnd w:id="6094"/>
      <w:bookmarkEnd w:id="6095"/>
      <w:bookmarkEnd w:id="6096"/>
      <w:bookmarkEnd w:id="6097"/>
      <w:bookmarkEnd w:id="6098"/>
      <w:bookmarkEnd w:id="6099"/>
      <w:bookmarkEnd w:id="6100"/>
    </w:p>
    <w:p w14:paraId="2C9528CA" w14:textId="7E883ABA" w:rsidR="005D1A26" w:rsidRPr="000665B0" w:rsidRDefault="00F02F03" w:rsidP="009570CA">
      <w:pPr>
        <w:pStyle w:val="Bullet"/>
        <w:spacing w:after="0" w:line="240" w:lineRule="auto"/>
      </w:pPr>
      <w:r w:rsidRPr="000665B0">
        <w:t>See</w:t>
      </w:r>
      <w:r w:rsidR="005D1A26" w:rsidRPr="000665B0">
        <w:t xml:space="preserve"> </w:t>
      </w:r>
      <w:hyperlink w:anchor="_5.2.2.1__Select_1" w:history="1">
        <w:r w:rsidR="005D1A26" w:rsidRPr="000665B0">
          <w:rPr>
            <w:rStyle w:val="Hyperlink"/>
          </w:rPr>
          <w:t>Section 5.2.2.1</w:t>
        </w:r>
      </w:hyperlink>
      <w:r w:rsidR="005D1A26" w:rsidRPr="000665B0">
        <w:t>.</w:t>
      </w:r>
    </w:p>
    <w:p w14:paraId="714A8D5E" w14:textId="4F2D5072" w:rsidR="00642CF7" w:rsidRPr="000665B0" w:rsidRDefault="00642CF7" w:rsidP="009570CA">
      <w:pPr>
        <w:pStyle w:val="Heading3"/>
      </w:pPr>
      <w:bookmarkStart w:id="6101" w:name="_Toc289328843"/>
      <w:bookmarkStart w:id="6102" w:name="_Toc312332060"/>
      <w:bookmarkStart w:id="6103" w:name="_Toc214283551"/>
      <w:r w:rsidRPr="000665B0">
        <w:t>Properties</w:t>
      </w:r>
      <w:bookmarkEnd w:id="6101"/>
      <w:bookmarkEnd w:id="6102"/>
      <w:bookmarkEnd w:id="6103"/>
    </w:p>
    <w:p w14:paraId="541E53FF" w14:textId="3B862F05" w:rsidR="00642CF7" w:rsidRPr="000665B0" w:rsidRDefault="00F02F03" w:rsidP="009570CA">
      <w:r w:rsidRPr="000665B0">
        <w:t>See</w:t>
      </w:r>
      <w:r w:rsidR="00642CF7" w:rsidRPr="000665B0">
        <w:t xml:space="preserve"> </w:t>
      </w:r>
      <w:hyperlink w:anchor="_5.2.3.4__Properties" w:history="1">
        <w:r w:rsidR="00A75813" w:rsidRPr="000665B0">
          <w:rPr>
            <w:rStyle w:val="Hyperlink"/>
          </w:rPr>
          <w:t>Section 5.2.3.5</w:t>
        </w:r>
      </w:hyperlink>
      <w:r w:rsidR="00642CF7" w:rsidRPr="000665B0">
        <w:t>.</w:t>
      </w:r>
    </w:p>
    <w:p w14:paraId="2A89396D" w14:textId="4C47F52A" w:rsidR="00642CF7" w:rsidRPr="000665B0" w:rsidRDefault="00642CF7" w:rsidP="009570CA">
      <w:pPr>
        <w:pStyle w:val="Heading3"/>
      </w:pPr>
      <w:bookmarkStart w:id="6104" w:name="_Toc289328844"/>
      <w:bookmarkStart w:id="6105" w:name="_Toc312332061"/>
      <w:bookmarkStart w:id="6106" w:name="_Toc214283552"/>
      <w:r w:rsidRPr="000665B0">
        <w:t>Sort</w:t>
      </w:r>
      <w:bookmarkEnd w:id="6104"/>
      <w:bookmarkEnd w:id="6105"/>
      <w:bookmarkEnd w:id="6106"/>
    </w:p>
    <w:p w14:paraId="6D6CD1A1" w14:textId="5142218E" w:rsidR="00642CF7" w:rsidRPr="000665B0" w:rsidRDefault="00F02F03" w:rsidP="009570CA">
      <w:r w:rsidRPr="000665B0">
        <w:t>See</w:t>
      </w:r>
      <w:r w:rsidR="00642CF7" w:rsidRPr="000665B0">
        <w:t xml:space="preserve"> </w:t>
      </w:r>
      <w:hyperlink w:anchor="_5.2.3.4.1__Sort" w:history="1">
        <w:r w:rsidR="00A75813" w:rsidRPr="000665B0">
          <w:rPr>
            <w:rStyle w:val="Hyperlink"/>
          </w:rPr>
          <w:t>Section 5.2.3.5</w:t>
        </w:r>
        <w:r w:rsidR="00CD3C6D" w:rsidRPr="000665B0">
          <w:rPr>
            <w:rStyle w:val="Hyperlink"/>
          </w:rPr>
          <w:t>.1</w:t>
        </w:r>
      </w:hyperlink>
      <w:r w:rsidR="00642CF7" w:rsidRPr="000665B0">
        <w:t>.</w:t>
      </w:r>
    </w:p>
    <w:p w14:paraId="11AFC307" w14:textId="77777777" w:rsidR="00A316EA" w:rsidRDefault="00A316EA" w:rsidP="006966D9">
      <w:pPr>
        <w:pStyle w:val="Heading2"/>
      </w:pPr>
      <w:bookmarkStart w:id="6107" w:name="_Appendix_A_Acronyms_/_Definitions_o"/>
      <w:bookmarkStart w:id="6108" w:name="_Toc71955735"/>
      <w:bookmarkStart w:id="6109" w:name="_Toc96170266"/>
      <w:bookmarkStart w:id="6110" w:name="_Toc96234311"/>
      <w:bookmarkStart w:id="6111" w:name="_Toc112733731"/>
      <w:bookmarkStart w:id="6112" w:name="_Toc164499425"/>
      <w:bookmarkStart w:id="6113" w:name="_Toc96170310"/>
      <w:bookmarkStart w:id="6114" w:name="_Toc96234355"/>
      <w:bookmarkStart w:id="6115" w:name="_Toc112733772"/>
      <w:bookmarkEnd w:id="6107"/>
      <w:r>
        <w:br w:type="page"/>
      </w:r>
      <w:bookmarkStart w:id="6116" w:name="_5.37__STRIKE_1"/>
      <w:bookmarkStart w:id="6117" w:name="_Toc289328845"/>
      <w:bookmarkStart w:id="6118" w:name="_Toc312332062"/>
      <w:bookmarkStart w:id="6119" w:name="_Toc214283553"/>
      <w:bookmarkStart w:id="6120" w:name="_Hlk37245121"/>
      <w:bookmarkEnd w:id="5959"/>
      <w:bookmarkEnd w:id="6116"/>
      <w:r w:rsidR="0078503C" w:rsidRPr="000665B0">
        <w:lastRenderedPageBreak/>
        <w:t>STRIKE FOLDERS TOOL</w:t>
      </w:r>
      <w:bookmarkEnd w:id="6108"/>
      <w:bookmarkEnd w:id="6109"/>
      <w:bookmarkEnd w:id="6110"/>
      <w:bookmarkEnd w:id="6111"/>
      <w:bookmarkEnd w:id="6112"/>
      <w:bookmarkEnd w:id="6117"/>
      <w:bookmarkEnd w:id="6118"/>
      <w:bookmarkEnd w:id="6119"/>
    </w:p>
    <w:p w14:paraId="58456EC4" w14:textId="77777777" w:rsidR="00C101C6" w:rsidRPr="000665B0" w:rsidRDefault="00C101C6" w:rsidP="009570CA">
      <w:pPr>
        <w:pStyle w:val="BodyText"/>
        <w:tabs>
          <w:tab w:val="left" w:pos="720"/>
        </w:tabs>
        <w:spacing w:after="120"/>
      </w:pPr>
      <w:r w:rsidRPr="000665B0">
        <w:t xml:space="preserve">The Strike Folders Tool displays a list of all the Strike Folders contained in the database. This tool provides a single location by which the operator can create, display, and manage the Strike Folders. </w:t>
      </w:r>
      <w:r w:rsidR="007F1284" w:rsidRPr="000665B0">
        <w:t xml:space="preserve">A Strike Folder is a tool to create, plan, coordinate, and manage a strike </w:t>
      </w:r>
      <w:r w:rsidR="0043623E" w:rsidRPr="000665B0">
        <w:t>that utilizes</w:t>
      </w:r>
      <w:r w:rsidR="007F1284" w:rsidRPr="000665B0">
        <w:t xml:space="preserve"> </w:t>
      </w:r>
      <w:r w:rsidR="00B27643" w:rsidRPr="000665B0">
        <w:t>the assets</w:t>
      </w:r>
      <w:r w:rsidR="007F1284" w:rsidRPr="000665B0">
        <w:t xml:space="preserve"> </w:t>
      </w:r>
      <w:r w:rsidR="00B27643" w:rsidRPr="000665B0">
        <w:t>within the</w:t>
      </w:r>
      <w:r w:rsidR="007F1284" w:rsidRPr="000665B0">
        <w:t xml:space="preserve"> Tomahawk weapon system such as </w:t>
      </w:r>
      <w:r w:rsidR="00D56649" w:rsidRPr="000665B0">
        <w:t xml:space="preserve">Standalone MDS </w:t>
      </w:r>
      <w:r w:rsidR="007F1284" w:rsidRPr="000665B0">
        <w:t>nodes, communications, missions, launch platforms, and missiles to effectively prosecute assigned targets. Strike data are the products of that strike plan organized as a “folder.”</w:t>
      </w:r>
      <w:r w:rsidRPr="000665B0">
        <w:t xml:space="preserve"> Within </w:t>
      </w:r>
      <w:r w:rsidR="005406CE" w:rsidRPr="000665B0">
        <w:t xml:space="preserve">each </w:t>
      </w:r>
      <w:r w:rsidRPr="000665B0">
        <w:t>Strike Folder are</w:t>
      </w:r>
      <w:r w:rsidR="005406CE" w:rsidRPr="000665B0">
        <w:t xml:space="preserve"> individual tools</w:t>
      </w:r>
      <w:r w:rsidRPr="000665B0">
        <w:t xml:space="preserve"> that perform specific functions to aid the Strike planner.</w:t>
      </w:r>
    </w:p>
    <w:p w14:paraId="7AB73568" w14:textId="54B096FD" w:rsidR="00C101C6" w:rsidRPr="000665B0" w:rsidRDefault="00C101C6" w:rsidP="009570CA">
      <w:pPr>
        <w:pStyle w:val="BodyText"/>
        <w:tabs>
          <w:tab w:val="left" w:pos="720"/>
        </w:tabs>
        <w:spacing w:after="120"/>
      </w:pPr>
      <w:r w:rsidRPr="000665B0">
        <w:t xml:space="preserve">The Strike Folders Tool consists of a configurable list view containing the Strike Folder’s Folder ID, Title, Class, Owner, and Last Modified information. The column’s configuration and sorting can be customized to the operator’s preference. The list view allows the operator to quickly view and search for Strike Folders. It provides the capability to display the Strike Folder and its folder items textually. It also provides the capability to select a group of Strike Folders and create a Strike Plan Folder </w:t>
      </w:r>
      <w:r w:rsidR="00012F7D" w:rsidRPr="000665B0">
        <w:t>Library or</w:t>
      </w:r>
      <w:r w:rsidRPr="000665B0">
        <w:t xml:space="preserve"> send the group of Strike Folders and its </w:t>
      </w:r>
      <w:r w:rsidR="00D04F77" w:rsidRPr="000665B0">
        <w:t xml:space="preserve">associated </w:t>
      </w:r>
      <w:r w:rsidRPr="000665B0">
        <w:t>data.</w:t>
      </w:r>
    </w:p>
    <w:p w14:paraId="48BE4363" w14:textId="499D4022" w:rsidR="008B743F" w:rsidRPr="000665B0" w:rsidRDefault="008B743F" w:rsidP="00F63C77">
      <w:pPr>
        <w:pStyle w:val="BodyText"/>
        <w:tabs>
          <w:tab w:val="left" w:pos="720"/>
        </w:tabs>
        <w:spacing w:after="120"/>
      </w:pPr>
      <w:r w:rsidRPr="000665B0">
        <w:t xml:space="preserve">The list view includes Strike Folders created using the Quick Strike Tool (if installed; see </w:t>
      </w:r>
      <w:hyperlink w:anchor="_QUICK_STRIKE_TOOL_1" w:history="1">
        <w:r w:rsidR="00984911" w:rsidRPr="00A25437">
          <w:rPr>
            <w:rStyle w:val="Hyperlink"/>
          </w:rPr>
          <w:t xml:space="preserve">Section </w:t>
        </w:r>
        <w:r w:rsidR="004231CC">
          <w:rPr>
            <w:rStyle w:val="Hyperlink"/>
          </w:rPr>
          <w:t>5.36</w:t>
        </w:r>
      </w:hyperlink>
      <w:r w:rsidRPr="000665B0">
        <w:t xml:space="preserve">). </w:t>
      </w:r>
    </w:p>
    <w:p w14:paraId="61B2BFAD" w14:textId="77777777" w:rsidR="00293F13" w:rsidRPr="000665B0" w:rsidRDefault="00293F13" w:rsidP="00F63C77">
      <w:pPr>
        <w:pageBreakBefore/>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bookmarkStart w:id="6121" w:name="_Hlk103165929"/>
      <w:r w:rsidRPr="000665B0">
        <w:rPr>
          <w:b/>
          <w:szCs w:val="24"/>
        </w:rPr>
        <w:lastRenderedPageBreak/>
        <w:t>Note:</w:t>
      </w:r>
    </w:p>
    <w:p w14:paraId="21702A70" w14:textId="26300258" w:rsidR="00293F13" w:rsidRPr="000665B0" w:rsidRDefault="00293F13" w:rsidP="009570CA">
      <w:pPr>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0665B0">
        <w:rPr>
          <w:b/>
          <w:szCs w:val="24"/>
        </w:rPr>
        <w:t>MSTM strike data is not recognized by pre-7.0 MDS nodes and pre-V5.6.1 TTWCS nodes. When a DDO containing a MSTM strike folder (with a MSTM strike option containing MSTM tasking such as MSTM assignments, MSTM Full and CFF LMOs, and MSTM TMPRs) is distributed to those nodes, the following occurs:</w:t>
      </w:r>
    </w:p>
    <w:p w14:paraId="6718D550" w14:textId="77777777" w:rsidR="00293F13" w:rsidRPr="000665B0" w:rsidRDefault="00293F13" w:rsidP="009570CA">
      <w:pPr>
        <w:pBdr>
          <w:top w:val="single" w:sz="12" w:space="1" w:color="auto"/>
          <w:left w:val="single" w:sz="12" w:space="4" w:color="auto"/>
          <w:bottom w:val="single" w:sz="12" w:space="1" w:color="auto"/>
          <w:right w:val="single" w:sz="12" w:space="4" w:color="auto"/>
        </w:pBdr>
        <w:shd w:val="clear" w:color="auto" w:fill="D9D9D9"/>
        <w:spacing w:after="60"/>
        <w:ind w:left="360" w:hanging="360"/>
        <w:rPr>
          <w:b/>
          <w:szCs w:val="24"/>
        </w:rPr>
      </w:pPr>
      <w:r w:rsidRPr="000665B0">
        <w:rPr>
          <w:b/>
          <w:szCs w:val="24"/>
        </w:rPr>
        <w:t>a.</w:t>
      </w:r>
      <w:r w:rsidRPr="000665B0">
        <w:rPr>
          <w:b/>
          <w:szCs w:val="24"/>
        </w:rPr>
        <w:tab/>
        <w:t>All MSTM LMOs are removed from the LMO folder within the strike folder and are not sent.</w:t>
      </w:r>
    </w:p>
    <w:p w14:paraId="3EBC5AF8" w14:textId="1AD6B619" w:rsidR="00293F13" w:rsidRPr="000665B0" w:rsidRDefault="00293F13" w:rsidP="009570CA">
      <w:pPr>
        <w:pBdr>
          <w:top w:val="single" w:sz="12" w:space="1" w:color="auto"/>
          <w:left w:val="single" w:sz="12" w:space="4" w:color="auto"/>
          <w:bottom w:val="single" w:sz="12" w:space="1" w:color="auto"/>
          <w:right w:val="single" w:sz="12" w:space="4" w:color="auto"/>
        </w:pBdr>
        <w:shd w:val="clear" w:color="auto" w:fill="D9D9D9"/>
        <w:spacing w:after="60"/>
        <w:ind w:left="360" w:hanging="360"/>
        <w:rPr>
          <w:b/>
          <w:szCs w:val="24"/>
        </w:rPr>
      </w:pPr>
      <w:r w:rsidRPr="000665B0">
        <w:rPr>
          <w:b/>
          <w:szCs w:val="24"/>
        </w:rPr>
        <w:t>b.</w:t>
      </w:r>
      <w:r w:rsidRPr="000665B0">
        <w:rPr>
          <w:b/>
          <w:szCs w:val="24"/>
        </w:rPr>
        <w:tab/>
        <w:t>All MSTM assignments appear on MDS 5.x and 6.x as 109E comms-disabled reservations.</w:t>
      </w:r>
    </w:p>
    <w:p w14:paraId="5AFAAE10" w14:textId="47BEF530" w:rsidR="00293F13" w:rsidRPr="000665B0" w:rsidRDefault="00293F13" w:rsidP="009570CA">
      <w:pPr>
        <w:pBdr>
          <w:top w:val="single" w:sz="12" w:space="1" w:color="auto"/>
          <w:left w:val="single" w:sz="12" w:space="4" w:color="auto"/>
          <w:bottom w:val="single" w:sz="12" w:space="1" w:color="auto"/>
          <w:right w:val="single" w:sz="12" w:space="4" w:color="auto"/>
        </w:pBdr>
        <w:shd w:val="clear" w:color="auto" w:fill="D9D9D9"/>
        <w:spacing w:after="60"/>
        <w:ind w:left="360" w:hanging="360"/>
        <w:rPr>
          <w:b/>
          <w:szCs w:val="24"/>
        </w:rPr>
      </w:pPr>
      <w:r w:rsidRPr="000665B0">
        <w:rPr>
          <w:b/>
          <w:szCs w:val="24"/>
        </w:rPr>
        <w:t>c.</w:t>
      </w:r>
      <w:r w:rsidRPr="000665B0">
        <w:rPr>
          <w:b/>
          <w:szCs w:val="24"/>
        </w:rPr>
        <w:tab/>
        <w:t xml:space="preserve">All </w:t>
      </w:r>
      <w:r w:rsidR="00F30E2A">
        <w:rPr>
          <w:b/>
          <w:szCs w:val="24"/>
        </w:rPr>
        <w:t>TMPRs that specify use of a MSTM</w:t>
      </w:r>
      <w:r w:rsidRPr="000665B0">
        <w:rPr>
          <w:b/>
          <w:szCs w:val="24"/>
        </w:rPr>
        <w:t xml:space="preserve"> display a Status of Missing TMPR in the strike folder MCM and strike option.</w:t>
      </w:r>
    </w:p>
    <w:p w14:paraId="5DF49113" w14:textId="706F6E01" w:rsidR="00293F13" w:rsidRDefault="00293F13" w:rsidP="009570CA">
      <w:pPr>
        <w:pBdr>
          <w:top w:val="single" w:sz="12" w:space="1" w:color="auto"/>
          <w:left w:val="single" w:sz="12" w:space="4" w:color="auto"/>
          <w:bottom w:val="single" w:sz="12" w:space="1" w:color="auto"/>
          <w:right w:val="single" w:sz="12" w:space="4" w:color="auto"/>
        </w:pBdr>
        <w:shd w:val="clear" w:color="auto" w:fill="D9D9D9"/>
        <w:spacing w:after="60"/>
        <w:ind w:left="360" w:hanging="360"/>
        <w:rPr>
          <w:b/>
          <w:szCs w:val="24"/>
        </w:rPr>
      </w:pPr>
      <w:r w:rsidRPr="000665B0">
        <w:rPr>
          <w:b/>
          <w:szCs w:val="24"/>
        </w:rPr>
        <w:t>d.</w:t>
      </w:r>
      <w:r w:rsidRPr="000665B0">
        <w:rPr>
          <w:b/>
          <w:szCs w:val="24"/>
        </w:rPr>
        <w:tab/>
        <w:t>When the MSTM strike is returned by a legacy MDS 5.x or 6.x system, all MSTM strike components are restored to their original parameters.</w:t>
      </w:r>
    </w:p>
    <w:p w14:paraId="013F1EA8" w14:textId="77777777" w:rsidR="009570CA" w:rsidRDefault="009570CA" w:rsidP="009570CA">
      <w:pPr>
        <w:pBdr>
          <w:top w:val="single" w:sz="12" w:space="1" w:color="auto"/>
          <w:left w:val="single" w:sz="12" w:space="4" w:color="auto"/>
          <w:bottom w:val="single" w:sz="12" w:space="1" w:color="auto"/>
          <w:right w:val="single" w:sz="12" w:space="4" w:color="auto"/>
        </w:pBdr>
        <w:shd w:val="clear" w:color="auto" w:fill="D9D9D9"/>
        <w:spacing w:after="60"/>
        <w:jc w:val="center"/>
        <w:rPr>
          <w:b/>
          <w:szCs w:val="24"/>
        </w:rPr>
      </w:pPr>
    </w:p>
    <w:p w14:paraId="007A35D7" w14:textId="06763E42" w:rsidR="00FB374C" w:rsidRPr="000665B0" w:rsidRDefault="00FB374C" w:rsidP="009570CA">
      <w:pPr>
        <w:pBdr>
          <w:top w:val="single" w:sz="12" w:space="1" w:color="auto"/>
          <w:left w:val="single" w:sz="12" w:space="4" w:color="auto"/>
          <w:bottom w:val="single" w:sz="12" w:space="1" w:color="auto"/>
          <w:right w:val="single" w:sz="12" w:space="4" w:color="auto"/>
        </w:pBdr>
        <w:shd w:val="clear" w:color="auto" w:fill="D9D9D9"/>
        <w:spacing w:after="60"/>
        <w:jc w:val="center"/>
        <w:rPr>
          <w:b/>
          <w:szCs w:val="24"/>
        </w:rPr>
      </w:pPr>
      <w:r>
        <w:rPr>
          <w:b/>
          <w:szCs w:val="24"/>
        </w:rPr>
        <w:t>Ground Launch (GL) Required</w:t>
      </w:r>
      <w:r w:rsidRPr="000665B0">
        <w:rPr>
          <w:b/>
          <w:szCs w:val="24"/>
        </w:rPr>
        <w:t xml:space="preserve"> strike data is not recognized by pre-</w:t>
      </w:r>
      <w:r>
        <w:rPr>
          <w:b/>
          <w:szCs w:val="24"/>
        </w:rPr>
        <w:t>6.0.2</w:t>
      </w:r>
      <w:r w:rsidRPr="000665B0">
        <w:rPr>
          <w:b/>
          <w:szCs w:val="24"/>
        </w:rPr>
        <w:t xml:space="preserve"> MDS nodes and pre-V5.6.1 TTWCS nodes. When </w:t>
      </w:r>
      <w:r w:rsidRPr="00BF391D">
        <w:rPr>
          <w:b/>
          <w:bCs/>
        </w:rPr>
        <w:t xml:space="preserve">a DDO containing a </w:t>
      </w:r>
      <w:r w:rsidRPr="00BF391D">
        <w:rPr>
          <w:b/>
          <w:bCs/>
          <w:color w:val="222222"/>
          <w:szCs w:val="24"/>
        </w:rPr>
        <w:t>strike folder (with a strike option containing GL Required tasking</w:t>
      </w:r>
      <w:r>
        <w:rPr>
          <w:b/>
          <w:bCs/>
          <w:color w:val="222222"/>
          <w:szCs w:val="24"/>
        </w:rPr>
        <w:t>,</w:t>
      </w:r>
      <w:r w:rsidRPr="00BF391D">
        <w:rPr>
          <w:b/>
          <w:bCs/>
          <w:color w:val="222222"/>
          <w:szCs w:val="24"/>
        </w:rPr>
        <w:t xml:space="preserve"> such as GL Required mission assignments), </w:t>
      </w:r>
      <w:r>
        <w:rPr>
          <w:b/>
          <w:bCs/>
          <w:color w:val="222222"/>
          <w:szCs w:val="24"/>
        </w:rPr>
        <w:br/>
      </w:r>
      <w:r w:rsidRPr="00BF391D">
        <w:rPr>
          <w:b/>
          <w:bCs/>
          <w:color w:val="222222"/>
          <w:szCs w:val="24"/>
        </w:rPr>
        <w:t>the following occurs:</w:t>
      </w:r>
    </w:p>
    <w:p w14:paraId="498DA040" w14:textId="508C81F6" w:rsidR="00FB374C" w:rsidRPr="000665B0" w:rsidRDefault="00FB374C" w:rsidP="009570CA">
      <w:pPr>
        <w:pBdr>
          <w:top w:val="single" w:sz="12" w:space="1" w:color="auto"/>
          <w:left w:val="single" w:sz="12" w:space="4" w:color="auto"/>
          <w:bottom w:val="single" w:sz="12" w:space="1" w:color="auto"/>
          <w:right w:val="single" w:sz="12" w:space="4" w:color="auto"/>
        </w:pBdr>
        <w:shd w:val="clear" w:color="auto" w:fill="D9D9D9"/>
        <w:spacing w:after="60"/>
        <w:ind w:left="360" w:hanging="360"/>
        <w:rPr>
          <w:b/>
          <w:szCs w:val="24"/>
        </w:rPr>
      </w:pPr>
      <w:r w:rsidRPr="000665B0">
        <w:rPr>
          <w:b/>
          <w:szCs w:val="24"/>
        </w:rPr>
        <w:t>a.</w:t>
      </w:r>
      <w:r w:rsidRPr="000665B0">
        <w:rPr>
          <w:b/>
          <w:szCs w:val="24"/>
        </w:rPr>
        <w:tab/>
      </w:r>
      <w:r w:rsidRPr="006271AA">
        <w:rPr>
          <w:b/>
          <w:bCs/>
          <w:color w:val="222222"/>
          <w:szCs w:val="24"/>
        </w:rPr>
        <w:t xml:space="preserve">All GL Required assignments </w:t>
      </w:r>
      <w:r w:rsidRPr="006271AA">
        <w:rPr>
          <w:b/>
          <w:bCs/>
        </w:rPr>
        <w:t xml:space="preserve">appear on MDS 5.x and pre-6.0.2 as </w:t>
      </w:r>
      <w:r w:rsidRPr="006271AA">
        <w:rPr>
          <w:b/>
          <w:bCs/>
          <w:color w:val="222222"/>
          <w:szCs w:val="24"/>
        </w:rPr>
        <w:t xml:space="preserve">having </w:t>
      </w:r>
      <w:r>
        <w:rPr>
          <w:b/>
          <w:bCs/>
          <w:color w:val="222222"/>
          <w:szCs w:val="24"/>
        </w:rPr>
        <w:t xml:space="preserve">a </w:t>
      </w:r>
      <w:r w:rsidRPr="006271AA">
        <w:rPr>
          <w:b/>
          <w:bCs/>
          <w:color w:val="222222"/>
          <w:szCs w:val="24"/>
        </w:rPr>
        <w:t>missing mission in the strike folder MCM and in the Mission tab and reservation in Missile tab in strike option</w:t>
      </w:r>
      <w:r w:rsidRPr="006271AA">
        <w:rPr>
          <w:b/>
          <w:bCs/>
          <w:szCs w:val="24"/>
        </w:rPr>
        <w:t>.</w:t>
      </w:r>
    </w:p>
    <w:p w14:paraId="59499116" w14:textId="07613BF9" w:rsidR="00FB374C" w:rsidRPr="000665B0" w:rsidRDefault="00094E1E" w:rsidP="009570CA">
      <w:pPr>
        <w:pBdr>
          <w:top w:val="single" w:sz="12" w:space="1" w:color="auto"/>
          <w:left w:val="single" w:sz="12" w:space="4" w:color="auto"/>
          <w:bottom w:val="single" w:sz="12" w:space="1" w:color="auto"/>
          <w:right w:val="single" w:sz="12" w:space="4" w:color="auto"/>
        </w:pBdr>
        <w:shd w:val="clear" w:color="auto" w:fill="D9D9D9"/>
        <w:spacing w:after="60"/>
        <w:ind w:left="360" w:hanging="360"/>
        <w:rPr>
          <w:b/>
          <w:szCs w:val="24"/>
        </w:rPr>
      </w:pPr>
      <w:r>
        <w:rPr>
          <w:b/>
          <w:szCs w:val="24"/>
        </w:rPr>
        <w:t>b</w:t>
      </w:r>
      <w:r w:rsidR="00FB374C" w:rsidRPr="000665B0">
        <w:rPr>
          <w:b/>
          <w:szCs w:val="24"/>
        </w:rPr>
        <w:t>.</w:t>
      </w:r>
      <w:r w:rsidR="00FB374C" w:rsidRPr="000665B0">
        <w:rPr>
          <w:b/>
          <w:szCs w:val="24"/>
        </w:rPr>
        <w:tab/>
        <w:t xml:space="preserve">All </w:t>
      </w:r>
      <w:r w:rsidR="00FB374C">
        <w:rPr>
          <w:b/>
          <w:szCs w:val="24"/>
        </w:rPr>
        <w:t>GL Required TMPRs display a Status of Missing TMPR in the strike folder MCM and strike option</w:t>
      </w:r>
      <w:r w:rsidR="00FB374C" w:rsidRPr="000665B0">
        <w:rPr>
          <w:b/>
          <w:szCs w:val="24"/>
        </w:rPr>
        <w:t>.</w:t>
      </w:r>
    </w:p>
    <w:p w14:paraId="09F71459" w14:textId="2953F9C9" w:rsidR="009570CA" w:rsidRDefault="00094E1E" w:rsidP="00E22ED5">
      <w:pPr>
        <w:pBdr>
          <w:top w:val="single" w:sz="12" w:space="1" w:color="auto"/>
          <w:left w:val="single" w:sz="12" w:space="4" w:color="auto"/>
          <w:bottom w:val="single" w:sz="12" w:space="1" w:color="auto"/>
          <w:right w:val="single" w:sz="12" w:space="4" w:color="auto"/>
        </w:pBdr>
        <w:shd w:val="clear" w:color="auto" w:fill="D9D9D9"/>
        <w:ind w:left="360" w:hanging="360"/>
        <w:rPr>
          <w:b/>
          <w:szCs w:val="24"/>
        </w:rPr>
      </w:pPr>
      <w:r>
        <w:rPr>
          <w:b/>
          <w:szCs w:val="24"/>
        </w:rPr>
        <w:t>c</w:t>
      </w:r>
      <w:r w:rsidR="00FB374C" w:rsidRPr="000665B0">
        <w:rPr>
          <w:b/>
          <w:szCs w:val="24"/>
        </w:rPr>
        <w:t>.</w:t>
      </w:r>
      <w:r w:rsidR="00FB374C" w:rsidRPr="000665B0">
        <w:rPr>
          <w:b/>
          <w:szCs w:val="24"/>
        </w:rPr>
        <w:tab/>
        <w:t xml:space="preserve">When the </w:t>
      </w:r>
      <w:r w:rsidR="00FB374C">
        <w:rPr>
          <w:b/>
          <w:szCs w:val="24"/>
        </w:rPr>
        <w:t>GL Strike</w:t>
      </w:r>
      <w:r w:rsidR="00FB374C" w:rsidRPr="000665B0">
        <w:rPr>
          <w:b/>
          <w:szCs w:val="24"/>
        </w:rPr>
        <w:t xml:space="preserve"> is returned by a legacy MDS 5.x or </w:t>
      </w:r>
      <w:r w:rsidR="00FB374C">
        <w:rPr>
          <w:b/>
          <w:szCs w:val="24"/>
        </w:rPr>
        <w:t>pre-</w:t>
      </w:r>
      <w:r w:rsidR="00FB374C" w:rsidRPr="000665B0">
        <w:rPr>
          <w:b/>
          <w:szCs w:val="24"/>
        </w:rPr>
        <w:t>6.</w:t>
      </w:r>
      <w:r w:rsidR="00FB374C">
        <w:rPr>
          <w:b/>
          <w:szCs w:val="24"/>
        </w:rPr>
        <w:t>0.2</w:t>
      </w:r>
      <w:r w:rsidR="00FB374C" w:rsidRPr="000665B0">
        <w:rPr>
          <w:b/>
          <w:szCs w:val="24"/>
        </w:rPr>
        <w:t xml:space="preserve"> system, all </w:t>
      </w:r>
      <w:r w:rsidR="00FB374C">
        <w:rPr>
          <w:b/>
          <w:szCs w:val="24"/>
        </w:rPr>
        <w:t>GL Required</w:t>
      </w:r>
      <w:r w:rsidR="00FB374C" w:rsidRPr="000665B0">
        <w:rPr>
          <w:b/>
          <w:szCs w:val="24"/>
        </w:rPr>
        <w:t xml:space="preserve"> strike components are restored to their original parameters.</w:t>
      </w:r>
    </w:p>
    <w:p w14:paraId="71113E1E" w14:textId="73150F41" w:rsidR="002F4EE3" w:rsidRDefault="002F4EE3" w:rsidP="00322D49">
      <w:pPr>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062B2C">
        <w:rPr>
          <w:b/>
          <w:szCs w:val="24"/>
        </w:rPr>
        <w:t>109M strike data is not recognized by pre-TMPC 7.0.3 nodes and pre-V</w:t>
      </w:r>
      <w:r>
        <w:rPr>
          <w:b/>
          <w:szCs w:val="24"/>
        </w:rPr>
        <w:t>7</w:t>
      </w:r>
      <w:r w:rsidRPr="00062B2C">
        <w:rPr>
          <w:b/>
          <w:szCs w:val="24"/>
        </w:rPr>
        <w:t xml:space="preserve"> TTWCS nodes. When a DDO containing a 109M strike folder (with a 109M strike option containing 109M tasking such as 109M assignments, 109M Full and CFF LMOs) is distributed to those nodes, the following occurs:</w:t>
      </w:r>
    </w:p>
    <w:p w14:paraId="3D88EC26" w14:textId="77777777" w:rsidR="002F4EE3" w:rsidRDefault="002F4EE3" w:rsidP="009570CA">
      <w:pPr>
        <w:pBdr>
          <w:top w:val="single" w:sz="12" w:space="1" w:color="auto"/>
          <w:left w:val="single" w:sz="12" w:space="4" w:color="auto"/>
          <w:bottom w:val="single" w:sz="12" w:space="1" w:color="auto"/>
          <w:right w:val="single" w:sz="12" w:space="4" w:color="auto"/>
        </w:pBdr>
        <w:shd w:val="clear" w:color="auto" w:fill="D9D9D9"/>
        <w:ind w:left="360" w:hanging="360"/>
        <w:rPr>
          <w:b/>
          <w:szCs w:val="24"/>
        </w:rPr>
      </w:pPr>
      <w:r>
        <w:rPr>
          <w:b/>
          <w:szCs w:val="24"/>
        </w:rPr>
        <w:t>a.</w:t>
      </w:r>
      <w:r>
        <w:rPr>
          <w:b/>
          <w:szCs w:val="24"/>
        </w:rPr>
        <w:tab/>
        <w:t>All 109M LMOs are removed from the LMO folder within the strike folder and are not sent.</w:t>
      </w:r>
    </w:p>
    <w:p w14:paraId="32154804" w14:textId="77446E6A" w:rsidR="00E22ED5" w:rsidRPr="00F63C77" w:rsidRDefault="002F4EE3" w:rsidP="00F63C77">
      <w:pPr>
        <w:pBdr>
          <w:top w:val="single" w:sz="12" w:space="1" w:color="auto"/>
          <w:left w:val="single" w:sz="12" w:space="4" w:color="auto"/>
          <w:bottom w:val="single" w:sz="12" w:space="1" w:color="auto"/>
          <w:right w:val="single" w:sz="12" w:space="4" w:color="auto"/>
        </w:pBdr>
        <w:shd w:val="clear" w:color="auto" w:fill="D9D9D9"/>
        <w:ind w:left="360" w:hanging="360"/>
        <w:rPr>
          <w:b/>
          <w:szCs w:val="24"/>
        </w:rPr>
      </w:pPr>
      <w:r>
        <w:rPr>
          <w:b/>
          <w:szCs w:val="24"/>
        </w:rPr>
        <w:t>b.</w:t>
      </w:r>
      <w:r>
        <w:rPr>
          <w:b/>
          <w:szCs w:val="24"/>
        </w:rPr>
        <w:tab/>
        <w:t>All 109M missile assignments are removed from the strike option and are not sent.</w:t>
      </w:r>
      <w:bookmarkEnd w:id="6121"/>
    </w:p>
    <w:p w14:paraId="6188DFAC" w14:textId="6A64A4DB" w:rsidR="00FB39D3" w:rsidRPr="000665B0" w:rsidRDefault="00FB39D3" w:rsidP="00F63C77">
      <w:pPr>
        <w:pageBreakBefore/>
        <w:tabs>
          <w:tab w:val="left" w:pos="720"/>
        </w:tabs>
      </w:pPr>
      <w:r w:rsidRPr="000665B0">
        <w:lastRenderedPageBreak/>
        <w:t>To view the Strike Folders Tool:</w:t>
      </w:r>
    </w:p>
    <w:p w14:paraId="5AF9C44A" w14:textId="77777777" w:rsidR="00FB39D3" w:rsidRPr="000665B0" w:rsidRDefault="00FB39D3" w:rsidP="009570CA">
      <w:pPr>
        <w:tabs>
          <w:tab w:val="left" w:pos="720"/>
        </w:tabs>
        <w:ind w:left="360"/>
      </w:pPr>
      <w:r w:rsidRPr="000665B0">
        <w:t xml:space="preserve">From the </w:t>
      </w:r>
      <w:r w:rsidRPr="000665B0">
        <w:rPr>
          <w:b/>
        </w:rPr>
        <w:t>Go</w:t>
      </w:r>
      <w:r w:rsidRPr="000665B0">
        <w:t xml:space="preserve"> menu select </w:t>
      </w:r>
      <w:r w:rsidRPr="000665B0">
        <w:rPr>
          <w:b/>
        </w:rPr>
        <w:t>Strike Folders</w:t>
      </w:r>
      <w:r w:rsidRPr="000665B0">
        <w:t>.</w:t>
      </w:r>
    </w:p>
    <w:p w14:paraId="3AEC3FEC" w14:textId="5932A115" w:rsidR="00FB39D3" w:rsidRPr="000665B0" w:rsidRDefault="00C72742" w:rsidP="009570CA">
      <w:pPr>
        <w:pStyle w:val="BodyText"/>
        <w:tabs>
          <w:tab w:val="left" w:pos="720"/>
        </w:tabs>
        <w:spacing w:after="120"/>
        <w:jc w:val="center"/>
      </w:pPr>
      <w:r w:rsidRPr="000665B0">
        <w:rPr>
          <w:noProof/>
        </w:rPr>
        <w:drawing>
          <wp:inline distT="0" distB="0" distL="0" distR="0" wp14:anchorId="1CE88408" wp14:editId="496C7A12">
            <wp:extent cx="4114800" cy="1956816"/>
            <wp:effectExtent l="0" t="0" r="0" b="571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1956816"/>
                    </a:xfrm>
                    <a:prstGeom prst="rect">
                      <a:avLst/>
                    </a:prstGeom>
                  </pic:spPr>
                </pic:pic>
              </a:graphicData>
            </a:graphic>
          </wp:inline>
        </w:drawing>
      </w:r>
    </w:p>
    <w:p w14:paraId="145D0FF0" w14:textId="77777777" w:rsidR="00CA1390" w:rsidRPr="000665B0" w:rsidRDefault="00CA1390" w:rsidP="009570CA">
      <w:pPr>
        <w:pStyle w:val="BodyText"/>
        <w:tabs>
          <w:tab w:val="left" w:pos="720"/>
        </w:tabs>
        <w:spacing w:after="120"/>
        <w:rPr>
          <w:b/>
          <w:i/>
        </w:rPr>
      </w:pPr>
      <w:bookmarkStart w:id="6122" w:name="_Toc71955736"/>
      <w:bookmarkStart w:id="6123" w:name="_Toc96170267"/>
      <w:bookmarkStart w:id="6124" w:name="_Toc96234312"/>
      <w:bookmarkStart w:id="6125" w:name="_Toc112733732"/>
      <w:bookmarkStart w:id="6126" w:name="_Toc164499426"/>
      <w:r w:rsidRPr="000665B0">
        <w:rPr>
          <w:b/>
          <w:i/>
        </w:rPr>
        <w:t>Strike Folder List View</w:t>
      </w:r>
    </w:p>
    <w:p w14:paraId="51391D70" w14:textId="77777777" w:rsidR="00CA1390" w:rsidRPr="000665B0" w:rsidRDefault="00CA1390" w:rsidP="006D5A65">
      <w:pPr>
        <w:pStyle w:val="Heading1"/>
      </w:pPr>
      <w:r w:rsidRPr="000665B0">
        <w:t>Columns</w:t>
      </w:r>
    </w:p>
    <w:p w14:paraId="172B34D2" w14:textId="77777777" w:rsidR="00CA1390" w:rsidRPr="000665B0" w:rsidRDefault="00CA1390" w:rsidP="006D5A65">
      <w:pPr>
        <w:pStyle w:val="Heading2"/>
      </w:pPr>
      <w:r w:rsidRPr="000665B0">
        <w:t>Folder ID – The Strike Folder identifier that is formatted as “Location Code – Sequence Number.” The location code is the location code of the Strike Folder’s originating Node.</w:t>
      </w:r>
    </w:p>
    <w:p w14:paraId="6F961BAD" w14:textId="77777777" w:rsidR="00CA1390" w:rsidRPr="000665B0" w:rsidRDefault="00CA1390" w:rsidP="006D5A65">
      <w:pPr>
        <w:pStyle w:val="Heading2"/>
      </w:pPr>
      <w:r w:rsidRPr="000665B0">
        <w:t>Title – The Strike Folder’s title</w:t>
      </w:r>
      <w:r w:rsidR="003D231E" w:rsidRPr="000665B0">
        <w:t xml:space="preserve"> (up to 40 alphanumeric and special or space characters)</w:t>
      </w:r>
      <w:r w:rsidRPr="000665B0">
        <w:t>.</w:t>
      </w:r>
    </w:p>
    <w:p w14:paraId="6CB0AF4F" w14:textId="4C46D7CF" w:rsidR="00CA1390" w:rsidRPr="000665B0" w:rsidRDefault="00CA1390" w:rsidP="006D5A65">
      <w:pPr>
        <w:pStyle w:val="Heading2"/>
      </w:pPr>
      <w:r w:rsidRPr="000665B0">
        <w:t>Class – Tactical or Training.</w:t>
      </w:r>
      <w:r w:rsidR="0019254D" w:rsidRPr="000665B0">
        <w:t xml:space="preserve"> When using TSRT to conduct a strike rehearsal, the class must be Training; otherwise, TSRT will not respond to IMMMs.</w:t>
      </w:r>
    </w:p>
    <w:p w14:paraId="51426674" w14:textId="77777777" w:rsidR="00CA1390" w:rsidRPr="000665B0" w:rsidRDefault="00CA1390" w:rsidP="006D5A65">
      <w:pPr>
        <w:pStyle w:val="Heading2"/>
      </w:pPr>
      <w:r w:rsidRPr="000665B0">
        <w:t>Last Modified – The DTG of the last modification to the Strike Folder.</w:t>
      </w:r>
    </w:p>
    <w:p w14:paraId="7B615A9C" w14:textId="77777777" w:rsidR="00CA1390" w:rsidRPr="000665B0" w:rsidRDefault="00CA1390" w:rsidP="006D5A65">
      <w:pPr>
        <w:pStyle w:val="Heading2"/>
      </w:pPr>
      <w:r w:rsidRPr="000665B0">
        <w:t xml:space="preserve">Owner – </w:t>
      </w:r>
      <w:r w:rsidR="005474CB" w:rsidRPr="000665B0">
        <w:t>The Node that is the owner of the Strike Folder.</w:t>
      </w:r>
    </w:p>
    <w:p w14:paraId="60DE1725" w14:textId="77777777" w:rsidR="00CA1390" w:rsidRPr="000665B0" w:rsidRDefault="00CA1390" w:rsidP="006D5A65">
      <w:pPr>
        <w:pStyle w:val="Heading1"/>
      </w:pPr>
      <w:r w:rsidRPr="000665B0">
        <w:t>Context Menu</w:t>
      </w:r>
    </w:p>
    <w:p w14:paraId="7C15EFC5" w14:textId="585CBD80" w:rsidR="00DB0CDF" w:rsidRPr="000665B0" w:rsidRDefault="00DB0CDF" w:rsidP="006D5A65">
      <w:pPr>
        <w:pStyle w:val="Heading2"/>
        <w:rPr>
          <w:rFonts w:eastAsia="Arial Unicode MS"/>
        </w:rPr>
      </w:pPr>
      <w:r w:rsidRPr="000665B0">
        <w:rPr>
          <w:rFonts w:eastAsia="Arial Unicode MS"/>
        </w:rPr>
        <w:t xml:space="preserve">New – </w:t>
      </w:r>
      <w:r w:rsidRPr="000665B0">
        <w:t xml:space="preserve">Invokes the </w:t>
      </w:r>
      <w:r w:rsidRPr="000665B0">
        <w:rPr>
          <w:i/>
        </w:rPr>
        <w:t>Tactical</w:t>
      </w:r>
      <w:r w:rsidRPr="000665B0">
        <w:t xml:space="preserve"> or </w:t>
      </w:r>
      <w:r w:rsidRPr="000665B0">
        <w:rPr>
          <w:i/>
        </w:rPr>
        <w:t>Training</w:t>
      </w:r>
      <w:r w:rsidRPr="000665B0">
        <w:t xml:space="preserve"> </w:t>
      </w:r>
      <w:r w:rsidRPr="000665B0">
        <w:rPr>
          <w:i/>
        </w:rPr>
        <w:t>Strike Folder</w:t>
      </w:r>
      <w:r w:rsidRPr="000665B0">
        <w:t xml:space="preserve"> window.</w:t>
      </w:r>
    </w:p>
    <w:p w14:paraId="432AC5AD" w14:textId="77777777" w:rsidR="00CA1390" w:rsidRPr="000665B0" w:rsidRDefault="00CA1390" w:rsidP="006D5A65">
      <w:pPr>
        <w:pStyle w:val="Heading2"/>
      </w:pPr>
      <w:r w:rsidRPr="000665B0">
        <w:t>Display</w:t>
      </w:r>
    </w:p>
    <w:p w14:paraId="5AEE5284" w14:textId="77777777" w:rsidR="00CA1390" w:rsidRPr="000665B0" w:rsidRDefault="00CA1390" w:rsidP="006D5A65">
      <w:pPr>
        <w:pStyle w:val="Heading3"/>
      </w:pPr>
      <w:r w:rsidRPr="000665B0">
        <w:lastRenderedPageBreak/>
        <w:t>Textually – Displays the textual view of the selected Strike Folder(s).</w:t>
      </w:r>
    </w:p>
    <w:p w14:paraId="03E07589" w14:textId="77777777" w:rsidR="00CA1390" w:rsidRPr="000665B0" w:rsidRDefault="00CA1390" w:rsidP="006D5A65">
      <w:pPr>
        <w:pStyle w:val="Heading3"/>
      </w:pPr>
      <w:r w:rsidRPr="000665B0">
        <w:t>Tasking – Displays the textual view of the selected Strike Folder’s Strike Tasking Matrix folder item(s).</w:t>
      </w:r>
    </w:p>
    <w:p w14:paraId="5509CB9B" w14:textId="77777777" w:rsidR="00CA1390" w:rsidRPr="000665B0" w:rsidRDefault="00CA1390" w:rsidP="006D5A65">
      <w:pPr>
        <w:pStyle w:val="Heading3"/>
      </w:pPr>
      <w:r w:rsidRPr="000665B0">
        <w:t>Geographic Resources – Displays the textual view of the selected Strike Folder’s Geographic Resources folder item(s).</w:t>
      </w:r>
    </w:p>
    <w:p w14:paraId="73D4D40B" w14:textId="77777777" w:rsidR="00CA1390" w:rsidRPr="000665B0" w:rsidRDefault="00CA1390" w:rsidP="006D5A65">
      <w:pPr>
        <w:pStyle w:val="Heading3"/>
      </w:pPr>
      <w:r w:rsidRPr="000665B0">
        <w:t>Candidates Matrix – Displays the textual view of the selected Strike Folder’s Mission Candidates Matrix folder item(s).</w:t>
      </w:r>
    </w:p>
    <w:p w14:paraId="46D7A8ED" w14:textId="77777777" w:rsidR="00CA1390" w:rsidRPr="000665B0" w:rsidRDefault="00CA1390" w:rsidP="006D5A65">
      <w:pPr>
        <w:pStyle w:val="Heading3"/>
      </w:pPr>
      <w:r w:rsidRPr="000665B0">
        <w:t>Organization – Displays the textual view of the selected Strike Folder’s Organization folder item(s).</w:t>
      </w:r>
    </w:p>
    <w:p w14:paraId="5A785A8C" w14:textId="77777777" w:rsidR="00CA1390" w:rsidRPr="000665B0" w:rsidRDefault="00CA1390" w:rsidP="006D5A65">
      <w:pPr>
        <w:pStyle w:val="Heading3"/>
      </w:pPr>
      <w:r w:rsidRPr="000665B0">
        <w:t>Options</w:t>
      </w:r>
    </w:p>
    <w:p w14:paraId="56368D84" w14:textId="77777777" w:rsidR="00CA1390" w:rsidRPr="000665B0" w:rsidRDefault="00CA1390" w:rsidP="006D5A65">
      <w:pPr>
        <w:pStyle w:val="Heading4"/>
      </w:pPr>
      <w:r w:rsidRPr="000665B0">
        <w:t>All Options(x) – Displays the textual view of the selected Strike Folder’s Strike Options folder item(s). The x represents the number of Strike Options in the Strike Folder.</w:t>
      </w:r>
    </w:p>
    <w:p w14:paraId="05DFE6EF" w14:textId="57D1F65A" w:rsidR="00CA1390" w:rsidRPr="000665B0" w:rsidRDefault="00CA1390" w:rsidP="006D5A65">
      <w:pPr>
        <w:pStyle w:val="Heading4"/>
      </w:pPr>
      <w:r w:rsidRPr="000665B0">
        <w:t>Option 1</w:t>
      </w:r>
      <w:r w:rsidR="00B61817" w:rsidRPr="000665B0">
        <w:t xml:space="preserve"> </w:t>
      </w:r>
      <w:r w:rsidR="001A5AA4" w:rsidRPr="000665B0">
        <w:t>through n</w:t>
      </w:r>
      <w:r w:rsidRPr="000665B0">
        <w:t xml:space="preserve"> – Displays the textual view of the selected Strike Folder’s Strike Option folder item. The individual Strike Option menus are only displayed in the context menu when there is only ONE Strike Folder selected and when the Strike Folder </w:t>
      </w:r>
      <w:r w:rsidR="001A5AA4" w:rsidRPr="000665B0">
        <w:t xml:space="preserve">contains </w:t>
      </w:r>
      <w:r w:rsidRPr="000665B0">
        <w:t>Strike Options.</w:t>
      </w:r>
    </w:p>
    <w:p w14:paraId="79AB1A77" w14:textId="77777777" w:rsidR="00CA1390" w:rsidRPr="000665B0" w:rsidRDefault="00CA1390" w:rsidP="006D5A65">
      <w:pPr>
        <w:pStyle w:val="Heading3"/>
      </w:pPr>
      <w:r w:rsidRPr="000665B0">
        <w:t>LMOs</w:t>
      </w:r>
    </w:p>
    <w:p w14:paraId="3423378D" w14:textId="77777777" w:rsidR="00CA1390" w:rsidRPr="000665B0" w:rsidRDefault="00CA1390" w:rsidP="006D5A65">
      <w:pPr>
        <w:pStyle w:val="Heading4"/>
      </w:pPr>
      <w:r w:rsidRPr="000665B0">
        <w:t>All LMOs(x) – Displays the textual view of the Strike Folder’s LMOs folder item(s). The x represents the number of LMOs in the Strike Folder.</w:t>
      </w:r>
    </w:p>
    <w:p w14:paraId="4616DA7D" w14:textId="053F23FF" w:rsidR="00CA1390" w:rsidRPr="000665B0" w:rsidRDefault="00CA1390" w:rsidP="006D5A65">
      <w:pPr>
        <w:pStyle w:val="Heading4"/>
      </w:pPr>
      <w:r w:rsidRPr="000665B0">
        <w:t>LMO 1</w:t>
      </w:r>
      <w:r w:rsidR="00B61817" w:rsidRPr="000665B0">
        <w:t xml:space="preserve"> </w:t>
      </w:r>
      <w:r w:rsidR="001A5AA4" w:rsidRPr="000665B0">
        <w:t>through n</w:t>
      </w:r>
      <w:r w:rsidRPr="000665B0">
        <w:t xml:space="preserve"> – Displays the textual view of the selected Strike Folder’s LMO folder item. The individual LMO menus are </w:t>
      </w:r>
      <w:r w:rsidRPr="000665B0">
        <w:lastRenderedPageBreak/>
        <w:t>only displayed in the context menu when there is only ONE Strike Folder selected and wh</w:t>
      </w:r>
      <w:r w:rsidR="00DD74B6" w:rsidRPr="000665B0">
        <w:t xml:space="preserve">en the Strike Folder </w:t>
      </w:r>
      <w:r w:rsidR="001A5AA4" w:rsidRPr="000665B0">
        <w:t xml:space="preserve">contains </w:t>
      </w:r>
      <w:r w:rsidR="00DD74B6" w:rsidRPr="000665B0">
        <w:t>LMOs.</w:t>
      </w:r>
    </w:p>
    <w:p w14:paraId="75C8C513" w14:textId="77777777" w:rsidR="00CA1390" w:rsidRPr="000665B0" w:rsidRDefault="00CA1390" w:rsidP="006D5A65">
      <w:pPr>
        <w:pStyle w:val="Heading3"/>
      </w:pPr>
      <w:r w:rsidRPr="000665B0">
        <w:t>Attachments – Displays the textual view of the selected Strike Folder’s Attachments folder item(s).</w:t>
      </w:r>
    </w:p>
    <w:p w14:paraId="323D57AC" w14:textId="77777777" w:rsidR="00CA1390" w:rsidRPr="000665B0" w:rsidRDefault="00CA1390" w:rsidP="006D5A65">
      <w:pPr>
        <w:pStyle w:val="Heading3"/>
      </w:pPr>
      <w:r w:rsidRPr="000665B0">
        <w:t>History – Displays the textual view of the selected Strike Folder’s History folder item(s).</w:t>
      </w:r>
    </w:p>
    <w:p w14:paraId="76593F5E" w14:textId="77777777" w:rsidR="00CA1390" w:rsidRPr="000665B0" w:rsidRDefault="00CA1390" w:rsidP="006D5A65">
      <w:pPr>
        <w:pStyle w:val="Heading3"/>
      </w:pPr>
      <w:r w:rsidRPr="000665B0">
        <w:t xml:space="preserve">In Excel – </w:t>
      </w:r>
      <w:r w:rsidR="001A5AA4" w:rsidRPr="000665B0">
        <w:t xml:space="preserve">Creates </w:t>
      </w:r>
      <w:r w:rsidRPr="000665B0">
        <w:t>an Excel document containing the selected Strike Folder’s information.</w:t>
      </w:r>
    </w:p>
    <w:p w14:paraId="58E0E9D7" w14:textId="77777777" w:rsidR="00CA1390" w:rsidRPr="000665B0" w:rsidRDefault="00CA1390" w:rsidP="006D5A65">
      <w:pPr>
        <w:pStyle w:val="Heading2"/>
      </w:pPr>
      <w:r w:rsidRPr="000665B0">
        <w:t>Create Strike Plan Folder Library… – Displays a new Strike Folder Library with the selected Strike Folder(s) pre-populated.</w:t>
      </w:r>
    </w:p>
    <w:p w14:paraId="4777BE23" w14:textId="421C325E" w:rsidR="0045148D" w:rsidRPr="000665B0" w:rsidRDefault="0045148D" w:rsidP="006D5A65">
      <w:pPr>
        <w:pStyle w:val="Heading2"/>
      </w:pPr>
      <w:r w:rsidRPr="000665B0">
        <w:rPr>
          <w:rFonts w:eastAsia="Arial Unicode MS"/>
        </w:rPr>
        <w:t>Create TED Library</w:t>
      </w:r>
      <w:r w:rsidRPr="000665B0">
        <w:t xml:space="preserve">… </w:t>
      </w:r>
      <w:r w:rsidRPr="000665B0">
        <w:rPr>
          <w:rFonts w:eastAsia="Arial Unicode MS"/>
        </w:rPr>
        <w:t xml:space="preserve">– </w:t>
      </w:r>
      <w:r w:rsidRPr="000665B0">
        <w:t xml:space="preserve">This type of library is able to accept different types of data instead of being restricted to a single data type as in the other MDS Libraries. For information on creating a TED Library see </w:t>
      </w:r>
      <w:hyperlink w:anchor="_5.13.1.1__New" w:history="1">
        <w:r w:rsidRPr="000665B0">
          <w:rPr>
            <w:color w:val="0000FF"/>
            <w:u w:val="single"/>
          </w:rPr>
          <w:t>Section 5.</w:t>
        </w:r>
        <w:r w:rsidR="00C77A5E" w:rsidRPr="000665B0">
          <w:rPr>
            <w:color w:val="0000FF"/>
            <w:u w:val="single"/>
          </w:rPr>
          <w:t>12</w:t>
        </w:r>
        <w:r w:rsidRPr="000665B0">
          <w:rPr>
            <w:color w:val="0000FF"/>
            <w:u w:val="single"/>
          </w:rPr>
          <w:t>.1</w:t>
        </w:r>
      </w:hyperlink>
      <w:r w:rsidRPr="000665B0">
        <w:rPr>
          <w:color w:val="0000FF"/>
          <w:u w:val="single"/>
        </w:rPr>
        <w:t>.1</w:t>
      </w:r>
      <w:r w:rsidRPr="000665B0">
        <w:t>.</w:t>
      </w:r>
    </w:p>
    <w:p w14:paraId="57C6272B" w14:textId="27C52D70" w:rsidR="00CA1390" w:rsidRPr="000665B0" w:rsidRDefault="00CA1390" w:rsidP="006D5A65">
      <w:pPr>
        <w:pStyle w:val="Heading2"/>
      </w:pPr>
      <w:r w:rsidRPr="000665B0">
        <w:t xml:space="preserve">Send… – Displays a new DDO Template with the selected Strike Folder(s) and its Strike Option(s) and </w:t>
      </w:r>
      <w:r w:rsidR="00ED58B8" w:rsidRPr="000665B0">
        <w:t xml:space="preserve">Task </w:t>
      </w:r>
      <w:r w:rsidRPr="000665B0">
        <w:t xml:space="preserve">Organization(s) pre-populated in the </w:t>
      </w:r>
      <w:r w:rsidRPr="000665B0">
        <w:rPr>
          <w:i/>
        </w:rPr>
        <w:t>Strike Data</w:t>
      </w:r>
      <w:r w:rsidRPr="000665B0">
        <w:t xml:space="preserve"> tab.</w:t>
      </w:r>
    </w:p>
    <w:p w14:paraId="67D99062" w14:textId="7791B276" w:rsidR="00C23591" w:rsidRPr="000665B0" w:rsidRDefault="00C23591" w:rsidP="006D5A65">
      <w:pPr>
        <w:pStyle w:val="Heading2"/>
      </w:pPr>
      <w:r w:rsidRPr="000665B0">
        <w:t xml:space="preserve">Distribution Dashboard – </w:t>
      </w:r>
      <w:r w:rsidR="00474A1F" w:rsidRPr="000665B0">
        <w:t xml:space="preserve">The Distribution Dashboard feature gives the operator the ability to track what data was sent to each recipient, and whether or not that data has been acknowledged. The feature’s functionality is the same across all tools that include it, but the data displayed will vary depending on the tool being used. See </w:t>
      </w:r>
      <w:hyperlink w:anchor="_5.2.10__Distribution" w:history="1">
        <w:r w:rsidR="00474A1F" w:rsidRPr="000665B0">
          <w:rPr>
            <w:rStyle w:val="Hyperlink"/>
          </w:rPr>
          <w:t>Section 5.2.10</w:t>
        </w:r>
      </w:hyperlink>
      <w:r w:rsidR="00474A1F" w:rsidRPr="000665B0">
        <w:t>.</w:t>
      </w:r>
    </w:p>
    <w:p w14:paraId="2084F1CB" w14:textId="77777777" w:rsidR="00CA1390" w:rsidRPr="000665B0" w:rsidRDefault="00CA1390" w:rsidP="006D5A65">
      <w:pPr>
        <w:pStyle w:val="Heading2"/>
      </w:pPr>
      <w:r w:rsidRPr="000665B0">
        <w:t>Print… – Print</w:t>
      </w:r>
      <w:r w:rsidR="001A5AA4" w:rsidRPr="000665B0">
        <w:t>s</w:t>
      </w:r>
      <w:r w:rsidRPr="000665B0">
        <w:t xml:space="preserve"> the selected Strike Folder’s list information.</w:t>
      </w:r>
    </w:p>
    <w:p w14:paraId="273CCBB2" w14:textId="3F868CDD" w:rsidR="00CA1390" w:rsidRPr="000665B0" w:rsidRDefault="00CA1390" w:rsidP="006D5A65">
      <w:pPr>
        <w:pStyle w:val="Heading2"/>
      </w:pPr>
      <w:r w:rsidRPr="000665B0">
        <w:t>Delete – Delete</w:t>
      </w:r>
      <w:r w:rsidR="001A5AA4" w:rsidRPr="000665B0">
        <w:t>s</w:t>
      </w:r>
      <w:r w:rsidRPr="000665B0">
        <w:t xml:space="preserve"> the selected Strike Folder(s). A </w:t>
      </w:r>
      <w:r w:rsidR="009136BE" w:rsidRPr="000665B0">
        <w:t>r</w:t>
      </w:r>
      <w:r w:rsidRPr="000665B0">
        <w:t xml:space="preserve">eference window </w:t>
      </w:r>
      <w:r w:rsidR="001A5AA4" w:rsidRPr="000665B0">
        <w:t>is</w:t>
      </w:r>
      <w:r w:rsidRPr="000665B0">
        <w:t xml:space="preserve"> displayed if the selected Strike Folder</w:t>
      </w:r>
      <w:r w:rsidR="00C23591" w:rsidRPr="000665B0">
        <w:t>(</w:t>
      </w:r>
      <w:r w:rsidRPr="000665B0">
        <w:t>s</w:t>
      </w:r>
      <w:r w:rsidR="00C23591" w:rsidRPr="000665B0">
        <w:t>)</w:t>
      </w:r>
      <w:r w:rsidRPr="000665B0">
        <w:t xml:space="preserve"> </w:t>
      </w:r>
      <w:r w:rsidR="00C23591" w:rsidRPr="000665B0">
        <w:t xml:space="preserve">is </w:t>
      </w:r>
      <w:r w:rsidRPr="000665B0">
        <w:t>referenced by another tool.</w:t>
      </w:r>
    </w:p>
    <w:p w14:paraId="6A57BE88" w14:textId="374BD0E0" w:rsidR="00CA1390" w:rsidRPr="000665B0" w:rsidRDefault="00CA1390" w:rsidP="009570CA">
      <w:pPr>
        <w:pStyle w:val="Heading3"/>
      </w:pPr>
      <w:bookmarkStart w:id="6127" w:name="_Toc67401801"/>
      <w:bookmarkStart w:id="6128" w:name="_Toc69208438"/>
      <w:bookmarkStart w:id="6129" w:name="_Toc70072006"/>
      <w:bookmarkStart w:id="6130" w:name="_Toc71012787"/>
      <w:bookmarkStart w:id="6131" w:name="_Toc71809456"/>
      <w:bookmarkStart w:id="6132" w:name="_Toc67401802"/>
      <w:bookmarkStart w:id="6133" w:name="_Toc69208439"/>
      <w:bookmarkStart w:id="6134" w:name="_Toc70072007"/>
      <w:bookmarkStart w:id="6135" w:name="_Toc71012788"/>
      <w:bookmarkStart w:id="6136" w:name="_Toc71809457"/>
      <w:bookmarkStart w:id="6137" w:name="_Toc67401803"/>
      <w:bookmarkStart w:id="6138" w:name="_Toc69208440"/>
      <w:bookmarkStart w:id="6139" w:name="_Toc70072008"/>
      <w:bookmarkStart w:id="6140" w:name="_Toc71012789"/>
      <w:bookmarkStart w:id="6141" w:name="_Toc71809458"/>
      <w:bookmarkStart w:id="6142" w:name="_Toc67401804"/>
      <w:bookmarkStart w:id="6143" w:name="_Toc69208441"/>
      <w:bookmarkStart w:id="6144" w:name="_Toc70072009"/>
      <w:bookmarkStart w:id="6145" w:name="_Toc71012790"/>
      <w:bookmarkStart w:id="6146" w:name="_Toc71809459"/>
      <w:bookmarkStart w:id="6147" w:name="_Toc67401805"/>
      <w:bookmarkStart w:id="6148" w:name="_Toc69208442"/>
      <w:bookmarkStart w:id="6149" w:name="_Toc70072010"/>
      <w:bookmarkStart w:id="6150" w:name="_Toc71012791"/>
      <w:bookmarkStart w:id="6151" w:name="_Toc71809460"/>
      <w:bookmarkStart w:id="6152" w:name="_Toc67401806"/>
      <w:bookmarkStart w:id="6153" w:name="_Toc69208443"/>
      <w:bookmarkStart w:id="6154" w:name="_Toc70072011"/>
      <w:bookmarkStart w:id="6155" w:name="_Toc71012792"/>
      <w:bookmarkStart w:id="6156" w:name="_Toc71809461"/>
      <w:bookmarkStart w:id="6157" w:name="_Toc67401807"/>
      <w:bookmarkStart w:id="6158" w:name="_Toc69208444"/>
      <w:bookmarkStart w:id="6159" w:name="_Toc70072012"/>
      <w:bookmarkStart w:id="6160" w:name="_Toc71012793"/>
      <w:bookmarkStart w:id="6161" w:name="_Toc71809462"/>
      <w:bookmarkStart w:id="6162" w:name="_Toc67401808"/>
      <w:bookmarkStart w:id="6163" w:name="_Toc69208445"/>
      <w:bookmarkStart w:id="6164" w:name="_Toc70072013"/>
      <w:bookmarkStart w:id="6165" w:name="_Toc71012794"/>
      <w:bookmarkStart w:id="6166" w:name="_Toc71809463"/>
      <w:bookmarkStart w:id="6167" w:name="_Toc67401809"/>
      <w:bookmarkStart w:id="6168" w:name="_Toc69208446"/>
      <w:bookmarkStart w:id="6169" w:name="_Toc70072014"/>
      <w:bookmarkStart w:id="6170" w:name="_Toc71012795"/>
      <w:bookmarkStart w:id="6171" w:name="_Toc71809464"/>
      <w:bookmarkStart w:id="6172" w:name="_Toc214283554"/>
      <w:bookmarkStart w:id="6173" w:name="_Hlk132043658"/>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r w:rsidRPr="000665B0">
        <w:t>Strike Properties</w:t>
      </w:r>
      <w:bookmarkEnd w:id="6172"/>
    </w:p>
    <w:p w14:paraId="433551BB" w14:textId="77777777" w:rsidR="00F505E1" w:rsidRPr="000665B0" w:rsidRDefault="003C5CFD" w:rsidP="009570CA">
      <w:pPr>
        <w:tabs>
          <w:tab w:val="left" w:pos="720"/>
        </w:tabs>
        <w:rPr>
          <w:snapToGrid w:val="0"/>
        </w:rPr>
      </w:pPr>
      <w:r w:rsidRPr="000665B0">
        <w:t xml:space="preserve">The </w:t>
      </w:r>
      <w:r w:rsidRPr="000665B0">
        <w:rPr>
          <w:i/>
        </w:rPr>
        <w:t>Strike</w:t>
      </w:r>
      <w:r w:rsidRPr="000665B0">
        <w:t xml:space="preserve"> </w:t>
      </w:r>
      <w:r w:rsidRPr="000665B0">
        <w:rPr>
          <w:i/>
        </w:rPr>
        <w:t xml:space="preserve">Properties </w:t>
      </w:r>
      <w:r w:rsidRPr="000665B0">
        <w:t xml:space="preserve">window </w:t>
      </w:r>
      <w:r w:rsidRPr="000665B0">
        <w:rPr>
          <w:snapToGrid w:val="0"/>
        </w:rPr>
        <w:t xml:space="preserve">allows the operator to customize the appearance of the tool window by changing various aspects of it for the desired look. </w:t>
      </w:r>
      <w:r w:rsidR="00F505E1" w:rsidRPr="000665B0">
        <w:rPr>
          <w:snapToGrid w:val="0"/>
        </w:rPr>
        <w:t>There are two types of Strike Properties settings:</w:t>
      </w:r>
    </w:p>
    <w:p w14:paraId="6F8D431B" w14:textId="43C1507E" w:rsidR="00F505E1" w:rsidRPr="000665B0" w:rsidRDefault="00F505E1" w:rsidP="006D5A65">
      <w:pPr>
        <w:pStyle w:val="Heading1"/>
        <w:rPr>
          <w:color w:val="000000"/>
        </w:rPr>
      </w:pPr>
      <w:r w:rsidRPr="000665B0">
        <w:rPr>
          <w:snapToGrid w:val="0"/>
        </w:rPr>
        <w:t>System Properties – Settings apply system-wide</w:t>
      </w:r>
      <w:r w:rsidR="007547D7" w:rsidRPr="000665B0">
        <w:rPr>
          <w:snapToGrid w:val="0"/>
        </w:rPr>
        <w:t>, apply to all users,</w:t>
      </w:r>
      <w:r w:rsidRPr="000665B0">
        <w:rPr>
          <w:snapToGrid w:val="0"/>
        </w:rPr>
        <w:t xml:space="preserve"> and are stored in the database. </w:t>
      </w:r>
      <w:r w:rsidRPr="000665B0">
        <w:rPr>
          <w:color w:val="000000"/>
        </w:rPr>
        <w:t xml:space="preserve">Only a user who is </w:t>
      </w:r>
      <w:r w:rsidRPr="000665B0">
        <w:rPr>
          <w:color w:val="000000"/>
        </w:rPr>
        <w:lastRenderedPageBreak/>
        <w:t xml:space="preserve">logged in as an Administrator can </w:t>
      </w:r>
      <w:r w:rsidR="00545BF8" w:rsidRPr="000665B0">
        <w:rPr>
          <w:color w:val="000000"/>
        </w:rPr>
        <w:t xml:space="preserve">view and </w:t>
      </w:r>
      <w:r w:rsidRPr="000665B0">
        <w:rPr>
          <w:color w:val="000000"/>
        </w:rPr>
        <w:t xml:space="preserve">edit the Strike Folder Tool’s System Properties. </w:t>
      </w:r>
      <w:r w:rsidR="001D0682" w:rsidRPr="000665B0">
        <w:rPr>
          <w:color w:val="000000"/>
        </w:rPr>
        <w:t xml:space="preserve">See </w:t>
      </w:r>
      <w:hyperlink w:anchor="_5.37.1.1__System" w:history="1">
        <w:r w:rsidR="009326FE" w:rsidRPr="000665B0">
          <w:rPr>
            <w:rStyle w:val="Hyperlink"/>
          </w:rPr>
          <w:t xml:space="preserve">Section </w:t>
        </w:r>
        <w:r w:rsidR="004231CC">
          <w:rPr>
            <w:rStyle w:val="Hyperlink"/>
          </w:rPr>
          <w:t>5.34</w:t>
        </w:r>
        <w:r w:rsidR="001D0682" w:rsidRPr="000665B0">
          <w:rPr>
            <w:rStyle w:val="Hyperlink"/>
          </w:rPr>
          <w:t>.1.1</w:t>
        </w:r>
      </w:hyperlink>
      <w:r w:rsidR="001D0682" w:rsidRPr="000665B0">
        <w:rPr>
          <w:color w:val="000000"/>
        </w:rPr>
        <w:t>.</w:t>
      </w:r>
    </w:p>
    <w:p w14:paraId="19544A4A" w14:textId="77777777" w:rsidR="00F505E1" w:rsidRPr="000665B0" w:rsidRDefault="00F505E1" w:rsidP="006D5A65">
      <w:pPr>
        <w:pStyle w:val="Heading2"/>
      </w:pPr>
      <w:r w:rsidRPr="000665B0">
        <w:t>Shareability</w:t>
      </w:r>
    </w:p>
    <w:p w14:paraId="51B2A683" w14:textId="77777777" w:rsidR="00F505E1" w:rsidRPr="000665B0" w:rsidRDefault="00F505E1" w:rsidP="006D5A65">
      <w:pPr>
        <w:pStyle w:val="Heading2"/>
      </w:pPr>
      <w:r w:rsidRPr="000665B0">
        <w:t>Tasking</w:t>
      </w:r>
    </w:p>
    <w:p w14:paraId="4DAAE12E" w14:textId="51F34848" w:rsidR="00F505E1" w:rsidRPr="000665B0" w:rsidRDefault="00F505E1" w:rsidP="006D5A65">
      <w:pPr>
        <w:pStyle w:val="Heading2"/>
      </w:pPr>
      <w:r w:rsidRPr="000665B0">
        <w:t>Option (General, INDIGO, Auto-</w:t>
      </w:r>
      <w:r w:rsidR="007547D7" w:rsidRPr="000665B0">
        <w:t>Analysis</w:t>
      </w:r>
      <w:r w:rsidRPr="000665B0">
        <w:t>, Deconfliction)</w:t>
      </w:r>
    </w:p>
    <w:p w14:paraId="2F8D89A3" w14:textId="54D20F2B" w:rsidR="00F505E1" w:rsidRPr="000665B0" w:rsidRDefault="00F505E1" w:rsidP="006D5A65">
      <w:pPr>
        <w:pStyle w:val="Heading2"/>
      </w:pPr>
      <w:r w:rsidRPr="000665B0">
        <w:t>TSN</w:t>
      </w:r>
      <w:r w:rsidR="00FD7BE3" w:rsidRPr="000665B0">
        <w:t xml:space="preserve"> (DAMA Planning, ACA Planning, Execution, Retarget)</w:t>
      </w:r>
    </w:p>
    <w:p w14:paraId="0B0A6B07" w14:textId="457EC0A1" w:rsidR="00F505E1" w:rsidRPr="000665B0" w:rsidRDefault="00F505E1" w:rsidP="006D5A65">
      <w:pPr>
        <w:pStyle w:val="Heading1"/>
        <w:rPr>
          <w:snapToGrid w:val="0"/>
        </w:rPr>
      </w:pPr>
      <w:r w:rsidRPr="000665B0">
        <w:rPr>
          <w:snapToGrid w:val="0"/>
        </w:rPr>
        <w:t>User Properties – Settings are user-unique</w:t>
      </w:r>
      <w:r w:rsidR="007547D7" w:rsidRPr="000665B0">
        <w:rPr>
          <w:snapToGrid w:val="0"/>
        </w:rPr>
        <w:t xml:space="preserve">, apply to individual users, </w:t>
      </w:r>
      <w:r w:rsidRPr="000665B0">
        <w:rPr>
          <w:snapToGrid w:val="0"/>
        </w:rPr>
        <w:t xml:space="preserve">and </w:t>
      </w:r>
      <w:r w:rsidR="007547D7" w:rsidRPr="000665B0">
        <w:rPr>
          <w:snapToGrid w:val="0"/>
        </w:rPr>
        <w:t xml:space="preserve">are </w:t>
      </w:r>
      <w:r w:rsidRPr="000665B0">
        <w:rPr>
          <w:snapToGrid w:val="0"/>
        </w:rPr>
        <w:t xml:space="preserve">retained when logging off and back on. </w:t>
      </w:r>
      <w:r w:rsidR="001D0682" w:rsidRPr="000665B0">
        <w:rPr>
          <w:snapToGrid w:val="0"/>
        </w:rPr>
        <w:t xml:space="preserve">See </w:t>
      </w:r>
      <w:hyperlink w:anchor="_5.37.1.2__User" w:history="1">
        <w:r w:rsidR="009326FE" w:rsidRPr="000665B0">
          <w:rPr>
            <w:rStyle w:val="Hyperlink"/>
            <w:snapToGrid w:val="0"/>
          </w:rPr>
          <w:t xml:space="preserve">Section </w:t>
        </w:r>
        <w:r w:rsidR="004231CC">
          <w:rPr>
            <w:rStyle w:val="Hyperlink"/>
            <w:snapToGrid w:val="0"/>
          </w:rPr>
          <w:t>5.34</w:t>
        </w:r>
        <w:r w:rsidR="001D0682" w:rsidRPr="000665B0">
          <w:rPr>
            <w:rStyle w:val="Hyperlink"/>
            <w:snapToGrid w:val="0"/>
          </w:rPr>
          <w:t>.</w:t>
        </w:r>
        <w:r w:rsidR="00316136" w:rsidRPr="000665B0">
          <w:rPr>
            <w:rStyle w:val="Hyperlink"/>
            <w:snapToGrid w:val="0"/>
          </w:rPr>
          <w:t>1.2</w:t>
        </w:r>
      </w:hyperlink>
      <w:r w:rsidR="001D0682" w:rsidRPr="000665B0">
        <w:rPr>
          <w:snapToGrid w:val="0"/>
        </w:rPr>
        <w:t>.</w:t>
      </w:r>
    </w:p>
    <w:p w14:paraId="29B8B37A" w14:textId="77777777" w:rsidR="00F505E1" w:rsidRPr="000665B0" w:rsidRDefault="00F505E1" w:rsidP="006D5A65">
      <w:pPr>
        <w:pStyle w:val="Heading2"/>
      </w:pPr>
      <w:r w:rsidRPr="000665B0">
        <w:t>Column</w:t>
      </w:r>
    </w:p>
    <w:p w14:paraId="2DCA112F" w14:textId="77777777" w:rsidR="00F505E1" w:rsidRPr="000665B0" w:rsidRDefault="00F505E1" w:rsidP="006D5A65">
      <w:pPr>
        <w:pStyle w:val="Heading2"/>
      </w:pPr>
      <w:r w:rsidRPr="000665B0">
        <w:t>Sort</w:t>
      </w:r>
    </w:p>
    <w:p w14:paraId="3C0204F4" w14:textId="77777777" w:rsidR="00F505E1" w:rsidRPr="000665B0" w:rsidRDefault="00F505E1" w:rsidP="006D5A65">
      <w:pPr>
        <w:pStyle w:val="Heading2"/>
      </w:pPr>
      <w:r w:rsidRPr="000665B0">
        <w:t>Colors</w:t>
      </w:r>
    </w:p>
    <w:p w14:paraId="3484C60E" w14:textId="7D28C0D4" w:rsidR="00F505E1" w:rsidRPr="000665B0" w:rsidRDefault="00F505E1" w:rsidP="006D5A65">
      <w:pPr>
        <w:pStyle w:val="Heading2"/>
      </w:pPr>
      <w:r w:rsidRPr="000665B0">
        <w:t>Option</w:t>
      </w:r>
      <w:r w:rsidR="00B62D09" w:rsidRPr="000665B0">
        <w:t xml:space="preserve"> (General)</w:t>
      </w:r>
    </w:p>
    <w:p w14:paraId="64AED084" w14:textId="77777777" w:rsidR="00F505E1" w:rsidRPr="000665B0" w:rsidRDefault="00F505E1" w:rsidP="006D5A65">
      <w:pPr>
        <w:pStyle w:val="Heading2"/>
      </w:pPr>
      <w:r w:rsidRPr="000665B0">
        <w:t>Geo Properties</w:t>
      </w:r>
    </w:p>
    <w:p w14:paraId="21823218" w14:textId="6E38960C" w:rsidR="003C5CFD" w:rsidRDefault="009751C3" w:rsidP="009570CA">
      <w:pPr>
        <w:tabs>
          <w:tab w:val="left" w:pos="720"/>
        </w:tabs>
      </w:pPr>
      <w:r w:rsidRPr="000665B0">
        <w:t xml:space="preserve">Select </w:t>
      </w:r>
      <w:r w:rsidRPr="000665B0">
        <w:rPr>
          <w:b/>
        </w:rPr>
        <w:t xml:space="preserve">View </w:t>
      </w:r>
      <w:r w:rsidRPr="000665B0">
        <w:rPr>
          <w:b/>
        </w:rPr>
        <w:sym w:font="Wingdings" w:char="F0E0"/>
      </w:r>
      <w:r w:rsidRPr="000665B0">
        <w:rPr>
          <w:b/>
        </w:rPr>
        <w:t xml:space="preserve"> Properties</w:t>
      </w:r>
      <w:r w:rsidRPr="000665B0">
        <w:t xml:space="preserve"> from the </w:t>
      </w:r>
      <w:r w:rsidRPr="000665B0">
        <w:rPr>
          <w:b/>
        </w:rPr>
        <w:t>Strike Folder</w:t>
      </w:r>
      <w:r w:rsidRPr="000665B0">
        <w:t xml:space="preserve"> tool to invoke the </w:t>
      </w:r>
      <w:r w:rsidRPr="000665B0">
        <w:rPr>
          <w:i/>
        </w:rPr>
        <w:t>Strike</w:t>
      </w:r>
      <w:r w:rsidRPr="000665B0">
        <w:t xml:space="preserve"> </w:t>
      </w:r>
      <w:r w:rsidRPr="000665B0">
        <w:rPr>
          <w:i/>
        </w:rPr>
        <w:t xml:space="preserve">Properties </w:t>
      </w:r>
      <w:r w:rsidRPr="000665B0">
        <w:t>window.</w:t>
      </w:r>
    </w:p>
    <w:p w14:paraId="1AC889E7" w14:textId="664D2922" w:rsidR="00CA1390" w:rsidRPr="000665B0" w:rsidRDefault="00684F68" w:rsidP="00E22ED5">
      <w:pPr>
        <w:jc w:val="center"/>
      </w:pPr>
      <w:r>
        <w:rPr>
          <w:noProof/>
        </w:rPr>
        <w:drawing>
          <wp:inline distT="0" distB="0" distL="0" distR="0" wp14:anchorId="6742E964" wp14:editId="6FD2D120">
            <wp:extent cx="5029200" cy="1856232"/>
            <wp:effectExtent l="0" t="0" r="0" b="0"/>
            <wp:docPr id="2323" name="Picture 23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a:stretch>
                      <a:fillRect/>
                    </a:stretch>
                  </pic:blipFill>
                  <pic:spPr>
                    <a:xfrm>
                      <a:off x="0" y="0"/>
                      <a:ext cx="5029200" cy="1856232"/>
                    </a:xfrm>
                    <a:prstGeom prst="rect">
                      <a:avLst/>
                    </a:prstGeom>
                  </pic:spPr>
                </pic:pic>
              </a:graphicData>
            </a:graphic>
          </wp:inline>
        </w:drawing>
      </w:r>
    </w:p>
    <w:p w14:paraId="1A5F2BD3" w14:textId="15EA7B6B" w:rsidR="007547D7" w:rsidRPr="000665B0" w:rsidRDefault="007547D7" w:rsidP="009570CA">
      <w:pPr>
        <w:pStyle w:val="Heading4"/>
      </w:pPr>
      <w:bookmarkStart w:id="6174" w:name="_5.37.1.1__System"/>
      <w:bookmarkStart w:id="6175" w:name="_Hlk54607356"/>
      <w:bookmarkEnd w:id="6174"/>
      <w:r w:rsidRPr="000665B0">
        <w:t>System Properties</w:t>
      </w:r>
      <w:r w:rsidR="008C632C" w:rsidRPr="000665B0">
        <w:t xml:space="preserve"> (Administrators Only)</w:t>
      </w:r>
    </w:p>
    <w:p w14:paraId="50210D60" w14:textId="03DCDB87" w:rsidR="0017350F" w:rsidRPr="000665B0" w:rsidRDefault="008C632C" w:rsidP="009570CA">
      <w:pPr>
        <w:pStyle w:val="Heading5"/>
      </w:pPr>
      <w:r w:rsidRPr="000665B0">
        <w:t>Shareability</w:t>
      </w:r>
    </w:p>
    <w:p w14:paraId="300050E4" w14:textId="5B363FAD" w:rsidR="00684F68" w:rsidRPr="000665B0" w:rsidRDefault="00AB579B" w:rsidP="009570CA">
      <w:pPr>
        <w:pStyle w:val="BodyText"/>
        <w:spacing w:after="120"/>
      </w:pPr>
      <w:r w:rsidRPr="000665B0">
        <w:t>Configures</w:t>
      </w:r>
      <w:r w:rsidR="009F758F" w:rsidRPr="000665B0">
        <w:t xml:space="preserve"> </w:t>
      </w:r>
      <w:r w:rsidR="008C632C" w:rsidRPr="000665B0">
        <w:t xml:space="preserve">the default Shareability settings for the Strike Folder and Option. The </w:t>
      </w:r>
      <w:r w:rsidR="00316136" w:rsidRPr="000665B0">
        <w:t xml:space="preserve">window </w:t>
      </w:r>
      <w:r w:rsidR="008C632C" w:rsidRPr="000665B0">
        <w:t>contains text boxes for 1</w:t>
      </w:r>
      <w:r w:rsidR="00C55845">
        <w:t>1</w:t>
      </w:r>
      <w:r w:rsidR="008C632C" w:rsidRPr="000665B0">
        <w:t xml:space="preserve"> Shareable Country Trigraphs. It also provides the option to show or hide the Shareability banner in the Strike Folder and Option textual displays. For more information, see </w:t>
      </w:r>
      <w:hyperlink w:anchor="_5.37.2.2__Shareability" w:history="1">
        <w:r w:rsidR="009326FE" w:rsidRPr="000665B0">
          <w:rPr>
            <w:rStyle w:val="Hyperlink"/>
          </w:rPr>
          <w:t xml:space="preserve">Section </w:t>
        </w:r>
        <w:r w:rsidR="004231CC">
          <w:rPr>
            <w:rStyle w:val="Hyperlink"/>
          </w:rPr>
          <w:t>5.34</w:t>
        </w:r>
        <w:r w:rsidR="008C632C" w:rsidRPr="000665B0">
          <w:rPr>
            <w:rStyle w:val="Hyperlink"/>
          </w:rPr>
          <w:t>.</w:t>
        </w:r>
        <w:r w:rsidR="0089269C" w:rsidRPr="000665B0">
          <w:rPr>
            <w:rStyle w:val="Hyperlink"/>
          </w:rPr>
          <w:t>2</w:t>
        </w:r>
        <w:r w:rsidR="008C632C" w:rsidRPr="000665B0">
          <w:rPr>
            <w:rStyle w:val="Hyperlink"/>
          </w:rPr>
          <w:t>.2</w:t>
        </w:r>
      </w:hyperlink>
      <w:r w:rsidR="008C632C" w:rsidRPr="000665B0">
        <w:t>.</w:t>
      </w:r>
    </w:p>
    <w:p w14:paraId="04082D91" w14:textId="3566DE59" w:rsidR="008C632C" w:rsidRDefault="00AE10F4" w:rsidP="00F63C77">
      <w:pPr>
        <w:pStyle w:val="BodyText"/>
        <w:spacing w:before="120" w:after="120"/>
        <w:jc w:val="center"/>
      </w:pPr>
      <w:r>
        <w:rPr>
          <w:noProof/>
        </w:rPr>
        <w:lastRenderedPageBreak/>
        <w:drawing>
          <wp:inline distT="0" distB="0" distL="0" distR="0" wp14:anchorId="466CD832" wp14:editId="3E1DFBDE">
            <wp:extent cx="2743200" cy="2423160"/>
            <wp:effectExtent l="0" t="0" r="0" b="0"/>
            <wp:docPr id="31" name="Picture 3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a:picLocks noChangeAspect="1"/>
                    </pic:cNvPicPr>
                  </pic:nvPicPr>
                  <pic:blipFill>
                    <a:blip>
                      <a:extLst>
                        <a:ext uri="{28A0092B-C50C-407E-A947-70E740481C1C}">
                          <a14:useLocalDpi xmlns:a14="http://schemas.microsoft.com/office/drawing/2010/main" val="0"/>
                        </a:ext>
                      </a:extLst>
                    </a:blip>
                    <a:stretch>
                      <a:fillRect/>
                    </a:stretch>
                  </pic:blipFill>
                  <pic:spPr>
                    <a:xfrm>
                      <a:off x="0" y="0"/>
                      <a:ext cx="2743200" cy="2423160"/>
                    </a:xfrm>
                    <a:prstGeom prst="rect">
                      <a:avLst/>
                    </a:prstGeom>
                  </pic:spPr>
                </pic:pic>
              </a:graphicData>
            </a:graphic>
          </wp:inline>
        </w:drawing>
      </w:r>
    </w:p>
    <w:p w14:paraId="48C8D5B0" w14:textId="4ADE8D2E" w:rsidR="0017350F" w:rsidRPr="000665B0" w:rsidRDefault="008C632C" w:rsidP="009570CA">
      <w:pPr>
        <w:pStyle w:val="Heading5"/>
      </w:pPr>
      <w:r w:rsidRPr="000665B0">
        <w:t xml:space="preserve">Tasking </w:t>
      </w:r>
    </w:p>
    <w:p w14:paraId="5BBA9BC0" w14:textId="047146C4" w:rsidR="008C632C" w:rsidRPr="000665B0" w:rsidRDefault="00AB579B" w:rsidP="009570CA">
      <w:r w:rsidRPr="000665B0">
        <w:t>Sets</w:t>
      </w:r>
      <w:r w:rsidR="008C632C" w:rsidRPr="000665B0">
        <w:t xml:space="preserve"> the default preferences for the Strike Tasking Matrix.</w:t>
      </w:r>
    </w:p>
    <w:p w14:paraId="20F5F449" w14:textId="3E6D8771" w:rsidR="008C632C" w:rsidRPr="000665B0" w:rsidRDefault="009B0649" w:rsidP="009570CA">
      <w:pPr>
        <w:jc w:val="center"/>
      </w:pPr>
      <w:r w:rsidRPr="000665B0">
        <w:rPr>
          <w:noProof/>
        </w:rPr>
        <w:drawing>
          <wp:inline distT="0" distB="0" distL="0" distR="0" wp14:anchorId="46CB2EC2" wp14:editId="5B4A8067">
            <wp:extent cx="2743200" cy="2331720"/>
            <wp:effectExtent l="0" t="0" r="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331720"/>
                    </a:xfrm>
                    <a:prstGeom prst="rect">
                      <a:avLst/>
                    </a:prstGeom>
                  </pic:spPr>
                </pic:pic>
              </a:graphicData>
            </a:graphic>
          </wp:inline>
        </w:drawing>
      </w:r>
    </w:p>
    <w:p w14:paraId="16A95EB4" w14:textId="0AF1C0DD" w:rsidR="008C632C" w:rsidRPr="000665B0" w:rsidRDefault="008C632C" w:rsidP="006D5A65">
      <w:pPr>
        <w:pStyle w:val="Heading1"/>
      </w:pPr>
      <w:r w:rsidRPr="000665B0">
        <w:t xml:space="preserve">Create Default Objective for </w:t>
      </w:r>
      <w:r w:rsidR="00316136" w:rsidRPr="000665B0">
        <w:t>‘</w:t>
      </w:r>
      <w:r w:rsidRPr="000665B0">
        <w:t>New</w:t>
      </w:r>
      <w:r w:rsidR="00316136" w:rsidRPr="000665B0">
        <w:t xml:space="preserve">’ </w:t>
      </w:r>
      <w:r w:rsidRPr="000665B0">
        <w:t xml:space="preserve">Tasking – </w:t>
      </w:r>
      <w:r w:rsidR="00FF56CC" w:rsidRPr="000665B0">
        <w:t>When checked,</w:t>
      </w:r>
      <w:r w:rsidRPr="000665B0">
        <w:t xml:space="preserve"> automatically creates a new Objective for the Strike Tasking </w:t>
      </w:r>
      <w:r w:rsidRPr="000665B0">
        <w:rPr>
          <w:szCs w:val="24"/>
        </w:rPr>
        <w:t>Matrix</w:t>
      </w:r>
      <w:r w:rsidR="00A60113" w:rsidRPr="000665B0">
        <w:rPr>
          <w:szCs w:val="24"/>
        </w:rPr>
        <w:t xml:space="preserve"> (Target pane in the </w:t>
      </w:r>
      <w:r w:rsidR="00A60113" w:rsidRPr="000665B0">
        <w:rPr>
          <w:i/>
          <w:szCs w:val="24"/>
        </w:rPr>
        <w:t>Strike Tasking</w:t>
      </w:r>
      <w:r w:rsidR="00A60113" w:rsidRPr="000665B0">
        <w:rPr>
          <w:szCs w:val="24"/>
        </w:rPr>
        <w:t xml:space="preserve"> window)</w:t>
      </w:r>
      <w:r w:rsidRPr="000665B0">
        <w:rPr>
          <w:szCs w:val="24"/>
        </w:rPr>
        <w:t xml:space="preserve"> when</w:t>
      </w:r>
      <w:r w:rsidRPr="000665B0">
        <w:t xml:space="preserve"> a new Strike Folder is created.</w:t>
      </w:r>
    </w:p>
    <w:p w14:paraId="7AA2CC1F" w14:textId="77777777" w:rsidR="008C632C" w:rsidRPr="000665B0" w:rsidRDefault="008C632C" w:rsidP="006D5A65">
      <w:pPr>
        <w:pStyle w:val="Heading1"/>
      </w:pPr>
      <w:r w:rsidRPr="000665B0">
        <w:t>Aimpoint Priority – Sets the default Aimpoint Priority value when a Task is added to the Strike Tasking Matrix.</w:t>
      </w:r>
    </w:p>
    <w:p w14:paraId="527DABF5" w14:textId="77777777" w:rsidR="008C632C" w:rsidRPr="000665B0" w:rsidRDefault="008C632C" w:rsidP="006D5A65">
      <w:pPr>
        <w:pStyle w:val="Heading1"/>
      </w:pPr>
      <w:r w:rsidRPr="000665B0">
        <w:t>Damage Required – Sets the default Damage Required value when a Task is added to the Strike Tasking Matrix.</w:t>
      </w:r>
    </w:p>
    <w:p w14:paraId="3A3AC905" w14:textId="77808458" w:rsidR="008C632C" w:rsidRPr="000665B0" w:rsidRDefault="008C632C" w:rsidP="006D5A65">
      <w:pPr>
        <w:pStyle w:val="Heading1"/>
      </w:pPr>
      <w:r w:rsidRPr="000665B0">
        <w:t xml:space="preserve">Critical – </w:t>
      </w:r>
      <w:r w:rsidR="00FF56CC" w:rsidRPr="000665B0">
        <w:t xml:space="preserve">When checked, sets </w:t>
      </w:r>
      <w:r w:rsidRPr="000665B0">
        <w:t>the default Critical value when a Task is added to the Strike Tasking Matrix.</w:t>
      </w:r>
    </w:p>
    <w:p w14:paraId="7C3E97AF" w14:textId="56DAEDF5" w:rsidR="0017350F" w:rsidRPr="000665B0" w:rsidRDefault="008C632C" w:rsidP="009570CA">
      <w:pPr>
        <w:pStyle w:val="Heading5"/>
      </w:pPr>
      <w:r w:rsidRPr="000665B0">
        <w:t>Option</w:t>
      </w:r>
    </w:p>
    <w:p w14:paraId="084E10BC" w14:textId="7C859416" w:rsidR="008C632C" w:rsidRPr="000665B0" w:rsidRDefault="00AB579B" w:rsidP="009570CA">
      <w:r w:rsidRPr="000665B0">
        <w:t>Sets</w:t>
      </w:r>
      <w:r w:rsidR="008C632C" w:rsidRPr="000665B0">
        <w:t xml:space="preserve"> the default preferences for the Strike Options.</w:t>
      </w:r>
    </w:p>
    <w:p w14:paraId="35E4AF06" w14:textId="630CE453" w:rsidR="009F758F" w:rsidRPr="000665B0" w:rsidRDefault="008C632C" w:rsidP="00306174">
      <w:pPr>
        <w:pStyle w:val="Heading6"/>
      </w:pPr>
      <w:r w:rsidRPr="000665B0">
        <w:lastRenderedPageBreak/>
        <w:t xml:space="preserve">General </w:t>
      </w:r>
      <w:r w:rsidR="009F758F" w:rsidRPr="000665B0">
        <w:t>Tab</w:t>
      </w:r>
    </w:p>
    <w:p w14:paraId="211B51E6" w14:textId="18622EAA" w:rsidR="008C632C" w:rsidRPr="000665B0" w:rsidRDefault="003A5DD7" w:rsidP="009570CA">
      <w:pPr>
        <w:pStyle w:val="BodyText"/>
        <w:spacing w:after="120"/>
      </w:pPr>
      <w:r w:rsidRPr="000665B0">
        <w:t xml:space="preserve">Sets the </w:t>
      </w:r>
      <w:r w:rsidR="00FF56CC" w:rsidRPr="000665B0">
        <w:t xml:space="preserve">default </w:t>
      </w:r>
      <w:r w:rsidRPr="000665B0">
        <w:t>Use Rates, Ready Spare Delta, and TSN Strategy.</w:t>
      </w:r>
    </w:p>
    <w:p w14:paraId="30219A6E" w14:textId="77777777" w:rsidR="008C632C" w:rsidRPr="000665B0" w:rsidRDefault="008C632C" w:rsidP="009570CA">
      <w:pPr>
        <w:pStyle w:val="BodyText"/>
        <w:spacing w:after="120"/>
        <w:jc w:val="center"/>
      </w:pPr>
      <w:r w:rsidRPr="000665B0">
        <w:rPr>
          <w:noProof/>
        </w:rPr>
        <w:drawing>
          <wp:inline distT="0" distB="0" distL="0" distR="0" wp14:anchorId="1FC62AC3" wp14:editId="296416D1">
            <wp:extent cx="2743200" cy="2276856"/>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43200" cy="2276856"/>
                    </a:xfrm>
                    <a:prstGeom prst="rect">
                      <a:avLst/>
                    </a:prstGeom>
                  </pic:spPr>
                </pic:pic>
              </a:graphicData>
            </a:graphic>
          </wp:inline>
        </w:drawing>
      </w:r>
    </w:p>
    <w:p w14:paraId="142E3871" w14:textId="23E578F4" w:rsidR="008C632C" w:rsidRPr="000665B0" w:rsidRDefault="008C632C" w:rsidP="006D5A65">
      <w:pPr>
        <w:pStyle w:val="Heading1"/>
      </w:pPr>
      <w:r w:rsidRPr="000665B0">
        <w:t>Default Use Rates – Sets the default Use Rate’s Max Uses value when a Use Rate is added to the Strike Option’s Resources.</w:t>
      </w:r>
      <w:r w:rsidR="009B0649" w:rsidRPr="000665B0">
        <w:t xml:space="preserve"> Use Rate refers to the number of times an object has been utilized. For example, the Use Rate for a TERCOM map would be the total number of times the map has been referenced by mission routes.</w:t>
      </w:r>
    </w:p>
    <w:p w14:paraId="4C380FA8" w14:textId="097E5BA3" w:rsidR="008C632C" w:rsidRPr="000665B0" w:rsidRDefault="008C632C" w:rsidP="006D5A65">
      <w:pPr>
        <w:pStyle w:val="Heading1"/>
      </w:pPr>
      <w:r w:rsidRPr="000665B0">
        <w:t xml:space="preserve">Ready Spare Delta – </w:t>
      </w:r>
      <w:r w:rsidR="004A0799" w:rsidRPr="000665B0">
        <w:t xml:space="preserve">Sets the </w:t>
      </w:r>
      <w:r w:rsidRPr="000665B0">
        <w:t xml:space="preserve">Delta time after Primary TOL </w:t>
      </w:r>
      <w:r w:rsidR="00527832" w:rsidRPr="000665B0">
        <w:t>that the</w:t>
      </w:r>
      <w:r w:rsidRPr="000665B0">
        <w:t xml:space="preserve"> Ready Spare </w:t>
      </w:r>
      <w:r w:rsidR="00527832" w:rsidRPr="000665B0">
        <w:t>is required to remain an Active Ready Spare reservation</w:t>
      </w:r>
      <w:r w:rsidRPr="000665B0">
        <w:t>.</w:t>
      </w:r>
    </w:p>
    <w:p w14:paraId="1DBD7A3F" w14:textId="16F037FD" w:rsidR="008C632C" w:rsidRPr="000665B0" w:rsidRDefault="008C632C" w:rsidP="006D5A65">
      <w:pPr>
        <w:pStyle w:val="Heading1"/>
      </w:pPr>
      <w:r w:rsidRPr="000665B0">
        <w:t xml:space="preserve">TSN Strategy – </w:t>
      </w:r>
      <w:r w:rsidR="0019254D" w:rsidRPr="000665B0">
        <w:t>Specifies missile assignment strategy that indicates how the ACA or DAMA capable missiles are to be assigned</w:t>
      </w:r>
      <w:r w:rsidRPr="000665B0">
        <w:t>.</w:t>
      </w:r>
    </w:p>
    <w:p w14:paraId="0907910A" w14:textId="074A5E39" w:rsidR="008C632C" w:rsidRPr="000665B0" w:rsidRDefault="008C632C" w:rsidP="006D5A65">
      <w:pPr>
        <w:pStyle w:val="Heading2"/>
      </w:pPr>
      <w:r w:rsidRPr="000665B0">
        <w:t xml:space="preserve">ACA First – </w:t>
      </w:r>
      <w:r w:rsidR="0019254D" w:rsidRPr="000665B0">
        <w:t>Specifies that an assignment can be either the ACA or DAMA network capable missile, but the preference is to assign ACA capable missile, if available.</w:t>
      </w:r>
    </w:p>
    <w:p w14:paraId="0253F16C" w14:textId="1E40DCD1" w:rsidR="008C632C" w:rsidRPr="000665B0" w:rsidRDefault="008C632C" w:rsidP="006D5A65">
      <w:pPr>
        <w:pStyle w:val="Heading2"/>
      </w:pPr>
      <w:r w:rsidRPr="000665B0">
        <w:t xml:space="preserve">DAMA First – </w:t>
      </w:r>
      <w:r w:rsidR="0019254D" w:rsidRPr="000665B0">
        <w:t>Specifies that an assignment can be either the ACA or DAMA network capable missile, but the preference is to assign DAMA capable missile, if available.</w:t>
      </w:r>
    </w:p>
    <w:p w14:paraId="696165F8" w14:textId="56E1CD0E" w:rsidR="008C632C" w:rsidRPr="000665B0" w:rsidRDefault="008C632C" w:rsidP="006D5A65">
      <w:pPr>
        <w:pStyle w:val="Heading2"/>
      </w:pPr>
      <w:r w:rsidRPr="000665B0">
        <w:t xml:space="preserve">ACA Only – </w:t>
      </w:r>
      <w:r w:rsidR="0019254D" w:rsidRPr="000665B0">
        <w:t>Specifies that only ACA-capable missiles be assigned.</w:t>
      </w:r>
      <w:r w:rsidRPr="000665B0">
        <w:t xml:space="preserve"> </w:t>
      </w:r>
    </w:p>
    <w:p w14:paraId="5891BB9A" w14:textId="0CA507FD" w:rsidR="009F758F" w:rsidRPr="000665B0" w:rsidRDefault="008C632C" w:rsidP="006D5A65">
      <w:pPr>
        <w:pStyle w:val="Heading2"/>
      </w:pPr>
      <w:r w:rsidRPr="000665B0">
        <w:rPr>
          <w:rFonts w:eastAsia="Calibri"/>
        </w:rPr>
        <w:t xml:space="preserve">DAMA Only – </w:t>
      </w:r>
      <w:r w:rsidR="0019254D" w:rsidRPr="000665B0">
        <w:t>Specifies that only DAMA-capable missiles be assigned.</w:t>
      </w:r>
    </w:p>
    <w:p w14:paraId="1F565AC0" w14:textId="00A01CF2" w:rsidR="009F758F" w:rsidRPr="000665B0" w:rsidRDefault="009F758F" w:rsidP="004C79AD">
      <w:pPr>
        <w:pStyle w:val="Heading6"/>
        <w:keepLines/>
      </w:pPr>
      <w:r w:rsidRPr="000665B0">
        <w:lastRenderedPageBreak/>
        <w:t>IND</w:t>
      </w:r>
      <w:r w:rsidR="00746E08" w:rsidRPr="000665B0">
        <w:t>I</w:t>
      </w:r>
      <w:r w:rsidRPr="000665B0">
        <w:t>GO Tab</w:t>
      </w:r>
    </w:p>
    <w:p w14:paraId="4EE43CE9" w14:textId="6A98C35D" w:rsidR="002524B8" w:rsidRPr="000665B0" w:rsidRDefault="00AB579B" w:rsidP="004C79AD">
      <w:pPr>
        <w:keepNext/>
        <w:keepLines/>
      </w:pPr>
      <w:r w:rsidRPr="000665B0">
        <w:t>S</w:t>
      </w:r>
      <w:r w:rsidR="003A5DD7" w:rsidRPr="000665B0">
        <w:t>ets the INDIGO configuration.</w:t>
      </w:r>
      <w:r w:rsidR="009B0649" w:rsidRPr="000665B0">
        <w:t xml:space="preserve"> INDIGO is a message format for reporting tasking.</w:t>
      </w:r>
    </w:p>
    <w:p w14:paraId="25018339" w14:textId="0139058B" w:rsidR="002524B8" w:rsidRPr="000665B0" w:rsidRDefault="002524B8" w:rsidP="00F63C77">
      <w:pPr>
        <w:pStyle w:val="BodyText"/>
        <w:spacing w:before="120" w:after="120"/>
        <w:jc w:val="center"/>
      </w:pPr>
      <w:r w:rsidRPr="000665B0">
        <w:rPr>
          <w:noProof/>
        </w:rPr>
        <w:drawing>
          <wp:inline distT="0" distB="0" distL="0" distR="0" wp14:anchorId="30DAB6CA" wp14:editId="434BB9B8">
            <wp:extent cx="2910840" cy="2411839"/>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919732" cy="2419206"/>
                    </a:xfrm>
                    <a:prstGeom prst="rect">
                      <a:avLst/>
                    </a:prstGeom>
                  </pic:spPr>
                </pic:pic>
              </a:graphicData>
            </a:graphic>
          </wp:inline>
        </w:drawing>
      </w:r>
    </w:p>
    <w:p w14:paraId="4613ED9C" w14:textId="44CFBDAA" w:rsidR="002524B8" w:rsidRPr="000665B0" w:rsidRDefault="002524B8" w:rsidP="006D5A65">
      <w:pPr>
        <w:pStyle w:val="Heading1"/>
      </w:pPr>
      <w:r w:rsidRPr="000665B0">
        <w:t xml:space="preserve">Line Designator Type (MSN, NTTP, Aimpt) – </w:t>
      </w:r>
      <w:r w:rsidR="0019254D" w:rsidRPr="000665B0">
        <w:t xml:space="preserve">When set as MSN, each target tasking will be associated with the </w:t>
      </w:r>
      <w:r w:rsidR="00A60113" w:rsidRPr="000665B0">
        <w:t>missile sequence number</w:t>
      </w:r>
      <w:r w:rsidR="0019254D" w:rsidRPr="000665B0">
        <w:t xml:space="preserve"> in the Primary Line. When set as NTTP, each target tasking will be associated with a sequential indexing scheme </w:t>
      </w:r>
      <w:r w:rsidR="009B0649" w:rsidRPr="000665B0">
        <w:t xml:space="preserve">of format </w:t>
      </w:r>
      <w:r w:rsidR="0019254D" w:rsidRPr="000665B0">
        <w:t>An</w:t>
      </w:r>
      <w:r w:rsidR="009B0649" w:rsidRPr="000665B0">
        <w:t xml:space="preserve"> where </w:t>
      </w:r>
      <w:r w:rsidR="0019254D" w:rsidRPr="000665B0">
        <w:t xml:space="preserve">n is a sequential indexing number in the Primary Line. When set as Aimpt, each target tasking will be associated with Aimpoint ID </w:t>
      </w:r>
      <w:r w:rsidR="009B0649" w:rsidRPr="000665B0">
        <w:t>of format</w:t>
      </w:r>
      <w:r w:rsidR="0019254D" w:rsidRPr="000665B0">
        <w:t xml:space="preserve"> AA</w:t>
      </w:r>
      <w:r w:rsidR="00BB2F53" w:rsidRPr="000665B0">
        <w:t xml:space="preserve"> </w:t>
      </w:r>
      <w:r w:rsidR="0019254D" w:rsidRPr="000665B0">
        <w:t xml:space="preserve">where AA is two alphabetical letters representing </w:t>
      </w:r>
      <w:r w:rsidR="00BB2F53" w:rsidRPr="000665B0">
        <w:t xml:space="preserve">the </w:t>
      </w:r>
      <w:r w:rsidR="0019254D" w:rsidRPr="000665B0">
        <w:t>Aimpoint ID in the Primary Line.</w:t>
      </w:r>
    </w:p>
    <w:p w14:paraId="058F5397" w14:textId="64622605" w:rsidR="002524B8" w:rsidRPr="000665B0" w:rsidRDefault="002524B8" w:rsidP="006D5A65">
      <w:pPr>
        <w:pStyle w:val="Heading1"/>
      </w:pPr>
      <w:r w:rsidRPr="000665B0">
        <w:t>Relationship Type (Trigraph, MSN) – Only available when Line Designator Type of MSN is selected.</w:t>
      </w:r>
      <w:r w:rsidR="0019254D" w:rsidRPr="000665B0">
        <w:t xml:space="preserve"> Relationship type will determine </w:t>
      </w:r>
      <w:r w:rsidR="004A0799" w:rsidRPr="000665B0">
        <w:t>whether</w:t>
      </w:r>
      <w:r w:rsidR="0019254D" w:rsidRPr="000665B0">
        <w:t xml:space="preserve"> each target tasking will be associated with missile sequence number or with </w:t>
      </w:r>
      <w:r w:rsidR="00110A83" w:rsidRPr="000665B0">
        <w:t xml:space="preserve">the </w:t>
      </w:r>
      <w:r w:rsidR="0019254D" w:rsidRPr="000665B0">
        <w:t>FRU’s trigraph.</w:t>
      </w:r>
    </w:p>
    <w:p w14:paraId="66867A21" w14:textId="131B314A" w:rsidR="002524B8" w:rsidRPr="000665B0" w:rsidRDefault="002524B8" w:rsidP="006D5A65">
      <w:pPr>
        <w:pStyle w:val="Heading1"/>
      </w:pPr>
      <w:r w:rsidRPr="000665B0">
        <w:t xml:space="preserve">Primary Line Designator (PRI, PRY) – </w:t>
      </w:r>
      <w:r w:rsidR="0019254D" w:rsidRPr="000665B0">
        <w:t xml:space="preserve">When set as PRI, the primary line will begin </w:t>
      </w:r>
      <w:r w:rsidR="00BB2F53" w:rsidRPr="000665B0">
        <w:t>with</w:t>
      </w:r>
      <w:r w:rsidR="0019254D" w:rsidRPr="000665B0">
        <w:t xml:space="preserve"> “PRI</w:t>
      </w:r>
      <w:r w:rsidR="00110A83" w:rsidRPr="000665B0">
        <w:t>.</w:t>
      </w:r>
      <w:r w:rsidR="0019254D" w:rsidRPr="000665B0">
        <w:t xml:space="preserve">” </w:t>
      </w:r>
      <w:r w:rsidR="00110A83" w:rsidRPr="000665B0">
        <w:t xml:space="preserve">When set as PRY, the primary line will begin </w:t>
      </w:r>
      <w:r w:rsidR="00BB2F53" w:rsidRPr="000665B0">
        <w:t>with</w:t>
      </w:r>
      <w:r w:rsidR="00110A83" w:rsidRPr="000665B0">
        <w:t xml:space="preserve"> “PRY.” </w:t>
      </w:r>
      <w:r w:rsidR="0019254D" w:rsidRPr="000665B0">
        <w:t xml:space="preserve">Both </w:t>
      </w:r>
      <w:r w:rsidR="00BB2F53" w:rsidRPr="000665B0">
        <w:t xml:space="preserve">selections </w:t>
      </w:r>
      <w:r w:rsidR="0019254D" w:rsidRPr="000665B0">
        <w:t>denote primary</w:t>
      </w:r>
      <w:r w:rsidR="00BB2F53" w:rsidRPr="000665B0">
        <w:t>; a</w:t>
      </w:r>
      <w:r w:rsidR="0019254D" w:rsidRPr="000665B0">
        <w:t xml:space="preserve"> primary line specifies a primary missile assignment. </w:t>
      </w:r>
      <w:r w:rsidR="00BF3E1E" w:rsidRPr="000665B0">
        <w:t>The preference may be</w:t>
      </w:r>
      <w:r w:rsidR="0019254D" w:rsidRPr="000665B0">
        <w:t xml:space="preserve"> to use </w:t>
      </w:r>
      <w:r w:rsidR="00110A83" w:rsidRPr="000665B0">
        <w:t>“</w:t>
      </w:r>
      <w:r w:rsidR="0019254D" w:rsidRPr="000665B0">
        <w:t>PRY</w:t>
      </w:r>
      <w:r w:rsidR="00110A83" w:rsidRPr="000665B0">
        <w:t>”</w:t>
      </w:r>
      <w:r w:rsidR="0019254D" w:rsidRPr="000665B0">
        <w:t xml:space="preserve"> to </w:t>
      </w:r>
      <w:r w:rsidR="00110A83" w:rsidRPr="000665B0">
        <w:t>differentiate it</w:t>
      </w:r>
      <w:r w:rsidR="0019254D" w:rsidRPr="000665B0">
        <w:t xml:space="preserve"> from </w:t>
      </w:r>
      <w:r w:rsidR="00110A83" w:rsidRPr="000665B0">
        <w:t>“</w:t>
      </w:r>
      <w:r w:rsidR="0019254D" w:rsidRPr="000665B0">
        <w:t>PRI</w:t>
      </w:r>
      <w:r w:rsidR="00BB2F53" w:rsidRPr="000665B0">
        <w:t>,</w:t>
      </w:r>
      <w:r w:rsidR="00110A83" w:rsidRPr="000665B0">
        <w:t>” which</w:t>
      </w:r>
      <w:r w:rsidR="0019254D" w:rsidRPr="000665B0">
        <w:t xml:space="preserve"> is </w:t>
      </w:r>
      <w:r w:rsidR="00BB2F53" w:rsidRPr="000665B0">
        <w:t>displayed</w:t>
      </w:r>
      <w:r w:rsidR="0019254D" w:rsidRPr="000665B0">
        <w:t xml:space="preserve"> in the FRUASN line as the number of primary missiles assigned to a FRU.</w:t>
      </w:r>
    </w:p>
    <w:p w14:paraId="50083F9F" w14:textId="5000F649" w:rsidR="002524B8" w:rsidRPr="000665B0" w:rsidRDefault="002524B8" w:rsidP="006D5A65">
      <w:pPr>
        <w:pStyle w:val="Heading1"/>
      </w:pPr>
      <w:r w:rsidRPr="000665B0">
        <w:t xml:space="preserve">Man Readable (Yes, No) – </w:t>
      </w:r>
      <w:r w:rsidR="00BB2F53" w:rsidRPr="000665B0">
        <w:t>When set as</w:t>
      </w:r>
      <w:r w:rsidR="0019254D" w:rsidRPr="000665B0">
        <w:t xml:space="preserve"> </w:t>
      </w:r>
      <w:r w:rsidR="00BB2F53" w:rsidRPr="000665B0">
        <w:t>Y</w:t>
      </w:r>
      <w:r w:rsidR="0019254D" w:rsidRPr="000665B0">
        <w:t xml:space="preserve">es, the formatted Indigo message will </w:t>
      </w:r>
      <w:r w:rsidR="00BB2F53" w:rsidRPr="000665B0">
        <w:t>contain a</w:t>
      </w:r>
      <w:r w:rsidR="0019254D" w:rsidRPr="000665B0">
        <w:t xml:space="preserve"> RMKS line containing </w:t>
      </w:r>
      <w:r w:rsidR="00BB2F53" w:rsidRPr="000665B0">
        <w:t xml:space="preserve">a </w:t>
      </w:r>
      <w:r w:rsidR="0019254D" w:rsidRPr="000665B0">
        <w:t>man</w:t>
      </w:r>
      <w:r w:rsidR="00BB2F53" w:rsidRPr="000665B0">
        <w:t>-</w:t>
      </w:r>
      <w:r w:rsidR="0019254D" w:rsidRPr="000665B0">
        <w:t xml:space="preserve">readable version of the ESP-L from MDS. For example, if </w:t>
      </w:r>
      <w:r w:rsidR="00BB2F53" w:rsidRPr="000665B0">
        <w:t>Y</w:t>
      </w:r>
      <w:r w:rsidR="0019254D" w:rsidRPr="000665B0">
        <w:t>es</w:t>
      </w:r>
      <w:r w:rsidR="00BB2F53" w:rsidRPr="000665B0">
        <w:t xml:space="preserve">, then RMKS/STRIKE PACKAGE ID: </w:t>
      </w:r>
      <w:r w:rsidR="0019254D" w:rsidRPr="000665B0">
        <w:t xml:space="preserve">nnnnn-nnnn-nnnnn </w:t>
      </w:r>
      <w:r w:rsidR="00BB2F53" w:rsidRPr="000665B0">
        <w:t>is included</w:t>
      </w:r>
      <w:r w:rsidR="0019254D" w:rsidRPr="000665B0">
        <w:t xml:space="preserve"> at </w:t>
      </w:r>
      <w:r w:rsidR="0019254D" w:rsidRPr="000665B0">
        <w:lastRenderedPageBreak/>
        <w:t xml:space="preserve">the end of the Indigo message. If </w:t>
      </w:r>
      <w:r w:rsidR="00BB2F53" w:rsidRPr="000665B0">
        <w:t>No</w:t>
      </w:r>
      <w:r w:rsidR="0019254D" w:rsidRPr="000665B0">
        <w:t>, then the Indigo message will not contain RMKS line.</w:t>
      </w:r>
    </w:p>
    <w:p w14:paraId="677D855C" w14:textId="544D5F62" w:rsidR="002524B8" w:rsidRPr="000665B0" w:rsidRDefault="002524B8" w:rsidP="006D5A65">
      <w:pPr>
        <w:pStyle w:val="Heading1"/>
      </w:pPr>
      <w:r w:rsidRPr="000665B0">
        <w:t xml:space="preserve">Replace ASDIR (Yes, No) – </w:t>
      </w:r>
      <w:r w:rsidR="0019254D" w:rsidRPr="000665B0">
        <w:t xml:space="preserve">ASDIR identifies a mission that will be backed up as directed by the </w:t>
      </w:r>
      <w:r w:rsidR="00551E3E">
        <w:t>TSC</w:t>
      </w:r>
      <w:r w:rsidR="0019254D" w:rsidRPr="000665B0">
        <w:t xml:space="preserve">. When set </w:t>
      </w:r>
      <w:r w:rsidR="009B0649" w:rsidRPr="000665B0">
        <w:t>as</w:t>
      </w:r>
      <w:r w:rsidR="0019254D" w:rsidRPr="000665B0">
        <w:t xml:space="preserve"> Yes, the identified mission will be replaced.</w:t>
      </w:r>
    </w:p>
    <w:p w14:paraId="55720904" w14:textId="7C056A80" w:rsidR="002524B8" w:rsidRPr="000665B0" w:rsidRDefault="002524B8" w:rsidP="006D5A65">
      <w:pPr>
        <w:pStyle w:val="Heading1"/>
      </w:pPr>
      <w:r w:rsidRPr="000665B0">
        <w:t xml:space="preserve">Use Trigraph On FRUASN (Yes, No) – </w:t>
      </w:r>
      <w:r w:rsidR="00BB2F53" w:rsidRPr="000665B0">
        <w:t>When set as Yes</w:t>
      </w:r>
      <w:r w:rsidR="0019254D" w:rsidRPr="000665B0">
        <w:t xml:space="preserve">, the FRU assignment will be denoted by </w:t>
      </w:r>
      <w:r w:rsidR="00BB2F53" w:rsidRPr="000665B0">
        <w:t xml:space="preserve">the </w:t>
      </w:r>
      <w:r w:rsidR="0019254D" w:rsidRPr="000665B0">
        <w:t>FRU’s Trigraph</w:t>
      </w:r>
      <w:r w:rsidR="00BB2F53" w:rsidRPr="000665B0">
        <w:t xml:space="preserve">. When set as No, it is </w:t>
      </w:r>
      <w:r w:rsidR="0019254D" w:rsidRPr="000665B0">
        <w:t>denoted by platform</w:t>
      </w:r>
      <w:r w:rsidR="00BB2F53" w:rsidRPr="000665B0">
        <w:t xml:space="preserve"> name. For example, if Y</w:t>
      </w:r>
      <w:r w:rsidR="0019254D" w:rsidRPr="000665B0">
        <w:t>es, then “FRUASN/GEO”</w:t>
      </w:r>
      <w:r w:rsidR="00BB2F53" w:rsidRPr="000665B0">
        <w:t>; if No,</w:t>
      </w:r>
      <w:r w:rsidR="0019254D" w:rsidRPr="000665B0">
        <w:t xml:space="preserve"> </w:t>
      </w:r>
      <w:r w:rsidR="00BB2F53" w:rsidRPr="000665B0">
        <w:t xml:space="preserve">then </w:t>
      </w:r>
      <w:r w:rsidR="0019254D" w:rsidRPr="000665B0">
        <w:t>“FRUASN/GEORGIA</w:t>
      </w:r>
      <w:r w:rsidR="00BB2F53" w:rsidRPr="000665B0">
        <w:t>.</w:t>
      </w:r>
      <w:r w:rsidR="0019254D" w:rsidRPr="000665B0">
        <w:t>”</w:t>
      </w:r>
    </w:p>
    <w:p w14:paraId="12D0BC31" w14:textId="047F9925" w:rsidR="002524B8" w:rsidRPr="000665B0" w:rsidRDefault="002524B8" w:rsidP="006D5A65">
      <w:pPr>
        <w:pStyle w:val="Heading1"/>
      </w:pPr>
      <w:r w:rsidRPr="000665B0">
        <w:t xml:space="preserve">Use Long Target ID (Yes, No) – </w:t>
      </w:r>
      <w:r w:rsidR="00BB2F53" w:rsidRPr="000665B0">
        <w:t>When set as Yes</w:t>
      </w:r>
      <w:r w:rsidR="0019254D" w:rsidRPr="000665B0">
        <w:t xml:space="preserve">, the target identifier in the message will be appended with </w:t>
      </w:r>
      <w:r w:rsidR="00BB2F53" w:rsidRPr="000665B0">
        <w:t xml:space="preserve">the </w:t>
      </w:r>
      <w:r w:rsidR="0019254D" w:rsidRPr="000665B0">
        <w:t>Aimpoint ID.</w:t>
      </w:r>
    </w:p>
    <w:p w14:paraId="6CD06031" w14:textId="3C0548DE" w:rsidR="002524B8" w:rsidRPr="000665B0" w:rsidRDefault="002524B8" w:rsidP="006D5A65">
      <w:pPr>
        <w:pStyle w:val="Heading1"/>
      </w:pPr>
      <w:r w:rsidRPr="000665B0">
        <w:t xml:space="preserve">Use TMPR and LMO (Yes, No) – </w:t>
      </w:r>
      <w:r w:rsidR="00BB2F53" w:rsidRPr="000665B0">
        <w:t>When set as Yes</w:t>
      </w:r>
      <w:r w:rsidR="0019254D" w:rsidRPr="000665B0">
        <w:t>, t</w:t>
      </w:r>
      <w:r w:rsidR="00BB2F53" w:rsidRPr="000665B0">
        <w:t>he TMPR and/or LMO information (</w:t>
      </w:r>
      <w:r w:rsidR="0019254D" w:rsidRPr="000665B0">
        <w:t xml:space="preserve">if </w:t>
      </w:r>
      <w:r w:rsidR="00BB2F53" w:rsidRPr="000665B0">
        <w:t>present</w:t>
      </w:r>
      <w:r w:rsidR="0019254D" w:rsidRPr="000665B0">
        <w:t xml:space="preserve"> in the ESP</w:t>
      </w:r>
      <w:r w:rsidR="00BB2F53" w:rsidRPr="000665B0">
        <w:t>)</w:t>
      </w:r>
      <w:r w:rsidR="0019254D" w:rsidRPr="000665B0">
        <w:t xml:space="preserve">, will be added to the Indigo message. </w:t>
      </w:r>
      <w:r w:rsidR="00BB2F53" w:rsidRPr="000665B0">
        <w:t>When set as No</w:t>
      </w:r>
      <w:r w:rsidR="0019254D" w:rsidRPr="000665B0">
        <w:t>, the information will not be included in the Indigo message.</w:t>
      </w:r>
    </w:p>
    <w:p w14:paraId="11072114" w14:textId="19832CC2" w:rsidR="00746E08" w:rsidRPr="000665B0" w:rsidRDefault="00746E08" w:rsidP="00306174">
      <w:pPr>
        <w:pStyle w:val="Heading6"/>
      </w:pPr>
      <w:bookmarkStart w:id="6176" w:name="_5.37.1.1.3.3__Auto-Analysis"/>
      <w:bookmarkStart w:id="6177" w:name="_Auto-Analysis_Tab"/>
      <w:bookmarkEnd w:id="6176"/>
      <w:bookmarkEnd w:id="6177"/>
      <w:r w:rsidRPr="000665B0">
        <w:t>Auto-Analysis Tab</w:t>
      </w:r>
    </w:p>
    <w:p w14:paraId="598CB7AF" w14:textId="77777777" w:rsidR="00746E08" w:rsidRPr="000665B0" w:rsidRDefault="00AB579B" w:rsidP="009570CA">
      <w:r w:rsidRPr="000665B0">
        <w:t>Sets p</w:t>
      </w:r>
      <w:r w:rsidR="00746E08" w:rsidRPr="000665B0">
        <w:t>references for the automatic analysis invoked when an option is turned into a package. Checked items are the analyses that are performed by auto-analysis. (TSN Comms analyses are performed only in the context of an executing strike.)</w:t>
      </w:r>
    </w:p>
    <w:p w14:paraId="71C31435" w14:textId="77777777" w:rsidR="00BB2F53" w:rsidRPr="000665B0" w:rsidRDefault="00BB2F53" w:rsidP="00F63C77">
      <w:pPr>
        <w:pStyle w:val="BodyText"/>
        <w:spacing w:before="120" w:after="120"/>
        <w:jc w:val="center"/>
      </w:pPr>
      <w:r w:rsidRPr="000665B0">
        <w:rPr>
          <w:noProof/>
        </w:rPr>
        <w:drawing>
          <wp:inline distT="0" distB="0" distL="0" distR="0" wp14:anchorId="475ACD94" wp14:editId="0595A896">
            <wp:extent cx="2956560" cy="2449721"/>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992091" cy="2479161"/>
                    </a:xfrm>
                    <a:prstGeom prst="rect">
                      <a:avLst/>
                    </a:prstGeom>
                  </pic:spPr>
                </pic:pic>
              </a:graphicData>
            </a:graphic>
          </wp:inline>
        </w:drawing>
      </w:r>
    </w:p>
    <w:p w14:paraId="5255947B" w14:textId="77777777" w:rsidR="00031215" w:rsidRPr="000665B0" w:rsidRDefault="00031215" w:rsidP="006D5A65">
      <w:pPr>
        <w:pStyle w:val="Heading1"/>
      </w:pPr>
      <w:r w:rsidRPr="000665B0">
        <w:t>Deconfliction</w:t>
      </w:r>
    </w:p>
    <w:p w14:paraId="760DD199" w14:textId="382E0315" w:rsidR="00BB2F53" w:rsidRPr="000665B0" w:rsidRDefault="00BB2F53" w:rsidP="006D5A65">
      <w:pPr>
        <w:pStyle w:val="Heading2"/>
      </w:pPr>
      <w:r w:rsidRPr="000665B0">
        <w:t xml:space="preserve">Routes – When checked, mission routes will be checked to see if the restriction of multiple routes arriving in proximity in time and distance by the missiles breach the limits of tolerances, which are shown in the </w:t>
      </w:r>
      <w:r w:rsidRPr="000665B0">
        <w:rPr>
          <w:i/>
        </w:rPr>
        <w:t>Deconfliction</w:t>
      </w:r>
      <w:r w:rsidRPr="000665B0">
        <w:t xml:space="preserve"> tab of the </w:t>
      </w:r>
      <w:r w:rsidRPr="000665B0">
        <w:rPr>
          <w:i/>
        </w:rPr>
        <w:t>Analysis</w:t>
      </w:r>
      <w:r w:rsidRPr="000665B0">
        <w:t xml:space="preserve"> window.</w:t>
      </w:r>
    </w:p>
    <w:p w14:paraId="0B2EDA0A" w14:textId="159D4B31" w:rsidR="00BB2F53" w:rsidRPr="000665B0" w:rsidRDefault="00BB2F53" w:rsidP="006D5A65">
      <w:pPr>
        <w:pStyle w:val="Heading2"/>
      </w:pPr>
      <w:r w:rsidRPr="000665B0">
        <w:t xml:space="preserve">DSMACs – When </w:t>
      </w:r>
      <w:r w:rsidR="00DB2264" w:rsidRPr="000665B0">
        <w:t>checked</w:t>
      </w:r>
      <w:r w:rsidRPr="000665B0">
        <w:t xml:space="preserve"> mission routes in the strike option will be checked to see if the restriction of multiple routes arriving in proximity in time and distance by the </w:t>
      </w:r>
      <w:r w:rsidRPr="000665B0">
        <w:lastRenderedPageBreak/>
        <w:t xml:space="preserve">missiles at the same DSMAC breach the limits of tolerances, which are shown in the </w:t>
      </w:r>
      <w:r w:rsidRPr="000665B0">
        <w:rPr>
          <w:i/>
        </w:rPr>
        <w:t>Deconfliction</w:t>
      </w:r>
      <w:r w:rsidRPr="000665B0">
        <w:t xml:space="preserve"> tab of the </w:t>
      </w:r>
      <w:r w:rsidRPr="000665B0">
        <w:rPr>
          <w:i/>
        </w:rPr>
        <w:t>Analysis</w:t>
      </w:r>
      <w:r w:rsidRPr="000665B0">
        <w:t xml:space="preserve"> window.</w:t>
      </w:r>
    </w:p>
    <w:p w14:paraId="1F6F7AFD" w14:textId="4E5A6420" w:rsidR="00BB2F53" w:rsidRPr="000665B0" w:rsidRDefault="00BB2F53" w:rsidP="006D5A65">
      <w:pPr>
        <w:pStyle w:val="Heading2"/>
      </w:pPr>
      <w:r w:rsidRPr="000665B0">
        <w:t xml:space="preserve">Targets – When </w:t>
      </w:r>
      <w:r w:rsidR="00DB2264" w:rsidRPr="000665B0">
        <w:t>checked</w:t>
      </w:r>
      <w:r w:rsidRPr="000665B0">
        <w:t xml:space="preserve"> mission routes in the strike option will be checked to see if the restriction of multiple routes arriving in proximity in time and distance by the missiles at the same target breach the limits of tolerances, which are shown in the </w:t>
      </w:r>
      <w:r w:rsidRPr="000665B0">
        <w:rPr>
          <w:i/>
        </w:rPr>
        <w:t>Deconfliction</w:t>
      </w:r>
      <w:r w:rsidRPr="000665B0">
        <w:t xml:space="preserve"> tab of the </w:t>
      </w:r>
      <w:r w:rsidRPr="000665B0">
        <w:rPr>
          <w:i/>
        </w:rPr>
        <w:t>Analysis</w:t>
      </w:r>
      <w:r w:rsidRPr="000665B0">
        <w:t xml:space="preserve"> window.</w:t>
      </w:r>
    </w:p>
    <w:p w14:paraId="12CE0F15" w14:textId="7CC00AD8" w:rsidR="00BB2F53" w:rsidRPr="000665B0" w:rsidRDefault="00BB2F53" w:rsidP="006D5A65">
      <w:pPr>
        <w:pStyle w:val="Heading2"/>
      </w:pPr>
      <w:r w:rsidRPr="000665B0">
        <w:t xml:space="preserve">Use Rate Constraints – When </w:t>
      </w:r>
      <w:r w:rsidR="00DB2264" w:rsidRPr="000665B0">
        <w:t>checked</w:t>
      </w:r>
      <w:r w:rsidRPr="000665B0">
        <w:t xml:space="preserve"> the mission routes in the strike option will be checked to see if the usage of any objects, such as TERCOM Maps, DSMAC Scenes, Flight Corridor ACMS, and Loiter Area ACMS have exceeded the Use Rate Constraints.</w:t>
      </w:r>
    </w:p>
    <w:p w14:paraId="062563F0" w14:textId="6E6CFDE5" w:rsidR="00BB2F53" w:rsidRPr="000665B0" w:rsidRDefault="00BB2F53" w:rsidP="006D5A65">
      <w:pPr>
        <w:pStyle w:val="Heading2"/>
      </w:pPr>
      <w:r w:rsidRPr="000665B0">
        <w:t xml:space="preserve">Prohibited Areas – When </w:t>
      </w:r>
      <w:r w:rsidR="00DB2264" w:rsidRPr="000665B0">
        <w:t>checked</w:t>
      </w:r>
      <w:r w:rsidRPr="000665B0">
        <w:t xml:space="preserve"> the mission routes in the strike option will be checked to determine whether any routes breach the Prohibited Areas restriction.</w:t>
      </w:r>
    </w:p>
    <w:p w14:paraId="6AE13477" w14:textId="77777777" w:rsidR="00907368" w:rsidRPr="000665B0" w:rsidRDefault="00907368" w:rsidP="009570CA">
      <w:pPr>
        <w:keepNext/>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70947A91" w14:textId="648AB8CE" w:rsidR="00907368" w:rsidRPr="000665B0" w:rsidRDefault="00907368" w:rsidP="009570CA">
      <w:pPr>
        <w:pBdr>
          <w:top w:val="single" w:sz="12" w:space="1" w:color="auto"/>
          <w:left w:val="single" w:sz="12" w:space="4" w:color="auto"/>
          <w:bottom w:val="single" w:sz="12" w:space="0" w:color="auto"/>
          <w:right w:val="single" w:sz="12" w:space="4" w:color="auto"/>
        </w:pBdr>
        <w:shd w:val="clear" w:color="auto" w:fill="D9D9D9"/>
        <w:jc w:val="center"/>
      </w:pPr>
      <w:r w:rsidRPr="000665B0">
        <w:rPr>
          <w:b/>
        </w:rPr>
        <w:t xml:space="preserve">In rare cases, strike analysis/deconfliction may report an unexpected conflict where a mission violates a Prohibited Area ACMS that is in the mission and strike option (see </w:t>
      </w:r>
      <w:hyperlink w:anchor="_5.38.5.1.13__Analysis_Tools" w:history="1">
        <w:r w:rsidRPr="000665B0">
          <w:rPr>
            <w:rStyle w:val="Hyperlink"/>
            <w:b/>
          </w:rPr>
          <w:t xml:space="preserve">Section </w:t>
        </w:r>
        <w:r w:rsidR="004231CC">
          <w:rPr>
            <w:rStyle w:val="Hyperlink"/>
            <w:b/>
          </w:rPr>
          <w:t>5.34</w:t>
        </w:r>
        <w:r w:rsidRPr="000665B0">
          <w:rPr>
            <w:rStyle w:val="Hyperlink"/>
            <w:b/>
          </w:rPr>
          <w:t>.7.1.15</w:t>
        </w:r>
      </w:hyperlink>
      <w:r w:rsidRPr="000665B0">
        <w:rPr>
          <w:b/>
        </w:rPr>
        <w:t>)</w:t>
      </w:r>
      <w:r w:rsidR="00B12D18">
        <w:rPr>
          <w:b/>
        </w:rPr>
        <w:t>.</w:t>
      </w:r>
    </w:p>
    <w:p w14:paraId="7AAD18A1" w14:textId="77777777" w:rsidR="00031215" w:rsidRPr="000665B0" w:rsidRDefault="00031215" w:rsidP="006D5A65">
      <w:pPr>
        <w:pStyle w:val="Heading1"/>
      </w:pPr>
      <w:r w:rsidRPr="000665B0">
        <w:t>TTWCS Evaluation</w:t>
      </w:r>
    </w:p>
    <w:p w14:paraId="6377905A" w14:textId="5D96D7B7" w:rsidR="00BB2F53" w:rsidRPr="000665B0" w:rsidRDefault="00BB2F53" w:rsidP="006D5A65">
      <w:pPr>
        <w:pStyle w:val="Heading2"/>
      </w:pPr>
      <w:r w:rsidRPr="000665B0">
        <w:t>TTWCS Requirements – When checked, the strike package data will be checked to see if the strike package conforms to 3900/146 interface agreements between MDS and TTWCS.</w:t>
      </w:r>
    </w:p>
    <w:p w14:paraId="7CE9C64D" w14:textId="66553D17" w:rsidR="00BB2F53" w:rsidRPr="000665B0" w:rsidRDefault="00BB2F53" w:rsidP="006D5A65">
      <w:pPr>
        <w:pStyle w:val="Heading2"/>
      </w:pPr>
      <w:r w:rsidRPr="000665B0">
        <w:t xml:space="preserve">DSMAC Employment – When </w:t>
      </w:r>
      <w:r w:rsidR="00DB2264" w:rsidRPr="000665B0">
        <w:t>checked</w:t>
      </w:r>
      <w:r w:rsidRPr="000665B0">
        <w:t xml:space="preserve"> missions in the strike with DSMAC Employment Parameters (in mission’s C2X data) will be checked to ensure that mission’s first and last DSMAC (not VUP) fall within one of the Employment Parameters. </w:t>
      </w:r>
    </w:p>
    <w:p w14:paraId="2F69709C" w14:textId="7E0A3B69" w:rsidR="00BB2F53" w:rsidRPr="000665B0" w:rsidRDefault="00BB2F53" w:rsidP="006D5A65">
      <w:pPr>
        <w:pStyle w:val="Heading2"/>
      </w:pPr>
      <w:r w:rsidRPr="000665B0">
        <w:t>Tasking Objective – When checked, missile assignments are checked to determine whether the required number of missiles have been assigned for all missions, TMPRs, and LMOs in the Missions tab of the strike option if it has a required number of missiles designation. Required missiles for missions or TMPRs or LMOs can be specified by the operator in the Missions tab of the strike option.</w:t>
      </w:r>
    </w:p>
    <w:p w14:paraId="7B11D53A" w14:textId="6F89DC97" w:rsidR="00BB2F53" w:rsidRPr="000665B0" w:rsidRDefault="00BB2F53" w:rsidP="006D5A65">
      <w:pPr>
        <w:pStyle w:val="Heading2"/>
      </w:pPr>
      <w:r w:rsidRPr="000665B0">
        <w:lastRenderedPageBreak/>
        <w:t>Missing Missions – When checked, all of the strike arsenal nodes will be checked to see if MDS account of those nodes’ mission inventory has all the missions being assigned in the strike option.</w:t>
      </w:r>
    </w:p>
    <w:p w14:paraId="762E19FD" w14:textId="0715F6CA" w:rsidR="00BB2F53" w:rsidRPr="000665B0" w:rsidRDefault="00BB2F53" w:rsidP="006D5A65">
      <w:pPr>
        <w:pStyle w:val="Heading2"/>
      </w:pPr>
      <w:r w:rsidRPr="000665B0">
        <w:t>Missing ACMSs – When checked, all the strike arsenal nodes will be checked to see whether the MDS account of those nodes’ ACMS inventory has all the ACMS files that are referenced in the strike option. The mentioned checks are restricted to the following conditions:</w:t>
      </w:r>
    </w:p>
    <w:p w14:paraId="61A7EBEE" w14:textId="2D62C443" w:rsidR="00BB2F53" w:rsidRDefault="00BB2F53" w:rsidP="006D5A65">
      <w:pPr>
        <w:pStyle w:val="Heading2"/>
      </w:pPr>
      <w:r w:rsidRPr="000665B0">
        <w:t>ACMSs</w:t>
      </w:r>
      <w:r w:rsidR="007E7958">
        <w:t xml:space="preserve"> </w:t>
      </w:r>
      <w:r w:rsidR="008B7619" w:rsidRPr="008B7619">
        <w:t xml:space="preserve">(FPPWP, Loiter, Flight Corridor) in LMO Full assignments for all TTWCS/TED/MDS in </w:t>
      </w:r>
      <w:r w:rsidR="008B7619">
        <w:t>strike arsenal</w:t>
      </w:r>
      <w:r w:rsidRPr="000665B0">
        <w:t>.</w:t>
      </w:r>
    </w:p>
    <w:p w14:paraId="1B7387DF" w14:textId="5873FEEE" w:rsidR="005263DF" w:rsidRDefault="00C37FE4" w:rsidP="006D5A65">
      <w:pPr>
        <w:pStyle w:val="Heading2"/>
      </w:pPr>
      <w:r>
        <w:t>PLPs assigned to FRUs in strike arsenal for all TED/MDS in strike arsenal (TTWCSs do not accept PLPs).</w:t>
      </w:r>
    </w:p>
    <w:p w14:paraId="516AABD2" w14:textId="7032FE09" w:rsidR="00C37FE4" w:rsidRDefault="00C37FE4" w:rsidP="006D5A65">
      <w:pPr>
        <w:pStyle w:val="Heading2"/>
      </w:pPr>
      <w:r>
        <w:t xml:space="preserve">Op Areas assigned to FRUs in strike arsenal for all TED/MDS in strike arsenal and only the TTWCS assigned to that Op Area. </w:t>
      </w:r>
    </w:p>
    <w:p w14:paraId="044E89EF" w14:textId="77777777" w:rsidR="00C37FE4" w:rsidRDefault="00C37FE4" w:rsidP="006D5A65">
      <w:pPr>
        <w:pStyle w:val="Heading2"/>
      </w:pPr>
      <w:r>
        <w:t>POB for strike for all TED ACA capable nodes (TED 6.x and up) in strike arsenal.</w:t>
      </w:r>
    </w:p>
    <w:p w14:paraId="40A11527" w14:textId="6F1581C8" w:rsidR="00BB2F53" w:rsidRPr="00883E4C" w:rsidRDefault="00BB2F53" w:rsidP="006D5A65">
      <w:pPr>
        <w:pStyle w:val="Heading2"/>
      </w:pPr>
      <w:r w:rsidRPr="00883E4C">
        <w:t xml:space="preserve">Missing TEFs – </w:t>
      </w:r>
      <w:r w:rsidRPr="000665B0">
        <w:t xml:space="preserve">When </w:t>
      </w:r>
      <w:r w:rsidR="00DB2264" w:rsidRPr="000665B0">
        <w:t>checked</w:t>
      </w:r>
      <w:r w:rsidRPr="000665B0">
        <w:t xml:space="preserve"> all of the strike arsenal nodes that are also specified as a TPS Planning Organization will be checked to see if the MDS account of those nodes’ TEF inventory has the TEFs for all the missions used in the </w:t>
      </w:r>
      <w:r w:rsidRPr="00883E4C">
        <w:rPr>
          <w:bCs/>
          <w:i/>
          <w:iCs/>
        </w:rPr>
        <w:t>Mission</w:t>
      </w:r>
      <w:r w:rsidRPr="000665B0">
        <w:t xml:space="preserve"> tab of the strike option. Note that the </w:t>
      </w:r>
      <w:r w:rsidRPr="00883E4C">
        <w:rPr>
          <w:iCs/>
        </w:rPr>
        <w:t>TEF Loc</w:t>
      </w:r>
      <w:r w:rsidRPr="000665B0">
        <w:t xml:space="preserve"> column in the </w:t>
      </w:r>
      <w:r w:rsidRPr="00883E4C">
        <w:rPr>
          <w:bCs/>
          <w:i/>
          <w:iCs/>
        </w:rPr>
        <w:t>Mission</w:t>
      </w:r>
      <w:r w:rsidRPr="000665B0">
        <w:t xml:space="preserve"> tab strike option only shows the TEF Location for 109E missions, while the evaluation checks for all missions.</w:t>
      </w:r>
      <w:r w:rsidRPr="00883E4C">
        <w:rPr>
          <w:bCs/>
        </w:rPr>
        <w:t xml:space="preserve"> </w:t>
      </w:r>
    </w:p>
    <w:p w14:paraId="5D0964C4" w14:textId="77777777" w:rsidR="00BB2F53" w:rsidRPr="000665B0" w:rsidRDefault="00BB2F53" w:rsidP="003B53B2">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0BC2D679" w14:textId="1D7CDB89" w:rsidR="00BB2F53" w:rsidRPr="000665B0" w:rsidRDefault="00BB2F53" w:rsidP="003B53B2">
      <w:pPr>
        <w:keepNext/>
        <w:keepLines/>
        <w:pBdr>
          <w:top w:val="single" w:sz="12" w:space="1" w:color="auto"/>
          <w:left w:val="single" w:sz="12" w:space="4" w:color="auto"/>
          <w:bottom w:val="single" w:sz="12" w:space="0" w:color="auto"/>
          <w:right w:val="single" w:sz="12" w:space="4" w:color="auto"/>
        </w:pBdr>
        <w:shd w:val="clear" w:color="auto" w:fill="D9D9D9"/>
        <w:jc w:val="center"/>
      </w:pPr>
      <w:r w:rsidRPr="000665B0">
        <w:rPr>
          <w:b/>
        </w:rPr>
        <w:t>Node inventory analysis indicates only the most critical of node inventory issues. As such, it should not be assumed to substitute for correct use of a more complete strike coordination tool. For strike coordination activities, the operator should use the Distribution Dashboa</w:t>
      </w:r>
      <w:r w:rsidRPr="000665B0">
        <w:rPr>
          <w:b/>
          <w:bCs/>
        </w:rPr>
        <w:t xml:space="preserve">rd feature (see </w:t>
      </w:r>
      <w:hyperlink w:anchor="_Distribution_Dashboard" w:history="1">
        <w:r w:rsidRPr="000665B0">
          <w:rPr>
            <w:rStyle w:val="Hyperlink"/>
            <w:rFonts w:eastAsiaTheme="majorEastAsia"/>
            <w:b/>
            <w:bCs/>
          </w:rPr>
          <w:t>Section 5.2.10</w:t>
        </w:r>
      </w:hyperlink>
      <w:r w:rsidRPr="000665B0">
        <w:rPr>
          <w:b/>
          <w:bCs/>
        </w:rPr>
        <w:t xml:space="preserve">) or the Coordination Templates Tool (see </w:t>
      </w:r>
      <w:hyperlink w:anchor="_COORDINATION_TEMPLATES_TOOL_1" w:history="1">
        <w:r w:rsidR="009D51E9" w:rsidRPr="000665B0">
          <w:rPr>
            <w:b/>
            <w:color w:val="0000FF"/>
            <w:u w:val="single"/>
          </w:rPr>
          <w:t xml:space="preserve">Section </w:t>
        </w:r>
        <w:r w:rsidR="004231CC">
          <w:rPr>
            <w:b/>
            <w:color w:val="0000FF"/>
            <w:u w:val="single"/>
          </w:rPr>
          <w:t>5.20</w:t>
        </w:r>
      </w:hyperlink>
      <w:r w:rsidRPr="000665B0">
        <w:rPr>
          <w:b/>
          <w:bCs/>
        </w:rPr>
        <w:t>).</w:t>
      </w:r>
    </w:p>
    <w:p w14:paraId="4CAA9A07" w14:textId="0C2C1777" w:rsidR="00BB2F53" w:rsidRPr="000665B0" w:rsidRDefault="00BB2F53" w:rsidP="006D5A65">
      <w:pPr>
        <w:pStyle w:val="Heading2"/>
      </w:pPr>
      <w:r w:rsidRPr="000665B0">
        <w:t xml:space="preserve">Inventory Feasibility – When checked, all the FRUs in the strike arsenal nodes </w:t>
      </w:r>
      <w:r w:rsidR="00E179D2" w:rsidRPr="000665B0">
        <w:t>are</w:t>
      </w:r>
      <w:r w:rsidRPr="000665B0">
        <w:t xml:space="preserve"> checked to see if the MDS account of the FRU’s missile inventory is sufficient to support its assignments. </w:t>
      </w:r>
    </w:p>
    <w:p w14:paraId="47E3CF9D" w14:textId="2720BB1C" w:rsidR="00BB2F53" w:rsidRPr="000665B0" w:rsidRDefault="00BB2F53" w:rsidP="006D5A65">
      <w:pPr>
        <w:pStyle w:val="Heading2"/>
      </w:pPr>
      <w:r w:rsidRPr="000665B0">
        <w:t xml:space="preserve">Module Check – When </w:t>
      </w:r>
      <w:r w:rsidR="00DB2264" w:rsidRPr="000665B0">
        <w:t>checked</w:t>
      </w:r>
      <w:r w:rsidRPr="000665B0">
        <w:t xml:space="preserve"> all missile reservations that have a specified cell location will be checked to determine the operational status of that missile cell for the respective FRUs. If the operational status is anything but </w:t>
      </w:r>
      <w:r w:rsidRPr="000665B0">
        <w:lastRenderedPageBreak/>
        <w:t>operational, the missile reservation will be reported in the analysis results.</w:t>
      </w:r>
    </w:p>
    <w:p w14:paraId="09A0A868" w14:textId="71E88742" w:rsidR="00BB2F53" w:rsidRPr="000665B0" w:rsidRDefault="00BB2F53" w:rsidP="006D5A65">
      <w:pPr>
        <w:pStyle w:val="Heading2"/>
      </w:pPr>
      <w:r w:rsidRPr="000665B0">
        <w:t xml:space="preserve">FRU Commitments – When checked, all the FRUs in the </w:t>
      </w:r>
      <w:r w:rsidR="00ED58B8" w:rsidRPr="000665B0">
        <w:t>Task O</w:t>
      </w:r>
      <w:r w:rsidRPr="000665B0">
        <w:t>rganization will be checked to see if MDS held FRU commitment schedule conflicts with FRU’s assigned launch execution time and duration.</w:t>
      </w:r>
    </w:p>
    <w:p w14:paraId="7369669C" w14:textId="065A8E28" w:rsidR="00BB2F53" w:rsidRPr="000665B0" w:rsidRDefault="00BB2F53" w:rsidP="006D5A65">
      <w:pPr>
        <w:pStyle w:val="Heading2"/>
      </w:pPr>
      <w:r w:rsidRPr="000665B0">
        <w:t>Geofeasibilit</w:t>
      </w:r>
      <w:r w:rsidR="00031215" w:rsidRPr="000665B0">
        <w:t>y</w:t>
      </w:r>
      <w:r w:rsidRPr="000665B0">
        <w:t xml:space="preserve"> – When checked, </w:t>
      </w:r>
      <w:r w:rsidR="00E22CC1" w:rsidRPr="000665B0">
        <w:t>determines geographic feasibility of a platform to execute the assigned mission while complying with geographical constraints, if any, such as prohibited area, flight corridor, heading towards FPPWP, and missile range</w:t>
      </w:r>
      <w:r w:rsidRPr="000665B0">
        <w:t>.</w:t>
      </w:r>
    </w:p>
    <w:p w14:paraId="2D925DCB" w14:textId="2DB6F8EA" w:rsidR="00BB2F53" w:rsidRPr="000665B0" w:rsidRDefault="00BB2F53" w:rsidP="006D5A65">
      <w:pPr>
        <w:pStyle w:val="Heading2"/>
      </w:pPr>
      <w:r w:rsidRPr="000665B0">
        <w:t xml:space="preserve">Half Module Constraint – When </w:t>
      </w:r>
      <w:r w:rsidR="00DB2264" w:rsidRPr="000665B0">
        <w:t>checked</w:t>
      </w:r>
      <w:r w:rsidRPr="000665B0">
        <w:t xml:space="preserve"> missile reservations’ launch time in the strike package are checked to ensure that no more than X number of missiles will potentially cause concurrent spinning in a half module.</w:t>
      </w:r>
    </w:p>
    <w:p w14:paraId="6324F69B" w14:textId="5F77F762" w:rsidR="00BB2F53" w:rsidRPr="000665B0" w:rsidRDefault="00BB2F53" w:rsidP="006D5A65">
      <w:pPr>
        <w:pStyle w:val="Heading2"/>
      </w:pPr>
      <w:r w:rsidRPr="000665B0">
        <w:t xml:space="preserve">Launch Condition – When </w:t>
      </w:r>
      <w:r w:rsidR="00DB2264" w:rsidRPr="000665B0">
        <w:t>checked</w:t>
      </w:r>
      <w:r w:rsidRPr="000665B0">
        <w:t xml:space="preserve"> the missions in the strike option are checked to determine if any missions do not satisfy the specified criteria in Launch Condition such as Day Type, Snow Statement, and Day/Night. </w:t>
      </w:r>
    </w:p>
    <w:p w14:paraId="1881CEA9" w14:textId="77777777" w:rsidR="00031215" w:rsidRPr="000665B0" w:rsidRDefault="00031215" w:rsidP="006D5A65">
      <w:pPr>
        <w:pStyle w:val="Heading1"/>
      </w:pPr>
      <w:r w:rsidRPr="000665B0">
        <w:t>TSN Comms</w:t>
      </w:r>
    </w:p>
    <w:p w14:paraId="1C158B8D" w14:textId="6F35E955" w:rsidR="00BB2F53" w:rsidRPr="000665B0" w:rsidRDefault="00BB2F53" w:rsidP="006D5A65">
      <w:pPr>
        <w:pStyle w:val="Heading2"/>
      </w:pPr>
      <w:r w:rsidRPr="000665B0">
        <w:t xml:space="preserve">Subscriber </w:t>
      </w:r>
      <w:r w:rsidR="00816181" w:rsidRPr="000665B0">
        <w:t>I</w:t>
      </w:r>
      <w:r w:rsidR="00816181">
        <w:t>D</w:t>
      </w:r>
      <w:r w:rsidR="00816181" w:rsidRPr="000665B0">
        <w:t xml:space="preserve"> </w:t>
      </w:r>
      <w:r w:rsidRPr="000665B0">
        <w:t>– When checked, all assigned subscriber IDs in a strike will be checked to ensure there are no duplicate assigned subscriber IDs.</w:t>
      </w:r>
    </w:p>
    <w:p w14:paraId="019761A4" w14:textId="185A444B" w:rsidR="00BB2F53" w:rsidRPr="000665B0" w:rsidRDefault="00BB2F53" w:rsidP="006D5A65">
      <w:pPr>
        <w:pStyle w:val="Heading2"/>
      </w:pPr>
      <w:r w:rsidRPr="000665B0">
        <w:t xml:space="preserve">DTA – </w:t>
      </w:r>
      <w:r w:rsidR="00A60113" w:rsidRPr="000665B0">
        <w:t xml:space="preserve">When </w:t>
      </w:r>
      <w:r w:rsidR="00DB2264" w:rsidRPr="000665B0">
        <w:t>checked</w:t>
      </w:r>
      <w:r w:rsidR="00A60113" w:rsidRPr="000665B0">
        <w:t xml:space="preserve"> the strike package to be added to the executing strike will be checked to ensure that a FRU does not have a conflicting controller DTA, with respect to the strike packages already in the executing strike.</w:t>
      </w:r>
    </w:p>
    <w:p w14:paraId="278973A5" w14:textId="59FAB4FB" w:rsidR="00BB2F53" w:rsidRPr="000665B0" w:rsidRDefault="00BB2F53" w:rsidP="006D5A65">
      <w:pPr>
        <w:pStyle w:val="Heading2"/>
      </w:pPr>
      <w:r w:rsidRPr="000665B0">
        <w:t xml:space="preserve">Comms Parameters – When </w:t>
      </w:r>
      <w:r w:rsidR="00DB2264" w:rsidRPr="000665B0">
        <w:t>checked</w:t>
      </w:r>
      <w:r w:rsidRPr="000665B0">
        <w:t xml:space="preserve"> the strike package to be added to the executing strike will be checked to ensure that all Comms Parameters such as TSN Channel Number, Comms Initiator, </w:t>
      </w:r>
      <w:r w:rsidR="00581493" w:rsidRPr="000665B0">
        <w:t>Network</w:t>
      </w:r>
      <w:r w:rsidRPr="000665B0">
        <w:t xml:space="preserve"> Login Method, Messaging and Ranging </w:t>
      </w:r>
      <w:r w:rsidR="00E6484E" w:rsidRPr="000665B0">
        <w:t xml:space="preserve">ROW </w:t>
      </w:r>
      <w:r w:rsidRPr="000665B0">
        <w:t xml:space="preserve">Strategy, </w:t>
      </w:r>
      <w:r w:rsidR="000631A6" w:rsidRPr="000665B0">
        <w:t xml:space="preserve">DAMA </w:t>
      </w:r>
      <w:r w:rsidRPr="000665B0">
        <w:t>crypto keys</w:t>
      </w:r>
      <w:r w:rsidR="00D6057D" w:rsidRPr="000665B0">
        <w:t>,</w:t>
      </w:r>
      <w:r w:rsidRPr="000665B0">
        <w:t xml:space="preserve"> </w:t>
      </w:r>
      <w:r w:rsidR="00D6057D" w:rsidRPr="000665B0">
        <w:t xml:space="preserve">and </w:t>
      </w:r>
      <w:r w:rsidR="000631A6" w:rsidRPr="000665B0">
        <w:t xml:space="preserve">ACA </w:t>
      </w:r>
      <w:r w:rsidR="00E6484E" w:rsidRPr="000665B0">
        <w:t xml:space="preserve">crypto keys </w:t>
      </w:r>
      <w:r w:rsidRPr="000665B0">
        <w:t>are all the same, with respect to the strike packages already in the executing strike.</w:t>
      </w:r>
    </w:p>
    <w:p w14:paraId="5F265B14" w14:textId="77777777" w:rsidR="00BB2F53" w:rsidRPr="000665B0" w:rsidRDefault="00BB2F53" w:rsidP="006D5A65">
      <w:pPr>
        <w:pStyle w:val="Heading2"/>
      </w:pPr>
      <w:r w:rsidRPr="000665B0">
        <w:t xml:space="preserve">Comms Boundary – When checked, all applicable elements in the strike option will be checked to see if any element is outside of the defined Planned Outcomes Boundary. For example, a FRU’s PLP should be within the </w:t>
      </w:r>
      <w:r w:rsidRPr="000665B0">
        <w:lastRenderedPageBreak/>
        <w:t>geographic boundary as defined in Planned Outcomes Boundary.</w:t>
      </w:r>
    </w:p>
    <w:p w14:paraId="066F8FFE" w14:textId="323030B4" w:rsidR="00746E08" w:rsidRPr="000665B0" w:rsidRDefault="00BB2F53" w:rsidP="006D5A65">
      <w:pPr>
        <w:pStyle w:val="Heading2"/>
      </w:pPr>
      <w:r w:rsidRPr="000665B0">
        <w:t xml:space="preserve">ACA Capability – When checked, FRUs in the strike option that are assigned ACA missiles will be checked to see if </w:t>
      </w:r>
      <w:r w:rsidR="00A60113" w:rsidRPr="000665B0">
        <w:t>the FRU has ACA capability</w:t>
      </w:r>
      <w:r w:rsidRPr="000665B0">
        <w:t>.</w:t>
      </w:r>
    </w:p>
    <w:p w14:paraId="00F3A778" w14:textId="5858D4D6" w:rsidR="00746E08" w:rsidRPr="000665B0" w:rsidRDefault="002524B8" w:rsidP="00306174">
      <w:pPr>
        <w:pStyle w:val="Heading6"/>
      </w:pPr>
      <w:bookmarkStart w:id="6178" w:name="_Deconfliction__Tab"/>
      <w:bookmarkEnd w:id="6178"/>
      <w:r w:rsidRPr="000665B0">
        <w:t xml:space="preserve">Deconfliction </w:t>
      </w:r>
      <w:r w:rsidR="00746E08" w:rsidRPr="000665B0">
        <w:t>Tab</w:t>
      </w:r>
    </w:p>
    <w:p w14:paraId="1E6C4FCF" w14:textId="47AA4E54" w:rsidR="002524B8" w:rsidRPr="000665B0" w:rsidRDefault="002524B8" w:rsidP="009570CA">
      <w:r w:rsidRPr="000665B0">
        <w:t>Sets the default tolerance values used in deconfliction</w:t>
      </w:r>
      <w:r w:rsidR="001E56DF" w:rsidRPr="000665B0">
        <w:t xml:space="preserve"> (</w:t>
      </w:r>
      <w:r w:rsidRPr="000665B0">
        <w:t xml:space="preserve">editable by an Administrator </w:t>
      </w:r>
      <w:r w:rsidR="00725FB3" w:rsidRPr="000665B0">
        <w:t>only</w:t>
      </w:r>
      <w:r w:rsidR="001E56DF" w:rsidRPr="000665B0">
        <w:t>)</w:t>
      </w:r>
      <w:r w:rsidRPr="000665B0">
        <w:t>.</w:t>
      </w:r>
      <w:r w:rsidR="00031215" w:rsidRPr="000665B0">
        <w:t xml:space="preserve"> The display is disabled for non-administrative user.</w:t>
      </w:r>
    </w:p>
    <w:p w14:paraId="3C3E67EE" w14:textId="2E40C4E4" w:rsidR="002524B8" w:rsidRPr="000665B0" w:rsidRDefault="002524B8" w:rsidP="009570CA">
      <w:pPr>
        <w:pStyle w:val="BodyText"/>
        <w:spacing w:after="120"/>
        <w:rPr>
          <w:rFonts w:eastAsia="Calibri"/>
          <w:szCs w:val="24"/>
        </w:rPr>
      </w:pPr>
      <w:r w:rsidRPr="000665B0">
        <w:t xml:space="preserve">Select the desired settings and click </w:t>
      </w:r>
      <w:r w:rsidR="00A10B19" w:rsidRPr="000665B0">
        <w:rPr>
          <w:b/>
        </w:rPr>
        <w:t>OK</w:t>
      </w:r>
      <w:r w:rsidRPr="000665B0">
        <w:t xml:space="preserve"> to set the default values for the system. Click </w:t>
      </w:r>
      <w:r w:rsidRPr="000665B0">
        <w:rPr>
          <w:b/>
        </w:rPr>
        <w:t>Restore Factory Default</w:t>
      </w:r>
      <w:r w:rsidRPr="000665B0">
        <w:t xml:space="preserve"> to restore the original system default settings.</w:t>
      </w:r>
      <w:r w:rsidR="00031215" w:rsidRPr="000665B0">
        <w:t xml:space="preserve"> The settings become the default values used by the Auto-Analysis function when activated</w:t>
      </w:r>
      <w:r w:rsidR="001D0BFB" w:rsidRPr="000665B0">
        <w:t>. H</w:t>
      </w:r>
      <w:r w:rsidR="00031215" w:rsidRPr="000665B0">
        <w:t>owever, the default values only apply to new strike options for existing strike folders</w:t>
      </w:r>
      <w:r w:rsidR="001D0BFB" w:rsidRPr="000665B0">
        <w:t>,</w:t>
      </w:r>
      <w:r w:rsidR="00031215" w:rsidRPr="000665B0">
        <w:t xml:space="preserve"> or for new strike options in new strike folders. Strike options that </w:t>
      </w:r>
      <w:r w:rsidR="001D0BFB" w:rsidRPr="000665B0">
        <w:t>existed</w:t>
      </w:r>
      <w:r w:rsidR="00031215" w:rsidRPr="000665B0">
        <w:t xml:space="preserve"> prior to a change in the default setting will be analyzed with previous values.</w:t>
      </w:r>
    </w:p>
    <w:p w14:paraId="37D7DDA4" w14:textId="096F4F91" w:rsidR="001E56DF" w:rsidRPr="000665B0" w:rsidRDefault="0048741D" w:rsidP="009570CA">
      <w:pPr>
        <w:pStyle w:val="BodyText"/>
        <w:spacing w:after="120"/>
        <w:jc w:val="center"/>
      </w:pPr>
      <w:r w:rsidRPr="000665B0">
        <w:rPr>
          <w:noProof/>
        </w:rPr>
        <w:drawing>
          <wp:inline distT="0" distB="0" distL="0" distR="0" wp14:anchorId="263929EA" wp14:editId="32B27934">
            <wp:extent cx="3402655" cy="2781300"/>
            <wp:effectExtent l="0" t="0" r="0" b="0"/>
            <wp:docPr id="1269"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404433" cy="2782753"/>
                    </a:xfrm>
                    <a:prstGeom prst="rect">
                      <a:avLst/>
                    </a:prstGeom>
                  </pic:spPr>
                </pic:pic>
              </a:graphicData>
            </a:graphic>
          </wp:inline>
        </w:drawing>
      </w:r>
    </w:p>
    <w:p w14:paraId="444C95F9" w14:textId="1F525E4D" w:rsidR="001D0BFB" w:rsidRPr="000665B0" w:rsidRDefault="001D0BFB" w:rsidP="009570CA">
      <w:pPr>
        <w:pStyle w:val="BodyText"/>
        <w:keepNext/>
        <w:spacing w:after="120"/>
      </w:pPr>
      <w:r w:rsidRPr="000665B0">
        <w:t>All tolerance values, with the exception of Altitude, are applied to each of the types of conflicts: Routes, DSMACs, and Targets. Altitude is applied to Routes only.</w:t>
      </w:r>
    </w:p>
    <w:p w14:paraId="7425C613" w14:textId="7DC94147" w:rsidR="001D0BFB" w:rsidRPr="000665B0" w:rsidRDefault="001D0BFB" w:rsidP="006D5A65">
      <w:pPr>
        <w:pStyle w:val="Heading1"/>
      </w:pPr>
      <w:r w:rsidRPr="000665B0">
        <w:t>Tolerances</w:t>
      </w:r>
    </w:p>
    <w:p w14:paraId="1D6AE220" w14:textId="24CB60A1" w:rsidR="002524B8" w:rsidRPr="000665B0" w:rsidRDefault="002524B8" w:rsidP="006D5A65">
      <w:pPr>
        <w:pStyle w:val="Heading2"/>
      </w:pPr>
      <w:r w:rsidRPr="000665B0">
        <w:t>Time – Sets the default</w:t>
      </w:r>
      <w:r w:rsidR="00725FB3" w:rsidRPr="000665B0">
        <w:t xml:space="preserve"> minimum (least) time apart, based on velocity calculation</w:t>
      </w:r>
      <w:r w:rsidR="001E56DF" w:rsidRPr="000665B0">
        <w:t>,</w:t>
      </w:r>
      <w:r w:rsidRPr="000665B0">
        <w:t xml:space="preserve"> between missiles </w:t>
      </w:r>
      <w:r w:rsidR="001E56DF" w:rsidRPr="000665B0">
        <w:t>respective to route segments,</w:t>
      </w:r>
      <w:r w:rsidR="00725FB3" w:rsidRPr="000665B0">
        <w:t xml:space="preserve"> </w:t>
      </w:r>
      <w:r w:rsidR="001E56DF" w:rsidRPr="000665B0">
        <w:t>at</w:t>
      </w:r>
      <w:r w:rsidR="00725FB3" w:rsidRPr="000665B0">
        <w:t xml:space="preserve"> DSMAC, and at target impact </w:t>
      </w:r>
      <w:r w:rsidRPr="000665B0">
        <w:t>during Strike Analysis.</w:t>
      </w:r>
      <w:r w:rsidR="001F37CB" w:rsidRPr="000665B0">
        <w:t xml:space="preserve"> For example, if Route is set to 3 minutes, then the follow-on missile should be at least 3 minutes away from the first missile. If </w:t>
      </w:r>
      <w:r w:rsidR="00A776F3" w:rsidRPr="000665B0">
        <w:t xml:space="preserve">MDS </w:t>
      </w:r>
      <w:r w:rsidR="001F37CB" w:rsidRPr="000665B0">
        <w:t>finds a follow-on missile that is less than 3 minutes away, an error is generated.</w:t>
      </w:r>
    </w:p>
    <w:p w14:paraId="2871A3AB" w14:textId="39F50E07" w:rsidR="002524B8" w:rsidRPr="000665B0" w:rsidRDefault="002524B8" w:rsidP="006D5A65">
      <w:pPr>
        <w:pStyle w:val="Heading2"/>
      </w:pPr>
      <w:r w:rsidRPr="000665B0">
        <w:lastRenderedPageBreak/>
        <w:t xml:space="preserve">Corridor/Distance – Sets the default </w:t>
      </w:r>
      <w:r w:rsidR="00725FB3" w:rsidRPr="000665B0">
        <w:t>minimum (least) distance apart</w:t>
      </w:r>
      <w:r w:rsidR="00725FB3" w:rsidRPr="000665B0" w:rsidDel="00725FB3">
        <w:t xml:space="preserve"> </w:t>
      </w:r>
      <w:r w:rsidRPr="000665B0">
        <w:t xml:space="preserve">between missiles </w:t>
      </w:r>
      <w:r w:rsidR="00725FB3" w:rsidRPr="000665B0">
        <w:t xml:space="preserve">respective to route segments, </w:t>
      </w:r>
      <w:r w:rsidR="001E56DF" w:rsidRPr="000665B0">
        <w:t>at</w:t>
      </w:r>
      <w:r w:rsidR="00725FB3" w:rsidRPr="000665B0">
        <w:t xml:space="preserve"> DSMAC, and at target impact</w:t>
      </w:r>
      <w:r w:rsidRPr="000665B0">
        <w:t xml:space="preserve"> during Strike Analysis.</w:t>
      </w:r>
    </w:p>
    <w:p w14:paraId="2AA099E2" w14:textId="0927F8F0" w:rsidR="002524B8" w:rsidRPr="000665B0" w:rsidRDefault="002524B8" w:rsidP="006D5A65">
      <w:pPr>
        <w:pStyle w:val="Heading2"/>
      </w:pPr>
      <w:r w:rsidRPr="000665B0">
        <w:t xml:space="preserve">Altitude – Sets the default </w:t>
      </w:r>
      <w:r w:rsidR="00725FB3" w:rsidRPr="000665B0">
        <w:t>minimum (least) distance apart</w:t>
      </w:r>
      <w:r w:rsidR="00725FB3" w:rsidRPr="000665B0" w:rsidDel="00725FB3">
        <w:t xml:space="preserve"> </w:t>
      </w:r>
      <w:r w:rsidR="00725FB3" w:rsidRPr="000665B0">
        <w:t xml:space="preserve">in altitude difference </w:t>
      </w:r>
      <w:r w:rsidRPr="000665B0">
        <w:t>between missiles during Strike Analysis.</w:t>
      </w:r>
    </w:p>
    <w:p w14:paraId="0DFB0F29" w14:textId="3FAA8FDE" w:rsidR="001D0BFB" w:rsidRPr="000665B0" w:rsidRDefault="00BF3E1E" w:rsidP="006D5A65">
      <w:pPr>
        <w:pStyle w:val="Heading1"/>
      </w:pPr>
      <w:r w:rsidRPr="000665B0">
        <w:t>Tolerances (</w:t>
      </w:r>
      <w:r w:rsidR="001D0BFB" w:rsidRPr="000665B0">
        <w:t>Type of Conflict</w:t>
      </w:r>
      <w:r w:rsidRPr="000665B0">
        <w:t>)</w:t>
      </w:r>
    </w:p>
    <w:p w14:paraId="1EDA4AB4" w14:textId="61FE959B" w:rsidR="001D0BFB" w:rsidRPr="000665B0" w:rsidRDefault="001D0BFB" w:rsidP="006D5A65">
      <w:pPr>
        <w:pStyle w:val="Heading2"/>
      </w:pPr>
      <w:r w:rsidRPr="000665B0">
        <w:t>Route – The type of conflicts amongst routes that are checked by Auto Analysis include the following. In all cases, routes have Altitude tolerance as an additional required minimum separation tolerance value.</w:t>
      </w:r>
    </w:p>
    <w:p w14:paraId="37709B75" w14:textId="77777777" w:rsidR="001D0BFB" w:rsidRPr="000665B0" w:rsidRDefault="001D0BFB" w:rsidP="006D5A65">
      <w:pPr>
        <w:pStyle w:val="Heading2"/>
      </w:pPr>
      <w:r w:rsidRPr="000665B0">
        <w:t>Colinear – Segment of routes travel the same path. Missile arrival time at the same segment of route should have a minimum time separation of the specified time tolerance and/or distance away from the other missile when the other missile is already at the start of the common route.</w:t>
      </w:r>
    </w:p>
    <w:p w14:paraId="76089697" w14:textId="671D0A05" w:rsidR="001D0BFB" w:rsidRPr="000665B0" w:rsidRDefault="001D0BFB" w:rsidP="006D5A65">
      <w:pPr>
        <w:pStyle w:val="Heading2"/>
      </w:pPr>
      <w:r w:rsidRPr="000665B0">
        <w:t xml:space="preserve">Intersection – Routes that cross each other should have a minimum time separation of the specified time tolerance and/or distance away from the other missile when the other missile is already at the intersection. </w:t>
      </w:r>
    </w:p>
    <w:p w14:paraId="42861CCF" w14:textId="01FDE2D2" w:rsidR="001D0BFB" w:rsidRPr="000665B0" w:rsidRDefault="001D0BFB" w:rsidP="006D5A65">
      <w:pPr>
        <w:pStyle w:val="Heading2"/>
      </w:pPr>
      <w:r w:rsidRPr="000665B0">
        <w:t xml:space="preserve">Tolerance Infringement – Routes don’t actually </w:t>
      </w:r>
      <w:r w:rsidR="00DB2264" w:rsidRPr="000665B0">
        <w:t>cross but</w:t>
      </w:r>
      <w:r w:rsidRPr="000665B0">
        <w:t xml:space="preserve"> pass too close to one another. The same minimum time and distance tolerance values would apply.</w:t>
      </w:r>
    </w:p>
    <w:p w14:paraId="2E0C1814" w14:textId="60164C70" w:rsidR="001D0BFB" w:rsidRPr="000665B0" w:rsidRDefault="001D0BFB" w:rsidP="006D5A65">
      <w:pPr>
        <w:pStyle w:val="Heading2"/>
      </w:pPr>
      <w:r w:rsidRPr="000665B0">
        <w:t>DSMAC – The overflying of a DSMAC must have the specified minimum time and distance clearance between successive overfly on the same DSMAC. For example, based on the defaults in the display above, after the previous overfly the next overfly must be at least 3 minutes later and/or the second missile must be at least 500 feet away from the DSMAC at the time of the previous overfly.</w:t>
      </w:r>
    </w:p>
    <w:p w14:paraId="210479CE" w14:textId="527F50BC" w:rsidR="001D0BFB" w:rsidRPr="000665B0" w:rsidRDefault="001D0BFB" w:rsidP="006D5A65">
      <w:pPr>
        <w:pStyle w:val="Heading2"/>
      </w:pPr>
      <w:r w:rsidRPr="000665B0">
        <w:t>Target – Target impact must have the specified minimum time and distance clearance between successive impacts on the same target. For example, based on the defaults in the display above, after the previous impact the next impact must be at least 3 minutes later and/or the second missile must be at least 500 feet away from the target at the time of the previous impact.</w:t>
      </w:r>
    </w:p>
    <w:p w14:paraId="0F32F87B" w14:textId="01DF023D" w:rsidR="0048741D" w:rsidRPr="000665B0" w:rsidRDefault="0048741D" w:rsidP="006D5A65">
      <w:pPr>
        <w:pStyle w:val="Heading1"/>
      </w:pPr>
      <w:r w:rsidRPr="000665B0">
        <w:lastRenderedPageBreak/>
        <w:t>During Strike Execution, only Route Deconflict new assignments – When checked, improves the performance of running analysis</w:t>
      </w:r>
      <w:r w:rsidR="00CC557F" w:rsidRPr="000665B0">
        <w:t xml:space="preserve"> </w:t>
      </w:r>
      <w:r w:rsidRPr="000665B0">
        <w:t>after an insert ta</w:t>
      </w:r>
      <w:r w:rsidR="002C2E21" w:rsidRPr="000665B0">
        <w:t>s</w:t>
      </w:r>
      <w:r w:rsidRPr="000665B0">
        <w:t>king or ad hoc tasking</w:t>
      </w:r>
      <w:r w:rsidR="002C2E21" w:rsidRPr="000665B0">
        <w:t xml:space="preserve"> is performed</w:t>
      </w:r>
      <w:r w:rsidRPr="000665B0">
        <w:t xml:space="preserve"> </w:t>
      </w:r>
      <w:r w:rsidR="002C2E21" w:rsidRPr="000665B0">
        <w:t>during</w:t>
      </w:r>
      <w:r w:rsidRPr="000665B0">
        <w:t xml:space="preserve"> </w:t>
      </w:r>
      <w:r w:rsidR="00DC0B53" w:rsidRPr="000665B0">
        <w:t>execution of a</w:t>
      </w:r>
      <w:r w:rsidR="002C2E21" w:rsidRPr="000665B0">
        <w:t xml:space="preserve"> </w:t>
      </w:r>
      <w:r w:rsidRPr="000665B0">
        <w:t xml:space="preserve">strike, by </w:t>
      </w:r>
      <w:r w:rsidR="002C2E21" w:rsidRPr="000665B0">
        <w:t>running</w:t>
      </w:r>
      <w:r w:rsidRPr="000665B0">
        <w:t xml:space="preserve"> </w:t>
      </w:r>
      <w:r w:rsidR="002C2E21" w:rsidRPr="000665B0">
        <w:t>route deconfliction</w:t>
      </w:r>
      <w:r w:rsidRPr="000665B0">
        <w:t xml:space="preserve"> on new assignments</w:t>
      </w:r>
      <w:r w:rsidR="002C2E21" w:rsidRPr="000665B0">
        <w:t xml:space="preserve"> </w:t>
      </w:r>
      <w:r w:rsidR="00FE1A9C" w:rsidRPr="000665B0">
        <w:t>against existing assignments</w:t>
      </w:r>
      <w:r w:rsidR="003F2AC3" w:rsidRPr="000665B0">
        <w:t xml:space="preserve">. </w:t>
      </w:r>
    </w:p>
    <w:p w14:paraId="6E3C46DE" w14:textId="27E7BE73" w:rsidR="0060105C" w:rsidRPr="000665B0" w:rsidRDefault="000C677D" w:rsidP="009570CA">
      <w:pPr>
        <w:pStyle w:val="Heading5"/>
      </w:pPr>
      <w:bookmarkStart w:id="6179" w:name="_5.37.1.1.4__TSN"/>
      <w:bookmarkStart w:id="6180" w:name="_TSN"/>
      <w:bookmarkEnd w:id="6179"/>
      <w:bookmarkEnd w:id="6180"/>
      <w:r w:rsidRPr="000665B0">
        <w:t>TSN</w:t>
      </w:r>
    </w:p>
    <w:p w14:paraId="762F127F" w14:textId="62460665" w:rsidR="00556400" w:rsidRPr="000665B0" w:rsidRDefault="004F6D8B" w:rsidP="009570CA">
      <w:pPr>
        <w:pStyle w:val="BodyText"/>
        <w:spacing w:after="120"/>
        <w:rPr>
          <w:iCs/>
        </w:rPr>
      </w:pPr>
      <w:r w:rsidRPr="000665B0">
        <w:t xml:space="preserve">Demand Assigned Multiple Access (DAMA) is the current implementation of TSN communication, but it is in the process of being replaced with the </w:t>
      </w:r>
      <w:r w:rsidRPr="000665B0">
        <w:rPr>
          <w:iCs/>
        </w:rPr>
        <w:t>Advanced Communication Architecture (ACA) network type</w:t>
      </w:r>
      <w:r w:rsidRPr="000665B0">
        <w:t xml:space="preserve">. </w:t>
      </w:r>
      <w:r w:rsidRPr="000665B0">
        <w:rPr>
          <w:iCs/>
        </w:rPr>
        <w:t xml:space="preserve">The Comms configuration for DAMA missiles is a Satellite Data Link Terminal (SDLT), </w:t>
      </w:r>
      <w:r w:rsidR="00F34009" w:rsidRPr="000665B0">
        <w:rPr>
          <w:iCs/>
        </w:rPr>
        <w:t xml:space="preserve">while ACA missiles use a new </w:t>
      </w:r>
      <w:r w:rsidR="00F34009" w:rsidRPr="000665B0">
        <w:t>Integrated Single Box Solution (</w:t>
      </w:r>
      <w:r w:rsidR="00F34009" w:rsidRPr="000665B0">
        <w:rPr>
          <w:iCs/>
        </w:rPr>
        <w:t>ISBS) radio</w:t>
      </w:r>
      <w:r w:rsidRPr="000665B0">
        <w:t>. ACA-capable missiles connect to satellites and transmit/receive data via the ISBS. All ACA TSN connectivity is performed at the Network Service Provider (NSP), which is considered to be the enterprise that is responsible for all aspects of ACA. NSP nodes are gateways between the space segment (</w:t>
      </w:r>
      <w:r w:rsidR="003509EA" w:rsidRPr="000665B0">
        <w:t xml:space="preserve">i.e., </w:t>
      </w:r>
      <w:r w:rsidRPr="000665B0">
        <w:t xml:space="preserve">satellites and missiles) and participating surface units in the ACA TSN. Although specified in the Valid Platform List along with the other nodes, NSP nodes do not actually send or receive OTH messages. </w:t>
      </w:r>
      <w:r w:rsidR="00556400" w:rsidRPr="000665B0">
        <w:rPr>
          <w:iCs/>
        </w:rPr>
        <w:t xml:space="preserve">Until DAMA is officially retired, </w:t>
      </w:r>
      <w:r w:rsidR="00556400" w:rsidRPr="000665B0">
        <w:t xml:space="preserve">a strike may include a mixture of missiles that are DAMA or ACA capable, so </w:t>
      </w:r>
      <w:r w:rsidR="00D953A4" w:rsidRPr="000665B0">
        <w:t xml:space="preserve">MDS currently supports </w:t>
      </w:r>
      <w:r w:rsidR="00556400" w:rsidRPr="000665B0">
        <w:t xml:space="preserve">both communication methods. </w:t>
      </w:r>
      <w:r w:rsidRPr="000665B0">
        <w:rPr>
          <w:iCs/>
        </w:rPr>
        <w:t>The missile configuration (missile code) identifies each missile’s compatibility with the DAMA and/or ACA network type.</w:t>
      </w:r>
    </w:p>
    <w:p w14:paraId="5ABF6022" w14:textId="06E57665" w:rsidR="00556400" w:rsidRPr="000665B0" w:rsidRDefault="00556400" w:rsidP="009570CA">
      <w:pPr>
        <w:pStyle w:val="BodyText"/>
        <w:spacing w:after="120"/>
      </w:pPr>
      <w:r w:rsidRPr="000665B0">
        <w:t xml:space="preserve">The ACA network utilizes different communications protocol and satellite, and therefore, the settings are different than the DAMA TSN Comms Parameter settings. </w:t>
      </w:r>
    </w:p>
    <w:p w14:paraId="1977B5B3" w14:textId="32C33188" w:rsidR="001D0682" w:rsidRPr="000665B0" w:rsidRDefault="002E2DC5" w:rsidP="009570CA">
      <w:pPr>
        <w:pStyle w:val="BodyText"/>
        <w:spacing w:after="120"/>
      </w:pPr>
      <w:r w:rsidRPr="000665B0">
        <w:t xml:space="preserve">Clicking the </w:t>
      </w:r>
      <w:r w:rsidRPr="000665B0">
        <w:rPr>
          <w:b/>
        </w:rPr>
        <w:t>TSN</w:t>
      </w:r>
      <w:r w:rsidRPr="000665B0">
        <w:t xml:space="preserve"> button d</w:t>
      </w:r>
      <w:r w:rsidR="000C677D" w:rsidRPr="000665B0">
        <w:t xml:space="preserve">isplays the </w:t>
      </w:r>
      <w:r w:rsidR="000C677D" w:rsidRPr="000665B0">
        <w:rPr>
          <w:i/>
        </w:rPr>
        <w:t>Planning/Execution Preferences</w:t>
      </w:r>
      <w:r w:rsidR="000C677D" w:rsidRPr="000665B0">
        <w:t xml:space="preserve"> window</w:t>
      </w:r>
      <w:r w:rsidR="004A0799" w:rsidRPr="000665B0">
        <w:t xml:space="preserve"> which contains these tabs</w:t>
      </w:r>
      <w:r w:rsidR="001D0682" w:rsidRPr="000665B0">
        <w:t>:</w:t>
      </w:r>
    </w:p>
    <w:p w14:paraId="20826208" w14:textId="34A8B4CE" w:rsidR="001D0682" w:rsidRPr="000665B0" w:rsidRDefault="001D0682" w:rsidP="006D5A65">
      <w:pPr>
        <w:pStyle w:val="Heading1"/>
      </w:pPr>
      <w:r w:rsidRPr="000665B0">
        <w:rPr>
          <w:i/>
        </w:rPr>
        <w:t>DAMA Planning</w:t>
      </w:r>
      <w:r w:rsidRPr="000665B0">
        <w:t xml:space="preserve"> – Sets the default TSN missile parameters for DAMA comms enabled missile assignments. </w:t>
      </w:r>
    </w:p>
    <w:p w14:paraId="44F783C1" w14:textId="77777777" w:rsidR="001D0682" w:rsidRPr="000665B0" w:rsidRDefault="001D0682" w:rsidP="006D5A65">
      <w:pPr>
        <w:pStyle w:val="Heading1"/>
      </w:pPr>
      <w:r w:rsidRPr="000665B0">
        <w:rPr>
          <w:i/>
        </w:rPr>
        <w:t>ACA Planning</w:t>
      </w:r>
      <w:r w:rsidRPr="000665B0">
        <w:t xml:space="preserve"> – Sets the default TSN missile parameters for ACA comms enabled missile assignments.</w:t>
      </w:r>
    </w:p>
    <w:p w14:paraId="66865B74" w14:textId="1B790620" w:rsidR="001D0682" w:rsidRPr="000665B0" w:rsidRDefault="001D0682" w:rsidP="006D5A65">
      <w:pPr>
        <w:pStyle w:val="Heading1"/>
      </w:pPr>
      <w:r w:rsidRPr="000665B0">
        <w:rPr>
          <w:i/>
        </w:rPr>
        <w:t>Execution</w:t>
      </w:r>
      <w:r w:rsidRPr="000665B0">
        <w:t xml:space="preserve"> – Sets the SMD settings.</w:t>
      </w:r>
    </w:p>
    <w:p w14:paraId="4B6F50E6" w14:textId="5F827E7B" w:rsidR="001D0682" w:rsidRPr="000665B0" w:rsidRDefault="001D0682" w:rsidP="006D5A65">
      <w:pPr>
        <w:pStyle w:val="Heading1"/>
      </w:pPr>
      <w:r w:rsidRPr="000665B0">
        <w:rPr>
          <w:i/>
        </w:rPr>
        <w:t>Retarget</w:t>
      </w:r>
      <w:r w:rsidRPr="000665B0">
        <w:t xml:space="preserve"> – </w:t>
      </w:r>
      <w:r w:rsidR="004A0799" w:rsidRPr="000665B0">
        <w:t xml:space="preserve">Sets </w:t>
      </w:r>
      <w:r w:rsidRPr="000665B0">
        <w:t>the retargeting tolerance and verification settings.</w:t>
      </w:r>
    </w:p>
    <w:p w14:paraId="087F66A4" w14:textId="62E9EA39" w:rsidR="0089054E" w:rsidRPr="000665B0" w:rsidRDefault="000C677D" w:rsidP="00306174">
      <w:pPr>
        <w:pStyle w:val="Heading6"/>
      </w:pPr>
      <w:r w:rsidRPr="000665B0">
        <w:t>DAMA Planning</w:t>
      </w:r>
      <w:r w:rsidR="0089054E" w:rsidRPr="000665B0">
        <w:t xml:space="preserve"> Tab</w:t>
      </w:r>
    </w:p>
    <w:p w14:paraId="1E4FEFCA" w14:textId="77777777" w:rsidR="00E06267" w:rsidRPr="000665B0" w:rsidRDefault="000C677D" w:rsidP="009570CA">
      <w:pPr>
        <w:pStyle w:val="BodyText"/>
      </w:pPr>
      <w:r w:rsidRPr="000665B0">
        <w:t xml:space="preserve">Sets the default TSN missile parameters for DAMA comms enabled missile assignments. </w:t>
      </w:r>
    </w:p>
    <w:p w14:paraId="17C95CBC" w14:textId="77777777" w:rsidR="00E06267" w:rsidRPr="000665B0" w:rsidRDefault="00E06267" w:rsidP="009570CA">
      <w:pPr>
        <w:pStyle w:val="BodyText"/>
        <w:spacing w:after="120"/>
      </w:pPr>
      <w:r w:rsidRPr="000665B0">
        <w:t xml:space="preserve">The </w:t>
      </w:r>
      <w:r w:rsidRPr="000665B0">
        <w:rPr>
          <w:b/>
          <w:i/>
        </w:rPr>
        <w:t>DAMA Planning</w:t>
      </w:r>
      <w:r w:rsidRPr="000665B0">
        <w:t xml:space="preserve"> tab contains these sub-tabs:</w:t>
      </w:r>
    </w:p>
    <w:p w14:paraId="2A1EDD78" w14:textId="75C09748" w:rsidR="00E06267" w:rsidRPr="000665B0" w:rsidRDefault="00E06267" w:rsidP="006D5A65">
      <w:pPr>
        <w:pStyle w:val="Heading1"/>
      </w:pPr>
      <w:r w:rsidRPr="000665B0">
        <w:rPr>
          <w:i/>
        </w:rPr>
        <w:t>Missile Parameters</w:t>
      </w:r>
      <w:r w:rsidRPr="000665B0">
        <w:t xml:space="preserve"> tab – </w:t>
      </w:r>
      <w:r w:rsidR="004A0799" w:rsidRPr="000665B0">
        <w:t xml:space="preserve">Sets the enablement for certain missile initiated messages and selections of events and </w:t>
      </w:r>
      <w:r w:rsidR="004A0799" w:rsidRPr="000665B0">
        <w:lastRenderedPageBreak/>
        <w:t>problems to be reported by the missile when event(s) occur or problem(s) are detected by the missile</w:t>
      </w:r>
      <w:r w:rsidRPr="000665B0">
        <w:t>.</w:t>
      </w:r>
    </w:p>
    <w:p w14:paraId="452892F5" w14:textId="7F1ECCDB" w:rsidR="00E06267" w:rsidRPr="000665B0" w:rsidRDefault="00E06267" w:rsidP="006D5A65">
      <w:pPr>
        <w:pStyle w:val="Heading1"/>
      </w:pPr>
      <w:r w:rsidRPr="000665B0">
        <w:rPr>
          <w:i/>
        </w:rPr>
        <w:t>TSN Comms</w:t>
      </w:r>
      <w:r w:rsidRPr="000665B0">
        <w:t xml:space="preserve"> tab – Sets communications parameters such as channel number, etc. </w:t>
      </w:r>
    </w:p>
    <w:p w14:paraId="1A916850" w14:textId="381A5652" w:rsidR="000C677D" w:rsidRPr="000665B0" w:rsidRDefault="00E06267" w:rsidP="006D5A65">
      <w:pPr>
        <w:pStyle w:val="Heading1"/>
      </w:pPr>
      <w:r w:rsidRPr="000665B0">
        <w:rPr>
          <w:i/>
        </w:rPr>
        <w:t>DTA Preferences</w:t>
      </w:r>
      <w:r w:rsidRPr="000665B0">
        <w:t xml:space="preserve"> tab – Creates a set of paired Destination Terminal Addresses (DTAs) to be used between the controller and the missile.</w:t>
      </w:r>
    </w:p>
    <w:p w14:paraId="575B8A85" w14:textId="40713A2B" w:rsidR="003C520D" w:rsidRPr="000665B0" w:rsidRDefault="003A5DD7" w:rsidP="009570CA">
      <w:pPr>
        <w:pStyle w:val="Heading7"/>
      </w:pPr>
      <w:bookmarkStart w:id="6181" w:name="_Missile_Parameters_Tab"/>
      <w:bookmarkEnd w:id="6181"/>
      <w:r w:rsidRPr="000665B0">
        <w:t xml:space="preserve">Missile Parameters </w:t>
      </w:r>
      <w:r w:rsidR="003C520D" w:rsidRPr="000665B0">
        <w:t>Tab</w:t>
      </w:r>
      <w:r w:rsidR="00D03B1E" w:rsidRPr="000665B0">
        <w:t xml:space="preserve"> </w:t>
      </w:r>
    </w:p>
    <w:p w14:paraId="276BABCC" w14:textId="6B7CA7C4" w:rsidR="00E06267" w:rsidRDefault="00E06267" w:rsidP="009570CA">
      <w:r w:rsidRPr="000665B0">
        <w:t>Sets the enablement for certain missile initiated messages and selections of events and problems to be reported by the missile when event(s) occur or problem(s) are detected by the missile.</w:t>
      </w:r>
    </w:p>
    <w:p w14:paraId="283CFB7F" w14:textId="72A4410D" w:rsidR="0042344C" w:rsidRPr="000665B0" w:rsidRDefault="007A2D5A" w:rsidP="009570CA">
      <w:pPr>
        <w:jc w:val="center"/>
      </w:pPr>
      <w:r>
        <w:rPr>
          <w:noProof/>
        </w:rPr>
        <w:drawing>
          <wp:inline distT="0" distB="0" distL="0" distR="0" wp14:anchorId="2260921A" wp14:editId="01C71C80">
            <wp:extent cx="3225583" cy="2314355"/>
            <wp:effectExtent l="0" t="0" r="0" b="0"/>
            <wp:docPr id="2314" name="Picture 23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 name="Picture 2168" descr="Graphical user interface, text, application&#10;&#10;Description automatically generated"/>
                    <pic:cNvPicPr/>
                  </pic:nvPicPr>
                  <pic:blipFill>
                    <a:blip/>
                    <a:stretch>
                      <a:fillRect/>
                    </a:stretch>
                  </pic:blipFill>
                  <pic:spPr>
                    <a:xfrm>
                      <a:off x="0" y="0"/>
                      <a:ext cx="3238808" cy="2323844"/>
                    </a:xfrm>
                    <a:prstGeom prst="rect">
                      <a:avLst/>
                    </a:prstGeom>
                  </pic:spPr>
                </pic:pic>
              </a:graphicData>
            </a:graphic>
          </wp:inline>
        </w:drawing>
      </w:r>
    </w:p>
    <w:p w14:paraId="4C903E4B" w14:textId="5A86A918" w:rsidR="007B7EB9" w:rsidRPr="000665B0" w:rsidRDefault="007B7EB9" w:rsidP="006D5A65">
      <w:pPr>
        <w:pStyle w:val="Heading1"/>
      </w:pPr>
      <w:r w:rsidRPr="000665B0">
        <w:t>Schedule Planning – The options specify when and how often scheduled H&amp;S messages will be transmitted by the missile. It is NOT in effect unless Scheduled H&amp;S is selected below in the Missile Reporting State/Enablements Pane.</w:t>
      </w:r>
    </w:p>
    <w:p w14:paraId="54B2B210" w14:textId="1A39E3B7" w:rsidR="007B7EB9" w:rsidRPr="000665B0" w:rsidRDefault="007B7EB9" w:rsidP="006D5A65">
      <w:pPr>
        <w:pStyle w:val="Heading2"/>
      </w:pPr>
      <w:r w:rsidRPr="000665B0">
        <w:t>H&amp;S after FPPWP – When checked, one H&amp;S message is scheduled for transmission by the missile shortly after the missile has flown past the FPPWP.</w:t>
      </w:r>
    </w:p>
    <w:p w14:paraId="66660273" w14:textId="03F33968" w:rsidR="007B7EB9" w:rsidRDefault="007B7EB9" w:rsidP="006D5A65">
      <w:pPr>
        <w:pStyle w:val="Heading2"/>
      </w:pPr>
      <w:r w:rsidRPr="000665B0">
        <w:t xml:space="preserve">Periodic H&amp;S Frequency – When None is selected, there will be no periodic H&amp;S messages transmitted by the missile. Otherwise, based on the selection from the </w:t>
      </w:r>
      <w:r w:rsidR="00DB2264" w:rsidRPr="000665B0">
        <w:t>drop-down</w:t>
      </w:r>
      <w:r w:rsidRPr="000665B0">
        <w:t xml:space="preserve"> list (1, 5, 10, or 20 Minutes), a scheduled H&amp;S message will be transmitted at every interval of the selected time. The first scheduled H&amp;S will be the after the missile has flown past the FPPWP, regardless if the H&amp;S after FPPWP is selected or not. The subsequent H&amp;S messages will be transmitted based on the selected interval of time. </w:t>
      </w:r>
    </w:p>
    <w:p w14:paraId="15BF7CA3" w14:textId="272E18FB" w:rsidR="0070677D" w:rsidRPr="000665B0" w:rsidRDefault="0070677D" w:rsidP="006D5A65">
      <w:pPr>
        <w:pStyle w:val="Heading2"/>
      </w:pPr>
      <w:r w:rsidRPr="0070677D">
        <w:t>The</w:t>
      </w:r>
      <w:r>
        <w:t xml:space="preserve"> H&amp;S after FPPWP and Periodic H&amp;S require that Scheduled H&amp;S be enabled </w:t>
      </w:r>
      <w:r w:rsidRPr="0070677D">
        <w:t xml:space="preserve">warning is displayed </w:t>
      </w:r>
      <w:r>
        <w:t xml:space="preserve">if </w:t>
      </w:r>
      <w:r w:rsidRPr="0070677D">
        <w:t xml:space="preserve">H&amp;S after </w:t>
      </w:r>
      <w:r w:rsidRPr="0070677D">
        <w:lastRenderedPageBreak/>
        <w:t>FPPWP</w:t>
      </w:r>
      <w:r>
        <w:t xml:space="preserve"> is selected or </w:t>
      </w:r>
      <w:r w:rsidRPr="0070677D">
        <w:t>Periodic H&amp;S Frequency</w:t>
      </w:r>
      <w:r>
        <w:t xml:space="preserve"> is set to a numeric value and the </w:t>
      </w:r>
      <w:r w:rsidRPr="0070677D">
        <w:t>Scheduled H&amp;S Enablement</w:t>
      </w:r>
      <w:r>
        <w:t xml:space="preserve"> is not selected. To clear the message, ensure that the </w:t>
      </w:r>
      <w:r w:rsidRPr="0070677D">
        <w:t>Scheduled H&amp;S</w:t>
      </w:r>
      <w:r>
        <w:t xml:space="preserve"> enablement is selected.</w:t>
      </w:r>
    </w:p>
    <w:p w14:paraId="764CA1FE" w14:textId="77777777" w:rsidR="007B7EB9" w:rsidRPr="000665B0" w:rsidRDefault="007B7EB9" w:rsidP="006D5A65">
      <w:pPr>
        <w:pStyle w:val="Heading1"/>
      </w:pPr>
      <w:r w:rsidRPr="000665B0">
        <w:t xml:space="preserve">Missile Reporting State </w:t>
      </w:r>
    </w:p>
    <w:p w14:paraId="22D74CBB" w14:textId="23368A53" w:rsidR="007B7EB9" w:rsidRPr="000665B0" w:rsidRDefault="007B7EB9" w:rsidP="006D5A65">
      <w:pPr>
        <w:pStyle w:val="Heading2"/>
      </w:pPr>
      <w:r w:rsidRPr="000665B0">
        <w:t>Enablements:</w:t>
      </w:r>
    </w:p>
    <w:p w14:paraId="24FD35CE" w14:textId="71FE9CF8" w:rsidR="007B7EB9" w:rsidRPr="000665B0" w:rsidRDefault="007B7EB9" w:rsidP="006D5A65">
      <w:pPr>
        <w:pStyle w:val="Heading2"/>
      </w:pPr>
      <w:r w:rsidRPr="000665B0">
        <w:t>Scheduled H&amp;S – When checked, missile will transmit scheduled H&amp;S messages based on the selected options in Schedule Planning. If not checked, then there will be no scheduled H&amp;S messages no matter what options have been selected in Schedule Planning.</w:t>
      </w:r>
    </w:p>
    <w:p w14:paraId="2105F6FB" w14:textId="77777777" w:rsidR="007B7EB9" w:rsidRPr="000665B0" w:rsidRDefault="007B7EB9" w:rsidP="006D5A65">
      <w:pPr>
        <w:pStyle w:val="Heading2"/>
      </w:pPr>
      <w:r w:rsidRPr="000665B0">
        <w:t>BDI – When checked, missile will transmit a BDI message just before impact at the target.</w:t>
      </w:r>
    </w:p>
    <w:p w14:paraId="7CE0B82C" w14:textId="77777777" w:rsidR="007B7EB9" w:rsidRPr="000665B0" w:rsidRDefault="007B7EB9" w:rsidP="006D5A65">
      <w:pPr>
        <w:pStyle w:val="Heading2"/>
      </w:pPr>
      <w:r w:rsidRPr="000665B0">
        <w:t>Disable PST – When checked, missile’s PST will be disabled.</w:t>
      </w:r>
    </w:p>
    <w:p w14:paraId="22896204" w14:textId="461D5125" w:rsidR="007B7EB9" w:rsidRPr="000665B0" w:rsidRDefault="007B7EB9" w:rsidP="006D5A65">
      <w:pPr>
        <w:pStyle w:val="Heading2"/>
      </w:pPr>
      <w:r w:rsidRPr="000665B0">
        <w:t>Event Reporting:</w:t>
      </w:r>
    </w:p>
    <w:p w14:paraId="1535FCC2" w14:textId="27FB0F07" w:rsidR="007B7EB9" w:rsidRPr="000665B0" w:rsidRDefault="007B7EB9" w:rsidP="006D5A65">
      <w:pPr>
        <w:pStyle w:val="Heading2"/>
      </w:pPr>
      <w:r w:rsidRPr="000665B0">
        <w:t>Cruise Transition – When checked, an H&amp;S message is sent when the missile has successfully transitioned to cruise.</w:t>
      </w:r>
    </w:p>
    <w:p w14:paraId="532E5686" w14:textId="725F144A" w:rsidR="007B7EB9" w:rsidRPr="000665B0" w:rsidRDefault="007B7EB9" w:rsidP="006D5A65">
      <w:pPr>
        <w:pStyle w:val="Heading2"/>
      </w:pPr>
      <w:r w:rsidRPr="000665B0">
        <w:t>Planned Turn Complete – When checked, an H&amp;S message is sent when the missile has completed a planned turn at a waypoint.</w:t>
      </w:r>
    </w:p>
    <w:p w14:paraId="33BA276D" w14:textId="4FD8DC4A" w:rsidR="007B7EB9" w:rsidRPr="000665B0" w:rsidRDefault="007B7EB9" w:rsidP="006D5A65">
      <w:pPr>
        <w:pStyle w:val="Heading2"/>
      </w:pPr>
      <w:r w:rsidRPr="000665B0">
        <w:t>Branch Change – When checked, an H&amp;S message is sent when the missile has completed a branch change.</w:t>
      </w:r>
    </w:p>
    <w:p w14:paraId="078744C9" w14:textId="0384D4F4" w:rsidR="007B7EB9" w:rsidRPr="000665B0" w:rsidRDefault="007B7EB9" w:rsidP="006D5A65">
      <w:pPr>
        <w:pStyle w:val="Heading2"/>
      </w:pPr>
      <w:r w:rsidRPr="000665B0">
        <w:t>GPS High Power Ceased – When checked, an H&amp;S message is sent when the missile has detected the cessation of GPS high power jamming.</w:t>
      </w:r>
    </w:p>
    <w:p w14:paraId="4A14828C" w14:textId="491A4DE5" w:rsidR="007B7EB9" w:rsidRPr="000665B0" w:rsidRDefault="007B7EB9" w:rsidP="006D5A65">
      <w:pPr>
        <w:pStyle w:val="Heading2"/>
      </w:pPr>
      <w:r w:rsidRPr="000665B0">
        <w:t>Problems:</w:t>
      </w:r>
    </w:p>
    <w:p w14:paraId="6B6691BB" w14:textId="77777777" w:rsidR="007B7EB9" w:rsidRPr="000665B0" w:rsidRDefault="007B7EB9" w:rsidP="006D5A65">
      <w:pPr>
        <w:pStyle w:val="Heading2"/>
      </w:pPr>
      <w:r w:rsidRPr="000665B0">
        <w:t>GPS High Power – When checked, whenever the missile has detected a problem such as GPS high power jamming, an H&amp;S message will be sent indicating the problem encountered.</w:t>
      </w:r>
    </w:p>
    <w:p w14:paraId="58F1B469" w14:textId="2841A5FB" w:rsidR="007B7EB9" w:rsidRPr="000665B0" w:rsidRDefault="007B7EB9" w:rsidP="006D5A65">
      <w:pPr>
        <w:pStyle w:val="Heading2"/>
      </w:pPr>
      <w:r w:rsidRPr="000665B0">
        <w:t xml:space="preserve">Invalid Branch Change/Retarget – When checked, an H&amp;S message is sent when the missile has received an IMMM specifying either an invalid branch number or invalid earliest </w:t>
      </w:r>
      <w:r w:rsidRPr="000665B0">
        <w:lastRenderedPageBreak/>
        <w:t xml:space="preserve">action point of departure or that the missile has flown past the specified branch number or the earliest action point of departure. </w:t>
      </w:r>
    </w:p>
    <w:p w14:paraId="4BA2F530" w14:textId="29578704" w:rsidR="007B7EB9" w:rsidRPr="000665B0" w:rsidRDefault="007B7EB9" w:rsidP="006D5A65">
      <w:pPr>
        <w:pStyle w:val="Heading2"/>
      </w:pPr>
      <w:r w:rsidRPr="000665B0">
        <w:t>PST Failure – When checked, an H&amp;S message is sent when the missile has detected a problem such as PST Failure.</w:t>
      </w:r>
    </w:p>
    <w:p w14:paraId="45A5127F" w14:textId="27217865" w:rsidR="007B7EB9" w:rsidRPr="000665B0" w:rsidRDefault="007B7EB9" w:rsidP="006D5A65">
      <w:pPr>
        <w:pStyle w:val="Heading2"/>
      </w:pPr>
      <w:r w:rsidRPr="000665B0">
        <w:t>GPS Not Providing Updates – When checked, an H&amp;S message is sent when the missile has detected insufficient GPS updates.</w:t>
      </w:r>
    </w:p>
    <w:p w14:paraId="68C366BB" w14:textId="47B7E475" w:rsidR="007B7EB9" w:rsidRPr="000665B0" w:rsidRDefault="007B7EB9" w:rsidP="006D5A65">
      <w:pPr>
        <w:pStyle w:val="Heading1"/>
      </w:pPr>
      <w:r w:rsidRPr="000665B0">
        <w:t>BIT Test Failures – Specifies which component(s) failures are to be reported.</w:t>
      </w:r>
    </w:p>
    <w:p w14:paraId="2B48F08C" w14:textId="09CCCBCE" w:rsidR="007B7EB9" w:rsidRPr="000665B0" w:rsidRDefault="007B7EB9" w:rsidP="006D5A65">
      <w:pPr>
        <w:pStyle w:val="Heading2"/>
      </w:pPr>
      <w:r w:rsidRPr="000665B0">
        <w:t xml:space="preserve">Guidance Processor – When checked, an H&amp;S message </w:t>
      </w:r>
      <w:r w:rsidR="00CD1E0E" w:rsidRPr="000665B0">
        <w:t>is sent when</w:t>
      </w:r>
      <w:r w:rsidRPr="000665B0">
        <w:t xml:space="preserve"> there is</w:t>
      </w:r>
      <w:r w:rsidR="00CD1E0E" w:rsidRPr="000665B0">
        <w:t xml:space="preserve"> </w:t>
      </w:r>
      <w:r w:rsidRPr="000665B0">
        <w:t>BIT Test failure for Guidance Processor during missile flight.</w:t>
      </w:r>
    </w:p>
    <w:p w14:paraId="2840F1D1" w14:textId="2C441064" w:rsidR="007B7EB9" w:rsidRPr="000665B0" w:rsidRDefault="007B7EB9" w:rsidP="006D5A65">
      <w:pPr>
        <w:pStyle w:val="Heading2"/>
      </w:pPr>
      <w:r w:rsidRPr="000665B0">
        <w:t xml:space="preserve">AGR – When checked, an H&amp;S message </w:t>
      </w:r>
      <w:r w:rsidR="00CD1E0E" w:rsidRPr="000665B0">
        <w:t>is sent when</w:t>
      </w:r>
      <w:r w:rsidRPr="000665B0">
        <w:t xml:space="preserve"> there is BIT Test failure for AGR during missile flight.</w:t>
      </w:r>
    </w:p>
    <w:p w14:paraId="5E89B94A" w14:textId="6548B836" w:rsidR="007B7EB9" w:rsidRPr="000665B0" w:rsidRDefault="00CD1E0E" w:rsidP="006D5A65">
      <w:pPr>
        <w:pStyle w:val="Heading2"/>
      </w:pPr>
      <w:r w:rsidRPr="000665B0">
        <w:t>IMU –</w:t>
      </w:r>
      <w:r w:rsidR="007B7EB9" w:rsidRPr="000665B0">
        <w:t xml:space="preserve"> When checked, an H&amp;S message </w:t>
      </w:r>
      <w:r w:rsidRPr="000665B0">
        <w:t>is sent when</w:t>
      </w:r>
      <w:r w:rsidR="007B7EB9" w:rsidRPr="000665B0">
        <w:t xml:space="preserve"> there is BIT Test failure for IMU during missile flight.</w:t>
      </w:r>
    </w:p>
    <w:p w14:paraId="649627F8" w14:textId="0D396A9E" w:rsidR="007B7EB9" w:rsidRPr="000665B0" w:rsidRDefault="007B7EB9" w:rsidP="006D5A65">
      <w:pPr>
        <w:pStyle w:val="Heading2"/>
      </w:pPr>
      <w:r w:rsidRPr="000665B0">
        <w:t xml:space="preserve">Air Data Module </w:t>
      </w:r>
      <w:r w:rsidR="00CD1E0E" w:rsidRPr="000665B0">
        <w:t>–</w:t>
      </w:r>
      <w:r w:rsidRPr="000665B0">
        <w:t xml:space="preserve"> When checked, an H&amp;S message </w:t>
      </w:r>
      <w:r w:rsidR="00CD1E0E" w:rsidRPr="000665B0">
        <w:t>is sent when</w:t>
      </w:r>
      <w:r w:rsidRPr="000665B0">
        <w:t xml:space="preserve"> there is BIT Test failure for Air Data Module during missile flight.</w:t>
      </w:r>
    </w:p>
    <w:p w14:paraId="09022279" w14:textId="1BBD84E7" w:rsidR="00A72DA7" w:rsidRPr="000665B0" w:rsidRDefault="007B7EB9" w:rsidP="006D5A65">
      <w:pPr>
        <w:pStyle w:val="Heading2"/>
      </w:pPr>
      <w:r w:rsidRPr="000665B0">
        <w:t xml:space="preserve">Radar </w:t>
      </w:r>
      <w:r w:rsidR="00CD1E0E" w:rsidRPr="000665B0">
        <w:t>Altimeter</w:t>
      </w:r>
      <w:r w:rsidRPr="000665B0">
        <w:t xml:space="preserve"> – When checked, an H&amp;S message </w:t>
      </w:r>
      <w:r w:rsidR="00CD1E0E" w:rsidRPr="000665B0">
        <w:t>is sent when</w:t>
      </w:r>
      <w:r w:rsidRPr="000665B0">
        <w:t xml:space="preserve"> there is BIT Test failure for Radar Altimeter during missile flight.</w:t>
      </w:r>
    </w:p>
    <w:p w14:paraId="779D58FB" w14:textId="53990965" w:rsidR="003C520D" w:rsidRPr="000665B0" w:rsidRDefault="003A5DD7" w:rsidP="009570CA">
      <w:pPr>
        <w:pStyle w:val="Heading7"/>
      </w:pPr>
      <w:bookmarkStart w:id="6182" w:name="_TSN__Comms"/>
      <w:bookmarkStart w:id="6183" w:name="_TSN_Comms_Tab"/>
      <w:bookmarkEnd w:id="6182"/>
      <w:bookmarkEnd w:id="6183"/>
      <w:r w:rsidRPr="000665B0">
        <w:t>TSN Comms</w:t>
      </w:r>
      <w:r w:rsidR="003C520D" w:rsidRPr="000665B0">
        <w:t xml:space="preserve"> Tab</w:t>
      </w:r>
    </w:p>
    <w:p w14:paraId="0101AF51" w14:textId="20A9ED27" w:rsidR="00E71B2F" w:rsidRDefault="00D03B1E" w:rsidP="009570CA">
      <w:r w:rsidRPr="000665B0">
        <w:t xml:space="preserve">Sets the default TSN Comms Parameter for the new Strike Options. </w:t>
      </w:r>
      <w:r w:rsidR="009E33C3" w:rsidRPr="000665B0">
        <w:t xml:space="preserve">DAMA </w:t>
      </w:r>
      <w:r w:rsidRPr="000665B0">
        <w:t xml:space="preserve">TSN Comms Parameters includes Channel Number, </w:t>
      </w:r>
      <w:r w:rsidR="00D47657" w:rsidRPr="000665B0">
        <w:t xml:space="preserve">Comms Initiator, </w:t>
      </w:r>
      <w:r w:rsidRPr="000665B0">
        <w:t xml:space="preserve">Network Login Method, </w:t>
      </w:r>
      <w:r w:rsidR="00D47657" w:rsidRPr="000665B0">
        <w:t xml:space="preserve">Demarcation Address (default is 55000), </w:t>
      </w:r>
      <w:r w:rsidRPr="000665B0">
        <w:t xml:space="preserve">ROW Messaging/Ranging Strategy, </w:t>
      </w:r>
      <w:r w:rsidR="007315DE" w:rsidRPr="000665B0">
        <w:t xml:space="preserve">and </w:t>
      </w:r>
      <w:r w:rsidR="0013793E" w:rsidRPr="000665B0">
        <w:t>Crypto Keys</w:t>
      </w:r>
      <w:r w:rsidRPr="000665B0">
        <w:t xml:space="preserve">. These settings are used with 109E missiles and become the default values for each Strike Option’s </w:t>
      </w:r>
      <w:r w:rsidRPr="000665B0">
        <w:rPr>
          <w:b/>
          <w:i/>
        </w:rPr>
        <w:t>TSN Comms</w:t>
      </w:r>
      <w:r w:rsidRPr="000665B0">
        <w:t xml:space="preserve"> tab. </w:t>
      </w:r>
      <w:r w:rsidR="00D47657" w:rsidRPr="000665B0">
        <w:t xml:space="preserve">All fields, except for Crypto </w:t>
      </w:r>
      <w:r w:rsidR="00D47657" w:rsidRPr="000665B0">
        <w:rPr>
          <w:color w:val="000000"/>
        </w:rPr>
        <w:t xml:space="preserve">Keys </w:t>
      </w:r>
      <w:r w:rsidRPr="000665B0">
        <w:rPr>
          <w:color w:val="000000"/>
        </w:rPr>
        <w:t>are required fields (</w:t>
      </w:r>
      <w:r w:rsidRPr="000665B0">
        <w:rPr>
          <w:szCs w:val="24"/>
        </w:rPr>
        <w:t xml:space="preserve">as denoted by the * and/or yellow background) and the user is unable to proceed without updating this field. For further information on mandatory fields see </w:t>
      </w:r>
      <w:hyperlink w:anchor="_5.2.7__Editing" w:history="1">
        <w:r w:rsidRPr="000665B0">
          <w:rPr>
            <w:color w:val="0000FF"/>
            <w:szCs w:val="24"/>
            <w:u w:val="single"/>
          </w:rPr>
          <w:t>Section 5.2.8</w:t>
        </w:r>
      </w:hyperlink>
      <w:r w:rsidRPr="000665B0">
        <w:rPr>
          <w:color w:val="000000"/>
        </w:rPr>
        <w:t xml:space="preserve">. </w:t>
      </w:r>
      <w:r w:rsidR="000F35BC" w:rsidRPr="000665B0">
        <w:t>The d</w:t>
      </w:r>
      <w:r w:rsidR="001F37CB" w:rsidRPr="000665B0">
        <w:t xml:space="preserve">efault </w:t>
      </w:r>
      <w:r w:rsidR="000F35BC" w:rsidRPr="000665B0">
        <w:t>M</w:t>
      </w:r>
      <w:r w:rsidR="003D0051" w:rsidRPr="000665B0">
        <w:t xml:space="preserve">issile </w:t>
      </w:r>
      <w:r w:rsidR="000F35BC" w:rsidRPr="000665B0">
        <w:t>S</w:t>
      </w:r>
      <w:r w:rsidR="003D0051" w:rsidRPr="000665B0">
        <w:t>ubscriber ID range</w:t>
      </w:r>
      <w:r w:rsidR="000F35BC" w:rsidRPr="000665B0">
        <w:t xml:space="preserve"> is set in the Nodes tool.</w:t>
      </w:r>
    </w:p>
    <w:p w14:paraId="6936325A" w14:textId="72C4D8AB" w:rsidR="00A95E50" w:rsidRPr="000665B0" w:rsidRDefault="00A95E50" w:rsidP="009570CA">
      <w:pPr>
        <w:jc w:val="center"/>
      </w:pPr>
      <w:r>
        <w:rPr>
          <w:noProof/>
        </w:rPr>
        <w:lastRenderedPageBreak/>
        <w:drawing>
          <wp:inline distT="0" distB="0" distL="0" distR="0" wp14:anchorId="04B8FE41" wp14:editId="763CD5C8">
            <wp:extent cx="3657600" cy="2624328"/>
            <wp:effectExtent l="0" t="0" r="0" b="0"/>
            <wp:docPr id="2315" name="Picture 231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 name="Picture 2315" descr="Graphical user interface, application, Word&#10;&#10;Description automatically generated"/>
                    <pic:cNvPicPr/>
                  </pic:nvPicPr>
                  <pic:blipFill>
                    <a:blip/>
                    <a:stretch>
                      <a:fillRect/>
                    </a:stretch>
                  </pic:blipFill>
                  <pic:spPr>
                    <a:xfrm>
                      <a:off x="0" y="0"/>
                      <a:ext cx="3657600" cy="2624328"/>
                    </a:xfrm>
                    <a:prstGeom prst="rect">
                      <a:avLst/>
                    </a:prstGeom>
                  </pic:spPr>
                </pic:pic>
              </a:graphicData>
            </a:graphic>
          </wp:inline>
        </w:drawing>
      </w:r>
    </w:p>
    <w:p w14:paraId="39A902F7" w14:textId="0102637B" w:rsidR="00CD1E0E" w:rsidRPr="000665B0" w:rsidRDefault="00CD1E0E" w:rsidP="006D5A65">
      <w:pPr>
        <w:pStyle w:val="Heading1"/>
      </w:pPr>
      <w:r w:rsidRPr="000665B0">
        <w:t xml:space="preserve">TSN Comms Parameters – Sets default parameters for setting the TSN channel. </w:t>
      </w:r>
      <w:r w:rsidR="001F37CB" w:rsidRPr="000665B0">
        <w:t>Settings</w:t>
      </w:r>
      <w:r w:rsidRPr="000665B0">
        <w:t xml:space="preserve"> are only editable by an Administrator and affect all users</w:t>
      </w:r>
      <w:r w:rsidRPr="000665B0">
        <w:rPr>
          <w:color w:val="000000"/>
        </w:rPr>
        <w:t xml:space="preserve">. </w:t>
      </w:r>
    </w:p>
    <w:p w14:paraId="23E39BEB" w14:textId="148FA935" w:rsidR="00CD1E0E" w:rsidRPr="000665B0" w:rsidRDefault="00CD1E0E" w:rsidP="006D5A65">
      <w:pPr>
        <w:pStyle w:val="Heading2"/>
      </w:pPr>
      <w:r w:rsidRPr="000665B0">
        <w:t xml:space="preserve">Channel Number – Sets the channel number that missile(s) use to log into </w:t>
      </w:r>
      <w:r w:rsidR="00E971E8" w:rsidRPr="000665B0">
        <w:t>TSN and</w:t>
      </w:r>
      <w:r w:rsidRPr="000665B0">
        <w:t xml:space="preserve"> must be specified. If left blank, an error is displayed. </w:t>
      </w:r>
    </w:p>
    <w:p w14:paraId="6DE14635" w14:textId="471E76FE" w:rsidR="00CD1E0E" w:rsidRPr="000665B0" w:rsidRDefault="00CD1E0E" w:rsidP="006D5A65">
      <w:pPr>
        <w:pStyle w:val="Heading2"/>
      </w:pPr>
      <w:r w:rsidRPr="000665B0">
        <w:t>Comms Initiator – When</w:t>
      </w:r>
      <w:r w:rsidR="0031230F" w:rsidRPr="000665B0">
        <w:t xml:space="preserve"> </w:t>
      </w:r>
      <w:r w:rsidRPr="000665B0">
        <w:t xml:space="preserve">Missile Initiated is selected, missile(s) will initiate request to transmit H&amp;S or BDI message. </w:t>
      </w:r>
      <w:r w:rsidR="0031230F" w:rsidRPr="000665B0">
        <w:t xml:space="preserve">When </w:t>
      </w:r>
      <w:r w:rsidRPr="000665B0">
        <w:t>Controller Initiated</w:t>
      </w:r>
      <w:r w:rsidR="0031230F" w:rsidRPr="000665B0">
        <w:t xml:space="preserve"> is selected,</w:t>
      </w:r>
      <w:r w:rsidRPr="000665B0">
        <w:t xml:space="preserve"> </w:t>
      </w:r>
      <w:r w:rsidR="0031230F" w:rsidRPr="000665B0">
        <w:t>the</w:t>
      </w:r>
      <w:r w:rsidR="001F37CB" w:rsidRPr="000665B0">
        <w:t xml:space="preserve"> Primary Channel Controller</w:t>
      </w:r>
      <w:r w:rsidR="0031230F" w:rsidRPr="000665B0">
        <w:t xml:space="preserve"> </w:t>
      </w:r>
      <w:r w:rsidR="001F37CB" w:rsidRPr="000665B0">
        <w:t>(</w:t>
      </w:r>
      <w:r w:rsidRPr="000665B0">
        <w:t>PCC</w:t>
      </w:r>
      <w:r w:rsidR="001F37CB" w:rsidRPr="000665B0">
        <w:t>)</w:t>
      </w:r>
      <w:r w:rsidRPr="000665B0">
        <w:t xml:space="preserve"> will initiate communication.</w:t>
      </w:r>
    </w:p>
    <w:p w14:paraId="764F562A" w14:textId="46F8008B" w:rsidR="00CD1E0E" w:rsidRPr="000665B0" w:rsidRDefault="00CD1E0E" w:rsidP="006D5A65">
      <w:pPr>
        <w:pStyle w:val="Heading2"/>
      </w:pPr>
      <w:r w:rsidRPr="000665B0">
        <w:t>Network Login Method – When Missile Initiated</w:t>
      </w:r>
      <w:r w:rsidR="0031230F" w:rsidRPr="000665B0">
        <w:t xml:space="preserve"> is selected</w:t>
      </w:r>
      <w:r w:rsidRPr="000665B0">
        <w:t xml:space="preserve">, missile(s) will initiate </w:t>
      </w:r>
      <w:r w:rsidR="0031230F" w:rsidRPr="000665B0">
        <w:t xml:space="preserve">the login </w:t>
      </w:r>
      <w:r w:rsidRPr="000665B0">
        <w:t xml:space="preserve">to TSN. </w:t>
      </w:r>
      <w:r w:rsidR="0031230F" w:rsidRPr="000665B0">
        <w:t xml:space="preserve">When </w:t>
      </w:r>
      <w:r w:rsidRPr="000665B0">
        <w:t>Preassigned PCC</w:t>
      </w:r>
      <w:r w:rsidR="0031230F" w:rsidRPr="000665B0">
        <w:t xml:space="preserve"> is selected</w:t>
      </w:r>
      <w:r w:rsidRPr="000665B0">
        <w:t xml:space="preserve">, </w:t>
      </w:r>
      <w:r w:rsidR="0031230F" w:rsidRPr="000665B0">
        <w:t xml:space="preserve">the </w:t>
      </w:r>
      <w:r w:rsidRPr="000665B0">
        <w:t>PCC will log the missile into TSN.</w:t>
      </w:r>
    </w:p>
    <w:p w14:paraId="5CA96D49" w14:textId="77777777" w:rsidR="00CD1E0E" w:rsidRPr="000665B0" w:rsidRDefault="00CD1E0E" w:rsidP="006D5A65">
      <w:pPr>
        <w:pStyle w:val="Heading2"/>
      </w:pPr>
      <w:r w:rsidRPr="000665B0">
        <w:t>Service Precedence – Permanently set to Flash Override.</w:t>
      </w:r>
    </w:p>
    <w:p w14:paraId="6AD2763D" w14:textId="1CAE0155" w:rsidR="00CD1E0E" w:rsidRPr="000665B0" w:rsidRDefault="00CD1E0E" w:rsidP="006D5A65">
      <w:pPr>
        <w:pStyle w:val="Heading2"/>
      </w:pPr>
      <w:r w:rsidRPr="000665B0">
        <w:t xml:space="preserve">Demarcation Address – </w:t>
      </w:r>
      <w:r w:rsidR="0031230F" w:rsidRPr="000665B0">
        <w:t>Sets</w:t>
      </w:r>
      <w:r w:rsidRPr="000665B0">
        <w:t xml:space="preserve"> the demarcation address dividing missile subscriber IDs from DTAs</w:t>
      </w:r>
      <w:r w:rsidR="0031230F" w:rsidRPr="000665B0">
        <w:t xml:space="preserve"> (valid values are 1 to 65535)</w:t>
      </w:r>
      <w:r w:rsidRPr="000665B0">
        <w:t>. All missile subscriber IDs must be a number less than the Demarcation Address. The default value</w:t>
      </w:r>
      <w:r w:rsidR="001F37CB" w:rsidRPr="000665B0">
        <w:t xml:space="preserve"> </w:t>
      </w:r>
      <w:r w:rsidRPr="000665B0">
        <w:t>is 55000</w:t>
      </w:r>
      <w:r w:rsidR="001F37CB" w:rsidRPr="000665B0">
        <w:t xml:space="preserve"> and</w:t>
      </w:r>
      <w:r w:rsidRPr="000665B0">
        <w:t xml:space="preserve"> should not be changed without </w:t>
      </w:r>
      <w:r w:rsidR="00A22DAF" w:rsidRPr="000665B0">
        <w:t>the</w:t>
      </w:r>
      <w:r w:rsidR="00963FE1" w:rsidRPr="000665B0">
        <w:t xml:space="preserve"> </w:t>
      </w:r>
      <w:r w:rsidRPr="000665B0">
        <w:t xml:space="preserve">appropriate authority’s approval. </w:t>
      </w:r>
      <w:r w:rsidR="0031230F" w:rsidRPr="000665B0">
        <w:t>If left blank, an error is displayed.</w:t>
      </w:r>
    </w:p>
    <w:p w14:paraId="76A3F076" w14:textId="0A4CC5F9" w:rsidR="0031230F" w:rsidRPr="000665B0" w:rsidRDefault="0031230F" w:rsidP="006D5A65">
      <w:pPr>
        <w:pStyle w:val="Heading1"/>
      </w:pPr>
      <w:r w:rsidRPr="000665B0">
        <w:t>ROW Strategy</w:t>
      </w:r>
    </w:p>
    <w:p w14:paraId="270EF181" w14:textId="5B737993" w:rsidR="00CD1E0E" w:rsidRPr="000665B0" w:rsidRDefault="00CD1E0E" w:rsidP="006D5A65">
      <w:pPr>
        <w:pStyle w:val="Heading2"/>
      </w:pPr>
      <w:r w:rsidRPr="000665B0">
        <w:t>Messaging – When Random</w:t>
      </w:r>
      <w:r w:rsidR="0031230F" w:rsidRPr="000665B0">
        <w:t xml:space="preserve"> is selected</w:t>
      </w:r>
      <w:r w:rsidRPr="000665B0">
        <w:t xml:space="preserve">, </w:t>
      </w:r>
      <w:r w:rsidR="0031230F" w:rsidRPr="000665B0">
        <w:t xml:space="preserve">the </w:t>
      </w:r>
      <w:r w:rsidRPr="000665B0">
        <w:t xml:space="preserve">missile will request for </w:t>
      </w:r>
      <w:r w:rsidR="0031230F" w:rsidRPr="000665B0">
        <w:t xml:space="preserve">a </w:t>
      </w:r>
      <w:r w:rsidRPr="000665B0">
        <w:t xml:space="preserve">message slot when </w:t>
      </w:r>
      <w:r w:rsidR="0031230F" w:rsidRPr="000665B0">
        <w:t xml:space="preserve">the </w:t>
      </w:r>
      <w:r w:rsidRPr="000665B0">
        <w:t xml:space="preserve">missile is ready to send. </w:t>
      </w:r>
      <w:r w:rsidRPr="000665B0">
        <w:lastRenderedPageBreak/>
        <w:t>When Assigned</w:t>
      </w:r>
      <w:r w:rsidR="0031230F" w:rsidRPr="000665B0">
        <w:t xml:space="preserve"> is selected,</w:t>
      </w:r>
      <w:r w:rsidRPr="000665B0">
        <w:t xml:space="preserve"> </w:t>
      </w:r>
      <w:r w:rsidR="0031230F" w:rsidRPr="000665B0">
        <w:t xml:space="preserve">the </w:t>
      </w:r>
      <w:r w:rsidRPr="000665B0">
        <w:t xml:space="preserve">PCC will assign </w:t>
      </w:r>
      <w:r w:rsidR="0031230F" w:rsidRPr="000665B0">
        <w:t xml:space="preserve">a </w:t>
      </w:r>
      <w:r w:rsidRPr="000665B0">
        <w:t xml:space="preserve">message slot for when </w:t>
      </w:r>
      <w:r w:rsidR="0031230F" w:rsidRPr="000665B0">
        <w:t xml:space="preserve">the </w:t>
      </w:r>
      <w:r w:rsidRPr="000665B0">
        <w:t xml:space="preserve">missile can send a message. </w:t>
      </w:r>
    </w:p>
    <w:p w14:paraId="0353B8B6" w14:textId="145A24EB" w:rsidR="00CD1E0E" w:rsidRPr="000665B0" w:rsidRDefault="00CD1E0E" w:rsidP="006D5A65">
      <w:pPr>
        <w:pStyle w:val="Heading2"/>
      </w:pPr>
      <w:r w:rsidRPr="000665B0">
        <w:t xml:space="preserve">Ranging – When </w:t>
      </w:r>
      <w:r w:rsidR="0031230F" w:rsidRPr="000665B0">
        <w:t>Random is selected</w:t>
      </w:r>
      <w:r w:rsidRPr="000665B0">
        <w:t xml:space="preserve">, </w:t>
      </w:r>
      <w:r w:rsidR="0031230F" w:rsidRPr="000665B0">
        <w:t xml:space="preserve">the </w:t>
      </w:r>
      <w:r w:rsidRPr="000665B0">
        <w:t xml:space="preserve">missile will request for </w:t>
      </w:r>
      <w:r w:rsidR="0031230F" w:rsidRPr="000665B0">
        <w:t xml:space="preserve">a </w:t>
      </w:r>
      <w:r w:rsidRPr="000665B0">
        <w:t xml:space="preserve">ranging slot when </w:t>
      </w:r>
      <w:r w:rsidR="0031230F" w:rsidRPr="000665B0">
        <w:t xml:space="preserve">the </w:t>
      </w:r>
      <w:r w:rsidRPr="000665B0">
        <w:t xml:space="preserve">missile is ready to range. When </w:t>
      </w:r>
      <w:r w:rsidR="0031230F" w:rsidRPr="000665B0">
        <w:t>Assigned is selected, the</w:t>
      </w:r>
      <w:r w:rsidRPr="000665B0">
        <w:t xml:space="preserve"> PCC will assign </w:t>
      </w:r>
      <w:r w:rsidR="0031230F" w:rsidRPr="000665B0">
        <w:t xml:space="preserve">a </w:t>
      </w:r>
      <w:r w:rsidRPr="000665B0">
        <w:t xml:space="preserve">message slot for when </w:t>
      </w:r>
      <w:r w:rsidR="0031230F" w:rsidRPr="000665B0">
        <w:t xml:space="preserve">the </w:t>
      </w:r>
      <w:r w:rsidRPr="000665B0">
        <w:t>missile can range. Ranging pertains to acquiring the satellite as part of the process in logging into the TSN channel.</w:t>
      </w:r>
    </w:p>
    <w:p w14:paraId="4C295DA3" w14:textId="69FA094F" w:rsidR="00CD1E0E" w:rsidRPr="000665B0" w:rsidRDefault="00CD1E0E" w:rsidP="006D5A65">
      <w:pPr>
        <w:pStyle w:val="Heading1"/>
      </w:pPr>
      <w:r w:rsidRPr="000665B0">
        <w:t>Crypto Keys</w:t>
      </w:r>
    </w:p>
    <w:p w14:paraId="3DE1BF3C" w14:textId="0C3F7021" w:rsidR="00CD1E0E" w:rsidRPr="000665B0" w:rsidRDefault="00CD1E0E" w:rsidP="006D5A65">
      <w:pPr>
        <w:pStyle w:val="Heading2"/>
      </w:pPr>
      <w:r w:rsidRPr="000665B0">
        <w:t xml:space="preserve">COMSEC Key – </w:t>
      </w:r>
      <w:r w:rsidR="0031230F" w:rsidRPr="000665B0">
        <w:t>S</w:t>
      </w:r>
      <w:r w:rsidRPr="000665B0">
        <w:t>elect from a list of pre-defined COMSEC Short Titles retrieved from</w:t>
      </w:r>
      <w:r w:rsidR="0031230F" w:rsidRPr="000665B0">
        <w:t xml:space="preserve"> a</w:t>
      </w:r>
      <w:r w:rsidRPr="000665B0">
        <w:t xml:space="preserve"> list in the Crypto Tool. </w:t>
      </w:r>
    </w:p>
    <w:p w14:paraId="2F83E812" w14:textId="1121EFAC" w:rsidR="00D03B1E" w:rsidRPr="000665B0" w:rsidRDefault="00CD1E0E" w:rsidP="006D5A65">
      <w:pPr>
        <w:pStyle w:val="Heading2"/>
      </w:pPr>
      <w:r w:rsidRPr="000665B0">
        <w:t xml:space="preserve">TRANSEC Key – </w:t>
      </w:r>
      <w:r w:rsidR="0031230F" w:rsidRPr="000665B0">
        <w:t>S</w:t>
      </w:r>
      <w:r w:rsidRPr="000665B0">
        <w:t xml:space="preserve">elect from a list of pre-defined TRANSEC Short Titles retrieved from </w:t>
      </w:r>
      <w:r w:rsidR="0031230F" w:rsidRPr="000665B0">
        <w:t xml:space="preserve">a </w:t>
      </w:r>
      <w:r w:rsidRPr="000665B0">
        <w:t>list in the Crypto Tool.</w:t>
      </w:r>
    </w:p>
    <w:p w14:paraId="726ACCE2" w14:textId="310A414F" w:rsidR="003C520D" w:rsidRPr="000665B0" w:rsidRDefault="003A5DD7" w:rsidP="009570CA">
      <w:pPr>
        <w:pStyle w:val="Heading7"/>
      </w:pPr>
      <w:bookmarkStart w:id="6184" w:name="_DTA_Preferences_Tab"/>
      <w:bookmarkEnd w:id="6184"/>
      <w:r w:rsidRPr="000665B0">
        <w:t>DTA Preferences</w:t>
      </w:r>
      <w:r w:rsidR="003C520D" w:rsidRPr="000665B0">
        <w:t xml:space="preserve"> Tab</w:t>
      </w:r>
    </w:p>
    <w:p w14:paraId="0642EBD9" w14:textId="5DF453ED" w:rsidR="00D03B1E" w:rsidRPr="000665B0" w:rsidRDefault="00D03B1E" w:rsidP="009570CA">
      <w:r w:rsidRPr="000665B0">
        <w:t xml:space="preserve">Defines the Controller and Missile DTA sets for training and tactical Strike Options which are used by </w:t>
      </w:r>
      <w:r w:rsidR="0031230F" w:rsidRPr="000665B0">
        <w:t>s</w:t>
      </w:r>
      <w:r w:rsidRPr="000665B0">
        <w:t xml:space="preserve">trikes with 109E missiles. The defined sets become pull down choices for each Strike Option’s </w:t>
      </w:r>
      <w:r w:rsidRPr="000665B0">
        <w:rPr>
          <w:b/>
          <w:i/>
        </w:rPr>
        <w:t>TSN Comms</w:t>
      </w:r>
      <w:r w:rsidRPr="000665B0">
        <w:t xml:space="preserve"> tab. </w:t>
      </w:r>
    </w:p>
    <w:p w14:paraId="4AD69F66" w14:textId="4AC43460" w:rsidR="0031230F" w:rsidRDefault="0031230F" w:rsidP="009570CA">
      <w:r w:rsidRPr="000665B0">
        <w:t xml:space="preserve">To create a new DTA set, place the cursor </w:t>
      </w:r>
      <w:r w:rsidR="004A0799" w:rsidRPr="000665B0">
        <w:t>in</w:t>
      </w:r>
      <w:r w:rsidRPr="000665B0">
        <w:t xml:space="preserve"> the blank white portion of the </w:t>
      </w:r>
      <w:r w:rsidRPr="000665B0">
        <w:rPr>
          <w:b/>
        </w:rPr>
        <w:t>DTA Sets</w:t>
      </w:r>
      <w:r w:rsidRPr="000665B0">
        <w:t xml:space="preserve"> pane. Invoke the context menu (</w:t>
      </w:r>
      <w:r w:rsidR="00D71804" w:rsidRPr="000665B0">
        <w:t>right-click</w:t>
      </w:r>
      <w:r w:rsidRPr="000665B0">
        <w:t xml:space="preserve"> the mouse) and select </w:t>
      </w:r>
      <w:r w:rsidRPr="000665B0">
        <w:rPr>
          <w:b/>
        </w:rPr>
        <w:t>New</w:t>
      </w:r>
      <w:r w:rsidRPr="000665B0">
        <w:t xml:space="preserve">. Select the </w:t>
      </w:r>
      <w:r w:rsidRPr="000665B0">
        <w:rPr>
          <w:b/>
        </w:rPr>
        <w:t>Class</w:t>
      </w:r>
      <w:r w:rsidRPr="000665B0">
        <w:t xml:space="preserve">, enter the data, and click </w:t>
      </w:r>
      <w:r w:rsidRPr="000665B0">
        <w:rPr>
          <w:b/>
        </w:rPr>
        <w:t>OK</w:t>
      </w:r>
      <w:r w:rsidRPr="000665B0">
        <w:t xml:space="preserve">. To edit or delete a DTA set, select the existing DTA set, invoke the context menu, and select </w:t>
      </w:r>
      <w:r w:rsidRPr="000665B0">
        <w:rPr>
          <w:b/>
        </w:rPr>
        <w:t>Edit</w:t>
      </w:r>
      <w:r w:rsidRPr="000665B0">
        <w:t xml:space="preserve"> or </w:t>
      </w:r>
      <w:r w:rsidRPr="000665B0">
        <w:rPr>
          <w:b/>
        </w:rPr>
        <w:t>Delete</w:t>
      </w:r>
      <w:r w:rsidRPr="000665B0">
        <w:t>.</w:t>
      </w:r>
    </w:p>
    <w:p w14:paraId="641A1F4A" w14:textId="2592B81F" w:rsidR="00E8561D" w:rsidRPr="000665B0" w:rsidRDefault="00E8561D" w:rsidP="009570CA">
      <w:pPr>
        <w:jc w:val="center"/>
      </w:pPr>
      <w:r>
        <w:rPr>
          <w:noProof/>
        </w:rPr>
        <w:drawing>
          <wp:inline distT="0" distB="0" distL="0" distR="0" wp14:anchorId="08AE5262" wp14:editId="46AA7736">
            <wp:extent cx="3657600" cy="2624328"/>
            <wp:effectExtent l="0" t="0" r="0" b="0"/>
            <wp:docPr id="2316" name="Picture 23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347" descr="Graphical user interface, application&#10;&#10;Description automatically generated"/>
                    <pic:cNvPicPr/>
                  </pic:nvPicPr>
                  <pic:blipFill>
                    <a:blip/>
                    <a:stretch>
                      <a:fillRect/>
                    </a:stretch>
                  </pic:blipFill>
                  <pic:spPr>
                    <a:xfrm>
                      <a:off x="0" y="0"/>
                      <a:ext cx="3657600" cy="2624328"/>
                    </a:xfrm>
                    <a:prstGeom prst="rect">
                      <a:avLst/>
                    </a:prstGeom>
                  </pic:spPr>
                </pic:pic>
              </a:graphicData>
            </a:graphic>
          </wp:inline>
        </w:drawing>
      </w:r>
    </w:p>
    <w:p w14:paraId="565894F5" w14:textId="42CB7203" w:rsidR="0089054E" w:rsidRPr="000665B0" w:rsidRDefault="000C677D" w:rsidP="00306174">
      <w:pPr>
        <w:pStyle w:val="Heading6"/>
      </w:pPr>
      <w:r w:rsidRPr="000665B0">
        <w:lastRenderedPageBreak/>
        <w:t>ACA Planning</w:t>
      </w:r>
      <w:r w:rsidR="0089054E" w:rsidRPr="000665B0">
        <w:t xml:space="preserve"> Tab</w:t>
      </w:r>
    </w:p>
    <w:p w14:paraId="57EBB189" w14:textId="77777777" w:rsidR="004A4DCC" w:rsidRPr="000665B0" w:rsidRDefault="000C677D" w:rsidP="009570CA">
      <w:r w:rsidRPr="000665B0">
        <w:t xml:space="preserve">Sets the default TSN missile parameters for ACA comms enabled missile assignments. </w:t>
      </w:r>
      <w:r w:rsidR="004A4DCC" w:rsidRPr="000665B0">
        <w:t xml:space="preserve">The </w:t>
      </w:r>
      <w:r w:rsidR="004A4DCC" w:rsidRPr="000665B0">
        <w:rPr>
          <w:b/>
          <w:i/>
        </w:rPr>
        <w:t>ACA Planning</w:t>
      </w:r>
      <w:r w:rsidR="004A4DCC" w:rsidRPr="000665B0">
        <w:t xml:space="preserve"> tab contains these sub-tabs:</w:t>
      </w:r>
    </w:p>
    <w:p w14:paraId="2B4729CC" w14:textId="77777777" w:rsidR="004A4DCC" w:rsidRPr="000665B0" w:rsidRDefault="004A4DCC" w:rsidP="006D5A65">
      <w:pPr>
        <w:pStyle w:val="Heading1"/>
      </w:pPr>
      <w:r w:rsidRPr="000665B0">
        <w:rPr>
          <w:i/>
        </w:rPr>
        <w:t>Missile Parameters</w:t>
      </w:r>
      <w:r w:rsidRPr="000665B0">
        <w:t xml:space="preserve"> tab – Sets default H&amp;S messages to be sent by the missile.</w:t>
      </w:r>
    </w:p>
    <w:p w14:paraId="02A3AD80" w14:textId="7713D0AB" w:rsidR="004A4DCC" w:rsidRPr="000665B0" w:rsidRDefault="004A4DCC" w:rsidP="006D5A65">
      <w:pPr>
        <w:pStyle w:val="Heading1"/>
      </w:pPr>
      <w:r w:rsidRPr="000665B0">
        <w:rPr>
          <w:i/>
        </w:rPr>
        <w:t>TSN Comms</w:t>
      </w:r>
      <w:r w:rsidRPr="000665B0">
        <w:t xml:space="preserve"> tab – Sets communications parameters such as frequency, power level index, etc. </w:t>
      </w:r>
    </w:p>
    <w:p w14:paraId="77CE4C90" w14:textId="40950FDB" w:rsidR="003C520D" w:rsidRPr="000665B0" w:rsidRDefault="00D03B1E" w:rsidP="009570CA">
      <w:pPr>
        <w:pStyle w:val="Heading7"/>
      </w:pPr>
      <w:bookmarkStart w:id="6185" w:name="_Missile_Parameters_Tab_1"/>
      <w:bookmarkEnd w:id="6185"/>
      <w:r w:rsidRPr="000665B0">
        <w:t xml:space="preserve">Missile Parameters </w:t>
      </w:r>
      <w:r w:rsidR="003C520D" w:rsidRPr="000665B0">
        <w:t>Tab</w:t>
      </w:r>
    </w:p>
    <w:p w14:paraId="3C952FED" w14:textId="1A6E1502" w:rsidR="00B74A57" w:rsidRDefault="00B74A57" w:rsidP="009570CA">
      <w:r>
        <w:t>Sets the enablement for certain missile initiated messages and selections of events and problems to be reported by the missile when event(s) occur or problem(s) are detected by the missile.</w:t>
      </w:r>
    </w:p>
    <w:p w14:paraId="0C28ACBF" w14:textId="2237FBF3" w:rsidR="001F3F24" w:rsidRPr="004A4DCC" w:rsidRDefault="005D15C0" w:rsidP="00F63C77">
      <w:pPr>
        <w:spacing w:before="120"/>
        <w:jc w:val="center"/>
      </w:pPr>
      <w:r>
        <w:rPr>
          <w:noProof/>
        </w:rPr>
        <w:drawing>
          <wp:inline distT="0" distB="0" distL="0" distR="0" wp14:anchorId="5BB87C21" wp14:editId="13808D73">
            <wp:extent cx="3686175" cy="2641365"/>
            <wp:effectExtent l="0" t="0" r="0" b="0"/>
            <wp:docPr id="912295886"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95886" name="Picture 1" descr="Graphical user interface, application&#10;&#10;Description automatically generated"/>
                    <pic:cNvPicPr>
                      <a:picLocks noChangeAspect="1"/>
                    </pic:cNvPicPr>
                  </pic:nvPicPr>
                  <pic:blipFill>
                    <a:blip/>
                    <a:stretch>
                      <a:fillRect/>
                    </a:stretch>
                  </pic:blipFill>
                  <pic:spPr>
                    <a:xfrm>
                      <a:off x="0" y="0"/>
                      <a:ext cx="3699982" cy="2651258"/>
                    </a:xfrm>
                    <a:prstGeom prst="rect">
                      <a:avLst/>
                    </a:prstGeom>
                  </pic:spPr>
                </pic:pic>
              </a:graphicData>
            </a:graphic>
          </wp:inline>
        </w:drawing>
      </w:r>
    </w:p>
    <w:p w14:paraId="6E93A24C" w14:textId="5658EC3E" w:rsidR="00B74A57" w:rsidRDefault="00B74A57" w:rsidP="006D5A65">
      <w:pPr>
        <w:pStyle w:val="Heading1"/>
      </w:pPr>
      <w:r>
        <w:t xml:space="preserve">Schedule Planning </w:t>
      </w:r>
      <w:r w:rsidRPr="00001469">
        <w:t xml:space="preserve">– </w:t>
      </w:r>
      <w:r>
        <w:t xml:space="preserve">The options specify when and how often scheduled H&amp;S messages will be transmitted by the missile. It is NOT in effect unless </w:t>
      </w:r>
      <w:r w:rsidRPr="0058307F">
        <w:t>Scheduled H&amp;S</w:t>
      </w:r>
      <w:r>
        <w:t xml:space="preserve"> is selected below in the </w:t>
      </w:r>
      <w:r w:rsidRPr="0058307F">
        <w:t>Missile Reporting State</w:t>
      </w:r>
      <w:r>
        <w:t>/</w:t>
      </w:r>
      <w:r w:rsidRPr="0058307F">
        <w:t>Enablements</w:t>
      </w:r>
      <w:r>
        <w:t xml:space="preserve"> </w:t>
      </w:r>
      <w:r w:rsidR="000F4714">
        <w:t>p</w:t>
      </w:r>
      <w:r>
        <w:t>ane.</w:t>
      </w:r>
    </w:p>
    <w:p w14:paraId="30C6374B" w14:textId="77777777" w:rsidR="00B74A57" w:rsidRDefault="00B74A57" w:rsidP="006D5A65">
      <w:pPr>
        <w:pStyle w:val="Heading2"/>
      </w:pPr>
      <w:r w:rsidRPr="00C466F4">
        <w:t>H&amp;</w:t>
      </w:r>
      <w:r>
        <w:t>S after FPPWP – When checked, one H&amp;S message is scheduled for transmission by the missile shortly after the missile has flown past the FPPWP.</w:t>
      </w:r>
    </w:p>
    <w:p w14:paraId="3DD7AF06" w14:textId="772F7021" w:rsidR="00B74A57" w:rsidRPr="00611626" w:rsidRDefault="00B74A57" w:rsidP="006D5A65">
      <w:pPr>
        <w:pStyle w:val="Heading2"/>
      </w:pPr>
      <w:r w:rsidRPr="00C466F4">
        <w:t>Periodic H&amp;S Frequency</w:t>
      </w:r>
      <w:r>
        <w:t xml:space="preserve"> – When </w:t>
      </w:r>
      <w:r w:rsidRPr="0058307F">
        <w:t>None</w:t>
      </w:r>
      <w:r>
        <w:t xml:space="preserve"> is selected, there will be no periodic H&amp;S messages transmitted by the missile. Otherwise, based on the selection from the </w:t>
      </w:r>
      <w:r w:rsidR="00AB3FB1">
        <w:t>pull-down</w:t>
      </w:r>
      <w:r>
        <w:t xml:space="preserve"> </w:t>
      </w:r>
      <w:r w:rsidR="000F4714">
        <w:t>menu</w:t>
      </w:r>
      <w:r>
        <w:t xml:space="preserve"> (1, 5, 10, or 20 </w:t>
      </w:r>
      <w:r w:rsidR="000F4714">
        <w:t>m</w:t>
      </w:r>
      <w:r>
        <w:t xml:space="preserve">inutes), a scheduled H&amp;S message </w:t>
      </w:r>
      <w:r w:rsidR="000F4714">
        <w:t>is</w:t>
      </w:r>
      <w:r>
        <w:t xml:space="preserve"> transmitted at every interval of the selected time. The first scheduled H&amp;S </w:t>
      </w:r>
      <w:r w:rsidR="000F4714">
        <w:t>is sent</w:t>
      </w:r>
      <w:r>
        <w:t xml:space="preserve"> the after the missile has flown past the FPPWP, regardless </w:t>
      </w:r>
      <w:r w:rsidR="000F4714">
        <w:t>of whether</w:t>
      </w:r>
      <w:r>
        <w:t xml:space="preserve"> the </w:t>
      </w:r>
      <w:r w:rsidRPr="0058307F">
        <w:t>H&amp;S after FPPWP</w:t>
      </w:r>
      <w:r>
        <w:t xml:space="preserve"> is selected or not. The subsequent H&amp;S messages </w:t>
      </w:r>
      <w:r w:rsidR="000F4714">
        <w:t>are</w:t>
      </w:r>
      <w:r>
        <w:t xml:space="preserve"> transmitted based on the selected interval of time.</w:t>
      </w:r>
    </w:p>
    <w:p w14:paraId="16624469" w14:textId="318239BD" w:rsidR="00B74A57" w:rsidRDefault="005E7A89" w:rsidP="006D5A65">
      <w:pPr>
        <w:pStyle w:val="Heading2"/>
      </w:pPr>
      <w:r w:rsidRPr="005E7A89">
        <w:lastRenderedPageBreak/>
        <w:t xml:space="preserve">The </w:t>
      </w:r>
      <w:r>
        <w:t xml:space="preserve">H&amp;S after FPPWP and Periodic H&amp;S require that Scheduled H&amp;S be enabled </w:t>
      </w:r>
      <w:r w:rsidRPr="0070677D">
        <w:t xml:space="preserve">warning is displayed </w:t>
      </w:r>
      <w:r>
        <w:t xml:space="preserve">if </w:t>
      </w:r>
      <w:r w:rsidRPr="0070677D">
        <w:t>H&amp;S after FPPWP</w:t>
      </w:r>
      <w:r>
        <w:t xml:space="preserve"> is selected or </w:t>
      </w:r>
      <w:r w:rsidRPr="0070677D">
        <w:t>Periodic H&amp;S Frequency</w:t>
      </w:r>
      <w:r>
        <w:t xml:space="preserve"> is set to a numeric value and the </w:t>
      </w:r>
      <w:r w:rsidRPr="0070677D">
        <w:t>Scheduled H&amp;S Enablement</w:t>
      </w:r>
      <w:r>
        <w:t xml:space="preserve"> is not selected. To clear the message, ensure that the </w:t>
      </w:r>
      <w:r w:rsidRPr="0070677D">
        <w:t>Scheduled H&amp;S</w:t>
      </w:r>
      <w:r>
        <w:t xml:space="preserve"> enablement is selected. </w:t>
      </w:r>
    </w:p>
    <w:p w14:paraId="52E731B5" w14:textId="77777777" w:rsidR="00B74A57" w:rsidRDefault="00B74A57" w:rsidP="006D5A65">
      <w:pPr>
        <w:pStyle w:val="Heading1"/>
      </w:pPr>
      <w:r>
        <w:t xml:space="preserve">Missile Reporting State </w:t>
      </w:r>
    </w:p>
    <w:p w14:paraId="0A6AC420" w14:textId="77777777" w:rsidR="00B74A57" w:rsidRPr="0058307F" w:rsidRDefault="00B74A57" w:rsidP="006D5A65">
      <w:pPr>
        <w:pStyle w:val="Heading2"/>
      </w:pPr>
      <w:r w:rsidRPr="0058307F">
        <w:t>Enablements</w:t>
      </w:r>
      <w:r>
        <w:t>:</w:t>
      </w:r>
    </w:p>
    <w:p w14:paraId="3CF2AB29" w14:textId="77777777" w:rsidR="00B74A57" w:rsidRDefault="00B74A57" w:rsidP="006D5A65">
      <w:pPr>
        <w:pStyle w:val="Heading2"/>
      </w:pPr>
      <w:r>
        <w:t>Scheduled H&amp;S – When checked, missile will transmit scheduled H&amp;S messages based on the selected options in Schedule Planning. If not checked, then there will be no scheduled H&amp;S messages no matter what options have been selected in Schedule Planning.</w:t>
      </w:r>
    </w:p>
    <w:p w14:paraId="449D0BD3" w14:textId="77777777" w:rsidR="00B74A57" w:rsidRDefault="00B74A57" w:rsidP="006D5A65">
      <w:pPr>
        <w:pStyle w:val="Heading2"/>
      </w:pPr>
      <w:r>
        <w:t>BDI – When checked, missile will transmit a BDI message just before impact at the target.</w:t>
      </w:r>
    </w:p>
    <w:p w14:paraId="57DB85E0" w14:textId="77777777" w:rsidR="00B74A57" w:rsidRDefault="00B74A57" w:rsidP="006D5A65">
      <w:pPr>
        <w:pStyle w:val="Heading2"/>
      </w:pPr>
      <w:r>
        <w:t xml:space="preserve">Disable PST – </w:t>
      </w:r>
      <w:r w:rsidRPr="00A94D2B">
        <w:t xml:space="preserve">When checked, </w:t>
      </w:r>
      <w:r>
        <w:t>missile’s PST will be disabled</w:t>
      </w:r>
      <w:r w:rsidRPr="00A94D2B">
        <w:t>.</w:t>
      </w:r>
    </w:p>
    <w:p w14:paraId="1BABD59E" w14:textId="77777777" w:rsidR="00B74A57" w:rsidRDefault="00B74A57" w:rsidP="006D5A65">
      <w:pPr>
        <w:pStyle w:val="Heading2"/>
      </w:pPr>
      <w:r>
        <w:t>Terminal H&amp;S (MST Only) – When checked, missile will send H&amp;S before striking target.</w:t>
      </w:r>
    </w:p>
    <w:p w14:paraId="2A2ECFD0" w14:textId="77777777" w:rsidR="00B74A57" w:rsidRPr="00AB0A84" w:rsidRDefault="00B74A57" w:rsidP="006D5A65">
      <w:pPr>
        <w:pStyle w:val="Heading2"/>
      </w:pPr>
      <w:r>
        <w:t>Event Reporting:</w:t>
      </w:r>
    </w:p>
    <w:p w14:paraId="60E727FE" w14:textId="77777777" w:rsidR="00B74A57" w:rsidRDefault="00B74A57" w:rsidP="006D5A65">
      <w:pPr>
        <w:pStyle w:val="Heading2"/>
      </w:pPr>
      <w:r>
        <w:t>Cruise Transition – When checked, an H&amp;S message is sent when the missile has successfully transitioned to cruise.</w:t>
      </w:r>
    </w:p>
    <w:p w14:paraId="1EF6156A" w14:textId="77777777" w:rsidR="00B74A57" w:rsidRDefault="00B74A57" w:rsidP="006D5A65">
      <w:pPr>
        <w:pStyle w:val="Heading2"/>
      </w:pPr>
      <w:r w:rsidRPr="008625D0">
        <w:t>Planned Turn Complete</w:t>
      </w:r>
      <w:r>
        <w:t xml:space="preserve"> – When checked, an H&amp;S message is sent when the missile has completed a planned turn at a waypoint.</w:t>
      </w:r>
    </w:p>
    <w:p w14:paraId="61A04AB0" w14:textId="77777777" w:rsidR="00B74A57" w:rsidRDefault="00B74A57" w:rsidP="006D5A65">
      <w:pPr>
        <w:pStyle w:val="Heading2"/>
      </w:pPr>
      <w:r>
        <w:t>Branch Change – When checked, an H&amp;S message is sent when the missile has completed a branch change.</w:t>
      </w:r>
    </w:p>
    <w:p w14:paraId="5D5E3134" w14:textId="77777777" w:rsidR="00B74A57" w:rsidRDefault="00B74A57" w:rsidP="006D5A65">
      <w:pPr>
        <w:pStyle w:val="Heading2"/>
      </w:pPr>
      <w:r>
        <w:t>GPS High Power Ceased – When checked, an H&amp;S message is sent when the missile has detected the cessation of GPS high power jamming.</w:t>
      </w:r>
    </w:p>
    <w:p w14:paraId="01928DFB" w14:textId="77777777" w:rsidR="00B74A57" w:rsidRDefault="00B74A57" w:rsidP="006D5A65">
      <w:pPr>
        <w:pStyle w:val="Heading2"/>
      </w:pPr>
      <w:r>
        <w:t>Intercept State Change (MST Only) – When checked, an H&amp;S message is sent when the missile has an Intercept state change.</w:t>
      </w:r>
    </w:p>
    <w:p w14:paraId="6E5D93D9" w14:textId="77777777" w:rsidR="00B74A57" w:rsidRDefault="00B74A57" w:rsidP="006D5A65">
      <w:pPr>
        <w:pStyle w:val="Heading2"/>
      </w:pPr>
      <w:r>
        <w:t>Problems</w:t>
      </w:r>
      <w:r w:rsidRPr="0058307F">
        <w:t>:</w:t>
      </w:r>
    </w:p>
    <w:p w14:paraId="16FDD87B" w14:textId="77777777" w:rsidR="00B74A57" w:rsidRDefault="00B74A57" w:rsidP="006D5A65">
      <w:pPr>
        <w:pStyle w:val="Heading2"/>
      </w:pPr>
      <w:r>
        <w:lastRenderedPageBreak/>
        <w:t>GPS High Power – When checked, whenever the missile has detected a problem such as GPS high power jamming, an H&amp;S message will be sent indicating the problem encountered.</w:t>
      </w:r>
    </w:p>
    <w:p w14:paraId="2366B43D" w14:textId="77777777" w:rsidR="00B74A57" w:rsidRDefault="00B74A57" w:rsidP="006D5A65">
      <w:pPr>
        <w:pStyle w:val="Heading2"/>
      </w:pPr>
      <w:r>
        <w:t xml:space="preserve">Invalid Branch Change/Retarget – When checked, an H&amp;S message is sent when the missile has received an IMMM specifying either an invalid branch number or invalid earliest action point of departure or that the missile has flown past the specified branch number or the earliest action point of departure. </w:t>
      </w:r>
    </w:p>
    <w:p w14:paraId="361D3B90" w14:textId="77777777" w:rsidR="00B74A57" w:rsidRDefault="00B74A57" w:rsidP="006D5A65">
      <w:pPr>
        <w:pStyle w:val="Heading2"/>
      </w:pPr>
      <w:r w:rsidRPr="00276C65">
        <w:t>PST Failure</w:t>
      </w:r>
      <w:r>
        <w:t xml:space="preserve"> – When checked, an H&amp;S message is sent when the missile has detected a problem such as PST Failure.</w:t>
      </w:r>
    </w:p>
    <w:p w14:paraId="56815D87" w14:textId="77777777" w:rsidR="002F4EE3" w:rsidRDefault="00B74A57" w:rsidP="006D5A65">
      <w:pPr>
        <w:pStyle w:val="Heading2"/>
      </w:pPr>
      <w:r>
        <w:t>GPS Not Providing Updates – When checked, an H&amp;S message is sent when the missile has detected insufficient GPS updates.</w:t>
      </w:r>
    </w:p>
    <w:p w14:paraId="24750015" w14:textId="660A0E7A" w:rsidR="005D15C0" w:rsidRPr="00863A30" w:rsidRDefault="002F4EE3" w:rsidP="006D5A65">
      <w:pPr>
        <w:pStyle w:val="Heading2"/>
      </w:pPr>
      <w:r w:rsidRPr="00863A30">
        <w:t>JMEWS Fuze Fail (109M Only) – When checked, an H&amp;S message is sent when the 109M missile has detected a Fuze Failure.</w:t>
      </w:r>
    </w:p>
    <w:p w14:paraId="3790F1D5" w14:textId="77777777" w:rsidR="005D15C0" w:rsidRPr="00863A30" w:rsidRDefault="005D15C0" w:rsidP="005D15C0">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863A30">
        <w:rPr>
          <w:b/>
          <w:szCs w:val="24"/>
        </w:rPr>
        <w:t>Note:</w:t>
      </w:r>
    </w:p>
    <w:p w14:paraId="4E9A47CD" w14:textId="77777777" w:rsidR="005D15C0" w:rsidRPr="00BB4EBE" w:rsidRDefault="005D15C0" w:rsidP="005D15C0">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863A30">
        <w:rPr>
          <w:b/>
          <w:szCs w:val="24"/>
        </w:rPr>
        <w:t>JMEWS Fuze Fail checkbox will be disabled and unchecked in TMPC 7.0.3 systems. TMPC 7.0.3 will be able to receive H&amp;S messages containing Fuze Fail status.</w:t>
      </w:r>
    </w:p>
    <w:p w14:paraId="73579767" w14:textId="71ED9F7E" w:rsidR="005D15C0" w:rsidRDefault="00B74A57" w:rsidP="006D5A65">
      <w:pPr>
        <w:pStyle w:val="Heading2"/>
      </w:pPr>
      <w:r w:rsidRPr="00863A30">
        <w:t>Seeker Failure (MST Only) – When checked, an H&amp;S message is sent when the missile has detected a Seeker Failure.</w:t>
      </w:r>
    </w:p>
    <w:p w14:paraId="418486B2" w14:textId="19051D37" w:rsidR="005D15C0" w:rsidRPr="00863A30" w:rsidRDefault="005D15C0" w:rsidP="006D5A65">
      <w:pPr>
        <w:pStyle w:val="Heading2"/>
      </w:pPr>
      <w:r>
        <w:t>Invalid Outcome (MST Only) – When checked, an H&amp;S message is sent when the missile has received an invalid IMMM PTNT or Target Reassignment.</w:t>
      </w:r>
    </w:p>
    <w:p w14:paraId="03636D96" w14:textId="2878B105" w:rsidR="00B74A57" w:rsidRDefault="00B74A57" w:rsidP="0043211C">
      <w:pPr>
        <w:rPr>
          <w:b/>
        </w:rPr>
      </w:pPr>
      <w:r>
        <w:rPr>
          <w:b/>
        </w:rPr>
        <w:t xml:space="preserve">BIT Test Failures – </w:t>
      </w:r>
      <w:r>
        <w:t>Specifies which component(s) failures are to be reported.</w:t>
      </w:r>
    </w:p>
    <w:p w14:paraId="186FBC68" w14:textId="77777777" w:rsidR="00B74A57" w:rsidRDefault="00B74A57" w:rsidP="006D5A65">
      <w:pPr>
        <w:pStyle w:val="Heading2"/>
      </w:pPr>
      <w:r>
        <w:t>Guidance Processor – When checked, an H&amp;S message is sent when there is BIT Test failure for Guidance Processor during missile flight.</w:t>
      </w:r>
    </w:p>
    <w:p w14:paraId="119B9C01" w14:textId="77777777" w:rsidR="00B74A57" w:rsidRDefault="00B74A57" w:rsidP="006D5A65">
      <w:pPr>
        <w:pStyle w:val="Heading2"/>
      </w:pPr>
      <w:r>
        <w:t>AGR – When checked, an H&amp;S message is sent when there is BIT Test failure for AGR during missile flight.</w:t>
      </w:r>
    </w:p>
    <w:p w14:paraId="19BC8B03" w14:textId="77777777" w:rsidR="00B74A57" w:rsidRDefault="00B74A57" w:rsidP="006D5A65">
      <w:pPr>
        <w:pStyle w:val="Heading2"/>
      </w:pPr>
      <w:r>
        <w:t>IMU – When checked, an H&amp;S message is sent when there is BIT Test failure for IMU during missile flight.</w:t>
      </w:r>
    </w:p>
    <w:p w14:paraId="712DB1DA" w14:textId="77777777" w:rsidR="00B74A57" w:rsidRDefault="00B74A57" w:rsidP="006D5A65">
      <w:pPr>
        <w:pStyle w:val="Heading2"/>
      </w:pPr>
      <w:r>
        <w:lastRenderedPageBreak/>
        <w:t>Air Data Module – When checked, an H&amp;S message is sent when there is BIT Test failure for Air Data Module during missile flight.</w:t>
      </w:r>
    </w:p>
    <w:p w14:paraId="010CE824" w14:textId="77777777" w:rsidR="00B74A57" w:rsidRDefault="00B74A57" w:rsidP="006D5A65">
      <w:pPr>
        <w:pStyle w:val="Heading2"/>
      </w:pPr>
      <w:r>
        <w:t>Radar Altimeter – When checked, an H&amp;S message is sent when there is BIT Test failure for Radar Altimeter during missile flight.</w:t>
      </w:r>
    </w:p>
    <w:p w14:paraId="67326EF0" w14:textId="2F60C3BF" w:rsidR="00B74A57" w:rsidRDefault="005D15C0" w:rsidP="006D5A65">
      <w:pPr>
        <w:pStyle w:val="Heading1"/>
      </w:pPr>
      <w:r>
        <w:t>MST Target State IMMM Setting</w:t>
      </w:r>
      <w:r w:rsidR="00B74A57">
        <w:t xml:space="preserve"> – Specifies whether a warning event is created if target updates are not received within the specified time.</w:t>
      </w:r>
    </w:p>
    <w:p w14:paraId="2ADD8FF0" w14:textId="77777777" w:rsidR="005D15C0" w:rsidRDefault="005D15C0" w:rsidP="006D5A65">
      <w:pPr>
        <w:pStyle w:val="Heading2"/>
      </w:pPr>
      <w:r w:rsidRPr="005D15C0">
        <w:t xml:space="preserve">IMMM Transmission Interval (Seconds) </w:t>
      </w:r>
      <w:r w:rsidRPr="0043211C">
        <w:t xml:space="preserve">– The interval in seconds in which Automatic IMMM updates are transmitted. The default </w:t>
      </w:r>
      <w:r w:rsidRPr="005D15C0">
        <w:t xml:space="preserve">0 </w:t>
      </w:r>
      <w:r w:rsidRPr="0043211C">
        <w:t>causes IMMM messages to be sent immediately.</w:t>
      </w:r>
    </w:p>
    <w:p w14:paraId="2958161F" w14:textId="18C00B6E" w:rsidR="005D15C0" w:rsidRPr="005D15C0" w:rsidRDefault="005D15C0" w:rsidP="006D5A65">
      <w:pPr>
        <w:pStyle w:val="Heading2"/>
      </w:pPr>
      <w:r w:rsidRPr="005D15C0">
        <w:t>H&amp;S on Target State IMMM – Requests an H&amp;S when the target track’s state is updated.</w:t>
      </w:r>
    </w:p>
    <w:p w14:paraId="14D6E06E" w14:textId="2E424C42" w:rsidR="00B74A57" w:rsidRDefault="00B74A57" w:rsidP="006D5A65">
      <w:pPr>
        <w:pStyle w:val="Heading2"/>
      </w:pPr>
      <w:r>
        <w:t>Send Target</w:t>
      </w:r>
      <w:r w:rsidR="005D15C0">
        <w:t xml:space="preserve"> State IMMM</w:t>
      </w:r>
      <w:r>
        <w:t xml:space="preserve"> Not Received Warning – When checked, a warning event is created when there is no target update received during the duration.</w:t>
      </w:r>
    </w:p>
    <w:p w14:paraId="405C3503" w14:textId="1621C313" w:rsidR="00D03B1E" w:rsidRPr="001414FB" w:rsidRDefault="00B74A57" w:rsidP="006D5A65">
      <w:pPr>
        <w:pStyle w:val="Heading2"/>
      </w:pPr>
      <w:r w:rsidRPr="001414FB">
        <w:t xml:space="preserve">Duration (Seconds) Before Warning – </w:t>
      </w:r>
      <w:r>
        <w:t>Duration in seconds before which a warning is displayed.</w:t>
      </w:r>
    </w:p>
    <w:p w14:paraId="2C6A81F1" w14:textId="4D87E902" w:rsidR="003C520D" w:rsidRPr="000665B0" w:rsidRDefault="00D03B1E" w:rsidP="009570CA">
      <w:pPr>
        <w:pStyle w:val="Heading7"/>
      </w:pPr>
      <w:bookmarkStart w:id="6186" w:name="_TSN_Comms_Tab_1"/>
      <w:bookmarkEnd w:id="6186"/>
      <w:r w:rsidRPr="000665B0">
        <w:t>TSN Comms</w:t>
      </w:r>
      <w:r w:rsidR="00581493" w:rsidRPr="000665B0">
        <w:t xml:space="preserve"> </w:t>
      </w:r>
      <w:r w:rsidR="003C520D" w:rsidRPr="000665B0">
        <w:t>Tab</w:t>
      </w:r>
    </w:p>
    <w:p w14:paraId="0D07C9D4" w14:textId="4175F857" w:rsidR="00D03B1E" w:rsidRDefault="00992A60" w:rsidP="009570CA">
      <w:r w:rsidRPr="000665B0">
        <w:t>Sets the default TSN Comms Parameter</w:t>
      </w:r>
      <w:r w:rsidR="00F12B54" w:rsidRPr="000665B0">
        <w:t>s</w:t>
      </w:r>
      <w:r w:rsidRPr="000665B0">
        <w:t xml:space="preserve"> for the new Strike Options. </w:t>
      </w:r>
      <w:r w:rsidR="00F12B54" w:rsidRPr="000665B0">
        <w:t>The ACA network utilizes different communications protocol and satellite, and therefore, the settings are different than the DAMA TSN Comms Parameter settings.</w:t>
      </w:r>
      <w:r w:rsidR="00997A92" w:rsidRPr="000665B0">
        <w:t xml:space="preserve"> When the first ACA missile assignment is made for an option, the option will be populated with these values.</w:t>
      </w:r>
    </w:p>
    <w:p w14:paraId="65C4E6FD" w14:textId="45E45192" w:rsidR="001F3F24" w:rsidRPr="000665B0" w:rsidRDefault="001F3F24" w:rsidP="009570CA">
      <w:pPr>
        <w:jc w:val="center"/>
      </w:pPr>
      <w:r>
        <w:rPr>
          <w:noProof/>
        </w:rPr>
        <w:lastRenderedPageBreak/>
        <w:drawing>
          <wp:inline distT="0" distB="0" distL="0" distR="0" wp14:anchorId="631A3703" wp14:editId="25924DA1">
            <wp:extent cx="3914688" cy="2809875"/>
            <wp:effectExtent l="0" t="0" r="0" b="0"/>
            <wp:docPr id="2318" name="Picture 23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359" descr="Graphical user interface, text, application&#10;&#10;Description automatically generated"/>
                    <pic:cNvPicPr/>
                  </pic:nvPicPr>
                  <pic:blipFill>
                    <a:blip/>
                    <a:stretch>
                      <a:fillRect/>
                    </a:stretch>
                  </pic:blipFill>
                  <pic:spPr>
                    <a:xfrm>
                      <a:off x="0" y="0"/>
                      <a:ext cx="3922716" cy="2815637"/>
                    </a:xfrm>
                    <a:prstGeom prst="rect">
                      <a:avLst/>
                    </a:prstGeom>
                  </pic:spPr>
                </pic:pic>
              </a:graphicData>
            </a:graphic>
          </wp:inline>
        </w:drawing>
      </w:r>
    </w:p>
    <w:p w14:paraId="76BF8FE5" w14:textId="77777777" w:rsidR="00252E99" w:rsidRPr="000665B0" w:rsidRDefault="00252E99" w:rsidP="009570CA">
      <w:pPr>
        <w:rPr>
          <w:b/>
        </w:rPr>
      </w:pPr>
      <w:r w:rsidRPr="000665B0">
        <w:rPr>
          <w:b/>
        </w:rPr>
        <w:t>Frequency Lookups</w:t>
      </w:r>
    </w:p>
    <w:p w14:paraId="069BD0CF" w14:textId="3495ED16" w:rsidR="00B7089F" w:rsidRPr="000665B0" w:rsidRDefault="00B7089F" w:rsidP="009570CA">
      <w:r w:rsidRPr="000665B0">
        <w:t xml:space="preserve">Frequency </w:t>
      </w:r>
      <w:r w:rsidR="00DE6ACD" w:rsidRPr="000665B0">
        <w:t xml:space="preserve">Lookup </w:t>
      </w:r>
      <w:r w:rsidRPr="000665B0">
        <w:t xml:space="preserve">and Power Level default preferences must be entirely blank or completely filled out with valid values. </w:t>
      </w:r>
      <w:r w:rsidR="004A4DCC" w:rsidRPr="000665B0">
        <w:t xml:space="preserve">The valid range for Frequency </w:t>
      </w:r>
      <w:r w:rsidR="00DE6ACD" w:rsidRPr="000665B0">
        <w:t xml:space="preserve">Lookup </w:t>
      </w:r>
      <w:r w:rsidR="004A4DCC" w:rsidRPr="000665B0">
        <w:t>is 0-</w:t>
      </w:r>
      <w:r w:rsidR="00C5129B" w:rsidRPr="000665B0">
        <w:t xml:space="preserve">4095 </w:t>
      </w:r>
      <w:r w:rsidR="004A4DCC" w:rsidRPr="000665B0">
        <w:t>inclusive, and the valid range for Power Level is 0-20 inclusive.</w:t>
      </w:r>
    </w:p>
    <w:p w14:paraId="2A4B7DA9" w14:textId="11EB7A49" w:rsidR="009B1FEB" w:rsidRPr="000665B0" w:rsidRDefault="009B1FEB" w:rsidP="00A0163E">
      <w:pPr>
        <w:pStyle w:val="BodyText"/>
        <w:spacing w:after="120"/>
        <w:rPr>
          <w:rFonts w:ascii="Calibri" w:eastAsia="Calibri" w:hAnsi="Calibri"/>
          <w:b/>
          <w:szCs w:val="24"/>
        </w:rPr>
      </w:pPr>
      <w:r w:rsidRPr="000665B0">
        <w:rPr>
          <w:rFonts w:eastAsia="Calibri"/>
          <w:b/>
          <w:szCs w:val="24"/>
        </w:rPr>
        <w:t>Crypto Keys</w:t>
      </w:r>
    </w:p>
    <w:p w14:paraId="528A1780" w14:textId="51570402" w:rsidR="009B1FEB" w:rsidRPr="000665B0" w:rsidRDefault="009B1FEB" w:rsidP="006D5A65">
      <w:pPr>
        <w:pStyle w:val="Heading1"/>
      </w:pPr>
      <w:r w:rsidRPr="000665B0">
        <w:t>ACA Receive Key Encryption Key (KEK)</w:t>
      </w:r>
    </w:p>
    <w:p w14:paraId="16B45F85" w14:textId="77777777" w:rsidR="009B1FEB" w:rsidRPr="000665B0" w:rsidRDefault="009B1FEB" w:rsidP="006D5A65">
      <w:pPr>
        <w:pStyle w:val="Heading1"/>
      </w:pPr>
      <w:r w:rsidRPr="000665B0">
        <w:t>ACA Transmit KEK</w:t>
      </w:r>
    </w:p>
    <w:p w14:paraId="20C138E0" w14:textId="16E1B63E" w:rsidR="009B1FEB" w:rsidRPr="000665B0" w:rsidRDefault="009B1FEB" w:rsidP="006D5A65">
      <w:pPr>
        <w:pStyle w:val="Heading1"/>
      </w:pPr>
      <w:r w:rsidRPr="000665B0">
        <w:t>ACA Receive Transmission Encryption Key (TEK)</w:t>
      </w:r>
    </w:p>
    <w:p w14:paraId="2FAFAEC3" w14:textId="54A39721" w:rsidR="009B1FEB" w:rsidRPr="000665B0" w:rsidRDefault="009B1FEB" w:rsidP="006D5A65">
      <w:pPr>
        <w:pStyle w:val="Heading1"/>
      </w:pPr>
      <w:r w:rsidRPr="000665B0">
        <w:t>ACA Transmit TEK</w:t>
      </w:r>
      <w:r w:rsidR="00462502" w:rsidRPr="000665B0">
        <w:t>.</w:t>
      </w:r>
    </w:p>
    <w:p w14:paraId="108DC857" w14:textId="1E9A83C9" w:rsidR="009B1FEB" w:rsidRPr="000665B0" w:rsidRDefault="009B1FEB" w:rsidP="006D5A65">
      <w:pPr>
        <w:pStyle w:val="Heading1"/>
      </w:pPr>
      <w:r w:rsidRPr="000665B0">
        <w:t>TRANSEC</w:t>
      </w:r>
      <w:r w:rsidR="00D10BE7" w:rsidRPr="000665B0">
        <w:t>.</w:t>
      </w:r>
    </w:p>
    <w:p w14:paraId="0D3A2BC7" w14:textId="11E1A6BF" w:rsidR="0089054E" w:rsidRPr="000665B0" w:rsidRDefault="000C677D" w:rsidP="00306174">
      <w:pPr>
        <w:pStyle w:val="Heading6"/>
      </w:pPr>
      <w:bookmarkStart w:id="6187" w:name="_Execution_Tab"/>
      <w:bookmarkStart w:id="6188" w:name="_Execution__Tab"/>
      <w:bookmarkEnd w:id="6187"/>
      <w:bookmarkEnd w:id="6188"/>
      <w:r w:rsidRPr="000665B0">
        <w:t>Execution</w:t>
      </w:r>
      <w:r w:rsidR="0089054E" w:rsidRPr="000665B0">
        <w:t xml:space="preserve"> Tab</w:t>
      </w:r>
    </w:p>
    <w:p w14:paraId="0BAE303C" w14:textId="7B52983A" w:rsidR="000C677D" w:rsidRDefault="000C677D" w:rsidP="009570CA">
      <w:r w:rsidRPr="000665B0">
        <w:t xml:space="preserve">Sets the SMD settings which are used by Strikes with 109E missiles. These settings become the default values for each Strike Option’s </w:t>
      </w:r>
      <w:r w:rsidRPr="000665B0">
        <w:rPr>
          <w:b/>
          <w:i/>
        </w:rPr>
        <w:t>TSN Comms</w:t>
      </w:r>
      <w:r w:rsidRPr="000665B0">
        <w:t xml:space="preserve"> tab.</w:t>
      </w:r>
    </w:p>
    <w:p w14:paraId="6FBD31CB" w14:textId="36BB8AA2" w:rsidR="00035C8F" w:rsidRDefault="00035C8F" w:rsidP="009570CA">
      <w:pPr>
        <w:jc w:val="center"/>
      </w:pPr>
      <w:r>
        <w:rPr>
          <w:noProof/>
        </w:rPr>
        <w:lastRenderedPageBreak/>
        <w:drawing>
          <wp:inline distT="0" distB="0" distL="0" distR="0" wp14:anchorId="51DA0333" wp14:editId="69EE53B9">
            <wp:extent cx="4114800" cy="2953512"/>
            <wp:effectExtent l="0" t="0" r="0" b="0"/>
            <wp:docPr id="1345569912"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69912" name="Picture 1" descr="Graphical user interface, application&#10;&#10;Description automatically generated"/>
                    <pic:cNvPicPr>
                      <a:picLocks noChangeAspect="1"/>
                    </pic:cNvPicPr>
                  </pic:nvPicPr>
                  <pic:blipFill>
                    <a:blip/>
                    <a:stretch>
                      <a:fillRect/>
                    </a:stretch>
                  </pic:blipFill>
                  <pic:spPr>
                    <a:xfrm>
                      <a:off x="0" y="0"/>
                      <a:ext cx="4114800" cy="2953512"/>
                    </a:xfrm>
                    <a:prstGeom prst="rect">
                      <a:avLst/>
                    </a:prstGeom>
                  </pic:spPr>
                </pic:pic>
              </a:graphicData>
            </a:graphic>
          </wp:inline>
        </w:drawing>
      </w:r>
    </w:p>
    <w:p w14:paraId="42C525D2" w14:textId="52244239" w:rsidR="001F2A39" w:rsidRPr="000665B0" w:rsidRDefault="001F2A39" w:rsidP="006D5A65">
      <w:pPr>
        <w:pStyle w:val="Heading1"/>
      </w:pPr>
      <w:r w:rsidRPr="000665B0">
        <w:t xml:space="preserve">General – </w:t>
      </w:r>
      <w:r w:rsidR="004A4DCC" w:rsidRPr="000665B0">
        <w:t>Defines options specific to the ACA network.</w:t>
      </w:r>
    </w:p>
    <w:p w14:paraId="2048CA79" w14:textId="59D31336" w:rsidR="001F2A39" w:rsidRPr="00766A96" w:rsidRDefault="001F2A39" w:rsidP="006D5A65">
      <w:pPr>
        <w:pStyle w:val="Heading2"/>
      </w:pPr>
      <w:r w:rsidRPr="000665B0">
        <w:t xml:space="preserve">Auto Send ACA Filter Messages – </w:t>
      </w:r>
      <w:r w:rsidR="004A4DCC" w:rsidRPr="000665B0">
        <w:t xml:space="preserve">When checked, an ACA Filter Message will automatically be sent to the Network Service Provider (NSP) 72 hours </w:t>
      </w:r>
      <w:r w:rsidR="00EE17B7" w:rsidRPr="000665B0">
        <w:t>before the</w:t>
      </w:r>
      <w:r w:rsidR="004A4DCC" w:rsidRPr="000665B0">
        <w:t xml:space="preserve"> strike execution time. </w:t>
      </w:r>
      <w:r w:rsidR="0039006A" w:rsidRPr="000665B0">
        <w:t xml:space="preserve">The </w:t>
      </w:r>
      <w:r w:rsidR="004A4DCC" w:rsidRPr="000665B0">
        <w:t>ACA Filter Message is used to coordinate ACA services for a geographic area and time period in support of a Strike Package. It specifies the strike execution start and stop time, and the geographic boundary of all strike planning elements such as FRUs, missions, etc. The NSP will determine whether the specified conditions are supportable by the ACA network or not.</w:t>
      </w:r>
    </w:p>
    <w:p w14:paraId="1194D9E3" w14:textId="210A1B89" w:rsidR="00766A96" w:rsidRPr="00C36B36" w:rsidRDefault="00766A96" w:rsidP="006D5A65">
      <w:pPr>
        <w:pStyle w:val="Heading2"/>
      </w:pPr>
      <w:r>
        <w:t>Auto Display Incoming Maritime Strikes</w:t>
      </w:r>
      <w:r w:rsidRPr="00766A96">
        <w:t xml:space="preserve"> – When checked, new incoming MST strike options are automatically loaded and displayed on the SMD’s Geo display, Gantt Chart, and MST Control Panel. When not checked, new MST strikes must be manually checked in the Options list view (see </w:t>
      </w:r>
      <w:hyperlink w:anchor="_5.38.3.1.6__Options" w:history="1">
        <w:r w:rsidRPr="00766A96">
          <w:rPr>
            <w:rStyle w:val="Hyperlink"/>
          </w:rPr>
          <w:t xml:space="preserve">Section </w:t>
        </w:r>
        <w:r w:rsidR="004231CC">
          <w:rPr>
            <w:rStyle w:val="Hyperlink"/>
          </w:rPr>
          <w:t>5.35</w:t>
        </w:r>
        <w:r w:rsidRPr="00766A96">
          <w:rPr>
            <w:rStyle w:val="Hyperlink"/>
          </w:rPr>
          <w:t>.</w:t>
        </w:r>
        <w:r w:rsidR="00DB5BC9">
          <w:rPr>
            <w:rStyle w:val="Hyperlink"/>
          </w:rPr>
          <w:t>3.1.</w:t>
        </w:r>
        <w:r w:rsidRPr="00766A96">
          <w:rPr>
            <w:rStyle w:val="Hyperlink"/>
          </w:rPr>
          <w:t>7</w:t>
        </w:r>
      </w:hyperlink>
      <w:r w:rsidRPr="00766A96">
        <w:t>) to display them.</w:t>
      </w:r>
    </w:p>
    <w:p w14:paraId="5B193C48" w14:textId="5ACD2661" w:rsidR="009F5F33" w:rsidRPr="00C36B36" w:rsidRDefault="000E7CB4" w:rsidP="006D5A65">
      <w:pPr>
        <w:pStyle w:val="Heading2"/>
      </w:pPr>
      <w:r>
        <w:t>Au</w:t>
      </w:r>
      <w:r w:rsidR="009F5F33">
        <w:t>to-Transition for Incoming Tactical Maritime Strikes – When checked, incoming tactical maritime data (a SEP or H&amp;S message) will cause the current</w:t>
      </w:r>
      <w:r w:rsidR="0081535A">
        <w:t xml:space="preserve"> training</w:t>
      </w:r>
      <w:r w:rsidR="009F5F33">
        <w:t xml:space="preserve"> exercise to end and a new tactical strike execution to begin. The default is to have this behavior turned on.</w:t>
      </w:r>
    </w:p>
    <w:p w14:paraId="7DF706B5" w14:textId="77777777" w:rsidR="0081535A" w:rsidRPr="00C36B36" w:rsidRDefault="0081535A" w:rsidP="00A0163E">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right="86"/>
        <w:jc w:val="center"/>
        <w:rPr>
          <w:b/>
          <w:szCs w:val="24"/>
        </w:rPr>
      </w:pPr>
      <w:r w:rsidRPr="00C36B36">
        <w:rPr>
          <w:b/>
          <w:szCs w:val="24"/>
        </w:rPr>
        <w:lastRenderedPageBreak/>
        <w:t>Note:</w:t>
      </w:r>
    </w:p>
    <w:p w14:paraId="08C948DD" w14:textId="77777777" w:rsidR="0081535A" w:rsidRPr="00C36B36" w:rsidRDefault="0081535A" w:rsidP="00A0163E">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right="86"/>
        <w:jc w:val="center"/>
        <w:rPr>
          <w:b/>
          <w:bCs/>
          <w:szCs w:val="24"/>
        </w:rPr>
      </w:pPr>
      <w:r w:rsidRPr="00C36B36">
        <w:rPr>
          <w:b/>
          <w:bCs/>
          <w:szCs w:val="24"/>
        </w:rPr>
        <w:t xml:space="preserve">The Transition to Tactical capability occurs when a Tactical SEP is received during a training exercise.  </w:t>
      </w:r>
    </w:p>
    <w:p w14:paraId="2CFD0A8C" w14:textId="77777777" w:rsidR="0081535A" w:rsidRPr="00C36B36" w:rsidRDefault="0081535A" w:rsidP="00A0163E">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right="86"/>
        <w:rPr>
          <w:b/>
          <w:bCs/>
          <w:szCs w:val="24"/>
        </w:rPr>
      </w:pPr>
    </w:p>
    <w:p w14:paraId="028A628C" w14:textId="70E2C364" w:rsidR="0081535A" w:rsidRPr="00C36B36" w:rsidRDefault="0081535A" w:rsidP="00A0163E">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right="86"/>
        <w:jc w:val="center"/>
        <w:rPr>
          <w:b/>
          <w:bCs/>
          <w:szCs w:val="24"/>
        </w:rPr>
      </w:pPr>
      <w:r w:rsidRPr="00C36B36">
        <w:rPr>
          <w:b/>
          <w:bCs/>
          <w:szCs w:val="24"/>
        </w:rPr>
        <w:t xml:space="preserve">Training exercises use a Training type SEF or they </w:t>
      </w:r>
      <w:r w:rsidRPr="00C36B36">
        <w:rPr>
          <w:b/>
          <w:bCs/>
          <w:i/>
          <w:iCs/>
          <w:szCs w:val="24"/>
        </w:rPr>
        <w:t xml:space="preserve">Rehearse </w:t>
      </w:r>
      <w:r w:rsidRPr="00C36B36">
        <w:rPr>
          <w:b/>
          <w:bCs/>
          <w:szCs w:val="24"/>
        </w:rPr>
        <w:t xml:space="preserve">a Tactical type SEF. See </w:t>
      </w:r>
      <w:hyperlink w:anchor="_Activate_a_Strike" w:history="1">
        <w:r w:rsidRPr="00C36B36">
          <w:rPr>
            <w:rStyle w:val="Hyperlink"/>
            <w:b/>
            <w:bCs/>
            <w:szCs w:val="24"/>
          </w:rPr>
          <w:t xml:space="preserve">Section </w:t>
        </w:r>
        <w:r w:rsidR="004231CC">
          <w:rPr>
            <w:rStyle w:val="Hyperlink"/>
            <w:b/>
            <w:bCs/>
            <w:szCs w:val="24"/>
          </w:rPr>
          <w:t>5.35</w:t>
        </w:r>
        <w:r w:rsidRPr="00C36B36">
          <w:rPr>
            <w:rStyle w:val="Hyperlink"/>
            <w:b/>
            <w:bCs/>
            <w:szCs w:val="24"/>
          </w:rPr>
          <w:t>.3</w:t>
        </w:r>
      </w:hyperlink>
      <w:r w:rsidRPr="00C36B36">
        <w:rPr>
          <w:b/>
          <w:bCs/>
          <w:szCs w:val="24"/>
        </w:rPr>
        <w:t xml:space="preserve"> for additional detail.</w:t>
      </w:r>
    </w:p>
    <w:p w14:paraId="11F3457E" w14:textId="77777777" w:rsidR="0081535A" w:rsidRPr="00C36B36" w:rsidRDefault="0081535A" w:rsidP="00A0163E">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right="86"/>
        <w:jc w:val="center"/>
        <w:rPr>
          <w:b/>
          <w:bCs/>
          <w:szCs w:val="24"/>
        </w:rPr>
      </w:pPr>
    </w:p>
    <w:p w14:paraId="3CBDA1D5" w14:textId="77777777" w:rsidR="0081535A" w:rsidRPr="00C36B36" w:rsidRDefault="0081535A" w:rsidP="00A0163E">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ind w:right="86"/>
        <w:jc w:val="center"/>
        <w:rPr>
          <w:b/>
          <w:bCs/>
          <w:szCs w:val="24"/>
        </w:rPr>
      </w:pPr>
      <w:r w:rsidRPr="00C36B36">
        <w:rPr>
          <w:b/>
          <w:bCs/>
          <w:szCs w:val="24"/>
        </w:rPr>
        <w:t>The Auto-Transition for incoming Maritime Strikes should be unchecked when training with a Tactical type SEF to avoid cancelling the training exercise upon receipt of a Tactical SEP.</w:t>
      </w:r>
    </w:p>
    <w:p w14:paraId="238C4DFD" w14:textId="79A383E7" w:rsidR="000C677D" w:rsidRPr="000665B0" w:rsidRDefault="000C677D" w:rsidP="006D5A65">
      <w:pPr>
        <w:pStyle w:val="Heading1"/>
      </w:pPr>
      <w:r w:rsidRPr="000665B0">
        <w:t xml:space="preserve">Network Characterization – </w:t>
      </w:r>
      <w:r w:rsidR="00997A92" w:rsidRPr="000665B0">
        <w:t xml:space="preserve">Defines </w:t>
      </w:r>
      <w:r w:rsidRPr="000665B0">
        <w:t>characteristics of the TSN. Used for TSN load balancing. Should not be changed from the default unless to reflect hardware/software changes to the TSN or its modems or, in the case of the unscheduled message allowance, extreme operating conditions.</w:t>
      </w:r>
    </w:p>
    <w:p w14:paraId="2FCE1525" w14:textId="4A231BAF" w:rsidR="00462502" w:rsidRPr="000665B0" w:rsidRDefault="00462502" w:rsidP="006D5A65">
      <w:pPr>
        <w:pStyle w:val="Heading2"/>
      </w:pPr>
      <w:r w:rsidRPr="000665B0">
        <w:t>DAMA TSN</w:t>
      </w:r>
      <w:r w:rsidR="006D714E" w:rsidRPr="000665B0">
        <w:t xml:space="preserve"> – Defines the DAMA TSN network throughput parameters.</w:t>
      </w:r>
    </w:p>
    <w:p w14:paraId="5898A811" w14:textId="100E05E9" w:rsidR="000C677D" w:rsidRPr="000665B0" w:rsidRDefault="000C677D" w:rsidP="006D5A65">
      <w:pPr>
        <w:pStyle w:val="Heading3"/>
      </w:pPr>
      <w:r w:rsidRPr="000665B0">
        <w:t>Max. Concurrent Modem Services – The maximum number of concurrent services that can be supported by the modems installed on the FRUs. At the time of release, this value is 3. May be changed by hardware/software upgrade of the modems.</w:t>
      </w:r>
    </w:p>
    <w:p w14:paraId="7374871D" w14:textId="77777777" w:rsidR="000C677D" w:rsidRPr="000665B0" w:rsidRDefault="000C677D" w:rsidP="006D5A65">
      <w:pPr>
        <w:pStyle w:val="Heading3"/>
      </w:pPr>
      <w:r w:rsidRPr="000665B0">
        <w:t>Unscheduled Message Allowance – The network capacity reserved to allow for unplanned messages (BIT failures, IMMMs, etc.). The default value of 1 allows one unplanned message at any time.</w:t>
      </w:r>
    </w:p>
    <w:p w14:paraId="587055CD" w14:textId="77777777" w:rsidR="000C677D" w:rsidRPr="000665B0" w:rsidRDefault="000C677D" w:rsidP="006D5A65">
      <w:pPr>
        <w:pStyle w:val="Heading3"/>
      </w:pPr>
      <w:r w:rsidRPr="000665B0">
        <w:t>Max. Concurrent Transmissions – The maximum number of TSN messages that can be simultaneously transmitted on the TSN. Current value is 3.</w:t>
      </w:r>
    </w:p>
    <w:p w14:paraId="68987376" w14:textId="77777777" w:rsidR="000C677D" w:rsidRPr="000665B0" w:rsidRDefault="000C677D" w:rsidP="006D5A65">
      <w:pPr>
        <w:pStyle w:val="Heading3"/>
      </w:pPr>
      <w:r w:rsidRPr="000665B0">
        <w:t>Min. Missile Transmission Interval – The minimum interval (in seconds) between successive transmissions from the same missile. Current value is 60.</w:t>
      </w:r>
    </w:p>
    <w:p w14:paraId="3B92557A" w14:textId="3B59C41C" w:rsidR="000C677D" w:rsidRPr="000665B0" w:rsidRDefault="000C677D" w:rsidP="006D5A65">
      <w:pPr>
        <w:pStyle w:val="Heading3"/>
      </w:pPr>
      <w:r w:rsidRPr="000665B0">
        <w:t>Restore Default – Restores network characterization parameters to the installed defaults.</w:t>
      </w:r>
    </w:p>
    <w:p w14:paraId="5BBFBE44" w14:textId="7D1D86C6" w:rsidR="00347082" w:rsidRPr="000665B0" w:rsidRDefault="00347082" w:rsidP="006D5A65">
      <w:pPr>
        <w:pStyle w:val="Heading2"/>
      </w:pPr>
      <w:r w:rsidRPr="000665B0">
        <w:t>ACA High Demand Threshold</w:t>
      </w:r>
      <w:r w:rsidR="006D714E" w:rsidRPr="000665B0">
        <w:t xml:space="preserve"> – The message rate that is guaranteed by the ACA network; determined by dividing the number of H&amp;S messages by the number of minutes.</w:t>
      </w:r>
    </w:p>
    <w:p w14:paraId="65F310EA" w14:textId="353F105E" w:rsidR="00347082" w:rsidRPr="000665B0" w:rsidRDefault="00347082" w:rsidP="006D5A65">
      <w:pPr>
        <w:pStyle w:val="Heading3"/>
      </w:pPr>
      <w:r w:rsidRPr="000665B0">
        <w:lastRenderedPageBreak/>
        <w:t xml:space="preserve">ACA Minutes – </w:t>
      </w:r>
      <w:r w:rsidR="006D714E" w:rsidRPr="000665B0">
        <w:t>The number of minutes used in calculating the message rate that is guaranteed by the ACA network.</w:t>
      </w:r>
    </w:p>
    <w:p w14:paraId="1DE0FFBD" w14:textId="0E4C1B9C" w:rsidR="00347082" w:rsidRPr="000665B0" w:rsidRDefault="00347082" w:rsidP="006D5A65">
      <w:pPr>
        <w:pStyle w:val="Heading3"/>
      </w:pPr>
      <w:r w:rsidRPr="000665B0">
        <w:t xml:space="preserve">ACA H&amp;S Messages – </w:t>
      </w:r>
      <w:r w:rsidR="006D714E" w:rsidRPr="000665B0">
        <w:t>The number of ACA H&amp;S messages used in calculating the message rate that is guaranteed by the ACA network.</w:t>
      </w:r>
    </w:p>
    <w:p w14:paraId="77E5FA77" w14:textId="77777777" w:rsidR="000C677D" w:rsidRPr="000665B0" w:rsidRDefault="000C677D" w:rsidP="006D5A65">
      <w:pPr>
        <w:pStyle w:val="Heading1"/>
      </w:pPr>
      <w:r w:rsidRPr="000665B0">
        <w:t>Latency – The time delay before effects become detectable.</w:t>
      </w:r>
    </w:p>
    <w:p w14:paraId="4CC69C91" w14:textId="77777777" w:rsidR="000C677D" w:rsidRPr="000665B0" w:rsidRDefault="000C677D" w:rsidP="006D5A65">
      <w:pPr>
        <w:pStyle w:val="Heading2"/>
      </w:pPr>
      <w:r w:rsidRPr="000665B0">
        <w:t>TPS Planning – The latency (in minutes) for TPS to plan the mission.</w:t>
      </w:r>
    </w:p>
    <w:p w14:paraId="7A7151E5" w14:textId="77777777" w:rsidR="000C677D" w:rsidRPr="000665B0" w:rsidRDefault="000C677D" w:rsidP="006D5A65">
      <w:pPr>
        <w:pStyle w:val="Heading2"/>
      </w:pPr>
      <w:r w:rsidRPr="000665B0">
        <w:t>TSN Message – The latency (in seconds) for the SMD to receive the scheduled TSN Message before a warning is logged.</w:t>
      </w:r>
    </w:p>
    <w:p w14:paraId="685FBB9F" w14:textId="77777777" w:rsidR="000C677D" w:rsidRPr="000665B0" w:rsidRDefault="000C677D" w:rsidP="006D5A65">
      <w:pPr>
        <w:pStyle w:val="Heading2"/>
      </w:pPr>
      <w:r w:rsidRPr="000665B0">
        <w:t>LER – The time span (in seconds) allowed for the SMD to receive LER for launched missiles before an LER warning is logged.</w:t>
      </w:r>
    </w:p>
    <w:p w14:paraId="3BAD9F4C" w14:textId="77777777" w:rsidR="000C677D" w:rsidRPr="000665B0" w:rsidRDefault="000C677D" w:rsidP="006D5A65">
      <w:pPr>
        <w:pStyle w:val="Heading2"/>
      </w:pPr>
      <w:r w:rsidRPr="000665B0">
        <w:t>Transition To Cruise – The amount of time (in seconds) it takes for a missile to transition to cruise.</w:t>
      </w:r>
    </w:p>
    <w:p w14:paraId="0EC50CF7" w14:textId="77777777" w:rsidR="000C677D" w:rsidRPr="000665B0" w:rsidRDefault="000C677D" w:rsidP="006D5A65">
      <w:pPr>
        <w:pStyle w:val="Heading2"/>
      </w:pPr>
      <w:r w:rsidRPr="000665B0">
        <w:t>Execution Refresh – The SMD refresh rate (in seconds). Higher latency means less frequent updates on the SMD, which will improve SMD performance.</w:t>
      </w:r>
    </w:p>
    <w:p w14:paraId="388F17DA" w14:textId="77777777" w:rsidR="000C677D" w:rsidRPr="000665B0" w:rsidRDefault="000C677D" w:rsidP="006D5A65">
      <w:pPr>
        <w:pStyle w:val="Heading2"/>
      </w:pPr>
      <w:r w:rsidRPr="000665B0">
        <w:t>Execution Processing – The processing rate (in seconds) at which the SMD will apply the execution-related changes to the SMD. Higher latency means less frequent updates on the SMD, which will improve SMD performance.</w:t>
      </w:r>
    </w:p>
    <w:p w14:paraId="6492E1E8" w14:textId="77777777" w:rsidR="000C677D" w:rsidRPr="000665B0" w:rsidRDefault="000C677D" w:rsidP="006D5A65">
      <w:pPr>
        <w:pStyle w:val="Heading2"/>
      </w:pPr>
      <w:r w:rsidRPr="000665B0">
        <w:t>Timing Type Deviation – The timing deviation (in minutes) from assigned time that is allowed. If the missile timing on the SMD deviates from the assigned time by more than the tolerance, the SMD will log a warning event log.</w:t>
      </w:r>
    </w:p>
    <w:p w14:paraId="71F167B5" w14:textId="18C6B612" w:rsidR="0089054E" w:rsidRPr="000665B0" w:rsidRDefault="000C677D" w:rsidP="00306174">
      <w:pPr>
        <w:pStyle w:val="Heading6"/>
      </w:pPr>
      <w:bookmarkStart w:id="6189" w:name="_5.37.1.1.4.4__Retarget"/>
      <w:bookmarkEnd w:id="6189"/>
      <w:r w:rsidRPr="000665B0">
        <w:t>Retarget</w:t>
      </w:r>
      <w:r w:rsidR="0089054E" w:rsidRPr="000665B0">
        <w:t xml:space="preserve"> Tab</w:t>
      </w:r>
    </w:p>
    <w:p w14:paraId="55247035" w14:textId="24D578CF" w:rsidR="000C677D" w:rsidRDefault="00142ABF" w:rsidP="009570CA">
      <w:r w:rsidRPr="000665B0">
        <w:t>S</w:t>
      </w:r>
      <w:r w:rsidR="000C677D" w:rsidRPr="000665B0">
        <w:t xml:space="preserve">ets the retargeting tolerance and verification settings. These tolerances are used to validate the retarget/aimpoint update segment results against the requested TMPRs. The verifications </w:t>
      </w:r>
      <w:r w:rsidR="00ED1C21" w:rsidRPr="000665B0">
        <w:t xml:space="preserve">such as </w:t>
      </w:r>
      <w:r w:rsidR="000C677D" w:rsidRPr="000665B0">
        <w:t xml:space="preserve">Target Position, Fuze Setting, Dive Angle, Run-in Azimuth, and Departure Action Point can be turned on or off. </w:t>
      </w:r>
      <w:r w:rsidR="00ED1C21" w:rsidRPr="000665B0">
        <w:rPr>
          <w:szCs w:val="24"/>
        </w:rPr>
        <w:t xml:space="preserve">The Retarget parameters are used to “validate” incoming Retarget Mission Segments. These validation checks are done on ALL MDS systems that process the Retarget Mission Segment </w:t>
      </w:r>
      <w:r w:rsidR="00ED1C21" w:rsidRPr="000665B0">
        <w:rPr>
          <w:i/>
          <w:szCs w:val="24"/>
        </w:rPr>
        <w:t>(not just the MDS connected to the PO TPS)</w:t>
      </w:r>
      <w:r w:rsidR="00ED1C21" w:rsidRPr="000665B0">
        <w:rPr>
          <w:szCs w:val="24"/>
        </w:rPr>
        <w:t>.</w:t>
      </w:r>
      <w:r w:rsidR="00B61817" w:rsidRPr="000665B0">
        <w:rPr>
          <w:szCs w:val="24"/>
        </w:rPr>
        <w:t xml:space="preserve"> </w:t>
      </w:r>
      <w:r w:rsidR="000C677D" w:rsidRPr="000665B0">
        <w:t xml:space="preserve">In additional to these verifications, IQVC is always performed on segment results. For more information on IQVC, see </w:t>
      </w:r>
      <w:hyperlink w:anchor="_5.6.8__Re-IQVC" w:history="1">
        <w:r w:rsidR="00ED1C21" w:rsidRPr="000665B0">
          <w:rPr>
            <w:rStyle w:val="Hyperlink"/>
          </w:rPr>
          <w:t>Section 5.</w:t>
        </w:r>
        <w:r w:rsidR="00C526BF" w:rsidRPr="000665B0">
          <w:rPr>
            <w:rStyle w:val="Hyperlink"/>
          </w:rPr>
          <w:t>5</w:t>
        </w:r>
        <w:r w:rsidR="00ED1C21" w:rsidRPr="000665B0">
          <w:rPr>
            <w:rStyle w:val="Hyperlink"/>
          </w:rPr>
          <w:t>.8</w:t>
        </w:r>
      </w:hyperlink>
      <w:r w:rsidR="000C677D" w:rsidRPr="000665B0">
        <w:t xml:space="preserve">. </w:t>
      </w:r>
    </w:p>
    <w:p w14:paraId="44AFC46C" w14:textId="6AB3F566" w:rsidR="002C06C2" w:rsidRPr="000665B0" w:rsidRDefault="002C06C2" w:rsidP="009570CA">
      <w:pPr>
        <w:jc w:val="center"/>
      </w:pPr>
      <w:r>
        <w:rPr>
          <w:noProof/>
        </w:rPr>
        <w:lastRenderedPageBreak/>
        <w:drawing>
          <wp:inline distT="0" distB="0" distL="0" distR="0" wp14:anchorId="14DA41F1" wp14:editId="76CFCF13">
            <wp:extent cx="4114800" cy="2953512"/>
            <wp:effectExtent l="0" t="0" r="0" b="0"/>
            <wp:docPr id="2321" name="Picture 232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364" descr="Graphical user interface, application, Word&#10;&#10;Description automatically generated"/>
                    <pic:cNvPicPr/>
                  </pic:nvPicPr>
                  <pic:blipFill>
                    <a:blip/>
                    <a:stretch>
                      <a:fillRect/>
                    </a:stretch>
                  </pic:blipFill>
                  <pic:spPr>
                    <a:xfrm>
                      <a:off x="0" y="0"/>
                      <a:ext cx="4114800" cy="2953512"/>
                    </a:xfrm>
                    <a:prstGeom prst="rect">
                      <a:avLst/>
                    </a:prstGeom>
                  </pic:spPr>
                </pic:pic>
              </a:graphicData>
            </a:graphic>
          </wp:inline>
        </w:drawing>
      </w:r>
    </w:p>
    <w:p w14:paraId="538355EE" w14:textId="6682A667" w:rsidR="00A56052" w:rsidRPr="000665B0" w:rsidRDefault="00A56052" w:rsidP="006D5A65">
      <w:pPr>
        <w:pStyle w:val="Heading1"/>
      </w:pPr>
      <w:r w:rsidRPr="000665B0">
        <w:t xml:space="preserve">Tolerance </w:t>
      </w:r>
      <w:r w:rsidR="004A4DCC" w:rsidRPr="000665B0">
        <w:t>– C</w:t>
      </w:r>
      <w:r w:rsidRPr="000665B0">
        <w:t>onfigure</w:t>
      </w:r>
      <w:r w:rsidR="004A4DCC" w:rsidRPr="000665B0">
        <w:t>s</w:t>
      </w:r>
      <w:r w:rsidRPr="000665B0">
        <w:t xml:space="preserve"> the maximum offset a Retarget Mission Segment can have for its:</w:t>
      </w:r>
    </w:p>
    <w:p w14:paraId="70845D21" w14:textId="77777777" w:rsidR="00A56052" w:rsidRPr="000665B0" w:rsidRDefault="00A56052" w:rsidP="006D5A65">
      <w:pPr>
        <w:pStyle w:val="Heading2"/>
      </w:pPr>
      <w:r w:rsidRPr="000665B0">
        <w:t>Target Position</w:t>
      </w:r>
    </w:p>
    <w:p w14:paraId="20F5BABE" w14:textId="77777777" w:rsidR="00A56052" w:rsidRPr="000665B0" w:rsidRDefault="00A56052" w:rsidP="006D5A65">
      <w:pPr>
        <w:pStyle w:val="Heading2"/>
      </w:pPr>
      <w:r w:rsidRPr="000665B0">
        <w:t>Target Elevation</w:t>
      </w:r>
    </w:p>
    <w:p w14:paraId="0E09D954" w14:textId="77777777" w:rsidR="00A56052" w:rsidRPr="000665B0" w:rsidRDefault="00A56052" w:rsidP="006D5A65">
      <w:pPr>
        <w:pStyle w:val="Heading2"/>
      </w:pPr>
      <w:r w:rsidRPr="000665B0">
        <w:t xml:space="preserve">Dive Angle </w:t>
      </w:r>
    </w:p>
    <w:p w14:paraId="2AE317E0" w14:textId="77777777" w:rsidR="00A56052" w:rsidRPr="000665B0" w:rsidRDefault="00A56052" w:rsidP="009570CA">
      <w:pPr>
        <w:tabs>
          <w:tab w:val="left" w:pos="720"/>
        </w:tabs>
        <w:ind w:left="720"/>
        <w:rPr>
          <w:szCs w:val="24"/>
        </w:rPr>
      </w:pPr>
      <w:r w:rsidRPr="000665B0">
        <w:rPr>
          <w:szCs w:val="24"/>
        </w:rPr>
        <w:t>If value of the offset between the receiving Retarget Mission Segment and the originating TMPR is greater than the value of the specified tolerance, the Retarget Mission Segment will FAIL to process.</w:t>
      </w:r>
    </w:p>
    <w:p w14:paraId="6517B43B" w14:textId="77777777" w:rsidR="00A56052" w:rsidRPr="000665B0" w:rsidRDefault="00A56052" w:rsidP="00A0163E">
      <w:pPr>
        <w:tabs>
          <w:tab w:val="left" w:pos="720"/>
        </w:tabs>
        <w:ind w:left="720"/>
        <w:rPr>
          <w:b/>
          <w:szCs w:val="24"/>
        </w:rPr>
      </w:pPr>
      <w:r w:rsidRPr="000665B0">
        <w:rPr>
          <w:b/>
          <w:szCs w:val="24"/>
        </w:rPr>
        <w:t>Example:</w:t>
      </w:r>
    </w:p>
    <w:p w14:paraId="596A1CB0" w14:textId="77777777" w:rsidR="00A56052" w:rsidRPr="000665B0" w:rsidRDefault="00A56052" w:rsidP="009570CA">
      <w:pPr>
        <w:tabs>
          <w:tab w:val="left" w:pos="720"/>
        </w:tabs>
        <w:ind w:left="720" w:right="360"/>
        <w:rPr>
          <w:szCs w:val="24"/>
        </w:rPr>
      </w:pPr>
      <w:r w:rsidRPr="000665B0">
        <w:rPr>
          <w:szCs w:val="24"/>
        </w:rPr>
        <w:t xml:space="preserve">If the originating TMPR’s Dive Angle was set to 45 degrees, and the Retarget Mission Segment has a Dive Angle of 50 degrees, the Retarget Mission Segment will be processed provided that the </w:t>
      </w:r>
      <w:r w:rsidRPr="000665B0">
        <w:rPr>
          <w:b/>
          <w:szCs w:val="24"/>
        </w:rPr>
        <w:t>Max. Dive Angle Offset</w:t>
      </w:r>
      <w:r w:rsidRPr="000665B0">
        <w:rPr>
          <w:szCs w:val="24"/>
        </w:rPr>
        <w:t xml:space="preserve"> in the Tolerance section is set to 5 degrees. If the </w:t>
      </w:r>
      <w:r w:rsidRPr="000665B0">
        <w:rPr>
          <w:b/>
          <w:szCs w:val="24"/>
        </w:rPr>
        <w:t>Max. Dive Angle Offset</w:t>
      </w:r>
      <w:r w:rsidRPr="000665B0">
        <w:rPr>
          <w:szCs w:val="24"/>
        </w:rPr>
        <w:t xml:space="preserve"> is set to 4 degrees, the Retarget Mission Segment will fail.</w:t>
      </w:r>
    </w:p>
    <w:p w14:paraId="3E48E203" w14:textId="0D72B168" w:rsidR="00A56052" w:rsidRPr="000665B0" w:rsidRDefault="00A56052" w:rsidP="006D5A65">
      <w:pPr>
        <w:pStyle w:val="Heading1"/>
      </w:pPr>
      <w:r w:rsidRPr="000665B0">
        <w:t xml:space="preserve">Verify </w:t>
      </w:r>
      <w:r w:rsidR="004A4DCC" w:rsidRPr="000665B0">
        <w:t xml:space="preserve">– </w:t>
      </w:r>
      <w:r w:rsidR="00997A92" w:rsidRPr="000665B0">
        <w:t>Enables/disables</w:t>
      </w:r>
      <w:r w:rsidR="004A4DCC" w:rsidRPr="000665B0">
        <w:t xml:space="preserve"> </w:t>
      </w:r>
      <w:r w:rsidRPr="000665B0">
        <w:t>the Retarget Mission Segment validation checks for:</w:t>
      </w:r>
    </w:p>
    <w:p w14:paraId="0D135A0B" w14:textId="77777777" w:rsidR="00A56052" w:rsidRPr="000665B0" w:rsidRDefault="00A56052" w:rsidP="006D5A65">
      <w:pPr>
        <w:pStyle w:val="Heading2"/>
      </w:pPr>
      <w:r w:rsidRPr="000665B0">
        <w:t>Target Position</w:t>
      </w:r>
    </w:p>
    <w:p w14:paraId="3A722061" w14:textId="77777777" w:rsidR="00A56052" w:rsidRPr="000665B0" w:rsidRDefault="00A56052" w:rsidP="006D5A65">
      <w:pPr>
        <w:pStyle w:val="Heading2"/>
      </w:pPr>
      <w:r w:rsidRPr="000665B0">
        <w:t>Departure Action Point</w:t>
      </w:r>
    </w:p>
    <w:p w14:paraId="4750EE8C" w14:textId="77777777" w:rsidR="00A56052" w:rsidRPr="000665B0" w:rsidRDefault="00A56052" w:rsidP="006D5A65">
      <w:pPr>
        <w:pStyle w:val="Heading2"/>
      </w:pPr>
      <w:r w:rsidRPr="000665B0">
        <w:t>Fuze Setting</w:t>
      </w:r>
    </w:p>
    <w:p w14:paraId="06DC4B60" w14:textId="77777777" w:rsidR="00A56052" w:rsidRPr="000665B0" w:rsidRDefault="00A56052" w:rsidP="006D5A65">
      <w:pPr>
        <w:pStyle w:val="Heading2"/>
      </w:pPr>
      <w:r w:rsidRPr="000665B0">
        <w:t>Dive Angle</w:t>
      </w:r>
    </w:p>
    <w:p w14:paraId="4C446589" w14:textId="77777777" w:rsidR="00A56052" w:rsidRPr="000665B0" w:rsidRDefault="00A56052" w:rsidP="006D5A65">
      <w:pPr>
        <w:pStyle w:val="Heading2"/>
      </w:pPr>
      <w:r w:rsidRPr="000665B0">
        <w:lastRenderedPageBreak/>
        <w:t>Run-In Azimuth</w:t>
      </w:r>
    </w:p>
    <w:p w14:paraId="76F8136E" w14:textId="77777777" w:rsidR="00A56052" w:rsidRPr="000665B0" w:rsidRDefault="00A56052" w:rsidP="009570CA">
      <w:pPr>
        <w:tabs>
          <w:tab w:val="left" w:pos="720"/>
        </w:tabs>
        <w:ind w:left="720"/>
        <w:rPr>
          <w:szCs w:val="24"/>
        </w:rPr>
      </w:pPr>
      <w:r w:rsidRPr="000665B0">
        <w:rPr>
          <w:szCs w:val="24"/>
        </w:rPr>
        <w:t>If a checkbox for a particular setting in this section is checked, the information in the Retarget Mission Segment coinciding with that setting must match the information specified in the originating TMPR in order to be validated. If the information does not match, validation will fail. If the checkbox for a particular setting is unchecked, validation is not performed for the information between the Retarget Mission Segment and the originating TMPR.</w:t>
      </w:r>
    </w:p>
    <w:p w14:paraId="260E5AEC" w14:textId="77777777" w:rsidR="00A56052" w:rsidRPr="000665B0" w:rsidRDefault="00A56052" w:rsidP="009570CA">
      <w:pPr>
        <w:tabs>
          <w:tab w:val="left" w:pos="720"/>
        </w:tabs>
        <w:ind w:left="720"/>
        <w:rPr>
          <w:b/>
          <w:szCs w:val="24"/>
        </w:rPr>
      </w:pPr>
      <w:r w:rsidRPr="000665B0">
        <w:rPr>
          <w:b/>
          <w:szCs w:val="24"/>
        </w:rPr>
        <w:t xml:space="preserve">Example: </w:t>
      </w:r>
    </w:p>
    <w:p w14:paraId="0FC2E23C" w14:textId="70940F9A" w:rsidR="00A56052" w:rsidRPr="000665B0" w:rsidRDefault="00A56052" w:rsidP="009570CA">
      <w:pPr>
        <w:tabs>
          <w:tab w:val="left" w:pos="720"/>
        </w:tabs>
        <w:ind w:left="720" w:right="360"/>
        <w:rPr>
          <w:szCs w:val="24"/>
        </w:rPr>
      </w:pPr>
      <w:r w:rsidRPr="000665B0">
        <w:rPr>
          <w:szCs w:val="24"/>
        </w:rPr>
        <w:t xml:space="preserve">If the </w:t>
      </w:r>
      <w:r w:rsidRPr="000665B0">
        <w:rPr>
          <w:b/>
          <w:szCs w:val="24"/>
        </w:rPr>
        <w:t>Fuze Setting</w:t>
      </w:r>
      <w:r w:rsidRPr="000665B0">
        <w:rPr>
          <w:szCs w:val="24"/>
        </w:rPr>
        <w:t xml:space="preserve"> is checked, then the Fuze Setting in the received Retarget Mission Segment must match the Fuze Setting specified in the originating TMPR. If the </w:t>
      </w:r>
      <w:r w:rsidRPr="000665B0">
        <w:rPr>
          <w:b/>
          <w:szCs w:val="24"/>
        </w:rPr>
        <w:t>Fuze Setting</w:t>
      </w:r>
      <w:r w:rsidRPr="000665B0">
        <w:rPr>
          <w:szCs w:val="24"/>
        </w:rPr>
        <w:t xml:space="preserve"> is unchecked, then the Fuze Setting validation will not be performed.</w:t>
      </w:r>
    </w:p>
    <w:p w14:paraId="426DCAC0" w14:textId="77777777" w:rsidR="00A56052" w:rsidRPr="000665B0" w:rsidRDefault="00A56052" w:rsidP="009570CA">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szCs w:val="24"/>
        </w:rPr>
      </w:pPr>
      <w:r w:rsidRPr="000665B0">
        <w:rPr>
          <w:b/>
          <w:szCs w:val="24"/>
        </w:rPr>
        <w:t>Note:</w:t>
      </w:r>
    </w:p>
    <w:p w14:paraId="67808776" w14:textId="1663D37E" w:rsidR="00E0767B" w:rsidRDefault="00A56052" w:rsidP="00AD7F82">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szCs w:val="24"/>
        </w:rPr>
      </w:pPr>
      <w:r w:rsidRPr="000665B0">
        <w:rPr>
          <w:b/>
          <w:szCs w:val="24"/>
        </w:rPr>
        <w:t>All MDSs that are in the TMPR chain MUST BE set to the same tolerances, or one of the MDS systems may reject a Retarget Mission Segment. This could result in the originating MDS never getting the Retarget Mission Segment returned to it (i.e., as in a remote mission planning setup).</w:t>
      </w:r>
    </w:p>
    <w:p w14:paraId="1CD6D313" w14:textId="23BC9DFD" w:rsidR="009570CA" w:rsidRDefault="009570CA" w:rsidP="009570CA">
      <w:pPr>
        <w:spacing w:after="0" w:line="240" w:lineRule="auto"/>
        <w:rPr>
          <w:b/>
        </w:rPr>
      </w:pPr>
    </w:p>
    <w:p w14:paraId="1068EF9A" w14:textId="0ACAB037" w:rsidR="00A56052" w:rsidRPr="000665B0" w:rsidRDefault="00A56052" w:rsidP="006F3EC6">
      <w:pPr>
        <w:keepNext/>
        <w:pBdr>
          <w:top w:val="single" w:sz="12" w:space="1" w:color="000000"/>
          <w:left w:val="single" w:sz="12" w:space="4" w:color="000000"/>
          <w:bottom w:val="single" w:sz="12" w:space="1" w:color="000000"/>
          <w:right w:val="single" w:sz="12" w:space="4" w:color="000000"/>
        </w:pBdr>
        <w:shd w:val="clear" w:color="auto" w:fill="D9D9D9"/>
        <w:tabs>
          <w:tab w:val="left" w:pos="720"/>
        </w:tabs>
        <w:spacing w:after="0"/>
        <w:jc w:val="center"/>
        <w:rPr>
          <w:b/>
        </w:rPr>
      </w:pPr>
      <w:r w:rsidRPr="000665B0">
        <w:rPr>
          <w:b/>
        </w:rPr>
        <w:t>Note:</w:t>
      </w:r>
    </w:p>
    <w:p w14:paraId="24BCB28D" w14:textId="77777777" w:rsidR="00A56052" w:rsidRPr="000665B0" w:rsidRDefault="00A56052" w:rsidP="006F3EC6">
      <w:pPr>
        <w:keepNext/>
        <w:pBdr>
          <w:top w:val="single" w:sz="12" w:space="1" w:color="000000"/>
          <w:left w:val="single" w:sz="12" w:space="4" w:color="000000"/>
          <w:bottom w:val="single" w:sz="12" w:space="1" w:color="000000"/>
          <w:right w:val="single" w:sz="12" w:space="4" w:color="000000"/>
        </w:pBdr>
        <w:shd w:val="clear" w:color="auto" w:fill="D9D9D9"/>
        <w:tabs>
          <w:tab w:val="left" w:pos="720"/>
        </w:tabs>
        <w:spacing w:after="0"/>
        <w:jc w:val="center"/>
        <w:rPr>
          <w:b/>
        </w:rPr>
      </w:pPr>
      <w:r w:rsidRPr="000665B0">
        <w:rPr>
          <w:b/>
        </w:rPr>
        <w:t xml:space="preserve">The Tolerance and Verify panes defined in the </w:t>
      </w:r>
      <w:r w:rsidRPr="000665B0">
        <w:rPr>
          <w:b/>
          <w:i/>
        </w:rPr>
        <w:t>Retarget</w:t>
      </w:r>
      <w:r w:rsidRPr="000665B0">
        <w:rPr>
          <w:b/>
        </w:rPr>
        <w:t xml:space="preserve"> Tab of the Planning/Execution Preferences do not apply to the “Target Info. Usage” indicator in the TMPR.</w:t>
      </w:r>
    </w:p>
    <w:p w14:paraId="761A8943" w14:textId="18CBF06A" w:rsidR="00A56052" w:rsidRPr="000665B0" w:rsidRDefault="005655B5" w:rsidP="006F3EC6">
      <w:pPr>
        <w:pBdr>
          <w:top w:val="single" w:sz="12" w:space="1" w:color="000000"/>
          <w:left w:val="single" w:sz="12" w:space="4" w:color="000000"/>
          <w:bottom w:val="single" w:sz="12" w:space="1" w:color="000000"/>
          <w:right w:val="single" w:sz="12" w:space="4" w:color="000000"/>
        </w:pBdr>
        <w:shd w:val="clear" w:color="auto" w:fill="D9D9D9"/>
        <w:tabs>
          <w:tab w:val="left" w:pos="720"/>
        </w:tabs>
        <w:spacing w:after="0"/>
        <w:jc w:val="center"/>
        <w:rPr>
          <w:b/>
        </w:rPr>
      </w:pPr>
      <w:r w:rsidRPr="000665B0">
        <w:rPr>
          <w:noProof/>
        </w:rPr>
        <w:drawing>
          <wp:inline distT="0" distB="0" distL="0" distR="0" wp14:anchorId="407BD055" wp14:editId="15DC8762">
            <wp:extent cx="3183345" cy="809897"/>
            <wp:effectExtent l="0" t="0" r="0" b="9525"/>
            <wp:docPr id="1180" name="Picture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83345" cy="809897"/>
                    </a:xfrm>
                    <a:prstGeom prst="rect">
                      <a:avLst/>
                    </a:prstGeom>
                  </pic:spPr>
                </pic:pic>
              </a:graphicData>
            </a:graphic>
          </wp:inline>
        </w:drawing>
      </w:r>
    </w:p>
    <w:p w14:paraId="7310B876" w14:textId="77777777" w:rsidR="00A56052" w:rsidRPr="000665B0" w:rsidRDefault="00A56052" w:rsidP="006F3EC6">
      <w:pPr>
        <w:pBdr>
          <w:top w:val="single" w:sz="12" w:space="1" w:color="000000"/>
          <w:left w:val="single" w:sz="12" w:space="4" w:color="000000"/>
          <w:bottom w:val="single" w:sz="12" w:space="1" w:color="000000"/>
          <w:right w:val="single" w:sz="12" w:space="4" w:color="000000"/>
        </w:pBdr>
        <w:shd w:val="clear" w:color="auto" w:fill="D9D9D9"/>
        <w:tabs>
          <w:tab w:val="left" w:pos="720"/>
        </w:tabs>
        <w:spacing w:after="0"/>
        <w:jc w:val="center"/>
        <w:rPr>
          <w:b/>
        </w:rPr>
      </w:pPr>
      <w:r w:rsidRPr="000665B0">
        <w:rPr>
          <w:b/>
        </w:rPr>
        <w:t>Target Info. Usage is only used by TPS to indicate whether or not to look at the data supplied within the TMPR when generating the Retarget Mission Segment. MDS does NOT use this value when validating the returned Retarget Mission Segment.</w:t>
      </w:r>
    </w:p>
    <w:p w14:paraId="06BA94D2" w14:textId="5F8D667A" w:rsidR="007547D7" w:rsidRPr="000665B0" w:rsidRDefault="007547D7" w:rsidP="009570CA">
      <w:pPr>
        <w:pStyle w:val="Heading4"/>
      </w:pPr>
      <w:bookmarkStart w:id="6190" w:name="_5.37.1.2__User"/>
      <w:bookmarkEnd w:id="6175"/>
      <w:bookmarkEnd w:id="6190"/>
      <w:r w:rsidRPr="000665B0">
        <w:t>User Properties</w:t>
      </w:r>
      <w:r w:rsidR="0060105C" w:rsidRPr="000665B0">
        <w:t xml:space="preserve"> (All Users)</w:t>
      </w:r>
    </w:p>
    <w:p w14:paraId="3EEBFB4E" w14:textId="18E91F67" w:rsidR="0060105C" w:rsidRPr="000665B0" w:rsidRDefault="00CA1390" w:rsidP="009570CA">
      <w:pPr>
        <w:pStyle w:val="Heading5"/>
      </w:pPr>
      <w:r w:rsidRPr="000665B0">
        <w:t>Column</w:t>
      </w:r>
    </w:p>
    <w:p w14:paraId="7E14AFF5" w14:textId="0585E346" w:rsidR="00CA1390" w:rsidRPr="000665B0" w:rsidRDefault="00AB579B" w:rsidP="009570CA">
      <w:pPr>
        <w:pStyle w:val="BodyText"/>
        <w:spacing w:after="120"/>
      </w:pPr>
      <w:r w:rsidRPr="000665B0">
        <w:t>C</w:t>
      </w:r>
      <w:r w:rsidR="00CA1390" w:rsidRPr="000665B0">
        <w:t xml:space="preserve">hanges the list view’s column configurations. For more information, see </w:t>
      </w:r>
      <w:hyperlink w:anchor="_5.2.3.4__Properties" w:history="1">
        <w:r w:rsidR="00A75813" w:rsidRPr="000665B0">
          <w:rPr>
            <w:rStyle w:val="Hyperlink"/>
          </w:rPr>
          <w:t>Section 5.2.3.5</w:t>
        </w:r>
      </w:hyperlink>
      <w:r w:rsidR="00CA1390" w:rsidRPr="000665B0">
        <w:t>.</w:t>
      </w:r>
    </w:p>
    <w:p w14:paraId="7AAF34EC" w14:textId="42667495" w:rsidR="0060105C" w:rsidRPr="000665B0" w:rsidRDefault="00CA1390" w:rsidP="009570CA">
      <w:pPr>
        <w:pStyle w:val="Heading5"/>
      </w:pPr>
      <w:r w:rsidRPr="000665B0">
        <w:t>Sort</w:t>
      </w:r>
    </w:p>
    <w:p w14:paraId="2E8E49BB" w14:textId="6D64389E" w:rsidR="00CA1390" w:rsidRPr="000665B0" w:rsidRDefault="00AB579B" w:rsidP="009570CA">
      <w:pPr>
        <w:pStyle w:val="BodyText"/>
        <w:spacing w:after="120"/>
      </w:pPr>
      <w:r w:rsidRPr="000665B0">
        <w:t>C</w:t>
      </w:r>
      <w:r w:rsidR="00CA1390" w:rsidRPr="000665B0">
        <w:t xml:space="preserve">hanges the list view’s sorting. For more information, see </w:t>
      </w:r>
      <w:hyperlink w:anchor="_5.2.3.4.1__Sort" w:history="1">
        <w:r w:rsidR="00A75813" w:rsidRPr="000665B0">
          <w:rPr>
            <w:rStyle w:val="Hyperlink"/>
          </w:rPr>
          <w:t>Section 5.2.3.5</w:t>
        </w:r>
        <w:r w:rsidR="00CD3C6D" w:rsidRPr="000665B0">
          <w:rPr>
            <w:rStyle w:val="Hyperlink"/>
          </w:rPr>
          <w:t>.1</w:t>
        </w:r>
      </w:hyperlink>
      <w:r w:rsidR="00CA1390" w:rsidRPr="000665B0">
        <w:t>.</w:t>
      </w:r>
    </w:p>
    <w:p w14:paraId="23AF587D" w14:textId="6F934604" w:rsidR="0060105C" w:rsidRPr="000665B0" w:rsidRDefault="00CA1390" w:rsidP="009570CA">
      <w:pPr>
        <w:pStyle w:val="Heading5"/>
      </w:pPr>
      <w:bookmarkStart w:id="6191" w:name="_Colors"/>
      <w:bookmarkStart w:id="6192" w:name="_Hlk140151963"/>
      <w:bookmarkEnd w:id="6191"/>
      <w:r w:rsidRPr="000665B0">
        <w:t>Colors</w:t>
      </w:r>
    </w:p>
    <w:p w14:paraId="18E266D0" w14:textId="7B15DAB3" w:rsidR="00CA1390" w:rsidRPr="000665B0" w:rsidRDefault="00AB579B" w:rsidP="009570CA">
      <w:bookmarkStart w:id="6193" w:name="_Hlk140151021"/>
      <w:r w:rsidRPr="000665B0">
        <w:t>Sets</w:t>
      </w:r>
      <w:r w:rsidR="00CA1390" w:rsidRPr="000665B0">
        <w:t xml:space="preserve"> the color of </w:t>
      </w:r>
      <w:r w:rsidR="00FC283E" w:rsidRPr="000665B0">
        <w:t xml:space="preserve">the </w:t>
      </w:r>
      <w:r w:rsidR="00CA1390" w:rsidRPr="000665B0">
        <w:t xml:space="preserve">Strike list view items. </w:t>
      </w:r>
      <w:r w:rsidR="00FA1C60" w:rsidRPr="000665B0">
        <w:t>Based on the se</w:t>
      </w:r>
      <w:r w:rsidR="00A87B75" w:rsidRPr="000665B0">
        <w:t>ttings below, s</w:t>
      </w:r>
      <w:r w:rsidR="00CA1390" w:rsidRPr="000665B0">
        <w:t xml:space="preserve">ome </w:t>
      </w:r>
      <w:r w:rsidR="00647839" w:rsidRPr="000665B0">
        <w:t xml:space="preserve">strike </w:t>
      </w:r>
      <w:r w:rsidR="00CA1390" w:rsidRPr="000665B0">
        <w:t xml:space="preserve">list views will change the </w:t>
      </w:r>
      <w:r w:rsidR="00C63160">
        <w:t xml:space="preserve">color of the </w:t>
      </w:r>
      <w:r w:rsidR="00CA1390" w:rsidRPr="000665B0">
        <w:t>list item’s text</w:t>
      </w:r>
      <w:r w:rsidR="00C63160">
        <w:t>,</w:t>
      </w:r>
      <w:r w:rsidR="0024740D">
        <w:t xml:space="preserve"> </w:t>
      </w:r>
      <w:r w:rsidR="00CA1390" w:rsidRPr="000665B0">
        <w:t>background</w:t>
      </w:r>
      <w:r w:rsidR="00C63160">
        <w:t>, and/or line</w:t>
      </w:r>
      <w:r w:rsidR="00CA1390" w:rsidRPr="000665B0">
        <w:t xml:space="preserve"> when an item state needs to be highlighted </w:t>
      </w:r>
      <w:r w:rsidR="00FC283E" w:rsidRPr="000665B0">
        <w:t>by</w:t>
      </w:r>
      <w:r w:rsidR="00CA1390" w:rsidRPr="000665B0">
        <w:t xml:space="preserve"> the operator.</w:t>
      </w:r>
    </w:p>
    <w:bookmarkEnd w:id="6193"/>
    <w:p w14:paraId="4A0A8A47" w14:textId="1F18C890" w:rsidR="00C63160" w:rsidRPr="000665B0" w:rsidRDefault="00C63160" w:rsidP="009570CA">
      <w:pPr>
        <w:pStyle w:val="BodyText"/>
        <w:tabs>
          <w:tab w:val="left" w:pos="720"/>
        </w:tabs>
        <w:spacing w:after="120"/>
        <w:jc w:val="center"/>
      </w:pPr>
      <w:r>
        <w:rPr>
          <w:noProof/>
        </w:rPr>
        <w:lastRenderedPageBreak/>
        <w:drawing>
          <wp:inline distT="0" distB="0" distL="0" distR="0" wp14:anchorId="14D30538" wp14:editId="1A9EE7B2">
            <wp:extent cx="3200400" cy="2057400"/>
            <wp:effectExtent l="0" t="0" r="0" b="0"/>
            <wp:docPr id="585" name="Picture 58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pic:cNvPicPr>
                  </pic:nvPicPr>
                  <pic:blipFill>
                    <a:blip>
                      <a:extLst>
                        <a:ext uri="{28A0092B-C50C-407E-A947-70E740481C1C}">
                          <a14:useLocalDpi xmlns:a14="http://schemas.microsoft.com/office/drawing/2010/main" val="0"/>
                        </a:ext>
                      </a:extLst>
                    </a:blip>
                    <a:stretch>
                      <a:fillRect/>
                    </a:stretch>
                  </pic:blipFill>
                  <pic:spPr>
                    <a:xfrm>
                      <a:off x="0" y="0"/>
                      <a:ext cx="3200400" cy="2057400"/>
                    </a:xfrm>
                    <a:prstGeom prst="rect">
                      <a:avLst/>
                    </a:prstGeom>
                  </pic:spPr>
                </pic:pic>
              </a:graphicData>
            </a:graphic>
          </wp:inline>
        </w:drawing>
      </w:r>
    </w:p>
    <w:p w14:paraId="44C69BD2" w14:textId="3A0931C6" w:rsidR="00A87B75" w:rsidRPr="000665B0" w:rsidRDefault="00A87B75" w:rsidP="006D5A65">
      <w:pPr>
        <w:pStyle w:val="Heading1"/>
      </w:pPr>
      <w:r w:rsidRPr="000665B0">
        <w:t xml:space="preserve">Text Color of Items Needing Attention – Sets </w:t>
      </w:r>
      <w:r w:rsidR="004A0799" w:rsidRPr="000665B0">
        <w:t xml:space="preserve">the </w:t>
      </w:r>
      <w:r w:rsidRPr="000665B0">
        <w:t xml:space="preserve">text color for items needing attention. For example, the selected color is red and an ACMS PLP file with file name “AAAPLP” in the Geographic Resources of a strike option is not in </w:t>
      </w:r>
      <w:r w:rsidR="00FA1C60" w:rsidRPr="000665B0">
        <w:t xml:space="preserve">the </w:t>
      </w:r>
      <w:r w:rsidRPr="000665B0">
        <w:t xml:space="preserve">ACMS database. The item needs attention, so the text color of the ACMS filename “AAAPLP” in the Geographic Resources is displayed in red. </w:t>
      </w:r>
    </w:p>
    <w:p w14:paraId="125490DF" w14:textId="0DC74AD4" w:rsidR="00A87B75" w:rsidRPr="000665B0" w:rsidRDefault="00A87B75" w:rsidP="006D5A65">
      <w:pPr>
        <w:pStyle w:val="Heading1"/>
      </w:pPr>
      <w:r w:rsidRPr="000665B0">
        <w:t xml:space="preserve">Text Color of Incomplete Items – Sets </w:t>
      </w:r>
      <w:r w:rsidR="004A0799" w:rsidRPr="000665B0">
        <w:t xml:space="preserve">the </w:t>
      </w:r>
      <w:r w:rsidRPr="000665B0">
        <w:t xml:space="preserve">text color for incomplete items. For example, a mission in </w:t>
      </w:r>
      <w:r w:rsidR="00FA1C60" w:rsidRPr="000665B0">
        <w:t xml:space="preserve">the </w:t>
      </w:r>
      <w:r w:rsidRPr="000665B0">
        <w:rPr>
          <w:i/>
        </w:rPr>
        <w:t>Missions</w:t>
      </w:r>
      <w:r w:rsidRPr="000665B0">
        <w:t xml:space="preserve"> </w:t>
      </w:r>
      <w:r w:rsidR="00FA1C60" w:rsidRPr="000665B0">
        <w:t>t</w:t>
      </w:r>
      <w:r w:rsidRPr="000665B0">
        <w:t xml:space="preserve">ab in the strike option has been set to require one primary missile reservation. A missile reservation associated with the mission has been removed from </w:t>
      </w:r>
      <w:r w:rsidR="00FA1C60" w:rsidRPr="000665B0">
        <w:t xml:space="preserve">the </w:t>
      </w:r>
      <w:r w:rsidRPr="000665B0">
        <w:rPr>
          <w:i/>
        </w:rPr>
        <w:t>Missiles</w:t>
      </w:r>
      <w:r w:rsidRPr="000665B0">
        <w:t xml:space="preserve"> </w:t>
      </w:r>
      <w:r w:rsidR="00FA1C60" w:rsidRPr="000665B0">
        <w:t>t</w:t>
      </w:r>
      <w:r w:rsidRPr="000665B0">
        <w:t xml:space="preserve">ab in the strike option. The text entry for this mission in </w:t>
      </w:r>
      <w:r w:rsidR="00FA1C60" w:rsidRPr="000665B0">
        <w:t xml:space="preserve">the </w:t>
      </w:r>
      <w:r w:rsidRPr="000665B0">
        <w:rPr>
          <w:i/>
        </w:rPr>
        <w:t>Missions</w:t>
      </w:r>
      <w:r w:rsidRPr="000665B0">
        <w:t xml:space="preserve"> </w:t>
      </w:r>
      <w:r w:rsidR="00FA1C60" w:rsidRPr="000665B0">
        <w:t>t</w:t>
      </w:r>
      <w:r w:rsidRPr="000665B0">
        <w:t>ab will be displayed in the selected color to indicate that this mission is an incomplete item</w:t>
      </w:r>
      <w:r w:rsidR="00FA1C60" w:rsidRPr="000665B0">
        <w:t>,</w:t>
      </w:r>
      <w:r w:rsidRPr="000665B0">
        <w:t xml:space="preserve"> because a required missile has not been assigned with this mission.</w:t>
      </w:r>
    </w:p>
    <w:p w14:paraId="51467CB9" w14:textId="1CD7116C" w:rsidR="00A87B75" w:rsidRPr="000665B0" w:rsidRDefault="00A87B75" w:rsidP="006D5A65">
      <w:pPr>
        <w:pStyle w:val="Heading1"/>
      </w:pPr>
      <w:r w:rsidRPr="000665B0">
        <w:t xml:space="preserve">Background Color of </w:t>
      </w:r>
      <w:r w:rsidR="00FD6A0B" w:rsidRPr="000665B0">
        <w:t xml:space="preserve">Tree View Child </w:t>
      </w:r>
      <w:r w:rsidRPr="000665B0">
        <w:t xml:space="preserve">Node Items – Sets the background color of the node(s) within a platform in the </w:t>
      </w:r>
      <w:r w:rsidRPr="000665B0">
        <w:rPr>
          <w:i/>
        </w:rPr>
        <w:t>Arsenal</w:t>
      </w:r>
      <w:r w:rsidR="00FA1C60" w:rsidRPr="000665B0">
        <w:t xml:space="preserve"> tab of the strike option. </w:t>
      </w:r>
      <w:r w:rsidRPr="000665B0">
        <w:t xml:space="preserve">All nodes of each platform </w:t>
      </w:r>
      <w:r w:rsidRPr="000665B0">
        <w:lastRenderedPageBreak/>
        <w:t xml:space="preserve">listed in the </w:t>
      </w:r>
      <w:r w:rsidRPr="000665B0">
        <w:rPr>
          <w:i/>
        </w:rPr>
        <w:t>Arsenal</w:t>
      </w:r>
      <w:r w:rsidRPr="000665B0">
        <w:t xml:space="preserve"> tab will </w:t>
      </w:r>
      <w:r w:rsidR="00FA1C60" w:rsidRPr="000665B0">
        <w:t>display the</w:t>
      </w:r>
      <w:r w:rsidRPr="000665B0">
        <w:t xml:space="preserve"> background color in the selected color.</w:t>
      </w:r>
    </w:p>
    <w:p w14:paraId="182BAA83" w14:textId="10274DF9" w:rsidR="00A87B75" w:rsidRDefault="00A87B75" w:rsidP="006D5A65">
      <w:pPr>
        <w:pStyle w:val="Heading1"/>
      </w:pPr>
      <w:r w:rsidRPr="000665B0">
        <w:t>Background Color of Spotlighted Items – Sets the background color for spotlighted item</w:t>
      </w:r>
      <w:r w:rsidR="00FA1C60" w:rsidRPr="000665B0">
        <w:t>s</w:t>
      </w:r>
      <w:r w:rsidRPr="000665B0">
        <w:t xml:space="preserve"> in the SMD display</w:t>
      </w:r>
      <w:r w:rsidR="00DC41C4" w:rsidRPr="000665B0">
        <w:t xml:space="preserve"> (see </w:t>
      </w:r>
      <w:hyperlink w:anchor="_Spotlighted_Assignments_List" w:history="1">
        <w:r w:rsidR="00157B2F" w:rsidRPr="000665B0">
          <w:rPr>
            <w:rStyle w:val="Hyperlink"/>
          </w:rPr>
          <w:t xml:space="preserve">Section </w:t>
        </w:r>
        <w:r w:rsidR="004231CC">
          <w:rPr>
            <w:rStyle w:val="Hyperlink"/>
          </w:rPr>
          <w:t>5.35</w:t>
        </w:r>
        <w:r w:rsidR="00157B2F" w:rsidRPr="000665B0">
          <w:rPr>
            <w:rStyle w:val="Hyperlink"/>
          </w:rPr>
          <w:t>.3.1.11</w:t>
        </w:r>
      </w:hyperlink>
      <w:r w:rsidR="00DC41C4" w:rsidRPr="000665B0">
        <w:t>)</w:t>
      </w:r>
      <w:r w:rsidRPr="000665B0">
        <w:t>.</w:t>
      </w:r>
    </w:p>
    <w:p w14:paraId="4DEB9B4D" w14:textId="3BE99BEC" w:rsidR="00C63160" w:rsidRPr="000665B0" w:rsidRDefault="00C63160" w:rsidP="006D5A65">
      <w:pPr>
        <w:pStyle w:val="Heading1"/>
      </w:pPr>
      <w:r>
        <w:t>Line Color of ACA GEO Exceptions – Sets the line color on the Gantt for the region of the strike where a Geographic Exception was received.</w:t>
      </w:r>
    </w:p>
    <w:p w14:paraId="369EC6D1" w14:textId="14DF7BEE" w:rsidR="00FA1C60" w:rsidRPr="000665B0" w:rsidRDefault="00FA1C60" w:rsidP="006D5A65">
      <w:pPr>
        <w:pStyle w:val="Heading1"/>
      </w:pPr>
      <w:r w:rsidRPr="000665B0">
        <w:t>Don’t Use Colors – Specifies that no color is used for the list item’s text and/or background color.</w:t>
      </w:r>
    </w:p>
    <w:p w14:paraId="5425AF65" w14:textId="5FB45E92" w:rsidR="00A87B75" w:rsidRPr="000665B0" w:rsidRDefault="00FA1C60" w:rsidP="006D5A65">
      <w:pPr>
        <w:pStyle w:val="Heading1"/>
      </w:pPr>
      <w:r w:rsidRPr="000665B0">
        <w:t>Restore Default Colors – Restores the default colors.</w:t>
      </w:r>
    </w:p>
    <w:bookmarkEnd w:id="6192"/>
    <w:p w14:paraId="49A38237" w14:textId="7FF1ED5A" w:rsidR="0060105C" w:rsidRPr="000665B0" w:rsidRDefault="0061624A" w:rsidP="009570CA">
      <w:pPr>
        <w:pStyle w:val="Heading5"/>
      </w:pPr>
      <w:r w:rsidRPr="000665B0">
        <w:t>Option</w:t>
      </w:r>
    </w:p>
    <w:p w14:paraId="20C745D5" w14:textId="1A438B5C" w:rsidR="00490937" w:rsidRPr="000665B0" w:rsidRDefault="00490937" w:rsidP="00306174">
      <w:pPr>
        <w:pStyle w:val="Heading6"/>
      </w:pPr>
      <w:r w:rsidRPr="000665B0">
        <w:t>General Tab</w:t>
      </w:r>
    </w:p>
    <w:p w14:paraId="17CECBA8" w14:textId="581BCEA1" w:rsidR="008C632C" w:rsidRPr="000665B0" w:rsidRDefault="00AB579B" w:rsidP="009570CA">
      <w:r w:rsidRPr="000665B0">
        <w:t>E</w:t>
      </w:r>
      <w:r w:rsidR="008C632C" w:rsidRPr="000665B0">
        <w:t>nables/disables settings for Auto Populate in a new strike option, UNDO message, and Gantt Shift Time message.</w:t>
      </w:r>
    </w:p>
    <w:p w14:paraId="7367A63F" w14:textId="01C41A0E" w:rsidR="008C632C" w:rsidRPr="000665B0" w:rsidRDefault="00FD6A0B" w:rsidP="009570CA">
      <w:pPr>
        <w:pStyle w:val="BodyText"/>
        <w:spacing w:after="120"/>
        <w:jc w:val="center"/>
      </w:pPr>
      <w:r w:rsidRPr="000665B0">
        <w:rPr>
          <w:noProof/>
        </w:rPr>
        <w:drawing>
          <wp:inline distT="0" distB="0" distL="0" distR="0" wp14:anchorId="3B8A04A8" wp14:editId="00E161B5">
            <wp:extent cx="3200400" cy="2615184"/>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2615184"/>
                    </a:xfrm>
                    <a:prstGeom prst="rect">
                      <a:avLst/>
                    </a:prstGeom>
                  </pic:spPr>
                </pic:pic>
              </a:graphicData>
            </a:graphic>
          </wp:inline>
        </w:drawing>
      </w:r>
    </w:p>
    <w:p w14:paraId="6A61C442" w14:textId="030C5BF7" w:rsidR="008C632C" w:rsidRPr="000665B0" w:rsidRDefault="008C632C" w:rsidP="006D5A65">
      <w:pPr>
        <w:pStyle w:val="Heading1"/>
      </w:pPr>
      <w:r w:rsidRPr="000665B0">
        <w:t xml:space="preserve">Auto populate all folder tasking, candidates and arsenal into a ‘new’ option – </w:t>
      </w:r>
      <w:r w:rsidR="008D2EFA" w:rsidRPr="000665B0">
        <w:t>When checked,</w:t>
      </w:r>
      <w:r w:rsidRPr="000665B0">
        <w:t xml:space="preserve"> automatically populates </w:t>
      </w:r>
      <w:r w:rsidR="00FA1C60" w:rsidRPr="000665B0">
        <w:t xml:space="preserve">a new strike option’s contents </w:t>
      </w:r>
      <w:r w:rsidRPr="000665B0">
        <w:t xml:space="preserve">with the Strike Folder’s Tasking, Candidates, and </w:t>
      </w:r>
      <w:r w:rsidR="00ED58B8" w:rsidRPr="000665B0">
        <w:t xml:space="preserve">Task </w:t>
      </w:r>
      <w:r w:rsidRPr="000665B0">
        <w:t>Organization (Arsenal).</w:t>
      </w:r>
    </w:p>
    <w:p w14:paraId="43B2FE1B" w14:textId="51990E2D" w:rsidR="008C632C" w:rsidRPr="000665B0" w:rsidRDefault="008C632C" w:rsidP="006D5A65">
      <w:pPr>
        <w:pStyle w:val="Heading1"/>
      </w:pPr>
      <w:r w:rsidRPr="000665B0">
        <w:t xml:space="preserve">Show UNDO dialog before undoing the unsaved action – </w:t>
      </w:r>
      <w:r w:rsidR="00FA1C60" w:rsidRPr="000665B0">
        <w:t xml:space="preserve">When checked, the UNDO function is enabled in the strike option’s window. When a change (from editing, insertion, or deletion) is applied, the action may be undone by clicking the UNDO icon on the toolbar or selecting the Edit </w:t>
      </w:r>
      <w:r w:rsidR="00FA1C60" w:rsidRPr="000665B0">
        <w:sym w:font="Wingdings" w:char="F0E0"/>
      </w:r>
      <w:r w:rsidR="00FA1C60" w:rsidRPr="000665B0">
        <w:t xml:space="preserve"> Undo </w:t>
      </w:r>
      <w:r w:rsidR="00E971E8" w:rsidRPr="000665B0">
        <w:t>menu and</w:t>
      </w:r>
      <w:r w:rsidR="00FA1C60" w:rsidRPr="000665B0">
        <w:t xml:space="preserve"> then clicking OK on the confirmation window. The UNDO function is </w:t>
      </w:r>
      <w:r w:rsidR="00FA1C60" w:rsidRPr="000665B0">
        <w:lastRenderedPageBreak/>
        <w:t>available when there is a change in any of the Tasking, Resources, Arsenal, or TSN Comms tabs.</w:t>
      </w:r>
    </w:p>
    <w:p w14:paraId="44CB1B63" w14:textId="640CA75E" w:rsidR="008C632C" w:rsidRPr="000665B0" w:rsidRDefault="008C632C" w:rsidP="006D5A65">
      <w:pPr>
        <w:pStyle w:val="Heading1"/>
      </w:pPr>
      <w:r w:rsidRPr="000665B0">
        <w:t xml:space="preserve">Show Gantt Shift Time </w:t>
      </w:r>
      <w:r w:rsidR="008D2EFA" w:rsidRPr="000665B0">
        <w:t xml:space="preserve">verification </w:t>
      </w:r>
      <w:r w:rsidRPr="000665B0">
        <w:t xml:space="preserve">dialog </w:t>
      </w:r>
      <w:r w:rsidR="008D2EFA" w:rsidRPr="000665B0">
        <w:t>when dragging missile time on Option Textual TSN Schedule</w:t>
      </w:r>
      <w:r w:rsidRPr="000665B0">
        <w:t xml:space="preserve"> – </w:t>
      </w:r>
      <w:r w:rsidR="008D2EFA" w:rsidRPr="000665B0">
        <w:t>When checked</w:t>
      </w:r>
      <w:r w:rsidRPr="000665B0">
        <w:t xml:space="preserve">, shifting of a selected missile on </w:t>
      </w:r>
      <w:r w:rsidR="008D2EFA" w:rsidRPr="000665B0">
        <w:t xml:space="preserve">the </w:t>
      </w:r>
      <w:r w:rsidRPr="000665B0">
        <w:t>COMMS schedule (</w:t>
      </w:r>
      <w:r w:rsidR="008D2EFA" w:rsidRPr="000665B0">
        <w:t xml:space="preserve">Gantt </w:t>
      </w:r>
      <w:r w:rsidRPr="000665B0">
        <w:t xml:space="preserve">Chart) to </w:t>
      </w:r>
      <w:r w:rsidR="008D2EFA" w:rsidRPr="000665B0">
        <w:t xml:space="preserve">an </w:t>
      </w:r>
      <w:r w:rsidRPr="000665B0">
        <w:t xml:space="preserve">earlier or later launch time </w:t>
      </w:r>
      <w:r w:rsidR="008D2EFA" w:rsidRPr="000665B0">
        <w:t>activates a window</w:t>
      </w:r>
      <w:r w:rsidRPr="000665B0">
        <w:t xml:space="preserve"> showing the new TOL, TOA (time at FPPWP), and TOT to appear, confirming the time shift.</w:t>
      </w:r>
    </w:p>
    <w:p w14:paraId="5465C50F" w14:textId="6DB87DDE" w:rsidR="008D2EFA" w:rsidRPr="000665B0" w:rsidRDefault="008D2EFA" w:rsidP="006D5A65">
      <w:pPr>
        <w:pStyle w:val="Heading1"/>
      </w:pPr>
      <w:r w:rsidRPr="000665B0">
        <w:t>Show “No NSP” warning upon trying to save an Option</w:t>
      </w:r>
      <w:r w:rsidR="006F6CC8" w:rsidRPr="000665B0">
        <w:t xml:space="preserve"> with no ACA Missile Assignments</w:t>
      </w:r>
      <w:r w:rsidRPr="000665B0">
        <w:t xml:space="preserve"> – </w:t>
      </w:r>
      <w:r w:rsidR="007215A6" w:rsidRPr="000665B0">
        <w:t>Enables/disables</w:t>
      </w:r>
      <w:r w:rsidRPr="000665B0">
        <w:t xml:space="preserve"> the No NSP warning message when saving an option</w:t>
      </w:r>
      <w:r w:rsidR="007215A6" w:rsidRPr="000665B0">
        <w:t xml:space="preserve"> without ACA missile assignments</w:t>
      </w:r>
      <w:r w:rsidRPr="000665B0">
        <w:t xml:space="preserve"> that does not have an NSP</w:t>
      </w:r>
      <w:r w:rsidR="00294000" w:rsidRPr="000665B0">
        <w:t xml:space="preserve"> </w:t>
      </w:r>
      <w:r w:rsidR="007215A6" w:rsidRPr="000665B0">
        <w:t>assigned to the Arsenal</w:t>
      </w:r>
      <w:r w:rsidRPr="000665B0">
        <w:t>.</w:t>
      </w:r>
    </w:p>
    <w:p w14:paraId="2E225019" w14:textId="69550AEA" w:rsidR="00AD7F82" w:rsidRPr="004A107F" w:rsidRDefault="007215A6" w:rsidP="004A107F">
      <w:pPr>
        <w:spacing w:line="240" w:lineRule="auto"/>
        <w:jc w:val="center"/>
      </w:pPr>
      <w:r w:rsidRPr="000665B0">
        <w:rPr>
          <w:noProof/>
        </w:rPr>
        <w:drawing>
          <wp:inline distT="0" distB="0" distL="0" distR="0" wp14:anchorId="080390BD" wp14:editId="4F05B21E">
            <wp:extent cx="2286000" cy="850392"/>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850392"/>
                    </a:xfrm>
                    <a:prstGeom prst="rect">
                      <a:avLst/>
                    </a:prstGeom>
                  </pic:spPr>
                </pic:pic>
              </a:graphicData>
            </a:graphic>
          </wp:inline>
        </w:drawing>
      </w:r>
      <w:bookmarkStart w:id="6194" w:name="_Geo_Properties"/>
      <w:bookmarkEnd w:id="6194"/>
    </w:p>
    <w:p w14:paraId="3EE68D0A" w14:textId="7D61DB2D" w:rsidR="0060105C" w:rsidRPr="000665B0" w:rsidRDefault="008C632C" w:rsidP="00B47890">
      <w:pPr>
        <w:pStyle w:val="Heading5"/>
        <w:spacing w:before="0"/>
      </w:pPr>
      <w:bookmarkStart w:id="6195" w:name="_Geo_Properties_1"/>
      <w:bookmarkEnd w:id="6195"/>
      <w:r w:rsidRPr="000665B0">
        <w:t>Geo Properties</w:t>
      </w:r>
    </w:p>
    <w:p w14:paraId="2DBD9DF0" w14:textId="308BD336" w:rsidR="008C632C" w:rsidRDefault="00AB579B" w:rsidP="009570CA">
      <w:r w:rsidRPr="000665B0">
        <w:t>D</w:t>
      </w:r>
      <w:r w:rsidR="009F758F" w:rsidRPr="000665B0">
        <w:t xml:space="preserve">isplays the </w:t>
      </w:r>
      <w:r w:rsidR="00C8760A" w:rsidRPr="000665B0">
        <w:rPr>
          <w:i/>
        </w:rPr>
        <w:t xml:space="preserve">Missile </w:t>
      </w:r>
      <w:r w:rsidR="009F758F" w:rsidRPr="000665B0">
        <w:rPr>
          <w:i/>
        </w:rPr>
        <w:t>Geographic Display Properties – User Preference</w:t>
      </w:r>
      <w:r w:rsidR="009F758F" w:rsidRPr="000665B0">
        <w:rPr>
          <w:b/>
        </w:rPr>
        <w:t xml:space="preserve"> </w:t>
      </w:r>
      <w:r w:rsidR="009F758F" w:rsidRPr="000665B0">
        <w:t>window to c</w:t>
      </w:r>
      <w:r w:rsidR="008C632C" w:rsidRPr="000665B0">
        <w:t xml:space="preserve">hange the </w:t>
      </w:r>
      <w:r w:rsidR="00C8760A" w:rsidRPr="000665B0">
        <w:t xml:space="preserve">Missile </w:t>
      </w:r>
      <w:r w:rsidR="008C632C" w:rsidRPr="000665B0">
        <w:t>Geographic Display properties.</w:t>
      </w:r>
    </w:p>
    <w:p w14:paraId="7F3297DA" w14:textId="37C5DAB9" w:rsidR="006C4CC8" w:rsidRDefault="006C4CC8" w:rsidP="009570CA">
      <w:pPr>
        <w:jc w:val="center"/>
      </w:pPr>
      <w:r>
        <w:rPr>
          <w:noProof/>
        </w:rPr>
        <w:drawing>
          <wp:inline distT="0" distB="0" distL="0" distR="0" wp14:anchorId="3C64C39F" wp14:editId="57DCBBCD">
            <wp:extent cx="2581470" cy="3794760"/>
            <wp:effectExtent l="0" t="0" r="0" b="0"/>
            <wp:docPr id="2322" name="Picture 23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337" descr="Graphical user interface, application&#10;&#10;Description automatically generated"/>
                    <pic:cNvPicPr/>
                  </pic:nvPicPr>
                  <pic:blipFill>
                    <a:blip/>
                    <a:stretch>
                      <a:fillRect/>
                    </a:stretch>
                  </pic:blipFill>
                  <pic:spPr>
                    <a:xfrm>
                      <a:off x="0" y="0"/>
                      <a:ext cx="2595786" cy="3815805"/>
                    </a:xfrm>
                    <a:prstGeom prst="rect">
                      <a:avLst/>
                    </a:prstGeom>
                  </pic:spPr>
                </pic:pic>
              </a:graphicData>
            </a:graphic>
          </wp:inline>
        </w:drawing>
      </w:r>
    </w:p>
    <w:p w14:paraId="3C5AB297" w14:textId="77777777" w:rsidR="008D2EFA" w:rsidRPr="000665B0" w:rsidRDefault="008D2EFA" w:rsidP="006D5A65">
      <w:pPr>
        <w:pStyle w:val="Heading1"/>
      </w:pPr>
      <w:r w:rsidRPr="000665B0">
        <w:lastRenderedPageBreak/>
        <w:t xml:space="preserve">Assign Colors from – Defines the coloring option for the display of mission routes on the SMD Geo Display. The palette options are prepared to contrast the color of the SMD Geo Display. For example, if the SMD Geo Display has a dark color scheme, select Dark Map Palette so that the mission routes are assigned bright colors to contrast with the dark colored land mass and ocean colors in the SMD Geo Display. </w:t>
      </w:r>
    </w:p>
    <w:p w14:paraId="06CB49DD" w14:textId="07199C53" w:rsidR="008D2EFA" w:rsidRPr="000665B0" w:rsidRDefault="008D2EFA" w:rsidP="006D5A65">
      <w:pPr>
        <w:pStyle w:val="Heading2"/>
      </w:pPr>
      <w:r w:rsidRPr="000665B0">
        <w:t>Select either the Custom Map, Normal Map, Dark Map, Light Map, or Windows Palette. The color in each palette may be changed by clicking on the colored square which displays the Color window to customize the palette.</w:t>
      </w:r>
    </w:p>
    <w:p w14:paraId="47E70732" w14:textId="655C4E20" w:rsidR="008D2EFA" w:rsidRPr="000665B0" w:rsidRDefault="008D2EFA" w:rsidP="006D5A65">
      <w:pPr>
        <w:pStyle w:val="Heading2"/>
      </w:pPr>
      <w:r w:rsidRPr="000665B0">
        <w:t xml:space="preserve">Alternatively, select Single Color to display all mission routes in the selected color. </w:t>
      </w:r>
    </w:p>
    <w:p w14:paraId="050BEB8D" w14:textId="3361B77F" w:rsidR="008D2EFA" w:rsidRPr="000665B0" w:rsidRDefault="008D2EFA" w:rsidP="006D5A65">
      <w:pPr>
        <w:pStyle w:val="Heading1"/>
      </w:pPr>
      <w:r w:rsidRPr="000665B0">
        <w:t xml:space="preserve">Route – </w:t>
      </w:r>
      <w:r w:rsidR="00C24C25" w:rsidRPr="000665B0">
        <w:t>Sets</w:t>
      </w:r>
      <w:r w:rsidRPr="000665B0">
        <w:t xml:space="preserve"> options for </w:t>
      </w:r>
      <w:r w:rsidR="00C24C25" w:rsidRPr="000665B0">
        <w:t xml:space="preserve">the </w:t>
      </w:r>
      <w:r w:rsidRPr="000665B0">
        <w:t xml:space="preserve">display </w:t>
      </w:r>
      <w:r w:rsidR="00C24C25" w:rsidRPr="000665B0">
        <w:t xml:space="preserve">of </w:t>
      </w:r>
      <w:r w:rsidR="00134479" w:rsidRPr="000665B0">
        <w:t>missile/</w:t>
      </w:r>
      <w:r w:rsidRPr="000665B0">
        <w:t xml:space="preserve">mission routes based on waypoints or action points. Only one of the first two options can be </w:t>
      </w:r>
      <w:r w:rsidR="00C24C25" w:rsidRPr="000665B0">
        <w:t>selected.</w:t>
      </w:r>
    </w:p>
    <w:p w14:paraId="3558204B" w14:textId="0FAD7056" w:rsidR="008D2EFA" w:rsidRPr="000665B0" w:rsidRDefault="008D2EFA" w:rsidP="006D5A65">
      <w:pPr>
        <w:pStyle w:val="Heading2"/>
      </w:pPr>
      <w:r w:rsidRPr="000665B0">
        <w:t>Show Route Waypoint to Waypoint</w:t>
      </w:r>
      <w:r w:rsidR="00F35064" w:rsidRPr="000665B0">
        <w:t xml:space="preserve"> </w:t>
      </w:r>
      <w:r w:rsidRPr="000665B0">
        <w:t>– When selected, display</w:t>
      </w:r>
      <w:r w:rsidR="00C24C25" w:rsidRPr="000665B0">
        <w:t>s</w:t>
      </w:r>
      <w:r w:rsidRPr="000665B0">
        <w:t xml:space="preserve"> </w:t>
      </w:r>
      <w:r w:rsidR="00C24C25" w:rsidRPr="000665B0">
        <w:t xml:space="preserve">the </w:t>
      </w:r>
      <w:r w:rsidR="00134479" w:rsidRPr="000665B0">
        <w:t xml:space="preserve">missile </w:t>
      </w:r>
      <w:r w:rsidRPr="000665B0">
        <w:t xml:space="preserve">route </w:t>
      </w:r>
      <w:r w:rsidR="00F35064" w:rsidRPr="000665B0">
        <w:t>from waypoint to waypoint</w:t>
      </w:r>
      <w:r w:rsidRPr="000665B0">
        <w:t>.</w:t>
      </w:r>
    </w:p>
    <w:bookmarkEnd w:id="6173"/>
    <w:p w14:paraId="10DBAD33" w14:textId="473C7D90" w:rsidR="008D2EFA" w:rsidRPr="000665B0" w:rsidRDefault="008D2EFA" w:rsidP="006D5A65">
      <w:pPr>
        <w:pStyle w:val="Heading2"/>
      </w:pPr>
      <w:r w:rsidRPr="000665B0">
        <w:t>Show Route Action Point to Action Point</w:t>
      </w:r>
      <w:r w:rsidR="00F35064" w:rsidRPr="000665B0">
        <w:t xml:space="preserve"> </w:t>
      </w:r>
      <w:r w:rsidRPr="000665B0">
        <w:t>– When selected, display</w:t>
      </w:r>
      <w:r w:rsidR="00C24C25" w:rsidRPr="000665B0">
        <w:t>s</w:t>
      </w:r>
      <w:r w:rsidRPr="000665B0">
        <w:t xml:space="preserve"> </w:t>
      </w:r>
      <w:r w:rsidR="00C24C25" w:rsidRPr="000665B0">
        <w:t xml:space="preserve">the </w:t>
      </w:r>
      <w:r w:rsidR="00134479" w:rsidRPr="000665B0">
        <w:t xml:space="preserve">missile </w:t>
      </w:r>
      <w:r w:rsidRPr="000665B0">
        <w:t xml:space="preserve">route </w:t>
      </w:r>
      <w:r w:rsidR="00F35064" w:rsidRPr="000665B0">
        <w:t xml:space="preserve">from </w:t>
      </w:r>
      <w:r w:rsidRPr="000665B0">
        <w:t xml:space="preserve">action </w:t>
      </w:r>
      <w:r w:rsidR="00F35064" w:rsidRPr="000665B0">
        <w:t>point to action point</w:t>
      </w:r>
      <w:r w:rsidRPr="000665B0">
        <w:t>.</w:t>
      </w:r>
    </w:p>
    <w:p w14:paraId="569029BC" w14:textId="76A9D55A" w:rsidR="008D2EFA" w:rsidRPr="000665B0" w:rsidRDefault="008D2EFA" w:rsidP="006D5A65">
      <w:pPr>
        <w:pStyle w:val="Heading2"/>
      </w:pPr>
      <w:r w:rsidRPr="000665B0">
        <w:t>Show Route Points – When selected, display</w:t>
      </w:r>
      <w:r w:rsidR="00C24C25" w:rsidRPr="000665B0">
        <w:t xml:space="preserve">s either the waypoints or action points </w:t>
      </w:r>
      <w:r w:rsidR="00D17D1E" w:rsidRPr="000665B0">
        <w:t>along</w:t>
      </w:r>
      <w:r w:rsidR="00C24C25" w:rsidRPr="000665B0">
        <w:t xml:space="preserve"> the </w:t>
      </w:r>
      <w:r w:rsidR="00134479" w:rsidRPr="000665B0">
        <w:t xml:space="preserve">missile </w:t>
      </w:r>
      <w:r w:rsidR="00C24C25" w:rsidRPr="000665B0">
        <w:t xml:space="preserve">route, based on the </w:t>
      </w:r>
      <w:r w:rsidRPr="000665B0">
        <w:t>Show Route</w:t>
      </w:r>
      <w:r w:rsidR="00C24C25" w:rsidRPr="000665B0">
        <w:t xml:space="preserve"> selection</w:t>
      </w:r>
      <w:r w:rsidRPr="000665B0">
        <w:t xml:space="preserve">. </w:t>
      </w:r>
      <w:r w:rsidR="00C24C25" w:rsidRPr="000665B0">
        <w:t>W</w:t>
      </w:r>
      <w:r w:rsidRPr="000665B0">
        <w:t>aypoints</w:t>
      </w:r>
      <w:r w:rsidR="00D17D1E" w:rsidRPr="000665B0">
        <w:t xml:space="preserve"> are indicated by </w:t>
      </w:r>
      <w:r w:rsidRPr="000665B0">
        <w:t>solid circle</w:t>
      </w:r>
      <w:r w:rsidR="00D17D1E" w:rsidRPr="000665B0">
        <w:t>s while</w:t>
      </w:r>
      <w:r w:rsidRPr="000665B0">
        <w:t xml:space="preserve"> action points</w:t>
      </w:r>
      <w:r w:rsidR="00D17D1E" w:rsidRPr="000665B0">
        <w:t xml:space="preserve"> are indicated by</w:t>
      </w:r>
      <w:r w:rsidRPr="000665B0">
        <w:t xml:space="preserve"> </w:t>
      </w:r>
      <w:r w:rsidR="00647839" w:rsidRPr="000665B0">
        <w:t>hollow diamonds</w:t>
      </w:r>
      <w:r w:rsidRPr="000665B0">
        <w:t>.</w:t>
      </w:r>
    </w:p>
    <w:p w14:paraId="739DF194" w14:textId="6C6AC7F1" w:rsidR="008D2EFA" w:rsidRPr="000665B0" w:rsidRDefault="008D2EFA" w:rsidP="006D5A65">
      <w:pPr>
        <w:pStyle w:val="Heading2"/>
      </w:pPr>
      <w:r w:rsidRPr="000665B0">
        <w:t>Show Point</w:t>
      </w:r>
      <w:r w:rsidR="00F35064" w:rsidRPr="000665B0">
        <w:t>s</w:t>
      </w:r>
      <w:r w:rsidRPr="000665B0">
        <w:t xml:space="preserve"> </w:t>
      </w:r>
      <w:r w:rsidR="00F35064" w:rsidRPr="000665B0">
        <w:t xml:space="preserve">&amp; </w:t>
      </w:r>
      <w:r w:rsidRPr="000665B0">
        <w:t>Number</w:t>
      </w:r>
      <w:r w:rsidR="00F35064" w:rsidRPr="000665B0">
        <w:t>s</w:t>
      </w:r>
      <w:r w:rsidRPr="000665B0">
        <w:t xml:space="preserve"> – When selected, </w:t>
      </w:r>
      <w:r w:rsidR="00D17D1E" w:rsidRPr="000665B0">
        <w:t xml:space="preserve">displays </w:t>
      </w:r>
      <w:r w:rsidRPr="000665B0">
        <w:t xml:space="preserve">either the waypoint or </w:t>
      </w:r>
      <w:r w:rsidR="00D17D1E" w:rsidRPr="000665B0">
        <w:t xml:space="preserve">action point index numbers along the </w:t>
      </w:r>
      <w:r w:rsidR="00134479" w:rsidRPr="000665B0">
        <w:t xml:space="preserve">missile </w:t>
      </w:r>
      <w:r w:rsidR="00D17D1E" w:rsidRPr="000665B0">
        <w:t>route, based on the Show Route selection.</w:t>
      </w:r>
    </w:p>
    <w:p w14:paraId="0D49A445" w14:textId="43922A00" w:rsidR="008D2EFA" w:rsidRPr="000665B0" w:rsidRDefault="008D2EFA" w:rsidP="006D5A65">
      <w:pPr>
        <w:pStyle w:val="Heading2"/>
      </w:pPr>
      <w:r w:rsidRPr="000665B0">
        <w:t>Show Divert Route</w:t>
      </w:r>
      <w:r w:rsidR="00D17D1E" w:rsidRPr="000665B0">
        <w:t>s</w:t>
      </w:r>
      <w:r w:rsidRPr="000665B0">
        <w:t xml:space="preserve"> – When selected, if a mission has multiple-outcomes,</w:t>
      </w:r>
      <w:r w:rsidR="00D17D1E" w:rsidRPr="000665B0">
        <w:t xml:space="preserve"> displays</w:t>
      </w:r>
      <w:r w:rsidRPr="000665B0">
        <w:t xml:space="preserve"> all of its multiple outcomes (or branch route</w:t>
      </w:r>
      <w:r w:rsidR="00D17D1E" w:rsidRPr="000665B0">
        <w:t>s).</w:t>
      </w:r>
    </w:p>
    <w:p w14:paraId="5D2F94F3" w14:textId="3C671AB1" w:rsidR="008D2EFA" w:rsidRPr="000665B0" w:rsidRDefault="008D2EFA" w:rsidP="006D5A65">
      <w:pPr>
        <w:pStyle w:val="Heading1"/>
      </w:pPr>
      <w:r w:rsidRPr="000665B0">
        <w:lastRenderedPageBreak/>
        <w:t xml:space="preserve">Line Thickness – </w:t>
      </w:r>
      <w:r w:rsidR="00D17D1E" w:rsidRPr="000665B0">
        <w:t>Sets the line width of the</w:t>
      </w:r>
      <w:r w:rsidRPr="000665B0">
        <w:t xml:space="preserve"> then the mission </w:t>
      </w:r>
      <w:r w:rsidR="00D17D1E" w:rsidRPr="000665B0">
        <w:t>route</w:t>
      </w:r>
      <w:r w:rsidRPr="000665B0">
        <w:t>.</w:t>
      </w:r>
    </w:p>
    <w:p w14:paraId="05721CBA" w14:textId="49656734" w:rsidR="008D2EFA" w:rsidRPr="000665B0" w:rsidRDefault="008D2EFA" w:rsidP="006D5A65">
      <w:pPr>
        <w:pStyle w:val="Heading1"/>
      </w:pPr>
      <w:r w:rsidRPr="000665B0">
        <w:t xml:space="preserve">Mission Options – </w:t>
      </w:r>
      <w:r w:rsidR="00D17D1E" w:rsidRPr="000665B0">
        <w:t>Sets</w:t>
      </w:r>
      <w:r w:rsidRPr="000665B0">
        <w:t xml:space="preserve"> options for a list of objects to be displayed when a mission is being displayed on the SMD Geo Display. </w:t>
      </w:r>
    </w:p>
    <w:p w14:paraId="05C4B502" w14:textId="5BDC85BF" w:rsidR="008D2EFA" w:rsidRPr="000665B0" w:rsidRDefault="008D2EFA" w:rsidP="006D5A65">
      <w:pPr>
        <w:pStyle w:val="Heading2"/>
      </w:pPr>
      <w:r w:rsidRPr="000665B0">
        <w:t>Show TERCOM – When selected</w:t>
      </w:r>
      <w:r w:rsidR="00D17D1E" w:rsidRPr="000665B0">
        <w:t>,</w:t>
      </w:r>
      <w:r w:rsidRPr="000665B0">
        <w:t xml:space="preserve"> and the mission uses TERCOM maps, show</w:t>
      </w:r>
      <w:r w:rsidR="00D17D1E" w:rsidRPr="000665B0">
        <w:t>s</w:t>
      </w:r>
      <w:r w:rsidRPr="000665B0">
        <w:t xml:space="preserve"> the placement of TERCOM map along the route.</w:t>
      </w:r>
    </w:p>
    <w:p w14:paraId="6660D25C" w14:textId="4C96EC0A" w:rsidR="008D2EFA" w:rsidRPr="000665B0" w:rsidRDefault="008D2EFA" w:rsidP="006D5A65">
      <w:pPr>
        <w:pStyle w:val="Heading2"/>
      </w:pPr>
      <w:r w:rsidRPr="000665B0">
        <w:t>Show DSMAC – When selected</w:t>
      </w:r>
      <w:r w:rsidR="00D17D1E" w:rsidRPr="000665B0">
        <w:t>,</w:t>
      </w:r>
      <w:r w:rsidRPr="000665B0">
        <w:t xml:space="preserve"> and the mission uses DSMAC scenes, show</w:t>
      </w:r>
      <w:r w:rsidR="00D17D1E" w:rsidRPr="000665B0">
        <w:t>s</w:t>
      </w:r>
      <w:r w:rsidRPr="000665B0">
        <w:t xml:space="preserve"> the placement of DSMAC scenes along the route.</w:t>
      </w:r>
    </w:p>
    <w:p w14:paraId="2B72FBF3" w14:textId="35D5D673" w:rsidR="008D2EFA" w:rsidRPr="000665B0" w:rsidRDefault="008D2EFA" w:rsidP="006D5A65">
      <w:pPr>
        <w:pStyle w:val="Heading2"/>
      </w:pPr>
      <w:r w:rsidRPr="000665B0">
        <w:t xml:space="preserve">Show Launch Basket – When selected, </w:t>
      </w:r>
      <w:r w:rsidR="00D17D1E" w:rsidRPr="000665B0">
        <w:t xml:space="preserve">enables </w:t>
      </w:r>
      <w:r w:rsidRPr="000665B0">
        <w:t xml:space="preserve">the Launch Area Options </w:t>
      </w:r>
      <w:r w:rsidR="00D17D1E" w:rsidRPr="000665B0">
        <w:t>pane selections</w:t>
      </w:r>
      <w:r w:rsidRPr="000665B0">
        <w:t xml:space="preserve">. </w:t>
      </w:r>
    </w:p>
    <w:p w14:paraId="75385BA9" w14:textId="3267DA52" w:rsidR="008D2EFA" w:rsidRPr="000665B0" w:rsidRDefault="008D2EFA" w:rsidP="006D5A65">
      <w:pPr>
        <w:pStyle w:val="Heading2"/>
      </w:pPr>
      <w:r w:rsidRPr="000665B0">
        <w:t>Show Preplanned Targets – When selected, show</w:t>
      </w:r>
      <w:r w:rsidR="00D17D1E" w:rsidRPr="000665B0">
        <w:t>s</w:t>
      </w:r>
      <w:r w:rsidRPr="000665B0">
        <w:t xml:space="preserve"> all preplanned targets</w:t>
      </w:r>
      <w:r w:rsidR="00D17D1E" w:rsidRPr="000665B0">
        <w:t xml:space="preserve"> (</w:t>
      </w:r>
      <w:r w:rsidRPr="000665B0">
        <w:t>if more than one</w:t>
      </w:r>
      <w:r w:rsidR="00D17D1E" w:rsidRPr="000665B0">
        <w:t>)</w:t>
      </w:r>
      <w:r w:rsidRPr="000665B0">
        <w:t xml:space="preserve"> of the mission.</w:t>
      </w:r>
    </w:p>
    <w:p w14:paraId="0E21600D" w14:textId="552F47D7" w:rsidR="008D2EFA" w:rsidRPr="000665B0" w:rsidRDefault="008D2EFA" w:rsidP="006D5A65">
      <w:pPr>
        <w:pStyle w:val="Heading2"/>
      </w:pPr>
      <w:r w:rsidRPr="000665B0">
        <w:t>Show Preplanned Threats – When selected, show</w:t>
      </w:r>
      <w:r w:rsidR="00D17D1E" w:rsidRPr="000665B0">
        <w:t>s</w:t>
      </w:r>
      <w:r w:rsidRPr="000665B0">
        <w:t xml:space="preserve"> all threats that were used during the planning of the mission.</w:t>
      </w:r>
    </w:p>
    <w:p w14:paraId="316E9DBA" w14:textId="238F76ED" w:rsidR="008D2EFA" w:rsidRPr="000665B0" w:rsidRDefault="008D2EFA" w:rsidP="006D5A65">
      <w:pPr>
        <w:pStyle w:val="Heading2"/>
      </w:pPr>
      <w:r w:rsidRPr="000665B0">
        <w:t>Show Mission Object Data – When selected, show</w:t>
      </w:r>
      <w:r w:rsidR="00D17D1E" w:rsidRPr="000665B0">
        <w:t>s</w:t>
      </w:r>
      <w:r w:rsidRPr="000665B0">
        <w:t xml:space="preserve"> all mission object data</w:t>
      </w:r>
      <w:r w:rsidR="00D17D1E" w:rsidRPr="000665B0">
        <w:t>.</w:t>
      </w:r>
      <w:r w:rsidRPr="000665B0">
        <w:t xml:space="preserve"> </w:t>
      </w:r>
    </w:p>
    <w:p w14:paraId="7BA5BB96" w14:textId="71A3542F" w:rsidR="008D2EFA" w:rsidRPr="000665B0" w:rsidRDefault="008D2EFA" w:rsidP="006D5A65">
      <w:pPr>
        <w:pStyle w:val="Heading1"/>
      </w:pPr>
      <w:r w:rsidRPr="000665B0">
        <w:t xml:space="preserve">Launch Area Options – </w:t>
      </w:r>
      <w:r w:rsidR="00ED6980" w:rsidRPr="000665B0">
        <w:t>Determines whether to</w:t>
      </w:r>
      <w:r w:rsidRPr="000665B0">
        <w:t xml:space="preserve"> display </w:t>
      </w:r>
      <w:r w:rsidR="00ED6980" w:rsidRPr="000665B0">
        <w:t>a</w:t>
      </w:r>
      <w:r w:rsidRPr="000665B0">
        <w:t xml:space="preserve"> launch basket or a launch area </w:t>
      </w:r>
      <w:r w:rsidR="00ED6980" w:rsidRPr="000665B0">
        <w:t>of the</w:t>
      </w:r>
      <w:r w:rsidRPr="000665B0">
        <w:t xml:space="preserve"> mission on the SMD Geo Display.</w:t>
      </w:r>
    </w:p>
    <w:p w14:paraId="201A7396" w14:textId="062A32AC" w:rsidR="008D2EFA" w:rsidRPr="000665B0" w:rsidRDefault="008D2EFA" w:rsidP="006D5A65">
      <w:pPr>
        <w:pStyle w:val="Heading2"/>
      </w:pPr>
      <w:r w:rsidRPr="000665B0">
        <w:t xml:space="preserve">Launch Basket – When selected, </w:t>
      </w:r>
      <w:r w:rsidR="00ED6980" w:rsidRPr="000665B0">
        <w:t xml:space="preserve">displays </w:t>
      </w:r>
      <w:r w:rsidRPr="000665B0">
        <w:t>the launch basket along with the mission route. The launch basket is an area that constrains the launch position to be within to ensure that the launched missile will reach the preplanned target.</w:t>
      </w:r>
    </w:p>
    <w:p w14:paraId="15155B53" w14:textId="0B906981" w:rsidR="008030FC" w:rsidRPr="000665B0" w:rsidRDefault="008D2EFA" w:rsidP="006D5A65">
      <w:pPr>
        <w:pStyle w:val="Heading2"/>
      </w:pPr>
      <w:r w:rsidRPr="000665B0">
        <w:t xml:space="preserve">Launch Area – When selected, </w:t>
      </w:r>
      <w:r w:rsidR="00ED6980" w:rsidRPr="000665B0">
        <w:t xml:space="preserve">displays </w:t>
      </w:r>
      <w:r w:rsidRPr="000665B0">
        <w:t xml:space="preserve">the launch area along with the mission route. The launch area is a full circle centered on a FRU; however, one semi-circle of the full circle is smaller than the other semi-circle. The reduction in radius resulting in the smaller semi-circle is definable by the operator. The delta difference in the radius of the two semi-circles is referenced as Opposing Semi-Circle Reduction. </w:t>
      </w:r>
      <w:r w:rsidR="008030FC" w:rsidRPr="000665B0">
        <w:t xml:space="preserve">An Opposing Semi-Circle Reduction value of 19 means that the radius of the opposing circle is reduced by 19 NM. </w:t>
      </w:r>
    </w:p>
    <w:p w14:paraId="50992584" w14:textId="77777777" w:rsidR="00116BB5" w:rsidRPr="000665B0" w:rsidRDefault="008D2EFA" w:rsidP="006D5A65">
      <w:pPr>
        <w:pStyle w:val="Heading2"/>
      </w:pPr>
      <w:r w:rsidRPr="000665B0">
        <w:t>Launch Area Size</w:t>
      </w:r>
    </w:p>
    <w:p w14:paraId="6A68DC2C" w14:textId="05C30DC9" w:rsidR="00116BB5" w:rsidRPr="000665B0" w:rsidRDefault="008D2EFA" w:rsidP="006D5A65">
      <w:pPr>
        <w:pStyle w:val="Heading3"/>
      </w:pPr>
      <w:r w:rsidRPr="000665B0">
        <w:lastRenderedPageBreak/>
        <w:t>Mission Timing Requirement</w:t>
      </w:r>
      <w:r w:rsidR="00116BB5" w:rsidRPr="000665B0">
        <w:t xml:space="preserve"> – T</w:t>
      </w:r>
      <w:r w:rsidRPr="000665B0">
        <w:t xml:space="preserve">he launch area size is determined by </w:t>
      </w:r>
      <w:r w:rsidR="00116BB5" w:rsidRPr="000665B0">
        <w:t xml:space="preserve">the </w:t>
      </w:r>
      <w:r w:rsidRPr="000665B0">
        <w:t xml:space="preserve">mission timing requirement. </w:t>
      </w:r>
    </w:p>
    <w:p w14:paraId="177797DE" w14:textId="623DF606" w:rsidR="008D2EFA" w:rsidRPr="000665B0" w:rsidRDefault="008D2EFA" w:rsidP="006D5A65">
      <w:pPr>
        <w:pStyle w:val="Heading3"/>
      </w:pPr>
      <w:r w:rsidRPr="000665B0">
        <w:t>TOA and non-TOA MAXSOR</w:t>
      </w:r>
      <w:r w:rsidR="00116BB5" w:rsidRPr="000665B0">
        <w:t xml:space="preserve"> – T</w:t>
      </w:r>
      <w:r w:rsidRPr="000665B0">
        <w:t xml:space="preserve">he launch area size </w:t>
      </w:r>
      <w:r w:rsidR="00116BB5" w:rsidRPr="000665B0">
        <w:t>is</w:t>
      </w:r>
      <w:r w:rsidRPr="000665B0">
        <w:t xml:space="preserve"> based on the maximum standoff range.</w:t>
      </w:r>
    </w:p>
    <w:p w14:paraId="7E142655" w14:textId="116AAD01" w:rsidR="00462F6C" w:rsidRPr="000665B0" w:rsidRDefault="00462F6C" w:rsidP="009570CA">
      <w:r w:rsidRPr="000665B0">
        <w:t xml:space="preserve">For a maritime strike, the missile icon on the Geo pane contains a halo background color behind the icon ( </w:t>
      </w:r>
      <w:r w:rsidRPr="000665B0">
        <w:rPr>
          <w:noProof/>
          <w:position w:val="-6"/>
        </w:rPr>
        <w:drawing>
          <wp:inline distT="0" distB="0" distL="0" distR="0" wp14:anchorId="77FF7A6B" wp14:editId="16C9A465">
            <wp:extent cx="208801" cy="198362"/>
            <wp:effectExtent l="0" t="0" r="1270" b="0"/>
            <wp:docPr id="2050"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17453" cy="206581"/>
                    </a:xfrm>
                    <a:prstGeom prst="rect">
                      <a:avLst/>
                    </a:prstGeom>
                  </pic:spPr>
                </pic:pic>
              </a:graphicData>
            </a:graphic>
          </wp:inline>
        </w:drawing>
      </w:r>
      <w:r w:rsidRPr="000665B0">
        <w:t xml:space="preserve"> ). The halo color indicates the missile’s progress. To change the default missile halo color to a different palette, see </w:t>
      </w:r>
      <w:hyperlink w:anchor="_Configuring__Missile" w:history="1">
        <w:r w:rsidRPr="000665B0">
          <w:rPr>
            <w:rStyle w:val="Hyperlink"/>
          </w:rPr>
          <w:t xml:space="preserve">Section </w:t>
        </w:r>
        <w:r w:rsidR="004231CC">
          <w:rPr>
            <w:rStyle w:val="Hyperlink"/>
          </w:rPr>
          <w:t>5.26</w:t>
        </w:r>
        <w:r w:rsidRPr="000665B0">
          <w:rPr>
            <w:rStyle w:val="Hyperlink"/>
          </w:rPr>
          <w:t>.7.4</w:t>
        </w:r>
      </w:hyperlink>
      <w:r w:rsidRPr="000665B0">
        <w:t>.</w:t>
      </w:r>
    </w:p>
    <w:p w14:paraId="33A68EFD" w14:textId="7298F990" w:rsidR="0098154A" w:rsidRPr="000665B0" w:rsidRDefault="000F64EF" w:rsidP="00B260C9">
      <w:pPr>
        <w:pStyle w:val="Heading3"/>
      </w:pPr>
      <w:bookmarkStart w:id="6196" w:name="_Toc289328846"/>
      <w:bookmarkStart w:id="6197" w:name="_Toc312332063"/>
      <w:bookmarkStart w:id="6198" w:name="_Toc214283555"/>
      <w:bookmarkStart w:id="6199" w:name="_Toc71955737"/>
      <w:bookmarkStart w:id="6200" w:name="_Toc96170268"/>
      <w:bookmarkStart w:id="6201" w:name="_Toc96234313"/>
      <w:bookmarkStart w:id="6202" w:name="_Toc112733733"/>
      <w:bookmarkStart w:id="6203" w:name="_Toc164499427"/>
      <w:bookmarkEnd w:id="6122"/>
      <w:bookmarkEnd w:id="6123"/>
      <w:bookmarkEnd w:id="6124"/>
      <w:bookmarkEnd w:id="6125"/>
      <w:bookmarkEnd w:id="6126"/>
      <w:r w:rsidRPr="000665B0">
        <w:t xml:space="preserve">Create New </w:t>
      </w:r>
      <w:r w:rsidR="0098154A" w:rsidRPr="000665B0">
        <w:t>Strike Folder</w:t>
      </w:r>
      <w:bookmarkEnd w:id="6196"/>
      <w:bookmarkEnd w:id="6197"/>
      <w:bookmarkEnd w:id="6198"/>
    </w:p>
    <w:p w14:paraId="17C849F1" w14:textId="0C30BF2B" w:rsidR="0098154A" w:rsidRPr="000665B0" w:rsidRDefault="0098154A" w:rsidP="009570CA">
      <w:pPr>
        <w:pStyle w:val="BodyText"/>
        <w:tabs>
          <w:tab w:val="left" w:pos="720"/>
        </w:tabs>
        <w:spacing w:after="120"/>
      </w:pPr>
      <w:r w:rsidRPr="000665B0">
        <w:t xml:space="preserve">A Strike Folder is </w:t>
      </w:r>
      <w:r w:rsidR="004D0F8E" w:rsidRPr="000665B0">
        <w:t xml:space="preserve">the </w:t>
      </w:r>
      <w:r w:rsidRPr="000665B0">
        <w:t xml:space="preserve">tool </w:t>
      </w:r>
      <w:r w:rsidR="004D0F8E" w:rsidRPr="000665B0">
        <w:t xml:space="preserve">used </w:t>
      </w:r>
      <w:r w:rsidRPr="000665B0">
        <w:t xml:space="preserve">to create, organize, coordinate, and manage the Strike data for use in military operations. </w:t>
      </w:r>
      <w:r w:rsidR="00BD1EE6" w:rsidRPr="000665B0">
        <w:t>Individual t</w:t>
      </w:r>
      <w:r w:rsidR="0045148D" w:rsidRPr="000665B0">
        <w:t xml:space="preserve">ools within the Strike Folder </w:t>
      </w:r>
      <w:r w:rsidR="00BD1EE6" w:rsidRPr="000665B0">
        <w:t>work in conjunction with one another</w:t>
      </w:r>
      <w:r w:rsidR="0045148D" w:rsidRPr="000665B0">
        <w:t xml:space="preserve"> to</w:t>
      </w:r>
      <w:r w:rsidR="00BD1EE6" w:rsidRPr="000665B0">
        <w:t xml:space="preserve"> set up and manage Strike data.</w:t>
      </w:r>
      <w:r w:rsidR="0045148D" w:rsidRPr="000665B0">
        <w:t xml:space="preserve"> </w:t>
      </w:r>
      <w:r w:rsidRPr="000665B0">
        <w:t xml:space="preserve">The tools provided </w:t>
      </w:r>
      <w:r w:rsidR="0045148D" w:rsidRPr="000665B0">
        <w:t>within</w:t>
      </w:r>
      <w:r w:rsidRPr="000665B0">
        <w:t xml:space="preserve"> the Strike Folder are the Strike Tasking Matrix, Geographic Resources, Mission Candidates Matrix, </w:t>
      </w:r>
      <w:r w:rsidR="00ED58B8" w:rsidRPr="000665B0">
        <w:t xml:space="preserve">Task </w:t>
      </w:r>
      <w:r w:rsidRPr="000665B0">
        <w:t xml:space="preserve">Organization, Strike Options, LMOs, Attachments, and History. </w:t>
      </w:r>
    </w:p>
    <w:p w14:paraId="70B59442" w14:textId="597D08C9" w:rsidR="008B743F" w:rsidRPr="000665B0" w:rsidRDefault="008B743F" w:rsidP="009570CA">
      <w:pPr>
        <w:pStyle w:val="BodyText"/>
        <w:tabs>
          <w:tab w:val="left" w:pos="720"/>
        </w:tabs>
        <w:spacing w:after="120"/>
      </w:pPr>
      <w:r w:rsidRPr="000665B0">
        <w:t xml:space="preserve">Strike Folders </w:t>
      </w:r>
      <w:r w:rsidR="00C72742" w:rsidRPr="000665B0">
        <w:t xml:space="preserve">containing only a single FRU </w:t>
      </w:r>
      <w:r w:rsidRPr="000665B0">
        <w:t xml:space="preserve">may also be created using the Quick Strike Tool (if installed; see </w:t>
      </w:r>
      <w:hyperlink w:anchor="_QUICK_STRIKE_TOOL_1" w:history="1">
        <w:r w:rsidR="00984911" w:rsidRPr="00A25437">
          <w:rPr>
            <w:rStyle w:val="Hyperlink"/>
          </w:rPr>
          <w:t xml:space="preserve">Section </w:t>
        </w:r>
        <w:r w:rsidR="004231CC">
          <w:rPr>
            <w:rStyle w:val="Hyperlink"/>
          </w:rPr>
          <w:t>5.36</w:t>
        </w:r>
      </w:hyperlink>
      <w:r w:rsidRPr="000665B0">
        <w:t>).</w:t>
      </w:r>
    </w:p>
    <w:p w14:paraId="79C967B5" w14:textId="73D9D585" w:rsidR="001457C8" w:rsidRPr="000665B0" w:rsidRDefault="0098154A" w:rsidP="006D5A65">
      <w:pPr>
        <w:pStyle w:val="Heading1"/>
      </w:pPr>
      <w:r w:rsidRPr="000665B0">
        <w:t xml:space="preserve">Tasking </w:t>
      </w:r>
      <w:r w:rsidR="001457C8" w:rsidRPr="000665B0">
        <w:t>– Identifies and manages all of the Tasking (</w:t>
      </w:r>
      <w:r w:rsidR="003509EA" w:rsidRPr="000665B0">
        <w:t xml:space="preserve">i.e., </w:t>
      </w:r>
      <w:r w:rsidR="001457C8" w:rsidRPr="000665B0">
        <w:t>Targets) and Objectives for the Strike</w:t>
      </w:r>
      <w:r w:rsidR="001457C8" w:rsidRPr="000665B0" w:rsidDel="001457C8">
        <w:t xml:space="preserve"> </w:t>
      </w:r>
      <w:r w:rsidR="001457C8" w:rsidRPr="000665B0">
        <w:t>Folder</w:t>
      </w:r>
      <w:r w:rsidRPr="000665B0">
        <w:t xml:space="preserve">. </w:t>
      </w:r>
    </w:p>
    <w:p w14:paraId="3E9C7DB2" w14:textId="77777777" w:rsidR="001457C8" w:rsidRPr="000665B0" w:rsidRDefault="0098154A" w:rsidP="006D5A65">
      <w:pPr>
        <w:pStyle w:val="Heading1"/>
      </w:pPr>
      <w:r w:rsidRPr="000665B0">
        <w:t xml:space="preserve">Geographic Resources </w:t>
      </w:r>
      <w:r w:rsidR="001457C8" w:rsidRPr="000665B0">
        <w:t xml:space="preserve">– Identifies and manages all of the ACMS and Overlay geographic resources </w:t>
      </w:r>
      <w:r w:rsidR="00E023CC" w:rsidRPr="000665B0">
        <w:t>to</w:t>
      </w:r>
      <w:r w:rsidR="001457C8" w:rsidRPr="000665B0">
        <w:t xml:space="preserve"> be used by </w:t>
      </w:r>
      <w:r w:rsidR="00E023CC" w:rsidRPr="000665B0">
        <w:t>the</w:t>
      </w:r>
      <w:r w:rsidR="001457C8" w:rsidRPr="000665B0">
        <w:t xml:space="preserve"> Strike Folder</w:t>
      </w:r>
      <w:r w:rsidRPr="000665B0">
        <w:t xml:space="preserve">. </w:t>
      </w:r>
    </w:p>
    <w:p w14:paraId="148EE1B8" w14:textId="77777777" w:rsidR="001457C8" w:rsidRPr="000665B0" w:rsidRDefault="0098154A" w:rsidP="006D5A65">
      <w:pPr>
        <w:pStyle w:val="Heading1"/>
      </w:pPr>
      <w:r w:rsidRPr="000665B0">
        <w:t xml:space="preserve">Candidates Matrix </w:t>
      </w:r>
      <w:r w:rsidR="001457C8" w:rsidRPr="000665B0">
        <w:t>– Used to search MDS for all of the potential candidates (TLAM Missions, TMPRs, and LMOs) that meet the requirements of the Strike Folder’s Tasking</w:t>
      </w:r>
      <w:r w:rsidRPr="000665B0">
        <w:t xml:space="preserve">. </w:t>
      </w:r>
    </w:p>
    <w:p w14:paraId="48761155" w14:textId="77777777" w:rsidR="001457C8" w:rsidRPr="000665B0" w:rsidRDefault="0098154A" w:rsidP="006D5A65">
      <w:pPr>
        <w:pStyle w:val="Heading1"/>
      </w:pPr>
      <w:r w:rsidRPr="000665B0">
        <w:t xml:space="preserve">Organization </w:t>
      </w:r>
      <w:r w:rsidR="001457C8" w:rsidRPr="000665B0">
        <w:t xml:space="preserve">– Specifies the Platform and Node Organizations </w:t>
      </w:r>
      <w:r w:rsidR="00E023CC" w:rsidRPr="000665B0">
        <w:t>to</w:t>
      </w:r>
      <w:r w:rsidR="001457C8" w:rsidRPr="000665B0">
        <w:t xml:space="preserve"> be used by the Strike Folder </w:t>
      </w:r>
      <w:r w:rsidR="00E023CC" w:rsidRPr="000665B0">
        <w:t xml:space="preserve">and </w:t>
      </w:r>
      <w:r w:rsidRPr="000665B0">
        <w:t xml:space="preserve">provides the ability to view the roles of the participating Nodes. </w:t>
      </w:r>
    </w:p>
    <w:p w14:paraId="7483BA46" w14:textId="77777777" w:rsidR="001457C8" w:rsidRPr="000665B0" w:rsidRDefault="0098154A" w:rsidP="006D5A65">
      <w:pPr>
        <w:pStyle w:val="Heading1"/>
      </w:pPr>
      <w:r w:rsidRPr="000665B0">
        <w:t xml:space="preserve">Options </w:t>
      </w:r>
      <w:r w:rsidR="001457C8" w:rsidRPr="000665B0">
        <w:t>– C</w:t>
      </w:r>
      <w:r w:rsidRPr="000665B0">
        <w:t>reate</w:t>
      </w:r>
      <w:r w:rsidR="001457C8" w:rsidRPr="000665B0">
        <w:t>s</w:t>
      </w:r>
      <w:r w:rsidRPr="000665B0">
        <w:t xml:space="preserve"> and manage</w:t>
      </w:r>
      <w:r w:rsidR="001457C8" w:rsidRPr="000665B0">
        <w:t xml:space="preserve">s one or more Options to meet the requirements and </w:t>
      </w:r>
      <w:r w:rsidR="00E023CC" w:rsidRPr="000665B0">
        <w:t>o</w:t>
      </w:r>
      <w:r w:rsidR="001457C8" w:rsidRPr="000665B0">
        <w:t>bjectives in the Strike Folder.</w:t>
      </w:r>
      <w:r w:rsidRPr="000665B0">
        <w:t xml:space="preserve"> </w:t>
      </w:r>
    </w:p>
    <w:p w14:paraId="7C8E0BCF" w14:textId="723DC55C" w:rsidR="001457C8" w:rsidRPr="000665B0" w:rsidRDefault="0098154A" w:rsidP="006D5A65">
      <w:pPr>
        <w:pStyle w:val="Heading1"/>
      </w:pPr>
      <w:r w:rsidRPr="000665B0">
        <w:t xml:space="preserve">LMOs </w:t>
      </w:r>
      <w:r w:rsidR="001457C8" w:rsidRPr="000665B0">
        <w:t>– P</w:t>
      </w:r>
      <w:r w:rsidRPr="000665B0">
        <w:t>rovides</w:t>
      </w:r>
      <w:r w:rsidR="007A7DB3" w:rsidRPr="000665B0">
        <w:t xml:space="preserve"> the</w:t>
      </w:r>
      <w:r w:rsidRPr="000665B0">
        <w:t xml:space="preserve"> ability to </w:t>
      </w:r>
      <w:r w:rsidR="00CF234F" w:rsidRPr="000665B0">
        <w:t xml:space="preserve">view </w:t>
      </w:r>
      <w:r w:rsidRPr="000665B0">
        <w:t xml:space="preserve">and manage the </w:t>
      </w:r>
      <w:r w:rsidR="00244AC1" w:rsidRPr="000665B0">
        <w:t>LMOs</w:t>
      </w:r>
      <w:r w:rsidRPr="000665B0">
        <w:t xml:space="preserve"> </w:t>
      </w:r>
      <w:r w:rsidR="00D74204">
        <w:t xml:space="preserve">and their associated LPMP Missions </w:t>
      </w:r>
      <w:r w:rsidR="001457C8" w:rsidRPr="000665B0">
        <w:t>within the Strike Folder.</w:t>
      </w:r>
    </w:p>
    <w:p w14:paraId="7067F21E" w14:textId="572582C2" w:rsidR="001457C8" w:rsidRPr="000665B0" w:rsidRDefault="0098154A" w:rsidP="006D5A65">
      <w:pPr>
        <w:pStyle w:val="Heading1"/>
      </w:pPr>
      <w:r w:rsidRPr="000665B0">
        <w:t xml:space="preserve">Attachments </w:t>
      </w:r>
      <w:r w:rsidR="00244AC1" w:rsidRPr="000665B0">
        <w:t>– Used to attach and organize strike-related files</w:t>
      </w:r>
      <w:r w:rsidRPr="000665B0">
        <w:t xml:space="preserve">. </w:t>
      </w:r>
    </w:p>
    <w:p w14:paraId="5EC054B8" w14:textId="77777777" w:rsidR="0098154A" w:rsidRPr="000665B0" w:rsidRDefault="0098154A" w:rsidP="006D5A65">
      <w:pPr>
        <w:pStyle w:val="Heading1"/>
      </w:pPr>
      <w:r w:rsidRPr="000665B0">
        <w:t xml:space="preserve">History </w:t>
      </w:r>
      <w:r w:rsidR="00244AC1" w:rsidRPr="000665B0">
        <w:t xml:space="preserve">– Provides </w:t>
      </w:r>
      <w:r w:rsidRPr="000665B0">
        <w:t xml:space="preserve">a history log of </w:t>
      </w:r>
      <w:r w:rsidR="007A7DB3" w:rsidRPr="000665B0">
        <w:t>major changes made within the Strike Folder</w:t>
      </w:r>
      <w:r w:rsidRPr="000665B0">
        <w:t>.</w:t>
      </w:r>
    </w:p>
    <w:p w14:paraId="137EFF5F" w14:textId="77777777" w:rsidR="00E023CC" w:rsidRPr="000665B0" w:rsidRDefault="00E023CC" w:rsidP="009570CA">
      <w:pPr>
        <w:tabs>
          <w:tab w:val="left" w:pos="720"/>
        </w:tabs>
      </w:pPr>
      <w:r w:rsidRPr="000665B0">
        <w:t>These tools are designed and laid out so that the Strike tasks are completed in progression; each task is built on top of the previous task. Each Strike Folder tool behaves like a filter in such a way that it narrows down the Strike data as each of the Strike items is completed.</w:t>
      </w:r>
    </w:p>
    <w:p w14:paraId="0A17A1E7" w14:textId="0B6CC1CF" w:rsidR="0098154A" w:rsidRPr="000665B0" w:rsidRDefault="0098154A" w:rsidP="009570CA">
      <w:pPr>
        <w:tabs>
          <w:tab w:val="left" w:pos="720"/>
        </w:tabs>
      </w:pPr>
      <w:r w:rsidRPr="000665B0">
        <w:t xml:space="preserve">The Strike Folder provides many different approaches and convenient features to aid the operator in creating a Strike. New Targets can be created and added throughout the Strike planning process. There are many different ways to add Targets, such as through the Target, Target </w:t>
      </w:r>
      <w:r w:rsidRPr="000665B0">
        <w:lastRenderedPageBreak/>
        <w:t xml:space="preserve">Library, Mission, and Mission Library </w:t>
      </w:r>
      <w:r w:rsidR="007A7DB3" w:rsidRPr="000665B0">
        <w:t>tools</w:t>
      </w:r>
      <w:r w:rsidRPr="000665B0">
        <w:t xml:space="preserve">. For Targets without any </w:t>
      </w:r>
      <w:r w:rsidR="008D04EF" w:rsidRPr="000665B0">
        <w:t>Mission Candidates</w:t>
      </w:r>
      <w:r w:rsidRPr="000665B0">
        <w:t>, TMPRs and LMOs can be generated and distributed to the TPS or TTWCS systems. New ACMS and Overlay resources can be created to satisfy the Strike requirements. Mission Libraries and Mission Queries can be added to restrict the candidate TLAM Missions. The user can set the TOT and off-set timing requirements as well as generate execution orders (</w:t>
      </w:r>
      <w:r w:rsidR="003509EA" w:rsidRPr="000665B0">
        <w:t xml:space="preserve">i.e., </w:t>
      </w:r>
      <w:r w:rsidRPr="000665B0">
        <w:t xml:space="preserve">INDIGOS for BLK III and Electronic Strike Packages </w:t>
      </w:r>
      <w:r w:rsidR="0039354C" w:rsidRPr="000665B0">
        <w:t>[</w:t>
      </w:r>
      <w:r w:rsidRPr="000665B0">
        <w:rPr>
          <w:b/>
        </w:rPr>
        <w:t>ESPs</w:t>
      </w:r>
      <w:r w:rsidR="0039354C" w:rsidRPr="000665B0">
        <w:t xml:space="preserve">] </w:t>
      </w:r>
      <w:r w:rsidRPr="000665B0">
        <w:t xml:space="preserve">for </w:t>
      </w:r>
      <w:r w:rsidR="00C2585F" w:rsidRPr="000665B0">
        <w:t>TTWCS</w:t>
      </w:r>
      <w:r w:rsidRPr="000665B0">
        <w:t xml:space="preserve">). Timing assignments for TSN can also be made through </w:t>
      </w:r>
      <w:r w:rsidR="00563C34" w:rsidRPr="000665B0">
        <w:t>the</w:t>
      </w:r>
      <w:r w:rsidRPr="000665B0">
        <w:t xml:space="preserve"> Gantt display. The Strike can be displayed geographically to show the Strike and Platform assignments. </w:t>
      </w:r>
    </w:p>
    <w:p w14:paraId="47AACBD9" w14:textId="6A29560A" w:rsidR="0098154A" w:rsidRPr="000665B0" w:rsidRDefault="0098154A" w:rsidP="003B53B2">
      <w:pPr>
        <w:keepNext/>
        <w:keepLines/>
        <w:tabs>
          <w:tab w:val="left" w:pos="720"/>
        </w:tabs>
      </w:pPr>
      <w:r w:rsidRPr="000665B0">
        <w:t>To create a new Strike Folder</w:t>
      </w:r>
      <w:r w:rsidR="008B743F" w:rsidRPr="000665B0">
        <w:t xml:space="preserve"> from the Strike Folders Tool</w:t>
      </w:r>
      <w:r w:rsidRPr="000665B0">
        <w:t>:</w:t>
      </w:r>
    </w:p>
    <w:p w14:paraId="7E5B0EC2" w14:textId="77777777" w:rsidR="0098154A" w:rsidRPr="000665B0" w:rsidRDefault="0098154A" w:rsidP="006D5A65">
      <w:pPr>
        <w:pStyle w:val="Heading1"/>
      </w:pPr>
      <w:r w:rsidRPr="000665B0">
        <w:t>Navigate to the Strike Folder Tool.</w:t>
      </w:r>
    </w:p>
    <w:p w14:paraId="06521AE5" w14:textId="5C9918E9" w:rsidR="0098154A" w:rsidRPr="000665B0" w:rsidRDefault="0098154A" w:rsidP="006D5A65">
      <w:pPr>
        <w:pStyle w:val="Heading1"/>
      </w:pPr>
      <w:r w:rsidRPr="000665B0">
        <w:t xml:space="preserve">From the File menu select </w:t>
      </w:r>
      <w:r w:rsidRPr="000665B0">
        <w:rPr>
          <w:bCs/>
        </w:rPr>
        <w:t xml:space="preserve">New </w:t>
      </w:r>
      <w:r w:rsidR="00227747" w:rsidRPr="000665B0">
        <w:sym w:font="Wingdings 3" w:char="F07D"/>
      </w:r>
      <w:r w:rsidR="00DB0CDF" w:rsidRPr="000665B0">
        <w:t>,</w:t>
      </w:r>
      <w:r w:rsidRPr="000665B0">
        <w:rPr>
          <w:bCs/>
        </w:rPr>
        <w:t xml:space="preserve"> </w:t>
      </w:r>
      <w:r w:rsidR="00DB0CDF" w:rsidRPr="000665B0">
        <w:t>click</w:t>
      </w:r>
      <w:r w:rsidRPr="000665B0">
        <w:t xml:space="preserve"> the </w:t>
      </w:r>
      <w:r w:rsidRPr="000665B0">
        <w:sym w:font="Wingdings 3" w:char="F082"/>
      </w:r>
      <w:r w:rsidRPr="000665B0">
        <w:t xml:space="preserve"> button next to the New </w:t>
      </w:r>
      <w:r w:rsidR="009A1FDF" w:rsidRPr="000665B0">
        <w:rPr>
          <w:noProof/>
        </w:rPr>
        <w:drawing>
          <wp:inline distT="0" distB="0" distL="0" distR="0" wp14:anchorId="34348CA9" wp14:editId="50B483DE">
            <wp:extent cx="152400" cy="152400"/>
            <wp:effectExtent l="19050" t="0" r="0" b="0"/>
            <wp:docPr id="498" name="Picture 498"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new toolbar"/>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on the toolbar</w:t>
      </w:r>
      <w:r w:rsidR="00DB0CDF" w:rsidRPr="000665B0">
        <w:t>,</w:t>
      </w:r>
      <w:r w:rsidR="00DB0CDF" w:rsidRPr="000665B0">
        <w:rPr>
          <w:szCs w:val="24"/>
        </w:rPr>
        <w:t xml:space="preserve"> or </w:t>
      </w:r>
      <w:r w:rsidR="00DB0CDF" w:rsidRPr="000665B0">
        <w:rPr>
          <w:noProof/>
          <w:szCs w:val="24"/>
        </w:rPr>
        <w:t>invoke the context menu (right-click the mouse) and select New…</w:t>
      </w:r>
      <w:r w:rsidR="00DB0CDF" w:rsidRPr="000665B0">
        <w:rPr>
          <w:noProof/>
        </w:rPr>
        <w:t xml:space="preserve">, and select </w:t>
      </w:r>
      <w:r w:rsidR="00DB0CDF" w:rsidRPr="000665B0">
        <w:t>Tactical or Training</w:t>
      </w:r>
      <w:r w:rsidRPr="000665B0">
        <w:t xml:space="preserve">. A new </w:t>
      </w:r>
      <w:r w:rsidRPr="000665B0">
        <w:rPr>
          <w:i/>
        </w:rPr>
        <w:t xml:space="preserve">Strike Folder </w:t>
      </w:r>
      <w:r w:rsidRPr="000665B0">
        <w:t xml:space="preserve">window </w:t>
      </w:r>
      <w:r w:rsidR="00DB5AEE" w:rsidRPr="000665B0">
        <w:t>is</w:t>
      </w:r>
      <w:r w:rsidRPr="000665B0">
        <w:t xml:space="preserve"> displayed.</w:t>
      </w:r>
    </w:p>
    <w:p w14:paraId="5039C9A1" w14:textId="24E18E20" w:rsidR="00C55845" w:rsidRDefault="00C55845" w:rsidP="009570CA">
      <w:pPr>
        <w:tabs>
          <w:tab w:val="left" w:pos="720"/>
        </w:tabs>
        <w:jc w:val="center"/>
      </w:pPr>
      <w:r>
        <w:rPr>
          <w:noProof/>
        </w:rPr>
        <w:drawing>
          <wp:inline distT="0" distB="0" distL="0" distR="0" wp14:anchorId="7C162A9A" wp14:editId="09287792">
            <wp:extent cx="3200400" cy="2185416"/>
            <wp:effectExtent l="0" t="0" r="0" b="5715"/>
            <wp:docPr id="53" name="Picture 5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a:picLocks noChangeAspect="1"/>
                    </pic:cNvPicPr>
                  </pic:nvPicPr>
                  <pic:blipFill>
                    <a:blip/>
                    <a:stretch>
                      <a:fillRect/>
                    </a:stretch>
                  </pic:blipFill>
                  <pic:spPr>
                    <a:xfrm>
                      <a:off x="0" y="0"/>
                      <a:ext cx="3200400" cy="2185416"/>
                    </a:xfrm>
                    <a:prstGeom prst="rect">
                      <a:avLst/>
                    </a:prstGeom>
                  </pic:spPr>
                </pic:pic>
              </a:graphicData>
            </a:graphic>
          </wp:inline>
        </w:drawing>
      </w:r>
    </w:p>
    <w:p w14:paraId="7197B77A" w14:textId="4A4CA118" w:rsidR="0098154A" w:rsidRPr="000665B0" w:rsidRDefault="0039354C" w:rsidP="006D5A65">
      <w:pPr>
        <w:pStyle w:val="Heading1"/>
      </w:pPr>
      <w:r w:rsidRPr="000665B0">
        <w:t xml:space="preserve">If it is required to change the classification, click the </w:t>
      </w:r>
      <w:r w:rsidRPr="000665B0">
        <w:rPr>
          <w:bCs/>
        </w:rPr>
        <w:t>EDIT</w:t>
      </w:r>
      <w:r w:rsidRPr="000665B0">
        <w:t xml:space="preserve"> button </w:t>
      </w:r>
      <w:r w:rsidR="00B616BD">
        <w:t xml:space="preserve">to the right of the classification label, </w:t>
      </w:r>
      <w:r w:rsidRPr="000665B0">
        <w:t xml:space="preserve">and select the classification from the drop-down menu of the </w:t>
      </w:r>
      <w:r w:rsidRPr="000665B0">
        <w:rPr>
          <w:i/>
          <w:iCs/>
        </w:rPr>
        <w:t>Edit Classification</w:t>
      </w:r>
      <w:r w:rsidRPr="000665B0">
        <w:t xml:space="preserve"> window. For information on editing the classification see </w:t>
      </w:r>
      <w:hyperlink w:anchor="_5.2.7__Edit" w:history="1">
        <w:r w:rsidRPr="000665B0">
          <w:rPr>
            <w:color w:val="0000FF"/>
            <w:u w:val="single"/>
          </w:rPr>
          <w:t>Section 5.2.7</w:t>
        </w:r>
      </w:hyperlink>
      <w:r w:rsidR="00C51877" w:rsidRPr="000665B0">
        <w:t>.</w:t>
      </w:r>
      <w:r w:rsidR="000455DB" w:rsidRPr="000665B0">
        <w:t xml:space="preserve"> The Classification of the Strike Folder and its items behave</w:t>
      </w:r>
      <w:r w:rsidR="007A7DB3" w:rsidRPr="000665B0">
        <w:t>s</w:t>
      </w:r>
      <w:r w:rsidR="000455DB" w:rsidRPr="000665B0">
        <w:t xml:space="preserve"> slightly different from the other MDS tools. </w:t>
      </w:r>
      <w:r w:rsidR="00674804" w:rsidRPr="000665B0">
        <w:t>For additional detailed information, s</w:t>
      </w:r>
      <w:r w:rsidR="000455DB" w:rsidRPr="000665B0">
        <w:t xml:space="preserve">ee </w:t>
      </w:r>
      <w:hyperlink w:anchor="_5.37.2.1__Classification" w:history="1">
        <w:r w:rsidR="009326FE" w:rsidRPr="000665B0">
          <w:rPr>
            <w:rStyle w:val="Hyperlink"/>
          </w:rPr>
          <w:t xml:space="preserve">Section </w:t>
        </w:r>
        <w:r w:rsidR="004231CC">
          <w:rPr>
            <w:rStyle w:val="Hyperlink"/>
          </w:rPr>
          <w:t>5.34</w:t>
        </w:r>
        <w:r w:rsidR="000455DB" w:rsidRPr="000665B0">
          <w:rPr>
            <w:rStyle w:val="Hyperlink"/>
          </w:rPr>
          <w:t>.</w:t>
        </w:r>
        <w:r w:rsidR="0089269C" w:rsidRPr="000665B0">
          <w:rPr>
            <w:rStyle w:val="Hyperlink"/>
          </w:rPr>
          <w:t>2</w:t>
        </w:r>
        <w:r w:rsidR="000455DB" w:rsidRPr="000665B0">
          <w:rPr>
            <w:rStyle w:val="Hyperlink"/>
          </w:rPr>
          <w:t>.1</w:t>
        </w:r>
      </w:hyperlink>
      <w:r w:rsidR="000455DB" w:rsidRPr="000665B0">
        <w:t>.</w:t>
      </w:r>
    </w:p>
    <w:p w14:paraId="6466BB94" w14:textId="6AFD7C60" w:rsidR="0098154A" w:rsidRPr="000665B0" w:rsidRDefault="0098154A" w:rsidP="006D5A65">
      <w:pPr>
        <w:pStyle w:val="Heading1"/>
      </w:pPr>
      <w:bookmarkStart w:id="6204" w:name="_Hlk141365276"/>
      <w:r w:rsidRPr="000665B0">
        <w:t xml:space="preserve">In the new </w:t>
      </w:r>
      <w:r w:rsidRPr="000665B0">
        <w:rPr>
          <w:i/>
          <w:iCs/>
        </w:rPr>
        <w:t xml:space="preserve">Strike Folder </w:t>
      </w:r>
      <w:r w:rsidRPr="000665B0">
        <w:t xml:space="preserve">window click the </w:t>
      </w:r>
      <w:r w:rsidRPr="000665B0">
        <w:rPr>
          <w:bCs/>
        </w:rPr>
        <w:t>Edit</w:t>
      </w:r>
      <w:r w:rsidRPr="000665B0">
        <w:t xml:space="preserve"> button to the right of the Shareability label (under the Classification label)</w:t>
      </w:r>
      <w:r w:rsidR="008131F7" w:rsidRPr="000665B0">
        <w:t>. T</w:t>
      </w:r>
      <w:r w:rsidR="004F0C22" w:rsidRPr="000665B0">
        <w:t xml:space="preserve">he </w:t>
      </w:r>
      <w:r w:rsidR="004F0C22" w:rsidRPr="000665B0">
        <w:rPr>
          <w:i/>
        </w:rPr>
        <w:t>Strike</w:t>
      </w:r>
      <w:r w:rsidRPr="000665B0">
        <w:rPr>
          <w:i/>
        </w:rPr>
        <w:t xml:space="preserve"> Shareability</w:t>
      </w:r>
      <w:r w:rsidR="004F0C22" w:rsidRPr="000665B0">
        <w:rPr>
          <w:i/>
        </w:rPr>
        <w:t xml:space="preserve"> Preferences</w:t>
      </w:r>
      <w:r w:rsidRPr="000665B0">
        <w:t xml:space="preserve"> window </w:t>
      </w:r>
      <w:r w:rsidR="00DB5AEE" w:rsidRPr="000665B0">
        <w:t>is</w:t>
      </w:r>
      <w:r w:rsidRPr="000665B0">
        <w:t xml:space="preserve"> displayed. </w:t>
      </w:r>
      <w:r w:rsidR="00060B74" w:rsidRPr="000665B0">
        <w:t xml:space="preserve">(Note that the Shareability label may not be </w:t>
      </w:r>
      <w:r w:rsidR="00E859C5" w:rsidRPr="000665B0">
        <w:t>displayed</w:t>
      </w:r>
      <w:r w:rsidR="00060B74" w:rsidRPr="000665B0">
        <w:t>, depending on the default Strike Folder Tool preference that ha</w:t>
      </w:r>
      <w:r w:rsidR="003F7FE7" w:rsidRPr="000665B0">
        <w:t>s</w:t>
      </w:r>
      <w:r w:rsidR="00060B74" w:rsidRPr="000665B0">
        <w:t xml:space="preserve"> been set by an Administrator.)</w:t>
      </w:r>
      <w:r w:rsidR="004730C6">
        <w:t xml:space="preserve"> </w:t>
      </w:r>
      <w:r w:rsidR="0008461A">
        <w:t>T</w:t>
      </w:r>
      <w:r w:rsidR="004730C6">
        <w:t xml:space="preserve">he Shareability label may be blank if there are no shareable </w:t>
      </w:r>
      <w:r w:rsidR="004730C6">
        <w:lastRenderedPageBreak/>
        <w:t>country trigraphs</w:t>
      </w:r>
      <w:r w:rsidR="0008461A">
        <w:t>.</w:t>
      </w:r>
      <w:r w:rsidR="00060B74" w:rsidRPr="000665B0">
        <w:t xml:space="preserve"> </w:t>
      </w:r>
      <w:r w:rsidRPr="000665B0">
        <w:t>For information on editing the shareability</w:t>
      </w:r>
      <w:r w:rsidR="004F0C22" w:rsidRPr="000665B0">
        <w:t>,</w:t>
      </w:r>
      <w:r w:rsidRPr="000665B0">
        <w:t xml:space="preserve"> see </w:t>
      </w:r>
      <w:hyperlink w:anchor="_5.37.1.2__Shareability" w:history="1">
        <w:r w:rsidR="009326FE" w:rsidRPr="000665B0">
          <w:rPr>
            <w:rStyle w:val="Hyperlink"/>
          </w:rPr>
          <w:t xml:space="preserve">Section </w:t>
        </w:r>
        <w:r w:rsidR="004231CC">
          <w:rPr>
            <w:rStyle w:val="Hyperlink"/>
          </w:rPr>
          <w:t>5.34</w:t>
        </w:r>
        <w:r w:rsidRPr="000665B0">
          <w:rPr>
            <w:rStyle w:val="Hyperlink"/>
          </w:rPr>
          <w:t>.</w:t>
        </w:r>
        <w:r w:rsidR="0089269C" w:rsidRPr="000665B0">
          <w:rPr>
            <w:rStyle w:val="Hyperlink"/>
          </w:rPr>
          <w:t>2</w:t>
        </w:r>
        <w:r w:rsidRPr="000665B0">
          <w:rPr>
            <w:rStyle w:val="Hyperlink"/>
          </w:rPr>
          <w:t>.</w:t>
        </w:r>
        <w:r w:rsidR="00342E85" w:rsidRPr="000665B0">
          <w:rPr>
            <w:rStyle w:val="Hyperlink"/>
          </w:rPr>
          <w:t>2</w:t>
        </w:r>
      </w:hyperlink>
      <w:r w:rsidRPr="000665B0">
        <w:t>.</w:t>
      </w:r>
    </w:p>
    <w:bookmarkEnd w:id="6204"/>
    <w:p w14:paraId="54370B22" w14:textId="77777777" w:rsidR="0098154A" w:rsidRPr="000665B0" w:rsidRDefault="00B77F8E" w:rsidP="006D5A65">
      <w:pPr>
        <w:pStyle w:val="Heading1"/>
      </w:pPr>
      <w:r w:rsidRPr="000665B0">
        <w:t>Enter a</w:t>
      </w:r>
      <w:r w:rsidR="0098154A" w:rsidRPr="000665B0">
        <w:t xml:space="preserve"> Strike Folder Title (</w:t>
      </w:r>
      <w:r w:rsidRPr="000665B0">
        <w:t>up to 40 alphanumeric and special or space characters)</w:t>
      </w:r>
      <w:r w:rsidR="0098154A" w:rsidRPr="000665B0">
        <w:t>.</w:t>
      </w:r>
    </w:p>
    <w:p w14:paraId="5EB3068B" w14:textId="207FDB0D" w:rsidR="0098154A" w:rsidRPr="000665B0" w:rsidRDefault="0098154A" w:rsidP="006D5A65">
      <w:pPr>
        <w:pStyle w:val="Heading1"/>
      </w:pPr>
      <w:r w:rsidRPr="000665B0">
        <w:rPr>
          <w:bCs/>
        </w:rPr>
        <w:t xml:space="preserve">The </w:t>
      </w:r>
      <w:r w:rsidRPr="000665B0">
        <w:t>Tasking Received date is for referencing a message DTG or voice tasking time and date. To modify</w:t>
      </w:r>
      <w:r w:rsidR="007A7DB3" w:rsidRPr="000665B0">
        <w:t>,</w:t>
      </w:r>
      <w:r w:rsidRPr="000665B0">
        <w:t xml:space="preserve"> select the</w:t>
      </w:r>
      <w:r w:rsidRPr="000665B0">
        <w:sym w:font="Wingdings 3" w:char="F071"/>
      </w:r>
      <w:r w:rsidRPr="000665B0">
        <w:t xml:space="preserve">button and select a date from the </w:t>
      </w:r>
      <w:r w:rsidR="00AB3FB1" w:rsidRPr="000665B0">
        <w:t>drop-down</w:t>
      </w:r>
      <w:r w:rsidR="00C32B53" w:rsidRPr="000665B0">
        <w:t xml:space="preserve"> </w:t>
      </w:r>
      <w:r w:rsidRPr="000665B0">
        <w:t xml:space="preserve">calendar. The default time and date is the same as the Last Modified </w:t>
      </w:r>
      <w:r w:rsidR="0057487F" w:rsidRPr="000665B0">
        <w:t>f</w:t>
      </w:r>
      <w:r w:rsidRPr="000665B0">
        <w:t>ield.</w:t>
      </w:r>
    </w:p>
    <w:p w14:paraId="150EF19E" w14:textId="77777777" w:rsidR="00C32B53" w:rsidRPr="000665B0" w:rsidRDefault="00C32B53"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r w:rsidR="001704C5" w:rsidRPr="000665B0">
        <w:t xml:space="preserve"> Continue to save throughout the Strike Folder setup process </w:t>
      </w:r>
      <w:r w:rsidR="00452DA4" w:rsidRPr="000665B0">
        <w:t>while</w:t>
      </w:r>
      <w:r w:rsidR="001704C5" w:rsidRPr="000665B0">
        <w:t xml:space="preserve"> moving through each </w:t>
      </w:r>
      <w:r w:rsidR="00C24334" w:rsidRPr="000665B0">
        <w:br/>
      </w:r>
      <w:r w:rsidR="001704C5" w:rsidRPr="000665B0">
        <w:t>tool – Tasking, Geographic Resources, etc.</w:t>
      </w:r>
    </w:p>
    <w:p w14:paraId="7957FC2F" w14:textId="77777777" w:rsidR="003827DF" w:rsidRPr="000665B0" w:rsidRDefault="003827DF" w:rsidP="009570CA">
      <w:pPr>
        <w:pStyle w:val="Number0205"/>
        <w:tabs>
          <w:tab w:val="left" w:pos="720"/>
        </w:tabs>
        <w:ind w:left="360" w:firstLine="0"/>
      </w:pPr>
      <w:r w:rsidRPr="000665B0">
        <w:rPr>
          <w:szCs w:val="24"/>
        </w:rPr>
        <w:t>or</w:t>
      </w:r>
    </w:p>
    <w:p w14:paraId="6CD70027" w14:textId="2B7E4416" w:rsidR="002F4EE3" w:rsidRDefault="003827DF" w:rsidP="006D5A65">
      <w:pPr>
        <w:pStyle w:val="Heading1"/>
      </w:pPr>
      <w:r w:rsidRPr="000665B0">
        <w:rPr>
          <w:bCs/>
        </w:rPr>
        <w:t xml:space="preserve">Select File </w:t>
      </w:r>
      <w:r w:rsidRPr="000665B0">
        <w:sym w:font="Wingdings" w:char="F0E0"/>
      </w:r>
      <w:r w:rsidRPr="000665B0">
        <w:t xml:space="preserve"> </w:t>
      </w:r>
      <w:r w:rsidRPr="000665B0">
        <w:rPr>
          <w:bCs/>
        </w:rPr>
        <w:t xml:space="preserve">Save As </w:t>
      </w:r>
      <w:r w:rsidRPr="000665B0">
        <w:sym w:font="Wingdings 3" w:char="F07D"/>
      </w:r>
      <w:r w:rsidRPr="000665B0">
        <w:rPr>
          <w:bCs/>
        </w:rPr>
        <w:t xml:space="preserve"> </w:t>
      </w:r>
      <w:r w:rsidRPr="000665B0">
        <w:t xml:space="preserve">Tactical or Training. This saves the current Strike Folder and its items, including Strike Options (see </w:t>
      </w:r>
      <w:hyperlink w:anchor="_5.37.6__Options" w:history="1">
        <w:r w:rsidR="009326FE" w:rsidRPr="000665B0">
          <w:rPr>
            <w:rStyle w:val="Hyperlink"/>
          </w:rPr>
          <w:t xml:space="preserve">Section </w:t>
        </w:r>
        <w:r w:rsidR="004231CC">
          <w:rPr>
            <w:rStyle w:val="Hyperlink"/>
          </w:rPr>
          <w:t>5.34</w:t>
        </w:r>
        <w:r w:rsidR="0089269C" w:rsidRPr="000665B0">
          <w:rPr>
            <w:rStyle w:val="Hyperlink"/>
          </w:rPr>
          <w:t>.7</w:t>
        </w:r>
      </w:hyperlink>
      <w:r w:rsidRPr="000665B0">
        <w:t>), to a new Strike Folder with the selected Tactical or Training folder class. When saving as a Tactical folder, validations are performed on the Strike Folder’s Strike Options to ensure that they are valid for the Tactical class. Strike Options with a Tactical class should not contain Reservations with Test Missions, or a mix of TACT and RSS Missions. If any of the Strike Options fail validation, the Save As operation fails.</w:t>
      </w:r>
    </w:p>
    <w:p w14:paraId="0F2DC976" w14:textId="77777777" w:rsidR="002F4EE3" w:rsidRDefault="002F4EE3" w:rsidP="009570CA">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B444A3">
        <w:rPr>
          <w:b/>
          <w:szCs w:val="24"/>
        </w:rPr>
        <w:t>Note:</w:t>
      </w:r>
    </w:p>
    <w:p w14:paraId="6A967FEB" w14:textId="6005C524" w:rsidR="002F4EE3" w:rsidRDefault="002F4EE3" w:rsidP="009570CA">
      <w:pPr>
        <w:pBdr>
          <w:top w:val="single" w:sz="12" w:space="1" w:color="auto"/>
          <w:left w:val="single" w:sz="12" w:space="4" w:color="auto"/>
          <w:bottom w:val="single" w:sz="12" w:space="1" w:color="auto"/>
          <w:right w:val="single" w:sz="12" w:space="4" w:color="auto"/>
        </w:pBdr>
        <w:shd w:val="clear" w:color="auto" w:fill="D9D9D9"/>
        <w:jc w:val="center"/>
        <w:rPr>
          <w:b/>
          <w:szCs w:val="24"/>
        </w:rPr>
      </w:pPr>
      <w:r>
        <w:rPr>
          <w:b/>
          <w:szCs w:val="24"/>
        </w:rPr>
        <w:t xml:space="preserve">Performing the Save As operation </w:t>
      </w:r>
      <w:r w:rsidR="00601FE2">
        <w:rPr>
          <w:b/>
          <w:szCs w:val="24"/>
        </w:rPr>
        <w:t xml:space="preserve">in any TMPC prior to 8.0 </w:t>
      </w:r>
      <w:r>
        <w:rPr>
          <w:b/>
          <w:szCs w:val="24"/>
        </w:rPr>
        <w:t>on a Strike Folder containing 109M missile reservations and 109M LMOs will remove the 109M missile reservations and 109M LMOs from the resulting folder. The user will be prompted with the following dialog box when this use case occurs to confirm that they would like to continue.</w:t>
      </w:r>
    </w:p>
    <w:p w14:paraId="3ACAD493" w14:textId="3294274E" w:rsidR="00AD7F82" w:rsidRPr="000665B0" w:rsidRDefault="002F4EE3" w:rsidP="00AD7F82">
      <w:pPr>
        <w:pBdr>
          <w:top w:val="single" w:sz="12" w:space="1" w:color="auto"/>
          <w:left w:val="single" w:sz="12" w:space="4" w:color="auto"/>
          <w:bottom w:val="single" w:sz="12" w:space="1" w:color="auto"/>
          <w:right w:val="single" w:sz="12" w:space="4" w:color="auto"/>
        </w:pBdr>
        <w:shd w:val="clear" w:color="auto" w:fill="D9D9D9"/>
        <w:jc w:val="center"/>
      </w:pPr>
      <w:r w:rsidRPr="00344667">
        <w:rPr>
          <w:b/>
          <w:noProof/>
          <w:szCs w:val="24"/>
        </w:rPr>
        <w:drawing>
          <wp:inline distT="0" distB="0" distL="0" distR="0" wp14:anchorId="7328C2D3" wp14:editId="7061DBD1">
            <wp:extent cx="3154680" cy="1399032"/>
            <wp:effectExtent l="0" t="0" r="0" b="0"/>
            <wp:docPr id="1145074123"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74123" name="Picture 1" descr="Graphical user interface, application&#10;&#10;Description automatically generated"/>
                    <pic:cNvPicPr/>
                  </pic:nvPicPr>
                  <pic:blipFill>
                    <a:blip/>
                    <a:stretch>
                      <a:fillRect/>
                    </a:stretch>
                  </pic:blipFill>
                  <pic:spPr>
                    <a:xfrm>
                      <a:off x="0" y="0"/>
                      <a:ext cx="3154680" cy="1399032"/>
                    </a:xfrm>
                    <a:prstGeom prst="rect">
                      <a:avLst/>
                    </a:prstGeom>
                  </pic:spPr>
                </pic:pic>
              </a:graphicData>
            </a:graphic>
          </wp:inline>
        </w:drawing>
      </w:r>
    </w:p>
    <w:p w14:paraId="2725B2F1" w14:textId="7061A51B" w:rsidR="0098154A" w:rsidRPr="000665B0" w:rsidRDefault="0098154A" w:rsidP="006D5A65">
      <w:pPr>
        <w:pStyle w:val="Heading1"/>
      </w:pPr>
      <w:r w:rsidRPr="000665B0">
        <w:rPr>
          <w:bCs/>
        </w:rPr>
        <w:t>Transfer Ownership</w:t>
      </w:r>
      <w:r w:rsidRPr="000665B0">
        <w:t xml:space="preserve"> – After a folder has been saved, ownership of the Strike Folder can be shifted to another node. From the Edit menu select </w:t>
      </w:r>
      <w:r w:rsidRPr="000665B0">
        <w:rPr>
          <w:bCs/>
        </w:rPr>
        <w:t>Transfer</w:t>
      </w:r>
      <w:r w:rsidRPr="000665B0">
        <w:t xml:space="preserve"> </w:t>
      </w:r>
      <w:r w:rsidRPr="000665B0">
        <w:rPr>
          <w:bCs/>
        </w:rPr>
        <w:t>Ownership</w:t>
      </w:r>
      <w:r w:rsidR="00B77F8E" w:rsidRPr="000665B0">
        <w:rPr>
          <w:bCs/>
        </w:rPr>
        <w:t>…</w:t>
      </w:r>
      <w:r w:rsidRPr="000665B0">
        <w:rPr>
          <w:bCs/>
        </w:rPr>
        <w:t>.</w:t>
      </w:r>
      <w:r w:rsidRPr="000665B0">
        <w:t xml:space="preserve"> </w:t>
      </w:r>
      <w:r w:rsidR="00B77F8E" w:rsidRPr="000665B0">
        <w:t xml:space="preserve">The </w:t>
      </w:r>
      <w:r w:rsidR="00B77F8E" w:rsidRPr="000665B0">
        <w:rPr>
          <w:i/>
        </w:rPr>
        <w:t>Transfer Ownership</w:t>
      </w:r>
      <w:r w:rsidR="00B77F8E" w:rsidRPr="000665B0">
        <w:t xml:space="preserve"> window is displayed. From the</w:t>
      </w:r>
      <w:r w:rsidRPr="000665B0">
        <w:t xml:space="preserve"> </w:t>
      </w:r>
      <w:r w:rsidR="00AB3FB1" w:rsidRPr="000665B0">
        <w:t>pull-down</w:t>
      </w:r>
      <w:r w:rsidRPr="000665B0">
        <w:t xml:space="preserve"> menu,</w:t>
      </w:r>
      <w:r w:rsidR="00C32B53" w:rsidRPr="000665B0">
        <w:t xml:space="preserve"> </w:t>
      </w:r>
      <w:r w:rsidRPr="000665B0">
        <w:t>select the node to transfer ownership of the strike plan to</w:t>
      </w:r>
      <w:r w:rsidR="00B77F8E" w:rsidRPr="000665B0">
        <w:t xml:space="preserve"> and click OK</w:t>
      </w:r>
      <w:r w:rsidRPr="000665B0">
        <w:t xml:space="preserve">. </w:t>
      </w:r>
      <w:r w:rsidR="00D1109E" w:rsidRPr="000665B0">
        <w:t>T</w:t>
      </w:r>
      <w:r w:rsidRPr="000665B0">
        <w:t>he ownership of a folder with unsaved changes</w:t>
      </w:r>
      <w:r w:rsidR="00D1109E" w:rsidRPr="000665B0">
        <w:t xml:space="preserve"> cannot be transferred</w:t>
      </w:r>
      <w:r w:rsidRPr="000665B0">
        <w:t>.</w:t>
      </w:r>
      <w:r w:rsidR="001704C5" w:rsidRPr="000665B0">
        <w:t xml:space="preserve"> Once a folder is transferred </w:t>
      </w:r>
      <w:r w:rsidR="001704C5" w:rsidRPr="000665B0">
        <w:lastRenderedPageBreak/>
        <w:t>to another platform, it can no longer be edited by the originating node until the folder is transferred back.</w:t>
      </w:r>
    </w:p>
    <w:p w14:paraId="6C4E9792" w14:textId="224C1FBF" w:rsidR="00612B36" w:rsidRPr="00C97B43" w:rsidRDefault="0098154A" w:rsidP="006D5A65">
      <w:pPr>
        <w:pStyle w:val="Heading1"/>
      </w:pPr>
      <w:r w:rsidRPr="00C97B43">
        <w:rPr>
          <w:bCs/>
        </w:rPr>
        <w:t xml:space="preserve">Request Write Privilege </w:t>
      </w:r>
      <w:r w:rsidRPr="00C97B43">
        <w:t>– For the non-owner of the folder</w:t>
      </w:r>
      <w:r w:rsidR="00296912" w:rsidRPr="00C97B43">
        <w:t>,</w:t>
      </w:r>
      <w:r w:rsidRPr="00C97B43">
        <w:t xml:space="preserve"> the Edit </w:t>
      </w:r>
      <w:r w:rsidR="00296912" w:rsidRPr="00C97B43">
        <w:sym w:font="Wingdings" w:char="F0E0"/>
      </w:r>
      <w:r w:rsidR="00296912" w:rsidRPr="00C97B43">
        <w:t xml:space="preserve"> </w:t>
      </w:r>
      <w:r w:rsidRPr="00C97B43">
        <w:rPr>
          <w:bCs/>
        </w:rPr>
        <w:t>Request Write Privilege</w:t>
      </w:r>
      <w:r w:rsidR="00296912" w:rsidRPr="00C97B43">
        <w:rPr>
          <w:bCs/>
        </w:rPr>
        <w:t>…</w:t>
      </w:r>
      <w:r w:rsidRPr="00C97B43">
        <w:rPr>
          <w:bCs/>
        </w:rPr>
        <w:t xml:space="preserve"> can be used </w:t>
      </w:r>
      <w:r w:rsidRPr="00C97B43">
        <w:t>to modify the strike folder. It will be granted</w:t>
      </w:r>
      <w:r w:rsidR="004B01AF" w:rsidRPr="00C97B43">
        <w:t xml:space="preserve"> only</w:t>
      </w:r>
      <w:r w:rsidRPr="00C97B43">
        <w:t xml:space="preserve"> if the user is a TSC</w:t>
      </w:r>
      <w:r w:rsidR="004B01AF" w:rsidRPr="00C97B43">
        <w:t xml:space="preserve"> or</w:t>
      </w:r>
      <w:r w:rsidRPr="00C97B43">
        <w:t xml:space="preserve"> </w:t>
      </w:r>
      <w:r w:rsidR="004B01AF" w:rsidRPr="00C97B43">
        <w:rPr>
          <w:bCs/>
        </w:rPr>
        <w:t xml:space="preserve">ATSC </w:t>
      </w:r>
      <w:r w:rsidRPr="00C97B43">
        <w:t xml:space="preserve">for at least one of the </w:t>
      </w:r>
      <w:r w:rsidR="00D20801" w:rsidRPr="00C97B43">
        <w:t>folder’s packages</w:t>
      </w:r>
      <w:r w:rsidRPr="00C97B43">
        <w:t>.</w:t>
      </w:r>
    </w:p>
    <w:p w14:paraId="1E19BBF2" w14:textId="4EA12F69" w:rsidR="0078503C" w:rsidRPr="000665B0" w:rsidRDefault="000566E6" w:rsidP="009570CA">
      <w:pPr>
        <w:pStyle w:val="Heading4"/>
        <w:tabs>
          <w:tab w:val="left" w:pos="720"/>
        </w:tabs>
      </w:pPr>
      <w:bookmarkStart w:id="6205" w:name="_5.37.1.1__Shareability"/>
      <w:bookmarkStart w:id="6206" w:name="_5.37.1.1__Shareability_1"/>
      <w:bookmarkStart w:id="6207" w:name="_5.37.1.1__Classification"/>
      <w:bookmarkStart w:id="6208" w:name="_5.37.2.1__Classification"/>
      <w:bookmarkEnd w:id="6205"/>
      <w:bookmarkEnd w:id="6206"/>
      <w:bookmarkEnd w:id="6207"/>
      <w:bookmarkEnd w:id="6208"/>
      <w:r w:rsidRPr="000665B0">
        <w:t>Classification</w:t>
      </w:r>
    </w:p>
    <w:p w14:paraId="5C4BE8C9" w14:textId="77777777" w:rsidR="00AF7147" w:rsidRPr="000665B0" w:rsidRDefault="000566E6" w:rsidP="009570CA">
      <w:pPr>
        <w:pStyle w:val="BodyText"/>
        <w:tabs>
          <w:tab w:val="left" w:pos="720"/>
        </w:tabs>
        <w:spacing w:after="120"/>
      </w:pPr>
      <w:bookmarkStart w:id="6209" w:name="_5.37.2__Tasking"/>
      <w:bookmarkStart w:id="6210" w:name="_Toc164499428"/>
      <w:bookmarkStart w:id="6211" w:name="_Toc71955743"/>
      <w:bookmarkStart w:id="6212" w:name="_Toc96170274"/>
      <w:bookmarkStart w:id="6213" w:name="_Toc96234319"/>
      <w:bookmarkStart w:id="6214" w:name="_Toc112733739"/>
      <w:bookmarkEnd w:id="6199"/>
      <w:bookmarkEnd w:id="6200"/>
      <w:bookmarkEnd w:id="6201"/>
      <w:bookmarkEnd w:id="6202"/>
      <w:bookmarkEnd w:id="6203"/>
      <w:bookmarkEnd w:id="6209"/>
      <w:r w:rsidRPr="000665B0">
        <w:t xml:space="preserve">The </w:t>
      </w:r>
      <w:r w:rsidR="00A00EBE" w:rsidRPr="000665B0">
        <w:t>c</w:t>
      </w:r>
      <w:r w:rsidRPr="000665B0">
        <w:t>lassification of the Strike Folder and its items behave</w:t>
      </w:r>
      <w:r w:rsidR="00D20801" w:rsidRPr="000665B0">
        <w:t>s</w:t>
      </w:r>
      <w:r w:rsidRPr="000665B0">
        <w:t xml:space="preserve"> slightly different from the other MDS tools. The Strike may contain other items from MDS such as Missions, Targets, Threats, ACMSs, Overlays, Mission Libraries, Mission Queries, TMPRs, LMOs, Platforms, and Nodes. These items have their own classification, so the classification of </w:t>
      </w:r>
      <w:r w:rsidR="00CE2D56" w:rsidRPr="000665B0">
        <w:t xml:space="preserve">the </w:t>
      </w:r>
      <w:r w:rsidRPr="000665B0">
        <w:t>Strike</w:t>
      </w:r>
      <w:r w:rsidR="00CE2D56" w:rsidRPr="000665B0">
        <w:t xml:space="preserve"> Folder</w:t>
      </w:r>
      <w:r w:rsidRPr="000665B0">
        <w:t xml:space="preserve"> that </w:t>
      </w:r>
      <w:r w:rsidR="002259CF" w:rsidRPr="000665B0">
        <w:t xml:space="preserve">contains </w:t>
      </w:r>
      <w:r w:rsidRPr="000665B0">
        <w:t xml:space="preserve">these items must not be lower than the highest classification of the items. However, the Strike </w:t>
      </w:r>
      <w:r w:rsidR="00CE2D56" w:rsidRPr="000665B0">
        <w:t xml:space="preserve">Folder </w:t>
      </w:r>
      <w:r w:rsidRPr="000665B0">
        <w:t xml:space="preserve">classification may be upgraded without any limitations. </w:t>
      </w:r>
    </w:p>
    <w:p w14:paraId="672E57DC" w14:textId="77777777" w:rsidR="00AF7147" w:rsidRPr="000665B0" w:rsidRDefault="000566E6" w:rsidP="009570CA">
      <w:pPr>
        <w:pStyle w:val="BodyText"/>
        <w:tabs>
          <w:tab w:val="left" w:pos="720"/>
        </w:tabs>
        <w:spacing w:after="120"/>
      </w:pPr>
      <w:r w:rsidRPr="000665B0">
        <w:t xml:space="preserve">There are times when </w:t>
      </w:r>
      <w:r w:rsidR="00CE2D56" w:rsidRPr="000665B0">
        <w:t xml:space="preserve">a Strike Folder </w:t>
      </w:r>
      <w:r w:rsidRPr="000665B0">
        <w:t>need</w:t>
      </w:r>
      <w:r w:rsidR="00CE2D56" w:rsidRPr="000665B0">
        <w:t>s</w:t>
      </w:r>
      <w:r w:rsidRPr="000665B0">
        <w:t xml:space="preserve"> to be downgraded (e.g., to support the Secret Only system initiative). Before a Strike</w:t>
      </w:r>
      <w:r w:rsidR="00CE2D56" w:rsidRPr="000665B0">
        <w:t xml:space="preserve"> Folder</w:t>
      </w:r>
      <w:r w:rsidRPr="000665B0">
        <w:t xml:space="preserve">’s classification can be downgraded, ensure that there are no </w:t>
      </w:r>
      <w:r w:rsidR="00406F14" w:rsidRPr="000665B0">
        <w:t>items in the Strike that carry a higher classification than the planned downgrade.</w:t>
      </w:r>
      <w:r w:rsidRPr="000665B0">
        <w:t xml:space="preserve"> </w:t>
      </w:r>
    </w:p>
    <w:p w14:paraId="77ED81E3" w14:textId="77777777" w:rsidR="00AF7147" w:rsidRPr="000665B0" w:rsidRDefault="00AF7147" w:rsidP="009570CA">
      <w:pPr>
        <w:pStyle w:val="BodyText"/>
        <w:tabs>
          <w:tab w:val="left" w:pos="720"/>
        </w:tabs>
        <w:spacing w:after="120"/>
      </w:pPr>
      <w:r w:rsidRPr="000665B0">
        <w:t>To d</w:t>
      </w:r>
      <w:r w:rsidR="000566E6" w:rsidRPr="000665B0">
        <w:t>owngrad</w:t>
      </w:r>
      <w:r w:rsidRPr="000665B0">
        <w:t>e a Strike</w:t>
      </w:r>
      <w:r w:rsidR="00CE2D56" w:rsidRPr="000665B0">
        <w:t xml:space="preserve"> Folder</w:t>
      </w:r>
      <w:r w:rsidR="00161DAE" w:rsidRPr="000665B0">
        <w:t>’s classification</w:t>
      </w:r>
      <w:r w:rsidRPr="000665B0">
        <w:t>:</w:t>
      </w:r>
    </w:p>
    <w:p w14:paraId="6D9CE20A" w14:textId="77777777" w:rsidR="00161DAE" w:rsidRPr="000665B0" w:rsidRDefault="00161DAE" w:rsidP="006D5A65">
      <w:pPr>
        <w:pStyle w:val="Heading1"/>
      </w:pPr>
      <w:r w:rsidRPr="000665B0">
        <w:t xml:space="preserve">From the main </w:t>
      </w:r>
      <w:r w:rsidRPr="000665B0">
        <w:rPr>
          <w:i/>
          <w:iCs/>
        </w:rPr>
        <w:t>Strike Folders</w:t>
      </w:r>
      <w:r w:rsidRPr="000665B0">
        <w:t xml:space="preserve"> window highlight the appropriate Strike Folder.</w:t>
      </w:r>
    </w:p>
    <w:p w14:paraId="36988E26" w14:textId="647D2CF3" w:rsidR="00161DAE" w:rsidRPr="000665B0" w:rsidRDefault="0037038E" w:rsidP="006D5A65">
      <w:pPr>
        <w:pStyle w:val="Heading1"/>
      </w:pPr>
      <w:r w:rsidRPr="000665B0">
        <w:t>Double-click</w:t>
      </w:r>
      <w:r w:rsidR="00161DAE" w:rsidRPr="000665B0">
        <w:t xml:space="preserve"> to display the Strike Folder </w:t>
      </w:r>
      <w:r w:rsidR="00AB3FB1" w:rsidRPr="000665B0">
        <w:t>textually or</w:t>
      </w:r>
      <w:r w:rsidR="00161DAE" w:rsidRPr="000665B0">
        <w:t xml:space="preserve"> invoke the context menu (</w:t>
      </w:r>
      <w:r w:rsidR="00D71804" w:rsidRPr="000665B0">
        <w:t>right-click</w:t>
      </w:r>
      <w:r w:rsidR="00161DAE" w:rsidRPr="000665B0">
        <w:t xml:space="preserve"> the mouse) and select Display </w:t>
      </w:r>
      <w:r w:rsidR="00161DAE" w:rsidRPr="000665B0">
        <w:sym w:font="Wingdings 3" w:char="F07D"/>
      </w:r>
      <w:r w:rsidR="00161DAE" w:rsidRPr="000665B0">
        <w:t xml:space="preserve"> </w:t>
      </w:r>
      <w:r w:rsidR="00935107" w:rsidRPr="000665B0">
        <w:t>Textually or</w:t>
      </w:r>
      <w:r w:rsidR="00161DAE" w:rsidRPr="000665B0">
        <w:t xml:space="preserve"> select File </w:t>
      </w:r>
      <w:r w:rsidR="00161DAE" w:rsidRPr="000665B0">
        <w:sym w:font="Wingdings" w:char="F0E0"/>
      </w:r>
      <w:r w:rsidR="00161DAE" w:rsidRPr="000665B0">
        <w:t xml:space="preserve"> Display </w:t>
      </w:r>
      <w:r w:rsidR="00161DAE" w:rsidRPr="000665B0">
        <w:sym w:font="Wingdings 3" w:char="F07D"/>
      </w:r>
      <w:r w:rsidR="00161DAE" w:rsidRPr="000665B0">
        <w:t xml:space="preserve"> Textually. </w:t>
      </w:r>
    </w:p>
    <w:p w14:paraId="15920CAB" w14:textId="77777777" w:rsidR="00161DAE" w:rsidRPr="000665B0" w:rsidRDefault="00BA6B75" w:rsidP="006D5A65">
      <w:pPr>
        <w:pStyle w:val="Heading1"/>
      </w:pPr>
      <w:r w:rsidRPr="000665B0">
        <w:t>The</w:t>
      </w:r>
      <w:r w:rsidRPr="000665B0">
        <w:rPr>
          <w:i/>
        </w:rPr>
        <w:t xml:space="preserve"> Strike Folder: xxxxx-xxxxx</w:t>
      </w:r>
      <w:r w:rsidRPr="000665B0">
        <w:t xml:space="preserve"> window is displayed. </w:t>
      </w:r>
      <w:r w:rsidR="00161DAE" w:rsidRPr="000665B0">
        <w:t xml:space="preserve">Remove any items </w:t>
      </w:r>
      <w:r w:rsidR="00314069" w:rsidRPr="000665B0">
        <w:t>in</w:t>
      </w:r>
      <w:r w:rsidR="00161DAE" w:rsidRPr="000665B0">
        <w:t xml:space="preserve"> the Strike that carry a higher classification</w:t>
      </w:r>
      <w:r w:rsidR="005603AF" w:rsidRPr="000665B0">
        <w:t xml:space="preserve"> level</w:t>
      </w:r>
      <w:r w:rsidR="00161DAE" w:rsidRPr="000665B0">
        <w:t xml:space="preserve"> than the </w:t>
      </w:r>
      <w:r w:rsidR="005603AF" w:rsidRPr="000665B0">
        <w:t>anticipated</w:t>
      </w:r>
      <w:r w:rsidR="00161DAE" w:rsidRPr="000665B0">
        <w:t xml:space="preserve"> downgrade</w:t>
      </w:r>
      <w:r w:rsidR="005603AF" w:rsidRPr="000665B0">
        <w:t xml:space="preserve"> classification level</w:t>
      </w:r>
      <w:r w:rsidR="00161DAE" w:rsidRPr="000665B0">
        <w:t>.</w:t>
      </w:r>
      <w:r w:rsidR="00314069" w:rsidRPr="000665B0">
        <w:t xml:space="preserve"> </w:t>
      </w:r>
      <w:r w:rsidR="00CE2D56" w:rsidRPr="000665B0">
        <w:rPr>
          <w:szCs w:val="24"/>
        </w:rPr>
        <w:t xml:space="preserve">Click on the Save </w:t>
      </w:r>
      <w:r w:rsidR="00CE2D56" w:rsidRPr="000665B0">
        <w:rPr>
          <w:rFonts w:ascii="Wingdings" w:hAnsi="Wingdings" w:cs="Wingdings"/>
          <w:szCs w:val="24"/>
        </w:rPr>
        <w:t></w:t>
      </w:r>
      <w:r w:rsidR="00CE2D56" w:rsidRPr="000665B0">
        <w:rPr>
          <w:szCs w:val="24"/>
        </w:rPr>
        <w:t xml:space="preserve"> icon or select the </w:t>
      </w:r>
      <w:r w:rsidR="00CE2D56" w:rsidRPr="000665B0">
        <w:rPr>
          <w:bCs/>
          <w:szCs w:val="24"/>
        </w:rPr>
        <w:t>Save</w:t>
      </w:r>
      <w:r w:rsidR="00CE2D56" w:rsidRPr="000665B0">
        <w:rPr>
          <w:szCs w:val="24"/>
        </w:rPr>
        <w:t xml:space="preserve"> option from the </w:t>
      </w:r>
      <w:r w:rsidR="00CE2D56" w:rsidRPr="000665B0">
        <w:rPr>
          <w:bCs/>
          <w:szCs w:val="24"/>
        </w:rPr>
        <w:t>File</w:t>
      </w:r>
      <w:r w:rsidR="00CE2D56" w:rsidRPr="000665B0">
        <w:rPr>
          <w:szCs w:val="24"/>
        </w:rPr>
        <w:t xml:space="preserve"> pull down menu.</w:t>
      </w:r>
    </w:p>
    <w:p w14:paraId="1EFCACD4" w14:textId="67F1A8E8" w:rsidR="00161DAE" w:rsidRPr="000665B0" w:rsidRDefault="00161DAE" w:rsidP="006D5A65">
      <w:pPr>
        <w:pStyle w:val="Heading1"/>
      </w:pPr>
      <w:r w:rsidRPr="000665B0">
        <w:t>From the</w:t>
      </w:r>
      <w:r w:rsidRPr="000665B0">
        <w:rPr>
          <w:i/>
        </w:rPr>
        <w:t xml:space="preserve"> Strike Folder</w:t>
      </w:r>
      <w:r w:rsidR="00BA6B75" w:rsidRPr="000665B0">
        <w:rPr>
          <w:i/>
        </w:rPr>
        <w:t>:</w:t>
      </w:r>
      <w:r w:rsidRPr="000665B0">
        <w:rPr>
          <w:i/>
        </w:rPr>
        <w:t xml:space="preserve"> xxxxx-xxxxx</w:t>
      </w:r>
      <w:r w:rsidRPr="000665B0">
        <w:t xml:space="preserve"> window, </w:t>
      </w:r>
      <w:r w:rsidR="0037038E" w:rsidRPr="000665B0">
        <w:t>double-click</w:t>
      </w:r>
      <w:r w:rsidRPr="000665B0">
        <w:t xml:space="preserve"> the </w:t>
      </w:r>
      <w:r w:rsidRPr="000665B0">
        <w:rPr>
          <w:bCs/>
        </w:rPr>
        <w:t xml:space="preserve">History </w:t>
      </w:r>
      <w:r w:rsidRPr="000665B0">
        <w:rPr>
          <w:noProof/>
        </w:rPr>
        <w:drawing>
          <wp:inline distT="0" distB="0" distL="0" distR="0" wp14:anchorId="1D9A1374" wp14:editId="334A8822">
            <wp:extent cx="209550" cy="209550"/>
            <wp:effectExtent l="19050" t="0" r="0" b="0"/>
            <wp:docPr id="106" name="Picture 106" descr="StrikePlan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StrikePlanHistory"/>
                    <pic:cNvPicPr>
                      <a:picLocks noChangeAspect="1" noChangeArrowheads="1"/>
                    </pic:cNvPicPr>
                  </pic:nvPicPr>
                  <pic:blipFill>
                    <a:blip cstate="print"/>
                    <a:srcRect/>
                    <a:stretch>
                      <a:fillRect/>
                    </a:stretch>
                  </pic:blipFill>
                  <pic:spPr bwMode="auto">
                    <a:xfrm>
                      <a:off x="0" y="0"/>
                      <a:ext cx="209550" cy="209550"/>
                    </a:xfrm>
                    <a:prstGeom prst="rect">
                      <a:avLst/>
                    </a:prstGeom>
                    <a:noFill/>
                    <a:ln w="9525">
                      <a:noFill/>
                      <a:miter lim="800000"/>
                      <a:headEnd/>
                      <a:tailEnd/>
                    </a:ln>
                  </pic:spPr>
                </pic:pic>
              </a:graphicData>
            </a:graphic>
          </wp:inline>
        </w:drawing>
      </w:r>
      <w:r w:rsidRPr="000665B0">
        <w:rPr>
          <w:bCs/>
        </w:rPr>
        <w:t xml:space="preserve"> </w:t>
      </w:r>
      <w:r w:rsidRPr="000665B0">
        <w:t xml:space="preserve">icon. The </w:t>
      </w:r>
      <w:r w:rsidRPr="000665B0">
        <w:rPr>
          <w:i/>
        </w:rPr>
        <w:t>Strike History for Strike Folder: xxxxx-xxxxx</w:t>
      </w:r>
      <w:r w:rsidRPr="000665B0">
        <w:t xml:space="preserve"> window is displayed.</w:t>
      </w:r>
    </w:p>
    <w:p w14:paraId="5E7EF70A" w14:textId="5B2838F1" w:rsidR="00161DAE" w:rsidRPr="000665B0" w:rsidRDefault="00FD6A0B" w:rsidP="009570CA">
      <w:pPr>
        <w:tabs>
          <w:tab w:val="left" w:pos="720"/>
        </w:tabs>
        <w:jc w:val="center"/>
        <w:rPr>
          <w:noProof/>
        </w:rPr>
      </w:pPr>
      <w:r w:rsidRPr="000665B0">
        <w:rPr>
          <w:noProof/>
        </w:rPr>
        <w:drawing>
          <wp:inline distT="0" distB="0" distL="0" distR="0" wp14:anchorId="5AE1F57E" wp14:editId="012C2A06">
            <wp:extent cx="3657600" cy="1700784"/>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1700784"/>
                    </a:xfrm>
                    <a:prstGeom prst="rect">
                      <a:avLst/>
                    </a:prstGeom>
                  </pic:spPr>
                </pic:pic>
              </a:graphicData>
            </a:graphic>
          </wp:inline>
        </w:drawing>
      </w:r>
    </w:p>
    <w:p w14:paraId="47D8130C" w14:textId="77777777" w:rsidR="00406F14" w:rsidRPr="000665B0" w:rsidRDefault="00161DAE" w:rsidP="006D5A65">
      <w:pPr>
        <w:pStyle w:val="Heading1"/>
        <w:rPr>
          <w:noProof/>
          <w:szCs w:val="24"/>
        </w:rPr>
      </w:pPr>
      <w:r w:rsidRPr="000665B0">
        <w:rPr>
          <w:noProof/>
        </w:rPr>
        <w:lastRenderedPageBreak/>
        <w:t>Downgrade the Strike’s History</w:t>
      </w:r>
      <w:r w:rsidR="00406F14" w:rsidRPr="000665B0">
        <w:rPr>
          <w:noProof/>
        </w:rPr>
        <w:t xml:space="preserve"> classification</w:t>
      </w:r>
      <w:r w:rsidR="00275A78" w:rsidRPr="000665B0">
        <w:rPr>
          <w:noProof/>
        </w:rPr>
        <w:t>.</w:t>
      </w:r>
      <w:r w:rsidRPr="000665B0">
        <w:rPr>
          <w:noProof/>
        </w:rPr>
        <w:t xml:space="preserve"> </w:t>
      </w:r>
      <w:r w:rsidR="00406F14" w:rsidRPr="000665B0">
        <w:t xml:space="preserve">Click the </w:t>
      </w:r>
      <w:r w:rsidR="00406F14" w:rsidRPr="000665B0">
        <w:rPr>
          <w:bCs/>
        </w:rPr>
        <w:t>EDIT</w:t>
      </w:r>
      <w:r w:rsidR="00406F14" w:rsidRPr="000665B0">
        <w:t xml:space="preserve"> button and select the classification from the drop-down menu of the </w:t>
      </w:r>
      <w:r w:rsidR="00406F14" w:rsidRPr="000665B0">
        <w:rPr>
          <w:i/>
        </w:rPr>
        <w:t xml:space="preserve">Edit Classification </w:t>
      </w:r>
      <w:r w:rsidR="00406F14" w:rsidRPr="000665B0">
        <w:t>window</w:t>
      </w:r>
      <w:r w:rsidR="0010694B" w:rsidRPr="000665B0">
        <w:t>, then c</w:t>
      </w:r>
      <w:r w:rsidR="00406F14" w:rsidRPr="000665B0">
        <w:t>lick OK.</w:t>
      </w:r>
    </w:p>
    <w:p w14:paraId="475F9A16" w14:textId="40743999" w:rsidR="00CE2D56" w:rsidRPr="000665B0" w:rsidRDefault="00C61043" w:rsidP="0043211C">
      <w:pPr>
        <w:tabs>
          <w:tab w:val="center" w:pos="4680"/>
          <w:tab w:val="left" w:pos="8520"/>
        </w:tabs>
        <w:jc w:val="center"/>
        <w:rPr>
          <w:noProof/>
        </w:rPr>
      </w:pPr>
      <w:r>
        <w:rPr>
          <w:noProof/>
        </w:rPr>
        <w:drawing>
          <wp:inline distT="0" distB="0" distL="0" distR="0" wp14:anchorId="4063AF54" wp14:editId="08A03B32">
            <wp:extent cx="2680638" cy="1379220"/>
            <wp:effectExtent l="0" t="0" r="0" b="0"/>
            <wp:docPr id="1760234864"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34864" name="Picture 2" descr="Graphical user interface, application&#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2706590" cy="1392573"/>
                    </a:xfrm>
                    <a:prstGeom prst="rect">
                      <a:avLst/>
                    </a:prstGeom>
                  </pic:spPr>
                </pic:pic>
              </a:graphicData>
            </a:graphic>
          </wp:inline>
        </w:drawing>
      </w:r>
    </w:p>
    <w:p w14:paraId="39A718F5" w14:textId="77777777" w:rsidR="00406F14" w:rsidRPr="000665B0" w:rsidRDefault="00CE2D56" w:rsidP="006D5A65">
      <w:pPr>
        <w:pStyle w:val="Heading1"/>
        <w:rPr>
          <w:noProof/>
        </w:rPr>
      </w:pPr>
      <w:r w:rsidRPr="000665B0">
        <w:rPr>
          <w:noProof/>
        </w:rPr>
        <w:t xml:space="preserve">The </w:t>
      </w:r>
      <w:r w:rsidRPr="000665B0">
        <w:rPr>
          <w:i/>
          <w:noProof/>
        </w:rPr>
        <w:t xml:space="preserve">Strike History </w:t>
      </w:r>
      <w:r w:rsidRPr="000665B0">
        <w:rPr>
          <w:noProof/>
        </w:rPr>
        <w:t>window appears. Click Yes to confirm the downgrade, then c</w:t>
      </w:r>
      <w:r w:rsidRPr="000665B0">
        <w:t xml:space="preserve">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5A75361C" w14:textId="77777777" w:rsidR="00161DAE" w:rsidRPr="000665B0" w:rsidRDefault="00406F14" w:rsidP="006D5A65">
      <w:pPr>
        <w:pStyle w:val="Heading1"/>
      </w:pPr>
      <w:r w:rsidRPr="000665B0">
        <w:t>Downgrade the Strike Folder’s classification. From the</w:t>
      </w:r>
      <w:r w:rsidRPr="000665B0">
        <w:rPr>
          <w:i/>
        </w:rPr>
        <w:t xml:space="preserve"> Strike Folder</w:t>
      </w:r>
      <w:r w:rsidR="00BA6B75" w:rsidRPr="000665B0">
        <w:rPr>
          <w:i/>
        </w:rPr>
        <w:t>:</w:t>
      </w:r>
      <w:r w:rsidRPr="000665B0">
        <w:rPr>
          <w:i/>
        </w:rPr>
        <w:t xml:space="preserve"> xxxxx-xxxxx</w:t>
      </w:r>
      <w:r w:rsidRPr="000665B0">
        <w:t xml:space="preserve"> window, click the </w:t>
      </w:r>
      <w:r w:rsidRPr="000665B0">
        <w:rPr>
          <w:bCs/>
        </w:rPr>
        <w:t>EDIT</w:t>
      </w:r>
      <w:r w:rsidRPr="000665B0">
        <w:t xml:space="preserve"> button and select the classification from the drop-down menu of the </w:t>
      </w:r>
      <w:r w:rsidRPr="000665B0">
        <w:rPr>
          <w:i/>
        </w:rPr>
        <w:t xml:space="preserve">Edit Classification </w:t>
      </w:r>
      <w:r w:rsidRPr="000665B0">
        <w:t>window</w:t>
      </w:r>
      <w:r w:rsidR="0010694B" w:rsidRPr="000665B0">
        <w:t>, then c</w:t>
      </w:r>
      <w:r w:rsidRPr="000665B0">
        <w:t>lick OK.</w:t>
      </w:r>
    </w:p>
    <w:p w14:paraId="5DA9B878" w14:textId="77777777" w:rsidR="00314069" w:rsidRPr="000665B0" w:rsidRDefault="00F711AA" w:rsidP="009570CA">
      <w:pPr>
        <w:pStyle w:val="Number0205"/>
        <w:ind w:left="720" w:firstLine="0"/>
      </w:pPr>
      <w:r w:rsidRPr="000665B0">
        <w:t xml:space="preserve">If there are remaining items in the Strike that carry a higher classification level than the anticipated downgrade classification level, a </w:t>
      </w:r>
      <w:r w:rsidR="00CE2D56" w:rsidRPr="000665B0">
        <w:rPr>
          <w:i/>
        </w:rPr>
        <w:t>Strike Folder</w:t>
      </w:r>
      <w:r w:rsidRPr="000665B0">
        <w:t xml:space="preserve"> w</w:t>
      </w:r>
      <w:r w:rsidR="009756A2" w:rsidRPr="000665B0">
        <w:t>indow</w:t>
      </w:r>
      <w:r w:rsidRPr="000665B0">
        <w:t xml:space="preserve"> appears</w:t>
      </w:r>
      <w:r w:rsidR="009756A2" w:rsidRPr="000665B0">
        <w:t xml:space="preserve"> </w:t>
      </w:r>
      <w:r w:rsidR="00CE2D56" w:rsidRPr="000665B0">
        <w:t>explaining that MDS cannot downgrade the classification</w:t>
      </w:r>
      <w:r w:rsidRPr="000665B0">
        <w:t xml:space="preserve">. The </w:t>
      </w:r>
      <w:r w:rsidR="00CE2D56" w:rsidRPr="000665B0">
        <w:rPr>
          <w:i/>
        </w:rPr>
        <w:t>Strike Folder</w:t>
      </w:r>
      <w:r w:rsidR="00CE2D56" w:rsidRPr="000665B0">
        <w:t xml:space="preserve"> </w:t>
      </w:r>
      <w:r w:rsidRPr="000665B0">
        <w:t xml:space="preserve">window contains a list of the items with a higher classification and the </w:t>
      </w:r>
      <w:r w:rsidR="00314069" w:rsidRPr="000665B0">
        <w:t>Strike cannot be downgraded until those items are removed.</w:t>
      </w:r>
    </w:p>
    <w:p w14:paraId="5316CDCD" w14:textId="77777777" w:rsidR="00B3526C" w:rsidRPr="000665B0" w:rsidRDefault="00B3526C" w:rsidP="009570CA">
      <w:pPr>
        <w:pBdr>
          <w:top w:val="single" w:sz="12" w:space="1" w:color="auto"/>
          <w:left w:val="single" w:sz="12" w:space="4" w:color="auto"/>
          <w:bottom w:val="single" w:sz="12" w:space="1" w:color="auto"/>
          <w:right w:val="single" w:sz="12" w:space="4" w:color="auto"/>
        </w:pBdr>
        <w:shd w:val="clear" w:color="auto" w:fill="F2F2F2" w:themeFill="background1" w:themeFillShade="F2"/>
        <w:tabs>
          <w:tab w:val="left" w:pos="720"/>
        </w:tabs>
        <w:rPr>
          <w:rStyle w:val="bodycopy"/>
          <w:b/>
          <w:szCs w:val="24"/>
        </w:rPr>
      </w:pPr>
      <w:r w:rsidRPr="000665B0">
        <w:rPr>
          <w:noProof/>
        </w:rPr>
        <w:drawing>
          <wp:inline distT="0" distB="0" distL="0" distR="0" wp14:anchorId="465D811F" wp14:editId="279777B9">
            <wp:extent cx="352425" cy="381000"/>
            <wp:effectExtent l="0" t="0" r="9525" b="0"/>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Pr="000665B0">
        <w:rPr>
          <w:b/>
        </w:rPr>
        <w:t>TIP: The classification of the Strike Folder and its items should not be downgraded when there are “missing” items</w:t>
      </w:r>
      <w:r w:rsidR="00161956" w:rsidRPr="000665B0">
        <w:rPr>
          <w:b/>
        </w:rPr>
        <w:t>.</w:t>
      </w:r>
      <w:r w:rsidR="00284536" w:rsidRPr="000665B0">
        <w:rPr>
          <w:b/>
        </w:rPr>
        <w:t xml:space="preserve"> </w:t>
      </w:r>
      <w:r w:rsidR="00161956" w:rsidRPr="000665B0">
        <w:rPr>
          <w:b/>
        </w:rPr>
        <w:t>E</w:t>
      </w:r>
      <w:r w:rsidRPr="000665B0">
        <w:rPr>
          <w:b/>
        </w:rPr>
        <w:t>nsure that there are no missing items before performing a classification downgrade.</w:t>
      </w:r>
    </w:p>
    <w:p w14:paraId="2CE21521" w14:textId="77777777" w:rsidR="00112DD7" w:rsidRPr="000665B0" w:rsidRDefault="00CD2AE5" w:rsidP="006D5A65">
      <w:pPr>
        <w:pStyle w:val="Heading1"/>
      </w:pPr>
      <w:r w:rsidRPr="000665B0">
        <w:rPr>
          <w:noProof/>
        </w:rPr>
        <w:t>C</w:t>
      </w:r>
      <w:r w:rsidR="00CE2D56" w:rsidRPr="000665B0">
        <w:t xml:space="preserve">lick on the Save </w:t>
      </w:r>
      <w:r w:rsidR="00CE2D56" w:rsidRPr="000665B0">
        <w:rPr>
          <w:rFonts w:ascii="Wingdings" w:hAnsi="Wingdings" w:cs="Wingdings"/>
        </w:rPr>
        <w:t></w:t>
      </w:r>
      <w:r w:rsidR="00CE2D56" w:rsidRPr="000665B0">
        <w:t xml:space="preserve"> icon or select the </w:t>
      </w:r>
      <w:r w:rsidR="00CE2D56" w:rsidRPr="000665B0">
        <w:rPr>
          <w:bCs/>
        </w:rPr>
        <w:t>Save</w:t>
      </w:r>
      <w:r w:rsidR="00CE2D56" w:rsidRPr="000665B0">
        <w:t xml:space="preserve"> option from the </w:t>
      </w:r>
      <w:r w:rsidR="00CE2D56" w:rsidRPr="000665B0">
        <w:rPr>
          <w:bCs/>
        </w:rPr>
        <w:t>File</w:t>
      </w:r>
      <w:r w:rsidR="00CE2D56" w:rsidRPr="000665B0">
        <w:t xml:space="preserve"> pull down menu.</w:t>
      </w:r>
    </w:p>
    <w:p w14:paraId="78515CCA" w14:textId="18A4A7DD" w:rsidR="000566E6" w:rsidRPr="000665B0" w:rsidRDefault="000566E6" w:rsidP="009570CA">
      <w:pPr>
        <w:pStyle w:val="Heading4"/>
        <w:tabs>
          <w:tab w:val="left" w:pos="720"/>
        </w:tabs>
      </w:pPr>
      <w:bookmarkStart w:id="6215" w:name="_5.37.1.2__Shareability"/>
      <w:bookmarkStart w:id="6216" w:name="_5.37.2.2__Shareability"/>
      <w:bookmarkEnd w:id="6215"/>
      <w:bookmarkEnd w:id="6216"/>
      <w:r w:rsidRPr="000665B0">
        <w:t>Shareability</w:t>
      </w:r>
    </w:p>
    <w:p w14:paraId="6461AE5C" w14:textId="73C9C482" w:rsidR="005E2B9E" w:rsidRPr="000665B0" w:rsidRDefault="005E2B9E" w:rsidP="009570CA">
      <w:pPr>
        <w:tabs>
          <w:tab w:val="left" w:pos="720"/>
        </w:tabs>
      </w:pPr>
      <w:r w:rsidRPr="000665B0">
        <w:t xml:space="preserve">The shareability markings of a strike consist </w:t>
      </w:r>
      <w:r w:rsidR="00E67C88">
        <w:t xml:space="preserve">of </w:t>
      </w:r>
      <w:r w:rsidR="006E2ECE">
        <w:t>a</w:t>
      </w:r>
      <w:r w:rsidRPr="000665B0">
        <w:t xml:space="preserve"> list of </w:t>
      </w:r>
      <w:r w:rsidR="008131F7" w:rsidRPr="000665B0">
        <w:t xml:space="preserve">shareable </w:t>
      </w:r>
      <w:r w:rsidRPr="000665B0">
        <w:t xml:space="preserve">Countries. The </w:t>
      </w:r>
      <w:r w:rsidR="008131F7" w:rsidRPr="000665B0">
        <w:t xml:space="preserve">shareable </w:t>
      </w:r>
      <w:r w:rsidRPr="000665B0">
        <w:t>Countries is a set of countries that have been approved to view the strike product. If the list is empty then the strike is shareable/viewable only with the United States Forces (this is implied as the Shareability Banner will not show any Country Trigraph).</w:t>
      </w:r>
    </w:p>
    <w:p w14:paraId="126AFEBA" w14:textId="39FF82E9" w:rsidR="008131F7" w:rsidRPr="000665B0" w:rsidRDefault="008131F7" w:rsidP="009570CA">
      <w:pPr>
        <w:tabs>
          <w:tab w:val="left" w:pos="720"/>
        </w:tabs>
      </w:pPr>
      <w:r w:rsidRPr="000665B0">
        <w:t xml:space="preserve">In the new </w:t>
      </w:r>
      <w:r w:rsidRPr="000665B0">
        <w:rPr>
          <w:i/>
          <w:iCs/>
        </w:rPr>
        <w:t xml:space="preserve">Strike Folder </w:t>
      </w:r>
      <w:r w:rsidRPr="000665B0">
        <w:t xml:space="preserve">window click the </w:t>
      </w:r>
      <w:r w:rsidRPr="000665B0">
        <w:rPr>
          <w:b/>
          <w:bCs/>
        </w:rPr>
        <w:t>Edit</w:t>
      </w:r>
      <w:r w:rsidRPr="000665B0">
        <w:t xml:space="preserve"> button to the right of the Shareability label (under the Classification label)</w:t>
      </w:r>
      <w:r w:rsidR="00E971E8" w:rsidRPr="000665B0">
        <w:t>. The</w:t>
      </w:r>
      <w:r w:rsidRPr="000665B0">
        <w:t xml:space="preserve"> </w:t>
      </w:r>
      <w:r w:rsidRPr="000665B0">
        <w:rPr>
          <w:i/>
        </w:rPr>
        <w:t>Strike Shareability Preferences</w:t>
      </w:r>
      <w:r w:rsidRPr="000665B0">
        <w:t xml:space="preserve"> window is displayed.</w:t>
      </w:r>
      <w:r w:rsidR="00D20801" w:rsidRPr="000665B0">
        <w:t xml:space="preserve"> (Note that the Shareability label may not be displayed, depending on the default Strike Folder Tool preference that has been set by an Administrator. If the Shareability label is not displayed, the operator is unable to change the shareability markings.)</w:t>
      </w:r>
    </w:p>
    <w:p w14:paraId="1C769FBE" w14:textId="601027BB" w:rsidR="00ED2EFB" w:rsidRPr="000665B0" w:rsidRDefault="00ED2EFB" w:rsidP="009570CA">
      <w:pPr>
        <w:tabs>
          <w:tab w:val="left" w:pos="720"/>
        </w:tabs>
        <w:jc w:val="center"/>
      </w:pPr>
      <w:r>
        <w:rPr>
          <w:noProof/>
        </w:rPr>
        <w:lastRenderedPageBreak/>
        <w:drawing>
          <wp:inline distT="0" distB="0" distL="0" distR="0" wp14:anchorId="66D1242C" wp14:editId="1804A0A0">
            <wp:extent cx="2286000" cy="2029968"/>
            <wp:effectExtent l="0" t="0" r="0" b="8890"/>
            <wp:docPr id="348" name="Picture 34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a:picLocks noChangeAspect="1"/>
                    </pic:cNvPicPr>
                  </pic:nvPicPr>
                  <pic:blipFill>
                    <a:blip/>
                    <a:stretch>
                      <a:fillRect/>
                    </a:stretch>
                  </pic:blipFill>
                  <pic:spPr>
                    <a:xfrm>
                      <a:off x="0" y="0"/>
                      <a:ext cx="2286000" cy="2029968"/>
                    </a:xfrm>
                    <a:prstGeom prst="rect">
                      <a:avLst/>
                    </a:prstGeom>
                  </pic:spPr>
                </pic:pic>
              </a:graphicData>
            </a:graphic>
          </wp:inline>
        </w:drawing>
      </w:r>
    </w:p>
    <w:p w14:paraId="77A36ACF" w14:textId="147A076C" w:rsidR="00987493" w:rsidRPr="000665B0" w:rsidRDefault="00987493" w:rsidP="009570CA">
      <w:pPr>
        <w:tabs>
          <w:tab w:val="left" w:pos="720"/>
        </w:tabs>
      </w:pPr>
      <w:r w:rsidRPr="000665B0">
        <w:t>The Countries may contain default values that are pre-populated when creating a new Strike Folder. The default values are set by an Administrator in the Strike Folder</w:t>
      </w:r>
      <w:r w:rsidR="00D20801" w:rsidRPr="000665B0">
        <w:t>’</w:t>
      </w:r>
      <w:r w:rsidRPr="000665B0">
        <w:t>s Properties, but the Countries can be edited by the operator when creating a new Strike Folder.</w:t>
      </w:r>
      <w:r w:rsidR="00ED2EFB">
        <w:t xml:space="preserve"> Additionally, the “USA” trigraph is un-editable and is always set in the Countries list. </w:t>
      </w:r>
    </w:p>
    <w:p w14:paraId="5345774B" w14:textId="29E4C875" w:rsidR="005E2B9E" w:rsidRPr="000665B0" w:rsidRDefault="005E2B9E" w:rsidP="009570CA">
      <w:pPr>
        <w:tabs>
          <w:tab w:val="left" w:pos="720"/>
        </w:tabs>
      </w:pPr>
      <w:r w:rsidRPr="000665B0">
        <w:rPr>
          <w:b/>
        </w:rPr>
        <w:t>Countries</w:t>
      </w:r>
      <w:r w:rsidRPr="000665B0">
        <w:t xml:space="preserve"> – This is a list of country trigraphs (up to 12 countries). If a country is entered into the field</w:t>
      </w:r>
      <w:r w:rsidR="00763CF9">
        <w:t>,</w:t>
      </w:r>
      <w:r w:rsidRPr="000665B0">
        <w:t xml:space="preserve"> then the strike is assumed shareable with that country. The list of </w:t>
      </w:r>
      <w:r w:rsidR="00763CF9">
        <w:t xml:space="preserve">valid </w:t>
      </w:r>
      <w:r w:rsidRPr="000665B0">
        <w:t>country trigraphs is found in 3900-13</w:t>
      </w:r>
      <w:r w:rsidR="00BF7680" w:rsidRPr="000665B0">
        <w:t>3</w:t>
      </w:r>
      <w:r w:rsidRPr="000665B0">
        <w:t>.</w:t>
      </w:r>
      <w:r w:rsidR="00763CF9">
        <w:t xml:space="preserve"> The operator may not enter duplicate trigraphs or trigraphs that are not part of the 3900-133 country trigraph list</w:t>
      </w:r>
      <w:r w:rsidRPr="000665B0">
        <w:t>.</w:t>
      </w:r>
    </w:p>
    <w:p w14:paraId="7818F940" w14:textId="4650683B" w:rsidR="005E2B9E" w:rsidRPr="000665B0" w:rsidRDefault="005E2B9E" w:rsidP="009570CA">
      <w:pPr>
        <w:pStyle w:val="Heading5"/>
        <w:tabs>
          <w:tab w:val="left" w:pos="720"/>
        </w:tabs>
        <w:rPr>
          <w:bCs/>
          <w:iCs/>
        </w:rPr>
      </w:pPr>
      <w:bookmarkStart w:id="6217" w:name="_5.37.1.2.1__Shareability"/>
      <w:bookmarkStart w:id="6218" w:name="_Toc289328848"/>
      <w:bookmarkEnd w:id="6217"/>
      <w:r w:rsidRPr="000665B0">
        <w:t>Shareability Display</w:t>
      </w:r>
      <w:bookmarkEnd w:id="6218"/>
    </w:p>
    <w:p w14:paraId="711EFD04" w14:textId="77777777" w:rsidR="005E2B9E" w:rsidRPr="000665B0" w:rsidRDefault="005E2B9E" w:rsidP="009570CA">
      <w:pPr>
        <w:tabs>
          <w:tab w:val="left" w:pos="720"/>
        </w:tabs>
      </w:pPr>
      <w:r w:rsidRPr="000665B0">
        <w:t xml:space="preserve">When strike data is displayed in an environment where there are multi-national personnel present, displaying the shareability of the strike may be critical. </w:t>
      </w:r>
      <w:r w:rsidR="00B807DA" w:rsidRPr="000665B0">
        <w:t>Similar to the</w:t>
      </w:r>
      <w:r w:rsidRPr="000665B0">
        <w:t xml:space="preserve"> classification, it must be apparent who is allowed access to the data on the screen.</w:t>
      </w:r>
    </w:p>
    <w:p w14:paraId="4CDD6A87" w14:textId="77777777" w:rsidR="005E2B9E" w:rsidRPr="000665B0" w:rsidRDefault="005E2B9E" w:rsidP="009570CA">
      <w:pPr>
        <w:tabs>
          <w:tab w:val="left" w:pos="720"/>
        </w:tabs>
      </w:pPr>
      <w:r w:rsidRPr="000665B0">
        <w:t xml:space="preserve">Display of the </w:t>
      </w:r>
      <w:r w:rsidR="00AB36FF" w:rsidRPr="000665B0">
        <w:t xml:space="preserve">Shareability Banner </w:t>
      </w:r>
      <w:r w:rsidR="00B807DA" w:rsidRPr="000665B0">
        <w:t>is</w:t>
      </w:r>
      <w:r w:rsidRPr="000665B0">
        <w:t xml:space="preserve"> optional</w:t>
      </w:r>
      <w:r w:rsidR="00E859C5" w:rsidRPr="000665B0">
        <w:t xml:space="preserve">. This </w:t>
      </w:r>
      <w:r w:rsidR="004F0C22" w:rsidRPr="000665B0">
        <w:t xml:space="preserve">display </w:t>
      </w:r>
      <w:r w:rsidR="00E859C5" w:rsidRPr="000665B0">
        <w:t xml:space="preserve">preference </w:t>
      </w:r>
      <w:r w:rsidR="00446B83" w:rsidRPr="000665B0">
        <w:t>is set on a machine</w:t>
      </w:r>
      <w:r w:rsidR="00E859C5" w:rsidRPr="000665B0">
        <w:t>-level</w:t>
      </w:r>
      <w:r w:rsidR="00446B83" w:rsidRPr="000665B0">
        <w:t xml:space="preserve"> basis</w:t>
      </w:r>
      <w:r w:rsidR="00AB36FF" w:rsidRPr="000665B0">
        <w:t xml:space="preserve"> in the Strike Folders’ </w:t>
      </w:r>
      <w:r w:rsidR="00765DDD" w:rsidRPr="000665B0">
        <w:t xml:space="preserve">Tool </w:t>
      </w:r>
      <w:r w:rsidR="00AB36FF" w:rsidRPr="000665B0">
        <w:t>Properties</w:t>
      </w:r>
      <w:r w:rsidR="00E859C5" w:rsidRPr="000665B0">
        <w:t xml:space="preserve"> and can only be configured when logged in as an Administrator</w:t>
      </w:r>
      <w:r w:rsidRPr="000665B0">
        <w:t xml:space="preserve">. </w:t>
      </w:r>
      <w:r w:rsidR="00AB36FF" w:rsidRPr="000665B0">
        <w:t>The display preference of the Shareability Banner is not configurable by users. Depending on the default preferences set by an Administrator, newly created Strike Folders may or may not display the Shareability Banner</w:t>
      </w:r>
      <w:r w:rsidR="0043623E" w:rsidRPr="000665B0">
        <w:t>.</w:t>
      </w:r>
    </w:p>
    <w:p w14:paraId="654CA26B" w14:textId="77777777" w:rsidR="005E2B9E" w:rsidRPr="000665B0" w:rsidRDefault="005E2B9E" w:rsidP="009570CA">
      <w:pPr>
        <w:tabs>
          <w:tab w:val="left" w:pos="720"/>
        </w:tabs>
      </w:pPr>
      <w:r w:rsidRPr="000665B0">
        <w:t xml:space="preserve">If enabled </w:t>
      </w:r>
      <w:r w:rsidR="00AB36FF" w:rsidRPr="000665B0">
        <w:t xml:space="preserve">in </w:t>
      </w:r>
      <w:r w:rsidRPr="000665B0">
        <w:t xml:space="preserve">the </w:t>
      </w:r>
      <w:r w:rsidR="00AB36FF" w:rsidRPr="000665B0">
        <w:t xml:space="preserve">default </w:t>
      </w:r>
      <w:r w:rsidRPr="000665B0">
        <w:t xml:space="preserve">preferences, Shareability </w:t>
      </w:r>
      <w:r w:rsidR="00AB36FF" w:rsidRPr="000665B0">
        <w:t xml:space="preserve">Banners </w:t>
      </w:r>
      <w:r w:rsidRPr="000665B0">
        <w:t xml:space="preserve">will be shown on all Strike Folder and Option displays. They are also required on the SMD and any of its detached windows. For all printouts that contain strike data, if the display of shareability is enabled, the shareability of the strike will be </w:t>
      </w:r>
      <w:r w:rsidR="008131F7" w:rsidRPr="000665B0">
        <w:t>printed</w:t>
      </w:r>
      <w:r w:rsidRPr="000665B0">
        <w:t>.</w:t>
      </w:r>
    </w:p>
    <w:p w14:paraId="47FFD9DB" w14:textId="77777777" w:rsidR="00AB36FF" w:rsidRPr="000665B0" w:rsidRDefault="00AB36FF" w:rsidP="009570CA">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after="0"/>
        <w:jc w:val="center"/>
        <w:rPr>
          <w:b/>
        </w:rPr>
      </w:pPr>
      <w:r w:rsidRPr="000665B0">
        <w:rPr>
          <w:b/>
        </w:rPr>
        <w:t>Note:</w:t>
      </w:r>
    </w:p>
    <w:p w14:paraId="3D55917B" w14:textId="3D26720E" w:rsidR="00AB36FF" w:rsidRPr="000665B0" w:rsidRDefault="00AB36FF"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jc w:val="center"/>
        <w:rPr>
          <w:rStyle w:val="bodycopy"/>
          <w:b/>
          <w:szCs w:val="24"/>
        </w:rPr>
      </w:pPr>
      <w:r w:rsidRPr="000665B0">
        <w:rPr>
          <w:rStyle w:val="bodycopy"/>
          <w:b/>
          <w:szCs w:val="24"/>
        </w:rPr>
        <w:t>Shareability markings are not included in any reports created via “Display In Excel.” Whenever “Display In Excel” is selected within Strike Folder</w:t>
      </w:r>
      <w:r w:rsidR="008131F7" w:rsidRPr="000665B0">
        <w:rPr>
          <w:rStyle w:val="bodycopy"/>
          <w:b/>
          <w:szCs w:val="24"/>
        </w:rPr>
        <w:t>/</w:t>
      </w:r>
      <w:r w:rsidRPr="000665B0">
        <w:rPr>
          <w:rStyle w:val="bodycopy"/>
          <w:b/>
          <w:szCs w:val="24"/>
        </w:rPr>
        <w:t>Strike Option, the reports should be manually updated to contain the shareability markings.</w:t>
      </w:r>
    </w:p>
    <w:p w14:paraId="16BAFD3E" w14:textId="15BB8AA9" w:rsidR="005E2B9E" w:rsidRPr="000665B0" w:rsidRDefault="005E2B9E" w:rsidP="009570CA">
      <w:pPr>
        <w:pStyle w:val="Heading5"/>
        <w:keepNext w:val="0"/>
        <w:tabs>
          <w:tab w:val="left" w:pos="720"/>
        </w:tabs>
      </w:pPr>
      <w:bookmarkStart w:id="6219" w:name="_Toc289328849"/>
      <w:r w:rsidRPr="000665B0">
        <w:t>Shareability with Folders, Options, and Execution Folders</w:t>
      </w:r>
      <w:bookmarkEnd w:id="6219"/>
    </w:p>
    <w:p w14:paraId="1E91FA09" w14:textId="77777777" w:rsidR="005E2B9E" w:rsidRPr="000665B0" w:rsidRDefault="005E2B9E" w:rsidP="009570CA">
      <w:pPr>
        <w:tabs>
          <w:tab w:val="left" w:pos="720"/>
        </w:tabs>
      </w:pPr>
      <w:r w:rsidRPr="000665B0">
        <w:t xml:space="preserve">Shareability markings are held in both the Strike Folder and Strike Option. Updating the shareability markings of one will have no impact on the other. The folder can be updated to be </w:t>
      </w:r>
      <w:r w:rsidRPr="000665B0">
        <w:lastRenderedPageBreak/>
        <w:t xml:space="preserve">less restrictive (i.e., shareable countries added) but this has no </w:t>
      </w:r>
      <w:r w:rsidR="00765DDD" w:rsidRPr="000665B0">
        <w:t xml:space="preserve">effect </w:t>
      </w:r>
      <w:r w:rsidRPr="000665B0">
        <w:t xml:space="preserve">on its options. It </w:t>
      </w:r>
      <w:r w:rsidR="00765DDD" w:rsidRPr="000665B0">
        <w:t>is</w:t>
      </w:r>
      <w:r w:rsidRPr="000665B0">
        <w:t xml:space="preserve"> up to the MDS operator to manage the markings between the two.</w:t>
      </w:r>
    </w:p>
    <w:p w14:paraId="6131DBD2" w14:textId="77777777" w:rsidR="005E2B9E" w:rsidRPr="000665B0" w:rsidRDefault="005E2B9E" w:rsidP="009570CA">
      <w:pPr>
        <w:tabs>
          <w:tab w:val="left" w:pos="720"/>
        </w:tabs>
      </w:pPr>
      <w:r w:rsidRPr="000665B0">
        <w:t>When an option is created</w:t>
      </w:r>
      <w:r w:rsidR="00765DDD" w:rsidRPr="000665B0">
        <w:t>,</w:t>
      </w:r>
      <w:r w:rsidRPr="000665B0">
        <w:t xml:space="preserve"> its shareability markings will be initialized with those of its parent strike folder. The markings can then be updated at any time.</w:t>
      </w:r>
    </w:p>
    <w:p w14:paraId="50CAFC1A" w14:textId="77777777" w:rsidR="005E2B9E" w:rsidRPr="000665B0" w:rsidRDefault="005E2B9E" w:rsidP="009570CA">
      <w:pPr>
        <w:tabs>
          <w:tab w:val="left" w:pos="720"/>
        </w:tabs>
      </w:pPr>
      <w:r w:rsidRPr="000665B0">
        <w:t>A Strike Execution Folder’s shareability is derived from all of the options that it contains. It is not editable. To change the shareability of the execution folder</w:t>
      </w:r>
      <w:r w:rsidR="00803855" w:rsidRPr="000665B0">
        <w:t>,</w:t>
      </w:r>
      <w:r w:rsidRPr="000665B0">
        <w:t xml:space="preserve"> the options within the folder must be updated. Strike Execution Folder shareability is only used to populate the shareability banner of the execution folder textual view and the SMD.</w:t>
      </w:r>
    </w:p>
    <w:p w14:paraId="1636521B" w14:textId="1A65963B" w:rsidR="005E2B9E" w:rsidRPr="000665B0" w:rsidRDefault="005E2B9E" w:rsidP="009570CA">
      <w:pPr>
        <w:tabs>
          <w:tab w:val="left" w:pos="720"/>
        </w:tabs>
      </w:pPr>
      <w:r w:rsidRPr="000665B0">
        <w:t>To determine the execution folder’s shareable countries</w:t>
      </w:r>
      <w:r w:rsidR="00765DDD" w:rsidRPr="000665B0">
        <w:t>,</w:t>
      </w:r>
      <w:r w:rsidRPr="000665B0">
        <w:t xml:space="preserve"> the intersection of all of the option’s shareable </w:t>
      </w:r>
      <w:r w:rsidR="00803855" w:rsidRPr="000665B0">
        <w:t xml:space="preserve">Countries </w:t>
      </w:r>
      <w:r w:rsidRPr="000665B0">
        <w:t>will be determined.</w:t>
      </w:r>
    </w:p>
    <w:p w14:paraId="3CF8956C" w14:textId="77777777" w:rsidR="005E2B9E" w:rsidRPr="000665B0" w:rsidRDefault="005E2B9E" w:rsidP="00A0163E">
      <w:pPr>
        <w:keepNext/>
        <w:keepLines/>
        <w:widowControl w:val="0"/>
        <w:tabs>
          <w:tab w:val="left" w:pos="720"/>
        </w:tabs>
      </w:pPr>
      <w:r w:rsidRPr="000665B0">
        <w:t>For example, as options are added to the execution folder</w:t>
      </w:r>
      <w:r w:rsidR="00803855" w:rsidRPr="000665B0">
        <w:t>,</w:t>
      </w:r>
      <w:r w:rsidRPr="000665B0">
        <w:t xml:space="preserve"> its shareability changes: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340"/>
      </w:tblGrid>
      <w:tr w:rsidR="00F52070" w:rsidRPr="000665B0" w14:paraId="3DE10C13" w14:textId="77777777" w:rsidTr="00A41AF4">
        <w:trPr>
          <w:jc w:val="center"/>
        </w:trPr>
        <w:tc>
          <w:tcPr>
            <w:tcW w:w="1548" w:type="dxa"/>
            <w:shd w:val="clear" w:color="auto" w:fill="D9D9D9" w:themeFill="background1" w:themeFillShade="D9"/>
            <w:vAlign w:val="center"/>
          </w:tcPr>
          <w:p w14:paraId="2789323E" w14:textId="77777777" w:rsidR="00F52070" w:rsidRPr="000665B0" w:rsidRDefault="00F52070" w:rsidP="00A0163E">
            <w:pPr>
              <w:keepNext/>
              <w:keepLines/>
              <w:widowControl w:val="0"/>
              <w:tabs>
                <w:tab w:val="left" w:pos="720"/>
              </w:tabs>
              <w:spacing w:after="0"/>
              <w:jc w:val="center"/>
              <w:rPr>
                <w:rFonts w:ascii="Arial" w:hAnsi="Arial" w:cs="Arial"/>
                <w:b/>
                <w:sz w:val="22"/>
                <w:szCs w:val="22"/>
              </w:rPr>
            </w:pPr>
            <w:r w:rsidRPr="000665B0">
              <w:rPr>
                <w:rFonts w:ascii="Arial" w:hAnsi="Arial" w:cs="Arial"/>
                <w:b/>
                <w:sz w:val="22"/>
                <w:szCs w:val="22"/>
              </w:rPr>
              <w:t>Option</w:t>
            </w:r>
          </w:p>
        </w:tc>
        <w:tc>
          <w:tcPr>
            <w:tcW w:w="2340" w:type="dxa"/>
            <w:shd w:val="clear" w:color="auto" w:fill="D9D9D9" w:themeFill="background1" w:themeFillShade="D9"/>
            <w:vAlign w:val="center"/>
          </w:tcPr>
          <w:p w14:paraId="55593E7A" w14:textId="77777777" w:rsidR="00F52070" w:rsidRPr="000665B0" w:rsidRDefault="00F52070" w:rsidP="00A0163E">
            <w:pPr>
              <w:keepNext/>
              <w:keepLines/>
              <w:widowControl w:val="0"/>
              <w:tabs>
                <w:tab w:val="left" w:pos="720"/>
              </w:tabs>
              <w:spacing w:after="0"/>
              <w:jc w:val="center"/>
              <w:rPr>
                <w:rFonts w:ascii="Arial" w:hAnsi="Arial" w:cs="Arial"/>
                <w:b/>
                <w:sz w:val="22"/>
                <w:szCs w:val="22"/>
              </w:rPr>
            </w:pPr>
            <w:r w:rsidRPr="000665B0">
              <w:rPr>
                <w:rFonts w:ascii="Arial" w:hAnsi="Arial" w:cs="Arial"/>
                <w:b/>
                <w:sz w:val="22"/>
                <w:szCs w:val="22"/>
              </w:rPr>
              <w:t>Countries</w:t>
            </w:r>
          </w:p>
        </w:tc>
      </w:tr>
      <w:tr w:rsidR="00F52070" w:rsidRPr="000665B0" w14:paraId="765BFE86" w14:textId="77777777" w:rsidTr="00C223B9">
        <w:trPr>
          <w:jc w:val="center"/>
        </w:trPr>
        <w:tc>
          <w:tcPr>
            <w:tcW w:w="1548" w:type="dxa"/>
            <w:vAlign w:val="center"/>
          </w:tcPr>
          <w:p w14:paraId="7D99006D" w14:textId="77777777" w:rsidR="00F52070" w:rsidRPr="000665B0" w:rsidRDefault="00F52070" w:rsidP="00A0163E">
            <w:pPr>
              <w:widowControl w:val="0"/>
              <w:tabs>
                <w:tab w:val="left" w:pos="720"/>
              </w:tabs>
              <w:spacing w:after="0"/>
              <w:rPr>
                <w:rFonts w:ascii="Arial" w:hAnsi="Arial" w:cs="Arial"/>
                <w:sz w:val="20"/>
              </w:rPr>
            </w:pPr>
            <w:r w:rsidRPr="000665B0">
              <w:rPr>
                <w:rFonts w:ascii="Arial" w:hAnsi="Arial" w:cs="Arial"/>
                <w:sz w:val="20"/>
              </w:rPr>
              <w:t>#1</w:t>
            </w:r>
          </w:p>
        </w:tc>
        <w:tc>
          <w:tcPr>
            <w:tcW w:w="2340" w:type="dxa"/>
            <w:vAlign w:val="center"/>
          </w:tcPr>
          <w:p w14:paraId="71B25965" w14:textId="77777777" w:rsidR="00F52070" w:rsidRPr="000665B0" w:rsidRDefault="00F52070" w:rsidP="00A0163E">
            <w:pPr>
              <w:widowControl w:val="0"/>
              <w:tabs>
                <w:tab w:val="left" w:pos="720"/>
              </w:tabs>
              <w:spacing w:after="0"/>
              <w:rPr>
                <w:rFonts w:ascii="Arial" w:hAnsi="Arial" w:cs="Arial"/>
                <w:sz w:val="20"/>
              </w:rPr>
            </w:pPr>
            <w:r w:rsidRPr="000665B0">
              <w:rPr>
                <w:rFonts w:ascii="Arial" w:hAnsi="Arial" w:cs="Arial"/>
                <w:sz w:val="20"/>
              </w:rPr>
              <w:t>xxx,yyy,zzz</w:t>
            </w:r>
          </w:p>
        </w:tc>
      </w:tr>
      <w:tr w:rsidR="00F52070" w:rsidRPr="000665B0" w14:paraId="5AECEEBC" w14:textId="77777777" w:rsidTr="00C223B9">
        <w:trPr>
          <w:jc w:val="center"/>
        </w:trPr>
        <w:tc>
          <w:tcPr>
            <w:tcW w:w="1548" w:type="dxa"/>
            <w:vAlign w:val="center"/>
          </w:tcPr>
          <w:p w14:paraId="42406419" w14:textId="77777777" w:rsidR="00F52070" w:rsidRPr="000665B0" w:rsidRDefault="00F52070" w:rsidP="00A0163E">
            <w:pPr>
              <w:widowControl w:val="0"/>
              <w:tabs>
                <w:tab w:val="left" w:pos="720"/>
              </w:tabs>
              <w:spacing w:after="0"/>
              <w:rPr>
                <w:rFonts w:ascii="Arial" w:hAnsi="Arial" w:cs="Arial"/>
                <w:sz w:val="20"/>
              </w:rPr>
            </w:pPr>
            <w:r w:rsidRPr="000665B0">
              <w:rPr>
                <w:rFonts w:ascii="Arial" w:hAnsi="Arial" w:cs="Arial"/>
                <w:sz w:val="20"/>
              </w:rPr>
              <w:t>#2</w:t>
            </w:r>
          </w:p>
        </w:tc>
        <w:tc>
          <w:tcPr>
            <w:tcW w:w="2340" w:type="dxa"/>
            <w:vAlign w:val="center"/>
          </w:tcPr>
          <w:p w14:paraId="3B4CF204" w14:textId="77777777" w:rsidR="00F52070" w:rsidRPr="000665B0" w:rsidRDefault="00F52070" w:rsidP="00A0163E">
            <w:pPr>
              <w:widowControl w:val="0"/>
              <w:tabs>
                <w:tab w:val="left" w:pos="720"/>
              </w:tabs>
              <w:spacing w:after="0"/>
              <w:rPr>
                <w:rFonts w:ascii="Arial" w:hAnsi="Arial" w:cs="Arial"/>
                <w:sz w:val="20"/>
              </w:rPr>
            </w:pPr>
            <w:r w:rsidRPr="000665B0">
              <w:rPr>
                <w:rFonts w:ascii="Arial" w:hAnsi="Arial" w:cs="Arial"/>
                <w:sz w:val="20"/>
              </w:rPr>
              <w:t>xxx,aaa,bbb</w:t>
            </w:r>
          </w:p>
        </w:tc>
      </w:tr>
    </w:tbl>
    <w:p w14:paraId="4E8F89FF" w14:textId="77777777" w:rsidR="005E2B9E" w:rsidRPr="000665B0" w:rsidRDefault="005E2B9E" w:rsidP="00A0163E">
      <w:pPr>
        <w:widowControl w:val="0"/>
        <w:tabs>
          <w:tab w:val="left" w:pos="720"/>
        </w:tabs>
        <w:spacing w:before="120"/>
      </w:pPr>
      <w:r w:rsidRPr="000665B0">
        <w:t>Option#1 is the first option added to E-Folder#1. E-Folder#1 now has:</w:t>
      </w:r>
    </w:p>
    <w:p w14:paraId="73ADE475" w14:textId="58A39FED" w:rsidR="005E2B9E" w:rsidRPr="000665B0" w:rsidRDefault="005E2B9E" w:rsidP="00A0163E">
      <w:pPr>
        <w:widowControl w:val="0"/>
        <w:tabs>
          <w:tab w:val="left" w:pos="720"/>
        </w:tabs>
        <w:ind w:left="360"/>
      </w:pPr>
      <w:r w:rsidRPr="000665B0">
        <w:t>E-Folder#1</w:t>
      </w:r>
      <w:r w:rsidRPr="000665B0">
        <w:tab/>
        <w:t>xxx,yyy,zzz</w:t>
      </w:r>
    </w:p>
    <w:p w14:paraId="71226120" w14:textId="77777777" w:rsidR="005E2B9E" w:rsidRPr="000665B0" w:rsidRDefault="005E2B9E" w:rsidP="00A0163E">
      <w:pPr>
        <w:widowControl w:val="0"/>
        <w:tabs>
          <w:tab w:val="left" w:pos="720"/>
        </w:tabs>
      </w:pPr>
      <w:r w:rsidRPr="000665B0">
        <w:t>Option#2 is added to E-Folder#1.</w:t>
      </w:r>
    </w:p>
    <w:p w14:paraId="4EF4F5F2" w14:textId="183B2CEE" w:rsidR="005E2B9E" w:rsidRPr="000665B0" w:rsidRDefault="005E2B9E" w:rsidP="009570CA">
      <w:pPr>
        <w:tabs>
          <w:tab w:val="left" w:pos="720"/>
        </w:tabs>
        <w:ind w:left="360"/>
      </w:pPr>
      <w:r w:rsidRPr="000665B0">
        <w:t>E-Folder#1</w:t>
      </w:r>
      <w:r w:rsidRPr="000665B0">
        <w:tab/>
        <w:t>xxx</w:t>
      </w:r>
    </w:p>
    <w:p w14:paraId="268C1F5B" w14:textId="77777777" w:rsidR="005E2B9E" w:rsidRPr="000665B0" w:rsidRDefault="005E2B9E" w:rsidP="009570CA">
      <w:pPr>
        <w:tabs>
          <w:tab w:val="left" w:pos="720"/>
        </w:tabs>
      </w:pPr>
      <w:r w:rsidRPr="000665B0">
        <w:t>When a strike option is received by MDS</w:t>
      </w:r>
      <w:r w:rsidR="00803855" w:rsidRPr="000665B0">
        <w:t>,</w:t>
      </w:r>
      <w:r w:rsidRPr="000665B0">
        <w:t xml:space="preserve"> the </w:t>
      </w:r>
      <w:r w:rsidR="001E3B29" w:rsidRPr="000665B0">
        <w:t>shareability</w:t>
      </w:r>
      <w:r w:rsidRPr="000665B0">
        <w:t xml:space="preserve"> of the Strike Execution Folder will be re-evaluated. Because Strike Execution Folder shareability is derived from its options, if the Execution Folder or SMD is displayed, its shareability will be reassessed and updated. </w:t>
      </w:r>
    </w:p>
    <w:p w14:paraId="240A5E9D" w14:textId="3F05969F" w:rsidR="00C61043" w:rsidRDefault="005E2B9E" w:rsidP="009570CA">
      <w:pPr>
        <w:tabs>
          <w:tab w:val="left" w:pos="720"/>
        </w:tabs>
        <w:spacing w:after="0"/>
      </w:pPr>
      <w:r w:rsidRPr="000665B0">
        <w:t xml:space="preserve">The Strike Management Display’s </w:t>
      </w:r>
      <w:r w:rsidR="001E3B29" w:rsidRPr="000665B0">
        <w:t>shareability</w:t>
      </w:r>
      <w:r w:rsidRPr="000665B0">
        <w:t xml:space="preserve"> markings will be the same as the execution folder. To change the shareability displayed on the SMD</w:t>
      </w:r>
      <w:r w:rsidR="00803855" w:rsidRPr="000665B0">
        <w:t>,</w:t>
      </w:r>
      <w:r w:rsidRPr="000665B0">
        <w:t xml:space="preserve"> the strike options in the execution folder would have to be updated.</w:t>
      </w:r>
    </w:p>
    <w:p w14:paraId="70B65E62" w14:textId="7CFA4FC5" w:rsidR="00C61043" w:rsidRDefault="00C61043" w:rsidP="00C61043">
      <w:pPr>
        <w:pStyle w:val="Heading4"/>
      </w:pPr>
      <w:bookmarkStart w:id="6220" w:name="_Releasability"/>
      <w:bookmarkEnd w:id="6220"/>
      <w:r>
        <w:t>Releasability</w:t>
      </w:r>
    </w:p>
    <w:p w14:paraId="57C69F0F" w14:textId="13AFCE78" w:rsidR="00C61043" w:rsidRDefault="00C61043" w:rsidP="003B53B2">
      <w:pPr>
        <w:tabs>
          <w:tab w:val="left" w:pos="720"/>
        </w:tabs>
      </w:pPr>
      <w:r>
        <w:t>The releasability markings of a Strike Folder</w:t>
      </w:r>
      <w:r w:rsidR="00CF0E03">
        <w:t>/Option</w:t>
      </w:r>
      <w:r>
        <w:t xml:space="preserve"> consist of a list of FMS countries in specific combinations. These countries denote who the Strike Folder</w:t>
      </w:r>
      <w:r w:rsidR="00CF0E03">
        <w:t>/Option</w:t>
      </w:r>
      <w:r>
        <w:t xml:space="preserve"> and its data objects can be released to. If there are no countries listed or selected, then the Strike Folder</w:t>
      </w:r>
      <w:r w:rsidR="00CF0E03">
        <w:t>/Option</w:t>
      </w:r>
      <w:r>
        <w:t xml:space="preserve"> is releasable only to the United States (also implied when the Releasability Banner is blank).</w:t>
      </w:r>
    </w:p>
    <w:p w14:paraId="79D0DB9C" w14:textId="77777777" w:rsidR="00C61043" w:rsidRDefault="00C61043" w:rsidP="00FD7521">
      <w:pPr>
        <w:tabs>
          <w:tab w:val="left" w:pos="720"/>
        </w:tabs>
      </w:pPr>
      <w:r>
        <w:t>When creating a new Strike Option from a Strike Folder with Releasability, the releasability marks for the Strike Option will be inherited from the Strike Folder. If the user edits the Releasability Marks on the Strike Option, they only apply to that specific option and will not impact the Strike Folder.</w:t>
      </w:r>
    </w:p>
    <w:p w14:paraId="169E2F63" w14:textId="7DCABC6F" w:rsidR="00CF0E03" w:rsidRPr="006A1BC9" w:rsidRDefault="00CF0E03" w:rsidP="00FD7521">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before="120" w:after="0"/>
        <w:jc w:val="center"/>
        <w:rPr>
          <w:b/>
        </w:rPr>
      </w:pPr>
      <w:r w:rsidRPr="006A1BC9">
        <w:rPr>
          <w:b/>
        </w:rPr>
        <w:t>Note:</w:t>
      </w:r>
    </w:p>
    <w:p w14:paraId="5D6A5470" w14:textId="6EC79558" w:rsidR="00CF0E03" w:rsidRPr="0043211C" w:rsidRDefault="00CF0E03" w:rsidP="003B53B2">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jc w:val="center"/>
        <w:rPr>
          <w:b/>
        </w:rPr>
      </w:pPr>
      <w:r w:rsidRPr="006A1BC9">
        <w:rPr>
          <w:b/>
        </w:rPr>
        <w:t>A mismatch of releasability between the Strike Folder and its data views can occur, since those data views can have their classifications changed at any point depending on the data objects added or edited.</w:t>
      </w:r>
    </w:p>
    <w:p w14:paraId="4EAD6717" w14:textId="060B993A" w:rsidR="00C61043" w:rsidRDefault="00C61043" w:rsidP="003B53B2">
      <w:pPr>
        <w:tabs>
          <w:tab w:val="left" w:pos="720"/>
        </w:tabs>
      </w:pPr>
      <w:r>
        <w:lastRenderedPageBreak/>
        <w:t xml:space="preserve">In the </w:t>
      </w:r>
      <w:r>
        <w:rPr>
          <w:i/>
          <w:iCs/>
        </w:rPr>
        <w:t xml:space="preserve">Strike Folder </w:t>
      </w:r>
      <w:r>
        <w:t xml:space="preserve">or </w:t>
      </w:r>
      <w:r>
        <w:rPr>
          <w:i/>
          <w:iCs/>
        </w:rPr>
        <w:t>Strike Option</w:t>
      </w:r>
      <w:r>
        <w:t xml:space="preserve"> window, click on the </w:t>
      </w:r>
      <w:r>
        <w:rPr>
          <w:b/>
          <w:bCs/>
        </w:rPr>
        <w:t>Edit</w:t>
      </w:r>
      <w:r>
        <w:t xml:space="preserve"> button on the right side of the Classification Banner to open the </w:t>
      </w:r>
      <w:r>
        <w:rPr>
          <w:i/>
          <w:iCs/>
        </w:rPr>
        <w:t>Edit Classification</w:t>
      </w:r>
      <w:r>
        <w:t xml:space="preserve"> window. There will be a drop-down selection marked </w:t>
      </w:r>
      <w:r>
        <w:rPr>
          <w:b/>
          <w:bCs/>
        </w:rPr>
        <w:t>REL TO</w:t>
      </w:r>
      <w:r>
        <w:t xml:space="preserve"> where the user can select from a list of country combinations. Once the user makes their selection and clicks </w:t>
      </w:r>
      <w:r>
        <w:rPr>
          <w:b/>
          <w:bCs/>
        </w:rPr>
        <w:t>OK</w:t>
      </w:r>
      <w:r>
        <w:t xml:space="preserve"> on the window, the Classification Banner will be updated with the selected countries. </w:t>
      </w:r>
    </w:p>
    <w:p w14:paraId="017E3390" w14:textId="0601F20F" w:rsidR="00C61043" w:rsidRDefault="00C61043" w:rsidP="003B53B2">
      <w:pPr>
        <w:tabs>
          <w:tab w:val="left" w:pos="720"/>
        </w:tabs>
      </w:pPr>
      <w:r>
        <w:t>In the Strike Execution Folder, the Releasability Markers are determined by the highest out of all its Strike Options. To change the SEF’s Releasability, modifications must be made to the individual options.</w:t>
      </w:r>
    </w:p>
    <w:p w14:paraId="618CC199" w14:textId="77777777" w:rsidR="00C61043" w:rsidRPr="005D7B39" w:rsidRDefault="00C61043" w:rsidP="00FD7521">
      <w:pPr>
        <w:tabs>
          <w:tab w:val="left" w:pos="720"/>
        </w:tabs>
      </w:pPr>
      <w:r>
        <w:t>During Strike Execution, the Strike Management Display’s classification banner will be updated with the highest Releasability Marks out of all the present data objects. Only when those objects are updated will the Releasability Marks update accordingly.</w:t>
      </w:r>
    </w:p>
    <w:p w14:paraId="03D1D0A4" w14:textId="77777777" w:rsidR="00C61043" w:rsidRPr="000665B0" w:rsidRDefault="00C61043" w:rsidP="00FD7521">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before="120" w:after="0"/>
        <w:jc w:val="center"/>
        <w:rPr>
          <w:b/>
        </w:rPr>
      </w:pPr>
      <w:r w:rsidRPr="000665B0">
        <w:rPr>
          <w:b/>
        </w:rPr>
        <w:t>Note:</w:t>
      </w:r>
    </w:p>
    <w:p w14:paraId="59D78036" w14:textId="74693EEB" w:rsidR="00C61043" w:rsidRPr="0043211C" w:rsidRDefault="00C61043" w:rsidP="0043211C">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jc w:val="center"/>
        <w:rPr>
          <w:b/>
          <w:szCs w:val="24"/>
        </w:rPr>
      </w:pPr>
      <w:r>
        <w:rPr>
          <w:rStyle w:val="bodycopy"/>
          <w:b/>
          <w:szCs w:val="24"/>
        </w:rPr>
        <w:t>Releasability is not available if the chosen Classification is Unclassified, as Unclassified denotes “universal releasability” (the data objects that are marked Unclassified are releasable to any country).</w:t>
      </w:r>
    </w:p>
    <w:p w14:paraId="1D3D98E7" w14:textId="3DF0BEC8" w:rsidR="00C61043" w:rsidRDefault="00C61043" w:rsidP="00C61043">
      <w:pPr>
        <w:pStyle w:val="Heading5"/>
      </w:pPr>
      <w:bookmarkStart w:id="6221" w:name="_Releasability_Lock_(Strike"/>
      <w:bookmarkEnd w:id="6221"/>
      <w:r>
        <w:t>Releasability Lock (Strike</w:t>
      </w:r>
      <w:r w:rsidR="006A1BC9">
        <w:t xml:space="preserve"> Option</w:t>
      </w:r>
      <w:r>
        <w:t>)</w:t>
      </w:r>
    </w:p>
    <w:p w14:paraId="07102F7E" w14:textId="1B552718" w:rsidR="00C61043" w:rsidRDefault="00C61043" w:rsidP="0043211C">
      <w:pPr>
        <w:tabs>
          <w:tab w:val="left" w:pos="720"/>
        </w:tabs>
        <w:spacing w:before="120"/>
      </w:pPr>
      <w:r>
        <w:t xml:space="preserve">In the Menu Bar, under </w:t>
      </w:r>
      <w:r>
        <w:rPr>
          <w:i/>
          <w:iCs/>
        </w:rPr>
        <w:t>Edit</w:t>
      </w:r>
      <w:r>
        <w:t xml:space="preserve">, the user can choose to “Lock REL” for the Strike </w:t>
      </w:r>
      <w:r w:rsidR="006A1BC9">
        <w:t>Option</w:t>
      </w:r>
      <w:r>
        <w:t xml:space="preserve">. This enforces validation that only allows data objects that are either Unclassified or match the Releasability Marks of the Strike </w:t>
      </w:r>
      <w:r w:rsidR="006A1BC9">
        <w:t>Option</w:t>
      </w:r>
      <w:r>
        <w:t xml:space="preserve">, whether adding or editing the objects themselves. This defaults to “Unlocked” on a new Strike </w:t>
      </w:r>
      <w:r w:rsidR="006A1BC9">
        <w:t>Option</w:t>
      </w:r>
      <w:r>
        <w:t xml:space="preserve"> or via “Save As”. A check next to the menu item will denote if the “Lock REL” is on or off. Once locked, the releasability validation will be enforced, and the status can be saved with the Strike </w:t>
      </w:r>
      <w:r w:rsidR="006A1BC9">
        <w:t>Option</w:t>
      </w:r>
      <w:r>
        <w:t xml:space="preserve">. This also disables the Releasability selection if the user re-opens the </w:t>
      </w:r>
      <w:r>
        <w:rPr>
          <w:b/>
          <w:bCs/>
        </w:rPr>
        <w:t>Edit Classification</w:t>
      </w:r>
      <w:r>
        <w:t xml:space="preserve"> window.</w:t>
      </w:r>
    </w:p>
    <w:p w14:paraId="4E595BEA" w14:textId="281E3763" w:rsidR="00C61043" w:rsidRDefault="00C61043" w:rsidP="0043211C">
      <w:pPr>
        <w:tabs>
          <w:tab w:val="left" w:pos="720"/>
        </w:tabs>
        <w:spacing w:before="120"/>
      </w:pPr>
      <w:r>
        <w:t xml:space="preserve">When a Strike </w:t>
      </w:r>
      <w:r w:rsidR="006A1BC9">
        <w:t>Option</w:t>
      </w:r>
      <w:r>
        <w:t xml:space="preserve"> has its REL Locked, </w:t>
      </w:r>
      <w:r w:rsidR="006A1BC9">
        <w:t>the releasability values are</w:t>
      </w:r>
      <w:r>
        <w:t xml:space="preserve"> passed down to all the other accessible </w:t>
      </w:r>
      <w:r w:rsidR="006A1BC9">
        <w:t>tabs</w:t>
      </w:r>
      <w:r>
        <w:t xml:space="preserve"> in </w:t>
      </w:r>
      <w:r w:rsidR="006A1BC9">
        <w:t xml:space="preserve">the </w:t>
      </w:r>
      <w:r>
        <w:t xml:space="preserve">Strike </w:t>
      </w:r>
      <w:r w:rsidR="006A1BC9">
        <w:t>Option</w:t>
      </w:r>
      <w:r>
        <w:t xml:space="preserve"> textual view. </w:t>
      </w:r>
    </w:p>
    <w:p w14:paraId="378530A5" w14:textId="77777777" w:rsidR="00C61043" w:rsidRPr="000665B0" w:rsidRDefault="00C61043" w:rsidP="0043211C">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before="120" w:after="0"/>
        <w:jc w:val="center"/>
        <w:rPr>
          <w:b/>
        </w:rPr>
      </w:pPr>
      <w:r w:rsidRPr="000665B0">
        <w:rPr>
          <w:b/>
        </w:rPr>
        <w:t>Note:</w:t>
      </w:r>
    </w:p>
    <w:p w14:paraId="0BA7F82C" w14:textId="4504052F" w:rsidR="00C61043" w:rsidRPr="000665B0" w:rsidRDefault="00C61043" w:rsidP="00C61043">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jc w:val="center"/>
        <w:rPr>
          <w:rStyle w:val="bodycopy"/>
          <w:b/>
          <w:szCs w:val="24"/>
        </w:rPr>
      </w:pPr>
      <w:r>
        <w:rPr>
          <w:rStyle w:val="bodycopy"/>
          <w:b/>
          <w:szCs w:val="24"/>
        </w:rPr>
        <w:t xml:space="preserve">A Strike </w:t>
      </w:r>
      <w:r w:rsidR="006A1BC9">
        <w:rPr>
          <w:rStyle w:val="bodycopy"/>
          <w:b/>
          <w:szCs w:val="24"/>
        </w:rPr>
        <w:t>Option</w:t>
      </w:r>
      <w:r>
        <w:rPr>
          <w:rStyle w:val="bodycopy"/>
          <w:b/>
          <w:szCs w:val="24"/>
        </w:rPr>
        <w:t xml:space="preserve"> must be saved first before being able to edit its Classification / Releasability.</w:t>
      </w:r>
    </w:p>
    <w:p w14:paraId="021622FB" w14:textId="250A77B4" w:rsidR="00C61043" w:rsidRDefault="006A1BC9" w:rsidP="00FD7521">
      <w:pPr>
        <w:tabs>
          <w:tab w:val="left" w:pos="720"/>
        </w:tabs>
        <w:spacing w:before="120"/>
        <w:jc w:val="center"/>
      </w:pPr>
      <w:r w:rsidRPr="00D70DB6">
        <w:rPr>
          <w:noProof/>
        </w:rPr>
        <w:drawing>
          <wp:inline distT="0" distB="0" distL="0" distR="0" wp14:anchorId="161502E5" wp14:editId="3F92AAA6">
            <wp:extent cx="1866900" cy="1623180"/>
            <wp:effectExtent l="0" t="0" r="0" b="0"/>
            <wp:docPr id="868334640"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34640" name="Picture 1" descr="Graphical user interface, text, application&#10;&#10;Description automatically generated"/>
                    <pic:cNvPicPr/>
                  </pic:nvPicPr>
                  <pic:blipFill>
                    <a:blip/>
                    <a:stretch>
                      <a:fillRect/>
                    </a:stretch>
                  </pic:blipFill>
                  <pic:spPr>
                    <a:xfrm>
                      <a:off x="0" y="0"/>
                      <a:ext cx="1871978" cy="1627595"/>
                    </a:xfrm>
                    <a:prstGeom prst="rect">
                      <a:avLst/>
                    </a:prstGeom>
                  </pic:spPr>
                </pic:pic>
              </a:graphicData>
            </a:graphic>
          </wp:inline>
        </w:drawing>
      </w:r>
    </w:p>
    <w:p w14:paraId="2648BA19" w14:textId="383A8D95" w:rsidR="00C61043" w:rsidRDefault="00672912" w:rsidP="00FD7521">
      <w:pPr>
        <w:tabs>
          <w:tab w:val="left" w:pos="720"/>
        </w:tabs>
        <w:spacing w:before="120"/>
        <w:jc w:val="center"/>
      </w:pPr>
      <w:r>
        <w:rPr>
          <w:noProof/>
        </w:rPr>
        <w:lastRenderedPageBreak/>
        <mc:AlternateContent>
          <mc:Choice Requires="wps">
            <w:drawing>
              <wp:anchor distT="0" distB="0" distL="114300" distR="114300" simplePos="0" relativeHeight="251659776" behindDoc="0" locked="0" layoutInCell="1" allowOverlap="1" wp14:anchorId="7E2BE74D" wp14:editId="1ED6F9D1">
                <wp:simplePos x="0" y="0"/>
                <wp:positionH relativeFrom="column">
                  <wp:posOffset>1948180</wp:posOffset>
                </wp:positionH>
                <wp:positionV relativeFrom="paragraph">
                  <wp:posOffset>843915</wp:posOffset>
                </wp:positionV>
                <wp:extent cx="2216785" cy="213360"/>
                <wp:effectExtent l="0" t="0" r="0" b="0"/>
                <wp:wrapNone/>
                <wp:docPr id="156774049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785" cy="213360"/>
                        </a:xfrm>
                        <a:prstGeom prst="rect">
                          <a:avLst/>
                        </a:prstGeom>
                        <a:noFill/>
                        <a:ln w="19050" cmpd="sng">
                          <a:solidFill>
                            <a:srgbClr val="FF4B4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EAF5DE" id="Rectangle 3" o:spid="_x0000_s1026" style="position:absolute;margin-left:153.4pt;margin-top:66.45pt;width:174.55pt;height:16.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" filled="f" strokecolor="#ff4b4b" strokeweight="1.5pt"/>
            </w:pict>
          </mc:Fallback>
        </mc:AlternateContent>
      </w:r>
      <w:r w:rsidR="00C61043">
        <w:rPr>
          <w:noProof/>
        </w:rPr>
        <w:drawing>
          <wp:inline distT="0" distB="0" distL="0" distR="0" wp14:anchorId="4AA21470" wp14:editId="4176180B">
            <wp:extent cx="2570480" cy="1312440"/>
            <wp:effectExtent l="0" t="0" r="0" b="0"/>
            <wp:docPr id="909116206"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16206" name="Picture 3" descr="Graphical user interface, application, Word&#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2595838" cy="1325387"/>
                    </a:xfrm>
                    <a:prstGeom prst="rect">
                      <a:avLst/>
                    </a:prstGeom>
                  </pic:spPr>
                </pic:pic>
              </a:graphicData>
            </a:graphic>
          </wp:inline>
        </w:drawing>
      </w:r>
    </w:p>
    <w:p w14:paraId="7FAA95D6" w14:textId="77777777" w:rsidR="00C61043" w:rsidRPr="000665B0" w:rsidRDefault="00C61043" w:rsidP="00FD7521">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before="120" w:after="0"/>
        <w:jc w:val="center"/>
        <w:rPr>
          <w:b/>
        </w:rPr>
      </w:pPr>
      <w:r w:rsidRPr="000665B0">
        <w:rPr>
          <w:b/>
        </w:rPr>
        <w:t>Note:</w:t>
      </w:r>
    </w:p>
    <w:p w14:paraId="0E8D0B69" w14:textId="0377B6C9" w:rsidR="00C61043" w:rsidRPr="0043211C" w:rsidRDefault="00C61043" w:rsidP="0043211C">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jc w:val="center"/>
        <w:rPr>
          <w:b/>
          <w:szCs w:val="24"/>
        </w:rPr>
      </w:pPr>
      <w:r>
        <w:rPr>
          <w:rStyle w:val="bodycopy"/>
          <w:b/>
          <w:szCs w:val="24"/>
        </w:rPr>
        <w:t xml:space="preserve">The Releasability Lock is an optional component of the Strike Option. </w:t>
      </w:r>
    </w:p>
    <w:p w14:paraId="35BF7E89" w14:textId="71AB017F" w:rsidR="00AC10FF" w:rsidRPr="000665B0" w:rsidRDefault="00AC10FF" w:rsidP="00B260C9">
      <w:pPr>
        <w:pStyle w:val="Heading3"/>
      </w:pPr>
      <w:bookmarkStart w:id="6222" w:name="_5.37.2__Tasking_1"/>
      <w:bookmarkStart w:id="6223" w:name="_Toc289328851"/>
      <w:bookmarkStart w:id="6224" w:name="_Toc312332064"/>
      <w:bookmarkStart w:id="6225" w:name="_Toc214283556"/>
      <w:bookmarkEnd w:id="6222"/>
      <w:r w:rsidRPr="000665B0">
        <w:t>Tasking</w:t>
      </w:r>
      <w:bookmarkEnd w:id="6223"/>
      <w:bookmarkEnd w:id="6224"/>
      <w:bookmarkEnd w:id="6225"/>
    </w:p>
    <w:p w14:paraId="0B8431F1" w14:textId="7C03213D" w:rsidR="000930A1" w:rsidRPr="000665B0" w:rsidRDefault="00AC10FF" w:rsidP="009570CA">
      <w:pPr>
        <w:tabs>
          <w:tab w:val="left" w:pos="720"/>
        </w:tabs>
      </w:pPr>
      <w:r w:rsidRPr="000665B0">
        <w:t>The Strike</w:t>
      </w:r>
      <w:r w:rsidRPr="000665B0">
        <w:rPr>
          <w:b/>
        </w:rPr>
        <w:t xml:space="preserve"> Tasking </w:t>
      </w:r>
      <w:r w:rsidRPr="000665B0">
        <w:t xml:space="preserve">Matrix is a Strike Folder </w:t>
      </w:r>
      <w:r w:rsidR="00AC672E" w:rsidRPr="000665B0">
        <w:t xml:space="preserve">tool </w:t>
      </w:r>
      <w:r w:rsidRPr="000665B0">
        <w:t>that identifies all of the tasking</w:t>
      </w:r>
      <w:r w:rsidR="001242DE" w:rsidRPr="000665B0">
        <w:t xml:space="preserve"> (</w:t>
      </w:r>
      <w:r w:rsidR="003509EA" w:rsidRPr="000665B0">
        <w:t xml:space="preserve">i.e., </w:t>
      </w:r>
      <w:r w:rsidR="001242DE" w:rsidRPr="000665B0">
        <w:t>Targets) and Objectives</w:t>
      </w:r>
      <w:r w:rsidRPr="000665B0">
        <w:t xml:space="preserve"> specified for the Strike. The potential Targets are compiled and categorized into Objectives. These Tasks (Target/Objective pairing</w:t>
      </w:r>
      <w:r w:rsidR="00AC672E" w:rsidRPr="000665B0">
        <w:t>s</w:t>
      </w:r>
      <w:r w:rsidRPr="000665B0">
        <w:t xml:space="preserve">) are used as the basis for developing and evaluating all of the Strike’s Options and Packages. The Strike Tasking Matrix supplies the </w:t>
      </w:r>
      <w:r w:rsidR="00AC672E" w:rsidRPr="000665B0">
        <w:t xml:space="preserve">operator with </w:t>
      </w:r>
      <w:r w:rsidRPr="000665B0">
        <w:t xml:space="preserve">the ability to filter Targets that </w:t>
      </w:r>
      <w:r w:rsidR="00AC672E" w:rsidRPr="000665B0">
        <w:t>the operator is</w:t>
      </w:r>
      <w:r w:rsidRPr="000665B0">
        <w:t xml:space="preserve"> responsible for. It provides the capability to organize these Targets into any Objective configuration that </w:t>
      </w:r>
      <w:r w:rsidR="00AC672E" w:rsidRPr="000665B0">
        <w:t xml:space="preserve">satisfies the operator’s </w:t>
      </w:r>
      <w:r w:rsidRPr="000665B0">
        <w:t>Strike situation. It also provides various ways to add Targets such as from Target Libraries, Missions, and Mission Libraries.</w:t>
      </w:r>
    </w:p>
    <w:p w14:paraId="7EBFCC36" w14:textId="1F40CE86" w:rsidR="002D78FB" w:rsidRPr="000665B0" w:rsidRDefault="000930A1" w:rsidP="009570CA">
      <w:pPr>
        <w:tabs>
          <w:tab w:val="left" w:pos="720"/>
        </w:tabs>
        <w:jc w:val="center"/>
      </w:pPr>
      <w:r w:rsidRPr="000665B0">
        <w:rPr>
          <w:noProof/>
        </w:rPr>
        <w:drawing>
          <wp:inline distT="0" distB="0" distL="0" distR="0" wp14:anchorId="012E159A" wp14:editId="0FD63C68">
            <wp:extent cx="4572000" cy="2624328"/>
            <wp:effectExtent l="0" t="0" r="0" b="508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2624328"/>
                    </a:xfrm>
                    <a:prstGeom prst="rect">
                      <a:avLst/>
                    </a:prstGeom>
                  </pic:spPr>
                </pic:pic>
              </a:graphicData>
            </a:graphic>
          </wp:inline>
        </w:drawing>
      </w:r>
    </w:p>
    <w:p w14:paraId="1F0A40EF" w14:textId="33F11196" w:rsidR="00AC10FF" w:rsidRPr="000665B0" w:rsidRDefault="00AC10FF" w:rsidP="009570CA">
      <w:pPr>
        <w:tabs>
          <w:tab w:val="left" w:pos="720"/>
        </w:tabs>
      </w:pPr>
      <w:r w:rsidRPr="000665B0">
        <w:t xml:space="preserve">The </w:t>
      </w:r>
      <w:r w:rsidRPr="000665B0">
        <w:rPr>
          <w:i/>
        </w:rPr>
        <w:t>Strike Tasking</w:t>
      </w:r>
      <w:r w:rsidRPr="000665B0">
        <w:t xml:space="preserve"> </w:t>
      </w:r>
      <w:r w:rsidR="00915BBD" w:rsidRPr="000665B0">
        <w:t xml:space="preserve">window </w:t>
      </w:r>
      <w:r w:rsidRPr="000665B0">
        <w:t xml:space="preserve">is composed of three </w:t>
      </w:r>
      <w:r w:rsidR="00264EE4" w:rsidRPr="000665B0">
        <w:t>panes</w:t>
      </w:r>
      <w:r w:rsidR="00AC672E" w:rsidRPr="000665B0">
        <w:t xml:space="preserve">: </w:t>
      </w:r>
      <w:r w:rsidRPr="000665B0">
        <w:t>Tasking, Objectives, and Targets.</w:t>
      </w:r>
    </w:p>
    <w:p w14:paraId="6769DA7A" w14:textId="77777777" w:rsidR="00AC10FF" w:rsidRPr="000665B0" w:rsidRDefault="00A97002" w:rsidP="006D5A65">
      <w:pPr>
        <w:pStyle w:val="Heading1"/>
      </w:pPr>
      <w:r w:rsidRPr="000665B0">
        <w:t xml:space="preserve">The </w:t>
      </w:r>
      <w:r w:rsidR="00AC10FF" w:rsidRPr="000665B0">
        <w:t xml:space="preserve">Tasking </w:t>
      </w:r>
      <w:r w:rsidRPr="000665B0">
        <w:t>pane</w:t>
      </w:r>
      <w:r w:rsidR="00AC10FF" w:rsidRPr="000665B0">
        <w:t xml:space="preserve"> allows the operator to enter any free text</w:t>
      </w:r>
      <w:r w:rsidR="00132E33" w:rsidRPr="000665B0">
        <w:t xml:space="preserve"> for the</w:t>
      </w:r>
      <w:r w:rsidR="00AC10FF" w:rsidRPr="000665B0">
        <w:t xml:space="preserve"> tasking description</w:t>
      </w:r>
      <w:r w:rsidR="00AC672E" w:rsidRPr="000665B0">
        <w:t xml:space="preserve"> (up to 1,000 alphanumeric characters)</w:t>
      </w:r>
      <w:r w:rsidR="00AC10FF" w:rsidRPr="000665B0">
        <w:t>.</w:t>
      </w:r>
    </w:p>
    <w:p w14:paraId="62EF695D" w14:textId="77777777" w:rsidR="00AC10FF" w:rsidRPr="000665B0" w:rsidRDefault="00A97002" w:rsidP="006D5A65">
      <w:pPr>
        <w:pStyle w:val="Heading1"/>
      </w:pPr>
      <w:r w:rsidRPr="000665B0">
        <w:t xml:space="preserve">The </w:t>
      </w:r>
      <w:r w:rsidR="00AC10FF" w:rsidRPr="000665B0">
        <w:t xml:space="preserve">Objectives </w:t>
      </w:r>
      <w:r w:rsidRPr="000665B0">
        <w:t>pane</w:t>
      </w:r>
      <w:r w:rsidR="00AC10FF" w:rsidRPr="000665B0">
        <w:t xml:space="preserve"> provides a way to organize the Strike. The Strike Tasking Matrix must contain at least one Objective in order </w:t>
      </w:r>
      <w:r w:rsidR="00AC672E" w:rsidRPr="000665B0">
        <w:t xml:space="preserve">to </w:t>
      </w:r>
      <w:r w:rsidR="00AC10FF" w:rsidRPr="000665B0">
        <w:t xml:space="preserve">create a Task that can be used by the other Strike Folder </w:t>
      </w:r>
      <w:r w:rsidR="00AC672E" w:rsidRPr="000665B0">
        <w:t>tools</w:t>
      </w:r>
      <w:r w:rsidR="00AC10FF" w:rsidRPr="000665B0">
        <w:t>.</w:t>
      </w:r>
      <w:r w:rsidR="007F1284" w:rsidRPr="000665B0">
        <w:t xml:space="preserve"> If no objective is entered, the Mission Candidates </w:t>
      </w:r>
      <w:r w:rsidR="007F1284" w:rsidRPr="000665B0">
        <w:lastRenderedPageBreak/>
        <w:t xml:space="preserve">Matrix will not be filled with any missions or TMPRs or LMOs associated with the targets that were added in the Candidates pane of the </w:t>
      </w:r>
      <w:r w:rsidR="007F1284" w:rsidRPr="000665B0">
        <w:rPr>
          <w:i/>
        </w:rPr>
        <w:t>Strike Tasking</w:t>
      </w:r>
      <w:r w:rsidR="007F1284" w:rsidRPr="000665B0">
        <w:t xml:space="preserve"> window. When there is more than one objective, every target has to be manually assigned an objective ID. Multiple targets can be selected at once for the assignment of an objective ID.</w:t>
      </w:r>
    </w:p>
    <w:p w14:paraId="15A9F5F8" w14:textId="77777777" w:rsidR="00AC10FF" w:rsidRPr="000665B0" w:rsidRDefault="00AC10FF" w:rsidP="006D5A65">
      <w:pPr>
        <w:pStyle w:val="Heading3"/>
      </w:pPr>
      <w:r w:rsidRPr="000665B0">
        <w:t>Objective</w:t>
      </w:r>
      <w:r w:rsidR="00132E33" w:rsidRPr="000665B0">
        <w:t>s</w:t>
      </w:r>
      <w:r w:rsidRPr="000665B0">
        <w:t xml:space="preserve"> </w:t>
      </w:r>
      <w:r w:rsidR="00AC672E" w:rsidRPr="000665B0">
        <w:t>Properties</w:t>
      </w:r>
      <w:r w:rsidRPr="000665B0">
        <w:t>:</w:t>
      </w:r>
    </w:p>
    <w:p w14:paraId="344DF520" w14:textId="3EE87EE2" w:rsidR="00AC10FF" w:rsidRPr="000665B0" w:rsidRDefault="00CE3518" w:rsidP="009570CA">
      <w:pPr>
        <w:tabs>
          <w:tab w:val="left" w:pos="720"/>
        </w:tabs>
        <w:jc w:val="center"/>
      </w:pPr>
      <w:r w:rsidRPr="000665B0">
        <w:rPr>
          <w:noProof/>
        </w:rPr>
        <w:drawing>
          <wp:inline distT="0" distB="0" distL="0" distR="0" wp14:anchorId="01E1555B" wp14:editId="6EDAACF1">
            <wp:extent cx="2743200" cy="2121408"/>
            <wp:effectExtent l="0" t="0" r="0" b="0"/>
            <wp:docPr id="1651" name="Picture 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121408"/>
                    </a:xfrm>
                    <a:prstGeom prst="rect">
                      <a:avLst/>
                    </a:prstGeom>
                  </pic:spPr>
                </pic:pic>
              </a:graphicData>
            </a:graphic>
          </wp:inline>
        </w:drawing>
      </w:r>
    </w:p>
    <w:p w14:paraId="2DC191C9" w14:textId="77777777" w:rsidR="00AC10FF" w:rsidRPr="000665B0" w:rsidRDefault="00AC10FF" w:rsidP="006D5A65">
      <w:pPr>
        <w:pStyle w:val="Heading2"/>
      </w:pPr>
      <w:r w:rsidRPr="000665B0">
        <w:t>Objective ID – The unique identifier for an Objective. This value is automatically assigned when a new Objective is created.</w:t>
      </w:r>
    </w:p>
    <w:p w14:paraId="76029898" w14:textId="6EC8BE98" w:rsidR="00AC10FF" w:rsidRPr="000665B0" w:rsidRDefault="00AC10FF" w:rsidP="006D5A65">
      <w:pPr>
        <w:pStyle w:val="Heading2"/>
      </w:pPr>
      <w:r w:rsidRPr="000665B0">
        <w:t>Objective – The description of the Objective</w:t>
      </w:r>
      <w:r w:rsidR="00AC672E" w:rsidRPr="000665B0">
        <w:t xml:space="preserve"> (</w:t>
      </w:r>
      <w:r w:rsidRPr="000665B0">
        <w:t xml:space="preserve">up to 100 </w:t>
      </w:r>
      <w:r w:rsidR="00AC672E" w:rsidRPr="000665B0">
        <w:t xml:space="preserve">alphanumeric </w:t>
      </w:r>
      <w:r w:rsidRPr="000665B0">
        <w:t>characters</w:t>
      </w:r>
      <w:r w:rsidR="00AC672E" w:rsidRPr="000665B0">
        <w:t>)</w:t>
      </w:r>
      <w:r w:rsidRPr="000665B0">
        <w:t>.</w:t>
      </w:r>
      <w:r w:rsidR="00AC672E" w:rsidRPr="000665B0">
        <w:t xml:space="preserve"> This is a required field (as denoted by the * and/or yellow background) and the user is unable to proceed without updating this field. For further information on mandatory fields see </w:t>
      </w:r>
      <w:hyperlink w:anchor="_5.2.7__Editing" w:history="1">
        <w:r w:rsidR="00AC672E" w:rsidRPr="000665B0">
          <w:rPr>
            <w:color w:val="0000FF"/>
            <w:u w:val="single"/>
          </w:rPr>
          <w:t>Section 5.2.8</w:t>
        </w:r>
      </w:hyperlink>
      <w:r w:rsidR="00AC672E" w:rsidRPr="000665B0">
        <w:t>.</w:t>
      </w:r>
    </w:p>
    <w:p w14:paraId="5CA4F17C" w14:textId="77777777" w:rsidR="00AC10FF" w:rsidRPr="000665B0" w:rsidRDefault="00AC10FF" w:rsidP="006D5A65">
      <w:pPr>
        <w:pStyle w:val="Heading2"/>
      </w:pPr>
      <w:r w:rsidRPr="000665B0">
        <w:t>Max Missiles – The maximum number of missiles that may be used for the Objective.</w:t>
      </w:r>
    </w:p>
    <w:p w14:paraId="3ED0FC09" w14:textId="77777777" w:rsidR="00AC10FF" w:rsidRPr="000665B0" w:rsidRDefault="00AC10FF" w:rsidP="006D5A65">
      <w:pPr>
        <w:pStyle w:val="Heading2"/>
      </w:pPr>
      <w:r w:rsidRPr="000665B0">
        <w:t>Owner – The tasking source owner that will be added to the TTWCS ESP message.</w:t>
      </w:r>
    </w:p>
    <w:p w14:paraId="7261C4E0" w14:textId="77777777" w:rsidR="00AC10FF" w:rsidRPr="000665B0" w:rsidRDefault="00AC10FF" w:rsidP="006D5A65">
      <w:pPr>
        <w:pStyle w:val="Heading2"/>
      </w:pPr>
      <w:r w:rsidRPr="000665B0">
        <w:t>Radio Freq – The radio frequency of the Objective that will be added to the TTWCS ESP message.</w:t>
      </w:r>
    </w:p>
    <w:p w14:paraId="2BCABCE3" w14:textId="77777777" w:rsidR="00AC10FF" w:rsidRPr="000665B0" w:rsidRDefault="00A97002" w:rsidP="006D5A65">
      <w:pPr>
        <w:pStyle w:val="Heading1"/>
      </w:pPr>
      <w:r w:rsidRPr="000665B0">
        <w:t xml:space="preserve">The </w:t>
      </w:r>
      <w:r w:rsidR="00AC10FF" w:rsidRPr="000665B0">
        <w:t xml:space="preserve">Targets </w:t>
      </w:r>
      <w:r w:rsidRPr="000665B0">
        <w:t xml:space="preserve">pane </w:t>
      </w:r>
      <w:r w:rsidR="00AC10FF" w:rsidRPr="000665B0">
        <w:t>allows the operator to add and organize the Strike</w:t>
      </w:r>
      <w:r w:rsidR="00AC672E" w:rsidRPr="000665B0">
        <w:t>’</w:t>
      </w:r>
      <w:r w:rsidR="00AC10FF" w:rsidRPr="000665B0">
        <w:t>s Targets. There are many ways to input in the Targets, such as selecting from the Targets</w:t>
      </w:r>
      <w:r w:rsidR="00AC672E" w:rsidRPr="000665B0">
        <w:t xml:space="preserve"> </w:t>
      </w:r>
      <w:r w:rsidR="006374FC" w:rsidRPr="000665B0">
        <w:t>list view</w:t>
      </w:r>
      <w:r w:rsidR="00AC10FF" w:rsidRPr="000665B0">
        <w:t>, Target Libraries, Missions</w:t>
      </w:r>
      <w:r w:rsidR="00AC672E" w:rsidRPr="000665B0">
        <w:t xml:space="preserve"> </w:t>
      </w:r>
      <w:r w:rsidR="006374FC" w:rsidRPr="000665B0">
        <w:t>list view</w:t>
      </w:r>
      <w:r w:rsidR="00AC10FF" w:rsidRPr="000665B0">
        <w:t>, Mission Libraries</w:t>
      </w:r>
      <w:r w:rsidR="00452DA4" w:rsidRPr="000665B0">
        <w:t>, and Call For Fire</w:t>
      </w:r>
      <w:r w:rsidR="00AC10FF" w:rsidRPr="000665B0">
        <w:t xml:space="preserve">. The drag and drop capability is also available from the selection view and the MDS tools. When Missions are added, the </w:t>
      </w:r>
      <w:r w:rsidR="00AC10FF" w:rsidRPr="000665B0">
        <w:lastRenderedPageBreak/>
        <w:t>Missions’ Targets are extracted and added to the Targets list. When Mission Libraries are added, they will also be added to the Mission Candidates Matrix’s Mission Libraries.</w:t>
      </w:r>
    </w:p>
    <w:p w14:paraId="1BBD1F84" w14:textId="77777777" w:rsidR="00AC10FF" w:rsidRPr="000665B0" w:rsidRDefault="007F1284" w:rsidP="009570CA">
      <w:pPr>
        <w:tabs>
          <w:tab w:val="left" w:pos="720"/>
        </w:tabs>
        <w:ind w:left="720"/>
      </w:pPr>
      <w:r w:rsidRPr="000665B0">
        <w:t xml:space="preserve">The Strike Tasking Matrix provides many convenient features. When there is only one Obj ID in the Objectives pane, a newly added target will automatically be assigned to that Obj ID. When more than one Obj ID </w:t>
      </w:r>
      <w:r w:rsidR="0043623E" w:rsidRPr="000665B0">
        <w:t>is</w:t>
      </w:r>
      <w:r w:rsidRPr="000665B0">
        <w:t xml:space="preserve"> in the Objectives pane, all added targets must be manually assigned to an Obj ID. Any target that does not have an assigned Obj ID will not have associated missions or TMPRs or LMOs listed in the Mission Candidates Matrix. If there is not an existing Target that meets </w:t>
      </w:r>
      <w:r w:rsidR="0043623E" w:rsidRPr="000665B0">
        <w:t>the need</w:t>
      </w:r>
      <w:r w:rsidRPr="000665B0">
        <w:t xml:space="preserve">, new Targets can be </w:t>
      </w:r>
      <w:r w:rsidR="00B27643" w:rsidRPr="000665B0">
        <w:t>created and</w:t>
      </w:r>
      <w:r w:rsidRPr="000665B0">
        <w:t xml:space="preserve"> saved. New TMPRs and LMOs can be created with any selected Target(s) in the list view. When Targets are added, the Targets’ properties automatically default to the values from the Strike Properties/Tasking Properties, but the properties can be changed by the operator as needed.</w:t>
      </w:r>
    </w:p>
    <w:p w14:paraId="416ED6A2" w14:textId="77777777" w:rsidR="00AC10FF" w:rsidRPr="000665B0" w:rsidRDefault="00AC10FF" w:rsidP="006D5A65">
      <w:pPr>
        <w:pStyle w:val="Heading3"/>
      </w:pPr>
      <w:r w:rsidRPr="000665B0">
        <w:t>Target Properties:</w:t>
      </w:r>
    </w:p>
    <w:p w14:paraId="5548E1ED" w14:textId="32A1DE3A" w:rsidR="00AC10FF" w:rsidRPr="000665B0" w:rsidRDefault="00CE3518" w:rsidP="009570CA">
      <w:pPr>
        <w:jc w:val="center"/>
      </w:pPr>
      <w:r w:rsidRPr="000665B0">
        <w:rPr>
          <w:noProof/>
        </w:rPr>
        <w:drawing>
          <wp:inline distT="0" distB="0" distL="0" distR="0" wp14:anchorId="57076D5D" wp14:editId="56299123">
            <wp:extent cx="2743200" cy="2267712"/>
            <wp:effectExtent l="0" t="0" r="0" b="0"/>
            <wp:docPr id="1652" name="Picture 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267712"/>
                    </a:xfrm>
                    <a:prstGeom prst="rect">
                      <a:avLst/>
                    </a:prstGeom>
                  </pic:spPr>
                </pic:pic>
              </a:graphicData>
            </a:graphic>
          </wp:inline>
        </w:drawing>
      </w:r>
    </w:p>
    <w:p w14:paraId="6810153D" w14:textId="77777777" w:rsidR="00AC10FF" w:rsidRPr="000665B0" w:rsidRDefault="00AC10FF" w:rsidP="006D5A65">
      <w:pPr>
        <w:pStyle w:val="Heading2"/>
      </w:pPr>
      <w:r w:rsidRPr="000665B0">
        <w:t xml:space="preserve">Objective ID – The identifier of the Objective </w:t>
      </w:r>
      <w:r w:rsidR="00900C28" w:rsidRPr="000665B0">
        <w:t>that the Target is associated with.</w:t>
      </w:r>
      <w:r w:rsidRPr="000665B0">
        <w:t xml:space="preserve"> The </w:t>
      </w:r>
      <w:r w:rsidR="00900C28" w:rsidRPr="000665B0">
        <w:t>Objective ID pull down menu</w:t>
      </w:r>
      <w:r w:rsidRPr="000665B0">
        <w:t xml:space="preserve"> will be populated with all of the Objective IDs in the Strike Tasking Matrix.</w:t>
      </w:r>
    </w:p>
    <w:p w14:paraId="4C0BC4B0" w14:textId="77777777" w:rsidR="00AC10FF" w:rsidRPr="000665B0" w:rsidRDefault="00AC10FF" w:rsidP="006D5A65">
      <w:pPr>
        <w:pStyle w:val="Heading2"/>
      </w:pPr>
      <w:r w:rsidRPr="000665B0">
        <w:t xml:space="preserve">Objective – The Objective description of the selected Objective ID. </w:t>
      </w:r>
    </w:p>
    <w:p w14:paraId="7A85739E" w14:textId="77777777" w:rsidR="00AC10FF" w:rsidRPr="000665B0" w:rsidRDefault="00AC10FF" w:rsidP="006D5A65">
      <w:pPr>
        <w:pStyle w:val="Heading2"/>
      </w:pPr>
      <w:r w:rsidRPr="000665B0">
        <w:t>Aimpoint Priority – The priority of the aimpoint.</w:t>
      </w:r>
    </w:p>
    <w:p w14:paraId="6CB172E0" w14:textId="77777777" w:rsidR="00AC10FF" w:rsidRPr="000665B0" w:rsidRDefault="00AC10FF" w:rsidP="006D5A65">
      <w:pPr>
        <w:pStyle w:val="Heading2"/>
      </w:pPr>
      <w:r w:rsidRPr="000665B0">
        <w:t>Damage Required – The damage requirement value for the target.</w:t>
      </w:r>
    </w:p>
    <w:p w14:paraId="6E90EC97" w14:textId="77777777" w:rsidR="00AC10FF" w:rsidRPr="000665B0" w:rsidRDefault="00AC10FF" w:rsidP="006D5A65">
      <w:pPr>
        <w:pStyle w:val="Heading2"/>
      </w:pPr>
      <w:r w:rsidRPr="000665B0">
        <w:t>Critical – Indicates the criticality of the target. Critical targets may require more missiles.</w:t>
      </w:r>
    </w:p>
    <w:p w14:paraId="48D14861" w14:textId="77777777" w:rsidR="00AC10FF" w:rsidRPr="000665B0" w:rsidRDefault="00AC10FF" w:rsidP="006D5A65">
      <w:pPr>
        <w:pStyle w:val="Heading2"/>
      </w:pPr>
      <w:r w:rsidRPr="000665B0">
        <w:lastRenderedPageBreak/>
        <w:t xml:space="preserve">Requires </w:t>
      </w:r>
      <w:r w:rsidR="00224185" w:rsidRPr="000665B0">
        <w:t>109E</w:t>
      </w:r>
      <w:r w:rsidRPr="000665B0">
        <w:t xml:space="preserve"> – Specifies whether a </w:t>
      </w:r>
      <w:r w:rsidR="00224185" w:rsidRPr="000665B0">
        <w:t>109E</w:t>
      </w:r>
      <w:r w:rsidRPr="000665B0">
        <w:t xml:space="preserve"> mission is required for the Target. This field will be used by the Mission Candidates Matrix to filter only </w:t>
      </w:r>
      <w:r w:rsidR="00224185" w:rsidRPr="000665B0">
        <w:t>109E</w:t>
      </w:r>
      <w:r w:rsidRPr="000665B0">
        <w:t xml:space="preserve"> candidates when applied.</w:t>
      </w:r>
    </w:p>
    <w:p w14:paraId="1FD27DE4" w14:textId="77777777" w:rsidR="00AC10FF" w:rsidRPr="000665B0" w:rsidRDefault="00AC10FF" w:rsidP="006D5A65">
      <w:pPr>
        <w:pStyle w:val="Heading2"/>
      </w:pPr>
      <w:r w:rsidRPr="000665B0">
        <w:t>TOT Time – The Time on Target (TOT) for the Target.</w:t>
      </w:r>
    </w:p>
    <w:p w14:paraId="693466B2" w14:textId="77777777" w:rsidR="00545E79" w:rsidRPr="000665B0" w:rsidRDefault="00AC10FF" w:rsidP="006D5A65">
      <w:pPr>
        <w:pStyle w:val="Heading2"/>
      </w:pPr>
      <w:r w:rsidRPr="000665B0">
        <w:t>User Notes – Any user notes associated with the Target</w:t>
      </w:r>
      <w:r w:rsidR="007F1284" w:rsidRPr="000665B0">
        <w:t xml:space="preserve"> (up to 50 alphanumeric characters).</w:t>
      </w:r>
    </w:p>
    <w:p w14:paraId="1A54B6D3" w14:textId="77777777" w:rsidR="005E2B9E" w:rsidRPr="000665B0" w:rsidRDefault="009A1FDF" w:rsidP="009570CA">
      <w:pPr>
        <w:keepLines/>
        <w:pBdr>
          <w:top w:val="single" w:sz="12" w:space="1" w:color="auto"/>
          <w:left w:val="single" w:sz="12" w:space="4" w:color="auto"/>
          <w:bottom w:val="single" w:sz="12" w:space="1" w:color="auto"/>
          <w:right w:val="single" w:sz="12" w:space="4" w:color="auto"/>
        </w:pBdr>
        <w:shd w:val="clear" w:color="auto" w:fill="F3F3F3"/>
        <w:tabs>
          <w:tab w:val="left" w:pos="720"/>
        </w:tabs>
        <w:rPr>
          <w:rStyle w:val="bodycopy"/>
          <w:b/>
          <w:szCs w:val="24"/>
        </w:rPr>
      </w:pPr>
      <w:r w:rsidRPr="000665B0">
        <w:rPr>
          <w:b/>
          <w:noProof/>
        </w:rPr>
        <w:drawing>
          <wp:inline distT="0" distB="0" distL="0" distR="0" wp14:anchorId="4049286A" wp14:editId="72045278">
            <wp:extent cx="352425" cy="381000"/>
            <wp:effectExtent l="0" t="0" r="9525"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5E2B9E" w:rsidRPr="000665B0">
        <w:rPr>
          <w:b/>
        </w:rPr>
        <w:t xml:space="preserve">TIP: </w:t>
      </w:r>
      <w:r w:rsidR="005E2B9E" w:rsidRPr="000665B0">
        <w:rPr>
          <w:rStyle w:val="bodycopy"/>
          <w:b/>
          <w:szCs w:val="24"/>
        </w:rPr>
        <w:t>Once a Target has been assigned to an Objective, the Target cannot be unassigned.</w:t>
      </w:r>
      <w:r w:rsidR="00290219" w:rsidRPr="000665B0">
        <w:rPr>
          <w:rStyle w:val="bodycopy"/>
          <w:b/>
          <w:szCs w:val="24"/>
        </w:rPr>
        <w:t xml:space="preserve"> </w:t>
      </w:r>
      <w:r w:rsidR="005E2B9E" w:rsidRPr="000665B0">
        <w:rPr>
          <w:rStyle w:val="bodycopy"/>
          <w:b/>
          <w:szCs w:val="24"/>
        </w:rPr>
        <w:t>However</w:t>
      </w:r>
      <w:r w:rsidR="00900C28" w:rsidRPr="000665B0">
        <w:rPr>
          <w:rStyle w:val="bodycopy"/>
          <w:b/>
          <w:szCs w:val="24"/>
        </w:rPr>
        <w:t>,</w:t>
      </w:r>
      <w:r w:rsidR="005E2B9E" w:rsidRPr="000665B0">
        <w:rPr>
          <w:rStyle w:val="bodycopy"/>
          <w:b/>
          <w:szCs w:val="24"/>
        </w:rPr>
        <w:t xml:space="preserve"> the Target can be reassigned to another Objective.</w:t>
      </w:r>
      <w:r w:rsidR="00290219" w:rsidRPr="000665B0">
        <w:rPr>
          <w:rStyle w:val="bodycopy"/>
          <w:b/>
          <w:szCs w:val="24"/>
        </w:rPr>
        <w:t xml:space="preserve"> </w:t>
      </w:r>
      <w:r w:rsidR="00900C28" w:rsidRPr="000665B0">
        <w:rPr>
          <w:rStyle w:val="bodycopy"/>
          <w:b/>
          <w:szCs w:val="24"/>
        </w:rPr>
        <w:t>To resolve this,</w:t>
      </w:r>
      <w:r w:rsidR="005E2B9E" w:rsidRPr="000665B0">
        <w:rPr>
          <w:rStyle w:val="bodycopy"/>
          <w:b/>
          <w:szCs w:val="24"/>
        </w:rPr>
        <w:t xml:space="preserve"> Targets can </w:t>
      </w:r>
      <w:r w:rsidR="00900C28" w:rsidRPr="000665B0">
        <w:rPr>
          <w:rStyle w:val="bodycopy"/>
          <w:b/>
          <w:szCs w:val="24"/>
        </w:rPr>
        <w:t xml:space="preserve">either </w:t>
      </w:r>
      <w:r w:rsidR="005E2B9E" w:rsidRPr="000665B0">
        <w:rPr>
          <w:rStyle w:val="bodycopy"/>
          <w:b/>
          <w:szCs w:val="24"/>
        </w:rPr>
        <w:t>be reassigned to a temporary Objective</w:t>
      </w:r>
      <w:r w:rsidR="00900C28" w:rsidRPr="000665B0">
        <w:rPr>
          <w:rStyle w:val="bodycopy"/>
          <w:b/>
          <w:szCs w:val="24"/>
        </w:rPr>
        <w:t>,</w:t>
      </w:r>
      <w:r w:rsidR="005E2B9E" w:rsidRPr="000665B0">
        <w:rPr>
          <w:rStyle w:val="bodycopy"/>
          <w:b/>
          <w:szCs w:val="24"/>
        </w:rPr>
        <w:t xml:space="preserve"> or the Targets can be removed and re-added.</w:t>
      </w:r>
    </w:p>
    <w:p w14:paraId="3EF66F4E" w14:textId="77777777" w:rsidR="00AC10FF" w:rsidRPr="000665B0" w:rsidRDefault="00AC10FF" w:rsidP="009570CA">
      <w:pPr>
        <w:tabs>
          <w:tab w:val="left" w:pos="720"/>
        </w:tabs>
      </w:pPr>
      <w:r w:rsidRPr="000665B0">
        <w:t>To create a Strike Tasking Matrix:</w:t>
      </w:r>
    </w:p>
    <w:p w14:paraId="0F18D516" w14:textId="77777777" w:rsidR="0098037E" w:rsidRPr="000665B0" w:rsidRDefault="00AC10FF" w:rsidP="006D5A65">
      <w:pPr>
        <w:pStyle w:val="Heading1"/>
      </w:pPr>
      <w:r w:rsidRPr="000665B0">
        <w:t xml:space="preserve">From the main </w:t>
      </w:r>
      <w:r w:rsidRPr="000665B0">
        <w:rPr>
          <w:i/>
          <w:iCs/>
        </w:rPr>
        <w:t>Strike Folder</w:t>
      </w:r>
      <w:r w:rsidR="005F1660" w:rsidRPr="000665B0">
        <w:rPr>
          <w:i/>
          <w:iCs/>
        </w:rPr>
        <w:t>s</w:t>
      </w:r>
      <w:r w:rsidRPr="000665B0">
        <w:t xml:space="preserve"> window</w:t>
      </w:r>
      <w:r w:rsidR="0098037E" w:rsidRPr="000665B0">
        <w:t xml:space="preserve"> highlight the appropriate Strike Folder.</w:t>
      </w:r>
    </w:p>
    <w:p w14:paraId="46B366FD" w14:textId="3976365E" w:rsidR="0098037E" w:rsidRPr="000665B0" w:rsidRDefault="0037038E" w:rsidP="006D5A65">
      <w:pPr>
        <w:pStyle w:val="Heading1"/>
      </w:pPr>
      <w:r w:rsidRPr="000665B0">
        <w:t>Double-click</w:t>
      </w:r>
      <w:r w:rsidR="0098037E" w:rsidRPr="000665B0">
        <w:t xml:space="preserve"> to display the Strike Folder </w:t>
      </w:r>
      <w:r w:rsidR="00AB3FB1" w:rsidRPr="000665B0">
        <w:t>textually or</w:t>
      </w:r>
      <w:r w:rsidR="003062DE" w:rsidRPr="000665B0">
        <w:t xml:space="preserve"> </w:t>
      </w:r>
      <w:r w:rsidR="0098037E" w:rsidRPr="000665B0">
        <w:t>invoke the context menu (</w:t>
      </w:r>
      <w:r w:rsidR="00D71804" w:rsidRPr="000665B0">
        <w:t>right-click</w:t>
      </w:r>
      <w:r w:rsidR="0098037E" w:rsidRPr="000665B0">
        <w:t xml:space="preserve"> the mouse) and select Display</w:t>
      </w:r>
      <w:r w:rsidR="008764C3" w:rsidRPr="000665B0">
        <w:t xml:space="preserve"> </w:t>
      </w:r>
      <w:r w:rsidR="008764C3" w:rsidRPr="000665B0">
        <w:sym w:font="Wingdings 3" w:char="F07D"/>
      </w:r>
      <w:r w:rsidR="008764C3" w:rsidRPr="000665B0">
        <w:t xml:space="preserve"> </w:t>
      </w:r>
      <w:r w:rsidR="008D1003" w:rsidRPr="000665B0">
        <w:t>Textually or</w:t>
      </w:r>
      <w:r w:rsidR="003062DE" w:rsidRPr="000665B0">
        <w:t xml:space="preserve"> select File </w:t>
      </w:r>
      <w:r w:rsidR="003062DE" w:rsidRPr="000665B0">
        <w:sym w:font="Wingdings" w:char="F0E0"/>
      </w:r>
      <w:r w:rsidR="003062DE" w:rsidRPr="000665B0">
        <w:t xml:space="preserve"> Display </w:t>
      </w:r>
      <w:r w:rsidR="003062DE" w:rsidRPr="000665B0">
        <w:sym w:font="Wingdings 3" w:char="F07D"/>
      </w:r>
      <w:r w:rsidR="003062DE" w:rsidRPr="000665B0">
        <w:t xml:space="preserve"> Textually</w:t>
      </w:r>
      <w:r w:rsidR="0098037E" w:rsidRPr="000665B0">
        <w:t xml:space="preserve">. </w:t>
      </w:r>
    </w:p>
    <w:p w14:paraId="6B82C203" w14:textId="37B440E4" w:rsidR="00AC10FF" w:rsidRPr="000665B0" w:rsidRDefault="0098037E" w:rsidP="006D5A65">
      <w:pPr>
        <w:pStyle w:val="Heading1"/>
      </w:pPr>
      <w:r w:rsidRPr="000665B0">
        <w:t>From the</w:t>
      </w:r>
      <w:r w:rsidRPr="000665B0">
        <w:rPr>
          <w:i/>
        </w:rPr>
        <w:t xml:space="preserve"> Strike Folder</w:t>
      </w:r>
      <w:r w:rsidR="005F1660" w:rsidRPr="000665B0">
        <w:rPr>
          <w:i/>
        </w:rPr>
        <w:t xml:space="preserve"> xxxxx-xxxxx</w:t>
      </w:r>
      <w:r w:rsidRPr="000665B0">
        <w:t xml:space="preserve"> window, </w:t>
      </w:r>
      <w:r w:rsidR="0037038E" w:rsidRPr="000665B0">
        <w:t>double-click</w:t>
      </w:r>
      <w:r w:rsidR="004D6FF6" w:rsidRPr="000665B0">
        <w:t xml:space="preserve"> the</w:t>
      </w:r>
      <w:r w:rsidR="00AC10FF" w:rsidRPr="000665B0">
        <w:t xml:space="preserve"> </w:t>
      </w:r>
      <w:r w:rsidR="00AC10FF" w:rsidRPr="000665B0">
        <w:rPr>
          <w:bCs/>
        </w:rPr>
        <w:t xml:space="preserve">Tasking </w:t>
      </w:r>
      <w:r w:rsidR="009A1FDF" w:rsidRPr="000665B0">
        <w:rPr>
          <w:bCs/>
          <w:noProof/>
          <w:position w:val="-12"/>
        </w:rPr>
        <w:drawing>
          <wp:inline distT="0" distB="0" distL="0" distR="0" wp14:anchorId="09E6F8FA" wp14:editId="2ADCB098">
            <wp:extent cx="257694" cy="257694"/>
            <wp:effectExtent l="0" t="0" r="9525" b="9525"/>
            <wp:docPr id="507" name="Picture 507" descr="StrikeTas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StrikeTasking"/>
                    <pic:cNvPicPr>
                      <a:picLocks noChangeAspect="1" noChangeArrowheads="1"/>
                    </pic:cNvPicPr>
                  </pic:nvPicPr>
                  <pic:blipFill>
                    <a:blip cstate="print"/>
                    <a:srcRect/>
                    <a:stretch>
                      <a:fillRect/>
                    </a:stretch>
                  </pic:blipFill>
                  <pic:spPr bwMode="auto">
                    <a:xfrm>
                      <a:off x="0" y="0"/>
                      <a:ext cx="260339" cy="260339"/>
                    </a:xfrm>
                    <a:prstGeom prst="rect">
                      <a:avLst/>
                    </a:prstGeom>
                    <a:noFill/>
                    <a:ln w="9525">
                      <a:noFill/>
                      <a:miter lim="800000"/>
                      <a:headEnd/>
                      <a:tailEnd/>
                    </a:ln>
                  </pic:spPr>
                </pic:pic>
              </a:graphicData>
            </a:graphic>
          </wp:inline>
        </w:drawing>
      </w:r>
      <w:r w:rsidR="00AC10FF" w:rsidRPr="000665B0">
        <w:rPr>
          <w:bCs/>
        </w:rPr>
        <w:t xml:space="preserve"> </w:t>
      </w:r>
      <w:r w:rsidR="00AC10FF" w:rsidRPr="000665B0">
        <w:t xml:space="preserve">icon. The </w:t>
      </w:r>
      <w:r w:rsidR="00AC10FF" w:rsidRPr="000665B0">
        <w:rPr>
          <w:i/>
        </w:rPr>
        <w:t>Strike Tasking for Strike Folder: xxxxx-xxxxx</w:t>
      </w:r>
      <w:r w:rsidR="00AC10FF" w:rsidRPr="000665B0">
        <w:t xml:space="preserve"> window </w:t>
      </w:r>
      <w:r w:rsidR="00DB5AEE" w:rsidRPr="000665B0">
        <w:t>is</w:t>
      </w:r>
      <w:r w:rsidR="00AC10FF" w:rsidRPr="000665B0">
        <w:t xml:space="preserve"> displayed.</w:t>
      </w:r>
    </w:p>
    <w:p w14:paraId="1259DF95" w14:textId="143FABCC" w:rsidR="00AC10FF" w:rsidRPr="000665B0" w:rsidRDefault="000A414E" w:rsidP="009570CA">
      <w:pPr>
        <w:jc w:val="center"/>
      </w:pPr>
      <w:r w:rsidRPr="000665B0">
        <w:rPr>
          <w:noProof/>
        </w:rPr>
        <w:drawing>
          <wp:inline distT="0" distB="0" distL="0" distR="0" wp14:anchorId="19729316" wp14:editId="7FC8D370">
            <wp:extent cx="3581400" cy="154000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587461" cy="1542608"/>
                    </a:xfrm>
                    <a:prstGeom prst="rect">
                      <a:avLst/>
                    </a:prstGeom>
                  </pic:spPr>
                </pic:pic>
              </a:graphicData>
            </a:graphic>
          </wp:inline>
        </w:drawing>
      </w:r>
    </w:p>
    <w:p w14:paraId="1CE31F96" w14:textId="77777777" w:rsidR="00AC10FF" w:rsidRPr="000665B0" w:rsidRDefault="002F1603" w:rsidP="006D5A65">
      <w:pPr>
        <w:pStyle w:val="Heading1"/>
      </w:pPr>
      <w:r w:rsidRPr="000665B0">
        <w:t xml:space="preserve">Enter text into the </w:t>
      </w:r>
      <w:r w:rsidR="00AC10FF" w:rsidRPr="000665B0">
        <w:t>Tasking</w:t>
      </w:r>
      <w:r w:rsidRPr="000665B0">
        <w:t xml:space="preserve"> pane (up to 1,000 alphanumeric characters). This i</w:t>
      </w:r>
      <w:r w:rsidR="00AC10FF" w:rsidRPr="000665B0">
        <w:t xml:space="preserve">s a plain text, </w:t>
      </w:r>
      <w:r w:rsidRPr="000665B0">
        <w:t>optional</w:t>
      </w:r>
      <w:r w:rsidR="00AC10FF" w:rsidRPr="000665B0">
        <w:t xml:space="preserve">, </w:t>
      </w:r>
      <w:r w:rsidRPr="000665B0">
        <w:t>user-</w:t>
      </w:r>
      <w:r w:rsidR="00AC10FF" w:rsidRPr="000665B0">
        <w:t xml:space="preserve">defined field. A user can use this field to add references such as the DTG of the Fragmentary Military Order (FRAGORD), Air Tasking Order </w:t>
      </w:r>
      <w:r w:rsidR="00AC10FF" w:rsidRPr="000665B0">
        <w:lastRenderedPageBreak/>
        <w:t>(ATO), Master Air Attack Plan (MAAP), or STANDING OPTASKS for the Strike.</w:t>
      </w:r>
    </w:p>
    <w:p w14:paraId="503F89C5" w14:textId="1C8CDD94" w:rsidR="00521D80" w:rsidRPr="000665B0" w:rsidRDefault="002826B2" w:rsidP="006D5A65">
      <w:pPr>
        <w:pStyle w:val="Heading1"/>
      </w:pPr>
      <w:r w:rsidRPr="000665B0">
        <w:t xml:space="preserve">Text in this field can be manipulated by </w:t>
      </w:r>
      <w:r w:rsidR="00D71804" w:rsidRPr="000665B0">
        <w:t>right-click</w:t>
      </w:r>
      <w:r w:rsidRPr="000665B0">
        <w:t>ing and using the standard text tools of Undo, Cut, Copy, Paste, Delete, and Select All.</w:t>
      </w:r>
    </w:p>
    <w:p w14:paraId="309520F6" w14:textId="35BA7370" w:rsidR="00D46918" w:rsidRPr="000665B0" w:rsidRDefault="00D46918" w:rsidP="006D5A65">
      <w:pPr>
        <w:pStyle w:val="Heading1"/>
      </w:pPr>
      <w:r w:rsidRPr="000665B0">
        <w:t>In addition, the following menu selections are available</w:t>
      </w:r>
      <w:r w:rsidR="00264EE4" w:rsidRPr="000665B0">
        <w:t xml:space="preserve"> using the context menu</w:t>
      </w:r>
      <w:r w:rsidRPr="000665B0">
        <w:t>.</w:t>
      </w:r>
    </w:p>
    <w:p w14:paraId="641E4166" w14:textId="69AE5EAA" w:rsidR="004307FC" w:rsidRPr="000665B0" w:rsidRDefault="00A31D2A" w:rsidP="009570CA">
      <w:pPr>
        <w:pStyle w:val="Number0205"/>
        <w:ind w:left="0" w:firstLine="0"/>
        <w:jc w:val="center"/>
      </w:pPr>
      <w:r w:rsidRPr="000665B0">
        <w:rPr>
          <w:noProof/>
        </w:rPr>
        <w:drawing>
          <wp:inline distT="0" distB="0" distL="0" distR="0" wp14:anchorId="4DE25153" wp14:editId="6E9E94F6">
            <wp:extent cx="3657600" cy="2093976"/>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657600" cy="2093976"/>
                    </a:xfrm>
                    <a:prstGeom prst="rect">
                      <a:avLst/>
                    </a:prstGeom>
                  </pic:spPr>
                </pic:pic>
              </a:graphicData>
            </a:graphic>
          </wp:inline>
        </w:drawing>
      </w:r>
    </w:p>
    <w:p w14:paraId="77BFE38E" w14:textId="77777777" w:rsidR="00D46918" w:rsidRPr="000665B0" w:rsidRDefault="00D46918" w:rsidP="006D5A65">
      <w:pPr>
        <w:pStyle w:val="Heading1"/>
      </w:pPr>
      <w:r w:rsidRPr="000665B0">
        <w:t xml:space="preserve">Right to left Reading order – </w:t>
      </w:r>
      <w:r w:rsidR="004A13BD" w:rsidRPr="000665B0">
        <w:t>Toggle to a</w:t>
      </w:r>
      <w:r w:rsidR="00667C0A" w:rsidRPr="000665B0">
        <w:t>lign text to right</w:t>
      </w:r>
      <w:r w:rsidR="004A13BD" w:rsidRPr="000665B0">
        <w:t xml:space="preserve"> or left </w:t>
      </w:r>
      <w:r w:rsidR="00667C0A" w:rsidRPr="000665B0">
        <w:t>side of pane.</w:t>
      </w:r>
    </w:p>
    <w:p w14:paraId="1789C84F" w14:textId="77777777" w:rsidR="00D46918" w:rsidRPr="000665B0" w:rsidRDefault="00D46918" w:rsidP="006D5A65">
      <w:pPr>
        <w:pStyle w:val="Heading1"/>
      </w:pPr>
      <w:r w:rsidRPr="000665B0">
        <w:t xml:space="preserve">Show Unicode control characters – </w:t>
      </w:r>
      <w:r w:rsidR="00E66A59" w:rsidRPr="000665B0">
        <w:t>Displays Unicode control characters in text. Unicode control characters are non-printing characters used to control the interpretation or display of text.</w:t>
      </w:r>
    </w:p>
    <w:p w14:paraId="1BD62CC8" w14:textId="77777777" w:rsidR="00D46918" w:rsidRPr="000665B0" w:rsidRDefault="00D46918" w:rsidP="006D5A65">
      <w:pPr>
        <w:pStyle w:val="Heading1"/>
      </w:pPr>
      <w:r w:rsidRPr="000665B0">
        <w:t>Insert Unicode control character</w:t>
      </w:r>
      <w:r w:rsidR="00986193" w:rsidRPr="000665B0">
        <w:t xml:space="preserve"> – </w:t>
      </w:r>
      <w:r w:rsidR="00E66A59" w:rsidRPr="000665B0">
        <w:t>Insert</w:t>
      </w:r>
      <w:r w:rsidR="008902F8" w:rsidRPr="000665B0">
        <w:t>s</w:t>
      </w:r>
      <w:r w:rsidR="00E66A59" w:rsidRPr="000665B0">
        <w:t xml:space="preserve"> Unicode control character in</w:t>
      </w:r>
      <w:r w:rsidR="00CB562A" w:rsidRPr="000665B0">
        <w:t>to</w:t>
      </w:r>
      <w:r w:rsidR="00E66A59" w:rsidRPr="000665B0">
        <w:t xml:space="preserve"> text.</w:t>
      </w:r>
    </w:p>
    <w:p w14:paraId="0280C356" w14:textId="77777777" w:rsidR="00D46918" w:rsidRPr="000665B0" w:rsidRDefault="00D46918" w:rsidP="006D5A65">
      <w:pPr>
        <w:pStyle w:val="Heading2"/>
      </w:pPr>
      <w:r w:rsidRPr="000665B0">
        <w:t>LRM</w:t>
      </w:r>
      <w:r w:rsidR="00986193" w:rsidRPr="000665B0">
        <w:t xml:space="preserve"> </w:t>
      </w:r>
      <w:r w:rsidR="00986193" w:rsidRPr="000665B0">
        <w:rPr>
          <w:u w:val="single"/>
        </w:rPr>
        <w:t>L</w:t>
      </w:r>
      <w:r w:rsidR="00986193" w:rsidRPr="000665B0">
        <w:t xml:space="preserve">eft-to-right mark – </w:t>
      </w:r>
      <w:r w:rsidR="00CB562A" w:rsidRPr="000665B0">
        <w:t>Formatting character that s</w:t>
      </w:r>
      <w:r w:rsidR="00F3246E" w:rsidRPr="000665B0">
        <w:t>ets text direction of left-to-right.</w:t>
      </w:r>
    </w:p>
    <w:p w14:paraId="20D26315" w14:textId="77777777" w:rsidR="00986193" w:rsidRPr="000665B0" w:rsidRDefault="0048308D" w:rsidP="006D5A65">
      <w:pPr>
        <w:pStyle w:val="Heading2"/>
      </w:pPr>
      <w:r w:rsidRPr="000665B0">
        <w:t>RL</w:t>
      </w:r>
      <w:r w:rsidR="00986193" w:rsidRPr="000665B0">
        <w:t xml:space="preserve">M </w:t>
      </w:r>
      <w:r w:rsidRPr="000665B0">
        <w:rPr>
          <w:u w:val="single"/>
        </w:rPr>
        <w:t>R</w:t>
      </w:r>
      <w:r w:rsidRPr="000665B0">
        <w:t>ight</w:t>
      </w:r>
      <w:r w:rsidR="00986193" w:rsidRPr="000665B0">
        <w:t>-to-</w:t>
      </w:r>
      <w:r w:rsidRPr="000665B0">
        <w:t>left</w:t>
      </w:r>
      <w:r w:rsidR="00986193" w:rsidRPr="000665B0">
        <w:t xml:space="preserve"> mark – </w:t>
      </w:r>
      <w:r w:rsidR="00CB562A" w:rsidRPr="000665B0">
        <w:t>Formatting character that s</w:t>
      </w:r>
      <w:r w:rsidR="00F3246E" w:rsidRPr="000665B0">
        <w:t>ets text direction of right-to-left.</w:t>
      </w:r>
    </w:p>
    <w:p w14:paraId="422FCFE2" w14:textId="77777777" w:rsidR="00986193" w:rsidRPr="000665B0" w:rsidRDefault="0048308D" w:rsidP="006D5A65">
      <w:pPr>
        <w:pStyle w:val="Heading2"/>
      </w:pPr>
      <w:r w:rsidRPr="000665B0">
        <w:t>ZWJ</w:t>
      </w:r>
      <w:r w:rsidR="00986193" w:rsidRPr="000665B0">
        <w:t xml:space="preserve"> </w:t>
      </w:r>
      <w:r w:rsidRPr="000665B0">
        <w:t xml:space="preserve">Zero width </w:t>
      </w:r>
      <w:r w:rsidRPr="000665B0">
        <w:rPr>
          <w:u w:val="single"/>
        </w:rPr>
        <w:t>j</w:t>
      </w:r>
      <w:r w:rsidRPr="000665B0">
        <w:t>oiner</w:t>
      </w:r>
      <w:r w:rsidR="00986193" w:rsidRPr="000665B0">
        <w:t xml:space="preserve"> – </w:t>
      </w:r>
      <w:r w:rsidR="00CB562A" w:rsidRPr="000665B0">
        <w:t>Connects two</w:t>
      </w:r>
      <w:r w:rsidR="00446AA1" w:rsidRPr="000665B0">
        <w:t xml:space="preserve"> consecutive characters</w:t>
      </w:r>
      <w:r w:rsidR="00CB562A" w:rsidRPr="000665B0">
        <w:t xml:space="preserve"> on </w:t>
      </w:r>
      <w:r w:rsidR="000B31F0" w:rsidRPr="000665B0">
        <w:t>output</w:t>
      </w:r>
      <w:r w:rsidR="00CB562A" w:rsidRPr="000665B0">
        <w:t xml:space="preserve"> that would otherwise not be connected</w:t>
      </w:r>
      <w:r w:rsidR="00F3246E" w:rsidRPr="000665B0">
        <w:t>.</w:t>
      </w:r>
    </w:p>
    <w:p w14:paraId="3F46E4DF" w14:textId="77777777" w:rsidR="00986193" w:rsidRPr="000665B0" w:rsidRDefault="0048308D" w:rsidP="006D5A65">
      <w:pPr>
        <w:pStyle w:val="Heading2"/>
      </w:pPr>
      <w:r w:rsidRPr="000665B0">
        <w:t>ZWNJ</w:t>
      </w:r>
      <w:r w:rsidR="00986193" w:rsidRPr="000665B0">
        <w:t xml:space="preserve"> </w:t>
      </w:r>
      <w:r w:rsidRPr="000665B0">
        <w:t xml:space="preserve">Zero width </w:t>
      </w:r>
      <w:r w:rsidRPr="000665B0">
        <w:rPr>
          <w:u w:val="single"/>
        </w:rPr>
        <w:t>n</w:t>
      </w:r>
      <w:r w:rsidRPr="000665B0">
        <w:t>on-joiner</w:t>
      </w:r>
      <w:r w:rsidR="00986193" w:rsidRPr="000665B0">
        <w:t xml:space="preserve"> – </w:t>
      </w:r>
      <w:r w:rsidR="00CB562A" w:rsidRPr="000665B0">
        <w:t xml:space="preserve">Separates two consecutive characters on </w:t>
      </w:r>
      <w:r w:rsidR="000B31F0" w:rsidRPr="000665B0">
        <w:t>output</w:t>
      </w:r>
      <w:r w:rsidR="00CB562A" w:rsidRPr="000665B0">
        <w:t xml:space="preserve"> that would otherwise be connected.</w:t>
      </w:r>
    </w:p>
    <w:p w14:paraId="1DC71BB3" w14:textId="77777777" w:rsidR="00986193" w:rsidRPr="000665B0" w:rsidRDefault="0058039C" w:rsidP="006D5A65">
      <w:pPr>
        <w:pStyle w:val="Heading2"/>
      </w:pPr>
      <w:r w:rsidRPr="000665B0">
        <w:t>LRE</w:t>
      </w:r>
      <w:r w:rsidR="00986193" w:rsidRPr="000665B0">
        <w:t xml:space="preserve"> </w:t>
      </w:r>
      <w:r w:rsidRPr="000665B0">
        <w:t xml:space="preserve">Start of left-to-right </w:t>
      </w:r>
      <w:r w:rsidRPr="000665B0">
        <w:rPr>
          <w:u w:val="single"/>
        </w:rPr>
        <w:t>e</w:t>
      </w:r>
      <w:r w:rsidRPr="000665B0">
        <w:t>mbedding</w:t>
      </w:r>
      <w:r w:rsidR="00986193" w:rsidRPr="000665B0">
        <w:t xml:space="preserve"> – </w:t>
      </w:r>
      <w:r w:rsidR="00446AA1" w:rsidRPr="000665B0">
        <w:t>Signals that a piece of text is to be treated as embedded left-to-right</w:t>
      </w:r>
      <w:r w:rsidR="009B2A6A" w:rsidRPr="000665B0">
        <w:t xml:space="preserve"> (affects word order, not character order)</w:t>
      </w:r>
      <w:r w:rsidR="00446AA1" w:rsidRPr="000665B0">
        <w:t>.</w:t>
      </w:r>
    </w:p>
    <w:p w14:paraId="7A7E6FF3" w14:textId="77777777" w:rsidR="00986193" w:rsidRPr="000665B0" w:rsidRDefault="0058039C" w:rsidP="006D5A65">
      <w:pPr>
        <w:pStyle w:val="Heading2"/>
      </w:pPr>
      <w:r w:rsidRPr="000665B0">
        <w:lastRenderedPageBreak/>
        <w:t>RLE</w:t>
      </w:r>
      <w:r w:rsidR="00986193" w:rsidRPr="000665B0">
        <w:t xml:space="preserve"> </w:t>
      </w:r>
      <w:r w:rsidRPr="000665B0">
        <w:t>Start of right-to-left e</w:t>
      </w:r>
      <w:r w:rsidRPr="000665B0">
        <w:rPr>
          <w:u w:val="single"/>
        </w:rPr>
        <w:t>m</w:t>
      </w:r>
      <w:r w:rsidRPr="000665B0">
        <w:t>bedding</w:t>
      </w:r>
      <w:r w:rsidR="00986193" w:rsidRPr="000665B0">
        <w:t xml:space="preserve"> – </w:t>
      </w:r>
      <w:r w:rsidR="00446AA1" w:rsidRPr="000665B0">
        <w:t>Signals that a piece of text is to be treated as embedded right-to-left</w:t>
      </w:r>
      <w:r w:rsidR="009B2A6A" w:rsidRPr="000665B0">
        <w:t xml:space="preserve"> (affects word order, not character order)</w:t>
      </w:r>
      <w:r w:rsidR="00446AA1" w:rsidRPr="000665B0">
        <w:t>.</w:t>
      </w:r>
    </w:p>
    <w:p w14:paraId="5F99B9E2" w14:textId="77777777" w:rsidR="0058039C" w:rsidRPr="000665B0" w:rsidRDefault="00986193" w:rsidP="006D5A65">
      <w:pPr>
        <w:pStyle w:val="Heading2"/>
      </w:pPr>
      <w:r w:rsidRPr="000665B0">
        <w:t>LR</w:t>
      </w:r>
      <w:r w:rsidR="0058039C" w:rsidRPr="000665B0">
        <w:t>O</w:t>
      </w:r>
      <w:r w:rsidRPr="000665B0">
        <w:t xml:space="preserve"> </w:t>
      </w:r>
      <w:r w:rsidR="0058039C" w:rsidRPr="000665B0">
        <w:t xml:space="preserve">Start of left-to-right </w:t>
      </w:r>
      <w:r w:rsidR="0058039C" w:rsidRPr="000665B0">
        <w:rPr>
          <w:u w:val="single"/>
        </w:rPr>
        <w:t>o</w:t>
      </w:r>
      <w:r w:rsidR="0058039C" w:rsidRPr="000665B0">
        <w:t xml:space="preserve">verride – </w:t>
      </w:r>
      <w:r w:rsidR="00446AA1" w:rsidRPr="000665B0">
        <w:t>Overrides bidirectional character types when required for special cases. Forces characters to be treated as strong left-to-right characters.</w:t>
      </w:r>
    </w:p>
    <w:p w14:paraId="277CEFA4" w14:textId="07107C4F" w:rsidR="0058039C" w:rsidRPr="000665B0" w:rsidRDefault="0058039C" w:rsidP="006D5A65">
      <w:pPr>
        <w:pStyle w:val="Heading2"/>
      </w:pPr>
      <w:r w:rsidRPr="000665B0">
        <w:t>RLO Start of right-to-left o</w:t>
      </w:r>
      <w:r w:rsidRPr="000665B0">
        <w:rPr>
          <w:u w:val="single"/>
        </w:rPr>
        <w:t>v</w:t>
      </w:r>
      <w:r w:rsidRPr="000665B0">
        <w:t xml:space="preserve">erride – </w:t>
      </w:r>
      <w:r w:rsidR="00446AA1" w:rsidRPr="000665B0">
        <w:t xml:space="preserve">Overrides bidirectional character types when required for special cases. Forces characters to be treated as strong right-to-left </w:t>
      </w:r>
      <w:r w:rsidR="00AB3FB1" w:rsidRPr="000665B0">
        <w:t>characters.</w:t>
      </w:r>
    </w:p>
    <w:p w14:paraId="7F022690" w14:textId="77777777" w:rsidR="00986193" w:rsidRPr="000665B0" w:rsidRDefault="0058039C" w:rsidP="006D5A65">
      <w:pPr>
        <w:pStyle w:val="Heading2"/>
      </w:pPr>
      <w:r w:rsidRPr="000665B0">
        <w:t>PDF</w:t>
      </w:r>
      <w:r w:rsidR="00986193" w:rsidRPr="000665B0">
        <w:t xml:space="preserve"> </w:t>
      </w:r>
      <w:r w:rsidRPr="000665B0">
        <w:rPr>
          <w:u w:val="single"/>
        </w:rPr>
        <w:t>P</w:t>
      </w:r>
      <w:r w:rsidRPr="000665B0">
        <w:t>op directional formatting</w:t>
      </w:r>
      <w:r w:rsidR="00986193" w:rsidRPr="000665B0">
        <w:t xml:space="preserve"> – </w:t>
      </w:r>
      <w:r w:rsidR="00446AA1" w:rsidRPr="000665B0">
        <w:t>Terminates the effects of the last explicit code (either embedding or override) and restores the bidirectional state to what it was before the last LRE, RLE, RLO, or LRO control characters.</w:t>
      </w:r>
    </w:p>
    <w:p w14:paraId="108E672A" w14:textId="77777777" w:rsidR="00986193" w:rsidRPr="000665B0" w:rsidRDefault="0058039C" w:rsidP="006D5A65">
      <w:pPr>
        <w:pStyle w:val="Heading2"/>
      </w:pPr>
      <w:r w:rsidRPr="000665B0">
        <w:t>NADS</w:t>
      </w:r>
      <w:r w:rsidR="00986193" w:rsidRPr="000665B0">
        <w:t xml:space="preserve"> </w:t>
      </w:r>
      <w:r w:rsidRPr="000665B0">
        <w:t>N</w:t>
      </w:r>
      <w:r w:rsidRPr="000665B0">
        <w:rPr>
          <w:u w:val="single"/>
        </w:rPr>
        <w:t>a</w:t>
      </w:r>
      <w:r w:rsidRPr="000665B0">
        <w:t>tional digit shapes substitution</w:t>
      </w:r>
      <w:r w:rsidR="00986193" w:rsidRPr="000665B0">
        <w:t xml:space="preserve"> – </w:t>
      </w:r>
      <w:r w:rsidR="00446AA1" w:rsidRPr="000665B0">
        <w:t>Uses national digit shapes to display the U+0030-U+0039 (ASCII numerals). The national digit shapes are determined by the current user locale.</w:t>
      </w:r>
    </w:p>
    <w:p w14:paraId="42186BAF" w14:textId="77777777" w:rsidR="00986193" w:rsidRPr="000665B0" w:rsidRDefault="0058039C" w:rsidP="006D5A65">
      <w:pPr>
        <w:pStyle w:val="Heading2"/>
      </w:pPr>
      <w:r w:rsidRPr="000665B0">
        <w:t>NODS</w:t>
      </w:r>
      <w:r w:rsidR="00986193" w:rsidRPr="000665B0">
        <w:t xml:space="preserve"> </w:t>
      </w:r>
      <w:r w:rsidRPr="000665B0">
        <w:t xml:space="preserve">Nominal (European) </w:t>
      </w:r>
      <w:r w:rsidRPr="000665B0">
        <w:rPr>
          <w:u w:val="single"/>
        </w:rPr>
        <w:t>d</w:t>
      </w:r>
      <w:r w:rsidRPr="000665B0">
        <w:t>igit shapes</w:t>
      </w:r>
      <w:r w:rsidR="00986193" w:rsidRPr="000665B0">
        <w:t xml:space="preserve"> – </w:t>
      </w:r>
      <w:r w:rsidR="00446AA1" w:rsidRPr="000665B0">
        <w:t>Uses the nominal digit shapes for the digits U+0030-U+0039 (ASCII digits). Nominal digit shapes are Western digits.</w:t>
      </w:r>
    </w:p>
    <w:p w14:paraId="3DE7DF9B" w14:textId="77777777" w:rsidR="00986193" w:rsidRPr="000665B0" w:rsidRDefault="0058039C" w:rsidP="006D5A65">
      <w:pPr>
        <w:pStyle w:val="Heading2"/>
      </w:pPr>
      <w:r w:rsidRPr="000665B0">
        <w:t>ASS</w:t>
      </w:r>
      <w:r w:rsidR="00986193" w:rsidRPr="000665B0">
        <w:t xml:space="preserve"> </w:t>
      </w:r>
      <w:r w:rsidRPr="000665B0">
        <w:t xml:space="preserve">Activate </w:t>
      </w:r>
      <w:r w:rsidRPr="000665B0">
        <w:rPr>
          <w:u w:val="single"/>
        </w:rPr>
        <w:t>s</w:t>
      </w:r>
      <w:r w:rsidRPr="000665B0">
        <w:t>ymmetric swapping</w:t>
      </w:r>
      <w:r w:rsidR="00986193" w:rsidRPr="000665B0">
        <w:t xml:space="preserve"> – </w:t>
      </w:r>
      <w:r w:rsidR="00446AA1" w:rsidRPr="000665B0">
        <w:t>Indicates whether the term LEFT or RIGHT in pairs of character names, such as parentheses, should be interpreted as meaning opening or closing, respectively. Default state is Activated.</w:t>
      </w:r>
    </w:p>
    <w:p w14:paraId="037A1EA5" w14:textId="77777777" w:rsidR="00986193" w:rsidRPr="000665B0" w:rsidRDefault="0058039C" w:rsidP="006D5A65">
      <w:pPr>
        <w:pStyle w:val="Heading2"/>
      </w:pPr>
      <w:r w:rsidRPr="000665B0">
        <w:t>ISS</w:t>
      </w:r>
      <w:r w:rsidR="00986193" w:rsidRPr="000665B0">
        <w:t xml:space="preserve"> </w:t>
      </w:r>
      <w:r w:rsidRPr="000665B0">
        <w:t>Inhibit s</w:t>
      </w:r>
      <w:r w:rsidRPr="000665B0">
        <w:rPr>
          <w:u w:val="single"/>
        </w:rPr>
        <w:t>y</w:t>
      </w:r>
      <w:r w:rsidRPr="000665B0">
        <w:t>mmetric swapping</w:t>
      </w:r>
      <w:r w:rsidR="00986193" w:rsidRPr="000665B0">
        <w:t xml:space="preserve"> – </w:t>
      </w:r>
      <w:r w:rsidR="00446AA1" w:rsidRPr="000665B0">
        <w:t>Turns off the symmetric swapping of characters such as parenthesis, so that left and right continue to mean left and right facing, as opposed to opening and closing, when symmetric swapping is on.</w:t>
      </w:r>
    </w:p>
    <w:p w14:paraId="7EF6518A" w14:textId="77777777" w:rsidR="00986193" w:rsidRPr="000665B0" w:rsidRDefault="0058039C" w:rsidP="006D5A65">
      <w:pPr>
        <w:pStyle w:val="Heading2"/>
      </w:pPr>
      <w:r w:rsidRPr="000665B0">
        <w:t>AAFS</w:t>
      </w:r>
      <w:r w:rsidR="00986193" w:rsidRPr="000665B0">
        <w:t xml:space="preserve"> </w:t>
      </w:r>
      <w:r w:rsidRPr="000665B0">
        <w:t xml:space="preserve">Activate Arabic </w:t>
      </w:r>
      <w:r w:rsidRPr="000665B0">
        <w:rPr>
          <w:u w:val="single"/>
        </w:rPr>
        <w:t>f</w:t>
      </w:r>
      <w:r w:rsidRPr="000665B0">
        <w:t>orm shaping</w:t>
      </w:r>
      <w:r w:rsidR="00986193" w:rsidRPr="000665B0">
        <w:t xml:space="preserve"> – </w:t>
      </w:r>
      <w:r w:rsidR="00446AA1" w:rsidRPr="000665B0">
        <w:t>Controls the shaping behavior of the Arabic compatibility characters. During the presentation process, certain letterforms may be joined together in cursive connection or ligatures. The shaping selector codes indicate that the character shape determination (glyph selection) process used to achieve this presentation effect is to be either activated or inhibited. Default state is Inhibited.</w:t>
      </w:r>
    </w:p>
    <w:p w14:paraId="4AA324C7" w14:textId="77777777" w:rsidR="00986193" w:rsidRPr="000665B0" w:rsidRDefault="0058039C" w:rsidP="006D5A65">
      <w:pPr>
        <w:pStyle w:val="Heading2"/>
      </w:pPr>
      <w:r w:rsidRPr="000665B0">
        <w:lastRenderedPageBreak/>
        <w:t>IAFS Inhibit Arabic form s</w:t>
      </w:r>
      <w:r w:rsidRPr="000665B0">
        <w:rPr>
          <w:u w:val="single"/>
        </w:rPr>
        <w:t>h</w:t>
      </w:r>
      <w:r w:rsidRPr="000665B0">
        <w:t xml:space="preserve">aping – </w:t>
      </w:r>
      <w:r w:rsidR="00446AA1" w:rsidRPr="000665B0">
        <w:t>Inhibits the character shaping determination process, so that characters are not shaped based on position.</w:t>
      </w:r>
    </w:p>
    <w:p w14:paraId="6FC6B3B1" w14:textId="77777777" w:rsidR="0058039C" w:rsidRPr="000665B0" w:rsidRDefault="0058039C" w:rsidP="006D5A65">
      <w:pPr>
        <w:pStyle w:val="Heading2"/>
      </w:pPr>
      <w:r w:rsidRPr="000665B0">
        <w:t>RS Record Separator (</w:t>
      </w:r>
      <w:r w:rsidRPr="000665B0">
        <w:rPr>
          <w:u w:val="single"/>
        </w:rPr>
        <w:t>B</w:t>
      </w:r>
      <w:r w:rsidRPr="000665B0">
        <w:t xml:space="preserve">lock separator) – </w:t>
      </w:r>
      <w:r w:rsidR="00446AA1" w:rsidRPr="000665B0">
        <w:t>Begins a new line after each line separator.</w:t>
      </w:r>
    </w:p>
    <w:p w14:paraId="34E87F7E" w14:textId="77777777" w:rsidR="0058039C" w:rsidRPr="000665B0" w:rsidRDefault="0058039C" w:rsidP="006D5A65">
      <w:pPr>
        <w:pStyle w:val="Heading2"/>
      </w:pPr>
      <w:r w:rsidRPr="000665B0">
        <w:t>US Unit Separator (</w:t>
      </w:r>
      <w:r w:rsidRPr="000665B0">
        <w:rPr>
          <w:u w:val="single"/>
        </w:rPr>
        <w:t>S</w:t>
      </w:r>
      <w:r w:rsidRPr="000665B0">
        <w:t xml:space="preserve">egment separator) – </w:t>
      </w:r>
      <w:r w:rsidR="00446AA1" w:rsidRPr="000665B0">
        <w:t>Begins a new paragraph after each paragraph separator.</w:t>
      </w:r>
    </w:p>
    <w:p w14:paraId="566FD7B8" w14:textId="77777777" w:rsidR="00D46918" w:rsidRPr="000665B0" w:rsidRDefault="00D46918" w:rsidP="006D5A65">
      <w:pPr>
        <w:pStyle w:val="Heading1"/>
      </w:pPr>
      <w:r w:rsidRPr="000665B0">
        <w:t>Open</w:t>
      </w:r>
      <w:r w:rsidR="00E66A59" w:rsidRPr="000665B0">
        <w:t>/Close</w:t>
      </w:r>
      <w:r w:rsidRPr="000665B0">
        <w:t xml:space="preserve"> IME</w:t>
      </w:r>
      <w:r w:rsidR="00667C0A" w:rsidRPr="000665B0">
        <w:t xml:space="preserve"> – </w:t>
      </w:r>
      <w:r w:rsidR="00AE4605" w:rsidRPr="000665B0">
        <w:t>Opens or closes the Input Method Editor (IME). The IME makes it easier to type in languages that are made up of thousands of characters that are not found on a standard keyboard.</w:t>
      </w:r>
    </w:p>
    <w:p w14:paraId="1BB38A9C" w14:textId="77777777" w:rsidR="00D46918" w:rsidRPr="000665B0" w:rsidRDefault="00D46918" w:rsidP="006D5A65">
      <w:pPr>
        <w:pStyle w:val="Heading1"/>
      </w:pPr>
      <w:r w:rsidRPr="000665B0">
        <w:t>Reconversion</w:t>
      </w:r>
      <w:r w:rsidR="00667C0A" w:rsidRPr="000665B0">
        <w:t xml:space="preserve"> – </w:t>
      </w:r>
      <w:r w:rsidR="00AE4605" w:rsidRPr="000665B0">
        <w:t>This feature is currently not functional.</w:t>
      </w:r>
    </w:p>
    <w:p w14:paraId="51D93134" w14:textId="71D053D9" w:rsidR="00AC10FF" w:rsidRPr="000665B0" w:rsidRDefault="002F1603" w:rsidP="006D5A65">
      <w:pPr>
        <w:pStyle w:val="Heading1"/>
      </w:pPr>
      <w:bookmarkStart w:id="6226" w:name="_5.38.2.1__Targets"/>
      <w:bookmarkStart w:id="6227" w:name="_Toc71955738"/>
      <w:bookmarkStart w:id="6228" w:name="_Toc96170269"/>
      <w:bookmarkStart w:id="6229" w:name="_Toc96234314"/>
      <w:bookmarkStart w:id="6230" w:name="_Toc112733734"/>
      <w:bookmarkEnd w:id="6226"/>
      <w:r w:rsidRPr="000665B0">
        <w:t xml:space="preserve">Add </w:t>
      </w:r>
      <w:r w:rsidR="00AC10FF" w:rsidRPr="000665B0">
        <w:t>Objective</w:t>
      </w:r>
      <w:r w:rsidRPr="000665B0">
        <w:t>(</w:t>
      </w:r>
      <w:r w:rsidR="00AC10FF" w:rsidRPr="000665B0">
        <w:t>s</w:t>
      </w:r>
      <w:r w:rsidRPr="000665B0">
        <w:t xml:space="preserve">). </w:t>
      </w:r>
      <w:r w:rsidR="00AC10FF" w:rsidRPr="000665B0">
        <w:t xml:space="preserve">This is a MANDATORY FIELD. </w:t>
      </w:r>
      <w:r w:rsidR="00D71804" w:rsidRPr="000665B0">
        <w:t>Right-click</w:t>
      </w:r>
      <w:r w:rsidR="00AC10FF" w:rsidRPr="000665B0">
        <w:t xml:space="preserve"> in the field and select Add</w:t>
      </w:r>
      <w:r w:rsidRPr="000665B0">
        <w:t>…</w:t>
      </w:r>
      <w:r w:rsidR="00AC10FF" w:rsidRPr="000665B0">
        <w:t xml:space="preserve">. </w:t>
      </w:r>
      <w:r w:rsidRPr="000665B0">
        <w:t>The</w:t>
      </w:r>
      <w:r w:rsidRPr="000665B0">
        <w:rPr>
          <w:i/>
        </w:rPr>
        <w:t xml:space="preserve"> New </w:t>
      </w:r>
      <w:r w:rsidR="00AC10FF" w:rsidRPr="000665B0">
        <w:rPr>
          <w:i/>
        </w:rPr>
        <w:t>Objective</w:t>
      </w:r>
      <w:r w:rsidR="00AC10FF" w:rsidRPr="000665B0">
        <w:t xml:space="preserve"> window </w:t>
      </w:r>
      <w:r w:rsidR="00DB5AEE" w:rsidRPr="000665B0">
        <w:t>is</w:t>
      </w:r>
      <w:r w:rsidR="00AC10FF" w:rsidRPr="000665B0">
        <w:t xml:space="preserve"> displayed. </w:t>
      </w:r>
    </w:p>
    <w:p w14:paraId="14416A04" w14:textId="2317B64A" w:rsidR="00AC10FF" w:rsidRPr="000665B0" w:rsidRDefault="00B76FAE" w:rsidP="009570CA">
      <w:pPr>
        <w:tabs>
          <w:tab w:val="left" w:pos="720"/>
        </w:tabs>
        <w:jc w:val="center"/>
      </w:pPr>
      <w:r w:rsidRPr="000665B0">
        <w:rPr>
          <w:noProof/>
        </w:rPr>
        <w:drawing>
          <wp:inline distT="0" distB="0" distL="0" distR="0" wp14:anchorId="7E079B3E" wp14:editId="570C4503">
            <wp:extent cx="2229343" cy="1724025"/>
            <wp:effectExtent l="0" t="0" r="0" b="0"/>
            <wp:docPr id="1994" name="Picture 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46717" cy="1737461"/>
                    </a:xfrm>
                    <a:prstGeom prst="rect">
                      <a:avLst/>
                    </a:prstGeom>
                  </pic:spPr>
                </pic:pic>
              </a:graphicData>
            </a:graphic>
          </wp:inline>
        </w:drawing>
      </w:r>
    </w:p>
    <w:p w14:paraId="2C8CD1ED" w14:textId="35228118" w:rsidR="00AC10FF" w:rsidRPr="000665B0" w:rsidRDefault="00AC10FF" w:rsidP="009570CA">
      <w:pPr>
        <w:tabs>
          <w:tab w:val="left" w:pos="720"/>
        </w:tabs>
        <w:ind w:left="720"/>
      </w:pPr>
      <w:r w:rsidRPr="000665B0">
        <w:t xml:space="preserve">Enter the Objective </w:t>
      </w:r>
      <w:r w:rsidR="002F1603" w:rsidRPr="000665B0">
        <w:t>(up to 100 alphanumeric characters).</w:t>
      </w:r>
      <w:r w:rsidR="002F1603" w:rsidRPr="000665B0">
        <w:rPr>
          <w:szCs w:val="24"/>
        </w:rPr>
        <w:t xml:space="preserve"> This is a required field (as denoted by the * and/or yellow background) and the user is unable to proceed without updating this field. For further information on mandatory fields see </w:t>
      </w:r>
      <w:hyperlink w:anchor="_5.2.7__Editing" w:history="1">
        <w:r w:rsidR="002F1603" w:rsidRPr="000665B0">
          <w:rPr>
            <w:color w:val="0000FF"/>
            <w:szCs w:val="24"/>
            <w:u w:val="single"/>
          </w:rPr>
          <w:t>Section 5.2.8</w:t>
        </w:r>
      </w:hyperlink>
      <w:r w:rsidR="002F1603" w:rsidRPr="000665B0">
        <w:rPr>
          <w:szCs w:val="24"/>
        </w:rPr>
        <w:t xml:space="preserve">. Enter the </w:t>
      </w:r>
      <w:r w:rsidRPr="000665B0">
        <w:t>maximum number of missiles</w:t>
      </w:r>
      <w:r w:rsidRPr="000665B0">
        <w:rPr>
          <w:i/>
        </w:rPr>
        <w:t xml:space="preserve"> </w:t>
      </w:r>
      <w:r w:rsidRPr="000665B0">
        <w:rPr>
          <w:iCs/>
        </w:rPr>
        <w:t>(</w:t>
      </w:r>
      <w:r w:rsidR="002F1603" w:rsidRPr="000665B0">
        <w:rPr>
          <w:iCs/>
        </w:rPr>
        <w:t>optional</w:t>
      </w:r>
      <w:r w:rsidRPr="000665B0">
        <w:rPr>
          <w:iCs/>
        </w:rPr>
        <w:t>)</w:t>
      </w:r>
      <w:r w:rsidRPr="000665B0">
        <w:t>, and Tasking Source Owner and Radio Frequency for the strike</w:t>
      </w:r>
      <w:r w:rsidRPr="000665B0">
        <w:rPr>
          <w:i/>
        </w:rPr>
        <w:t xml:space="preserve"> (</w:t>
      </w:r>
      <w:r w:rsidRPr="000665B0">
        <w:rPr>
          <w:b/>
          <w:i/>
        </w:rPr>
        <w:t>required for TTWCS only</w:t>
      </w:r>
      <w:r w:rsidRPr="000665B0">
        <w:rPr>
          <w:i/>
        </w:rPr>
        <w:t>)</w:t>
      </w:r>
      <w:r w:rsidRPr="000665B0">
        <w:t>.</w:t>
      </w:r>
      <w:r w:rsidR="002F1603" w:rsidRPr="000665B0">
        <w:t xml:space="preserve"> Click </w:t>
      </w:r>
      <w:r w:rsidR="002F1603" w:rsidRPr="000665B0">
        <w:rPr>
          <w:b/>
        </w:rPr>
        <w:t>OK</w:t>
      </w:r>
      <w:r w:rsidR="002F1603" w:rsidRPr="000665B0">
        <w:t>.</w:t>
      </w:r>
    </w:p>
    <w:p w14:paraId="315E4CF6" w14:textId="77777777" w:rsidR="00AC10FF" w:rsidRPr="000665B0" w:rsidRDefault="002F1603" w:rsidP="006D5A65">
      <w:pPr>
        <w:pStyle w:val="Heading1"/>
      </w:pPr>
      <w:r w:rsidRPr="000665B0">
        <w:t xml:space="preserve">Add </w:t>
      </w:r>
      <w:r w:rsidR="00AC10FF" w:rsidRPr="000665B0">
        <w:t>Targets</w:t>
      </w:r>
      <w:r w:rsidRPr="000665B0">
        <w:t xml:space="preserve">. </w:t>
      </w:r>
      <w:r w:rsidR="00AC10FF" w:rsidRPr="000665B0">
        <w:t xml:space="preserve">In order to initialize a Strike Plan it is mandatory that the user select targets for the strike. Targets can be selected from existing Targets, Target Libraries, Missions, Mission Libraries, </w:t>
      </w:r>
      <w:r w:rsidR="00397D48" w:rsidRPr="000665B0">
        <w:t xml:space="preserve">or </w:t>
      </w:r>
      <w:r w:rsidR="00AC10FF" w:rsidRPr="000665B0">
        <w:t xml:space="preserve">Call For Fire. If </w:t>
      </w:r>
      <w:r w:rsidR="00397D48" w:rsidRPr="000665B0">
        <w:t>a suitable</w:t>
      </w:r>
      <w:r w:rsidR="00AC10FF" w:rsidRPr="000665B0">
        <w:t xml:space="preserve"> Target does not exist, a new Target can be generated.</w:t>
      </w:r>
      <w:bookmarkEnd w:id="6227"/>
      <w:bookmarkEnd w:id="6228"/>
      <w:bookmarkEnd w:id="6229"/>
      <w:bookmarkEnd w:id="6230"/>
      <w:r w:rsidR="00435772" w:rsidRPr="000665B0">
        <w:t xml:space="preserve"> When Missions are added, the Missions’ Targets are extracted and added to the Targets list. When Mission </w:t>
      </w:r>
      <w:r w:rsidR="00435772" w:rsidRPr="000665B0">
        <w:lastRenderedPageBreak/>
        <w:t>Libraries are added, they are also added to the Mission Candidates Matrix’s Mission Libraries.</w:t>
      </w:r>
    </w:p>
    <w:p w14:paraId="09BB475F" w14:textId="4FB28F1B" w:rsidR="0034668E" w:rsidRPr="000665B0" w:rsidRDefault="00D71804" w:rsidP="006D5A65">
      <w:pPr>
        <w:pStyle w:val="Heading1"/>
      </w:pPr>
      <w:r w:rsidRPr="000665B0">
        <w:t>Right-click</w:t>
      </w:r>
      <w:r w:rsidR="00714BD0" w:rsidRPr="000665B0">
        <w:t xml:space="preserve"> in the Targets pane and select Add</w:t>
      </w:r>
      <w:r w:rsidR="00397D48" w:rsidRPr="000665B0">
        <w:t>.</w:t>
      </w:r>
      <w:r w:rsidR="00714BD0" w:rsidRPr="000665B0">
        <w:t xml:space="preserve"> Select Targets…, Target Libraries…, Missions…, Mission Libraries…, or Call For Fire. </w:t>
      </w:r>
    </w:p>
    <w:p w14:paraId="70ADBE5B" w14:textId="61728A61" w:rsidR="0034668E" w:rsidRPr="000665B0" w:rsidRDefault="00A31D2A" w:rsidP="009570CA">
      <w:pPr>
        <w:pStyle w:val="Number0205"/>
        <w:tabs>
          <w:tab w:val="left" w:pos="720"/>
        </w:tabs>
        <w:ind w:left="0" w:firstLine="0"/>
        <w:jc w:val="center"/>
      </w:pPr>
      <w:r w:rsidRPr="000665B0">
        <w:rPr>
          <w:noProof/>
        </w:rPr>
        <w:drawing>
          <wp:inline distT="0" distB="0" distL="0" distR="0" wp14:anchorId="7A9AE122" wp14:editId="034604E4">
            <wp:extent cx="3448050" cy="1982629"/>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452019" cy="1984911"/>
                    </a:xfrm>
                    <a:prstGeom prst="rect">
                      <a:avLst/>
                    </a:prstGeom>
                  </pic:spPr>
                </pic:pic>
              </a:graphicData>
            </a:graphic>
          </wp:inline>
        </w:drawing>
      </w:r>
    </w:p>
    <w:p w14:paraId="546CA7C3" w14:textId="77777777" w:rsidR="00714BD0" w:rsidRPr="000665B0" w:rsidRDefault="00714BD0" w:rsidP="006D5A65">
      <w:pPr>
        <w:pStyle w:val="Heading1"/>
      </w:pPr>
      <w:r w:rsidRPr="000665B0">
        <w:t>In the ensuing window, select the desired Target(s)</w:t>
      </w:r>
      <w:r w:rsidR="00397D48" w:rsidRPr="000665B0">
        <w:t xml:space="preserve"> or Library(s)</w:t>
      </w:r>
      <w:r w:rsidRPr="000665B0">
        <w:t xml:space="preserve"> and click OK. </w:t>
      </w:r>
      <w:r w:rsidR="00435772" w:rsidRPr="000665B0">
        <w:t>(</w:t>
      </w:r>
      <w:r w:rsidRPr="000665B0">
        <w:t xml:space="preserve">When Call For Fire is selected, it is </w:t>
      </w:r>
      <w:r w:rsidR="00435772" w:rsidRPr="000665B0">
        <w:t xml:space="preserve">simply </w:t>
      </w:r>
      <w:r w:rsidRPr="000665B0">
        <w:t>added to the Targets pane.</w:t>
      </w:r>
      <w:r w:rsidR="00435772" w:rsidRPr="000665B0">
        <w:t>)</w:t>
      </w:r>
      <w:r w:rsidRPr="000665B0">
        <w:t xml:space="preserve"> </w:t>
      </w:r>
    </w:p>
    <w:p w14:paraId="676CC3AC" w14:textId="77777777" w:rsidR="00714BD0" w:rsidRPr="000665B0" w:rsidRDefault="00714BD0" w:rsidP="009570CA">
      <w:pPr>
        <w:pStyle w:val="Number0205"/>
        <w:tabs>
          <w:tab w:val="left" w:pos="720"/>
        </w:tabs>
        <w:ind w:left="720" w:firstLine="0"/>
      </w:pPr>
      <w:r w:rsidRPr="000665B0">
        <w:t>or</w:t>
      </w:r>
    </w:p>
    <w:p w14:paraId="529B8389" w14:textId="77777777" w:rsidR="00714BD0" w:rsidRPr="000665B0" w:rsidRDefault="00435772" w:rsidP="006D5A65">
      <w:pPr>
        <w:pStyle w:val="Heading1"/>
      </w:pPr>
      <w:r w:rsidRPr="000665B0">
        <w:t>In the ensuing window, select the desired Target(s) or Library(s), invoke the context menu, and select Add.</w:t>
      </w:r>
    </w:p>
    <w:p w14:paraId="331207BF" w14:textId="77777777" w:rsidR="00435772" w:rsidRPr="000665B0" w:rsidRDefault="00435772" w:rsidP="009570CA">
      <w:pPr>
        <w:pStyle w:val="Number0205"/>
        <w:tabs>
          <w:tab w:val="left" w:pos="720"/>
        </w:tabs>
        <w:ind w:left="720" w:firstLine="0"/>
      </w:pPr>
      <w:r w:rsidRPr="000665B0">
        <w:t>or</w:t>
      </w:r>
    </w:p>
    <w:p w14:paraId="55BFF038" w14:textId="77777777" w:rsidR="00435772" w:rsidRPr="000665B0" w:rsidRDefault="00435772" w:rsidP="006D5A65">
      <w:pPr>
        <w:pStyle w:val="Heading1"/>
      </w:pPr>
      <w:r w:rsidRPr="000665B0">
        <w:t>In the ensuing window, select the desired Target(s) or Library(s) and drag and drop them into the Targets pane.</w:t>
      </w:r>
    </w:p>
    <w:p w14:paraId="3F6F7946" w14:textId="77777777" w:rsidR="00397D48" w:rsidRPr="000665B0" w:rsidRDefault="00397D48" w:rsidP="009570CA">
      <w:pPr>
        <w:pStyle w:val="Number0205"/>
        <w:tabs>
          <w:tab w:val="left" w:pos="720"/>
        </w:tabs>
        <w:ind w:left="720" w:firstLine="0"/>
      </w:pPr>
      <w:r w:rsidRPr="000665B0">
        <w:t>or</w:t>
      </w:r>
    </w:p>
    <w:p w14:paraId="328C3F9B" w14:textId="4EB2B145" w:rsidR="00397D48" w:rsidRPr="000665B0" w:rsidRDefault="003062DE" w:rsidP="006D5A65">
      <w:pPr>
        <w:pStyle w:val="Heading1"/>
      </w:pPr>
      <w:r w:rsidRPr="000665B0">
        <w:t xml:space="preserve">If a new Target is needed: </w:t>
      </w:r>
      <w:r w:rsidR="00D71804" w:rsidRPr="000665B0">
        <w:t>right-click</w:t>
      </w:r>
      <w:r w:rsidR="00397D48" w:rsidRPr="000665B0">
        <w:t xml:space="preserve"> in the Targets pane and select New</w:t>
      </w:r>
      <w:r w:rsidR="000F3D74" w:rsidRPr="000665B0">
        <w:t xml:space="preserve"> </w:t>
      </w:r>
      <w:r w:rsidR="000F3D74" w:rsidRPr="000665B0">
        <w:sym w:font="Wingdings 3" w:char="F07D"/>
      </w:r>
      <w:r w:rsidR="000F3D74" w:rsidRPr="000665B0">
        <w:t xml:space="preserve"> Target…</w:t>
      </w:r>
      <w:r w:rsidR="00397D48" w:rsidRPr="000665B0">
        <w:t>.</w:t>
      </w:r>
      <w:r w:rsidR="000F3D74" w:rsidRPr="000665B0">
        <w:t xml:space="preserve"> The </w:t>
      </w:r>
      <w:r w:rsidR="000F3D74" w:rsidRPr="000665B0">
        <w:rPr>
          <w:i/>
        </w:rPr>
        <w:t>Target ID</w:t>
      </w:r>
      <w:r w:rsidR="000F3D74" w:rsidRPr="000665B0">
        <w:t xml:space="preserve"> window is displayed. For more information on creating a new </w:t>
      </w:r>
      <w:r w:rsidR="00EA098C" w:rsidRPr="000665B0">
        <w:t>T</w:t>
      </w:r>
      <w:r w:rsidR="000F3D74" w:rsidRPr="000665B0">
        <w:t xml:space="preserve">arget, see </w:t>
      </w:r>
      <w:hyperlink w:anchor="_5.32.1__Add" w:history="1">
        <w:r w:rsidR="000F3D74" w:rsidRPr="000665B0">
          <w:rPr>
            <w:rStyle w:val="Hyperlink"/>
          </w:rPr>
          <w:t xml:space="preserve">Section </w:t>
        </w:r>
        <w:r w:rsidR="004231CC">
          <w:rPr>
            <w:rStyle w:val="Hyperlink"/>
          </w:rPr>
          <w:t>5.28</w:t>
        </w:r>
        <w:r w:rsidR="000F3D74" w:rsidRPr="000665B0">
          <w:rPr>
            <w:rStyle w:val="Hyperlink"/>
          </w:rPr>
          <w:t>.1</w:t>
        </w:r>
      </w:hyperlink>
      <w:r w:rsidR="000F3D74" w:rsidRPr="000665B0">
        <w:t>.</w:t>
      </w:r>
    </w:p>
    <w:p w14:paraId="4970FA98" w14:textId="77777777" w:rsidR="007F1284" w:rsidRPr="000665B0" w:rsidRDefault="007F1284" w:rsidP="006D5A65">
      <w:pPr>
        <w:pStyle w:val="Heading1"/>
      </w:pPr>
      <w:r w:rsidRPr="000665B0">
        <w:t xml:space="preserve">Ensure all targets are assigned an objective ID. Any targets that do not have an objective ID assigned must be assigned one; otherwise, missions or TMPRs or LMOs associated </w:t>
      </w:r>
      <w:r w:rsidRPr="000665B0">
        <w:lastRenderedPageBreak/>
        <w:t xml:space="preserve">with the targets will not show up in the Mission Candidate Matrix. </w:t>
      </w:r>
    </w:p>
    <w:p w14:paraId="0E4A7888" w14:textId="77777777" w:rsidR="00C44DB3" w:rsidRPr="000665B0" w:rsidRDefault="00C44DB3"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59FEAEAE" w14:textId="77777777" w:rsidR="00891741" w:rsidRPr="000665B0" w:rsidRDefault="00891741" w:rsidP="009570CA">
      <w:pPr>
        <w:pStyle w:val="BodyText"/>
        <w:keepNext/>
        <w:tabs>
          <w:tab w:val="left" w:pos="720"/>
        </w:tabs>
        <w:spacing w:after="120"/>
      </w:pPr>
      <w:r w:rsidRPr="000665B0">
        <w:t>To remove a Target:</w:t>
      </w:r>
    </w:p>
    <w:p w14:paraId="1A8028AC" w14:textId="77777777" w:rsidR="00891741" w:rsidRPr="000665B0" w:rsidRDefault="00891741" w:rsidP="006D5A65">
      <w:pPr>
        <w:pStyle w:val="Heading1"/>
      </w:pPr>
      <w:r w:rsidRPr="000665B0">
        <w:t>Select the desired Target in the list view.</w:t>
      </w:r>
    </w:p>
    <w:p w14:paraId="41A511B2" w14:textId="03E4A7B7" w:rsidR="00891741" w:rsidRPr="000665B0" w:rsidRDefault="00891741" w:rsidP="006D5A65">
      <w:pPr>
        <w:pStyle w:val="Heading1"/>
        <w:rPr>
          <w:szCs w:val="24"/>
        </w:rPr>
      </w:pPr>
      <w:r w:rsidRPr="000665B0">
        <w:t>Invoke the context menu (</w:t>
      </w:r>
      <w:r w:rsidR="00D71804" w:rsidRPr="000665B0">
        <w:t>right-click</w:t>
      </w:r>
      <w:r w:rsidRPr="000665B0">
        <w:t xml:space="preserve"> the mouse) and select Remove.</w:t>
      </w:r>
    </w:p>
    <w:p w14:paraId="74A4B0E1" w14:textId="77777777" w:rsidR="00891741" w:rsidRPr="000665B0" w:rsidRDefault="00891741"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6D22920F" w14:textId="4BFA1908" w:rsidR="005D65C3" w:rsidRPr="000665B0" w:rsidRDefault="005D65C3" w:rsidP="009570CA">
      <w:pPr>
        <w:tabs>
          <w:tab w:val="left" w:pos="720"/>
        </w:tabs>
      </w:pPr>
      <w:bookmarkStart w:id="6231" w:name="_Hlk57194992"/>
      <w:r w:rsidRPr="000665B0">
        <w:t xml:space="preserve">As in other list views, </w:t>
      </w:r>
      <w:r w:rsidR="00AB79FF" w:rsidRPr="000665B0">
        <w:t xml:space="preserve">items can be selected to </w:t>
      </w:r>
      <w:r w:rsidR="00CF3A43" w:rsidRPr="000665B0">
        <w:t>D</w:t>
      </w:r>
      <w:r w:rsidR="00334BF0" w:rsidRPr="000665B0">
        <w:t xml:space="preserve">isplay </w:t>
      </w:r>
      <w:r w:rsidR="00CF3A43" w:rsidRPr="000665B0">
        <w:t>T</w:t>
      </w:r>
      <w:r w:rsidRPr="000665B0">
        <w:t>extually</w:t>
      </w:r>
      <w:r w:rsidR="00334BF0" w:rsidRPr="000665B0">
        <w:t xml:space="preserve"> (see </w:t>
      </w:r>
      <w:hyperlink w:anchor="_5.2.1.2.4__Display_1" w:history="1">
        <w:r w:rsidR="00334BF0" w:rsidRPr="000665B0">
          <w:rPr>
            <w:rStyle w:val="Hyperlink"/>
          </w:rPr>
          <w:t>Section 5.2.1.2.4</w:t>
        </w:r>
      </w:hyperlink>
      <w:r w:rsidR="00334BF0" w:rsidRPr="00B47890">
        <w:rPr>
          <w:rStyle w:val="Hyperlink"/>
          <w:color w:val="auto"/>
        </w:rPr>
        <w:t>)</w:t>
      </w:r>
      <w:r w:rsidRPr="000665B0">
        <w:t xml:space="preserve">, </w:t>
      </w:r>
      <w:r w:rsidR="00CF3A43" w:rsidRPr="000665B0">
        <w:t>D</w:t>
      </w:r>
      <w:r w:rsidR="00334BF0" w:rsidRPr="000665B0">
        <w:t xml:space="preserve">isplay </w:t>
      </w:r>
      <w:r w:rsidR="00CF3A43" w:rsidRPr="000665B0">
        <w:t>G</w:t>
      </w:r>
      <w:r w:rsidR="00334BF0" w:rsidRPr="000665B0">
        <w:t xml:space="preserve">eographically (see </w:t>
      </w:r>
      <w:hyperlink w:anchor="_5.2.1.2.2__Display_1" w:history="1">
        <w:r w:rsidR="00334BF0" w:rsidRPr="000665B0">
          <w:rPr>
            <w:rStyle w:val="Hyperlink"/>
          </w:rPr>
          <w:t>Section 5.2.1.2.2</w:t>
        </w:r>
      </w:hyperlink>
      <w:r w:rsidR="00334BF0" w:rsidRPr="00B47890">
        <w:rPr>
          <w:rStyle w:val="Hyperlink"/>
          <w:color w:val="auto"/>
        </w:rPr>
        <w:t>)</w:t>
      </w:r>
      <w:r w:rsidRPr="000665B0">
        <w:t xml:space="preserve">, </w:t>
      </w:r>
      <w:r w:rsidR="00CF3A43" w:rsidRPr="000665B0">
        <w:t>D</w:t>
      </w:r>
      <w:r w:rsidR="00334BF0" w:rsidRPr="000665B0">
        <w:t xml:space="preserve">isplay </w:t>
      </w:r>
      <w:r w:rsidRPr="000665B0">
        <w:t>in Excel</w:t>
      </w:r>
      <w:r w:rsidR="00334BF0" w:rsidRPr="000665B0">
        <w:t xml:space="preserve"> (see </w:t>
      </w:r>
      <w:hyperlink w:anchor="_5.2.1.2.1__Display_1" w:history="1">
        <w:r w:rsidR="00334BF0" w:rsidRPr="000665B0">
          <w:rPr>
            <w:rStyle w:val="Hyperlink"/>
          </w:rPr>
          <w:t>Section 5.2.1.2.1</w:t>
        </w:r>
      </w:hyperlink>
      <w:r w:rsidRPr="000665B0">
        <w:t>), and Print</w:t>
      </w:r>
      <w:r w:rsidR="00334BF0" w:rsidRPr="000665B0">
        <w:t xml:space="preserve"> (see </w:t>
      </w:r>
      <w:hyperlink w:anchor="_5.2.1.5.1__Print" w:history="1">
        <w:r w:rsidR="00334BF0" w:rsidRPr="000665B0">
          <w:rPr>
            <w:rStyle w:val="Hyperlink"/>
          </w:rPr>
          <w:t>Section 5.2.1.5.1</w:t>
        </w:r>
      </w:hyperlink>
      <w:r w:rsidR="00334BF0" w:rsidRPr="00B47890">
        <w:rPr>
          <w:rStyle w:val="Hyperlink"/>
          <w:color w:val="auto"/>
        </w:rPr>
        <w:t>)</w:t>
      </w:r>
      <w:r w:rsidRPr="000665B0">
        <w:t>.</w:t>
      </w:r>
      <w:bookmarkEnd w:id="6231"/>
      <w:r w:rsidRPr="000665B0">
        <w:t xml:space="preserve"> </w:t>
      </w:r>
    </w:p>
    <w:p w14:paraId="624A400F" w14:textId="48654C76" w:rsidR="00D12A19" w:rsidRPr="000665B0" w:rsidRDefault="00D12A19" w:rsidP="00B47890">
      <w:pPr>
        <w:pStyle w:val="Heading3"/>
      </w:pPr>
      <w:bookmarkStart w:id="6232" w:name="_Toc289328852"/>
      <w:bookmarkStart w:id="6233" w:name="_Toc312332065"/>
      <w:bookmarkStart w:id="6234" w:name="_Toc214283557"/>
      <w:bookmarkStart w:id="6235" w:name="_Toc164499429"/>
      <w:bookmarkEnd w:id="6210"/>
      <w:r w:rsidRPr="000665B0">
        <w:t>Geographic Resources</w:t>
      </w:r>
      <w:bookmarkEnd w:id="6232"/>
      <w:bookmarkEnd w:id="6233"/>
      <w:bookmarkEnd w:id="6234"/>
    </w:p>
    <w:p w14:paraId="55886DF8" w14:textId="77777777" w:rsidR="00D12A19" w:rsidRPr="000665B0" w:rsidRDefault="00D12A19" w:rsidP="009570CA">
      <w:pPr>
        <w:tabs>
          <w:tab w:val="left" w:pos="720"/>
        </w:tabs>
      </w:pPr>
      <w:r w:rsidRPr="000665B0">
        <w:t xml:space="preserve">The </w:t>
      </w:r>
      <w:r w:rsidRPr="000665B0">
        <w:rPr>
          <w:b/>
        </w:rPr>
        <w:t>Geographic Resources</w:t>
      </w:r>
      <w:r w:rsidRPr="000665B0">
        <w:t xml:space="preserve"> is a Strike Folder </w:t>
      </w:r>
      <w:r w:rsidR="00044736" w:rsidRPr="000665B0">
        <w:t xml:space="preserve">tool </w:t>
      </w:r>
      <w:r w:rsidRPr="000665B0">
        <w:t xml:space="preserve">that identifies all of the ACMS and Overlay geographic resources </w:t>
      </w:r>
      <w:r w:rsidR="00E023CC" w:rsidRPr="000665B0">
        <w:t>to</w:t>
      </w:r>
      <w:r w:rsidRPr="000665B0">
        <w:t xml:space="preserve"> be used by </w:t>
      </w:r>
      <w:r w:rsidR="00E023CC" w:rsidRPr="000665B0">
        <w:t xml:space="preserve">the </w:t>
      </w:r>
      <w:r w:rsidRPr="000665B0">
        <w:t xml:space="preserve">Strike Folder. This container is used to constrain the geographic resources that may be selected in the other Strike Folder items such as the Strike Options and LMOs. The ACMSs and Overlays can be added by selecting the ACMSs, ACMS Libraries, Overlays, and Overlay Libraries from a </w:t>
      </w:r>
      <w:r w:rsidR="000E4E36" w:rsidRPr="000665B0">
        <w:t>list view</w:t>
      </w:r>
      <w:r w:rsidRPr="000665B0">
        <w:t xml:space="preserve">. Those resources can also be added by using the drag and drop capability from the selection or tool windows. For convenience, the Geographic Resources </w:t>
      </w:r>
      <w:r w:rsidR="00044736" w:rsidRPr="000665B0">
        <w:t xml:space="preserve">also </w:t>
      </w:r>
      <w:r w:rsidRPr="000665B0">
        <w:t>provides the ability to create and add new ACMSs and Overlay</w:t>
      </w:r>
      <w:r w:rsidR="00044736" w:rsidRPr="000665B0">
        <w:t>s</w:t>
      </w:r>
      <w:r w:rsidRPr="000665B0">
        <w:t>.</w:t>
      </w:r>
    </w:p>
    <w:p w14:paraId="6DEF99DC" w14:textId="0233974A" w:rsidR="002D78FB" w:rsidRPr="000665B0" w:rsidRDefault="00A31D2A" w:rsidP="009570CA">
      <w:pPr>
        <w:tabs>
          <w:tab w:val="left" w:pos="720"/>
        </w:tabs>
        <w:jc w:val="center"/>
      </w:pPr>
      <w:r w:rsidRPr="000665B0">
        <w:rPr>
          <w:noProof/>
        </w:rPr>
        <w:drawing>
          <wp:inline distT="0" distB="0" distL="0" distR="0" wp14:anchorId="508E2050" wp14:editId="14C9F4DB">
            <wp:extent cx="3657600" cy="1792224"/>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1792224"/>
                    </a:xfrm>
                    <a:prstGeom prst="rect">
                      <a:avLst/>
                    </a:prstGeom>
                  </pic:spPr>
                </pic:pic>
              </a:graphicData>
            </a:graphic>
          </wp:inline>
        </w:drawing>
      </w:r>
    </w:p>
    <w:p w14:paraId="1BEE73CD" w14:textId="77777777" w:rsidR="00FC1410" w:rsidRPr="000665B0" w:rsidRDefault="00FC1410" w:rsidP="009570CA">
      <w:pPr>
        <w:tabs>
          <w:tab w:val="left" w:pos="720"/>
        </w:tabs>
      </w:pPr>
      <w:r w:rsidRPr="000665B0">
        <w:t>To add Geographic Resources:</w:t>
      </w:r>
    </w:p>
    <w:p w14:paraId="25DD4216" w14:textId="77777777" w:rsidR="00D12A19" w:rsidRPr="000665B0" w:rsidRDefault="00D12A19" w:rsidP="006D5A65">
      <w:pPr>
        <w:pStyle w:val="Heading1"/>
      </w:pPr>
      <w:r w:rsidRPr="000665B0">
        <w:lastRenderedPageBreak/>
        <w:t xml:space="preserve">From the main </w:t>
      </w:r>
      <w:r w:rsidRPr="000665B0">
        <w:rPr>
          <w:i/>
        </w:rPr>
        <w:t>Strike Folder</w:t>
      </w:r>
      <w:r w:rsidR="00210325" w:rsidRPr="000665B0">
        <w:rPr>
          <w:i/>
        </w:rPr>
        <w:t>s</w:t>
      </w:r>
      <w:r w:rsidRPr="000665B0">
        <w:t xml:space="preserve"> window highlight the appropriate Strike Folder. </w:t>
      </w:r>
    </w:p>
    <w:p w14:paraId="343D0BD4" w14:textId="5B297C4E" w:rsidR="00D12A19" w:rsidRPr="000665B0" w:rsidRDefault="0037038E" w:rsidP="006D5A65">
      <w:pPr>
        <w:pStyle w:val="Heading1"/>
      </w:pPr>
      <w:r w:rsidRPr="000665B0">
        <w:t>Double-click</w:t>
      </w:r>
      <w:r w:rsidR="00D12A19" w:rsidRPr="000665B0">
        <w:t xml:space="preserve"> to display the Strike Folder </w:t>
      </w:r>
      <w:r w:rsidR="00AB3FB1" w:rsidRPr="000665B0">
        <w:t>textually or</w:t>
      </w:r>
      <w:r w:rsidR="00D12A19" w:rsidRPr="000665B0">
        <w:t xml:space="preserve"> invoke the context menu (</w:t>
      </w:r>
      <w:r w:rsidR="00D71804" w:rsidRPr="000665B0">
        <w:t>right-click</w:t>
      </w:r>
      <w:r w:rsidR="00D12A19" w:rsidRPr="000665B0">
        <w:t xml:space="preserve"> the mouse) and select Display</w:t>
      </w:r>
      <w:r w:rsidR="00210325" w:rsidRPr="000665B0">
        <w:t xml:space="preserve"> </w:t>
      </w:r>
      <w:r w:rsidR="00210325" w:rsidRPr="000665B0">
        <w:sym w:font="Wingdings 3" w:char="F07D"/>
      </w:r>
      <w:r w:rsidR="00210325" w:rsidRPr="000665B0">
        <w:t xml:space="preserve"> </w:t>
      </w:r>
      <w:r w:rsidR="00A144B9" w:rsidRPr="000665B0">
        <w:t>Textually or</w:t>
      </w:r>
      <w:r w:rsidR="000E4E36" w:rsidRPr="000665B0">
        <w:t xml:space="preserve"> select File </w:t>
      </w:r>
      <w:r w:rsidR="000E4E36" w:rsidRPr="000665B0">
        <w:sym w:font="Wingdings" w:char="F0E0"/>
      </w:r>
      <w:r w:rsidR="000E4E36" w:rsidRPr="000665B0">
        <w:t xml:space="preserve"> Display </w:t>
      </w:r>
      <w:r w:rsidR="000E4E36" w:rsidRPr="000665B0">
        <w:sym w:font="Wingdings 3" w:char="F07D"/>
      </w:r>
      <w:r w:rsidR="000E4E36" w:rsidRPr="000665B0">
        <w:t xml:space="preserve"> Textually</w:t>
      </w:r>
      <w:r w:rsidR="00D12A19" w:rsidRPr="000665B0">
        <w:t xml:space="preserve">. </w:t>
      </w:r>
    </w:p>
    <w:p w14:paraId="24FB8295" w14:textId="7E6C89EF" w:rsidR="00D12A19" w:rsidRPr="000665B0" w:rsidRDefault="00D12A19" w:rsidP="006D5A65">
      <w:pPr>
        <w:pStyle w:val="Heading1"/>
      </w:pPr>
      <w:r w:rsidRPr="000665B0">
        <w:t xml:space="preserve">From the </w:t>
      </w:r>
      <w:r w:rsidRPr="000665B0">
        <w:rPr>
          <w:i/>
        </w:rPr>
        <w:t>Strike Folder</w:t>
      </w:r>
      <w:r w:rsidR="00210325" w:rsidRPr="000665B0">
        <w:rPr>
          <w:i/>
        </w:rPr>
        <w:t xml:space="preserve"> xxxxx-xxxxx</w:t>
      </w:r>
      <w:r w:rsidRPr="000665B0">
        <w:t xml:space="preserve"> window, </w:t>
      </w:r>
      <w:r w:rsidR="0037038E" w:rsidRPr="000665B0">
        <w:t>double-click</w:t>
      </w:r>
      <w:r w:rsidRPr="000665B0">
        <w:t xml:space="preserve"> the Geographic Resources </w:t>
      </w:r>
      <w:r w:rsidR="009A1FDF" w:rsidRPr="000665B0">
        <w:rPr>
          <w:noProof/>
          <w:position w:val="-12"/>
        </w:rPr>
        <w:drawing>
          <wp:inline distT="0" distB="0" distL="0" distR="0" wp14:anchorId="35587E01" wp14:editId="05BC4DDE">
            <wp:extent cx="219456" cy="219456"/>
            <wp:effectExtent l="0" t="0" r="9525" b="9525"/>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19456" cy="219456"/>
                    </a:xfrm>
                    <a:prstGeom prst="rect">
                      <a:avLst/>
                    </a:prstGeom>
                    <a:noFill/>
                    <a:ln w="9525">
                      <a:noFill/>
                      <a:miter lim="800000"/>
                      <a:headEnd/>
                      <a:tailEnd/>
                    </a:ln>
                  </pic:spPr>
                </pic:pic>
              </a:graphicData>
            </a:graphic>
          </wp:inline>
        </w:drawing>
      </w:r>
      <w:r w:rsidRPr="000665B0">
        <w:t xml:space="preserve"> icon. The </w:t>
      </w:r>
      <w:r w:rsidRPr="000665B0">
        <w:rPr>
          <w:i/>
        </w:rPr>
        <w:t xml:space="preserve">Geographic Resources for Strike Folder: </w:t>
      </w:r>
      <w:r w:rsidR="004D3B08" w:rsidRPr="000665B0">
        <w:rPr>
          <w:i/>
        </w:rPr>
        <w:t>xxxxx</w:t>
      </w:r>
      <w:r w:rsidRPr="000665B0">
        <w:rPr>
          <w:i/>
        </w:rPr>
        <w:t>-</w:t>
      </w:r>
      <w:r w:rsidR="004D3B08" w:rsidRPr="000665B0">
        <w:rPr>
          <w:i/>
        </w:rPr>
        <w:t>xxxxx</w:t>
      </w:r>
      <w:r w:rsidR="004D3B08" w:rsidRPr="000665B0">
        <w:t xml:space="preserve"> </w:t>
      </w:r>
      <w:r w:rsidRPr="000665B0">
        <w:t xml:space="preserve">window </w:t>
      </w:r>
      <w:r w:rsidR="00DB5AEE" w:rsidRPr="000665B0">
        <w:t>is</w:t>
      </w:r>
      <w:r w:rsidRPr="000665B0">
        <w:t xml:space="preserve"> displayed.</w:t>
      </w:r>
    </w:p>
    <w:p w14:paraId="64349C9F" w14:textId="77777777" w:rsidR="002A1802" w:rsidRPr="000665B0" w:rsidRDefault="0034668E" w:rsidP="006D5A65">
      <w:pPr>
        <w:pStyle w:val="Heading1"/>
      </w:pPr>
      <w:r w:rsidRPr="000665B0">
        <w:t xml:space="preserve">Add ACMSs and/or Overlays. </w:t>
      </w:r>
      <w:r w:rsidR="009862D6" w:rsidRPr="000665B0">
        <w:t xml:space="preserve">ACMSs and Overlays can be selected from existing ACMSs and Overlays, ACMS Libraries, or Overlay Libraries. </w:t>
      </w:r>
      <w:r w:rsidRPr="000665B0">
        <w:t xml:space="preserve">If a suitable </w:t>
      </w:r>
      <w:r w:rsidR="002A1802" w:rsidRPr="000665B0">
        <w:t>ACMS or Overlay</w:t>
      </w:r>
      <w:r w:rsidRPr="000665B0">
        <w:t xml:space="preserve"> does not exist, a new </w:t>
      </w:r>
      <w:r w:rsidR="002A1802" w:rsidRPr="000665B0">
        <w:t>ACMS or Overlay</w:t>
      </w:r>
      <w:r w:rsidRPr="000665B0">
        <w:t xml:space="preserve"> can be generated. When </w:t>
      </w:r>
      <w:r w:rsidR="002A1802" w:rsidRPr="000665B0">
        <w:t>ACMS or Overlay</w:t>
      </w:r>
      <w:r w:rsidRPr="000665B0">
        <w:t xml:space="preserve"> Libraries are added, </w:t>
      </w:r>
      <w:r w:rsidR="002A1802" w:rsidRPr="000665B0">
        <w:t>all items from the selected Libraries are added to the Geographic Resource</w:t>
      </w:r>
      <w:r w:rsidR="00DB1A7F" w:rsidRPr="000665B0">
        <w:t xml:space="preserve"> (except for any ACMSs or Overlays that are “Missing” in the Library)</w:t>
      </w:r>
      <w:r w:rsidR="002A1802" w:rsidRPr="000665B0">
        <w:t>. No linkage between the Library and the folder is created</w:t>
      </w:r>
      <w:r w:rsidRPr="000665B0">
        <w:t>.</w:t>
      </w:r>
    </w:p>
    <w:p w14:paraId="51695F12" w14:textId="5AE9D75C" w:rsidR="002A1802" w:rsidRPr="000665B0" w:rsidRDefault="00D71804" w:rsidP="006D5A65">
      <w:pPr>
        <w:pStyle w:val="Heading2"/>
      </w:pPr>
      <w:r w:rsidRPr="000665B0">
        <w:t>Right-click</w:t>
      </w:r>
      <w:r w:rsidR="002A1802" w:rsidRPr="000665B0">
        <w:t xml:space="preserve"> in the window and select Add. Select ACMS…, ACMS Libraries…, Overlays…, or Overlay Libraries…</w:t>
      </w:r>
      <w:r w:rsidR="000E4E36" w:rsidRPr="000665B0">
        <w:t>.</w:t>
      </w:r>
    </w:p>
    <w:p w14:paraId="5271112D" w14:textId="744A5102" w:rsidR="002A1802" w:rsidRPr="000665B0" w:rsidRDefault="00A31D2A" w:rsidP="009570CA">
      <w:pPr>
        <w:pStyle w:val="Number0205"/>
        <w:tabs>
          <w:tab w:val="left" w:pos="720"/>
        </w:tabs>
        <w:ind w:left="0" w:firstLine="0"/>
        <w:jc w:val="center"/>
      </w:pPr>
      <w:r w:rsidRPr="000665B0">
        <w:rPr>
          <w:noProof/>
        </w:rPr>
        <w:drawing>
          <wp:inline distT="0" distB="0" distL="0" distR="0" wp14:anchorId="55895FD5" wp14:editId="31FBC247">
            <wp:extent cx="3657600" cy="1792224"/>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1792224"/>
                    </a:xfrm>
                    <a:prstGeom prst="rect">
                      <a:avLst/>
                    </a:prstGeom>
                  </pic:spPr>
                </pic:pic>
              </a:graphicData>
            </a:graphic>
          </wp:inline>
        </w:drawing>
      </w:r>
    </w:p>
    <w:p w14:paraId="56ACCACE" w14:textId="77777777" w:rsidR="002A1802" w:rsidRPr="000665B0" w:rsidRDefault="002A1802" w:rsidP="006D5A65">
      <w:pPr>
        <w:pStyle w:val="Heading2"/>
      </w:pPr>
      <w:r w:rsidRPr="000665B0">
        <w:t xml:space="preserve">In the ensuing window, select the desired </w:t>
      </w:r>
      <w:r w:rsidR="000B306D" w:rsidRPr="000665B0">
        <w:t>ACMS</w:t>
      </w:r>
      <w:r w:rsidRPr="000665B0">
        <w:t>(s)</w:t>
      </w:r>
      <w:r w:rsidR="000B306D" w:rsidRPr="000665B0">
        <w:t>, Overlay</w:t>
      </w:r>
      <w:r w:rsidR="009862D6" w:rsidRPr="000665B0">
        <w:t>(</w:t>
      </w:r>
      <w:r w:rsidR="000B306D" w:rsidRPr="000665B0">
        <w:t>s</w:t>
      </w:r>
      <w:r w:rsidR="009862D6" w:rsidRPr="000665B0">
        <w:t>)</w:t>
      </w:r>
      <w:r w:rsidR="000B306D" w:rsidRPr="000665B0">
        <w:t>,</w:t>
      </w:r>
      <w:r w:rsidRPr="000665B0">
        <w:t xml:space="preserve"> or Library(s)</w:t>
      </w:r>
      <w:r w:rsidR="000B306D" w:rsidRPr="000665B0">
        <w:t>,</w:t>
      </w:r>
      <w:r w:rsidRPr="000665B0">
        <w:t xml:space="preserve"> and click OK. </w:t>
      </w:r>
    </w:p>
    <w:p w14:paraId="3DED2A69" w14:textId="77777777" w:rsidR="002A1802" w:rsidRPr="000665B0" w:rsidRDefault="002A1802" w:rsidP="009570CA">
      <w:pPr>
        <w:pStyle w:val="Number0205"/>
        <w:tabs>
          <w:tab w:val="left" w:pos="720"/>
        </w:tabs>
        <w:ind w:left="720" w:firstLine="0"/>
      </w:pPr>
      <w:r w:rsidRPr="000665B0">
        <w:t>or</w:t>
      </w:r>
    </w:p>
    <w:p w14:paraId="4E80D55C" w14:textId="77777777" w:rsidR="002A1802" w:rsidRPr="000665B0" w:rsidRDefault="002A1802" w:rsidP="006D5A65">
      <w:pPr>
        <w:pStyle w:val="Heading2"/>
      </w:pPr>
      <w:r w:rsidRPr="000665B0">
        <w:t xml:space="preserve">In the ensuing window, select the desired </w:t>
      </w:r>
      <w:r w:rsidR="000B306D" w:rsidRPr="000665B0">
        <w:t>ACMS(s), Overlay</w:t>
      </w:r>
      <w:r w:rsidR="009862D6" w:rsidRPr="000665B0">
        <w:t>(</w:t>
      </w:r>
      <w:r w:rsidR="000B306D" w:rsidRPr="000665B0">
        <w:t>s</w:t>
      </w:r>
      <w:r w:rsidR="009862D6" w:rsidRPr="000665B0">
        <w:t>)</w:t>
      </w:r>
      <w:r w:rsidR="000B306D" w:rsidRPr="000665B0">
        <w:t xml:space="preserve">, or Library(s), </w:t>
      </w:r>
      <w:r w:rsidRPr="000665B0">
        <w:t>invoke the context menu, and select Add.</w:t>
      </w:r>
    </w:p>
    <w:p w14:paraId="3F8614BF" w14:textId="77777777" w:rsidR="002A1802" w:rsidRPr="000665B0" w:rsidRDefault="002A1802" w:rsidP="009570CA">
      <w:pPr>
        <w:pStyle w:val="Number0205"/>
        <w:tabs>
          <w:tab w:val="left" w:pos="720"/>
        </w:tabs>
        <w:ind w:left="720" w:firstLine="0"/>
      </w:pPr>
      <w:r w:rsidRPr="000665B0">
        <w:t>or</w:t>
      </w:r>
    </w:p>
    <w:p w14:paraId="15D6B390" w14:textId="77777777" w:rsidR="002A1802" w:rsidRPr="000665B0" w:rsidRDefault="002A1802" w:rsidP="006D5A65">
      <w:pPr>
        <w:pStyle w:val="Heading2"/>
      </w:pPr>
      <w:r w:rsidRPr="000665B0">
        <w:t xml:space="preserve">In the ensuing window, select the desired </w:t>
      </w:r>
      <w:r w:rsidR="000B306D" w:rsidRPr="000665B0">
        <w:t>ACMS(s), Overlay</w:t>
      </w:r>
      <w:r w:rsidR="009862D6" w:rsidRPr="000665B0">
        <w:t>(</w:t>
      </w:r>
      <w:r w:rsidR="000B306D" w:rsidRPr="000665B0">
        <w:t>s</w:t>
      </w:r>
      <w:r w:rsidR="009862D6" w:rsidRPr="000665B0">
        <w:t>)</w:t>
      </w:r>
      <w:r w:rsidR="000B306D" w:rsidRPr="000665B0">
        <w:t xml:space="preserve">, or Library(s), </w:t>
      </w:r>
      <w:r w:rsidRPr="000665B0">
        <w:t>and drag and drop them into the</w:t>
      </w:r>
      <w:r w:rsidR="000B306D" w:rsidRPr="000665B0">
        <w:t xml:space="preserve"> window.</w:t>
      </w:r>
    </w:p>
    <w:p w14:paraId="68B35C6C" w14:textId="77777777" w:rsidR="002A1802" w:rsidRPr="000665B0" w:rsidRDefault="002A1802" w:rsidP="009570CA">
      <w:pPr>
        <w:pStyle w:val="Number0205"/>
        <w:tabs>
          <w:tab w:val="left" w:pos="720"/>
        </w:tabs>
        <w:ind w:left="720" w:firstLine="0"/>
      </w:pPr>
      <w:r w:rsidRPr="000665B0">
        <w:t>or</w:t>
      </w:r>
    </w:p>
    <w:p w14:paraId="43ED9584" w14:textId="50DC6889" w:rsidR="002A1802" w:rsidRPr="000665B0" w:rsidRDefault="000E4E36" w:rsidP="006D5A65">
      <w:pPr>
        <w:pStyle w:val="Heading2"/>
      </w:pPr>
      <w:r w:rsidRPr="000665B0">
        <w:lastRenderedPageBreak/>
        <w:t xml:space="preserve">If a new ACMS or Overlay is needed: </w:t>
      </w:r>
      <w:r w:rsidR="00D71804" w:rsidRPr="000665B0">
        <w:t>right-click</w:t>
      </w:r>
      <w:r w:rsidR="002A1802" w:rsidRPr="000665B0">
        <w:t xml:space="preserve"> in the </w:t>
      </w:r>
      <w:r w:rsidR="000B306D" w:rsidRPr="000665B0">
        <w:t xml:space="preserve">window </w:t>
      </w:r>
      <w:r w:rsidR="002A1802" w:rsidRPr="000665B0">
        <w:t xml:space="preserve">and select New </w:t>
      </w:r>
      <w:r w:rsidR="002A1802" w:rsidRPr="000665B0">
        <w:sym w:font="Wingdings 3" w:char="F07D"/>
      </w:r>
      <w:r w:rsidR="002A1802" w:rsidRPr="000665B0">
        <w:t xml:space="preserve"> </w:t>
      </w:r>
      <w:r w:rsidR="000B306D" w:rsidRPr="000665B0">
        <w:t>ACMS</w:t>
      </w:r>
      <w:r w:rsidR="002A1802" w:rsidRPr="000665B0">
        <w:t>…</w:t>
      </w:r>
      <w:r w:rsidR="000B306D" w:rsidRPr="000665B0">
        <w:t xml:space="preserve"> or Overlay…</w:t>
      </w:r>
      <w:r w:rsidR="002A1802" w:rsidRPr="000665B0">
        <w:t xml:space="preserve">. The </w:t>
      </w:r>
      <w:r w:rsidR="000B306D" w:rsidRPr="000665B0">
        <w:rPr>
          <w:i/>
        </w:rPr>
        <w:t xml:space="preserve">ACMS </w:t>
      </w:r>
      <w:r w:rsidR="000B306D" w:rsidRPr="000665B0">
        <w:t>or</w:t>
      </w:r>
      <w:r w:rsidR="000B306D" w:rsidRPr="000665B0">
        <w:rPr>
          <w:i/>
        </w:rPr>
        <w:t xml:space="preserve"> Overlay</w:t>
      </w:r>
      <w:r w:rsidR="002A1802" w:rsidRPr="000665B0">
        <w:t xml:space="preserve"> window is displayed. For more information on creating a new </w:t>
      </w:r>
      <w:r w:rsidR="000B306D" w:rsidRPr="000665B0">
        <w:t>ACMS</w:t>
      </w:r>
      <w:r w:rsidR="002A1802" w:rsidRPr="000665B0">
        <w:t xml:space="preserve">, see </w:t>
      </w:r>
      <w:hyperlink w:anchor="_5.33.1__Create" w:history="1">
        <w:r w:rsidR="002A1802" w:rsidRPr="000665B0">
          <w:rPr>
            <w:rStyle w:val="Hyperlink"/>
          </w:rPr>
          <w:t xml:space="preserve">Section </w:t>
        </w:r>
        <w:r w:rsidR="004231CC">
          <w:rPr>
            <w:rStyle w:val="Hyperlink"/>
          </w:rPr>
          <w:t>5.29</w:t>
        </w:r>
        <w:r w:rsidR="002A1802" w:rsidRPr="000665B0">
          <w:rPr>
            <w:rStyle w:val="Hyperlink"/>
          </w:rPr>
          <w:t>.1</w:t>
        </w:r>
      </w:hyperlink>
      <w:r w:rsidR="002A1802" w:rsidRPr="000665B0">
        <w:t>.</w:t>
      </w:r>
      <w:r w:rsidR="000B306D" w:rsidRPr="000665B0">
        <w:t xml:space="preserve"> For more information on creating a new Overlay, see </w:t>
      </w:r>
      <w:hyperlink w:anchor="_5.34.1__Create" w:history="1">
        <w:r w:rsidR="000B306D" w:rsidRPr="000665B0">
          <w:rPr>
            <w:rStyle w:val="Hyperlink"/>
          </w:rPr>
          <w:t xml:space="preserve">Section </w:t>
        </w:r>
        <w:r w:rsidR="004231CC">
          <w:rPr>
            <w:rStyle w:val="Hyperlink"/>
          </w:rPr>
          <w:t>5.30</w:t>
        </w:r>
        <w:r w:rsidR="000B306D" w:rsidRPr="000665B0">
          <w:rPr>
            <w:rStyle w:val="Hyperlink"/>
          </w:rPr>
          <w:t>.1</w:t>
        </w:r>
      </w:hyperlink>
      <w:r w:rsidR="000B306D" w:rsidRPr="000665B0">
        <w:t>.</w:t>
      </w:r>
    </w:p>
    <w:p w14:paraId="0C8DD394" w14:textId="77777777" w:rsidR="002A1802" w:rsidRPr="000665B0" w:rsidRDefault="002A1802"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37FA9A73" w14:textId="77777777" w:rsidR="000B306D" w:rsidRPr="000665B0" w:rsidRDefault="000B306D" w:rsidP="009570CA">
      <w:pPr>
        <w:keepNext/>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bCs/>
        </w:rPr>
      </w:pPr>
      <w:r w:rsidRPr="000665B0">
        <w:rPr>
          <w:b/>
          <w:bCs/>
        </w:rPr>
        <w:t xml:space="preserve">Note: </w:t>
      </w:r>
    </w:p>
    <w:p w14:paraId="240404C5" w14:textId="77777777" w:rsidR="000B306D" w:rsidRPr="000665B0" w:rsidRDefault="000B306D" w:rsidP="009570CA">
      <w:pPr>
        <w:pBdr>
          <w:top w:val="single" w:sz="12" w:space="1" w:color="auto"/>
          <w:left w:val="single" w:sz="12" w:space="4" w:color="auto"/>
          <w:bottom w:val="single" w:sz="12" w:space="1" w:color="auto"/>
          <w:right w:val="single" w:sz="12" w:space="4" w:color="auto"/>
        </w:pBdr>
        <w:shd w:val="clear" w:color="auto" w:fill="D9D9D9"/>
        <w:tabs>
          <w:tab w:val="left" w:pos="720"/>
        </w:tabs>
        <w:jc w:val="center"/>
        <w:rPr>
          <w:b/>
          <w:bCs/>
        </w:rPr>
      </w:pPr>
      <w:r w:rsidRPr="000665B0">
        <w:rPr>
          <w:b/>
          <w:bCs/>
        </w:rPr>
        <w:t>ACMSs and Overlays can also be drag</w:t>
      </w:r>
      <w:r w:rsidR="009862D6" w:rsidRPr="000665B0">
        <w:rPr>
          <w:b/>
          <w:bCs/>
        </w:rPr>
        <w:t>ged</w:t>
      </w:r>
      <w:r w:rsidRPr="000665B0">
        <w:rPr>
          <w:b/>
          <w:bCs/>
        </w:rPr>
        <w:t>/dropped into the Geographic Resources from any ACMS or Overlay list view, any ACMS or Overlay library list view</w:t>
      </w:r>
      <w:r w:rsidR="00A958D1" w:rsidRPr="000665B0">
        <w:rPr>
          <w:b/>
          <w:bCs/>
        </w:rPr>
        <w:t>.</w:t>
      </w:r>
    </w:p>
    <w:p w14:paraId="4937CEFC" w14:textId="7F48E295" w:rsidR="005D65C3" w:rsidRPr="000665B0" w:rsidRDefault="00334BF0" w:rsidP="009570CA">
      <w:pPr>
        <w:tabs>
          <w:tab w:val="left" w:pos="720"/>
        </w:tabs>
      </w:pPr>
      <w:r w:rsidRPr="000665B0">
        <w:t xml:space="preserve">As in other list views, </w:t>
      </w:r>
      <w:r w:rsidR="00AB79FF" w:rsidRPr="000665B0">
        <w:t xml:space="preserve">items can be selected to </w:t>
      </w:r>
      <w:r w:rsidR="00CF3A43" w:rsidRPr="000665B0">
        <w:t>D</w:t>
      </w:r>
      <w:r w:rsidRPr="000665B0">
        <w:t xml:space="preserve">isplay </w:t>
      </w:r>
      <w:r w:rsidR="00CF3A43" w:rsidRPr="000665B0">
        <w:t>T</w:t>
      </w:r>
      <w:r w:rsidRPr="000665B0">
        <w:t xml:space="preserve">extually (see </w:t>
      </w:r>
      <w:hyperlink w:anchor="_5.2.1.2.4__Display_1" w:history="1">
        <w:r w:rsidRPr="000665B0">
          <w:rPr>
            <w:rStyle w:val="Hyperlink"/>
          </w:rPr>
          <w:t>Section 5.2.1.2.4</w:t>
        </w:r>
      </w:hyperlink>
      <w:r w:rsidRPr="000665B0">
        <w:rPr>
          <w:rStyle w:val="Hyperlink"/>
        </w:rPr>
        <w:t>)</w:t>
      </w:r>
      <w:r w:rsidRPr="000665B0">
        <w:t xml:space="preserve">, </w:t>
      </w:r>
      <w:r w:rsidR="00CF3A43" w:rsidRPr="000665B0">
        <w:t>D</w:t>
      </w:r>
      <w:r w:rsidRPr="000665B0">
        <w:t xml:space="preserve">isplay </w:t>
      </w:r>
      <w:r w:rsidR="00CF3A43" w:rsidRPr="000665B0">
        <w:t>G</w:t>
      </w:r>
      <w:r w:rsidRPr="000665B0">
        <w:t xml:space="preserve">eographically (see </w:t>
      </w:r>
      <w:hyperlink w:anchor="_5.2.1.2.2__Display_1" w:history="1">
        <w:r w:rsidRPr="000665B0">
          <w:rPr>
            <w:rStyle w:val="Hyperlink"/>
          </w:rPr>
          <w:t>Section 5.2.1.2.2</w:t>
        </w:r>
      </w:hyperlink>
      <w:r w:rsidRPr="000665B0">
        <w:rPr>
          <w:rStyle w:val="Hyperlink"/>
        </w:rPr>
        <w:t>)</w:t>
      </w:r>
      <w:r w:rsidRPr="000665B0">
        <w:t xml:space="preserve">, </w:t>
      </w:r>
      <w:r w:rsidR="00CF3A43" w:rsidRPr="000665B0">
        <w:t>D</w:t>
      </w:r>
      <w:r w:rsidRPr="000665B0">
        <w:t xml:space="preserve">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0665B0">
        <w:rPr>
          <w:rStyle w:val="Hyperlink"/>
        </w:rPr>
        <w:t>)</w:t>
      </w:r>
      <w:r w:rsidRPr="000665B0">
        <w:t>.</w:t>
      </w:r>
    </w:p>
    <w:p w14:paraId="7D0C7614" w14:textId="71333749" w:rsidR="007D1545" w:rsidRPr="000665B0" w:rsidRDefault="007D1545" w:rsidP="00B47890">
      <w:pPr>
        <w:pStyle w:val="Heading3"/>
      </w:pPr>
      <w:bookmarkStart w:id="6236" w:name="_5_.37.4_"/>
      <w:bookmarkStart w:id="6237" w:name="_Toc289328853"/>
      <w:bookmarkStart w:id="6238" w:name="_Toc312332066"/>
      <w:bookmarkStart w:id="6239" w:name="_Toc214283558"/>
      <w:bookmarkStart w:id="6240" w:name="_Toc71955744"/>
      <w:bookmarkStart w:id="6241" w:name="_Toc96170275"/>
      <w:bookmarkStart w:id="6242" w:name="_Toc96234320"/>
      <w:bookmarkStart w:id="6243" w:name="_Toc112733740"/>
      <w:bookmarkStart w:id="6244" w:name="_Toc164499430"/>
      <w:bookmarkEnd w:id="6211"/>
      <w:bookmarkEnd w:id="6212"/>
      <w:bookmarkEnd w:id="6213"/>
      <w:bookmarkEnd w:id="6214"/>
      <w:bookmarkEnd w:id="6235"/>
      <w:bookmarkEnd w:id="6236"/>
      <w:r w:rsidRPr="000665B0">
        <w:t>Candidates Matrix</w:t>
      </w:r>
      <w:bookmarkEnd w:id="6237"/>
      <w:bookmarkEnd w:id="6238"/>
      <w:bookmarkEnd w:id="6239"/>
    </w:p>
    <w:p w14:paraId="621AE9FB" w14:textId="77777777" w:rsidR="007D1545" w:rsidRPr="000665B0" w:rsidRDefault="00A958D1" w:rsidP="009570CA">
      <w:pPr>
        <w:tabs>
          <w:tab w:val="left" w:pos="720"/>
        </w:tabs>
      </w:pPr>
      <w:r w:rsidRPr="000665B0">
        <w:t xml:space="preserve">The </w:t>
      </w:r>
      <w:r w:rsidRPr="000665B0">
        <w:rPr>
          <w:b/>
        </w:rPr>
        <w:t>Candidates Matrix</w:t>
      </w:r>
      <w:r w:rsidRPr="000665B0">
        <w:t xml:space="preserve"> is a Strike Folder tool that is used to search through the mission database or libraries for all of the potential candidates (TLAM Missions and </w:t>
      </w:r>
      <w:r w:rsidR="0043623E" w:rsidRPr="000665B0">
        <w:t>TMPRs)</w:t>
      </w:r>
      <w:r w:rsidRPr="000665B0">
        <w:t xml:space="preserve"> that meet the requirements of the Strike Folder’s Tasking. The Candidates Matrix searches available Missions and returns a list of all Taskings with a corresponding list of Missions and TMPRs that are candidates to “cover” the Taskings. A Tasking is considered </w:t>
      </w:r>
      <w:r w:rsidRPr="000665B0">
        <w:rPr>
          <w:i/>
        </w:rPr>
        <w:t>Covered</w:t>
      </w:r>
      <w:r w:rsidRPr="000665B0">
        <w:t xml:space="preserve"> if MDS finds Missions, TMPRs, or LMOs available to meet the Tasking’s requirements. The candidates that are returned by the search will be used as the candidates for Strike Options planning. There is a Candidates Matrix for the Strike Folder and a Candidates Matrix for each Option within the Strike Folder. The Mission Candidates Matrix provides filter capabilities to limit the Mission candidates by adding Mission Library and Query filters that are used to narrow the search criteria. The Missions Candidates Matrix also allows the operator to create TMPRs and LMOs for Taskings, and TMPRs for Missions</w:t>
      </w:r>
      <w:r w:rsidR="0043623E" w:rsidRPr="000665B0">
        <w:t>.</w:t>
      </w:r>
      <w:r w:rsidR="007D1545" w:rsidRPr="000665B0">
        <w:t xml:space="preserve"> </w:t>
      </w:r>
    </w:p>
    <w:p w14:paraId="3D8F20D2" w14:textId="26AAF19E" w:rsidR="00BE10AE" w:rsidRPr="000665B0" w:rsidRDefault="007E19D8" w:rsidP="009570CA">
      <w:pPr>
        <w:tabs>
          <w:tab w:val="left" w:pos="720"/>
        </w:tabs>
        <w:jc w:val="center"/>
      </w:pPr>
      <w:r w:rsidRPr="000665B0">
        <w:rPr>
          <w:noProof/>
        </w:rPr>
        <w:drawing>
          <wp:inline distT="0" distB="0" distL="0" distR="0" wp14:anchorId="692F1FC1" wp14:editId="6DDC0DDB">
            <wp:extent cx="4983480" cy="2423160"/>
            <wp:effectExtent l="0" t="0" r="0" b="0"/>
            <wp:docPr id="2220" name="Picture 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2423160"/>
                    </a:xfrm>
                    <a:prstGeom prst="rect">
                      <a:avLst/>
                    </a:prstGeom>
                  </pic:spPr>
                </pic:pic>
              </a:graphicData>
            </a:graphic>
          </wp:inline>
        </w:drawing>
      </w:r>
    </w:p>
    <w:p w14:paraId="36EADB93" w14:textId="77777777" w:rsidR="003135E3" w:rsidRPr="000665B0" w:rsidRDefault="003135E3" w:rsidP="009570CA">
      <w:pPr>
        <w:tabs>
          <w:tab w:val="left" w:pos="720"/>
        </w:tabs>
      </w:pPr>
      <w:r w:rsidRPr="000665B0">
        <w:lastRenderedPageBreak/>
        <w:t xml:space="preserve">The </w:t>
      </w:r>
      <w:r w:rsidRPr="000665B0">
        <w:rPr>
          <w:i/>
        </w:rPr>
        <w:t xml:space="preserve">Mission </w:t>
      </w:r>
      <w:r w:rsidR="00996864" w:rsidRPr="000665B0">
        <w:rPr>
          <w:i/>
        </w:rPr>
        <w:t>Candidates</w:t>
      </w:r>
      <w:r w:rsidRPr="000665B0">
        <w:rPr>
          <w:i/>
        </w:rPr>
        <w:t xml:space="preserve"> Matrix</w:t>
      </w:r>
      <w:r w:rsidRPr="000665B0">
        <w:t xml:space="preserve"> window is composed of three </w:t>
      </w:r>
      <w:r w:rsidR="00C652CD" w:rsidRPr="000665B0">
        <w:t>panes</w:t>
      </w:r>
      <w:r w:rsidRPr="000665B0">
        <w:t xml:space="preserve">: </w:t>
      </w:r>
      <w:r w:rsidRPr="000665B0">
        <w:rPr>
          <w:b/>
        </w:rPr>
        <w:t>Filters</w:t>
      </w:r>
      <w:r w:rsidRPr="000665B0">
        <w:t xml:space="preserve">, </w:t>
      </w:r>
      <w:r w:rsidRPr="000665B0">
        <w:rPr>
          <w:b/>
        </w:rPr>
        <w:t>Taskings</w:t>
      </w:r>
      <w:r w:rsidRPr="000665B0">
        <w:t xml:space="preserve">, and </w:t>
      </w:r>
      <w:r w:rsidRPr="000665B0">
        <w:rPr>
          <w:b/>
        </w:rPr>
        <w:t>Candidates</w:t>
      </w:r>
      <w:r w:rsidRPr="000665B0">
        <w:t>.</w:t>
      </w:r>
    </w:p>
    <w:p w14:paraId="6AF67496" w14:textId="10C59849" w:rsidR="003135E3" w:rsidRPr="000665B0" w:rsidRDefault="003135E3" w:rsidP="006D5A65">
      <w:pPr>
        <w:pStyle w:val="Heading1"/>
      </w:pPr>
      <w:r w:rsidRPr="000665B0">
        <w:t xml:space="preserve">The Filters pane lists Mission Libraries and Mission </w:t>
      </w:r>
      <w:r w:rsidR="00A144B9" w:rsidRPr="000665B0">
        <w:t>Queries and</w:t>
      </w:r>
      <w:r w:rsidRPr="000665B0">
        <w:t xml:space="preserve"> indicates whether they are being used </w:t>
      </w:r>
      <w:r w:rsidR="008E7099" w:rsidRPr="000665B0">
        <w:t xml:space="preserve">as filters </w:t>
      </w:r>
      <w:r w:rsidRPr="000665B0">
        <w:t>to narrow the search criteria.</w:t>
      </w:r>
      <w:r w:rsidR="00FB69DE" w:rsidRPr="000665B0">
        <w:t xml:space="preserve"> See </w:t>
      </w:r>
      <w:hyperlink w:anchor="_5.37.4.1__Filters" w:history="1">
        <w:r w:rsidR="009326FE" w:rsidRPr="000665B0">
          <w:rPr>
            <w:rStyle w:val="Hyperlink"/>
          </w:rPr>
          <w:t xml:space="preserve">Section </w:t>
        </w:r>
        <w:r w:rsidR="004231CC">
          <w:rPr>
            <w:rStyle w:val="Hyperlink"/>
          </w:rPr>
          <w:t>5.34</w:t>
        </w:r>
        <w:r w:rsidR="00FB69DE" w:rsidRPr="000665B0">
          <w:rPr>
            <w:rStyle w:val="Hyperlink"/>
          </w:rPr>
          <w:t>.</w:t>
        </w:r>
        <w:r w:rsidR="0089269C" w:rsidRPr="000665B0">
          <w:rPr>
            <w:rStyle w:val="Hyperlink"/>
          </w:rPr>
          <w:t>5</w:t>
        </w:r>
        <w:r w:rsidR="00FB69DE" w:rsidRPr="000665B0">
          <w:rPr>
            <w:rStyle w:val="Hyperlink"/>
          </w:rPr>
          <w:t>.1</w:t>
        </w:r>
      </w:hyperlink>
      <w:r w:rsidR="00FB69DE" w:rsidRPr="000665B0">
        <w:t>.</w:t>
      </w:r>
    </w:p>
    <w:p w14:paraId="0BE384B3" w14:textId="6C349654" w:rsidR="003135E3" w:rsidRPr="000665B0" w:rsidRDefault="003135E3" w:rsidP="006D5A65">
      <w:pPr>
        <w:pStyle w:val="Heading1"/>
      </w:pPr>
      <w:r w:rsidRPr="000665B0">
        <w:t>The Taskings pane provides a list of all Taskings</w:t>
      </w:r>
      <w:r w:rsidR="00A50FEC" w:rsidRPr="000665B0">
        <w:t xml:space="preserve"> (Targets) that were entered in the </w:t>
      </w:r>
      <w:r w:rsidR="008E7099" w:rsidRPr="000665B0">
        <w:t>Strike Folder’s</w:t>
      </w:r>
      <w:r w:rsidR="006E1A11" w:rsidRPr="000665B0">
        <w:t xml:space="preserve"> </w:t>
      </w:r>
      <w:r w:rsidR="00A50FEC" w:rsidRPr="000665B0">
        <w:t xml:space="preserve">Tasking Matrix </w:t>
      </w:r>
      <w:r w:rsidRPr="000665B0">
        <w:t xml:space="preserve">and indicates whether Taskings are Covered, </w:t>
      </w:r>
      <w:r w:rsidR="00B14898" w:rsidRPr="000665B0">
        <w:t xml:space="preserve">have Outstanding Mission Requests, or have </w:t>
      </w:r>
      <w:r w:rsidRPr="000665B0">
        <w:t>No Cover</w:t>
      </w:r>
      <w:r w:rsidR="00125C8D" w:rsidRPr="000665B0">
        <w:t>age</w:t>
      </w:r>
      <w:r w:rsidRPr="000665B0">
        <w:t>.</w:t>
      </w:r>
      <w:r w:rsidR="00125C8D" w:rsidRPr="000665B0">
        <w:t xml:space="preserve"> This pane provides this information for each Tasking in the Coverage Status column as well as in summary form at the top of the pane.</w:t>
      </w:r>
      <w:r w:rsidR="00FB69DE" w:rsidRPr="000665B0">
        <w:t xml:space="preserve"> See </w:t>
      </w:r>
      <w:hyperlink w:anchor="_5.37.4.2__Taskings" w:history="1">
        <w:r w:rsidR="009326FE" w:rsidRPr="000665B0">
          <w:rPr>
            <w:rStyle w:val="Hyperlink"/>
          </w:rPr>
          <w:t xml:space="preserve">Section </w:t>
        </w:r>
        <w:r w:rsidR="004231CC">
          <w:rPr>
            <w:rStyle w:val="Hyperlink"/>
          </w:rPr>
          <w:t>5.34</w:t>
        </w:r>
        <w:r w:rsidR="00FB69DE" w:rsidRPr="000665B0">
          <w:rPr>
            <w:rStyle w:val="Hyperlink"/>
          </w:rPr>
          <w:t>.</w:t>
        </w:r>
        <w:r w:rsidR="0089269C" w:rsidRPr="000665B0">
          <w:rPr>
            <w:rStyle w:val="Hyperlink"/>
          </w:rPr>
          <w:t>5</w:t>
        </w:r>
        <w:r w:rsidR="00FB69DE" w:rsidRPr="000665B0">
          <w:rPr>
            <w:rStyle w:val="Hyperlink"/>
          </w:rPr>
          <w:t>.2</w:t>
        </w:r>
      </w:hyperlink>
      <w:r w:rsidR="008E7099" w:rsidRPr="000665B0">
        <w:t>.</w:t>
      </w:r>
    </w:p>
    <w:p w14:paraId="32667137" w14:textId="77777777" w:rsidR="00595F09" w:rsidRPr="000665B0" w:rsidRDefault="00595F09" w:rsidP="006D5A65">
      <w:pPr>
        <w:pStyle w:val="Heading2"/>
      </w:pPr>
      <w:r w:rsidRPr="000665B0">
        <w:t>Covered – Mission(s)</w:t>
      </w:r>
      <w:r w:rsidR="00CE1624" w:rsidRPr="000665B0">
        <w:t>, TMPR(s), or LMO(s)</w:t>
      </w:r>
      <w:r w:rsidRPr="000665B0">
        <w:t xml:space="preserve"> are available </w:t>
      </w:r>
      <w:r w:rsidR="00125C8D" w:rsidRPr="000665B0">
        <w:t>to cover the selected Tasking</w:t>
      </w:r>
      <w:r w:rsidRPr="000665B0">
        <w:t>.</w:t>
      </w:r>
    </w:p>
    <w:p w14:paraId="1F120893" w14:textId="77777777" w:rsidR="00A66307" w:rsidRPr="000665B0" w:rsidRDefault="00A66307" w:rsidP="006D5A65">
      <w:pPr>
        <w:pStyle w:val="Heading2"/>
      </w:pPr>
      <w:r w:rsidRPr="000665B0">
        <w:t>Outstanding Mission Requests – Mission(s) are not available to cover the selected Tasking, but there are outstanding TMPRs or LMOs.</w:t>
      </w:r>
    </w:p>
    <w:p w14:paraId="11DFAEB8" w14:textId="77777777" w:rsidR="00595F09" w:rsidRPr="000665B0" w:rsidRDefault="00595F09" w:rsidP="006D5A65">
      <w:pPr>
        <w:pStyle w:val="Heading2"/>
      </w:pPr>
      <w:r w:rsidRPr="000665B0">
        <w:t>No Cover</w:t>
      </w:r>
      <w:r w:rsidR="00125C8D" w:rsidRPr="000665B0">
        <w:t>age</w:t>
      </w:r>
      <w:r w:rsidR="00DA0459" w:rsidRPr="000665B0">
        <w:t xml:space="preserve"> </w:t>
      </w:r>
      <w:r w:rsidRPr="000665B0">
        <w:t xml:space="preserve">– </w:t>
      </w:r>
      <w:r w:rsidR="000B7D86" w:rsidRPr="000665B0">
        <w:t xml:space="preserve">No </w:t>
      </w:r>
      <w:r w:rsidRPr="000665B0">
        <w:t xml:space="preserve">Mission(s) </w:t>
      </w:r>
      <w:r w:rsidR="000B7D86" w:rsidRPr="000665B0">
        <w:t>were found that</w:t>
      </w:r>
      <w:r w:rsidRPr="000665B0">
        <w:t xml:space="preserve"> cover the selec</w:t>
      </w:r>
      <w:r w:rsidR="00125C8D" w:rsidRPr="000665B0">
        <w:t>ted Tasking</w:t>
      </w:r>
      <w:r w:rsidRPr="000665B0">
        <w:t>.</w:t>
      </w:r>
    </w:p>
    <w:p w14:paraId="4D3E8EFA" w14:textId="2C055084" w:rsidR="003135E3" w:rsidRPr="000665B0" w:rsidRDefault="003135E3" w:rsidP="006D5A65">
      <w:pPr>
        <w:pStyle w:val="Heading1"/>
      </w:pPr>
      <w:r w:rsidRPr="000665B0">
        <w:t xml:space="preserve">The Candidates pane lists Missions, TMPRs, </w:t>
      </w:r>
      <w:r w:rsidR="00857681" w:rsidRPr="000665B0">
        <w:t xml:space="preserve">Attack Plans, </w:t>
      </w:r>
      <w:r w:rsidRPr="000665B0">
        <w:t xml:space="preserve">or LMOs for the Tasking(s) that is selected in the Taskings pane. It also provides a tab for </w:t>
      </w:r>
      <w:r w:rsidRPr="000665B0">
        <w:rPr>
          <w:i/>
        </w:rPr>
        <w:t>Hidden Candidates</w:t>
      </w:r>
      <w:r w:rsidR="00FB69DE" w:rsidRPr="000665B0">
        <w:t xml:space="preserve"> </w:t>
      </w:r>
      <w:r w:rsidR="00334BF0" w:rsidRPr="000665B0">
        <w:t>(s</w:t>
      </w:r>
      <w:r w:rsidR="00FB69DE" w:rsidRPr="000665B0">
        <w:t xml:space="preserve">ee </w:t>
      </w:r>
      <w:hyperlink w:anchor="_5.37.4.3__Candidates" w:history="1">
        <w:r w:rsidR="009326FE" w:rsidRPr="000665B0">
          <w:rPr>
            <w:rStyle w:val="Hyperlink"/>
          </w:rPr>
          <w:t xml:space="preserve">Section </w:t>
        </w:r>
        <w:r w:rsidR="004231CC">
          <w:rPr>
            <w:rStyle w:val="Hyperlink"/>
          </w:rPr>
          <w:t>5.34</w:t>
        </w:r>
        <w:r w:rsidR="00FB69DE" w:rsidRPr="000665B0">
          <w:rPr>
            <w:rStyle w:val="Hyperlink"/>
          </w:rPr>
          <w:t>.</w:t>
        </w:r>
        <w:r w:rsidR="0089269C" w:rsidRPr="000665B0">
          <w:rPr>
            <w:rStyle w:val="Hyperlink"/>
          </w:rPr>
          <w:t>5</w:t>
        </w:r>
        <w:r w:rsidR="00FB69DE" w:rsidRPr="000665B0">
          <w:rPr>
            <w:rStyle w:val="Hyperlink"/>
          </w:rPr>
          <w:t>.3</w:t>
        </w:r>
      </w:hyperlink>
      <w:r w:rsidR="005C6610">
        <w:t>).</w:t>
      </w:r>
    </w:p>
    <w:p w14:paraId="73FFE742" w14:textId="77777777" w:rsidR="00BE10AE" w:rsidRPr="000665B0" w:rsidRDefault="00BE10AE" w:rsidP="009570CA">
      <w:pPr>
        <w:keepNext/>
        <w:tabs>
          <w:tab w:val="left" w:pos="720"/>
        </w:tabs>
        <w:rPr>
          <w:b/>
          <w:i/>
        </w:rPr>
      </w:pPr>
      <w:r w:rsidRPr="000665B0">
        <w:rPr>
          <w:b/>
          <w:i/>
        </w:rPr>
        <w:t>Mission Candi</w:t>
      </w:r>
      <w:r w:rsidR="00A50FEC" w:rsidRPr="000665B0">
        <w:rPr>
          <w:b/>
          <w:i/>
        </w:rPr>
        <w:t>d</w:t>
      </w:r>
      <w:r w:rsidRPr="000665B0">
        <w:rPr>
          <w:b/>
          <w:i/>
        </w:rPr>
        <w:t>ates Matrix Too</w:t>
      </w:r>
      <w:r w:rsidR="003135E3" w:rsidRPr="000665B0">
        <w:rPr>
          <w:b/>
          <w:i/>
        </w:rPr>
        <w:t>l</w:t>
      </w:r>
      <w:r w:rsidRPr="000665B0">
        <w:rPr>
          <w:b/>
          <w:i/>
        </w:rPr>
        <w:t>bar</w:t>
      </w:r>
    </w:p>
    <w:p w14:paraId="3B57B208" w14:textId="77777777" w:rsidR="007D1545" w:rsidRPr="000665B0" w:rsidRDefault="007D1545" w:rsidP="006D5A65">
      <w:pPr>
        <w:pStyle w:val="Heading1"/>
      </w:pPr>
      <w:r w:rsidRPr="000665B0">
        <w:t xml:space="preserve">New </w:t>
      </w:r>
      <w:r w:rsidR="007C23EF" w:rsidRPr="000665B0">
        <w:t>(</w:t>
      </w:r>
      <w:r w:rsidR="007C23EF" w:rsidRPr="000665B0">
        <w:rPr>
          <w:noProof/>
          <w:szCs w:val="24"/>
        </w:rPr>
        <w:drawing>
          <wp:inline distT="0" distB="0" distL="0" distR="0" wp14:anchorId="3BF07319" wp14:editId="484E7F0E">
            <wp:extent cx="152400" cy="152400"/>
            <wp:effectExtent l="0" t="0" r="0" b="0"/>
            <wp:docPr id="969" name="Picture 969" descr="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7C23EF" w:rsidRPr="000665B0">
        <w:t xml:space="preserve"> icon)</w:t>
      </w:r>
    </w:p>
    <w:p w14:paraId="2E55BBD8" w14:textId="77777777" w:rsidR="007D1545" w:rsidRPr="000665B0" w:rsidRDefault="007D1545" w:rsidP="006D5A65">
      <w:pPr>
        <w:pStyle w:val="Heading2"/>
      </w:pPr>
      <w:r w:rsidRPr="000665B0">
        <w:t xml:space="preserve">Create TMPR – Brings up a new </w:t>
      </w:r>
      <w:r w:rsidR="00A958D1" w:rsidRPr="000665B0">
        <w:t>window of missions from which a user can select a mission as a template for the TMPR. Once a mission is selected, a TMPR form window, prefilled with data extracted from the selected mission, will be available for the creation of a TMPR.</w:t>
      </w:r>
    </w:p>
    <w:p w14:paraId="2A140644" w14:textId="77777777" w:rsidR="007D1545" w:rsidRPr="000665B0" w:rsidRDefault="001E3B29" w:rsidP="006D5A65">
      <w:pPr>
        <w:pStyle w:val="Heading2"/>
      </w:pPr>
      <w:r w:rsidRPr="000665B0">
        <w:t>Modify</w:t>
      </w:r>
      <w:r w:rsidR="007D1545" w:rsidRPr="000665B0">
        <w:t xml:space="preserve"> TMPR – Brings up a </w:t>
      </w:r>
      <w:r w:rsidR="007D1545" w:rsidRPr="000665B0">
        <w:rPr>
          <w:i/>
        </w:rPr>
        <w:t>Mission</w:t>
      </w:r>
      <w:r w:rsidR="007D1545" w:rsidRPr="000665B0">
        <w:t xml:space="preserve"> selection window to populate the Mission data for the new </w:t>
      </w:r>
      <w:r w:rsidR="007D1545" w:rsidRPr="000665B0">
        <w:rPr>
          <w:i/>
        </w:rPr>
        <w:t>TMPR</w:t>
      </w:r>
      <w:r w:rsidR="007D1545" w:rsidRPr="000665B0">
        <w:t xml:space="preserve"> </w:t>
      </w:r>
      <w:r w:rsidR="00D70877" w:rsidRPr="000665B0">
        <w:t>window</w:t>
      </w:r>
      <w:r w:rsidR="007D1545" w:rsidRPr="000665B0">
        <w:t>.</w:t>
      </w:r>
    </w:p>
    <w:p w14:paraId="7CAA9016" w14:textId="71B4A94A" w:rsidR="00857681" w:rsidRPr="000665B0" w:rsidRDefault="00857681" w:rsidP="006D5A65">
      <w:pPr>
        <w:pStyle w:val="Heading2"/>
      </w:pPr>
      <w:r w:rsidRPr="000665B0">
        <w:t>Attack Plan TMPR – Brings up a new window of missions from which a user can select a mission as a template for the Attack Plan TMPR. Once a mission is selected, an Attack Plan TMPR form window, prefilled with data extracted from the selected mission, will be available for the creation of an Attack Plan TMPR.</w:t>
      </w:r>
    </w:p>
    <w:p w14:paraId="53DAB492" w14:textId="77777777" w:rsidR="00A03106" w:rsidRPr="000665B0" w:rsidRDefault="00A03106" w:rsidP="006D5A65">
      <w:pPr>
        <w:pStyle w:val="Heading1"/>
      </w:pPr>
      <w:r w:rsidRPr="000665B0">
        <w:lastRenderedPageBreak/>
        <w:t>Save (</w:t>
      </w:r>
      <w:r w:rsidRPr="000665B0">
        <w:sym w:font="Wingdings" w:char="F03C"/>
      </w:r>
      <w:r w:rsidRPr="000665B0">
        <w:t xml:space="preserve"> icon) – Saves the current Mission Candidates Matrix.</w:t>
      </w:r>
    </w:p>
    <w:p w14:paraId="56227C09" w14:textId="49A8895F" w:rsidR="00A03106" w:rsidRPr="000665B0" w:rsidRDefault="00A03106" w:rsidP="006D5A65">
      <w:pPr>
        <w:pStyle w:val="Heading1"/>
      </w:pPr>
      <w:r w:rsidRPr="000665B0">
        <w:t>Print (</w:t>
      </w:r>
      <w:r w:rsidRPr="000665B0">
        <w:rPr>
          <w:noProof/>
          <w:position w:val="-6"/>
        </w:rPr>
        <w:drawing>
          <wp:inline distT="0" distB="0" distL="0" distR="0" wp14:anchorId="3A5394C5" wp14:editId="066D049F">
            <wp:extent cx="190500" cy="1905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90500" cy="190500"/>
                    </a:xfrm>
                    <a:prstGeom prst="rect">
                      <a:avLst/>
                    </a:prstGeom>
                  </pic:spPr>
                </pic:pic>
              </a:graphicData>
            </a:graphic>
          </wp:inline>
        </w:drawing>
      </w:r>
      <w:r w:rsidRPr="000665B0">
        <w:t xml:space="preserve"> icon) – Prints current list view. Note that the Mission Candidates Matrix often </w:t>
      </w:r>
      <w:r w:rsidRPr="000665B0">
        <w:rPr>
          <w:color w:val="000000"/>
          <w:szCs w:val="24"/>
        </w:rPr>
        <w:t xml:space="preserve">contains too many columns to properly fit on the printout; see </w:t>
      </w:r>
      <w:hyperlink w:anchor="_5.2.1.5.1__Print" w:history="1">
        <w:r w:rsidRPr="000665B0">
          <w:rPr>
            <w:rStyle w:val="Hyperlink"/>
          </w:rPr>
          <w:t>Section 5.</w:t>
        </w:r>
        <w:r w:rsidRPr="000665B0">
          <w:rPr>
            <w:rStyle w:val="Hyperlink"/>
            <w:bCs/>
            <w:szCs w:val="24"/>
          </w:rPr>
          <w:t>2.1.5.1</w:t>
        </w:r>
      </w:hyperlink>
      <w:r w:rsidRPr="000665B0">
        <w:rPr>
          <w:color w:val="000000"/>
          <w:szCs w:val="24"/>
        </w:rPr>
        <w:t xml:space="preserve"> to configure the printout for optimal output.</w:t>
      </w:r>
    </w:p>
    <w:p w14:paraId="5D412C67" w14:textId="03FD4B07" w:rsidR="007D1545" w:rsidRPr="000665B0" w:rsidRDefault="007D1545" w:rsidP="006D5A65">
      <w:pPr>
        <w:pStyle w:val="Heading1"/>
      </w:pPr>
      <w:r w:rsidRPr="000665B0">
        <w:rPr>
          <w:bCs/>
        </w:rPr>
        <w:t>Execute Query</w:t>
      </w:r>
      <w:r w:rsidR="003135E3" w:rsidRPr="000665B0">
        <w:rPr>
          <w:bCs/>
        </w:rPr>
        <w:t xml:space="preserve"> </w:t>
      </w:r>
      <w:r w:rsidR="003135E3" w:rsidRPr="000665B0">
        <w:rPr>
          <w:noProof/>
        </w:rPr>
        <w:drawing>
          <wp:inline distT="0" distB="0" distL="0" distR="0" wp14:anchorId="44EC5B46" wp14:editId="1F56F4A5">
            <wp:extent cx="152400" cy="152400"/>
            <wp:effectExtent l="1905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3135E3" w:rsidRPr="000665B0">
        <w:rPr>
          <w:bCs/>
        </w:rPr>
        <w:t>,</w:t>
      </w:r>
      <w:r w:rsidRPr="000665B0">
        <w:rPr>
          <w:bCs/>
        </w:rPr>
        <w:t xml:space="preserve"> </w:t>
      </w:r>
      <w:r w:rsidR="009A1FDF" w:rsidRPr="000665B0">
        <w:rPr>
          <w:bCs/>
          <w:noProof/>
        </w:rPr>
        <w:drawing>
          <wp:inline distT="0" distB="0" distL="0" distR="0" wp14:anchorId="6ADC7B22" wp14:editId="65F43036">
            <wp:extent cx="152400" cy="152400"/>
            <wp:effectExtent l="19050" t="0" r="0" b="0"/>
            <wp:docPr id="521" name="Picture 521" descr="Execute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ExecuteQuery"/>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rPr>
          <w:bCs/>
        </w:rPr>
        <w:t xml:space="preserve"> </w:t>
      </w:r>
      <w:r w:rsidRPr="000665B0">
        <w:t>–</w:t>
      </w:r>
      <w:r w:rsidRPr="000665B0">
        <w:rPr>
          <w:bCs/>
        </w:rPr>
        <w:t xml:space="preserve"> </w:t>
      </w:r>
      <w:r w:rsidR="003135E3" w:rsidRPr="000665B0">
        <w:t xml:space="preserve">When the Execute Query </w:t>
      </w:r>
      <w:r w:rsidR="005841AB" w:rsidRPr="000665B0">
        <w:t>button</w:t>
      </w:r>
      <w:r w:rsidR="003135E3" w:rsidRPr="000665B0">
        <w:t xml:space="preserve"> is yellow, it indicates that there have been </w:t>
      </w:r>
      <w:r w:rsidR="00B14898" w:rsidRPr="000665B0">
        <w:t xml:space="preserve">internal or external </w:t>
      </w:r>
      <w:r w:rsidR="003135E3" w:rsidRPr="000665B0">
        <w:t xml:space="preserve">changes </w:t>
      </w:r>
      <w:r w:rsidR="00B14898" w:rsidRPr="000665B0">
        <w:t xml:space="preserve">made after the last </w:t>
      </w:r>
      <w:r w:rsidR="008E7099" w:rsidRPr="000665B0">
        <w:t>search</w:t>
      </w:r>
      <w:r w:rsidR="000B7D86" w:rsidRPr="000665B0">
        <w:t xml:space="preserve"> was executed</w:t>
      </w:r>
      <w:r w:rsidR="003135E3" w:rsidRPr="000665B0">
        <w:t xml:space="preserve"> that may </w:t>
      </w:r>
      <w:r w:rsidR="00B14898" w:rsidRPr="000665B0">
        <w:t>affect the list</w:t>
      </w:r>
      <w:r w:rsidR="003135E3" w:rsidRPr="000665B0">
        <w:t xml:space="preserve"> of candidates</w:t>
      </w:r>
      <w:r w:rsidR="00B14898" w:rsidRPr="000665B0">
        <w:t>.</w:t>
      </w:r>
      <w:r w:rsidR="003135E3" w:rsidRPr="000665B0">
        <w:t xml:space="preserve"> Click to </w:t>
      </w:r>
      <w:r w:rsidR="003135E3" w:rsidRPr="000665B0">
        <w:rPr>
          <w:szCs w:val="24"/>
        </w:rPr>
        <w:t>r</w:t>
      </w:r>
      <w:r w:rsidRPr="000665B0">
        <w:rPr>
          <w:szCs w:val="24"/>
        </w:rPr>
        <w:t xml:space="preserve">un the </w:t>
      </w:r>
      <w:r w:rsidR="008E7099" w:rsidRPr="000665B0">
        <w:rPr>
          <w:szCs w:val="24"/>
        </w:rPr>
        <w:t xml:space="preserve">search </w:t>
      </w:r>
      <w:r w:rsidRPr="000665B0">
        <w:rPr>
          <w:szCs w:val="24"/>
        </w:rPr>
        <w:t xml:space="preserve">to find </w:t>
      </w:r>
      <w:r w:rsidR="00B14898" w:rsidRPr="000665B0">
        <w:rPr>
          <w:szCs w:val="24"/>
        </w:rPr>
        <w:t xml:space="preserve">candidates </w:t>
      </w:r>
      <w:r w:rsidRPr="000665B0">
        <w:rPr>
          <w:szCs w:val="24"/>
        </w:rPr>
        <w:t>based on the current settings.</w:t>
      </w:r>
      <w:r w:rsidR="003135E3" w:rsidRPr="000665B0">
        <w:rPr>
          <w:szCs w:val="24"/>
        </w:rPr>
        <w:t xml:space="preserve"> </w:t>
      </w:r>
      <w:r w:rsidR="003135E3" w:rsidRPr="000665B0">
        <w:t xml:space="preserve">When the Execute Query </w:t>
      </w:r>
      <w:r w:rsidR="005841AB" w:rsidRPr="000665B0">
        <w:t>button</w:t>
      </w:r>
      <w:r w:rsidR="003135E3" w:rsidRPr="000665B0">
        <w:t xml:space="preserve"> is clear, it indicates that the </w:t>
      </w:r>
      <w:r w:rsidR="008E7099" w:rsidRPr="000665B0">
        <w:t>search</w:t>
      </w:r>
      <w:r w:rsidR="003135E3" w:rsidRPr="000665B0">
        <w:t xml:space="preserve"> has been run and that the listing of candidates is up to date based on the current settings.</w:t>
      </w:r>
    </w:p>
    <w:p w14:paraId="2851531F" w14:textId="77777777" w:rsidR="007D1545" w:rsidRPr="000665B0" w:rsidRDefault="007D1545" w:rsidP="006D5A65">
      <w:pPr>
        <w:pStyle w:val="Heading1"/>
      </w:pPr>
      <w:r w:rsidRPr="000665B0">
        <w:t>Query Process</w:t>
      </w:r>
    </w:p>
    <w:p w14:paraId="52EE8EB9" w14:textId="77777777" w:rsidR="007D1545" w:rsidRPr="000665B0" w:rsidRDefault="007D1545" w:rsidP="006D5A65">
      <w:pPr>
        <w:pStyle w:val="Heading2"/>
      </w:pPr>
      <w:r w:rsidRPr="000665B0">
        <w:t>Expand Taskings to get all of the associated Targets.</w:t>
      </w:r>
    </w:p>
    <w:p w14:paraId="24E62D78" w14:textId="77777777" w:rsidR="007D1545" w:rsidRPr="000665B0" w:rsidRDefault="007D1545" w:rsidP="006D5A65">
      <w:pPr>
        <w:pStyle w:val="Heading3"/>
      </w:pPr>
      <w:r w:rsidRPr="000665B0">
        <w:t>Get Tasking Target’s Target Type, BE, Aimpoint ID, JDPI, TTN, and UIC information.</w:t>
      </w:r>
    </w:p>
    <w:p w14:paraId="2D6B1B67" w14:textId="77777777" w:rsidR="007D1545" w:rsidRPr="000665B0" w:rsidRDefault="007D1545" w:rsidP="006D5A65">
      <w:pPr>
        <w:pStyle w:val="Heading3"/>
      </w:pPr>
      <w:r w:rsidRPr="000665B0">
        <w:t>Don’t expand if Target is a BE type and it has a BE and Aimpoint ID.</w:t>
      </w:r>
    </w:p>
    <w:p w14:paraId="01070AD9" w14:textId="77777777" w:rsidR="007D1545" w:rsidRPr="000665B0" w:rsidRDefault="007D1545" w:rsidP="006D5A65">
      <w:pPr>
        <w:pStyle w:val="Heading4"/>
      </w:pPr>
      <w:r w:rsidRPr="000665B0">
        <w:t>Add the Target to the collection of Targets.</w:t>
      </w:r>
    </w:p>
    <w:p w14:paraId="0637E4CD" w14:textId="7F16A127" w:rsidR="007D1545" w:rsidRPr="000665B0" w:rsidRDefault="007D1545" w:rsidP="006D5A65">
      <w:pPr>
        <w:pStyle w:val="Heading3"/>
      </w:pPr>
      <w:r w:rsidRPr="000665B0">
        <w:t xml:space="preserve">Expand all other types of </w:t>
      </w:r>
      <w:r w:rsidR="00A144B9" w:rsidRPr="000665B0">
        <w:t>Targets</w:t>
      </w:r>
      <w:r w:rsidRPr="000665B0">
        <w:t>.</w:t>
      </w:r>
    </w:p>
    <w:p w14:paraId="29514845" w14:textId="77777777" w:rsidR="007D1545" w:rsidRPr="000665B0" w:rsidRDefault="007D1545" w:rsidP="006D5A65">
      <w:pPr>
        <w:pStyle w:val="Heading4"/>
      </w:pPr>
      <w:r w:rsidRPr="000665B0">
        <w:t>Add the Target to the collection of Targets.</w:t>
      </w:r>
    </w:p>
    <w:p w14:paraId="2E4E3C18" w14:textId="4CD54B2B" w:rsidR="007D1545" w:rsidRPr="000665B0" w:rsidRDefault="007D1545" w:rsidP="006D5A65">
      <w:pPr>
        <w:pStyle w:val="Heading4"/>
      </w:pPr>
      <w:r w:rsidRPr="000665B0">
        <w:t>Find and add all of the Targets that contain the same Target type ID (</w:t>
      </w:r>
      <w:r w:rsidR="003509EA" w:rsidRPr="000665B0">
        <w:t xml:space="preserve">i.e., </w:t>
      </w:r>
      <w:r w:rsidRPr="000665B0">
        <w:t xml:space="preserve">if the type is a BE, then add all Targets with the same BE.) If the type is a </w:t>
      </w:r>
      <w:r w:rsidR="000A0E60" w:rsidRPr="000665B0">
        <w:t>JDPI</w:t>
      </w:r>
      <w:r w:rsidRPr="000665B0">
        <w:t xml:space="preserve">, then add all Targets with the same </w:t>
      </w:r>
      <w:r w:rsidR="000A0E60" w:rsidRPr="000665B0">
        <w:t>JDPI</w:t>
      </w:r>
      <w:r w:rsidRPr="000665B0">
        <w:t>.</w:t>
      </w:r>
    </w:p>
    <w:p w14:paraId="0A6421AD" w14:textId="77777777" w:rsidR="007D1545" w:rsidRPr="000665B0" w:rsidRDefault="007D1545" w:rsidP="006D5A65">
      <w:pPr>
        <w:pStyle w:val="Heading2"/>
      </w:pPr>
      <w:r w:rsidRPr="000665B0">
        <w:t>Get the collection of unique Mission IDs from all of the applied Mission Libraries.</w:t>
      </w:r>
    </w:p>
    <w:p w14:paraId="3E6CA77A" w14:textId="77777777" w:rsidR="007D1545" w:rsidRPr="000665B0" w:rsidRDefault="007D1545" w:rsidP="006D5A65">
      <w:pPr>
        <w:pStyle w:val="Heading2"/>
      </w:pPr>
      <w:r w:rsidRPr="000665B0">
        <w:t>Get the collection of unique Mission IDs from all of the applied Mission Query results.</w:t>
      </w:r>
    </w:p>
    <w:p w14:paraId="6961C94C" w14:textId="77777777" w:rsidR="007D1545" w:rsidRPr="000665B0" w:rsidRDefault="007D1545" w:rsidP="006D5A65">
      <w:pPr>
        <w:pStyle w:val="Heading2"/>
      </w:pPr>
      <w:r w:rsidRPr="000665B0">
        <w:t>Get the collection of unique Mission IDs that are in both of the Mission ID collections. This is the filtered Mission IDs.</w:t>
      </w:r>
    </w:p>
    <w:p w14:paraId="67746630" w14:textId="77777777" w:rsidR="007D1545" w:rsidRPr="000665B0" w:rsidRDefault="007D1545" w:rsidP="006D5A65">
      <w:pPr>
        <w:pStyle w:val="Heading2"/>
      </w:pPr>
      <w:r w:rsidRPr="000665B0">
        <w:t>Get the Mission candidates.</w:t>
      </w:r>
    </w:p>
    <w:p w14:paraId="778129C2" w14:textId="77777777" w:rsidR="007D1545" w:rsidRPr="000665B0" w:rsidRDefault="007D1545" w:rsidP="006D5A65">
      <w:pPr>
        <w:pStyle w:val="Heading3"/>
      </w:pPr>
      <w:r w:rsidRPr="000665B0">
        <w:lastRenderedPageBreak/>
        <w:t>For each of the Targets.</w:t>
      </w:r>
    </w:p>
    <w:p w14:paraId="312BEE04" w14:textId="77777777" w:rsidR="007D1545" w:rsidRPr="000665B0" w:rsidRDefault="007D1545" w:rsidP="006D5A65">
      <w:pPr>
        <w:pStyle w:val="Heading4"/>
      </w:pPr>
      <w:r w:rsidRPr="000665B0">
        <w:t>Get the Mission outcomes that match any of the Target IDs.</w:t>
      </w:r>
    </w:p>
    <w:p w14:paraId="7D56D0B6" w14:textId="77777777" w:rsidR="007D1545" w:rsidRPr="000665B0" w:rsidRDefault="007D1545" w:rsidP="006D5A65">
      <w:pPr>
        <w:pStyle w:val="Heading5"/>
      </w:pPr>
      <w:r w:rsidRPr="000665B0">
        <w:t>If the Target has a BE and Aimpoint ID, then only get the Mission outcomes that match both of these.</w:t>
      </w:r>
    </w:p>
    <w:p w14:paraId="0691DE57" w14:textId="77777777" w:rsidR="007D1545" w:rsidRPr="000665B0" w:rsidRDefault="007D1545" w:rsidP="006D5A65">
      <w:pPr>
        <w:pStyle w:val="Heading4"/>
      </w:pPr>
      <w:r w:rsidRPr="000665B0">
        <w:t xml:space="preserve">If the Tasking for the Target Requires </w:t>
      </w:r>
      <w:r w:rsidR="00224185" w:rsidRPr="000665B0">
        <w:t>109E</w:t>
      </w:r>
      <w:r w:rsidRPr="000665B0">
        <w:t>, then go through the Missions and remove the non-</w:t>
      </w:r>
      <w:r w:rsidR="00224185" w:rsidRPr="000665B0">
        <w:t>109E</w:t>
      </w:r>
      <w:r w:rsidRPr="000665B0">
        <w:t xml:space="preserve"> Missions.</w:t>
      </w:r>
    </w:p>
    <w:p w14:paraId="250B6BC6" w14:textId="77777777" w:rsidR="003827DF" w:rsidRPr="000665B0" w:rsidRDefault="003827DF" w:rsidP="006D5A65">
      <w:pPr>
        <w:pStyle w:val="Heading4"/>
      </w:pPr>
      <w:r w:rsidRPr="000665B0">
        <w:t>If the Strike Folder has a Folder class of Tactical, remove the Test Missions.</w:t>
      </w:r>
    </w:p>
    <w:p w14:paraId="42325F4D" w14:textId="77777777" w:rsidR="007D1545" w:rsidRPr="000665B0" w:rsidRDefault="007D1545" w:rsidP="006D5A65">
      <w:pPr>
        <w:pStyle w:val="Heading4"/>
      </w:pPr>
      <w:r w:rsidRPr="000665B0">
        <w:t>Remove the Mission outcomes that are not in the collection of filtered Mission IDs.</w:t>
      </w:r>
    </w:p>
    <w:p w14:paraId="217ED4AE" w14:textId="77777777" w:rsidR="007D1545" w:rsidRPr="000665B0" w:rsidRDefault="007D1545" w:rsidP="006D5A65">
      <w:pPr>
        <w:pStyle w:val="Heading4"/>
      </w:pPr>
      <w:r w:rsidRPr="000665B0">
        <w:t>Remove the Mission outcomes that were previously hidden.</w:t>
      </w:r>
    </w:p>
    <w:p w14:paraId="19B1EA89" w14:textId="77777777" w:rsidR="007D1545" w:rsidRPr="000665B0" w:rsidRDefault="007D1545" w:rsidP="006D5A65">
      <w:pPr>
        <w:pStyle w:val="Heading4"/>
      </w:pPr>
      <w:r w:rsidRPr="000665B0">
        <w:t>Add the remaining Mission outcomes to the collection of Mission candidates.</w:t>
      </w:r>
    </w:p>
    <w:p w14:paraId="597F3CA5" w14:textId="77777777" w:rsidR="007D1545" w:rsidRPr="000665B0" w:rsidRDefault="007D1545" w:rsidP="006D5A65">
      <w:pPr>
        <w:pStyle w:val="Heading2"/>
      </w:pPr>
      <w:r w:rsidRPr="000665B0">
        <w:t>Get the TMPR candidates.</w:t>
      </w:r>
    </w:p>
    <w:p w14:paraId="01466C99" w14:textId="77777777" w:rsidR="007D1545" w:rsidRPr="000665B0" w:rsidRDefault="007D1545" w:rsidP="006D5A65">
      <w:pPr>
        <w:pStyle w:val="Heading3"/>
      </w:pPr>
      <w:r w:rsidRPr="000665B0">
        <w:t>For each of the Targets.</w:t>
      </w:r>
    </w:p>
    <w:p w14:paraId="05C0D738" w14:textId="77777777" w:rsidR="007D1545" w:rsidRPr="000665B0" w:rsidRDefault="007D1545" w:rsidP="006D5A65">
      <w:pPr>
        <w:pStyle w:val="Heading4"/>
      </w:pPr>
      <w:r w:rsidRPr="000665B0">
        <w:t>Get the TMPR that match any of the Target IDs.</w:t>
      </w:r>
    </w:p>
    <w:p w14:paraId="520D2435" w14:textId="77777777" w:rsidR="007D1545" w:rsidRPr="000665B0" w:rsidRDefault="007D1545" w:rsidP="006D5A65">
      <w:pPr>
        <w:pStyle w:val="Heading5"/>
      </w:pPr>
      <w:r w:rsidRPr="000665B0">
        <w:t>If the Target has a BE and Aimpoint ID, then only get the TMPR that match both of these.</w:t>
      </w:r>
    </w:p>
    <w:p w14:paraId="5D32F8AD" w14:textId="77777777" w:rsidR="007D1545" w:rsidRPr="000665B0" w:rsidRDefault="007D1545" w:rsidP="006D5A65">
      <w:pPr>
        <w:pStyle w:val="Heading4"/>
      </w:pPr>
      <w:r w:rsidRPr="000665B0">
        <w:t xml:space="preserve">If the Tasking for the Target Requires </w:t>
      </w:r>
      <w:r w:rsidR="00224185" w:rsidRPr="000665B0">
        <w:t>109E</w:t>
      </w:r>
      <w:r w:rsidRPr="000665B0">
        <w:t>, then go through the TMPRs and remove the non-</w:t>
      </w:r>
      <w:r w:rsidR="00224185" w:rsidRPr="000665B0">
        <w:t>109E</w:t>
      </w:r>
      <w:r w:rsidRPr="000665B0">
        <w:t xml:space="preserve"> TMPRs.</w:t>
      </w:r>
    </w:p>
    <w:p w14:paraId="077AE343" w14:textId="77777777" w:rsidR="007D1545" w:rsidRPr="000665B0" w:rsidRDefault="007D1545" w:rsidP="006D5A65">
      <w:pPr>
        <w:pStyle w:val="Heading4"/>
      </w:pPr>
      <w:r w:rsidRPr="000665B0">
        <w:t>Remove the TMPRs that were previously hidden.</w:t>
      </w:r>
    </w:p>
    <w:p w14:paraId="106D2FB9" w14:textId="77777777" w:rsidR="007D1545" w:rsidRPr="000665B0" w:rsidRDefault="007D1545" w:rsidP="006D5A65">
      <w:pPr>
        <w:pStyle w:val="Heading4"/>
      </w:pPr>
      <w:r w:rsidRPr="000665B0">
        <w:t>Add the remaining TMPRs to the collection of TMPR candidates.</w:t>
      </w:r>
    </w:p>
    <w:p w14:paraId="47CC9064" w14:textId="77777777" w:rsidR="007D1545" w:rsidRPr="000665B0" w:rsidRDefault="007D1545" w:rsidP="006D5A65">
      <w:pPr>
        <w:pStyle w:val="Heading2"/>
      </w:pPr>
      <w:r w:rsidRPr="000665B0">
        <w:t>Get the LMO candidates.</w:t>
      </w:r>
    </w:p>
    <w:p w14:paraId="0DCC3169" w14:textId="77777777" w:rsidR="007D1545" w:rsidRPr="000665B0" w:rsidRDefault="007D1545" w:rsidP="006D5A65">
      <w:pPr>
        <w:pStyle w:val="Heading3"/>
      </w:pPr>
      <w:r w:rsidRPr="000665B0">
        <w:lastRenderedPageBreak/>
        <w:t>For each of the Targets.</w:t>
      </w:r>
    </w:p>
    <w:p w14:paraId="6D903DE4" w14:textId="77777777" w:rsidR="007D1545" w:rsidRPr="000665B0" w:rsidRDefault="007D1545" w:rsidP="006D5A65">
      <w:pPr>
        <w:pStyle w:val="Heading4"/>
      </w:pPr>
      <w:r w:rsidRPr="000665B0">
        <w:t>Get the LMO that match any of the Target IDs.</w:t>
      </w:r>
    </w:p>
    <w:p w14:paraId="51A34F3C" w14:textId="77777777" w:rsidR="007D1545" w:rsidRPr="000665B0" w:rsidRDefault="007D1545" w:rsidP="006D5A65">
      <w:pPr>
        <w:pStyle w:val="Heading5"/>
      </w:pPr>
      <w:r w:rsidRPr="000665B0">
        <w:t>If the Target has a BE and Aimpoint ID, then only get the LMO that were created from a Target with the same BE and Aimpoint ID.</w:t>
      </w:r>
    </w:p>
    <w:p w14:paraId="012390EF" w14:textId="77777777" w:rsidR="007D1545" w:rsidRPr="000665B0" w:rsidRDefault="007D1545" w:rsidP="006D5A65">
      <w:pPr>
        <w:pStyle w:val="Heading4"/>
      </w:pPr>
      <w:r w:rsidRPr="000665B0">
        <w:t xml:space="preserve">If the Tasking for the Target Requires </w:t>
      </w:r>
      <w:r w:rsidR="00224185" w:rsidRPr="000665B0">
        <w:t>109E</w:t>
      </w:r>
      <w:r w:rsidRPr="000665B0">
        <w:t xml:space="preserve">, then go through the LMOs and remove the LMOs that do not have </w:t>
      </w:r>
      <w:r w:rsidR="00283617" w:rsidRPr="000665B0">
        <w:t>109E</w:t>
      </w:r>
      <w:r w:rsidRPr="000665B0">
        <w:t xml:space="preserve"> required.</w:t>
      </w:r>
    </w:p>
    <w:p w14:paraId="4C7BD606" w14:textId="77777777" w:rsidR="007D1545" w:rsidRPr="000665B0" w:rsidRDefault="007D1545" w:rsidP="006D5A65">
      <w:pPr>
        <w:pStyle w:val="Heading4"/>
      </w:pPr>
      <w:r w:rsidRPr="000665B0">
        <w:t>Remove the LMOs that were previously hidden.</w:t>
      </w:r>
    </w:p>
    <w:p w14:paraId="45CE7CAC" w14:textId="77777777" w:rsidR="007D1545" w:rsidRPr="000665B0" w:rsidRDefault="007D1545" w:rsidP="006D5A65">
      <w:pPr>
        <w:pStyle w:val="Heading4"/>
      </w:pPr>
      <w:r w:rsidRPr="000665B0">
        <w:t>Add the remaining LMOs to the collection of LMO candidates.</w:t>
      </w:r>
    </w:p>
    <w:p w14:paraId="1D91A548" w14:textId="77777777" w:rsidR="00915BBD" w:rsidRPr="000665B0" w:rsidRDefault="00915BBD" w:rsidP="009570CA">
      <w:pPr>
        <w:tabs>
          <w:tab w:val="left" w:pos="720"/>
        </w:tabs>
      </w:pPr>
      <w:r w:rsidRPr="000665B0">
        <w:t xml:space="preserve">To </w:t>
      </w:r>
      <w:r w:rsidR="001008B7" w:rsidRPr="000665B0">
        <w:t>invoke the Candidates Matrix</w:t>
      </w:r>
      <w:r w:rsidRPr="000665B0">
        <w:t>:</w:t>
      </w:r>
    </w:p>
    <w:p w14:paraId="777E89FA" w14:textId="77777777" w:rsidR="00915BBD" w:rsidRPr="000665B0" w:rsidRDefault="00915BBD" w:rsidP="006D5A65">
      <w:pPr>
        <w:pStyle w:val="Heading1"/>
      </w:pPr>
      <w:r w:rsidRPr="000665B0">
        <w:t xml:space="preserve">From the main </w:t>
      </w:r>
      <w:r w:rsidRPr="000665B0">
        <w:rPr>
          <w:i/>
        </w:rPr>
        <w:t>Strike Folders</w:t>
      </w:r>
      <w:r w:rsidRPr="000665B0">
        <w:t xml:space="preserve"> window highlight the appropriate Strike Folder. </w:t>
      </w:r>
    </w:p>
    <w:p w14:paraId="4C803F52" w14:textId="6C1D7356" w:rsidR="00915BBD" w:rsidRPr="000665B0" w:rsidRDefault="0037038E" w:rsidP="006D5A65">
      <w:pPr>
        <w:pStyle w:val="Heading1"/>
      </w:pPr>
      <w:r w:rsidRPr="000665B0">
        <w:t>Double-click</w:t>
      </w:r>
      <w:r w:rsidR="00915BBD" w:rsidRPr="000665B0">
        <w:t xml:space="preserve"> to display the Strike Folder </w:t>
      </w:r>
      <w:r w:rsidR="00FF3DAF" w:rsidRPr="000665B0">
        <w:t>textually or</w:t>
      </w:r>
      <w:r w:rsidR="00915BBD" w:rsidRPr="000665B0">
        <w:t xml:space="preserve"> invoke the context menu (</w:t>
      </w:r>
      <w:r w:rsidR="00D71804" w:rsidRPr="000665B0">
        <w:t>right-click</w:t>
      </w:r>
      <w:r w:rsidR="00915BBD" w:rsidRPr="000665B0">
        <w:t xml:space="preserve"> the mouse) and select Display </w:t>
      </w:r>
      <w:r w:rsidR="00915BBD" w:rsidRPr="000665B0">
        <w:sym w:font="Wingdings 3" w:char="F07D"/>
      </w:r>
      <w:r w:rsidR="00915BBD" w:rsidRPr="000665B0">
        <w:t xml:space="preserve"> </w:t>
      </w:r>
      <w:r w:rsidR="00A144B9" w:rsidRPr="000665B0">
        <w:t>Textually or</w:t>
      </w:r>
      <w:r w:rsidR="00915BBD" w:rsidRPr="000665B0">
        <w:t xml:space="preserve"> select File </w:t>
      </w:r>
      <w:r w:rsidR="00915BBD" w:rsidRPr="000665B0">
        <w:sym w:font="Wingdings" w:char="F0E0"/>
      </w:r>
      <w:r w:rsidR="00915BBD" w:rsidRPr="000665B0">
        <w:t xml:space="preserve"> Display </w:t>
      </w:r>
      <w:r w:rsidR="00915BBD" w:rsidRPr="000665B0">
        <w:sym w:font="Wingdings 3" w:char="F07D"/>
      </w:r>
      <w:r w:rsidR="00915BBD" w:rsidRPr="000665B0">
        <w:t xml:space="preserve"> Textually. </w:t>
      </w:r>
    </w:p>
    <w:p w14:paraId="6F09FE3C" w14:textId="3074A2E1" w:rsidR="00915BBD" w:rsidRPr="000665B0" w:rsidRDefault="00915BBD" w:rsidP="006D5A65">
      <w:pPr>
        <w:pStyle w:val="Heading1"/>
      </w:pPr>
      <w:r w:rsidRPr="000665B0">
        <w:t xml:space="preserve">From the </w:t>
      </w:r>
      <w:r w:rsidRPr="000665B0">
        <w:rPr>
          <w:i/>
        </w:rPr>
        <w:t>Strike Folder xxxxx-xxxxx</w:t>
      </w:r>
      <w:r w:rsidRPr="000665B0">
        <w:t xml:space="preserve"> window, </w:t>
      </w:r>
      <w:r w:rsidR="0037038E" w:rsidRPr="000665B0">
        <w:t>double-click</w:t>
      </w:r>
      <w:r w:rsidRPr="000665B0">
        <w:t xml:space="preserve"> the </w:t>
      </w:r>
      <w:r w:rsidR="001008B7" w:rsidRPr="000665B0">
        <w:t>Candidates Matrix</w:t>
      </w:r>
      <w:r w:rsidRPr="000665B0">
        <w:t xml:space="preserve"> </w:t>
      </w:r>
      <w:r w:rsidR="00493AB7" w:rsidRPr="000665B0">
        <w:rPr>
          <w:noProof/>
        </w:rPr>
        <w:drawing>
          <wp:inline distT="0" distB="0" distL="0" distR="0" wp14:anchorId="111F7C22" wp14:editId="63EA7263">
            <wp:extent cx="152400" cy="152400"/>
            <wp:effectExtent l="19050" t="0" r="0" b="0"/>
            <wp:docPr id="503" name="Picture 503" descr="MissCand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MissCandMat"/>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w:t>
      </w:r>
      <w:r w:rsidR="00493AB7" w:rsidRPr="000665B0">
        <w:t xml:space="preserve">The search for qualified Missions is automatically </w:t>
      </w:r>
      <w:r w:rsidR="005E3370" w:rsidRPr="000665B0">
        <w:t>executed</w:t>
      </w:r>
      <w:r w:rsidR="00493AB7" w:rsidRPr="000665B0">
        <w:t xml:space="preserve"> and t</w:t>
      </w:r>
      <w:r w:rsidRPr="000665B0">
        <w:t xml:space="preserve">he </w:t>
      </w:r>
      <w:r w:rsidR="00493AB7" w:rsidRPr="000665B0">
        <w:rPr>
          <w:i/>
        </w:rPr>
        <w:t>Mission Candidates Matrix</w:t>
      </w:r>
      <w:r w:rsidRPr="000665B0">
        <w:rPr>
          <w:i/>
        </w:rPr>
        <w:t xml:space="preserve"> for Strike Folder: xxxxx-xxxxx</w:t>
      </w:r>
      <w:r w:rsidRPr="000665B0">
        <w:t xml:space="preserve"> window is displayed.</w:t>
      </w:r>
      <w:r w:rsidR="00351E53" w:rsidRPr="000665B0">
        <w:t xml:space="preserve"> </w:t>
      </w:r>
      <w:r w:rsidR="002B7F88" w:rsidRPr="000665B0">
        <w:t xml:space="preserve">Note that each time that the Candidates Matrix is invoked, the search for qualified Missions automatically </w:t>
      </w:r>
      <w:r w:rsidR="005E3370" w:rsidRPr="000665B0">
        <w:t xml:space="preserve">executes. </w:t>
      </w:r>
      <w:r w:rsidR="000B7D86" w:rsidRPr="000665B0">
        <w:t>When the search is executed</w:t>
      </w:r>
      <w:r w:rsidR="009C443D" w:rsidRPr="000665B0">
        <w:t>,</w:t>
      </w:r>
      <w:r w:rsidR="002B7F88" w:rsidRPr="000665B0">
        <w:t xml:space="preserve"> </w:t>
      </w:r>
      <w:r w:rsidR="005E3370" w:rsidRPr="000665B0">
        <w:t xml:space="preserve">the resulting Candidates list is updated, </w:t>
      </w:r>
      <w:r w:rsidR="002B7F88" w:rsidRPr="000665B0">
        <w:t xml:space="preserve">based on changes made in the system (Missions added, deleted, </w:t>
      </w:r>
      <w:r w:rsidR="005E3370" w:rsidRPr="000665B0">
        <w:t xml:space="preserve">filters activated, </w:t>
      </w:r>
      <w:r w:rsidR="002B7F88" w:rsidRPr="000665B0">
        <w:t xml:space="preserve">etc.). </w:t>
      </w:r>
    </w:p>
    <w:p w14:paraId="6D6B2EA4" w14:textId="7794AF86" w:rsidR="00915BBD" w:rsidRPr="000665B0" w:rsidRDefault="007E19D8" w:rsidP="009570CA">
      <w:pPr>
        <w:tabs>
          <w:tab w:val="left" w:pos="720"/>
        </w:tabs>
        <w:jc w:val="center"/>
      </w:pPr>
      <w:r w:rsidRPr="000665B0">
        <w:rPr>
          <w:noProof/>
        </w:rPr>
        <w:drawing>
          <wp:inline distT="0" distB="0" distL="0" distR="0" wp14:anchorId="1286F571" wp14:editId="5D39D159">
            <wp:extent cx="4983480" cy="2423160"/>
            <wp:effectExtent l="0" t="0" r="0" b="0"/>
            <wp:docPr id="2221" name="Picture 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2423160"/>
                    </a:xfrm>
                    <a:prstGeom prst="rect">
                      <a:avLst/>
                    </a:prstGeom>
                  </pic:spPr>
                </pic:pic>
              </a:graphicData>
            </a:graphic>
          </wp:inline>
        </w:drawing>
      </w:r>
    </w:p>
    <w:p w14:paraId="43E94AAE" w14:textId="72AAFD7E" w:rsidR="00915BBD" w:rsidRPr="000665B0" w:rsidRDefault="00915BBD" w:rsidP="006D5A65">
      <w:pPr>
        <w:pStyle w:val="Heading1"/>
      </w:pPr>
      <w:r w:rsidRPr="000665B0">
        <w:lastRenderedPageBreak/>
        <w:t>Add</w:t>
      </w:r>
      <w:r w:rsidRPr="000665B0">
        <w:rPr>
          <w:bCs/>
        </w:rPr>
        <w:t xml:space="preserve"> </w:t>
      </w:r>
      <w:r w:rsidR="00493AB7" w:rsidRPr="000665B0">
        <w:t>Filters in the form of Mission Library(ies) or Query(ies) if desired</w:t>
      </w:r>
      <w:r w:rsidRPr="000665B0">
        <w:t>.</w:t>
      </w:r>
      <w:r w:rsidR="00493AB7" w:rsidRPr="000665B0">
        <w:t xml:space="preserve"> See</w:t>
      </w:r>
      <w:r w:rsidR="00C4631D" w:rsidRPr="000665B0">
        <w:t xml:space="preserve"> </w:t>
      </w:r>
      <w:hyperlink w:anchor="_5.37.4.1__Filters" w:history="1">
        <w:r w:rsidR="009326FE" w:rsidRPr="000665B0">
          <w:rPr>
            <w:rStyle w:val="Hyperlink"/>
          </w:rPr>
          <w:t xml:space="preserve">Section </w:t>
        </w:r>
        <w:r w:rsidR="004231CC">
          <w:rPr>
            <w:rStyle w:val="Hyperlink"/>
          </w:rPr>
          <w:t>5.34</w:t>
        </w:r>
        <w:r w:rsidR="00C4631D" w:rsidRPr="000665B0">
          <w:rPr>
            <w:rStyle w:val="Hyperlink"/>
          </w:rPr>
          <w:t>.</w:t>
        </w:r>
        <w:r w:rsidR="0089269C" w:rsidRPr="000665B0">
          <w:rPr>
            <w:rStyle w:val="Hyperlink"/>
          </w:rPr>
          <w:t>5</w:t>
        </w:r>
        <w:r w:rsidR="00C4631D" w:rsidRPr="000665B0">
          <w:rPr>
            <w:rStyle w:val="Hyperlink"/>
          </w:rPr>
          <w:t>.1</w:t>
        </w:r>
      </w:hyperlink>
      <w:r w:rsidR="00C4631D" w:rsidRPr="000665B0">
        <w:t xml:space="preserve">. </w:t>
      </w:r>
      <w:r w:rsidR="002B7F88" w:rsidRPr="000665B0">
        <w:t>When Filters are added, removed, activated, or deactivated</w:t>
      </w:r>
      <w:r w:rsidR="008C2464" w:rsidRPr="000665B0">
        <w:t xml:space="preserve">, the Execute Query </w:t>
      </w:r>
      <w:r w:rsidR="001E7F29" w:rsidRPr="000665B0">
        <w:rPr>
          <w:noProof/>
        </w:rPr>
        <w:drawing>
          <wp:inline distT="0" distB="0" distL="0" distR="0" wp14:anchorId="6D449BEB" wp14:editId="2C42EE07">
            <wp:extent cx="152400" cy="152400"/>
            <wp:effectExtent l="1905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1E7F29" w:rsidRPr="000665B0">
        <w:t xml:space="preserve"> </w:t>
      </w:r>
      <w:r w:rsidR="0043623E" w:rsidRPr="000665B0">
        <w:t>button</w:t>
      </w:r>
      <w:r w:rsidR="0043623E" w:rsidRPr="000665B0">
        <w:rPr>
          <w:bCs/>
        </w:rPr>
        <w:t xml:space="preserve"> </w:t>
      </w:r>
      <w:r w:rsidR="0043623E" w:rsidRPr="000665B0">
        <w:t>turns</w:t>
      </w:r>
      <w:r w:rsidR="008C2464" w:rsidRPr="000665B0">
        <w:t xml:space="preserve"> yellow.</w:t>
      </w:r>
      <w:r w:rsidR="002B7F88" w:rsidRPr="000665B0">
        <w:t xml:space="preserve"> </w:t>
      </w:r>
      <w:r w:rsidR="008C2464" w:rsidRPr="000665B0">
        <w:t xml:space="preserve">Click to </w:t>
      </w:r>
      <w:r w:rsidR="001E7F29" w:rsidRPr="000665B0">
        <w:rPr>
          <w:szCs w:val="24"/>
        </w:rPr>
        <w:t>search for</w:t>
      </w:r>
      <w:r w:rsidR="008C2464" w:rsidRPr="000665B0">
        <w:rPr>
          <w:szCs w:val="24"/>
        </w:rPr>
        <w:t xml:space="preserve"> </w:t>
      </w:r>
      <w:r w:rsidR="00C27382" w:rsidRPr="000665B0">
        <w:rPr>
          <w:szCs w:val="24"/>
        </w:rPr>
        <w:t>c</w:t>
      </w:r>
      <w:r w:rsidR="008C2464" w:rsidRPr="000665B0">
        <w:rPr>
          <w:szCs w:val="24"/>
        </w:rPr>
        <w:t>andidates based on the current settings</w:t>
      </w:r>
      <w:r w:rsidR="001E7F29" w:rsidRPr="000665B0">
        <w:rPr>
          <w:szCs w:val="24"/>
        </w:rPr>
        <w:t>.</w:t>
      </w:r>
    </w:p>
    <w:p w14:paraId="67E2CDD9" w14:textId="77777777" w:rsidR="005E3370" w:rsidRPr="000665B0" w:rsidRDefault="005E3370"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02FFF978" w14:textId="6A64DC6B" w:rsidR="002B7F88" w:rsidRPr="000665B0" w:rsidRDefault="002B7F88" w:rsidP="006D5A65">
      <w:pPr>
        <w:pStyle w:val="Heading1"/>
      </w:pPr>
      <w:r w:rsidRPr="000665B0">
        <w:t>Review the Taskings</w:t>
      </w:r>
      <w:r w:rsidR="00A647CE" w:rsidRPr="000665B0">
        <w:t xml:space="preserve"> (see </w:t>
      </w:r>
      <w:hyperlink w:anchor="_5.37.4.2__Taskings" w:history="1">
        <w:r w:rsidR="009326FE" w:rsidRPr="000665B0">
          <w:rPr>
            <w:rStyle w:val="Hyperlink"/>
          </w:rPr>
          <w:t xml:space="preserve">Section </w:t>
        </w:r>
        <w:r w:rsidR="004231CC">
          <w:rPr>
            <w:rStyle w:val="Hyperlink"/>
          </w:rPr>
          <w:t>5.34</w:t>
        </w:r>
        <w:r w:rsidR="00A647CE" w:rsidRPr="000665B0">
          <w:rPr>
            <w:rStyle w:val="Hyperlink"/>
          </w:rPr>
          <w:t>.5.2</w:t>
        </w:r>
      </w:hyperlink>
      <w:r w:rsidR="00A647CE" w:rsidRPr="000665B0">
        <w:rPr>
          <w:rStyle w:val="Hyperlink"/>
        </w:rPr>
        <w:t>)</w:t>
      </w:r>
      <w:r w:rsidRPr="000665B0">
        <w:t xml:space="preserve"> and Candidates</w:t>
      </w:r>
      <w:r w:rsidR="00A647CE" w:rsidRPr="000665B0">
        <w:t xml:space="preserve"> (see</w:t>
      </w:r>
      <w:r w:rsidRPr="000665B0">
        <w:t xml:space="preserve"> </w:t>
      </w:r>
      <w:hyperlink w:anchor="_5.37.4.3__Candidates" w:history="1">
        <w:r w:rsidR="009326FE" w:rsidRPr="000665B0">
          <w:rPr>
            <w:rStyle w:val="Hyperlink"/>
          </w:rPr>
          <w:t xml:space="preserve">Section </w:t>
        </w:r>
        <w:r w:rsidR="004231CC">
          <w:rPr>
            <w:rStyle w:val="Hyperlink"/>
          </w:rPr>
          <w:t>5.34</w:t>
        </w:r>
        <w:r w:rsidRPr="000665B0">
          <w:rPr>
            <w:rStyle w:val="Hyperlink"/>
          </w:rPr>
          <w:t>.</w:t>
        </w:r>
        <w:r w:rsidR="0089269C" w:rsidRPr="000665B0">
          <w:rPr>
            <w:rStyle w:val="Hyperlink"/>
          </w:rPr>
          <w:t>5</w:t>
        </w:r>
        <w:r w:rsidRPr="000665B0">
          <w:rPr>
            <w:rStyle w:val="Hyperlink"/>
          </w:rPr>
          <w:t>.3</w:t>
        </w:r>
      </w:hyperlink>
      <w:r w:rsidR="00A647CE" w:rsidRPr="000665B0">
        <w:rPr>
          <w:rStyle w:val="Hyperlink"/>
        </w:rPr>
        <w:t>)</w:t>
      </w:r>
      <w:r w:rsidRPr="000665B0">
        <w:t>.</w:t>
      </w:r>
    </w:p>
    <w:p w14:paraId="311218D5" w14:textId="7FC87F28" w:rsidR="00A22AB3" w:rsidRPr="000665B0" w:rsidRDefault="00A22AB3" w:rsidP="009570CA">
      <w:pPr>
        <w:pStyle w:val="Heading4"/>
        <w:tabs>
          <w:tab w:val="left" w:pos="720"/>
        </w:tabs>
      </w:pPr>
      <w:bookmarkStart w:id="6245" w:name="_5.37.4.1__Filters"/>
      <w:bookmarkStart w:id="6246" w:name="_Toc289328854"/>
      <w:bookmarkStart w:id="6247" w:name="_Toc96170277"/>
      <w:bookmarkStart w:id="6248" w:name="_Toc96234322"/>
      <w:bookmarkStart w:id="6249" w:name="_Toc112733742"/>
      <w:bookmarkStart w:id="6250" w:name="_Toc164499432"/>
      <w:bookmarkStart w:id="6251" w:name="_Toc71955746"/>
      <w:bookmarkStart w:id="6252" w:name="_Toc71955747"/>
      <w:bookmarkStart w:id="6253" w:name="_Toc96170282"/>
      <w:bookmarkStart w:id="6254" w:name="_Toc96234327"/>
      <w:bookmarkStart w:id="6255" w:name="_Toc112733747"/>
      <w:bookmarkEnd w:id="6240"/>
      <w:bookmarkEnd w:id="6241"/>
      <w:bookmarkEnd w:id="6242"/>
      <w:bookmarkEnd w:id="6243"/>
      <w:bookmarkEnd w:id="6244"/>
      <w:bookmarkEnd w:id="6245"/>
      <w:r w:rsidRPr="000665B0">
        <w:t>Filters</w:t>
      </w:r>
      <w:bookmarkEnd w:id="6246"/>
    </w:p>
    <w:p w14:paraId="1E4F6B9D" w14:textId="77777777" w:rsidR="007251FE" w:rsidRPr="000665B0" w:rsidRDefault="007251FE" w:rsidP="009570CA">
      <w:pPr>
        <w:tabs>
          <w:tab w:val="left" w:pos="720"/>
        </w:tabs>
      </w:pPr>
      <w:r w:rsidRPr="000665B0">
        <w:t xml:space="preserve">The </w:t>
      </w:r>
      <w:r w:rsidRPr="000665B0">
        <w:rPr>
          <w:b/>
        </w:rPr>
        <w:t>Filters</w:t>
      </w:r>
      <w:r w:rsidRPr="000665B0">
        <w:t xml:space="preserve"> pane </w:t>
      </w:r>
      <w:r w:rsidR="00C81F1F" w:rsidRPr="000665B0">
        <w:t>allows the operator to add, remove, activate, and deactivate</w:t>
      </w:r>
      <w:r w:rsidRPr="000665B0">
        <w:t xml:space="preserve"> </w:t>
      </w:r>
      <w:r w:rsidRPr="000665B0">
        <w:rPr>
          <w:b/>
        </w:rPr>
        <w:t>Mission Libraries</w:t>
      </w:r>
      <w:r w:rsidRPr="000665B0">
        <w:t xml:space="preserve"> and </w:t>
      </w:r>
      <w:r w:rsidRPr="000665B0">
        <w:rPr>
          <w:b/>
        </w:rPr>
        <w:t>Mission Queries</w:t>
      </w:r>
      <w:r w:rsidRPr="000665B0">
        <w:t xml:space="preserve"> </w:t>
      </w:r>
      <w:r w:rsidR="008E7099" w:rsidRPr="000665B0">
        <w:t xml:space="preserve">as filters </w:t>
      </w:r>
      <w:r w:rsidRPr="000665B0">
        <w:t>to narrow the search criteria</w:t>
      </w:r>
      <w:r w:rsidR="00C81F1F" w:rsidRPr="000665B0">
        <w:t xml:space="preserve"> for </w:t>
      </w:r>
      <w:r w:rsidR="008D04EF" w:rsidRPr="000665B0">
        <w:t xml:space="preserve">Mission </w:t>
      </w:r>
      <w:r w:rsidR="00C81F1F" w:rsidRPr="000665B0">
        <w:t>Candidate</w:t>
      </w:r>
      <w:r w:rsidR="008D04EF" w:rsidRPr="000665B0">
        <w:t>s</w:t>
      </w:r>
      <w:r w:rsidRPr="000665B0">
        <w:t>.</w:t>
      </w:r>
    </w:p>
    <w:p w14:paraId="67E03468" w14:textId="56C32619" w:rsidR="00A22AB3" w:rsidRPr="000665B0" w:rsidRDefault="00A22AB3" w:rsidP="009570CA">
      <w:pPr>
        <w:pStyle w:val="Heading5"/>
        <w:tabs>
          <w:tab w:val="left" w:pos="720"/>
        </w:tabs>
      </w:pPr>
      <w:r w:rsidRPr="000665B0">
        <w:t>Mission Librar</w:t>
      </w:r>
      <w:r w:rsidR="00DE74E4" w:rsidRPr="000665B0">
        <w:t>ies</w:t>
      </w:r>
    </w:p>
    <w:p w14:paraId="1F4779D6" w14:textId="77777777" w:rsidR="00A22AB3" w:rsidRPr="000665B0" w:rsidRDefault="00FD6910" w:rsidP="009570CA">
      <w:pPr>
        <w:tabs>
          <w:tab w:val="left" w:pos="720"/>
        </w:tabs>
      </w:pPr>
      <w:r w:rsidRPr="000665B0">
        <w:t xml:space="preserve">One or more </w:t>
      </w:r>
      <w:r w:rsidR="00DE74E4" w:rsidRPr="000665B0">
        <w:t>Mission Libraries can be used to narrow the search criteria for Mission</w:t>
      </w:r>
      <w:r w:rsidR="008D04EF" w:rsidRPr="000665B0">
        <w:t xml:space="preserve"> Candidates</w:t>
      </w:r>
      <w:r w:rsidR="00DE74E4" w:rsidRPr="000665B0">
        <w:t xml:space="preserve">. </w:t>
      </w:r>
      <w:r w:rsidR="008C2464" w:rsidRPr="000665B0">
        <w:t xml:space="preserve">The list </w:t>
      </w:r>
      <w:r w:rsidR="00A22AB3" w:rsidRPr="000665B0">
        <w:t>of Mission Libraries associated with this Mission Candidates Matrix</w:t>
      </w:r>
      <w:r w:rsidR="008C2464" w:rsidRPr="000665B0">
        <w:t xml:space="preserve"> is shown in the </w:t>
      </w:r>
      <w:r w:rsidR="008C2464" w:rsidRPr="000665B0">
        <w:rPr>
          <w:b/>
          <w:i/>
        </w:rPr>
        <w:t>Missions Libraries</w:t>
      </w:r>
      <w:r w:rsidR="008C2464" w:rsidRPr="000665B0">
        <w:t xml:space="preserve"> tab of the </w:t>
      </w:r>
      <w:r w:rsidR="008C2464" w:rsidRPr="000665B0">
        <w:rPr>
          <w:b/>
        </w:rPr>
        <w:t>Filters</w:t>
      </w:r>
      <w:r w:rsidR="008C2464" w:rsidRPr="000665B0">
        <w:t xml:space="preserve"> pane</w:t>
      </w:r>
      <w:r w:rsidR="00A22AB3" w:rsidRPr="000665B0">
        <w:t>. Mission Libraries can be applied or unapplied</w:t>
      </w:r>
      <w:r w:rsidR="001C6AAB" w:rsidRPr="000665B0">
        <w:t xml:space="preserve"> as a filter</w:t>
      </w:r>
      <w:r w:rsidR="00A22AB3" w:rsidRPr="000665B0">
        <w:t xml:space="preserve"> by checking or unchecking the check box in the list view. When the Mission Candidates Matrix applies the Mission Library filters, it will filter out the Missions that are not in one of the applied Mission Libraries. In other words, only the Missions that are found in at least one of the applied Mission Libraries can be possible Mission candidates.</w:t>
      </w:r>
    </w:p>
    <w:p w14:paraId="1419CA7B" w14:textId="77777777" w:rsidR="00A22AB3" w:rsidRPr="000665B0" w:rsidRDefault="00A22AB3" w:rsidP="009570CA">
      <w:pPr>
        <w:tabs>
          <w:tab w:val="left" w:pos="720"/>
        </w:tabs>
      </w:pPr>
      <w:r w:rsidRPr="000665B0">
        <w:t xml:space="preserve">Mission Libraries that were added from the Strike Tasking Matrix </w:t>
      </w:r>
      <w:r w:rsidR="009C443D" w:rsidRPr="000665B0">
        <w:t xml:space="preserve">are </w:t>
      </w:r>
      <w:r w:rsidRPr="000665B0">
        <w:t xml:space="preserve">automatically added to the Mission Candidates Matrix. The Mission Libraries that are added through this process </w:t>
      </w:r>
      <w:r w:rsidR="009C443D" w:rsidRPr="000665B0">
        <w:t xml:space="preserve">are </w:t>
      </w:r>
      <w:r w:rsidRPr="000665B0">
        <w:t>applied by default.</w:t>
      </w:r>
    </w:p>
    <w:p w14:paraId="3C798BF4" w14:textId="77777777" w:rsidR="00C9249A" w:rsidRPr="000665B0" w:rsidRDefault="00C9249A" w:rsidP="009570CA">
      <w:pPr>
        <w:keepNext/>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p>
    <w:p w14:paraId="1DFADD1E" w14:textId="77777777" w:rsidR="00C9249A" w:rsidRPr="000665B0" w:rsidRDefault="00C9249A" w:rsidP="009570CA">
      <w:pPr>
        <w:pBdr>
          <w:top w:val="single" w:sz="12" w:space="1" w:color="auto"/>
          <w:left w:val="single" w:sz="12" w:space="4" w:color="auto"/>
          <w:bottom w:val="single" w:sz="12" w:space="1" w:color="auto"/>
          <w:right w:val="single" w:sz="12" w:space="4" w:color="auto"/>
        </w:pBdr>
        <w:shd w:val="clear" w:color="auto" w:fill="D9D9D9"/>
        <w:tabs>
          <w:tab w:val="left" w:pos="720"/>
        </w:tabs>
        <w:spacing w:after="240"/>
        <w:jc w:val="center"/>
        <w:rPr>
          <w:b/>
        </w:rPr>
      </w:pPr>
      <w:r w:rsidRPr="000665B0">
        <w:rPr>
          <w:b/>
        </w:rPr>
        <w:t>A missing Mission Library will be interpreted as a Mission Library that contains zero Missions. Please ensure that the applied Mission Libraries exist or else the Mission Candidates Matrix may return an undesired result.</w:t>
      </w:r>
    </w:p>
    <w:p w14:paraId="3C019AB2" w14:textId="3BE916F6" w:rsidR="00B0062A" w:rsidRPr="000665B0" w:rsidRDefault="00D616A9" w:rsidP="009570CA">
      <w:pPr>
        <w:tabs>
          <w:tab w:val="left" w:pos="720"/>
        </w:tabs>
        <w:jc w:val="center"/>
        <w:rPr>
          <w:b/>
          <w:i/>
        </w:rPr>
      </w:pPr>
      <w:r w:rsidRPr="000665B0">
        <w:rPr>
          <w:noProof/>
        </w:rPr>
        <w:drawing>
          <wp:inline distT="0" distB="0" distL="0" distR="0" wp14:anchorId="044A22A8" wp14:editId="4AA3982F">
            <wp:extent cx="4983480" cy="640080"/>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640080"/>
                    </a:xfrm>
                    <a:prstGeom prst="rect">
                      <a:avLst/>
                    </a:prstGeom>
                  </pic:spPr>
                </pic:pic>
              </a:graphicData>
            </a:graphic>
          </wp:inline>
        </w:drawing>
      </w:r>
    </w:p>
    <w:p w14:paraId="24986D7E" w14:textId="77777777" w:rsidR="00F85726" w:rsidRPr="000665B0" w:rsidRDefault="00F85726" w:rsidP="009570CA">
      <w:pPr>
        <w:tabs>
          <w:tab w:val="left" w:pos="720"/>
        </w:tabs>
        <w:rPr>
          <w:b/>
          <w:i/>
        </w:rPr>
      </w:pPr>
      <w:r w:rsidRPr="000665B0">
        <w:rPr>
          <w:b/>
          <w:i/>
        </w:rPr>
        <w:t xml:space="preserve">Mission Libraries List View </w:t>
      </w:r>
    </w:p>
    <w:p w14:paraId="06AD318D" w14:textId="77777777" w:rsidR="00F85726" w:rsidRPr="000665B0" w:rsidRDefault="00F85726" w:rsidP="006D5A65">
      <w:pPr>
        <w:pStyle w:val="Heading1"/>
      </w:pPr>
      <w:r w:rsidRPr="000665B0">
        <w:lastRenderedPageBreak/>
        <w:t>Columns</w:t>
      </w:r>
    </w:p>
    <w:p w14:paraId="3D52993B" w14:textId="77777777" w:rsidR="00F85726" w:rsidRPr="000665B0" w:rsidRDefault="00F85726" w:rsidP="006D5A65">
      <w:pPr>
        <w:pStyle w:val="Heading5"/>
      </w:pPr>
      <w:r w:rsidRPr="000665B0">
        <w:t>Library ID – Mission Library ID.</w:t>
      </w:r>
    </w:p>
    <w:p w14:paraId="24CD5051" w14:textId="77777777" w:rsidR="00F85726" w:rsidRPr="000665B0" w:rsidRDefault="00F85726" w:rsidP="006D5A65">
      <w:pPr>
        <w:pStyle w:val="Heading5"/>
      </w:pPr>
      <w:r w:rsidRPr="000665B0">
        <w:t>Type – Shows the Mission Library Type.</w:t>
      </w:r>
    </w:p>
    <w:p w14:paraId="738EEBC5" w14:textId="77777777" w:rsidR="00F85726" w:rsidRPr="000665B0" w:rsidRDefault="00F85726" w:rsidP="006D5A65">
      <w:pPr>
        <w:pStyle w:val="Heading5"/>
      </w:pPr>
      <w:r w:rsidRPr="000665B0">
        <w:t>Name – Mission Library Name.</w:t>
      </w:r>
    </w:p>
    <w:p w14:paraId="4CF7D52F" w14:textId="77777777" w:rsidR="00F85726" w:rsidRPr="000665B0" w:rsidRDefault="00F85726" w:rsidP="006D5A65">
      <w:pPr>
        <w:pStyle w:val="Heading5"/>
      </w:pPr>
      <w:r w:rsidRPr="000665B0">
        <w:t># of Items – The number of items in the Mission Library.</w:t>
      </w:r>
    </w:p>
    <w:p w14:paraId="5ABA4636" w14:textId="77777777" w:rsidR="00F85726" w:rsidRPr="000665B0" w:rsidRDefault="00F85726" w:rsidP="006D5A65">
      <w:pPr>
        <w:pStyle w:val="Heading5"/>
      </w:pPr>
      <w:r w:rsidRPr="000665B0">
        <w:t>Last Modified – Last Modified DTG.</w:t>
      </w:r>
    </w:p>
    <w:p w14:paraId="3724732A" w14:textId="77777777" w:rsidR="00F85726" w:rsidRPr="000665B0" w:rsidRDefault="00F85726" w:rsidP="006D5A65">
      <w:pPr>
        <w:pStyle w:val="Heading5"/>
      </w:pPr>
      <w:r w:rsidRPr="000665B0">
        <w:t>Description – Description of the Mission Library.</w:t>
      </w:r>
    </w:p>
    <w:p w14:paraId="0C62DB2B" w14:textId="77777777" w:rsidR="00F85726" w:rsidRPr="000665B0" w:rsidRDefault="00F85726" w:rsidP="006D5A65">
      <w:pPr>
        <w:pStyle w:val="Heading5"/>
      </w:pPr>
      <w:r w:rsidRPr="000665B0">
        <w:t>Status – Status of the Mission Library. This field will display “Missing Library” when the Mission Library does not exist in MDS.</w:t>
      </w:r>
    </w:p>
    <w:p w14:paraId="477EA9FB" w14:textId="77777777" w:rsidR="008C2464" w:rsidRPr="000665B0" w:rsidRDefault="008C2464" w:rsidP="009570CA">
      <w:pPr>
        <w:tabs>
          <w:tab w:val="left" w:pos="720"/>
        </w:tabs>
      </w:pPr>
      <w:r w:rsidRPr="000665B0">
        <w:t>To add a Mission Library</w:t>
      </w:r>
      <w:r w:rsidR="00FD6910" w:rsidRPr="000665B0">
        <w:t xml:space="preserve"> as a filter:</w:t>
      </w:r>
    </w:p>
    <w:p w14:paraId="614BE636" w14:textId="15D7D7A5" w:rsidR="008C2464" w:rsidRPr="000665B0" w:rsidRDefault="008C2464" w:rsidP="006D5A65">
      <w:pPr>
        <w:pStyle w:val="Heading1"/>
      </w:pPr>
      <w:r w:rsidRPr="000665B0">
        <w:t xml:space="preserve">Click in the open area of the </w:t>
      </w:r>
      <w:r w:rsidRPr="000665B0">
        <w:rPr>
          <w:i/>
        </w:rPr>
        <w:t>Mission Libraries</w:t>
      </w:r>
      <w:r w:rsidRPr="000665B0">
        <w:t xml:space="preserve"> tab. Invoke the context menu (</w:t>
      </w:r>
      <w:r w:rsidR="00D71804" w:rsidRPr="000665B0">
        <w:t>right-click</w:t>
      </w:r>
      <w:r w:rsidRPr="000665B0">
        <w:t xml:space="preserve"> the mouse) and select Add</w:t>
      </w:r>
      <w:r w:rsidR="001E7F29" w:rsidRPr="000665B0">
        <w:t>…</w:t>
      </w:r>
      <w:r w:rsidRPr="000665B0">
        <w:t xml:space="preserve">. The </w:t>
      </w:r>
      <w:r w:rsidRPr="000665B0">
        <w:rPr>
          <w:bCs/>
          <w:i/>
        </w:rPr>
        <w:t>Libraries</w:t>
      </w:r>
      <w:r w:rsidRPr="000665B0">
        <w:t xml:space="preserve"> window is displayed.</w:t>
      </w:r>
    </w:p>
    <w:p w14:paraId="37CB9244" w14:textId="7822AEC3" w:rsidR="008C2464" w:rsidRPr="000665B0" w:rsidRDefault="00D616A9" w:rsidP="009570CA">
      <w:pPr>
        <w:tabs>
          <w:tab w:val="left" w:pos="720"/>
        </w:tabs>
        <w:jc w:val="center"/>
      </w:pPr>
      <w:r w:rsidRPr="000665B0">
        <w:rPr>
          <w:noProof/>
        </w:rPr>
        <w:drawing>
          <wp:inline distT="0" distB="0" distL="0" distR="0" wp14:anchorId="4B00AE85" wp14:editId="2AEC26E4">
            <wp:extent cx="4114800" cy="1856232"/>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1856232"/>
                    </a:xfrm>
                    <a:prstGeom prst="rect">
                      <a:avLst/>
                    </a:prstGeom>
                  </pic:spPr>
                </pic:pic>
              </a:graphicData>
            </a:graphic>
          </wp:inline>
        </w:drawing>
      </w:r>
    </w:p>
    <w:p w14:paraId="17B6FCB8" w14:textId="6FD3FA01" w:rsidR="008C2464" w:rsidRPr="000665B0" w:rsidRDefault="008C2464" w:rsidP="006D5A65">
      <w:pPr>
        <w:pStyle w:val="Heading1"/>
      </w:pPr>
      <w:r w:rsidRPr="000665B0">
        <w:t>Highlight the Mission Library(ies) to be added and click OK.</w:t>
      </w:r>
      <w:r w:rsidR="00680ABE" w:rsidRPr="000665B0">
        <w:t xml:space="preserve"> Alternatively, select the desired Library, </w:t>
      </w:r>
      <w:r w:rsidR="00D71804" w:rsidRPr="000665B0">
        <w:t>right-click</w:t>
      </w:r>
      <w:r w:rsidR="00680ABE" w:rsidRPr="000665B0">
        <w:t>, and select Add.</w:t>
      </w:r>
    </w:p>
    <w:p w14:paraId="6209D34B" w14:textId="77777777" w:rsidR="009C443D" w:rsidRPr="000665B0" w:rsidRDefault="009C443D" w:rsidP="009570CA">
      <w:pPr>
        <w:tabs>
          <w:tab w:val="left" w:pos="720"/>
        </w:tabs>
        <w:ind w:left="360"/>
      </w:pPr>
      <w:r w:rsidRPr="000665B0">
        <w:t>or</w:t>
      </w:r>
    </w:p>
    <w:p w14:paraId="2DFBC3C8" w14:textId="40DE905F" w:rsidR="009C443D" w:rsidRPr="000665B0" w:rsidRDefault="009C443D" w:rsidP="006D5A65">
      <w:pPr>
        <w:pStyle w:val="Heading1"/>
      </w:pPr>
      <w:r w:rsidRPr="000665B0">
        <w:t>Select the desired Mission Library(</w:t>
      </w:r>
      <w:r w:rsidR="00FD6910" w:rsidRPr="000665B0">
        <w:t>ie</w:t>
      </w:r>
      <w:r w:rsidRPr="000665B0">
        <w:t>s</w:t>
      </w:r>
      <w:r w:rsidR="00FF3DAF" w:rsidRPr="000665B0">
        <w:t>) and</w:t>
      </w:r>
      <w:r w:rsidRPr="000665B0">
        <w:t xml:space="preserve"> drag and drop into the pane.</w:t>
      </w:r>
    </w:p>
    <w:p w14:paraId="2E9299D6" w14:textId="34F92B26" w:rsidR="009C443D" w:rsidRPr="000665B0" w:rsidRDefault="009C443D" w:rsidP="006D5A65">
      <w:pPr>
        <w:pStyle w:val="Heading1"/>
      </w:pPr>
      <w:r w:rsidRPr="000665B0">
        <w:t xml:space="preserve">The selected Library(ies) is added to the </w:t>
      </w:r>
      <w:r w:rsidRPr="000665B0">
        <w:rPr>
          <w:i/>
        </w:rPr>
        <w:t>Mission Libraries</w:t>
      </w:r>
      <w:r w:rsidRPr="000665B0">
        <w:t xml:space="preserve"> tab</w:t>
      </w:r>
      <w:r w:rsidR="004D6B8C" w:rsidRPr="000665B0">
        <w:t xml:space="preserve"> list view</w:t>
      </w:r>
      <w:r w:rsidRPr="000665B0">
        <w:t xml:space="preserve"> and is automatically activated as a filter. To deactivate the Library as a filter, click the checkbox to the </w:t>
      </w:r>
      <w:r w:rsidRPr="000665B0">
        <w:lastRenderedPageBreak/>
        <w:t>left of the Library ID.</w:t>
      </w:r>
      <w:r w:rsidR="00E02B88" w:rsidRPr="000665B0">
        <w:t xml:space="preserve"> To remove a Library, </w:t>
      </w:r>
      <w:r w:rsidR="00D71804" w:rsidRPr="000665B0">
        <w:t>right-click</w:t>
      </w:r>
      <w:r w:rsidR="00E02B88" w:rsidRPr="000665B0">
        <w:t xml:space="preserve"> the desired Library and select Remove.</w:t>
      </w:r>
    </w:p>
    <w:p w14:paraId="492479D6" w14:textId="77777777" w:rsidR="001E7F29" w:rsidRPr="000665B0" w:rsidRDefault="001E7F29" w:rsidP="006D5A65">
      <w:pPr>
        <w:pStyle w:val="Heading1"/>
      </w:pPr>
      <w:r w:rsidRPr="000665B0">
        <w:t xml:space="preserve">Click the Execute Query </w:t>
      </w:r>
      <w:r w:rsidRPr="000665B0">
        <w:rPr>
          <w:noProof/>
        </w:rPr>
        <w:drawing>
          <wp:inline distT="0" distB="0" distL="0" distR="0" wp14:anchorId="0A361000" wp14:editId="59B72B2D">
            <wp:extent cx="152400" cy="152400"/>
            <wp:effectExtent l="1905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w:t>
      </w:r>
      <w:r w:rsidR="0043623E" w:rsidRPr="000665B0">
        <w:t>button</w:t>
      </w:r>
      <w:r w:rsidR="0043623E" w:rsidRPr="000665B0">
        <w:rPr>
          <w:bCs/>
        </w:rPr>
        <w:t xml:space="preserve"> </w:t>
      </w:r>
      <w:r w:rsidR="0043623E" w:rsidRPr="000665B0">
        <w:t>to</w:t>
      </w:r>
      <w:r w:rsidRPr="000665B0">
        <w:t xml:space="preserve"> search for </w:t>
      </w:r>
      <w:r w:rsidR="00C27382" w:rsidRPr="000665B0">
        <w:t>c</w:t>
      </w:r>
      <w:r w:rsidRPr="000665B0">
        <w:t>andidates based on the current settings</w:t>
      </w:r>
      <w:r w:rsidR="00F85726" w:rsidRPr="000665B0">
        <w:t>.</w:t>
      </w:r>
    </w:p>
    <w:p w14:paraId="1762F171" w14:textId="77777777" w:rsidR="00F85726" w:rsidRPr="000665B0" w:rsidRDefault="004B0407"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49D548B4" w14:textId="77777777" w:rsidR="00FD6910" w:rsidRPr="000665B0" w:rsidRDefault="00FD6910" w:rsidP="009570CA">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p>
    <w:p w14:paraId="1652F444" w14:textId="77777777" w:rsidR="00FD6910" w:rsidRPr="000665B0" w:rsidRDefault="00FD6910" w:rsidP="009570CA">
      <w:pPr>
        <w:pBdr>
          <w:top w:val="single" w:sz="12" w:space="1" w:color="auto"/>
          <w:left w:val="single" w:sz="12" w:space="4" w:color="auto"/>
          <w:bottom w:val="single" w:sz="12" w:space="1" w:color="auto"/>
          <w:right w:val="single" w:sz="12" w:space="4" w:color="auto"/>
        </w:pBdr>
        <w:shd w:val="clear" w:color="auto" w:fill="D9D9D9"/>
        <w:tabs>
          <w:tab w:val="left" w:pos="720"/>
        </w:tabs>
        <w:spacing w:after="240"/>
        <w:jc w:val="center"/>
        <w:rPr>
          <w:b/>
        </w:rPr>
      </w:pPr>
      <w:r w:rsidRPr="000665B0">
        <w:rPr>
          <w:b/>
        </w:rPr>
        <w:t>If multiple Libraries are used, deactivate single Libraries with caution as Libraries are “additive” as filters. Deactiv</w:t>
      </w:r>
      <w:r w:rsidR="00610E93" w:rsidRPr="000665B0">
        <w:rPr>
          <w:b/>
        </w:rPr>
        <w:t>at</w:t>
      </w:r>
      <w:r w:rsidRPr="000665B0">
        <w:rPr>
          <w:b/>
        </w:rPr>
        <w:t>ing a single Library may return an undesired result.</w:t>
      </w:r>
    </w:p>
    <w:p w14:paraId="07718423" w14:textId="2175040B" w:rsidR="00C9249A" w:rsidRPr="000665B0" w:rsidRDefault="00334BF0" w:rsidP="009570CA">
      <w:pPr>
        <w:tabs>
          <w:tab w:val="left" w:pos="720"/>
        </w:tabs>
      </w:pPr>
      <w:r w:rsidRPr="000665B0">
        <w:t xml:space="preserve">As in other list views, </w:t>
      </w:r>
      <w:r w:rsidR="00AB79FF" w:rsidRPr="000665B0">
        <w:t xml:space="preserve">items can be selected to </w:t>
      </w:r>
      <w:r w:rsidR="00CF3A43" w:rsidRPr="000665B0">
        <w:t>D</w:t>
      </w:r>
      <w:r w:rsidRPr="000665B0">
        <w:t xml:space="preserve">isplay </w:t>
      </w:r>
      <w:r w:rsidR="00CF3A43" w:rsidRPr="000665B0">
        <w:t>T</w:t>
      </w:r>
      <w:r w:rsidRPr="000665B0">
        <w:t xml:space="preserve">extually (see </w:t>
      </w:r>
      <w:hyperlink w:anchor="_5.2.1.2.4__Display_1" w:history="1">
        <w:r w:rsidRPr="000665B0">
          <w:rPr>
            <w:rStyle w:val="Hyperlink"/>
          </w:rPr>
          <w:t>Section 5.2.1.2.4</w:t>
        </w:r>
      </w:hyperlink>
      <w:r w:rsidRPr="000665B0">
        <w:rPr>
          <w:rStyle w:val="Hyperlink"/>
        </w:rPr>
        <w:t>)</w:t>
      </w:r>
      <w:r w:rsidRPr="000665B0">
        <w:t xml:space="preserve">, </w:t>
      </w:r>
      <w:r w:rsidR="00CF3A43" w:rsidRPr="000665B0">
        <w:t>D</w:t>
      </w:r>
      <w:r w:rsidRPr="000665B0">
        <w:t xml:space="preserve">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0665B0">
        <w:rPr>
          <w:rStyle w:val="Hyperlink"/>
        </w:rPr>
        <w:t>)</w:t>
      </w:r>
      <w:r w:rsidRPr="000665B0">
        <w:t>.</w:t>
      </w:r>
    </w:p>
    <w:p w14:paraId="28E6E55E" w14:textId="17996979" w:rsidR="00A22AB3" w:rsidRPr="00973009" w:rsidRDefault="00A22AB3" w:rsidP="009570CA">
      <w:pPr>
        <w:pStyle w:val="Heading5"/>
        <w:keepNext w:val="0"/>
        <w:tabs>
          <w:tab w:val="left" w:pos="720"/>
        </w:tabs>
      </w:pPr>
      <w:bookmarkStart w:id="6256" w:name="_5.37.4.1.2__Mission"/>
      <w:bookmarkEnd w:id="6256"/>
      <w:r w:rsidRPr="00973009">
        <w:t>Mission Queries</w:t>
      </w:r>
    </w:p>
    <w:p w14:paraId="3CFA18E5" w14:textId="3555562B" w:rsidR="00A22AB3" w:rsidRPr="000665B0" w:rsidRDefault="00FD6910" w:rsidP="009570CA">
      <w:pPr>
        <w:pStyle w:val="bullet11"/>
        <w:tabs>
          <w:tab w:val="left" w:pos="720"/>
        </w:tabs>
        <w:spacing w:before="0" w:beforeAutospacing="0" w:after="120" w:afterAutospacing="0"/>
      </w:pPr>
      <w:r w:rsidRPr="000665B0">
        <w:t xml:space="preserve">One or more </w:t>
      </w:r>
      <w:r w:rsidR="001E777D" w:rsidRPr="000665B0">
        <w:t xml:space="preserve">Mission Queries can be used to narrow the search criteria for </w:t>
      </w:r>
      <w:r w:rsidR="00996864" w:rsidRPr="000665B0">
        <w:t>Mission C</w:t>
      </w:r>
      <w:r w:rsidR="001E777D" w:rsidRPr="000665B0">
        <w:t>andidate</w:t>
      </w:r>
      <w:r w:rsidR="00996864" w:rsidRPr="000665B0">
        <w:t>s</w:t>
      </w:r>
      <w:r w:rsidR="001E777D" w:rsidRPr="000665B0">
        <w:t xml:space="preserve">. </w:t>
      </w:r>
      <w:r w:rsidR="004D6B8C" w:rsidRPr="000665B0">
        <w:t xml:space="preserve">The operator can use existing Queries from the </w:t>
      </w:r>
      <w:r w:rsidR="004D6B8C" w:rsidRPr="000665B0">
        <w:rPr>
          <w:b/>
        </w:rPr>
        <w:t>Queries</w:t>
      </w:r>
      <w:r w:rsidR="004D6B8C" w:rsidRPr="000665B0">
        <w:t xml:space="preserve"> </w:t>
      </w:r>
      <w:r w:rsidR="00973009" w:rsidRPr="000665B0">
        <w:t>tool or</w:t>
      </w:r>
      <w:r w:rsidR="004D6B8C" w:rsidRPr="000665B0">
        <w:t xml:space="preserve"> create a new Query. </w:t>
      </w:r>
      <w:r w:rsidR="001E777D" w:rsidRPr="000665B0">
        <w:t xml:space="preserve">The list </w:t>
      </w:r>
      <w:r w:rsidR="00A22AB3" w:rsidRPr="000665B0">
        <w:t>of Queries associated with this Mission Candidates Matrix</w:t>
      </w:r>
      <w:r w:rsidR="001E777D" w:rsidRPr="000665B0">
        <w:t xml:space="preserve"> is shown in the </w:t>
      </w:r>
      <w:r w:rsidR="001E777D" w:rsidRPr="000665B0">
        <w:rPr>
          <w:b/>
          <w:i/>
        </w:rPr>
        <w:t>Mission Queries</w:t>
      </w:r>
      <w:r w:rsidR="001E777D" w:rsidRPr="000665B0">
        <w:t xml:space="preserve"> tab of the </w:t>
      </w:r>
      <w:r w:rsidR="001E777D" w:rsidRPr="000665B0">
        <w:rPr>
          <w:b/>
        </w:rPr>
        <w:t>Filters</w:t>
      </w:r>
      <w:r w:rsidR="001E777D" w:rsidRPr="000665B0">
        <w:t xml:space="preserve"> pane</w:t>
      </w:r>
      <w:r w:rsidR="00A22AB3" w:rsidRPr="000665B0">
        <w:t>.</w:t>
      </w:r>
      <w:r w:rsidR="00290219" w:rsidRPr="000665B0">
        <w:t xml:space="preserve"> </w:t>
      </w:r>
      <w:r w:rsidR="00A22AB3" w:rsidRPr="000665B0">
        <w:t>Mission Queries can be applied or unapplied</w:t>
      </w:r>
      <w:r w:rsidR="001C6AAB" w:rsidRPr="000665B0">
        <w:t xml:space="preserve"> as a filter</w:t>
      </w:r>
      <w:r w:rsidR="00A22AB3" w:rsidRPr="000665B0">
        <w:t xml:space="preserve"> by checking or unchecking the check box in the list view.</w:t>
      </w:r>
      <w:r w:rsidR="00290219" w:rsidRPr="000665B0">
        <w:t xml:space="preserve"> </w:t>
      </w:r>
      <w:r w:rsidR="00A22AB3" w:rsidRPr="000665B0">
        <w:t>When the Mission Candidates Matrix applies the Mission Query filters, it will filter out the Missions that are not in one of the applied Mission Queries results.</w:t>
      </w:r>
      <w:r w:rsidR="00290219" w:rsidRPr="000665B0">
        <w:t xml:space="preserve"> </w:t>
      </w:r>
      <w:r w:rsidR="00A22AB3" w:rsidRPr="000665B0">
        <w:t>In other words, only the Missions that are found in at leas</w:t>
      </w:r>
      <w:r w:rsidR="00B43F33" w:rsidRPr="000665B0">
        <w:t>t</w:t>
      </w:r>
      <w:r w:rsidR="00A22AB3" w:rsidRPr="000665B0">
        <w:t xml:space="preserve"> one of the applied Mission Queries results can be possible Mission candidates.</w:t>
      </w:r>
    </w:p>
    <w:p w14:paraId="6199E98C" w14:textId="77777777" w:rsidR="00C9249A" w:rsidRPr="000665B0" w:rsidRDefault="00C9249A" w:rsidP="009570CA">
      <w:pPr>
        <w:keepNext/>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p>
    <w:p w14:paraId="68A19053" w14:textId="77777777" w:rsidR="00C9249A" w:rsidRPr="000665B0" w:rsidRDefault="00C9249A" w:rsidP="009570CA">
      <w:pPr>
        <w:pBdr>
          <w:top w:val="single" w:sz="12" w:space="1" w:color="auto"/>
          <w:left w:val="single" w:sz="12" w:space="4" w:color="auto"/>
          <w:bottom w:val="single" w:sz="12" w:space="1" w:color="auto"/>
          <w:right w:val="single" w:sz="12" w:space="4" w:color="auto"/>
        </w:pBdr>
        <w:shd w:val="clear" w:color="auto" w:fill="D9D9D9"/>
        <w:tabs>
          <w:tab w:val="left" w:pos="720"/>
        </w:tabs>
        <w:spacing w:after="240"/>
        <w:jc w:val="center"/>
        <w:rPr>
          <w:b/>
        </w:rPr>
      </w:pPr>
      <w:r w:rsidRPr="000665B0">
        <w:rPr>
          <w:b/>
        </w:rPr>
        <w:t>A missing Mission Query will be interpreted as a Mission Query that returns zero Missions. Please ensure that the applied Mission Queries exist or else the Mission Candidates Matrix may return an undesired result.</w:t>
      </w:r>
    </w:p>
    <w:p w14:paraId="192AB2A5" w14:textId="65975A83" w:rsidR="00A22AB3" w:rsidRPr="000665B0" w:rsidRDefault="00D616A9" w:rsidP="009570CA">
      <w:pPr>
        <w:pStyle w:val="Normal1"/>
        <w:tabs>
          <w:tab w:val="left" w:pos="720"/>
        </w:tabs>
        <w:spacing w:before="120" w:beforeAutospacing="0" w:after="120" w:afterAutospacing="0"/>
        <w:jc w:val="center"/>
      </w:pPr>
      <w:r w:rsidRPr="000665B0">
        <w:rPr>
          <w:noProof/>
        </w:rPr>
        <w:drawing>
          <wp:inline distT="0" distB="0" distL="0" distR="0" wp14:anchorId="6CA207FD" wp14:editId="2F651ACE">
            <wp:extent cx="4983480" cy="640080"/>
            <wp:effectExtent l="0" t="0" r="0"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640080"/>
                    </a:xfrm>
                    <a:prstGeom prst="rect">
                      <a:avLst/>
                    </a:prstGeom>
                  </pic:spPr>
                </pic:pic>
              </a:graphicData>
            </a:graphic>
          </wp:inline>
        </w:drawing>
      </w:r>
    </w:p>
    <w:p w14:paraId="16142C66" w14:textId="77777777" w:rsidR="00C50908" w:rsidRPr="000665B0" w:rsidRDefault="00C50908" w:rsidP="009570CA">
      <w:pPr>
        <w:tabs>
          <w:tab w:val="left" w:pos="720"/>
        </w:tabs>
        <w:rPr>
          <w:b/>
          <w:i/>
        </w:rPr>
      </w:pPr>
      <w:r w:rsidRPr="000665B0">
        <w:rPr>
          <w:b/>
          <w:i/>
        </w:rPr>
        <w:t xml:space="preserve">Mission Queries List View </w:t>
      </w:r>
    </w:p>
    <w:p w14:paraId="1EF81156" w14:textId="77777777" w:rsidR="00C50908" w:rsidRPr="000665B0" w:rsidRDefault="00C50908" w:rsidP="006D5A65">
      <w:pPr>
        <w:pStyle w:val="Heading1"/>
      </w:pPr>
      <w:r w:rsidRPr="000665B0">
        <w:lastRenderedPageBreak/>
        <w:t>Columns</w:t>
      </w:r>
    </w:p>
    <w:p w14:paraId="2DBDC046" w14:textId="77777777" w:rsidR="00A22AB3" w:rsidRPr="000665B0" w:rsidRDefault="00C50908" w:rsidP="006D5A65">
      <w:pPr>
        <w:pStyle w:val="Heading5"/>
      </w:pPr>
      <w:r w:rsidRPr="000665B0">
        <w:t xml:space="preserve">Query </w:t>
      </w:r>
      <w:r w:rsidR="00A22AB3" w:rsidRPr="000665B0">
        <w:t>ID – Mission Query ID.</w:t>
      </w:r>
    </w:p>
    <w:p w14:paraId="63860176" w14:textId="77777777" w:rsidR="00A22AB3" w:rsidRPr="000665B0" w:rsidRDefault="00A22AB3" w:rsidP="006D5A65">
      <w:pPr>
        <w:pStyle w:val="Heading5"/>
      </w:pPr>
      <w:r w:rsidRPr="000665B0">
        <w:t xml:space="preserve">Type – </w:t>
      </w:r>
      <w:r w:rsidR="00C50908" w:rsidRPr="000665B0">
        <w:t xml:space="preserve">Shows the Mission </w:t>
      </w:r>
      <w:r w:rsidRPr="000665B0">
        <w:t>Query Type.</w:t>
      </w:r>
    </w:p>
    <w:p w14:paraId="26F30960" w14:textId="77777777" w:rsidR="00A22AB3" w:rsidRPr="000665B0" w:rsidRDefault="00A22AB3" w:rsidP="006D5A65">
      <w:pPr>
        <w:pStyle w:val="Heading5"/>
      </w:pPr>
      <w:r w:rsidRPr="000665B0">
        <w:t>Name – Mission Query Name.</w:t>
      </w:r>
    </w:p>
    <w:p w14:paraId="54BB64DE" w14:textId="77777777" w:rsidR="00A22AB3" w:rsidRPr="000665B0" w:rsidRDefault="00A22AB3" w:rsidP="006D5A65">
      <w:pPr>
        <w:pStyle w:val="Heading5"/>
      </w:pPr>
      <w:r w:rsidRPr="000665B0">
        <w:t>Creation DTG – The created DTG of the Mission Query.</w:t>
      </w:r>
    </w:p>
    <w:p w14:paraId="34196CF2" w14:textId="77777777" w:rsidR="00A22AB3" w:rsidRPr="000665B0" w:rsidRDefault="00A22AB3" w:rsidP="006D5A65">
      <w:pPr>
        <w:pStyle w:val="Heading5"/>
      </w:pPr>
      <w:r w:rsidRPr="000665B0">
        <w:t>Last Modified DTG – Last Modified DTG.</w:t>
      </w:r>
    </w:p>
    <w:p w14:paraId="4E7540A7" w14:textId="77777777" w:rsidR="00A22AB3" w:rsidRPr="000665B0" w:rsidRDefault="00A22AB3" w:rsidP="006D5A65">
      <w:pPr>
        <w:pStyle w:val="Heading5"/>
      </w:pPr>
      <w:r w:rsidRPr="000665B0">
        <w:t>Query Fr</w:t>
      </w:r>
      <w:r w:rsidR="00C50908" w:rsidRPr="000665B0">
        <w:t>o</w:t>
      </w:r>
      <w:r w:rsidRPr="000665B0">
        <w:t>m Lib</w:t>
      </w:r>
      <w:r w:rsidR="00C50908" w:rsidRPr="000665B0">
        <w:t>raries</w:t>
      </w:r>
      <w:r w:rsidRPr="000665B0">
        <w:t xml:space="preserve"> – Indicates if the Mission Query is from a collection of Mission Libraries.</w:t>
      </w:r>
    </w:p>
    <w:p w14:paraId="033E1E1D" w14:textId="77777777" w:rsidR="00A22AB3" w:rsidRPr="000665B0" w:rsidRDefault="00A22AB3" w:rsidP="006D5A65">
      <w:pPr>
        <w:pStyle w:val="Heading5"/>
      </w:pPr>
      <w:r w:rsidRPr="000665B0">
        <w:t>Status – Status of the Mission Query.</w:t>
      </w:r>
      <w:r w:rsidR="00290219" w:rsidRPr="000665B0">
        <w:t xml:space="preserve"> </w:t>
      </w:r>
      <w:r w:rsidRPr="000665B0">
        <w:t>This field will display “Missing Query” when the Mission Query does not exist in MDS.</w:t>
      </w:r>
    </w:p>
    <w:p w14:paraId="0115F10A" w14:textId="77777777" w:rsidR="0072677C" w:rsidRPr="000665B0" w:rsidRDefault="0072677C" w:rsidP="009570CA">
      <w:pPr>
        <w:pStyle w:val="Normal1"/>
        <w:tabs>
          <w:tab w:val="left" w:pos="720"/>
        </w:tabs>
        <w:spacing w:before="0" w:beforeAutospacing="0" w:after="120" w:afterAutospacing="0"/>
      </w:pPr>
      <w:r w:rsidRPr="000665B0">
        <w:t>To add a Mission Query as a filter:</w:t>
      </w:r>
    </w:p>
    <w:p w14:paraId="41CCD072" w14:textId="1B4F373D" w:rsidR="0072677C" w:rsidRPr="000665B0" w:rsidRDefault="0072677C" w:rsidP="006D5A65">
      <w:pPr>
        <w:pStyle w:val="Heading1"/>
      </w:pPr>
      <w:r w:rsidRPr="000665B0">
        <w:t xml:space="preserve">Click in the open area of the </w:t>
      </w:r>
      <w:r w:rsidRPr="000665B0">
        <w:rPr>
          <w:i/>
        </w:rPr>
        <w:t>Mission Queries</w:t>
      </w:r>
      <w:r w:rsidRPr="000665B0">
        <w:t xml:space="preserve"> tab. Invoke the context menu (right</w:t>
      </w:r>
      <w:r w:rsidR="00870FBA" w:rsidRPr="000665B0">
        <w:t>-</w:t>
      </w:r>
      <w:r w:rsidRPr="000665B0">
        <w:t xml:space="preserve">click the mouse) and select Add…. The </w:t>
      </w:r>
      <w:r w:rsidRPr="000665B0">
        <w:rPr>
          <w:bCs/>
          <w:i/>
        </w:rPr>
        <w:t>Queries</w:t>
      </w:r>
      <w:r w:rsidRPr="000665B0">
        <w:t xml:space="preserve"> window is displayed.</w:t>
      </w:r>
    </w:p>
    <w:p w14:paraId="69657EA5" w14:textId="59C199C5" w:rsidR="0072677C" w:rsidRPr="000665B0" w:rsidRDefault="00DB39E9" w:rsidP="009570CA">
      <w:pPr>
        <w:tabs>
          <w:tab w:val="left" w:pos="720"/>
        </w:tabs>
        <w:jc w:val="center"/>
      </w:pPr>
      <w:r w:rsidRPr="000665B0">
        <w:rPr>
          <w:noProof/>
        </w:rPr>
        <w:drawing>
          <wp:inline distT="0" distB="0" distL="0" distR="0" wp14:anchorId="3470AE3A" wp14:editId="2843C921">
            <wp:extent cx="2286000" cy="236829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2368296"/>
                    </a:xfrm>
                    <a:prstGeom prst="rect">
                      <a:avLst/>
                    </a:prstGeom>
                  </pic:spPr>
                </pic:pic>
              </a:graphicData>
            </a:graphic>
          </wp:inline>
        </w:drawing>
      </w:r>
    </w:p>
    <w:p w14:paraId="75B879D9" w14:textId="4906D31F" w:rsidR="0072677C" w:rsidRPr="000665B0" w:rsidRDefault="0072677C" w:rsidP="006D5A65">
      <w:pPr>
        <w:pStyle w:val="Heading1"/>
      </w:pPr>
      <w:r w:rsidRPr="000665B0">
        <w:t>Highlight the Mission Query(ies) to be added and click OK.</w:t>
      </w:r>
      <w:r w:rsidR="00680ABE" w:rsidRPr="000665B0">
        <w:t xml:space="preserve"> Alternatively, select the desired Query, right</w:t>
      </w:r>
      <w:r w:rsidR="00870FBA" w:rsidRPr="000665B0">
        <w:t>-</w:t>
      </w:r>
      <w:r w:rsidR="00680ABE" w:rsidRPr="000665B0">
        <w:t>click, and select Add.</w:t>
      </w:r>
    </w:p>
    <w:p w14:paraId="412767FA" w14:textId="77777777" w:rsidR="005F7116" w:rsidRPr="000665B0" w:rsidRDefault="005F7116" w:rsidP="009570CA">
      <w:pPr>
        <w:tabs>
          <w:tab w:val="left" w:pos="720"/>
        </w:tabs>
        <w:ind w:left="360"/>
      </w:pPr>
      <w:r w:rsidRPr="000665B0">
        <w:t>or</w:t>
      </w:r>
    </w:p>
    <w:p w14:paraId="1FCCBC43" w14:textId="25D7784E" w:rsidR="005F7116" w:rsidRPr="000665B0" w:rsidRDefault="005F7116" w:rsidP="006D5A65">
      <w:pPr>
        <w:pStyle w:val="Heading1"/>
      </w:pPr>
      <w:r w:rsidRPr="000665B0">
        <w:t>Select the desired Mission Query(ies</w:t>
      </w:r>
      <w:r w:rsidR="00802C15" w:rsidRPr="000665B0">
        <w:t>) and</w:t>
      </w:r>
      <w:r w:rsidRPr="000665B0">
        <w:t xml:space="preserve"> drag and drop into the pane.</w:t>
      </w:r>
    </w:p>
    <w:p w14:paraId="0C5F1309" w14:textId="25DE380C" w:rsidR="0072677C" w:rsidRPr="000665B0" w:rsidRDefault="0072677C" w:rsidP="006D5A65">
      <w:pPr>
        <w:pStyle w:val="Heading1"/>
      </w:pPr>
      <w:r w:rsidRPr="000665B0">
        <w:t xml:space="preserve">The selected Query(ies) is added to the </w:t>
      </w:r>
      <w:r w:rsidRPr="000665B0">
        <w:rPr>
          <w:i/>
        </w:rPr>
        <w:t>Mission Queries</w:t>
      </w:r>
      <w:r w:rsidRPr="000665B0">
        <w:t xml:space="preserve"> tab and is automatically activated as a filter. To deactivate the Query as a filter, click the checkbox to the left of the Query </w:t>
      </w:r>
      <w:r w:rsidRPr="000665B0">
        <w:lastRenderedPageBreak/>
        <w:t>ID. To remove a Query, right</w:t>
      </w:r>
      <w:r w:rsidR="00870FBA" w:rsidRPr="000665B0">
        <w:t>-</w:t>
      </w:r>
      <w:r w:rsidRPr="000665B0">
        <w:t>click the desired Query and select Remove.</w:t>
      </w:r>
    </w:p>
    <w:p w14:paraId="3669F8B1" w14:textId="77777777" w:rsidR="0072677C" w:rsidRPr="000665B0" w:rsidRDefault="0072677C" w:rsidP="006D5A65">
      <w:pPr>
        <w:pStyle w:val="Heading1"/>
      </w:pPr>
      <w:r w:rsidRPr="000665B0">
        <w:t xml:space="preserve">Click the Execute Query </w:t>
      </w:r>
      <w:r w:rsidRPr="000665B0">
        <w:rPr>
          <w:noProof/>
        </w:rPr>
        <w:drawing>
          <wp:inline distT="0" distB="0" distL="0" distR="0" wp14:anchorId="0567B8BF" wp14:editId="155CA552">
            <wp:extent cx="152400" cy="152400"/>
            <wp:effectExtent l="1905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w:t>
      </w:r>
      <w:r w:rsidR="0043623E" w:rsidRPr="000665B0">
        <w:t>button</w:t>
      </w:r>
      <w:r w:rsidR="0043623E" w:rsidRPr="000665B0">
        <w:rPr>
          <w:bCs/>
        </w:rPr>
        <w:t xml:space="preserve"> </w:t>
      </w:r>
      <w:r w:rsidR="0043623E" w:rsidRPr="000665B0">
        <w:t>to</w:t>
      </w:r>
      <w:r w:rsidRPr="000665B0">
        <w:t xml:space="preserve"> search for </w:t>
      </w:r>
      <w:r w:rsidR="00C27382" w:rsidRPr="000665B0">
        <w:t>c</w:t>
      </w:r>
      <w:r w:rsidRPr="000665B0">
        <w:t>andidates based on the current settings.</w:t>
      </w:r>
    </w:p>
    <w:p w14:paraId="1A766F87" w14:textId="77777777" w:rsidR="0072677C" w:rsidRPr="000665B0" w:rsidRDefault="0072677C"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4CA13D9F" w14:textId="77777777" w:rsidR="005F7DE8" w:rsidRPr="000665B0" w:rsidRDefault="005F7DE8" w:rsidP="00A24E4A">
      <w:pPr>
        <w:pStyle w:val="Normal1"/>
        <w:tabs>
          <w:tab w:val="left" w:pos="720"/>
        </w:tabs>
        <w:spacing w:before="0" w:beforeAutospacing="0" w:after="120" w:afterAutospacing="0"/>
      </w:pPr>
      <w:r w:rsidRPr="000665B0">
        <w:t xml:space="preserve">To </w:t>
      </w:r>
      <w:r w:rsidR="00FD6910" w:rsidRPr="000665B0">
        <w:t>c</w:t>
      </w:r>
      <w:r w:rsidRPr="000665B0">
        <w:t xml:space="preserve">reate a </w:t>
      </w:r>
      <w:r w:rsidR="00FD6910" w:rsidRPr="000665B0">
        <w:t>n</w:t>
      </w:r>
      <w:r w:rsidRPr="000665B0">
        <w:t>ew Mission Query:</w:t>
      </w:r>
    </w:p>
    <w:p w14:paraId="60C5E3B6" w14:textId="5918F62E" w:rsidR="005F7DE8" w:rsidRPr="000665B0" w:rsidRDefault="005F7DE8" w:rsidP="006D5A65">
      <w:pPr>
        <w:pStyle w:val="Heading1"/>
      </w:pPr>
      <w:r w:rsidRPr="000665B0">
        <w:t xml:space="preserve">Click in the open area of the </w:t>
      </w:r>
      <w:r w:rsidRPr="000665B0">
        <w:rPr>
          <w:i/>
        </w:rPr>
        <w:t>Mission Queries</w:t>
      </w:r>
      <w:r w:rsidRPr="000665B0">
        <w:t xml:space="preserve"> tab. Invoke the context menu (right</w:t>
      </w:r>
      <w:r w:rsidR="00870FBA" w:rsidRPr="000665B0">
        <w:t>-</w:t>
      </w:r>
      <w:r w:rsidRPr="000665B0">
        <w:t xml:space="preserve">click the mouse) and select New…. The </w:t>
      </w:r>
      <w:r w:rsidRPr="000665B0">
        <w:rPr>
          <w:bCs/>
          <w:i/>
        </w:rPr>
        <w:t>Mission Query</w:t>
      </w:r>
      <w:r w:rsidRPr="000665B0">
        <w:t xml:space="preserve"> window is displayed.</w:t>
      </w:r>
    </w:p>
    <w:p w14:paraId="61A220A7" w14:textId="17A736A0" w:rsidR="005F7DE8" w:rsidRPr="000665B0" w:rsidRDefault="00AE385C" w:rsidP="009570CA">
      <w:pPr>
        <w:tabs>
          <w:tab w:val="left" w:pos="720"/>
        </w:tabs>
        <w:jc w:val="center"/>
      </w:pPr>
      <w:r w:rsidRPr="000665B0">
        <w:rPr>
          <w:noProof/>
        </w:rPr>
        <w:drawing>
          <wp:inline distT="0" distB="0" distL="0" distR="0" wp14:anchorId="33C3F447" wp14:editId="0F0A10BA">
            <wp:extent cx="3802474" cy="3743325"/>
            <wp:effectExtent l="0" t="0" r="0" b="0"/>
            <wp:docPr id="2203" name="Picture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805195" cy="3746004"/>
                    </a:xfrm>
                    <a:prstGeom prst="rect">
                      <a:avLst/>
                    </a:prstGeom>
                  </pic:spPr>
                </pic:pic>
              </a:graphicData>
            </a:graphic>
          </wp:inline>
        </w:drawing>
      </w:r>
    </w:p>
    <w:p w14:paraId="23CB9018" w14:textId="388CE808" w:rsidR="00AD0445" w:rsidRPr="000665B0" w:rsidRDefault="00AD0445" w:rsidP="006D5A65">
      <w:pPr>
        <w:pStyle w:val="Heading1"/>
      </w:pPr>
      <w:r w:rsidRPr="000665B0">
        <w:t xml:space="preserve">If it is required to change the classification of the new message, click the </w:t>
      </w:r>
      <w:r w:rsidRPr="000665B0">
        <w:rPr>
          <w:bCs/>
        </w:rPr>
        <w:t>EDIT</w:t>
      </w:r>
      <w:r w:rsidRPr="000665B0">
        <w:t xml:space="preserve"> </w:t>
      </w:r>
      <w:r w:rsidR="00A144B9" w:rsidRPr="000665B0">
        <w:t>button,</w:t>
      </w:r>
      <w:r w:rsidRPr="000665B0">
        <w:t xml:space="preserve"> and select the classification from the drop-down menu of the </w:t>
      </w:r>
      <w:r w:rsidRPr="000665B0">
        <w:rPr>
          <w:i/>
        </w:rPr>
        <w:t>Edit Classification</w:t>
      </w:r>
      <w:r w:rsidRPr="000665B0">
        <w:t xml:space="preserve"> window. For information on editing the classification see </w:t>
      </w:r>
      <w:hyperlink w:anchor="_5.2.7__Edit" w:history="1">
        <w:r w:rsidRPr="000665B0">
          <w:rPr>
            <w:color w:val="0000FF"/>
            <w:u w:val="single"/>
          </w:rPr>
          <w:t>Section 5.2.7</w:t>
        </w:r>
      </w:hyperlink>
      <w:r w:rsidRPr="000665B0">
        <w:t>.</w:t>
      </w:r>
    </w:p>
    <w:p w14:paraId="5363B1FF" w14:textId="0897705A" w:rsidR="00AD0445" w:rsidRPr="000665B0" w:rsidRDefault="00AD0445" w:rsidP="006D5A65">
      <w:pPr>
        <w:pStyle w:val="Heading1"/>
      </w:pPr>
      <w:r w:rsidRPr="000665B0">
        <w:t xml:space="preserve">Enter a Query Name (up to 85 alphanumeric characters). This is a required field (as denoted by the * and/or yellow background) and the user is unable to proceed without updating this field. </w:t>
      </w:r>
      <w:r w:rsidRPr="000665B0">
        <w:rPr>
          <w:szCs w:val="24"/>
        </w:rPr>
        <w:t xml:space="preserve">For further information on mandatory fields see </w:t>
      </w:r>
      <w:hyperlink w:anchor="_5.2.7__Editing" w:history="1">
        <w:r w:rsidRPr="000665B0">
          <w:rPr>
            <w:color w:val="0000FF"/>
            <w:szCs w:val="24"/>
            <w:u w:val="single"/>
          </w:rPr>
          <w:t>Section 5.2.8</w:t>
        </w:r>
      </w:hyperlink>
      <w:r w:rsidRPr="000665B0">
        <w:t>.</w:t>
      </w:r>
    </w:p>
    <w:p w14:paraId="32B07634" w14:textId="77777777" w:rsidR="001F04C9" w:rsidRPr="000665B0" w:rsidRDefault="001F04C9" w:rsidP="006D5A65">
      <w:pPr>
        <w:pStyle w:val="Heading1"/>
      </w:pPr>
      <w:r w:rsidRPr="000665B0">
        <w:t>Select either Query From Database or Query From Libraries.</w:t>
      </w:r>
    </w:p>
    <w:p w14:paraId="36B37851" w14:textId="2DA92A0A" w:rsidR="001F04C9" w:rsidRPr="000665B0" w:rsidRDefault="002038FA" w:rsidP="006D5A65">
      <w:pPr>
        <w:pStyle w:val="Heading1"/>
      </w:pPr>
      <w:r w:rsidRPr="000665B0">
        <w:t>This step is o</w:t>
      </w:r>
      <w:r w:rsidR="001F04C9" w:rsidRPr="000665B0">
        <w:t>ptional for Query From Database</w:t>
      </w:r>
      <w:r w:rsidRPr="000665B0">
        <w:t>,</w:t>
      </w:r>
      <w:r w:rsidR="001F04C9" w:rsidRPr="000665B0">
        <w:t xml:space="preserve"> required for Query From Libraries: Click in the open area of the Library </w:t>
      </w:r>
      <w:r w:rsidR="001F04C9" w:rsidRPr="000665B0">
        <w:lastRenderedPageBreak/>
        <w:t>pane. Invoke the context menu (right</w:t>
      </w:r>
      <w:r w:rsidR="00870FBA" w:rsidRPr="000665B0">
        <w:t>-</w:t>
      </w:r>
      <w:r w:rsidR="001F04C9" w:rsidRPr="000665B0">
        <w:t xml:space="preserve">click the mouse) and select Add…. The </w:t>
      </w:r>
      <w:r w:rsidR="001F04C9" w:rsidRPr="000665B0">
        <w:rPr>
          <w:bCs/>
          <w:i/>
        </w:rPr>
        <w:t>Libraries</w:t>
      </w:r>
      <w:r w:rsidR="001F04C9" w:rsidRPr="000665B0">
        <w:t xml:space="preserve"> window is displayed.</w:t>
      </w:r>
    </w:p>
    <w:p w14:paraId="1E1B8396" w14:textId="12022F7B" w:rsidR="001F04C9" w:rsidRPr="000665B0" w:rsidRDefault="0099025E" w:rsidP="00DD657B">
      <w:pPr>
        <w:tabs>
          <w:tab w:val="left" w:pos="720"/>
        </w:tabs>
        <w:spacing w:before="120"/>
        <w:jc w:val="center"/>
      </w:pPr>
      <w:r w:rsidRPr="000665B0">
        <w:rPr>
          <w:noProof/>
        </w:rPr>
        <w:drawing>
          <wp:inline distT="0" distB="0" distL="0" distR="0" wp14:anchorId="00AE4669" wp14:editId="6C4EA60C">
            <wp:extent cx="2042380" cy="2124075"/>
            <wp:effectExtent l="0" t="0" r="0" b="0"/>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047223" cy="2129111"/>
                    </a:xfrm>
                    <a:prstGeom prst="rect">
                      <a:avLst/>
                    </a:prstGeom>
                  </pic:spPr>
                </pic:pic>
              </a:graphicData>
            </a:graphic>
          </wp:inline>
        </w:drawing>
      </w:r>
    </w:p>
    <w:p w14:paraId="2093C1E6" w14:textId="77777777" w:rsidR="005F7DE8" w:rsidRPr="000665B0" w:rsidRDefault="005F7DE8" w:rsidP="006D5A65">
      <w:pPr>
        <w:pStyle w:val="Heading1"/>
      </w:pPr>
      <w:r w:rsidRPr="000665B0">
        <w:t>Highlight the Mission Library(ies) to be added and click the OK button.</w:t>
      </w:r>
    </w:p>
    <w:p w14:paraId="5F825511" w14:textId="1CF88B4D" w:rsidR="00340753" w:rsidRPr="000665B0" w:rsidRDefault="00340753" w:rsidP="006D5A65">
      <w:pPr>
        <w:pStyle w:val="Heading1"/>
      </w:pPr>
      <w:r w:rsidRPr="000665B0">
        <w:t xml:space="preserve">Select the desired Search Element values using the buttons on the </w:t>
      </w:r>
      <w:r w:rsidRPr="000665B0">
        <w:rPr>
          <w:i/>
        </w:rPr>
        <w:t>General Info</w:t>
      </w:r>
      <w:r w:rsidRPr="000665B0">
        <w:t xml:space="preserve">, </w:t>
      </w:r>
      <w:r w:rsidRPr="000665B0">
        <w:rPr>
          <w:i/>
        </w:rPr>
        <w:t>Target</w:t>
      </w:r>
      <w:r w:rsidRPr="000665B0">
        <w:t xml:space="preserve">, </w:t>
      </w:r>
      <w:r w:rsidRPr="000665B0">
        <w:rPr>
          <w:i/>
        </w:rPr>
        <w:t>Launch</w:t>
      </w:r>
      <w:r w:rsidRPr="000665B0">
        <w:t xml:space="preserve">, </w:t>
      </w:r>
      <w:r w:rsidRPr="000665B0">
        <w:rPr>
          <w:i/>
        </w:rPr>
        <w:t>Environmental</w:t>
      </w:r>
      <w:r w:rsidRPr="000665B0">
        <w:t xml:space="preserve">, </w:t>
      </w:r>
      <w:r w:rsidR="009271B2" w:rsidRPr="000665B0">
        <w:t xml:space="preserve">and </w:t>
      </w:r>
      <w:r w:rsidR="00995A4D" w:rsidRPr="000665B0">
        <w:rPr>
          <w:i/>
        </w:rPr>
        <w:t>109E</w:t>
      </w:r>
      <w:r w:rsidR="00636C0F" w:rsidRPr="000665B0">
        <w:rPr>
          <w:i/>
        </w:rPr>
        <w:t xml:space="preserve"> </w:t>
      </w:r>
      <w:r w:rsidRPr="000665B0">
        <w:rPr>
          <w:i/>
        </w:rPr>
        <w:t>Mission</w:t>
      </w:r>
      <w:r w:rsidRPr="000665B0">
        <w:t xml:space="preserve"> tabs. This is a required field (as denoted by the * and/or yellow background) and the user is unable to proceed without updating this field. </w:t>
      </w:r>
      <w:r w:rsidRPr="000665B0">
        <w:rPr>
          <w:szCs w:val="24"/>
        </w:rPr>
        <w:t xml:space="preserve">For further information on mandatory fields see </w:t>
      </w:r>
      <w:hyperlink w:anchor="_5.2.7__Editing" w:history="1">
        <w:r w:rsidRPr="000665B0">
          <w:rPr>
            <w:color w:val="0000FF"/>
            <w:szCs w:val="24"/>
            <w:u w:val="single"/>
          </w:rPr>
          <w:t>Section 5.2.8</w:t>
        </w:r>
      </w:hyperlink>
      <w:r w:rsidRPr="000665B0">
        <w:rPr>
          <w:szCs w:val="24"/>
        </w:rPr>
        <w:t>.</w:t>
      </w:r>
      <w:r w:rsidR="002038FA" w:rsidRPr="000665B0">
        <w:rPr>
          <w:szCs w:val="24"/>
        </w:rPr>
        <w:t xml:space="preserve"> Once a Search Element value has been added, it may be modified or removed by invoking the context menu. When multiple Search Element values are added, the context menu also enables the operator to change the </w:t>
      </w:r>
      <w:r w:rsidR="004D6B8C" w:rsidRPr="000665B0">
        <w:rPr>
          <w:szCs w:val="24"/>
        </w:rPr>
        <w:t xml:space="preserve">Boolean </w:t>
      </w:r>
      <w:r w:rsidR="002038FA" w:rsidRPr="000665B0">
        <w:rPr>
          <w:szCs w:val="24"/>
        </w:rPr>
        <w:t xml:space="preserve">Operator value. Invoke the context menu and select Change Operator To </w:t>
      </w:r>
      <w:r w:rsidR="002038FA" w:rsidRPr="000665B0">
        <w:sym w:font="Wingdings 3" w:char="F07D"/>
      </w:r>
      <w:r w:rsidR="002D6034" w:rsidRPr="000665B0">
        <w:t xml:space="preserve"> and </w:t>
      </w:r>
      <w:r w:rsidR="002038FA" w:rsidRPr="000665B0">
        <w:t>make a selection in the ensuing window</w:t>
      </w:r>
      <w:r w:rsidR="002038FA" w:rsidRPr="000665B0">
        <w:rPr>
          <w:szCs w:val="24"/>
        </w:rPr>
        <w:t>.</w:t>
      </w:r>
      <w:r w:rsidR="002D6034" w:rsidRPr="000665B0">
        <w:rPr>
          <w:szCs w:val="24"/>
        </w:rPr>
        <w:t xml:space="preserve"> See </w:t>
      </w:r>
      <w:hyperlink w:anchor="_5.12.1__New" w:history="1">
        <w:r w:rsidR="002D6034" w:rsidRPr="000665B0">
          <w:rPr>
            <w:rStyle w:val="Hyperlink"/>
            <w:szCs w:val="24"/>
          </w:rPr>
          <w:t>Section 5.</w:t>
        </w:r>
        <w:r w:rsidR="005F0DD1" w:rsidRPr="000665B0">
          <w:rPr>
            <w:rStyle w:val="Hyperlink"/>
            <w:szCs w:val="24"/>
          </w:rPr>
          <w:t>11</w:t>
        </w:r>
        <w:r w:rsidR="002D6034" w:rsidRPr="000665B0">
          <w:rPr>
            <w:rStyle w:val="Hyperlink"/>
            <w:szCs w:val="24"/>
          </w:rPr>
          <w:t>.1</w:t>
        </w:r>
      </w:hyperlink>
      <w:r w:rsidR="002D6034" w:rsidRPr="000665B0">
        <w:rPr>
          <w:szCs w:val="24"/>
        </w:rPr>
        <w:t xml:space="preserve"> for additional information.</w:t>
      </w:r>
      <w:r w:rsidR="0093705A" w:rsidRPr="000665B0">
        <w:rPr>
          <w:szCs w:val="24"/>
        </w:rPr>
        <w:t xml:space="preserve"> </w:t>
      </w:r>
      <w:r w:rsidR="0093705A" w:rsidRPr="000665B0">
        <w:t xml:space="preserve">There is a limitation with the query behavior for numerical values that are stored in the database as floating-point </w:t>
      </w:r>
      <w:r w:rsidR="00D1525C" w:rsidRPr="000665B0">
        <w:t>numbers</w:t>
      </w:r>
      <w:r w:rsidR="0093705A" w:rsidRPr="000665B0">
        <w:t xml:space="preserve">, which may produce query results that appear to be inaccurate. See </w:t>
      </w:r>
      <w:hyperlink w:anchor="_Appendix_H_" w:history="1">
        <w:r w:rsidR="0093705A" w:rsidRPr="000665B0">
          <w:rPr>
            <w:rStyle w:val="Hyperlink"/>
          </w:rPr>
          <w:t>Appendix G</w:t>
        </w:r>
      </w:hyperlink>
      <w:r w:rsidR="0093705A" w:rsidRPr="000665B0">
        <w:t xml:space="preserve"> for details as well as which query elements are affected by this limitation.</w:t>
      </w:r>
    </w:p>
    <w:p w14:paraId="26065614" w14:textId="77777777" w:rsidR="00340753" w:rsidRPr="000665B0" w:rsidRDefault="00340753"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5C20FC21" w14:textId="4DBE879E" w:rsidR="005F7DE8" w:rsidRPr="000665B0" w:rsidRDefault="005F7DE8" w:rsidP="006D5A65">
      <w:pPr>
        <w:pStyle w:val="Heading1"/>
      </w:pPr>
      <w:r w:rsidRPr="000665B0">
        <w:t xml:space="preserve">The </w:t>
      </w:r>
      <w:r w:rsidR="00340753" w:rsidRPr="000665B0">
        <w:t>new Query</w:t>
      </w:r>
      <w:r w:rsidRPr="000665B0">
        <w:t xml:space="preserve"> is added to the </w:t>
      </w:r>
      <w:r w:rsidRPr="000665B0">
        <w:rPr>
          <w:i/>
        </w:rPr>
        <w:t xml:space="preserve">Mission </w:t>
      </w:r>
      <w:r w:rsidR="00340753" w:rsidRPr="000665B0">
        <w:rPr>
          <w:i/>
        </w:rPr>
        <w:t>Queries</w:t>
      </w:r>
      <w:r w:rsidRPr="000665B0">
        <w:t xml:space="preserve"> tab</w:t>
      </w:r>
      <w:r w:rsidR="004D6B8C" w:rsidRPr="000665B0">
        <w:t xml:space="preserve"> list view</w:t>
      </w:r>
      <w:r w:rsidRPr="000665B0">
        <w:t xml:space="preserve"> and is automatically activated as a filter. To deactivate the </w:t>
      </w:r>
      <w:r w:rsidR="00340753" w:rsidRPr="000665B0">
        <w:t>Query</w:t>
      </w:r>
      <w:r w:rsidRPr="000665B0">
        <w:t xml:space="preserve"> as a filter, click the checkbox to the left of the </w:t>
      </w:r>
      <w:r w:rsidR="00340753" w:rsidRPr="000665B0">
        <w:t>Query</w:t>
      </w:r>
      <w:r w:rsidRPr="000665B0">
        <w:t xml:space="preserve"> </w:t>
      </w:r>
      <w:r w:rsidRPr="000665B0">
        <w:lastRenderedPageBreak/>
        <w:t xml:space="preserve">ID. To remove a </w:t>
      </w:r>
      <w:r w:rsidR="00340753" w:rsidRPr="000665B0">
        <w:t>Query</w:t>
      </w:r>
      <w:r w:rsidRPr="000665B0">
        <w:t>, right</w:t>
      </w:r>
      <w:r w:rsidR="00870FBA" w:rsidRPr="000665B0">
        <w:t>-</w:t>
      </w:r>
      <w:r w:rsidRPr="000665B0">
        <w:t xml:space="preserve">click the desired </w:t>
      </w:r>
      <w:r w:rsidR="00340753" w:rsidRPr="000665B0">
        <w:t>Query</w:t>
      </w:r>
      <w:r w:rsidRPr="000665B0">
        <w:t xml:space="preserve"> and select Remove.</w:t>
      </w:r>
    </w:p>
    <w:p w14:paraId="78756709" w14:textId="77777777" w:rsidR="00340753" w:rsidRPr="000665B0" w:rsidRDefault="005F7DE8" w:rsidP="006D5A65">
      <w:pPr>
        <w:pStyle w:val="Heading1"/>
      </w:pPr>
      <w:r w:rsidRPr="000665B0">
        <w:t xml:space="preserve">Click the Execute Query </w:t>
      </w:r>
      <w:r w:rsidRPr="000665B0">
        <w:rPr>
          <w:noProof/>
        </w:rPr>
        <w:drawing>
          <wp:inline distT="0" distB="0" distL="0" distR="0" wp14:anchorId="282EDE84" wp14:editId="0C7391F8">
            <wp:extent cx="152400" cy="152400"/>
            <wp:effectExtent l="1905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w:t>
      </w:r>
      <w:r w:rsidR="004D6FF6" w:rsidRPr="000665B0">
        <w:t>button</w:t>
      </w:r>
      <w:r w:rsidR="004D6FF6" w:rsidRPr="000665B0">
        <w:rPr>
          <w:bCs/>
        </w:rPr>
        <w:t xml:space="preserve"> </w:t>
      </w:r>
      <w:r w:rsidR="004D6FF6" w:rsidRPr="000665B0">
        <w:t>to</w:t>
      </w:r>
      <w:r w:rsidRPr="000665B0">
        <w:t xml:space="preserve"> search for </w:t>
      </w:r>
      <w:r w:rsidR="00C27382" w:rsidRPr="000665B0">
        <w:t>c</w:t>
      </w:r>
      <w:r w:rsidRPr="000665B0">
        <w:t>andidates based on the current settings.</w:t>
      </w:r>
    </w:p>
    <w:p w14:paraId="4AFEB76F" w14:textId="77777777" w:rsidR="00340753" w:rsidRPr="000665B0" w:rsidRDefault="005F7DE8"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28CFFE35" w14:textId="0D65BCEE" w:rsidR="00C9249A" w:rsidRPr="000665B0" w:rsidRDefault="00334BF0" w:rsidP="009570CA">
      <w:pPr>
        <w:pStyle w:val="Normal1"/>
        <w:tabs>
          <w:tab w:val="left" w:pos="720"/>
        </w:tabs>
        <w:spacing w:before="0" w:beforeAutospacing="0" w:after="0" w:afterAutospacing="0"/>
      </w:pPr>
      <w:r w:rsidRPr="000665B0">
        <w:t xml:space="preserve">As in other list views, </w:t>
      </w:r>
      <w:r w:rsidR="00AB79FF" w:rsidRPr="000665B0">
        <w:t xml:space="preserve">items can be selected to </w:t>
      </w:r>
      <w:r w:rsidR="00CF3A43" w:rsidRPr="000665B0">
        <w:t>D</w:t>
      </w:r>
      <w:r w:rsidRPr="000665B0">
        <w:t xml:space="preserve">isplay </w:t>
      </w:r>
      <w:r w:rsidR="00CF3A43" w:rsidRPr="000665B0">
        <w:t>T</w:t>
      </w:r>
      <w:r w:rsidRPr="000665B0">
        <w:t xml:space="preserve">extually (see </w:t>
      </w:r>
      <w:hyperlink w:anchor="_5.2.1.2.4__Display_1" w:history="1">
        <w:r w:rsidRPr="000665B0">
          <w:rPr>
            <w:rStyle w:val="Hyperlink"/>
          </w:rPr>
          <w:t>Section 5.2.1.2.4</w:t>
        </w:r>
      </w:hyperlink>
      <w:r w:rsidRPr="005B3E50">
        <w:rPr>
          <w:rStyle w:val="Hyperlink"/>
          <w:color w:val="auto"/>
        </w:rPr>
        <w:t>)</w:t>
      </w:r>
      <w:r w:rsidRPr="000665B0">
        <w:t xml:space="preserve">, </w:t>
      </w:r>
      <w:r w:rsidR="00CF3A43" w:rsidRPr="000665B0">
        <w:t>D</w:t>
      </w:r>
      <w:r w:rsidRPr="000665B0">
        <w:t xml:space="preserve">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5B3E50">
        <w:rPr>
          <w:rStyle w:val="Hyperlink"/>
          <w:color w:val="auto"/>
        </w:rPr>
        <w:t>)</w:t>
      </w:r>
      <w:r w:rsidRPr="000665B0">
        <w:t>.</w:t>
      </w:r>
    </w:p>
    <w:p w14:paraId="4E580BC6" w14:textId="49C3125F" w:rsidR="00A67788" w:rsidRPr="000665B0" w:rsidRDefault="00A67788" w:rsidP="009570CA">
      <w:pPr>
        <w:pStyle w:val="Heading4"/>
        <w:tabs>
          <w:tab w:val="left" w:pos="720"/>
        </w:tabs>
      </w:pPr>
      <w:bookmarkStart w:id="6257" w:name="_5.37.4.2__Taskings"/>
      <w:bookmarkStart w:id="6258" w:name="_Toc289328855"/>
      <w:bookmarkStart w:id="6259" w:name="_Toc96170278"/>
      <w:bookmarkStart w:id="6260" w:name="_Toc96234323"/>
      <w:bookmarkStart w:id="6261" w:name="_Toc112733743"/>
      <w:bookmarkStart w:id="6262" w:name="_Toc164499433"/>
      <w:bookmarkEnd w:id="6247"/>
      <w:bookmarkEnd w:id="6248"/>
      <w:bookmarkEnd w:id="6249"/>
      <w:bookmarkEnd w:id="6250"/>
      <w:bookmarkEnd w:id="6257"/>
      <w:r w:rsidRPr="000665B0">
        <w:t>Taskings</w:t>
      </w:r>
      <w:bookmarkEnd w:id="6258"/>
    </w:p>
    <w:p w14:paraId="22C88093" w14:textId="49795A89" w:rsidR="00A67788" w:rsidRPr="000665B0" w:rsidRDefault="000F1EDB" w:rsidP="009570CA">
      <w:pPr>
        <w:pStyle w:val="bullet11"/>
        <w:tabs>
          <w:tab w:val="left" w:pos="720"/>
        </w:tabs>
        <w:spacing w:before="0" w:beforeAutospacing="0" w:after="120" w:afterAutospacing="0"/>
      </w:pPr>
      <w:r w:rsidRPr="000665B0">
        <w:t xml:space="preserve">The </w:t>
      </w:r>
      <w:r w:rsidRPr="000665B0">
        <w:rPr>
          <w:b/>
        </w:rPr>
        <w:t>Taskings</w:t>
      </w:r>
      <w:r w:rsidRPr="000665B0">
        <w:t xml:space="preserve"> pane shows the l</w:t>
      </w:r>
      <w:r w:rsidR="00A67788" w:rsidRPr="000665B0">
        <w:t>ist of Tasking</w:t>
      </w:r>
      <w:r w:rsidR="004F5BB0" w:rsidRPr="000665B0">
        <w:t>s</w:t>
      </w:r>
      <w:r w:rsidR="00A67788" w:rsidRPr="000665B0">
        <w:t xml:space="preserve"> </w:t>
      </w:r>
      <w:r w:rsidR="004F5BB0" w:rsidRPr="000665B0">
        <w:t xml:space="preserve">(Targets) </w:t>
      </w:r>
      <w:r w:rsidRPr="000665B0">
        <w:t xml:space="preserve">that were </w:t>
      </w:r>
      <w:r w:rsidR="00891741" w:rsidRPr="000665B0">
        <w:t xml:space="preserve">previously </w:t>
      </w:r>
      <w:r w:rsidRPr="000665B0">
        <w:t xml:space="preserve">entered in the </w:t>
      </w:r>
      <w:r w:rsidR="00A67788" w:rsidRPr="000665B0">
        <w:t>Tasking Matrix</w:t>
      </w:r>
      <w:r w:rsidR="004F5BB0" w:rsidRPr="000665B0">
        <w:t xml:space="preserve"> of the Strike Folder</w:t>
      </w:r>
      <w:r w:rsidRPr="000665B0">
        <w:t xml:space="preserve">. The list view </w:t>
      </w:r>
      <w:r w:rsidR="004F5BB0" w:rsidRPr="000665B0">
        <w:t>displays</w:t>
      </w:r>
      <w:r w:rsidR="00891741" w:rsidRPr="000665B0">
        <w:t xml:space="preserve"> Coverage Status and</w:t>
      </w:r>
      <w:r w:rsidR="00A67788" w:rsidRPr="000665B0">
        <w:t xml:space="preserve"> Mission</w:t>
      </w:r>
      <w:r w:rsidR="00891741" w:rsidRPr="000665B0">
        <w:t>, TMPR, LMO, and Hidden Candidate</w:t>
      </w:r>
      <w:r w:rsidR="00A67788" w:rsidRPr="000665B0">
        <w:t xml:space="preserve"> counts</w:t>
      </w:r>
      <w:r w:rsidR="00A40B78" w:rsidRPr="000665B0">
        <w:t xml:space="preserve"> for each Tasking</w:t>
      </w:r>
      <w:r w:rsidR="00A67788" w:rsidRPr="000665B0">
        <w:t xml:space="preserve">. A Tasking is </w:t>
      </w:r>
      <w:r w:rsidR="00A67788" w:rsidRPr="000665B0">
        <w:rPr>
          <w:i/>
        </w:rPr>
        <w:t>Covered</w:t>
      </w:r>
      <w:r w:rsidR="00A67788" w:rsidRPr="000665B0">
        <w:t xml:space="preserve"> if there are TLAM Missions</w:t>
      </w:r>
      <w:r w:rsidR="00CE1624" w:rsidRPr="000665B0">
        <w:t>, TMPRs, or LMOs</w:t>
      </w:r>
      <w:r w:rsidR="00A67788" w:rsidRPr="000665B0">
        <w:t xml:space="preserve"> that </w:t>
      </w:r>
      <w:r w:rsidR="004F5BB0" w:rsidRPr="000665B0">
        <w:t xml:space="preserve">satisfy </w:t>
      </w:r>
      <w:r w:rsidR="00A67788" w:rsidRPr="000665B0">
        <w:t xml:space="preserve">the Tasking’s target and </w:t>
      </w:r>
      <w:r w:rsidR="00C2585F" w:rsidRPr="000665B0">
        <w:t>109E</w:t>
      </w:r>
      <w:r w:rsidR="00A67788" w:rsidRPr="000665B0">
        <w:t xml:space="preserve"> </w:t>
      </w:r>
      <w:r w:rsidR="00802C15" w:rsidRPr="000665B0">
        <w:t>requirements and</w:t>
      </w:r>
      <w:r w:rsidR="00A40B78" w:rsidRPr="000665B0">
        <w:t xml:space="preserve"> meet</w:t>
      </w:r>
      <w:r w:rsidR="004F5BB0" w:rsidRPr="000665B0">
        <w:t xml:space="preserve"> the </w:t>
      </w:r>
      <w:r w:rsidR="00A67788" w:rsidRPr="000665B0">
        <w:t xml:space="preserve">Mission Libraries and </w:t>
      </w:r>
      <w:r w:rsidR="004F5BB0" w:rsidRPr="000665B0">
        <w:t xml:space="preserve">Mission </w:t>
      </w:r>
      <w:r w:rsidR="00A67788" w:rsidRPr="000665B0">
        <w:t xml:space="preserve">Queries </w:t>
      </w:r>
      <w:r w:rsidR="004F5BB0" w:rsidRPr="000665B0">
        <w:t>filter settings</w:t>
      </w:r>
      <w:r w:rsidR="00A67788" w:rsidRPr="000665B0">
        <w:t xml:space="preserve">. A Tasking has </w:t>
      </w:r>
      <w:r w:rsidR="00A67788" w:rsidRPr="000665B0">
        <w:rPr>
          <w:i/>
        </w:rPr>
        <w:t>Outstanding Mission Requests</w:t>
      </w:r>
      <w:r w:rsidR="00A67788" w:rsidRPr="000665B0">
        <w:t xml:space="preserve"> if MDS only </w:t>
      </w:r>
      <w:r w:rsidR="004F5BB0" w:rsidRPr="000665B0">
        <w:t xml:space="preserve">has </w:t>
      </w:r>
      <w:r w:rsidR="00A67788" w:rsidRPr="000665B0">
        <w:t xml:space="preserve">TMPRs and/or LMOs that </w:t>
      </w:r>
      <w:r w:rsidR="004F5BB0" w:rsidRPr="000665B0">
        <w:t xml:space="preserve">satisfy </w:t>
      </w:r>
      <w:r w:rsidR="00A67788" w:rsidRPr="000665B0">
        <w:t xml:space="preserve">the Tasking (no TLAM Missions). </w:t>
      </w:r>
      <w:r w:rsidR="00A66307" w:rsidRPr="000665B0">
        <w:t>T</w:t>
      </w:r>
      <w:r w:rsidR="00A67788" w:rsidRPr="000665B0">
        <w:t xml:space="preserve">he Tasking has </w:t>
      </w:r>
      <w:r w:rsidR="00A67788" w:rsidRPr="000665B0">
        <w:rPr>
          <w:i/>
        </w:rPr>
        <w:t>No Coverage</w:t>
      </w:r>
      <w:r w:rsidR="00A67788" w:rsidRPr="000665B0">
        <w:t xml:space="preserve"> if there are no </w:t>
      </w:r>
      <w:r w:rsidR="00C27382" w:rsidRPr="000665B0">
        <w:t xml:space="preserve">candidates </w:t>
      </w:r>
      <w:r w:rsidR="00A67788" w:rsidRPr="000665B0">
        <w:t>that satisfy the Tasking.</w:t>
      </w:r>
    </w:p>
    <w:p w14:paraId="00F9527C" w14:textId="7A782E2D" w:rsidR="004F5BB0" w:rsidRPr="000665B0" w:rsidRDefault="000A414E" w:rsidP="009570CA">
      <w:pPr>
        <w:pStyle w:val="bullet11"/>
        <w:tabs>
          <w:tab w:val="left" w:pos="720"/>
        </w:tabs>
        <w:spacing w:before="0" w:beforeAutospacing="0" w:after="120" w:afterAutospacing="0"/>
        <w:jc w:val="center"/>
      </w:pPr>
      <w:r w:rsidRPr="000665B0">
        <w:rPr>
          <w:noProof/>
        </w:rPr>
        <w:drawing>
          <wp:inline distT="0" distB="0" distL="0" distR="0" wp14:anchorId="2F8CFF70" wp14:editId="0761BC87">
            <wp:extent cx="4983480" cy="125272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252728"/>
                    </a:xfrm>
                    <a:prstGeom prst="rect">
                      <a:avLst/>
                    </a:prstGeom>
                  </pic:spPr>
                </pic:pic>
              </a:graphicData>
            </a:graphic>
          </wp:inline>
        </w:drawing>
      </w:r>
    </w:p>
    <w:p w14:paraId="77DE12AB" w14:textId="77777777" w:rsidR="004F5BB0" w:rsidRPr="000665B0" w:rsidRDefault="004F5BB0" w:rsidP="001E6E38">
      <w:pPr>
        <w:pStyle w:val="bullet11"/>
        <w:keepNext/>
        <w:keepLines/>
        <w:tabs>
          <w:tab w:val="left" w:pos="720"/>
        </w:tabs>
        <w:spacing w:before="0" w:beforeAutospacing="0" w:after="120" w:afterAutospacing="0"/>
        <w:rPr>
          <w:b/>
          <w:i/>
        </w:rPr>
      </w:pPr>
      <w:r w:rsidRPr="000665B0">
        <w:rPr>
          <w:b/>
          <w:i/>
        </w:rPr>
        <w:t>Taskings List View</w:t>
      </w:r>
    </w:p>
    <w:p w14:paraId="1D7F3019" w14:textId="77777777" w:rsidR="00A66307" w:rsidRPr="000665B0" w:rsidRDefault="00A66307" w:rsidP="006D5A65">
      <w:pPr>
        <w:pStyle w:val="Heading1"/>
      </w:pPr>
      <w:r w:rsidRPr="000665B0">
        <w:t>Columns</w:t>
      </w:r>
    </w:p>
    <w:p w14:paraId="3364E568" w14:textId="77777777" w:rsidR="00A66307" w:rsidRPr="000665B0" w:rsidRDefault="00A66307" w:rsidP="006D5A65">
      <w:pPr>
        <w:pStyle w:val="Heading1"/>
      </w:pPr>
      <w:r w:rsidRPr="000665B0">
        <w:rPr>
          <w:bCs/>
        </w:rPr>
        <w:t xml:space="preserve">Coverage Status </w:t>
      </w:r>
      <w:r w:rsidRPr="000665B0">
        <w:t xml:space="preserve">– The status of the Tasking coverage. </w:t>
      </w:r>
    </w:p>
    <w:p w14:paraId="40C194B5" w14:textId="77777777" w:rsidR="00A66307" w:rsidRPr="000665B0" w:rsidRDefault="00A66307" w:rsidP="006D5A65">
      <w:pPr>
        <w:pStyle w:val="Heading2"/>
      </w:pPr>
      <w:r w:rsidRPr="000665B0">
        <w:t>Covered – Mission(s)</w:t>
      </w:r>
      <w:r w:rsidR="00CE1624" w:rsidRPr="000665B0">
        <w:t>, TMPR(s), or LMO(s)</w:t>
      </w:r>
      <w:r w:rsidRPr="000665B0">
        <w:t xml:space="preserve"> are available to cover the selected Tasking.</w:t>
      </w:r>
    </w:p>
    <w:p w14:paraId="5D72B9FF" w14:textId="77777777" w:rsidR="00A66307" w:rsidRPr="000665B0" w:rsidRDefault="00A66307" w:rsidP="006D5A65">
      <w:pPr>
        <w:pStyle w:val="Heading2"/>
      </w:pPr>
      <w:r w:rsidRPr="000665B0">
        <w:t>Outstanding Mission Requests – Mission(s) are not available to cover the selected Tasking, but there are outstanding TMPRs or LMOs.</w:t>
      </w:r>
    </w:p>
    <w:p w14:paraId="1556481A" w14:textId="77777777" w:rsidR="00A66307" w:rsidRPr="000665B0" w:rsidRDefault="00A66307" w:rsidP="006D5A65">
      <w:pPr>
        <w:pStyle w:val="Heading2"/>
      </w:pPr>
      <w:r w:rsidRPr="000665B0">
        <w:t xml:space="preserve">No Coverage – </w:t>
      </w:r>
      <w:r w:rsidR="000B7D86" w:rsidRPr="000665B0">
        <w:t>No Mission(s) were found that cover the selected Tasking</w:t>
      </w:r>
      <w:r w:rsidRPr="000665B0">
        <w:t>.</w:t>
      </w:r>
    </w:p>
    <w:p w14:paraId="2A18C678" w14:textId="77777777" w:rsidR="00A66307" w:rsidRPr="000665B0" w:rsidRDefault="00A66307" w:rsidP="006D5A65">
      <w:pPr>
        <w:pStyle w:val="Heading1"/>
      </w:pPr>
      <w:r w:rsidRPr="000665B0">
        <w:rPr>
          <w:bCs/>
        </w:rPr>
        <w:lastRenderedPageBreak/>
        <w:t xml:space="preserve"># Msns </w:t>
      </w:r>
      <w:r w:rsidRPr="000665B0">
        <w:t>– The number of Mission</w:t>
      </w:r>
      <w:r w:rsidR="008D04EF" w:rsidRPr="000665B0">
        <w:t xml:space="preserve"> Candidates</w:t>
      </w:r>
      <w:r w:rsidRPr="000665B0">
        <w:t xml:space="preserve"> for the Tasking target.</w:t>
      </w:r>
    </w:p>
    <w:p w14:paraId="1382A5D7" w14:textId="77777777" w:rsidR="00A66307" w:rsidRPr="000665B0" w:rsidRDefault="00A66307" w:rsidP="006D5A65">
      <w:pPr>
        <w:pStyle w:val="Heading1"/>
      </w:pPr>
      <w:r w:rsidRPr="000665B0">
        <w:rPr>
          <w:bCs/>
        </w:rPr>
        <w:t xml:space="preserve"># TMPRs </w:t>
      </w:r>
      <w:r w:rsidRPr="000665B0">
        <w:t>– The number of candidate TMPRs for the Tasking target.</w:t>
      </w:r>
    </w:p>
    <w:p w14:paraId="1620DE15" w14:textId="77777777" w:rsidR="00A66307" w:rsidRPr="000665B0" w:rsidRDefault="00A66307" w:rsidP="006D5A65">
      <w:pPr>
        <w:pStyle w:val="Heading1"/>
      </w:pPr>
      <w:r w:rsidRPr="000665B0">
        <w:t># LMOs – The number of candidate LMOs for the Tasking target.</w:t>
      </w:r>
    </w:p>
    <w:p w14:paraId="05F48F38" w14:textId="77777777" w:rsidR="00A66307" w:rsidRPr="000665B0" w:rsidRDefault="00A66307" w:rsidP="006D5A65">
      <w:pPr>
        <w:pStyle w:val="Heading1"/>
      </w:pPr>
      <w:r w:rsidRPr="000665B0">
        <w:rPr>
          <w:bCs/>
        </w:rPr>
        <w:t xml:space="preserve"># Hidden </w:t>
      </w:r>
      <w:r w:rsidRPr="000665B0">
        <w:t>– The number of Missions, TMPRs, and LMOs that are hidden from the list of possible candidates.</w:t>
      </w:r>
    </w:p>
    <w:p w14:paraId="30DD9B31" w14:textId="1ADF0EFA" w:rsidR="00274A7D" w:rsidRPr="000665B0" w:rsidRDefault="00274A7D" w:rsidP="006D5A65">
      <w:pPr>
        <w:pStyle w:val="Heading1"/>
      </w:pPr>
      <w:r w:rsidRPr="000665B0">
        <w:rPr>
          <w:bCs/>
        </w:rPr>
        <w:t xml:space="preserve"># Attack Plans </w:t>
      </w:r>
      <w:r w:rsidRPr="000665B0">
        <w:t>– The number of Attack Plans for the Tasking target.</w:t>
      </w:r>
    </w:p>
    <w:p w14:paraId="7A4E57E5" w14:textId="42804045" w:rsidR="00274A7D" w:rsidRPr="000665B0" w:rsidRDefault="00274A7D" w:rsidP="006D5A65">
      <w:pPr>
        <w:pStyle w:val="Heading1"/>
      </w:pPr>
      <w:r w:rsidRPr="000665B0">
        <w:rPr>
          <w:bCs/>
        </w:rPr>
        <w:t xml:space="preserve">TAR Type </w:t>
      </w:r>
      <w:r w:rsidRPr="000665B0">
        <w:t>– Identifies whether a TAR Type is associated with the Tasking.</w:t>
      </w:r>
    </w:p>
    <w:p w14:paraId="27CDEF2C" w14:textId="4F9305AC" w:rsidR="00274A7D" w:rsidRPr="000665B0" w:rsidRDefault="00274A7D" w:rsidP="006D5A65">
      <w:pPr>
        <w:pStyle w:val="Heading1"/>
      </w:pPr>
      <w:r w:rsidRPr="000665B0">
        <w:rPr>
          <w:bCs/>
        </w:rPr>
        <w:t xml:space="preserve">Req 109E </w:t>
      </w:r>
      <w:r w:rsidRPr="000665B0">
        <w:t xml:space="preserve">– Specifies whether a 109E mission is required for the </w:t>
      </w:r>
      <w:r w:rsidR="00802C15" w:rsidRPr="000665B0">
        <w:t>Target.</w:t>
      </w:r>
    </w:p>
    <w:p w14:paraId="669D26E4" w14:textId="7BB2CA53" w:rsidR="00274A7D" w:rsidRPr="000665B0" w:rsidRDefault="00274A7D" w:rsidP="006D5A65">
      <w:pPr>
        <w:pStyle w:val="Heading1"/>
      </w:pPr>
      <w:r w:rsidRPr="000665B0">
        <w:rPr>
          <w:bCs/>
        </w:rPr>
        <w:t xml:space="preserve">Required TOT </w:t>
      </w:r>
      <w:r w:rsidRPr="000665B0">
        <w:t>– Identifies whether or not a mission is set with TOT control.</w:t>
      </w:r>
    </w:p>
    <w:p w14:paraId="122704AE" w14:textId="77777777" w:rsidR="00A66307" w:rsidRPr="000665B0" w:rsidRDefault="003440CE" w:rsidP="006D5A65">
      <w:pPr>
        <w:pStyle w:val="Heading1"/>
      </w:pPr>
      <w:r w:rsidRPr="000665B0">
        <w:rPr>
          <w:bCs/>
        </w:rPr>
        <w:t>Remainder of Columns</w:t>
      </w:r>
      <w:r w:rsidR="00A66307" w:rsidRPr="000665B0">
        <w:rPr>
          <w:bCs/>
        </w:rPr>
        <w:t xml:space="preserve"> </w:t>
      </w:r>
      <w:r w:rsidR="00A66307" w:rsidRPr="000665B0">
        <w:t xml:space="preserve">– </w:t>
      </w:r>
      <w:r w:rsidRPr="000665B0">
        <w:t>Displays Target’s values as set in the Tasking Matrix and Targets tool.</w:t>
      </w:r>
    </w:p>
    <w:p w14:paraId="7DEB3690" w14:textId="77777777" w:rsidR="00A66307" w:rsidRPr="000665B0" w:rsidRDefault="00A66307" w:rsidP="006D5A65">
      <w:pPr>
        <w:pStyle w:val="Heading1"/>
      </w:pPr>
      <w:r w:rsidRPr="000665B0">
        <w:t>Context Menu</w:t>
      </w:r>
    </w:p>
    <w:p w14:paraId="43992AB9" w14:textId="77777777" w:rsidR="003440CE" w:rsidRPr="000665B0" w:rsidRDefault="003440CE" w:rsidP="006D5A65">
      <w:pPr>
        <w:pStyle w:val="Heading1"/>
      </w:pPr>
      <w:r w:rsidRPr="000665B0">
        <w:t>New</w:t>
      </w:r>
    </w:p>
    <w:p w14:paraId="28568542" w14:textId="77777777" w:rsidR="00274A7D" w:rsidRPr="000665B0" w:rsidRDefault="003440CE" w:rsidP="006D5A65">
      <w:pPr>
        <w:pStyle w:val="Heading2"/>
      </w:pPr>
      <w:r w:rsidRPr="000665B0">
        <w:t xml:space="preserve">TMPR… </w:t>
      </w:r>
    </w:p>
    <w:p w14:paraId="6608D126" w14:textId="19711B8A" w:rsidR="003440CE" w:rsidRPr="000665B0" w:rsidRDefault="00274A7D" w:rsidP="006D5A65">
      <w:pPr>
        <w:pStyle w:val="Heading2"/>
      </w:pPr>
      <w:r w:rsidRPr="000665B0">
        <w:rPr>
          <w:bCs/>
        </w:rPr>
        <w:t xml:space="preserve">Create </w:t>
      </w:r>
      <w:r w:rsidR="003440CE" w:rsidRPr="000665B0">
        <w:rPr>
          <w:bCs/>
        </w:rPr>
        <w:t xml:space="preserve">– </w:t>
      </w:r>
      <w:r w:rsidR="00B14898" w:rsidRPr="000665B0">
        <w:t xml:space="preserve">Brings up a new </w:t>
      </w:r>
      <w:r w:rsidR="00B14898" w:rsidRPr="000665B0">
        <w:rPr>
          <w:i/>
        </w:rPr>
        <w:t>TMPR</w:t>
      </w:r>
      <w:r w:rsidR="00B14898" w:rsidRPr="000665B0">
        <w:t xml:space="preserve"> window</w:t>
      </w:r>
      <w:r w:rsidR="003440CE" w:rsidRPr="000665B0">
        <w:rPr>
          <w:bCs/>
        </w:rPr>
        <w:t>.</w:t>
      </w:r>
    </w:p>
    <w:p w14:paraId="372D3298" w14:textId="64EB2A54" w:rsidR="00274A7D" w:rsidRPr="000665B0" w:rsidRDefault="00274A7D" w:rsidP="006D5A65">
      <w:pPr>
        <w:pStyle w:val="Heading2"/>
      </w:pPr>
      <w:r w:rsidRPr="000665B0">
        <w:rPr>
          <w:bCs/>
        </w:rPr>
        <w:t>Attack Plan –</w:t>
      </w:r>
      <w:r w:rsidRPr="000665B0">
        <w:t xml:space="preserve"> Brings up a new Attack Plan </w:t>
      </w:r>
      <w:r w:rsidRPr="000665B0">
        <w:rPr>
          <w:i/>
        </w:rPr>
        <w:t>TMPR</w:t>
      </w:r>
      <w:r w:rsidRPr="000665B0">
        <w:t xml:space="preserve"> window.</w:t>
      </w:r>
    </w:p>
    <w:p w14:paraId="7B4C85C1" w14:textId="77777777" w:rsidR="003440CE" w:rsidRPr="000665B0" w:rsidRDefault="003440CE" w:rsidP="006D5A65">
      <w:pPr>
        <w:pStyle w:val="Heading2"/>
      </w:pPr>
      <w:r w:rsidRPr="000665B0">
        <w:t>LMO</w:t>
      </w:r>
    </w:p>
    <w:p w14:paraId="41B42CFB" w14:textId="77777777" w:rsidR="003440CE" w:rsidRPr="000665B0" w:rsidRDefault="003440CE" w:rsidP="006D5A65">
      <w:pPr>
        <w:pStyle w:val="Heading3"/>
      </w:pPr>
      <w:r w:rsidRPr="000665B0">
        <w:t>Full</w:t>
      </w:r>
      <w:r w:rsidR="00B14898" w:rsidRPr="000665B0">
        <w:t xml:space="preserve"> – Brings up a new </w:t>
      </w:r>
      <w:r w:rsidR="00B14898" w:rsidRPr="000665B0">
        <w:rPr>
          <w:i/>
        </w:rPr>
        <w:t>LMO</w:t>
      </w:r>
      <w:r w:rsidR="00B14898" w:rsidRPr="000665B0">
        <w:t xml:space="preserve"> window.</w:t>
      </w:r>
    </w:p>
    <w:p w14:paraId="382E7A5E" w14:textId="77777777" w:rsidR="00A66307" w:rsidRPr="000665B0" w:rsidRDefault="00A66307" w:rsidP="006D5A65">
      <w:pPr>
        <w:pStyle w:val="Heading1"/>
      </w:pPr>
      <w:r w:rsidRPr="000665B0">
        <w:t xml:space="preserve">Display </w:t>
      </w:r>
    </w:p>
    <w:p w14:paraId="6A19322D" w14:textId="77777777" w:rsidR="002D7E7D" w:rsidRPr="000665B0" w:rsidRDefault="002D7E7D" w:rsidP="006D5A65">
      <w:pPr>
        <w:pStyle w:val="Heading2"/>
      </w:pPr>
      <w:r w:rsidRPr="000665B0">
        <w:t>Textually – Displays the textual view of the selected Tasking target.</w:t>
      </w:r>
    </w:p>
    <w:p w14:paraId="63A6D3DE" w14:textId="77777777" w:rsidR="00A66307" w:rsidRPr="000665B0" w:rsidRDefault="00A66307" w:rsidP="006D5A65">
      <w:pPr>
        <w:pStyle w:val="Heading2"/>
      </w:pPr>
      <w:r w:rsidRPr="000665B0">
        <w:t xml:space="preserve">Target Geographically – </w:t>
      </w:r>
      <w:r w:rsidR="002D7E7D" w:rsidRPr="000665B0">
        <w:t xml:space="preserve">Geographically </w:t>
      </w:r>
      <w:r w:rsidRPr="000665B0">
        <w:t>displays the Target for the selected Tasking.</w:t>
      </w:r>
    </w:p>
    <w:p w14:paraId="121ADE97" w14:textId="77777777" w:rsidR="00A66307" w:rsidRPr="000665B0" w:rsidRDefault="00A66307" w:rsidP="006D5A65">
      <w:pPr>
        <w:pStyle w:val="Heading2"/>
      </w:pPr>
      <w:r w:rsidRPr="000665B0">
        <w:rPr>
          <w:bCs/>
        </w:rPr>
        <w:t>Mission</w:t>
      </w:r>
      <w:r w:rsidR="002D7E7D" w:rsidRPr="000665B0">
        <w:rPr>
          <w:bCs/>
        </w:rPr>
        <w:t>s</w:t>
      </w:r>
      <w:r w:rsidRPr="000665B0">
        <w:rPr>
          <w:bCs/>
        </w:rPr>
        <w:t xml:space="preserve"> Geographically –</w:t>
      </w:r>
      <w:r w:rsidRPr="000665B0">
        <w:t xml:space="preserve"> </w:t>
      </w:r>
      <w:r w:rsidR="002D7E7D" w:rsidRPr="000665B0">
        <w:t xml:space="preserve">Geographically </w:t>
      </w:r>
      <w:r w:rsidRPr="000665B0">
        <w:t>displays the Mission for the selected Tasking.</w:t>
      </w:r>
    </w:p>
    <w:p w14:paraId="2BDA12C2" w14:textId="77777777" w:rsidR="002D7E7D" w:rsidRPr="000665B0" w:rsidRDefault="002D7E7D" w:rsidP="006D5A65">
      <w:pPr>
        <w:pStyle w:val="Heading2"/>
      </w:pPr>
      <w:r w:rsidRPr="000665B0">
        <w:rPr>
          <w:bCs/>
        </w:rPr>
        <w:t>In Excel –</w:t>
      </w:r>
      <w:r w:rsidRPr="000665B0">
        <w:t xml:space="preserve"> Creates an Excel document containing the selected Tasking information.</w:t>
      </w:r>
    </w:p>
    <w:p w14:paraId="680E7663" w14:textId="564D7166" w:rsidR="00A67788" w:rsidRPr="000665B0" w:rsidRDefault="00A67788" w:rsidP="009570CA">
      <w:pPr>
        <w:pStyle w:val="bullet11"/>
        <w:tabs>
          <w:tab w:val="left" w:pos="720"/>
        </w:tabs>
        <w:spacing w:before="0" w:beforeAutospacing="0" w:after="120" w:afterAutospacing="0"/>
      </w:pPr>
      <w:r w:rsidRPr="000665B0">
        <w:t xml:space="preserve">Selecting </w:t>
      </w:r>
      <w:r w:rsidR="002D7E7D" w:rsidRPr="000665B0">
        <w:t xml:space="preserve">a </w:t>
      </w:r>
      <w:r w:rsidRPr="000665B0">
        <w:t xml:space="preserve">Tasking from this list view </w:t>
      </w:r>
      <w:r w:rsidR="002D7E7D" w:rsidRPr="000665B0">
        <w:t>display</w:t>
      </w:r>
      <w:r w:rsidR="0048136C" w:rsidRPr="000665B0">
        <w:t>s</w:t>
      </w:r>
      <w:r w:rsidR="002D7E7D" w:rsidRPr="000665B0">
        <w:t xml:space="preserve"> the </w:t>
      </w:r>
      <w:r w:rsidR="00EB697E" w:rsidRPr="000665B0">
        <w:t xml:space="preserve">corresponding </w:t>
      </w:r>
      <w:r w:rsidR="002D7E7D" w:rsidRPr="000665B0">
        <w:t>Mission</w:t>
      </w:r>
      <w:r w:rsidR="00EB697E" w:rsidRPr="000665B0">
        <w:t>,</w:t>
      </w:r>
      <w:r w:rsidR="00CE1624" w:rsidRPr="000665B0">
        <w:t xml:space="preserve"> TMPR, LMO</w:t>
      </w:r>
      <w:r w:rsidR="00D555C2" w:rsidRPr="000665B0">
        <w:t>, or Attack Plan</w:t>
      </w:r>
      <w:r w:rsidR="00EB697E" w:rsidRPr="000665B0">
        <w:t xml:space="preserve"> </w:t>
      </w:r>
      <w:r w:rsidR="00D555C2" w:rsidRPr="000665B0">
        <w:t>candidate</w:t>
      </w:r>
      <w:r w:rsidR="00CE1624" w:rsidRPr="000665B0">
        <w:t>(s)</w:t>
      </w:r>
      <w:r w:rsidR="002D7E7D" w:rsidRPr="000665B0">
        <w:t xml:space="preserve"> that satisfy the Tasking’s requirements, in the</w:t>
      </w:r>
      <w:r w:rsidR="0048136C" w:rsidRPr="000665B0">
        <w:t xml:space="preserve"> lower</w:t>
      </w:r>
      <w:r w:rsidR="002D7E7D" w:rsidRPr="000665B0">
        <w:t xml:space="preserve"> </w:t>
      </w:r>
      <w:r w:rsidR="002D7E7D" w:rsidRPr="000665B0">
        <w:rPr>
          <w:b/>
        </w:rPr>
        <w:t>Candidates</w:t>
      </w:r>
      <w:r w:rsidR="002D7E7D" w:rsidRPr="000665B0">
        <w:t xml:space="preserve"> pane of the window</w:t>
      </w:r>
      <w:r w:rsidR="00D555C2" w:rsidRPr="000665B0">
        <w:t xml:space="preserve"> (select the appropriate tab in the </w:t>
      </w:r>
      <w:r w:rsidR="00D555C2" w:rsidRPr="000665B0">
        <w:rPr>
          <w:b/>
        </w:rPr>
        <w:t>Candidates</w:t>
      </w:r>
      <w:r w:rsidR="00D555C2" w:rsidRPr="000665B0">
        <w:t xml:space="preserve"> pane)</w:t>
      </w:r>
      <w:r w:rsidRPr="000665B0">
        <w:t xml:space="preserve">. When multiple Taskings are </w:t>
      </w:r>
      <w:r w:rsidRPr="000665B0">
        <w:lastRenderedPageBreak/>
        <w:t xml:space="preserve">selected, some </w:t>
      </w:r>
      <w:r w:rsidR="002D7E7D" w:rsidRPr="000665B0">
        <w:t>Mission</w:t>
      </w:r>
      <w:r w:rsidR="008D04EF" w:rsidRPr="000665B0">
        <w:t xml:space="preserve"> Candidate</w:t>
      </w:r>
      <w:r w:rsidRPr="000665B0">
        <w:t xml:space="preserve">s in the </w:t>
      </w:r>
      <w:r w:rsidR="002D7E7D" w:rsidRPr="000665B0">
        <w:rPr>
          <w:b/>
        </w:rPr>
        <w:t xml:space="preserve">Candidates </w:t>
      </w:r>
      <w:r w:rsidR="002D7E7D" w:rsidRPr="000665B0">
        <w:t>pane</w:t>
      </w:r>
      <w:r w:rsidRPr="000665B0">
        <w:t xml:space="preserve"> may be duplicated. This </w:t>
      </w:r>
      <w:r w:rsidR="002D7E7D" w:rsidRPr="000665B0">
        <w:t xml:space="preserve">occurs </w:t>
      </w:r>
      <w:r w:rsidRPr="000665B0">
        <w:t>when there are duplicate Taskings with the same Target</w:t>
      </w:r>
      <w:r w:rsidR="002D7E7D" w:rsidRPr="000665B0">
        <w:t>,</w:t>
      </w:r>
      <w:r w:rsidRPr="000665B0">
        <w:t xml:space="preserve"> but for different Objectives. This also </w:t>
      </w:r>
      <w:r w:rsidR="002D7E7D" w:rsidRPr="000665B0">
        <w:t xml:space="preserve">occurs </w:t>
      </w:r>
      <w:r w:rsidRPr="000665B0">
        <w:t>for multiple outcome Missions that have the same Target</w:t>
      </w:r>
      <w:r w:rsidR="002D7E7D" w:rsidRPr="000665B0">
        <w:t>,</w:t>
      </w:r>
      <w:r w:rsidRPr="000665B0">
        <w:t xml:space="preserve"> but for different outcomes. In this case, the Mission will appear multiple </w:t>
      </w:r>
      <w:r w:rsidR="00802C15" w:rsidRPr="000665B0">
        <w:t>times,</w:t>
      </w:r>
      <w:r w:rsidRPr="000665B0">
        <w:t xml:space="preserve"> but the Branch ID will be different.</w:t>
      </w:r>
    </w:p>
    <w:p w14:paraId="0DE0B2F9" w14:textId="77777777" w:rsidR="00B863A7" w:rsidRPr="000665B0" w:rsidRDefault="00B863A7" w:rsidP="009570CA">
      <w:pPr>
        <w:pStyle w:val="bullet11"/>
        <w:tabs>
          <w:tab w:val="left" w:pos="720"/>
        </w:tabs>
        <w:spacing w:before="0" w:beforeAutospacing="0" w:after="120" w:afterAutospacing="0"/>
      </w:pPr>
      <w:r w:rsidRPr="000665B0">
        <w:t xml:space="preserve">Selecting a </w:t>
      </w:r>
      <w:r w:rsidRPr="000665B0">
        <w:rPr>
          <w:i/>
        </w:rPr>
        <w:t>Covered</w:t>
      </w:r>
      <w:r w:rsidRPr="000665B0">
        <w:t xml:space="preserve"> Tasking from this list view displays the Missions that may satisfy the Tasking’s requirements, in the lower </w:t>
      </w:r>
      <w:r w:rsidRPr="000665B0">
        <w:rPr>
          <w:b/>
        </w:rPr>
        <w:t>Candidates</w:t>
      </w:r>
      <w:r w:rsidRPr="000665B0">
        <w:t xml:space="preserve"> pane of the window.</w:t>
      </w:r>
    </w:p>
    <w:p w14:paraId="003EA95E" w14:textId="7985A8B7" w:rsidR="002D7E7D" w:rsidRPr="000665B0" w:rsidRDefault="002D7E7D" w:rsidP="009570CA">
      <w:pPr>
        <w:pStyle w:val="bullet11"/>
        <w:tabs>
          <w:tab w:val="left" w:pos="720"/>
        </w:tabs>
        <w:spacing w:before="0" w:beforeAutospacing="0" w:after="120" w:afterAutospacing="0"/>
      </w:pPr>
      <w:r w:rsidRPr="000665B0">
        <w:t xml:space="preserve">Selecting an </w:t>
      </w:r>
      <w:r w:rsidRPr="000665B0">
        <w:rPr>
          <w:i/>
        </w:rPr>
        <w:t>Outstanding Mission Requests</w:t>
      </w:r>
      <w:r w:rsidRPr="000665B0">
        <w:t xml:space="preserve"> Tasking from this list view display</w:t>
      </w:r>
      <w:r w:rsidR="0048136C" w:rsidRPr="000665B0">
        <w:t>s the outstanding TMPRs</w:t>
      </w:r>
      <w:r w:rsidR="00D555C2" w:rsidRPr="000665B0">
        <w:t>,</w:t>
      </w:r>
      <w:r w:rsidR="0048136C" w:rsidRPr="000665B0">
        <w:t xml:space="preserve"> LMOs</w:t>
      </w:r>
      <w:r w:rsidR="00D555C2" w:rsidRPr="000665B0">
        <w:t>, or Attack Plans</w:t>
      </w:r>
      <w:r w:rsidR="0048136C" w:rsidRPr="000665B0">
        <w:t xml:space="preserve"> that may satisfy the Tasking’s requirements, in the lower </w:t>
      </w:r>
      <w:r w:rsidR="0048136C" w:rsidRPr="000665B0">
        <w:rPr>
          <w:b/>
        </w:rPr>
        <w:t>Candidates</w:t>
      </w:r>
      <w:r w:rsidR="0048136C" w:rsidRPr="000665B0">
        <w:t xml:space="preserve"> pane of the window</w:t>
      </w:r>
      <w:r w:rsidR="00B863A7" w:rsidRPr="000665B0">
        <w:t xml:space="preserve"> (select the appropriate tab in the </w:t>
      </w:r>
      <w:r w:rsidR="00B863A7" w:rsidRPr="000665B0">
        <w:rPr>
          <w:b/>
        </w:rPr>
        <w:t>Candidates</w:t>
      </w:r>
      <w:r w:rsidR="00B863A7" w:rsidRPr="000665B0">
        <w:t xml:space="preserve"> pane)</w:t>
      </w:r>
      <w:r w:rsidR="00EB697E" w:rsidRPr="000665B0">
        <w:t>.</w:t>
      </w:r>
    </w:p>
    <w:p w14:paraId="7EF42362" w14:textId="17A67223" w:rsidR="002F7122" w:rsidRPr="000665B0" w:rsidRDefault="0048136C" w:rsidP="009570CA">
      <w:pPr>
        <w:pStyle w:val="BodyText"/>
        <w:tabs>
          <w:tab w:val="left" w:pos="720"/>
        </w:tabs>
        <w:spacing w:after="120"/>
        <w:rPr>
          <w:noProof/>
        </w:rPr>
      </w:pPr>
      <w:r w:rsidRPr="000665B0">
        <w:t xml:space="preserve">Selecting a </w:t>
      </w:r>
      <w:r w:rsidRPr="000665B0">
        <w:rPr>
          <w:i/>
        </w:rPr>
        <w:t>No Coverage</w:t>
      </w:r>
      <w:r w:rsidRPr="000665B0">
        <w:t xml:space="preserve"> Tasking from this list does not display Missions, TMPRs, LMOs</w:t>
      </w:r>
      <w:r w:rsidR="00D555C2" w:rsidRPr="000665B0">
        <w:t>, or Attack Plans</w:t>
      </w:r>
      <w:r w:rsidRPr="000665B0">
        <w:t xml:space="preserve"> in the </w:t>
      </w:r>
      <w:r w:rsidRPr="000665B0">
        <w:rPr>
          <w:b/>
        </w:rPr>
        <w:t>Candidates</w:t>
      </w:r>
      <w:r w:rsidRPr="000665B0">
        <w:t xml:space="preserve"> pane of the window</w:t>
      </w:r>
      <w:r w:rsidR="007739B7" w:rsidRPr="000665B0">
        <w:t>.</w:t>
      </w:r>
      <w:r w:rsidRPr="000665B0" w:rsidDel="004F5BB0">
        <w:rPr>
          <w:noProof/>
        </w:rPr>
        <w:t xml:space="preserve"> </w:t>
      </w:r>
      <w:r w:rsidR="00B863A7" w:rsidRPr="000665B0">
        <w:rPr>
          <w:noProof/>
        </w:rPr>
        <w:t>It will display Hidden Candidates if applicable.</w:t>
      </w:r>
    </w:p>
    <w:p w14:paraId="76FE5532" w14:textId="677573B7" w:rsidR="002F7122" w:rsidRPr="000665B0" w:rsidRDefault="002F7122" w:rsidP="009570CA">
      <w:pPr>
        <w:pStyle w:val="BodyText"/>
        <w:tabs>
          <w:tab w:val="left" w:pos="720"/>
        </w:tabs>
        <w:spacing w:after="120"/>
      </w:pPr>
      <w:r w:rsidRPr="000665B0">
        <w:t>If needed, the operator can create a new TMPR</w:t>
      </w:r>
      <w:r w:rsidR="00D555C2" w:rsidRPr="000665B0">
        <w:t>,</w:t>
      </w:r>
      <w:r w:rsidRPr="000665B0">
        <w:t xml:space="preserve"> LMO</w:t>
      </w:r>
      <w:r w:rsidR="00D555C2" w:rsidRPr="000665B0">
        <w:t>, or Attack Plan TMPR</w:t>
      </w:r>
      <w:r w:rsidRPr="000665B0">
        <w:t xml:space="preserve"> from the list view of the Taskings.</w:t>
      </w:r>
    </w:p>
    <w:p w14:paraId="16174B4A" w14:textId="2C7975B6" w:rsidR="002F7122" w:rsidRPr="000665B0" w:rsidRDefault="002F7122" w:rsidP="009570CA">
      <w:pPr>
        <w:pStyle w:val="BodyText"/>
        <w:tabs>
          <w:tab w:val="left" w:pos="720"/>
        </w:tabs>
        <w:spacing w:after="120"/>
      </w:pPr>
      <w:r w:rsidRPr="000665B0">
        <w:t>To create a TMPR</w:t>
      </w:r>
      <w:r w:rsidR="00D555C2" w:rsidRPr="000665B0">
        <w:t xml:space="preserve"> (including Attack Plan TMPR)</w:t>
      </w:r>
      <w:r w:rsidRPr="000665B0">
        <w:t>:</w:t>
      </w:r>
    </w:p>
    <w:p w14:paraId="16B00D8F" w14:textId="77777777" w:rsidR="002F7122" w:rsidRPr="000665B0" w:rsidRDefault="002F7122" w:rsidP="006D5A65">
      <w:pPr>
        <w:pStyle w:val="Heading1"/>
      </w:pPr>
      <w:r w:rsidRPr="000665B0">
        <w:t>Select the desired Tasking in the list view.</w:t>
      </w:r>
    </w:p>
    <w:p w14:paraId="14FF3623" w14:textId="517E7DC7" w:rsidR="00D555C2" w:rsidRPr="000665B0" w:rsidRDefault="002F7122" w:rsidP="006D5A65">
      <w:pPr>
        <w:pStyle w:val="Heading1"/>
      </w:pPr>
      <w:r w:rsidRPr="000665B0">
        <w:t>Invoke the context menu (</w:t>
      </w:r>
      <w:r w:rsidR="00D71804" w:rsidRPr="000665B0">
        <w:t>right-click</w:t>
      </w:r>
      <w:r w:rsidRPr="000665B0">
        <w:t xml:space="preserve"> the mouse) and select New </w:t>
      </w:r>
      <w:r w:rsidRPr="000665B0">
        <w:sym w:font="Wingdings 3" w:char="F07D"/>
      </w:r>
      <w:r w:rsidRPr="000665B0">
        <w:t xml:space="preserve"> TMPR</w:t>
      </w:r>
      <w:r w:rsidRPr="000665B0">
        <w:rPr>
          <w:bCs/>
        </w:rPr>
        <w:t>.</w:t>
      </w:r>
    </w:p>
    <w:p w14:paraId="7E2B6506" w14:textId="7D9E1260" w:rsidR="00D555C2" w:rsidRPr="000665B0" w:rsidRDefault="00D555C2" w:rsidP="006D5A65">
      <w:pPr>
        <w:pStyle w:val="Heading1"/>
      </w:pPr>
      <w:r w:rsidRPr="000665B0">
        <w:t xml:space="preserve">Select the TMPR type: </w:t>
      </w:r>
    </w:p>
    <w:p w14:paraId="45A79A46" w14:textId="1FC88872" w:rsidR="00D555C2" w:rsidRPr="000665B0" w:rsidRDefault="00D555C2" w:rsidP="006D5A65">
      <w:pPr>
        <w:pStyle w:val="Heading3"/>
      </w:pPr>
      <w:r w:rsidRPr="000665B0">
        <w:t>Create</w:t>
      </w:r>
      <w:r w:rsidR="005E6AA4" w:rsidRPr="000665B0">
        <w:t xml:space="preserve"> </w:t>
      </w:r>
      <w:r w:rsidRPr="000665B0">
        <w:t xml:space="preserve">– Opens a new </w:t>
      </w:r>
      <w:r w:rsidRPr="000665B0">
        <w:rPr>
          <w:i/>
        </w:rPr>
        <w:t>TMPR</w:t>
      </w:r>
      <w:r w:rsidRPr="000665B0">
        <w:t xml:space="preserve"> window.</w:t>
      </w:r>
    </w:p>
    <w:p w14:paraId="7B04D8D9" w14:textId="7BB9BE5A" w:rsidR="002F7122" w:rsidRPr="000665B0" w:rsidRDefault="00D555C2" w:rsidP="006D5A65">
      <w:pPr>
        <w:pStyle w:val="Heading3"/>
      </w:pPr>
      <w:r w:rsidRPr="000665B0">
        <w:t>Attack Plan</w:t>
      </w:r>
      <w:r w:rsidR="005E6AA4" w:rsidRPr="000665B0">
        <w:t xml:space="preserve"> </w:t>
      </w:r>
      <w:r w:rsidRPr="000665B0">
        <w:t xml:space="preserve">– Opens a new Attack Plan </w:t>
      </w:r>
      <w:r w:rsidRPr="000665B0">
        <w:rPr>
          <w:i/>
        </w:rPr>
        <w:t>TMPR</w:t>
      </w:r>
      <w:r w:rsidRPr="000665B0">
        <w:t xml:space="preserve"> window.</w:t>
      </w:r>
      <w:r w:rsidR="002F7122" w:rsidRPr="000665B0">
        <w:t xml:space="preserve"> </w:t>
      </w:r>
    </w:p>
    <w:p w14:paraId="03FFFBFD" w14:textId="0DBBD3AF" w:rsidR="002F7122" w:rsidRPr="000665B0" w:rsidRDefault="002F7122" w:rsidP="006D5A65">
      <w:pPr>
        <w:pStyle w:val="Heading1"/>
      </w:pPr>
      <w:r w:rsidRPr="000665B0">
        <w:t xml:space="preserve">In the ensuing window, enter the required information. For more information on TMPRs, see </w:t>
      </w:r>
      <w:hyperlink w:anchor="_5.35__TMPR" w:history="1">
        <w:r w:rsidR="00650083" w:rsidRPr="000665B0">
          <w:rPr>
            <w:rStyle w:val="Hyperlink"/>
            <w:bCs/>
          </w:rPr>
          <w:t xml:space="preserve">Section </w:t>
        </w:r>
        <w:r w:rsidR="004231CC">
          <w:rPr>
            <w:rStyle w:val="Hyperlink"/>
            <w:bCs/>
          </w:rPr>
          <w:t>5.31</w:t>
        </w:r>
      </w:hyperlink>
      <w:r w:rsidRPr="000665B0">
        <w:t>.</w:t>
      </w:r>
    </w:p>
    <w:p w14:paraId="0E72D5D5" w14:textId="77777777" w:rsidR="007739B7" w:rsidRPr="000665B0" w:rsidRDefault="00CB645A" w:rsidP="006D5A65">
      <w:pPr>
        <w:pStyle w:val="Heading1"/>
        <w:rPr>
          <w:bCs/>
        </w:rPr>
      </w:pPr>
      <w:r w:rsidRPr="000665B0">
        <w:t>S</w:t>
      </w:r>
      <w:r w:rsidR="002F7122" w:rsidRPr="000665B0">
        <w:t xml:space="preserve">elect the </w:t>
      </w:r>
      <w:r w:rsidR="002F7122" w:rsidRPr="000665B0">
        <w:rPr>
          <w:bCs/>
        </w:rPr>
        <w:t>Save</w:t>
      </w:r>
      <w:r w:rsidR="002F7122" w:rsidRPr="000665B0">
        <w:t xml:space="preserve"> </w:t>
      </w:r>
      <w:r w:rsidRPr="000665B0">
        <w:t xml:space="preserve">or Save As </w:t>
      </w:r>
      <w:r w:rsidR="002F7122" w:rsidRPr="000665B0">
        <w:t xml:space="preserve">option from the </w:t>
      </w:r>
      <w:r w:rsidR="002F7122" w:rsidRPr="000665B0">
        <w:rPr>
          <w:bCs/>
        </w:rPr>
        <w:t>File</w:t>
      </w:r>
      <w:r w:rsidR="002F7122" w:rsidRPr="000665B0">
        <w:t xml:space="preserve"> pull down menu.</w:t>
      </w:r>
    </w:p>
    <w:p w14:paraId="6681F357" w14:textId="77777777" w:rsidR="002F7122" w:rsidRPr="000665B0" w:rsidRDefault="002F7122" w:rsidP="009570CA">
      <w:pPr>
        <w:pStyle w:val="BodyText"/>
        <w:tabs>
          <w:tab w:val="left" w:pos="720"/>
        </w:tabs>
        <w:spacing w:after="120"/>
      </w:pPr>
      <w:r w:rsidRPr="000665B0">
        <w:t>To create an LMO:</w:t>
      </w:r>
    </w:p>
    <w:p w14:paraId="22613BD4" w14:textId="77777777" w:rsidR="002F7122" w:rsidRPr="000665B0" w:rsidRDefault="002F7122" w:rsidP="006D5A65">
      <w:pPr>
        <w:pStyle w:val="Heading1"/>
      </w:pPr>
      <w:r w:rsidRPr="000665B0">
        <w:t>Select the desired Tasking in the list view.</w:t>
      </w:r>
    </w:p>
    <w:p w14:paraId="07410B16" w14:textId="7317CF79" w:rsidR="002F7122" w:rsidRPr="000665B0" w:rsidRDefault="002F7122" w:rsidP="006D5A65">
      <w:pPr>
        <w:pStyle w:val="Heading1"/>
      </w:pPr>
      <w:r w:rsidRPr="000665B0">
        <w:t>Invoke the context menu (</w:t>
      </w:r>
      <w:r w:rsidR="00D71804" w:rsidRPr="000665B0">
        <w:t>right-click</w:t>
      </w:r>
      <w:r w:rsidRPr="000665B0">
        <w:t xml:space="preserve"> the mouse) and select New </w:t>
      </w:r>
      <w:r w:rsidRPr="000665B0">
        <w:sym w:font="Wingdings 3" w:char="F07D"/>
      </w:r>
      <w:r w:rsidRPr="000665B0">
        <w:t xml:space="preserve"> LMO</w:t>
      </w:r>
      <w:r w:rsidR="00CB645A" w:rsidRPr="000665B0">
        <w:t>.</w:t>
      </w:r>
      <w:r w:rsidRPr="000665B0">
        <w:rPr>
          <w:bCs/>
        </w:rPr>
        <w:t xml:space="preserve"> </w:t>
      </w:r>
    </w:p>
    <w:p w14:paraId="65530103" w14:textId="77777777" w:rsidR="002F7122" w:rsidRPr="000665B0" w:rsidRDefault="002F7122" w:rsidP="006D5A65">
      <w:pPr>
        <w:pStyle w:val="Heading1"/>
      </w:pPr>
      <w:r w:rsidRPr="000665B0">
        <w:t xml:space="preserve">Select the LMO type: </w:t>
      </w:r>
    </w:p>
    <w:p w14:paraId="08FB73EF" w14:textId="7E77DA5D" w:rsidR="00D555C2" w:rsidRPr="000665B0" w:rsidRDefault="00D555C2" w:rsidP="006D5A65">
      <w:pPr>
        <w:pStyle w:val="Heading1"/>
      </w:pPr>
      <w:r w:rsidRPr="000665B0">
        <w:t>Full….</w:t>
      </w:r>
    </w:p>
    <w:p w14:paraId="02BF0161" w14:textId="1E9AF42A" w:rsidR="002F7122" w:rsidRPr="000665B0" w:rsidRDefault="002F7122" w:rsidP="006D5A65">
      <w:pPr>
        <w:pStyle w:val="Heading1"/>
      </w:pPr>
      <w:r w:rsidRPr="000665B0">
        <w:t xml:space="preserve">In the ensuing window, enter the required information. For more information on </w:t>
      </w:r>
      <w:r w:rsidR="00733D08" w:rsidRPr="000665B0">
        <w:t>LMOs</w:t>
      </w:r>
      <w:r w:rsidRPr="000665B0">
        <w:t xml:space="preserve">, see </w:t>
      </w:r>
      <w:hyperlink w:anchor="_5.37.7__LMOs_1" w:history="1">
        <w:r w:rsidR="009326FE" w:rsidRPr="000665B0">
          <w:rPr>
            <w:rStyle w:val="Hyperlink"/>
            <w:bCs/>
          </w:rPr>
          <w:t xml:space="preserve">Section </w:t>
        </w:r>
        <w:r w:rsidR="004231CC">
          <w:rPr>
            <w:rStyle w:val="Hyperlink"/>
            <w:bCs/>
          </w:rPr>
          <w:t>5.34</w:t>
        </w:r>
        <w:r w:rsidR="0089269C" w:rsidRPr="000665B0">
          <w:rPr>
            <w:rStyle w:val="Hyperlink"/>
            <w:bCs/>
          </w:rPr>
          <w:t>.8</w:t>
        </w:r>
      </w:hyperlink>
      <w:r w:rsidRPr="000665B0">
        <w:t>.</w:t>
      </w:r>
    </w:p>
    <w:p w14:paraId="74A49AD6" w14:textId="77777777" w:rsidR="002F7122" w:rsidRPr="000665B0" w:rsidRDefault="00CB645A" w:rsidP="006D5A65">
      <w:pPr>
        <w:pStyle w:val="Heading1"/>
        <w:rPr>
          <w:bCs/>
        </w:rPr>
      </w:pPr>
      <w:r w:rsidRPr="000665B0">
        <w:t>Select</w:t>
      </w:r>
      <w:r w:rsidR="002F7122" w:rsidRPr="000665B0">
        <w:t xml:space="preserve"> the </w:t>
      </w:r>
      <w:r w:rsidR="002F7122" w:rsidRPr="000665B0">
        <w:rPr>
          <w:bCs/>
        </w:rPr>
        <w:t>Save</w:t>
      </w:r>
      <w:r w:rsidR="002F7122" w:rsidRPr="000665B0">
        <w:t xml:space="preserve"> </w:t>
      </w:r>
      <w:r w:rsidRPr="000665B0">
        <w:t xml:space="preserve">or Save As </w:t>
      </w:r>
      <w:r w:rsidR="002F7122" w:rsidRPr="000665B0">
        <w:t xml:space="preserve">option from the </w:t>
      </w:r>
      <w:r w:rsidR="002F7122" w:rsidRPr="000665B0">
        <w:rPr>
          <w:bCs/>
        </w:rPr>
        <w:t>File</w:t>
      </w:r>
      <w:r w:rsidR="002F7122" w:rsidRPr="000665B0">
        <w:t xml:space="preserve"> pull down menu.</w:t>
      </w:r>
    </w:p>
    <w:p w14:paraId="69D4F136" w14:textId="5BA4B5A1" w:rsidR="00A67788" w:rsidRPr="000665B0" w:rsidRDefault="00A67788" w:rsidP="009570CA">
      <w:pPr>
        <w:pStyle w:val="Heading4"/>
        <w:tabs>
          <w:tab w:val="left" w:pos="720"/>
        </w:tabs>
      </w:pPr>
      <w:bookmarkStart w:id="6263" w:name="_5.37.4.3__Candidates"/>
      <w:bookmarkStart w:id="6264" w:name="_Toc289328856"/>
      <w:bookmarkStart w:id="6265" w:name="_Toc164499434"/>
      <w:bookmarkEnd w:id="6251"/>
      <w:bookmarkEnd w:id="6259"/>
      <w:bookmarkEnd w:id="6260"/>
      <w:bookmarkEnd w:id="6261"/>
      <w:bookmarkEnd w:id="6262"/>
      <w:bookmarkEnd w:id="6263"/>
      <w:r w:rsidRPr="000665B0">
        <w:t>Candidates</w:t>
      </w:r>
      <w:bookmarkEnd w:id="6264"/>
    </w:p>
    <w:p w14:paraId="2936A3EC" w14:textId="0E3C616F" w:rsidR="00A67788" w:rsidRPr="000665B0" w:rsidRDefault="00A67788" w:rsidP="009570CA">
      <w:pPr>
        <w:pStyle w:val="Normal1"/>
        <w:tabs>
          <w:tab w:val="left" w:pos="720"/>
        </w:tabs>
        <w:spacing w:before="0" w:beforeAutospacing="0" w:after="120" w:afterAutospacing="0"/>
      </w:pPr>
      <w:r w:rsidRPr="000665B0">
        <w:t xml:space="preserve">The </w:t>
      </w:r>
      <w:r w:rsidRPr="000665B0">
        <w:rPr>
          <w:b/>
        </w:rPr>
        <w:t>Candidates</w:t>
      </w:r>
      <w:r w:rsidRPr="000665B0">
        <w:t xml:space="preserve"> pane </w:t>
      </w:r>
      <w:r w:rsidR="00BA1912" w:rsidRPr="000665B0">
        <w:t>displays</w:t>
      </w:r>
      <w:r w:rsidR="00C81F1F" w:rsidRPr="000665B0">
        <w:t xml:space="preserve"> the list</w:t>
      </w:r>
      <w:r w:rsidR="00BA1912" w:rsidRPr="000665B0">
        <w:t xml:space="preserve"> view</w:t>
      </w:r>
      <w:r w:rsidR="00C81F1F" w:rsidRPr="000665B0">
        <w:t xml:space="preserve"> of the resulting Mission</w:t>
      </w:r>
      <w:r w:rsidR="00BA1912" w:rsidRPr="000665B0">
        <w:t>,</w:t>
      </w:r>
      <w:r w:rsidR="008D04EF" w:rsidRPr="000665B0">
        <w:t xml:space="preserve"> </w:t>
      </w:r>
      <w:r w:rsidR="00C81F1F" w:rsidRPr="000665B0">
        <w:t>TMPR, and LMO</w:t>
      </w:r>
      <w:r w:rsidR="00EB697E" w:rsidRPr="000665B0">
        <w:t xml:space="preserve"> </w:t>
      </w:r>
      <w:r w:rsidR="00C27382" w:rsidRPr="000665B0">
        <w:t>c</w:t>
      </w:r>
      <w:r w:rsidR="00EB697E" w:rsidRPr="000665B0">
        <w:t>andidate(s)</w:t>
      </w:r>
      <w:r w:rsidR="00C81F1F" w:rsidRPr="000665B0">
        <w:t xml:space="preserve"> for the Tasking(s) that is selected in the </w:t>
      </w:r>
      <w:r w:rsidR="00C81F1F" w:rsidRPr="000665B0">
        <w:rPr>
          <w:b/>
        </w:rPr>
        <w:t>Taskings</w:t>
      </w:r>
      <w:r w:rsidR="00C81F1F" w:rsidRPr="000665B0">
        <w:t xml:space="preserve"> pane. </w:t>
      </w:r>
      <w:r w:rsidR="00BA1912" w:rsidRPr="000665B0">
        <w:t xml:space="preserve">Select either the </w:t>
      </w:r>
      <w:r w:rsidR="00BA1912" w:rsidRPr="000665B0">
        <w:rPr>
          <w:b/>
          <w:i/>
        </w:rPr>
        <w:t>Missions</w:t>
      </w:r>
      <w:r w:rsidR="00BA1912" w:rsidRPr="000665B0">
        <w:t xml:space="preserve">, </w:t>
      </w:r>
      <w:r w:rsidR="00BA1912" w:rsidRPr="000665B0">
        <w:rPr>
          <w:b/>
          <w:i/>
        </w:rPr>
        <w:lastRenderedPageBreak/>
        <w:t>TMPRs</w:t>
      </w:r>
      <w:r w:rsidR="00BA1912" w:rsidRPr="000665B0">
        <w:t xml:space="preserve">, or </w:t>
      </w:r>
      <w:r w:rsidR="00BA1912" w:rsidRPr="000665B0">
        <w:rPr>
          <w:b/>
          <w:i/>
        </w:rPr>
        <w:t>LMOs</w:t>
      </w:r>
      <w:r w:rsidR="00BA1912" w:rsidRPr="000665B0">
        <w:t xml:space="preserve"> tab to display </w:t>
      </w:r>
      <w:r w:rsidR="00CF54B1" w:rsidRPr="000665B0">
        <w:t>the list view.</w:t>
      </w:r>
      <w:r w:rsidR="00BA1912" w:rsidRPr="000665B0">
        <w:t xml:space="preserve"> </w:t>
      </w:r>
      <w:r w:rsidRPr="000665B0">
        <w:t xml:space="preserve">Each of the </w:t>
      </w:r>
      <w:r w:rsidR="00C81F1F" w:rsidRPr="000665B0">
        <w:t xml:space="preserve">Candidate’s </w:t>
      </w:r>
      <w:r w:rsidRPr="000665B0">
        <w:t xml:space="preserve">list view has a context menu to hide the </w:t>
      </w:r>
      <w:r w:rsidR="00C27382" w:rsidRPr="000665B0">
        <w:t>ca</w:t>
      </w:r>
      <w:r w:rsidR="00C81F1F" w:rsidRPr="000665B0">
        <w:t xml:space="preserve">ndidates </w:t>
      </w:r>
      <w:r w:rsidRPr="000665B0">
        <w:t xml:space="preserve">against their selected Task. The </w:t>
      </w:r>
      <w:r w:rsidRPr="000665B0">
        <w:rPr>
          <w:b/>
          <w:i/>
        </w:rPr>
        <w:t>Hidden Candidates</w:t>
      </w:r>
      <w:r w:rsidRPr="000665B0">
        <w:t xml:space="preserve"> </w:t>
      </w:r>
      <w:r w:rsidR="00C81F1F" w:rsidRPr="000665B0">
        <w:t xml:space="preserve">tab </w:t>
      </w:r>
      <w:r w:rsidRPr="000665B0">
        <w:t xml:space="preserve">contains all the </w:t>
      </w:r>
      <w:r w:rsidR="00C27382" w:rsidRPr="000665B0">
        <w:t>c</w:t>
      </w:r>
      <w:r w:rsidR="00C81F1F" w:rsidRPr="000665B0">
        <w:t xml:space="preserve">andidates </w:t>
      </w:r>
      <w:r w:rsidRPr="000665B0">
        <w:t xml:space="preserve">that </w:t>
      </w:r>
      <w:r w:rsidR="005C7371" w:rsidRPr="000665B0">
        <w:t xml:space="preserve">are </w:t>
      </w:r>
      <w:r w:rsidRPr="000665B0">
        <w:t>hidden by the user.</w:t>
      </w:r>
    </w:p>
    <w:p w14:paraId="303B5F84" w14:textId="77777777" w:rsidR="005D0BDA" w:rsidRPr="000665B0" w:rsidRDefault="005D0BDA" w:rsidP="009570CA">
      <w:pPr>
        <w:pStyle w:val="Normal1"/>
        <w:tabs>
          <w:tab w:val="left" w:pos="720"/>
        </w:tabs>
        <w:spacing w:before="0" w:beforeAutospacing="0" w:after="120" w:afterAutospacing="0"/>
      </w:pPr>
      <w:r w:rsidRPr="000665B0">
        <w:t>When the Candidates Matrix is executed, MDS performs the following steps</w:t>
      </w:r>
      <w:r w:rsidR="008347E7" w:rsidRPr="000665B0">
        <w:t xml:space="preserve"> in its search for </w:t>
      </w:r>
      <w:r w:rsidR="00C27382" w:rsidRPr="000665B0">
        <w:t>c</w:t>
      </w:r>
      <w:r w:rsidR="008347E7" w:rsidRPr="000665B0">
        <w:t>andidates</w:t>
      </w:r>
      <w:r w:rsidRPr="000665B0">
        <w:t>:</w:t>
      </w:r>
    </w:p>
    <w:p w14:paraId="70CC0911" w14:textId="77777777" w:rsidR="005D0BDA" w:rsidRPr="000665B0" w:rsidRDefault="005D0BDA" w:rsidP="006D5A65">
      <w:pPr>
        <w:pStyle w:val="Heading1"/>
      </w:pPr>
      <w:r w:rsidRPr="000665B0">
        <w:t xml:space="preserve">All the Missions are collected from the applied Mission Libraries filter to form a superset of Missions (the union of all the Missions from the applied Mission Libraries). </w:t>
      </w:r>
    </w:p>
    <w:p w14:paraId="5E84C144" w14:textId="77777777" w:rsidR="005D0BDA" w:rsidRPr="000665B0" w:rsidRDefault="005D0BDA" w:rsidP="006D5A65">
      <w:pPr>
        <w:pStyle w:val="Heading1"/>
      </w:pPr>
      <w:r w:rsidRPr="000665B0">
        <w:t xml:space="preserve">Next, the set is filtered down to only include Missions that satisfy all the applied Mission Queries filter. When the Mission Queries are applied, a new set of Missions is formed that only contains Missions that result from all of the applied Mission Queries (the intersection of all the Missions from the applied Mission Queries). </w:t>
      </w:r>
    </w:p>
    <w:p w14:paraId="25F743B8" w14:textId="77777777" w:rsidR="005D0BDA" w:rsidRPr="000665B0" w:rsidRDefault="005D0BDA" w:rsidP="006D5A65">
      <w:pPr>
        <w:pStyle w:val="Heading1"/>
      </w:pPr>
      <w:r w:rsidRPr="000665B0">
        <w:t xml:space="preserve">The resultant set of Missions (intersection of Missions from the applied Mission Libraries and the applied Mission Queries) is the set of Missions that will be searched. </w:t>
      </w:r>
      <w:r w:rsidR="003827DF" w:rsidRPr="000665B0">
        <w:t>If the Strike Folder has a folder class of Tactical, filter out the Test Missions.</w:t>
      </w:r>
    </w:p>
    <w:p w14:paraId="19EDA08B" w14:textId="77777777" w:rsidR="005D0BDA" w:rsidRPr="000665B0" w:rsidRDefault="005D0BDA" w:rsidP="006D5A65">
      <w:pPr>
        <w:pStyle w:val="Heading1"/>
      </w:pPr>
      <w:r w:rsidRPr="000665B0">
        <w:t>The next step is to apply the Tasking filter. Here the Mission</w:t>
      </w:r>
      <w:r w:rsidR="008D04EF" w:rsidRPr="000665B0">
        <w:t xml:space="preserve"> Candidate</w:t>
      </w:r>
      <w:r w:rsidRPr="000665B0">
        <w:t xml:space="preserve">s are filtered on the Tasking’s </w:t>
      </w:r>
      <w:r w:rsidR="00C2585F" w:rsidRPr="000665B0">
        <w:t>109E</w:t>
      </w:r>
      <w:r w:rsidRPr="000665B0">
        <w:t xml:space="preserve"> mission requirement. </w:t>
      </w:r>
    </w:p>
    <w:p w14:paraId="4C34BEE6" w14:textId="77777777" w:rsidR="005D0BDA" w:rsidRPr="000665B0" w:rsidRDefault="005D0BDA" w:rsidP="006D5A65">
      <w:pPr>
        <w:pStyle w:val="Heading1"/>
      </w:pPr>
      <w:r w:rsidRPr="000665B0">
        <w:t>The final step is to remove all previously hidden Missions.</w:t>
      </w:r>
    </w:p>
    <w:p w14:paraId="1E8C658F" w14:textId="736FF902" w:rsidR="00C81F1F" w:rsidRPr="000665B0" w:rsidRDefault="00A67788" w:rsidP="009570CA">
      <w:pPr>
        <w:pStyle w:val="Heading5"/>
        <w:tabs>
          <w:tab w:val="left" w:pos="720"/>
        </w:tabs>
      </w:pPr>
      <w:r w:rsidRPr="000665B0">
        <w:t xml:space="preserve">Missions </w:t>
      </w:r>
      <w:r w:rsidR="0002554A" w:rsidRPr="000665B0">
        <w:t>Tab</w:t>
      </w:r>
    </w:p>
    <w:p w14:paraId="0B20D6ED" w14:textId="1737E2C5" w:rsidR="00CE1624" w:rsidRPr="000665B0" w:rsidRDefault="00A26AA2" w:rsidP="009570CA">
      <w:pPr>
        <w:pStyle w:val="Normal1"/>
        <w:tabs>
          <w:tab w:val="left" w:pos="720"/>
        </w:tabs>
        <w:spacing w:before="0" w:beforeAutospacing="0" w:after="120" w:afterAutospacing="0"/>
      </w:pPr>
      <w:r w:rsidRPr="000665B0">
        <w:rPr>
          <w:szCs w:val="20"/>
        </w:rPr>
        <w:t xml:space="preserve">Select the </w:t>
      </w:r>
      <w:r w:rsidRPr="000665B0">
        <w:rPr>
          <w:b/>
          <w:i/>
          <w:szCs w:val="20"/>
        </w:rPr>
        <w:t>Missions</w:t>
      </w:r>
      <w:r w:rsidRPr="000665B0">
        <w:rPr>
          <w:szCs w:val="20"/>
        </w:rPr>
        <w:t xml:space="preserve"> tab</w:t>
      </w:r>
      <w:r w:rsidR="007F307C" w:rsidRPr="000665B0">
        <w:rPr>
          <w:szCs w:val="20"/>
        </w:rPr>
        <w:t xml:space="preserve"> in the </w:t>
      </w:r>
      <w:r w:rsidR="007F307C" w:rsidRPr="000665B0">
        <w:rPr>
          <w:b/>
          <w:szCs w:val="20"/>
        </w:rPr>
        <w:t>Candidates</w:t>
      </w:r>
      <w:r w:rsidR="007F307C" w:rsidRPr="000665B0">
        <w:rPr>
          <w:szCs w:val="20"/>
        </w:rPr>
        <w:t xml:space="preserve"> pane</w:t>
      </w:r>
      <w:r w:rsidRPr="000665B0">
        <w:rPr>
          <w:szCs w:val="20"/>
        </w:rPr>
        <w:t xml:space="preserve"> to display the list view of Mission</w:t>
      </w:r>
      <w:r w:rsidR="008D04EF" w:rsidRPr="000665B0">
        <w:rPr>
          <w:szCs w:val="20"/>
        </w:rPr>
        <w:t xml:space="preserve"> Candidate</w:t>
      </w:r>
      <w:r w:rsidRPr="000665B0">
        <w:rPr>
          <w:szCs w:val="20"/>
        </w:rPr>
        <w:t>s for the</w:t>
      </w:r>
      <w:r w:rsidR="005D0BDA" w:rsidRPr="000665B0">
        <w:rPr>
          <w:szCs w:val="20"/>
        </w:rPr>
        <w:t xml:space="preserve"> selected</w:t>
      </w:r>
      <w:r w:rsidRPr="000665B0">
        <w:rPr>
          <w:szCs w:val="20"/>
        </w:rPr>
        <w:t xml:space="preserve"> Tasking(s)</w:t>
      </w:r>
      <w:r w:rsidR="005D0BDA" w:rsidRPr="000665B0">
        <w:rPr>
          <w:szCs w:val="20"/>
        </w:rPr>
        <w:t xml:space="preserve"> in the </w:t>
      </w:r>
      <w:r w:rsidR="005D0BDA" w:rsidRPr="000665B0">
        <w:rPr>
          <w:b/>
          <w:szCs w:val="20"/>
        </w:rPr>
        <w:t>Taskings</w:t>
      </w:r>
      <w:r w:rsidR="005D0BDA" w:rsidRPr="000665B0">
        <w:rPr>
          <w:szCs w:val="20"/>
        </w:rPr>
        <w:t xml:space="preserve"> pane above. </w:t>
      </w:r>
      <w:r w:rsidR="00A67788" w:rsidRPr="000665B0">
        <w:t xml:space="preserve">The resultant Mission </w:t>
      </w:r>
      <w:r w:rsidR="005D0BDA" w:rsidRPr="000665B0">
        <w:t xml:space="preserve">Candidates </w:t>
      </w:r>
      <w:r w:rsidR="00A67788" w:rsidRPr="000665B0">
        <w:t xml:space="preserve">are generated from the Strike Tasking Matrix’s Tasking information, the applied Mission Libraries, and the applied Mission Queries. </w:t>
      </w:r>
      <w:r w:rsidR="007A2631" w:rsidRPr="000665B0">
        <w:t xml:space="preserve">An </w:t>
      </w:r>
      <w:r w:rsidR="007A2631" w:rsidRPr="000665B0">
        <w:rPr>
          <w:b/>
        </w:rPr>
        <w:t>X</w:t>
      </w:r>
      <w:r w:rsidR="007A2631" w:rsidRPr="000665B0">
        <w:t xml:space="preserve"> in the </w:t>
      </w:r>
      <w:r w:rsidR="007A2631" w:rsidRPr="000665B0">
        <w:rPr>
          <w:b/>
        </w:rPr>
        <w:t>Fine Alignment</w:t>
      </w:r>
      <w:r w:rsidR="007A2631" w:rsidRPr="000665B0">
        <w:t xml:space="preserve"> column indicates that the Inertial Navigation System (INS) in the AUR requires alignment, prior to launch from a FRU.</w:t>
      </w:r>
    </w:p>
    <w:p w14:paraId="05E1E984" w14:textId="0A3BBF9A" w:rsidR="00A67788" w:rsidRPr="000665B0" w:rsidRDefault="007E19D8" w:rsidP="009570CA">
      <w:pPr>
        <w:pStyle w:val="bullet11"/>
        <w:tabs>
          <w:tab w:val="left" w:pos="720"/>
        </w:tabs>
        <w:spacing w:before="0" w:beforeAutospacing="0" w:after="120" w:afterAutospacing="0"/>
        <w:jc w:val="center"/>
      </w:pPr>
      <w:r w:rsidRPr="000665B0">
        <w:rPr>
          <w:noProof/>
        </w:rPr>
        <w:drawing>
          <wp:inline distT="0" distB="0" distL="0" distR="0" wp14:anchorId="1BD00BA2" wp14:editId="73C2F111">
            <wp:extent cx="5029200" cy="950976"/>
            <wp:effectExtent l="0" t="0" r="0" b="1905"/>
            <wp:docPr id="2222" name="Picture 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029200" cy="950976"/>
                    </a:xfrm>
                    <a:prstGeom prst="rect">
                      <a:avLst/>
                    </a:prstGeom>
                  </pic:spPr>
                </pic:pic>
              </a:graphicData>
            </a:graphic>
          </wp:inline>
        </w:drawing>
      </w:r>
    </w:p>
    <w:p w14:paraId="46C80EE5" w14:textId="77777777" w:rsidR="00A50FEC" w:rsidRPr="000665B0" w:rsidRDefault="00A50FEC" w:rsidP="009570CA">
      <w:pPr>
        <w:pStyle w:val="BodyText"/>
        <w:tabs>
          <w:tab w:val="left" w:pos="720"/>
        </w:tabs>
        <w:spacing w:after="120"/>
      </w:pPr>
      <w:r w:rsidRPr="000665B0">
        <w:t>If needed, the operator can create a new TMPR from the list view of the Mission Candidates.</w:t>
      </w:r>
      <w:r w:rsidR="00A958D1" w:rsidRPr="000665B0">
        <w:t xml:space="preserve"> The tool will prefill information into the TMPR based on what is in the selected mission.</w:t>
      </w:r>
    </w:p>
    <w:p w14:paraId="03F04BE6" w14:textId="70B63006" w:rsidR="00A50FEC" w:rsidRPr="000665B0" w:rsidRDefault="00A50FEC" w:rsidP="009570CA">
      <w:pPr>
        <w:pStyle w:val="BodyText"/>
        <w:tabs>
          <w:tab w:val="left" w:pos="720"/>
        </w:tabs>
        <w:spacing w:after="120"/>
      </w:pPr>
      <w:r w:rsidRPr="000665B0">
        <w:t>To create a TMPR:</w:t>
      </w:r>
    </w:p>
    <w:p w14:paraId="349C6ED4" w14:textId="77777777" w:rsidR="00A50FEC" w:rsidRPr="000665B0" w:rsidRDefault="00A50FEC" w:rsidP="006D5A65">
      <w:pPr>
        <w:pStyle w:val="Heading1"/>
      </w:pPr>
      <w:r w:rsidRPr="000665B0">
        <w:t>Select the desired Mission in the list view.</w:t>
      </w:r>
    </w:p>
    <w:p w14:paraId="70547E4C" w14:textId="7793D065" w:rsidR="00A50FEC" w:rsidRPr="000665B0" w:rsidRDefault="00A50FEC" w:rsidP="006D5A65">
      <w:pPr>
        <w:pStyle w:val="Heading1"/>
      </w:pPr>
      <w:r w:rsidRPr="000665B0">
        <w:t>Invoke the context menu (</w:t>
      </w:r>
      <w:r w:rsidR="00D71804" w:rsidRPr="000665B0">
        <w:t>right-click</w:t>
      </w:r>
      <w:r w:rsidRPr="000665B0">
        <w:t xml:space="preserve"> the mouse) and select </w:t>
      </w:r>
      <w:r w:rsidRPr="000665B0">
        <w:rPr>
          <w:bCs/>
        </w:rPr>
        <w:t xml:space="preserve">Create </w:t>
      </w:r>
      <w:r w:rsidRPr="000665B0">
        <w:t xml:space="preserve">TMPR </w:t>
      </w:r>
      <w:r w:rsidRPr="000665B0">
        <w:sym w:font="Wingdings 3" w:char="F07D"/>
      </w:r>
      <w:r w:rsidRPr="000665B0">
        <w:rPr>
          <w:bCs/>
        </w:rPr>
        <w:t xml:space="preserve">. </w:t>
      </w:r>
    </w:p>
    <w:p w14:paraId="747E2E28" w14:textId="77777777" w:rsidR="00A50FEC" w:rsidRPr="000665B0" w:rsidRDefault="00A50FEC" w:rsidP="006D5A65">
      <w:pPr>
        <w:pStyle w:val="Heading1"/>
      </w:pPr>
      <w:r w:rsidRPr="000665B0">
        <w:t>Select the TMPR</w:t>
      </w:r>
      <w:r w:rsidR="00613C41" w:rsidRPr="000665B0">
        <w:t xml:space="preserve"> type:</w:t>
      </w:r>
    </w:p>
    <w:p w14:paraId="27BD9ACF" w14:textId="77777777" w:rsidR="00A50FEC" w:rsidRPr="000665B0" w:rsidRDefault="00A50FEC" w:rsidP="006D5A65">
      <w:pPr>
        <w:pStyle w:val="Heading2"/>
      </w:pPr>
      <w:r w:rsidRPr="000665B0">
        <w:t>Create Mission…</w:t>
      </w:r>
    </w:p>
    <w:p w14:paraId="2FE8CECB" w14:textId="77777777" w:rsidR="00A50FEC" w:rsidRPr="000665B0" w:rsidRDefault="00A50FEC" w:rsidP="006D5A65">
      <w:pPr>
        <w:pStyle w:val="Heading1"/>
        <w:rPr>
          <w:bCs/>
        </w:rPr>
      </w:pPr>
      <w:r w:rsidRPr="000665B0">
        <w:lastRenderedPageBreak/>
        <w:t>Modify Mission…</w:t>
      </w:r>
    </w:p>
    <w:p w14:paraId="4F223594" w14:textId="7DFCBA58" w:rsidR="00336064" w:rsidRPr="000665B0" w:rsidRDefault="00336064" w:rsidP="006D5A65">
      <w:pPr>
        <w:pStyle w:val="Heading1"/>
        <w:rPr>
          <w:bCs/>
        </w:rPr>
      </w:pPr>
      <w:r w:rsidRPr="000665B0">
        <w:t>Attack Plan Mission…</w:t>
      </w:r>
    </w:p>
    <w:p w14:paraId="11520230" w14:textId="40F7A546" w:rsidR="00A50FEC" w:rsidRPr="000665B0" w:rsidRDefault="00A50FEC" w:rsidP="006D5A65">
      <w:pPr>
        <w:pStyle w:val="Heading1"/>
      </w:pPr>
      <w:r w:rsidRPr="000665B0">
        <w:t>In the ensuin</w:t>
      </w:r>
      <w:r w:rsidR="008A2E7F" w:rsidRPr="000665B0">
        <w:t xml:space="preserve">g window, enter the required information. For more information on TMPRs, see </w:t>
      </w:r>
      <w:hyperlink w:anchor="_5.35__TMPR" w:history="1">
        <w:r w:rsidR="00650083" w:rsidRPr="000665B0">
          <w:rPr>
            <w:rStyle w:val="Hyperlink"/>
            <w:bCs/>
          </w:rPr>
          <w:t xml:space="preserve">Section </w:t>
        </w:r>
        <w:r w:rsidR="004231CC">
          <w:rPr>
            <w:rStyle w:val="Hyperlink"/>
            <w:bCs/>
          </w:rPr>
          <w:t>5.31</w:t>
        </w:r>
      </w:hyperlink>
      <w:r w:rsidR="008A2E7F" w:rsidRPr="000665B0">
        <w:t>.</w:t>
      </w:r>
    </w:p>
    <w:p w14:paraId="122AA702" w14:textId="77777777" w:rsidR="007F307C" w:rsidRPr="000665B0" w:rsidRDefault="007F307C"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0955BAB7" w14:textId="77777777" w:rsidR="00FC6A1E" w:rsidRPr="000665B0" w:rsidRDefault="00FC6A1E" w:rsidP="009570CA">
      <w:pPr>
        <w:tabs>
          <w:tab w:val="left" w:pos="720"/>
        </w:tabs>
      </w:pPr>
      <w:r w:rsidRPr="000665B0">
        <w:t xml:space="preserve">The following </w:t>
      </w:r>
      <w:r w:rsidR="00D0612B" w:rsidRPr="000665B0">
        <w:t>selections</w:t>
      </w:r>
      <w:r w:rsidRPr="000665B0">
        <w:t xml:space="preserve"> are available using the context menu and function in the same manner as if invoking them directly in</w:t>
      </w:r>
      <w:r w:rsidR="00D0612B" w:rsidRPr="000665B0">
        <w:t xml:space="preserve"> the</w:t>
      </w:r>
      <w:r w:rsidRPr="000665B0">
        <w:t xml:space="preserve"> </w:t>
      </w:r>
      <w:r w:rsidRPr="000665B0">
        <w:rPr>
          <w:b/>
        </w:rPr>
        <w:t>Missions</w:t>
      </w:r>
      <w:r w:rsidRPr="000665B0">
        <w:t xml:space="preserve"> tool:</w:t>
      </w:r>
    </w:p>
    <w:p w14:paraId="0802C3B1" w14:textId="359DF8D7" w:rsidR="008E63B0" w:rsidRPr="00E804C5" w:rsidRDefault="00FC6A1E" w:rsidP="006D5A65">
      <w:pPr>
        <w:pStyle w:val="Heading1"/>
      </w:pPr>
      <w:r w:rsidRPr="000665B0">
        <w:t>Display</w:t>
      </w:r>
    </w:p>
    <w:p w14:paraId="1EE31820" w14:textId="5B0B18C1" w:rsidR="008E63B0" w:rsidRPr="00BB4EBE" w:rsidRDefault="008E63B0" w:rsidP="006D5A65">
      <w:pPr>
        <w:pStyle w:val="Heading1"/>
      </w:pPr>
      <w:r>
        <w:rPr>
          <w:bCs/>
        </w:rPr>
        <w:t xml:space="preserve">Textually </w:t>
      </w:r>
      <w:r>
        <w:t xml:space="preserve">– See </w:t>
      </w:r>
      <w:hyperlink w:anchor="_5.4.1__Create_a_New_Mission_(TUM_Mi" w:history="1">
        <w:r w:rsidRPr="00E804C5">
          <w:rPr>
            <w:rStyle w:val="Hyperlink"/>
          </w:rPr>
          <w:t>Section 5.5.1</w:t>
        </w:r>
      </w:hyperlink>
      <w:r>
        <w:t>.</w:t>
      </w:r>
    </w:p>
    <w:p w14:paraId="5438FC11" w14:textId="44C42060" w:rsidR="00FC6A1E" w:rsidRPr="000665B0" w:rsidRDefault="00FC6A1E" w:rsidP="006D5A65">
      <w:pPr>
        <w:pStyle w:val="Heading1"/>
      </w:pPr>
      <w:r w:rsidRPr="000665B0">
        <w:t xml:space="preserve">CALA Geographically – See </w:t>
      </w:r>
      <w:hyperlink w:anchor="_5.6.2__Display" w:history="1">
        <w:r w:rsidRPr="000665B0">
          <w:rPr>
            <w:rStyle w:val="Hyperlink"/>
            <w:bCs/>
          </w:rPr>
          <w:t>Section 5.</w:t>
        </w:r>
        <w:r w:rsidR="00C526BF" w:rsidRPr="000665B0">
          <w:rPr>
            <w:rStyle w:val="Hyperlink"/>
            <w:bCs/>
          </w:rPr>
          <w:t>5</w:t>
        </w:r>
        <w:r w:rsidRPr="000665B0">
          <w:rPr>
            <w:rStyle w:val="Hyperlink"/>
            <w:bCs/>
          </w:rPr>
          <w:t>.2</w:t>
        </w:r>
      </w:hyperlink>
      <w:r w:rsidRPr="000665B0">
        <w:t xml:space="preserve">. </w:t>
      </w:r>
    </w:p>
    <w:p w14:paraId="292B0D97" w14:textId="2A6F54B0" w:rsidR="00FC6A1E" w:rsidRPr="000665B0" w:rsidRDefault="00FC6A1E" w:rsidP="006D5A65">
      <w:pPr>
        <w:pStyle w:val="Heading1"/>
      </w:pPr>
      <w:r w:rsidRPr="000665B0">
        <w:rPr>
          <w:bCs/>
        </w:rPr>
        <w:t xml:space="preserve">Geographically – </w:t>
      </w:r>
      <w:r w:rsidR="002667F3" w:rsidRPr="000665B0">
        <w:t xml:space="preserve">See </w:t>
      </w:r>
      <w:hyperlink w:anchor="_5.6.3__Display" w:history="1">
        <w:r w:rsidR="002667F3" w:rsidRPr="000665B0">
          <w:rPr>
            <w:rStyle w:val="Hyperlink"/>
            <w:bCs/>
          </w:rPr>
          <w:t>Section 5.</w:t>
        </w:r>
        <w:r w:rsidR="00C526BF" w:rsidRPr="000665B0">
          <w:rPr>
            <w:rStyle w:val="Hyperlink"/>
            <w:bCs/>
          </w:rPr>
          <w:t>5</w:t>
        </w:r>
        <w:r w:rsidR="002667F3" w:rsidRPr="000665B0">
          <w:rPr>
            <w:rStyle w:val="Hyperlink"/>
            <w:bCs/>
          </w:rPr>
          <w:t>.3</w:t>
        </w:r>
      </w:hyperlink>
      <w:r w:rsidRPr="000665B0">
        <w:rPr>
          <w:bCs/>
        </w:rPr>
        <w:t>.</w:t>
      </w:r>
    </w:p>
    <w:p w14:paraId="73B52588" w14:textId="550210F7" w:rsidR="00FC6A1E" w:rsidRPr="000665B0" w:rsidRDefault="00FC6A1E" w:rsidP="006D5A65">
      <w:pPr>
        <w:pStyle w:val="Heading1"/>
      </w:pPr>
      <w:r w:rsidRPr="000665B0">
        <w:rPr>
          <w:bCs/>
        </w:rPr>
        <w:t xml:space="preserve">References – See </w:t>
      </w:r>
      <w:hyperlink w:anchor="_5.6.5__Display" w:history="1">
        <w:hyperlink w:anchor="_5.2.1.2.3__Display_1" w:history="1">
          <w:r w:rsidR="000E0342" w:rsidRPr="000665B0">
            <w:rPr>
              <w:rStyle w:val="Hyperlink"/>
            </w:rPr>
            <w:t>Section 5.2.1.2.3</w:t>
          </w:r>
        </w:hyperlink>
      </w:hyperlink>
      <w:r w:rsidRPr="000665B0">
        <w:rPr>
          <w:bCs/>
        </w:rPr>
        <w:t>.</w:t>
      </w:r>
    </w:p>
    <w:p w14:paraId="076DBDC8" w14:textId="1A314C8C" w:rsidR="00FC6A1E" w:rsidRPr="00E804C5" w:rsidRDefault="00FC6A1E" w:rsidP="006D5A65">
      <w:pPr>
        <w:pStyle w:val="Heading1"/>
      </w:pPr>
      <w:r w:rsidRPr="000665B0">
        <w:t xml:space="preserve">Vertical Flight Profile – See </w:t>
      </w:r>
      <w:hyperlink w:anchor="_5.6.19__Display" w:history="1">
        <w:r w:rsidRPr="000665B0">
          <w:rPr>
            <w:rStyle w:val="Hyperlink"/>
            <w:bCs/>
          </w:rPr>
          <w:t>Section 5.</w:t>
        </w:r>
        <w:r w:rsidR="00C526BF" w:rsidRPr="000665B0">
          <w:rPr>
            <w:rStyle w:val="Hyperlink"/>
            <w:bCs/>
          </w:rPr>
          <w:t>5</w:t>
        </w:r>
        <w:r w:rsidRPr="000665B0">
          <w:rPr>
            <w:rStyle w:val="Hyperlink"/>
            <w:bCs/>
          </w:rPr>
          <w:t>.</w:t>
        </w:r>
        <w:r w:rsidR="005B3E50">
          <w:rPr>
            <w:rStyle w:val="Hyperlink"/>
            <w:bCs/>
          </w:rPr>
          <w:t>18</w:t>
        </w:r>
      </w:hyperlink>
      <w:r w:rsidRPr="000665B0">
        <w:t>.</w:t>
      </w:r>
    </w:p>
    <w:p w14:paraId="4769B184" w14:textId="208D3052" w:rsidR="00E804C5" w:rsidRPr="000665B0" w:rsidRDefault="00E804C5" w:rsidP="006D5A65">
      <w:pPr>
        <w:pStyle w:val="Heading1"/>
      </w:pPr>
      <w:r>
        <w:rPr>
          <w:bCs/>
        </w:rPr>
        <w:t>In Excel</w:t>
      </w:r>
      <w:r>
        <w:t xml:space="preserve"> - See </w:t>
      </w:r>
      <w:r w:rsidRPr="00BB4EBE">
        <w:t>Section</w:t>
      </w:r>
      <w:r w:rsidR="008874E7">
        <w:t xml:space="preserve"> </w:t>
      </w:r>
      <w:hyperlink w:anchor="_5.2.1.2.1__Display_1" w:history="1">
        <w:r w:rsidR="008874E7" w:rsidRPr="001F46D1">
          <w:rPr>
            <w:rStyle w:val="Hyperlink"/>
          </w:rPr>
          <w:t>5.2.1.2.1</w:t>
        </w:r>
      </w:hyperlink>
      <w:r>
        <w:t>.</w:t>
      </w:r>
    </w:p>
    <w:p w14:paraId="18166060" w14:textId="77777777" w:rsidR="00FC6A1E" w:rsidRPr="000665B0" w:rsidRDefault="00FC6A1E" w:rsidP="006D5A65">
      <w:pPr>
        <w:pStyle w:val="Heading1"/>
      </w:pPr>
      <w:r w:rsidRPr="000665B0">
        <w:t>Reports</w:t>
      </w:r>
    </w:p>
    <w:p w14:paraId="2D7BF7A0" w14:textId="46F4B97E" w:rsidR="00FC6A1E" w:rsidRPr="000665B0" w:rsidRDefault="00FC6A1E" w:rsidP="006D5A65">
      <w:pPr>
        <w:pStyle w:val="Heading1"/>
      </w:pPr>
      <w:r w:rsidRPr="000665B0">
        <w:rPr>
          <w:bCs/>
        </w:rPr>
        <w:t xml:space="preserve">Excel – See </w:t>
      </w:r>
      <w:hyperlink w:anchor="_5.6.8.1__Excel" w:history="1">
        <w:r w:rsidRPr="000665B0">
          <w:rPr>
            <w:rStyle w:val="Hyperlink"/>
            <w:bCs/>
          </w:rPr>
          <w:t>Section 5.</w:t>
        </w:r>
        <w:r w:rsidR="00C526BF" w:rsidRPr="000665B0">
          <w:rPr>
            <w:rStyle w:val="Hyperlink"/>
            <w:bCs/>
          </w:rPr>
          <w:t>5</w:t>
        </w:r>
        <w:r w:rsidRPr="000665B0">
          <w:rPr>
            <w:rStyle w:val="Hyperlink"/>
            <w:bCs/>
          </w:rPr>
          <w:t>.</w:t>
        </w:r>
        <w:r w:rsidR="000E0342" w:rsidRPr="000665B0">
          <w:rPr>
            <w:rStyle w:val="Hyperlink"/>
            <w:bCs/>
          </w:rPr>
          <w:t>7</w:t>
        </w:r>
        <w:r w:rsidRPr="000665B0">
          <w:rPr>
            <w:rStyle w:val="Hyperlink"/>
            <w:bCs/>
          </w:rPr>
          <w:t>.1</w:t>
        </w:r>
      </w:hyperlink>
      <w:r w:rsidRPr="000665B0">
        <w:rPr>
          <w:bCs/>
        </w:rPr>
        <w:t xml:space="preserve">. </w:t>
      </w:r>
    </w:p>
    <w:p w14:paraId="07D78A2C" w14:textId="1441930E" w:rsidR="00FC6A1E" w:rsidRPr="000665B0" w:rsidRDefault="00FC6A1E" w:rsidP="006D5A65">
      <w:pPr>
        <w:pStyle w:val="Heading1"/>
      </w:pPr>
      <w:r w:rsidRPr="000665B0">
        <w:rPr>
          <w:bCs/>
        </w:rPr>
        <w:t xml:space="preserve">Custom – See </w:t>
      </w:r>
      <w:hyperlink w:anchor="_5.6.8.6__Custom" w:history="1">
        <w:r w:rsidR="005B3E50">
          <w:rPr>
            <w:rStyle w:val="Hyperlink"/>
            <w:bCs/>
          </w:rPr>
          <w:t>Section 5.</w:t>
        </w:r>
        <w:r w:rsidR="00C526BF" w:rsidRPr="000665B0">
          <w:rPr>
            <w:rStyle w:val="Hyperlink"/>
            <w:bCs/>
          </w:rPr>
          <w:t>5</w:t>
        </w:r>
        <w:r w:rsidRPr="000665B0">
          <w:rPr>
            <w:rStyle w:val="Hyperlink"/>
            <w:bCs/>
          </w:rPr>
          <w:t>.</w:t>
        </w:r>
        <w:r w:rsidR="000E0342" w:rsidRPr="000665B0">
          <w:rPr>
            <w:rStyle w:val="Hyperlink"/>
            <w:bCs/>
          </w:rPr>
          <w:t>7</w:t>
        </w:r>
        <w:r w:rsidRPr="000665B0">
          <w:rPr>
            <w:rStyle w:val="Hyperlink"/>
            <w:bCs/>
          </w:rPr>
          <w:t>.6</w:t>
        </w:r>
      </w:hyperlink>
      <w:r w:rsidRPr="000665B0">
        <w:rPr>
          <w:bCs/>
        </w:rPr>
        <w:t xml:space="preserve">. </w:t>
      </w:r>
    </w:p>
    <w:p w14:paraId="72DC73AD" w14:textId="23268673" w:rsidR="00D0612B" w:rsidRPr="000665B0" w:rsidRDefault="00D0612B" w:rsidP="006D5A65">
      <w:pPr>
        <w:pStyle w:val="Heading1"/>
      </w:pPr>
      <w:r w:rsidRPr="000665B0">
        <w:rPr>
          <w:bCs/>
        </w:rPr>
        <w:t xml:space="preserve">Internal Hold – See </w:t>
      </w:r>
      <w:hyperlink w:anchor="_5.6.20__Internal" w:history="1">
        <w:r w:rsidRPr="000665B0">
          <w:rPr>
            <w:rStyle w:val="Hyperlink"/>
            <w:bCs/>
          </w:rPr>
          <w:t>Section 5.</w:t>
        </w:r>
        <w:r w:rsidR="00C526BF" w:rsidRPr="000665B0">
          <w:rPr>
            <w:rStyle w:val="Hyperlink"/>
            <w:bCs/>
          </w:rPr>
          <w:t>5</w:t>
        </w:r>
        <w:r w:rsidR="005B3E50">
          <w:rPr>
            <w:rStyle w:val="Hyperlink"/>
            <w:bCs/>
          </w:rPr>
          <w:t>.19</w:t>
        </w:r>
      </w:hyperlink>
      <w:r w:rsidRPr="000665B0">
        <w:rPr>
          <w:bCs/>
        </w:rPr>
        <w:t>.</w:t>
      </w:r>
    </w:p>
    <w:p w14:paraId="0E4EAECF" w14:textId="6A7B19D6" w:rsidR="00D0612B" w:rsidRPr="000665B0" w:rsidRDefault="00D0612B" w:rsidP="006D5A65">
      <w:pPr>
        <w:pStyle w:val="Heading1"/>
      </w:pPr>
      <w:r w:rsidRPr="000665B0">
        <w:t xml:space="preserve">Edit Classification – See </w:t>
      </w:r>
      <w:hyperlink w:anchor="_5.6.11__Edit" w:history="1">
        <w:r w:rsidRPr="000665B0">
          <w:rPr>
            <w:rStyle w:val="Hyperlink"/>
            <w:bCs/>
          </w:rPr>
          <w:t>Section 5.</w:t>
        </w:r>
        <w:r w:rsidR="00C526BF" w:rsidRPr="000665B0">
          <w:rPr>
            <w:rStyle w:val="Hyperlink"/>
            <w:bCs/>
          </w:rPr>
          <w:t>5</w:t>
        </w:r>
        <w:r w:rsidRPr="000665B0">
          <w:rPr>
            <w:rStyle w:val="Hyperlink"/>
            <w:bCs/>
          </w:rPr>
          <w:t>.</w:t>
        </w:r>
        <w:r w:rsidR="005B3E50">
          <w:rPr>
            <w:rStyle w:val="Hyperlink"/>
            <w:bCs/>
          </w:rPr>
          <w:t>10</w:t>
        </w:r>
      </w:hyperlink>
      <w:r w:rsidRPr="000665B0">
        <w:t>.</w:t>
      </w:r>
    </w:p>
    <w:p w14:paraId="7B94F185" w14:textId="4A0A5370" w:rsidR="00D0612B" w:rsidRPr="000665B0" w:rsidRDefault="00D0612B" w:rsidP="006D5A65">
      <w:pPr>
        <w:pStyle w:val="Heading1"/>
      </w:pPr>
      <w:r w:rsidRPr="000665B0">
        <w:t xml:space="preserve">Create Mission Library – See </w:t>
      </w:r>
      <w:hyperlink w:anchor="_5.6.13__Create" w:history="1">
        <w:r w:rsidRPr="000665B0">
          <w:rPr>
            <w:rStyle w:val="Hyperlink"/>
            <w:bCs/>
          </w:rPr>
          <w:t>Section 5.</w:t>
        </w:r>
        <w:r w:rsidR="00C526BF" w:rsidRPr="000665B0">
          <w:rPr>
            <w:rStyle w:val="Hyperlink"/>
            <w:bCs/>
          </w:rPr>
          <w:t>5</w:t>
        </w:r>
        <w:r w:rsidRPr="000665B0">
          <w:rPr>
            <w:rStyle w:val="Hyperlink"/>
            <w:bCs/>
          </w:rPr>
          <w:t>.</w:t>
        </w:r>
        <w:r w:rsidR="005B3E50">
          <w:rPr>
            <w:rStyle w:val="Hyperlink"/>
            <w:bCs/>
          </w:rPr>
          <w:t>12</w:t>
        </w:r>
      </w:hyperlink>
      <w:r w:rsidRPr="000665B0">
        <w:t>.</w:t>
      </w:r>
    </w:p>
    <w:p w14:paraId="1C026F9C" w14:textId="07CC234F" w:rsidR="00D0612B" w:rsidRPr="000665B0" w:rsidRDefault="00D0612B" w:rsidP="006D5A65">
      <w:pPr>
        <w:pStyle w:val="Heading1"/>
      </w:pPr>
      <w:r w:rsidRPr="000665B0">
        <w:t xml:space="preserve">Create TED Library – See </w:t>
      </w:r>
      <w:hyperlink w:anchor="_5.13.1.1__New" w:history="1">
        <w:r w:rsidRPr="000665B0">
          <w:rPr>
            <w:rStyle w:val="Hyperlink"/>
            <w:bCs/>
          </w:rPr>
          <w:t>Section 5.</w:t>
        </w:r>
        <w:r w:rsidR="00C77A5E" w:rsidRPr="000665B0">
          <w:rPr>
            <w:rStyle w:val="Hyperlink"/>
            <w:bCs/>
          </w:rPr>
          <w:t>12</w:t>
        </w:r>
        <w:r w:rsidRPr="000665B0">
          <w:rPr>
            <w:rStyle w:val="Hyperlink"/>
            <w:bCs/>
          </w:rPr>
          <w:t>.1.1</w:t>
        </w:r>
      </w:hyperlink>
      <w:r w:rsidRPr="000665B0">
        <w:t>.</w:t>
      </w:r>
    </w:p>
    <w:p w14:paraId="2480638E" w14:textId="074807AA" w:rsidR="00D0612B" w:rsidRPr="000665B0" w:rsidRDefault="00D0612B" w:rsidP="006D5A65">
      <w:pPr>
        <w:pStyle w:val="Heading1"/>
      </w:pPr>
      <w:r w:rsidRPr="000665B0">
        <w:t xml:space="preserve">Save As </w:t>
      </w:r>
      <w:r w:rsidRPr="000665B0">
        <w:sym w:font="Wingdings 3" w:char="F07D"/>
      </w:r>
      <w:r w:rsidRPr="000665B0">
        <w:t xml:space="preserve"> Route</w:t>
      </w:r>
      <w:r w:rsidR="00334BF0" w:rsidRPr="000665B0">
        <w:t xml:space="preserve"> </w:t>
      </w:r>
      <w:r w:rsidRPr="000665B0">
        <w:t xml:space="preserve">– See </w:t>
      </w:r>
      <w:hyperlink w:anchor="_5.6.15__Save" w:history="1">
        <w:r w:rsidRPr="000665B0">
          <w:rPr>
            <w:rStyle w:val="Hyperlink"/>
            <w:bCs/>
          </w:rPr>
          <w:t>Section 5.</w:t>
        </w:r>
        <w:r w:rsidR="00C526BF" w:rsidRPr="000665B0">
          <w:rPr>
            <w:rStyle w:val="Hyperlink"/>
            <w:bCs/>
          </w:rPr>
          <w:t>5</w:t>
        </w:r>
        <w:r w:rsidRPr="000665B0">
          <w:rPr>
            <w:rStyle w:val="Hyperlink"/>
            <w:bCs/>
          </w:rPr>
          <w:t>.1</w:t>
        </w:r>
        <w:r w:rsidR="000E0342" w:rsidRPr="000665B0">
          <w:rPr>
            <w:rStyle w:val="Hyperlink"/>
            <w:bCs/>
          </w:rPr>
          <w:t>4</w:t>
        </w:r>
      </w:hyperlink>
      <w:r w:rsidRPr="000665B0">
        <w:t>.</w:t>
      </w:r>
    </w:p>
    <w:p w14:paraId="6C77F4AF" w14:textId="41071FB6" w:rsidR="00D0612B" w:rsidRPr="000665B0" w:rsidRDefault="00D0612B" w:rsidP="006D5A65">
      <w:pPr>
        <w:pStyle w:val="Heading1"/>
      </w:pPr>
      <w:r w:rsidRPr="000665B0">
        <w:rPr>
          <w:bCs/>
        </w:rPr>
        <w:t xml:space="preserve">Re-IQVC – See </w:t>
      </w:r>
      <w:hyperlink w:anchor="_5.6.9__Re-IQVC" w:history="1">
        <w:r w:rsidRPr="000665B0">
          <w:rPr>
            <w:rStyle w:val="Hyperlink"/>
            <w:bCs/>
          </w:rPr>
          <w:t>Section 5.</w:t>
        </w:r>
        <w:r w:rsidR="00C526BF" w:rsidRPr="000665B0">
          <w:rPr>
            <w:rStyle w:val="Hyperlink"/>
            <w:bCs/>
          </w:rPr>
          <w:t>5</w:t>
        </w:r>
        <w:r w:rsidR="005B3E50">
          <w:rPr>
            <w:rStyle w:val="Hyperlink"/>
            <w:bCs/>
          </w:rPr>
          <w:t>.8</w:t>
        </w:r>
      </w:hyperlink>
      <w:r w:rsidRPr="000665B0">
        <w:rPr>
          <w:bCs/>
        </w:rPr>
        <w:t>.</w:t>
      </w:r>
    </w:p>
    <w:p w14:paraId="50F2BCF5" w14:textId="5C3E40AE" w:rsidR="002667F3" w:rsidRPr="000665B0" w:rsidRDefault="002667F3" w:rsidP="006D5A65">
      <w:pPr>
        <w:pStyle w:val="Heading1"/>
      </w:pPr>
      <w:r w:rsidRPr="000665B0">
        <w:rPr>
          <w:bCs/>
        </w:rPr>
        <w:t xml:space="preserve">Send – See </w:t>
      </w:r>
      <w:hyperlink w:anchor="_5.6.16__Send" w:history="1">
        <w:r w:rsidRPr="000665B0">
          <w:rPr>
            <w:rStyle w:val="Hyperlink"/>
            <w:bCs/>
          </w:rPr>
          <w:t>Section 5.</w:t>
        </w:r>
        <w:r w:rsidR="00C526BF" w:rsidRPr="000665B0">
          <w:rPr>
            <w:rStyle w:val="Hyperlink"/>
            <w:bCs/>
          </w:rPr>
          <w:t>5</w:t>
        </w:r>
        <w:r w:rsidRPr="000665B0">
          <w:rPr>
            <w:rStyle w:val="Hyperlink"/>
            <w:bCs/>
          </w:rPr>
          <w:t>.1</w:t>
        </w:r>
        <w:r w:rsidR="000E0342" w:rsidRPr="000665B0">
          <w:rPr>
            <w:rStyle w:val="Hyperlink"/>
            <w:bCs/>
          </w:rPr>
          <w:t>5</w:t>
        </w:r>
      </w:hyperlink>
      <w:r w:rsidRPr="000665B0">
        <w:rPr>
          <w:bCs/>
        </w:rPr>
        <w:t>.</w:t>
      </w:r>
    </w:p>
    <w:p w14:paraId="3F9FBC8A" w14:textId="60FCE358" w:rsidR="00644CC7" w:rsidRPr="000665B0" w:rsidRDefault="00644CC7" w:rsidP="006D5A65">
      <w:pPr>
        <w:pStyle w:val="Heading1"/>
      </w:pPr>
      <w:r w:rsidRPr="000665B0">
        <w:rPr>
          <w:bCs/>
        </w:rPr>
        <w:t xml:space="preserve">Hide </w:t>
      </w:r>
      <w:r w:rsidRPr="000665B0">
        <w:t xml:space="preserve">– </w:t>
      </w:r>
      <w:r w:rsidRPr="000665B0">
        <w:rPr>
          <w:bCs/>
        </w:rPr>
        <w:t xml:space="preserve">See </w:t>
      </w:r>
      <w:hyperlink w:anchor="_Hidden_Candidates_Tab_1" w:history="1">
        <w:r w:rsidR="009326FE" w:rsidRPr="000665B0">
          <w:rPr>
            <w:rStyle w:val="Hyperlink"/>
            <w:bCs/>
          </w:rPr>
          <w:t xml:space="preserve">Section </w:t>
        </w:r>
        <w:r w:rsidR="004231CC">
          <w:rPr>
            <w:rStyle w:val="Hyperlink"/>
            <w:bCs/>
          </w:rPr>
          <w:t>5.34</w:t>
        </w:r>
        <w:r w:rsidRPr="000665B0">
          <w:rPr>
            <w:rStyle w:val="Hyperlink"/>
            <w:bCs/>
          </w:rPr>
          <w:t>.5.3.</w:t>
        </w:r>
        <w:r w:rsidR="006E133F" w:rsidRPr="000665B0">
          <w:rPr>
            <w:rStyle w:val="Hyperlink"/>
            <w:bCs/>
          </w:rPr>
          <w:t>5</w:t>
        </w:r>
      </w:hyperlink>
      <w:r w:rsidRPr="000665B0">
        <w:rPr>
          <w:bCs/>
        </w:rPr>
        <w:t>.</w:t>
      </w:r>
    </w:p>
    <w:p w14:paraId="0B15EF14" w14:textId="7F1DD002" w:rsidR="00D92591" w:rsidRPr="009D638D" w:rsidRDefault="00C868CD" w:rsidP="00D92591">
      <w:r w:rsidRPr="000665B0">
        <w:t>As in other list views</w:t>
      </w:r>
      <w:r w:rsidR="00FC6A1E" w:rsidRPr="000665B0">
        <w:t xml:space="preserve">, </w:t>
      </w:r>
      <w:r w:rsidR="00AB79FF" w:rsidRPr="000665B0">
        <w:t>items can be selected to</w:t>
      </w:r>
      <w:r w:rsidR="00AB79FF" w:rsidRPr="000665B0" w:rsidDel="00AB79FF">
        <w:t xml:space="preserve"> </w:t>
      </w:r>
      <w:r w:rsidR="00431FD9" w:rsidRPr="000665B0">
        <w:t xml:space="preserve">Display Textually (see </w:t>
      </w:r>
      <w:hyperlink w:anchor="_5.2.1.2.4__Display_1" w:history="1">
        <w:r w:rsidR="00431FD9" w:rsidRPr="000665B0">
          <w:rPr>
            <w:rStyle w:val="Hyperlink"/>
          </w:rPr>
          <w:t>Section 5.2.1.2.4</w:t>
        </w:r>
      </w:hyperlink>
      <w:r w:rsidR="00431FD9" w:rsidRPr="005B3E50">
        <w:rPr>
          <w:rStyle w:val="Hyperlink"/>
          <w:color w:val="auto"/>
        </w:rPr>
        <w:t>)</w:t>
      </w:r>
      <w:r w:rsidR="00431FD9" w:rsidRPr="000665B0">
        <w:t xml:space="preserve">, Display in Excel (see </w:t>
      </w:r>
      <w:hyperlink w:anchor="_5.2.1.2.1__Display_1" w:history="1">
        <w:r w:rsidR="00431FD9" w:rsidRPr="000665B0">
          <w:rPr>
            <w:rStyle w:val="Hyperlink"/>
          </w:rPr>
          <w:t>Section 5.2.1.2.1</w:t>
        </w:r>
      </w:hyperlink>
      <w:r w:rsidR="00431FD9" w:rsidRPr="000665B0">
        <w:t xml:space="preserve">), and Print (see </w:t>
      </w:r>
      <w:hyperlink w:anchor="_5.2.1.5.1__Print" w:history="1">
        <w:r w:rsidR="00431FD9" w:rsidRPr="000665B0">
          <w:rPr>
            <w:rStyle w:val="Hyperlink"/>
          </w:rPr>
          <w:t>Section 5.2.1.5.1</w:t>
        </w:r>
      </w:hyperlink>
      <w:r w:rsidR="00431FD9" w:rsidRPr="005B3E50">
        <w:rPr>
          <w:rStyle w:val="Hyperlink"/>
          <w:color w:val="auto"/>
        </w:rPr>
        <w:t>)</w:t>
      </w:r>
      <w:r w:rsidR="00FC6A1E" w:rsidRPr="000665B0">
        <w:t>.</w:t>
      </w:r>
    </w:p>
    <w:p w14:paraId="638193C0" w14:textId="77777777" w:rsidR="00D92591" w:rsidRPr="009D638D" w:rsidRDefault="00D92591" w:rsidP="001E6E38">
      <w:pPr>
        <w:keepNext/>
        <w:keepLines/>
        <w:pBdr>
          <w:top w:val="single" w:sz="12" w:space="1" w:color="auto"/>
          <w:left w:val="single" w:sz="12" w:space="4" w:color="auto"/>
          <w:bottom w:val="single" w:sz="12" w:space="1" w:color="auto"/>
          <w:right w:val="single" w:sz="12" w:space="4" w:color="auto"/>
        </w:pBdr>
        <w:shd w:val="clear" w:color="auto" w:fill="D9D9D9"/>
        <w:spacing w:after="0" w:line="240" w:lineRule="auto"/>
        <w:jc w:val="center"/>
        <w:rPr>
          <w:b/>
          <w:szCs w:val="24"/>
        </w:rPr>
      </w:pPr>
      <w:r w:rsidRPr="009D638D">
        <w:rPr>
          <w:b/>
          <w:szCs w:val="24"/>
        </w:rPr>
        <w:t>Note:</w:t>
      </w:r>
    </w:p>
    <w:p w14:paraId="7D0E2382" w14:textId="77777777" w:rsidR="00D92591" w:rsidRPr="009D638D" w:rsidRDefault="00D92591" w:rsidP="001E6E38">
      <w:pPr>
        <w:keepNext/>
        <w:keepLines/>
        <w:pBdr>
          <w:top w:val="single" w:sz="12" w:space="1" w:color="auto"/>
          <w:left w:val="single" w:sz="12" w:space="4" w:color="auto"/>
          <w:bottom w:val="single" w:sz="12" w:space="1" w:color="auto"/>
          <w:right w:val="single" w:sz="12" w:space="4" w:color="auto"/>
        </w:pBdr>
        <w:shd w:val="clear" w:color="auto" w:fill="D9D9D9"/>
        <w:spacing w:after="0" w:line="240" w:lineRule="auto"/>
        <w:jc w:val="center"/>
        <w:rPr>
          <w:b/>
          <w:bCs/>
        </w:rPr>
      </w:pPr>
      <w:r w:rsidRPr="009D638D">
        <w:rPr>
          <w:b/>
          <w:bCs/>
        </w:rPr>
        <w:t>The following capabilities are disabled for 109M missions in TMPC 7.0.3:</w:t>
      </w:r>
    </w:p>
    <w:p w14:paraId="22752E9C" w14:textId="77777777" w:rsidR="00D92591" w:rsidRPr="009D638D" w:rsidRDefault="00D92591" w:rsidP="006D5A65">
      <w:pPr>
        <w:pStyle w:val="Heading1"/>
      </w:pPr>
      <w:r w:rsidRPr="009D638D">
        <w:t xml:space="preserve">Display </w:t>
      </w:r>
      <w:r w:rsidRPr="009D638D">
        <w:rPr>
          <w:bCs/>
        </w:rPr>
        <w:sym w:font="Wingdings 3" w:char="F07D"/>
      </w:r>
      <w:r w:rsidRPr="009D638D">
        <w:rPr>
          <w:bCs/>
        </w:rPr>
        <w:t xml:space="preserve"> </w:t>
      </w:r>
      <w:r w:rsidRPr="009D638D">
        <w:t>Vertical Flight Profile</w:t>
      </w:r>
    </w:p>
    <w:p w14:paraId="0489DE3B" w14:textId="77777777" w:rsidR="00D92591" w:rsidRPr="009D638D" w:rsidRDefault="00D92591" w:rsidP="006D5A65">
      <w:pPr>
        <w:pStyle w:val="Heading1"/>
      </w:pPr>
      <w:r w:rsidRPr="009D638D">
        <w:t>Internal Hold</w:t>
      </w:r>
    </w:p>
    <w:p w14:paraId="381F42D1" w14:textId="77777777" w:rsidR="00D92591" w:rsidRPr="009D638D" w:rsidRDefault="00D92591" w:rsidP="006D5A65">
      <w:pPr>
        <w:pStyle w:val="Heading1"/>
      </w:pPr>
      <w:r w:rsidRPr="009D638D">
        <w:t>Edit Classification</w:t>
      </w:r>
    </w:p>
    <w:p w14:paraId="22532D69" w14:textId="77777777" w:rsidR="00D92591" w:rsidRPr="00BB4EBE" w:rsidRDefault="00D92591" w:rsidP="006D5A65">
      <w:pPr>
        <w:pStyle w:val="Heading1"/>
      </w:pPr>
      <w:r w:rsidRPr="00D92591">
        <w:t>Create TMPR</w:t>
      </w:r>
    </w:p>
    <w:p w14:paraId="32853BF9" w14:textId="7B714AE2" w:rsidR="00D92591" w:rsidRPr="00BB4EBE" w:rsidRDefault="00D92591" w:rsidP="006D5A65">
      <w:pPr>
        <w:pStyle w:val="Heading1"/>
      </w:pPr>
      <w:r>
        <w:t>Save As</w:t>
      </w:r>
      <w:r w:rsidRPr="009D638D">
        <w:t xml:space="preserve"> </w:t>
      </w:r>
      <w:r w:rsidRPr="009D638D">
        <w:rPr>
          <w:bCs/>
        </w:rPr>
        <w:sym w:font="Wingdings 3" w:char="F07D"/>
      </w:r>
      <w:r w:rsidRPr="009D638D">
        <w:rPr>
          <w:bCs/>
        </w:rPr>
        <w:t xml:space="preserve"> </w:t>
      </w:r>
      <w:r>
        <w:t>Route</w:t>
      </w:r>
    </w:p>
    <w:p w14:paraId="60434CE1" w14:textId="29B0A874" w:rsidR="005D0BDA" w:rsidRPr="000665B0" w:rsidRDefault="00A67788" w:rsidP="009570CA">
      <w:pPr>
        <w:pStyle w:val="Heading5"/>
        <w:tabs>
          <w:tab w:val="left" w:pos="720"/>
        </w:tabs>
      </w:pPr>
      <w:r w:rsidRPr="000665B0">
        <w:t xml:space="preserve">TMPRs </w:t>
      </w:r>
      <w:r w:rsidR="0002554A" w:rsidRPr="000665B0">
        <w:t>Tab</w:t>
      </w:r>
    </w:p>
    <w:p w14:paraId="10E93992" w14:textId="77777777" w:rsidR="00A67788" w:rsidRPr="000665B0" w:rsidRDefault="005D0BDA" w:rsidP="009570CA">
      <w:pPr>
        <w:tabs>
          <w:tab w:val="left" w:pos="720"/>
        </w:tabs>
      </w:pPr>
      <w:r w:rsidRPr="000665B0">
        <w:t xml:space="preserve">Select the </w:t>
      </w:r>
      <w:r w:rsidRPr="000665B0">
        <w:rPr>
          <w:b/>
          <w:i/>
        </w:rPr>
        <w:t>TMPRs</w:t>
      </w:r>
      <w:r w:rsidRPr="000665B0">
        <w:t xml:space="preserve"> tab </w:t>
      </w:r>
      <w:r w:rsidR="007F307C" w:rsidRPr="000665B0">
        <w:t xml:space="preserve">in the </w:t>
      </w:r>
      <w:r w:rsidR="007F307C" w:rsidRPr="000665B0">
        <w:rPr>
          <w:b/>
        </w:rPr>
        <w:t>Candidates</w:t>
      </w:r>
      <w:r w:rsidR="007F307C" w:rsidRPr="000665B0">
        <w:t xml:space="preserve"> pane </w:t>
      </w:r>
      <w:r w:rsidRPr="000665B0">
        <w:t xml:space="preserve">to display the list view of </w:t>
      </w:r>
      <w:r w:rsidR="00C27382" w:rsidRPr="000665B0">
        <w:t>c</w:t>
      </w:r>
      <w:r w:rsidRPr="000665B0">
        <w:t xml:space="preserve">andidate TMPRs for the selected Tasking(s) in the </w:t>
      </w:r>
      <w:r w:rsidRPr="000665B0">
        <w:rPr>
          <w:b/>
        </w:rPr>
        <w:t>Taskings</w:t>
      </w:r>
      <w:r w:rsidRPr="000665B0">
        <w:t xml:space="preserve"> pane above. </w:t>
      </w:r>
      <w:r w:rsidR="00A67788" w:rsidRPr="000665B0">
        <w:t xml:space="preserve">The resultant TMPR </w:t>
      </w:r>
      <w:r w:rsidR="00C27382" w:rsidRPr="000665B0">
        <w:t>c</w:t>
      </w:r>
      <w:r w:rsidR="00AF2EC0" w:rsidRPr="000665B0">
        <w:t xml:space="preserve">andidates </w:t>
      </w:r>
      <w:r w:rsidR="00A67788" w:rsidRPr="000665B0">
        <w:t xml:space="preserve">are generated from the Strike Tasking Matrix’s Tasking information. The Tasking’s target and </w:t>
      </w:r>
      <w:r w:rsidR="00D732EE" w:rsidRPr="000665B0">
        <w:t>109E</w:t>
      </w:r>
      <w:r w:rsidR="00A67788" w:rsidRPr="000665B0">
        <w:t xml:space="preserve"> requirement criteria are applied to generate the TMPR </w:t>
      </w:r>
      <w:r w:rsidR="00C27382" w:rsidRPr="000665B0">
        <w:t>c</w:t>
      </w:r>
      <w:r w:rsidR="00AF2EC0" w:rsidRPr="000665B0">
        <w:t>andidates</w:t>
      </w:r>
      <w:r w:rsidR="00A67788" w:rsidRPr="000665B0">
        <w:t>. Finally</w:t>
      </w:r>
      <w:r w:rsidR="00AF2EC0" w:rsidRPr="000665B0">
        <w:t>,</w:t>
      </w:r>
      <w:r w:rsidR="00A67788" w:rsidRPr="000665B0">
        <w:t xml:space="preserve"> any previously hidden TMPRs are removed.</w:t>
      </w:r>
    </w:p>
    <w:p w14:paraId="5E5243BE" w14:textId="70D2F35F" w:rsidR="00A67788" w:rsidRPr="000665B0" w:rsidRDefault="009C7F08" w:rsidP="009570CA">
      <w:pPr>
        <w:pStyle w:val="bullet11"/>
        <w:tabs>
          <w:tab w:val="left" w:pos="720"/>
        </w:tabs>
        <w:spacing w:before="0" w:beforeAutospacing="0" w:after="120" w:afterAutospacing="0"/>
        <w:jc w:val="center"/>
      </w:pPr>
      <w:r w:rsidRPr="000665B0">
        <w:rPr>
          <w:noProof/>
        </w:rPr>
        <w:lastRenderedPageBreak/>
        <w:drawing>
          <wp:inline distT="0" distB="0" distL="0" distR="0" wp14:anchorId="5618D145" wp14:editId="2AFCBA62">
            <wp:extent cx="4983480" cy="621792"/>
            <wp:effectExtent l="0" t="0" r="0" b="0"/>
            <wp:docPr id="2215" name="Picture 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621792"/>
                    </a:xfrm>
                    <a:prstGeom prst="rect">
                      <a:avLst/>
                    </a:prstGeom>
                  </pic:spPr>
                </pic:pic>
              </a:graphicData>
            </a:graphic>
          </wp:inline>
        </w:drawing>
      </w:r>
    </w:p>
    <w:p w14:paraId="14FDC896" w14:textId="77777777" w:rsidR="00D0612B" w:rsidRPr="000665B0" w:rsidRDefault="00D0612B" w:rsidP="009570CA">
      <w:pPr>
        <w:tabs>
          <w:tab w:val="left" w:pos="720"/>
        </w:tabs>
      </w:pPr>
      <w:r w:rsidRPr="000665B0">
        <w:t xml:space="preserve">The following selections are available using the context menu and function in the same manner as if invoking them directly in the </w:t>
      </w:r>
      <w:r w:rsidRPr="000665B0">
        <w:rPr>
          <w:b/>
        </w:rPr>
        <w:t>TMPRs</w:t>
      </w:r>
      <w:r w:rsidRPr="000665B0">
        <w:t xml:space="preserve"> tool:</w:t>
      </w:r>
    </w:p>
    <w:p w14:paraId="6704DFEE" w14:textId="77777777" w:rsidR="00D0612B" w:rsidRPr="000665B0" w:rsidRDefault="00D0612B" w:rsidP="006D5A65">
      <w:pPr>
        <w:pStyle w:val="Heading1"/>
      </w:pPr>
      <w:r w:rsidRPr="000665B0">
        <w:t>Display</w:t>
      </w:r>
    </w:p>
    <w:p w14:paraId="410FAB91" w14:textId="65F84E3A" w:rsidR="00D0612B" w:rsidRPr="000665B0" w:rsidRDefault="00D0612B" w:rsidP="006D5A65">
      <w:pPr>
        <w:pStyle w:val="Heading1"/>
      </w:pPr>
      <w:r w:rsidRPr="000665B0">
        <w:rPr>
          <w:bCs/>
        </w:rPr>
        <w:t xml:space="preserve">References – See </w:t>
      </w:r>
      <w:hyperlink w:anchor="_5.2.1.2.3__Display_1" w:history="1">
        <w:r w:rsidR="000E0342" w:rsidRPr="000665B0">
          <w:rPr>
            <w:color w:val="0000FF"/>
            <w:u w:val="single"/>
          </w:rPr>
          <w:t>Section 5.2.1.2.3</w:t>
        </w:r>
      </w:hyperlink>
      <w:r w:rsidRPr="000665B0">
        <w:rPr>
          <w:bCs/>
        </w:rPr>
        <w:t xml:space="preserve">. </w:t>
      </w:r>
    </w:p>
    <w:p w14:paraId="1135A80E" w14:textId="3C5CCA87" w:rsidR="00D0612B" w:rsidRPr="000665B0" w:rsidRDefault="00E63E3E" w:rsidP="006D5A65">
      <w:pPr>
        <w:pStyle w:val="Heading1"/>
      </w:pPr>
      <w:r w:rsidRPr="000665B0">
        <w:rPr>
          <w:bCs/>
        </w:rPr>
        <w:t>Submit to TPS</w:t>
      </w:r>
      <w:r w:rsidR="00D0612B" w:rsidRPr="000665B0">
        <w:rPr>
          <w:bCs/>
        </w:rPr>
        <w:t xml:space="preserve"> – See </w:t>
      </w:r>
      <w:hyperlink w:anchor="_5.36__MPRs_TOOL" w:history="1">
        <w:r w:rsidR="00650083" w:rsidRPr="000665B0">
          <w:rPr>
            <w:rStyle w:val="Hyperlink"/>
            <w:bCs/>
          </w:rPr>
          <w:t xml:space="preserve">Section </w:t>
        </w:r>
        <w:r w:rsidR="004231CC">
          <w:rPr>
            <w:rStyle w:val="Hyperlink"/>
            <w:bCs/>
          </w:rPr>
          <w:t>5.31</w:t>
        </w:r>
      </w:hyperlink>
      <w:r w:rsidRPr="000665B0">
        <w:rPr>
          <w:bCs/>
        </w:rPr>
        <w:t>.</w:t>
      </w:r>
    </w:p>
    <w:p w14:paraId="527CD469" w14:textId="79085D37" w:rsidR="00E63E3E" w:rsidRPr="000665B0" w:rsidRDefault="00E63E3E" w:rsidP="006D5A65">
      <w:pPr>
        <w:pStyle w:val="Heading1"/>
      </w:pPr>
      <w:r w:rsidRPr="000665B0">
        <w:t xml:space="preserve">Create TED Library – See </w:t>
      </w:r>
      <w:hyperlink w:anchor="_5.13.1.1__New" w:history="1">
        <w:r w:rsidRPr="000665B0">
          <w:rPr>
            <w:rStyle w:val="Hyperlink"/>
            <w:bCs/>
          </w:rPr>
          <w:t>Section 5.</w:t>
        </w:r>
        <w:r w:rsidR="00C77A5E" w:rsidRPr="000665B0">
          <w:rPr>
            <w:rStyle w:val="Hyperlink"/>
            <w:bCs/>
          </w:rPr>
          <w:t>12</w:t>
        </w:r>
        <w:r w:rsidRPr="000665B0">
          <w:rPr>
            <w:rStyle w:val="Hyperlink"/>
            <w:bCs/>
          </w:rPr>
          <w:t>.1</w:t>
        </w:r>
        <w:r w:rsidR="00963070" w:rsidRPr="000665B0">
          <w:rPr>
            <w:rStyle w:val="Hyperlink"/>
            <w:bCs/>
          </w:rPr>
          <w:t>.</w:t>
        </w:r>
        <w:r w:rsidRPr="000665B0">
          <w:rPr>
            <w:rStyle w:val="Hyperlink"/>
            <w:bCs/>
          </w:rPr>
          <w:t>1</w:t>
        </w:r>
      </w:hyperlink>
      <w:r w:rsidRPr="000665B0">
        <w:t>.</w:t>
      </w:r>
    </w:p>
    <w:p w14:paraId="19EDAA3F" w14:textId="3089E433" w:rsidR="00E63E3E" w:rsidRPr="000665B0" w:rsidRDefault="00E63E3E" w:rsidP="006D5A65">
      <w:pPr>
        <w:pStyle w:val="Heading1"/>
      </w:pPr>
      <w:r w:rsidRPr="000665B0">
        <w:rPr>
          <w:bCs/>
        </w:rPr>
        <w:t xml:space="preserve">Send – See </w:t>
      </w:r>
      <w:hyperlink w:anchor="_5.35.9__Send" w:history="1">
        <w:r w:rsidR="002D7F5D" w:rsidRPr="000665B0">
          <w:rPr>
            <w:rStyle w:val="Hyperlink"/>
            <w:bCs/>
          </w:rPr>
          <w:t xml:space="preserve">Section </w:t>
        </w:r>
        <w:r w:rsidR="004231CC">
          <w:rPr>
            <w:rStyle w:val="Hyperlink"/>
            <w:bCs/>
          </w:rPr>
          <w:t>5.31</w:t>
        </w:r>
        <w:r w:rsidR="002D7F5D" w:rsidRPr="000665B0">
          <w:rPr>
            <w:rStyle w:val="Hyperlink"/>
            <w:bCs/>
          </w:rPr>
          <w:t>.10</w:t>
        </w:r>
      </w:hyperlink>
      <w:r w:rsidRPr="000665B0">
        <w:rPr>
          <w:bCs/>
        </w:rPr>
        <w:t>.</w:t>
      </w:r>
    </w:p>
    <w:p w14:paraId="290CEC04" w14:textId="02C74717" w:rsidR="00336064" w:rsidRPr="000665B0" w:rsidRDefault="00336064" w:rsidP="006D5A65">
      <w:pPr>
        <w:pStyle w:val="Heading1"/>
      </w:pPr>
      <w:r w:rsidRPr="000665B0">
        <w:rPr>
          <w:bCs/>
        </w:rPr>
        <w:t xml:space="preserve">Hide </w:t>
      </w:r>
      <w:r w:rsidRPr="000665B0">
        <w:t xml:space="preserve">– </w:t>
      </w:r>
      <w:r w:rsidRPr="000665B0">
        <w:rPr>
          <w:bCs/>
        </w:rPr>
        <w:t xml:space="preserve">See </w:t>
      </w:r>
      <w:hyperlink w:anchor="_Hidden_Candidates_Tab_1" w:history="1">
        <w:r w:rsidR="009326FE" w:rsidRPr="000665B0">
          <w:rPr>
            <w:rStyle w:val="Hyperlink"/>
            <w:bCs/>
          </w:rPr>
          <w:t xml:space="preserve">Section </w:t>
        </w:r>
        <w:r w:rsidR="004231CC">
          <w:rPr>
            <w:rStyle w:val="Hyperlink"/>
            <w:bCs/>
          </w:rPr>
          <w:t>5.34</w:t>
        </w:r>
        <w:r w:rsidR="006E133F" w:rsidRPr="000665B0">
          <w:rPr>
            <w:rStyle w:val="Hyperlink"/>
            <w:bCs/>
          </w:rPr>
          <w:t>.5.3.5</w:t>
        </w:r>
      </w:hyperlink>
      <w:r w:rsidRPr="000665B0">
        <w:rPr>
          <w:bCs/>
        </w:rPr>
        <w:t>.</w:t>
      </w:r>
    </w:p>
    <w:p w14:paraId="4DA8EE28" w14:textId="104F3010" w:rsidR="00FC6A1E" w:rsidRPr="000665B0" w:rsidRDefault="00334BF0" w:rsidP="009570CA">
      <w:pPr>
        <w:tabs>
          <w:tab w:val="left" w:pos="720"/>
        </w:tabs>
      </w:pPr>
      <w:r w:rsidRPr="000665B0">
        <w:t xml:space="preserve">As in other list views, </w:t>
      </w:r>
      <w:r w:rsidR="00AB79FF" w:rsidRPr="000665B0">
        <w:t xml:space="preserve">items can be selected to </w:t>
      </w:r>
      <w:r w:rsidR="00CF3A43" w:rsidRPr="000665B0">
        <w:t>D</w:t>
      </w:r>
      <w:r w:rsidRPr="000665B0">
        <w:t xml:space="preserve">isplay </w:t>
      </w:r>
      <w:r w:rsidR="00CF3A43" w:rsidRPr="000665B0">
        <w:t>T</w:t>
      </w:r>
      <w:r w:rsidRPr="000665B0">
        <w:t xml:space="preserve">extually (see </w:t>
      </w:r>
      <w:hyperlink w:anchor="_5.2.1.2.4__Display_1" w:history="1">
        <w:r w:rsidRPr="000665B0">
          <w:rPr>
            <w:rStyle w:val="Hyperlink"/>
          </w:rPr>
          <w:t>Section 5.2.1.2.4</w:t>
        </w:r>
      </w:hyperlink>
      <w:r w:rsidRPr="000665B0">
        <w:rPr>
          <w:rStyle w:val="Hyperlink"/>
        </w:rPr>
        <w:t>)</w:t>
      </w:r>
      <w:r w:rsidRPr="000665B0">
        <w:t xml:space="preserve">, </w:t>
      </w:r>
      <w:r w:rsidR="00CF3A43" w:rsidRPr="000665B0">
        <w:t>D</w:t>
      </w:r>
      <w:r w:rsidRPr="000665B0">
        <w:t xml:space="preserve">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0665B0">
        <w:rPr>
          <w:rStyle w:val="Hyperlink"/>
        </w:rPr>
        <w:t>)</w:t>
      </w:r>
      <w:r w:rsidRPr="000665B0">
        <w:t>.</w:t>
      </w:r>
    </w:p>
    <w:p w14:paraId="64C54201" w14:textId="793B452D" w:rsidR="00AF2EC0" w:rsidRPr="000665B0" w:rsidRDefault="00A67788" w:rsidP="009570CA">
      <w:pPr>
        <w:pStyle w:val="Heading5"/>
        <w:tabs>
          <w:tab w:val="left" w:pos="720"/>
        </w:tabs>
        <w:rPr>
          <w:bCs/>
        </w:rPr>
      </w:pPr>
      <w:bookmarkStart w:id="6266" w:name="_5.37.4.3.3__LMOs"/>
      <w:bookmarkStart w:id="6267" w:name="_LMOs_Tab"/>
      <w:bookmarkEnd w:id="6266"/>
      <w:bookmarkEnd w:id="6267"/>
      <w:r w:rsidRPr="000665B0">
        <w:rPr>
          <w:bCs/>
        </w:rPr>
        <w:t xml:space="preserve">LMOs </w:t>
      </w:r>
      <w:r w:rsidR="0002554A" w:rsidRPr="000665B0">
        <w:rPr>
          <w:bCs/>
        </w:rPr>
        <w:t>Tab</w:t>
      </w:r>
    </w:p>
    <w:p w14:paraId="7E821985" w14:textId="1F4242E8" w:rsidR="00A67788" w:rsidRPr="000665B0" w:rsidRDefault="00AF2EC0" w:rsidP="009570CA">
      <w:pPr>
        <w:tabs>
          <w:tab w:val="left" w:pos="720"/>
        </w:tabs>
      </w:pPr>
      <w:r w:rsidRPr="000665B0">
        <w:t xml:space="preserve">Select the </w:t>
      </w:r>
      <w:r w:rsidRPr="000665B0">
        <w:rPr>
          <w:b/>
          <w:i/>
        </w:rPr>
        <w:t>LMOs</w:t>
      </w:r>
      <w:r w:rsidRPr="000665B0">
        <w:t xml:space="preserve"> tab </w:t>
      </w:r>
      <w:r w:rsidR="007F307C" w:rsidRPr="000665B0">
        <w:t xml:space="preserve">in the </w:t>
      </w:r>
      <w:r w:rsidR="007F307C" w:rsidRPr="000665B0">
        <w:rPr>
          <w:b/>
        </w:rPr>
        <w:t>Candidates</w:t>
      </w:r>
      <w:r w:rsidR="007F307C" w:rsidRPr="000665B0">
        <w:t xml:space="preserve"> pane </w:t>
      </w:r>
      <w:r w:rsidRPr="000665B0">
        <w:t xml:space="preserve">to display the list view of </w:t>
      </w:r>
      <w:r w:rsidR="00C27382" w:rsidRPr="000665B0">
        <w:t>c</w:t>
      </w:r>
      <w:r w:rsidRPr="000665B0">
        <w:t xml:space="preserve">andidate LMOs </w:t>
      </w:r>
      <w:r w:rsidR="00D74204">
        <w:t xml:space="preserve">and associated LPMP Missions </w:t>
      </w:r>
      <w:r w:rsidRPr="000665B0">
        <w:t xml:space="preserve">for the selected Tasking(s) in the </w:t>
      </w:r>
      <w:r w:rsidRPr="000665B0">
        <w:rPr>
          <w:b/>
        </w:rPr>
        <w:t>Taskings</w:t>
      </w:r>
      <w:r w:rsidRPr="000665B0">
        <w:t xml:space="preserve"> pane above.</w:t>
      </w:r>
      <w:r w:rsidR="00A67788" w:rsidRPr="000665B0">
        <w:t xml:space="preserve"> The resultant LMO </w:t>
      </w:r>
      <w:r w:rsidR="00C27382" w:rsidRPr="000665B0">
        <w:t>c</w:t>
      </w:r>
      <w:r w:rsidRPr="000665B0">
        <w:t xml:space="preserve">andidates </w:t>
      </w:r>
      <w:r w:rsidR="00A67788" w:rsidRPr="000665B0">
        <w:t xml:space="preserve">are generated from the Strike Tasking Matrix’s Tasking information. The Tasking’s target and </w:t>
      </w:r>
      <w:r w:rsidR="00D732EE" w:rsidRPr="000665B0">
        <w:t>109E</w:t>
      </w:r>
      <w:r w:rsidR="00A67788" w:rsidRPr="000665B0">
        <w:t xml:space="preserve"> requirement criteria are applied to generate the LMO </w:t>
      </w:r>
      <w:r w:rsidR="00C27382" w:rsidRPr="000665B0">
        <w:t>c</w:t>
      </w:r>
      <w:r w:rsidRPr="000665B0">
        <w:t>andidates</w:t>
      </w:r>
      <w:r w:rsidR="00A67788" w:rsidRPr="000665B0">
        <w:t>. Finally</w:t>
      </w:r>
      <w:r w:rsidRPr="000665B0">
        <w:t>,</w:t>
      </w:r>
      <w:r w:rsidR="00A67788" w:rsidRPr="000665B0">
        <w:t xml:space="preserve"> any previously hidden LMOs are removed. Only LMOs </w:t>
      </w:r>
      <w:r w:rsidRPr="000665B0">
        <w:t xml:space="preserve">in </w:t>
      </w:r>
      <w:r w:rsidR="00A67788" w:rsidRPr="000665B0">
        <w:t xml:space="preserve">the current </w:t>
      </w:r>
      <w:r w:rsidRPr="000665B0">
        <w:t xml:space="preserve">Strike </w:t>
      </w:r>
      <w:r w:rsidR="00A67788" w:rsidRPr="000665B0">
        <w:t>Folder can be candidates.</w:t>
      </w:r>
    </w:p>
    <w:p w14:paraId="7F454D5A" w14:textId="20B568F0" w:rsidR="00EF1B82" w:rsidRPr="000665B0" w:rsidRDefault="00EF1B82" w:rsidP="009570CA">
      <w:pPr>
        <w:pStyle w:val="bullet11"/>
        <w:tabs>
          <w:tab w:val="left" w:pos="720"/>
        </w:tabs>
        <w:spacing w:before="0" w:beforeAutospacing="0" w:after="120" w:afterAutospacing="0"/>
        <w:jc w:val="center"/>
      </w:pPr>
      <w:r>
        <w:rPr>
          <w:noProof/>
        </w:rPr>
        <w:drawing>
          <wp:inline distT="0" distB="0" distL="0" distR="0" wp14:anchorId="6A8780BF" wp14:editId="36ADE3AB">
            <wp:extent cx="4983480" cy="566928"/>
            <wp:effectExtent l="0" t="0" r="0" b="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566928"/>
                    </a:xfrm>
                    <a:prstGeom prst="rect">
                      <a:avLst/>
                    </a:prstGeom>
                  </pic:spPr>
                </pic:pic>
              </a:graphicData>
            </a:graphic>
          </wp:inline>
        </w:drawing>
      </w:r>
    </w:p>
    <w:p w14:paraId="5F5F49FF" w14:textId="307A2722" w:rsidR="00FC6A1E" w:rsidRPr="000665B0" w:rsidRDefault="00334BF0" w:rsidP="009570CA">
      <w:pPr>
        <w:pStyle w:val="Normal1"/>
        <w:tabs>
          <w:tab w:val="left" w:pos="720"/>
        </w:tabs>
        <w:spacing w:before="120" w:beforeAutospacing="0" w:after="120" w:afterAutospacing="0"/>
      </w:pPr>
      <w:r w:rsidRPr="000665B0">
        <w:t xml:space="preserve">As in other list views, </w:t>
      </w:r>
      <w:r w:rsidR="00AB79FF" w:rsidRPr="000665B0">
        <w:t>items can be selected to</w:t>
      </w:r>
      <w:r w:rsidRPr="000665B0">
        <w:t xml:space="preserve"> </w:t>
      </w:r>
      <w:r w:rsidR="00CF3A43" w:rsidRPr="000665B0">
        <w:t>D</w:t>
      </w:r>
      <w:r w:rsidRPr="000665B0">
        <w:t xml:space="preserve">isplay </w:t>
      </w:r>
      <w:r w:rsidR="00CF3A43" w:rsidRPr="000665B0">
        <w:t>T</w:t>
      </w:r>
      <w:r w:rsidRPr="000665B0">
        <w:t xml:space="preserve">extually (see </w:t>
      </w:r>
      <w:hyperlink w:anchor="_5.2.1.2.4__Display_1" w:history="1">
        <w:r w:rsidRPr="000665B0">
          <w:rPr>
            <w:rStyle w:val="Hyperlink"/>
          </w:rPr>
          <w:t>Section 5.2.1.2.4</w:t>
        </w:r>
      </w:hyperlink>
      <w:r w:rsidRPr="005B3E50">
        <w:rPr>
          <w:rStyle w:val="Hyperlink"/>
          <w:color w:val="auto"/>
        </w:rPr>
        <w:t>)</w:t>
      </w:r>
      <w:r w:rsidRPr="000665B0">
        <w:t xml:space="preserve">, </w:t>
      </w:r>
      <w:r w:rsidR="00D74204">
        <w:t xml:space="preserve">Display Geographically (see </w:t>
      </w:r>
      <w:hyperlink w:anchor="_5.2.1.2.2__Display_1" w:history="1">
        <w:r w:rsidR="00D74204" w:rsidRPr="00AD6369">
          <w:rPr>
            <w:rStyle w:val="Hyperlink"/>
          </w:rPr>
          <w:t>Section 5.2.1.2.2</w:t>
        </w:r>
      </w:hyperlink>
      <w:r w:rsidR="00D74204">
        <w:t xml:space="preserve">), </w:t>
      </w:r>
      <w:r w:rsidR="00CF3A43" w:rsidRPr="000665B0">
        <w:t>D</w:t>
      </w:r>
      <w:r w:rsidRPr="000665B0">
        <w:t xml:space="preserve">isplay in Excel (see </w:t>
      </w:r>
      <w:hyperlink w:anchor="_5.2.1.2.1__Display_1" w:history="1">
        <w:r w:rsidRPr="000665B0">
          <w:rPr>
            <w:rStyle w:val="Hyperlink"/>
          </w:rPr>
          <w:t>Section 5.2.1.2.1</w:t>
        </w:r>
      </w:hyperlink>
      <w:r w:rsidR="005C6610">
        <w:t>),</w:t>
      </w:r>
      <w:r w:rsidRPr="000665B0">
        <w:t xml:space="preserve"> and Print (see </w:t>
      </w:r>
      <w:hyperlink w:anchor="_5.2.1.5.1__Print" w:history="1">
        <w:r w:rsidRPr="000665B0">
          <w:rPr>
            <w:rStyle w:val="Hyperlink"/>
          </w:rPr>
          <w:t>Section 5.2.1.5.1</w:t>
        </w:r>
      </w:hyperlink>
      <w:r w:rsidRPr="005B3E50">
        <w:rPr>
          <w:rStyle w:val="Hyperlink"/>
          <w:color w:val="auto"/>
        </w:rPr>
        <w:t>)</w:t>
      </w:r>
      <w:r w:rsidRPr="000665B0">
        <w:t>.</w:t>
      </w:r>
      <w:r w:rsidR="00BE40EE">
        <w:t xml:space="preserve"> In </w:t>
      </w:r>
      <w:r w:rsidR="00802C15">
        <w:t>addition,</w:t>
      </w:r>
      <w:r w:rsidR="00BE40EE">
        <w:t xml:space="preserve"> the user can Save Route as KML or Save Route as Overlay.</w:t>
      </w:r>
    </w:p>
    <w:p w14:paraId="69088730" w14:textId="77777777" w:rsidR="006E133F" w:rsidRPr="000665B0" w:rsidRDefault="006E133F" w:rsidP="009570CA">
      <w:pPr>
        <w:pStyle w:val="Heading5"/>
      </w:pPr>
      <w:bookmarkStart w:id="6268" w:name="_Hidden_Candidates_Tab"/>
      <w:bookmarkEnd w:id="6268"/>
      <w:r w:rsidRPr="000665B0">
        <w:t>Attack Plans Tab</w:t>
      </w:r>
    </w:p>
    <w:p w14:paraId="0D03174D" w14:textId="3E57F35E" w:rsidR="006E133F" w:rsidRPr="000665B0" w:rsidRDefault="006E133F" w:rsidP="009570CA">
      <w:r w:rsidRPr="000665B0">
        <w:t xml:space="preserve">Select the </w:t>
      </w:r>
      <w:r w:rsidRPr="000665B0">
        <w:rPr>
          <w:b/>
          <w:i/>
        </w:rPr>
        <w:t>Attack Plans</w:t>
      </w:r>
      <w:r w:rsidRPr="000665B0">
        <w:t xml:space="preserve"> tab in the </w:t>
      </w:r>
      <w:r w:rsidRPr="000665B0">
        <w:rPr>
          <w:b/>
        </w:rPr>
        <w:t>Candidates</w:t>
      </w:r>
      <w:r w:rsidRPr="000665B0">
        <w:t xml:space="preserve"> pane to display the list view of candidate Attack Plans for the selected Tasking(s) in the </w:t>
      </w:r>
      <w:r w:rsidRPr="000665B0">
        <w:rPr>
          <w:b/>
        </w:rPr>
        <w:t>Tasking</w:t>
      </w:r>
      <w:r w:rsidRPr="000665B0">
        <w:t xml:space="preserve"> pane above. The resultant Attack Plan candidates are generated from the Strike Tasking Matrix’s Tasking information. </w:t>
      </w:r>
    </w:p>
    <w:p w14:paraId="07373214" w14:textId="12706B3D" w:rsidR="006E133F" w:rsidRPr="000665B0" w:rsidRDefault="006E133F" w:rsidP="009570CA">
      <w:r w:rsidRPr="000665B0">
        <w:rPr>
          <w:szCs w:val="24"/>
        </w:rPr>
        <w:t xml:space="preserve">Attack Plan TMPRs are displayed in a tree view with the root level displaying the Attack Plan TMPR. </w:t>
      </w:r>
      <w:r w:rsidRPr="000665B0">
        <w:t>Expand the tree view to show the branch level of</w:t>
      </w:r>
      <w:r w:rsidRPr="000665B0">
        <w:rPr>
          <w:szCs w:val="24"/>
        </w:rPr>
        <w:t xml:space="preserve"> </w:t>
      </w:r>
      <w:r w:rsidRPr="000665B0">
        <w:t xml:space="preserve">all of the resultant mission(s) for the selected Attack Plan. </w:t>
      </w:r>
    </w:p>
    <w:p w14:paraId="02EA55B4" w14:textId="58A930DA" w:rsidR="006E133F" w:rsidRPr="000665B0" w:rsidRDefault="004C2225" w:rsidP="009570CA">
      <w:pPr>
        <w:jc w:val="center"/>
      </w:pPr>
      <w:r w:rsidRPr="000665B0">
        <w:rPr>
          <w:noProof/>
        </w:rPr>
        <w:drawing>
          <wp:inline distT="0" distB="0" distL="0" distR="0" wp14:anchorId="4D2790BA" wp14:editId="551411BC">
            <wp:extent cx="4983480" cy="914400"/>
            <wp:effectExtent l="0" t="0" r="0" b="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914400"/>
                    </a:xfrm>
                    <a:prstGeom prst="rect">
                      <a:avLst/>
                    </a:prstGeom>
                  </pic:spPr>
                </pic:pic>
              </a:graphicData>
            </a:graphic>
          </wp:inline>
        </w:drawing>
      </w:r>
    </w:p>
    <w:p w14:paraId="70DA043F" w14:textId="4531F82A" w:rsidR="006E133F" w:rsidRPr="000665B0" w:rsidRDefault="006E133F" w:rsidP="009570CA">
      <w:pPr>
        <w:rPr>
          <w:b/>
          <w:i/>
        </w:rPr>
      </w:pPr>
      <w:r w:rsidRPr="000665B0">
        <w:rPr>
          <w:b/>
          <w:i/>
        </w:rPr>
        <w:lastRenderedPageBreak/>
        <w:t>Attack Plans Tab List View</w:t>
      </w:r>
    </w:p>
    <w:p w14:paraId="76E1EB61" w14:textId="77777777" w:rsidR="006E133F" w:rsidRPr="000665B0" w:rsidRDefault="006E133F" w:rsidP="006D5A65">
      <w:pPr>
        <w:pStyle w:val="Heading1"/>
      </w:pPr>
      <w:r w:rsidRPr="000665B0">
        <w:t>Columns</w:t>
      </w:r>
    </w:p>
    <w:p w14:paraId="68B89B24" w14:textId="168D1356" w:rsidR="006E133F" w:rsidRPr="000665B0" w:rsidRDefault="006E133F" w:rsidP="006D5A65">
      <w:pPr>
        <w:pStyle w:val="Heading1"/>
      </w:pPr>
      <w:r w:rsidRPr="000665B0">
        <w:rPr>
          <w:bCs/>
        </w:rPr>
        <w:t xml:space="preserve">TMPR ID/Mission ID </w:t>
      </w:r>
      <w:r w:rsidRPr="000665B0">
        <w:t>– TMPR ID for the Attack Plan TMPR or the Mission ID for the Attack Plan Mission.</w:t>
      </w:r>
    </w:p>
    <w:p w14:paraId="3CA490F7" w14:textId="77777777" w:rsidR="000A2A49" w:rsidRPr="000665B0" w:rsidRDefault="000A2A49" w:rsidP="006D5A65">
      <w:pPr>
        <w:pStyle w:val="Heading1"/>
      </w:pPr>
      <w:r w:rsidRPr="000665B0">
        <w:rPr>
          <w:bCs/>
        </w:rPr>
        <w:t xml:space="preserve">State </w:t>
      </w:r>
      <w:r w:rsidRPr="000665B0">
        <w:t>– The current state of the TMPR.</w:t>
      </w:r>
    </w:p>
    <w:p w14:paraId="514BD4B0" w14:textId="379A100F" w:rsidR="00347013" w:rsidRPr="000665B0" w:rsidRDefault="00347013" w:rsidP="006D5A65">
      <w:pPr>
        <w:pStyle w:val="Heading1"/>
      </w:pPr>
      <w:r w:rsidRPr="000665B0">
        <w:rPr>
          <w:bCs/>
        </w:rPr>
        <w:t xml:space="preserve">Mission Name </w:t>
      </w:r>
      <w:r w:rsidRPr="000665B0">
        <w:t xml:space="preserve">– </w:t>
      </w:r>
      <w:r w:rsidR="009C336C" w:rsidRPr="000665B0">
        <w:t xml:space="preserve">The mission name of the mission generated for the Attack Plan. </w:t>
      </w:r>
    </w:p>
    <w:p w14:paraId="45532F3C" w14:textId="63BF8CE2" w:rsidR="006E133F" w:rsidRPr="000665B0" w:rsidRDefault="006E133F" w:rsidP="006D5A65">
      <w:pPr>
        <w:pStyle w:val="Heading1"/>
      </w:pPr>
      <w:r w:rsidRPr="000665B0">
        <w:rPr>
          <w:bCs/>
        </w:rPr>
        <w:t>Attack Plan</w:t>
      </w:r>
      <w:r w:rsidR="00BA4915" w:rsidRPr="000665B0">
        <w:rPr>
          <w:bCs/>
        </w:rPr>
        <w:t xml:space="preserve"> </w:t>
      </w:r>
      <w:r w:rsidRPr="000665B0">
        <w:t xml:space="preserve">– </w:t>
      </w:r>
      <w:r w:rsidRPr="000665B0">
        <w:rPr>
          <w:rFonts w:cs="Calibri"/>
        </w:rPr>
        <w:t>A</w:t>
      </w:r>
      <w:r w:rsidRPr="000665B0">
        <w:t>ttack Plan ID associated with the Attack Plan TMPR.</w:t>
      </w:r>
    </w:p>
    <w:p w14:paraId="2347DEE0" w14:textId="3106B4E0" w:rsidR="006E133F" w:rsidRPr="000665B0" w:rsidRDefault="006E133F" w:rsidP="006D5A65">
      <w:pPr>
        <w:pStyle w:val="Heading1"/>
      </w:pPr>
      <w:r w:rsidRPr="000665B0">
        <w:rPr>
          <w:bCs/>
        </w:rPr>
        <w:t xml:space="preserve">TAR Type </w:t>
      </w:r>
      <w:r w:rsidRPr="000665B0">
        <w:t>– Target Attack Requirements type for the target associated with the Attack Plan TMPR.</w:t>
      </w:r>
    </w:p>
    <w:p w14:paraId="2C66E70B" w14:textId="3885EBD8" w:rsidR="009C336C" w:rsidRPr="000665B0" w:rsidRDefault="009C336C" w:rsidP="006D5A65">
      <w:pPr>
        <w:pStyle w:val="Heading1"/>
      </w:pPr>
      <w:r w:rsidRPr="000665B0">
        <w:rPr>
          <w:bCs/>
        </w:rPr>
        <w:t>APM# –</w:t>
      </w:r>
      <w:r w:rsidRPr="000665B0">
        <w:t xml:space="preserve"> </w:t>
      </w:r>
      <w:r w:rsidR="0098449F" w:rsidRPr="000665B0">
        <w:t xml:space="preserve">Attack Plan Mission Number indicates the nth mission </w:t>
      </w:r>
      <w:r w:rsidR="00AA01DB" w:rsidRPr="000665B0">
        <w:t xml:space="preserve">and </w:t>
      </w:r>
      <w:r w:rsidR="0098449F" w:rsidRPr="000665B0">
        <w:t>the total number of missions</w:t>
      </w:r>
      <w:r w:rsidR="00AA01DB" w:rsidRPr="000665B0">
        <w:t xml:space="preserve"> requested</w:t>
      </w:r>
      <w:r w:rsidR="0098449F" w:rsidRPr="000665B0">
        <w:t xml:space="preserve"> in the </w:t>
      </w:r>
      <w:r w:rsidR="00AA01DB" w:rsidRPr="000665B0">
        <w:t xml:space="preserve">Attack Plan </w:t>
      </w:r>
      <w:r w:rsidR="0098449F" w:rsidRPr="000665B0">
        <w:t>(</w:t>
      </w:r>
      <w:r w:rsidR="003509EA" w:rsidRPr="000665B0">
        <w:t xml:space="preserve">e.g., </w:t>
      </w:r>
      <w:r w:rsidR="00AA01DB" w:rsidRPr="000665B0">
        <w:t>“</w:t>
      </w:r>
      <w:r w:rsidR="0098449F" w:rsidRPr="000665B0">
        <w:t>2</w:t>
      </w:r>
      <w:r w:rsidR="00AA01DB" w:rsidRPr="000665B0">
        <w:t>/10”</w:t>
      </w:r>
      <w:r w:rsidR="0098449F" w:rsidRPr="000665B0">
        <w:t xml:space="preserve"> indicates the 2</w:t>
      </w:r>
      <w:r w:rsidR="0098449F" w:rsidRPr="000665B0">
        <w:rPr>
          <w:vertAlign w:val="superscript"/>
        </w:rPr>
        <w:t>nd</w:t>
      </w:r>
      <w:r w:rsidR="0098449F" w:rsidRPr="000665B0">
        <w:t xml:space="preserve"> mission of a </w:t>
      </w:r>
      <w:r w:rsidR="00AA01DB" w:rsidRPr="000665B0">
        <w:br/>
      </w:r>
      <w:r w:rsidR="0098449F" w:rsidRPr="000665B0">
        <w:t xml:space="preserve">10-mission </w:t>
      </w:r>
      <w:r w:rsidR="00AA01DB" w:rsidRPr="000665B0">
        <w:t>Attack Plan TMPR</w:t>
      </w:r>
      <w:r w:rsidR="0098449F" w:rsidRPr="000665B0">
        <w:t xml:space="preserve">). </w:t>
      </w:r>
    </w:p>
    <w:p w14:paraId="0A0BB464" w14:textId="595464B3" w:rsidR="002377CD" w:rsidRPr="000665B0" w:rsidRDefault="002377CD" w:rsidP="006D5A65">
      <w:pPr>
        <w:pStyle w:val="Heading1"/>
        <w:rPr>
          <w:rFonts w:eastAsia="Arial Unicode MS"/>
        </w:rPr>
      </w:pPr>
      <w:r w:rsidRPr="000665B0">
        <w:rPr>
          <w:rFonts w:eastAsia="Arial Unicode MS"/>
        </w:rPr>
        <w:t xml:space="preserve">Context Menu (at the </w:t>
      </w:r>
      <w:r w:rsidRPr="000665B0">
        <w:t>root level displaying the Attack Plan TMPR)</w:t>
      </w:r>
    </w:p>
    <w:p w14:paraId="7E14252F" w14:textId="77777777" w:rsidR="002377CD" w:rsidRPr="000665B0" w:rsidRDefault="002377CD" w:rsidP="006D5A65">
      <w:pPr>
        <w:pStyle w:val="Heading2"/>
      </w:pPr>
      <w:r w:rsidRPr="000665B0">
        <w:t>Display</w:t>
      </w:r>
    </w:p>
    <w:p w14:paraId="65E37981" w14:textId="77777777" w:rsidR="002377CD" w:rsidRPr="000665B0" w:rsidRDefault="002377CD" w:rsidP="006D5A65">
      <w:pPr>
        <w:pStyle w:val="Heading3"/>
        <w:rPr>
          <w:rFonts w:eastAsia="Arial Unicode MS"/>
        </w:rPr>
      </w:pPr>
      <w:r w:rsidRPr="000665B0">
        <w:rPr>
          <w:rFonts w:eastAsia="Arial Unicode MS"/>
        </w:rPr>
        <w:t xml:space="preserve">Textually </w:t>
      </w:r>
      <w:r w:rsidRPr="000665B0">
        <w:t>– Displays the textual view of the selected TMPR(s).</w:t>
      </w:r>
    </w:p>
    <w:p w14:paraId="62B92666" w14:textId="7ACDC929" w:rsidR="002377CD" w:rsidRPr="000665B0" w:rsidRDefault="002377CD" w:rsidP="006D5A65">
      <w:pPr>
        <w:pStyle w:val="Heading3"/>
      </w:pPr>
      <w:r w:rsidRPr="000665B0">
        <w:t xml:space="preserve">References – Displays </w:t>
      </w:r>
      <w:r w:rsidR="009136BE" w:rsidRPr="000665B0">
        <w:t>a reference</w:t>
      </w:r>
      <w:r w:rsidRPr="000665B0">
        <w:t xml:space="preserve"> window showing what other data in MDS is referencing the selected TMPR(s).</w:t>
      </w:r>
    </w:p>
    <w:p w14:paraId="23F39AC8" w14:textId="3847C3AF" w:rsidR="004B3F79" w:rsidRPr="00BB4EBE" w:rsidRDefault="002377CD" w:rsidP="006D5A65">
      <w:pPr>
        <w:pStyle w:val="Heading3"/>
        <w:rPr>
          <w:rFonts w:eastAsia="Arial Unicode MS"/>
          <w:bCs/>
        </w:rPr>
      </w:pPr>
      <w:r w:rsidRPr="000665B0">
        <w:rPr>
          <w:rFonts w:eastAsia="Arial Unicode MS"/>
        </w:rPr>
        <w:t xml:space="preserve">in Excel – </w:t>
      </w:r>
      <w:r w:rsidRPr="000665B0">
        <w:t>Creates an Excel document containing the selected TMPR’s information.</w:t>
      </w:r>
      <w:r w:rsidR="00CC01E2" w:rsidRPr="00CC01E2" w:rsidDel="00CC01E2">
        <w:rPr>
          <w:rFonts w:eastAsia="Arial Unicode MS"/>
        </w:rPr>
        <w:t xml:space="preserve"> </w:t>
      </w:r>
    </w:p>
    <w:p w14:paraId="31C05D44" w14:textId="77777777" w:rsidR="002377CD" w:rsidRPr="000665B0" w:rsidRDefault="002377CD" w:rsidP="006D5A65">
      <w:pPr>
        <w:pStyle w:val="Heading2"/>
      </w:pPr>
      <w:r w:rsidRPr="000665B0">
        <w:t>Submit to TPS – Sets the TMPR state to “Submitted” indicating that the TMPR is ready to be used for mission planning. This menu option is enabled when the own node capabilities has a collocated TPS, the TMPR state is “Creating,” and the TMPR type is not Retarget.</w:t>
      </w:r>
    </w:p>
    <w:p w14:paraId="3BC6D57E" w14:textId="0AEF4F6F" w:rsidR="002377CD" w:rsidRPr="000665B0" w:rsidRDefault="002377CD" w:rsidP="006D5A65">
      <w:pPr>
        <w:pStyle w:val="Heading2"/>
        <w:rPr>
          <w:rFonts w:eastAsia="Arial Unicode MS"/>
        </w:rPr>
      </w:pPr>
      <w:r w:rsidRPr="000665B0">
        <w:rPr>
          <w:rFonts w:eastAsia="Arial Unicode MS"/>
        </w:rPr>
        <w:t xml:space="preserve">Create TED Library – </w:t>
      </w:r>
      <w:r w:rsidRPr="000665B0">
        <w:t xml:space="preserve">This type of library is able to accept different types of data instead of being restricted to a single data type as in the other MDS Libraries. For information on creating a TED Library see </w:t>
      </w:r>
      <w:hyperlink w:anchor="_5.13.1.1__New" w:history="1">
        <w:r w:rsidRPr="000665B0">
          <w:rPr>
            <w:color w:val="0000FF"/>
            <w:u w:val="single"/>
          </w:rPr>
          <w:t>Section 5.</w:t>
        </w:r>
        <w:r w:rsidR="00C77A5E" w:rsidRPr="000665B0">
          <w:rPr>
            <w:color w:val="0000FF"/>
            <w:u w:val="single"/>
          </w:rPr>
          <w:t>12</w:t>
        </w:r>
        <w:r w:rsidRPr="000665B0">
          <w:rPr>
            <w:color w:val="0000FF"/>
            <w:u w:val="single"/>
          </w:rPr>
          <w:t>.1.1</w:t>
        </w:r>
      </w:hyperlink>
      <w:r w:rsidRPr="000665B0">
        <w:rPr>
          <w:color w:val="0000FF"/>
          <w:u w:val="single"/>
        </w:rPr>
        <w:t>.</w:t>
      </w:r>
    </w:p>
    <w:p w14:paraId="55F909CE" w14:textId="77777777" w:rsidR="002377CD" w:rsidRPr="000665B0" w:rsidRDefault="002377CD" w:rsidP="006D5A65">
      <w:pPr>
        <w:pStyle w:val="Heading2"/>
        <w:rPr>
          <w:rFonts w:eastAsia="Arial Unicode MS"/>
        </w:rPr>
      </w:pPr>
      <w:r w:rsidRPr="000665B0">
        <w:rPr>
          <w:rFonts w:eastAsia="Arial Unicode MS"/>
        </w:rPr>
        <w:t>Send…</w:t>
      </w:r>
      <w:r w:rsidRPr="000665B0">
        <w:t xml:space="preserve"> – Displays a new DDO Template with the selected TMPR(s) pre-populated in the TMPR tab.</w:t>
      </w:r>
    </w:p>
    <w:p w14:paraId="4DFA052B" w14:textId="77777777" w:rsidR="002377CD" w:rsidRPr="000665B0" w:rsidRDefault="002377CD" w:rsidP="006D5A65">
      <w:pPr>
        <w:pStyle w:val="Heading2"/>
      </w:pPr>
      <w:r w:rsidRPr="000665B0">
        <w:t>Print… – Prints the selected TMPR’s list information.</w:t>
      </w:r>
    </w:p>
    <w:p w14:paraId="0BA51A97" w14:textId="0669C975" w:rsidR="002377CD" w:rsidRPr="000665B0" w:rsidRDefault="002377CD" w:rsidP="006D5A65">
      <w:pPr>
        <w:pStyle w:val="Heading2"/>
      </w:pPr>
      <w:r w:rsidRPr="000665B0">
        <w:rPr>
          <w:rFonts w:eastAsia="Arial Unicode MS"/>
          <w:szCs w:val="24"/>
        </w:rPr>
        <w:t xml:space="preserve">Hide </w:t>
      </w:r>
      <w:r w:rsidRPr="000665B0">
        <w:rPr>
          <w:szCs w:val="24"/>
        </w:rPr>
        <w:t>–</w:t>
      </w:r>
      <w:r w:rsidRPr="000665B0">
        <w:rPr>
          <w:rFonts w:eastAsia="Arial Unicode MS"/>
          <w:szCs w:val="24"/>
        </w:rPr>
        <w:t xml:space="preserve"> </w:t>
      </w:r>
      <w:r w:rsidRPr="000665B0">
        <w:rPr>
          <w:bCs/>
        </w:rPr>
        <w:t xml:space="preserve">See </w:t>
      </w:r>
      <w:hyperlink w:anchor="_Hidden_Candidates_Tab_1" w:history="1">
        <w:r w:rsidR="009326FE" w:rsidRPr="000665B0">
          <w:rPr>
            <w:rStyle w:val="Hyperlink"/>
            <w:bCs/>
          </w:rPr>
          <w:t xml:space="preserve">Section </w:t>
        </w:r>
        <w:r w:rsidR="004231CC">
          <w:rPr>
            <w:rStyle w:val="Hyperlink"/>
            <w:bCs/>
          </w:rPr>
          <w:t>5.34</w:t>
        </w:r>
        <w:r w:rsidRPr="000665B0">
          <w:rPr>
            <w:rStyle w:val="Hyperlink"/>
            <w:bCs/>
          </w:rPr>
          <w:t>.5.3.5</w:t>
        </w:r>
      </w:hyperlink>
      <w:r w:rsidRPr="000665B0">
        <w:rPr>
          <w:bCs/>
        </w:rPr>
        <w:t>.</w:t>
      </w:r>
    </w:p>
    <w:p w14:paraId="783620A2" w14:textId="72D5B0F9" w:rsidR="002377CD" w:rsidRPr="000665B0" w:rsidRDefault="002377CD" w:rsidP="006D5A65">
      <w:pPr>
        <w:pStyle w:val="Heading1"/>
      </w:pPr>
      <w:r w:rsidRPr="000665B0">
        <w:rPr>
          <w:rFonts w:eastAsia="Arial Unicode MS"/>
        </w:rPr>
        <w:lastRenderedPageBreak/>
        <w:t xml:space="preserve">Context Menu (at the </w:t>
      </w:r>
      <w:r w:rsidRPr="000665B0">
        <w:t xml:space="preserve">branch level of all of the resultant mission(s) for the selected Attack Plan). The following selections are available using the context menu and function </w:t>
      </w:r>
      <w:r w:rsidRPr="000665B0">
        <w:lastRenderedPageBreak/>
        <w:t>in the same manner as if invoking them directly in the Missions tool:</w:t>
      </w:r>
    </w:p>
    <w:p w14:paraId="4F8EE0FC" w14:textId="77777777" w:rsidR="002377CD" w:rsidRPr="000665B0" w:rsidRDefault="002377CD" w:rsidP="006D5A65">
      <w:pPr>
        <w:pStyle w:val="Heading1"/>
      </w:pPr>
      <w:r w:rsidRPr="000665B0">
        <w:t>Display</w:t>
      </w:r>
    </w:p>
    <w:p w14:paraId="375A0BC6" w14:textId="0B98DC77" w:rsidR="002377CD" w:rsidRPr="00BB4EBE" w:rsidRDefault="002377CD" w:rsidP="006D5A65">
      <w:pPr>
        <w:pStyle w:val="Heading3"/>
      </w:pPr>
      <w:r w:rsidRPr="000665B0">
        <w:rPr>
          <w:bCs/>
        </w:rPr>
        <w:t xml:space="preserve">Textually – See </w:t>
      </w:r>
      <w:hyperlink w:anchor="_Display_Mission_Textually" w:history="1">
        <w:r w:rsidRPr="000665B0">
          <w:rPr>
            <w:rStyle w:val="Hyperlink"/>
            <w:bCs/>
          </w:rPr>
          <w:t>Section 5.</w:t>
        </w:r>
        <w:r w:rsidR="00C526BF" w:rsidRPr="000665B0">
          <w:rPr>
            <w:rStyle w:val="Hyperlink"/>
            <w:bCs/>
          </w:rPr>
          <w:t>5</w:t>
        </w:r>
        <w:r w:rsidRPr="000665B0">
          <w:rPr>
            <w:rStyle w:val="Hyperlink"/>
            <w:bCs/>
          </w:rPr>
          <w:t>.1</w:t>
        </w:r>
      </w:hyperlink>
      <w:r w:rsidRPr="000665B0">
        <w:rPr>
          <w:bCs/>
        </w:rPr>
        <w:t xml:space="preserve">. </w:t>
      </w:r>
    </w:p>
    <w:p w14:paraId="589662BF" w14:textId="19C16442" w:rsidR="00CC01E2" w:rsidRPr="00BB4EBE" w:rsidRDefault="00CC01E2" w:rsidP="006D5A65">
      <w:pPr>
        <w:pStyle w:val="Heading3"/>
      </w:pPr>
      <w:r>
        <w:t xml:space="preserve">CALA Geographically </w:t>
      </w:r>
      <w:r w:rsidRPr="009D638D">
        <w:rPr>
          <w:bCs/>
        </w:rPr>
        <w:t xml:space="preserve">– See </w:t>
      </w:r>
      <w:hyperlink w:anchor="_5.6.2__Display" w:history="1">
        <w:r w:rsidRPr="009D638D">
          <w:rPr>
            <w:rStyle w:val="Hyperlink"/>
            <w:rFonts w:eastAsia="Arial Unicode MS"/>
            <w:bCs/>
          </w:rPr>
          <w:t>Section 5.5.2</w:t>
        </w:r>
      </w:hyperlink>
      <w:r w:rsidRPr="009D638D">
        <w:rPr>
          <w:bCs/>
        </w:rPr>
        <w:t>.</w:t>
      </w:r>
    </w:p>
    <w:p w14:paraId="0F8C82DE" w14:textId="68085E25" w:rsidR="00CC01E2" w:rsidRPr="009D638D" w:rsidRDefault="002377CD" w:rsidP="006D5A65">
      <w:pPr>
        <w:pStyle w:val="Heading3"/>
      </w:pPr>
      <w:r w:rsidRPr="000665B0">
        <w:rPr>
          <w:bCs/>
        </w:rPr>
        <w:t xml:space="preserve">Geographically – </w:t>
      </w:r>
      <w:r w:rsidRPr="000665B0">
        <w:t xml:space="preserve">See </w:t>
      </w:r>
      <w:hyperlink w:anchor="_5.6.3__Display" w:history="1">
        <w:r w:rsidRPr="000665B0">
          <w:rPr>
            <w:rStyle w:val="Hyperlink"/>
            <w:bCs/>
          </w:rPr>
          <w:t>Section 5.</w:t>
        </w:r>
        <w:r w:rsidR="00C526BF" w:rsidRPr="000665B0">
          <w:rPr>
            <w:rStyle w:val="Hyperlink"/>
            <w:bCs/>
          </w:rPr>
          <w:t>5</w:t>
        </w:r>
        <w:r w:rsidRPr="000665B0">
          <w:rPr>
            <w:rStyle w:val="Hyperlink"/>
            <w:bCs/>
          </w:rPr>
          <w:t>.3</w:t>
        </w:r>
      </w:hyperlink>
      <w:r w:rsidRPr="000665B0">
        <w:rPr>
          <w:bCs/>
        </w:rPr>
        <w:t>.</w:t>
      </w:r>
    </w:p>
    <w:p w14:paraId="1C852CA8" w14:textId="2E9FF28C" w:rsidR="00CC01E2" w:rsidRPr="009D638D" w:rsidRDefault="00CC01E2" w:rsidP="006D5A65">
      <w:pPr>
        <w:pStyle w:val="Heading3"/>
        <w:rPr>
          <w:rFonts w:eastAsia="Arial Unicode MS"/>
          <w:bCs/>
        </w:rPr>
      </w:pPr>
      <w:r>
        <w:rPr>
          <w:rFonts w:eastAsia="Arial Unicode MS"/>
        </w:rPr>
        <w:t xml:space="preserve">References </w:t>
      </w:r>
      <w:r w:rsidRPr="009D638D">
        <w:rPr>
          <w:rFonts w:eastAsia="Arial Unicode MS"/>
          <w:bCs/>
        </w:rPr>
        <w:t xml:space="preserve">– See </w:t>
      </w:r>
      <w:hyperlink w:anchor="_Display_References" w:history="1">
        <w:r w:rsidRPr="009D638D">
          <w:rPr>
            <w:rStyle w:val="Hyperlink"/>
            <w:rFonts w:eastAsia="Arial Unicode MS"/>
            <w:bCs/>
          </w:rPr>
          <w:t>Section 5.2.1.2.3</w:t>
        </w:r>
      </w:hyperlink>
      <w:r w:rsidRPr="009D638D">
        <w:rPr>
          <w:rFonts w:eastAsia="Arial Unicode MS"/>
          <w:bCs/>
        </w:rPr>
        <w:t>.</w:t>
      </w:r>
    </w:p>
    <w:p w14:paraId="148277CF" w14:textId="371DD942" w:rsidR="002377CD" w:rsidRPr="00BB4EBE" w:rsidRDefault="00CC01E2" w:rsidP="006D5A65">
      <w:pPr>
        <w:pStyle w:val="Heading3"/>
        <w:rPr>
          <w:bCs/>
        </w:rPr>
      </w:pPr>
      <w:r>
        <w:t xml:space="preserve">Vertical Flight Profile </w:t>
      </w:r>
      <w:r w:rsidRPr="009D638D">
        <w:rPr>
          <w:bCs/>
        </w:rPr>
        <w:t xml:space="preserve">– See </w:t>
      </w:r>
      <w:hyperlink w:anchor="_Display_Vertical_Flight" w:history="1">
        <w:r w:rsidRPr="009D638D">
          <w:rPr>
            <w:rStyle w:val="Hyperlink"/>
            <w:rFonts w:eastAsia="Arial Unicode MS"/>
            <w:bCs/>
          </w:rPr>
          <w:t>Section 5.5.18</w:t>
        </w:r>
      </w:hyperlink>
      <w:r w:rsidRPr="009D638D">
        <w:rPr>
          <w:bCs/>
        </w:rPr>
        <w:t>.</w:t>
      </w:r>
    </w:p>
    <w:p w14:paraId="440C4671" w14:textId="072D041B" w:rsidR="00CC01E2" w:rsidRPr="00BB4EBE" w:rsidRDefault="002377CD" w:rsidP="006D5A65">
      <w:pPr>
        <w:pStyle w:val="Heading3"/>
        <w:rPr>
          <w:rFonts w:eastAsia="Arial Unicode MS"/>
          <w:bCs/>
        </w:rPr>
      </w:pPr>
      <w:r w:rsidRPr="000665B0">
        <w:rPr>
          <w:bCs/>
        </w:rPr>
        <w:t xml:space="preserve">In Excel – See </w:t>
      </w:r>
      <w:hyperlink w:anchor="_5.2.1.2.1__Display_1" w:history="1">
        <w:r w:rsidR="005B3E50">
          <w:rPr>
            <w:rStyle w:val="Hyperlink"/>
          </w:rPr>
          <w:t>Section 5</w:t>
        </w:r>
        <w:r w:rsidR="008874E7" w:rsidRPr="008874E7">
          <w:rPr>
            <w:rStyle w:val="Hyperlink"/>
          </w:rPr>
          <w:t>.2.1.2.1</w:t>
        </w:r>
      </w:hyperlink>
      <w:r w:rsidRPr="000665B0">
        <w:t>.</w:t>
      </w:r>
      <w:r w:rsidR="00CC01E2" w:rsidRPr="00CC01E2">
        <w:rPr>
          <w:rFonts w:eastAsia="Arial Unicode MS"/>
          <w:bCs/>
        </w:rPr>
        <w:t xml:space="preserve"> </w:t>
      </w:r>
    </w:p>
    <w:p w14:paraId="2440885F" w14:textId="77777777" w:rsidR="002377CD" w:rsidRPr="000665B0" w:rsidRDefault="002377CD" w:rsidP="006D5A65">
      <w:pPr>
        <w:pStyle w:val="Heading1"/>
      </w:pPr>
      <w:r w:rsidRPr="000665B0">
        <w:t>Reports</w:t>
      </w:r>
    </w:p>
    <w:p w14:paraId="5ABC6BB1" w14:textId="44FBDE67" w:rsidR="002377CD" w:rsidRPr="000665B0" w:rsidRDefault="002377CD" w:rsidP="006D5A65">
      <w:pPr>
        <w:pStyle w:val="Heading3"/>
      </w:pPr>
      <w:r w:rsidRPr="000665B0">
        <w:rPr>
          <w:bCs/>
        </w:rPr>
        <w:t xml:space="preserve">Excel – See </w:t>
      </w:r>
      <w:hyperlink w:anchor="_5.6.8.1__Excel" w:history="1">
        <w:r w:rsidRPr="000665B0">
          <w:rPr>
            <w:rStyle w:val="Hyperlink"/>
            <w:bCs/>
          </w:rPr>
          <w:t>Section 5.</w:t>
        </w:r>
        <w:r w:rsidR="00C526BF" w:rsidRPr="000665B0">
          <w:rPr>
            <w:rStyle w:val="Hyperlink"/>
            <w:bCs/>
          </w:rPr>
          <w:t>5</w:t>
        </w:r>
        <w:r w:rsidRPr="000665B0">
          <w:rPr>
            <w:rStyle w:val="Hyperlink"/>
            <w:bCs/>
          </w:rPr>
          <w:t>.7.1</w:t>
        </w:r>
      </w:hyperlink>
      <w:r w:rsidRPr="000665B0">
        <w:rPr>
          <w:bCs/>
        </w:rPr>
        <w:t xml:space="preserve">. </w:t>
      </w:r>
    </w:p>
    <w:p w14:paraId="097C5493" w14:textId="6395E2C5" w:rsidR="002377CD" w:rsidRPr="000665B0" w:rsidRDefault="002377CD" w:rsidP="006D5A65">
      <w:pPr>
        <w:pStyle w:val="Heading3"/>
      </w:pPr>
      <w:r w:rsidRPr="000665B0">
        <w:rPr>
          <w:bCs/>
        </w:rPr>
        <w:t xml:space="preserve">Custom – See </w:t>
      </w:r>
      <w:hyperlink w:anchor="_Custom_Reports" w:history="1">
        <w:r w:rsidRPr="000665B0">
          <w:rPr>
            <w:rStyle w:val="Hyperlink"/>
            <w:bCs/>
          </w:rPr>
          <w:t>Section 5.</w:t>
        </w:r>
        <w:r w:rsidR="00C526BF" w:rsidRPr="000665B0">
          <w:rPr>
            <w:rStyle w:val="Hyperlink"/>
            <w:bCs/>
          </w:rPr>
          <w:t>5</w:t>
        </w:r>
        <w:r w:rsidRPr="000665B0">
          <w:rPr>
            <w:rStyle w:val="Hyperlink"/>
            <w:bCs/>
          </w:rPr>
          <w:t>.7.6</w:t>
        </w:r>
      </w:hyperlink>
      <w:r w:rsidRPr="000665B0">
        <w:rPr>
          <w:bCs/>
        </w:rPr>
        <w:t xml:space="preserve">. </w:t>
      </w:r>
    </w:p>
    <w:p w14:paraId="01C534C4" w14:textId="3E172EEE" w:rsidR="002377CD" w:rsidRPr="000665B0" w:rsidRDefault="002377CD" w:rsidP="006D5A65">
      <w:pPr>
        <w:pStyle w:val="Heading1"/>
      </w:pPr>
      <w:r w:rsidRPr="000665B0">
        <w:rPr>
          <w:bCs/>
        </w:rPr>
        <w:t xml:space="preserve">Internal Hold – See </w:t>
      </w:r>
      <w:hyperlink w:anchor="_5.6.20__Internal" w:history="1">
        <w:r w:rsidRPr="000665B0">
          <w:rPr>
            <w:rStyle w:val="Hyperlink"/>
            <w:bCs/>
          </w:rPr>
          <w:t>Section 5.</w:t>
        </w:r>
        <w:r w:rsidR="00C526BF" w:rsidRPr="000665B0">
          <w:rPr>
            <w:rStyle w:val="Hyperlink"/>
            <w:bCs/>
          </w:rPr>
          <w:t>5</w:t>
        </w:r>
        <w:r w:rsidR="00B260C9">
          <w:rPr>
            <w:rStyle w:val="Hyperlink"/>
            <w:bCs/>
          </w:rPr>
          <w:t>.19</w:t>
        </w:r>
      </w:hyperlink>
      <w:r w:rsidRPr="000665B0">
        <w:rPr>
          <w:bCs/>
        </w:rPr>
        <w:t>.</w:t>
      </w:r>
    </w:p>
    <w:p w14:paraId="5810B161" w14:textId="5F7C2201" w:rsidR="002377CD" w:rsidRPr="000665B0" w:rsidRDefault="002377CD" w:rsidP="006D5A65">
      <w:pPr>
        <w:pStyle w:val="Heading1"/>
      </w:pPr>
      <w:r w:rsidRPr="000665B0">
        <w:t xml:space="preserve">Edit Classification – See </w:t>
      </w:r>
      <w:hyperlink w:anchor="_5.6.11__Edit" w:history="1">
        <w:r w:rsidRPr="000665B0">
          <w:rPr>
            <w:rStyle w:val="Hyperlink"/>
            <w:bCs/>
          </w:rPr>
          <w:t>Section 5.</w:t>
        </w:r>
        <w:r w:rsidR="00C526BF" w:rsidRPr="000665B0">
          <w:rPr>
            <w:rStyle w:val="Hyperlink"/>
            <w:bCs/>
          </w:rPr>
          <w:t>5</w:t>
        </w:r>
        <w:r w:rsidRPr="000665B0">
          <w:rPr>
            <w:rStyle w:val="Hyperlink"/>
            <w:bCs/>
          </w:rPr>
          <w:t>.</w:t>
        </w:r>
        <w:r w:rsidR="00B260C9">
          <w:rPr>
            <w:rStyle w:val="Hyperlink"/>
            <w:bCs/>
          </w:rPr>
          <w:t>10</w:t>
        </w:r>
      </w:hyperlink>
      <w:r w:rsidRPr="000665B0">
        <w:t>.</w:t>
      </w:r>
    </w:p>
    <w:p w14:paraId="5465ACB4" w14:textId="22717381" w:rsidR="002377CD" w:rsidRPr="000665B0" w:rsidRDefault="002377CD" w:rsidP="006D5A65">
      <w:pPr>
        <w:pStyle w:val="Heading1"/>
      </w:pPr>
      <w:r w:rsidRPr="000665B0">
        <w:t>Create TMPR – Creates a new TMPR or Modify/ReAnal</w:t>
      </w:r>
      <w:r w:rsidR="00055D7D" w:rsidRPr="000665B0">
        <w:t xml:space="preserve">yze TMPR based on the aimpoint </w:t>
      </w:r>
      <w:r w:rsidRPr="000665B0">
        <w:t>information in the mission.</w:t>
      </w:r>
    </w:p>
    <w:p w14:paraId="0DC0A4D5" w14:textId="5A35B95A" w:rsidR="002377CD" w:rsidRPr="000665B0" w:rsidRDefault="002377CD" w:rsidP="006D5A65">
      <w:pPr>
        <w:pStyle w:val="Heading1"/>
      </w:pPr>
      <w:r w:rsidRPr="000665B0">
        <w:t xml:space="preserve">Create Mission Library – See </w:t>
      </w:r>
      <w:hyperlink w:anchor="_5.6.13__Create" w:history="1">
        <w:r w:rsidRPr="000665B0">
          <w:rPr>
            <w:rStyle w:val="Hyperlink"/>
            <w:bCs/>
          </w:rPr>
          <w:t>Section 5.</w:t>
        </w:r>
        <w:r w:rsidR="00C526BF" w:rsidRPr="000665B0">
          <w:rPr>
            <w:rStyle w:val="Hyperlink"/>
            <w:bCs/>
          </w:rPr>
          <w:t>5</w:t>
        </w:r>
        <w:r w:rsidRPr="000665B0">
          <w:rPr>
            <w:rStyle w:val="Hyperlink"/>
            <w:bCs/>
          </w:rPr>
          <w:t>.</w:t>
        </w:r>
        <w:r w:rsidR="00B260C9">
          <w:rPr>
            <w:rStyle w:val="Hyperlink"/>
            <w:bCs/>
          </w:rPr>
          <w:t>12</w:t>
        </w:r>
      </w:hyperlink>
      <w:r w:rsidRPr="000665B0">
        <w:t>.</w:t>
      </w:r>
    </w:p>
    <w:p w14:paraId="18F0FFD5" w14:textId="635BFFDE" w:rsidR="002377CD" w:rsidRPr="000665B0" w:rsidRDefault="002377CD" w:rsidP="006D5A65">
      <w:pPr>
        <w:pStyle w:val="Heading1"/>
      </w:pPr>
      <w:r w:rsidRPr="000665B0">
        <w:t xml:space="preserve">Create TED Library – See </w:t>
      </w:r>
      <w:hyperlink w:anchor="_5.13.1.1__New" w:history="1">
        <w:r w:rsidRPr="000665B0">
          <w:rPr>
            <w:rStyle w:val="Hyperlink"/>
            <w:bCs/>
          </w:rPr>
          <w:t>Section 5.</w:t>
        </w:r>
        <w:r w:rsidR="00C77A5E" w:rsidRPr="000665B0">
          <w:rPr>
            <w:rStyle w:val="Hyperlink"/>
            <w:bCs/>
          </w:rPr>
          <w:t>12</w:t>
        </w:r>
        <w:r w:rsidRPr="000665B0">
          <w:rPr>
            <w:rStyle w:val="Hyperlink"/>
            <w:bCs/>
          </w:rPr>
          <w:t>.1.1</w:t>
        </w:r>
      </w:hyperlink>
      <w:r w:rsidRPr="000665B0">
        <w:t>.</w:t>
      </w:r>
    </w:p>
    <w:p w14:paraId="4AC4087A" w14:textId="062583CE" w:rsidR="002377CD" w:rsidRPr="000665B0" w:rsidRDefault="002377CD" w:rsidP="006D5A65">
      <w:pPr>
        <w:pStyle w:val="Heading1"/>
      </w:pPr>
      <w:r w:rsidRPr="000665B0">
        <w:t xml:space="preserve">Save As </w:t>
      </w:r>
      <w:r w:rsidRPr="000665B0">
        <w:sym w:font="Wingdings 3" w:char="F07D"/>
      </w:r>
      <w:r w:rsidRPr="000665B0">
        <w:t xml:space="preserve"> Route – See </w:t>
      </w:r>
      <w:hyperlink w:anchor="_5.6.15__Save" w:history="1">
        <w:r w:rsidRPr="000665B0">
          <w:rPr>
            <w:rStyle w:val="Hyperlink"/>
            <w:bCs/>
          </w:rPr>
          <w:t>Section 5.</w:t>
        </w:r>
        <w:r w:rsidR="00C526BF" w:rsidRPr="000665B0">
          <w:rPr>
            <w:rStyle w:val="Hyperlink"/>
            <w:bCs/>
          </w:rPr>
          <w:t>5</w:t>
        </w:r>
        <w:r w:rsidRPr="000665B0">
          <w:rPr>
            <w:rStyle w:val="Hyperlink"/>
            <w:bCs/>
          </w:rPr>
          <w:t>.14</w:t>
        </w:r>
      </w:hyperlink>
      <w:r w:rsidRPr="000665B0">
        <w:t>.</w:t>
      </w:r>
    </w:p>
    <w:p w14:paraId="2CE04179" w14:textId="34DD6710" w:rsidR="002377CD" w:rsidRPr="000665B0" w:rsidRDefault="002377CD" w:rsidP="006D5A65">
      <w:pPr>
        <w:pStyle w:val="Heading1"/>
      </w:pPr>
      <w:r w:rsidRPr="000665B0">
        <w:rPr>
          <w:bCs/>
        </w:rPr>
        <w:t xml:space="preserve">Re-IQVC – See </w:t>
      </w:r>
      <w:hyperlink w:anchor="_5.6.9__Re-IQVC" w:history="1">
        <w:r w:rsidRPr="000665B0">
          <w:rPr>
            <w:rStyle w:val="Hyperlink"/>
            <w:bCs/>
          </w:rPr>
          <w:t>Section 5.</w:t>
        </w:r>
        <w:r w:rsidR="00C526BF" w:rsidRPr="000665B0">
          <w:rPr>
            <w:rStyle w:val="Hyperlink"/>
            <w:bCs/>
          </w:rPr>
          <w:t>5</w:t>
        </w:r>
        <w:r w:rsidR="00B260C9">
          <w:rPr>
            <w:rStyle w:val="Hyperlink"/>
            <w:bCs/>
          </w:rPr>
          <w:t>.8</w:t>
        </w:r>
      </w:hyperlink>
      <w:r w:rsidRPr="000665B0">
        <w:rPr>
          <w:bCs/>
        </w:rPr>
        <w:t>.</w:t>
      </w:r>
    </w:p>
    <w:p w14:paraId="713EF8FC" w14:textId="7FD13E08" w:rsidR="002377CD" w:rsidRPr="000665B0" w:rsidRDefault="002377CD" w:rsidP="006D5A65">
      <w:pPr>
        <w:pStyle w:val="Heading1"/>
      </w:pPr>
      <w:r w:rsidRPr="000665B0">
        <w:rPr>
          <w:bCs/>
        </w:rPr>
        <w:t xml:space="preserve">Send – See </w:t>
      </w:r>
      <w:hyperlink w:anchor="_5.6.16__Send" w:history="1">
        <w:r w:rsidRPr="000665B0">
          <w:rPr>
            <w:rStyle w:val="Hyperlink"/>
            <w:bCs/>
          </w:rPr>
          <w:t>Section 5.</w:t>
        </w:r>
        <w:r w:rsidR="00C526BF" w:rsidRPr="000665B0">
          <w:rPr>
            <w:rStyle w:val="Hyperlink"/>
            <w:bCs/>
          </w:rPr>
          <w:t>5</w:t>
        </w:r>
        <w:r w:rsidRPr="000665B0">
          <w:rPr>
            <w:rStyle w:val="Hyperlink"/>
            <w:bCs/>
          </w:rPr>
          <w:t>.15</w:t>
        </w:r>
      </w:hyperlink>
      <w:r w:rsidRPr="000665B0">
        <w:rPr>
          <w:bCs/>
        </w:rPr>
        <w:t>.</w:t>
      </w:r>
    </w:p>
    <w:p w14:paraId="71553D8B" w14:textId="35FB952E" w:rsidR="002377CD" w:rsidRPr="000665B0" w:rsidRDefault="002377CD" w:rsidP="006D5A65">
      <w:pPr>
        <w:pStyle w:val="Heading1"/>
      </w:pPr>
      <w:r w:rsidRPr="000665B0">
        <w:t>Print… – Prints the selected Attack Plan TMPRs in a list.</w:t>
      </w:r>
    </w:p>
    <w:p w14:paraId="2DB97265" w14:textId="2D888F1C" w:rsidR="009570CA" w:rsidRPr="00BB4EBE" w:rsidRDefault="009570CA" w:rsidP="001E6E38">
      <w:pPr>
        <w:pStyle w:val="bullet11"/>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before="0" w:beforeAutospacing="0" w:after="0" w:afterAutospacing="0"/>
        <w:jc w:val="center"/>
        <w:rPr>
          <w:b/>
          <w:bCs/>
        </w:rPr>
      </w:pPr>
      <w:bookmarkStart w:id="6269" w:name="_Hlk168486422"/>
      <w:r w:rsidRPr="00BB4EBE">
        <w:rPr>
          <w:b/>
          <w:bCs/>
        </w:rPr>
        <w:t>Note:</w:t>
      </w:r>
    </w:p>
    <w:p w14:paraId="7CCBE497" w14:textId="08CE5F31" w:rsidR="009570CA" w:rsidRPr="00BB4EBE" w:rsidRDefault="009570CA" w:rsidP="001E6E38">
      <w:pPr>
        <w:pStyle w:val="bullet11"/>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before="0" w:beforeAutospacing="0" w:after="0" w:afterAutospacing="0"/>
        <w:jc w:val="center"/>
        <w:rPr>
          <w:b/>
          <w:bCs/>
        </w:rPr>
      </w:pPr>
      <w:r w:rsidRPr="00BB4EBE">
        <w:rPr>
          <w:b/>
          <w:bCs/>
        </w:rPr>
        <w:t>The following capabilities are disabled for 109M missions in TMPC 7.0.3:</w:t>
      </w:r>
    </w:p>
    <w:p w14:paraId="4AE7BBF7" w14:textId="113FEC6D" w:rsidR="009570CA" w:rsidRPr="00BB4EBE" w:rsidRDefault="009570CA" w:rsidP="006D5A65">
      <w:pPr>
        <w:pStyle w:val="Heading1"/>
      </w:pPr>
      <w:r w:rsidRPr="00BB4EBE">
        <w:t xml:space="preserve">Display </w:t>
      </w:r>
      <w:r w:rsidRPr="00BB4EBE">
        <w:sym w:font="Wingdings 3" w:char="F07D"/>
      </w:r>
      <w:r w:rsidRPr="00BB4EBE">
        <w:t xml:space="preserve"> Vertical Flight Profile</w:t>
      </w:r>
    </w:p>
    <w:p w14:paraId="461B77D3" w14:textId="5DB73674" w:rsidR="009570CA" w:rsidRPr="00BB4EBE" w:rsidRDefault="009570CA" w:rsidP="006D5A65">
      <w:pPr>
        <w:pStyle w:val="Heading1"/>
      </w:pPr>
      <w:r w:rsidRPr="00BB4EBE">
        <w:t>Internal Hold</w:t>
      </w:r>
    </w:p>
    <w:p w14:paraId="66B2EE8B" w14:textId="0ADD964D" w:rsidR="009570CA" w:rsidRPr="00BB4EBE" w:rsidRDefault="009570CA" w:rsidP="006D5A65">
      <w:pPr>
        <w:pStyle w:val="Heading1"/>
      </w:pPr>
      <w:r w:rsidRPr="00BB4EBE">
        <w:t>Edit Classification</w:t>
      </w:r>
    </w:p>
    <w:p w14:paraId="10FBF4A5" w14:textId="6EB8AA80" w:rsidR="009570CA" w:rsidRPr="00BB4EBE" w:rsidRDefault="009570CA" w:rsidP="006D5A65">
      <w:pPr>
        <w:pStyle w:val="Heading1"/>
      </w:pPr>
      <w:r w:rsidRPr="00BB4EBE">
        <w:t>Create TMPR</w:t>
      </w:r>
    </w:p>
    <w:p w14:paraId="577C7784" w14:textId="3A8B3CB5" w:rsidR="009570CA" w:rsidRPr="00BB4EBE" w:rsidRDefault="009570CA" w:rsidP="006D5A65">
      <w:pPr>
        <w:pStyle w:val="Heading1"/>
      </w:pPr>
      <w:r w:rsidRPr="00BB4EBE">
        <w:t>Delete TEFs</w:t>
      </w:r>
    </w:p>
    <w:p w14:paraId="6E206B2E" w14:textId="1927A136" w:rsidR="009570CA" w:rsidRPr="00BB4EBE" w:rsidRDefault="009570CA" w:rsidP="006D5A65">
      <w:pPr>
        <w:pStyle w:val="Heading1"/>
      </w:pPr>
      <w:r w:rsidRPr="00BB4EBE">
        <w:t xml:space="preserve">Save As </w:t>
      </w:r>
      <w:r w:rsidRPr="00BB4EBE">
        <w:sym w:font="Wingdings 3" w:char="F07D"/>
      </w:r>
      <w:r w:rsidRPr="00BB4EBE">
        <w:t xml:space="preserve"> Route</w:t>
      </w:r>
    </w:p>
    <w:p w14:paraId="65A6B35F" w14:textId="71D9C3C9" w:rsidR="00AF2EC0" w:rsidRPr="000665B0" w:rsidRDefault="00A67788" w:rsidP="00681095">
      <w:pPr>
        <w:pStyle w:val="Heading5"/>
        <w:tabs>
          <w:tab w:val="left" w:pos="720"/>
        </w:tabs>
      </w:pPr>
      <w:bookmarkStart w:id="6270" w:name="_Hidden_Candidates_Tab_1"/>
      <w:bookmarkEnd w:id="6269"/>
      <w:bookmarkEnd w:id="6270"/>
      <w:r w:rsidRPr="000665B0">
        <w:t xml:space="preserve">Hidden Candidates </w:t>
      </w:r>
      <w:r w:rsidR="0002554A" w:rsidRPr="000665B0">
        <w:t>Tab</w:t>
      </w:r>
    </w:p>
    <w:p w14:paraId="473C2764" w14:textId="5F8037EE" w:rsidR="00A67788" w:rsidRPr="000665B0" w:rsidRDefault="00AF2EC0" w:rsidP="00474A1F">
      <w:pPr>
        <w:tabs>
          <w:tab w:val="left" w:pos="720"/>
        </w:tabs>
      </w:pPr>
      <w:r w:rsidRPr="000665B0">
        <w:t xml:space="preserve">Select the </w:t>
      </w:r>
      <w:r w:rsidRPr="000665B0">
        <w:rPr>
          <w:b/>
          <w:i/>
        </w:rPr>
        <w:t>Hidden Candidates</w:t>
      </w:r>
      <w:r w:rsidRPr="000665B0">
        <w:t xml:space="preserve"> tab </w:t>
      </w:r>
      <w:r w:rsidR="007F307C" w:rsidRPr="000665B0">
        <w:t xml:space="preserve">in the </w:t>
      </w:r>
      <w:r w:rsidR="007F307C" w:rsidRPr="000665B0">
        <w:rPr>
          <w:b/>
        </w:rPr>
        <w:t>Candidates</w:t>
      </w:r>
      <w:r w:rsidR="007F307C" w:rsidRPr="000665B0">
        <w:t xml:space="preserve"> pane </w:t>
      </w:r>
      <w:r w:rsidRPr="000665B0">
        <w:t xml:space="preserve">to display the list view of Hidden Candidates for the selected Tasking(s) in the </w:t>
      </w:r>
      <w:r w:rsidRPr="000665B0">
        <w:rPr>
          <w:b/>
        </w:rPr>
        <w:t>Taskings</w:t>
      </w:r>
      <w:r w:rsidRPr="000665B0">
        <w:t xml:space="preserve"> pane above.</w:t>
      </w:r>
      <w:r w:rsidR="00A67788" w:rsidRPr="000665B0">
        <w:t xml:space="preserve"> Any </w:t>
      </w:r>
      <w:r w:rsidR="00C27382" w:rsidRPr="000665B0">
        <w:t>c</w:t>
      </w:r>
      <w:r w:rsidRPr="000665B0">
        <w:t xml:space="preserve">andidates </w:t>
      </w:r>
      <w:r w:rsidR="00A67788" w:rsidRPr="000665B0">
        <w:t xml:space="preserve">that were previously hidden will </w:t>
      </w:r>
      <w:r w:rsidRPr="000665B0">
        <w:t xml:space="preserve">be </w:t>
      </w:r>
      <w:r w:rsidR="00A67788" w:rsidRPr="000665B0">
        <w:t xml:space="preserve">added to this list. This list view provides the capability to unhide </w:t>
      </w:r>
      <w:r w:rsidR="00C27382" w:rsidRPr="000665B0">
        <w:lastRenderedPageBreak/>
        <w:t>candidates</w:t>
      </w:r>
      <w:r w:rsidR="00A67788" w:rsidRPr="000665B0">
        <w:t>.</w:t>
      </w:r>
      <w:r w:rsidR="00CC03F5" w:rsidRPr="000665B0">
        <w:t xml:space="preserve"> An </w:t>
      </w:r>
      <w:r w:rsidR="00CC03F5" w:rsidRPr="000665B0">
        <w:rPr>
          <w:b/>
        </w:rPr>
        <w:t>X</w:t>
      </w:r>
      <w:r w:rsidR="00CC03F5" w:rsidRPr="000665B0">
        <w:t xml:space="preserve"> in the </w:t>
      </w:r>
      <w:r w:rsidR="00CC03F5" w:rsidRPr="000665B0">
        <w:rPr>
          <w:b/>
        </w:rPr>
        <w:t>Attack Plan</w:t>
      </w:r>
      <w:r w:rsidR="00CC03F5" w:rsidRPr="000665B0">
        <w:t xml:space="preserve"> column indicates that the hidden candidate is from an Attack Plan TMPR. Only the TMPR is </w:t>
      </w:r>
      <w:r w:rsidR="00C54DF2" w:rsidRPr="000665B0">
        <w:t>shown,</w:t>
      </w:r>
      <w:r w:rsidR="00CC03F5" w:rsidRPr="000665B0">
        <w:t xml:space="preserve"> not its associated missions.</w:t>
      </w:r>
    </w:p>
    <w:p w14:paraId="69C00609" w14:textId="6DC3F110" w:rsidR="00A67788" w:rsidRPr="000665B0" w:rsidRDefault="004C2225" w:rsidP="00474A1F">
      <w:pPr>
        <w:pStyle w:val="bullet11"/>
        <w:tabs>
          <w:tab w:val="left" w:pos="720"/>
        </w:tabs>
        <w:spacing w:before="0" w:beforeAutospacing="0" w:after="120" w:afterAutospacing="0"/>
        <w:jc w:val="center"/>
      </w:pPr>
      <w:r w:rsidRPr="000665B0">
        <w:rPr>
          <w:noProof/>
        </w:rPr>
        <w:drawing>
          <wp:inline distT="0" distB="0" distL="0" distR="0" wp14:anchorId="004B6354" wp14:editId="4CFEE8AE">
            <wp:extent cx="5486400" cy="667512"/>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486400" cy="667512"/>
                    </a:xfrm>
                    <a:prstGeom prst="rect">
                      <a:avLst/>
                    </a:prstGeom>
                  </pic:spPr>
                </pic:pic>
              </a:graphicData>
            </a:graphic>
          </wp:inline>
        </w:drawing>
      </w:r>
    </w:p>
    <w:p w14:paraId="06B477E4" w14:textId="77777777" w:rsidR="00AF2EC0" w:rsidRPr="000665B0" w:rsidRDefault="00AF2EC0" w:rsidP="00474A1F">
      <w:pPr>
        <w:pStyle w:val="BodyText"/>
        <w:tabs>
          <w:tab w:val="left" w:pos="720"/>
        </w:tabs>
        <w:spacing w:after="120"/>
      </w:pPr>
      <w:r w:rsidRPr="000665B0">
        <w:t xml:space="preserve">To hide </w:t>
      </w:r>
      <w:r w:rsidR="00C27382" w:rsidRPr="000665B0">
        <w:t>c</w:t>
      </w:r>
      <w:r w:rsidRPr="000665B0">
        <w:t>andidates:</w:t>
      </w:r>
    </w:p>
    <w:p w14:paraId="54681987" w14:textId="77777777" w:rsidR="00AF2EC0" w:rsidRPr="000665B0" w:rsidRDefault="00AF2EC0" w:rsidP="006D5A65">
      <w:pPr>
        <w:pStyle w:val="Heading1"/>
      </w:pPr>
      <w:r w:rsidRPr="000665B0">
        <w:t xml:space="preserve">Select </w:t>
      </w:r>
      <w:r w:rsidR="00C27382" w:rsidRPr="000665B0">
        <w:t>c</w:t>
      </w:r>
      <w:r w:rsidRPr="000665B0">
        <w:t>andidate(s) from their respective list views.</w:t>
      </w:r>
    </w:p>
    <w:p w14:paraId="38A8369F" w14:textId="55F7C297" w:rsidR="00AF2EC0" w:rsidRPr="000665B0" w:rsidRDefault="00AF2EC0" w:rsidP="006D5A65">
      <w:pPr>
        <w:pStyle w:val="Heading1"/>
      </w:pPr>
      <w:r w:rsidRPr="000665B0">
        <w:t>Invoke the context menu (</w:t>
      </w:r>
      <w:r w:rsidR="00D71804" w:rsidRPr="000665B0">
        <w:t>right-click</w:t>
      </w:r>
      <w:r w:rsidRPr="000665B0">
        <w:t xml:space="preserve"> the mouse) and select Hide. The </w:t>
      </w:r>
      <w:r w:rsidR="00C27382" w:rsidRPr="000665B0">
        <w:t>c</w:t>
      </w:r>
      <w:r w:rsidRPr="000665B0">
        <w:t xml:space="preserve">andidate(s) is removed from the Candidates list view and added to the </w:t>
      </w:r>
      <w:r w:rsidRPr="000665B0">
        <w:rPr>
          <w:i/>
        </w:rPr>
        <w:t>Hidden Candidates</w:t>
      </w:r>
      <w:r w:rsidRPr="000665B0">
        <w:t xml:space="preserve"> tab list view.</w:t>
      </w:r>
    </w:p>
    <w:p w14:paraId="28443ECA" w14:textId="77777777" w:rsidR="00AF2EC0" w:rsidRPr="000665B0" w:rsidRDefault="00AF2EC0" w:rsidP="00474A1F">
      <w:pPr>
        <w:pStyle w:val="Number0205"/>
        <w:tabs>
          <w:tab w:val="left" w:pos="720"/>
        </w:tabs>
        <w:ind w:left="0" w:firstLine="0"/>
        <w:rPr>
          <w:bCs/>
        </w:rPr>
      </w:pPr>
      <w:r w:rsidRPr="000665B0">
        <w:rPr>
          <w:bCs/>
        </w:rPr>
        <w:t xml:space="preserve">To unhide </w:t>
      </w:r>
      <w:r w:rsidR="00C27382" w:rsidRPr="000665B0">
        <w:rPr>
          <w:bCs/>
        </w:rPr>
        <w:t>c</w:t>
      </w:r>
      <w:r w:rsidRPr="000665B0">
        <w:rPr>
          <w:bCs/>
        </w:rPr>
        <w:t>andidates:</w:t>
      </w:r>
    </w:p>
    <w:p w14:paraId="5D299ABB" w14:textId="663AFC0E" w:rsidR="00AF2EC0" w:rsidRPr="000665B0" w:rsidRDefault="00AF2EC0" w:rsidP="00CB3E29">
      <w:pPr>
        <w:pStyle w:val="Number0205"/>
        <w:tabs>
          <w:tab w:val="left" w:pos="720"/>
        </w:tabs>
        <w:ind w:left="720" w:firstLine="0"/>
      </w:pPr>
      <w:r w:rsidRPr="000665B0">
        <w:t xml:space="preserve">Select the </w:t>
      </w:r>
      <w:r w:rsidR="00C27382" w:rsidRPr="000665B0">
        <w:t>c</w:t>
      </w:r>
      <w:r w:rsidRPr="000665B0">
        <w:t xml:space="preserve">andidate(s) from the </w:t>
      </w:r>
      <w:r w:rsidRPr="000665B0">
        <w:rPr>
          <w:b/>
          <w:i/>
        </w:rPr>
        <w:t>Hidden Candidates</w:t>
      </w:r>
      <w:r w:rsidRPr="000665B0">
        <w:t xml:space="preserve"> </w:t>
      </w:r>
      <w:r w:rsidR="008B075D" w:rsidRPr="000665B0">
        <w:t xml:space="preserve">tab </w:t>
      </w:r>
      <w:r w:rsidRPr="000665B0">
        <w:t>list view. Invoke the context menu (</w:t>
      </w:r>
      <w:r w:rsidR="00D71804" w:rsidRPr="000665B0">
        <w:t>right-click</w:t>
      </w:r>
      <w:r w:rsidRPr="000665B0">
        <w:t xml:space="preserve"> the mouse) and select </w:t>
      </w:r>
      <w:r w:rsidRPr="000665B0">
        <w:rPr>
          <w:b/>
        </w:rPr>
        <w:t>Unhide</w:t>
      </w:r>
      <w:r w:rsidRPr="000665B0">
        <w:t xml:space="preserve">. The </w:t>
      </w:r>
      <w:r w:rsidR="00C27382" w:rsidRPr="000665B0">
        <w:t>c</w:t>
      </w:r>
      <w:r w:rsidRPr="000665B0">
        <w:t xml:space="preserve">andidate(s) is removed from this list view and added to its respective </w:t>
      </w:r>
      <w:r w:rsidR="00422237" w:rsidRPr="000665B0">
        <w:rPr>
          <w:b/>
          <w:i/>
        </w:rPr>
        <w:t>C</w:t>
      </w:r>
      <w:r w:rsidRPr="000665B0">
        <w:rPr>
          <w:b/>
          <w:i/>
        </w:rPr>
        <w:t>andidates</w:t>
      </w:r>
      <w:r w:rsidRPr="000665B0">
        <w:t xml:space="preserve"> tab list view.</w:t>
      </w:r>
    </w:p>
    <w:p w14:paraId="2021DF7D" w14:textId="54DCE55A" w:rsidR="009F4091" w:rsidRPr="000665B0" w:rsidRDefault="009F4091" w:rsidP="00B260C9">
      <w:pPr>
        <w:pStyle w:val="Heading3"/>
      </w:pPr>
      <w:bookmarkStart w:id="6271" w:name="_5.37.5__Organization"/>
      <w:bookmarkStart w:id="6272" w:name="_5_.37.5_"/>
      <w:bookmarkStart w:id="6273" w:name="_Toc289328857"/>
      <w:bookmarkStart w:id="6274" w:name="_Toc312332067"/>
      <w:bookmarkStart w:id="6275" w:name="_Toc214283559"/>
      <w:bookmarkStart w:id="6276" w:name="_Toc71955748"/>
      <w:bookmarkStart w:id="6277" w:name="_Toc96170283"/>
      <w:bookmarkStart w:id="6278" w:name="_Toc96234328"/>
      <w:bookmarkStart w:id="6279" w:name="_Toc112733748"/>
      <w:bookmarkStart w:id="6280" w:name="_Toc164499435"/>
      <w:bookmarkEnd w:id="6252"/>
      <w:bookmarkEnd w:id="6253"/>
      <w:bookmarkEnd w:id="6254"/>
      <w:bookmarkEnd w:id="6255"/>
      <w:bookmarkEnd w:id="6265"/>
      <w:bookmarkEnd w:id="6271"/>
      <w:bookmarkEnd w:id="6272"/>
      <w:r w:rsidRPr="000665B0">
        <w:t>Organization</w:t>
      </w:r>
      <w:bookmarkEnd w:id="6273"/>
      <w:bookmarkEnd w:id="6274"/>
      <w:bookmarkEnd w:id="6275"/>
    </w:p>
    <w:p w14:paraId="4E8772EF" w14:textId="54EE9A93" w:rsidR="009F4091" w:rsidRPr="000665B0" w:rsidRDefault="009F4091" w:rsidP="00474A1F">
      <w:pPr>
        <w:pStyle w:val="BodyText"/>
        <w:tabs>
          <w:tab w:val="left" w:pos="720"/>
        </w:tabs>
        <w:spacing w:after="120"/>
      </w:pPr>
      <w:r w:rsidRPr="000665B0">
        <w:t xml:space="preserve">The </w:t>
      </w:r>
      <w:r w:rsidRPr="000665B0">
        <w:rPr>
          <w:b/>
        </w:rPr>
        <w:t>Organization</w:t>
      </w:r>
      <w:r w:rsidRPr="000665B0">
        <w:t xml:space="preserve"> is a Strike Folder </w:t>
      </w:r>
      <w:r w:rsidR="00BA5F7D" w:rsidRPr="000665B0">
        <w:t xml:space="preserve">tool </w:t>
      </w:r>
      <w:r w:rsidRPr="000665B0">
        <w:t xml:space="preserve">that specifies the Platform and Node Organizations </w:t>
      </w:r>
      <w:r w:rsidR="00E023CC" w:rsidRPr="000665B0">
        <w:t>to</w:t>
      </w:r>
      <w:r w:rsidRPr="000665B0">
        <w:t xml:space="preserve"> be used by the Strike Folder. The information provided by the </w:t>
      </w:r>
      <w:r w:rsidR="00ED58B8" w:rsidRPr="000665B0">
        <w:t xml:space="preserve">Task </w:t>
      </w:r>
      <w:r w:rsidRPr="000665B0">
        <w:t xml:space="preserve">Organization gives the operator Platform and Node information to plan the Strikes. The Strike Folder’s organization information comes from its association with a </w:t>
      </w:r>
      <w:r w:rsidR="00ED58B8" w:rsidRPr="000665B0">
        <w:t xml:space="preserve">Task </w:t>
      </w:r>
      <w:r w:rsidRPr="000665B0">
        <w:t>Organization</w:t>
      </w:r>
      <w:r w:rsidR="00FD7431" w:rsidRPr="000665B0">
        <w:t xml:space="preserve"> that has </w:t>
      </w:r>
      <w:r w:rsidR="004B6D50" w:rsidRPr="000665B0">
        <w:t xml:space="preserve">previously </w:t>
      </w:r>
      <w:r w:rsidR="00FD7431" w:rsidRPr="000665B0">
        <w:t>been set up</w:t>
      </w:r>
      <w:r w:rsidRPr="000665B0">
        <w:t xml:space="preserve"> in the </w:t>
      </w:r>
      <w:r w:rsidR="00ED58B8" w:rsidRPr="000665B0">
        <w:t xml:space="preserve">Task </w:t>
      </w:r>
      <w:r w:rsidRPr="000665B0">
        <w:t>Organization</w:t>
      </w:r>
      <w:r w:rsidR="00ED58B8" w:rsidRPr="000665B0">
        <w:t>s</w:t>
      </w:r>
      <w:r w:rsidRPr="000665B0">
        <w:t xml:space="preserve"> Tool. The association is made by selecting one of the </w:t>
      </w:r>
      <w:r w:rsidR="00ED58B8" w:rsidRPr="000665B0">
        <w:t xml:space="preserve">Task </w:t>
      </w:r>
      <w:r w:rsidRPr="000665B0">
        <w:t xml:space="preserve">Organizations from the </w:t>
      </w:r>
      <w:r w:rsidR="00ED58B8" w:rsidRPr="000665B0">
        <w:t xml:space="preserve">Task </w:t>
      </w:r>
      <w:r w:rsidRPr="000665B0">
        <w:t xml:space="preserve">Organization drop down list. The </w:t>
      </w:r>
      <w:r w:rsidR="00C54DF2" w:rsidRPr="000665B0">
        <w:t>drop-down</w:t>
      </w:r>
      <w:r w:rsidR="00FD7431" w:rsidRPr="000665B0">
        <w:t xml:space="preserve"> list</w:t>
      </w:r>
      <w:r w:rsidRPr="000665B0">
        <w:t xml:space="preserve"> is populated with all of the </w:t>
      </w:r>
      <w:r w:rsidR="00ED58B8" w:rsidRPr="000665B0">
        <w:t xml:space="preserve">Task </w:t>
      </w:r>
      <w:r w:rsidRPr="000665B0">
        <w:t xml:space="preserve">Organizations </w:t>
      </w:r>
      <w:r w:rsidR="00FD7431" w:rsidRPr="000665B0">
        <w:t xml:space="preserve">within </w:t>
      </w:r>
      <w:r w:rsidRPr="000665B0">
        <w:t xml:space="preserve">the </w:t>
      </w:r>
      <w:r w:rsidR="00ED58B8" w:rsidRPr="000665B0">
        <w:t xml:space="preserve">Task </w:t>
      </w:r>
      <w:r w:rsidRPr="000665B0">
        <w:t>Organization</w:t>
      </w:r>
      <w:r w:rsidR="00ED58B8" w:rsidRPr="000665B0">
        <w:t>s</w:t>
      </w:r>
      <w:r w:rsidRPr="000665B0">
        <w:t xml:space="preserve"> Tool.</w:t>
      </w:r>
    </w:p>
    <w:p w14:paraId="3D512154" w14:textId="20C490FA" w:rsidR="009F4091" w:rsidRPr="000665B0" w:rsidRDefault="009F4091" w:rsidP="00474A1F">
      <w:pPr>
        <w:pStyle w:val="BodyText"/>
        <w:tabs>
          <w:tab w:val="left" w:pos="720"/>
        </w:tabs>
        <w:spacing w:after="120"/>
      </w:pPr>
      <w:r w:rsidRPr="000665B0">
        <w:t xml:space="preserve">Once the </w:t>
      </w:r>
      <w:r w:rsidR="00ED58B8" w:rsidRPr="000665B0">
        <w:t xml:space="preserve">Task </w:t>
      </w:r>
      <w:r w:rsidRPr="000665B0">
        <w:t xml:space="preserve">Organization association has been made, the Organization folder item’s textual view will display the associated </w:t>
      </w:r>
      <w:r w:rsidR="00ED58B8" w:rsidRPr="000665B0">
        <w:t xml:space="preserve">Task </w:t>
      </w:r>
      <w:r w:rsidRPr="000665B0">
        <w:t xml:space="preserve">Organization’s information. The information includes the participating Nodes and their assigned roles. It also includes a breakdown of the Organization’s and Platform’s missile inventory. Unlike the </w:t>
      </w:r>
      <w:r w:rsidR="00ED58B8" w:rsidRPr="000665B0">
        <w:t xml:space="preserve">Task </w:t>
      </w:r>
      <w:r w:rsidRPr="000665B0">
        <w:t>Organization</w:t>
      </w:r>
      <w:r w:rsidR="00FD7431" w:rsidRPr="000665B0">
        <w:t xml:space="preserve">’s </w:t>
      </w:r>
      <w:r w:rsidR="004B6D50" w:rsidRPr="000665B0">
        <w:t xml:space="preserve">inventory </w:t>
      </w:r>
      <w:r w:rsidR="00FD7431" w:rsidRPr="000665B0">
        <w:t>display</w:t>
      </w:r>
      <w:r w:rsidRPr="000665B0">
        <w:t xml:space="preserve"> from </w:t>
      </w:r>
      <w:r w:rsidR="00FD7431" w:rsidRPr="000665B0">
        <w:t xml:space="preserve">within </w:t>
      </w:r>
      <w:r w:rsidRPr="000665B0">
        <w:t xml:space="preserve">the </w:t>
      </w:r>
      <w:r w:rsidR="00ED58B8" w:rsidRPr="000665B0">
        <w:t xml:space="preserve">Task </w:t>
      </w:r>
      <w:r w:rsidRPr="000665B0">
        <w:t>Organization</w:t>
      </w:r>
      <w:r w:rsidR="00ED58B8" w:rsidRPr="000665B0">
        <w:t>s</w:t>
      </w:r>
      <w:r w:rsidRPr="000665B0">
        <w:t xml:space="preserve"> Tool, the Organization folder item will not display both the Tactical and Training missile inventories. Instead, the Organization folder item display</w:t>
      </w:r>
      <w:r w:rsidR="00FD7431" w:rsidRPr="000665B0">
        <w:t>s</w:t>
      </w:r>
      <w:r w:rsidRPr="000665B0">
        <w:t xml:space="preserve"> the missile inventory based </w:t>
      </w:r>
      <w:r w:rsidR="00FD7431" w:rsidRPr="000665B0">
        <w:t xml:space="preserve">solely </w:t>
      </w:r>
      <w:r w:rsidRPr="000665B0">
        <w:t xml:space="preserve">on its Folder Class type. If its Folder Class type is Tactical, then the Tactical missile inventories will be displayed. If its Folder’s Class type is Training, then the Training missile inventories will be displayed. For detailed information about </w:t>
      </w:r>
      <w:r w:rsidR="00ED58B8" w:rsidRPr="000665B0">
        <w:t xml:space="preserve">Task </w:t>
      </w:r>
      <w:r w:rsidRPr="000665B0">
        <w:t>Organizations, see</w:t>
      </w:r>
      <w:r w:rsidR="005449B8" w:rsidRPr="000665B0">
        <w:t xml:space="preserve"> </w:t>
      </w:r>
      <w:hyperlink w:anchor="_STRIKE_ORGANIZATIONS_TOOL" w:history="1">
        <w:r w:rsidR="005449B8" w:rsidRPr="000665B0">
          <w:rPr>
            <w:rStyle w:val="Hyperlink"/>
          </w:rPr>
          <w:t xml:space="preserve">Section </w:t>
        </w:r>
        <w:r w:rsidR="004231CC">
          <w:rPr>
            <w:rStyle w:val="Hyperlink"/>
          </w:rPr>
          <w:t>5.33</w:t>
        </w:r>
      </w:hyperlink>
      <w:r w:rsidRPr="000665B0">
        <w:t>.</w:t>
      </w:r>
    </w:p>
    <w:p w14:paraId="6C785992" w14:textId="2C947C78" w:rsidR="009F4091" w:rsidRPr="000665B0" w:rsidRDefault="009F4091" w:rsidP="00474A1F">
      <w:pPr>
        <w:pStyle w:val="BodyText"/>
        <w:tabs>
          <w:tab w:val="left" w:pos="720"/>
        </w:tabs>
        <w:spacing w:after="120"/>
      </w:pPr>
      <w:r w:rsidRPr="000665B0">
        <w:t xml:space="preserve">The information from the associated </w:t>
      </w:r>
      <w:r w:rsidR="00ED58B8" w:rsidRPr="000665B0">
        <w:t xml:space="preserve">Task </w:t>
      </w:r>
      <w:r w:rsidRPr="000665B0">
        <w:t xml:space="preserve">Organization will be used as the basis for the Strike Option’s Arsenal planning. During the Strike Option’s Arsenal planning, the operator may plan to use all or a subset of the Nodes in the Organization. In order for a FRU to participate in a Strike, that FRU must be included in that Folder’s </w:t>
      </w:r>
      <w:r w:rsidR="00ED58B8" w:rsidRPr="000665B0">
        <w:t xml:space="preserve">Task </w:t>
      </w:r>
      <w:r w:rsidRPr="000665B0">
        <w:t>Organization.</w:t>
      </w:r>
      <w:r w:rsidR="002D58DB" w:rsidRPr="000665B0">
        <w:t xml:space="preserve"> It is recommended to include all potential Nodes when creating the original Organization so that the operator has a comprehensive set of Nodes to choose from during Arsenal planning.</w:t>
      </w:r>
    </w:p>
    <w:p w14:paraId="60112FDF" w14:textId="02454F81" w:rsidR="00FD7431" w:rsidRPr="000665B0" w:rsidRDefault="00ED58B8" w:rsidP="00474A1F">
      <w:pPr>
        <w:pStyle w:val="BodyText"/>
        <w:tabs>
          <w:tab w:val="left" w:pos="720"/>
        </w:tabs>
        <w:spacing w:after="120"/>
        <w:jc w:val="center"/>
      </w:pPr>
      <w:r w:rsidRPr="000665B0">
        <w:rPr>
          <w:noProof/>
        </w:rPr>
        <w:lastRenderedPageBreak/>
        <w:t xml:space="preserve"> </w:t>
      </w:r>
      <w:r w:rsidR="006C5CE8">
        <w:rPr>
          <w:noProof/>
        </w:rPr>
        <w:drawing>
          <wp:inline distT="0" distB="0" distL="0" distR="0" wp14:anchorId="2E964864" wp14:editId="39FF2AFC">
            <wp:extent cx="4975860" cy="3776550"/>
            <wp:effectExtent l="0" t="0" r="0" b="0"/>
            <wp:docPr id="974249701" name="Picture 3" descr="Graphical user interface, application, table, Exc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49701" name="Picture 3" descr="Graphical user interface, application, table, Excel&#10;&#10;AI-generated content may be incorrect."/>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983788" cy="3782567"/>
                    </a:xfrm>
                    <a:prstGeom prst="rect">
                      <a:avLst/>
                    </a:prstGeom>
                    <a:noFill/>
                    <a:ln>
                      <a:noFill/>
                    </a:ln>
                  </pic:spPr>
                </pic:pic>
              </a:graphicData>
            </a:graphic>
          </wp:inline>
        </w:drawing>
      </w:r>
    </w:p>
    <w:p w14:paraId="0E666557" w14:textId="77777777" w:rsidR="009F4091" w:rsidRPr="000665B0" w:rsidRDefault="009F4091" w:rsidP="00172AD0">
      <w:pPr>
        <w:keepNext/>
        <w:tabs>
          <w:tab w:val="left" w:pos="720"/>
        </w:tabs>
      </w:pPr>
      <w:r w:rsidRPr="000665B0">
        <w:t xml:space="preserve">To </w:t>
      </w:r>
      <w:r w:rsidR="004B6D50" w:rsidRPr="000665B0">
        <w:t>assign an</w:t>
      </w:r>
      <w:r w:rsidRPr="000665B0">
        <w:t xml:space="preserve"> </w:t>
      </w:r>
      <w:r w:rsidRPr="000665B0">
        <w:rPr>
          <w:b/>
        </w:rPr>
        <w:t>Organization</w:t>
      </w:r>
      <w:r w:rsidRPr="000665B0">
        <w:t xml:space="preserve"> </w:t>
      </w:r>
      <w:r w:rsidR="004B6D50" w:rsidRPr="000665B0">
        <w:t xml:space="preserve">to the </w:t>
      </w:r>
      <w:r w:rsidRPr="000665B0">
        <w:t>Strike Folder:</w:t>
      </w:r>
    </w:p>
    <w:p w14:paraId="094A8098" w14:textId="77777777" w:rsidR="009F4091" w:rsidRPr="000665B0" w:rsidRDefault="009F4091" w:rsidP="006D5A65">
      <w:pPr>
        <w:pStyle w:val="Heading1"/>
      </w:pPr>
      <w:r w:rsidRPr="000665B0">
        <w:t xml:space="preserve">From the main </w:t>
      </w:r>
      <w:r w:rsidRPr="000665B0">
        <w:rPr>
          <w:i/>
        </w:rPr>
        <w:t>Strike Folder</w:t>
      </w:r>
      <w:r w:rsidR="004B6D50" w:rsidRPr="000665B0">
        <w:rPr>
          <w:i/>
        </w:rPr>
        <w:t>s</w:t>
      </w:r>
      <w:r w:rsidRPr="000665B0">
        <w:t xml:space="preserve"> window highlight the appropriate Strike Folder. </w:t>
      </w:r>
    </w:p>
    <w:p w14:paraId="0A33ED5C" w14:textId="209341BC" w:rsidR="009F4091" w:rsidRPr="000665B0" w:rsidRDefault="0037038E" w:rsidP="006D5A65">
      <w:pPr>
        <w:pStyle w:val="Heading1"/>
      </w:pPr>
      <w:r w:rsidRPr="000665B0">
        <w:t>Double-click</w:t>
      </w:r>
      <w:r w:rsidR="009F4091" w:rsidRPr="000665B0">
        <w:t xml:space="preserve"> to display the Strike Folder </w:t>
      </w:r>
      <w:r w:rsidR="00C54DF2" w:rsidRPr="000665B0">
        <w:t>textually or</w:t>
      </w:r>
      <w:r w:rsidR="009F4091" w:rsidRPr="000665B0">
        <w:t xml:space="preserve"> invoke the context menu (</w:t>
      </w:r>
      <w:r w:rsidR="00D71804" w:rsidRPr="000665B0">
        <w:t>right-click</w:t>
      </w:r>
      <w:r w:rsidR="009F4091" w:rsidRPr="000665B0">
        <w:t xml:space="preserve"> the mouse) and select Display</w:t>
      </w:r>
      <w:r w:rsidR="004B6D50" w:rsidRPr="000665B0">
        <w:t xml:space="preserve"> </w:t>
      </w:r>
      <w:r w:rsidR="004B6D50" w:rsidRPr="000665B0">
        <w:sym w:font="Wingdings 3" w:char="F07D"/>
      </w:r>
      <w:r w:rsidR="004B6D50" w:rsidRPr="000665B0">
        <w:t xml:space="preserve"> </w:t>
      </w:r>
      <w:r w:rsidR="002C390D" w:rsidRPr="000665B0">
        <w:t>Textually or</w:t>
      </w:r>
      <w:r w:rsidR="004B6D50" w:rsidRPr="000665B0">
        <w:t xml:space="preserve"> select File </w:t>
      </w:r>
      <w:r w:rsidR="004B6D50" w:rsidRPr="000665B0">
        <w:sym w:font="Wingdings" w:char="F0E0"/>
      </w:r>
      <w:r w:rsidR="004B6D50" w:rsidRPr="000665B0">
        <w:t xml:space="preserve"> Display </w:t>
      </w:r>
      <w:r w:rsidR="004B6D50" w:rsidRPr="000665B0">
        <w:sym w:font="Wingdings 3" w:char="F07D"/>
      </w:r>
      <w:r w:rsidR="004B6D50" w:rsidRPr="000665B0">
        <w:t xml:space="preserve"> Textually</w:t>
      </w:r>
      <w:r w:rsidR="009F4091" w:rsidRPr="000665B0">
        <w:t xml:space="preserve">. </w:t>
      </w:r>
    </w:p>
    <w:p w14:paraId="0525A75C" w14:textId="6172BA3D" w:rsidR="009F4091" w:rsidRPr="000665B0" w:rsidRDefault="009F4091" w:rsidP="006D5A65">
      <w:pPr>
        <w:pStyle w:val="Heading1"/>
      </w:pPr>
      <w:r w:rsidRPr="000665B0">
        <w:t xml:space="preserve">From the </w:t>
      </w:r>
      <w:r w:rsidRPr="000665B0">
        <w:rPr>
          <w:i/>
        </w:rPr>
        <w:t xml:space="preserve">Strike Folder </w:t>
      </w:r>
      <w:r w:rsidR="004B6D50" w:rsidRPr="000665B0">
        <w:rPr>
          <w:i/>
        </w:rPr>
        <w:t>xxxxx-xxxxx</w:t>
      </w:r>
      <w:r w:rsidRPr="000665B0">
        <w:rPr>
          <w:i/>
        </w:rPr>
        <w:t xml:space="preserve"> </w:t>
      </w:r>
      <w:r w:rsidRPr="000665B0">
        <w:t xml:space="preserve">window, </w:t>
      </w:r>
      <w:r w:rsidR="0037038E" w:rsidRPr="000665B0">
        <w:t>double-click</w:t>
      </w:r>
      <w:r w:rsidRPr="000665B0">
        <w:t xml:space="preserve"> the Organization </w:t>
      </w:r>
      <w:r w:rsidR="009A1FDF" w:rsidRPr="000665B0">
        <w:rPr>
          <w:noProof/>
          <w:position w:val="-4"/>
        </w:rPr>
        <w:drawing>
          <wp:inline distT="0" distB="0" distL="0" distR="0" wp14:anchorId="63A34073" wp14:editId="48AC76A9">
            <wp:extent cx="267277" cy="206185"/>
            <wp:effectExtent l="0" t="0" r="0" b="3810"/>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cstate="print"/>
                    <a:srcRect/>
                    <a:stretch>
                      <a:fillRect/>
                    </a:stretch>
                  </pic:blipFill>
                  <pic:spPr bwMode="auto">
                    <a:xfrm>
                      <a:off x="0" y="0"/>
                      <a:ext cx="270293" cy="208511"/>
                    </a:xfrm>
                    <a:prstGeom prst="rect">
                      <a:avLst/>
                    </a:prstGeom>
                    <a:noFill/>
                    <a:ln w="9525">
                      <a:noFill/>
                      <a:miter lim="800000"/>
                      <a:headEnd/>
                      <a:tailEnd/>
                    </a:ln>
                  </pic:spPr>
                </pic:pic>
              </a:graphicData>
            </a:graphic>
          </wp:inline>
        </w:drawing>
      </w:r>
      <w:r w:rsidRPr="000665B0">
        <w:t xml:space="preserve"> icon. The </w:t>
      </w:r>
      <w:r w:rsidR="005F32C1" w:rsidRPr="000665B0">
        <w:rPr>
          <w:i/>
        </w:rPr>
        <w:t>Task</w:t>
      </w:r>
      <w:r w:rsidR="005F32C1" w:rsidRPr="000665B0">
        <w:t xml:space="preserve"> </w:t>
      </w:r>
      <w:r w:rsidRPr="000665B0">
        <w:rPr>
          <w:i/>
        </w:rPr>
        <w:t xml:space="preserve">Organization for Strike Folder: </w:t>
      </w:r>
      <w:r w:rsidR="004B6D50" w:rsidRPr="000665B0">
        <w:rPr>
          <w:i/>
        </w:rPr>
        <w:t>xxxxx-xxxxx</w:t>
      </w:r>
      <w:r w:rsidRPr="000665B0">
        <w:t xml:space="preserve"> window </w:t>
      </w:r>
      <w:r w:rsidR="00DB5AEE" w:rsidRPr="000665B0">
        <w:t>is</w:t>
      </w:r>
      <w:r w:rsidRPr="000665B0">
        <w:t xml:space="preserve"> displayed.</w:t>
      </w:r>
    </w:p>
    <w:p w14:paraId="10922C19" w14:textId="3807B173" w:rsidR="009F4091" w:rsidRPr="000665B0" w:rsidRDefault="005F32C1" w:rsidP="00FC561B">
      <w:pPr>
        <w:pStyle w:val="BodyText"/>
        <w:tabs>
          <w:tab w:val="left" w:pos="720"/>
        </w:tabs>
        <w:spacing w:after="120"/>
        <w:jc w:val="center"/>
        <w:rPr>
          <w:noProof/>
        </w:rPr>
      </w:pPr>
      <w:r w:rsidRPr="000665B0">
        <w:rPr>
          <w:noProof/>
        </w:rPr>
        <w:t xml:space="preserve"> </w:t>
      </w:r>
      <w:r w:rsidR="006C5CE8" w:rsidRPr="00E70302">
        <w:rPr>
          <w:noProof/>
        </w:rPr>
        <w:drawing>
          <wp:inline distT="0" distB="0" distL="0" distR="0" wp14:anchorId="32776276" wp14:editId="7F7F07BA">
            <wp:extent cx="4131660" cy="2154555"/>
            <wp:effectExtent l="0" t="0" r="2540" b="0"/>
            <wp:docPr id="188365719"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5719" name="Picture 1" descr="Graphical user interface, application&#10;&#10;AI-generated content may be incorrect."/>
                    <pic:cNvPicPr/>
                  </pic:nvPicPr>
                  <pic:blipFill>
                    <a:blip/>
                    <a:stretch>
                      <a:fillRect/>
                    </a:stretch>
                  </pic:blipFill>
                  <pic:spPr>
                    <a:xfrm>
                      <a:off x="0" y="0"/>
                      <a:ext cx="4143141" cy="2160542"/>
                    </a:xfrm>
                    <a:prstGeom prst="rect">
                      <a:avLst/>
                    </a:prstGeom>
                  </pic:spPr>
                </pic:pic>
              </a:graphicData>
            </a:graphic>
          </wp:inline>
        </w:drawing>
      </w:r>
    </w:p>
    <w:p w14:paraId="52B26CFC" w14:textId="3499A55A" w:rsidR="004B6D50" w:rsidRPr="000665B0" w:rsidRDefault="00396E9B" w:rsidP="006D5A65">
      <w:pPr>
        <w:pStyle w:val="Heading1"/>
      </w:pPr>
      <w:r w:rsidRPr="000665B0">
        <w:lastRenderedPageBreak/>
        <w:t>Select an Organization</w:t>
      </w:r>
      <w:r w:rsidR="005379FF" w:rsidRPr="000665B0">
        <w:t>(s)</w:t>
      </w:r>
      <w:r w:rsidRPr="000665B0">
        <w:t xml:space="preserve"> from the </w:t>
      </w:r>
      <w:r w:rsidR="005F32C1" w:rsidRPr="000665B0">
        <w:t xml:space="preserve">Task </w:t>
      </w:r>
      <w:r w:rsidRPr="000665B0">
        <w:t xml:space="preserve">Organization </w:t>
      </w:r>
      <w:r w:rsidR="005F32C1" w:rsidRPr="000665B0">
        <w:t xml:space="preserve">field </w:t>
      </w:r>
      <w:r w:rsidRPr="000665B0">
        <w:t>drop down list.</w:t>
      </w:r>
    </w:p>
    <w:p w14:paraId="220BD857" w14:textId="056932EF" w:rsidR="00292D1F" w:rsidRPr="000665B0" w:rsidRDefault="00292D1F" w:rsidP="006D5A65">
      <w:pPr>
        <w:pStyle w:val="Heading1"/>
      </w:pPr>
      <w:r w:rsidRPr="000665B0">
        <w:t xml:space="preserve">As Organizations are added, the Missile Inventory pane and the columns of the </w:t>
      </w:r>
      <w:r w:rsidR="005F32C1" w:rsidRPr="000665B0">
        <w:rPr>
          <w:i/>
        </w:rPr>
        <w:t xml:space="preserve">Task </w:t>
      </w:r>
      <w:r w:rsidRPr="000665B0">
        <w:rPr>
          <w:i/>
        </w:rPr>
        <w:t>Organization</w:t>
      </w:r>
      <w:r w:rsidRPr="000665B0">
        <w:t xml:space="preserve"> window are populated.</w:t>
      </w:r>
    </w:p>
    <w:p w14:paraId="3B773E73" w14:textId="4177D73E" w:rsidR="00292D1F" w:rsidRPr="000665B0" w:rsidRDefault="00292D1F" w:rsidP="006D5A65">
      <w:pPr>
        <w:pStyle w:val="Heading1"/>
      </w:pPr>
      <w:r w:rsidRPr="000665B0">
        <w:t xml:space="preserve">Missile Inventory Pane – </w:t>
      </w:r>
      <w:r w:rsidR="00FC561B" w:rsidRPr="000665B0">
        <w:t xml:space="preserve">Missile counts </w:t>
      </w:r>
      <w:r w:rsidR="00FC561B" w:rsidRPr="00991CE9">
        <w:t>inventory</w:t>
      </w:r>
      <w:r w:rsidR="00FC561B" w:rsidRPr="00991CE9">
        <w:rPr>
          <w:rStyle w:val="normaltextrun"/>
          <w:color w:val="000000"/>
          <w:shd w:val="clear" w:color="auto" w:fill="FFFFFF"/>
        </w:rPr>
        <w:t xml:space="preserve"> </w:t>
      </w:r>
      <w:r w:rsidR="00FC561B">
        <w:rPr>
          <w:rStyle w:val="normaltextrun"/>
          <w:color w:val="000000"/>
          <w:shd w:val="clear" w:color="auto" w:fill="FFFFFF"/>
        </w:rPr>
        <w:t xml:space="preserve">grouped </w:t>
      </w:r>
      <w:r w:rsidR="00FC561B" w:rsidRPr="00991CE9">
        <w:rPr>
          <w:rStyle w:val="normaltextrun"/>
          <w:color w:val="000000"/>
          <w:shd w:val="clear" w:color="auto" w:fill="FFFFFF"/>
        </w:rPr>
        <w:t xml:space="preserve">using the 4-Character identifiers </w:t>
      </w:r>
      <w:r w:rsidR="00FC561B">
        <w:rPr>
          <w:rStyle w:val="normaltextrun"/>
          <w:color w:val="000000"/>
          <w:shd w:val="clear" w:color="auto" w:fill="FFFFFF"/>
        </w:rPr>
        <w:t xml:space="preserve">- </w:t>
      </w:r>
      <w:r w:rsidR="00FC561B" w:rsidRPr="004036BD">
        <w:rPr>
          <w:rStyle w:val="normaltextrun"/>
          <w:color w:val="000000"/>
        </w:rPr>
        <w:t>LUD3/LUD4</w:t>
      </w:r>
      <w:r w:rsidR="00FC561B" w:rsidRPr="003453E7">
        <w:t xml:space="preserve">, </w:t>
      </w:r>
      <w:r w:rsidR="00FC561B" w:rsidRPr="004036BD">
        <w:rPr>
          <w:rStyle w:val="normaltextrun"/>
          <w:color w:val="000000"/>
        </w:rPr>
        <w:t>LUA4/LUA5</w:t>
      </w:r>
      <w:r w:rsidR="00FC561B">
        <w:rPr>
          <w:rStyle w:val="normaltextrun"/>
          <w:color w:val="000000"/>
        </w:rPr>
        <w:t xml:space="preserve">, </w:t>
      </w:r>
      <w:r w:rsidR="00FC561B" w:rsidRPr="00827BCD">
        <w:rPr>
          <w:rStyle w:val="normaltextrun"/>
          <w:color w:val="000000"/>
        </w:rPr>
        <w:t xml:space="preserve">LUP4/LUP5, SUP4/SUP5, LJP4/LJP5, </w:t>
      </w:r>
      <w:r w:rsidR="006C5CE8" w:rsidRPr="00B30F63">
        <w:rPr>
          <w:rStyle w:val="normaltextrun"/>
          <w:color w:val="000000"/>
        </w:rPr>
        <w:t>LU24/LU25</w:t>
      </w:r>
      <w:r w:rsidR="006C5CE8">
        <w:rPr>
          <w:rStyle w:val="normaltextrun"/>
          <w:color w:val="000000"/>
        </w:rPr>
        <w:t xml:space="preserve">, </w:t>
      </w:r>
      <w:r w:rsidR="006C5CE8" w:rsidRPr="00B30F63">
        <w:rPr>
          <w:rStyle w:val="normaltextrun"/>
          <w:color w:val="000000"/>
        </w:rPr>
        <w:t>LJ24/LJ25</w:t>
      </w:r>
      <w:r w:rsidR="006C5CE8">
        <w:rPr>
          <w:rStyle w:val="normaltextrun"/>
          <w:color w:val="000000"/>
        </w:rPr>
        <w:t xml:space="preserve">, </w:t>
      </w:r>
      <w:r w:rsidR="006C5CE8" w:rsidRPr="00B30F63">
        <w:rPr>
          <w:rStyle w:val="normaltextrun"/>
          <w:color w:val="000000"/>
        </w:rPr>
        <w:t>2U24/2U25</w:t>
      </w:r>
      <w:r w:rsidR="006C5CE8">
        <w:rPr>
          <w:rStyle w:val="normaltextrun"/>
          <w:color w:val="000000"/>
        </w:rPr>
        <w:t xml:space="preserve">, </w:t>
      </w:r>
      <w:r w:rsidR="00FC561B" w:rsidRPr="00827BCD">
        <w:t>Other MSLs, Total.</w:t>
      </w:r>
      <w:r w:rsidR="003570F4" w:rsidRPr="000665B0">
        <w:t xml:space="preserve"> Tactical or Training is displayed based on the </w:t>
      </w:r>
      <w:r w:rsidR="00057127" w:rsidRPr="000665B0">
        <w:t xml:space="preserve">Strike </w:t>
      </w:r>
      <w:r w:rsidR="003570F4" w:rsidRPr="000665B0">
        <w:t>Folder</w:t>
      </w:r>
      <w:r w:rsidR="00057127" w:rsidRPr="000665B0">
        <w:t>’s</w:t>
      </w:r>
      <w:r w:rsidR="003570F4" w:rsidRPr="000665B0">
        <w:t xml:space="preserve"> Class Type.</w:t>
      </w:r>
    </w:p>
    <w:p w14:paraId="68A38822" w14:textId="77777777" w:rsidR="00292D1F" w:rsidRPr="000665B0" w:rsidRDefault="00292D1F" w:rsidP="006D5A65">
      <w:pPr>
        <w:pStyle w:val="Heading1"/>
      </w:pPr>
      <w:r w:rsidRPr="000665B0">
        <w:t>Columns (Platform Level)</w:t>
      </w:r>
    </w:p>
    <w:p w14:paraId="64AA6FB1" w14:textId="77777777" w:rsidR="00292D1F" w:rsidRPr="000665B0" w:rsidRDefault="00292D1F" w:rsidP="006D5A65">
      <w:pPr>
        <w:pStyle w:val="Heading1"/>
      </w:pPr>
      <w:r w:rsidRPr="000665B0">
        <w:t>ID – The platform ID.</w:t>
      </w:r>
    </w:p>
    <w:p w14:paraId="798BD65A" w14:textId="77777777" w:rsidR="00292D1F" w:rsidRDefault="00292D1F" w:rsidP="006D5A65">
      <w:pPr>
        <w:pStyle w:val="Heading1"/>
      </w:pPr>
      <w:r w:rsidRPr="000665B0">
        <w:t>Name – Name of the platform.</w:t>
      </w:r>
    </w:p>
    <w:p w14:paraId="15DF495C" w14:textId="0296E2CA" w:rsidR="00EA5282" w:rsidRPr="00C36B36" w:rsidRDefault="00EA5282" w:rsidP="006D5A65">
      <w:pPr>
        <w:pStyle w:val="Heading1"/>
      </w:pPr>
      <w:r>
        <w:t xml:space="preserve">LUD3/LUD4 – </w:t>
      </w:r>
      <w:r w:rsidRPr="00C36B36">
        <w:t>Number of LUD3/LUD4 missiles.</w:t>
      </w:r>
    </w:p>
    <w:p w14:paraId="7922CF44" w14:textId="60AAE1EC" w:rsidR="00EA5282" w:rsidRPr="00C36B36" w:rsidRDefault="00EA5282" w:rsidP="006D5A65">
      <w:pPr>
        <w:pStyle w:val="Heading1"/>
      </w:pPr>
      <w:r>
        <w:rPr>
          <w:bCs/>
        </w:rPr>
        <w:t xml:space="preserve">LUA4/LUA5 – </w:t>
      </w:r>
      <w:r w:rsidRPr="00C36B36">
        <w:t>Number of LUA4/LUA5 missiles.</w:t>
      </w:r>
    </w:p>
    <w:p w14:paraId="4EC878E9" w14:textId="4BFA5871" w:rsidR="00EA5282" w:rsidRPr="00C36B36" w:rsidRDefault="00EA5282" w:rsidP="006D5A65">
      <w:pPr>
        <w:pStyle w:val="Heading1"/>
      </w:pPr>
      <w:r>
        <w:rPr>
          <w:bCs/>
        </w:rPr>
        <w:t xml:space="preserve">LUP4/LUP5 – </w:t>
      </w:r>
      <w:r w:rsidRPr="00C36B36">
        <w:t>Number of LUP4/LUP5 missiles.</w:t>
      </w:r>
    </w:p>
    <w:p w14:paraId="1BBCD100" w14:textId="66ADBAE3" w:rsidR="00EA5282" w:rsidRPr="00C36B36" w:rsidRDefault="00EA5282" w:rsidP="006D5A65">
      <w:pPr>
        <w:pStyle w:val="Heading1"/>
      </w:pPr>
      <w:r>
        <w:rPr>
          <w:bCs/>
        </w:rPr>
        <w:t xml:space="preserve">SUP4/SUP5 – </w:t>
      </w:r>
      <w:r w:rsidRPr="00C36B36">
        <w:t>Number of SUP4/SUP5 missiles.</w:t>
      </w:r>
    </w:p>
    <w:p w14:paraId="1B46222F" w14:textId="457DF9D5" w:rsidR="006C5CE8" w:rsidRDefault="00EA5282" w:rsidP="006D5A65">
      <w:pPr>
        <w:pStyle w:val="Heading1"/>
      </w:pPr>
      <w:r>
        <w:rPr>
          <w:bCs/>
        </w:rPr>
        <w:t xml:space="preserve">LJP4/LJP5 – </w:t>
      </w:r>
      <w:r w:rsidRPr="00C36B36">
        <w:t xml:space="preserve">Number of LJP4/LJP5 missiles. </w:t>
      </w:r>
    </w:p>
    <w:p w14:paraId="0FB20248" w14:textId="77777777" w:rsidR="006C5CE8" w:rsidRDefault="006C5CE8" w:rsidP="006D5A65">
      <w:pPr>
        <w:pStyle w:val="Heading1"/>
      </w:pPr>
      <w:r w:rsidRPr="0064295B">
        <w:rPr>
          <w:bCs/>
        </w:rPr>
        <w:t>LU24/LU25</w:t>
      </w:r>
      <w:r w:rsidRPr="006C5CE8">
        <w:rPr>
          <w:bCs/>
        </w:rPr>
        <w:t xml:space="preserve"> – </w:t>
      </w:r>
      <w:r w:rsidRPr="00C36B36">
        <w:t xml:space="preserve">Number of </w:t>
      </w:r>
      <w:r w:rsidRPr="00F719D6">
        <w:t xml:space="preserve">LU24/LU25 </w:t>
      </w:r>
      <w:r w:rsidRPr="00C36B36">
        <w:t>missiles.</w:t>
      </w:r>
    </w:p>
    <w:p w14:paraId="475A7A69" w14:textId="77777777" w:rsidR="006C5CE8" w:rsidRDefault="006C5CE8" w:rsidP="006D5A65">
      <w:pPr>
        <w:pStyle w:val="Heading1"/>
      </w:pPr>
      <w:r w:rsidRPr="006C5CE8">
        <w:rPr>
          <w:bCs/>
        </w:rPr>
        <w:t xml:space="preserve">LJ24/LJ25 – </w:t>
      </w:r>
      <w:r w:rsidRPr="00C36B36">
        <w:t xml:space="preserve">Number of </w:t>
      </w:r>
      <w:r w:rsidRPr="00B05496">
        <w:t>LJ24/LJ25</w:t>
      </w:r>
      <w:r>
        <w:t xml:space="preserve"> </w:t>
      </w:r>
      <w:r w:rsidRPr="00C36B36">
        <w:t xml:space="preserve">missiles. </w:t>
      </w:r>
    </w:p>
    <w:p w14:paraId="15D4D152" w14:textId="23736192" w:rsidR="006C5CE8" w:rsidRPr="00C36B36" w:rsidRDefault="006C5CE8" w:rsidP="006D5A65">
      <w:pPr>
        <w:pStyle w:val="Heading1"/>
      </w:pPr>
      <w:r w:rsidRPr="006C5CE8">
        <w:rPr>
          <w:bCs/>
        </w:rPr>
        <w:t xml:space="preserve">2U24/2U25 – </w:t>
      </w:r>
      <w:r w:rsidRPr="00C36B36">
        <w:t xml:space="preserve">Number of </w:t>
      </w:r>
      <w:r w:rsidRPr="00B05496">
        <w:t>2U24/2U25</w:t>
      </w:r>
      <w:r>
        <w:t xml:space="preserve"> </w:t>
      </w:r>
      <w:r w:rsidRPr="00C36B36">
        <w:t>missiles.</w:t>
      </w:r>
    </w:p>
    <w:p w14:paraId="370ED807" w14:textId="69489819" w:rsidR="00EA5282" w:rsidRDefault="00EA5282" w:rsidP="006D5A65">
      <w:pPr>
        <w:pStyle w:val="Heading1"/>
      </w:pPr>
      <w:r>
        <w:rPr>
          <w:bCs/>
        </w:rPr>
        <w:t>Other MSLs –</w:t>
      </w:r>
      <w:r w:rsidR="000F6C98">
        <w:rPr>
          <w:bCs/>
        </w:rPr>
        <w:t xml:space="preserve"> </w:t>
      </w:r>
      <w:r w:rsidRPr="00C36B36">
        <w:t>Number of Block III and Exercise missiles.</w:t>
      </w:r>
    </w:p>
    <w:p w14:paraId="45D18F5B" w14:textId="77777777" w:rsidR="00292D1F" w:rsidRPr="000665B0" w:rsidRDefault="00292D1F" w:rsidP="006D5A65">
      <w:pPr>
        <w:pStyle w:val="Heading1"/>
      </w:pPr>
      <w:r w:rsidRPr="000665B0">
        <w:t>Radio Frequency – The radio frequency of the platform.</w:t>
      </w:r>
    </w:p>
    <w:p w14:paraId="2E003629" w14:textId="4954DF36" w:rsidR="006C5CE8" w:rsidRPr="000665B0" w:rsidRDefault="00292D1F" w:rsidP="006D5A65">
      <w:pPr>
        <w:pStyle w:val="Heading1"/>
      </w:pPr>
      <w:r w:rsidRPr="000665B0">
        <w:t>Status –</w:t>
      </w:r>
      <w:r w:rsidR="002A7FC5" w:rsidRPr="000665B0">
        <w:t xml:space="preserve"> The status of the platform.</w:t>
      </w:r>
    </w:p>
    <w:p w14:paraId="592A7DB6" w14:textId="77777777" w:rsidR="006C5CE8" w:rsidRDefault="006C5CE8" w:rsidP="0064295B">
      <w:pPr>
        <w:pStyle w:val="BodyText"/>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rStyle w:val="normaltextrun"/>
          <w:b/>
          <w:bCs/>
          <w:color w:val="000000"/>
          <w:szCs w:val="24"/>
        </w:rPr>
      </w:pPr>
      <w:r w:rsidRPr="00BB4EBE">
        <w:rPr>
          <w:rStyle w:val="normaltextrun"/>
          <w:b/>
          <w:bCs/>
          <w:color w:val="000000"/>
        </w:rPr>
        <w:t>Note:</w:t>
      </w:r>
    </w:p>
    <w:p w14:paraId="4E259F82" w14:textId="77777777" w:rsidR="006C5CE8" w:rsidRDefault="006C5CE8" w:rsidP="006C5CE8">
      <w:pPr>
        <w:pStyle w:val="BodyText"/>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rStyle w:val="normaltextrun"/>
          <w:b/>
          <w:bCs/>
          <w:color w:val="000000"/>
        </w:rPr>
      </w:pPr>
      <w:r w:rsidRPr="00F01341">
        <w:rPr>
          <w:rStyle w:val="normaltextrun"/>
          <w:b/>
          <w:bCs/>
          <w:color w:val="000000"/>
        </w:rPr>
        <w:t>For TMPC 7.0.5,</w:t>
      </w:r>
      <w:r>
        <w:rPr>
          <w:rStyle w:val="normaltextrun"/>
          <w:b/>
          <w:bCs/>
          <w:color w:val="000000"/>
        </w:rPr>
        <w:t xml:space="preserve"> 109M &amp;</w:t>
      </w:r>
      <w:r w:rsidRPr="00F01341">
        <w:rPr>
          <w:rStyle w:val="normaltextrun"/>
          <w:b/>
          <w:bCs/>
          <w:color w:val="000000"/>
        </w:rPr>
        <w:t xml:space="preserve"> ACP2 Missiles will not be included (always have a total of “0”) in any summary totals.</w:t>
      </w:r>
    </w:p>
    <w:p w14:paraId="1C1EB30C" w14:textId="77777777" w:rsidR="00FD4743" w:rsidRPr="000665B0" w:rsidRDefault="00FD4743" w:rsidP="006D5A65">
      <w:pPr>
        <w:pStyle w:val="Heading1"/>
      </w:pPr>
      <w:r w:rsidRPr="000665B0">
        <w:t>Columns (Node Level)</w:t>
      </w:r>
    </w:p>
    <w:p w14:paraId="60C794B2" w14:textId="77777777" w:rsidR="00FD4743" w:rsidRPr="000665B0" w:rsidRDefault="00FD4743" w:rsidP="006D5A65">
      <w:pPr>
        <w:pStyle w:val="Heading2"/>
      </w:pPr>
      <w:r w:rsidRPr="000665B0">
        <w:t>ID – The node ID.</w:t>
      </w:r>
    </w:p>
    <w:p w14:paraId="63A0597D" w14:textId="77777777" w:rsidR="00FD4743" w:rsidRPr="000665B0" w:rsidRDefault="00FD4743" w:rsidP="006D5A65">
      <w:pPr>
        <w:pStyle w:val="Heading2"/>
      </w:pPr>
      <w:r w:rsidRPr="000665B0">
        <w:t>Name – Name of the node.</w:t>
      </w:r>
    </w:p>
    <w:p w14:paraId="4CB077EA" w14:textId="0110861D" w:rsidR="00107032" w:rsidRPr="00C97B43" w:rsidRDefault="00107032" w:rsidP="006D5A65">
      <w:pPr>
        <w:pStyle w:val="Heading2"/>
      </w:pPr>
      <w:r w:rsidRPr="00C97B43">
        <w:t>Node Type – (</w:t>
      </w:r>
      <w:r w:rsidR="0039006A" w:rsidRPr="00C97B43">
        <w:t>NSP</w:t>
      </w:r>
      <w:r w:rsidRPr="00C97B43">
        <w:t xml:space="preserve">, TED, MDS, </w:t>
      </w:r>
      <w:r w:rsidR="00352384" w:rsidRPr="00C97B43">
        <w:t xml:space="preserve">or </w:t>
      </w:r>
      <w:r w:rsidRPr="00C97B43">
        <w:t>TTWCS).</w:t>
      </w:r>
    </w:p>
    <w:p w14:paraId="7D0E9ABD" w14:textId="40F19344" w:rsidR="004B01AF" w:rsidRPr="00E532F0" w:rsidRDefault="00FD4743" w:rsidP="006D5A65">
      <w:pPr>
        <w:pStyle w:val="Heading2"/>
        <w:rPr>
          <w:snapToGrid w:val="0"/>
        </w:rPr>
      </w:pPr>
      <w:r w:rsidRPr="00C97B43">
        <w:t>TSC – An X indicates that the node is a TSC (</w:t>
      </w:r>
      <w:r w:rsidRPr="00C97B43">
        <w:rPr>
          <w:snapToGrid w:val="0"/>
        </w:rPr>
        <w:t>Tomahawk Strike Coordinator)</w:t>
      </w:r>
      <w:r w:rsidR="00943F90">
        <w:rPr>
          <w:snapToGrid w:val="0"/>
        </w:rPr>
        <w:t>.</w:t>
      </w:r>
    </w:p>
    <w:p w14:paraId="0A7520AD" w14:textId="200F819A" w:rsidR="00FD4743" w:rsidRPr="00C97B43" w:rsidRDefault="004B01AF" w:rsidP="006D5A65">
      <w:pPr>
        <w:pStyle w:val="Heading2"/>
      </w:pPr>
      <w:r w:rsidRPr="00C97B43">
        <w:t>ATSC – An X indicates that the node is an ATSC (</w:t>
      </w:r>
      <w:r w:rsidR="004E7017" w:rsidRPr="00C97B43">
        <w:t>Alternate</w:t>
      </w:r>
      <w:r w:rsidRPr="00C97B43">
        <w:t xml:space="preserve"> </w:t>
      </w:r>
      <w:r w:rsidRPr="00C97B43">
        <w:rPr>
          <w:snapToGrid w:val="0"/>
        </w:rPr>
        <w:t>Tomahawk Strike Coordinator).</w:t>
      </w:r>
    </w:p>
    <w:p w14:paraId="4A734AD0" w14:textId="77777777" w:rsidR="00FD4743" w:rsidRPr="00C97B43" w:rsidRDefault="00FD4743" w:rsidP="006D5A65">
      <w:pPr>
        <w:pStyle w:val="Heading2"/>
      </w:pPr>
      <w:r w:rsidRPr="00C97B43">
        <w:t>MC – An X indicates that the node is an MC (</w:t>
      </w:r>
      <w:r w:rsidRPr="00C97B43">
        <w:rPr>
          <w:snapToGrid w:val="0"/>
        </w:rPr>
        <w:t>Missile Controller).</w:t>
      </w:r>
    </w:p>
    <w:p w14:paraId="4409EFB8" w14:textId="77777777" w:rsidR="00FD4743" w:rsidRPr="00C97B43" w:rsidRDefault="00FD4743" w:rsidP="006D5A65">
      <w:pPr>
        <w:pStyle w:val="Heading2"/>
      </w:pPr>
      <w:r w:rsidRPr="00C97B43">
        <w:t>LAC – An X indicates that the node is a LAC (</w:t>
      </w:r>
      <w:r w:rsidRPr="00C97B43">
        <w:rPr>
          <w:snapToGrid w:val="0"/>
        </w:rPr>
        <w:t>Launch Area Coordinator).</w:t>
      </w:r>
    </w:p>
    <w:p w14:paraId="4C3E3DBC" w14:textId="77777777" w:rsidR="00FD4743" w:rsidRPr="000665B0" w:rsidRDefault="00FD4743" w:rsidP="006D5A65">
      <w:pPr>
        <w:pStyle w:val="Heading2"/>
      </w:pPr>
      <w:r w:rsidRPr="000665B0">
        <w:lastRenderedPageBreak/>
        <w:t xml:space="preserve">ALAC – An X indicates that the node is an ALAC (Alternate </w:t>
      </w:r>
      <w:r w:rsidRPr="000665B0">
        <w:rPr>
          <w:snapToGrid w:val="0"/>
        </w:rPr>
        <w:t>Launch Area Coordinator).</w:t>
      </w:r>
    </w:p>
    <w:p w14:paraId="0AD3319D" w14:textId="77777777" w:rsidR="00FD4743" w:rsidRPr="000665B0" w:rsidRDefault="00FD4743" w:rsidP="006D5A65">
      <w:pPr>
        <w:pStyle w:val="Heading2"/>
      </w:pPr>
      <w:r w:rsidRPr="000665B0">
        <w:t>FRU – An X indicates that the node is a FRU (</w:t>
      </w:r>
      <w:r w:rsidRPr="000665B0">
        <w:rPr>
          <w:snapToGrid w:val="0"/>
        </w:rPr>
        <w:t>Firing Unit).</w:t>
      </w:r>
    </w:p>
    <w:p w14:paraId="6322FF1E" w14:textId="77777777" w:rsidR="00FD4743" w:rsidRPr="000665B0" w:rsidRDefault="00FD4743" w:rsidP="006D5A65">
      <w:pPr>
        <w:pStyle w:val="Heading2"/>
      </w:pPr>
      <w:r w:rsidRPr="000665B0">
        <w:t>SM – An X indicates that the node is an SM (</w:t>
      </w:r>
      <w:r w:rsidRPr="000665B0">
        <w:rPr>
          <w:snapToGrid w:val="0"/>
        </w:rPr>
        <w:t>Strike Monitor).</w:t>
      </w:r>
    </w:p>
    <w:p w14:paraId="50A20CBF" w14:textId="77777777" w:rsidR="00FD4743" w:rsidRPr="000665B0" w:rsidRDefault="00FD4743" w:rsidP="006D5A65">
      <w:pPr>
        <w:pStyle w:val="Heading2"/>
      </w:pPr>
      <w:r w:rsidRPr="000665B0">
        <w:t>PO – An X indicates that the node is a PO (</w:t>
      </w:r>
      <w:r w:rsidRPr="000665B0">
        <w:rPr>
          <w:snapToGrid w:val="0"/>
        </w:rPr>
        <w:t>Planning Organization).</w:t>
      </w:r>
    </w:p>
    <w:p w14:paraId="425422BD" w14:textId="77777777" w:rsidR="00FD4743" w:rsidRPr="000665B0" w:rsidRDefault="00FD4743" w:rsidP="006D5A65">
      <w:pPr>
        <w:pStyle w:val="Heading2"/>
      </w:pPr>
      <w:r w:rsidRPr="000665B0">
        <w:t>Oper Classif – Security classification of each Tomahawk node (UNCLASSIFIED, SECRET, or TOP SECRET).</w:t>
      </w:r>
    </w:p>
    <w:p w14:paraId="30C590C4" w14:textId="77777777" w:rsidR="00FD4743" w:rsidRPr="000665B0" w:rsidRDefault="00FD4743" w:rsidP="006D5A65">
      <w:pPr>
        <w:pStyle w:val="Heading2"/>
      </w:pPr>
      <w:r w:rsidRPr="000665B0">
        <w:t>Loc Code – Location Code of the node.</w:t>
      </w:r>
    </w:p>
    <w:p w14:paraId="264F7C75" w14:textId="77777777" w:rsidR="00FD4743" w:rsidRPr="000665B0" w:rsidRDefault="00FD4743" w:rsidP="006D5A65">
      <w:pPr>
        <w:pStyle w:val="Heading2"/>
      </w:pPr>
      <w:r w:rsidRPr="000665B0">
        <w:t>SID – Subscriber ID is used when transfer Over The Horizon (OTH) is selected for communication.</w:t>
      </w:r>
    </w:p>
    <w:p w14:paraId="578128E5" w14:textId="77777777" w:rsidR="001E6E38" w:rsidRDefault="00FD4743" w:rsidP="006D5A65">
      <w:pPr>
        <w:pStyle w:val="Heading2"/>
      </w:pPr>
      <w:r w:rsidRPr="000665B0">
        <w:t xml:space="preserve">User Notes – </w:t>
      </w:r>
      <w:r w:rsidR="002A7FC5" w:rsidRPr="000665B0">
        <w:t>Any user notes associated with the node (up to 256 alphanumeric characters).</w:t>
      </w:r>
    </w:p>
    <w:p w14:paraId="3A73C7E1" w14:textId="14CB54CE" w:rsidR="00FD4743" w:rsidRPr="000665B0" w:rsidRDefault="00FD4743" w:rsidP="006D5A65">
      <w:pPr>
        <w:pStyle w:val="Heading2"/>
      </w:pPr>
      <w:r w:rsidRPr="001E6E38">
        <w:t xml:space="preserve">Status </w:t>
      </w:r>
      <w:r w:rsidRPr="000665B0">
        <w:t>–</w:t>
      </w:r>
      <w:r w:rsidR="002A7FC5" w:rsidRPr="000665B0">
        <w:t xml:space="preserve"> The status of the node.</w:t>
      </w:r>
    </w:p>
    <w:p w14:paraId="06C7DEC1" w14:textId="77777777" w:rsidR="00396E9B" w:rsidRPr="000665B0" w:rsidRDefault="00396E9B"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3CB947B0" w14:textId="7AF0ACDE" w:rsidR="005379FF" w:rsidRPr="000665B0" w:rsidRDefault="00334BF0" w:rsidP="00474A1F">
      <w:pPr>
        <w:tabs>
          <w:tab w:val="left" w:pos="720"/>
        </w:tabs>
      </w:pPr>
      <w:r w:rsidRPr="000665B0">
        <w:t xml:space="preserve">As in other list views, </w:t>
      </w:r>
      <w:r w:rsidR="00AB79FF" w:rsidRPr="000665B0">
        <w:t xml:space="preserve">items can be selected to </w:t>
      </w:r>
      <w:r w:rsidR="00CF3A43" w:rsidRPr="000665B0">
        <w:t>D</w:t>
      </w:r>
      <w:r w:rsidRPr="000665B0">
        <w:t xml:space="preserve">isplay </w:t>
      </w:r>
      <w:r w:rsidR="00CF3A43" w:rsidRPr="000665B0">
        <w:t>T</w:t>
      </w:r>
      <w:r w:rsidRPr="000665B0">
        <w:t xml:space="preserve">extually (see </w:t>
      </w:r>
      <w:hyperlink w:anchor="_5.2.1.2.4__Display_1" w:history="1">
        <w:r w:rsidRPr="000665B0">
          <w:rPr>
            <w:rStyle w:val="Hyperlink"/>
          </w:rPr>
          <w:t>Section 5.2.1.2.4</w:t>
        </w:r>
      </w:hyperlink>
      <w:r w:rsidRPr="00B260C9">
        <w:rPr>
          <w:rStyle w:val="Hyperlink"/>
          <w:color w:val="auto"/>
        </w:rPr>
        <w:t>)</w:t>
      </w:r>
      <w:r w:rsidRPr="000665B0">
        <w:t xml:space="preserve">, </w:t>
      </w:r>
      <w:r w:rsidR="00CF3A43" w:rsidRPr="000665B0">
        <w:t>D</w:t>
      </w:r>
      <w:r w:rsidRPr="000665B0">
        <w:t xml:space="preserve">isplay </w:t>
      </w:r>
      <w:r w:rsidR="00CF3A43" w:rsidRPr="000665B0">
        <w:t>G</w:t>
      </w:r>
      <w:r w:rsidRPr="000665B0">
        <w:t xml:space="preserve">eographically (see </w:t>
      </w:r>
      <w:hyperlink w:anchor="_5.2.1.2.2__Display_1" w:history="1">
        <w:r w:rsidRPr="000665B0">
          <w:rPr>
            <w:rStyle w:val="Hyperlink"/>
          </w:rPr>
          <w:t>Section 5.2.1.2.2</w:t>
        </w:r>
      </w:hyperlink>
      <w:r w:rsidRPr="00B260C9">
        <w:rPr>
          <w:rStyle w:val="Hyperlink"/>
          <w:color w:val="auto"/>
        </w:rPr>
        <w:t>)</w:t>
      </w:r>
      <w:r w:rsidRPr="000665B0">
        <w:t xml:space="preserve">, </w:t>
      </w:r>
      <w:r w:rsidR="00CF3A43" w:rsidRPr="000665B0">
        <w:t>D</w:t>
      </w:r>
      <w:r w:rsidRPr="000665B0">
        <w:t xml:space="preserve">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B260C9">
        <w:rPr>
          <w:rStyle w:val="Hyperlink"/>
          <w:color w:val="auto"/>
        </w:rPr>
        <w:t>)</w:t>
      </w:r>
      <w:r w:rsidRPr="000665B0">
        <w:t>.</w:t>
      </w:r>
    </w:p>
    <w:p w14:paraId="2AFFFFE8" w14:textId="39579506" w:rsidR="0078503C" w:rsidRPr="000665B0" w:rsidRDefault="0078503C" w:rsidP="00B260C9">
      <w:pPr>
        <w:pStyle w:val="Heading3"/>
      </w:pPr>
      <w:bookmarkStart w:id="6281" w:name="_5.37.6__Options"/>
      <w:bookmarkStart w:id="6282" w:name="_Options"/>
      <w:bookmarkStart w:id="6283" w:name="_Toc214283560"/>
      <w:bookmarkStart w:id="6284" w:name="_Toc289328858"/>
      <w:bookmarkStart w:id="6285" w:name="_Toc312332068"/>
      <w:bookmarkStart w:id="6286" w:name="_Hlk43292358"/>
      <w:bookmarkEnd w:id="6281"/>
      <w:bookmarkEnd w:id="6282"/>
      <w:r w:rsidRPr="000665B0">
        <w:t>Options</w:t>
      </w:r>
      <w:bookmarkEnd w:id="6283"/>
      <w:r w:rsidRPr="000665B0">
        <w:t xml:space="preserve"> </w:t>
      </w:r>
      <w:bookmarkEnd w:id="6276"/>
      <w:bookmarkEnd w:id="6277"/>
      <w:bookmarkEnd w:id="6278"/>
      <w:bookmarkEnd w:id="6279"/>
      <w:bookmarkEnd w:id="6280"/>
      <w:bookmarkEnd w:id="6284"/>
      <w:bookmarkEnd w:id="6285"/>
    </w:p>
    <w:p w14:paraId="3A09405F" w14:textId="502DBC50" w:rsidR="0078503C" w:rsidRPr="000665B0" w:rsidRDefault="0078503C" w:rsidP="00474A1F">
      <w:pPr>
        <w:tabs>
          <w:tab w:val="left" w:pos="720"/>
        </w:tabs>
      </w:pPr>
      <w:r w:rsidRPr="000665B0">
        <w:t xml:space="preserve">The </w:t>
      </w:r>
      <w:r w:rsidRPr="000665B0">
        <w:rPr>
          <w:b/>
          <w:bCs/>
        </w:rPr>
        <w:t xml:space="preserve">Options </w:t>
      </w:r>
      <w:r w:rsidR="004A0BAF" w:rsidRPr="000665B0">
        <w:rPr>
          <w:bCs/>
        </w:rPr>
        <w:t xml:space="preserve">selection is a Strike Folder tool that is used to </w:t>
      </w:r>
      <w:r w:rsidR="003874EF" w:rsidRPr="000665B0">
        <w:rPr>
          <w:bCs/>
        </w:rPr>
        <w:t xml:space="preserve">create and manage </w:t>
      </w:r>
      <w:r w:rsidR="005379FF" w:rsidRPr="000665B0">
        <w:rPr>
          <w:bCs/>
        </w:rPr>
        <w:t>Strike O</w:t>
      </w:r>
      <w:r w:rsidR="003874EF" w:rsidRPr="000665B0">
        <w:rPr>
          <w:bCs/>
        </w:rPr>
        <w:t>ptions in order</w:t>
      </w:r>
      <w:r w:rsidR="00C75898" w:rsidRPr="000665B0">
        <w:rPr>
          <w:bCs/>
        </w:rPr>
        <w:t xml:space="preserve"> to </w:t>
      </w:r>
      <w:r w:rsidR="004A0BAF" w:rsidRPr="000665B0">
        <w:rPr>
          <w:bCs/>
        </w:rPr>
        <w:t>meet Strike objectives</w:t>
      </w:r>
      <w:r w:rsidRPr="000665B0">
        <w:t xml:space="preserve">. </w:t>
      </w:r>
      <w:r w:rsidR="005379FF" w:rsidRPr="000665B0">
        <w:t>One or more</w:t>
      </w:r>
      <w:r w:rsidR="004A0BAF" w:rsidRPr="000665B0">
        <w:t xml:space="preserve"> Options</w:t>
      </w:r>
      <w:r w:rsidR="00C75898" w:rsidRPr="000665B0">
        <w:t xml:space="preserve"> can be created where the assets and tasking previously entered in the Tasking, Candidate</w:t>
      </w:r>
      <w:r w:rsidR="008B743F" w:rsidRPr="000665B0">
        <w:t>s</w:t>
      </w:r>
      <w:r w:rsidR="00C75898" w:rsidRPr="000665B0">
        <w:t xml:space="preserve"> Matrix, and Organization tools are used</w:t>
      </w:r>
      <w:r w:rsidR="004A0BAF" w:rsidRPr="000665B0">
        <w:t xml:space="preserve"> in order to meet the</w:t>
      </w:r>
      <w:r w:rsidR="00C75898" w:rsidRPr="000665B0">
        <w:t xml:space="preserve"> Strike Folder’s</w:t>
      </w:r>
      <w:r w:rsidR="004A0BAF" w:rsidRPr="000665B0">
        <w:t xml:space="preserve"> requirements and objectives. The </w:t>
      </w:r>
      <w:r w:rsidR="004A0BAF" w:rsidRPr="000665B0">
        <w:rPr>
          <w:b/>
        </w:rPr>
        <w:t>Options</w:t>
      </w:r>
      <w:r w:rsidR="004A0BAF" w:rsidRPr="000665B0">
        <w:t xml:space="preserve"> tool is used to</w:t>
      </w:r>
      <w:r w:rsidRPr="000665B0">
        <w:t xml:space="preserve"> make platform, missile, and mission assignments</w:t>
      </w:r>
      <w:r w:rsidR="00C75898" w:rsidRPr="000665B0">
        <w:t>, and an ESP or</w:t>
      </w:r>
      <w:r w:rsidR="004E61BF" w:rsidRPr="000665B0">
        <w:t xml:space="preserve"> an</w:t>
      </w:r>
      <w:r w:rsidR="00C75898" w:rsidRPr="000665B0">
        <w:t xml:space="preserve"> INDIGO message can be generated</w:t>
      </w:r>
      <w:r w:rsidRPr="000665B0">
        <w:t xml:space="preserve">. The user can also establish time on target, and for </w:t>
      </w:r>
      <w:r w:rsidR="00D732EE" w:rsidRPr="000665B0">
        <w:t>109E</w:t>
      </w:r>
      <w:r w:rsidRPr="000665B0">
        <w:t xml:space="preserve"> missiles, indicate the necessary information for establishing and participating in the TSN.</w:t>
      </w:r>
    </w:p>
    <w:p w14:paraId="0FF7553B" w14:textId="77777777" w:rsidR="00A958D1" w:rsidRPr="000665B0" w:rsidRDefault="00A958D1" w:rsidP="00474A1F">
      <w:pPr>
        <w:tabs>
          <w:tab w:val="left" w:pos="720"/>
          <w:tab w:val="left" w:pos="2880"/>
        </w:tabs>
      </w:pPr>
      <w:r w:rsidRPr="000665B0">
        <w:t>To ensure that a Strike Option is complete for changing into a Strike Package, fields and list views are colored to remind user that the Strike Option is not complete until data have been entered for mandatory fields and list views. The rules for the color scheme are as follows:</w:t>
      </w:r>
    </w:p>
    <w:p w14:paraId="1E8D6E4F" w14:textId="77777777" w:rsidR="00A958D1" w:rsidRPr="000665B0" w:rsidRDefault="00A958D1" w:rsidP="006D5A65">
      <w:pPr>
        <w:pStyle w:val="Heading1"/>
      </w:pPr>
      <w:r w:rsidRPr="000665B0">
        <w:t xml:space="preserve">Respectively, fields or list views such as one in the Missile tab (as an example) that are mandatory to contain data or an </w:t>
      </w:r>
      <w:r w:rsidRPr="000665B0">
        <w:lastRenderedPageBreak/>
        <w:t>entry in order to turn the Strike Option into a Strike Package will be highlighted with a purple color.</w:t>
      </w:r>
    </w:p>
    <w:p w14:paraId="32CD972E" w14:textId="4C4D8A42" w:rsidR="00A958D1" w:rsidRPr="000665B0" w:rsidRDefault="00A958D1" w:rsidP="006D5A65">
      <w:pPr>
        <w:pStyle w:val="Heading1"/>
      </w:pPr>
      <w:r w:rsidRPr="000665B0">
        <w:t>When data entr</w:t>
      </w:r>
      <w:r w:rsidR="00B27643" w:rsidRPr="000665B0">
        <w:t>y</w:t>
      </w:r>
      <w:r w:rsidRPr="000665B0">
        <w:t>(ies) have been satisfied for changing a Strike Option into a Strike Package but the filled in data necessitate additional mandatory data to be fill</w:t>
      </w:r>
      <w:r w:rsidR="00E81586" w:rsidRPr="000665B0">
        <w:t>ed</w:t>
      </w:r>
      <w:r w:rsidRPr="000665B0">
        <w:t xml:space="preserve"> in</w:t>
      </w:r>
      <w:r w:rsidR="003B2F5A" w:rsidRPr="000665B0">
        <w:t>,</w:t>
      </w:r>
      <w:r w:rsidRPr="000665B0">
        <w:t xml:space="preserve"> then those newly required data fields and the tab that those data fields reside in will be highlighted in yellow color. For example, a 109E missile assignment with Comms enabled would necessitate additional TSN information to be filled in. In this case, the TSN Comms tab will be highlighted in </w:t>
      </w:r>
      <w:r w:rsidR="00D56821" w:rsidRPr="000665B0">
        <w:t>yellow,</w:t>
      </w:r>
      <w:r w:rsidRPr="000665B0">
        <w:t xml:space="preserve"> and the mandatory fields contained in the tab will be </w:t>
      </w:r>
      <w:r w:rsidR="00B27643" w:rsidRPr="000665B0">
        <w:t>highlighted</w:t>
      </w:r>
      <w:r w:rsidRPr="000665B0">
        <w:t xml:space="preserve"> in yellow as well.</w:t>
      </w:r>
    </w:p>
    <w:p w14:paraId="142D8852" w14:textId="77777777" w:rsidR="00A958D1" w:rsidRPr="000665B0" w:rsidRDefault="00A958D1" w:rsidP="006D5A65">
      <w:pPr>
        <w:pStyle w:val="Heading1"/>
      </w:pPr>
      <w:r w:rsidRPr="000665B0">
        <w:t>Once a Strike Option has become a saved Strike Package, any changes in the strike package that would cause a mandatory field to be missing again will cause that field to be highlighted in yellow again. If the user ignores the highlight and views another tab, then the tab containing the missing mandatory data field will be highlighted in yellow.</w:t>
      </w:r>
    </w:p>
    <w:p w14:paraId="31D365A4" w14:textId="77777777" w:rsidR="00A958D1" w:rsidRPr="000665B0" w:rsidRDefault="00A958D1" w:rsidP="006D5A65">
      <w:pPr>
        <w:pStyle w:val="Heading1"/>
      </w:pPr>
      <w:r w:rsidRPr="000665B0">
        <w:t>Any time the Strike Package has been modified such that the required data field or list view is missing or empty and is mandatory for a Strike Package, the tab containing the required data field or list view will be highlighted in purple.</w:t>
      </w:r>
    </w:p>
    <w:p w14:paraId="15EF12BB" w14:textId="77777777" w:rsidR="00A958D1" w:rsidRPr="000665B0" w:rsidRDefault="00A958D1" w:rsidP="006D5A65">
      <w:pPr>
        <w:pStyle w:val="Heading1"/>
      </w:pPr>
      <w:r w:rsidRPr="000665B0">
        <w:t>Any time a required data field</w:t>
      </w:r>
      <w:r w:rsidR="007E093B" w:rsidRPr="000665B0">
        <w:t>/list view</w:t>
      </w:r>
      <w:r w:rsidRPr="000665B0">
        <w:t xml:space="preserve"> becomes empty</w:t>
      </w:r>
      <w:r w:rsidR="007E093B" w:rsidRPr="000665B0">
        <w:t>,</w:t>
      </w:r>
      <w:r w:rsidRPr="000665B0">
        <w:t xml:space="preserve"> that field</w:t>
      </w:r>
      <w:r w:rsidR="007E093B" w:rsidRPr="000665B0">
        <w:t>/list view</w:t>
      </w:r>
      <w:r w:rsidRPr="000665B0">
        <w:t xml:space="preserve"> will change color</w:t>
      </w:r>
      <w:r w:rsidR="007E093B" w:rsidRPr="000665B0">
        <w:t>. If the user ignores the highlight and views another tab, then</w:t>
      </w:r>
      <w:r w:rsidRPr="000665B0">
        <w:t xml:space="preserve"> the tab containing the </w:t>
      </w:r>
      <w:r w:rsidR="007E093B" w:rsidRPr="000665B0">
        <w:t xml:space="preserve">mandatory </w:t>
      </w:r>
      <w:r w:rsidRPr="000665B0">
        <w:t>field</w:t>
      </w:r>
      <w:r w:rsidR="007E093B" w:rsidRPr="000665B0">
        <w:t>/list view</w:t>
      </w:r>
      <w:r w:rsidRPr="000665B0">
        <w:t xml:space="preserve"> will change color as well.</w:t>
      </w:r>
    </w:p>
    <w:p w14:paraId="0FAE54B9" w14:textId="77777777" w:rsidR="00A958D1" w:rsidRPr="000665B0" w:rsidRDefault="00A958D1" w:rsidP="00474A1F">
      <w:pPr>
        <w:pStyle w:val="BodyTextIndent2"/>
        <w:tabs>
          <w:tab w:val="left" w:pos="720"/>
        </w:tabs>
        <w:spacing w:line="240" w:lineRule="auto"/>
        <w:ind w:left="0"/>
      </w:pPr>
      <w:r w:rsidRPr="000665B0">
        <w:t xml:space="preserve">The highlight facilitates a user’s awareness that the Strike Option or the Strike Package is incomplete. If a user is still unaware of the highlight and tries to change the Strike Option into a Strike Package or tries to save the </w:t>
      </w:r>
      <w:r w:rsidR="00B27643" w:rsidRPr="000665B0">
        <w:t>existing</w:t>
      </w:r>
      <w:r w:rsidRPr="000665B0">
        <w:t xml:space="preserve"> Strike Package, the tool will prevent the user from successively completing the action until the required missing data have been entered satisfactorily.</w:t>
      </w:r>
    </w:p>
    <w:p w14:paraId="2DF4E6F2" w14:textId="77777777" w:rsidR="0078503C" w:rsidRPr="000665B0" w:rsidRDefault="0078503C" w:rsidP="002C16B8">
      <w:pPr>
        <w:pStyle w:val="BodyTextIndent2"/>
        <w:keepNext/>
        <w:tabs>
          <w:tab w:val="left" w:pos="720"/>
        </w:tabs>
        <w:spacing w:line="240" w:lineRule="auto"/>
        <w:ind w:left="0"/>
      </w:pPr>
      <w:r w:rsidRPr="000665B0">
        <w:t xml:space="preserve">To open the </w:t>
      </w:r>
      <w:r w:rsidRPr="000665B0">
        <w:rPr>
          <w:b/>
        </w:rPr>
        <w:t>Options</w:t>
      </w:r>
      <w:r w:rsidRPr="000665B0">
        <w:t xml:space="preserve"> </w:t>
      </w:r>
      <w:r w:rsidR="004A0BAF" w:rsidRPr="000665B0">
        <w:t>t</w:t>
      </w:r>
      <w:r w:rsidR="00114F03" w:rsidRPr="000665B0">
        <w:t>ool</w:t>
      </w:r>
      <w:r w:rsidRPr="000665B0">
        <w:t>:</w:t>
      </w:r>
    </w:p>
    <w:p w14:paraId="274C8C0F" w14:textId="77777777" w:rsidR="00114F03" w:rsidRPr="000665B0" w:rsidRDefault="00114F03" w:rsidP="006D5A65">
      <w:pPr>
        <w:pStyle w:val="Heading1"/>
      </w:pPr>
      <w:r w:rsidRPr="000665B0">
        <w:t xml:space="preserve">From the main </w:t>
      </w:r>
      <w:r w:rsidRPr="000665B0">
        <w:rPr>
          <w:i/>
        </w:rPr>
        <w:t>Strike Folders</w:t>
      </w:r>
      <w:r w:rsidRPr="000665B0">
        <w:t xml:space="preserve"> window highlight the appropriate Strike Folder. </w:t>
      </w:r>
    </w:p>
    <w:p w14:paraId="3EA5F37E" w14:textId="6534EB77" w:rsidR="00114F03" w:rsidRPr="000665B0" w:rsidRDefault="0037038E" w:rsidP="006D5A65">
      <w:pPr>
        <w:pStyle w:val="Heading1"/>
      </w:pPr>
      <w:r w:rsidRPr="000665B0">
        <w:t>Double-click</w:t>
      </w:r>
      <w:r w:rsidR="00114F03" w:rsidRPr="000665B0">
        <w:t xml:space="preserve"> to display the Strike Folder </w:t>
      </w:r>
      <w:r w:rsidR="00D56821" w:rsidRPr="000665B0">
        <w:t>textually or</w:t>
      </w:r>
      <w:r w:rsidR="00114F03" w:rsidRPr="000665B0">
        <w:t xml:space="preserve"> invoke the context menu (</w:t>
      </w:r>
      <w:r w:rsidR="00D71804" w:rsidRPr="000665B0">
        <w:t>right-click</w:t>
      </w:r>
      <w:r w:rsidR="00114F03" w:rsidRPr="000665B0">
        <w:t xml:space="preserve"> the mouse) and select Display </w:t>
      </w:r>
      <w:r w:rsidR="00114F03" w:rsidRPr="000665B0">
        <w:sym w:font="Wingdings 3" w:char="F07D"/>
      </w:r>
      <w:r w:rsidR="00114F03" w:rsidRPr="000665B0">
        <w:t xml:space="preserve"> </w:t>
      </w:r>
      <w:r w:rsidR="00C2789D" w:rsidRPr="000665B0">
        <w:t>Textually or</w:t>
      </w:r>
      <w:r w:rsidR="00114F03" w:rsidRPr="000665B0">
        <w:t xml:space="preserve"> select File </w:t>
      </w:r>
      <w:r w:rsidR="00114F03" w:rsidRPr="000665B0">
        <w:sym w:font="Wingdings" w:char="F0E0"/>
      </w:r>
      <w:r w:rsidR="00114F03" w:rsidRPr="000665B0">
        <w:t xml:space="preserve"> Display </w:t>
      </w:r>
      <w:r w:rsidR="00114F03" w:rsidRPr="000665B0">
        <w:sym w:font="Wingdings 3" w:char="F07D"/>
      </w:r>
      <w:r w:rsidR="00114F03" w:rsidRPr="000665B0">
        <w:t xml:space="preserve"> Textually. </w:t>
      </w:r>
    </w:p>
    <w:p w14:paraId="7F7AECA8" w14:textId="15E03457" w:rsidR="00114F03" w:rsidRPr="000665B0" w:rsidRDefault="00114F03" w:rsidP="006D5A65">
      <w:pPr>
        <w:pStyle w:val="Heading1"/>
      </w:pPr>
      <w:r w:rsidRPr="000665B0">
        <w:t xml:space="preserve">From the </w:t>
      </w:r>
      <w:r w:rsidRPr="000665B0">
        <w:rPr>
          <w:i/>
        </w:rPr>
        <w:t xml:space="preserve">Strike Folder xxxxx-xxxxx </w:t>
      </w:r>
      <w:r w:rsidRPr="000665B0">
        <w:t xml:space="preserve">window, </w:t>
      </w:r>
      <w:r w:rsidR="0037038E" w:rsidRPr="000665B0">
        <w:t>double-click</w:t>
      </w:r>
      <w:r w:rsidRPr="000665B0">
        <w:t xml:space="preserve"> the Options </w:t>
      </w:r>
      <w:r w:rsidRPr="000665B0">
        <w:rPr>
          <w:bCs/>
          <w:noProof/>
        </w:rPr>
        <w:drawing>
          <wp:inline distT="0" distB="0" distL="0" distR="0" wp14:anchorId="2A0DB843" wp14:editId="0D79A1DF">
            <wp:extent cx="152400" cy="152400"/>
            <wp:effectExtent l="19050" t="0" r="0" b="0"/>
            <wp:docPr id="436" name="Picture 436" descr="StrikeOption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StrikeOption_16"/>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w:t>
      </w:r>
    </w:p>
    <w:p w14:paraId="29D5D89A" w14:textId="77777777" w:rsidR="00114F03" w:rsidRPr="000665B0" w:rsidRDefault="00114F03" w:rsidP="00474A1F">
      <w:pPr>
        <w:pStyle w:val="number02050"/>
        <w:tabs>
          <w:tab w:val="left" w:pos="720"/>
        </w:tabs>
        <w:ind w:left="360" w:firstLine="0"/>
      </w:pPr>
      <w:r w:rsidRPr="000665B0">
        <w:t>or</w:t>
      </w:r>
    </w:p>
    <w:p w14:paraId="0BE35142" w14:textId="77777777" w:rsidR="00114F03" w:rsidRPr="000665B0" w:rsidRDefault="00114F03" w:rsidP="006D5A65">
      <w:pPr>
        <w:pStyle w:val="Heading1"/>
      </w:pPr>
      <w:r w:rsidRPr="000665B0">
        <w:lastRenderedPageBreak/>
        <w:t xml:space="preserve">From the main </w:t>
      </w:r>
      <w:r w:rsidRPr="000665B0">
        <w:rPr>
          <w:i/>
        </w:rPr>
        <w:t>Strike Folders</w:t>
      </w:r>
      <w:r w:rsidRPr="000665B0">
        <w:t xml:space="preserve"> window select the appropriate Strike Folder. </w:t>
      </w:r>
    </w:p>
    <w:p w14:paraId="2AB10521" w14:textId="28A06902" w:rsidR="00114F03" w:rsidRPr="000665B0" w:rsidRDefault="00114F03" w:rsidP="006D5A65">
      <w:pPr>
        <w:pStyle w:val="Heading1"/>
      </w:pPr>
      <w:r w:rsidRPr="000665B0">
        <w:t>Invoke the context menu (</w:t>
      </w:r>
      <w:r w:rsidR="00D71804" w:rsidRPr="000665B0">
        <w:t>right-click</w:t>
      </w:r>
      <w:r w:rsidRPr="000665B0">
        <w:t xml:space="preserve"> the mouse) and select Display </w:t>
      </w:r>
      <w:r w:rsidRPr="000665B0">
        <w:sym w:font="Wingdings 3" w:char="F07D"/>
      </w:r>
      <w:r w:rsidRPr="000665B0">
        <w:t xml:space="preserve"> Options </w:t>
      </w:r>
      <w:r w:rsidRPr="000665B0">
        <w:sym w:font="Wingdings 3" w:char="F07D"/>
      </w:r>
      <w:r w:rsidRPr="000665B0">
        <w:t xml:space="preserve"> All Options (alternatively</w:t>
      </w:r>
      <w:r w:rsidR="007C71AB" w:rsidRPr="000665B0">
        <w:t>,</w:t>
      </w:r>
      <w:r w:rsidRPr="000665B0">
        <w:t xml:space="preserve"> select specific Options to display individually).</w:t>
      </w:r>
    </w:p>
    <w:p w14:paraId="641E86A6" w14:textId="77777777" w:rsidR="00114F03" w:rsidRPr="000665B0" w:rsidRDefault="00114F03" w:rsidP="006D5A65">
      <w:pPr>
        <w:pStyle w:val="Heading1"/>
      </w:pPr>
      <w:r w:rsidRPr="000665B0">
        <w:t xml:space="preserve">The </w:t>
      </w:r>
      <w:r w:rsidRPr="000665B0">
        <w:rPr>
          <w:i/>
        </w:rPr>
        <w:t>Strike</w:t>
      </w:r>
      <w:r w:rsidRPr="000665B0">
        <w:t xml:space="preserve"> </w:t>
      </w:r>
      <w:r w:rsidRPr="000665B0">
        <w:rPr>
          <w:i/>
        </w:rPr>
        <w:t>Options for Strike Folder: xxxxx-xxxxx</w:t>
      </w:r>
      <w:r w:rsidRPr="000665B0">
        <w:t xml:space="preserve"> window is displayed. If a specific Option was selected, the </w:t>
      </w:r>
      <w:r w:rsidRPr="000665B0">
        <w:rPr>
          <w:i/>
        </w:rPr>
        <w:t>Strike Option</w:t>
      </w:r>
      <w:r w:rsidR="005379FF" w:rsidRPr="000665B0">
        <w:rPr>
          <w:i/>
        </w:rPr>
        <w:t>:</w:t>
      </w:r>
      <w:r w:rsidRPr="000665B0">
        <w:rPr>
          <w:i/>
        </w:rPr>
        <w:t xml:space="preserve"> xxxxx-xxxxx-xxxxx</w:t>
      </w:r>
      <w:r w:rsidRPr="000665B0">
        <w:t xml:space="preserve"> window is displayed.</w:t>
      </w:r>
    </w:p>
    <w:p w14:paraId="022068F9" w14:textId="1039E4BB" w:rsidR="0078503C" w:rsidRPr="000665B0" w:rsidRDefault="00F523A9" w:rsidP="00474A1F">
      <w:pPr>
        <w:tabs>
          <w:tab w:val="left" w:pos="720"/>
        </w:tabs>
        <w:spacing w:after="240"/>
        <w:jc w:val="center"/>
      </w:pPr>
      <w:r w:rsidRPr="000665B0">
        <w:rPr>
          <w:noProof/>
        </w:rPr>
        <w:drawing>
          <wp:inline distT="0" distB="0" distL="0" distR="0" wp14:anchorId="674AD1A6" wp14:editId="7C6AF43C">
            <wp:extent cx="4983480" cy="640080"/>
            <wp:effectExtent l="0" t="0" r="0" b="0"/>
            <wp:docPr id="1993" name="Picture 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640080"/>
                    </a:xfrm>
                    <a:prstGeom prst="rect">
                      <a:avLst/>
                    </a:prstGeom>
                  </pic:spPr>
                </pic:pic>
              </a:graphicData>
            </a:graphic>
          </wp:inline>
        </w:drawing>
      </w:r>
    </w:p>
    <w:p w14:paraId="3067C3B1" w14:textId="750E98BB" w:rsidR="00C75898" w:rsidRPr="000665B0" w:rsidRDefault="00C75898" w:rsidP="006D5A65">
      <w:pPr>
        <w:pStyle w:val="Heading1"/>
      </w:pPr>
      <w:r w:rsidRPr="000665B0">
        <w:t>Context and</w:t>
      </w:r>
      <w:r w:rsidR="00B23DCF" w:rsidRPr="000665B0">
        <w:t>/or</w:t>
      </w:r>
      <w:r w:rsidRPr="000665B0">
        <w:t xml:space="preserve"> File Menu</w:t>
      </w:r>
    </w:p>
    <w:p w14:paraId="17CB2FBA" w14:textId="77777777" w:rsidR="00C75898" w:rsidRPr="000665B0" w:rsidRDefault="00C75898" w:rsidP="006D5A65">
      <w:pPr>
        <w:pStyle w:val="Heading2"/>
      </w:pPr>
      <w:r w:rsidRPr="000665B0">
        <w:t>New</w:t>
      </w:r>
      <w:r w:rsidRPr="000665B0">
        <w:rPr>
          <w:bCs/>
        </w:rPr>
        <w:t xml:space="preserve">… – </w:t>
      </w:r>
      <w:r w:rsidRPr="000665B0">
        <w:t xml:space="preserve">Brings up a new </w:t>
      </w:r>
      <w:r w:rsidRPr="000665B0">
        <w:rPr>
          <w:i/>
        </w:rPr>
        <w:t>Strike Option</w:t>
      </w:r>
      <w:r w:rsidRPr="000665B0">
        <w:t xml:space="preserve"> window.</w:t>
      </w:r>
    </w:p>
    <w:p w14:paraId="68F2B58E" w14:textId="77777777" w:rsidR="00C75898" w:rsidRPr="000665B0" w:rsidRDefault="00C75898" w:rsidP="006D5A65">
      <w:pPr>
        <w:pStyle w:val="Heading2"/>
      </w:pPr>
      <w:r w:rsidRPr="000665B0">
        <w:t>Display</w:t>
      </w:r>
    </w:p>
    <w:p w14:paraId="422BF143" w14:textId="77777777" w:rsidR="00C75898" w:rsidRPr="000665B0" w:rsidRDefault="00C75898" w:rsidP="006D5A65">
      <w:pPr>
        <w:pStyle w:val="Heading3"/>
      </w:pPr>
      <w:r w:rsidRPr="000665B0">
        <w:t>Textually – Displays the selected items textually.</w:t>
      </w:r>
    </w:p>
    <w:p w14:paraId="2AD367AA" w14:textId="77777777" w:rsidR="00C75898" w:rsidRPr="000665B0" w:rsidRDefault="00C75898" w:rsidP="006D5A65">
      <w:pPr>
        <w:pStyle w:val="Heading3"/>
      </w:pPr>
      <w:r w:rsidRPr="000665B0">
        <w:t>INDIGO – Displays the INDIGO for the selected items.</w:t>
      </w:r>
    </w:p>
    <w:p w14:paraId="0B3CB3D0" w14:textId="77777777" w:rsidR="00C75898" w:rsidRPr="000665B0" w:rsidRDefault="00C75898" w:rsidP="006D5A65">
      <w:pPr>
        <w:pStyle w:val="Heading3"/>
      </w:pPr>
      <w:r w:rsidRPr="000665B0">
        <w:t>Geographically – Displays the selected items geographically.</w:t>
      </w:r>
    </w:p>
    <w:p w14:paraId="32CAD7E1" w14:textId="77777777" w:rsidR="00C75898" w:rsidRPr="000665B0" w:rsidRDefault="00C75898" w:rsidP="006D5A65">
      <w:pPr>
        <w:pStyle w:val="Heading3"/>
      </w:pPr>
      <w:r w:rsidRPr="000665B0">
        <w:t>All in Excel – Creates an Excel document containing the selected item’s information.</w:t>
      </w:r>
    </w:p>
    <w:p w14:paraId="2AC897C0" w14:textId="77777777" w:rsidR="00C75898" w:rsidRPr="000665B0" w:rsidRDefault="00C75898" w:rsidP="006D5A65">
      <w:pPr>
        <w:pStyle w:val="Heading2"/>
      </w:pPr>
      <w:r w:rsidRPr="000665B0">
        <w:t>Reports</w:t>
      </w:r>
    </w:p>
    <w:p w14:paraId="6C725F63" w14:textId="5FF9601E" w:rsidR="00C75898" w:rsidRPr="000665B0" w:rsidRDefault="00C75898" w:rsidP="006D5A65">
      <w:pPr>
        <w:pStyle w:val="Heading3"/>
      </w:pPr>
      <w:r w:rsidRPr="000665B0">
        <w:t xml:space="preserve">Custom – Displays a window of reports that can be produced. For more information on Custom Reports see </w:t>
      </w:r>
      <w:hyperlink w:anchor="_5.2.1.3__Custom" w:history="1">
        <w:r w:rsidRPr="000665B0">
          <w:rPr>
            <w:rStyle w:val="Hyperlink"/>
          </w:rPr>
          <w:t>Section 5.2.1.3</w:t>
        </w:r>
      </w:hyperlink>
      <w:r w:rsidRPr="000665B0">
        <w:t>.</w:t>
      </w:r>
    </w:p>
    <w:p w14:paraId="7AC25378" w14:textId="77777777" w:rsidR="00C75898" w:rsidRPr="00C36B36" w:rsidRDefault="00C75898" w:rsidP="006D5A65">
      <w:pPr>
        <w:pStyle w:val="Heading3"/>
        <w:rPr>
          <w:color w:val="000000" w:themeColor="text1"/>
        </w:rPr>
      </w:pPr>
      <w:r w:rsidRPr="000665B0">
        <w:t>Strike Briefing – Produces a Strike Briefing PowerPoint presentation.</w:t>
      </w:r>
      <w:r w:rsidR="00D754C9" w:rsidRPr="000665B0">
        <w:t xml:space="preserve"> Ensure </w:t>
      </w:r>
      <w:r w:rsidR="00D754C9" w:rsidRPr="00C36B36">
        <w:rPr>
          <w:color w:val="000000" w:themeColor="text1"/>
        </w:rPr>
        <w:t>that the report has finished generating before initiating any other reports.</w:t>
      </w:r>
    </w:p>
    <w:p w14:paraId="0C092233" w14:textId="77777777" w:rsidR="00C75898" w:rsidRDefault="00C75898" w:rsidP="006D5A65">
      <w:pPr>
        <w:pStyle w:val="Heading3"/>
      </w:pPr>
      <w:r w:rsidRPr="00C36B36">
        <w:t>TSN Comms Configuration – Produces a report of the TSN Comms settings.</w:t>
      </w:r>
      <w:r w:rsidR="00D754C9" w:rsidRPr="00C36B36">
        <w:t xml:space="preserve"> Ensure that the report has finished generating before initiating any other reports.</w:t>
      </w:r>
    </w:p>
    <w:p w14:paraId="6B3EA689" w14:textId="1C716278" w:rsidR="001D0417" w:rsidRPr="00C36B36" w:rsidRDefault="001D0417" w:rsidP="006D5A65">
      <w:pPr>
        <w:pStyle w:val="Heading3"/>
      </w:pPr>
      <w:r w:rsidRPr="00C36B36">
        <w:t>Generate BDA Input Report – Produces a Battle Damage Assessment report from the selected Strike Options (TLAM Only). Ensure that the report has finished generating before initiating any other reports.</w:t>
      </w:r>
      <w:r>
        <w:t xml:space="preserve"> For more information on BDA reports, see </w:t>
      </w:r>
      <w:hyperlink w:anchor="Appendix_B" w:history="1">
        <w:r w:rsidRPr="0038181F">
          <w:rPr>
            <w:rStyle w:val="Hyperlink"/>
            <w:bCs/>
          </w:rPr>
          <w:t>Appendix B</w:t>
        </w:r>
      </w:hyperlink>
      <w:r>
        <w:t>.</w:t>
      </w:r>
    </w:p>
    <w:p w14:paraId="266180DF" w14:textId="26C0783F" w:rsidR="00B44811" w:rsidRDefault="007B419B" w:rsidP="00D202DA">
      <w:pPr>
        <w:pStyle w:val="BodyText"/>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jc w:val="center"/>
      </w:pPr>
      <w:r>
        <w:rPr>
          <w:b/>
          <w:bCs/>
        </w:rPr>
        <w:t>Note:</w:t>
      </w:r>
      <w:r w:rsidR="003D14E0" w:rsidRPr="00C36B36">
        <w:rPr>
          <w:b/>
          <w:bCs/>
        </w:rPr>
        <w:br/>
      </w:r>
      <w:r w:rsidR="00FE0D60" w:rsidRPr="00C36B36">
        <w:rPr>
          <w:b/>
          <w:bCs/>
        </w:rPr>
        <w:t xml:space="preserve">When generating a BDA report from this view, some of the data generated may be missing </w:t>
      </w:r>
      <w:r w:rsidR="00FE0D60" w:rsidRPr="00C36B36">
        <w:rPr>
          <w:b/>
          <w:bCs/>
        </w:rPr>
        <w:lastRenderedPageBreak/>
        <w:t>or may be incorrectly assigned. Part of the data generation require</w:t>
      </w:r>
      <w:r w:rsidR="000F6C98">
        <w:rPr>
          <w:b/>
          <w:bCs/>
        </w:rPr>
        <w:t>s</w:t>
      </w:r>
      <w:r w:rsidR="00FE0D60" w:rsidRPr="00C36B36">
        <w:rPr>
          <w:b/>
          <w:bCs/>
        </w:rPr>
        <w:t xml:space="preserve"> the Execution ID of the given Strike Option. If the Strike Option is present in multiple Strike Execution Folders, the system will attempt to retrieve the latest data for </w:t>
      </w:r>
      <w:r w:rsidR="00FE0D60" w:rsidRPr="00D202DA">
        <w:rPr>
          <w:b/>
          <w:bCs/>
          <w:color w:val="000000" w:themeColor="text1"/>
        </w:rPr>
        <w:t>report generation, which may result in the above discrepancies.</w:t>
      </w:r>
    </w:p>
    <w:p w14:paraId="3425BC95" w14:textId="77777777" w:rsidR="00D202DA" w:rsidRPr="00B44811" w:rsidRDefault="00D202DA" w:rsidP="00BB4EBE">
      <w:pPr>
        <w:spacing w:after="0"/>
      </w:pPr>
    </w:p>
    <w:p w14:paraId="48417496" w14:textId="1F8F550C" w:rsidR="00481C2E" w:rsidRDefault="00481C2E" w:rsidP="00481C2E">
      <w:pPr>
        <w:pStyle w:val="BodyText"/>
        <w:pBdr>
          <w:top w:val="single" w:sz="12" w:space="1" w:color="auto"/>
          <w:left w:val="single" w:sz="12" w:space="4" w:color="auto"/>
          <w:bottom w:val="single" w:sz="12" w:space="0" w:color="auto"/>
          <w:right w:val="single" w:sz="12" w:space="4" w:color="auto"/>
        </w:pBdr>
        <w:shd w:val="clear" w:color="auto" w:fill="D9D9D9" w:themeFill="background1" w:themeFillShade="D9"/>
        <w:tabs>
          <w:tab w:val="left" w:pos="720"/>
        </w:tabs>
        <w:spacing w:after="120"/>
        <w:jc w:val="center"/>
        <w:rPr>
          <w:b/>
          <w:bCs/>
        </w:rPr>
      </w:pPr>
      <w:r w:rsidRPr="00531E4A">
        <w:rPr>
          <w:b/>
          <w:bCs/>
        </w:rPr>
        <w:t>Note:</w:t>
      </w:r>
      <w:r w:rsidRPr="00531E4A">
        <w:rPr>
          <w:b/>
          <w:bCs/>
        </w:rPr>
        <w:br/>
        <w:t>Reports are not to be generated in parallel. Ensure that generation of a report has completed before attempting to generate a new report.</w:t>
      </w:r>
    </w:p>
    <w:p w14:paraId="5571BEE4" w14:textId="77777777" w:rsidR="00C75898" w:rsidRPr="000665B0" w:rsidRDefault="00C75898" w:rsidP="006D5A65">
      <w:pPr>
        <w:pStyle w:val="Heading2"/>
      </w:pPr>
      <w:r w:rsidRPr="000665B0">
        <w:t>Copy to New Folder</w:t>
      </w:r>
    </w:p>
    <w:p w14:paraId="07B50BCB" w14:textId="77777777" w:rsidR="00CA4E59" w:rsidRPr="000665B0" w:rsidRDefault="00C75898" w:rsidP="006D5A65">
      <w:pPr>
        <w:pStyle w:val="Heading3"/>
      </w:pPr>
      <w:r w:rsidRPr="000665B0">
        <w:t>Tactical – Copies the selected options into a new Tactical folder.</w:t>
      </w:r>
      <w:r w:rsidR="00CA4E59" w:rsidRPr="000665B0">
        <w:rPr>
          <w:bCs/>
        </w:rPr>
        <w:t xml:space="preserve"> V</w:t>
      </w:r>
      <w:r w:rsidR="00CA4E59" w:rsidRPr="000665B0">
        <w:t xml:space="preserve">alidations are performed on the Strike Folder’s Strike Options to ensure that they are valid for the Tactical class. Strike Options with a Tactical class should not contain Reservations with Test Missions, or a mix of TACT and RSS Missions. If any of the Strike Options fail validation, the </w:t>
      </w:r>
      <w:r w:rsidR="006772C2" w:rsidRPr="000665B0">
        <w:t>Copy to New Folder</w:t>
      </w:r>
      <w:r w:rsidR="00CA4E59" w:rsidRPr="000665B0">
        <w:t xml:space="preserve"> operation fails.</w:t>
      </w:r>
    </w:p>
    <w:p w14:paraId="479231DA" w14:textId="77777777" w:rsidR="00C75898" w:rsidRPr="000665B0" w:rsidRDefault="00C75898" w:rsidP="006D5A65">
      <w:pPr>
        <w:pStyle w:val="Heading3"/>
      </w:pPr>
      <w:r w:rsidRPr="000665B0">
        <w:t>Training – Copies the selected options into a new Training folder.</w:t>
      </w:r>
    </w:p>
    <w:p w14:paraId="4E8F607F" w14:textId="77777777" w:rsidR="00C75898" w:rsidRPr="000665B0" w:rsidRDefault="00C75898" w:rsidP="006D5A65">
      <w:pPr>
        <w:pStyle w:val="Heading2"/>
      </w:pPr>
      <w:r w:rsidRPr="000665B0">
        <w:t>Create Strike Option Library – Creates a strike option library that contains selected strike options or empty if no item is selected.</w:t>
      </w:r>
    </w:p>
    <w:p w14:paraId="6D75BBFB" w14:textId="2E7A6796" w:rsidR="00C75898" w:rsidRPr="000665B0" w:rsidRDefault="00C75898" w:rsidP="006D5A65">
      <w:pPr>
        <w:pStyle w:val="Heading2"/>
      </w:pPr>
      <w:r w:rsidRPr="000665B0">
        <w:t xml:space="preserve">Create TED Library – This type of library is able to accept different types of data; instead of being restricted to a single data type as in the other MDS Libraries. For information on creating a TED Library see </w:t>
      </w:r>
      <w:hyperlink w:anchor="_5.13.1.1__New" w:history="1">
        <w:r w:rsidRPr="000665B0">
          <w:rPr>
            <w:rStyle w:val="Hyperlink"/>
          </w:rPr>
          <w:t>Section 5.</w:t>
        </w:r>
        <w:r w:rsidR="00C77A5E" w:rsidRPr="000665B0">
          <w:rPr>
            <w:rStyle w:val="Hyperlink"/>
          </w:rPr>
          <w:t>12</w:t>
        </w:r>
        <w:r w:rsidRPr="000665B0">
          <w:rPr>
            <w:rStyle w:val="Hyperlink"/>
          </w:rPr>
          <w:t>.1.1</w:t>
        </w:r>
      </w:hyperlink>
      <w:r w:rsidRPr="000665B0">
        <w:t>.</w:t>
      </w:r>
    </w:p>
    <w:p w14:paraId="7BC86EFC" w14:textId="5356A67E" w:rsidR="0000176E" w:rsidRPr="000665B0" w:rsidRDefault="0000176E" w:rsidP="006D5A65">
      <w:pPr>
        <w:pStyle w:val="Heading2"/>
      </w:pPr>
      <w:r w:rsidRPr="000665B0">
        <w:t>Send</w:t>
      </w:r>
    </w:p>
    <w:p w14:paraId="3E3E0DCF" w14:textId="6AE32DAB" w:rsidR="0000176E" w:rsidRPr="000665B0" w:rsidRDefault="0000176E" w:rsidP="006D5A65">
      <w:pPr>
        <w:pStyle w:val="Heading3"/>
      </w:pPr>
      <w:r w:rsidRPr="000665B0">
        <w:t xml:space="preserve">Strike Option – </w:t>
      </w:r>
      <w:r w:rsidR="00F101C1" w:rsidRPr="000665B0">
        <w:t xml:space="preserve">See </w:t>
      </w:r>
      <w:hyperlink w:anchor="_Send" w:history="1">
        <w:r w:rsidR="009326FE" w:rsidRPr="000665B0">
          <w:rPr>
            <w:rStyle w:val="Hyperlink"/>
          </w:rPr>
          <w:t xml:space="preserve">Section </w:t>
        </w:r>
        <w:r w:rsidR="004231CC">
          <w:rPr>
            <w:rStyle w:val="Hyperlink"/>
          </w:rPr>
          <w:t>5.34</w:t>
        </w:r>
        <w:r w:rsidR="00F101C1" w:rsidRPr="000665B0">
          <w:rPr>
            <w:rStyle w:val="Hyperlink"/>
          </w:rPr>
          <w:t>.11</w:t>
        </w:r>
      </w:hyperlink>
      <w:r w:rsidRPr="000665B0">
        <w:rPr>
          <w:rStyle w:val="Hyperlink"/>
        </w:rPr>
        <w:t>.</w:t>
      </w:r>
    </w:p>
    <w:p w14:paraId="1D7044C8" w14:textId="6A1FC66A" w:rsidR="00594D31" w:rsidRPr="000665B0" w:rsidRDefault="00594D31" w:rsidP="006D5A65">
      <w:pPr>
        <w:pStyle w:val="Heading3"/>
        <w:rPr>
          <w:bCs/>
        </w:rPr>
      </w:pPr>
      <w:r w:rsidRPr="000665B0">
        <w:t xml:space="preserve">ACA Filter Message – </w:t>
      </w:r>
      <w:r w:rsidR="00E87D59" w:rsidRPr="000665B0">
        <w:t>Manually sends an ACA Filter Message to the NSP</w:t>
      </w:r>
      <w:r w:rsidR="004E62F3" w:rsidRPr="000665B0">
        <w:t xml:space="preserve"> (see </w:t>
      </w:r>
      <w:hyperlink w:anchor="_Send_an_ACA" w:history="1">
        <w:r w:rsidR="009326FE" w:rsidRPr="000665B0">
          <w:rPr>
            <w:rStyle w:val="Hyperlink"/>
          </w:rPr>
          <w:t xml:space="preserve">Section </w:t>
        </w:r>
        <w:r w:rsidR="004231CC">
          <w:rPr>
            <w:rStyle w:val="Hyperlink"/>
          </w:rPr>
          <w:t>5.34</w:t>
        </w:r>
        <w:r w:rsidR="004E62F3" w:rsidRPr="000665B0">
          <w:rPr>
            <w:rStyle w:val="Hyperlink"/>
          </w:rPr>
          <w:t>.7.1.9.1</w:t>
        </w:r>
      </w:hyperlink>
      <w:r w:rsidR="004E62F3" w:rsidRPr="000665B0">
        <w:t>)</w:t>
      </w:r>
      <w:r w:rsidR="00E87D59" w:rsidRPr="000665B0">
        <w:t>.</w:t>
      </w:r>
      <w:r w:rsidR="004C7D53" w:rsidRPr="000665B0">
        <w:t xml:space="preserve"> The type of messages available depend on the strike’s state and timing.</w:t>
      </w:r>
    </w:p>
    <w:p w14:paraId="18D61835" w14:textId="6B9DED80" w:rsidR="003F51F4" w:rsidRPr="000665B0" w:rsidRDefault="003F51F4" w:rsidP="006D5A65">
      <w:pPr>
        <w:pStyle w:val="Heading4"/>
        <w:rPr>
          <w:bCs/>
        </w:rPr>
      </w:pPr>
      <w:r w:rsidRPr="000665B0">
        <w:t>72 Hour – Filter message for a strike option or package that is within 72 hours and more than 5 hours remaining before SET.</w:t>
      </w:r>
      <w:r w:rsidR="00180C81" w:rsidRPr="000665B0">
        <w:t xml:space="preserve"> This provides situational awareness to the </w:t>
      </w:r>
      <w:r w:rsidR="004C7D53" w:rsidRPr="000665B0">
        <w:t>NSP staff</w:t>
      </w:r>
      <w:r w:rsidR="00180C81" w:rsidRPr="000665B0">
        <w:t>.</w:t>
      </w:r>
    </w:p>
    <w:p w14:paraId="7AC2B8BD" w14:textId="24AD3605" w:rsidR="003F51F4" w:rsidRPr="000665B0" w:rsidRDefault="003F51F4" w:rsidP="006D5A65">
      <w:pPr>
        <w:pStyle w:val="Heading4"/>
        <w:rPr>
          <w:bCs/>
        </w:rPr>
      </w:pPr>
      <w:r w:rsidRPr="000665B0">
        <w:t>5 Hour – Filter message for a strike option or package that is within 5 hours of SET.</w:t>
      </w:r>
      <w:r w:rsidR="00180C81" w:rsidRPr="000665B0">
        <w:t xml:space="preserve"> This provides situational awareness to the </w:t>
      </w:r>
      <w:r w:rsidR="004C7D53" w:rsidRPr="000665B0">
        <w:t>NSP staff</w:t>
      </w:r>
      <w:r w:rsidR="00180C81" w:rsidRPr="000665B0">
        <w:t>.</w:t>
      </w:r>
    </w:p>
    <w:p w14:paraId="0DB5C876" w14:textId="5E096B83" w:rsidR="005169E8" w:rsidRPr="000665B0" w:rsidRDefault="005169E8" w:rsidP="006D5A65">
      <w:pPr>
        <w:pStyle w:val="Heading4"/>
        <w:rPr>
          <w:bCs/>
        </w:rPr>
      </w:pPr>
      <w:r w:rsidRPr="000665B0">
        <w:t xml:space="preserve">Execute </w:t>
      </w:r>
      <w:r w:rsidRPr="000665B0">
        <w:rPr>
          <w:bCs/>
        </w:rPr>
        <w:t xml:space="preserve">– </w:t>
      </w:r>
      <w:r w:rsidRPr="000665B0">
        <w:t>Informs the NSP to execute the ACA Filter Message.</w:t>
      </w:r>
      <w:r w:rsidR="00180C81" w:rsidRPr="000665B0">
        <w:t xml:space="preserve"> This is to notify the ACA operator and mission support </w:t>
      </w:r>
      <w:r w:rsidR="00180C81" w:rsidRPr="000665B0">
        <w:lastRenderedPageBreak/>
        <w:t>capability that the strike package has reached its execution window and missile launch may be imminent.</w:t>
      </w:r>
    </w:p>
    <w:p w14:paraId="11D7FFDB" w14:textId="77777777" w:rsidR="005169E8" w:rsidRPr="000665B0" w:rsidRDefault="005169E8" w:rsidP="006D5A65">
      <w:pPr>
        <w:pStyle w:val="Heading4"/>
        <w:rPr>
          <w:bCs/>
        </w:rPr>
      </w:pPr>
      <w:r w:rsidRPr="000665B0">
        <w:t xml:space="preserve">Cancel </w:t>
      </w:r>
      <w:r w:rsidRPr="000665B0">
        <w:rPr>
          <w:bCs/>
        </w:rPr>
        <w:t xml:space="preserve">– </w:t>
      </w:r>
      <w:r w:rsidRPr="000665B0">
        <w:t>Cancels the currently active ACA Filter Message.</w:t>
      </w:r>
    </w:p>
    <w:p w14:paraId="6DA49676" w14:textId="267F35C0" w:rsidR="0000176E" w:rsidRPr="000665B0" w:rsidRDefault="005169E8" w:rsidP="006D5A65">
      <w:pPr>
        <w:pStyle w:val="Heading4"/>
      </w:pPr>
      <w:r w:rsidRPr="000665B0">
        <w:t xml:space="preserve">Complete </w:t>
      </w:r>
      <w:r w:rsidRPr="000665B0">
        <w:rPr>
          <w:bCs/>
        </w:rPr>
        <w:t>–Indicates t</w:t>
      </w:r>
      <w:r w:rsidRPr="000665B0">
        <w:t>hat the strike is complete such that the resources allocated in the ACA Filter Message can be released.</w:t>
      </w:r>
    </w:p>
    <w:p w14:paraId="58B96FD6" w14:textId="40ABC3C8" w:rsidR="00C75898" w:rsidRPr="000665B0" w:rsidRDefault="00C75898" w:rsidP="006D5A65">
      <w:pPr>
        <w:pStyle w:val="Heading2"/>
      </w:pPr>
      <w:r w:rsidRPr="000665B0">
        <w:t>Distribution Dashboard</w:t>
      </w:r>
      <w:r w:rsidR="0000176E" w:rsidRPr="000665B0">
        <w:t xml:space="preserve"> (context menu only)</w:t>
      </w:r>
      <w:r w:rsidRPr="000665B0">
        <w:t xml:space="preserve"> – </w:t>
      </w:r>
      <w:r w:rsidR="00474A1F" w:rsidRPr="000665B0">
        <w:t xml:space="preserve">The Distribution Dashboard feature gives the operator the ability to track what data was sent to each recipient, and whether or not that data has been acknowledged. The feature’s functionality is the same across all tools that include it, but the data displayed will vary depending on the tool being used. See </w:t>
      </w:r>
      <w:hyperlink w:anchor="_5.2.10__Distribution" w:history="1">
        <w:r w:rsidR="00474A1F" w:rsidRPr="000665B0">
          <w:rPr>
            <w:rStyle w:val="Hyperlink"/>
          </w:rPr>
          <w:t>Section 5.2.10</w:t>
        </w:r>
      </w:hyperlink>
      <w:r w:rsidR="00474A1F" w:rsidRPr="000665B0">
        <w:t>.</w:t>
      </w:r>
    </w:p>
    <w:p w14:paraId="5D04550F" w14:textId="65B63570" w:rsidR="0000199D" w:rsidRPr="000665B0" w:rsidRDefault="0000199D" w:rsidP="006D5A65">
      <w:pPr>
        <w:pStyle w:val="Heading2"/>
      </w:pPr>
      <w:r w:rsidRPr="000665B0">
        <w:t xml:space="preserve">Delete – Gives the operator the ability to delete options. See </w:t>
      </w:r>
      <w:hyperlink w:anchor="_5.2.1.6__Delete" w:history="1">
        <w:r w:rsidRPr="000665B0">
          <w:rPr>
            <w:rStyle w:val="Hyperlink"/>
          </w:rPr>
          <w:t>Section 5.2.1.6</w:t>
        </w:r>
      </w:hyperlink>
      <w:r w:rsidRPr="000665B0">
        <w:t>. If an option is currently being executed on the local TED, the operator will be notified that it can’t be deleted.</w:t>
      </w:r>
      <w:r w:rsidRPr="000665B0">
        <w:rPr>
          <w:noProof/>
        </w:rPr>
        <w:t xml:space="preserve"> </w:t>
      </w:r>
    </w:p>
    <w:p w14:paraId="0A400502" w14:textId="6CC42D07" w:rsidR="0000199D" w:rsidRPr="000665B0" w:rsidRDefault="00385BA7" w:rsidP="00766CE4">
      <w:pPr>
        <w:pStyle w:val="BodyText"/>
        <w:spacing w:after="120"/>
        <w:jc w:val="center"/>
        <w:rPr>
          <w:b/>
        </w:rPr>
      </w:pPr>
      <w:r w:rsidRPr="000665B0">
        <w:rPr>
          <w:noProof/>
        </w:rPr>
        <w:drawing>
          <wp:inline distT="0" distB="0" distL="0" distR="0" wp14:anchorId="61F662BC" wp14:editId="6C575731">
            <wp:extent cx="2743200" cy="1042416"/>
            <wp:effectExtent l="0" t="0" r="0" b="5715"/>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042416"/>
                    </a:xfrm>
                    <a:prstGeom prst="rect">
                      <a:avLst/>
                    </a:prstGeom>
                  </pic:spPr>
                </pic:pic>
              </a:graphicData>
            </a:graphic>
          </wp:inline>
        </w:drawing>
      </w:r>
    </w:p>
    <w:p w14:paraId="550CC80F" w14:textId="4BA7EF99" w:rsidR="00FB3238" w:rsidRPr="000665B0" w:rsidRDefault="00FB3238" w:rsidP="00474A1F">
      <w:pPr>
        <w:tabs>
          <w:tab w:val="left" w:pos="720"/>
        </w:tabs>
        <w:rPr>
          <w:noProof/>
        </w:rPr>
      </w:pPr>
      <w:r w:rsidRPr="000665B0">
        <w:rPr>
          <w:noProof/>
        </w:rPr>
        <w:t xml:space="preserve">As in other list views, </w:t>
      </w:r>
      <w:r w:rsidR="00151C40" w:rsidRPr="000665B0">
        <w:t>items can be selected to</w:t>
      </w:r>
      <w:r w:rsidR="00151C40" w:rsidRPr="000665B0" w:rsidDel="00151C40">
        <w:rPr>
          <w:noProof/>
        </w:rPr>
        <w:t xml:space="preserve"> </w:t>
      </w:r>
      <w:r w:rsidRPr="000665B0">
        <w:rPr>
          <w:b/>
          <w:noProof/>
        </w:rPr>
        <w:t>Print</w:t>
      </w:r>
      <w:r w:rsidRPr="000665B0">
        <w:rPr>
          <w:noProof/>
        </w:rPr>
        <w:t xml:space="preserve"> </w:t>
      </w:r>
      <w:r w:rsidR="00431FD9" w:rsidRPr="000665B0">
        <w:rPr>
          <w:noProof/>
        </w:rPr>
        <w:t>(s</w:t>
      </w:r>
      <w:r w:rsidRPr="000665B0">
        <w:rPr>
          <w:noProof/>
        </w:rPr>
        <w:t xml:space="preserve">ee </w:t>
      </w:r>
      <w:hyperlink w:anchor="_5.2.1.5__Print" w:history="1">
        <w:r w:rsidRPr="000665B0">
          <w:rPr>
            <w:rStyle w:val="Hyperlink"/>
          </w:rPr>
          <w:t>Section 5.2.1.</w:t>
        </w:r>
        <w:r w:rsidR="00AC7788" w:rsidRPr="000665B0">
          <w:rPr>
            <w:rStyle w:val="Hyperlink"/>
          </w:rPr>
          <w:t>5</w:t>
        </w:r>
      </w:hyperlink>
      <w:r w:rsidR="00431FD9" w:rsidRPr="00B260C9">
        <w:rPr>
          <w:rStyle w:val="Hyperlink"/>
          <w:color w:val="auto"/>
        </w:rPr>
        <w:t>)</w:t>
      </w:r>
      <w:r w:rsidRPr="000665B0">
        <w:rPr>
          <w:noProof/>
        </w:rPr>
        <w:t>.</w:t>
      </w:r>
    </w:p>
    <w:p w14:paraId="6663D957" w14:textId="77777777" w:rsidR="0000199D" w:rsidRPr="000665B0" w:rsidRDefault="0000199D" w:rsidP="0000199D">
      <w:pPr>
        <w:pStyle w:val="BodyText"/>
        <w:tabs>
          <w:tab w:val="left" w:pos="720"/>
        </w:tabs>
        <w:spacing w:after="120"/>
        <w:rPr>
          <w:b/>
        </w:rPr>
      </w:pPr>
      <w:r w:rsidRPr="000665B0">
        <w:rPr>
          <w:b/>
        </w:rPr>
        <w:t>Editing Options During Execution</w:t>
      </w:r>
    </w:p>
    <w:p w14:paraId="1F95BC0B" w14:textId="77777777" w:rsidR="0000199D" w:rsidRPr="000665B0" w:rsidRDefault="0000199D" w:rsidP="0000199D">
      <w:r w:rsidRPr="000665B0">
        <w:t>Strike Options can’t be edited while being executed. If the Strike Option Textual View is opened while it is being executed by any MDS connected to the same TED</w:t>
      </w:r>
      <w:r w:rsidR="003C1C99" w:rsidRPr="000665B0">
        <w:t>,</w:t>
      </w:r>
      <w:r w:rsidRPr="000665B0">
        <w:t xml:space="preserve"> it will be opened as “Read Only.”</w:t>
      </w:r>
    </w:p>
    <w:p w14:paraId="4E5BB8E1" w14:textId="77777777" w:rsidR="0000199D" w:rsidRPr="000665B0" w:rsidRDefault="0000199D" w:rsidP="00585646">
      <w:pPr>
        <w:pStyle w:val="BodyText"/>
        <w:keepNext/>
        <w:tabs>
          <w:tab w:val="left" w:pos="720"/>
        </w:tabs>
        <w:spacing w:after="120"/>
        <w:rPr>
          <w:b/>
        </w:rPr>
      </w:pPr>
      <w:r w:rsidRPr="000665B0">
        <w:rPr>
          <w:b/>
        </w:rPr>
        <w:t>Editing Options Concurrently</w:t>
      </w:r>
    </w:p>
    <w:p w14:paraId="2FD06323" w14:textId="77777777" w:rsidR="0000199D" w:rsidRPr="000665B0" w:rsidRDefault="0000199D" w:rsidP="006E426D">
      <w:r w:rsidRPr="000665B0">
        <w:t xml:space="preserve">MDS operators connected to the same TED should not </w:t>
      </w:r>
      <w:r w:rsidR="00E81586" w:rsidRPr="000665B0">
        <w:t xml:space="preserve">concurrently </w:t>
      </w:r>
      <w:r w:rsidRPr="000665B0">
        <w:t>edit Strike Options. If changes have been made to a Strike and another user connected to the same TED modifies that option, the user will be notified and the Strike Option Textual View will be updated and any unsaved changes will be lost.</w:t>
      </w:r>
    </w:p>
    <w:p w14:paraId="6877EF8F" w14:textId="77777777" w:rsidR="0000199D" w:rsidRPr="000665B0" w:rsidRDefault="0000199D" w:rsidP="0000199D">
      <w:pPr>
        <w:jc w:val="center"/>
      </w:pPr>
      <w:r w:rsidRPr="000665B0">
        <w:rPr>
          <w:noProof/>
        </w:rPr>
        <w:drawing>
          <wp:inline distT="0" distB="0" distL="0" distR="0" wp14:anchorId="40A575EB" wp14:editId="6DB8D1CF">
            <wp:extent cx="2743200" cy="1014984"/>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extLst>
                        <a:ext uri="{28A0092B-C50C-407E-A947-70E740481C1C}">
                          <a14:useLocalDpi xmlns:a14="http://schemas.microsoft.com/office/drawing/2010/main"/>
                        </a:ext>
                      </a:extLst>
                    </a:blip>
                    <a:stretch>
                      <a:fillRect/>
                    </a:stretch>
                  </pic:blipFill>
                  <pic:spPr>
                    <a:xfrm>
                      <a:off x="0" y="0"/>
                      <a:ext cx="2743200" cy="1014984"/>
                    </a:xfrm>
                    <a:prstGeom prst="rect">
                      <a:avLst/>
                    </a:prstGeom>
                  </pic:spPr>
                </pic:pic>
              </a:graphicData>
            </a:graphic>
          </wp:inline>
        </w:drawing>
      </w:r>
    </w:p>
    <w:p w14:paraId="5C2E237B" w14:textId="77777777" w:rsidR="00A172CF" w:rsidRPr="000665B0" w:rsidRDefault="00A172CF" w:rsidP="00172AD0">
      <w:pPr>
        <w:pStyle w:val="BodyText"/>
        <w:keepNext/>
        <w:tabs>
          <w:tab w:val="left" w:pos="720"/>
        </w:tabs>
        <w:spacing w:after="120"/>
        <w:rPr>
          <w:b/>
        </w:rPr>
      </w:pPr>
      <w:r w:rsidRPr="000665B0">
        <w:rPr>
          <w:b/>
        </w:rPr>
        <w:lastRenderedPageBreak/>
        <w:t>Option versus Package</w:t>
      </w:r>
    </w:p>
    <w:p w14:paraId="7113FA0D" w14:textId="77777777" w:rsidR="00A172CF" w:rsidRPr="000665B0" w:rsidRDefault="00A172CF" w:rsidP="00474A1F">
      <w:pPr>
        <w:pStyle w:val="BodyText"/>
        <w:tabs>
          <w:tab w:val="left" w:pos="720"/>
        </w:tabs>
        <w:spacing w:after="120"/>
      </w:pPr>
      <w:r w:rsidRPr="000665B0">
        <w:t xml:space="preserve">New strikes start out as Options. Strike Options are less restricted than Strike Packages. Typically, the Strike Planner keeps the strike in Option mode during the planning phase. Once the Strike Planner is finished planning and is satisfied with the plan, the Option is then turned into a Package. Only Packages are executable and distributable to TTWCS (an Option is executable but not distributable to TTWCS). Hence, it is not recommended to run Strike Rehearsal on Options. Doing so will result in errors such as unable to distribute the ESP to the FRUs. </w:t>
      </w:r>
    </w:p>
    <w:tbl>
      <w:tblPr>
        <w:tblW w:w="64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8C8C8C"/>
        <w:tblLook w:val="01E0" w:firstRow="1" w:lastRow="1" w:firstColumn="1" w:lastColumn="1" w:noHBand="0" w:noVBand="0"/>
      </w:tblPr>
      <w:tblGrid>
        <w:gridCol w:w="3443"/>
        <w:gridCol w:w="1381"/>
        <w:gridCol w:w="1656"/>
      </w:tblGrid>
      <w:tr w:rsidR="00A172CF" w:rsidRPr="000665B0" w14:paraId="4B9FD50D" w14:textId="77777777" w:rsidTr="00616FDF">
        <w:trPr>
          <w:jc w:val="center"/>
        </w:trPr>
        <w:tc>
          <w:tcPr>
            <w:tcW w:w="0" w:type="auto"/>
            <w:shd w:val="clear" w:color="auto" w:fill="D9D9D9" w:themeFill="background1" w:themeFillShade="D9"/>
            <w:vAlign w:val="center"/>
          </w:tcPr>
          <w:p w14:paraId="266CB2CB" w14:textId="77777777" w:rsidR="00A172CF" w:rsidRPr="000665B0" w:rsidRDefault="00A172CF" w:rsidP="00681095">
            <w:pPr>
              <w:pStyle w:val="BodyText"/>
              <w:tabs>
                <w:tab w:val="left" w:pos="720"/>
                <w:tab w:val="right" w:leader="dot" w:pos="9360"/>
              </w:tabs>
              <w:spacing w:before="60" w:after="60" w:line="240" w:lineRule="auto"/>
              <w:rPr>
                <w:rFonts w:ascii="Arial" w:hAnsi="Arial" w:cs="Arial"/>
                <w:b/>
                <w:sz w:val="22"/>
                <w:szCs w:val="22"/>
              </w:rPr>
            </w:pPr>
            <w:r w:rsidRPr="000665B0">
              <w:rPr>
                <w:rFonts w:ascii="Arial" w:hAnsi="Arial" w:cs="Arial"/>
                <w:b/>
                <w:sz w:val="22"/>
                <w:szCs w:val="22"/>
              </w:rPr>
              <w:t>Key Differences</w:t>
            </w:r>
          </w:p>
        </w:tc>
        <w:tc>
          <w:tcPr>
            <w:tcW w:w="0" w:type="auto"/>
            <w:shd w:val="clear" w:color="auto" w:fill="D9D9D9"/>
            <w:vAlign w:val="center"/>
          </w:tcPr>
          <w:p w14:paraId="3313E924"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b/>
                <w:sz w:val="22"/>
                <w:szCs w:val="22"/>
              </w:rPr>
            </w:pPr>
            <w:r w:rsidRPr="000665B0">
              <w:rPr>
                <w:rFonts w:ascii="Arial" w:hAnsi="Arial" w:cs="Arial"/>
                <w:b/>
                <w:sz w:val="22"/>
                <w:szCs w:val="22"/>
              </w:rPr>
              <w:t>Option</w:t>
            </w:r>
          </w:p>
        </w:tc>
        <w:tc>
          <w:tcPr>
            <w:tcW w:w="0" w:type="auto"/>
            <w:shd w:val="clear" w:color="auto" w:fill="D9D9D9"/>
            <w:vAlign w:val="center"/>
          </w:tcPr>
          <w:p w14:paraId="1DE3EA4A"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b/>
                <w:sz w:val="22"/>
                <w:szCs w:val="22"/>
              </w:rPr>
            </w:pPr>
            <w:r w:rsidRPr="000665B0">
              <w:rPr>
                <w:rFonts w:ascii="Arial" w:hAnsi="Arial" w:cs="Arial"/>
                <w:b/>
                <w:sz w:val="22"/>
                <w:szCs w:val="22"/>
              </w:rPr>
              <w:t>Package</w:t>
            </w:r>
          </w:p>
        </w:tc>
      </w:tr>
      <w:tr w:rsidR="00A172CF" w:rsidRPr="000665B0" w14:paraId="0364C09D" w14:textId="77777777" w:rsidTr="00616FDF">
        <w:trPr>
          <w:jc w:val="center"/>
        </w:trPr>
        <w:tc>
          <w:tcPr>
            <w:tcW w:w="0" w:type="auto"/>
            <w:vAlign w:val="center"/>
          </w:tcPr>
          <w:p w14:paraId="4DBD2817" w14:textId="77777777" w:rsidR="00A172CF" w:rsidRPr="000665B0" w:rsidRDefault="00A172CF" w:rsidP="00474A1F">
            <w:pPr>
              <w:pStyle w:val="BodyText"/>
              <w:tabs>
                <w:tab w:val="left" w:pos="720"/>
                <w:tab w:val="right" w:leader="dot" w:pos="9360"/>
              </w:tabs>
              <w:spacing w:before="60" w:after="60" w:line="240" w:lineRule="auto"/>
              <w:rPr>
                <w:rFonts w:ascii="Arial" w:hAnsi="Arial" w:cs="Arial"/>
                <w:sz w:val="20"/>
              </w:rPr>
            </w:pPr>
            <w:r w:rsidRPr="000665B0">
              <w:rPr>
                <w:rFonts w:ascii="Arial" w:hAnsi="Arial" w:cs="Arial"/>
                <w:sz w:val="20"/>
              </w:rPr>
              <w:t>Use State</w:t>
            </w:r>
          </w:p>
        </w:tc>
        <w:tc>
          <w:tcPr>
            <w:tcW w:w="0" w:type="auto"/>
            <w:vAlign w:val="center"/>
          </w:tcPr>
          <w:p w14:paraId="6CB7E86C"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No</w:t>
            </w:r>
          </w:p>
        </w:tc>
        <w:tc>
          <w:tcPr>
            <w:tcW w:w="0" w:type="auto"/>
            <w:vAlign w:val="center"/>
          </w:tcPr>
          <w:p w14:paraId="665C70EA"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Yes</w:t>
            </w:r>
          </w:p>
        </w:tc>
      </w:tr>
      <w:tr w:rsidR="00A172CF" w:rsidRPr="000665B0" w14:paraId="0C0C0AD6" w14:textId="77777777" w:rsidTr="00616FDF">
        <w:trPr>
          <w:jc w:val="center"/>
        </w:trPr>
        <w:tc>
          <w:tcPr>
            <w:tcW w:w="0" w:type="auto"/>
            <w:vAlign w:val="center"/>
          </w:tcPr>
          <w:p w14:paraId="4B3E0753" w14:textId="77777777" w:rsidR="00A172CF" w:rsidRPr="000665B0" w:rsidRDefault="00A172CF" w:rsidP="00474A1F">
            <w:pPr>
              <w:pStyle w:val="BodyText"/>
              <w:tabs>
                <w:tab w:val="left" w:pos="720"/>
                <w:tab w:val="right" w:leader="dot" w:pos="9360"/>
              </w:tabs>
              <w:spacing w:before="60" w:after="60" w:line="240" w:lineRule="auto"/>
              <w:rPr>
                <w:rFonts w:ascii="Arial" w:hAnsi="Arial" w:cs="Arial"/>
                <w:sz w:val="20"/>
              </w:rPr>
            </w:pPr>
            <w:r w:rsidRPr="000665B0">
              <w:rPr>
                <w:rFonts w:ascii="Arial" w:hAnsi="Arial" w:cs="Arial"/>
                <w:sz w:val="20"/>
              </w:rPr>
              <w:t>Revision</w:t>
            </w:r>
          </w:p>
        </w:tc>
        <w:tc>
          <w:tcPr>
            <w:tcW w:w="0" w:type="auto"/>
            <w:vAlign w:val="center"/>
          </w:tcPr>
          <w:p w14:paraId="25ABCF26"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No</w:t>
            </w:r>
          </w:p>
        </w:tc>
        <w:tc>
          <w:tcPr>
            <w:tcW w:w="0" w:type="auto"/>
            <w:vAlign w:val="center"/>
          </w:tcPr>
          <w:p w14:paraId="4B36B008"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Yes</w:t>
            </w:r>
          </w:p>
        </w:tc>
      </w:tr>
      <w:tr w:rsidR="00A172CF" w:rsidRPr="000665B0" w14:paraId="064CA902" w14:textId="77777777" w:rsidTr="00616FDF">
        <w:trPr>
          <w:jc w:val="center"/>
        </w:trPr>
        <w:tc>
          <w:tcPr>
            <w:tcW w:w="0" w:type="auto"/>
            <w:vAlign w:val="center"/>
          </w:tcPr>
          <w:p w14:paraId="450864BF" w14:textId="4DBA85C8" w:rsidR="00A172CF" w:rsidRPr="000665B0" w:rsidRDefault="00A172CF" w:rsidP="00474A1F">
            <w:pPr>
              <w:pStyle w:val="BodyText"/>
              <w:tabs>
                <w:tab w:val="left" w:pos="720"/>
                <w:tab w:val="right" w:leader="dot" w:pos="9360"/>
              </w:tabs>
              <w:spacing w:before="60" w:after="60" w:line="240" w:lineRule="auto"/>
              <w:rPr>
                <w:rFonts w:ascii="Arial" w:hAnsi="Arial" w:cs="Arial"/>
                <w:sz w:val="20"/>
              </w:rPr>
            </w:pPr>
            <w:r w:rsidRPr="000665B0">
              <w:rPr>
                <w:rFonts w:ascii="Arial" w:hAnsi="Arial" w:cs="Arial"/>
                <w:sz w:val="20"/>
              </w:rPr>
              <w:t>Real MS#</w:t>
            </w:r>
            <w:r w:rsidR="00616FDF" w:rsidRPr="000665B0">
              <w:rPr>
                <w:rFonts w:ascii="Arial" w:hAnsi="Arial" w:cs="Arial"/>
                <w:sz w:val="20"/>
                <w:vertAlign w:val="superscript"/>
              </w:rPr>
              <w:t>1</w:t>
            </w:r>
          </w:p>
        </w:tc>
        <w:tc>
          <w:tcPr>
            <w:tcW w:w="0" w:type="auto"/>
            <w:vAlign w:val="center"/>
          </w:tcPr>
          <w:p w14:paraId="6E0DC548"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No</w:t>
            </w:r>
          </w:p>
        </w:tc>
        <w:tc>
          <w:tcPr>
            <w:tcW w:w="0" w:type="auto"/>
            <w:vAlign w:val="center"/>
          </w:tcPr>
          <w:p w14:paraId="21564974"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Yes</w:t>
            </w:r>
          </w:p>
        </w:tc>
      </w:tr>
      <w:tr w:rsidR="00A172CF" w:rsidRPr="000665B0" w14:paraId="0275A28B" w14:textId="77777777" w:rsidTr="00616FDF">
        <w:trPr>
          <w:jc w:val="center"/>
        </w:trPr>
        <w:tc>
          <w:tcPr>
            <w:tcW w:w="0" w:type="auto"/>
            <w:vAlign w:val="center"/>
          </w:tcPr>
          <w:p w14:paraId="45FC583D" w14:textId="77777777" w:rsidR="00A172CF" w:rsidRPr="000665B0" w:rsidRDefault="00A172CF" w:rsidP="00474A1F">
            <w:pPr>
              <w:pStyle w:val="BodyText"/>
              <w:tabs>
                <w:tab w:val="left" w:pos="720"/>
                <w:tab w:val="right" w:leader="dot" w:pos="9360"/>
              </w:tabs>
              <w:spacing w:before="60" w:after="60" w:line="240" w:lineRule="auto"/>
              <w:rPr>
                <w:rFonts w:ascii="Arial" w:hAnsi="Arial" w:cs="Arial"/>
                <w:sz w:val="20"/>
              </w:rPr>
            </w:pPr>
            <w:r w:rsidRPr="000665B0">
              <w:rPr>
                <w:rFonts w:ascii="Arial" w:hAnsi="Arial" w:cs="Arial"/>
                <w:sz w:val="20"/>
              </w:rPr>
              <w:t>Distributable to TTWCS</w:t>
            </w:r>
          </w:p>
        </w:tc>
        <w:tc>
          <w:tcPr>
            <w:tcW w:w="0" w:type="auto"/>
            <w:vAlign w:val="center"/>
          </w:tcPr>
          <w:p w14:paraId="7CD203EF"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No</w:t>
            </w:r>
          </w:p>
        </w:tc>
        <w:tc>
          <w:tcPr>
            <w:tcW w:w="0" w:type="auto"/>
            <w:vAlign w:val="center"/>
          </w:tcPr>
          <w:p w14:paraId="1FEDD79F"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Yes</w:t>
            </w:r>
          </w:p>
        </w:tc>
      </w:tr>
      <w:tr w:rsidR="00A172CF" w:rsidRPr="000665B0" w14:paraId="32BA2346" w14:textId="77777777" w:rsidTr="00616FDF">
        <w:trPr>
          <w:jc w:val="center"/>
        </w:trPr>
        <w:tc>
          <w:tcPr>
            <w:tcW w:w="0" w:type="auto"/>
            <w:vAlign w:val="center"/>
          </w:tcPr>
          <w:p w14:paraId="75E94F50" w14:textId="77777777" w:rsidR="00A172CF" w:rsidRPr="000665B0" w:rsidRDefault="00A172CF" w:rsidP="00474A1F">
            <w:pPr>
              <w:pStyle w:val="BodyText"/>
              <w:tabs>
                <w:tab w:val="left" w:pos="720"/>
                <w:tab w:val="right" w:leader="dot" w:pos="9360"/>
              </w:tabs>
              <w:spacing w:before="60" w:after="60" w:line="240" w:lineRule="auto"/>
              <w:rPr>
                <w:rFonts w:ascii="Arial" w:hAnsi="Arial" w:cs="Arial"/>
                <w:sz w:val="20"/>
              </w:rPr>
            </w:pPr>
            <w:r w:rsidRPr="000665B0">
              <w:rPr>
                <w:rFonts w:ascii="Arial" w:hAnsi="Arial" w:cs="Arial"/>
                <w:sz w:val="20"/>
              </w:rPr>
              <w:t>Save Strike Coordination Overlay</w:t>
            </w:r>
          </w:p>
        </w:tc>
        <w:tc>
          <w:tcPr>
            <w:tcW w:w="0" w:type="auto"/>
            <w:vAlign w:val="center"/>
          </w:tcPr>
          <w:p w14:paraId="12949F56"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No</w:t>
            </w:r>
          </w:p>
        </w:tc>
        <w:tc>
          <w:tcPr>
            <w:tcW w:w="0" w:type="auto"/>
            <w:vAlign w:val="center"/>
          </w:tcPr>
          <w:p w14:paraId="6AB1669A"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Yes</w:t>
            </w:r>
          </w:p>
        </w:tc>
      </w:tr>
      <w:tr w:rsidR="00A172CF" w:rsidRPr="000665B0" w14:paraId="39341842" w14:textId="77777777" w:rsidTr="00616FDF">
        <w:trPr>
          <w:jc w:val="center"/>
        </w:trPr>
        <w:tc>
          <w:tcPr>
            <w:tcW w:w="0" w:type="auto"/>
            <w:vAlign w:val="center"/>
          </w:tcPr>
          <w:p w14:paraId="29E7FB8A" w14:textId="77777777" w:rsidR="00A172CF" w:rsidRPr="000665B0" w:rsidRDefault="00A172CF" w:rsidP="00474A1F">
            <w:pPr>
              <w:pStyle w:val="BodyText"/>
              <w:tabs>
                <w:tab w:val="left" w:pos="720"/>
                <w:tab w:val="right" w:leader="dot" w:pos="9360"/>
              </w:tabs>
              <w:spacing w:before="60" w:after="60" w:line="240" w:lineRule="auto"/>
              <w:rPr>
                <w:rFonts w:ascii="Arial" w:hAnsi="Arial" w:cs="Arial"/>
                <w:sz w:val="20"/>
              </w:rPr>
            </w:pPr>
            <w:r w:rsidRPr="000665B0">
              <w:rPr>
                <w:rFonts w:ascii="Arial" w:hAnsi="Arial" w:cs="Arial"/>
                <w:sz w:val="20"/>
              </w:rPr>
              <w:t>Missile Time Not Assigned</w:t>
            </w:r>
          </w:p>
        </w:tc>
        <w:tc>
          <w:tcPr>
            <w:tcW w:w="0" w:type="auto"/>
            <w:vAlign w:val="center"/>
          </w:tcPr>
          <w:p w14:paraId="43A99F12"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Yes</w:t>
            </w:r>
          </w:p>
        </w:tc>
        <w:tc>
          <w:tcPr>
            <w:tcW w:w="0" w:type="auto"/>
            <w:vAlign w:val="center"/>
          </w:tcPr>
          <w:p w14:paraId="5D484962"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No</w:t>
            </w:r>
          </w:p>
        </w:tc>
      </w:tr>
      <w:tr w:rsidR="00A172CF" w:rsidRPr="000665B0" w14:paraId="4891C54A" w14:textId="77777777" w:rsidTr="00616FDF">
        <w:trPr>
          <w:jc w:val="center"/>
        </w:trPr>
        <w:tc>
          <w:tcPr>
            <w:tcW w:w="0" w:type="auto"/>
            <w:tcBorders>
              <w:bottom w:val="single" w:sz="2" w:space="0" w:color="auto"/>
            </w:tcBorders>
            <w:vAlign w:val="center"/>
          </w:tcPr>
          <w:p w14:paraId="1E9365C9" w14:textId="777478B6" w:rsidR="00A172CF" w:rsidRPr="000665B0" w:rsidRDefault="00A172CF" w:rsidP="00474A1F">
            <w:pPr>
              <w:pStyle w:val="BodyText"/>
              <w:tabs>
                <w:tab w:val="left" w:pos="720"/>
                <w:tab w:val="right" w:leader="dot" w:pos="9360"/>
              </w:tabs>
              <w:spacing w:before="60" w:after="60" w:line="240" w:lineRule="auto"/>
              <w:rPr>
                <w:rFonts w:ascii="Arial" w:hAnsi="Arial" w:cs="Arial"/>
                <w:sz w:val="20"/>
              </w:rPr>
            </w:pPr>
            <w:r w:rsidRPr="000665B0">
              <w:rPr>
                <w:rFonts w:ascii="Arial" w:hAnsi="Arial" w:cs="Arial"/>
                <w:sz w:val="20"/>
              </w:rPr>
              <w:t>TMPR</w:t>
            </w:r>
            <w:r w:rsidR="00616FDF" w:rsidRPr="000665B0">
              <w:rPr>
                <w:rFonts w:ascii="Arial" w:hAnsi="Arial" w:cs="Arial"/>
                <w:sz w:val="20"/>
                <w:vertAlign w:val="superscript"/>
              </w:rPr>
              <w:t>2</w:t>
            </w:r>
          </w:p>
        </w:tc>
        <w:tc>
          <w:tcPr>
            <w:tcW w:w="0" w:type="auto"/>
            <w:tcBorders>
              <w:bottom w:val="single" w:sz="2" w:space="0" w:color="auto"/>
            </w:tcBorders>
            <w:vAlign w:val="center"/>
          </w:tcPr>
          <w:p w14:paraId="17B48047"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Yes</w:t>
            </w:r>
          </w:p>
        </w:tc>
        <w:tc>
          <w:tcPr>
            <w:tcW w:w="0" w:type="auto"/>
            <w:tcBorders>
              <w:bottom w:val="single" w:sz="2" w:space="0" w:color="auto"/>
            </w:tcBorders>
            <w:vAlign w:val="center"/>
          </w:tcPr>
          <w:p w14:paraId="02A9D660" w14:textId="77777777" w:rsidR="00A172CF" w:rsidRPr="000665B0" w:rsidRDefault="00A172CF" w:rsidP="00474A1F">
            <w:pPr>
              <w:pStyle w:val="BodyText"/>
              <w:tabs>
                <w:tab w:val="left" w:pos="720"/>
                <w:tab w:val="right" w:leader="dot" w:pos="9360"/>
              </w:tabs>
              <w:spacing w:before="60" w:after="60" w:line="240" w:lineRule="auto"/>
              <w:jc w:val="center"/>
              <w:rPr>
                <w:rFonts w:ascii="Arial" w:hAnsi="Arial" w:cs="Arial"/>
                <w:sz w:val="20"/>
              </w:rPr>
            </w:pPr>
            <w:r w:rsidRPr="000665B0">
              <w:rPr>
                <w:rFonts w:ascii="Arial" w:hAnsi="Arial" w:cs="Arial"/>
                <w:sz w:val="20"/>
              </w:rPr>
              <w:t>No</w:t>
            </w:r>
          </w:p>
        </w:tc>
      </w:tr>
      <w:tr w:rsidR="00616FDF" w:rsidRPr="000665B0" w14:paraId="76C4027A" w14:textId="77777777" w:rsidTr="00616FDF">
        <w:trPr>
          <w:jc w:val="center"/>
        </w:trPr>
        <w:tc>
          <w:tcPr>
            <w:tcW w:w="0" w:type="auto"/>
            <w:gridSpan w:val="3"/>
            <w:tcBorders>
              <w:left w:val="nil"/>
              <w:bottom w:val="nil"/>
              <w:right w:val="nil"/>
            </w:tcBorders>
            <w:vAlign w:val="center"/>
          </w:tcPr>
          <w:p w14:paraId="79D9D9F9" w14:textId="23FE34A9" w:rsidR="00616FDF" w:rsidRPr="000665B0" w:rsidRDefault="00616FDF" w:rsidP="00616FDF">
            <w:pPr>
              <w:pStyle w:val="BodyText"/>
              <w:tabs>
                <w:tab w:val="left" w:pos="720"/>
                <w:tab w:val="right" w:leader="dot" w:pos="9360"/>
              </w:tabs>
              <w:spacing w:before="60" w:after="60" w:line="240" w:lineRule="auto"/>
              <w:ind w:left="339" w:hanging="360"/>
              <w:rPr>
                <w:rFonts w:ascii="Arial" w:hAnsi="Arial" w:cs="Arial"/>
                <w:sz w:val="16"/>
                <w:szCs w:val="16"/>
              </w:rPr>
            </w:pPr>
            <w:r w:rsidRPr="000665B0">
              <w:rPr>
                <w:rFonts w:ascii="Arial" w:hAnsi="Arial" w:cs="Arial"/>
                <w:sz w:val="16"/>
                <w:szCs w:val="16"/>
              </w:rPr>
              <w:t>1.</w:t>
            </w:r>
            <w:r w:rsidRPr="000665B0">
              <w:rPr>
                <w:rFonts w:ascii="Arial" w:hAnsi="Arial" w:cs="Arial"/>
                <w:sz w:val="16"/>
                <w:szCs w:val="16"/>
              </w:rPr>
              <w:tab/>
              <w:t>For Package, Missile Sequence Numbers are uniquely assigned across the Strike’s originating node. MS# are assigned as a one-up counter in Options to conserve MS# since Options are not executable.</w:t>
            </w:r>
          </w:p>
          <w:p w14:paraId="18B1C44A" w14:textId="4E3F1CB9" w:rsidR="00616FDF" w:rsidRPr="000665B0" w:rsidRDefault="00616FDF" w:rsidP="00616FDF">
            <w:pPr>
              <w:pStyle w:val="BodyText"/>
              <w:tabs>
                <w:tab w:val="left" w:pos="720"/>
                <w:tab w:val="right" w:leader="dot" w:pos="9360"/>
              </w:tabs>
              <w:spacing w:before="60" w:after="60" w:line="240" w:lineRule="auto"/>
              <w:ind w:left="339" w:hanging="360"/>
              <w:rPr>
                <w:rFonts w:ascii="Arial" w:hAnsi="Arial" w:cs="Arial"/>
                <w:sz w:val="20"/>
              </w:rPr>
            </w:pPr>
            <w:r w:rsidRPr="000665B0">
              <w:rPr>
                <w:rFonts w:ascii="Arial" w:hAnsi="Arial" w:cs="Arial"/>
                <w:sz w:val="16"/>
                <w:szCs w:val="16"/>
              </w:rPr>
              <w:t>2.</w:t>
            </w:r>
            <w:r w:rsidRPr="000665B0">
              <w:rPr>
                <w:rFonts w:ascii="Arial" w:hAnsi="Arial" w:cs="Arial"/>
                <w:sz w:val="16"/>
                <w:szCs w:val="16"/>
              </w:rPr>
              <w:tab/>
              <w:t>TMPRs can exist in a Package, but the Package’s Use State cannot be changed from Null until all TMPRs are replaced or removed.</w:t>
            </w:r>
          </w:p>
        </w:tc>
      </w:tr>
    </w:tbl>
    <w:p w14:paraId="1B4A8C5E" w14:textId="77777777" w:rsidR="00A172CF" w:rsidRPr="000665B0" w:rsidRDefault="00A172CF" w:rsidP="00C63237">
      <w:pPr>
        <w:pStyle w:val="BodyText"/>
        <w:keepNext/>
        <w:tabs>
          <w:tab w:val="left" w:pos="720"/>
        </w:tabs>
        <w:spacing w:before="120" w:after="120"/>
        <w:rPr>
          <w:b/>
        </w:rPr>
      </w:pPr>
      <w:r w:rsidRPr="000665B0">
        <w:rPr>
          <w:b/>
        </w:rPr>
        <w:t>Information Section</w:t>
      </w:r>
    </w:p>
    <w:p w14:paraId="15F7AC85" w14:textId="77777777" w:rsidR="00A172CF" w:rsidRPr="000665B0" w:rsidRDefault="00A172CF" w:rsidP="006D5A65">
      <w:pPr>
        <w:pStyle w:val="Heading1"/>
      </w:pPr>
      <w:r w:rsidRPr="000665B0">
        <w:t>Title – The title of the Option/Package.</w:t>
      </w:r>
    </w:p>
    <w:p w14:paraId="59A230E6" w14:textId="77777777" w:rsidR="00A172CF" w:rsidRPr="000665B0" w:rsidRDefault="00A172CF" w:rsidP="006D5A65">
      <w:pPr>
        <w:pStyle w:val="Heading1"/>
      </w:pPr>
      <w:r w:rsidRPr="000665B0">
        <w:t>Owner – The originator node of the Option/Package.</w:t>
      </w:r>
    </w:p>
    <w:p w14:paraId="3E3AC571" w14:textId="77777777" w:rsidR="00A172CF" w:rsidRPr="000665B0" w:rsidRDefault="00A172CF" w:rsidP="006D5A65">
      <w:pPr>
        <w:pStyle w:val="Heading1"/>
      </w:pPr>
      <w:r w:rsidRPr="000665B0">
        <w:t>Class – Indicates the class (Tactical or Training) of the Option/Package. Note that TTWCS only accepts Strike Packages, not Options.</w:t>
      </w:r>
    </w:p>
    <w:p w14:paraId="6FB54A61" w14:textId="77777777" w:rsidR="00A172CF" w:rsidRPr="000665B0" w:rsidRDefault="00A172CF" w:rsidP="006D5A65">
      <w:pPr>
        <w:pStyle w:val="Heading1"/>
      </w:pPr>
      <w:r w:rsidRPr="000665B0">
        <w:t>Use State – Indicates the current Use State of the option/package. Use State only applies to Package. Possible Use States include Cancel, Execute, Holdfire, Launch Plan, Null. Note that Use State Null is not valid for TTWCS.</w:t>
      </w:r>
    </w:p>
    <w:p w14:paraId="18F34C46" w14:textId="687159CB" w:rsidR="00A172CF" w:rsidRPr="000665B0" w:rsidRDefault="00A172CF" w:rsidP="006D5A65">
      <w:pPr>
        <w:pStyle w:val="Heading1"/>
      </w:pPr>
      <w:r w:rsidRPr="000665B0">
        <w:t xml:space="preserve">Rev – Indicates the Package Revision. Revision is only applicable to Packages and to TTWCS. Also, Revision </w:t>
      </w:r>
      <w:r w:rsidR="002F51FD" w:rsidRPr="000665B0">
        <w:t>is</w:t>
      </w:r>
      <w:r w:rsidRPr="000665B0">
        <w:t xml:space="preserve"> incremented once the Strike Package has been distributed. Only modifications to Packages that involve the FRUs’ </w:t>
      </w:r>
      <w:r w:rsidRPr="000665B0">
        <w:lastRenderedPageBreak/>
        <w:t xml:space="preserve">taskings, missile timing, or the overall strike timing can bump Revision. MDS looks at </w:t>
      </w:r>
      <w:r w:rsidRPr="000665B0">
        <w:rPr>
          <w:i/>
        </w:rPr>
        <w:t>Modified A</w:t>
      </w:r>
      <w:r w:rsidRPr="000665B0">
        <w:t xml:space="preserve">t instead of </w:t>
      </w:r>
      <w:r w:rsidRPr="000665B0">
        <w:rPr>
          <w:i/>
        </w:rPr>
        <w:t>Revision</w:t>
      </w:r>
      <w:r w:rsidRPr="000665B0">
        <w:t xml:space="preserve">. </w:t>
      </w:r>
    </w:p>
    <w:p w14:paraId="48C1D599" w14:textId="77777777" w:rsidR="00250D83" w:rsidRPr="000665B0" w:rsidRDefault="00250D83" w:rsidP="006D5A65">
      <w:pPr>
        <w:pStyle w:val="Heading1"/>
      </w:pPr>
      <w:r w:rsidRPr="000665B0">
        <w:t xml:space="preserve">M Rev – </w:t>
      </w:r>
      <w:r w:rsidR="001D0070" w:rsidRPr="000665B0">
        <w:t>Minor revision maintains the number of times a strike package has been changed between successive distribution.</w:t>
      </w:r>
    </w:p>
    <w:p w14:paraId="2A613FD8" w14:textId="00E63434" w:rsidR="00EF2F76" w:rsidRPr="00EF2F76" w:rsidRDefault="00A172CF" w:rsidP="006D5A65">
      <w:pPr>
        <w:pStyle w:val="Heading1"/>
      </w:pPr>
      <w:r w:rsidRPr="000665B0">
        <w:t>Earliest TGT – The earliest time on target among all the missile reservations in the Option/Package.</w:t>
      </w:r>
    </w:p>
    <w:p w14:paraId="6B45B258" w14:textId="77777777" w:rsidR="00A172CF" w:rsidRPr="000665B0" w:rsidRDefault="00A172CF" w:rsidP="006D5A65">
      <w:pPr>
        <w:pStyle w:val="Heading1"/>
      </w:pPr>
      <w:r w:rsidRPr="000665B0">
        <w:t>Modified By – Displays the last user account that modified the Option/Package.</w:t>
      </w:r>
    </w:p>
    <w:p w14:paraId="6BD7D3A6" w14:textId="77777777" w:rsidR="00A172CF" w:rsidRPr="000665B0" w:rsidRDefault="00A172CF" w:rsidP="006D5A65">
      <w:pPr>
        <w:pStyle w:val="Heading1"/>
      </w:pPr>
      <w:r w:rsidRPr="000665B0">
        <w:t>Modified At – Displays the time the user last modified the Option/Package.</w:t>
      </w:r>
    </w:p>
    <w:p w14:paraId="07475903" w14:textId="58D8C9A3" w:rsidR="00AF67F4" w:rsidRPr="000665B0" w:rsidRDefault="006C55CC" w:rsidP="00474A1F">
      <w:pPr>
        <w:pStyle w:val="Heading4"/>
        <w:tabs>
          <w:tab w:val="left" w:pos="720"/>
        </w:tabs>
      </w:pPr>
      <w:r w:rsidRPr="000665B0">
        <w:t>Create a</w:t>
      </w:r>
      <w:r w:rsidR="00AF67F4" w:rsidRPr="000665B0">
        <w:t xml:space="preserve"> New Strike Option </w:t>
      </w:r>
    </w:p>
    <w:p w14:paraId="572E7CB0" w14:textId="77777777" w:rsidR="0078503C" w:rsidRPr="000665B0" w:rsidRDefault="0078503C" w:rsidP="00474A1F">
      <w:pPr>
        <w:pStyle w:val="BodyTextIndent2"/>
        <w:tabs>
          <w:tab w:val="left" w:pos="720"/>
        </w:tabs>
        <w:spacing w:line="240" w:lineRule="auto"/>
        <w:ind w:left="0"/>
      </w:pPr>
      <w:r w:rsidRPr="000665B0">
        <w:t>To create a Strike Option:</w:t>
      </w:r>
    </w:p>
    <w:p w14:paraId="6D91445D" w14:textId="5CE99AA3" w:rsidR="00EF2F76" w:rsidRPr="000665B0" w:rsidRDefault="0078503C" w:rsidP="006D5A65">
      <w:pPr>
        <w:pStyle w:val="Heading1"/>
      </w:pPr>
      <w:r w:rsidRPr="000665B0">
        <w:t xml:space="preserve">From the File menu select New or </w:t>
      </w:r>
      <w:r w:rsidR="007A75CC" w:rsidRPr="000665B0">
        <w:t xml:space="preserve">click </w:t>
      </w:r>
      <w:r w:rsidRPr="000665B0">
        <w:t xml:space="preserve">the New </w:t>
      </w:r>
      <w:r w:rsidR="009A1FDF" w:rsidRPr="000665B0">
        <w:rPr>
          <w:noProof/>
        </w:rPr>
        <w:drawing>
          <wp:inline distT="0" distB="0" distL="0" distR="0" wp14:anchorId="54018047" wp14:editId="1E803796">
            <wp:extent cx="152400" cy="152400"/>
            <wp:effectExtent l="19050" t="0" r="0" b="0"/>
            <wp:docPr id="539" name="Picture 539"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new toolbar"/>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w:t>
      </w:r>
      <w:r w:rsidR="007A75CC" w:rsidRPr="000665B0">
        <w:t xml:space="preserve">on </w:t>
      </w:r>
      <w:r w:rsidRPr="000665B0">
        <w:t>the toolbar.</w:t>
      </w:r>
      <w:r w:rsidRPr="000665B0">
        <w:rPr>
          <w:noProof/>
        </w:rPr>
        <w:t xml:space="preserve"> </w:t>
      </w:r>
      <w:r w:rsidR="00C75898" w:rsidRPr="000665B0">
        <w:rPr>
          <w:noProof/>
        </w:rPr>
        <w:t xml:space="preserve">The </w:t>
      </w:r>
      <w:r w:rsidRPr="000665B0">
        <w:rPr>
          <w:i/>
          <w:noProof/>
        </w:rPr>
        <w:t xml:space="preserve">Strike Option </w:t>
      </w:r>
      <w:r w:rsidRPr="000665B0">
        <w:rPr>
          <w:noProof/>
        </w:rPr>
        <w:t xml:space="preserve">window </w:t>
      </w:r>
      <w:r w:rsidR="008B1631" w:rsidRPr="000665B0">
        <w:rPr>
          <w:noProof/>
        </w:rPr>
        <w:t>is displayed</w:t>
      </w:r>
      <w:r w:rsidRPr="000665B0">
        <w:rPr>
          <w:noProof/>
        </w:rPr>
        <w:t>.</w:t>
      </w:r>
    </w:p>
    <w:p w14:paraId="16DCD316" w14:textId="6587F3DC" w:rsidR="0078503C" w:rsidRPr="000665B0" w:rsidRDefault="0000176E" w:rsidP="00474A1F">
      <w:pPr>
        <w:tabs>
          <w:tab w:val="left" w:pos="720"/>
        </w:tabs>
        <w:jc w:val="center"/>
        <w:rPr>
          <w:noProof/>
        </w:rPr>
      </w:pPr>
      <w:r w:rsidRPr="000665B0">
        <w:rPr>
          <w:noProof/>
        </w:rPr>
        <w:drawing>
          <wp:inline distT="0" distB="0" distL="0" distR="0" wp14:anchorId="72C0BE95" wp14:editId="67162B89">
            <wp:extent cx="4572000" cy="2176272"/>
            <wp:effectExtent l="0" t="0" r="0" b="0"/>
            <wp:docPr id="2116" name="Picture 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2176272"/>
                    </a:xfrm>
                    <a:prstGeom prst="rect">
                      <a:avLst/>
                    </a:prstGeom>
                  </pic:spPr>
                </pic:pic>
              </a:graphicData>
            </a:graphic>
          </wp:inline>
        </w:drawing>
      </w:r>
    </w:p>
    <w:p w14:paraId="309AA07A" w14:textId="4CAFB36D" w:rsidR="00B34B2F" w:rsidRPr="000665B0" w:rsidRDefault="00B34B2F" w:rsidP="00474A1F">
      <w:pPr>
        <w:tabs>
          <w:tab w:val="left" w:pos="720"/>
        </w:tabs>
        <w:ind w:left="810"/>
        <w:rPr>
          <w:noProof/>
        </w:rPr>
      </w:pPr>
      <w:r w:rsidRPr="000665B0">
        <w:rPr>
          <w:noProof/>
        </w:rPr>
        <w:t>If the Strike Folder tool’s Strike Properties TSN preferences have not been initialized by an Administrator, the following message will appear. The Channel Number and at least one Tactical and Training DTA</w:t>
      </w:r>
      <w:r w:rsidR="0000176E" w:rsidRPr="000665B0">
        <w:rPr>
          <w:noProof/>
        </w:rPr>
        <w:t xml:space="preserve"> </w:t>
      </w:r>
      <w:r w:rsidRPr="000665B0">
        <w:rPr>
          <w:noProof/>
        </w:rPr>
        <w:t>set must be defined.</w:t>
      </w:r>
    </w:p>
    <w:p w14:paraId="370B259D" w14:textId="1EE322D9" w:rsidR="00B34B2F" w:rsidRPr="000665B0" w:rsidRDefault="00B23DCF" w:rsidP="00B260C9">
      <w:pPr>
        <w:tabs>
          <w:tab w:val="left" w:pos="720"/>
        </w:tabs>
        <w:jc w:val="center"/>
      </w:pPr>
      <w:r w:rsidRPr="000665B0">
        <w:rPr>
          <w:noProof/>
        </w:rPr>
        <w:drawing>
          <wp:inline distT="0" distB="0" distL="0" distR="0" wp14:anchorId="4ED94A8D" wp14:editId="7CCEC64E">
            <wp:extent cx="3200400" cy="1060704"/>
            <wp:effectExtent l="0" t="0" r="0" b="635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a:stretch>
                      <a:fillRect/>
                    </a:stretch>
                  </pic:blipFill>
                  <pic:spPr>
                    <a:xfrm>
                      <a:off x="0" y="0"/>
                      <a:ext cx="3200400" cy="1060704"/>
                    </a:xfrm>
                    <a:prstGeom prst="rect">
                      <a:avLst/>
                    </a:prstGeom>
                  </pic:spPr>
                </pic:pic>
              </a:graphicData>
            </a:graphic>
          </wp:inline>
        </w:drawing>
      </w:r>
    </w:p>
    <w:p w14:paraId="41AEC1D7" w14:textId="75BF106D" w:rsidR="0078503C" w:rsidRPr="000665B0" w:rsidRDefault="0028035C" w:rsidP="006D5A65">
      <w:pPr>
        <w:pStyle w:val="Heading2"/>
      </w:pPr>
      <w:r w:rsidRPr="000665B0">
        <w:t xml:space="preserve">If it is required to change the classification, click the </w:t>
      </w:r>
      <w:r w:rsidRPr="000665B0">
        <w:rPr>
          <w:bCs/>
        </w:rPr>
        <w:t>EDIT</w:t>
      </w:r>
      <w:r w:rsidRPr="000665B0">
        <w:t xml:space="preserve"> </w:t>
      </w:r>
      <w:r w:rsidR="00D56821" w:rsidRPr="000665B0">
        <w:t>button,</w:t>
      </w:r>
      <w:r w:rsidRPr="000665B0">
        <w:t xml:space="preserve"> and select the classification from the drop-down menu of the </w:t>
      </w:r>
      <w:r w:rsidRPr="000665B0">
        <w:rPr>
          <w:i/>
          <w:iCs/>
        </w:rPr>
        <w:t>Edit Classification</w:t>
      </w:r>
      <w:r w:rsidRPr="000665B0">
        <w:t xml:space="preserve"> window. For information on editing the classification see </w:t>
      </w:r>
      <w:hyperlink w:anchor="_5.2.7__Edit" w:history="1">
        <w:r w:rsidRPr="000665B0">
          <w:rPr>
            <w:color w:val="0000FF"/>
            <w:u w:val="single"/>
          </w:rPr>
          <w:t>Section 5.2.7</w:t>
        </w:r>
      </w:hyperlink>
      <w:r w:rsidRPr="000665B0">
        <w:t xml:space="preserve">. The Classification of the Strike Folder and its items behaves </w:t>
      </w:r>
      <w:r w:rsidRPr="000665B0">
        <w:lastRenderedPageBreak/>
        <w:t xml:space="preserve">slightly different from the other MDS tools. For additional detailed information, see </w:t>
      </w:r>
      <w:hyperlink w:anchor="_5.37.1.1__Classification" w:history="1">
        <w:r w:rsidR="009326FE" w:rsidRPr="000665B0">
          <w:rPr>
            <w:rStyle w:val="Hyperlink"/>
          </w:rPr>
          <w:t xml:space="preserve">Section </w:t>
        </w:r>
        <w:r w:rsidR="004231CC">
          <w:rPr>
            <w:rStyle w:val="Hyperlink"/>
          </w:rPr>
          <w:t>5.34</w:t>
        </w:r>
        <w:r w:rsidRPr="000665B0">
          <w:rPr>
            <w:rStyle w:val="Hyperlink"/>
          </w:rPr>
          <w:t>.</w:t>
        </w:r>
        <w:r w:rsidR="0089269C" w:rsidRPr="000665B0">
          <w:rPr>
            <w:rStyle w:val="Hyperlink"/>
          </w:rPr>
          <w:t>2</w:t>
        </w:r>
        <w:r w:rsidRPr="000665B0">
          <w:rPr>
            <w:rStyle w:val="Hyperlink"/>
          </w:rPr>
          <w:t>.1</w:t>
        </w:r>
      </w:hyperlink>
      <w:r w:rsidRPr="000665B0">
        <w:t>.</w:t>
      </w:r>
    </w:p>
    <w:p w14:paraId="684F2BB8" w14:textId="428F8C6C" w:rsidR="0078503C" w:rsidRPr="000665B0" w:rsidRDefault="0028035C" w:rsidP="006D5A65">
      <w:pPr>
        <w:pStyle w:val="Heading2"/>
      </w:pPr>
      <w:r w:rsidRPr="000665B0">
        <w:t xml:space="preserve">For new Strike Options, the Shareability defaults to the parent Strike Folder’s Shareability. In the new </w:t>
      </w:r>
      <w:r w:rsidRPr="000665B0">
        <w:rPr>
          <w:i/>
          <w:iCs/>
        </w:rPr>
        <w:t xml:space="preserve">Strike Folder </w:t>
      </w:r>
      <w:r w:rsidRPr="000665B0">
        <w:t xml:space="preserve">window click the </w:t>
      </w:r>
      <w:r w:rsidRPr="000665B0">
        <w:rPr>
          <w:bCs/>
        </w:rPr>
        <w:t>Edit</w:t>
      </w:r>
      <w:r w:rsidRPr="000665B0">
        <w:t xml:space="preserve"> button to the right of the Shareability label (under the Classification label). The </w:t>
      </w:r>
      <w:r w:rsidRPr="000665B0">
        <w:rPr>
          <w:i/>
        </w:rPr>
        <w:t>Strike Shareability Preferences</w:t>
      </w:r>
      <w:r w:rsidRPr="000665B0">
        <w:t xml:space="preserve"> window is displayed. (Note that the Shareability label may not be displayed, depending on the default Strike Folder Tool preference that has been set by an Administrator.) For information on editing the shareability, see </w:t>
      </w:r>
      <w:hyperlink w:anchor="_5.37.1.2__Shareability" w:history="1">
        <w:r w:rsidR="009326FE" w:rsidRPr="000665B0">
          <w:rPr>
            <w:rStyle w:val="Hyperlink"/>
          </w:rPr>
          <w:t xml:space="preserve">Section </w:t>
        </w:r>
        <w:r w:rsidR="004231CC">
          <w:rPr>
            <w:rStyle w:val="Hyperlink"/>
          </w:rPr>
          <w:t>5.34</w:t>
        </w:r>
        <w:r w:rsidRPr="000665B0">
          <w:rPr>
            <w:rStyle w:val="Hyperlink"/>
          </w:rPr>
          <w:t>.</w:t>
        </w:r>
        <w:r w:rsidR="0089269C" w:rsidRPr="000665B0">
          <w:rPr>
            <w:rStyle w:val="Hyperlink"/>
          </w:rPr>
          <w:t>2</w:t>
        </w:r>
        <w:r w:rsidRPr="000665B0">
          <w:rPr>
            <w:rStyle w:val="Hyperlink"/>
          </w:rPr>
          <w:t>.2</w:t>
        </w:r>
      </w:hyperlink>
      <w:r w:rsidRPr="000665B0">
        <w:t xml:space="preserve">. </w:t>
      </w:r>
    </w:p>
    <w:p w14:paraId="404D3126" w14:textId="77777777" w:rsidR="0078503C" w:rsidRPr="000665B0" w:rsidRDefault="00C75898" w:rsidP="006D5A65">
      <w:pPr>
        <w:pStyle w:val="Heading2"/>
      </w:pPr>
      <w:r w:rsidRPr="000665B0">
        <w:t>Enter a</w:t>
      </w:r>
      <w:r w:rsidR="0078503C" w:rsidRPr="000665B0">
        <w:t xml:space="preserve"> title for the new Strike Option</w:t>
      </w:r>
      <w:r w:rsidRPr="000665B0">
        <w:t xml:space="preserve"> (up to 50 alphanumeric characters)</w:t>
      </w:r>
      <w:r w:rsidR="0078503C" w:rsidRPr="000665B0">
        <w:t>.</w:t>
      </w:r>
    </w:p>
    <w:p w14:paraId="6C634995" w14:textId="77777777" w:rsidR="006C55CC" w:rsidRPr="000665B0" w:rsidRDefault="006C55CC" w:rsidP="006D5A65">
      <w:pPr>
        <w:pStyle w:val="Heading2"/>
      </w:pPr>
      <w:r w:rsidRPr="000665B0">
        <w:rPr>
          <w:noProof/>
        </w:rPr>
        <w:t xml:space="preserve">The new </w:t>
      </w:r>
      <w:r w:rsidRPr="000665B0">
        <w:rPr>
          <w:i/>
          <w:noProof/>
        </w:rPr>
        <w:t xml:space="preserve">Strike Option </w:t>
      </w:r>
      <w:r w:rsidRPr="000665B0">
        <w:rPr>
          <w:noProof/>
        </w:rPr>
        <w:t>window</w:t>
      </w:r>
      <w:r w:rsidRPr="000665B0">
        <w:t xml:space="preserve"> displays tabs at the bottom of the </w:t>
      </w:r>
      <w:r w:rsidR="00A172CF" w:rsidRPr="000665B0">
        <w:t>window</w:t>
      </w:r>
      <w:r w:rsidRPr="000665B0">
        <w:t xml:space="preserve"> which are used to complete the Strike Option. The tabs are listed in a particular order to serve as a planning progression guide (from left to right) for the Strike Planner. Each tab is detailed </w:t>
      </w:r>
      <w:r w:rsidR="00A172CF" w:rsidRPr="000665B0">
        <w:t xml:space="preserve">later </w:t>
      </w:r>
      <w:r w:rsidRPr="000665B0">
        <w:t xml:space="preserve">in this section. </w:t>
      </w:r>
    </w:p>
    <w:p w14:paraId="380ABD9C" w14:textId="2BA31A43" w:rsidR="006C55CC" w:rsidRPr="000665B0" w:rsidRDefault="00B02262" w:rsidP="00474A1F">
      <w:pPr>
        <w:tabs>
          <w:tab w:val="left" w:pos="720"/>
        </w:tabs>
        <w:jc w:val="center"/>
      </w:pPr>
      <w:r w:rsidRPr="000665B0">
        <w:rPr>
          <w:noProof/>
        </w:rPr>
        <w:drawing>
          <wp:inline distT="0" distB="0" distL="0" distR="0" wp14:anchorId="7C9B1525" wp14:editId="62EACF7C">
            <wp:extent cx="5943600" cy="149860"/>
            <wp:effectExtent l="0" t="0" r="0" b="2540"/>
            <wp:docPr id="1431" name="Picture 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943600" cy="149860"/>
                    </a:xfrm>
                    <a:prstGeom prst="rect">
                      <a:avLst/>
                    </a:prstGeom>
                  </pic:spPr>
                </pic:pic>
              </a:graphicData>
            </a:graphic>
          </wp:inline>
        </w:drawing>
      </w:r>
    </w:p>
    <w:p w14:paraId="0F18D37B" w14:textId="77777777" w:rsidR="00C72FA4" w:rsidRPr="000665B0" w:rsidRDefault="0028035C"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4675C5F0" w14:textId="168C921E" w:rsidR="006C55CC" w:rsidRPr="000665B0" w:rsidRDefault="00C72FA4" w:rsidP="00474A1F">
      <w:pPr>
        <w:tabs>
          <w:tab w:val="left" w:pos="720"/>
        </w:tabs>
      </w:pPr>
      <w:r w:rsidRPr="000665B0">
        <w:t xml:space="preserve">To view an existing Option, select the Option and </w:t>
      </w:r>
      <w:r w:rsidR="0037038E" w:rsidRPr="000665B0">
        <w:t>double-click</w:t>
      </w:r>
      <w:r w:rsidRPr="000665B0">
        <w:t xml:space="preserve">, or invoke the context menu and select </w:t>
      </w:r>
      <w:r w:rsidRPr="000665B0">
        <w:rPr>
          <w:b/>
        </w:rPr>
        <w:t>Display</w:t>
      </w:r>
      <w:r w:rsidRPr="000665B0">
        <w:t xml:space="preserve"> </w:t>
      </w:r>
      <w:r w:rsidRPr="000665B0">
        <w:rPr>
          <w:b/>
        </w:rPr>
        <w:sym w:font="Wingdings 3" w:char="F07D"/>
      </w:r>
      <w:r w:rsidRPr="000665B0">
        <w:rPr>
          <w:b/>
        </w:rPr>
        <w:t xml:space="preserve"> Textually</w:t>
      </w:r>
      <w:r w:rsidRPr="000665B0">
        <w:t>.</w:t>
      </w:r>
      <w:r w:rsidR="0000176E" w:rsidRPr="000665B0">
        <w:t xml:space="preserve"> The </w:t>
      </w:r>
      <w:r w:rsidR="0000176E" w:rsidRPr="000665B0">
        <w:rPr>
          <w:i/>
        </w:rPr>
        <w:t>Strike</w:t>
      </w:r>
      <w:r w:rsidR="00D6057D" w:rsidRPr="000665B0">
        <w:rPr>
          <w:i/>
        </w:rPr>
        <w:t xml:space="preserve"> Option </w:t>
      </w:r>
      <w:r w:rsidR="00D6057D" w:rsidRPr="000665B0">
        <w:t>or</w:t>
      </w:r>
      <w:r w:rsidR="00D6057D" w:rsidRPr="000665B0">
        <w:rPr>
          <w:i/>
        </w:rPr>
        <w:t xml:space="preserve"> Strike</w:t>
      </w:r>
      <w:r w:rsidR="0000176E" w:rsidRPr="000665B0">
        <w:rPr>
          <w:i/>
        </w:rPr>
        <w:t xml:space="preserve"> </w:t>
      </w:r>
      <w:r w:rsidR="00B23DCF" w:rsidRPr="000665B0">
        <w:rPr>
          <w:i/>
        </w:rPr>
        <w:t>Package</w:t>
      </w:r>
      <w:r w:rsidR="00B23DCF" w:rsidRPr="000665B0">
        <w:t xml:space="preserve"> </w:t>
      </w:r>
      <w:r w:rsidR="0000176E" w:rsidRPr="000665B0">
        <w:t>window is displayed.</w:t>
      </w:r>
    </w:p>
    <w:p w14:paraId="2F376121" w14:textId="3716F8D6" w:rsidR="00C223B9" w:rsidRPr="000665B0" w:rsidRDefault="00B23DCF" w:rsidP="00C223B9">
      <w:pPr>
        <w:jc w:val="center"/>
        <w:rPr>
          <w:b/>
        </w:rPr>
      </w:pPr>
      <w:r w:rsidRPr="000665B0">
        <w:rPr>
          <w:noProof/>
        </w:rPr>
        <w:drawing>
          <wp:inline distT="0" distB="0" distL="0" distR="0" wp14:anchorId="728348BC" wp14:editId="31C5E2DA">
            <wp:extent cx="4983480" cy="1618488"/>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618488"/>
                    </a:xfrm>
                    <a:prstGeom prst="rect">
                      <a:avLst/>
                    </a:prstGeom>
                  </pic:spPr>
                </pic:pic>
              </a:graphicData>
            </a:graphic>
          </wp:inline>
        </w:drawing>
      </w:r>
      <w:bookmarkStart w:id="6287" w:name="_5.37.6.1__Completing"/>
      <w:bookmarkStart w:id="6288" w:name="_Toc71955750"/>
      <w:bookmarkStart w:id="6289" w:name="_Toc96170285"/>
      <w:bookmarkStart w:id="6290" w:name="_Toc96234330"/>
      <w:bookmarkStart w:id="6291" w:name="_Toc112733750"/>
      <w:bookmarkStart w:id="6292" w:name="_Toc164499437"/>
      <w:bookmarkEnd w:id="6287"/>
    </w:p>
    <w:p w14:paraId="7A95F9C3" w14:textId="77777777" w:rsidR="00464302" w:rsidRPr="000665B0" w:rsidRDefault="00464302" w:rsidP="006D5A65">
      <w:pPr>
        <w:pStyle w:val="Heading1"/>
      </w:pPr>
      <w:r w:rsidRPr="000665B0">
        <w:t xml:space="preserve">File </w:t>
      </w:r>
      <w:r w:rsidR="004E61BF" w:rsidRPr="000665B0">
        <w:t>Menu</w:t>
      </w:r>
    </w:p>
    <w:p w14:paraId="669BB8AE" w14:textId="77777777" w:rsidR="004E61BF" w:rsidRPr="000665B0" w:rsidRDefault="004E61BF" w:rsidP="006D5A65">
      <w:pPr>
        <w:pStyle w:val="Heading2"/>
      </w:pPr>
      <w:r w:rsidRPr="000665B0">
        <w:t>Display</w:t>
      </w:r>
    </w:p>
    <w:p w14:paraId="7F08DB60" w14:textId="77777777" w:rsidR="004E61BF" w:rsidRPr="000665B0" w:rsidRDefault="004E61BF" w:rsidP="006D5A65">
      <w:pPr>
        <w:pStyle w:val="Heading3"/>
      </w:pPr>
      <w:r w:rsidRPr="000665B0">
        <w:t>Geographically – Displays the selected items geographically.</w:t>
      </w:r>
    </w:p>
    <w:p w14:paraId="11D4EEDC" w14:textId="77777777" w:rsidR="004E61BF" w:rsidRPr="000665B0" w:rsidRDefault="004E61BF" w:rsidP="006D5A65">
      <w:pPr>
        <w:pStyle w:val="Heading3"/>
      </w:pPr>
      <w:r w:rsidRPr="000665B0">
        <w:t>INDIGO – Displays the INDIGO for the selected items.</w:t>
      </w:r>
    </w:p>
    <w:p w14:paraId="30DC2080" w14:textId="77777777" w:rsidR="004E61BF" w:rsidRPr="000665B0" w:rsidRDefault="004E61BF" w:rsidP="006D5A65">
      <w:pPr>
        <w:pStyle w:val="Heading2"/>
      </w:pPr>
      <w:r w:rsidRPr="000665B0">
        <w:t>Reports</w:t>
      </w:r>
    </w:p>
    <w:p w14:paraId="07D79948" w14:textId="74FFFBB3" w:rsidR="004E61BF" w:rsidRPr="000665B0" w:rsidRDefault="004E61BF" w:rsidP="006D5A65">
      <w:pPr>
        <w:pStyle w:val="Heading3"/>
      </w:pPr>
      <w:r w:rsidRPr="000665B0">
        <w:lastRenderedPageBreak/>
        <w:t xml:space="preserve">Custom – Displays a window of reports that can be produced. For more information on Custom Reports see </w:t>
      </w:r>
      <w:hyperlink w:anchor="_5.2.1.3__Custom" w:history="1">
        <w:r w:rsidRPr="000665B0">
          <w:rPr>
            <w:rStyle w:val="Hyperlink"/>
          </w:rPr>
          <w:t>Section 5.2.1.3</w:t>
        </w:r>
      </w:hyperlink>
      <w:r w:rsidRPr="000665B0">
        <w:t>.</w:t>
      </w:r>
    </w:p>
    <w:p w14:paraId="75201D45" w14:textId="77777777" w:rsidR="004E61BF" w:rsidRPr="000665B0" w:rsidRDefault="004E61BF" w:rsidP="006D5A65">
      <w:pPr>
        <w:pStyle w:val="Heading3"/>
      </w:pPr>
      <w:r w:rsidRPr="000665B0">
        <w:t>Strike Briefing – Produces a Strike Briefing PowerPoint presentation.</w:t>
      </w:r>
      <w:r w:rsidR="00D754C9" w:rsidRPr="000665B0">
        <w:t xml:space="preserve"> Ensure that the report has finished generating before initiating any other reports.</w:t>
      </w:r>
    </w:p>
    <w:p w14:paraId="1321CEBF" w14:textId="77777777" w:rsidR="00F02FA5" w:rsidRDefault="004E61BF" w:rsidP="006D5A65">
      <w:pPr>
        <w:pStyle w:val="Heading3"/>
      </w:pPr>
      <w:r w:rsidRPr="000665B0">
        <w:t>TSN Comms Configuration – Produces a report of the TSN Comms settings.</w:t>
      </w:r>
      <w:r w:rsidR="00D754C9" w:rsidRPr="000665B0">
        <w:t xml:space="preserve"> Ensure that the report has finished generating before initiating any other reports.</w:t>
      </w:r>
    </w:p>
    <w:p w14:paraId="11A0ACE0" w14:textId="00B73CC6" w:rsidR="00F02FA5" w:rsidRPr="00C36B36" w:rsidRDefault="00F02FA5" w:rsidP="006D5A65">
      <w:pPr>
        <w:pStyle w:val="Heading3"/>
      </w:pPr>
      <w:r w:rsidRPr="00F02FA5">
        <w:t>Generate BDA Input Report – Produces a Battle Damage Assessment report from the selected Strike Options (TLAM Only). Ensure that the report has finished generating before initiating any other reports.</w:t>
      </w:r>
      <w:r w:rsidR="0038181F">
        <w:t xml:space="preserve"> For more information on BDA reports, see </w:t>
      </w:r>
      <w:hyperlink w:anchor="Appendix_B" w:history="1">
        <w:r w:rsidR="0038181F" w:rsidRPr="0038181F">
          <w:rPr>
            <w:rStyle w:val="Hyperlink"/>
            <w:bCs/>
          </w:rPr>
          <w:t>Appendix B</w:t>
        </w:r>
      </w:hyperlink>
      <w:r w:rsidR="0038181F">
        <w:t>.</w:t>
      </w:r>
    </w:p>
    <w:p w14:paraId="71B094A0" w14:textId="52C628C8" w:rsidR="00B44811" w:rsidRDefault="00F02FA5" w:rsidP="00D202DA">
      <w:pPr>
        <w:pStyle w:val="BodyText"/>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D9D9D9" w:themeFill="background1" w:themeFillShade="D9"/>
        <w:tabs>
          <w:tab w:val="left" w:pos="720"/>
        </w:tabs>
        <w:jc w:val="center"/>
      </w:pPr>
      <w:r w:rsidRPr="00531E4A">
        <w:rPr>
          <w:b/>
          <w:bCs/>
        </w:rPr>
        <w:t>Note:</w:t>
      </w:r>
      <w:r w:rsidRPr="00531E4A">
        <w:rPr>
          <w:b/>
          <w:bCs/>
        </w:rPr>
        <w:br/>
      </w:r>
      <w:r w:rsidR="00FE0D60" w:rsidRPr="00C36B36">
        <w:rPr>
          <w:b/>
          <w:bCs/>
        </w:rPr>
        <w:t>When generating a BDA report from this view, some of the data generated may be missing or may be incorrectly assigned. Part of the data generation require</w:t>
      </w:r>
      <w:r w:rsidR="000F6C98">
        <w:rPr>
          <w:b/>
          <w:bCs/>
        </w:rPr>
        <w:t>s</w:t>
      </w:r>
      <w:r w:rsidR="00FE0D60" w:rsidRPr="00C36B36">
        <w:rPr>
          <w:b/>
          <w:bCs/>
        </w:rPr>
        <w:t xml:space="preserve"> the Execution ID of the given Strike Option. If the Strike Option is present in multiple Strike Execution Folders, the system will attempt to retrieve the latest data for report generation, which may result in the above discrepancies.</w:t>
      </w:r>
    </w:p>
    <w:p w14:paraId="4CB4E51B" w14:textId="77777777" w:rsidR="00D202DA" w:rsidRPr="00B44811" w:rsidRDefault="00D202DA" w:rsidP="006045AC">
      <w:pPr>
        <w:spacing w:after="0"/>
      </w:pPr>
    </w:p>
    <w:p w14:paraId="5B946410" w14:textId="77777777" w:rsidR="00481C2E" w:rsidRDefault="00481C2E" w:rsidP="00481C2E">
      <w:pPr>
        <w:pStyle w:val="BodyText"/>
        <w:pBdr>
          <w:top w:val="single" w:sz="12" w:space="1" w:color="auto"/>
          <w:left w:val="single" w:sz="12" w:space="4" w:color="auto"/>
          <w:bottom w:val="single" w:sz="12" w:space="0" w:color="auto"/>
          <w:right w:val="single" w:sz="12" w:space="4" w:color="auto"/>
        </w:pBdr>
        <w:shd w:val="clear" w:color="auto" w:fill="D9D9D9" w:themeFill="background1" w:themeFillShade="D9"/>
        <w:tabs>
          <w:tab w:val="left" w:pos="720"/>
        </w:tabs>
        <w:spacing w:after="120"/>
        <w:jc w:val="center"/>
        <w:rPr>
          <w:b/>
          <w:bCs/>
        </w:rPr>
      </w:pPr>
      <w:r w:rsidRPr="00531E4A">
        <w:rPr>
          <w:b/>
          <w:bCs/>
        </w:rPr>
        <w:t>Note:</w:t>
      </w:r>
      <w:r w:rsidRPr="00531E4A">
        <w:rPr>
          <w:b/>
          <w:bCs/>
        </w:rPr>
        <w:br/>
        <w:t>Reports are not to be generated in parallel. Ensure that generation of a report has completed before attempting to generate a new report.</w:t>
      </w:r>
    </w:p>
    <w:p w14:paraId="35B1848B" w14:textId="77777777" w:rsidR="00464302" w:rsidRPr="000665B0" w:rsidRDefault="00464302" w:rsidP="006D5A65">
      <w:pPr>
        <w:pStyle w:val="Heading1"/>
      </w:pPr>
      <w:r w:rsidRPr="000665B0">
        <w:t>Save – Saves the current Strike Option.</w:t>
      </w:r>
    </w:p>
    <w:p w14:paraId="7636A5A1" w14:textId="77777777" w:rsidR="00E81586" w:rsidRPr="000665B0" w:rsidRDefault="00464302" w:rsidP="006D5A65">
      <w:pPr>
        <w:pStyle w:val="Heading1"/>
      </w:pPr>
      <w:r w:rsidRPr="000665B0">
        <w:t xml:space="preserve">Save As – </w:t>
      </w:r>
      <w:r w:rsidR="004E61BF" w:rsidRPr="000665B0">
        <w:t xml:space="preserve">Copies </w:t>
      </w:r>
      <w:r w:rsidRPr="000665B0">
        <w:t xml:space="preserve">the </w:t>
      </w:r>
      <w:r w:rsidR="004E61BF" w:rsidRPr="000665B0">
        <w:t>current Strike O</w:t>
      </w:r>
      <w:r w:rsidRPr="000665B0">
        <w:t>ption into a new one.</w:t>
      </w:r>
      <w:r w:rsidR="00E81586" w:rsidRPr="000665B0">
        <w:t xml:space="preserve"> </w:t>
      </w:r>
    </w:p>
    <w:p w14:paraId="297D093A" w14:textId="77777777" w:rsidR="00E81586" w:rsidRPr="000665B0" w:rsidRDefault="00E81586" w:rsidP="00F26AD4">
      <w:pPr>
        <w:keepNext/>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3CD7B3BD" w14:textId="5D2FB8B0" w:rsidR="00E81586" w:rsidRPr="000665B0" w:rsidRDefault="00E81586" w:rsidP="00E81586">
      <w:pPr>
        <w:pBdr>
          <w:top w:val="single" w:sz="12" w:space="1" w:color="auto"/>
          <w:left w:val="single" w:sz="12" w:space="4" w:color="auto"/>
          <w:bottom w:val="single" w:sz="12" w:space="0" w:color="auto"/>
          <w:right w:val="single" w:sz="12" w:space="4" w:color="auto"/>
        </w:pBdr>
        <w:shd w:val="clear" w:color="auto" w:fill="D9D9D9"/>
        <w:jc w:val="center"/>
        <w:rPr>
          <w:b/>
        </w:rPr>
      </w:pPr>
      <w:r w:rsidRPr="000665B0">
        <w:rPr>
          <w:b/>
        </w:rPr>
        <w:t xml:space="preserve">During Strike Execution, the Save As menu is disabled when the selected option is executing, unless the Use State is in the Cancelled state. See </w:t>
      </w:r>
      <w:hyperlink w:anchor="_5.38.3.1.6__Options" w:history="1">
        <w:r w:rsidR="00A54F60" w:rsidRPr="000665B0">
          <w:rPr>
            <w:rStyle w:val="Hyperlink"/>
            <w:b/>
          </w:rPr>
          <w:t xml:space="preserve">Section </w:t>
        </w:r>
        <w:r w:rsidR="004231CC">
          <w:rPr>
            <w:rStyle w:val="Hyperlink"/>
            <w:b/>
          </w:rPr>
          <w:t>5.35</w:t>
        </w:r>
        <w:r w:rsidR="00A54F60" w:rsidRPr="000665B0">
          <w:rPr>
            <w:rStyle w:val="Hyperlink"/>
            <w:b/>
          </w:rPr>
          <w:t>.3.1.7</w:t>
        </w:r>
      </w:hyperlink>
      <w:r w:rsidRPr="000665B0">
        <w:rPr>
          <w:b/>
        </w:rPr>
        <w:t xml:space="preserve"> for information about how to change the Use State. </w:t>
      </w:r>
    </w:p>
    <w:p w14:paraId="02EFEC0B" w14:textId="77777777" w:rsidR="00F101C1" w:rsidRPr="000665B0" w:rsidRDefault="00F101C1" w:rsidP="006D5A65">
      <w:pPr>
        <w:pStyle w:val="Heading1"/>
      </w:pPr>
      <w:r w:rsidRPr="000665B0">
        <w:lastRenderedPageBreak/>
        <w:t>Send</w:t>
      </w:r>
    </w:p>
    <w:p w14:paraId="493F2116" w14:textId="7AAF6426" w:rsidR="00F101C1" w:rsidRPr="000665B0" w:rsidRDefault="00F101C1" w:rsidP="006D5A65">
      <w:pPr>
        <w:pStyle w:val="Heading3"/>
      </w:pPr>
      <w:r w:rsidRPr="000665B0">
        <w:t xml:space="preserve">Strike Option – See </w:t>
      </w:r>
      <w:hyperlink w:anchor="_Send" w:history="1">
        <w:r w:rsidR="009326FE" w:rsidRPr="000665B0">
          <w:rPr>
            <w:rStyle w:val="Hyperlink"/>
          </w:rPr>
          <w:t xml:space="preserve">Section </w:t>
        </w:r>
        <w:r w:rsidR="004231CC">
          <w:rPr>
            <w:rStyle w:val="Hyperlink"/>
          </w:rPr>
          <w:t>5.34</w:t>
        </w:r>
        <w:r w:rsidRPr="000665B0">
          <w:rPr>
            <w:rStyle w:val="Hyperlink"/>
          </w:rPr>
          <w:t>.11</w:t>
        </w:r>
      </w:hyperlink>
      <w:r w:rsidRPr="000665B0">
        <w:rPr>
          <w:rStyle w:val="Hyperlink"/>
        </w:rPr>
        <w:t>.</w:t>
      </w:r>
    </w:p>
    <w:p w14:paraId="706E5F9D" w14:textId="23C78CBC" w:rsidR="00F101C1" w:rsidRPr="000665B0" w:rsidRDefault="00F101C1" w:rsidP="006D5A65">
      <w:pPr>
        <w:pStyle w:val="Heading3"/>
        <w:rPr>
          <w:bCs/>
        </w:rPr>
      </w:pPr>
      <w:r w:rsidRPr="000665B0">
        <w:t>ACA Filter Message –</w:t>
      </w:r>
      <w:r w:rsidR="00E87D59" w:rsidRPr="000665B0">
        <w:t xml:space="preserve"> Manually sends an ACA Filter Message to the NSP</w:t>
      </w:r>
      <w:r w:rsidR="000854DC" w:rsidRPr="000665B0">
        <w:t xml:space="preserve"> (see </w:t>
      </w:r>
      <w:hyperlink w:anchor="_Send_an_ACA" w:history="1">
        <w:r w:rsidR="009326FE" w:rsidRPr="000665B0">
          <w:rPr>
            <w:rStyle w:val="Hyperlink"/>
          </w:rPr>
          <w:t xml:space="preserve">Section </w:t>
        </w:r>
        <w:r w:rsidR="004231CC">
          <w:rPr>
            <w:rStyle w:val="Hyperlink"/>
          </w:rPr>
          <w:t>5.34</w:t>
        </w:r>
        <w:r w:rsidR="000854DC" w:rsidRPr="000665B0">
          <w:rPr>
            <w:rStyle w:val="Hyperlink"/>
          </w:rPr>
          <w:t>.7.1.</w:t>
        </w:r>
        <w:r w:rsidR="000F6C98">
          <w:rPr>
            <w:rStyle w:val="Hyperlink"/>
          </w:rPr>
          <w:t>9.1</w:t>
        </w:r>
      </w:hyperlink>
      <w:r w:rsidR="000854DC" w:rsidRPr="000665B0">
        <w:t>)</w:t>
      </w:r>
      <w:r w:rsidR="00E87D59" w:rsidRPr="000665B0">
        <w:t>.</w:t>
      </w:r>
      <w:r w:rsidR="004C7D53" w:rsidRPr="000665B0">
        <w:t xml:space="preserve"> The type of messages available depend on the strike’s state and timing.</w:t>
      </w:r>
    </w:p>
    <w:p w14:paraId="4E010F53" w14:textId="6A36FEE0" w:rsidR="003F51F4" w:rsidRPr="000665B0" w:rsidRDefault="003F51F4" w:rsidP="006D5A65">
      <w:pPr>
        <w:pStyle w:val="Heading4"/>
        <w:rPr>
          <w:bCs/>
        </w:rPr>
      </w:pPr>
      <w:r w:rsidRPr="000665B0">
        <w:t>72 Hour – Filter message for a strike option or package that is within 72 hours and more than 5 hours remaining before SET.</w:t>
      </w:r>
      <w:r w:rsidR="00180C81" w:rsidRPr="000665B0">
        <w:t xml:space="preserve"> This provides situational awareness to the </w:t>
      </w:r>
      <w:r w:rsidR="004C7D53" w:rsidRPr="000665B0">
        <w:t>NSP staff</w:t>
      </w:r>
      <w:r w:rsidR="00180C81" w:rsidRPr="000665B0">
        <w:t>.</w:t>
      </w:r>
    </w:p>
    <w:p w14:paraId="6EA6F0D8" w14:textId="5ADCBC27" w:rsidR="003F51F4" w:rsidRPr="000665B0" w:rsidRDefault="003F51F4" w:rsidP="006D5A65">
      <w:pPr>
        <w:pStyle w:val="Heading4"/>
        <w:rPr>
          <w:bCs/>
        </w:rPr>
      </w:pPr>
      <w:r w:rsidRPr="000665B0">
        <w:t>5 Hour – Filter message for a strike option or package that is within 5 hours of SET.</w:t>
      </w:r>
      <w:r w:rsidR="00180C81" w:rsidRPr="000665B0">
        <w:t xml:space="preserve"> This provides situational awareness to the </w:t>
      </w:r>
      <w:r w:rsidR="004C7D53" w:rsidRPr="000665B0">
        <w:t>NSP staff</w:t>
      </w:r>
      <w:r w:rsidR="00180C81" w:rsidRPr="000665B0">
        <w:t>.</w:t>
      </w:r>
    </w:p>
    <w:p w14:paraId="4C875497" w14:textId="3743F9CD" w:rsidR="00594D31" w:rsidRPr="000665B0" w:rsidRDefault="00594D31" w:rsidP="006D5A65">
      <w:pPr>
        <w:pStyle w:val="Heading4"/>
        <w:rPr>
          <w:bCs/>
        </w:rPr>
      </w:pPr>
      <w:r w:rsidRPr="000665B0">
        <w:t xml:space="preserve">Execute </w:t>
      </w:r>
      <w:r w:rsidRPr="000665B0">
        <w:rPr>
          <w:bCs/>
        </w:rPr>
        <w:t xml:space="preserve">– </w:t>
      </w:r>
      <w:r w:rsidRPr="000665B0">
        <w:t>Informs the NSP to execute the ACA Filter Message</w:t>
      </w:r>
      <w:r w:rsidR="005169E8" w:rsidRPr="000665B0">
        <w:t>.</w:t>
      </w:r>
      <w:r w:rsidR="00180C81" w:rsidRPr="000665B0">
        <w:t xml:space="preserve"> This is to notify the ACA operator and mission support capability that the strike package has reached its execution window and missile launch may be imminent.</w:t>
      </w:r>
    </w:p>
    <w:p w14:paraId="7EC4F301" w14:textId="77777777" w:rsidR="00594D31" w:rsidRPr="000665B0" w:rsidRDefault="00594D31" w:rsidP="006D5A65">
      <w:pPr>
        <w:pStyle w:val="Heading4"/>
        <w:rPr>
          <w:bCs/>
        </w:rPr>
      </w:pPr>
      <w:r w:rsidRPr="000665B0">
        <w:t xml:space="preserve">Cancel </w:t>
      </w:r>
      <w:r w:rsidRPr="000665B0">
        <w:rPr>
          <w:bCs/>
        </w:rPr>
        <w:t xml:space="preserve">– </w:t>
      </w:r>
      <w:r w:rsidRPr="000665B0">
        <w:t>Cancels the currently active ACA Filter Message.</w:t>
      </w:r>
    </w:p>
    <w:p w14:paraId="1308397B" w14:textId="677DF8A4" w:rsidR="00B23DCF" w:rsidRPr="000665B0" w:rsidRDefault="00594D31" w:rsidP="006D5A65">
      <w:pPr>
        <w:pStyle w:val="Heading4"/>
        <w:rPr>
          <w:bCs/>
        </w:rPr>
      </w:pPr>
      <w:r w:rsidRPr="000665B0">
        <w:t xml:space="preserve">Complete </w:t>
      </w:r>
      <w:r w:rsidRPr="000665B0">
        <w:rPr>
          <w:bCs/>
        </w:rPr>
        <w:t>–Indicates t</w:t>
      </w:r>
      <w:r w:rsidRPr="000665B0">
        <w:t>hat the strike is complete such that the resources allocated in the ACA Filter Message can be released.</w:t>
      </w:r>
    </w:p>
    <w:p w14:paraId="3A171FF2" w14:textId="55570BA9" w:rsidR="00946004" w:rsidRPr="000665B0" w:rsidRDefault="00946004" w:rsidP="006D5A65">
      <w:pPr>
        <w:pStyle w:val="Heading1"/>
        <w:rPr>
          <w:bCs/>
        </w:rPr>
      </w:pPr>
      <w:r w:rsidRPr="000665B0">
        <w:rPr>
          <w:bCs/>
        </w:rPr>
        <w:t xml:space="preserve">Print Preview – </w:t>
      </w:r>
      <w:r w:rsidRPr="000665B0">
        <w:t>Allows the operator to review the information prior to printing.</w:t>
      </w:r>
    </w:p>
    <w:p w14:paraId="243148EE" w14:textId="0DF54E6A" w:rsidR="00946004" w:rsidRPr="000665B0" w:rsidRDefault="00CF3A43" w:rsidP="00474A1F">
      <w:pPr>
        <w:tabs>
          <w:tab w:val="left" w:pos="720"/>
        </w:tabs>
        <w:rPr>
          <w:noProof/>
        </w:rPr>
      </w:pPr>
      <w:r w:rsidRPr="000665B0">
        <w:t xml:space="preserve">As in other list views, </w:t>
      </w:r>
      <w:r w:rsidR="00AB79FF" w:rsidRPr="000665B0">
        <w:t xml:space="preserve">items can be selected to </w:t>
      </w:r>
      <w:r w:rsidRPr="000665B0">
        <w:t xml:space="preserve">Send (see </w:t>
      </w:r>
      <w:hyperlink w:anchor="_5.2.1.4__Send_1" w:history="1">
        <w:r w:rsidR="00946004" w:rsidRPr="000665B0">
          <w:rPr>
            <w:rStyle w:val="Hyperlink"/>
          </w:rPr>
          <w:t>Section 5.2.1.4</w:t>
        </w:r>
      </w:hyperlink>
      <w:r w:rsidR="00151C40" w:rsidRPr="000665B0">
        <w:rPr>
          <w:noProof/>
        </w:rPr>
        <w:t>)</w:t>
      </w:r>
      <w:r w:rsidR="00946004" w:rsidRPr="000665B0">
        <w:rPr>
          <w:noProof/>
        </w:rPr>
        <w:t xml:space="preserve"> and</w:t>
      </w:r>
      <w:r w:rsidRPr="000665B0">
        <w:rPr>
          <w:noProof/>
        </w:rPr>
        <w:t xml:space="preserve"> Print (see</w:t>
      </w:r>
      <w:r w:rsidR="00946004" w:rsidRPr="000665B0">
        <w:rPr>
          <w:noProof/>
        </w:rPr>
        <w:t xml:space="preserve"> </w:t>
      </w:r>
      <w:hyperlink w:anchor="_5.2.1.5__Print" w:history="1">
        <w:r w:rsidR="00946004" w:rsidRPr="000665B0">
          <w:rPr>
            <w:rStyle w:val="Hyperlink"/>
          </w:rPr>
          <w:t>Section 5.2.1.</w:t>
        </w:r>
      </w:hyperlink>
      <w:r w:rsidR="00946004" w:rsidRPr="000665B0">
        <w:rPr>
          <w:rStyle w:val="Hyperlink"/>
        </w:rPr>
        <w:t>5</w:t>
      </w:r>
      <w:r w:rsidRPr="000665B0">
        <w:rPr>
          <w:rStyle w:val="Hyperlink"/>
        </w:rPr>
        <w:t>)</w:t>
      </w:r>
      <w:r w:rsidR="00946004" w:rsidRPr="000665B0">
        <w:rPr>
          <w:noProof/>
        </w:rPr>
        <w:t>.</w:t>
      </w:r>
    </w:p>
    <w:p w14:paraId="11C786EA" w14:textId="77777777" w:rsidR="004E61BF" w:rsidRPr="000665B0" w:rsidRDefault="004E61BF" w:rsidP="006D5A65">
      <w:pPr>
        <w:pStyle w:val="Heading1"/>
      </w:pPr>
      <w:r w:rsidRPr="000665B0">
        <w:t>Edit Menu</w:t>
      </w:r>
    </w:p>
    <w:p w14:paraId="2E8F782E" w14:textId="77777777" w:rsidR="004E61BF" w:rsidRPr="000665B0" w:rsidRDefault="004E61BF" w:rsidP="006D5A65">
      <w:pPr>
        <w:pStyle w:val="Heading2"/>
      </w:pPr>
      <w:r w:rsidRPr="000665B0">
        <w:t>Undo</w:t>
      </w:r>
      <w:r w:rsidR="00D171C8" w:rsidRPr="000665B0">
        <w:t xml:space="preserve"> </w:t>
      </w:r>
      <w:r w:rsidRPr="000665B0">
        <w:t>– Undoes most recent action (such as adding/removing elements).</w:t>
      </w:r>
      <w:r w:rsidR="001D762F" w:rsidRPr="000665B0">
        <w:t xml:space="preserve"> The user may also click the Undo </w:t>
      </w:r>
      <w:r w:rsidR="001D762F" w:rsidRPr="000665B0">
        <w:rPr>
          <w:noProof/>
        </w:rPr>
        <w:drawing>
          <wp:inline distT="0" distB="0" distL="0" distR="0" wp14:anchorId="797ABB3F" wp14:editId="1614B387">
            <wp:extent cx="142875" cy="125016"/>
            <wp:effectExtent l="0" t="0" r="0" b="889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875" cy="125016"/>
                    </a:xfrm>
                    <a:prstGeom prst="rect">
                      <a:avLst/>
                    </a:prstGeom>
                    <a:ln>
                      <a:noFill/>
                    </a:ln>
                    <a:extLst>
                      <a:ext uri="{53640926-AAD7-44D8-BBD7-CCE9431645EC}">
                        <a14:shadowObscured xmlns:a14="http://schemas.microsoft.com/office/drawing/2010/main"/>
                      </a:ext>
                    </a:extLst>
                  </pic:spPr>
                </pic:pic>
              </a:graphicData>
            </a:graphic>
          </wp:inline>
        </w:drawing>
      </w:r>
      <w:r w:rsidR="001D762F" w:rsidRPr="000665B0">
        <w:t xml:space="preserve"> icon in the toolbar.</w:t>
      </w:r>
    </w:p>
    <w:p w14:paraId="510246E4" w14:textId="77777777" w:rsidR="002C511F" w:rsidRPr="000665B0" w:rsidRDefault="002C511F" w:rsidP="006D5A65">
      <w:pPr>
        <w:pStyle w:val="Heading1"/>
      </w:pPr>
      <w:r w:rsidRPr="000665B0">
        <w:t xml:space="preserve">Transfer Ownership – Allows the operator to transfer the ownership of the Option to another </w:t>
      </w:r>
      <w:r w:rsidR="004E61BF" w:rsidRPr="000665B0">
        <w:t>node</w:t>
      </w:r>
      <w:r w:rsidRPr="000665B0">
        <w:t xml:space="preserve">. Menu is enabled when the </w:t>
      </w:r>
      <w:r w:rsidR="004E61BF" w:rsidRPr="000665B0">
        <w:t xml:space="preserve">owner </w:t>
      </w:r>
      <w:r w:rsidRPr="000665B0">
        <w:t xml:space="preserve">of the Option has not transferred ownership. Once ownership is transferred to another node, this menu item </w:t>
      </w:r>
      <w:r w:rsidRPr="000665B0">
        <w:lastRenderedPageBreak/>
        <w:t xml:space="preserve">becomes Reclaim Ownership, which allows the owner to </w:t>
      </w:r>
      <w:r w:rsidR="004E61BF" w:rsidRPr="000665B0">
        <w:t>regain</w:t>
      </w:r>
      <w:r w:rsidRPr="000665B0">
        <w:t xml:space="preserve"> ownership of the Option.</w:t>
      </w:r>
    </w:p>
    <w:p w14:paraId="5F666BEC" w14:textId="68283ACA" w:rsidR="002C511F" w:rsidRPr="000665B0" w:rsidRDefault="00B02262" w:rsidP="00474A1F">
      <w:pPr>
        <w:tabs>
          <w:tab w:val="left" w:pos="720"/>
        </w:tabs>
        <w:jc w:val="center"/>
      </w:pPr>
      <w:r w:rsidRPr="000665B0">
        <w:rPr>
          <w:noProof/>
        </w:rPr>
        <w:drawing>
          <wp:inline distT="0" distB="0" distL="0" distR="0" wp14:anchorId="46779E8C" wp14:editId="7EE46E88">
            <wp:extent cx="2743200" cy="1088136"/>
            <wp:effectExtent l="0" t="0" r="0" b="0"/>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088136"/>
                    </a:xfrm>
                    <a:prstGeom prst="rect">
                      <a:avLst/>
                    </a:prstGeom>
                  </pic:spPr>
                </pic:pic>
              </a:graphicData>
            </a:graphic>
          </wp:inline>
        </w:drawing>
      </w:r>
    </w:p>
    <w:p w14:paraId="7747276E" w14:textId="780ABB60" w:rsidR="00464302" w:rsidRPr="00C97B43" w:rsidRDefault="00464302" w:rsidP="006D5A65">
      <w:pPr>
        <w:pStyle w:val="Heading1"/>
      </w:pPr>
      <w:r w:rsidRPr="00C97B43">
        <w:t xml:space="preserve">Shift Strike Times – </w:t>
      </w:r>
      <w:r w:rsidR="004E61BF" w:rsidRPr="00C97B43">
        <w:t>S</w:t>
      </w:r>
      <w:r w:rsidR="002C511F" w:rsidRPr="00C97B43">
        <w:t>hift</w:t>
      </w:r>
      <w:r w:rsidR="004E61BF" w:rsidRPr="00C97B43">
        <w:t>s</w:t>
      </w:r>
      <w:r w:rsidR="002C511F" w:rsidRPr="00C97B43">
        <w:t xml:space="preserve"> the missile times of all missiles for the option</w:t>
      </w:r>
      <w:r w:rsidR="00AF6111" w:rsidRPr="00C97B43">
        <w:t>s</w:t>
      </w:r>
      <w:r w:rsidR="002C511F" w:rsidRPr="00C97B43">
        <w:t xml:space="preserve"> that do not have their time</w:t>
      </w:r>
      <w:r w:rsidR="00AF6111" w:rsidRPr="00C97B43">
        <w:t>s</w:t>
      </w:r>
      <w:r w:rsidR="002C511F" w:rsidRPr="00C97B43">
        <w:t xml:space="preserve"> locked. For more information see </w:t>
      </w:r>
      <w:hyperlink w:anchor="_Shift_Strike_Times_1" w:history="1">
        <w:r w:rsidR="009326FE" w:rsidRPr="00DA7626">
          <w:rPr>
            <w:rStyle w:val="Hyperlink"/>
          </w:rPr>
          <w:t xml:space="preserve">Section </w:t>
        </w:r>
        <w:r w:rsidR="004231CC">
          <w:rPr>
            <w:rStyle w:val="Hyperlink"/>
          </w:rPr>
          <w:t>5.34</w:t>
        </w:r>
        <w:r w:rsidR="000B6B74" w:rsidRPr="00DA7626">
          <w:rPr>
            <w:rStyle w:val="Hyperlink"/>
          </w:rPr>
          <w:t>.</w:t>
        </w:r>
        <w:r w:rsidR="0089269C" w:rsidRPr="00DA7626">
          <w:rPr>
            <w:rStyle w:val="Hyperlink"/>
          </w:rPr>
          <w:t>7</w:t>
        </w:r>
        <w:r w:rsidR="000B6B74" w:rsidRPr="00DA7626">
          <w:rPr>
            <w:rStyle w:val="Hyperlink"/>
          </w:rPr>
          <w:t>.1.19</w:t>
        </w:r>
      </w:hyperlink>
      <w:r w:rsidR="002C511F" w:rsidRPr="00C97B43">
        <w:t>.</w:t>
      </w:r>
    </w:p>
    <w:p w14:paraId="7FC099F9" w14:textId="77777777" w:rsidR="00464302" w:rsidRPr="00C97B43" w:rsidRDefault="00464302" w:rsidP="006D5A65">
      <w:pPr>
        <w:pStyle w:val="Heading1"/>
      </w:pPr>
      <w:r w:rsidRPr="00C97B43">
        <w:t xml:space="preserve">Edit Execution Time – </w:t>
      </w:r>
      <w:r w:rsidR="004E61BF" w:rsidRPr="00C97B43">
        <w:t>C</w:t>
      </w:r>
      <w:r w:rsidRPr="00C97B43">
        <w:t>hange</w:t>
      </w:r>
      <w:r w:rsidR="004E61BF" w:rsidRPr="00C97B43">
        <w:t>s</w:t>
      </w:r>
      <w:r w:rsidRPr="00C97B43">
        <w:t xml:space="preserve"> the strike’s execution time.</w:t>
      </w:r>
    </w:p>
    <w:p w14:paraId="5B2F6867" w14:textId="77777777" w:rsidR="005367E0" w:rsidRDefault="00464302" w:rsidP="006D5A65">
      <w:pPr>
        <w:pStyle w:val="Heading1"/>
      </w:pPr>
      <w:r w:rsidRPr="00C97B43">
        <w:rPr>
          <w:bCs/>
        </w:rPr>
        <w:t xml:space="preserve">Request Write Privilege </w:t>
      </w:r>
      <w:r w:rsidRPr="00C97B43">
        <w:t>– For the non-owner of the option</w:t>
      </w:r>
      <w:r w:rsidR="004E61BF" w:rsidRPr="00C97B43">
        <w:t>,</w:t>
      </w:r>
      <w:r w:rsidRPr="00C97B43">
        <w:t xml:space="preserve"> this</w:t>
      </w:r>
      <w:r w:rsidRPr="00C97B43">
        <w:rPr>
          <w:bCs/>
        </w:rPr>
        <w:t xml:space="preserve"> can be used </w:t>
      </w:r>
      <w:r w:rsidRPr="00C97B43">
        <w:t>to modify the strike option. It will only be granted if the user is a TSC</w:t>
      </w:r>
      <w:r w:rsidR="002061FE" w:rsidRPr="00C97B43">
        <w:t xml:space="preserve"> or ATSC</w:t>
      </w:r>
      <w:r w:rsidR="004E7017" w:rsidRPr="00C97B43">
        <w:t xml:space="preserve">, </w:t>
      </w:r>
      <w:r w:rsidRPr="00C97B43">
        <w:t>and the option is a package.</w:t>
      </w:r>
    </w:p>
    <w:p w14:paraId="1ADFDEC5" w14:textId="37403EC1" w:rsidR="00464302" w:rsidRPr="00C97B43" w:rsidRDefault="005367E0" w:rsidP="006D5A65">
      <w:pPr>
        <w:pStyle w:val="Heading1"/>
      </w:pPr>
      <w:r>
        <w:rPr>
          <w:bCs/>
        </w:rPr>
        <w:t xml:space="preserve">Lock REL </w:t>
      </w:r>
      <w:r>
        <w:t xml:space="preserve">– Prevents the user from adding or editing data objects within the Strike Option textual view that don’t meet the releasability requirements of the Option itself. Unclassified data objects allowed to be added or edited, no matter the status of the lock. For more information on the lock, see </w:t>
      </w:r>
      <w:hyperlink w:anchor="_Releasability_Lock_(Strike" w:history="1">
        <w:r w:rsidRPr="00E106F9">
          <w:rPr>
            <w:rStyle w:val="Hyperlink"/>
          </w:rPr>
          <w:t xml:space="preserve">Section </w:t>
        </w:r>
        <w:r w:rsidR="004231CC">
          <w:rPr>
            <w:rStyle w:val="Hyperlink"/>
          </w:rPr>
          <w:t>5.34</w:t>
        </w:r>
        <w:r w:rsidRPr="00E106F9">
          <w:rPr>
            <w:rStyle w:val="Hyperlink"/>
          </w:rPr>
          <w:t>.2.3.1</w:t>
        </w:r>
      </w:hyperlink>
      <w:r>
        <w:t>.</w:t>
      </w:r>
    </w:p>
    <w:p w14:paraId="1971E20B" w14:textId="77777777" w:rsidR="00FA2792" w:rsidRPr="000665B0" w:rsidRDefault="00464302" w:rsidP="006D5A65">
      <w:pPr>
        <w:pStyle w:val="Heading1"/>
        <w:rPr>
          <w:bCs/>
        </w:rPr>
      </w:pPr>
      <w:r w:rsidRPr="00C97B43">
        <w:rPr>
          <w:bCs/>
        </w:rPr>
        <w:t xml:space="preserve">Turn into Package </w:t>
      </w:r>
      <w:r w:rsidRPr="00C97B43">
        <w:t xml:space="preserve">– </w:t>
      </w:r>
      <w:r w:rsidR="004E61BF" w:rsidRPr="00C97B43">
        <w:t>T</w:t>
      </w:r>
      <w:r w:rsidRPr="00C97B43">
        <w:t>urn</w:t>
      </w:r>
      <w:r w:rsidR="004E61BF" w:rsidRPr="00C97B43">
        <w:t>s</w:t>
      </w:r>
      <w:r w:rsidRPr="00C97B43">
        <w:t xml:space="preserve"> the option into a package. </w:t>
      </w:r>
      <w:r w:rsidR="001D0070" w:rsidRPr="00C97B43">
        <w:t>For an option to be distributed to the FRUs and executed</w:t>
      </w:r>
      <w:r w:rsidR="001D0070" w:rsidRPr="000665B0">
        <w:t xml:space="preserve"> in a strike, it must first be turned into a package, which commits the planned resources in the option into actual allocation and </w:t>
      </w:r>
      <w:r w:rsidR="00B27643" w:rsidRPr="000665B0">
        <w:t>implementation. Before</w:t>
      </w:r>
      <w:r w:rsidRPr="000665B0">
        <w:t xml:space="preserve"> the option is saved the menu will change to Undo </w:t>
      </w:r>
      <w:r w:rsidRPr="000665B0">
        <w:rPr>
          <w:bCs/>
        </w:rPr>
        <w:t xml:space="preserve">Turn into Package </w:t>
      </w:r>
      <w:r w:rsidR="004E61BF" w:rsidRPr="000665B0">
        <w:rPr>
          <w:bCs/>
        </w:rPr>
        <w:t xml:space="preserve">which gives </w:t>
      </w:r>
      <w:r w:rsidRPr="000665B0">
        <w:rPr>
          <w:bCs/>
        </w:rPr>
        <w:t>the user a chance to cancel the change.</w:t>
      </w:r>
    </w:p>
    <w:p w14:paraId="40F9757F" w14:textId="531DBFDD" w:rsidR="00FA2792" w:rsidRPr="000665B0" w:rsidRDefault="00FA2792" w:rsidP="006D5A65">
      <w:pPr>
        <w:pStyle w:val="Heading2"/>
      </w:pPr>
      <w:r w:rsidRPr="000665B0">
        <w:t>Turning an option into a package</w:t>
      </w:r>
      <w:r w:rsidR="004E61BF" w:rsidRPr="000665B0">
        <w:t xml:space="preserve"> automatically</w:t>
      </w:r>
      <w:r w:rsidRPr="000665B0">
        <w:t xml:space="preserve"> invokes analysis (see </w:t>
      </w:r>
      <w:hyperlink w:anchor="_5.38.5.1.13__Analysis_Tools" w:history="1">
        <w:r w:rsidR="009326FE" w:rsidRPr="000665B0">
          <w:rPr>
            <w:rStyle w:val="Hyperlink"/>
            <w:bCs/>
          </w:rPr>
          <w:t xml:space="preserve">Section </w:t>
        </w:r>
        <w:r w:rsidR="004231CC">
          <w:rPr>
            <w:rStyle w:val="Hyperlink"/>
            <w:bCs/>
          </w:rPr>
          <w:t>5.34</w:t>
        </w:r>
        <w:r w:rsidR="009408BA" w:rsidRPr="000665B0">
          <w:rPr>
            <w:rStyle w:val="Hyperlink"/>
            <w:bCs/>
          </w:rPr>
          <w:t>.</w:t>
        </w:r>
        <w:r w:rsidR="0089269C" w:rsidRPr="000665B0">
          <w:rPr>
            <w:rStyle w:val="Hyperlink"/>
            <w:bCs/>
          </w:rPr>
          <w:t>7</w:t>
        </w:r>
        <w:r w:rsidR="009408BA" w:rsidRPr="000665B0">
          <w:rPr>
            <w:rStyle w:val="Hyperlink"/>
            <w:bCs/>
          </w:rPr>
          <w:t>.1.15</w:t>
        </w:r>
      </w:hyperlink>
      <w:r w:rsidRPr="000665B0">
        <w:t xml:space="preserve">) in accordance with the Auto-Analysis preferences (see </w:t>
      </w:r>
      <w:hyperlink w:anchor="_5.37.1.1.3.3__Auto-Analysis" w:history="1">
        <w:r w:rsidR="009326FE" w:rsidRPr="000665B0">
          <w:rPr>
            <w:rStyle w:val="Hyperlink"/>
            <w:bCs/>
          </w:rPr>
          <w:t xml:space="preserve">Section </w:t>
        </w:r>
        <w:r w:rsidR="004231CC">
          <w:rPr>
            <w:rStyle w:val="Hyperlink"/>
            <w:bCs/>
          </w:rPr>
          <w:t>5.34</w:t>
        </w:r>
        <w:r w:rsidR="00BE62F5" w:rsidRPr="000665B0">
          <w:rPr>
            <w:rStyle w:val="Hyperlink"/>
            <w:bCs/>
          </w:rPr>
          <w:t>.1.1.3.3</w:t>
        </w:r>
      </w:hyperlink>
      <w:r w:rsidRPr="000665B0">
        <w:t>). If a strike is executing, analysis will be a multi-strike analysis of the option being converted</w:t>
      </w:r>
      <w:r w:rsidR="004E61BF" w:rsidRPr="000665B0">
        <w:t>, along</w:t>
      </w:r>
      <w:r w:rsidRPr="000665B0">
        <w:t xml:space="preserve"> with the rest of the executing strike. Otherwise, analysis will include only the option being converted.</w:t>
      </w:r>
    </w:p>
    <w:p w14:paraId="3D1D5723" w14:textId="65D219CE" w:rsidR="00464302" w:rsidRPr="000665B0" w:rsidRDefault="00464302" w:rsidP="006D5A65">
      <w:pPr>
        <w:pStyle w:val="Heading1"/>
      </w:pPr>
      <w:r w:rsidRPr="000665B0">
        <w:rPr>
          <w:bCs/>
        </w:rPr>
        <w:t>Change Use State</w:t>
      </w:r>
      <w:r w:rsidR="004E61BF" w:rsidRPr="000665B0">
        <w:rPr>
          <w:bCs/>
        </w:rPr>
        <w:t xml:space="preserve"> to</w:t>
      </w:r>
      <w:r w:rsidRPr="000665B0">
        <w:rPr>
          <w:bCs/>
        </w:rPr>
        <w:t xml:space="preserve"> </w:t>
      </w:r>
      <w:r w:rsidRPr="000665B0">
        <w:t xml:space="preserve">– Select from the </w:t>
      </w:r>
      <w:r w:rsidR="00D56821" w:rsidRPr="000665B0">
        <w:t>drop-down</w:t>
      </w:r>
      <w:r w:rsidR="004E61BF" w:rsidRPr="000665B0">
        <w:t xml:space="preserve"> list</w:t>
      </w:r>
      <w:r w:rsidRPr="000665B0">
        <w:t xml:space="preserve"> to change the package</w:t>
      </w:r>
      <w:r w:rsidR="004E61BF" w:rsidRPr="000665B0">
        <w:t>’</w:t>
      </w:r>
      <w:r w:rsidRPr="000665B0">
        <w:t xml:space="preserve">s use state. Only the applicable states will be </w:t>
      </w:r>
      <w:r w:rsidR="004E61BF" w:rsidRPr="000665B0">
        <w:t>enabled</w:t>
      </w:r>
      <w:r w:rsidRPr="000665B0">
        <w:t>.</w:t>
      </w:r>
    </w:p>
    <w:p w14:paraId="29A4B6ED" w14:textId="77777777" w:rsidR="00464302" w:rsidRPr="000665B0" w:rsidRDefault="00464302" w:rsidP="006D5A65">
      <w:pPr>
        <w:pStyle w:val="Heading1"/>
      </w:pPr>
      <w:r w:rsidRPr="000665B0">
        <w:rPr>
          <w:bCs/>
        </w:rPr>
        <w:t xml:space="preserve">Add this Option to the Executing Strike </w:t>
      </w:r>
      <w:r w:rsidRPr="000665B0">
        <w:t xml:space="preserve">– Adds this Strike Option to the </w:t>
      </w:r>
      <w:r w:rsidR="004E61BF" w:rsidRPr="000665B0">
        <w:t xml:space="preserve">executing strike </w:t>
      </w:r>
      <w:r w:rsidRPr="000665B0">
        <w:t>in the SMD.</w:t>
      </w:r>
    </w:p>
    <w:p w14:paraId="37FCF981" w14:textId="03C3FAE7" w:rsidR="005E6AA4" w:rsidRPr="000665B0" w:rsidRDefault="005E6AA4" w:rsidP="006D5A65">
      <w:pPr>
        <w:pStyle w:val="Heading1"/>
      </w:pPr>
      <w:r w:rsidRPr="000665B0">
        <w:rPr>
          <w:bCs/>
        </w:rPr>
        <w:t xml:space="preserve">Reset Missile Subscriber IDs </w:t>
      </w:r>
      <w:r w:rsidRPr="000665B0">
        <w:t xml:space="preserve">– </w:t>
      </w:r>
      <w:r w:rsidR="00A759D1" w:rsidRPr="000665B0">
        <w:t xml:space="preserve">Invokes a prompt to blank out all missile subscriber IDs in the option or package. When the </w:t>
      </w:r>
      <w:r w:rsidR="00A759D1" w:rsidRPr="000665B0">
        <w:lastRenderedPageBreak/>
        <w:t>option or package is saved, missile reservations are reassigned a new set of missile subscriber IDs.</w:t>
      </w:r>
    </w:p>
    <w:p w14:paraId="11A562C1" w14:textId="77B16273" w:rsidR="004E62F3" w:rsidRPr="000665B0" w:rsidRDefault="004E62F3" w:rsidP="00EE0310">
      <w:pPr>
        <w:pStyle w:val="bullet11"/>
        <w:tabs>
          <w:tab w:val="left" w:pos="720"/>
        </w:tabs>
        <w:spacing w:before="120" w:beforeAutospacing="0" w:after="120" w:afterAutospacing="0"/>
        <w:jc w:val="center"/>
      </w:pPr>
      <w:r w:rsidRPr="000665B0">
        <w:rPr>
          <w:noProof/>
        </w:rPr>
        <w:drawing>
          <wp:inline distT="0" distB="0" distL="0" distR="0" wp14:anchorId="02E7E9A5" wp14:editId="1C714EB2">
            <wp:extent cx="2743200" cy="1078992"/>
            <wp:effectExtent l="0" t="0" r="0" b="6985"/>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743200" cy="1078992"/>
                    </a:xfrm>
                    <a:prstGeom prst="rect">
                      <a:avLst/>
                    </a:prstGeom>
                    <a:noFill/>
                  </pic:spPr>
                </pic:pic>
              </a:graphicData>
            </a:graphic>
          </wp:inline>
        </w:drawing>
      </w:r>
    </w:p>
    <w:p w14:paraId="2F0A7A71" w14:textId="77777777" w:rsidR="004E61BF" w:rsidRPr="000665B0" w:rsidRDefault="004E61BF" w:rsidP="006D5A65">
      <w:pPr>
        <w:pStyle w:val="Heading1"/>
      </w:pPr>
      <w:r w:rsidRPr="000665B0">
        <w:rPr>
          <w:bCs/>
        </w:rPr>
        <w:t xml:space="preserve">Renumber Missile Sequence Numbers </w:t>
      </w:r>
      <w:r w:rsidRPr="000665B0">
        <w:t xml:space="preserve">– </w:t>
      </w:r>
      <w:r w:rsidR="001D0070" w:rsidRPr="000665B0">
        <w:t xml:space="preserve">Issues a new set of sequential numbers for the assigned missiles in the </w:t>
      </w:r>
      <w:r w:rsidR="001D0070" w:rsidRPr="000665B0">
        <w:rPr>
          <w:i/>
        </w:rPr>
        <w:t>Missile</w:t>
      </w:r>
      <w:r w:rsidR="001D0070" w:rsidRPr="000665B0">
        <w:t>s tab, and the first number in the sequential series is the next highest number unused. When missiles are added and removed, the sequence numbers can easily be out of consecutive ordering. Renumbering missile sequence numbers helps ease the user in awareness and the management of the missiles.</w:t>
      </w:r>
    </w:p>
    <w:p w14:paraId="4007FA72" w14:textId="77777777" w:rsidR="00464302" w:rsidRPr="000665B0" w:rsidRDefault="00464302" w:rsidP="006D5A65">
      <w:pPr>
        <w:pStyle w:val="Heading1"/>
      </w:pPr>
      <w:r w:rsidRPr="000665B0">
        <w:t xml:space="preserve">View </w:t>
      </w:r>
      <w:r w:rsidR="004E61BF" w:rsidRPr="000665B0">
        <w:t>Menu</w:t>
      </w:r>
    </w:p>
    <w:p w14:paraId="0D1FC680" w14:textId="77777777" w:rsidR="00464302" w:rsidRPr="000665B0" w:rsidRDefault="00464302" w:rsidP="006D5A65">
      <w:pPr>
        <w:pStyle w:val="Heading1"/>
      </w:pPr>
      <w:r w:rsidRPr="000665B0">
        <w:t>Information Section</w:t>
      </w:r>
      <w:r w:rsidR="004E61BF" w:rsidRPr="000665B0">
        <w:t>, Toolbar, Status Bar</w:t>
      </w:r>
      <w:r w:rsidRPr="000665B0">
        <w:t xml:space="preserve"> – </w:t>
      </w:r>
      <w:r w:rsidR="00547A35" w:rsidRPr="000665B0">
        <w:t>T</w:t>
      </w:r>
      <w:r w:rsidRPr="000665B0">
        <w:t xml:space="preserve">oggles the display of the </w:t>
      </w:r>
      <w:r w:rsidR="004E61BF" w:rsidRPr="000665B0">
        <w:t>selected item</w:t>
      </w:r>
      <w:r w:rsidRPr="000665B0">
        <w:t>.</w:t>
      </w:r>
    </w:p>
    <w:p w14:paraId="170EE33C" w14:textId="77777777" w:rsidR="00464302" w:rsidRPr="000665B0" w:rsidRDefault="00464302" w:rsidP="006D5A65">
      <w:pPr>
        <w:pStyle w:val="Heading1"/>
      </w:pPr>
      <w:r w:rsidRPr="000665B0">
        <w:t>Tool</w:t>
      </w:r>
      <w:r w:rsidR="004E61BF" w:rsidRPr="000665B0">
        <w:t>s</w:t>
      </w:r>
      <w:r w:rsidRPr="000665B0">
        <w:t xml:space="preserve"> </w:t>
      </w:r>
      <w:r w:rsidR="004E61BF" w:rsidRPr="000665B0">
        <w:t>Menu</w:t>
      </w:r>
    </w:p>
    <w:p w14:paraId="31303A42" w14:textId="071DCA5C" w:rsidR="00464302" w:rsidRPr="000665B0" w:rsidRDefault="00464302" w:rsidP="006D5A65">
      <w:pPr>
        <w:pStyle w:val="Heading1"/>
      </w:pPr>
      <w:r w:rsidRPr="000665B0">
        <w:t xml:space="preserve">Manual PM3 – </w:t>
      </w:r>
      <w:r w:rsidR="00547A35" w:rsidRPr="000665B0">
        <w:t>B</w:t>
      </w:r>
      <w:r w:rsidRPr="000665B0">
        <w:t xml:space="preserve">rings up the </w:t>
      </w:r>
      <w:r w:rsidRPr="000665B0">
        <w:rPr>
          <w:i/>
        </w:rPr>
        <w:t>PM3</w:t>
      </w:r>
      <w:r w:rsidRPr="000665B0">
        <w:t xml:space="preserve"> window to allow for </w:t>
      </w:r>
      <w:r w:rsidR="00936636" w:rsidRPr="000665B0">
        <w:t xml:space="preserve">manual </w:t>
      </w:r>
      <w:r w:rsidRPr="000665B0">
        <w:t>Mission/Missile Matching.</w:t>
      </w:r>
      <w:r w:rsidR="00936636" w:rsidRPr="000665B0">
        <w:t xml:space="preserve"> See </w:t>
      </w:r>
      <w:hyperlink w:anchor="_Manual_Platform_Missile" w:history="1">
        <w:r w:rsidR="009326FE" w:rsidRPr="000665B0">
          <w:rPr>
            <w:rStyle w:val="Hyperlink"/>
          </w:rPr>
          <w:t xml:space="preserve">Section </w:t>
        </w:r>
        <w:r w:rsidR="004231CC">
          <w:rPr>
            <w:rStyle w:val="Hyperlink"/>
          </w:rPr>
          <w:t>5.34</w:t>
        </w:r>
        <w:r w:rsidR="000B6B74" w:rsidRPr="000665B0">
          <w:rPr>
            <w:rStyle w:val="Hyperlink"/>
          </w:rPr>
          <w:t>.</w:t>
        </w:r>
        <w:r w:rsidR="0089269C" w:rsidRPr="000665B0">
          <w:rPr>
            <w:rStyle w:val="Hyperlink"/>
          </w:rPr>
          <w:t>7</w:t>
        </w:r>
        <w:r w:rsidR="000B6B74" w:rsidRPr="000665B0">
          <w:rPr>
            <w:rStyle w:val="Hyperlink"/>
          </w:rPr>
          <w:t>.1.17</w:t>
        </w:r>
      </w:hyperlink>
      <w:r w:rsidR="00936636" w:rsidRPr="000665B0">
        <w:t>.</w:t>
      </w:r>
    </w:p>
    <w:p w14:paraId="2237B811" w14:textId="2EE6B645" w:rsidR="00464302" w:rsidRPr="000665B0" w:rsidRDefault="00464302" w:rsidP="006D5A65">
      <w:pPr>
        <w:pStyle w:val="Heading1"/>
      </w:pPr>
      <w:r w:rsidRPr="000665B0">
        <w:t xml:space="preserve">Auto PM3 – </w:t>
      </w:r>
      <w:r w:rsidR="00547A35" w:rsidRPr="000665B0">
        <w:t>B</w:t>
      </w:r>
      <w:r w:rsidRPr="000665B0">
        <w:t xml:space="preserve">rings up the </w:t>
      </w:r>
      <w:r w:rsidRPr="000665B0">
        <w:rPr>
          <w:i/>
        </w:rPr>
        <w:t>PM3</w:t>
      </w:r>
      <w:r w:rsidRPr="000665B0">
        <w:t xml:space="preserve"> window to allow for </w:t>
      </w:r>
      <w:r w:rsidR="00936636" w:rsidRPr="000665B0">
        <w:t xml:space="preserve">automatic </w:t>
      </w:r>
      <w:r w:rsidRPr="000665B0">
        <w:t>Mission/Missile Matching.</w:t>
      </w:r>
      <w:r w:rsidR="00936636" w:rsidRPr="000665B0">
        <w:t xml:space="preserve"> See </w:t>
      </w:r>
      <w:hyperlink w:anchor="_5.37.6.1.17__Auto" w:history="1">
        <w:r w:rsidR="009326FE" w:rsidRPr="000665B0">
          <w:rPr>
            <w:rStyle w:val="Hyperlink"/>
          </w:rPr>
          <w:t xml:space="preserve">Section </w:t>
        </w:r>
        <w:r w:rsidR="004231CC">
          <w:rPr>
            <w:rStyle w:val="Hyperlink"/>
          </w:rPr>
          <w:t>5.34</w:t>
        </w:r>
        <w:r w:rsidR="000B6B74" w:rsidRPr="000665B0">
          <w:rPr>
            <w:rStyle w:val="Hyperlink"/>
          </w:rPr>
          <w:t>.</w:t>
        </w:r>
        <w:r w:rsidR="0089269C" w:rsidRPr="000665B0">
          <w:rPr>
            <w:rStyle w:val="Hyperlink"/>
          </w:rPr>
          <w:t>7</w:t>
        </w:r>
        <w:r w:rsidR="000B6B74" w:rsidRPr="000665B0">
          <w:rPr>
            <w:rStyle w:val="Hyperlink"/>
          </w:rPr>
          <w:t>.1.18</w:t>
        </w:r>
      </w:hyperlink>
      <w:r w:rsidR="00936636" w:rsidRPr="000665B0">
        <w:t>.</w:t>
      </w:r>
    </w:p>
    <w:p w14:paraId="4E9D1F98" w14:textId="50F7BD3A" w:rsidR="00464302" w:rsidRPr="000665B0" w:rsidRDefault="00464302" w:rsidP="006D5A65">
      <w:pPr>
        <w:pStyle w:val="Heading1"/>
      </w:pPr>
      <w:r w:rsidRPr="000665B0">
        <w:t xml:space="preserve">TSN Schedule – </w:t>
      </w:r>
      <w:r w:rsidR="00547A35" w:rsidRPr="000665B0">
        <w:t>B</w:t>
      </w:r>
      <w:r w:rsidRPr="000665B0">
        <w:t xml:space="preserve">rings up the TSN </w:t>
      </w:r>
      <w:r w:rsidR="00936636" w:rsidRPr="000665B0">
        <w:t>schedule</w:t>
      </w:r>
      <w:r w:rsidRPr="000665B0">
        <w:t>. See</w:t>
      </w:r>
      <w:r w:rsidR="001D0070" w:rsidRPr="000665B0">
        <w:t xml:space="preserve"> </w:t>
      </w:r>
      <w:hyperlink w:anchor="_5.37.6.1.15__Option" w:history="1">
        <w:r w:rsidR="009326FE" w:rsidRPr="000665B0">
          <w:rPr>
            <w:rStyle w:val="Hyperlink"/>
          </w:rPr>
          <w:t xml:space="preserve">Section </w:t>
        </w:r>
        <w:r w:rsidR="004231CC">
          <w:rPr>
            <w:rStyle w:val="Hyperlink"/>
          </w:rPr>
          <w:t>5.34</w:t>
        </w:r>
        <w:r w:rsidR="000B6B74" w:rsidRPr="000665B0">
          <w:rPr>
            <w:rStyle w:val="Hyperlink"/>
          </w:rPr>
          <w:t>.</w:t>
        </w:r>
        <w:r w:rsidR="0089269C" w:rsidRPr="000665B0">
          <w:rPr>
            <w:rStyle w:val="Hyperlink"/>
          </w:rPr>
          <w:t>7</w:t>
        </w:r>
        <w:r w:rsidR="000B6B74" w:rsidRPr="000665B0">
          <w:rPr>
            <w:rStyle w:val="Hyperlink"/>
          </w:rPr>
          <w:t>.1.16</w:t>
        </w:r>
      </w:hyperlink>
      <w:r w:rsidRPr="000665B0">
        <w:t>.</w:t>
      </w:r>
    </w:p>
    <w:p w14:paraId="7CD1E5A1" w14:textId="200FA8E1" w:rsidR="00464302" w:rsidRPr="000665B0" w:rsidRDefault="00464302" w:rsidP="006D5A65">
      <w:pPr>
        <w:pStyle w:val="Heading1"/>
      </w:pPr>
      <w:r w:rsidRPr="000665B0">
        <w:t xml:space="preserve">Run Analysis – </w:t>
      </w:r>
      <w:r w:rsidR="00547A35" w:rsidRPr="000665B0">
        <w:t>B</w:t>
      </w:r>
      <w:r w:rsidRPr="000665B0">
        <w:t xml:space="preserve">rings up the </w:t>
      </w:r>
      <w:r w:rsidRPr="000665B0">
        <w:rPr>
          <w:i/>
        </w:rPr>
        <w:t>Analysis</w:t>
      </w:r>
      <w:r w:rsidRPr="000665B0">
        <w:t xml:space="preserve"> window. See </w:t>
      </w:r>
      <w:hyperlink w:anchor="_5.38.5.1.13__Analysis_Tools" w:history="1">
        <w:r w:rsidR="009326FE" w:rsidRPr="000665B0">
          <w:rPr>
            <w:rStyle w:val="Hyperlink"/>
          </w:rPr>
          <w:t xml:space="preserve">Section </w:t>
        </w:r>
        <w:r w:rsidR="004231CC">
          <w:rPr>
            <w:rStyle w:val="Hyperlink"/>
          </w:rPr>
          <w:t>5.34</w:t>
        </w:r>
        <w:r w:rsidR="009408BA" w:rsidRPr="000665B0">
          <w:rPr>
            <w:rStyle w:val="Hyperlink"/>
          </w:rPr>
          <w:t>.</w:t>
        </w:r>
        <w:r w:rsidR="0089269C" w:rsidRPr="000665B0">
          <w:rPr>
            <w:rStyle w:val="Hyperlink"/>
          </w:rPr>
          <w:t>7</w:t>
        </w:r>
        <w:r w:rsidR="009408BA" w:rsidRPr="000665B0">
          <w:rPr>
            <w:rStyle w:val="Hyperlink"/>
          </w:rPr>
          <w:t>.1.15</w:t>
        </w:r>
      </w:hyperlink>
      <w:r w:rsidRPr="000665B0">
        <w:t>.</w:t>
      </w:r>
    </w:p>
    <w:p w14:paraId="1B634268" w14:textId="77777777" w:rsidR="00464302" w:rsidRPr="000665B0" w:rsidRDefault="00464302" w:rsidP="006D5A65">
      <w:pPr>
        <w:pStyle w:val="Heading1"/>
      </w:pPr>
      <w:r w:rsidRPr="000665B0">
        <w:t>Run Multi</w:t>
      </w:r>
      <w:r w:rsidR="00936636" w:rsidRPr="000665B0">
        <w:t xml:space="preserve"> </w:t>
      </w:r>
      <w:r w:rsidRPr="000665B0">
        <w:t xml:space="preserve">Strike Analysis with Executing Strike – </w:t>
      </w:r>
      <w:r w:rsidR="00547A35" w:rsidRPr="000665B0">
        <w:t>A</w:t>
      </w:r>
      <w:r w:rsidRPr="000665B0">
        <w:t>llows operator to run Strike Analysis on multiple Strike Options (the current option along with the executing options).</w:t>
      </w:r>
    </w:p>
    <w:p w14:paraId="49F75F6E" w14:textId="4A38DA59" w:rsidR="0078503C" w:rsidRPr="000665B0" w:rsidRDefault="0078503C" w:rsidP="00474A1F">
      <w:pPr>
        <w:pStyle w:val="Heading5"/>
        <w:tabs>
          <w:tab w:val="left" w:pos="720"/>
        </w:tabs>
      </w:pPr>
      <w:bookmarkStart w:id="6293" w:name="_Toc289328860"/>
      <w:r w:rsidRPr="000665B0">
        <w:t>Notes Tab</w:t>
      </w:r>
      <w:bookmarkEnd w:id="6288"/>
      <w:bookmarkEnd w:id="6289"/>
      <w:bookmarkEnd w:id="6290"/>
      <w:bookmarkEnd w:id="6291"/>
      <w:bookmarkEnd w:id="6292"/>
      <w:bookmarkEnd w:id="6293"/>
    </w:p>
    <w:p w14:paraId="3214DC06" w14:textId="73491EC7" w:rsidR="0078503C" w:rsidRPr="000665B0" w:rsidRDefault="0078503C" w:rsidP="00474A1F">
      <w:pPr>
        <w:tabs>
          <w:tab w:val="left" w:pos="720"/>
        </w:tabs>
      </w:pPr>
      <w:r w:rsidRPr="000665B0">
        <w:t xml:space="preserve">This is an </w:t>
      </w:r>
      <w:r w:rsidR="00936636" w:rsidRPr="000665B0">
        <w:t xml:space="preserve">optional </w:t>
      </w:r>
      <w:r w:rsidRPr="000665B0">
        <w:t xml:space="preserve">field; </w:t>
      </w:r>
      <w:r w:rsidR="0089550A" w:rsidRPr="000665B0">
        <w:t xml:space="preserve">up to </w:t>
      </w:r>
      <w:r w:rsidR="000616DC" w:rsidRPr="000665B0">
        <w:t>5,000</w:t>
      </w:r>
      <w:r w:rsidR="0089550A" w:rsidRPr="000665B0">
        <w:t xml:space="preserve"> ASCII characters of </w:t>
      </w:r>
      <w:r w:rsidRPr="000665B0">
        <w:t xml:space="preserve">text can be added in the </w:t>
      </w:r>
      <w:r w:rsidRPr="000665B0">
        <w:rPr>
          <w:b/>
          <w:bCs/>
          <w:i/>
          <w:iCs/>
        </w:rPr>
        <w:t>Notes</w:t>
      </w:r>
      <w:r w:rsidRPr="000665B0">
        <w:t xml:space="preserve"> tab for referencing tasking and strike objectives.</w:t>
      </w:r>
      <w:r w:rsidR="00F47AD0" w:rsidRPr="000665B0">
        <w:t xml:space="preserve"> The free text is included when the Electronic Strike Package</w:t>
      </w:r>
      <w:r w:rsidR="0089550A" w:rsidRPr="000665B0">
        <w:t xml:space="preserve"> (ESP) is sent</w:t>
      </w:r>
      <w:r w:rsidR="00F47AD0" w:rsidRPr="000665B0">
        <w:t xml:space="preserve"> to a TTWCS platform</w:t>
      </w:r>
      <w:r w:rsidR="000616DC" w:rsidRPr="000665B0">
        <w:t>, but the text is truncated to 1,024 characters when sent to pre-6.x TMPC systems</w:t>
      </w:r>
      <w:r w:rsidR="00F47AD0" w:rsidRPr="000665B0">
        <w:t>.</w:t>
      </w:r>
    </w:p>
    <w:p w14:paraId="65499C95" w14:textId="021D6A91" w:rsidR="0078503C" w:rsidRPr="000665B0" w:rsidRDefault="0078503C" w:rsidP="00474A1F">
      <w:pPr>
        <w:pStyle w:val="Heading5"/>
        <w:tabs>
          <w:tab w:val="left" w:pos="720"/>
        </w:tabs>
      </w:pPr>
      <w:bookmarkStart w:id="6294" w:name="_5.38.5.1.2__Tasking_Tab"/>
      <w:bookmarkStart w:id="6295" w:name="_5.39.5.1.2__Tasking_Tab"/>
      <w:bookmarkStart w:id="6296" w:name="_5.37.6.1.2__Tasking"/>
      <w:bookmarkStart w:id="6297" w:name="_Tasking_Tab"/>
      <w:bookmarkStart w:id="6298" w:name="_Toc289328861"/>
      <w:bookmarkEnd w:id="6294"/>
      <w:bookmarkEnd w:id="6295"/>
      <w:bookmarkEnd w:id="6296"/>
      <w:bookmarkEnd w:id="6297"/>
      <w:r w:rsidRPr="000665B0">
        <w:t>Tasking Tab</w:t>
      </w:r>
      <w:bookmarkEnd w:id="6298"/>
    </w:p>
    <w:p w14:paraId="5408E821" w14:textId="77777777" w:rsidR="00B863A7" w:rsidRPr="000665B0" w:rsidRDefault="0078503C" w:rsidP="00474A1F">
      <w:pPr>
        <w:pStyle w:val="BodyText"/>
        <w:tabs>
          <w:tab w:val="left" w:pos="720"/>
        </w:tabs>
        <w:spacing w:after="120"/>
      </w:pPr>
      <w:r w:rsidRPr="000665B0">
        <w:t xml:space="preserve">The </w:t>
      </w:r>
      <w:r w:rsidRPr="000665B0">
        <w:rPr>
          <w:b/>
          <w:bCs/>
          <w:i/>
        </w:rPr>
        <w:t>Tasking</w:t>
      </w:r>
      <w:r w:rsidRPr="000665B0">
        <w:t xml:space="preserve"> tab</w:t>
      </w:r>
      <w:r w:rsidRPr="000665B0">
        <w:rPr>
          <w:b/>
          <w:bCs/>
        </w:rPr>
        <w:t xml:space="preserve"> </w:t>
      </w:r>
      <w:r w:rsidRPr="000665B0">
        <w:t xml:space="preserve">is </w:t>
      </w:r>
      <w:r w:rsidR="00173472" w:rsidRPr="000665B0">
        <w:t xml:space="preserve">used to designate the </w:t>
      </w:r>
      <w:r w:rsidR="003F3743" w:rsidRPr="000665B0">
        <w:t>Taskings (</w:t>
      </w:r>
      <w:r w:rsidR="00891741" w:rsidRPr="000665B0">
        <w:t>Targets</w:t>
      </w:r>
      <w:r w:rsidR="003F3743" w:rsidRPr="000665B0">
        <w:t>)</w:t>
      </w:r>
      <w:r w:rsidRPr="000665B0">
        <w:t xml:space="preserve"> for </w:t>
      </w:r>
      <w:r w:rsidR="00173472" w:rsidRPr="000665B0">
        <w:t>the</w:t>
      </w:r>
      <w:r w:rsidRPr="000665B0">
        <w:t xml:space="preserve"> Strike Option. </w:t>
      </w:r>
      <w:r w:rsidR="00173472" w:rsidRPr="000665B0">
        <w:t xml:space="preserve">All or some of the </w:t>
      </w:r>
      <w:r w:rsidR="00891741" w:rsidRPr="000665B0">
        <w:t>T</w:t>
      </w:r>
      <w:r w:rsidR="00173472" w:rsidRPr="000665B0">
        <w:t xml:space="preserve">argets </w:t>
      </w:r>
      <w:r w:rsidR="00891741" w:rsidRPr="000665B0">
        <w:t xml:space="preserve">previously entered </w:t>
      </w:r>
      <w:r w:rsidR="00173472" w:rsidRPr="000665B0">
        <w:t>in the parent Strike Folder can be specified for the Strike Option.</w:t>
      </w:r>
    </w:p>
    <w:p w14:paraId="74BE1852" w14:textId="77777777" w:rsidR="0078503C" w:rsidRPr="000665B0" w:rsidRDefault="0078503C" w:rsidP="00F26AD4">
      <w:pPr>
        <w:pStyle w:val="BodyText"/>
        <w:keepNext/>
        <w:tabs>
          <w:tab w:val="left" w:pos="720"/>
        </w:tabs>
        <w:spacing w:after="120"/>
      </w:pPr>
      <w:r w:rsidRPr="000665B0">
        <w:lastRenderedPageBreak/>
        <w:t>To add Tasking:</w:t>
      </w:r>
    </w:p>
    <w:p w14:paraId="3BB7F5EE" w14:textId="0C4713E3" w:rsidR="0078503C" w:rsidRPr="000665B0" w:rsidRDefault="0078503C" w:rsidP="006D5A65">
      <w:pPr>
        <w:pStyle w:val="Heading1"/>
      </w:pPr>
      <w:r w:rsidRPr="000665B0">
        <w:t xml:space="preserve">In the </w:t>
      </w:r>
      <w:r w:rsidR="00AE1AF2" w:rsidRPr="000665B0">
        <w:t xml:space="preserve">list view </w:t>
      </w:r>
      <w:r w:rsidRPr="000665B0">
        <w:t xml:space="preserve">area of the </w:t>
      </w:r>
      <w:r w:rsidRPr="000665B0">
        <w:rPr>
          <w:bCs/>
          <w:i/>
        </w:rPr>
        <w:t>Tasking</w:t>
      </w:r>
      <w:r w:rsidRPr="000665B0">
        <w:t xml:space="preserve"> </w:t>
      </w:r>
      <w:r w:rsidR="005E6AA4" w:rsidRPr="000665B0">
        <w:t xml:space="preserve">tab, </w:t>
      </w:r>
      <w:r w:rsidRPr="000665B0">
        <w:t>invoke the context menu (</w:t>
      </w:r>
      <w:r w:rsidR="00D71804" w:rsidRPr="000665B0">
        <w:t>right-click</w:t>
      </w:r>
      <w:r w:rsidRPr="000665B0">
        <w:t xml:space="preserve"> the mouse) and select Add </w:t>
      </w:r>
      <w:r w:rsidR="00173472" w:rsidRPr="000665B0">
        <w:sym w:font="Wingdings 3" w:char="F07D"/>
      </w:r>
      <w:r w:rsidRPr="000665B0">
        <w:t xml:space="preserve"> Tasking. The </w:t>
      </w:r>
      <w:r w:rsidRPr="000665B0">
        <w:rPr>
          <w:bCs/>
          <w:i/>
        </w:rPr>
        <w:t xml:space="preserve">Tasking </w:t>
      </w:r>
      <w:r w:rsidRPr="000665B0">
        <w:rPr>
          <w:bCs/>
        </w:rPr>
        <w:t>window</w:t>
      </w:r>
      <w:r w:rsidRPr="000665B0">
        <w:t xml:space="preserve"> </w:t>
      </w:r>
      <w:r w:rsidR="008B1631" w:rsidRPr="000665B0">
        <w:t>is displayed</w:t>
      </w:r>
      <w:r w:rsidRPr="000665B0">
        <w:t xml:space="preserve">. </w:t>
      </w:r>
      <w:r w:rsidR="00173472" w:rsidRPr="000665B0">
        <w:t>The list view shows the</w:t>
      </w:r>
      <w:r w:rsidRPr="000665B0">
        <w:t xml:space="preserve"> </w:t>
      </w:r>
      <w:r w:rsidR="00891741" w:rsidRPr="000665B0">
        <w:t xml:space="preserve">Targets </w:t>
      </w:r>
      <w:r w:rsidR="00173472" w:rsidRPr="000665B0">
        <w:t xml:space="preserve">previously added to the parent Strike Folder using the </w:t>
      </w:r>
      <w:r w:rsidRPr="000665B0">
        <w:rPr>
          <w:bCs/>
        </w:rPr>
        <w:t xml:space="preserve">Tasking </w:t>
      </w:r>
      <w:r w:rsidR="00173472" w:rsidRPr="000665B0">
        <w:rPr>
          <w:bCs/>
        </w:rPr>
        <w:t>tool</w:t>
      </w:r>
      <w:r w:rsidR="00891741" w:rsidRPr="000665B0">
        <w:rPr>
          <w:bCs/>
        </w:rPr>
        <w:t>.</w:t>
      </w:r>
      <w:r w:rsidR="00173472" w:rsidRPr="000665B0">
        <w:t xml:space="preserve"> </w:t>
      </w:r>
    </w:p>
    <w:p w14:paraId="1B6273EB" w14:textId="1103D2CD" w:rsidR="0078503C" w:rsidRPr="000665B0" w:rsidRDefault="00D0189D" w:rsidP="000A0E60">
      <w:pPr>
        <w:jc w:val="center"/>
      </w:pPr>
      <w:r w:rsidRPr="000665B0">
        <w:rPr>
          <w:noProof/>
        </w:rPr>
        <w:drawing>
          <wp:inline distT="0" distB="0" distL="0" distR="0" wp14:anchorId="3F143DD7" wp14:editId="5FD45E7D">
            <wp:extent cx="4983480" cy="1234440"/>
            <wp:effectExtent l="0" t="0" r="0"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234440"/>
                    </a:xfrm>
                    <a:prstGeom prst="rect">
                      <a:avLst/>
                    </a:prstGeom>
                  </pic:spPr>
                </pic:pic>
              </a:graphicData>
            </a:graphic>
          </wp:inline>
        </w:drawing>
      </w:r>
    </w:p>
    <w:p w14:paraId="2B05CAA6" w14:textId="349B500D" w:rsidR="0078503C" w:rsidRPr="000665B0" w:rsidRDefault="0078503C" w:rsidP="006D5A65">
      <w:pPr>
        <w:pStyle w:val="Heading1"/>
      </w:pPr>
      <w:r w:rsidRPr="000665B0">
        <w:t xml:space="preserve">Select the desired </w:t>
      </w:r>
      <w:r w:rsidR="00891741" w:rsidRPr="000665B0">
        <w:t>Target</w:t>
      </w:r>
      <w:r w:rsidRPr="000665B0">
        <w:t>(s) and click the OK button.</w:t>
      </w:r>
      <w:r w:rsidR="00173472" w:rsidRPr="000665B0">
        <w:t xml:space="preserve"> Alternatively, select the desired </w:t>
      </w:r>
      <w:r w:rsidR="00891741" w:rsidRPr="000665B0">
        <w:t>T</w:t>
      </w:r>
      <w:r w:rsidR="00173472" w:rsidRPr="000665B0">
        <w:t xml:space="preserve">arget(s), </w:t>
      </w:r>
      <w:r w:rsidR="00D71804" w:rsidRPr="000665B0">
        <w:t>right-click</w:t>
      </w:r>
      <w:r w:rsidR="00173472" w:rsidRPr="000665B0">
        <w:t>, and select Add.</w:t>
      </w:r>
    </w:p>
    <w:p w14:paraId="183C18B3" w14:textId="77777777" w:rsidR="0078503C" w:rsidRPr="000665B0" w:rsidRDefault="0078503C" w:rsidP="00474A1F">
      <w:pPr>
        <w:tabs>
          <w:tab w:val="left" w:pos="720"/>
        </w:tabs>
        <w:ind w:left="360"/>
      </w:pPr>
      <w:r w:rsidRPr="000665B0">
        <w:t>or</w:t>
      </w:r>
    </w:p>
    <w:p w14:paraId="548C4F10" w14:textId="4806266B" w:rsidR="0078503C" w:rsidRPr="000665B0" w:rsidRDefault="005E6AA4" w:rsidP="006D5A65">
      <w:pPr>
        <w:pStyle w:val="Heading1"/>
      </w:pPr>
      <w:r w:rsidRPr="000665B0">
        <w:t xml:space="preserve">In the list view area of the </w:t>
      </w:r>
      <w:r w:rsidRPr="000665B0">
        <w:rPr>
          <w:bCs/>
          <w:i/>
        </w:rPr>
        <w:t>Tasking</w:t>
      </w:r>
      <w:r w:rsidRPr="000665B0">
        <w:t xml:space="preserve"> tab, i</w:t>
      </w:r>
      <w:r w:rsidR="0078503C" w:rsidRPr="000665B0">
        <w:t>nvoke the context menu (</w:t>
      </w:r>
      <w:r w:rsidR="00D71804" w:rsidRPr="000665B0">
        <w:t>right-click</w:t>
      </w:r>
      <w:r w:rsidR="0078503C" w:rsidRPr="000665B0">
        <w:t xml:space="preserve"> the mouse) and select Add </w:t>
      </w:r>
      <w:r w:rsidR="00173472" w:rsidRPr="000665B0">
        <w:sym w:font="Wingdings 3" w:char="F07D"/>
      </w:r>
      <w:r w:rsidR="0078503C" w:rsidRPr="000665B0">
        <w:t xml:space="preserve"> All Tasking. All </w:t>
      </w:r>
      <w:r w:rsidR="00891741" w:rsidRPr="000665B0">
        <w:t xml:space="preserve">Targets </w:t>
      </w:r>
      <w:r w:rsidR="00DB5AEE" w:rsidRPr="000665B0">
        <w:t>are</w:t>
      </w:r>
      <w:r w:rsidR="0078503C" w:rsidRPr="000665B0">
        <w:t xml:space="preserve"> added to the </w:t>
      </w:r>
      <w:r w:rsidR="0078503C" w:rsidRPr="000665B0">
        <w:rPr>
          <w:i/>
        </w:rPr>
        <w:t>Tasking</w:t>
      </w:r>
      <w:r w:rsidR="0078503C" w:rsidRPr="000665B0">
        <w:t xml:space="preserve"> tab.</w:t>
      </w:r>
    </w:p>
    <w:p w14:paraId="52E77937" w14:textId="5ABAA9CF" w:rsidR="0089743D" w:rsidRPr="000665B0" w:rsidRDefault="00D0189D" w:rsidP="00446685">
      <w:pPr>
        <w:tabs>
          <w:tab w:val="left" w:pos="720"/>
        </w:tabs>
        <w:jc w:val="center"/>
      </w:pPr>
      <w:r w:rsidRPr="000665B0">
        <w:rPr>
          <w:noProof/>
        </w:rPr>
        <w:drawing>
          <wp:inline distT="0" distB="0" distL="0" distR="0" wp14:anchorId="103C8289" wp14:editId="41374D02">
            <wp:extent cx="4983480" cy="2093976"/>
            <wp:effectExtent l="0" t="0" r="0"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2093976"/>
                    </a:xfrm>
                    <a:prstGeom prst="rect">
                      <a:avLst/>
                    </a:prstGeom>
                  </pic:spPr>
                </pic:pic>
              </a:graphicData>
            </a:graphic>
          </wp:inline>
        </w:drawing>
      </w:r>
    </w:p>
    <w:p w14:paraId="25C1EFF5" w14:textId="77777777" w:rsidR="00173472" w:rsidRPr="000665B0" w:rsidRDefault="00173472"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1C1F4700" w14:textId="3EBB35AB" w:rsidR="001D0070" w:rsidRPr="000665B0" w:rsidRDefault="00733D08" w:rsidP="00474A1F">
      <w:pPr>
        <w:pStyle w:val="BodyText"/>
        <w:tabs>
          <w:tab w:val="left" w:pos="720"/>
        </w:tabs>
        <w:spacing w:after="120"/>
      </w:pPr>
      <w:r w:rsidRPr="000665B0">
        <w:t>If needed, the operator can create a new TMPR</w:t>
      </w:r>
      <w:r w:rsidR="00F101C1" w:rsidRPr="000665B0">
        <w:t>,</w:t>
      </w:r>
      <w:r w:rsidRPr="000665B0">
        <w:t xml:space="preserve"> LMO</w:t>
      </w:r>
      <w:r w:rsidR="00F101C1" w:rsidRPr="000665B0">
        <w:t>, or Attack Plan TMPR</w:t>
      </w:r>
      <w:r w:rsidRPr="000665B0">
        <w:t xml:space="preserve"> from the list view of the Taskings.</w:t>
      </w:r>
      <w:r w:rsidR="001D0070" w:rsidRPr="000665B0">
        <w:t xml:space="preserve"> Through a TMPR, a mission will be planned using </w:t>
      </w:r>
      <w:r w:rsidR="00DC7D18" w:rsidRPr="000665B0">
        <w:t>TMPC</w:t>
      </w:r>
      <w:r w:rsidR="001D0070" w:rsidRPr="000665B0">
        <w:t xml:space="preserve"> planning system which is maintained and distributed by TED. A </w:t>
      </w:r>
      <w:r w:rsidR="00DC7D18" w:rsidRPr="000665B0">
        <w:t>TMPC</w:t>
      </w:r>
      <w:r w:rsidR="00045541" w:rsidRPr="000665B0">
        <w:t>-</w:t>
      </w:r>
      <w:r w:rsidR="001D0070" w:rsidRPr="000665B0">
        <w:t xml:space="preserve">planned mission enables the flexing and the retargeting of a missile by the </w:t>
      </w:r>
      <w:r w:rsidR="00551E3E">
        <w:t>TSC</w:t>
      </w:r>
      <w:r w:rsidR="001D0070" w:rsidRPr="000665B0">
        <w:t xml:space="preserve"> and </w:t>
      </w:r>
      <w:r w:rsidR="00551E3E">
        <w:t>ATSC</w:t>
      </w:r>
      <w:r w:rsidR="001D0070" w:rsidRPr="000665B0">
        <w:t xml:space="preserve">. Through an LMO, a mission is planned from the tasked FRU which the </w:t>
      </w:r>
      <w:r w:rsidR="00DC7D18" w:rsidRPr="000665B0">
        <w:t>TMPC</w:t>
      </w:r>
      <w:r w:rsidR="001D0070" w:rsidRPr="000665B0">
        <w:t xml:space="preserve"> system will not maintain or distribute.</w:t>
      </w:r>
    </w:p>
    <w:p w14:paraId="76F378EE" w14:textId="66E5939B" w:rsidR="00733D08" w:rsidRPr="000665B0" w:rsidRDefault="00733D08" w:rsidP="00474A1F">
      <w:pPr>
        <w:pStyle w:val="BodyText"/>
        <w:tabs>
          <w:tab w:val="left" w:pos="720"/>
        </w:tabs>
        <w:spacing w:after="120"/>
      </w:pPr>
      <w:r w:rsidRPr="000665B0">
        <w:t>To create a TMPR</w:t>
      </w:r>
      <w:r w:rsidR="00F101C1" w:rsidRPr="000665B0">
        <w:t xml:space="preserve"> (including Attack Plan TMPR)</w:t>
      </w:r>
      <w:r w:rsidRPr="000665B0">
        <w:t>:</w:t>
      </w:r>
    </w:p>
    <w:p w14:paraId="7573298F" w14:textId="77777777" w:rsidR="00733D08" w:rsidRPr="000665B0" w:rsidRDefault="00733D08" w:rsidP="006D5A65">
      <w:pPr>
        <w:pStyle w:val="Heading1"/>
      </w:pPr>
      <w:r w:rsidRPr="000665B0">
        <w:lastRenderedPageBreak/>
        <w:t xml:space="preserve">Select the desired </w:t>
      </w:r>
      <w:r w:rsidR="00A75D5D" w:rsidRPr="000665B0">
        <w:t>Target</w:t>
      </w:r>
      <w:r w:rsidRPr="000665B0">
        <w:t xml:space="preserve"> in the list view.</w:t>
      </w:r>
    </w:p>
    <w:p w14:paraId="6675BD91" w14:textId="2EDA8A60" w:rsidR="00F101C1" w:rsidRPr="000665B0" w:rsidRDefault="00733D08" w:rsidP="006D5A65">
      <w:pPr>
        <w:pStyle w:val="Heading1"/>
      </w:pPr>
      <w:r w:rsidRPr="000665B0">
        <w:t>Invoke the context menu (</w:t>
      </w:r>
      <w:r w:rsidR="00D71804" w:rsidRPr="000665B0">
        <w:t>right-click</w:t>
      </w:r>
      <w:r w:rsidRPr="000665B0">
        <w:t xml:space="preserve"> the mouse) and select New </w:t>
      </w:r>
      <w:r w:rsidRPr="000665B0">
        <w:sym w:font="Wingdings 3" w:char="F07D"/>
      </w:r>
      <w:r w:rsidRPr="000665B0">
        <w:t xml:space="preserve"> TMPR…</w:t>
      </w:r>
      <w:r w:rsidRPr="000665B0">
        <w:rPr>
          <w:bCs/>
        </w:rPr>
        <w:t>.</w:t>
      </w:r>
    </w:p>
    <w:p w14:paraId="20FDA5D9" w14:textId="77777777" w:rsidR="00F101C1" w:rsidRPr="000665B0" w:rsidRDefault="00F101C1" w:rsidP="006D5A65">
      <w:pPr>
        <w:pStyle w:val="Heading1"/>
      </w:pPr>
      <w:r w:rsidRPr="000665B0">
        <w:t xml:space="preserve">Select the TMPR type: </w:t>
      </w:r>
    </w:p>
    <w:p w14:paraId="3DD027A9" w14:textId="3D3C4C6C" w:rsidR="00F101C1" w:rsidRPr="000665B0" w:rsidRDefault="00F101C1" w:rsidP="006D5A65">
      <w:pPr>
        <w:pStyle w:val="Heading1"/>
      </w:pPr>
      <w:r w:rsidRPr="000665B0">
        <w:t xml:space="preserve">Create </w:t>
      </w:r>
      <w:r w:rsidR="005E6AA4" w:rsidRPr="000665B0">
        <w:t xml:space="preserve">TMPR </w:t>
      </w:r>
      <w:r w:rsidRPr="000665B0">
        <w:t xml:space="preserve">– Opens a new </w:t>
      </w:r>
      <w:r w:rsidRPr="000665B0">
        <w:rPr>
          <w:i/>
        </w:rPr>
        <w:t>TMPR</w:t>
      </w:r>
      <w:r w:rsidRPr="000665B0">
        <w:t xml:space="preserve"> window.</w:t>
      </w:r>
    </w:p>
    <w:p w14:paraId="5E0E50C1" w14:textId="387FBDE9" w:rsidR="00733D08" w:rsidRPr="000665B0" w:rsidRDefault="00F101C1" w:rsidP="006D5A65">
      <w:pPr>
        <w:pStyle w:val="Heading1"/>
      </w:pPr>
      <w:r w:rsidRPr="000665B0">
        <w:t xml:space="preserve">Attack Plan </w:t>
      </w:r>
      <w:r w:rsidR="005E6AA4" w:rsidRPr="000665B0">
        <w:t xml:space="preserve">TMPR </w:t>
      </w:r>
      <w:r w:rsidRPr="000665B0">
        <w:t xml:space="preserve">– Opens a new Attack Plan </w:t>
      </w:r>
      <w:r w:rsidRPr="000665B0">
        <w:rPr>
          <w:i/>
        </w:rPr>
        <w:t>TMPR</w:t>
      </w:r>
      <w:r w:rsidRPr="000665B0">
        <w:t xml:space="preserve"> window.</w:t>
      </w:r>
      <w:r w:rsidR="009651B0">
        <w:t xml:space="preserve"> </w:t>
      </w:r>
    </w:p>
    <w:p w14:paraId="663CD50D" w14:textId="75A4CE6E" w:rsidR="00733D08" w:rsidRPr="000665B0" w:rsidRDefault="00733D08" w:rsidP="006D5A65">
      <w:pPr>
        <w:pStyle w:val="Heading1"/>
      </w:pPr>
      <w:r w:rsidRPr="000665B0">
        <w:t xml:space="preserve">In the ensuing window, enter the required information. For more information on TMPRs, see </w:t>
      </w:r>
      <w:hyperlink w:anchor="_5.35__TMPR" w:history="1">
        <w:r w:rsidR="00650083" w:rsidRPr="000665B0">
          <w:rPr>
            <w:rStyle w:val="Hyperlink"/>
            <w:bCs/>
          </w:rPr>
          <w:t xml:space="preserve">Section </w:t>
        </w:r>
        <w:r w:rsidR="004231CC">
          <w:rPr>
            <w:rStyle w:val="Hyperlink"/>
            <w:bCs/>
          </w:rPr>
          <w:t>5.31</w:t>
        </w:r>
      </w:hyperlink>
      <w:r w:rsidRPr="000665B0">
        <w:t>.</w:t>
      </w:r>
    </w:p>
    <w:p w14:paraId="46C644DD" w14:textId="77777777" w:rsidR="00733D08" w:rsidRPr="000665B0" w:rsidRDefault="00733D08" w:rsidP="006D5A65">
      <w:pPr>
        <w:pStyle w:val="Heading1"/>
        <w:rPr>
          <w:bCs/>
        </w:rPr>
      </w:pPr>
      <w:r w:rsidRPr="000665B0">
        <w:t xml:space="preserve">Select the </w:t>
      </w:r>
      <w:r w:rsidRPr="000665B0">
        <w:rPr>
          <w:bCs/>
        </w:rPr>
        <w:t>Save</w:t>
      </w:r>
      <w:r w:rsidRPr="000665B0">
        <w:t xml:space="preserve"> or Save As option from the </w:t>
      </w:r>
      <w:r w:rsidRPr="000665B0">
        <w:rPr>
          <w:bCs/>
        </w:rPr>
        <w:t>File</w:t>
      </w:r>
      <w:r w:rsidRPr="000665B0">
        <w:t xml:space="preserve"> pull down menu.</w:t>
      </w:r>
    </w:p>
    <w:p w14:paraId="3F4CB6C4" w14:textId="77777777" w:rsidR="00733D08" w:rsidRPr="000665B0" w:rsidRDefault="00733D08" w:rsidP="00474A1F">
      <w:pPr>
        <w:pStyle w:val="BodyText"/>
        <w:tabs>
          <w:tab w:val="left" w:pos="720"/>
        </w:tabs>
        <w:spacing w:after="120"/>
      </w:pPr>
      <w:r w:rsidRPr="000665B0">
        <w:t>To create an LMO:</w:t>
      </w:r>
    </w:p>
    <w:p w14:paraId="7D0C46EE" w14:textId="77777777" w:rsidR="00733D08" w:rsidRPr="000665B0" w:rsidRDefault="00733D08" w:rsidP="006D5A65">
      <w:pPr>
        <w:pStyle w:val="Heading1"/>
      </w:pPr>
      <w:r w:rsidRPr="000665B0">
        <w:t xml:space="preserve">Select the desired </w:t>
      </w:r>
      <w:r w:rsidR="00A75D5D" w:rsidRPr="000665B0">
        <w:t>Target</w:t>
      </w:r>
      <w:r w:rsidRPr="000665B0">
        <w:t xml:space="preserve"> in the list view.</w:t>
      </w:r>
    </w:p>
    <w:p w14:paraId="5B0A0E79" w14:textId="17369B1A" w:rsidR="00733D08" w:rsidRPr="000665B0" w:rsidRDefault="00733D08" w:rsidP="006D5A65">
      <w:pPr>
        <w:pStyle w:val="Heading1"/>
      </w:pPr>
      <w:r w:rsidRPr="000665B0">
        <w:t>Invoke the context menu (</w:t>
      </w:r>
      <w:r w:rsidR="00D71804" w:rsidRPr="000665B0">
        <w:t>right-click</w:t>
      </w:r>
      <w:r w:rsidRPr="000665B0">
        <w:t xml:space="preserve"> the mouse) and select New </w:t>
      </w:r>
      <w:r w:rsidRPr="000665B0">
        <w:sym w:font="Wingdings 3" w:char="F07D"/>
      </w:r>
      <w:r w:rsidRPr="000665B0">
        <w:t xml:space="preserve"> Full LMO….</w:t>
      </w:r>
      <w:r w:rsidRPr="000665B0">
        <w:rPr>
          <w:bCs/>
        </w:rPr>
        <w:t xml:space="preserve"> </w:t>
      </w:r>
    </w:p>
    <w:p w14:paraId="2BDA1518" w14:textId="0F42E2BD" w:rsidR="00733D08" w:rsidRPr="000665B0" w:rsidRDefault="00733D08" w:rsidP="006D5A65">
      <w:pPr>
        <w:pStyle w:val="Heading1"/>
        <w:rPr>
          <w:szCs w:val="24"/>
        </w:rPr>
      </w:pPr>
      <w:r w:rsidRPr="000665B0">
        <w:t xml:space="preserve">In the ensuing window, enter the required information. For more information on LMOs, see </w:t>
      </w:r>
      <w:hyperlink w:anchor="_5.37.7__LMOs_1" w:history="1">
        <w:r w:rsidR="009326FE" w:rsidRPr="000665B0">
          <w:rPr>
            <w:rStyle w:val="Hyperlink"/>
          </w:rPr>
          <w:t xml:space="preserve">Section </w:t>
        </w:r>
        <w:r w:rsidR="004231CC">
          <w:rPr>
            <w:rStyle w:val="Hyperlink"/>
          </w:rPr>
          <w:t>5.34</w:t>
        </w:r>
        <w:r w:rsidR="0089269C" w:rsidRPr="000665B0">
          <w:rPr>
            <w:rStyle w:val="Hyperlink"/>
          </w:rPr>
          <w:t>.8</w:t>
        </w:r>
      </w:hyperlink>
      <w:r w:rsidRPr="000665B0">
        <w:t>.</w:t>
      </w:r>
    </w:p>
    <w:p w14:paraId="68680B17" w14:textId="77777777" w:rsidR="00733D08" w:rsidRPr="000665B0" w:rsidRDefault="00733D08" w:rsidP="006D5A65">
      <w:pPr>
        <w:pStyle w:val="Heading1"/>
      </w:pPr>
      <w:r w:rsidRPr="000665B0">
        <w:t xml:space="preserve">Select the </w:t>
      </w:r>
      <w:r w:rsidRPr="000665B0">
        <w:rPr>
          <w:bCs/>
        </w:rPr>
        <w:t>Save</w:t>
      </w:r>
      <w:r w:rsidRPr="000665B0">
        <w:t xml:space="preserve"> or Save As option from the </w:t>
      </w:r>
      <w:r w:rsidRPr="000665B0">
        <w:rPr>
          <w:bCs/>
        </w:rPr>
        <w:t>File</w:t>
      </w:r>
      <w:r w:rsidRPr="000665B0">
        <w:t xml:space="preserve"> pull down menu.</w:t>
      </w:r>
    </w:p>
    <w:p w14:paraId="7A7E553B" w14:textId="77777777" w:rsidR="0078503C" w:rsidRPr="000665B0" w:rsidRDefault="0078503C" w:rsidP="00474A1F">
      <w:pPr>
        <w:pStyle w:val="BodyText"/>
        <w:tabs>
          <w:tab w:val="left" w:pos="720"/>
        </w:tabs>
        <w:spacing w:after="120"/>
      </w:pPr>
      <w:r w:rsidRPr="000665B0">
        <w:t xml:space="preserve">To remove </w:t>
      </w:r>
      <w:r w:rsidR="00733D08" w:rsidRPr="000665B0">
        <w:t>Tasking</w:t>
      </w:r>
      <w:r w:rsidRPr="000665B0">
        <w:t>:</w:t>
      </w:r>
    </w:p>
    <w:p w14:paraId="5B98BD81" w14:textId="77777777" w:rsidR="0078503C" w:rsidRPr="000665B0" w:rsidRDefault="00733D08" w:rsidP="006D5A65">
      <w:pPr>
        <w:pStyle w:val="Heading1"/>
      </w:pPr>
      <w:r w:rsidRPr="000665B0">
        <w:t>Select the desired Ta</w:t>
      </w:r>
      <w:r w:rsidR="00A75D5D" w:rsidRPr="000665B0">
        <w:t>rget</w:t>
      </w:r>
      <w:r w:rsidRPr="000665B0">
        <w:t xml:space="preserve"> in the list view</w:t>
      </w:r>
      <w:r w:rsidR="0078503C" w:rsidRPr="000665B0">
        <w:t>.</w:t>
      </w:r>
    </w:p>
    <w:p w14:paraId="0DAAEE7C" w14:textId="18C7FB5F" w:rsidR="0078503C" w:rsidRPr="000665B0" w:rsidRDefault="0078503C" w:rsidP="006D5A65">
      <w:pPr>
        <w:pStyle w:val="Heading1"/>
        <w:rPr>
          <w:szCs w:val="24"/>
        </w:rPr>
      </w:pPr>
      <w:r w:rsidRPr="000665B0">
        <w:t>Invoke the context menu (</w:t>
      </w:r>
      <w:r w:rsidR="00D71804" w:rsidRPr="000665B0">
        <w:t>right-click</w:t>
      </w:r>
      <w:r w:rsidRPr="000665B0">
        <w:t xml:space="preserve"> the mouse) and select Remove.</w:t>
      </w:r>
      <w:r w:rsidRPr="000665B0">
        <w:br/>
        <w:t>Note: Removing a Task will affect the Mission and Missile assignments.</w:t>
      </w:r>
    </w:p>
    <w:p w14:paraId="718BBEBF" w14:textId="77777777" w:rsidR="00733D08" w:rsidRPr="000665B0" w:rsidRDefault="003F3743"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r w:rsidR="00733D08" w:rsidRPr="000665B0">
        <w:t>.</w:t>
      </w:r>
    </w:p>
    <w:p w14:paraId="19218BF7" w14:textId="1F14A8F9" w:rsidR="00733D08" w:rsidRPr="000665B0" w:rsidRDefault="00CF3A43" w:rsidP="00474A1F">
      <w:pPr>
        <w:tabs>
          <w:tab w:val="left" w:pos="720"/>
        </w:tabs>
      </w:pPr>
      <w:r w:rsidRPr="000665B0">
        <w:t xml:space="preserve">As in other list views, </w:t>
      </w:r>
      <w:r w:rsidR="00151C40" w:rsidRPr="000665B0">
        <w:t xml:space="preserve">items can be selected to </w:t>
      </w:r>
      <w:r w:rsidRPr="000665B0">
        <w:t xml:space="preserve">Display Textually (see </w:t>
      </w:r>
      <w:hyperlink w:anchor="_5.2.1.2.4__Display_1" w:history="1">
        <w:r w:rsidRPr="000665B0">
          <w:rPr>
            <w:rStyle w:val="Hyperlink"/>
          </w:rPr>
          <w:t>Section 5.2.1.2.4</w:t>
        </w:r>
      </w:hyperlink>
      <w:r w:rsidRPr="000665B0">
        <w:rPr>
          <w:rStyle w:val="Hyperlink"/>
        </w:rPr>
        <w:t>)</w:t>
      </w:r>
      <w:r w:rsidRPr="000665B0">
        <w:t xml:space="preserve">, Display Geographically (see </w:t>
      </w:r>
      <w:hyperlink w:anchor="_5.2.1.2.2__Display_1" w:history="1">
        <w:r w:rsidRPr="000665B0">
          <w:rPr>
            <w:rStyle w:val="Hyperlink"/>
          </w:rPr>
          <w:t>Section 5.2.1.2.2</w:t>
        </w:r>
      </w:hyperlink>
      <w:r w:rsidRPr="000665B0">
        <w:rPr>
          <w:rStyle w:val="Hyperlink"/>
        </w:rPr>
        <w:t>)</w:t>
      </w:r>
      <w:r w:rsidRPr="000665B0">
        <w:t xml:space="preserve">, Display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0665B0">
        <w:rPr>
          <w:rStyle w:val="Hyperlink"/>
        </w:rPr>
        <w:t>)</w:t>
      </w:r>
      <w:r w:rsidRPr="000665B0">
        <w:t>.</w:t>
      </w:r>
    </w:p>
    <w:p w14:paraId="37034FD5" w14:textId="3D8DF52C" w:rsidR="0078503C" w:rsidRPr="000665B0" w:rsidRDefault="0078503C" w:rsidP="00C97DD2">
      <w:pPr>
        <w:pStyle w:val="Heading5"/>
        <w:keepNext w:val="0"/>
        <w:tabs>
          <w:tab w:val="left" w:pos="720"/>
        </w:tabs>
      </w:pPr>
      <w:bookmarkStart w:id="6299" w:name="_5_.37.6.1.3_"/>
      <w:bookmarkStart w:id="6300" w:name="_Toc164499439"/>
      <w:bookmarkStart w:id="6301" w:name="_Toc289328862"/>
      <w:bookmarkStart w:id="6302" w:name="_Toc96170287"/>
      <w:bookmarkStart w:id="6303" w:name="_Toc96234332"/>
      <w:bookmarkStart w:id="6304" w:name="_Toc112733752"/>
      <w:bookmarkStart w:id="6305" w:name="_Toc71955752"/>
      <w:bookmarkEnd w:id="6299"/>
      <w:r w:rsidRPr="000665B0">
        <w:t>Resources Tab</w:t>
      </w:r>
      <w:bookmarkEnd w:id="6300"/>
      <w:bookmarkEnd w:id="6301"/>
    </w:p>
    <w:p w14:paraId="151A74B3" w14:textId="6A6C2635" w:rsidR="0078503C" w:rsidRPr="000665B0" w:rsidRDefault="0078503C" w:rsidP="005A42A5">
      <w:r w:rsidRPr="000665B0">
        <w:t xml:space="preserve">The </w:t>
      </w:r>
      <w:r w:rsidRPr="000665B0">
        <w:rPr>
          <w:b/>
          <w:i/>
        </w:rPr>
        <w:t>Resources</w:t>
      </w:r>
      <w:r w:rsidRPr="000665B0">
        <w:t xml:space="preserve"> tab is </w:t>
      </w:r>
      <w:r w:rsidR="002C6D6F" w:rsidRPr="000665B0">
        <w:t>used to</w:t>
      </w:r>
      <w:r w:rsidRPr="000665B0">
        <w:t xml:space="preserve"> </w:t>
      </w:r>
      <w:r w:rsidR="00483A12" w:rsidRPr="000665B0">
        <w:t>add</w:t>
      </w:r>
      <w:r w:rsidRPr="000665B0">
        <w:t xml:space="preserve"> the Geographic</w:t>
      </w:r>
      <w:r w:rsidR="00A344CF" w:rsidRPr="000665B0">
        <w:t xml:space="preserve"> Resources (ACMSs</w:t>
      </w:r>
      <w:r w:rsidR="005658F1" w:rsidRPr="000665B0">
        <w:t xml:space="preserve"> and </w:t>
      </w:r>
      <w:r w:rsidR="00A344CF" w:rsidRPr="000665B0">
        <w:t>Overlays)</w:t>
      </w:r>
      <w:r w:rsidRPr="000665B0">
        <w:t xml:space="preserve"> and Use Rate </w:t>
      </w:r>
      <w:r w:rsidR="00A344CF" w:rsidRPr="000665B0">
        <w:t xml:space="preserve">settings </w:t>
      </w:r>
      <w:r w:rsidRPr="000665B0">
        <w:t>to use in the Strike Option.</w:t>
      </w:r>
      <w:r w:rsidR="00A344CF" w:rsidRPr="000665B0">
        <w:t xml:space="preserve"> All or some of the ACMSs and Overlays previously entered in the parent Strike Folder can be specified for the Strike Option. ACMSs and Overlays </w:t>
      </w:r>
      <w:r w:rsidR="005658F1" w:rsidRPr="000665B0">
        <w:t>can also</w:t>
      </w:r>
      <w:r w:rsidR="00A344CF" w:rsidRPr="000665B0">
        <w:t xml:space="preserve"> be </w:t>
      </w:r>
      <w:r w:rsidR="00483A12" w:rsidRPr="000665B0">
        <w:t>added</w:t>
      </w:r>
      <w:r w:rsidR="00A344CF" w:rsidRPr="000665B0">
        <w:t xml:space="preserve"> from their tools and/or </w:t>
      </w:r>
      <w:r w:rsidR="005658F1" w:rsidRPr="000665B0">
        <w:t>libraries</w:t>
      </w:r>
      <w:r w:rsidR="00A344CF" w:rsidRPr="000665B0">
        <w:t>.</w:t>
      </w:r>
      <w:r w:rsidR="00657F14" w:rsidRPr="000665B0">
        <w:t xml:space="preserve"> POB ACMS type</w:t>
      </w:r>
      <w:r w:rsidR="002B21C0" w:rsidRPr="000665B0">
        <w:t>s</w:t>
      </w:r>
      <w:r w:rsidR="00657F14" w:rsidRPr="000665B0">
        <w:t xml:space="preserve"> </w:t>
      </w:r>
      <w:r w:rsidR="002B21C0" w:rsidRPr="000665B0">
        <w:t>can</w:t>
      </w:r>
      <w:r w:rsidR="00657F14" w:rsidRPr="000665B0">
        <w:t xml:space="preserve"> also be created and managed in the </w:t>
      </w:r>
      <w:r w:rsidR="00657F14" w:rsidRPr="000665B0">
        <w:rPr>
          <w:b/>
          <w:i/>
        </w:rPr>
        <w:t>TSN Comms</w:t>
      </w:r>
      <w:r w:rsidR="00EB3DC2" w:rsidRPr="000665B0">
        <w:rPr>
          <w:b/>
          <w:i/>
        </w:rPr>
        <w:t>/ACA</w:t>
      </w:r>
      <w:r w:rsidR="00657F14" w:rsidRPr="000665B0">
        <w:t xml:space="preserve"> tab (see </w:t>
      </w:r>
      <w:hyperlink w:anchor="_5_.37.6.1.8.1_" w:history="1">
        <w:r w:rsidR="00657F14" w:rsidRPr="000665B0">
          <w:rPr>
            <w:rStyle w:val="Hyperlink"/>
          </w:rPr>
          <w:t xml:space="preserve">Section </w:t>
        </w:r>
        <w:r w:rsidR="004231CC">
          <w:rPr>
            <w:rStyle w:val="Hyperlink"/>
          </w:rPr>
          <w:t>5.34</w:t>
        </w:r>
        <w:r w:rsidR="00657F14" w:rsidRPr="000665B0">
          <w:rPr>
            <w:rStyle w:val="Hyperlink"/>
          </w:rPr>
          <w:t>.</w:t>
        </w:r>
        <w:r w:rsidR="0089269C" w:rsidRPr="000665B0">
          <w:rPr>
            <w:rStyle w:val="Hyperlink"/>
          </w:rPr>
          <w:t>7</w:t>
        </w:r>
        <w:r w:rsidR="00657F14" w:rsidRPr="000665B0">
          <w:rPr>
            <w:rStyle w:val="Hyperlink"/>
          </w:rPr>
          <w:t>.1.8.</w:t>
        </w:r>
        <w:r w:rsidR="00B9102F" w:rsidRPr="000665B0">
          <w:rPr>
            <w:rStyle w:val="Hyperlink"/>
          </w:rPr>
          <w:t>2</w:t>
        </w:r>
      </w:hyperlink>
      <w:r w:rsidR="00657F14" w:rsidRPr="000665B0">
        <w:t>).</w:t>
      </w:r>
    </w:p>
    <w:p w14:paraId="32FBB418" w14:textId="77777777" w:rsidR="00352304" w:rsidRPr="000665B0" w:rsidRDefault="00352304" w:rsidP="00657F14">
      <w:pPr>
        <w:keepNext/>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7D38D7FA" w14:textId="77777777" w:rsidR="00352304" w:rsidRPr="000665B0" w:rsidRDefault="00352304" w:rsidP="00657F14">
      <w:pPr>
        <w:pBdr>
          <w:top w:val="single" w:sz="12" w:space="1" w:color="auto"/>
          <w:left w:val="single" w:sz="12" w:space="4" w:color="auto"/>
          <w:bottom w:val="single" w:sz="12" w:space="0" w:color="auto"/>
          <w:right w:val="single" w:sz="12" w:space="4" w:color="auto"/>
        </w:pBdr>
        <w:shd w:val="clear" w:color="auto" w:fill="D9D9D9"/>
        <w:jc w:val="center"/>
        <w:rPr>
          <w:b/>
        </w:rPr>
      </w:pPr>
      <w:r w:rsidRPr="000665B0">
        <w:rPr>
          <w:b/>
        </w:rPr>
        <w:t>A maximum of one Planned Outcomes Boundary (POB) ACMS type can be added per Strike Option. An error message is generated if attempting to add more than one POB.</w:t>
      </w:r>
    </w:p>
    <w:p w14:paraId="08C29B2B" w14:textId="3CAEE4DD" w:rsidR="0078503C" w:rsidRPr="000665B0" w:rsidRDefault="0076260B" w:rsidP="00474A1F">
      <w:pPr>
        <w:tabs>
          <w:tab w:val="left" w:pos="720"/>
        </w:tabs>
        <w:jc w:val="center"/>
      </w:pPr>
      <w:r w:rsidRPr="000665B0">
        <w:rPr>
          <w:noProof/>
        </w:rPr>
        <w:lastRenderedPageBreak/>
        <w:drawing>
          <wp:inline distT="0" distB="0" distL="0" distR="0" wp14:anchorId="20538209" wp14:editId="615AEA42">
            <wp:extent cx="4375053" cy="1838325"/>
            <wp:effectExtent l="0" t="0" r="0" b="0"/>
            <wp:docPr id="2141" name="Picture 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393542" cy="1846094"/>
                    </a:xfrm>
                    <a:prstGeom prst="rect">
                      <a:avLst/>
                    </a:prstGeom>
                  </pic:spPr>
                </pic:pic>
              </a:graphicData>
            </a:graphic>
          </wp:inline>
        </w:drawing>
      </w:r>
    </w:p>
    <w:p w14:paraId="2CC77226" w14:textId="77777777" w:rsidR="0078503C" w:rsidRPr="000665B0" w:rsidRDefault="0078503C" w:rsidP="00474A1F">
      <w:pPr>
        <w:tabs>
          <w:tab w:val="left" w:pos="720"/>
        </w:tabs>
      </w:pPr>
      <w:r w:rsidRPr="000665B0">
        <w:t xml:space="preserve">To add ACMS and/or Overlay Geographic Resources from the </w:t>
      </w:r>
      <w:r w:rsidR="00A344CF" w:rsidRPr="000665B0">
        <w:t xml:space="preserve">parent </w:t>
      </w:r>
      <w:r w:rsidRPr="000665B0">
        <w:t>Strike Folder:</w:t>
      </w:r>
    </w:p>
    <w:p w14:paraId="7A72F81D" w14:textId="52F953DF" w:rsidR="0078503C" w:rsidRPr="000665B0" w:rsidRDefault="0078503C" w:rsidP="006D5A65">
      <w:pPr>
        <w:pStyle w:val="Heading1"/>
      </w:pPr>
      <w:r w:rsidRPr="000665B0">
        <w:rPr>
          <w:rStyle w:val="number0205Char0"/>
        </w:rPr>
        <w:t xml:space="preserve">In the Geographic Resources </w:t>
      </w:r>
      <w:r w:rsidR="00A77FE8" w:rsidRPr="000665B0">
        <w:rPr>
          <w:rStyle w:val="number0205Char0"/>
        </w:rPr>
        <w:t>pane</w:t>
      </w:r>
      <w:r w:rsidRPr="000665B0">
        <w:rPr>
          <w:rStyle w:val="number0205Char0"/>
        </w:rPr>
        <w:t>, invoke the context menu (</w:t>
      </w:r>
      <w:r w:rsidR="00D71804" w:rsidRPr="000665B0">
        <w:rPr>
          <w:rStyle w:val="number0205Char0"/>
        </w:rPr>
        <w:t>right-click</w:t>
      </w:r>
      <w:r w:rsidRPr="000665B0">
        <w:t xml:space="preserve"> the mouse) and select Add </w:t>
      </w:r>
      <w:r w:rsidR="00A77FE8" w:rsidRPr="000665B0">
        <w:sym w:font="Wingdings 3" w:char="F07D"/>
      </w:r>
      <w:r w:rsidR="00A77FE8" w:rsidRPr="000665B0">
        <w:t xml:space="preserve"> </w:t>
      </w:r>
      <w:r w:rsidRPr="000665B0">
        <w:t xml:space="preserve">From Folder. The </w:t>
      </w:r>
      <w:r w:rsidRPr="000665B0">
        <w:rPr>
          <w:i/>
        </w:rPr>
        <w:t xml:space="preserve">Choose Strike Folder Geographic Resources </w:t>
      </w:r>
      <w:r w:rsidRPr="000665B0">
        <w:t xml:space="preserve">window </w:t>
      </w:r>
      <w:r w:rsidR="008B1631" w:rsidRPr="000665B0">
        <w:t>is displayed</w:t>
      </w:r>
      <w:r w:rsidRPr="000665B0">
        <w:t xml:space="preserve">. </w:t>
      </w:r>
    </w:p>
    <w:p w14:paraId="27A56859" w14:textId="1C8ED305" w:rsidR="0078503C" w:rsidRPr="000665B0" w:rsidRDefault="0076260B" w:rsidP="00474A1F">
      <w:pPr>
        <w:tabs>
          <w:tab w:val="left" w:pos="720"/>
        </w:tabs>
        <w:jc w:val="center"/>
      </w:pPr>
      <w:r w:rsidRPr="000665B0">
        <w:rPr>
          <w:noProof/>
        </w:rPr>
        <w:drawing>
          <wp:inline distT="0" distB="0" distL="0" distR="0" wp14:anchorId="572E7A77" wp14:editId="6F226681">
            <wp:extent cx="4114800" cy="1682496"/>
            <wp:effectExtent l="0" t="0" r="0" b="0"/>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1682496"/>
                    </a:xfrm>
                    <a:prstGeom prst="rect">
                      <a:avLst/>
                    </a:prstGeom>
                  </pic:spPr>
                </pic:pic>
              </a:graphicData>
            </a:graphic>
          </wp:inline>
        </w:drawing>
      </w:r>
    </w:p>
    <w:p w14:paraId="0FA0E2E5" w14:textId="0192B40A" w:rsidR="0078503C" w:rsidRPr="000665B0" w:rsidRDefault="0078503C" w:rsidP="006D5A65">
      <w:pPr>
        <w:pStyle w:val="Heading1"/>
      </w:pPr>
      <w:r w:rsidRPr="000665B0">
        <w:rPr>
          <w:rStyle w:val="number0205Char0"/>
        </w:rPr>
        <w:t xml:space="preserve">Select the desired </w:t>
      </w:r>
      <w:r w:rsidR="00A344CF" w:rsidRPr="000665B0">
        <w:rPr>
          <w:rStyle w:val="number0205Char0"/>
        </w:rPr>
        <w:t>ACMS(s) or Overlay(s)</w:t>
      </w:r>
      <w:r w:rsidRPr="000665B0">
        <w:rPr>
          <w:rStyle w:val="number0205Char0"/>
        </w:rPr>
        <w:t xml:space="preserve"> and click OK.</w:t>
      </w:r>
      <w:r w:rsidR="00A344CF" w:rsidRPr="000665B0">
        <w:rPr>
          <w:rStyle w:val="number0205Char0"/>
        </w:rPr>
        <w:t xml:space="preserve"> Alternatively, select the desired ACMS(s) or Overlay(s), </w:t>
      </w:r>
      <w:r w:rsidR="00D71804" w:rsidRPr="000665B0">
        <w:rPr>
          <w:rStyle w:val="number0205Char0"/>
        </w:rPr>
        <w:t>right-click</w:t>
      </w:r>
      <w:r w:rsidR="00A344CF" w:rsidRPr="000665B0">
        <w:rPr>
          <w:rStyle w:val="number0205Char0"/>
        </w:rPr>
        <w:t>, and select Add.</w:t>
      </w:r>
      <w:r w:rsidR="00A344CF" w:rsidRPr="000665B0">
        <w:t xml:space="preserve"> </w:t>
      </w:r>
      <w:r w:rsidR="005658F1" w:rsidRPr="000665B0">
        <w:t>The ACMSs and/or Overlays are added to the Strike Option.</w:t>
      </w:r>
    </w:p>
    <w:p w14:paraId="2A2D2663" w14:textId="77777777" w:rsidR="00A91C25" w:rsidRPr="000665B0" w:rsidRDefault="00A91C25" w:rsidP="00474A1F">
      <w:pPr>
        <w:tabs>
          <w:tab w:val="left" w:pos="720"/>
        </w:tabs>
        <w:spacing w:line="240" w:lineRule="auto"/>
        <w:ind w:left="360"/>
        <w:rPr>
          <w:szCs w:val="24"/>
        </w:rPr>
      </w:pPr>
      <w:r w:rsidRPr="000665B0">
        <w:rPr>
          <w:rStyle w:val="number0205Char0"/>
        </w:rPr>
        <w:t>or</w:t>
      </w:r>
    </w:p>
    <w:p w14:paraId="21266A79" w14:textId="77777777" w:rsidR="00A91C25" w:rsidRPr="000665B0" w:rsidRDefault="00A91C25" w:rsidP="006D5A65">
      <w:pPr>
        <w:pStyle w:val="Heading1"/>
      </w:pPr>
      <w:r w:rsidRPr="000665B0">
        <w:t xml:space="preserve">Simultaneously open the Geographic Resources tool from the parent Strike Folder. Select the desired ACMS(s) or Overlay(s) and drag and drop into the Geographic Resources pane of the </w:t>
      </w:r>
      <w:r w:rsidRPr="000665B0">
        <w:rPr>
          <w:i/>
        </w:rPr>
        <w:t>Strike Option</w:t>
      </w:r>
      <w:r w:rsidRPr="000665B0">
        <w:t xml:space="preserve"> window.</w:t>
      </w:r>
    </w:p>
    <w:p w14:paraId="59CF7ADF" w14:textId="77777777" w:rsidR="00A344CF" w:rsidRPr="000665B0" w:rsidRDefault="00A344CF"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07A9B1D4" w14:textId="77777777" w:rsidR="0078503C" w:rsidRPr="000665B0" w:rsidRDefault="0078503C" w:rsidP="002C16B8">
      <w:pPr>
        <w:keepNext/>
        <w:tabs>
          <w:tab w:val="left" w:pos="720"/>
        </w:tabs>
      </w:pPr>
      <w:r w:rsidRPr="000665B0">
        <w:t>To add ACMS</w:t>
      </w:r>
      <w:r w:rsidR="007E03C4" w:rsidRPr="000665B0">
        <w:t xml:space="preserve"> or Overlay</w:t>
      </w:r>
      <w:r w:rsidRPr="000665B0">
        <w:t xml:space="preserve"> </w:t>
      </w:r>
      <w:r w:rsidR="007E03C4" w:rsidRPr="000665B0">
        <w:t xml:space="preserve">resources from the </w:t>
      </w:r>
      <w:r w:rsidR="007E03C4" w:rsidRPr="000665B0">
        <w:rPr>
          <w:b/>
        </w:rPr>
        <w:t>ACMS</w:t>
      </w:r>
      <w:r w:rsidR="007E03C4" w:rsidRPr="000665B0">
        <w:t xml:space="preserve"> or </w:t>
      </w:r>
      <w:r w:rsidR="007E03C4" w:rsidRPr="000665B0">
        <w:rPr>
          <w:b/>
        </w:rPr>
        <w:t>Overlays</w:t>
      </w:r>
      <w:r w:rsidR="007E03C4" w:rsidRPr="000665B0">
        <w:t xml:space="preserve"> tool</w:t>
      </w:r>
      <w:r w:rsidRPr="000665B0">
        <w:t>:</w:t>
      </w:r>
    </w:p>
    <w:p w14:paraId="1417CC50" w14:textId="614F254F" w:rsidR="0078503C" w:rsidRPr="000665B0" w:rsidRDefault="0078503C" w:rsidP="006D5A65">
      <w:pPr>
        <w:pStyle w:val="Heading1"/>
      </w:pPr>
      <w:r w:rsidRPr="000665B0">
        <w:rPr>
          <w:rStyle w:val="number0205Char0"/>
        </w:rPr>
        <w:t xml:space="preserve">In the </w:t>
      </w:r>
      <w:r w:rsidR="007E03C4" w:rsidRPr="000665B0">
        <w:rPr>
          <w:rStyle w:val="number0205Char0"/>
        </w:rPr>
        <w:t>Geographic Resources pane</w:t>
      </w:r>
      <w:r w:rsidRPr="000665B0">
        <w:rPr>
          <w:rStyle w:val="number0205Char0"/>
        </w:rPr>
        <w:t>, invoke the context menu (</w:t>
      </w:r>
      <w:r w:rsidR="00D71804" w:rsidRPr="000665B0">
        <w:rPr>
          <w:rStyle w:val="number0205Char0"/>
        </w:rPr>
        <w:t>right-click</w:t>
      </w:r>
      <w:r w:rsidRPr="000665B0">
        <w:t xml:space="preserve"> the mouse) and select Add </w:t>
      </w:r>
      <w:r w:rsidR="007E03C4" w:rsidRPr="000665B0">
        <w:sym w:font="Wingdings 3" w:char="F07D"/>
      </w:r>
      <w:r w:rsidR="007E03C4" w:rsidRPr="000665B0">
        <w:t xml:space="preserve"> </w:t>
      </w:r>
      <w:r w:rsidRPr="000665B0">
        <w:t xml:space="preserve">From Tool </w:t>
      </w:r>
      <w:r w:rsidR="007E03C4" w:rsidRPr="000665B0">
        <w:sym w:font="Wingdings 3" w:char="F07D"/>
      </w:r>
      <w:r w:rsidR="007E03C4" w:rsidRPr="000665B0">
        <w:t xml:space="preserve"> </w:t>
      </w:r>
      <w:r w:rsidRPr="000665B0">
        <w:t>ACMS</w:t>
      </w:r>
      <w:r w:rsidR="00A115BA" w:rsidRPr="000665B0">
        <w:t>…</w:t>
      </w:r>
      <w:r w:rsidR="007E03C4" w:rsidRPr="000665B0">
        <w:t xml:space="preserve"> or Overlay</w:t>
      </w:r>
      <w:r w:rsidR="00A115BA" w:rsidRPr="000665B0">
        <w:t>…</w:t>
      </w:r>
      <w:r w:rsidRPr="000665B0">
        <w:t xml:space="preserve">. The </w:t>
      </w:r>
      <w:r w:rsidRPr="000665B0">
        <w:rPr>
          <w:i/>
        </w:rPr>
        <w:t xml:space="preserve">Choose Strike Folder Geographic Resources </w:t>
      </w:r>
      <w:r w:rsidRPr="000665B0">
        <w:rPr>
          <w:i/>
        </w:rPr>
        <w:lastRenderedPageBreak/>
        <w:t>(ACMS</w:t>
      </w:r>
      <w:r w:rsidR="007E03C4" w:rsidRPr="000665B0">
        <w:rPr>
          <w:i/>
        </w:rPr>
        <w:t>s</w:t>
      </w:r>
      <w:r w:rsidRPr="000665B0">
        <w:rPr>
          <w:i/>
        </w:rPr>
        <w:t>)</w:t>
      </w:r>
      <w:r w:rsidRPr="000665B0">
        <w:t xml:space="preserve"> </w:t>
      </w:r>
      <w:r w:rsidR="007E03C4" w:rsidRPr="000665B0">
        <w:t xml:space="preserve">or the </w:t>
      </w:r>
      <w:r w:rsidR="007E03C4" w:rsidRPr="000665B0">
        <w:rPr>
          <w:i/>
        </w:rPr>
        <w:t>Choose Strike Folder Geographic Resources (Overlays</w:t>
      </w:r>
      <w:r w:rsidR="00483A12" w:rsidRPr="000665B0">
        <w:rPr>
          <w:i/>
        </w:rPr>
        <w:t>)</w:t>
      </w:r>
      <w:r w:rsidR="00483A12" w:rsidRPr="000665B0">
        <w:t xml:space="preserve"> window</w:t>
      </w:r>
      <w:r w:rsidRPr="000665B0">
        <w:t xml:space="preserve"> </w:t>
      </w:r>
      <w:r w:rsidR="008B1631" w:rsidRPr="000665B0">
        <w:t>is displayed</w:t>
      </w:r>
      <w:r w:rsidRPr="000665B0">
        <w:t xml:space="preserve">. </w:t>
      </w:r>
    </w:p>
    <w:p w14:paraId="7005D8AD" w14:textId="2E422D66" w:rsidR="007E03C4" w:rsidRPr="000665B0" w:rsidRDefault="0076260B" w:rsidP="00172AD0">
      <w:pPr>
        <w:spacing w:after="240"/>
        <w:jc w:val="center"/>
        <w:rPr>
          <w:noProof/>
        </w:rPr>
      </w:pPr>
      <w:r w:rsidRPr="000665B0">
        <w:rPr>
          <w:noProof/>
        </w:rPr>
        <w:drawing>
          <wp:inline distT="0" distB="0" distL="0" distR="0" wp14:anchorId="3B2EE3D8" wp14:editId="79AECCE8">
            <wp:extent cx="4114800" cy="1517904"/>
            <wp:effectExtent l="0" t="0" r="0" b="6350"/>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1517904"/>
                    </a:xfrm>
                    <a:prstGeom prst="rect">
                      <a:avLst/>
                    </a:prstGeom>
                  </pic:spPr>
                </pic:pic>
              </a:graphicData>
            </a:graphic>
          </wp:inline>
        </w:drawing>
      </w:r>
    </w:p>
    <w:p w14:paraId="2B5646DB" w14:textId="3BD47FF1" w:rsidR="0078503C" w:rsidRPr="000665B0" w:rsidRDefault="0076260B" w:rsidP="00474A1F">
      <w:pPr>
        <w:tabs>
          <w:tab w:val="left" w:pos="720"/>
        </w:tabs>
        <w:jc w:val="center"/>
      </w:pPr>
      <w:r w:rsidRPr="000665B0">
        <w:rPr>
          <w:noProof/>
        </w:rPr>
        <w:drawing>
          <wp:inline distT="0" distB="0" distL="0" distR="0" wp14:anchorId="7C90FC36" wp14:editId="2B28CCF2">
            <wp:extent cx="4114800" cy="1554480"/>
            <wp:effectExtent l="0" t="0" r="0" b="7620"/>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1554480"/>
                    </a:xfrm>
                    <a:prstGeom prst="rect">
                      <a:avLst/>
                    </a:prstGeom>
                  </pic:spPr>
                </pic:pic>
              </a:graphicData>
            </a:graphic>
          </wp:inline>
        </w:drawing>
      </w:r>
    </w:p>
    <w:p w14:paraId="27E90984" w14:textId="117A1118" w:rsidR="0078503C" w:rsidRPr="000665B0" w:rsidRDefault="0078503C" w:rsidP="006D5A65">
      <w:pPr>
        <w:pStyle w:val="Heading1"/>
        <w:rPr>
          <w:rStyle w:val="number0205Char0"/>
        </w:rPr>
      </w:pPr>
      <w:r w:rsidRPr="000665B0">
        <w:rPr>
          <w:rStyle w:val="number0205Char0"/>
        </w:rPr>
        <w:t xml:space="preserve">Select the desired </w:t>
      </w:r>
      <w:r w:rsidR="007E03C4" w:rsidRPr="000665B0">
        <w:rPr>
          <w:rStyle w:val="number0205Char0"/>
        </w:rPr>
        <w:t>ACMS(</w:t>
      </w:r>
      <w:r w:rsidRPr="000665B0">
        <w:rPr>
          <w:rStyle w:val="number0205Char0"/>
        </w:rPr>
        <w:t>s</w:t>
      </w:r>
      <w:r w:rsidR="007E03C4" w:rsidRPr="000665B0">
        <w:rPr>
          <w:rStyle w:val="number0205Char0"/>
        </w:rPr>
        <w:t>)</w:t>
      </w:r>
      <w:r w:rsidRPr="000665B0">
        <w:rPr>
          <w:rStyle w:val="number0205Char0"/>
        </w:rPr>
        <w:t xml:space="preserve"> </w:t>
      </w:r>
      <w:r w:rsidR="007E03C4" w:rsidRPr="000665B0">
        <w:rPr>
          <w:rStyle w:val="number0205Char0"/>
        </w:rPr>
        <w:t xml:space="preserve">or Overlay(s) </w:t>
      </w:r>
      <w:r w:rsidRPr="000665B0">
        <w:rPr>
          <w:rStyle w:val="number0205Char0"/>
        </w:rPr>
        <w:t xml:space="preserve">and click OK. </w:t>
      </w:r>
      <w:r w:rsidR="007E03C4" w:rsidRPr="000665B0">
        <w:rPr>
          <w:rStyle w:val="number0205Char0"/>
        </w:rPr>
        <w:t xml:space="preserve">Alternatively, select the desired ACMS(s) or Overlay(s), </w:t>
      </w:r>
      <w:r w:rsidR="00D71804" w:rsidRPr="000665B0">
        <w:rPr>
          <w:rStyle w:val="number0205Char0"/>
        </w:rPr>
        <w:t>right-click</w:t>
      </w:r>
      <w:r w:rsidR="007E03C4" w:rsidRPr="000665B0">
        <w:rPr>
          <w:rStyle w:val="number0205Char0"/>
        </w:rPr>
        <w:t>, and select Add.</w:t>
      </w:r>
      <w:r w:rsidR="007E03C4" w:rsidRPr="000665B0">
        <w:t xml:space="preserve"> </w:t>
      </w:r>
      <w:r w:rsidR="007E03C4" w:rsidRPr="000665B0">
        <w:rPr>
          <w:rStyle w:val="number0205Char0"/>
        </w:rPr>
        <w:t>The</w:t>
      </w:r>
      <w:r w:rsidRPr="000665B0">
        <w:rPr>
          <w:rStyle w:val="number0205Char0"/>
        </w:rPr>
        <w:t xml:space="preserve"> ACMS</w:t>
      </w:r>
      <w:r w:rsidR="007E03C4" w:rsidRPr="000665B0">
        <w:rPr>
          <w:rStyle w:val="number0205Char0"/>
        </w:rPr>
        <w:t>s and/or Overlays</w:t>
      </w:r>
      <w:r w:rsidRPr="000665B0">
        <w:rPr>
          <w:rStyle w:val="number0205Char0"/>
        </w:rPr>
        <w:t xml:space="preserve"> </w:t>
      </w:r>
      <w:r w:rsidR="007E03C4" w:rsidRPr="000665B0">
        <w:rPr>
          <w:rStyle w:val="number0205Char0"/>
        </w:rPr>
        <w:t>are</w:t>
      </w:r>
      <w:r w:rsidRPr="000665B0">
        <w:rPr>
          <w:rStyle w:val="number0205Char0"/>
        </w:rPr>
        <w:t xml:space="preserve"> added to </w:t>
      </w:r>
      <w:r w:rsidR="00A115BA" w:rsidRPr="000665B0">
        <w:rPr>
          <w:rStyle w:val="number0205Char0"/>
        </w:rPr>
        <w:t>the Option as well as</w:t>
      </w:r>
      <w:r w:rsidR="00483A12" w:rsidRPr="000665B0">
        <w:rPr>
          <w:rStyle w:val="number0205Char0"/>
        </w:rPr>
        <w:t xml:space="preserve"> to</w:t>
      </w:r>
      <w:r w:rsidR="00A115BA" w:rsidRPr="000665B0">
        <w:rPr>
          <w:rStyle w:val="number0205Char0"/>
        </w:rPr>
        <w:t xml:space="preserve"> </w:t>
      </w:r>
      <w:r w:rsidRPr="000665B0">
        <w:rPr>
          <w:rStyle w:val="number0205Char0"/>
        </w:rPr>
        <w:t xml:space="preserve">the </w:t>
      </w:r>
      <w:r w:rsidR="00A115BA" w:rsidRPr="000665B0">
        <w:rPr>
          <w:rStyle w:val="number0205Char0"/>
        </w:rPr>
        <w:t xml:space="preserve">parent </w:t>
      </w:r>
      <w:r w:rsidRPr="000665B0">
        <w:rPr>
          <w:rStyle w:val="number0205Char0"/>
        </w:rPr>
        <w:t>Strike Folder Geographic Resources.</w:t>
      </w:r>
    </w:p>
    <w:p w14:paraId="321ECB25" w14:textId="77777777" w:rsidR="007E03C4" w:rsidRPr="000665B0" w:rsidRDefault="007E03C4" w:rsidP="009163E5">
      <w:pPr>
        <w:spacing w:line="240" w:lineRule="auto"/>
        <w:ind w:left="360"/>
        <w:rPr>
          <w:rStyle w:val="number0205Char0"/>
        </w:rPr>
      </w:pPr>
      <w:r w:rsidRPr="000665B0">
        <w:rPr>
          <w:rStyle w:val="number0205Char0"/>
        </w:rPr>
        <w:t>or</w:t>
      </w:r>
    </w:p>
    <w:p w14:paraId="62641B23" w14:textId="2F9796EE" w:rsidR="007E03C4" w:rsidRPr="000665B0" w:rsidRDefault="007E03C4" w:rsidP="006D5A65">
      <w:pPr>
        <w:pStyle w:val="Heading1"/>
      </w:pPr>
      <w:r w:rsidRPr="000665B0">
        <w:t xml:space="preserve">Select the desired </w:t>
      </w:r>
      <w:r w:rsidRPr="000665B0">
        <w:rPr>
          <w:rStyle w:val="number0205Char0"/>
        </w:rPr>
        <w:t>ACMS(s) or Overlay(s</w:t>
      </w:r>
      <w:r w:rsidR="00D56821" w:rsidRPr="000665B0">
        <w:rPr>
          <w:rStyle w:val="number0205Char0"/>
        </w:rPr>
        <w:t>)</w:t>
      </w:r>
      <w:r w:rsidR="00D56821" w:rsidRPr="000665B0">
        <w:t xml:space="preserve"> and</w:t>
      </w:r>
      <w:r w:rsidRPr="000665B0">
        <w:t xml:space="preserve"> drag and drop into the pane.</w:t>
      </w:r>
      <w:r w:rsidR="00483A12" w:rsidRPr="000665B0">
        <w:rPr>
          <w:rStyle w:val="number0205Char0"/>
        </w:rPr>
        <w:t xml:space="preserve"> The ACMSs and/or Overlays are added to the Option as well as to the parent Strike Folder Geographic Resources.</w:t>
      </w:r>
    </w:p>
    <w:p w14:paraId="3571FF9B" w14:textId="77777777" w:rsidR="007E03C4" w:rsidRPr="000665B0" w:rsidRDefault="007E03C4" w:rsidP="006D5A65">
      <w:pPr>
        <w:pStyle w:val="Heading1"/>
        <w:rPr>
          <w:rStyle w:val="number0205Char0"/>
        </w:rPr>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7167BABE" w14:textId="77777777" w:rsidR="002C511F" w:rsidRPr="000665B0" w:rsidRDefault="002C511F" w:rsidP="002C16B8">
      <w:pPr>
        <w:keepNext/>
        <w:tabs>
          <w:tab w:val="left" w:pos="720"/>
        </w:tabs>
      </w:pPr>
      <w:r w:rsidRPr="000665B0">
        <w:t xml:space="preserve">To add ACMS </w:t>
      </w:r>
      <w:r w:rsidR="00A115BA" w:rsidRPr="000665B0">
        <w:t xml:space="preserve">or Overlay resources from the </w:t>
      </w:r>
      <w:r w:rsidR="00A115BA" w:rsidRPr="000665B0">
        <w:rPr>
          <w:b/>
        </w:rPr>
        <w:t>ACMS</w:t>
      </w:r>
      <w:r w:rsidR="00A115BA" w:rsidRPr="000665B0">
        <w:t xml:space="preserve"> or </w:t>
      </w:r>
      <w:r w:rsidR="00A115BA" w:rsidRPr="000665B0">
        <w:rPr>
          <w:b/>
        </w:rPr>
        <w:t>Overlays</w:t>
      </w:r>
      <w:r w:rsidR="00A115BA" w:rsidRPr="000665B0">
        <w:t xml:space="preserve"> </w:t>
      </w:r>
      <w:r w:rsidRPr="000665B0">
        <w:t>Libraries:</w:t>
      </w:r>
    </w:p>
    <w:p w14:paraId="3373F845" w14:textId="659497D4" w:rsidR="002C511F" w:rsidRPr="000665B0" w:rsidRDefault="00A115BA" w:rsidP="006D5A65">
      <w:pPr>
        <w:pStyle w:val="Heading2"/>
      </w:pPr>
      <w:r w:rsidRPr="000665B0">
        <w:t>In the Geographic Resources pane, i</w:t>
      </w:r>
      <w:r w:rsidR="002C511F" w:rsidRPr="000665B0">
        <w:rPr>
          <w:rStyle w:val="number0205Char0"/>
        </w:rPr>
        <w:t>nvoke the context menu (</w:t>
      </w:r>
      <w:r w:rsidR="00D71804" w:rsidRPr="000665B0">
        <w:rPr>
          <w:rStyle w:val="number0205Char0"/>
        </w:rPr>
        <w:t>right-click</w:t>
      </w:r>
      <w:r w:rsidR="002C511F" w:rsidRPr="000665B0">
        <w:rPr>
          <w:rStyle w:val="number0205Char0"/>
        </w:rPr>
        <w:t xml:space="preserve"> the mouse) and select Add </w:t>
      </w:r>
      <w:r w:rsidRPr="000665B0">
        <w:sym w:font="Wingdings 3" w:char="F07D"/>
      </w:r>
      <w:r w:rsidR="002C511F" w:rsidRPr="000665B0">
        <w:rPr>
          <w:rStyle w:val="number0205Char0"/>
        </w:rPr>
        <w:t xml:space="preserve"> From Library </w:t>
      </w:r>
      <w:r w:rsidRPr="000665B0">
        <w:sym w:font="Wingdings 3" w:char="F07D"/>
      </w:r>
      <w:r w:rsidR="002C511F" w:rsidRPr="000665B0">
        <w:rPr>
          <w:rStyle w:val="number0205Char0"/>
        </w:rPr>
        <w:t xml:space="preserve"> ACMS Libraries…</w:t>
      </w:r>
      <w:r w:rsidRPr="000665B0">
        <w:rPr>
          <w:rStyle w:val="number0205Char0"/>
        </w:rPr>
        <w:t xml:space="preserve"> or Overlay Libraries…. </w:t>
      </w:r>
      <w:r w:rsidR="002C511F" w:rsidRPr="000665B0">
        <w:rPr>
          <w:rStyle w:val="number0205Char0"/>
        </w:rPr>
        <w:t>A</w:t>
      </w:r>
      <w:r w:rsidR="002C511F" w:rsidRPr="000665B0">
        <w:t xml:space="preserve"> </w:t>
      </w:r>
      <w:r w:rsidR="002C511F" w:rsidRPr="000665B0">
        <w:rPr>
          <w:i/>
        </w:rPr>
        <w:t>Libraries</w:t>
      </w:r>
      <w:r w:rsidR="002C511F" w:rsidRPr="000665B0">
        <w:t xml:space="preserve"> window </w:t>
      </w:r>
      <w:r w:rsidR="00DB5AEE" w:rsidRPr="000665B0">
        <w:t>is</w:t>
      </w:r>
      <w:r w:rsidR="002C511F" w:rsidRPr="000665B0">
        <w:t xml:space="preserve"> displayed</w:t>
      </w:r>
      <w:r w:rsidRPr="000665B0">
        <w:t xml:space="preserve"> that contains either ACMS or Overlay Libraries</w:t>
      </w:r>
      <w:r w:rsidR="002C511F" w:rsidRPr="000665B0">
        <w:t>.</w:t>
      </w:r>
    </w:p>
    <w:p w14:paraId="0308429E" w14:textId="623D0AE1" w:rsidR="002C511F" w:rsidRPr="000665B0" w:rsidRDefault="0076260B" w:rsidP="00474A1F">
      <w:pPr>
        <w:tabs>
          <w:tab w:val="left" w:pos="720"/>
        </w:tabs>
        <w:spacing w:line="240" w:lineRule="auto"/>
        <w:jc w:val="center"/>
      </w:pPr>
      <w:r w:rsidRPr="000665B0">
        <w:rPr>
          <w:noProof/>
        </w:rPr>
        <w:lastRenderedPageBreak/>
        <w:drawing>
          <wp:inline distT="0" distB="0" distL="0" distR="0" wp14:anchorId="72373FD9" wp14:editId="67EED5D0">
            <wp:extent cx="4114800" cy="1453896"/>
            <wp:effectExtent l="0" t="0" r="0" b="0"/>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1453896"/>
                    </a:xfrm>
                    <a:prstGeom prst="rect">
                      <a:avLst/>
                    </a:prstGeom>
                  </pic:spPr>
                </pic:pic>
              </a:graphicData>
            </a:graphic>
          </wp:inline>
        </w:drawing>
      </w:r>
    </w:p>
    <w:p w14:paraId="6EF048D0" w14:textId="3B77B024" w:rsidR="002C511F" w:rsidRPr="000665B0" w:rsidRDefault="002C511F" w:rsidP="006D5A65">
      <w:pPr>
        <w:pStyle w:val="Heading2"/>
      </w:pPr>
      <w:r w:rsidRPr="000665B0">
        <w:t>Select the desired ACMS</w:t>
      </w:r>
      <w:r w:rsidR="00A115BA" w:rsidRPr="000665B0">
        <w:t xml:space="preserve"> or Overlay</w:t>
      </w:r>
      <w:r w:rsidRPr="000665B0">
        <w:t xml:space="preserve"> </w:t>
      </w:r>
      <w:r w:rsidR="00A115BA" w:rsidRPr="000665B0">
        <w:t xml:space="preserve">Library(s) </w:t>
      </w:r>
      <w:r w:rsidRPr="000665B0">
        <w:t xml:space="preserve">and click OK. </w:t>
      </w:r>
      <w:r w:rsidR="00A115BA" w:rsidRPr="000665B0">
        <w:rPr>
          <w:szCs w:val="24"/>
        </w:rPr>
        <w:t>Alternatively, select the desired ACMS or Overlay</w:t>
      </w:r>
      <w:r w:rsidR="005658F1" w:rsidRPr="000665B0">
        <w:rPr>
          <w:szCs w:val="24"/>
        </w:rPr>
        <w:t xml:space="preserve"> Library</w:t>
      </w:r>
      <w:r w:rsidR="00A115BA" w:rsidRPr="000665B0">
        <w:rPr>
          <w:szCs w:val="24"/>
        </w:rPr>
        <w:t xml:space="preserve">(s), </w:t>
      </w:r>
      <w:r w:rsidR="00D71804" w:rsidRPr="000665B0">
        <w:rPr>
          <w:szCs w:val="24"/>
        </w:rPr>
        <w:t>right-click</w:t>
      </w:r>
      <w:r w:rsidR="00A115BA" w:rsidRPr="000665B0">
        <w:rPr>
          <w:szCs w:val="24"/>
        </w:rPr>
        <w:t xml:space="preserve">, and select Add. </w:t>
      </w:r>
      <w:r w:rsidRPr="000665B0">
        <w:t xml:space="preserve">All </w:t>
      </w:r>
      <w:r w:rsidR="00A115BA" w:rsidRPr="000665B0">
        <w:t xml:space="preserve">of </w:t>
      </w:r>
      <w:r w:rsidRPr="000665B0">
        <w:t>the ACMSs</w:t>
      </w:r>
      <w:r w:rsidR="00A115BA" w:rsidRPr="000665B0">
        <w:t xml:space="preserve"> and/or Overlays</w:t>
      </w:r>
      <w:r w:rsidRPr="000665B0">
        <w:t xml:space="preserve"> from </w:t>
      </w:r>
      <w:r w:rsidR="00A115BA" w:rsidRPr="000665B0">
        <w:t xml:space="preserve">within </w:t>
      </w:r>
      <w:r w:rsidRPr="000665B0">
        <w:t xml:space="preserve">the selected libraries </w:t>
      </w:r>
      <w:r w:rsidR="008B1631" w:rsidRPr="000665B0">
        <w:t xml:space="preserve">are </w:t>
      </w:r>
      <w:r w:rsidRPr="000665B0">
        <w:t xml:space="preserve">added to the </w:t>
      </w:r>
      <w:r w:rsidR="00A115BA" w:rsidRPr="000665B0">
        <w:t xml:space="preserve">Strike </w:t>
      </w:r>
      <w:r w:rsidRPr="000665B0">
        <w:t xml:space="preserve">Option </w:t>
      </w:r>
      <w:r w:rsidR="00A115BA" w:rsidRPr="000665B0">
        <w:t>as well as</w:t>
      </w:r>
      <w:r w:rsidR="00483A12" w:rsidRPr="000665B0">
        <w:t xml:space="preserve"> to</w:t>
      </w:r>
      <w:r w:rsidR="00A115BA" w:rsidRPr="000665B0">
        <w:t xml:space="preserve"> the parent Strike </w:t>
      </w:r>
      <w:r w:rsidRPr="000665B0">
        <w:t>Folder</w:t>
      </w:r>
      <w:r w:rsidR="00A115BA" w:rsidRPr="000665B0">
        <w:t xml:space="preserve"> Geographic Resources</w:t>
      </w:r>
      <w:r w:rsidRPr="000665B0">
        <w:t xml:space="preserve">. No linkage between the </w:t>
      </w:r>
      <w:r w:rsidR="00A115BA" w:rsidRPr="000665B0">
        <w:t>L</w:t>
      </w:r>
      <w:r w:rsidRPr="000665B0">
        <w:t xml:space="preserve">ibrary and the </w:t>
      </w:r>
      <w:r w:rsidR="00A115BA" w:rsidRPr="000665B0">
        <w:t xml:space="preserve">Strike Folder </w:t>
      </w:r>
      <w:r w:rsidRPr="000665B0">
        <w:t>is created.</w:t>
      </w:r>
    </w:p>
    <w:p w14:paraId="13265438" w14:textId="77777777" w:rsidR="00516085" w:rsidRPr="000665B0" w:rsidRDefault="00516085"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4079AE1A" w14:textId="77777777" w:rsidR="0078503C" w:rsidRPr="000665B0" w:rsidRDefault="0078503C" w:rsidP="00A0163E">
      <w:pPr>
        <w:tabs>
          <w:tab w:val="left" w:pos="720"/>
        </w:tabs>
      </w:pPr>
      <w:r w:rsidRPr="000665B0">
        <w:t xml:space="preserve">To add </w:t>
      </w:r>
      <w:r w:rsidR="00EB543F" w:rsidRPr="000665B0">
        <w:t>n</w:t>
      </w:r>
      <w:r w:rsidRPr="000665B0">
        <w:t>ew ACMS</w:t>
      </w:r>
      <w:r w:rsidR="00EB543F" w:rsidRPr="000665B0">
        <w:t xml:space="preserve"> or Overlay</w:t>
      </w:r>
      <w:r w:rsidRPr="000665B0">
        <w:t xml:space="preserve"> resources:</w:t>
      </w:r>
    </w:p>
    <w:p w14:paraId="1718F969" w14:textId="0221D3BD" w:rsidR="0078503C" w:rsidRPr="000665B0" w:rsidRDefault="00EB543F" w:rsidP="006D5A65">
      <w:pPr>
        <w:pStyle w:val="Heading1"/>
      </w:pPr>
      <w:r w:rsidRPr="000665B0">
        <w:t xml:space="preserve">In the Geographic Resources pane, </w:t>
      </w:r>
      <w:r w:rsidRPr="000665B0">
        <w:rPr>
          <w:rStyle w:val="number0205Char0"/>
        </w:rPr>
        <w:t>i</w:t>
      </w:r>
      <w:r w:rsidR="0078503C" w:rsidRPr="000665B0">
        <w:rPr>
          <w:rStyle w:val="number0205Char0"/>
        </w:rPr>
        <w:t>nvoke the context menu (</w:t>
      </w:r>
      <w:r w:rsidR="00D71804" w:rsidRPr="000665B0">
        <w:rPr>
          <w:rStyle w:val="number0205Char0"/>
        </w:rPr>
        <w:t>right-click</w:t>
      </w:r>
      <w:r w:rsidR="0078503C" w:rsidRPr="000665B0">
        <w:rPr>
          <w:rStyle w:val="number0205Char0"/>
        </w:rPr>
        <w:t xml:space="preserve"> the mouse) and select New </w:t>
      </w:r>
      <w:r w:rsidRPr="000665B0">
        <w:sym w:font="Wingdings 3" w:char="F07D"/>
      </w:r>
      <w:r w:rsidR="0078503C" w:rsidRPr="000665B0">
        <w:rPr>
          <w:rStyle w:val="number0205Char0"/>
        </w:rPr>
        <w:t xml:space="preserve"> ACMS</w:t>
      </w:r>
      <w:r w:rsidRPr="000665B0">
        <w:rPr>
          <w:rStyle w:val="number0205Char0"/>
        </w:rPr>
        <w:t>… or Overlay…</w:t>
      </w:r>
      <w:r w:rsidR="0078503C" w:rsidRPr="000665B0">
        <w:rPr>
          <w:rStyle w:val="number0205Char0"/>
        </w:rPr>
        <w:t>. A</w:t>
      </w:r>
      <w:r w:rsidR="0078503C" w:rsidRPr="000665B0">
        <w:t xml:space="preserve"> </w:t>
      </w:r>
      <w:r w:rsidRPr="000665B0">
        <w:t>new</w:t>
      </w:r>
      <w:r w:rsidRPr="000665B0">
        <w:rPr>
          <w:i/>
        </w:rPr>
        <w:t xml:space="preserve"> </w:t>
      </w:r>
      <w:r w:rsidR="0078503C" w:rsidRPr="000665B0">
        <w:rPr>
          <w:i/>
        </w:rPr>
        <w:t>ACMS</w:t>
      </w:r>
      <w:r w:rsidR="0078503C" w:rsidRPr="000665B0">
        <w:t xml:space="preserve"> </w:t>
      </w:r>
      <w:r w:rsidRPr="000665B0">
        <w:t xml:space="preserve">or </w:t>
      </w:r>
      <w:r w:rsidRPr="000665B0">
        <w:rPr>
          <w:i/>
        </w:rPr>
        <w:t>Overlay</w:t>
      </w:r>
      <w:r w:rsidRPr="000665B0">
        <w:t xml:space="preserve"> window </w:t>
      </w:r>
      <w:r w:rsidR="00DB5AEE" w:rsidRPr="000665B0">
        <w:t>is</w:t>
      </w:r>
      <w:r w:rsidR="0078503C" w:rsidRPr="000665B0">
        <w:t xml:space="preserve"> displayed. </w:t>
      </w:r>
    </w:p>
    <w:p w14:paraId="3424DC14" w14:textId="5AD73AC5" w:rsidR="00483A12" w:rsidRPr="000665B0" w:rsidRDefault="00B02262" w:rsidP="00474A1F">
      <w:pPr>
        <w:tabs>
          <w:tab w:val="left" w:pos="720"/>
        </w:tabs>
        <w:spacing w:line="240" w:lineRule="auto"/>
        <w:jc w:val="center"/>
      </w:pPr>
      <w:r w:rsidRPr="000665B0">
        <w:rPr>
          <w:noProof/>
        </w:rPr>
        <w:drawing>
          <wp:inline distT="0" distB="0" distL="0" distR="0" wp14:anchorId="6B247D8F" wp14:editId="5C2E0D08">
            <wp:extent cx="3867057" cy="3514725"/>
            <wp:effectExtent l="0" t="0" r="0" b="0"/>
            <wp:docPr id="1936" name="Picture 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869762" cy="3517184"/>
                    </a:xfrm>
                    <a:prstGeom prst="rect">
                      <a:avLst/>
                    </a:prstGeom>
                  </pic:spPr>
                </pic:pic>
              </a:graphicData>
            </a:graphic>
          </wp:inline>
        </w:drawing>
      </w:r>
    </w:p>
    <w:p w14:paraId="051BC82E" w14:textId="0DF67A07" w:rsidR="0078503C" w:rsidRPr="000665B0" w:rsidRDefault="00B02262" w:rsidP="00474A1F">
      <w:pPr>
        <w:tabs>
          <w:tab w:val="left" w:pos="720"/>
        </w:tabs>
        <w:spacing w:line="240" w:lineRule="auto"/>
        <w:jc w:val="center"/>
      </w:pPr>
      <w:r w:rsidRPr="000665B0">
        <w:rPr>
          <w:noProof/>
        </w:rPr>
        <w:lastRenderedPageBreak/>
        <w:drawing>
          <wp:inline distT="0" distB="0" distL="0" distR="0" wp14:anchorId="66A4B188" wp14:editId="70E27F5F">
            <wp:extent cx="3141879" cy="3743325"/>
            <wp:effectExtent l="0" t="0" r="0" b="0"/>
            <wp:docPr id="1937" name="Picture 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3152" cy="3756756"/>
                    </a:xfrm>
                    <a:prstGeom prst="rect">
                      <a:avLst/>
                    </a:prstGeom>
                  </pic:spPr>
                </pic:pic>
              </a:graphicData>
            </a:graphic>
          </wp:inline>
        </w:drawing>
      </w:r>
    </w:p>
    <w:p w14:paraId="15DB492E" w14:textId="6A18FABA" w:rsidR="0078503C" w:rsidRPr="000665B0" w:rsidRDefault="003B493F" w:rsidP="006D5A65">
      <w:pPr>
        <w:pStyle w:val="Heading1"/>
      </w:pPr>
      <w:r w:rsidRPr="000665B0">
        <w:t>Enter and save the required information</w:t>
      </w:r>
      <w:r w:rsidR="0078503C" w:rsidRPr="000665B0">
        <w:t xml:space="preserve">. </w:t>
      </w:r>
      <w:r w:rsidR="003C724A" w:rsidRPr="000665B0">
        <w:t xml:space="preserve">For more information about creating a new ACMS, see </w:t>
      </w:r>
      <w:hyperlink w:anchor="_5.33.1__Create" w:history="1">
        <w:r w:rsidR="003C724A" w:rsidRPr="000665B0">
          <w:rPr>
            <w:rStyle w:val="Hyperlink"/>
          </w:rPr>
          <w:t xml:space="preserve">Section </w:t>
        </w:r>
        <w:r w:rsidR="004231CC">
          <w:rPr>
            <w:rStyle w:val="Hyperlink"/>
          </w:rPr>
          <w:t>5.29</w:t>
        </w:r>
        <w:r w:rsidR="003C724A" w:rsidRPr="000665B0">
          <w:rPr>
            <w:rStyle w:val="Hyperlink"/>
          </w:rPr>
          <w:t>.1</w:t>
        </w:r>
      </w:hyperlink>
      <w:r w:rsidR="003C724A" w:rsidRPr="000665B0">
        <w:t xml:space="preserve">. For more information about creating a new Overlay, see </w:t>
      </w:r>
      <w:hyperlink w:anchor="_5.34.1__Create" w:history="1">
        <w:r w:rsidR="003C724A" w:rsidRPr="000665B0">
          <w:rPr>
            <w:rStyle w:val="Hyperlink"/>
          </w:rPr>
          <w:t xml:space="preserve">Section </w:t>
        </w:r>
        <w:r w:rsidR="004231CC">
          <w:rPr>
            <w:rStyle w:val="Hyperlink"/>
          </w:rPr>
          <w:t>5.30</w:t>
        </w:r>
        <w:r w:rsidR="003C724A" w:rsidRPr="000665B0">
          <w:rPr>
            <w:rStyle w:val="Hyperlink"/>
          </w:rPr>
          <w:t>.1</w:t>
        </w:r>
      </w:hyperlink>
      <w:r w:rsidR="003C724A" w:rsidRPr="000665B0">
        <w:t xml:space="preserve">. </w:t>
      </w:r>
      <w:r w:rsidR="0078503C" w:rsidRPr="000665B0">
        <w:t xml:space="preserve">The ACMS </w:t>
      </w:r>
      <w:r w:rsidR="00F75062" w:rsidRPr="000665B0">
        <w:t>and/</w:t>
      </w:r>
      <w:r w:rsidRPr="000665B0">
        <w:t xml:space="preserve">or Overlay </w:t>
      </w:r>
      <w:r w:rsidR="00DB5AEE" w:rsidRPr="000665B0">
        <w:t>is</w:t>
      </w:r>
      <w:r w:rsidR="0078503C" w:rsidRPr="000665B0">
        <w:t xml:space="preserve"> added to the </w:t>
      </w:r>
      <w:r w:rsidR="00F75062" w:rsidRPr="000665B0">
        <w:t xml:space="preserve">Strike </w:t>
      </w:r>
      <w:r w:rsidR="0078503C" w:rsidRPr="000665B0">
        <w:t>Option</w:t>
      </w:r>
      <w:r w:rsidR="00F75062" w:rsidRPr="000665B0">
        <w:t xml:space="preserve"> as well as</w:t>
      </w:r>
      <w:r w:rsidR="0078503C" w:rsidRPr="000665B0">
        <w:t xml:space="preserve"> </w:t>
      </w:r>
      <w:r w:rsidR="00483A12" w:rsidRPr="000665B0">
        <w:t xml:space="preserve">to </w:t>
      </w:r>
      <w:r w:rsidR="0078503C" w:rsidRPr="000665B0">
        <w:t>the</w:t>
      </w:r>
      <w:r w:rsidR="00F75062" w:rsidRPr="000665B0">
        <w:t xml:space="preserve"> parent Strike</w:t>
      </w:r>
      <w:r w:rsidR="0078503C" w:rsidRPr="000665B0">
        <w:t xml:space="preserve"> Folder Geographic Resources.</w:t>
      </w:r>
    </w:p>
    <w:p w14:paraId="18933398" w14:textId="77777777" w:rsidR="005658F1" w:rsidRPr="000665B0" w:rsidRDefault="005658F1"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622F0570" w14:textId="77777777" w:rsidR="003A2C9A" w:rsidRPr="000665B0" w:rsidRDefault="00B63106" w:rsidP="00474A1F">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bCs/>
        </w:rPr>
      </w:pPr>
      <w:r w:rsidRPr="000665B0">
        <w:rPr>
          <w:b/>
          <w:bCs/>
        </w:rPr>
        <w:t>Note</w:t>
      </w:r>
      <w:r w:rsidR="0078503C" w:rsidRPr="000665B0">
        <w:rPr>
          <w:b/>
          <w:bCs/>
        </w:rPr>
        <w:t xml:space="preserve">: </w:t>
      </w:r>
    </w:p>
    <w:p w14:paraId="40F094DF" w14:textId="77777777" w:rsidR="0078503C" w:rsidRPr="000665B0" w:rsidRDefault="0078503C" w:rsidP="00474A1F">
      <w:pPr>
        <w:pBdr>
          <w:top w:val="single" w:sz="12" w:space="1" w:color="auto"/>
          <w:left w:val="single" w:sz="12" w:space="4" w:color="auto"/>
          <w:bottom w:val="single" w:sz="12" w:space="1" w:color="auto"/>
          <w:right w:val="single" w:sz="12" w:space="4" w:color="auto"/>
        </w:pBdr>
        <w:shd w:val="clear" w:color="auto" w:fill="D9D9D9"/>
        <w:tabs>
          <w:tab w:val="left" w:pos="720"/>
        </w:tabs>
        <w:jc w:val="center"/>
        <w:rPr>
          <w:b/>
          <w:bCs/>
        </w:rPr>
      </w:pPr>
      <w:r w:rsidRPr="000665B0">
        <w:rPr>
          <w:b/>
          <w:bCs/>
        </w:rPr>
        <w:t>ACMSs</w:t>
      </w:r>
      <w:r w:rsidR="003C724A" w:rsidRPr="000665B0">
        <w:rPr>
          <w:b/>
          <w:bCs/>
        </w:rPr>
        <w:t xml:space="preserve"> and Overlays</w:t>
      </w:r>
      <w:r w:rsidRPr="000665B0">
        <w:rPr>
          <w:b/>
          <w:bCs/>
        </w:rPr>
        <w:t xml:space="preserve"> can also be drag</w:t>
      </w:r>
      <w:r w:rsidR="003C724A" w:rsidRPr="000665B0">
        <w:rPr>
          <w:b/>
          <w:bCs/>
        </w:rPr>
        <w:t xml:space="preserve">ged and </w:t>
      </w:r>
      <w:r w:rsidRPr="000665B0">
        <w:rPr>
          <w:b/>
          <w:bCs/>
        </w:rPr>
        <w:t xml:space="preserve">dropped into the Geographic Resources from </w:t>
      </w:r>
      <w:r w:rsidR="003C724A" w:rsidRPr="000665B0">
        <w:rPr>
          <w:b/>
          <w:bCs/>
        </w:rPr>
        <w:t xml:space="preserve">most </w:t>
      </w:r>
      <w:r w:rsidRPr="000665B0">
        <w:rPr>
          <w:b/>
          <w:bCs/>
        </w:rPr>
        <w:t>ACMS</w:t>
      </w:r>
      <w:r w:rsidR="005658F1" w:rsidRPr="000665B0">
        <w:rPr>
          <w:b/>
          <w:bCs/>
        </w:rPr>
        <w:t xml:space="preserve"> or Overlay</w:t>
      </w:r>
      <w:r w:rsidRPr="000665B0">
        <w:rPr>
          <w:b/>
          <w:bCs/>
        </w:rPr>
        <w:t xml:space="preserve"> list view</w:t>
      </w:r>
      <w:r w:rsidR="003C724A" w:rsidRPr="000665B0">
        <w:rPr>
          <w:b/>
          <w:bCs/>
        </w:rPr>
        <w:t>s</w:t>
      </w:r>
      <w:r w:rsidRPr="000665B0">
        <w:rPr>
          <w:b/>
          <w:bCs/>
        </w:rPr>
        <w:t>, library list view</w:t>
      </w:r>
      <w:r w:rsidR="003C724A" w:rsidRPr="000665B0">
        <w:rPr>
          <w:b/>
          <w:bCs/>
        </w:rPr>
        <w:t>s</w:t>
      </w:r>
      <w:r w:rsidRPr="000665B0">
        <w:rPr>
          <w:b/>
          <w:bCs/>
        </w:rPr>
        <w:t>, and other Geographic Resources list view</w:t>
      </w:r>
      <w:r w:rsidR="003C724A" w:rsidRPr="000665B0">
        <w:rPr>
          <w:b/>
          <w:bCs/>
        </w:rPr>
        <w:t>s</w:t>
      </w:r>
      <w:r w:rsidRPr="000665B0">
        <w:rPr>
          <w:b/>
          <w:bCs/>
        </w:rPr>
        <w:t>.</w:t>
      </w:r>
    </w:p>
    <w:p w14:paraId="688BFA2A" w14:textId="77777777" w:rsidR="00966B12" w:rsidRPr="000665B0" w:rsidRDefault="00966B12" w:rsidP="00474A1F">
      <w:pPr>
        <w:pStyle w:val="BodyText"/>
        <w:tabs>
          <w:tab w:val="left" w:pos="720"/>
        </w:tabs>
        <w:spacing w:after="120"/>
      </w:pPr>
      <w:r w:rsidRPr="000665B0">
        <w:t>To remove Geographic Resources:</w:t>
      </w:r>
    </w:p>
    <w:p w14:paraId="5D08FE37" w14:textId="77777777" w:rsidR="00966B12" w:rsidRPr="000665B0" w:rsidRDefault="00966B12" w:rsidP="006D5A65">
      <w:pPr>
        <w:pStyle w:val="Heading1"/>
      </w:pPr>
      <w:r w:rsidRPr="000665B0">
        <w:t>Select the desired ACMS or Overlay in the list view.</w:t>
      </w:r>
    </w:p>
    <w:p w14:paraId="3D0D5F78" w14:textId="233B5D7E" w:rsidR="00966B12" w:rsidRPr="000665B0" w:rsidRDefault="00966B12" w:rsidP="006D5A65">
      <w:pPr>
        <w:pStyle w:val="Heading1"/>
        <w:rPr>
          <w:szCs w:val="24"/>
        </w:rPr>
      </w:pPr>
      <w:r w:rsidRPr="000665B0">
        <w:t>Invoke the context menu (</w:t>
      </w:r>
      <w:r w:rsidR="00D71804" w:rsidRPr="000665B0">
        <w:t>right-click</w:t>
      </w:r>
      <w:r w:rsidRPr="000665B0">
        <w:t xml:space="preserve"> the mouse) and select Remove.</w:t>
      </w:r>
    </w:p>
    <w:p w14:paraId="4514501E" w14:textId="77777777" w:rsidR="00966B12" w:rsidRPr="000665B0" w:rsidRDefault="00966B12"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37525A5A" w14:textId="0A48E061" w:rsidR="0078503C" w:rsidRPr="000665B0" w:rsidRDefault="00BB197D" w:rsidP="00474A1F">
      <w:pPr>
        <w:tabs>
          <w:tab w:val="left" w:pos="720"/>
        </w:tabs>
      </w:pPr>
      <w:r w:rsidRPr="000665B0">
        <w:t xml:space="preserve">As in other list views, </w:t>
      </w:r>
      <w:r w:rsidR="00AB79FF" w:rsidRPr="000665B0">
        <w:t>items can be selected to</w:t>
      </w:r>
      <w:r w:rsidRPr="000665B0">
        <w:t xml:space="preserve"> Display Textually (see </w:t>
      </w:r>
      <w:hyperlink w:anchor="_5.2.1.2.4__Display_1" w:history="1">
        <w:r w:rsidRPr="000665B0">
          <w:rPr>
            <w:rStyle w:val="Hyperlink"/>
          </w:rPr>
          <w:t>Section 5.2.1.2.4</w:t>
        </w:r>
      </w:hyperlink>
      <w:r w:rsidRPr="000665B0">
        <w:rPr>
          <w:rStyle w:val="Hyperlink"/>
        </w:rPr>
        <w:t>)</w:t>
      </w:r>
      <w:r w:rsidRPr="000665B0">
        <w:t xml:space="preserve">, Display Geographically (see </w:t>
      </w:r>
      <w:hyperlink w:anchor="_5.2.1.2.2__Display_1" w:history="1">
        <w:r w:rsidRPr="000665B0">
          <w:rPr>
            <w:rStyle w:val="Hyperlink"/>
          </w:rPr>
          <w:t>Section 5.2.1.2.2</w:t>
        </w:r>
      </w:hyperlink>
      <w:r w:rsidRPr="000665B0">
        <w:rPr>
          <w:rStyle w:val="Hyperlink"/>
        </w:rPr>
        <w:t>)</w:t>
      </w:r>
      <w:r w:rsidRPr="000665B0">
        <w:t xml:space="preserve">, Display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0665B0">
        <w:rPr>
          <w:rStyle w:val="Hyperlink"/>
        </w:rPr>
        <w:t>)</w:t>
      </w:r>
      <w:r w:rsidRPr="000665B0">
        <w:t>.</w:t>
      </w:r>
    </w:p>
    <w:p w14:paraId="6D610529" w14:textId="77777777" w:rsidR="0078503C" w:rsidRPr="000665B0" w:rsidRDefault="0078503C" w:rsidP="00CE2C1C">
      <w:pPr>
        <w:tabs>
          <w:tab w:val="left" w:pos="720"/>
        </w:tabs>
      </w:pPr>
      <w:r w:rsidRPr="000665B0">
        <w:t>To add Use Rates:</w:t>
      </w:r>
    </w:p>
    <w:p w14:paraId="3E0FE743" w14:textId="0A00403D" w:rsidR="0078503C" w:rsidRPr="000665B0" w:rsidRDefault="0078503C" w:rsidP="006D5A65">
      <w:pPr>
        <w:pStyle w:val="Heading2"/>
      </w:pPr>
      <w:r w:rsidRPr="000665B0">
        <w:lastRenderedPageBreak/>
        <w:t>In the Use Rate</w:t>
      </w:r>
      <w:r w:rsidR="008A78D9" w:rsidRPr="000665B0">
        <w:t>s</w:t>
      </w:r>
      <w:r w:rsidRPr="000665B0">
        <w:t xml:space="preserve"> </w:t>
      </w:r>
      <w:r w:rsidR="000C4A65" w:rsidRPr="000665B0">
        <w:t>pane</w:t>
      </w:r>
      <w:r w:rsidRPr="000665B0">
        <w:t>, invoke the context menu (</w:t>
      </w:r>
      <w:r w:rsidR="00D71804" w:rsidRPr="000665B0">
        <w:t>right-click</w:t>
      </w:r>
      <w:r w:rsidRPr="000665B0">
        <w:t xml:space="preserve"> the mouse) and select Add </w:t>
      </w:r>
      <w:r w:rsidR="000C4A65" w:rsidRPr="000665B0">
        <w:sym w:font="Wingdings 3" w:char="F07D"/>
      </w:r>
      <w:r w:rsidRPr="000665B0">
        <w:t xml:space="preserve"> Flight Corridor, Loiter Area, TERCOM, or DSMAC.</w:t>
      </w:r>
      <w:r w:rsidR="00290219" w:rsidRPr="000665B0">
        <w:t xml:space="preserve"> </w:t>
      </w:r>
      <w:r w:rsidRPr="000665B0">
        <w:t xml:space="preserve">The </w:t>
      </w:r>
      <w:r w:rsidRPr="000665B0">
        <w:rPr>
          <w:i/>
        </w:rPr>
        <w:t>Choose Use Rates</w:t>
      </w:r>
      <w:r w:rsidR="000C4A65" w:rsidRPr="000665B0">
        <w:rPr>
          <w:i/>
        </w:rPr>
        <w:t xml:space="preserve"> (xxxxx)</w:t>
      </w:r>
      <w:r w:rsidRPr="000665B0">
        <w:t xml:space="preserve"> window </w:t>
      </w:r>
      <w:r w:rsidR="008B1631" w:rsidRPr="000665B0">
        <w:t>is displayed</w:t>
      </w:r>
      <w:r w:rsidRPr="000665B0">
        <w:t>.</w:t>
      </w:r>
    </w:p>
    <w:p w14:paraId="0327C870" w14:textId="43B40595" w:rsidR="0078503C" w:rsidRPr="000665B0" w:rsidRDefault="0076260B" w:rsidP="00474A1F">
      <w:pPr>
        <w:tabs>
          <w:tab w:val="left" w:pos="720"/>
        </w:tabs>
        <w:jc w:val="center"/>
      </w:pPr>
      <w:r w:rsidRPr="000665B0">
        <w:rPr>
          <w:noProof/>
        </w:rPr>
        <w:drawing>
          <wp:inline distT="0" distB="0" distL="0" distR="0" wp14:anchorId="00F09757" wp14:editId="08D17A02">
            <wp:extent cx="3081867" cy="1981200"/>
            <wp:effectExtent l="0" t="0" r="0" b="0"/>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092108" cy="1987783"/>
                    </a:xfrm>
                    <a:prstGeom prst="rect">
                      <a:avLst/>
                    </a:prstGeom>
                  </pic:spPr>
                </pic:pic>
              </a:graphicData>
            </a:graphic>
          </wp:inline>
        </w:drawing>
      </w:r>
    </w:p>
    <w:p w14:paraId="28413506" w14:textId="77777777" w:rsidR="000C4A65" w:rsidRPr="000665B0" w:rsidRDefault="0078503C" w:rsidP="006D5A65">
      <w:pPr>
        <w:pStyle w:val="Heading2"/>
      </w:pPr>
      <w:r w:rsidRPr="000665B0">
        <w:t>Select the desired Use Rate and click OK.</w:t>
      </w:r>
    </w:p>
    <w:p w14:paraId="689BF3D5" w14:textId="77777777" w:rsidR="000C4A65" w:rsidRPr="000665B0" w:rsidRDefault="000C4A65" w:rsidP="006D5A65">
      <w:pPr>
        <w:pStyle w:val="Heading2"/>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41E61C41" w14:textId="77777777" w:rsidR="0078503C" w:rsidRPr="000665B0" w:rsidRDefault="0078503C" w:rsidP="00474A1F">
      <w:pPr>
        <w:tabs>
          <w:tab w:val="left" w:pos="720"/>
        </w:tabs>
      </w:pPr>
      <w:r w:rsidRPr="000665B0">
        <w:t>To edit the Use Rate number of uses:</w:t>
      </w:r>
    </w:p>
    <w:p w14:paraId="33D6B657" w14:textId="7AA42C0C" w:rsidR="0078503C" w:rsidRPr="000665B0" w:rsidRDefault="008A78D9" w:rsidP="006D5A65">
      <w:pPr>
        <w:pStyle w:val="Heading1"/>
      </w:pPr>
      <w:r w:rsidRPr="000665B0">
        <w:t>In the Use Rate pane, s</w:t>
      </w:r>
      <w:r w:rsidR="0078503C" w:rsidRPr="000665B0">
        <w:t>elect the desired Use Rate</w:t>
      </w:r>
      <w:r w:rsidRPr="000665B0">
        <w:t xml:space="preserve">, </w:t>
      </w:r>
      <w:r w:rsidR="0078503C" w:rsidRPr="000665B0">
        <w:t>invoke the context menu (</w:t>
      </w:r>
      <w:r w:rsidR="00D71804" w:rsidRPr="000665B0">
        <w:t>right-click</w:t>
      </w:r>
      <w:r w:rsidR="0078503C" w:rsidRPr="000665B0">
        <w:t xml:space="preserve"> the mouse) and select Edit.</w:t>
      </w:r>
      <w:r w:rsidRPr="000665B0">
        <w:t xml:space="preserve"> The </w:t>
      </w:r>
      <w:r w:rsidRPr="000665B0">
        <w:rPr>
          <w:i/>
        </w:rPr>
        <w:t>Use Rate</w:t>
      </w:r>
      <w:r w:rsidRPr="000665B0">
        <w:t xml:space="preserve"> window is displayed.</w:t>
      </w:r>
    </w:p>
    <w:p w14:paraId="4F1E0172" w14:textId="77777777" w:rsidR="0078503C" w:rsidRPr="000665B0" w:rsidRDefault="0078503C" w:rsidP="00474A1F">
      <w:pPr>
        <w:tabs>
          <w:tab w:val="left" w:pos="720"/>
        </w:tabs>
        <w:ind w:left="360"/>
      </w:pPr>
      <w:r w:rsidRPr="000665B0">
        <w:t>or</w:t>
      </w:r>
    </w:p>
    <w:p w14:paraId="4D2A4416" w14:textId="7671973E" w:rsidR="0078503C" w:rsidRPr="000665B0" w:rsidRDefault="0037038E" w:rsidP="006D5A65">
      <w:pPr>
        <w:pStyle w:val="Heading1"/>
      </w:pPr>
      <w:r w:rsidRPr="000665B0">
        <w:t>Double-click</w:t>
      </w:r>
      <w:r w:rsidR="0078503C" w:rsidRPr="000665B0">
        <w:t xml:space="preserve"> on the </w:t>
      </w:r>
      <w:r w:rsidR="008A78D9" w:rsidRPr="000665B0">
        <w:t>desired Use Rate</w:t>
      </w:r>
      <w:r w:rsidR="0078503C" w:rsidRPr="000665B0">
        <w:t xml:space="preserve">. </w:t>
      </w:r>
      <w:r w:rsidR="008A78D9" w:rsidRPr="000665B0">
        <w:t xml:space="preserve">The </w:t>
      </w:r>
      <w:r w:rsidR="0078503C" w:rsidRPr="000665B0">
        <w:rPr>
          <w:i/>
        </w:rPr>
        <w:t>Use Rate</w:t>
      </w:r>
      <w:r w:rsidR="0078503C" w:rsidRPr="000665B0">
        <w:t xml:space="preserve"> window </w:t>
      </w:r>
      <w:r w:rsidR="00DB5AEE" w:rsidRPr="000665B0">
        <w:t>is</w:t>
      </w:r>
      <w:r w:rsidR="0078503C" w:rsidRPr="000665B0">
        <w:t xml:space="preserve"> displayed.</w:t>
      </w:r>
    </w:p>
    <w:p w14:paraId="6982D961" w14:textId="6C46F0F4" w:rsidR="0078503C" w:rsidRPr="000665B0" w:rsidRDefault="0076260B" w:rsidP="00474A1F">
      <w:pPr>
        <w:tabs>
          <w:tab w:val="left" w:pos="720"/>
        </w:tabs>
        <w:jc w:val="center"/>
      </w:pPr>
      <w:r w:rsidRPr="000665B0">
        <w:rPr>
          <w:noProof/>
        </w:rPr>
        <w:drawing>
          <wp:inline distT="0" distB="0" distL="0" distR="0" wp14:anchorId="5EDF00AC" wp14:editId="35F2D338">
            <wp:extent cx="1828800" cy="1024128"/>
            <wp:effectExtent l="0" t="0" r="0" b="0"/>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024128"/>
                    </a:xfrm>
                    <a:prstGeom prst="rect">
                      <a:avLst/>
                    </a:prstGeom>
                  </pic:spPr>
                </pic:pic>
              </a:graphicData>
            </a:graphic>
          </wp:inline>
        </w:drawing>
      </w:r>
    </w:p>
    <w:p w14:paraId="5BDA52D3" w14:textId="77777777" w:rsidR="0078503C" w:rsidRPr="000665B0" w:rsidRDefault="0078503C" w:rsidP="006D5A65">
      <w:pPr>
        <w:pStyle w:val="Heading1"/>
        <w:rPr>
          <w:szCs w:val="24"/>
        </w:rPr>
      </w:pPr>
      <w:r w:rsidRPr="000665B0">
        <w:lastRenderedPageBreak/>
        <w:t>Change to the desired number of uses</w:t>
      </w:r>
      <w:r w:rsidR="008A78D9" w:rsidRPr="000665B0">
        <w:t xml:space="preserve"> (0 to 256)</w:t>
      </w:r>
      <w:r w:rsidRPr="000665B0">
        <w:t xml:space="preserve"> and click OK.</w:t>
      </w:r>
    </w:p>
    <w:p w14:paraId="61A85AC4" w14:textId="77777777" w:rsidR="008A78D9" w:rsidRPr="000665B0" w:rsidRDefault="008A78D9"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12AF038C" w14:textId="77777777" w:rsidR="008A78D9" w:rsidRPr="000665B0" w:rsidRDefault="008A78D9" w:rsidP="00172AD0">
      <w:pPr>
        <w:pStyle w:val="BodyText"/>
        <w:keepNext/>
        <w:tabs>
          <w:tab w:val="left" w:pos="720"/>
        </w:tabs>
        <w:spacing w:after="120"/>
      </w:pPr>
      <w:r w:rsidRPr="000665B0">
        <w:t>To remove Use Rates:</w:t>
      </w:r>
    </w:p>
    <w:p w14:paraId="5F27CC60" w14:textId="77777777" w:rsidR="008A78D9" w:rsidRPr="000665B0" w:rsidRDefault="008A78D9" w:rsidP="006D5A65">
      <w:pPr>
        <w:pStyle w:val="Heading1"/>
      </w:pPr>
      <w:r w:rsidRPr="000665B0">
        <w:t>Select the desired Use Rate in the list view.</w:t>
      </w:r>
    </w:p>
    <w:p w14:paraId="14D879C3" w14:textId="72448F7A" w:rsidR="008A78D9" w:rsidRPr="000665B0" w:rsidRDefault="008A78D9" w:rsidP="006D5A65">
      <w:pPr>
        <w:pStyle w:val="Heading1"/>
        <w:rPr>
          <w:szCs w:val="24"/>
        </w:rPr>
      </w:pPr>
      <w:r w:rsidRPr="000665B0">
        <w:t>Invoke the context menu (</w:t>
      </w:r>
      <w:r w:rsidR="00D71804" w:rsidRPr="000665B0">
        <w:t>right-click</w:t>
      </w:r>
      <w:r w:rsidRPr="000665B0">
        <w:t xml:space="preserve"> the mouse) and select Remove.</w:t>
      </w:r>
    </w:p>
    <w:p w14:paraId="4FC3DD1E" w14:textId="77777777" w:rsidR="008A78D9" w:rsidRPr="000665B0" w:rsidRDefault="008A78D9"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00483A12" w:rsidRPr="000665B0">
        <w:t xml:space="preserve"> pull down m</w:t>
      </w:r>
      <w:r w:rsidR="00701FA9" w:rsidRPr="000665B0">
        <w:t>enu.</w:t>
      </w:r>
    </w:p>
    <w:p w14:paraId="4FD8E5CF" w14:textId="43FB970F" w:rsidR="006045AC" w:rsidRPr="006654C6" w:rsidRDefault="00BB197D" w:rsidP="006654C6">
      <w:pPr>
        <w:tabs>
          <w:tab w:val="left" w:pos="720"/>
        </w:tabs>
      </w:pPr>
      <w:r w:rsidRPr="000665B0">
        <w:t xml:space="preserve">As in other list views, </w:t>
      </w:r>
      <w:r w:rsidR="00151C40" w:rsidRPr="000665B0">
        <w:t xml:space="preserve">items can be selected to </w:t>
      </w:r>
      <w:r w:rsidRPr="000665B0">
        <w:t xml:space="preserve">Display Textually (see </w:t>
      </w:r>
      <w:hyperlink w:anchor="_5.2.1.2.4__Display_1" w:history="1">
        <w:r w:rsidRPr="000665B0">
          <w:rPr>
            <w:rStyle w:val="Hyperlink"/>
          </w:rPr>
          <w:t>Section 5.2.1.2.4</w:t>
        </w:r>
      </w:hyperlink>
      <w:r w:rsidRPr="000665B0">
        <w:rPr>
          <w:rStyle w:val="Hyperlink"/>
        </w:rPr>
        <w:t>)</w:t>
      </w:r>
      <w:r w:rsidRPr="000665B0">
        <w:t xml:space="preserve">, Display Geographically (see </w:t>
      </w:r>
      <w:hyperlink w:anchor="_5.2.1.2.2__Display_1" w:history="1">
        <w:r w:rsidRPr="000665B0">
          <w:rPr>
            <w:rStyle w:val="Hyperlink"/>
          </w:rPr>
          <w:t>Section 5.2.1.2.2</w:t>
        </w:r>
      </w:hyperlink>
      <w:r w:rsidRPr="000665B0">
        <w:rPr>
          <w:rStyle w:val="Hyperlink"/>
        </w:rPr>
        <w:t>)</w:t>
      </w:r>
      <w:r w:rsidRPr="000665B0">
        <w:t xml:space="preserve">, Display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0665B0">
        <w:rPr>
          <w:rStyle w:val="Hyperlink"/>
        </w:rPr>
        <w:t>)</w:t>
      </w:r>
      <w:r w:rsidRPr="000665B0">
        <w:t>.</w:t>
      </w:r>
      <w:bookmarkStart w:id="6306" w:name="_Missions_Tab"/>
      <w:bookmarkStart w:id="6307" w:name="_Toc164499440"/>
      <w:bookmarkStart w:id="6308" w:name="_Toc289328863"/>
      <w:bookmarkEnd w:id="6306"/>
    </w:p>
    <w:p w14:paraId="25011899" w14:textId="63B5C87A" w:rsidR="0078503C" w:rsidRPr="000665B0" w:rsidRDefault="0078503C" w:rsidP="00475F4F">
      <w:pPr>
        <w:pStyle w:val="Heading5"/>
        <w:keepLines/>
        <w:tabs>
          <w:tab w:val="left" w:pos="720"/>
        </w:tabs>
      </w:pPr>
      <w:r w:rsidRPr="000665B0">
        <w:t>Missions Tab</w:t>
      </w:r>
      <w:bookmarkEnd w:id="6302"/>
      <w:bookmarkEnd w:id="6303"/>
      <w:bookmarkEnd w:id="6304"/>
      <w:bookmarkEnd w:id="6307"/>
      <w:bookmarkEnd w:id="6308"/>
    </w:p>
    <w:bookmarkEnd w:id="6305"/>
    <w:p w14:paraId="36195ED4" w14:textId="3E3850FB" w:rsidR="00840484" w:rsidRPr="000665B0" w:rsidRDefault="0078503C" w:rsidP="00474A1F">
      <w:pPr>
        <w:tabs>
          <w:tab w:val="left" w:pos="720"/>
        </w:tabs>
      </w:pPr>
      <w:r w:rsidRPr="000665B0">
        <w:t xml:space="preserve">The </w:t>
      </w:r>
      <w:r w:rsidRPr="000665B0">
        <w:rPr>
          <w:b/>
          <w:bCs/>
          <w:i/>
        </w:rPr>
        <w:t>Missions</w:t>
      </w:r>
      <w:r w:rsidRPr="000665B0">
        <w:t xml:space="preserve"> tab is </w:t>
      </w:r>
      <w:r w:rsidR="00516B61" w:rsidRPr="000665B0">
        <w:t xml:space="preserve">used to further </w:t>
      </w:r>
      <w:r w:rsidRPr="000665B0">
        <w:t xml:space="preserve">filter Missions and reserve </w:t>
      </w:r>
      <w:r w:rsidR="00516B61" w:rsidRPr="000665B0">
        <w:t xml:space="preserve">Missions </w:t>
      </w:r>
      <w:r w:rsidRPr="000665B0">
        <w:t xml:space="preserve">to be executed in this strike. </w:t>
      </w:r>
      <w:r w:rsidR="00516B61" w:rsidRPr="000665B0">
        <w:t xml:space="preserve">Missions must be present in the parent Strike Folder in order to be considered. </w:t>
      </w:r>
      <w:r w:rsidRPr="000665B0">
        <w:t xml:space="preserve">This </w:t>
      </w:r>
      <w:r w:rsidR="00516B61" w:rsidRPr="000665B0">
        <w:t>window displays</w:t>
      </w:r>
      <w:r w:rsidRPr="000665B0">
        <w:t xml:space="preserve"> the same information that is in the Mission Candidates Matrix</w:t>
      </w:r>
      <w:r w:rsidR="00840484" w:rsidRPr="000665B0">
        <w:t xml:space="preserve"> and is composed of the same three panes: </w:t>
      </w:r>
      <w:r w:rsidR="00840484" w:rsidRPr="000665B0">
        <w:rPr>
          <w:b/>
        </w:rPr>
        <w:t>Filters</w:t>
      </w:r>
      <w:r w:rsidR="00840484" w:rsidRPr="000665B0">
        <w:t xml:space="preserve">, </w:t>
      </w:r>
      <w:r w:rsidR="00840484" w:rsidRPr="000665B0">
        <w:rPr>
          <w:b/>
        </w:rPr>
        <w:t>Taskings</w:t>
      </w:r>
      <w:r w:rsidR="00840484" w:rsidRPr="000665B0">
        <w:t xml:space="preserve">, and </w:t>
      </w:r>
      <w:r w:rsidR="00840484" w:rsidRPr="000665B0">
        <w:rPr>
          <w:b/>
        </w:rPr>
        <w:t>Candidates</w:t>
      </w:r>
      <w:r w:rsidR="00840484" w:rsidRPr="000665B0">
        <w:t>.</w:t>
      </w:r>
      <w:r w:rsidR="00CE3518" w:rsidRPr="000665B0">
        <w:t xml:space="preserve"> In addition, the window also displays the </w:t>
      </w:r>
      <w:r w:rsidR="00CE3518" w:rsidRPr="000665B0">
        <w:rPr>
          <w:b/>
        </w:rPr>
        <w:t>TSN Strategy</w:t>
      </w:r>
      <w:r w:rsidR="00CE3518" w:rsidRPr="000665B0">
        <w:t xml:space="preserve"> of either ACA First, ACA Only, DAMA First, or DAMA Only.</w:t>
      </w:r>
    </w:p>
    <w:p w14:paraId="0657BC2B" w14:textId="10036BE2" w:rsidR="00840484" w:rsidRPr="000665B0" w:rsidRDefault="00F523A9" w:rsidP="00474A1F">
      <w:pPr>
        <w:tabs>
          <w:tab w:val="left" w:pos="720"/>
        </w:tabs>
        <w:jc w:val="center"/>
      </w:pPr>
      <w:r w:rsidRPr="000665B0">
        <w:rPr>
          <w:noProof/>
        </w:rPr>
        <w:drawing>
          <wp:inline distT="0" distB="0" distL="0" distR="0" wp14:anchorId="6AC30E8F" wp14:editId="5FE1601E">
            <wp:extent cx="4983480" cy="2395728"/>
            <wp:effectExtent l="0" t="0" r="0" b="0"/>
            <wp:docPr id="2207" name="Picture 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2395728"/>
                    </a:xfrm>
                    <a:prstGeom prst="rect">
                      <a:avLst/>
                    </a:prstGeom>
                  </pic:spPr>
                </pic:pic>
              </a:graphicData>
            </a:graphic>
          </wp:inline>
        </w:drawing>
      </w:r>
    </w:p>
    <w:p w14:paraId="6EDA663B" w14:textId="609A5B13" w:rsidR="0078503C" w:rsidRPr="000665B0" w:rsidRDefault="00516B61" w:rsidP="00474A1F">
      <w:pPr>
        <w:pStyle w:val="BodyText"/>
        <w:tabs>
          <w:tab w:val="left" w:pos="720"/>
        </w:tabs>
        <w:spacing w:after="120"/>
      </w:pPr>
      <w:r w:rsidRPr="000665B0">
        <w:t xml:space="preserve">In the </w:t>
      </w:r>
      <w:r w:rsidRPr="000665B0">
        <w:rPr>
          <w:b/>
        </w:rPr>
        <w:t>Filters</w:t>
      </w:r>
      <w:r w:rsidRPr="000665B0">
        <w:t xml:space="preserve"> pane, t</w:t>
      </w:r>
      <w:r w:rsidR="0078503C" w:rsidRPr="000665B0">
        <w:t xml:space="preserve">he </w:t>
      </w:r>
      <w:r w:rsidR="0078503C" w:rsidRPr="000665B0">
        <w:rPr>
          <w:b/>
          <w:i/>
        </w:rPr>
        <w:t>Mission Libraries</w:t>
      </w:r>
      <w:r w:rsidR="0078503C" w:rsidRPr="000665B0">
        <w:t xml:space="preserve"> </w:t>
      </w:r>
      <w:r w:rsidRPr="000665B0">
        <w:t>tab</w:t>
      </w:r>
      <w:r w:rsidR="0078503C" w:rsidRPr="000665B0">
        <w:t xml:space="preserve"> contains all the Mission Libraries </w:t>
      </w:r>
      <w:r w:rsidRPr="000665B0">
        <w:t xml:space="preserve">that were previously </w:t>
      </w:r>
      <w:r w:rsidR="0078503C" w:rsidRPr="000665B0">
        <w:t>added to the Mission Candidates Matrix. These libraries are read-only (</w:t>
      </w:r>
      <w:r w:rsidR="00A55173" w:rsidRPr="000665B0">
        <w:t>gray</w:t>
      </w:r>
      <w:r w:rsidR="0078503C" w:rsidRPr="000665B0">
        <w:t xml:space="preserve"> check boxes</w:t>
      </w:r>
      <w:r w:rsidR="00D56821" w:rsidRPr="000665B0">
        <w:t>) and</w:t>
      </w:r>
      <w:r w:rsidRPr="000665B0">
        <w:t xml:space="preserve"> retain the activation/deactivation setting from the Mission Candidates Matrix. The </w:t>
      </w:r>
      <w:r w:rsidR="00576C13" w:rsidRPr="000665B0">
        <w:t>L</w:t>
      </w:r>
      <w:r w:rsidR="0078503C" w:rsidRPr="000665B0">
        <w:t>ibraries</w:t>
      </w:r>
      <w:r w:rsidR="00576C13" w:rsidRPr="000665B0">
        <w:t>’ activation status</w:t>
      </w:r>
      <w:r w:rsidR="0078503C" w:rsidRPr="000665B0">
        <w:t xml:space="preserve"> may NOT be</w:t>
      </w:r>
      <w:r w:rsidR="00576C13" w:rsidRPr="000665B0">
        <w:t xml:space="preserve"> changed, nor can libraries be</w:t>
      </w:r>
      <w:r w:rsidR="0078503C" w:rsidRPr="000665B0">
        <w:t xml:space="preserve"> added</w:t>
      </w:r>
      <w:r w:rsidR="00576C13" w:rsidRPr="000665B0">
        <w:t xml:space="preserve"> or</w:t>
      </w:r>
      <w:r w:rsidR="0078503C" w:rsidRPr="000665B0">
        <w:t xml:space="preserve"> removed</w:t>
      </w:r>
      <w:r w:rsidR="00576C13" w:rsidRPr="000665B0">
        <w:t>.</w:t>
      </w:r>
    </w:p>
    <w:p w14:paraId="4B90D081" w14:textId="732F44FF" w:rsidR="0078503C" w:rsidRPr="000665B0" w:rsidRDefault="00576C13" w:rsidP="00474A1F">
      <w:pPr>
        <w:pStyle w:val="BodyText"/>
        <w:tabs>
          <w:tab w:val="left" w:pos="720"/>
        </w:tabs>
        <w:spacing w:after="120"/>
      </w:pPr>
      <w:r w:rsidRPr="000665B0">
        <w:t xml:space="preserve">In the </w:t>
      </w:r>
      <w:r w:rsidRPr="000665B0">
        <w:rPr>
          <w:b/>
        </w:rPr>
        <w:t>Filters</w:t>
      </w:r>
      <w:r w:rsidRPr="000665B0">
        <w:t xml:space="preserve"> pane, t</w:t>
      </w:r>
      <w:r w:rsidR="0078503C" w:rsidRPr="000665B0">
        <w:t xml:space="preserve">he </w:t>
      </w:r>
      <w:r w:rsidR="0078503C" w:rsidRPr="000665B0">
        <w:rPr>
          <w:b/>
          <w:i/>
        </w:rPr>
        <w:t>Mission Queries</w:t>
      </w:r>
      <w:r w:rsidRPr="000665B0">
        <w:t xml:space="preserve"> tab</w:t>
      </w:r>
      <w:r w:rsidR="0078503C" w:rsidRPr="000665B0">
        <w:t xml:space="preserve"> contains all the Mission Queries </w:t>
      </w:r>
      <w:r w:rsidRPr="000665B0">
        <w:t xml:space="preserve">that were previously </w:t>
      </w:r>
      <w:r w:rsidR="0078503C" w:rsidRPr="000665B0">
        <w:t xml:space="preserve">added to </w:t>
      </w:r>
      <w:r w:rsidR="00E66D24" w:rsidRPr="000665B0">
        <w:t xml:space="preserve">the Mission Candidates Matrix. </w:t>
      </w:r>
      <w:r w:rsidRPr="000665B0">
        <w:t>These Mission Queries are read-only (gray check boxes</w:t>
      </w:r>
      <w:r w:rsidR="004404E5" w:rsidRPr="000665B0">
        <w:t>) and</w:t>
      </w:r>
      <w:r w:rsidRPr="000665B0">
        <w:t xml:space="preserve"> retain the activation/deactivation setting from the Mission Candidates Matrix. The Queries’ activation status may NOT be changed, nor can they be removed. However, a</w:t>
      </w:r>
      <w:r w:rsidR="0078503C" w:rsidRPr="000665B0">
        <w:t xml:space="preserve">dditional queries may be </w:t>
      </w:r>
      <w:r w:rsidR="004404E5" w:rsidRPr="000665B0">
        <w:t>added,</w:t>
      </w:r>
      <w:r w:rsidRPr="000665B0">
        <w:t xml:space="preserve"> and new queries can be created</w:t>
      </w:r>
      <w:r w:rsidR="0078503C" w:rsidRPr="000665B0">
        <w:t xml:space="preserve">. The additional </w:t>
      </w:r>
      <w:r w:rsidRPr="000665B0">
        <w:t xml:space="preserve">Queries </w:t>
      </w:r>
      <w:r w:rsidR="0078503C" w:rsidRPr="000665B0">
        <w:t xml:space="preserve">may be </w:t>
      </w:r>
      <w:r w:rsidR="0078503C" w:rsidRPr="000665B0">
        <w:lastRenderedPageBreak/>
        <w:t>removed and updated (non-</w:t>
      </w:r>
      <w:r w:rsidR="00A55173" w:rsidRPr="000665B0">
        <w:t>gray</w:t>
      </w:r>
      <w:r w:rsidR="0078503C" w:rsidRPr="000665B0">
        <w:t xml:space="preserve"> check boxes)</w:t>
      </w:r>
      <w:r w:rsidRPr="000665B0">
        <w:t xml:space="preserve"> and behave in the same manner as in the Mission Candidates Matrix</w:t>
      </w:r>
      <w:r w:rsidR="0078503C" w:rsidRPr="000665B0">
        <w:t>.</w:t>
      </w:r>
      <w:r w:rsidR="00A271D7" w:rsidRPr="000665B0">
        <w:t xml:space="preserve"> To add or create Queries, see </w:t>
      </w:r>
      <w:hyperlink w:anchor="_5.37.4.1.2__Mission" w:history="1">
        <w:r w:rsidR="009326FE" w:rsidRPr="000665B0">
          <w:rPr>
            <w:rStyle w:val="Hyperlink"/>
          </w:rPr>
          <w:t xml:space="preserve">Section </w:t>
        </w:r>
        <w:r w:rsidR="004231CC">
          <w:rPr>
            <w:rStyle w:val="Hyperlink"/>
          </w:rPr>
          <w:t>5.34</w:t>
        </w:r>
        <w:r w:rsidR="00A271D7" w:rsidRPr="000665B0">
          <w:rPr>
            <w:rStyle w:val="Hyperlink"/>
          </w:rPr>
          <w:t>.</w:t>
        </w:r>
        <w:r w:rsidR="0089269C" w:rsidRPr="000665B0">
          <w:rPr>
            <w:rStyle w:val="Hyperlink"/>
          </w:rPr>
          <w:t>5</w:t>
        </w:r>
        <w:r w:rsidR="00A271D7" w:rsidRPr="000665B0">
          <w:rPr>
            <w:rStyle w:val="Hyperlink"/>
          </w:rPr>
          <w:t>.1.2</w:t>
        </w:r>
      </w:hyperlink>
      <w:r w:rsidR="00A271D7" w:rsidRPr="000665B0">
        <w:t>.</w:t>
      </w:r>
    </w:p>
    <w:p w14:paraId="0D9BD46F" w14:textId="24089ABA" w:rsidR="00840484" w:rsidRPr="000665B0" w:rsidRDefault="00840484" w:rsidP="00474A1F">
      <w:pPr>
        <w:pStyle w:val="BodyText"/>
        <w:tabs>
          <w:tab w:val="left" w:pos="720"/>
        </w:tabs>
        <w:spacing w:after="120"/>
      </w:pPr>
      <w:r w:rsidRPr="000665B0">
        <w:t xml:space="preserve">The </w:t>
      </w:r>
      <w:r w:rsidRPr="000665B0">
        <w:rPr>
          <w:b/>
        </w:rPr>
        <w:t>Taskings</w:t>
      </w:r>
      <w:r w:rsidRPr="000665B0">
        <w:t xml:space="preserve"> pane items behave in the same manner as in the </w:t>
      </w:r>
      <w:r w:rsidR="002B5647" w:rsidRPr="000665B0">
        <w:t xml:space="preserve">Mission </w:t>
      </w:r>
      <w:r w:rsidRPr="000665B0">
        <w:t>Candidates matrix</w:t>
      </w:r>
      <w:r w:rsidR="008B6FED" w:rsidRPr="000665B0">
        <w:t xml:space="preserve"> (s</w:t>
      </w:r>
      <w:r w:rsidRPr="000665B0">
        <w:t xml:space="preserve">ee </w:t>
      </w:r>
      <w:hyperlink w:anchor="_5.37.4.2__Taskings" w:history="1">
        <w:r w:rsidR="009326FE" w:rsidRPr="000665B0">
          <w:rPr>
            <w:rStyle w:val="Hyperlink"/>
          </w:rPr>
          <w:t xml:space="preserve">Section </w:t>
        </w:r>
        <w:r w:rsidR="004231CC">
          <w:rPr>
            <w:rStyle w:val="Hyperlink"/>
          </w:rPr>
          <w:t>5.34</w:t>
        </w:r>
        <w:r w:rsidRPr="000665B0">
          <w:rPr>
            <w:rStyle w:val="Hyperlink"/>
          </w:rPr>
          <w:t>.</w:t>
        </w:r>
        <w:r w:rsidR="0089269C" w:rsidRPr="000665B0">
          <w:rPr>
            <w:rStyle w:val="Hyperlink"/>
          </w:rPr>
          <w:t>5</w:t>
        </w:r>
        <w:r w:rsidRPr="000665B0">
          <w:rPr>
            <w:rStyle w:val="Hyperlink"/>
          </w:rPr>
          <w:t>.2</w:t>
        </w:r>
      </w:hyperlink>
      <w:r w:rsidR="008B6FED" w:rsidRPr="000665B0">
        <w:t>)</w:t>
      </w:r>
      <w:r w:rsidRPr="000665B0">
        <w:t>.</w:t>
      </w:r>
    </w:p>
    <w:p w14:paraId="2E316B8F" w14:textId="08F9F012" w:rsidR="00840484" w:rsidRPr="000665B0" w:rsidRDefault="00840484" w:rsidP="00474A1F">
      <w:pPr>
        <w:pStyle w:val="BodyText"/>
        <w:tabs>
          <w:tab w:val="left" w:pos="720"/>
        </w:tabs>
        <w:spacing w:before="120" w:after="120"/>
        <w:rPr>
          <w:noProof/>
        </w:rPr>
      </w:pPr>
      <w:r w:rsidRPr="000665B0">
        <w:t xml:space="preserve">The </w:t>
      </w:r>
      <w:r w:rsidRPr="000665B0">
        <w:rPr>
          <w:b/>
        </w:rPr>
        <w:t>Candidates</w:t>
      </w:r>
      <w:r w:rsidRPr="000665B0">
        <w:t xml:space="preserve"> pane</w:t>
      </w:r>
      <w:r w:rsidRPr="000665B0" w:rsidDel="00576C13">
        <w:rPr>
          <w:noProof/>
        </w:rPr>
        <w:t xml:space="preserve"> </w:t>
      </w:r>
      <w:r w:rsidR="008B6FED" w:rsidRPr="000665B0">
        <w:rPr>
          <w:noProof/>
        </w:rPr>
        <w:t xml:space="preserve">items behave in the same manner as in the </w:t>
      </w:r>
      <w:r w:rsidR="002B5647" w:rsidRPr="000665B0">
        <w:rPr>
          <w:noProof/>
        </w:rPr>
        <w:t xml:space="preserve">Mission </w:t>
      </w:r>
      <w:r w:rsidR="008B6FED" w:rsidRPr="000665B0">
        <w:rPr>
          <w:noProof/>
        </w:rPr>
        <w:t xml:space="preserve">Candidates matrix (see </w:t>
      </w:r>
      <w:hyperlink w:anchor="_5.37.4.3__Candidates" w:history="1">
        <w:r w:rsidR="009326FE" w:rsidRPr="000665B0">
          <w:rPr>
            <w:rStyle w:val="Hyperlink"/>
            <w:noProof/>
          </w:rPr>
          <w:t xml:space="preserve">Section </w:t>
        </w:r>
        <w:r w:rsidR="004231CC">
          <w:rPr>
            <w:rStyle w:val="Hyperlink"/>
            <w:noProof/>
          </w:rPr>
          <w:t>5.34</w:t>
        </w:r>
        <w:r w:rsidR="008B6FED" w:rsidRPr="000665B0">
          <w:rPr>
            <w:rStyle w:val="Hyperlink"/>
            <w:noProof/>
          </w:rPr>
          <w:t>.</w:t>
        </w:r>
        <w:r w:rsidR="0089269C" w:rsidRPr="000665B0">
          <w:rPr>
            <w:rStyle w:val="Hyperlink"/>
            <w:noProof/>
          </w:rPr>
          <w:t>5</w:t>
        </w:r>
        <w:r w:rsidR="008B6FED" w:rsidRPr="000665B0">
          <w:rPr>
            <w:rStyle w:val="Hyperlink"/>
            <w:noProof/>
          </w:rPr>
          <w:t>.3</w:t>
        </w:r>
      </w:hyperlink>
      <w:r w:rsidR="008B6FED" w:rsidRPr="000665B0">
        <w:rPr>
          <w:noProof/>
        </w:rPr>
        <w:t xml:space="preserve">). </w:t>
      </w:r>
      <w:r w:rsidR="00084372" w:rsidRPr="000665B0">
        <w:rPr>
          <w:noProof/>
        </w:rPr>
        <w:t xml:space="preserve">Unlike the Mission Candidates matrix, the strike option’s Candidates pane also displays reservations counts for Primary, Backup, Ready Spare, Auto Ready Spare, Backup Pool, and Total. </w:t>
      </w:r>
      <w:r w:rsidR="007A2631" w:rsidRPr="000665B0">
        <w:t xml:space="preserve">An </w:t>
      </w:r>
      <w:r w:rsidR="007A2631" w:rsidRPr="000665B0">
        <w:rPr>
          <w:b/>
        </w:rPr>
        <w:t>X</w:t>
      </w:r>
      <w:r w:rsidR="007A2631" w:rsidRPr="000665B0">
        <w:t xml:space="preserve"> in the </w:t>
      </w:r>
      <w:r w:rsidR="007A2631" w:rsidRPr="000665B0">
        <w:rPr>
          <w:b/>
        </w:rPr>
        <w:t>Fine Alignment</w:t>
      </w:r>
      <w:r w:rsidR="007A2631" w:rsidRPr="000665B0">
        <w:t xml:space="preserve"> column indicates that the Inertial Navigation System (INS) in the AUR requires </w:t>
      </w:r>
      <w:r w:rsidR="00C44B2E" w:rsidRPr="000665B0">
        <w:t>Fine A</w:t>
      </w:r>
      <w:r w:rsidR="007A2631" w:rsidRPr="000665B0">
        <w:t xml:space="preserve">lignment, prior to launch from a FRU. </w:t>
      </w:r>
      <w:r w:rsidR="007A2631" w:rsidRPr="000665B0">
        <w:rPr>
          <w:noProof/>
        </w:rPr>
        <w:t xml:space="preserve">Fine Alignment is required for A2AD </w:t>
      </w:r>
      <w:r w:rsidR="00C44B2E" w:rsidRPr="000665B0">
        <w:rPr>
          <w:noProof/>
        </w:rPr>
        <w:t>n</w:t>
      </w:r>
      <w:r w:rsidR="007A2631" w:rsidRPr="000665B0">
        <w:rPr>
          <w:noProof/>
        </w:rPr>
        <w:t xml:space="preserve">avigation, which is used for missile type 109E when GPS is not required, and TERCOM and DSMAC are both required. Coarse Alignment is indicated by a blank in the </w:t>
      </w:r>
      <w:r w:rsidR="007A2631" w:rsidRPr="000665B0">
        <w:rPr>
          <w:b/>
          <w:noProof/>
        </w:rPr>
        <w:t>Fine Alignment</w:t>
      </w:r>
      <w:r w:rsidR="007A2631" w:rsidRPr="000665B0">
        <w:rPr>
          <w:noProof/>
        </w:rPr>
        <w:t xml:space="preserve"> field, which is sufficient for GPS-required misisons.</w:t>
      </w:r>
      <w:r w:rsidR="00C44B2E" w:rsidRPr="000665B0">
        <w:rPr>
          <w:noProof/>
        </w:rPr>
        <w:t xml:space="preserve"> </w:t>
      </w:r>
      <w:r w:rsidR="008B6FED" w:rsidRPr="000665B0">
        <w:rPr>
          <w:noProof/>
        </w:rPr>
        <w:t>In add</w:t>
      </w:r>
      <w:r w:rsidR="002B53B8" w:rsidRPr="000665B0">
        <w:rPr>
          <w:noProof/>
        </w:rPr>
        <w:t>i</w:t>
      </w:r>
      <w:r w:rsidR="008B6FED" w:rsidRPr="000665B0">
        <w:rPr>
          <w:noProof/>
        </w:rPr>
        <w:t>tion, the following functions can be performed.</w:t>
      </w:r>
    </w:p>
    <w:p w14:paraId="38F8207F" w14:textId="22B81BE2" w:rsidR="0078503C" w:rsidRPr="000665B0" w:rsidRDefault="008B6FED" w:rsidP="00474A1F">
      <w:pPr>
        <w:pStyle w:val="BodyText"/>
        <w:tabs>
          <w:tab w:val="left" w:pos="720"/>
        </w:tabs>
        <w:spacing w:before="120" w:after="120"/>
      </w:pPr>
      <w:r w:rsidRPr="000665B0">
        <w:rPr>
          <w:bCs/>
        </w:rPr>
        <w:t xml:space="preserve">On the </w:t>
      </w:r>
      <w:r w:rsidR="0078503C" w:rsidRPr="000665B0">
        <w:rPr>
          <w:b/>
          <w:i/>
        </w:rPr>
        <w:t>Missions</w:t>
      </w:r>
      <w:r w:rsidRPr="000665B0">
        <w:t xml:space="preserve"> tab, Missions</w:t>
      </w:r>
      <w:r w:rsidR="0078503C" w:rsidRPr="000665B0">
        <w:t xml:space="preserve"> can be assigned to </w:t>
      </w:r>
      <w:r w:rsidR="00840484" w:rsidRPr="000665B0">
        <w:t xml:space="preserve">Ghost </w:t>
      </w:r>
      <w:r w:rsidR="0078503C" w:rsidRPr="000665B0">
        <w:t>tasking.</w:t>
      </w:r>
      <w:r w:rsidR="00840484" w:rsidRPr="000665B0">
        <w:t xml:space="preserve"> A Mission </w:t>
      </w:r>
      <w:r w:rsidR="00D71656" w:rsidRPr="000665B0">
        <w:t xml:space="preserve">may be assigned Ghost Tasking if the Mission might be used, but the targets are not currently tasked for immediate execution. The Mission may be quickly assigned later if required. Ghosted Missions are indicated by </w:t>
      </w:r>
      <w:r w:rsidR="00AA77C0" w:rsidRPr="00741172">
        <w:rPr>
          <w:b/>
          <w:bCs/>
        </w:rPr>
        <w:t>X</w:t>
      </w:r>
      <w:r w:rsidR="00AA77C0">
        <w:t xml:space="preserve"> </w:t>
      </w:r>
      <w:r w:rsidR="00D71656" w:rsidRPr="000665B0">
        <w:t xml:space="preserve">in the </w:t>
      </w:r>
      <w:r w:rsidR="00D71656" w:rsidRPr="000665B0">
        <w:rPr>
          <w:b/>
        </w:rPr>
        <w:t>Ghosted</w:t>
      </w:r>
      <w:r w:rsidR="00D71656" w:rsidRPr="000665B0">
        <w:t xml:space="preserve"> column.</w:t>
      </w:r>
    </w:p>
    <w:p w14:paraId="22036FEC" w14:textId="77777777" w:rsidR="0078503C" w:rsidRPr="000665B0" w:rsidRDefault="0078503C" w:rsidP="00474A1F">
      <w:pPr>
        <w:pStyle w:val="BodyText"/>
        <w:tabs>
          <w:tab w:val="left" w:pos="720"/>
        </w:tabs>
        <w:spacing w:after="120"/>
      </w:pPr>
      <w:r w:rsidRPr="000665B0">
        <w:t xml:space="preserve">To assign missions to </w:t>
      </w:r>
      <w:r w:rsidRPr="000665B0">
        <w:rPr>
          <w:b/>
        </w:rPr>
        <w:t>Ghost</w:t>
      </w:r>
      <w:r w:rsidRPr="000665B0">
        <w:t xml:space="preserve">: </w:t>
      </w:r>
    </w:p>
    <w:p w14:paraId="78E964A8" w14:textId="59FE78B1" w:rsidR="002E5250" w:rsidRPr="000665B0" w:rsidRDefault="00AE1AF2" w:rsidP="006D5A65">
      <w:pPr>
        <w:pStyle w:val="Heading1"/>
      </w:pPr>
      <w:r w:rsidRPr="000665B0">
        <w:t>In the Candidates pane, s</w:t>
      </w:r>
      <w:r w:rsidR="0078503C" w:rsidRPr="000665B0">
        <w:t>elect the</w:t>
      </w:r>
      <w:r w:rsidRPr="000665B0">
        <w:t xml:space="preserve"> desired</w:t>
      </w:r>
      <w:r w:rsidR="0078503C" w:rsidRPr="000665B0">
        <w:t xml:space="preserve"> </w:t>
      </w:r>
      <w:r w:rsidR="00D71656" w:rsidRPr="000665B0">
        <w:t>Mission</w:t>
      </w:r>
      <w:r w:rsidR="0078503C" w:rsidRPr="000665B0">
        <w:t>(s)</w:t>
      </w:r>
      <w:r w:rsidRPr="000665B0">
        <w:t>, invoke the context menu (</w:t>
      </w:r>
      <w:r w:rsidR="00D71804" w:rsidRPr="000665B0">
        <w:t>right-click</w:t>
      </w:r>
      <w:r w:rsidRPr="000665B0">
        <w:t xml:space="preserve"> the mouse</w:t>
      </w:r>
      <w:r w:rsidR="00A65089" w:rsidRPr="000665B0">
        <w:t>)</w:t>
      </w:r>
      <w:r w:rsidRPr="000665B0">
        <w:t>, and select Assign Ghost.</w:t>
      </w:r>
      <w:r w:rsidR="00EF1B82">
        <w:t xml:space="preserve"> </w:t>
      </w:r>
      <w:r w:rsidR="002E5250" w:rsidRPr="000665B0">
        <w:t>If any of the Missions selected are</w:t>
      </w:r>
      <w:r w:rsidR="006D2C4D" w:rsidRPr="000665B0">
        <w:t xml:space="preserve"> 109E</w:t>
      </w:r>
      <w:r w:rsidR="002E5250" w:rsidRPr="000665B0">
        <w:t xml:space="preserve"> Missions, a submenu is displayed that requires selection of either ACA or DAMA </w:t>
      </w:r>
      <w:r w:rsidR="00D30BFF" w:rsidRPr="000665B0">
        <w:t xml:space="preserve">TSN Type </w:t>
      </w:r>
      <w:r w:rsidR="002E5250" w:rsidRPr="000665B0">
        <w:t>(the submenu is not displayed if only Block III Missions are selected). Select ACA or DAMA to assign all of the selected</w:t>
      </w:r>
      <w:r w:rsidR="006D2C4D" w:rsidRPr="000665B0">
        <w:t xml:space="preserve"> 109E</w:t>
      </w:r>
      <w:r w:rsidR="002E5250" w:rsidRPr="000665B0">
        <w:t xml:space="preserve"> Missions to that TSN Type. </w:t>
      </w:r>
      <w:r w:rsidR="00484934" w:rsidRPr="000665B0">
        <w:t xml:space="preserve">Note that any selected </w:t>
      </w:r>
      <w:r w:rsidR="002E5250" w:rsidRPr="000665B0">
        <w:t>Block III Missions are not assigned to a TSN Type.</w:t>
      </w:r>
    </w:p>
    <w:p w14:paraId="2CC77C84" w14:textId="7FCA9D77" w:rsidR="002E5250" w:rsidRPr="000665B0" w:rsidRDefault="0076260B" w:rsidP="002E5250">
      <w:pPr>
        <w:pStyle w:val="Number0205"/>
        <w:ind w:left="0" w:firstLine="0"/>
        <w:jc w:val="center"/>
      </w:pPr>
      <w:r w:rsidRPr="000665B0">
        <w:rPr>
          <w:noProof/>
        </w:rPr>
        <w:drawing>
          <wp:inline distT="0" distB="0" distL="0" distR="0" wp14:anchorId="09FB3832" wp14:editId="51C7801E">
            <wp:extent cx="3200400" cy="521208"/>
            <wp:effectExtent l="0" t="0" r="0" b="0"/>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521208"/>
                    </a:xfrm>
                    <a:prstGeom prst="rect">
                      <a:avLst/>
                    </a:prstGeom>
                  </pic:spPr>
                </pic:pic>
              </a:graphicData>
            </a:graphic>
          </wp:inline>
        </w:drawing>
      </w:r>
    </w:p>
    <w:p w14:paraId="27862ABA" w14:textId="77777777" w:rsidR="00CE66DB" w:rsidRPr="000665B0" w:rsidRDefault="00CE66DB" w:rsidP="00CE66DB">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bCs/>
        </w:rPr>
      </w:pPr>
      <w:r w:rsidRPr="000665B0">
        <w:rPr>
          <w:b/>
          <w:bCs/>
        </w:rPr>
        <w:t xml:space="preserve">Note: </w:t>
      </w:r>
    </w:p>
    <w:p w14:paraId="365C5779" w14:textId="601E6853" w:rsidR="00857E6B" w:rsidRPr="000665B0" w:rsidRDefault="00857E6B" w:rsidP="00857E6B">
      <w:pPr>
        <w:pBdr>
          <w:top w:val="single" w:sz="12" w:space="1" w:color="auto"/>
          <w:left w:val="single" w:sz="12" w:space="4" w:color="auto"/>
          <w:bottom w:val="single" w:sz="12" w:space="1" w:color="auto"/>
          <w:right w:val="single" w:sz="12" w:space="4" w:color="auto"/>
        </w:pBdr>
        <w:shd w:val="clear" w:color="auto" w:fill="D9D9D9"/>
        <w:tabs>
          <w:tab w:val="left" w:pos="720"/>
        </w:tabs>
        <w:jc w:val="center"/>
        <w:rPr>
          <w:b/>
          <w:bCs/>
        </w:rPr>
      </w:pPr>
      <w:r w:rsidRPr="000665B0">
        <w:rPr>
          <w:b/>
          <w:bCs/>
        </w:rPr>
        <w:t>The</w:t>
      </w:r>
      <w:r w:rsidR="00B55423" w:rsidRPr="000665B0">
        <w:rPr>
          <w:b/>
          <w:bCs/>
        </w:rPr>
        <w:t>re is a limitation associated with</w:t>
      </w:r>
      <w:r w:rsidRPr="000665B0">
        <w:rPr>
          <w:b/>
          <w:bCs/>
        </w:rPr>
        <w:t xml:space="preserve"> </w:t>
      </w:r>
      <w:r w:rsidR="001A107C" w:rsidRPr="000665B0">
        <w:rPr>
          <w:b/>
          <w:bCs/>
        </w:rPr>
        <w:t xml:space="preserve">109E </w:t>
      </w:r>
      <w:r w:rsidR="00156904" w:rsidRPr="000665B0">
        <w:rPr>
          <w:b/>
          <w:bCs/>
        </w:rPr>
        <w:t>missions assigned to Ghost tasking</w:t>
      </w:r>
      <w:r w:rsidR="00B55423" w:rsidRPr="000665B0">
        <w:rPr>
          <w:b/>
          <w:bCs/>
        </w:rPr>
        <w:t xml:space="preserve"> under the following conditions</w:t>
      </w:r>
      <w:r w:rsidR="00156904" w:rsidRPr="000665B0">
        <w:rPr>
          <w:b/>
          <w:bCs/>
        </w:rPr>
        <w:t>:</w:t>
      </w:r>
    </w:p>
    <w:p w14:paraId="543F5194" w14:textId="00ABA84C" w:rsidR="00156904" w:rsidRPr="000665B0" w:rsidRDefault="00857E6B" w:rsidP="00BB4EBE">
      <w:pPr>
        <w:pBdr>
          <w:top w:val="single" w:sz="12" w:space="1" w:color="auto"/>
          <w:left w:val="single" w:sz="12" w:space="4" w:color="auto"/>
          <w:bottom w:val="single" w:sz="12" w:space="1" w:color="auto"/>
          <w:right w:val="single" w:sz="12" w:space="4" w:color="auto"/>
        </w:pBdr>
        <w:shd w:val="clear" w:color="auto" w:fill="D9D9D9"/>
        <w:tabs>
          <w:tab w:val="left" w:pos="720"/>
        </w:tabs>
        <w:spacing w:after="0"/>
        <w:rPr>
          <w:b/>
          <w:bCs/>
        </w:rPr>
      </w:pPr>
      <w:r w:rsidRPr="000665B0">
        <w:rPr>
          <w:b/>
          <w:bCs/>
        </w:rPr>
        <w:t xml:space="preserve">1. </w:t>
      </w:r>
      <w:r w:rsidR="00156904" w:rsidRPr="000665B0">
        <w:rPr>
          <w:b/>
          <w:bCs/>
        </w:rPr>
        <w:t>A</w:t>
      </w:r>
      <w:r w:rsidRPr="000665B0">
        <w:rPr>
          <w:b/>
          <w:bCs/>
        </w:rPr>
        <w:t xml:space="preserve"> </w:t>
      </w:r>
      <w:r w:rsidR="00156904" w:rsidRPr="000665B0">
        <w:rPr>
          <w:b/>
          <w:bCs/>
        </w:rPr>
        <w:t>109E Mission is assigned to ghost tasking and a TSN Type is selected (</w:t>
      </w:r>
      <w:r w:rsidR="004404E5" w:rsidRPr="000665B0">
        <w:rPr>
          <w:b/>
          <w:bCs/>
        </w:rPr>
        <w:t>e.g.,</w:t>
      </w:r>
      <w:r w:rsidR="00156904" w:rsidRPr="000665B0">
        <w:rPr>
          <w:b/>
          <w:bCs/>
        </w:rPr>
        <w:t xml:space="preserve"> </w:t>
      </w:r>
      <w:r w:rsidR="00795774" w:rsidRPr="000665B0">
        <w:rPr>
          <w:b/>
          <w:bCs/>
        </w:rPr>
        <w:t>DAMA</w:t>
      </w:r>
      <w:r w:rsidR="00156904" w:rsidRPr="000665B0">
        <w:rPr>
          <w:b/>
          <w:bCs/>
        </w:rPr>
        <w:t>).</w:t>
      </w:r>
      <w:r w:rsidR="00156904" w:rsidRPr="000665B0">
        <w:rPr>
          <w:b/>
          <w:bCs/>
        </w:rPr>
        <w:br/>
        <w:t>2. The</w:t>
      </w:r>
      <w:r w:rsidRPr="000665B0">
        <w:rPr>
          <w:b/>
          <w:bCs/>
        </w:rPr>
        <w:t xml:space="preserve"> </w:t>
      </w:r>
      <w:r w:rsidR="00156904" w:rsidRPr="000665B0">
        <w:rPr>
          <w:b/>
          <w:bCs/>
        </w:rPr>
        <w:t>TSN T</w:t>
      </w:r>
      <w:r w:rsidRPr="000665B0">
        <w:rPr>
          <w:b/>
          <w:bCs/>
        </w:rPr>
        <w:t>ype is later changed</w:t>
      </w:r>
      <w:r w:rsidR="00156904" w:rsidRPr="000665B0">
        <w:rPr>
          <w:b/>
          <w:bCs/>
        </w:rPr>
        <w:t xml:space="preserve"> (</w:t>
      </w:r>
      <w:r w:rsidR="004404E5" w:rsidRPr="000665B0">
        <w:rPr>
          <w:b/>
          <w:bCs/>
        </w:rPr>
        <w:t>e.g.,</w:t>
      </w:r>
      <w:r w:rsidR="00156904" w:rsidRPr="000665B0">
        <w:rPr>
          <w:b/>
          <w:bCs/>
        </w:rPr>
        <w:t xml:space="preserve"> switch</w:t>
      </w:r>
      <w:r w:rsidR="00A76EA5" w:rsidRPr="000665B0">
        <w:rPr>
          <w:b/>
          <w:bCs/>
        </w:rPr>
        <w:t>ed</w:t>
      </w:r>
      <w:r w:rsidR="00156904" w:rsidRPr="000665B0">
        <w:rPr>
          <w:b/>
          <w:bCs/>
        </w:rPr>
        <w:t xml:space="preserve"> to </w:t>
      </w:r>
      <w:r w:rsidR="00795774" w:rsidRPr="000665B0">
        <w:rPr>
          <w:b/>
          <w:bCs/>
        </w:rPr>
        <w:t>ACA</w:t>
      </w:r>
      <w:r w:rsidR="00156904" w:rsidRPr="000665B0">
        <w:rPr>
          <w:b/>
          <w:bCs/>
        </w:rPr>
        <w:t>).</w:t>
      </w:r>
      <w:r w:rsidR="00156904" w:rsidRPr="000665B0">
        <w:rPr>
          <w:b/>
          <w:bCs/>
        </w:rPr>
        <w:br/>
        <w:t xml:space="preserve">3. When the Ghost mission is assigned to a FRU, the TSN Type retains the original selection (e.g. </w:t>
      </w:r>
      <w:r w:rsidR="00795774" w:rsidRPr="000665B0">
        <w:rPr>
          <w:b/>
          <w:bCs/>
        </w:rPr>
        <w:t>DAMA</w:t>
      </w:r>
      <w:r w:rsidR="00156904" w:rsidRPr="000665B0">
        <w:rPr>
          <w:b/>
          <w:bCs/>
        </w:rPr>
        <w:t>).</w:t>
      </w:r>
    </w:p>
    <w:p w14:paraId="7C00949D" w14:textId="47B28D7E" w:rsidR="00D71656" w:rsidRPr="000665B0" w:rsidRDefault="006D2C4D" w:rsidP="006D5A65">
      <w:pPr>
        <w:pStyle w:val="Heading1"/>
      </w:pPr>
      <w:r w:rsidRPr="000665B0">
        <w:lastRenderedPageBreak/>
        <w:t>If there are no other assignments in the strike option, the</w:t>
      </w:r>
      <w:r w:rsidR="00D71656" w:rsidRPr="000665B0">
        <w:t xml:space="preserve"> </w:t>
      </w:r>
      <w:r w:rsidR="00D71656" w:rsidRPr="000665B0">
        <w:rPr>
          <w:i/>
        </w:rPr>
        <w:t>Missile’s TOT</w:t>
      </w:r>
      <w:r w:rsidR="00D71656" w:rsidRPr="000665B0">
        <w:t xml:space="preserve"> window is displayed. Enter the Missile’s TOT and click OK.</w:t>
      </w:r>
    </w:p>
    <w:p w14:paraId="3D5241DF" w14:textId="217FCD62" w:rsidR="00701FA9" w:rsidRPr="000665B0" w:rsidRDefault="00695A1D" w:rsidP="002E5250">
      <w:pPr>
        <w:pStyle w:val="Number0205"/>
        <w:ind w:left="0" w:firstLine="0"/>
        <w:jc w:val="center"/>
      </w:pPr>
      <w:r w:rsidRPr="000665B0">
        <w:rPr>
          <w:noProof/>
        </w:rPr>
        <w:drawing>
          <wp:inline distT="0" distB="0" distL="0" distR="0" wp14:anchorId="05E6E0F4" wp14:editId="40410395">
            <wp:extent cx="2286000" cy="1252728"/>
            <wp:effectExtent l="0" t="0" r="0" b="0"/>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286000" cy="1252728"/>
                    </a:xfrm>
                    <a:prstGeom prst="rect">
                      <a:avLst/>
                    </a:prstGeom>
                  </pic:spPr>
                </pic:pic>
              </a:graphicData>
            </a:graphic>
          </wp:inline>
        </w:drawing>
      </w:r>
    </w:p>
    <w:p w14:paraId="7147377D" w14:textId="65F763B4" w:rsidR="00851DB0" w:rsidRPr="000665B0" w:rsidRDefault="00701FA9"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3824B42D" w14:textId="2BC6D534" w:rsidR="001D0070" w:rsidRPr="000665B0" w:rsidRDefault="001D0070" w:rsidP="007911D0">
      <w:r w:rsidRPr="000665B0">
        <w:t xml:space="preserve">To unassign a mission to Ghost Tasking, simply remove the missile in the </w:t>
      </w:r>
      <w:r w:rsidRPr="000665B0">
        <w:rPr>
          <w:i/>
        </w:rPr>
        <w:t>Missile</w:t>
      </w:r>
      <w:r w:rsidRPr="000665B0">
        <w:t xml:space="preserve"> tab that has the trigraph BOO </w:t>
      </w:r>
      <w:r w:rsidR="003306B2" w:rsidRPr="000665B0">
        <w:t xml:space="preserve">(a trigraph assigned for a non-existent or placeholder platform) </w:t>
      </w:r>
      <w:r w:rsidRPr="000665B0">
        <w:t>and is assigned to the mission</w:t>
      </w:r>
      <w:r w:rsidR="008C6733" w:rsidRPr="000665B0">
        <w:t>.</w:t>
      </w:r>
      <w:r w:rsidRPr="000665B0">
        <w:t xml:space="preserve"> </w:t>
      </w:r>
    </w:p>
    <w:p w14:paraId="73210639" w14:textId="77777777" w:rsidR="00976C96" w:rsidRPr="000665B0" w:rsidRDefault="0078503C" w:rsidP="007911D0">
      <w:r w:rsidRPr="000665B0">
        <w:t xml:space="preserve">To </w:t>
      </w:r>
      <w:r w:rsidR="00976C96" w:rsidRPr="000665B0">
        <w:t xml:space="preserve">assign </w:t>
      </w:r>
      <w:r w:rsidR="00976C96" w:rsidRPr="000665B0">
        <w:rPr>
          <w:b/>
        </w:rPr>
        <w:t>Ghost</w:t>
      </w:r>
      <w:r w:rsidR="00976C96" w:rsidRPr="000665B0">
        <w:t xml:space="preserve"> </w:t>
      </w:r>
      <w:r w:rsidRPr="000665B0">
        <w:t>to all non-hidden missions with no primary assignments required/assigned</w:t>
      </w:r>
      <w:r w:rsidR="00976C96" w:rsidRPr="000665B0">
        <w:t>:</w:t>
      </w:r>
    </w:p>
    <w:p w14:paraId="54F8BDC7" w14:textId="3EF6E080" w:rsidR="001534E0" w:rsidRPr="000665B0" w:rsidRDefault="001534E0" w:rsidP="006D5A65">
      <w:pPr>
        <w:pStyle w:val="Heading1"/>
      </w:pPr>
      <w:r w:rsidRPr="000665B0">
        <w:t xml:space="preserve">In the Candidates pane, select the desired Mission(s), and </w:t>
      </w:r>
      <w:r w:rsidR="0078503C" w:rsidRPr="000665B0">
        <w:t xml:space="preserve">click </w:t>
      </w:r>
      <w:r w:rsidR="00A44E90" w:rsidRPr="000665B0">
        <w:t xml:space="preserve">on </w:t>
      </w:r>
      <w:r w:rsidR="0078503C" w:rsidRPr="000665B0">
        <w:t>the</w:t>
      </w:r>
      <w:r w:rsidR="00A44E90" w:rsidRPr="000665B0">
        <w:t xml:space="preserve"> Ghost all non-hidden missions with no primary assignments required/assigned</w:t>
      </w:r>
      <w:r w:rsidR="0078503C" w:rsidRPr="000665B0">
        <w:t xml:space="preserve"> </w:t>
      </w:r>
      <w:r w:rsidR="00D0189D" w:rsidRPr="000665B0">
        <w:rPr>
          <w:noProof/>
          <w:position w:val="-6"/>
        </w:rPr>
        <w:drawing>
          <wp:inline distT="0" distB="0" distL="0" distR="0" wp14:anchorId="27E05A09" wp14:editId="77A8A4B5">
            <wp:extent cx="144780" cy="161485"/>
            <wp:effectExtent l="0" t="0" r="762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53220" cy="170898"/>
                    </a:xfrm>
                    <a:prstGeom prst="rect">
                      <a:avLst/>
                    </a:prstGeom>
                  </pic:spPr>
                </pic:pic>
              </a:graphicData>
            </a:graphic>
          </wp:inline>
        </w:drawing>
      </w:r>
      <w:r w:rsidR="00A44E90" w:rsidRPr="000665B0">
        <w:t xml:space="preserve"> icon</w:t>
      </w:r>
      <w:r w:rsidR="0078503C" w:rsidRPr="000665B0">
        <w:t>.</w:t>
      </w:r>
      <w:r w:rsidR="00D5539A" w:rsidRPr="000665B0">
        <w:t xml:space="preserve"> </w:t>
      </w:r>
    </w:p>
    <w:p w14:paraId="65956BE9" w14:textId="7316E575" w:rsidR="008611B9" w:rsidRPr="000665B0" w:rsidRDefault="00F523A9" w:rsidP="008611B9">
      <w:pPr>
        <w:pStyle w:val="Number0205"/>
        <w:ind w:left="0" w:firstLine="0"/>
        <w:jc w:val="center"/>
        <w:rPr>
          <w:noProof/>
        </w:rPr>
      </w:pPr>
      <w:r w:rsidRPr="000665B0">
        <w:rPr>
          <w:noProof/>
        </w:rPr>
        <w:drawing>
          <wp:inline distT="0" distB="0" distL="0" distR="0" wp14:anchorId="2AA4E920" wp14:editId="78C2B51D">
            <wp:extent cx="4983480" cy="2404872"/>
            <wp:effectExtent l="0" t="0" r="0" b="0"/>
            <wp:docPr id="2210" name="Picture 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2404872"/>
                    </a:xfrm>
                    <a:prstGeom prst="rect">
                      <a:avLst/>
                    </a:prstGeom>
                  </pic:spPr>
                </pic:pic>
              </a:graphicData>
            </a:graphic>
          </wp:inline>
        </w:drawing>
      </w:r>
    </w:p>
    <w:p w14:paraId="66D46BD7" w14:textId="299E4C76" w:rsidR="0065682A" w:rsidRPr="000665B0" w:rsidRDefault="00EE7B4E" w:rsidP="007911D0">
      <w:pPr>
        <w:ind w:left="720"/>
        <w:rPr>
          <w:noProof/>
        </w:rPr>
      </w:pPr>
      <w:r w:rsidRPr="000665B0">
        <w:rPr>
          <w:noProof/>
        </w:rPr>
        <w:t>A maximum of 80</w:t>
      </w:r>
      <w:r w:rsidR="0065682A" w:rsidRPr="000665B0">
        <w:rPr>
          <w:noProof/>
        </w:rPr>
        <w:t xml:space="preserve"> ghost assignments can be made per ghost platform</w:t>
      </w:r>
      <w:r w:rsidR="00302431" w:rsidRPr="000665B0">
        <w:rPr>
          <w:noProof/>
        </w:rPr>
        <w:t>.</w:t>
      </w:r>
      <w:r w:rsidR="0065682A" w:rsidRPr="000665B0">
        <w:rPr>
          <w:noProof/>
        </w:rPr>
        <w:t xml:space="preserve"> </w:t>
      </w:r>
      <w:r w:rsidR="00302431" w:rsidRPr="000665B0">
        <w:rPr>
          <w:noProof/>
        </w:rPr>
        <w:t xml:space="preserve">Once the maximum of 80 assignments on one ghost platform is reached, the next ghost platform in the VPL is assigned the subsequent ghost assignments. The total number of allowable ghost assignments is determined by the number of ghost platforms in the VPL (80 per ghost platform </w:t>
      </w:r>
      <w:r w:rsidR="00E95B74" w:rsidRPr="000665B0">
        <w:rPr>
          <w:noProof/>
        </w:rPr>
        <w:t xml:space="preserve">multiplied by </w:t>
      </w:r>
      <w:r w:rsidR="00302431" w:rsidRPr="000665B0">
        <w:rPr>
          <w:noProof/>
        </w:rPr>
        <w:t>the number of ghost platforms in the VPL). Ghosting is completely disabled once the total number of ghost assignments has been reached.</w:t>
      </w:r>
    </w:p>
    <w:p w14:paraId="50572038" w14:textId="257E8DCC" w:rsidR="00302431" w:rsidRPr="000665B0" w:rsidRDefault="00302431" w:rsidP="006D5A65">
      <w:pPr>
        <w:pStyle w:val="Heading1"/>
        <w:rPr>
          <w:noProof/>
        </w:rPr>
      </w:pPr>
      <w:r w:rsidRPr="000665B0">
        <w:t>If the number of missions requested to ghost exceeds</w:t>
      </w:r>
      <w:r w:rsidRPr="000665B0">
        <w:rPr>
          <w:noProof/>
        </w:rPr>
        <w:t xml:space="preserve"> the total maximum allowed (80 per ghost platform </w:t>
      </w:r>
      <w:r w:rsidR="00E95B74" w:rsidRPr="000665B0">
        <w:rPr>
          <w:noProof/>
        </w:rPr>
        <w:t>multiplied by</w:t>
      </w:r>
      <w:r w:rsidRPr="000665B0">
        <w:rPr>
          <w:noProof/>
        </w:rPr>
        <w:t xml:space="preserve"> </w:t>
      </w:r>
      <w:r w:rsidRPr="000665B0">
        <w:rPr>
          <w:noProof/>
        </w:rPr>
        <w:lastRenderedPageBreak/>
        <w:t xml:space="preserve">the number of ghost platforms in the VPL), the following </w:t>
      </w:r>
      <w:r w:rsidR="00E95B74" w:rsidRPr="000665B0">
        <w:rPr>
          <w:i/>
          <w:noProof/>
        </w:rPr>
        <w:t>Strike Option</w:t>
      </w:r>
      <w:r w:rsidRPr="000665B0">
        <w:rPr>
          <w:noProof/>
        </w:rPr>
        <w:t xml:space="preserve"> window is displayed.</w:t>
      </w:r>
    </w:p>
    <w:p w14:paraId="774F4250" w14:textId="36AFDF97" w:rsidR="00E95B74" w:rsidRPr="000665B0" w:rsidRDefault="00E95B74" w:rsidP="00E95B74">
      <w:pPr>
        <w:pStyle w:val="Number0205"/>
        <w:ind w:left="0" w:firstLine="0"/>
        <w:jc w:val="center"/>
        <w:rPr>
          <w:noProof/>
        </w:rPr>
      </w:pPr>
      <w:r w:rsidRPr="000665B0">
        <w:rPr>
          <w:noProof/>
        </w:rPr>
        <w:drawing>
          <wp:inline distT="0" distB="0" distL="0" distR="0" wp14:anchorId="14216652" wp14:editId="59C89251">
            <wp:extent cx="3200400" cy="1399032"/>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399032"/>
                    </a:xfrm>
                    <a:prstGeom prst="rect">
                      <a:avLst/>
                    </a:prstGeom>
                  </pic:spPr>
                </pic:pic>
              </a:graphicData>
            </a:graphic>
          </wp:inline>
        </w:drawing>
      </w:r>
    </w:p>
    <w:p w14:paraId="3059A3B6" w14:textId="3A7F2054" w:rsidR="008611B9" w:rsidRPr="000665B0" w:rsidRDefault="008611B9" w:rsidP="006D5A65">
      <w:pPr>
        <w:pStyle w:val="Heading1"/>
        <w:rPr>
          <w:noProof/>
        </w:rPr>
      </w:pPr>
      <w:r w:rsidRPr="000665B0">
        <w:rPr>
          <w:noProof/>
        </w:rPr>
        <w:t xml:space="preserve">If there are no missions to ghost, the following </w:t>
      </w:r>
      <w:r w:rsidRPr="000665B0">
        <w:rPr>
          <w:i/>
          <w:noProof/>
        </w:rPr>
        <w:t>Ghosting Missions</w:t>
      </w:r>
      <w:r w:rsidRPr="000665B0">
        <w:rPr>
          <w:noProof/>
        </w:rPr>
        <w:t xml:space="preserve"> window is displayed; click OK to proceed.</w:t>
      </w:r>
    </w:p>
    <w:p w14:paraId="79EA3D54" w14:textId="77777777" w:rsidR="008611B9" w:rsidRPr="000665B0" w:rsidRDefault="008611B9" w:rsidP="008611B9">
      <w:pPr>
        <w:pStyle w:val="Number0205"/>
        <w:ind w:left="0" w:firstLine="0"/>
        <w:jc w:val="center"/>
        <w:rPr>
          <w:noProof/>
        </w:rPr>
      </w:pPr>
      <w:r w:rsidRPr="000665B0">
        <w:rPr>
          <w:noProof/>
        </w:rPr>
        <w:drawing>
          <wp:inline distT="0" distB="0" distL="0" distR="0" wp14:anchorId="3EB7A547" wp14:editId="7EA215B9">
            <wp:extent cx="3200400" cy="1152144"/>
            <wp:effectExtent l="0" t="0" r="0" b="0"/>
            <wp:docPr id="2107" name="Picture 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152144"/>
                    </a:xfrm>
                    <a:prstGeom prst="rect">
                      <a:avLst/>
                    </a:prstGeom>
                  </pic:spPr>
                </pic:pic>
              </a:graphicData>
            </a:graphic>
          </wp:inline>
        </w:drawing>
      </w:r>
    </w:p>
    <w:p w14:paraId="2A3FB2E8" w14:textId="7938746E" w:rsidR="008611B9" w:rsidRPr="000665B0" w:rsidRDefault="008611B9" w:rsidP="006D5A65">
      <w:pPr>
        <w:pStyle w:val="Heading1"/>
        <w:rPr>
          <w:noProof/>
        </w:rPr>
      </w:pPr>
      <w:r w:rsidRPr="000665B0">
        <w:rPr>
          <w:noProof/>
        </w:rPr>
        <w:t>If there are missions to ghost, but none are</w:t>
      </w:r>
      <w:r w:rsidR="006D2C4D" w:rsidRPr="000665B0">
        <w:rPr>
          <w:noProof/>
        </w:rPr>
        <w:t xml:space="preserve"> 109E</w:t>
      </w:r>
      <w:r w:rsidR="00484934" w:rsidRPr="000665B0">
        <w:rPr>
          <w:noProof/>
        </w:rPr>
        <w:t>,</w:t>
      </w:r>
      <w:r w:rsidRPr="000665B0">
        <w:rPr>
          <w:noProof/>
        </w:rPr>
        <w:t xml:space="preserve"> the following </w:t>
      </w:r>
      <w:r w:rsidRPr="000665B0">
        <w:rPr>
          <w:i/>
          <w:noProof/>
        </w:rPr>
        <w:t>Ghosting Missions</w:t>
      </w:r>
      <w:r w:rsidRPr="000665B0">
        <w:rPr>
          <w:noProof/>
        </w:rPr>
        <w:t xml:space="preserve"> window is </w:t>
      </w:r>
      <w:r w:rsidRPr="000665B0">
        <w:t>displayed</w:t>
      </w:r>
      <w:r w:rsidR="00484934" w:rsidRPr="000665B0">
        <w:rPr>
          <w:noProof/>
        </w:rPr>
        <w:t>. C</w:t>
      </w:r>
      <w:r w:rsidRPr="000665B0">
        <w:rPr>
          <w:noProof/>
        </w:rPr>
        <w:t xml:space="preserve">lick </w:t>
      </w:r>
      <w:r w:rsidR="00484934" w:rsidRPr="000665B0">
        <w:rPr>
          <w:noProof/>
        </w:rPr>
        <w:t>Yes</w:t>
      </w:r>
      <w:r w:rsidRPr="000665B0">
        <w:rPr>
          <w:noProof/>
        </w:rPr>
        <w:t xml:space="preserve"> to accept or No to cancel the assignments.</w:t>
      </w:r>
    </w:p>
    <w:p w14:paraId="68BF3DA1" w14:textId="77777777" w:rsidR="008611B9" w:rsidRPr="000665B0" w:rsidRDefault="006D2C4D" w:rsidP="008611B9">
      <w:pPr>
        <w:pStyle w:val="Number0205"/>
        <w:ind w:left="0" w:firstLine="0"/>
        <w:jc w:val="center"/>
        <w:rPr>
          <w:noProof/>
        </w:rPr>
      </w:pPr>
      <w:r w:rsidRPr="000665B0">
        <w:rPr>
          <w:noProof/>
        </w:rPr>
        <w:drawing>
          <wp:inline distT="0" distB="0" distL="0" distR="0" wp14:anchorId="45217407" wp14:editId="2B28546B">
            <wp:extent cx="3200400" cy="1380744"/>
            <wp:effectExtent l="0" t="0" r="0" b="0"/>
            <wp:docPr id="2163" name="Picture 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380744"/>
                    </a:xfrm>
                    <a:prstGeom prst="rect">
                      <a:avLst/>
                    </a:prstGeom>
                  </pic:spPr>
                </pic:pic>
              </a:graphicData>
            </a:graphic>
          </wp:inline>
        </w:drawing>
      </w:r>
    </w:p>
    <w:p w14:paraId="0BAC310B" w14:textId="467C8D5F" w:rsidR="008611B9" w:rsidRPr="000665B0" w:rsidRDefault="008611B9" w:rsidP="006D5A65">
      <w:pPr>
        <w:pStyle w:val="Heading1"/>
      </w:pPr>
      <w:bookmarkStart w:id="6309" w:name="_Hlk45101206"/>
      <w:r w:rsidRPr="000665B0">
        <w:t>If there are m</w:t>
      </w:r>
      <w:r w:rsidR="001B727B" w:rsidRPr="000665B0">
        <w:t>i</w:t>
      </w:r>
      <w:r w:rsidRPr="000665B0">
        <w:t>ssions to ghost and some are</w:t>
      </w:r>
      <w:r w:rsidR="006D2C4D" w:rsidRPr="000665B0">
        <w:t xml:space="preserve"> 109E</w:t>
      </w:r>
      <w:r w:rsidRPr="000665B0">
        <w:t xml:space="preserve">, the following </w:t>
      </w:r>
      <w:r w:rsidRPr="000665B0">
        <w:rPr>
          <w:i/>
        </w:rPr>
        <w:t>Ghosting Missions</w:t>
      </w:r>
      <w:r w:rsidRPr="000665B0">
        <w:t xml:space="preserve"> window is displayed</w:t>
      </w:r>
      <w:r w:rsidR="00484934" w:rsidRPr="000665B0">
        <w:t>. Ensure that the correct TSN Type is selected, then</w:t>
      </w:r>
      <w:r w:rsidRPr="000665B0">
        <w:t xml:space="preserve"> click </w:t>
      </w:r>
      <w:r w:rsidR="00484934" w:rsidRPr="000665B0">
        <w:t>Yes</w:t>
      </w:r>
      <w:r w:rsidRPr="000665B0">
        <w:t xml:space="preserve"> to accept or No to cancel the assignments.</w:t>
      </w:r>
    </w:p>
    <w:bookmarkEnd w:id="6309"/>
    <w:p w14:paraId="6DFC9AB8" w14:textId="5FCC9DE7" w:rsidR="00302431" w:rsidRPr="000665B0" w:rsidRDefault="006D2C4D" w:rsidP="001534E0">
      <w:pPr>
        <w:pStyle w:val="Number0205"/>
        <w:ind w:left="0" w:firstLine="0"/>
        <w:jc w:val="center"/>
      </w:pPr>
      <w:r w:rsidRPr="000665B0">
        <w:rPr>
          <w:noProof/>
        </w:rPr>
        <w:drawing>
          <wp:inline distT="0" distB="0" distL="0" distR="0" wp14:anchorId="7CE832BC" wp14:editId="453B4A3D">
            <wp:extent cx="3200400" cy="1527048"/>
            <wp:effectExtent l="0" t="0" r="0" b="0"/>
            <wp:docPr id="2164" name="Picture 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3200400" cy="1527048"/>
                    </a:xfrm>
                    <a:prstGeom prst="rect">
                      <a:avLst/>
                    </a:prstGeom>
                    <a:noFill/>
                    <a:ln>
                      <a:noFill/>
                    </a:ln>
                  </pic:spPr>
                </pic:pic>
              </a:graphicData>
            </a:graphic>
          </wp:inline>
        </w:drawing>
      </w:r>
    </w:p>
    <w:p w14:paraId="7670ACCB" w14:textId="77777777" w:rsidR="001B727B" w:rsidRPr="000665B0" w:rsidRDefault="001B727B" w:rsidP="00CE2C1C">
      <w:pPr>
        <w:keepNext/>
        <w:pageBreakBefore/>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bCs/>
        </w:rPr>
      </w:pPr>
      <w:r w:rsidRPr="000665B0">
        <w:rPr>
          <w:b/>
          <w:bCs/>
        </w:rPr>
        <w:lastRenderedPageBreak/>
        <w:t xml:space="preserve">Note: </w:t>
      </w:r>
    </w:p>
    <w:p w14:paraId="5BA1E866" w14:textId="70F77B55" w:rsidR="001B727B" w:rsidRPr="000665B0" w:rsidRDefault="001B727B" w:rsidP="001B727B">
      <w:pPr>
        <w:pBdr>
          <w:top w:val="single" w:sz="12" w:space="1" w:color="auto"/>
          <w:left w:val="single" w:sz="12" w:space="4" w:color="auto"/>
          <w:bottom w:val="single" w:sz="12" w:space="1" w:color="auto"/>
          <w:right w:val="single" w:sz="12" w:space="4" w:color="auto"/>
        </w:pBdr>
        <w:shd w:val="clear" w:color="auto" w:fill="D9D9D9"/>
        <w:tabs>
          <w:tab w:val="left" w:pos="720"/>
        </w:tabs>
        <w:jc w:val="center"/>
        <w:rPr>
          <w:b/>
          <w:bCs/>
        </w:rPr>
      </w:pPr>
      <w:r w:rsidRPr="000665B0">
        <w:rPr>
          <w:b/>
          <w:bCs/>
        </w:rPr>
        <w:t xml:space="preserve">There is a limitation associated with </w:t>
      </w:r>
      <w:r w:rsidR="001A107C" w:rsidRPr="000665B0">
        <w:rPr>
          <w:b/>
          <w:bCs/>
        </w:rPr>
        <w:t xml:space="preserve">109E </w:t>
      </w:r>
      <w:r w:rsidRPr="000665B0">
        <w:rPr>
          <w:b/>
          <w:bCs/>
        </w:rPr>
        <w:t>missions assigned to Ghost tasking under the following conditions:</w:t>
      </w:r>
    </w:p>
    <w:p w14:paraId="6D5D663F" w14:textId="21DB0BB7" w:rsidR="001B727B" w:rsidRPr="000665B0" w:rsidRDefault="001B727B" w:rsidP="00BB4EBE">
      <w:pPr>
        <w:pBdr>
          <w:top w:val="single" w:sz="12" w:space="1" w:color="auto"/>
          <w:left w:val="single" w:sz="12" w:space="4" w:color="auto"/>
          <w:bottom w:val="single" w:sz="12" w:space="1" w:color="auto"/>
          <w:right w:val="single" w:sz="12" w:space="4" w:color="auto"/>
        </w:pBdr>
        <w:shd w:val="clear" w:color="auto" w:fill="D9D9D9"/>
        <w:tabs>
          <w:tab w:val="left" w:pos="720"/>
        </w:tabs>
        <w:spacing w:after="0"/>
        <w:rPr>
          <w:b/>
          <w:bCs/>
        </w:rPr>
      </w:pPr>
      <w:r w:rsidRPr="000665B0">
        <w:rPr>
          <w:b/>
          <w:bCs/>
        </w:rPr>
        <w:t>1. A 109E Mission is assigned to ghost tasking and a TSN Type is selected (</w:t>
      </w:r>
      <w:r w:rsidR="004404E5" w:rsidRPr="000665B0">
        <w:rPr>
          <w:b/>
          <w:bCs/>
        </w:rPr>
        <w:t>e.g.,</w:t>
      </w:r>
      <w:r w:rsidRPr="000665B0">
        <w:rPr>
          <w:b/>
          <w:bCs/>
        </w:rPr>
        <w:t xml:space="preserve"> DAMA).</w:t>
      </w:r>
      <w:r w:rsidRPr="000665B0">
        <w:rPr>
          <w:b/>
          <w:bCs/>
        </w:rPr>
        <w:br/>
        <w:t>2. The TSN Type is later changed (</w:t>
      </w:r>
      <w:r w:rsidR="004404E5" w:rsidRPr="000665B0">
        <w:rPr>
          <w:b/>
          <w:bCs/>
        </w:rPr>
        <w:t>e.g.,</w:t>
      </w:r>
      <w:r w:rsidRPr="000665B0">
        <w:rPr>
          <w:b/>
          <w:bCs/>
        </w:rPr>
        <w:t xml:space="preserve"> switched to ACA).</w:t>
      </w:r>
      <w:r w:rsidRPr="000665B0">
        <w:rPr>
          <w:b/>
          <w:bCs/>
        </w:rPr>
        <w:br/>
        <w:t>3. When the Ghost mission is assigned to a FRU, the TSN Type retains the original selection (e.g. DAMA).</w:t>
      </w:r>
    </w:p>
    <w:p w14:paraId="6A12FFD1" w14:textId="63D9F1F2" w:rsidR="0078503C" w:rsidRPr="000665B0" w:rsidRDefault="00D5539A"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75ECE158" w14:textId="55F22962" w:rsidR="0078503C" w:rsidRPr="000665B0" w:rsidRDefault="00DD6230" w:rsidP="00474A1F">
      <w:pPr>
        <w:pStyle w:val="BodyText"/>
        <w:tabs>
          <w:tab w:val="left" w:pos="720"/>
        </w:tabs>
        <w:spacing w:after="120"/>
      </w:pPr>
      <w:r w:rsidRPr="000665B0">
        <w:rPr>
          <w:b/>
          <w:bCs/>
        </w:rPr>
        <w:t>Edit</w:t>
      </w:r>
      <w:r w:rsidR="00DF649E" w:rsidRPr="000665B0">
        <w:rPr>
          <w:b/>
          <w:bCs/>
        </w:rPr>
        <w:t xml:space="preserve"> Missiles Required</w:t>
      </w:r>
      <w:r w:rsidR="00DF649E" w:rsidRPr="000665B0">
        <w:t xml:space="preserve"> </w:t>
      </w:r>
      <w:r w:rsidR="0078503C" w:rsidRPr="000665B0">
        <w:t>allow</w:t>
      </w:r>
      <w:r w:rsidR="00600CFD" w:rsidRPr="000665B0">
        <w:t>s</w:t>
      </w:r>
      <w:r w:rsidR="0078503C" w:rsidRPr="000665B0">
        <w:t xml:space="preserve"> the user to </w:t>
      </w:r>
      <w:r w:rsidR="00FC5A35" w:rsidRPr="000665B0">
        <w:rPr>
          <w:bCs/>
        </w:rPr>
        <w:t>specify the number of missiles that should be assigned during PM3</w:t>
      </w:r>
      <w:r w:rsidR="002D1B9C" w:rsidRPr="000665B0">
        <w:t xml:space="preserve">, as well as to specify </w:t>
      </w:r>
      <w:r w:rsidR="002D1B9C" w:rsidRPr="000665B0">
        <w:rPr>
          <w:szCs w:val="24"/>
        </w:rPr>
        <w:t xml:space="preserve">the TSN type for </w:t>
      </w:r>
      <w:r w:rsidR="00224185" w:rsidRPr="000665B0">
        <w:rPr>
          <w:szCs w:val="24"/>
        </w:rPr>
        <w:t>109E</w:t>
      </w:r>
      <w:r w:rsidR="002D1B9C" w:rsidRPr="000665B0">
        <w:rPr>
          <w:szCs w:val="24"/>
        </w:rPr>
        <w:t xml:space="preserve"> missiles</w:t>
      </w:r>
      <w:r w:rsidR="0078503C" w:rsidRPr="000665B0">
        <w:t>.</w:t>
      </w:r>
      <w:r w:rsidR="002B617E" w:rsidRPr="000665B0">
        <w:t xml:space="preserve"> </w:t>
      </w:r>
      <w:r w:rsidR="004A5569" w:rsidRPr="000665B0">
        <w:t xml:space="preserve">The Block III and </w:t>
      </w:r>
      <w:r w:rsidR="00224185" w:rsidRPr="000665B0">
        <w:t>109E</w:t>
      </w:r>
      <w:r w:rsidR="004A5569" w:rsidRPr="000665B0">
        <w:t xml:space="preserve"> missile</w:t>
      </w:r>
      <w:r w:rsidR="000665BE" w:rsidRPr="000665B0">
        <w:t xml:space="preserve"> requirement</w:t>
      </w:r>
      <w:r w:rsidR="004A5569" w:rsidRPr="000665B0">
        <w:t xml:space="preserve">s are set differently due to the TSN </w:t>
      </w:r>
      <w:r w:rsidR="00FC5A35" w:rsidRPr="000665B0">
        <w:t>selections</w:t>
      </w:r>
      <w:r w:rsidR="004A5569" w:rsidRPr="000665B0">
        <w:t xml:space="preserve"> for </w:t>
      </w:r>
      <w:r w:rsidR="00224185" w:rsidRPr="000665B0">
        <w:t>109E</w:t>
      </w:r>
      <w:r w:rsidR="004A5569" w:rsidRPr="000665B0">
        <w:t xml:space="preserve"> missiles. </w:t>
      </w:r>
      <w:r w:rsidR="002E27D1" w:rsidRPr="000665B0">
        <w:t>All MSTM</w:t>
      </w:r>
      <w:r w:rsidR="00C05381" w:rsidRPr="000665B0">
        <w:t>s</w:t>
      </w:r>
      <w:r w:rsidR="002E27D1" w:rsidRPr="000665B0">
        <w:t xml:space="preserve"> </w:t>
      </w:r>
      <w:r w:rsidR="00C53E5D">
        <w:t xml:space="preserve">and 109Ms </w:t>
      </w:r>
      <w:r w:rsidR="002E27D1" w:rsidRPr="000665B0">
        <w:t xml:space="preserve">are ACA missiles so the TSN type is automatically set to </w:t>
      </w:r>
      <w:r w:rsidR="002E27D1" w:rsidRPr="000665B0">
        <w:rPr>
          <w:b/>
        </w:rPr>
        <w:t>ACA Only</w:t>
      </w:r>
      <w:r w:rsidR="002E27D1" w:rsidRPr="000665B0">
        <w:t xml:space="preserve">. </w:t>
      </w:r>
      <w:r w:rsidR="002B617E" w:rsidRPr="000665B0">
        <w:t>Missions, TMPRs, and LMOs with missile</w:t>
      </w:r>
      <w:r w:rsidR="00D5539A" w:rsidRPr="000665B0">
        <w:t>s</w:t>
      </w:r>
      <w:r w:rsidR="002B617E" w:rsidRPr="000665B0">
        <w:t xml:space="preserve"> required cannot be hidden.</w:t>
      </w:r>
    </w:p>
    <w:p w14:paraId="1B8DE6CE" w14:textId="39088555" w:rsidR="0078503C" w:rsidRPr="000665B0" w:rsidRDefault="00600CFD" w:rsidP="006D5A65">
      <w:pPr>
        <w:pStyle w:val="Heading1"/>
      </w:pPr>
      <w:r w:rsidRPr="000665B0">
        <w:t>In the Candidates pane, s</w:t>
      </w:r>
      <w:r w:rsidR="0078503C" w:rsidRPr="000665B0">
        <w:t xml:space="preserve">elect the </w:t>
      </w:r>
      <w:r w:rsidRPr="000665B0">
        <w:t>Mission</w:t>
      </w:r>
      <w:r w:rsidR="0078503C" w:rsidRPr="000665B0">
        <w:t xml:space="preserve">(s), TMPR(s), </w:t>
      </w:r>
      <w:r w:rsidR="00356158" w:rsidRPr="000665B0">
        <w:t xml:space="preserve">Attack Plan(s), </w:t>
      </w:r>
      <w:r w:rsidR="0078503C" w:rsidRPr="000665B0">
        <w:t xml:space="preserve">or LMO(s) </w:t>
      </w:r>
      <w:r w:rsidRPr="000665B0">
        <w:t xml:space="preserve">from their respective tabs, </w:t>
      </w:r>
      <w:r w:rsidR="0078503C" w:rsidRPr="000665B0">
        <w:t>invoke the context menu (</w:t>
      </w:r>
      <w:r w:rsidR="00D71804" w:rsidRPr="000665B0">
        <w:t>right-click</w:t>
      </w:r>
      <w:r w:rsidR="0078503C" w:rsidRPr="000665B0">
        <w:t xml:space="preserve"> the mouse)</w:t>
      </w:r>
      <w:r w:rsidR="002B617E" w:rsidRPr="000665B0">
        <w:t>,</w:t>
      </w:r>
      <w:r w:rsidR="0078503C" w:rsidRPr="000665B0">
        <w:t xml:space="preserve"> and select </w:t>
      </w:r>
      <w:r w:rsidR="00DD6230" w:rsidRPr="000665B0">
        <w:rPr>
          <w:bCs/>
        </w:rPr>
        <w:t>Edit</w:t>
      </w:r>
      <w:r w:rsidR="00DF649E" w:rsidRPr="000665B0">
        <w:rPr>
          <w:bCs/>
        </w:rPr>
        <w:t xml:space="preserve"> Missiles Required</w:t>
      </w:r>
      <w:r w:rsidR="0078503C" w:rsidRPr="000665B0">
        <w:t>.</w:t>
      </w:r>
      <w:r w:rsidR="0078503C" w:rsidRPr="000665B0">
        <w:rPr>
          <w:bCs/>
        </w:rPr>
        <w:t xml:space="preserve"> The</w:t>
      </w:r>
      <w:r w:rsidR="0078503C" w:rsidRPr="000665B0">
        <w:t xml:space="preserve"> </w:t>
      </w:r>
      <w:r w:rsidR="0078503C" w:rsidRPr="000665B0">
        <w:rPr>
          <w:i/>
          <w:iCs/>
        </w:rPr>
        <w:t xml:space="preserve">Missiles Required </w:t>
      </w:r>
      <w:r w:rsidR="00DF649E" w:rsidRPr="000665B0">
        <w:rPr>
          <w:i/>
          <w:iCs/>
        </w:rPr>
        <w:t>for Mission</w:t>
      </w:r>
      <w:r w:rsidR="00542C51" w:rsidRPr="000665B0">
        <w:rPr>
          <w:i/>
          <w:iCs/>
        </w:rPr>
        <w:t xml:space="preserve"> [TMPR] [LMO]</w:t>
      </w:r>
      <w:r w:rsidR="00356158" w:rsidRPr="000665B0">
        <w:rPr>
          <w:i/>
          <w:iCs/>
        </w:rPr>
        <w:t xml:space="preserve"> [Attack Plan]</w:t>
      </w:r>
      <w:r w:rsidR="00DF649E" w:rsidRPr="000665B0">
        <w:rPr>
          <w:i/>
          <w:iCs/>
        </w:rPr>
        <w:t xml:space="preserve"> xxx xxx xxxxx</w:t>
      </w:r>
      <w:r w:rsidR="00DF649E" w:rsidRPr="000665B0">
        <w:t xml:space="preserve"> </w:t>
      </w:r>
      <w:r w:rsidR="0078503C" w:rsidRPr="000665B0">
        <w:t xml:space="preserve">window </w:t>
      </w:r>
      <w:r w:rsidR="00DB5AEE" w:rsidRPr="000665B0">
        <w:t>is</w:t>
      </w:r>
      <w:r w:rsidR="0078503C" w:rsidRPr="000665B0">
        <w:t xml:space="preserve"> displayed.</w:t>
      </w:r>
    </w:p>
    <w:p w14:paraId="2DDC2DCD" w14:textId="1B8AFC65" w:rsidR="000665BE" w:rsidRPr="000665B0" w:rsidRDefault="000665BE" w:rsidP="006D5A65">
      <w:pPr>
        <w:pStyle w:val="Heading1"/>
      </w:pPr>
      <w:r w:rsidRPr="000665B0">
        <w:rPr>
          <w:i/>
        </w:rPr>
        <w:t xml:space="preserve">Missiles Required </w:t>
      </w:r>
      <w:r w:rsidRPr="000665B0">
        <w:t>window for Block III missiles:</w:t>
      </w:r>
    </w:p>
    <w:p w14:paraId="72D5D774" w14:textId="612B09C5" w:rsidR="0078503C" w:rsidRPr="000665B0" w:rsidRDefault="004C7D53" w:rsidP="00474A1F">
      <w:pPr>
        <w:tabs>
          <w:tab w:val="left" w:pos="720"/>
        </w:tabs>
        <w:jc w:val="center"/>
      </w:pPr>
      <w:r w:rsidRPr="000665B0">
        <w:rPr>
          <w:noProof/>
        </w:rPr>
        <w:drawing>
          <wp:inline distT="0" distB="0" distL="0" distR="0" wp14:anchorId="50D9CC9C" wp14:editId="7726B310">
            <wp:extent cx="2286000" cy="139903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399032"/>
                    </a:xfrm>
                    <a:prstGeom prst="rect">
                      <a:avLst/>
                    </a:prstGeom>
                  </pic:spPr>
                </pic:pic>
              </a:graphicData>
            </a:graphic>
          </wp:inline>
        </w:drawing>
      </w:r>
    </w:p>
    <w:p w14:paraId="10B77002" w14:textId="6B5D40E5" w:rsidR="000665BE" w:rsidRPr="000665B0" w:rsidRDefault="000665BE" w:rsidP="006D5A65">
      <w:pPr>
        <w:pStyle w:val="Heading1"/>
      </w:pPr>
      <w:r w:rsidRPr="000665B0">
        <w:rPr>
          <w:i/>
        </w:rPr>
        <w:t xml:space="preserve">Missiles Required </w:t>
      </w:r>
      <w:r w:rsidRPr="000665B0">
        <w:t xml:space="preserve">window for </w:t>
      </w:r>
      <w:r w:rsidR="00224185" w:rsidRPr="000665B0">
        <w:t>109E</w:t>
      </w:r>
      <w:r w:rsidRPr="000665B0">
        <w:t xml:space="preserve"> missiles</w:t>
      </w:r>
      <w:r w:rsidR="00DD6230" w:rsidRPr="000665B0">
        <w:t xml:space="preserve">. Select either ACA First, DAMA First, ACA Only, DAMA Only, or All from the </w:t>
      </w:r>
      <w:r w:rsidR="004404E5" w:rsidRPr="000665B0">
        <w:t>pull-down</w:t>
      </w:r>
      <w:r w:rsidR="00DD6230" w:rsidRPr="000665B0">
        <w:t xml:space="preserve"> menu</w:t>
      </w:r>
      <w:r w:rsidRPr="000665B0">
        <w:t>:</w:t>
      </w:r>
    </w:p>
    <w:p w14:paraId="492C6B18" w14:textId="0CE63174" w:rsidR="00DD6230" w:rsidRPr="000665B0" w:rsidRDefault="003244B4" w:rsidP="00474A1F">
      <w:pPr>
        <w:tabs>
          <w:tab w:val="left" w:pos="720"/>
        </w:tabs>
        <w:jc w:val="center"/>
      </w:pPr>
      <w:r w:rsidRPr="009B06C8">
        <w:rPr>
          <w:noProof/>
        </w:rPr>
        <w:drawing>
          <wp:inline distT="0" distB="0" distL="0" distR="0" wp14:anchorId="71D05623" wp14:editId="1FA5221A">
            <wp:extent cx="2560320" cy="1263348"/>
            <wp:effectExtent l="0" t="0" r="0" b="0"/>
            <wp:docPr id="321595097"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95097" name="Picture 1" descr="Graphical user interface, text, application, email&#10;&#10;AI-generated content may be incorrect."/>
                    <pic:cNvPicPr/>
                  </pic:nvPicPr>
                  <pic:blipFill>
                    <a:blip/>
                    <a:stretch>
                      <a:fillRect/>
                    </a:stretch>
                  </pic:blipFill>
                  <pic:spPr>
                    <a:xfrm>
                      <a:off x="0" y="0"/>
                      <a:ext cx="2588430" cy="1277219"/>
                    </a:xfrm>
                    <a:prstGeom prst="rect">
                      <a:avLst/>
                    </a:prstGeom>
                  </pic:spPr>
                </pic:pic>
              </a:graphicData>
            </a:graphic>
          </wp:inline>
        </w:drawing>
      </w:r>
    </w:p>
    <w:p w14:paraId="6850C1BC" w14:textId="07B31682" w:rsidR="000665BE" w:rsidRDefault="00696953" w:rsidP="00474A1F">
      <w:pPr>
        <w:tabs>
          <w:tab w:val="left" w:pos="720"/>
        </w:tabs>
        <w:jc w:val="center"/>
      </w:pPr>
      <w:r w:rsidRPr="000665B0">
        <w:rPr>
          <w:noProof/>
        </w:rPr>
        <w:lastRenderedPageBreak/>
        <w:drawing>
          <wp:inline distT="0" distB="0" distL="0" distR="0" wp14:anchorId="7BA7C848" wp14:editId="63D4B579">
            <wp:extent cx="2286000" cy="1828800"/>
            <wp:effectExtent l="0" t="0" r="0" b="0"/>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828800"/>
                    </a:xfrm>
                    <a:prstGeom prst="rect">
                      <a:avLst/>
                    </a:prstGeom>
                  </pic:spPr>
                </pic:pic>
              </a:graphicData>
            </a:graphic>
          </wp:inline>
        </w:drawing>
      </w:r>
    </w:p>
    <w:p w14:paraId="7FED3F1A" w14:textId="3A49C5FB" w:rsidR="00A14AD0" w:rsidRDefault="00A14AD0">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jc w:val="center"/>
        <w:rPr>
          <w:b/>
          <w:bCs/>
        </w:rPr>
      </w:pPr>
      <w:r w:rsidRPr="006D7B19">
        <w:rPr>
          <w:b/>
          <w:bCs/>
        </w:rPr>
        <w:t xml:space="preserve">Note: </w:t>
      </w:r>
      <w:r w:rsidRPr="006D7B19">
        <w:rPr>
          <w:b/>
          <w:bCs/>
        </w:rPr>
        <w:br/>
        <w:t xml:space="preserve">Neither one of the ground launchers, </w:t>
      </w:r>
      <w:r w:rsidRPr="00A14AD0">
        <w:rPr>
          <w:b/>
          <w:bCs/>
        </w:rPr>
        <w:t>MRC or LRF, supports ARS capability; hence, the exception to the dialogue window is that ARS will be disabled as shown below for all ground launched missions. When SL and GL missions are both selected, input for ARS will be enabled but will apply the input ONLY to ARS to SL missions.</w:t>
      </w:r>
    </w:p>
    <w:p w14:paraId="07214A5B" w14:textId="5811B410" w:rsidR="007F485C" w:rsidRPr="006D7B19" w:rsidRDefault="00950B80" w:rsidP="00B12D18">
      <w:pPr>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jc w:val="center"/>
        <w:rPr>
          <w:b/>
          <w:bCs/>
        </w:rPr>
      </w:pPr>
      <w:r>
        <w:rPr>
          <w:noProof/>
        </w:rPr>
        <w:drawing>
          <wp:inline distT="0" distB="0" distL="0" distR="0" wp14:anchorId="1E731E76" wp14:editId="3A359F3B">
            <wp:extent cx="2286000" cy="1179576"/>
            <wp:effectExtent l="0" t="0" r="0" b="0"/>
            <wp:docPr id="566081969" name="Picture 56608196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 name="Picture 2262" descr="Graphical user interface, text, application, email&#10;&#10;Description automatically generated"/>
                    <pic:cNvPicPr>
                      <a:picLocks noChangeAspect="1" noChangeArrowheads="1"/>
                    </pic:cNvPicPr>
                  </pic:nvPicPr>
                  <pic:blipFill>
                    <a:blip r:link="rId22" cstate="screen">
                      <a:extLst>
                        <a:ext uri="{28A0092B-C50C-407E-A947-70E740481C1C}">
                          <a14:useLocalDpi xmlns:a14="http://schemas.microsoft.com/office/drawing/2010/main"/>
                        </a:ext>
                      </a:extLst>
                    </a:blip>
                    <a:srcRect/>
                    <a:stretch>
                      <a:fillRect/>
                    </a:stretch>
                  </pic:blipFill>
                  <pic:spPr bwMode="auto">
                    <a:xfrm>
                      <a:off x="0" y="0"/>
                      <a:ext cx="2286000" cy="1179576"/>
                    </a:xfrm>
                    <a:prstGeom prst="rect">
                      <a:avLst/>
                    </a:prstGeom>
                    <a:noFill/>
                    <a:ln>
                      <a:noFill/>
                    </a:ln>
                  </pic:spPr>
                </pic:pic>
              </a:graphicData>
            </a:graphic>
          </wp:inline>
        </w:drawing>
      </w:r>
    </w:p>
    <w:p w14:paraId="0172A26A" w14:textId="3AA033FF" w:rsidR="00DF6D88" w:rsidRPr="000665B0" w:rsidRDefault="00DF6D88" w:rsidP="006D5A65">
      <w:pPr>
        <w:pStyle w:val="Heading1"/>
      </w:pPr>
      <w:r w:rsidRPr="000665B0">
        <w:rPr>
          <w:i/>
        </w:rPr>
        <w:t>Missiles Required</w:t>
      </w:r>
      <w:r w:rsidRPr="000665B0">
        <w:t xml:space="preserve"> window for </w:t>
      </w:r>
      <w:r w:rsidR="003244B4">
        <w:t xml:space="preserve">109E ACP, </w:t>
      </w:r>
      <w:r w:rsidRPr="000665B0">
        <w:t>MSTM</w:t>
      </w:r>
      <w:r w:rsidR="003244B4">
        <w:t>,</w:t>
      </w:r>
      <w:r w:rsidR="00461318">
        <w:t xml:space="preserve"> 109M</w:t>
      </w:r>
      <w:r w:rsidR="003244B4">
        <w:t>, ACP2</w:t>
      </w:r>
      <w:r w:rsidR="00222B82" w:rsidRPr="000665B0">
        <w:t xml:space="preserve">. All </w:t>
      </w:r>
      <w:r w:rsidR="003244B4">
        <w:t xml:space="preserve">variant listed </w:t>
      </w:r>
      <w:r w:rsidR="00222B82" w:rsidRPr="000665B0">
        <w:t xml:space="preserve">are ACA missiles so the TSN </w:t>
      </w:r>
      <w:r w:rsidR="002E27D1" w:rsidRPr="000665B0">
        <w:t xml:space="preserve">type </w:t>
      </w:r>
      <w:r w:rsidR="00222B82" w:rsidRPr="000665B0">
        <w:t xml:space="preserve">is </w:t>
      </w:r>
      <w:r w:rsidR="002E27D1" w:rsidRPr="000665B0">
        <w:t xml:space="preserve">automatically </w:t>
      </w:r>
      <w:r w:rsidR="00222B82" w:rsidRPr="000665B0">
        <w:t>set to ACA Only.</w:t>
      </w:r>
      <w:r w:rsidRPr="000665B0">
        <w:t xml:space="preserve"> </w:t>
      </w:r>
    </w:p>
    <w:p w14:paraId="1DBE7684" w14:textId="2EF79B4C" w:rsidR="00D01E99" w:rsidRPr="00BB4EBE" w:rsidRDefault="003244B4" w:rsidP="00D01E99">
      <w:pPr>
        <w:tabs>
          <w:tab w:val="left" w:pos="720"/>
        </w:tabs>
        <w:jc w:val="center"/>
      </w:pPr>
      <w:r w:rsidRPr="003219D8">
        <w:rPr>
          <w:noProof/>
        </w:rPr>
        <w:drawing>
          <wp:inline distT="0" distB="0" distL="0" distR="0" wp14:anchorId="37971E06" wp14:editId="71639387">
            <wp:extent cx="2682240" cy="1208756"/>
            <wp:effectExtent l="0" t="0" r="3810" b="0"/>
            <wp:docPr id="2100454453"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54453" name="Picture 1" descr="Graphical user interface, application&#10;&#10;AI-generated content may be incorrect."/>
                    <pic:cNvPicPr/>
                  </pic:nvPicPr>
                  <pic:blipFill>
                    <a:blip/>
                    <a:stretch>
                      <a:fillRect/>
                    </a:stretch>
                  </pic:blipFill>
                  <pic:spPr>
                    <a:xfrm>
                      <a:off x="0" y="0"/>
                      <a:ext cx="2702326" cy="1217808"/>
                    </a:xfrm>
                    <a:prstGeom prst="rect">
                      <a:avLst/>
                    </a:prstGeom>
                  </pic:spPr>
                </pic:pic>
              </a:graphicData>
            </a:graphic>
          </wp:inline>
        </w:drawing>
      </w:r>
    </w:p>
    <w:p w14:paraId="7D252E4C" w14:textId="77777777" w:rsidR="00C52039" w:rsidRPr="000665B0" w:rsidRDefault="0078503C" w:rsidP="006D5A65">
      <w:pPr>
        <w:pStyle w:val="Heading1"/>
        <w:rPr>
          <w:szCs w:val="24"/>
        </w:rPr>
      </w:pPr>
      <w:r w:rsidRPr="000665B0">
        <w:lastRenderedPageBreak/>
        <w:t>Make missile assignment requirements for Primary, Backup, Ready Spare, Auto Ready Spare, or Backup Pool</w:t>
      </w:r>
      <w:r w:rsidR="002B617E" w:rsidRPr="000665B0">
        <w:t xml:space="preserve">. </w:t>
      </w:r>
    </w:p>
    <w:p w14:paraId="166E141F" w14:textId="783D1F5A" w:rsidR="00C52039" w:rsidRPr="000665B0" w:rsidRDefault="00C52039" w:rsidP="006D5A65">
      <w:pPr>
        <w:pStyle w:val="Heading1"/>
      </w:pPr>
      <w:r w:rsidRPr="000665B0">
        <w:t xml:space="preserve">The </w:t>
      </w:r>
      <w:r w:rsidR="00224185" w:rsidRPr="000665B0">
        <w:t>109E</w:t>
      </w:r>
      <w:r w:rsidRPr="000665B0">
        <w:t xml:space="preserve"> requirement allows </w:t>
      </w:r>
      <w:r w:rsidR="00BD6B4E" w:rsidRPr="000665B0">
        <w:t xml:space="preserve">for </w:t>
      </w:r>
      <w:r w:rsidRPr="000665B0">
        <w:t>more granular settings with the ability to specify which TSN is required for the missile:</w:t>
      </w:r>
    </w:p>
    <w:p w14:paraId="18069C24" w14:textId="0B1F4BFE" w:rsidR="00C52039" w:rsidRPr="000665B0" w:rsidRDefault="00C52039" w:rsidP="006D5A65">
      <w:pPr>
        <w:pStyle w:val="Heading1"/>
      </w:pPr>
      <w:r w:rsidRPr="000665B0">
        <w:t xml:space="preserve">ACA First – </w:t>
      </w:r>
      <w:r w:rsidR="00BD6B4E" w:rsidRPr="000665B0">
        <w:t>S</w:t>
      </w:r>
      <w:r w:rsidRPr="000665B0">
        <w:t xml:space="preserve">pecifies that the missile can be on </w:t>
      </w:r>
      <w:r w:rsidR="00BD6B4E" w:rsidRPr="000665B0">
        <w:t xml:space="preserve">either </w:t>
      </w:r>
      <w:r w:rsidRPr="000665B0">
        <w:t xml:space="preserve">an ACA or DAMA </w:t>
      </w:r>
      <w:r w:rsidR="00BD6B4E" w:rsidRPr="000665B0">
        <w:t>n</w:t>
      </w:r>
      <w:r w:rsidRPr="000665B0">
        <w:t xml:space="preserve">etwork, but the preference is for the ACA </w:t>
      </w:r>
      <w:r w:rsidR="00BD6B4E" w:rsidRPr="000665B0">
        <w:t>n</w:t>
      </w:r>
      <w:r w:rsidRPr="000665B0">
        <w:t>etwork.</w:t>
      </w:r>
    </w:p>
    <w:p w14:paraId="50A0D15E" w14:textId="77777777" w:rsidR="00C52039" w:rsidRPr="000665B0" w:rsidRDefault="00C52039" w:rsidP="006D5A65">
      <w:pPr>
        <w:pStyle w:val="Heading1"/>
      </w:pPr>
      <w:r w:rsidRPr="000665B0">
        <w:t xml:space="preserve">DAMA First – </w:t>
      </w:r>
      <w:r w:rsidR="00BD6B4E" w:rsidRPr="000665B0">
        <w:t>S</w:t>
      </w:r>
      <w:r w:rsidRPr="000665B0">
        <w:t xml:space="preserve">pecifies that the missile can be on </w:t>
      </w:r>
      <w:r w:rsidR="00BD6B4E" w:rsidRPr="000665B0">
        <w:t xml:space="preserve">either </w:t>
      </w:r>
      <w:r w:rsidRPr="000665B0">
        <w:t xml:space="preserve">an ACA or DAMA </w:t>
      </w:r>
      <w:r w:rsidR="00BD6B4E" w:rsidRPr="000665B0">
        <w:t>n</w:t>
      </w:r>
      <w:r w:rsidRPr="000665B0">
        <w:t xml:space="preserve">etwork, but the preference is for the DAMA </w:t>
      </w:r>
      <w:r w:rsidR="00BD6B4E" w:rsidRPr="000665B0">
        <w:t>n</w:t>
      </w:r>
      <w:r w:rsidRPr="000665B0">
        <w:t>etwork.</w:t>
      </w:r>
    </w:p>
    <w:p w14:paraId="448CD725" w14:textId="77777777" w:rsidR="00C52039" w:rsidRPr="000665B0" w:rsidRDefault="00C52039" w:rsidP="006D5A65">
      <w:pPr>
        <w:pStyle w:val="Heading1"/>
      </w:pPr>
      <w:r w:rsidRPr="000665B0">
        <w:t xml:space="preserve">ACA Only – </w:t>
      </w:r>
      <w:r w:rsidR="00BD6B4E" w:rsidRPr="000665B0">
        <w:t>S</w:t>
      </w:r>
      <w:r w:rsidRPr="000665B0">
        <w:t xml:space="preserve">pecifies that the missile must be on the ACA </w:t>
      </w:r>
      <w:r w:rsidR="00BD6B4E" w:rsidRPr="000665B0">
        <w:t>n</w:t>
      </w:r>
      <w:r w:rsidRPr="000665B0">
        <w:t xml:space="preserve">etwork. </w:t>
      </w:r>
    </w:p>
    <w:p w14:paraId="6A2671AB" w14:textId="77777777" w:rsidR="00C52039" w:rsidRPr="000665B0" w:rsidRDefault="00C52039" w:rsidP="006D5A65">
      <w:pPr>
        <w:pStyle w:val="Heading1"/>
      </w:pPr>
      <w:r w:rsidRPr="000665B0">
        <w:t xml:space="preserve">DAMA Only – </w:t>
      </w:r>
      <w:r w:rsidR="00BD6B4E" w:rsidRPr="000665B0">
        <w:t>S</w:t>
      </w:r>
      <w:r w:rsidRPr="000665B0">
        <w:t xml:space="preserve">pecifies that the missile must be on the DAMA </w:t>
      </w:r>
      <w:r w:rsidR="00BD6B4E" w:rsidRPr="000665B0">
        <w:t>n</w:t>
      </w:r>
      <w:r w:rsidRPr="000665B0">
        <w:t>etwork.</w:t>
      </w:r>
    </w:p>
    <w:p w14:paraId="0471B045" w14:textId="3E63C901" w:rsidR="00526460" w:rsidRPr="000665B0" w:rsidRDefault="00984A42" w:rsidP="006D5A65">
      <w:pPr>
        <w:pStyle w:val="Heading1"/>
      </w:pPr>
      <w:r w:rsidRPr="000665B0">
        <w:t xml:space="preserve">The system allows the user to make multiple missile requirements. </w:t>
      </w:r>
      <w:r w:rsidR="00526460" w:rsidRPr="000665B0">
        <w:t>To edit multiple missile requirements, press either Ctrl or the Shift button on the keyboard, invoke the context menu (</w:t>
      </w:r>
      <w:r w:rsidR="00D71804" w:rsidRPr="000665B0">
        <w:t>right-click</w:t>
      </w:r>
      <w:r w:rsidR="00526460" w:rsidRPr="000665B0">
        <w:t xml:space="preserve"> the mouse) and select </w:t>
      </w:r>
      <w:r w:rsidR="00542C51" w:rsidRPr="000665B0">
        <w:t>Edit</w:t>
      </w:r>
      <w:r w:rsidR="00526460" w:rsidRPr="000665B0">
        <w:t xml:space="preserve"> Missiles Required…. The </w:t>
      </w:r>
      <w:r w:rsidR="00526460" w:rsidRPr="000665B0">
        <w:rPr>
          <w:i/>
        </w:rPr>
        <w:t xml:space="preserve">Missiles Required for Multiple Missions </w:t>
      </w:r>
      <w:r w:rsidR="00526460" w:rsidRPr="000665B0">
        <w:t>window is displayed.</w:t>
      </w:r>
      <w:r w:rsidR="00DD6230" w:rsidRPr="000665B0">
        <w:t xml:space="preserve"> Note that the resulting windows selections will vary, depending on </w:t>
      </w:r>
      <w:r w:rsidR="007D499A" w:rsidRPr="000665B0">
        <w:t>whether the Missile Variants selected are all the same type, or a mix of missile types.</w:t>
      </w:r>
    </w:p>
    <w:p w14:paraId="188404E3" w14:textId="6AC42E6B" w:rsidR="00526460" w:rsidRPr="000665B0" w:rsidRDefault="00696953" w:rsidP="00526460">
      <w:pPr>
        <w:pStyle w:val="Number0205"/>
        <w:tabs>
          <w:tab w:val="left" w:pos="720"/>
        </w:tabs>
        <w:ind w:left="0" w:firstLine="0"/>
        <w:jc w:val="center"/>
      </w:pPr>
      <w:r w:rsidRPr="000665B0">
        <w:rPr>
          <w:noProof/>
        </w:rPr>
        <w:drawing>
          <wp:inline distT="0" distB="0" distL="0" distR="0" wp14:anchorId="60BC9729" wp14:editId="05C2A75F">
            <wp:extent cx="2286000" cy="2276856"/>
            <wp:effectExtent l="0" t="0" r="0" b="9525"/>
            <wp:docPr id="2074" name="Picture 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2276856"/>
                    </a:xfrm>
                    <a:prstGeom prst="rect">
                      <a:avLst/>
                    </a:prstGeom>
                  </pic:spPr>
                </pic:pic>
              </a:graphicData>
            </a:graphic>
          </wp:inline>
        </w:drawing>
      </w:r>
    </w:p>
    <w:p w14:paraId="0335BCE8" w14:textId="1208BE04" w:rsidR="002E27D1" w:rsidRPr="000665B0" w:rsidRDefault="006F0B1C" w:rsidP="00526460">
      <w:pPr>
        <w:pStyle w:val="Number0205"/>
        <w:tabs>
          <w:tab w:val="left" w:pos="720"/>
        </w:tabs>
        <w:ind w:left="0" w:firstLine="0"/>
        <w:jc w:val="center"/>
      </w:pPr>
      <w:r w:rsidRPr="00696EE2">
        <w:rPr>
          <w:noProof/>
        </w:rPr>
        <w:drawing>
          <wp:inline distT="0" distB="0" distL="0" distR="0" wp14:anchorId="5EE3BB67" wp14:editId="619957E0">
            <wp:extent cx="2323215" cy="1664970"/>
            <wp:effectExtent l="0" t="0" r="1270" b="0"/>
            <wp:docPr id="964204318"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04318" name="Picture 1" descr="Graphical user interface, text, application, email&#10;&#10;Description automatically generated"/>
                    <pic:cNvPicPr/>
                  </pic:nvPicPr>
                  <pic:blipFill>
                    <a:blip/>
                    <a:stretch>
                      <a:fillRect/>
                    </a:stretch>
                  </pic:blipFill>
                  <pic:spPr>
                    <a:xfrm>
                      <a:off x="0" y="0"/>
                      <a:ext cx="2349579" cy="1683864"/>
                    </a:xfrm>
                    <a:prstGeom prst="rect">
                      <a:avLst/>
                    </a:prstGeom>
                  </pic:spPr>
                </pic:pic>
              </a:graphicData>
            </a:graphic>
          </wp:inline>
        </w:drawing>
      </w:r>
    </w:p>
    <w:p w14:paraId="59385B76" w14:textId="746E52B4" w:rsidR="002E27D1" w:rsidRPr="000665B0" w:rsidRDefault="006F0B1C" w:rsidP="00526460">
      <w:pPr>
        <w:pStyle w:val="Number0205"/>
        <w:tabs>
          <w:tab w:val="left" w:pos="720"/>
        </w:tabs>
        <w:ind w:left="0" w:firstLine="0"/>
        <w:jc w:val="center"/>
      </w:pPr>
      <w:r w:rsidRPr="00735EEF">
        <w:rPr>
          <w:noProof/>
        </w:rPr>
        <w:lastRenderedPageBreak/>
        <w:drawing>
          <wp:inline distT="0" distB="0" distL="0" distR="0" wp14:anchorId="07303873" wp14:editId="5FF24168">
            <wp:extent cx="2293620" cy="2323297"/>
            <wp:effectExtent l="0" t="0" r="0" b="1270"/>
            <wp:docPr id="282249182"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49182" name="Picture 1" descr="Graphical user interface, text, application&#10;&#10;Description automatically generated"/>
                    <pic:cNvPicPr/>
                  </pic:nvPicPr>
                  <pic:blipFill>
                    <a:blip/>
                    <a:stretch>
                      <a:fillRect/>
                    </a:stretch>
                  </pic:blipFill>
                  <pic:spPr>
                    <a:xfrm>
                      <a:off x="0" y="0"/>
                      <a:ext cx="2314549" cy="2344497"/>
                    </a:xfrm>
                    <a:prstGeom prst="rect">
                      <a:avLst/>
                    </a:prstGeom>
                  </pic:spPr>
                </pic:pic>
              </a:graphicData>
            </a:graphic>
          </wp:inline>
        </w:drawing>
      </w:r>
    </w:p>
    <w:p w14:paraId="27DBF487" w14:textId="77777777" w:rsidR="0078503C" w:rsidRPr="000665B0" w:rsidRDefault="00BD6B4E" w:rsidP="006D5A65">
      <w:pPr>
        <w:pStyle w:val="Heading1"/>
      </w:pPr>
      <w:r w:rsidRPr="000665B0">
        <w:t xml:space="preserve">When finished making </w:t>
      </w:r>
      <w:r w:rsidR="00984A42" w:rsidRPr="000665B0">
        <w:t xml:space="preserve">the </w:t>
      </w:r>
      <w:r w:rsidRPr="000665B0">
        <w:t xml:space="preserve">missile assignment requirements, click OK. </w:t>
      </w:r>
      <w:r w:rsidR="002B617E" w:rsidRPr="000665B0">
        <w:t>The assignments are displayed in the P, B, RS, and ARS columns</w:t>
      </w:r>
      <w:r w:rsidR="00FC5A35" w:rsidRPr="000665B0">
        <w:t xml:space="preserve"> of the Candidates pane</w:t>
      </w:r>
      <w:r w:rsidR="002B617E" w:rsidRPr="000665B0">
        <w:t>.</w:t>
      </w:r>
      <w:r w:rsidR="006F2473" w:rsidRPr="000665B0">
        <w:t xml:space="preserve"> The list view item’s text turns blue </w:t>
      </w:r>
      <w:r w:rsidR="00231136" w:rsidRPr="000665B0">
        <w:t>which indicates that the</w:t>
      </w:r>
      <w:r w:rsidR="006F2473" w:rsidRPr="000665B0">
        <w:t xml:space="preserve"> required number of missiles condition is </w:t>
      </w:r>
      <w:r w:rsidR="00231136" w:rsidRPr="000665B0">
        <w:t xml:space="preserve">not yet </w:t>
      </w:r>
      <w:r w:rsidR="006F2473" w:rsidRPr="000665B0">
        <w:t>met. Once enough missiles</w:t>
      </w:r>
      <w:r w:rsidR="00CA6832" w:rsidRPr="000665B0">
        <w:t xml:space="preserve"> have been assigned</w:t>
      </w:r>
      <w:r w:rsidR="006F2473" w:rsidRPr="000665B0">
        <w:t xml:space="preserve"> to meet the required condition</w:t>
      </w:r>
      <w:r w:rsidR="005705D3" w:rsidRPr="000665B0">
        <w:t xml:space="preserve"> (</w:t>
      </w:r>
      <w:r w:rsidR="002F21B8" w:rsidRPr="000665B0">
        <w:t>using</w:t>
      </w:r>
      <w:r w:rsidR="005705D3" w:rsidRPr="000665B0">
        <w:t xml:space="preserve"> Manual or Auto PM3)</w:t>
      </w:r>
      <w:r w:rsidR="006F2473" w:rsidRPr="000665B0">
        <w:t>, the list view item’s text reverts to its default color.</w:t>
      </w:r>
    </w:p>
    <w:p w14:paraId="3C40A0E8" w14:textId="77777777" w:rsidR="0078503C" w:rsidRPr="000665B0" w:rsidRDefault="002B617E"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r w:rsidR="0078503C" w:rsidRPr="000665B0">
        <w:t>.</w:t>
      </w:r>
    </w:p>
    <w:p w14:paraId="1669B129" w14:textId="77777777" w:rsidR="0078503C" w:rsidRPr="000665B0" w:rsidRDefault="0078503C" w:rsidP="00A0163E">
      <w:pPr>
        <w:pStyle w:val="Number0205"/>
        <w:tabs>
          <w:tab w:val="left" w:pos="720"/>
        </w:tabs>
        <w:ind w:left="360"/>
      </w:pPr>
      <w:bookmarkStart w:id="6310" w:name="_5.38.5.1.4__Arsenal"/>
      <w:bookmarkStart w:id="6311" w:name="_5.37.6.1.5__Arsenal_Tab"/>
      <w:bookmarkStart w:id="6312" w:name="_Toc71955753"/>
      <w:bookmarkStart w:id="6313" w:name="_Toc96170288"/>
      <w:bookmarkStart w:id="6314" w:name="_Toc96234333"/>
      <w:bookmarkStart w:id="6315" w:name="_Toc112733753"/>
      <w:bookmarkEnd w:id="6310"/>
      <w:bookmarkEnd w:id="6311"/>
      <w:r w:rsidRPr="000665B0">
        <w:t>To replace a TMPR with a Mission:</w:t>
      </w:r>
    </w:p>
    <w:p w14:paraId="6FBE334E" w14:textId="65E1642A" w:rsidR="0078503C" w:rsidRPr="000665B0" w:rsidRDefault="0078503C" w:rsidP="006D5A65">
      <w:pPr>
        <w:pStyle w:val="Heading1"/>
      </w:pPr>
      <w:r w:rsidRPr="000665B0">
        <w:t>Select a TMPR that has missiles required or assigned</w:t>
      </w:r>
      <w:r w:rsidR="00A271D7" w:rsidRPr="000665B0">
        <w:t>,</w:t>
      </w:r>
      <w:r w:rsidRPr="000665B0">
        <w:t xml:space="preserve"> invoke the context menu (</w:t>
      </w:r>
      <w:r w:rsidR="00D71804" w:rsidRPr="000665B0">
        <w:t>right-click</w:t>
      </w:r>
      <w:r w:rsidRPr="000665B0">
        <w:t xml:space="preserve"> the mouse)</w:t>
      </w:r>
      <w:r w:rsidR="00A271D7" w:rsidRPr="000665B0">
        <w:t>,</w:t>
      </w:r>
      <w:r w:rsidRPr="000665B0">
        <w:t xml:space="preserve"> and select Replace </w:t>
      </w:r>
      <w:r w:rsidRPr="000665B0">
        <w:lastRenderedPageBreak/>
        <w:t>TMPR</w:t>
      </w:r>
      <w:r w:rsidR="00A271D7" w:rsidRPr="000665B0">
        <w:t xml:space="preserve"> (not enabled unless</w:t>
      </w:r>
      <w:r w:rsidRPr="000665B0">
        <w:t xml:space="preserve"> there are missiles required or assigned</w:t>
      </w:r>
      <w:r w:rsidR="00A271D7" w:rsidRPr="000665B0">
        <w:t>)</w:t>
      </w:r>
      <w:r w:rsidRPr="000665B0">
        <w:t xml:space="preserve">. </w:t>
      </w:r>
      <w:r w:rsidR="00A271D7" w:rsidRPr="000665B0">
        <w:t>T</w:t>
      </w:r>
      <w:r w:rsidRPr="000665B0">
        <w:t xml:space="preserve">he </w:t>
      </w:r>
      <w:r w:rsidRPr="000665B0">
        <w:rPr>
          <w:i/>
        </w:rPr>
        <w:t>TMPR Candidates</w:t>
      </w:r>
      <w:r w:rsidRPr="000665B0">
        <w:t xml:space="preserve"> window </w:t>
      </w:r>
      <w:r w:rsidR="00DB5AEE" w:rsidRPr="000665B0">
        <w:t>is</w:t>
      </w:r>
      <w:r w:rsidRPr="000665B0">
        <w:t xml:space="preserve"> displayed.</w:t>
      </w:r>
    </w:p>
    <w:p w14:paraId="6EC32720" w14:textId="7D052C75" w:rsidR="0078503C" w:rsidRPr="000665B0" w:rsidRDefault="00421CE1" w:rsidP="00474A1F">
      <w:pPr>
        <w:tabs>
          <w:tab w:val="left" w:pos="720"/>
        </w:tabs>
        <w:jc w:val="center"/>
      </w:pPr>
      <w:r w:rsidRPr="000665B0">
        <w:rPr>
          <w:noProof/>
        </w:rPr>
        <w:drawing>
          <wp:inline distT="0" distB="0" distL="0" distR="0" wp14:anchorId="6A400639" wp14:editId="0D18C2E8">
            <wp:extent cx="3200400" cy="3602736"/>
            <wp:effectExtent l="0" t="0" r="0" b="0"/>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3200400" cy="3602736"/>
                    </a:xfrm>
                    <a:prstGeom prst="rect">
                      <a:avLst/>
                    </a:prstGeom>
                    <a:noFill/>
                    <a:ln>
                      <a:noFill/>
                    </a:ln>
                  </pic:spPr>
                </pic:pic>
              </a:graphicData>
            </a:graphic>
          </wp:inline>
        </w:drawing>
      </w:r>
    </w:p>
    <w:p w14:paraId="4FC0F720" w14:textId="77777777" w:rsidR="0078503C" w:rsidRPr="000665B0" w:rsidRDefault="0078503C" w:rsidP="006D5A65">
      <w:pPr>
        <w:pStyle w:val="Heading1"/>
      </w:pPr>
      <w:r w:rsidRPr="000665B0">
        <w:t>The top part of the window contains information about the currently selected TMPR and its target.</w:t>
      </w:r>
    </w:p>
    <w:p w14:paraId="38D5743F" w14:textId="77777777" w:rsidR="0078503C" w:rsidRPr="000665B0" w:rsidRDefault="0078503C" w:rsidP="006D5A65">
      <w:pPr>
        <w:pStyle w:val="Heading1"/>
      </w:pPr>
      <w:r w:rsidRPr="000665B0">
        <w:t xml:space="preserve">The TMPR Missions </w:t>
      </w:r>
      <w:r w:rsidR="00FE4258" w:rsidRPr="000665B0">
        <w:t>pane</w:t>
      </w:r>
      <w:r w:rsidRPr="000665B0">
        <w:t xml:space="preserve"> contains the Missions that are associated with the requested TMPR.</w:t>
      </w:r>
    </w:p>
    <w:p w14:paraId="6FD964C2" w14:textId="77777777" w:rsidR="0078503C" w:rsidRPr="000665B0" w:rsidRDefault="0078503C" w:rsidP="006D5A65">
      <w:pPr>
        <w:pStyle w:val="Heading1"/>
      </w:pPr>
      <w:r w:rsidRPr="000665B0">
        <w:t xml:space="preserve">The Compatible Missions </w:t>
      </w:r>
      <w:r w:rsidR="00FE4258" w:rsidRPr="000665B0">
        <w:t>pane</w:t>
      </w:r>
      <w:r w:rsidRPr="000665B0">
        <w:t xml:space="preserve"> contains all the Missions in the system that may satisfy the currently selected TMPR’s tasking.</w:t>
      </w:r>
    </w:p>
    <w:p w14:paraId="01FB5872" w14:textId="77777777" w:rsidR="0078503C" w:rsidRPr="000665B0" w:rsidRDefault="0078503C" w:rsidP="006D5A65">
      <w:pPr>
        <w:pStyle w:val="Heading1"/>
      </w:pPr>
      <w:r w:rsidRPr="000665B0">
        <w:t>To replace the TMPR, select a Mission from either the TMPR Missions list view or the Compatible Missions list view</w:t>
      </w:r>
      <w:r w:rsidR="005F78BD" w:rsidRPr="000665B0">
        <w:t xml:space="preserve">. This will populate the Replacement Mission Information pane of the </w:t>
      </w:r>
      <w:r w:rsidR="005F78BD" w:rsidRPr="000665B0">
        <w:rPr>
          <w:i/>
        </w:rPr>
        <w:t>TMPR Candidates</w:t>
      </w:r>
      <w:r w:rsidR="005F78BD" w:rsidRPr="000665B0">
        <w:t xml:space="preserve"> window.</w:t>
      </w:r>
      <w:r w:rsidRPr="000665B0">
        <w:t xml:space="preserve"> </w:t>
      </w:r>
      <w:r w:rsidR="005F78BD" w:rsidRPr="000665B0">
        <w:t>C</w:t>
      </w:r>
      <w:r w:rsidRPr="000665B0">
        <w:t xml:space="preserve">lick Replace. Once the Replace button is </w:t>
      </w:r>
      <w:r w:rsidR="00FE4258" w:rsidRPr="000665B0">
        <w:t>selected</w:t>
      </w:r>
      <w:r w:rsidRPr="000665B0">
        <w:t>, all the required and assigned Missiles for the selected TMPR in the Strike Option will be replaced with the specified Mission.</w:t>
      </w:r>
    </w:p>
    <w:p w14:paraId="227CCB88" w14:textId="3883E764" w:rsidR="00F81861" w:rsidRPr="000665B0" w:rsidRDefault="00BB197D" w:rsidP="00474A1F">
      <w:pPr>
        <w:tabs>
          <w:tab w:val="left" w:pos="720"/>
        </w:tabs>
      </w:pPr>
      <w:r w:rsidRPr="000665B0">
        <w:t xml:space="preserve">As in other list views, </w:t>
      </w:r>
      <w:r w:rsidR="00AB79FF" w:rsidRPr="000665B0">
        <w:t xml:space="preserve">items can be selected to </w:t>
      </w:r>
      <w:r w:rsidRPr="000665B0">
        <w:t xml:space="preserve">Display Textually (see </w:t>
      </w:r>
      <w:hyperlink w:anchor="_5.2.1.2.4__Display_1" w:history="1">
        <w:r w:rsidRPr="000665B0">
          <w:rPr>
            <w:rStyle w:val="Hyperlink"/>
          </w:rPr>
          <w:t>Section 5.2.1.2.4</w:t>
        </w:r>
      </w:hyperlink>
      <w:r w:rsidRPr="000665B0">
        <w:rPr>
          <w:rStyle w:val="Hyperlink"/>
        </w:rPr>
        <w:t>)</w:t>
      </w:r>
      <w:r w:rsidRPr="000665B0">
        <w:t xml:space="preserve">, Display Geographically (see </w:t>
      </w:r>
      <w:hyperlink w:anchor="_5.2.1.2.2__Display_1" w:history="1">
        <w:r w:rsidRPr="000665B0">
          <w:rPr>
            <w:rStyle w:val="Hyperlink"/>
          </w:rPr>
          <w:t>Section 5.2.1.2.2</w:t>
        </w:r>
      </w:hyperlink>
      <w:r w:rsidRPr="000665B0">
        <w:rPr>
          <w:rStyle w:val="Hyperlink"/>
        </w:rPr>
        <w:t>)</w:t>
      </w:r>
      <w:r w:rsidRPr="000665B0">
        <w:t xml:space="preserve">, Display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0665B0">
        <w:rPr>
          <w:rStyle w:val="Hyperlink"/>
        </w:rPr>
        <w:t>)</w:t>
      </w:r>
      <w:r w:rsidRPr="000665B0">
        <w:t>.</w:t>
      </w:r>
    </w:p>
    <w:p w14:paraId="2898EA24" w14:textId="4119B42C" w:rsidR="0078503C" w:rsidRPr="000665B0" w:rsidRDefault="0078503C" w:rsidP="00474A1F">
      <w:pPr>
        <w:pStyle w:val="Heading5"/>
        <w:tabs>
          <w:tab w:val="left" w:pos="720"/>
        </w:tabs>
      </w:pPr>
      <w:bookmarkStart w:id="6316" w:name="_5.37.6.1.6__Missiles_Tab"/>
      <w:bookmarkStart w:id="6317" w:name="_5.37.6.1.5__Arsenal"/>
      <w:bookmarkStart w:id="6318" w:name="_Arsenal_Tab"/>
      <w:bookmarkStart w:id="6319" w:name="_Toc164499441"/>
      <w:bookmarkStart w:id="6320" w:name="_Toc289328864"/>
      <w:bookmarkStart w:id="6321" w:name="_Toc71955754"/>
      <w:bookmarkStart w:id="6322" w:name="_Toc96170289"/>
      <w:bookmarkStart w:id="6323" w:name="_Toc96234334"/>
      <w:bookmarkStart w:id="6324" w:name="_Toc112733754"/>
      <w:bookmarkEnd w:id="6312"/>
      <w:bookmarkEnd w:id="6313"/>
      <w:bookmarkEnd w:id="6314"/>
      <w:bookmarkEnd w:id="6315"/>
      <w:bookmarkEnd w:id="6316"/>
      <w:bookmarkEnd w:id="6317"/>
      <w:bookmarkEnd w:id="6318"/>
      <w:r w:rsidRPr="000665B0">
        <w:lastRenderedPageBreak/>
        <w:t>Arsenal Tab</w:t>
      </w:r>
      <w:bookmarkEnd w:id="6319"/>
      <w:bookmarkEnd w:id="6320"/>
    </w:p>
    <w:p w14:paraId="0D5B275F" w14:textId="77777777" w:rsidR="0078503C" w:rsidRPr="000665B0" w:rsidRDefault="0078503C" w:rsidP="00474A1F">
      <w:pPr>
        <w:pStyle w:val="BodyText"/>
        <w:tabs>
          <w:tab w:val="left" w:pos="720"/>
        </w:tabs>
        <w:spacing w:after="120"/>
      </w:pPr>
      <w:r w:rsidRPr="000665B0">
        <w:t xml:space="preserve">The </w:t>
      </w:r>
      <w:r w:rsidRPr="000665B0">
        <w:rPr>
          <w:b/>
          <w:bCs/>
          <w:i/>
        </w:rPr>
        <w:t>Arsenal</w:t>
      </w:r>
      <w:r w:rsidRPr="000665B0">
        <w:t xml:space="preserve"> tab is </w:t>
      </w:r>
      <w:r w:rsidR="00F35CB7" w:rsidRPr="000665B0">
        <w:t xml:space="preserve">used to select specific Nodes to use in the Strike Option. All or some of the Nodes previously entered in the parent Strike Folder can be specified for the Strike Option. </w:t>
      </w:r>
      <w:r w:rsidR="00575541" w:rsidRPr="000665B0">
        <w:t xml:space="preserve">In addition to other </w:t>
      </w:r>
      <w:r w:rsidR="00A34C4C" w:rsidRPr="000665B0">
        <w:t>functions</w:t>
      </w:r>
      <w:r w:rsidR="00575541" w:rsidRPr="000665B0">
        <w:t xml:space="preserve">, the user can also assign or edit roles to the </w:t>
      </w:r>
      <w:r w:rsidR="003E7791" w:rsidRPr="000665B0">
        <w:t>Nodes</w:t>
      </w:r>
      <w:r w:rsidR="00575541" w:rsidRPr="000665B0">
        <w:t xml:space="preserve"> in the </w:t>
      </w:r>
      <w:r w:rsidR="00575541" w:rsidRPr="000665B0">
        <w:rPr>
          <w:b/>
          <w:i/>
        </w:rPr>
        <w:t>Arsenal</w:t>
      </w:r>
      <w:r w:rsidR="00575541" w:rsidRPr="000665B0">
        <w:t xml:space="preserve"> tab</w:t>
      </w:r>
      <w:r w:rsidR="00A34C4C" w:rsidRPr="000665B0">
        <w:t>.</w:t>
      </w:r>
    </w:p>
    <w:p w14:paraId="7D021524" w14:textId="6C0D8E65" w:rsidR="00057127" w:rsidRPr="000665B0" w:rsidRDefault="00181269" w:rsidP="00474A1F">
      <w:pPr>
        <w:pStyle w:val="BodyText"/>
        <w:tabs>
          <w:tab w:val="left" w:pos="720"/>
        </w:tabs>
        <w:spacing w:after="120"/>
        <w:jc w:val="center"/>
      </w:pPr>
      <w:r w:rsidRPr="00E028CB">
        <w:rPr>
          <w:noProof/>
        </w:rPr>
        <w:drawing>
          <wp:inline distT="0" distB="0" distL="0" distR="0" wp14:anchorId="4E4E680F" wp14:editId="298022D1">
            <wp:extent cx="4953000" cy="2622550"/>
            <wp:effectExtent l="0" t="0" r="0" b="6350"/>
            <wp:docPr id="1863229997" name="Picture 1" descr="Graphical user interface, application, table, Word, Exc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29997" name="Picture 1" descr="Graphical user interface, application, table, Word, Excel&#10;&#10;AI-generated content may be incorrect."/>
                    <pic:cNvPicPr/>
                  </pic:nvPicPr>
                  <pic:blipFill>
                    <a:blip/>
                    <a:stretch>
                      <a:fillRect/>
                    </a:stretch>
                  </pic:blipFill>
                  <pic:spPr>
                    <a:xfrm>
                      <a:off x="0" y="0"/>
                      <a:ext cx="4962655" cy="2627662"/>
                    </a:xfrm>
                    <a:prstGeom prst="rect">
                      <a:avLst/>
                    </a:prstGeom>
                  </pic:spPr>
                </pic:pic>
              </a:graphicData>
            </a:graphic>
          </wp:inline>
        </w:drawing>
      </w:r>
    </w:p>
    <w:p w14:paraId="53F1F7AB" w14:textId="77777777" w:rsidR="00057127" w:rsidRPr="000665B0" w:rsidRDefault="00057127" w:rsidP="00057127">
      <w:pPr>
        <w:pStyle w:val="BodyText"/>
        <w:tabs>
          <w:tab w:val="left" w:pos="720"/>
        </w:tabs>
        <w:spacing w:after="120"/>
        <w:rPr>
          <w:b/>
          <w:i/>
        </w:rPr>
      </w:pPr>
      <w:bookmarkStart w:id="6325" w:name="_Hlk32302977"/>
      <w:r w:rsidRPr="000665B0">
        <w:rPr>
          <w:b/>
          <w:i/>
        </w:rPr>
        <w:t>Arsenal Tab List View</w:t>
      </w:r>
    </w:p>
    <w:p w14:paraId="04B7430D" w14:textId="05DF431E" w:rsidR="00057127" w:rsidRPr="000665B0" w:rsidRDefault="00057127" w:rsidP="006D5A65">
      <w:pPr>
        <w:pStyle w:val="Heading1"/>
      </w:pPr>
      <w:r w:rsidRPr="000665B0">
        <w:t xml:space="preserve">Missile Inventory Pane – </w:t>
      </w:r>
      <w:r w:rsidR="00EA5282">
        <w:t xml:space="preserve">Missile counts by type: </w:t>
      </w:r>
      <w:r w:rsidR="00EA5282">
        <w:rPr>
          <w:rStyle w:val="normaltextrun"/>
          <w:color w:val="000000"/>
        </w:rPr>
        <w:t>LUD3+LUD4</w:t>
      </w:r>
      <w:r w:rsidR="00EA5282">
        <w:rPr>
          <w:szCs w:val="24"/>
        </w:rPr>
        <w:t xml:space="preserve">, </w:t>
      </w:r>
      <w:r w:rsidR="00EA5282">
        <w:rPr>
          <w:rStyle w:val="normaltextrun"/>
          <w:color w:val="000000"/>
        </w:rPr>
        <w:t>LUA4+LUA5, LUP4+LUP5, SUP4+SUP5, LJP4+LJP5,</w:t>
      </w:r>
      <w:r w:rsidR="00181269" w:rsidRPr="00181269">
        <w:rPr>
          <w:color w:val="000000"/>
        </w:rPr>
        <w:t xml:space="preserve"> </w:t>
      </w:r>
      <w:r w:rsidR="00181269">
        <w:rPr>
          <w:rStyle w:val="normaltextrun"/>
          <w:color w:val="000000"/>
        </w:rPr>
        <w:t>LU24+LU25, LJ24+LJ25, 2U24+2U25,</w:t>
      </w:r>
      <w:r w:rsidR="00EA5282">
        <w:rPr>
          <w:rStyle w:val="normaltextrun"/>
          <w:color w:val="000000"/>
        </w:rPr>
        <w:t xml:space="preserve"> </w:t>
      </w:r>
      <w:r w:rsidR="00EA5282">
        <w:rPr>
          <w:color w:val="000000"/>
        </w:rPr>
        <w:t>Other MSLs</w:t>
      </w:r>
      <w:r w:rsidR="00EA5282">
        <w:rPr>
          <w:szCs w:val="24"/>
        </w:rPr>
        <w:t xml:space="preserve">, </w:t>
      </w:r>
      <w:r w:rsidR="00EA5282">
        <w:t xml:space="preserve">Total. Tactical or Training missiles are displayed based on the Strike Folder’s Class Type, as indicated in the Class field. </w:t>
      </w:r>
    </w:p>
    <w:p w14:paraId="4403D24F" w14:textId="33CEB759" w:rsidR="00107032" w:rsidRPr="000665B0" w:rsidRDefault="00107032" w:rsidP="006D5A65">
      <w:pPr>
        <w:pStyle w:val="Heading2"/>
      </w:pPr>
      <w:r w:rsidRPr="000665B0">
        <w:t xml:space="preserve">Available - A – </w:t>
      </w:r>
      <w:r w:rsidR="00EA5282">
        <w:t xml:space="preserve">Available missile counts by type: </w:t>
      </w:r>
      <w:r w:rsidR="00EA5282">
        <w:rPr>
          <w:rStyle w:val="normaltextrun"/>
          <w:color w:val="000000"/>
          <w:shd w:val="clear" w:color="auto" w:fill="FFFFFF"/>
        </w:rPr>
        <w:t xml:space="preserve">- </w:t>
      </w:r>
      <w:r w:rsidR="00EA5282">
        <w:rPr>
          <w:rStyle w:val="normaltextrun"/>
          <w:color w:val="000000"/>
        </w:rPr>
        <w:t>LUD3+LUD4</w:t>
      </w:r>
      <w:r w:rsidR="00EA5282">
        <w:rPr>
          <w:szCs w:val="24"/>
        </w:rPr>
        <w:t xml:space="preserve">, </w:t>
      </w:r>
      <w:r w:rsidR="00EA5282">
        <w:rPr>
          <w:rStyle w:val="normaltextrun"/>
          <w:color w:val="000000"/>
        </w:rPr>
        <w:t xml:space="preserve">LUA4+LUA5, LUP4+LUP5, </w:t>
      </w:r>
      <w:r w:rsidR="00181269">
        <w:rPr>
          <w:rStyle w:val="normaltextrun"/>
          <w:color w:val="000000"/>
        </w:rPr>
        <w:t xml:space="preserve">LU24+LU25, LJ24+LJ25, 2U24+2U25, </w:t>
      </w:r>
      <w:r w:rsidR="00EA5282">
        <w:rPr>
          <w:rStyle w:val="normaltextrun"/>
          <w:color w:val="000000"/>
        </w:rPr>
        <w:t xml:space="preserve">SUP4+SUP5, LJP4+LJP5, </w:t>
      </w:r>
      <w:r w:rsidR="00EA5282">
        <w:t>Other MSLs</w:t>
      </w:r>
      <w:r w:rsidR="00EA5282">
        <w:rPr>
          <w:szCs w:val="24"/>
        </w:rPr>
        <w:t>, Total</w:t>
      </w:r>
      <w:r w:rsidR="00EA5282">
        <w:t>.</w:t>
      </w:r>
    </w:p>
    <w:p w14:paraId="177A25AB" w14:textId="38C7AA53" w:rsidR="00107032" w:rsidRPr="000665B0" w:rsidRDefault="00107032" w:rsidP="006D5A65">
      <w:pPr>
        <w:pStyle w:val="Heading2"/>
      </w:pPr>
      <w:r w:rsidRPr="000665B0">
        <w:t xml:space="preserve">Reserved - R – </w:t>
      </w:r>
      <w:r w:rsidR="00EA5282" w:rsidRPr="00C36B36">
        <w:t xml:space="preserve">Reserved missile counts by type: LUD3+LUD4, LUA4+LUA5, LUP4+LUP5, SUP4+SUP5, LJP4+LJP5, </w:t>
      </w:r>
      <w:r w:rsidR="00181269">
        <w:rPr>
          <w:rStyle w:val="normaltextrun"/>
          <w:color w:val="000000"/>
        </w:rPr>
        <w:t xml:space="preserve">LU24+LU25, LJ24+LJ25, 2U24+2U25, </w:t>
      </w:r>
      <w:r w:rsidR="00EA5282" w:rsidRPr="00C36B36">
        <w:t xml:space="preserve">Other MSLs, Total. </w:t>
      </w:r>
    </w:p>
    <w:p w14:paraId="0593FABB" w14:textId="77777777" w:rsidR="00057127" w:rsidRPr="000665B0" w:rsidRDefault="00057127" w:rsidP="006D5A65">
      <w:pPr>
        <w:pStyle w:val="Heading1"/>
      </w:pPr>
      <w:r w:rsidRPr="000665B0">
        <w:lastRenderedPageBreak/>
        <w:t>Columns (Platform Level)</w:t>
      </w:r>
    </w:p>
    <w:p w14:paraId="19068378" w14:textId="77777777" w:rsidR="00057127" w:rsidRPr="000665B0" w:rsidRDefault="00057127" w:rsidP="006D5A65">
      <w:pPr>
        <w:pStyle w:val="Heading1"/>
      </w:pPr>
      <w:r w:rsidRPr="000665B0">
        <w:t>ID</w:t>
      </w:r>
      <w:r w:rsidR="00CA0E72" w:rsidRPr="000665B0">
        <w:t>/Type</w:t>
      </w:r>
      <w:r w:rsidRPr="000665B0">
        <w:t xml:space="preserve"> – The platform ID.</w:t>
      </w:r>
    </w:p>
    <w:p w14:paraId="29EE5A87" w14:textId="77777777" w:rsidR="00CA0E72" w:rsidRPr="000665B0" w:rsidRDefault="00CA0E72" w:rsidP="006D5A65">
      <w:pPr>
        <w:pStyle w:val="Heading1"/>
      </w:pPr>
      <w:r w:rsidRPr="000665B0">
        <w:t xml:space="preserve">Trigraph – </w:t>
      </w:r>
      <w:r w:rsidR="00191321" w:rsidRPr="000665B0">
        <w:t>Trigraph of platform shooting the missile.</w:t>
      </w:r>
    </w:p>
    <w:p w14:paraId="6218AB95" w14:textId="313E946D" w:rsidR="00EA5282" w:rsidRPr="000665B0" w:rsidRDefault="00057127" w:rsidP="006D5A65">
      <w:pPr>
        <w:pStyle w:val="Heading1"/>
      </w:pPr>
      <w:r w:rsidRPr="000665B0">
        <w:t>Name – Name of the platform.</w:t>
      </w:r>
    </w:p>
    <w:p w14:paraId="6629C728" w14:textId="75DB90A1" w:rsidR="00CA0E72" w:rsidRDefault="00CA0E72" w:rsidP="006D5A65">
      <w:pPr>
        <w:pStyle w:val="Heading1"/>
      </w:pPr>
      <w:r w:rsidRPr="000665B0">
        <w:t xml:space="preserve">AVL – </w:t>
      </w:r>
      <w:r w:rsidR="00191321" w:rsidRPr="000665B0">
        <w:t>Total number of missiles available.</w:t>
      </w:r>
    </w:p>
    <w:p w14:paraId="679D9F02" w14:textId="77777777" w:rsidR="00EA5282" w:rsidRDefault="00EA5282" w:rsidP="006D5A65">
      <w:pPr>
        <w:pStyle w:val="Heading1"/>
      </w:pPr>
      <w:r w:rsidRPr="00AB72FE">
        <w:rPr>
          <w:rStyle w:val="normaltextrun"/>
          <w:color w:val="000000"/>
        </w:rPr>
        <w:t>LUD3</w:t>
      </w:r>
      <w:r>
        <w:rPr>
          <w:rStyle w:val="normaltextrun"/>
          <w:color w:val="000000"/>
        </w:rPr>
        <w:t>+</w:t>
      </w:r>
      <w:r w:rsidRPr="00AB72FE">
        <w:rPr>
          <w:rStyle w:val="normaltextrun"/>
          <w:color w:val="000000"/>
        </w:rPr>
        <w:t>LUD4</w:t>
      </w:r>
      <w:r>
        <w:rPr>
          <w:rStyle w:val="normaltextrun"/>
          <w:color w:val="000000"/>
        </w:rPr>
        <w:t xml:space="preserve"> A/R </w:t>
      </w:r>
      <w:r w:rsidRPr="000665B0">
        <w:t xml:space="preserve">– Number of </w:t>
      </w:r>
      <w:r>
        <w:rPr>
          <w:rStyle w:val="normaltextrun"/>
          <w:color w:val="000000"/>
        </w:rPr>
        <w:t>LUD3+</w:t>
      </w:r>
      <w:r w:rsidRPr="004036BD">
        <w:rPr>
          <w:rStyle w:val="normaltextrun"/>
          <w:color w:val="000000"/>
        </w:rPr>
        <w:t>LUD4</w:t>
      </w:r>
      <w:r>
        <w:rPr>
          <w:rStyle w:val="normaltextrun"/>
          <w:color w:val="000000"/>
        </w:rPr>
        <w:t xml:space="preserve"> </w:t>
      </w:r>
      <w:r w:rsidRPr="000665B0">
        <w:t>missiles</w:t>
      </w:r>
      <w:r>
        <w:t xml:space="preserve"> Available/Reserved</w:t>
      </w:r>
      <w:r w:rsidRPr="000665B0">
        <w:t>.</w:t>
      </w:r>
    </w:p>
    <w:p w14:paraId="24E9F21C" w14:textId="77777777" w:rsidR="00EA5282" w:rsidRPr="000665B0" w:rsidRDefault="00EA5282" w:rsidP="006D5A65">
      <w:pPr>
        <w:pStyle w:val="Heading1"/>
      </w:pPr>
      <w:r w:rsidRPr="00AB72FE">
        <w:rPr>
          <w:rStyle w:val="normaltextrun"/>
          <w:color w:val="000000"/>
        </w:rPr>
        <w:t>LU</w:t>
      </w:r>
      <w:r>
        <w:rPr>
          <w:rStyle w:val="normaltextrun"/>
          <w:color w:val="000000"/>
        </w:rPr>
        <w:t xml:space="preserve">A4+LUA5 A/R </w:t>
      </w:r>
      <w:r w:rsidRPr="000665B0">
        <w:t xml:space="preserve">– Number of </w:t>
      </w:r>
      <w:r>
        <w:rPr>
          <w:rStyle w:val="normaltextrun"/>
          <w:color w:val="000000"/>
        </w:rPr>
        <w:t xml:space="preserve">LUA4+LUA5 </w:t>
      </w:r>
      <w:r w:rsidRPr="000665B0">
        <w:t>missiles</w:t>
      </w:r>
      <w:r>
        <w:t xml:space="preserve"> Available/Reserved</w:t>
      </w:r>
      <w:r w:rsidRPr="000665B0">
        <w:t>.</w:t>
      </w:r>
    </w:p>
    <w:p w14:paraId="3DF9E29B" w14:textId="77777777" w:rsidR="00EA5282" w:rsidRPr="000665B0" w:rsidRDefault="00EA5282" w:rsidP="006D5A65">
      <w:pPr>
        <w:pStyle w:val="Heading1"/>
      </w:pPr>
      <w:r>
        <w:rPr>
          <w:rStyle w:val="normaltextrun"/>
          <w:color w:val="000000"/>
        </w:rPr>
        <w:t>LUP4+</w:t>
      </w:r>
      <w:r w:rsidRPr="00AB72FE">
        <w:rPr>
          <w:rStyle w:val="normaltextrun"/>
          <w:color w:val="000000"/>
        </w:rPr>
        <w:t>LUP5</w:t>
      </w:r>
      <w:r>
        <w:rPr>
          <w:rStyle w:val="normaltextrun"/>
          <w:color w:val="000000"/>
        </w:rPr>
        <w:t xml:space="preserve"> A/R </w:t>
      </w:r>
      <w:r w:rsidRPr="000665B0">
        <w:t xml:space="preserve">– Number of </w:t>
      </w:r>
      <w:r>
        <w:rPr>
          <w:rStyle w:val="normaltextrun"/>
          <w:color w:val="000000"/>
        </w:rPr>
        <w:t xml:space="preserve">LUP4+LUP5 </w:t>
      </w:r>
      <w:r w:rsidRPr="000665B0">
        <w:t>missiles</w:t>
      </w:r>
      <w:r>
        <w:t xml:space="preserve"> Available/Reserved</w:t>
      </w:r>
      <w:r w:rsidRPr="000665B0">
        <w:t>.</w:t>
      </w:r>
    </w:p>
    <w:p w14:paraId="36772442" w14:textId="77777777" w:rsidR="00EA5282" w:rsidRDefault="00EA5282" w:rsidP="006D5A65">
      <w:pPr>
        <w:pStyle w:val="Heading1"/>
      </w:pPr>
      <w:r>
        <w:rPr>
          <w:rStyle w:val="normaltextrun"/>
          <w:color w:val="000000"/>
        </w:rPr>
        <w:t>SUP4+</w:t>
      </w:r>
      <w:r w:rsidRPr="00AB72FE">
        <w:rPr>
          <w:rStyle w:val="normaltextrun"/>
          <w:color w:val="000000"/>
        </w:rPr>
        <w:t>SUP5</w:t>
      </w:r>
      <w:r>
        <w:rPr>
          <w:rStyle w:val="normaltextrun"/>
          <w:color w:val="000000"/>
        </w:rPr>
        <w:t xml:space="preserve"> A/R </w:t>
      </w:r>
      <w:r w:rsidRPr="000665B0">
        <w:t xml:space="preserve">– Number of </w:t>
      </w:r>
      <w:r>
        <w:rPr>
          <w:rStyle w:val="normaltextrun"/>
          <w:color w:val="000000"/>
        </w:rPr>
        <w:t>SUP4+</w:t>
      </w:r>
      <w:r w:rsidRPr="004036BD">
        <w:rPr>
          <w:rStyle w:val="normaltextrun"/>
          <w:color w:val="000000"/>
        </w:rPr>
        <w:t>SUP5</w:t>
      </w:r>
      <w:r>
        <w:rPr>
          <w:rStyle w:val="normaltextrun"/>
          <w:color w:val="000000"/>
        </w:rPr>
        <w:t xml:space="preserve"> </w:t>
      </w:r>
      <w:r w:rsidRPr="000665B0">
        <w:t>missiles</w:t>
      </w:r>
      <w:r>
        <w:t xml:space="preserve"> Available/Reserved</w:t>
      </w:r>
      <w:r w:rsidRPr="000665B0">
        <w:t>.</w:t>
      </w:r>
    </w:p>
    <w:p w14:paraId="78B579CF" w14:textId="77777777" w:rsidR="00AD0E69" w:rsidRDefault="00EA5282" w:rsidP="006D5A65">
      <w:pPr>
        <w:pStyle w:val="Heading1"/>
      </w:pPr>
      <w:r w:rsidRPr="000D3EF7">
        <w:rPr>
          <w:rStyle w:val="normaltextrun"/>
          <w:color w:val="000000"/>
        </w:rPr>
        <w:t>LJP4+LJP5 A/R</w:t>
      </w:r>
      <w:r w:rsidRPr="000665B0">
        <w:t xml:space="preserve"> – Number of </w:t>
      </w:r>
      <w:r w:rsidRPr="000D3EF7">
        <w:rPr>
          <w:rStyle w:val="normaltextrun"/>
          <w:color w:val="000000"/>
        </w:rPr>
        <w:t xml:space="preserve">LJP4+LJP5 </w:t>
      </w:r>
      <w:r w:rsidRPr="000665B0">
        <w:t>missiles</w:t>
      </w:r>
      <w:r>
        <w:t xml:space="preserve"> Available/Reserved</w:t>
      </w:r>
      <w:r w:rsidRPr="000665B0">
        <w:t>.</w:t>
      </w:r>
    </w:p>
    <w:p w14:paraId="650EEAAA" w14:textId="77777777" w:rsidR="00AD0E69" w:rsidRDefault="00AD0E69" w:rsidP="006D5A65">
      <w:pPr>
        <w:pStyle w:val="Heading1"/>
      </w:pPr>
      <w:r w:rsidRPr="000D3EF7">
        <w:rPr>
          <w:rStyle w:val="normaltextrun"/>
          <w:color w:val="000000"/>
        </w:rPr>
        <w:t>L</w:t>
      </w:r>
      <w:r>
        <w:rPr>
          <w:rStyle w:val="normaltextrun"/>
          <w:color w:val="000000"/>
        </w:rPr>
        <w:t>U24</w:t>
      </w:r>
      <w:r w:rsidRPr="000D3EF7">
        <w:rPr>
          <w:rStyle w:val="normaltextrun"/>
          <w:color w:val="000000"/>
        </w:rPr>
        <w:t>+L</w:t>
      </w:r>
      <w:r>
        <w:rPr>
          <w:rStyle w:val="normaltextrun"/>
          <w:color w:val="000000"/>
        </w:rPr>
        <w:t>U25</w:t>
      </w:r>
      <w:r w:rsidRPr="000D3EF7">
        <w:rPr>
          <w:rStyle w:val="normaltextrun"/>
          <w:color w:val="000000"/>
        </w:rPr>
        <w:t xml:space="preserve"> A/R</w:t>
      </w:r>
      <w:r w:rsidRPr="000665B0">
        <w:t xml:space="preserve"> – Number of </w:t>
      </w:r>
      <w:r w:rsidRPr="000D3EF7">
        <w:rPr>
          <w:rStyle w:val="normaltextrun"/>
          <w:color w:val="000000"/>
        </w:rPr>
        <w:t>L</w:t>
      </w:r>
      <w:r>
        <w:rPr>
          <w:rStyle w:val="normaltextrun"/>
          <w:color w:val="000000"/>
        </w:rPr>
        <w:t>U24</w:t>
      </w:r>
      <w:r w:rsidRPr="000D3EF7">
        <w:rPr>
          <w:rStyle w:val="normaltextrun"/>
          <w:color w:val="000000"/>
        </w:rPr>
        <w:t>+L</w:t>
      </w:r>
      <w:r>
        <w:rPr>
          <w:rStyle w:val="normaltextrun"/>
          <w:color w:val="000000"/>
        </w:rPr>
        <w:t>U25</w:t>
      </w:r>
      <w:r w:rsidRPr="000D3EF7">
        <w:rPr>
          <w:rStyle w:val="normaltextrun"/>
          <w:color w:val="000000"/>
        </w:rPr>
        <w:t xml:space="preserve"> </w:t>
      </w:r>
      <w:r w:rsidRPr="000665B0">
        <w:t>missiles</w:t>
      </w:r>
      <w:r>
        <w:t xml:space="preserve"> Available/Reserved</w:t>
      </w:r>
      <w:r w:rsidRPr="000665B0">
        <w:t>.</w:t>
      </w:r>
    </w:p>
    <w:p w14:paraId="084D6E54" w14:textId="77777777" w:rsidR="00AD0E69" w:rsidRDefault="00AD0E69" w:rsidP="006D5A65">
      <w:pPr>
        <w:pStyle w:val="Heading1"/>
      </w:pPr>
      <w:r w:rsidRPr="000D3EF7">
        <w:rPr>
          <w:rStyle w:val="normaltextrun"/>
          <w:color w:val="000000"/>
        </w:rPr>
        <w:t>LJ</w:t>
      </w:r>
      <w:r>
        <w:rPr>
          <w:rStyle w:val="normaltextrun"/>
          <w:color w:val="000000"/>
        </w:rPr>
        <w:t>24</w:t>
      </w:r>
      <w:r w:rsidRPr="000D3EF7">
        <w:rPr>
          <w:rStyle w:val="normaltextrun"/>
          <w:color w:val="000000"/>
        </w:rPr>
        <w:t>+LJ</w:t>
      </w:r>
      <w:r>
        <w:rPr>
          <w:rStyle w:val="normaltextrun"/>
          <w:color w:val="000000"/>
        </w:rPr>
        <w:t>24</w:t>
      </w:r>
      <w:r w:rsidRPr="000D3EF7">
        <w:rPr>
          <w:rStyle w:val="normaltextrun"/>
          <w:color w:val="000000"/>
        </w:rPr>
        <w:t xml:space="preserve"> A/R</w:t>
      </w:r>
      <w:r w:rsidRPr="000665B0">
        <w:t xml:space="preserve"> – Number of </w:t>
      </w:r>
      <w:r w:rsidRPr="000D3EF7">
        <w:rPr>
          <w:rStyle w:val="normaltextrun"/>
          <w:color w:val="000000"/>
        </w:rPr>
        <w:t>LJ</w:t>
      </w:r>
      <w:r>
        <w:rPr>
          <w:rStyle w:val="normaltextrun"/>
          <w:color w:val="000000"/>
        </w:rPr>
        <w:t>2</w:t>
      </w:r>
      <w:r w:rsidRPr="000D3EF7">
        <w:rPr>
          <w:rStyle w:val="normaltextrun"/>
          <w:color w:val="000000"/>
        </w:rPr>
        <w:t>4+LJ</w:t>
      </w:r>
      <w:r>
        <w:rPr>
          <w:rStyle w:val="normaltextrun"/>
          <w:color w:val="000000"/>
        </w:rPr>
        <w:t>2</w:t>
      </w:r>
      <w:r w:rsidRPr="000D3EF7">
        <w:rPr>
          <w:rStyle w:val="normaltextrun"/>
          <w:color w:val="000000"/>
        </w:rPr>
        <w:t xml:space="preserve">5 </w:t>
      </w:r>
      <w:r w:rsidRPr="000665B0">
        <w:t>missiles</w:t>
      </w:r>
      <w:r>
        <w:t xml:space="preserve"> Available/Reserved</w:t>
      </w:r>
      <w:r w:rsidRPr="000665B0">
        <w:t>.</w:t>
      </w:r>
    </w:p>
    <w:p w14:paraId="6D202F43" w14:textId="6EE77B72" w:rsidR="00B12D18" w:rsidRDefault="00AD0E69" w:rsidP="006D5A65">
      <w:pPr>
        <w:pStyle w:val="Heading1"/>
      </w:pPr>
      <w:r>
        <w:rPr>
          <w:rStyle w:val="normaltextrun"/>
          <w:color w:val="000000"/>
        </w:rPr>
        <w:t>2U24</w:t>
      </w:r>
      <w:r w:rsidRPr="000D3EF7">
        <w:rPr>
          <w:rStyle w:val="normaltextrun"/>
          <w:color w:val="000000"/>
        </w:rPr>
        <w:t>+</w:t>
      </w:r>
      <w:r>
        <w:rPr>
          <w:rStyle w:val="normaltextrun"/>
          <w:color w:val="000000"/>
        </w:rPr>
        <w:t>2U25</w:t>
      </w:r>
      <w:r w:rsidRPr="000D3EF7">
        <w:rPr>
          <w:rStyle w:val="normaltextrun"/>
          <w:color w:val="000000"/>
        </w:rPr>
        <w:t xml:space="preserve"> A/R</w:t>
      </w:r>
      <w:r w:rsidRPr="000665B0">
        <w:t xml:space="preserve"> – Number of </w:t>
      </w:r>
      <w:r>
        <w:rPr>
          <w:rStyle w:val="normaltextrun"/>
          <w:color w:val="000000"/>
        </w:rPr>
        <w:t>2U2</w:t>
      </w:r>
      <w:r w:rsidRPr="000D3EF7">
        <w:rPr>
          <w:rStyle w:val="normaltextrun"/>
          <w:color w:val="000000"/>
        </w:rPr>
        <w:t>4+</w:t>
      </w:r>
      <w:r>
        <w:rPr>
          <w:rStyle w:val="normaltextrun"/>
          <w:color w:val="000000"/>
        </w:rPr>
        <w:t>2U2</w:t>
      </w:r>
      <w:r w:rsidRPr="000D3EF7">
        <w:rPr>
          <w:rStyle w:val="normaltextrun"/>
          <w:color w:val="000000"/>
        </w:rPr>
        <w:t xml:space="preserve">5 </w:t>
      </w:r>
      <w:r w:rsidRPr="000665B0">
        <w:t>missiles</w:t>
      </w:r>
      <w:r>
        <w:t xml:space="preserve"> Available/Reserved</w:t>
      </w:r>
      <w:r w:rsidRPr="000665B0">
        <w:t>.</w:t>
      </w:r>
    </w:p>
    <w:p w14:paraId="39DAC08A" w14:textId="2248CA91" w:rsidR="00EA5282" w:rsidRPr="000665B0" w:rsidRDefault="00EA5282" w:rsidP="006D5A65">
      <w:pPr>
        <w:pStyle w:val="Heading1"/>
      </w:pPr>
      <w:r>
        <w:rPr>
          <w:rStyle w:val="normaltextrun"/>
          <w:color w:val="000000"/>
        </w:rPr>
        <w:t xml:space="preserve">Other MSLs A/R </w:t>
      </w:r>
      <w:r w:rsidRPr="000665B0">
        <w:t xml:space="preserve">– </w:t>
      </w:r>
      <w:r w:rsidRPr="009152D4">
        <w:t xml:space="preserve">Number of </w:t>
      </w:r>
      <w:r w:rsidRPr="009152D4">
        <w:rPr>
          <w:color w:val="000000"/>
          <w:shd w:val="clear" w:color="auto" w:fill="FFFFFF"/>
        </w:rPr>
        <w:t xml:space="preserve">Block III and Exercise </w:t>
      </w:r>
      <w:r w:rsidRPr="009152D4">
        <w:t xml:space="preserve">missiles </w:t>
      </w:r>
      <w:r>
        <w:t>Available/Reserved</w:t>
      </w:r>
      <w:r w:rsidRPr="000665B0">
        <w:t>.</w:t>
      </w:r>
    </w:p>
    <w:p w14:paraId="33628FBB" w14:textId="77777777" w:rsidR="00CA0E72" w:rsidRPr="000665B0" w:rsidRDefault="00CA0E72" w:rsidP="006D5A65">
      <w:pPr>
        <w:pStyle w:val="Heading1"/>
      </w:pPr>
      <w:r w:rsidRPr="000665B0">
        <w:t xml:space="preserve">LPMP Op Area – </w:t>
      </w:r>
      <w:r w:rsidR="00191321" w:rsidRPr="000665B0">
        <w:t xml:space="preserve">The </w:t>
      </w:r>
      <w:r w:rsidR="00056C46" w:rsidRPr="000665B0">
        <w:t>Launch Platform Mission Planning</w:t>
      </w:r>
      <w:r w:rsidR="00191321" w:rsidRPr="000665B0">
        <w:t xml:space="preserve"> Op Area associated with the platform.</w:t>
      </w:r>
    </w:p>
    <w:p w14:paraId="6730BACB" w14:textId="77777777" w:rsidR="00CA0E72" w:rsidRPr="000665B0" w:rsidRDefault="00CA0E72" w:rsidP="006D5A65">
      <w:pPr>
        <w:pStyle w:val="Heading1"/>
      </w:pPr>
      <w:r w:rsidRPr="000665B0">
        <w:t xml:space="preserve">PLP – </w:t>
      </w:r>
      <w:r w:rsidR="00191321" w:rsidRPr="000665B0">
        <w:t>The P</w:t>
      </w:r>
      <w:r w:rsidR="00056C46" w:rsidRPr="000665B0">
        <w:t>referred Launch Position</w:t>
      </w:r>
      <w:r w:rsidR="00191321" w:rsidRPr="000665B0">
        <w:t xml:space="preserve"> associated with the platform.</w:t>
      </w:r>
    </w:p>
    <w:p w14:paraId="537AF0FC" w14:textId="77777777" w:rsidR="00CA0E72" w:rsidRPr="000665B0" w:rsidRDefault="00CA0E72" w:rsidP="006D5A65">
      <w:pPr>
        <w:pStyle w:val="Heading1"/>
      </w:pPr>
      <w:r w:rsidRPr="000665B0">
        <w:t xml:space="preserve">P – </w:t>
      </w:r>
      <w:r w:rsidR="00191321" w:rsidRPr="000665B0">
        <w:t>Number of primaries needed/assigned on FRU.</w:t>
      </w:r>
    </w:p>
    <w:p w14:paraId="2E7BDB53" w14:textId="77777777" w:rsidR="00CA0E72" w:rsidRPr="000665B0" w:rsidRDefault="00CA0E72" w:rsidP="006D5A65">
      <w:pPr>
        <w:pStyle w:val="Heading1"/>
      </w:pPr>
      <w:r w:rsidRPr="000665B0">
        <w:t xml:space="preserve">RS – </w:t>
      </w:r>
      <w:r w:rsidR="00191321" w:rsidRPr="000665B0">
        <w:t>Number of ready spares needed/assigned on FRU.</w:t>
      </w:r>
    </w:p>
    <w:p w14:paraId="6099C895" w14:textId="77777777" w:rsidR="00CA0E72" w:rsidRPr="000665B0" w:rsidRDefault="00CA0E72" w:rsidP="006D5A65">
      <w:pPr>
        <w:pStyle w:val="Heading1"/>
      </w:pPr>
      <w:r w:rsidRPr="000665B0">
        <w:t xml:space="preserve">ARS – </w:t>
      </w:r>
      <w:r w:rsidR="00191321" w:rsidRPr="000665B0">
        <w:t>Number of auto ready spares needed/assigned on FRU.</w:t>
      </w:r>
    </w:p>
    <w:p w14:paraId="06B0D645" w14:textId="77777777" w:rsidR="00CA0E72" w:rsidRPr="000665B0" w:rsidRDefault="00CA0E72" w:rsidP="006D5A65">
      <w:pPr>
        <w:pStyle w:val="Heading1"/>
      </w:pPr>
      <w:r w:rsidRPr="000665B0">
        <w:t xml:space="preserve">B – </w:t>
      </w:r>
      <w:r w:rsidR="00191321" w:rsidRPr="000665B0">
        <w:t>Number of backups needed/assigned on FRU.</w:t>
      </w:r>
    </w:p>
    <w:p w14:paraId="4918DC40" w14:textId="738F9417" w:rsidR="00CA0E72" w:rsidRPr="000665B0" w:rsidRDefault="00CA0E72" w:rsidP="006D5A65">
      <w:pPr>
        <w:pStyle w:val="Heading1"/>
      </w:pPr>
      <w:r w:rsidRPr="000665B0">
        <w:t xml:space="preserve">BP – </w:t>
      </w:r>
      <w:r w:rsidR="00191321" w:rsidRPr="000665B0">
        <w:t xml:space="preserve">Number of backup pools needed/assigned on </w:t>
      </w:r>
      <w:r w:rsidR="004404E5" w:rsidRPr="000665B0">
        <w:t>FRU.</w:t>
      </w:r>
    </w:p>
    <w:p w14:paraId="59C64C27" w14:textId="77777777" w:rsidR="00CA0E72" w:rsidRPr="000665B0" w:rsidRDefault="00CA0E72" w:rsidP="006D5A65">
      <w:pPr>
        <w:pStyle w:val="Heading1"/>
      </w:pPr>
      <w:r w:rsidRPr="000665B0">
        <w:t xml:space="preserve">Last Applicable Revision – </w:t>
      </w:r>
      <w:r w:rsidR="00056C46" w:rsidRPr="000665B0">
        <w:t>Last revision that applies to the FRU.</w:t>
      </w:r>
    </w:p>
    <w:p w14:paraId="27646A42" w14:textId="77777777" w:rsidR="00CA0E72" w:rsidRPr="000665B0" w:rsidRDefault="00CA0E72" w:rsidP="006D5A65">
      <w:pPr>
        <w:pStyle w:val="Heading1"/>
      </w:pPr>
      <w:r w:rsidRPr="000665B0">
        <w:t xml:space="preserve">Rcvd Msl Inventory – </w:t>
      </w:r>
      <w:r w:rsidR="00056C46" w:rsidRPr="000665B0">
        <w:t>Time the missile inventory was received for the FRU.</w:t>
      </w:r>
    </w:p>
    <w:p w14:paraId="524D23A4" w14:textId="77777777" w:rsidR="00CA0E72" w:rsidRPr="000665B0" w:rsidRDefault="00CA0E72" w:rsidP="006D5A65">
      <w:pPr>
        <w:pStyle w:val="Heading1"/>
      </w:pPr>
      <w:r w:rsidRPr="000665B0">
        <w:t xml:space="preserve">MC1 CTRL DATA – </w:t>
      </w:r>
      <w:r w:rsidR="00056C46" w:rsidRPr="000665B0">
        <w:t>Primary Controller DTA for the FRU.</w:t>
      </w:r>
    </w:p>
    <w:p w14:paraId="745D3739" w14:textId="77777777" w:rsidR="00CA0E72" w:rsidRPr="000665B0" w:rsidRDefault="00CA0E72" w:rsidP="006D5A65">
      <w:pPr>
        <w:pStyle w:val="Heading1"/>
      </w:pPr>
      <w:r w:rsidRPr="000665B0">
        <w:t xml:space="preserve">MC1 MSL H/S DTA – </w:t>
      </w:r>
      <w:r w:rsidR="00056C46" w:rsidRPr="000665B0">
        <w:t>Primary Missile DTA for the FRU.</w:t>
      </w:r>
    </w:p>
    <w:p w14:paraId="371C6E15" w14:textId="77777777" w:rsidR="00CA0E72" w:rsidRPr="000665B0" w:rsidRDefault="00CA0E72" w:rsidP="006D5A65">
      <w:pPr>
        <w:pStyle w:val="Heading1"/>
      </w:pPr>
      <w:r w:rsidRPr="000665B0">
        <w:t xml:space="preserve">MC2 CTRL DTA – </w:t>
      </w:r>
      <w:r w:rsidR="00056C46" w:rsidRPr="000665B0">
        <w:t>Secondary Controller DTA for the FRU.</w:t>
      </w:r>
    </w:p>
    <w:p w14:paraId="58B7F684" w14:textId="26B2A0FF" w:rsidR="00CA0E72" w:rsidRPr="000665B0" w:rsidRDefault="00CA0E72" w:rsidP="006D5A65">
      <w:pPr>
        <w:pStyle w:val="Heading1"/>
      </w:pPr>
      <w:r w:rsidRPr="000665B0">
        <w:t xml:space="preserve">MC2 MSL/HS DTA – </w:t>
      </w:r>
      <w:r w:rsidR="00056C46" w:rsidRPr="000665B0">
        <w:t>Secondary Missile DTA for the FRU.</w:t>
      </w:r>
    </w:p>
    <w:p w14:paraId="24790C75" w14:textId="77777777" w:rsidR="00057127" w:rsidRPr="000665B0" w:rsidRDefault="00057127" w:rsidP="006D5A65">
      <w:pPr>
        <w:pStyle w:val="Heading1"/>
      </w:pPr>
      <w:r w:rsidRPr="000665B0">
        <w:t>Radio Frequency – The radio frequency of the platform.</w:t>
      </w:r>
    </w:p>
    <w:p w14:paraId="52DFAA90" w14:textId="2DD71D5F" w:rsidR="00CA0E72" w:rsidRPr="000665B0" w:rsidRDefault="00CA0E72" w:rsidP="006D5A65">
      <w:pPr>
        <w:pStyle w:val="Heading1"/>
      </w:pPr>
      <w:r w:rsidRPr="000665B0">
        <w:t xml:space="preserve">Tactical Commitment – </w:t>
      </w:r>
      <w:r w:rsidR="00056C46" w:rsidRPr="000665B0">
        <w:t>Other commitments for the FRU during the strike.</w:t>
      </w:r>
    </w:p>
    <w:p w14:paraId="699F29C8" w14:textId="77777777" w:rsidR="00057127" w:rsidRPr="000665B0" w:rsidRDefault="00057127" w:rsidP="006D5A65">
      <w:pPr>
        <w:pStyle w:val="Heading1"/>
      </w:pPr>
      <w:r w:rsidRPr="000665B0">
        <w:t>Status –</w:t>
      </w:r>
      <w:r w:rsidR="00056C46" w:rsidRPr="000665B0">
        <w:t xml:space="preserve"> The status of the platform.</w:t>
      </w:r>
    </w:p>
    <w:p w14:paraId="1A12C4D6" w14:textId="77777777" w:rsidR="00057127" w:rsidRPr="00C97B43" w:rsidRDefault="00057127" w:rsidP="006D5A65">
      <w:pPr>
        <w:pStyle w:val="Heading1"/>
      </w:pPr>
      <w:r w:rsidRPr="00C97B43">
        <w:t>Columns (Node Level)</w:t>
      </w:r>
    </w:p>
    <w:p w14:paraId="5D15FDC9" w14:textId="77777777" w:rsidR="00057127" w:rsidRPr="00C97B43" w:rsidRDefault="00057127" w:rsidP="006D5A65">
      <w:pPr>
        <w:pStyle w:val="Heading2"/>
      </w:pPr>
      <w:r w:rsidRPr="00C97B43">
        <w:lastRenderedPageBreak/>
        <w:t>ID – The node ID.</w:t>
      </w:r>
    </w:p>
    <w:p w14:paraId="2FB60321" w14:textId="77777777" w:rsidR="00057127" w:rsidRPr="00C97B43" w:rsidRDefault="00057127" w:rsidP="006D5A65">
      <w:pPr>
        <w:pStyle w:val="Heading2"/>
      </w:pPr>
      <w:r w:rsidRPr="00C97B43">
        <w:t>Name – Name of the node.</w:t>
      </w:r>
    </w:p>
    <w:p w14:paraId="24A5F611" w14:textId="48744F05" w:rsidR="00057127" w:rsidRPr="00C97B43" w:rsidRDefault="00057127" w:rsidP="006D5A65">
      <w:pPr>
        <w:pStyle w:val="Heading2"/>
      </w:pPr>
      <w:r w:rsidRPr="00C97B43">
        <w:t>TSC – An X indicates that the node is a TSC (</w:t>
      </w:r>
      <w:r w:rsidRPr="00C97B43">
        <w:rPr>
          <w:snapToGrid w:val="0"/>
        </w:rPr>
        <w:t>Tomahawk Strike Coordinator).</w:t>
      </w:r>
    </w:p>
    <w:p w14:paraId="31085340" w14:textId="78E6706C" w:rsidR="002061FE" w:rsidRPr="00C97B43" w:rsidRDefault="002061FE" w:rsidP="006D5A65">
      <w:pPr>
        <w:pStyle w:val="Heading2"/>
      </w:pPr>
      <w:r w:rsidRPr="00C97B43">
        <w:t xml:space="preserve">ATSC – An X indicates that the node is an ATSC (Alternate </w:t>
      </w:r>
      <w:r w:rsidRPr="00C97B43">
        <w:rPr>
          <w:snapToGrid w:val="0"/>
        </w:rPr>
        <w:t>Tomahawk Strike Coordinator)</w:t>
      </w:r>
    </w:p>
    <w:p w14:paraId="0A299F04" w14:textId="77777777" w:rsidR="00057127" w:rsidRPr="000665B0" w:rsidRDefault="00057127" w:rsidP="006D5A65">
      <w:pPr>
        <w:pStyle w:val="Heading2"/>
      </w:pPr>
      <w:r w:rsidRPr="00C97B43">
        <w:t>MC – An X indicates that the node is an MC (</w:t>
      </w:r>
      <w:r w:rsidRPr="00C97B43">
        <w:rPr>
          <w:snapToGrid w:val="0"/>
        </w:rPr>
        <w:t>Missile Controller</w:t>
      </w:r>
      <w:r w:rsidRPr="000665B0">
        <w:rPr>
          <w:snapToGrid w:val="0"/>
        </w:rPr>
        <w:t>).</w:t>
      </w:r>
    </w:p>
    <w:p w14:paraId="79C61206" w14:textId="77777777" w:rsidR="00057127" w:rsidRPr="000665B0" w:rsidRDefault="00057127" w:rsidP="006D5A65">
      <w:pPr>
        <w:pStyle w:val="Heading2"/>
      </w:pPr>
      <w:r w:rsidRPr="000665B0">
        <w:t>LAC – An X indicates that the node is a LAC (</w:t>
      </w:r>
      <w:r w:rsidRPr="000665B0">
        <w:rPr>
          <w:snapToGrid w:val="0"/>
        </w:rPr>
        <w:t>Launch Area Coordinator).</w:t>
      </w:r>
    </w:p>
    <w:p w14:paraId="3EAE6B83" w14:textId="77777777" w:rsidR="00057127" w:rsidRPr="000665B0" w:rsidRDefault="00057127" w:rsidP="006D5A65">
      <w:pPr>
        <w:pStyle w:val="Heading2"/>
      </w:pPr>
      <w:r w:rsidRPr="000665B0">
        <w:t xml:space="preserve">ALAC – An X indicates that the node is an ALAC (Alternate </w:t>
      </w:r>
      <w:r w:rsidRPr="000665B0">
        <w:rPr>
          <w:snapToGrid w:val="0"/>
        </w:rPr>
        <w:t>Launch Area Coordinator).</w:t>
      </w:r>
    </w:p>
    <w:p w14:paraId="445F59D4" w14:textId="77777777" w:rsidR="00057127" w:rsidRPr="000665B0" w:rsidRDefault="00057127" w:rsidP="006D5A65">
      <w:pPr>
        <w:pStyle w:val="Heading2"/>
      </w:pPr>
      <w:r w:rsidRPr="000665B0">
        <w:t>FRU – An X indicates that the node is a FRU (</w:t>
      </w:r>
      <w:r w:rsidRPr="000665B0">
        <w:rPr>
          <w:snapToGrid w:val="0"/>
        </w:rPr>
        <w:t>Firing Unit).</w:t>
      </w:r>
    </w:p>
    <w:p w14:paraId="190600AC" w14:textId="77777777" w:rsidR="00057127" w:rsidRPr="000665B0" w:rsidRDefault="00057127" w:rsidP="006D5A65">
      <w:pPr>
        <w:pStyle w:val="Heading2"/>
      </w:pPr>
      <w:r w:rsidRPr="000665B0">
        <w:t>SM – An X indicates that the node is an SM (</w:t>
      </w:r>
      <w:r w:rsidRPr="000665B0">
        <w:rPr>
          <w:snapToGrid w:val="0"/>
        </w:rPr>
        <w:t>Strike Monitor).</w:t>
      </w:r>
    </w:p>
    <w:p w14:paraId="5F32E2C9" w14:textId="5CC1FB47" w:rsidR="00057127" w:rsidRPr="000665B0" w:rsidRDefault="00057127" w:rsidP="006D5A65">
      <w:pPr>
        <w:pStyle w:val="Heading2"/>
      </w:pPr>
      <w:r w:rsidRPr="000665B0">
        <w:t>Oper Classif – Security classification of each Tomahawk node (UNCLASSIFIED, SECRET, or TOP SECRET).</w:t>
      </w:r>
    </w:p>
    <w:p w14:paraId="3E331901" w14:textId="77777777" w:rsidR="00057127" w:rsidRPr="000665B0" w:rsidRDefault="00057127" w:rsidP="006D5A65">
      <w:pPr>
        <w:pStyle w:val="Heading2"/>
      </w:pPr>
      <w:r w:rsidRPr="000665B0">
        <w:t>Loc Code – Location Code of the node.</w:t>
      </w:r>
    </w:p>
    <w:p w14:paraId="495308FD" w14:textId="77777777" w:rsidR="00057127" w:rsidRPr="000665B0" w:rsidRDefault="00057127" w:rsidP="006D5A65">
      <w:pPr>
        <w:pStyle w:val="Heading2"/>
      </w:pPr>
      <w:r w:rsidRPr="000665B0">
        <w:t>SID – Subscriber ID is used when transfer Over The Horizon (OTH) is selected for communication.</w:t>
      </w:r>
    </w:p>
    <w:p w14:paraId="118CB2A5" w14:textId="77777777" w:rsidR="00057127" w:rsidRPr="000665B0" w:rsidRDefault="00057127" w:rsidP="006D5A65">
      <w:pPr>
        <w:pStyle w:val="Heading2"/>
      </w:pPr>
      <w:r w:rsidRPr="000665B0">
        <w:t xml:space="preserve">User Notes – </w:t>
      </w:r>
      <w:r w:rsidR="00056C46" w:rsidRPr="000665B0">
        <w:t>Any user notes associated with the node (up to 256 alphanumeric characters).</w:t>
      </w:r>
    </w:p>
    <w:p w14:paraId="5DAE2A86" w14:textId="77777777" w:rsidR="0078503C" w:rsidRPr="000665B0" w:rsidRDefault="00057127" w:rsidP="006D5A65">
      <w:pPr>
        <w:pStyle w:val="Heading1"/>
        <w:rPr>
          <w:i/>
        </w:rPr>
      </w:pPr>
      <w:r w:rsidRPr="000665B0">
        <w:t>Status –</w:t>
      </w:r>
      <w:r w:rsidR="00056C46" w:rsidRPr="000665B0">
        <w:t xml:space="preserve"> The status of the node.</w:t>
      </w:r>
    </w:p>
    <w:bookmarkEnd w:id="6325"/>
    <w:p w14:paraId="7DA23490" w14:textId="77777777" w:rsidR="0078503C" w:rsidRPr="000665B0" w:rsidRDefault="0078503C" w:rsidP="00474A1F">
      <w:pPr>
        <w:pStyle w:val="BodyText"/>
        <w:tabs>
          <w:tab w:val="left" w:pos="720"/>
        </w:tabs>
        <w:spacing w:after="120"/>
      </w:pPr>
      <w:r w:rsidRPr="000665B0">
        <w:t xml:space="preserve">To </w:t>
      </w:r>
      <w:r w:rsidR="00B914C1" w:rsidRPr="000665B0">
        <w:t xml:space="preserve">add </w:t>
      </w:r>
      <w:r w:rsidRPr="000665B0">
        <w:t>specific</w:t>
      </w:r>
      <w:r w:rsidR="00B914C1" w:rsidRPr="000665B0">
        <w:t xml:space="preserve"> or all</w:t>
      </w:r>
      <w:r w:rsidRPr="000665B0">
        <w:t xml:space="preserve"> </w:t>
      </w:r>
      <w:r w:rsidR="003E7791" w:rsidRPr="000665B0">
        <w:t xml:space="preserve">Nodes </w:t>
      </w:r>
      <w:r w:rsidRPr="000665B0">
        <w:t xml:space="preserve">from the </w:t>
      </w:r>
      <w:r w:rsidR="00B914C1" w:rsidRPr="000665B0">
        <w:t>parent Strike Folder</w:t>
      </w:r>
      <w:r w:rsidRPr="000665B0">
        <w:t>:</w:t>
      </w:r>
    </w:p>
    <w:p w14:paraId="52C76901" w14:textId="4DC8B1A7" w:rsidR="0078503C" w:rsidRPr="000665B0" w:rsidRDefault="0078503C" w:rsidP="006D5A65">
      <w:pPr>
        <w:pStyle w:val="Heading1"/>
      </w:pPr>
      <w:r w:rsidRPr="000665B0">
        <w:t xml:space="preserve">In the </w:t>
      </w:r>
      <w:r w:rsidRPr="000665B0">
        <w:rPr>
          <w:bCs/>
          <w:i/>
        </w:rPr>
        <w:t>Arsenal</w:t>
      </w:r>
      <w:r w:rsidRPr="000665B0">
        <w:rPr>
          <w:bCs/>
        </w:rPr>
        <w:t xml:space="preserve"> </w:t>
      </w:r>
      <w:r w:rsidR="00AE1AF2" w:rsidRPr="000665B0">
        <w:t xml:space="preserve">tab, </w:t>
      </w:r>
      <w:r w:rsidRPr="000665B0">
        <w:t>invoke the context menu (</w:t>
      </w:r>
      <w:r w:rsidR="00D71804" w:rsidRPr="000665B0">
        <w:t>right-click</w:t>
      </w:r>
      <w:r w:rsidRPr="000665B0">
        <w:t xml:space="preserve"> the mouse)</w:t>
      </w:r>
      <w:r w:rsidR="00AE1AF2" w:rsidRPr="000665B0">
        <w:t>,</w:t>
      </w:r>
      <w:r w:rsidRPr="000665B0">
        <w:t xml:space="preserve"> and select</w:t>
      </w:r>
      <w:r w:rsidRPr="000665B0">
        <w:rPr>
          <w:bCs/>
        </w:rPr>
        <w:t xml:space="preserve"> Add </w:t>
      </w:r>
      <w:r w:rsidR="00B914C1" w:rsidRPr="000665B0">
        <w:sym w:font="Wingdings 3" w:char="F07D"/>
      </w:r>
      <w:r w:rsidRPr="000665B0">
        <w:rPr>
          <w:bCs/>
        </w:rPr>
        <w:t xml:space="preserve"> Nodes</w:t>
      </w:r>
      <w:r w:rsidRPr="000665B0">
        <w:t xml:space="preserve">. The </w:t>
      </w:r>
      <w:r w:rsidR="00B914C1" w:rsidRPr="000665B0">
        <w:rPr>
          <w:i/>
          <w:iCs/>
        </w:rPr>
        <w:t>Add Nodes</w:t>
      </w:r>
      <w:r w:rsidR="00B914C1" w:rsidRPr="000665B0">
        <w:t xml:space="preserve"> </w:t>
      </w:r>
      <w:r w:rsidRPr="000665B0">
        <w:t xml:space="preserve">window </w:t>
      </w:r>
      <w:r w:rsidR="008B1631" w:rsidRPr="000665B0">
        <w:t>is displayed</w:t>
      </w:r>
      <w:r w:rsidRPr="000665B0">
        <w:t xml:space="preserve">. The </w:t>
      </w:r>
      <w:r w:rsidR="002D5A37" w:rsidRPr="000665B0">
        <w:t xml:space="preserve">Nodes </w:t>
      </w:r>
      <w:r w:rsidRPr="000665B0">
        <w:t xml:space="preserve">listed </w:t>
      </w:r>
      <w:r w:rsidR="00DB5AEE" w:rsidRPr="000665B0">
        <w:t>are</w:t>
      </w:r>
      <w:r w:rsidRPr="000665B0">
        <w:t xml:space="preserve"> the same ones that were</w:t>
      </w:r>
      <w:r w:rsidR="00B914C1" w:rsidRPr="000665B0">
        <w:t xml:space="preserve"> </w:t>
      </w:r>
      <w:r w:rsidR="00B914C1" w:rsidRPr="000665B0">
        <w:lastRenderedPageBreak/>
        <w:t>previously</w:t>
      </w:r>
      <w:r w:rsidRPr="000665B0">
        <w:t xml:space="preserve"> </w:t>
      </w:r>
      <w:r w:rsidR="00B914C1" w:rsidRPr="000665B0">
        <w:t>specified in the parent Strike Folder using</w:t>
      </w:r>
      <w:r w:rsidR="00CE18D7" w:rsidRPr="000665B0">
        <w:t xml:space="preserve"> </w:t>
      </w:r>
      <w:r w:rsidRPr="000665B0">
        <w:t xml:space="preserve">the Organization </w:t>
      </w:r>
      <w:r w:rsidR="00B914C1" w:rsidRPr="000665B0">
        <w:t xml:space="preserve">tool </w:t>
      </w:r>
      <w:r w:rsidRPr="000665B0">
        <w:t>(</w:t>
      </w:r>
      <w:r w:rsidR="00A647CE" w:rsidRPr="000665B0">
        <w:t xml:space="preserve">see </w:t>
      </w:r>
      <w:hyperlink w:anchor="_5.37.5__Organization" w:history="1">
        <w:r w:rsidR="009326FE" w:rsidRPr="000665B0">
          <w:rPr>
            <w:rStyle w:val="Hyperlink"/>
          </w:rPr>
          <w:t xml:space="preserve">Section </w:t>
        </w:r>
        <w:r w:rsidR="004231CC">
          <w:rPr>
            <w:rStyle w:val="Hyperlink"/>
          </w:rPr>
          <w:t>5.</w:t>
        </w:r>
        <w:r w:rsidR="008E3D35">
          <w:rPr>
            <w:rStyle w:val="Hyperlink"/>
          </w:rPr>
          <w:t>3</w:t>
        </w:r>
        <w:r w:rsidR="004231CC">
          <w:rPr>
            <w:rStyle w:val="Hyperlink"/>
          </w:rPr>
          <w:t>4</w:t>
        </w:r>
        <w:r w:rsidR="0089269C" w:rsidRPr="000665B0">
          <w:rPr>
            <w:rStyle w:val="Hyperlink"/>
          </w:rPr>
          <w:t>.6</w:t>
        </w:r>
      </w:hyperlink>
      <w:r w:rsidRPr="000665B0">
        <w:t>).</w:t>
      </w:r>
    </w:p>
    <w:p w14:paraId="47142C65" w14:textId="0CB4E25A" w:rsidR="0078503C" w:rsidRPr="000665B0" w:rsidRDefault="0076086E" w:rsidP="00474A1F">
      <w:pPr>
        <w:tabs>
          <w:tab w:val="left" w:pos="720"/>
        </w:tabs>
        <w:jc w:val="center"/>
      </w:pPr>
      <w:r w:rsidRPr="000665B0">
        <w:rPr>
          <w:noProof/>
        </w:rPr>
        <w:drawing>
          <wp:inline distT="0" distB="0" distL="0" distR="0" wp14:anchorId="0C4705B7" wp14:editId="02AF13B3">
            <wp:extent cx="4160520" cy="1556034"/>
            <wp:effectExtent l="0" t="0" r="0" b="0"/>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200038" cy="1570814"/>
                    </a:xfrm>
                    <a:prstGeom prst="rect">
                      <a:avLst/>
                    </a:prstGeom>
                  </pic:spPr>
                </pic:pic>
              </a:graphicData>
            </a:graphic>
          </wp:inline>
        </w:drawing>
      </w:r>
    </w:p>
    <w:p w14:paraId="6BF80125" w14:textId="0939A1F5" w:rsidR="0078503C" w:rsidRPr="000665B0" w:rsidRDefault="0078503C" w:rsidP="006D5A65">
      <w:pPr>
        <w:pStyle w:val="Heading1"/>
      </w:pPr>
      <w:r w:rsidRPr="000665B0">
        <w:t xml:space="preserve">Select </w:t>
      </w:r>
      <w:r w:rsidR="0050193B" w:rsidRPr="000665B0">
        <w:t xml:space="preserve">the </w:t>
      </w:r>
      <w:r w:rsidRPr="000665B0">
        <w:t xml:space="preserve">desired </w:t>
      </w:r>
      <w:r w:rsidR="002B3478" w:rsidRPr="000665B0">
        <w:t xml:space="preserve">Node(s) </w:t>
      </w:r>
      <w:r w:rsidRPr="000665B0">
        <w:t>and click OK.</w:t>
      </w:r>
      <w:r w:rsidR="00B914C1" w:rsidRPr="000665B0">
        <w:t xml:space="preserve"> Alternatively, select the desired Node(s), </w:t>
      </w:r>
      <w:r w:rsidR="00D71804" w:rsidRPr="000665B0">
        <w:t>right-click</w:t>
      </w:r>
      <w:r w:rsidR="00B914C1" w:rsidRPr="000665B0">
        <w:t>, and select Add.</w:t>
      </w:r>
    </w:p>
    <w:p w14:paraId="2450DC35" w14:textId="77777777" w:rsidR="0078503C" w:rsidRPr="000665B0" w:rsidRDefault="0078503C" w:rsidP="00474A1F">
      <w:pPr>
        <w:tabs>
          <w:tab w:val="left" w:pos="720"/>
        </w:tabs>
        <w:ind w:left="360"/>
      </w:pPr>
      <w:r w:rsidRPr="000665B0">
        <w:t>or</w:t>
      </w:r>
    </w:p>
    <w:p w14:paraId="4D1CA928" w14:textId="3DD9699A" w:rsidR="0078503C" w:rsidRPr="000665B0" w:rsidRDefault="0050193B" w:rsidP="006D5A65">
      <w:pPr>
        <w:pStyle w:val="Heading1"/>
      </w:pPr>
      <w:r w:rsidRPr="000665B0">
        <w:t xml:space="preserve">In the </w:t>
      </w:r>
      <w:r w:rsidRPr="000665B0">
        <w:rPr>
          <w:bCs/>
          <w:i/>
        </w:rPr>
        <w:t>Arsenal</w:t>
      </w:r>
      <w:r w:rsidRPr="000665B0">
        <w:rPr>
          <w:bCs/>
        </w:rPr>
        <w:t xml:space="preserve"> </w:t>
      </w:r>
      <w:r w:rsidRPr="000665B0">
        <w:t>tab, invoke</w:t>
      </w:r>
      <w:r w:rsidR="0078503C" w:rsidRPr="000665B0">
        <w:t xml:space="preserve"> the context menu (</w:t>
      </w:r>
      <w:r w:rsidR="00D71804" w:rsidRPr="000665B0">
        <w:t>right-click</w:t>
      </w:r>
      <w:r w:rsidR="0078503C" w:rsidRPr="000665B0">
        <w:t xml:space="preserve"> the mouse) and select Add </w:t>
      </w:r>
      <w:r w:rsidR="00B914C1" w:rsidRPr="000665B0">
        <w:sym w:font="Wingdings 3" w:char="F07D"/>
      </w:r>
      <w:r w:rsidR="0078503C" w:rsidRPr="000665B0">
        <w:t xml:space="preserve"> All Nodes. All </w:t>
      </w:r>
      <w:r w:rsidR="00F73416" w:rsidRPr="000665B0">
        <w:t xml:space="preserve">Nodes </w:t>
      </w:r>
      <w:r w:rsidRPr="000665B0">
        <w:t xml:space="preserve">from the parent Strike Folder </w:t>
      </w:r>
      <w:r w:rsidR="00DB5AEE" w:rsidRPr="000665B0">
        <w:t>are</w:t>
      </w:r>
      <w:r w:rsidR="0078503C" w:rsidRPr="000665B0">
        <w:t xml:space="preserve"> added to the </w:t>
      </w:r>
      <w:r w:rsidR="0078503C" w:rsidRPr="000665B0">
        <w:rPr>
          <w:i/>
        </w:rPr>
        <w:t>Arsenal</w:t>
      </w:r>
      <w:r w:rsidR="0078503C" w:rsidRPr="000665B0">
        <w:t xml:space="preserve"> tab.</w:t>
      </w:r>
    </w:p>
    <w:p w14:paraId="5F923D72" w14:textId="2F06A994" w:rsidR="00575541" w:rsidRPr="000665B0" w:rsidRDefault="00575541" w:rsidP="006D5A65">
      <w:pPr>
        <w:pStyle w:val="Heading1"/>
      </w:pPr>
      <w:r w:rsidRPr="000665B0">
        <w:t xml:space="preserve">Before proceeding to the </w:t>
      </w:r>
      <w:r w:rsidRPr="000665B0">
        <w:rPr>
          <w:i/>
        </w:rPr>
        <w:t>Missiles</w:t>
      </w:r>
      <w:r w:rsidRPr="000665B0">
        <w:t xml:space="preserve"> (or other) tab, ensure that a </w:t>
      </w:r>
      <w:r w:rsidR="002F4201">
        <w:t>TSC</w:t>
      </w:r>
      <w:r w:rsidRPr="000665B0">
        <w:t xml:space="preserve"> </w:t>
      </w:r>
      <w:r w:rsidR="00D145E3" w:rsidRPr="000665B0">
        <w:t>is</w:t>
      </w:r>
      <w:r w:rsidRPr="000665B0">
        <w:t xml:space="preserve"> designated in the Arsenal.</w:t>
      </w:r>
    </w:p>
    <w:p w14:paraId="084C170F" w14:textId="77777777" w:rsidR="00B914C1" w:rsidRPr="000665B0" w:rsidRDefault="00B914C1"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6A1D495A" w14:textId="77777777" w:rsidR="00B914C1" w:rsidRPr="000665B0" w:rsidRDefault="00B914C1" w:rsidP="00474A1F">
      <w:pPr>
        <w:pStyle w:val="BodyText"/>
        <w:tabs>
          <w:tab w:val="left" w:pos="720"/>
        </w:tabs>
        <w:spacing w:after="120"/>
      </w:pPr>
      <w:r w:rsidRPr="000665B0">
        <w:t xml:space="preserve">To remove </w:t>
      </w:r>
      <w:r w:rsidR="0050193B" w:rsidRPr="000665B0">
        <w:t>Nodes</w:t>
      </w:r>
      <w:r w:rsidRPr="000665B0">
        <w:t>:</w:t>
      </w:r>
    </w:p>
    <w:p w14:paraId="0093F6AA" w14:textId="77777777" w:rsidR="00B914C1" w:rsidRPr="000665B0" w:rsidRDefault="00B914C1" w:rsidP="006D5A65">
      <w:pPr>
        <w:pStyle w:val="Heading1"/>
      </w:pPr>
      <w:r w:rsidRPr="000665B0">
        <w:t xml:space="preserve">Select the desired </w:t>
      </w:r>
      <w:r w:rsidR="0050193B" w:rsidRPr="000665B0">
        <w:t>Node</w:t>
      </w:r>
      <w:r w:rsidRPr="000665B0">
        <w:t>(s) in the list view.</w:t>
      </w:r>
    </w:p>
    <w:p w14:paraId="476A79A0" w14:textId="3556B4EE" w:rsidR="00B914C1" w:rsidRPr="000665B0" w:rsidRDefault="00B914C1" w:rsidP="006D5A65">
      <w:pPr>
        <w:pStyle w:val="Heading1"/>
      </w:pPr>
      <w:r w:rsidRPr="000665B0">
        <w:t>Invoke the context menu (</w:t>
      </w:r>
      <w:r w:rsidR="00D71804" w:rsidRPr="000665B0">
        <w:t>right-click</w:t>
      </w:r>
      <w:r w:rsidRPr="000665B0">
        <w:t xml:space="preserve"> the mouse) and select Remove.</w:t>
      </w:r>
    </w:p>
    <w:p w14:paraId="5AC8CCDC" w14:textId="77777777" w:rsidR="00B914C1" w:rsidRPr="000665B0" w:rsidRDefault="00B914C1"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64680224" w14:textId="77777777" w:rsidR="0078503C" w:rsidRPr="000665B0" w:rsidRDefault="0078503C" w:rsidP="002B227A">
      <w:pPr>
        <w:pStyle w:val="BodyText"/>
        <w:keepNext/>
        <w:keepLines/>
        <w:tabs>
          <w:tab w:val="left" w:pos="720"/>
        </w:tabs>
        <w:spacing w:after="120"/>
      </w:pPr>
      <w:r w:rsidRPr="000665B0">
        <w:t xml:space="preserve">To </w:t>
      </w:r>
      <w:r w:rsidR="00F73416" w:rsidRPr="000665B0">
        <w:t>display Mission Inventory graphically</w:t>
      </w:r>
      <w:r w:rsidRPr="000665B0">
        <w:t>:</w:t>
      </w:r>
    </w:p>
    <w:p w14:paraId="05270057" w14:textId="2C6B4378" w:rsidR="0078503C" w:rsidRPr="000665B0" w:rsidRDefault="00F73416" w:rsidP="00C97DD2">
      <w:pPr>
        <w:pStyle w:val="Number0205"/>
        <w:tabs>
          <w:tab w:val="left" w:pos="720"/>
        </w:tabs>
        <w:ind w:left="720" w:firstLine="0"/>
      </w:pPr>
      <w:r w:rsidRPr="000665B0">
        <w:t xml:space="preserve">In the </w:t>
      </w:r>
      <w:r w:rsidRPr="000665B0">
        <w:rPr>
          <w:b/>
          <w:bCs/>
          <w:i/>
        </w:rPr>
        <w:t>Arsenal</w:t>
      </w:r>
      <w:r w:rsidRPr="000665B0">
        <w:rPr>
          <w:b/>
          <w:bCs/>
        </w:rPr>
        <w:t xml:space="preserve"> </w:t>
      </w:r>
      <w:r w:rsidRPr="000665B0">
        <w:t>tab, select the desired Node, invoke the context menu (</w:t>
      </w:r>
      <w:r w:rsidR="00D71804" w:rsidRPr="000665B0">
        <w:t>right-click</w:t>
      </w:r>
      <w:r w:rsidRPr="000665B0">
        <w:t xml:space="preserve"> the mouse), and select</w:t>
      </w:r>
      <w:r w:rsidRPr="000665B0">
        <w:rPr>
          <w:b/>
          <w:bCs/>
        </w:rPr>
        <w:t xml:space="preserve"> Display </w:t>
      </w:r>
      <w:r w:rsidRPr="000665B0">
        <w:rPr>
          <w:b/>
        </w:rPr>
        <w:sym w:font="Wingdings 3" w:char="F07D"/>
      </w:r>
      <w:r w:rsidRPr="000665B0">
        <w:rPr>
          <w:b/>
          <w:bCs/>
        </w:rPr>
        <w:t xml:space="preserve"> Missile Inventory Graphically</w:t>
      </w:r>
      <w:r w:rsidRPr="000665B0">
        <w:t xml:space="preserve">. </w:t>
      </w:r>
    </w:p>
    <w:p w14:paraId="4444B43D" w14:textId="77777777" w:rsidR="0078503C" w:rsidRPr="000665B0" w:rsidRDefault="002B3478" w:rsidP="00474A1F">
      <w:pPr>
        <w:pStyle w:val="BodyText"/>
        <w:tabs>
          <w:tab w:val="left" w:pos="720"/>
        </w:tabs>
        <w:spacing w:after="120"/>
      </w:pPr>
      <w:bookmarkStart w:id="6326" w:name="_Hlk33171622"/>
      <w:r w:rsidRPr="000665B0">
        <w:t xml:space="preserve">Unlike the </w:t>
      </w:r>
      <w:r w:rsidRPr="000665B0">
        <w:rPr>
          <w:b/>
        </w:rPr>
        <w:t>Organization</w:t>
      </w:r>
      <w:r w:rsidRPr="000665B0">
        <w:t xml:space="preserve"> tool in the parent Strike Folder, the user can assign roles to the FRUs in the </w:t>
      </w:r>
      <w:r w:rsidRPr="000665B0">
        <w:rPr>
          <w:b/>
          <w:i/>
        </w:rPr>
        <w:t>Arsenal</w:t>
      </w:r>
      <w:r w:rsidRPr="000665B0">
        <w:t xml:space="preserve"> tab. </w:t>
      </w:r>
      <w:r w:rsidR="0078503C" w:rsidRPr="000665B0">
        <w:t xml:space="preserve">To make FRU </w:t>
      </w:r>
      <w:r w:rsidRPr="000665B0">
        <w:t xml:space="preserve">role </w:t>
      </w:r>
      <w:r w:rsidR="0078503C" w:rsidRPr="000665B0">
        <w:t>assignments for the strike:</w:t>
      </w:r>
    </w:p>
    <w:p w14:paraId="1AC36F90" w14:textId="254DB2B6" w:rsidR="0078503C" w:rsidRPr="000665B0" w:rsidRDefault="00AE1AF2" w:rsidP="006D5A65">
      <w:pPr>
        <w:pStyle w:val="Heading1"/>
      </w:pPr>
      <w:r w:rsidRPr="000665B0">
        <w:lastRenderedPageBreak/>
        <w:t xml:space="preserve">In the </w:t>
      </w:r>
      <w:r w:rsidRPr="000665B0">
        <w:rPr>
          <w:bCs/>
          <w:i/>
        </w:rPr>
        <w:t>Arsenal</w:t>
      </w:r>
      <w:r w:rsidRPr="000665B0">
        <w:rPr>
          <w:bCs/>
        </w:rPr>
        <w:t xml:space="preserve"> </w:t>
      </w:r>
      <w:r w:rsidRPr="000665B0">
        <w:t xml:space="preserve">tab, select </w:t>
      </w:r>
      <w:r w:rsidR="0078503C" w:rsidRPr="000665B0">
        <w:t>the desired Node</w:t>
      </w:r>
      <w:r w:rsidRPr="000665B0">
        <w:t>, invoke the context menu (</w:t>
      </w:r>
      <w:r w:rsidR="00D71804" w:rsidRPr="000665B0">
        <w:t>right-click</w:t>
      </w:r>
      <w:r w:rsidRPr="000665B0">
        <w:t xml:space="preserve"> the mouse) and select</w:t>
      </w:r>
      <w:r w:rsidRPr="000665B0">
        <w:rPr>
          <w:bCs/>
        </w:rPr>
        <w:t xml:space="preserve"> Edit </w:t>
      </w:r>
      <w:r w:rsidRPr="000665B0">
        <w:sym w:font="Wingdings 3" w:char="F07D"/>
      </w:r>
      <w:r w:rsidRPr="000665B0">
        <w:rPr>
          <w:bCs/>
        </w:rPr>
        <w:t xml:space="preserve"> Roles</w:t>
      </w:r>
      <w:r w:rsidRPr="000665B0">
        <w:t xml:space="preserve">. The </w:t>
      </w:r>
      <w:r w:rsidRPr="000665B0">
        <w:rPr>
          <w:i/>
          <w:iCs/>
        </w:rPr>
        <w:t>Edit Roles</w:t>
      </w:r>
      <w:r w:rsidRPr="000665B0">
        <w:t xml:space="preserve"> window is displayed</w:t>
      </w:r>
      <w:r w:rsidR="0043623E" w:rsidRPr="000665B0">
        <w:t>.</w:t>
      </w:r>
    </w:p>
    <w:p w14:paraId="569BB443" w14:textId="125C5D5B" w:rsidR="0078503C" w:rsidRPr="000665B0" w:rsidRDefault="0076086E" w:rsidP="00446685">
      <w:pPr>
        <w:pStyle w:val="Number0205"/>
        <w:ind w:left="0" w:firstLine="0"/>
        <w:jc w:val="center"/>
      </w:pPr>
      <w:r w:rsidRPr="000665B0">
        <w:rPr>
          <w:noProof/>
        </w:rPr>
        <w:drawing>
          <wp:inline distT="0" distB="0" distL="0" distR="0" wp14:anchorId="004ED37C" wp14:editId="3DE5B5DC">
            <wp:extent cx="3154680" cy="1609344"/>
            <wp:effectExtent l="0" t="0" r="0" b="0"/>
            <wp:docPr id="1128" name="Pictur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609344"/>
                    </a:xfrm>
                    <a:prstGeom prst="rect">
                      <a:avLst/>
                    </a:prstGeom>
                  </pic:spPr>
                </pic:pic>
              </a:graphicData>
            </a:graphic>
          </wp:inline>
        </w:drawing>
      </w:r>
    </w:p>
    <w:p w14:paraId="2E5F5D16" w14:textId="77777777" w:rsidR="0078503C" w:rsidRPr="000665B0" w:rsidRDefault="0078503C" w:rsidP="006D5A65">
      <w:pPr>
        <w:pStyle w:val="Heading1"/>
      </w:pPr>
      <w:r w:rsidRPr="000665B0">
        <w:t xml:space="preserve">Select desired roles in the strike </w:t>
      </w:r>
      <w:r w:rsidR="002B3478" w:rsidRPr="000665B0">
        <w:t>and click OK</w:t>
      </w:r>
      <w:r w:rsidRPr="000665B0">
        <w:t xml:space="preserve">. </w:t>
      </w:r>
      <w:r w:rsidR="002B3478" w:rsidRPr="000665B0">
        <w:t xml:space="preserve">Click on the Save </w:t>
      </w:r>
      <w:r w:rsidR="002B3478" w:rsidRPr="000665B0">
        <w:rPr>
          <w:rFonts w:ascii="Wingdings" w:hAnsi="Wingdings" w:cs="Wingdings"/>
        </w:rPr>
        <w:t></w:t>
      </w:r>
      <w:r w:rsidR="002B3478" w:rsidRPr="000665B0">
        <w:t xml:space="preserve"> icon or select the </w:t>
      </w:r>
      <w:r w:rsidR="002B3478" w:rsidRPr="000665B0">
        <w:rPr>
          <w:bCs/>
        </w:rPr>
        <w:t>Save</w:t>
      </w:r>
      <w:r w:rsidR="002B3478" w:rsidRPr="000665B0">
        <w:t xml:space="preserve"> option from the </w:t>
      </w:r>
      <w:r w:rsidR="002B3478" w:rsidRPr="000665B0">
        <w:rPr>
          <w:bCs/>
        </w:rPr>
        <w:t>File</w:t>
      </w:r>
      <w:r w:rsidR="002B3478" w:rsidRPr="000665B0">
        <w:t xml:space="preserve"> pull down menu.</w:t>
      </w:r>
    </w:p>
    <w:bookmarkEnd w:id="6326"/>
    <w:p w14:paraId="6C82FD11" w14:textId="77777777" w:rsidR="003C0428" w:rsidRPr="000665B0" w:rsidRDefault="003C0428" w:rsidP="00474A1F">
      <w:pPr>
        <w:pStyle w:val="BodyTextIndent2"/>
        <w:tabs>
          <w:tab w:val="left" w:pos="720"/>
        </w:tabs>
        <w:spacing w:line="240" w:lineRule="auto"/>
        <w:ind w:left="0"/>
      </w:pPr>
      <w:r w:rsidRPr="000665B0">
        <w:t>To add User Notes:</w:t>
      </w:r>
    </w:p>
    <w:p w14:paraId="78337633" w14:textId="5C714B3C" w:rsidR="003C0428" w:rsidRPr="000665B0" w:rsidRDefault="00AE1AF2" w:rsidP="006D5A65">
      <w:pPr>
        <w:pStyle w:val="Heading1"/>
      </w:pPr>
      <w:r w:rsidRPr="000665B0">
        <w:t xml:space="preserve">In the </w:t>
      </w:r>
      <w:r w:rsidRPr="000665B0">
        <w:rPr>
          <w:bCs/>
          <w:i/>
        </w:rPr>
        <w:t>Arsenal</w:t>
      </w:r>
      <w:r w:rsidRPr="000665B0">
        <w:rPr>
          <w:bCs/>
        </w:rPr>
        <w:t xml:space="preserve"> </w:t>
      </w:r>
      <w:r w:rsidRPr="000665B0">
        <w:t>tab, select the desired Node, invoke the context menu (</w:t>
      </w:r>
      <w:r w:rsidR="00D71804" w:rsidRPr="000665B0">
        <w:t>right-click</w:t>
      </w:r>
      <w:r w:rsidRPr="000665B0">
        <w:t xml:space="preserve"> the mouse) and select</w:t>
      </w:r>
      <w:r w:rsidRPr="000665B0">
        <w:rPr>
          <w:bCs/>
        </w:rPr>
        <w:t xml:space="preserve"> Edit </w:t>
      </w:r>
      <w:r w:rsidRPr="000665B0">
        <w:sym w:font="Wingdings 3" w:char="F07D"/>
      </w:r>
      <w:r w:rsidR="003C0428" w:rsidRPr="000665B0">
        <w:rPr>
          <w:bCs/>
        </w:rPr>
        <w:t xml:space="preserve"> User Notes</w:t>
      </w:r>
      <w:r w:rsidR="003C0428" w:rsidRPr="000665B0">
        <w:t xml:space="preserve">. The </w:t>
      </w:r>
      <w:r w:rsidR="003C0428" w:rsidRPr="000665B0">
        <w:rPr>
          <w:bCs/>
          <w:i/>
          <w:iCs/>
        </w:rPr>
        <w:t>Edit User Notes</w:t>
      </w:r>
      <w:r w:rsidR="003C0428" w:rsidRPr="000665B0">
        <w:t xml:space="preserve"> window </w:t>
      </w:r>
      <w:r w:rsidR="00DB5AEE" w:rsidRPr="000665B0">
        <w:t>is</w:t>
      </w:r>
      <w:r w:rsidR="003C0428" w:rsidRPr="000665B0">
        <w:t xml:space="preserve"> displayed.</w:t>
      </w:r>
    </w:p>
    <w:p w14:paraId="694A7AA3" w14:textId="7C762A8C" w:rsidR="003C0428" w:rsidRPr="000665B0" w:rsidRDefault="0076086E" w:rsidP="00474A1F">
      <w:pPr>
        <w:tabs>
          <w:tab w:val="left" w:pos="720"/>
        </w:tabs>
        <w:jc w:val="center"/>
      </w:pPr>
      <w:r w:rsidRPr="000665B0">
        <w:rPr>
          <w:noProof/>
        </w:rPr>
        <w:drawing>
          <wp:inline distT="0" distB="0" distL="0" distR="0" wp14:anchorId="4038444D" wp14:editId="29882FC4">
            <wp:extent cx="3154680" cy="1975104"/>
            <wp:effectExtent l="0" t="0" r="0" b="0"/>
            <wp:docPr id="112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975104"/>
                    </a:xfrm>
                    <a:prstGeom prst="rect">
                      <a:avLst/>
                    </a:prstGeom>
                  </pic:spPr>
                </pic:pic>
              </a:graphicData>
            </a:graphic>
          </wp:inline>
        </w:drawing>
      </w:r>
    </w:p>
    <w:p w14:paraId="694F9FA5" w14:textId="77777777" w:rsidR="003C0428" w:rsidRPr="000665B0" w:rsidRDefault="002B3478" w:rsidP="006D5A65">
      <w:pPr>
        <w:pStyle w:val="Heading1"/>
      </w:pPr>
      <w:r w:rsidRPr="000665B0">
        <w:t xml:space="preserve">Enter </w:t>
      </w:r>
      <w:r w:rsidR="003C0428" w:rsidRPr="000665B0">
        <w:t>notes</w:t>
      </w:r>
      <w:r w:rsidRPr="000665B0">
        <w:t xml:space="preserve"> (up to 2</w:t>
      </w:r>
      <w:r w:rsidR="00B6383D" w:rsidRPr="000665B0">
        <w:t>56</w:t>
      </w:r>
      <w:r w:rsidRPr="000665B0">
        <w:t xml:space="preserve"> alphanumeric characters)</w:t>
      </w:r>
      <w:r w:rsidR="003C0428" w:rsidRPr="000665B0">
        <w:t xml:space="preserve"> specific to the selected </w:t>
      </w:r>
      <w:r w:rsidR="0050193B" w:rsidRPr="000665B0">
        <w:t xml:space="preserve">Platform </w:t>
      </w:r>
      <w:r w:rsidRPr="000665B0">
        <w:t xml:space="preserve">and </w:t>
      </w:r>
      <w:r w:rsidR="0050193B" w:rsidRPr="000665B0">
        <w:t>N</w:t>
      </w:r>
      <w:r w:rsidRPr="000665B0">
        <w:t>ode</w:t>
      </w:r>
      <w:r w:rsidR="003C0428" w:rsidRPr="000665B0">
        <w:t xml:space="preserve"> </w:t>
      </w:r>
      <w:r w:rsidRPr="000665B0">
        <w:t>and click OK</w:t>
      </w:r>
      <w:r w:rsidR="003C0428" w:rsidRPr="000665B0">
        <w:t>.</w:t>
      </w:r>
    </w:p>
    <w:p w14:paraId="2EAC7461" w14:textId="77777777" w:rsidR="003C0428" w:rsidRPr="000665B0" w:rsidRDefault="002B3478"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28F9753F" w14:textId="77777777" w:rsidR="003C0428" w:rsidRPr="000665B0" w:rsidRDefault="003C0428" w:rsidP="00CB3E29">
      <w:pPr>
        <w:pStyle w:val="BodyText"/>
        <w:keepNext/>
        <w:tabs>
          <w:tab w:val="left" w:pos="720"/>
        </w:tabs>
        <w:spacing w:after="120"/>
        <w:rPr>
          <w:b/>
        </w:rPr>
      </w:pPr>
      <w:r w:rsidRPr="000665B0">
        <w:rPr>
          <w:b/>
        </w:rPr>
        <w:t>Edit Missiles Required For Platform</w:t>
      </w:r>
    </w:p>
    <w:p w14:paraId="0513BAB9" w14:textId="77777777" w:rsidR="003C0428" w:rsidRPr="000665B0" w:rsidRDefault="00577540" w:rsidP="00474A1F">
      <w:pPr>
        <w:pStyle w:val="BodyText"/>
        <w:tabs>
          <w:tab w:val="left" w:pos="720"/>
        </w:tabs>
        <w:spacing w:after="120"/>
      </w:pPr>
      <w:r w:rsidRPr="000665B0">
        <w:rPr>
          <w:b/>
          <w:bCs/>
        </w:rPr>
        <w:t>Edit</w:t>
      </w:r>
      <w:r w:rsidRPr="000665B0">
        <w:t xml:space="preserve"> allows the user to set the requirement that a specified number of missiles must be assigned to a </w:t>
      </w:r>
      <w:r w:rsidR="0050193B" w:rsidRPr="000665B0">
        <w:t>P</w:t>
      </w:r>
      <w:r w:rsidRPr="000665B0">
        <w:t xml:space="preserve">latform. </w:t>
      </w:r>
      <w:r w:rsidR="000B2287" w:rsidRPr="000665B0">
        <w:t>This menu is enabled only when a platform is selected that has a node with the shooter role.</w:t>
      </w:r>
    </w:p>
    <w:p w14:paraId="60EEED99" w14:textId="5F0374DE" w:rsidR="003C0428" w:rsidRPr="000665B0" w:rsidRDefault="00AE1AF2" w:rsidP="006D5A65">
      <w:pPr>
        <w:pStyle w:val="Heading1"/>
      </w:pPr>
      <w:r w:rsidRPr="000665B0">
        <w:t xml:space="preserve">In the </w:t>
      </w:r>
      <w:r w:rsidRPr="000665B0">
        <w:rPr>
          <w:bCs/>
          <w:i/>
        </w:rPr>
        <w:t>Arsenal</w:t>
      </w:r>
      <w:r w:rsidRPr="000665B0">
        <w:rPr>
          <w:bCs/>
        </w:rPr>
        <w:t xml:space="preserve"> </w:t>
      </w:r>
      <w:r w:rsidRPr="000665B0">
        <w:t>tab, select the desired Platform, invoke the context menu (</w:t>
      </w:r>
      <w:r w:rsidR="00D71804" w:rsidRPr="000665B0">
        <w:t>right-click</w:t>
      </w:r>
      <w:r w:rsidRPr="000665B0">
        <w:t xml:space="preserve"> the mouse) and select</w:t>
      </w:r>
      <w:r w:rsidRPr="000665B0">
        <w:rPr>
          <w:bCs/>
        </w:rPr>
        <w:t xml:space="preserve"> Edit </w:t>
      </w:r>
      <w:r w:rsidRPr="000665B0">
        <w:sym w:font="Wingdings 3" w:char="F07D"/>
      </w:r>
      <w:r w:rsidR="003C0428" w:rsidRPr="000665B0">
        <w:t xml:space="preserve"> Missiles </w:t>
      </w:r>
      <w:r w:rsidR="003C0428" w:rsidRPr="000665B0">
        <w:lastRenderedPageBreak/>
        <w:t>Required.</w:t>
      </w:r>
      <w:r w:rsidR="003C0428" w:rsidRPr="000665B0">
        <w:rPr>
          <w:bCs/>
        </w:rPr>
        <w:t xml:space="preserve"> The</w:t>
      </w:r>
      <w:r w:rsidR="003C0428" w:rsidRPr="000665B0">
        <w:t xml:space="preserve"> </w:t>
      </w:r>
      <w:r w:rsidR="003C0428" w:rsidRPr="000665B0">
        <w:rPr>
          <w:i/>
          <w:iCs/>
        </w:rPr>
        <w:t>Missiles Required</w:t>
      </w:r>
      <w:r w:rsidR="00992437" w:rsidRPr="000665B0">
        <w:rPr>
          <w:i/>
          <w:iCs/>
        </w:rPr>
        <w:t xml:space="preserve"> for Platform [XX]</w:t>
      </w:r>
      <w:r w:rsidR="003C0428" w:rsidRPr="000665B0">
        <w:rPr>
          <w:i/>
          <w:iCs/>
        </w:rPr>
        <w:t xml:space="preserve"> </w:t>
      </w:r>
      <w:r w:rsidR="003C0428" w:rsidRPr="000665B0">
        <w:t xml:space="preserve">window </w:t>
      </w:r>
      <w:r w:rsidR="00DB5AEE" w:rsidRPr="000665B0">
        <w:t>is</w:t>
      </w:r>
      <w:r w:rsidR="003C0428" w:rsidRPr="000665B0">
        <w:t xml:space="preserve"> displayed.</w:t>
      </w:r>
    </w:p>
    <w:p w14:paraId="491DEEBB" w14:textId="0401A3F5" w:rsidR="003C0428" w:rsidRPr="000665B0" w:rsidRDefault="000A414E">
      <w:pPr>
        <w:tabs>
          <w:tab w:val="left" w:pos="720"/>
        </w:tabs>
        <w:jc w:val="center"/>
      </w:pPr>
      <w:r w:rsidRPr="000665B0">
        <w:rPr>
          <w:noProof/>
        </w:rPr>
        <w:drawing>
          <wp:inline distT="0" distB="0" distL="0" distR="0" wp14:anchorId="349395FC" wp14:editId="1E948948">
            <wp:extent cx="2286000" cy="1389888"/>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389888"/>
                    </a:xfrm>
                    <a:prstGeom prst="rect">
                      <a:avLst/>
                    </a:prstGeom>
                  </pic:spPr>
                </pic:pic>
              </a:graphicData>
            </a:graphic>
          </wp:inline>
        </w:drawing>
      </w:r>
    </w:p>
    <w:p w14:paraId="1C5C6835" w14:textId="1716EA32" w:rsidR="003C0428" w:rsidRPr="000665B0" w:rsidRDefault="003C0428" w:rsidP="006D5A65">
      <w:pPr>
        <w:pStyle w:val="Heading1"/>
      </w:pPr>
      <w:r w:rsidRPr="000665B0">
        <w:t>Make missile assignment requirements for Primary, Backup, Ready Spare, Auto Ready Spare, or Backup Pool</w:t>
      </w:r>
      <w:r w:rsidR="006F2473" w:rsidRPr="000665B0">
        <w:t xml:space="preserve"> and click OK. The assignments are displayed in the P, B, RS,</w:t>
      </w:r>
      <w:r w:rsidR="000F6C98">
        <w:t xml:space="preserve"> </w:t>
      </w:r>
      <w:r w:rsidR="006F2473" w:rsidRPr="000665B0">
        <w:t>ARS</w:t>
      </w:r>
      <w:r w:rsidR="007540A6" w:rsidRPr="00C36B36">
        <w:rPr>
          <w:bCs/>
        </w:rPr>
        <w:t xml:space="preserve">, and </w:t>
      </w:r>
      <w:r w:rsidR="007540A6" w:rsidRPr="007540A6">
        <w:t>BP</w:t>
      </w:r>
      <w:r w:rsidR="006F2473" w:rsidRPr="000665B0">
        <w:t xml:space="preserve"> columns. The list view item’s text turns blue until the required number of missiles condition is met. Once enough missiles</w:t>
      </w:r>
      <w:r w:rsidR="00CA6832" w:rsidRPr="000665B0">
        <w:t xml:space="preserve"> have been assigned</w:t>
      </w:r>
      <w:r w:rsidR="005705D3" w:rsidRPr="000665B0">
        <w:t xml:space="preserve"> </w:t>
      </w:r>
      <w:r w:rsidR="006F2473" w:rsidRPr="000665B0">
        <w:t>to meet the required condition</w:t>
      </w:r>
      <w:r w:rsidR="005705D3" w:rsidRPr="000665B0">
        <w:t xml:space="preserve"> (accomplished </w:t>
      </w:r>
      <w:r w:rsidR="002F21B8" w:rsidRPr="000665B0">
        <w:t>using</w:t>
      </w:r>
      <w:r w:rsidR="005705D3" w:rsidRPr="000665B0">
        <w:t xml:space="preserve"> Manual or Auto PM3)</w:t>
      </w:r>
      <w:r w:rsidR="006F2473" w:rsidRPr="000665B0">
        <w:t>, the list view item’s text reverts to its default color.</w:t>
      </w:r>
    </w:p>
    <w:p w14:paraId="20167ECA" w14:textId="77777777" w:rsidR="003C0428" w:rsidRPr="000665B0" w:rsidRDefault="006F2473"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1A0AD471" w14:textId="77777777" w:rsidR="003C0428" w:rsidRPr="000665B0" w:rsidRDefault="003C0428" w:rsidP="00A0163E">
      <w:pPr>
        <w:pStyle w:val="BodyText"/>
        <w:tabs>
          <w:tab w:val="left" w:pos="720"/>
        </w:tabs>
        <w:spacing w:after="120"/>
      </w:pPr>
      <w:bookmarkStart w:id="6327" w:name="_Hlk32302925"/>
      <w:r w:rsidRPr="000665B0">
        <w:rPr>
          <w:b/>
        </w:rPr>
        <w:t>PLP and Op Area</w:t>
      </w:r>
    </w:p>
    <w:p w14:paraId="2C84AA59" w14:textId="77777777" w:rsidR="0078503C" w:rsidRPr="000665B0" w:rsidRDefault="0078503C" w:rsidP="00A0163E">
      <w:pPr>
        <w:pStyle w:val="BodyText"/>
        <w:tabs>
          <w:tab w:val="left" w:pos="720"/>
        </w:tabs>
        <w:spacing w:after="120"/>
      </w:pPr>
      <w:r w:rsidRPr="000665B0">
        <w:t xml:space="preserve">To edit the </w:t>
      </w:r>
      <w:r w:rsidR="003C0428" w:rsidRPr="000665B0">
        <w:t>PLP/</w:t>
      </w:r>
      <w:r w:rsidRPr="000665B0">
        <w:t>Op Area:</w:t>
      </w:r>
    </w:p>
    <w:p w14:paraId="7887F41E" w14:textId="07917CD3" w:rsidR="00192CC9" w:rsidRPr="000665B0" w:rsidRDefault="00192CC9" w:rsidP="006D5A65">
      <w:pPr>
        <w:pStyle w:val="Heading1"/>
      </w:pPr>
      <w:r w:rsidRPr="000665B0">
        <w:t xml:space="preserve">In the </w:t>
      </w:r>
      <w:r w:rsidRPr="000665B0">
        <w:rPr>
          <w:bCs/>
          <w:i/>
        </w:rPr>
        <w:t>Arsenal</w:t>
      </w:r>
      <w:r w:rsidRPr="000665B0">
        <w:rPr>
          <w:bCs/>
        </w:rPr>
        <w:t xml:space="preserve"> </w:t>
      </w:r>
      <w:r w:rsidRPr="000665B0">
        <w:t>tab, select the desired Platform, invoke the context menu (</w:t>
      </w:r>
      <w:r w:rsidR="00D71804" w:rsidRPr="000665B0">
        <w:t>right-click</w:t>
      </w:r>
      <w:r w:rsidRPr="000665B0">
        <w:t xml:space="preserve"> the mouse), and select</w:t>
      </w:r>
      <w:r w:rsidRPr="000665B0">
        <w:rPr>
          <w:bCs/>
        </w:rPr>
        <w:t xml:space="preserve"> Edit </w:t>
      </w:r>
      <w:r w:rsidRPr="000665B0">
        <w:sym w:font="Wingdings 3" w:char="F07D"/>
      </w:r>
      <w:r w:rsidRPr="000665B0">
        <w:t xml:space="preserve"> </w:t>
      </w:r>
      <w:r w:rsidRPr="000665B0">
        <w:rPr>
          <w:bCs/>
        </w:rPr>
        <w:t>PLP/LPMP Op Area</w:t>
      </w:r>
      <w:r w:rsidRPr="000665B0">
        <w:t>.</w:t>
      </w:r>
      <w:r w:rsidRPr="000665B0">
        <w:rPr>
          <w:bCs/>
        </w:rPr>
        <w:t xml:space="preserve"> The</w:t>
      </w:r>
      <w:r w:rsidRPr="000665B0">
        <w:t xml:space="preserve"> </w:t>
      </w:r>
      <w:r w:rsidRPr="000665B0">
        <w:rPr>
          <w:bCs/>
          <w:i/>
          <w:iCs/>
        </w:rPr>
        <w:t>Edit PLP/LPMP Op Area</w:t>
      </w:r>
      <w:r w:rsidRPr="000665B0">
        <w:t xml:space="preserve"> window is displayed.</w:t>
      </w:r>
    </w:p>
    <w:p w14:paraId="12AD104C" w14:textId="4D67AEB1" w:rsidR="0078503C" w:rsidRPr="000665B0" w:rsidRDefault="003E0FD1" w:rsidP="00474A1F">
      <w:pPr>
        <w:tabs>
          <w:tab w:val="left" w:pos="720"/>
        </w:tabs>
        <w:jc w:val="center"/>
      </w:pPr>
      <w:r w:rsidRPr="000665B0">
        <w:rPr>
          <w:noProof/>
        </w:rPr>
        <w:drawing>
          <wp:inline distT="0" distB="0" distL="0" distR="0" wp14:anchorId="2F1A3D9C" wp14:editId="278B6C66">
            <wp:extent cx="2743200" cy="1179576"/>
            <wp:effectExtent l="0" t="0" r="0" b="1905"/>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179576"/>
                    </a:xfrm>
                    <a:prstGeom prst="rect">
                      <a:avLst/>
                    </a:prstGeom>
                  </pic:spPr>
                </pic:pic>
              </a:graphicData>
            </a:graphic>
          </wp:inline>
        </w:drawing>
      </w:r>
    </w:p>
    <w:p w14:paraId="1456EE95" w14:textId="53D202C4" w:rsidR="0078503C" w:rsidRPr="000665B0" w:rsidRDefault="0078503C" w:rsidP="006D5A65">
      <w:pPr>
        <w:pStyle w:val="Heading1"/>
      </w:pPr>
      <w:r w:rsidRPr="000665B0">
        <w:t xml:space="preserve">Use the </w:t>
      </w:r>
      <w:r w:rsidRPr="000665B0">
        <w:sym w:font="Wingdings 3" w:char="F071"/>
      </w:r>
      <w:r w:rsidR="0083579E" w:rsidRPr="000665B0">
        <w:t xml:space="preserve"> </w:t>
      </w:r>
      <w:r w:rsidRPr="000665B0">
        <w:t xml:space="preserve">button to select an existing PLP </w:t>
      </w:r>
      <w:r w:rsidR="00192CC9" w:rsidRPr="000665B0">
        <w:t>or create a new</w:t>
      </w:r>
      <w:r w:rsidRPr="000665B0">
        <w:t xml:space="preserve"> PLP by selecting the New button.</w:t>
      </w:r>
      <w:r w:rsidR="00046854" w:rsidRPr="000665B0">
        <w:t xml:space="preserve"> For more information on creating a new PLP, see </w:t>
      </w:r>
      <w:hyperlink w:anchor="_5.33.1__Create" w:history="1">
        <w:r w:rsidR="00046854" w:rsidRPr="000665B0">
          <w:rPr>
            <w:rStyle w:val="Hyperlink"/>
          </w:rPr>
          <w:t xml:space="preserve">Section </w:t>
        </w:r>
        <w:r w:rsidR="004231CC">
          <w:rPr>
            <w:rStyle w:val="Hyperlink"/>
          </w:rPr>
          <w:t>5.29</w:t>
        </w:r>
        <w:r w:rsidR="00046854" w:rsidRPr="000665B0">
          <w:rPr>
            <w:rStyle w:val="Hyperlink"/>
          </w:rPr>
          <w:t>.1</w:t>
        </w:r>
      </w:hyperlink>
      <w:r w:rsidR="00046854" w:rsidRPr="000665B0">
        <w:t>.</w:t>
      </w:r>
    </w:p>
    <w:p w14:paraId="660B7BBB" w14:textId="77777777" w:rsidR="0078503C" w:rsidRPr="000665B0" w:rsidRDefault="0078503C" w:rsidP="006D5A65">
      <w:pPr>
        <w:pStyle w:val="Heading1"/>
      </w:pPr>
      <w:r w:rsidRPr="000665B0">
        <w:t xml:space="preserve">Use the </w:t>
      </w:r>
      <w:r w:rsidRPr="000665B0">
        <w:sym w:font="Wingdings 3" w:char="F071"/>
      </w:r>
      <w:r w:rsidRPr="000665B0">
        <w:t xml:space="preserve"> button to select an </w:t>
      </w:r>
      <w:r w:rsidR="00046854" w:rsidRPr="000665B0">
        <w:t xml:space="preserve">LPMP </w:t>
      </w:r>
      <w:r w:rsidRPr="000665B0">
        <w:t xml:space="preserve">Operational Area. Operational Areas can also be created </w:t>
      </w:r>
      <w:r w:rsidR="00046854" w:rsidRPr="000665B0">
        <w:t xml:space="preserve">using </w:t>
      </w:r>
      <w:r w:rsidRPr="000665B0">
        <w:t>the ACMS Tool.</w:t>
      </w:r>
    </w:p>
    <w:p w14:paraId="61969836" w14:textId="77777777" w:rsidR="0078503C" w:rsidRPr="000665B0" w:rsidRDefault="0078503C" w:rsidP="006D5A65">
      <w:pPr>
        <w:pStyle w:val="Heading1"/>
      </w:pPr>
      <w:r w:rsidRPr="000665B0">
        <w:t xml:space="preserve">Ensure that the selected PLP is within the selected Operational Area and click </w:t>
      </w:r>
      <w:r w:rsidRPr="000665B0">
        <w:rPr>
          <w:bCs/>
        </w:rPr>
        <w:t>OK</w:t>
      </w:r>
      <w:r w:rsidRPr="000665B0">
        <w:t xml:space="preserve">. If a new PLP was created and selected from this dialog, the new PLP </w:t>
      </w:r>
      <w:r w:rsidR="00DB5AEE" w:rsidRPr="000665B0">
        <w:t>is</w:t>
      </w:r>
      <w:r w:rsidRPr="000665B0">
        <w:t xml:space="preserve"> automatically added </w:t>
      </w:r>
      <w:r w:rsidRPr="000665B0">
        <w:lastRenderedPageBreak/>
        <w:t>to the Strike Folder’s and Strike Option’s Geographic Resource</w:t>
      </w:r>
      <w:r w:rsidR="00046854" w:rsidRPr="000665B0">
        <w:t>s</w:t>
      </w:r>
      <w:r w:rsidRPr="000665B0">
        <w:t>.</w:t>
      </w:r>
    </w:p>
    <w:p w14:paraId="695A434E" w14:textId="77777777" w:rsidR="00046854" w:rsidRPr="000665B0" w:rsidRDefault="00046854"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46D4F28F" w14:textId="77777777" w:rsidR="0078503C" w:rsidRPr="000665B0" w:rsidRDefault="0078503C" w:rsidP="00474A1F">
      <w:pPr>
        <w:pStyle w:val="BodyText"/>
        <w:tabs>
          <w:tab w:val="left" w:pos="720"/>
        </w:tabs>
        <w:spacing w:after="120"/>
      </w:pPr>
      <w:r w:rsidRPr="000665B0">
        <w:t xml:space="preserve">For </w:t>
      </w:r>
      <w:r w:rsidR="003C0428" w:rsidRPr="000665B0">
        <w:t>Call For Fire (</w:t>
      </w:r>
      <w:r w:rsidR="003C0428" w:rsidRPr="000665B0">
        <w:rPr>
          <w:b/>
        </w:rPr>
        <w:t>CFF</w:t>
      </w:r>
      <w:r w:rsidR="003C0428" w:rsidRPr="000665B0">
        <w:t>)</w:t>
      </w:r>
      <w:r w:rsidRPr="000665B0">
        <w:t xml:space="preserve"> LPMP missions, </w:t>
      </w:r>
      <w:r w:rsidRPr="000665B0">
        <w:rPr>
          <w:b/>
        </w:rPr>
        <w:t>Tasking</w:t>
      </w:r>
      <w:r w:rsidRPr="000665B0">
        <w:t xml:space="preserve"> requires the Radio Frequency for the </w:t>
      </w:r>
      <w:r w:rsidR="0050193B" w:rsidRPr="000665B0">
        <w:t>P</w:t>
      </w:r>
      <w:r w:rsidRPr="000665B0">
        <w:t>latform, which will be assigned to the FRU. This is the frequency the spotter will use to contact the FRU in order to provide target coordinates.</w:t>
      </w:r>
    </w:p>
    <w:p w14:paraId="726A2F03" w14:textId="77777777" w:rsidR="0078503C" w:rsidRPr="000665B0" w:rsidRDefault="0078503C" w:rsidP="00CE2C1C">
      <w:pPr>
        <w:pStyle w:val="BodyText"/>
        <w:tabs>
          <w:tab w:val="left" w:pos="720"/>
        </w:tabs>
        <w:spacing w:after="120"/>
      </w:pPr>
      <w:r w:rsidRPr="000665B0">
        <w:t>To enter the Radio Frequency:</w:t>
      </w:r>
    </w:p>
    <w:p w14:paraId="6E9A88D6" w14:textId="6A941B60" w:rsidR="0078503C" w:rsidRPr="000665B0" w:rsidRDefault="00046854" w:rsidP="006D5A65">
      <w:pPr>
        <w:pStyle w:val="Heading1"/>
      </w:pPr>
      <w:r w:rsidRPr="000665B0">
        <w:t xml:space="preserve">In the </w:t>
      </w:r>
      <w:r w:rsidRPr="000665B0">
        <w:rPr>
          <w:bCs/>
          <w:i/>
        </w:rPr>
        <w:t>Arsenal</w:t>
      </w:r>
      <w:r w:rsidRPr="000665B0">
        <w:rPr>
          <w:bCs/>
        </w:rPr>
        <w:t xml:space="preserve"> </w:t>
      </w:r>
      <w:r w:rsidRPr="000665B0">
        <w:t>tab, select the desired Platform, invoke the context menu (</w:t>
      </w:r>
      <w:r w:rsidR="00D71804" w:rsidRPr="000665B0">
        <w:t>right-click</w:t>
      </w:r>
      <w:r w:rsidRPr="000665B0">
        <w:t xml:space="preserve"> the mouse), and select</w:t>
      </w:r>
      <w:r w:rsidRPr="000665B0">
        <w:rPr>
          <w:bCs/>
        </w:rPr>
        <w:t xml:space="preserve"> Edit </w:t>
      </w:r>
      <w:r w:rsidRPr="000665B0">
        <w:sym w:font="Wingdings 3" w:char="F07D"/>
      </w:r>
      <w:r w:rsidRPr="000665B0">
        <w:t xml:space="preserve"> </w:t>
      </w:r>
      <w:r w:rsidRPr="000665B0">
        <w:rPr>
          <w:bCs/>
        </w:rPr>
        <w:t>Radio Frequency</w:t>
      </w:r>
      <w:r w:rsidRPr="000665B0">
        <w:t>.</w:t>
      </w:r>
      <w:r w:rsidRPr="000665B0">
        <w:rPr>
          <w:bCs/>
        </w:rPr>
        <w:t xml:space="preserve"> The</w:t>
      </w:r>
      <w:r w:rsidRPr="000665B0">
        <w:t xml:space="preserve"> </w:t>
      </w:r>
      <w:r w:rsidRPr="000665B0">
        <w:rPr>
          <w:bCs/>
          <w:i/>
          <w:iCs/>
        </w:rPr>
        <w:t>Edit Radio Frequency</w:t>
      </w:r>
      <w:r w:rsidRPr="000665B0">
        <w:t xml:space="preserve"> window is displayed.</w:t>
      </w:r>
    </w:p>
    <w:p w14:paraId="39807899" w14:textId="1DA596BE" w:rsidR="0078503C" w:rsidRPr="000665B0" w:rsidRDefault="003E0FD1" w:rsidP="00474A1F">
      <w:pPr>
        <w:tabs>
          <w:tab w:val="left" w:pos="720"/>
        </w:tabs>
        <w:jc w:val="center"/>
      </w:pPr>
      <w:r w:rsidRPr="000665B0">
        <w:rPr>
          <w:noProof/>
        </w:rPr>
        <w:drawing>
          <wp:inline distT="0" distB="0" distL="0" distR="0" wp14:anchorId="13493597" wp14:editId="2E35F0DE">
            <wp:extent cx="2286000" cy="987552"/>
            <wp:effectExtent l="0" t="0" r="0" b="3175"/>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987552"/>
                    </a:xfrm>
                    <a:prstGeom prst="rect">
                      <a:avLst/>
                    </a:prstGeom>
                  </pic:spPr>
                </pic:pic>
              </a:graphicData>
            </a:graphic>
          </wp:inline>
        </w:drawing>
      </w:r>
    </w:p>
    <w:p w14:paraId="109F4CFE" w14:textId="77777777" w:rsidR="0078503C" w:rsidRPr="000665B0" w:rsidRDefault="0078503C" w:rsidP="006D5A65">
      <w:pPr>
        <w:pStyle w:val="Heading1"/>
      </w:pPr>
      <w:r w:rsidRPr="000665B0">
        <w:t xml:space="preserve">Enter the CFF Radio Frequency </w:t>
      </w:r>
      <w:r w:rsidR="00B6383D" w:rsidRPr="000665B0">
        <w:t xml:space="preserve">(up to 27 characters) </w:t>
      </w:r>
      <w:r w:rsidRPr="000665B0">
        <w:t>the selected FRU will be using</w:t>
      </w:r>
      <w:r w:rsidR="00046854" w:rsidRPr="000665B0">
        <w:t xml:space="preserve"> and click OK</w:t>
      </w:r>
      <w:r w:rsidRPr="000665B0">
        <w:t>.</w:t>
      </w:r>
    </w:p>
    <w:p w14:paraId="4A5963B8" w14:textId="77777777" w:rsidR="0078503C" w:rsidRPr="000665B0" w:rsidRDefault="00046854"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62537391" w14:textId="77777777" w:rsidR="003C0428" w:rsidRPr="000665B0" w:rsidRDefault="003C0428" w:rsidP="009163E5">
      <w:pPr>
        <w:pStyle w:val="BodyText"/>
        <w:keepNext/>
        <w:tabs>
          <w:tab w:val="left" w:pos="720"/>
        </w:tabs>
        <w:spacing w:after="120"/>
        <w:rPr>
          <w:b/>
        </w:rPr>
      </w:pPr>
      <w:r w:rsidRPr="000665B0">
        <w:rPr>
          <w:b/>
        </w:rPr>
        <w:t>DTA Assignments</w:t>
      </w:r>
    </w:p>
    <w:bookmarkEnd w:id="6327"/>
    <w:p w14:paraId="368566D4" w14:textId="77777777" w:rsidR="00231640" w:rsidRPr="000665B0" w:rsidRDefault="00231640" w:rsidP="00474A1F">
      <w:pPr>
        <w:pStyle w:val="BodyText"/>
        <w:tabs>
          <w:tab w:val="left" w:pos="720"/>
        </w:tabs>
        <w:spacing w:after="120"/>
      </w:pPr>
      <w:r w:rsidRPr="000665B0">
        <w:t>Destination Terminal Address (</w:t>
      </w:r>
      <w:r w:rsidRPr="000665B0">
        <w:rPr>
          <w:b/>
        </w:rPr>
        <w:t>DTA</w:t>
      </w:r>
      <w:r w:rsidRPr="000665B0">
        <w:t xml:space="preserve">) is a TSN Comms parameter. The MC1 and MC2 Controller DTAs are obtained from the DTA Settings in the </w:t>
      </w:r>
      <w:r w:rsidRPr="000665B0">
        <w:rPr>
          <w:b/>
          <w:i/>
        </w:rPr>
        <w:t>TSN Comms</w:t>
      </w:r>
      <w:r w:rsidRPr="000665B0">
        <w:t xml:space="preserve"> tab. </w:t>
      </w:r>
      <w:r w:rsidR="00BF52AC" w:rsidRPr="000665B0">
        <w:t xml:space="preserve">The Controller DTA is used to create a missile guard list and the Missile DTA is used to create a platform guard list to send in the TTWCS FASO. </w:t>
      </w:r>
      <w:r w:rsidRPr="000665B0">
        <w:t>By default</w:t>
      </w:r>
      <w:r w:rsidR="00641B49" w:rsidRPr="000665B0">
        <w:t>,</w:t>
      </w:r>
      <w:r w:rsidRPr="000665B0">
        <w:t xml:space="preserve"> MDS will assign each FRU in the Arsenal with a</w:t>
      </w:r>
      <w:r w:rsidR="00641B49" w:rsidRPr="000665B0">
        <w:t>n</w:t>
      </w:r>
      <w:r w:rsidRPr="000665B0">
        <w:t xml:space="preserve"> MC1 Controller DTA and Missile H/S DTA. The operator can edit the DTA assignments </w:t>
      </w:r>
      <w:r w:rsidR="00641B49" w:rsidRPr="000665B0">
        <w:t>as follows</w:t>
      </w:r>
      <w:r w:rsidRPr="000665B0">
        <w:t>.</w:t>
      </w:r>
    </w:p>
    <w:p w14:paraId="36C6B519" w14:textId="77777777" w:rsidR="003C0428" w:rsidRPr="000665B0" w:rsidRDefault="003C0428" w:rsidP="00474A1F">
      <w:pPr>
        <w:pStyle w:val="BodyText"/>
        <w:tabs>
          <w:tab w:val="left" w:pos="720"/>
        </w:tabs>
        <w:spacing w:after="120"/>
      </w:pPr>
      <w:r w:rsidRPr="000665B0">
        <w:t>To edit the DTA Assignments:</w:t>
      </w:r>
    </w:p>
    <w:p w14:paraId="001E5102" w14:textId="2E3DCE56" w:rsidR="003C0428" w:rsidRPr="000665B0" w:rsidRDefault="00641B49" w:rsidP="006D5A65">
      <w:pPr>
        <w:pStyle w:val="Heading1"/>
      </w:pPr>
      <w:r w:rsidRPr="000665B0">
        <w:t xml:space="preserve">In the </w:t>
      </w:r>
      <w:r w:rsidRPr="000665B0">
        <w:rPr>
          <w:bCs/>
          <w:i/>
        </w:rPr>
        <w:t>Arsenal</w:t>
      </w:r>
      <w:r w:rsidRPr="000665B0">
        <w:rPr>
          <w:bCs/>
        </w:rPr>
        <w:t xml:space="preserve"> </w:t>
      </w:r>
      <w:r w:rsidRPr="000665B0">
        <w:t>tab, select the desired Platform, invoke the context menu (</w:t>
      </w:r>
      <w:r w:rsidR="00D71804" w:rsidRPr="000665B0">
        <w:t>right-click</w:t>
      </w:r>
      <w:r w:rsidRPr="000665B0">
        <w:t xml:space="preserve"> the mouse), and select</w:t>
      </w:r>
      <w:r w:rsidRPr="000665B0">
        <w:rPr>
          <w:bCs/>
        </w:rPr>
        <w:t xml:space="preserve"> Edit </w:t>
      </w:r>
      <w:r w:rsidRPr="000665B0">
        <w:sym w:font="Wingdings 3" w:char="F07D"/>
      </w:r>
      <w:r w:rsidRPr="000665B0">
        <w:t xml:space="preserve"> </w:t>
      </w:r>
      <w:r w:rsidRPr="000665B0">
        <w:rPr>
          <w:bCs/>
        </w:rPr>
        <w:t>DTA</w:t>
      </w:r>
      <w:r w:rsidRPr="000665B0">
        <w:t>.</w:t>
      </w:r>
      <w:r w:rsidRPr="000665B0">
        <w:rPr>
          <w:bCs/>
        </w:rPr>
        <w:t xml:space="preserve"> The</w:t>
      </w:r>
      <w:r w:rsidRPr="000665B0">
        <w:t xml:space="preserve"> </w:t>
      </w:r>
      <w:r w:rsidRPr="000665B0">
        <w:rPr>
          <w:bCs/>
          <w:i/>
          <w:iCs/>
        </w:rPr>
        <w:t>DTA Assignments</w:t>
      </w:r>
      <w:r w:rsidRPr="000665B0">
        <w:t xml:space="preserve"> window is displayed.</w:t>
      </w:r>
    </w:p>
    <w:p w14:paraId="261673CC" w14:textId="7494B3B6" w:rsidR="003C0428" w:rsidRPr="000665B0" w:rsidRDefault="003E0FD1" w:rsidP="00474A1F">
      <w:pPr>
        <w:tabs>
          <w:tab w:val="left" w:pos="720"/>
        </w:tabs>
        <w:jc w:val="center"/>
      </w:pPr>
      <w:r w:rsidRPr="000665B0">
        <w:rPr>
          <w:noProof/>
        </w:rPr>
        <w:drawing>
          <wp:inline distT="0" distB="0" distL="0" distR="0" wp14:anchorId="54103831" wp14:editId="36DF43B9">
            <wp:extent cx="2286000" cy="1609344"/>
            <wp:effectExtent l="0" t="0" r="0" b="0"/>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609344"/>
                    </a:xfrm>
                    <a:prstGeom prst="rect">
                      <a:avLst/>
                    </a:prstGeom>
                  </pic:spPr>
                </pic:pic>
              </a:graphicData>
            </a:graphic>
          </wp:inline>
        </w:drawing>
      </w:r>
    </w:p>
    <w:p w14:paraId="46652A2F" w14:textId="77777777" w:rsidR="003C0428" w:rsidRPr="000665B0" w:rsidRDefault="00641B49" w:rsidP="006D5A65">
      <w:pPr>
        <w:pStyle w:val="Heading1"/>
      </w:pPr>
      <w:r w:rsidRPr="000665B0">
        <w:lastRenderedPageBreak/>
        <w:t xml:space="preserve">Select </w:t>
      </w:r>
      <w:r w:rsidR="003C0428" w:rsidRPr="000665B0">
        <w:t xml:space="preserve">the </w:t>
      </w:r>
      <w:r w:rsidR="00231640" w:rsidRPr="000665B0">
        <w:t>MC1 Controller</w:t>
      </w:r>
      <w:r w:rsidR="0050193B" w:rsidRPr="000665B0">
        <w:t xml:space="preserve"> DTA</w:t>
      </w:r>
      <w:r w:rsidR="00231640" w:rsidRPr="000665B0">
        <w:t xml:space="preserve"> </w:t>
      </w:r>
      <w:r w:rsidR="0050193B" w:rsidRPr="000665B0">
        <w:t xml:space="preserve">/ </w:t>
      </w:r>
      <w:r w:rsidR="00231640" w:rsidRPr="000665B0">
        <w:t xml:space="preserve">Missile DTA </w:t>
      </w:r>
      <w:r w:rsidRPr="000665B0">
        <w:t>set</w:t>
      </w:r>
      <w:r w:rsidR="00231640" w:rsidRPr="000665B0">
        <w:t xml:space="preserve">. The MC2 Controller </w:t>
      </w:r>
      <w:r w:rsidR="0050193B" w:rsidRPr="000665B0">
        <w:t xml:space="preserve">DTA / </w:t>
      </w:r>
      <w:r w:rsidR="00231640" w:rsidRPr="000665B0">
        <w:t>Missile DTA set is optiona</w:t>
      </w:r>
      <w:r w:rsidR="00E56458" w:rsidRPr="000665B0">
        <w:t>l</w:t>
      </w:r>
      <w:r w:rsidR="003C0428" w:rsidRPr="000665B0">
        <w:t>.</w:t>
      </w:r>
    </w:p>
    <w:p w14:paraId="32102378" w14:textId="77777777" w:rsidR="003C0428" w:rsidRPr="000665B0" w:rsidRDefault="003C0428" w:rsidP="006D5A65">
      <w:pPr>
        <w:pStyle w:val="Heading1"/>
      </w:pPr>
      <w:r w:rsidRPr="000665B0">
        <w:t xml:space="preserve">Click </w:t>
      </w:r>
      <w:r w:rsidRPr="000665B0">
        <w:rPr>
          <w:bCs/>
        </w:rPr>
        <w:t>OK</w:t>
      </w:r>
      <w:r w:rsidRPr="000665B0">
        <w:t>.</w:t>
      </w:r>
    </w:p>
    <w:p w14:paraId="302D76A1" w14:textId="77777777" w:rsidR="00641B49" w:rsidRPr="000665B0" w:rsidRDefault="00641B49"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5B2CD5A1" w14:textId="77777777" w:rsidR="0078503C" w:rsidRPr="000665B0" w:rsidRDefault="0078503C" w:rsidP="00474A1F">
      <w:pPr>
        <w:pStyle w:val="BodyText"/>
        <w:tabs>
          <w:tab w:val="left" w:pos="720"/>
        </w:tabs>
        <w:spacing w:after="120"/>
      </w:pPr>
      <w:r w:rsidRPr="000665B0">
        <w:t>The</w:t>
      </w:r>
      <w:r w:rsidR="000B2287" w:rsidRPr="000665B0">
        <w:t xml:space="preserve"> </w:t>
      </w:r>
      <w:r w:rsidR="000B2287" w:rsidRPr="000665B0">
        <w:rPr>
          <w:b/>
        </w:rPr>
        <w:t>Recalculate Estimated Missile Times</w:t>
      </w:r>
      <w:r w:rsidR="000B2287" w:rsidRPr="000665B0">
        <w:t xml:space="preserve"> menu is enabled only when a platform is selected that has a node with the shooter role. </w:t>
      </w:r>
    </w:p>
    <w:p w14:paraId="620C64D7" w14:textId="77777777" w:rsidR="003C0428" w:rsidRPr="000665B0" w:rsidRDefault="003C0428" w:rsidP="00A0163E">
      <w:pPr>
        <w:pStyle w:val="BodyText"/>
        <w:keepNext/>
        <w:keepLines/>
        <w:tabs>
          <w:tab w:val="left" w:pos="720"/>
        </w:tabs>
        <w:spacing w:after="120"/>
        <w:rPr>
          <w:b/>
        </w:rPr>
      </w:pPr>
      <w:bookmarkStart w:id="6328" w:name="_5.38.5.1.5__Missiles_Tab"/>
      <w:bookmarkStart w:id="6329" w:name="_5.39.5.1.5__Missiles_Tab"/>
      <w:bookmarkStart w:id="6330" w:name="_5.37.5.1.5__Missiles_Tab"/>
      <w:bookmarkEnd w:id="6328"/>
      <w:bookmarkEnd w:id="6329"/>
      <w:bookmarkEnd w:id="6330"/>
      <w:r w:rsidRPr="000665B0">
        <w:rPr>
          <w:b/>
        </w:rPr>
        <w:t>Strike Coordination Overlay</w:t>
      </w:r>
    </w:p>
    <w:p w14:paraId="108586C4" w14:textId="77777777" w:rsidR="003C0428" w:rsidRPr="000665B0" w:rsidRDefault="003C0428" w:rsidP="00474A1F">
      <w:pPr>
        <w:pStyle w:val="BodyText"/>
        <w:tabs>
          <w:tab w:val="left" w:pos="720"/>
        </w:tabs>
        <w:spacing w:after="120"/>
        <w:rPr>
          <w:b/>
        </w:rPr>
      </w:pPr>
      <w:r w:rsidRPr="000665B0">
        <w:t xml:space="preserve">If the Option is of the type </w:t>
      </w:r>
      <w:r w:rsidRPr="000665B0">
        <w:rPr>
          <w:b/>
        </w:rPr>
        <w:t>Package</w:t>
      </w:r>
      <w:r w:rsidRPr="000665B0">
        <w:t xml:space="preserve">, FRU missile assignments have been made, and a PLP has been assigned, the user can </w:t>
      </w:r>
      <w:r w:rsidRPr="000665B0">
        <w:rPr>
          <w:b/>
        </w:rPr>
        <w:t>Save</w:t>
      </w:r>
      <w:r w:rsidRPr="000665B0">
        <w:t xml:space="preserve"> and </w:t>
      </w:r>
      <w:r w:rsidRPr="000665B0">
        <w:rPr>
          <w:b/>
        </w:rPr>
        <w:t xml:space="preserve">Send </w:t>
      </w:r>
      <w:r w:rsidRPr="000665B0">
        <w:t>the</w:t>
      </w:r>
      <w:r w:rsidRPr="000665B0">
        <w:rPr>
          <w:b/>
        </w:rPr>
        <w:t xml:space="preserve"> </w:t>
      </w:r>
      <w:r w:rsidRPr="000665B0">
        <w:t>Strike Coordination Overlays.</w:t>
      </w:r>
      <w:r w:rsidRPr="000665B0">
        <w:rPr>
          <w:b/>
        </w:rPr>
        <w:t xml:space="preserve"> </w:t>
      </w:r>
      <w:r w:rsidR="000B2287" w:rsidRPr="000665B0">
        <w:t>This menu is enabled only when a platform is selected that has a node with the shooter role.</w:t>
      </w:r>
    </w:p>
    <w:p w14:paraId="6D8FCDF0" w14:textId="77777777" w:rsidR="003C0428" w:rsidRPr="000665B0" w:rsidRDefault="003C0428" w:rsidP="00474A1F">
      <w:pPr>
        <w:pStyle w:val="BodyText"/>
        <w:tabs>
          <w:tab w:val="left" w:pos="720"/>
        </w:tabs>
        <w:spacing w:after="120"/>
      </w:pPr>
      <w:r w:rsidRPr="000665B0">
        <w:t>To save a Strike Coordination Overlay:</w:t>
      </w:r>
    </w:p>
    <w:p w14:paraId="40DC6DFE" w14:textId="67A9D793" w:rsidR="003C0428" w:rsidRPr="000665B0" w:rsidRDefault="00B92412" w:rsidP="006D5A65">
      <w:pPr>
        <w:pStyle w:val="Heading1"/>
      </w:pPr>
      <w:r w:rsidRPr="000665B0">
        <w:t xml:space="preserve">In the </w:t>
      </w:r>
      <w:r w:rsidRPr="000665B0">
        <w:rPr>
          <w:bCs/>
          <w:i/>
        </w:rPr>
        <w:t>Arsenal</w:t>
      </w:r>
      <w:r w:rsidRPr="000665B0">
        <w:rPr>
          <w:bCs/>
        </w:rPr>
        <w:t xml:space="preserve"> </w:t>
      </w:r>
      <w:r w:rsidRPr="000665B0">
        <w:t>tab, select the desired Platform, invoke the context menu (</w:t>
      </w:r>
      <w:r w:rsidR="00D71804" w:rsidRPr="000665B0">
        <w:t>right-click</w:t>
      </w:r>
      <w:r w:rsidRPr="000665B0">
        <w:t xml:space="preserve"> the mouse), and select</w:t>
      </w:r>
      <w:r w:rsidRPr="000665B0">
        <w:rPr>
          <w:bCs/>
        </w:rPr>
        <w:t xml:space="preserve"> </w:t>
      </w:r>
      <w:r w:rsidRPr="000665B0">
        <w:t xml:space="preserve">Save Strike Coordination Overlay. The </w:t>
      </w:r>
      <w:r w:rsidRPr="000665B0">
        <w:rPr>
          <w:i/>
        </w:rPr>
        <w:t>Strike Coordination Overlay</w:t>
      </w:r>
      <w:r w:rsidRPr="000665B0">
        <w:t xml:space="preserve"> window is displayed.</w:t>
      </w:r>
    </w:p>
    <w:p w14:paraId="63748236" w14:textId="2F6A23F2" w:rsidR="003C0428" w:rsidRPr="000665B0" w:rsidRDefault="00BF49E2" w:rsidP="00474A1F">
      <w:pPr>
        <w:tabs>
          <w:tab w:val="left" w:pos="720"/>
        </w:tabs>
        <w:jc w:val="center"/>
      </w:pPr>
      <w:r w:rsidRPr="000665B0">
        <w:rPr>
          <w:noProof/>
        </w:rPr>
        <w:drawing>
          <wp:inline distT="0" distB="0" distL="0" distR="0" wp14:anchorId="2CDA7D54" wp14:editId="4F985914">
            <wp:extent cx="2743200" cy="2414016"/>
            <wp:effectExtent l="0" t="0" r="0" b="5715"/>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414016"/>
                    </a:xfrm>
                    <a:prstGeom prst="rect">
                      <a:avLst/>
                    </a:prstGeom>
                  </pic:spPr>
                </pic:pic>
              </a:graphicData>
            </a:graphic>
          </wp:inline>
        </w:drawing>
      </w:r>
    </w:p>
    <w:p w14:paraId="07B442C3" w14:textId="77777777" w:rsidR="003C0428" w:rsidRPr="000665B0" w:rsidRDefault="003C0428" w:rsidP="006D5A65">
      <w:pPr>
        <w:pStyle w:val="Heading1"/>
      </w:pPr>
      <w:r w:rsidRPr="000665B0">
        <w:t xml:space="preserve">Click </w:t>
      </w:r>
      <w:r w:rsidR="00CB36CC" w:rsidRPr="000665B0">
        <w:t xml:space="preserve">the </w:t>
      </w:r>
      <w:r w:rsidRPr="000665B0">
        <w:t>Save</w:t>
      </w:r>
      <w:r w:rsidR="00CB36CC" w:rsidRPr="000665B0">
        <w:t xml:space="preserve"> button</w:t>
      </w:r>
      <w:r w:rsidRPr="000665B0">
        <w:t xml:space="preserve">. A new Strike Coordination Overlay </w:t>
      </w:r>
      <w:r w:rsidR="00DB5AEE" w:rsidRPr="000665B0">
        <w:t>is</w:t>
      </w:r>
      <w:r w:rsidRPr="000665B0">
        <w:t xml:space="preserve"> created and listed in the Overlay Tool.</w:t>
      </w:r>
    </w:p>
    <w:p w14:paraId="2971F0F5" w14:textId="77777777" w:rsidR="003C0428" w:rsidRPr="000665B0" w:rsidRDefault="003C0428" w:rsidP="00A0163E">
      <w:pPr>
        <w:pStyle w:val="BodyText"/>
        <w:tabs>
          <w:tab w:val="left" w:pos="720"/>
        </w:tabs>
        <w:spacing w:after="120"/>
      </w:pPr>
      <w:r w:rsidRPr="000665B0">
        <w:rPr>
          <w:b/>
        </w:rPr>
        <w:t>Missile Inventory</w:t>
      </w:r>
    </w:p>
    <w:p w14:paraId="1335B0BD" w14:textId="77777777" w:rsidR="00967529" w:rsidRPr="000665B0" w:rsidRDefault="005D4C5C" w:rsidP="00474A1F">
      <w:pPr>
        <w:pStyle w:val="BodyText"/>
        <w:tabs>
          <w:tab w:val="left" w:pos="720"/>
        </w:tabs>
        <w:spacing w:after="120"/>
      </w:pPr>
      <w:r w:rsidRPr="000665B0">
        <w:t>A</w:t>
      </w:r>
      <w:r w:rsidR="00967529" w:rsidRPr="000665B0">
        <w:t xml:space="preserve"> </w:t>
      </w:r>
      <w:r w:rsidR="0050193B" w:rsidRPr="000665B0">
        <w:t>M</w:t>
      </w:r>
      <w:r w:rsidR="00967529" w:rsidRPr="000665B0">
        <w:t xml:space="preserve">issile </w:t>
      </w:r>
      <w:r w:rsidR="0050193B" w:rsidRPr="000665B0">
        <w:t>I</w:t>
      </w:r>
      <w:r w:rsidR="00967529" w:rsidRPr="000665B0">
        <w:t xml:space="preserve">nventory </w:t>
      </w:r>
      <w:r w:rsidR="0050193B" w:rsidRPr="000665B0">
        <w:t>R</w:t>
      </w:r>
      <w:r w:rsidR="00967529" w:rsidRPr="000665B0">
        <w:t xml:space="preserve">equest only applies to the shooter and an ACMS list request only applies to a TTWCS </w:t>
      </w:r>
      <w:r w:rsidR="0050193B" w:rsidRPr="000665B0">
        <w:t>N</w:t>
      </w:r>
      <w:r w:rsidR="00967529" w:rsidRPr="000665B0">
        <w:t>ode</w:t>
      </w:r>
      <w:r w:rsidRPr="000665B0">
        <w:t>. A</w:t>
      </w:r>
      <w:r w:rsidR="00967529" w:rsidRPr="000665B0">
        <w:t xml:space="preserve"> </w:t>
      </w:r>
      <w:r w:rsidR="0050193B" w:rsidRPr="000665B0">
        <w:t>N</w:t>
      </w:r>
      <w:r w:rsidR="00967529" w:rsidRPr="000665B0">
        <w:t xml:space="preserve">ode inventory request applies to all </w:t>
      </w:r>
      <w:r w:rsidR="0050193B" w:rsidRPr="000665B0">
        <w:t>N</w:t>
      </w:r>
      <w:r w:rsidR="00967529" w:rsidRPr="000665B0">
        <w:t>odes.</w:t>
      </w:r>
    </w:p>
    <w:p w14:paraId="0DC9EBF3" w14:textId="77777777" w:rsidR="0078503C" w:rsidRPr="000665B0" w:rsidRDefault="0078503C" w:rsidP="00474A1F">
      <w:pPr>
        <w:pStyle w:val="BodyText"/>
        <w:tabs>
          <w:tab w:val="left" w:pos="720"/>
        </w:tabs>
        <w:spacing w:after="120"/>
      </w:pPr>
      <w:r w:rsidRPr="000665B0">
        <w:t>To send</w:t>
      </w:r>
      <w:r w:rsidR="00B92412" w:rsidRPr="000665B0">
        <w:t xml:space="preserve"> a Missile</w:t>
      </w:r>
      <w:r w:rsidRPr="000665B0">
        <w:t xml:space="preserve"> Inventory Request:</w:t>
      </w:r>
    </w:p>
    <w:p w14:paraId="166D7FFA" w14:textId="578CCD8E" w:rsidR="0078503C" w:rsidRPr="000665B0" w:rsidRDefault="00B92412" w:rsidP="00C223B9">
      <w:pPr>
        <w:pStyle w:val="Number0205"/>
        <w:tabs>
          <w:tab w:val="left" w:pos="720"/>
        </w:tabs>
        <w:ind w:left="720" w:firstLine="0"/>
      </w:pPr>
      <w:r w:rsidRPr="000665B0">
        <w:t xml:space="preserve">In the </w:t>
      </w:r>
      <w:r w:rsidRPr="000665B0">
        <w:rPr>
          <w:b/>
          <w:bCs/>
          <w:i/>
        </w:rPr>
        <w:t>Arsenal</w:t>
      </w:r>
      <w:r w:rsidRPr="000665B0">
        <w:rPr>
          <w:b/>
          <w:bCs/>
        </w:rPr>
        <w:t xml:space="preserve"> </w:t>
      </w:r>
      <w:r w:rsidRPr="000665B0">
        <w:t>tab, select the desired Platform, invoke the context menu (</w:t>
      </w:r>
      <w:r w:rsidR="00D71804" w:rsidRPr="000665B0">
        <w:t>right-click</w:t>
      </w:r>
      <w:r w:rsidRPr="000665B0">
        <w:t xml:space="preserve"> the mouse), and select</w:t>
      </w:r>
      <w:r w:rsidRPr="000665B0">
        <w:rPr>
          <w:b/>
          <w:bCs/>
        </w:rPr>
        <w:t xml:space="preserve"> </w:t>
      </w:r>
      <w:r w:rsidRPr="000665B0">
        <w:rPr>
          <w:b/>
        </w:rPr>
        <w:t>Inventory Request</w:t>
      </w:r>
      <w:r w:rsidRPr="000665B0">
        <w:t xml:space="preserve">. </w:t>
      </w:r>
      <w:r w:rsidR="0076798E" w:rsidRPr="000665B0">
        <w:t xml:space="preserve">(The inventory from the </w:t>
      </w:r>
      <w:r w:rsidR="0050193B" w:rsidRPr="000665B0">
        <w:t>N</w:t>
      </w:r>
      <w:r w:rsidR="0076798E" w:rsidRPr="000665B0">
        <w:t xml:space="preserve">odes belonging to the selected </w:t>
      </w:r>
      <w:r w:rsidR="0050193B" w:rsidRPr="000665B0">
        <w:t>P</w:t>
      </w:r>
      <w:r w:rsidR="0076798E" w:rsidRPr="000665B0">
        <w:t xml:space="preserve">latform is requested.) </w:t>
      </w:r>
      <w:r w:rsidR="001D0070" w:rsidRPr="000665B0">
        <w:t xml:space="preserve">The </w:t>
      </w:r>
      <w:r w:rsidR="001D0070" w:rsidRPr="000665B0">
        <w:rPr>
          <w:i/>
        </w:rPr>
        <w:t>Coordination Template</w:t>
      </w:r>
      <w:r w:rsidR="001D0070" w:rsidRPr="000665B0" w:rsidDel="00BE7921">
        <w:rPr>
          <w:i/>
        </w:rPr>
        <w:t xml:space="preserve"> </w:t>
      </w:r>
      <w:r w:rsidR="001D0070" w:rsidRPr="000665B0">
        <w:t xml:space="preserve">window is displayed. The appropriate setting for the inventory request is preset by MDS. Click the </w:t>
      </w:r>
      <w:r w:rsidR="001D0070" w:rsidRPr="000665B0">
        <w:rPr>
          <w:b/>
        </w:rPr>
        <w:t>Mail</w:t>
      </w:r>
      <w:r w:rsidR="001D0070" w:rsidRPr="000665B0">
        <w:t xml:space="preserve"> icon for </w:t>
      </w:r>
      <w:r w:rsidR="001D0070" w:rsidRPr="000665B0">
        <w:rPr>
          <w:b/>
        </w:rPr>
        <w:lastRenderedPageBreak/>
        <w:t>Send</w:t>
      </w:r>
      <w:r w:rsidR="001D0070" w:rsidRPr="000665B0">
        <w:t xml:space="preserve"> or select </w:t>
      </w:r>
      <w:r w:rsidR="001D0070" w:rsidRPr="000665B0">
        <w:rPr>
          <w:b/>
        </w:rPr>
        <w:t>File</w:t>
      </w:r>
      <w:r w:rsidR="001D0070" w:rsidRPr="000665B0">
        <w:rPr>
          <w:i/>
        </w:rPr>
        <w:t xml:space="preserve"> </w:t>
      </w:r>
      <w:r w:rsidR="001D0070" w:rsidRPr="000665B0">
        <w:rPr>
          <w:b/>
        </w:rPr>
        <w:sym w:font="Wingdings" w:char="F0E0"/>
      </w:r>
      <w:r w:rsidR="001D0070" w:rsidRPr="000665B0">
        <w:rPr>
          <w:i/>
        </w:rPr>
        <w:t xml:space="preserve"> </w:t>
      </w:r>
      <w:r w:rsidR="001D0070" w:rsidRPr="000665B0">
        <w:rPr>
          <w:b/>
        </w:rPr>
        <w:t>Send</w:t>
      </w:r>
      <w:r w:rsidR="001D0070" w:rsidRPr="000665B0">
        <w:t xml:space="preserve"> from the menu bar. If a copy of the Coordination Template DDO is desired, user may click the </w:t>
      </w:r>
      <w:r w:rsidR="001D0070" w:rsidRPr="000665B0">
        <w:rPr>
          <w:b/>
        </w:rPr>
        <w:t>Save</w:t>
      </w:r>
      <w:r w:rsidR="001D0070" w:rsidRPr="000665B0">
        <w:t xml:space="preserve"> icon</w:t>
      </w:r>
      <w:r w:rsidR="0043623E" w:rsidRPr="000665B0">
        <w:t>.</w:t>
      </w:r>
    </w:p>
    <w:p w14:paraId="01D3643A" w14:textId="77777777" w:rsidR="00967529" w:rsidRPr="000665B0" w:rsidRDefault="00967529" w:rsidP="00474A1F">
      <w:pPr>
        <w:pStyle w:val="BodyText"/>
        <w:tabs>
          <w:tab w:val="left" w:pos="720"/>
        </w:tabs>
        <w:spacing w:line="360" w:lineRule="auto"/>
      </w:pPr>
      <w:r w:rsidRPr="000665B0">
        <w:t>Tactical missile inventory can be copied over to the training missile inventory.</w:t>
      </w:r>
    </w:p>
    <w:p w14:paraId="25B8C6B6" w14:textId="77777777" w:rsidR="0078503C" w:rsidRPr="000665B0" w:rsidRDefault="0078503C" w:rsidP="00474A1F">
      <w:pPr>
        <w:pStyle w:val="BodyText"/>
        <w:tabs>
          <w:tab w:val="left" w:pos="720"/>
        </w:tabs>
        <w:spacing w:after="120"/>
      </w:pPr>
      <w:r w:rsidRPr="000665B0">
        <w:t>To copy Missile Inventory:</w:t>
      </w:r>
    </w:p>
    <w:p w14:paraId="3CABEC17" w14:textId="2A802295" w:rsidR="00967529" w:rsidRPr="000665B0" w:rsidRDefault="00967529" w:rsidP="00F70BD7">
      <w:pPr>
        <w:pStyle w:val="BodyText"/>
        <w:spacing w:after="120"/>
        <w:ind w:left="720"/>
      </w:pPr>
      <w:r w:rsidRPr="000665B0">
        <w:t xml:space="preserve">In the </w:t>
      </w:r>
      <w:r w:rsidRPr="000665B0">
        <w:rPr>
          <w:b/>
          <w:bCs/>
          <w:i/>
        </w:rPr>
        <w:t>Arsenal</w:t>
      </w:r>
      <w:r w:rsidRPr="000665B0">
        <w:rPr>
          <w:b/>
          <w:bCs/>
        </w:rPr>
        <w:t xml:space="preserve"> </w:t>
      </w:r>
      <w:r w:rsidRPr="000665B0">
        <w:t>tab, select the desired Platform, invoke the context menu (</w:t>
      </w:r>
      <w:r w:rsidR="00D71804" w:rsidRPr="000665B0">
        <w:t>right-click</w:t>
      </w:r>
      <w:r w:rsidRPr="000665B0">
        <w:t xml:space="preserve"> the mouse), and select</w:t>
      </w:r>
      <w:r w:rsidRPr="000665B0">
        <w:rPr>
          <w:b/>
          <w:bCs/>
        </w:rPr>
        <w:t xml:space="preserve"> </w:t>
      </w:r>
      <w:r w:rsidRPr="000665B0">
        <w:rPr>
          <w:b/>
        </w:rPr>
        <w:t>Copy Missile Inventory</w:t>
      </w:r>
      <w:r w:rsidRPr="000665B0">
        <w:t xml:space="preserve">. The </w:t>
      </w:r>
      <w:r w:rsidRPr="000665B0">
        <w:rPr>
          <w:i/>
        </w:rPr>
        <w:t>Option Arsenal</w:t>
      </w:r>
      <w:r w:rsidRPr="000665B0">
        <w:t xml:space="preserve"> window is displayed</w:t>
      </w:r>
      <w:r w:rsidR="0050193B" w:rsidRPr="000665B0">
        <w:t>.</w:t>
      </w:r>
      <w:r w:rsidRPr="000665B0">
        <w:t xml:space="preserve"> </w:t>
      </w:r>
    </w:p>
    <w:p w14:paraId="2A8D1323" w14:textId="308E8AF9" w:rsidR="0078503C" w:rsidRPr="000665B0" w:rsidRDefault="00F70BD7" w:rsidP="00446685">
      <w:pPr>
        <w:pStyle w:val="BodyText"/>
        <w:spacing w:after="120"/>
        <w:jc w:val="center"/>
      </w:pPr>
      <w:r w:rsidRPr="000665B0">
        <w:rPr>
          <w:noProof/>
        </w:rPr>
        <w:drawing>
          <wp:inline distT="0" distB="0" distL="0" distR="0" wp14:anchorId="0BD677E3" wp14:editId="229E3EBE">
            <wp:extent cx="2743200" cy="923544"/>
            <wp:effectExtent l="0" t="0" r="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923544"/>
                    </a:xfrm>
                    <a:prstGeom prst="rect">
                      <a:avLst/>
                    </a:prstGeom>
                  </pic:spPr>
                </pic:pic>
              </a:graphicData>
            </a:graphic>
          </wp:inline>
        </w:drawing>
      </w:r>
    </w:p>
    <w:p w14:paraId="0123E4F5" w14:textId="77777777" w:rsidR="0078503C" w:rsidRPr="000665B0" w:rsidRDefault="0078503C" w:rsidP="00474A1F">
      <w:pPr>
        <w:pStyle w:val="BodyText"/>
        <w:tabs>
          <w:tab w:val="left" w:pos="720"/>
        </w:tabs>
        <w:spacing w:after="120"/>
        <w:rPr>
          <w:b/>
        </w:rPr>
      </w:pPr>
      <w:r w:rsidRPr="000665B0">
        <w:rPr>
          <w:b/>
        </w:rPr>
        <w:t>Missile Inventory and Depletion Strikes</w:t>
      </w:r>
    </w:p>
    <w:p w14:paraId="59134A2B" w14:textId="77777777" w:rsidR="0078503C" w:rsidRPr="000665B0" w:rsidRDefault="0078503C" w:rsidP="00474A1F">
      <w:pPr>
        <w:pStyle w:val="BodyText"/>
        <w:tabs>
          <w:tab w:val="left" w:pos="720"/>
        </w:tabs>
        <w:spacing w:after="120"/>
      </w:pPr>
      <w:r w:rsidRPr="000665B0">
        <w:t xml:space="preserve">The number of missiles available and reserved by type for all the FRUs in the Arsenal is shown </w:t>
      </w:r>
      <w:r w:rsidR="00684F22" w:rsidRPr="000665B0">
        <w:t xml:space="preserve">in the </w:t>
      </w:r>
      <w:r w:rsidR="00684F22" w:rsidRPr="000665B0">
        <w:rPr>
          <w:b/>
        </w:rPr>
        <w:t>Missile Inventory</w:t>
      </w:r>
      <w:r w:rsidR="00684F22" w:rsidRPr="000665B0">
        <w:t xml:space="preserve"> pane </w:t>
      </w:r>
      <w:r w:rsidRPr="000665B0">
        <w:t xml:space="preserve">on </w:t>
      </w:r>
      <w:r w:rsidR="00684F22" w:rsidRPr="000665B0">
        <w:t xml:space="preserve">the </w:t>
      </w:r>
      <w:r w:rsidR="00684F22" w:rsidRPr="000665B0">
        <w:rPr>
          <w:b/>
          <w:i/>
        </w:rPr>
        <w:t>Arsenal</w:t>
      </w:r>
      <w:r w:rsidR="00684F22" w:rsidRPr="000665B0">
        <w:t xml:space="preserve"> </w:t>
      </w:r>
      <w:r w:rsidRPr="000665B0">
        <w:t>tab:</w:t>
      </w:r>
    </w:p>
    <w:p w14:paraId="5411322E" w14:textId="34E06EA9" w:rsidR="00CC06D7" w:rsidRPr="000665B0" w:rsidRDefault="00EA5282" w:rsidP="00CC06D7">
      <w:pPr>
        <w:pStyle w:val="BodyText"/>
        <w:tabs>
          <w:tab w:val="left" w:pos="720"/>
        </w:tabs>
        <w:spacing w:after="120"/>
        <w:jc w:val="center"/>
      </w:pPr>
      <w:r>
        <w:rPr>
          <w:noProof/>
        </w:rPr>
        <w:drawing>
          <wp:inline distT="0" distB="0" distL="0" distR="0" wp14:anchorId="28D7FD03" wp14:editId="1D8CE5EA">
            <wp:extent cx="3154680" cy="438912"/>
            <wp:effectExtent l="0" t="0" r="0" b="0"/>
            <wp:docPr id="2021666946" name="Picture 20216669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6946" name="Picture 2021666946" descr="Text&#10;&#10;Description automatically generated"/>
                    <pic:cNvPicPr/>
                  </pic:nvPicPr>
                  <pic:blipFill>
                    <a:blip/>
                    <a:stretch>
                      <a:fillRect/>
                    </a:stretch>
                  </pic:blipFill>
                  <pic:spPr>
                    <a:xfrm>
                      <a:off x="0" y="0"/>
                      <a:ext cx="3154680" cy="438912"/>
                    </a:xfrm>
                    <a:prstGeom prst="rect">
                      <a:avLst/>
                    </a:prstGeom>
                  </pic:spPr>
                </pic:pic>
              </a:graphicData>
            </a:graphic>
          </wp:inline>
        </w:drawing>
      </w:r>
    </w:p>
    <w:p w14:paraId="32BEFCDB" w14:textId="77777777" w:rsidR="0078503C" w:rsidRPr="000665B0" w:rsidRDefault="0078503C" w:rsidP="00CC06D7">
      <w:pPr>
        <w:pStyle w:val="BodyText"/>
        <w:tabs>
          <w:tab w:val="left" w:pos="720"/>
        </w:tabs>
        <w:spacing w:after="120"/>
      </w:pPr>
      <w:r w:rsidRPr="000665B0">
        <w:t xml:space="preserve">Depletion Strikes can also be entered on </w:t>
      </w:r>
      <w:r w:rsidR="00684F22" w:rsidRPr="000665B0">
        <w:t xml:space="preserve">the </w:t>
      </w:r>
      <w:r w:rsidR="00684F22" w:rsidRPr="000665B0">
        <w:rPr>
          <w:b/>
          <w:i/>
        </w:rPr>
        <w:t>Arsenal</w:t>
      </w:r>
      <w:r w:rsidR="00684F22" w:rsidRPr="000665B0">
        <w:t xml:space="preserve"> </w:t>
      </w:r>
      <w:r w:rsidRPr="000665B0">
        <w:t xml:space="preserve">tab. All </w:t>
      </w:r>
      <w:r w:rsidR="00085762" w:rsidRPr="000665B0">
        <w:t xml:space="preserve">missile </w:t>
      </w:r>
      <w:r w:rsidRPr="000665B0">
        <w:t xml:space="preserve">reservations from depletion strikes will decrement the available inventory for the current strike. In other words, all missiles used in the depletion strikes will not be available in the current strike. Depletion strikes are shown </w:t>
      </w:r>
      <w:r w:rsidR="00684F22" w:rsidRPr="000665B0">
        <w:t xml:space="preserve">in the </w:t>
      </w:r>
      <w:r w:rsidR="00684F22" w:rsidRPr="000665B0">
        <w:rPr>
          <w:b/>
        </w:rPr>
        <w:t>Depletion Strikes</w:t>
      </w:r>
      <w:r w:rsidR="00684F22" w:rsidRPr="000665B0">
        <w:t xml:space="preserve"> pane on the </w:t>
      </w:r>
      <w:r w:rsidR="00684F22" w:rsidRPr="000665B0">
        <w:rPr>
          <w:b/>
          <w:i/>
        </w:rPr>
        <w:t>Arsenal</w:t>
      </w:r>
      <w:r w:rsidR="00684F22" w:rsidRPr="000665B0">
        <w:t xml:space="preserve"> tab:</w:t>
      </w:r>
    </w:p>
    <w:p w14:paraId="63F737D8" w14:textId="77777777" w:rsidR="0078503C" w:rsidRPr="000665B0" w:rsidRDefault="00684F22" w:rsidP="00474A1F">
      <w:pPr>
        <w:pStyle w:val="BodyText"/>
        <w:tabs>
          <w:tab w:val="left" w:pos="720"/>
        </w:tabs>
        <w:spacing w:after="120"/>
        <w:jc w:val="center"/>
      </w:pPr>
      <w:r w:rsidRPr="000665B0">
        <w:rPr>
          <w:noProof/>
        </w:rPr>
        <w:drawing>
          <wp:inline distT="0" distB="0" distL="0" distR="0" wp14:anchorId="2152D030" wp14:editId="5E1F45CC">
            <wp:extent cx="3154680" cy="694944"/>
            <wp:effectExtent l="0" t="0" r="0" b="0"/>
            <wp:docPr id="1181" name="Picture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3154680" cy="694944"/>
                    </a:xfrm>
                    <a:prstGeom prst="rect">
                      <a:avLst/>
                    </a:prstGeom>
                  </pic:spPr>
                </pic:pic>
              </a:graphicData>
            </a:graphic>
          </wp:inline>
        </w:drawing>
      </w:r>
    </w:p>
    <w:p w14:paraId="314E9D1E" w14:textId="77777777" w:rsidR="005C7294" w:rsidRPr="000665B0" w:rsidRDefault="005C7294" w:rsidP="001F4B14">
      <w:pPr>
        <w:keepNext/>
        <w:pageBreakBefore/>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bCs/>
        </w:rPr>
      </w:pPr>
      <w:r w:rsidRPr="000665B0">
        <w:rPr>
          <w:b/>
          <w:bCs/>
        </w:rPr>
        <w:lastRenderedPageBreak/>
        <w:t xml:space="preserve">Note: </w:t>
      </w:r>
    </w:p>
    <w:p w14:paraId="2FEE64A9" w14:textId="77777777" w:rsidR="005C7294" w:rsidRPr="000665B0" w:rsidRDefault="005C7294" w:rsidP="00BB197D">
      <w:pPr>
        <w:keepNext/>
        <w:pBdr>
          <w:top w:val="single" w:sz="12" w:space="1" w:color="auto"/>
          <w:left w:val="single" w:sz="12" w:space="4" w:color="auto"/>
          <w:bottom w:val="single" w:sz="12" w:space="1" w:color="auto"/>
          <w:right w:val="single" w:sz="12" w:space="4" w:color="auto"/>
        </w:pBdr>
        <w:shd w:val="clear" w:color="auto" w:fill="D9D9D9"/>
        <w:tabs>
          <w:tab w:val="left" w:pos="720"/>
        </w:tabs>
        <w:jc w:val="center"/>
        <w:rPr>
          <w:b/>
          <w:bCs/>
        </w:rPr>
      </w:pPr>
      <w:r w:rsidRPr="000665B0">
        <w:rPr>
          <w:b/>
          <w:bCs/>
        </w:rPr>
        <w:t xml:space="preserve">Depletion Strikes will affect the inventory totals on the </w:t>
      </w:r>
      <w:r w:rsidRPr="000665B0">
        <w:rPr>
          <w:b/>
          <w:bCs/>
          <w:i/>
        </w:rPr>
        <w:t>Arsenal</w:t>
      </w:r>
      <w:r w:rsidRPr="000665B0">
        <w:rPr>
          <w:b/>
          <w:bCs/>
        </w:rPr>
        <w:t xml:space="preserve"> tab and also the totals available for Manual PM3.</w:t>
      </w:r>
    </w:p>
    <w:p w14:paraId="67987C49" w14:textId="77777777" w:rsidR="005C7294" w:rsidRPr="000665B0" w:rsidRDefault="005C7294" w:rsidP="005C7294">
      <w:pPr>
        <w:pBdr>
          <w:top w:val="single" w:sz="12" w:space="1" w:color="auto"/>
          <w:left w:val="single" w:sz="12" w:space="4" w:color="auto"/>
          <w:bottom w:val="single" w:sz="12" w:space="1" w:color="auto"/>
          <w:right w:val="single" w:sz="12" w:space="4" w:color="auto"/>
        </w:pBdr>
        <w:shd w:val="clear" w:color="auto" w:fill="D9D9D9"/>
        <w:tabs>
          <w:tab w:val="left" w:pos="720"/>
        </w:tabs>
        <w:jc w:val="center"/>
        <w:rPr>
          <w:b/>
          <w:bCs/>
        </w:rPr>
      </w:pPr>
      <w:r w:rsidRPr="000665B0">
        <w:rPr>
          <w:b/>
          <w:bCs/>
        </w:rPr>
        <w:t xml:space="preserve">AVL column (available missile counts) on the </w:t>
      </w:r>
      <w:r w:rsidRPr="000665B0">
        <w:rPr>
          <w:b/>
          <w:bCs/>
          <w:i/>
        </w:rPr>
        <w:t>Arsenal</w:t>
      </w:r>
      <w:r w:rsidRPr="000665B0">
        <w:rPr>
          <w:b/>
          <w:bCs/>
        </w:rPr>
        <w:t xml:space="preserve"> tab displays the sum of the C, D1, D2, DAMA, and ACA values for a given FRU.</w:t>
      </w:r>
    </w:p>
    <w:p w14:paraId="5FE4F501" w14:textId="77777777" w:rsidR="005C7294" w:rsidRPr="000665B0" w:rsidRDefault="005C7294" w:rsidP="005C7294">
      <w:pPr>
        <w:pBdr>
          <w:top w:val="single" w:sz="12" w:space="1" w:color="auto"/>
          <w:left w:val="single" w:sz="12" w:space="4" w:color="auto"/>
          <w:bottom w:val="single" w:sz="12" w:space="1" w:color="auto"/>
          <w:right w:val="single" w:sz="12" w:space="4" w:color="auto"/>
        </w:pBdr>
        <w:shd w:val="clear" w:color="auto" w:fill="D9D9D9"/>
        <w:tabs>
          <w:tab w:val="left" w:pos="720"/>
        </w:tabs>
        <w:jc w:val="center"/>
        <w:rPr>
          <w:b/>
          <w:bCs/>
        </w:rPr>
      </w:pPr>
      <w:r w:rsidRPr="000665B0">
        <w:rPr>
          <w:b/>
          <w:bCs/>
        </w:rPr>
        <w:t>Auto PM3 and FRU Reassignment also remove missiles for Depletion Strikes from the pool of available missiles to consider when allocating missiles through the automated process.</w:t>
      </w:r>
    </w:p>
    <w:p w14:paraId="22436A9F" w14:textId="66311CC8" w:rsidR="005C7294" w:rsidRPr="000665B0" w:rsidRDefault="005C7294" w:rsidP="005C7294">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jc w:val="center"/>
        <w:rPr>
          <w:b/>
          <w:bCs/>
        </w:rPr>
      </w:pPr>
      <w:r w:rsidRPr="000665B0">
        <w:rPr>
          <w:b/>
          <w:bCs/>
        </w:rPr>
        <w:t xml:space="preserve">When a strike is being executed and an ad hoc mission is added to the executing strike, the ad hoc mission automatically adds the executing strike as a Depletion Strike for the ad hoc mission. As such, if multiple ad hoc missions are added, they will have all </w:t>
      </w:r>
      <w:r w:rsidR="004404E5" w:rsidRPr="000665B0">
        <w:rPr>
          <w:b/>
          <w:bCs/>
        </w:rPr>
        <w:t>previously added</w:t>
      </w:r>
      <w:r w:rsidRPr="000665B0">
        <w:rPr>
          <w:b/>
          <w:bCs/>
        </w:rPr>
        <w:t xml:space="preserve"> ad hoc missions and the executing strike as Depletion Strikes. Since inventory is adjusted when ad hoc missions are added, all missiles being used in the executing strike will not be allocated twice nor over-allocated, when Manual or Auto PM3 is run to allocate missiles for the new mission. </w:t>
      </w:r>
    </w:p>
    <w:p w14:paraId="0F5E2C02" w14:textId="43C106FA" w:rsidR="005C7294" w:rsidRPr="000665B0" w:rsidRDefault="005C7294" w:rsidP="005C7294">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bCs/>
        </w:rPr>
      </w:pPr>
      <w:r w:rsidRPr="000665B0">
        <w:rPr>
          <w:b/>
          <w:bCs/>
        </w:rPr>
        <w:t xml:space="preserve">Use caution to avoid over allocating missiles while performing manual PM3 (see </w:t>
      </w:r>
      <w:hyperlink w:anchor="_5.37.6.1.16.6__How" w:history="1">
        <w:r w:rsidR="009326FE" w:rsidRPr="00DA0AED">
          <w:rPr>
            <w:rStyle w:val="Hyperlink"/>
            <w:b/>
            <w:bCs/>
          </w:rPr>
          <w:t xml:space="preserve">Section </w:t>
        </w:r>
        <w:r w:rsidR="00147DF8" w:rsidRPr="00DA0AED">
          <w:rPr>
            <w:rStyle w:val="Hyperlink"/>
            <w:b/>
            <w:bCs/>
          </w:rPr>
          <w:t>3</w:t>
        </w:r>
        <w:r w:rsidR="008931B1">
          <w:rPr>
            <w:rStyle w:val="Hyperlink"/>
            <w:b/>
            <w:bCs/>
          </w:rPr>
          <w:t>4</w:t>
        </w:r>
        <w:r w:rsidRPr="00DA0AED">
          <w:rPr>
            <w:rStyle w:val="Hyperlink"/>
            <w:b/>
            <w:bCs/>
          </w:rPr>
          <w:t>.7.1.17</w:t>
        </w:r>
        <w:r w:rsidR="00DA0AED" w:rsidRPr="00DA0AED">
          <w:rPr>
            <w:rStyle w:val="Hyperlink"/>
            <w:b/>
            <w:bCs/>
          </w:rPr>
          <w:t>.7</w:t>
        </w:r>
        <w:r w:rsidRPr="004A38E4">
          <w:rPr>
            <w:rStyle w:val="Hyperlink"/>
            <w:b/>
            <w:bCs/>
            <w:color w:val="auto"/>
          </w:rPr>
          <w:t>)</w:t>
        </w:r>
      </w:hyperlink>
      <w:r w:rsidR="004A38E4">
        <w:rPr>
          <w:b/>
          <w:bCs/>
        </w:rPr>
        <w:t xml:space="preserve"> d</w:t>
      </w:r>
      <w:r w:rsidRPr="000665B0">
        <w:rPr>
          <w:b/>
          <w:bCs/>
        </w:rPr>
        <w:t>uring strike planning, when a chain of inventory-dependent depletion strike options are open simultaneously. A chain of options occurs when multiple depletion strike options are open, with each option being inventory-dependent on the preceding option.</w:t>
      </w:r>
      <w:r w:rsidRPr="000665B0">
        <w:rPr>
          <w:b/>
          <w:bCs/>
        </w:rPr>
        <w:br/>
        <w:t>The following steps must be taken BEFORE performing manual PM3 on the strike option that is the first option in the chain:</w:t>
      </w:r>
    </w:p>
    <w:p w14:paraId="2ACAFED4" w14:textId="77777777" w:rsidR="005C7294" w:rsidRPr="000665B0" w:rsidRDefault="005C7294" w:rsidP="005C7294">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0"/>
        <w:rPr>
          <w:b/>
          <w:bCs/>
        </w:rPr>
      </w:pPr>
      <w:r w:rsidRPr="000665B0">
        <w:rPr>
          <w:b/>
          <w:bCs/>
        </w:rPr>
        <w:t>1. Remove all reservations for all dependent strike options (all options that are not the first strike option in the chain).</w:t>
      </w:r>
      <w:r w:rsidRPr="000665B0">
        <w:rPr>
          <w:b/>
          <w:bCs/>
        </w:rPr>
        <w:br/>
        <w:t xml:space="preserve">2. Save the dependent strike option(s). </w:t>
      </w:r>
      <w:r w:rsidRPr="000665B0">
        <w:rPr>
          <w:b/>
          <w:bCs/>
        </w:rPr>
        <w:br/>
        <w:t xml:space="preserve">3. Close the dependent strike option(s). </w:t>
      </w:r>
    </w:p>
    <w:p w14:paraId="489EC409" w14:textId="77777777" w:rsidR="005C7294" w:rsidRPr="000665B0" w:rsidRDefault="005C7294" w:rsidP="005C7294">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bCs/>
        </w:rPr>
      </w:pPr>
      <w:r w:rsidRPr="000665B0">
        <w:rPr>
          <w:b/>
          <w:bCs/>
        </w:rPr>
        <w:t>If the steps above are not done before performing manual PM3 on the first strike option of the chain, there is a risk of over allocating missiles in all of the other chained (dependent) strike options.</w:t>
      </w:r>
    </w:p>
    <w:p w14:paraId="7BE5F463" w14:textId="77777777" w:rsidR="005C7294" w:rsidRPr="000665B0" w:rsidRDefault="005C7294" w:rsidP="005C7294">
      <w:pPr>
        <w:tabs>
          <w:tab w:val="left" w:pos="720"/>
        </w:tabs>
        <w:spacing w:after="0"/>
      </w:pPr>
    </w:p>
    <w:p w14:paraId="3FDD6E7B" w14:textId="77777777" w:rsidR="005C7294" w:rsidRPr="000665B0" w:rsidRDefault="005C7294" w:rsidP="005C7294">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p>
    <w:p w14:paraId="2CE4298B" w14:textId="2DA45F0B" w:rsidR="005C7294" w:rsidRPr="000665B0" w:rsidRDefault="005C7294" w:rsidP="005C7294">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 xml:space="preserve">When tasking TTWCS with a BLK III missile, the estimated TOL must take the BLK III spin-up time into consideration. Once TTWCS accepts the tasking, the </w:t>
      </w:r>
      <w:r w:rsidR="002F4201">
        <w:rPr>
          <w:b/>
        </w:rPr>
        <w:t>TSC</w:t>
      </w:r>
      <w:r w:rsidR="00B54FFB">
        <w:rPr>
          <w:b/>
        </w:rPr>
        <w:t xml:space="preserve"> </w:t>
      </w:r>
      <w:r w:rsidRPr="000665B0">
        <w:rPr>
          <w:b/>
        </w:rPr>
        <w:t>could shift the strike time to earlier as required and send a revision out to the TTWCS FRU.</w:t>
      </w:r>
    </w:p>
    <w:p w14:paraId="1E2654F4" w14:textId="77777777" w:rsidR="0078503C" w:rsidRPr="000665B0" w:rsidRDefault="0078503C" w:rsidP="00CE2C1C">
      <w:pPr>
        <w:pStyle w:val="BodyText"/>
        <w:keepNext/>
        <w:tabs>
          <w:tab w:val="left" w:pos="720"/>
        </w:tabs>
        <w:spacing w:before="120" w:after="120"/>
      </w:pPr>
      <w:r w:rsidRPr="000665B0">
        <w:lastRenderedPageBreak/>
        <w:t>To Add a Depletion Strike:</w:t>
      </w:r>
    </w:p>
    <w:p w14:paraId="3F95D54E" w14:textId="03C3D922" w:rsidR="0078503C" w:rsidRPr="000665B0" w:rsidRDefault="00684F22" w:rsidP="006D5A65">
      <w:pPr>
        <w:pStyle w:val="Heading4"/>
      </w:pPr>
      <w:r w:rsidRPr="000665B0">
        <w:t xml:space="preserve">In the Depletion Strikes pane, </w:t>
      </w:r>
      <w:r w:rsidR="0078503C" w:rsidRPr="000665B0">
        <w:t>invoke the context menu (</w:t>
      </w:r>
      <w:r w:rsidR="00D71804" w:rsidRPr="000665B0">
        <w:t>right-click</w:t>
      </w:r>
      <w:r w:rsidR="0078503C" w:rsidRPr="000665B0">
        <w:t xml:space="preserve"> the mouse) and select Add.</w:t>
      </w:r>
      <w:r w:rsidRPr="000665B0">
        <w:t xml:space="preserve"> The Depletion Strikes window is displayed.</w:t>
      </w:r>
    </w:p>
    <w:p w14:paraId="7224E1CE" w14:textId="15F1D521" w:rsidR="0078503C" w:rsidRPr="000665B0" w:rsidRDefault="00BF49E2" w:rsidP="005B6F00">
      <w:pPr>
        <w:pStyle w:val="BodyText"/>
        <w:spacing w:after="120"/>
        <w:jc w:val="center"/>
      </w:pPr>
      <w:r w:rsidRPr="000665B0">
        <w:rPr>
          <w:noProof/>
        </w:rPr>
        <w:drawing>
          <wp:inline distT="0" distB="0" distL="0" distR="0" wp14:anchorId="38F7D171" wp14:editId="5FB9C2E0">
            <wp:extent cx="2190183" cy="1219200"/>
            <wp:effectExtent l="0" t="0" r="0" b="0"/>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04211" cy="1227009"/>
                    </a:xfrm>
                    <a:prstGeom prst="rect">
                      <a:avLst/>
                    </a:prstGeom>
                  </pic:spPr>
                </pic:pic>
              </a:graphicData>
            </a:graphic>
          </wp:inline>
        </w:drawing>
      </w:r>
    </w:p>
    <w:p w14:paraId="0BF79F30" w14:textId="77777777" w:rsidR="0078503C" w:rsidRPr="000665B0" w:rsidRDefault="00684F22" w:rsidP="006D5A65">
      <w:pPr>
        <w:pStyle w:val="Heading4"/>
      </w:pPr>
      <w:r w:rsidRPr="000665B0">
        <w:t>Select the desired Depletion Strike from the window and c</w:t>
      </w:r>
      <w:r w:rsidR="0078503C" w:rsidRPr="000665B0">
        <w:t>lick OK.</w:t>
      </w:r>
      <w:r w:rsidRPr="000665B0">
        <w:t xml:space="preserve"> </w:t>
      </w:r>
      <w:r w:rsidR="0078503C" w:rsidRPr="000665B0">
        <w:t xml:space="preserve">The </w:t>
      </w:r>
      <w:r w:rsidRPr="000665B0">
        <w:t>Depletion Strike</w:t>
      </w:r>
      <w:r w:rsidR="0078503C" w:rsidRPr="000665B0">
        <w:t xml:space="preserve"> now appear</w:t>
      </w:r>
      <w:r w:rsidR="00085762" w:rsidRPr="000665B0">
        <w:t>s</w:t>
      </w:r>
      <w:r w:rsidR="0078503C" w:rsidRPr="000665B0">
        <w:t xml:space="preserve"> in the Depletion Strike</w:t>
      </w:r>
      <w:r w:rsidRPr="000665B0">
        <w:t>s</w:t>
      </w:r>
      <w:r w:rsidR="0078503C" w:rsidRPr="000665B0">
        <w:t xml:space="preserve"> </w:t>
      </w:r>
      <w:r w:rsidRPr="000665B0">
        <w:t>pane</w:t>
      </w:r>
      <w:r w:rsidR="0078503C" w:rsidRPr="000665B0">
        <w:t xml:space="preserve"> and the </w:t>
      </w:r>
      <w:r w:rsidR="00155D84" w:rsidRPr="000665B0">
        <w:t xml:space="preserve">number of </w:t>
      </w:r>
      <w:r w:rsidR="0078503C" w:rsidRPr="000665B0">
        <w:t xml:space="preserve">missiles available </w:t>
      </w:r>
      <w:r w:rsidR="00155D84" w:rsidRPr="000665B0">
        <w:t>is</w:t>
      </w:r>
      <w:r w:rsidR="0078503C" w:rsidRPr="000665B0">
        <w:t xml:space="preserve"> adjusted</w:t>
      </w:r>
      <w:r w:rsidRPr="000665B0">
        <w:t xml:space="preserve"> in the Missile Inventory pane.</w:t>
      </w:r>
    </w:p>
    <w:p w14:paraId="35A2B7F3" w14:textId="77777777" w:rsidR="00802D7C" w:rsidRPr="000665B0" w:rsidRDefault="00802D7C" w:rsidP="006D5A65">
      <w:pPr>
        <w:pStyle w:val="Heading4"/>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3E77B201" w14:textId="77777777" w:rsidR="0078503C" w:rsidRPr="000665B0" w:rsidRDefault="0078503C" w:rsidP="009163E5">
      <w:pPr>
        <w:pStyle w:val="BodyText"/>
        <w:keepNext/>
        <w:tabs>
          <w:tab w:val="left" w:pos="720"/>
        </w:tabs>
        <w:spacing w:after="120"/>
      </w:pPr>
      <w:r w:rsidRPr="000665B0">
        <w:t xml:space="preserve">To </w:t>
      </w:r>
      <w:r w:rsidR="00DF5E68" w:rsidRPr="000665B0">
        <w:t xml:space="preserve">remove </w:t>
      </w:r>
      <w:r w:rsidRPr="000665B0">
        <w:t>a Depletion Strike:</w:t>
      </w:r>
    </w:p>
    <w:p w14:paraId="10F4AA35" w14:textId="77777777" w:rsidR="0078503C" w:rsidRPr="000665B0" w:rsidRDefault="00F115AA" w:rsidP="006D5A65">
      <w:pPr>
        <w:pStyle w:val="Heading1"/>
      </w:pPr>
      <w:r w:rsidRPr="000665B0">
        <w:t xml:space="preserve">Select the desired </w:t>
      </w:r>
      <w:r w:rsidR="0078503C" w:rsidRPr="000665B0">
        <w:t xml:space="preserve">Depletion </w:t>
      </w:r>
      <w:r w:rsidRPr="000665B0">
        <w:t>Strike in the list view.</w:t>
      </w:r>
    </w:p>
    <w:p w14:paraId="15325E91" w14:textId="092426A8" w:rsidR="0078503C" w:rsidRPr="000665B0" w:rsidRDefault="0078503C" w:rsidP="006D5A65">
      <w:pPr>
        <w:pStyle w:val="Heading1"/>
      </w:pPr>
      <w:r w:rsidRPr="000665B0">
        <w:t>Invoke the context menu</w:t>
      </w:r>
      <w:r w:rsidR="00F115AA" w:rsidRPr="000665B0">
        <w:t xml:space="preserve"> (</w:t>
      </w:r>
      <w:r w:rsidR="00D71804" w:rsidRPr="000665B0">
        <w:t>right-click</w:t>
      </w:r>
      <w:r w:rsidR="00F115AA" w:rsidRPr="000665B0">
        <w:t xml:space="preserve"> the mouse)</w:t>
      </w:r>
      <w:r w:rsidRPr="000665B0">
        <w:t xml:space="preserve"> and select Remove.</w:t>
      </w:r>
      <w:r w:rsidR="00F115AA" w:rsidRPr="000665B0">
        <w:t xml:space="preserve"> The Depletion Strike is removed in the Depletion Strikes pane and the </w:t>
      </w:r>
      <w:r w:rsidR="00155D84" w:rsidRPr="000665B0">
        <w:t xml:space="preserve">number of </w:t>
      </w:r>
      <w:r w:rsidR="00F115AA" w:rsidRPr="000665B0">
        <w:t xml:space="preserve">missiles available </w:t>
      </w:r>
      <w:r w:rsidR="00155D84" w:rsidRPr="000665B0">
        <w:t>is</w:t>
      </w:r>
      <w:r w:rsidR="00F115AA" w:rsidRPr="000665B0">
        <w:t xml:space="preserve"> adjusted in the Missile Inventory pane.</w:t>
      </w:r>
    </w:p>
    <w:p w14:paraId="486293B4" w14:textId="77777777" w:rsidR="00F115AA" w:rsidRPr="000665B0" w:rsidRDefault="00F115AA" w:rsidP="006D5A65">
      <w:pPr>
        <w:pStyle w:val="Heading1"/>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03FBEA7E" w14:textId="1676CAB3" w:rsidR="00051412" w:rsidRPr="000665B0" w:rsidRDefault="00BB197D" w:rsidP="00BB197D">
      <w:pPr>
        <w:tabs>
          <w:tab w:val="left" w:pos="720"/>
        </w:tabs>
      </w:pPr>
      <w:r w:rsidRPr="000665B0">
        <w:t xml:space="preserve">As in other list views, </w:t>
      </w:r>
      <w:r w:rsidR="00151C40" w:rsidRPr="000665B0">
        <w:t xml:space="preserve">items can be selected to </w:t>
      </w:r>
      <w:r w:rsidRPr="000665B0">
        <w:t xml:space="preserve">Display Textually (see </w:t>
      </w:r>
      <w:hyperlink w:anchor="_5.2.1.2.4__Display_1" w:history="1">
        <w:r w:rsidRPr="000665B0">
          <w:rPr>
            <w:rStyle w:val="Hyperlink"/>
          </w:rPr>
          <w:t>Section 5.2.1.2.4</w:t>
        </w:r>
      </w:hyperlink>
      <w:r w:rsidRPr="00115D84">
        <w:rPr>
          <w:rStyle w:val="Hyperlink"/>
          <w:color w:val="auto"/>
        </w:rPr>
        <w:t>)</w:t>
      </w:r>
      <w:r w:rsidRPr="000665B0">
        <w:t xml:space="preserve">, Display Geographically (see </w:t>
      </w:r>
      <w:hyperlink w:anchor="_5.2.1.2.2__Display_1" w:history="1">
        <w:r w:rsidRPr="000665B0">
          <w:rPr>
            <w:rStyle w:val="Hyperlink"/>
          </w:rPr>
          <w:t>Section 5.2.1.2.2</w:t>
        </w:r>
      </w:hyperlink>
      <w:r w:rsidRPr="00115D84">
        <w:rPr>
          <w:rStyle w:val="Hyperlink"/>
          <w:color w:val="auto"/>
        </w:rPr>
        <w:t>)</w:t>
      </w:r>
      <w:r w:rsidRPr="000665B0">
        <w:t xml:space="preserve">, Display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115D84">
        <w:rPr>
          <w:rStyle w:val="Hyperlink"/>
          <w:color w:val="auto"/>
        </w:rPr>
        <w:t>)</w:t>
      </w:r>
      <w:r w:rsidRPr="000665B0">
        <w:t>.</w:t>
      </w:r>
      <w:bookmarkStart w:id="6331" w:name="_5.37.6.1.6__Missiles"/>
      <w:bookmarkStart w:id="6332" w:name="_Toc164499442"/>
      <w:bookmarkStart w:id="6333" w:name="_Toc289328865"/>
      <w:bookmarkEnd w:id="6331"/>
    </w:p>
    <w:p w14:paraId="725FA170" w14:textId="1221DA3F" w:rsidR="0078503C" w:rsidRPr="000665B0" w:rsidRDefault="0078503C" w:rsidP="00CC5CE9">
      <w:pPr>
        <w:pStyle w:val="Heading5"/>
        <w:tabs>
          <w:tab w:val="left" w:pos="720"/>
        </w:tabs>
      </w:pPr>
      <w:bookmarkStart w:id="6334" w:name="_5.37.6.1.6__Missiles_1"/>
      <w:bookmarkStart w:id="6335" w:name="_Missiles_Tab"/>
      <w:bookmarkEnd w:id="6334"/>
      <w:bookmarkEnd w:id="6335"/>
      <w:r w:rsidRPr="000665B0">
        <w:t>Missiles Tab</w:t>
      </w:r>
      <w:bookmarkEnd w:id="6321"/>
      <w:bookmarkEnd w:id="6322"/>
      <w:bookmarkEnd w:id="6323"/>
      <w:bookmarkEnd w:id="6324"/>
      <w:bookmarkEnd w:id="6332"/>
      <w:bookmarkEnd w:id="6333"/>
    </w:p>
    <w:p w14:paraId="59C13255" w14:textId="77777777" w:rsidR="000D6C36" w:rsidRPr="000665B0" w:rsidRDefault="00064BB4" w:rsidP="00474A1F">
      <w:pPr>
        <w:pStyle w:val="BodyText"/>
        <w:tabs>
          <w:tab w:val="left" w:pos="720"/>
        </w:tabs>
        <w:spacing w:after="120"/>
      </w:pPr>
      <w:bookmarkStart w:id="6336" w:name="_Toc71955755"/>
      <w:bookmarkStart w:id="6337" w:name="_Toc96170290"/>
      <w:bookmarkStart w:id="6338" w:name="_Toc96234335"/>
      <w:bookmarkStart w:id="6339" w:name="_Toc112733755"/>
      <w:bookmarkStart w:id="6340" w:name="_Toc164499444"/>
      <w:r w:rsidRPr="000665B0">
        <w:t xml:space="preserve">The </w:t>
      </w:r>
      <w:r w:rsidRPr="000665B0">
        <w:rPr>
          <w:b/>
          <w:bCs/>
          <w:i/>
        </w:rPr>
        <w:t>Missiles</w:t>
      </w:r>
      <w:r w:rsidRPr="000665B0">
        <w:t xml:space="preserve"> tab </w:t>
      </w:r>
      <w:r w:rsidR="000D6C36" w:rsidRPr="000665B0">
        <w:t>is used to display and manage</w:t>
      </w:r>
      <w:r w:rsidRPr="000665B0">
        <w:t xml:space="preserve"> the </w:t>
      </w:r>
      <w:r w:rsidRPr="000665B0">
        <w:rPr>
          <w:b/>
          <w:bCs/>
        </w:rPr>
        <w:t>Missile Assignment Summary</w:t>
      </w:r>
      <w:r w:rsidRPr="000665B0">
        <w:rPr>
          <w:bCs/>
        </w:rPr>
        <w:t xml:space="preserve"> of the Strike Option.</w:t>
      </w:r>
      <w:r w:rsidRPr="000665B0">
        <w:t xml:space="preserve"> This summary shows all the missiles that are assigned to each FRU. Tasking information </w:t>
      </w:r>
      <w:r w:rsidR="000D6C36" w:rsidRPr="000665B0">
        <w:t xml:space="preserve">such as </w:t>
      </w:r>
      <w:r w:rsidRPr="000665B0">
        <w:t xml:space="preserve">reservation type, missile type, mission, timing type, FRU tasked, and </w:t>
      </w:r>
      <w:r w:rsidR="00C500DB" w:rsidRPr="000665B0">
        <w:t>other information</w:t>
      </w:r>
      <w:r w:rsidRPr="000665B0">
        <w:t xml:space="preserve"> </w:t>
      </w:r>
      <w:r w:rsidR="000D6C36" w:rsidRPr="000665B0">
        <w:t xml:space="preserve">is </w:t>
      </w:r>
      <w:r w:rsidR="00C500DB" w:rsidRPr="000665B0">
        <w:t>displayed</w:t>
      </w:r>
      <w:r w:rsidRPr="000665B0">
        <w:t xml:space="preserve">. </w:t>
      </w:r>
    </w:p>
    <w:p w14:paraId="63B4CF67" w14:textId="1B983DE0" w:rsidR="00113D58" w:rsidRPr="000665B0" w:rsidRDefault="005C3924" w:rsidP="00113D58">
      <w:pPr>
        <w:pStyle w:val="BodyText"/>
        <w:tabs>
          <w:tab w:val="left" w:pos="720"/>
        </w:tabs>
        <w:spacing w:after="120"/>
        <w:jc w:val="center"/>
      </w:pPr>
      <w:r w:rsidRPr="000665B0">
        <w:rPr>
          <w:noProof/>
        </w:rPr>
        <w:lastRenderedPageBreak/>
        <w:drawing>
          <wp:inline distT="0" distB="0" distL="0" distR="0" wp14:anchorId="6CF2154F" wp14:editId="7F840521">
            <wp:extent cx="4983480" cy="1865376"/>
            <wp:effectExtent l="0" t="0" r="0" b="0"/>
            <wp:docPr id="2211" name="Picture 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865376"/>
                    </a:xfrm>
                    <a:prstGeom prst="rect">
                      <a:avLst/>
                    </a:prstGeom>
                  </pic:spPr>
                </pic:pic>
              </a:graphicData>
            </a:graphic>
          </wp:inline>
        </w:drawing>
      </w:r>
    </w:p>
    <w:p w14:paraId="2A858B2B" w14:textId="253E7F8F" w:rsidR="00064BB4" w:rsidRPr="000665B0" w:rsidRDefault="000D6C36" w:rsidP="00474A1F">
      <w:pPr>
        <w:pStyle w:val="BodyText"/>
        <w:tabs>
          <w:tab w:val="left" w:pos="720"/>
        </w:tabs>
        <w:spacing w:after="120"/>
      </w:pPr>
      <w:r w:rsidRPr="000665B0">
        <w:t xml:space="preserve">The </w:t>
      </w:r>
      <w:r w:rsidRPr="000665B0">
        <w:rPr>
          <w:b/>
          <w:bCs/>
          <w:i/>
        </w:rPr>
        <w:t>Missiles</w:t>
      </w:r>
      <w:r w:rsidRPr="000665B0">
        <w:t xml:space="preserve"> tab is not populated until Missile assignments have been made. </w:t>
      </w:r>
      <w:r w:rsidR="00064BB4" w:rsidRPr="000665B0">
        <w:t>Missile assignment</w:t>
      </w:r>
      <w:r w:rsidR="00593AE5" w:rsidRPr="000665B0">
        <w:t>s</w:t>
      </w:r>
      <w:r w:rsidR="00064BB4" w:rsidRPr="000665B0">
        <w:t xml:space="preserve"> </w:t>
      </w:r>
      <w:r w:rsidR="00593AE5" w:rsidRPr="000665B0">
        <w:t>are made</w:t>
      </w:r>
      <w:r w:rsidR="00064BB4" w:rsidRPr="000665B0">
        <w:t xml:space="preserve"> with</w:t>
      </w:r>
      <w:r w:rsidR="00593AE5" w:rsidRPr="000665B0">
        <w:t xml:space="preserve"> either</w:t>
      </w:r>
      <w:r w:rsidR="00064BB4" w:rsidRPr="000665B0">
        <w:t xml:space="preserve"> </w:t>
      </w:r>
      <w:r w:rsidR="00593AE5" w:rsidRPr="000665B0">
        <w:t>M</w:t>
      </w:r>
      <w:r w:rsidR="00064BB4" w:rsidRPr="000665B0">
        <w:t xml:space="preserve">anual </w:t>
      </w:r>
      <w:r w:rsidRPr="000665B0">
        <w:t xml:space="preserve">Platform </w:t>
      </w:r>
      <w:r w:rsidR="00064BB4" w:rsidRPr="000665B0">
        <w:t>Mission/Missile Matching (</w:t>
      </w:r>
      <w:r w:rsidR="00064BB4" w:rsidRPr="000665B0">
        <w:rPr>
          <w:b/>
        </w:rPr>
        <w:t>PM3</w:t>
      </w:r>
      <w:r w:rsidR="00064BB4" w:rsidRPr="000665B0">
        <w:t xml:space="preserve">) </w:t>
      </w:r>
      <w:r w:rsidR="00AE5995" w:rsidRPr="000665B0">
        <w:t xml:space="preserve">(see </w:t>
      </w:r>
      <w:hyperlink w:anchor="_Manual_Platform_Missile" w:history="1">
        <w:r w:rsidR="009326FE" w:rsidRPr="000665B0">
          <w:rPr>
            <w:rStyle w:val="Hyperlink"/>
          </w:rPr>
          <w:t xml:space="preserve">Section </w:t>
        </w:r>
        <w:r w:rsidR="004231CC">
          <w:rPr>
            <w:rStyle w:val="Hyperlink"/>
          </w:rPr>
          <w:t>5.34</w:t>
        </w:r>
        <w:r w:rsidR="00AE5995" w:rsidRPr="000665B0">
          <w:rPr>
            <w:rStyle w:val="Hyperlink"/>
          </w:rPr>
          <w:t>.7.1.17</w:t>
        </w:r>
      </w:hyperlink>
      <w:r w:rsidR="00AE5995" w:rsidRPr="00115D84">
        <w:rPr>
          <w:rStyle w:val="Hyperlink"/>
          <w:color w:val="auto"/>
        </w:rPr>
        <w:t>)</w:t>
      </w:r>
      <w:r w:rsidR="00AE5995" w:rsidRPr="000665B0">
        <w:rPr>
          <w:rStyle w:val="Hyperlink"/>
        </w:rPr>
        <w:t xml:space="preserve"> </w:t>
      </w:r>
      <w:r w:rsidR="00064BB4" w:rsidRPr="000665B0">
        <w:t>or Auto PM3</w:t>
      </w:r>
      <w:r w:rsidR="00AE5995" w:rsidRPr="000665B0">
        <w:t xml:space="preserve"> (see </w:t>
      </w:r>
      <w:hyperlink w:anchor="_5.37.6.1.17__Auto" w:history="1">
        <w:r w:rsidR="009326FE" w:rsidRPr="000665B0">
          <w:rPr>
            <w:rStyle w:val="Hyperlink"/>
          </w:rPr>
          <w:t xml:space="preserve">Section </w:t>
        </w:r>
        <w:r w:rsidR="004231CC">
          <w:rPr>
            <w:rStyle w:val="Hyperlink"/>
          </w:rPr>
          <w:t>5.34</w:t>
        </w:r>
        <w:r w:rsidR="00AE5995" w:rsidRPr="000665B0">
          <w:rPr>
            <w:rStyle w:val="Hyperlink"/>
          </w:rPr>
          <w:t>.7.1.18</w:t>
        </w:r>
      </w:hyperlink>
      <w:r w:rsidR="00AE5995" w:rsidRPr="00115D84">
        <w:rPr>
          <w:rStyle w:val="Hyperlink"/>
          <w:color w:val="auto"/>
        </w:rPr>
        <w:t>)</w:t>
      </w:r>
      <w:r w:rsidR="00064BB4" w:rsidRPr="000665B0">
        <w:t xml:space="preserve">. </w:t>
      </w:r>
    </w:p>
    <w:p w14:paraId="6038C7E9" w14:textId="77777777" w:rsidR="00064BB4" w:rsidRPr="000665B0" w:rsidRDefault="00064BB4" w:rsidP="006D5A65">
      <w:pPr>
        <w:pStyle w:val="Heading1"/>
      </w:pPr>
      <w:r w:rsidRPr="000665B0">
        <w:t>Column</w:t>
      </w:r>
      <w:r w:rsidR="00C500DB" w:rsidRPr="000665B0">
        <w:t>s</w:t>
      </w:r>
      <w:r w:rsidRPr="000665B0">
        <w:t xml:space="preserve"> </w:t>
      </w:r>
    </w:p>
    <w:p w14:paraId="7D5A26EF" w14:textId="77777777" w:rsidR="00064BB4" w:rsidRPr="000665B0" w:rsidRDefault="00064BB4" w:rsidP="006D5A65">
      <w:pPr>
        <w:pStyle w:val="Heading1"/>
      </w:pPr>
      <w:r w:rsidRPr="000665B0">
        <w:t>Obj ID – The tasking Objective ID defined in the folder.</w:t>
      </w:r>
    </w:p>
    <w:p w14:paraId="0694913E" w14:textId="77777777" w:rsidR="00064BB4" w:rsidRPr="000665B0" w:rsidRDefault="00064BB4" w:rsidP="006D5A65">
      <w:pPr>
        <w:pStyle w:val="Heading1"/>
      </w:pPr>
      <w:r w:rsidRPr="000665B0">
        <w:t>BE – The BE number for this target.</w:t>
      </w:r>
    </w:p>
    <w:p w14:paraId="0C94B917" w14:textId="77777777" w:rsidR="00064BB4" w:rsidRPr="000665B0" w:rsidRDefault="00064BB4" w:rsidP="006D5A65">
      <w:pPr>
        <w:pStyle w:val="Heading1"/>
      </w:pPr>
      <w:r w:rsidRPr="000665B0">
        <w:t>Missile Priority – The missile priority for this tasking.</w:t>
      </w:r>
    </w:p>
    <w:p w14:paraId="408D585C" w14:textId="77777777" w:rsidR="00064BB4" w:rsidRPr="000665B0" w:rsidRDefault="00064BB4" w:rsidP="006D5A65">
      <w:pPr>
        <w:pStyle w:val="Heading1"/>
      </w:pPr>
      <w:r w:rsidRPr="000665B0">
        <w:t>Aimpt ID – The Aimpoint ID of the target.</w:t>
      </w:r>
    </w:p>
    <w:p w14:paraId="09839352" w14:textId="77777777" w:rsidR="00064BB4" w:rsidRPr="000665B0" w:rsidRDefault="00064BB4" w:rsidP="006D5A65">
      <w:pPr>
        <w:pStyle w:val="Heading1"/>
      </w:pPr>
      <w:r w:rsidRPr="000665B0">
        <w:t>Mission ID – The ID of the mission for the missile reservation.</w:t>
      </w:r>
    </w:p>
    <w:p w14:paraId="53C78860" w14:textId="77777777" w:rsidR="00BE40EE" w:rsidRPr="00A91C25" w:rsidRDefault="00BE40EE" w:rsidP="006D5A65">
      <w:pPr>
        <w:pStyle w:val="Heading1"/>
      </w:pPr>
      <w:r>
        <w:t>LPMP ID – The ID of the LPMP mission for an LMO missile reservation.</w:t>
      </w:r>
    </w:p>
    <w:p w14:paraId="17B778B9" w14:textId="77777777" w:rsidR="00064BB4" w:rsidRPr="000665B0" w:rsidRDefault="00064BB4" w:rsidP="006D5A65">
      <w:pPr>
        <w:pStyle w:val="Heading1"/>
      </w:pPr>
      <w:r w:rsidRPr="000665B0">
        <w:t>Outcome – The selected mission outcome for the missile reservation.</w:t>
      </w:r>
    </w:p>
    <w:p w14:paraId="749F1311" w14:textId="44385713" w:rsidR="00064BB4" w:rsidRPr="000665B0" w:rsidRDefault="00064BB4" w:rsidP="006D5A65">
      <w:pPr>
        <w:pStyle w:val="Heading1"/>
      </w:pPr>
      <w:r w:rsidRPr="000665B0">
        <w:t>MS# – The missile sequence number for the missile reservation.</w:t>
      </w:r>
    </w:p>
    <w:p w14:paraId="15AB666B" w14:textId="77777777" w:rsidR="00064BB4" w:rsidRPr="000665B0" w:rsidRDefault="00064BB4" w:rsidP="006D5A65">
      <w:pPr>
        <w:pStyle w:val="Heading1"/>
      </w:pPr>
      <w:r w:rsidRPr="000665B0">
        <w:t xml:space="preserve">Pri MS# – The primary missile’s MS# for the missile reservation. Ready Spare, Auto Ready Spare, and Backup </w:t>
      </w:r>
      <w:r w:rsidRPr="000665B0">
        <w:lastRenderedPageBreak/>
        <w:t xml:space="preserve">reservations use this field to indicate their associated </w:t>
      </w:r>
      <w:r w:rsidR="00A27EB3" w:rsidRPr="000665B0">
        <w:t xml:space="preserve">primary </w:t>
      </w:r>
      <w:r w:rsidR="00E35AF2" w:rsidRPr="000665B0">
        <w:t>missile</w:t>
      </w:r>
      <w:r w:rsidRPr="000665B0">
        <w:t>s.</w:t>
      </w:r>
    </w:p>
    <w:p w14:paraId="6B84D86E" w14:textId="2C296791" w:rsidR="00064BB4" w:rsidRPr="000665B0" w:rsidRDefault="005C3924" w:rsidP="006D5A65">
      <w:pPr>
        <w:pStyle w:val="Heading1"/>
      </w:pPr>
      <w:r w:rsidRPr="000665B0">
        <w:t xml:space="preserve">Missile </w:t>
      </w:r>
      <w:r w:rsidR="00064BB4" w:rsidRPr="000665B0">
        <w:t>– The mission variant of the missile reservation.</w:t>
      </w:r>
    </w:p>
    <w:p w14:paraId="626FF1B0" w14:textId="77777777" w:rsidR="00064BB4" w:rsidRPr="000665B0" w:rsidRDefault="00064BB4" w:rsidP="006D5A65">
      <w:pPr>
        <w:pStyle w:val="Heading1"/>
      </w:pPr>
      <w:r w:rsidRPr="000665B0">
        <w:t>TTWCS IMMM – Indicate</w:t>
      </w:r>
      <w:r w:rsidR="00A27EB3" w:rsidRPr="000665B0">
        <w:t>s</w:t>
      </w:r>
      <w:r w:rsidRPr="000665B0">
        <w:t xml:space="preserve"> whether TTWCS is allowed/not allowed to send IMMM to the missile directly.</w:t>
      </w:r>
    </w:p>
    <w:p w14:paraId="7B97E558" w14:textId="77777777" w:rsidR="00064BB4" w:rsidRPr="000665B0" w:rsidRDefault="00064BB4" w:rsidP="006D5A65">
      <w:pPr>
        <w:pStyle w:val="Heading1"/>
      </w:pPr>
      <w:r w:rsidRPr="000665B0">
        <w:t>Trigraph – The 3 characters Trigraph of the FRU that is tasked with the missile reservation.</w:t>
      </w:r>
    </w:p>
    <w:p w14:paraId="0D465D34" w14:textId="77777777" w:rsidR="00064BB4" w:rsidRPr="000665B0" w:rsidRDefault="00064BB4" w:rsidP="006D5A65">
      <w:pPr>
        <w:pStyle w:val="Heading1"/>
      </w:pPr>
      <w:r w:rsidRPr="000665B0">
        <w:t>RSV – Indicates the Reservation Type (P = Primary, RS = Ready Spare, ARS = Auto Ready Spare, B = Backup, BP = Backup Pool, G = Ghost).</w:t>
      </w:r>
    </w:p>
    <w:p w14:paraId="5F724DA9" w14:textId="77777777" w:rsidR="00064BB4" w:rsidRPr="000665B0" w:rsidRDefault="00064BB4" w:rsidP="006D5A65">
      <w:pPr>
        <w:pStyle w:val="Heading1"/>
      </w:pPr>
      <w:r w:rsidRPr="000665B0">
        <w:t>Platform ID to Backup – Indicates which platform (FRU) this missile reservation is backing up.</w:t>
      </w:r>
    </w:p>
    <w:p w14:paraId="3F1A27F5" w14:textId="77777777" w:rsidR="00064BB4" w:rsidRPr="000665B0" w:rsidRDefault="00064BB4" w:rsidP="006D5A65">
      <w:pPr>
        <w:pStyle w:val="Heading1"/>
      </w:pPr>
      <w:r w:rsidRPr="000665B0">
        <w:t>Cell – The assigned Cell ID for this missile reservation. By default</w:t>
      </w:r>
      <w:r w:rsidR="00A27EB3" w:rsidRPr="000665B0">
        <w:t>,</w:t>
      </w:r>
      <w:r w:rsidRPr="000665B0">
        <w:t xml:space="preserve"> Cell IDs are not assigned, but the operator can manually assign Cell ID for each missile.</w:t>
      </w:r>
    </w:p>
    <w:p w14:paraId="697BBA7E" w14:textId="77777777" w:rsidR="00064BB4" w:rsidRPr="000665B0" w:rsidRDefault="00064BB4" w:rsidP="006D5A65">
      <w:pPr>
        <w:pStyle w:val="Heading1"/>
      </w:pPr>
      <w:r w:rsidRPr="000665B0">
        <w:t>TOT Enabled – Indicates whether the mission for the reservation is TOT Enabled.</w:t>
      </w:r>
      <w:r w:rsidR="00A27EB3" w:rsidRPr="000665B0">
        <w:t xml:space="preserve"> An X indicates TOT Enabled.</w:t>
      </w:r>
    </w:p>
    <w:p w14:paraId="4AAE6178" w14:textId="77777777" w:rsidR="00064BB4" w:rsidRPr="000665B0" w:rsidRDefault="00064BB4" w:rsidP="006D5A65">
      <w:pPr>
        <w:pStyle w:val="Heading1"/>
      </w:pPr>
      <w:r w:rsidRPr="000665B0">
        <w:t>Time Type – Indicates whether the reservation’s timing type is Time of Launch (TOL), FPPWP (FWP), or Target (TGT).</w:t>
      </w:r>
    </w:p>
    <w:p w14:paraId="1EDE0F70" w14:textId="77777777" w:rsidR="00064BB4" w:rsidRPr="000665B0" w:rsidRDefault="00064BB4" w:rsidP="006D5A65">
      <w:pPr>
        <w:pStyle w:val="Heading1"/>
      </w:pPr>
      <w:r w:rsidRPr="000665B0">
        <w:t>Assigned Time – The assigned time of the reservation given by the Strike Planner. Other timings are derived from assigned time.</w:t>
      </w:r>
    </w:p>
    <w:p w14:paraId="4803032B" w14:textId="77777777" w:rsidR="00064BB4" w:rsidRPr="000665B0" w:rsidRDefault="00064BB4" w:rsidP="006D5A65">
      <w:pPr>
        <w:pStyle w:val="Heading1"/>
      </w:pPr>
      <w:r w:rsidRPr="000665B0">
        <w:t>Est Launch Time – Indicates the Estimated Launch Time derived from Assigned Time.</w:t>
      </w:r>
    </w:p>
    <w:p w14:paraId="369D6D67" w14:textId="77777777" w:rsidR="00064BB4" w:rsidRPr="000665B0" w:rsidRDefault="00064BB4" w:rsidP="006D5A65">
      <w:pPr>
        <w:pStyle w:val="Heading1"/>
      </w:pPr>
      <w:r w:rsidRPr="000665B0">
        <w:t>Est Time at FPPWP – Indicates the missile’s Estimated Time at FPPWP derived from Assigned Time.</w:t>
      </w:r>
    </w:p>
    <w:p w14:paraId="507AC7A8" w14:textId="77777777" w:rsidR="00064BB4" w:rsidRPr="000665B0" w:rsidRDefault="00064BB4" w:rsidP="006D5A65">
      <w:pPr>
        <w:pStyle w:val="Heading1"/>
      </w:pPr>
      <w:r w:rsidRPr="000665B0">
        <w:t>Est Time on Target – Indicates the missile’s Estimated Time on Target derived from Assigned Time.</w:t>
      </w:r>
    </w:p>
    <w:p w14:paraId="114A5D90" w14:textId="77777777" w:rsidR="00064BB4" w:rsidRPr="000665B0" w:rsidRDefault="00064BB4" w:rsidP="006D5A65">
      <w:pPr>
        <w:pStyle w:val="Heading1"/>
      </w:pPr>
      <w:r w:rsidRPr="000665B0">
        <w:t>Delta – Indicates the time delta that has been set to the reservation. Format in HH:MM:SS.</w:t>
      </w:r>
    </w:p>
    <w:p w14:paraId="6CF41582" w14:textId="77777777" w:rsidR="00064BB4" w:rsidRPr="000665B0" w:rsidRDefault="00064BB4" w:rsidP="006D5A65">
      <w:pPr>
        <w:pStyle w:val="Heading1"/>
      </w:pPr>
      <w:r w:rsidRPr="000665B0">
        <w:t>ETE – Indicates the mission’s enroute time for the reservation. Format in HH:MM:SS.</w:t>
      </w:r>
    </w:p>
    <w:p w14:paraId="6AE9FEE8" w14:textId="77777777" w:rsidR="00064BB4" w:rsidRPr="000665B0" w:rsidRDefault="00064BB4" w:rsidP="006D5A65">
      <w:pPr>
        <w:pStyle w:val="Heading1"/>
      </w:pPr>
      <w:r w:rsidRPr="000665B0">
        <w:t xml:space="preserve">Time Locked – Indicates whether the reservation’s timing has been locked. When timing is locked, reservation’s timing </w:t>
      </w:r>
      <w:r w:rsidR="004D6FF6" w:rsidRPr="000665B0">
        <w:t>cannot</w:t>
      </w:r>
      <w:r w:rsidRPr="000665B0">
        <w:t xml:space="preserve"> be shifted. An X indicates locked.</w:t>
      </w:r>
    </w:p>
    <w:p w14:paraId="2DE4ECAA" w14:textId="76DC845B" w:rsidR="00064BB4" w:rsidRPr="000665B0" w:rsidRDefault="00064BB4" w:rsidP="006D5A65">
      <w:pPr>
        <w:pStyle w:val="Heading1"/>
      </w:pPr>
      <w:r w:rsidRPr="000665B0">
        <w:t>TSN Comms Enabled – Indicates whether the missile is TSN Comms Enabled</w:t>
      </w:r>
      <w:r w:rsidR="00A27EB3" w:rsidRPr="000665B0">
        <w:t xml:space="preserve"> (applies</w:t>
      </w:r>
      <w:r w:rsidRPr="000665B0">
        <w:t xml:space="preserve"> </w:t>
      </w:r>
      <w:r w:rsidR="00A27EB3" w:rsidRPr="000665B0">
        <w:t xml:space="preserve">only to </w:t>
      </w:r>
      <w:r w:rsidR="001C6D19" w:rsidRPr="000665B0">
        <w:t>109E</w:t>
      </w:r>
      <w:r w:rsidR="00944E16">
        <w:t>/M</w:t>
      </w:r>
      <w:r w:rsidRPr="000665B0">
        <w:t xml:space="preserve"> missiles</w:t>
      </w:r>
      <w:r w:rsidR="00A27EB3" w:rsidRPr="000665B0">
        <w:t>)</w:t>
      </w:r>
      <w:r w:rsidRPr="000665B0">
        <w:t>.</w:t>
      </w:r>
    </w:p>
    <w:p w14:paraId="4257FC44" w14:textId="77777777" w:rsidR="00064BB4" w:rsidRPr="000665B0" w:rsidRDefault="00064BB4" w:rsidP="006D5A65">
      <w:pPr>
        <w:pStyle w:val="Heading1"/>
      </w:pPr>
      <w:r w:rsidRPr="000665B0">
        <w:t xml:space="preserve">Status – Shows information regarding the reservation. This field </w:t>
      </w:r>
      <w:r w:rsidR="00A27EB3" w:rsidRPr="000665B0">
        <w:t>is</w:t>
      </w:r>
      <w:r w:rsidRPr="000665B0">
        <w:t xml:space="preserve"> empty when the reservations are healthy. </w:t>
      </w:r>
      <w:r w:rsidR="00A27EB3" w:rsidRPr="000665B0">
        <w:t>R</w:t>
      </w:r>
      <w:r w:rsidRPr="000665B0">
        <w:t xml:space="preserve">eservation errors </w:t>
      </w:r>
      <w:r w:rsidR="00A27EB3" w:rsidRPr="000665B0">
        <w:t xml:space="preserve">such as </w:t>
      </w:r>
      <w:r w:rsidRPr="000665B0">
        <w:t>no assigned time, missing mission, etc.</w:t>
      </w:r>
      <w:r w:rsidR="00A27EB3" w:rsidRPr="000665B0">
        <w:t>, are displayed if present.</w:t>
      </w:r>
    </w:p>
    <w:p w14:paraId="4475939F" w14:textId="58270514" w:rsidR="00064BB4" w:rsidRPr="000665B0" w:rsidRDefault="00064BB4" w:rsidP="006D5A65">
      <w:pPr>
        <w:pStyle w:val="Heading1"/>
      </w:pPr>
      <w:r w:rsidRPr="000665B0">
        <w:t>Msl Ctrl – Indicates the Primary Missile Controller for this missile reservation. The SMD uses this field to determine who has control of the missile.</w:t>
      </w:r>
    </w:p>
    <w:p w14:paraId="6DAD0936" w14:textId="77777777" w:rsidR="00064BB4" w:rsidRPr="000665B0" w:rsidRDefault="00064BB4" w:rsidP="006D5A65">
      <w:pPr>
        <w:pStyle w:val="Heading1"/>
      </w:pPr>
      <w:r w:rsidRPr="000665B0">
        <w:t xml:space="preserve">Backup Msl Ctrl – Indicates the Backup Missile Controller for this missile reservation. The SMD allows the operator to </w:t>
      </w:r>
      <w:r w:rsidRPr="000665B0">
        <w:lastRenderedPageBreak/>
        <w:t xml:space="preserve">swap </w:t>
      </w:r>
      <w:r w:rsidR="00A27EB3" w:rsidRPr="000665B0">
        <w:t xml:space="preserve">Missile Controllers </w:t>
      </w:r>
      <w:r w:rsidRPr="000665B0">
        <w:t xml:space="preserve">and promote the Backup Missile Controller </w:t>
      </w:r>
      <w:r w:rsidR="00A27EB3" w:rsidRPr="000665B0">
        <w:t xml:space="preserve">to </w:t>
      </w:r>
      <w:r w:rsidRPr="000665B0">
        <w:t>the Primary.</w:t>
      </w:r>
    </w:p>
    <w:p w14:paraId="22473D47" w14:textId="77777777" w:rsidR="00A27EB3" w:rsidRPr="000665B0" w:rsidRDefault="00A27EB3" w:rsidP="006D5A65">
      <w:pPr>
        <w:pStyle w:val="Heading1"/>
      </w:pPr>
      <w:r w:rsidRPr="000665B0">
        <w:t>Aimpoint Description – Text used to assist in identifying the specific aimpoint of the attack.</w:t>
      </w:r>
    </w:p>
    <w:p w14:paraId="22068C8F" w14:textId="77777777" w:rsidR="00064BB4" w:rsidRPr="000665B0" w:rsidRDefault="00064BB4" w:rsidP="006D5A65">
      <w:pPr>
        <w:pStyle w:val="Heading1"/>
      </w:pPr>
      <w:r w:rsidRPr="000665B0">
        <w:t xml:space="preserve">OSuffix – The </w:t>
      </w:r>
      <w:r w:rsidR="001E3B29" w:rsidRPr="000665B0">
        <w:t>OSuffix</w:t>
      </w:r>
      <w:r w:rsidRPr="000665B0">
        <w:t xml:space="preserve"> of the target used in the reservation.</w:t>
      </w:r>
    </w:p>
    <w:p w14:paraId="704B1387" w14:textId="77777777" w:rsidR="00064BB4" w:rsidRPr="000665B0" w:rsidRDefault="00064BB4" w:rsidP="006D5A65">
      <w:pPr>
        <w:pStyle w:val="Heading1"/>
      </w:pPr>
      <w:r w:rsidRPr="000665B0">
        <w:t>Platform ID – The Platform ID of the FRU that is tasked with this missile assignment.</w:t>
      </w:r>
    </w:p>
    <w:p w14:paraId="0B390A1F" w14:textId="77777777" w:rsidR="00064BB4" w:rsidRPr="000665B0" w:rsidRDefault="00064BB4" w:rsidP="006D5A65">
      <w:pPr>
        <w:pStyle w:val="Heading1"/>
      </w:pPr>
      <w:r w:rsidRPr="000665B0">
        <w:t>Platform Name – The Platform Name of the FRU that is tasked with this missile assignment.</w:t>
      </w:r>
    </w:p>
    <w:p w14:paraId="26460647" w14:textId="77777777" w:rsidR="00064BB4" w:rsidRPr="000665B0" w:rsidRDefault="00064BB4" w:rsidP="006D5A65">
      <w:pPr>
        <w:pStyle w:val="Heading1"/>
      </w:pPr>
      <w:r w:rsidRPr="000665B0">
        <w:t>Type – Indicates the candidate mission type of the reservation. Possible types are Mission, TMPR, and LMO.</w:t>
      </w:r>
    </w:p>
    <w:p w14:paraId="676BA26A" w14:textId="77777777" w:rsidR="00064BB4" w:rsidRPr="000665B0" w:rsidRDefault="00064BB4" w:rsidP="006D5A65">
      <w:pPr>
        <w:pStyle w:val="Heading1"/>
      </w:pPr>
      <w:r w:rsidRPr="000665B0">
        <w:t xml:space="preserve">Missile ID – The Missile ID assigned to this reservation. Missile ID will only show up if the reservation is set to use specified MSL ID. </w:t>
      </w:r>
    </w:p>
    <w:p w14:paraId="2742A76F" w14:textId="77777777" w:rsidR="00064BB4" w:rsidRPr="000665B0" w:rsidRDefault="00064BB4" w:rsidP="006D5A65">
      <w:pPr>
        <w:pStyle w:val="Heading1"/>
      </w:pPr>
      <w:r w:rsidRPr="000665B0">
        <w:t>LD – The Line Designator of the reservation.</w:t>
      </w:r>
    </w:p>
    <w:p w14:paraId="431E0885" w14:textId="77777777" w:rsidR="00064BB4" w:rsidRPr="000665B0" w:rsidRDefault="00064BB4" w:rsidP="006D5A65">
      <w:pPr>
        <w:pStyle w:val="Heading1"/>
      </w:pPr>
      <w:r w:rsidRPr="000665B0">
        <w:t>Time at Timing Point – The derived time at timing point for the reservation that is used in the ESP sent to TTWCS.</w:t>
      </w:r>
    </w:p>
    <w:p w14:paraId="72399CD2" w14:textId="77777777" w:rsidR="00064BB4" w:rsidRPr="000665B0" w:rsidRDefault="00064BB4" w:rsidP="006D5A65">
      <w:pPr>
        <w:pStyle w:val="Heading1"/>
      </w:pPr>
      <w:r w:rsidRPr="000665B0">
        <w:t>Est Launch To FPPWP – The estimated time (HH:MM:SS) from Launch to FPPWP.</w:t>
      </w:r>
    </w:p>
    <w:p w14:paraId="27422192" w14:textId="77777777" w:rsidR="00064BB4" w:rsidRPr="000665B0" w:rsidRDefault="00064BB4" w:rsidP="006D5A65">
      <w:pPr>
        <w:pStyle w:val="Heading1"/>
      </w:pPr>
      <w:r w:rsidRPr="000665B0">
        <w:t>OWR ID – The overwater waypoint ID for the reservation.</w:t>
      </w:r>
    </w:p>
    <w:p w14:paraId="2F0EAC7E" w14:textId="77777777" w:rsidR="00064BB4" w:rsidRPr="000665B0" w:rsidRDefault="00064BB4" w:rsidP="006D5A65">
      <w:pPr>
        <w:pStyle w:val="Heading1"/>
      </w:pPr>
      <w:r w:rsidRPr="000665B0">
        <w:t>FRU to Backup – Shows the FRU’s Trigraph that this missile is backing</w:t>
      </w:r>
      <w:r w:rsidR="00B853CB" w:rsidRPr="000665B0">
        <w:t xml:space="preserve"> up.</w:t>
      </w:r>
      <w:r w:rsidRPr="000665B0">
        <w:t xml:space="preserve"> </w:t>
      </w:r>
    </w:p>
    <w:p w14:paraId="60FC1811" w14:textId="77777777" w:rsidR="00064BB4" w:rsidRPr="000665B0" w:rsidRDefault="00064BB4" w:rsidP="006D5A65">
      <w:pPr>
        <w:pStyle w:val="Heading1"/>
      </w:pPr>
      <w:r w:rsidRPr="000665B0">
        <w:t>Segment Number – The segment number of the mission. This is primarily used for 109D missions.</w:t>
      </w:r>
    </w:p>
    <w:p w14:paraId="42342A27" w14:textId="77777777" w:rsidR="00064BB4" w:rsidRPr="000665B0" w:rsidRDefault="00064BB4" w:rsidP="006D5A65">
      <w:pPr>
        <w:pStyle w:val="Heading1"/>
      </w:pPr>
      <w:r w:rsidRPr="000665B0">
        <w:t>Reference Type – Indicates the target’s reference type for this reservation.</w:t>
      </w:r>
    </w:p>
    <w:p w14:paraId="6641FC2C" w14:textId="77777777" w:rsidR="00064BB4" w:rsidRPr="000665B0" w:rsidRDefault="00064BB4" w:rsidP="006D5A65">
      <w:pPr>
        <w:pStyle w:val="Heading1"/>
      </w:pPr>
      <w:r w:rsidRPr="000665B0">
        <w:t xml:space="preserve">PLP – Indicates the PLP used for this reservation. </w:t>
      </w:r>
    </w:p>
    <w:p w14:paraId="0C74144E" w14:textId="77777777" w:rsidR="00064BB4" w:rsidRPr="000665B0" w:rsidRDefault="00064BB4" w:rsidP="006D5A65">
      <w:pPr>
        <w:pStyle w:val="Heading1"/>
      </w:pPr>
      <w:r w:rsidRPr="000665B0">
        <w:t>ASN – Indicates the Aimpoint Sequence Number of the reservation. No more than 8 missiles can share the same ASN. The field is used in the ESP for TTWCS.</w:t>
      </w:r>
    </w:p>
    <w:p w14:paraId="5C3BB286" w14:textId="5F1CA616" w:rsidR="00113D58" w:rsidRPr="000665B0" w:rsidRDefault="00113D58" w:rsidP="006D5A65">
      <w:pPr>
        <w:pStyle w:val="Heading1"/>
      </w:pPr>
      <w:r w:rsidRPr="000665B0">
        <w:t>TSN Assigned – The TSN type assigned (ACA or DAMA) of a</w:t>
      </w:r>
      <w:r w:rsidR="00C51F39" w:rsidRPr="000665B0">
        <w:t xml:space="preserve"> 109E</w:t>
      </w:r>
      <w:r w:rsidRPr="000665B0">
        <w:t xml:space="preserve"> missile. It is blank for Block III missiles.</w:t>
      </w:r>
      <w:r w:rsidR="00944E16">
        <w:t xml:space="preserve"> It is ACA Only for MSTM</w:t>
      </w:r>
      <w:r w:rsidR="00D943D5">
        <w:t>,</w:t>
      </w:r>
      <w:r w:rsidR="00944E16">
        <w:t xml:space="preserve"> 109M</w:t>
      </w:r>
      <w:r w:rsidR="00D943D5">
        <w:t>, and ACP</w:t>
      </w:r>
      <w:r w:rsidR="00944E16">
        <w:t xml:space="preserve"> missiles.</w:t>
      </w:r>
    </w:p>
    <w:p w14:paraId="793CB5BD" w14:textId="691C7B52" w:rsidR="00113D58" w:rsidRPr="000665B0" w:rsidRDefault="00113D58" w:rsidP="006D5A65">
      <w:pPr>
        <w:pStyle w:val="Heading1"/>
      </w:pPr>
      <w:r w:rsidRPr="000665B0">
        <w:t xml:space="preserve">TSN </w:t>
      </w:r>
      <w:r w:rsidR="00EB3B6F" w:rsidRPr="000665B0">
        <w:t xml:space="preserve">Strategy </w:t>
      </w:r>
      <w:r w:rsidRPr="000665B0">
        <w:t>– The TSN type requested (ACA Only, DAMA Only, ACA First, or DAMA First) of a</w:t>
      </w:r>
      <w:r w:rsidR="00C51F39" w:rsidRPr="000665B0">
        <w:t xml:space="preserve"> 109E</w:t>
      </w:r>
      <w:r w:rsidRPr="000665B0">
        <w:t xml:space="preserve"> missile. It is blank for Block III missiles.</w:t>
      </w:r>
      <w:r w:rsidR="00944E16">
        <w:t xml:space="preserve"> It is ACA Only for MSTM</w:t>
      </w:r>
      <w:r w:rsidR="00D943D5">
        <w:t>,</w:t>
      </w:r>
      <w:r w:rsidR="00944E16">
        <w:t xml:space="preserve"> 109M</w:t>
      </w:r>
      <w:r w:rsidR="00D943D5">
        <w:t>, and ACP</w:t>
      </w:r>
      <w:r w:rsidR="00944E16">
        <w:t xml:space="preserve"> missiles.</w:t>
      </w:r>
    </w:p>
    <w:p w14:paraId="4D0F2693" w14:textId="04FA16F1" w:rsidR="00C44B2E" w:rsidRPr="000665B0" w:rsidRDefault="00C44B2E" w:rsidP="006D5A65">
      <w:pPr>
        <w:pStyle w:val="Heading1"/>
      </w:pPr>
      <w:r w:rsidRPr="000665B0">
        <w:t xml:space="preserve">Fine Alignment – An X indicates that the Inertial Navigation System (INS) in the AUR requires Fine Alignment, prior to launch from a FRU. </w:t>
      </w:r>
      <w:r w:rsidRPr="000665B0">
        <w:rPr>
          <w:noProof/>
        </w:rPr>
        <w:t>It is blank for GPS-required missile types.</w:t>
      </w:r>
    </w:p>
    <w:p w14:paraId="48B46A38" w14:textId="09543B30" w:rsidR="001E3974" w:rsidRPr="000665B0" w:rsidRDefault="001E3974" w:rsidP="006D5A65">
      <w:pPr>
        <w:pStyle w:val="Heading1"/>
      </w:pPr>
      <w:r w:rsidRPr="000665B0">
        <w:t>Geofeasible – The geographic feasibility of a platform to execute the assigned mission while complying with geographical constraints, if any, such as prohibited area, flight corridor, heading towards FPPWP, and missile range.</w:t>
      </w:r>
      <w:r w:rsidR="00521C39" w:rsidRPr="000665B0">
        <w:t xml:space="preserve"> </w:t>
      </w:r>
      <w:r w:rsidR="00995F51" w:rsidRPr="000665B0">
        <w:t xml:space="preserve">Feasible </w:t>
      </w:r>
      <w:r w:rsidR="00521C39" w:rsidRPr="000665B0">
        <w:t xml:space="preserve">indicates Geofeasible, </w:t>
      </w:r>
      <w:r w:rsidR="00092D74" w:rsidRPr="000665B0">
        <w:t xml:space="preserve">Partial indicates partial </w:t>
      </w:r>
      <w:r w:rsidR="00092D74" w:rsidRPr="000665B0">
        <w:lastRenderedPageBreak/>
        <w:t xml:space="preserve">Geofeasible, </w:t>
      </w:r>
      <w:r w:rsidR="00521C39" w:rsidRPr="000665B0">
        <w:t xml:space="preserve">Unknown indicates Geofeasibility Unknown, and </w:t>
      </w:r>
      <w:r w:rsidR="00995F51" w:rsidRPr="000665B0">
        <w:t xml:space="preserve">Infeasible </w:t>
      </w:r>
      <w:r w:rsidR="00521C39" w:rsidRPr="000665B0">
        <w:t>indicates Geo Infeasible.</w:t>
      </w:r>
    </w:p>
    <w:p w14:paraId="64610B69" w14:textId="74C733D2" w:rsidR="00BF49E2" w:rsidRPr="000665B0" w:rsidRDefault="00BF49E2" w:rsidP="006D5A65">
      <w:pPr>
        <w:pStyle w:val="Heading1"/>
      </w:pPr>
      <w:r w:rsidRPr="000665B0">
        <w:t xml:space="preserve">Attack Plan ID – </w:t>
      </w:r>
      <w:r w:rsidRPr="000665B0">
        <w:rPr>
          <w:rFonts w:cs="Calibri"/>
          <w:szCs w:val="24"/>
        </w:rPr>
        <w:t>A</w:t>
      </w:r>
      <w:r w:rsidRPr="000665B0">
        <w:t>ttack Plan ID associated with the Attack Plan TMPR.</w:t>
      </w:r>
    </w:p>
    <w:p w14:paraId="0B4712A8" w14:textId="4A9AD909" w:rsidR="00BF49E2" w:rsidRPr="000665B0" w:rsidRDefault="00BF49E2" w:rsidP="006D5A65">
      <w:pPr>
        <w:pStyle w:val="Heading1"/>
      </w:pPr>
      <w:r w:rsidRPr="000665B0">
        <w:t>Attack Plan TMPR – An X indicates whether the associated missile is part of an Attack Plan TMPR</w:t>
      </w:r>
      <w:r w:rsidR="0098449F" w:rsidRPr="000665B0">
        <w:t>.</w:t>
      </w:r>
    </w:p>
    <w:p w14:paraId="1E8107D4" w14:textId="41FF6B76" w:rsidR="00BF49E2" w:rsidRPr="000665B0" w:rsidRDefault="00BF49E2" w:rsidP="006D5A65">
      <w:pPr>
        <w:pStyle w:val="Heading1"/>
      </w:pPr>
      <w:r w:rsidRPr="000665B0">
        <w:t xml:space="preserve">APM# – Attack Plan Mission </w:t>
      </w:r>
      <w:r w:rsidR="00AA01DB" w:rsidRPr="000665B0">
        <w:t>Number indicates the nth mission and the total number of missions requested in the Attack Plan (</w:t>
      </w:r>
      <w:r w:rsidR="003509EA" w:rsidRPr="000665B0">
        <w:t xml:space="preserve">e.g., </w:t>
      </w:r>
      <w:r w:rsidR="00AA01DB" w:rsidRPr="000665B0">
        <w:t>“2/10” indicates the 2</w:t>
      </w:r>
      <w:r w:rsidR="00AA01DB" w:rsidRPr="000665B0">
        <w:rPr>
          <w:vertAlign w:val="superscript"/>
        </w:rPr>
        <w:t>nd</w:t>
      </w:r>
      <w:r w:rsidR="00AA01DB" w:rsidRPr="000665B0">
        <w:t xml:space="preserve"> mission of a </w:t>
      </w:r>
      <w:r w:rsidR="00AA01DB" w:rsidRPr="000665B0">
        <w:br/>
        <w:t xml:space="preserve">10-mission Attack Plan TMPR). </w:t>
      </w:r>
    </w:p>
    <w:p w14:paraId="22B3563A" w14:textId="1757AE34" w:rsidR="00BF49E2" w:rsidRPr="000665B0" w:rsidRDefault="00BF49E2" w:rsidP="006D5A65">
      <w:pPr>
        <w:pStyle w:val="Heading1"/>
      </w:pPr>
      <w:r w:rsidRPr="000665B0">
        <w:t>TAR Type – Target Attack Requirements type for the target associated with the Attack Plan TMPR.</w:t>
      </w:r>
    </w:p>
    <w:p w14:paraId="2915058E" w14:textId="1FA3D351" w:rsidR="00064BB4" w:rsidRPr="000665B0" w:rsidRDefault="00064BB4" w:rsidP="006D5A65">
      <w:pPr>
        <w:pStyle w:val="Heading1"/>
      </w:pPr>
      <w:r w:rsidRPr="000665B0">
        <w:t>Missile Requirement</w:t>
      </w:r>
      <w:r w:rsidR="00DB5E52" w:rsidRPr="000665B0">
        <w:t xml:space="preserve"> – Indicates the Missile Requirement setting of </w:t>
      </w:r>
      <w:r w:rsidR="00DB5E52" w:rsidRPr="000665B0">
        <w:rPr>
          <w:bCs/>
        </w:rPr>
        <w:t>Exclude, Branch ID Change Only, or Retarget/Branch Allowed.</w:t>
      </w:r>
    </w:p>
    <w:p w14:paraId="2682CFA9" w14:textId="77777777" w:rsidR="00064BB4" w:rsidRPr="000665B0" w:rsidRDefault="00064BB4" w:rsidP="006D5A65">
      <w:pPr>
        <w:pStyle w:val="Heading1"/>
      </w:pPr>
      <w:r w:rsidRPr="000665B0">
        <w:t>JDPI – Indicates the JDPI of the target for this reservation.</w:t>
      </w:r>
    </w:p>
    <w:p w14:paraId="03654D48" w14:textId="77777777" w:rsidR="00064BB4" w:rsidRPr="000665B0" w:rsidRDefault="00064BB4" w:rsidP="006D5A65">
      <w:pPr>
        <w:pStyle w:val="Heading1"/>
      </w:pPr>
      <w:r w:rsidRPr="000665B0">
        <w:t>TTN – Indicates the TTN of the target for this reservation.</w:t>
      </w:r>
    </w:p>
    <w:p w14:paraId="60527030" w14:textId="77777777" w:rsidR="00064BB4" w:rsidRPr="000665B0" w:rsidRDefault="00064BB4" w:rsidP="006D5A65">
      <w:pPr>
        <w:pStyle w:val="Heading1"/>
      </w:pPr>
      <w:r w:rsidRPr="000665B0">
        <w:t>UIC – Indicates the UIC of the target for this reservation.</w:t>
      </w:r>
    </w:p>
    <w:p w14:paraId="55A6C1A5" w14:textId="77777777" w:rsidR="00064BB4" w:rsidRPr="000665B0" w:rsidRDefault="00064BB4" w:rsidP="006D5A65">
      <w:pPr>
        <w:pStyle w:val="Heading1"/>
      </w:pPr>
      <w:r w:rsidRPr="000665B0">
        <w:t>Latitude – Indicates the latitude of the target for this reservation.</w:t>
      </w:r>
    </w:p>
    <w:p w14:paraId="795FB978" w14:textId="77777777" w:rsidR="00064BB4" w:rsidRPr="000665B0" w:rsidRDefault="00064BB4" w:rsidP="006D5A65">
      <w:pPr>
        <w:pStyle w:val="Heading1"/>
      </w:pPr>
      <w:r w:rsidRPr="000665B0">
        <w:t>Longitude – Indicates the longitude of the target for this reservation.</w:t>
      </w:r>
    </w:p>
    <w:p w14:paraId="685B2B53" w14:textId="77777777" w:rsidR="00064BB4" w:rsidRPr="000665B0" w:rsidRDefault="00064BB4" w:rsidP="006D5A65">
      <w:pPr>
        <w:pStyle w:val="Heading1"/>
      </w:pPr>
      <w:r w:rsidRPr="000665B0">
        <w:t>Elev</w:t>
      </w:r>
      <w:r w:rsidR="002F480A" w:rsidRPr="000665B0">
        <w:t xml:space="preserve"> (MSL)</w:t>
      </w:r>
      <w:r w:rsidRPr="000665B0">
        <w:t xml:space="preserve"> – Indicates the elevation of the target for this reservation.</w:t>
      </w:r>
    </w:p>
    <w:p w14:paraId="0D603DF6" w14:textId="77777777" w:rsidR="00314F62" w:rsidRDefault="00064BB4" w:rsidP="006D5A65">
      <w:pPr>
        <w:pStyle w:val="Heading1"/>
      </w:pPr>
      <w:r w:rsidRPr="00C97B43">
        <w:t>Subscriber ID –</w:t>
      </w:r>
      <w:r w:rsidR="007C0F92" w:rsidRPr="00C97B43">
        <w:t xml:space="preserve"> </w:t>
      </w:r>
      <w:r w:rsidRPr="00C97B43">
        <w:t xml:space="preserve">ID assigned to </w:t>
      </w:r>
      <w:r w:rsidR="007C0F92" w:rsidRPr="00C97B43">
        <w:t xml:space="preserve">a missile </w:t>
      </w:r>
      <w:r w:rsidRPr="00C97B43">
        <w:t>reservation</w:t>
      </w:r>
      <w:r w:rsidR="007C0F92" w:rsidRPr="00C97B43">
        <w:t xml:space="preserve"> that</w:t>
      </w:r>
      <w:r w:rsidRPr="00C97B43">
        <w:t xml:space="preserve"> is used for TSN </w:t>
      </w:r>
      <w:r w:rsidR="007C0F92" w:rsidRPr="00C97B43">
        <w:t>communication with the missile</w:t>
      </w:r>
      <w:r w:rsidR="004E7017" w:rsidRPr="00C97B43">
        <w:t>.</w:t>
      </w:r>
      <w:bookmarkStart w:id="6341" w:name="_Hlk117184393"/>
    </w:p>
    <w:p w14:paraId="0A9A06C6" w14:textId="47045C93" w:rsidR="00064BB4" w:rsidRPr="00C97B43" w:rsidRDefault="00064BB4" w:rsidP="006D5A65">
      <w:pPr>
        <w:pStyle w:val="Heading1"/>
      </w:pPr>
      <w:r w:rsidRPr="00C97B43">
        <w:t>Use Specified MSL ID – Specify a specific missile ID should be used for this reservation. Enabling this will reveal the missile ID in the MSL ID column</w:t>
      </w:r>
      <w:r w:rsidR="00A40D44" w:rsidRPr="00C97B43">
        <w:t xml:space="preserve"> and the 4-character code in the Missile Type column for 109E missiles.</w:t>
      </w:r>
    </w:p>
    <w:bookmarkEnd w:id="6341"/>
    <w:p w14:paraId="52028490" w14:textId="77777777" w:rsidR="00064BB4" w:rsidRPr="00C97B43" w:rsidRDefault="00064BB4" w:rsidP="006D5A65">
      <w:pPr>
        <w:pStyle w:val="Heading1"/>
      </w:pPr>
      <w:r w:rsidRPr="00C97B43">
        <w:t>Launch Area – The Launch Area of the mission for this reservation.</w:t>
      </w:r>
    </w:p>
    <w:p w14:paraId="45A46FB7" w14:textId="50400E87" w:rsidR="00064BB4" w:rsidRPr="000665B0" w:rsidRDefault="00064BB4" w:rsidP="006D5A65">
      <w:pPr>
        <w:pStyle w:val="Heading1"/>
      </w:pPr>
      <w:r w:rsidRPr="00C97B43">
        <w:t>Target Number – The Targe</w:t>
      </w:r>
      <w:r w:rsidRPr="000665B0">
        <w:t>t Number of the target.</w:t>
      </w:r>
    </w:p>
    <w:p w14:paraId="447A3B71" w14:textId="0331C6C9" w:rsidR="00437A2E" w:rsidRPr="000665B0" w:rsidRDefault="00437A2E" w:rsidP="006D5A65">
      <w:pPr>
        <w:pStyle w:val="Heading1"/>
      </w:pPr>
      <w:r w:rsidRPr="000665B0">
        <w:t xml:space="preserve">Missile Type – The 4-character missile type (see </w:t>
      </w:r>
      <w:hyperlink w:anchor="_4_-Character_Missile" w:history="1">
        <w:r w:rsidRPr="000665B0">
          <w:rPr>
            <w:rStyle w:val="Hyperlink"/>
          </w:rPr>
          <w:t>Section 5.</w:t>
        </w:r>
        <w:r w:rsidR="00CB0158">
          <w:rPr>
            <w:rStyle w:val="Hyperlink"/>
          </w:rPr>
          <w:t>1</w:t>
        </w:r>
        <w:r w:rsidR="002B227A">
          <w:rPr>
            <w:rStyle w:val="Hyperlink"/>
          </w:rPr>
          <w:t>4</w:t>
        </w:r>
        <w:r w:rsidRPr="000665B0">
          <w:rPr>
            <w:rStyle w:val="Hyperlink"/>
          </w:rPr>
          <w:t>.1</w:t>
        </w:r>
      </w:hyperlink>
      <w:r w:rsidRPr="000665B0">
        <w:t xml:space="preserve">) structured as &lt;Missile Type&gt;&lt;Warhead Type&gt;&lt;TSN Type&gt;&lt;GPS Type&gt;. </w:t>
      </w:r>
      <w:bookmarkStart w:id="6342" w:name="_Hlk64536713"/>
      <w:r w:rsidR="00332E1B" w:rsidRPr="000665B0">
        <w:t xml:space="preserve">Populated only when missile assignment reservations are made by Serial #, Cell ID, or MIS Code. The Additional Information icon </w:t>
      </w:r>
      <w:r w:rsidR="00701A8A">
        <w:t>(Φ)</w:t>
      </w:r>
      <w:r w:rsidR="00332E1B" w:rsidRPr="000665B0">
        <w:t xml:space="preserve"> in list view column heads or textual view fields indicates that additional information is available for the data within the column or field</w:t>
      </w:r>
      <w:bookmarkEnd w:id="6342"/>
      <w:r w:rsidRPr="000665B0">
        <w:t xml:space="preserve"> (see </w:t>
      </w:r>
      <w:hyperlink w:anchor="_Additional__Information" w:history="1">
        <w:r w:rsidRPr="000665B0">
          <w:rPr>
            <w:rStyle w:val="Hyperlink"/>
          </w:rPr>
          <w:t>Section 5.2.11</w:t>
        </w:r>
      </w:hyperlink>
      <w:r w:rsidRPr="000665B0">
        <w:t xml:space="preserve">). </w:t>
      </w:r>
    </w:p>
    <w:p w14:paraId="5D92FC6B" w14:textId="17A5628C" w:rsidR="00D85FC3" w:rsidRPr="000665B0" w:rsidRDefault="00D85FC3" w:rsidP="006D5A65">
      <w:pPr>
        <w:pStyle w:val="Heading1"/>
      </w:pPr>
      <w:r>
        <w:t>Launch Type – Indicates that the tasked mission for the reservation is ground</w:t>
      </w:r>
      <w:r w:rsidR="00AA56E8">
        <w:t>-launch</w:t>
      </w:r>
      <w:r>
        <w:t xml:space="preserve"> or sea</w:t>
      </w:r>
      <w:r w:rsidR="00AA56E8">
        <w:t>-</w:t>
      </w:r>
      <w:r>
        <w:t>launch mission</w:t>
      </w:r>
      <w:r w:rsidR="00EF1B82">
        <w:t xml:space="preserve">. Ground launch mission </w:t>
      </w:r>
      <w:r>
        <w:t>is assigned to GL FRU.</w:t>
      </w:r>
    </w:p>
    <w:p w14:paraId="505E8C6E" w14:textId="77777777" w:rsidR="00D310FE" w:rsidRPr="000665B0" w:rsidRDefault="00D310FE" w:rsidP="00474A1F">
      <w:pPr>
        <w:tabs>
          <w:tab w:val="left" w:pos="720"/>
        </w:tabs>
        <w:rPr>
          <w:b/>
        </w:rPr>
      </w:pPr>
      <w:r w:rsidRPr="000665B0">
        <w:rPr>
          <w:b/>
        </w:rPr>
        <w:t>Missile Info</w:t>
      </w:r>
    </w:p>
    <w:p w14:paraId="563E46B4" w14:textId="0F930046" w:rsidR="00D310FE" w:rsidRPr="000665B0" w:rsidRDefault="00D310FE" w:rsidP="00474A1F">
      <w:pPr>
        <w:pStyle w:val="BodyText"/>
        <w:tabs>
          <w:tab w:val="left" w:pos="720"/>
        </w:tabs>
        <w:spacing w:after="120"/>
      </w:pPr>
      <w:r w:rsidRPr="000665B0">
        <w:lastRenderedPageBreak/>
        <w:t xml:space="preserve">The user can specify the FRU to use a specific </w:t>
      </w:r>
      <w:r w:rsidR="00696953" w:rsidRPr="000665B0">
        <w:t>Serial Number</w:t>
      </w:r>
      <w:r w:rsidRPr="000665B0">
        <w:t xml:space="preserve"> or a specific cell or a specific Missile ID or any capable missile for each assignment. This field is passed along to the TTWCS FRU in the ESP. </w:t>
      </w:r>
    </w:p>
    <w:p w14:paraId="2E2B5310" w14:textId="157E3F98" w:rsidR="00D310FE" w:rsidRPr="000665B0" w:rsidRDefault="00D310FE" w:rsidP="00474A1F">
      <w:pPr>
        <w:pStyle w:val="BodyText"/>
        <w:tabs>
          <w:tab w:val="left" w:pos="720"/>
        </w:tabs>
        <w:spacing w:after="120"/>
      </w:pPr>
      <w:r w:rsidRPr="000665B0">
        <w:t xml:space="preserve">To locally assign </w:t>
      </w:r>
      <w:r w:rsidR="00696953" w:rsidRPr="000665B0">
        <w:t>Serial Number</w:t>
      </w:r>
      <w:r w:rsidRPr="000665B0">
        <w:t xml:space="preserve"> or cells:</w:t>
      </w:r>
    </w:p>
    <w:p w14:paraId="4F1E6753" w14:textId="77777777" w:rsidR="00D310FE" w:rsidRPr="000665B0" w:rsidRDefault="00D310FE" w:rsidP="006D5A65">
      <w:pPr>
        <w:pStyle w:val="Heading1"/>
      </w:pPr>
      <w:r w:rsidRPr="000665B0">
        <w:t xml:space="preserve">In the </w:t>
      </w:r>
      <w:r w:rsidRPr="000665B0">
        <w:rPr>
          <w:bCs/>
          <w:i/>
          <w:iCs/>
        </w:rPr>
        <w:t>Missiles</w:t>
      </w:r>
      <w:r w:rsidRPr="000665B0">
        <w:t xml:space="preserve"> tab, select the desired missile.</w:t>
      </w:r>
    </w:p>
    <w:p w14:paraId="0F6C1E04" w14:textId="216584E7" w:rsidR="00097A86" w:rsidRPr="000665B0" w:rsidRDefault="00D310FE" w:rsidP="006D5A65">
      <w:pPr>
        <w:pStyle w:val="Heading1"/>
      </w:pPr>
      <w:r w:rsidRPr="000665B0">
        <w:t>Invoke the context menu (right</w:t>
      </w:r>
      <w:r w:rsidR="007545DB" w:rsidRPr="000665B0">
        <w:t>-</w:t>
      </w:r>
      <w:r w:rsidRPr="000665B0">
        <w:t>click the mouse) and select</w:t>
      </w:r>
      <w:r w:rsidRPr="000665B0">
        <w:rPr>
          <w:bCs/>
        </w:rPr>
        <w:t xml:space="preserve"> Edit </w:t>
      </w:r>
      <w:r w:rsidRPr="000665B0">
        <w:sym w:font="Wingdings" w:char="F0E0"/>
      </w:r>
      <w:r w:rsidRPr="000665B0">
        <w:rPr>
          <w:bCs/>
        </w:rPr>
        <w:t xml:space="preserve"> Missile Info</w:t>
      </w:r>
      <w:r w:rsidRPr="000665B0">
        <w:t xml:space="preserve">. The </w:t>
      </w:r>
      <w:r w:rsidRPr="000665B0">
        <w:rPr>
          <w:i/>
        </w:rPr>
        <w:t xml:space="preserve">Missile Info </w:t>
      </w:r>
      <w:r w:rsidRPr="000665B0">
        <w:t>window is displayed.</w:t>
      </w:r>
    </w:p>
    <w:p w14:paraId="3E643790" w14:textId="4B77000A" w:rsidR="00696953" w:rsidRPr="000665B0" w:rsidRDefault="002C235F" w:rsidP="001F4B14">
      <w:pPr>
        <w:pStyle w:val="Number0205"/>
        <w:ind w:left="0" w:firstLine="0"/>
        <w:jc w:val="center"/>
      </w:pPr>
      <w:r w:rsidRPr="000665B0">
        <w:rPr>
          <w:noProof/>
        </w:rPr>
        <w:drawing>
          <wp:inline distT="0" distB="0" distL="0" distR="0" wp14:anchorId="29E890BD" wp14:editId="2047B350">
            <wp:extent cx="2743200" cy="1947672"/>
            <wp:effectExtent l="0" t="0" r="0" b="0"/>
            <wp:docPr id="2140" name="Picture 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947672"/>
                    </a:xfrm>
                    <a:prstGeom prst="rect">
                      <a:avLst/>
                    </a:prstGeom>
                  </pic:spPr>
                </pic:pic>
              </a:graphicData>
            </a:graphic>
          </wp:inline>
        </w:drawing>
      </w:r>
    </w:p>
    <w:p w14:paraId="580B5378" w14:textId="44538B24" w:rsidR="0052146E" w:rsidRPr="000665B0" w:rsidRDefault="0052146E" w:rsidP="006D5A65">
      <w:pPr>
        <w:pStyle w:val="Heading1"/>
      </w:pPr>
      <w:r w:rsidRPr="000665B0">
        <w:t>Click the button next to the applicable option</w:t>
      </w:r>
      <w:r w:rsidR="00696953" w:rsidRPr="000665B0">
        <w:t>:</w:t>
      </w:r>
      <w:r w:rsidRPr="000665B0">
        <w:t xml:space="preserve"> </w:t>
      </w:r>
      <w:r w:rsidR="00696953" w:rsidRPr="000665B0">
        <w:t>Serial Number,</w:t>
      </w:r>
      <w:r w:rsidRPr="000665B0">
        <w:t xml:space="preserve"> Cell ID</w:t>
      </w:r>
      <w:r w:rsidR="00696953" w:rsidRPr="000665B0">
        <w:t xml:space="preserve">, Only Specified Missile ID, or Any Capable Missile (the options enabled/disabled depend on the type of missile selected). </w:t>
      </w:r>
      <w:r w:rsidR="006B77EF" w:rsidRPr="000665B0">
        <w:t>For Cell ID</w:t>
      </w:r>
      <w:r w:rsidR="00696953" w:rsidRPr="000665B0">
        <w:t xml:space="preserve"> or Serial Number</w:t>
      </w:r>
      <w:r w:rsidR="006B77EF" w:rsidRPr="000665B0">
        <w:t>, u</w:t>
      </w:r>
      <w:r w:rsidRPr="000665B0">
        <w:t xml:space="preserve">se the </w:t>
      </w:r>
      <w:r w:rsidRPr="000665B0">
        <w:sym w:font="Wingdings 3" w:char="F071"/>
      </w:r>
      <w:r w:rsidRPr="000665B0">
        <w:t xml:space="preserve"> button to select the specific cell </w:t>
      </w:r>
      <w:r w:rsidR="00696953" w:rsidRPr="000665B0">
        <w:t xml:space="preserve">or Serial Number </w:t>
      </w:r>
      <w:r w:rsidRPr="000665B0">
        <w:t>of the missile and click OK.</w:t>
      </w:r>
    </w:p>
    <w:p w14:paraId="540DBA8B" w14:textId="4EACAA5D" w:rsidR="00437A2E" w:rsidRPr="000665B0" w:rsidRDefault="00437A2E" w:rsidP="006D5A65">
      <w:pPr>
        <w:pStyle w:val="Heading1"/>
      </w:pPr>
      <w:r w:rsidRPr="000665B0">
        <w:t xml:space="preserve">For missile IDs that contain the 4-character missile type (see </w:t>
      </w:r>
      <w:hyperlink w:anchor="_4_-Character_Missile" w:history="1">
        <w:r w:rsidRPr="000665B0">
          <w:rPr>
            <w:rStyle w:val="Hyperlink"/>
          </w:rPr>
          <w:t>Section 5.</w:t>
        </w:r>
        <w:r w:rsidR="00CB0158">
          <w:rPr>
            <w:rStyle w:val="Hyperlink"/>
          </w:rPr>
          <w:t>1</w:t>
        </w:r>
        <w:r w:rsidR="002B227A">
          <w:rPr>
            <w:rStyle w:val="Hyperlink"/>
          </w:rPr>
          <w:t>4</w:t>
        </w:r>
        <w:r w:rsidRPr="000665B0">
          <w:rPr>
            <w:rStyle w:val="Hyperlink"/>
          </w:rPr>
          <w:t>.1</w:t>
        </w:r>
      </w:hyperlink>
      <w:r w:rsidRPr="000665B0">
        <w:t xml:space="preserve">), hover the mouse over the specific missile ID to display a </w:t>
      </w:r>
      <w:r w:rsidR="0087541B">
        <w:t>tooltip</w:t>
      </w:r>
      <w:r w:rsidRPr="000665B0">
        <w:t xml:space="preserve"> with additional information about the missile.</w:t>
      </w:r>
    </w:p>
    <w:p w14:paraId="0E1ACC53" w14:textId="07BAF8ED" w:rsidR="00437A2E" w:rsidRPr="000665B0" w:rsidRDefault="002C235F" w:rsidP="00437A2E">
      <w:pPr>
        <w:pStyle w:val="BodyText"/>
        <w:spacing w:before="120" w:after="120"/>
        <w:jc w:val="center"/>
      </w:pPr>
      <w:r w:rsidRPr="000665B0">
        <w:rPr>
          <w:noProof/>
        </w:rPr>
        <w:drawing>
          <wp:inline distT="0" distB="0" distL="0" distR="0" wp14:anchorId="0BF543A4" wp14:editId="4381DA55">
            <wp:extent cx="3154680" cy="1453896"/>
            <wp:effectExtent l="0" t="0" r="0" b="0"/>
            <wp:docPr id="2147" name="Picture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453896"/>
                    </a:xfrm>
                    <a:prstGeom prst="rect">
                      <a:avLst/>
                    </a:prstGeom>
                  </pic:spPr>
                </pic:pic>
              </a:graphicData>
            </a:graphic>
          </wp:inline>
        </w:drawing>
      </w:r>
    </w:p>
    <w:p w14:paraId="0CB4CFBA" w14:textId="32946E89" w:rsidR="0052146E" w:rsidRPr="000665B0" w:rsidRDefault="0052146E" w:rsidP="006D5A65">
      <w:pPr>
        <w:pStyle w:val="Heading1"/>
      </w:pPr>
      <w:r w:rsidRPr="000665B0">
        <w:t>When an assignment is tasked by Tail Number</w:t>
      </w:r>
      <w:r w:rsidR="00AE1BE6" w:rsidRPr="000665B0">
        <w:t xml:space="preserve"> or MSTM</w:t>
      </w:r>
      <w:r w:rsidRPr="000665B0">
        <w:t xml:space="preserve">, only </w:t>
      </w:r>
      <w:r w:rsidR="00696953" w:rsidRPr="000665B0">
        <w:t>the</w:t>
      </w:r>
      <w:r w:rsidRPr="000665B0">
        <w:t xml:space="preserve"> Serial Number</w:t>
      </w:r>
      <w:r w:rsidR="00696953" w:rsidRPr="000665B0">
        <w:t xml:space="preserve"> option is enabled</w:t>
      </w:r>
      <w:r w:rsidRPr="000665B0">
        <w:t xml:space="preserve">. A Tail-Number mission is a mission that has tail number(s) in the textual display of the mission, </w:t>
      </w:r>
      <w:r w:rsidR="0063193C" w:rsidRPr="000665B0">
        <w:t>listing</w:t>
      </w:r>
      <w:r w:rsidRPr="000665B0">
        <w:t xml:space="preserve"> those missiles with tail number(s) that are compatible with the mission. Only FRUs with Torpedo Tube Launcher and TTWCS version 5.6 or higher may be tasked by Tail </w:t>
      </w:r>
      <w:r w:rsidRPr="000665B0">
        <w:lastRenderedPageBreak/>
        <w:t>Number.</w:t>
      </w:r>
      <w:r w:rsidR="006B77EF" w:rsidRPr="000665B0">
        <w:t xml:space="preserve"> </w:t>
      </w:r>
      <w:r w:rsidR="0063193C" w:rsidRPr="000665B0">
        <w:t>U</w:t>
      </w:r>
      <w:r w:rsidR="006B77EF" w:rsidRPr="000665B0">
        <w:t xml:space="preserve">se the </w:t>
      </w:r>
      <w:r w:rsidR="006B77EF" w:rsidRPr="000665B0">
        <w:sym w:font="Wingdings 3" w:char="F071"/>
      </w:r>
      <w:r w:rsidR="006B77EF" w:rsidRPr="000665B0">
        <w:t xml:space="preserve"> button to select the specific Serial Number of the missile and click OK.</w:t>
      </w:r>
    </w:p>
    <w:p w14:paraId="33D28264" w14:textId="2F495BB9" w:rsidR="0052146E" w:rsidRPr="000665B0" w:rsidRDefault="00FD63B2" w:rsidP="00CC5CE9">
      <w:pPr>
        <w:spacing w:after="240"/>
        <w:jc w:val="center"/>
      </w:pPr>
      <w:r w:rsidRPr="000665B0">
        <w:rPr>
          <w:noProof/>
        </w:rPr>
        <w:drawing>
          <wp:inline distT="0" distB="0" distL="0" distR="0" wp14:anchorId="304DC4F5" wp14:editId="3EF34B50">
            <wp:extent cx="2286000" cy="1623060"/>
            <wp:effectExtent l="0" t="0" r="0" b="0"/>
            <wp:docPr id="2159" name="Picture 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96272" cy="1630353"/>
                    </a:xfrm>
                    <a:prstGeom prst="rect">
                      <a:avLst/>
                    </a:prstGeom>
                  </pic:spPr>
                </pic:pic>
              </a:graphicData>
            </a:graphic>
          </wp:inline>
        </w:drawing>
      </w:r>
    </w:p>
    <w:p w14:paraId="52644261" w14:textId="04BA946D" w:rsidR="008A6FB2" w:rsidRPr="000665B0" w:rsidRDefault="008A6FB2" w:rsidP="006D5A65">
      <w:pPr>
        <w:pStyle w:val="Heading1"/>
      </w:pPr>
      <w:r w:rsidRPr="000665B0">
        <w:t xml:space="preserve">For missile IDs that contain the 4-character missile type (see </w:t>
      </w:r>
      <w:hyperlink w:anchor="_4_-Character_Missile" w:history="1">
        <w:r w:rsidRPr="000665B0">
          <w:rPr>
            <w:rStyle w:val="Hyperlink"/>
          </w:rPr>
          <w:t>Section 5.</w:t>
        </w:r>
        <w:r w:rsidR="00CB0158">
          <w:rPr>
            <w:rStyle w:val="Hyperlink"/>
          </w:rPr>
          <w:t>16</w:t>
        </w:r>
        <w:r w:rsidRPr="000665B0">
          <w:rPr>
            <w:rStyle w:val="Hyperlink"/>
          </w:rPr>
          <w:t>.1</w:t>
        </w:r>
      </w:hyperlink>
      <w:r w:rsidRPr="000665B0">
        <w:t xml:space="preserve">), hover the mouse over the specific missile ID to display a </w:t>
      </w:r>
      <w:r w:rsidR="0087541B">
        <w:t>tooltip</w:t>
      </w:r>
      <w:r w:rsidRPr="000665B0">
        <w:t xml:space="preserve"> with additional information about the missile.</w:t>
      </w:r>
    </w:p>
    <w:p w14:paraId="30D2C33F" w14:textId="7EFC66F6" w:rsidR="008A6FB2" w:rsidRPr="000665B0" w:rsidRDefault="00FD63B2" w:rsidP="008A6FB2">
      <w:pPr>
        <w:pStyle w:val="BodyText"/>
        <w:spacing w:before="120" w:after="120"/>
        <w:jc w:val="center"/>
      </w:pPr>
      <w:r w:rsidRPr="000665B0">
        <w:rPr>
          <w:noProof/>
        </w:rPr>
        <w:drawing>
          <wp:inline distT="0" distB="0" distL="0" distR="0" wp14:anchorId="2CEB0392" wp14:editId="3519F7FE">
            <wp:extent cx="3154680" cy="1499616"/>
            <wp:effectExtent l="0" t="0" r="0" b="0"/>
            <wp:docPr id="2160" name="Picture 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499616"/>
                    </a:xfrm>
                    <a:prstGeom prst="rect">
                      <a:avLst/>
                    </a:prstGeom>
                  </pic:spPr>
                </pic:pic>
              </a:graphicData>
            </a:graphic>
          </wp:inline>
        </w:drawing>
      </w:r>
    </w:p>
    <w:p w14:paraId="27FDFBC5" w14:textId="77777777" w:rsidR="00D310FE" w:rsidRPr="000665B0" w:rsidRDefault="00D310FE" w:rsidP="00474A1F">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p>
    <w:p w14:paraId="55B08005" w14:textId="77777777" w:rsidR="00D310FE" w:rsidRPr="000665B0" w:rsidRDefault="00D310FE" w:rsidP="00474A1F">
      <w:pPr>
        <w:pBdr>
          <w:top w:val="single" w:sz="12" w:space="1" w:color="auto"/>
          <w:left w:val="single" w:sz="12" w:space="4" w:color="auto"/>
          <w:bottom w:val="single" w:sz="12" w:space="1" w:color="auto"/>
          <w:right w:val="single" w:sz="12" w:space="4" w:color="auto"/>
        </w:pBdr>
        <w:shd w:val="clear" w:color="auto" w:fill="D9D9D9"/>
        <w:tabs>
          <w:tab w:val="left" w:pos="720"/>
        </w:tabs>
        <w:jc w:val="center"/>
        <w:rPr>
          <w:b/>
        </w:rPr>
      </w:pPr>
      <w:r w:rsidRPr="000665B0">
        <w:rPr>
          <w:b/>
        </w:rPr>
        <w:t>Editing a FRU’s cell can only be done on non-Ghost assignments.</w:t>
      </w:r>
    </w:p>
    <w:p w14:paraId="6F2C1648" w14:textId="77777777" w:rsidR="000E6F6A" w:rsidRPr="000665B0" w:rsidRDefault="000E6F6A" w:rsidP="000E6F6A">
      <w:pPr>
        <w:pStyle w:val="BodyTextIndent2"/>
        <w:tabs>
          <w:tab w:val="left" w:pos="720"/>
        </w:tabs>
        <w:spacing w:line="240" w:lineRule="auto"/>
        <w:ind w:left="0"/>
      </w:pPr>
      <w:r w:rsidRPr="000665B0">
        <w:t xml:space="preserve">If the Cell ID/Serial number is for a missile that does not have the network capability that the assignment was made for, the network type must be changed. The system notifies the user of this condition, and changes network type if confirmed by clicking </w:t>
      </w:r>
      <w:r w:rsidRPr="000665B0">
        <w:rPr>
          <w:b/>
        </w:rPr>
        <w:t>Yes</w:t>
      </w:r>
      <w:r w:rsidRPr="000665B0">
        <w:t xml:space="preserve">. </w:t>
      </w:r>
    </w:p>
    <w:p w14:paraId="095FB987" w14:textId="635FC625" w:rsidR="000E6F6A" w:rsidRPr="000665B0" w:rsidRDefault="00F05581" w:rsidP="000E6F6A">
      <w:pPr>
        <w:pStyle w:val="BodyTextIndent2"/>
        <w:tabs>
          <w:tab w:val="left" w:pos="720"/>
        </w:tabs>
        <w:spacing w:line="240" w:lineRule="auto"/>
        <w:ind w:left="0"/>
        <w:jc w:val="center"/>
        <w:rPr>
          <w:b/>
        </w:rPr>
      </w:pPr>
      <w:r w:rsidRPr="000665B0">
        <w:rPr>
          <w:b/>
          <w:noProof/>
        </w:rPr>
        <w:drawing>
          <wp:inline distT="0" distB="0" distL="0" distR="0" wp14:anchorId="46650627" wp14:editId="524BBD07">
            <wp:extent cx="2909372" cy="1323975"/>
            <wp:effectExtent l="0" t="0" r="0" b="0"/>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932593" cy="1334542"/>
                    </a:xfrm>
                    <a:prstGeom prst="rect">
                      <a:avLst/>
                    </a:prstGeom>
                    <a:noFill/>
                  </pic:spPr>
                </pic:pic>
              </a:graphicData>
            </a:graphic>
          </wp:inline>
        </w:drawing>
      </w:r>
    </w:p>
    <w:p w14:paraId="385D1CC7" w14:textId="77777777" w:rsidR="00064BB4" w:rsidRPr="000665B0" w:rsidRDefault="00064BB4" w:rsidP="00474A1F">
      <w:pPr>
        <w:pStyle w:val="BodyTextIndent2"/>
        <w:tabs>
          <w:tab w:val="left" w:pos="720"/>
        </w:tabs>
        <w:spacing w:line="240" w:lineRule="auto"/>
        <w:ind w:left="0"/>
        <w:rPr>
          <w:b/>
        </w:rPr>
      </w:pPr>
      <w:r w:rsidRPr="000665B0">
        <w:rPr>
          <w:b/>
        </w:rPr>
        <w:t>Missile Controller</w:t>
      </w:r>
      <w:r w:rsidR="00D310FE" w:rsidRPr="000665B0">
        <w:rPr>
          <w:b/>
        </w:rPr>
        <w:t>s</w:t>
      </w:r>
    </w:p>
    <w:p w14:paraId="6725C2A0" w14:textId="77777777" w:rsidR="00064BB4" w:rsidRPr="000665B0" w:rsidRDefault="00064BB4" w:rsidP="00474A1F">
      <w:pPr>
        <w:pStyle w:val="BodyTextIndent2"/>
        <w:tabs>
          <w:tab w:val="left" w:pos="720"/>
        </w:tabs>
        <w:spacing w:line="240" w:lineRule="auto"/>
        <w:ind w:left="0"/>
      </w:pPr>
      <w:r w:rsidRPr="000665B0">
        <w:t xml:space="preserve">Each </w:t>
      </w:r>
      <w:r w:rsidR="00D732EE" w:rsidRPr="000665B0">
        <w:t>109E</w:t>
      </w:r>
      <w:r w:rsidRPr="000665B0">
        <w:t xml:space="preserve"> Comms Enabled missile is assigned with a Primary and Backup Missile Controller. These Missile Controllers are only used during Strike Execution by MDS to determine who has control over the missile via the SMD. The Primary Missile Controller is the one who has </w:t>
      </w:r>
      <w:r w:rsidRPr="000665B0">
        <w:lastRenderedPageBreak/>
        <w:t xml:space="preserve">permission to send IMMM to the missile on the SMD. </w:t>
      </w:r>
      <w:r w:rsidR="005A03CD" w:rsidRPr="000665B0">
        <w:t xml:space="preserve">The backup </w:t>
      </w:r>
      <w:r w:rsidRPr="000665B0">
        <w:t>Missile Controller can assume control of the missile through a “Swap Missile Controller” feature on the SMD.</w:t>
      </w:r>
    </w:p>
    <w:p w14:paraId="2EA86724" w14:textId="77777777" w:rsidR="00064BB4" w:rsidRPr="000665B0" w:rsidRDefault="00064BB4" w:rsidP="00474A1F">
      <w:pPr>
        <w:pStyle w:val="BodyTextIndent2"/>
        <w:tabs>
          <w:tab w:val="left" w:pos="720"/>
        </w:tabs>
        <w:spacing w:line="240" w:lineRule="auto"/>
        <w:ind w:left="0"/>
      </w:pPr>
      <w:r w:rsidRPr="000665B0">
        <w:t xml:space="preserve">To change a </w:t>
      </w:r>
      <w:r w:rsidRPr="000665B0">
        <w:rPr>
          <w:b/>
        </w:rPr>
        <w:t>Missile Controller</w:t>
      </w:r>
      <w:r w:rsidRPr="000665B0">
        <w:t xml:space="preserve"> for </w:t>
      </w:r>
      <w:r w:rsidR="00D732EE" w:rsidRPr="000665B0">
        <w:t>109E</w:t>
      </w:r>
      <w:r w:rsidRPr="000665B0">
        <w:t xml:space="preserve"> Comms Enabled missions:</w:t>
      </w:r>
    </w:p>
    <w:p w14:paraId="0D89A2F4" w14:textId="77777777" w:rsidR="00064BB4" w:rsidRPr="000665B0" w:rsidRDefault="00064BB4" w:rsidP="006D5A65">
      <w:pPr>
        <w:pStyle w:val="Heading1"/>
      </w:pPr>
      <w:r w:rsidRPr="000665B0">
        <w:t xml:space="preserve">Select and highlight the </w:t>
      </w:r>
      <w:r w:rsidR="00D732EE" w:rsidRPr="000665B0">
        <w:t>109E</w:t>
      </w:r>
      <w:r w:rsidRPr="000665B0">
        <w:t xml:space="preserve"> Comms Enabled mission.</w:t>
      </w:r>
    </w:p>
    <w:p w14:paraId="743D1A11" w14:textId="6B249E34" w:rsidR="00064BB4" w:rsidRPr="000665B0" w:rsidRDefault="00064BB4" w:rsidP="006D5A65">
      <w:pPr>
        <w:pStyle w:val="Heading1"/>
      </w:pPr>
      <w:r w:rsidRPr="000665B0">
        <w:t>Invoke the context menu (</w:t>
      </w:r>
      <w:r w:rsidR="00A55173" w:rsidRPr="000665B0">
        <w:t>right</w:t>
      </w:r>
      <w:r w:rsidR="007545DB" w:rsidRPr="000665B0">
        <w:t>-</w:t>
      </w:r>
      <w:r w:rsidR="00A55173" w:rsidRPr="000665B0">
        <w:t>click</w:t>
      </w:r>
      <w:r w:rsidRPr="000665B0">
        <w:t xml:space="preserve"> the mouse) and select Edit </w:t>
      </w:r>
      <w:r w:rsidR="00A05D58" w:rsidRPr="000665B0">
        <w:sym w:font="Wingdings" w:char="F0E0"/>
      </w:r>
      <w:r w:rsidRPr="000665B0">
        <w:t xml:space="preserve"> Missile Controllers. The </w:t>
      </w:r>
      <w:r w:rsidRPr="000665B0">
        <w:rPr>
          <w:i/>
          <w:iCs/>
        </w:rPr>
        <w:t>Assign Missile Controllers</w:t>
      </w:r>
      <w:r w:rsidRPr="000665B0">
        <w:t xml:space="preserve"> window </w:t>
      </w:r>
      <w:r w:rsidR="00DB5AEE" w:rsidRPr="000665B0">
        <w:t>is</w:t>
      </w:r>
      <w:r w:rsidRPr="000665B0">
        <w:t xml:space="preserve"> displayed.</w:t>
      </w:r>
      <w:r w:rsidR="00A45F58" w:rsidRPr="000665B0">
        <w:t xml:space="preserve"> Note the Edit </w:t>
      </w:r>
      <w:r w:rsidR="00A05D58" w:rsidRPr="000665B0">
        <w:sym w:font="Wingdings" w:char="F0E0"/>
      </w:r>
      <w:r w:rsidR="00A45F58" w:rsidRPr="000665B0">
        <w:t xml:space="preserve"> Missile Controllers context menu will only be enabled if the selected reservation(s) is </w:t>
      </w:r>
      <w:r w:rsidR="00D732EE" w:rsidRPr="000665B0">
        <w:t>109E</w:t>
      </w:r>
      <w:r w:rsidR="00A45F58" w:rsidRPr="000665B0">
        <w:t xml:space="preserve"> Comms Enabled and Comms Capable. If the selected reservation has an assigned Cell ID and the missile in the Cell ID has a SDLT failure in the missile inventory, then this menu will not be enabled.</w:t>
      </w:r>
      <w:r w:rsidR="005A03CD" w:rsidRPr="000665B0">
        <w:t xml:space="preserve"> The </w:t>
      </w:r>
      <w:r w:rsidR="005A03CD" w:rsidRPr="000665B0">
        <w:rPr>
          <w:i/>
        </w:rPr>
        <w:t>Assign Missile Controllers</w:t>
      </w:r>
      <w:r w:rsidR="005A03CD" w:rsidRPr="000665B0">
        <w:t xml:space="preserve"> window is displayed.</w:t>
      </w:r>
    </w:p>
    <w:p w14:paraId="671DFD8D" w14:textId="5BDECEF4" w:rsidR="00064BB4" w:rsidRPr="000665B0" w:rsidRDefault="0076086E" w:rsidP="00474A1F">
      <w:pPr>
        <w:tabs>
          <w:tab w:val="left" w:pos="720"/>
        </w:tabs>
        <w:jc w:val="center"/>
      </w:pPr>
      <w:r w:rsidRPr="000665B0">
        <w:rPr>
          <w:noProof/>
        </w:rPr>
        <w:drawing>
          <wp:inline distT="0" distB="0" distL="0" distR="0" wp14:anchorId="116E7C71" wp14:editId="59BF7AB1">
            <wp:extent cx="3154680" cy="1225296"/>
            <wp:effectExtent l="0" t="0" r="0" b="0"/>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225296"/>
                    </a:xfrm>
                    <a:prstGeom prst="rect">
                      <a:avLst/>
                    </a:prstGeom>
                  </pic:spPr>
                </pic:pic>
              </a:graphicData>
            </a:graphic>
          </wp:inline>
        </w:drawing>
      </w:r>
    </w:p>
    <w:p w14:paraId="04950256" w14:textId="280728CE" w:rsidR="00064BB4" w:rsidRPr="000665B0" w:rsidRDefault="00064BB4" w:rsidP="006D5A65">
      <w:pPr>
        <w:pStyle w:val="Heading1"/>
      </w:pPr>
      <w:r w:rsidRPr="000665B0">
        <w:t xml:space="preserve">Use the </w:t>
      </w:r>
      <w:r w:rsidRPr="000665B0">
        <w:sym w:font="Wingdings 3" w:char="F071"/>
      </w:r>
      <w:r w:rsidRPr="000665B0">
        <w:t xml:space="preserve"> button to select a new Primary/Backup Missile Controller. The assignments for missile control were set in the </w:t>
      </w:r>
      <w:r w:rsidRPr="000665B0">
        <w:rPr>
          <w:bCs/>
          <w:i/>
          <w:iCs/>
        </w:rPr>
        <w:t>Arsenal</w:t>
      </w:r>
      <w:r w:rsidRPr="000665B0">
        <w:t xml:space="preserve"> tab (</w:t>
      </w:r>
      <w:r w:rsidR="00AE5995" w:rsidRPr="000665B0">
        <w:t xml:space="preserve">see </w:t>
      </w:r>
      <w:hyperlink w:anchor="_5.37.6.1.5__Arsenal" w:history="1">
        <w:r w:rsidR="009326FE" w:rsidRPr="000665B0">
          <w:rPr>
            <w:rStyle w:val="Hyperlink"/>
          </w:rPr>
          <w:t xml:space="preserve">Section </w:t>
        </w:r>
        <w:r w:rsidR="004231CC">
          <w:rPr>
            <w:rStyle w:val="Hyperlink"/>
          </w:rPr>
          <w:t>5.34</w:t>
        </w:r>
        <w:r w:rsidRPr="000665B0">
          <w:rPr>
            <w:rStyle w:val="Hyperlink"/>
          </w:rPr>
          <w:t>.</w:t>
        </w:r>
        <w:r w:rsidR="0089269C" w:rsidRPr="000665B0">
          <w:rPr>
            <w:rStyle w:val="Hyperlink"/>
          </w:rPr>
          <w:t>7</w:t>
        </w:r>
        <w:r w:rsidRPr="000665B0">
          <w:rPr>
            <w:rStyle w:val="Hyperlink"/>
          </w:rPr>
          <w:t>.1.5</w:t>
        </w:r>
      </w:hyperlink>
      <w:r w:rsidRPr="000665B0">
        <w:t>). Click the OK button.</w:t>
      </w:r>
    </w:p>
    <w:p w14:paraId="6387573C" w14:textId="77777777" w:rsidR="000E6F6A" w:rsidRPr="000665B0" w:rsidRDefault="000E6F6A" w:rsidP="0058307F">
      <w:pPr>
        <w:keepNext/>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 xml:space="preserve">Note: </w:t>
      </w:r>
    </w:p>
    <w:p w14:paraId="5A2A8943" w14:textId="28018A99" w:rsidR="000E6F6A" w:rsidRPr="000665B0" w:rsidRDefault="000E6F6A" w:rsidP="00837B43">
      <w:pPr>
        <w:pBdr>
          <w:top w:val="single" w:sz="12" w:space="1" w:color="auto"/>
          <w:left w:val="single" w:sz="12" w:space="4" w:color="auto"/>
          <w:bottom w:val="single" w:sz="12" w:space="1" w:color="auto"/>
          <w:right w:val="single" w:sz="12" w:space="4" w:color="auto"/>
        </w:pBdr>
        <w:shd w:val="clear" w:color="auto" w:fill="D9D9D9"/>
        <w:tabs>
          <w:tab w:val="left" w:pos="720"/>
        </w:tabs>
        <w:jc w:val="center"/>
        <w:rPr>
          <w:b/>
        </w:rPr>
      </w:pPr>
      <w:r w:rsidRPr="000665B0">
        <w:rPr>
          <w:b/>
        </w:rPr>
        <w:t>For ACA assignments</w:t>
      </w:r>
      <w:r w:rsidR="00482380" w:rsidRPr="000665B0">
        <w:rPr>
          <w:b/>
        </w:rPr>
        <w:t>,</w:t>
      </w:r>
      <w:r w:rsidRPr="000665B0">
        <w:rPr>
          <w:b/>
        </w:rPr>
        <w:t xml:space="preserve"> the FRU </w:t>
      </w:r>
      <w:r w:rsidR="00482380" w:rsidRPr="000665B0">
        <w:rPr>
          <w:b/>
        </w:rPr>
        <w:t>is</w:t>
      </w:r>
      <w:r w:rsidRPr="000665B0">
        <w:rPr>
          <w:b/>
        </w:rPr>
        <w:t xml:space="preserve"> included in the selection list </w:t>
      </w:r>
      <w:r w:rsidR="00837B43" w:rsidRPr="000665B0">
        <w:rPr>
          <w:b/>
        </w:rPr>
        <w:t xml:space="preserve">only </w:t>
      </w:r>
      <w:r w:rsidRPr="000665B0">
        <w:rPr>
          <w:b/>
        </w:rPr>
        <w:t xml:space="preserve">if it is ACA </w:t>
      </w:r>
      <w:r w:rsidR="00482380" w:rsidRPr="000665B0">
        <w:rPr>
          <w:b/>
        </w:rPr>
        <w:t>c</w:t>
      </w:r>
      <w:r w:rsidRPr="000665B0">
        <w:rPr>
          <w:b/>
        </w:rPr>
        <w:t xml:space="preserve">apable (TTWCS v5.6 or </w:t>
      </w:r>
      <w:r w:rsidR="00482380" w:rsidRPr="000665B0">
        <w:rPr>
          <w:b/>
        </w:rPr>
        <w:t>above</w:t>
      </w:r>
      <w:r w:rsidRPr="000665B0">
        <w:rPr>
          <w:b/>
        </w:rPr>
        <w:t>). MDS nodes</w:t>
      </w:r>
      <w:r w:rsidR="00837B43" w:rsidRPr="000665B0">
        <w:rPr>
          <w:b/>
        </w:rPr>
        <w:t xml:space="preserve"> are included in the selection list only if they</w:t>
      </w:r>
      <w:r w:rsidRPr="000665B0">
        <w:rPr>
          <w:b/>
        </w:rPr>
        <w:t xml:space="preserve"> have a TED version</w:t>
      </w:r>
      <w:r w:rsidR="00837B43" w:rsidRPr="000665B0">
        <w:rPr>
          <w:b/>
        </w:rPr>
        <w:t xml:space="preserve"> of</w:t>
      </w:r>
      <w:r w:rsidRPr="000665B0">
        <w:rPr>
          <w:b/>
        </w:rPr>
        <w:t xml:space="preserve"> 6.0 </w:t>
      </w:r>
      <w:r w:rsidR="00D66027" w:rsidRPr="000665B0">
        <w:rPr>
          <w:b/>
        </w:rPr>
        <w:t>(</w:t>
      </w:r>
      <w:r w:rsidR="005619C1" w:rsidRPr="000665B0">
        <w:rPr>
          <w:b/>
        </w:rPr>
        <w:t xml:space="preserve">and </w:t>
      </w:r>
      <w:r w:rsidR="00482380" w:rsidRPr="000665B0">
        <w:rPr>
          <w:b/>
        </w:rPr>
        <w:t>above</w:t>
      </w:r>
      <w:r w:rsidR="00D66027" w:rsidRPr="000665B0">
        <w:rPr>
          <w:b/>
        </w:rPr>
        <w:t>)</w:t>
      </w:r>
      <w:r w:rsidRPr="000665B0">
        <w:rPr>
          <w:b/>
        </w:rPr>
        <w:t>.</w:t>
      </w:r>
    </w:p>
    <w:p w14:paraId="2CE0C1D5" w14:textId="77777777" w:rsidR="00064BB4" w:rsidRPr="000665B0" w:rsidRDefault="00064BB4" w:rsidP="00A0163E">
      <w:pPr>
        <w:pStyle w:val="BodyText"/>
        <w:tabs>
          <w:tab w:val="left" w:pos="720"/>
        </w:tabs>
        <w:spacing w:after="120"/>
        <w:rPr>
          <w:b/>
        </w:rPr>
      </w:pPr>
      <w:r w:rsidRPr="000665B0">
        <w:rPr>
          <w:b/>
        </w:rPr>
        <w:t xml:space="preserve">FRU Backup </w:t>
      </w:r>
      <w:r w:rsidR="001E3B29" w:rsidRPr="000665B0">
        <w:rPr>
          <w:b/>
        </w:rPr>
        <w:t>Assignments</w:t>
      </w:r>
    </w:p>
    <w:p w14:paraId="4578D0D6" w14:textId="77777777" w:rsidR="00064BB4" w:rsidRPr="000665B0" w:rsidRDefault="00064BB4" w:rsidP="00FA01EC">
      <w:pPr>
        <w:pStyle w:val="BodyText"/>
        <w:tabs>
          <w:tab w:val="left" w:pos="720"/>
        </w:tabs>
        <w:spacing w:after="120"/>
      </w:pPr>
      <w:r w:rsidRPr="000665B0">
        <w:t>The user can also modify FRU backup assignments.</w:t>
      </w:r>
    </w:p>
    <w:p w14:paraId="46F06E05" w14:textId="77777777" w:rsidR="00064BB4" w:rsidRPr="000665B0" w:rsidRDefault="00064BB4" w:rsidP="00A0163E">
      <w:pPr>
        <w:pStyle w:val="BodyText"/>
        <w:tabs>
          <w:tab w:val="left" w:pos="720"/>
        </w:tabs>
        <w:spacing w:after="120"/>
      </w:pPr>
      <w:r w:rsidRPr="000665B0">
        <w:t>To change FRU back up assignments:</w:t>
      </w:r>
    </w:p>
    <w:p w14:paraId="10B98C36" w14:textId="77777777" w:rsidR="00064BB4" w:rsidRPr="000665B0" w:rsidRDefault="00064BB4" w:rsidP="006D5A65">
      <w:pPr>
        <w:pStyle w:val="Heading1"/>
      </w:pPr>
      <w:r w:rsidRPr="000665B0">
        <w:t>Select a mission with a designated backup.</w:t>
      </w:r>
    </w:p>
    <w:p w14:paraId="3944B7A7" w14:textId="76D62494" w:rsidR="00064BB4" w:rsidRPr="000665B0" w:rsidRDefault="00064BB4" w:rsidP="006D5A65">
      <w:pPr>
        <w:pStyle w:val="Heading1"/>
      </w:pPr>
      <w:r w:rsidRPr="000665B0">
        <w:t>Invoke the context menu (</w:t>
      </w:r>
      <w:r w:rsidR="00A55173" w:rsidRPr="000665B0">
        <w:t>right</w:t>
      </w:r>
      <w:r w:rsidR="007545DB" w:rsidRPr="000665B0">
        <w:t>-</w:t>
      </w:r>
      <w:r w:rsidR="00A55173" w:rsidRPr="000665B0">
        <w:t>click</w:t>
      </w:r>
      <w:r w:rsidRPr="000665B0">
        <w:t xml:space="preserve"> the mouse) and select</w:t>
      </w:r>
      <w:r w:rsidRPr="000665B0">
        <w:rPr>
          <w:bCs/>
        </w:rPr>
        <w:t xml:space="preserve"> Edit </w:t>
      </w:r>
      <w:r w:rsidR="00A05D58" w:rsidRPr="000665B0">
        <w:sym w:font="Wingdings" w:char="F0E0"/>
      </w:r>
      <w:r w:rsidRPr="000665B0">
        <w:t xml:space="preserve"> </w:t>
      </w:r>
      <w:r w:rsidRPr="000665B0">
        <w:rPr>
          <w:bCs/>
        </w:rPr>
        <w:t>Primary MS</w:t>
      </w:r>
      <w:r w:rsidRPr="00B50122">
        <w:rPr>
          <w:bCs/>
        </w:rPr>
        <w:t>#.</w:t>
      </w:r>
      <w:r w:rsidRPr="000665B0">
        <w:t xml:space="preserve"> The </w:t>
      </w:r>
      <w:r w:rsidRPr="000665B0">
        <w:rPr>
          <w:i/>
        </w:rPr>
        <w:t>Missile Backup Edit</w:t>
      </w:r>
      <w:r w:rsidRPr="000665B0">
        <w:t xml:space="preserve"> window </w:t>
      </w:r>
      <w:r w:rsidR="00DB5AEE" w:rsidRPr="000665B0">
        <w:t>is</w:t>
      </w:r>
      <w:r w:rsidRPr="000665B0">
        <w:t xml:space="preserve"> displayed.</w:t>
      </w:r>
    </w:p>
    <w:p w14:paraId="1C4658D0" w14:textId="0DB641AF" w:rsidR="00064BB4" w:rsidRPr="000665B0" w:rsidRDefault="0076086E" w:rsidP="00474A1F">
      <w:pPr>
        <w:tabs>
          <w:tab w:val="left" w:pos="720"/>
        </w:tabs>
        <w:jc w:val="center"/>
      </w:pPr>
      <w:r w:rsidRPr="000665B0">
        <w:rPr>
          <w:noProof/>
        </w:rPr>
        <w:drawing>
          <wp:inline distT="0" distB="0" distL="0" distR="0" wp14:anchorId="6D912ECF" wp14:editId="38107EC9">
            <wp:extent cx="2981325" cy="1080190"/>
            <wp:effectExtent l="0" t="0" r="0" b="0"/>
            <wp:docPr id="1133"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994919" cy="1085115"/>
                    </a:xfrm>
                    <a:prstGeom prst="rect">
                      <a:avLst/>
                    </a:prstGeom>
                  </pic:spPr>
                </pic:pic>
              </a:graphicData>
            </a:graphic>
          </wp:inline>
        </w:drawing>
      </w:r>
    </w:p>
    <w:p w14:paraId="51C9E08E" w14:textId="77777777" w:rsidR="00064BB4" w:rsidRPr="000665B0" w:rsidRDefault="00064BB4" w:rsidP="006D5A65">
      <w:pPr>
        <w:pStyle w:val="Heading1"/>
      </w:pPr>
      <w:r w:rsidRPr="000665B0">
        <w:lastRenderedPageBreak/>
        <w:t xml:space="preserve">Use the </w:t>
      </w:r>
      <w:r w:rsidRPr="000665B0">
        <w:sym w:font="Wingdings 3" w:char="F071"/>
      </w:r>
      <w:r w:rsidRPr="000665B0">
        <w:t xml:space="preserve"> button to select a new </w:t>
      </w:r>
      <w:r w:rsidRPr="000665B0">
        <w:rPr>
          <w:bCs/>
        </w:rPr>
        <w:t>FRU to Backup</w:t>
      </w:r>
      <w:r w:rsidRPr="000665B0">
        <w:t xml:space="preserve">. </w:t>
      </w:r>
    </w:p>
    <w:p w14:paraId="48B87BE1" w14:textId="77777777" w:rsidR="00064BB4" w:rsidRPr="000665B0" w:rsidRDefault="00064BB4" w:rsidP="006D5A65">
      <w:pPr>
        <w:pStyle w:val="Heading1"/>
      </w:pPr>
      <w:r w:rsidRPr="000665B0">
        <w:t xml:space="preserve">Use the </w:t>
      </w:r>
      <w:r w:rsidRPr="000665B0">
        <w:sym w:font="Wingdings 3" w:char="F071"/>
      </w:r>
      <w:r w:rsidRPr="000665B0">
        <w:t xml:space="preserve"> button to select the </w:t>
      </w:r>
      <w:r w:rsidRPr="000665B0">
        <w:rPr>
          <w:bCs/>
        </w:rPr>
        <w:t>MS# to Backup</w:t>
      </w:r>
      <w:r w:rsidRPr="000665B0">
        <w:t xml:space="preserve"> and click the OK button.</w:t>
      </w:r>
    </w:p>
    <w:p w14:paraId="68754DD6" w14:textId="77777777" w:rsidR="00064BB4" w:rsidRPr="000665B0" w:rsidRDefault="00064BB4" w:rsidP="00EE0310">
      <w:pPr>
        <w:pStyle w:val="BodyText"/>
        <w:keepNext/>
        <w:tabs>
          <w:tab w:val="left" w:pos="720"/>
        </w:tabs>
        <w:spacing w:after="120"/>
        <w:rPr>
          <w:b/>
        </w:rPr>
      </w:pPr>
      <w:r w:rsidRPr="000665B0">
        <w:rPr>
          <w:b/>
        </w:rPr>
        <w:t>Shift Strike Times</w:t>
      </w:r>
    </w:p>
    <w:p w14:paraId="7738088B" w14:textId="77777777" w:rsidR="00064BB4" w:rsidRPr="000665B0" w:rsidRDefault="00064BB4" w:rsidP="00474A1F">
      <w:pPr>
        <w:pStyle w:val="BodyText"/>
        <w:tabs>
          <w:tab w:val="left" w:pos="720"/>
        </w:tabs>
        <w:spacing w:after="120"/>
      </w:pPr>
      <w:r w:rsidRPr="000665B0">
        <w:t xml:space="preserve">The Shift Strike Times feature in the </w:t>
      </w:r>
      <w:r w:rsidRPr="000665B0">
        <w:rPr>
          <w:b/>
          <w:i/>
        </w:rPr>
        <w:t>Missile</w:t>
      </w:r>
      <w:r w:rsidRPr="000665B0">
        <w:t xml:space="preserve"> Tab allows the operator to shift time for the Selected Assignments that are not locked. Use</w:t>
      </w:r>
      <w:r w:rsidR="00346A98" w:rsidRPr="000665B0">
        <w:t xml:space="preserve"> of</w:t>
      </w:r>
      <w:r w:rsidRPr="000665B0">
        <w:t xml:space="preserve"> the “Shift Strike Times” in the Strike Option’s main Edit menu applies to the entire Strike while the one in the </w:t>
      </w:r>
      <w:r w:rsidRPr="000665B0">
        <w:rPr>
          <w:b/>
          <w:i/>
        </w:rPr>
        <w:t>Missile</w:t>
      </w:r>
      <w:r w:rsidRPr="000665B0">
        <w:t xml:space="preserve"> Tab’s context menu applies ONLY to the Selected Assignments. </w:t>
      </w:r>
    </w:p>
    <w:p w14:paraId="3BACBBBA" w14:textId="77777777" w:rsidR="00064BB4" w:rsidRPr="000665B0" w:rsidRDefault="00064BB4" w:rsidP="00474A1F">
      <w:pPr>
        <w:pStyle w:val="bullet11"/>
        <w:tabs>
          <w:tab w:val="left" w:pos="720"/>
        </w:tabs>
        <w:spacing w:before="0" w:beforeAutospacing="0" w:after="120" w:afterAutospacing="0"/>
      </w:pPr>
      <w:r w:rsidRPr="000665B0">
        <w:t>To Shift Strike Times for selected assignments:</w:t>
      </w:r>
    </w:p>
    <w:p w14:paraId="6CAA9287" w14:textId="77777777" w:rsidR="00064BB4" w:rsidRPr="000665B0" w:rsidRDefault="00064BB4" w:rsidP="006D5A65">
      <w:pPr>
        <w:pStyle w:val="Heading1"/>
      </w:pPr>
      <w:r w:rsidRPr="000665B0">
        <w:t>Select the unlocked missile assignment(s).</w:t>
      </w:r>
    </w:p>
    <w:p w14:paraId="66C43B94" w14:textId="10462CFE" w:rsidR="00064BB4" w:rsidRPr="000665B0" w:rsidRDefault="00064BB4" w:rsidP="006D5A65">
      <w:pPr>
        <w:pStyle w:val="Heading1"/>
      </w:pPr>
      <w:r w:rsidRPr="000665B0">
        <w:t>Invoke the context menu (</w:t>
      </w:r>
      <w:r w:rsidR="00A55173" w:rsidRPr="000665B0">
        <w:t>right</w:t>
      </w:r>
      <w:r w:rsidR="007545DB" w:rsidRPr="000665B0">
        <w:t>-</w:t>
      </w:r>
      <w:r w:rsidR="00A55173" w:rsidRPr="000665B0">
        <w:t>click</w:t>
      </w:r>
      <w:r w:rsidRPr="000665B0">
        <w:t xml:space="preserve"> the mouse) and select</w:t>
      </w:r>
      <w:r w:rsidRPr="000665B0">
        <w:rPr>
          <w:bCs/>
        </w:rPr>
        <w:t xml:space="preserve"> Edit </w:t>
      </w:r>
      <w:r w:rsidR="00A05D58" w:rsidRPr="000665B0">
        <w:sym w:font="Wingdings" w:char="F0E0"/>
      </w:r>
      <w:r w:rsidRPr="000665B0">
        <w:t xml:space="preserve"> </w:t>
      </w:r>
      <w:r w:rsidRPr="000665B0">
        <w:rPr>
          <w:bCs/>
        </w:rPr>
        <w:t>Shift Strike Times</w:t>
      </w:r>
      <w:r w:rsidRPr="000665B0">
        <w:t xml:space="preserve">. The </w:t>
      </w:r>
      <w:r w:rsidRPr="000665B0">
        <w:rPr>
          <w:i/>
        </w:rPr>
        <w:t>Shift Strike Times</w:t>
      </w:r>
      <w:r w:rsidRPr="000665B0">
        <w:t xml:space="preserve"> window </w:t>
      </w:r>
      <w:r w:rsidR="00DB5AEE" w:rsidRPr="000665B0">
        <w:t>is</w:t>
      </w:r>
      <w:r w:rsidRPr="000665B0">
        <w:t xml:space="preserve"> displayed.</w:t>
      </w:r>
    </w:p>
    <w:p w14:paraId="112E8465" w14:textId="0411EEF3" w:rsidR="00064BB4" w:rsidRPr="000665B0" w:rsidRDefault="00A45F58" w:rsidP="006D5A65">
      <w:pPr>
        <w:pStyle w:val="Heading1"/>
      </w:pPr>
      <w:r w:rsidRPr="000665B0">
        <w:t xml:space="preserve">For more information see </w:t>
      </w:r>
      <w:hyperlink w:anchor="_Shift_Strike_Times_1" w:history="1">
        <w:r w:rsidR="009326FE" w:rsidRPr="000665B0">
          <w:rPr>
            <w:rStyle w:val="Hyperlink"/>
          </w:rPr>
          <w:t xml:space="preserve">Section </w:t>
        </w:r>
        <w:r w:rsidR="004231CC">
          <w:rPr>
            <w:rStyle w:val="Hyperlink"/>
          </w:rPr>
          <w:t>5.34</w:t>
        </w:r>
        <w:r w:rsidR="000B6B74" w:rsidRPr="000665B0">
          <w:rPr>
            <w:rStyle w:val="Hyperlink"/>
          </w:rPr>
          <w:t>.</w:t>
        </w:r>
        <w:r w:rsidR="0089269C" w:rsidRPr="000665B0">
          <w:rPr>
            <w:rStyle w:val="Hyperlink"/>
          </w:rPr>
          <w:t>7</w:t>
        </w:r>
        <w:r w:rsidR="000B6B74" w:rsidRPr="000665B0">
          <w:rPr>
            <w:rStyle w:val="Hyperlink"/>
          </w:rPr>
          <w:t>.1.19</w:t>
        </w:r>
      </w:hyperlink>
      <w:r w:rsidRPr="000665B0">
        <w:t>.</w:t>
      </w:r>
    </w:p>
    <w:p w14:paraId="4099D22F" w14:textId="77777777" w:rsidR="00064BB4" w:rsidRPr="000665B0" w:rsidRDefault="00064BB4" w:rsidP="00474A1F">
      <w:pPr>
        <w:pStyle w:val="BodyText"/>
        <w:tabs>
          <w:tab w:val="left" w:pos="720"/>
        </w:tabs>
        <w:spacing w:after="120"/>
        <w:rPr>
          <w:b/>
        </w:rPr>
      </w:pPr>
      <w:r w:rsidRPr="000665B0">
        <w:rPr>
          <w:b/>
        </w:rPr>
        <w:t>Missile Timing</w:t>
      </w:r>
    </w:p>
    <w:p w14:paraId="68213774" w14:textId="77777777" w:rsidR="00064BB4" w:rsidRPr="000665B0" w:rsidRDefault="00064BB4" w:rsidP="00474A1F">
      <w:pPr>
        <w:pStyle w:val="BodyText"/>
        <w:tabs>
          <w:tab w:val="left" w:pos="720"/>
        </w:tabs>
        <w:spacing w:after="120"/>
      </w:pPr>
      <w:r w:rsidRPr="000665B0">
        <w:t>To modify or enter time changes for specific missions:</w:t>
      </w:r>
    </w:p>
    <w:p w14:paraId="5D5949EF" w14:textId="77777777" w:rsidR="00064BB4" w:rsidRPr="000665B0" w:rsidRDefault="00064BB4" w:rsidP="006D5A65">
      <w:pPr>
        <w:pStyle w:val="Heading1"/>
      </w:pPr>
      <w:r w:rsidRPr="000665B0">
        <w:t xml:space="preserve">In the </w:t>
      </w:r>
      <w:r w:rsidRPr="000665B0">
        <w:rPr>
          <w:bCs/>
          <w:i/>
          <w:iCs/>
        </w:rPr>
        <w:t>Missiles</w:t>
      </w:r>
      <w:r w:rsidRPr="000665B0">
        <w:t xml:space="preserve"> tab, select a </w:t>
      </w:r>
      <w:r w:rsidR="001C52C3" w:rsidRPr="000665B0">
        <w:t>missile</w:t>
      </w:r>
      <w:r w:rsidRPr="000665B0">
        <w:t>.</w:t>
      </w:r>
    </w:p>
    <w:p w14:paraId="45764C23" w14:textId="6F38BD0D" w:rsidR="00064BB4" w:rsidRPr="000665B0" w:rsidRDefault="00064BB4" w:rsidP="006D5A65">
      <w:pPr>
        <w:pStyle w:val="Heading1"/>
      </w:pPr>
      <w:r w:rsidRPr="000665B0">
        <w:t>Invoke the context menu (</w:t>
      </w:r>
      <w:r w:rsidR="00A55173" w:rsidRPr="000665B0">
        <w:t>right</w:t>
      </w:r>
      <w:r w:rsidR="007545DB" w:rsidRPr="000665B0">
        <w:t>-</w:t>
      </w:r>
      <w:r w:rsidR="00A55173" w:rsidRPr="000665B0">
        <w:t>click</w:t>
      </w:r>
      <w:r w:rsidRPr="000665B0">
        <w:t xml:space="preserve"> the mouse) and select</w:t>
      </w:r>
      <w:r w:rsidRPr="000665B0">
        <w:rPr>
          <w:bCs/>
        </w:rPr>
        <w:t xml:space="preserve"> Edit </w:t>
      </w:r>
      <w:r w:rsidR="00A05D58" w:rsidRPr="000665B0">
        <w:sym w:font="Wingdings" w:char="F0E0"/>
      </w:r>
      <w:r w:rsidRPr="000665B0">
        <w:t xml:space="preserve"> </w:t>
      </w:r>
      <w:r w:rsidRPr="000665B0">
        <w:rPr>
          <w:bCs/>
        </w:rPr>
        <w:t>Time</w:t>
      </w:r>
      <w:r w:rsidRPr="000665B0">
        <w:t xml:space="preserve">. The </w:t>
      </w:r>
      <w:r w:rsidRPr="000665B0">
        <w:rPr>
          <w:i/>
          <w:iCs/>
        </w:rPr>
        <w:t>Missile</w:t>
      </w:r>
      <w:r w:rsidR="00AC72C3" w:rsidRPr="000665B0">
        <w:rPr>
          <w:i/>
          <w:iCs/>
        </w:rPr>
        <w:t>’s</w:t>
      </w:r>
      <w:r w:rsidRPr="000665B0">
        <w:rPr>
          <w:i/>
          <w:iCs/>
        </w:rPr>
        <w:t xml:space="preserve"> Time </w:t>
      </w:r>
      <w:r w:rsidRPr="000665B0">
        <w:t xml:space="preserve">window </w:t>
      </w:r>
      <w:r w:rsidR="00DB5AEE" w:rsidRPr="000665B0">
        <w:t>is</w:t>
      </w:r>
      <w:r w:rsidRPr="000665B0">
        <w:t xml:space="preserve"> displayed.</w:t>
      </w:r>
    </w:p>
    <w:p w14:paraId="6653AD49" w14:textId="4AADCF00" w:rsidR="00064BB4" w:rsidRPr="000665B0" w:rsidRDefault="00EB41F3" w:rsidP="00474A1F">
      <w:pPr>
        <w:tabs>
          <w:tab w:val="left" w:pos="720"/>
        </w:tabs>
        <w:jc w:val="center"/>
      </w:pPr>
      <w:r w:rsidRPr="000665B0">
        <w:rPr>
          <w:noProof/>
        </w:rPr>
        <w:drawing>
          <wp:inline distT="0" distB="0" distL="0" distR="0" wp14:anchorId="4212B2D1" wp14:editId="51C34241">
            <wp:extent cx="2724785" cy="1295260"/>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67520" cy="1315575"/>
                    </a:xfrm>
                    <a:prstGeom prst="rect">
                      <a:avLst/>
                    </a:prstGeom>
                  </pic:spPr>
                </pic:pic>
              </a:graphicData>
            </a:graphic>
          </wp:inline>
        </w:drawing>
      </w:r>
    </w:p>
    <w:p w14:paraId="332BA9CE" w14:textId="77777777" w:rsidR="00064BB4" w:rsidRPr="000665B0" w:rsidRDefault="00064BB4" w:rsidP="006D5A65">
      <w:pPr>
        <w:pStyle w:val="Heading1"/>
      </w:pPr>
      <w:r w:rsidRPr="000665B0">
        <w:t xml:space="preserve">Use the </w:t>
      </w:r>
      <w:r w:rsidRPr="000665B0">
        <w:sym w:font="Wingdings 3" w:char="F071"/>
      </w:r>
      <w:r w:rsidRPr="000665B0">
        <w:t xml:space="preserve"> button to select </w:t>
      </w:r>
      <w:r w:rsidRPr="000665B0">
        <w:rPr>
          <w:bCs/>
        </w:rPr>
        <w:t xml:space="preserve">FWP </w:t>
      </w:r>
      <w:r w:rsidRPr="000665B0">
        <w:t>or Time of Launch (</w:t>
      </w:r>
      <w:r w:rsidRPr="000665B0">
        <w:rPr>
          <w:bCs/>
        </w:rPr>
        <w:t xml:space="preserve">TOL) </w:t>
      </w:r>
      <w:r w:rsidRPr="000665B0">
        <w:t xml:space="preserve">from the </w:t>
      </w:r>
      <w:r w:rsidRPr="000665B0">
        <w:rPr>
          <w:bCs/>
        </w:rPr>
        <w:t>Type</w:t>
      </w:r>
      <w:r w:rsidRPr="000665B0">
        <w:t xml:space="preserve"> menu. </w:t>
      </w:r>
    </w:p>
    <w:p w14:paraId="2D1E06F9" w14:textId="77777777" w:rsidR="00064BB4" w:rsidRPr="000665B0" w:rsidRDefault="00064BB4" w:rsidP="006D5A65">
      <w:pPr>
        <w:pStyle w:val="Heading1"/>
      </w:pPr>
      <w:r w:rsidRPr="000665B0">
        <w:t xml:space="preserve">Use the </w:t>
      </w:r>
      <w:r w:rsidRPr="000665B0">
        <w:sym w:font="Wingdings 3" w:char="F071"/>
      </w:r>
      <w:r w:rsidRPr="000665B0">
        <w:t xml:space="preserve"> button to modify the </w:t>
      </w:r>
      <w:r w:rsidRPr="000665B0">
        <w:rPr>
          <w:bCs/>
        </w:rPr>
        <w:t>Assigned Time</w:t>
      </w:r>
      <w:r w:rsidRPr="000665B0">
        <w:t xml:space="preserve"> or directly </w:t>
      </w:r>
      <w:r w:rsidR="005A03CD" w:rsidRPr="000665B0">
        <w:t xml:space="preserve">type </w:t>
      </w:r>
      <w:r w:rsidRPr="000665B0">
        <w:t>it in the field.</w:t>
      </w:r>
    </w:p>
    <w:p w14:paraId="73FE4EB4" w14:textId="77777777" w:rsidR="00064BB4" w:rsidRPr="000665B0" w:rsidRDefault="00064BB4" w:rsidP="006D5A65">
      <w:pPr>
        <w:pStyle w:val="Heading1"/>
      </w:pPr>
      <w:r w:rsidRPr="000665B0">
        <w:rPr>
          <w:bCs/>
        </w:rPr>
        <w:t xml:space="preserve">Delta </w:t>
      </w:r>
      <w:r w:rsidRPr="000665B0">
        <w:t>is for changes in hours, minutes, and seconds. Changes are entered directly in the field. Assigned time will automatically re-calculate estimated launch time.</w:t>
      </w:r>
    </w:p>
    <w:p w14:paraId="7E1E3DD5" w14:textId="77777777" w:rsidR="00064BB4" w:rsidRPr="000665B0" w:rsidRDefault="00064BB4" w:rsidP="006D5A65">
      <w:pPr>
        <w:pStyle w:val="Heading1"/>
      </w:pPr>
      <w:r w:rsidRPr="000665B0">
        <w:t>To freeze time changes</w:t>
      </w:r>
      <w:r w:rsidR="00AC72C3" w:rsidRPr="000665B0">
        <w:t>,</w:t>
      </w:r>
      <w:r w:rsidRPr="000665B0">
        <w:rPr>
          <w:bCs/>
        </w:rPr>
        <w:t xml:space="preserve"> </w:t>
      </w:r>
      <w:r w:rsidR="00AC72C3" w:rsidRPr="000665B0">
        <w:rPr>
          <w:bCs/>
        </w:rPr>
        <w:t>select</w:t>
      </w:r>
      <w:r w:rsidRPr="000665B0">
        <w:rPr>
          <w:bCs/>
        </w:rPr>
        <w:t xml:space="preserve"> the Locked</w:t>
      </w:r>
      <w:r w:rsidRPr="000665B0">
        <w:t xml:space="preserve"> box.</w:t>
      </w:r>
    </w:p>
    <w:p w14:paraId="69370AB0" w14:textId="77777777" w:rsidR="00EB5C7D" w:rsidRDefault="00064BB4" w:rsidP="006D5A65">
      <w:pPr>
        <w:pStyle w:val="Heading1"/>
      </w:pPr>
      <w:r w:rsidRPr="000665B0">
        <w:t xml:space="preserve">Click the </w:t>
      </w:r>
      <w:r w:rsidRPr="000665B0">
        <w:rPr>
          <w:bCs/>
        </w:rPr>
        <w:t>OK</w:t>
      </w:r>
      <w:r w:rsidRPr="000665B0">
        <w:t xml:space="preserve"> button.</w:t>
      </w:r>
    </w:p>
    <w:p w14:paraId="1E26BEA4" w14:textId="77777777" w:rsidR="00A50ECF" w:rsidRPr="00A50ECF" w:rsidRDefault="00A50ECF" w:rsidP="00A50ECF">
      <w:pPr>
        <w:pStyle w:val="Number0205"/>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after="0"/>
        <w:ind w:left="360"/>
        <w:jc w:val="center"/>
        <w:rPr>
          <w:b/>
          <w:bCs/>
        </w:rPr>
      </w:pPr>
      <w:r w:rsidRPr="00A50ECF">
        <w:rPr>
          <w:b/>
          <w:bCs/>
        </w:rPr>
        <w:t>Note:</w:t>
      </w:r>
    </w:p>
    <w:p w14:paraId="6016331F" w14:textId="60079688" w:rsidR="00A50ECF" w:rsidRDefault="00A50ECF" w:rsidP="00A50ECF">
      <w:pPr>
        <w:pStyle w:val="Number0205"/>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after="0"/>
        <w:ind w:left="360"/>
        <w:jc w:val="center"/>
        <w:rPr>
          <w:b/>
          <w:bCs/>
        </w:rPr>
      </w:pPr>
      <w:r w:rsidRPr="00A50ECF">
        <w:rPr>
          <w:b/>
          <w:bCs/>
        </w:rPr>
        <w:t>Timing for Spares and Dedicated Backups are set by the Primary assignment and when the primary assignment changes, these times are also changed. Thus, timing is not editable for Spares and Dedicated Backups.</w:t>
      </w:r>
    </w:p>
    <w:p w14:paraId="1E72AC3D" w14:textId="77777777" w:rsidR="00FA01EC" w:rsidRPr="00A50ECF" w:rsidRDefault="00FA01EC" w:rsidP="00A50ECF">
      <w:pPr>
        <w:pStyle w:val="Number0205"/>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after="0"/>
        <w:ind w:left="360"/>
        <w:jc w:val="center"/>
        <w:rPr>
          <w:b/>
          <w:bCs/>
        </w:rPr>
      </w:pPr>
    </w:p>
    <w:p w14:paraId="4EB406C6" w14:textId="77777777" w:rsidR="00A50ECF" w:rsidRPr="00A50ECF" w:rsidRDefault="00A50ECF" w:rsidP="00A50ECF">
      <w:pPr>
        <w:pStyle w:val="Number0205"/>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after="0"/>
        <w:ind w:left="360"/>
        <w:jc w:val="center"/>
        <w:rPr>
          <w:b/>
          <w:bCs/>
        </w:rPr>
      </w:pPr>
      <w:r w:rsidRPr="00A50ECF">
        <w:rPr>
          <w:b/>
          <w:bCs/>
        </w:rPr>
        <w:t>A Dedicated Backup’s timing type can be changed by doing the following:</w:t>
      </w:r>
    </w:p>
    <w:p w14:paraId="6B74C3F3" w14:textId="77777777" w:rsidR="00A50ECF" w:rsidRPr="00A50ECF" w:rsidRDefault="00A50ECF" w:rsidP="00A0163E">
      <w:pPr>
        <w:pStyle w:val="Number0205"/>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after="0"/>
        <w:ind w:left="360"/>
        <w:rPr>
          <w:b/>
          <w:bCs/>
        </w:rPr>
      </w:pPr>
      <w:r w:rsidRPr="00A50ECF">
        <w:rPr>
          <w:b/>
          <w:bCs/>
        </w:rPr>
        <w:lastRenderedPageBreak/>
        <w:t>1. Change the backup’s primary MS# to blank (this breaks the link),</w:t>
      </w:r>
    </w:p>
    <w:p w14:paraId="6DB2638D" w14:textId="77777777" w:rsidR="00A50ECF" w:rsidRPr="00A50ECF" w:rsidRDefault="00A50ECF" w:rsidP="00A0163E">
      <w:pPr>
        <w:pStyle w:val="Number0205"/>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after="0"/>
        <w:ind w:left="360"/>
        <w:rPr>
          <w:b/>
          <w:bCs/>
        </w:rPr>
      </w:pPr>
      <w:r w:rsidRPr="00A50ECF">
        <w:rPr>
          <w:b/>
          <w:bCs/>
        </w:rPr>
        <w:t>2. Change the backup’s timing type (its timing is now editable),</w:t>
      </w:r>
    </w:p>
    <w:p w14:paraId="0FB7AB7F" w14:textId="64F031C6" w:rsidR="00A50ECF" w:rsidRDefault="00A50ECF" w:rsidP="00A0163E">
      <w:pPr>
        <w:pStyle w:val="Number0205"/>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after="0"/>
        <w:ind w:left="270" w:hanging="270"/>
        <w:rPr>
          <w:b/>
          <w:bCs/>
        </w:rPr>
      </w:pPr>
      <w:r w:rsidRPr="00A50ECF">
        <w:rPr>
          <w:b/>
          <w:bCs/>
        </w:rPr>
        <w:t>3. Change the backup’s primary MS# back to the original primary MS# (if the backup’s TGT time had been changed, it will be reset to match the primaries).</w:t>
      </w:r>
    </w:p>
    <w:p w14:paraId="5C3FAA83" w14:textId="77777777" w:rsidR="00A50ECF" w:rsidRDefault="00A50ECF" w:rsidP="00CE2C1C">
      <w:pPr>
        <w:pStyle w:val="BodyTextIndent2"/>
        <w:tabs>
          <w:tab w:val="left" w:pos="720"/>
        </w:tabs>
        <w:spacing w:after="0" w:line="240" w:lineRule="auto"/>
        <w:ind w:left="0"/>
        <w:rPr>
          <w:b/>
        </w:rPr>
      </w:pPr>
    </w:p>
    <w:p w14:paraId="49F19188" w14:textId="77777777" w:rsidR="00A50ECF" w:rsidRPr="00A50ECF" w:rsidRDefault="00A50ECF" w:rsidP="00A50ECF">
      <w:pPr>
        <w:pStyle w:val="BodyTextIndent2"/>
        <w:keepNext/>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after="0" w:line="240" w:lineRule="auto"/>
        <w:ind w:left="0"/>
        <w:jc w:val="center"/>
        <w:rPr>
          <w:b/>
        </w:rPr>
      </w:pPr>
      <w:r w:rsidRPr="00A50ECF">
        <w:rPr>
          <w:b/>
        </w:rPr>
        <w:t>Note:</w:t>
      </w:r>
    </w:p>
    <w:p w14:paraId="6E101B41" w14:textId="15DEFF64" w:rsidR="00A50ECF" w:rsidRDefault="00A50ECF" w:rsidP="00A50ECF">
      <w:pPr>
        <w:pStyle w:val="BodyTextIndent2"/>
        <w:keepNext/>
        <w:pBdr>
          <w:top w:val="single" w:sz="12" w:space="1" w:color="auto"/>
          <w:left w:val="single" w:sz="12" w:space="4" w:color="auto"/>
          <w:bottom w:val="single" w:sz="12" w:space="1" w:color="auto"/>
          <w:right w:val="single" w:sz="12" w:space="4" w:color="auto"/>
        </w:pBdr>
        <w:shd w:val="clear" w:color="auto" w:fill="D9D9D9" w:themeFill="background1" w:themeFillShade="D9"/>
        <w:tabs>
          <w:tab w:val="left" w:pos="720"/>
        </w:tabs>
        <w:spacing w:line="240" w:lineRule="auto"/>
        <w:ind w:left="0"/>
        <w:jc w:val="center"/>
        <w:rPr>
          <w:b/>
        </w:rPr>
      </w:pPr>
      <w:r w:rsidRPr="00A50ECF">
        <w:rPr>
          <w:b/>
        </w:rPr>
        <w:t xml:space="preserve">When tasking TTWCS with a BLK III missile, the estimated TOL must take the BLK III spin-up time into consideration. Once TTWCS accepts the tasking, the </w:t>
      </w:r>
      <w:r w:rsidR="002F4201">
        <w:rPr>
          <w:b/>
        </w:rPr>
        <w:t>TSC</w:t>
      </w:r>
      <w:r w:rsidR="002F4201" w:rsidRPr="00A50ECF">
        <w:rPr>
          <w:b/>
        </w:rPr>
        <w:t xml:space="preserve"> </w:t>
      </w:r>
      <w:r w:rsidRPr="00A50ECF">
        <w:rPr>
          <w:b/>
        </w:rPr>
        <w:t>could shift strike time earlier as required and send a revision out to the TTWCS FRU.</w:t>
      </w:r>
    </w:p>
    <w:p w14:paraId="7A06B638" w14:textId="7CAEE2CC" w:rsidR="00064BB4" w:rsidRPr="000665B0" w:rsidRDefault="00064BB4" w:rsidP="00A0163E">
      <w:pPr>
        <w:pStyle w:val="BodyTextIndent2"/>
        <w:tabs>
          <w:tab w:val="left" w:pos="720"/>
        </w:tabs>
        <w:spacing w:line="240" w:lineRule="auto"/>
        <w:ind w:left="0"/>
        <w:rPr>
          <w:b/>
        </w:rPr>
      </w:pPr>
      <w:r w:rsidRPr="000665B0">
        <w:rPr>
          <w:b/>
        </w:rPr>
        <w:t>TTWCS IMMM</w:t>
      </w:r>
    </w:p>
    <w:p w14:paraId="6E897CB3" w14:textId="77777777" w:rsidR="00064BB4" w:rsidRPr="000665B0" w:rsidRDefault="00064BB4" w:rsidP="00474A1F">
      <w:pPr>
        <w:pStyle w:val="BodyTextIndent2"/>
        <w:tabs>
          <w:tab w:val="left" w:pos="720"/>
        </w:tabs>
        <w:spacing w:line="240" w:lineRule="auto"/>
        <w:ind w:left="0"/>
      </w:pPr>
      <w:r w:rsidRPr="000665B0">
        <w:t>The TTWCS IMMM field is only used to indicate to TTWCS whether the TTWCS FRU is allowed to send IMMM to their missiles. This value is encoded into the FASO when the Strike is sent to TTWCS as an ESP.</w:t>
      </w:r>
    </w:p>
    <w:p w14:paraId="2B81D0B2" w14:textId="3E656AF2" w:rsidR="00064BB4" w:rsidRPr="000665B0" w:rsidRDefault="00064BB4" w:rsidP="00474A1F">
      <w:pPr>
        <w:pStyle w:val="BodyTextIndent2"/>
        <w:tabs>
          <w:tab w:val="left" w:pos="720"/>
        </w:tabs>
        <w:spacing w:line="240" w:lineRule="auto"/>
        <w:ind w:left="0"/>
      </w:pPr>
      <w:r w:rsidRPr="000665B0">
        <w:t xml:space="preserve">By </w:t>
      </w:r>
      <w:r w:rsidR="00D1480F" w:rsidRPr="000665B0">
        <w:t>default,</w:t>
      </w:r>
      <w:r w:rsidRPr="000665B0">
        <w:t xml:space="preserve"> TTWCS IMMM is set to </w:t>
      </w:r>
      <w:r w:rsidRPr="000665B0">
        <w:rPr>
          <w:b/>
        </w:rPr>
        <w:t>Allowed</w:t>
      </w:r>
      <w:r w:rsidRPr="000665B0">
        <w:t xml:space="preserve"> for </w:t>
      </w:r>
      <w:r w:rsidR="004C34C6" w:rsidRPr="000665B0">
        <w:t>109E</w:t>
      </w:r>
      <w:r w:rsidRPr="000665B0">
        <w:t xml:space="preserve"> Comms Enabled missile that is assigned to a TTWCS FRU with the FRU having a role of Missile Controller (MC).</w:t>
      </w:r>
      <w:r w:rsidR="00A16F60">
        <w:t xml:space="preserve"> By TTP, a Ground Launch FRU is not assigned as having a role of MC</w:t>
      </w:r>
      <w:r w:rsidR="005E5264">
        <w:t>.</w:t>
      </w:r>
    </w:p>
    <w:p w14:paraId="53DA1D66" w14:textId="53C49A0F" w:rsidR="007215A6" w:rsidRPr="000665B0" w:rsidRDefault="00A524C6" w:rsidP="00474A1F">
      <w:pPr>
        <w:pStyle w:val="BodyTextIndent2"/>
        <w:tabs>
          <w:tab w:val="left" w:pos="720"/>
        </w:tabs>
        <w:spacing w:line="240" w:lineRule="auto"/>
        <w:ind w:left="0"/>
      </w:pPr>
      <w:r w:rsidRPr="000665B0">
        <w:t xml:space="preserve">By </w:t>
      </w:r>
      <w:r w:rsidR="00D1480F" w:rsidRPr="000665B0">
        <w:t>default,</w:t>
      </w:r>
      <w:r w:rsidRPr="000665B0">
        <w:t xml:space="preserve"> TTWCS IMMM is set to </w:t>
      </w:r>
      <w:r w:rsidRPr="000665B0">
        <w:rPr>
          <w:b/>
        </w:rPr>
        <w:t>Not Allowed</w:t>
      </w:r>
      <w:r w:rsidRPr="000665B0">
        <w:t xml:space="preserve"> for Ghost missions. Once assigned to a FRU, the setting can be changed to </w:t>
      </w:r>
      <w:r w:rsidRPr="000665B0">
        <w:rPr>
          <w:b/>
        </w:rPr>
        <w:t xml:space="preserve">Allowed </w:t>
      </w:r>
      <w:r w:rsidRPr="000665B0">
        <w:t>provided that the missile is a 109E Comms Enabled missile, TSN Comms is enabled, and the FRU has the role of Missile Controller (MC).</w:t>
      </w:r>
    </w:p>
    <w:p w14:paraId="2E300545" w14:textId="77777777" w:rsidR="00064BB4" w:rsidRPr="000665B0" w:rsidRDefault="00064BB4" w:rsidP="00474A1F">
      <w:pPr>
        <w:pStyle w:val="BodyTextIndent2"/>
        <w:tabs>
          <w:tab w:val="left" w:pos="720"/>
        </w:tabs>
        <w:spacing w:line="240" w:lineRule="auto"/>
        <w:ind w:left="0"/>
      </w:pPr>
      <w:r w:rsidRPr="000665B0">
        <w:t>To modify the TTWCS IMMM setting:</w:t>
      </w:r>
    </w:p>
    <w:p w14:paraId="03470249" w14:textId="77777777" w:rsidR="00064BB4" w:rsidRPr="000665B0" w:rsidRDefault="00064BB4" w:rsidP="006D5A65">
      <w:pPr>
        <w:pStyle w:val="Heading1"/>
      </w:pPr>
      <w:r w:rsidRPr="000665B0">
        <w:t xml:space="preserve">Select the </w:t>
      </w:r>
      <w:r w:rsidR="004C34C6" w:rsidRPr="000665B0">
        <w:t>109E</w:t>
      </w:r>
      <w:r w:rsidRPr="000665B0">
        <w:t xml:space="preserve"> Comms Enabled missiles.</w:t>
      </w:r>
    </w:p>
    <w:p w14:paraId="562F524E" w14:textId="6EB97F13" w:rsidR="00064BB4" w:rsidRPr="000665B0" w:rsidRDefault="00064BB4" w:rsidP="006D5A65">
      <w:pPr>
        <w:pStyle w:val="Heading1"/>
      </w:pPr>
      <w:r w:rsidRPr="000665B0">
        <w:t>Invoke the context menu (</w:t>
      </w:r>
      <w:r w:rsidR="00A55173" w:rsidRPr="000665B0">
        <w:t>right</w:t>
      </w:r>
      <w:r w:rsidR="007545DB" w:rsidRPr="000665B0">
        <w:t>-</w:t>
      </w:r>
      <w:r w:rsidR="00A55173" w:rsidRPr="000665B0">
        <w:t>click</w:t>
      </w:r>
      <w:r w:rsidRPr="000665B0">
        <w:t xml:space="preserve"> the mouse) and select</w:t>
      </w:r>
      <w:r w:rsidRPr="000665B0">
        <w:rPr>
          <w:bCs/>
        </w:rPr>
        <w:t xml:space="preserve"> Edit </w:t>
      </w:r>
      <w:r w:rsidR="00A05D58" w:rsidRPr="000665B0">
        <w:sym w:font="Wingdings" w:char="F0E0"/>
      </w:r>
      <w:r w:rsidRPr="000665B0">
        <w:t xml:space="preserve"> </w:t>
      </w:r>
      <w:r w:rsidRPr="000665B0">
        <w:rPr>
          <w:bCs/>
        </w:rPr>
        <w:t>TTWCS IMMM</w:t>
      </w:r>
      <w:r w:rsidR="00FE2B5F" w:rsidRPr="000665B0">
        <w:rPr>
          <w:bCs/>
        </w:rPr>
        <w:t xml:space="preserve"> </w:t>
      </w:r>
      <w:r w:rsidR="00FE2B5F" w:rsidRPr="000665B0">
        <w:sym w:font="Wingdings" w:char="F0E0"/>
      </w:r>
      <w:r w:rsidR="00FE2B5F" w:rsidRPr="000665B0">
        <w:t xml:space="preserve"> Allowed</w:t>
      </w:r>
      <w:r w:rsidR="00B03E4A" w:rsidRPr="000665B0">
        <w:t xml:space="preserve"> or </w:t>
      </w:r>
      <w:r w:rsidR="00FE2B5F" w:rsidRPr="000665B0">
        <w:t>Not Allowed</w:t>
      </w:r>
      <w:r w:rsidRPr="000665B0">
        <w:t xml:space="preserve">. </w:t>
      </w:r>
    </w:p>
    <w:p w14:paraId="7075657C" w14:textId="77777777" w:rsidR="00064BB4" w:rsidRPr="000665B0" w:rsidRDefault="00064BB4" w:rsidP="006D5A65">
      <w:pPr>
        <w:pStyle w:val="Heading1"/>
      </w:pPr>
      <w:r w:rsidRPr="000665B0">
        <w:t xml:space="preserve">Click </w:t>
      </w:r>
      <w:r w:rsidR="002F137C" w:rsidRPr="000665B0">
        <w:t xml:space="preserve">the </w:t>
      </w:r>
      <w:r w:rsidRPr="000665B0">
        <w:t>OK</w:t>
      </w:r>
      <w:r w:rsidR="002F137C" w:rsidRPr="000665B0">
        <w:t xml:space="preserve"> button</w:t>
      </w:r>
      <w:r w:rsidRPr="000665B0">
        <w:t>.</w:t>
      </w:r>
    </w:p>
    <w:p w14:paraId="62C32D25" w14:textId="77777777" w:rsidR="00064BB4" w:rsidRPr="000665B0" w:rsidRDefault="00064BB4" w:rsidP="00474A1F">
      <w:pPr>
        <w:pStyle w:val="BodyTextIndent2"/>
        <w:tabs>
          <w:tab w:val="left" w:pos="720"/>
        </w:tabs>
        <w:spacing w:line="240" w:lineRule="auto"/>
        <w:ind w:left="0"/>
        <w:rPr>
          <w:b/>
        </w:rPr>
      </w:pPr>
      <w:r w:rsidRPr="000665B0">
        <w:rPr>
          <w:b/>
        </w:rPr>
        <w:t>TSN Communication</w:t>
      </w:r>
    </w:p>
    <w:p w14:paraId="74A7E23E" w14:textId="77777777" w:rsidR="00064BB4" w:rsidRPr="000665B0" w:rsidRDefault="00064BB4" w:rsidP="00474A1F">
      <w:pPr>
        <w:pStyle w:val="BodyTextIndent2"/>
        <w:tabs>
          <w:tab w:val="left" w:pos="720"/>
        </w:tabs>
        <w:spacing w:line="240" w:lineRule="auto"/>
        <w:ind w:left="0"/>
      </w:pPr>
      <w:r w:rsidRPr="000665B0">
        <w:t xml:space="preserve">In order to use TSN, TSN Communications need to be enabled for </w:t>
      </w:r>
      <w:r w:rsidR="004C34C6" w:rsidRPr="000665B0">
        <w:t>109E</w:t>
      </w:r>
      <w:r w:rsidRPr="000665B0">
        <w:t xml:space="preserve"> required missions.</w:t>
      </w:r>
    </w:p>
    <w:p w14:paraId="679F63C0" w14:textId="77777777" w:rsidR="00064BB4" w:rsidRPr="000665B0" w:rsidRDefault="00064BB4" w:rsidP="00A0163E">
      <w:pPr>
        <w:pStyle w:val="BodyTextIndent2"/>
        <w:tabs>
          <w:tab w:val="left" w:pos="720"/>
        </w:tabs>
        <w:spacing w:line="240" w:lineRule="auto"/>
        <w:ind w:left="0"/>
      </w:pPr>
      <w:r w:rsidRPr="000665B0">
        <w:t>To Enable TSN Communications:</w:t>
      </w:r>
    </w:p>
    <w:p w14:paraId="68C2A712" w14:textId="77777777" w:rsidR="00064BB4" w:rsidRPr="000665B0" w:rsidRDefault="00064BB4" w:rsidP="006D5A65">
      <w:pPr>
        <w:pStyle w:val="Heading1"/>
      </w:pPr>
      <w:r w:rsidRPr="000665B0">
        <w:t xml:space="preserve">Select and highlight a mission that requires a </w:t>
      </w:r>
      <w:r w:rsidR="004C34C6" w:rsidRPr="000665B0">
        <w:t>109E</w:t>
      </w:r>
      <w:r w:rsidRPr="000665B0">
        <w:t xml:space="preserve"> missile.</w:t>
      </w:r>
    </w:p>
    <w:p w14:paraId="0E905414" w14:textId="5D4CF6B5" w:rsidR="00064BB4" w:rsidRPr="000665B0" w:rsidRDefault="00064BB4" w:rsidP="006D5A65">
      <w:pPr>
        <w:pStyle w:val="Heading1"/>
      </w:pPr>
      <w:r w:rsidRPr="000665B0">
        <w:t>Invoke the context menu (</w:t>
      </w:r>
      <w:r w:rsidR="00A55173" w:rsidRPr="000665B0">
        <w:t>right</w:t>
      </w:r>
      <w:r w:rsidR="007545DB" w:rsidRPr="000665B0">
        <w:t>-</w:t>
      </w:r>
      <w:r w:rsidR="00A55173" w:rsidRPr="000665B0">
        <w:t>click</w:t>
      </w:r>
      <w:r w:rsidRPr="000665B0">
        <w:t xml:space="preserve"> the mouse) and select Edit </w:t>
      </w:r>
      <w:r w:rsidR="00A05D58" w:rsidRPr="000665B0">
        <w:sym w:font="Wingdings" w:char="F0E0"/>
      </w:r>
      <w:r w:rsidRPr="000665B0">
        <w:t xml:space="preserve"> TSN Comms </w:t>
      </w:r>
      <w:r w:rsidR="00A05D58" w:rsidRPr="000665B0">
        <w:sym w:font="Wingdings" w:char="F0E0"/>
      </w:r>
      <w:r w:rsidRPr="000665B0">
        <w:t xml:space="preserve"> Enable (or Disable</w:t>
      </w:r>
      <w:r w:rsidRPr="000665B0">
        <w:rPr>
          <w:bCs/>
        </w:rPr>
        <w:t>)</w:t>
      </w:r>
      <w:r w:rsidRPr="000665B0">
        <w:t>.</w:t>
      </w:r>
    </w:p>
    <w:p w14:paraId="51F64461" w14:textId="37C6C304" w:rsidR="00064BB4" w:rsidRPr="000665B0" w:rsidRDefault="00ED69FA" w:rsidP="00474A1F">
      <w:pPr>
        <w:pStyle w:val="BodyTextIndent2"/>
        <w:tabs>
          <w:tab w:val="left" w:pos="720"/>
        </w:tabs>
        <w:spacing w:line="240" w:lineRule="auto"/>
        <w:ind w:left="0"/>
        <w:rPr>
          <w:b/>
        </w:rPr>
      </w:pPr>
      <w:r w:rsidRPr="000665B0">
        <w:rPr>
          <w:b/>
        </w:rPr>
        <w:t xml:space="preserve">Missile </w:t>
      </w:r>
      <w:r w:rsidR="00064BB4" w:rsidRPr="000665B0">
        <w:rPr>
          <w:b/>
        </w:rPr>
        <w:t>Parameters</w:t>
      </w:r>
    </w:p>
    <w:p w14:paraId="6FAA1128" w14:textId="2D1F8310" w:rsidR="00064BB4" w:rsidRPr="000665B0" w:rsidRDefault="00064BB4" w:rsidP="00474A1F">
      <w:pPr>
        <w:pStyle w:val="BodyTextIndent2"/>
        <w:tabs>
          <w:tab w:val="left" w:pos="720"/>
        </w:tabs>
        <w:spacing w:line="240" w:lineRule="auto"/>
        <w:ind w:left="0"/>
      </w:pPr>
      <w:r w:rsidRPr="000665B0">
        <w:t xml:space="preserve">Each </w:t>
      </w:r>
      <w:r w:rsidR="004C34C6" w:rsidRPr="000665B0">
        <w:t>109E</w:t>
      </w:r>
      <w:r w:rsidRPr="000665B0">
        <w:t xml:space="preserve"> missile has default </w:t>
      </w:r>
      <w:r w:rsidR="00ED69FA" w:rsidRPr="000665B0">
        <w:t xml:space="preserve">Missile </w:t>
      </w:r>
      <w:r w:rsidRPr="000665B0">
        <w:t xml:space="preserve">Parameters. </w:t>
      </w:r>
      <w:r w:rsidR="005A03CD" w:rsidRPr="000665B0">
        <w:t xml:space="preserve">The </w:t>
      </w:r>
      <w:r w:rsidRPr="000665B0">
        <w:t xml:space="preserve">default </w:t>
      </w:r>
      <w:r w:rsidR="00ED69FA" w:rsidRPr="000665B0">
        <w:t xml:space="preserve">Missile </w:t>
      </w:r>
      <w:r w:rsidRPr="000665B0">
        <w:t xml:space="preserve">Parameters can be modified per missile based in the </w:t>
      </w:r>
      <w:r w:rsidRPr="000665B0">
        <w:rPr>
          <w:b/>
          <w:i/>
        </w:rPr>
        <w:t>Missile</w:t>
      </w:r>
      <w:r w:rsidRPr="000665B0">
        <w:t xml:space="preserve"> </w:t>
      </w:r>
      <w:r w:rsidR="008856C8" w:rsidRPr="000665B0">
        <w:t>t</w:t>
      </w:r>
      <w:r w:rsidRPr="000665B0">
        <w:t>ab.</w:t>
      </w:r>
    </w:p>
    <w:p w14:paraId="6A611627" w14:textId="77777777" w:rsidR="00064BB4" w:rsidRPr="000665B0" w:rsidRDefault="00064BB4" w:rsidP="00474A1F">
      <w:pPr>
        <w:pStyle w:val="BodyTextIndent2"/>
        <w:tabs>
          <w:tab w:val="left" w:pos="720"/>
        </w:tabs>
        <w:spacing w:line="240" w:lineRule="auto"/>
        <w:ind w:left="0"/>
      </w:pPr>
      <w:r w:rsidRPr="000665B0">
        <w:t>To modify the TSN Parameters setting:</w:t>
      </w:r>
    </w:p>
    <w:p w14:paraId="299BC24B" w14:textId="77777777" w:rsidR="00064BB4" w:rsidRPr="000665B0" w:rsidRDefault="00064BB4" w:rsidP="006D5A65">
      <w:pPr>
        <w:pStyle w:val="Heading1"/>
      </w:pPr>
      <w:r w:rsidRPr="000665B0">
        <w:lastRenderedPageBreak/>
        <w:t xml:space="preserve">Select the </w:t>
      </w:r>
      <w:r w:rsidR="004C34C6" w:rsidRPr="000665B0">
        <w:t>109E</w:t>
      </w:r>
      <w:r w:rsidRPr="000665B0">
        <w:t xml:space="preserve"> Comms Enabled missile.</w:t>
      </w:r>
    </w:p>
    <w:p w14:paraId="57796ED7" w14:textId="6CA172DD" w:rsidR="00064BB4" w:rsidRPr="000665B0" w:rsidRDefault="00064BB4" w:rsidP="006D5A65">
      <w:pPr>
        <w:pStyle w:val="Heading1"/>
      </w:pPr>
      <w:r w:rsidRPr="000665B0">
        <w:t>Invoke the context menu (</w:t>
      </w:r>
      <w:r w:rsidR="00A55173" w:rsidRPr="000665B0">
        <w:t>right</w:t>
      </w:r>
      <w:r w:rsidR="007545DB" w:rsidRPr="000665B0">
        <w:t>-</w:t>
      </w:r>
      <w:r w:rsidR="00A55173" w:rsidRPr="000665B0">
        <w:t>click</w:t>
      </w:r>
      <w:r w:rsidRPr="000665B0">
        <w:t xml:space="preserve"> the mouse) and select</w:t>
      </w:r>
      <w:r w:rsidRPr="000665B0">
        <w:rPr>
          <w:bCs/>
        </w:rPr>
        <w:t xml:space="preserve"> Edit </w:t>
      </w:r>
      <w:r w:rsidR="00A05D58" w:rsidRPr="000665B0">
        <w:sym w:font="Wingdings" w:char="F0E0"/>
      </w:r>
      <w:r w:rsidRPr="000665B0">
        <w:t xml:space="preserve"> </w:t>
      </w:r>
      <w:r w:rsidR="00ED69FA" w:rsidRPr="000665B0">
        <w:rPr>
          <w:bCs/>
        </w:rPr>
        <w:t xml:space="preserve">Missile </w:t>
      </w:r>
      <w:r w:rsidRPr="000665B0">
        <w:rPr>
          <w:bCs/>
        </w:rPr>
        <w:t xml:space="preserve">Parameters. </w:t>
      </w:r>
      <w:r w:rsidRPr="000665B0">
        <w:t xml:space="preserve">The </w:t>
      </w:r>
      <w:r w:rsidRPr="000665B0">
        <w:rPr>
          <w:i/>
          <w:iCs/>
        </w:rPr>
        <w:t xml:space="preserve">Missile Parameters </w:t>
      </w:r>
      <w:r w:rsidRPr="000665B0">
        <w:t xml:space="preserve">window </w:t>
      </w:r>
      <w:r w:rsidR="00DB5AEE" w:rsidRPr="000665B0">
        <w:t>is</w:t>
      </w:r>
      <w:r w:rsidRPr="000665B0">
        <w:t xml:space="preserve"> displayed.</w:t>
      </w:r>
    </w:p>
    <w:p w14:paraId="25480EBA" w14:textId="05160320" w:rsidR="00C96B78" w:rsidRDefault="00B94C81" w:rsidP="00C96B78">
      <w:pPr>
        <w:tabs>
          <w:tab w:val="left" w:pos="720"/>
        </w:tabs>
        <w:jc w:val="center"/>
      </w:pPr>
      <w:r w:rsidRPr="000665B0">
        <w:rPr>
          <w:noProof/>
        </w:rPr>
        <w:drawing>
          <wp:inline distT="0" distB="0" distL="0" distR="0" wp14:anchorId="3882A529" wp14:editId="0706FB20">
            <wp:extent cx="4114800" cy="2834640"/>
            <wp:effectExtent l="0" t="0" r="0" b="3810"/>
            <wp:docPr id="227" name="Picture 227" descr="cid:image009.png@01D314E0.FD0B1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id:image009.png@01D314E0.FD0B1C70"/>
                    <pic:cNvPicPr>
                      <a:picLocks noChangeAspect="1" noChangeArrowheads="1"/>
                    </pic:cNvPicPr>
                  </pic:nvPicPr>
                  <pic:blipFill rotWithShape="1">
                    <a:blip r:link="rId23" cstate="screen">
                      <a:extLst>
                        <a:ext uri="{28A0092B-C50C-407E-A947-70E740481C1C}">
                          <a14:useLocalDpi xmlns:a14="http://schemas.microsoft.com/office/drawing/2010/main"/>
                        </a:ext>
                      </a:extLst>
                    </a:blip>
                    <a:srcRect/>
                    <a:stretch/>
                  </pic:blipFill>
                  <pic:spPr bwMode="auto">
                    <a:xfrm>
                      <a:off x="0" y="0"/>
                      <a:ext cx="4114800" cy="2834640"/>
                    </a:xfrm>
                    <a:prstGeom prst="rect">
                      <a:avLst/>
                    </a:prstGeom>
                    <a:noFill/>
                    <a:ln>
                      <a:noFill/>
                    </a:ln>
                    <a:extLst>
                      <a:ext uri="{53640926-AAD7-44D8-BBD7-CCE9431645EC}">
                        <a14:shadowObscured xmlns:a14="http://schemas.microsoft.com/office/drawing/2010/main"/>
                      </a:ext>
                    </a:extLst>
                  </pic:spPr>
                </pic:pic>
              </a:graphicData>
            </a:graphic>
          </wp:inline>
        </w:drawing>
      </w:r>
    </w:p>
    <w:p w14:paraId="5869BE40" w14:textId="77777777" w:rsidR="00C96B78" w:rsidRDefault="00C96B78" w:rsidP="00C96B78">
      <w:pPr>
        <w:pStyle w:val="BodyTextIndent2"/>
        <w:pBdr>
          <w:top w:val="single" w:sz="12" w:space="1" w:color="auto"/>
          <w:left w:val="single" w:sz="12" w:space="4" w:color="auto"/>
          <w:bottom w:val="single" w:sz="12" w:space="1" w:color="auto"/>
          <w:right w:val="single" w:sz="12" w:space="4" w:color="auto"/>
        </w:pBdr>
        <w:shd w:val="clear" w:color="auto" w:fill="D9D9D9" w:themeFill="background1" w:themeFillShade="D9"/>
        <w:spacing w:after="0" w:line="240" w:lineRule="auto"/>
        <w:ind w:left="0"/>
        <w:jc w:val="center"/>
        <w:rPr>
          <w:b/>
        </w:rPr>
      </w:pPr>
      <w:r w:rsidRPr="00A50ECF">
        <w:rPr>
          <w:b/>
        </w:rPr>
        <w:t>Note:</w:t>
      </w:r>
    </w:p>
    <w:p w14:paraId="6BB48CD1" w14:textId="77777777" w:rsidR="00C96B78" w:rsidRDefault="00C96B78" w:rsidP="00C96B78">
      <w:pPr>
        <w:pStyle w:val="BodyTextIndent2"/>
        <w:pBdr>
          <w:top w:val="single" w:sz="12" w:space="1" w:color="auto"/>
          <w:left w:val="single" w:sz="12" w:space="4" w:color="auto"/>
          <w:bottom w:val="single" w:sz="12" w:space="1" w:color="auto"/>
          <w:right w:val="single" w:sz="12" w:space="4" w:color="auto"/>
        </w:pBdr>
        <w:shd w:val="clear" w:color="auto" w:fill="D9D9D9" w:themeFill="background1" w:themeFillShade="D9"/>
        <w:spacing w:line="240" w:lineRule="auto"/>
        <w:ind w:left="0"/>
        <w:jc w:val="center"/>
        <w:rPr>
          <w:b/>
        </w:rPr>
      </w:pPr>
      <w:r>
        <w:rPr>
          <w:b/>
        </w:rPr>
        <w:t>109M Missiles parameters have an additional problem, JMEWS Fuze Fail (109M).</w:t>
      </w:r>
    </w:p>
    <w:p w14:paraId="088B1987" w14:textId="77777777" w:rsidR="00C96B78" w:rsidRPr="00A50ECF" w:rsidRDefault="00C96B78" w:rsidP="00C96B78">
      <w:pPr>
        <w:pStyle w:val="BodyTextIndent2"/>
        <w:pBdr>
          <w:top w:val="single" w:sz="12" w:space="1" w:color="auto"/>
          <w:left w:val="single" w:sz="12" w:space="4" w:color="auto"/>
          <w:bottom w:val="single" w:sz="12" w:space="1" w:color="auto"/>
          <w:right w:val="single" w:sz="12" w:space="4" w:color="auto"/>
        </w:pBdr>
        <w:shd w:val="clear" w:color="auto" w:fill="D9D9D9" w:themeFill="background1" w:themeFillShade="D9"/>
        <w:spacing w:line="240" w:lineRule="auto"/>
        <w:ind w:left="0"/>
        <w:jc w:val="center"/>
        <w:rPr>
          <w:b/>
        </w:rPr>
      </w:pPr>
      <w:r>
        <w:rPr>
          <w:noProof/>
        </w:rPr>
        <w:drawing>
          <wp:inline distT="0" distB="0" distL="0" distR="0" wp14:anchorId="662561DA" wp14:editId="1BF547C8">
            <wp:extent cx="1733550" cy="825237"/>
            <wp:effectExtent l="0" t="0" r="0" b="0"/>
            <wp:docPr id="842759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59692" name="Picture 1" descr="A screenshot of a computer&#10;&#10;AI-generated content may be incorrect."/>
                    <pic:cNvPicPr/>
                  </pic:nvPicPr>
                  <pic:blipFill>
                    <a:blip/>
                    <a:stretch>
                      <a:fillRect/>
                    </a:stretch>
                  </pic:blipFill>
                  <pic:spPr>
                    <a:xfrm>
                      <a:off x="0" y="0"/>
                      <a:ext cx="1741267" cy="828911"/>
                    </a:xfrm>
                    <a:prstGeom prst="rect">
                      <a:avLst/>
                    </a:prstGeom>
                  </pic:spPr>
                </pic:pic>
              </a:graphicData>
            </a:graphic>
          </wp:inline>
        </w:drawing>
      </w:r>
    </w:p>
    <w:p w14:paraId="161BAD1E" w14:textId="77777777" w:rsidR="00064BB4" w:rsidRPr="000665B0" w:rsidRDefault="00064BB4" w:rsidP="006D5A65">
      <w:pPr>
        <w:pStyle w:val="Heading1"/>
      </w:pPr>
      <w:r w:rsidRPr="000665B0">
        <w:t>Change to the desired parameters.</w:t>
      </w:r>
    </w:p>
    <w:p w14:paraId="56B58580" w14:textId="77777777" w:rsidR="00A50ECF" w:rsidRDefault="00A50ECF" w:rsidP="00CE2C1C">
      <w:pPr>
        <w:pStyle w:val="BodyTextIndent2"/>
        <w:pBdr>
          <w:top w:val="single" w:sz="12" w:space="1" w:color="auto"/>
          <w:left w:val="single" w:sz="12" w:space="4" w:color="auto"/>
          <w:bottom w:val="single" w:sz="12" w:space="1" w:color="auto"/>
          <w:right w:val="single" w:sz="12" w:space="4" w:color="auto"/>
        </w:pBdr>
        <w:shd w:val="clear" w:color="auto" w:fill="D9D9D9" w:themeFill="background1" w:themeFillShade="D9"/>
        <w:spacing w:after="0" w:line="240" w:lineRule="auto"/>
        <w:ind w:left="0"/>
        <w:jc w:val="center"/>
        <w:rPr>
          <w:b/>
        </w:rPr>
      </w:pPr>
      <w:r w:rsidRPr="00A50ECF">
        <w:rPr>
          <w:b/>
        </w:rPr>
        <w:t>Note:</w:t>
      </w:r>
    </w:p>
    <w:p w14:paraId="252590EF" w14:textId="79A1FEB6" w:rsidR="00A50ECF" w:rsidRPr="00A50ECF" w:rsidRDefault="00A50ECF" w:rsidP="0086324C">
      <w:pPr>
        <w:pStyle w:val="BodyTextIndent2"/>
        <w:pBdr>
          <w:top w:val="single" w:sz="12" w:space="1" w:color="auto"/>
          <w:left w:val="single" w:sz="12" w:space="4" w:color="auto"/>
          <w:bottom w:val="single" w:sz="12" w:space="1" w:color="auto"/>
          <w:right w:val="single" w:sz="12" w:space="4" w:color="auto"/>
        </w:pBdr>
        <w:shd w:val="clear" w:color="auto" w:fill="D9D9D9" w:themeFill="background1" w:themeFillShade="D9"/>
        <w:spacing w:line="240" w:lineRule="auto"/>
        <w:ind w:left="0"/>
        <w:jc w:val="center"/>
        <w:rPr>
          <w:b/>
        </w:rPr>
      </w:pPr>
      <w:r w:rsidRPr="00A50ECF">
        <w:rPr>
          <w:b/>
        </w:rPr>
        <w:t>To receive confirmation of branch changes made in response to IMMMs sent to the missile, the Branch Change checkbox under Event Reporting in the Missile Reporting State pane must be checked.</w:t>
      </w:r>
    </w:p>
    <w:p w14:paraId="13D9FE22" w14:textId="3273F25C" w:rsidR="00064BB4" w:rsidRPr="000665B0" w:rsidRDefault="00064BB4" w:rsidP="006D5A65">
      <w:pPr>
        <w:pStyle w:val="Heading1"/>
      </w:pPr>
      <w:r w:rsidRPr="000665B0">
        <w:t xml:space="preserve">Click </w:t>
      </w:r>
      <w:r w:rsidR="002F137C" w:rsidRPr="000665B0">
        <w:t xml:space="preserve">the </w:t>
      </w:r>
      <w:r w:rsidRPr="000665B0">
        <w:t>OK</w:t>
      </w:r>
      <w:r w:rsidR="002F137C" w:rsidRPr="000665B0">
        <w:t xml:space="preserve"> button</w:t>
      </w:r>
      <w:r w:rsidRPr="000665B0">
        <w:t>.</w:t>
      </w:r>
    </w:p>
    <w:p w14:paraId="2CF70CCF" w14:textId="5434B154" w:rsidR="00837B43" w:rsidRPr="000665B0" w:rsidRDefault="00091789" w:rsidP="00A0163E">
      <w:pPr>
        <w:pStyle w:val="BodyTextIndent2"/>
        <w:tabs>
          <w:tab w:val="left" w:pos="720"/>
        </w:tabs>
        <w:spacing w:line="240" w:lineRule="auto"/>
        <w:ind w:left="0"/>
        <w:rPr>
          <w:b/>
        </w:rPr>
      </w:pPr>
      <w:r w:rsidRPr="000665B0">
        <w:rPr>
          <w:b/>
        </w:rPr>
        <w:t>Switch</w:t>
      </w:r>
      <w:r w:rsidR="00837B43" w:rsidRPr="000665B0">
        <w:rPr>
          <w:b/>
        </w:rPr>
        <w:t xml:space="preserve"> </w:t>
      </w:r>
      <w:r w:rsidRPr="000665B0">
        <w:rPr>
          <w:b/>
        </w:rPr>
        <w:t>Network</w:t>
      </w:r>
      <w:r w:rsidR="00837B43" w:rsidRPr="000665B0">
        <w:rPr>
          <w:b/>
        </w:rPr>
        <w:t xml:space="preserve"> </w:t>
      </w:r>
      <w:r w:rsidR="00CA7A3B" w:rsidRPr="000665B0">
        <w:rPr>
          <w:b/>
        </w:rPr>
        <w:t xml:space="preserve">to </w:t>
      </w:r>
      <w:r w:rsidRPr="000665B0">
        <w:rPr>
          <w:b/>
        </w:rPr>
        <w:t>ACA/DAMA</w:t>
      </w:r>
    </w:p>
    <w:p w14:paraId="1CB32C5B" w14:textId="77777777" w:rsidR="00837B43" w:rsidRPr="000665B0" w:rsidRDefault="00837B43" w:rsidP="00A0163E">
      <w:pPr>
        <w:pStyle w:val="BodyTextIndent2"/>
        <w:tabs>
          <w:tab w:val="left" w:pos="720"/>
        </w:tabs>
        <w:spacing w:line="240" w:lineRule="auto"/>
        <w:ind w:left="0"/>
      </w:pPr>
      <w:r w:rsidRPr="000665B0">
        <w:t xml:space="preserve">For </w:t>
      </w:r>
      <w:r w:rsidR="00091789" w:rsidRPr="000665B0">
        <w:t>109E</w:t>
      </w:r>
      <w:r w:rsidRPr="000665B0">
        <w:t xml:space="preserve"> missile assignments, the TSN type can be </w:t>
      </w:r>
      <w:r w:rsidR="00A96B22" w:rsidRPr="000665B0">
        <w:t>switched</w:t>
      </w:r>
      <w:r w:rsidRPr="000665B0">
        <w:t xml:space="preserve"> as follows:</w:t>
      </w:r>
    </w:p>
    <w:p w14:paraId="20B959A8" w14:textId="77777777" w:rsidR="00837B43" w:rsidRPr="000665B0" w:rsidRDefault="00837B43" w:rsidP="006D5A65">
      <w:pPr>
        <w:pStyle w:val="Heading1"/>
      </w:pPr>
      <w:r w:rsidRPr="000665B0">
        <w:lastRenderedPageBreak/>
        <w:t xml:space="preserve">When all items selected are ACA, the TSN type can be </w:t>
      </w:r>
      <w:r w:rsidR="00A96B22" w:rsidRPr="000665B0">
        <w:t>switched</w:t>
      </w:r>
      <w:r w:rsidRPr="000665B0">
        <w:t xml:space="preserve"> to DAMA.</w:t>
      </w:r>
    </w:p>
    <w:p w14:paraId="01B13729" w14:textId="77777777" w:rsidR="00837B43" w:rsidRPr="000665B0" w:rsidRDefault="00837B43" w:rsidP="006D5A65">
      <w:pPr>
        <w:pStyle w:val="Heading1"/>
      </w:pPr>
      <w:r w:rsidRPr="000665B0">
        <w:t xml:space="preserve">When all items selected are DAMA, the TSN type can be </w:t>
      </w:r>
      <w:r w:rsidR="00A96B22" w:rsidRPr="000665B0">
        <w:t>switched</w:t>
      </w:r>
      <w:r w:rsidRPr="000665B0">
        <w:t xml:space="preserve"> to ACA.</w:t>
      </w:r>
    </w:p>
    <w:p w14:paraId="069DCB0F" w14:textId="07327D39" w:rsidR="00837B43" w:rsidRPr="000665B0" w:rsidRDefault="00837B43" w:rsidP="006D5A65">
      <w:pPr>
        <w:pStyle w:val="Heading1"/>
      </w:pPr>
      <w:r w:rsidRPr="000665B0">
        <w:t xml:space="preserve">When the items selected are a mixture of DAMA and ACA, the </w:t>
      </w:r>
      <w:r w:rsidR="00A96B22" w:rsidRPr="000665B0">
        <w:t xml:space="preserve">Switch Network </w:t>
      </w:r>
      <w:r w:rsidRPr="000665B0">
        <w:t>menu is not enabled.</w:t>
      </w:r>
    </w:p>
    <w:p w14:paraId="3D3D4F88" w14:textId="04B3F71F" w:rsidR="00012523" w:rsidRPr="000665B0" w:rsidRDefault="00012523" w:rsidP="006D5A65">
      <w:pPr>
        <w:pStyle w:val="Heading1"/>
      </w:pPr>
      <w:r w:rsidRPr="000665B0">
        <w:t>If one or more of the items selected is</w:t>
      </w:r>
      <w:r w:rsidR="00DA0A5C">
        <w:t xml:space="preserve"> 109E ACP</w:t>
      </w:r>
      <w:r w:rsidR="0089103C">
        <w:t>,</w:t>
      </w:r>
      <w:r w:rsidR="0043211C">
        <w:t xml:space="preserve"> </w:t>
      </w:r>
      <w:r w:rsidRPr="000665B0">
        <w:t>MSTM</w:t>
      </w:r>
      <w:r w:rsidR="0089103C">
        <w:t>, 109M,</w:t>
      </w:r>
      <w:r w:rsidR="00F5271C">
        <w:t xml:space="preserve"> or ACP2</w:t>
      </w:r>
      <w:r w:rsidRPr="000665B0">
        <w:t xml:space="preserve"> the Switch Network menu is not enabled.</w:t>
      </w:r>
    </w:p>
    <w:p w14:paraId="6E83A38A" w14:textId="77777777" w:rsidR="00837B43" w:rsidRPr="000665B0" w:rsidRDefault="00837B43" w:rsidP="006D5A65">
      <w:pPr>
        <w:pStyle w:val="Heading1"/>
      </w:pPr>
      <w:r w:rsidRPr="000665B0">
        <w:t>The menu is only enabled if the selected missiles allow for using any capable missile.</w:t>
      </w:r>
    </w:p>
    <w:p w14:paraId="4B25D298" w14:textId="77777777" w:rsidR="00837B43" w:rsidRPr="000665B0" w:rsidRDefault="00837B43" w:rsidP="00A0163E">
      <w:pPr>
        <w:pStyle w:val="BodyTextIndent2"/>
        <w:keepNext/>
        <w:tabs>
          <w:tab w:val="left" w:pos="720"/>
        </w:tabs>
        <w:spacing w:line="240" w:lineRule="auto"/>
        <w:ind w:left="0"/>
      </w:pPr>
      <w:r w:rsidRPr="000665B0">
        <w:t xml:space="preserve">To </w:t>
      </w:r>
      <w:r w:rsidR="00A96B22" w:rsidRPr="000665B0">
        <w:t>switch</w:t>
      </w:r>
      <w:r w:rsidRPr="000665B0">
        <w:t xml:space="preserve"> the TSN type:</w:t>
      </w:r>
    </w:p>
    <w:p w14:paraId="050CEA50" w14:textId="77777777" w:rsidR="00837B43" w:rsidRPr="000665B0" w:rsidRDefault="00837B43" w:rsidP="006D5A65">
      <w:pPr>
        <w:pStyle w:val="Heading1"/>
      </w:pPr>
      <w:r w:rsidRPr="000665B0">
        <w:t>Select the</w:t>
      </w:r>
      <w:r w:rsidR="00091789" w:rsidRPr="000665B0">
        <w:t xml:space="preserve"> 109E</w:t>
      </w:r>
      <w:r w:rsidRPr="000665B0">
        <w:t xml:space="preserve"> Comms Enabled missile(s).</w:t>
      </w:r>
    </w:p>
    <w:p w14:paraId="5B85B16A" w14:textId="3E3A8309" w:rsidR="00837B43" w:rsidRPr="000665B0" w:rsidRDefault="00837B43" w:rsidP="006D5A65">
      <w:pPr>
        <w:pStyle w:val="Heading1"/>
      </w:pPr>
      <w:r w:rsidRPr="000665B0">
        <w:t>Invoke the context menu (right</w:t>
      </w:r>
      <w:r w:rsidR="007545DB" w:rsidRPr="000665B0">
        <w:t>-</w:t>
      </w:r>
      <w:r w:rsidRPr="000665B0">
        <w:t>click the mouse) and select</w:t>
      </w:r>
      <w:r w:rsidRPr="000665B0">
        <w:rPr>
          <w:bCs/>
        </w:rPr>
        <w:t xml:space="preserve"> Edit </w:t>
      </w:r>
      <w:r w:rsidRPr="000665B0">
        <w:sym w:font="Wingdings" w:char="F0E0"/>
      </w:r>
      <w:r w:rsidRPr="000665B0">
        <w:t xml:space="preserve"> </w:t>
      </w:r>
      <w:r w:rsidRPr="000665B0">
        <w:rPr>
          <w:bCs/>
        </w:rPr>
        <w:t xml:space="preserve">Switch Network to ACA or </w:t>
      </w:r>
      <w:r w:rsidR="00E214EE" w:rsidRPr="000665B0">
        <w:rPr>
          <w:bCs/>
        </w:rPr>
        <w:t xml:space="preserve">Switch Network to </w:t>
      </w:r>
      <w:r w:rsidRPr="000665B0">
        <w:rPr>
          <w:bCs/>
        </w:rPr>
        <w:t xml:space="preserve">DAMA. </w:t>
      </w:r>
    </w:p>
    <w:p w14:paraId="32F40BBF" w14:textId="77777777" w:rsidR="00837B43" w:rsidRPr="000665B0" w:rsidRDefault="00837B43" w:rsidP="00837B43">
      <w:pPr>
        <w:pStyle w:val="BodyTextIndent2"/>
        <w:tabs>
          <w:tab w:val="left" w:pos="720"/>
        </w:tabs>
        <w:spacing w:line="240" w:lineRule="auto"/>
        <w:ind w:left="720"/>
        <w:rPr>
          <w:b/>
        </w:rPr>
      </w:pPr>
      <w:r w:rsidRPr="000665B0">
        <w:t xml:space="preserve">Before the </w:t>
      </w:r>
      <w:r w:rsidR="00A96B22" w:rsidRPr="000665B0">
        <w:t>switch</w:t>
      </w:r>
      <w:r w:rsidRPr="000665B0">
        <w:t xml:space="preserve"> is made, the system checks to ensure that there are enough missiles available (both during planning and execution). If there are not enough missiles, the user is notified and the TSN type is NOT </w:t>
      </w:r>
      <w:r w:rsidR="00A96B22" w:rsidRPr="000665B0">
        <w:t>switched</w:t>
      </w:r>
      <w:r w:rsidRPr="000665B0">
        <w:t>.</w:t>
      </w:r>
    </w:p>
    <w:p w14:paraId="577368DD" w14:textId="77777777" w:rsidR="00837B43" w:rsidRPr="000665B0" w:rsidRDefault="00837B43" w:rsidP="002B227A">
      <w:pPr>
        <w:jc w:val="center"/>
      </w:pPr>
      <w:r w:rsidRPr="000665B0">
        <w:rPr>
          <w:noProof/>
        </w:rPr>
        <w:drawing>
          <wp:inline distT="0" distB="0" distL="0" distR="0" wp14:anchorId="1B107EDA" wp14:editId="5AF88078">
            <wp:extent cx="2544134" cy="1025028"/>
            <wp:effectExtent l="0" t="0" r="0" b="0"/>
            <wp:docPr id="1661" name="Picture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565874" cy="1033787"/>
                    </a:xfrm>
                    <a:prstGeom prst="rect">
                      <a:avLst/>
                    </a:prstGeom>
                  </pic:spPr>
                </pic:pic>
              </a:graphicData>
            </a:graphic>
          </wp:inline>
        </w:drawing>
      </w:r>
    </w:p>
    <w:p w14:paraId="018AD542" w14:textId="77777777" w:rsidR="00064BB4" w:rsidRPr="000665B0" w:rsidRDefault="00064BB4" w:rsidP="002B227A">
      <w:pPr>
        <w:pStyle w:val="BodyTextIndent2"/>
        <w:tabs>
          <w:tab w:val="left" w:pos="720"/>
        </w:tabs>
        <w:spacing w:line="240" w:lineRule="auto"/>
        <w:ind w:left="0"/>
        <w:rPr>
          <w:b/>
        </w:rPr>
      </w:pPr>
      <w:r w:rsidRPr="000665B0">
        <w:rPr>
          <w:b/>
        </w:rPr>
        <w:t>Missile Priorities</w:t>
      </w:r>
    </w:p>
    <w:p w14:paraId="4623F8D4" w14:textId="77777777" w:rsidR="00064BB4" w:rsidRPr="000665B0" w:rsidRDefault="00064BB4" w:rsidP="002B227A">
      <w:pPr>
        <w:pStyle w:val="BodyTextIndent2"/>
        <w:tabs>
          <w:tab w:val="left" w:pos="720"/>
        </w:tabs>
        <w:spacing w:line="240" w:lineRule="auto"/>
        <w:ind w:left="0"/>
      </w:pPr>
      <w:r w:rsidRPr="000665B0">
        <w:t xml:space="preserve">Missile Priorities may be changed in the </w:t>
      </w:r>
      <w:r w:rsidRPr="000665B0">
        <w:rPr>
          <w:b/>
          <w:bCs/>
          <w:i/>
          <w:iCs/>
        </w:rPr>
        <w:t>Missiles</w:t>
      </w:r>
      <w:r w:rsidRPr="000665B0">
        <w:t xml:space="preserve"> tab.</w:t>
      </w:r>
    </w:p>
    <w:p w14:paraId="6D0DAB2A" w14:textId="77777777" w:rsidR="00064BB4" w:rsidRPr="000665B0" w:rsidRDefault="00064BB4" w:rsidP="002B227A">
      <w:pPr>
        <w:pStyle w:val="BodyTextIndent2"/>
        <w:tabs>
          <w:tab w:val="left" w:pos="720"/>
        </w:tabs>
        <w:spacing w:line="240" w:lineRule="auto"/>
        <w:ind w:left="0"/>
      </w:pPr>
      <w:r w:rsidRPr="000665B0">
        <w:t>To change Missile Priority and Missile Requirement:</w:t>
      </w:r>
    </w:p>
    <w:p w14:paraId="406C60DF" w14:textId="77777777" w:rsidR="00064BB4" w:rsidRPr="000665B0" w:rsidRDefault="00064BB4" w:rsidP="006D5A65">
      <w:pPr>
        <w:pStyle w:val="Heading1"/>
      </w:pPr>
      <w:r w:rsidRPr="000665B0">
        <w:t xml:space="preserve">In the </w:t>
      </w:r>
      <w:r w:rsidRPr="000665B0">
        <w:rPr>
          <w:i/>
        </w:rPr>
        <w:t>Missiles</w:t>
      </w:r>
      <w:r w:rsidRPr="000665B0">
        <w:t xml:space="preserve"> tab, select and highlight a mission.</w:t>
      </w:r>
    </w:p>
    <w:p w14:paraId="18CD132C" w14:textId="5CB41B91" w:rsidR="00064BB4" w:rsidRPr="000665B0" w:rsidRDefault="00064BB4" w:rsidP="006D5A65">
      <w:pPr>
        <w:pStyle w:val="Heading1"/>
        <w:rPr>
          <w:bCs/>
        </w:rPr>
      </w:pPr>
      <w:r w:rsidRPr="000665B0">
        <w:t>Invoke the context menu (</w:t>
      </w:r>
      <w:r w:rsidR="00A55173" w:rsidRPr="000665B0">
        <w:t>right</w:t>
      </w:r>
      <w:r w:rsidR="007545DB" w:rsidRPr="000665B0">
        <w:t>-</w:t>
      </w:r>
      <w:r w:rsidR="00A55173" w:rsidRPr="000665B0">
        <w:t>click</w:t>
      </w:r>
      <w:r w:rsidRPr="000665B0">
        <w:t xml:space="preserve"> the mouse) and select Edit </w:t>
      </w:r>
      <w:r w:rsidR="00A05D58" w:rsidRPr="000665B0">
        <w:sym w:font="Wingdings" w:char="F0E0"/>
      </w:r>
      <w:r w:rsidRPr="000665B0">
        <w:t xml:space="preserve"> Missile Priority/Requirement. The </w:t>
      </w:r>
      <w:r w:rsidRPr="000665B0">
        <w:rPr>
          <w:i/>
        </w:rPr>
        <w:t>Missile Priority/Requirement</w:t>
      </w:r>
      <w:r w:rsidRPr="000665B0">
        <w:rPr>
          <w:i/>
          <w:iCs/>
        </w:rPr>
        <w:t xml:space="preserve"> </w:t>
      </w:r>
      <w:r w:rsidRPr="000665B0">
        <w:t xml:space="preserve">window </w:t>
      </w:r>
      <w:r w:rsidR="00DB5AEE" w:rsidRPr="000665B0">
        <w:t>is</w:t>
      </w:r>
      <w:r w:rsidRPr="000665B0">
        <w:t xml:space="preserve"> displayed.</w:t>
      </w:r>
    </w:p>
    <w:p w14:paraId="0E652F64" w14:textId="6C417645" w:rsidR="00064BB4" w:rsidRPr="000665B0" w:rsidRDefault="00F05581" w:rsidP="00474A1F">
      <w:pPr>
        <w:tabs>
          <w:tab w:val="left" w:pos="720"/>
        </w:tabs>
        <w:jc w:val="center"/>
      </w:pPr>
      <w:r w:rsidRPr="000665B0">
        <w:rPr>
          <w:noProof/>
        </w:rPr>
        <w:drawing>
          <wp:inline distT="0" distB="0" distL="0" distR="0" wp14:anchorId="1D210DDC" wp14:editId="3CF5696E">
            <wp:extent cx="2162175" cy="1463072"/>
            <wp:effectExtent l="0" t="0" r="0" b="0"/>
            <wp:docPr id="97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69183" cy="1467814"/>
                    </a:xfrm>
                    <a:prstGeom prst="rect">
                      <a:avLst/>
                    </a:prstGeom>
                  </pic:spPr>
                </pic:pic>
              </a:graphicData>
            </a:graphic>
          </wp:inline>
        </w:drawing>
      </w:r>
    </w:p>
    <w:p w14:paraId="5AD7CFD7" w14:textId="77777777" w:rsidR="00064BB4" w:rsidRPr="000665B0" w:rsidRDefault="00064BB4" w:rsidP="006D5A65">
      <w:pPr>
        <w:pStyle w:val="Heading2"/>
      </w:pPr>
      <w:r w:rsidRPr="000665B0">
        <w:t xml:space="preserve">Use the </w:t>
      </w:r>
      <w:r w:rsidRPr="000665B0">
        <w:sym w:font="Wingdings 3" w:char="F071"/>
      </w:r>
      <w:r w:rsidRPr="000665B0">
        <w:t xml:space="preserve"> button to select Missile Priority of High</w:t>
      </w:r>
      <w:r w:rsidRPr="000665B0">
        <w:rPr>
          <w:bCs/>
        </w:rPr>
        <w:t xml:space="preserve">, </w:t>
      </w:r>
      <w:r w:rsidRPr="000665B0">
        <w:t>Medium</w:t>
      </w:r>
      <w:r w:rsidRPr="000665B0">
        <w:rPr>
          <w:bCs/>
        </w:rPr>
        <w:t xml:space="preserve">, or </w:t>
      </w:r>
      <w:r w:rsidRPr="000665B0">
        <w:t>Low.</w:t>
      </w:r>
    </w:p>
    <w:p w14:paraId="244D5402" w14:textId="77777777" w:rsidR="00064BB4" w:rsidRPr="000665B0" w:rsidRDefault="00064BB4" w:rsidP="006D5A65">
      <w:pPr>
        <w:pStyle w:val="Heading2"/>
      </w:pPr>
      <w:r w:rsidRPr="000665B0">
        <w:lastRenderedPageBreak/>
        <w:t xml:space="preserve">Use the </w:t>
      </w:r>
      <w:r w:rsidRPr="000665B0">
        <w:sym w:font="Wingdings 3" w:char="F071"/>
      </w:r>
      <w:r w:rsidRPr="000665B0">
        <w:t>button to select Exclude, Branch ID Change Only, or Retarget/Branch Allowed from the Missile Requirement menu.</w:t>
      </w:r>
    </w:p>
    <w:p w14:paraId="459C8F97" w14:textId="77777777" w:rsidR="00064BB4" w:rsidRPr="000665B0" w:rsidRDefault="00064BB4" w:rsidP="006D5A65">
      <w:pPr>
        <w:pStyle w:val="Heading2"/>
      </w:pPr>
      <w:r w:rsidRPr="000665B0">
        <w:t>Click the OK button.</w:t>
      </w:r>
    </w:p>
    <w:p w14:paraId="72DB9C61" w14:textId="433BA31F" w:rsidR="00ED69FA" w:rsidRPr="000665B0" w:rsidRDefault="00ED69FA" w:rsidP="002B227A">
      <w:pPr>
        <w:pStyle w:val="BodyTextIndent2"/>
        <w:tabs>
          <w:tab w:val="left" w:pos="720"/>
        </w:tabs>
        <w:spacing w:line="240" w:lineRule="auto"/>
        <w:ind w:left="0"/>
        <w:rPr>
          <w:b/>
        </w:rPr>
      </w:pPr>
      <w:r w:rsidRPr="000665B0">
        <w:rPr>
          <w:b/>
        </w:rPr>
        <w:t>Target Line Designator</w:t>
      </w:r>
    </w:p>
    <w:p w14:paraId="6E0B39B6" w14:textId="77DA3054" w:rsidR="00ED69FA" w:rsidRPr="000665B0" w:rsidRDefault="00ED69FA" w:rsidP="002B227A">
      <w:pPr>
        <w:pStyle w:val="BodyTextIndent2"/>
        <w:tabs>
          <w:tab w:val="left" w:pos="720"/>
        </w:tabs>
        <w:spacing w:line="240" w:lineRule="auto"/>
        <w:ind w:left="0"/>
      </w:pPr>
      <w:r w:rsidRPr="000665B0">
        <w:t xml:space="preserve">The Target Line Designator may be changed in the </w:t>
      </w:r>
      <w:r w:rsidRPr="000665B0">
        <w:rPr>
          <w:b/>
          <w:i/>
        </w:rPr>
        <w:t>Missiles</w:t>
      </w:r>
      <w:r w:rsidRPr="000665B0">
        <w:t xml:space="preserve"> tab.</w:t>
      </w:r>
    </w:p>
    <w:p w14:paraId="3FB1DA5A" w14:textId="041956FC" w:rsidR="00ED69FA" w:rsidRPr="000665B0" w:rsidRDefault="00ED69FA" w:rsidP="002B227A">
      <w:pPr>
        <w:pStyle w:val="BodyTextIndent2"/>
        <w:tabs>
          <w:tab w:val="left" w:pos="720"/>
        </w:tabs>
        <w:spacing w:line="240" w:lineRule="auto"/>
        <w:ind w:left="0"/>
      </w:pPr>
      <w:r w:rsidRPr="000665B0">
        <w:t>To change the Target Line Designator:</w:t>
      </w:r>
    </w:p>
    <w:p w14:paraId="76E99980" w14:textId="77777777" w:rsidR="00ED69FA" w:rsidRPr="000665B0" w:rsidRDefault="00ED69FA" w:rsidP="006D5A65">
      <w:pPr>
        <w:pStyle w:val="Heading1"/>
      </w:pPr>
      <w:r w:rsidRPr="000665B0">
        <w:t xml:space="preserve">In the </w:t>
      </w:r>
      <w:r w:rsidRPr="000665B0">
        <w:rPr>
          <w:bCs/>
          <w:i/>
          <w:iCs/>
        </w:rPr>
        <w:t>Missiles</w:t>
      </w:r>
      <w:r w:rsidRPr="000665B0">
        <w:t xml:space="preserve"> tab, select a missile.</w:t>
      </w:r>
    </w:p>
    <w:p w14:paraId="7AB2C366" w14:textId="04927B1F" w:rsidR="00ED69FA" w:rsidRPr="000665B0" w:rsidRDefault="00ED69FA" w:rsidP="006D5A65">
      <w:pPr>
        <w:pStyle w:val="Heading1"/>
      </w:pPr>
      <w:r w:rsidRPr="000665B0">
        <w:t>Invoke the context menu (right</w:t>
      </w:r>
      <w:r w:rsidR="007545DB" w:rsidRPr="000665B0">
        <w:t>-</w:t>
      </w:r>
      <w:r w:rsidRPr="000665B0">
        <w:t>click the mouse) and select</w:t>
      </w:r>
      <w:r w:rsidRPr="000665B0">
        <w:rPr>
          <w:bCs/>
        </w:rPr>
        <w:t xml:space="preserve"> Edit </w:t>
      </w:r>
      <w:r w:rsidRPr="000665B0">
        <w:sym w:font="Wingdings" w:char="F0E0"/>
      </w:r>
      <w:r w:rsidRPr="000665B0">
        <w:t xml:space="preserve"> </w:t>
      </w:r>
      <w:r w:rsidRPr="000665B0">
        <w:rPr>
          <w:bCs/>
        </w:rPr>
        <w:t>TLD</w:t>
      </w:r>
      <w:r w:rsidRPr="000665B0">
        <w:t xml:space="preserve">. The </w:t>
      </w:r>
      <w:r w:rsidRPr="000665B0">
        <w:rPr>
          <w:i/>
          <w:iCs/>
        </w:rPr>
        <w:t xml:space="preserve">Target Line Designator </w:t>
      </w:r>
      <w:r w:rsidRPr="000665B0">
        <w:t>window is displayed.</w:t>
      </w:r>
    </w:p>
    <w:p w14:paraId="36FF22A8" w14:textId="68A1FD80" w:rsidR="00ED69FA" w:rsidRPr="000665B0" w:rsidRDefault="00ED69FA" w:rsidP="00ED69FA">
      <w:pPr>
        <w:tabs>
          <w:tab w:val="left" w:pos="720"/>
        </w:tabs>
        <w:jc w:val="center"/>
      </w:pPr>
      <w:r w:rsidRPr="000665B0">
        <w:rPr>
          <w:noProof/>
        </w:rPr>
        <w:drawing>
          <wp:inline distT="0" distB="0" distL="0" distR="0" wp14:anchorId="17650E6F" wp14:editId="5B59687D">
            <wp:extent cx="1749381" cy="124206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765672" cy="1253626"/>
                    </a:xfrm>
                    <a:prstGeom prst="rect">
                      <a:avLst/>
                    </a:prstGeom>
                  </pic:spPr>
                </pic:pic>
              </a:graphicData>
            </a:graphic>
          </wp:inline>
        </w:drawing>
      </w:r>
    </w:p>
    <w:p w14:paraId="7C280D78" w14:textId="3A78C31F" w:rsidR="00ED69FA" w:rsidRPr="000665B0" w:rsidRDefault="00ED69FA" w:rsidP="006D5A65">
      <w:pPr>
        <w:pStyle w:val="Heading1"/>
      </w:pPr>
      <w:r w:rsidRPr="000665B0">
        <w:t>Enter the desired TLD</w:t>
      </w:r>
      <w:r w:rsidR="00C30455" w:rsidRPr="000665B0">
        <w:t xml:space="preserve"> (must be empty or 1-8 characters A-Z, 0-9, space, or dash)</w:t>
      </w:r>
      <w:r w:rsidRPr="000665B0">
        <w:t xml:space="preserve"> and click the </w:t>
      </w:r>
      <w:r w:rsidRPr="000665B0">
        <w:rPr>
          <w:bCs/>
        </w:rPr>
        <w:t>OK</w:t>
      </w:r>
      <w:r w:rsidRPr="000665B0">
        <w:t xml:space="preserve"> button.</w:t>
      </w:r>
    </w:p>
    <w:p w14:paraId="223D7CE8" w14:textId="2799B7F2" w:rsidR="00064BB4" w:rsidRPr="000665B0" w:rsidRDefault="00064BB4" w:rsidP="00CB3E29">
      <w:pPr>
        <w:pStyle w:val="BodyTextIndent2"/>
        <w:keepNext/>
        <w:tabs>
          <w:tab w:val="left" w:pos="720"/>
        </w:tabs>
        <w:spacing w:line="240" w:lineRule="auto"/>
        <w:ind w:left="0"/>
        <w:rPr>
          <w:b/>
        </w:rPr>
      </w:pPr>
      <w:r w:rsidRPr="000665B0">
        <w:rPr>
          <w:b/>
        </w:rPr>
        <w:t>Deconfliction</w:t>
      </w:r>
    </w:p>
    <w:p w14:paraId="2BED9D16" w14:textId="46E71F06" w:rsidR="00064BB4" w:rsidRPr="000665B0" w:rsidRDefault="00064BB4" w:rsidP="00474A1F">
      <w:pPr>
        <w:pStyle w:val="BodyTextIndent2"/>
        <w:tabs>
          <w:tab w:val="left" w:pos="720"/>
        </w:tabs>
        <w:spacing w:line="240" w:lineRule="auto"/>
        <w:ind w:left="0"/>
      </w:pPr>
      <w:r w:rsidRPr="000665B0">
        <w:t xml:space="preserve">Conflicts can be resolved by selecting the </w:t>
      </w:r>
      <w:r w:rsidRPr="000665B0">
        <w:rPr>
          <w:b/>
          <w:bCs/>
        </w:rPr>
        <w:t>Deconflict</w:t>
      </w:r>
      <w:r w:rsidRPr="000665B0">
        <w:t xml:space="preserve"> function. Deconfliction</w:t>
      </w:r>
      <w:r w:rsidR="002F137C" w:rsidRPr="000665B0">
        <w:t>s</w:t>
      </w:r>
      <w:r w:rsidRPr="000665B0">
        <w:t xml:space="preserve"> will resolve issues with </w:t>
      </w:r>
      <w:r w:rsidRPr="000665B0">
        <w:rPr>
          <w:b/>
        </w:rPr>
        <w:t>Routes</w:t>
      </w:r>
      <w:r w:rsidRPr="000665B0">
        <w:t xml:space="preserve">, </w:t>
      </w:r>
      <w:r w:rsidRPr="000665B0">
        <w:rPr>
          <w:b/>
        </w:rPr>
        <w:t>DSMACs</w:t>
      </w:r>
      <w:r w:rsidRPr="000665B0">
        <w:t xml:space="preserve">, </w:t>
      </w:r>
      <w:r w:rsidRPr="000665B0">
        <w:rPr>
          <w:b/>
        </w:rPr>
        <w:t>Targets</w:t>
      </w:r>
      <w:r w:rsidRPr="000665B0">
        <w:t xml:space="preserve">, </w:t>
      </w:r>
      <w:r w:rsidRPr="000665B0">
        <w:rPr>
          <w:b/>
        </w:rPr>
        <w:t>Use Rate Constraints</w:t>
      </w:r>
      <w:r w:rsidR="005B199C" w:rsidRPr="000665B0">
        <w:t xml:space="preserve">, and </w:t>
      </w:r>
      <w:r w:rsidR="005B199C" w:rsidRPr="000665B0">
        <w:rPr>
          <w:b/>
        </w:rPr>
        <w:t>Prohibited Areas</w:t>
      </w:r>
      <w:r w:rsidRPr="000665B0">
        <w:t xml:space="preserve">. </w:t>
      </w:r>
    </w:p>
    <w:p w14:paraId="0469672E" w14:textId="77777777" w:rsidR="005B199C" w:rsidRPr="000665B0" w:rsidRDefault="005B199C" w:rsidP="005B199C">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40BF4290" w14:textId="44F9DD3A" w:rsidR="005B199C" w:rsidRPr="000665B0" w:rsidRDefault="005B199C" w:rsidP="005B199C">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In rare cases, strike analysis/deconfliction may report an unexpected conflict where a mission violates a Prohibited Area ACMS that is in the mission and strike option (see </w:t>
      </w:r>
      <w:hyperlink w:anchor="_Analysis_Tool" w:history="1">
        <w:r w:rsidRPr="000665B0">
          <w:rPr>
            <w:rStyle w:val="Hyperlink"/>
            <w:b/>
          </w:rPr>
          <w:t xml:space="preserve">Section </w:t>
        </w:r>
        <w:r w:rsidR="004231CC">
          <w:rPr>
            <w:rStyle w:val="Hyperlink"/>
            <w:b/>
          </w:rPr>
          <w:t>5.34</w:t>
        </w:r>
        <w:r w:rsidRPr="000665B0">
          <w:rPr>
            <w:rStyle w:val="Hyperlink"/>
            <w:b/>
          </w:rPr>
          <w:t>.7.1.15</w:t>
        </w:r>
      </w:hyperlink>
      <w:r w:rsidRPr="000665B0">
        <w:rPr>
          <w:b/>
        </w:rPr>
        <w:t>)</w:t>
      </w:r>
      <w:r w:rsidR="00011974">
        <w:rPr>
          <w:b/>
        </w:rPr>
        <w:t>.</w:t>
      </w:r>
    </w:p>
    <w:p w14:paraId="55B00F6F" w14:textId="77777777" w:rsidR="00064BB4" w:rsidRPr="000665B0" w:rsidRDefault="00064BB4" w:rsidP="00474A1F">
      <w:pPr>
        <w:pStyle w:val="BodyTextIndent2"/>
        <w:tabs>
          <w:tab w:val="left" w:pos="720"/>
        </w:tabs>
        <w:spacing w:line="240" w:lineRule="auto"/>
        <w:ind w:left="0"/>
      </w:pPr>
      <w:r w:rsidRPr="000665B0">
        <w:t xml:space="preserve">To use the </w:t>
      </w:r>
      <w:r w:rsidRPr="000665B0">
        <w:rPr>
          <w:bCs/>
        </w:rPr>
        <w:t>Deconflict</w:t>
      </w:r>
      <w:r w:rsidRPr="000665B0">
        <w:t xml:space="preserve"> function:</w:t>
      </w:r>
    </w:p>
    <w:p w14:paraId="5E4D093D" w14:textId="77777777" w:rsidR="00064BB4" w:rsidRPr="000665B0" w:rsidRDefault="00064BB4" w:rsidP="006D5A65">
      <w:pPr>
        <w:pStyle w:val="Heading1"/>
      </w:pPr>
      <w:r w:rsidRPr="000665B0">
        <w:lastRenderedPageBreak/>
        <w:t xml:space="preserve">Select at least one mission for Use Rate Constraint </w:t>
      </w:r>
      <w:r w:rsidR="00E97A9A" w:rsidRPr="000665B0">
        <w:t xml:space="preserve">or Prohibited Area </w:t>
      </w:r>
      <w:r w:rsidR="002F137C" w:rsidRPr="000665B0">
        <w:t>deconfliction</w:t>
      </w:r>
      <w:r w:rsidRPr="000665B0">
        <w:t xml:space="preserve"> and at least two missions for Route, Target, and DSMAC deconfliction.</w:t>
      </w:r>
    </w:p>
    <w:p w14:paraId="4C6842EC" w14:textId="028A07E4" w:rsidR="00064BB4" w:rsidRPr="000665B0" w:rsidRDefault="00064BB4" w:rsidP="006D5A65">
      <w:pPr>
        <w:pStyle w:val="Heading1"/>
      </w:pPr>
      <w:r w:rsidRPr="000665B0">
        <w:t>Invoke the context menu (</w:t>
      </w:r>
      <w:r w:rsidR="00A55173" w:rsidRPr="000665B0">
        <w:t>right</w:t>
      </w:r>
      <w:r w:rsidR="001B3E68" w:rsidRPr="000665B0">
        <w:t>-</w:t>
      </w:r>
      <w:r w:rsidR="00A55173" w:rsidRPr="000665B0">
        <w:t>click</w:t>
      </w:r>
      <w:r w:rsidRPr="000665B0">
        <w:t xml:space="preserve"> the mouse) and select</w:t>
      </w:r>
      <w:r w:rsidRPr="000665B0">
        <w:rPr>
          <w:bCs/>
        </w:rPr>
        <w:t xml:space="preserve"> Show Conflicts</w:t>
      </w:r>
      <w:r w:rsidRPr="000665B0">
        <w:t xml:space="preserve">. The </w:t>
      </w:r>
      <w:r w:rsidR="00E97A9A" w:rsidRPr="000665B0">
        <w:rPr>
          <w:i/>
          <w:iCs/>
        </w:rPr>
        <w:t>Analysis</w:t>
      </w:r>
      <w:r w:rsidRPr="000665B0">
        <w:t xml:space="preserve"> window </w:t>
      </w:r>
      <w:r w:rsidR="00DB5AEE" w:rsidRPr="000665B0">
        <w:t>is</w:t>
      </w:r>
      <w:r w:rsidRPr="000665B0">
        <w:t xml:space="preserve"> displayed.</w:t>
      </w:r>
    </w:p>
    <w:p w14:paraId="56DC48CD" w14:textId="2663266F" w:rsidR="00064BB4" w:rsidRPr="000665B0" w:rsidRDefault="00F05581" w:rsidP="00474A1F">
      <w:pPr>
        <w:tabs>
          <w:tab w:val="left" w:pos="720"/>
        </w:tabs>
        <w:jc w:val="center"/>
      </w:pPr>
      <w:r w:rsidRPr="000665B0">
        <w:rPr>
          <w:noProof/>
        </w:rPr>
        <w:drawing>
          <wp:inline distT="0" distB="0" distL="0" distR="0" wp14:anchorId="31367A68" wp14:editId="3901B022">
            <wp:extent cx="4114800" cy="2587752"/>
            <wp:effectExtent l="0" t="0" r="0" b="3175"/>
            <wp:docPr id="97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587752"/>
                    </a:xfrm>
                    <a:prstGeom prst="rect">
                      <a:avLst/>
                    </a:prstGeom>
                  </pic:spPr>
                </pic:pic>
              </a:graphicData>
            </a:graphic>
          </wp:inline>
        </w:drawing>
      </w:r>
    </w:p>
    <w:p w14:paraId="5BE1BDFB" w14:textId="5A2B00D8" w:rsidR="00064BB4" w:rsidRPr="000665B0" w:rsidRDefault="009826B1" w:rsidP="006D5A65">
      <w:pPr>
        <w:pStyle w:val="Heading1"/>
      </w:pPr>
      <w:r w:rsidRPr="000665B0">
        <w:t xml:space="preserve">Change </w:t>
      </w:r>
      <w:r w:rsidR="00064BB4" w:rsidRPr="000665B0">
        <w:t>the tolerances</w:t>
      </w:r>
      <w:r w:rsidRPr="000665B0">
        <w:t xml:space="preserve"> if </w:t>
      </w:r>
      <w:r w:rsidR="00D1480F" w:rsidRPr="000665B0">
        <w:t>desired or</w:t>
      </w:r>
      <w:r w:rsidRPr="000665B0">
        <w:t xml:space="preserve"> keep the auto-populated system default tolerances</w:t>
      </w:r>
      <w:r w:rsidR="00064BB4" w:rsidRPr="000665B0">
        <w:t xml:space="preserve">. For Routes, it is Time, Corridor, and Altitude. For DSMACs and Targets it is Time and Distances. Use Rate Constraints </w:t>
      </w:r>
      <w:r w:rsidR="00E97A9A" w:rsidRPr="000665B0">
        <w:t xml:space="preserve">and Prohibited Areas </w:t>
      </w:r>
      <w:r w:rsidR="00064BB4" w:rsidRPr="000665B0">
        <w:t xml:space="preserve">do not require any </w:t>
      </w:r>
      <w:r w:rsidR="003A5881" w:rsidRPr="000665B0">
        <w:t>tolerance</w:t>
      </w:r>
      <w:r w:rsidR="00064BB4" w:rsidRPr="000665B0">
        <w:t>.</w:t>
      </w:r>
    </w:p>
    <w:p w14:paraId="7E423A65" w14:textId="77777777" w:rsidR="00064BB4" w:rsidRPr="000665B0" w:rsidRDefault="00064BB4" w:rsidP="006D5A65">
      <w:pPr>
        <w:pStyle w:val="Heading1"/>
      </w:pPr>
      <w:r w:rsidRPr="000665B0">
        <w:t xml:space="preserve">Select the Run Analysis </w:t>
      </w:r>
      <w:r w:rsidR="009A1FDF" w:rsidRPr="000665B0">
        <w:rPr>
          <w:noProof/>
        </w:rPr>
        <w:drawing>
          <wp:inline distT="0" distB="0" distL="0" distR="0" wp14:anchorId="207B852F" wp14:editId="69C8C97B">
            <wp:extent cx="152400" cy="152400"/>
            <wp:effectExtent l="19050" t="0" r="0" b="0"/>
            <wp:docPr id="583" name="Picture 583" descr="Execute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ExecuteQuery"/>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from the toolbar. The results </w:t>
      </w:r>
      <w:r w:rsidR="00DB5AEE" w:rsidRPr="000665B0">
        <w:t>are</w:t>
      </w:r>
      <w:r w:rsidRPr="000665B0">
        <w:t xml:space="preserve"> displayed in the tabbed sections of the </w:t>
      </w:r>
      <w:r w:rsidR="00E97A9A" w:rsidRPr="000665B0">
        <w:rPr>
          <w:i/>
          <w:iCs/>
        </w:rPr>
        <w:t>Analysis</w:t>
      </w:r>
      <w:r w:rsidRPr="000665B0">
        <w:t xml:space="preserve"> window.</w:t>
      </w:r>
    </w:p>
    <w:p w14:paraId="4DC72A54" w14:textId="77777777" w:rsidR="00064BB4" w:rsidRPr="000665B0" w:rsidRDefault="00064BB4" w:rsidP="00CB3E29">
      <w:pPr>
        <w:pStyle w:val="BodyTextIndent2"/>
        <w:keepNext/>
        <w:tabs>
          <w:tab w:val="left" w:pos="720"/>
        </w:tabs>
        <w:spacing w:line="240" w:lineRule="auto"/>
        <w:ind w:left="0"/>
        <w:rPr>
          <w:b/>
        </w:rPr>
      </w:pPr>
      <w:r w:rsidRPr="000665B0">
        <w:rPr>
          <w:b/>
        </w:rPr>
        <w:t>Overwater Waypoints Routes</w:t>
      </w:r>
    </w:p>
    <w:p w14:paraId="6CAFB93F" w14:textId="533E52F5" w:rsidR="00064BB4" w:rsidRPr="000665B0" w:rsidRDefault="00064BB4" w:rsidP="00474A1F">
      <w:pPr>
        <w:pStyle w:val="BodyTextIndent2"/>
        <w:tabs>
          <w:tab w:val="left" w:pos="720"/>
        </w:tabs>
        <w:spacing w:line="240" w:lineRule="auto"/>
        <w:ind w:left="0"/>
      </w:pPr>
      <w:r w:rsidRPr="000665B0">
        <w:t xml:space="preserve">Overwater </w:t>
      </w:r>
      <w:r w:rsidRPr="000665B0" w:rsidDel="008708FD">
        <w:t xml:space="preserve">Waypoints </w:t>
      </w:r>
      <w:r w:rsidRPr="000665B0">
        <w:t>Routes (</w:t>
      </w:r>
      <w:r w:rsidRPr="000665B0">
        <w:rPr>
          <w:b/>
        </w:rPr>
        <w:t>OWR</w:t>
      </w:r>
      <w:r w:rsidRPr="000665B0">
        <w:t xml:space="preserve">) can also be entered for each mission in the </w:t>
      </w:r>
      <w:r w:rsidRPr="000665B0">
        <w:rPr>
          <w:b/>
          <w:i/>
          <w:iCs/>
        </w:rPr>
        <w:t>Missiles</w:t>
      </w:r>
      <w:r w:rsidRPr="000665B0">
        <w:t xml:space="preserve"> tab. These </w:t>
      </w:r>
      <w:r w:rsidRPr="000665B0" w:rsidDel="008708FD">
        <w:t xml:space="preserve">waypoints </w:t>
      </w:r>
      <w:r w:rsidRPr="000665B0">
        <w:t xml:space="preserve">routes are used by MDS only and may be sent from MDS to MDS, but they </w:t>
      </w:r>
      <w:r w:rsidRPr="000665B0">
        <w:rPr>
          <w:b/>
        </w:rPr>
        <w:t>will not</w:t>
      </w:r>
      <w:r w:rsidRPr="000665B0">
        <w:t xml:space="preserve"> be sent to the TTWCS. TTWCS can send OWRs to MDS and MDS can process them. On MDS any OWRs that are received from TTWCS will supersede any </w:t>
      </w:r>
      <w:r w:rsidR="00392783" w:rsidRPr="000665B0">
        <w:t>MDS-</w:t>
      </w:r>
      <w:r w:rsidRPr="000665B0">
        <w:t xml:space="preserve">created OWRs. MDS will not modify </w:t>
      </w:r>
      <w:r w:rsidR="00D1480F" w:rsidRPr="000665B0">
        <w:t>TTWCS OWRs but</w:t>
      </w:r>
      <w:r w:rsidRPr="000665B0">
        <w:t xml:space="preserve"> use them during Strike Execution.</w:t>
      </w:r>
    </w:p>
    <w:p w14:paraId="2C6292D6" w14:textId="77777777" w:rsidR="00064BB4" w:rsidRPr="000665B0" w:rsidRDefault="00064BB4" w:rsidP="00474A1F">
      <w:pPr>
        <w:pStyle w:val="BodyTextIndent2"/>
        <w:tabs>
          <w:tab w:val="left" w:pos="720"/>
        </w:tabs>
        <w:spacing w:line="240" w:lineRule="auto"/>
        <w:ind w:left="0"/>
      </w:pPr>
      <w:r w:rsidRPr="000665B0">
        <w:t>To display an OWR:</w:t>
      </w:r>
    </w:p>
    <w:p w14:paraId="5CA7D36A" w14:textId="77777777" w:rsidR="00064BB4" w:rsidRPr="000665B0" w:rsidRDefault="00064BB4" w:rsidP="006D5A65">
      <w:pPr>
        <w:pStyle w:val="Heading1"/>
      </w:pPr>
      <w:r w:rsidRPr="000665B0">
        <w:t xml:space="preserve">In the </w:t>
      </w:r>
      <w:r w:rsidRPr="000665B0">
        <w:rPr>
          <w:i/>
        </w:rPr>
        <w:t>Missiles</w:t>
      </w:r>
      <w:r w:rsidRPr="000665B0">
        <w:t xml:space="preserve"> tab, select and highlight a missile.</w:t>
      </w:r>
    </w:p>
    <w:p w14:paraId="2D6661C6" w14:textId="045D6F14" w:rsidR="00064BB4" w:rsidRPr="000665B0" w:rsidRDefault="00064BB4" w:rsidP="006D5A65">
      <w:pPr>
        <w:pStyle w:val="Heading1"/>
      </w:pPr>
      <w:r w:rsidRPr="000665B0">
        <w:t>Invoke the context menu (</w:t>
      </w:r>
      <w:r w:rsidR="00A55173" w:rsidRPr="000665B0">
        <w:t>right</w:t>
      </w:r>
      <w:r w:rsidR="001B3E68" w:rsidRPr="000665B0">
        <w:t>-</w:t>
      </w:r>
      <w:r w:rsidR="00A55173" w:rsidRPr="000665B0">
        <w:t>click</w:t>
      </w:r>
      <w:r w:rsidRPr="000665B0">
        <w:t xml:space="preserve"> the mouse) and select Overwater Routes </w:t>
      </w:r>
      <w:r w:rsidR="00392783" w:rsidRPr="000665B0">
        <w:sym w:font="Wingdings 3" w:char="F07D"/>
      </w:r>
      <w:r w:rsidRPr="000665B0">
        <w:t xml:space="preserve"> Display. The </w:t>
      </w:r>
      <w:r w:rsidRPr="000665B0">
        <w:rPr>
          <w:i/>
        </w:rPr>
        <w:t>Overwater Route</w:t>
      </w:r>
      <w:r w:rsidRPr="000665B0">
        <w:rPr>
          <w:i/>
          <w:iCs/>
        </w:rPr>
        <w:t xml:space="preserve"> </w:t>
      </w:r>
      <w:r w:rsidRPr="000665B0">
        <w:t xml:space="preserve">textual view </w:t>
      </w:r>
      <w:r w:rsidR="00DB5AEE" w:rsidRPr="000665B0">
        <w:t>is</w:t>
      </w:r>
      <w:r w:rsidRPr="000665B0">
        <w:t xml:space="preserve"> displayed.</w:t>
      </w:r>
    </w:p>
    <w:p w14:paraId="4BC1C1B8" w14:textId="77777777" w:rsidR="00064BB4" w:rsidRPr="000665B0" w:rsidRDefault="00064BB4" w:rsidP="00474A1F">
      <w:pPr>
        <w:pStyle w:val="BodyTextIndent2"/>
        <w:tabs>
          <w:tab w:val="left" w:pos="720"/>
        </w:tabs>
        <w:spacing w:line="240" w:lineRule="auto"/>
        <w:ind w:left="0"/>
      </w:pPr>
      <w:r w:rsidRPr="000665B0">
        <w:t>To create a new MDS OWR:</w:t>
      </w:r>
    </w:p>
    <w:p w14:paraId="6331930C" w14:textId="77777777" w:rsidR="00064BB4" w:rsidRPr="000665B0" w:rsidRDefault="00064BB4" w:rsidP="006D5A65">
      <w:pPr>
        <w:pStyle w:val="Heading1"/>
      </w:pPr>
      <w:r w:rsidRPr="000665B0">
        <w:lastRenderedPageBreak/>
        <w:t xml:space="preserve">In the </w:t>
      </w:r>
      <w:r w:rsidRPr="000665B0">
        <w:rPr>
          <w:i/>
        </w:rPr>
        <w:t>Missiles</w:t>
      </w:r>
      <w:r w:rsidRPr="000665B0">
        <w:t xml:space="preserve"> tab, select and highlight a </w:t>
      </w:r>
      <w:r w:rsidR="00715142" w:rsidRPr="000665B0">
        <w:t>missile</w:t>
      </w:r>
      <w:r w:rsidRPr="000665B0">
        <w:t>.</w:t>
      </w:r>
    </w:p>
    <w:p w14:paraId="7FE32014" w14:textId="0F7AFD0E" w:rsidR="00064BB4" w:rsidRPr="000665B0" w:rsidRDefault="00064BB4" w:rsidP="006D5A65">
      <w:pPr>
        <w:pStyle w:val="Heading1"/>
      </w:pPr>
      <w:r w:rsidRPr="000665B0">
        <w:t>Invoke the context menu (</w:t>
      </w:r>
      <w:r w:rsidR="00A55173" w:rsidRPr="000665B0">
        <w:t>right</w:t>
      </w:r>
      <w:r w:rsidR="001B3E68" w:rsidRPr="000665B0">
        <w:t>-</w:t>
      </w:r>
      <w:r w:rsidR="00A55173" w:rsidRPr="000665B0">
        <w:t>click</w:t>
      </w:r>
      <w:r w:rsidRPr="000665B0">
        <w:t xml:space="preserve"> the mouse) and select Overwater Routes </w:t>
      </w:r>
      <w:r w:rsidR="00392783" w:rsidRPr="000665B0">
        <w:sym w:font="Wingdings 3" w:char="F07D"/>
      </w:r>
      <w:r w:rsidRPr="000665B0">
        <w:t xml:space="preserve"> New. The </w:t>
      </w:r>
      <w:r w:rsidRPr="000665B0">
        <w:rPr>
          <w:i/>
        </w:rPr>
        <w:t>Overwater Waypoint Analysis</w:t>
      </w:r>
      <w:r w:rsidRPr="000665B0">
        <w:rPr>
          <w:i/>
          <w:iCs/>
        </w:rPr>
        <w:t xml:space="preserve"> </w:t>
      </w:r>
      <w:r w:rsidRPr="000665B0">
        <w:t xml:space="preserve">window </w:t>
      </w:r>
      <w:r w:rsidR="00DB5AEE" w:rsidRPr="000665B0">
        <w:t>is</w:t>
      </w:r>
      <w:r w:rsidRPr="000665B0">
        <w:t xml:space="preserve"> displayed and MDS will switch to the Geo Tool.</w:t>
      </w:r>
    </w:p>
    <w:p w14:paraId="47528E9C" w14:textId="08EB0F51" w:rsidR="00064BB4" w:rsidRPr="000665B0" w:rsidRDefault="00EB41F3" w:rsidP="00474A1F">
      <w:pPr>
        <w:tabs>
          <w:tab w:val="left" w:pos="720"/>
        </w:tabs>
        <w:jc w:val="center"/>
        <w:rPr>
          <w:bCs/>
        </w:rPr>
      </w:pPr>
      <w:r w:rsidRPr="000665B0">
        <w:rPr>
          <w:noProof/>
        </w:rPr>
        <w:drawing>
          <wp:inline distT="0" distB="0" distL="0" distR="0" wp14:anchorId="4D497FA9" wp14:editId="10CEC9EB">
            <wp:extent cx="2743200" cy="1975104"/>
            <wp:effectExtent l="0" t="0" r="0" b="635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975104"/>
                    </a:xfrm>
                    <a:prstGeom prst="rect">
                      <a:avLst/>
                    </a:prstGeom>
                  </pic:spPr>
                </pic:pic>
              </a:graphicData>
            </a:graphic>
          </wp:inline>
        </w:drawing>
      </w:r>
    </w:p>
    <w:p w14:paraId="4535CD84" w14:textId="77777777" w:rsidR="00064BB4" w:rsidRPr="000665B0" w:rsidRDefault="00064BB4" w:rsidP="006D5A65">
      <w:pPr>
        <w:pStyle w:val="Heading1"/>
      </w:pPr>
      <w:r w:rsidRPr="000665B0">
        <w:t xml:space="preserve">On the Geo Tool, click inside the launch basket to add points to the overwater route. </w:t>
      </w:r>
    </w:p>
    <w:p w14:paraId="3C1A086F" w14:textId="77777777" w:rsidR="00064BB4" w:rsidRPr="000665B0" w:rsidRDefault="00064BB4" w:rsidP="006D5A65">
      <w:pPr>
        <w:pStyle w:val="Heading1"/>
      </w:pPr>
      <w:r w:rsidRPr="000665B0">
        <w:t>Click</w:t>
      </w:r>
      <w:r w:rsidR="00E2707D" w:rsidRPr="000665B0">
        <w:t xml:space="preserve"> the</w:t>
      </w:r>
      <w:r w:rsidRPr="000665B0">
        <w:t xml:space="preserve"> OK </w:t>
      </w:r>
      <w:r w:rsidR="00E2707D" w:rsidRPr="000665B0">
        <w:t xml:space="preserve">button </w:t>
      </w:r>
      <w:r w:rsidRPr="000665B0">
        <w:t>when done.</w:t>
      </w:r>
    </w:p>
    <w:p w14:paraId="4DC26F1A" w14:textId="77777777" w:rsidR="00064BB4" w:rsidRPr="000665B0" w:rsidRDefault="00064BB4" w:rsidP="00474A1F">
      <w:pPr>
        <w:pStyle w:val="BodyTextIndent2"/>
        <w:tabs>
          <w:tab w:val="left" w:pos="720"/>
        </w:tabs>
        <w:spacing w:line="240" w:lineRule="auto"/>
        <w:ind w:left="0"/>
      </w:pPr>
      <w:r w:rsidRPr="000665B0">
        <w:t>To edit a</w:t>
      </w:r>
      <w:r w:rsidR="00392783" w:rsidRPr="000665B0">
        <w:t>n</w:t>
      </w:r>
      <w:r w:rsidRPr="000665B0">
        <w:t xml:space="preserve"> MDS OWR:</w:t>
      </w:r>
    </w:p>
    <w:p w14:paraId="372D1E0D" w14:textId="77777777" w:rsidR="00064BB4" w:rsidRPr="000665B0" w:rsidRDefault="00064BB4" w:rsidP="006D5A65">
      <w:pPr>
        <w:pStyle w:val="Heading1"/>
      </w:pPr>
      <w:r w:rsidRPr="000665B0">
        <w:t xml:space="preserve">In the </w:t>
      </w:r>
      <w:r w:rsidRPr="000665B0">
        <w:rPr>
          <w:i/>
        </w:rPr>
        <w:t>Missiles</w:t>
      </w:r>
      <w:r w:rsidRPr="000665B0">
        <w:t xml:space="preserve"> tab, select and highlight a missile.</w:t>
      </w:r>
    </w:p>
    <w:p w14:paraId="58E697E3" w14:textId="7C4AC1B0" w:rsidR="00064BB4" w:rsidRPr="000665B0" w:rsidRDefault="00064BB4" w:rsidP="006D5A65">
      <w:pPr>
        <w:pStyle w:val="Heading1"/>
      </w:pPr>
      <w:r w:rsidRPr="000665B0">
        <w:t>Invoke the context menu (</w:t>
      </w:r>
      <w:r w:rsidR="00A55173" w:rsidRPr="000665B0">
        <w:t>right</w:t>
      </w:r>
      <w:r w:rsidR="001B3E68" w:rsidRPr="000665B0">
        <w:t>-</w:t>
      </w:r>
      <w:r w:rsidR="00A55173" w:rsidRPr="000665B0">
        <w:t>click</w:t>
      </w:r>
      <w:r w:rsidRPr="000665B0">
        <w:t xml:space="preserve"> the mouse) and select Overwater Routes </w:t>
      </w:r>
      <w:r w:rsidR="00392783" w:rsidRPr="000665B0">
        <w:sym w:font="Wingdings 3" w:char="F07D"/>
      </w:r>
      <w:r w:rsidRPr="000665B0">
        <w:t xml:space="preserve"> Edit. The </w:t>
      </w:r>
      <w:r w:rsidRPr="000665B0">
        <w:rPr>
          <w:i/>
        </w:rPr>
        <w:t>Overwater Waypoint Analysis</w:t>
      </w:r>
      <w:r w:rsidRPr="000665B0">
        <w:rPr>
          <w:i/>
          <w:iCs/>
        </w:rPr>
        <w:t xml:space="preserve"> </w:t>
      </w:r>
      <w:r w:rsidRPr="000665B0">
        <w:t xml:space="preserve">window </w:t>
      </w:r>
      <w:r w:rsidR="00DB5AEE" w:rsidRPr="000665B0">
        <w:t>is</w:t>
      </w:r>
      <w:r w:rsidRPr="000665B0">
        <w:t xml:space="preserve"> displayed and MDS will switch to the Geo Tool.</w:t>
      </w:r>
    </w:p>
    <w:p w14:paraId="215DBE07" w14:textId="5AF5760F" w:rsidR="00064BB4" w:rsidRPr="000665B0" w:rsidRDefault="00064BB4" w:rsidP="006D5A65">
      <w:pPr>
        <w:pStyle w:val="Heading1"/>
      </w:pPr>
      <w:r w:rsidRPr="000665B0">
        <w:t>To delete a point, right</w:t>
      </w:r>
      <w:r w:rsidR="001B3E68" w:rsidRPr="000665B0">
        <w:t>-</w:t>
      </w:r>
      <w:r w:rsidRPr="000665B0">
        <w:t>click on the desired point in the Overwater Waypoint Analysis window and select Delete Last Position.</w:t>
      </w:r>
    </w:p>
    <w:p w14:paraId="244FCEDD" w14:textId="77777777" w:rsidR="00064BB4" w:rsidRPr="000665B0" w:rsidRDefault="00064BB4" w:rsidP="006D5A65">
      <w:pPr>
        <w:pStyle w:val="Heading1"/>
      </w:pPr>
      <w:r w:rsidRPr="000665B0">
        <w:t xml:space="preserve">Add </w:t>
      </w:r>
      <w:r w:rsidR="00346A98" w:rsidRPr="000665B0">
        <w:t xml:space="preserve">a </w:t>
      </w:r>
      <w:r w:rsidRPr="000665B0">
        <w:t>new point by click</w:t>
      </w:r>
      <w:r w:rsidR="00346A98" w:rsidRPr="000665B0">
        <w:t>ing</w:t>
      </w:r>
      <w:r w:rsidRPr="000665B0">
        <w:t xml:space="preserve"> inside the mission’s launch basket on the Geo.</w:t>
      </w:r>
    </w:p>
    <w:p w14:paraId="24BFB03B" w14:textId="77777777" w:rsidR="00E2707D" w:rsidRPr="000665B0" w:rsidRDefault="00E2707D" w:rsidP="006D5A65">
      <w:pPr>
        <w:pStyle w:val="Heading1"/>
      </w:pPr>
      <w:r w:rsidRPr="000665B0">
        <w:t>Click the OK button when done.</w:t>
      </w:r>
    </w:p>
    <w:p w14:paraId="68D886E5" w14:textId="77777777" w:rsidR="00064BB4" w:rsidRPr="000665B0" w:rsidRDefault="00064BB4" w:rsidP="00A0163E">
      <w:pPr>
        <w:pStyle w:val="BodyTextIndent2"/>
        <w:keepNext/>
        <w:tabs>
          <w:tab w:val="left" w:pos="720"/>
        </w:tabs>
        <w:spacing w:line="240" w:lineRule="auto"/>
        <w:ind w:left="0"/>
      </w:pPr>
      <w:r w:rsidRPr="000665B0">
        <w:t>To copy an existing OWR:</w:t>
      </w:r>
    </w:p>
    <w:p w14:paraId="55BBF9A0" w14:textId="77777777" w:rsidR="00064BB4" w:rsidRPr="000665B0" w:rsidRDefault="00064BB4" w:rsidP="006D5A65">
      <w:pPr>
        <w:pStyle w:val="Heading1"/>
      </w:pPr>
      <w:r w:rsidRPr="000665B0">
        <w:t xml:space="preserve">In the </w:t>
      </w:r>
      <w:r w:rsidRPr="000665B0">
        <w:rPr>
          <w:i/>
        </w:rPr>
        <w:t>Missiles</w:t>
      </w:r>
      <w:r w:rsidRPr="000665B0">
        <w:t xml:space="preserve"> tab, select and highlight a missile. </w:t>
      </w:r>
    </w:p>
    <w:p w14:paraId="27644153" w14:textId="15BEFC16" w:rsidR="00064BB4" w:rsidRPr="000665B0" w:rsidRDefault="00064BB4" w:rsidP="006D5A65">
      <w:pPr>
        <w:pStyle w:val="Heading1"/>
      </w:pPr>
      <w:r w:rsidRPr="000665B0">
        <w:t>Invoke the context menu (</w:t>
      </w:r>
      <w:r w:rsidR="00A55173" w:rsidRPr="000665B0">
        <w:t>right</w:t>
      </w:r>
      <w:r w:rsidR="001B3E68" w:rsidRPr="000665B0">
        <w:t>-</w:t>
      </w:r>
      <w:r w:rsidR="00A55173" w:rsidRPr="000665B0">
        <w:t>click</w:t>
      </w:r>
      <w:r w:rsidRPr="000665B0">
        <w:t xml:space="preserve"> the mouse) and select Overwater Routes </w:t>
      </w:r>
      <w:r w:rsidR="00392783" w:rsidRPr="000665B0">
        <w:sym w:font="Wingdings 3" w:char="F07D"/>
      </w:r>
      <w:r w:rsidRPr="000665B0">
        <w:t xml:space="preserve"> Select. </w:t>
      </w:r>
      <w:r w:rsidR="00392783" w:rsidRPr="000665B0">
        <w:t xml:space="preserve">The </w:t>
      </w:r>
      <w:r w:rsidR="00392783" w:rsidRPr="000665B0">
        <w:rPr>
          <w:i/>
        </w:rPr>
        <w:t>Overwater Route Selection</w:t>
      </w:r>
      <w:r w:rsidR="00392783" w:rsidRPr="000665B0">
        <w:t xml:space="preserve"> window</w:t>
      </w:r>
      <w:r w:rsidRPr="000665B0">
        <w:t xml:space="preserve"> appear</w:t>
      </w:r>
      <w:r w:rsidR="008B1631" w:rsidRPr="000665B0">
        <w:t>s</w:t>
      </w:r>
      <w:r w:rsidRPr="000665B0">
        <w:t xml:space="preserve"> with all the overwater routes for the selected platform and mission. </w:t>
      </w:r>
    </w:p>
    <w:p w14:paraId="4C2ACA98" w14:textId="77777777" w:rsidR="00064BB4" w:rsidRPr="000665B0" w:rsidRDefault="00064BB4" w:rsidP="00681095">
      <w:pPr>
        <w:pStyle w:val="BodyTextIndent2"/>
        <w:keepNext/>
        <w:tabs>
          <w:tab w:val="left" w:pos="720"/>
        </w:tabs>
        <w:spacing w:line="240" w:lineRule="auto"/>
        <w:ind w:left="0"/>
      </w:pPr>
      <w:r w:rsidRPr="000665B0">
        <w:t>To remove an OWR:</w:t>
      </w:r>
    </w:p>
    <w:p w14:paraId="20AB00F6" w14:textId="77777777" w:rsidR="00064BB4" w:rsidRPr="000665B0" w:rsidRDefault="00064BB4" w:rsidP="006D5A65">
      <w:pPr>
        <w:pStyle w:val="Heading1"/>
      </w:pPr>
      <w:r w:rsidRPr="000665B0">
        <w:t xml:space="preserve">In the </w:t>
      </w:r>
      <w:r w:rsidRPr="000665B0">
        <w:rPr>
          <w:i/>
        </w:rPr>
        <w:t>Missiles</w:t>
      </w:r>
      <w:r w:rsidRPr="000665B0">
        <w:t xml:space="preserve"> tab, select and highlight a missile. </w:t>
      </w:r>
    </w:p>
    <w:p w14:paraId="5B50ABBE" w14:textId="5AD99B47" w:rsidR="00064BB4" w:rsidRPr="000665B0" w:rsidRDefault="00064BB4" w:rsidP="006D5A65">
      <w:pPr>
        <w:pStyle w:val="Heading1"/>
      </w:pPr>
      <w:r w:rsidRPr="000665B0">
        <w:t>Invoke the context menu (</w:t>
      </w:r>
      <w:r w:rsidR="00A55173" w:rsidRPr="000665B0">
        <w:t>right</w:t>
      </w:r>
      <w:r w:rsidR="001B3E68" w:rsidRPr="000665B0">
        <w:t>-</w:t>
      </w:r>
      <w:r w:rsidR="00A55173" w:rsidRPr="000665B0">
        <w:t>click</w:t>
      </w:r>
      <w:r w:rsidRPr="000665B0">
        <w:t xml:space="preserve"> the mouse) and select Overwater Routes </w:t>
      </w:r>
      <w:r w:rsidR="00392783" w:rsidRPr="000665B0">
        <w:sym w:font="Wingdings 3" w:char="F07D"/>
      </w:r>
      <w:r w:rsidRPr="000665B0">
        <w:t xml:space="preserve"> Remove.</w:t>
      </w:r>
    </w:p>
    <w:p w14:paraId="40D971B6" w14:textId="77777777" w:rsidR="00064BB4" w:rsidRPr="000665B0" w:rsidRDefault="00064BB4" w:rsidP="00474A1F">
      <w:pPr>
        <w:tabs>
          <w:tab w:val="left" w:pos="720"/>
        </w:tabs>
        <w:rPr>
          <w:b/>
          <w:szCs w:val="24"/>
        </w:rPr>
      </w:pPr>
      <w:r w:rsidRPr="000665B0">
        <w:rPr>
          <w:b/>
          <w:szCs w:val="24"/>
        </w:rPr>
        <w:t>FRU Reassignment</w:t>
      </w:r>
    </w:p>
    <w:p w14:paraId="78EAB79A" w14:textId="5D590313" w:rsidR="001E3974" w:rsidRPr="000665B0" w:rsidRDefault="00064BB4" w:rsidP="00474A1F">
      <w:pPr>
        <w:tabs>
          <w:tab w:val="left" w:pos="720"/>
        </w:tabs>
        <w:rPr>
          <w:szCs w:val="24"/>
        </w:rPr>
      </w:pPr>
      <w:r w:rsidRPr="000665B0">
        <w:rPr>
          <w:szCs w:val="24"/>
        </w:rPr>
        <w:lastRenderedPageBreak/>
        <w:t>FRUs can be reassigned on the reservation list view using the</w:t>
      </w:r>
      <w:r w:rsidR="00E36E36" w:rsidRPr="000665B0">
        <w:rPr>
          <w:szCs w:val="24"/>
        </w:rPr>
        <w:t xml:space="preserve"> </w:t>
      </w:r>
      <w:r w:rsidR="00D0254A" w:rsidRPr="000665B0">
        <w:rPr>
          <w:szCs w:val="24"/>
        </w:rPr>
        <w:t>c</w:t>
      </w:r>
      <w:r w:rsidR="00E36E36" w:rsidRPr="000665B0">
        <w:rPr>
          <w:szCs w:val="24"/>
        </w:rPr>
        <w:t xml:space="preserve">ontext </w:t>
      </w:r>
      <w:r w:rsidR="00D0254A" w:rsidRPr="000665B0">
        <w:rPr>
          <w:szCs w:val="24"/>
        </w:rPr>
        <w:t>m</w:t>
      </w:r>
      <w:r w:rsidR="00E36E36" w:rsidRPr="000665B0">
        <w:rPr>
          <w:szCs w:val="24"/>
        </w:rPr>
        <w:t>enu (right</w:t>
      </w:r>
      <w:r w:rsidR="001B3E68" w:rsidRPr="000665B0">
        <w:rPr>
          <w:szCs w:val="24"/>
        </w:rPr>
        <w:t>-</w:t>
      </w:r>
      <w:r w:rsidR="00E36E36" w:rsidRPr="000665B0">
        <w:rPr>
          <w:szCs w:val="24"/>
        </w:rPr>
        <w:t>click the mouse)</w:t>
      </w:r>
      <w:r w:rsidR="00EB41F3" w:rsidRPr="000665B0">
        <w:rPr>
          <w:szCs w:val="24"/>
        </w:rPr>
        <w:t xml:space="preserve"> and select</w:t>
      </w:r>
      <w:r w:rsidRPr="000665B0">
        <w:rPr>
          <w:szCs w:val="24"/>
        </w:rPr>
        <w:t xml:space="preserve"> </w:t>
      </w:r>
      <w:r w:rsidRPr="000665B0">
        <w:rPr>
          <w:b/>
          <w:szCs w:val="24"/>
        </w:rPr>
        <w:t>Reassign FRU…</w:t>
      </w:r>
      <w:r w:rsidRPr="000665B0">
        <w:rPr>
          <w:szCs w:val="24"/>
        </w:rPr>
        <w:t xml:space="preserve">. </w:t>
      </w:r>
    </w:p>
    <w:p w14:paraId="577E4E42" w14:textId="7BB5BBFD" w:rsidR="001E3974" w:rsidRPr="000665B0" w:rsidRDefault="006551B5" w:rsidP="00AC2F7D">
      <w:pPr>
        <w:tabs>
          <w:tab w:val="left" w:pos="720"/>
        </w:tabs>
        <w:spacing w:after="240"/>
        <w:jc w:val="center"/>
        <w:rPr>
          <w:szCs w:val="24"/>
        </w:rPr>
      </w:pPr>
      <w:r w:rsidRPr="000665B0">
        <w:rPr>
          <w:noProof/>
        </w:rPr>
        <w:drawing>
          <wp:inline distT="0" distB="0" distL="0" distR="0" wp14:anchorId="4C125E69" wp14:editId="62585AAA">
            <wp:extent cx="1514475" cy="2036969"/>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516373" cy="2039522"/>
                    </a:xfrm>
                    <a:prstGeom prst="rect">
                      <a:avLst/>
                    </a:prstGeom>
                  </pic:spPr>
                </pic:pic>
              </a:graphicData>
            </a:graphic>
          </wp:inline>
        </w:drawing>
      </w:r>
    </w:p>
    <w:p w14:paraId="4E4FC04B" w14:textId="77777777" w:rsidR="008354FF" w:rsidRPr="000665B0" w:rsidRDefault="008354FF" w:rsidP="00BB197D">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6490D3A3" w14:textId="6A936E8B" w:rsidR="008354FF" w:rsidRPr="000665B0" w:rsidRDefault="008354FF" w:rsidP="00BB197D">
      <w:pPr>
        <w:keepNext/>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There are FRU reassignment limitations on legacy systems (MDS 5.x) when executing an MDS 6.0</w:t>
      </w:r>
      <w:r w:rsidR="00E966FD" w:rsidRPr="000665B0">
        <w:rPr>
          <w:b/>
        </w:rPr>
        <w:t xml:space="preserve"> </w:t>
      </w:r>
      <w:r w:rsidR="00DA626A" w:rsidRPr="000665B0">
        <w:rPr>
          <w:b/>
        </w:rPr>
        <w:t>(</w:t>
      </w:r>
      <w:r w:rsidR="005619C1" w:rsidRPr="000665B0">
        <w:rPr>
          <w:b/>
        </w:rPr>
        <w:t>and</w:t>
      </w:r>
      <w:r w:rsidR="00E966FD" w:rsidRPr="000665B0">
        <w:rPr>
          <w:b/>
        </w:rPr>
        <w:t xml:space="preserve"> above</w:t>
      </w:r>
      <w:r w:rsidR="00DA626A" w:rsidRPr="000665B0">
        <w:rPr>
          <w:b/>
        </w:rPr>
        <w:t>)</w:t>
      </w:r>
      <w:r w:rsidRPr="000665B0">
        <w:rPr>
          <w:b/>
        </w:rPr>
        <w:t xml:space="preserve"> strike: </w:t>
      </w:r>
    </w:p>
    <w:p w14:paraId="2313FE9D" w14:textId="2FC3A3C5" w:rsidR="008354FF" w:rsidRPr="000665B0" w:rsidRDefault="008354FF" w:rsidP="008354FF">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If there are ACA reservations in the MDS 6.0</w:t>
      </w:r>
      <w:r w:rsidR="00E966FD" w:rsidRPr="000665B0">
        <w:rPr>
          <w:b/>
        </w:rPr>
        <w:t xml:space="preserve"> </w:t>
      </w:r>
      <w:r w:rsidR="00DA626A" w:rsidRPr="000665B0">
        <w:rPr>
          <w:b/>
        </w:rPr>
        <w:t>(</w:t>
      </w:r>
      <w:r w:rsidR="005619C1" w:rsidRPr="000665B0">
        <w:rPr>
          <w:b/>
        </w:rPr>
        <w:t xml:space="preserve">and </w:t>
      </w:r>
      <w:r w:rsidR="00E966FD" w:rsidRPr="000665B0">
        <w:rPr>
          <w:b/>
        </w:rPr>
        <w:t>above</w:t>
      </w:r>
      <w:r w:rsidR="00DA626A" w:rsidRPr="000665B0">
        <w:rPr>
          <w:b/>
        </w:rPr>
        <w:t>)</w:t>
      </w:r>
      <w:r w:rsidRPr="000665B0">
        <w:rPr>
          <w:b/>
        </w:rPr>
        <w:t xml:space="preserve"> strike, they appear on MDS 5.x as </w:t>
      </w:r>
      <w:r w:rsidR="007D3E78" w:rsidRPr="000665B0">
        <w:rPr>
          <w:b/>
        </w:rPr>
        <w:t xml:space="preserve">comms-disabled </w:t>
      </w:r>
      <w:r w:rsidRPr="000665B0">
        <w:rPr>
          <w:b/>
        </w:rPr>
        <w:t>DAMA reservations.</w:t>
      </w:r>
    </w:p>
    <w:p w14:paraId="511BA42D" w14:textId="5CEF665A" w:rsidR="008354FF" w:rsidRPr="000665B0" w:rsidRDefault="008354FF" w:rsidP="008354FF">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When an MDS 6.0</w:t>
      </w:r>
      <w:r w:rsidR="00E966FD" w:rsidRPr="000665B0">
        <w:rPr>
          <w:b/>
        </w:rPr>
        <w:t xml:space="preserve"> </w:t>
      </w:r>
      <w:r w:rsidR="00DA626A" w:rsidRPr="000665B0">
        <w:rPr>
          <w:b/>
        </w:rPr>
        <w:t>(</w:t>
      </w:r>
      <w:r w:rsidR="005619C1" w:rsidRPr="000665B0">
        <w:rPr>
          <w:b/>
        </w:rPr>
        <w:t xml:space="preserve">and </w:t>
      </w:r>
      <w:r w:rsidR="00E966FD" w:rsidRPr="000665B0">
        <w:rPr>
          <w:b/>
        </w:rPr>
        <w:t>above</w:t>
      </w:r>
      <w:r w:rsidR="00DA626A" w:rsidRPr="000665B0">
        <w:rPr>
          <w:b/>
        </w:rPr>
        <w:t>)</w:t>
      </w:r>
      <w:r w:rsidRPr="000665B0">
        <w:rPr>
          <w:b/>
        </w:rPr>
        <w:t xml:space="preserve"> strike is modified (</w:t>
      </w:r>
      <w:r w:rsidR="003509EA" w:rsidRPr="000665B0">
        <w:rPr>
          <w:b/>
        </w:rPr>
        <w:t xml:space="preserve">e.g., </w:t>
      </w:r>
      <w:r w:rsidRPr="000665B0">
        <w:rPr>
          <w:b/>
        </w:rPr>
        <w:t xml:space="preserve">FRU reassign of any ACA reservations to DAMA) on MDS </w:t>
      </w:r>
      <w:r w:rsidR="00D1480F" w:rsidRPr="000665B0">
        <w:rPr>
          <w:b/>
        </w:rPr>
        <w:t>5.x and</w:t>
      </w:r>
      <w:r w:rsidRPr="000665B0">
        <w:rPr>
          <w:b/>
        </w:rPr>
        <w:t xml:space="preserve"> </w:t>
      </w:r>
      <w:r w:rsidR="006D265C" w:rsidRPr="000665B0">
        <w:rPr>
          <w:b/>
        </w:rPr>
        <w:t xml:space="preserve">is </w:t>
      </w:r>
      <w:r w:rsidRPr="000665B0">
        <w:rPr>
          <w:b/>
        </w:rPr>
        <w:t>then sent back to MDS 6.0</w:t>
      </w:r>
      <w:r w:rsidR="00E966FD" w:rsidRPr="000665B0">
        <w:rPr>
          <w:b/>
        </w:rPr>
        <w:t xml:space="preserve"> </w:t>
      </w:r>
      <w:r w:rsidR="00DA626A" w:rsidRPr="000665B0">
        <w:rPr>
          <w:b/>
        </w:rPr>
        <w:t>(</w:t>
      </w:r>
      <w:r w:rsidR="005619C1" w:rsidRPr="000665B0">
        <w:rPr>
          <w:b/>
        </w:rPr>
        <w:t xml:space="preserve">and </w:t>
      </w:r>
      <w:r w:rsidR="00E966FD" w:rsidRPr="000665B0">
        <w:rPr>
          <w:b/>
        </w:rPr>
        <w:t>above</w:t>
      </w:r>
      <w:r w:rsidR="00DA626A" w:rsidRPr="000665B0">
        <w:rPr>
          <w:b/>
        </w:rPr>
        <w:t>)</w:t>
      </w:r>
      <w:r w:rsidRPr="000665B0">
        <w:rPr>
          <w:b/>
        </w:rPr>
        <w:t>, the modified reservations appear on MDS 6.0</w:t>
      </w:r>
      <w:r w:rsidR="00E966FD" w:rsidRPr="000665B0">
        <w:rPr>
          <w:b/>
        </w:rPr>
        <w:t xml:space="preserve"> </w:t>
      </w:r>
      <w:r w:rsidR="00DA626A" w:rsidRPr="000665B0">
        <w:rPr>
          <w:b/>
        </w:rPr>
        <w:t>(</w:t>
      </w:r>
      <w:r w:rsidR="005619C1" w:rsidRPr="000665B0">
        <w:rPr>
          <w:b/>
        </w:rPr>
        <w:t xml:space="preserve">and </w:t>
      </w:r>
      <w:r w:rsidR="00E966FD" w:rsidRPr="000665B0">
        <w:rPr>
          <w:b/>
        </w:rPr>
        <w:t>above</w:t>
      </w:r>
      <w:r w:rsidR="00DA626A" w:rsidRPr="000665B0">
        <w:rPr>
          <w:b/>
        </w:rPr>
        <w:t>)</w:t>
      </w:r>
      <w:r w:rsidRPr="000665B0">
        <w:rPr>
          <w:b/>
        </w:rPr>
        <w:t xml:space="preserve"> as DAMA reservations, but with ACA </w:t>
      </w:r>
      <w:r w:rsidR="00CB517B" w:rsidRPr="000665B0">
        <w:rPr>
          <w:b/>
        </w:rPr>
        <w:t xml:space="preserve">missile </w:t>
      </w:r>
      <w:r w:rsidRPr="000665B0">
        <w:rPr>
          <w:b/>
        </w:rPr>
        <w:t>subscriber IDs.</w:t>
      </w:r>
    </w:p>
    <w:p w14:paraId="310508FE" w14:textId="0CECBBB7" w:rsidR="001E3974" w:rsidRPr="000665B0" w:rsidRDefault="00064BB4" w:rsidP="001E3974">
      <w:pPr>
        <w:tabs>
          <w:tab w:val="left" w:pos="720"/>
        </w:tabs>
        <w:rPr>
          <w:szCs w:val="24"/>
        </w:rPr>
      </w:pPr>
      <w:r w:rsidRPr="000665B0">
        <w:rPr>
          <w:szCs w:val="24"/>
        </w:rPr>
        <w:t xml:space="preserve">Reassignment is allowed for multiple </w:t>
      </w:r>
      <w:r w:rsidR="00D1480F" w:rsidRPr="000665B0">
        <w:rPr>
          <w:szCs w:val="24"/>
        </w:rPr>
        <w:t>assignments,</w:t>
      </w:r>
      <w:r w:rsidRPr="000665B0">
        <w:rPr>
          <w:szCs w:val="24"/>
        </w:rPr>
        <w:t xml:space="preserve"> but they must all be from the same FRU</w:t>
      </w:r>
      <w:r w:rsidR="001E3974" w:rsidRPr="000665B0">
        <w:rPr>
          <w:szCs w:val="24"/>
        </w:rPr>
        <w:t xml:space="preserve">. </w:t>
      </w:r>
    </w:p>
    <w:p w14:paraId="2936CFF1" w14:textId="2B9E0F75" w:rsidR="001E3974" w:rsidRPr="000665B0" w:rsidRDefault="0014164D" w:rsidP="004E7DCC">
      <w:pPr>
        <w:tabs>
          <w:tab w:val="left" w:pos="720"/>
        </w:tabs>
        <w:jc w:val="center"/>
        <w:rPr>
          <w:szCs w:val="24"/>
        </w:rPr>
      </w:pPr>
      <w:r w:rsidRPr="000665B0">
        <w:rPr>
          <w:noProof/>
        </w:rPr>
        <w:drawing>
          <wp:inline distT="0" distB="0" distL="0" distR="0" wp14:anchorId="37D16635" wp14:editId="7D9350E6">
            <wp:extent cx="3577779" cy="1924050"/>
            <wp:effectExtent l="0" t="0" r="0" b="0"/>
            <wp:docPr id="2212" name="Picture 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597653" cy="1934738"/>
                    </a:xfrm>
                    <a:prstGeom prst="rect">
                      <a:avLst/>
                    </a:prstGeom>
                  </pic:spPr>
                </pic:pic>
              </a:graphicData>
            </a:graphic>
          </wp:inline>
        </w:drawing>
      </w:r>
      <w:r w:rsidR="00266696" w:rsidRPr="000665B0">
        <w:rPr>
          <w:noProof/>
        </w:rPr>
        <w:t xml:space="preserve"> </w:t>
      </w:r>
    </w:p>
    <w:p w14:paraId="0CC37682" w14:textId="2982B00C" w:rsidR="001E3974" w:rsidRPr="000665B0" w:rsidRDefault="00064BB4" w:rsidP="001E3974">
      <w:pPr>
        <w:tabs>
          <w:tab w:val="left" w:pos="720"/>
        </w:tabs>
        <w:rPr>
          <w:szCs w:val="24"/>
        </w:rPr>
      </w:pPr>
      <w:r w:rsidRPr="000665B0">
        <w:rPr>
          <w:szCs w:val="24"/>
        </w:rPr>
        <w:t xml:space="preserve">Since primaries and spares have to be changed at the same time, if a user selects a primary the related spares will also be reassigned, and </w:t>
      </w:r>
      <w:r w:rsidR="00D32E18" w:rsidRPr="000665B0">
        <w:rPr>
          <w:szCs w:val="24"/>
        </w:rPr>
        <w:t xml:space="preserve">vice </w:t>
      </w:r>
      <w:r w:rsidRPr="000665B0">
        <w:rPr>
          <w:szCs w:val="24"/>
        </w:rPr>
        <w:t xml:space="preserve">versa. The </w:t>
      </w:r>
      <w:r w:rsidR="001272DB" w:rsidRPr="000665B0">
        <w:rPr>
          <w:i/>
          <w:szCs w:val="24"/>
        </w:rPr>
        <w:t>Missile R</w:t>
      </w:r>
      <w:r w:rsidRPr="000665B0">
        <w:rPr>
          <w:i/>
          <w:szCs w:val="24"/>
        </w:rPr>
        <w:t>eassignment</w:t>
      </w:r>
      <w:r w:rsidRPr="000665B0">
        <w:rPr>
          <w:szCs w:val="24"/>
        </w:rPr>
        <w:t xml:space="preserve"> </w:t>
      </w:r>
      <w:r w:rsidR="001272DB" w:rsidRPr="000665B0">
        <w:rPr>
          <w:szCs w:val="24"/>
        </w:rPr>
        <w:t xml:space="preserve">window </w:t>
      </w:r>
      <w:r w:rsidRPr="000665B0">
        <w:rPr>
          <w:szCs w:val="24"/>
        </w:rPr>
        <w:t xml:space="preserve">that </w:t>
      </w:r>
      <w:r w:rsidR="001272DB" w:rsidRPr="000665B0">
        <w:rPr>
          <w:szCs w:val="24"/>
        </w:rPr>
        <w:t>appears</w:t>
      </w:r>
      <w:r w:rsidRPr="000665B0">
        <w:rPr>
          <w:szCs w:val="24"/>
        </w:rPr>
        <w:t xml:space="preserve"> details this information. Once the </w:t>
      </w:r>
      <w:r w:rsidRPr="000665B0">
        <w:rPr>
          <w:b/>
          <w:szCs w:val="24"/>
        </w:rPr>
        <w:t>Reassign FRU…</w:t>
      </w:r>
      <w:r w:rsidRPr="000665B0">
        <w:rPr>
          <w:szCs w:val="24"/>
        </w:rPr>
        <w:t xml:space="preserve"> menu item is selected</w:t>
      </w:r>
      <w:r w:rsidR="001E3974" w:rsidRPr="000665B0">
        <w:rPr>
          <w:szCs w:val="24"/>
        </w:rPr>
        <w:t xml:space="preserve">, the </w:t>
      </w:r>
      <w:r w:rsidR="0038404D" w:rsidRPr="000665B0">
        <w:rPr>
          <w:i/>
          <w:szCs w:val="24"/>
        </w:rPr>
        <w:t xml:space="preserve">Candidate </w:t>
      </w:r>
      <w:r w:rsidR="001E3974" w:rsidRPr="000665B0">
        <w:rPr>
          <w:i/>
          <w:szCs w:val="24"/>
        </w:rPr>
        <w:t>Selection</w:t>
      </w:r>
      <w:r w:rsidR="00D310FE" w:rsidRPr="000665B0">
        <w:rPr>
          <w:szCs w:val="24"/>
        </w:rPr>
        <w:t xml:space="preserve"> window appears displaying a list of FRUs</w:t>
      </w:r>
      <w:r w:rsidR="001E3974" w:rsidRPr="000665B0">
        <w:rPr>
          <w:szCs w:val="24"/>
        </w:rPr>
        <w:t xml:space="preserve"> and an initial indication of geographic feasibility</w:t>
      </w:r>
      <w:r w:rsidR="007B1ACC" w:rsidRPr="000665B0">
        <w:rPr>
          <w:szCs w:val="24"/>
        </w:rPr>
        <w:t xml:space="preserve"> (geofeasibility)</w:t>
      </w:r>
      <w:r w:rsidR="001E3974" w:rsidRPr="000665B0">
        <w:rPr>
          <w:szCs w:val="24"/>
        </w:rPr>
        <w:t xml:space="preserve"> of the new FRU with respect to the potential new missile reservation. For more information on geographic feasibility, see </w:t>
      </w:r>
      <w:hyperlink w:anchor="_5.37.6.1.16.6__How" w:history="1">
        <w:r w:rsidR="009326FE" w:rsidRPr="000665B0">
          <w:rPr>
            <w:rStyle w:val="Hyperlink"/>
            <w:szCs w:val="24"/>
          </w:rPr>
          <w:t xml:space="preserve">Section </w:t>
        </w:r>
        <w:r w:rsidR="004231CC">
          <w:rPr>
            <w:rStyle w:val="Hyperlink"/>
            <w:szCs w:val="24"/>
          </w:rPr>
          <w:t>5.34</w:t>
        </w:r>
        <w:r w:rsidR="001E3974" w:rsidRPr="000665B0">
          <w:rPr>
            <w:rStyle w:val="Hyperlink"/>
            <w:szCs w:val="24"/>
          </w:rPr>
          <w:t>.7.1.17.</w:t>
        </w:r>
        <w:r w:rsidR="008B4AA0" w:rsidRPr="000665B0">
          <w:rPr>
            <w:rStyle w:val="Hyperlink"/>
            <w:szCs w:val="24"/>
          </w:rPr>
          <w:t>7</w:t>
        </w:r>
      </w:hyperlink>
      <w:r w:rsidR="001E3974" w:rsidRPr="000665B0">
        <w:rPr>
          <w:szCs w:val="24"/>
        </w:rPr>
        <w:t>.</w:t>
      </w:r>
      <w:r w:rsidR="009651B0">
        <w:rPr>
          <w:szCs w:val="24"/>
        </w:rPr>
        <w:t xml:space="preserve"> </w:t>
      </w:r>
    </w:p>
    <w:p w14:paraId="41A61937" w14:textId="6ECC6EFC" w:rsidR="001E3974" w:rsidRPr="000665B0" w:rsidRDefault="00995F51" w:rsidP="001E3974">
      <w:pPr>
        <w:tabs>
          <w:tab w:val="left" w:pos="720"/>
        </w:tabs>
        <w:jc w:val="center"/>
        <w:rPr>
          <w:szCs w:val="24"/>
        </w:rPr>
      </w:pPr>
      <w:r w:rsidRPr="000665B0">
        <w:rPr>
          <w:noProof/>
        </w:rPr>
        <w:lastRenderedPageBreak/>
        <w:drawing>
          <wp:inline distT="0" distB="0" distL="0" distR="0" wp14:anchorId="369AE195" wp14:editId="6B0B1B21">
            <wp:extent cx="1409700" cy="2135696"/>
            <wp:effectExtent l="0" t="0" r="0" b="0"/>
            <wp:docPr id="2089" name="Picture 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415839" cy="2144997"/>
                    </a:xfrm>
                    <a:prstGeom prst="rect">
                      <a:avLst/>
                    </a:prstGeom>
                  </pic:spPr>
                </pic:pic>
              </a:graphicData>
            </a:graphic>
          </wp:inline>
        </w:drawing>
      </w:r>
    </w:p>
    <w:p w14:paraId="54E5D75F" w14:textId="207B453A" w:rsidR="004464FF" w:rsidRDefault="004464FF" w:rsidP="004464FF">
      <w:pPr>
        <w:keepNext/>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341B892E" w14:textId="278229BD" w:rsidR="004464FF" w:rsidRPr="004464FF" w:rsidRDefault="004464FF" w:rsidP="004464FF">
      <w:pPr>
        <w:pBdr>
          <w:top w:val="single" w:sz="12" w:space="1" w:color="auto"/>
          <w:left w:val="single" w:sz="12" w:space="4" w:color="auto"/>
          <w:bottom w:val="single" w:sz="12" w:space="0" w:color="auto"/>
          <w:right w:val="single" w:sz="12" w:space="4" w:color="auto"/>
        </w:pBdr>
        <w:shd w:val="clear" w:color="auto" w:fill="D9D9D9"/>
        <w:spacing w:after="0"/>
        <w:jc w:val="center"/>
        <w:rPr>
          <w:b/>
          <w:bCs/>
        </w:rPr>
      </w:pPr>
      <w:r w:rsidRPr="004464FF">
        <w:rPr>
          <w:b/>
          <w:bCs/>
          <w:szCs w:val="24"/>
        </w:rPr>
        <w:t>Missions assigned to Navy FRUs will be reassigned to Navy FRUs only. Therefore, only Navy FRUs will be presented as candidate(s). Likewise, for Ground Launch FRU reassignment, only Ground Launch FRUs are presented as candidate(s)</w:t>
      </w:r>
      <w:r w:rsidR="005E5264">
        <w:rPr>
          <w:b/>
          <w:bCs/>
          <w:szCs w:val="24"/>
        </w:rPr>
        <w:t>.</w:t>
      </w:r>
    </w:p>
    <w:p w14:paraId="31F5489D" w14:textId="1369C283" w:rsidR="00D310FE" w:rsidRPr="000665B0" w:rsidRDefault="00521C39" w:rsidP="004464FF">
      <w:pPr>
        <w:tabs>
          <w:tab w:val="left" w:pos="720"/>
        </w:tabs>
        <w:spacing w:before="240"/>
        <w:rPr>
          <w:szCs w:val="24"/>
        </w:rPr>
      </w:pPr>
      <w:r w:rsidRPr="000665B0">
        <w:rPr>
          <w:szCs w:val="24"/>
        </w:rPr>
        <w:t>T</w:t>
      </w:r>
      <w:r w:rsidR="001E3974" w:rsidRPr="000665B0">
        <w:rPr>
          <w:szCs w:val="24"/>
        </w:rPr>
        <w:t xml:space="preserve">he FRUs are grouped by their </w:t>
      </w:r>
      <w:r w:rsidR="00EC6793" w:rsidRPr="000665B0">
        <w:rPr>
          <w:szCs w:val="24"/>
        </w:rPr>
        <w:t xml:space="preserve">geofeasibility </w:t>
      </w:r>
      <w:r w:rsidR="001E3974" w:rsidRPr="000665B0">
        <w:rPr>
          <w:szCs w:val="24"/>
        </w:rPr>
        <w:t xml:space="preserve">condition, with </w:t>
      </w:r>
      <w:r w:rsidR="0038404D" w:rsidRPr="000665B0">
        <w:rPr>
          <w:szCs w:val="24"/>
        </w:rPr>
        <w:t xml:space="preserve">the groups listed from top to bottom in the following order: </w:t>
      </w:r>
      <w:r w:rsidR="0038404D" w:rsidRPr="000665B0">
        <w:rPr>
          <w:b/>
          <w:szCs w:val="24"/>
        </w:rPr>
        <w:t>Feasible</w:t>
      </w:r>
      <w:r w:rsidR="00092D74" w:rsidRPr="000665B0">
        <w:rPr>
          <w:szCs w:val="24"/>
        </w:rPr>
        <w:t xml:space="preserve"> (green icon)</w:t>
      </w:r>
      <w:r w:rsidR="0038404D" w:rsidRPr="000665B0">
        <w:rPr>
          <w:szCs w:val="24"/>
        </w:rPr>
        <w:t xml:space="preserve">, </w:t>
      </w:r>
      <w:r w:rsidR="0038404D" w:rsidRPr="000665B0">
        <w:rPr>
          <w:b/>
          <w:szCs w:val="24"/>
        </w:rPr>
        <w:t>Partial</w:t>
      </w:r>
      <w:r w:rsidR="00092D74" w:rsidRPr="000665B0">
        <w:rPr>
          <w:szCs w:val="24"/>
        </w:rPr>
        <w:t xml:space="preserve"> (yellow icon)</w:t>
      </w:r>
      <w:r w:rsidR="0038404D" w:rsidRPr="000665B0">
        <w:rPr>
          <w:szCs w:val="24"/>
        </w:rPr>
        <w:t xml:space="preserve">, </w:t>
      </w:r>
      <w:r w:rsidR="0038404D" w:rsidRPr="000665B0">
        <w:rPr>
          <w:b/>
          <w:szCs w:val="24"/>
        </w:rPr>
        <w:t>Unknown</w:t>
      </w:r>
      <w:r w:rsidR="00092D74" w:rsidRPr="000665B0">
        <w:rPr>
          <w:szCs w:val="24"/>
        </w:rPr>
        <w:t xml:space="preserve"> (white icon)</w:t>
      </w:r>
      <w:r w:rsidR="0038404D" w:rsidRPr="000665B0">
        <w:rPr>
          <w:szCs w:val="24"/>
        </w:rPr>
        <w:t xml:space="preserve">, and </w:t>
      </w:r>
      <w:r w:rsidR="0038404D" w:rsidRPr="000665B0">
        <w:rPr>
          <w:b/>
          <w:szCs w:val="24"/>
        </w:rPr>
        <w:t>Infeasible</w:t>
      </w:r>
      <w:r w:rsidR="00092D74" w:rsidRPr="000665B0">
        <w:rPr>
          <w:szCs w:val="24"/>
        </w:rPr>
        <w:t xml:space="preserve"> (red icon)</w:t>
      </w:r>
      <w:r w:rsidR="001E3974" w:rsidRPr="000665B0">
        <w:rPr>
          <w:szCs w:val="24"/>
        </w:rPr>
        <w:t>.</w:t>
      </w:r>
      <w:r w:rsidR="001E3974" w:rsidRPr="000665B0">
        <w:t xml:space="preserve"> </w:t>
      </w:r>
      <w:r w:rsidR="00EE4326" w:rsidRPr="000665B0">
        <w:rPr>
          <w:szCs w:val="24"/>
        </w:rPr>
        <w:t>B</w:t>
      </w:r>
      <w:r w:rsidR="001E3974" w:rsidRPr="000665B0">
        <w:rPr>
          <w:szCs w:val="24"/>
        </w:rPr>
        <w:t>y default</w:t>
      </w:r>
      <w:r w:rsidR="00342C30" w:rsidRPr="000665B0">
        <w:rPr>
          <w:szCs w:val="24"/>
        </w:rPr>
        <w:t>,</w:t>
      </w:r>
      <w:r w:rsidR="001E3974" w:rsidRPr="000665B0">
        <w:rPr>
          <w:szCs w:val="24"/>
        </w:rPr>
        <w:t xml:space="preserve"> all geofeasible FRUs (if any) are automatically selected. </w:t>
      </w:r>
      <w:r w:rsidR="00EE4326" w:rsidRPr="000665B0">
        <w:rPr>
          <w:szCs w:val="24"/>
        </w:rPr>
        <w:t xml:space="preserve">If no FRUs are geofeasible, </w:t>
      </w:r>
      <w:r w:rsidR="0038404D" w:rsidRPr="000665B0">
        <w:rPr>
          <w:szCs w:val="24"/>
        </w:rPr>
        <w:t xml:space="preserve">all partial geofeasible FRUs (if any) </w:t>
      </w:r>
      <w:r w:rsidR="00EE4326" w:rsidRPr="000665B0">
        <w:rPr>
          <w:szCs w:val="24"/>
        </w:rPr>
        <w:t xml:space="preserve">are automatically selected. If </w:t>
      </w:r>
      <w:r w:rsidR="001E3974" w:rsidRPr="000665B0">
        <w:rPr>
          <w:szCs w:val="24"/>
        </w:rPr>
        <w:t xml:space="preserve">no FRUs are </w:t>
      </w:r>
      <w:r w:rsidR="00EE4326" w:rsidRPr="000665B0">
        <w:rPr>
          <w:szCs w:val="24"/>
        </w:rPr>
        <w:t>geofeasible or partial geofeasible, all unknown FRUs (if any)</w:t>
      </w:r>
      <w:r w:rsidR="001E3974" w:rsidRPr="000665B0">
        <w:rPr>
          <w:szCs w:val="24"/>
        </w:rPr>
        <w:t xml:space="preserve"> are </w:t>
      </w:r>
      <w:r w:rsidR="00C62F44" w:rsidRPr="000665B0">
        <w:rPr>
          <w:szCs w:val="24"/>
        </w:rPr>
        <w:t>automatically</w:t>
      </w:r>
      <w:r w:rsidR="001E3974" w:rsidRPr="000665B0">
        <w:rPr>
          <w:szCs w:val="24"/>
        </w:rPr>
        <w:t xml:space="preserve"> selected.</w:t>
      </w:r>
      <w:r w:rsidR="00EE4326" w:rsidRPr="000665B0">
        <w:rPr>
          <w:szCs w:val="24"/>
        </w:rPr>
        <w:t xml:space="preserve"> If no FRUs are geofeasible, partial geofeasible, or unknown, all infeasible FRUs (if any) are automatically selected.</w:t>
      </w:r>
    </w:p>
    <w:p w14:paraId="29EF7C96" w14:textId="0FC2CCD6" w:rsidR="00D310FE" w:rsidRPr="000665B0" w:rsidRDefault="00D310FE" w:rsidP="00772198">
      <w:pPr>
        <w:tabs>
          <w:tab w:val="left" w:pos="720"/>
        </w:tabs>
        <w:rPr>
          <w:szCs w:val="24"/>
        </w:rPr>
      </w:pPr>
      <w:r w:rsidRPr="000665B0">
        <w:rPr>
          <w:szCs w:val="24"/>
        </w:rPr>
        <w:t>Once a FRU listed in the window has been selected</w:t>
      </w:r>
      <w:r w:rsidR="00772198" w:rsidRPr="000665B0">
        <w:rPr>
          <w:szCs w:val="24"/>
        </w:rPr>
        <w:t xml:space="preserve"> and </w:t>
      </w:r>
      <w:r w:rsidR="00772198" w:rsidRPr="000665B0">
        <w:rPr>
          <w:b/>
          <w:szCs w:val="24"/>
        </w:rPr>
        <w:t>Continue</w:t>
      </w:r>
      <w:r w:rsidR="00772198" w:rsidRPr="000665B0">
        <w:rPr>
          <w:szCs w:val="24"/>
        </w:rPr>
        <w:t xml:space="preserve"> is clicked</w:t>
      </w:r>
      <w:r w:rsidRPr="000665B0">
        <w:rPr>
          <w:szCs w:val="24"/>
        </w:rPr>
        <w:t xml:space="preserve">, the Auto PM3 algorithm starts running. </w:t>
      </w:r>
    </w:p>
    <w:p w14:paraId="40EC8ECB" w14:textId="4FA707E9" w:rsidR="00EF1544" w:rsidRPr="000665B0" w:rsidRDefault="00EF1544" w:rsidP="00474A1F">
      <w:pPr>
        <w:tabs>
          <w:tab w:val="left" w:pos="720"/>
        </w:tabs>
        <w:rPr>
          <w:szCs w:val="24"/>
        </w:rPr>
      </w:pPr>
      <w:bookmarkStart w:id="6343" w:name="How_to_Complete_FRU_Reassignment"/>
      <w:bookmarkEnd w:id="6343"/>
      <w:r w:rsidRPr="000665B0">
        <w:rPr>
          <w:szCs w:val="24"/>
        </w:rPr>
        <w:t xml:space="preserve">If the FRU </w:t>
      </w:r>
      <w:r w:rsidR="00DF732A" w:rsidRPr="000665B0">
        <w:rPr>
          <w:szCs w:val="24"/>
        </w:rPr>
        <w:t>has</w:t>
      </w:r>
      <w:r w:rsidRPr="000665B0">
        <w:rPr>
          <w:szCs w:val="24"/>
        </w:rPr>
        <w:t xml:space="preserve"> only MSTM assignments, missiles with bad (failed) seekers will be utilized before missiles with good seekers</w:t>
      </w:r>
      <w:r w:rsidR="00E453CF">
        <w:rPr>
          <w:szCs w:val="24"/>
        </w:rPr>
        <w:t xml:space="preserve"> for a land attack</w:t>
      </w:r>
      <w:r w:rsidRPr="000665B0">
        <w:rPr>
          <w:szCs w:val="24"/>
        </w:rPr>
        <w:t>. Only MSTM</w:t>
      </w:r>
      <w:r w:rsidR="00C05381" w:rsidRPr="000665B0">
        <w:rPr>
          <w:szCs w:val="24"/>
        </w:rPr>
        <w:t>s</w:t>
      </w:r>
      <w:r w:rsidRPr="000665B0">
        <w:rPr>
          <w:szCs w:val="24"/>
        </w:rPr>
        <w:t xml:space="preserve"> with serial numbers can be selected for tasking using Auto PM3. </w:t>
      </w:r>
    </w:p>
    <w:p w14:paraId="638B6041" w14:textId="7803B2BA" w:rsidR="00064BB4" w:rsidRPr="000665B0" w:rsidRDefault="00064BB4" w:rsidP="00474A1F">
      <w:pPr>
        <w:tabs>
          <w:tab w:val="left" w:pos="720"/>
        </w:tabs>
        <w:rPr>
          <w:szCs w:val="24"/>
        </w:rPr>
      </w:pPr>
      <w:r w:rsidRPr="000665B0">
        <w:rPr>
          <w:szCs w:val="24"/>
        </w:rPr>
        <w:t xml:space="preserve">If there are no FRUs that can handle the reassignment, the following </w:t>
      </w:r>
      <w:r w:rsidR="001E3974" w:rsidRPr="000665B0">
        <w:rPr>
          <w:i/>
          <w:szCs w:val="24"/>
        </w:rPr>
        <w:t>FRU Reassignment</w:t>
      </w:r>
      <w:r w:rsidR="001E3974" w:rsidRPr="000665B0">
        <w:rPr>
          <w:szCs w:val="24"/>
        </w:rPr>
        <w:t xml:space="preserve"> window is displayed</w:t>
      </w:r>
      <w:r w:rsidRPr="000665B0">
        <w:rPr>
          <w:szCs w:val="24"/>
        </w:rPr>
        <w:t>:</w:t>
      </w:r>
    </w:p>
    <w:p w14:paraId="74F88EAD" w14:textId="31FD3A10" w:rsidR="00064BB4" w:rsidRPr="000665B0" w:rsidRDefault="00995F51" w:rsidP="00474A1F">
      <w:pPr>
        <w:tabs>
          <w:tab w:val="left" w:pos="720"/>
        </w:tabs>
        <w:jc w:val="center"/>
        <w:rPr>
          <w:szCs w:val="24"/>
        </w:rPr>
      </w:pPr>
      <w:r w:rsidRPr="000665B0">
        <w:rPr>
          <w:noProof/>
        </w:rPr>
        <w:drawing>
          <wp:inline distT="0" distB="0" distL="0" distR="0" wp14:anchorId="4C678EC9" wp14:editId="77398AAC">
            <wp:extent cx="2462560" cy="1009650"/>
            <wp:effectExtent l="0" t="0" r="0" b="0"/>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472448" cy="1013704"/>
                    </a:xfrm>
                    <a:prstGeom prst="rect">
                      <a:avLst/>
                    </a:prstGeom>
                  </pic:spPr>
                </pic:pic>
              </a:graphicData>
            </a:graphic>
          </wp:inline>
        </w:drawing>
      </w:r>
    </w:p>
    <w:p w14:paraId="09EB3510" w14:textId="0A469789" w:rsidR="00D310FE" w:rsidRPr="000665B0" w:rsidRDefault="00D310FE" w:rsidP="0058307F">
      <w:pPr>
        <w:tabs>
          <w:tab w:val="left" w:pos="720"/>
        </w:tabs>
        <w:rPr>
          <w:szCs w:val="24"/>
        </w:rPr>
      </w:pPr>
      <w:r w:rsidRPr="000665B0">
        <w:rPr>
          <w:szCs w:val="24"/>
        </w:rPr>
        <w:t xml:space="preserve">If a selected missile for FRU reassign has a backup FRU, the </w:t>
      </w:r>
      <w:r w:rsidR="00C9104E" w:rsidRPr="000665B0">
        <w:rPr>
          <w:i/>
          <w:szCs w:val="24"/>
        </w:rPr>
        <w:t xml:space="preserve">Candidate </w:t>
      </w:r>
      <w:r w:rsidRPr="000665B0">
        <w:rPr>
          <w:i/>
          <w:szCs w:val="24"/>
        </w:rPr>
        <w:t>Selection</w:t>
      </w:r>
      <w:r w:rsidRPr="000665B0">
        <w:rPr>
          <w:szCs w:val="24"/>
        </w:rPr>
        <w:t xml:space="preserve"> window displays the list of selectable </w:t>
      </w:r>
      <w:r w:rsidR="00D1480F" w:rsidRPr="000665B0">
        <w:rPr>
          <w:szCs w:val="24"/>
        </w:rPr>
        <w:t>FRUs but</w:t>
      </w:r>
      <w:r w:rsidRPr="000665B0">
        <w:rPr>
          <w:szCs w:val="24"/>
        </w:rPr>
        <w:t xml:space="preserve"> disables the </w:t>
      </w:r>
      <w:r w:rsidR="00C9104E" w:rsidRPr="000665B0">
        <w:rPr>
          <w:b/>
          <w:szCs w:val="24"/>
        </w:rPr>
        <w:t>Continue</w:t>
      </w:r>
      <w:r w:rsidR="00C9104E" w:rsidRPr="000665B0">
        <w:rPr>
          <w:szCs w:val="24"/>
        </w:rPr>
        <w:t xml:space="preserve"> </w:t>
      </w:r>
      <w:r w:rsidRPr="000665B0">
        <w:rPr>
          <w:szCs w:val="24"/>
        </w:rPr>
        <w:t xml:space="preserve">button because the primary missile is being backed up by a platform. In order to reassign a primary missile with a backup missile, the backup missile </w:t>
      </w:r>
      <w:r w:rsidR="00C62F44" w:rsidRPr="000665B0">
        <w:rPr>
          <w:szCs w:val="24"/>
        </w:rPr>
        <w:t>must</w:t>
      </w:r>
      <w:r w:rsidRPr="000665B0">
        <w:rPr>
          <w:szCs w:val="24"/>
        </w:rPr>
        <w:t xml:space="preserve"> be removed from the </w:t>
      </w:r>
      <w:r w:rsidRPr="000665B0">
        <w:rPr>
          <w:b/>
          <w:i/>
          <w:szCs w:val="24"/>
        </w:rPr>
        <w:t>Missile</w:t>
      </w:r>
      <w:r w:rsidR="00BD31A2" w:rsidRPr="000665B0">
        <w:rPr>
          <w:b/>
          <w:i/>
          <w:szCs w:val="24"/>
        </w:rPr>
        <w:t>s</w:t>
      </w:r>
      <w:r w:rsidRPr="000665B0">
        <w:rPr>
          <w:szCs w:val="24"/>
        </w:rPr>
        <w:t xml:space="preserve"> tab before the primary missile can be reassigned to another FRU. Once the primary missile has been reassigned, a missile can </w:t>
      </w:r>
      <w:r w:rsidR="00C62F44" w:rsidRPr="000665B0">
        <w:rPr>
          <w:szCs w:val="24"/>
        </w:rPr>
        <w:t xml:space="preserve">again </w:t>
      </w:r>
      <w:r w:rsidRPr="000665B0">
        <w:rPr>
          <w:szCs w:val="24"/>
        </w:rPr>
        <w:t xml:space="preserve">be assigned to </w:t>
      </w:r>
      <w:r w:rsidR="00B27643" w:rsidRPr="000665B0">
        <w:rPr>
          <w:szCs w:val="24"/>
        </w:rPr>
        <w:t>back up</w:t>
      </w:r>
      <w:r w:rsidRPr="000665B0">
        <w:rPr>
          <w:szCs w:val="24"/>
        </w:rPr>
        <w:t xml:space="preserve"> the primary missile.</w:t>
      </w:r>
    </w:p>
    <w:p w14:paraId="4C1EA3CD" w14:textId="6295BE56" w:rsidR="00413A37" w:rsidRPr="000665B0" w:rsidRDefault="00D310FE" w:rsidP="00413A37">
      <w:pPr>
        <w:tabs>
          <w:tab w:val="left" w:pos="720"/>
        </w:tabs>
      </w:pPr>
      <w:r w:rsidRPr="000665B0">
        <w:lastRenderedPageBreak/>
        <w:t xml:space="preserve">If there are FRUs that can handle the reassignment, the </w:t>
      </w:r>
      <w:r w:rsidR="00413A37" w:rsidRPr="000665B0">
        <w:rPr>
          <w:i/>
        </w:rPr>
        <w:t xml:space="preserve">Missile Reassignment from &lt;Platform xxx&gt; </w:t>
      </w:r>
      <w:r w:rsidR="00413A37" w:rsidRPr="000665B0">
        <w:t>window is displayed as shown below</w:t>
      </w:r>
      <w:r w:rsidRPr="000665B0">
        <w:t xml:space="preserve">. </w:t>
      </w:r>
    </w:p>
    <w:p w14:paraId="2428DACC" w14:textId="51300922" w:rsidR="00413A37" w:rsidRPr="000665B0" w:rsidRDefault="00413A37" w:rsidP="00413A37">
      <w:pPr>
        <w:tabs>
          <w:tab w:val="left" w:pos="720"/>
        </w:tabs>
      </w:pPr>
      <w:r w:rsidRPr="000665B0">
        <w:t xml:space="preserve">The </w:t>
      </w:r>
      <w:r w:rsidR="009772D2" w:rsidRPr="000665B0">
        <w:t xml:space="preserve">Feasible </w:t>
      </w:r>
      <w:r w:rsidR="00BF14FD" w:rsidRPr="000665B0">
        <w:t>FRU</w:t>
      </w:r>
      <w:r w:rsidR="00AF6962" w:rsidRPr="000665B0">
        <w:t>s</w:t>
      </w:r>
      <w:r w:rsidRPr="000665B0">
        <w:t xml:space="preserve"> </w:t>
      </w:r>
      <w:r w:rsidR="00AF6962" w:rsidRPr="000665B0">
        <w:t>are</w:t>
      </w:r>
      <w:r w:rsidRPr="000665B0">
        <w:t xml:space="preserve"> automatically </w:t>
      </w:r>
      <w:r w:rsidR="00D1480F" w:rsidRPr="000665B0">
        <w:t>selected,</w:t>
      </w:r>
      <w:r w:rsidRPr="000665B0">
        <w:t xml:space="preserve"> and the missile reassignment is displayed in the lower pane. T</w:t>
      </w:r>
      <w:r w:rsidRPr="000665B0">
        <w:rPr>
          <w:szCs w:val="24"/>
        </w:rPr>
        <w:t xml:space="preserve">he FRU being used to make the reassignment is not shown in the list of FRUs. </w:t>
      </w:r>
    </w:p>
    <w:p w14:paraId="7C010733" w14:textId="45D592FC" w:rsidR="00AF6962" w:rsidRPr="000665B0" w:rsidRDefault="00413A37" w:rsidP="00342C30">
      <w:pPr>
        <w:tabs>
          <w:tab w:val="left" w:pos="720"/>
        </w:tabs>
      </w:pPr>
      <w:r w:rsidRPr="000665B0">
        <w:t>The bottom list view contains the suggested reservation list view elements. For geofeasible</w:t>
      </w:r>
      <w:r w:rsidR="00485C00" w:rsidRPr="000665B0">
        <w:t xml:space="preserve">, </w:t>
      </w:r>
      <w:r w:rsidRPr="000665B0">
        <w:t xml:space="preserve">items, an </w:t>
      </w:r>
      <w:r w:rsidRPr="000665B0">
        <w:rPr>
          <w:b/>
        </w:rPr>
        <w:t>X</w:t>
      </w:r>
      <w:r w:rsidRPr="000665B0">
        <w:t xml:space="preserve"> is displayed in the </w:t>
      </w:r>
      <w:r w:rsidRPr="000665B0">
        <w:rPr>
          <w:b/>
        </w:rPr>
        <w:t>Accept</w:t>
      </w:r>
      <w:r w:rsidRPr="000665B0">
        <w:t xml:space="preserve"> column</w:t>
      </w:r>
      <w:r w:rsidR="009772D2" w:rsidRPr="000665B0">
        <w:t xml:space="preserve">. </w:t>
      </w:r>
      <w:r w:rsidR="00995F51" w:rsidRPr="000665B0">
        <w:t xml:space="preserve">This allows the user to quickly accept all of the appropriate reassignment suggestions without having to explicitly accept (or reject) the individual reassignments. </w:t>
      </w:r>
      <w:r w:rsidR="009772D2" w:rsidRPr="000665B0">
        <w:t>F</w:t>
      </w:r>
      <w:r w:rsidRPr="000665B0">
        <w:t xml:space="preserve">or </w:t>
      </w:r>
      <w:r w:rsidR="009772D2" w:rsidRPr="000665B0">
        <w:t xml:space="preserve">partial geofeasible, geofeasibility unknown, or </w:t>
      </w:r>
      <w:r w:rsidRPr="000665B0">
        <w:t xml:space="preserve">geographically infeasible items, the </w:t>
      </w:r>
      <w:r w:rsidRPr="000665B0">
        <w:rPr>
          <w:b/>
        </w:rPr>
        <w:t>Accept</w:t>
      </w:r>
      <w:r w:rsidRPr="000665B0">
        <w:t xml:space="preserve"> column is blank. </w:t>
      </w:r>
    </w:p>
    <w:p w14:paraId="4E5E82C0" w14:textId="112BED07" w:rsidR="00413A37" w:rsidRPr="000665B0" w:rsidRDefault="00413A37" w:rsidP="00413A37">
      <w:pPr>
        <w:tabs>
          <w:tab w:val="left" w:pos="720"/>
        </w:tabs>
        <w:rPr>
          <w:b/>
        </w:rPr>
      </w:pPr>
      <w:r w:rsidRPr="000665B0">
        <w:t xml:space="preserve">Once the </w:t>
      </w:r>
      <w:r w:rsidRPr="000665B0">
        <w:rPr>
          <w:b/>
        </w:rPr>
        <w:t>OK</w:t>
      </w:r>
      <w:r w:rsidRPr="000665B0">
        <w:t xml:space="preserve"> button is clicked, the missiles with an </w:t>
      </w:r>
      <w:r w:rsidRPr="000665B0">
        <w:rPr>
          <w:b/>
        </w:rPr>
        <w:t>X</w:t>
      </w:r>
      <w:r w:rsidRPr="000665B0">
        <w:t xml:space="preserve"> in the </w:t>
      </w:r>
      <w:r w:rsidRPr="000665B0">
        <w:rPr>
          <w:b/>
        </w:rPr>
        <w:t xml:space="preserve">Accept </w:t>
      </w:r>
      <w:r w:rsidRPr="000665B0">
        <w:t>column are reassigned. To reject a missile reassignment, right</w:t>
      </w:r>
      <w:r w:rsidR="001B3E68" w:rsidRPr="000665B0">
        <w:t>-</w:t>
      </w:r>
      <w:r w:rsidRPr="000665B0">
        <w:t xml:space="preserve">click on the missile(s), select </w:t>
      </w:r>
      <w:r w:rsidRPr="000665B0">
        <w:rPr>
          <w:b/>
        </w:rPr>
        <w:t>Reassignments</w:t>
      </w:r>
      <w:r w:rsidRPr="000665B0">
        <w:t xml:space="preserve"> </w:t>
      </w:r>
      <w:r w:rsidRPr="000665B0">
        <w:rPr>
          <w:b/>
        </w:rPr>
        <w:sym w:font="Wingdings" w:char="F0E0"/>
      </w:r>
      <w:r w:rsidRPr="000665B0">
        <w:rPr>
          <w:b/>
        </w:rPr>
        <w:t xml:space="preserve"> Reject</w:t>
      </w:r>
      <w:r w:rsidRPr="000665B0">
        <w:t xml:space="preserve">, and then click </w:t>
      </w:r>
      <w:r w:rsidRPr="000665B0">
        <w:rPr>
          <w:b/>
        </w:rPr>
        <w:t>OK</w:t>
      </w:r>
      <w:r w:rsidRPr="000665B0">
        <w:t xml:space="preserve"> to complete the missile rejection.</w:t>
      </w:r>
    </w:p>
    <w:p w14:paraId="37AA1470" w14:textId="25B3DE82" w:rsidR="00342C30" w:rsidRPr="000665B0" w:rsidRDefault="006D6BDA" w:rsidP="0058307F">
      <w:pPr>
        <w:tabs>
          <w:tab w:val="left" w:pos="720"/>
        </w:tabs>
        <w:jc w:val="center"/>
      </w:pPr>
      <w:r w:rsidRPr="000665B0">
        <w:rPr>
          <w:noProof/>
        </w:rPr>
        <w:drawing>
          <wp:inline distT="0" distB="0" distL="0" distR="0" wp14:anchorId="3BE7A10D" wp14:editId="6B1937C0">
            <wp:extent cx="4314626" cy="1773351"/>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339162" cy="1783435"/>
                    </a:xfrm>
                    <a:prstGeom prst="rect">
                      <a:avLst/>
                    </a:prstGeom>
                  </pic:spPr>
                </pic:pic>
              </a:graphicData>
            </a:graphic>
          </wp:inline>
        </w:drawing>
      </w:r>
    </w:p>
    <w:p w14:paraId="0BEE1E57" w14:textId="49FD742F" w:rsidR="00342C30" w:rsidRPr="000665B0" w:rsidRDefault="00342C30" w:rsidP="00342C30">
      <w:pPr>
        <w:tabs>
          <w:tab w:val="left" w:pos="720"/>
        </w:tabs>
      </w:pPr>
      <w:r w:rsidRPr="000665B0">
        <w:t xml:space="preserve">If it is desired to accept partial geofeasible, geofeasibility unknown, </w:t>
      </w:r>
      <w:r w:rsidR="00995F51" w:rsidRPr="000665B0">
        <w:t>and/</w:t>
      </w:r>
      <w:r w:rsidRPr="000665B0">
        <w:t xml:space="preserve">or geographically infeasible </w:t>
      </w:r>
      <w:r w:rsidR="00EC5690" w:rsidRPr="000665B0">
        <w:t>reassignment suggestions</w:t>
      </w:r>
      <w:r w:rsidRPr="000665B0">
        <w:t xml:space="preserve">, </w:t>
      </w:r>
      <w:r w:rsidR="00EC5690" w:rsidRPr="000665B0">
        <w:t>select the desired reassignment in the list view,</w:t>
      </w:r>
      <w:r w:rsidRPr="000665B0">
        <w:t xml:space="preserve"> </w:t>
      </w:r>
      <w:r w:rsidR="00EC5690" w:rsidRPr="000665B0">
        <w:t xml:space="preserve">invoke the context menu, </w:t>
      </w:r>
      <w:r w:rsidRPr="000665B0">
        <w:t xml:space="preserve">and select </w:t>
      </w:r>
      <w:r w:rsidRPr="000665B0">
        <w:rPr>
          <w:b/>
        </w:rPr>
        <w:t>Reassignments</w:t>
      </w:r>
      <w:r w:rsidRPr="000665B0">
        <w:t xml:space="preserve"> </w:t>
      </w:r>
      <w:r w:rsidRPr="000665B0">
        <w:sym w:font="Wingdings" w:char="F0E0"/>
      </w:r>
      <w:r w:rsidRPr="000665B0">
        <w:t xml:space="preserve"> </w:t>
      </w:r>
      <w:r w:rsidRPr="000665B0">
        <w:rPr>
          <w:b/>
        </w:rPr>
        <w:t>Accept</w:t>
      </w:r>
      <w:r w:rsidRPr="000665B0">
        <w:t>.</w:t>
      </w:r>
    </w:p>
    <w:p w14:paraId="06D5F2A9" w14:textId="006BDEF9" w:rsidR="00064BB4" w:rsidRPr="000665B0" w:rsidRDefault="006D6BDA" w:rsidP="0058307F">
      <w:pPr>
        <w:tabs>
          <w:tab w:val="left" w:pos="720"/>
        </w:tabs>
        <w:jc w:val="center"/>
      </w:pPr>
      <w:r w:rsidRPr="000665B0">
        <w:rPr>
          <w:noProof/>
        </w:rPr>
        <w:drawing>
          <wp:inline distT="0" distB="0" distL="0" distR="0" wp14:anchorId="0663874F" wp14:editId="2CDE0C15">
            <wp:extent cx="4283261" cy="1752600"/>
            <wp:effectExtent l="0" t="0" r="0" b="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296480" cy="1758009"/>
                    </a:xfrm>
                    <a:prstGeom prst="rect">
                      <a:avLst/>
                    </a:prstGeom>
                  </pic:spPr>
                </pic:pic>
              </a:graphicData>
            </a:graphic>
          </wp:inline>
        </w:drawing>
      </w:r>
    </w:p>
    <w:p w14:paraId="58CB0374" w14:textId="7F7D155C" w:rsidR="00064BB4" w:rsidRPr="000665B0" w:rsidRDefault="00064BB4" w:rsidP="00474A1F">
      <w:pPr>
        <w:tabs>
          <w:tab w:val="left" w:pos="720"/>
        </w:tabs>
      </w:pPr>
      <w:r w:rsidRPr="000665B0">
        <w:t xml:space="preserve">Clicking on the </w:t>
      </w:r>
      <w:r w:rsidRPr="000665B0">
        <w:rPr>
          <w:b/>
        </w:rPr>
        <w:t>Proposed CALA</w:t>
      </w:r>
      <w:r w:rsidRPr="000665B0">
        <w:t xml:space="preserve"> button </w:t>
      </w:r>
      <w:r w:rsidR="00413A37" w:rsidRPr="000665B0">
        <w:t>displays</w:t>
      </w:r>
      <w:r w:rsidRPr="000665B0">
        <w:t xml:space="preserve"> a CALA that combines both the existing reservations and the proposed reservations</w:t>
      </w:r>
      <w:r w:rsidR="00413A37" w:rsidRPr="000665B0">
        <w:t>,</w:t>
      </w:r>
      <w:r w:rsidRPr="000665B0">
        <w:t xml:space="preserve"> distinguishe</w:t>
      </w:r>
      <w:r w:rsidR="00413A37" w:rsidRPr="000665B0">
        <w:t>d</w:t>
      </w:r>
      <w:r w:rsidRPr="000665B0">
        <w:t xml:space="preserve"> by coloring. </w:t>
      </w:r>
      <w:r w:rsidR="00413A37" w:rsidRPr="000665B0">
        <w:t xml:space="preserve">The CALA display helps determine viable location and size for a PLP, which when designated for a FRU, allows the FRU to support the missions that have overlapping launch areas. For a detailed discussion on CALA, see </w:t>
      </w:r>
      <w:hyperlink w:anchor="_Display_Mission(s)_CALA" w:history="1">
        <w:r w:rsidR="00413A37" w:rsidRPr="000665B0">
          <w:rPr>
            <w:rStyle w:val="Hyperlink"/>
          </w:rPr>
          <w:t>Section 5.</w:t>
        </w:r>
        <w:r w:rsidR="00C526BF" w:rsidRPr="000665B0">
          <w:rPr>
            <w:rStyle w:val="Hyperlink"/>
          </w:rPr>
          <w:t>5</w:t>
        </w:r>
        <w:r w:rsidR="00413A37" w:rsidRPr="000665B0">
          <w:rPr>
            <w:rStyle w:val="Hyperlink"/>
          </w:rPr>
          <w:t>.2</w:t>
        </w:r>
      </w:hyperlink>
      <w:r w:rsidR="00413A37" w:rsidRPr="000665B0">
        <w:t>.</w:t>
      </w:r>
    </w:p>
    <w:p w14:paraId="7F504C9B" w14:textId="3E9812D0" w:rsidR="00064BB4" w:rsidRPr="000665B0" w:rsidRDefault="00064BB4" w:rsidP="00CC5CE9">
      <w:pPr>
        <w:keepNext/>
        <w:tabs>
          <w:tab w:val="left" w:pos="720"/>
        </w:tabs>
      </w:pPr>
      <w:r w:rsidRPr="000665B0">
        <w:lastRenderedPageBreak/>
        <w:t>Below is a Proposed CALA:</w:t>
      </w:r>
    </w:p>
    <w:p w14:paraId="4697E3D9" w14:textId="1B5F0731" w:rsidR="00064BB4" w:rsidRPr="000665B0" w:rsidRDefault="00266696" w:rsidP="00B51401">
      <w:pPr>
        <w:tabs>
          <w:tab w:val="left" w:pos="720"/>
        </w:tabs>
        <w:spacing w:after="240"/>
        <w:jc w:val="center"/>
      </w:pPr>
      <w:r w:rsidRPr="000665B0">
        <w:rPr>
          <w:noProof/>
        </w:rPr>
        <w:drawing>
          <wp:inline distT="0" distB="0" distL="0" distR="0" wp14:anchorId="23A0177F" wp14:editId="25CCC0B1">
            <wp:extent cx="4114800" cy="2505456"/>
            <wp:effectExtent l="0" t="0" r="0" b="952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505456"/>
                    </a:xfrm>
                    <a:prstGeom prst="rect">
                      <a:avLst/>
                    </a:prstGeom>
                  </pic:spPr>
                </pic:pic>
              </a:graphicData>
            </a:graphic>
          </wp:inline>
        </w:drawing>
      </w:r>
    </w:p>
    <w:p w14:paraId="0209F225" w14:textId="77777777" w:rsidR="00064BB4" w:rsidRPr="000665B0" w:rsidRDefault="00064BB4" w:rsidP="00474A1F">
      <w:pPr>
        <w:tabs>
          <w:tab w:val="left" w:pos="720"/>
        </w:tabs>
      </w:pPr>
      <w:r w:rsidRPr="000665B0">
        <w:t>All properties are configurable.</w:t>
      </w:r>
      <w:r w:rsidR="006B10EB" w:rsidRPr="000665B0">
        <w:t xml:space="preserve"> Select the Proposed CALA, invoke the context menu, and select </w:t>
      </w:r>
      <w:r w:rsidR="006B10EB" w:rsidRPr="000665B0">
        <w:rPr>
          <w:b/>
        </w:rPr>
        <w:t>Proposed CALA Properties…</w:t>
      </w:r>
      <w:r w:rsidR="006B10EB" w:rsidRPr="000665B0">
        <w:t xml:space="preserve">. Select the desired properties and click </w:t>
      </w:r>
      <w:r w:rsidR="006B10EB" w:rsidRPr="000665B0">
        <w:rPr>
          <w:b/>
        </w:rPr>
        <w:t>OK</w:t>
      </w:r>
      <w:r w:rsidR="006B10EB" w:rsidRPr="000665B0">
        <w:t>.</w:t>
      </w:r>
    </w:p>
    <w:p w14:paraId="529B3488" w14:textId="5EF1B608" w:rsidR="00064BB4" w:rsidRPr="000665B0" w:rsidRDefault="00413A37" w:rsidP="00474A1F">
      <w:pPr>
        <w:tabs>
          <w:tab w:val="left" w:pos="720"/>
        </w:tabs>
        <w:jc w:val="center"/>
      </w:pPr>
      <w:r w:rsidRPr="000665B0">
        <w:rPr>
          <w:noProof/>
        </w:rPr>
        <w:drawing>
          <wp:inline distT="0" distB="0" distL="0" distR="0" wp14:anchorId="67A3EE05" wp14:editId="3B091367">
            <wp:extent cx="2743200" cy="2066544"/>
            <wp:effectExtent l="0" t="0" r="0" b="0"/>
            <wp:docPr id="1925" name="Picture 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43200" cy="2066544"/>
                    </a:xfrm>
                    <a:prstGeom prst="rect">
                      <a:avLst/>
                    </a:prstGeom>
                  </pic:spPr>
                </pic:pic>
              </a:graphicData>
            </a:graphic>
          </wp:inline>
        </w:drawing>
      </w:r>
    </w:p>
    <w:p w14:paraId="273B1D00" w14:textId="77777777" w:rsidR="00037315" w:rsidRPr="000665B0" w:rsidRDefault="006B10EB" w:rsidP="00037315">
      <w:pPr>
        <w:tabs>
          <w:tab w:val="left" w:pos="720"/>
        </w:tabs>
        <w:rPr>
          <w:szCs w:val="24"/>
        </w:rPr>
      </w:pPr>
      <w:r w:rsidRPr="000665B0">
        <w:rPr>
          <w:szCs w:val="24"/>
        </w:rPr>
        <w:t xml:space="preserve">In the </w:t>
      </w:r>
      <w:r w:rsidRPr="000665B0">
        <w:rPr>
          <w:i/>
          <w:szCs w:val="24"/>
        </w:rPr>
        <w:t>Missile Reassignment</w:t>
      </w:r>
      <w:r w:rsidRPr="000665B0">
        <w:rPr>
          <w:szCs w:val="24"/>
        </w:rPr>
        <w:t xml:space="preserve"> window, click</w:t>
      </w:r>
      <w:r w:rsidR="001171B8" w:rsidRPr="000665B0">
        <w:rPr>
          <w:szCs w:val="24"/>
        </w:rPr>
        <w:t xml:space="preserve"> the</w:t>
      </w:r>
      <w:r w:rsidR="00064BB4" w:rsidRPr="000665B0">
        <w:rPr>
          <w:szCs w:val="24"/>
        </w:rPr>
        <w:t xml:space="preserve"> </w:t>
      </w:r>
      <w:r w:rsidR="00064BB4" w:rsidRPr="000665B0">
        <w:rPr>
          <w:b/>
          <w:szCs w:val="24"/>
        </w:rPr>
        <w:t>OK</w:t>
      </w:r>
      <w:r w:rsidR="00064BB4" w:rsidRPr="000665B0">
        <w:rPr>
          <w:szCs w:val="24"/>
        </w:rPr>
        <w:t xml:space="preserve"> button </w:t>
      </w:r>
      <w:r w:rsidRPr="000665B0">
        <w:rPr>
          <w:szCs w:val="24"/>
        </w:rPr>
        <w:t xml:space="preserve">to </w:t>
      </w:r>
      <w:r w:rsidR="00064BB4" w:rsidRPr="000665B0">
        <w:rPr>
          <w:szCs w:val="24"/>
        </w:rPr>
        <w:t>make all the reassignments that have been accepted.</w:t>
      </w:r>
      <w:r w:rsidR="0069172C" w:rsidRPr="000665B0">
        <w:rPr>
          <w:szCs w:val="24"/>
        </w:rPr>
        <w:t xml:space="preserve"> Click </w:t>
      </w:r>
      <w:r w:rsidR="0069172C" w:rsidRPr="000665B0">
        <w:rPr>
          <w:b/>
          <w:szCs w:val="24"/>
        </w:rPr>
        <w:t>Save</w:t>
      </w:r>
      <w:r w:rsidR="0069172C" w:rsidRPr="000665B0">
        <w:rPr>
          <w:szCs w:val="24"/>
        </w:rPr>
        <w:t xml:space="preserve"> to save the updates to the Strike Option.</w:t>
      </w:r>
      <w:r w:rsidR="00037315" w:rsidRPr="000665B0">
        <w:rPr>
          <w:szCs w:val="24"/>
        </w:rPr>
        <w:t xml:space="preserve"> </w:t>
      </w:r>
    </w:p>
    <w:p w14:paraId="21D46072" w14:textId="79E1274C" w:rsidR="00064BB4" w:rsidRPr="000665B0" w:rsidRDefault="00064BB4" w:rsidP="00BB197D">
      <w:pPr>
        <w:keepNext/>
        <w:tabs>
          <w:tab w:val="left" w:pos="720"/>
        </w:tabs>
        <w:rPr>
          <w:szCs w:val="24"/>
        </w:rPr>
      </w:pPr>
      <w:r w:rsidRPr="000665B0">
        <w:rPr>
          <w:szCs w:val="24"/>
        </w:rPr>
        <w:t>If only a partial reassignment is made</w:t>
      </w:r>
      <w:r w:rsidR="00D77C55" w:rsidRPr="000665B0">
        <w:rPr>
          <w:szCs w:val="24"/>
        </w:rPr>
        <w:t>,</w:t>
      </w:r>
      <w:r w:rsidRPr="000665B0">
        <w:rPr>
          <w:szCs w:val="24"/>
        </w:rPr>
        <w:t xml:space="preserve"> the user </w:t>
      </w:r>
      <w:r w:rsidR="00D77C55" w:rsidRPr="000665B0">
        <w:rPr>
          <w:szCs w:val="24"/>
        </w:rPr>
        <w:t>is</w:t>
      </w:r>
      <w:r w:rsidRPr="000665B0">
        <w:rPr>
          <w:szCs w:val="24"/>
        </w:rPr>
        <w:t xml:space="preserve"> notified:</w:t>
      </w:r>
    </w:p>
    <w:p w14:paraId="6B84A7EA" w14:textId="4DAD7902" w:rsidR="00064BB4" w:rsidRPr="000665B0" w:rsidRDefault="00413A37" w:rsidP="00474A1F">
      <w:pPr>
        <w:tabs>
          <w:tab w:val="left" w:pos="720"/>
        </w:tabs>
        <w:jc w:val="center"/>
        <w:rPr>
          <w:sz w:val="28"/>
          <w:szCs w:val="28"/>
        </w:rPr>
      </w:pPr>
      <w:r w:rsidRPr="000665B0">
        <w:rPr>
          <w:noProof/>
        </w:rPr>
        <w:drawing>
          <wp:inline distT="0" distB="0" distL="0" distR="0" wp14:anchorId="34C53B5C" wp14:editId="7C191F50">
            <wp:extent cx="2315560" cy="895350"/>
            <wp:effectExtent l="0" t="0" r="0" b="0"/>
            <wp:docPr id="1926" name="Picture 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325216" cy="899084"/>
                    </a:xfrm>
                    <a:prstGeom prst="rect">
                      <a:avLst/>
                    </a:prstGeom>
                  </pic:spPr>
                </pic:pic>
              </a:graphicData>
            </a:graphic>
          </wp:inline>
        </w:drawing>
      </w:r>
    </w:p>
    <w:p w14:paraId="5B2AA62E" w14:textId="77777777" w:rsidR="00064BB4" w:rsidRPr="000665B0" w:rsidRDefault="00064BB4" w:rsidP="00474A1F">
      <w:pPr>
        <w:tabs>
          <w:tab w:val="left" w:pos="720"/>
        </w:tabs>
        <w:rPr>
          <w:szCs w:val="24"/>
        </w:rPr>
      </w:pPr>
      <w:r w:rsidRPr="000665B0">
        <w:rPr>
          <w:szCs w:val="24"/>
        </w:rPr>
        <w:t xml:space="preserve">For all reservations with the use specified missile id set, the Auto PM3 algorithm will only look for reassignments using the exact missile id. If it is not set, it will use the </w:t>
      </w:r>
      <w:r w:rsidR="006B10EB" w:rsidRPr="000665B0">
        <w:rPr>
          <w:szCs w:val="24"/>
        </w:rPr>
        <w:t>least-</w:t>
      </w:r>
      <w:r w:rsidRPr="000665B0">
        <w:rPr>
          <w:szCs w:val="24"/>
        </w:rPr>
        <w:t>capable missile.</w:t>
      </w:r>
    </w:p>
    <w:p w14:paraId="0E361B64" w14:textId="77777777" w:rsidR="00064BB4" w:rsidRPr="000665B0" w:rsidRDefault="00064BB4" w:rsidP="00474A1F">
      <w:pPr>
        <w:tabs>
          <w:tab w:val="left" w:pos="720"/>
        </w:tabs>
      </w:pPr>
      <w:r w:rsidRPr="000665B0">
        <w:t>FRU Reassignment can also be done on ghost assignments.</w:t>
      </w:r>
    </w:p>
    <w:p w14:paraId="4CC5754A" w14:textId="77777777" w:rsidR="00064BB4" w:rsidRPr="000665B0" w:rsidRDefault="00064BB4" w:rsidP="00474A1F">
      <w:pPr>
        <w:tabs>
          <w:tab w:val="left" w:pos="720"/>
        </w:tabs>
        <w:rPr>
          <w:b/>
        </w:rPr>
      </w:pPr>
      <w:r w:rsidRPr="000665B0">
        <w:rPr>
          <w:b/>
        </w:rPr>
        <w:t xml:space="preserve">Replace CFF LMO </w:t>
      </w:r>
    </w:p>
    <w:p w14:paraId="4E3166EE" w14:textId="77777777" w:rsidR="00064BB4" w:rsidRPr="000665B0" w:rsidRDefault="00064BB4" w:rsidP="00474A1F">
      <w:pPr>
        <w:tabs>
          <w:tab w:val="left" w:pos="720"/>
        </w:tabs>
      </w:pPr>
      <w:r w:rsidRPr="000665B0">
        <w:lastRenderedPageBreak/>
        <w:t>Replace CFF LMO allows the operator to replace the CFF LMO missile assignment with a Full LMO.</w:t>
      </w:r>
    </w:p>
    <w:p w14:paraId="5846AA80" w14:textId="77777777" w:rsidR="00064BB4" w:rsidRPr="000665B0" w:rsidRDefault="00064BB4" w:rsidP="00C97DD2">
      <w:pPr>
        <w:tabs>
          <w:tab w:val="left" w:pos="720"/>
        </w:tabs>
      </w:pPr>
      <w:r w:rsidRPr="000665B0">
        <w:t>To replace a CFF LMO:</w:t>
      </w:r>
    </w:p>
    <w:p w14:paraId="2A07DBE0" w14:textId="77777777" w:rsidR="00064BB4" w:rsidRPr="000665B0" w:rsidRDefault="00064BB4" w:rsidP="006D5A65">
      <w:pPr>
        <w:pStyle w:val="Heading1"/>
      </w:pPr>
      <w:r w:rsidRPr="000665B0">
        <w:t>Select the desired CFF LMO Missile Assignment.</w:t>
      </w:r>
    </w:p>
    <w:p w14:paraId="0A8ADF05" w14:textId="5D30CFBA" w:rsidR="00064BB4" w:rsidRPr="000665B0" w:rsidRDefault="00064BB4" w:rsidP="006D5A65">
      <w:pPr>
        <w:pStyle w:val="Heading1"/>
      </w:pPr>
      <w:r w:rsidRPr="000665B0">
        <w:t>Invoke the context menu (</w:t>
      </w:r>
      <w:r w:rsidR="00A55173" w:rsidRPr="000665B0">
        <w:t>right</w:t>
      </w:r>
      <w:r w:rsidR="001B3E68" w:rsidRPr="000665B0">
        <w:t>-</w:t>
      </w:r>
      <w:r w:rsidR="00A55173" w:rsidRPr="000665B0">
        <w:t>click</w:t>
      </w:r>
      <w:r w:rsidRPr="000665B0">
        <w:t xml:space="preserve"> the mouse) and select</w:t>
      </w:r>
      <w:r w:rsidRPr="000665B0">
        <w:rPr>
          <w:bCs/>
        </w:rPr>
        <w:t xml:space="preserve"> Edit </w:t>
      </w:r>
      <w:r w:rsidR="006B10EB" w:rsidRPr="000665B0">
        <w:sym w:font="Wingdings 3" w:char="F07D"/>
      </w:r>
      <w:r w:rsidRPr="000665B0">
        <w:t xml:space="preserve"> Replace CFF LMO.</w:t>
      </w:r>
      <w:r w:rsidRPr="000665B0">
        <w:rPr>
          <w:bCs/>
        </w:rPr>
        <w:t xml:space="preserve"> </w:t>
      </w:r>
      <w:r w:rsidRPr="000665B0">
        <w:t xml:space="preserve">The </w:t>
      </w:r>
      <w:r w:rsidRPr="000665B0">
        <w:rPr>
          <w:i/>
        </w:rPr>
        <w:t>LMO Selection</w:t>
      </w:r>
      <w:r w:rsidRPr="000665B0">
        <w:t xml:space="preserve"> window </w:t>
      </w:r>
      <w:r w:rsidR="00DB5AEE" w:rsidRPr="000665B0">
        <w:t>is</w:t>
      </w:r>
      <w:r w:rsidRPr="000665B0">
        <w:t xml:space="preserve"> displayed</w:t>
      </w:r>
      <w:r w:rsidR="00346A98" w:rsidRPr="000665B0">
        <w:t>.</w:t>
      </w:r>
    </w:p>
    <w:p w14:paraId="0C9A709A" w14:textId="77777777" w:rsidR="00064BB4" w:rsidRPr="000665B0" w:rsidRDefault="00064BB4" w:rsidP="006D5A65">
      <w:pPr>
        <w:pStyle w:val="Heading1"/>
      </w:pPr>
      <w:r w:rsidRPr="000665B0">
        <w:t>Select the replacement Full LMO in the LMO Selection View.</w:t>
      </w:r>
    </w:p>
    <w:p w14:paraId="1BDE76C0" w14:textId="77777777" w:rsidR="00064BB4" w:rsidRPr="000665B0" w:rsidRDefault="00064BB4" w:rsidP="006D5A65">
      <w:pPr>
        <w:pStyle w:val="Heading1"/>
      </w:pPr>
      <w:r w:rsidRPr="000665B0">
        <w:t xml:space="preserve">Click </w:t>
      </w:r>
      <w:r w:rsidR="00E2707D" w:rsidRPr="000665B0">
        <w:t xml:space="preserve">the </w:t>
      </w:r>
      <w:r w:rsidRPr="000665B0">
        <w:t>OK</w:t>
      </w:r>
      <w:r w:rsidR="00E2707D" w:rsidRPr="000665B0">
        <w:t xml:space="preserve"> button</w:t>
      </w:r>
      <w:r w:rsidRPr="000665B0">
        <w:t>.</w:t>
      </w:r>
    </w:p>
    <w:p w14:paraId="4AC553A8" w14:textId="7195A6CF" w:rsidR="00365FF9" w:rsidRPr="000665B0" w:rsidRDefault="009A1FDF" w:rsidP="0086324C">
      <w:pPr>
        <w:keepLines/>
        <w:pBdr>
          <w:top w:val="single" w:sz="12" w:space="1" w:color="auto"/>
          <w:left w:val="single" w:sz="12" w:space="4" w:color="auto"/>
          <w:bottom w:val="single" w:sz="12" w:space="1" w:color="auto"/>
          <w:right w:val="single" w:sz="12" w:space="4" w:color="auto"/>
        </w:pBdr>
        <w:shd w:val="clear" w:color="auto" w:fill="F3F3F3"/>
        <w:tabs>
          <w:tab w:val="left" w:pos="720"/>
        </w:tabs>
        <w:spacing w:after="0"/>
      </w:pPr>
      <w:r w:rsidRPr="000665B0">
        <w:rPr>
          <w:b/>
          <w:noProof/>
        </w:rPr>
        <w:drawing>
          <wp:inline distT="0" distB="0" distL="0" distR="0" wp14:anchorId="606C5CEA" wp14:editId="1E776722">
            <wp:extent cx="352425" cy="381000"/>
            <wp:effectExtent l="0" t="0" r="9525" b="0"/>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C00081" w:rsidRPr="000665B0">
        <w:rPr>
          <w:b/>
        </w:rPr>
        <w:t>TIP: When performing a CFF LMO replacement, the replacement Full LMO candidates may not be listed in the LMO Replacement Selection View if the Mission Candidates (</w:t>
      </w:r>
      <w:r w:rsidR="00C00081" w:rsidRPr="000665B0">
        <w:rPr>
          <w:b/>
          <w:i/>
        </w:rPr>
        <w:t>Mission</w:t>
      </w:r>
      <w:r w:rsidR="00C00081" w:rsidRPr="000665B0">
        <w:rPr>
          <w:b/>
        </w:rPr>
        <w:t xml:space="preserve"> Tab) has never been activated.</w:t>
      </w:r>
      <w:r w:rsidR="00C00081" w:rsidRPr="000665B0">
        <w:rPr>
          <w:rStyle w:val="bodycopy"/>
          <w:b/>
          <w:szCs w:val="24"/>
        </w:rPr>
        <w:t xml:space="preserve"> </w:t>
      </w:r>
      <w:r w:rsidR="00FA56D3" w:rsidRPr="000665B0">
        <w:rPr>
          <w:rStyle w:val="bodycopy"/>
          <w:b/>
        </w:rPr>
        <w:t>Thus,</w:t>
      </w:r>
      <w:r w:rsidR="00C00081" w:rsidRPr="000665B0">
        <w:rPr>
          <w:rStyle w:val="bodycopy"/>
          <w:b/>
        </w:rPr>
        <w:t xml:space="preserve"> if the selection view is empty</w:t>
      </w:r>
      <w:r w:rsidR="006B10EB" w:rsidRPr="000665B0">
        <w:rPr>
          <w:rStyle w:val="bodycopy"/>
          <w:b/>
        </w:rPr>
        <w:t>,</w:t>
      </w:r>
      <w:r w:rsidR="00C00081" w:rsidRPr="000665B0">
        <w:rPr>
          <w:rStyle w:val="bodycopy"/>
          <w:b/>
        </w:rPr>
        <w:t xml:space="preserve"> </w:t>
      </w:r>
      <w:r w:rsidR="006B10EB" w:rsidRPr="000665B0">
        <w:rPr>
          <w:rStyle w:val="bodycopy"/>
          <w:b/>
        </w:rPr>
        <w:t xml:space="preserve">navigate </w:t>
      </w:r>
      <w:r w:rsidR="00346A98" w:rsidRPr="000665B0">
        <w:rPr>
          <w:rStyle w:val="bodycopy"/>
          <w:b/>
        </w:rPr>
        <w:t>to</w:t>
      </w:r>
      <w:r w:rsidR="00C00081" w:rsidRPr="000665B0">
        <w:rPr>
          <w:rStyle w:val="bodycopy"/>
          <w:b/>
        </w:rPr>
        <w:t xml:space="preserve"> the </w:t>
      </w:r>
      <w:r w:rsidR="00C00081" w:rsidRPr="000665B0">
        <w:rPr>
          <w:rStyle w:val="bodycopy"/>
          <w:b/>
          <w:i/>
        </w:rPr>
        <w:t>Mission</w:t>
      </w:r>
      <w:r w:rsidR="00C00081" w:rsidRPr="000665B0">
        <w:rPr>
          <w:rStyle w:val="bodycopy"/>
          <w:b/>
        </w:rPr>
        <w:t xml:space="preserve"> Tab and click on the Execute Query </w:t>
      </w:r>
      <w:r w:rsidR="005841AB" w:rsidRPr="000665B0">
        <w:rPr>
          <w:rStyle w:val="bodycopy"/>
          <w:b/>
        </w:rPr>
        <w:t>button</w:t>
      </w:r>
      <w:r w:rsidR="00C00081" w:rsidRPr="000665B0">
        <w:rPr>
          <w:rStyle w:val="bodycopy"/>
          <w:b/>
          <w:szCs w:val="24"/>
        </w:rPr>
        <w:t>. Then re-try the CFF LMO replacement.</w:t>
      </w:r>
      <w:bookmarkStart w:id="6344" w:name="_Toc289328866"/>
    </w:p>
    <w:p w14:paraId="0F271EE3" w14:textId="4B5D787C" w:rsidR="00365FF9" w:rsidRPr="000665B0" w:rsidRDefault="00BB197D" w:rsidP="00CE2C1C">
      <w:pPr>
        <w:tabs>
          <w:tab w:val="left" w:pos="720"/>
        </w:tabs>
        <w:spacing w:before="120"/>
      </w:pPr>
      <w:r w:rsidRPr="000665B0">
        <w:t xml:space="preserve">As in other list views, </w:t>
      </w:r>
      <w:r w:rsidR="00AB79FF" w:rsidRPr="000665B0">
        <w:t xml:space="preserve">items can be selected to </w:t>
      </w:r>
      <w:r w:rsidRPr="000665B0">
        <w:t xml:space="preserve">Display Geographically (see </w:t>
      </w:r>
      <w:hyperlink w:anchor="_5.2.1.2.2__Display_1" w:history="1">
        <w:r w:rsidRPr="000665B0">
          <w:rPr>
            <w:rStyle w:val="Hyperlink"/>
          </w:rPr>
          <w:t>Section 5.2.1.2.2</w:t>
        </w:r>
      </w:hyperlink>
      <w:r w:rsidRPr="000665B0">
        <w:rPr>
          <w:rStyle w:val="Hyperlink"/>
        </w:rPr>
        <w:t>)</w:t>
      </w:r>
      <w:r w:rsidRPr="000665B0">
        <w:t xml:space="preserve">, Display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0665B0">
        <w:rPr>
          <w:rStyle w:val="Hyperlink"/>
        </w:rPr>
        <w:t>)</w:t>
      </w:r>
      <w:r w:rsidRPr="000665B0">
        <w:t>.</w:t>
      </w:r>
    </w:p>
    <w:p w14:paraId="6AD8AF8C" w14:textId="37BE69B2" w:rsidR="0078503C" w:rsidRPr="000665B0" w:rsidRDefault="0078503C" w:rsidP="00C97DD2">
      <w:pPr>
        <w:pStyle w:val="Heading5"/>
        <w:keepNext w:val="0"/>
        <w:tabs>
          <w:tab w:val="left" w:pos="720"/>
        </w:tabs>
      </w:pPr>
      <w:bookmarkStart w:id="6345" w:name="_Package_Tab"/>
      <w:bookmarkEnd w:id="6345"/>
      <w:r w:rsidRPr="000665B0">
        <w:t>Package Tab</w:t>
      </w:r>
      <w:bookmarkEnd w:id="6336"/>
      <w:bookmarkEnd w:id="6337"/>
      <w:bookmarkEnd w:id="6338"/>
      <w:bookmarkEnd w:id="6339"/>
      <w:bookmarkEnd w:id="6340"/>
      <w:bookmarkEnd w:id="6344"/>
    </w:p>
    <w:p w14:paraId="15D379D5" w14:textId="77777777" w:rsidR="0078503C" w:rsidRPr="000665B0" w:rsidRDefault="0078503C" w:rsidP="00474A1F">
      <w:pPr>
        <w:pStyle w:val="BodyTextIndent2"/>
        <w:tabs>
          <w:tab w:val="left" w:pos="720"/>
        </w:tabs>
        <w:spacing w:line="240" w:lineRule="auto"/>
        <w:ind w:left="0"/>
      </w:pPr>
      <w:r w:rsidRPr="000665B0">
        <w:t xml:space="preserve">The </w:t>
      </w:r>
      <w:r w:rsidRPr="000665B0">
        <w:rPr>
          <w:b/>
          <w:i/>
          <w:iCs/>
        </w:rPr>
        <w:t>Package</w:t>
      </w:r>
      <w:r w:rsidRPr="000665B0">
        <w:rPr>
          <w:b/>
          <w:bCs/>
        </w:rPr>
        <w:t xml:space="preserve"> </w:t>
      </w:r>
      <w:r w:rsidRPr="000665B0">
        <w:rPr>
          <w:bCs/>
        </w:rPr>
        <w:t>t</w:t>
      </w:r>
      <w:r w:rsidRPr="000665B0">
        <w:t xml:space="preserve">ab displays strike timing, approval references, tasking deviations, and LMO/Ghost Only tasking times (when appropriate). </w:t>
      </w:r>
      <w:r w:rsidRPr="000665B0">
        <w:rPr>
          <w:b/>
          <w:bCs/>
        </w:rPr>
        <w:t>Strike Execution Time</w:t>
      </w:r>
      <w:r w:rsidRPr="000665B0">
        <w:t xml:space="preserve"> is defined as “The earliest time that any strike operations may begin” (e.g., spin missiles, start engagements).</w:t>
      </w:r>
    </w:p>
    <w:p w14:paraId="0E67035D" w14:textId="1AF4632A" w:rsidR="00837C71" w:rsidRPr="000665B0" w:rsidRDefault="00A82714" w:rsidP="00BB4EBE">
      <w:pPr>
        <w:tabs>
          <w:tab w:val="left" w:pos="720"/>
        </w:tabs>
        <w:jc w:val="center"/>
      </w:pPr>
      <w:r w:rsidRPr="000665B0">
        <w:rPr>
          <w:noProof/>
        </w:rPr>
        <w:drawing>
          <wp:inline distT="0" distB="0" distL="0" distR="0" wp14:anchorId="3E71E02F" wp14:editId="6261AF0F">
            <wp:extent cx="4983480" cy="2212848"/>
            <wp:effectExtent l="0" t="0" r="0" b="0"/>
            <wp:docPr id="2148" name="Picture 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2212848"/>
                    </a:xfrm>
                    <a:prstGeom prst="rect">
                      <a:avLst/>
                    </a:prstGeom>
                  </pic:spPr>
                </pic:pic>
              </a:graphicData>
            </a:graphic>
          </wp:inline>
        </w:drawing>
      </w:r>
      <w:r w:rsidRPr="000665B0">
        <w:rPr>
          <w:noProof/>
        </w:rPr>
        <w:t xml:space="preserve"> </w:t>
      </w:r>
    </w:p>
    <w:p w14:paraId="0F981BAC" w14:textId="77777777" w:rsidR="00CA18B0" w:rsidRPr="000665B0" w:rsidRDefault="00CA18B0" w:rsidP="00CA18B0">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 xml:space="preserve">Note: </w:t>
      </w:r>
    </w:p>
    <w:p w14:paraId="596A40CB" w14:textId="55BB0634" w:rsidR="00CA18B0" w:rsidRPr="000665B0" w:rsidRDefault="00CA18B0" w:rsidP="00CA18B0">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jc w:val="center"/>
        <w:rPr>
          <w:b/>
        </w:rPr>
      </w:pPr>
      <w:r w:rsidRPr="000665B0">
        <w:rPr>
          <w:b/>
        </w:rPr>
        <w:t xml:space="preserve">If the package contains ACA reservations, the initial ACA filter message must be sent to the NSP within 72 hours before the ACA strike execution time. An ACA filter message should also be sent if the Strike Execution time is edited (see </w:t>
      </w:r>
      <w:hyperlink w:anchor="_Send__an" w:history="1">
        <w:r w:rsidR="009326FE" w:rsidRPr="000665B0">
          <w:rPr>
            <w:rStyle w:val="Hyperlink"/>
            <w:b/>
          </w:rPr>
          <w:t xml:space="preserve">Section </w:t>
        </w:r>
        <w:r w:rsidR="004231CC">
          <w:rPr>
            <w:rStyle w:val="Hyperlink"/>
            <w:b/>
          </w:rPr>
          <w:t>5.34</w:t>
        </w:r>
        <w:r w:rsidRPr="000665B0">
          <w:rPr>
            <w:rStyle w:val="Hyperlink"/>
            <w:b/>
          </w:rPr>
          <w:t>.7.1.9.1</w:t>
        </w:r>
      </w:hyperlink>
      <w:r w:rsidRPr="000665B0">
        <w:rPr>
          <w:rStyle w:val="Hyperlink"/>
        </w:rPr>
        <w:t>).</w:t>
      </w:r>
    </w:p>
    <w:p w14:paraId="288018D4" w14:textId="6ABF8D6B" w:rsidR="0078503C" w:rsidRPr="000665B0" w:rsidRDefault="0078503C" w:rsidP="00474A1F">
      <w:pPr>
        <w:pStyle w:val="BodyTextIndent2"/>
        <w:tabs>
          <w:tab w:val="left" w:pos="720"/>
        </w:tabs>
        <w:spacing w:line="240" w:lineRule="auto"/>
        <w:ind w:left="0"/>
      </w:pPr>
      <w:r w:rsidRPr="000665B0">
        <w:t>To enter</w:t>
      </w:r>
      <w:r w:rsidR="00635CC8" w:rsidRPr="000665B0">
        <w:t xml:space="preserve"> or edit</w:t>
      </w:r>
      <w:r w:rsidRPr="000665B0">
        <w:t xml:space="preserve"> Strike Execution Time:</w:t>
      </w:r>
    </w:p>
    <w:p w14:paraId="5545550E" w14:textId="0F975B67" w:rsidR="0078503C" w:rsidRPr="000665B0" w:rsidRDefault="0078503C" w:rsidP="006D5A65">
      <w:pPr>
        <w:pStyle w:val="Heading1"/>
      </w:pPr>
      <w:r w:rsidRPr="000665B0">
        <w:lastRenderedPageBreak/>
        <w:t xml:space="preserve">From the Edit menu select Edit Execution Time…. The </w:t>
      </w:r>
      <w:r w:rsidRPr="000665B0">
        <w:rPr>
          <w:i/>
        </w:rPr>
        <w:t>Strike Execution Edit Time</w:t>
      </w:r>
      <w:r w:rsidRPr="000665B0">
        <w:t xml:space="preserve"> window </w:t>
      </w:r>
      <w:r w:rsidR="00DB5AEE" w:rsidRPr="000665B0">
        <w:t>is</w:t>
      </w:r>
      <w:r w:rsidRPr="000665B0">
        <w:t xml:space="preserve"> displayed.</w:t>
      </w:r>
    </w:p>
    <w:p w14:paraId="5FDCE455" w14:textId="7DFF827E" w:rsidR="0078503C" w:rsidRPr="000665B0" w:rsidRDefault="00A82714" w:rsidP="00474A1F">
      <w:pPr>
        <w:tabs>
          <w:tab w:val="left" w:pos="720"/>
        </w:tabs>
        <w:jc w:val="center"/>
      </w:pPr>
      <w:r w:rsidRPr="000665B0">
        <w:rPr>
          <w:noProof/>
        </w:rPr>
        <w:drawing>
          <wp:inline distT="0" distB="0" distL="0" distR="0" wp14:anchorId="0B4B04A3" wp14:editId="1E3CFFD2">
            <wp:extent cx="2743200" cy="1051560"/>
            <wp:effectExtent l="0" t="0" r="0" b="0"/>
            <wp:docPr id="2150" name="Picture 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051560"/>
                    </a:xfrm>
                    <a:prstGeom prst="rect">
                      <a:avLst/>
                    </a:prstGeom>
                  </pic:spPr>
                </pic:pic>
              </a:graphicData>
            </a:graphic>
          </wp:inline>
        </w:drawing>
      </w:r>
    </w:p>
    <w:p w14:paraId="38308073" w14:textId="77777777" w:rsidR="0078503C" w:rsidRPr="000665B0" w:rsidRDefault="0078503C" w:rsidP="006D5A65">
      <w:pPr>
        <w:pStyle w:val="Heading1"/>
      </w:pPr>
      <w:r w:rsidRPr="000665B0">
        <w:t xml:space="preserve">Select the checkbox and then use the </w:t>
      </w:r>
      <w:r w:rsidRPr="000665B0">
        <w:sym w:font="Wingdings 3" w:char="F071"/>
      </w:r>
      <w:r w:rsidRPr="000665B0">
        <w:t xml:space="preserve"> button to select the date from the calendar.</w:t>
      </w:r>
    </w:p>
    <w:p w14:paraId="37BC8103" w14:textId="77777777" w:rsidR="0078503C" w:rsidRPr="000665B0" w:rsidRDefault="0078503C" w:rsidP="00474A1F">
      <w:pPr>
        <w:pStyle w:val="Number0205"/>
        <w:tabs>
          <w:tab w:val="left" w:pos="720"/>
        </w:tabs>
        <w:ind w:left="360" w:firstLine="0"/>
      </w:pPr>
      <w:r w:rsidRPr="000665B0">
        <w:t>or</w:t>
      </w:r>
    </w:p>
    <w:p w14:paraId="55AE23A2" w14:textId="77777777" w:rsidR="0078503C" w:rsidRPr="000665B0" w:rsidRDefault="0078503C" w:rsidP="006D5A65">
      <w:pPr>
        <w:pStyle w:val="Heading1"/>
      </w:pPr>
      <w:r w:rsidRPr="000665B0">
        <w:t>To manually change the ddhhmmss Z MMM YY format:</w:t>
      </w:r>
    </w:p>
    <w:p w14:paraId="1499EC00" w14:textId="77777777" w:rsidR="0078503C" w:rsidRPr="000665B0" w:rsidRDefault="0078503C" w:rsidP="006D5A65">
      <w:pPr>
        <w:pStyle w:val="Heading1"/>
      </w:pPr>
      <w:r w:rsidRPr="000665B0">
        <w:t>Highlight the desired field (i.e., dd, hh, mm, ss)</w:t>
      </w:r>
    </w:p>
    <w:p w14:paraId="6FFF6FEC" w14:textId="77777777" w:rsidR="0078503C" w:rsidRPr="000665B0" w:rsidRDefault="0078503C" w:rsidP="006D5A65">
      <w:pPr>
        <w:pStyle w:val="Heading1"/>
      </w:pPr>
      <w:r w:rsidRPr="000665B0">
        <w:t xml:space="preserve">Use the </w:t>
      </w:r>
      <w:r w:rsidRPr="000665B0">
        <w:sym w:font="Wingdings 3" w:char="F093"/>
      </w:r>
      <w:r w:rsidRPr="000665B0">
        <w:sym w:font="Wingdings 3" w:char="F094"/>
      </w:r>
      <w:r w:rsidRPr="000665B0">
        <w:t xml:space="preserve"> (up/down arrow keys) to </w:t>
      </w:r>
      <w:r w:rsidR="0069172C" w:rsidRPr="000665B0">
        <w:t xml:space="preserve">change the value. The </w:t>
      </w:r>
      <w:r w:rsidR="0069172C" w:rsidRPr="000665B0">
        <w:sym w:font="Wingdings 3" w:char="F091"/>
      </w:r>
      <w:r w:rsidR="0069172C" w:rsidRPr="000665B0">
        <w:sym w:font="Wingdings 3" w:char="F092"/>
      </w:r>
      <w:r w:rsidR="0069172C" w:rsidRPr="000665B0">
        <w:t xml:space="preserve"> (left/right arrow keys) move the cursor from field to field. Instead of using </w:t>
      </w:r>
      <w:r w:rsidR="0069172C" w:rsidRPr="000665B0">
        <w:sym w:font="Wingdings 3" w:char="F093"/>
      </w:r>
      <w:r w:rsidR="0069172C" w:rsidRPr="000665B0">
        <w:sym w:font="Wingdings 3" w:char="F094"/>
      </w:r>
      <w:r w:rsidR="0069172C" w:rsidRPr="000665B0">
        <w:t>, one can also directly type the value.</w:t>
      </w:r>
    </w:p>
    <w:p w14:paraId="3575AC38" w14:textId="77777777" w:rsidR="007058E9" w:rsidRPr="000665B0" w:rsidRDefault="007058E9" w:rsidP="006D5A65">
      <w:pPr>
        <w:pStyle w:val="Heading1"/>
      </w:pPr>
      <w:r w:rsidRPr="000665B0">
        <w:t>Click OK.</w:t>
      </w:r>
    </w:p>
    <w:p w14:paraId="7E5CA101" w14:textId="77777777" w:rsidR="003A2C9A" w:rsidRPr="000665B0" w:rsidRDefault="00B63106" w:rsidP="00C97DD2">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r w:rsidR="0078503C" w:rsidRPr="000665B0">
        <w:rPr>
          <w:b/>
        </w:rPr>
        <w:t xml:space="preserve">: </w:t>
      </w:r>
    </w:p>
    <w:p w14:paraId="42999A33" w14:textId="77777777" w:rsidR="0078503C" w:rsidRPr="000665B0" w:rsidRDefault="0078503C" w:rsidP="00C97DD2">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jc w:val="center"/>
        <w:rPr>
          <w:b/>
        </w:rPr>
      </w:pPr>
      <w:r w:rsidRPr="000665B0">
        <w:rPr>
          <w:b/>
        </w:rPr>
        <w:t>A helpful rule of thumb is to check missile assignments and look for the mission with the earliest launch time. Strike Execution should be before the earliest launch time. If Strike Execution Time is after or close to the earliest launch time</w:t>
      </w:r>
      <w:r w:rsidR="007058E9" w:rsidRPr="000665B0">
        <w:rPr>
          <w:b/>
        </w:rPr>
        <w:t>,</w:t>
      </w:r>
      <w:r w:rsidRPr="000665B0">
        <w:rPr>
          <w:b/>
        </w:rPr>
        <w:t xml:space="preserve"> MDS will show in the </w:t>
      </w:r>
      <w:r w:rsidRPr="000665B0">
        <w:rPr>
          <w:b/>
          <w:i/>
        </w:rPr>
        <w:t>Missile Assignment</w:t>
      </w:r>
      <w:r w:rsidRPr="000665B0">
        <w:rPr>
          <w:b/>
        </w:rPr>
        <w:t xml:space="preserve"> </w:t>
      </w:r>
      <w:r w:rsidRPr="000665B0">
        <w:rPr>
          <w:b/>
          <w:i/>
        </w:rPr>
        <w:t>Summary Status</w:t>
      </w:r>
      <w:r w:rsidRPr="000665B0">
        <w:rPr>
          <w:b/>
        </w:rPr>
        <w:t xml:space="preserve"> window that launch time is after execution time.</w:t>
      </w:r>
    </w:p>
    <w:p w14:paraId="19BD73AA" w14:textId="77777777" w:rsidR="0078503C" w:rsidRPr="000665B0" w:rsidRDefault="0078503C" w:rsidP="00172AD0">
      <w:pPr>
        <w:pStyle w:val="BodyTextIndent2"/>
        <w:keepNext/>
        <w:tabs>
          <w:tab w:val="left" w:pos="720"/>
        </w:tabs>
        <w:spacing w:before="240" w:line="240" w:lineRule="auto"/>
        <w:ind w:left="0"/>
      </w:pPr>
      <w:r w:rsidRPr="000665B0">
        <w:rPr>
          <w:b/>
          <w:bCs/>
        </w:rPr>
        <w:t xml:space="preserve">Command Approval </w:t>
      </w:r>
      <w:r w:rsidRPr="000665B0">
        <w:t xml:space="preserve">is not a required field. </w:t>
      </w:r>
    </w:p>
    <w:p w14:paraId="140B1222" w14:textId="77777777" w:rsidR="0078503C" w:rsidRPr="000665B0" w:rsidRDefault="0078503C" w:rsidP="00474A1F">
      <w:pPr>
        <w:pStyle w:val="BodyTextIndent2"/>
        <w:tabs>
          <w:tab w:val="left" w:pos="720"/>
        </w:tabs>
        <w:spacing w:line="240" w:lineRule="auto"/>
        <w:ind w:left="0"/>
      </w:pPr>
      <w:r w:rsidRPr="000665B0">
        <w:t>To enter Command Approval:</w:t>
      </w:r>
    </w:p>
    <w:p w14:paraId="07C35FDF" w14:textId="77777777" w:rsidR="0078503C" w:rsidRPr="000665B0" w:rsidRDefault="0078503C" w:rsidP="006D5A65">
      <w:pPr>
        <w:pStyle w:val="Heading1"/>
      </w:pPr>
      <w:r w:rsidRPr="000665B0">
        <w:t xml:space="preserve">In the </w:t>
      </w:r>
      <w:r w:rsidRPr="000665B0">
        <w:rPr>
          <w:bCs/>
        </w:rPr>
        <w:t>By</w:t>
      </w:r>
      <w:r w:rsidRPr="000665B0">
        <w:t xml:space="preserve"> field enter up to 30 alphanumeric characters of the command that approved the change to the option.</w:t>
      </w:r>
    </w:p>
    <w:p w14:paraId="6D41A65B" w14:textId="77777777" w:rsidR="0078503C" w:rsidRPr="000665B0" w:rsidRDefault="0078503C" w:rsidP="006D5A65">
      <w:pPr>
        <w:pStyle w:val="Heading1"/>
      </w:pPr>
      <w:r w:rsidRPr="000665B0">
        <w:t xml:space="preserve">In the </w:t>
      </w:r>
      <w:r w:rsidRPr="000665B0">
        <w:rPr>
          <w:bCs/>
        </w:rPr>
        <w:t>DTG</w:t>
      </w:r>
      <w:r w:rsidRPr="000665B0">
        <w:t xml:space="preserve"> field, enter the time the approval was granted in the ddhhmmss Z MMM YY format or </w:t>
      </w:r>
      <w:r w:rsidR="007058E9" w:rsidRPr="000665B0">
        <w:t xml:space="preserve">select the checkbox and use </w:t>
      </w:r>
      <w:r w:rsidRPr="000665B0">
        <w:t xml:space="preserve">the </w:t>
      </w:r>
      <w:r w:rsidRPr="000665B0">
        <w:sym w:font="Wingdings 3" w:char="F071"/>
      </w:r>
      <w:r w:rsidRPr="000665B0">
        <w:t xml:space="preserve"> button </w:t>
      </w:r>
      <w:r w:rsidR="007058E9" w:rsidRPr="000665B0">
        <w:t xml:space="preserve">to </w:t>
      </w:r>
      <w:r w:rsidRPr="000665B0">
        <w:t>select the date from the calendar.</w:t>
      </w:r>
    </w:p>
    <w:p w14:paraId="0A97E1AE" w14:textId="77777777" w:rsidR="0078503C" w:rsidRPr="000665B0" w:rsidRDefault="0078503C" w:rsidP="00474A1F">
      <w:pPr>
        <w:pStyle w:val="BodyTextIndent2"/>
        <w:tabs>
          <w:tab w:val="left" w:pos="720"/>
        </w:tabs>
        <w:spacing w:line="240" w:lineRule="auto"/>
        <w:ind w:left="0"/>
      </w:pPr>
      <w:r w:rsidRPr="000665B0">
        <w:rPr>
          <w:b/>
          <w:bCs/>
        </w:rPr>
        <w:t xml:space="preserve">Strike </w:t>
      </w:r>
      <w:r w:rsidR="007058E9" w:rsidRPr="000665B0">
        <w:rPr>
          <w:b/>
          <w:bCs/>
        </w:rPr>
        <w:t xml:space="preserve">Controller </w:t>
      </w:r>
      <w:r w:rsidRPr="000665B0">
        <w:rPr>
          <w:b/>
          <w:bCs/>
        </w:rPr>
        <w:t xml:space="preserve">Contact – </w:t>
      </w:r>
      <w:r w:rsidRPr="000665B0">
        <w:t>Enter up to 30 alphanumeric characters of the command that is the strike controller on TSN.</w:t>
      </w:r>
    </w:p>
    <w:p w14:paraId="7FB983FC" w14:textId="77777777" w:rsidR="0078503C" w:rsidRPr="000665B0" w:rsidRDefault="0078503C" w:rsidP="00474A1F">
      <w:pPr>
        <w:pStyle w:val="BodyTextIndent2"/>
        <w:tabs>
          <w:tab w:val="left" w:pos="720"/>
        </w:tabs>
        <w:spacing w:line="240" w:lineRule="auto"/>
        <w:ind w:left="0"/>
      </w:pPr>
      <w:r w:rsidRPr="000665B0">
        <w:rPr>
          <w:b/>
        </w:rPr>
        <w:t>LMO/Ghost Only Tasking</w:t>
      </w:r>
      <w:r w:rsidRPr="000665B0">
        <w:t xml:space="preserve"> – </w:t>
      </w:r>
      <w:r w:rsidR="003B4043" w:rsidRPr="000665B0">
        <w:t>T</w:t>
      </w:r>
      <w:r w:rsidRPr="000665B0">
        <w:t xml:space="preserve">his panel is available when an option contains only LMOs and/or Ghost tasking. </w:t>
      </w:r>
    </w:p>
    <w:p w14:paraId="0B094818" w14:textId="77777777" w:rsidR="0078503C" w:rsidRPr="000665B0" w:rsidRDefault="0078503C" w:rsidP="006D5A65">
      <w:pPr>
        <w:pStyle w:val="Heading1"/>
      </w:pPr>
      <w:r w:rsidRPr="000665B0">
        <w:t xml:space="preserve">Task Start Time – </w:t>
      </w:r>
      <w:r w:rsidR="003B4043" w:rsidRPr="000665B0">
        <w:t>R</w:t>
      </w:r>
      <w:r w:rsidRPr="000665B0">
        <w:t>equired whenever an option containing LMO/Ghost Only Tasking is being turned into a package or is already a package. This is the earliest time that tasking can begin for the option.</w:t>
      </w:r>
    </w:p>
    <w:p w14:paraId="7E1F89C5" w14:textId="77777777" w:rsidR="0078503C" w:rsidRPr="000665B0" w:rsidRDefault="0078503C" w:rsidP="006D5A65">
      <w:pPr>
        <w:pStyle w:val="Heading1"/>
      </w:pPr>
      <w:r w:rsidRPr="000665B0">
        <w:t xml:space="preserve">Task End Time – </w:t>
      </w:r>
      <w:r w:rsidR="004133CC" w:rsidRPr="000665B0">
        <w:t xml:space="preserve">Required whenever an option containing LMO/Ghost Only Tasking is being turned into a package or is </w:t>
      </w:r>
      <w:r w:rsidR="004133CC" w:rsidRPr="000665B0">
        <w:lastRenderedPageBreak/>
        <w:t xml:space="preserve">already a package. </w:t>
      </w:r>
      <w:r w:rsidRPr="000665B0">
        <w:t>This is the latest time that tasking can begin for the option.</w:t>
      </w:r>
    </w:p>
    <w:p w14:paraId="1AF54E98" w14:textId="77777777" w:rsidR="0078503C" w:rsidRPr="000665B0" w:rsidRDefault="0078503C" w:rsidP="00474A1F">
      <w:pPr>
        <w:tabs>
          <w:tab w:val="left" w:pos="720"/>
        </w:tabs>
      </w:pPr>
      <w:r w:rsidRPr="000665B0">
        <w:rPr>
          <w:b/>
        </w:rPr>
        <w:t>Tasking Deviation List View</w:t>
      </w:r>
      <w:r w:rsidRPr="000665B0">
        <w:t xml:space="preserve"> – </w:t>
      </w:r>
      <w:r w:rsidR="003B4043" w:rsidRPr="000665B0">
        <w:t>L</w:t>
      </w:r>
      <w:r w:rsidRPr="000665B0">
        <w:t>ist view of all tasking deviation changes. A tasking deviation entry is created for every Strike Option revision. Once the tasking deviation is created, the Tasking Deviation Sequence Number (</w:t>
      </w:r>
      <w:r w:rsidRPr="000665B0">
        <w:rPr>
          <w:b/>
        </w:rPr>
        <w:t>TDSN</w:t>
      </w:r>
      <w:r w:rsidRPr="000665B0">
        <w:t>) and the deviation description can be manually edited to provide any additional information about the tasking deviation.</w:t>
      </w:r>
    </w:p>
    <w:p w14:paraId="4FD4D2CB" w14:textId="77777777" w:rsidR="0078503C" w:rsidRPr="000665B0" w:rsidRDefault="0078503C" w:rsidP="001F4B14">
      <w:pPr>
        <w:keepNext/>
        <w:tabs>
          <w:tab w:val="left" w:pos="720"/>
        </w:tabs>
        <w:rPr>
          <w:b/>
        </w:rPr>
      </w:pPr>
      <w:r w:rsidRPr="000665B0">
        <w:rPr>
          <w:b/>
        </w:rPr>
        <w:t xml:space="preserve">Tasking Deviation List View </w:t>
      </w:r>
      <w:r w:rsidR="007058E9" w:rsidRPr="000665B0">
        <w:rPr>
          <w:b/>
        </w:rPr>
        <w:t>Context Menu</w:t>
      </w:r>
    </w:p>
    <w:p w14:paraId="32A78AB7" w14:textId="4E3E13F5" w:rsidR="0078503C" w:rsidRPr="000665B0" w:rsidRDefault="00A82714" w:rsidP="00A82714">
      <w:pPr>
        <w:tabs>
          <w:tab w:val="left" w:pos="720"/>
        </w:tabs>
        <w:jc w:val="center"/>
      </w:pPr>
      <w:r w:rsidRPr="000665B0">
        <w:rPr>
          <w:noProof/>
        </w:rPr>
        <w:drawing>
          <wp:inline distT="0" distB="0" distL="0" distR="0" wp14:anchorId="62BAD27F" wp14:editId="52787130">
            <wp:extent cx="2286000" cy="667512"/>
            <wp:effectExtent l="0" t="0" r="0" b="0"/>
            <wp:docPr id="2152" name="Picture 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667512"/>
                    </a:xfrm>
                    <a:prstGeom prst="rect">
                      <a:avLst/>
                    </a:prstGeom>
                  </pic:spPr>
                </pic:pic>
              </a:graphicData>
            </a:graphic>
          </wp:inline>
        </w:drawing>
      </w:r>
    </w:p>
    <w:p w14:paraId="60816792" w14:textId="77777777" w:rsidR="0078503C" w:rsidRPr="000665B0" w:rsidRDefault="0078503C" w:rsidP="006D5A65">
      <w:pPr>
        <w:pStyle w:val="Heading1"/>
      </w:pPr>
      <w:r w:rsidRPr="000665B0">
        <w:t>Display</w:t>
      </w:r>
    </w:p>
    <w:p w14:paraId="5F6F24C1" w14:textId="77777777" w:rsidR="0078503C" w:rsidRPr="000665B0" w:rsidRDefault="0078503C" w:rsidP="006D5A65">
      <w:pPr>
        <w:pStyle w:val="Heading2"/>
      </w:pPr>
      <w:r w:rsidRPr="000665B0">
        <w:t>Differences – Displays the comparison of the two selected Tasking Deviations.</w:t>
      </w:r>
    </w:p>
    <w:p w14:paraId="45E1DC5A" w14:textId="77777777" w:rsidR="0078503C" w:rsidRPr="000665B0" w:rsidRDefault="0078503C" w:rsidP="006D5A65">
      <w:pPr>
        <w:pStyle w:val="Heading2"/>
      </w:pPr>
      <w:r w:rsidRPr="000665B0">
        <w:t>In Excel – Displays the selected Tasking Deviations in an Excel spreadsheet.</w:t>
      </w:r>
    </w:p>
    <w:p w14:paraId="04CF332E" w14:textId="77777777" w:rsidR="0078503C" w:rsidRPr="000665B0" w:rsidRDefault="0078503C" w:rsidP="006D5A65">
      <w:pPr>
        <w:pStyle w:val="Heading1"/>
      </w:pPr>
      <w:r w:rsidRPr="000665B0">
        <w:t>Edit – Displays a dialog to change the Tasking Deviation’s TDSN and description.</w:t>
      </w:r>
    </w:p>
    <w:p w14:paraId="1BEB0DF5" w14:textId="77777777" w:rsidR="0078503C" w:rsidRPr="000665B0" w:rsidRDefault="0078503C" w:rsidP="006D5A65">
      <w:pPr>
        <w:pStyle w:val="Heading1"/>
      </w:pPr>
      <w:r w:rsidRPr="000665B0">
        <w:t>Print – Prints the selected Tasking Deviations.</w:t>
      </w:r>
    </w:p>
    <w:p w14:paraId="238323DB" w14:textId="77777777" w:rsidR="0078503C" w:rsidRPr="000665B0" w:rsidRDefault="0078503C" w:rsidP="002C16B8">
      <w:pPr>
        <w:keepNext/>
        <w:tabs>
          <w:tab w:val="left" w:pos="720"/>
        </w:tabs>
      </w:pPr>
      <w:r w:rsidRPr="000665B0">
        <w:t>To edit a Tasking Deviation:</w:t>
      </w:r>
    </w:p>
    <w:p w14:paraId="790356B5" w14:textId="4CA9D8E2" w:rsidR="0078503C" w:rsidRPr="000665B0" w:rsidRDefault="0078503C" w:rsidP="006D5A65">
      <w:pPr>
        <w:pStyle w:val="Heading1"/>
      </w:pPr>
      <w:r w:rsidRPr="000665B0">
        <w:t xml:space="preserve">From the Tasking Deviation List View, select one Tasking Deviation and </w:t>
      </w:r>
      <w:r w:rsidR="00FC6A3A" w:rsidRPr="000665B0">
        <w:t>invoke the context menu (</w:t>
      </w:r>
      <w:r w:rsidR="00D71804" w:rsidRPr="000665B0">
        <w:t>right-click</w:t>
      </w:r>
      <w:r w:rsidRPr="000665B0">
        <w:t xml:space="preserve"> the mouse</w:t>
      </w:r>
      <w:r w:rsidR="00FC6A3A" w:rsidRPr="000665B0">
        <w:t>)</w:t>
      </w:r>
      <w:r w:rsidRPr="000665B0">
        <w:t xml:space="preserve">. Then select Edit…. The </w:t>
      </w:r>
      <w:r w:rsidR="00FC6A3A" w:rsidRPr="000665B0">
        <w:rPr>
          <w:i/>
        </w:rPr>
        <w:t xml:space="preserve">Tasking Deviation </w:t>
      </w:r>
      <w:r w:rsidRPr="000665B0">
        <w:rPr>
          <w:i/>
        </w:rPr>
        <w:t>Edit</w:t>
      </w:r>
      <w:r w:rsidRPr="000665B0">
        <w:t xml:space="preserve"> dialog window </w:t>
      </w:r>
      <w:r w:rsidR="00DB5AEE" w:rsidRPr="000665B0">
        <w:t>is</w:t>
      </w:r>
      <w:r w:rsidRPr="000665B0">
        <w:t xml:space="preserve"> displayed.</w:t>
      </w:r>
    </w:p>
    <w:p w14:paraId="102248E8" w14:textId="3E908555" w:rsidR="0078503C" w:rsidRPr="000665B0" w:rsidRDefault="00A82714" w:rsidP="00A82714">
      <w:pPr>
        <w:tabs>
          <w:tab w:val="left" w:pos="720"/>
        </w:tabs>
        <w:jc w:val="center"/>
      </w:pPr>
      <w:r w:rsidRPr="000665B0">
        <w:rPr>
          <w:noProof/>
        </w:rPr>
        <w:drawing>
          <wp:inline distT="0" distB="0" distL="0" distR="0" wp14:anchorId="29AED254" wp14:editId="53CDDCE2">
            <wp:extent cx="2743200" cy="2414016"/>
            <wp:effectExtent l="0" t="0" r="0" b="5715"/>
            <wp:docPr id="2153" name="Picture 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414016"/>
                    </a:xfrm>
                    <a:prstGeom prst="rect">
                      <a:avLst/>
                    </a:prstGeom>
                  </pic:spPr>
                </pic:pic>
              </a:graphicData>
            </a:graphic>
          </wp:inline>
        </w:drawing>
      </w:r>
    </w:p>
    <w:p w14:paraId="0E53962B" w14:textId="77777777" w:rsidR="0078503C" w:rsidRPr="000665B0" w:rsidRDefault="0078503C" w:rsidP="006D5A65">
      <w:pPr>
        <w:pStyle w:val="Heading1"/>
      </w:pPr>
      <w:r w:rsidRPr="000665B0">
        <w:lastRenderedPageBreak/>
        <w:t>The TDSN is not a required field.</w:t>
      </w:r>
      <w:r w:rsidR="00290219" w:rsidRPr="000665B0">
        <w:t xml:space="preserve"> </w:t>
      </w:r>
      <w:r w:rsidRPr="000665B0">
        <w:t>A valid TDSN number is 0-4 alphanumeric characters.</w:t>
      </w:r>
    </w:p>
    <w:p w14:paraId="37B4B7B4" w14:textId="77777777" w:rsidR="0078503C" w:rsidRPr="000665B0" w:rsidRDefault="0078503C" w:rsidP="006D5A65">
      <w:pPr>
        <w:pStyle w:val="Heading1"/>
      </w:pPr>
      <w:r w:rsidRPr="000665B0">
        <w:t>The Tasking Deviation description is not a required field. The description can have up to 500 characters.</w:t>
      </w:r>
    </w:p>
    <w:p w14:paraId="2AF84431" w14:textId="77777777" w:rsidR="007058E9" w:rsidRPr="000665B0" w:rsidRDefault="007058E9" w:rsidP="006D5A65">
      <w:pPr>
        <w:pStyle w:val="Heading1"/>
      </w:pPr>
      <w:r w:rsidRPr="000665B0">
        <w:t>Click OK.</w:t>
      </w:r>
    </w:p>
    <w:p w14:paraId="115CD070" w14:textId="1EE99E18" w:rsidR="0078503C" w:rsidRPr="000665B0" w:rsidRDefault="0078503C" w:rsidP="00474A1F">
      <w:pPr>
        <w:pStyle w:val="Heading5"/>
        <w:tabs>
          <w:tab w:val="left" w:pos="720"/>
        </w:tabs>
      </w:pPr>
      <w:bookmarkStart w:id="6346" w:name="_5.37.6.1.8__TSN"/>
      <w:bookmarkStart w:id="6347" w:name="_Toc92004941"/>
      <w:bookmarkStart w:id="6348" w:name="_Toc96170291"/>
      <w:bookmarkStart w:id="6349" w:name="_Toc96234336"/>
      <w:bookmarkStart w:id="6350" w:name="_Toc112733756"/>
      <w:bookmarkStart w:id="6351" w:name="_Toc164499445"/>
      <w:bookmarkStart w:id="6352" w:name="_Toc289328867"/>
      <w:bookmarkEnd w:id="6346"/>
      <w:r w:rsidRPr="000665B0">
        <w:t>TSN Comms Tab</w:t>
      </w:r>
      <w:bookmarkEnd w:id="6347"/>
      <w:bookmarkEnd w:id="6348"/>
      <w:bookmarkEnd w:id="6349"/>
      <w:bookmarkEnd w:id="6350"/>
      <w:bookmarkEnd w:id="6351"/>
      <w:bookmarkEnd w:id="6352"/>
      <w:r w:rsidRPr="000665B0">
        <w:t xml:space="preserve"> </w:t>
      </w:r>
    </w:p>
    <w:p w14:paraId="1092560A" w14:textId="6356B2CA" w:rsidR="00D76D32" w:rsidRPr="000665B0" w:rsidRDefault="007058E9" w:rsidP="00474A1F">
      <w:pPr>
        <w:pStyle w:val="BodyText"/>
        <w:tabs>
          <w:tab w:val="left" w:pos="720"/>
        </w:tabs>
        <w:spacing w:after="120"/>
      </w:pPr>
      <w:r w:rsidRPr="000665B0">
        <w:t xml:space="preserve">The </w:t>
      </w:r>
      <w:r w:rsidRPr="000665B0">
        <w:rPr>
          <w:b/>
          <w:bCs/>
          <w:i/>
        </w:rPr>
        <w:t>TSN Comms</w:t>
      </w:r>
      <w:r w:rsidRPr="000665B0">
        <w:t xml:space="preserve"> tab is used to display and manage the TSN communications for </w:t>
      </w:r>
      <w:r w:rsidR="0069172C" w:rsidRPr="000665B0">
        <w:t xml:space="preserve">missile assignments in the Strike Option. A subset of DTAs and the range of Missile Subscriber IDs are set in the </w:t>
      </w:r>
      <w:r w:rsidR="00280436" w:rsidRPr="000665B0">
        <w:rPr>
          <w:b/>
          <w:i/>
        </w:rPr>
        <w:t>Capabilities</w:t>
      </w:r>
      <w:r w:rsidR="00280436" w:rsidRPr="000665B0">
        <w:t xml:space="preserve"> tab of the Nodes tool</w:t>
      </w:r>
      <w:r w:rsidR="00D76D32" w:rsidRPr="000665B0">
        <w:t xml:space="preserve">. The set of allocated DTAs for operating TSN Comms are set in the </w:t>
      </w:r>
      <w:r w:rsidR="00D76D32" w:rsidRPr="000665B0">
        <w:rPr>
          <w:b/>
          <w:i/>
        </w:rPr>
        <w:t>DTA Preferences</w:t>
      </w:r>
      <w:r w:rsidR="00D76D32" w:rsidRPr="000665B0">
        <w:t xml:space="preserve"> tab of the </w:t>
      </w:r>
      <w:r w:rsidR="000F35BC" w:rsidRPr="000665B0">
        <w:t xml:space="preserve">Strike Folder tool properties </w:t>
      </w:r>
      <w:r w:rsidR="00D76D32" w:rsidRPr="000665B0">
        <w:t xml:space="preserve">(see </w:t>
      </w:r>
      <w:hyperlink w:anchor="_DTA_Preferences_Tab" w:history="1">
        <w:r w:rsidR="009326FE" w:rsidRPr="000665B0">
          <w:rPr>
            <w:rStyle w:val="Hyperlink"/>
          </w:rPr>
          <w:t xml:space="preserve">Section </w:t>
        </w:r>
        <w:r w:rsidR="004231CC">
          <w:rPr>
            <w:rStyle w:val="Hyperlink"/>
          </w:rPr>
          <w:t>5.34</w:t>
        </w:r>
        <w:r w:rsidR="00D76D32" w:rsidRPr="000665B0">
          <w:rPr>
            <w:rStyle w:val="Hyperlink"/>
          </w:rPr>
          <w:t>.1.1.4.1.3</w:t>
        </w:r>
      </w:hyperlink>
      <w:r w:rsidR="00D76D32" w:rsidRPr="000665B0">
        <w:t>).</w:t>
      </w:r>
      <w:r w:rsidR="0069172C" w:rsidRPr="000665B0">
        <w:t xml:space="preserve"> </w:t>
      </w:r>
      <w:r w:rsidR="00D50AEE" w:rsidRPr="000665B0">
        <w:t xml:space="preserve">The </w:t>
      </w:r>
      <w:r w:rsidR="00D50AEE" w:rsidRPr="000665B0">
        <w:rPr>
          <w:b/>
          <w:i/>
        </w:rPr>
        <w:t>TSN Comms</w:t>
      </w:r>
      <w:r w:rsidR="00D50AEE" w:rsidRPr="000665B0">
        <w:t xml:space="preserve"> tab contains the </w:t>
      </w:r>
      <w:r w:rsidR="00D50AEE" w:rsidRPr="000665B0">
        <w:rPr>
          <w:b/>
          <w:i/>
        </w:rPr>
        <w:t>DAMA</w:t>
      </w:r>
      <w:r w:rsidR="00D50AEE" w:rsidRPr="000665B0">
        <w:t xml:space="preserve"> and </w:t>
      </w:r>
      <w:r w:rsidR="00D50AEE" w:rsidRPr="000665B0">
        <w:rPr>
          <w:b/>
          <w:i/>
        </w:rPr>
        <w:t>ACA</w:t>
      </w:r>
      <w:r w:rsidR="00D50AEE" w:rsidRPr="000665B0">
        <w:t xml:space="preserve"> sub-tabs.</w:t>
      </w:r>
    </w:p>
    <w:p w14:paraId="2ED3DF95" w14:textId="2F6AF1A9" w:rsidR="007058E9" w:rsidRPr="000665B0" w:rsidRDefault="0069172C" w:rsidP="00474A1F">
      <w:pPr>
        <w:pStyle w:val="BodyText"/>
        <w:tabs>
          <w:tab w:val="left" w:pos="720"/>
        </w:tabs>
        <w:spacing w:after="120"/>
      </w:pPr>
      <w:r w:rsidRPr="000665B0">
        <w:t xml:space="preserve">In the </w:t>
      </w:r>
      <w:r w:rsidRPr="000665B0">
        <w:rPr>
          <w:b/>
          <w:i/>
        </w:rPr>
        <w:t>TSN Comms</w:t>
      </w:r>
      <w:r w:rsidRPr="000665B0">
        <w:t xml:space="preserve"> tab, the user may specify channel number, COMSEC/TRANSEC short titles to be used, and select DTAs from the subset created by the administrator.</w:t>
      </w:r>
      <w:r w:rsidR="00D76D32" w:rsidRPr="000665B0">
        <w:t xml:space="preserve"> COMSEC/TRANSEC short titles may also be set in the Strike Folder tool properties (see </w:t>
      </w:r>
      <w:hyperlink w:anchor="_TSN__Comms" w:history="1">
        <w:r w:rsidR="009326FE" w:rsidRPr="000665B0">
          <w:rPr>
            <w:rStyle w:val="Hyperlink"/>
          </w:rPr>
          <w:t xml:space="preserve">Section </w:t>
        </w:r>
        <w:r w:rsidR="004231CC">
          <w:rPr>
            <w:rStyle w:val="Hyperlink"/>
          </w:rPr>
          <w:t>5.34</w:t>
        </w:r>
        <w:r w:rsidR="00D76D32" w:rsidRPr="000665B0">
          <w:rPr>
            <w:rStyle w:val="Hyperlink"/>
          </w:rPr>
          <w:t>.1.1.4.1.2</w:t>
        </w:r>
      </w:hyperlink>
      <w:r w:rsidR="00D76D32" w:rsidRPr="000665B0">
        <w:t xml:space="preserve">) such that the short titles are automatically populated into the field in </w:t>
      </w:r>
      <w:r w:rsidR="00D76D32" w:rsidRPr="000665B0">
        <w:rPr>
          <w:b/>
          <w:i/>
        </w:rPr>
        <w:t>TSN Comms</w:t>
      </w:r>
      <w:r w:rsidR="00D76D32" w:rsidRPr="000665B0">
        <w:t xml:space="preserve"> tab when strike option is created.</w:t>
      </w:r>
    </w:p>
    <w:p w14:paraId="11352E6C" w14:textId="67812994" w:rsidR="0078503C" w:rsidRPr="000665B0" w:rsidRDefault="00DE6ACD" w:rsidP="00681095">
      <w:pPr>
        <w:pStyle w:val="BodyText"/>
        <w:tabs>
          <w:tab w:val="left" w:pos="720"/>
        </w:tabs>
        <w:spacing w:after="120"/>
        <w:jc w:val="center"/>
      </w:pPr>
      <w:r w:rsidRPr="000665B0">
        <w:rPr>
          <w:noProof/>
        </w:rPr>
        <w:drawing>
          <wp:inline distT="0" distB="0" distL="0" distR="0" wp14:anchorId="49053554" wp14:editId="1B9FB673">
            <wp:extent cx="4114800" cy="2843784"/>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843784"/>
                    </a:xfrm>
                    <a:prstGeom prst="rect">
                      <a:avLst/>
                    </a:prstGeom>
                  </pic:spPr>
                </pic:pic>
              </a:graphicData>
            </a:graphic>
          </wp:inline>
        </w:drawing>
      </w:r>
    </w:p>
    <w:p w14:paraId="20759855" w14:textId="77777777" w:rsidR="000F35BC" w:rsidRPr="000665B0" w:rsidRDefault="000F35BC" w:rsidP="00306174">
      <w:pPr>
        <w:pStyle w:val="Heading6"/>
      </w:pPr>
      <w:r w:rsidRPr="000665B0">
        <w:t>DAMA Tab</w:t>
      </w:r>
    </w:p>
    <w:p w14:paraId="34AB6C7F" w14:textId="3B06A38B" w:rsidR="000F35BC" w:rsidRPr="000665B0" w:rsidRDefault="000F35BC" w:rsidP="0058307F">
      <w:r w:rsidRPr="000665B0">
        <w:t xml:space="preserve">The DAMA tab is used to display and manage TSN Comms settings for use by the missile to communicate with missile controllers. The </w:t>
      </w:r>
      <w:r w:rsidRPr="000665B0">
        <w:rPr>
          <w:b/>
        </w:rPr>
        <w:t>TSN Comms Parameters</w:t>
      </w:r>
      <w:r w:rsidRPr="000665B0">
        <w:t xml:space="preserve"> pane settings define the communication settings. The </w:t>
      </w:r>
      <w:r w:rsidRPr="000665B0">
        <w:rPr>
          <w:b/>
        </w:rPr>
        <w:t>DTA Settings</w:t>
      </w:r>
      <w:r w:rsidRPr="000665B0">
        <w:t xml:space="preserve"> pane settings designate the DTAs that the controller and the missile will use respectively. The </w:t>
      </w:r>
      <w:r w:rsidRPr="000665B0">
        <w:rPr>
          <w:b/>
        </w:rPr>
        <w:t>Crypto Keys</w:t>
      </w:r>
      <w:r w:rsidRPr="000665B0">
        <w:t xml:space="preserve"> pane settings specify the crypto keys for the strike. The Missile Subscriber ID range is set in the Nodes tool.</w:t>
      </w:r>
    </w:p>
    <w:p w14:paraId="6C745983" w14:textId="469AE269" w:rsidR="00740BDB" w:rsidRPr="000665B0" w:rsidRDefault="00740BDB" w:rsidP="00BD4482">
      <w:pPr>
        <w:jc w:val="center"/>
      </w:pPr>
      <w:r w:rsidRPr="000665B0">
        <w:rPr>
          <w:noProof/>
        </w:rPr>
        <w:lastRenderedPageBreak/>
        <w:drawing>
          <wp:inline distT="0" distB="0" distL="0" distR="0" wp14:anchorId="3EECBEAB" wp14:editId="62665618">
            <wp:extent cx="4114800" cy="284378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843784"/>
                    </a:xfrm>
                    <a:prstGeom prst="rect">
                      <a:avLst/>
                    </a:prstGeom>
                  </pic:spPr>
                </pic:pic>
              </a:graphicData>
            </a:graphic>
          </wp:inline>
        </w:drawing>
      </w:r>
    </w:p>
    <w:p w14:paraId="4042B02A" w14:textId="5AC72B9E" w:rsidR="0078503C" w:rsidRPr="000665B0" w:rsidRDefault="0078503C" w:rsidP="00474A1F">
      <w:pPr>
        <w:tabs>
          <w:tab w:val="left" w:pos="720"/>
        </w:tabs>
        <w:rPr>
          <w:b/>
        </w:rPr>
      </w:pPr>
      <w:r w:rsidRPr="000665B0">
        <w:rPr>
          <w:b/>
        </w:rPr>
        <w:t>TSN Comms Parameters</w:t>
      </w:r>
      <w:r w:rsidR="00D5684A" w:rsidRPr="000665B0">
        <w:rPr>
          <w:b/>
        </w:rPr>
        <w:t xml:space="preserve"> Pane</w:t>
      </w:r>
    </w:p>
    <w:p w14:paraId="596D074F" w14:textId="6A48B693" w:rsidR="00C43FEC" w:rsidRPr="000665B0" w:rsidRDefault="00C43FEC" w:rsidP="006D5A65">
      <w:pPr>
        <w:pStyle w:val="Heading1"/>
      </w:pPr>
      <w:r w:rsidRPr="000665B0">
        <w:t>Channel Number – The TSN channel that each participant will log onto. Range: 1 -</w:t>
      </w:r>
      <w:r w:rsidR="001214CB" w:rsidRPr="000665B0">
        <w:t xml:space="preserve"> </w:t>
      </w:r>
      <w:r w:rsidRPr="000665B0">
        <w:t>255. This is a required field when there are</w:t>
      </w:r>
      <w:r w:rsidR="006D714E" w:rsidRPr="000665B0">
        <w:t xml:space="preserve"> DAMA</w:t>
      </w:r>
      <w:r w:rsidRPr="000665B0">
        <w:t xml:space="preserve"> </w:t>
      </w:r>
      <w:r w:rsidR="001C6D19" w:rsidRPr="000665B0">
        <w:t>109E</w:t>
      </w:r>
      <w:r w:rsidRPr="000665B0">
        <w:t xml:space="preserve"> missiles in the strike option.</w:t>
      </w:r>
    </w:p>
    <w:p w14:paraId="46BE498D" w14:textId="77777777" w:rsidR="00AF16B9" w:rsidRPr="000665B0" w:rsidRDefault="009A1FDF" w:rsidP="0048201D">
      <w:pPr>
        <w:pStyle w:val="bullet11"/>
        <w:keepLines/>
        <w:pBdr>
          <w:top w:val="single" w:sz="12" w:space="1" w:color="auto"/>
          <w:left w:val="single" w:sz="12" w:space="4" w:color="auto"/>
          <w:bottom w:val="single" w:sz="12" w:space="1" w:color="auto"/>
          <w:right w:val="single" w:sz="12" w:space="4" w:color="auto"/>
        </w:pBdr>
        <w:shd w:val="clear" w:color="auto" w:fill="F3F3F3"/>
        <w:spacing w:before="0" w:beforeAutospacing="0" w:after="120" w:afterAutospacing="0"/>
        <w:rPr>
          <w:b/>
          <w:szCs w:val="20"/>
        </w:rPr>
      </w:pPr>
      <w:r w:rsidRPr="000665B0">
        <w:rPr>
          <w:rFonts w:ascii="Arial" w:hAnsi="Arial" w:cs="Arial"/>
          <w:noProof/>
          <w:sz w:val="20"/>
        </w:rPr>
        <w:drawing>
          <wp:inline distT="0" distB="0" distL="0" distR="0" wp14:anchorId="1DCBCAA2" wp14:editId="7043934B">
            <wp:extent cx="352425" cy="381000"/>
            <wp:effectExtent l="0" t="0" r="9525" b="0"/>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AF16B9" w:rsidRPr="000665B0">
        <w:rPr>
          <w:b/>
          <w:szCs w:val="20"/>
        </w:rPr>
        <w:t xml:space="preserve">TIP: TTWCS does not support the full range of TSN channels as specified in 3900/146. MDS supports the full range of values for TSN channel and can therefore task TTWCS with a strike package that </w:t>
      </w:r>
      <w:r w:rsidR="00D5684A" w:rsidRPr="000665B0">
        <w:rPr>
          <w:b/>
          <w:szCs w:val="20"/>
        </w:rPr>
        <w:t xml:space="preserve">it </w:t>
      </w:r>
      <w:r w:rsidR="00AF16B9" w:rsidRPr="000665B0">
        <w:rPr>
          <w:b/>
          <w:szCs w:val="20"/>
        </w:rPr>
        <w:t>cannot support. The user should select a TSN channel between 129 and 191 inclusive.</w:t>
      </w:r>
    </w:p>
    <w:p w14:paraId="0D1876A0" w14:textId="4CA101CD" w:rsidR="00C43FEC" w:rsidRPr="000665B0" w:rsidRDefault="00C43FEC" w:rsidP="006D5A65">
      <w:pPr>
        <w:pStyle w:val="Heading1"/>
      </w:pPr>
      <w:bookmarkStart w:id="6353" w:name="_Toc112733757"/>
      <w:bookmarkStart w:id="6354" w:name="_Toc164499446"/>
      <w:r w:rsidRPr="000665B0">
        <w:t>Demarcation Address – This field identifies the minimum allowable subnet address. Range: 1 – 65535</w:t>
      </w:r>
      <w:r w:rsidR="00863730" w:rsidRPr="000665B0">
        <w:t xml:space="preserve"> (default is 55000)</w:t>
      </w:r>
      <w:r w:rsidRPr="000665B0">
        <w:t>. This field defined in the Strike Folder tools properties and is not editable in the Strike Option.</w:t>
      </w:r>
    </w:p>
    <w:p w14:paraId="7E8B87C7" w14:textId="77777777" w:rsidR="00C43FEC" w:rsidRPr="000665B0" w:rsidRDefault="00C43FEC" w:rsidP="00F26AD4">
      <w:pPr>
        <w:keepNext/>
        <w:tabs>
          <w:tab w:val="left" w:pos="720"/>
        </w:tabs>
        <w:rPr>
          <w:b/>
        </w:rPr>
      </w:pPr>
      <w:r w:rsidRPr="000665B0">
        <w:rPr>
          <w:b/>
        </w:rPr>
        <w:t>ROW Strategy</w:t>
      </w:r>
      <w:r w:rsidR="00D5684A" w:rsidRPr="000665B0">
        <w:rPr>
          <w:b/>
        </w:rPr>
        <w:t xml:space="preserve"> Pane</w:t>
      </w:r>
    </w:p>
    <w:p w14:paraId="49E4CB36" w14:textId="77777777" w:rsidR="00C43FEC" w:rsidRPr="000665B0" w:rsidRDefault="00C43FEC" w:rsidP="006D5A65">
      <w:pPr>
        <w:pStyle w:val="Heading1"/>
      </w:pPr>
      <w:r w:rsidRPr="000665B0">
        <w:t>Messaging – This field identifies the method by which ROW slots are assigned for messaging. This field is defined in the Strike Folder tool properties and is not editable from the Strike Option.</w:t>
      </w:r>
    </w:p>
    <w:p w14:paraId="6954C270" w14:textId="77777777" w:rsidR="00C43FEC" w:rsidRPr="000665B0" w:rsidRDefault="00C43FEC" w:rsidP="006D5A65">
      <w:pPr>
        <w:pStyle w:val="Heading1"/>
      </w:pPr>
      <w:r w:rsidRPr="000665B0">
        <w:t>Ranging – This field identifies the method by which ROW slots are assigned for ranging. This field is defined in the Strike Folder tool properties and is not editable from the Strike Option.</w:t>
      </w:r>
    </w:p>
    <w:p w14:paraId="12AA46A1" w14:textId="77777777" w:rsidR="00C43FEC" w:rsidRPr="000665B0" w:rsidRDefault="00C43FEC" w:rsidP="00474A1F">
      <w:pPr>
        <w:tabs>
          <w:tab w:val="left" w:pos="720"/>
        </w:tabs>
        <w:rPr>
          <w:b/>
        </w:rPr>
      </w:pPr>
      <w:r w:rsidRPr="000665B0">
        <w:rPr>
          <w:b/>
          <w:szCs w:val="24"/>
        </w:rPr>
        <w:t>Destination Terminal Address</w:t>
      </w:r>
      <w:r w:rsidRPr="000665B0">
        <w:rPr>
          <w:b/>
          <w:sz w:val="20"/>
        </w:rPr>
        <w:t xml:space="preserve"> (</w:t>
      </w:r>
      <w:r w:rsidRPr="000665B0">
        <w:rPr>
          <w:b/>
        </w:rPr>
        <w:t>DTA) Settings</w:t>
      </w:r>
    </w:p>
    <w:p w14:paraId="4559E8B5" w14:textId="5B749A61" w:rsidR="0098511D" w:rsidRPr="000665B0" w:rsidRDefault="0098511D" w:rsidP="0058307F">
      <w:pPr>
        <w:pStyle w:val="bullet11"/>
        <w:spacing w:before="0" w:beforeAutospacing="0" w:after="120" w:afterAutospacing="0"/>
      </w:pPr>
      <w:r w:rsidRPr="000665B0">
        <w:t xml:space="preserve">DTA Settings are TSN Comms parameters used in the communication of TSN messages between strike participants and missiles. Controller DTA is to be guarded by the missiles to </w:t>
      </w:r>
      <w:r w:rsidRPr="000665B0">
        <w:lastRenderedPageBreak/>
        <w:t>recognize TSN messages sent by the controller. TSN strike participants guard missile DTA to receive TSN messages from missiles in the strike.</w:t>
      </w:r>
    </w:p>
    <w:p w14:paraId="296439A6" w14:textId="1BBAF8B2" w:rsidR="00C43FEC" w:rsidRPr="000665B0" w:rsidRDefault="00C43FEC" w:rsidP="006D5A65">
      <w:pPr>
        <w:pStyle w:val="Heading1"/>
      </w:pPr>
      <w:r w:rsidRPr="000665B0">
        <w:t xml:space="preserve">MC1 Controller and Missile DTA – The value to be used as the default MC1 DTA for all controllers and missiles. The pull-down choices are defined in the Strike Folder tool’s properties. This is a required field when there are </w:t>
      </w:r>
      <w:r w:rsidR="001C6D19" w:rsidRPr="000665B0">
        <w:t>109E</w:t>
      </w:r>
      <w:r w:rsidRPr="000665B0">
        <w:t xml:space="preserve"> missiles in the strike option.</w:t>
      </w:r>
      <w:r w:rsidR="001214CB" w:rsidRPr="000665B0">
        <w:t xml:space="preserve"> </w:t>
      </w:r>
      <w:r w:rsidR="004A0D95" w:rsidRPr="000665B0">
        <w:t xml:space="preserve">For DAMA assignments only: </w:t>
      </w:r>
      <w:r w:rsidR="001214CB" w:rsidRPr="000665B0">
        <w:t>This is a required field</w:t>
      </w:r>
      <w:r w:rsidR="00FD6A0B" w:rsidRPr="000665B0">
        <w:t xml:space="preserve"> when the strike option has DAMA missile assignments</w:t>
      </w:r>
      <w:r w:rsidR="001214CB" w:rsidRPr="000665B0">
        <w:t xml:space="preserve"> (as denoted by the * and/or yellow background) and the user is unable to proceed without updating this field. For further information on mandatory fields see </w:t>
      </w:r>
      <w:hyperlink w:anchor="_5.2.7__Editing" w:history="1">
        <w:r w:rsidR="001214CB" w:rsidRPr="000665B0">
          <w:rPr>
            <w:color w:val="0000FF"/>
            <w:u w:val="single"/>
          </w:rPr>
          <w:t>Section 5.2.8</w:t>
        </w:r>
      </w:hyperlink>
      <w:r w:rsidR="001214CB" w:rsidRPr="000665B0">
        <w:rPr>
          <w:color w:val="0000FF"/>
          <w:u w:val="single"/>
        </w:rPr>
        <w:t>.</w:t>
      </w:r>
    </w:p>
    <w:p w14:paraId="050460C3" w14:textId="77777777" w:rsidR="00BB03E2" w:rsidRPr="000665B0" w:rsidRDefault="00BB03E2" w:rsidP="006D5A65">
      <w:pPr>
        <w:pStyle w:val="Heading1"/>
        <w:rPr>
          <w:szCs w:val="24"/>
        </w:rPr>
      </w:pPr>
      <w:r w:rsidRPr="000665B0">
        <w:rPr>
          <w:szCs w:val="24"/>
        </w:rPr>
        <w:t xml:space="preserve">MC2 Controller and Missile DTA – </w:t>
      </w:r>
      <w:r w:rsidRPr="000665B0">
        <w:t>The MC2 Controller DTA / Missile DTA set is optional.</w:t>
      </w:r>
    </w:p>
    <w:p w14:paraId="1400C8F2" w14:textId="77777777" w:rsidR="00C43FEC" w:rsidRPr="000665B0" w:rsidRDefault="00C43FEC" w:rsidP="00474A1F">
      <w:pPr>
        <w:tabs>
          <w:tab w:val="left" w:pos="720"/>
        </w:tabs>
        <w:rPr>
          <w:b/>
        </w:rPr>
      </w:pPr>
      <w:r w:rsidRPr="000665B0">
        <w:rPr>
          <w:b/>
        </w:rPr>
        <w:t>Crypto Keys</w:t>
      </w:r>
      <w:r w:rsidR="00D5684A" w:rsidRPr="000665B0">
        <w:rPr>
          <w:b/>
        </w:rPr>
        <w:t xml:space="preserve"> Pane</w:t>
      </w:r>
    </w:p>
    <w:p w14:paraId="7D29B6EA" w14:textId="26B2F831" w:rsidR="00C43FEC" w:rsidRPr="000665B0" w:rsidRDefault="00C43FEC" w:rsidP="006D5A65">
      <w:pPr>
        <w:pStyle w:val="Heading1"/>
      </w:pPr>
      <w:r w:rsidRPr="000665B0">
        <w:t>COMSEC Key – Select a COMSEC Key to use with this option. A new COMSEC Key can be created from the Crypto Tool of the main window. A checkbox to Extend COMSEC allow</w:t>
      </w:r>
      <w:r w:rsidR="00D5684A" w:rsidRPr="000665B0">
        <w:t>s</w:t>
      </w:r>
      <w:r w:rsidRPr="000665B0">
        <w:t xml:space="preserve"> the same COMSEC key period to continue to be used past the rollover time.</w:t>
      </w:r>
      <w:r w:rsidR="001214CB" w:rsidRPr="000665B0">
        <w:t xml:space="preserve"> </w:t>
      </w:r>
      <w:r w:rsidR="004A0D95" w:rsidRPr="000665B0">
        <w:t xml:space="preserve">For DAMA assignments only: </w:t>
      </w:r>
      <w:r w:rsidR="001214CB" w:rsidRPr="000665B0">
        <w:t xml:space="preserve">This is a required field </w:t>
      </w:r>
      <w:r w:rsidR="00FD6A0B" w:rsidRPr="000665B0">
        <w:t xml:space="preserve">when the strike option has DAMA missile assignments </w:t>
      </w:r>
      <w:r w:rsidR="001214CB" w:rsidRPr="000665B0">
        <w:t xml:space="preserve">(as denoted by the * and/or yellow background) and the user is unable to proceed without updating this field. For further information on mandatory fields see </w:t>
      </w:r>
      <w:hyperlink w:anchor="_5.2.7__Editing" w:history="1">
        <w:r w:rsidR="001214CB" w:rsidRPr="000665B0">
          <w:rPr>
            <w:color w:val="0000FF"/>
            <w:u w:val="single"/>
          </w:rPr>
          <w:t>Section 5.2.8</w:t>
        </w:r>
      </w:hyperlink>
      <w:r w:rsidR="001214CB" w:rsidRPr="000665B0">
        <w:rPr>
          <w:color w:val="0000FF"/>
          <w:u w:val="single"/>
        </w:rPr>
        <w:t>.</w:t>
      </w:r>
    </w:p>
    <w:p w14:paraId="445B2864" w14:textId="7B66B55E" w:rsidR="00C43FEC" w:rsidRPr="000665B0" w:rsidRDefault="00C43FEC" w:rsidP="006D5A65">
      <w:pPr>
        <w:pStyle w:val="Heading1"/>
      </w:pPr>
      <w:r w:rsidRPr="000665B0">
        <w:t xml:space="preserve">TRANSEC Key – Select a TRANSEC Key to use with this option. </w:t>
      </w:r>
      <w:r w:rsidR="00B16945" w:rsidRPr="000665B0">
        <w:t xml:space="preserve">A valid crypto key needs to span the strike (time of first missile launched to last missile’s Time on Target) within 1 or 2 segments. The Edition 1/Segment 1/KLAD 1 fields will have values if part or all of the strike is covered within a crypto segment. If the strike cannot be completed within 1 segment (crypto rollover) but can be covered with the next crypto segment, then the Edition 2/Segment 2/KLAD 2 fields will have values. No values will appear in the Edition 1/Segment 1/KLAD 1 fields or the Edition 2/Segment 2/KLAD 2 fields if the crypto key does not cover the strike span time. </w:t>
      </w:r>
      <w:r w:rsidRPr="000665B0">
        <w:t>A new TRANSEC Key can be created from the Crypto Tool of the main window.</w:t>
      </w:r>
      <w:r w:rsidR="001214CB" w:rsidRPr="000665B0">
        <w:t xml:space="preserve"> </w:t>
      </w:r>
      <w:r w:rsidR="004A0D95" w:rsidRPr="000665B0">
        <w:t xml:space="preserve">For DAMA assignments only: </w:t>
      </w:r>
      <w:r w:rsidR="001214CB" w:rsidRPr="000665B0">
        <w:t xml:space="preserve">This is a required field </w:t>
      </w:r>
      <w:r w:rsidR="00FD6A0B" w:rsidRPr="000665B0">
        <w:t xml:space="preserve">when the strike option has DAMA missile assignments </w:t>
      </w:r>
      <w:r w:rsidR="001214CB" w:rsidRPr="000665B0">
        <w:t xml:space="preserve">(as denoted by the * and/or yellow background) and the user is unable to proceed </w:t>
      </w:r>
      <w:r w:rsidR="001214CB" w:rsidRPr="000665B0">
        <w:lastRenderedPageBreak/>
        <w:t xml:space="preserve">without updating this field. For further information on mandatory fields see </w:t>
      </w:r>
      <w:hyperlink w:anchor="_5.2.7__Editing" w:history="1">
        <w:r w:rsidR="001214CB" w:rsidRPr="000665B0">
          <w:rPr>
            <w:color w:val="0000FF"/>
            <w:u w:val="single"/>
          </w:rPr>
          <w:t>Section 5.2.8</w:t>
        </w:r>
      </w:hyperlink>
      <w:r w:rsidR="001214CB" w:rsidRPr="000665B0">
        <w:rPr>
          <w:color w:val="0000FF"/>
          <w:u w:val="single"/>
        </w:rPr>
        <w:t>.</w:t>
      </w:r>
    </w:p>
    <w:p w14:paraId="7829680E" w14:textId="77777777" w:rsidR="000242C4" w:rsidRPr="000665B0" w:rsidRDefault="009A1FDF" w:rsidP="0048201D">
      <w:pPr>
        <w:pStyle w:val="bullet11"/>
        <w:keepLines/>
        <w:pBdr>
          <w:top w:val="single" w:sz="12" w:space="1" w:color="auto"/>
          <w:left w:val="single" w:sz="12" w:space="4" w:color="auto"/>
          <w:bottom w:val="single" w:sz="12" w:space="1" w:color="auto"/>
          <w:right w:val="single" w:sz="12" w:space="4" w:color="auto"/>
        </w:pBdr>
        <w:shd w:val="clear" w:color="auto" w:fill="F3F3F3"/>
        <w:spacing w:before="0" w:beforeAutospacing="0" w:after="120" w:afterAutospacing="0"/>
        <w:rPr>
          <w:b/>
        </w:rPr>
      </w:pPr>
      <w:r w:rsidRPr="000665B0">
        <w:rPr>
          <w:rFonts w:ascii="Arial" w:hAnsi="Arial" w:cs="Arial"/>
          <w:noProof/>
          <w:sz w:val="20"/>
        </w:rPr>
        <w:drawing>
          <wp:inline distT="0" distB="0" distL="0" distR="0" wp14:anchorId="0631D863" wp14:editId="6B7685BA">
            <wp:extent cx="352425" cy="381000"/>
            <wp:effectExtent l="0" t="0" r="9525" b="0"/>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0242C4" w:rsidRPr="000665B0">
        <w:rPr>
          <w:b/>
        </w:rPr>
        <w:t>TIP: For LMO or Ghost only assignment in the Strike Package, the Task Start and Task End must be set prior to selecting a COMSEC and a TRANSEC key. If the Task Start and Task End is not set, then the COMSEC/TRANSEC Edition and Segment will not be properly populated because MDS will not know the time span of the Strike to determine the correct Edition and Segment to use.</w:t>
      </w:r>
    </w:p>
    <w:p w14:paraId="6789D838" w14:textId="77777777" w:rsidR="000242C4" w:rsidRPr="000665B0" w:rsidRDefault="000242C4" w:rsidP="0048201D">
      <w:pPr>
        <w:pStyle w:val="bullet11"/>
        <w:keepLines/>
        <w:pBdr>
          <w:top w:val="single" w:sz="12" w:space="1" w:color="auto"/>
          <w:left w:val="single" w:sz="12" w:space="4" w:color="auto"/>
          <w:bottom w:val="single" w:sz="12" w:space="1" w:color="auto"/>
          <w:right w:val="single" w:sz="12" w:space="4" w:color="auto"/>
        </w:pBdr>
        <w:shd w:val="clear" w:color="auto" w:fill="F3F3F3"/>
        <w:spacing w:before="0" w:beforeAutospacing="0" w:after="120" w:afterAutospacing="0"/>
        <w:rPr>
          <w:b/>
        </w:rPr>
      </w:pPr>
      <w:r w:rsidRPr="000665B0">
        <w:rPr>
          <w:b/>
        </w:rPr>
        <w:t xml:space="preserve">Another option is to add a regular Comms Enabled </w:t>
      </w:r>
      <w:r w:rsidR="001C6D19" w:rsidRPr="000665B0">
        <w:rPr>
          <w:b/>
        </w:rPr>
        <w:t>109E</w:t>
      </w:r>
      <w:r w:rsidRPr="000665B0">
        <w:rPr>
          <w:b/>
        </w:rPr>
        <w:t xml:space="preserve"> Mission assignment</w:t>
      </w:r>
      <w:r w:rsidR="00D5684A" w:rsidRPr="000665B0">
        <w:rPr>
          <w:b/>
        </w:rPr>
        <w:t>,</w:t>
      </w:r>
      <w:r w:rsidRPr="000665B0">
        <w:rPr>
          <w:b/>
        </w:rPr>
        <w:t xml:space="preserve"> thus giving the Strike a time span.</w:t>
      </w:r>
    </w:p>
    <w:p w14:paraId="2E38D55B" w14:textId="77777777" w:rsidR="001C0723" w:rsidRPr="000665B0" w:rsidRDefault="001C0723" w:rsidP="00474A1F">
      <w:pPr>
        <w:tabs>
          <w:tab w:val="left" w:pos="720"/>
        </w:tabs>
        <w:spacing w:after="0"/>
      </w:pPr>
      <w:r w:rsidRPr="000665B0">
        <w:t xml:space="preserve">Prior to distribution of the strike package to the strike participants, Strike Analysis should be run to ensure </w:t>
      </w:r>
      <w:r w:rsidR="00D5684A" w:rsidRPr="000665B0">
        <w:t xml:space="preserve">that </w:t>
      </w:r>
      <w:r w:rsidRPr="000665B0">
        <w:t>all TSN common parameters are supportable. If multiple strike packages will be executed, the operator should run Multi-Strike Analysis from the Strike Execution folder.</w:t>
      </w:r>
    </w:p>
    <w:p w14:paraId="555DC4F2" w14:textId="2C461274" w:rsidR="00563C03" w:rsidRPr="000665B0" w:rsidRDefault="007410E2" w:rsidP="00306174">
      <w:pPr>
        <w:pStyle w:val="Heading6"/>
      </w:pPr>
      <w:bookmarkStart w:id="6355" w:name="_5_.37.6.1.8.1_"/>
      <w:bookmarkStart w:id="6356" w:name="_ACA_Tab"/>
      <w:bookmarkEnd w:id="6355"/>
      <w:bookmarkEnd w:id="6356"/>
      <w:r w:rsidRPr="000665B0">
        <w:t>ACA Tab</w:t>
      </w:r>
    </w:p>
    <w:p w14:paraId="7BEFE2CE" w14:textId="3CC7DA71" w:rsidR="00EE5835" w:rsidRPr="000665B0" w:rsidRDefault="00E029BA" w:rsidP="00E029BA">
      <w:r w:rsidRPr="000665B0">
        <w:t xml:space="preserve">The </w:t>
      </w:r>
      <w:r w:rsidRPr="000665B0">
        <w:rPr>
          <w:b/>
          <w:bCs/>
          <w:i/>
        </w:rPr>
        <w:t>ACA</w:t>
      </w:r>
      <w:r w:rsidRPr="000665B0">
        <w:t xml:space="preserve"> </w:t>
      </w:r>
      <w:r w:rsidR="007410E2" w:rsidRPr="000665B0">
        <w:t>tab</w:t>
      </w:r>
      <w:r w:rsidRPr="000665B0">
        <w:t xml:space="preserve"> is used to display and manage </w:t>
      </w:r>
      <w:r w:rsidR="00EE5835" w:rsidRPr="000665B0">
        <w:t>Frequency Lookups for communications setting, Crypto Keys, and</w:t>
      </w:r>
      <w:r w:rsidR="00EE5835" w:rsidRPr="000665B0" w:rsidDel="00EE5835">
        <w:t xml:space="preserve"> </w:t>
      </w:r>
      <w:r w:rsidRPr="000665B0">
        <w:t>Planned Outcomes Boundary ACMS</w:t>
      </w:r>
      <w:r w:rsidR="007410E2" w:rsidRPr="000665B0">
        <w:t xml:space="preserve"> type</w:t>
      </w:r>
      <w:r w:rsidRPr="000665B0">
        <w:t xml:space="preserve">s in the Strike </w:t>
      </w:r>
      <w:r w:rsidR="007410E2" w:rsidRPr="000665B0">
        <w:t>Option. The</w:t>
      </w:r>
      <w:r w:rsidRPr="000665B0">
        <w:t xml:space="preserve"> Planned Outcomes Boundary ACMSs for a Strike Option are also displayed in the Strike Option’s </w:t>
      </w:r>
      <w:r w:rsidRPr="000665B0">
        <w:rPr>
          <w:b/>
          <w:i/>
        </w:rPr>
        <w:t>Resources</w:t>
      </w:r>
      <w:r w:rsidRPr="000665B0">
        <w:t xml:space="preserve"> tab (see </w:t>
      </w:r>
      <w:hyperlink w:anchor="_5_.37.6.1.3_" w:history="1">
        <w:r w:rsidR="009326FE" w:rsidRPr="000665B0">
          <w:rPr>
            <w:rStyle w:val="Hyperlink"/>
          </w:rPr>
          <w:t xml:space="preserve">Section </w:t>
        </w:r>
        <w:r w:rsidR="004231CC">
          <w:rPr>
            <w:rStyle w:val="Hyperlink"/>
          </w:rPr>
          <w:t>5.34</w:t>
        </w:r>
        <w:r w:rsidRPr="000665B0">
          <w:rPr>
            <w:rStyle w:val="Hyperlink"/>
          </w:rPr>
          <w:t>.</w:t>
        </w:r>
        <w:r w:rsidR="0089269C" w:rsidRPr="000665B0">
          <w:rPr>
            <w:rStyle w:val="Hyperlink"/>
          </w:rPr>
          <w:t>7</w:t>
        </w:r>
        <w:r w:rsidRPr="000665B0">
          <w:rPr>
            <w:rStyle w:val="Hyperlink"/>
          </w:rPr>
          <w:t>.1.3</w:t>
        </w:r>
      </w:hyperlink>
      <w:r w:rsidRPr="000665B0">
        <w:t xml:space="preserve">). </w:t>
      </w:r>
    </w:p>
    <w:p w14:paraId="76FA12C0" w14:textId="7DF523AB" w:rsidR="00EE5835" w:rsidRPr="000665B0" w:rsidRDefault="00740BDB" w:rsidP="0058307F">
      <w:pPr>
        <w:jc w:val="center"/>
        <w:rPr>
          <w:noProof/>
        </w:rPr>
      </w:pPr>
      <w:r w:rsidRPr="000665B0">
        <w:rPr>
          <w:noProof/>
        </w:rPr>
        <w:drawing>
          <wp:inline distT="0" distB="0" distL="0" distR="0" wp14:anchorId="55583C8F" wp14:editId="280EDC41">
            <wp:extent cx="3931297" cy="2719449"/>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945006" cy="2728932"/>
                    </a:xfrm>
                    <a:prstGeom prst="rect">
                      <a:avLst/>
                    </a:prstGeom>
                  </pic:spPr>
                </pic:pic>
              </a:graphicData>
            </a:graphic>
          </wp:inline>
        </w:drawing>
      </w:r>
    </w:p>
    <w:p w14:paraId="01FA10C8" w14:textId="77777777" w:rsidR="00773354" w:rsidRPr="000665B0" w:rsidRDefault="00773354" w:rsidP="00773354">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p>
    <w:p w14:paraId="71627C94" w14:textId="26F8635D" w:rsidR="00773354" w:rsidRPr="000665B0" w:rsidRDefault="00773354" w:rsidP="00773354">
      <w:pPr>
        <w:pBdr>
          <w:top w:val="single" w:sz="12" w:space="1" w:color="auto"/>
          <w:left w:val="single" w:sz="12" w:space="4" w:color="auto"/>
          <w:bottom w:val="single" w:sz="12" w:space="1" w:color="auto"/>
          <w:right w:val="single" w:sz="12" w:space="4" w:color="auto"/>
        </w:pBdr>
        <w:shd w:val="clear" w:color="auto" w:fill="D9D9D9"/>
        <w:tabs>
          <w:tab w:val="left" w:pos="720"/>
        </w:tabs>
        <w:jc w:val="center"/>
      </w:pPr>
      <w:r w:rsidRPr="000665B0">
        <w:rPr>
          <w:b/>
        </w:rPr>
        <w:t xml:space="preserve">If the strike contains an ACA-capable FRU in the arsenal, it is recommended that the </w:t>
      </w:r>
      <w:r w:rsidRPr="000665B0">
        <w:rPr>
          <w:b/>
          <w:i/>
        </w:rPr>
        <w:t>ACA</w:t>
      </w:r>
      <w:r w:rsidRPr="000665B0">
        <w:rPr>
          <w:b/>
        </w:rPr>
        <w:t xml:space="preserve"> tab is populated</w:t>
      </w:r>
      <w:r w:rsidR="008B6DC4" w:rsidRPr="000665B0">
        <w:rPr>
          <w:b/>
        </w:rPr>
        <w:t xml:space="preserve"> (</w:t>
      </w:r>
      <w:r w:rsidRPr="000665B0">
        <w:rPr>
          <w:b/>
        </w:rPr>
        <w:t>including the POB</w:t>
      </w:r>
      <w:r w:rsidR="008B6DC4" w:rsidRPr="000665B0">
        <w:rPr>
          <w:b/>
        </w:rPr>
        <w:t>)</w:t>
      </w:r>
      <w:r w:rsidRPr="000665B0">
        <w:rPr>
          <w:b/>
        </w:rPr>
        <w:t xml:space="preserve">, even if the strike does not contain any ACA reservations. Completing the </w:t>
      </w:r>
      <w:r w:rsidRPr="000665B0">
        <w:rPr>
          <w:b/>
          <w:i/>
        </w:rPr>
        <w:t>ACA</w:t>
      </w:r>
      <w:r w:rsidRPr="000665B0">
        <w:rPr>
          <w:b/>
        </w:rPr>
        <w:t xml:space="preserve"> tab in advance enable</w:t>
      </w:r>
      <w:r w:rsidR="008B6DC4" w:rsidRPr="000665B0">
        <w:rPr>
          <w:b/>
        </w:rPr>
        <w:t>s</w:t>
      </w:r>
      <w:r w:rsidRPr="000665B0">
        <w:rPr>
          <w:b/>
        </w:rPr>
        <w:t xml:space="preserve"> the </w:t>
      </w:r>
      <w:r w:rsidR="00931FC9">
        <w:rPr>
          <w:b/>
        </w:rPr>
        <w:t xml:space="preserve">TSC </w:t>
      </w:r>
      <w:r w:rsidRPr="000665B0">
        <w:rPr>
          <w:b/>
        </w:rPr>
        <w:t>to quickly switch the network from DAMA to ACA</w:t>
      </w:r>
      <w:r w:rsidR="00115251" w:rsidRPr="000665B0">
        <w:rPr>
          <w:b/>
        </w:rPr>
        <w:t>,</w:t>
      </w:r>
      <w:r w:rsidR="00C85F47" w:rsidRPr="000665B0">
        <w:rPr>
          <w:b/>
        </w:rPr>
        <w:t xml:space="preserve"> or to add new ACA reservations</w:t>
      </w:r>
      <w:r w:rsidR="008B6DC4" w:rsidRPr="000665B0">
        <w:rPr>
          <w:b/>
        </w:rPr>
        <w:t xml:space="preserve"> if needed during the strike</w:t>
      </w:r>
      <w:r w:rsidRPr="000665B0">
        <w:rPr>
          <w:b/>
        </w:rPr>
        <w:t xml:space="preserve">. </w:t>
      </w:r>
    </w:p>
    <w:p w14:paraId="4F9702E6" w14:textId="77777777" w:rsidR="00D50AEE" w:rsidRPr="000665B0" w:rsidRDefault="00D50AEE" w:rsidP="00EE5835">
      <w:pPr>
        <w:rPr>
          <w:b/>
        </w:rPr>
      </w:pPr>
      <w:r w:rsidRPr="000665B0">
        <w:rPr>
          <w:b/>
        </w:rPr>
        <w:t>Frequency Lookups</w:t>
      </w:r>
    </w:p>
    <w:p w14:paraId="2027C477" w14:textId="6D3AD7F9" w:rsidR="00EE5835" w:rsidRPr="000665B0" w:rsidRDefault="00EE5835" w:rsidP="00EE5835">
      <w:r w:rsidRPr="000665B0">
        <w:lastRenderedPageBreak/>
        <w:t xml:space="preserve">Frequency </w:t>
      </w:r>
      <w:r w:rsidR="00740BDB" w:rsidRPr="000665B0">
        <w:t xml:space="preserve">Lookup </w:t>
      </w:r>
      <w:r w:rsidRPr="000665B0">
        <w:t xml:space="preserve">and Power Level default preferences must be entirely blank or completely filled out with valid values. The valid range for Frequency </w:t>
      </w:r>
      <w:r w:rsidR="00740BDB" w:rsidRPr="000665B0">
        <w:t xml:space="preserve">Lookup </w:t>
      </w:r>
      <w:r w:rsidRPr="000665B0">
        <w:t>is 0-</w:t>
      </w:r>
      <w:r w:rsidR="00740BDB" w:rsidRPr="000665B0">
        <w:t xml:space="preserve">4095 </w:t>
      </w:r>
      <w:r w:rsidRPr="000665B0">
        <w:t>inclusive, and the valid range for Power Level is 0-20 inclusive.</w:t>
      </w:r>
    </w:p>
    <w:p w14:paraId="19236854" w14:textId="42849143" w:rsidR="00992437" w:rsidRPr="000665B0" w:rsidRDefault="00992437" w:rsidP="004E7DCC">
      <w:pPr>
        <w:pStyle w:val="BodyText"/>
        <w:keepNext/>
        <w:spacing w:after="120"/>
        <w:rPr>
          <w:rFonts w:ascii="Calibri" w:eastAsia="Calibri" w:hAnsi="Calibri"/>
          <w:b/>
          <w:szCs w:val="24"/>
        </w:rPr>
      </w:pPr>
      <w:r w:rsidRPr="000665B0">
        <w:rPr>
          <w:rFonts w:eastAsia="Calibri"/>
          <w:b/>
          <w:szCs w:val="24"/>
        </w:rPr>
        <w:t>Crypto Keys</w:t>
      </w:r>
    </w:p>
    <w:p w14:paraId="30F49F19" w14:textId="77777777" w:rsidR="00992437" w:rsidRPr="000665B0" w:rsidRDefault="00992437" w:rsidP="006D5A65">
      <w:pPr>
        <w:pStyle w:val="Heading1"/>
      </w:pPr>
      <w:r w:rsidRPr="000665B0">
        <w:t>ACA Receive Key Encryption Key (KEK)</w:t>
      </w:r>
    </w:p>
    <w:p w14:paraId="33883EDA" w14:textId="77777777" w:rsidR="00992437" w:rsidRPr="000665B0" w:rsidRDefault="00992437" w:rsidP="006D5A65">
      <w:pPr>
        <w:pStyle w:val="Heading1"/>
      </w:pPr>
      <w:r w:rsidRPr="000665B0">
        <w:t>ACA Transmit KEK</w:t>
      </w:r>
    </w:p>
    <w:p w14:paraId="0CDFF097" w14:textId="77777777" w:rsidR="00992437" w:rsidRPr="000665B0" w:rsidRDefault="00992437" w:rsidP="006D5A65">
      <w:pPr>
        <w:pStyle w:val="Heading1"/>
      </w:pPr>
      <w:r w:rsidRPr="000665B0">
        <w:t>ACA Receive Transmission Encryption Key (TEK)</w:t>
      </w:r>
    </w:p>
    <w:p w14:paraId="061D7799" w14:textId="77777777" w:rsidR="00992437" w:rsidRPr="000665B0" w:rsidRDefault="00992437" w:rsidP="006D5A65">
      <w:pPr>
        <w:pStyle w:val="Heading1"/>
      </w:pPr>
      <w:r w:rsidRPr="000665B0">
        <w:t>ACA Transmit TEK</w:t>
      </w:r>
    </w:p>
    <w:p w14:paraId="6184F6CA" w14:textId="77777777" w:rsidR="00992437" w:rsidRPr="000665B0" w:rsidRDefault="00992437" w:rsidP="006D5A65">
      <w:pPr>
        <w:pStyle w:val="Heading1"/>
      </w:pPr>
      <w:r w:rsidRPr="000665B0">
        <w:t>TRANSEC</w:t>
      </w:r>
    </w:p>
    <w:p w14:paraId="59DE44DD" w14:textId="32238218" w:rsidR="00D50AEE" w:rsidRPr="000665B0" w:rsidRDefault="00D50AEE" w:rsidP="00C63237">
      <w:pPr>
        <w:pStyle w:val="BodyText"/>
        <w:spacing w:after="120"/>
      </w:pPr>
      <w:r w:rsidRPr="000665B0">
        <w:t xml:space="preserve">A checkbox to </w:t>
      </w:r>
      <w:r w:rsidRPr="000665B0">
        <w:rPr>
          <w:b/>
        </w:rPr>
        <w:t>Extend COMSEC</w:t>
      </w:r>
      <w:r w:rsidRPr="000665B0">
        <w:t xml:space="preserve"> allows the same COMSEC key period to continue to be used past the rollover time.</w:t>
      </w:r>
    </w:p>
    <w:p w14:paraId="445CD6DE" w14:textId="2B3F507A" w:rsidR="002B2183" w:rsidRPr="000665B0" w:rsidRDefault="00EE5835" w:rsidP="00F26AD4">
      <w:pPr>
        <w:keepNext/>
        <w:rPr>
          <w:b/>
        </w:rPr>
      </w:pPr>
      <w:r w:rsidRPr="000665B0">
        <w:rPr>
          <w:b/>
        </w:rPr>
        <w:t>Planned Outcomes Boundary</w:t>
      </w:r>
    </w:p>
    <w:p w14:paraId="38ABED92" w14:textId="77777777" w:rsidR="00E029BA" w:rsidRPr="000665B0" w:rsidRDefault="00E029BA" w:rsidP="00E029BA">
      <w:r w:rsidRPr="000665B0">
        <w:t xml:space="preserve">The </w:t>
      </w:r>
      <w:r w:rsidR="002B2183" w:rsidRPr="000665B0">
        <w:t xml:space="preserve">user may create a new POB, add an existing POB, auto-generate a POB, or display </w:t>
      </w:r>
      <w:r w:rsidR="0018212B" w:rsidRPr="000665B0">
        <w:t xml:space="preserve">and/or modify </w:t>
      </w:r>
      <w:r w:rsidR="002B2183" w:rsidRPr="000665B0">
        <w:t>an existing POB</w:t>
      </w:r>
      <w:r w:rsidRPr="000665B0">
        <w:t>.</w:t>
      </w:r>
    </w:p>
    <w:p w14:paraId="36C5DB99" w14:textId="77777777" w:rsidR="00E029BA" w:rsidRPr="000665B0" w:rsidRDefault="002B2183" w:rsidP="00E029BA">
      <w:r w:rsidRPr="000665B0">
        <w:t>To create a new POB:</w:t>
      </w:r>
    </w:p>
    <w:p w14:paraId="5F864317" w14:textId="06E1247A" w:rsidR="00E029BA" w:rsidRPr="000665B0" w:rsidRDefault="00AD1263" w:rsidP="006D5A65">
      <w:pPr>
        <w:pStyle w:val="Heading1"/>
      </w:pPr>
      <w:r w:rsidRPr="000665B0">
        <w:t xml:space="preserve">In the Planned Outcomes Boundary pane, select the down arrow </w:t>
      </w:r>
      <w:r w:rsidRPr="000665B0">
        <w:rPr>
          <w:sz w:val="20"/>
        </w:rPr>
        <w:sym w:font="Wingdings 3" w:char="F071"/>
      </w:r>
      <w:r w:rsidRPr="000665B0">
        <w:t xml:space="preserve"> in the </w:t>
      </w:r>
      <w:r w:rsidR="00FA56D3" w:rsidRPr="000665B0">
        <w:t>pull-down</w:t>
      </w:r>
      <w:r w:rsidRPr="000665B0">
        <w:t xml:space="preserve"> menu and </w:t>
      </w:r>
      <w:r w:rsidR="002B2183" w:rsidRPr="000665B0">
        <w:t xml:space="preserve">select New </w:t>
      </w:r>
      <w:r w:rsidR="002B2183" w:rsidRPr="000665B0">
        <w:sym w:font="Wingdings 3" w:char="F07D"/>
      </w:r>
      <w:r w:rsidR="0018212B" w:rsidRPr="000665B0">
        <w:t>:</w:t>
      </w:r>
    </w:p>
    <w:p w14:paraId="3CC8A046" w14:textId="1B429940" w:rsidR="00E029BA" w:rsidRPr="000665B0" w:rsidRDefault="009326C2" w:rsidP="002B2183">
      <w:pPr>
        <w:jc w:val="center"/>
      </w:pPr>
      <w:r w:rsidRPr="000665B0">
        <w:rPr>
          <w:noProof/>
        </w:rPr>
        <w:drawing>
          <wp:inline distT="0" distB="0" distL="0" distR="0" wp14:anchorId="5004C9A1" wp14:editId="127F293F">
            <wp:extent cx="3682955" cy="1816924"/>
            <wp:effectExtent l="0" t="0" r="0" b="0"/>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705943" cy="1828265"/>
                    </a:xfrm>
                    <a:prstGeom prst="rect">
                      <a:avLst/>
                    </a:prstGeom>
                  </pic:spPr>
                </pic:pic>
              </a:graphicData>
            </a:graphic>
          </wp:inline>
        </w:drawing>
      </w:r>
    </w:p>
    <w:p w14:paraId="77B96BE0" w14:textId="77777777" w:rsidR="002B2183" w:rsidRPr="000665B0" w:rsidRDefault="002B2183" w:rsidP="006D5A65">
      <w:pPr>
        <w:pStyle w:val="Heading1"/>
      </w:pPr>
      <w:r w:rsidRPr="000665B0">
        <w:t xml:space="preserve">thru Textual View </w:t>
      </w:r>
      <w:r w:rsidR="00A95165" w:rsidRPr="000665B0">
        <w:t>– C</w:t>
      </w:r>
      <w:r w:rsidRPr="000665B0">
        <w:t>reate</w:t>
      </w:r>
      <w:r w:rsidR="00A95165" w:rsidRPr="000665B0">
        <w:t>s</w:t>
      </w:r>
      <w:r w:rsidRPr="000665B0">
        <w:t xml:space="preserve"> a new POB from the ACMS textual view. Once created</w:t>
      </w:r>
      <w:r w:rsidR="00A95165" w:rsidRPr="000665B0">
        <w:t>,</w:t>
      </w:r>
      <w:r w:rsidRPr="000665B0">
        <w:t xml:space="preserve"> the POB is added to the current </w:t>
      </w:r>
      <w:r w:rsidR="00A95165" w:rsidRPr="000665B0">
        <w:t xml:space="preserve">strike </w:t>
      </w:r>
      <w:r w:rsidRPr="000665B0">
        <w:t>option.</w:t>
      </w:r>
    </w:p>
    <w:p w14:paraId="1F6C7766" w14:textId="77777777" w:rsidR="00A95165" w:rsidRPr="000665B0" w:rsidRDefault="00A95165" w:rsidP="006D5A65">
      <w:pPr>
        <w:pStyle w:val="Heading1"/>
      </w:pPr>
      <w:r w:rsidRPr="000665B0">
        <w:t>thru GEO Tool – Creates a new POB from the G</w:t>
      </w:r>
      <w:r w:rsidR="0005681A" w:rsidRPr="000665B0">
        <w:t>eo</w:t>
      </w:r>
      <w:r w:rsidRPr="000665B0">
        <w:t xml:space="preserve"> Tool. Once created, the POB is added to the current strike option.</w:t>
      </w:r>
    </w:p>
    <w:p w14:paraId="1F2D43D2" w14:textId="77777777" w:rsidR="00A95165" w:rsidRPr="000665B0" w:rsidRDefault="00A95165" w:rsidP="00A95165">
      <w:r w:rsidRPr="000665B0">
        <w:t>To add an existing POB:</w:t>
      </w:r>
    </w:p>
    <w:p w14:paraId="268F98DF" w14:textId="06410F5A" w:rsidR="00A95165" w:rsidRPr="000665B0" w:rsidRDefault="00AD1263" w:rsidP="006D5A65">
      <w:pPr>
        <w:pStyle w:val="Heading1"/>
      </w:pPr>
      <w:r w:rsidRPr="000665B0">
        <w:lastRenderedPageBreak/>
        <w:t xml:space="preserve">In the Planned Outcomes Boundary pane, select the down arrow </w:t>
      </w:r>
      <w:r w:rsidRPr="000665B0">
        <w:rPr>
          <w:sz w:val="20"/>
        </w:rPr>
        <w:sym w:font="Wingdings 3" w:char="F071"/>
      </w:r>
      <w:r w:rsidRPr="000665B0">
        <w:t xml:space="preserve"> in the </w:t>
      </w:r>
      <w:r w:rsidR="00FA56D3" w:rsidRPr="000665B0">
        <w:t>pull-down</w:t>
      </w:r>
      <w:r w:rsidRPr="000665B0">
        <w:t xml:space="preserve"> menu </w:t>
      </w:r>
      <w:r w:rsidR="00A95165" w:rsidRPr="000665B0">
        <w:t xml:space="preserve">and select Add </w:t>
      </w:r>
      <w:r w:rsidR="00A95165" w:rsidRPr="000665B0">
        <w:sym w:font="Wingdings 3" w:char="F07D"/>
      </w:r>
      <w:r w:rsidR="0018212B" w:rsidRPr="000665B0">
        <w:t>:</w:t>
      </w:r>
    </w:p>
    <w:p w14:paraId="6DE864B9" w14:textId="64FDE605" w:rsidR="00A95165" w:rsidRPr="000665B0" w:rsidRDefault="009326C2" w:rsidP="00A95165">
      <w:pPr>
        <w:jc w:val="center"/>
      </w:pPr>
      <w:r w:rsidRPr="000665B0">
        <w:rPr>
          <w:noProof/>
        </w:rPr>
        <w:drawing>
          <wp:inline distT="0" distB="0" distL="0" distR="0" wp14:anchorId="378BC983" wp14:editId="4B07E056">
            <wp:extent cx="3316901" cy="1603169"/>
            <wp:effectExtent l="0" t="0" r="0" b="0"/>
            <wp:docPr id="1150"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316901" cy="1603169"/>
                    </a:xfrm>
                    <a:prstGeom prst="rect">
                      <a:avLst/>
                    </a:prstGeom>
                  </pic:spPr>
                </pic:pic>
              </a:graphicData>
            </a:graphic>
          </wp:inline>
        </w:drawing>
      </w:r>
    </w:p>
    <w:p w14:paraId="076CF284" w14:textId="77777777" w:rsidR="00A95165" w:rsidRPr="000665B0" w:rsidRDefault="00A95165" w:rsidP="006D5A65">
      <w:pPr>
        <w:pStyle w:val="Heading1"/>
      </w:pPr>
      <w:r w:rsidRPr="000665B0">
        <w:t xml:space="preserve">from Strike Folder – Select one POB from the Strike Folder’s Geographic Resources. Once selected, the POB is added to the current </w:t>
      </w:r>
      <w:r w:rsidR="0018212B" w:rsidRPr="000665B0">
        <w:t xml:space="preserve">strike </w:t>
      </w:r>
      <w:r w:rsidRPr="000665B0">
        <w:t>option.</w:t>
      </w:r>
    </w:p>
    <w:p w14:paraId="79A0553E" w14:textId="77777777" w:rsidR="00A95165" w:rsidRPr="000665B0" w:rsidRDefault="00A95165" w:rsidP="006D5A65">
      <w:pPr>
        <w:pStyle w:val="Heading1"/>
      </w:pPr>
      <w:r w:rsidRPr="000665B0">
        <w:t xml:space="preserve">from ACMS Tool – </w:t>
      </w:r>
      <w:r w:rsidR="0018212B" w:rsidRPr="000665B0">
        <w:t>Select one POB from the ACMS Tool (any POB on the TED). Once selected, the POB is added to the current strike option.</w:t>
      </w:r>
    </w:p>
    <w:p w14:paraId="16F31A92" w14:textId="77777777" w:rsidR="00A95165" w:rsidRPr="000665B0" w:rsidRDefault="00A95165" w:rsidP="006D5A65">
      <w:pPr>
        <w:pStyle w:val="Heading1"/>
      </w:pPr>
      <w:r w:rsidRPr="000665B0">
        <w:t xml:space="preserve">from ACMS Library – </w:t>
      </w:r>
      <w:r w:rsidR="0018212B" w:rsidRPr="000665B0">
        <w:t>Select any of the ACMS libraries and then select one POB from the POBs in the selected libraries. Once selected, the POB is added to the current strike option.</w:t>
      </w:r>
    </w:p>
    <w:p w14:paraId="074F0E03" w14:textId="77777777" w:rsidR="0018212B" w:rsidRPr="000665B0" w:rsidRDefault="0018212B" w:rsidP="00F26AD4">
      <w:pPr>
        <w:keepNext/>
      </w:pPr>
      <w:r w:rsidRPr="000665B0">
        <w:t>To auto-generate a POB:</w:t>
      </w:r>
    </w:p>
    <w:p w14:paraId="7ED93AB0" w14:textId="08F69790" w:rsidR="0018212B" w:rsidRPr="000665B0" w:rsidRDefault="0018212B" w:rsidP="006D5A65">
      <w:pPr>
        <w:pStyle w:val="Heading1"/>
      </w:pPr>
      <w:r w:rsidRPr="000665B0">
        <w:t xml:space="preserve">If no POB currently exists: </w:t>
      </w:r>
      <w:r w:rsidR="00AD1263" w:rsidRPr="000665B0">
        <w:t xml:space="preserve">In the Planned Outcomes Boundary pane, select the down arrow </w:t>
      </w:r>
      <w:r w:rsidR="00AD1263" w:rsidRPr="000665B0">
        <w:rPr>
          <w:sz w:val="20"/>
        </w:rPr>
        <w:sym w:font="Wingdings 3" w:char="F071"/>
      </w:r>
      <w:r w:rsidR="00AD1263" w:rsidRPr="000665B0">
        <w:t xml:space="preserve"> in the </w:t>
      </w:r>
      <w:r w:rsidR="00FA56D3" w:rsidRPr="000665B0">
        <w:t>pull-down</w:t>
      </w:r>
      <w:r w:rsidR="00AD1263" w:rsidRPr="000665B0">
        <w:t xml:space="preserve"> menu </w:t>
      </w:r>
      <w:r w:rsidRPr="000665B0">
        <w:t>and select Auto Generate. The system generates a POB based on the strike’s data. A POB name is also generated.</w:t>
      </w:r>
    </w:p>
    <w:p w14:paraId="6EAD7B94" w14:textId="772114B3" w:rsidR="0018212B" w:rsidRPr="000665B0" w:rsidRDefault="0018212B" w:rsidP="006D5A65">
      <w:pPr>
        <w:pStyle w:val="Heading1"/>
      </w:pPr>
      <w:r w:rsidRPr="000665B0">
        <w:t xml:space="preserve">If a POB currently exists: </w:t>
      </w:r>
      <w:r w:rsidR="00AD1263" w:rsidRPr="000665B0">
        <w:t xml:space="preserve">In the Planned Outcomes Boundary pane, select the POB in the </w:t>
      </w:r>
      <w:r w:rsidR="00FA56D3" w:rsidRPr="000665B0">
        <w:t>pull-down</w:t>
      </w:r>
      <w:r w:rsidR="00AD1263" w:rsidRPr="000665B0">
        <w:t xml:space="preserve"> menu </w:t>
      </w:r>
      <w:r w:rsidRPr="000665B0">
        <w:t xml:space="preserve">and select Auto Generate. The </w:t>
      </w:r>
      <w:r w:rsidR="00900F42" w:rsidRPr="000665B0">
        <w:t>selected</w:t>
      </w:r>
      <w:r w:rsidRPr="000665B0">
        <w:t xml:space="preserve"> POB is modified based on the strike’s data. The user is notified if </w:t>
      </w:r>
      <w:r w:rsidR="00900F42" w:rsidRPr="000665B0">
        <w:t>a modification</w:t>
      </w:r>
      <w:r w:rsidRPr="000665B0">
        <w:t xml:space="preserve"> was made.</w:t>
      </w:r>
    </w:p>
    <w:p w14:paraId="106AD088" w14:textId="77777777" w:rsidR="0018212B" w:rsidRPr="000665B0" w:rsidRDefault="0018212B" w:rsidP="0018212B">
      <w:r w:rsidRPr="000665B0">
        <w:t xml:space="preserve">To display and/or </w:t>
      </w:r>
      <w:r w:rsidR="00900F42" w:rsidRPr="000665B0">
        <w:t>edit</w:t>
      </w:r>
      <w:r w:rsidRPr="000665B0">
        <w:t xml:space="preserve"> a POB:</w:t>
      </w:r>
    </w:p>
    <w:p w14:paraId="6CCEBD4E" w14:textId="4B24095E" w:rsidR="00E029BA" w:rsidRPr="000665B0" w:rsidRDefault="00AD1263" w:rsidP="006D5A65">
      <w:pPr>
        <w:pStyle w:val="Heading1"/>
      </w:pPr>
      <w:r w:rsidRPr="000665B0">
        <w:t xml:space="preserve">In the Planned Outcomes Boundary pane, select the POB in the </w:t>
      </w:r>
      <w:r w:rsidR="00FA56D3" w:rsidRPr="000665B0">
        <w:t>pull-down</w:t>
      </w:r>
      <w:r w:rsidRPr="000665B0">
        <w:t xml:space="preserve"> menu </w:t>
      </w:r>
      <w:r w:rsidR="0018212B" w:rsidRPr="000665B0">
        <w:t xml:space="preserve">and select Display </w:t>
      </w:r>
      <w:r w:rsidR="0018212B" w:rsidRPr="000665B0">
        <w:sym w:font="Wingdings 3" w:char="F07D"/>
      </w:r>
      <w:r w:rsidR="0018212B" w:rsidRPr="000665B0">
        <w:t>:</w:t>
      </w:r>
    </w:p>
    <w:p w14:paraId="5241599D" w14:textId="77777777" w:rsidR="0018212B" w:rsidRPr="000665B0" w:rsidRDefault="0018212B" w:rsidP="006D5A65">
      <w:pPr>
        <w:pStyle w:val="Heading1"/>
      </w:pPr>
      <w:r w:rsidRPr="000665B0">
        <w:t>Textually – Displays the POB textually</w:t>
      </w:r>
      <w:r w:rsidR="00900F42" w:rsidRPr="000665B0">
        <w:t>.</w:t>
      </w:r>
      <w:r w:rsidRPr="000665B0">
        <w:t xml:space="preserve"> </w:t>
      </w:r>
      <w:r w:rsidR="00900F42" w:rsidRPr="000665B0">
        <w:t>The POB can be edited provided that it is not read-only (an ACMS becomes read-only once it has been distributed). However, the POB may be saved under a different name and then edited.</w:t>
      </w:r>
    </w:p>
    <w:p w14:paraId="3017B4AD" w14:textId="77777777" w:rsidR="0018212B" w:rsidRPr="000665B0" w:rsidRDefault="0018212B" w:rsidP="006D5A65">
      <w:pPr>
        <w:pStyle w:val="Heading1"/>
      </w:pPr>
      <w:r w:rsidRPr="000665B0">
        <w:t>Geographically – Displays the POB geographically</w:t>
      </w:r>
      <w:r w:rsidR="00900F42" w:rsidRPr="000665B0">
        <w:t>.</w:t>
      </w:r>
      <w:r w:rsidRPr="000665B0">
        <w:t xml:space="preserve"> </w:t>
      </w:r>
      <w:r w:rsidR="00900F42" w:rsidRPr="000665B0">
        <w:t>The POB can be edited provided that it is not read-only (an ACMS becomes read-only once it has been distributed). However, the POB may be saved under a different name and then edited.</w:t>
      </w:r>
    </w:p>
    <w:p w14:paraId="187B261E" w14:textId="40883C2E" w:rsidR="00900F42" w:rsidRPr="000665B0" w:rsidRDefault="00900F42" w:rsidP="00AD1263">
      <w:pPr>
        <w:ind w:left="720"/>
      </w:pPr>
      <w:r w:rsidRPr="000665B0">
        <w:t xml:space="preserve">If an ACMS has already been distributed and is read-only, the </w:t>
      </w:r>
      <w:r w:rsidRPr="000665B0">
        <w:rPr>
          <w:i/>
        </w:rPr>
        <w:t>ACMS Already Distributed</w:t>
      </w:r>
      <w:r w:rsidRPr="000665B0">
        <w:t xml:space="preserve"> window is displayed. Click </w:t>
      </w:r>
      <w:r w:rsidRPr="000665B0">
        <w:rPr>
          <w:b/>
        </w:rPr>
        <w:t>View Only</w:t>
      </w:r>
      <w:r w:rsidRPr="000665B0">
        <w:t xml:space="preserve"> to view the POB under its existing </w:t>
      </w:r>
      <w:r w:rsidR="00FA56D3" w:rsidRPr="000665B0">
        <w:t>name or</w:t>
      </w:r>
      <w:r w:rsidRPr="000665B0">
        <w:t xml:space="preserve"> </w:t>
      </w:r>
      <w:r w:rsidRPr="000665B0">
        <w:rPr>
          <w:b/>
        </w:rPr>
        <w:t>Cancel</w:t>
      </w:r>
      <w:r w:rsidRPr="000665B0">
        <w:t xml:space="preserve"> to close the window. To save the POB under a different name and enable editing, </w:t>
      </w:r>
      <w:r w:rsidRPr="000665B0">
        <w:lastRenderedPageBreak/>
        <w:t xml:space="preserve">click </w:t>
      </w:r>
      <w:r w:rsidRPr="000665B0">
        <w:rPr>
          <w:b/>
        </w:rPr>
        <w:t>OK</w:t>
      </w:r>
      <w:r w:rsidRPr="000665B0">
        <w:t xml:space="preserve"> to save the POB under the suggested name. Alternatively, enter a new name (up to 22 alphanumeric characters) and click </w:t>
      </w:r>
      <w:r w:rsidRPr="000665B0">
        <w:rPr>
          <w:b/>
        </w:rPr>
        <w:t>OK</w:t>
      </w:r>
      <w:r w:rsidRPr="000665B0">
        <w:t>.</w:t>
      </w:r>
    </w:p>
    <w:p w14:paraId="408CF738" w14:textId="7B6E2960" w:rsidR="00EE5835" w:rsidRPr="000665B0" w:rsidRDefault="009326C2" w:rsidP="00900F42">
      <w:pPr>
        <w:jc w:val="center"/>
        <w:rPr>
          <w:u w:val="single"/>
        </w:rPr>
      </w:pPr>
      <w:r w:rsidRPr="000665B0">
        <w:rPr>
          <w:noProof/>
        </w:rPr>
        <w:drawing>
          <wp:inline distT="0" distB="0" distL="0" distR="0" wp14:anchorId="6B881FD8" wp14:editId="713CBF51">
            <wp:extent cx="3120952" cy="1258784"/>
            <wp:effectExtent l="0" t="0" r="0" b="0"/>
            <wp:docPr id="1151"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33190" cy="1263720"/>
                    </a:xfrm>
                    <a:prstGeom prst="rect">
                      <a:avLst/>
                    </a:prstGeom>
                  </pic:spPr>
                </pic:pic>
              </a:graphicData>
            </a:graphic>
          </wp:inline>
        </w:drawing>
      </w:r>
    </w:p>
    <w:p w14:paraId="47721B80" w14:textId="2995F1AC" w:rsidR="00E029BA" w:rsidRPr="000665B0" w:rsidRDefault="00EE5835" w:rsidP="0058307F">
      <w:r w:rsidRPr="000665B0">
        <w:t xml:space="preserve">To delete a POB from the </w:t>
      </w:r>
      <w:r w:rsidRPr="000665B0">
        <w:rPr>
          <w:b/>
          <w:i/>
        </w:rPr>
        <w:t>ACA</w:t>
      </w:r>
      <w:r w:rsidRPr="000665B0">
        <w:t xml:space="preserve"> tab, select the POB, invoke the context menu (</w:t>
      </w:r>
      <w:r w:rsidR="00D71804" w:rsidRPr="000665B0">
        <w:t>right-click</w:t>
      </w:r>
      <w:r w:rsidRPr="000665B0">
        <w:t xml:space="preserve"> the </w:t>
      </w:r>
      <w:r w:rsidR="00963FE1" w:rsidRPr="000665B0">
        <w:t>mouse</w:t>
      </w:r>
      <w:r w:rsidRPr="000665B0">
        <w:t xml:space="preserve">), and select </w:t>
      </w:r>
      <w:r w:rsidRPr="000665B0">
        <w:rPr>
          <w:b/>
        </w:rPr>
        <w:t>Remove</w:t>
      </w:r>
      <w:r w:rsidRPr="000665B0">
        <w:t>.</w:t>
      </w:r>
    </w:p>
    <w:p w14:paraId="231C693B" w14:textId="090CCFE5" w:rsidR="001F53FE" w:rsidRPr="000665B0" w:rsidRDefault="001F53FE" w:rsidP="00E7111D">
      <w:pPr>
        <w:pStyle w:val="Heading5"/>
        <w:tabs>
          <w:tab w:val="left" w:pos="720"/>
        </w:tabs>
      </w:pPr>
      <w:bookmarkStart w:id="6357" w:name="_Filter_Messages_Tab"/>
      <w:bookmarkStart w:id="6358" w:name="_Hlk76553426"/>
      <w:bookmarkStart w:id="6359" w:name="_Toc289328868"/>
      <w:bookmarkEnd w:id="6357"/>
      <w:r w:rsidRPr="000665B0">
        <w:t>Filter Messages Tab</w:t>
      </w:r>
    </w:p>
    <w:p w14:paraId="4FBE41D7" w14:textId="6E307E57" w:rsidR="00E203EA" w:rsidRPr="000665B0" w:rsidRDefault="005E0D96" w:rsidP="003157CB">
      <w:pPr>
        <w:tabs>
          <w:tab w:val="left" w:pos="720"/>
        </w:tabs>
      </w:pPr>
      <w:r w:rsidRPr="000665B0">
        <w:t xml:space="preserve">The </w:t>
      </w:r>
      <w:r w:rsidRPr="000665B0">
        <w:rPr>
          <w:b/>
          <w:bCs/>
          <w:i/>
          <w:iCs/>
        </w:rPr>
        <w:t xml:space="preserve">Filter Messages </w:t>
      </w:r>
      <w:r w:rsidRPr="000665B0">
        <w:t xml:space="preserve">tab is used to display the </w:t>
      </w:r>
      <w:r w:rsidRPr="000665B0">
        <w:rPr>
          <w:bCs/>
        </w:rPr>
        <w:t xml:space="preserve">ACA </w:t>
      </w:r>
      <w:r w:rsidR="00B64719" w:rsidRPr="000665B0">
        <w:rPr>
          <w:bCs/>
        </w:rPr>
        <w:t>Filter</w:t>
      </w:r>
      <w:r w:rsidRPr="000665B0">
        <w:rPr>
          <w:bCs/>
        </w:rPr>
        <w:t xml:space="preserve"> Messages associated with the Strike </w:t>
      </w:r>
      <w:r w:rsidR="00E971E8" w:rsidRPr="000665B0">
        <w:rPr>
          <w:bCs/>
        </w:rPr>
        <w:t>Option and</w:t>
      </w:r>
      <w:r w:rsidR="00E203EA" w:rsidRPr="000665B0">
        <w:rPr>
          <w:bCs/>
        </w:rPr>
        <w:t xml:space="preserve"> functions the same way in both the Strike Folders tool and the SMD (see </w:t>
      </w:r>
      <w:hyperlink w:anchor="_Filter__Messages" w:history="1">
        <w:r w:rsidR="00A54F60" w:rsidRPr="000665B0">
          <w:rPr>
            <w:rStyle w:val="Hyperlink"/>
            <w:bCs/>
          </w:rPr>
          <w:t xml:space="preserve">Section </w:t>
        </w:r>
        <w:r w:rsidR="004231CC">
          <w:rPr>
            <w:rStyle w:val="Hyperlink"/>
            <w:bCs/>
          </w:rPr>
          <w:t>5.35</w:t>
        </w:r>
        <w:r w:rsidR="00A54F60" w:rsidRPr="000665B0">
          <w:rPr>
            <w:rStyle w:val="Hyperlink"/>
            <w:bCs/>
          </w:rPr>
          <w:t>.3.1.7</w:t>
        </w:r>
        <w:r w:rsidR="00E203EA" w:rsidRPr="000665B0">
          <w:rPr>
            <w:rStyle w:val="Hyperlink"/>
            <w:bCs/>
          </w:rPr>
          <w:t>.2</w:t>
        </w:r>
      </w:hyperlink>
      <w:r w:rsidR="00E203EA" w:rsidRPr="000665B0">
        <w:rPr>
          <w:bCs/>
        </w:rPr>
        <w:t>)</w:t>
      </w:r>
      <w:r w:rsidRPr="000665B0">
        <w:rPr>
          <w:bCs/>
        </w:rPr>
        <w:t>.</w:t>
      </w:r>
      <w:r w:rsidRPr="000665B0">
        <w:t xml:space="preserve"> This summary displays all of the </w:t>
      </w:r>
      <w:r w:rsidR="00861988" w:rsidRPr="000665B0">
        <w:t xml:space="preserve">ACA </w:t>
      </w:r>
      <w:r w:rsidRPr="000665B0">
        <w:t>Filter Messages referenced to the Strike Option, including both those automatically generated by the system as well as those manually initiated by the user. Tasking information such as response status indicator</w:t>
      </w:r>
      <w:r w:rsidR="00C06D10" w:rsidRPr="000665B0">
        <w:t xml:space="preserve"> icon</w:t>
      </w:r>
      <w:r w:rsidRPr="000665B0">
        <w:t>, message number, use state, time of acknowledgement by the NSP, response status, and other information is displayed.</w:t>
      </w:r>
    </w:p>
    <w:p w14:paraId="710505DE" w14:textId="2DE07891" w:rsidR="005E0D96" w:rsidRPr="000665B0" w:rsidRDefault="005E0D96">
      <w:pPr>
        <w:pStyle w:val="BodyText"/>
        <w:tabs>
          <w:tab w:val="left" w:pos="720"/>
        </w:tabs>
        <w:spacing w:after="120"/>
      </w:pPr>
      <w:r w:rsidRPr="000665B0">
        <w:t xml:space="preserve">The </w:t>
      </w:r>
      <w:r w:rsidRPr="000665B0">
        <w:rPr>
          <w:b/>
          <w:bCs/>
          <w:i/>
        </w:rPr>
        <w:t>Filter Messages</w:t>
      </w:r>
      <w:r w:rsidRPr="000665B0">
        <w:t xml:space="preserve"> tab is not populated until a Filter Message has been sent – either automatically by the system</w:t>
      </w:r>
      <w:r w:rsidR="00E87D59" w:rsidRPr="000665B0">
        <w:t xml:space="preserve"> (see </w:t>
      </w:r>
      <w:hyperlink w:anchor="_Execution_Tab" w:history="1">
        <w:r w:rsidR="009326FE" w:rsidRPr="000665B0">
          <w:rPr>
            <w:rStyle w:val="Hyperlink"/>
          </w:rPr>
          <w:t xml:space="preserve">Section </w:t>
        </w:r>
        <w:r w:rsidR="004231CC">
          <w:rPr>
            <w:rStyle w:val="Hyperlink"/>
          </w:rPr>
          <w:t>5.34</w:t>
        </w:r>
        <w:r w:rsidR="00E87D59" w:rsidRPr="000665B0">
          <w:rPr>
            <w:rStyle w:val="Hyperlink"/>
          </w:rPr>
          <w:t>.1.1.4.3</w:t>
        </w:r>
      </w:hyperlink>
      <w:r w:rsidR="00E87D59" w:rsidRPr="000665B0">
        <w:t>)</w:t>
      </w:r>
      <w:r w:rsidRPr="000665B0">
        <w:t xml:space="preserve"> or manually by the user</w:t>
      </w:r>
      <w:r w:rsidR="00F3693E" w:rsidRPr="000665B0">
        <w:t xml:space="preserve"> (see </w:t>
      </w:r>
      <w:hyperlink w:anchor="_Send_an_ACA" w:history="1">
        <w:r w:rsidR="009326FE" w:rsidRPr="000665B0">
          <w:rPr>
            <w:rStyle w:val="Hyperlink"/>
          </w:rPr>
          <w:t xml:space="preserve">Section </w:t>
        </w:r>
        <w:r w:rsidR="004231CC">
          <w:rPr>
            <w:rStyle w:val="Hyperlink"/>
          </w:rPr>
          <w:t>5.34</w:t>
        </w:r>
        <w:r w:rsidR="00F3693E" w:rsidRPr="000665B0">
          <w:rPr>
            <w:rStyle w:val="Hyperlink"/>
          </w:rPr>
          <w:t>.7.1.9.1</w:t>
        </w:r>
      </w:hyperlink>
      <w:r w:rsidR="00F3693E" w:rsidRPr="000665B0">
        <w:t xml:space="preserve"> or</w:t>
      </w:r>
      <w:r w:rsidR="00AE5995" w:rsidRPr="000665B0">
        <w:t xml:space="preserve"> see</w:t>
      </w:r>
      <w:r w:rsidR="00F3693E" w:rsidRPr="000665B0">
        <w:t xml:space="preserve"> </w:t>
      </w:r>
      <w:hyperlink w:anchor="_Send__an_1" w:history="1">
        <w:r w:rsidR="00A54F60" w:rsidRPr="000665B0">
          <w:rPr>
            <w:rStyle w:val="Hyperlink"/>
          </w:rPr>
          <w:t xml:space="preserve">Section </w:t>
        </w:r>
        <w:r w:rsidR="004231CC">
          <w:rPr>
            <w:rStyle w:val="Hyperlink"/>
          </w:rPr>
          <w:t>5.35</w:t>
        </w:r>
        <w:r w:rsidR="00A54F60" w:rsidRPr="000665B0">
          <w:rPr>
            <w:rStyle w:val="Hyperlink"/>
          </w:rPr>
          <w:t>.3.1.7</w:t>
        </w:r>
        <w:r w:rsidR="00F3693E" w:rsidRPr="000665B0">
          <w:rPr>
            <w:rStyle w:val="Hyperlink"/>
          </w:rPr>
          <w:t>.2.1</w:t>
        </w:r>
      </w:hyperlink>
      <w:r w:rsidR="00F3693E" w:rsidRPr="000665B0">
        <w:t>)</w:t>
      </w:r>
      <w:r w:rsidRPr="000665B0">
        <w:t xml:space="preserve">. </w:t>
      </w:r>
    </w:p>
    <w:p w14:paraId="1AE3A567" w14:textId="4C3646BA" w:rsidR="005E0D96" w:rsidRPr="000665B0" w:rsidRDefault="005B36E6" w:rsidP="00F26AD4">
      <w:pPr>
        <w:pStyle w:val="BodyText"/>
        <w:tabs>
          <w:tab w:val="left" w:pos="720"/>
        </w:tabs>
        <w:spacing w:after="120"/>
        <w:jc w:val="center"/>
      </w:pPr>
      <w:r w:rsidRPr="000665B0">
        <w:rPr>
          <w:noProof/>
        </w:rPr>
        <w:drawing>
          <wp:inline distT="0" distB="0" distL="0" distR="0" wp14:anchorId="5B1392C0" wp14:editId="323C9BAA">
            <wp:extent cx="4983480" cy="2221992"/>
            <wp:effectExtent l="0" t="0" r="0" b="0"/>
            <wp:docPr id="1192" name="Picture 1192" descr="C:\Users\600753\Pictures\6.0 SUM Filter Messages\StrikeOption_FilterMessage_Exce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600753\Pictures\6.0 SUM Filter Messages\StrikeOption_FilterMessage_Exceptions.PNG"/>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2221992"/>
                    </a:xfrm>
                    <a:prstGeom prst="rect">
                      <a:avLst/>
                    </a:prstGeom>
                    <a:noFill/>
                    <a:ln>
                      <a:noFill/>
                    </a:ln>
                  </pic:spPr>
                </pic:pic>
              </a:graphicData>
            </a:graphic>
          </wp:inline>
        </w:drawing>
      </w:r>
    </w:p>
    <w:p w14:paraId="68BF1AF2" w14:textId="77777777" w:rsidR="005E0D96" w:rsidRPr="000665B0" w:rsidRDefault="005E0D96" w:rsidP="006D5A65">
      <w:pPr>
        <w:pStyle w:val="Heading1"/>
      </w:pPr>
      <w:r w:rsidRPr="000665B0">
        <w:lastRenderedPageBreak/>
        <w:t xml:space="preserve">Columns </w:t>
      </w:r>
    </w:p>
    <w:p w14:paraId="06799527" w14:textId="59443B57" w:rsidR="005E0D96" w:rsidRPr="000665B0" w:rsidRDefault="005E0D96" w:rsidP="006D5A65">
      <w:pPr>
        <w:pStyle w:val="Heading1"/>
      </w:pPr>
      <w:r w:rsidRPr="000665B0">
        <w:t>Response Status Indicator icon (precedes the Message ID</w:t>
      </w:r>
      <w:r w:rsidR="00AB71E5" w:rsidRPr="000665B0">
        <w:t xml:space="preserve"> of the most recently transmitted Filter Message</w:t>
      </w:r>
      <w:r w:rsidRPr="000665B0">
        <w:t>) – Indicates the Filter Message NSP response status:</w:t>
      </w:r>
    </w:p>
    <w:p w14:paraId="015BA77A" w14:textId="29A5566B" w:rsidR="005E0D96" w:rsidRPr="000665B0" w:rsidRDefault="005E0D96" w:rsidP="006D5A65">
      <w:pPr>
        <w:pStyle w:val="Heading3"/>
      </w:pPr>
      <w:r w:rsidRPr="000665B0">
        <w:t>No icon – Represents a Filter Message</w:t>
      </w:r>
      <w:r w:rsidR="00E87D59" w:rsidRPr="000665B0">
        <w:t xml:space="preserve"> that has been sent but</w:t>
      </w:r>
      <w:r w:rsidRPr="000665B0">
        <w:t xml:space="preserve"> has not </w:t>
      </w:r>
      <w:r w:rsidR="00E87D59" w:rsidRPr="000665B0">
        <w:t xml:space="preserve">yet </w:t>
      </w:r>
      <w:r w:rsidRPr="000665B0">
        <w:t xml:space="preserve">received an NSP </w:t>
      </w:r>
      <w:r w:rsidR="008758F2" w:rsidRPr="000665B0">
        <w:t xml:space="preserve">system </w:t>
      </w:r>
      <w:r w:rsidRPr="000665B0">
        <w:t>acknowledgment or response</w:t>
      </w:r>
      <w:r w:rsidR="00AB71E5" w:rsidRPr="000665B0">
        <w:t>,</w:t>
      </w:r>
      <w:r w:rsidR="00254DEF" w:rsidRPr="000665B0">
        <w:t xml:space="preserve"> or </w:t>
      </w:r>
      <w:r w:rsidR="00AB71E5" w:rsidRPr="000665B0">
        <w:t xml:space="preserve">a message that </w:t>
      </w:r>
      <w:r w:rsidR="00254DEF" w:rsidRPr="000665B0">
        <w:t xml:space="preserve">has been superseded by a </w:t>
      </w:r>
      <w:r w:rsidR="00AB71E5" w:rsidRPr="000665B0">
        <w:t>newer</w:t>
      </w:r>
      <w:r w:rsidR="00254DEF" w:rsidRPr="000665B0">
        <w:t xml:space="preserve"> Filter Message.</w:t>
      </w:r>
    </w:p>
    <w:p w14:paraId="3434B08A" w14:textId="23F50083" w:rsidR="005E0D96" w:rsidRPr="000665B0" w:rsidRDefault="005E0D96" w:rsidP="006D5A65">
      <w:pPr>
        <w:pStyle w:val="Heading3"/>
      </w:pPr>
      <w:r w:rsidRPr="000665B0">
        <w:t xml:space="preserve">White – Indicates </w:t>
      </w:r>
      <w:r w:rsidR="00861988" w:rsidRPr="000665B0">
        <w:t xml:space="preserve">that </w:t>
      </w:r>
      <w:r w:rsidRPr="000665B0">
        <w:t>an NSP system acknowledgement has been received</w:t>
      </w:r>
      <w:r w:rsidR="00861988" w:rsidRPr="000665B0">
        <w:t xml:space="preserve"> for the referenced Filter Message</w:t>
      </w:r>
      <w:r w:rsidRPr="000665B0">
        <w:t>, but the NSP response is still outstanding.</w:t>
      </w:r>
    </w:p>
    <w:p w14:paraId="646560F8" w14:textId="5203F7DC" w:rsidR="005E0D96" w:rsidRPr="000665B0" w:rsidRDefault="005E0D96" w:rsidP="006D5A65">
      <w:pPr>
        <w:pStyle w:val="Heading3"/>
      </w:pPr>
      <w:r w:rsidRPr="000665B0">
        <w:t>Green – Indicates that a WILCO NSP response has been received for the referenced Filter Message.</w:t>
      </w:r>
    </w:p>
    <w:p w14:paraId="2045F056" w14:textId="0AE2E0B3" w:rsidR="005E0D96" w:rsidRPr="000665B0" w:rsidRDefault="005E0D96" w:rsidP="006D5A65">
      <w:pPr>
        <w:pStyle w:val="Heading3"/>
      </w:pPr>
      <w:r w:rsidRPr="000665B0">
        <w:t>Red – Indicates that the NSP response message includes exceptions to the referenced Filter Message.</w:t>
      </w:r>
    </w:p>
    <w:p w14:paraId="3621D422" w14:textId="7F7F11B3" w:rsidR="005E0D96" w:rsidRPr="000665B0" w:rsidRDefault="005E0D96" w:rsidP="006D5A65">
      <w:pPr>
        <w:pStyle w:val="Heading1"/>
      </w:pPr>
      <w:r w:rsidRPr="000665B0">
        <w:t>Message ID – Unique identifier for the Filter Message</w:t>
      </w:r>
      <w:r w:rsidR="00590A2F" w:rsidRPr="000665B0">
        <w:t xml:space="preserve"> (automatically generated by the system, based on the Option ID)</w:t>
      </w:r>
      <w:r w:rsidRPr="000665B0">
        <w:t xml:space="preserve">. </w:t>
      </w:r>
    </w:p>
    <w:p w14:paraId="4AD3DB5E" w14:textId="77777777" w:rsidR="005E0D96" w:rsidRPr="000665B0" w:rsidRDefault="005E0D96" w:rsidP="006D5A65">
      <w:pPr>
        <w:pStyle w:val="Heading1"/>
      </w:pPr>
      <w:r w:rsidRPr="000665B0">
        <w:t>Message Time – The time the Filter Message was transmitted.</w:t>
      </w:r>
    </w:p>
    <w:p w14:paraId="3C9375C6" w14:textId="77777777" w:rsidR="005E0D96" w:rsidRPr="000665B0" w:rsidRDefault="005E0D96" w:rsidP="006D5A65">
      <w:pPr>
        <w:pStyle w:val="Heading1"/>
      </w:pPr>
      <w:r w:rsidRPr="000665B0">
        <w:t>Option ID – The Strike Option ID associated with the Filter Message.</w:t>
      </w:r>
    </w:p>
    <w:p w14:paraId="0019F17E" w14:textId="6841B4DD" w:rsidR="005E0D96" w:rsidRPr="000665B0" w:rsidRDefault="005E0D96" w:rsidP="006D5A65">
      <w:pPr>
        <w:pStyle w:val="Heading1"/>
      </w:pPr>
      <w:r w:rsidRPr="000665B0">
        <w:t xml:space="preserve">Package Type – The Strike Package </w:t>
      </w:r>
      <w:r w:rsidR="00861988" w:rsidRPr="000665B0">
        <w:t>t</w:t>
      </w:r>
      <w:r w:rsidRPr="000665B0">
        <w:t>ype – Tactical or Training.</w:t>
      </w:r>
    </w:p>
    <w:p w14:paraId="7E5229F7" w14:textId="3A6FE396" w:rsidR="005E0D96" w:rsidRPr="000665B0" w:rsidRDefault="005E0D96" w:rsidP="006D5A65">
      <w:pPr>
        <w:pStyle w:val="Heading1"/>
      </w:pPr>
      <w:r w:rsidRPr="000665B0">
        <w:t xml:space="preserve">Filter Number – </w:t>
      </w:r>
      <w:r w:rsidR="00861988" w:rsidRPr="000665B0">
        <w:t>I</w:t>
      </w:r>
      <w:r w:rsidRPr="000665B0">
        <w:t>ndicates the message number associated with the associated Strike Option. The first Filter Message generated for each Strike Option is assigned a Filter Number of 1, and for each additional message transmitted, the Filter Number is incremented as necessary.</w:t>
      </w:r>
    </w:p>
    <w:p w14:paraId="3120D59B" w14:textId="0914F443" w:rsidR="005E0D96" w:rsidRPr="000665B0" w:rsidRDefault="005E0D96" w:rsidP="006D5A65">
      <w:pPr>
        <w:pStyle w:val="Heading1"/>
      </w:pPr>
      <w:r w:rsidRPr="000665B0">
        <w:t>SOM – The Start</w:t>
      </w:r>
      <w:r w:rsidR="00861988" w:rsidRPr="000665B0">
        <w:t xml:space="preserve"> </w:t>
      </w:r>
      <w:r w:rsidRPr="000665B0">
        <w:t>of</w:t>
      </w:r>
      <w:r w:rsidR="00861988" w:rsidRPr="000665B0">
        <w:t xml:space="preserve"> </w:t>
      </w:r>
      <w:r w:rsidRPr="000665B0">
        <w:t>Message (SOM) indicates whether the Filter Message is Tactical or Training.</w:t>
      </w:r>
    </w:p>
    <w:p w14:paraId="53AF5993" w14:textId="77777777" w:rsidR="005E0D96" w:rsidRPr="000665B0" w:rsidRDefault="005E0D96" w:rsidP="006D5A65">
      <w:pPr>
        <w:pStyle w:val="Heading1"/>
      </w:pPr>
      <w:r w:rsidRPr="000665B0">
        <w:t>Use State – Indicates the state of the Filter Message – 72 Hours, 5 Hours, Execute, Cancel, or Complete.</w:t>
      </w:r>
    </w:p>
    <w:p w14:paraId="090C3412" w14:textId="4579932B" w:rsidR="005E0D96" w:rsidRPr="000665B0" w:rsidRDefault="005E0D96" w:rsidP="006D5A65">
      <w:pPr>
        <w:pStyle w:val="Heading1"/>
      </w:pPr>
      <w:r w:rsidRPr="000665B0">
        <w:t xml:space="preserve">Comms Area – Identifies </w:t>
      </w:r>
      <w:r w:rsidR="00861988" w:rsidRPr="000665B0">
        <w:t>whether</w:t>
      </w:r>
      <w:r w:rsidRPr="000665B0">
        <w:t xml:space="preserve"> the transmitted Filter Message include</w:t>
      </w:r>
      <w:r w:rsidR="00E87D59" w:rsidRPr="000665B0">
        <w:t>s</w:t>
      </w:r>
      <w:r w:rsidRPr="000665B0">
        <w:t xml:space="preserve"> a Planned Out</w:t>
      </w:r>
      <w:r w:rsidR="00861988" w:rsidRPr="000665B0">
        <w:t>co</w:t>
      </w:r>
      <w:r w:rsidRPr="000665B0">
        <w:t xml:space="preserve">mes Boundary (POB). If a POB </w:t>
      </w:r>
      <w:r w:rsidR="00E87D59" w:rsidRPr="000665B0">
        <w:lastRenderedPageBreak/>
        <w:t>is</w:t>
      </w:r>
      <w:r w:rsidRPr="000665B0">
        <w:t xml:space="preserve"> included, the va</w:t>
      </w:r>
      <w:r w:rsidR="00861988" w:rsidRPr="000665B0">
        <w:t xml:space="preserve">lue displayed is </w:t>
      </w:r>
      <w:r w:rsidRPr="000665B0">
        <w:t>1</w:t>
      </w:r>
      <w:r w:rsidR="00861988" w:rsidRPr="000665B0">
        <w:t>;</w:t>
      </w:r>
      <w:r w:rsidRPr="000665B0">
        <w:t xml:space="preserve"> </w:t>
      </w:r>
      <w:r w:rsidR="00FA56D3" w:rsidRPr="000665B0">
        <w:t>otherwise,</w:t>
      </w:r>
      <w:r w:rsidRPr="000665B0">
        <w:t xml:space="preserve"> the value is blank.</w:t>
      </w:r>
    </w:p>
    <w:p w14:paraId="34365DF2" w14:textId="77777777" w:rsidR="005E0D96" w:rsidRPr="000665B0" w:rsidRDefault="005E0D96" w:rsidP="006D5A65">
      <w:pPr>
        <w:pStyle w:val="Heading1"/>
      </w:pPr>
      <w:r w:rsidRPr="000665B0">
        <w:t>Strike Execution Time – Indicates the Strike Execution Time of the Strike Option, which represents the earliest time at which the Strike can begin.</w:t>
      </w:r>
    </w:p>
    <w:p w14:paraId="24BEEABA" w14:textId="77777777" w:rsidR="005E0D96" w:rsidRPr="000665B0" w:rsidRDefault="005E0D96" w:rsidP="006D5A65">
      <w:pPr>
        <w:pStyle w:val="Heading1"/>
      </w:pPr>
      <w:r w:rsidRPr="000665B0">
        <w:t>NSP Ack Time – Indicates the time the NSP system acknowledged receipt of the Filter Message.</w:t>
      </w:r>
    </w:p>
    <w:p w14:paraId="4B3FA4EE" w14:textId="7C549255" w:rsidR="005E0D96" w:rsidRPr="000665B0" w:rsidRDefault="005E0D96" w:rsidP="006D5A65">
      <w:pPr>
        <w:pStyle w:val="Heading1"/>
      </w:pPr>
      <w:r w:rsidRPr="000665B0">
        <w:t>Response Status</w:t>
      </w:r>
      <w:r w:rsidR="00861988" w:rsidRPr="000665B0">
        <w:t xml:space="preserve"> – Response from the NSP</w:t>
      </w:r>
      <w:r w:rsidR="00CE7E74" w:rsidRPr="000665B0">
        <w:t>.</w:t>
      </w:r>
    </w:p>
    <w:p w14:paraId="63A7239D" w14:textId="7C8865CF" w:rsidR="005E0D96" w:rsidRPr="000665B0" w:rsidRDefault="005E0D96" w:rsidP="006D5A65">
      <w:pPr>
        <w:pStyle w:val="Heading2"/>
      </w:pPr>
      <w:r w:rsidRPr="000665B0">
        <w:t xml:space="preserve">WILCO – </w:t>
      </w:r>
      <w:r w:rsidR="00861988" w:rsidRPr="000665B0">
        <w:t>Indicates</w:t>
      </w:r>
      <w:r w:rsidRPr="000665B0">
        <w:t xml:space="preserve"> that the communications requirements defined in the Filter Message can be satisfied</w:t>
      </w:r>
      <w:r w:rsidR="00861988" w:rsidRPr="000665B0">
        <w:t>.</w:t>
      </w:r>
    </w:p>
    <w:p w14:paraId="1E0E201E" w14:textId="1A21F192" w:rsidR="005E0D96" w:rsidRPr="000665B0" w:rsidRDefault="005E0D96" w:rsidP="006D5A65">
      <w:pPr>
        <w:pStyle w:val="Heading2"/>
      </w:pPr>
      <w:r w:rsidRPr="000665B0">
        <w:t xml:space="preserve">Exceptions – </w:t>
      </w:r>
      <w:r w:rsidR="00861988" w:rsidRPr="000665B0">
        <w:t>Indicates</w:t>
      </w:r>
      <w:r w:rsidRPr="000665B0">
        <w:t xml:space="preserve"> </w:t>
      </w:r>
      <w:r w:rsidR="00861988" w:rsidRPr="000665B0">
        <w:t>one</w:t>
      </w:r>
      <w:r w:rsidRPr="000665B0">
        <w:t xml:space="preserve"> or more exceptions to the information provided in the Filter Message</w:t>
      </w:r>
      <w:r w:rsidR="008758F2" w:rsidRPr="000665B0">
        <w:t>.</w:t>
      </w:r>
    </w:p>
    <w:p w14:paraId="1EF2EFD3" w14:textId="44A2052B" w:rsidR="005E0D96" w:rsidRPr="000665B0" w:rsidRDefault="005E0D96" w:rsidP="006D5A65">
      <w:pPr>
        <w:pStyle w:val="Heading2"/>
      </w:pPr>
      <w:r w:rsidRPr="000665B0">
        <w:t xml:space="preserve">Blank – </w:t>
      </w:r>
      <w:r w:rsidR="00861988" w:rsidRPr="000665B0">
        <w:t>I</w:t>
      </w:r>
      <w:r w:rsidRPr="000665B0">
        <w:t>ndicates that the NSP response has not yet been received.</w:t>
      </w:r>
    </w:p>
    <w:p w14:paraId="7C2A6054" w14:textId="4977A4E7" w:rsidR="000D6504" w:rsidRPr="000665B0" w:rsidRDefault="000D6504" w:rsidP="006D5A65">
      <w:pPr>
        <w:pStyle w:val="Heading1"/>
      </w:pPr>
      <w:r w:rsidRPr="000665B0">
        <w:t>Strike Rev – Strike revision when the Filter Message was sent.</w:t>
      </w:r>
    </w:p>
    <w:p w14:paraId="68E72BB8" w14:textId="673E06B7" w:rsidR="005E0D96" w:rsidRPr="000665B0" w:rsidRDefault="00F05581" w:rsidP="00C63237">
      <w:pPr>
        <w:keepNext/>
        <w:tabs>
          <w:tab w:val="left" w:pos="720"/>
        </w:tabs>
        <w:rPr>
          <w:b/>
        </w:rPr>
      </w:pPr>
      <w:r w:rsidRPr="000665B0">
        <w:rPr>
          <w:b/>
        </w:rPr>
        <w:t xml:space="preserve">Display </w:t>
      </w:r>
      <w:r w:rsidR="005E0D96" w:rsidRPr="000665B0">
        <w:rPr>
          <w:b/>
        </w:rPr>
        <w:t>ACA Filter Message</w:t>
      </w:r>
      <w:r w:rsidRPr="000665B0">
        <w:rPr>
          <w:b/>
        </w:rPr>
        <w:t xml:space="preserve"> Textually</w:t>
      </w:r>
    </w:p>
    <w:p w14:paraId="07852949" w14:textId="67FE0ECC" w:rsidR="005E0D96" w:rsidRPr="000665B0" w:rsidRDefault="005E0D96" w:rsidP="005E0D96">
      <w:pPr>
        <w:pStyle w:val="BodyText"/>
        <w:tabs>
          <w:tab w:val="left" w:pos="720"/>
        </w:tabs>
        <w:spacing w:after="120"/>
      </w:pPr>
      <w:r w:rsidRPr="000665B0">
        <w:t>The contents of an ACA Filter Message</w:t>
      </w:r>
      <w:r w:rsidR="00861988" w:rsidRPr="000665B0">
        <w:t xml:space="preserve"> may be displayed</w:t>
      </w:r>
      <w:r w:rsidRPr="000665B0">
        <w:t xml:space="preserve"> in order to view the </w:t>
      </w:r>
      <w:r w:rsidR="000D6504" w:rsidRPr="000665B0">
        <w:t>operational parameters of the strike that were</w:t>
      </w:r>
      <w:r w:rsidRPr="000665B0">
        <w:t xml:space="preserve"> transmitted to the NSP</w:t>
      </w:r>
      <w:r w:rsidR="00B553F2" w:rsidRPr="000665B0">
        <w:t>, as well as the individual NSP responses to the Filter Message</w:t>
      </w:r>
      <w:r w:rsidRPr="000665B0">
        <w:t>.</w:t>
      </w:r>
    </w:p>
    <w:p w14:paraId="1A8D772A" w14:textId="77777777" w:rsidR="005E0D96" w:rsidRPr="000665B0" w:rsidRDefault="005E0D96" w:rsidP="005E0D96">
      <w:pPr>
        <w:pStyle w:val="BodyText"/>
        <w:tabs>
          <w:tab w:val="left" w:pos="720"/>
        </w:tabs>
        <w:spacing w:after="120"/>
      </w:pPr>
      <w:r w:rsidRPr="000665B0">
        <w:t>To display the contents of the ACA Filter Message:</w:t>
      </w:r>
    </w:p>
    <w:p w14:paraId="40214F17" w14:textId="093CA17B" w:rsidR="005E0D96" w:rsidRPr="000665B0" w:rsidRDefault="00861988" w:rsidP="006D5A65">
      <w:pPr>
        <w:pStyle w:val="Heading1"/>
      </w:pPr>
      <w:r w:rsidRPr="000665B0">
        <w:t>Select</w:t>
      </w:r>
      <w:r w:rsidR="005E0D96" w:rsidRPr="000665B0">
        <w:t xml:space="preserve"> the desired </w:t>
      </w:r>
      <w:r w:rsidRPr="000665B0">
        <w:t>Filter M</w:t>
      </w:r>
      <w:r w:rsidR="005E0D96" w:rsidRPr="000665B0">
        <w:t xml:space="preserve">essage in the </w:t>
      </w:r>
      <w:r w:rsidRPr="000665B0">
        <w:t>l</w:t>
      </w:r>
      <w:r w:rsidR="005E0D96" w:rsidRPr="000665B0">
        <w:t xml:space="preserve">ist </w:t>
      </w:r>
      <w:r w:rsidRPr="000665B0">
        <w:t>v</w:t>
      </w:r>
      <w:r w:rsidR="005E0D96" w:rsidRPr="000665B0">
        <w:t>iew.</w:t>
      </w:r>
    </w:p>
    <w:p w14:paraId="58E3EE1C" w14:textId="6DB7BF2E" w:rsidR="005E0D96" w:rsidRPr="000665B0" w:rsidRDefault="005E0D96" w:rsidP="006D5A65">
      <w:pPr>
        <w:pStyle w:val="Heading1"/>
      </w:pPr>
      <w:r w:rsidRPr="000665B0">
        <w:t>Invoke the context menu (right</w:t>
      </w:r>
      <w:r w:rsidR="00CE7E74" w:rsidRPr="000665B0">
        <w:t>-</w:t>
      </w:r>
      <w:r w:rsidRPr="000665B0">
        <w:t xml:space="preserve">click the mouse) and select Display </w:t>
      </w:r>
      <w:r w:rsidRPr="000665B0">
        <w:sym w:font="Wingdings" w:char="F0E0"/>
      </w:r>
      <w:r w:rsidRPr="000665B0">
        <w:t xml:space="preserve"> Textually</w:t>
      </w:r>
      <w:r w:rsidR="00E87D59" w:rsidRPr="000665B0">
        <w:t xml:space="preserve"> or </w:t>
      </w:r>
      <w:r w:rsidR="0037038E" w:rsidRPr="000665B0">
        <w:t>double-click</w:t>
      </w:r>
      <w:r w:rsidR="00E87D59" w:rsidRPr="000665B0">
        <w:t xml:space="preserve"> on the Filter Message</w:t>
      </w:r>
      <w:r w:rsidRPr="000665B0">
        <w:t xml:space="preserve">. The </w:t>
      </w:r>
      <w:r w:rsidRPr="000665B0">
        <w:rPr>
          <w:i/>
        </w:rPr>
        <w:t>ACA Filter Message</w:t>
      </w:r>
      <w:r w:rsidRPr="000665B0">
        <w:t xml:space="preserve"> window is displayed.</w:t>
      </w:r>
    </w:p>
    <w:p w14:paraId="48758E4F" w14:textId="3F97F987" w:rsidR="00861988" w:rsidRPr="000665B0" w:rsidRDefault="00861988" w:rsidP="006D5A65">
      <w:pPr>
        <w:pStyle w:val="Heading1"/>
      </w:pPr>
      <w:r w:rsidRPr="000665B0">
        <w:t xml:space="preserve">The </w:t>
      </w:r>
      <w:r w:rsidRPr="000665B0">
        <w:rPr>
          <w:i/>
        </w:rPr>
        <w:t>Filter</w:t>
      </w:r>
      <w:r w:rsidRPr="000665B0">
        <w:t xml:space="preserve"> sub tab contains header information, Use State status, Crypto Keys, Frequency Lookups, Planned Outcomes Boundary information, and the Missile Subscriber IDs associated with the Strike Option. </w:t>
      </w:r>
    </w:p>
    <w:p w14:paraId="7D23ACCA" w14:textId="733B4C9F" w:rsidR="00861988" w:rsidRPr="000665B0" w:rsidRDefault="00861988" w:rsidP="00F26AD4">
      <w:pPr>
        <w:pStyle w:val="Number0205"/>
        <w:tabs>
          <w:tab w:val="left" w:pos="720"/>
        </w:tabs>
        <w:ind w:firstLine="0"/>
      </w:pPr>
      <w:r w:rsidRPr="000665B0">
        <w:t>This information defines the communications requirements for the Strike Option and is utilized by the NSP to notify and solicit feedback in the form of a response message indicating whether the NSP can satisfy the request.</w:t>
      </w:r>
    </w:p>
    <w:p w14:paraId="1DD78610" w14:textId="45559D58" w:rsidR="005E0D96" w:rsidRPr="000665B0" w:rsidRDefault="00E9510C" w:rsidP="00C63237">
      <w:pPr>
        <w:pStyle w:val="Number0205"/>
        <w:tabs>
          <w:tab w:val="left" w:pos="720"/>
        </w:tabs>
        <w:ind w:left="0" w:firstLine="0"/>
        <w:jc w:val="center"/>
      </w:pPr>
      <w:r w:rsidRPr="000665B0">
        <w:rPr>
          <w:noProof/>
        </w:rPr>
        <w:lastRenderedPageBreak/>
        <w:drawing>
          <wp:inline distT="0" distB="0" distL="0" distR="0" wp14:anchorId="7FAC9AFE" wp14:editId="7AA9F491">
            <wp:extent cx="4876800" cy="456361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881659" cy="4568157"/>
                    </a:xfrm>
                    <a:prstGeom prst="rect">
                      <a:avLst/>
                    </a:prstGeom>
                  </pic:spPr>
                </pic:pic>
              </a:graphicData>
            </a:graphic>
          </wp:inline>
        </w:drawing>
      </w:r>
    </w:p>
    <w:p w14:paraId="481D3DC0" w14:textId="49938293" w:rsidR="00E87D59" w:rsidRPr="000665B0" w:rsidRDefault="00861988" w:rsidP="006D5A65">
      <w:pPr>
        <w:pStyle w:val="Heading1"/>
      </w:pPr>
      <w:r w:rsidRPr="000665B0">
        <w:t xml:space="preserve">The </w:t>
      </w:r>
      <w:r w:rsidRPr="000665B0">
        <w:rPr>
          <w:i/>
        </w:rPr>
        <w:t>Response</w:t>
      </w:r>
      <w:r w:rsidRPr="000665B0">
        <w:t xml:space="preserve"> sub tab contains a list view of the individual NSP responses for </w:t>
      </w:r>
      <w:r w:rsidR="00015122" w:rsidRPr="000665B0">
        <w:t xml:space="preserve">the selected </w:t>
      </w:r>
      <w:r w:rsidR="00F521BC" w:rsidRPr="000665B0">
        <w:t xml:space="preserve">message. It </w:t>
      </w:r>
      <w:r w:rsidRPr="000665B0">
        <w:t xml:space="preserve">displays the </w:t>
      </w:r>
      <w:r w:rsidRPr="000665B0">
        <w:lastRenderedPageBreak/>
        <w:t xml:space="preserve">Response </w:t>
      </w:r>
      <w:r w:rsidR="00E4106B" w:rsidRPr="000665B0">
        <w:t xml:space="preserve">details </w:t>
      </w:r>
      <w:r w:rsidRPr="000665B0">
        <w:t>and the Geographic Exceptions reported</w:t>
      </w:r>
      <w:r w:rsidR="00E87D59" w:rsidRPr="000665B0">
        <w:t xml:space="preserve"> (if any)</w:t>
      </w:r>
      <w:r w:rsidRPr="000665B0">
        <w:t>.</w:t>
      </w:r>
      <w:r w:rsidR="00E87D59" w:rsidRPr="000665B0">
        <w:t xml:space="preserve"> </w:t>
      </w:r>
    </w:p>
    <w:p w14:paraId="185E97B9" w14:textId="3B051253" w:rsidR="005E0D96" w:rsidRPr="000665B0" w:rsidRDefault="005B36E6" w:rsidP="00F26AD4">
      <w:pPr>
        <w:jc w:val="center"/>
      </w:pPr>
      <w:r w:rsidRPr="000665B0">
        <w:rPr>
          <w:noProof/>
        </w:rPr>
        <w:drawing>
          <wp:inline distT="0" distB="0" distL="0" distR="0" wp14:anchorId="417ADAC0" wp14:editId="10A7DC7A">
            <wp:extent cx="4983480" cy="2770632"/>
            <wp:effectExtent l="0" t="0" r="0" b="0"/>
            <wp:docPr id="1208" name="Picture 1208" descr="C:\Users\600753\Pictures\6.0 SUM Filter Messages\FilterMessageResponse_WIL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600753\Pictures\6.0 SUM Filter Messages\FilterMessageResponse_WILCO.PNG"/>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2770632"/>
                    </a:xfrm>
                    <a:prstGeom prst="rect">
                      <a:avLst/>
                    </a:prstGeom>
                    <a:noFill/>
                    <a:ln>
                      <a:noFill/>
                    </a:ln>
                  </pic:spPr>
                </pic:pic>
              </a:graphicData>
            </a:graphic>
          </wp:inline>
        </w:drawing>
      </w:r>
    </w:p>
    <w:p w14:paraId="1FD83D90" w14:textId="4C9CDA96" w:rsidR="00F53132" w:rsidRPr="000665B0" w:rsidRDefault="00E87D59" w:rsidP="006D5A65">
      <w:pPr>
        <w:pStyle w:val="Heading1"/>
      </w:pPr>
      <w:r w:rsidRPr="000665B0">
        <w:t xml:space="preserve">If the Response Type column status is Exceptions, </w:t>
      </w:r>
      <w:r w:rsidR="00E4106B" w:rsidRPr="000665B0">
        <w:t xml:space="preserve">either </w:t>
      </w:r>
      <w:r w:rsidRPr="000665B0">
        <w:t>the</w:t>
      </w:r>
      <w:r w:rsidR="00F53132" w:rsidRPr="000665B0">
        <w:t xml:space="preserve"> Free Text field and/or the</w:t>
      </w:r>
      <w:r w:rsidRPr="000665B0">
        <w:t xml:space="preserve"> Geographic Exceptions pane display</w:t>
      </w:r>
      <w:r w:rsidR="00591562" w:rsidRPr="000665B0">
        <w:t xml:space="preserve"> details about</w:t>
      </w:r>
      <w:r w:rsidRPr="000665B0">
        <w:t xml:space="preserve"> the exception(s).</w:t>
      </w:r>
      <w:r w:rsidR="0096362D" w:rsidRPr="000665B0">
        <w:t xml:space="preserve"> </w:t>
      </w:r>
    </w:p>
    <w:p w14:paraId="10E9C9BF" w14:textId="1F716168" w:rsidR="0096362D" w:rsidRPr="000665B0" w:rsidRDefault="0096362D" w:rsidP="006679E9">
      <w:pPr>
        <w:pStyle w:val="Number0205"/>
        <w:tabs>
          <w:tab w:val="left" w:pos="720"/>
        </w:tabs>
        <w:ind w:firstLine="0"/>
      </w:pPr>
      <w:r w:rsidRPr="000665B0">
        <w:t xml:space="preserve">An exception is defined by the NSP to denote a </w:t>
      </w:r>
      <w:r w:rsidR="005B36E6" w:rsidRPr="000665B0">
        <w:t xml:space="preserve">lack of network </w:t>
      </w:r>
      <w:r w:rsidR="00F53132" w:rsidRPr="000665B0">
        <w:t>coverage in</w:t>
      </w:r>
      <w:r w:rsidRPr="000665B0">
        <w:t xml:space="preserve"> the operational area of the strike </w:t>
      </w:r>
      <w:r w:rsidR="00F53132" w:rsidRPr="000665B0">
        <w:t>during the specified time that the strike is active</w:t>
      </w:r>
      <w:r w:rsidRPr="000665B0">
        <w:t xml:space="preserve">. </w:t>
      </w:r>
      <w:r w:rsidRPr="000665B0">
        <w:rPr>
          <w:b/>
          <w:i/>
        </w:rPr>
        <w:t>FRUs should not be in the area and missions</w:t>
      </w:r>
      <w:r w:rsidR="005B36E6" w:rsidRPr="000665B0">
        <w:rPr>
          <w:b/>
          <w:i/>
        </w:rPr>
        <w:t xml:space="preserve"> that require comms</w:t>
      </w:r>
      <w:r w:rsidRPr="000665B0">
        <w:rPr>
          <w:b/>
          <w:i/>
        </w:rPr>
        <w:t xml:space="preserve"> should not go through the area during the specified time period.</w:t>
      </w:r>
    </w:p>
    <w:p w14:paraId="4E7CA210" w14:textId="270C92EF" w:rsidR="00591562" w:rsidRPr="000665B0" w:rsidRDefault="00591562" w:rsidP="006679E9">
      <w:pPr>
        <w:pStyle w:val="Number0205"/>
        <w:tabs>
          <w:tab w:val="left" w:pos="720"/>
        </w:tabs>
        <w:ind w:firstLine="0"/>
      </w:pPr>
      <w:r w:rsidRPr="000665B0">
        <w:t>Details about t</w:t>
      </w:r>
      <w:r w:rsidR="00F53132" w:rsidRPr="000665B0">
        <w:t>he exception</w:t>
      </w:r>
      <w:r w:rsidRPr="000665B0">
        <w:t>(s)</w:t>
      </w:r>
      <w:r w:rsidR="00F53132" w:rsidRPr="000665B0">
        <w:t xml:space="preserve"> </w:t>
      </w:r>
      <w:r w:rsidRPr="000665B0">
        <w:t>are contained in one or both of the following fields:</w:t>
      </w:r>
    </w:p>
    <w:p w14:paraId="629979A0" w14:textId="286D96EB" w:rsidR="00591562" w:rsidRPr="000665B0" w:rsidRDefault="00591562" w:rsidP="006D5A65">
      <w:pPr>
        <w:pStyle w:val="Heading1"/>
      </w:pPr>
      <w:r w:rsidRPr="000665B0">
        <w:t>Free Text field – Written description of the exception(s).</w:t>
      </w:r>
    </w:p>
    <w:p w14:paraId="13BD7C35" w14:textId="6752B97F" w:rsidR="005B36E6" w:rsidRPr="000665B0" w:rsidRDefault="005B36E6" w:rsidP="006679E9">
      <w:pPr>
        <w:pStyle w:val="Number0205"/>
        <w:tabs>
          <w:tab w:val="left" w:pos="720"/>
        </w:tabs>
        <w:ind w:left="0" w:firstLine="0"/>
        <w:jc w:val="center"/>
      </w:pPr>
      <w:r w:rsidRPr="000665B0">
        <w:rPr>
          <w:noProof/>
        </w:rPr>
        <w:drawing>
          <wp:inline distT="0" distB="0" distL="0" distR="0" wp14:anchorId="6BA31879" wp14:editId="22CEBB46">
            <wp:extent cx="4572000" cy="2487168"/>
            <wp:effectExtent l="0" t="0" r="0" b="8890"/>
            <wp:docPr id="1209" name="Picture 1209" descr="C:\Users\600753\Pictures\6.0 SUM Filter Messages\FilterMessageResponse_Exceptions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600753\Pictures\6.0 SUM Filter Messages\FilterMessageResponse_ExceptionsText.PNG"/>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572000" cy="2487168"/>
                    </a:xfrm>
                    <a:prstGeom prst="rect">
                      <a:avLst/>
                    </a:prstGeom>
                    <a:noFill/>
                    <a:ln>
                      <a:noFill/>
                    </a:ln>
                  </pic:spPr>
                </pic:pic>
              </a:graphicData>
            </a:graphic>
          </wp:inline>
        </w:drawing>
      </w:r>
    </w:p>
    <w:p w14:paraId="0F279F8C" w14:textId="182F5D25" w:rsidR="00F53132" w:rsidRPr="000665B0" w:rsidRDefault="00591562" w:rsidP="006D5A65">
      <w:pPr>
        <w:pStyle w:val="Heading1"/>
      </w:pPr>
      <w:r w:rsidRPr="000665B0">
        <w:lastRenderedPageBreak/>
        <w:t>Geographic Exceptions pane – Relevant geographic region</w:t>
      </w:r>
      <w:r w:rsidR="00B553F2" w:rsidRPr="000665B0">
        <w:t xml:space="preserve"> with Start Time and End Time</w:t>
      </w:r>
      <w:r w:rsidRPr="000665B0">
        <w:t xml:space="preserve"> of the exception(s).</w:t>
      </w:r>
    </w:p>
    <w:p w14:paraId="3C9F923C" w14:textId="5BB29B89" w:rsidR="0096362D" w:rsidRPr="000665B0" w:rsidRDefault="005B36E6" w:rsidP="00C63237">
      <w:pPr>
        <w:pStyle w:val="Number0205"/>
        <w:tabs>
          <w:tab w:val="left" w:pos="720"/>
        </w:tabs>
        <w:ind w:left="0" w:firstLine="0"/>
        <w:jc w:val="center"/>
      </w:pPr>
      <w:r w:rsidRPr="000665B0">
        <w:rPr>
          <w:noProof/>
        </w:rPr>
        <w:drawing>
          <wp:inline distT="0" distB="0" distL="0" distR="0" wp14:anchorId="731C7130" wp14:editId="2E99C097">
            <wp:extent cx="4572000" cy="2505456"/>
            <wp:effectExtent l="0" t="0" r="0" b="9525"/>
            <wp:docPr id="1298" name="Picture 1298" descr="C:\Users\600753\Pictures\6.0 SUM Filter Messages\FilterMessageResponse_ExceptionsG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600753\Pictures\6.0 SUM Filter Messages\FilterMessageResponse_ExceptionsGeo.PNG"/>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572000" cy="2505456"/>
                    </a:xfrm>
                    <a:prstGeom prst="rect">
                      <a:avLst/>
                    </a:prstGeom>
                    <a:noFill/>
                    <a:ln>
                      <a:noFill/>
                    </a:ln>
                  </pic:spPr>
                </pic:pic>
              </a:graphicData>
            </a:graphic>
          </wp:inline>
        </w:drawing>
      </w:r>
    </w:p>
    <w:p w14:paraId="3E4A8588" w14:textId="6D7A29A4" w:rsidR="0096362D" w:rsidRPr="000665B0" w:rsidRDefault="0096362D" w:rsidP="00C63237">
      <w:pPr>
        <w:pStyle w:val="Number0205"/>
        <w:tabs>
          <w:tab w:val="left" w:pos="720"/>
        </w:tabs>
        <w:ind w:firstLine="0"/>
      </w:pPr>
      <w:r w:rsidRPr="000665B0" w:rsidDel="0096362D">
        <w:t xml:space="preserve">To view the </w:t>
      </w:r>
      <w:r w:rsidR="007A3C51" w:rsidRPr="000665B0">
        <w:rPr>
          <w:b/>
        </w:rPr>
        <w:t>Geographic E</w:t>
      </w:r>
      <w:r w:rsidR="007A3C51" w:rsidRPr="000665B0" w:rsidDel="0096362D">
        <w:rPr>
          <w:b/>
        </w:rPr>
        <w:t>xception</w:t>
      </w:r>
      <w:r w:rsidR="007A3C51" w:rsidRPr="000665B0">
        <w:t xml:space="preserve"> </w:t>
      </w:r>
      <w:r w:rsidR="00591562" w:rsidRPr="000665B0">
        <w:t>geographically</w:t>
      </w:r>
      <w:r w:rsidRPr="000665B0" w:rsidDel="0096362D">
        <w:t xml:space="preserve">, </w:t>
      </w:r>
      <w:r w:rsidR="00F521BC" w:rsidRPr="000665B0">
        <w:t xml:space="preserve">return to the </w:t>
      </w:r>
      <w:r w:rsidR="00F521BC" w:rsidRPr="000665B0">
        <w:rPr>
          <w:b/>
          <w:bCs/>
          <w:i/>
        </w:rPr>
        <w:t>Filter Messages</w:t>
      </w:r>
      <w:r w:rsidR="00F521BC" w:rsidRPr="000665B0">
        <w:t xml:space="preserve"> tab, </w:t>
      </w:r>
      <w:r w:rsidRPr="000665B0" w:rsidDel="0096362D">
        <w:t xml:space="preserve">select the </w:t>
      </w:r>
      <w:r w:rsidR="00591562" w:rsidRPr="000665B0">
        <w:t>appropriate</w:t>
      </w:r>
      <w:r w:rsidR="00591562" w:rsidRPr="000665B0" w:rsidDel="0096362D">
        <w:t xml:space="preserve"> </w:t>
      </w:r>
      <w:r w:rsidRPr="000665B0">
        <w:t>Message ID</w:t>
      </w:r>
      <w:r w:rsidRPr="000665B0" w:rsidDel="0096362D">
        <w:t xml:space="preserve">, invoke the context menu, and select </w:t>
      </w:r>
      <w:r w:rsidRPr="000665B0" w:rsidDel="0096362D">
        <w:rPr>
          <w:b/>
        </w:rPr>
        <w:t xml:space="preserve">Display </w:t>
      </w:r>
      <w:r w:rsidRPr="000665B0" w:rsidDel="0096362D">
        <w:rPr>
          <w:b/>
        </w:rPr>
        <w:sym w:font="Wingdings 3" w:char="F07D"/>
      </w:r>
      <w:r w:rsidRPr="000665B0" w:rsidDel="0096362D">
        <w:rPr>
          <w:b/>
        </w:rPr>
        <w:t xml:space="preserve"> Geographically</w:t>
      </w:r>
      <w:r w:rsidRPr="000665B0" w:rsidDel="0096362D">
        <w:t>.</w:t>
      </w:r>
      <w:r w:rsidR="005B36E6" w:rsidRPr="000665B0">
        <w:t xml:space="preserve"> </w:t>
      </w:r>
    </w:p>
    <w:p w14:paraId="112E5F14" w14:textId="0A24800E" w:rsidR="005B36E6" w:rsidRPr="000665B0" w:rsidRDefault="005B36E6" w:rsidP="006679E9">
      <w:pPr>
        <w:pStyle w:val="Number0205"/>
        <w:tabs>
          <w:tab w:val="left" w:pos="720"/>
        </w:tabs>
        <w:ind w:left="0" w:firstLine="0"/>
        <w:jc w:val="center"/>
      </w:pPr>
      <w:r w:rsidRPr="000665B0">
        <w:rPr>
          <w:noProof/>
        </w:rPr>
        <w:drawing>
          <wp:inline distT="0" distB="0" distL="0" distR="0" wp14:anchorId="355144EC" wp14:editId="6FF341FF">
            <wp:extent cx="3657600" cy="1554480"/>
            <wp:effectExtent l="0" t="0" r="0" b="7620"/>
            <wp:docPr id="1312" name="Picture 1312" descr="C:\Users\600753\Pictures\6.0 SUM Filter Messages\DisplayGeographical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600753\Pictures\6.0 SUM Filter Messages\DisplayGeographically.png"/>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3657600" cy="1554480"/>
                    </a:xfrm>
                    <a:prstGeom prst="rect">
                      <a:avLst/>
                    </a:prstGeom>
                    <a:noFill/>
                    <a:ln>
                      <a:noFill/>
                    </a:ln>
                    <a:extLst>
                      <a:ext uri="{53640926-AAD7-44D8-BBD7-CCE9431645EC}">
                        <a14:shadowObscured xmlns:a14="http://schemas.microsoft.com/office/drawing/2010/main"/>
                      </a:ext>
                    </a:extLst>
                  </pic:spPr>
                </pic:pic>
              </a:graphicData>
            </a:graphic>
          </wp:inline>
        </w:drawing>
      </w:r>
    </w:p>
    <w:p w14:paraId="456C0F0A" w14:textId="0E0F0061" w:rsidR="005B36E6" w:rsidRPr="000665B0" w:rsidRDefault="005B36E6" w:rsidP="001F4B14">
      <w:pPr>
        <w:pStyle w:val="Number0205"/>
        <w:tabs>
          <w:tab w:val="left" w:pos="720"/>
        </w:tabs>
        <w:ind w:firstLine="0"/>
      </w:pPr>
      <w:r w:rsidRPr="000665B0">
        <w:t xml:space="preserve">The exception is displayed </w:t>
      </w:r>
      <w:r w:rsidR="00254DEF" w:rsidRPr="000665B0">
        <w:t>geographically</w:t>
      </w:r>
      <w:r w:rsidRPr="000665B0">
        <w:t>.</w:t>
      </w:r>
    </w:p>
    <w:p w14:paraId="1579557E" w14:textId="77777777" w:rsidR="00C1683F" w:rsidRDefault="009668B1" w:rsidP="006679E9">
      <w:pPr>
        <w:pStyle w:val="Number0205"/>
        <w:tabs>
          <w:tab w:val="left" w:pos="720"/>
        </w:tabs>
        <w:ind w:left="0" w:firstLine="0"/>
        <w:jc w:val="center"/>
        <w:rPr>
          <w:noProof/>
        </w:rPr>
      </w:pPr>
      <w:r w:rsidRPr="000665B0">
        <w:rPr>
          <w:noProof/>
        </w:rPr>
        <w:drawing>
          <wp:inline distT="0" distB="0" distL="0" distR="0" wp14:anchorId="6B35EA30" wp14:editId="6237BE1C">
            <wp:extent cx="2743200" cy="2377440"/>
            <wp:effectExtent l="0" t="0" r="0" b="3810"/>
            <wp:docPr id="1939553535" name="Picture 1939553535" descr="C:\Users\600753\Pictures\6.0 SUM Filter Messages\DisplayGeographically_GeoExce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600753\Pictures\6.0 SUM Filter Messages\DisplayGeographically_GeoExceptions.png"/>
                    <pic:cNvPicPr>
                      <a:picLocks noChangeAspect="1" noChangeArrowheads="1"/>
                    </pic:cNvPicPr>
                  </pic:nvPicPr>
                  <pic:blipFill rotWithShape="1">
                    <a:blip cstate="screen">
                      <a:extLst>
                        <a:ext uri="{28A0092B-C50C-407E-A947-70E740481C1C}">
                          <a14:useLocalDpi xmlns:a14="http://schemas.microsoft.com/office/drawing/2010/main"/>
                        </a:ext>
                      </a:extLst>
                    </a:blip>
                    <a:srcRect l="37356"/>
                    <a:stretch/>
                  </pic:blipFill>
                  <pic:spPr bwMode="auto">
                    <a:xfrm>
                      <a:off x="0" y="0"/>
                      <a:ext cx="274320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3791C917" w14:textId="03F1E1DC" w:rsidR="005B36E6" w:rsidRPr="000665B0" w:rsidRDefault="005B36E6" w:rsidP="006679E9">
      <w:pPr>
        <w:pStyle w:val="Number0205"/>
        <w:tabs>
          <w:tab w:val="left" w:pos="720"/>
        </w:tabs>
        <w:ind w:left="0" w:firstLine="0"/>
        <w:jc w:val="center"/>
      </w:pPr>
    </w:p>
    <w:p w14:paraId="4DD06E8B" w14:textId="7558193D" w:rsidR="007A3C51" w:rsidRPr="000665B0" w:rsidRDefault="005B36E6" w:rsidP="00C63237">
      <w:pPr>
        <w:pStyle w:val="Number0205"/>
        <w:tabs>
          <w:tab w:val="left" w:pos="720"/>
        </w:tabs>
        <w:ind w:firstLine="0"/>
      </w:pPr>
      <w:r w:rsidRPr="000665B0">
        <w:t>The user is notified w</w:t>
      </w:r>
      <w:r w:rsidR="00B553F2" w:rsidRPr="000665B0">
        <w:t>hen</w:t>
      </w:r>
      <w:r w:rsidR="007A3C51" w:rsidRPr="000665B0">
        <w:t xml:space="preserve"> </w:t>
      </w:r>
      <w:r w:rsidR="007A3C51" w:rsidRPr="000665B0" w:rsidDel="0096362D">
        <w:rPr>
          <w:b/>
        </w:rPr>
        <w:t xml:space="preserve">Display </w:t>
      </w:r>
      <w:r w:rsidR="007A3C51" w:rsidRPr="000665B0" w:rsidDel="0096362D">
        <w:rPr>
          <w:b/>
        </w:rPr>
        <w:sym w:font="Wingdings 3" w:char="F07D"/>
      </w:r>
      <w:r w:rsidR="007A3C51" w:rsidRPr="000665B0" w:rsidDel="0096362D">
        <w:rPr>
          <w:b/>
        </w:rPr>
        <w:t xml:space="preserve"> </w:t>
      </w:r>
      <w:r w:rsidR="007A3C51" w:rsidRPr="000665B0">
        <w:rPr>
          <w:b/>
        </w:rPr>
        <w:t>Geographically</w:t>
      </w:r>
      <w:r w:rsidR="007A3C51" w:rsidRPr="000665B0">
        <w:t xml:space="preserve"> is invoked on a </w:t>
      </w:r>
      <w:r w:rsidR="00B553F2" w:rsidRPr="000665B0">
        <w:t>Filter Message</w:t>
      </w:r>
      <w:r w:rsidR="007A3C51" w:rsidRPr="000665B0">
        <w:t xml:space="preserve"> </w:t>
      </w:r>
      <w:r w:rsidR="00B553F2" w:rsidRPr="000665B0">
        <w:t>where</w:t>
      </w:r>
      <w:r w:rsidR="007A3C51" w:rsidRPr="000665B0">
        <w:t xml:space="preserve"> the </w:t>
      </w:r>
      <w:r w:rsidR="00E203EA" w:rsidRPr="000665B0">
        <w:t>message’s</w:t>
      </w:r>
      <w:r w:rsidR="00E203EA" w:rsidRPr="000665B0">
        <w:rPr>
          <w:b/>
        </w:rPr>
        <w:t xml:space="preserve"> </w:t>
      </w:r>
      <w:r w:rsidR="00E203EA" w:rsidRPr="000665B0">
        <w:rPr>
          <w:b/>
          <w:i/>
        </w:rPr>
        <w:t>Response</w:t>
      </w:r>
      <w:r w:rsidR="00E203EA" w:rsidRPr="000665B0">
        <w:t xml:space="preserve"> sub tab contains a</w:t>
      </w:r>
      <w:r w:rsidR="00E203EA" w:rsidRPr="000665B0">
        <w:rPr>
          <w:b/>
        </w:rPr>
        <w:t xml:space="preserve"> Free Text </w:t>
      </w:r>
      <w:r w:rsidR="00E203EA" w:rsidRPr="000665B0">
        <w:t>description but does not contain a</w:t>
      </w:r>
      <w:r w:rsidR="00E203EA" w:rsidRPr="000665B0">
        <w:rPr>
          <w:b/>
        </w:rPr>
        <w:t xml:space="preserve"> Geographic Exception</w:t>
      </w:r>
      <w:r w:rsidRPr="000665B0">
        <w:t>.</w:t>
      </w:r>
    </w:p>
    <w:p w14:paraId="1534D734" w14:textId="5F196C0E" w:rsidR="007A3C51" w:rsidRPr="000665B0" w:rsidRDefault="0017194B" w:rsidP="006679E9">
      <w:pPr>
        <w:pStyle w:val="Number0205"/>
        <w:tabs>
          <w:tab w:val="left" w:pos="720"/>
        </w:tabs>
        <w:ind w:left="0" w:firstLine="0"/>
        <w:jc w:val="center"/>
      </w:pPr>
      <w:r w:rsidRPr="000665B0">
        <w:rPr>
          <w:noProof/>
        </w:rPr>
        <w:drawing>
          <wp:inline distT="0" distB="0" distL="0" distR="0" wp14:anchorId="0276A4F7" wp14:editId="6D533B23">
            <wp:extent cx="2743200" cy="1024128"/>
            <wp:effectExtent l="0" t="0" r="0" b="5080"/>
            <wp:docPr id="1223035687" name="Picture 1223035687" descr="cid:image001.png@01D4CDB2.E32CE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CDB2.E32CE4F0"/>
                    <pic:cNvPicPr>
                      <a:picLocks noChangeAspect="1" noChangeArrowheads="1"/>
                    </pic:cNvPicPr>
                  </pic:nvPicPr>
                  <pic:blipFill>
                    <a:blip r:link="rId24" cstate="screen">
                      <a:extLst>
                        <a:ext uri="{28A0092B-C50C-407E-A947-70E740481C1C}">
                          <a14:useLocalDpi xmlns:a14="http://schemas.microsoft.com/office/drawing/2010/main"/>
                        </a:ext>
                      </a:extLst>
                    </a:blip>
                    <a:srcRect/>
                    <a:stretch>
                      <a:fillRect/>
                    </a:stretch>
                  </pic:blipFill>
                  <pic:spPr bwMode="auto">
                    <a:xfrm>
                      <a:off x="0" y="0"/>
                      <a:ext cx="2743200" cy="1024128"/>
                    </a:xfrm>
                    <a:prstGeom prst="rect">
                      <a:avLst/>
                    </a:prstGeom>
                    <a:noFill/>
                    <a:ln>
                      <a:noFill/>
                    </a:ln>
                  </pic:spPr>
                </pic:pic>
              </a:graphicData>
            </a:graphic>
          </wp:inline>
        </w:drawing>
      </w:r>
    </w:p>
    <w:p w14:paraId="12E19041" w14:textId="77777777" w:rsidR="006677E6" w:rsidRPr="000665B0" w:rsidRDefault="006677E6" w:rsidP="00306174">
      <w:pPr>
        <w:pStyle w:val="Heading6"/>
      </w:pPr>
      <w:bookmarkStart w:id="6360" w:name="_Send_an_ACA"/>
      <w:bookmarkStart w:id="6361" w:name="_Send__an"/>
      <w:bookmarkEnd w:id="6360"/>
      <w:bookmarkEnd w:id="6361"/>
      <w:r w:rsidRPr="000665B0">
        <w:t>Send an ACA Filter Message</w:t>
      </w:r>
    </w:p>
    <w:p w14:paraId="5194986F" w14:textId="33CE1C71" w:rsidR="00F05581" w:rsidRPr="000665B0" w:rsidRDefault="00F05581" w:rsidP="00F26AD4">
      <w:pPr>
        <w:pStyle w:val="Number0205"/>
        <w:tabs>
          <w:tab w:val="left" w:pos="720"/>
        </w:tabs>
        <w:ind w:left="0" w:firstLine="0"/>
      </w:pPr>
      <w:r w:rsidRPr="000665B0">
        <w:t>The ACA Filter Message is used to coordinate ACA services for a geographic area and time period in support of a Strike Package. It specifies the strike execution start and stop time, and the geographic boundary of all strike planning elements such as FRUs, missions, etc. The NSP will determine whether the specified conditions are supportable by the ACA network or not.</w:t>
      </w:r>
      <w:r w:rsidR="00086292" w:rsidRPr="000665B0">
        <w:t xml:space="preserve"> Filter Messages cannot be sent more than 72 hours before the Strike Execution Time (SET), nor after the Use State of the Strike Execution folder is set to </w:t>
      </w:r>
      <w:r w:rsidR="00086292" w:rsidRPr="000665B0">
        <w:rPr>
          <w:b/>
        </w:rPr>
        <w:t>Complete</w:t>
      </w:r>
      <w:r w:rsidR="00086292" w:rsidRPr="000665B0">
        <w:t>.</w:t>
      </w:r>
    </w:p>
    <w:p w14:paraId="617BEAD4" w14:textId="6B2B1294" w:rsidR="00F8103F" w:rsidRPr="000665B0" w:rsidRDefault="00F8103F" w:rsidP="00F26AD4">
      <w:pPr>
        <w:pStyle w:val="Number0205"/>
        <w:tabs>
          <w:tab w:val="left" w:pos="720"/>
        </w:tabs>
        <w:ind w:left="0" w:firstLine="0"/>
      </w:pPr>
      <w:r w:rsidRPr="000665B0">
        <w:t>ACA Filter messages will automatically be sent</w:t>
      </w:r>
      <w:r w:rsidR="00E7138E" w:rsidRPr="000665B0">
        <w:t xml:space="preserve"> 72 hours before the strike execution time</w:t>
      </w:r>
      <w:r w:rsidRPr="000665B0">
        <w:t xml:space="preserve"> if set in Strike Properties (see </w:t>
      </w:r>
      <w:hyperlink w:anchor="_Execution_Tab" w:history="1">
        <w:r w:rsidR="009326FE" w:rsidRPr="000665B0">
          <w:rPr>
            <w:rStyle w:val="Hyperlink"/>
          </w:rPr>
          <w:t xml:space="preserve">Section </w:t>
        </w:r>
        <w:r w:rsidR="004231CC">
          <w:rPr>
            <w:rStyle w:val="Hyperlink"/>
          </w:rPr>
          <w:t>5.34</w:t>
        </w:r>
        <w:r w:rsidRPr="000665B0">
          <w:rPr>
            <w:rStyle w:val="Hyperlink"/>
          </w:rPr>
          <w:t>.1.1.4.3</w:t>
        </w:r>
      </w:hyperlink>
      <w:r w:rsidRPr="000665B0">
        <w:t xml:space="preserve">). ACA Filter messages may also be sent manually from within a Strike Option, or from the SMD (see </w:t>
      </w:r>
      <w:hyperlink w:anchor="_Send__an_1" w:history="1">
        <w:r w:rsidR="00A54F60" w:rsidRPr="000665B0">
          <w:rPr>
            <w:rStyle w:val="Hyperlink"/>
          </w:rPr>
          <w:t xml:space="preserve">Section </w:t>
        </w:r>
        <w:r w:rsidR="004231CC">
          <w:rPr>
            <w:rStyle w:val="Hyperlink"/>
          </w:rPr>
          <w:t>5.35</w:t>
        </w:r>
        <w:r w:rsidR="00A54F60" w:rsidRPr="000665B0">
          <w:rPr>
            <w:rStyle w:val="Hyperlink"/>
          </w:rPr>
          <w:t>.3.1.7</w:t>
        </w:r>
        <w:r w:rsidR="00D357C0" w:rsidRPr="000665B0">
          <w:rPr>
            <w:rStyle w:val="Hyperlink"/>
          </w:rPr>
          <w:t>.2.1</w:t>
        </w:r>
      </w:hyperlink>
      <w:r w:rsidRPr="000665B0">
        <w:t>).</w:t>
      </w:r>
      <w:r w:rsidR="005031E9" w:rsidRPr="000665B0">
        <w:t xml:space="preserve"> </w:t>
      </w:r>
      <w:r w:rsidR="005778CD" w:rsidRPr="000665B0">
        <w:t>A</w:t>
      </w:r>
      <w:r w:rsidR="00DD7617" w:rsidRPr="000665B0">
        <w:t>n</w:t>
      </w:r>
      <w:r w:rsidR="005778CD" w:rsidRPr="000665B0">
        <w:t xml:space="preserve"> ACA Filter Message may be </w:t>
      </w:r>
      <w:r w:rsidR="00DD7617" w:rsidRPr="000665B0">
        <w:t xml:space="preserve">manually sent </w:t>
      </w:r>
      <w:r w:rsidR="005778CD" w:rsidRPr="000665B0">
        <w:t xml:space="preserve">to </w:t>
      </w:r>
      <w:r w:rsidR="00ED6AD6" w:rsidRPr="000665B0">
        <w:t xml:space="preserve">notify </w:t>
      </w:r>
      <w:r w:rsidR="005778CD" w:rsidRPr="000665B0">
        <w:t xml:space="preserve">the NSP of changes made to an ACA strike when those changes are made outside of the automatic Filter Message timeframe parameters, or when </w:t>
      </w:r>
      <w:r w:rsidR="005778CD" w:rsidRPr="000665B0">
        <w:rPr>
          <w:b/>
        </w:rPr>
        <w:t>Auto Send ACA Filter Messages</w:t>
      </w:r>
      <w:r w:rsidR="005778CD" w:rsidRPr="000665B0">
        <w:t xml:space="preserve"> in Strike Properties is disabled. </w:t>
      </w:r>
      <w:r w:rsidR="00D85B96" w:rsidRPr="000665B0">
        <w:t xml:space="preserve">An ACA Pending flag in the SMD indicates that there are changes related to the ACA reservations that have occurred since the last transmitted ACA Filter Message to the NSP. See </w:t>
      </w:r>
      <w:hyperlink w:anchor="_ACA__Pending" w:history="1">
        <w:r w:rsidR="00A54F60" w:rsidRPr="000665B0">
          <w:rPr>
            <w:rStyle w:val="Hyperlink"/>
          </w:rPr>
          <w:t xml:space="preserve">Section </w:t>
        </w:r>
        <w:r w:rsidR="004231CC">
          <w:rPr>
            <w:rStyle w:val="Hyperlink"/>
          </w:rPr>
          <w:t>5.35</w:t>
        </w:r>
        <w:r w:rsidR="00A54F60" w:rsidRPr="000665B0">
          <w:rPr>
            <w:rStyle w:val="Hyperlink"/>
          </w:rPr>
          <w:t>.3.1.7</w:t>
        </w:r>
        <w:r w:rsidR="00D85B96" w:rsidRPr="000665B0">
          <w:rPr>
            <w:rStyle w:val="Hyperlink"/>
          </w:rPr>
          <w:t>.2.3</w:t>
        </w:r>
      </w:hyperlink>
      <w:r w:rsidR="00D85B96" w:rsidRPr="000665B0">
        <w:t xml:space="preserve"> for more information.</w:t>
      </w:r>
    </w:p>
    <w:p w14:paraId="7B0D8917" w14:textId="5A63066F" w:rsidR="00D93AF6" w:rsidRPr="000665B0" w:rsidRDefault="00E9646D" w:rsidP="00F26AD4">
      <w:pPr>
        <w:pStyle w:val="Number0205"/>
        <w:tabs>
          <w:tab w:val="left" w:pos="720"/>
        </w:tabs>
        <w:ind w:left="0" w:firstLine="0"/>
      </w:pPr>
      <w:r w:rsidRPr="000665B0">
        <w:t>N</w:t>
      </w:r>
      <w:r w:rsidR="00D93AF6" w:rsidRPr="000665B0">
        <w:t xml:space="preserve">odes </w:t>
      </w:r>
      <w:r w:rsidRPr="000665B0">
        <w:t>assigned</w:t>
      </w:r>
      <w:r w:rsidR="00D93AF6" w:rsidRPr="000665B0">
        <w:t xml:space="preserve"> the Strike Monitor role</w:t>
      </w:r>
      <w:r w:rsidRPr="000665B0">
        <w:t xml:space="preserve"> should not manually send ACA Filter Messages, nor should they be configured to automatically send ACA Filter Messages</w:t>
      </w:r>
      <w:r w:rsidR="00D93AF6" w:rsidRPr="000665B0">
        <w:t>.</w:t>
      </w:r>
      <w:r w:rsidRPr="000665B0">
        <w:t xml:space="preserve"> ACA Filter Messages should only be sent by the active</w:t>
      </w:r>
      <w:r w:rsidR="00B54FFB">
        <w:t xml:space="preserve"> TSC </w:t>
      </w:r>
      <w:r w:rsidRPr="000665B0">
        <w:t>or by an</w:t>
      </w:r>
      <w:r w:rsidR="00B54FFB">
        <w:t xml:space="preserve"> ATSC </w:t>
      </w:r>
      <w:r w:rsidRPr="000665B0">
        <w:t xml:space="preserve">that is authorized by the </w:t>
      </w:r>
      <w:r w:rsidR="00392C97">
        <w:t>TSC</w:t>
      </w:r>
      <w:r w:rsidRPr="000665B0">
        <w:t>.</w:t>
      </w:r>
    </w:p>
    <w:p w14:paraId="5CFBA98D" w14:textId="77777777" w:rsidR="00540F26" w:rsidRPr="000665B0" w:rsidRDefault="00540F26" w:rsidP="00540F26">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p>
    <w:p w14:paraId="3DA47EDC" w14:textId="4113EC92" w:rsidR="00540F26" w:rsidRPr="000665B0" w:rsidRDefault="00AD7826" w:rsidP="00540F26">
      <w:pPr>
        <w:pBdr>
          <w:top w:val="single" w:sz="12" w:space="1" w:color="auto"/>
          <w:left w:val="single" w:sz="12" w:space="4" w:color="auto"/>
          <w:bottom w:val="single" w:sz="12" w:space="1" w:color="auto"/>
          <w:right w:val="single" w:sz="12" w:space="4" w:color="auto"/>
        </w:pBdr>
        <w:shd w:val="clear" w:color="auto" w:fill="D9D9D9"/>
        <w:tabs>
          <w:tab w:val="left" w:pos="720"/>
        </w:tabs>
        <w:jc w:val="center"/>
      </w:pPr>
      <w:r w:rsidRPr="000665B0">
        <w:rPr>
          <w:b/>
        </w:rPr>
        <w:t>If the first TOL of a Strike Option or Strike Package is shifted</w:t>
      </w:r>
      <w:r w:rsidR="00540F26" w:rsidRPr="000665B0">
        <w:rPr>
          <w:b/>
        </w:rPr>
        <w:t xml:space="preserve"> past its current COMSEC Crypto period and into </w:t>
      </w:r>
      <w:r w:rsidRPr="000665B0">
        <w:rPr>
          <w:b/>
        </w:rPr>
        <w:t>its</w:t>
      </w:r>
      <w:r w:rsidR="00540F26" w:rsidRPr="000665B0">
        <w:rPr>
          <w:b/>
        </w:rPr>
        <w:t xml:space="preserve"> extended COMSEC Crypto time, an attempt to send an ACA Filter Message may fail or generate an error message. In this case, re</w:t>
      </w:r>
      <w:r w:rsidRPr="000665B0">
        <w:rPr>
          <w:b/>
        </w:rPr>
        <w:t>-</w:t>
      </w:r>
      <w:r w:rsidR="00540F26" w:rsidRPr="000665B0">
        <w:rPr>
          <w:b/>
        </w:rPr>
        <w:t xml:space="preserve">start MDS and </w:t>
      </w:r>
      <w:r w:rsidR="00540F26" w:rsidRPr="000665B0">
        <w:rPr>
          <w:b/>
        </w:rPr>
        <w:br/>
        <w:t>re-send the ACA Filter Message.</w:t>
      </w:r>
    </w:p>
    <w:p w14:paraId="166E1EF9" w14:textId="0BBD39B5" w:rsidR="00540F26" w:rsidRPr="000665B0" w:rsidRDefault="00332E54" w:rsidP="004E7DCC">
      <w:r w:rsidRPr="000665B0">
        <w:t xml:space="preserve">Shifting </w:t>
      </w:r>
      <w:r w:rsidR="00DD5D0B" w:rsidRPr="000665B0">
        <w:t xml:space="preserve">the </w:t>
      </w:r>
      <w:r w:rsidRPr="000665B0">
        <w:t xml:space="preserve">strike time during execution may cause </w:t>
      </w:r>
      <w:r w:rsidR="00B14C1B" w:rsidRPr="000665B0">
        <w:t>anomalies</w:t>
      </w:r>
      <w:r w:rsidRPr="000665B0">
        <w:t xml:space="preserve"> </w:t>
      </w:r>
      <w:r w:rsidR="00E02D17" w:rsidRPr="000665B0">
        <w:t>in</w:t>
      </w:r>
      <w:r w:rsidRPr="000665B0">
        <w:t xml:space="preserve"> the SMD’s display </w:t>
      </w:r>
      <w:r w:rsidR="00E02D17" w:rsidRPr="000665B0">
        <w:t>of</w:t>
      </w:r>
      <w:r w:rsidRPr="000665B0">
        <w:t xml:space="preserve"> ACA Filter Message use state transitions</w:t>
      </w:r>
      <w:r w:rsidR="00E02D17" w:rsidRPr="000665B0">
        <w:t>.</w:t>
      </w:r>
      <w:r w:rsidRPr="000665B0">
        <w:t xml:space="preserve"> Careful consideration should be made when shifting strike times (see </w:t>
      </w:r>
      <w:hyperlink w:anchor="_ACA__Filter_1" w:history="1">
        <w:r w:rsidR="009326FE" w:rsidRPr="000665B0">
          <w:rPr>
            <w:rStyle w:val="Hyperlink"/>
          </w:rPr>
          <w:t xml:space="preserve">Section </w:t>
        </w:r>
        <w:r w:rsidR="004231CC">
          <w:rPr>
            <w:rStyle w:val="Hyperlink"/>
          </w:rPr>
          <w:t>5.34</w:t>
        </w:r>
        <w:r w:rsidR="00413B63" w:rsidRPr="000665B0">
          <w:rPr>
            <w:rStyle w:val="Hyperlink"/>
          </w:rPr>
          <w:t>.7.1.9.2</w:t>
        </w:r>
      </w:hyperlink>
      <w:r w:rsidRPr="000665B0">
        <w:t>).</w:t>
      </w:r>
    </w:p>
    <w:p w14:paraId="742C32C3" w14:textId="58283404" w:rsidR="00F8103F" w:rsidRPr="000665B0" w:rsidRDefault="00F8103F" w:rsidP="00F26AD4">
      <w:pPr>
        <w:pStyle w:val="Number0205"/>
        <w:tabs>
          <w:tab w:val="left" w:pos="720"/>
        </w:tabs>
        <w:ind w:left="0" w:firstLine="0"/>
      </w:pPr>
      <w:r w:rsidRPr="000665B0">
        <w:t xml:space="preserve">To </w:t>
      </w:r>
      <w:r w:rsidR="00086292" w:rsidRPr="000665B0">
        <w:t xml:space="preserve">manually </w:t>
      </w:r>
      <w:r w:rsidRPr="000665B0">
        <w:t>send an ACA Filter Message from with</w:t>
      </w:r>
      <w:r w:rsidR="00D357C0" w:rsidRPr="000665B0">
        <w:t>in</w:t>
      </w:r>
      <w:r w:rsidRPr="000665B0">
        <w:t xml:space="preserve"> a Strike Option:</w:t>
      </w:r>
    </w:p>
    <w:p w14:paraId="364022F9" w14:textId="1703B14E" w:rsidR="00F8103F" w:rsidRPr="000665B0" w:rsidRDefault="00F8103F" w:rsidP="006D5A65">
      <w:pPr>
        <w:pStyle w:val="Heading1"/>
      </w:pPr>
      <w:r w:rsidRPr="000665B0">
        <w:lastRenderedPageBreak/>
        <w:t>Navigate to the Strike Options for Strike Folder: xxxxx-xxxxx window.</w:t>
      </w:r>
    </w:p>
    <w:p w14:paraId="558A814C" w14:textId="029C648E" w:rsidR="00F8103F" w:rsidRPr="000665B0" w:rsidRDefault="00254DEF" w:rsidP="00F8103F">
      <w:pPr>
        <w:tabs>
          <w:tab w:val="left" w:pos="720"/>
        </w:tabs>
        <w:spacing w:after="240"/>
        <w:jc w:val="center"/>
      </w:pPr>
      <w:r w:rsidRPr="000665B0">
        <w:rPr>
          <w:noProof/>
        </w:rPr>
        <w:drawing>
          <wp:inline distT="0" distB="0" distL="0" distR="0" wp14:anchorId="09716E74" wp14:editId="000D9F8A">
            <wp:extent cx="4983480" cy="886968"/>
            <wp:effectExtent l="0" t="0" r="0" b="0"/>
            <wp:docPr id="1206" name="Picture 1206" descr="C:\Users\600753\Pictures\6.0 SUM Filter Messages\StrikeFolder_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600753\Pictures\6.0 SUM Filter Messages\StrikeFolder_Options.PNG"/>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886968"/>
                    </a:xfrm>
                    <a:prstGeom prst="rect">
                      <a:avLst/>
                    </a:prstGeom>
                    <a:noFill/>
                    <a:ln>
                      <a:noFill/>
                    </a:ln>
                  </pic:spPr>
                </pic:pic>
              </a:graphicData>
            </a:graphic>
          </wp:inline>
        </w:drawing>
      </w:r>
    </w:p>
    <w:p w14:paraId="77D56090" w14:textId="402BFCFD" w:rsidR="00F8103F" w:rsidRPr="000665B0" w:rsidRDefault="00F8103F" w:rsidP="006D5A65">
      <w:pPr>
        <w:pStyle w:val="Heading1"/>
      </w:pPr>
      <w:r w:rsidRPr="000665B0">
        <w:t xml:space="preserve">Select the desired Strike Option, invoke the context menu, and select Send </w:t>
      </w:r>
      <w:r w:rsidRPr="000665B0">
        <w:sym w:font="Wingdings 3" w:char="F07D"/>
      </w:r>
      <w:r w:rsidRPr="000665B0">
        <w:t xml:space="preserve"> ACA Filter Message </w:t>
      </w:r>
      <w:r w:rsidRPr="000665B0">
        <w:sym w:font="Wingdings 3" w:char="F07D"/>
      </w:r>
    </w:p>
    <w:p w14:paraId="2D71B57D" w14:textId="29808286" w:rsidR="0017647F" w:rsidRPr="000665B0" w:rsidRDefault="00F8103F" w:rsidP="006D5A65">
      <w:pPr>
        <w:pStyle w:val="Heading1"/>
        <w:rPr>
          <w:bCs/>
        </w:rPr>
      </w:pPr>
      <w:r w:rsidRPr="000665B0">
        <w:t>72 Hour – Filter message for a strike option or package that is within 72 hours and more than 5 hours remaining before SET.</w:t>
      </w:r>
      <w:r w:rsidR="00180C81" w:rsidRPr="000665B0">
        <w:t xml:space="preserve"> This provides situational awareness to the </w:t>
      </w:r>
      <w:r w:rsidR="004C7D53" w:rsidRPr="000665B0">
        <w:t>NSP staff</w:t>
      </w:r>
      <w:r w:rsidR="00180C81" w:rsidRPr="000665B0">
        <w:t>.</w:t>
      </w:r>
    </w:p>
    <w:p w14:paraId="14AF5451" w14:textId="473239EB" w:rsidR="00F8103F" w:rsidRPr="000665B0" w:rsidRDefault="00F8103F" w:rsidP="006D5A65">
      <w:pPr>
        <w:pStyle w:val="Heading1"/>
        <w:rPr>
          <w:bCs/>
        </w:rPr>
      </w:pPr>
      <w:r w:rsidRPr="000665B0">
        <w:t>5 Hour – Filter message for a strike option or package that is within 5 hours of SET.</w:t>
      </w:r>
      <w:r w:rsidR="00180C81" w:rsidRPr="000665B0">
        <w:t xml:space="preserve"> This provides situational awareness to the </w:t>
      </w:r>
      <w:r w:rsidR="004C7D53" w:rsidRPr="000665B0">
        <w:t>NSP staff</w:t>
      </w:r>
      <w:r w:rsidR="00180C81" w:rsidRPr="000665B0">
        <w:t>.</w:t>
      </w:r>
    </w:p>
    <w:p w14:paraId="25425AC1" w14:textId="46F9B7DC" w:rsidR="00F8103F" w:rsidRPr="000665B0" w:rsidRDefault="00F8103F" w:rsidP="006D5A65">
      <w:pPr>
        <w:pStyle w:val="Heading1"/>
        <w:rPr>
          <w:bCs/>
        </w:rPr>
      </w:pPr>
      <w:r w:rsidRPr="000665B0">
        <w:t xml:space="preserve">Execute </w:t>
      </w:r>
      <w:r w:rsidRPr="000665B0">
        <w:rPr>
          <w:bCs/>
        </w:rPr>
        <w:t xml:space="preserve">– </w:t>
      </w:r>
      <w:r w:rsidRPr="000665B0">
        <w:t>Informs the NSP to execute the ACA Filter Message.</w:t>
      </w:r>
      <w:r w:rsidR="00180C81" w:rsidRPr="000665B0">
        <w:t xml:space="preserve"> This is to notify the ACA operator and mission support capability that the strike package has reached its execution window and missile launch may be imminent.</w:t>
      </w:r>
    </w:p>
    <w:p w14:paraId="7DA061D8" w14:textId="77777777" w:rsidR="00F8103F" w:rsidRPr="000665B0" w:rsidRDefault="00F8103F" w:rsidP="006D5A65">
      <w:pPr>
        <w:pStyle w:val="Heading1"/>
        <w:rPr>
          <w:bCs/>
        </w:rPr>
      </w:pPr>
      <w:r w:rsidRPr="000665B0">
        <w:t xml:space="preserve">Cancel </w:t>
      </w:r>
      <w:r w:rsidRPr="000665B0">
        <w:rPr>
          <w:bCs/>
        </w:rPr>
        <w:t xml:space="preserve">– </w:t>
      </w:r>
      <w:r w:rsidRPr="000665B0">
        <w:t>Cancels the currently active ACA Filter Message.</w:t>
      </w:r>
    </w:p>
    <w:p w14:paraId="5EA44B24" w14:textId="0CD6A378" w:rsidR="00F8103F" w:rsidRPr="000665B0" w:rsidRDefault="00F8103F" w:rsidP="006D5A65">
      <w:pPr>
        <w:pStyle w:val="Heading1"/>
      </w:pPr>
      <w:r w:rsidRPr="000665B0">
        <w:t xml:space="preserve">Complete </w:t>
      </w:r>
      <w:r w:rsidRPr="000665B0">
        <w:rPr>
          <w:bCs/>
        </w:rPr>
        <w:t>–Indicates t</w:t>
      </w:r>
      <w:r w:rsidRPr="000665B0">
        <w:t>hat the strike is complete such that the resources allocated in the ACA Filter Message can be released.</w:t>
      </w:r>
    </w:p>
    <w:p w14:paraId="4140EA95" w14:textId="6D649161" w:rsidR="004C7D53" w:rsidRPr="000665B0" w:rsidRDefault="004C7D53" w:rsidP="00C63237">
      <w:pPr>
        <w:pStyle w:val="Number0205"/>
        <w:tabs>
          <w:tab w:val="left" w:pos="720"/>
        </w:tabs>
        <w:ind w:left="720" w:firstLine="0"/>
      </w:pPr>
      <w:r w:rsidRPr="000665B0">
        <w:t>The type of messages available depend on the strike’s state and timing.</w:t>
      </w:r>
    </w:p>
    <w:p w14:paraId="445A80ED" w14:textId="77777777" w:rsidR="005B5189" w:rsidRPr="000665B0" w:rsidRDefault="005B5189" w:rsidP="006D5A65">
      <w:pPr>
        <w:pStyle w:val="Heading1"/>
      </w:pPr>
      <w:r w:rsidRPr="000665B0">
        <w:t>The ACA Filter Message for Strike Option XXXXX-XXXXX-XXXXX is displayed.</w:t>
      </w:r>
    </w:p>
    <w:p w14:paraId="5F10D6F7" w14:textId="77777777" w:rsidR="005B5189" w:rsidRPr="000665B0" w:rsidRDefault="005B5189" w:rsidP="006D5A65">
      <w:pPr>
        <w:pStyle w:val="Heading1"/>
      </w:pPr>
      <w:r w:rsidRPr="000665B0">
        <w:t xml:space="preserve">From the File menu select Send or click the Send </w:t>
      </w:r>
      <w:r w:rsidRPr="000665B0">
        <w:rPr>
          <w:noProof/>
        </w:rPr>
        <w:drawing>
          <wp:inline distT="0" distB="0" distL="0" distR="0" wp14:anchorId="2413BDE4" wp14:editId="06007C8E">
            <wp:extent cx="152400" cy="152400"/>
            <wp:effectExtent l="0" t="0" r="0" b="0"/>
            <wp:docPr id="1033" name="Picture 1033"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p>
    <w:p w14:paraId="68BA70BF" w14:textId="2CD9CFA2" w:rsidR="005031E9" w:rsidRPr="000665B0" w:rsidRDefault="005031E9" w:rsidP="00F26AD4">
      <w:pPr>
        <w:pStyle w:val="Number0205"/>
        <w:tabs>
          <w:tab w:val="left" w:pos="720"/>
        </w:tabs>
        <w:ind w:left="360" w:firstLine="0"/>
      </w:pPr>
      <w:r w:rsidRPr="000665B0">
        <w:t>or</w:t>
      </w:r>
    </w:p>
    <w:p w14:paraId="53843D3B" w14:textId="5AB82020" w:rsidR="005031E9" w:rsidRPr="000665B0" w:rsidRDefault="005031E9" w:rsidP="006D5A65">
      <w:pPr>
        <w:pStyle w:val="Heading1"/>
      </w:pPr>
      <w:r w:rsidRPr="000665B0">
        <w:t>Display the desired Strike Option textually.</w:t>
      </w:r>
    </w:p>
    <w:p w14:paraId="4EF86753" w14:textId="4573858B" w:rsidR="005031E9" w:rsidRPr="000665B0" w:rsidRDefault="005031E9" w:rsidP="006D5A65">
      <w:pPr>
        <w:pStyle w:val="Heading1"/>
      </w:pPr>
      <w:r w:rsidRPr="000665B0">
        <w:t xml:space="preserve">From the toolbar, click the Send ACA Filter Message </w:t>
      </w:r>
      <w:r w:rsidRPr="000665B0">
        <w:rPr>
          <w:noProof/>
          <w:position w:val="-6"/>
        </w:rPr>
        <w:drawing>
          <wp:inline distT="0" distB="0" distL="0" distR="0" wp14:anchorId="4E0F6ED4" wp14:editId="5BB708DC">
            <wp:extent cx="210312" cy="210312"/>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0312" cy="210312"/>
                    </a:xfrm>
                    <a:prstGeom prst="rect">
                      <a:avLst/>
                    </a:prstGeom>
                  </pic:spPr>
                </pic:pic>
              </a:graphicData>
            </a:graphic>
          </wp:inline>
        </w:drawing>
      </w:r>
      <w:r w:rsidRPr="000665B0">
        <w:t xml:space="preserve"> icon.</w:t>
      </w:r>
    </w:p>
    <w:p w14:paraId="7BD70913" w14:textId="7B114B2E" w:rsidR="005031E9" w:rsidRPr="000665B0" w:rsidRDefault="005031E9" w:rsidP="006D5A65">
      <w:pPr>
        <w:pStyle w:val="Heading1"/>
      </w:pPr>
      <w:r w:rsidRPr="000665B0">
        <w:t>The ACA Filter Message for Strike Option XXXXX-XXXXX-XXXXX is displayed.</w:t>
      </w:r>
    </w:p>
    <w:p w14:paraId="0384071B" w14:textId="18AFC830" w:rsidR="005031E9" w:rsidRPr="000665B0" w:rsidRDefault="005031E9" w:rsidP="006D5A65">
      <w:pPr>
        <w:pStyle w:val="Heading1"/>
      </w:pPr>
      <w:r w:rsidRPr="000665B0">
        <w:t xml:space="preserve">From the File menu select Send or click the Send </w:t>
      </w:r>
      <w:r w:rsidRPr="000665B0">
        <w:rPr>
          <w:noProof/>
        </w:rPr>
        <w:drawing>
          <wp:inline distT="0" distB="0" distL="0" distR="0" wp14:anchorId="318B628D" wp14:editId="17DBBF62">
            <wp:extent cx="152400" cy="152400"/>
            <wp:effectExtent l="0" t="0" r="0" b="0"/>
            <wp:docPr id="1032" name="Picture 1032"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p>
    <w:p w14:paraId="6D455A8D" w14:textId="2A9FA1BF" w:rsidR="005031E9" w:rsidRPr="000665B0" w:rsidRDefault="005031E9" w:rsidP="00F26AD4">
      <w:pPr>
        <w:pStyle w:val="number02050"/>
        <w:tabs>
          <w:tab w:val="left" w:pos="720"/>
        </w:tabs>
        <w:ind w:left="360" w:firstLine="0"/>
      </w:pPr>
      <w:r w:rsidRPr="000665B0">
        <w:t>or</w:t>
      </w:r>
    </w:p>
    <w:p w14:paraId="794846CD" w14:textId="77777777" w:rsidR="005B5189" w:rsidRPr="000665B0" w:rsidRDefault="005B5189" w:rsidP="006D5A65">
      <w:pPr>
        <w:pStyle w:val="Heading1"/>
      </w:pPr>
      <w:r w:rsidRPr="000665B0">
        <w:lastRenderedPageBreak/>
        <w:t>Display the desired Strike Option textually.</w:t>
      </w:r>
    </w:p>
    <w:p w14:paraId="7D966D10" w14:textId="43BAC5FC" w:rsidR="00086292" w:rsidRPr="000665B0" w:rsidRDefault="00086292" w:rsidP="006D5A65">
      <w:pPr>
        <w:pStyle w:val="Heading1"/>
      </w:pPr>
      <w:r w:rsidRPr="000665B0">
        <w:t xml:space="preserve">From the File menu select Send </w:t>
      </w:r>
      <w:r w:rsidRPr="000665B0">
        <w:sym w:font="Wingdings 3" w:char="F07D"/>
      </w:r>
      <w:r w:rsidRPr="000665B0">
        <w:t xml:space="preserve"> ACA Filter Message </w:t>
      </w:r>
      <w:r w:rsidRPr="000665B0">
        <w:sym w:font="Wingdings 3" w:char="F07D"/>
      </w:r>
    </w:p>
    <w:p w14:paraId="0EE2E94A" w14:textId="6CE4BB31" w:rsidR="00086292" w:rsidRPr="000665B0" w:rsidRDefault="00086292" w:rsidP="006D5A65">
      <w:pPr>
        <w:pStyle w:val="Heading1"/>
        <w:rPr>
          <w:bCs/>
        </w:rPr>
      </w:pPr>
      <w:r w:rsidRPr="000665B0">
        <w:t>72 Hour – Filter message for a strike option or package that is within 72 hours and more than 5 hours remaining before SET.</w:t>
      </w:r>
      <w:r w:rsidR="00180C81" w:rsidRPr="000665B0">
        <w:t xml:space="preserve"> This provides situational awareness to the </w:t>
      </w:r>
      <w:r w:rsidR="004C7D53" w:rsidRPr="000665B0">
        <w:t>NSP staff</w:t>
      </w:r>
      <w:r w:rsidR="00180C81" w:rsidRPr="000665B0">
        <w:t>.</w:t>
      </w:r>
    </w:p>
    <w:p w14:paraId="321C73B5" w14:textId="1DEE4A4D" w:rsidR="00086292" w:rsidRPr="000665B0" w:rsidRDefault="00086292" w:rsidP="006D5A65">
      <w:pPr>
        <w:pStyle w:val="Heading1"/>
        <w:rPr>
          <w:bCs/>
        </w:rPr>
      </w:pPr>
      <w:r w:rsidRPr="000665B0">
        <w:t>5 Hour – Filter message for a strike option or package that is within 5 hours of SET.</w:t>
      </w:r>
      <w:r w:rsidR="00180C81" w:rsidRPr="000665B0">
        <w:t xml:space="preserve"> This provides situational awareness to the </w:t>
      </w:r>
      <w:r w:rsidR="004C7D53" w:rsidRPr="000665B0">
        <w:t>NSP staff</w:t>
      </w:r>
      <w:r w:rsidR="00180C81" w:rsidRPr="000665B0">
        <w:t>.</w:t>
      </w:r>
    </w:p>
    <w:p w14:paraId="088FA699" w14:textId="29CC2449" w:rsidR="00086292" w:rsidRPr="000665B0" w:rsidRDefault="00086292" w:rsidP="006D5A65">
      <w:pPr>
        <w:pStyle w:val="Heading1"/>
        <w:rPr>
          <w:bCs/>
        </w:rPr>
      </w:pPr>
      <w:r w:rsidRPr="000665B0">
        <w:t xml:space="preserve">Execute </w:t>
      </w:r>
      <w:r w:rsidRPr="000665B0">
        <w:rPr>
          <w:bCs/>
        </w:rPr>
        <w:t xml:space="preserve">– </w:t>
      </w:r>
      <w:r w:rsidRPr="000665B0">
        <w:t>Informs the NSP to execute the ACA Filter Message.</w:t>
      </w:r>
      <w:r w:rsidR="00180C81" w:rsidRPr="000665B0">
        <w:t xml:space="preserve"> This is to notify the ACA operator and mission support capability that the strike package has reached its execution window and missile launch may be imminent.</w:t>
      </w:r>
    </w:p>
    <w:p w14:paraId="09F6E5C5" w14:textId="77777777" w:rsidR="00086292" w:rsidRPr="000665B0" w:rsidRDefault="00086292" w:rsidP="006D5A65">
      <w:pPr>
        <w:pStyle w:val="Heading1"/>
        <w:rPr>
          <w:bCs/>
        </w:rPr>
      </w:pPr>
      <w:r w:rsidRPr="000665B0">
        <w:t xml:space="preserve">Cancel </w:t>
      </w:r>
      <w:r w:rsidRPr="000665B0">
        <w:rPr>
          <w:bCs/>
        </w:rPr>
        <w:t xml:space="preserve">– </w:t>
      </w:r>
      <w:r w:rsidRPr="000665B0">
        <w:t>Cancels the currently active ACA Filter Message.</w:t>
      </w:r>
    </w:p>
    <w:p w14:paraId="5FD97428" w14:textId="77777777" w:rsidR="00086292" w:rsidRPr="000665B0" w:rsidRDefault="00086292" w:rsidP="006D5A65">
      <w:pPr>
        <w:pStyle w:val="Heading1"/>
      </w:pPr>
      <w:r w:rsidRPr="000665B0">
        <w:t xml:space="preserve">Complete </w:t>
      </w:r>
      <w:r w:rsidRPr="000665B0">
        <w:rPr>
          <w:bCs/>
        </w:rPr>
        <w:t>–Indicates t</w:t>
      </w:r>
      <w:r w:rsidRPr="000665B0">
        <w:t>hat the strike is complete such that the resources allocated in the ACA Filter Message can be released.</w:t>
      </w:r>
    </w:p>
    <w:p w14:paraId="3FCE132F" w14:textId="5FC2D341" w:rsidR="004C7D53" w:rsidRPr="000665B0" w:rsidRDefault="004C7D53" w:rsidP="00C63237">
      <w:pPr>
        <w:pStyle w:val="Number0205"/>
        <w:tabs>
          <w:tab w:val="left" w:pos="720"/>
        </w:tabs>
        <w:ind w:left="720" w:firstLine="0"/>
      </w:pPr>
      <w:r w:rsidRPr="000665B0">
        <w:t>The type of messages available depend on the strike’s state and timing.</w:t>
      </w:r>
    </w:p>
    <w:p w14:paraId="344A0836" w14:textId="77777777" w:rsidR="00086292" w:rsidRPr="000665B0" w:rsidRDefault="00086292" w:rsidP="006D5A65">
      <w:pPr>
        <w:pStyle w:val="Heading1"/>
      </w:pPr>
      <w:r w:rsidRPr="000665B0">
        <w:t>The ACA Filter Message for Strike Option XXXXX-XXXXX-XXXXX is displayed.</w:t>
      </w:r>
    </w:p>
    <w:p w14:paraId="21CFC0A2" w14:textId="6B48F3EC" w:rsidR="00AC1B77" w:rsidRDefault="00086292" w:rsidP="006D5A65">
      <w:pPr>
        <w:pStyle w:val="Heading1"/>
      </w:pPr>
      <w:r w:rsidRPr="000665B0">
        <w:t xml:space="preserve">From the File menu select Send or click the Send </w:t>
      </w:r>
      <w:r w:rsidRPr="000665B0">
        <w:rPr>
          <w:noProof/>
        </w:rPr>
        <w:drawing>
          <wp:inline distT="0" distB="0" distL="0" distR="0" wp14:anchorId="38943130" wp14:editId="6449D5CF">
            <wp:extent cx="152400" cy="152400"/>
            <wp:effectExtent l="0" t="0" r="0" b="0"/>
            <wp:docPr id="1041" name="Picture 1041"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p>
    <w:p w14:paraId="1CFBF0EA" w14:textId="749E5BB6" w:rsidR="00AC1B77" w:rsidRPr="00261ED1" w:rsidRDefault="00AC1B77" w:rsidP="00BB4EBE">
      <w:pPr>
        <w:pBdr>
          <w:top w:val="single" w:sz="12" w:space="1" w:color="auto"/>
          <w:left w:val="single" w:sz="12" w:space="4" w:color="auto"/>
          <w:bottom w:val="single" w:sz="12" w:space="1" w:color="auto"/>
          <w:right w:val="single" w:sz="12" w:space="4" w:color="auto"/>
        </w:pBdr>
        <w:shd w:val="clear" w:color="auto" w:fill="D9D9D9"/>
        <w:tabs>
          <w:tab w:val="left" w:pos="720"/>
        </w:tabs>
        <w:jc w:val="center"/>
        <w:rPr>
          <w:b/>
        </w:rPr>
      </w:pPr>
      <w:r w:rsidRPr="00261ED1">
        <w:rPr>
          <w:b/>
        </w:rPr>
        <w:t>Note:</w:t>
      </w:r>
      <w:r w:rsidRPr="00261ED1">
        <w:rPr>
          <w:b/>
        </w:rPr>
        <w:br/>
      </w:r>
      <w:r w:rsidRPr="00BB4EBE">
        <w:rPr>
          <w:b/>
        </w:rPr>
        <w:t xml:space="preserve">When viewing the Strike Option textually or from the SMD Options Pane, the </w:t>
      </w:r>
      <w:r w:rsidRPr="00261ED1">
        <w:rPr>
          <w:b/>
        </w:rPr>
        <w:t>Send ACA Filter Message</w:t>
      </w:r>
      <w:r w:rsidRPr="00BB4EBE">
        <w:rPr>
          <w:b/>
        </w:rPr>
        <w:t xml:space="preserve"> </w:t>
      </w:r>
      <w:r w:rsidRPr="00BB4EBE">
        <w:rPr>
          <w:b/>
          <w:noProof/>
          <w:position w:val="-6"/>
        </w:rPr>
        <w:drawing>
          <wp:inline distT="0" distB="0" distL="0" distR="0" wp14:anchorId="3FE876FF" wp14:editId="46924893">
            <wp:extent cx="213360" cy="213360"/>
            <wp:effectExtent l="0" t="0" r="0" b="0"/>
            <wp:docPr id="1326579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99776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sidRPr="00BB4EBE">
        <w:rPr>
          <w:b/>
        </w:rPr>
        <w:t xml:space="preserve"> icon will be disabled when the Use State is set to </w:t>
      </w:r>
      <w:r w:rsidR="00A65CF6" w:rsidRPr="00261ED1">
        <w:rPr>
          <w:b/>
        </w:rPr>
        <w:t>Cancel</w:t>
      </w:r>
      <w:r w:rsidRPr="00BB4EBE">
        <w:rPr>
          <w:b/>
        </w:rPr>
        <w:t xml:space="preserve">, the Execution State is set to </w:t>
      </w:r>
      <w:r w:rsidR="00A65CF6" w:rsidRPr="00261ED1">
        <w:rPr>
          <w:b/>
        </w:rPr>
        <w:t>Complete</w:t>
      </w:r>
      <w:r w:rsidRPr="00BB4EBE">
        <w:rPr>
          <w:b/>
        </w:rPr>
        <w:t>, or the filter number of the last received ACA Filter Message has reached 999.</w:t>
      </w:r>
    </w:p>
    <w:p w14:paraId="2B74AAD5" w14:textId="77777777" w:rsidR="006E2BFD" w:rsidRPr="000665B0" w:rsidRDefault="006E2BFD" w:rsidP="00612E57">
      <w:pPr>
        <w:pStyle w:val="Heading6"/>
        <w:keepNext w:val="0"/>
      </w:pPr>
      <w:bookmarkStart w:id="6362" w:name="_ACA__Filter_1"/>
      <w:bookmarkEnd w:id="6362"/>
      <w:r w:rsidRPr="000665B0">
        <w:t>ACA Filter Message Use State Transition When Shifting Strike Time</w:t>
      </w:r>
    </w:p>
    <w:p w14:paraId="35CA716A" w14:textId="77777777" w:rsidR="006E2BFD" w:rsidRPr="000665B0" w:rsidRDefault="006E2BFD" w:rsidP="006E2BFD">
      <w:r w:rsidRPr="000665B0">
        <w:t>Shifting the strike time during execution or rehearsal may cause anomalies in the SMD’s display of ACA Filter Message use state transitions.</w:t>
      </w:r>
    </w:p>
    <w:p w14:paraId="326DC6A7" w14:textId="640FA605" w:rsidR="006E2BFD" w:rsidRPr="000665B0" w:rsidRDefault="006E2BFD" w:rsidP="006E2BFD">
      <w:r w:rsidRPr="000665B0">
        <w:t xml:space="preserve">After an </w:t>
      </w:r>
      <w:r w:rsidRPr="000665B0">
        <w:rPr>
          <w:b/>
        </w:rPr>
        <w:t>Execute</w:t>
      </w:r>
      <w:r w:rsidRPr="000665B0">
        <w:t xml:space="preserve"> ACA Filter Message has been sent for the first missile launch during strike execution or rehearsal, shifting the strike to the right (later) </w:t>
      </w:r>
      <w:r w:rsidRPr="000665B0">
        <w:rPr>
          <w:i/>
        </w:rPr>
        <w:t>before</w:t>
      </w:r>
      <w:r w:rsidRPr="000665B0">
        <w:t xml:space="preserve"> processing the resulting LER from the </w:t>
      </w:r>
      <w:r w:rsidR="00892C9C" w:rsidRPr="000665B0">
        <w:t>previously launched</w:t>
      </w:r>
      <w:r w:rsidRPr="000665B0">
        <w:t xml:space="preserve"> missile, causes the next ACA Filter Message to transition from </w:t>
      </w:r>
      <w:r w:rsidRPr="000665B0">
        <w:rPr>
          <w:b/>
        </w:rPr>
        <w:t>Execute</w:t>
      </w:r>
      <w:r w:rsidRPr="000665B0">
        <w:t xml:space="preserve"> to </w:t>
      </w:r>
      <w:r w:rsidRPr="000665B0">
        <w:rPr>
          <w:b/>
        </w:rPr>
        <w:t>5 Hour</w:t>
      </w:r>
      <w:r w:rsidRPr="000665B0">
        <w:t xml:space="preserve"> (or </w:t>
      </w:r>
      <w:r w:rsidRPr="000665B0">
        <w:rPr>
          <w:b/>
        </w:rPr>
        <w:t>72 Hour</w:t>
      </w:r>
      <w:r w:rsidRPr="000665B0">
        <w:t xml:space="preserve">), and then back to </w:t>
      </w:r>
      <w:r w:rsidRPr="000665B0">
        <w:rPr>
          <w:b/>
        </w:rPr>
        <w:t>Execute</w:t>
      </w:r>
      <w:r w:rsidRPr="000665B0">
        <w:t>. This may occur when the time shift is made when LERs are not set to automatically process, or when the time shift is made after an LER is received but not yet processed.</w:t>
      </w:r>
    </w:p>
    <w:bookmarkEnd w:id="6358"/>
    <w:p w14:paraId="7F95C5BA" w14:textId="0362BCB0" w:rsidR="0078503C" w:rsidRPr="000665B0" w:rsidRDefault="0078503C" w:rsidP="00E7111D">
      <w:pPr>
        <w:pStyle w:val="Heading5"/>
        <w:tabs>
          <w:tab w:val="left" w:pos="720"/>
        </w:tabs>
      </w:pPr>
      <w:r w:rsidRPr="000665B0">
        <w:t>Analysis Tab</w:t>
      </w:r>
      <w:bookmarkEnd w:id="6353"/>
      <w:bookmarkEnd w:id="6354"/>
      <w:bookmarkEnd w:id="6359"/>
    </w:p>
    <w:p w14:paraId="2FCF74AC" w14:textId="54F6008D" w:rsidR="0078503C" w:rsidRPr="000665B0" w:rsidRDefault="0078503C" w:rsidP="00474A1F">
      <w:pPr>
        <w:pStyle w:val="BodyTextIndent2"/>
        <w:tabs>
          <w:tab w:val="left" w:pos="720"/>
        </w:tabs>
        <w:spacing w:line="240" w:lineRule="atLeast"/>
        <w:ind w:left="0"/>
      </w:pPr>
      <w:bookmarkStart w:id="6363" w:name="_Toc71955756"/>
      <w:r w:rsidRPr="000665B0">
        <w:t xml:space="preserve">The </w:t>
      </w:r>
      <w:r w:rsidRPr="000665B0">
        <w:rPr>
          <w:b/>
          <w:bCs/>
          <w:i/>
          <w:iCs/>
        </w:rPr>
        <w:t>Analysis</w:t>
      </w:r>
      <w:r w:rsidRPr="000665B0">
        <w:t xml:space="preserve"> tab gives a summary of the Deconflictions and Analysis done on the current option. It shows the </w:t>
      </w:r>
      <w:r w:rsidRPr="000665B0">
        <w:rPr>
          <w:b/>
        </w:rPr>
        <w:t>Last Run Time</w:t>
      </w:r>
      <w:r w:rsidRPr="000665B0">
        <w:t xml:space="preserve">, the </w:t>
      </w:r>
      <w:r w:rsidRPr="000665B0">
        <w:rPr>
          <w:b/>
        </w:rPr>
        <w:t>Tolerances Used</w:t>
      </w:r>
      <w:r w:rsidRPr="000665B0">
        <w:t xml:space="preserve">, as well as the </w:t>
      </w:r>
      <w:r w:rsidRPr="000665B0">
        <w:rPr>
          <w:b/>
        </w:rPr>
        <w:t>Number of Errors</w:t>
      </w:r>
      <w:r w:rsidRPr="000665B0">
        <w:t xml:space="preserve"> found. Actual results and/or Running of Analysis are done in the </w:t>
      </w:r>
      <w:r w:rsidRPr="000665B0">
        <w:rPr>
          <w:b/>
          <w:bCs/>
        </w:rPr>
        <w:t>Analysis</w:t>
      </w:r>
      <w:r w:rsidRPr="000665B0">
        <w:t xml:space="preserve"> Tool. See </w:t>
      </w:r>
      <w:hyperlink w:anchor="_5.37.6.1.14__Analysis_Tools" w:history="1">
        <w:r w:rsidR="009326FE" w:rsidRPr="000665B0">
          <w:rPr>
            <w:rStyle w:val="Hyperlink"/>
          </w:rPr>
          <w:t xml:space="preserve">Section </w:t>
        </w:r>
        <w:r w:rsidR="004231CC">
          <w:rPr>
            <w:rStyle w:val="Hyperlink"/>
          </w:rPr>
          <w:t>5.34</w:t>
        </w:r>
        <w:r w:rsidR="009408BA" w:rsidRPr="000665B0">
          <w:rPr>
            <w:rStyle w:val="Hyperlink"/>
          </w:rPr>
          <w:t>.</w:t>
        </w:r>
        <w:r w:rsidR="0089269C" w:rsidRPr="000665B0">
          <w:rPr>
            <w:rStyle w:val="Hyperlink"/>
          </w:rPr>
          <w:t>7</w:t>
        </w:r>
        <w:r w:rsidR="009408BA" w:rsidRPr="000665B0">
          <w:rPr>
            <w:rStyle w:val="Hyperlink"/>
          </w:rPr>
          <w:t>.1.15</w:t>
        </w:r>
      </w:hyperlink>
      <w:r w:rsidRPr="000665B0">
        <w:t>.</w:t>
      </w:r>
    </w:p>
    <w:p w14:paraId="44BBA6F4" w14:textId="2F048E5F" w:rsidR="008F75D6" w:rsidRPr="000665B0" w:rsidRDefault="008F75D6" w:rsidP="00365FF9">
      <w:pPr>
        <w:pStyle w:val="BodyTextIndent2"/>
        <w:tabs>
          <w:tab w:val="left" w:pos="720"/>
        </w:tabs>
        <w:spacing w:line="240" w:lineRule="atLeast"/>
        <w:ind w:left="0"/>
      </w:pPr>
      <w:bookmarkStart w:id="6364" w:name="_Toc96170293"/>
      <w:bookmarkStart w:id="6365" w:name="_Toc96234338"/>
      <w:bookmarkStart w:id="6366" w:name="_Toc112733758"/>
      <w:bookmarkStart w:id="6367" w:name="_Toc164499447"/>
      <w:bookmarkStart w:id="6368" w:name="_Toc289328869"/>
      <w:r w:rsidRPr="000665B0">
        <w:lastRenderedPageBreak/>
        <w:t xml:space="preserve">In MDS </w:t>
      </w:r>
      <w:r w:rsidR="000840FF" w:rsidRPr="000665B0">
        <w:t>5.1</w:t>
      </w:r>
      <w:r w:rsidRPr="000665B0">
        <w:t xml:space="preserve"> and later, prohibited area conflicts, with or without C2X, are summed up on the </w:t>
      </w:r>
      <w:r w:rsidRPr="000665B0">
        <w:rPr>
          <w:b/>
        </w:rPr>
        <w:t>Prohibited Area</w:t>
      </w:r>
      <w:r w:rsidRPr="000665B0">
        <w:t xml:space="preserve"> line in this tab. </w:t>
      </w:r>
    </w:p>
    <w:p w14:paraId="2EAAF7E4" w14:textId="77777777" w:rsidR="0097711E" w:rsidRPr="000665B0" w:rsidRDefault="0097711E" w:rsidP="0097711E">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5CD691F9" w14:textId="5633D672" w:rsidR="0097711E" w:rsidRPr="000665B0" w:rsidRDefault="0097711E" w:rsidP="0097711E">
      <w:pPr>
        <w:pBdr>
          <w:top w:val="single" w:sz="12" w:space="1" w:color="auto"/>
          <w:left w:val="single" w:sz="12" w:space="4" w:color="auto"/>
          <w:bottom w:val="single" w:sz="12" w:space="1" w:color="auto"/>
          <w:right w:val="single" w:sz="12" w:space="4" w:color="auto"/>
        </w:pBdr>
        <w:shd w:val="clear" w:color="auto" w:fill="D9D9D9"/>
        <w:jc w:val="center"/>
      </w:pPr>
      <w:r w:rsidRPr="000665B0">
        <w:rPr>
          <w:b/>
        </w:rPr>
        <w:t xml:space="preserve">In rare cases, strike analysis/deconfliction may report an unexpected conflict where a mission violates a Prohibited Area ACMS that is in the mission and strike option (see </w:t>
      </w:r>
      <w:hyperlink w:anchor="_Analysis_Tool" w:history="1">
        <w:r w:rsidRPr="000665B0">
          <w:rPr>
            <w:rStyle w:val="Hyperlink"/>
            <w:b/>
          </w:rPr>
          <w:t xml:space="preserve">Section </w:t>
        </w:r>
        <w:r w:rsidR="004231CC">
          <w:rPr>
            <w:rStyle w:val="Hyperlink"/>
            <w:b/>
          </w:rPr>
          <w:t>5.34</w:t>
        </w:r>
        <w:r w:rsidRPr="000665B0">
          <w:rPr>
            <w:rStyle w:val="Hyperlink"/>
            <w:b/>
          </w:rPr>
          <w:t>.7.1.15</w:t>
        </w:r>
      </w:hyperlink>
      <w:r w:rsidRPr="000665B0">
        <w:rPr>
          <w:b/>
        </w:rPr>
        <w:t>.)</w:t>
      </w:r>
    </w:p>
    <w:p w14:paraId="6E00A884" w14:textId="69382B9E" w:rsidR="00365FF9" w:rsidRPr="000665B0" w:rsidRDefault="00BB197D" w:rsidP="00474A1F">
      <w:pPr>
        <w:pStyle w:val="BodyTextIndent2"/>
        <w:tabs>
          <w:tab w:val="left" w:pos="720"/>
        </w:tabs>
        <w:spacing w:after="0" w:line="240" w:lineRule="auto"/>
        <w:ind w:left="0"/>
      </w:pPr>
      <w:r w:rsidRPr="000665B0">
        <w:t xml:space="preserve">As in other list views, </w:t>
      </w:r>
      <w:r w:rsidR="00AB79FF" w:rsidRPr="000665B0">
        <w:t xml:space="preserve">items can be selected to </w:t>
      </w:r>
      <w:r w:rsidRPr="000665B0">
        <w:t xml:space="preserve">Display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0665B0">
        <w:rPr>
          <w:rStyle w:val="Hyperlink"/>
        </w:rPr>
        <w:t>)</w:t>
      </w:r>
      <w:r w:rsidRPr="000665B0">
        <w:t>.</w:t>
      </w:r>
    </w:p>
    <w:p w14:paraId="2A4DD3E7" w14:textId="500E36E0" w:rsidR="0078503C" w:rsidRPr="000665B0" w:rsidRDefault="0078503C" w:rsidP="00C97DD2">
      <w:pPr>
        <w:pStyle w:val="Heading5"/>
        <w:keepNext w:val="0"/>
        <w:tabs>
          <w:tab w:val="left" w:pos="720"/>
        </w:tabs>
      </w:pPr>
      <w:r w:rsidRPr="000665B0">
        <w:t>INDIGO Tab</w:t>
      </w:r>
      <w:bookmarkEnd w:id="6363"/>
      <w:bookmarkEnd w:id="6364"/>
      <w:bookmarkEnd w:id="6365"/>
      <w:bookmarkEnd w:id="6366"/>
      <w:bookmarkEnd w:id="6367"/>
      <w:bookmarkEnd w:id="6368"/>
    </w:p>
    <w:p w14:paraId="06C719D1" w14:textId="77777777" w:rsidR="0078503C" w:rsidRPr="000665B0" w:rsidRDefault="0078503C" w:rsidP="00474A1F">
      <w:pPr>
        <w:tabs>
          <w:tab w:val="left" w:pos="720"/>
        </w:tabs>
      </w:pPr>
      <w:r w:rsidRPr="000665B0">
        <w:t xml:space="preserve">The </w:t>
      </w:r>
      <w:r w:rsidRPr="000665B0">
        <w:rPr>
          <w:b/>
          <w:bCs/>
          <w:i/>
          <w:iCs/>
        </w:rPr>
        <w:t>INDIGO</w:t>
      </w:r>
      <w:r w:rsidRPr="000665B0">
        <w:t xml:space="preserve"> tab provides a template </w:t>
      </w:r>
      <w:r w:rsidR="00D1109E" w:rsidRPr="000665B0">
        <w:t>to</w:t>
      </w:r>
      <w:r w:rsidRPr="000665B0">
        <w:t xml:space="preserve"> enter the information that will populate some of the header-type sets of the INDIGO message for this specific strike option. The complete header portion of the generated INDIGO </w:t>
      </w:r>
      <w:r w:rsidR="00DB5AEE" w:rsidRPr="000665B0">
        <w:t>is</w:t>
      </w:r>
      <w:r w:rsidRPr="000665B0">
        <w:t xml:space="preserve"> a combination of the data entered into the message set template and additional information read in from operator-specified files.</w:t>
      </w:r>
    </w:p>
    <w:p w14:paraId="1F3612B0" w14:textId="4957D3DD" w:rsidR="0078503C" w:rsidRPr="000665B0" w:rsidRDefault="00B02262" w:rsidP="00474A1F">
      <w:pPr>
        <w:tabs>
          <w:tab w:val="left" w:pos="720"/>
        </w:tabs>
        <w:spacing w:after="240"/>
        <w:jc w:val="center"/>
      </w:pPr>
      <w:r w:rsidRPr="000665B0">
        <w:rPr>
          <w:noProof/>
        </w:rPr>
        <w:drawing>
          <wp:inline distT="0" distB="0" distL="0" distR="0" wp14:anchorId="2AC1EFDD" wp14:editId="08B71CAF">
            <wp:extent cx="3657600" cy="3163824"/>
            <wp:effectExtent l="0" t="0" r="0" b="0"/>
            <wp:docPr id="1939" name="Picture 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657600" cy="3163824"/>
                    </a:xfrm>
                    <a:prstGeom prst="rect">
                      <a:avLst/>
                    </a:prstGeom>
                  </pic:spPr>
                </pic:pic>
              </a:graphicData>
            </a:graphic>
          </wp:inline>
        </w:drawing>
      </w:r>
    </w:p>
    <w:p w14:paraId="5060D7AF" w14:textId="7E877D35" w:rsidR="007202A7" w:rsidRPr="000665B0" w:rsidRDefault="007202A7" w:rsidP="00E7111D">
      <w:pPr>
        <w:keepNext/>
        <w:tabs>
          <w:tab w:val="left" w:pos="720"/>
        </w:tabs>
      </w:pPr>
      <w:bookmarkStart w:id="6369" w:name="_Toc71955758"/>
      <w:bookmarkStart w:id="6370" w:name="_Toc96170294"/>
      <w:bookmarkStart w:id="6371" w:name="_Toc96234339"/>
      <w:bookmarkStart w:id="6372" w:name="_Toc112733759"/>
      <w:bookmarkStart w:id="6373" w:name="_Toc164499448"/>
      <w:r w:rsidRPr="000665B0">
        <w:t xml:space="preserve">See NTTP 3-03.1, Appendix F for definitions of the </w:t>
      </w:r>
      <w:r w:rsidRPr="000665B0">
        <w:rPr>
          <w:i/>
        </w:rPr>
        <w:t>INDIGO</w:t>
      </w:r>
      <w:r w:rsidRPr="000665B0">
        <w:t xml:space="preserve"> tab fields.</w:t>
      </w:r>
    </w:p>
    <w:p w14:paraId="24D0AA3C" w14:textId="77777777" w:rsidR="004D7925" w:rsidRPr="000665B0" w:rsidRDefault="004D7925" w:rsidP="0097711E">
      <w:pPr>
        <w:keepNext/>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p>
    <w:p w14:paraId="741F772B" w14:textId="77777777" w:rsidR="004D7925" w:rsidRPr="000665B0" w:rsidRDefault="004D7925" w:rsidP="00474A1F">
      <w:pPr>
        <w:pBdr>
          <w:top w:val="single" w:sz="12" w:space="1" w:color="auto"/>
          <w:left w:val="single" w:sz="12" w:space="4" w:color="auto"/>
          <w:bottom w:val="single" w:sz="12" w:space="1" w:color="auto"/>
          <w:right w:val="single" w:sz="12" w:space="4" w:color="auto"/>
        </w:pBdr>
        <w:shd w:val="clear" w:color="auto" w:fill="D9D9D9"/>
        <w:tabs>
          <w:tab w:val="left" w:pos="720"/>
        </w:tabs>
        <w:jc w:val="center"/>
      </w:pPr>
      <w:r w:rsidRPr="000665B0">
        <w:rPr>
          <w:b/>
        </w:rPr>
        <w:t xml:space="preserve">Other </w:t>
      </w:r>
      <w:r w:rsidR="004D6FF6" w:rsidRPr="000665B0">
        <w:rPr>
          <w:b/>
        </w:rPr>
        <w:t>than</w:t>
      </w:r>
      <w:r w:rsidRPr="000665B0">
        <w:rPr>
          <w:b/>
        </w:rPr>
        <w:t xml:space="preserve"> max</w:t>
      </w:r>
      <w:r w:rsidR="00A70275" w:rsidRPr="000665B0">
        <w:rPr>
          <w:b/>
        </w:rPr>
        <w:t>imum</w:t>
      </w:r>
      <w:r w:rsidRPr="000665B0">
        <w:rPr>
          <w:b/>
        </w:rPr>
        <w:t xml:space="preserve"> length, there is no validation done on the information in these fields.</w:t>
      </w:r>
    </w:p>
    <w:p w14:paraId="762B8F60" w14:textId="77777777" w:rsidR="004D7925" w:rsidRPr="000665B0" w:rsidRDefault="004D7925" w:rsidP="00E7111D">
      <w:pPr>
        <w:keepNext/>
        <w:tabs>
          <w:tab w:val="left" w:pos="720"/>
        </w:tabs>
        <w:rPr>
          <w:b/>
        </w:rPr>
      </w:pPr>
      <w:r w:rsidRPr="000665B0">
        <w:rPr>
          <w:b/>
        </w:rPr>
        <w:lastRenderedPageBreak/>
        <w:t>Operator-Specified Files</w:t>
      </w:r>
    </w:p>
    <w:p w14:paraId="00283F4E" w14:textId="77777777" w:rsidR="004D7925" w:rsidRPr="000665B0" w:rsidRDefault="004D7925" w:rsidP="006D5A65">
      <w:pPr>
        <w:pStyle w:val="Heading1"/>
      </w:pPr>
      <w:r w:rsidRPr="000665B0">
        <w:rPr>
          <w:i/>
        </w:rPr>
        <w:t>Header</w:t>
      </w:r>
      <w:r w:rsidRPr="000665B0">
        <w:t xml:space="preserve"> tab – Text from this tab’s text box is inserted before the OPER line set.</w:t>
      </w:r>
    </w:p>
    <w:p w14:paraId="23113654" w14:textId="77777777" w:rsidR="004D7925" w:rsidRPr="000665B0" w:rsidRDefault="004D7925" w:rsidP="006D5A65">
      <w:pPr>
        <w:pStyle w:val="Heading1"/>
      </w:pPr>
      <w:r w:rsidRPr="000665B0">
        <w:rPr>
          <w:i/>
        </w:rPr>
        <w:t>REF</w:t>
      </w:r>
      <w:r w:rsidRPr="000665B0">
        <w:t xml:space="preserve"> tab – Text from this tab’s text box is inserted after the REF line set.</w:t>
      </w:r>
    </w:p>
    <w:p w14:paraId="665E07AF" w14:textId="77777777" w:rsidR="004D7925" w:rsidRPr="000665B0" w:rsidRDefault="004D7925" w:rsidP="006D5A65">
      <w:pPr>
        <w:pStyle w:val="Heading1"/>
      </w:pPr>
      <w:r w:rsidRPr="000665B0">
        <w:rPr>
          <w:i/>
        </w:rPr>
        <w:t>Trailer</w:t>
      </w:r>
      <w:r w:rsidRPr="000665B0">
        <w:t xml:space="preserve"> tab – Text from this tab’s text box is inserted after the last FRUASN segment or after the last of the strike package RMKS sets if the Man Readable option has been selected.</w:t>
      </w:r>
    </w:p>
    <w:p w14:paraId="4059C4A1" w14:textId="48010F89" w:rsidR="004D7925" w:rsidRPr="000665B0" w:rsidRDefault="004D7925" w:rsidP="006D5A65">
      <w:pPr>
        <w:pStyle w:val="Heading1"/>
      </w:pPr>
      <w:r w:rsidRPr="000665B0">
        <w:t>Load File…</w:t>
      </w:r>
      <w:r w:rsidR="00FD4D7F" w:rsidRPr="000665B0">
        <w:t xml:space="preserve"> </w:t>
      </w:r>
      <w:r w:rsidRPr="000665B0">
        <w:t>– Allows for the selection of a file whose content will be place</w:t>
      </w:r>
      <w:r w:rsidR="00DB5AEE" w:rsidRPr="000665B0">
        <w:t>d</w:t>
      </w:r>
      <w:r w:rsidRPr="000665B0">
        <w:t xml:space="preserve"> into the current tab’s text box.</w:t>
      </w:r>
    </w:p>
    <w:p w14:paraId="4ED91839" w14:textId="6D7B0BDE" w:rsidR="004D7925" w:rsidRPr="000665B0" w:rsidRDefault="004D7925" w:rsidP="006D5A65">
      <w:pPr>
        <w:pStyle w:val="Heading1"/>
      </w:pPr>
      <w:r w:rsidRPr="000665B0">
        <w:t>Save File…</w:t>
      </w:r>
      <w:r w:rsidR="00FD4D7F" w:rsidRPr="000665B0">
        <w:t xml:space="preserve"> </w:t>
      </w:r>
      <w:r w:rsidRPr="000665B0">
        <w:t>–</w:t>
      </w:r>
      <w:r w:rsidR="00A70275" w:rsidRPr="000665B0">
        <w:t xml:space="preserve"> Places </w:t>
      </w:r>
      <w:r w:rsidRPr="000665B0">
        <w:t xml:space="preserve">the content of the current tab’s text </w:t>
      </w:r>
      <w:r w:rsidR="00A70275" w:rsidRPr="000665B0">
        <w:t>into a file that can be saved</w:t>
      </w:r>
      <w:r w:rsidRPr="000665B0">
        <w:t>.</w:t>
      </w:r>
    </w:p>
    <w:p w14:paraId="79832456" w14:textId="77777777" w:rsidR="004D7925" w:rsidRPr="000665B0" w:rsidRDefault="004D7925" w:rsidP="006D5A65">
      <w:pPr>
        <w:pStyle w:val="Heading1"/>
      </w:pPr>
      <w:r w:rsidRPr="000665B0">
        <w:t>Load Default – Places the content from the default file for the current tab into the text box.</w:t>
      </w:r>
    </w:p>
    <w:p w14:paraId="3ACE2C2D" w14:textId="77777777" w:rsidR="00E56F56" w:rsidRDefault="004D7925" w:rsidP="006D5A65">
      <w:pPr>
        <w:pStyle w:val="Heading1"/>
      </w:pPr>
      <w:r w:rsidRPr="000665B0">
        <w:t xml:space="preserve">Save Default – Saves the file for the current tab as the default for the tab. </w:t>
      </w:r>
    </w:p>
    <w:p w14:paraId="0288AB71" w14:textId="77777777" w:rsidR="00E56F56" w:rsidRDefault="004D7925"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sidRPr="00BB4EBE">
        <w:rPr>
          <w:b/>
          <w:bCs/>
        </w:rPr>
        <w:t>Note:</w:t>
      </w:r>
    </w:p>
    <w:p w14:paraId="3715EB15" w14:textId="2C8D0878" w:rsidR="004D7925" w:rsidRPr="00BB4EBE" w:rsidRDefault="00E56F56" w:rsidP="008C37FD">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bCs/>
        </w:rPr>
      </w:pPr>
      <w:r>
        <w:rPr>
          <w:b/>
          <w:bCs/>
        </w:rPr>
        <w:t>A</w:t>
      </w:r>
      <w:r w:rsidRPr="00BB4EBE">
        <w:rPr>
          <w:b/>
          <w:bCs/>
        </w:rPr>
        <w:t xml:space="preserve"> </w:t>
      </w:r>
      <w:r w:rsidR="004D7925" w:rsidRPr="00BB4EBE">
        <w:rPr>
          <w:b/>
          <w:bCs/>
        </w:rPr>
        <w:t>file must be saved or loaded prior to saving it as the default.</w:t>
      </w:r>
    </w:p>
    <w:p w14:paraId="5EE85793" w14:textId="77777777" w:rsidR="004D7925" w:rsidRPr="000665B0" w:rsidRDefault="004D7925" w:rsidP="006D5A65">
      <w:pPr>
        <w:pStyle w:val="Heading1"/>
      </w:pPr>
      <w:r w:rsidRPr="000665B0">
        <w:t>Clear Default – Clears the default file for the current tab.</w:t>
      </w:r>
    </w:p>
    <w:p w14:paraId="12747F2B" w14:textId="4C5C08C4" w:rsidR="0078503C" w:rsidRPr="000665B0" w:rsidRDefault="00A70275" w:rsidP="00F75F3C">
      <w:pPr>
        <w:pStyle w:val="Heading5"/>
        <w:tabs>
          <w:tab w:val="left" w:pos="720"/>
        </w:tabs>
      </w:pPr>
      <w:bookmarkStart w:id="6374" w:name="_Toc289328870"/>
      <w:r w:rsidRPr="000665B0">
        <w:t xml:space="preserve">Strike Exceptions </w:t>
      </w:r>
      <w:r w:rsidR="0078503C" w:rsidRPr="000665B0">
        <w:t>Tab</w:t>
      </w:r>
      <w:bookmarkEnd w:id="6369"/>
      <w:bookmarkEnd w:id="6370"/>
      <w:bookmarkEnd w:id="6371"/>
      <w:bookmarkEnd w:id="6372"/>
      <w:bookmarkEnd w:id="6373"/>
      <w:bookmarkEnd w:id="6374"/>
    </w:p>
    <w:p w14:paraId="1A3F4327" w14:textId="22441EA4" w:rsidR="0078503C" w:rsidRPr="000665B0" w:rsidRDefault="00DF3456" w:rsidP="00474A1F">
      <w:pPr>
        <w:pStyle w:val="BodyTextIndent2"/>
        <w:tabs>
          <w:tab w:val="left" w:pos="720"/>
        </w:tabs>
        <w:spacing w:line="240" w:lineRule="auto"/>
        <w:ind w:left="0"/>
      </w:pPr>
      <w:r w:rsidRPr="000665B0">
        <w:t xml:space="preserve">Strike Package Exception Objects (SPEOs) can be either received from </w:t>
      </w:r>
      <w:r w:rsidR="00E971E8" w:rsidRPr="000665B0">
        <w:t>TTWCS or</w:t>
      </w:r>
      <w:r w:rsidRPr="000665B0">
        <w:t xml:space="preserve"> manually entered on MDS. Selecting an Exception in the </w:t>
      </w:r>
      <w:r w:rsidRPr="000665B0">
        <w:rPr>
          <w:b/>
        </w:rPr>
        <w:t>Strike Exceptions</w:t>
      </w:r>
      <w:r w:rsidRPr="000665B0">
        <w:t xml:space="preserve"> pane will display Missile Assignment Exceptions, if they exist, in the </w:t>
      </w:r>
      <w:r w:rsidRPr="000665B0">
        <w:rPr>
          <w:b/>
        </w:rPr>
        <w:t>Missile Assignments Exceptions</w:t>
      </w:r>
      <w:r w:rsidRPr="000665B0">
        <w:t xml:space="preserve"> pane.</w:t>
      </w:r>
    </w:p>
    <w:p w14:paraId="0800014B" w14:textId="24832894" w:rsidR="00873009" w:rsidRPr="000665B0" w:rsidRDefault="0098449F" w:rsidP="00474A1F">
      <w:pPr>
        <w:pStyle w:val="BodyTextIndent2"/>
        <w:tabs>
          <w:tab w:val="left" w:pos="720"/>
        </w:tabs>
        <w:spacing w:line="240" w:lineRule="auto"/>
        <w:ind w:left="0"/>
        <w:jc w:val="center"/>
      </w:pPr>
      <w:r w:rsidRPr="000665B0">
        <w:rPr>
          <w:noProof/>
        </w:rPr>
        <w:drawing>
          <wp:inline distT="0" distB="0" distL="0" distR="0" wp14:anchorId="29863B79" wp14:editId="5CA85E58">
            <wp:extent cx="4983480" cy="1783080"/>
            <wp:effectExtent l="0" t="0" r="0" b="0"/>
            <wp:docPr id="2156" name="Picture 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783080"/>
                    </a:xfrm>
                    <a:prstGeom prst="rect">
                      <a:avLst/>
                    </a:prstGeom>
                  </pic:spPr>
                </pic:pic>
              </a:graphicData>
            </a:graphic>
          </wp:inline>
        </w:drawing>
      </w:r>
    </w:p>
    <w:p w14:paraId="033E50B9" w14:textId="77777777" w:rsidR="0078503C" w:rsidRPr="000665B0" w:rsidRDefault="0078503C" w:rsidP="00474A1F">
      <w:pPr>
        <w:pStyle w:val="BodyTextIndent2"/>
        <w:tabs>
          <w:tab w:val="left" w:pos="720"/>
        </w:tabs>
        <w:spacing w:line="240" w:lineRule="auto"/>
        <w:ind w:left="0"/>
      </w:pPr>
      <w:r w:rsidRPr="000665B0">
        <w:t xml:space="preserve">To </w:t>
      </w:r>
      <w:r w:rsidR="00DF3456" w:rsidRPr="000665B0">
        <w:t>manually create a SPEO</w:t>
      </w:r>
      <w:r w:rsidRPr="000665B0">
        <w:t>:</w:t>
      </w:r>
    </w:p>
    <w:p w14:paraId="08AB7EB6" w14:textId="58278D43" w:rsidR="0078503C" w:rsidRPr="000665B0" w:rsidRDefault="0078503C" w:rsidP="006D5A65">
      <w:pPr>
        <w:pStyle w:val="Heading1"/>
      </w:pPr>
      <w:r w:rsidRPr="000665B0">
        <w:lastRenderedPageBreak/>
        <w:t xml:space="preserve">In the </w:t>
      </w:r>
      <w:r w:rsidR="00A70275" w:rsidRPr="000665B0">
        <w:t xml:space="preserve">Strike Exceptions </w:t>
      </w:r>
      <w:r w:rsidR="00873009" w:rsidRPr="000665B0">
        <w:t>pane</w:t>
      </w:r>
      <w:r w:rsidRPr="000665B0">
        <w:t>, invoke the context menu (</w:t>
      </w:r>
      <w:r w:rsidR="00D71804" w:rsidRPr="000665B0">
        <w:t>right-click</w:t>
      </w:r>
      <w:r w:rsidRPr="000665B0">
        <w:t xml:space="preserve"> the mouse) and select </w:t>
      </w:r>
      <w:r w:rsidR="00873009" w:rsidRPr="000665B0">
        <w:t>New…</w:t>
      </w:r>
      <w:r w:rsidRPr="000665B0">
        <w:t xml:space="preserve">. The </w:t>
      </w:r>
      <w:r w:rsidRPr="000665B0">
        <w:rPr>
          <w:i/>
        </w:rPr>
        <w:t xml:space="preserve">Strike </w:t>
      </w:r>
      <w:r w:rsidR="00873009" w:rsidRPr="000665B0">
        <w:rPr>
          <w:i/>
        </w:rPr>
        <w:t xml:space="preserve">Exception </w:t>
      </w:r>
      <w:r w:rsidRPr="000665B0">
        <w:t xml:space="preserve">window </w:t>
      </w:r>
      <w:r w:rsidR="00DB5AEE" w:rsidRPr="000665B0">
        <w:t>is</w:t>
      </w:r>
      <w:r w:rsidRPr="000665B0">
        <w:t xml:space="preserve"> displayed.</w:t>
      </w:r>
    </w:p>
    <w:p w14:paraId="3628B3C2" w14:textId="56B88304" w:rsidR="0078503C" w:rsidRPr="000665B0" w:rsidRDefault="0098449F" w:rsidP="00EE0310">
      <w:pPr>
        <w:tabs>
          <w:tab w:val="left" w:pos="720"/>
        </w:tabs>
        <w:jc w:val="center"/>
      </w:pPr>
      <w:r w:rsidRPr="000665B0">
        <w:rPr>
          <w:noProof/>
        </w:rPr>
        <w:drawing>
          <wp:inline distT="0" distB="0" distL="0" distR="0" wp14:anchorId="0E1A9F99" wp14:editId="0644D118">
            <wp:extent cx="4114800" cy="2578608"/>
            <wp:effectExtent l="0" t="0" r="0" b="0"/>
            <wp:docPr id="2157" name="Picture 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578608"/>
                    </a:xfrm>
                    <a:prstGeom prst="rect">
                      <a:avLst/>
                    </a:prstGeom>
                  </pic:spPr>
                </pic:pic>
              </a:graphicData>
            </a:graphic>
          </wp:inline>
        </w:drawing>
      </w:r>
    </w:p>
    <w:p w14:paraId="5284E751" w14:textId="77777777" w:rsidR="0078503C" w:rsidRPr="000665B0" w:rsidRDefault="00873009" w:rsidP="006D5A65">
      <w:pPr>
        <w:pStyle w:val="Heading1"/>
      </w:pPr>
      <w:r w:rsidRPr="000665B0">
        <w:t xml:space="preserve">Select the desired FRU from the </w:t>
      </w:r>
      <w:r w:rsidR="004D6FF6" w:rsidRPr="000665B0">
        <w:t>pull down</w:t>
      </w:r>
      <w:r w:rsidRPr="000665B0">
        <w:t xml:space="preserve"> menu</w:t>
      </w:r>
      <w:r w:rsidR="0043623E" w:rsidRPr="000665B0">
        <w:t>.</w:t>
      </w:r>
    </w:p>
    <w:p w14:paraId="4FAAF4C7" w14:textId="74B6C724" w:rsidR="0078503C" w:rsidRPr="000665B0" w:rsidRDefault="0078503C" w:rsidP="006D5A65">
      <w:pPr>
        <w:pStyle w:val="Heading1"/>
      </w:pPr>
      <w:r w:rsidRPr="000665B0">
        <w:t>In the Missile Assignment Exceptions pane, invoke the context menu (</w:t>
      </w:r>
      <w:r w:rsidR="00D71804" w:rsidRPr="000665B0">
        <w:t>right-click</w:t>
      </w:r>
      <w:r w:rsidRPr="000665B0">
        <w:t xml:space="preserve"> the mouse) and select Add</w:t>
      </w:r>
      <w:r w:rsidR="00873009" w:rsidRPr="000665B0">
        <w:t>..</w:t>
      </w:r>
      <w:r w:rsidRPr="000665B0">
        <w:t xml:space="preserve">. The </w:t>
      </w:r>
      <w:r w:rsidRPr="000665B0">
        <w:rPr>
          <w:i/>
        </w:rPr>
        <w:t>Missile Assignment Entry</w:t>
      </w:r>
      <w:r w:rsidRPr="000665B0">
        <w:t xml:space="preserve"> window </w:t>
      </w:r>
      <w:r w:rsidR="00DB5AEE" w:rsidRPr="000665B0">
        <w:t>is</w:t>
      </w:r>
      <w:r w:rsidRPr="000665B0">
        <w:t xml:space="preserve"> displayed.</w:t>
      </w:r>
    </w:p>
    <w:p w14:paraId="6C7D54C6" w14:textId="7F8714B4" w:rsidR="0078503C" w:rsidRPr="000665B0" w:rsidRDefault="0098449F" w:rsidP="00EE0310">
      <w:pPr>
        <w:tabs>
          <w:tab w:val="left" w:pos="720"/>
        </w:tabs>
        <w:jc w:val="center"/>
      </w:pPr>
      <w:r w:rsidRPr="000665B0">
        <w:rPr>
          <w:noProof/>
        </w:rPr>
        <w:drawing>
          <wp:inline distT="0" distB="0" distL="0" distR="0" wp14:anchorId="378487EE" wp14:editId="191626D7">
            <wp:extent cx="3200400" cy="1453896"/>
            <wp:effectExtent l="0" t="0" r="0" b="0"/>
            <wp:docPr id="2158" name="Picture 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453896"/>
                    </a:xfrm>
                    <a:prstGeom prst="rect">
                      <a:avLst/>
                    </a:prstGeom>
                  </pic:spPr>
                </pic:pic>
              </a:graphicData>
            </a:graphic>
          </wp:inline>
        </w:drawing>
      </w:r>
    </w:p>
    <w:p w14:paraId="1F2A3202" w14:textId="77777777" w:rsidR="0078503C" w:rsidRPr="000665B0" w:rsidRDefault="0078503C" w:rsidP="006D5A65">
      <w:pPr>
        <w:pStyle w:val="Heading1"/>
      </w:pPr>
      <w:r w:rsidRPr="000665B0">
        <w:t xml:space="preserve">Using the </w:t>
      </w:r>
      <w:r w:rsidRPr="000665B0">
        <w:sym w:font="Wingdings 3" w:char="F071"/>
      </w:r>
      <w:r w:rsidRPr="000665B0">
        <w:t xml:space="preserve"> button select a MS #.</w:t>
      </w:r>
    </w:p>
    <w:p w14:paraId="30CD36CB" w14:textId="47610002" w:rsidR="00873009" w:rsidRPr="000665B0" w:rsidRDefault="00873009" w:rsidP="006D5A65">
      <w:pPr>
        <w:pStyle w:val="Heading1"/>
      </w:pPr>
      <w:r w:rsidRPr="000665B0">
        <w:t xml:space="preserve">Select an Exception ID from the </w:t>
      </w:r>
      <w:r w:rsidR="00892C9C" w:rsidRPr="000665B0">
        <w:t>pull-down</w:t>
      </w:r>
      <w:r w:rsidRPr="000665B0">
        <w:t xml:space="preserve"> menu.</w:t>
      </w:r>
    </w:p>
    <w:p w14:paraId="4BBBC8D6" w14:textId="77777777" w:rsidR="0078503C" w:rsidRPr="000665B0" w:rsidRDefault="0078503C" w:rsidP="006D5A65">
      <w:pPr>
        <w:pStyle w:val="Heading1"/>
      </w:pPr>
      <w:r w:rsidRPr="000665B0">
        <w:t>Enter text in the lower pane. Each missile assignment require</w:t>
      </w:r>
      <w:r w:rsidR="00873009" w:rsidRPr="000665B0">
        <w:t>s</w:t>
      </w:r>
      <w:r w:rsidRPr="000665B0">
        <w:t xml:space="preserve"> a separate entry.</w:t>
      </w:r>
    </w:p>
    <w:p w14:paraId="7E149154" w14:textId="77777777" w:rsidR="0078503C" w:rsidRPr="000665B0" w:rsidRDefault="0078503C" w:rsidP="006D5A65">
      <w:pPr>
        <w:pStyle w:val="Heading1"/>
        <w:rPr>
          <w:noProof/>
        </w:rPr>
      </w:pPr>
      <w:r w:rsidRPr="000665B0">
        <w:rPr>
          <w:noProof/>
        </w:rPr>
        <w:t>Click OK.</w:t>
      </w:r>
    </w:p>
    <w:p w14:paraId="761850AD" w14:textId="77777777" w:rsidR="0078503C" w:rsidRPr="000665B0" w:rsidRDefault="00873009" w:rsidP="006D5A65">
      <w:pPr>
        <w:pStyle w:val="Heading1"/>
        <w:rPr>
          <w:noProof/>
        </w:rPr>
      </w:pPr>
      <w:r w:rsidRPr="000665B0">
        <w:t xml:space="preserve">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1DDC0525" w14:textId="77777777" w:rsidR="0078503C" w:rsidRPr="000665B0" w:rsidRDefault="00A70275" w:rsidP="005A42A5">
      <w:r w:rsidRPr="000665B0">
        <w:t xml:space="preserve">Exceptions </w:t>
      </w:r>
      <w:r w:rsidR="0078503C" w:rsidRPr="000665B0">
        <w:t xml:space="preserve">not electronically received will </w:t>
      </w:r>
      <w:r w:rsidR="00DF3456" w:rsidRPr="000665B0">
        <w:t xml:space="preserve">display </w:t>
      </w:r>
      <w:r w:rsidR="00DF3456" w:rsidRPr="000665B0">
        <w:rPr>
          <w:b/>
        </w:rPr>
        <w:t>MDS</w:t>
      </w:r>
      <w:r w:rsidR="00DF3456" w:rsidRPr="000665B0">
        <w:t xml:space="preserve"> in the </w:t>
      </w:r>
      <w:r w:rsidR="00DF3456" w:rsidRPr="000665B0">
        <w:rPr>
          <w:b/>
        </w:rPr>
        <w:t>Source System</w:t>
      </w:r>
      <w:r w:rsidR="00DF3456" w:rsidRPr="000665B0">
        <w:t xml:space="preserve"> column of the </w:t>
      </w:r>
      <w:r w:rsidR="00DF3456" w:rsidRPr="000665B0">
        <w:rPr>
          <w:b/>
        </w:rPr>
        <w:t>Strike Exceptions</w:t>
      </w:r>
      <w:r w:rsidR="00DF3456" w:rsidRPr="000665B0">
        <w:t xml:space="preserve"> pane</w:t>
      </w:r>
      <w:r w:rsidR="0078503C" w:rsidRPr="000665B0">
        <w:t>.</w:t>
      </w:r>
    </w:p>
    <w:p w14:paraId="1CBE1F81" w14:textId="321548F5" w:rsidR="00365FF9" w:rsidRPr="000665B0" w:rsidRDefault="00BF5245" w:rsidP="00474A1F">
      <w:pPr>
        <w:pStyle w:val="BodyTextIndent2"/>
        <w:tabs>
          <w:tab w:val="left" w:pos="720"/>
        </w:tabs>
        <w:spacing w:after="0" w:line="240" w:lineRule="auto"/>
        <w:ind w:left="0"/>
      </w:pPr>
      <w:r w:rsidRPr="000665B0">
        <w:t xml:space="preserve">As in other list views, </w:t>
      </w:r>
      <w:r w:rsidR="00AB79FF" w:rsidRPr="000665B0">
        <w:t xml:space="preserve">items can be selected to </w:t>
      </w:r>
      <w:r w:rsidRPr="000665B0">
        <w:t xml:space="preserve">Display Textually (see </w:t>
      </w:r>
      <w:hyperlink w:anchor="_5.2.1.2.4__Display_1" w:history="1">
        <w:r w:rsidRPr="000665B0">
          <w:rPr>
            <w:rStyle w:val="Hyperlink"/>
          </w:rPr>
          <w:t>Section 5.2.1.2.4</w:t>
        </w:r>
      </w:hyperlink>
      <w:r w:rsidRPr="000665B0">
        <w:rPr>
          <w:rStyle w:val="Hyperlink"/>
        </w:rPr>
        <w:t>)</w:t>
      </w:r>
      <w:r w:rsidRPr="000665B0">
        <w:t xml:space="preserve">, Display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0665B0">
        <w:rPr>
          <w:rStyle w:val="Hyperlink"/>
        </w:rPr>
        <w:t>)</w:t>
      </w:r>
      <w:r w:rsidRPr="000665B0">
        <w:t>.</w:t>
      </w:r>
    </w:p>
    <w:p w14:paraId="12CABF3E" w14:textId="77777777" w:rsidR="001F53FE" w:rsidRPr="000665B0" w:rsidRDefault="001F53FE" w:rsidP="00BF5245">
      <w:pPr>
        <w:pStyle w:val="Heading5"/>
        <w:tabs>
          <w:tab w:val="left" w:pos="720"/>
        </w:tabs>
      </w:pPr>
      <w:bookmarkStart w:id="6375" w:name="_Toc71955760"/>
      <w:bookmarkStart w:id="6376" w:name="_Toc96170295"/>
      <w:bookmarkStart w:id="6377" w:name="_Toc96234340"/>
      <w:bookmarkStart w:id="6378" w:name="_Toc112733760"/>
      <w:bookmarkStart w:id="6379" w:name="_Toc164499449"/>
      <w:bookmarkStart w:id="6380" w:name="_Toc289328871"/>
      <w:bookmarkStart w:id="6381" w:name="_Toc71955759"/>
      <w:r w:rsidRPr="000665B0">
        <w:lastRenderedPageBreak/>
        <w:t>LERs Tab</w:t>
      </w:r>
    </w:p>
    <w:p w14:paraId="0BB56EEE" w14:textId="46847016" w:rsidR="003D39FE" w:rsidRPr="000665B0" w:rsidRDefault="00977960" w:rsidP="00172AD0">
      <w:r w:rsidRPr="000665B0">
        <w:t xml:space="preserve">A Launch Event Report (LER) is a message that TTWCS transmits to report the applicable launch status for a missile. In the fleet, LERs are used only to report missile launch success; they are not used to report launch failure. </w:t>
      </w:r>
      <w:r w:rsidR="003D39FE" w:rsidRPr="000665B0">
        <w:t xml:space="preserve">The </w:t>
      </w:r>
      <w:r w:rsidR="003D39FE" w:rsidRPr="000665B0">
        <w:rPr>
          <w:b/>
          <w:i/>
        </w:rPr>
        <w:t>LERs</w:t>
      </w:r>
      <w:r w:rsidR="003D39FE" w:rsidRPr="000665B0">
        <w:t xml:space="preserve"> tab </w:t>
      </w:r>
      <w:r w:rsidR="00E9510C" w:rsidRPr="000665B0">
        <w:t xml:space="preserve">is not populated until </w:t>
      </w:r>
      <w:r w:rsidR="002E6614" w:rsidRPr="000665B0">
        <w:t xml:space="preserve">post-execution when </w:t>
      </w:r>
      <w:r w:rsidR="003D39FE" w:rsidRPr="000665B0">
        <w:t xml:space="preserve">LERs </w:t>
      </w:r>
      <w:r w:rsidR="00E9510C" w:rsidRPr="000665B0">
        <w:t xml:space="preserve">are </w:t>
      </w:r>
      <w:r w:rsidR="003D39FE" w:rsidRPr="000665B0">
        <w:t>received from TTWCS</w:t>
      </w:r>
      <w:r w:rsidR="00E9510C" w:rsidRPr="000665B0">
        <w:t>, or until an LER is manually created and saved</w:t>
      </w:r>
      <w:r w:rsidR="003D39FE" w:rsidRPr="000665B0">
        <w:t xml:space="preserve">. </w:t>
      </w:r>
    </w:p>
    <w:p w14:paraId="5E2BBC04" w14:textId="27A3ADA8" w:rsidR="003D39FE" w:rsidRPr="000665B0" w:rsidRDefault="002E6614" w:rsidP="00172AD0">
      <w:pPr>
        <w:jc w:val="center"/>
      </w:pPr>
      <w:r w:rsidRPr="000665B0">
        <w:rPr>
          <w:noProof/>
        </w:rPr>
        <w:drawing>
          <wp:inline distT="0" distB="0" distL="0" distR="0" wp14:anchorId="53CC1DC0" wp14:editId="2B6FB78A">
            <wp:extent cx="4983480" cy="1078992"/>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078992"/>
                    </a:xfrm>
                    <a:prstGeom prst="rect">
                      <a:avLst/>
                    </a:prstGeom>
                  </pic:spPr>
                </pic:pic>
              </a:graphicData>
            </a:graphic>
          </wp:inline>
        </w:drawing>
      </w:r>
    </w:p>
    <w:p w14:paraId="4ED8C297" w14:textId="1F13341E" w:rsidR="003D39FE" w:rsidRPr="000665B0" w:rsidRDefault="003D39FE" w:rsidP="00172AD0">
      <w:r w:rsidRPr="000665B0">
        <w:t xml:space="preserve">To view the LER, double-click the desired LER, or select the desired LER, invoke the context menu and select </w:t>
      </w:r>
      <w:r w:rsidRPr="000665B0">
        <w:rPr>
          <w:b/>
        </w:rPr>
        <w:t>Display</w:t>
      </w:r>
      <w:r w:rsidRPr="000665B0">
        <w:t xml:space="preserve"> </w:t>
      </w:r>
      <w:r w:rsidRPr="000665B0">
        <w:rPr>
          <w:b/>
        </w:rPr>
        <w:sym w:font="Wingdings 3" w:char="F07D"/>
      </w:r>
      <w:r w:rsidRPr="000665B0">
        <w:t xml:space="preserve"> </w:t>
      </w:r>
      <w:r w:rsidRPr="000665B0">
        <w:rPr>
          <w:b/>
        </w:rPr>
        <w:t>Textually</w:t>
      </w:r>
      <w:r w:rsidRPr="000665B0">
        <w:t>.</w:t>
      </w:r>
    </w:p>
    <w:p w14:paraId="2DF71925" w14:textId="5E8B3299" w:rsidR="003D39FE" w:rsidRPr="000665B0" w:rsidRDefault="00C6353F" w:rsidP="00172AD0">
      <w:pPr>
        <w:jc w:val="center"/>
      </w:pPr>
      <w:r w:rsidRPr="000665B0">
        <w:rPr>
          <w:noProof/>
        </w:rPr>
        <w:drawing>
          <wp:inline distT="0" distB="0" distL="0" distR="0" wp14:anchorId="60E95D80" wp14:editId="0D6C07EC">
            <wp:extent cx="3200400" cy="2615184"/>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2615184"/>
                    </a:xfrm>
                    <a:prstGeom prst="rect">
                      <a:avLst/>
                    </a:prstGeom>
                  </pic:spPr>
                </pic:pic>
              </a:graphicData>
            </a:graphic>
          </wp:inline>
        </w:drawing>
      </w:r>
    </w:p>
    <w:p w14:paraId="31C52FEE" w14:textId="1D918EF1" w:rsidR="003D39FE" w:rsidRPr="000665B0" w:rsidRDefault="003D39FE" w:rsidP="00C63237">
      <w:pPr>
        <w:keepNext/>
      </w:pPr>
      <w:r w:rsidRPr="000665B0">
        <w:lastRenderedPageBreak/>
        <w:t>To manually create a LER (to record a verbal LER):</w:t>
      </w:r>
    </w:p>
    <w:p w14:paraId="023017AC" w14:textId="35EFFFCB" w:rsidR="00977960" w:rsidRPr="000665B0" w:rsidRDefault="00D71804" w:rsidP="006D5A65">
      <w:pPr>
        <w:pStyle w:val="Heading1"/>
      </w:pPr>
      <w:r w:rsidRPr="000665B0">
        <w:t>Right-click</w:t>
      </w:r>
      <w:r w:rsidR="003D39FE" w:rsidRPr="000665B0">
        <w:t xml:space="preserve"> in the open area of the </w:t>
      </w:r>
      <w:r w:rsidR="003D39FE" w:rsidRPr="000665B0">
        <w:rPr>
          <w:i/>
        </w:rPr>
        <w:t>LERs</w:t>
      </w:r>
      <w:r w:rsidR="003D39FE" w:rsidRPr="000665B0">
        <w:t xml:space="preserve"> tab, invoke the context menu and select New. The </w:t>
      </w:r>
      <w:r w:rsidR="003D39FE" w:rsidRPr="000665B0">
        <w:rPr>
          <w:i/>
        </w:rPr>
        <w:t>Launch Event Report</w:t>
      </w:r>
      <w:r w:rsidR="003D39FE" w:rsidRPr="000665B0">
        <w:t xml:space="preserve"> window is displayed.</w:t>
      </w:r>
    </w:p>
    <w:p w14:paraId="3450AE14" w14:textId="1D210E1F" w:rsidR="00222307" w:rsidRPr="000665B0" w:rsidRDefault="00C6353F" w:rsidP="00172AD0">
      <w:pPr>
        <w:jc w:val="center"/>
      </w:pPr>
      <w:r w:rsidRPr="000665B0">
        <w:rPr>
          <w:noProof/>
        </w:rPr>
        <w:drawing>
          <wp:inline distT="0" distB="0" distL="0" distR="0" wp14:anchorId="2AA4E809" wp14:editId="4B154ECC">
            <wp:extent cx="3200400" cy="2615184"/>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2615184"/>
                    </a:xfrm>
                    <a:prstGeom prst="rect">
                      <a:avLst/>
                    </a:prstGeom>
                  </pic:spPr>
                </pic:pic>
              </a:graphicData>
            </a:graphic>
          </wp:inline>
        </w:drawing>
      </w:r>
    </w:p>
    <w:p w14:paraId="0DACBD30" w14:textId="09ADE640" w:rsidR="003D39FE" w:rsidRPr="000665B0" w:rsidRDefault="003D39FE" w:rsidP="006D5A65">
      <w:pPr>
        <w:pStyle w:val="Heading1"/>
      </w:pPr>
      <w:r w:rsidRPr="000665B0">
        <w:t xml:space="preserve">Select the Platform ID, MS#, and Received DTG. Click the Save </w:t>
      </w:r>
      <w:r w:rsidRPr="000665B0">
        <w:rPr>
          <w:noProof/>
        </w:rPr>
        <w:drawing>
          <wp:inline distT="0" distB="0" distL="0" distR="0" wp14:anchorId="36E28F0A" wp14:editId="4D1FFB74">
            <wp:extent cx="152400" cy="152400"/>
            <wp:effectExtent l="0" t="0" r="0" b="0"/>
            <wp:docPr id="2119" name="Picture 2119" descr="Description: 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Description: save%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w:t>
      </w:r>
      <w:r w:rsidR="00892C9C" w:rsidRPr="000665B0">
        <w:t>Bar or</w:t>
      </w:r>
      <w:r w:rsidRPr="000665B0">
        <w:t xml:space="preserve"> select the Save option from the File pull down menu.</w:t>
      </w:r>
    </w:p>
    <w:p w14:paraId="44CB6125" w14:textId="071757B6" w:rsidR="00CA0320" w:rsidRPr="000665B0" w:rsidRDefault="00CA0320" w:rsidP="00172AD0">
      <w:pPr>
        <w:pStyle w:val="Heading5"/>
        <w:tabs>
          <w:tab w:val="left" w:pos="720"/>
        </w:tabs>
      </w:pPr>
      <w:r w:rsidRPr="000665B0">
        <w:t>Unsaved Actions Tab</w:t>
      </w:r>
    </w:p>
    <w:p w14:paraId="33054D5E" w14:textId="69323B44" w:rsidR="00CA0320" w:rsidRPr="000665B0" w:rsidRDefault="002350C8" w:rsidP="0058373F">
      <w:pPr>
        <w:pStyle w:val="BodyTextIndent2"/>
        <w:tabs>
          <w:tab w:val="left" w:pos="720"/>
        </w:tabs>
        <w:spacing w:line="240" w:lineRule="auto"/>
        <w:ind w:left="0"/>
      </w:pPr>
      <w:r w:rsidRPr="000665B0">
        <w:t xml:space="preserve">The </w:t>
      </w:r>
      <w:r w:rsidRPr="000665B0">
        <w:rPr>
          <w:b/>
          <w:i/>
        </w:rPr>
        <w:t>Unsaved Actions</w:t>
      </w:r>
      <w:r w:rsidRPr="000665B0">
        <w:t xml:space="preserve"> tab displays a</w:t>
      </w:r>
      <w:r w:rsidR="00387D79" w:rsidRPr="000665B0">
        <w:t xml:space="preserve"> detailed</w:t>
      </w:r>
      <w:r w:rsidRPr="000665B0">
        <w:t xml:space="preserve"> listing of all actions made to the Strike Option that have not yet been saved</w:t>
      </w:r>
      <w:r w:rsidR="00CA0320" w:rsidRPr="000665B0">
        <w:t>.</w:t>
      </w:r>
      <w:r w:rsidR="00BC3653" w:rsidRPr="000665B0">
        <w:t xml:space="preserve"> The actions are listed in the order performed.</w:t>
      </w:r>
    </w:p>
    <w:p w14:paraId="6D75D74D" w14:textId="161D892F" w:rsidR="00365FF9" w:rsidRPr="000665B0" w:rsidRDefault="00BF5245" w:rsidP="00365FF9">
      <w:pPr>
        <w:pStyle w:val="BodyTextIndent2"/>
        <w:tabs>
          <w:tab w:val="left" w:pos="720"/>
        </w:tabs>
        <w:spacing w:line="240" w:lineRule="auto"/>
        <w:ind w:left="0"/>
      </w:pPr>
      <w:r w:rsidRPr="000665B0">
        <w:t xml:space="preserve">As in other list views, </w:t>
      </w:r>
      <w:r w:rsidR="00AB79FF" w:rsidRPr="000665B0">
        <w:t xml:space="preserve">items can be selected to </w:t>
      </w:r>
      <w:r w:rsidRPr="000665B0">
        <w:t xml:space="preserve">Display in Excel (see </w:t>
      </w:r>
      <w:hyperlink w:anchor="_5.2.1.2.1__Display_1" w:history="1">
        <w:r w:rsidRPr="000665B0">
          <w:rPr>
            <w:rStyle w:val="Hyperlink"/>
          </w:rPr>
          <w:t>Section 5.2.1.2.1</w:t>
        </w:r>
      </w:hyperlink>
      <w:r w:rsidRPr="000665B0">
        <w:t xml:space="preserve">), and Print (see </w:t>
      </w:r>
      <w:hyperlink w:anchor="_5.2.1.5.1__Print" w:history="1">
        <w:r w:rsidRPr="000665B0">
          <w:rPr>
            <w:rStyle w:val="Hyperlink"/>
          </w:rPr>
          <w:t>Section 5.2.1.5.1</w:t>
        </w:r>
      </w:hyperlink>
      <w:r w:rsidRPr="000665B0">
        <w:rPr>
          <w:rStyle w:val="Hyperlink"/>
        </w:rPr>
        <w:t>)</w:t>
      </w:r>
      <w:r w:rsidRPr="000665B0">
        <w:t>.</w:t>
      </w:r>
    </w:p>
    <w:p w14:paraId="2BED2588" w14:textId="41C80064" w:rsidR="0078503C" w:rsidRPr="000665B0" w:rsidRDefault="0078503C" w:rsidP="0058373F">
      <w:pPr>
        <w:pStyle w:val="Heading5"/>
        <w:keepLines/>
        <w:tabs>
          <w:tab w:val="left" w:pos="720"/>
        </w:tabs>
      </w:pPr>
      <w:bookmarkStart w:id="6382" w:name="_5.38.5.1.13__Analysis_Tools"/>
      <w:bookmarkStart w:id="6383" w:name="_5.37.6.1.14__Analysis_Tools"/>
      <w:bookmarkStart w:id="6384" w:name="_5.37.6.1.14__Analysis"/>
      <w:bookmarkStart w:id="6385" w:name="_Analysis_Tool"/>
      <w:bookmarkStart w:id="6386" w:name="_Toc71955761"/>
      <w:bookmarkStart w:id="6387" w:name="_Toc96170297"/>
      <w:bookmarkStart w:id="6388" w:name="_Toc96234342"/>
      <w:bookmarkStart w:id="6389" w:name="_Toc112733762"/>
      <w:bookmarkStart w:id="6390" w:name="_Toc164499451"/>
      <w:bookmarkStart w:id="6391" w:name="_Toc289328873"/>
      <w:bookmarkEnd w:id="6375"/>
      <w:bookmarkEnd w:id="6376"/>
      <w:bookmarkEnd w:id="6377"/>
      <w:bookmarkEnd w:id="6378"/>
      <w:bookmarkEnd w:id="6379"/>
      <w:bookmarkEnd w:id="6380"/>
      <w:bookmarkEnd w:id="6381"/>
      <w:bookmarkEnd w:id="6382"/>
      <w:bookmarkEnd w:id="6383"/>
      <w:bookmarkEnd w:id="6384"/>
      <w:bookmarkEnd w:id="6385"/>
      <w:r w:rsidRPr="000665B0">
        <w:t>Analysis Tool</w:t>
      </w:r>
      <w:bookmarkEnd w:id="6386"/>
      <w:bookmarkEnd w:id="6387"/>
      <w:bookmarkEnd w:id="6388"/>
      <w:bookmarkEnd w:id="6389"/>
      <w:bookmarkEnd w:id="6390"/>
      <w:bookmarkEnd w:id="6391"/>
      <w:r w:rsidRPr="000665B0">
        <w:t xml:space="preserve"> </w:t>
      </w:r>
    </w:p>
    <w:p w14:paraId="43C596E4" w14:textId="4627583C" w:rsidR="0078503C" w:rsidRPr="000665B0" w:rsidRDefault="0078503C" w:rsidP="00474A1F">
      <w:pPr>
        <w:pStyle w:val="BodyTextIndent2"/>
        <w:tabs>
          <w:tab w:val="left" w:pos="720"/>
        </w:tabs>
        <w:spacing w:line="240" w:lineRule="auto"/>
        <w:ind w:left="0"/>
      </w:pPr>
      <w:r w:rsidRPr="000665B0">
        <w:t xml:space="preserve">In addition to conducting deconfliction from the </w:t>
      </w:r>
      <w:r w:rsidRPr="000665B0">
        <w:rPr>
          <w:b/>
          <w:i/>
        </w:rPr>
        <w:t>Missiles</w:t>
      </w:r>
      <w:r w:rsidRPr="000665B0">
        <w:t xml:space="preserve"> tab (</w:t>
      </w:r>
      <w:r w:rsidR="00AE5995" w:rsidRPr="000665B0">
        <w:t xml:space="preserve">see </w:t>
      </w:r>
      <w:hyperlink w:anchor="_5.37.6.1.6__Missiles_1" w:history="1">
        <w:r w:rsidR="009326FE" w:rsidRPr="000665B0">
          <w:rPr>
            <w:rStyle w:val="Hyperlink"/>
          </w:rPr>
          <w:t xml:space="preserve">Section </w:t>
        </w:r>
        <w:r w:rsidR="004231CC">
          <w:rPr>
            <w:rStyle w:val="Hyperlink"/>
          </w:rPr>
          <w:t>5.34</w:t>
        </w:r>
        <w:r w:rsidRPr="000665B0">
          <w:rPr>
            <w:rStyle w:val="Hyperlink"/>
          </w:rPr>
          <w:t>.</w:t>
        </w:r>
        <w:r w:rsidR="0089269C" w:rsidRPr="000665B0">
          <w:rPr>
            <w:rStyle w:val="Hyperlink"/>
          </w:rPr>
          <w:t>7</w:t>
        </w:r>
        <w:r w:rsidRPr="000665B0">
          <w:rPr>
            <w:rStyle w:val="Hyperlink"/>
          </w:rPr>
          <w:t>.1.6</w:t>
        </w:r>
      </w:hyperlink>
      <w:r w:rsidRPr="000665B0">
        <w:t xml:space="preserve">), </w:t>
      </w:r>
      <w:r w:rsidR="00224F73" w:rsidRPr="000665B0">
        <w:rPr>
          <w:b/>
        </w:rPr>
        <w:t>D</w:t>
      </w:r>
      <w:r w:rsidRPr="000665B0">
        <w:rPr>
          <w:b/>
        </w:rPr>
        <w:t>econfliction</w:t>
      </w:r>
      <w:r w:rsidRPr="000665B0">
        <w:t xml:space="preserve"> and </w:t>
      </w:r>
      <w:r w:rsidR="00224F73" w:rsidRPr="000665B0">
        <w:rPr>
          <w:b/>
        </w:rPr>
        <w:t>E</w:t>
      </w:r>
      <w:r w:rsidRPr="000665B0">
        <w:rPr>
          <w:b/>
        </w:rPr>
        <w:t>valuation</w:t>
      </w:r>
      <w:r w:rsidRPr="000665B0">
        <w:t xml:space="preserve"> of the Strike Option can be accomplished </w:t>
      </w:r>
      <w:r w:rsidR="00224F73" w:rsidRPr="000665B0">
        <w:t xml:space="preserve">using </w:t>
      </w:r>
      <w:r w:rsidRPr="000665B0">
        <w:t xml:space="preserve">the </w:t>
      </w:r>
      <w:r w:rsidRPr="000665B0">
        <w:rPr>
          <w:b/>
        </w:rPr>
        <w:t>Analysis Tool</w:t>
      </w:r>
      <w:r w:rsidRPr="000665B0">
        <w:t xml:space="preserve">. TSN Comms deconfliction can also be done </w:t>
      </w:r>
      <w:r w:rsidR="00224F73" w:rsidRPr="000665B0">
        <w:t xml:space="preserve">with </w:t>
      </w:r>
      <w:r w:rsidRPr="000665B0">
        <w:t>the Analysis Tool, but this option is only available in the Strike Execution folder when multiple strikes are to be executed.</w:t>
      </w:r>
    </w:p>
    <w:p w14:paraId="0E3A836B" w14:textId="6DAFA383" w:rsidR="00C13FE9" w:rsidRPr="000665B0" w:rsidRDefault="00C13FE9" w:rsidP="00474A1F">
      <w:pPr>
        <w:pStyle w:val="BodyTextIndent2"/>
        <w:tabs>
          <w:tab w:val="left" w:pos="720"/>
        </w:tabs>
        <w:spacing w:line="240" w:lineRule="auto"/>
        <w:ind w:left="0"/>
      </w:pPr>
      <w:r w:rsidRPr="000665B0">
        <w:t xml:space="preserve">When missions have C2X data, each action point along a route has a range of elevations in feet above mean sea level (MSL) and a range of altitudes in feet </w:t>
      </w:r>
      <w:r w:rsidR="00DC0013" w:rsidRPr="000665B0">
        <w:t xml:space="preserve">Above Ground Level </w:t>
      </w:r>
      <w:r w:rsidRPr="000665B0">
        <w:t xml:space="preserve">(AGL). Where routes are compared against ACMSs, such as in Use Rate Constraint and Prohibited Area conflict detection, </w:t>
      </w:r>
      <w:r w:rsidR="00283BBA" w:rsidRPr="000665B0">
        <w:t>t</w:t>
      </w:r>
      <w:r w:rsidRPr="000665B0">
        <w:t>he MSL values are compared against the ACMS MSL floor and ceiling values (if defined)</w:t>
      </w:r>
      <w:r w:rsidR="00224F73" w:rsidRPr="000665B0">
        <w:t>,</w:t>
      </w:r>
      <w:r w:rsidRPr="000665B0">
        <w:t xml:space="preserve"> and the AGL values are compared against the ACMS AGL floor and ceiling values (if defined).</w:t>
      </w:r>
    </w:p>
    <w:p w14:paraId="75D06A7F" w14:textId="77777777" w:rsidR="00D3695B" w:rsidRPr="000665B0" w:rsidRDefault="009A1FDF" w:rsidP="0048201D">
      <w:pPr>
        <w:pStyle w:val="bullet11"/>
        <w:keepLines/>
        <w:pBdr>
          <w:top w:val="single" w:sz="12" w:space="1" w:color="auto"/>
          <w:left w:val="single" w:sz="12" w:space="4" w:color="auto"/>
          <w:bottom w:val="single" w:sz="12" w:space="1" w:color="auto"/>
          <w:right w:val="single" w:sz="12" w:space="4" w:color="auto"/>
        </w:pBdr>
        <w:shd w:val="clear" w:color="auto" w:fill="F3F3F3"/>
        <w:spacing w:before="0" w:beforeAutospacing="0" w:after="120" w:afterAutospacing="0"/>
        <w:rPr>
          <w:b/>
        </w:rPr>
      </w:pPr>
      <w:r w:rsidRPr="000665B0">
        <w:rPr>
          <w:rFonts w:ascii="Arial" w:hAnsi="Arial" w:cs="Arial"/>
          <w:b/>
          <w:noProof/>
          <w:sz w:val="20"/>
        </w:rPr>
        <w:lastRenderedPageBreak/>
        <w:drawing>
          <wp:inline distT="0" distB="0" distL="0" distR="0" wp14:anchorId="56BA233B" wp14:editId="60F93540">
            <wp:extent cx="352425" cy="381000"/>
            <wp:effectExtent l="0" t="0" r="9525" b="0"/>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D3695B" w:rsidRPr="000665B0">
        <w:rPr>
          <w:b/>
        </w:rPr>
        <w:t>TIP: TSRT will not launch missiles if it determines that the FRU will not be in the launch basket. If a PLP exists for the FRU</w:t>
      </w:r>
      <w:r w:rsidR="00224F73" w:rsidRPr="000665B0">
        <w:rPr>
          <w:b/>
        </w:rPr>
        <w:t>,</w:t>
      </w:r>
      <w:r w:rsidR="00D3695B" w:rsidRPr="000665B0">
        <w:rPr>
          <w:b/>
        </w:rPr>
        <w:t xml:space="preserve"> then TSRT will use the PLP when planning the engagement plan. If no PLP exists for the FRU</w:t>
      </w:r>
      <w:r w:rsidR="00224F73" w:rsidRPr="000665B0">
        <w:rPr>
          <w:b/>
        </w:rPr>
        <w:t>,</w:t>
      </w:r>
      <w:r w:rsidR="00D3695B" w:rsidRPr="000665B0">
        <w:rPr>
          <w:b/>
        </w:rPr>
        <w:t xml:space="preserve"> then TSRT will </w:t>
      </w:r>
      <w:r w:rsidR="00287E78" w:rsidRPr="000665B0">
        <w:rPr>
          <w:b/>
        </w:rPr>
        <w:t xml:space="preserve">derive a PLP for a FRU by selecting an area that maximizes the number of assigned missions that can be satisfied. </w:t>
      </w:r>
      <w:r w:rsidR="00D3695B" w:rsidRPr="000665B0">
        <w:rPr>
          <w:b/>
        </w:rPr>
        <w:t xml:space="preserve">To increase the odds of missiles being </w:t>
      </w:r>
      <w:r w:rsidR="00287E78" w:rsidRPr="000665B0">
        <w:rPr>
          <w:b/>
        </w:rPr>
        <w:t>geo-f</w:t>
      </w:r>
      <w:r w:rsidR="00D3695B" w:rsidRPr="000665B0">
        <w:rPr>
          <w:b/>
        </w:rPr>
        <w:t xml:space="preserve">easible in TSRT, the </w:t>
      </w:r>
      <w:r w:rsidR="00287E78" w:rsidRPr="000665B0">
        <w:rPr>
          <w:b/>
        </w:rPr>
        <w:t>P</w:t>
      </w:r>
      <w:r w:rsidR="00D3695B" w:rsidRPr="000665B0">
        <w:rPr>
          <w:b/>
        </w:rPr>
        <w:t xml:space="preserve">lanner should ensure that </w:t>
      </w:r>
      <w:r w:rsidR="00287E78" w:rsidRPr="000665B0">
        <w:rPr>
          <w:b/>
        </w:rPr>
        <w:t>each FRU is assigned a PLP that is within the</w:t>
      </w:r>
      <w:r w:rsidR="00D3695B" w:rsidRPr="000665B0">
        <w:rPr>
          <w:b/>
        </w:rPr>
        <w:t xml:space="preserve"> CALA </w:t>
      </w:r>
      <w:r w:rsidR="00287E78" w:rsidRPr="000665B0">
        <w:rPr>
          <w:b/>
        </w:rPr>
        <w:t>of its assigned missions</w:t>
      </w:r>
      <w:r w:rsidR="00D3695B" w:rsidRPr="000665B0">
        <w:rPr>
          <w:b/>
        </w:rPr>
        <w:t>. This can be accomplished by going to the Strike Option PM3 screen and Displaying the CALA Geographically for each FRU with assignments. If there is no CALA (no intersection</w:t>
      </w:r>
      <w:r w:rsidR="00287E78" w:rsidRPr="000665B0">
        <w:rPr>
          <w:b/>
        </w:rPr>
        <w:t xml:space="preserve"> of mission launch areas</w:t>
      </w:r>
      <w:r w:rsidR="00D3695B" w:rsidRPr="000665B0">
        <w:rPr>
          <w:b/>
        </w:rPr>
        <w:t xml:space="preserve">) then assignments must be reassigned to another FRU or removed. Once a CALA exists the Planner should create or use a PLP that is inside of the CALA. </w:t>
      </w:r>
    </w:p>
    <w:p w14:paraId="5792870B" w14:textId="77777777" w:rsidR="0078503C" w:rsidRPr="000665B0" w:rsidRDefault="0078503C" w:rsidP="00172AD0">
      <w:pPr>
        <w:keepNext/>
        <w:tabs>
          <w:tab w:val="left" w:pos="720"/>
        </w:tabs>
        <w:spacing w:after="240"/>
      </w:pPr>
      <w:r w:rsidRPr="000665B0">
        <w:t xml:space="preserve">To run </w:t>
      </w:r>
      <w:r w:rsidR="00561243" w:rsidRPr="000665B0">
        <w:t xml:space="preserve">Deconfliction </w:t>
      </w:r>
      <w:r w:rsidRPr="000665B0">
        <w:t>on the Strike Option:</w:t>
      </w:r>
    </w:p>
    <w:p w14:paraId="2B53830B" w14:textId="1D84915C" w:rsidR="0078503C" w:rsidRPr="000665B0" w:rsidRDefault="0078503C" w:rsidP="006D5A65">
      <w:pPr>
        <w:pStyle w:val="Heading1"/>
      </w:pPr>
      <w:r w:rsidRPr="000665B0">
        <w:t>From the Tools menu select Analysis or click the Run Analysis</w:t>
      </w:r>
      <w:r w:rsidR="00513399" w:rsidRPr="000665B0">
        <w:t xml:space="preserve"> on Primary Missions</w:t>
      </w:r>
      <w:r w:rsidRPr="000665B0">
        <w:t xml:space="preserve"> </w:t>
      </w:r>
      <w:r w:rsidR="009A1FDF" w:rsidRPr="000665B0">
        <w:rPr>
          <w:noProof/>
        </w:rPr>
        <w:drawing>
          <wp:inline distT="0" distB="0" distL="0" distR="0" wp14:anchorId="4EE14D12" wp14:editId="537CCAAA">
            <wp:extent cx="152400" cy="152400"/>
            <wp:effectExtent l="19050" t="0" r="0" b="0"/>
            <wp:docPr id="608" name="Picture 608" descr="de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deconflict"/>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from the toolbar.</w:t>
      </w:r>
    </w:p>
    <w:p w14:paraId="620A9CCF" w14:textId="44250562" w:rsidR="001F590F" w:rsidRDefault="0078503C" w:rsidP="006D5A65">
      <w:pPr>
        <w:pStyle w:val="Heading1"/>
      </w:pPr>
      <w:r w:rsidRPr="000665B0">
        <w:t xml:space="preserve">Select the </w:t>
      </w:r>
      <w:r w:rsidRPr="000665B0">
        <w:rPr>
          <w:i/>
        </w:rPr>
        <w:t>Deconfliction</w:t>
      </w:r>
      <w:r w:rsidR="00E00F43" w:rsidRPr="000665B0">
        <w:rPr>
          <w:i/>
        </w:rPr>
        <w:t xml:space="preserve"> (Not run yet)</w:t>
      </w:r>
      <w:r w:rsidRPr="000665B0">
        <w:t xml:space="preserve"> tab</w:t>
      </w:r>
      <w:r w:rsidR="00561243" w:rsidRPr="000665B0">
        <w:t>,</w:t>
      </w:r>
      <w:r w:rsidRPr="000665B0">
        <w:t xml:space="preserve"> then select the Deconfliction Types to run: </w:t>
      </w:r>
    </w:p>
    <w:p w14:paraId="32E6B122" w14:textId="0ED194CF" w:rsidR="00751757" w:rsidRPr="000665B0" w:rsidRDefault="00751757" w:rsidP="001F4B14">
      <w:pPr>
        <w:pStyle w:val="Number0205"/>
        <w:ind w:left="0" w:firstLine="0"/>
        <w:jc w:val="center"/>
      </w:pPr>
      <w:r w:rsidRPr="00751757">
        <w:rPr>
          <w:noProof/>
        </w:rPr>
        <w:drawing>
          <wp:inline distT="0" distB="0" distL="0" distR="0" wp14:anchorId="314B4B67" wp14:editId="23CE181F">
            <wp:extent cx="4114800" cy="4215384"/>
            <wp:effectExtent l="0" t="0" r="0" b="0"/>
            <wp:docPr id="149" name="Picture 4" descr="Graphical user interface, text, application, email&#10;&#10;Description automatically generated">
              <a:extLst xmlns:a="http://schemas.openxmlformats.org/drawingml/2006/main">
                <a:ext uri="{FF2B5EF4-FFF2-40B4-BE49-F238E27FC236}">
                  <a16:creationId xmlns:a16="http://schemas.microsoft.com/office/drawing/2014/main" id="{9DC0503B-A128-4FAC-8959-12ABA7E34D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4" descr="Graphical user interface, text, application, email&#10;&#10;Description automatically generated">
                      <a:extLst>
                        <a:ext uri="{FF2B5EF4-FFF2-40B4-BE49-F238E27FC236}">
                          <a16:creationId xmlns:a16="http://schemas.microsoft.com/office/drawing/2014/main" id="{9DC0503B-A128-4FAC-8959-12ABA7E34DB7}"/>
                        </a:ext>
                      </a:extLst>
                    </pic:cNvPr>
                    <pic:cNvPicPr>
                      <a:picLocks noChangeAspect="1"/>
                    </pic:cNvPicPr>
                  </pic:nvPicPr>
                  <pic:blipFill>
                    <a:blip/>
                    <a:stretch>
                      <a:fillRect/>
                    </a:stretch>
                  </pic:blipFill>
                  <pic:spPr>
                    <a:xfrm>
                      <a:off x="0" y="0"/>
                      <a:ext cx="4114800" cy="4215384"/>
                    </a:xfrm>
                    <a:prstGeom prst="rect">
                      <a:avLst/>
                    </a:prstGeom>
                  </pic:spPr>
                </pic:pic>
              </a:graphicData>
            </a:graphic>
          </wp:inline>
        </w:drawing>
      </w:r>
    </w:p>
    <w:p w14:paraId="12A78CB2" w14:textId="77777777" w:rsidR="00C13FE9" w:rsidRPr="000665B0" w:rsidRDefault="00C13FE9" w:rsidP="006D5A65">
      <w:pPr>
        <w:pStyle w:val="Heading2"/>
      </w:pPr>
      <w:r w:rsidRPr="000665B0">
        <w:t>Routes – Identifies conflicts between routes. Conflict types identified include:</w:t>
      </w:r>
    </w:p>
    <w:p w14:paraId="40CD4309" w14:textId="77777777" w:rsidR="00C13FE9" w:rsidRPr="000665B0" w:rsidRDefault="00C13FE9" w:rsidP="006D5A65">
      <w:pPr>
        <w:pStyle w:val="Heading2"/>
      </w:pPr>
      <w:r w:rsidRPr="000665B0">
        <w:lastRenderedPageBreak/>
        <w:t>Colinear – Segments of routes travel the same path.</w:t>
      </w:r>
    </w:p>
    <w:p w14:paraId="1D9176DB" w14:textId="77777777" w:rsidR="00C13FE9" w:rsidRPr="000665B0" w:rsidRDefault="00C13FE9" w:rsidP="006D5A65">
      <w:pPr>
        <w:pStyle w:val="Heading2"/>
      </w:pPr>
      <w:r w:rsidRPr="000665B0">
        <w:t>Intersection – Routes cross each other.</w:t>
      </w:r>
    </w:p>
    <w:p w14:paraId="70896714" w14:textId="6F66D3EE" w:rsidR="00C13FE9" w:rsidRPr="000665B0" w:rsidRDefault="00C13FE9" w:rsidP="006D5A65">
      <w:pPr>
        <w:pStyle w:val="Heading2"/>
      </w:pPr>
      <w:r w:rsidRPr="000665B0">
        <w:t xml:space="preserve">Tolerance Infringement – Routes don’t actually </w:t>
      </w:r>
      <w:r w:rsidR="008B4438" w:rsidRPr="000665B0">
        <w:t>cross but</w:t>
      </w:r>
      <w:r w:rsidRPr="000665B0">
        <w:t xml:space="preserve"> pass too close to one another.</w:t>
      </w:r>
    </w:p>
    <w:p w14:paraId="62445AF5" w14:textId="0B32AF0A" w:rsidR="00C13FE9" w:rsidRPr="000665B0" w:rsidRDefault="00C13FE9" w:rsidP="006D5A65">
      <w:pPr>
        <w:pStyle w:val="Heading2"/>
      </w:pPr>
      <w:r w:rsidRPr="000665B0">
        <w:t>DSMAC</w:t>
      </w:r>
      <w:r w:rsidR="00D77C55" w:rsidRPr="000665B0">
        <w:t>s</w:t>
      </w:r>
      <w:r w:rsidRPr="000665B0">
        <w:t xml:space="preserve"> – Identifies DSMAC conflicts.</w:t>
      </w:r>
    </w:p>
    <w:p w14:paraId="73624A09" w14:textId="4BA58C92" w:rsidR="00C13FE9" w:rsidRPr="000665B0" w:rsidRDefault="00C13FE9" w:rsidP="006D5A65">
      <w:pPr>
        <w:pStyle w:val="Heading2"/>
      </w:pPr>
      <w:r w:rsidRPr="000665B0">
        <w:t>Targets – Identifies target arrival conflicts.</w:t>
      </w:r>
      <w:r w:rsidR="005B5C73" w:rsidRPr="000665B0">
        <w:t xml:space="preserve"> Targets being prosecuted with attack plan missions may show target conflicts that are expected and required for successful prosecution of the target if the TAR Type requires “</w:t>
      </w:r>
      <w:r w:rsidR="000352D0" w:rsidRPr="000665B0">
        <w:t>S</w:t>
      </w:r>
      <w:r w:rsidR="005B5C73" w:rsidRPr="000665B0">
        <w:t xml:space="preserve">imultaneous TOT” or “TOT </w:t>
      </w:r>
      <w:r w:rsidR="000352D0" w:rsidRPr="000665B0">
        <w:t>T</w:t>
      </w:r>
      <w:r w:rsidR="005B5C73" w:rsidRPr="000665B0">
        <w:t xml:space="preserve">ime </w:t>
      </w:r>
      <w:r w:rsidR="000352D0" w:rsidRPr="000665B0">
        <w:t>S</w:t>
      </w:r>
      <w:r w:rsidR="005B5C73" w:rsidRPr="000665B0">
        <w:t>eparation.” Those times cannot be modified for separation.</w:t>
      </w:r>
    </w:p>
    <w:p w14:paraId="1CBF1DBA" w14:textId="77777777" w:rsidR="00C13FE9" w:rsidRPr="000665B0" w:rsidRDefault="00C13FE9" w:rsidP="006D5A65">
      <w:pPr>
        <w:pStyle w:val="Heading2"/>
      </w:pPr>
      <w:r w:rsidRPr="000665B0">
        <w:t>Use Rate Constraints – Identifies Use Rate Constraint violations.</w:t>
      </w:r>
    </w:p>
    <w:p w14:paraId="24EE1A8F" w14:textId="217FE6FA" w:rsidR="00C13FE9" w:rsidRPr="000665B0" w:rsidRDefault="00C13FE9" w:rsidP="006D5A65">
      <w:pPr>
        <w:pStyle w:val="Heading2"/>
      </w:pPr>
      <w:r w:rsidRPr="000665B0">
        <w:t>Prohibited Areas – Identifies conflicts between routes and prohibited areas.</w:t>
      </w:r>
    </w:p>
    <w:p w14:paraId="0A898431" w14:textId="77777777" w:rsidR="00037F76" w:rsidRPr="000665B0" w:rsidRDefault="00037F76" w:rsidP="0086324C">
      <w:pPr>
        <w:keepNext/>
        <w:pageBreakBefore/>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86"/>
        <w:jc w:val="center"/>
        <w:rPr>
          <w:b/>
        </w:rPr>
      </w:pPr>
      <w:r w:rsidRPr="000665B0">
        <w:rPr>
          <w:b/>
        </w:rPr>
        <w:lastRenderedPageBreak/>
        <w:t xml:space="preserve">Note: </w:t>
      </w:r>
    </w:p>
    <w:p w14:paraId="31267974" w14:textId="77777777" w:rsidR="0086324C" w:rsidRDefault="00037F76" w:rsidP="0086324C">
      <w:pPr>
        <w:pBdr>
          <w:top w:val="single" w:sz="12" w:space="1" w:color="auto"/>
          <w:left w:val="single" w:sz="12" w:space="4" w:color="auto"/>
          <w:bottom w:val="single" w:sz="12" w:space="1" w:color="auto"/>
          <w:right w:val="single" w:sz="12" w:space="4" w:color="auto"/>
        </w:pBdr>
        <w:shd w:val="clear" w:color="auto" w:fill="D9D9D9" w:themeFill="background1" w:themeFillShade="D9"/>
        <w:ind w:left="86"/>
        <w:jc w:val="center"/>
        <w:rPr>
          <w:b/>
        </w:rPr>
      </w:pPr>
      <w:r w:rsidRPr="000665B0">
        <w:rPr>
          <w:b/>
        </w:rPr>
        <w:t xml:space="preserve">In rare cases, strike analysis/deconfliction may report an unexpected conflict where a mission violates a Prohibited Area ACMS that is in the mission and strike option. When the conflict is displayed geographically, the display shows the mission route cutting across a small corner of the ACMS, which causes the violation. </w:t>
      </w:r>
    </w:p>
    <w:p w14:paraId="48179941" w14:textId="77777777" w:rsidR="0086324C" w:rsidRDefault="0086324C" w:rsidP="0086324C">
      <w:pPr>
        <w:pBdr>
          <w:top w:val="single" w:sz="12" w:space="1" w:color="auto"/>
          <w:left w:val="single" w:sz="12" w:space="4" w:color="auto"/>
          <w:bottom w:val="single" w:sz="12" w:space="1" w:color="auto"/>
          <w:right w:val="single" w:sz="12" w:space="4" w:color="auto"/>
        </w:pBdr>
        <w:shd w:val="clear" w:color="auto" w:fill="D9D9D9" w:themeFill="background1" w:themeFillShade="D9"/>
        <w:ind w:left="86"/>
        <w:jc w:val="center"/>
        <w:rPr>
          <w:b/>
        </w:rPr>
      </w:pPr>
      <w:r>
        <w:rPr>
          <w:b/>
        </w:rPr>
        <w:t>S</w:t>
      </w:r>
      <w:r w:rsidR="00037F76" w:rsidRPr="000665B0">
        <w:rPr>
          <w:b/>
        </w:rPr>
        <w:t>trike analysis/deconfliction considers only the mission route’s action points, which are connected on the display by straight-line segments. A straight-line segment may cut across the corner of an ACMS, but the true missile path actually routes around the outside of the ACMS’s corner in a curve.</w:t>
      </w:r>
    </w:p>
    <w:p w14:paraId="08EB00B4" w14:textId="77777777" w:rsidR="0086324C" w:rsidRDefault="00037F76" w:rsidP="0086324C">
      <w:pPr>
        <w:pBdr>
          <w:top w:val="single" w:sz="12" w:space="1" w:color="auto"/>
          <w:left w:val="single" w:sz="12" w:space="4" w:color="auto"/>
          <w:bottom w:val="single" w:sz="12" w:space="1" w:color="auto"/>
          <w:right w:val="single" w:sz="12" w:space="4" w:color="auto"/>
        </w:pBdr>
        <w:shd w:val="clear" w:color="auto" w:fill="D9D9D9" w:themeFill="background1" w:themeFillShade="D9"/>
        <w:ind w:left="86"/>
        <w:jc w:val="center"/>
        <w:rPr>
          <w:b/>
        </w:rPr>
      </w:pPr>
      <w:r w:rsidRPr="000665B0">
        <w:rPr>
          <w:b/>
        </w:rPr>
        <w:t>The violation is shown when the mission is displayed by action points. When the mission is displayed by waypoints, the violation is not shown because waypoint line segments should not cut across the corner of an ACMS.</w:t>
      </w:r>
      <w:r w:rsidR="009651B0">
        <w:rPr>
          <w:b/>
        </w:rPr>
        <w:t xml:space="preserve"> </w:t>
      </w:r>
    </w:p>
    <w:p w14:paraId="7AF155AF" w14:textId="79533A28" w:rsidR="00037F76" w:rsidRPr="0086324C" w:rsidRDefault="00037F76" w:rsidP="0086324C">
      <w:pPr>
        <w:pBdr>
          <w:top w:val="single" w:sz="12" w:space="1" w:color="auto"/>
          <w:left w:val="single" w:sz="12" w:space="4" w:color="auto"/>
          <w:bottom w:val="single" w:sz="12" w:space="1" w:color="auto"/>
          <w:right w:val="single" w:sz="12" w:space="4" w:color="auto"/>
        </w:pBdr>
        <w:shd w:val="clear" w:color="auto" w:fill="D9D9D9" w:themeFill="background1" w:themeFillShade="D9"/>
        <w:ind w:left="86"/>
        <w:jc w:val="center"/>
        <w:rPr>
          <w:b/>
        </w:rPr>
      </w:pPr>
      <w:r w:rsidRPr="000665B0">
        <w:rPr>
          <w:b/>
        </w:rPr>
        <w:t>When this conflict occurs, the mission may be rejected for use which would cause the associated target to be uncovered.</w:t>
      </w:r>
    </w:p>
    <w:p w14:paraId="4FFD1D06" w14:textId="56DD3185" w:rsidR="0078503C" w:rsidRPr="000665B0" w:rsidRDefault="009826B1" w:rsidP="006D5A65">
      <w:pPr>
        <w:pStyle w:val="Heading1"/>
      </w:pPr>
      <w:r w:rsidRPr="000665B0">
        <w:t xml:space="preserve">Change </w:t>
      </w:r>
      <w:r w:rsidR="0078503C" w:rsidRPr="000665B0">
        <w:t xml:space="preserve">the </w:t>
      </w:r>
      <w:r w:rsidRPr="000665B0">
        <w:t xml:space="preserve">tolerances if </w:t>
      </w:r>
      <w:r w:rsidR="008B4438" w:rsidRPr="000665B0">
        <w:t>desired or</w:t>
      </w:r>
      <w:r w:rsidRPr="000665B0">
        <w:t xml:space="preserve"> keep the auto-populated system default tolerances </w:t>
      </w:r>
      <w:r w:rsidR="0078503C" w:rsidRPr="000665B0">
        <w:t xml:space="preserve">and click the Run Analysis </w:t>
      </w:r>
      <w:r w:rsidR="009A1FDF" w:rsidRPr="000665B0">
        <w:rPr>
          <w:noProof/>
        </w:rPr>
        <w:drawing>
          <wp:inline distT="0" distB="0" distL="0" distR="0" wp14:anchorId="6FA4D666" wp14:editId="0E980813">
            <wp:extent cx="152400" cy="152400"/>
            <wp:effectExtent l="19050" t="0" r="0" b="0"/>
            <wp:docPr id="609" name="Picture 609" descr="Execute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ExecuteQuery"/>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78503C" w:rsidRPr="000665B0">
        <w:t xml:space="preserve"> button.</w:t>
      </w:r>
    </w:p>
    <w:p w14:paraId="3C4F6066" w14:textId="77777777" w:rsidR="0078503C" w:rsidRPr="000665B0" w:rsidRDefault="004B01C5" w:rsidP="006D5A65">
      <w:pPr>
        <w:pStyle w:val="Heading1"/>
      </w:pPr>
      <w:r w:rsidRPr="000665B0">
        <w:t>Select a tab</w:t>
      </w:r>
      <w:r w:rsidR="0078503C" w:rsidRPr="000665B0">
        <w:t xml:space="preserve"> at the bottom of the window </w:t>
      </w:r>
      <w:r w:rsidRPr="000665B0">
        <w:t>to view</w:t>
      </w:r>
      <w:r w:rsidR="0078503C" w:rsidRPr="000665B0">
        <w:t xml:space="preserve"> c</w:t>
      </w:r>
      <w:r w:rsidR="00C13FE9" w:rsidRPr="000665B0">
        <w:t>onflicts for this option.</w:t>
      </w:r>
    </w:p>
    <w:p w14:paraId="4C31EE23" w14:textId="1E02C699" w:rsidR="0078503C" w:rsidRPr="000665B0" w:rsidRDefault="00484FE5" w:rsidP="00474A1F">
      <w:pPr>
        <w:tabs>
          <w:tab w:val="left" w:pos="720"/>
        </w:tabs>
        <w:jc w:val="center"/>
      </w:pPr>
      <w:r w:rsidRPr="000665B0">
        <w:rPr>
          <w:noProof/>
        </w:rPr>
        <w:drawing>
          <wp:inline distT="0" distB="0" distL="0" distR="0" wp14:anchorId="7EF73522" wp14:editId="300654B9">
            <wp:extent cx="4114800" cy="4151376"/>
            <wp:effectExtent l="0" t="0" r="0" b="1905"/>
            <wp:docPr id="2016" name="Picture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4151376"/>
                    </a:xfrm>
                    <a:prstGeom prst="rect">
                      <a:avLst/>
                    </a:prstGeom>
                  </pic:spPr>
                </pic:pic>
              </a:graphicData>
            </a:graphic>
          </wp:inline>
        </w:drawing>
      </w:r>
    </w:p>
    <w:p w14:paraId="3289A0B0" w14:textId="0A711267" w:rsidR="00833C6A" w:rsidRPr="000665B0" w:rsidRDefault="00833C6A" w:rsidP="009163E5">
      <w:pPr>
        <w:pStyle w:val="BodyTextIndent2"/>
        <w:keepNext/>
        <w:tabs>
          <w:tab w:val="left" w:pos="720"/>
        </w:tabs>
        <w:spacing w:before="240" w:line="240" w:lineRule="auto"/>
        <w:ind w:left="0"/>
      </w:pPr>
      <w:r w:rsidRPr="000665B0">
        <w:lastRenderedPageBreak/>
        <w:t xml:space="preserve">To run </w:t>
      </w:r>
      <w:r w:rsidR="00561243" w:rsidRPr="000665B0">
        <w:t>E</w:t>
      </w:r>
      <w:r w:rsidRPr="000665B0">
        <w:t>valuation on the Strike Option:</w:t>
      </w:r>
    </w:p>
    <w:p w14:paraId="64E64FF6" w14:textId="77777777" w:rsidR="00833C6A" w:rsidRPr="000665B0" w:rsidRDefault="00833C6A" w:rsidP="006D5A65">
      <w:pPr>
        <w:pStyle w:val="Heading1"/>
      </w:pPr>
      <w:r w:rsidRPr="000665B0">
        <w:t xml:space="preserve">From the Tools menu select Run Analysis or click the Run Option Analysis </w:t>
      </w:r>
      <w:r w:rsidRPr="000665B0">
        <w:rPr>
          <w:noProof/>
        </w:rPr>
        <w:drawing>
          <wp:inline distT="0" distB="0" distL="0" distR="0" wp14:anchorId="2DCCCBB1" wp14:editId="693FC560">
            <wp:extent cx="152400" cy="152400"/>
            <wp:effectExtent l="19050" t="0" r="0" b="0"/>
            <wp:docPr id="1015" name="Picture 1015" descr="de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deconflict"/>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from the toolbar.</w:t>
      </w:r>
    </w:p>
    <w:p w14:paraId="729669E7" w14:textId="77594337" w:rsidR="0078503C" w:rsidRPr="000665B0" w:rsidRDefault="00833C6A" w:rsidP="006D5A65">
      <w:pPr>
        <w:pStyle w:val="Heading1"/>
      </w:pPr>
      <w:r w:rsidRPr="000665B0">
        <w:t xml:space="preserve">Select the </w:t>
      </w:r>
      <w:r w:rsidRPr="000665B0">
        <w:rPr>
          <w:i/>
        </w:rPr>
        <w:t>Evaluation</w:t>
      </w:r>
      <w:r w:rsidR="00E00F43" w:rsidRPr="000665B0">
        <w:rPr>
          <w:i/>
        </w:rPr>
        <w:t xml:space="preserve"> (Not run yet)</w:t>
      </w:r>
      <w:r w:rsidRPr="000665B0">
        <w:t xml:space="preserve"> tab</w:t>
      </w:r>
      <w:r w:rsidR="00561243" w:rsidRPr="000665B0">
        <w:t>,</w:t>
      </w:r>
      <w:r w:rsidRPr="000665B0">
        <w:t xml:space="preserve"> then select</w:t>
      </w:r>
      <w:r w:rsidR="0078503C" w:rsidRPr="000665B0">
        <w:t xml:space="preserve"> the Evaluation criteria</w:t>
      </w:r>
      <w:r w:rsidR="00E179D2" w:rsidRPr="000665B0">
        <w:t xml:space="preserve">. For more information about the Evaluation criteria, see </w:t>
      </w:r>
      <w:hyperlink w:anchor="_Auto-Analysis_Tab" w:history="1">
        <w:r w:rsidR="009326FE" w:rsidRPr="000665B0">
          <w:rPr>
            <w:rStyle w:val="Hyperlink"/>
          </w:rPr>
          <w:t xml:space="preserve">Section </w:t>
        </w:r>
        <w:r w:rsidR="004231CC">
          <w:rPr>
            <w:rStyle w:val="Hyperlink"/>
          </w:rPr>
          <w:t>5.34</w:t>
        </w:r>
        <w:r w:rsidR="00E179D2" w:rsidRPr="000665B0">
          <w:rPr>
            <w:rStyle w:val="Hyperlink"/>
          </w:rPr>
          <w:t>.1.1.3.3</w:t>
        </w:r>
      </w:hyperlink>
      <w:r w:rsidR="00E179D2" w:rsidRPr="000665B0">
        <w:t>.</w:t>
      </w:r>
      <w:r w:rsidR="0078503C" w:rsidRPr="000665B0">
        <w:t xml:space="preserve"> </w:t>
      </w:r>
    </w:p>
    <w:p w14:paraId="0F69C572" w14:textId="1AFF5010" w:rsidR="00561243" w:rsidRPr="000665B0" w:rsidRDefault="00484FE5" w:rsidP="0058307F">
      <w:pPr>
        <w:pStyle w:val="Number0205"/>
        <w:ind w:left="0" w:firstLine="0"/>
        <w:jc w:val="center"/>
      </w:pPr>
      <w:r w:rsidRPr="000665B0">
        <w:rPr>
          <w:noProof/>
        </w:rPr>
        <w:drawing>
          <wp:inline distT="0" distB="0" distL="0" distR="0" wp14:anchorId="57C97B6C" wp14:editId="7DECFC98">
            <wp:extent cx="4114800" cy="4151376"/>
            <wp:effectExtent l="0" t="0" r="0" b="1905"/>
            <wp:docPr id="2022" name="Pictur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4151376"/>
                    </a:xfrm>
                    <a:prstGeom prst="rect">
                      <a:avLst/>
                    </a:prstGeom>
                  </pic:spPr>
                </pic:pic>
              </a:graphicData>
            </a:graphic>
          </wp:inline>
        </w:drawing>
      </w:r>
    </w:p>
    <w:p w14:paraId="67C86A12" w14:textId="37F8EC7A" w:rsidR="00A71670" w:rsidRPr="000665B0" w:rsidRDefault="00A71670" w:rsidP="006D5A65">
      <w:pPr>
        <w:pStyle w:val="Heading2"/>
      </w:pPr>
      <w:r w:rsidRPr="000665B0">
        <w:t>TTWCS Requirement</w:t>
      </w:r>
      <w:r w:rsidR="00CD4B30" w:rsidRPr="000665B0">
        <w:t xml:space="preserve"> – </w:t>
      </w:r>
      <w:r w:rsidR="000B7F9C" w:rsidRPr="000665B0">
        <w:t>The strike package data will be checked to see if the strike package conforms to 3900/146 interface agreements between MDS and TTWCS.</w:t>
      </w:r>
    </w:p>
    <w:p w14:paraId="0E9A3592" w14:textId="77777777" w:rsidR="00A71670" w:rsidRPr="000665B0" w:rsidRDefault="00A71670" w:rsidP="006D5A65">
      <w:pPr>
        <w:pStyle w:val="Heading2"/>
      </w:pPr>
      <w:r w:rsidRPr="000665B0">
        <w:t>DSMAC Employment</w:t>
      </w:r>
      <w:r w:rsidR="00561243" w:rsidRPr="000665B0">
        <w:t xml:space="preserve"> </w:t>
      </w:r>
      <w:r w:rsidRPr="000665B0">
        <w:t>– Identifies DSMAC Employment Parameter violations (only when evaluating Missions with C2X data). If a Mission has DSMAC Employment Parameters, then the Mission’s first and last DSMAC (not VUP) must fall within one of the Employment Parameters.</w:t>
      </w:r>
    </w:p>
    <w:p w14:paraId="4D05CD46" w14:textId="4FAF28B0" w:rsidR="00A71670" w:rsidRPr="000665B0" w:rsidRDefault="00A71670" w:rsidP="006D5A65">
      <w:pPr>
        <w:pStyle w:val="Heading2"/>
      </w:pPr>
      <w:r w:rsidRPr="000665B0">
        <w:t>Tasking Objective</w:t>
      </w:r>
      <w:r w:rsidR="000B7F9C" w:rsidRPr="000665B0">
        <w:t xml:space="preserve"> </w:t>
      </w:r>
      <w:r w:rsidR="00484FE5" w:rsidRPr="000665B0">
        <w:t xml:space="preserve">– </w:t>
      </w:r>
      <w:r w:rsidR="000B7F9C" w:rsidRPr="000665B0">
        <w:t xml:space="preserve">Missile assignments are checked to determine whether the required number of missiles have been assigned for all missions, TMPRs, and LMOs in the Missions tab of the strike option if it has a required number of missiles designation. Required missiles for missions or TMPRs or LMOs </w:t>
      </w:r>
      <w:r w:rsidR="000B7F9C" w:rsidRPr="000665B0">
        <w:lastRenderedPageBreak/>
        <w:t>can be specified by the operator in the Missions tab of the strike option.</w:t>
      </w:r>
    </w:p>
    <w:p w14:paraId="070CD9FE" w14:textId="77777777" w:rsidR="00A71670" w:rsidRPr="000665B0" w:rsidRDefault="00A71670" w:rsidP="006D5A65">
      <w:pPr>
        <w:pStyle w:val="Heading2"/>
      </w:pPr>
      <w:r w:rsidRPr="000665B0">
        <w:t>Node Inventory</w:t>
      </w:r>
    </w:p>
    <w:p w14:paraId="1313983A" w14:textId="7EC1900F" w:rsidR="0078503C" w:rsidRPr="000665B0" w:rsidRDefault="0078503C" w:rsidP="006D5A65">
      <w:pPr>
        <w:pStyle w:val="Heading3"/>
      </w:pPr>
      <w:r w:rsidRPr="000665B0">
        <w:t>Missing Missions</w:t>
      </w:r>
      <w:r w:rsidR="009B13A9" w:rsidRPr="000665B0">
        <w:t xml:space="preserve"> – </w:t>
      </w:r>
      <w:r w:rsidR="00D77C55" w:rsidRPr="000665B0">
        <w:t>C</w:t>
      </w:r>
      <w:r w:rsidR="009B13A9" w:rsidRPr="000665B0">
        <w:t xml:space="preserve">hecks for missions that are required to prosecute the </w:t>
      </w:r>
      <w:r w:rsidR="008B4438" w:rsidRPr="000665B0">
        <w:t>strike but</w:t>
      </w:r>
      <w:r w:rsidR="009B13A9" w:rsidRPr="000665B0">
        <w:t xml:space="preserve"> are not known to be possessed by the strike arsenal nodes.</w:t>
      </w:r>
    </w:p>
    <w:p w14:paraId="71C3B053" w14:textId="62C079FF" w:rsidR="009B13A9" w:rsidRPr="000665B0" w:rsidRDefault="0078503C" w:rsidP="006D5A65">
      <w:pPr>
        <w:pStyle w:val="Heading3"/>
      </w:pPr>
      <w:r w:rsidRPr="000665B0">
        <w:t>Missing ACMSs</w:t>
      </w:r>
      <w:r w:rsidR="009B13A9" w:rsidRPr="000665B0">
        <w:t xml:space="preserve"> – </w:t>
      </w:r>
      <w:r w:rsidR="00D77C55" w:rsidRPr="000665B0">
        <w:t>C</w:t>
      </w:r>
      <w:r w:rsidR="009B13A9" w:rsidRPr="000665B0">
        <w:t xml:space="preserve">hecks for ACMSs that are required to prosecute the </w:t>
      </w:r>
      <w:r w:rsidR="008B4438" w:rsidRPr="000665B0">
        <w:t>strike but</w:t>
      </w:r>
      <w:r w:rsidR="009B13A9" w:rsidRPr="000665B0">
        <w:t xml:space="preserve"> are not known to be possessed by the strike arsenal nodes that would need them. The ACMSs checked against the node inventory for a given node of the strike arsenal are limited to:</w:t>
      </w:r>
    </w:p>
    <w:p w14:paraId="7B505663" w14:textId="77777777" w:rsidR="009B13A9" w:rsidRPr="000665B0" w:rsidRDefault="009B13A9" w:rsidP="006D5A65">
      <w:pPr>
        <w:pStyle w:val="Heading3"/>
      </w:pPr>
      <w:r w:rsidRPr="000665B0">
        <w:t>ACMSs referenced by LMOs assigned to the strike arsenal node, if any.</w:t>
      </w:r>
    </w:p>
    <w:p w14:paraId="540F0614" w14:textId="77777777" w:rsidR="009B13A9" w:rsidRPr="000665B0" w:rsidRDefault="009B13A9" w:rsidP="006D5A65">
      <w:pPr>
        <w:pStyle w:val="Heading3"/>
      </w:pPr>
      <w:r w:rsidRPr="000665B0">
        <w:t>The PLP assigned to the strike arsenal, if any, but only for a non-TTWCS node (TTWCSs do not accept PLPs).</w:t>
      </w:r>
    </w:p>
    <w:p w14:paraId="5F691FAE" w14:textId="77777777" w:rsidR="009B13A9" w:rsidRPr="000665B0" w:rsidRDefault="009B13A9" w:rsidP="006D5A65">
      <w:pPr>
        <w:pStyle w:val="Heading3"/>
      </w:pPr>
      <w:r w:rsidRPr="000665B0">
        <w:t>The operational area assigned to the strike arsenal, if any.</w:t>
      </w:r>
    </w:p>
    <w:p w14:paraId="5EF13E0F" w14:textId="77777777" w:rsidR="009B13A9" w:rsidRPr="000665B0" w:rsidRDefault="00D3695B" w:rsidP="006D5A65">
      <w:pPr>
        <w:pStyle w:val="Heading3"/>
      </w:pPr>
      <w:r w:rsidRPr="000665B0">
        <w:t>Missing TEFs – This evaluation check</w:t>
      </w:r>
      <w:r w:rsidR="009B13A9" w:rsidRPr="000665B0">
        <w:t>s</w:t>
      </w:r>
      <w:r w:rsidRPr="000665B0">
        <w:t xml:space="preserve"> for missing TEF</w:t>
      </w:r>
      <w:r w:rsidR="00561243" w:rsidRPr="000665B0">
        <w:t>s</w:t>
      </w:r>
      <w:r w:rsidRPr="000665B0">
        <w:t xml:space="preserve"> based on MDS TEF accountability. It will verify whether the TPS Planning Organization specified in the Strike Option </w:t>
      </w:r>
      <w:r w:rsidR="009B13A9" w:rsidRPr="000665B0">
        <w:t xml:space="preserve">arsenal </w:t>
      </w:r>
      <w:r w:rsidR="00561243" w:rsidRPr="000665B0">
        <w:t xml:space="preserve">has </w:t>
      </w:r>
      <w:r w:rsidRPr="000665B0">
        <w:t xml:space="preserve">the TEFs for all the missions used in the </w:t>
      </w:r>
      <w:r w:rsidRPr="000665B0">
        <w:rPr>
          <w:i/>
        </w:rPr>
        <w:t>Mission</w:t>
      </w:r>
      <w:r w:rsidRPr="000665B0">
        <w:t xml:space="preserve"> tab of the Strike Option. Note that the TEF Loc column in the </w:t>
      </w:r>
      <w:r w:rsidRPr="000665B0">
        <w:rPr>
          <w:i/>
        </w:rPr>
        <w:t>Mission</w:t>
      </w:r>
      <w:r w:rsidRPr="000665B0">
        <w:t xml:space="preserve"> tab Strike Option only shows TEF Location for 109E missions while the evaluation checks for all missions.</w:t>
      </w:r>
      <w:r w:rsidR="009B13A9" w:rsidRPr="000665B0">
        <w:t xml:space="preserve"> </w:t>
      </w:r>
    </w:p>
    <w:p w14:paraId="67E6BC35" w14:textId="77777777" w:rsidR="009B13A9" w:rsidRPr="000665B0" w:rsidRDefault="009B13A9" w:rsidP="006E1D1B">
      <w:pPr>
        <w:keepNext/>
        <w:pBdr>
          <w:top w:val="single" w:sz="12" w:space="1" w:color="auto"/>
          <w:left w:val="single" w:sz="12" w:space="4" w:color="auto"/>
          <w:bottom w:val="single" w:sz="12" w:space="0" w:color="auto"/>
          <w:right w:val="single" w:sz="12" w:space="4" w:color="auto"/>
        </w:pBdr>
        <w:shd w:val="clear" w:color="auto" w:fill="D9D9D9"/>
        <w:spacing w:after="0"/>
        <w:ind w:left="90"/>
        <w:jc w:val="center"/>
        <w:rPr>
          <w:b/>
        </w:rPr>
      </w:pPr>
      <w:r w:rsidRPr="000665B0">
        <w:rPr>
          <w:b/>
        </w:rPr>
        <w:t xml:space="preserve">Note: </w:t>
      </w:r>
    </w:p>
    <w:p w14:paraId="19CF39A3" w14:textId="00D14757" w:rsidR="009B13A9" w:rsidRPr="000665B0" w:rsidRDefault="009B13A9" w:rsidP="006E1D1B">
      <w:pPr>
        <w:pBdr>
          <w:top w:val="single" w:sz="12" w:space="1" w:color="auto"/>
          <w:left w:val="single" w:sz="12" w:space="4" w:color="auto"/>
          <w:bottom w:val="single" w:sz="12" w:space="0" w:color="auto"/>
          <w:right w:val="single" w:sz="12" w:space="4" w:color="auto"/>
        </w:pBdr>
        <w:shd w:val="clear" w:color="auto" w:fill="D9D9D9"/>
        <w:ind w:left="90"/>
        <w:jc w:val="center"/>
        <w:rPr>
          <w:b/>
        </w:rPr>
      </w:pPr>
      <w:r w:rsidRPr="000665B0">
        <w:rPr>
          <w:b/>
        </w:rPr>
        <w:t xml:space="preserve">Node inventory analysis indicates only the most critical of node inventory issues. As such, it should not be assumed to substitute for correct use of a more complete strike coordination tool. For strike coordination activities, the operator should use the Distribution Dashboard feature (see </w:t>
      </w:r>
      <w:hyperlink w:anchor="_5.2.10__Distribution" w:history="1">
        <w:r w:rsidRPr="000665B0">
          <w:rPr>
            <w:b/>
            <w:color w:val="0000FF"/>
            <w:u w:val="single"/>
          </w:rPr>
          <w:t>Section 5.2.10</w:t>
        </w:r>
      </w:hyperlink>
      <w:r w:rsidRPr="000665B0">
        <w:rPr>
          <w:b/>
        </w:rPr>
        <w:t xml:space="preserve">) or the Coordination Templates Tool (see </w:t>
      </w:r>
      <w:hyperlink w:anchor="_COORDINATION_TEMPLATES_TOOL_1" w:history="1">
        <w:r w:rsidR="009D51E9" w:rsidRPr="000665B0">
          <w:rPr>
            <w:b/>
            <w:color w:val="0000FF"/>
            <w:u w:val="single"/>
          </w:rPr>
          <w:t xml:space="preserve">Section </w:t>
        </w:r>
        <w:r w:rsidR="004231CC">
          <w:rPr>
            <w:b/>
            <w:color w:val="0000FF"/>
            <w:u w:val="single"/>
          </w:rPr>
          <w:t>5.20</w:t>
        </w:r>
      </w:hyperlink>
      <w:r w:rsidRPr="000665B0">
        <w:rPr>
          <w:b/>
        </w:rPr>
        <w:t>).</w:t>
      </w:r>
    </w:p>
    <w:p w14:paraId="2877EC24" w14:textId="77777777" w:rsidR="00D77C55" w:rsidRPr="000665B0" w:rsidRDefault="00D77C55" w:rsidP="006D5A65">
      <w:pPr>
        <w:pStyle w:val="Heading2"/>
      </w:pPr>
      <w:r w:rsidRPr="000665B0">
        <w:t>Missile Assignment</w:t>
      </w:r>
    </w:p>
    <w:p w14:paraId="5F7B0D16" w14:textId="16323632" w:rsidR="00D77C55" w:rsidRPr="000665B0" w:rsidRDefault="00D77C55" w:rsidP="006D5A65">
      <w:pPr>
        <w:pStyle w:val="Heading3"/>
      </w:pPr>
      <w:r w:rsidRPr="000665B0">
        <w:t xml:space="preserve">Inventory Feasibility – </w:t>
      </w:r>
      <w:r w:rsidR="00E179D2" w:rsidRPr="000665B0">
        <w:t>All the FRUs in the strike arsenal nodes are checked to see if the MDS account of the FRU’s missile inventory is sufficient to support its assignments.</w:t>
      </w:r>
      <w:r w:rsidRPr="000665B0">
        <w:t xml:space="preserve"> </w:t>
      </w:r>
    </w:p>
    <w:p w14:paraId="09071F72" w14:textId="2276586D" w:rsidR="00D77C55" w:rsidRPr="000665B0" w:rsidRDefault="00D77C55" w:rsidP="006D5A65">
      <w:pPr>
        <w:pStyle w:val="Heading3"/>
      </w:pPr>
      <w:r w:rsidRPr="000665B0">
        <w:t>Module Check</w:t>
      </w:r>
      <w:r w:rsidR="000B7F9C" w:rsidRPr="000665B0">
        <w:t xml:space="preserve"> </w:t>
      </w:r>
      <w:r w:rsidR="00484FE5" w:rsidRPr="000665B0">
        <w:t xml:space="preserve">– </w:t>
      </w:r>
      <w:r w:rsidR="000B7F9C" w:rsidRPr="000665B0">
        <w:t xml:space="preserve">All missile reservations that have a specified cell location will be checked to determine the operational status of that missile </w:t>
      </w:r>
      <w:r w:rsidR="000B7F9C" w:rsidRPr="000665B0">
        <w:lastRenderedPageBreak/>
        <w:t>cell for the respective FRUs. If the operational status is anything but operational, the missile reservation will be reported in the analysis results.</w:t>
      </w:r>
    </w:p>
    <w:p w14:paraId="714DFE1A" w14:textId="58462F3C" w:rsidR="00D77C55" w:rsidRPr="000665B0" w:rsidRDefault="00D77C55" w:rsidP="006D5A65">
      <w:pPr>
        <w:pStyle w:val="Heading3"/>
      </w:pPr>
      <w:r w:rsidRPr="000665B0">
        <w:t>FRU Commitments</w:t>
      </w:r>
      <w:r w:rsidR="000B7F9C" w:rsidRPr="000665B0">
        <w:t xml:space="preserve"> </w:t>
      </w:r>
      <w:r w:rsidR="00484FE5" w:rsidRPr="000665B0">
        <w:t xml:space="preserve">– </w:t>
      </w:r>
      <w:r w:rsidR="000B7F9C" w:rsidRPr="000665B0">
        <w:t xml:space="preserve">All the FRUs in the </w:t>
      </w:r>
      <w:r w:rsidR="005F32C1" w:rsidRPr="000665B0">
        <w:t>Task O</w:t>
      </w:r>
      <w:r w:rsidR="000B7F9C" w:rsidRPr="000665B0">
        <w:t>rganization will be checked to see if MDS held FRU commitment schedule conflicts with FRU’s assigned launch execution time and duration.</w:t>
      </w:r>
    </w:p>
    <w:p w14:paraId="6D41EF7E" w14:textId="359F816B" w:rsidR="00D77C55" w:rsidRPr="000665B0" w:rsidRDefault="00D77C55" w:rsidP="006D5A65">
      <w:pPr>
        <w:pStyle w:val="Heading3"/>
      </w:pPr>
      <w:r w:rsidRPr="000665B0">
        <w:t xml:space="preserve">Geofeasibility – </w:t>
      </w:r>
      <w:r w:rsidR="00E22CC1" w:rsidRPr="000665B0">
        <w:t>Determines geographic feasibility of a platform to execute the assigned mission while complying with geographical constraints, if any, such as prohibited area, flight corridor, heading towards FPPWP, and missile range</w:t>
      </w:r>
      <w:r w:rsidR="009651B0">
        <w:t xml:space="preserve"> </w:t>
      </w:r>
    </w:p>
    <w:p w14:paraId="581A134B" w14:textId="0097B6E1" w:rsidR="00D77C55" w:rsidRPr="000665B0" w:rsidRDefault="00D77C55" w:rsidP="006D5A65">
      <w:pPr>
        <w:pStyle w:val="Heading3"/>
      </w:pPr>
      <w:r w:rsidRPr="000665B0">
        <w:t>Half Module Constraint</w:t>
      </w:r>
      <w:r w:rsidR="00C44B2E" w:rsidRPr="000665B0">
        <w:t xml:space="preserve"> – When checked, a</w:t>
      </w:r>
      <w:r w:rsidR="00C44B2E" w:rsidRPr="000665B0">
        <w:rPr>
          <w:bCs/>
        </w:rPr>
        <w:t>llows the user to set alignment times.</w:t>
      </w:r>
    </w:p>
    <w:p w14:paraId="7B631B27" w14:textId="77777777" w:rsidR="00D77C55" w:rsidRPr="000665B0" w:rsidRDefault="00D77C55" w:rsidP="006D5A65">
      <w:pPr>
        <w:pStyle w:val="Heading3"/>
      </w:pPr>
      <w:r w:rsidRPr="000665B0">
        <w:t>Alignment Time</w:t>
      </w:r>
    </w:p>
    <w:p w14:paraId="5DFF65C3" w14:textId="0483D1F7" w:rsidR="00E22CC1" w:rsidRPr="000665B0" w:rsidRDefault="00D94375" w:rsidP="006D5A65">
      <w:pPr>
        <w:pStyle w:val="Heading4"/>
      </w:pPr>
      <w:r w:rsidRPr="000665B0">
        <w:t>109C, 109D</w:t>
      </w:r>
      <w:r w:rsidR="00C44B2E" w:rsidRPr="000665B0">
        <w:t xml:space="preserve"> –</w:t>
      </w:r>
      <w:r w:rsidR="00C44B2E" w:rsidRPr="000665B0">
        <w:rPr>
          <w:bCs/>
        </w:rPr>
        <w:t xml:space="preserve"> </w:t>
      </w:r>
      <w:r w:rsidR="00C44B2E" w:rsidRPr="000665B0">
        <w:t>Default alignment time is 27 minutes.</w:t>
      </w:r>
    </w:p>
    <w:p w14:paraId="6E43FB1B" w14:textId="501A9A2A" w:rsidR="00E22CC1" w:rsidRPr="000665B0" w:rsidRDefault="00D94375" w:rsidP="006D5A65">
      <w:pPr>
        <w:pStyle w:val="Heading4"/>
      </w:pPr>
      <w:r w:rsidRPr="000665B0">
        <w:t>109E</w:t>
      </w:r>
      <w:r w:rsidR="00C44B2E" w:rsidRPr="000665B0">
        <w:t xml:space="preserve"> – Minimum time (in minutes) between launchings in the same half module using coarse alignment for 109E missiles. Default alignment time is 4 minutes.</w:t>
      </w:r>
    </w:p>
    <w:p w14:paraId="7CEFDF49" w14:textId="27992842" w:rsidR="00E22CC1" w:rsidRPr="000665B0" w:rsidRDefault="00D94375" w:rsidP="006D5A65">
      <w:pPr>
        <w:pStyle w:val="Heading4"/>
      </w:pPr>
      <w:r w:rsidRPr="000665B0">
        <w:t>109E</w:t>
      </w:r>
      <w:r w:rsidR="00E22CC1" w:rsidRPr="000665B0">
        <w:t xml:space="preserve"> Fine Align</w:t>
      </w:r>
      <w:r w:rsidR="00C44B2E" w:rsidRPr="000665B0">
        <w:t xml:space="preserve"> – Minimum time (in minutes) between launchings in the same half module using coarse alignment for 109E missiles. Default alignment time is 20 minutes.</w:t>
      </w:r>
    </w:p>
    <w:p w14:paraId="6F46C7DF" w14:textId="217FC9E4" w:rsidR="00D77C55" w:rsidRPr="000665B0" w:rsidRDefault="00D77C55" w:rsidP="006D5A65">
      <w:pPr>
        <w:pStyle w:val="Heading4"/>
      </w:pPr>
      <w:r w:rsidRPr="000665B0">
        <w:t>Nominal Time</w:t>
      </w:r>
      <w:r w:rsidR="00C44B2E" w:rsidRPr="000665B0">
        <w:t xml:space="preserve"> – Click Nominal Time to restore default alignment values.</w:t>
      </w:r>
    </w:p>
    <w:p w14:paraId="3DE2E9C6" w14:textId="5A5CC44E" w:rsidR="0078503C" w:rsidRPr="000665B0" w:rsidRDefault="0078503C" w:rsidP="006D5A65">
      <w:pPr>
        <w:pStyle w:val="Heading2"/>
      </w:pPr>
      <w:r w:rsidRPr="000665B0">
        <w:t>Current Launch Condition</w:t>
      </w:r>
      <w:r w:rsidR="00CD4B30" w:rsidRPr="000665B0">
        <w:t xml:space="preserve">– </w:t>
      </w:r>
      <w:r w:rsidR="000B7F9C" w:rsidRPr="000665B0">
        <w:t>T</w:t>
      </w:r>
      <w:r w:rsidR="00CD4B30" w:rsidRPr="000665B0">
        <w:t>he missions in the strike option are checked to determine if any missions do not satisfy the specified criteria in Launch Condition</w:t>
      </w:r>
      <w:r w:rsidR="000B7F9C" w:rsidRPr="000665B0">
        <w:t>.</w:t>
      </w:r>
    </w:p>
    <w:p w14:paraId="452F1650" w14:textId="77777777" w:rsidR="00561243" w:rsidRPr="000665B0" w:rsidRDefault="00561243" w:rsidP="006D5A65">
      <w:pPr>
        <w:pStyle w:val="Heading3"/>
      </w:pPr>
      <w:r w:rsidRPr="000665B0">
        <w:lastRenderedPageBreak/>
        <w:t>Launch Condition</w:t>
      </w:r>
    </w:p>
    <w:p w14:paraId="3A77DC8B" w14:textId="77777777" w:rsidR="00561243" w:rsidRPr="000665B0" w:rsidRDefault="00561243" w:rsidP="006D5A65">
      <w:pPr>
        <w:pStyle w:val="Heading3"/>
      </w:pPr>
      <w:r w:rsidRPr="000665B0">
        <w:t>Day Type</w:t>
      </w:r>
    </w:p>
    <w:p w14:paraId="2354A667" w14:textId="77777777" w:rsidR="00561243" w:rsidRPr="000665B0" w:rsidRDefault="00561243" w:rsidP="006D5A65">
      <w:pPr>
        <w:pStyle w:val="Heading3"/>
      </w:pPr>
      <w:r w:rsidRPr="000665B0">
        <w:t>Snow Statement</w:t>
      </w:r>
    </w:p>
    <w:p w14:paraId="01807219" w14:textId="77777777" w:rsidR="00561243" w:rsidRPr="000665B0" w:rsidRDefault="00561243" w:rsidP="006D5A65">
      <w:pPr>
        <w:pStyle w:val="Heading3"/>
      </w:pPr>
      <w:r w:rsidRPr="000665B0">
        <w:t>Day/Night</w:t>
      </w:r>
    </w:p>
    <w:p w14:paraId="37A5D0CB" w14:textId="77777777" w:rsidR="004B01C5" w:rsidRPr="000665B0" w:rsidRDefault="0078503C" w:rsidP="006D5A65">
      <w:pPr>
        <w:pStyle w:val="Heading1"/>
      </w:pPr>
      <w:r w:rsidRPr="000665B0">
        <w:t xml:space="preserve">Click the Run Analysis </w:t>
      </w:r>
      <w:r w:rsidR="009A1FDF" w:rsidRPr="000665B0">
        <w:rPr>
          <w:noProof/>
        </w:rPr>
        <w:drawing>
          <wp:inline distT="0" distB="0" distL="0" distR="0" wp14:anchorId="3502E085" wp14:editId="33889F5C">
            <wp:extent cx="152400" cy="152400"/>
            <wp:effectExtent l="19050" t="0" r="0" b="0"/>
            <wp:docPr id="611" name="Picture 611" descr="Execute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ExecuteQuery"/>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button. </w:t>
      </w:r>
    </w:p>
    <w:p w14:paraId="6F47DFEC" w14:textId="2624088A" w:rsidR="0078503C" w:rsidRPr="000665B0" w:rsidRDefault="004B01C5" w:rsidP="006D5A65">
      <w:pPr>
        <w:pStyle w:val="Heading1"/>
      </w:pPr>
      <w:r w:rsidRPr="000665B0">
        <w:t>Select a tab</w:t>
      </w:r>
      <w:r w:rsidR="008964E2" w:rsidRPr="000665B0">
        <w:t xml:space="preserve"> (and sub-tabs if applicable)</w:t>
      </w:r>
      <w:r w:rsidRPr="000665B0">
        <w:t xml:space="preserve"> </w:t>
      </w:r>
      <w:r w:rsidR="0078503C" w:rsidRPr="000665B0">
        <w:t xml:space="preserve">at the bottom of the window </w:t>
      </w:r>
      <w:r w:rsidRPr="000665B0">
        <w:t>to view</w:t>
      </w:r>
      <w:r w:rsidR="0078503C" w:rsidRPr="000665B0">
        <w:t xml:space="preserve"> the results</w:t>
      </w:r>
      <w:r w:rsidRPr="000665B0">
        <w:t xml:space="preserve"> of the evaluation for this option</w:t>
      </w:r>
      <w:r w:rsidR="0078503C" w:rsidRPr="000665B0">
        <w:t>.</w:t>
      </w:r>
    </w:p>
    <w:p w14:paraId="4F6858E5" w14:textId="6230D673" w:rsidR="00555F38" w:rsidRPr="000665B0" w:rsidRDefault="00555F38" w:rsidP="006D5A65">
      <w:pPr>
        <w:pStyle w:val="Heading2"/>
      </w:pPr>
      <w:r w:rsidRPr="000665B0">
        <w:t xml:space="preserve">The Additional Information icon </w:t>
      </w:r>
      <w:r w:rsidR="004A219D">
        <w:t>(Φ)</w:t>
      </w:r>
      <w:r w:rsidRPr="000665B0">
        <w:t xml:space="preserve"> in list view column heads or textual view fields indicates that additional information is available for the data within the column or field (see </w:t>
      </w:r>
      <w:hyperlink w:anchor="_Additional__Information" w:history="1">
        <w:r w:rsidRPr="000665B0">
          <w:rPr>
            <w:rStyle w:val="Hyperlink"/>
          </w:rPr>
          <w:t>Section 5.2.11</w:t>
        </w:r>
      </w:hyperlink>
      <w:r w:rsidRPr="000665B0">
        <w:t>).</w:t>
      </w:r>
    </w:p>
    <w:p w14:paraId="336666C8" w14:textId="178EFF18" w:rsidR="0078503C" w:rsidRPr="000665B0" w:rsidRDefault="00484FE5" w:rsidP="00474A1F">
      <w:pPr>
        <w:tabs>
          <w:tab w:val="left" w:pos="720"/>
        </w:tabs>
        <w:spacing w:after="240"/>
        <w:jc w:val="center"/>
      </w:pPr>
      <w:bookmarkStart w:id="6392" w:name="_Toc100461788"/>
      <w:bookmarkStart w:id="6393" w:name="_Toc112733763"/>
      <w:bookmarkStart w:id="6394" w:name="_Toc96170299"/>
      <w:bookmarkStart w:id="6395" w:name="_Toc96234344"/>
      <w:bookmarkStart w:id="6396" w:name="_Toc71955763"/>
      <w:r w:rsidRPr="000665B0">
        <w:rPr>
          <w:noProof/>
        </w:rPr>
        <w:drawing>
          <wp:inline distT="0" distB="0" distL="0" distR="0" wp14:anchorId="583F3DEA" wp14:editId="26B68AFB">
            <wp:extent cx="3029578" cy="3063240"/>
            <wp:effectExtent l="0" t="0" r="0" b="0"/>
            <wp:docPr id="2028" name="Picture 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040670" cy="3074456"/>
                    </a:xfrm>
                    <a:prstGeom prst="rect">
                      <a:avLst/>
                    </a:prstGeom>
                  </pic:spPr>
                </pic:pic>
              </a:graphicData>
            </a:graphic>
          </wp:inline>
        </w:drawing>
      </w:r>
    </w:p>
    <w:p w14:paraId="798231F0" w14:textId="33D23B5E" w:rsidR="00F26D47" w:rsidRPr="000665B0" w:rsidRDefault="00014931" w:rsidP="006D5A65">
      <w:pPr>
        <w:pStyle w:val="Heading1"/>
      </w:pPr>
      <w:r w:rsidRPr="000665B0">
        <w:lastRenderedPageBreak/>
        <w:t>To troubleshoot Geofeasibility problems o</w:t>
      </w:r>
      <w:r w:rsidR="00F26D47" w:rsidRPr="000665B0">
        <w:t xml:space="preserve">nce analysis </w:t>
      </w:r>
      <w:r w:rsidRPr="000665B0">
        <w:t>has been</w:t>
      </w:r>
      <w:r w:rsidR="00F26D47" w:rsidRPr="000665B0">
        <w:t xml:space="preserve"> run, </w:t>
      </w:r>
      <w:r w:rsidRPr="000665B0">
        <w:t xml:space="preserve">select the </w:t>
      </w:r>
      <w:r w:rsidR="00F26D47" w:rsidRPr="000665B0">
        <w:rPr>
          <w:i/>
        </w:rPr>
        <w:t>Missile Assignment</w:t>
      </w:r>
      <w:r w:rsidR="00F26D47" w:rsidRPr="000665B0">
        <w:t xml:space="preserve"> tab</w:t>
      </w:r>
      <w:r w:rsidRPr="000665B0">
        <w:t xml:space="preserve"> at the bottom of the screen</w:t>
      </w:r>
      <w:r w:rsidR="00555F38" w:rsidRPr="000665B0">
        <w:t xml:space="preserve"> and then the </w:t>
      </w:r>
      <w:r w:rsidR="00555F38" w:rsidRPr="000665B0">
        <w:rPr>
          <w:i/>
        </w:rPr>
        <w:t>Geofeasibility</w:t>
      </w:r>
      <w:r w:rsidR="00555F38" w:rsidRPr="000665B0">
        <w:t xml:space="preserve"> tab</w:t>
      </w:r>
      <w:r w:rsidRPr="000665B0">
        <w:t>.</w:t>
      </w:r>
    </w:p>
    <w:p w14:paraId="12C2BB54" w14:textId="3E0172F4" w:rsidR="00F26D47" w:rsidRPr="000665B0" w:rsidRDefault="00F26D47" w:rsidP="006D5A65">
      <w:pPr>
        <w:pStyle w:val="Heading4"/>
      </w:pPr>
      <w:r w:rsidRPr="000665B0">
        <w:t>The Geofeasib</w:t>
      </w:r>
      <w:r w:rsidR="00014931" w:rsidRPr="000665B0">
        <w:t>ility</w:t>
      </w:r>
      <w:r w:rsidRPr="000665B0">
        <w:t xml:space="preserve"> column indicates the following: </w:t>
      </w:r>
    </w:p>
    <w:p w14:paraId="539931CC" w14:textId="481C1531" w:rsidR="00F26D47" w:rsidRPr="000665B0" w:rsidRDefault="00995F51" w:rsidP="006D5A65">
      <w:pPr>
        <w:pStyle w:val="Heading3"/>
      </w:pPr>
      <w:r w:rsidRPr="000665B0">
        <w:t xml:space="preserve">Partial </w:t>
      </w:r>
      <w:r w:rsidR="00F26D47" w:rsidRPr="000665B0">
        <w:t xml:space="preserve">– Assignments for FRUs with </w:t>
      </w:r>
      <w:r w:rsidR="009422AF" w:rsidRPr="000665B0">
        <w:t>preferred</w:t>
      </w:r>
      <w:r w:rsidR="00F26D47" w:rsidRPr="000665B0">
        <w:t xml:space="preserve"> launch positions partially </w:t>
      </w:r>
      <w:r w:rsidRPr="000665B0">
        <w:t>inside and partially</w:t>
      </w:r>
      <w:r w:rsidR="00F26D47" w:rsidRPr="000665B0">
        <w:t xml:space="preserve"> outside </w:t>
      </w:r>
      <w:r w:rsidRPr="000665B0">
        <w:t xml:space="preserve">of </w:t>
      </w:r>
      <w:r w:rsidR="00F26D47" w:rsidRPr="000665B0">
        <w:t>the launch area of the assigned mission.</w:t>
      </w:r>
    </w:p>
    <w:p w14:paraId="3718465D" w14:textId="77777777" w:rsidR="00F26D47" w:rsidRPr="000665B0" w:rsidRDefault="00F26D47" w:rsidP="006D5A65">
      <w:pPr>
        <w:pStyle w:val="Heading3"/>
      </w:pPr>
      <w:r w:rsidRPr="000665B0">
        <w:t>Unknown – FRUs for which geofeasibility could not be determined.</w:t>
      </w:r>
    </w:p>
    <w:p w14:paraId="33F4AD90" w14:textId="1C024B7F" w:rsidR="00995F51" w:rsidRPr="000665B0" w:rsidRDefault="00995F51" w:rsidP="006D5A65">
      <w:pPr>
        <w:pStyle w:val="Heading3"/>
      </w:pPr>
      <w:r w:rsidRPr="000665B0">
        <w:t xml:space="preserve">Infeasible – Assignments for FRUs with preferred launch positions </w:t>
      </w:r>
      <w:r w:rsidR="00E36ECA" w:rsidRPr="000665B0">
        <w:t>entirely</w:t>
      </w:r>
      <w:r w:rsidRPr="000665B0">
        <w:t xml:space="preserve"> outside the launch area of the assigned mission.</w:t>
      </w:r>
    </w:p>
    <w:p w14:paraId="78C944A3" w14:textId="3F82C3AC" w:rsidR="00F26D47" w:rsidRPr="000665B0" w:rsidRDefault="00014931" w:rsidP="006D5A65">
      <w:pPr>
        <w:pStyle w:val="Heading5"/>
      </w:pPr>
      <w:r w:rsidRPr="000665B0">
        <w:t xml:space="preserve">To reassign a geo infeasible FRU (Geofeasibility = </w:t>
      </w:r>
      <w:r w:rsidR="00995F51" w:rsidRPr="000665B0">
        <w:t>Infeasible</w:t>
      </w:r>
      <w:r w:rsidRPr="000665B0">
        <w:t xml:space="preserve">), select the FRU, invoke the context menu, and select </w:t>
      </w:r>
      <w:r w:rsidR="00F26D47" w:rsidRPr="000665B0">
        <w:t>Reassign FRU</w:t>
      </w:r>
      <w:r w:rsidRPr="000665B0">
        <w:t xml:space="preserve">. </w:t>
      </w:r>
      <w:r w:rsidR="00F26D47" w:rsidRPr="000665B0">
        <w:t xml:space="preserve">For more information on FRU Reassignment, see </w:t>
      </w:r>
      <w:hyperlink w:anchor="_Missiles_Tab" w:history="1">
        <w:r w:rsidR="009326FE" w:rsidRPr="000665B0">
          <w:rPr>
            <w:rStyle w:val="Hyperlink"/>
          </w:rPr>
          <w:t xml:space="preserve">Section </w:t>
        </w:r>
        <w:r w:rsidR="004231CC">
          <w:rPr>
            <w:rStyle w:val="Hyperlink"/>
          </w:rPr>
          <w:t>5.34</w:t>
        </w:r>
        <w:r w:rsidR="00F26D47" w:rsidRPr="000665B0">
          <w:rPr>
            <w:rStyle w:val="Hyperlink"/>
          </w:rPr>
          <w:t>.7.1.6</w:t>
        </w:r>
      </w:hyperlink>
      <w:r w:rsidR="00F26D47" w:rsidRPr="000665B0">
        <w:t>.</w:t>
      </w:r>
    </w:p>
    <w:p w14:paraId="5C5B2922" w14:textId="152523A0" w:rsidR="00F26D47" w:rsidRPr="000665B0" w:rsidRDefault="00014931" w:rsidP="006D5A65">
      <w:pPr>
        <w:pStyle w:val="Heading5"/>
      </w:pPr>
      <w:r w:rsidRPr="000665B0">
        <w:t xml:space="preserve">To edit or create a new PLP for a FRU (Geofeasibility = Unknown), select the FRU, invoke the context menu, and select </w:t>
      </w:r>
      <w:r w:rsidR="00F26D47" w:rsidRPr="000665B0">
        <w:t xml:space="preserve">Edit </w:t>
      </w:r>
      <w:r w:rsidR="00F26D47" w:rsidRPr="000665B0">
        <w:sym w:font="Wingdings" w:char="F0E0"/>
      </w:r>
      <w:r w:rsidR="00F26D47" w:rsidRPr="000665B0">
        <w:t xml:space="preserve"> PLP/LPMP Op Area...</w:t>
      </w:r>
      <w:r w:rsidRPr="000665B0">
        <w:t xml:space="preserve">. </w:t>
      </w:r>
      <w:r w:rsidR="00F26D47" w:rsidRPr="000665B0">
        <w:t xml:space="preserve">Use the </w:t>
      </w:r>
      <w:r w:rsidR="00F26D47" w:rsidRPr="000665B0">
        <w:sym w:font="Wingdings 3" w:char="F071"/>
      </w:r>
      <w:r w:rsidR="00F26D47" w:rsidRPr="000665B0">
        <w:t xml:space="preserve"> button to select an existing PLP (the list of available PLPs is limited to those that are geofeasible with the FRU’s reservations)</w:t>
      </w:r>
      <w:r w:rsidRPr="000665B0">
        <w:t xml:space="preserve">. Alternatively, </w:t>
      </w:r>
      <w:r w:rsidR="00F26D47" w:rsidRPr="000665B0">
        <w:t xml:space="preserve">create a new PLP by </w:t>
      </w:r>
      <w:r w:rsidRPr="000665B0">
        <w:t>clicking</w:t>
      </w:r>
      <w:r w:rsidR="00F26D47" w:rsidRPr="000665B0">
        <w:t xml:space="preserve"> the New button. For more information on creating a new PLP, see </w:t>
      </w:r>
      <w:hyperlink w:anchor="_Create_New_ACMS" w:history="1">
        <w:r w:rsidR="00F26D47" w:rsidRPr="000665B0">
          <w:rPr>
            <w:rStyle w:val="Hyperlink"/>
          </w:rPr>
          <w:t xml:space="preserve">Section </w:t>
        </w:r>
        <w:r w:rsidR="004231CC">
          <w:rPr>
            <w:rStyle w:val="Hyperlink"/>
          </w:rPr>
          <w:t>5.29</w:t>
        </w:r>
        <w:r w:rsidR="00F26D47" w:rsidRPr="000665B0">
          <w:rPr>
            <w:rStyle w:val="Hyperlink"/>
          </w:rPr>
          <w:t>.1</w:t>
        </w:r>
      </w:hyperlink>
      <w:r w:rsidR="00F26D47" w:rsidRPr="000665B0">
        <w:t xml:space="preserve">. The new PLP is automatically inserted into the Strike Folder and Strike Option. </w:t>
      </w:r>
    </w:p>
    <w:p w14:paraId="3045EA60" w14:textId="1CBFCEA3" w:rsidR="00F26D47" w:rsidRPr="000665B0" w:rsidRDefault="00484FE5" w:rsidP="0058307F">
      <w:pPr>
        <w:pStyle w:val="BodyTextIndent2"/>
        <w:tabs>
          <w:tab w:val="left" w:pos="720"/>
        </w:tabs>
        <w:spacing w:line="240" w:lineRule="auto"/>
        <w:ind w:left="0"/>
        <w:jc w:val="center"/>
      </w:pPr>
      <w:r w:rsidRPr="000665B0">
        <w:rPr>
          <w:noProof/>
        </w:rPr>
        <w:drawing>
          <wp:inline distT="0" distB="0" distL="0" distR="0" wp14:anchorId="78681153" wp14:editId="429435A4">
            <wp:extent cx="2743200" cy="1225296"/>
            <wp:effectExtent l="0" t="0" r="0" b="0"/>
            <wp:docPr id="2031" name="Picture 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43200" cy="1225296"/>
                    </a:xfrm>
                    <a:prstGeom prst="rect">
                      <a:avLst/>
                    </a:prstGeom>
                  </pic:spPr>
                </pic:pic>
              </a:graphicData>
            </a:graphic>
          </wp:inline>
        </w:drawing>
      </w:r>
    </w:p>
    <w:p w14:paraId="5B31F11D" w14:textId="52A3F8E9" w:rsidR="00995F51" w:rsidRPr="000665B0" w:rsidRDefault="00995F51" w:rsidP="006D5A65">
      <w:pPr>
        <w:pStyle w:val="Heading5"/>
      </w:pPr>
      <w:r w:rsidRPr="000665B0">
        <w:t xml:space="preserve">To edit or create a new PLP for a FRU (Geofeasibility = Partial), select the FRU, invoke the context menu, and select Edit </w:t>
      </w:r>
      <w:r w:rsidRPr="000665B0">
        <w:sym w:font="Wingdings" w:char="F0E0"/>
      </w:r>
      <w:r w:rsidRPr="000665B0">
        <w:t xml:space="preserve"> PLP/LPMP Op Area.... Use the </w:t>
      </w:r>
      <w:r w:rsidRPr="000665B0">
        <w:sym w:font="Wingdings 3" w:char="F071"/>
      </w:r>
      <w:r w:rsidRPr="000665B0">
        <w:t xml:space="preserve"> button to select an existing PLP (the list of available PLPs is limited to those that are geofeasible with the FRU’s reservations). Alternatively, create a new PLP by clicking the New button. For more information on creating a new PLP, see </w:t>
      </w:r>
      <w:hyperlink w:anchor="_Create_New_ACMS" w:history="1">
        <w:r w:rsidRPr="000665B0">
          <w:rPr>
            <w:rStyle w:val="Hyperlink"/>
          </w:rPr>
          <w:t xml:space="preserve">Section </w:t>
        </w:r>
        <w:r w:rsidR="004231CC">
          <w:rPr>
            <w:rStyle w:val="Hyperlink"/>
          </w:rPr>
          <w:t>5.29</w:t>
        </w:r>
        <w:r w:rsidRPr="000665B0">
          <w:rPr>
            <w:rStyle w:val="Hyperlink"/>
          </w:rPr>
          <w:t>.1</w:t>
        </w:r>
      </w:hyperlink>
      <w:r w:rsidRPr="000665B0">
        <w:t>. The new PLP is automatically inserted into the Strike Folder and Strike Option.</w:t>
      </w:r>
      <w:r w:rsidRPr="000665B0">
        <w:br/>
      </w:r>
      <w:r w:rsidRPr="000665B0">
        <w:lastRenderedPageBreak/>
        <w:t xml:space="preserve">Alternatively, select the FRU, invoke the context menu, and select Reassign FRU. For more information on FRU Reassignment, see </w:t>
      </w:r>
      <w:hyperlink w:anchor="_Missiles_Tab" w:history="1">
        <w:r w:rsidR="009326FE" w:rsidRPr="000665B0">
          <w:rPr>
            <w:rStyle w:val="Hyperlink"/>
          </w:rPr>
          <w:t xml:space="preserve">Section </w:t>
        </w:r>
        <w:r w:rsidR="004231CC">
          <w:rPr>
            <w:rStyle w:val="Hyperlink"/>
          </w:rPr>
          <w:t>5.34</w:t>
        </w:r>
        <w:r w:rsidR="00DA7852" w:rsidRPr="000665B0">
          <w:rPr>
            <w:rStyle w:val="Hyperlink"/>
          </w:rPr>
          <w:t>.7.1.6</w:t>
        </w:r>
      </w:hyperlink>
      <w:r w:rsidRPr="000665B0">
        <w:t>.</w:t>
      </w:r>
    </w:p>
    <w:p w14:paraId="053D235E" w14:textId="1328609E" w:rsidR="00F26D47" w:rsidRPr="000665B0" w:rsidRDefault="00F26D47" w:rsidP="006D5A65">
      <w:pPr>
        <w:pStyle w:val="Heading5"/>
      </w:pPr>
      <w:r w:rsidRPr="000665B0">
        <w:t>Once recovery actions have been performed, re-run</w:t>
      </w:r>
      <w:r w:rsidR="00014931" w:rsidRPr="000665B0">
        <w:t xml:space="preserve"> analysis. Click the Run Analysis </w:t>
      </w:r>
      <w:r w:rsidR="00014931" w:rsidRPr="000665B0">
        <w:rPr>
          <w:noProof/>
        </w:rPr>
        <w:drawing>
          <wp:inline distT="0" distB="0" distL="0" distR="0" wp14:anchorId="554C390A" wp14:editId="18D3EB8A">
            <wp:extent cx="152400" cy="152400"/>
            <wp:effectExtent l="19050" t="0" r="0" b="0"/>
            <wp:docPr id="1951" name="Picture 1951" descr="Execute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ExecuteQuery"/>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014931" w:rsidRPr="000665B0">
        <w:t xml:space="preserve"> button and</w:t>
      </w:r>
      <w:r w:rsidRPr="000665B0">
        <w:t xml:space="preserve"> verify that the reported problems were resolved</w:t>
      </w:r>
      <w:r w:rsidR="00014931" w:rsidRPr="000665B0">
        <w:t>,</w:t>
      </w:r>
      <w:r w:rsidRPr="000665B0">
        <w:t xml:space="preserve"> and that no new problems were introduced.</w:t>
      </w:r>
    </w:p>
    <w:p w14:paraId="7A81DED8" w14:textId="20EC391E" w:rsidR="0078503C" w:rsidRPr="000665B0" w:rsidRDefault="0078503C" w:rsidP="00F1149D">
      <w:pPr>
        <w:pStyle w:val="BodyTextIndent2"/>
        <w:keepNext/>
        <w:tabs>
          <w:tab w:val="left" w:pos="720"/>
        </w:tabs>
        <w:spacing w:line="240" w:lineRule="auto"/>
        <w:ind w:left="0"/>
      </w:pPr>
      <w:r w:rsidRPr="000665B0">
        <w:t xml:space="preserve">To run TSN Comms deconfliction on </w:t>
      </w:r>
      <w:r w:rsidR="00833C6A" w:rsidRPr="000665B0">
        <w:t xml:space="preserve">the </w:t>
      </w:r>
      <w:r w:rsidRPr="000665B0">
        <w:t>Strike Option</w:t>
      </w:r>
      <w:r w:rsidR="00833C6A" w:rsidRPr="000665B0">
        <w:t xml:space="preserve"> (only available when multiple strikes are to be executed)</w:t>
      </w:r>
      <w:r w:rsidRPr="000665B0">
        <w:t>:</w:t>
      </w:r>
    </w:p>
    <w:p w14:paraId="634EFCA7" w14:textId="2DB061D1" w:rsidR="0078503C" w:rsidRPr="000665B0" w:rsidRDefault="00AC7AE1" w:rsidP="006D5A65">
      <w:pPr>
        <w:pStyle w:val="Heading1"/>
      </w:pPr>
      <w:r w:rsidRPr="000665B0">
        <w:t xml:space="preserve">In the </w:t>
      </w:r>
      <w:r w:rsidRPr="000665B0">
        <w:rPr>
          <w:i/>
        </w:rPr>
        <w:t>Strike Option</w:t>
      </w:r>
      <w:r w:rsidRPr="000665B0">
        <w:t xml:space="preserve"> window, s</w:t>
      </w:r>
      <w:r w:rsidR="0078503C" w:rsidRPr="000665B0">
        <w:t xml:space="preserve">elect the </w:t>
      </w:r>
      <w:r w:rsidR="0078503C" w:rsidRPr="000665B0">
        <w:rPr>
          <w:i/>
        </w:rPr>
        <w:t>TSN Comms</w:t>
      </w:r>
      <w:r w:rsidR="00E00F43" w:rsidRPr="000665B0">
        <w:rPr>
          <w:i/>
        </w:rPr>
        <w:t xml:space="preserve"> (Not run yet)</w:t>
      </w:r>
      <w:r w:rsidR="0078503C" w:rsidRPr="000665B0">
        <w:t xml:space="preserve"> tab, then select the deconfliction types to run:</w:t>
      </w:r>
    </w:p>
    <w:p w14:paraId="206581A4" w14:textId="78F9334C" w:rsidR="00484FE5" w:rsidRPr="000665B0" w:rsidRDefault="00484FE5" w:rsidP="00484FE5">
      <w:pPr>
        <w:pStyle w:val="number02050"/>
        <w:tabs>
          <w:tab w:val="left" w:pos="720"/>
        </w:tabs>
        <w:ind w:left="0" w:firstLine="0"/>
        <w:jc w:val="center"/>
      </w:pPr>
      <w:r w:rsidRPr="000665B0">
        <w:rPr>
          <w:noProof/>
        </w:rPr>
        <w:drawing>
          <wp:inline distT="0" distB="0" distL="0" distR="0" wp14:anchorId="0B31DA55" wp14:editId="23FF4EA4">
            <wp:extent cx="4983480" cy="1453896"/>
            <wp:effectExtent l="0" t="0" r="0" b="0"/>
            <wp:docPr id="2040" name="Picture 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1453896"/>
                    </a:xfrm>
                    <a:prstGeom prst="rect">
                      <a:avLst/>
                    </a:prstGeom>
                  </pic:spPr>
                </pic:pic>
              </a:graphicData>
            </a:graphic>
          </wp:inline>
        </w:drawing>
      </w:r>
    </w:p>
    <w:p w14:paraId="683F79FE" w14:textId="77777777" w:rsidR="0078503C" w:rsidRPr="000665B0" w:rsidRDefault="0078503C" w:rsidP="006D5A65">
      <w:pPr>
        <w:pStyle w:val="Heading2"/>
      </w:pPr>
      <w:r w:rsidRPr="000665B0">
        <w:t>Subscriber ID – The Subscriber IDs must be unique among all reservations in the execution folder.</w:t>
      </w:r>
    </w:p>
    <w:p w14:paraId="6637F19E" w14:textId="77777777" w:rsidR="0078503C" w:rsidRPr="000665B0" w:rsidRDefault="0078503C" w:rsidP="006D5A65">
      <w:pPr>
        <w:pStyle w:val="Heading2"/>
      </w:pPr>
      <w:r w:rsidRPr="000665B0">
        <w:t>DTA – Each FRU must use the same default controller DTA. A modem on the TSN can have only one address.</w:t>
      </w:r>
    </w:p>
    <w:p w14:paraId="0B3D2D44" w14:textId="0620DCB1" w:rsidR="0078503C" w:rsidRPr="000665B0" w:rsidRDefault="0078503C" w:rsidP="006D5A65">
      <w:pPr>
        <w:pStyle w:val="Heading2"/>
      </w:pPr>
      <w:r w:rsidRPr="000665B0">
        <w:t>Comms Params – The following items must be consistent between options:</w:t>
      </w:r>
    </w:p>
    <w:p w14:paraId="44FE4EA3" w14:textId="6E19C162" w:rsidR="0078503C" w:rsidRPr="000665B0" w:rsidRDefault="0078503C" w:rsidP="006D5A65">
      <w:pPr>
        <w:pStyle w:val="Heading2"/>
      </w:pPr>
      <w:r w:rsidRPr="000665B0">
        <w:t xml:space="preserve">Messaging </w:t>
      </w:r>
      <w:r w:rsidR="00D81969" w:rsidRPr="000665B0">
        <w:t>ROW Strategy</w:t>
      </w:r>
    </w:p>
    <w:p w14:paraId="2EF946B3" w14:textId="001B2D1C" w:rsidR="00D81969" w:rsidRPr="000665B0" w:rsidRDefault="00D81969" w:rsidP="006D5A65">
      <w:pPr>
        <w:pStyle w:val="Heading2"/>
      </w:pPr>
      <w:r w:rsidRPr="000665B0">
        <w:t>Ranging ROW Strategy</w:t>
      </w:r>
    </w:p>
    <w:p w14:paraId="6B1BA13F" w14:textId="77777777" w:rsidR="0078503C" w:rsidRPr="000665B0" w:rsidRDefault="0078503C" w:rsidP="006D5A65">
      <w:pPr>
        <w:pStyle w:val="Heading2"/>
      </w:pPr>
      <w:r w:rsidRPr="000665B0">
        <w:t>Channel Number</w:t>
      </w:r>
    </w:p>
    <w:p w14:paraId="1E05EC85" w14:textId="77777777" w:rsidR="0078503C" w:rsidRPr="000665B0" w:rsidRDefault="0078503C" w:rsidP="006D5A65">
      <w:pPr>
        <w:pStyle w:val="Heading2"/>
      </w:pPr>
      <w:r w:rsidRPr="000665B0">
        <w:t>Comms Initiator</w:t>
      </w:r>
    </w:p>
    <w:p w14:paraId="644F5CE4" w14:textId="77777777" w:rsidR="0078503C" w:rsidRPr="000665B0" w:rsidRDefault="0078503C" w:rsidP="006D5A65">
      <w:pPr>
        <w:pStyle w:val="Heading2"/>
      </w:pPr>
      <w:r w:rsidRPr="000665B0">
        <w:t>Network Login Method</w:t>
      </w:r>
    </w:p>
    <w:p w14:paraId="53AB87F8" w14:textId="77777777" w:rsidR="0078503C" w:rsidRPr="000665B0" w:rsidRDefault="0078503C" w:rsidP="006D5A65">
      <w:pPr>
        <w:pStyle w:val="Heading2"/>
      </w:pPr>
      <w:r w:rsidRPr="000665B0">
        <w:t>Demarcation Address</w:t>
      </w:r>
    </w:p>
    <w:p w14:paraId="768C1992" w14:textId="77777777" w:rsidR="0078503C" w:rsidRPr="000665B0" w:rsidRDefault="0078503C" w:rsidP="006D5A65">
      <w:pPr>
        <w:pStyle w:val="Heading2"/>
      </w:pPr>
      <w:r w:rsidRPr="000665B0">
        <w:t>Crypto Key: COMSEC and TRANSEC</w:t>
      </w:r>
    </w:p>
    <w:p w14:paraId="77BDE621" w14:textId="77777777" w:rsidR="0078503C" w:rsidRPr="000665B0" w:rsidRDefault="0078503C" w:rsidP="006D5A65">
      <w:pPr>
        <w:pStyle w:val="Heading2"/>
      </w:pPr>
      <w:r w:rsidRPr="000665B0">
        <w:t>KLAD 1 and 2</w:t>
      </w:r>
    </w:p>
    <w:p w14:paraId="1CE5033F" w14:textId="76504E5C" w:rsidR="00A6167E" w:rsidRPr="000665B0" w:rsidRDefault="000631A6" w:rsidP="006D5A65">
      <w:pPr>
        <w:pStyle w:val="Heading2"/>
      </w:pPr>
      <w:r w:rsidRPr="000665B0">
        <w:t>Comms Boundary –</w:t>
      </w:r>
      <w:r w:rsidR="00A6167E" w:rsidRPr="000665B0">
        <w:t xml:space="preserve"> </w:t>
      </w:r>
      <w:r w:rsidR="00DD59DC" w:rsidRPr="000665B0">
        <w:t xml:space="preserve">All applicable elements in the strike option will be checked to see if any element is outside of the </w:t>
      </w:r>
      <w:r w:rsidR="00DD59DC" w:rsidRPr="000665B0">
        <w:lastRenderedPageBreak/>
        <w:t>defined Planned Outcomes Boundary. For example, a FRU’s PLP should be within the geographic boundary as defined in Planned Outcomes Boundary.</w:t>
      </w:r>
    </w:p>
    <w:p w14:paraId="6EAD58B0" w14:textId="0CFD40CC" w:rsidR="000631A6" w:rsidRPr="000665B0" w:rsidRDefault="000631A6" w:rsidP="006D5A65">
      <w:pPr>
        <w:pStyle w:val="Heading2"/>
      </w:pPr>
      <w:r w:rsidRPr="000665B0">
        <w:t xml:space="preserve">ACA Capability – </w:t>
      </w:r>
      <w:r w:rsidR="00DD59DC" w:rsidRPr="000665B0">
        <w:t>FRUs in the strike option that are assigned ACA missiles will be checked to see if the FRU has ACA capability.</w:t>
      </w:r>
    </w:p>
    <w:p w14:paraId="4B327600" w14:textId="77777777" w:rsidR="0078503C" w:rsidRPr="000665B0" w:rsidRDefault="0078503C" w:rsidP="006D5A65">
      <w:pPr>
        <w:pStyle w:val="Heading3"/>
      </w:pPr>
      <w:r w:rsidRPr="000665B0">
        <w:t xml:space="preserve">Click the Run Analysis </w:t>
      </w:r>
      <w:r w:rsidR="009A1FDF" w:rsidRPr="000665B0">
        <w:rPr>
          <w:noProof/>
        </w:rPr>
        <w:drawing>
          <wp:inline distT="0" distB="0" distL="0" distR="0" wp14:anchorId="3EB4BC45" wp14:editId="34E5B751">
            <wp:extent cx="152400" cy="152400"/>
            <wp:effectExtent l="19050" t="0" r="0" b="0"/>
            <wp:docPr id="613" name="Picture 613" descr="Execute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ExecuteQuery"/>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button. The tabbed sections at the bottom of the window </w:t>
      </w:r>
      <w:r w:rsidR="00F32494" w:rsidRPr="000665B0">
        <w:t>are</w:t>
      </w:r>
      <w:r w:rsidRPr="000665B0">
        <w:t xml:space="preserve"> generated showing the results.</w:t>
      </w:r>
    </w:p>
    <w:p w14:paraId="7EB5D80A" w14:textId="1EC8D015" w:rsidR="00ED6AD6" w:rsidRPr="000665B0" w:rsidRDefault="00484FE5" w:rsidP="00C63237">
      <w:pPr>
        <w:tabs>
          <w:tab w:val="left" w:pos="720"/>
        </w:tabs>
        <w:jc w:val="center"/>
      </w:pPr>
      <w:r w:rsidRPr="000665B0">
        <w:rPr>
          <w:noProof/>
        </w:rPr>
        <w:drawing>
          <wp:inline distT="0" distB="0" distL="0" distR="0" wp14:anchorId="22A5BD15" wp14:editId="43988293">
            <wp:extent cx="4114800" cy="4727448"/>
            <wp:effectExtent l="0" t="0" r="0" b="0"/>
            <wp:docPr id="2046" name="Picture 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4727448"/>
                    </a:xfrm>
                    <a:prstGeom prst="rect">
                      <a:avLst/>
                    </a:prstGeom>
                  </pic:spPr>
                </pic:pic>
              </a:graphicData>
            </a:graphic>
          </wp:inline>
        </w:drawing>
      </w:r>
    </w:p>
    <w:p w14:paraId="2D48FF17" w14:textId="30C3C7C8" w:rsidR="0078503C" w:rsidRPr="000665B0" w:rsidRDefault="0078503C" w:rsidP="00474A1F">
      <w:pPr>
        <w:pStyle w:val="Heading5"/>
        <w:tabs>
          <w:tab w:val="left" w:pos="720"/>
        </w:tabs>
      </w:pPr>
      <w:bookmarkStart w:id="6397" w:name="_5.37.6.1.15__Option"/>
      <w:bookmarkStart w:id="6398" w:name="_Option_TSN_Schedule"/>
      <w:bookmarkStart w:id="6399" w:name="_Toc164499452"/>
      <w:bookmarkStart w:id="6400" w:name="_Toc289328874"/>
      <w:bookmarkStart w:id="6401" w:name="_Hlk54355228"/>
      <w:bookmarkEnd w:id="6392"/>
      <w:bookmarkEnd w:id="6397"/>
      <w:bookmarkEnd w:id="6398"/>
      <w:r w:rsidRPr="000665B0">
        <w:t>Option TSN Schedule</w:t>
      </w:r>
      <w:bookmarkEnd w:id="6393"/>
      <w:bookmarkEnd w:id="6399"/>
      <w:bookmarkEnd w:id="6400"/>
    </w:p>
    <w:p w14:paraId="646ED2DF" w14:textId="77777777" w:rsidR="0078503C" w:rsidRPr="000665B0" w:rsidRDefault="0078503C" w:rsidP="00474A1F">
      <w:pPr>
        <w:pStyle w:val="BodyText"/>
        <w:tabs>
          <w:tab w:val="left" w:pos="720"/>
        </w:tabs>
        <w:spacing w:after="120"/>
      </w:pPr>
      <w:r w:rsidRPr="000665B0">
        <w:t xml:space="preserve">The TSN Schedule Textual View enables the Strike Planner to create a Comms Schedule for the Strike. An initial schedule is generated based on settings specified under TSN Planning/Execution Properties. The operator can adjust the schedule, tailoring the Health and Status messages to their desired times. The TSN Schedule enables the operator to examine TSN </w:t>
      </w:r>
      <w:r w:rsidRPr="000665B0">
        <w:lastRenderedPageBreak/>
        <w:t>resource over-allocation and allows for adjustments to resolve conflicts. Contingency actions or recovery steps can be entered by the Strike Planner as notes on the Comms Schedule.</w:t>
      </w:r>
    </w:p>
    <w:p w14:paraId="0A9C93BA" w14:textId="6959D6F3" w:rsidR="0078503C" w:rsidRPr="000665B0" w:rsidRDefault="0078503C" w:rsidP="0060789D">
      <w:r w:rsidRPr="000665B0">
        <w:t xml:space="preserve">To Run the TSN Schedule, from the Option Textual View, click the </w:t>
      </w:r>
      <w:r w:rsidRPr="000665B0">
        <w:rPr>
          <w:b/>
        </w:rPr>
        <w:t>TSN Schedule</w:t>
      </w:r>
      <w:r w:rsidRPr="000665B0">
        <w:t xml:space="preserve"> </w:t>
      </w:r>
      <w:r w:rsidR="00AC7AE1" w:rsidRPr="000665B0">
        <w:t xml:space="preserve">icon </w:t>
      </w:r>
      <w:r w:rsidR="00AC7AE1" w:rsidRPr="000665B0">
        <w:rPr>
          <w:noProof/>
        </w:rPr>
        <w:drawing>
          <wp:inline distT="0" distB="0" distL="0" distR="0" wp14:anchorId="16C0CBC4" wp14:editId="4F875906">
            <wp:extent cx="276225" cy="228600"/>
            <wp:effectExtent l="19050" t="0" r="9525" b="0"/>
            <wp:docPr id="1190"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cstate="print"/>
                    <a:srcRect/>
                    <a:stretch>
                      <a:fillRect/>
                    </a:stretch>
                  </pic:blipFill>
                  <pic:spPr bwMode="auto">
                    <a:xfrm>
                      <a:off x="0" y="0"/>
                      <a:ext cx="276225" cy="228600"/>
                    </a:xfrm>
                    <a:prstGeom prst="rect">
                      <a:avLst/>
                    </a:prstGeom>
                    <a:noFill/>
                    <a:ln w="9525">
                      <a:noFill/>
                      <a:miter lim="800000"/>
                      <a:headEnd/>
                      <a:tailEnd/>
                    </a:ln>
                  </pic:spPr>
                </pic:pic>
              </a:graphicData>
            </a:graphic>
          </wp:inline>
        </w:drawing>
      </w:r>
      <w:r w:rsidR="00AC7AE1" w:rsidRPr="000665B0">
        <w:t xml:space="preserve"> on the </w:t>
      </w:r>
      <w:r w:rsidRPr="000665B0">
        <w:t>toolbar</w:t>
      </w:r>
      <w:r w:rsidR="00AC7AE1" w:rsidRPr="000665B0">
        <w:t xml:space="preserve">, or select </w:t>
      </w:r>
      <w:r w:rsidR="00AC7AE1" w:rsidRPr="000665B0">
        <w:rPr>
          <w:b/>
        </w:rPr>
        <w:t>Tools</w:t>
      </w:r>
      <w:r w:rsidR="00AC7AE1" w:rsidRPr="000665B0">
        <w:t xml:space="preserve"> </w:t>
      </w:r>
      <w:r w:rsidR="00AC7AE1" w:rsidRPr="000665B0">
        <w:rPr>
          <w:b/>
        </w:rPr>
        <w:sym w:font="Wingdings" w:char="F0E0"/>
      </w:r>
      <w:r w:rsidR="00AC7AE1" w:rsidRPr="000665B0">
        <w:rPr>
          <w:b/>
        </w:rPr>
        <w:t xml:space="preserve"> TSN Schedule</w:t>
      </w:r>
      <w:r w:rsidR="00AC7AE1" w:rsidRPr="000665B0">
        <w:t>.</w:t>
      </w:r>
      <w:r w:rsidR="00574F75" w:rsidRPr="000665B0">
        <w:t xml:space="preserve"> The </w:t>
      </w:r>
      <w:r w:rsidR="00574F75" w:rsidRPr="000665B0">
        <w:rPr>
          <w:i/>
        </w:rPr>
        <w:t>Strike Planning</w:t>
      </w:r>
      <w:r w:rsidR="00574F75" w:rsidRPr="000665B0">
        <w:t xml:space="preserve"> window is displayed.</w:t>
      </w:r>
      <w:r w:rsidR="008939EA" w:rsidRPr="000665B0">
        <w:t xml:space="preserve"> The display varies depending on the viewing parameters selected</w:t>
      </w:r>
      <w:r w:rsidR="007A6DC7" w:rsidRPr="000665B0">
        <w:t xml:space="preserve"> in the </w:t>
      </w:r>
      <w:r w:rsidR="007A6DC7" w:rsidRPr="000665B0">
        <w:rPr>
          <w:b/>
        </w:rPr>
        <w:t>Group by</w:t>
      </w:r>
      <w:r w:rsidR="007A6DC7" w:rsidRPr="000665B0">
        <w:t xml:space="preserve"> and </w:t>
      </w:r>
      <w:r w:rsidR="007A6DC7" w:rsidRPr="000665B0">
        <w:rPr>
          <w:b/>
        </w:rPr>
        <w:t>Order Missile within Grouping by</w:t>
      </w:r>
      <w:r w:rsidR="007A6DC7" w:rsidRPr="000665B0">
        <w:t xml:space="preserve"> pull down menus.</w:t>
      </w:r>
      <w:r w:rsidR="008939EA" w:rsidRPr="000665B0">
        <w:t xml:space="preserve"> </w:t>
      </w:r>
    </w:p>
    <w:p w14:paraId="33DBEA76" w14:textId="027BB9A7" w:rsidR="0078503C" w:rsidRPr="000665B0" w:rsidRDefault="009668B1" w:rsidP="00F1149D">
      <w:pPr>
        <w:tabs>
          <w:tab w:val="left" w:pos="720"/>
        </w:tabs>
        <w:spacing w:before="120"/>
        <w:jc w:val="center"/>
        <w:rPr>
          <w:noProof/>
        </w:rPr>
      </w:pPr>
      <w:r w:rsidRPr="00D03080">
        <w:rPr>
          <w:noProof/>
        </w:rPr>
        <w:drawing>
          <wp:inline distT="0" distB="0" distL="0" distR="0" wp14:anchorId="6B2CAA3B" wp14:editId="7351CFAF">
            <wp:extent cx="5292120" cy="2495550"/>
            <wp:effectExtent l="0" t="0" r="0" b="0"/>
            <wp:docPr id="1149735327"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5327" name="Picture 1" descr="Table&#10;&#10;Description automatically generated"/>
                    <pic:cNvPicPr/>
                  </pic:nvPicPr>
                  <pic:blipFill>
                    <a:blip/>
                    <a:stretch>
                      <a:fillRect/>
                    </a:stretch>
                  </pic:blipFill>
                  <pic:spPr>
                    <a:xfrm>
                      <a:off x="0" y="0"/>
                      <a:ext cx="5293539" cy="2496219"/>
                    </a:xfrm>
                    <a:prstGeom prst="rect">
                      <a:avLst/>
                    </a:prstGeom>
                  </pic:spPr>
                </pic:pic>
              </a:graphicData>
            </a:graphic>
          </wp:inline>
        </w:drawing>
      </w:r>
    </w:p>
    <w:p w14:paraId="2F574D79" w14:textId="4A45DF5C" w:rsidR="00EF2F76" w:rsidRDefault="00471F97" w:rsidP="00F1149D">
      <w:pPr>
        <w:tabs>
          <w:tab w:val="left" w:pos="720"/>
        </w:tabs>
        <w:spacing w:before="120"/>
        <w:jc w:val="center"/>
        <w:rPr>
          <w:noProof/>
        </w:rPr>
      </w:pPr>
      <w:r w:rsidRPr="00FE08EC">
        <w:rPr>
          <w:noProof/>
        </w:rPr>
        <w:drawing>
          <wp:inline distT="0" distB="0" distL="0" distR="0" wp14:anchorId="1C54F5B4" wp14:editId="74339BFB">
            <wp:extent cx="5267325" cy="2696484"/>
            <wp:effectExtent l="0" t="0" r="0" b="0"/>
            <wp:docPr id="965039784" name="Picture 1"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39784" name="Picture 1" descr="A picture containing timeline&#10;&#10;Description automatically generated"/>
                    <pic:cNvPicPr/>
                  </pic:nvPicPr>
                  <pic:blipFill>
                    <a:blip/>
                    <a:stretch>
                      <a:fillRect/>
                    </a:stretch>
                  </pic:blipFill>
                  <pic:spPr>
                    <a:xfrm>
                      <a:off x="0" y="0"/>
                      <a:ext cx="5274073" cy="2699938"/>
                    </a:xfrm>
                    <a:prstGeom prst="rect">
                      <a:avLst/>
                    </a:prstGeom>
                  </pic:spPr>
                </pic:pic>
              </a:graphicData>
            </a:graphic>
          </wp:inline>
        </w:drawing>
      </w:r>
    </w:p>
    <w:p w14:paraId="26E4B30A" w14:textId="258D1D81" w:rsidR="008939EA" w:rsidRPr="00EF2F76" w:rsidRDefault="00471F97" w:rsidP="00F1149D">
      <w:pPr>
        <w:tabs>
          <w:tab w:val="left" w:pos="720"/>
        </w:tabs>
        <w:spacing w:before="120"/>
        <w:jc w:val="center"/>
        <w:rPr>
          <w:noProof/>
        </w:rPr>
      </w:pPr>
      <w:r w:rsidRPr="00DD67AD">
        <w:rPr>
          <w:noProof/>
        </w:rPr>
        <w:lastRenderedPageBreak/>
        <w:drawing>
          <wp:inline distT="0" distB="0" distL="0" distR="0" wp14:anchorId="152E2530" wp14:editId="6EBF8E9E">
            <wp:extent cx="5253170" cy="2419350"/>
            <wp:effectExtent l="0" t="0" r="0" b="0"/>
            <wp:docPr id="2021667004"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7004" name="Picture 1" descr="Timeline&#10;&#10;Description automatically generated"/>
                    <pic:cNvPicPr/>
                  </pic:nvPicPr>
                  <pic:blipFill>
                    <a:blip/>
                    <a:stretch>
                      <a:fillRect/>
                    </a:stretch>
                  </pic:blipFill>
                  <pic:spPr>
                    <a:xfrm>
                      <a:off x="0" y="0"/>
                      <a:ext cx="5257753" cy="2421461"/>
                    </a:xfrm>
                    <a:prstGeom prst="rect">
                      <a:avLst/>
                    </a:prstGeom>
                  </pic:spPr>
                </pic:pic>
              </a:graphicData>
            </a:graphic>
          </wp:inline>
        </w:drawing>
      </w:r>
    </w:p>
    <w:p w14:paraId="2EB553A9" w14:textId="77777777" w:rsidR="0078503C" w:rsidRPr="000665B0" w:rsidRDefault="0078503C" w:rsidP="00474A1F">
      <w:pPr>
        <w:pStyle w:val="BodyText"/>
        <w:tabs>
          <w:tab w:val="left" w:pos="720"/>
        </w:tabs>
        <w:spacing w:after="120"/>
      </w:pPr>
      <w:r w:rsidRPr="000665B0">
        <w:t xml:space="preserve">The TSN Schedule Textual View consists of a Network </w:t>
      </w:r>
      <w:r w:rsidR="00391DBF" w:rsidRPr="000665B0">
        <w:t>P</w:t>
      </w:r>
      <w:r w:rsidRPr="000665B0">
        <w:t xml:space="preserve">anel, a Gantt Chart, and the Missile Assignment List. The Network panel shows network </w:t>
      </w:r>
      <w:r w:rsidR="001E3B29" w:rsidRPr="000665B0">
        <w:t>utilization</w:t>
      </w:r>
      <w:r w:rsidRPr="000665B0">
        <w:t xml:space="preserve"> as a function of time. The Missile Assignment List shows the primary missiles assignments for the Option. The Gantt Chart shows the missile activities as a function of time.</w:t>
      </w:r>
    </w:p>
    <w:p w14:paraId="7D5749BD" w14:textId="77777777" w:rsidR="0078503C" w:rsidRPr="000665B0" w:rsidRDefault="0078503C" w:rsidP="00474A1F">
      <w:pPr>
        <w:pStyle w:val="PlainText"/>
        <w:tabs>
          <w:tab w:val="left" w:pos="720"/>
        </w:tabs>
        <w:rPr>
          <w:rFonts w:ascii="Times New Roman" w:hAnsi="Times New Roman"/>
          <w:b/>
        </w:rPr>
      </w:pPr>
      <w:r w:rsidRPr="000665B0">
        <w:rPr>
          <w:rFonts w:ascii="Times New Roman" w:hAnsi="Times New Roman"/>
          <w:b/>
        </w:rPr>
        <w:t>Menu:</w:t>
      </w:r>
    </w:p>
    <w:p w14:paraId="18B4E594" w14:textId="77777777" w:rsidR="0078503C" w:rsidRPr="000665B0" w:rsidRDefault="0078503C" w:rsidP="006D5A65">
      <w:pPr>
        <w:pStyle w:val="Heading1"/>
      </w:pPr>
      <w:r w:rsidRPr="000665B0">
        <w:lastRenderedPageBreak/>
        <w:t>File</w:t>
      </w:r>
    </w:p>
    <w:p w14:paraId="6ED81370" w14:textId="77777777" w:rsidR="0078503C" w:rsidRPr="000665B0" w:rsidRDefault="0078503C" w:rsidP="006D5A65">
      <w:pPr>
        <w:pStyle w:val="Heading1"/>
      </w:pPr>
      <w:r w:rsidRPr="000665B0">
        <w:t>Close – Closes the TSN Schedule textual view.</w:t>
      </w:r>
    </w:p>
    <w:p w14:paraId="726EA420" w14:textId="77777777" w:rsidR="0078503C" w:rsidRPr="000665B0" w:rsidRDefault="0078503C" w:rsidP="006D5A65">
      <w:pPr>
        <w:pStyle w:val="Heading1"/>
      </w:pPr>
      <w:r w:rsidRPr="000665B0">
        <w:t>View</w:t>
      </w:r>
    </w:p>
    <w:p w14:paraId="199B43F5" w14:textId="77777777" w:rsidR="0078503C" w:rsidRPr="000665B0" w:rsidRDefault="0078503C" w:rsidP="006D5A65">
      <w:pPr>
        <w:pStyle w:val="Heading1"/>
      </w:pPr>
      <w:r w:rsidRPr="000665B0">
        <w:t>Zoom In – Expand</w:t>
      </w:r>
      <w:r w:rsidR="00391DBF" w:rsidRPr="000665B0">
        <w:t>s</w:t>
      </w:r>
      <w:r w:rsidRPr="000665B0">
        <w:t xml:space="preserve"> the network and </w:t>
      </w:r>
      <w:r w:rsidR="001E3B29" w:rsidRPr="000665B0">
        <w:t>Gantt</w:t>
      </w:r>
      <w:r w:rsidRPr="000665B0">
        <w:t xml:space="preserve"> chart. Can also use F2 keystroke.</w:t>
      </w:r>
    </w:p>
    <w:p w14:paraId="748AC9DE" w14:textId="77777777" w:rsidR="0078503C" w:rsidRPr="000665B0" w:rsidRDefault="0078503C" w:rsidP="006D5A65">
      <w:pPr>
        <w:pStyle w:val="Heading1"/>
      </w:pPr>
      <w:r w:rsidRPr="000665B0">
        <w:t>Zoom Out – Shrink</w:t>
      </w:r>
      <w:r w:rsidR="00391DBF" w:rsidRPr="000665B0">
        <w:t>s</w:t>
      </w:r>
      <w:r w:rsidRPr="000665B0">
        <w:t xml:space="preserve"> the network and </w:t>
      </w:r>
      <w:r w:rsidR="001E3B29" w:rsidRPr="000665B0">
        <w:t>Gantt</w:t>
      </w:r>
      <w:r w:rsidRPr="000665B0">
        <w:t xml:space="preserve"> chart. Can also use F3 keystroke.</w:t>
      </w:r>
    </w:p>
    <w:p w14:paraId="0B6F4EE0" w14:textId="77777777" w:rsidR="0078503C" w:rsidRPr="000665B0" w:rsidRDefault="0078503C" w:rsidP="006D5A65">
      <w:pPr>
        <w:pStyle w:val="Heading1"/>
      </w:pPr>
      <w:r w:rsidRPr="000665B0">
        <w:t xml:space="preserve">Network Panel – </w:t>
      </w:r>
      <w:r w:rsidR="00391DBF" w:rsidRPr="000665B0">
        <w:t xml:space="preserve">Shows/hides </w:t>
      </w:r>
      <w:r w:rsidRPr="000665B0">
        <w:t>the Network Panel.</w:t>
      </w:r>
    </w:p>
    <w:p w14:paraId="4831995A" w14:textId="77777777" w:rsidR="0078503C" w:rsidRPr="000665B0" w:rsidRDefault="0078503C" w:rsidP="006D5A65">
      <w:pPr>
        <w:pStyle w:val="Heading1"/>
      </w:pPr>
      <w:r w:rsidRPr="000665B0">
        <w:t xml:space="preserve">Toolbar – </w:t>
      </w:r>
      <w:r w:rsidR="00391DBF" w:rsidRPr="000665B0">
        <w:t>Shows/hides the</w:t>
      </w:r>
      <w:r w:rsidRPr="000665B0">
        <w:t xml:space="preserve"> toolbar.</w:t>
      </w:r>
    </w:p>
    <w:p w14:paraId="31D4F174" w14:textId="77777777" w:rsidR="0078503C" w:rsidRPr="000665B0" w:rsidRDefault="0078503C" w:rsidP="006D5A65">
      <w:pPr>
        <w:pStyle w:val="Heading1"/>
      </w:pPr>
      <w:r w:rsidRPr="000665B0">
        <w:t xml:space="preserve">BLK III Missiles – </w:t>
      </w:r>
      <w:r w:rsidR="00391DBF" w:rsidRPr="000665B0">
        <w:t xml:space="preserve">Shows/hides </w:t>
      </w:r>
      <w:r w:rsidRPr="000665B0">
        <w:t>BLK III missiles. BLK III missiles cannot send Health and Status messages.</w:t>
      </w:r>
    </w:p>
    <w:p w14:paraId="513FCE39" w14:textId="2444CD82" w:rsidR="0078503C" w:rsidRDefault="004C34C6" w:rsidP="006D5A65">
      <w:pPr>
        <w:pStyle w:val="Heading1"/>
      </w:pPr>
      <w:r w:rsidRPr="000665B0">
        <w:t>109E</w:t>
      </w:r>
      <w:r w:rsidR="00A863F3">
        <w:t>/M</w:t>
      </w:r>
      <w:r w:rsidR="0078503C" w:rsidRPr="000665B0">
        <w:t xml:space="preserve"> Missiles with Comms Disabled – </w:t>
      </w:r>
      <w:r w:rsidR="00391DBF" w:rsidRPr="000665B0">
        <w:t xml:space="preserve">Shows/hides </w:t>
      </w:r>
      <w:r w:rsidRPr="000665B0">
        <w:t>109E</w:t>
      </w:r>
      <w:r w:rsidR="0078503C" w:rsidRPr="000665B0">
        <w:t xml:space="preserve"> </w:t>
      </w:r>
      <w:r w:rsidR="00A863F3">
        <w:t xml:space="preserve">and/or 109M </w:t>
      </w:r>
      <w:r w:rsidR="0078503C" w:rsidRPr="000665B0">
        <w:t xml:space="preserve">missiles with Comms disabled. </w:t>
      </w:r>
      <w:r w:rsidRPr="000665B0">
        <w:t>109E</w:t>
      </w:r>
      <w:r w:rsidR="0078503C" w:rsidRPr="000665B0">
        <w:t xml:space="preserve"> </w:t>
      </w:r>
      <w:r w:rsidR="00A863F3">
        <w:t xml:space="preserve">and/or 109M </w:t>
      </w:r>
      <w:r w:rsidR="0078503C" w:rsidRPr="000665B0">
        <w:t>missiles with Comms disabled cannot send Health and Status messages.</w:t>
      </w:r>
    </w:p>
    <w:p w14:paraId="22EB7F12" w14:textId="3E58E3D5" w:rsidR="00AA0A43" w:rsidRPr="00216909" w:rsidRDefault="00AA0A43" w:rsidP="006D5A65">
      <w:pPr>
        <w:pStyle w:val="Heading1"/>
      </w:pPr>
      <w:r>
        <w:t>Ghost Tasking – Shows/hides Ghost Tasking.</w:t>
      </w:r>
    </w:p>
    <w:p w14:paraId="17D74DCE" w14:textId="77777777" w:rsidR="0078503C" w:rsidRPr="000665B0" w:rsidRDefault="0078503C" w:rsidP="006D5A65">
      <w:pPr>
        <w:pStyle w:val="Heading1"/>
      </w:pPr>
      <w:r w:rsidRPr="000665B0">
        <w:t xml:space="preserve">Commitments – </w:t>
      </w:r>
      <w:r w:rsidR="00391DBF" w:rsidRPr="000665B0">
        <w:t xml:space="preserve">Shows/hides </w:t>
      </w:r>
      <w:r w:rsidRPr="000665B0">
        <w:t>platform and missile controller commitments</w:t>
      </w:r>
      <w:r w:rsidR="00391DBF" w:rsidRPr="000665B0">
        <w:t>.</w:t>
      </w:r>
    </w:p>
    <w:p w14:paraId="39D09D4C" w14:textId="77777777" w:rsidR="0078503C" w:rsidRPr="000665B0" w:rsidRDefault="0078503C" w:rsidP="006D5A65">
      <w:pPr>
        <w:pStyle w:val="Heading1"/>
      </w:pPr>
      <w:r w:rsidRPr="000665B0">
        <w:t xml:space="preserve">Notes – </w:t>
      </w:r>
      <w:r w:rsidR="00391DBF" w:rsidRPr="000665B0">
        <w:t xml:space="preserve">Shows/hides </w:t>
      </w:r>
      <w:r w:rsidRPr="000665B0">
        <w:t>notes.</w:t>
      </w:r>
    </w:p>
    <w:p w14:paraId="132F2EB3" w14:textId="77777777" w:rsidR="0078503C" w:rsidRPr="000665B0" w:rsidRDefault="0078503C" w:rsidP="006D5A65">
      <w:pPr>
        <w:pStyle w:val="Heading1"/>
      </w:pPr>
      <w:r w:rsidRPr="000665B0">
        <w:t xml:space="preserve">Actionpoints – </w:t>
      </w:r>
      <w:r w:rsidR="00391DBF" w:rsidRPr="000665B0">
        <w:t xml:space="preserve">Shows/hides </w:t>
      </w:r>
      <w:r w:rsidRPr="000665B0">
        <w:t>route actionpoints.</w:t>
      </w:r>
    </w:p>
    <w:p w14:paraId="141F4473" w14:textId="77777777" w:rsidR="0078503C" w:rsidRPr="000665B0" w:rsidRDefault="0078503C" w:rsidP="006D5A65">
      <w:pPr>
        <w:pStyle w:val="Heading1"/>
      </w:pPr>
      <w:r w:rsidRPr="000665B0">
        <w:t xml:space="preserve">Waypoints – </w:t>
      </w:r>
      <w:r w:rsidR="00391DBF" w:rsidRPr="000665B0">
        <w:t xml:space="preserve">Shows/hides </w:t>
      </w:r>
      <w:r w:rsidRPr="000665B0">
        <w:t>route waypoints.</w:t>
      </w:r>
    </w:p>
    <w:p w14:paraId="0E91A4D4" w14:textId="77777777" w:rsidR="0078503C" w:rsidRPr="000665B0" w:rsidRDefault="0078503C" w:rsidP="006D5A65">
      <w:pPr>
        <w:pStyle w:val="Heading1"/>
      </w:pPr>
      <w:r w:rsidRPr="000665B0">
        <w:t xml:space="preserve">Flexpoints – </w:t>
      </w:r>
      <w:r w:rsidR="00391DBF" w:rsidRPr="000665B0">
        <w:t xml:space="preserve">Shows/hides </w:t>
      </w:r>
      <w:r w:rsidRPr="000665B0">
        <w:t>route flexpoints.</w:t>
      </w:r>
    </w:p>
    <w:p w14:paraId="046D2393" w14:textId="77777777" w:rsidR="000C59E0" w:rsidRPr="000665B0" w:rsidRDefault="000C59E0" w:rsidP="006D5A65">
      <w:pPr>
        <w:pStyle w:val="Heading1"/>
      </w:pPr>
      <w:r w:rsidRPr="000665B0">
        <w:t>Feet Dry – Makes feet dry locations visible or hidden.</w:t>
      </w:r>
    </w:p>
    <w:p w14:paraId="69FA679C" w14:textId="77777777" w:rsidR="0078503C" w:rsidRPr="000665B0" w:rsidRDefault="0078503C" w:rsidP="006D5A65">
      <w:pPr>
        <w:pStyle w:val="Heading1"/>
      </w:pPr>
      <w:r w:rsidRPr="000665B0">
        <w:t xml:space="preserve">Group, Order, Filter... – Opens the </w:t>
      </w:r>
      <w:r w:rsidRPr="000665B0">
        <w:rPr>
          <w:i/>
        </w:rPr>
        <w:t xml:space="preserve">TSN Display </w:t>
      </w:r>
      <w:r w:rsidR="00391DBF" w:rsidRPr="000665B0">
        <w:rPr>
          <w:i/>
        </w:rPr>
        <w:t>P</w:t>
      </w:r>
      <w:r w:rsidRPr="000665B0">
        <w:rPr>
          <w:i/>
        </w:rPr>
        <w:t>references</w:t>
      </w:r>
      <w:r w:rsidRPr="000665B0">
        <w:t xml:space="preserve"> </w:t>
      </w:r>
      <w:r w:rsidR="00391DBF" w:rsidRPr="000665B0">
        <w:t>window</w:t>
      </w:r>
      <w:r w:rsidRPr="000665B0">
        <w:t>.</w:t>
      </w:r>
    </w:p>
    <w:p w14:paraId="4665C821" w14:textId="0E7AEF49" w:rsidR="0078503C" w:rsidRPr="000665B0" w:rsidRDefault="0078503C" w:rsidP="006D5A65">
      <w:pPr>
        <w:pStyle w:val="Heading1"/>
      </w:pPr>
      <w:r w:rsidRPr="000665B0">
        <w:t xml:space="preserve">Gantt Missile ID Order... – Opens the </w:t>
      </w:r>
      <w:r w:rsidRPr="000665B0">
        <w:rPr>
          <w:i/>
        </w:rPr>
        <w:t>Gantt Missile Identifier Properties</w:t>
      </w:r>
      <w:r w:rsidRPr="000665B0">
        <w:t xml:space="preserve"> </w:t>
      </w:r>
      <w:r w:rsidR="00391DBF" w:rsidRPr="000665B0">
        <w:t xml:space="preserve">window </w:t>
      </w:r>
      <w:r w:rsidRPr="000665B0">
        <w:t>(</w:t>
      </w:r>
      <w:r w:rsidR="00391DBF" w:rsidRPr="000665B0">
        <w:t xml:space="preserve">see </w:t>
      </w:r>
      <w:hyperlink w:anchor="_5.37.7.1.16.1__Gantt" w:history="1">
        <w:r w:rsidR="009326FE" w:rsidRPr="000665B0">
          <w:rPr>
            <w:rStyle w:val="Hyperlink"/>
            <w:bCs/>
          </w:rPr>
          <w:t xml:space="preserve">Section </w:t>
        </w:r>
        <w:r w:rsidR="004231CC">
          <w:rPr>
            <w:rStyle w:val="Hyperlink"/>
            <w:bCs/>
          </w:rPr>
          <w:t>5.34</w:t>
        </w:r>
        <w:r w:rsidRPr="000665B0">
          <w:rPr>
            <w:rStyle w:val="Hyperlink"/>
          </w:rPr>
          <w:t>.</w:t>
        </w:r>
        <w:r w:rsidR="0089269C" w:rsidRPr="000665B0">
          <w:rPr>
            <w:rStyle w:val="Hyperlink"/>
          </w:rPr>
          <w:t>7</w:t>
        </w:r>
        <w:r w:rsidRPr="000665B0">
          <w:rPr>
            <w:rStyle w:val="Hyperlink"/>
          </w:rPr>
          <w:t>.1.</w:t>
        </w:r>
        <w:r w:rsidR="000B6B74" w:rsidRPr="000665B0">
          <w:rPr>
            <w:rStyle w:val="Hyperlink"/>
          </w:rPr>
          <w:t>16</w:t>
        </w:r>
        <w:r w:rsidRPr="000665B0">
          <w:rPr>
            <w:rStyle w:val="Hyperlink"/>
          </w:rPr>
          <w:t>.1</w:t>
        </w:r>
      </w:hyperlink>
      <w:r w:rsidRPr="000665B0">
        <w:t>).</w:t>
      </w:r>
    </w:p>
    <w:p w14:paraId="49BB6883" w14:textId="77777777" w:rsidR="0078503C" w:rsidRPr="000665B0" w:rsidRDefault="0078503C" w:rsidP="006D5A65">
      <w:pPr>
        <w:pStyle w:val="Heading1"/>
      </w:pPr>
      <w:r w:rsidRPr="000665B0">
        <w:t>Help</w:t>
      </w:r>
    </w:p>
    <w:p w14:paraId="35A55137" w14:textId="77777777" w:rsidR="0078503C" w:rsidRPr="000665B0" w:rsidRDefault="0078503C" w:rsidP="006D5A65">
      <w:pPr>
        <w:pStyle w:val="Heading1"/>
      </w:pPr>
      <w:r w:rsidRPr="000665B0">
        <w:t>Strike Help – Brings up this help page.</w:t>
      </w:r>
    </w:p>
    <w:p w14:paraId="22298CD7" w14:textId="77777777" w:rsidR="0078503C" w:rsidRPr="000665B0" w:rsidRDefault="00391DBF" w:rsidP="00474A1F">
      <w:pPr>
        <w:pStyle w:val="PlainText"/>
        <w:tabs>
          <w:tab w:val="left" w:pos="720"/>
        </w:tabs>
        <w:rPr>
          <w:rFonts w:ascii="Times New Roman" w:hAnsi="Times New Roman"/>
          <w:b/>
        </w:rPr>
      </w:pPr>
      <w:r w:rsidRPr="000665B0">
        <w:rPr>
          <w:rFonts w:ascii="Times New Roman" w:hAnsi="Times New Roman"/>
          <w:b/>
        </w:rPr>
        <w:t>Toolbar</w:t>
      </w:r>
      <w:r w:rsidR="0078503C" w:rsidRPr="000665B0">
        <w:rPr>
          <w:rFonts w:ascii="Times New Roman" w:hAnsi="Times New Roman"/>
          <w:b/>
        </w:rPr>
        <w:t>:</w:t>
      </w:r>
    </w:p>
    <w:p w14:paraId="2F0CD020" w14:textId="77777777" w:rsidR="0078503C" w:rsidRPr="000665B0" w:rsidRDefault="009A1FDF" w:rsidP="006D5A65">
      <w:pPr>
        <w:pStyle w:val="Heading1"/>
      </w:pPr>
      <w:r w:rsidRPr="000665B0">
        <w:rPr>
          <w:noProof/>
        </w:rPr>
        <w:drawing>
          <wp:inline distT="0" distB="0" distL="0" distR="0" wp14:anchorId="5ECC242E" wp14:editId="14739B56">
            <wp:extent cx="190500" cy="238125"/>
            <wp:effectExtent l="19050" t="0" r="0" b="0"/>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cstate="print"/>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0078503C" w:rsidRPr="000665B0">
        <w:t xml:space="preserve"> – Expand</w:t>
      </w:r>
      <w:r w:rsidR="00391DBF" w:rsidRPr="000665B0">
        <w:t>s</w:t>
      </w:r>
      <w:r w:rsidR="0078503C" w:rsidRPr="000665B0">
        <w:t xml:space="preserve"> the network and </w:t>
      </w:r>
      <w:r w:rsidR="001E3B29" w:rsidRPr="000665B0">
        <w:t>Gantt</w:t>
      </w:r>
      <w:r w:rsidR="0078503C" w:rsidRPr="000665B0">
        <w:t xml:space="preserve"> chart. </w:t>
      </w:r>
    </w:p>
    <w:p w14:paraId="1999220F" w14:textId="77777777" w:rsidR="0078503C" w:rsidRPr="000665B0" w:rsidRDefault="009A1FDF" w:rsidP="006D5A65">
      <w:pPr>
        <w:pStyle w:val="Heading1"/>
      </w:pPr>
      <w:r w:rsidRPr="000665B0">
        <w:rPr>
          <w:noProof/>
        </w:rPr>
        <w:drawing>
          <wp:inline distT="0" distB="0" distL="0" distR="0" wp14:anchorId="64914C86" wp14:editId="321AF9A6">
            <wp:extent cx="209550" cy="228600"/>
            <wp:effectExtent l="19050" t="0" r="0" b="0"/>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0078503C" w:rsidRPr="000665B0">
        <w:t xml:space="preserve"> – Shrink</w:t>
      </w:r>
      <w:r w:rsidR="00391DBF" w:rsidRPr="000665B0">
        <w:t>s</w:t>
      </w:r>
      <w:r w:rsidR="0078503C" w:rsidRPr="000665B0">
        <w:t xml:space="preserve"> the network and </w:t>
      </w:r>
      <w:r w:rsidR="001E3B29" w:rsidRPr="000665B0">
        <w:t>Gantt</w:t>
      </w:r>
      <w:r w:rsidR="0078503C" w:rsidRPr="000665B0">
        <w:t xml:space="preserve"> chart.</w:t>
      </w:r>
    </w:p>
    <w:p w14:paraId="22BC6966" w14:textId="77777777" w:rsidR="0078503C" w:rsidRPr="000665B0" w:rsidRDefault="009A1FDF" w:rsidP="006D5A65">
      <w:pPr>
        <w:pStyle w:val="Heading1"/>
      </w:pPr>
      <w:r w:rsidRPr="000665B0">
        <w:rPr>
          <w:noProof/>
        </w:rPr>
        <w:drawing>
          <wp:inline distT="0" distB="0" distL="0" distR="0" wp14:anchorId="4D47AC30" wp14:editId="4FE8331D">
            <wp:extent cx="238125" cy="219075"/>
            <wp:effectExtent l="19050" t="0" r="9525" b="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cstate="print"/>
                    <a:srcRect/>
                    <a:stretch>
                      <a:fillRect/>
                    </a:stretch>
                  </pic:blipFill>
                  <pic:spPr bwMode="auto">
                    <a:xfrm>
                      <a:off x="0" y="0"/>
                      <a:ext cx="238125" cy="219075"/>
                    </a:xfrm>
                    <a:prstGeom prst="rect">
                      <a:avLst/>
                    </a:prstGeom>
                    <a:noFill/>
                    <a:ln w="9525">
                      <a:noFill/>
                      <a:miter lim="800000"/>
                      <a:headEnd/>
                      <a:tailEnd/>
                    </a:ln>
                  </pic:spPr>
                </pic:pic>
              </a:graphicData>
            </a:graphic>
          </wp:inline>
        </w:drawing>
      </w:r>
      <w:r w:rsidR="0078503C" w:rsidRPr="000665B0">
        <w:t xml:space="preserve"> – Add</w:t>
      </w:r>
      <w:r w:rsidR="00391DBF" w:rsidRPr="000665B0">
        <w:t>s</w:t>
      </w:r>
      <w:r w:rsidR="0078503C" w:rsidRPr="000665B0">
        <w:t xml:space="preserve"> </w:t>
      </w:r>
      <w:r w:rsidR="00391DBF" w:rsidRPr="000665B0">
        <w:t>n</w:t>
      </w:r>
      <w:r w:rsidR="0078503C" w:rsidRPr="000665B0">
        <w:t>ew Health &amp; Status Toggle. Allows for planned Health &amp; Status messages to be placed on the Gantt Chart. This toolbar is disabled if the Option is Read-Only.</w:t>
      </w:r>
    </w:p>
    <w:p w14:paraId="312440A0" w14:textId="34BB45E1" w:rsidR="0078503C" w:rsidRPr="000665B0" w:rsidRDefault="009A1FDF" w:rsidP="006D5A65">
      <w:pPr>
        <w:pStyle w:val="Heading1"/>
      </w:pPr>
      <w:r w:rsidRPr="000665B0">
        <w:rPr>
          <w:noProof/>
        </w:rPr>
        <w:drawing>
          <wp:inline distT="0" distB="0" distL="0" distR="0" wp14:anchorId="57FE2C8C" wp14:editId="19FDC943">
            <wp:extent cx="228600" cy="209550"/>
            <wp:effectExtent l="19050" t="0" r="0"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cstate="print"/>
                    <a:srcRect/>
                    <a:stretch>
                      <a:fillRect/>
                    </a:stretch>
                  </pic:blipFill>
                  <pic:spPr bwMode="auto">
                    <a:xfrm>
                      <a:off x="0" y="0"/>
                      <a:ext cx="228600" cy="209550"/>
                    </a:xfrm>
                    <a:prstGeom prst="rect">
                      <a:avLst/>
                    </a:prstGeom>
                    <a:noFill/>
                    <a:ln w="9525">
                      <a:noFill/>
                      <a:miter lim="800000"/>
                      <a:headEnd/>
                      <a:tailEnd/>
                    </a:ln>
                  </pic:spPr>
                </pic:pic>
              </a:graphicData>
            </a:graphic>
          </wp:inline>
        </w:drawing>
      </w:r>
      <w:r w:rsidR="0078503C" w:rsidRPr="000665B0">
        <w:t xml:space="preserve"> </w:t>
      </w:r>
      <w:r w:rsidR="00391DBF" w:rsidRPr="000665B0">
        <w:t>–</w:t>
      </w:r>
      <w:r w:rsidR="0078503C" w:rsidRPr="000665B0">
        <w:t xml:space="preserve"> Add</w:t>
      </w:r>
      <w:r w:rsidR="00391DBF" w:rsidRPr="000665B0">
        <w:t>s</w:t>
      </w:r>
      <w:r w:rsidR="0078503C" w:rsidRPr="000665B0">
        <w:t xml:space="preserve"> Notes Toggle. Allows for notes to be placed on the Gantt Chart. Notes can contain up to 128 </w:t>
      </w:r>
      <w:r w:rsidR="004F14D5" w:rsidRPr="000665B0">
        <w:t>characters and</w:t>
      </w:r>
      <w:r w:rsidR="0078503C" w:rsidRPr="000665B0">
        <w:t xml:space="preserve"> </w:t>
      </w:r>
      <w:r w:rsidR="0078503C" w:rsidRPr="000665B0">
        <w:lastRenderedPageBreak/>
        <w:t>can be pinned to a time. They can be placed on a missile or FRU. This toolbar is disabled if the Option is Read-Only.</w:t>
      </w:r>
    </w:p>
    <w:p w14:paraId="56D01A68" w14:textId="77777777" w:rsidR="0078503C" w:rsidRPr="000665B0" w:rsidRDefault="009A1FDF" w:rsidP="006D5A65">
      <w:pPr>
        <w:pStyle w:val="Heading1"/>
      </w:pPr>
      <w:r w:rsidRPr="000665B0">
        <w:rPr>
          <w:noProof/>
        </w:rPr>
        <w:drawing>
          <wp:inline distT="0" distB="0" distL="0" distR="0" wp14:anchorId="0F859737" wp14:editId="381ECE21">
            <wp:extent cx="566058" cy="257175"/>
            <wp:effectExtent l="0" t="0" r="5715" b="0"/>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566058" cy="257175"/>
                    </a:xfrm>
                    <a:prstGeom prst="rect">
                      <a:avLst/>
                    </a:prstGeom>
                    <a:noFill/>
                    <a:ln>
                      <a:noFill/>
                    </a:ln>
                    <a:extLst>
                      <a:ext uri="{53640926-AAD7-44D8-BBD7-CCE9431645EC}">
                        <a14:shadowObscured xmlns:a14="http://schemas.microsoft.com/office/drawing/2010/main"/>
                      </a:ext>
                    </a:extLst>
                  </pic:spPr>
                </pic:pic>
              </a:graphicData>
            </a:graphic>
          </wp:inline>
        </w:drawing>
      </w:r>
      <w:r w:rsidR="0078503C" w:rsidRPr="000665B0">
        <w:t xml:space="preserve"> – Changes the Missile Assignment List View grouping. Available Groupings are:</w:t>
      </w:r>
    </w:p>
    <w:p w14:paraId="0891F149" w14:textId="77777777" w:rsidR="0078503C" w:rsidRPr="000665B0" w:rsidRDefault="0078503C" w:rsidP="006D5A65">
      <w:pPr>
        <w:pStyle w:val="Heading1"/>
      </w:pPr>
      <w:r w:rsidRPr="000665B0">
        <w:t>Option, then Missile – Shows missile assignments grouped by Option.</w:t>
      </w:r>
    </w:p>
    <w:p w14:paraId="61E22767" w14:textId="77777777" w:rsidR="0078503C" w:rsidRPr="000665B0" w:rsidRDefault="0078503C" w:rsidP="006D5A65">
      <w:pPr>
        <w:pStyle w:val="Heading1"/>
      </w:pPr>
      <w:r w:rsidRPr="000665B0">
        <w:t>Option, then FRU, then Missile – Shows missile assignments grouped first by Option, then FRU.</w:t>
      </w:r>
    </w:p>
    <w:p w14:paraId="3C0E88DD" w14:textId="77777777" w:rsidR="0078503C" w:rsidRPr="000665B0" w:rsidRDefault="0078503C" w:rsidP="006D5A65">
      <w:pPr>
        <w:pStyle w:val="Heading1"/>
      </w:pPr>
      <w:r w:rsidRPr="000665B0">
        <w:t>Option, then Primary Controller, then Missile – Shows missile assignments grouped first by Option, then the Primary Missile Controller.</w:t>
      </w:r>
    </w:p>
    <w:p w14:paraId="14A55616" w14:textId="77777777" w:rsidR="0078503C" w:rsidRPr="000665B0" w:rsidRDefault="0078503C" w:rsidP="006D5A65">
      <w:pPr>
        <w:pStyle w:val="Heading1"/>
      </w:pPr>
      <w:r w:rsidRPr="000665B0">
        <w:t>Option, then Backup Controller, then Missile – Shows missile assignments grouped first by Option, then the Alternate/Backup Missile Controller.</w:t>
      </w:r>
    </w:p>
    <w:p w14:paraId="25E44EA1" w14:textId="1F91DC4C" w:rsidR="0078503C" w:rsidRPr="000665B0" w:rsidRDefault="0078503C" w:rsidP="006D5A65">
      <w:pPr>
        <w:pStyle w:val="Heading1"/>
      </w:pPr>
      <w:r w:rsidRPr="000665B0">
        <w:t xml:space="preserve">FRU, then Option, then Missile – Shows missile assignments grouped </w:t>
      </w:r>
      <w:r w:rsidR="004839F8" w:rsidRPr="000665B0">
        <w:t xml:space="preserve">first </w:t>
      </w:r>
      <w:r w:rsidRPr="000665B0">
        <w:t>by FRU, then Option.</w:t>
      </w:r>
    </w:p>
    <w:p w14:paraId="42A938A6" w14:textId="77777777" w:rsidR="0078503C" w:rsidRPr="000665B0" w:rsidRDefault="0078503C" w:rsidP="006D5A65">
      <w:pPr>
        <w:pStyle w:val="Heading1"/>
      </w:pPr>
      <w:r w:rsidRPr="000665B0">
        <w:t>FRU, then Missile – Group</w:t>
      </w:r>
      <w:r w:rsidR="00391DBF" w:rsidRPr="000665B0">
        <w:t>s</w:t>
      </w:r>
      <w:r w:rsidRPr="000665B0">
        <w:t xml:space="preserve"> missile assignments by FRU.</w:t>
      </w:r>
    </w:p>
    <w:p w14:paraId="70EF210D" w14:textId="77777777" w:rsidR="0078503C" w:rsidRPr="000665B0" w:rsidRDefault="0078503C" w:rsidP="006D5A65">
      <w:pPr>
        <w:pStyle w:val="Heading1"/>
      </w:pPr>
      <w:r w:rsidRPr="000665B0">
        <w:t>Primary Controller, then Missile – Group</w:t>
      </w:r>
      <w:r w:rsidR="00391DBF" w:rsidRPr="000665B0">
        <w:t>s</w:t>
      </w:r>
      <w:r w:rsidRPr="000665B0">
        <w:t xml:space="preserve"> missile assignments by their Primary Missile Controller.</w:t>
      </w:r>
    </w:p>
    <w:p w14:paraId="20D3ED61" w14:textId="77777777" w:rsidR="0078503C" w:rsidRPr="000665B0" w:rsidRDefault="0078503C" w:rsidP="006D5A65">
      <w:pPr>
        <w:pStyle w:val="Heading1"/>
      </w:pPr>
      <w:r w:rsidRPr="000665B0">
        <w:t>Backup Controller, then Missile – Group</w:t>
      </w:r>
      <w:r w:rsidR="00391DBF" w:rsidRPr="000665B0">
        <w:t>s</w:t>
      </w:r>
      <w:r w:rsidRPr="000665B0">
        <w:t xml:space="preserve"> missile assignments by their Alternate/Backup Missile Controller.</w:t>
      </w:r>
    </w:p>
    <w:p w14:paraId="7232F943" w14:textId="17C16DE1" w:rsidR="0098449F" w:rsidRPr="000665B0" w:rsidRDefault="0098449F" w:rsidP="006D5A65">
      <w:pPr>
        <w:pStyle w:val="Heading1"/>
      </w:pPr>
      <w:r w:rsidRPr="000665B0">
        <w:t>Missile – Shows only missile assignments.</w:t>
      </w:r>
    </w:p>
    <w:p w14:paraId="40395C03" w14:textId="77777777" w:rsidR="0098449F" w:rsidRPr="000665B0" w:rsidRDefault="0098449F" w:rsidP="006D5A65">
      <w:pPr>
        <w:pStyle w:val="Heading1"/>
      </w:pPr>
      <w:r w:rsidRPr="000665B0">
        <w:t>TSN, then Missile – Shows missile assignments grouped by TSN Type.</w:t>
      </w:r>
    </w:p>
    <w:p w14:paraId="7D466D3D" w14:textId="3A28312D" w:rsidR="00EB41A6" w:rsidRPr="000665B0" w:rsidRDefault="00EB41A6" w:rsidP="006D5A65">
      <w:pPr>
        <w:pStyle w:val="Heading1"/>
      </w:pPr>
      <w:r w:rsidRPr="000665B0">
        <w:t xml:space="preserve">TSN, </w:t>
      </w:r>
      <w:r w:rsidR="0098449F" w:rsidRPr="000665B0">
        <w:t xml:space="preserve">then </w:t>
      </w:r>
      <w:r w:rsidRPr="000665B0">
        <w:t>Primary Controller, then Missile – Shows missile assignments grouped first by TSN Type, then the Primary Missile Controller.</w:t>
      </w:r>
    </w:p>
    <w:p w14:paraId="32F34E2F" w14:textId="4E5EA7A5" w:rsidR="0098449F" w:rsidRPr="000665B0" w:rsidRDefault="0098449F" w:rsidP="006D5A65">
      <w:pPr>
        <w:pStyle w:val="Heading1"/>
      </w:pPr>
      <w:r w:rsidRPr="000665B0">
        <w:t>Attack Plan, then Missile – Shows missile assignments grouped by Attack Plan.</w:t>
      </w:r>
    </w:p>
    <w:p w14:paraId="65F0E6E4" w14:textId="77777777" w:rsidR="004839F8" w:rsidRPr="000665B0" w:rsidRDefault="004839F8" w:rsidP="006D5A65">
      <w:pPr>
        <w:pStyle w:val="Heading1"/>
      </w:pPr>
      <w:r w:rsidRPr="000665B0">
        <w:t>Maritime Target, then Missile – Shows missile assignments grouped by Maritime Target.</w:t>
      </w:r>
    </w:p>
    <w:p w14:paraId="65D6B67B" w14:textId="77777777" w:rsidR="004839F8" w:rsidRPr="000665B0" w:rsidRDefault="004839F8" w:rsidP="006D5A65">
      <w:pPr>
        <w:pStyle w:val="Heading1"/>
      </w:pPr>
      <w:r w:rsidRPr="000665B0">
        <w:t>Maritime Target, then Group, then Missile – Shows missile assignments grouped first by Maritime Target, then Group.</w:t>
      </w:r>
    </w:p>
    <w:p w14:paraId="79237DF9" w14:textId="77777777" w:rsidR="004839F8" w:rsidRPr="000665B0" w:rsidRDefault="004839F8" w:rsidP="006D5A65">
      <w:pPr>
        <w:pStyle w:val="Heading1"/>
      </w:pPr>
      <w:r w:rsidRPr="000665B0">
        <w:t>Maritime Target, then Option, then Missile – Shows missile assignments grouped first by Maritime Target, then Option.</w:t>
      </w:r>
    </w:p>
    <w:p w14:paraId="20524467" w14:textId="65D7069E" w:rsidR="004839F8" w:rsidRPr="000665B0" w:rsidRDefault="004839F8" w:rsidP="006D5A65">
      <w:pPr>
        <w:pStyle w:val="Heading1"/>
      </w:pPr>
      <w:r w:rsidRPr="000665B0">
        <w:t>TSN, then Maritime Target, then Missile – Shows missile assignments grouped first by TSN Type, then Maritime Target.</w:t>
      </w:r>
    </w:p>
    <w:p w14:paraId="00F33FD9" w14:textId="10873ECA" w:rsidR="0078503C" w:rsidRPr="000665B0" w:rsidRDefault="009A1FDF" w:rsidP="006D5A65">
      <w:pPr>
        <w:pStyle w:val="Heading1"/>
      </w:pPr>
      <w:r w:rsidRPr="000665B0">
        <w:rPr>
          <w:noProof/>
        </w:rPr>
        <w:drawing>
          <wp:inline distT="0" distB="0" distL="0" distR="0" wp14:anchorId="09B89555" wp14:editId="10D6AA13">
            <wp:extent cx="1576252" cy="200025"/>
            <wp:effectExtent l="0" t="0" r="5080" b="0"/>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1576252" cy="200025"/>
                    </a:xfrm>
                    <a:prstGeom prst="rect">
                      <a:avLst/>
                    </a:prstGeom>
                    <a:noFill/>
                    <a:ln>
                      <a:noFill/>
                    </a:ln>
                    <a:extLst>
                      <a:ext uri="{53640926-AAD7-44D8-BBD7-CCE9431645EC}">
                        <a14:shadowObscured xmlns:a14="http://schemas.microsoft.com/office/drawing/2010/main"/>
                      </a:ext>
                    </a:extLst>
                  </pic:spPr>
                </pic:pic>
              </a:graphicData>
            </a:graphic>
          </wp:inline>
        </w:drawing>
      </w:r>
      <w:r w:rsidR="0078503C" w:rsidRPr="000665B0">
        <w:t xml:space="preserve"> – Orders the missiles</w:t>
      </w:r>
      <w:r w:rsidR="00F503A9" w:rsidRPr="000665B0">
        <w:t xml:space="preserve"> within the grouping selected, in either </w:t>
      </w:r>
      <w:r w:rsidR="00391DBF" w:rsidRPr="000665B0">
        <w:t>ascending or descending order</w:t>
      </w:r>
      <w:r w:rsidR="0078503C" w:rsidRPr="000665B0">
        <w:t>. Available order by fields are:</w:t>
      </w:r>
    </w:p>
    <w:p w14:paraId="0EE513F8" w14:textId="77777777" w:rsidR="0078503C" w:rsidRPr="000665B0" w:rsidRDefault="0078503C" w:rsidP="006D5A65">
      <w:pPr>
        <w:pStyle w:val="Heading1"/>
      </w:pPr>
      <w:r w:rsidRPr="000665B0">
        <w:t>MS# – Order missiles by MS#.</w:t>
      </w:r>
    </w:p>
    <w:p w14:paraId="053BC40D" w14:textId="77777777" w:rsidR="0078503C" w:rsidRPr="000665B0" w:rsidRDefault="0078503C" w:rsidP="006D5A65">
      <w:pPr>
        <w:pStyle w:val="Heading1"/>
      </w:pPr>
      <w:r w:rsidRPr="000665B0">
        <w:t>TOL – Order by Time of Launch.</w:t>
      </w:r>
    </w:p>
    <w:p w14:paraId="60DCD31E" w14:textId="77777777" w:rsidR="0078503C" w:rsidRPr="000665B0" w:rsidRDefault="0078503C" w:rsidP="006D5A65">
      <w:pPr>
        <w:pStyle w:val="Heading1"/>
      </w:pPr>
      <w:r w:rsidRPr="000665B0">
        <w:t>FWP – Order missiles by First Waypoint.</w:t>
      </w:r>
    </w:p>
    <w:p w14:paraId="129C046C" w14:textId="77777777" w:rsidR="0078503C" w:rsidRPr="000665B0" w:rsidRDefault="0078503C" w:rsidP="006D5A65">
      <w:pPr>
        <w:pStyle w:val="Heading1"/>
      </w:pPr>
      <w:r w:rsidRPr="000665B0">
        <w:t>TGT – Order missiles by Target arrival time.</w:t>
      </w:r>
    </w:p>
    <w:p w14:paraId="5923202F" w14:textId="730455DA" w:rsidR="00EF2F76" w:rsidRPr="00E563B6" w:rsidRDefault="0078503C" w:rsidP="00987BB1">
      <w:pPr>
        <w:pStyle w:val="PlainText"/>
        <w:ind w:left="360"/>
        <w:rPr>
          <w:rFonts w:ascii="Times New Roman" w:hAnsi="Times New Roman"/>
        </w:rPr>
      </w:pPr>
      <w:r w:rsidRPr="000665B0">
        <w:rPr>
          <w:rFonts w:ascii="Times New Roman" w:hAnsi="Times New Roman"/>
        </w:rPr>
        <w:lastRenderedPageBreak/>
        <w:t xml:space="preserve">Ordering of missiles apply only within their group view. </w:t>
      </w:r>
    </w:p>
    <w:p w14:paraId="09514B81" w14:textId="22BD744B" w:rsidR="0078503C" w:rsidRPr="000665B0" w:rsidRDefault="0078503C" w:rsidP="004839F8">
      <w:pPr>
        <w:pStyle w:val="PlainText"/>
        <w:keepNext/>
        <w:tabs>
          <w:tab w:val="left" w:pos="720"/>
        </w:tabs>
        <w:rPr>
          <w:rFonts w:ascii="Times New Roman" w:hAnsi="Times New Roman"/>
          <w:b/>
        </w:rPr>
      </w:pPr>
      <w:r w:rsidRPr="000665B0">
        <w:rPr>
          <w:rFonts w:ascii="Times New Roman" w:hAnsi="Times New Roman"/>
          <w:b/>
        </w:rPr>
        <w:t>The Network Panel:</w:t>
      </w:r>
    </w:p>
    <w:p w14:paraId="0ECA4206" w14:textId="77777777" w:rsidR="00F47FA9" w:rsidRPr="000665B0" w:rsidRDefault="009A1FDF" w:rsidP="00474A1F">
      <w:pPr>
        <w:pStyle w:val="PlainText"/>
        <w:tabs>
          <w:tab w:val="left" w:pos="720"/>
        </w:tabs>
        <w:jc w:val="center"/>
        <w:rPr>
          <w:rFonts w:ascii="Times New Roman" w:hAnsi="Times New Roman"/>
        </w:rPr>
      </w:pPr>
      <w:r w:rsidRPr="000665B0">
        <w:rPr>
          <w:noProof/>
        </w:rPr>
        <w:drawing>
          <wp:inline distT="0" distB="0" distL="0" distR="0" wp14:anchorId="4B313563" wp14:editId="271E5E42">
            <wp:extent cx="4983480" cy="329184"/>
            <wp:effectExtent l="0" t="0" r="0" b="0"/>
            <wp:docPr id="625" name="Picture 625" descr="7 Feb Network Panel - Before Lev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7 Feb Network Panel - Before Leveling"/>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329184"/>
                    </a:xfrm>
                    <a:prstGeom prst="rect">
                      <a:avLst/>
                    </a:prstGeom>
                    <a:noFill/>
                    <a:ln w="9525">
                      <a:noFill/>
                      <a:miter lim="800000"/>
                      <a:headEnd/>
                      <a:tailEnd/>
                    </a:ln>
                  </pic:spPr>
                </pic:pic>
              </a:graphicData>
            </a:graphic>
          </wp:inline>
        </w:drawing>
      </w:r>
    </w:p>
    <w:p w14:paraId="00538F77" w14:textId="05F81184" w:rsidR="00F47FA9" w:rsidRPr="000665B0" w:rsidRDefault="00F47FA9" w:rsidP="00474A1F">
      <w:pPr>
        <w:pStyle w:val="BodyText"/>
        <w:tabs>
          <w:tab w:val="left" w:pos="720"/>
        </w:tabs>
        <w:spacing w:after="120"/>
      </w:pPr>
      <w:r w:rsidRPr="000665B0">
        <w:t xml:space="preserve">The </w:t>
      </w:r>
      <w:r w:rsidR="00140970" w:rsidRPr="000665B0">
        <w:t xml:space="preserve">Network Panel </w:t>
      </w:r>
      <w:r w:rsidRPr="000665B0">
        <w:t xml:space="preserve">depicts the planned TSN usage. At the top of the panel are the hour and minutes. To the left is the number of messages legend. Each colored bar represents a planned message on the network. Message bars are colored according to whether they violate any of the constraints established by the network characterization parameters on the TSN Execution </w:t>
      </w:r>
      <w:r w:rsidR="00140970" w:rsidRPr="000665B0">
        <w:t xml:space="preserve">Panel </w:t>
      </w:r>
      <w:r w:rsidRPr="000665B0">
        <w:t xml:space="preserve">(see </w:t>
      </w:r>
      <w:hyperlink w:anchor="_5.37.1.1.4__TSN" w:history="1">
        <w:r w:rsidR="009326FE" w:rsidRPr="000665B0">
          <w:rPr>
            <w:rStyle w:val="Hyperlink"/>
          </w:rPr>
          <w:t xml:space="preserve">Section </w:t>
        </w:r>
        <w:r w:rsidR="004231CC">
          <w:rPr>
            <w:rStyle w:val="Hyperlink"/>
          </w:rPr>
          <w:t>5.34</w:t>
        </w:r>
        <w:r w:rsidR="00BE62F5" w:rsidRPr="000665B0">
          <w:rPr>
            <w:rStyle w:val="Hyperlink"/>
          </w:rPr>
          <w:t>.1.1</w:t>
        </w:r>
        <w:r w:rsidR="00295371">
          <w:rPr>
            <w:rStyle w:val="Hyperlink"/>
          </w:rPr>
          <w:t>s</w:t>
        </w:r>
        <w:r w:rsidR="00BE62F5" w:rsidRPr="000665B0">
          <w:rPr>
            <w:rStyle w:val="Hyperlink"/>
          </w:rPr>
          <w:t>4</w:t>
        </w:r>
      </w:hyperlink>
      <w:r w:rsidRPr="000665B0">
        <w:t>). Constraint violations are colored red, conditions that approach constraint violations are colored yellow, and conditions that are well within network constraints are colored black. Four network constraints are evaluated:</w:t>
      </w:r>
    </w:p>
    <w:p w14:paraId="20B36CF3" w14:textId="77777777" w:rsidR="00F47FA9" w:rsidRPr="000665B0" w:rsidRDefault="00F47FA9" w:rsidP="006D5A65">
      <w:pPr>
        <w:pStyle w:val="Heading1"/>
      </w:pPr>
      <w:r w:rsidRPr="000665B0">
        <w:t>Number of planned message services does not exceed the maximum concurrent modem services less the unscheduled message allowance. A message service lasts from the beginning of its bar until its end. In the default configuration, no more than two message services should be planned for any given time (leaving one message service for unplanned messages).</w:t>
      </w:r>
    </w:p>
    <w:p w14:paraId="1E6759E8" w14:textId="77777777" w:rsidR="00F47FA9" w:rsidRPr="000665B0" w:rsidRDefault="00F47FA9" w:rsidP="006D5A65">
      <w:pPr>
        <w:pStyle w:val="Heading1"/>
      </w:pPr>
      <w:r w:rsidRPr="000665B0">
        <w:t>Number of concurrent transmissions does not exceed the maximum concurrent transmissions less the unscheduled message allowance. A message is typically transmitted only in the last third of its total service time. In the default configuration, no more than two planned messages may be transmitted concurrently (leaving one transmission slot for unplanned messages).</w:t>
      </w:r>
    </w:p>
    <w:p w14:paraId="7DF0E0E9" w14:textId="77777777" w:rsidR="00F47FA9" w:rsidRPr="000665B0" w:rsidRDefault="00F47FA9" w:rsidP="006D5A65">
      <w:pPr>
        <w:pStyle w:val="Heading1"/>
      </w:pPr>
      <w:r w:rsidRPr="000665B0">
        <w:t>The time between any two transmissions from the same missile must not be less than the minimum missile transmission interval. In the default configuration, missiles should not be asked to transmit messages that are not at least one minute apart.</w:t>
      </w:r>
    </w:p>
    <w:p w14:paraId="1CF13D5D" w14:textId="77777777" w:rsidR="00F47FA9" w:rsidRPr="000665B0" w:rsidRDefault="00F47FA9" w:rsidP="00474A1F">
      <w:pPr>
        <w:pStyle w:val="BodyText"/>
        <w:tabs>
          <w:tab w:val="left" w:pos="720"/>
        </w:tabs>
        <w:spacing w:after="120"/>
      </w:pPr>
      <w:r w:rsidRPr="000665B0">
        <w:t xml:space="preserve">If a message block is colored red, at least one constraint is being violated. If a message block is colored yellow, no constraints are violated but at least one constraint is close to being violated. If a message block is colored black, </w:t>
      </w:r>
      <w:r w:rsidR="00391DBF" w:rsidRPr="000665B0">
        <w:t>no constraints are violated</w:t>
      </w:r>
      <w:r w:rsidRPr="000665B0">
        <w:t>. Message blocks that are striped indicate higher-priority messages, around which lesser-priority messages should be scheduled.</w:t>
      </w:r>
    </w:p>
    <w:p w14:paraId="6DCBCFDB" w14:textId="77777777" w:rsidR="00F47FA9" w:rsidRPr="000665B0" w:rsidRDefault="00F47FA9" w:rsidP="002C16B8">
      <w:pPr>
        <w:pStyle w:val="BodyText"/>
        <w:keepNext/>
        <w:tabs>
          <w:tab w:val="left" w:pos="720"/>
        </w:tabs>
        <w:spacing w:after="120"/>
        <w:rPr>
          <w:b/>
        </w:rPr>
      </w:pPr>
      <w:r w:rsidRPr="000665B0">
        <w:rPr>
          <w:b/>
        </w:rPr>
        <w:t>Load Leveling:</w:t>
      </w:r>
    </w:p>
    <w:p w14:paraId="3EF1F1CE" w14:textId="4C312AC2" w:rsidR="00F47FA9" w:rsidRPr="000665B0" w:rsidRDefault="00F47FA9" w:rsidP="00474A1F">
      <w:pPr>
        <w:pStyle w:val="BodyText"/>
        <w:tabs>
          <w:tab w:val="left" w:pos="720"/>
        </w:tabs>
        <w:spacing w:after="120"/>
      </w:pPr>
      <w:r w:rsidRPr="000665B0">
        <w:t xml:space="preserve">A context menu on the </w:t>
      </w:r>
      <w:r w:rsidR="00140970" w:rsidRPr="000665B0">
        <w:t xml:space="preserve">Network Panel </w:t>
      </w:r>
      <w:r w:rsidRPr="000665B0">
        <w:t xml:space="preserve">provides automatic load leveling for TSN messages. </w:t>
      </w:r>
      <w:r w:rsidR="00ED6AD6" w:rsidRPr="000665B0">
        <w:t xml:space="preserve">(Load Leveling does not apply to an ACA network panel display.) </w:t>
      </w:r>
      <w:r w:rsidRPr="000665B0">
        <w:t>Load leveling reschedules lower-priority messages to avoid network constraint violations (and, optionally, warnings). The context menu provides two levels of re-scheduling.</w:t>
      </w:r>
    </w:p>
    <w:p w14:paraId="62D63F61" w14:textId="77777777" w:rsidR="00F47FA9" w:rsidRPr="000665B0" w:rsidRDefault="00F47FA9" w:rsidP="006D5A65">
      <w:pPr>
        <w:pStyle w:val="Heading1"/>
      </w:pPr>
      <w:r w:rsidRPr="000665B0">
        <w:lastRenderedPageBreak/>
        <w:t>Clear Violations – Invokes load leveling with the goal of eliminating network constraint violations (red areas of the network panel).</w:t>
      </w:r>
    </w:p>
    <w:p w14:paraId="504A5A62" w14:textId="77777777" w:rsidR="00F47FA9" w:rsidRPr="000665B0" w:rsidRDefault="00F47FA9" w:rsidP="006D5A65">
      <w:pPr>
        <w:pStyle w:val="Heading1"/>
      </w:pPr>
      <w:r w:rsidRPr="000665B0">
        <w:t>Clear Warnings – Invokes load leveling with the goal of eliminating both network constraint violations and warnings (red and yellow areas of the network panel).</w:t>
      </w:r>
    </w:p>
    <w:p w14:paraId="4F7A3BE4" w14:textId="77777777" w:rsidR="00F47FA9" w:rsidRPr="000665B0" w:rsidRDefault="00F47FA9" w:rsidP="00474A1F">
      <w:pPr>
        <w:pStyle w:val="BodyText"/>
        <w:tabs>
          <w:tab w:val="left" w:pos="720"/>
        </w:tabs>
        <w:spacing w:after="120"/>
      </w:pPr>
      <w:r w:rsidRPr="000665B0">
        <w:t>Load leveling, by design, is unable to affect the times of messages which are tightly bound to target timing. It will not change the planned times of BDI messages, nor of event-based messages that depend on timing along the missile route, so there are some problems that it cannot fix. It will re-arrange scheduled and periodic health and status messages. Load-leveling will eliminate low-priority messages from the TSN schedule if it cannot re-schedule them for an appropriate time.</w:t>
      </w:r>
    </w:p>
    <w:p w14:paraId="1F586EF3" w14:textId="77777777" w:rsidR="00F47FA9" w:rsidRPr="000665B0" w:rsidRDefault="00F47FA9" w:rsidP="00474A1F">
      <w:pPr>
        <w:keepNext/>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p>
    <w:p w14:paraId="1EA520F1" w14:textId="77777777" w:rsidR="00F47FA9" w:rsidRPr="000665B0" w:rsidRDefault="00F47FA9" w:rsidP="00474A1F">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Unless there is nothing it can do, load leveling will change the strike option. For the TSN schedule changes to be effected, the changes to the strike option must be saved.</w:t>
      </w:r>
    </w:p>
    <w:p w14:paraId="3FED8E06" w14:textId="77777777" w:rsidR="00AF6111" w:rsidRPr="000665B0" w:rsidRDefault="00AF6111" w:rsidP="00585646">
      <w:pPr>
        <w:pStyle w:val="BodyText"/>
      </w:pPr>
    </w:p>
    <w:p w14:paraId="176E592B" w14:textId="77777777" w:rsidR="00AF6111" w:rsidRPr="000665B0" w:rsidRDefault="00AF6111" w:rsidP="00BD4482">
      <w:pPr>
        <w:pStyle w:val="BodyText"/>
        <w:tabs>
          <w:tab w:val="left" w:pos="720"/>
        </w:tabs>
        <w:spacing w:after="120"/>
        <w:rPr>
          <w:b/>
          <w:noProof/>
        </w:rPr>
      </w:pPr>
      <w:r w:rsidRPr="000665B0">
        <w:rPr>
          <w:b/>
        </w:rPr>
        <w:t>Violations cleared from previous example</w:t>
      </w:r>
      <w:r w:rsidRPr="000665B0">
        <w:rPr>
          <w:b/>
          <w:noProof/>
        </w:rPr>
        <w:t>:</w:t>
      </w:r>
    </w:p>
    <w:p w14:paraId="7F5F8A0E" w14:textId="77777777" w:rsidR="00F47FA9" w:rsidRPr="000665B0" w:rsidRDefault="009A1FDF" w:rsidP="001F4B14">
      <w:pPr>
        <w:pStyle w:val="BodyText"/>
        <w:tabs>
          <w:tab w:val="left" w:pos="720"/>
        </w:tabs>
        <w:spacing w:after="120"/>
        <w:jc w:val="center"/>
      </w:pPr>
      <w:r w:rsidRPr="000665B0">
        <w:rPr>
          <w:noProof/>
        </w:rPr>
        <w:drawing>
          <wp:inline distT="0" distB="0" distL="0" distR="0" wp14:anchorId="7AC98B8E" wp14:editId="0A1888CA">
            <wp:extent cx="4983480" cy="320040"/>
            <wp:effectExtent l="0" t="0" r="0" b="0"/>
            <wp:docPr id="626" name="Picture 626" descr="7 Feb Network Panel - Violations Cle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7 Feb Network Panel - Violations Clear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320040"/>
                    </a:xfrm>
                    <a:prstGeom prst="rect">
                      <a:avLst/>
                    </a:prstGeom>
                    <a:noFill/>
                    <a:ln w="9525">
                      <a:noFill/>
                      <a:miter lim="800000"/>
                      <a:headEnd/>
                      <a:tailEnd/>
                    </a:ln>
                  </pic:spPr>
                </pic:pic>
              </a:graphicData>
            </a:graphic>
          </wp:inline>
        </w:drawing>
      </w:r>
    </w:p>
    <w:p w14:paraId="0F402736" w14:textId="77777777" w:rsidR="00F47FA9" w:rsidRPr="000665B0" w:rsidRDefault="00F47FA9" w:rsidP="00474A1F">
      <w:pPr>
        <w:pStyle w:val="BodyText"/>
        <w:tabs>
          <w:tab w:val="left" w:pos="720"/>
        </w:tabs>
        <w:spacing w:after="120"/>
      </w:pPr>
      <w:r w:rsidRPr="000665B0">
        <w:t>Note that BDI violations (near right end) were unable to be cleared by automatic load leveling. Clearing these violations will require either alterations in target timing or disabling of some BDI messages.</w:t>
      </w:r>
    </w:p>
    <w:p w14:paraId="2B2CFA4A" w14:textId="77777777" w:rsidR="00AF6111" w:rsidRPr="000665B0" w:rsidRDefault="00AF6111" w:rsidP="00BD4482">
      <w:pPr>
        <w:pStyle w:val="BodyText"/>
        <w:tabs>
          <w:tab w:val="left" w:pos="720"/>
        </w:tabs>
        <w:spacing w:after="120"/>
      </w:pPr>
      <w:r w:rsidRPr="000665B0">
        <w:rPr>
          <w:b/>
        </w:rPr>
        <w:t>Warnings cleared from previous example:</w:t>
      </w:r>
    </w:p>
    <w:p w14:paraId="778AC125" w14:textId="77777777" w:rsidR="00F47FA9" w:rsidRPr="000665B0" w:rsidRDefault="009A1FDF" w:rsidP="001F4B14">
      <w:pPr>
        <w:pStyle w:val="BodyText"/>
        <w:tabs>
          <w:tab w:val="left" w:pos="720"/>
        </w:tabs>
        <w:spacing w:after="120"/>
        <w:jc w:val="center"/>
      </w:pPr>
      <w:r w:rsidRPr="000665B0">
        <w:rPr>
          <w:noProof/>
        </w:rPr>
        <w:drawing>
          <wp:inline distT="0" distB="0" distL="0" distR="0" wp14:anchorId="73A4A08B" wp14:editId="7A7089D1">
            <wp:extent cx="4983480" cy="320040"/>
            <wp:effectExtent l="0" t="0" r="0" b="0"/>
            <wp:docPr id="627" name="Picture 627" descr="7 Feb Network Panel - Warnings Cle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7 Feb Network Panel - Warnings Clear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320040"/>
                    </a:xfrm>
                    <a:prstGeom prst="rect">
                      <a:avLst/>
                    </a:prstGeom>
                    <a:noFill/>
                    <a:ln w="9525">
                      <a:noFill/>
                      <a:miter lim="800000"/>
                      <a:headEnd/>
                      <a:tailEnd/>
                    </a:ln>
                  </pic:spPr>
                </pic:pic>
              </a:graphicData>
            </a:graphic>
          </wp:inline>
        </w:drawing>
      </w:r>
    </w:p>
    <w:p w14:paraId="2120A799" w14:textId="77777777" w:rsidR="00F47FA9" w:rsidRPr="000665B0" w:rsidRDefault="00F47FA9" w:rsidP="00474A1F">
      <w:pPr>
        <w:pStyle w:val="BodyText"/>
        <w:tabs>
          <w:tab w:val="left" w:pos="720"/>
        </w:tabs>
        <w:spacing w:after="120"/>
      </w:pPr>
      <w:r w:rsidRPr="000665B0">
        <w:t>Some warnings due to BDI and route event messages could not be cleared by automatic load leveling.</w:t>
      </w:r>
    </w:p>
    <w:p w14:paraId="7CCA557F" w14:textId="77777777" w:rsidR="00170B30" w:rsidRPr="000665B0" w:rsidRDefault="00170B30" w:rsidP="004E7DCC">
      <w:pPr>
        <w:pStyle w:val="BodyText"/>
        <w:keepNext/>
        <w:tabs>
          <w:tab w:val="left" w:pos="720"/>
        </w:tabs>
        <w:spacing w:after="120"/>
        <w:rPr>
          <w:b/>
        </w:rPr>
      </w:pPr>
      <w:r w:rsidRPr="000665B0">
        <w:rPr>
          <w:b/>
        </w:rPr>
        <w:t>Detail of maximum modem service violation</w:t>
      </w:r>
      <w:r w:rsidR="00AD11AC" w:rsidRPr="000665B0">
        <w:rPr>
          <w:b/>
        </w:rPr>
        <w:t>:</w:t>
      </w:r>
    </w:p>
    <w:p w14:paraId="793EDCD3" w14:textId="61FF2C57" w:rsidR="00F47FA9" w:rsidRPr="000665B0" w:rsidRDefault="008A0329" w:rsidP="000B625E">
      <w:pPr>
        <w:pStyle w:val="BodyText"/>
        <w:tabs>
          <w:tab w:val="left" w:pos="720"/>
        </w:tabs>
        <w:spacing w:after="240"/>
        <w:jc w:val="center"/>
        <w:rPr>
          <w:noProof/>
        </w:rPr>
      </w:pPr>
      <w:r w:rsidRPr="00984DCD">
        <w:rPr>
          <w:noProof/>
        </w:rPr>
        <w:drawing>
          <wp:inline distT="0" distB="0" distL="0" distR="0" wp14:anchorId="7808C8F5" wp14:editId="7FE140B1">
            <wp:extent cx="1371600" cy="2450592"/>
            <wp:effectExtent l="0" t="0" r="0" b="0"/>
            <wp:docPr id="2063010331" name="Picture 2063010331" descr="Detail - 3 Modem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Detail - 3 Modem Services"/>
                    <pic:cNvPicPr>
                      <a:picLocks noChangeAspect="1" noChangeArrowheads="1"/>
                    </pic:cNvPicPr>
                  </pic:nvPicPr>
                  <pic:blipFill rotWithShape="1">
                    <a:blip cstate="print"/>
                    <a:srcRect b="28993"/>
                    <a:stretch/>
                  </pic:blipFill>
                  <pic:spPr bwMode="auto">
                    <a:xfrm>
                      <a:off x="0" y="0"/>
                      <a:ext cx="1371600" cy="2450592"/>
                    </a:xfrm>
                    <a:prstGeom prst="rect">
                      <a:avLst/>
                    </a:prstGeom>
                    <a:noFill/>
                    <a:ln>
                      <a:noFill/>
                    </a:ln>
                    <a:extLst>
                      <a:ext uri="{53640926-AAD7-44D8-BBD7-CCE9431645EC}">
                        <a14:shadowObscured xmlns:a14="http://schemas.microsoft.com/office/drawing/2010/main"/>
                      </a:ext>
                    </a:extLst>
                  </pic:spPr>
                </pic:pic>
              </a:graphicData>
            </a:graphic>
          </wp:inline>
        </w:drawing>
      </w:r>
    </w:p>
    <w:p w14:paraId="5578E984" w14:textId="77777777" w:rsidR="00170B30" w:rsidRPr="000665B0" w:rsidRDefault="00170B30" w:rsidP="00BD4482">
      <w:pPr>
        <w:pStyle w:val="BodyText"/>
        <w:keepNext/>
        <w:tabs>
          <w:tab w:val="left" w:pos="720"/>
        </w:tabs>
        <w:spacing w:after="120"/>
        <w:rPr>
          <w:b/>
        </w:rPr>
      </w:pPr>
      <w:r w:rsidRPr="000665B0">
        <w:rPr>
          <w:b/>
        </w:rPr>
        <w:lastRenderedPageBreak/>
        <w:t>Detail of minimum missile transmission interval violation</w:t>
      </w:r>
      <w:r w:rsidR="00AD11AC" w:rsidRPr="000665B0">
        <w:rPr>
          <w:b/>
        </w:rPr>
        <w:t>:</w:t>
      </w:r>
    </w:p>
    <w:p w14:paraId="1AA35063" w14:textId="77777777" w:rsidR="00F47FA9" w:rsidRPr="000665B0" w:rsidRDefault="009A1FDF" w:rsidP="00474A1F">
      <w:pPr>
        <w:pStyle w:val="BodyText"/>
        <w:tabs>
          <w:tab w:val="left" w:pos="720"/>
        </w:tabs>
        <w:spacing w:after="120"/>
        <w:jc w:val="center"/>
      </w:pPr>
      <w:r w:rsidRPr="000665B0">
        <w:rPr>
          <w:noProof/>
        </w:rPr>
        <w:drawing>
          <wp:inline distT="0" distB="0" distL="0" distR="0" wp14:anchorId="22399900" wp14:editId="4CFF9D40">
            <wp:extent cx="1371600" cy="2624328"/>
            <wp:effectExtent l="0" t="0" r="0" b="0"/>
            <wp:docPr id="629" name="Picture 629" descr="Missile Transmission Interval Violation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Missile Transmission Interval Violation - Detail"/>
                    <pic:cNvPicPr>
                      <a:picLocks noChangeAspect="1" noChangeArrowheads="1"/>
                    </pic:cNvPicPr>
                  </pic:nvPicPr>
                  <pic:blipFill>
                    <a:blip cstate="print"/>
                    <a:srcRect/>
                    <a:stretch>
                      <a:fillRect/>
                    </a:stretch>
                  </pic:blipFill>
                  <pic:spPr bwMode="auto">
                    <a:xfrm>
                      <a:off x="0" y="0"/>
                      <a:ext cx="1371600" cy="2624328"/>
                    </a:xfrm>
                    <a:prstGeom prst="rect">
                      <a:avLst/>
                    </a:prstGeom>
                    <a:noFill/>
                    <a:ln w="9525">
                      <a:noFill/>
                      <a:miter lim="800000"/>
                      <a:headEnd/>
                      <a:tailEnd/>
                    </a:ln>
                  </pic:spPr>
                </pic:pic>
              </a:graphicData>
            </a:graphic>
          </wp:inline>
        </w:drawing>
      </w:r>
    </w:p>
    <w:p w14:paraId="064F9ADE" w14:textId="77777777" w:rsidR="0078503C" w:rsidRPr="000665B0" w:rsidRDefault="0078503C" w:rsidP="002C16B8">
      <w:pPr>
        <w:pStyle w:val="PlainText"/>
        <w:keepNext/>
        <w:tabs>
          <w:tab w:val="left" w:pos="720"/>
        </w:tabs>
        <w:rPr>
          <w:rFonts w:ascii="Times New Roman" w:hAnsi="Times New Roman"/>
          <w:b/>
        </w:rPr>
      </w:pPr>
      <w:r w:rsidRPr="000665B0">
        <w:rPr>
          <w:rFonts w:ascii="Times New Roman" w:hAnsi="Times New Roman"/>
          <w:b/>
        </w:rPr>
        <w:t>Missile Assignment List:</w:t>
      </w:r>
    </w:p>
    <w:p w14:paraId="36F4F344" w14:textId="4641FD7D" w:rsidR="0078503C" w:rsidRPr="000665B0" w:rsidRDefault="007A6DC7" w:rsidP="00474A1F">
      <w:pPr>
        <w:tabs>
          <w:tab w:val="left" w:pos="720"/>
        </w:tabs>
        <w:jc w:val="center"/>
      </w:pPr>
      <w:r w:rsidRPr="000665B0">
        <w:rPr>
          <w:noProof/>
        </w:rPr>
        <w:drawing>
          <wp:inline distT="0" distB="0" distL="0" distR="0" wp14:anchorId="7F76F65E" wp14:editId="70D3C4A3">
            <wp:extent cx="2286000" cy="777240"/>
            <wp:effectExtent l="0" t="0" r="0" b="0"/>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777240"/>
                    </a:xfrm>
                    <a:prstGeom prst="rect">
                      <a:avLst/>
                    </a:prstGeom>
                  </pic:spPr>
                </pic:pic>
              </a:graphicData>
            </a:graphic>
          </wp:inline>
        </w:drawing>
      </w:r>
    </w:p>
    <w:p w14:paraId="6E254F84" w14:textId="77777777" w:rsidR="0078503C" w:rsidRPr="000665B0" w:rsidRDefault="0078503C" w:rsidP="00474A1F">
      <w:pPr>
        <w:pStyle w:val="BodyText"/>
        <w:tabs>
          <w:tab w:val="left" w:pos="720"/>
        </w:tabs>
        <w:spacing w:after="120"/>
      </w:pPr>
      <w:r w:rsidRPr="000665B0">
        <w:t xml:space="preserve">The </w:t>
      </w:r>
      <w:r w:rsidR="00140970" w:rsidRPr="000665B0">
        <w:t xml:space="preserve">Missile Assignment List </w:t>
      </w:r>
      <w:r w:rsidRPr="000665B0">
        <w:t xml:space="preserve">shows the missile assignments grouped by </w:t>
      </w:r>
      <w:r w:rsidR="00530A0F" w:rsidRPr="000665B0">
        <w:t xml:space="preserve">the selection made in the </w:t>
      </w:r>
      <w:r w:rsidR="00530A0F" w:rsidRPr="000665B0">
        <w:rPr>
          <w:b/>
        </w:rPr>
        <w:t>Group By</w:t>
      </w:r>
      <w:r w:rsidR="00530A0F" w:rsidRPr="000665B0">
        <w:t xml:space="preserve"> pull down menu in the toolbar</w:t>
      </w:r>
      <w:r w:rsidR="002A6582" w:rsidRPr="000665B0">
        <w:t>.</w:t>
      </w:r>
    </w:p>
    <w:p w14:paraId="286876A9" w14:textId="071C1D2F" w:rsidR="0078503C" w:rsidRPr="000665B0" w:rsidRDefault="0078503C" w:rsidP="00474A1F">
      <w:pPr>
        <w:pStyle w:val="BodyText"/>
        <w:tabs>
          <w:tab w:val="left" w:pos="720"/>
        </w:tabs>
        <w:spacing w:after="120"/>
      </w:pPr>
      <w:r w:rsidRPr="000665B0">
        <w:t xml:space="preserve">The FRU text consists of Trigraph, with FRU </w:t>
      </w:r>
      <w:r w:rsidR="008A1CDC" w:rsidRPr="000665B0">
        <w:t>I</w:t>
      </w:r>
      <w:r w:rsidR="008A1CDC">
        <w:t>D</w:t>
      </w:r>
      <w:r w:rsidRPr="000665B0">
        <w:t>.</w:t>
      </w:r>
    </w:p>
    <w:p w14:paraId="4A9D070A" w14:textId="77777777" w:rsidR="0078503C" w:rsidRPr="000665B0" w:rsidRDefault="0078503C" w:rsidP="00474A1F">
      <w:pPr>
        <w:pStyle w:val="BodyText"/>
        <w:tabs>
          <w:tab w:val="left" w:pos="720"/>
        </w:tabs>
        <w:spacing w:after="120"/>
      </w:pPr>
      <w:r w:rsidRPr="000665B0">
        <w:t>The Option text is the Option ID.</w:t>
      </w:r>
    </w:p>
    <w:p w14:paraId="0523D5B7" w14:textId="77777777" w:rsidR="00393BA4" w:rsidRPr="000665B0" w:rsidRDefault="00393BA4" w:rsidP="00393BA4">
      <w:r w:rsidRPr="000665B0">
        <w:t xml:space="preserve">When grouped by TSN Type, the ACA network type is indicated by the </w:t>
      </w:r>
      <w:r w:rsidRPr="000665B0">
        <w:rPr>
          <w:bCs/>
          <w:noProof/>
        </w:rPr>
        <w:drawing>
          <wp:inline distT="0" distB="0" distL="0" distR="0" wp14:anchorId="304E3F10" wp14:editId="16382D58">
            <wp:extent cx="152400" cy="152400"/>
            <wp:effectExtent l="0" t="0" r="0" b="0"/>
            <wp:docPr id="1922" name="Picture 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The DAMA network type is indicated by the </w:t>
      </w:r>
      <w:r w:rsidRPr="000665B0">
        <w:rPr>
          <w:bCs/>
          <w:noProof/>
        </w:rPr>
        <w:drawing>
          <wp:inline distT="0" distB="0" distL="0" distR="0" wp14:anchorId="630DF418" wp14:editId="04303405">
            <wp:extent cx="152400" cy="152400"/>
            <wp:effectExtent l="0" t="0" r="0" b="0"/>
            <wp:docPr id="1923" name="Picture 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No Comms is indicated by the </w:t>
      </w:r>
      <w:r w:rsidRPr="000665B0">
        <w:rPr>
          <w:bCs/>
          <w:noProof/>
        </w:rPr>
        <w:drawing>
          <wp:inline distT="0" distB="0" distL="0" distR="0" wp14:anchorId="00459BF2" wp14:editId="484851A3">
            <wp:extent cx="152400" cy="152400"/>
            <wp:effectExtent l="0" t="0" r="0" b="0"/>
            <wp:docPr id="1924" name="Picture 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w:t>
      </w:r>
    </w:p>
    <w:p w14:paraId="4ACA811B" w14:textId="461EC02B" w:rsidR="0078503C" w:rsidRPr="000665B0" w:rsidRDefault="0078503C" w:rsidP="00474A1F">
      <w:pPr>
        <w:tabs>
          <w:tab w:val="left" w:pos="720"/>
        </w:tabs>
      </w:pPr>
      <w:r w:rsidRPr="000665B0">
        <w:t xml:space="preserve">The Missile text consists of a configurable list of attributes related to the missile reservation. By default, the MS# </w:t>
      </w:r>
      <w:r w:rsidR="00391DBF" w:rsidRPr="000665B0">
        <w:t xml:space="preserve">is </w:t>
      </w:r>
      <w:r w:rsidRPr="000665B0">
        <w:t>always displayed first. The operator may then configure the rest of the attributes to be displayed in the ID</w:t>
      </w:r>
      <w:r w:rsidR="00A62D8B" w:rsidRPr="000665B0">
        <w:t>.</w:t>
      </w:r>
      <w:r w:rsidRPr="000665B0">
        <w:t xml:space="preserve"> </w:t>
      </w:r>
      <w:r w:rsidR="00B62A58" w:rsidRPr="000665B0">
        <w:t>(</w:t>
      </w:r>
      <w:r w:rsidRPr="000665B0">
        <w:t xml:space="preserve">To configure the Gantt Missile Identifier, </w:t>
      </w:r>
      <w:r w:rsidR="00B62A58" w:rsidRPr="000665B0">
        <w:t xml:space="preserve">see </w:t>
      </w:r>
      <w:hyperlink w:anchor="_5.37.7.1.16.1__Gantt" w:history="1">
        <w:r w:rsidR="009326FE" w:rsidRPr="000665B0">
          <w:rPr>
            <w:rStyle w:val="Hyperlink"/>
          </w:rPr>
          <w:t xml:space="preserve">Section </w:t>
        </w:r>
        <w:r w:rsidR="004231CC">
          <w:rPr>
            <w:rStyle w:val="Hyperlink"/>
          </w:rPr>
          <w:t>5.34</w:t>
        </w:r>
        <w:r w:rsidRPr="000665B0">
          <w:rPr>
            <w:rStyle w:val="Hyperlink"/>
          </w:rPr>
          <w:t>.</w:t>
        </w:r>
        <w:r w:rsidR="0089269C" w:rsidRPr="000665B0">
          <w:rPr>
            <w:rStyle w:val="Hyperlink"/>
          </w:rPr>
          <w:t>7</w:t>
        </w:r>
        <w:r w:rsidRPr="000665B0">
          <w:rPr>
            <w:rStyle w:val="Hyperlink"/>
          </w:rPr>
          <w:t>.1.</w:t>
        </w:r>
        <w:r w:rsidR="000B6B74" w:rsidRPr="000665B0">
          <w:rPr>
            <w:rStyle w:val="Hyperlink"/>
          </w:rPr>
          <w:t>16</w:t>
        </w:r>
        <w:r w:rsidRPr="000665B0">
          <w:rPr>
            <w:rStyle w:val="Hyperlink"/>
          </w:rPr>
          <w:t>.1</w:t>
        </w:r>
      </w:hyperlink>
      <w:r w:rsidRPr="000665B0">
        <w:t>.</w:t>
      </w:r>
      <w:r w:rsidR="00B62A58" w:rsidRPr="000665B0">
        <w:t>)</w:t>
      </w:r>
      <w:r w:rsidRPr="000665B0">
        <w:t xml:space="preserve"> These attributes are listed below: </w:t>
      </w:r>
    </w:p>
    <w:p w14:paraId="55C7C86B" w14:textId="77777777" w:rsidR="0078503C" w:rsidRPr="000665B0" w:rsidRDefault="0078503C" w:rsidP="006D5A65">
      <w:pPr>
        <w:pStyle w:val="Heading1"/>
      </w:pPr>
      <w:r w:rsidRPr="000665B0">
        <w:lastRenderedPageBreak/>
        <w:t>BE,</w:t>
      </w:r>
      <w:r w:rsidR="009C5F0F" w:rsidRPr="000665B0">
        <w:t xml:space="preserve"> </w:t>
      </w:r>
      <w:r w:rsidRPr="000665B0">
        <w:t>Aimpoint ID</w:t>
      </w:r>
    </w:p>
    <w:p w14:paraId="6C608204" w14:textId="77777777" w:rsidR="0078503C" w:rsidRPr="000665B0" w:rsidRDefault="0078503C" w:rsidP="006D5A65">
      <w:pPr>
        <w:pStyle w:val="Heading1"/>
      </w:pPr>
      <w:r w:rsidRPr="000665B0">
        <w:t>JDPI</w:t>
      </w:r>
    </w:p>
    <w:p w14:paraId="4D68C8CA" w14:textId="77777777" w:rsidR="0078503C" w:rsidRPr="000665B0" w:rsidRDefault="0078503C" w:rsidP="006D5A65">
      <w:pPr>
        <w:pStyle w:val="Heading1"/>
      </w:pPr>
      <w:r w:rsidRPr="000665B0">
        <w:t>User Target Number</w:t>
      </w:r>
    </w:p>
    <w:p w14:paraId="47EBD89B" w14:textId="77777777" w:rsidR="0078503C" w:rsidRPr="000665B0" w:rsidRDefault="0078503C" w:rsidP="006D5A65">
      <w:pPr>
        <w:pStyle w:val="Heading1"/>
      </w:pPr>
      <w:r w:rsidRPr="000665B0">
        <w:t>TTN</w:t>
      </w:r>
    </w:p>
    <w:p w14:paraId="3DE18960" w14:textId="77777777" w:rsidR="0078503C" w:rsidRPr="000665B0" w:rsidRDefault="0078503C" w:rsidP="006D5A65">
      <w:pPr>
        <w:pStyle w:val="Heading1"/>
      </w:pPr>
      <w:r w:rsidRPr="000665B0">
        <w:t>Mission ID</w:t>
      </w:r>
    </w:p>
    <w:p w14:paraId="10600444" w14:textId="77777777" w:rsidR="0078503C" w:rsidRPr="000665B0" w:rsidRDefault="0078503C" w:rsidP="006D5A65">
      <w:pPr>
        <w:pStyle w:val="Heading1"/>
      </w:pPr>
      <w:r w:rsidRPr="000665B0">
        <w:t>Branch ID</w:t>
      </w:r>
    </w:p>
    <w:p w14:paraId="4E9056C1" w14:textId="77777777" w:rsidR="0078503C" w:rsidRPr="000665B0" w:rsidRDefault="0078503C" w:rsidP="006D5A65">
      <w:pPr>
        <w:pStyle w:val="Heading1"/>
      </w:pPr>
      <w:r w:rsidRPr="000665B0">
        <w:t>Subscriber ID</w:t>
      </w:r>
    </w:p>
    <w:p w14:paraId="125D10D8" w14:textId="77777777" w:rsidR="0078503C" w:rsidRPr="000665B0" w:rsidRDefault="0078503C" w:rsidP="006D5A65">
      <w:pPr>
        <w:pStyle w:val="Heading1"/>
      </w:pPr>
      <w:r w:rsidRPr="000665B0">
        <w:t>MSL Variant</w:t>
      </w:r>
    </w:p>
    <w:p w14:paraId="175BE312" w14:textId="77777777" w:rsidR="0078503C" w:rsidRPr="000665B0" w:rsidRDefault="0078503C" w:rsidP="006D5A65">
      <w:pPr>
        <w:pStyle w:val="Heading1"/>
      </w:pPr>
      <w:r w:rsidRPr="000665B0">
        <w:t>FRU (specified as a Trigraph)</w:t>
      </w:r>
    </w:p>
    <w:p w14:paraId="3B22F0A6" w14:textId="77777777" w:rsidR="0078503C" w:rsidRPr="000665B0" w:rsidRDefault="0078503C" w:rsidP="006D5A65">
      <w:pPr>
        <w:pStyle w:val="Heading1"/>
      </w:pPr>
      <w:r w:rsidRPr="000665B0">
        <w:t>Missile Priority</w:t>
      </w:r>
    </w:p>
    <w:p w14:paraId="4676D23E" w14:textId="77777777" w:rsidR="0078503C" w:rsidRPr="000665B0" w:rsidRDefault="0078503C" w:rsidP="006D5A65">
      <w:pPr>
        <w:pStyle w:val="Heading1"/>
      </w:pPr>
      <w:r w:rsidRPr="000665B0">
        <w:t>Aimpoint Priority</w:t>
      </w:r>
    </w:p>
    <w:p w14:paraId="576C685E" w14:textId="77777777" w:rsidR="0078503C" w:rsidRPr="000665B0" w:rsidRDefault="0078503C" w:rsidP="006D5A65">
      <w:pPr>
        <w:pStyle w:val="Heading1"/>
      </w:pPr>
      <w:r w:rsidRPr="000665B0">
        <w:t>Primary Msl Cntlr (specified as a Trigraph)</w:t>
      </w:r>
    </w:p>
    <w:p w14:paraId="74ECC1CD" w14:textId="77777777" w:rsidR="0078503C" w:rsidRPr="000665B0" w:rsidRDefault="0078503C" w:rsidP="006D5A65">
      <w:pPr>
        <w:pStyle w:val="Heading1"/>
      </w:pPr>
      <w:r w:rsidRPr="000665B0">
        <w:t>Backup Msl Cntlr (specified as a Trigraph)</w:t>
      </w:r>
    </w:p>
    <w:p w14:paraId="39D3C5A4" w14:textId="77777777" w:rsidR="0078503C" w:rsidRPr="000665B0" w:rsidRDefault="0078503C" w:rsidP="006D5A65">
      <w:pPr>
        <w:pStyle w:val="Heading1"/>
      </w:pPr>
      <w:r w:rsidRPr="000665B0">
        <w:t>Time Type</w:t>
      </w:r>
    </w:p>
    <w:p w14:paraId="15FB2DA9" w14:textId="634BD46E" w:rsidR="00DB2A90" w:rsidRPr="000665B0" w:rsidRDefault="00DB2A90" w:rsidP="006D5A65">
      <w:pPr>
        <w:pStyle w:val="Heading1"/>
      </w:pPr>
      <w:r w:rsidRPr="000665B0">
        <w:t>UIC</w:t>
      </w:r>
    </w:p>
    <w:p w14:paraId="60136663" w14:textId="6F217273" w:rsidR="00DB2A90" w:rsidRPr="000665B0" w:rsidRDefault="00DB2A90" w:rsidP="006D5A65">
      <w:pPr>
        <w:pStyle w:val="Heading1"/>
      </w:pPr>
      <w:r w:rsidRPr="000665B0">
        <w:t>TSN Type Assigned</w:t>
      </w:r>
    </w:p>
    <w:p w14:paraId="0C51FB46" w14:textId="77777777" w:rsidR="0078503C" w:rsidRPr="000665B0" w:rsidRDefault="0078503C" w:rsidP="00474A1F">
      <w:pPr>
        <w:pStyle w:val="BodyText"/>
        <w:tabs>
          <w:tab w:val="left" w:pos="720"/>
        </w:tabs>
        <w:spacing w:after="120"/>
      </w:pPr>
      <w:r w:rsidRPr="000665B0">
        <w:t>Each row of the list view matches the corresponding row on the Gantt Chart.</w:t>
      </w:r>
    </w:p>
    <w:p w14:paraId="402165FA" w14:textId="77777777" w:rsidR="00140970" w:rsidRPr="000665B0" w:rsidRDefault="00140970" w:rsidP="00474A1F">
      <w:pPr>
        <w:pStyle w:val="BodyText"/>
        <w:tabs>
          <w:tab w:val="left" w:pos="720"/>
        </w:tabs>
        <w:spacing w:after="120"/>
      </w:pPr>
      <w:r w:rsidRPr="000665B0">
        <w:t xml:space="preserve">A context menu on the Missile Assignment List provides the ability to edit the missile’s timing and TSN Parameters (see </w:t>
      </w:r>
      <w:r w:rsidRPr="000665B0">
        <w:rPr>
          <w:b/>
        </w:rPr>
        <w:t>Strike Planning</w:t>
      </w:r>
      <w:r w:rsidRPr="000665B0">
        <w:t xml:space="preserve"> below).</w:t>
      </w:r>
    </w:p>
    <w:p w14:paraId="5C51EE7A" w14:textId="77777777" w:rsidR="0078503C" w:rsidRPr="000665B0" w:rsidRDefault="0078503C" w:rsidP="002C16B8">
      <w:pPr>
        <w:pStyle w:val="PlainText"/>
        <w:keepNext/>
        <w:tabs>
          <w:tab w:val="left" w:pos="720"/>
        </w:tabs>
        <w:rPr>
          <w:rFonts w:ascii="Times New Roman" w:hAnsi="Times New Roman"/>
          <w:b/>
        </w:rPr>
      </w:pPr>
      <w:r w:rsidRPr="000665B0">
        <w:rPr>
          <w:rFonts w:ascii="Times New Roman" w:hAnsi="Times New Roman"/>
          <w:b/>
        </w:rPr>
        <w:t>Gantt Chart:</w:t>
      </w:r>
    </w:p>
    <w:p w14:paraId="4E36A32C" w14:textId="260DB15F" w:rsidR="0078503C" w:rsidRPr="000665B0" w:rsidRDefault="008A0329" w:rsidP="000B625E">
      <w:pPr>
        <w:pStyle w:val="PlainText"/>
        <w:tabs>
          <w:tab w:val="left" w:pos="720"/>
        </w:tabs>
        <w:jc w:val="center"/>
        <w:rPr>
          <w:noProof/>
        </w:rPr>
      </w:pPr>
      <w:r w:rsidRPr="004E0F58">
        <w:rPr>
          <w:noProof/>
        </w:rPr>
        <w:drawing>
          <wp:inline distT="0" distB="0" distL="0" distR="0" wp14:anchorId="054035CF" wp14:editId="1484BA36">
            <wp:extent cx="4571398" cy="1713539"/>
            <wp:effectExtent l="0" t="0" r="0" b="0"/>
            <wp:docPr id="11495849" name="Picture 1" descr="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849" name="Picture 1" descr="Box and whisker chart&#10;&#10;Description automatically generated"/>
                    <pic:cNvPicPr/>
                  </pic:nvPicPr>
                  <pic:blipFill rotWithShape="1">
                    <a:blip/>
                    <a:srcRect b="11176"/>
                    <a:stretch/>
                  </pic:blipFill>
                  <pic:spPr bwMode="auto">
                    <a:xfrm>
                      <a:off x="0" y="0"/>
                      <a:ext cx="4572000" cy="1713765"/>
                    </a:xfrm>
                    <a:prstGeom prst="rect">
                      <a:avLst/>
                    </a:prstGeom>
                    <a:ln>
                      <a:noFill/>
                    </a:ln>
                    <a:extLst>
                      <a:ext uri="{53640926-AAD7-44D8-BBD7-CCE9431645EC}">
                        <a14:shadowObscured xmlns:a14="http://schemas.microsoft.com/office/drawing/2010/main"/>
                      </a:ext>
                    </a:extLst>
                  </pic:spPr>
                </pic:pic>
              </a:graphicData>
            </a:graphic>
          </wp:inline>
        </w:drawing>
      </w:r>
    </w:p>
    <w:p w14:paraId="211EBB8F" w14:textId="77777777" w:rsidR="00A62D8B" w:rsidRPr="000665B0" w:rsidRDefault="0078503C" w:rsidP="00474A1F">
      <w:pPr>
        <w:pStyle w:val="BodyText"/>
        <w:tabs>
          <w:tab w:val="left" w:pos="720"/>
        </w:tabs>
        <w:spacing w:after="120"/>
      </w:pPr>
      <w:r w:rsidRPr="000665B0">
        <w:t xml:space="preserve">Each row of the Gantt Chart corresponds to a row on the Missile Assignment List. </w:t>
      </w:r>
      <w:r w:rsidR="00A62D8B" w:rsidRPr="000665B0">
        <w:t xml:space="preserve">Selecting an item in the Missile Assignment List will highlight its corresponding row on the Gantt Chart. </w:t>
      </w:r>
      <w:r w:rsidRPr="000665B0">
        <w:t>Each column</w:t>
      </w:r>
      <w:r w:rsidR="00A62D8B" w:rsidRPr="000665B0">
        <w:t xml:space="preserve"> of the Gantt Chart</w:t>
      </w:r>
      <w:r w:rsidRPr="000665B0">
        <w:t xml:space="preserve"> corresponds to a time column on the Network Utilization Panel. </w:t>
      </w:r>
    </w:p>
    <w:p w14:paraId="330E17FE" w14:textId="77777777" w:rsidR="0078503C" w:rsidRPr="000665B0" w:rsidRDefault="00A62D8B" w:rsidP="00474A1F">
      <w:pPr>
        <w:pStyle w:val="BodyText"/>
        <w:tabs>
          <w:tab w:val="left" w:pos="720"/>
        </w:tabs>
        <w:spacing w:after="120"/>
        <w:rPr>
          <w:b/>
        </w:rPr>
      </w:pPr>
      <w:r w:rsidRPr="000665B0">
        <w:rPr>
          <w:b/>
        </w:rPr>
        <w:t xml:space="preserve">Gantt Chart </w:t>
      </w:r>
      <w:r w:rsidR="0078503C" w:rsidRPr="000665B0">
        <w:rPr>
          <w:b/>
        </w:rPr>
        <w:t>icon</w:t>
      </w:r>
      <w:r w:rsidRPr="000665B0">
        <w:rPr>
          <w:b/>
        </w:rPr>
        <w:t xml:space="preserve"> </w:t>
      </w:r>
      <w:r w:rsidR="004D6FF6" w:rsidRPr="000665B0">
        <w:rPr>
          <w:b/>
        </w:rPr>
        <w:t>definitions</w:t>
      </w:r>
      <w:r w:rsidRPr="000665B0">
        <w:rPr>
          <w:b/>
        </w:rPr>
        <w:t>:</w:t>
      </w:r>
    </w:p>
    <w:p w14:paraId="3EBB4A35" w14:textId="77777777" w:rsidR="0078503C" w:rsidRPr="000665B0" w:rsidRDefault="009A1FDF" w:rsidP="006D5A65">
      <w:pPr>
        <w:pStyle w:val="Heading1"/>
      </w:pPr>
      <w:r w:rsidRPr="000665B0">
        <w:rPr>
          <w:noProof/>
        </w:rPr>
        <w:lastRenderedPageBreak/>
        <w:drawing>
          <wp:inline distT="0" distB="0" distL="0" distR="0" wp14:anchorId="5C17B9E3" wp14:editId="11443B0E">
            <wp:extent cx="180975" cy="171450"/>
            <wp:effectExtent l="19050" t="0" r="9525" b="0"/>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0078503C" w:rsidRPr="000665B0">
        <w:t xml:space="preserve"> – Start of a Strike.</w:t>
      </w:r>
    </w:p>
    <w:p w14:paraId="321AB26A" w14:textId="77777777" w:rsidR="0078503C" w:rsidRPr="000665B0" w:rsidRDefault="009A1FDF" w:rsidP="006D5A65">
      <w:pPr>
        <w:pStyle w:val="Heading1"/>
      </w:pPr>
      <w:r w:rsidRPr="000665B0">
        <w:rPr>
          <w:noProof/>
        </w:rPr>
        <w:drawing>
          <wp:inline distT="0" distB="0" distL="0" distR="0" wp14:anchorId="498A8608" wp14:editId="019A50B2">
            <wp:extent cx="180975" cy="180975"/>
            <wp:effectExtent l="19050" t="0" r="9525" b="0"/>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cstate="print"/>
                    <a:srcRect/>
                    <a:stretch>
                      <a:fillRect/>
                    </a:stretch>
                  </pic:blipFill>
                  <pic:spPr bwMode="auto">
                    <a:xfrm>
                      <a:off x="0" y="0"/>
                      <a:ext cx="180975" cy="180975"/>
                    </a:xfrm>
                    <a:prstGeom prst="rect">
                      <a:avLst/>
                    </a:prstGeom>
                    <a:noFill/>
                    <a:ln w="9525">
                      <a:noFill/>
                      <a:miter lim="800000"/>
                      <a:headEnd/>
                      <a:tailEnd/>
                    </a:ln>
                  </pic:spPr>
                </pic:pic>
              </a:graphicData>
            </a:graphic>
          </wp:inline>
        </w:drawing>
      </w:r>
      <w:r w:rsidR="0078503C" w:rsidRPr="000665B0">
        <w:t xml:space="preserve"> – End of a Strike.</w:t>
      </w:r>
    </w:p>
    <w:p w14:paraId="453B5A35" w14:textId="77777777" w:rsidR="0078503C" w:rsidRPr="000665B0" w:rsidRDefault="009A1FDF" w:rsidP="006D5A65">
      <w:pPr>
        <w:pStyle w:val="Heading1"/>
      </w:pPr>
      <w:r w:rsidRPr="000665B0">
        <w:rPr>
          <w:noProof/>
        </w:rPr>
        <w:drawing>
          <wp:inline distT="0" distB="0" distL="0" distR="0" wp14:anchorId="04B6C0CB" wp14:editId="18167084">
            <wp:extent cx="180975" cy="161925"/>
            <wp:effectExtent l="19050" t="0" r="9525" b="0"/>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cstate="print"/>
                    <a:srcRect/>
                    <a:stretch>
                      <a:fillRect/>
                    </a:stretch>
                  </pic:blipFill>
                  <pic:spPr bwMode="auto">
                    <a:xfrm>
                      <a:off x="0" y="0"/>
                      <a:ext cx="180975" cy="161925"/>
                    </a:xfrm>
                    <a:prstGeom prst="rect">
                      <a:avLst/>
                    </a:prstGeom>
                    <a:noFill/>
                    <a:ln w="9525">
                      <a:noFill/>
                      <a:miter lim="800000"/>
                      <a:headEnd/>
                      <a:tailEnd/>
                    </a:ln>
                  </pic:spPr>
                </pic:pic>
              </a:graphicData>
            </a:graphic>
          </wp:inline>
        </w:drawing>
      </w:r>
      <w:r w:rsidR="0078503C" w:rsidRPr="000665B0">
        <w:t xml:space="preserve"> – Launch point for a missile.</w:t>
      </w:r>
      <w:r w:rsidR="00655E4B" w:rsidRPr="000665B0">
        <w:t xml:space="preserve"> The user may drag the symbol to a different Launch time.</w:t>
      </w:r>
    </w:p>
    <w:p w14:paraId="11008AF5" w14:textId="77777777" w:rsidR="00655E4B" w:rsidRPr="000665B0" w:rsidRDefault="009A1FDF" w:rsidP="006D5A65">
      <w:pPr>
        <w:pStyle w:val="Heading1"/>
      </w:pPr>
      <w:r w:rsidRPr="000665B0">
        <w:rPr>
          <w:noProof/>
        </w:rPr>
        <w:drawing>
          <wp:inline distT="0" distB="0" distL="0" distR="0" wp14:anchorId="3CD61F10" wp14:editId="2FE7461B">
            <wp:extent cx="161925" cy="161925"/>
            <wp:effectExtent l="19050" t="0" r="9525" b="0"/>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cstate="print"/>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0078503C" w:rsidRPr="000665B0">
        <w:t xml:space="preserve"> – Target point for a missile.</w:t>
      </w:r>
      <w:r w:rsidR="00655E4B" w:rsidRPr="000665B0">
        <w:t xml:space="preserve"> The user may drag the symbol to a different Target time.</w:t>
      </w:r>
    </w:p>
    <w:p w14:paraId="5CDF9B77" w14:textId="435E1947" w:rsidR="0078503C" w:rsidRPr="000665B0" w:rsidRDefault="009A1FDF" w:rsidP="006D5A65">
      <w:pPr>
        <w:pStyle w:val="Heading1"/>
      </w:pPr>
      <w:r w:rsidRPr="000665B0">
        <w:rPr>
          <w:noProof/>
        </w:rPr>
        <w:drawing>
          <wp:inline distT="0" distB="0" distL="0" distR="0" wp14:anchorId="2ED13DE8" wp14:editId="56794A18">
            <wp:extent cx="914400" cy="104775"/>
            <wp:effectExtent l="19050" t="0" r="0" b="0"/>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cstate="print"/>
                    <a:srcRect/>
                    <a:stretch>
                      <a:fillRect/>
                    </a:stretch>
                  </pic:blipFill>
                  <pic:spPr bwMode="auto">
                    <a:xfrm>
                      <a:off x="0" y="0"/>
                      <a:ext cx="914400" cy="104775"/>
                    </a:xfrm>
                    <a:prstGeom prst="rect">
                      <a:avLst/>
                    </a:prstGeom>
                    <a:noFill/>
                    <a:ln w="9525">
                      <a:noFill/>
                      <a:miter lim="800000"/>
                      <a:headEnd/>
                      <a:tailEnd/>
                    </a:ln>
                  </pic:spPr>
                </pic:pic>
              </a:graphicData>
            </a:graphic>
          </wp:inline>
        </w:drawing>
      </w:r>
      <w:r w:rsidR="0078503C" w:rsidRPr="000665B0">
        <w:t xml:space="preserve"> – Missile enroute duration.</w:t>
      </w:r>
    </w:p>
    <w:p w14:paraId="73CE7FCE" w14:textId="23020382" w:rsidR="00C1111C" w:rsidRPr="000665B0" w:rsidRDefault="00C1111C" w:rsidP="006D5A65">
      <w:pPr>
        <w:pStyle w:val="Heading1"/>
      </w:pPr>
      <w:r w:rsidRPr="000665B0">
        <w:rPr>
          <w:noProof/>
        </w:rPr>
        <w:drawing>
          <wp:inline distT="0" distB="0" distL="0" distR="0" wp14:anchorId="5409F7C6" wp14:editId="061C5978">
            <wp:extent cx="142875" cy="152400"/>
            <wp:effectExtent l="19050" t="0" r="9525"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Pr="000665B0">
        <w:t xml:space="preserve"> –</w:t>
      </w:r>
      <w:r w:rsidR="00CA1435" w:rsidRPr="000665B0">
        <w:t xml:space="preserve"> R</w:t>
      </w:r>
      <w:r w:rsidR="00B8345F" w:rsidRPr="000665B0">
        <w:t>epresent</w:t>
      </w:r>
      <w:r w:rsidR="00CA1435" w:rsidRPr="000665B0">
        <w:t>s</w:t>
      </w:r>
      <w:r w:rsidR="00B8345F" w:rsidRPr="000665B0">
        <w:t xml:space="preserve"> a</w:t>
      </w:r>
      <w:r w:rsidRPr="000665B0">
        <w:t xml:space="preserve"> timing point. Unless an OWR changes the timing, this is displayed over the Launch point for a TOL missile, the First Pre-Planned waypoint for a FWP missile, and the Target point for a TOT missile.</w:t>
      </w:r>
    </w:p>
    <w:p w14:paraId="095C027E" w14:textId="17D24796" w:rsidR="0078503C" w:rsidRPr="000665B0" w:rsidRDefault="00345997" w:rsidP="006D5A65">
      <w:pPr>
        <w:pStyle w:val="Heading1"/>
      </w:pPr>
      <w:r>
        <w:rPr>
          <w:noProof/>
        </w:rPr>
        <w:drawing>
          <wp:inline distT="0" distB="0" distL="0" distR="0" wp14:anchorId="35383823" wp14:editId="55AE391F">
            <wp:extent cx="152400" cy="152400"/>
            <wp:effectExtent l="0" t="0" r="0" b="0"/>
            <wp:docPr id="549683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78503C" w:rsidRPr="000665B0">
        <w:t xml:space="preserve"> – First waypoint.</w:t>
      </w:r>
    </w:p>
    <w:p w14:paraId="29D86295" w14:textId="77777777" w:rsidR="0078503C" w:rsidRPr="000665B0" w:rsidRDefault="009A1FDF" w:rsidP="006D5A65">
      <w:pPr>
        <w:pStyle w:val="Heading1"/>
      </w:pPr>
      <w:r w:rsidRPr="000665B0">
        <w:rPr>
          <w:noProof/>
        </w:rPr>
        <w:drawing>
          <wp:inline distT="0" distB="0" distL="0" distR="0" wp14:anchorId="7BF0D8D3" wp14:editId="25370BED">
            <wp:extent cx="171450" cy="209550"/>
            <wp:effectExtent l="19050" t="0" r="0" b="0"/>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cstate="print"/>
                    <a:srcRect/>
                    <a:stretch>
                      <a:fillRect/>
                    </a:stretch>
                  </pic:blipFill>
                  <pic:spPr bwMode="auto">
                    <a:xfrm>
                      <a:off x="0" y="0"/>
                      <a:ext cx="171450" cy="209550"/>
                    </a:xfrm>
                    <a:prstGeom prst="rect">
                      <a:avLst/>
                    </a:prstGeom>
                    <a:noFill/>
                    <a:ln w="9525">
                      <a:noFill/>
                      <a:miter lim="800000"/>
                      <a:headEnd/>
                      <a:tailEnd/>
                    </a:ln>
                  </pic:spPr>
                </pic:pic>
              </a:graphicData>
            </a:graphic>
          </wp:inline>
        </w:drawing>
      </w:r>
      <w:r w:rsidR="0078503C" w:rsidRPr="000665B0">
        <w:t xml:space="preserve"> – Action point with action point number.</w:t>
      </w:r>
    </w:p>
    <w:p w14:paraId="6D4ABA8E" w14:textId="77777777" w:rsidR="0078503C" w:rsidRPr="000665B0" w:rsidRDefault="009A1FDF" w:rsidP="006D5A65">
      <w:pPr>
        <w:pStyle w:val="Heading1"/>
      </w:pPr>
      <w:r w:rsidRPr="000665B0">
        <w:rPr>
          <w:noProof/>
        </w:rPr>
        <w:drawing>
          <wp:inline distT="0" distB="0" distL="0" distR="0" wp14:anchorId="60D32807" wp14:editId="4BD1549F">
            <wp:extent cx="133350" cy="114300"/>
            <wp:effectExtent l="19050" t="0" r="0" b="0"/>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cstate="print"/>
                    <a:srcRect/>
                    <a:stretch>
                      <a:fillRect/>
                    </a:stretch>
                  </pic:blipFill>
                  <pic:spPr bwMode="auto">
                    <a:xfrm>
                      <a:off x="0" y="0"/>
                      <a:ext cx="133350" cy="114300"/>
                    </a:xfrm>
                    <a:prstGeom prst="rect">
                      <a:avLst/>
                    </a:prstGeom>
                    <a:noFill/>
                    <a:ln w="9525">
                      <a:noFill/>
                      <a:miter lim="800000"/>
                      <a:headEnd/>
                      <a:tailEnd/>
                    </a:ln>
                  </pic:spPr>
                </pic:pic>
              </a:graphicData>
            </a:graphic>
          </wp:inline>
        </w:drawing>
      </w:r>
      <w:r w:rsidR="0078503C" w:rsidRPr="000665B0">
        <w:t xml:space="preserve"> – Waypoint.</w:t>
      </w:r>
    </w:p>
    <w:p w14:paraId="66E3BDEA" w14:textId="77777777" w:rsidR="0078503C" w:rsidRPr="000665B0" w:rsidRDefault="009A1FDF" w:rsidP="006D5A65">
      <w:pPr>
        <w:pStyle w:val="Heading1"/>
      </w:pPr>
      <w:r w:rsidRPr="000665B0">
        <w:rPr>
          <w:noProof/>
        </w:rPr>
        <w:drawing>
          <wp:inline distT="0" distB="0" distL="0" distR="0" wp14:anchorId="45F6E539" wp14:editId="38A82337">
            <wp:extent cx="209550" cy="209550"/>
            <wp:effectExtent l="19050" t="0" r="0" b="0"/>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cstate="print"/>
                    <a:srcRect/>
                    <a:stretch>
                      <a:fillRect/>
                    </a:stretch>
                  </pic:blipFill>
                  <pic:spPr bwMode="auto">
                    <a:xfrm>
                      <a:off x="0" y="0"/>
                      <a:ext cx="209550" cy="209550"/>
                    </a:xfrm>
                    <a:prstGeom prst="rect">
                      <a:avLst/>
                    </a:prstGeom>
                    <a:noFill/>
                    <a:ln w="9525">
                      <a:noFill/>
                      <a:miter lim="800000"/>
                      <a:headEnd/>
                      <a:tailEnd/>
                    </a:ln>
                  </pic:spPr>
                </pic:pic>
              </a:graphicData>
            </a:graphic>
          </wp:inline>
        </w:drawing>
      </w:r>
      <w:r w:rsidR="0078503C" w:rsidRPr="000665B0">
        <w:t xml:space="preserve"> – Flex point with flex point number.</w:t>
      </w:r>
    </w:p>
    <w:p w14:paraId="49F99C3D" w14:textId="77777777" w:rsidR="0078503C" w:rsidRPr="000665B0" w:rsidRDefault="009A1FDF" w:rsidP="006D5A65">
      <w:pPr>
        <w:pStyle w:val="Heading1"/>
      </w:pPr>
      <w:r w:rsidRPr="000665B0">
        <w:rPr>
          <w:noProof/>
        </w:rPr>
        <w:drawing>
          <wp:inline distT="0" distB="0" distL="0" distR="0" wp14:anchorId="320E31FC" wp14:editId="255BCB73">
            <wp:extent cx="828675" cy="161925"/>
            <wp:effectExtent l="19050" t="0" r="9525" b="0"/>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cstate="print"/>
                    <a:srcRect/>
                    <a:stretch>
                      <a:fillRect/>
                    </a:stretch>
                  </pic:blipFill>
                  <pic:spPr bwMode="auto">
                    <a:xfrm>
                      <a:off x="0" y="0"/>
                      <a:ext cx="828675" cy="161925"/>
                    </a:xfrm>
                    <a:prstGeom prst="rect">
                      <a:avLst/>
                    </a:prstGeom>
                    <a:noFill/>
                    <a:ln w="9525">
                      <a:noFill/>
                      <a:miter lim="800000"/>
                      <a:headEnd/>
                      <a:tailEnd/>
                    </a:ln>
                  </pic:spPr>
                </pic:pic>
              </a:graphicData>
            </a:graphic>
          </wp:inline>
        </w:drawing>
      </w:r>
      <w:r w:rsidR="0078503C" w:rsidRPr="000665B0">
        <w:t xml:space="preserve"> – Defense Interactions.</w:t>
      </w:r>
    </w:p>
    <w:p w14:paraId="07EBAF06" w14:textId="77777777" w:rsidR="0078503C" w:rsidRPr="000665B0" w:rsidRDefault="009A1FDF" w:rsidP="006D5A65">
      <w:pPr>
        <w:pStyle w:val="Heading1"/>
      </w:pPr>
      <w:r w:rsidRPr="000665B0">
        <w:rPr>
          <w:noProof/>
        </w:rPr>
        <w:drawing>
          <wp:inline distT="0" distB="0" distL="0" distR="0" wp14:anchorId="56BC4286" wp14:editId="4D98C5C8">
            <wp:extent cx="971550" cy="285750"/>
            <wp:effectExtent l="19050" t="0" r="0" b="0"/>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cstate="print"/>
                    <a:srcRect/>
                    <a:stretch>
                      <a:fillRect/>
                    </a:stretch>
                  </pic:blipFill>
                  <pic:spPr bwMode="auto">
                    <a:xfrm>
                      <a:off x="0" y="0"/>
                      <a:ext cx="971550" cy="285750"/>
                    </a:xfrm>
                    <a:prstGeom prst="rect">
                      <a:avLst/>
                    </a:prstGeom>
                    <a:noFill/>
                    <a:ln w="9525">
                      <a:noFill/>
                      <a:miter lim="800000"/>
                      <a:headEnd/>
                      <a:tailEnd/>
                    </a:ln>
                  </pic:spPr>
                </pic:pic>
              </a:graphicData>
            </a:graphic>
          </wp:inline>
        </w:drawing>
      </w:r>
      <w:r w:rsidR="0078503C" w:rsidRPr="000665B0">
        <w:t xml:space="preserve"> </w:t>
      </w:r>
      <w:r w:rsidR="009C5F0F" w:rsidRPr="000665B0">
        <w:t>–</w:t>
      </w:r>
      <w:r w:rsidR="0078503C" w:rsidRPr="000665B0">
        <w:t xml:space="preserve"> FRU Commitments are shaded </w:t>
      </w:r>
      <w:r w:rsidR="00A55173" w:rsidRPr="000665B0">
        <w:t>gray</w:t>
      </w:r>
      <w:r w:rsidR="0078503C" w:rsidRPr="000665B0">
        <w:t>.</w:t>
      </w:r>
    </w:p>
    <w:p w14:paraId="77A62B01" w14:textId="30EDE71A" w:rsidR="0078503C" w:rsidRPr="000665B0" w:rsidRDefault="009A1FDF" w:rsidP="006D5A65">
      <w:pPr>
        <w:pStyle w:val="Heading1"/>
      </w:pPr>
      <w:r w:rsidRPr="000665B0">
        <w:rPr>
          <w:noProof/>
        </w:rPr>
        <w:drawing>
          <wp:inline distT="0" distB="0" distL="0" distR="0" wp14:anchorId="2E6AE2B0" wp14:editId="78E85CAC">
            <wp:extent cx="180975" cy="133350"/>
            <wp:effectExtent l="19050" t="0" r="9525" b="0"/>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cstate="print"/>
                    <a:srcRect/>
                    <a:stretch>
                      <a:fillRect/>
                    </a:stretch>
                  </pic:blipFill>
                  <pic:spPr bwMode="auto">
                    <a:xfrm>
                      <a:off x="0" y="0"/>
                      <a:ext cx="180975" cy="133350"/>
                    </a:xfrm>
                    <a:prstGeom prst="rect">
                      <a:avLst/>
                    </a:prstGeom>
                    <a:noFill/>
                    <a:ln w="9525">
                      <a:noFill/>
                      <a:miter lim="800000"/>
                      <a:headEnd/>
                      <a:tailEnd/>
                    </a:ln>
                  </pic:spPr>
                </pic:pic>
              </a:graphicData>
            </a:graphic>
          </wp:inline>
        </w:drawing>
      </w:r>
      <w:r w:rsidR="0078503C" w:rsidRPr="000665B0">
        <w:t xml:space="preserve"> – Manually planned Health &amp; Status Message. </w:t>
      </w:r>
      <w:r w:rsidR="00D71804" w:rsidRPr="000665B0">
        <w:t>Right-click</w:t>
      </w:r>
      <w:r w:rsidR="0078503C" w:rsidRPr="000665B0">
        <w:t xml:space="preserve"> to delete or display textually.</w:t>
      </w:r>
    </w:p>
    <w:p w14:paraId="3CCCBD8C" w14:textId="58388864" w:rsidR="0078503C" w:rsidRPr="000665B0" w:rsidRDefault="009A1FDF" w:rsidP="006D5A65">
      <w:pPr>
        <w:pStyle w:val="Heading1"/>
      </w:pPr>
      <w:r w:rsidRPr="000665B0">
        <w:rPr>
          <w:noProof/>
        </w:rPr>
        <w:drawing>
          <wp:inline distT="0" distB="0" distL="0" distR="0" wp14:anchorId="41418683" wp14:editId="05383C95">
            <wp:extent cx="190500" cy="161925"/>
            <wp:effectExtent l="19050" t="0" r="0" b="0"/>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cstate="print"/>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0078503C" w:rsidRPr="000665B0">
        <w:t xml:space="preserve"> – System planned Health &amp; Status. </w:t>
      </w:r>
      <w:r w:rsidR="00D71804" w:rsidRPr="000665B0">
        <w:t>Right-click</w:t>
      </w:r>
      <w:r w:rsidR="0078503C" w:rsidRPr="000665B0">
        <w:t xml:space="preserve"> to delete or display textually.</w:t>
      </w:r>
    </w:p>
    <w:p w14:paraId="0BD5454A" w14:textId="07997EC3" w:rsidR="00B8345F" w:rsidRPr="000665B0" w:rsidRDefault="00B8345F" w:rsidP="006D5A65">
      <w:pPr>
        <w:pStyle w:val="Heading1"/>
      </w:pPr>
      <w:r w:rsidRPr="000665B0">
        <w:rPr>
          <w:noProof/>
          <w:position w:val="-4"/>
        </w:rPr>
        <w:drawing>
          <wp:inline distT="0" distB="0" distL="0" distR="0" wp14:anchorId="345E6740" wp14:editId="5978CA9D">
            <wp:extent cx="197924" cy="162121"/>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00317" cy="164081"/>
                    </a:xfrm>
                    <a:prstGeom prst="rect">
                      <a:avLst/>
                    </a:prstGeom>
                    <a:ln>
                      <a:noFill/>
                    </a:ln>
                    <a:extLst>
                      <a:ext uri="{53640926-AAD7-44D8-BBD7-CCE9431645EC}">
                        <a14:shadowObscured xmlns:a14="http://schemas.microsoft.com/office/drawing/2010/main"/>
                      </a:ext>
                    </a:extLst>
                  </pic:spPr>
                </pic:pic>
              </a:graphicData>
            </a:graphic>
          </wp:inline>
        </w:drawing>
      </w:r>
      <w:r w:rsidRPr="000665B0">
        <w:t xml:space="preserve"> – Planned Event Health &amp; Status TSN message. Right-click to display textually.</w:t>
      </w:r>
    </w:p>
    <w:p w14:paraId="15908B30" w14:textId="77777777" w:rsidR="0078503C" w:rsidRPr="000665B0" w:rsidRDefault="009A1FDF" w:rsidP="006D5A65">
      <w:pPr>
        <w:pStyle w:val="Heading1"/>
      </w:pPr>
      <w:r w:rsidRPr="000665B0">
        <w:rPr>
          <w:noProof/>
        </w:rPr>
        <w:drawing>
          <wp:inline distT="0" distB="0" distL="0" distR="0" wp14:anchorId="2856FD2A" wp14:editId="0A01C281">
            <wp:extent cx="180975" cy="171450"/>
            <wp:effectExtent l="19050" t="0" r="9525" b="0"/>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0078503C" w:rsidRPr="000665B0">
        <w:t xml:space="preserve"> – BDI H&amp;S Message.</w:t>
      </w:r>
    </w:p>
    <w:p w14:paraId="6538766B" w14:textId="77777777" w:rsidR="0078503C" w:rsidRPr="000665B0" w:rsidRDefault="009A1FDF" w:rsidP="006D5A65">
      <w:pPr>
        <w:pStyle w:val="Heading1"/>
      </w:pPr>
      <w:r w:rsidRPr="000665B0">
        <w:rPr>
          <w:noProof/>
        </w:rPr>
        <w:drawing>
          <wp:inline distT="0" distB="0" distL="0" distR="0" wp14:anchorId="6F59951B" wp14:editId="008F7DB3">
            <wp:extent cx="228600" cy="209550"/>
            <wp:effectExtent l="19050" t="0" r="0" b="0"/>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cstate="print"/>
                    <a:srcRect/>
                    <a:stretch>
                      <a:fillRect/>
                    </a:stretch>
                  </pic:blipFill>
                  <pic:spPr bwMode="auto">
                    <a:xfrm>
                      <a:off x="0" y="0"/>
                      <a:ext cx="228600" cy="209550"/>
                    </a:xfrm>
                    <a:prstGeom prst="rect">
                      <a:avLst/>
                    </a:prstGeom>
                    <a:noFill/>
                    <a:ln w="9525">
                      <a:noFill/>
                      <a:miter lim="800000"/>
                      <a:headEnd/>
                      <a:tailEnd/>
                    </a:ln>
                  </pic:spPr>
                </pic:pic>
              </a:graphicData>
            </a:graphic>
          </wp:inline>
        </w:drawing>
      </w:r>
      <w:r w:rsidR="0078503C" w:rsidRPr="000665B0">
        <w:t xml:space="preserve"> </w:t>
      </w:r>
      <w:r w:rsidR="009C5F0F" w:rsidRPr="000665B0">
        <w:t>–</w:t>
      </w:r>
      <w:r w:rsidR="0078503C" w:rsidRPr="000665B0">
        <w:t xml:space="preserve"> A note. – A note can be up to 128 characters. It can be attached to a missile or a FRU at a specific time. Notes allow a Strike Planner to place text (i.e., contingency actions or recovery steps) on the Comms Schedule that can be viewed during execution.</w:t>
      </w:r>
    </w:p>
    <w:p w14:paraId="4223D9BD" w14:textId="77777777" w:rsidR="0078503C" w:rsidRPr="000665B0" w:rsidRDefault="0078503C" w:rsidP="00474A1F">
      <w:pPr>
        <w:pStyle w:val="BodyText"/>
        <w:tabs>
          <w:tab w:val="left" w:pos="720"/>
        </w:tabs>
        <w:spacing w:after="120"/>
      </w:pPr>
      <w:r w:rsidRPr="000665B0">
        <w:t xml:space="preserve">System or manually added H&amp;S messages can be moved by dragging the item using the left mouse button. Only </w:t>
      </w:r>
      <w:r w:rsidR="004C34C6" w:rsidRPr="000665B0">
        <w:t>109E</w:t>
      </w:r>
      <w:r w:rsidRPr="000665B0">
        <w:t xml:space="preserve"> missiles with Comms enabled are allowed to have planned H&amp;S messages.</w:t>
      </w:r>
    </w:p>
    <w:p w14:paraId="7464EC97" w14:textId="77777777" w:rsidR="0078503C" w:rsidRPr="000665B0" w:rsidRDefault="0078503C" w:rsidP="00474A1F">
      <w:pPr>
        <w:pStyle w:val="PlainText"/>
        <w:tabs>
          <w:tab w:val="left" w:pos="720"/>
        </w:tabs>
        <w:rPr>
          <w:rFonts w:ascii="Times New Roman" w:hAnsi="Times New Roman"/>
          <w:b/>
        </w:rPr>
      </w:pPr>
      <w:r w:rsidRPr="000665B0">
        <w:rPr>
          <w:rFonts w:ascii="Times New Roman" w:hAnsi="Times New Roman"/>
          <w:b/>
        </w:rPr>
        <w:t>Strike Planning:</w:t>
      </w:r>
    </w:p>
    <w:p w14:paraId="5ED56141" w14:textId="4740585F" w:rsidR="0078503C" w:rsidRPr="000665B0" w:rsidRDefault="0078503C" w:rsidP="00474A1F">
      <w:pPr>
        <w:pStyle w:val="BodyText"/>
        <w:tabs>
          <w:tab w:val="left" w:pos="720"/>
        </w:tabs>
        <w:spacing w:after="120"/>
      </w:pPr>
      <w:r w:rsidRPr="000665B0">
        <w:t>When initially displayed, the Comms Schedule is generated using the default TSN parameters defined in TSN Planning/Execution Properties (</w:t>
      </w:r>
      <w:r w:rsidRPr="000665B0">
        <w:rPr>
          <w:b/>
        </w:rPr>
        <w:t xml:space="preserve">View </w:t>
      </w:r>
      <w:r w:rsidR="00AD04B4" w:rsidRPr="000665B0">
        <w:rPr>
          <w:b/>
        </w:rPr>
        <w:sym w:font="Wingdings" w:char="F0E0"/>
      </w:r>
      <w:r w:rsidRPr="000665B0">
        <w:rPr>
          <w:b/>
        </w:rPr>
        <w:t xml:space="preserve"> Properties</w:t>
      </w:r>
      <w:r w:rsidRPr="000665B0">
        <w:t xml:space="preserve"> from </w:t>
      </w:r>
      <w:r w:rsidR="00B159FF" w:rsidRPr="000665B0">
        <w:t xml:space="preserve">the </w:t>
      </w:r>
      <w:r w:rsidRPr="000665B0">
        <w:t xml:space="preserve">Strike </w:t>
      </w:r>
      <w:r w:rsidR="00B159FF" w:rsidRPr="000665B0">
        <w:t xml:space="preserve">Folders </w:t>
      </w:r>
      <w:r w:rsidRPr="000665B0">
        <w:t>Tool). A new Health &amp; Status message</w:t>
      </w:r>
      <w:r w:rsidR="00A62D8B" w:rsidRPr="000665B0">
        <w:t>s</w:t>
      </w:r>
      <w:r w:rsidRPr="000665B0">
        <w:t xml:space="preserve"> can be added by clicking on </w:t>
      </w:r>
      <w:r w:rsidR="0043623E" w:rsidRPr="000665B0">
        <w:t>the Add</w:t>
      </w:r>
      <w:r w:rsidRPr="000665B0">
        <w:rPr>
          <w:b/>
        </w:rPr>
        <w:t xml:space="preserve"> TSN H&amp;S</w:t>
      </w:r>
      <w:r w:rsidRPr="000665B0">
        <w:t xml:space="preserve"> </w:t>
      </w:r>
      <w:r w:rsidR="00A62D8B" w:rsidRPr="000665B0">
        <w:t xml:space="preserve">icon </w:t>
      </w:r>
      <w:r w:rsidR="00A62D8B" w:rsidRPr="000665B0">
        <w:rPr>
          <w:noProof/>
        </w:rPr>
        <w:drawing>
          <wp:inline distT="0" distB="0" distL="0" distR="0" wp14:anchorId="14962F52" wp14:editId="1BD5DD4C">
            <wp:extent cx="238125" cy="219075"/>
            <wp:effectExtent l="19050" t="0" r="9525" b="0"/>
            <wp:docPr id="1196"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cstate="print"/>
                    <a:srcRect/>
                    <a:stretch>
                      <a:fillRect/>
                    </a:stretch>
                  </pic:blipFill>
                  <pic:spPr bwMode="auto">
                    <a:xfrm>
                      <a:off x="0" y="0"/>
                      <a:ext cx="238125" cy="219075"/>
                    </a:xfrm>
                    <a:prstGeom prst="rect">
                      <a:avLst/>
                    </a:prstGeom>
                    <a:noFill/>
                    <a:ln w="9525">
                      <a:noFill/>
                      <a:miter lim="800000"/>
                      <a:headEnd/>
                      <a:tailEnd/>
                    </a:ln>
                  </pic:spPr>
                </pic:pic>
              </a:graphicData>
            </a:graphic>
          </wp:inline>
        </w:drawing>
      </w:r>
      <w:r w:rsidR="00A62D8B" w:rsidRPr="000665B0">
        <w:t xml:space="preserve"> in the </w:t>
      </w:r>
      <w:r w:rsidRPr="000665B0">
        <w:t xml:space="preserve">toolbar. Move the mouse over onto the Gantt Chart and </w:t>
      </w:r>
      <w:r w:rsidR="0037038E" w:rsidRPr="000665B0">
        <w:t>left-click</w:t>
      </w:r>
      <w:r w:rsidRPr="000665B0">
        <w:t xml:space="preserve"> on a Comms Enabled </w:t>
      </w:r>
      <w:r w:rsidR="004C34C6" w:rsidRPr="000665B0">
        <w:t>109E</w:t>
      </w:r>
      <w:r w:rsidRPr="000665B0">
        <w:t xml:space="preserve"> missile. A new H&amp;S message is placed on each click. When finished, toggle the H&amp;S tool bar button again. H&amp;S messages can be moved by dragging using the left mouse button. As the H&amp;S message is being dragged, a time tool tip is visible to the operator.</w:t>
      </w:r>
    </w:p>
    <w:p w14:paraId="3B00D2F4" w14:textId="15D34C18" w:rsidR="0078503C" w:rsidRPr="000665B0" w:rsidRDefault="00A62D8B" w:rsidP="00474A1F">
      <w:pPr>
        <w:pStyle w:val="BodyText"/>
        <w:tabs>
          <w:tab w:val="left" w:pos="720"/>
        </w:tabs>
        <w:spacing w:after="120"/>
      </w:pPr>
      <w:bookmarkStart w:id="6402" w:name="_Toc112733764"/>
      <w:r w:rsidRPr="000665B0">
        <w:lastRenderedPageBreak/>
        <w:t xml:space="preserve">Notes can be added by clicking on the </w:t>
      </w:r>
      <w:r w:rsidRPr="000665B0">
        <w:rPr>
          <w:b/>
        </w:rPr>
        <w:t>Notes</w:t>
      </w:r>
      <w:r w:rsidRPr="000665B0">
        <w:t xml:space="preserve"> icon </w:t>
      </w:r>
      <w:r w:rsidRPr="000665B0">
        <w:rPr>
          <w:noProof/>
        </w:rPr>
        <w:drawing>
          <wp:inline distT="0" distB="0" distL="0" distR="0" wp14:anchorId="4317C0BB" wp14:editId="769778F6">
            <wp:extent cx="209550" cy="142875"/>
            <wp:effectExtent l="19050" t="0" r="0" b="0"/>
            <wp:docPr id="1197"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cstate="print"/>
                    <a:srcRect/>
                    <a:stretch>
                      <a:fillRect/>
                    </a:stretch>
                  </pic:blipFill>
                  <pic:spPr bwMode="auto">
                    <a:xfrm>
                      <a:off x="0" y="0"/>
                      <a:ext cx="209550" cy="142875"/>
                    </a:xfrm>
                    <a:prstGeom prst="rect">
                      <a:avLst/>
                    </a:prstGeom>
                    <a:noFill/>
                    <a:ln w="9525">
                      <a:noFill/>
                      <a:miter lim="800000"/>
                      <a:headEnd/>
                      <a:tailEnd/>
                    </a:ln>
                  </pic:spPr>
                </pic:pic>
              </a:graphicData>
            </a:graphic>
          </wp:inline>
        </w:drawing>
      </w:r>
      <w:r w:rsidRPr="000665B0">
        <w:t xml:space="preserve"> in the toolbar. </w:t>
      </w:r>
      <w:r w:rsidR="0078503C" w:rsidRPr="000665B0">
        <w:t xml:space="preserve">Move the mouse over a missile or a </w:t>
      </w:r>
      <w:r w:rsidR="00E971E8" w:rsidRPr="000665B0">
        <w:t>FRU and</w:t>
      </w:r>
      <w:r w:rsidR="0078503C" w:rsidRPr="000665B0">
        <w:t xml:space="preserve"> </w:t>
      </w:r>
      <w:r w:rsidR="0037038E" w:rsidRPr="000665B0">
        <w:t>left-click</w:t>
      </w:r>
      <w:r w:rsidR="0078503C" w:rsidRPr="000665B0">
        <w:t xml:space="preserve"> at the desired location for the note. A balloon </w:t>
      </w:r>
      <w:r w:rsidR="00F32494" w:rsidRPr="000665B0">
        <w:t>is</w:t>
      </w:r>
      <w:r w:rsidR="0078503C" w:rsidRPr="000665B0">
        <w:t xml:space="preserve"> displayed for text to be entered </w:t>
      </w:r>
      <w:r w:rsidRPr="000665B0">
        <w:t>(</w:t>
      </w:r>
      <w:r w:rsidR="00900F42" w:rsidRPr="000665B0">
        <w:t>u</w:t>
      </w:r>
      <w:r w:rsidR="0078503C" w:rsidRPr="000665B0">
        <w:t>p to 128 characters</w:t>
      </w:r>
      <w:r w:rsidRPr="000665B0">
        <w:t>)</w:t>
      </w:r>
      <w:r w:rsidR="0078503C" w:rsidRPr="000665B0">
        <w:t xml:space="preserve">. Click the </w:t>
      </w:r>
      <w:r w:rsidR="009A1FDF" w:rsidRPr="000665B0">
        <w:rPr>
          <w:noProof/>
        </w:rPr>
        <w:drawing>
          <wp:inline distT="0" distB="0" distL="0" distR="0" wp14:anchorId="0001E66D" wp14:editId="2C085E3B">
            <wp:extent cx="180975" cy="171450"/>
            <wp:effectExtent l="19050" t="0" r="9525" b="0"/>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0078503C" w:rsidRPr="000665B0">
        <w:t xml:space="preserve"> when done entering text to accept the note. Click on </w:t>
      </w:r>
      <w:r w:rsidR="009A1FDF" w:rsidRPr="000665B0">
        <w:rPr>
          <w:noProof/>
        </w:rPr>
        <w:drawing>
          <wp:inline distT="0" distB="0" distL="0" distR="0" wp14:anchorId="4537FCD8" wp14:editId="5813CC08">
            <wp:extent cx="171450" cy="180975"/>
            <wp:effectExtent l="19050" t="0" r="0" b="0"/>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cstate="print"/>
                    <a:srcRect/>
                    <a:stretch>
                      <a:fillRect/>
                    </a:stretch>
                  </pic:blipFill>
                  <pic:spPr bwMode="auto">
                    <a:xfrm>
                      <a:off x="0" y="0"/>
                      <a:ext cx="171450" cy="180975"/>
                    </a:xfrm>
                    <a:prstGeom prst="rect">
                      <a:avLst/>
                    </a:prstGeom>
                    <a:noFill/>
                    <a:ln w="9525">
                      <a:noFill/>
                      <a:miter lim="800000"/>
                      <a:headEnd/>
                      <a:tailEnd/>
                    </a:ln>
                  </pic:spPr>
                </pic:pic>
              </a:graphicData>
            </a:graphic>
          </wp:inline>
        </w:drawing>
      </w:r>
      <w:r w:rsidR="0078503C" w:rsidRPr="000665B0">
        <w:t xml:space="preserve"> to cancel the note. A </w:t>
      </w:r>
      <w:r w:rsidR="009A1FDF" w:rsidRPr="000665B0">
        <w:rPr>
          <w:noProof/>
        </w:rPr>
        <w:drawing>
          <wp:inline distT="0" distB="0" distL="0" distR="0" wp14:anchorId="6095165D" wp14:editId="0A873D81">
            <wp:extent cx="209550" cy="142875"/>
            <wp:effectExtent l="19050" t="0" r="0" b="0"/>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cstate="print"/>
                    <a:srcRect/>
                    <a:stretch>
                      <a:fillRect/>
                    </a:stretch>
                  </pic:blipFill>
                  <pic:spPr bwMode="auto">
                    <a:xfrm>
                      <a:off x="0" y="0"/>
                      <a:ext cx="209550" cy="142875"/>
                    </a:xfrm>
                    <a:prstGeom prst="rect">
                      <a:avLst/>
                    </a:prstGeom>
                    <a:noFill/>
                    <a:ln w="9525">
                      <a:noFill/>
                      <a:miter lim="800000"/>
                      <a:headEnd/>
                      <a:tailEnd/>
                    </a:ln>
                  </pic:spPr>
                </pic:pic>
              </a:graphicData>
            </a:graphic>
          </wp:inline>
        </w:drawing>
      </w:r>
      <w:r w:rsidR="0078503C" w:rsidRPr="000665B0">
        <w:t xml:space="preserve"> icon shows the time slot the note was created on.</w:t>
      </w:r>
    </w:p>
    <w:p w14:paraId="29A9BA67" w14:textId="77777777" w:rsidR="0078503C" w:rsidRPr="000665B0" w:rsidRDefault="009A1FDF" w:rsidP="00C97DD2">
      <w:pPr>
        <w:pStyle w:val="BodyText"/>
        <w:tabs>
          <w:tab w:val="left" w:pos="720"/>
        </w:tabs>
        <w:spacing w:after="120"/>
        <w:jc w:val="center"/>
      </w:pPr>
      <w:r w:rsidRPr="000665B0">
        <w:rPr>
          <w:noProof/>
        </w:rPr>
        <w:drawing>
          <wp:inline distT="0" distB="0" distL="0" distR="0" wp14:anchorId="4157D063" wp14:editId="014F353D">
            <wp:extent cx="942975" cy="523875"/>
            <wp:effectExtent l="19050" t="0" r="9525" b="0"/>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cstate="print"/>
                    <a:srcRect/>
                    <a:stretch>
                      <a:fillRect/>
                    </a:stretch>
                  </pic:blipFill>
                  <pic:spPr bwMode="auto">
                    <a:xfrm>
                      <a:off x="0" y="0"/>
                      <a:ext cx="942975" cy="523875"/>
                    </a:xfrm>
                    <a:prstGeom prst="rect">
                      <a:avLst/>
                    </a:prstGeom>
                    <a:noFill/>
                    <a:ln w="9525">
                      <a:noFill/>
                      <a:miter lim="800000"/>
                      <a:headEnd/>
                      <a:tailEnd/>
                    </a:ln>
                  </pic:spPr>
                </pic:pic>
              </a:graphicData>
            </a:graphic>
          </wp:inline>
        </w:drawing>
      </w:r>
    </w:p>
    <w:p w14:paraId="6F60BA23" w14:textId="6F3CC517" w:rsidR="0078503C" w:rsidRPr="000665B0" w:rsidRDefault="0078503C" w:rsidP="00474A1F">
      <w:pPr>
        <w:pStyle w:val="BodyText"/>
        <w:tabs>
          <w:tab w:val="left" w:pos="720"/>
        </w:tabs>
        <w:spacing w:after="120"/>
      </w:pPr>
      <w:r w:rsidRPr="000665B0">
        <w:t xml:space="preserve">To show the note, </w:t>
      </w:r>
      <w:r w:rsidR="00A62D8B" w:rsidRPr="000665B0">
        <w:t>invoke the</w:t>
      </w:r>
      <w:r w:rsidRPr="000665B0">
        <w:t xml:space="preserve"> context menu</w:t>
      </w:r>
      <w:r w:rsidR="00A62D8B" w:rsidRPr="000665B0">
        <w:t xml:space="preserve"> (</w:t>
      </w:r>
      <w:r w:rsidR="00D71804" w:rsidRPr="000665B0">
        <w:t>right-click</w:t>
      </w:r>
      <w:r w:rsidR="00A62D8B" w:rsidRPr="000665B0">
        <w:t xml:space="preserve"> the mouse) and s</w:t>
      </w:r>
      <w:r w:rsidRPr="000665B0">
        <w:t xml:space="preserve">elect </w:t>
      </w:r>
      <w:r w:rsidRPr="000665B0">
        <w:rPr>
          <w:b/>
        </w:rPr>
        <w:t>Display</w:t>
      </w:r>
      <w:r w:rsidRPr="000665B0">
        <w:t xml:space="preserve">. The note will expand showing the text of the note. To close the note, click </w:t>
      </w:r>
      <w:r w:rsidR="009A1FDF" w:rsidRPr="000665B0">
        <w:rPr>
          <w:noProof/>
        </w:rPr>
        <w:drawing>
          <wp:inline distT="0" distB="0" distL="0" distR="0" wp14:anchorId="63322DF2" wp14:editId="56BA218D">
            <wp:extent cx="171450" cy="180975"/>
            <wp:effectExtent l="19050" t="0" r="0" b="0"/>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cstate="print"/>
                    <a:srcRect/>
                    <a:stretch>
                      <a:fillRect/>
                    </a:stretch>
                  </pic:blipFill>
                  <pic:spPr bwMode="auto">
                    <a:xfrm>
                      <a:off x="0" y="0"/>
                      <a:ext cx="171450" cy="180975"/>
                    </a:xfrm>
                    <a:prstGeom prst="rect">
                      <a:avLst/>
                    </a:prstGeom>
                    <a:noFill/>
                    <a:ln w="9525">
                      <a:noFill/>
                      <a:miter lim="800000"/>
                      <a:headEnd/>
                      <a:tailEnd/>
                    </a:ln>
                  </pic:spPr>
                </pic:pic>
              </a:graphicData>
            </a:graphic>
          </wp:inline>
        </w:drawing>
      </w:r>
      <w:r w:rsidRPr="000665B0">
        <w:t>.</w:t>
      </w:r>
    </w:p>
    <w:p w14:paraId="6CD1BDCF" w14:textId="104375DE" w:rsidR="0078503C" w:rsidRPr="000665B0" w:rsidRDefault="0078503C" w:rsidP="00474A1F">
      <w:pPr>
        <w:pStyle w:val="BodyText"/>
        <w:tabs>
          <w:tab w:val="left" w:pos="720"/>
        </w:tabs>
        <w:spacing w:after="120"/>
      </w:pPr>
      <w:r w:rsidRPr="000665B0">
        <w:t xml:space="preserve">To delete the note, </w:t>
      </w:r>
      <w:r w:rsidR="00A62D8B" w:rsidRPr="000665B0">
        <w:t>invoke the context menu (</w:t>
      </w:r>
      <w:r w:rsidR="00D71804" w:rsidRPr="000665B0">
        <w:t>right-click</w:t>
      </w:r>
      <w:r w:rsidR="00A62D8B" w:rsidRPr="000665B0">
        <w:t xml:space="preserve"> the mouse) and select</w:t>
      </w:r>
      <w:r w:rsidRPr="000665B0">
        <w:t xml:space="preserve"> </w:t>
      </w:r>
      <w:r w:rsidRPr="000665B0">
        <w:rPr>
          <w:b/>
        </w:rPr>
        <w:t>Delete</w:t>
      </w:r>
      <w:r w:rsidRPr="000665B0">
        <w:t xml:space="preserve">. The note </w:t>
      </w:r>
      <w:r w:rsidR="00F32494" w:rsidRPr="000665B0">
        <w:t>is</w:t>
      </w:r>
      <w:r w:rsidRPr="000665B0">
        <w:t xml:space="preserve"> deleted.</w:t>
      </w:r>
    </w:p>
    <w:p w14:paraId="456B9A05" w14:textId="77777777" w:rsidR="0078503C" w:rsidRPr="000665B0" w:rsidRDefault="0078503C" w:rsidP="00140970">
      <w:pPr>
        <w:pStyle w:val="BodyText"/>
        <w:tabs>
          <w:tab w:val="left" w:pos="720"/>
        </w:tabs>
        <w:spacing w:after="120"/>
      </w:pPr>
      <w:r w:rsidRPr="000665B0">
        <w:t>To move the note, hold down the left mouse button and drag the note to the desired time.</w:t>
      </w:r>
    </w:p>
    <w:p w14:paraId="4C009A57" w14:textId="77777777" w:rsidR="00140970" w:rsidRPr="000665B0" w:rsidRDefault="00140970" w:rsidP="00CB1647">
      <w:pPr>
        <w:pStyle w:val="BodyText"/>
        <w:tabs>
          <w:tab w:val="left" w:pos="720"/>
        </w:tabs>
        <w:spacing w:after="120"/>
      </w:pPr>
      <w:r w:rsidRPr="000665B0">
        <w:t>A context menu on the Missile Assignment List provides the ability to edit the missile’s timing and TSN Parameters.</w:t>
      </w:r>
      <w:r w:rsidR="00FC621E" w:rsidRPr="000665B0">
        <w:t xml:space="preserve"> A missile’s timing can also be changed </w:t>
      </w:r>
      <w:r w:rsidR="005B5D4F" w:rsidRPr="000665B0">
        <w:t>using</w:t>
      </w:r>
      <w:r w:rsidR="00FC621E" w:rsidRPr="000665B0">
        <w:t xml:space="preserve"> the </w:t>
      </w:r>
      <w:r w:rsidR="005B5D4F" w:rsidRPr="000665B0">
        <w:t>Gantt Chart</w:t>
      </w:r>
      <w:r w:rsidR="00FC621E" w:rsidRPr="000665B0">
        <w:t>.</w:t>
      </w:r>
    </w:p>
    <w:p w14:paraId="4E2DE45B" w14:textId="77777777" w:rsidR="00C45ACD" w:rsidRPr="000665B0" w:rsidRDefault="00C45ACD" w:rsidP="0045507C">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90"/>
        <w:jc w:val="center"/>
        <w:rPr>
          <w:b/>
        </w:rPr>
      </w:pPr>
      <w:r w:rsidRPr="000665B0">
        <w:rPr>
          <w:b/>
        </w:rPr>
        <w:t>Note:</w:t>
      </w:r>
    </w:p>
    <w:p w14:paraId="519E4E59" w14:textId="07C1C2A0" w:rsidR="00C45ACD" w:rsidRPr="000665B0" w:rsidRDefault="00C45ACD" w:rsidP="0045507C">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ind w:left="90"/>
        <w:rPr>
          <w:b/>
        </w:rPr>
      </w:pPr>
      <w:r w:rsidRPr="000665B0">
        <w:rPr>
          <w:b/>
        </w:rPr>
        <w:t xml:space="preserve">Timing for Spares and Dedicated Backups are set by the Primary assignment and when the primary assignment changes, these times are also changed. </w:t>
      </w:r>
      <w:r w:rsidR="004F14D5" w:rsidRPr="000665B0">
        <w:rPr>
          <w:b/>
        </w:rPr>
        <w:t>Thus,</w:t>
      </w:r>
      <w:r w:rsidRPr="000665B0">
        <w:rPr>
          <w:b/>
        </w:rPr>
        <w:t xml:space="preserve"> timing is not editable for Spares and Dedicated Backups.</w:t>
      </w:r>
    </w:p>
    <w:p w14:paraId="41309DA0" w14:textId="77777777" w:rsidR="00C45ACD" w:rsidRPr="000665B0" w:rsidRDefault="00C45ACD" w:rsidP="0045507C">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ind w:left="90"/>
        <w:rPr>
          <w:b/>
        </w:rPr>
      </w:pPr>
      <w:r w:rsidRPr="000665B0">
        <w:rPr>
          <w:b/>
        </w:rPr>
        <w:t xml:space="preserve">A Dedicated Backup’s timing type can be changed by doing the following: </w:t>
      </w:r>
    </w:p>
    <w:p w14:paraId="011BCF2E" w14:textId="77777777" w:rsidR="00C45ACD" w:rsidRPr="000665B0" w:rsidRDefault="00C45ACD" w:rsidP="0045507C">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ind w:left="90"/>
        <w:rPr>
          <w:b/>
        </w:rPr>
      </w:pPr>
      <w:r w:rsidRPr="000665B0">
        <w:rPr>
          <w:b/>
        </w:rPr>
        <w:t>1. Change the backup’s primary MS# to blank (this breaks the link),</w:t>
      </w:r>
    </w:p>
    <w:p w14:paraId="22E7D933" w14:textId="77777777" w:rsidR="00C45ACD" w:rsidRPr="000665B0" w:rsidRDefault="00C45ACD" w:rsidP="0045507C">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ind w:left="90"/>
        <w:rPr>
          <w:b/>
        </w:rPr>
      </w:pPr>
      <w:r w:rsidRPr="000665B0">
        <w:rPr>
          <w:b/>
        </w:rPr>
        <w:t>2. Change the backup’s timing type (its timing is now editable),</w:t>
      </w:r>
    </w:p>
    <w:p w14:paraId="338449ED" w14:textId="77777777" w:rsidR="00C45ACD" w:rsidRPr="000665B0" w:rsidRDefault="00C45ACD" w:rsidP="000B625E">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90"/>
        <w:rPr>
          <w:b/>
        </w:rPr>
      </w:pPr>
      <w:r w:rsidRPr="000665B0">
        <w:rPr>
          <w:b/>
        </w:rPr>
        <w:t>3. Change the backup’s primary MS# back to the original primary MS# (if the backup’s TGT time had been changed, it will be reset to match the primaries).</w:t>
      </w:r>
    </w:p>
    <w:p w14:paraId="7514EA9D" w14:textId="77777777" w:rsidR="00C45ACD" w:rsidRPr="000665B0" w:rsidRDefault="00C45ACD" w:rsidP="0045507C">
      <w:pPr>
        <w:pStyle w:val="BodyTextIndent2"/>
        <w:tabs>
          <w:tab w:val="left" w:pos="720"/>
        </w:tabs>
        <w:spacing w:after="0" w:line="240" w:lineRule="atLeast"/>
        <w:ind w:left="0"/>
      </w:pPr>
    </w:p>
    <w:p w14:paraId="3E79859B" w14:textId="77777777" w:rsidR="00C45ACD" w:rsidRPr="0045507C" w:rsidRDefault="00C45ACD" w:rsidP="00BB4EBE">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spacing w:after="0"/>
        <w:ind w:left="90"/>
        <w:jc w:val="center"/>
        <w:rPr>
          <w:b/>
        </w:rPr>
      </w:pPr>
      <w:r w:rsidRPr="0045507C">
        <w:rPr>
          <w:b/>
        </w:rPr>
        <w:t>Note:</w:t>
      </w:r>
    </w:p>
    <w:p w14:paraId="57075137" w14:textId="23FAB76D" w:rsidR="00C45ACD" w:rsidRPr="000665B0" w:rsidRDefault="00C45ACD" w:rsidP="00BB4EBE">
      <w:pPr>
        <w:keepNext/>
        <w:keepLines/>
        <w:pBdr>
          <w:top w:val="single" w:sz="12" w:space="1" w:color="auto"/>
          <w:left w:val="single" w:sz="12" w:space="4" w:color="auto"/>
          <w:bottom w:val="single" w:sz="12" w:space="1" w:color="auto"/>
          <w:right w:val="single" w:sz="12" w:space="4" w:color="auto"/>
        </w:pBdr>
        <w:shd w:val="clear" w:color="auto" w:fill="D9D9D9" w:themeFill="background1" w:themeFillShade="D9"/>
        <w:ind w:left="90"/>
        <w:jc w:val="center"/>
        <w:rPr>
          <w:b/>
        </w:rPr>
      </w:pPr>
      <w:r w:rsidRPr="000665B0">
        <w:rPr>
          <w:b/>
        </w:rPr>
        <w:t>When tasking TTWCS with a BLK III missile, the estimated TOL must take the BLK III spin-up time into consideration. Once TTWCS accepts the tasking, the</w:t>
      </w:r>
      <w:r w:rsidR="00B54FFB">
        <w:rPr>
          <w:b/>
        </w:rPr>
        <w:t xml:space="preserve"> TSC </w:t>
      </w:r>
      <w:r w:rsidRPr="000665B0">
        <w:rPr>
          <w:b/>
        </w:rPr>
        <w:t>could shift strike time earlier as required and send a revision out to the TTWCS FRU.</w:t>
      </w:r>
    </w:p>
    <w:p w14:paraId="4EC396E0" w14:textId="77777777" w:rsidR="00033253" w:rsidRPr="000665B0" w:rsidRDefault="00033253" w:rsidP="00CB1647">
      <w:pPr>
        <w:pStyle w:val="BodyText"/>
        <w:tabs>
          <w:tab w:val="left" w:pos="720"/>
        </w:tabs>
        <w:spacing w:after="120"/>
      </w:pPr>
      <w:r w:rsidRPr="000665B0">
        <w:t>To modify the time changes for specific missions</w:t>
      </w:r>
      <w:r w:rsidR="00FC621E" w:rsidRPr="000665B0">
        <w:t xml:space="preserve"> using the Missile Assignment List</w:t>
      </w:r>
      <w:r w:rsidRPr="000665B0">
        <w:t>:</w:t>
      </w:r>
    </w:p>
    <w:p w14:paraId="407FFECB" w14:textId="2E5F0A98" w:rsidR="00CB1647" w:rsidRPr="000665B0" w:rsidRDefault="00CB1647" w:rsidP="006D5A65">
      <w:pPr>
        <w:pStyle w:val="Heading1"/>
      </w:pPr>
      <w:r w:rsidRPr="000665B0">
        <w:lastRenderedPageBreak/>
        <w:t xml:space="preserve">Select </w:t>
      </w:r>
      <w:r w:rsidR="00C8760A" w:rsidRPr="000665B0">
        <w:t xml:space="preserve">one or multiple </w:t>
      </w:r>
      <w:r w:rsidRPr="000665B0">
        <w:t>missile</w:t>
      </w:r>
      <w:r w:rsidR="00C8760A" w:rsidRPr="000665B0">
        <w:t>s</w:t>
      </w:r>
      <w:r w:rsidR="00FC621E" w:rsidRPr="000665B0">
        <w:t xml:space="preserve"> from the Missile Assignment List</w:t>
      </w:r>
      <w:r w:rsidRPr="000665B0">
        <w:t>. Invoke the context menu (</w:t>
      </w:r>
      <w:r w:rsidR="00D71804" w:rsidRPr="000665B0">
        <w:t>right-click</w:t>
      </w:r>
      <w:r w:rsidRPr="000665B0">
        <w:t xml:space="preserve"> the mouse) and select</w:t>
      </w:r>
      <w:r w:rsidRPr="000665B0">
        <w:rPr>
          <w:bCs/>
        </w:rPr>
        <w:t xml:space="preserve"> Edit </w:t>
      </w:r>
      <w:r w:rsidRPr="000665B0">
        <w:sym w:font="Wingdings" w:char="F0E0"/>
      </w:r>
      <w:r w:rsidRPr="000665B0">
        <w:t xml:space="preserve"> </w:t>
      </w:r>
      <w:r w:rsidRPr="000665B0">
        <w:rPr>
          <w:bCs/>
        </w:rPr>
        <w:t>Time</w:t>
      </w:r>
      <w:r w:rsidRPr="000665B0">
        <w:t xml:space="preserve">. </w:t>
      </w:r>
    </w:p>
    <w:p w14:paraId="095E8F69" w14:textId="6CA66FF9" w:rsidR="00CB1647" w:rsidRPr="000665B0" w:rsidRDefault="00C13F83" w:rsidP="00CB1647">
      <w:pPr>
        <w:pStyle w:val="Number0205"/>
        <w:tabs>
          <w:tab w:val="left" w:pos="720"/>
        </w:tabs>
        <w:ind w:left="0" w:firstLine="0"/>
        <w:jc w:val="center"/>
      </w:pPr>
      <w:r w:rsidRPr="000665B0">
        <w:rPr>
          <w:noProof/>
        </w:rPr>
        <w:drawing>
          <wp:inline distT="0" distB="0" distL="0" distR="0" wp14:anchorId="139A1BDD" wp14:editId="194B4D88">
            <wp:extent cx="2743200" cy="2139696"/>
            <wp:effectExtent l="0" t="0" r="0" b="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43200" cy="2139696"/>
                    </a:xfrm>
                    <a:prstGeom prst="rect">
                      <a:avLst/>
                    </a:prstGeom>
                  </pic:spPr>
                </pic:pic>
              </a:graphicData>
            </a:graphic>
          </wp:inline>
        </w:drawing>
      </w:r>
    </w:p>
    <w:p w14:paraId="0BB06492" w14:textId="77777777" w:rsidR="00CB1647" w:rsidRPr="000665B0" w:rsidRDefault="00CB1647" w:rsidP="006D5A65">
      <w:pPr>
        <w:pStyle w:val="Heading1"/>
      </w:pPr>
      <w:r w:rsidRPr="000665B0">
        <w:t xml:space="preserve">The </w:t>
      </w:r>
      <w:r w:rsidRPr="000665B0">
        <w:rPr>
          <w:i/>
          <w:iCs/>
        </w:rPr>
        <w:t xml:space="preserve">Missile’s Time </w:t>
      </w:r>
      <w:r w:rsidRPr="000665B0">
        <w:t>window is displayed.</w:t>
      </w:r>
    </w:p>
    <w:p w14:paraId="090EFC13" w14:textId="48229799" w:rsidR="00CB1647" w:rsidRPr="000665B0" w:rsidRDefault="00C13F83" w:rsidP="00CB1647">
      <w:pPr>
        <w:tabs>
          <w:tab w:val="left" w:pos="720"/>
        </w:tabs>
        <w:jc w:val="center"/>
      </w:pPr>
      <w:r w:rsidRPr="000665B0">
        <w:rPr>
          <w:noProof/>
        </w:rPr>
        <w:drawing>
          <wp:inline distT="0" distB="0" distL="0" distR="0" wp14:anchorId="6204EA01" wp14:editId="4CA97C59">
            <wp:extent cx="2743200" cy="1298448"/>
            <wp:effectExtent l="0" t="0" r="0" b="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298448"/>
                    </a:xfrm>
                    <a:prstGeom prst="rect">
                      <a:avLst/>
                    </a:prstGeom>
                  </pic:spPr>
                </pic:pic>
              </a:graphicData>
            </a:graphic>
          </wp:inline>
        </w:drawing>
      </w:r>
    </w:p>
    <w:p w14:paraId="1EE91FE0" w14:textId="77777777" w:rsidR="00CB1647" w:rsidRPr="000665B0" w:rsidRDefault="00CB1647" w:rsidP="006D5A65">
      <w:pPr>
        <w:pStyle w:val="Heading1"/>
      </w:pPr>
      <w:r w:rsidRPr="000665B0">
        <w:t xml:space="preserve">Use the </w:t>
      </w:r>
      <w:r w:rsidRPr="000665B0">
        <w:sym w:font="Wingdings 3" w:char="F071"/>
      </w:r>
      <w:r w:rsidRPr="000665B0">
        <w:t xml:space="preserve"> button to select </w:t>
      </w:r>
      <w:r w:rsidRPr="000665B0">
        <w:rPr>
          <w:bCs/>
        </w:rPr>
        <w:t xml:space="preserve">FWP </w:t>
      </w:r>
      <w:r w:rsidRPr="000665B0">
        <w:t>or Time of Launch (</w:t>
      </w:r>
      <w:r w:rsidRPr="000665B0">
        <w:rPr>
          <w:bCs/>
        </w:rPr>
        <w:t xml:space="preserve">TOL) </w:t>
      </w:r>
      <w:r w:rsidRPr="000665B0">
        <w:t xml:space="preserve">from the </w:t>
      </w:r>
      <w:r w:rsidRPr="000665B0">
        <w:rPr>
          <w:bCs/>
        </w:rPr>
        <w:t>Type</w:t>
      </w:r>
      <w:r w:rsidRPr="000665B0">
        <w:t xml:space="preserve"> menu. </w:t>
      </w:r>
    </w:p>
    <w:p w14:paraId="707885FA" w14:textId="77777777" w:rsidR="00CB1647" w:rsidRPr="000665B0" w:rsidRDefault="00CB1647" w:rsidP="006D5A65">
      <w:pPr>
        <w:pStyle w:val="Heading1"/>
      </w:pPr>
      <w:r w:rsidRPr="000665B0">
        <w:t xml:space="preserve">Use the </w:t>
      </w:r>
      <w:r w:rsidRPr="000665B0">
        <w:sym w:font="Wingdings 3" w:char="F071"/>
      </w:r>
      <w:r w:rsidRPr="000665B0">
        <w:t xml:space="preserve"> button to modify the </w:t>
      </w:r>
      <w:r w:rsidRPr="000665B0">
        <w:rPr>
          <w:bCs/>
        </w:rPr>
        <w:t>Assigned Time</w:t>
      </w:r>
      <w:r w:rsidRPr="000665B0">
        <w:t xml:space="preserve"> or directly type it in the field.</w:t>
      </w:r>
    </w:p>
    <w:p w14:paraId="5AB8AB19" w14:textId="77777777" w:rsidR="00CB1647" w:rsidRPr="000665B0" w:rsidRDefault="00CB1647" w:rsidP="006D5A65">
      <w:pPr>
        <w:pStyle w:val="Heading1"/>
      </w:pPr>
      <w:r w:rsidRPr="000665B0">
        <w:rPr>
          <w:bCs/>
        </w:rPr>
        <w:t xml:space="preserve">Delta </w:t>
      </w:r>
      <w:r w:rsidRPr="000665B0">
        <w:t>is for changes in hours, minutes, and seconds. Changes are entered directly in the field. Assigned time will automatically re-calculate estimated launch time.</w:t>
      </w:r>
    </w:p>
    <w:p w14:paraId="7988D1D8" w14:textId="77777777" w:rsidR="00CB1647" w:rsidRPr="000665B0" w:rsidRDefault="00CB1647" w:rsidP="006D5A65">
      <w:pPr>
        <w:pStyle w:val="Heading1"/>
      </w:pPr>
      <w:r w:rsidRPr="000665B0">
        <w:t>To freeze time changes,</w:t>
      </w:r>
      <w:r w:rsidRPr="000665B0">
        <w:rPr>
          <w:bCs/>
        </w:rPr>
        <w:t xml:space="preserve"> select the Locked</w:t>
      </w:r>
      <w:r w:rsidRPr="000665B0">
        <w:t xml:space="preserve"> box.</w:t>
      </w:r>
    </w:p>
    <w:p w14:paraId="10E73DAA" w14:textId="77777777" w:rsidR="00CB1647" w:rsidRPr="000665B0" w:rsidRDefault="00CB1647" w:rsidP="006D5A65">
      <w:pPr>
        <w:pStyle w:val="Heading1"/>
      </w:pPr>
      <w:r w:rsidRPr="000665B0">
        <w:t xml:space="preserve">Click the </w:t>
      </w:r>
      <w:r w:rsidRPr="000665B0">
        <w:rPr>
          <w:bCs/>
        </w:rPr>
        <w:t>OK</w:t>
      </w:r>
      <w:r w:rsidRPr="000665B0">
        <w:t xml:space="preserve"> button.</w:t>
      </w:r>
    </w:p>
    <w:p w14:paraId="12354F58" w14:textId="77777777" w:rsidR="00FC621E" w:rsidRPr="000665B0" w:rsidRDefault="00FC621E" w:rsidP="00FC621E">
      <w:pPr>
        <w:pStyle w:val="BodyText"/>
        <w:tabs>
          <w:tab w:val="left" w:pos="720"/>
        </w:tabs>
        <w:spacing w:after="120"/>
      </w:pPr>
      <w:r w:rsidRPr="000665B0">
        <w:t xml:space="preserve">To modify the time changes for specific missions using the </w:t>
      </w:r>
      <w:r w:rsidR="005B5D4F" w:rsidRPr="000665B0">
        <w:t>Gantt Chart</w:t>
      </w:r>
      <w:r w:rsidRPr="000665B0">
        <w:t>:</w:t>
      </w:r>
    </w:p>
    <w:p w14:paraId="7A4902A1" w14:textId="1537DAA6" w:rsidR="00442F16" w:rsidRPr="000665B0" w:rsidRDefault="00FC621E" w:rsidP="006D5A65">
      <w:pPr>
        <w:pStyle w:val="Heading1"/>
      </w:pPr>
      <w:r w:rsidRPr="000665B0">
        <w:t>Click on either the green Start icon or Target icon for the selected missile. The selected icon becomes lighter in color.</w:t>
      </w:r>
    </w:p>
    <w:p w14:paraId="63D5800A" w14:textId="5DFFB213" w:rsidR="00FC621E" w:rsidRPr="000665B0" w:rsidRDefault="00650685" w:rsidP="00FC621E">
      <w:pPr>
        <w:tabs>
          <w:tab w:val="left" w:pos="720"/>
        </w:tabs>
        <w:jc w:val="center"/>
      </w:pPr>
      <w:r w:rsidRPr="000665B0">
        <w:rPr>
          <w:noProof/>
        </w:rPr>
        <w:drawing>
          <wp:inline distT="0" distB="0" distL="0" distR="0" wp14:anchorId="6DD99B96" wp14:editId="5D155514">
            <wp:extent cx="3154680" cy="512064"/>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3154680" cy="512064"/>
                    </a:xfrm>
                    <a:prstGeom prst="rect">
                      <a:avLst/>
                    </a:prstGeom>
                    <a:ln>
                      <a:noFill/>
                    </a:ln>
                    <a:extLst>
                      <a:ext uri="{53640926-AAD7-44D8-BBD7-CCE9431645EC}">
                        <a14:shadowObscured xmlns:a14="http://schemas.microsoft.com/office/drawing/2010/main"/>
                      </a:ext>
                    </a:extLst>
                  </pic:spPr>
                </pic:pic>
              </a:graphicData>
            </a:graphic>
          </wp:inline>
        </w:drawing>
      </w:r>
    </w:p>
    <w:p w14:paraId="109DF81F" w14:textId="19AEF8EA" w:rsidR="00FC621E" w:rsidRPr="000665B0" w:rsidRDefault="00FC621E" w:rsidP="006D5A65">
      <w:pPr>
        <w:pStyle w:val="Heading1"/>
      </w:pPr>
      <w:r w:rsidRPr="000665B0">
        <w:lastRenderedPageBreak/>
        <w:t xml:space="preserve">Hold down the left mouse button and drag the icon to the left or right. The new TOL, TOA, and TOT </w:t>
      </w:r>
      <w:r w:rsidR="006F4ACC" w:rsidRPr="000665B0">
        <w:t>are</w:t>
      </w:r>
      <w:r w:rsidRPr="000665B0">
        <w:t xml:space="preserve"> displayed </w:t>
      </w:r>
      <w:r w:rsidR="00442F16" w:rsidRPr="000665B0">
        <w:t>above the icon</w:t>
      </w:r>
      <w:r w:rsidRPr="000665B0">
        <w:t>.</w:t>
      </w:r>
    </w:p>
    <w:p w14:paraId="174473BD" w14:textId="355F7B9D" w:rsidR="00FC621E" w:rsidRPr="000665B0" w:rsidRDefault="00650685" w:rsidP="00FC621E">
      <w:pPr>
        <w:tabs>
          <w:tab w:val="left" w:pos="720"/>
        </w:tabs>
        <w:jc w:val="center"/>
      </w:pPr>
      <w:r w:rsidRPr="000665B0">
        <w:rPr>
          <w:noProof/>
        </w:rPr>
        <w:drawing>
          <wp:inline distT="0" distB="0" distL="0" distR="0" wp14:anchorId="7267DBC9" wp14:editId="2574044D">
            <wp:extent cx="2286000" cy="384048"/>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384048"/>
                    </a:xfrm>
                    <a:prstGeom prst="rect">
                      <a:avLst/>
                    </a:prstGeom>
                  </pic:spPr>
                </pic:pic>
              </a:graphicData>
            </a:graphic>
          </wp:inline>
        </w:drawing>
      </w:r>
    </w:p>
    <w:p w14:paraId="3818CF29" w14:textId="2F5418D7" w:rsidR="00FC621E" w:rsidRPr="000665B0" w:rsidRDefault="00FC621E" w:rsidP="006D5A65">
      <w:pPr>
        <w:pStyle w:val="Heading1"/>
      </w:pPr>
      <w:r w:rsidRPr="000665B0">
        <w:t xml:space="preserve">When the desired time is reached, stop the </w:t>
      </w:r>
      <w:r w:rsidR="00D20F78" w:rsidRPr="000665B0">
        <w:t>mouse,</w:t>
      </w:r>
      <w:r w:rsidRPr="000665B0">
        <w:t xml:space="preserve"> and release the left mouse button. The </w:t>
      </w:r>
      <w:r w:rsidRPr="000665B0">
        <w:rPr>
          <w:i/>
        </w:rPr>
        <w:t>Shift Missile Time</w:t>
      </w:r>
      <w:r w:rsidRPr="000665B0">
        <w:t xml:space="preserve"> window appears. Click Yes to accept the revised time or No to cancel the </w:t>
      </w:r>
      <w:r w:rsidR="00A46C82" w:rsidRPr="000665B0">
        <w:t>time shift</w:t>
      </w:r>
      <w:r w:rsidRPr="000665B0">
        <w:t>.</w:t>
      </w:r>
    </w:p>
    <w:p w14:paraId="2AD025E6" w14:textId="2B16016A" w:rsidR="00FC621E" w:rsidRPr="000665B0" w:rsidRDefault="00650685" w:rsidP="00C45ACD">
      <w:pPr>
        <w:pStyle w:val="BodyText"/>
        <w:spacing w:after="120"/>
        <w:jc w:val="center"/>
      </w:pPr>
      <w:r w:rsidRPr="000665B0">
        <w:rPr>
          <w:noProof/>
        </w:rPr>
        <w:drawing>
          <wp:inline distT="0" distB="0" distL="0" distR="0" wp14:anchorId="0F541BD4" wp14:editId="437D8B71">
            <wp:extent cx="3154680" cy="1106424"/>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54680" cy="1106424"/>
                    </a:xfrm>
                    <a:prstGeom prst="rect">
                      <a:avLst/>
                    </a:prstGeom>
                  </pic:spPr>
                </pic:pic>
              </a:graphicData>
            </a:graphic>
          </wp:inline>
        </w:drawing>
      </w:r>
    </w:p>
    <w:p w14:paraId="0E4A9F68" w14:textId="77777777" w:rsidR="00FC621E" w:rsidRPr="000665B0" w:rsidRDefault="00C45ACD" w:rsidP="000A2C95">
      <w:pPr>
        <w:pStyle w:val="BodyText"/>
        <w:keepNext/>
        <w:tabs>
          <w:tab w:val="left" w:pos="720"/>
        </w:tabs>
        <w:spacing w:after="120"/>
      </w:pPr>
      <w:r w:rsidRPr="000665B0">
        <w:t>To modify the TSN Parameters setting using the Missile Assignment List:</w:t>
      </w:r>
    </w:p>
    <w:p w14:paraId="5FD20AC2" w14:textId="49F5C779" w:rsidR="00C45ACD" w:rsidRPr="000665B0" w:rsidRDefault="00C45ACD" w:rsidP="006D5A65">
      <w:pPr>
        <w:pStyle w:val="Heading1"/>
      </w:pPr>
      <w:r w:rsidRPr="000665B0">
        <w:t>Select a missile from the Missile Assignment List. Invoke the context menu (</w:t>
      </w:r>
      <w:r w:rsidR="00D71804" w:rsidRPr="000665B0">
        <w:t>right-click</w:t>
      </w:r>
      <w:r w:rsidRPr="000665B0">
        <w:t xml:space="preserve"> the mouse) and select</w:t>
      </w:r>
      <w:r w:rsidRPr="000665B0">
        <w:rPr>
          <w:bCs/>
        </w:rPr>
        <w:t xml:space="preserve"> Edit </w:t>
      </w:r>
      <w:r w:rsidRPr="000665B0">
        <w:sym w:font="Wingdings" w:char="F0E0"/>
      </w:r>
      <w:r w:rsidRPr="000665B0">
        <w:t xml:space="preserve"> </w:t>
      </w:r>
      <w:r w:rsidRPr="000665B0">
        <w:rPr>
          <w:bCs/>
        </w:rPr>
        <w:t>TSN Parameters</w:t>
      </w:r>
      <w:r w:rsidRPr="000665B0">
        <w:t xml:space="preserve">. </w:t>
      </w:r>
    </w:p>
    <w:p w14:paraId="17F3943D" w14:textId="1CFA030C" w:rsidR="00C45ACD" w:rsidRPr="000665B0" w:rsidRDefault="00177B71" w:rsidP="00C45ACD">
      <w:pPr>
        <w:pStyle w:val="Number0205"/>
        <w:tabs>
          <w:tab w:val="left" w:pos="720"/>
        </w:tabs>
        <w:ind w:left="0" w:firstLine="0"/>
        <w:jc w:val="center"/>
      </w:pPr>
      <w:r w:rsidRPr="000665B0">
        <w:rPr>
          <w:noProof/>
        </w:rPr>
        <w:drawing>
          <wp:inline distT="0" distB="0" distL="0" distR="0" wp14:anchorId="3F23E74C" wp14:editId="1C59D9E0">
            <wp:extent cx="3200400" cy="1600200"/>
            <wp:effectExtent l="0" t="0" r="0" b="0"/>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600200"/>
                    </a:xfrm>
                    <a:prstGeom prst="rect">
                      <a:avLst/>
                    </a:prstGeom>
                  </pic:spPr>
                </pic:pic>
              </a:graphicData>
            </a:graphic>
          </wp:inline>
        </w:drawing>
      </w:r>
    </w:p>
    <w:p w14:paraId="768AA0E1" w14:textId="77777777" w:rsidR="00C45ACD" w:rsidRPr="000665B0" w:rsidRDefault="00C45ACD" w:rsidP="006D5A65">
      <w:pPr>
        <w:pStyle w:val="Heading1"/>
      </w:pPr>
      <w:r w:rsidRPr="000665B0">
        <w:lastRenderedPageBreak/>
        <w:t xml:space="preserve">The </w:t>
      </w:r>
      <w:r w:rsidRPr="000665B0">
        <w:rPr>
          <w:i/>
          <w:iCs/>
        </w:rPr>
        <w:t xml:space="preserve">Missile Parameters </w:t>
      </w:r>
      <w:r w:rsidRPr="000665B0">
        <w:t>window is displayed.</w:t>
      </w:r>
    </w:p>
    <w:p w14:paraId="3F4AC4D6" w14:textId="5F14F585" w:rsidR="00C45ACD" w:rsidRPr="000665B0" w:rsidRDefault="000C72BB" w:rsidP="00C45ACD">
      <w:pPr>
        <w:pStyle w:val="BodyText"/>
        <w:tabs>
          <w:tab w:val="left" w:pos="720"/>
        </w:tabs>
        <w:spacing w:after="120"/>
        <w:jc w:val="center"/>
      </w:pPr>
      <w:r w:rsidRPr="000665B0">
        <w:rPr>
          <w:noProof/>
        </w:rPr>
        <w:drawing>
          <wp:inline distT="0" distB="0" distL="0" distR="0" wp14:anchorId="51F76D57" wp14:editId="5ABC9BCC">
            <wp:extent cx="4114800" cy="2834640"/>
            <wp:effectExtent l="0" t="0" r="0" b="3810"/>
            <wp:docPr id="1658" name="Picture 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834640"/>
                    </a:xfrm>
                    <a:prstGeom prst="rect">
                      <a:avLst/>
                    </a:prstGeom>
                  </pic:spPr>
                </pic:pic>
              </a:graphicData>
            </a:graphic>
          </wp:inline>
        </w:drawing>
      </w:r>
    </w:p>
    <w:p w14:paraId="326E0B34" w14:textId="10A58BDE" w:rsidR="00C45ACD" w:rsidRDefault="00C45ACD" w:rsidP="006D5A65">
      <w:pPr>
        <w:pStyle w:val="Heading1"/>
      </w:pPr>
      <w:r w:rsidRPr="000665B0">
        <w:t>Change to the desired parameters</w:t>
      </w:r>
      <w:r w:rsidR="00177B71" w:rsidRPr="000665B0">
        <w:t xml:space="preserve"> and click OK</w:t>
      </w:r>
      <w:r w:rsidRPr="000665B0">
        <w:t>.</w:t>
      </w:r>
    </w:p>
    <w:p w14:paraId="198BE649" w14:textId="77777777" w:rsidR="0045507C" w:rsidRPr="0045507C" w:rsidRDefault="0045507C" w:rsidP="000B625E">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bCs/>
        </w:rPr>
      </w:pPr>
      <w:r w:rsidRPr="0045507C">
        <w:rPr>
          <w:b/>
          <w:bCs/>
        </w:rPr>
        <w:t>Note:</w:t>
      </w:r>
    </w:p>
    <w:p w14:paraId="39F3758D" w14:textId="09A3F11A" w:rsidR="0045507C" w:rsidRPr="000B625E" w:rsidRDefault="0045507C" w:rsidP="000B625E">
      <w:pPr>
        <w:keepNext/>
        <w:keepLines/>
        <w:pBdr>
          <w:top w:val="single" w:sz="12" w:space="1" w:color="auto"/>
          <w:left w:val="single" w:sz="12" w:space="4" w:color="auto"/>
          <w:bottom w:val="single" w:sz="12" w:space="1" w:color="auto"/>
          <w:right w:val="single" w:sz="12" w:space="4" w:color="auto"/>
        </w:pBdr>
        <w:shd w:val="clear" w:color="auto" w:fill="D9D9D9"/>
        <w:jc w:val="center"/>
        <w:rPr>
          <w:b/>
          <w:bCs/>
        </w:rPr>
      </w:pPr>
      <w:r w:rsidRPr="0045507C">
        <w:rPr>
          <w:b/>
          <w:bCs/>
        </w:rPr>
        <w:t>To receive confirmation of branch changes made in response to IMMMs sent to the missile, the Branch Change checkbox under Event Reporting in the Missile Reporting State pane must be checked.</w:t>
      </w:r>
    </w:p>
    <w:p w14:paraId="452C35FA" w14:textId="72177D0E" w:rsidR="008B74FB" w:rsidRPr="000665B0" w:rsidRDefault="00A96B22" w:rsidP="00CB3E29">
      <w:pPr>
        <w:pStyle w:val="BodyTextIndent2"/>
        <w:keepNext/>
        <w:tabs>
          <w:tab w:val="left" w:pos="720"/>
        </w:tabs>
        <w:spacing w:line="240" w:lineRule="auto"/>
        <w:ind w:left="0"/>
        <w:rPr>
          <w:b/>
        </w:rPr>
      </w:pPr>
      <w:bookmarkStart w:id="6403" w:name="_5.37.6.1.15.1_Gantt_Missile_Identif"/>
      <w:bookmarkStart w:id="6404" w:name="_Toc164499453"/>
      <w:bookmarkStart w:id="6405" w:name="_Toc289328875"/>
      <w:bookmarkEnd w:id="6403"/>
      <w:r w:rsidRPr="000665B0">
        <w:rPr>
          <w:b/>
        </w:rPr>
        <w:t>Switch Network</w:t>
      </w:r>
      <w:r w:rsidR="008B74FB" w:rsidRPr="000665B0">
        <w:rPr>
          <w:b/>
        </w:rPr>
        <w:t xml:space="preserve"> </w:t>
      </w:r>
      <w:r w:rsidR="00CA7A3B" w:rsidRPr="000665B0">
        <w:rPr>
          <w:b/>
        </w:rPr>
        <w:t xml:space="preserve">to </w:t>
      </w:r>
      <w:r w:rsidRPr="000665B0">
        <w:rPr>
          <w:b/>
        </w:rPr>
        <w:t>ACA/DAMA</w:t>
      </w:r>
    </w:p>
    <w:p w14:paraId="4C1F8765" w14:textId="77777777" w:rsidR="008B74FB" w:rsidRPr="000665B0" w:rsidRDefault="008B74FB" w:rsidP="00CB3E29">
      <w:pPr>
        <w:pStyle w:val="BodyTextIndent2"/>
        <w:keepNext/>
        <w:tabs>
          <w:tab w:val="left" w:pos="720"/>
        </w:tabs>
        <w:spacing w:line="240" w:lineRule="auto"/>
        <w:ind w:left="0"/>
      </w:pPr>
      <w:r w:rsidRPr="000665B0">
        <w:t xml:space="preserve">For </w:t>
      </w:r>
      <w:r w:rsidR="00A96B22" w:rsidRPr="000665B0">
        <w:t>109E</w:t>
      </w:r>
      <w:r w:rsidRPr="000665B0">
        <w:t xml:space="preserve"> missile assignments, the TSN type can be </w:t>
      </w:r>
      <w:r w:rsidR="00A96B22" w:rsidRPr="000665B0">
        <w:t>switched</w:t>
      </w:r>
      <w:r w:rsidRPr="000665B0">
        <w:t xml:space="preserve"> as follows:</w:t>
      </w:r>
    </w:p>
    <w:p w14:paraId="709A03C8" w14:textId="77777777" w:rsidR="008B74FB" w:rsidRPr="000665B0" w:rsidRDefault="008B74FB" w:rsidP="006D5A65">
      <w:pPr>
        <w:pStyle w:val="Heading1"/>
      </w:pPr>
      <w:r w:rsidRPr="000665B0">
        <w:t xml:space="preserve">When all items selected are ACA, the TSN type can be </w:t>
      </w:r>
      <w:r w:rsidR="00A96B22" w:rsidRPr="000665B0">
        <w:t>switched</w:t>
      </w:r>
      <w:r w:rsidRPr="000665B0">
        <w:t xml:space="preserve"> to DAMA.</w:t>
      </w:r>
    </w:p>
    <w:p w14:paraId="5F90048B" w14:textId="77777777" w:rsidR="008B74FB" w:rsidRPr="000665B0" w:rsidRDefault="008B74FB" w:rsidP="006D5A65">
      <w:pPr>
        <w:pStyle w:val="Heading1"/>
      </w:pPr>
      <w:r w:rsidRPr="000665B0">
        <w:t xml:space="preserve">When all items selected are DAMA, the TSN type can be </w:t>
      </w:r>
      <w:r w:rsidR="00A96B22" w:rsidRPr="000665B0">
        <w:t>switched</w:t>
      </w:r>
      <w:r w:rsidRPr="000665B0">
        <w:t xml:space="preserve"> to ACA.</w:t>
      </w:r>
    </w:p>
    <w:p w14:paraId="330B301F" w14:textId="5BCD89E0" w:rsidR="008B74FB" w:rsidRPr="000665B0" w:rsidRDefault="008B74FB" w:rsidP="006D5A65">
      <w:pPr>
        <w:pStyle w:val="Heading1"/>
      </w:pPr>
      <w:r w:rsidRPr="000665B0">
        <w:t xml:space="preserve">When the items selected are a mixture of DAMA and ACA, the </w:t>
      </w:r>
      <w:r w:rsidR="00A96B22" w:rsidRPr="000665B0">
        <w:t xml:space="preserve">Switch Network </w:t>
      </w:r>
      <w:r w:rsidRPr="000665B0">
        <w:t>menu is not enabled.</w:t>
      </w:r>
    </w:p>
    <w:p w14:paraId="3FE86B4F" w14:textId="5C983B09" w:rsidR="00A1292F" w:rsidRPr="000665B0" w:rsidRDefault="00A1292F" w:rsidP="006D5A65">
      <w:pPr>
        <w:pStyle w:val="Heading1"/>
      </w:pPr>
      <w:r w:rsidRPr="000665B0">
        <w:t xml:space="preserve">If one or more of the items selected is </w:t>
      </w:r>
      <w:r w:rsidR="00DA0A5C">
        <w:t>109E ACP</w:t>
      </w:r>
      <w:r w:rsidR="00150E0F">
        <w:t>,</w:t>
      </w:r>
      <w:r w:rsidR="00DA0A5C">
        <w:t xml:space="preserve"> </w:t>
      </w:r>
      <w:r w:rsidRPr="000665B0">
        <w:t>MSTM,</w:t>
      </w:r>
      <w:r w:rsidR="00150E0F">
        <w:t xml:space="preserve"> 109M,</w:t>
      </w:r>
      <w:r w:rsidR="004C23B3">
        <w:t xml:space="preserve"> or ACP2</w:t>
      </w:r>
      <w:r w:rsidRPr="000665B0">
        <w:t xml:space="preserve"> the Switch Network menu is not enabled.</w:t>
      </w:r>
    </w:p>
    <w:p w14:paraId="4F41F71E" w14:textId="77777777" w:rsidR="008B74FB" w:rsidRPr="000665B0" w:rsidRDefault="008B74FB" w:rsidP="006D5A65">
      <w:pPr>
        <w:pStyle w:val="Heading1"/>
      </w:pPr>
      <w:r w:rsidRPr="000665B0">
        <w:t>The menu is only enabled if the selected missiles allow for using any capable missile.</w:t>
      </w:r>
    </w:p>
    <w:p w14:paraId="30B21C48" w14:textId="77777777" w:rsidR="008B74FB" w:rsidRPr="000665B0" w:rsidRDefault="008B74FB" w:rsidP="00681095">
      <w:pPr>
        <w:pStyle w:val="BodyTextIndent2"/>
        <w:keepNext/>
        <w:tabs>
          <w:tab w:val="left" w:pos="720"/>
        </w:tabs>
        <w:spacing w:line="240" w:lineRule="auto"/>
        <w:ind w:left="0"/>
      </w:pPr>
      <w:r w:rsidRPr="000665B0">
        <w:t xml:space="preserve">To </w:t>
      </w:r>
      <w:r w:rsidR="00A96B22" w:rsidRPr="000665B0">
        <w:t>switch</w:t>
      </w:r>
      <w:r w:rsidRPr="000665B0">
        <w:t xml:space="preserve"> the </w:t>
      </w:r>
      <w:r w:rsidR="00A96B22" w:rsidRPr="000665B0">
        <w:t>network</w:t>
      </w:r>
      <w:r w:rsidRPr="000665B0">
        <w:t xml:space="preserve"> type:</w:t>
      </w:r>
    </w:p>
    <w:p w14:paraId="3BF3BC97" w14:textId="77777777" w:rsidR="008B74FB" w:rsidRPr="000665B0" w:rsidRDefault="008B74FB" w:rsidP="006D5A65">
      <w:pPr>
        <w:pStyle w:val="Heading1"/>
      </w:pPr>
      <w:r w:rsidRPr="000665B0">
        <w:t xml:space="preserve">Select the </w:t>
      </w:r>
      <w:r w:rsidR="00A96B22" w:rsidRPr="000665B0">
        <w:t>109E</w:t>
      </w:r>
      <w:r w:rsidRPr="000665B0">
        <w:t xml:space="preserve"> Comms Enabled missile(s).</w:t>
      </w:r>
    </w:p>
    <w:p w14:paraId="1096BCCF" w14:textId="711AC33E" w:rsidR="008B74FB" w:rsidRPr="000665B0" w:rsidRDefault="008B74FB" w:rsidP="006D5A65">
      <w:pPr>
        <w:pStyle w:val="Heading1"/>
      </w:pPr>
      <w:r w:rsidRPr="000665B0">
        <w:t>Invoke the context menu (</w:t>
      </w:r>
      <w:r w:rsidR="00D71804" w:rsidRPr="000665B0">
        <w:t>right-click</w:t>
      </w:r>
      <w:r w:rsidRPr="000665B0">
        <w:t xml:space="preserve"> the mouse) and select</w:t>
      </w:r>
      <w:r w:rsidRPr="000665B0">
        <w:rPr>
          <w:bCs/>
        </w:rPr>
        <w:t xml:space="preserve"> Edit </w:t>
      </w:r>
      <w:r w:rsidRPr="000665B0">
        <w:sym w:font="Wingdings" w:char="F0E0"/>
      </w:r>
      <w:r w:rsidRPr="000665B0">
        <w:t xml:space="preserve"> </w:t>
      </w:r>
      <w:r w:rsidRPr="000665B0">
        <w:rPr>
          <w:bCs/>
        </w:rPr>
        <w:t xml:space="preserve">Switch Network to ACA or </w:t>
      </w:r>
      <w:r w:rsidR="00A1292F" w:rsidRPr="000665B0">
        <w:rPr>
          <w:bCs/>
        </w:rPr>
        <w:t xml:space="preserve">Switch Network to </w:t>
      </w:r>
      <w:r w:rsidRPr="000665B0">
        <w:rPr>
          <w:bCs/>
        </w:rPr>
        <w:t xml:space="preserve">DAMA. </w:t>
      </w:r>
    </w:p>
    <w:p w14:paraId="01D5FD69" w14:textId="77777777" w:rsidR="008B74FB" w:rsidRPr="000665B0" w:rsidRDefault="008B74FB" w:rsidP="008B74FB">
      <w:pPr>
        <w:pStyle w:val="BodyTextIndent2"/>
        <w:tabs>
          <w:tab w:val="left" w:pos="720"/>
        </w:tabs>
        <w:spacing w:line="240" w:lineRule="auto"/>
        <w:ind w:left="720"/>
        <w:rPr>
          <w:b/>
        </w:rPr>
      </w:pPr>
      <w:r w:rsidRPr="000665B0">
        <w:t xml:space="preserve">Before the </w:t>
      </w:r>
      <w:r w:rsidR="00A96B22" w:rsidRPr="000665B0">
        <w:t>switch</w:t>
      </w:r>
      <w:r w:rsidRPr="000665B0">
        <w:t xml:space="preserve"> is made, the system checks to ensure that there are enough missiles available (both during planning and execution). If there are not enough missiles, the user is notified and the TSN type is NOT </w:t>
      </w:r>
      <w:r w:rsidR="00A96B22" w:rsidRPr="000665B0">
        <w:t>switched</w:t>
      </w:r>
      <w:r w:rsidRPr="000665B0">
        <w:t>.</w:t>
      </w:r>
    </w:p>
    <w:p w14:paraId="09675F11" w14:textId="77777777" w:rsidR="008B74FB" w:rsidRPr="000665B0" w:rsidRDefault="008B74FB" w:rsidP="008B74FB">
      <w:pPr>
        <w:jc w:val="center"/>
      </w:pPr>
      <w:r w:rsidRPr="000665B0">
        <w:rPr>
          <w:noProof/>
        </w:rPr>
        <w:lastRenderedPageBreak/>
        <w:drawing>
          <wp:inline distT="0" distB="0" distL="0" distR="0" wp14:anchorId="641E78BE" wp14:editId="2F6D96A3">
            <wp:extent cx="3200400" cy="1289304"/>
            <wp:effectExtent l="0" t="0" r="0" b="635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289304"/>
                    </a:xfrm>
                    <a:prstGeom prst="rect">
                      <a:avLst/>
                    </a:prstGeom>
                  </pic:spPr>
                </pic:pic>
              </a:graphicData>
            </a:graphic>
          </wp:inline>
        </w:drawing>
      </w:r>
    </w:p>
    <w:p w14:paraId="5DB6D250" w14:textId="13C33C67" w:rsidR="0078503C" w:rsidRPr="000665B0" w:rsidRDefault="0078503C" w:rsidP="00306174">
      <w:pPr>
        <w:pStyle w:val="Heading6"/>
        <w:rPr>
          <w:iCs/>
        </w:rPr>
      </w:pPr>
      <w:bookmarkStart w:id="6406" w:name="_5.37.7.1.16.1__Gantt"/>
      <w:bookmarkEnd w:id="6406"/>
      <w:r w:rsidRPr="000665B0">
        <w:t>Gantt Missile Identifier Properties</w:t>
      </w:r>
      <w:bookmarkEnd w:id="6404"/>
      <w:bookmarkEnd w:id="6405"/>
    </w:p>
    <w:p w14:paraId="49AF2E4E" w14:textId="77777777" w:rsidR="0078503C" w:rsidRPr="000665B0" w:rsidRDefault="0078503C" w:rsidP="00474A1F">
      <w:pPr>
        <w:tabs>
          <w:tab w:val="left" w:pos="720"/>
        </w:tabs>
        <w:rPr>
          <w:snapToGrid w:val="0"/>
        </w:rPr>
      </w:pPr>
      <w:r w:rsidRPr="000665B0">
        <w:t xml:space="preserve">The </w:t>
      </w:r>
      <w:r w:rsidRPr="000665B0">
        <w:rPr>
          <w:i/>
          <w:iCs/>
        </w:rPr>
        <w:t>Gantt Missile Identifier</w:t>
      </w:r>
      <w:r w:rsidRPr="000665B0">
        <w:t xml:space="preserve"> </w:t>
      </w:r>
      <w:r w:rsidRPr="000665B0">
        <w:rPr>
          <w:i/>
          <w:iCs/>
        </w:rPr>
        <w:t xml:space="preserve">Properties </w:t>
      </w:r>
      <w:r w:rsidRPr="000665B0">
        <w:t xml:space="preserve">dialog </w:t>
      </w:r>
      <w:r w:rsidRPr="000665B0">
        <w:rPr>
          <w:snapToGrid w:val="0"/>
        </w:rPr>
        <w:t xml:space="preserve">allows the operator to customize the appearance of the Missile ID in the Gantt chart tree view by configuring what fields relating to the missile reservation </w:t>
      </w:r>
      <w:r w:rsidR="00574F75" w:rsidRPr="000665B0">
        <w:rPr>
          <w:snapToGrid w:val="0"/>
        </w:rPr>
        <w:t>are</w:t>
      </w:r>
      <w:r w:rsidRPr="000665B0">
        <w:rPr>
          <w:snapToGrid w:val="0"/>
        </w:rPr>
        <w:t xml:space="preserve"> displayed, and in </w:t>
      </w:r>
      <w:r w:rsidR="00574F75" w:rsidRPr="000665B0">
        <w:rPr>
          <w:snapToGrid w:val="0"/>
        </w:rPr>
        <w:t xml:space="preserve">which </w:t>
      </w:r>
      <w:r w:rsidRPr="000665B0">
        <w:rPr>
          <w:snapToGrid w:val="0"/>
        </w:rPr>
        <w:t>order. All changes are user unique and are retained when log</w:t>
      </w:r>
      <w:r w:rsidR="00D1109E" w:rsidRPr="000665B0">
        <w:rPr>
          <w:snapToGrid w:val="0"/>
        </w:rPr>
        <w:t>ging</w:t>
      </w:r>
      <w:r w:rsidRPr="000665B0">
        <w:rPr>
          <w:snapToGrid w:val="0"/>
        </w:rPr>
        <w:t xml:space="preserve"> off and back on. </w:t>
      </w:r>
    </w:p>
    <w:p w14:paraId="60903C6D" w14:textId="77777777" w:rsidR="0078503C" w:rsidRPr="000665B0" w:rsidRDefault="0078503C" w:rsidP="00474A1F">
      <w:pPr>
        <w:tabs>
          <w:tab w:val="left" w:pos="720"/>
        </w:tabs>
      </w:pPr>
      <w:r w:rsidRPr="000665B0">
        <w:rPr>
          <w:snapToGrid w:val="0"/>
        </w:rPr>
        <w:t>To configure the field order for the Gantt Missile ID:</w:t>
      </w:r>
    </w:p>
    <w:p w14:paraId="5F4A7AAC" w14:textId="691EBCFC" w:rsidR="0078503C" w:rsidRDefault="0078503C" w:rsidP="006D5A65">
      <w:pPr>
        <w:pStyle w:val="Heading1"/>
      </w:pPr>
      <w:r w:rsidRPr="000665B0">
        <w:t xml:space="preserve">In the </w:t>
      </w:r>
      <w:r w:rsidR="00574F75" w:rsidRPr="000665B0">
        <w:rPr>
          <w:i/>
        </w:rPr>
        <w:t>Strike Planning</w:t>
      </w:r>
      <w:r w:rsidR="00574F75" w:rsidRPr="000665B0">
        <w:t xml:space="preserve"> window</w:t>
      </w:r>
      <w:r w:rsidRPr="000665B0">
        <w:t xml:space="preserve">, select </w:t>
      </w:r>
      <w:r w:rsidRPr="000665B0">
        <w:rPr>
          <w:bCs/>
        </w:rPr>
        <w:t xml:space="preserve">View </w:t>
      </w:r>
      <w:r w:rsidRPr="000665B0">
        <w:rPr>
          <w:bCs/>
        </w:rPr>
        <w:sym w:font="Wingdings" w:char="F0E0"/>
      </w:r>
      <w:r w:rsidRPr="000665B0">
        <w:rPr>
          <w:bCs/>
        </w:rPr>
        <w:t xml:space="preserve"> Gantt Missile ID Order…</w:t>
      </w:r>
      <w:r w:rsidRPr="000665B0">
        <w:t>.</w:t>
      </w:r>
    </w:p>
    <w:p w14:paraId="79B96C20" w14:textId="398A9EA3" w:rsidR="002B607E" w:rsidRPr="000665B0" w:rsidRDefault="00A863F3" w:rsidP="00AC2A0C">
      <w:pPr>
        <w:jc w:val="center"/>
      </w:pPr>
      <w:r w:rsidRPr="00BB4EBE">
        <w:rPr>
          <w:b/>
          <w:bCs/>
          <w:noProof/>
          <w:color w:val="FF0000"/>
          <w:szCs w:val="24"/>
        </w:rPr>
        <w:drawing>
          <wp:inline distT="0" distB="0" distL="0" distR="0" wp14:anchorId="11FDBD45" wp14:editId="617F36C3">
            <wp:extent cx="1965960" cy="3136392"/>
            <wp:effectExtent l="0" t="0" r="0" b="0"/>
            <wp:docPr id="1407855372"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55372" name="Picture 1" descr="Graphical user interface, text, application&#10;&#10;Description automatically generated"/>
                    <pic:cNvPicPr/>
                  </pic:nvPicPr>
                  <pic:blipFill>
                    <a:blip/>
                    <a:stretch>
                      <a:fillRect/>
                    </a:stretch>
                  </pic:blipFill>
                  <pic:spPr>
                    <a:xfrm>
                      <a:off x="0" y="0"/>
                      <a:ext cx="1965960" cy="3136392"/>
                    </a:xfrm>
                    <a:prstGeom prst="rect">
                      <a:avLst/>
                    </a:prstGeom>
                  </pic:spPr>
                </pic:pic>
              </a:graphicData>
            </a:graphic>
          </wp:inline>
        </w:drawing>
      </w:r>
    </w:p>
    <w:p w14:paraId="4750FA57" w14:textId="128A1971" w:rsidR="0078503C" w:rsidRDefault="0078503C" w:rsidP="006D5A65">
      <w:pPr>
        <w:pStyle w:val="Heading1"/>
      </w:pPr>
      <w:r w:rsidRPr="000665B0">
        <w:t xml:space="preserve">The </w:t>
      </w:r>
      <w:r w:rsidRPr="000665B0">
        <w:rPr>
          <w:i/>
          <w:iCs/>
        </w:rPr>
        <w:t>Gantt Missile Identifier</w:t>
      </w:r>
      <w:r w:rsidRPr="000665B0">
        <w:t xml:space="preserve"> </w:t>
      </w:r>
      <w:r w:rsidRPr="000665B0">
        <w:rPr>
          <w:i/>
          <w:iCs/>
        </w:rPr>
        <w:t xml:space="preserve">Properties </w:t>
      </w:r>
      <w:r w:rsidRPr="000665B0">
        <w:t xml:space="preserve">window </w:t>
      </w:r>
      <w:r w:rsidR="00D1109E" w:rsidRPr="000665B0">
        <w:t>is</w:t>
      </w:r>
      <w:r w:rsidRPr="000665B0">
        <w:t xml:space="preserve"> displayed. As </w:t>
      </w:r>
      <w:r w:rsidR="00D1109E" w:rsidRPr="000665B0">
        <w:t>is shown</w:t>
      </w:r>
      <w:r w:rsidRPr="000665B0">
        <w:t xml:space="preserve"> by the window representation, items are added or removed as necessary. The left side lists the available field </w:t>
      </w:r>
      <w:r w:rsidRPr="000665B0">
        <w:lastRenderedPageBreak/>
        <w:t xml:space="preserve">attributes for display, while the right side lists the fields already selected for display. </w:t>
      </w:r>
    </w:p>
    <w:p w14:paraId="56FECE61" w14:textId="2422A089" w:rsidR="00A7194E" w:rsidRPr="000B625E" w:rsidRDefault="00A7194E" w:rsidP="000B625E">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jc w:val="center"/>
        <w:rPr>
          <w:b/>
          <w:bCs/>
        </w:rPr>
      </w:pPr>
      <w:r w:rsidRPr="0045507C">
        <w:rPr>
          <w:b/>
          <w:bCs/>
        </w:rPr>
        <w:t>Note:</w:t>
      </w:r>
      <w:r w:rsidRPr="0045507C">
        <w:rPr>
          <w:b/>
          <w:bCs/>
        </w:rPr>
        <w:br/>
        <w:t>The first time a user logs on to MDS, the Available Fields and Display Fields in this Order panes may appear empty. To correct this issue, log out and then log back in to MDS.</w:t>
      </w:r>
    </w:p>
    <w:p w14:paraId="08A0BDFD" w14:textId="15F4B227" w:rsidR="0078503C" w:rsidRPr="000665B0" w:rsidRDefault="00A863F3" w:rsidP="00474A1F">
      <w:pPr>
        <w:tabs>
          <w:tab w:val="left" w:pos="720"/>
        </w:tabs>
        <w:ind w:left="360"/>
        <w:jc w:val="center"/>
      </w:pPr>
      <w:r w:rsidRPr="00BB4EBE">
        <w:rPr>
          <w:b/>
          <w:bCs/>
          <w:noProof/>
          <w:color w:val="FF0000"/>
          <w:szCs w:val="24"/>
        </w:rPr>
        <w:drawing>
          <wp:inline distT="0" distB="0" distL="0" distR="0" wp14:anchorId="707EFCF1" wp14:editId="013D9094">
            <wp:extent cx="3154680" cy="3163824"/>
            <wp:effectExtent l="19050" t="19050" r="7620" b="0"/>
            <wp:docPr id="1176375850"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75850" name="Picture 1" descr="Graphical user interface, application&#10;&#10;Description automatically generated"/>
                    <pic:cNvPicPr/>
                  </pic:nvPicPr>
                  <pic:blipFill>
                    <a:blip/>
                    <a:stretch>
                      <a:fillRect/>
                    </a:stretch>
                  </pic:blipFill>
                  <pic:spPr>
                    <a:xfrm>
                      <a:off x="0" y="0"/>
                      <a:ext cx="3154680" cy="3163824"/>
                    </a:xfrm>
                    <a:prstGeom prst="rect">
                      <a:avLst/>
                    </a:prstGeom>
                    <a:ln>
                      <a:solidFill>
                        <a:schemeClr val="accent1"/>
                      </a:solidFill>
                    </a:ln>
                  </pic:spPr>
                </pic:pic>
              </a:graphicData>
            </a:graphic>
          </wp:inline>
        </w:drawing>
      </w:r>
    </w:p>
    <w:p w14:paraId="19A55958" w14:textId="1B7C0E23" w:rsidR="0078503C" w:rsidRPr="000665B0" w:rsidRDefault="0078503C" w:rsidP="006D5A65">
      <w:pPr>
        <w:pStyle w:val="Heading1"/>
      </w:pPr>
      <w:r w:rsidRPr="000665B0">
        <w:t>In the</w:t>
      </w:r>
      <w:r w:rsidRPr="000665B0">
        <w:rPr>
          <w:i/>
          <w:iCs/>
        </w:rPr>
        <w:t xml:space="preserve"> Gantt Missile Identifier</w:t>
      </w:r>
      <w:r w:rsidRPr="000665B0">
        <w:t xml:space="preserve"> </w:t>
      </w:r>
      <w:r w:rsidRPr="000665B0">
        <w:rPr>
          <w:i/>
          <w:iCs/>
        </w:rPr>
        <w:t xml:space="preserve">Properties </w:t>
      </w:r>
      <w:r w:rsidRPr="000665B0">
        <w:t xml:space="preserve">window, move the </w:t>
      </w:r>
      <w:r w:rsidR="00484742" w:rsidRPr="000665B0">
        <w:t xml:space="preserve">items </w:t>
      </w:r>
      <w:r w:rsidR="00BC2D7B" w:rsidRPr="000665B0">
        <w:t>t</w:t>
      </w:r>
      <w:r w:rsidRPr="000665B0">
        <w:t>o/</w:t>
      </w:r>
      <w:r w:rsidR="00BC2D7B" w:rsidRPr="000665B0">
        <w:t>f</w:t>
      </w:r>
      <w:r w:rsidRPr="000665B0">
        <w:t xml:space="preserve">rom the </w:t>
      </w:r>
      <w:r w:rsidRPr="000665B0">
        <w:rPr>
          <w:bCs/>
        </w:rPr>
        <w:t>Available Fields</w:t>
      </w:r>
      <w:r w:rsidRPr="000665B0">
        <w:t>/</w:t>
      </w:r>
      <w:r w:rsidRPr="000665B0">
        <w:rPr>
          <w:bCs/>
        </w:rPr>
        <w:t>Display Fields in this Order</w:t>
      </w:r>
      <w:r w:rsidRPr="000665B0">
        <w:t xml:space="preserve"> list boxes by either </w:t>
      </w:r>
      <w:r w:rsidR="0037038E" w:rsidRPr="000665B0">
        <w:t>double-click</w:t>
      </w:r>
      <w:r w:rsidRPr="000665B0">
        <w:t xml:space="preserve">ing on the </w:t>
      </w:r>
      <w:r w:rsidR="00BC2D7B" w:rsidRPr="000665B0">
        <w:t>attribute</w:t>
      </w:r>
      <w:r w:rsidRPr="000665B0">
        <w:t xml:space="preserve">, or selecting the </w:t>
      </w:r>
      <w:r w:rsidR="00BC2D7B" w:rsidRPr="000665B0">
        <w:t>attribute</w:t>
      </w:r>
      <w:r w:rsidRPr="000665B0">
        <w:t xml:space="preserve">(s) and clicking on the </w:t>
      </w:r>
      <w:r w:rsidRPr="000665B0">
        <w:rPr>
          <w:bCs/>
        </w:rPr>
        <w:t>Add -&gt;</w:t>
      </w:r>
      <w:r w:rsidRPr="000665B0">
        <w:t xml:space="preserve"> or </w:t>
      </w:r>
      <w:r w:rsidRPr="000665B0">
        <w:rPr>
          <w:bCs/>
        </w:rPr>
        <w:t>&lt;- Remove</w:t>
      </w:r>
      <w:r w:rsidRPr="000665B0">
        <w:t xml:space="preserve"> button.</w:t>
      </w:r>
    </w:p>
    <w:p w14:paraId="776154EA" w14:textId="77777777" w:rsidR="0078503C" w:rsidRPr="000665B0" w:rsidRDefault="0078503C" w:rsidP="006D5A65">
      <w:pPr>
        <w:pStyle w:val="Heading1"/>
      </w:pPr>
      <w:r w:rsidRPr="000665B0">
        <w:t xml:space="preserve">To display all fields, click on the </w:t>
      </w:r>
      <w:r w:rsidRPr="000665B0">
        <w:rPr>
          <w:bCs/>
        </w:rPr>
        <w:t>Add All -&gt;&gt;</w:t>
      </w:r>
      <w:r w:rsidRPr="000665B0">
        <w:t xml:space="preserve"> button. To remove all fields, click on the </w:t>
      </w:r>
      <w:r w:rsidRPr="000665B0">
        <w:rPr>
          <w:bCs/>
        </w:rPr>
        <w:t>&lt;&lt;- Remove All</w:t>
      </w:r>
      <w:r w:rsidRPr="000665B0">
        <w:t xml:space="preserve"> button. </w:t>
      </w:r>
    </w:p>
    <w:p w14:paraId="6C038DF1" w14:textId="622BADA7" w:rsidR="0078503C" w:rsidRPr="000665B0" w:rsidRDefault="0078503C" w:rsidP="006D5A65">
      <w:pPr>
        <w:pStyle w:val="Heading1"/>
      </w:pPr>
      <w:r w:rsidRPr="000665B0">
        <w:t xml:space="preserve">The field order can be changed by selecting one or more </w:t>
      </w:r>
      <w:r w:rsidR="00E971E8" w:rsidRPr="000665B0">
        <w:t>attribute and</w:t>
      </w:r>
      <w:r w:rsidRPr="000665B0">
        <w:t xml:space="preserve"> clicking on the </w:t>
      </w:r>
      <w:r w:rsidRPr="000665B0">
        <w:rPr>
          <w:bCs/>
        </w:rPr>
        <w:t>Move Up</w:t>
      </w:r>
      <w:r w:rsidRPr="000665B0">
        <w:t xml:space="preserve"> or</w:t>
      </w:r>
      <w:r w:rsidRPr="000665B0">
        <w:rPr>
          <w:bCs/>
        </w:rPr>
        <w:t xml:space="preserve"> Move Down</w:t>
      </w:r>
      <w:r w:rsidRPr="000665B0">
        <w:t xml:space="preserve"> button until the </w:t>
      </w:r>
      <w:r w:rsidR="00BC2D7B" w:rsidRPr="000665B0">
        <w:t xml:space="preserve">attribute </w:t>
      </w:r>
      <w:r w:rsidRPr="000665B0">
        <w:t>is in the desired location.</w:t>
      </w:r>
    </w:p>
    <w:p w14:paraId="5F6936FB" w14:textId="77777777" w:rsidR="0078503C" w:rsidRPr="000665B0" w:rsidRDefault="0078503C" w:rsidP="006D5A65">
      <w:pPr>
        <w:pStyle w:val="Heading1"/>
      </w:pPr>
      <w:r w:rsidRPr="000665B0">
        <w:t xml:space="preserve">If it becomes necessary to revert back to the original state, click the </w:t>
      </w:r>
      <w:r w:rsidRPr="000665B0">
        <w:rPr>
          <w:bCs/>
        </w:rPr>
        <w:t xml:space="preserve">Restore </w:t>
      </w:r>
      <w:r w:rsidR="00BC2D7B" w:rsidRPr="000665B0">
        <w:rPr>
          <w:bCs/>
        </w:rPr>
        <w:t xml:space="preserve">Order </w:t>
      </w:r>
      <w:r w:rsidRPr="000665B0">
        <w:rPr>
          <w:bCs/>
        </w:rPr>
        <w:t>Defaults</w:t>
      </w:r>
      <w:r w:rsidRPr="000665B0">
        <w:t xml:space="preserve"> button.</w:t>
      </w:r>
    </w:p>
    <w:p w14:paraId="626F32B1" w14:textId="0420911F" w:rsidR="0078503C" w:rsidRPr="000665B0" w:rsidRDefault="0078503C" w:rsidP="006D5A65">
      <w:pPr>
        <w:pStyle w:val="Heading1"/>
      </w:pPr>
      <w:r w:rsidRPr="000665B0">
        <w:t xml:space="preserve">Click </w:t>
      </w:r>
      <w:r w:rsidRPr="000665B0">
        <w:rPr>
          <w:bCs/>
        </w:rPr>
        <w:t>OK</w:t>
      </w:r>
      <w:r w:rsidRPr="000665B0">
        <w:t xml:space="preserve"> when all configurations have been completed.</w:t>
      </w:r>
    </w:p>
    <w:p w14:paraId="09547F06" w14:textId="0D7E8DB1" w:rsidR="000B625E" w:rsidRPr="004A107F" w:rsidRDefault="009A1FDF" w:rsidP="004A107F">
      <w:pPr>
        <w:pBdr>
          <w:top w:val="single" w:sz="12" w:space="1" w:color="auto"/>
          <w:left w:val="single" w:sz="12" w:space="4" w:color="auto"/>
          <w:bottom w:val="single" w:sz="12" w:space="1" w:color="auto"/>
          <w:right w:val="single" w:sz="12" w:space="4" w:color="auto"/>
        </w:pBdr>
        <w:shd w:val="clear" w:color="auto" w:fill="F3F3F3"/>
        <w:tabs>
          <w:tab w:val="left" w:pos="720"/>
        </w:tabs>
        <w:spacing w:after="0"/>
        <w:rPr>
          <w:b/>
          <w:szCs w:val="24"/>
        </w:rPr>
      </w:pPr>
      <w:bookmarkStart w:id="6407" w:name="_Toc164499454"/>
      <w:r w:rsidRPr="000665B0">
        <w:rPr>
          <w:b/>
          <w:noProof/>
        </w:rPr>
        <w:drawing>
          <wp:inline distT="0" distB="0" distL="0" distR="0" wp14:anchorId="53753300" wp14:editId="626EFD1B">
            <wp:extent cx="352425" cy="381000"/>
            <wp:effectExtent l="0" t="0" r="9525" b="0"/>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D3695B" w:rsidRPr="000665B0">
        <w:rPr>
          <w:b/>
        </w:rPr>
        <w:t xml:space="preserve">TIP: On the Gantt Missile Identifier, </w:t>
      </w:r>
      <w:r w:rsidR="00D3695B" w:rsidRPr="000665B0">
        <w:rPr>
          <w:rStyle w:val="bodycopy"/>
          <w:b/>
          <w:szCs w:val="24"/>
        </w:rPr>
        <w:t>the Aimpoint Priority field displays an incorrect value. Instead of displaying the associated Tasking’s Aimpoint Priority, it displays the Missile Priority. Please look at the missile’s associated Tasking for its Aimpoint Priority value.</w:t>
      </w:r>
      <w:bookmarkStart w:id="6408" w:name="_5.37.6.1.16__Manual"/>
      <w:bookmarkStart w:id="6409" w:name="_5.37.6.1.17__Manual"/>
      <w:bookmarkStart w:id="6410" w:name="_Manual__Platform"/>
      <w:bookmarkStart w:id="6411" w:name="_Toc289328876"/>
      <w:bookmarkEnd w:id="6401"/>
      <w:bookmarkEnd w:id="6408"/>
      <w:bookmarkEnd w:id="6409"/>
      <w:bookmarkEnd w:id="6410"/>
    </w:p>
    <w:p w14:paraId="03F7494B" w14:textId="286D6F53" w:rsidR="005F7A03" w:rsidRPr="000665B0" w:rsidRDefault="005F7A03" w:rsidP="004A107F">
      <w:pPr>
        <w:pStyle w:val="Heading5"/>
        <w:keepNext w:val="0"/>
        <w:pageBreakBefore/>
        <w:tabs>
          <w:tab w:val="left" w:pos="720"/>
        </w:tabs>
        <w:spacing w:before="0"/>
      </w:pPr>
      <w:bookmarkStart w:id="6412" w:name="_Manual_Platform_Missile"/>
      <w:bookmarkEnd w:id="6412"/>
      <w:r w:rsidRPr="000665B0">
        <w:lastRenderedPageBreak/>
        <w:t xml:space="preserve">Manual </w:t>
      </w:r>
      <w:r w:rsidR="00976787" w:rsidRPr="000665B0">
        <w:t>Platform Missile Mission Matching (</w:t>
      </w:r>
      <w:r w:rsidRPr="000665B0">
        <w:t>PM3</w:t>
      </w:r>
      <w:bookmarkEnd w:id="6411"/>
      <w:r w:rsidR="00976787" w:rsidRPr="000665B0">
        <w:t>)</w:t>
      </w:r>
    </w:p>
    <w:p w14:paraId="40C36503" w14:textId="4DA39C82" w:rsidR="00976787" w:rsidRPr="000665B0" w:rsidRDefault="00976787" w:rsidP="00474A1F">
      <w:pPr>
        <w:pStyle w:val="BodyText"/>
        <w:tabs>
          <w:tab w:val="left" w:pos="720"/>
        </w:tabs>
        <w:spacing w:after="120"/>
      </w:pPr>
      <w:r w:rsidRPr="000665B0">
        <w:t>Platform Missile Mission Matching (PM3) is the process of matching missions</w:t>
      </w:r>
      <w:r w:rsidR="000F3260" w:rsidRPr="000665B0">
        <w:t>/missiles</w:t>
      </w:r>
      <w:r w:rsidRPr="000665B0">
        <w:t xml:space="preserve"> to cover assigned targets to a FRU that has the appropriate missile onboard and is in the correct area to launch the missile. MDS </w:t>
      </w:r>
      <w:r w:rsidR="00DD5335" w:rsidRPr="000665B0">
        <w:t>has two methods to perform</w:t>
      </w:r>
      <w:r w:rsidRPr="000665B0">
        <w:t xml:space="preserve"> PM3</w:t>
      </w:r>
      <w:r w:rsidR="00DD5335" w:rsidRPr="000665B0">
        <w:t>:</w:t>
      </w:r>
      <w:r w:rsidRPr="000665B0">
        <w:t xml:space="preserve"> manually or automatically (see </w:t>
      </w:r>
      <w:hyperlink w:anchor="_5.37.6.1.17__Auto" w:history="1">
        <w:r w:rsidR="009326FE" w:rsidRPr="000665B0">
          <w:rPr>
            <w:rStyle w:val="Hyperlink"/>
          </w:rPr>
          <w:t xml:space="preserve">Section </w:t>
        </w:r>
        <w:r w:rsidR="004231CC">
          <w:rPr>
            <w:rStyle w:val="Hyperlink"/>
          </w:rPr>
          <w:t>5.34</w:t>
        </w:r>
        <w:r w:rsidR="000B6B74" w:rsidRPr="000665B0">
          <w:rPr>
            <w:rStyle w:val="Hyperlink"/>
          </w:rPr>
          <w:t>.</w:t>
        </w:r>
        <w:r w:rsidR="0089269C" w:rsidRPr="000665B0">
          <w:rPr>
            <w:rStyle w:val="Hyperlink"/>
          </w:rPr>
          <w:t>7</w:t>
        </w:r>
        <w:r w:rsidR="000B6B74" w:rsidRPr="000665B0">
          <w:rPr>
            <w:rStyle w:val="Hyperlink"/>
          </w:rPr>
          <w:t>.1.18</w:t>
        </w:r>
      </w:hyperlink>
      <w:r w:rsidRPr="000665B0">
        <w:t xml:space="preserve">). </w:t>
      </w:r>
    </w:p>
    <w:p w14:paraId="230708B8" w14:textId="3C8FFCC1" w:rsidR="00976787" w:rsidRPr="000665B0" w:rsidRDefault="00976787" w:rsidP="00DF732A">
      <w:pPr>
        <w:tabs>
          <w:tab w:val="left" w:pos="720"/>
        </w:tabs>
      </w:pPr>
      <w:r w:rsidRPr="000665B0">
        <w:t>Manual PM3</w:t>
      </w:r>
      <w:r w:rsidR="005F7A03" w:rsidRPr="000665B0">
        <w:t xml:space="preserve"> </w:t>
      </w:r>
      <w:r w:rsidRPr="000665B0">
        <w:t>is used</w:t>
      </w:r>
      <w:r w:rsidR="005F7A03" w:rsidRPr="000665B0">
        <w:t xml:space="preserve"> to </w:t>
      </w:r>
      <w:r w:rsidRPr="000665B0">
        <w:t xml:space="preserve">manually </w:t>
      </w:r>
      <w:r w:rsidR="005F7A03" w:rsidRPr="000665B0">
        <w:t xml:space="preserve">make platform, </w:t>
      </w:r>
      <w:r w:rsidR="00900501" w:rsidRPr="000665B0">
        <w:t>missiles</w:t>
      </w:r>
      <w:r w:rsidR="005F7A03" w:rsidRPr="000665B0">
        <w:t xml:space="preserve">, and mission assignments </w:t>
      </w:r>
      <w:r w:rsidR="00A217FE" w:rsidRPr="000665B0">
        <w:t>according to mission requirements and inventory availability</w:t>
      </w:r>
      <w:r w:rsidR="00666AFF" w:rsidRPr="000665B0">
        <w:t xml:space="preserve"> as well as geographic feasibility</w:t>
      </w:r>
      <w:r w:rsidR="00A217FE" w:rsidRPr="000665B0">
        <w:t xml:space="preserve">. The miscodes </w:t>
      </w:r>
      <w:r w:rsidR="00696953" w:rsidRPr="000665B0">
        <w:t xml:space="preserve">or Tail Numbers </w:t>
      </w:r>
      <w:r w:rsidR="00A217FE" w:rsidRPr="000665B0">
        <w:t>are automatically filtered for applicability to the mission being assigned. Only missiles appropriate for the mission are available to be selected. For example, for missions requiring AGR-4, only AGR-4 missiles can be selected</w:t>
      </w:r>
      <w:r w:rsidR="005F7A03" w:rsidRPr="000665B0">
        <w:t>. At the mission level</w:t>
      </w:r>
      <w:r w:rsidRPr="000665B0">
        <w:t>,</w:t>
      </w:r>
      <w:r w:rsidR="005F7A03" w:rsidRPr="000665B0">
        <w:t xml:space="preserve"> the </w:t>
      </w:r>
      <w:r w:rsidR="005705D3" w:rsidRPr="000665B0">
        <w:t>least-</w:t>
      </w:r>
      <w:r w:rsidR="005F7A03" w:rsidRPr="000665B0">
        <w:t>cost miscode available</w:t>
      </w:r>
      <w:r w:rsidR="000F3260" w:rsidRPr="000665B0">
        <w:t xml:space="preserve"> is assigned to </w:t>
      </w:r>
      <w:r w:rsidR="005F7A03" w:rsidRPr="000665B0">
        <w:t xml:space="preserve">the selected FRU. </w:t>
      </w:r>
      <w:r w:rsidR="00DF732A" w:rsidRPr="000665B0">
        <w:rPr>
          <w:szCs w:val="24"/>
        </w:rPr>
        <w:t>If the FRU has only MSTM</w:t>
      </w:r>
      <w:r w:rsidR="00C05381" w:rsidRPr="000665B0">
        <w:rPr>
          <w:szCs w:val="24"/>
        </w:rPr>
        <w:t>s</w:t>
      </w:r>
      <w:r w:rsidR="00DF732A" w:rsidRPr="000665B0">
        <w:rPr>
          <w:szCs w:val="24"/>
        </w:rPr>
        <w:t xml:space="preserve"> available, </w:t>
      </w:r>
      <w:r w:rsidR="00E81669" w:rsidRPr="000665B0">
        <w:rPr>
          <w:szCs w:val="24"/>
        </w:rPr>
        <w:t>MSTMs</w:t>
      </w:r>
      <w:r w:rsidR="00DF732A" w:rsidRPr="000665B0">
        <w:rPr>
          <w:szCs w:val="24"/>
        </w:rPr>
        <w:t xml:space="preserve"> with bad (failed) seekers will be utilized before </w:t>
      </w:r>
      <w:r w:rsidR="00E81669" w:rsidRPr="000665B0">
        <w:rPr>
          <w:szCs w:val="24"/>
        </w:rPr>
        <w:t>MSTMs</w:t>
      </w:r>
      <w:r w:rsidR="00DF732A" w:rsidRPr="000665B0">
        <w:rPr>
          <w:szCs w:val="24"/>
        </w:rPr>
        <w:t xml:space="preserve"> with good seekers</w:t>
      </w:r>
      <w:r w:rsidR="00E453CF">
        <w:rPr>
          <w:szCs w:val="24"/>
        </w:rPr>
        <w:t xml:space="preserve"> for a land attack</w:t>
      </w:r>
      <w:r w:rsidR="00DF732A" w:rsidRPr="000665B0">
        <w:rPr>
          <w:szCs w:val="24"/>
        </w:rPr>
        <w:t xml:space="preserve">. </w:t>
      </w:r>
      <w:r w:rsidR="000F3260" w:rsidRPr="000665B0">
        <w:t>At the missile level, the selected miscode is assigned to the selected FRU.</w:t>
      </w:r>
      <w:r w:rsidR="004464FF">
        <w:t xml:space="preserve"> If the mission is a ground launch mission, then only Ground Launch FRU(s) will be presented in the context menu for assignment. Likewise, drag and drop of </w:t>
      </w:r>
      <w:r w:rsidR="005E5264">
        <w:t xml:space="preserve">a </w:t>
      </w:r>
      <w:r w:rsidR="004464FF">
        <w:t>ground launch assignment is possible only for Ground Launch FRUs.</w:t>
      </w:r>
    </w:p>
    <w:p w14:paraId="151E6A84" w14:textId="6A450989" w:rsidR="006A24F2" w:rsidRPr="000665B0" w:rsidRDefault="00DB2A90" w:rsidP="006A24F2">
      <w:pPr>
        <w:pStyle w:val="BodyText"/>
        <w:tabs>
          <w:tab w:val="left" w:pos="720"/>
        </w:tabs>
        <w:spacing w:after="120"/>
      </w:pPr>
      <w:r w:rsidRPr="000665B0">
        <w:t>Attack Plans are listed under their matching tasking</w:t>
      </w:r>
      <w:r w:rsidR="009209DA" w:rsidRPr="000665B0">
        <w:t xml:space="preserve"> and are identified by the fist </w:t>
      </w:r>
      <w:r w:rsidR="009209DA" w:rsidRPr="000665B0">
        <w:rPr>
          <w:noProof/>
          <w:position w:val="-2"/>
        </w:rPr>
        <w:drawing>
          <wp:inline distT="0" distB="0" distL="0" distR="0" wp14:anchorId="3EAF0E1A" wp14:editId="56F0CF79">
            <wp:extent cx="142875" cy="138112"/>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875" cy="138112"/>
                    </a:xfrm>
                    <a:prstGeom prst="rect">
                      <a:avLst/>
                    </a:prstGeom>
                    <a:ln>
                      <a:noFill/>
                    </a:ln>
                    <a:extLst>
                      <a:ext uri="{53640926-AAD7-44D8-BBD7-CCE9431645EC}">
                        <a14:shadowObscured xmlns:a14="http://schemas.microsoft.com/office/drawing/2010/main"/>
                      </a:ext>
                    </a:extLst>
                  </pic:spPr>
                </pic:pic>
              </a:graphicData>
            </a:graphic>
          </wp:inline>
        </w:drawing>
      </w:r>
      <w:r w:rsidR="009209DA" w:rsidRPr="000665B0">
        <w:t xml:space="preserve"> icon in the </w:t>
      </w:r>
      <w:r w:rsidR="009209DA" w:rsidRPr="000665B0">
        <w:rPr>
          <w:b/>
        </w:rPr>
        <w:t>Missiles Tree</w:t>
      </w:r>
      <w:r w:rsidR="009209DA" w:rsidRPr="000665B0">
        <w:t xml:space="preserve"> pane. </w:t>
      </w:r>
      <w:r w:rsidRPr="000665B0">
        <w:rPr>
          <w:szCs w:val="24"/>
        </w:rPr>
        <w:t xml:space="preserve">Attack Plan TMPRs are displayed in a tree view with the root level displaying the Attack Plan TMPR and </w:t>
      </w:r>
      <w:r w:rsidRPr="000665B0">
        <w:t>the branch level displaying of</w:t>
      </w:r>
      <w:r w:rsidRPr="000665B0">
        <w:rPr>
          <w:szCs w:val="24"/>
        </w:rPr>
        <w:t xml:space="preserve"> </w:t>
      </w:r>
      <w:r w:rsidRPr="000665B0">
        <w:t xml:space="preserve">all of the mission(s) for the selected Attack Plan. An entire Attack Plan can be </w:t>
      </w:r>
      <w:r w:rsidR="003A4553" w:rsidRPr="000665B0">
        <w:t xml:space="preserve">assigned using the context menu or by dragging </w:t>
      </w:r>
      <w:r w:rsidRPr="000665B0">
        <w:t>and dropp</w:t>
      </w:r>
      <w:r w:rsidR="003A4553" w:rsidRPr="000665B0">
        <w:t>ing</w:t>
      </w:r>
      <w:r w:rsidRPr="000665B0">
        <w:t xml:space="preserve"> into a Primary reservation for a FRU, resulting in a single primary reservation for each mission in that Attack Plan. Individual missions in an Attack Plan can be </w:t>
      </w:r>
      <w:r w:rsidR="003A4553" w:rsidRPr="000665B0">
        <w:t xml:space="preserve">assigned using the context menu or by dragging </w:t>
      </w:r>
      <w:r w:rsidRPr="000665B0">
        <w:t xml:space="preserve">and </w:t>
      </w:r>
      <w:r w:rsidR="003A4553" w:rsidRPr="000665B0">
        <w:t xml:space="preserve">dropping </w:t>
      </w:r>
      <w:r w:rsidRPr="000665B0">
        <w:t xml:space="preserve">into FRU reservations for Primary, Backup, Ready Spare, Auto Ready Spare, and Backup Pool. </w:t>
      </w:r>
    </w:p>
    <w:p w14:paraId="4AE9012D" w14:textId="77777777" w:rsidR="006A24F2" w:rsidRPr="000665B0" w:rsidRDefault="006A24F2" w:rsidP="006A24F2">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bCs/>
        </w:rPr>
      </w:pPr>
      <w:r w:rsidRPr="000665B0">
        <w:rPr>
          <w:b/>
          <w:bCs/>
        </w:rPr>
        <w:t xml:space="preserve">Note: </w:t>
      </w:r>
    </w:p>
    <w:p w14:paraId="67DEF02A" w14:textId="6658777C" w:rsidR="006A24F2" w:rsidRPr="000665B0" w:rsidRDefault="006A24F2" w:rsidP="00BB4EBE">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bCs/>
        </w:rPr>
      </w:pPr>
      <w:r w:rsidRPr="000665B0">
        <w:rPr>
          <w:b/>
        </w:rPr>
        <w:t xml:space="preserve">Depletion Strikes will affect the inventory totals on the </w:t>
      </w:r>
      <w:r w:rsidRPr="000665B0">
        <w:rPr>
          <w:b/>
          <w:i/>
        </w:rPr>
        <w:t>Arsenal</w:t>
      </w:r>
      <w:r w:rsidRPr="000665B0">
        <w:rPr>
          <w:b/>
        </w:rPr>
        <w:t xml:space="preserve"> tab and also the totals available for Manual PM3 (see </w:t>
      </w:r>
      <w:hyperlink w:anchor="_5.37.6.1.6__Missiles_Tab" w:history="1">
        <w:r w:rsidR="009326FE" w:rsidRPr="000665B0">
          <w:rPr>
            <w:rStyle w:val="Hyperlink"/>
            <w:b/>
          </w:rPr>
          <w:t xml:space="preserve">Section </w:t>
        </w:r>
        <w:r w:rsidR="004231CC">
          <w:rPr>
            <w:rStyle w:val="Hyperlink"/>
            <w:b/>
          </w:rPr>
          <w:t>5.34</w:t>
        </w:r>
        <w:r w:rsidRPr="000665B0">
          <w:rPr>
            <w:rStyle w:val="Hyperlink"/>
            <w:b/>
          </w:rPr>
          <w:t>.7.1.5</w:t>
        </w:r>
      </w:hyperlink>
      <w:r w:rsidRPr="000665B0">
        <w:rPr>
          <w:b/>
        </w:rPr>
        <w:t>).</w:t>
      </w:r>
    </w:p>
    <w:p w14:paraId="5FE65282" w14:textId="69FFC236" w:rsidR="00976787" w:rsidRPr="0043211C" w:rsidRDefault="00976787" w:rsidP="0043211C">
      <w:pPr>
        <w:pStyle w:val="BodyText"/>
        <w:tabs>
          <w:tab w:val="left" w:pos="720"/>
        </w:tabs>
        <w:spacing w:before="120" w:after="120"/>
        <w:rPr>
          <w:b/>
          <w:bCs/>
        </w:rPr>
      </w:pPr>
      <w:r w:rsidRPr="0043211C">
        <w:rPr>
          <w:b/>
          <w:bCs/>
        </w:rPr>
        <w:t>To invoke Manual PM3:</w:t>
      </w:r>
    </w:p>
    <w:p w14:paraId="21F83300" w14:textId="77777777" w:rsidR="00976787" w:rsidRPr="000665B0" w:rsidRDefault="00976787" w:rsidP="00474A1F">
      <w:pPr>
        <w:pStyle w:val="BodyText"/>
        <w:tabs>
          <w:tab w:val="left" w:pos="720"/>
        </w:tabs>
        <w:spacing w:after="120"/>
      </w:pPr>
      <w:r w:rsidRPr="000665B0">
        <w:t xml:space="preserve">From the </w:t>
      </w:r>
      <w:r w:rsidRPr="000665B0">
        <w:rPr>
          <w:i/>
        </w:rPr>
        <w:t>Strike Option xxxxx-xxxxx-xxxxx</w:t>
      </w:r>
      <w:r w:rsidRPr="000665B0">
        <w:t xml:space="preserve"> window</w:t>
      </w:r>
      <w:r w:rsidR="008C7E00" w:rsidRPr="000665B0">
        <w:t xml:space="preserve">, select </w:t>
      </w:r>
      <w:r w:rsidR="008C7E00" w:rsidRPr="000665B0">
        <w:rPr>
          <w:b/>
        </w:rPr>
        <w:t>Tools</w:t>
      </w:r>
      <w:r w:rsidR="008C7E00" w:rsidRPr="000665B0">
        <w:t xml:space="preserve"> </w:t>
      </w:r>
      <w:r w:rsidR="008C7E00" w:rsidRPr="000665B0">
        <w:rPr>
          <w:b/>
        </w:rPr>
        <w:sym w:font="Wingdings" w:char="F0E0"/>
      </w:r>
      <w:r w:rsidR="008C7E00" w:rsidRPr="000665B0">
        <w:rPr>
          <w:b/>
        </w:rPr>
        <w:t xml:space="preserve"> Manual PM3</w:t>
      </w:r>
      <w:r w:rsidR="006F289F" w:rsidRPr="000665B0">
        <w:t xml:space="preserve"> or select the Manual PM3 </w:t>
      </w:r>
      <w:r w:rsidR="006F289F" w:rsidRPr="000665B0">
        <w:rPr>
          <w:noProof/>
        </w:rPr>
        <w:drawing>
          <wp:inline distT="0" distB="0" distL="0" distR="0" wp14:anchorId="71EAC793" wp14:editId="6F54268D">
            <wp:extent cx="209550" cy="190500"/>
            <wp:effectExtent l="19050" t="0" r="0" b="0"/>
            <wp:docPr id="1207" name="Picture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09550" cy="190500"/>
                    </a:xfrm>
                    <a:prstGeom prst="rect">
                      <a:avLst/>
                    </a:prstGeom>
                    <a:noFill/>
                    <a:ln w="9525">
                      <a:noFill/>
                      <a:miter lim="800000"/>
                      <a:headEnd/>
                      <a:tailEnd/>
                    </a:ln>
                  </pic:spPr>
                </pic:pic>
              </a:graphicData>
            </a:graphic>
          </wp:inline>
        </w:drawing>
      </w:r>
      <w:r w:rsidR="006F289F" w:rsidRPr="000665B0">
        <w:t xml:space="preserve"> icon from the toolbar.</w:t>
      </w:r>
      <w:r w:rsidR="008C7E00" w:rsidRPr="000665B0">
        <w:t xml:space="preserve"> The </w:t>
      </w:r>
      <w:r w:rsidR="008C7E00" w:rsidRPr="000665B0">
        <w:rPr>
          <w:i/>
        </w:rPr>
        <w:t xml:space="preserve">PM3 for Strike </w:t>
      </w:r>
      <w:r w:rsidR="00B434BB" w:rsidRPr="000665B0">
        <w:rPr>
          <w:i/>
        </w:rPr>
        <w:t>Option</w:t>
      </w:r>
      <w:r w:rsidR="008C7E00" w:rsidRPr="000665B0">
        <w:rPr>
          <w:i/>
        </w:rPr>
        <w:t>: xxxxx-xxxxx-xxxxx</w:t>
      </w:r>
      <w:r w:rsidR="008C7E00" w:rsidRPr="000665B0">
        <w:t xml:space="preserve"> window is displayed.</w:t>
      </w:r>
    </w:p>
    <w:p w14:paraId="34C01B9C" w14:textId="48EFF821" w:rsidR="00EF1B82" w:rsidRPr="000665B0" w:rsidRDefault="00EF1B82" w:rsidP="00474A1F">
      <w:pPr>
        <w:pStyle w:val="BodyText"/>
        <w:tabs>
          <w:tab w:val="left" w:pos="720"/>
        </w:tabs>
        <w:spacing w:after="120"/>
        <w:jc w:val="center"/>
      </w:pPr>
      <w:r>
        <w:rPr>
          <w:noProof/>
        </w:rPr>
        <w:lastRenderedPageBreak/>
        <w:drawing>
          <wp:inline distT="0" distB="0" distL="0" distR="0" wp14:anchorId="390ED644" wp14:editId="5187FA04">
            <wp:extent cx="4983480" cy="2779776"/>
            <wp:effectExtent l="0" t="0" r="0" b="0"/>
            <wp:docPr id="418" name="Picture 4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Picture 418"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983480" cy="2779776"/>
                    </a:xfrm>
                    <a:prstGeom prst="rect">
                      <a:avLst/>
                    </a:prstGeom>
                  </pic:spPr>
                </pic:pic>
              </a:graphicData>
            </a:graphic>
          </wp:inline>
        </w:drawing>
      </w:r>
    </w:p>
    <w:p w14:paraId="486D8523" w14:textId="77777777" w:rsidR="005F7A03" w:rsidRPr="000665B0" w:rsidRDefault="005F7A03" w:rsidP="00474A1F">
      <w:pPr>
        <w:pStyle w:val="BodyText"/>
        <w:tabs>
          <w:tab w:val="left" w:pos="720"/>
        </w:tabs>
        <w:spacing w:after="120"/>
      </w:pPr>
      <w:r w:rsidRPr="000665B0">
        <w:t xml:space="preserve">The window consists of the following </w:t>
      </w:r>
      <w:r w:rsidR="00996C6D" w:rsidRPr="000665B0">
        <w:t>panes</w:t>
      </w:r>
      <w:r w:rsidR="006F289F" w:rsidRPr="000665B0">
        <w:t>. Each pane</w:t>
      </w:r>
      <w:r w:rsidR="00982E3C" w:rsidRPr="000665B0">
        <w:t xml:space="preserve"> and its context menu</w:t>
      </w:r>
      <w:r w:rsidR="006F289F" w:rsidRPr="000665B0">
        <w:t xml:space="preserve"> is described in greater detail below.</w:t>
      </w:r>
    </w:p>
    <w:p w14:paraId="2C9974DF" w14:textId="77777777" w:rsidR="005F7A03" w:rsidRPr="000665B0" w:rsidRDefault="005F7A03" w:rsidP="006D5A65">
      <w:pPr>
        <w:pStyle w:val="Heading1"/>
      </w:pPr>
      <w:r w:rsidRPr="000665B0">
        <w:t>Main Menu</w:t>
      </w:r>
    </w:p>
    <w:p w14:paraId="16254ABC" w14:textId="77777777" w:rsidR="005F7A03" w:rsidRPr="000665B0" w:rsidRDefault="005F7A03" w:rsidP="006D5A65">
      <w:pPr>
        <w:pStyle w:val="Heading1"/>
      </w:pPr>
      <w:r w:rsidRPr="000665B0">
        <w:t>Toolbar</w:t>
      </w:r>
    </w:p>
    <w:p w14:paraId="2FB0B8DC" w14:textId="77777777" w:rsidR="005F7A03" w:rsidRPr="000665B0" w:rsidRDefault="005F7A03" w:rsidP="006D5A65">
      <w:pPr>
        <w:pStyle w:val="Heading1"/>
      </w:pPr>
      <w:r w:rsidRPr="000665B0">
        <w:t xml:space="preserve">Missiles Tree View </w:t>
      </w:r>
      <w:r w:rsidR="00082E20" w:rsidRPr="000665B0">
        <w:t>Pane</w:t>
      </w:r>
    </w:p>
    <w:p w14:paraId="29B089FE" w14:textId="77777777" w:rsidR="005F7A03" w:rsidRPr="000665B0" w:rsidRDefault="005F7A03" w:rsidP="006D5A65">
      <w:pPr>
        <w:pStyle w:val="Heading1"/>
      </w:pPr>
      <w:r w:rsidRPr="000665B0">
        <w:t xml:space="preserve">FRUs </w:t>
      </w:r>
      <w:r w:rsidR="00082E20" w:rsidRPr="000665B0">
        <w:t>Pane</w:t>
      </w:r>
    </w:p>
    <w:p w14:paraId="328FBF0A" w14:textId="33C8CDD9" w:rsidR="00DC5AA2" w:rsidRPr="000665B0" w:rsidRDefault="00DC5AA2" w:rsidP="006D5A65">
      <w:pPr>
        <w:pStyle w:val="Heading1"/>
      </w:pPr>
      <w:r w:rsidRPr="000665B0">
        <w:t>Geo Object Manager (GOM) (if Geo is enabled under View Menu and Display Geo Object Manager is enabled under Geo Menu)</w:t>
      </w:r>
    </w:p>
    <w:p w14:paraId="74AAA658" w14:textId="77777777" w:rsidR="002A1E14" w:rsidRPr="000665B0" w:rsidRDefault="002A1E14" w:rsidP="006D5A65">
      <w:pPr>
        <w:pStyle w:val="Heading1"/>
      </w:pPr>
      <w:r w:rsidRPr="000665B0">
        <w:t>Geo (if Enabled under View Menu)</w:t>
      </w:r>
    </w:p>
    <w:p w14:paraId="44950E83" w14:textId="77777777" w:rsidR="005F7A03" w:rsidRPr="000665B0" w:rsidRDefault="005F7A03" w:rsidP="006D5A65">
      <w:pPr>
        <w:pStyle w:val="Heading1"/>
      </w:pPr>
      <w:r w:rsidRPr="000665B0">
        <w:t xml:space="preserve">Assignments </w:t>
      </w:r>
      <w:r w:rsidR="00082E20" w:rsidRPr="000665B0">
        <w:t xml:space="preserve">Pane </w:t>
      </w:r>
      <w:r w:rsidRPr="000665B0">
        <w:t>(</w:t>
      </w:r>
      <w:r w:rsidR="00082E20" w:rsidRPr="000665B0">
        <w:t>if Enabled under View Menu</w:t>
      </w:r>
      <w:r w:rsidRPr="000665B0">
        <w:t>)</w:t>
      </w:r>
    </w:p>
    <w:p w14:paraId="255A8751" w14:textId="43F1085F" w:rsidR="005F7A03" w:rsidRPr="000665B0" w:rsidRDefault="005F7A03" w:rsidP="00306174">
      <w:pPr>
        <w:pStyle w:val="Heading6"/>
      </w:pPr>
      <w:bookmarkStart w:id="6413" w:name="_Toc289328877"/>
      <w:r w:rsidRPr="000665B0">
        <w:t>Main Menu</w:t>
      </w:r>
      <w:bookmarkEnd w:id="6413"/>
    </w:p>
    <w:p w14:paraId="1D05EC18" w14:textId="532FCF5E" w:rsidR="00EF2893" w:rsidRPr="000665B0" w:rsidRDefault="00C9149E" w:rsidP="00474A1F">
      <w:pPr>
        <w:tabs>
          <w:tab w:val="left" w:pos="720"/>
        </w:tabs>
        <w:jc w:val="center"/>
      </w:pPr>
      <w:r w:rsidRPr="000665B0">
        <w:rPr>
          <w:noProof/>
        </w:rPr>
        <w:drawing>
          <wp:inline distT="0" distB="0" distL="0" distR="0" wp14:anchorId="05105FAE" wp14:editId="696C6712">
            <wp:extent cx="1504950" cy="476250"/>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504950" cy="476250"/>
                    </a:xfrm>
                    <a:prstGeom prst="rect">
                      <a:avLst/>
                    </a:prstGeom>
                  </pic:spPr>
                </pic:pic>
              </a:graphicData>
            </a:graphic>
          </wp:inline>
        </w:drawing>
      </w:r>
    </w:p>
    <w:p w14:paraId="073F1B01" w14:textId="3EBB3C28" w:rsidR="005F7A03" w:rsidRPr="000665B0" w:rsidRDefault="005F7A03" w:rsidP="006D5A65">
      <w:pPr>
        <w:pStyle w:val="Heading1"/>
      </w:pPr>
      <w:r w:rsidRPr="000665B0">
        <w:lastRenderedPageBreak/>
        <w:t xml:space="preserve">File </w:t>
      </w:r>
      <w:r w:rsidR="00A05D58" w:rsidRPr="000665B0">
        <w:sym w:font="Wingdings" w:char="F0E0"/>
      </w:r>
      <w:r w:rsidRPr="000665B0">
        <w:t xml:space="preserve"> Close – Closes the </w:t>
      </w:r>
      <w:r w:rsidRPr="000665B0">
        <w:rPr>
          <w:i/>
        </w:rPr>
        <w:t>Manual PM3</w:t>
      </w:r>
      <w:r w:rsidRPr="000665B0">
        <w:t xml:space="preserve"> </w:t>
      </w:r>
      <w:r w:rsidR="00A72464" w:rsidRPr="000665B0">
        <w:t>window</w:t>
      </w:r>
      <w:r w:rsidRPr="000665B0">
        <w:t>.</w:t>
      </w:r>
    </w:p>
    <w:p w14:paraId="1AFBB761" w14:textId="77777777" w:rsidR="00996C6D" w:rsidRPr="000665B0" w:rsidRDefault="005F7A03" w:rsidP="006D5A65">
      <w:pPr>
        <w:pStyle w:val="Heading1"/>
      </w:pPr>
      <w:r w:rsidRPr="000665B0">
        <w:t xml:space="preserve">View </w:t>
      </w:r>
    </w:p>
    <w:p w14:paraId="45B6B8B0" w14:textId="77777777" w:rsidR="005F7A03" w:rsidRPr="000665B0" w:rsidRDefault="005F7A03" w:rsidP="006D5A65">
      <w:pPr>
        <w:pStyle w:val="Heading1"/>
      </w:pPr>
      <w:r w:rsidRPr="000665B0">
        <w:t xml:space="preserve">Assignments – Toggles the display of the Assignments </w:t>
      </w:r>
      <w:r w:rsidR="00996C6D" w:rsidRPr="000665B0">
        <w:t xml:space="preserve">pane </w:t>
      </w:r>
      <w:r w:rsidRPr="000665B0">
        <w:t>on and off.</w:t>
      </w:r>
    </w:p>
    <w:p w14:paraId="0DD81779" w14:textId="77777777" w:rsidR="00996C6D" w:rsidRPr="000665B0" w:rsidRDefault="00996C6D" w:rsidP="006D5A65">
      <w:pPr>
        <w:pStyle w:val="Heading1"/>
      </w:pPr>
      <w:r w:rsidRPr="000665B0">
        <w:t>Geo</w:t>
      </w:r>
      <w:r w:rsidR="00082E20" w:rsidRPr="000665B0">
        <w:t xml:space="preserve"> – Toggles the display of the Geographic pane on and off.</w:t>
      </w:r>
    </w:p>
    <w:p w14:paraId="04C1A577" w14:textId="23B06BCE" w:rsidR="000B625E" w:rsidRPr="004F59BF" w:rsidRDefault="005F58F8" w:rsidP="006D5A65">
      <w:pPr>
        <w:pStyle w:val="Heading1"/>
      </w:pPr>
      <w:r w:rsidRPr="000665B0">
        <w:t>Legend – Toggles the display of the legend</w:t>
      </w:r>
      <w:r w:rsidR="009948F7" w:rsidRPr="000665B0">
        <w:t xml:space="preserve"> at the bottom of the window</w:t>
      </w:r>
      <w:r w:rsidRPr="000665B0">
        <w:t xml:space="preserve"> for the reservation boxes in the FRUs pane.</w:t>
      </w:r>
    </w:p>
    <w:p w14:paraId="0865D930" w14:textId="689A5BD3" w:rsidR="00E26296" w:rsidRPr="000665B0" w:rsidRDefault="00E26296" w:rsidP="006D5A65">
      <w:pPr>
        <w:pStyle w:val="Heading1"/>
      </w:pPr>
      <w:r w:rsidRPr="000665B0">
        <w:t>Geo</w:t>
      </w:r>
    </w:p>
    <w:p w14:paraId="26DA0142" w14:textId="78178F2D" w:rsidR="00E26296" w:rsidRPr="000665B0" w:rsidRDefault="00E26296" w:rsidP="006D5A65">
      <w:pPr>
        <w:pStyle w:val="Heading1"/>
      </w:pPr>
      <w:r w:rsidRPr="000665B0">
        <w:t>Zoom In – Zoom In.</w:t>
      </w:r>
    </w:p>
    <w:p w14:paraId="146F016B" w14:textId="3ADC98AD" w:rsidR="00E26296" w:rsidRPr="000665B0" w:rsidRDefault="00E26296" w:rsidP="006D5A65">
      <w:pPr>
        <w:pStyle w:val="Heading1"/>
      </w:pPr>
      <w:r w:rsidRPr="000665B0">
        <w:t>Zoom Out – Zoom Out.</w:t>
      </w:r>
    </w:p>
    <w:p w14:paraId="01962171" w14:textId="77777777" w:rsidR="00E26296" w:rsidRPr="000665B0" w:rsidRDefault="00E26296" w:rsidP="006D5A65">
      <w:pPr>
        <w:pStyle w:val="Heading1"/>
      </w:pPr>
      <w:r w:rsidRPr="000665B0">
        <w:t xml:space="preserve">Lock Geo – Lock/unlock zoom and re-centering on the Geo Display at the current position so that new Geo Object being added to the display would not move the Geo. </w:t>
      </w:r>
    </w:p>
    <w:p w14:paraId="778DAF09" w14:textId="77777777" w:rsidR="00E26296" w:rsidRPr="000665B0" w:rsidRDefault="00E26296" w:rsidP="006D5A65">
      <w:pPr>
        <w:pStyle w:val="Heading1"/>
      </w:pPr>
      <w:r w:rsidRPr="000665B0">
        <w:t>Range and Bearing – Activate the Range and Bearing tool.</w:t>
      </w:r>
    </w:p>
    <w:p w14:paraId="1180D4F3" w14:textId="49982371" w:rsidR="00E26296" w:rsidRPr="000665B0" w:rsidRDefault="00E26296" w:rsidP="006D5A65">
      <w:pPr>
        <w:pStyle w:val="Heading1"/>
      </w:pPr>
      <w:r w:rsidRPr="000665B0">
        <w:t xml:space="preserve">Hide All </w:t>
      </w:r>
      <w:r w:rsidR="00B704AC" w:rsidRPr="000665B0">
        <w:t xml:space="preserve">Object </w:t>
      </w:r>
      <w:r w:rsidRPr="000665B0">
        <w:t>Labels – Show/Hide the display of labels on the Geo Display.</w:t>
      </w:r>
    </w:p>
    <w:p w14:paraId="167623DB" w14:textId="1BB697AA" w:rsidR="00E26296" w:rsidRPr="000665B0" w:rsidRDefault="007A0637" w:rsidP="006D5A65">
      <w:pPr>
        <w:pStyle w:val="Heading1"/>
      </w:pPr>
      <w:r w:rsidRPr="000665B0">
        <w:t>Close All Note</w:t>
      </w:r>
      <w:r w:rsidR="00E26296" w:rsidRPr="000665B0">
        <w:t xml:space="preserve"> Window</w:t>
      </w:r>
      <w:r w:rsidRPr="000665B0">
        <w:t>s</w:t>
      </w:r>
      <w:r w:rsidR="00E26296" w:rsidRPr="000665B0">
        <w:t xml:space="preserve"> – Show/Hide the display of notes window on the Geo Display.</w:t>
      </w:r>
    </w:p>
    <w:p w14:paraId="4D4A372A" w14:textId="6AEF2EE4" w:rsidR="00E26296" w:rsidRPr="000665B0" w:rsidRDefault="00E26296" w:rsidP="006D5A65">
      <w:pPr>
        <w:pStyle w:val="Heading1"/>
      </w:pPr>
      <w:r w:rsidRPr="000665B0">
        <w:t>Display Geo Object Manager – Show/Hide the Geo Object Manager</w:t>
      </w:r>
      <w:r w:rsidR="00DC5AA2" w:rsidRPr="000665B0">
        <w:t xml:space="preserve"> (GOM)</w:t>
      </w:r>
      <w:r w:rsidRPr="000665B0">
        <w:t>.</w:t>
      </w:r>
    </w:p>
    <w:p w14:paraId="33331F59" w14:textId="77777777" w:rsidR="00E26296" w:rsidRPr="000665B0" w:rsidRDefault="00E26296" w:rsidP="006D5A65">
      <w:pPr>
        <w:pStyle w:val="Heading1"/>
      </w:pPr>
      <w:r w:rsidRPr="000665B0">
        <w:t>Display Digital Maps – Show/Hide digital maps.</w:t>
      </w:r>
    </w:p>
    <w:p w14:paraId="4B46720C" w14:textId="77777777" w:rsidR="00E26296" w:rsidRPr="000665B0" w:rsidRDefault="00E26296" w:rsidP="006D5A65">
      <w:pPr>
        <w:pStyle w:val="Heading1"/>
      </w:pPr>
      <w:r w:rsidRPr="000665B0">
        <w:t>Geo Toolbar – Show/Hide the Geo toolbar.</w:t>
      </w:r>
    </w:p>
    <w:p w14:paraId="68921298" w14:textId="155DAE35" w:rsidR="00E26296" w:rsidRPr="000665B0" w:rsidRDefault="00E26296" w:rsidP="006D5A65">
      <w:pPr>
        <w:pStyle w:val="Heading1"/>
      </w:pPr>
      <w:r w:rsidRPr="000665B0">
        <w:t>Properties – Bring up the Geo Properties.</w:t>
      </w:r>
      <w:r w:rsidR="00C93882" w:rsidRPr="000665B0">
        <w:t xml:space="preserve"> For information about Geo properties, see </w:t>
      </w:r>
      <w:hyperlink w:anchor="_Configuring_the_Geo" w:history="1">
        <w:r w:rsidR="00C93882" w:rsidRPr="000665B0">
          <w:rPr>
            <w:rStyle w:val="Hyperlink"/>
            <w:bCs/>
          </w:rPr>
          <w:t xml:space="preserve">Section </w:t>
        </w:r>
        <w:r w:rsidR="004231CC">
          <w:rPr>
            <w:rStyle w:val="Hyperlink"/>
            <w:bCs/>
          </w:rPr>
          <w:t>5.26</w:t>
        </w:r>
        <w:r w:rsidR="00C93882" w:rsidRPr="000665B0">
          <w:rPr>
            <w:rStyle w:val="Hyperlink"/>
            <w:bCs/>
          </w:rPr>
          <w:t>.7</w:t>
        </w:r>
      </w:hyperlink>
      <w:r w:rsidR="00C93882" w:rsidRPr="000665B0">
        <w:t>.</w:t>
      </w:r>
    </w:p>
    <w:p w14:paraId="08BB0AF0" w14:textId="77777777" w:rsidR="00E26296" w:rsidRPr="000665B0" w:rsidRDefault="005F7A03" w:rsidP="006D5A65">
      <w:pPr>
        <w:pStyle w:val="Heading1"/>
      </w:pPr>
      <w:r w:rsidRPr="000665B0">
        <w:t>Help</w:t>
      </w:r>
    </w:p>
    <w:p w14:paraId="1CFADCD0" w14:textId="1053C8C5" w:rsidR="005F7A03" w:rsidRPr="000665B0" w:rsidRDefault="005F7A03" w:rsidP="006D5A65">
      <w:pPr>
        <w:pStyle w:val="Heading1"/>
      </w:pPr>
      <w:r w:rsidRPr="000665B0">
        <w:t xml:space="preserve">PM3 Help – Brings up the Manual PM3 </w:t>
      </w:r>
      <w:r w:rsidR="00082E20" w:rsidRPr="000665B0">
        <w:t>online help</w:t>
      </w:r>
      <w:r w:rsidRPr="000665B0">
        <w:t>.</w:t>
      </w:r>
    </w:p>
    <w:p w14:paraId="1DDC035E" w14:textId="09D24E91" w:rsidR="00E26296" w:rsidRPr="000665B0" w:rsidRDefault="00E26296" w:rsidP="006D5A65">
      <w:pPr>
        <w:pStyle w:val="Heading1"/>
      </w:pPr>
      <w:r w:rsidRPr="000665B0">
        <w:t>Geo Help – Brings up the Geo online help.</w:t>
      </w:r>
    </w:p>
    <w:p w14:paraId="5EF5DBE5" w14:textId="10DAECE5" w:rsidR="005F7A03" w:rsidRPr="000665B0" w:rsidRDefault="005F7A03" w:rsidP="00306174">
      <w:pPr>
        <w:pStyle w:val="Heading6"/>
      </w:pPr>
      <w:bookmarkStart w:id="6414" w:name="_Toolbar"/>
      <w:bookmarkStart w:id="6415" w:name="_Toc289328878"/>
      <w:bookmarkEnd w:id="6414"/>
      <w:r w:rsidRPr="000665B0">
        <w:t>Toolbar</w:t>
      </w:r>
      <w:bookmarkEnd w:id="6415"/>
    </w:p>
    <w:p w14:paraId="1901D336" w14:textId="10571298" w:rsidR="00EF2893" w:rsidRPr="000665B0" w:rsidRDefault="006C7ECA" w:rsidP="00446685">
      <w:pPr>
        <w:keepNext/>
        <w:tabs>
          <w:tab w:val="left" w:pos="720"/>
        </w:tabs>
        <w:jc w:val="center"/>
      </w:pPr>
      <w:r w:rsidRPr="000665B0">
        <w:rPr>
          <w:noProof/>
        </w:rPr>
        <w:drawing>
          <wp:inline distT="0" distB="0" distL="0" distR="0" wp14:anchorId="04B02B66" wp14:editId="6F69CB5C">
            <wp:extent cx="4983480" cy="173736"/>
            <wp:effectExtent l="0" t="0" r="0" b="0"/>
            <wp:docPr id="2103" name="Picture 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73736"/>
                    </a:xfrm>
                    <a:prstGeom prst="rect">
                      <a:avLst/>
                    </a:prstGeom>
                  </pic:spPr>
                </pic:pic>
              </a:graphicData>
            </a:graphic>
          </wp:inline>
        </w:drawing>
      </w:r>
    </w:p>
    <w:p w14:paraId="76106B1F" w14:textId="0CB6A655" w:rsidR="005F7A03" w:rsidRPr="000665B0" w:rsidRDefault="005F7A03" w:rsidP="006D5A65">
      <w:pPr>
        <w:pStyle w:val="Heading1"/>
      </w:pPr>
      <w:r w:rsidRPr="000665B0">
        <w:t>Expand To:</w:t>
      </w:r>
      <w:r w:rsidR="00AD04B4" w:rsidRPr="000665B0">
        <w:t xml:space="preserve"> –</w:t>
      </w:r>
      <w:r w:rsidRPr="000665B0">
        <w:t xml:space="preserve"> Allows the user to expand the Missile Tree View down to Objectives, Targets, </w:t>
      </w:r>
      <w:r w:rsidR="0091627F" w:rsidRPr="000665B0">
        <w:t xml:space="preserve">Attack Plans, </w:t>
      </w:r>
      <w:r w:rsidRPr="000665B0">
        <w:t>Missions</w:t>
      </w:r>
      <w:r w:rsidR="009E35B8" w:rsidRPr="000665B0">
        <w:t>,</w:t>
      </w:r>
      <w:r w:rsidR="00B434BB" w:rsidRPr="000665B0">
        <w:t xml:space="preserve"> </w:t>
      </w:r>
      <w:r w:rsidR="00DB2A90" w:rsidRPr="000665B0">
        <w:t>TSN Type</w:t>
      </w:r>
      <w:r w:rsidR="00B434BB" w:rsidRPr="000665B0">
        <w:t>,</w:t>
      </w:r>
      <w:r w:rsidRPr="000665B0">
        <w:t xml:space="preserve"> or Missiles. This feature allows the user to customize the amount of data </w:t>
      </w:r>
      <w:r w:rsidR="00EF2893" w:rsidRPr="000665B0">
        <w:t>displayed</w:t>
      </w:r>
      <w:r w:rsidRPr="000665B0">
        <w:t xml:space="preserve"> while making </w:t>
      </w:r>
      <w:r w:rsidR="00EF2893" w:rsidRPr="000665B0">
        <w:t xml:space="preserve">missile </w:t>
      </w:r>
      <w:r w:rsidRPr="000665B0">
        <w:t xml:space="preserve">assignments. For instance, </w:t>
      </w:r>
      <w:r w:rsidR="00EF2893" w:rsidRPr="000665B0">
        <w:t xml:space="preserve">the operator </w:t>
      </w:r>
      <w:r w:rsidRPr="000665B0">
        <w:t xml:space="preserve">may want to see data only at the target level and then expand a selected target node. </w:t>
      </w:r>
      <w:r w:rsidR="009E35B8" w:rsidRPr="000665B0">
        <w:t xml:space="preserve">In the case of </w:t>
      </w:r>
      <w:r w:rsidRPr="000665B0">
        <w:t>assign</w:t>
      </w:r>
      <w:r w:rsidR="00EF2893" w:rsidRPr="000665B0">
        <w:t>ments being made</w:t>
      </w:r>
      <w:r w:rsidRPr="000665B0">
        <w:t xml:space="preserve"> at the mission level instead of the miscode level</w:t>
      </w:r>
      <w:r w:rsidR="00EF2893" w:rsidRPr="000665B0">
        <w:t>,</w:t>
      </w:r>
      <w:r w:rsidRPr="000665B0">
        <w:t xml:space="preserve"> expand down to the mission level </w:t>
      </w:r>
      <w:r w:rsidR="009E35B8" w:rsidRPr="000665B0">
        <w:t>which does not display</w:t>
      </w:r>
      <w:r w:rsidRPr="000665B0">
        <w:t xml:space="preserve"> the </w:t>
      </w:r>
      <w:r w:rsidR="00B434BB" w:rsidRPr="000665B0">
        <w:t xml:space="preserve">TSN types and </w:t>
      </w:r>
      <w:r w:rsidRPr="000665B0">
        <w:t>miscodes.</w:t>
      </w:r>
    </w:p>
    <w:p w14:paraId="6EEA806A" w14:textId="77777777" w:rsidR="005F7A03" w:rsidRPr="000665B0" w:rsidRDefault="005F7A03" w:rsidP="006D5A65">
      <w:pPr>
        <w:pStyle w:val="Heading1"/>
      </w:pPr>
      <w:r w:rsidRPr="000665B0">
        <w:t xml:space="preserve">Show: </w:t>
      </w:r>
      <w:r w:rsidR="00AD04B4" w:rsidRPr="000665B0">
        <w:t>–</w:t>
      </w:r>
      <w:r w:rsidRPr="000665B0">
        <w:t xml:space="preserve"> Allows the user to see All assignments that can be made for the option or Only Incomplete Items, </w:t>
      </w:r>
      <w:r w:rsidR="009E35B8" w:rsidRPr="000665B0">
        <w:t xml:space="preserve">which are </w:t>
      </w:r>
      <w:r w:rsidRPr="000665B0">
        <w:t>assignments that still need to be made.</w:t>
      </w:r>
      <w:r w:rsidR="00F303DA" w:rsidRPr="000665B0">
        <w:t xml:space="preserve"> </w:t>
      </w:r>
      <w:r w:rsidRPr="000665B0">
        <w:t xml:space="preserve">Choosing Only Incomplete Items allows the user to </w:t>
      </w:r>
      <w:r w:rsidR="009E35B8" w:rsidRPr="000665B0">
        <w:t xml:space="preserve">focus on items that still </w:t>
      </w:r>
      <w:r w:rsidR="009E35B8" w:rsidRPr="000665B0">
        <w:lastRenderedPageBreak/>
        <w:t>need assignments</w:t>
      </w:r>
      <w:r w:rsidRPr="000665B0">
        <w:t xml:space="preserve">. As assignments are made, </w:t>
      </w:r>
      <w:r w:rsidR="009E35B8" w:rsidRPr="000665B0">
        <w:t>items are eliminated from the tree view</w:t>
      </w:r>
      <w:r w:rsidRPr="000665B0">
        <w:t>.</w:t>
      </w:r>
    </w:p>
    <w:p w14:paraId="354D61F6" w14:textId="77777777" w:rsidR="00B434BB" w:rsidRPr="000665B0" w:rsidRDefault="00B434BB" w:rsidP="006D5A65">
      <w:pPr>
        <w:pStyle w:val="Heading1"/>
      </w:pPr>
      <w:r w:rsidRPr="000665B0">
        <w:t>Assign: – Allows the user to make assignments</w:t>
      </w:r>
      <w:r w:rsidR="000B2774" w:rsidRPr="000665B0">
        <w:t xml:space="preserve"> at the mission level</w:t>
      </w:r>
      <w:r w:rsidRPr="000665B0">
        <w:t xml:space="preserve"> by</w:t>
      </w:r>
      <w:r w:rsidR="000B2774" w:rsidRPr="000665B0">
        <w:t xml:space="preserve"> selecting one of the following</w:t>
      </w:r>
      <w:r w:rsidRPr="000665B0">
        <w:t>:</w:t>
      </w:r>
    </w:p>
    <w:p w14:paraId="74B3F328" w14:textId="24483446" w:rsidR="00B434BB" w:rsidRPr="000665B0" w:rsidRDefault="00B434BB" w:rsidP="006D5A65">
      <w:pPr>
        <w:pStyle w:val="Heading1"/>
      </w:pPr>
      <w:r w:rsidRPr="000665B0">
        <w:t xml:space="preserve">DAMA First </w:t>
      </w:r>
      <w:r w:rsidR="000B2774" w:rsidRPr="000665B0">
        <w:t xml:space="preserve">– </w:t>
      </w:r>
      <w:r w:rsidR="00B72B6C" w:rsidRPr="000665B0">
        <w:t>Lists DAMA capable missiles for assignment first, followed by ACA capable missiles for assignment</w:t>
      </w:r>
      <w:r w:rsidR="000B2774" w:rsidRPr="000665B0">
        <w:t>.</w:t>
      </w:r>
    </w:p>
    <w:p w14:paraId="368428BD" w14:textId="443EF5CC" w:rsidR="00B434BB" w:rsidRPr="000665B0" w:rsidRDefault="00B434BB" w:rsidP="006D5A65">
      <w:pPr>
        <w:pStyle w:val="Heading1"/>
      </w:pPr>
      <w:r w:rsidRPr="000665B0">
        <w:t>ACA First</w:t>
      </w:r>
      <w:r w:rsidR="000B2774" w:rsidRPr="000665B0">
        <w:t xml:space="preserve"> – </w:t>
      </w:r>
      <w:r w:rsidR="00B72B6C" w:rsidRPr="000665B0">
        <w:t>Lists ACA capable missiles for assignment first, followed by DAMA capable missiles for assignment.</w:t>
      </w:r>
    </w:p>
    <w:p w14:paraId="071BA106" w14:textId="11E9A635" w:rsidR="00B434BB" w:rsidRPr="000665B0" w:rsidRDefault="00B434BB" w:rsidP="006D5A65">
      <w:pPr>
        <w:pStyle w:val="Heading1"/>
      </w:pPr>
      <w:r w:rsidRPr="000665B0">
        <w:t xml:space="preserve">DAMA Only – </w:t>
      </w:r>
      <w:r w:rsidR="00B72B6C" w:rsidRPr="000665B0">
        <w:t xml:space="preserve">Lists </w:t>
      </w:r>
      <w:r w:rsidR="005A2283" w:rsidRPr="000665B0">
        <w:t xml:space="preserve">only </w:t>
      </w:r>
      <w:r w:rsidR="00B72B6C" w:rsidRPr="000665B0">
        <w:t xml:space="preserve">DAMA </w:t>
      </w:r>
      <w:r w:rsidR="005A2283" w:rsidRPr="000665B0">
        <w:t>capable missiles for assignment</w:t>
      </w:r>
      <w:r w:rsidR="000B2774" w:rsidRPr="000665B0">
        <w:t>.</w:t>
      </w:r>
      <w:r w:rsidR="00B72B6C" w:rsidRPr="000665B0">
        <w:t xml:space="preserve"> ACA assignments cannot be made.</w:t>
      </w:r>
    </w:p>
    <w:p w14:paraId="49FD05CC" w14:textId="2A07AD96" w:rsidR="00B434BB" w:rsidRPr="000665B0" w:rsidRDefault="00B434BB" w:rsidP="006D5A65">
      <w:pPr>
        <w:pStyle w:val="Heading1"/>
      </w:pPr>
      <w:r w:rsidRPr="000665B0">
        <w:t xml:space="preserve">ACA Only – </w:t>
      </w:r>
      <w:r w:rsidR="00B72B6C" w:rsidRPr="000665B0">
        <w:t xml:space="preserve">Lists </w:t>
      </w:r>
      <w:r w:rsidR="005A2283" w:rsidRPr="000665B0">
        <w:t xml:space="preserve">only </w:t>
      </w:r>
      <w:r w:rsidR="00B72B6C" w:rsidRPr="000665B0">
        <w:t xml:space="preserve">ACA </w:t>
      </w:r>
      <w:r w:rsidR="005A2283" w:rsidRPr="000665B0">
        <w:t>capable missiles for assignment</w:t>
      </w:r>
      <w:r w:rsidR="000B2774" w:rsidRPr="000665B0">
        <w:t>.</w:t>
      </w:r>
      <w:r w:rsidR="00B72B6C" w:rsidRPr="000665B0">
        <w:t xml:space="preserve"> DAMA assignments cannot be made.</w:t>
      </w:r>
    </w:p>
    <w:p w14:paraId="0AD439CE" w14:textId="77777777" w:rsidR="005F7A03" w:rsidRPr="000665B0" w:rsidRDefault="005F7A03" w:rsidP="006D5A65">
      <w:pPr>
        <w:pStyle w:val="Heading1"/>
      </w:pPr>
      <w:r w:rsidRPr="000665B0">
        <w:t xml:space="preserve">LAs: </w:t>
      </w:r>
      <w:r w:rsidR="00AD04B4" w:rsidRPr="000665B0">
        <w:t>–</w:t>
      </w:r>
      <w:r w:rsidRPr="000665B0">
        <w:t xml:space="preserve"> Allows the user to only see missions in All launch areas or only the selected </w:t>
      </w:r>
      <w:r w:rsidR="009E35B8" w:rsidRPr="000665B0">
        <w:t>launch area</w:t>
      </w:r>
      <w:r w:rsidRPr="000665B0">
        <w:t>. This gives the user the ability to make assignments where the missions fall in a particular launch area.</w:t>
      </w:r>
    </w:p>
    <w:p w14:paraId="28376F43" w14:textId="77777777" w:rsidR="005F7A03" w:rsidRPr="000665B0" w:rsidRDefault="005F7A03" w:rsidP="006D5A65">
      <w:pPr>
        <w:pStyle w:val="Heading1"/>
      </w:pPr>
      <w:r w:rsidRPr="000665B0">
        <w:t xml:space="preserve">Shooters to Assign: </w:t>
      </w:r>
      <w:r w:rsidR="00AD04B4" w:rsidRPr="000665B0">
        <w:t>–</w:t>
      </w:r>
      <w:r w:rsidRPr="000665B0">
        <w:t xml:space="preserve"> Allows the user to only see available missiles for the selected Trigraph or</w:t>
      </w:r>
      <w:r w:rsidR="00836ED6" w:rsidRPr="000665B0">
        <w:t xml:space="preserve"> for</w:t>
      </w:r>
      <w:r w:rsidRPr="000665B0">
        <w:t xml:space="preserve"> All </w:t>
      </w:r>
      <w:r w:rsidR="00836ED6" w:rsidRPr="000665B0">
        <w:t>Trigraphs</w:t>
      </w:r>
      <w:r w:rsidRPr="000665B0">
        <w:t xml:space="preserve">. This could be extremely useful if the user </w:t>
      </w:r>
      <w:r w:rsidR="00836ED6" w:rsidRPr="000665B0">
        <w:t xml:space="preserve">wants </w:t>
      </w:r>
      <w:r w:rsidRPr="000665B0">
        <w:t xml:space="preserve">to make all assignments for a certain FRU. For </w:t>
      </w:r>
      <w:r w:rsidR="00836ED6" w:rsidRPr="000665B0">
        <w:t>example</w:t>
      </w:r>
      <w:r w:rsidRPr="000665B0">
        <w:t xml:space="preserve">, a sub with </w:t>
      </w:r>
      <w:r w:rsidR="00836ED6" w:rsidRPr="000665B0">
        <w:t xml:space="preserve">ten </w:t>
      </w:r>
      <w:r w:rsidRPr="000665B0">
        <w:t xml:space="preserve">missiles to expend </w:t>
      </w:r>
      <w:r w:rsidR="00836ED6" w:rsidRPr="000665B0">
        <w:t xml:space="preserve">is </w:t>
      </w:r>
      <w:r w:rsidRPr="000665B0">
        <w:t xml:space="preserve">leaving the battle group. The user could select this sub in the Shooters to Assign list and quickly </w:t>
      </w:r>
      <w:r w:rsidR="00836ED6" w:rsidRPr="000665B0">
        <w:t xml:space="preserve">determine </w:t>
      </w:r>
      <w:r w:rsidRPr="000665B0">
        <w:t>which missions could be shot by the sub.</w:t>
      </w:r>
    </w:p>
    <w:p w14:paraId="4BAC8BC5" w14:textId="19954FAD" w:rsidR="00B4207F" w:rsidRPr="000665B0" w:rsidRDefault="00B4207F" w:rsidP="006D5A65">
      <w:pPr>
        <w:pStyle w:val="Heading1"/>
      </w:pPr>
      <w:r w:rsidRPr="000665B0">
        <w:t xml:space="preserve">Show Geofeasibility: – Allows the user to enable or disable the geofeasibility checks. The behavior applies to all types of reservations such as Assign Missile to, Assign Primary to, Assign Backup to, and Assign Backup Pool to. </w:t>
      </w:r>
    </w:p>
    <w:p w14:paraId="357ADDA8" w14:textId="19C2ED9F" w:rsidR="00B4207F" w:rsidRPr="000665B0" w:rsidRDefault="00B4207F" w:rsidP="006D5A65">
      <w:pPr>
        <w:pStyle w:val="Heading1"/>
      </w:pPr>
      <w:r w:rsidRPr="000665B0">
        <w:t>Enabled</w:t>
      </w:r>
      <w:r w:rsidR="000A2C95" w:rsidRPr="000665B0">
        <w:t xml:space="preserve"> (checkbox selected)</w:t>
      </w:r>
      <w:r w:rsidRPr="000665B0">
        <w:t xml:space="preserve"> – Analyzes and previews the geofeasibility of the FRUs prior to missile reservation. Geofeasibility analysis is performed with the results of the analysis indicating either geofeasible,</w:t>
      </w:r>
      <w:r w:rsidR="00092D74" w:rsidRPr="000665B0">
        <w:t xml:space="preserve"> partial geofeasibl</w:t>
      </w:r>
      <w:r w:rsidR="00B307C5" w:rsidRPr="000665B0">
        <w:t>e</w:t>
      </w:r>
      <w:r w:rsidR="00092D74" w:rsidRPr="000665B0">
        <w:t>,</w:t>
      </w:r>
      <w:r w:rsidRPr="000665B0">
        <w:t xml:space="preserve"> geofeasibility</w:t>
      </w:r>
      <w:r w:rsidR="00B307C5" w:rsidRPr="000665B0">
        <w:t xml:space="preserve"> unknown</w:t>
      </w:r>
      <w:r w:rsidRPr="000665B0">
        <w:t>, or geo infeasible.</w:t>
      </w:r>
    </w:p>
    <w:p w14:paraId="0AD5EB32" w14:textId="10623F26" w:rsidR="00B4207F" w:rsidRPr="000665B0" w:rsidRDefault="00B4207F" w:rsidP="006D5A65">
      <w:pPr>
        <w:pStyle w:val="Heading1"/>
      </w:pPr>
      <w:r w:rsidRPr="000665B0">
        <w:t xml:space="preserve">Disabled </w:t>
      </w:r>
      <w:r w:rsidR="000A2C95" w:rsidRPr="000665B0">
        <w:t xml:space="preserve">(checkbox not selected) </w:t>
      </w:r>
      <w:r w:rsidRPr="000665B0">
        <w:t>–</w:t>
      </w:r>
      <w:r w:rsidRPr="000665B0">
        <w:rPr>
          <w:szCs w:val="24"/>
        </w:rPr>
        <w:t xml:space="preserve"> </w:t>
      </w:r>
      <w:r w:rsidRPr="000665B0">
        <w:rPr>
          <w:color w:val="000000"/>
          <w:szCs w:val="24"/>
        </w:rPr>
        <w:t xml:space="preserve">Does not analyze or preview the geofeasibility of the FRUs prior to missile reservation. </w:t>
      </w:r>
      <w:r w:rsidRPr="000665B0">
        <w:t xml:space="preserve">Missile inventory </w:t>
      </w:r>
      <w:r w:rsidR="00B51401" w:rsidRPr="000665B0">
        <w:rPr>
          <w:color w:val="000000"/>
          <w:szCs w:val="24"/>
        </w:rPr>
        <w:t xml:space="preserve">feasibility </w:t>
      </w:r>
      <w:r w:rsidRPr="000665B0">
        <w:t xml:space="preserve">is the only </w:t>
      </w:r>
      <w:r w:rsidRPr="000665B0">
        <w:lastRenderedPageBreak/>
        <w:t>parameter that is considered regarding mission or missile reservation.</w:t>
      </w:r>
    </w:p>
    <w:p w14:paraId="71B41BD4" w14:textId="39BED280" w:rsidR="005F7A03" w:rsidRPr="000665B0" w:rsidRDefault="005F7A03" w:rsidP="00306174">
      <w:pPr>
        <w:pStyle w:val="Heading6"/>
      </w:pPr>
      <w:bookmarkStart w:id="6416" w:name="_Toc289328879"/>
      <w:r w:rsidRPr="000665B0">
        <w:t xml:space="preserve">Missiles Tree View </w:t>
      </w:r>
      <w:bookmarkEnd w:id="6416"/>
      <w:r w:rsidR="00FC2E1A" w:rsidRPr="000665B0">
        <w:t>Pane</w:t>
      </w:r>
    </w:p>
    <w:p w14:paraId="259C8097" w14:textId="7770FD20" w:rsidR="00836ED6" w:rsidRPr="000665B0" w:rsidRDefault="006C7ECA" w:rsidP="00474A1F">
      <w:pPr>
        <w:tabs>
          <w:tab w:val="left" w:pos="720"/>
        </w:tabs>
        <w:jc w:val="center"/>
      </w:pPr>
      <w:r w:rsidRPr="000665B0">
        <w:rPr>
          <w:noProof/>
        </w:rPr>
        <w:drawing>
          <wp:inline distT="0" distB="0" distL="0" distR="0" wp14:anchorId="186592F7" wp14:editId="4D18381C">
            <wp:extent cx="4114800" cy="4718304"/>
            <wp:effectExtent l="0" t="0" r="0" b="6350"/>
            <wp:docPr id="2106" name="Picture 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4718304"/>
                    </a:xfrm>
                    <a:prstGeom prst="rect">
                      <a:avLst/>
                    </a:prstGeom>
                  </pic:spPr>
                </pic:pic>
              </a:graphicData>
            </a:graphic>
          </wp:inline>
        </w:drawing>
      </w:r>
    </w:p>
    <w:p w14:paraId="45D35F87" w14:textId="4573F90D" w:rsidR="00B077FE" w:rsidRPr="000665B0" w:rsidRDefault="005F7A03" w:rsidP="00474A1F">
      <w:pPr>
        <w:pStyle w:val="BodyText"/>
        <w:tabs>
          <w:tab w:val="left" w:pos="720"/>
        </w:tabs>
        <w:spacing w:after="120"/>
        <w:rPr>
          <w:b/>
        </w:rPr>
      </w:pPr>
      <w:r w:rsidRPr="000665B0">
        <w:t xml:space="preserve">This tree view shows the available missiles by shooter for each mission in the option. </w:t>
      </w:r>
      <w:r w:rsidR="00157B8B" w:rsidRPr="000665B0">
        <w:t xml:space="preserve">As each selection is made in the </w:t>
      </w:r>
      <w:r w:rsidR="00157B8B" w:rsidRPr="000665B0">
        <w:rPr>
          <w:b/>
        </w:rPr>
        <w:t>Expand To:</w:t>
      </w:r>
      <w:r w:rsidR="00157B8B" w:rsidRPr="000665B0">
        <w:t xml:space="preserve"> </w:t>
      </w:r>
      <w:r w:rsidR="004D6FF6" w:rsidRPr="000665B0">
        <w:t>pull down</w:t>
      </w:r>
      <w:r w:rsidR="00157B8B" w:rsidRPr="000665B0">
        <w:t xml:space="preserve"> menu, the tree view is expanded with more detail. The selection and level of detail is by </w:t>
      </w:r>
      <w:r w:rsidR="00157B8B" w:rsidRPr="000665B0">
        <w:rPr>
          <w:b/>
        </w:rPr>
        <w:t>Objectives</w:t>
      </w:r>
      <w:r w:rsidR="00157B8B" w:rsidRPr="000665B0">
        <w:t xml:space="preserve">, </w:t>
      </w:r>
      <w:r w:rsidR="00157B8B" w:rsidRPr="000665B0">
        <w:rPr>
          <w:b/>
        </w:rPr>
        <w:t>Targets</w:t>
      </w:r>
      <w:r w:rsidR="00157B8B" w:rsidRPr="000665B0">
        <w:t xml:space="preserve">, </w:t>
      </w:r>
      <w:r w:rsidR="0091627F" w:rsidRPr="000665B0">
        <w:rPr>
          <w:b/>
        </w:rPr>
        <w:t>Attack Plans</w:t>
      </w:r>
      <w:r w:rsidR="0091627F" w:rsidRPr="000665B0">
        <w:t xml:space="preserve">, </w:t>
      </w:r>
      <w:r w:rsidR="00157B8B" w:rsidRPr="000665B0">
        <w:rPr>
          <w:b/>
        </w:rPr>
        <w:t>Missions</w:t>
      </w:r>
      <w:r w:rsidR="00157B8B" w:rsidRPr="000665B0">
        <w:t>,</w:t>
      </w:r>
      <w:r w:rsidR="000B2774" w:rsidRPr="000665B0">
        <w:t xml:space="preserve"> </w:t>
      </w:r>
      <w:r w:rsidR="00DB2A90" w:rsidRPr="000665B0">
        <w:rPr>
          <w:b/>
        </w:rPr>
        <w:t xml:space="preserve">TSN </w:t>
      </w:r>
      <w:r w:rsidR="000B2774" w:rsidRPr="000665B0">
        <w:rPr>
          <w:b/>
        </w:rPr>
        <w:t>Type</w:t>
      </w:r>
      <w:r w:rsidR="000B2774" w:rsidRPr="000665B0">
        <w:t>,</w:t>
      </w:r>
      <w:r w:rsidR="00157B8B" w:rsidRPr="000665B0">
        <w:t xml:space="preserve"> and then </w:t>
      </w:r>
      <w:r w:rsidR="00157B8B" w:rsidRPr="000665B0">
        <w:rPr>
          <w:b/>
        </w:rPr>
        <w:t>Missiles</w:t>
      </w:r>
      <w:r w:rsidR="00157B8B" w:rsidRPr="000665B0">
        <w:t xml:space="preserve">. </w:t>
      </w:r>
      <w:r w:rsidR="003C7DFA" w:rsidRPr="000665B0">
        <w:t xml:space="preserve">Additionally, each level of the tree view can be expanded/contracted by clicking the +/- to the left of the icon. </w:t>
      </w:r>
      <w:r w:rsidRPr="000665B0">
        <w:t xml:space="preserve">From this tree view the user can make missile assignments (see </w:t>
      </w:r>
      <w:hyperlink w:anchor="_5.37.6.1.16.6__How" w:history="1">
        <w:r w:rsidR="009326FE" w:rsidRPr="000665B0">
          <w:rPr>
            <w:rStyle w:val="Hyperlink"/>
          </w:rPr>
          <w:t xml:space="preserve">Section </w:t>
        </w:r>
        <w:r w:rsidR="004231CC">
          <w:rPr>
            <w:rStyle w:val="Hyperlink"/>
          </w:rPr>
          <w:t>5.34</w:t>
        </w:r>
        <w:r w:rsidR="008B4AA0" w:rsidRPr="000665B0">
          <w:rPr>
            <w:rStyle w:val="Hyperlink"/>
          </w:rPr>
          <w:t xml:space="preserve">.7.1.17.7 </w:t>
        </w:r>
      </w:hyperlink>
      <w:r w:rsidR="00B056FF" w:rsidRPr="000665B0">
        <w:t>for more information</w:t>
      </w:r>
      <w:r w:rsidRPr="000665B0">
        <w:t>)</w:t>
      </w:r>
      <w:r w:rsidR="00836ED6" w:rsidRPr="000665B0">
        <w:t>.</w:t>
      </w:r>
      <w:r w:rsidRPr="000665B0">
        <w:rPr>
          <w:b/>
        </w:rPr>
        <w:t xml:space="preserve"> </w:t>
      </w:r>
    </w:p>
    <w:p w14:paraId="7FFDDBF8" w14:textId="590490EA" w:rsidR="005F7A03" w:rsidRPr="000665B0" w:rsidRDefault="00836ED6" w:rsidP="00474A1F">
      <w:pPr>
        <w:pStyle w:val="BodyText"/>
        <w:tabs>
          <w:tab w:val="left" w:pos="720"/>
        </w:tabs>
        <w:spacing w:after="120"/>
      </w:pPr>
      <w:r w:rsidRPr="000665B0">
        <w:t xml:space="preserve">The </w:t>
      </w:r>
      <w:r w:rsidR="005F7A03" w:rsidRPr="000665B0">
        <w:t xml:space="preserve">following describes the </w:t>
      </w:r>
      <w:r w:rsidRPr="000665B0">
        <w:t xml:space="preserve">tree view listing and </w:t>
      </w:r>
      <w:r w:rsidR="00157B8B" w:rsidRPr="000665B0">
        <w:t>each</w:t>
      </w:r>
      <w:r w:rsidRPr="000665B0">
        <w:t xml:space="preserve"> </w:t>
      </w:r>
      <w:r w:rsidR="005F7A03" w:rsidRPr="000665B0">
        <w:t>context menu</w:t>
      </w:r>
      <w:r w:rsidRPr="000665B0">
        <w:t xml:space="preserve">, based on the selection in the </w:t>
      </w:r>
      <w:r w:rsidRPr="000665B0">
        <w:rPr>
          <w:b/>
        </w:rPr>
        <w:t xml:space="preserve">Expand To: </w:t>
      </w:r>
      <w:r w:rsidR="004D6FF6" w:rsidRPr="000665B0">
        <w:t>pull down</w:t>
      </w:r>
      <w:r w:rsidRPr="000665B0">
        <w:t xml:space="preserve"> menu</w:t>
      </w:r>
      <w:r w:rsidR="005F7A03" w:rsidRPr="000665B0">
        <w:t>:</w:t>
      </w:r>
    </w:p>
    <w:p w14:paraId="48ECC55C" w14:textId="77777777" w:rsidR="005F7A03" w:rsidRPr="000665B0" w:rsidRDefault="005F7A03" w:rsidP="006D5A65">
      <w:pPr>
        <w:pStyle w:val="Heading1"/>
      </w:pPr>
      <w:r w:rsidRPr="000665B0">
        <w:t>Objective</w:t>
      </w:r>
      <w:r w:rsidR="00836ED6" w:rsidRPr="000665B0">
        <w:t>s</w:t>
      </w:r>
      <w:r w:rsidRPr="000665B0">
        <w:t xml:space="preserve"> – This </w:t>
      </w:r>
      <w:r w:rsidR="00836ED6" w:rsidRPr="000665B0">
        <w:t xml:space="preserve">list view </w:t>
      </w:r>
      <w:r w:rsidRPr="000665B0">
        <w:t>contains the O</w:t>
      </w:r>
      <w:r w:rsidR="002A2B3B" w:rsidRPr="000665B0">
        <w:t>bjective ID with its Objective.</w:t>
      </w:r>
    </w:p>
    <w:p w14:paraId="3E5C3576" w14:textId="77777777" w:rsidR="005F7A03" w:rsidRPr="000665B0" w:rsidRDefault="005F7A03" w:rsidP="006D5A65">
      <w:pPr>
        <w:pStyle w:val="Heading2"/>
      </w:pPr>
      <w:r w:rsidRPr="000665B0">
        <w:t xml:space="preserve">Show Assignments – </w:t>
      </w:r>
      <w:r w:rsidR="006E0927" w:rsidRPr="000665B0">
        <w:t>Updates the Assignments pane at the bottom of the window</w:t>
      </w:r>
      <w:r w:rsidRPr="000665B0">
        <w:t xml:space="preserve"> for the selected objective</w:t>
      </w:r>
      <w:r w:rsidR="002A2B3B" w:rsidRPr="000665B0">
        <w:t>.</w:t>
      </w:r>
    </w:p>
    <w:p w14:paraId="727BBDF1" w14:textId="77777777" w:rsidR="005F7A03" w:rsidRPr="000665B0" w:rsidRDefault="005F7A03" w:rsidP="006D5A65">
      <w:pPr>
        <w:pStyle w:val="Heading1"/>
      </w:pPr>
      <w:r w:rsidRPr="000665B0">
        <w:lastRenderedPageBreak/>
        <w:t>Target</w:t>
      </w:r>
      <w:r w:rsidR="00836ED6" w:rsidRPr="000665B0">
        <w:t>s</w:t>
      </w:r>
      <w:r w:rsidRPr="000665B0">
        <w:t xml:space="preserve"> – This </w:t>
      </w:r>
      <w:r w:rsidR="00836ED6" w:rsidRPr="000665B0">
        <w:t xml:space="preserve">list view </w:t>
      </w:r>
      <w:r w:rsidRPr="000665B0">
        <w:t xml:space="preserve">contains the Target ID, Target Priority, </w:t>
      </w:r>
      <w:r w:rsidR="001C6D19" w:rsidRPr="000665B0">
        <w:t>109E</w:t>
      </w:r>
      <w:r w:rsidR="00FE3881" w:rsidRPr="000665B0">
        <w:t xml:space="preserve"> Required indicator, Critical target indicator, </w:t>
      </w:r>
      <w:r w:rsidRPr="000665B0">
        <w:t>and the number of missiles needed/assigned to the target for each reservation type.</w:t>
      </w:r>
    </w:p>
    <w:p w14:paraId="1032AABC" w14:textId="5FCA643A" w:rsidR="00EB2A3C" w:rsidRPr="000665B0" w:rsidRDefault="00EB2A3C" w:rsidP="006D5A65">
      <w:pPr>
        <w:pStyle w:val="Heading2"/>
      </w:pPr>
      <w:r w:rsidRPr="000665B0">
        <w:t xml:space="preserve">New TMPR – </w:t>
      </w:r>
      <w:r w:rsidR="00E84CB7" w:rsidRPr="000665B0">
        <w:t>Opens</w:t>
      </w:r>
      <w:r w:rsidR="00157B8B" w:rsidRPr="000665B0">
        <w:t xml:space="preserve"> a new </w:t>
      </w:r>
      <w:r w:rsidR="00157B8B" w:rsidRPr="000665B0">
        <w:rPr>
          <w:i/>
        </w:rPr>
        <w:t>TMPR</w:t>
      </w:r>
      <w:r w:rsidR="00157B8B" w:rsidRPr="000665B0">
        <w:t xml:space="preserve"> window.</w:t>
      </w:r>
    </w:p>
    <w:p w14:paraId="70A9AA74" w14:textId="1D8496D3" w:rsidR="00DB2A90" w:rsidRPr="000665B0" w:rsidRDefault="00DB2A90" w:rsidP="006D5A65">
      <w:pPr>
        <w:pStyle w:val="Heading2"/>
      </w:pPr>
      <w:r w:rsidRPr="000665B0">
        <w:t xml:space="preserve">New Attack Plan TMPR – </w:t>
      </w:r>
      <w:r w:rsidR="00E84CB7" w:rsidRPr="000665B0">
        <w:t>Opens</w:t>
      </w:r>
      <w:r w:rsidRPr="000665B0">
        <w:t xml:space="preserve"> a new Attack Plan </w:t>
      </w:r>
      <w:r w:rsidRPr="000665B0">
        <w:rPr>
          <w:i/>
        </w:rPr>
        <w:t>TMPR</w:t>
      </w:r>
      <w:r w:rsidRPr="000665B0">
        <w:t xml:space="preserve"> window.</w:t>
      </w:r>
    </w:p>
    <w:p w14:paraId="02CC9C3B" w14:textId="77777777" w:rsidR="005F7A03" w:rsidRPr="000665B0" w:rsidRDefault="005F7A03" w:rsidP="006D5A65">
      <w:pPr>
        <w:pStyle w:val="Heading2"/>
      </w:pPr>
      <w:r w:rsidRPr="000665B0">
        <w:t xml:space="preserve">Display Geographically </w:t>
      </w:r>
      <w:r w:rsidR="00AD04B4" w:rsidRPr="000665B0">
        <w:t>–</w:t>
      </w:r>
      <w:r w:rsidRPr="000665B0">
        <w:t xml:space="preserve"> Displays the selected target(s) geographically.</w:t>
      </w:r>
    </w:p>
    <w:p w14:paraId="1414EB25" w14:textId="0E886775" w:rsidR="00B4207F" w:rsidRPr="000665B0" w:rsidRDefault="005F7A03" w:rsidP="006D5A65">
      <w:pPr>
        <w:pStyle w:val="Heading2"/>
      </w:pPr>
      <w:r w:rsidRPr="000665B0">
        <w:t>Show Assignments (</w:t>
      </w:r>
      <w:r w:rsidR="00AD04B4" w:rsidRPr="000665B0">
        <w:t xml:space="preserve">Enabled </w:t>
      </w:r>
      <w:r w:rsidRPr="000665B0">
        <w:t xml:space="preserve">if </w:t>
      </w:r>
      <w:r w:rsidR="00AD04B4" w:rsidRPr="000665B0">
        <w:t xml:space="preserve">Only </w:t>
      </w:r>
      <w:r w:rsidR="00157B8B" w:rsidRPr="000665B0">
        <w:t xml:space="preserve">One </w:t>
      </w:r>
      <w:r w:rsidR="00AD04B4" w:rsidRPr="000665B0">
        <w:t>Selected</w:t>
      </w:r>
      <w:r w:rsidRPr="000665B0">
        <w:t xml:space="preserve">) </w:t>
      </w:r>
      <w:r w:rsidR="00AD04B4" w:rsidRPr="000665B0">
        <w:t>–</w:t>
      </w:r>
      <w:r w:rsidRPr="000665B0">
        <w:t xml:space="preserve"> </w:t>
      </w:r>
      <w:r w:rsidR="006E0927" w:rsidRPr="000665B0">
        <w:t xml:space="preserve">Updates the Assignments pane at the bottom of the </w:t>
      </w:r>
      <w:r w:rsidR="0043623E" w:rsidRPr="000665B0">
        <w:t>window</w:t>
      </w:r>
      <w:r w:rsidR="0043623E" w:rsidRPr="000665B0" w:rsidDel="006E0927">
        <w:t xml:space="preserve"> </w:t>
      </w:r>
      <w:r w:rsidR="0043623E" w:rsidRPr="000665B0">
        <w:t>for</w:t>
      </w:r>
      <w:r w:rsidRPr="000665B0">
        <w:t xml:space="preserve"> the selected target</w:t>
      </w:r>
      <w:r w:rsidR="002A2B3B" w:rsidRPr="000665B0">
        <w:t>.</w:t>
      </w:r>
    </w:p>
    <w:p w14:paraId="6CB1FC77" w14:textId="070EDFC1" w:rsidR="00FE3881" w:rsidRPr="000665B0" w:rsidRDefault="000D7D0C" w:rsidP="00521C39">
      <w:pPr>
        <w:pStyle w:val="BodyText"/>
        <w:spacing w:after="120"/>
        <w:jc w:val="center"/>
      </w:pPr>
      <w:r w:rsidRPr="000665B0">
        <w:rPr>
          <w:noProof/>
        </w:rPr>
        <w:drawing>
          <wp:inline distT="0" distB="0" distL="0" distR="0" wp14:anchorId="3E9531D1" wp14:editId="3F60583B">
            <wp:extent cx="2286000" cy="1303360"/>
            <wp:effectExtent l="0" t="0" r="0" b="0"/>
            <wp:docPr id="1964" name="Picture 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310311" cy="1317221"/>
                    </a:xfrm>
                    <a:prstGeom prst="rect">
                      <a:avLst/>
                    </a:prstGeom>
                  </pic:spPr>
                </pic:pic>
              </a:graphicData>
            </a:graphic>
          </wp:inline>
        </w:drawing>
      </w:r>
    </w:p>
    <w:p w14:paraId="64F1760F" w14:textId="1FA9DFCD" w:rsidR="0091627F" w:rsidRPr="000665B0" w:rsidRDefault="0091627F" w:rsidP="006D5A65">
      <w:pPr>
        <w:pStyle w:val="Heading1"/>
      </w:pPr>
      <w:r w:rsidRPr="000665B0">
        <w:t xml:space="preserve">Attack Plans – </w:t>
      </w:r>
      <w:r w:rsidR="00386B59" w:rsidRPr="000665B0">
        <w:t xml:space="preserve">This list view contains the </w:t>
      </w:r>
      <w:r w:rsidR="004D09D3" w:rsidRPr="000665B0">
        <w:t xml:space="preserve">Attack Plan ID, </w:t>
      </w:r>
      <w:r w:rsidR="007C7195" w:rsidRPr="000665B0">
        <w:t xml:space="preserve">Attack Plan TMPR ID, TMPR </w:t>
      </w:r>
      <w:r w:rsidR="001B53E9" w:rsidRPr="000665B0">
        <w:t>s</w:t>
      </w:r>
      <w:r w:rsidR="007C7195" w:rsidRPr="000665B0">
        <w:t xml:space="preserve">tate, number of completed missions for the attack plan, and the number of fulfilled required primary reservations. Attack </w:t>
      </w:r>
      <w:r w:rsidR="00386B59" w:rsidRPr="000665B0">
        <w:t xml:space="preserve">Plans are listed under their matching tasking and are identified by the fist </w:t>
      </w:r>
      <w:r w:rsidR="00386B59" w:rsidRPr="000665B0">
        <w:rPr>
          <w:noProof/>
          <w:position w:val="-2"/>
        </w:rPr>
        <w:drawing>
          <wp:inline distT="0" distB="0" distL="0" distR="0" wp14:anchorId="299CCEF8" wp14:editId="6E25A90C">
            <wp:extent cx="142875" cy="138112"/>
            <wp:effectExtent l="0" t="0" r="0" b="0"/>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875" cy="138112"/>
                    </a:xfrm>
                    <a:prstGeom prst="rect">
                      <a:avLst/>
                    </a:prstGeom>
                    <a:ln>
                      <a:noFill/>
                    </a:ln>
                    <a:extLst>
                      <a:ext uri="{53640926-AAD7-44D8-BBD7-CCE9431645EC}">
                        <a14:shadowObscured xmlns:a14="http://schemas.microsoft.com/office/drawing/2010/main"/>
                      </a:ext>
                    </a:extLst>
                  </pic:spPr>
                </pic:pic>
              </a:graphicData>
            </a:graphic>
          </wp:inline>
        </w:drawing>
      </w:r>
      <w:r w:rsidR="00386B59" w:rsidRPr="000665B0">
        <w:t xml:space="preserve"> icon. </w:t>
      </w:r>
      <w:r w:rsidR="00386B59" w:rsidRPr="000665B0">
        <w:rPr>
          <w:szCs w:val="24"/>
        </w:rPr>
        <w:t xml:space="preserve">Attack Plan TMPRs are displayed in a tree view with the root level displaying the Attack Plan TMPR and </w:t>
      </w:r>
      <w:r w:rsidR="00386B59" w:rsidRPr="000665B0">
        <w:t xml:space="preserve">the branch level displaying all of the mission(s) for the selected Attack Plan. </w:t>
      </w:r>
    </w:p>
    <w:p w14:paraId="5C0B6BE8" w14:textId="7F491553" w:rsidR="006715CC" w:rsidRPr="000665B0" w:rsidRDefault="006715CC" w:rsidP="006D5A65">
      <w:pPr>
        <w:pStyle w:val="Heading2"/>
      </w:pPr>
      <w:r w:rsidRPr="000665B0">
        <w:t>Assign Primary for Each Mission to – Displays a list of trigraphs that can make the primary assignments on the selected FRU. Once a trigraph is selected, the primary assignments are made</w:t>
      </w:r>
      <w:r w:rsidR="00794089" w:rsidRPr="000665B0">
        <w:t xml:space="preserve"> for each mission in the Attack Plan</w:t>
      </w:r>
      <w:r w:rsidR="007E1B8A" w:rsidRPr="000665B0">
        <w:t xml:space="preserve"> (this quickly makes assignments for all missions, vs. making assignments for each individual mission)</w:t>
      </w:r>
      <w:r w:rsidRPr="000665B0">
        <w:t>.</w:t>
      </w:r>
      <w:r w:rsidR="007E1B8A" w:rsidRPr="000665B0">
        <w:t xml:space="preserve"> </w:t>
      </w:r>
    </w:p>
    <w:p w14:paraId="2201A44D" w14:textId="19DCDE30" w:rsidR="006715CC" w:rsidRPr="000665B0" w:rsidRDefault="006715CC" w:rsidP="006D5A65">
      <w:pPr>
        <w:pStyle w:val="Heading2"/>
      </w:pPr>
      <w:r w:rsidRPr="000665B0">
        <w:t>Display Textually – Displays the selected Attack Plan textually.</w:t>
      </w:r>
    </w:p>
    <w:p w14:paraId="739AE26D" w14:textId="3F46D025" w:rsidR="006715CC" w:rsidRPr="000665B0" w:rsidRDefault="006715CC" w:rsidP="006D5A65">
      <w:pPr>
        <w:pStyle w:val="Heading2"/>
      </w:pPr>
      <w:r w:rsidRPr="000665B0">
        <w:t xml:space="preserve">Show Assignments </w:t>
      </w:r>
      <w:r w:rsidR="00794089" w:rsidRPr="000665B0">
        <w:t xml:space="preserve">(Enabled if Only One Selected) </w:t>
      </w:r>
      <w:r w:rsidRPr="000665B0">
        <w:t>– Updates the Assignments pane at the bottom of the window for the selected Attack Plan.</w:t>
      </w:r>
    </w:p>
    <w:p w14:paraId="032F4257" w14:textId="110CB336" w:rsidR="005F7A03" w:rsidRPr="000665B0" w:rsidRDefault="005F7A03" w:rsidP="006D5A65">
      <w:pPr>
        <w:pStyle w:val="Heading1"/>
      </w:pPr>
      <w:r w:rsidRPr="000665B0">
        <w:lastRenderedPageBreak/>
        <w:t>Mission</w:t>
      </w:r>
      <w:r w:rsidR="00157B8B" w:rsidRPr="000665B0">
        <w:t>s</w:t>
      </w:r>
      <w:r w:rsidRPr="000665B0">
        <w:t xml:space="preserve"> – This </w:t>
      </w:r>
      <w:r w:rsidR="00157B8B" w:rsidRPr="000665B0">
        <w:t xml:space="preserve">list view </w:t>
      </w:r>
      <w:r w:rsidRPr="000665B0">
        <w:t>contains the Mission ID, Missile Variant, Launch Area</w:t>
      </w:r>
      <w:r w:rsidR="00170A0C" w:rsidRPr="000665B0">
        <w:t xml:space="preserve"> in the Geo View</w:t>
      </w:r>
      <w:r w:rsidRPr="000665B0">
        <w:t xml:space="preserve">, and the number of missiles needed/assigned to the </w:t>
      </w:r>
      <w:r w:rsidR="002A2B3B" w:rsidRPr="000665B0">
        <w:t>mission for</w:t>
      </w:r>
      <w:r w:rsidRPr="000665B0">
        <w:t xml:space="preserve"> each reservation type.</w:t>
      </w:r>
      <w:r w:rsidR="00A56C0D" w:rsidRPr="000665B0">
        <w:t xml:space="preserve"> </w:t>
      </w:r>
      <w:r w:rsidR="005C1123" w:rsidRPr="000665B0">
        <w:t>If a mission is designated for use by MSTM</w:t>
      </w:r>
      <w:r w:rsidR="00C05381" w:rsidRPr="000665B0">
        <w:t>s</w:t>
      </w:r>
      <w:r w:rsidR="005C1123" w:rsidRPr="000665B0">
        <w:t xml:space="preserve">, “MSTM” is displayed in the </w:t>
      </w:r>
      <w:r w:rsidR="00EF0E3A">
        <w:t>M</w:t>
      </w:r>
      <w:r w:rsidR="005C1123" w:rsidRPr="000665B0">
        <w:t xml:space="preserve">ission ID line before the listing of missiles needed/assigned and the mission cannot be assigned to a pre-5.6 TTWCS. </w:t>
      </w:r>
      <w:r w:rsidR="00DA0A5C" w:rsidRPr="000665B0">
        <w:t xml:space="preserve">If a mission is designated for use by </w:t>
      </w:r>
      <w:r w:rsidR="00DA0A5C">
        <w:t>109E ACPs</w:t>
      </w:r>
      <w:r w:rsidR="00DA0A5C" w:rsidRPr="000665B0">
        <w:t>, “</w:t>
      </w:r>
      <w:r w:rsidR="00DA0A5C">
        <w:t>109E ACP</w:t>
      </w:r>
      <w:r w:rsidR="00DA0A5C" w:rsidRPr="000665B0">
        <w:t xml:space="preserve">” is displayed in the </w:t>
      </w:r>
      <w:r w:rsidR="00DA0A5C">
        <w:t>M</w:t>
      </w:r>
      <w:r w:rsidR="00DA0A5C" w:rsidRPr="000665B0">
        <w:t>ission ID line before the listing of missiles needed/assigned and the mission cannot be assigned to a pre-5.6 TTWCS.</w:t>
      </w:r>
      <w:r w:rsidR="00DA0A5C">
        <w:t xml:space="preserve"> </w:t>
      </w:r>
      <w:r w:rsidR="00A56C0D" w:rsidRPr="000665B0">
        <w:t xml:space="preserve">If Fine Alignment is required for the mission, “FINE” is </w:t>
      </w:r>
      <w:r w:rsidR="00651758" w:rsidRPr="000665B0">
        <w:t>displayed before the listing of missiles needed/assigned and the mission cannot be assigned to a legacy TTWCS.</w:t>
      </w:r>
      <w:r w:rsidRPr="000665B0">
        <w:t xml:space="preserve"> </w:t>
      </w:r>
      <w:r w:rsidR="008257A9" w:rsidRPr="000665B0">
        <w:t xml:space="preserve">If a mission is designated for use by certain missiles with tail numbers (aka serial numbers), “(TAIL)” is displayed </w:t>
      </w:r>
      <w:r w:rsidR="00696953" w:rsidRPr="000665B0">
        <w:t xml:space="preserve">in the </w:t>
      </w:r>
      <w:r w:rsidR="00EF0E3A">
        <w:t>M</w:t>
      </w:r>
      <w:r w:rsidR="00696953" w:rsidRPr="000665B0">
        <w:t xml:space="preserve">ission ID line </w:t>
      </w:r>
      <w:r w:rsidR="008257A9" w:rsidRPr="000665B0">
        <w:t xml:space="preserve">before the listing of missiles needed/assigned and the mission cannot be assigned to a </w:t>
      </w:r>
      <w:r w:rsidR="00696953" w:rsidRPr="000665B0">
        <w:t xml:space="preserve">pre-5.6 </w:t>
      </w:r>
      <w:r w:rsidR="008257A9" w:rsidRPr="000665B0">
        <w:t xml:space="preserve">TTWCS. </w:t>
      </w:r>
      <w:r w:rsidRPr="000665B0">
        <w:t xml:space="preserve">If </w:t>
      </w:r>
      <w:r w:rsidR="002A2B3B" w:rsidRPr="000665B0">
        <w:t>a ghost assignment exists</w:t>
      </w:r>
      <w:r w:rsidRPr="000665B0">
        <w:t xml:space="preserve"> for the mission, Ghosted </w:t>
      </w:r>
      <w:r w:rsidR="00D31B66" w:rsidRPr="000665B0">
        <w:t>is displayed after the listing of missiles needed/assigned</w:t>
      </w:r>
      <w:r w:rsidRPr="000665B0">
        <w:t xml:space="preserve">. When assignments are made at </w:t>
      </w:r>
      <w:r w:rsidR="00170A0C" w:rsidRPr="000665B0">
        <w:t>the mission</w:t>
      </w:r>
      <w:r w:rsidRPr="000665B0">
        <w:t xml:space="preserve"> level</w:t>
      </w:r>
      <w:r w:rsidR="00D31B66" w:rsidRPr="000665B0">
        <w:t>,</w:t>
      </w:r>
      <w:r w:rsidRPr="000665B0">
        <w:t xml:space="preserve"> the </w:t>
      </w:r>
      <w:r w:rsidR="00D31B66" w:rsidRPr="000665B0">
        <w:t>least-</w:t>
      </w:r>
      <w:r w:rsidRPr="000665B0">
        <w:t>cost missile available</w:t>
      </w:r>
      <w:r w:rsidR="00170A0C" w:rsidRPr="000665B0">
        <w:t xml:space="preserve"> in the selected FRU</w:t>
      </w:r>
      <w:r w:rsidRPr="000665B0">
        <w:t xml:space="preserve"> is </w:t>
      </w:r>
      <w:r w:rsidR="00277ADB" w:rsidRPr="000665B0">
        <w:t xml:space="preserve">assigned to the </w:t>
      </w:r>
      <w:r w:rsidR="00170A0C" w:rsidRPr="000665B0">
        <w:t>mission</w:t>
      </w:r>
      <w:r w:rsidRPr="000665B0">
        <w:t xml:space="preserve">. </w:t>
      </w:r>
      <w:r w:rsidR="00E453CF" w:rsidRPr="00E453CF">
        <w:t>For MSTM assignments at the mission level</w:t>
      </w:r>
      <w:r w:rsidR="005E5264">
        <w:t>,</w:t>
      </w:r>
      <w:r w:rsidR="00E453CF" w:rsidRPr="00E453CF">
        <w:t xml:space="preserve"> it will first take the least-cost missile with a bad seeker</w:t>
      </w:r>
      <w:r w:rsidR="005E5264">
        <w:t>,</w:t>
      </w:r>
      <w:r w:rsidR="00E453CF" w:rsidRPr="00E453CF">
        <w:t xml:space="preserve"> then look for least-cost missile with </w:t>
      </w:r>
      <w:r w:rsidR="005E5264">
        <w:t xml:space="preserve">a </w:t>
      </w:r>
      <w:r w:rsidR="00E453CF" w:rsidRPr="00E453CF">
        <w:t>good seeker.</w:t>
      </w:r>
      <w:r w:rsidR="00FA3672">
        <w:t xml:space="preserve"> </w:t>
      </w:r>
      <w:r w:rsidR="00230996" w:rsidRPr="000665B0">
        <w:t>When the Geo display is enabled, the selected mission node’s icon is highlighted with the same color (</w:t>
      </w:r>
      <w:r w:rsidR="003509EA" w:rsidRPr="000665B0">
        <w:t xml:space="preserve">e.g., </w:t>
      </w:r>
      <w:r w:rsidR="00230996" w:rsidRPr="000665B0">
        <w:rPr>
          <w:noProof/>
          <w:position w:val="-4"/>
        </w:rPr>
        <w:drawing>
          <wp:inline distT="0" distB="0" distL="0" distR="0" wp14:anchorId="18FD9140" wp14:editId="35D3147E">
            <wp:extent cx="200025" cy="190500"/>
            <wp:effectExtent l="0" t="0" r="9525"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a:srcRect/>
                    <a:stretch/>
                  </pic:blipFill>
                  <pic:spPr bwMode="auto">
                    <a:xfrm>
                      <a:off x="0" y="0"/>
                      <a:ext cx="200025" cy="190500"/>
                    </a:xfrm>
                    <a:prstGeom prst="rect">
                      <a:avLst/>
                    </a:prstGeom>
                    <a:ln>
                      <a:noFill/>
                    </a:ln>
                    <a:extLst>
                      <a:ext uri="{53640926-AAD7-44D8-BBD7-CCE9431645EC}">
                        <a14:shadowObscured xmlns:a14="http://schemas.microsoft.com/office/drawing/2010/main"/>
                      </a:ext>
                    </a:extLst>
                  </pic:spPr>
                </pic:pic>
              </a:graphicData>
            </a:graphic>
          </wp:inline>
        </w:drawing>
      </w:r>
      <w:r w:rsidR="00230996" w:rsidRPr="000665B0">
        <w:t>) that corresponds to the color of the mission that is displayed on the Geo display. The mission node’s icon is not colored (</w:t>
      </w:r>
      <w:r w:rsidR="003509EA" w:rsidRPr="000665B0">
        <w:t xml:space="preserve">e.g., </w:t>
      </w:r>
      <w:r w:rsidR="00230996" w:rsidRPr="000665B0">
        <w:rPr>
          <w:noProof/>
          <w:position w:val="-4"/>
        </w:rPr>
        <w:drawing>
          <wp:inline distT="0" distB="0" distL="0" distR="0" wp14:anchorId="3C9AE02A" wp14:editId="7DC5E53C">
            <wp:extent cx="200025" cy="190500"/>
            <wp:effectExtent l="0" t="0" r="9525"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00025" cy="190500"/>
                    </a:xfrm>
                    <a:prstGeom prst="rect">
                      <a:avLst/>
                    </a:prstGeom>
                  </pic:spPr>
                </pic:pic>
              </a:graphicData>
            </a:graphic>
          </wp:inline>
        </w:drawing>
      </w:r>
      <w:r w:rsidR="00230996" w:rsidRPr="000665B0">
        <w:t xml:space="preserve">) when the Geo display is not enabled. </w:t>
      </w:r>
      <w:r w:rsidR="002B46A2" w:rsidRPr="000665B0">
        <w:t xml:space="preserve">If the mission is part of an Attack Plan, the Attack Plan Sequence Number (APSN) is included. </w:t>
      </w:r>
      <w:r w:rsidRPr="000665B0">
        <w:t xml:space="preserve">Assignments can be made </w:t>
      </w:r>
      <w:r w:rsidR="00277ADB" w:rsidRPr="000665B0">
        <w:t xml:space="preserve">in a variety of ways (see </w:t>
      </w:r>
      <w:hyperlink w:anchor="_5.37.6.1.16.6__How" w:history="1">
        <w:r w:rsidR="009326FE" w:rsidRPr="000665B0">
          <w:rPr>
            <w:rStyle w:val="Hyperlink"/>
          </w:rPr>
          <w:t xml:space="preserve">Section </w:t>
        </w:r>
        <w:r w:rsidR="004231CC">
          <w:rPr>
            <w:rStyle w:val="Hyperlink"/>
          </w:rPr>
          <w:t>5.34</w:t>
        </w:r>
        <w:r w:rsidR="008B4AA0" w:rsidRPr="000665B0">
          <w:rPr>
            <w:rStyle w:val="Hyperlink"/>
          </w:rPr>
          <w:t>.7.1.17.7</w:t>
        </w:r>
      </w:hyperlink>
      <w:r w:rsidR="00277ADB" w:rsidRPr="000665B0">
        <w:rPr>
          <w:rStyle w:val="Hyperlink"/>
        </w:rPr>
        <w:t>)</w:t>
      </w:r>
      <w:r w:rsidRPr="000665B0">
        <w:t>.</w:t>
      </w:r>
    </w:p>
    <w:p w14:paraId="4710C6AB" w14:textId="77777777" w:rsidR="005F7A03" w:rsidRPr="000665B0" w:rsidRDefault="005F7A03" w:rsidP="006D5A65">
      <w:pPr>
        <w:pStyle w:val="Heading2"/>
      </w:pPr>
      <w:r w:rsidRPr="000665B0">
        <w:t xml:space="preserve">Assign Missiles </w:t>
      </w:r>
      <w:r w:rsidR="00D31B66" w:rsidRPr="000665B0">
        <w:t xml:space="preserve">to </w:t>
      </w:r>
      <w:r w:rsidRPr="000665B0">
        <w:t>(</w:t>
      </w:r>
      <w:r w:rsidR="00AD04B4" w:rsidRPr="000665B0">
        <w:t xml:space="preserve">Enabled </w:t>
      </w:r>
      <w:r w:rsidRPr="000665B0">
        <w:t xml:space="preserve">if </w:t>
      </w:r>
      <w:r w:rsidR="00AD04B4" w:rsidRPr="000665B0">
        <w:t xml:space="preserve">Only </w:t>
      </w:r>
      <w:r w:rsidR="006E0927" w:rsidRPr="000665B0">
        <w:t xml:space="preserve">One </w:t>
      </w:r>
      <w:r w:rsidR="00AD04B4" w:rsidRPr="000665B0">
        <w:t>Selected</w:t>
      </w:r>
      <w:r w:rsidRPr="000665B0">
        <w:t xml:space="preserve">) </w:t>
      </w:r>
      <w:r w:rsidR="002A2B3B" w:rsidRPr="000665B0">
        <w:t xml:space="preserve">– </w:t>
      </w:r>
      <w:r w:rsidR="00D31B66" w:rsidRPr="000665B0">
        <w:t>Displays</w:t>
      </w:r>
      <w:r w:rsidRPr="000665B0">
        <w:t xml:space="preserve"> a list of trigraphs that can make assignments. Selecting a trigraph bring</w:t>
      </w:r>
      <w:r w:rsidR="00D31B66" w:rsidRPr="000665B0">
        <w:t>s</w:t>
      </w:r>
      <w:r w:rsidRPr="000665B0">
        <w:t xml:space="preserve"> up the </w:t>
      </w:r>
      <w:r w:rsidRPr="000665B0">
        <w:rPr>
          <w:i/>
        </w:rPr>
        <w:t>FRU Assignment</w:t>
      </w:r>
      <w:r w:rsidRPr="000665B0">
        <w:t xml:space="preserve"> </w:t>
      </w:r>
      <w:r w:rsidR="00D31B66" w:rsidRPr="000665B0">
        <w:t xml:space="preserve">window, </w:t>
      </w:r>
      <w:r w:rsidRPr="000665B0">
        <w:t xml:space="preserve">allowing the user to select a number of primary, ready spare, auto ready spare, backup, and backup pool missiles for the selected FRU. </w:t>
      </w:r>
    </w:p>
    <w:p w14:paraId="69A25767" w14:textId="77777777" w:rsidR="005F7A03" w:rsidRPr="000665B0" w:rsidRDefault="005F7A03" w:rsidP="006D5A65">
      <w:pPr>
        <w:pStyle w:val="Heading2"/>
      </w:pPr>
      <w:r w:rsidRPr="000665B0">
        <w:t xml:space="preserve">Assign Primary </w:t>
      </w:r>
      <w:r w:rsidR="00D31B66" w:rsidRPr="000665B0">
        <w:t>t</w:t>
      </w:r>
      <w:r w:rsidRPr="000665B0">
        <w:t xml:space="preserve">o – </w:t>
      </w:r>
      <w:r w:rsidR="00D31B66" w:rsidRPr="000665B0">
        <w:t>Displays</w:t>
      </w:r>
      <w:r w:rsidRPr="000665B0">
        <w:t xml:space="preserve"> a list of trigraphs that can make a primary assignment on the selected FRU. Once </w:t>
      </w:r>
      <w:r w:rsidR="00D31B66" w:rsidRPr="000665B0">
        <w:t xml:space="preserve">a trigraph is </w:t>
      </w:r>
      <w:r w:rsidRPr="000665B0">
        <w:t>selected</w:t>
      </w:r>
      <w:r w:rsidR="00D31B66" w:rsidRPr="000665B0">
        <w:t>,</w:t>
      </w:r>
      <w:r w:rsidRPr="000665B0">
        <w:t xml:space="preserve"> </w:t>
      </w:r>
      <w:r w:rsidR="00D31B66" w:rsidRPr="000665B0">
        <w:t xml:space="preserve">the </w:t>
      </w:r>
      <w:r w:rsidRPr="000665B0">
        <w:t>primary assignment is made.</w:t>
      </w:r>
    </w:p>
    <w:p w14:paraId="13FFEDA0" w14:textId="77777777" w:rsidR="005F7A03" w:rsidRPr="000665B0" w:rsidRDefault="005F7A03" w:rsidP="006D5A65">
      <w:pPr>
        <w:pStyle w:val="Heading2"/>
      </w:pPr>
      <w:r w:rsidRPr="000665B0">
        <w:t xml:space="preserve">Assign Backup </w:t>
      </w:r>
      <w:r w:rsidR="00D31B66" w:rsidRPr="000665B0">
        <w:t>t</w:t>
      </w:r>
      <w:r w:rsidRPr="000665B0">
        <w:t xml:space="preserve">o – </w:t>
      </w:r>
      <w:r w:rsidR="00D31B66" w:rsidRPr="000665B0">
        <w:t>Displays</w:t>
      </w:r>
      <w:r w:rsidRPr="000665B0">
        <w:t xml:space="preserve"> a list of trigraphs that can make a backup assignment on the selected FRU. Once</w:t>
      </w:r>
      <w:r w:rsidR="00D31B66" w:rsidRPr="000665B0">
        <w:t xml:space="preserve"> a trigraph is</w:t>
      </w:r>
      <w:r w:rsidRPr="000665B0">
        <w:t xml:space="preserve"> selected</w:t>
      </w:r>
      <w:r w:rsidR="00D31B66" w:rsidRPr="000665B0">
        <w:t>,</w:t>
      </w:r>
      <w:r w:rsidRPr="000665B0">
        <w:t xml:space="preserve"> </w:t>
      </w:r>
      <w:r w:rsidR="00D31B66" w:rsidRPr="000665B0">
        <w:t xml:space="preserve">the </w:t>
      </w:r>
      <w:r w:rsidRPr="000665B0">
        <w:t>backup assignment is made.</w:t>
      </w:r>
    </w:p>
    <w:p w14:paraId="5C4BD97B" w14:textId="3D1C6C93" w:rsidR="005F7A03" w:rsidRPr="000665B0" w:rsidRDefault="005F7A03" w:rsidP="006D5A65">
      <w:pPr>
        <w:pStyle w:val="Heading2"/>
      </w:pPr>
      <w:r w:rsidRPr="000665B0">
        <w:lastRenderedPageBreak/>
        <w:t xml:space="preserve">Assign Ready Spare </w:t>
      </w:r>
      <w:r w:rsidR="00D31B66" w:rsidRPr="000665B0">
        <w:t>t</w:t>
      </w:r>
      <w:r w:rsidRPr="000665B0">
        <w:t>o</w:t>
      </w:r>
      <w:r w:rsidR="00417118" w:rsidRPr="000665B0">
        <w:t xml:space="preserve"> </w:t>
      </w:r>
      <w:r w:rsidRPr="000665B0">
        <w:t xml:space="preserve">– </w:t>
      </w:r>
      <w:r w:rsidR="00D31B66" w:rsidRPr="000665B0">
        <w:t>Displays</w:t>
      </w:r>
      <w:r w:rsidRPr="000665B0">
        <w:t xml:space="preserve"> a list of trigraphs that can make a ready spare assignment on the selected FRU. Once</w:t>
      </w:r>
      <w:r w:rsidR="00D31B66" w:rsidRPr="000665B0">
        <w:t xml:space="preserve"> a trigraph is</w:t>
      </w:r>
      <w:r w:rsidRPr="000665B0">
        <w:t xml:space="preserve"> selected</w:t>
      </w:r>
      <w:r w:rsidR="00D31B66" w:rsidRPr="000665B0">
        <w:t>,</w:t>
      </w:r>
      <w:r w:rsidRPr="000665B0">
        <w:t xml:space="preserve"> </w:t>
      </w:r>
      <w:r w:rsidR="00D31B66" w:rsidRPr="000665B0">
        <w:t xml:space="preserve">the </w:t>
      </w:r>
      <w:r w:rsidRPr="000665B0">
        <w:t xml:space="preserve">ready spare assignment is made. This menu </w:t>
      </w:r>
      <w:r w:rsidR="00D31B66" w:rsidRPr="000665B0">
        <w:t xml:space="preserve">is </w:t>
      </w:r>
      <w:r w:rsidRPr="000665B0">
        <w:t>only enabled when there are primary assignments with a paired spare for at least one FRU.</w:t>
      </w:r>
    </w:p>
    <w:p w14:paraId="067E0F62" w14:textId="3E6599B2" w:rsidR="006B39E3" w:rsidRPr="000665B0" w:rsidRDefault="006B39E3" w:rsidP="006D5A65">
      <w:pPr>
        <w:pStyle w:val="Heading2"/>
      </w:pPr>
      <w:r w:rsidRPr="000665B0">
        <w:t>Assign Auto Ready Spare to – Displays a list of trigraphs that can make an auto ready spare assignment on the selected FRU. Once a trigraph is selected, the auto ready spare assignment is made.</w:t>
      </w:r>
      <w:r w:rsidR="00971F18">
        <w:t xml:space="preserve"> </w:t>
      </w:r>
      <w:r w:rsidR="00971F18" w:rsidRPr="000665B0">
        <w:t>This menu is only enabled when there are primary assignments with a paired spare for at least one FRU.</w:t>
      </w:r>
      <w:r w:rsidR="00480E5B">
        <w:t xml:space="preserve"> </w:t>
      </w:r>
      <w:r w:rsidR="007008C5">
        <w:t>Auto Ready Spare will be disabled for ground launch FRU. User will not be able to assign Auto Ready Spare for ground launch mission to ground launch FRU.</w:t>
      </w:r>
    </w:p>
    <w:p w14:paraId="64E33306" w14:textId="77777777" w:rsidR="005F7A03" w:rsidRPr="000665B0" w:rsidRDefault="005F7A03" w:rsidP="006D5A65">
      <w:pPr>
        <w:pStyle w:val="Heading2"/>
      </w:pPr>
      <w:r w:rsidRPr="000665B0">
        <w:t xml:space="preserve">Assign Backup Pool </w:t>
      </w:r>
      <w:r w:rsidR="00D31B66" w:rsidRPr="000665B0">
        <w:t>t</w:t>
      </w:r>
      <w:r w:rsidRPr="000665B0">
        <w:t xml:space="preserve">o – </w:t>
      </w:r>
      <w:r w:rsidR="00D31B66" w:rsidRPr="000665B0">
        <w:t>Displays</w:t>
      </w:r>
      <w:r w:rsidRPr="000665B0">
        <w:t xml:space="preserve"> a list of trigraphs that can make a backup pool assignment on the selected FRU. Once</w:t>
      </w:r>
      <w:r w:rsidR="00D31B66" w:rsidRPr="000665B0">
        <w:t xml:space="preserve"> a trigraph is</w:t>
      </w:r>
      <w:r w:rsidRPr="000665B0">
        <w:t xml:space="preserve"> selected</w:t>
      </w:r>
      <w:r w:rsidR="00D31B66" w:rsidRPr="000665B0">
        <w:t>,</w:t>
      </w:r>
      <w:r w:rsidRPr="000665B0">
        <w:t xml:space="preserve"> </w:t>
      </w:r>
      <w:r w:rsidR="00D31B66" w:rsidRPr="000665B0">
        <w:t xml:space="preserve">the </w:t>
      </w:r>
      <w:r w:rsidRPr="000665B0">
        <w:t>backup pool assignment is made.</w:t>
      </w:r>
    </w:p>
    <w:p w14:paraId="7B296A3B" w14:textId="739B208F" w:rsidR="005F7A03" w:rsidRPr="000665B0" w:rsidRDefault="005F7A03" w:rsidP="006D5A65">
      <w:pPr>
        <w:pStyle w:val="Heading2"/>
      </w:pPr>
      <w:r w:rsidRPr="000665B0">
        <w:t xml:space="preserve">Assign Ghost – </w:t>
      </w:r>
      <w:r w:rsidR="00B3756F" w:rsidRPr="000665B0">
        <w:t>Assigns the selected mission to</w:t>
      </w:r>
      <w:r w:rsidRPr="000665B0">
        <w:t xml:space="preserve"> a ghost assignment. Once selected</w:t>
      </w:r>
      <w:r w:rsidR="00D31B66" w:rsidRPr="000665B0">
        <w:t>,</w:t>
      </w:r>
      <w:r w:rsidRPr="000665B0">
        <w:t xml:space="preserve"> </w:t>
      </w:r>
      <w:r w:rsidR="00D31B66" w:rsidRPr="000665B0">
        <w:t xml:space="preserve">the </w:t>
      </w:r>
      <w:r w:rsidRPr="000665B0">
        <w:t>ghost assignment is made.</w:t>
      </w:r>
      <w:r w:rsidR="00DB2A90" w:rsidRPr="000665B0">
        <w:t xml:space="preserve"> (Not available for Attack Plan missions.)</w:t>
      </w:r>
    </w:p>
    <w:p w14:paraId="7EDD5FB4" w14:textId="77777777" w:rsidR="00D31B66" w:rsidRPr="000665B0" w:rsidRDefault="005F7A03" w:rsidP="006D5A65">
      <w:pPr>
        <w:pStyle w:val="Heading2"/>
      </w:pPr>
      <w:r w:rsidRPr="000665B0">
        <w:t xml:space="preserve">Display </w:t>
      </w:r>
    </w:p>
    <w:p w14:paraId="0DAD696A" w14:textId="77777777" w:rsidR="005F7A03" w:rsidRPr="000665B0" w:rsidRDefault="005F7A03" w:rsidP="006D5A65">
      <w:pPr>
        <w:pStyle w:val="Heading2"/>
      </w:pPr>
      <w:r w:rsidRPr="000665B0">
        <w:t>Textually – Displays the selected mission(s) textually.</w:t>
      </w:r>
    </w:p>
    <w:p w14:paraId="50B1C612" w14:textId="77777777" w:rsidR="005F7A03" w:rsidRPr="000665B0" w:rsidRDefault="005F7A03" w:rsidP="006D5A65">
      <w:pPr>
        <w:pStyle w:val="Heading2"/>
      </w:pPr>
      <w:r w:rsidRPr="000665B0">
        <w:t>Geographically – Displays the selected mission(s) geographically.</w:t>
      </w:r>
    </w:p>
    <w:p w14:paraId="4F089414" w14:textId="77777777" w:rsidR="005F7A03" w:rsidRPr="000665B0" w:rsidRDefault="005F7A03" w:rsidP="006D5A65">
      <w:pPr>
        <w:pStyle w:val="Heading2"/>
      </w:pPr>
      <w:r w:rsidRPr="000665B0">
        <w:t>CALA Geographically (</w:t>
      </w:r>
      <w:r w:rsidR="006E0927" w:rsidRPr="000665B0">
        <w:t>E</w:t>
      </w:r>
      <w:r w:rsidRPr="000665B0">
        <w:t xml:space="preserve">nabled if </w:t>
      </w:r>
      <w:r w:rsidR="006E0927" w:rsidRPr="000665B0">
        <w:t xml:space="preserve">Two </w:t>
      </w:r>
      <w:r w:rsidRPr="000665B0">
        <w:t xml:space="preserve">or </w:t>
      </w:r>
      <w:r w:rsidR="006E0927" w:rsidRPr="000665B0">
        <w:t>M</w:t>
      </w:r>
      <w:r w:rsidRPr="000665B0">
        <w:t xml:space="preserve">ore </w:t>
      </w:r>
      <w:r w:rsidR="006E0927" w:rsidRPr="000665B0">
        <w:t>S</w:t>
      </w:r>
      <w:r w:rsidRPr="000665B0">
        <w:t>elected) – Displays the selected mission(s) CALA geographically.</w:t>
      </w:r>
    </w:p>
    <w:p w14:paraId="1725A08E" w14:textId="77777777" w:rsidR="005F7A03" w:rsidRPr="000665B0" w:rsidRDefault="005F7A03" w:rsidP="006D5A65">
      <w:pPr>
        <w:pStyle w:val="Heading2"/>
      </w:pPr>
      <w:r w:rsidRPr="000665B0">
        <w:t>Show Assignments (</w:t>
      </w:r>
      <w:r w:rsidR="006E0927" w:rsidRPr="000665B0">
        <w:t>Enabled if Only One Selected</w:t>
      </w:r>
      <w:r w:rsidRPr="000665B0">
        <w:t xml:space="preserve">) – </w:t>
      </w:r>
      <w:r w:rsidR="006E0927" w:rsidRPr="000665B0">
        <w:t xml:space="preserve">Updates </w:t>
      </w:r>
      <w:r w:rsidRPr="000665B0">
        <w:t xml:space="preserve">the </w:t>
      </w:r>
      <w:r w:rsidR="006E0927" w:rsidRPr="000665B0">
        <w:t xml:space="preserve">Assignments pane at the bottom of the window </w:t>
      </w:r>
      <w:r w:rsidRPr="000665B0">
        <w:t>for the selected mission.</w:t>
      </w:r>
    </w:p>
    <w:p w14:paraId="1BB7DA70" w14:textId="37C1FC6A" w:rsidR="00D92E04" w:rsidRPr="000665B0" w:rsidRDefault="00DB2A90" w:rsidP="006D5A65">
      <w:pPr>
        <w:pStyle w:val="Heading1"/>
      </w:pPr>
      <w:r w:rsidRPr="000665B0">
        <w:t xml:space="preserve">TSN </w:t>
      </w:r>
      <w:r w:rsidR="00D92E04" w:rsidRPr="000665B0">
        <w:t xml:space="preserve">Type – When grouped by TSN Type, the ACA network type is indicated by the </w:t>
      </w:r>
      <w:r w:rsidR="00D92E04" w:rsidRPr="000665B0">
        <w:rPr>
          <w:bCs/>
          <w:noProof/>
        </w:rPr>
        <w:drawing>
          <wp:inline distT="0" distB="0" distL="0" distR="0" wp14:anchorId="69C1A46D" wp14:editId="2BF8293B">
            <wp:extent cx="152400" cy="152400"/>
            <wp:effectExtent l="0" t="0" r="0" b="0"/>
            <wp:docPr id="1942" name="Picture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D92E04" w:rsidRPr="000665B0">
        <w:t xml:space="preserve"> icon. The DAMA network type is indicated by the </w:t>
      </w:r>
      <w:r w:rsidR="00D92E04" w:rsidRPr="000665B0">
        <w:rPr>
          <w:bCs/>
          <w:noProof/>
        </w:rPr>
        <w:drawing>
          <wp:inline distT="0" distB="0" distL="0" distR="0" wp14:anchorId="2AD14C2C" wp14:editId="6A528EC7">
            <wp:extent cx="152400" cy="152400"/>
            <wp:effectExtent l="0" t="0" r="0" b="0"/>
            <wp:docPr id="1943" name="Picture 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D92E04" w:rsidRPr="000665B0">
        <w:t xml:space="preserve"> icon. No Comms is indicated by the </w:t>
      </w:r>
      <w:r w:rsidR="00D92E04" w:rsidRPr="000665B0">
        <w:rPr>
          <w:bCs/>
          <w:noProof/>
        </w:rPr>
        <w:drawing>
          <wp:inline distT="0" distB="0" distL="0" distR="0" wp14:anchorId="28AD2945" wp14:editId="7C3C5A08">
            <wp:extent cx="152400" cy="152400"/>
            <wp:effectExtent l="0" t="0" r="0" b="0"/>
            <wp:docPr id="1949" name="Picture 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D92E04" w:rsidRPr="000665B0">
        <w:t xml:space="preserve"> icon.</w:t>
      </w:r>
    </w:p>
    <w:p w14:paraId="27FD4BF2" w14:textId="3D51C7A4" w:rsidR="006B39E3" w:rsidRPr="000665B0" w:rsidRDefault="006B39E3" w:rsidP="006D5A65">
      <w:pPr>
        <w:pStyle w:val="Heading2"/>
      </w:pPr>
      <w:r w:rsidRPr="000665B0">
        <w:t>The context menu is the same as the Expand To: Missions selection.</w:t>
      </w:r>
    </w:p>
    <w:p w14:paraId="198D2089" w14:textId="428849E7" w:rsidR="005F7A03" w:rsidRPr="000665B0" w:rsidRDefault="005F7A03" w:rsidP="006D5A65">
      <w:pPr>
        <w:pStyle w:val="Heading1"/>
      </w:pPr>
      <w:r w:rsidRPr="000665B0">
        <w:t>Missile</w:t>
      </w:r>
      <w:r w:rsidR="00D92E04" w:rsidRPr="000665B0">
        <w:t>s</w:t>
      </w:r>
      <w:r w:rsidRPr="000665B0">
        <w:t xml:space="preserve"> – This </w:t>
      </w:r>
      <w:r w:rsidR="006E0927" w:rsidRPr="000665B0">
        <w:t xml:space="preserve">list view </w:t>
      </w:r>
      <w:r w:rsidRPr="000665B0">
        <w:t xml:space="preserve">contains the Missile Cost Code, Missile ID, </w:t>
      </w:r>
      <w:r w:rsidR="006B39E3" w:rsidRPr="000665B0">
        <w:t xml:space="preserve">Missile Type (only for missile IDs that contain the 4-character missile type [see </w:t>
      </w:r>
      <w:hyperlink w:anchor="_4_-Character_Missile" w:history="1">
        <w:r w:rsidR="006B39E3" w:rsidRPr="000665B0">
          <w:rPr>
            <w:rStyle w:val="Hyperlink"/>
          </w:rPr>
          <w:t>Section 5.</w:t>
        </w:r>
        <w:r w:rsidR="00DD2577">
          <w:rPr>
            <w:rStyle w:val="Hyperlink"/>
          </w:rPr>
          <w:t>1</w:t>
        </w:r>
        <w:r w:rsidR="001A0295">
          <w:rPr>
            <w:rStyle w:val="Hyperlink"/>
          </w:rPr>
          <w:t>4</w:t>
        </w:r>
        <w:r w:rsidR="006B39E3" w:rsidRPr="000665B0">
          <w:rPr>
            <w:rStyle w:val="Hyperlink"/>
          </w:rPr>
          <w:t>.1</w:t>
        </w:r>
      </w:hyperlink>
      <w:r w:rsidR="006B39E3" w:rsidRPr="000665B0">
        <w:t xml:space="preserve">]), </w:t>
      </w:r>
      <w:r w:rsidRPr="000665B0">
        <w:t xml:space="preserve">and a list of FRUs </w:t>
      </w:r>
      <w:r w:rsidRPr="000665B0">
        <w:lastRenderedPageBreak/>
        <w:t xml:space="preserve">with the number of this type of missile that they have available for use. When assignments are made at this level the selected miscode is </w:t>
      </w:r>
      <w:r w:rsidR="00277ADB" w:rsidRPr="000665B0">
        <w:t>assigned to the selected FRU</w:t>
      </w:r>
      <w:r w:rsidRPr="000665B0">
        <w:t xml:space="preserve">. </w:t>
      </w:r>
      <w:r w:rsidR="00277ADB" w:rsidRPr="000665B0">
        <w:t xml:space="preserve">Assignments can be made in a variety of ways (see </w:t>
      </w:r>
      <w:hyperlink w:anchor="_5.37.6.1.16.6__How" w:history="1">
        <w:r w:rsidR="009326FE" w:rsidRPr="000665B0">
          <w:rPr>
            <w:rStyle w:val="Hyperlink"/>
          </w:rPr>
          <w:t xml:space="preserve">Section </w:t>
        </w:r>
        <w:r w:rsidR="004231CC">
          <w:rPr>
            <w:rStyle w:val="Hyperlink"/>
          </w:rPr>
          <w:t>5.34</w:t>
        </w:r>
        <w:r w:rsidR="008B4AA0" w:rsidRPr="000665B0">
          <w:rPr>
            <w:rStyle w:val="Hyperlink"/>
          </w:rPr>
          <w:t>.7.1.17.7</w:t>
        </w:r>
      </w:hyperlink>
      <w:r w:rsidR="00277ADB" w:rsidRPr="00D20F78">
        <w:rPr>
          <w:rStyle w:val="Hyperlink"/>
          <w:color w:val="auto"/>
        </w:rPr>
        <w:t>)</w:t>
      </w:r>
      <w:r w:rsidR="00277ADB" w:rsidRPr="00D20F78">
        <w:t>.</w:t>
      </w:r>
    </w:p>
    <w:p w14:paraId="5625DD0B" w14:textId="77777777" w:rsidR="005F7A03" w:rsidRPr="000665B0" w:rsidRDefault="005F7A03" w:rsidP="006D5A65">
      <w:pPr>
        <w:pStyle w:val="Heading2"/>
      </w:pPr>
      <w:r w:rsidRPr="000665B0">
        <w:t xml:space="preserve">Assign Missiles </w:t>
      </w:r>
      <w:r w:rsidR="00FC2E1A" w:rsidRPr="000665B0">
        <w:t xml:space="preserve">to </w:t>
      </w:r>
      <w:r w:rsidRPr="000665B0">
        <w:t>(</w:t>
      </w:r>
      <w:r w:rsidR="00FC2E1A" w:rsidRPr="000665B0">
        <w:t>Enabled if Only One Selected</w:t>
      </w:r>
      <w:r w:rsidRPr="000665B0">
        <w:t xml:space="preserve">) – </w:t>
      </w:r>
      <w:r w:rsidR="00FC2E1A" w:rsidRPr="000665B0">
        <w:t>Displays</w:t>
      </w:r>
      <w:r w:rsidRPr="000665B0">
        <w:t xml:space="preserve"> a list of trigraphs that can make assignments. Selecting a trigraph bring</w:t>
      </w:r>
      <w:r w:rsidR="00FC2E1A" w:rsidRPr="000665B0">
        <w:t>s</w:t>
      </w:r>
      <w:r w:rsidRPr="000665B0">
        <w:t xml:space="preserve"> up the </w:t>
      </w:r>
      <w:r w:rsidRPr="000665B0">
        <w:rPr>
          <w:i/>
        </w:rPr>
        <w:t>FRU Assignment</w:t>
      </w:r>
      <w:r w:rsidRPr="000665B0">
        <w:t xml:space="preserve"> </w:t>
      </w:r>
      <w:r w:rsidR="00FC2E1A" w:rsidRPr="000665B0">
        <w:t xml:space="preserve">window, </w:t>
      </w:r>
      <w:r w:rsidRPr="000665B0">
        <w:t xml:space="preserve">allowing the user to select a number of primary, ready spare, auto ready spare, backup, and backup pool missiles for the selected FRU. </w:t>
      </w:r>
    </w:p>
    <w:p w14:paraId="059DCE75" w14:textId="77777777" w:rsidR="005F7A03" w:rsidRPr="000665B0" w:rsidRDefault="005F7A03" w:rsidP="006D5A65">
      <w:pPr>
        <w:pStyle w:val="Heading2"/>
      </w:pPr>
      <w:r w:rsidRPr="000665B0">
        <w:t xml:space="preserve">Assign Primary </w:t>
      </w:r>
      <w:r w:rsidR="00FC2E1A" w:rsidRPr="000665B0">
        <w:t xml:space="preserve">to </w:t>
      </w:r>
      <w:r w:rsidRPr="000665B0">
        <w:t xml:space="preserve">– </w:t>
      </w:r>
      <w:r w:rsidR="00FC2E1A" w:rsidRPr="000665B0">
        <w:t>Displays</w:t>
      </w:r>
      <w:r w:rsidRPr="000665B0">
        <w:t xml:space="preserve"> a list of trigraphs that can make a primary assignment on the selected FRU. Once </w:t>
      </w:r>
      <w:r w:rsidR="00FC2E1A" w:rsidRPr="000665B0">
        <w:t xml:space="preserve">a trigraph is </w:t>
      </w:r>
      <w:r w:rsidRPr="000665B0">
        <w:t>selected</w:t>
      </w:r>
      <w:r w:rsidR="00FC2E1A" w:rsidRPr="000665B0">
        <w:t>,</w:t>
      </w:r>
      <w:r w:rsidRPr="000665B0">
        <w:t xml:space="preserve"> </w:t>
      </w:r>
      <w:r w:rsidR="00FC2E1A" w:rsidRPr="000665B0">
        <w:t xml:space="preserve">the </w:t>
      </w:r>
      <w:r w:rsidRPr="000665B0">
        <w:t>primary assignment is made.</w:t>
      </w:r>
    </w:p>
    <w:p w14:paraId="120621B8" w14:textId="77777777" w:rsidR="005F7A03" w:rsidRPr="000665B0" w:rsidRDefault="005F7A03" w:rsidP="006D5A65">
      <w:pPr>
        <w:pStyle w:val="Heading2"/>
      </w:pPr>
      <w:r w:rsidRPr="000665B0">
        <w:t xml:space="preserve">Assign Backup </w:t>
      </w:r>
      <w:r w:rsidR="00FC2E1A" w:rsidRPr="000665B0">
        <w:t xml:space="preserve">to </w:t>
      </w:r>
      <w:r w:rsidRPr="000665B0">
        <w:t xml:space="preserve">– </w:t>
      </w:r>
      <w:r w:rsidR="00FC2E1A" w:rsidRPr="000665B0">
        <w:t>Displays</w:t>
      </w:r>
      <w:r w:rsidRPr="000665B0">
        <w:t xml:space="preserve"> a list of trigraphs that can make a backup assignment on the selected FRU. Once </w:t>
      </w:r>
      <w:r w:rsidR="00FC2E1A" w:rsidRPr="000665B0">
        <w:t xml:space="preserve">a trigraph is </w:t>
      </w:r>
      <w:r w:rsidRPr="000665B0">
        <w:t>selected</w:t>
      </w:r>
      <w:r w:rsidR="00FC2E1A" w:rsidRPr="000665B0">
        <w:t xml:space="preserve">, the </w:t>
      </w:r>
      <w:r w:rsidRPr="000665B0">
        <w:t>backup assignment is made.</w:t>
      </w:r>
    </w:p>
    <w:p w14:paraId="104840B3" w14:textId="427DA262" w:rsidR="005F7A03" w:rsidRPr="000665B0" w:rsidRDefault="005F7A03" w:rsidP="006D5A65">
      <w:pPr>
        <w:pStyle w:val="Heading2"/>
      </w:pPr>
      <w:r w:rsidRPr="000665B0">
        <w:t xml:space="preserve">Assign Ready Spare </w:t>
      </w:r>
      <w:r w:rsidR="00FC2E1A" w:rsidRPr="000665B0">
        <w:t>to</w:t>
      </w:r>
      <w:r w:rsidR="00417118" w:rsidRPr="000665B0">
        <w:t xml:space="preserve"> (Enabled if Only One Selected)</w:t>
      </w:r>
      <w:r w:rsidR="00FC2E1A" w:rsidRPr="000665B0">
        <w:t xml:space="preserve"> </w:t>
      </w:r>
      <w:r w:rsidRPr="000665B0">
        <w:t xml:space="preserve">– </w:t>
      </w:r>
      <w:r w:rsidR="00FC2E1A" w:rsidRPr="000665B0">
        <w:t>Displays</w:t>
      </w:r>
      <w:r w:rsidRPr="000665B0">
        <w:t xml:space="preserve"> a list of trigraphs that can make a ready spare assignment on the selected FRU. Once </w:t>
      </w:r>
      <w:r w:rsidR="00FC2E1A" w:rsidRPr="000665B0">
        <w:t xml:space="preserve">a trigraph is </w:t>
      </w:r>
      <w:r w:rsidRPr="000665B0">
        <w:t>selected</w:t>
      </w:r>
      <w:r w:rsidR="00FC2E1A" w:rsidRPr="000665B0">
        <w:t>, the</w:t>
      </w:r>
      <w:r w:rsidRPr="000665B0">
        <w:t xml:space="preserve"> ready spare assignment is made. This menu </w:t>
      </w:r>
      <w:r w:rsidR="00FC2E1A" w:rsidRPr="000665B0">
        <w:t xml:space="preserve">is </w:t>
      </w:r>
      <w:r w:rsidRPr="000665B0">
        <w:t>only enabled when there are primary assignments with a paired spare for at least one FRU.</w:t>
      </w:r>
    </w:p>
    <w:p w14:paraId="68CB5A39" w14:textId="2F2195E1" w:rsidR="006B39E3" w:rsidRPr="000665B0" w:rsidRDefault="006B39E3" w:rsidP="006D5A65">
      <w:pPr>
        <w:pStyle w:val="Heading2"/>
      </w:pPr>
      <w:r w:rsidRPr="000665B0">
        <w:t>Assign Auto Ready Spare to – Displays a list of trigraphs that can make an auto ready spare assignment on the selected FRU. Once a trigraph is selected, the auto ready spare assignment is made.</w:t>
      </w:r>
      <w:r w:rsidR="00971F18">
        <w:t xml:space="preserve"> </w:t>
      </w:r>
      <w:r w:rsidR="00971F18" w:rsidRPr="000665B0">
        <w:t>This menu is only enabled when there are primary assignments with a paired spare for at least one FRU.</w:t>
      </w:r>
      <w:r w:rsidR="003B01E7">
        <w:t xml:space="preserve"> Auto Ready Spare will be disabled for ground </w:t>
      </w:r>
      <w:r w:rsidR="000E40FE">
        <w:t xml:space="preserve">launch FRU. </w:t>
      </w:r>
      <w:r w:rsidR="00EB69F7">
        <w:t>User will not be able to assign Auto Ready Spare for ground launch mission to ground launch FRU.</w:t>
      </w:r>
    </w:p>
    <w:p w14:paraId="3EE6D6FD" w14:textId="77777777" w:rsidR="005F7A03" w:rsidRPr="000665B0" w:rsidRDefault="005F7A03" w:rsidP="006D5A65">
      <w:pPr>
        <w:pStyle w:val="Heading2"/>
      </w:pPr>
      <w:r w:rsidRPr="000665B0">
        <w:t xml:space="preserve">Assign Backup Pool </w:t>
      </w:r>
      <w:r w:rsidR="00FC2E1A" w:rsidRPr="000665B0">
        <w:t xml:space="preserve">to </w:t>
      </w:r>
      <w:r w:rsidRPr="000665B0">
        <w:t xml:space="preserve">– </w:t>
      </w:r>
      <w:r w:rsidR="00FC2E1A" w:rsidRPr="000665B0">
        <w:t>Displays</w:t>
      </w:r>
      <w:r w:rsidRPr="000665B0">
        <w:t xml:space="preserve"> a list of trigraphs that can make a backup pool assignment on the selected FRU. Once </w:t>
      </w:r>
      <w:r w:rsidR="00FC2E1A" w:rsidRPr="000665B0">
        <w:t xml:space="preserve">a trigraph is </w:t>
      </w:r>
      <w:r w:rsidRPr="000665B0">
        <w:t>selected</w:t>
      </w:r>
      <w:r w:rsidR="00FC2E1A" w:rsidRPr="000665B0">
        <w:t>, the</w:t>
      </w:r>
      <w:r w:rsidRPr="000665B0">
        <w:t xml:space="preserve"> backup pool assignment is made.</w:t>
      </w:r>
    </w:p>
    <w:p w14:paraId="38D27816" w14:textId="1046A063" w:rsidR="005F7A03" w:rsidRPr="000665B0" w:rsidRDefault="005F7A03" w:rsidP="006D5A65">
      <w:pPr>
        <w:pStyle w:val="Heading2"/>
      </w:pPr>
      <w:r w:rsidRPr="000665B0">
        <w:t>Show Assignments (</w:t>
      </w:r>
      <w:r w:rsidR="00FC2E1A" w:rsidRPr="000665B0">
        <w:t>Enabled if Only One Selected</w:t>
      </w:r>
      <w:r w:rsidRPr="000665B0">
        <w:t xml:space="preserve">) – </w:t>
      </w:r>
      <w:r w:rsidR="00FC2E1A" w:rsidRPr="000665B0">
        <w:t xml:space="preserve">Updates </w:t>
      </w:r>
      <w:r w:rsidRPr="000665B0">
        <w:t xml:space="preserve">the </w:t>
      </w:r>
      <w:r w:rsidR="00FC2E1A" w:rsidRPr="000665B0">
        <w:t>Assignments pane at the bottom of the window</w:t>
      </w:r>
      <w:r w:rsidR="00FC2E1A" w:rsidRPr="000665B0" w:rsidDel="00FC2E1A">
        <w:t xml:space="preserve"> </w:t>
      </w:r>
      <w:r w:rsidRPr="000665B0">
        <w:t>for the selected mission.</w:t>
      </w:r>
    </w:p>
    <w:p w14:paraId="0083B6C8" w14:textId="59C766D6" w:rsidR="000D7D0C" w:rsidRPr="000665B0" w:rsidRDefault="000D7D0C" w:rsidP="006D5A65">
      <w:pPr>
        <w:pStyle w:val="Heading2"/>
      </w:pPr>
      <w:r w:rsidRPr="000665B0">
        <w:lastRenderedPageBreak/>
        <w:t xml:space="preserve">For missile IDs that contain the 4-character missile type (see </w:t>
      </w:r>
      <w:hyperlink w:anchor="_4_-Character_Missile" w:history="1">
        <w:r w:rsidRPr="000665B0">
          <w:rPr>
            <w:rStyle w:val="Hyperlink"/>
          </w:rPr>
          <w:t>Section 5.</w:t>
        </w:r>
        <w:r w:rsidR="00DD2577">
          <w:rPr>
            <w:rStyle w:val="Hyperlink"/>
          </w:rPr>
          <w:t>1</w:t>
        </w:r>
        <w:r w:rsidR="001A0295">
          <w:rPr>
            <w:rStyle w:val="Hyperlink"/>
          </w:rPr>
          <w:t>4</w:t>
        </w:r>
        <w:r w:rsidRPr="000665B0">
          <w:rPr>
            <w:rStyle w:val="Hyperlink"/>
          </w:rPr>
          <w:t>.1</w:t>
        </w:r>
      </w:hyperlink>
      <w:r w:rsidRPr="000665B0">
        <w:t xml:space="preserve">), hover the mouse over the specific missile ID to display a </w:t>
      </w:r>
      <w:r w:rsidR="0087541B">
        <w:t>tooltip</w:t>
      </w:r>
      <w:r w:rsidRPr="000665B0">
        <w:t xml:space="preserve"> with additional information about the missile.</w:t>
      </w:r>
    </w:p>
    <w:p w14:paraId="632A014F" w14:textId="419D7AB5" w:rsidR="007C1E5B" w:rsidRPr="000665B0" w:rsidRDefault="007C1E5B" w:rsidP="007C1E5B">
      <w:pPr>
        <w:pStyle w:val="BodyText"/>
        <w:jc w:val="center"/>
      </w:pPr>
      <w:r w:rsidRPr="000665B0">
        <w:rPr>
          <w:noProof/>
        </w:rPr>
        <w:drawing>
          <wp:inline distT="0" distB="0" distL="0" distR="0" wp14:anchorId="114FC70B" wp14:editId="251FE02E">
            <wp:extent cx="3200400" cy="1691640"/>
            <wp:effectExtent l="0" t="0" r="0" b="3810"/>
            <wp:docPr id="2072" name="Picture 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691640"/>
                    </a:xfrm>
                    <a:prstGeom prst="rect">
                      <a:avLst/>
                    </a:prstGeom>
                  </pic:spPr>
                </pic:pic>
              </a:graphicData>
            </a:graphic>
          </wp:inline>
        </w:drawing>
      </w:r>
    </w:p>
    <w:p w14:paraId="4C40D1EC" w14:textId="77777777" w:rsidR="00F416D6" w:rsidRPr="000665B0" w:rsidRDefault="00F416D6" w:rsidP="006D5A65">
      <w:pPr>
        <w:pStyle w:val="Heading2"/>
      </w:pPr>
      <w:r w:rsidRPr="000665B0">
        <w:t>For MSTMs, a green “checkmark” icon before the cost code indicates a good seeker while a red “minus” icon indicates a bad (failed) seeker. A MSTM with a seeker failure can be used for a land attack. However, PM3 will not prevent a user from assigning a fully operational MSTM with a good seeker to a land attack mission.</w:t>
      </w:r>
    </w:p>
    <w:p w14:paraId="658CD92B" w14:textId="03BE8465" w:rsidR="004968C3" w:rsidRPr="000665B0" w:rsidRDefault="00F416D6" w:rsidP="00F416D6">
      <w:pPr>
        <w:pStyle w:val="BodyText"/>
        <w:tabs>
          <w:tab w:val="left" w:pos="720"/>
        </w:tabs>
        <w:jc w:val="center"/>
      </w:pPr>
      <w:r w:rsidRPr="000665B0">
        <w:rPr>
          <w:noProof/>
        </w:rPr>
        <w:drawing>
          <wp:inline distT="0" distB="0" distL="0" distR="0" wp14:anchorId="4F54C6CB" wp14:editId="61F04886">
            <wp:extent cx="914400" cy="621792"/>
            <wp:effectExtent l="0" t="0" r="0" b="0"/>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914400" cy="621792"/>
                    </a:xfrm>
                    <a:prstGeom prst="rect">
                      <a:avLst/>
                    </a:prstGeom>
                    <a:ln>
                      <a:noFill/>
                    </a:ln>
                    <a:extLst>
                      <a:ext uri="{53640926-AAD7-44D8-BBD7-CCE9431645EC}">
                        <a14:shadowObscured xmlns:a14="http://schemas.microsoft.com/office/drawing/2010/main"/>
                      </a:ext>
                    </a:extLst>
                  </pic:spPr>
                </pic:pic>
              </a:graphicData>
            </a:graphic>
          </wp:inline>
        </w:drawing>
      </w:r>
    </w:p>
    <w:p w14:paraId="7D55A51A" w14:textId="5B08D750" w:rsidR="005F7A03" w:rsidRPr="000665B0" w:rsidRDefault="005F7A03" w:rsidP="00306174">
      <w:pPr>
        <w:pStyle w:val="Heading6"/>
      </w:pPr>
      <w:bookmarkStart w:id="6417" w:name="_Toc289328880"/>
      <w:r w:rsidRPr="000665B0">
        <w:lastRenderedPageBreak/>
        <w:t xml:space="preserve">FRUs </w:t>
      </w:r>
      <w:bookmarkEnd w:id="6417"/>
      <w:r w:rsidR="00FC2E1A" w:rsidRPr="000665B0">
        <w:t>Pane</w:t>
      </w:r>
    </w:p>
    <w:p w14:paraId="59ABD0BA" w14:textId="465FF072" w:rsidR="00FC2E1A" w:rsidRPr="000665B0" w:rsidRDefault="007811B5" w:rsidP="00474A1F">
      <w:pPr>
        <w:tabs>
          <w:tab w:val="left" w:pos="720"/>
        </w:tabs>
        <w:jc w:val="center"/>
      </w:pPr>
      <w:r w:rsidRPr="000665B0">
        <w:rPr>
          <w:noProof/>
        </w:rPr>
        <w:drawing>
          <wp:inline distT="0" distB="0" distL="0" distR="0" wp14:anchorId="28CDE3BC" wp14:editId="24CE0287">
            <wp:extent cx="2286000" cy="3730752"/>
            <wp:effectExtent l="0" t="0" r="0" b="3175"/>
            <wp:docPr id="1995" name="Picture 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3730752"/>
                    </a:xfrm>
                    <a:prstGeom prst="rect">
                      <a:avLst/>
                    </a:prstGeom>
                  </pic:spPr>
                </pic:pic>
              </a:graphicData>
            </a:graphic>
          </wp:inline>
        </w:drawing>
      </w:r>
    </w:p>
    <w:p w14:paraId="0ACA5555" w14:textId="30EFA4BC" w:rsidR="009E2209" w:rsidRPr="000665B0" w:rsidRDefault="005F7A03" w:rsidP="00474A1F">
      <w:pPr>
        <w:pStyle w:val="BodyText"/>
        <w:tabs>
          <w:tab w:val="left" w:pos="720"/>
        </w:tabs>
        <w:spacing w:after="120"/>
      </w:pPr>
      <w:r w:rsidRPr="000665B0">
        <w:t xml:space="preserve">The </w:t>
      </w:r>
      <w:r w:rsidR="00446EA1" w:rsidRPr="000665B0">
        <w:rPr>
          <w:b/>
        </w:rPr>
        <w:t>FRUs</w:t>
      </w:r>
      <w:r w:rsidR="00446EA1" w:rsidRPr="000665B0">
        <w:t xml:space="preserve"> pane</w:t>
      </w:r>
      <w:r w:rsidRPr="000665B0">
        <w:t xml:space="preserve"> shows all </w:t>
      </w:r>
      <w:r w:rsidR="00446EA1" w:rsidRPr="000665B0">
        <w:t xml:space="preserve">of </w:t>
      </w:r>
      <w:r w:rsidRPr="000665B0">
        <w:t xml:space="preserve">the FRUs for the </w:t>
      </w:r>
      <w:r w:rsidR="00446EA1" w:rsidRPr="000665B0">
        <w:t>option</w:t>
      </w:r>
      <w:r w:rsidRPr="000665B0">
        <w:t xml:space="preserve">. The FRU boxes contain the </w:t>
      </w:r>
      <w:r w:rsidR="00446EA1" w:rsidRPr="000665B0">
        <w:t xml:space="preserve">trigraph </w:t>
      </w:r>
      <w:r w:rsidRPr="000665B0">
        <w:t>with the Platform ID</w:t>
      </w:r>
      <w:r w:rsidR="009772D2" w:rsidRPr="000665B0">
        <w:t xml:space="preserve">. The color of the FRU box </w:t>
      </w:r>
      <w:r w:rsidR="00342C30" w:rsidRPr="000665B0">
        <w:t>corresponds</w:t>
      </w:r>
      <w:r w:rsidR="009772D2" w:rsidRPr="000665B0">
        <w:t xml:space="preserve"> to the color of the FRU shown in the GOM (if enabled).</w:t>
      </w:r>
      <w:r w:rsidRPr="000665B0">
        <w:t xml:space="preserve"> </w:t>
      </w:r>
    </w:p>
    <w:p w14:paraId="2F735A32" w14:textId="74A95573" w:rsidR="005F7A03" w:rsidRPr="000665B0" w:rsidRDefault="009E2209" w:rsidP="00342C30">
      <w:pPr>
        <w:pStyle w:val="BodyText"/>
        <w:tabs>
          <w:tab w:val="left" w:pos="720"/>
        </w:tabs>
        <w:spacing w:after="120"/>
      </w:pPr>
      <w:r w:rsidRPr="000665B0">
        <w:t xml:space="preserve">Smaller </w:t>
      </w:r>
      <w:r w:rsidR="00F36110" w:rsidRPr="000665B0">
        <w:t xml:space="preserve">reservation </w:t>
      </w:r>
      <w:r w:rsidRPr="000665B0">
        <w:t xml:space="preserve">boxes within the larger FRU box </w:t>
      </w:r>
      <w:r w:rsidR="00446EA1" w:rsidRPr="000665B0">
        <w:t>display</w:t>
      </w:r>
      <w:r w:rsidR="005F7A03" w:rsidRPr="000665B0">
        <w:t xml:space="preserve"> each reservation type and the number of missiles needed/assigned. </w:t>
      </w:r>
      <w:r w:rsidR="009772D2" w:rsidRPr="000665B0">
        <w:t>The reservation box’s border color and fill color indicate Inventory feasibility status and Geofeasibil</w:t>
      </w:r>
      <w:r w:rsidR="00B307C5" w:rsidRPr="000665B0">
        <w:t>i</w:t>
      </w:r>
      <w:r w:rsidR="009772D2" w:rsidRPr="000665B0">
        <w:t>ty condition (if enabled)</w:t>
      </w:r>
      <w:r w:rsidR="00446EA1" w:rsidRPr="000665B0">
        <w:t xml:space="preserve"> </w:t>
      </w:r>
      <w:r w:rsidR="009772D2" w:rsidRPr="000665B0">
        <w:t>(</w:t>
      </w:r>
      <w:r w:rsidR="00446EA1" w:rsidRPr="000665B0">
        <w:t xml:space="preserve">see </w:t>
      </w:r>
      <w:hyperlink w:anchor="_5.37.6.1.16.6__How" w:history="1">
        <w:r w:rsidR="009326FE" w:rsidRPr="000665B0">
          <w:rPr>
            <w:rStyle w:val="Hyperlink"/>
          </w:rPr>
          <w:t xml:space="preserve">Section </w:t>
        </w:r>
        <w:r w:rsidR="004231CC">
          <w:rPr>
            <w:rStyle w:val="Hyperlink"/>
          </w:rPr>
          <w:t>5.34</w:t>
        </w:r>
        <w:r w:rsidR="008B4AA0" w:rsidRPr="000665B0">
          <w:rPr>
            <w:rStyle w:val="Hyperlink"/>
          </w:rPr>
          <w:t>.7.1.17.7</w:t>
        </w:r>
      </w:hyperlink>
      <w:r w:rsidR="00446EA1" w:rsidRPr="000665B0">
        <w:t>.</w:t>
      </w:r>
      <w:r w:rsidR="009772D2" w:rsidRPr="000665B0">
        <w:t>)</w:t>
      </w:r>
      <w:r w:rsidR="00446EA1" w:rsidRPr="000665B0">
        <w:t xml:space="preserve"> </w:t>
      </w:r>
    </w:p>
    <w:p w14:paraId="5A5F253B" w14:textId="5D8B026C" w:rsidR="00CF4B99" w:rsidRPr="000665B0" w:rsidRDefault="00CF4B99" w:rsidP="00474A1F">
      <w:pPr>
        <w:pStyle w:val="BodyText"/>
        <w:tabs>
          <w:tab w:val="left" w:pos="720"/>
        </w:tabs>
        <w:spacing w:after="120"/>
      </w:pPr>
      <w:r w:rsidRPr="000665B0">
        <w:t>Geographic feasibility is not considered for LMOs, TMPRs, and ghost reservations.</w:t>
      </w:r>
    </w:p>
    <w:p w14:paraId="548046BF" w14:textId="47F43C74" w:rsidR="00F36110" w:rsidRPr="000665B0" w:rsidRDefault="005F7A03" w:rsidP="00F36110">
      <w:r w:rsidRPr="000665B0">
        <w:t>To limit the assignments to just one shooter</w:t>
      </w:r>
      <w:r w:rsidR="00D1109E" w:rsidRPr="000665B0">
        <w:t>,</w:t>
      </w:r>
      <w:r w:rsidRPr="000665B0">
        <w:t xml:space="preserve"> </w:t>
      </w:r>
      <w:r w:rsidR="00645132" w:rsidRPr="000665B0">
        <w:t xml:space="preserve">select the desired shooter from </w:t>
      </w:r>
      <w:r w:rsidRPr="000665B0">
        <w:t xml:space="preserve">the </w:t>
      </w:r>
      <w:r w:rsidRPr="000665B0">
        <w:rPr>
          <w:b/>
        </w:rPr>
        <w:t>Shooters to Assign</w:t>
      </w:r>
      <w:r w:rsidR="005A0531" w:rsidRPr="000665B0">
        <w:rPr>
          <w:b/>
        </w:rPr>
        <w:t>:</w:t>
      </w:r>
      <w:r w:rsidRPr="000665B0">
        <w:t xml:space="preserve"> </w:t>
      </w:r>
      <w:r w:rsidR="00645132" w:rsidRPr="000665B0">
        <w:t>pull</w:t>
      </w:r>
      <w:r w:rsidR="00F36110" w:rsidRPr="000665B0">
        <w:t xml:space="preserve"> </w:t>
      </w:r>
      <w:r w:rsidR="00645132" w:rsidRPr="000665B0">
        <w:t>down menu. Shooters can also be turned on or off (for assignment purpo</w:t>
      </w:r>
      <w:r w:rsidR="00B077FE" w:rsidRPr="000665B0">
        <w:t>ses) by clicking on the check</w:t>
      </w:r>
      <w:r w:rsidR="00645132" w:rsidRPr="000665B0">
        <w:t>box to the left side of the shooter.</w:t>
      </w:r>
    </w:p>
    <w:p w14:paraId="1737A3A0" w14:textId="0CDF87AF" w:rsidR="00645132" w:rsidRPr="000665B0" w:rsidRDefault="007811B5" w:rsidP="0058307F">
      <w:pPr>
        <w:pStyle w:val="BodyText"/>
        <w:tabs>
          <w:tab w:val="left" w:pos="720"/>
        </w:tabs>
        <w:spacing w:after="120"/>
        <w:jc w:val="center"/>
      </w:pPr>
      <w:r w:rsidRPr="000665B0">
        <w:rPr>
          <w:noProof/>
        </w:rPr>
        <w:drawing>
          <wp:inline distT="0" distB="0" distL="0" distR="0" wp14:anchorId="7642907D" wp14:editId="3C822E86">
            <wp:extent cx="2286000" cy="1243584"/>
            <wp:effectExtent l="0" t="0" r="0" b="0"/>
            <wp:docPr id="2027" name="Picture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243584"/>
                    </a:xfrm>
                    <a:prstGeom prst="rect">
                      <a:avLst/>
                    </a:prstGeom>
                  </pic:spPr>
                </pic:pic>
              </a:graphicData>
            </a:graphic>
          </wp:inline>
        </w:drawing>
      </w:r>
    </w:p>
    <w:p w14:paraId="047F5CD4" w14:textId="4A200F26" w:rsidR="005F7A03" w:rsidRPr="000665B0" w:rsidRDefault="005F7A03" w:rsidP="00474A1F">
      <w:pPr>
        <w:pStyle w:val="BodyText"/>
        <w:tabs>
          <w:tab w:val="left" w:pos="720"/>
        </w:tabs>
        <w:spacing w:after="120"/>
      </w:pPr>
      <w:r w:rsidRPr="000665B0">
        <w:t xml:space="preserve">The bottom box </w:t>
      </w:r>
      <w:r w:rsidRPr="000665B0">
        <w:rPr>
          <w:b/>
        </w:rPr>
        <w:t>GHOST MISSIONS</w:t>
      </w:r>
      <w:r w:rsidRPr="000665B0">
        <w:t xml:space="preserve"> is for making Ghost assignments. It shows the number of reservation</w:t>
      </w:r>
      <w:r w:rsidR="00EB2A3C" w:rsidRPr="000665B0">
        <w:t>s</w:t>
      </w:r>
      <w:r w:rsidRPr="000665B0">
        <w:t xml:space="preserve"> that have been made.</w:t>
      </w:r>
    </w:p>
    <w:p w14:paraId="4AF20251" w14:textId="40DFB106" w:rsidR="007811B5" w:rsidRPr="000665B0" w:rsidRDefault="007811B5" w:rsidP="007811B5">
      <w:pPr>
        <w:pStyle w:val="BodyText"/>
        <w:tabs>
          <w:tab w:val="left" w:pos="720"/>
        </w:tabs>
        <w:spacing w:after="120"/>
        <w:jc w:val="center"/>
      </w:pPr>
      <w:r w:rsidRPr="000665B0">
        <w:rPr>
          <w:noProof/>
        </w:rPr>
        <w:lastRenderedPageBreak/>
        <w:drawing>
          <wp:inline distT="0" distB="0" distL="0" distR="0" wp14:anchorId="609700A7" wp14:editId="79DB4F79">
            <wp:extent cx="2286000" cy="502920"/>
            <wp:effectExtent l="0" t="0" r="0" b="0"/>
            <wp:docPr id="2043" name="Picture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502920"/>
                    </a:xfrm>
                    <a:prstGeom prst="rect">
                      <a:avLst/>
                    </a:prstGeom>
                  </pic:spPr>
                </pic:pic>
              </a:graphicData>
            </a:graphic>
          </wp:inline>
        </w:drawing>
      </w:r>
    </w:p>
    <w:p w14:paraId="571CB19B" w14:textId="77777777" w:rsidR="007811B5" w:rsidRPr="000665B0" w:rsidRDefault="007811B5" w:rsidP="007811B5">
      <w:pPr>
        <w:pStyle w:val="BodyText"/>
        <w:tabs>
          <w:tab w:val="left" w:pos="720"/>
        </w:tabs>
        <w:spacing w:after="120"/>
      </w:pPr>
      <w:r w:rsidRPr="000665B0">
        <w:t xml:space="preserve">To view the Legend for the FRUs pane, select </w:t>
      </w:r>
      <w:r w:rsidRPr="000665B0">
        <w:rPr>
          <w:b/>
        </w:rPr>
        <w:t>View</w:t>
      </w:r>
      <w:r w:rsidRPr="000665B0">
        <w:t xml:space="preserve"> </w:t>
      </w:r>
      <w:r w:rsidRPr="000665B0">
        <w:sym w:font="Wingdings" w:char="F0E0"/>
      </w:r>
      <w:r w:rsidRPr="000665B0">
        <w:t xml:space="preserve"> </w:t>
      </w:r>
      <w:r w:rsidRPr="000665B0">
        <w:rPr>
          <w:b/>
        </w:rPr>
        <w:t>Legend</w:t>
      </w:r>
      <w:r w:rsidRPr="000665B0">
        <w:t>.</w:t>
      </w:r>
    </w:p>
    <w:p w14:paraId="02D67070" w14:textId="77777777" w:rsidR="007811B5" w:rsidRPr="000665B0" w:rsidRDefault="007811B5" w:rsidP="007811B5">
      <w:pPr>
        <w:pStyle w:val="BodyText"/>
        <w:tabs>
          <w:tab w:val="left" w:pos="720"/>
        </w:tabs>
        <w:spacing w:after="120"/>
        <w:jc w:val="center"/>
      </w:pPr>
      <w:r w:rsidRPr="000665B0">
        <w:rPr>
          <w:noProof/>
        </w:rPr>
        <w:drawing>
          <wp:inline distT="0" distB="0" distL="0" distR="0" wp14:anchorId="77A42617" wp14:editId="767C7E74">
            <wp:extent cx="2286000" cy="201168"/>
            <wp:effectExtent l="0" t="0" r="0" b="0"/>
            <wp:docPr id="2067" name="Picture 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201168"/>
                    </a:xfrm>
                    <a:prstGeom prst="rect">
                      <a:avLst/>
                    </a:prstGeom>
                  </pic:spPr>
                </pic:pic>
              </a:graphicData>
            </a:graphic>
          </wp:inline>
        </w:drawing>
      </w:r>
    </w:p>
    <w:p w14:paraId="7B5B2A83" w14:textId="137304F9" w:rsidR="00645132" w:rsidRPr="000665B0" w:rsidRDefault="00645132" w:rsidP="00474A1F">
      <w:pPr>
        <w:pStyle w:val="BodyText"/>
        <w:tabs>
          <w:tab w:val="left" w:pos="720"/>
        </w:tabs>
        <w:spacing w:after="120"/>
      </w:pPr>
      <w:r w:rsidRPr="000665B0">
        <w:rPr>
          <w:b/>
        </w:rPr>
        <w:t>FRU List View Context Menu</w:t>
      </w:r>
    </w:p>
    <w:p w14:paraId="2518E026" w14:textId="77777777" w:rsidR="005A0531" w:rsidRPr="000665B0" w:rsidRDefault="005F7A03" w:rsidP="006D5A65">
      <w:pPr>
        <w:pStyle w:val="Heading1"/>
      </w:pPr>
      <w:r w:rsidRPr="000665B0">
        <w:t xml:space="preserve">Display </w:t>
      </w:r>
    </w:p>
    <w:p w14:paraId="465BCEF2" w14:textId="77777777" w:rsidR="005F7A03" w:rsidRPr="000665B0" w:rsidRDefault="005F7A03" w:rsidP="006D5A65">
      <w:pPr>
        <w:pStyle w:val="Heading1"/>
      </w:pPr>
      <w:r w:rsidRPr="000665B0">
        <w:t>Textually (</w:t>
      </w:r>
      <w:r w:rsidR="00234EB2" w:rsidRPr="000665B0">
        <w:t xml:space="preserve">Not Available </w:t>
      </w:r>
      <w:r w:rsidRPr="000665B0">
        <w:t xml:space="preserve">for the Ghost Mission </w:t>
      </w:r>
      <w:r w:rsidR="00234EB2" w:rsidRPr="000665B0">
        <w:t>Box</w:t>
      </w:r>
      <w:r w:rsidRPr="000665B0">
        <w:t>) – Displays the platform textually.</w:t>
      </w:r>
    </w:p>
    <w:p w14:paraId="4B1EFC25" w14:textId="77777777" w:rsidR="005F7A03" w:rsidRPr="000665B0" w:rsidRDefault="005F7A03" w:rsidP="006D5A65">
      <w:pPr>
        <w:pStyle w:val="Heading1"/>
      </w:pPr>
      <w:r w:rsidRPr="000665B0">
        <w:t xml:space="preserve">CALA Geographically </w:t>
      </w:r>
      <w:r w:rsidR="00234EB2" w:rsidRPr="000665B0">
        <w:t>(Not Available for the Ghost Mission Box)</w:t>
      </w:r>
      <w:r w:rsidRPr="000665B0">
        <w:t xml:space="preserve"> – Displays the CALA Geographically for this Option/FRU reservation. This will show the common launch area. </w:t>
      </w:r>
      <w:r w:rsidR="00FF07D3" w:rsidRPr="000665B0">
        <w:t>This function is enabled only if the FRU has more than one mission assigned to it.</w:t>
      </w:r>
    </w:p>
    <w:p w14:paraId="7EBBF64C" w14:textId="77777777" w:rsidR="005F7A03" w:rsidRPr="000665B0" w:rsidRDefault="005F7A03" w:rsidP="006D5A65">
      <w:pPr>
        <w:pStyle w:val="Heading1"/>
      </w:pPr>
      <w:r w:rsidRPr="000665B0">
        <w:t xml:space="preserve">FPPWPs Geographically </w:t>
      </w:r>
      <w:r w:rsidR="00234EB2" w:rsidRPr="000665B0">
        <w:t>(Not Available for the Ghost Mission Box)</w:t>
      </w:r>
      <w:r w:rsidRPr="000665B0">
        <w:t xml:space="preserve"> – Displays the first pre-planned waypoints for this Option/FRU reservation.</w:t>
      </w:r>
    </w:p>
    <w:p w14:paraId="0BE4C02B" w14:textId="77777777" w:rsidR="005F7A03" w:rsidRPr="000665B0" w:rsidRDefault="005F7A03" w:rsidP="006D5A65">
      <w:pPr>
        <w:pStyle w:val="Heading1"/>
      </w:pPr>
      <w:r w:rsidRPr="000665B0">
        <w:t xml:space="preserve">Platform Geographically </w:t>
      </w:r>
      <w:r w:rsidR="00234EB2" w:rsidRPr="000665B0">
        <w:t>(Not Available for the Ghost Mission Box)</w:t>
      </w:r>
      <w:r w:rsidRPr="000665B0">
        <w:t xml:space="preserve"> – Displays the platform geographically if it has a position.</w:t>
      </w:r>
    </w:p>
    <w:p w14:paraId="3E9291DC" w14:textId="78938723" w:rsidR="00645132" w:rsidRPr="000665B0" w:rsidRDefault="00645132" w:rsidP="006D5A65">
      <w:pPr>
        <w:pStyle w:val="Heading1"/>
      </w:pPr>
      <w:r w:rsidRPr="000665B0">
        <w:t xml:space="preserve">Edit PLP/LPMP Op Area (Not Available for the Ghost Mission Box) – Displays the </w:t>
      </w:r>
      <w:r w:rsidRPr="000665B0">
        <w:rPr>
          <w:i/>
        </w:rPr>
        <w:t>Edit PLP/LPMP</w:t>
      </w:r>
      <w:r w:rsidRPr="000665B0">
        <w:t xml:space="preserve"> window allowing the user to designate a PLP and/or LPMP Op Area for the FRU. Editing a PLP/LPMP Op Area is performed in the same manner as within a Strike option (see </w:t>
      </w:r>
      <w:hyperlink w:anchor="_Arsenal_Tab" w:history="1">
        <w:r w:rsidR="009326FE" w:rsidRPr="000665B0">
          <w:rPr>
            <w:rStyle w:val="Hyperlink"/>
          </w:rPr>
          <w:t xml:space="preserve">Section </w:t>
        </w:r>
        <w:r w:rsidR="004231CC">
          <w:rPr>
            <w:rStyle w:val="Hyperlink"/>
          </w:rPr>
          <w:t>5.34</w:t>
        </w:r>
        <w:r w:rsidRPr="000665B0">
          <w:rPr>
            <w:rStyle w:val="Hyperlink"/>
          </w:rPr>
          <w:t>.7.1.5</w:t>
        </w:r>
      </w:hyperlink>
      <w:r w:rsidRPr="000665B0">
        <w:t xml:space="preserve">). </w:t>
      </w:r>
    </w:p>
    <w:p w14:paraId="61ACDD27" w14:textId="17F270C1" w:rsidR="005F7A03" w:rsidRPr="000665B0" w:rsidRDefault="005F7A03" w:rsidP="006D5A65">
      <w:pPr>
        <w:pStyle w:val="Heading1"/>
      </w:pPr>
      <w:r w:rsidRPr="000665B0">
        <w:t xml:space="preserve">Show Assignments – </w:t>
      </w:r>
      <w:r w:rsidR="004E5443" w:rsidRPr="000665B0">
        <w:t>Updates the Assignments pane at the bottom of the window for the selected s</w:t>
      </w:r>
      <w:r w:rsidRPr="000665B0">
        <w:t xml:space="preserve">hooter or </w:t>
      </w:r>
      <w:r w:rsidR="004E5443" w:rsidRPr="000665B0">
        <w:t xml:space="preserve">all </w:t>
      </w:r>
      <w:r w:rsidRPr="000665B0">
        <w:t xml:space="preserve">Ghost </w:t>
      </w:r>
      <w:r w:rsidR="004E5443" w:rsidRPr="000665B0">
        <w:t>missions</w:t>
      </w:r>
      <w:r w:rsidRPr="000665B0">
        <w:t>.</w:t>
      </w:r>
    </w:p>
    <w:p w14:paraId="3FAD0F76" w14:textId="2DF0D6B0" w:rsidR="00634175" w:rsidRPr="000665B0" w:rsidRDefault="00634175" w:rsidP="00306174">
      <w:pPr>
        <w:pStyle w:val="Heading6"/>
      </w:pPr>
      <w:bookmarkStart w:id="6418" w:name="_Toc289328881"/>
      <w:r w:rsidRPr="000665B0">
        <w:t>Geo Pane</w:t>
      </w:r>
      <w:r w:rsidR="006046DC" w:rsidRPr="000665B0">
        <w:t xml:space="preserve"> and Geo Object Manager (GOM) Pane</w:t>
      </w:r>
    </w:p>
    <w:p w14:paraId="738B0798" w14:textId="76A12163" w:rsidR="00167B73" w:rsidRPr="000665B0" w:rsidRDefault="00167B73" w:rsidP="00474A1F">
      <w:pPr>
        <w:tabs>
          <w:tab w:val="left" w:pos="720"/>
        </w:tabs>
      </w:pPr>
      <w:r w:rsidRPr="000665B0">
        <w:t xml:space="preserve">The </w:t>
      </w:r>
      <w:r w:rsidRPr="000665B0">
        <w:rPr>
          <w:b/>
        </w:rPr>
        <w:t>Geo</w:t>
      </w:r>
      <w:r w:rsidRPr="000665B0">
        <w:t xml:space="preserve"> pane displays </w:t>
      </w:r>
      <w:r w:rsidR="00D9633C" w:rsidRPr="000665B0">
        <w:t>strike</w:t>
      </w:r>
      <w:r w:rsidRPr="000665B0">
        <w:t xml:space="preserve"> item</w:t>
      </w:r>
      <w:r w:rsidR="00D9633C" w:rsidRPr="000665B0">
        <w:t>s</w:t>
      </w:r>
      <w:r w:rsidRPr="000665B0">
        <w:t xml:space="preserve"> geographically</w:t>
      </w:r>
      <w:r w:rsidR="001833C6" w:rsidRPr="000665B0">
        <w:t xml:space="preserve"> (on the </w:t>
      </w:r>
      <w:r w:rsidR="00D20F78" w:rsidRPr="000665B0">
        <w:t>far-right</w:t>
      </w:r>
      <w:r w:rsidR="001833C6" w:rsidRPr="000665B0">
        <w:t xml:space="preserve"> side of the </w:t>
      </w:r>
      <w:r w:rsidR="001833C6" w:rsidRPr="000665B0">
        <w:rPr>
          <w:i/>
        </w:rPr>
        <w:t xml:space="preserve">PM3 for Strike </w:t>
      </w:r>
      <w:r w:rsidR="008332EC" w:rsidRPr="000665B0">
        <w:rPr>
          <w:i/>
        </w:rPr>
        <w:t>Option/</w:t>
      </w:r>
      <w:r w:rsidR="001833C6" w:rsidRPr="000665B0">
        <w:rPr>
          <w:i/>
        </w:rPr>
        <w:t xml:space="preserve">Package </w:t>
      </w:r>
      <w:r w:rsidR="001833C6" w:rsidRPr="000665B0">
        <w:t>window) and behaves in the same manner as the Geo Display tool</w:t>
      </w:r>
      <w:r w:rsidR="00CA128D" w:rsidRPr="000665B0">
        <w:t xml:space="preserve"> (see </w:t>
      </w:r>
      <w:hyperlink w:anchor="_GEO_DISPLAY_TOOL" w:history="1">
        <w:r w:rsidR="004B5B37" w:rsidRPr="000665B0">
          <w:rPr>
            <w:rStyle w:val="Hyperlink"/>
          </w:rPr>
          <w:t xml:space="preserve">Section </w:t>
        </w:r>
        <w:r w:rsidR="004231CC">
          <w:rPr>
            <w:rStyle w:val="Hyperlink"/>
          </w:rPr>
          <w:t>5.26</w:t>
        </w:r>
      </w:hyperlink>
      <w:r w:rsidR="00CA128D" w:rsidRPr="000665B0">
        <w:t>)</w:t>
      </w:r>
      <w:r w:rsidRPr="000665B0">
        <w:t xml:space="preserve">. </w:t>
      </w:r>
      <w:r w:rsidR="00BB75EF" w:rsidRPr="000665B0">
        <w:t xml:space="preserve">The </w:t>
      </w:r>
      <w:r w:rsidR="00BB75EF" w:rsidRPr="000665B0">
        <w:rPr>
          <w:b/>
        </w:rPr>
        <w:t>Geo</w:t>
      </w:r>
      <w:r w:rsidR="00BB75EF" w:rsidRPr="000665B0">
        <w:t xml:space="preserve"> pane facilitates manual PM3 by allowing the user to view the platforms and ACMS files supporting the strike geographically in one window, minimizing the flipping of windows back and forth to view missile tree and suitable platforms for missile assignment.</w:t>
      </w:r>
    </w:p>
    <w:p w14:paraId="57D61E17" w14:textId="32E552AA" w:rsidR="001833C6" w:rsidRPr="000665B0" w:rsidRDefault="001833C6" w:rsidP="001833C6">
      <w:pPr>
        <w:tabs>
          <w:tab w:val="left" w:pos="720"/>
        </w:tabs>
      </w:pPr>
      <w:r w:rsidRPr="000665B0">
        <w:t xml:space="preserve">The strike items </w:t>
      </w:r>
      <w:r w:rsidR="00C9149E" w:rsidRPr="000665B0">
        <w:t xml:space="preserve">displayed </w:t>
      </w:r>
      <w:r w:rsidRPr="000665B0">
        <w:t xml:space="preserve">in the Geo display are </w:t>
      </w:r>
      <w:r w:rsidR="00C9149E" w:rsidRPr="000665B0">
        <w:t xml:space="preserve">also </w:t>
      </w:r>
      <w:r w:rsidRPr="000665B0">
        <w:t xml:space="preserve">displayed hierarchically in a tree list view to the left of </w:t>
      </w:r>
      <w:r w:rsidR="00753BDA" w:rsidRPr="000665B0">
        <w:t xml:space="preserve">the </w:t>
      </w:r>
      <w:r w:rsidRPr="000665B0">
        <w:t>Geo display</w:t>
      </w:r>
      <w:r w:rsidR="00C9149E" w:rsidRPr="000665B0">
        <w:t>,</w:t>
      </w:r>
      <w:r w:rsidRPr="000665B0">
        <w:t xml:space="preserve"> in the </w:t>
      </w:r>
      <w:r w:rsidRPr="000665B0">
        <w:rPr>
          <w:b/>
        </w:rPr>
        <w:t>Geo Object Manager</w:t>
      </w:r>
      <w:r w:rsidRPr="000665B0">
        <w:t xml:space="preserve"> (GOM) pane. </w:t>
      </w:r>
    </w:p>
    <w:p w14:paraId="05BF2262" w14:textId="013F812F" w:rsidR="001833C6" w:rsidRPr="000665B0" w:rsidRDefault="001833C6" w:rsidP="001833C6">
      <w:pPr>
        <w:tabs>
          <w:tab w:val="left" w:pos="720"/>
        </w:tabs>
      </w:pPr>
      <w:r w:rsidRPr="000665B0">
        <w:t>To enable the Geo display and GOM:</w:t>
      </w:r>
    </w:p>
    <w:p w14:paraId="1096B8E2" w14:textId="3CF70A4F" w:rsidR="001833C6" w:rsidRPr="000665B0" w:rsidRDefault="001833C6" w:rsidP="006D5A65">
      <w:pPr>
        <w:pStyle w:val="Heading1"/>
      </w:pPr>
      <w:r w:rsidRPr="000665B0">
        <w:lastRenderedPageBreak/>
        <w:t xml:space="preserve">Select View </w:t>
      </w:r>
      <w:r w:rsidRPr="000665B0">
        <w:sym w:font="Wingdings" w:char="F0E0"/>
      </w:r>
      <w:r w:rsidRPr="000665B0">
        <w:t xml:space="preserve"> Geo. The GOM is enabled by default (to disable it, select Geo </w:t>
      </w:r>
      <w:r w:rsidRPr="000665B0">
        <w:sym w:font="Wingdings" w:char="F0E0"/>
      </w:r>
      <w:r w:rsidRPr="000665B0">
        <w:t xml:space="preserve"> Display Geo Object Manager).</w:t>
      </w:r>
      <w:r w:rsidR="00C9149E" w:rsidRPr="000665B0">
        <w:t xml:space="preserve"> </w:t>
      </w:r>
    </w:p>
    <w:p w14:paraId="7DBBBFC4" w14:textId="4A3DF62C" w:rsidR="001833C6" w:rsidRPr="000665B0" w:rsidRDefault="00485D12" w:rsidP="0058307F">
      <w:pPr>
        <w:tabs>
          <w:tab w:val="left" w:pos="720"/>
        </w:tabs>
        <w:jc w:val="center"/>
      </w:pPr>
      <w:r w:rsidRPr="000665B0">
        <w:rPr>
          <w:noProof/>
        </w:rPr>
        <w:drawing>
          <wp:inline distT="0" distB="0" distL="0" distR="0" wp14:anchorId="47688FE2" wp14:editId="7CDC3C2A">
            <wp:extent cx="3657600" cy="4306824"/>
            <wp:effectExtent l="0" t="0" r="0" b="0"/>
            <wp:docPr id="2073" name="Picture 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4306824"/>
                    </a:xfrm>
                    <a:prstGeom prst="rect">
                      <a:avLst/>
                    </a:prstGeom>
                  </pic:spPr>
                </pic:pic>
              </a:graphicData>
            </a:graphic>
          </wp:inline>
        </w:drawing>
      </w:r>
      <w:r w:rsidR="006715CC" w:rsidRPr="000665B0">
        <w:rPr>
          <w:noProof/>
        </w:rPr>
        <w:t xml:space="preserve"> </w:t>
      </w:r>
    </w:p>
    <w:p w14:paraId="3A192C47" w14:textId="53F699A9" w:rsidR="008D3ECB" w:rsidRPr="000665B0" w:rsidRDefault="001833C6" w:rsidP="006D5A65">
      <w:pPr>
        <w:pStyle w:val="Heading1"/>
      </w:pPr>
      <w:r w:rsidRPr="000665B0">
        <w:t xml:space="preserve">To show or </w:t>
      </w:r>
      <w:r w:rsidR="00506098" w:rsidRPr="000665B0">
        <w:t>remove</w:t>
      </w:r>
      <w:r w:rsidRPr="000665B0">
        <w:t xml:space="preserve"> strike items on the Geo display, select or de-select the checkbox next to the item in the tree list of the GOM. Toggling a checkbox at the node level turns on/off all sub</w:t>
      </w:r>
      <w:r w:rsidR="00506098" w:rsidRPr="000665B0">
        <w:t>-</w:t>
      </w:r>
      <w:r w:rsidRPr="000665B0">
        <w:t xml:space="preserve">items under the node such that they are either all </w:t>
      </w:r>
      <w:r w:rsidR="007E727D" w:rsidRPr="000665B0">
        <w:t>displayed,</w:t>
      </w:r>
      <w:r w:rsidRPr="000665B0">
        <w:t xml:space="preserve"> or all removed from the </w:t>
      </w:r>
      <w:r w:rsidR="00C9149E" w:rsidRPr="000665B0">
        <w:t>Geo</w:t>
      </w:r>
      <w:r w:rsidRPr="000665B0">
        <w:t xml:space="preserve"> display.</w:t>
      </w:r>
      <w:r w:rsidR="008D3ECB" w:rsidRPr="000665B0">
        <w:t xml:space="preserve"> Individual sub</w:t>
      </w:r>
      <w:r w:rsidR="00506098" w:rsidRPr="000665B0">
        <w:t>-</w:t>
      </w:r>
      <w:r w:rsidR="008D3ECB" w:rsidRPr="000665B0">
        <w:t>items</w:t>
      </w:r>
      <w:r w:rsidR="00C9149E" w:rsidRPr="000665B0">
        <w:t xml:space="preserve"> (such as ACMSs or Overlays)</w:t>
      </w:r>
      <w:r w:rsidR="008D3ECB" w:rsidRPr="000665B0">
        <w:t xml:space="preserve"> can also be toggled on/off </w:t>
      </w:r>
      <w:r w:rsidR="008D3ECB" w:rsidRPr="000665B0">
        <w:lastRenderedPageBreak/>
        <w:t xml:space="preserve">such that the selected items are displayed or removed from the </w:t>
      </w:r>
      <w:r w:rsidR="00C9149E" w:rsidRPr="000665B0">
        <w:t>Geo</w:t>
      </w:r>
      <w:r w:rsidR="008D3ECB" w:rsidRPr="000665B0">
        <w:t xml:space="preserve"> display. </w:t>
      </w:r>
    </w:p>
    <w:p w14:paraId="3A521DE6" w14:textId="4619CE40" w:rsidR="006715CC" w:rsidRPr="000665B0" w:rsidRDefault="00485D12" w:rsidP="004E7DCC">
      <w:pPr>
        <w:jc w:val="center"/>
      </w:pPr>
      <w:r w:rsidRPr="000665B0">
        <w:rPr>
          <w:noProof/>
        </w:rPr>
        <w:drawing>
          <wp:inline distT="0" distB="0" distL="0" distR="0" wp14:anchorId="06B5D047" wp14:editId="0CD2B09A">
            <wp:extent cx="3657600" cy="4114800"/>
            <wp:effectExtent l="0" t="0" r="0" b="0"/>
            <wp:docPr id="2075" name="Picture 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657600" cy="4114800"/>
                    </a:xfrm>
                    <a:prstGeom prst="rect">
                      <a:avLst/>
                    </a:prstGeom>
                  </pic:spPr>
                </pic:pic>
              </a:graphicData>
            </a:graphic>
          </wp:inline>
        </w:drawing>
      </w:r>
    </w:p>
    <w:p w14:paraId="6B7E75F7" w14:textId="044A3E70" w:rsidR="001833C6" w:rsidRPr="000665B0" w:rsidRDefault="008D3ECB" w:rsidP="006D5A65">
      <w:pPr>
        <w:pStyle w:val="Heading1"/>
      </w:pPr>
      <w:r w:rsidRPr="000665B0">
        <w:lastRenderedPageBreak/>
        <w:t xml:space="preserve">Within the Geo pane, </w:t>
      </w:r>
      <w:r w:rsidR="00506098" w:rsidRPr="000665B0">
        <w:t xml:space="preserve">select an item and </w:t>
      </w:r>
      <w:r w:rsidRPr="000665B0">
        <w:t>invoke the context menu to bring up the following functions:</w:t>
      </w:r>
    </w:p>
    <w:p w14:paraId="37AF3A25" w14:textId="77777777" w:rsidR="00167B73" w:rsidRPr="000665B0" w:rsidRDefault="00167B73" w:rsidP="006D5A65">
      <w:pPr>
        <w:pStyle w:val="Heading1"/>
      </w:pPr>
      <w:r w:rsidRPr="000665B0">
        <w:t>Strike Option xxxxx-xxxxx-xxxxx</w:t>
      </w:r>
    </w:p>
    <w:p w14:paraId="585674E2" w14:textId="7BD13E15" w:rsidR="00167B73" w:rsidRPr="000665B0" w:rsidRDefault="00167B73" w:rsidP="006D5A65">
      <w:pPr>
        <w:pStyle w:val="Heading1"/>
      </w:pPr>
      <w:r w:rsidRPr="000665B0">
        <w:t xml:space="preserve">Show Note – </w:t>
      </w:r>
      <w:r w:rsidR="008A2DDD" w:rsidRPr="000665B0">
        <w:t>Invokes a sub-menu to d</w:t>
      </w:r>
      <w:r w:rsidRPr="000665B0">
        <w:t>isplay Geo Object information in a bubble box on the Geo Display.</w:t>
      </w:r>
    </w:p>
    <w:p w14:paraId="695A2409" w14:textId="405EF72F" w:rsidR="00506098" w:rsidRPr="000665B0" w:rsidRDefault="00506098" w:rsidP="006D5A65">
      <w:pPr>
        <w:pStyle w:val="Heading1"/>
      </w:pPr>
      <w:r w:rsidRPr="000665B0">
        <w:t xml:space="preserve">Show – </w:t>
      </w:r>
      <w:r w:rsidR="009C6EB5" w:rsidRPr="000665B0">
        <w:t>Displays or hides the Geo object.</w:t>
      </w:r>
    </w:p>
    <w:p w14:paraId="07CEDAF8" w14:textId="77777777" w:rsidR="00167B73" w:rsidRPr="000665B0" w:rsidRDefault="00167B73" w:rsidP="006D5A65">
      <w:pPr>
        <w:pStyle w:val="Heading1"/>
      </w:pPr>
      <w:r w:rsidRPr="000665B0">
        <w:t>Bring to Front – Draws the selected object on top of all others, when shown.</w:t>
      </w:r>
    </w:p>
    <w:p w14:paraId="25B31FE8" w14:textId="77777777" w:rsidR="00167B73" w:rsidRPr="000665B0" w:rsidRDefault="00167B73" w:rsidP="006D5A65">
      <w:pPr>
        <w:pStyle w:val="Heading1"/>
      </w:pPr>
      <w:r w:rsidRPr="000665B0">
        <w:t>Push to Back – Draws the selected object beneath all others, when shown.</w:t>
      </w:r>
    </w:p>
    <w:p w14:paraId="612349BA" w14:textId="07FA30D5" w:rsidR="00506098" w:rsidRPr="000665B0" w:rsidRDefault="00506098" w:rsidP="006D5A65">
      <w:pPr>
        <w:pStyle w:val="Heading1"/>
      </w:pPr>
      <w:r w:rsidRPr="000665B0">
        <w:t xml:space="preserve">Restore Normal Precedence – </w:t>
      </w:r>
      <w:r w:rsidR="009C6EB5" w:rsidRPr="000665B0">
        <w:t>Returns the selected Geo object to its usual precedence in the drawing order after a Bring to Front or a Push to Back.</w:t>
      </w:r>
    </w:p>
    <w:p w14:paraId="63DBC984" w14:textId="77777777" w:rsidR="00167B73" w:rsidRPr="000665B0" w:rsidRDefault="00167B73" w:rsidP="006D5A65">
      <w:pPr>
        <w:pStyle w:val="Heading1"/>
      </w:pPr>
      <w:r w:rsidRPr="000665B0">
        <w:t>Center On Cursor –</w:t>
      </w:r>
      <w:r w:rsidR="00703D05" w:rsidRPr="000665B0">
        <w:t xml:space="preserve"> Re-centers the Geo Display on the mouse location.</w:t>
      </w:r>
    </w:p>
    <w:p w14:paraId="01CEBCAD" w14:textId="77777777" w:rsidR="00167B73" w:rsidRPr="000665B0" w:rsidRDefault="00167B73" w:rsidP="006D5A65">
      <w:pPr>
        <w:pStyle w:val="Heading1"/>
      </w:pPr>
      <w:r w:rsidRPr="000665B0">
        <w:t>Remove All –</w:t>
      </w:r>
      <w:r w:rsidR="00703D05" w:rsidRPr="000665B0">
        <w:t xml:space="preserve"> Removes all objects in the Geo Object Manager</w:t>
      </w:r>
      <w:r w:rsidR="000D738E" w:rsidRPr="000665B0">
        <w:t>.</w:t>
      </w:r>
    </w:p>
    <w:p w14:paraId="7328E5A7" w14:textId="4D331D32" w:rsidR="00167B73" w:rsidRPr="000665B0" w:rsidRDefault="00167B73" w:rsidP="006D5A65">
      <w:pPr>
        <w:pStyle w:val="Heading1"/>
      </w:pPr>
      <w:r w:rsidRPr="000665B0">
        <w:t>Query Geospat</w:t>
      </w:r>
      <w:r w:rsidR="00703D05" w:rsidRPr="000665B0">
        <w:t>ial</w:t>
      </w:r>
      <w:r w:rsidRPr="000665B0">
        <w:t xml:space="preserve"> Data –</w:t>
      </w:r>
      <w:r w:rsidR="00703D05" w:rsidRPr="000665B0">
        <w:t xml:space="preserve"> Obtains more information about map features. See </w:t>
      </w:r>
      <w:hyperlink w:anchor="_5.30.7__Querying_1" w:history="1">
        <w:r w:rsidR="00703D05" w:rsidRPr="000665B0">
          <w:rPr>
            <w:rStyle w:val="Hyperlink"/>
            <w:szCs w:val="24"/>
          </w:rPr>
          <w:t xml:space="preserve">Section </w:t>
        </w:r>
        <w:r w:rsidR="004231CC">
          <w:rPr>
            <w:rStyle w:val="Hyperlink"/>
            <w:szCs w:val="24"/>
          </w:rPr>
          <w:t>5.26</w:t>
        </w:r>
        <w:r w:rsidR="00703D05" w:rsidRPr="000665B0">
          <w:rPr>
            <w:rStyle w:val="Hyperlink"/>
            <w:szCs w:val="24"/>
          </w:rPr>
          <w:t>.6</w:t>
        </w:r>
      </w:hyperlink>
      <w:r w:rsidR="00703D05" w:rsidRPr="000665B0">
        <w:t>.</w:t>
      </w:r>
    </w:p>
    <w:p w14:paraId="7FCA6C16" w14:textId="20FCA120" w:rsidR="005F7A03" w:rsidRPr="000665B0" w:rsidRDefault="005F7A03" w:rsidP="00306174">
      <w:pPr>
        <w:pStyle w:val="Heading6"/>
      </w:pPr>
      <w:r w:rsidRPr="000665B0">
        <w:t xml:space="preserve">Assignments </w:t>
      </w:r>
      <w:bookmarkEnd w:id="6418"/>
      <w:r w:rsidR="00634175" w:rsidRPr="000665B0">
        <w:t>Pane</w:t>
      </w:r>
    </w:p>
    <w:p w14:paraId="13A18640" w14:textId="102DD0D7" w:rsidR="00025DC1" w:rsidRPr="000665B0" w:rsidRDefault="00961981" w:rsidP="00474A1F">
      <w:pPr>
        <w:tabs>
          <w:tab w:val="left" w:pos="720"/>
        </w:tabs>
        <w:jc w:val="center"/>
      </w:pPr>
      <w:r w:rsidRPr="000665B0">
        <w:rPr>
          <w:noProof/>
        </w:rPr>
        <w:drawing>
          <wp:inline distT="0" distB="0" distL="0" distR="0" wp14:anchorId="79537212" wp14:editId="13A39C89">
            <wp:extent cx="4983480" cy="630936"/>
            <wp:effectExtent l="0" t="0" r="0" b="0"/>
            <wp:docPr id="2214" name="Picture 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630936"/>
                    </a:xfrm>
                    <a:prstGeom prst="rect">
                      <a:avLst/>
                    </a:prstGeom>
                  </pic:spPr>
                </pic:pic>
              </a:graphicData>
            </a:graphic>
          </wp:inline>
        </w:drawing>
      </w:r>
    </w:p>
    <w:p w14:paraId="537B2C24" w14:textId="72A159D1" w:rsidR="00AB7322" w:rsidRPr="000665B0" w:rsidRDefault="005F7A03" w:rsidP="00474A1F">
      <w:pPr>
        <w:pStyle w:val="BodyText"/>
        <w:tabs>
          <w:tab w:val="left" w:pos="720"/>
        </w:tabs>
        <w:spacing w:after="120"/>
      </w:pPr>
      <w:r w:rsidRPr="000665B0">
        <w:t xml:space="preserve">The </w:t>
      </w:r>
      <w:r w:rsidRPr="000665B0">
        <w:rPr>
          <w:b/>
        </w:rPr>
        <w:t>Assignments</w:t>
      </w:r>
      <w:r w:rsidRPr="000665B0">
        <w:t xml:space="preserve"> </w:t>
      </w:r>
      <w:r w:rsidR="00025DC1" w:rsidRPr="000665B0">
        <w:t xml:space="preserve">pane displays </w:t>
      </w:r>
      <w:r w:rsidRPr="000665B0">
        <w:t xml:space="preserve">all assignments for the </w:t>
      </w:r>
      <w:r w:rsidR="00025DC1" w:rsidRPr="000665B0">
        <w:t>selected item</w:t>
      </w:r>
      <w:r w:rsidR="003A4553" w:rsidRPr="000665B0">
        <w:t xml:space="preserve"> in the Missiles Tree View pane</w:t>
      </w:r>
      <w:r w:rsidRPr="000665B0">
        <w:t>. Th</w:t>
      </w:r>
      <w:r w:rsidR="003A4553" w:rsidRPr="000665B0">
        <w:t xml:space="preserve">e </w:t>
      </w:r>
      <w:r w:rsidR="003A4553" w:rsidRPr="000665B0">
        <w:rPr>
          <w:b/>
        </w:rPr>
        <w:t>Assignments</w:t>
      </w:r>
      <w:r w:rsidRPr="000665B0">
        <w:t xml:space="preserve"> </w:t>
      </w:r>
      <w:r w:rsidR="00025DC1" w:rsidRPr="000665B0">
        <w:t xml:space="preserve">pane is enabled/disabled by selecting </w:t>
      </w:r>
      <w:r w:rsidRPr="000665B0">
        <w:rPr>
          <w:b/>
        </w:rPr>
        <w:t xml:space="preserve">View </w:t>
      </w:r>
      <w:r w:rsidR="00A05D58" w:rsidRPr="000665B0">
        <w:rPr>
          <w:b/>
        </w:rPr>
        <w:sym w:font="Wingdings" w:char="F0E0"/>
      </w:r>
      <w:r w:rsidRPr="000665B0">
        <w:rPr>
          <w:b/>
        </w:rPr>
        <w:t xml:space="preserve"> Assignments</w:t>
      </w:r>
      <w:r w:rsidR="00025DC1" w:rsidRPr="000665B0">
        <w:t>, or by selecting an item</w:t>
      </w:r>
      <w:r w:rsidR="003A4553" w:rsidRPr="000665B0">
        <w:t xml:space="preserve"> in the Missiles Tree View pane</w:t>
      </w:r>
      <w:r w:rsidR="00025DC1" w:rsidRPr="000665B0">
        <w:t xml:space="preserve">, </w:t>
      </w:r>
      <w:r w:rsidR="00D71804" w:rsidRPr="000665B0">
        <w:t>right-click</w:t>
      </w:r>
      <w:r w:rsidR="00025DC1" w:rsidRPr="000665B0">
        <w:t xml:space="preserve">ing, and selecting </w:t>
      </w:r>
      <w:r w:rsidR="00025DC1" w:rsidRPr="000665B0">
        <w:rPr>
          <w:b/>
        </w:rPr>
        <w:t>Show Assignments</w:t>
      </w:r>
      <w:r w:rsidRPr="000665B0">
        <w:t xml:space="preserve">. See </w:t>
      </w:r>
      <w:hyperlink w:anchor="_5.37.6.1.6__Missiles_1" w:history="1">
        <w:r w:rsidR="009326FE" w:rsidRPr="000665B0">
          <w:rPr>
            <w:rStyle w:val="Hyperlink"/>
          </w:rPr>
          <w:t xml:space="preserve">Section </w:t>
        </w:r>
        <w:r w:rsidR="004231CC">
          <w:rPr>
            <w:rStyle w:val="Hyperlink"/>
          </w:rPr>
          <w:t>5.34</w:t>
        </w:r>
        <w:r w:rsidRPr="000665B0">
          <w:rPr>
            <w:rStyle w:val="Hyperlink"/>
          </w:rPr>
          <w:t>.</w:t>
        </w:r>
        <w:r w:rsidR="0089269C" w:rsidRPr="000665B0">
          <w:rPr>
            <w:rStyle w:val="Hyperlink"/>
          </w:rPr>
          <w:t>7</w:t>
        </w:r>
        <w:r w:rsidRPr="000665B0">
          <w:rPr>
            <w:rStyle w:val="Hyperlink"/>
          </w:rPr>
          <w:t>.1.6</w:t>
        </w:r>
      </w:hyperlink>
      <w:r w:rsidRPr="000665B0">
        <w:t xml:space="preserve"> for</w:t>
      </w:r>
      <w:r w:rsidRPr="000665B0">
        <w:rPr>
          <w:b/>
        </w:rPr>
        <w:t xml:space="preserve"> </w:t>
      </w:r>
      <w:r w:rsidRPr="000665B0">
        <w:t xml:space="preserve">more details on the available functions on this list view. </w:t>
      </w:r>
      <w:r w:rsidR="00AB7322" w:rsidRPr="000665B0">
        <w:t xml:space="preserve">All geographic displays invoked from the </w:t>
      </w:r>
      <w:r w:rsidR="00AB7322" w:rsidRPr="000665B0">
        <w:rPr>
          <w:b/>
        </w:rPr>
        <w:t>Assignments</w:t>
      </w:r>
      <w:r w:rsidR="00AB7322" w:rsidRPr="000665B0">
        <w:t xml:space="preserve"> pane are displayed on the embedded Manual PM3 </w:t>
      </w:r>
      <w:r w:rsidR="00AB7322" w:rsidRPr="000665B0">
        <w:rPr>
          <w:b/>
        </w:rPr>
        <w:t>Geo</w:t>
      </w:r>
      <w:r w:rsidR="00AB7322" w:rsidRPr="000665B0">
        <w:t xml:space="preserve"> pane.</w:t>
      </w:r>
    </w:p>
    <w:p w14:paraId="655F84D8" w14:textId="1484D11F" w:rsidR="005F7A03" w:rsidRDefault="00304927" w:rsidP="000B625E">
      <w:pPr>
        <w:pStyle w:val="BodyText"/>
        <w:tabs>
          <w:tab w:val="left" w:pos="720"/>
        </w:tabs>
        <w:spacing w:after="120"/>
      </w:pPr>
      <w:r w:rsidRPr="000665B0">
        <w:t>E</w:t>
      </w:r>
      <w:r w:rsidR="005F7A03" w:rsidRPr="000665B0">
        <w:t xml:space="preserve">ach </w:t>
      </w:r>
      <w:r w:rsidR="003A4553" w:rsidRPr="000665B0">
        <w:rPr>
          <w:b/>
        </w:rPr>
        <w:t>Assignments</w:t>
      </w:r>
      <w:r w:rsidR="003A4553" w:rsidRPr="000665B0">
        <w:t xml:space="preserve"> pane list </w:t>
      </w:r>
      <w:r w:rsidR="005F7A03" w:rsidRPr="000665B0">
        <w:t>view (by objective, etc</w:t>
      </w:r>
      <w:r w:rsidR="00EB2A3C" w:rsidRPr="000665B0">
        <w:t>.</w:t>
      </w:r>
      <w:r w:rsidR="005F7A03" w:rsidRPr="000665B0">
        <w:t>) has its own set of column defaults that are configurable</w:t>
      </w:r>
      <w:r w:rsidR="00F50E98" w:rsidRPr="000665B0">
        <w:t xml:space="preserve"> (after the </w:t>
      </w:r>
      <w:r w:rsidR="00F50E98" w:rsidRPr="000665B0">
        <w:rPr>
          <w:b/>
        </w:rPr>
        <w:t>Assignments</w:t>
      </w:r>
      <w:r w:rsidR="00F50E98" w:rsidRPr="000665B0">
        <w:t xml:space="preserve"> pane is populated)</w:t>
      </w:r>
      <w:r w:rsidR="005F7A03" w:rsidRPr="000665B0">
        <w:t>.</w:t>
      </w:r>
      <w:r w:rsidR="00F303DA" w:rsidRPr="000665B0">
        <w:t xml:space="preserve"> </w:t>
      </w:r>
      <w:bookmarkStart w:id="6419" w:name="_Hlk64540264"/>
      <w:r w:rsidR="00485D12" w:rsidRPr="000665B0">
        <w:t xml:space="preserve">The Additional Information icon </w:t>
      </w:r>
      <w:r w:rsidR="004A219D">
        <w:t>(Φ)</w:t>
      </w:r>
      <w:r w:rsidR="00485D12" w:rsidRPr="000665B0">
        <w:t xml:space="preserve"> in list view column heads or textual view fields indicates that additional information is available for the data within the column or field (see </w:t>
      </w:r>
      <w:hyperlink w:anchor="_Additional__Information" w:history="1">
        <w:r w:rsidR="00485D12" w:rsidRPr="000665B0">
          <w:rPr>
            <w:rStyle w:val="Hyperlink"/>
          </w:rPr>
          <w:t>Section 5.2.11</w:t>
        </w:r>
      </w:hyperlink>
      <w:r w:rsidR="00485D12" w:rsidRPr="000665B0">
        <w:t>).</w:t>
      </w:r>
      <w:bookmarkEnd w:id="6419"/>
    </w:p>
    <w:p w14:paraId="29F1EB6D" w14:textId="40E175C9" w:rsidR="00B0337E" w:rsidRPr="000665B0" w:rsidRDefault="00B0337E" w:rsidP="00446685">
      <w:pPr>
        <w:pStyle w:val="BodyText"/>
        <w:tabs>
          <w:tab w:val="left" w:pos="720"/>
        </w:tabs>
        <w:spacing w:after="120"/>
        <w:jc w:val="center"/>
      </w:pPr>
      <w:r>
        <w:rPr>
          <w:noProof/>
        </w:rPr>
        <w:lastRenderedPageBreak/>
        <w:drawing>
          <wp:inline distT="0" distB="0" distL="0" distR="0" wp14:anchorId="24707AE9" wp14:editId="491BC703">
            <wp:extent cx="3200400" cy="3483864"/>
            <wp:effectExtent l="0" t="0" r="0" b="2540"/>
            <wp:docPr id="425" name="Picture 4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Picture 425" descr="Graphical user interface, text, application&#10;&#10;Description automatically generated"/>
                    <pic:cNvPicPr/>
                  </pic:nvPicPr>
                  <pic:blipFill>
                    <a:blip/>
                    <a:stretch>
                      <a:fillRect/>
                    </a:stretch>
                  </pic:blipFill>
                  <pic:spPr>
                    <a:xfrm>
                      <a:off x="0" y="0"/>
                      <a:ext cx="3200400" cy="3483864"/>
                    </a:xfrm>
                    <a:prstGeom prst="rect">
                      <a:avLst/>
                    </a:prstGeom>
                  </pic:spPr>
                </pic:pic>
              </a:graphicData>
            </a:graphic>
          </wp:inline>
        </w:drawing>
      </w:r>
    </w:p>
    <w:p w14:paraId="1C783933" w14:textId="7B73FF89" w:rsidR="00DE797D" w:rsidRPr="000665B0" w:rsidRDefault="00AD04B4" w:rsidP="00306174">
      <w:pPr>
        <w:pStyle w:val="Heading6"/>
      </w:pPr>
      <w:bookmarkStart w:id="6420" w:name="_5.37.6.1.16.6__How"/>
      <w:bookmarkStart w:id="6421" w:name="_Manually__Make"/>
      <w:bookmarkStart w:id="6422" w:name="_Manually_Make_Platform,"/>
      <w:bookmarkStart w:id="6423" w:name="_Toc289328882"/>
      <w:bookmarkEnd w:id="6420"/>
      <w:bookmarkEnd w:id="6421"/>
      <w:bookmarkEnd w:id="6422"/>
      <w:r w:rsidRPr="000665B0">
        <w:t>Manu</w:t>
      </w:r>
      <w:r w:rsidR="00EB2A3C" w:rsidRPr="000665B0">
        <w:t>a</w:t>
      </w:r>
      <w:r w:rsidRPr="000665B0">
        <w:t>lly</w:t>
      </w:r>
      <w:r w:rsidR="005F7A03" w:rsidRPr="000665B0">
        <w:t xml:space="preserve"> </w:t>
      </w:r>
      <w:r w:rsidRPr="000665B0">
        <w:t>Make Platform</w:t>
      </w:r>
      <w:r w:rsidR="005F7A03" w:rsidRPr="000665B0">
        <w:t xml:space="preserve">, </w:t>
      </w:r>
      <w:r w:rsidRPr="000665B0">
        <w:t>Missile</w:t>
      </w:r>
      <w:r w:rsidR="005F7A03" w:rsidRPr="000665B0">
        <w:t xml:space="preserve">, and </w:t>
      </w:r>
      <w:r w:rsidRPr="000665B0">
        <w:t>Mission Assignments</w:t>
      </w:r>
    </w:p>
    <w:p w14:paraId="3F071350" w14:textId="41145053" w:rsidR="00C27A2B" w:rsidRPr="000665B0" w:rsidRDefault="00A1644B" w:rsidP="00474A1F">
      <w:pPr>
        <w:tabs>
          <w:tab w:val="left" w:pos="720"/>
        </w:tabs>
      </w:pPr>
      <w:r w:rsidRPr="000665B0">
        <w:t xml:space="preserve">A FRU is assigned to a tasking when a missile has been allocated to the FRU to execute a mission that the FRU holds. When a mission or a missile is selected in the Missiles Tree Pane, and Geofeasibility is enabled, inventory </w:t>
      </w:r>
      <w:r w:rsidR="00110058" w:rsidRPr="000665B0">
        <w:t>feasibility</w:t>
      </w:r>
      <w:r w:rsidRPr="000665B0">
        <w:t xml:space="preserve"> and the geographic feasibility of the mission or missile to the FRU are considered</w:t>
      </w:r>
      <w:r w:rsidR="00F463CD" w:rsidRPr="000665B0">
        <w:t xml:space="preserve"> and are indicated by colored borders around the reservation box</w:t>
      </w:r>
      <w:r w:rsidR="00920D3C" w:rsidRPr="000665B0">
        <w:t xml:space="preserve"> </w:t>
      </w:r>
      <w:r w:rsidR="00394F82" w:rsidRPr="000665B0">
        <w:t>or by</w:t>
      </w:r>
      <w:r w:rsidR="00920D3C" w:rsidRPr="000665B0">
        <w:t xml:space="preserve"> circular colored icons</w:t>
      </w:r>
      <w:r w:rsidR="009948F7" w:rsidRPr="000665B0">
        <w:t xml:space="preserve"> next to the platform ID</w:t>
      </w:r>
      <w:r w:rsidR="00394F82" w:rsidRPr="000665B0">
        <w:t>, depending on the method used to assign missiles</w:t>
      </w:r>
      <w:r w:rsidRPr="000665B0">
        <w:t xml:space="preserve">. </w:t>
      </w:r>
    </w:p>
    <w:p w14:paraId="7BF3BAE5" w14:textId="7CDD81AC" w:rsidR="00C27A2B" w:rsidRPr="000665B0" w:rsidRDefault="009209DA" w:rsidP="00474A1F">
      <w:pPr>
        <w:tabs>
          <w:tab w:val="left" w:pos="720"/>
        </w:tabs>
      </w:pPr>
      <w:r w:rsidRPr="000665B0">
        <w:t xml:space="preserve">Attack Plan TMPRs are identified by the fist </w:t>
      </w:r>
      <w:r w:rsidRPr="000665B0">
        <w:rPr>
          <w:noProof/>
          <w:position w:val="-2"/>
        </w:rPr>
        <w:drawing>
          <wp:inline distT="0" distB="0" distL="0" distR="0" wp14:anchorId="69ED74E2" wp14:editId="312F2461">
            <wp:extent cx="142875" cy="138112"/>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875" cy="138112"/>
                    </a:xfrm>
                    <a:prstGeom prst="rect">
                      <a:avLst/>
                    </a:prstGeom>
                    <a:ln>
                      <a:noFill/>
                    </a:ln>
                    <a:extLst>
                      <a:ext uri="{53640926-AAD7-44D8-BBD7-CCE9431645EC}">
                        <a14:shadowObscured xmlns:a14="http://schemas.microsoft.com/office/drawing/2010/main"/>
                      </a:ext>
                    </a:extLst>
                  </pic:spPr>
                </pic:pic>
              </a:graphicData>
            </a:graphic>
          </wp:inline>
        </w:drawing>
      </w:r>
      <w:r w:rsidRPr="000665B0">
        <w:t xml:space="preserve"> icon in the </w:t>
      </w:r>
      <w:r w:rsidRPr="000665B0">
        <w:rPr>
          <w:b/>
        </w:rPr>
        <w:t>Missiles Tree</w:t>
      </w:r>
      <w:r w:rsidRPr="000665B0">
        <w:t xml:space="preserve"> pane. </w:t>
      </w:r>
      <w:r w:rsidR="00C27A2B" w:rsidRPr="000665B0">
        <w:rPr>
          <w:szCs w:val="24"/>
        </w:rPr>
        <w:t xml:space="preserve">Attack Plan TMPRs are displayed in a tree view with the root level displaying the Attack Plan TMPR and </w:t>
      </w:r>
      <w:r w:rsidR="00C27A2B" w:rsidRPr="000665B0">
        <w:t>the branch level displaying of</w:t>
      </w:r>
      <w:r w:rsidR="00C27A2B" w:rsidRPr="000665B0">
        <w:rPr>
          <w:szCs w:val="24"/>
        </w:rPr>
        <w:t xml:space="preserve"> </w:t>
      </w:r>
      <w:r w:rsidR="00C27A2B" w:rsidRPr="000665B0">
        <w:t xml:space="preserve">all of the mission(s) for the selected Attack Plan. An entire Attack Plan can be </w:t>
      </w:r>
      <w:r w:rsidRPr="000665B0">
        <w:t xml:space="preserve">assigned using the context menu or by </w:t>
      </w:r>
      <w:r w:rsidR="00067666" w:rsidRPr="000665B0">
        <w:t>dragging</w:t>
      </w:r>
      <w:r w:rsidRPr="000665B0">
        <w:t xml:space="preserve"> </w:t>
      </w:r>
      <w:r w:rsidR="00C27A2B" w:rsidRPr="000665B0">
        <w:t>and dropp</w:t>
      </w:r>
      <w:r w:rsidRPr="000665B0">
        <w:t>ing</w:t>
      </w:r>
      <w:r w:rsidR="00C27A2B" w:rsidRPr="000665B0">
        <w:t xml:space="preserve"> into a Primary reservation for a FRU, resulting in a single primary reservation for each mission in that Attack Plan. Individual missions in an Attack Plan can be </w:t>
      </w:r>
      <w:r w:rsidRPr="000665B0">
        <w:t xml:space="preserve">assigned using the context menu or by dragging </w:t>
      </w:r>
      <w:r w:rsidR="00C27A2B" w:rsidRPr="000665B0">
        <w:t xml:space="preserve">and </w:t>
      </w:r>
      <w:r w:rsidRPr="000665B0">
        <w:t xml:space="preserve">dropping </w:t>
      </w:r>
      <w:r w:rsidR="00C27A2B" w:rsidRPr="000665B0">
        <w:t xml:space="preserve">into FRU reservations for Primary, Backup, Ready Spare, Auto Ready Spare, and Backup Pool, but not for Ghost missions. </w:t>
      </w:r>
    </w:p>
    <w:p w14:paraId="464F2893" w14:textId="65D45E86" w:rsidR="00920D3C" w:rsidRPr="000665B0" w:rsidRDefault="00920D3C" w:rsidP="00474A1F">
      <w:pPr>
        <w:tabs>
          <w:tab w:val="left" w:pos="720"/>
        </w:tabs>
      </w:pPr>
      <w:r w:rsidRPr="000665B0">
        <w:t xml:space="preserve">Tail-numbered missiles are identified by the whale tail </w:t>
      </w:r>
      <w:r w:rsidRPr="000665B0">
        <w:rPr>
          <w:noProof/>
          <w:position w:val="-6"/>
        </w:rPr>
        <w:drawing>
          <wp:inline distT="0" distB="0" distL="0" distR="0" wp14:anchorId="1F3B33B1" wp14:editId="7893725B">
            <wp:extent cx="207269" cy="194352"/>
            <wp:effectExtent l="0" t="0" r="254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r="12397"/>
                    <a:stretch/>
                  </pic:blipFill>
                  <pic:spPr bwMode="auto">
                    <a:xfrm>
                      <a:off x="0" y="0"/>
                      <a:ext cx="208718" cy="195711"/>
                    </a:xfrm>
                    <a:prstGeom prst="rect">
                      <a:avLst/>
                    </a:prstGeom>
                    <a:ln>
                      <a:noFill/>
                    </a:ln>
                    <a:extLst>
                      <a:ext uri="{53640926-AAD7-44D8-BBD7-CCE9431645EC}">
                        <a14:shadowObscured xmlns:a14="http://schemas.microsoft.com/office/drawing/2010/main"/>
                      </a:ext>
                    </a:extLst>
                  </pic:spPr>
                </pic:pic>
              </a:graphicData>
            </a:graphic>
          </wp:inline>
        </w:drawing>
      </w:r>
      <w:r w:rsidRPr="000665B0">
        <w:t xml:space="preserve"> icon in the </w:t>
      </w:r>
      <w:r w:rsidRPr="000665B0">
        <w:rPr>
          <w:b/>
        </w:rPr>
        <w:t>Missiles Tree</w:t>
      </w:r>
      <w:r w:rsidRPr="000665B0">
        <w:t xml:space="preserve"> pane.</w:t>
      </w:r>
    </w:p>
    <w:p w14:paraId="7B0D80DC" w14:textId="48422D34" w:rsidR="000852D1" w:rsidRPr="000665B0" w:rsidRDefault="000852D1" w:rsidP="00474A1F">
      <w:pPr>
        <w:tabs>
          <w:tab w:val="left" w:pos="720"/>
        </w:tabs>
      </w:pPr>
      <w:r w:rsidRPr="000665B0">
        <w:t>The DDG-1000 class only supports 109E tasking and MDS prevents tasking of 109C and 109D missiles to a DDG-1000 class platform.</w:t>
      </w:r>
    </w:p>
    <w:p w14:paraId="2DCD01C7" w14:textId="04C0C5A4" w:rsidR="00F41648" w:rsidRPr="000665B0" w:rsidRDefault="00F41648" w:rsidP="00474A1F">
      <w:pPr>
        <w:tabs>
          <w:tab w:val="left" w:pos="720"/>
        </w:tabs>
      </w:pPr>
      <w:r w:rsidRPr="000665B0">
        <w:t>If a mission is designated for use by MSTM</w:t>
      </w:r>
      <w:r w:rsidR="00C05381" w:rsidRPr="000665B0">
        <w:t>s</w:t>
      </w:r>
      <w:r w:rsidRPr="000665B0">
        <w:t xml:space="preserve">, “MSTM” is displayed in the </w:t>
      </w:r>
      <w:r w:rsidR="00EF0E3A">
        <w:t>M</w:t>
      </w:r>
      <w:r w:rsidRPr="000665B0">
        <w:t xml:space="preserve">ission ID line before the listing of missiles needed/assigned and the mission cannot be assigned to a pre-5.6 TTWCS. </w:t>
      </w:r>
      <w:r w:rsidR="00C320C7" w:rsidRPr="000665B0">
        <w:t xml:space="preserve">If a mission is designated for use by </w:t>
      </w:r>
      <w:r w:rsidR="00C320C7">
        <w:t>109E ACPs</w:t>
      </w:r>
      <w:r w:rsidR="00C320C7" w:rsidRPr="000665B0">
        <w:t>, “</w:t>
      </w:r>
      <w:r w:rsidR="00C320C7">
        <w:t>109E ACP</w:t>
      </w:r>
      <w:r w:rsidR="00C320C7" w:rsidRPr="000665B0">
        <w:t xml:space="preserve">” is displayed in the </w:t>
      </w:r>
      <w:r w:rsidR="00C320C7">
        <w:t>M</w:t>
      </w:r>
      <w:r w:rsidR="00C320C7" w:rsidRPr="000665B0">
        <w:t xml:space="preserve">ission ID line before the listing of missiles needed/assigned and the mission cannot be assigned </w:t>
      </w:r>
      <w:r w:rsidR="00C320C7" w:rsidRPr="000665B0">
        <w:lastRenderedPageBreak/>
        <w:t>to a pre-5.6 TTWCS.</w:t>
      </w:r>
      <w:r w:rsidR="00435623">
        <w:t xml:space="preserve"> If a mission is designated for use by 109Ms, “109M” is displayed in the Mission ID line before the listing of missiles needed/assigned and the mission cannot be assigned to a pre-7.0 TTWCS.</w:t>
      </w:r>
    </w:p>
    <w:p w14:paraId="1BA20C1D" w14:textId="2D329B94" w:rsidR="00480E5B" w:rsidRDefault="00480E5B" w:rsidP="00480E5B">
      <w:pPr>
        <w:tabs>
          <w:tab w:val="left" w:pos="720"/>
        </w:tabs>
      </w:pPr>
      <w:r>
        <w:t>For GL Required missions and TMPRs, the mission or TMPR line will include “[GL]” in the line to indicate that the mission and the TMPR can only be assigned to Ground Launch FRUs.</w:t>
      </w:r>
    </w:p>
    <w:p w14:paraId="098742E7" w14:textId="2F9B0C16" w:rsidR="00B0337E" w:rsidRDefault="00B0337E" w:rsidP="001F4B14">
      <w:pPr>
        <w:tabs>
          <w:tab w:val="left" w:pos="720"/>
        </w:tabs>
        <w:jc w:val="center"/>
      </w:pPr>
      <w:r>
        <w:rPr>
          <w:noProof/>
        </w:rPr>
        <w:drawing>
          <wp:inline distT="0" distB="0" distL="0" distR="0" wp14:anchorId="354D1E32" wp14:editId="6E85AD1B">
            <wp:extent cx="3626827" cy="314325"/>
            <wp:effectExtent l="0" t="0" r="0"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38361" cy="315325"/>
                    </a:xfrm>
                    <a:prstGeom prst="rect">
                      <a:avLst/>
                    </a:prstGeom>
                  </pic:spPr>
                </pic:pic>
              </a:graphicData>
            </a:graphic>
          </wp:inline>
        </w:drawing>
      </w:r>
    </w:p>
    <w:p w14:paraId="6022BF0A" w14:textId="67FFE12F" w:rsidR="00B0337E" w:rsidRDefault="00B0337E" w:rsidP="00B0337E">
      <w:pPr>
        <w:tabs>
          <w:tab w:val="left" w:pos="720"/>
        </w:tabs>
      </w:pPr>
      <w:r>
        <w:t>When assigning a GL Required mission to a GL FRU, the circumference of the GL FRU PLP needs to include the Ground Launch Point of the mission when the mission is being assigned to the appropriate GL FRU. For example, in the display below, BOC-02 FRU is too far away from Ground Launch Point for the GL Required mission. Therefore, the mission should not be assigned to the BOC-02 FRU.</w:t>
      </w:r>
      <w:r w:rsidR="00F669DD">
        <w:t xml:space="preserve"> The PLP circumference of BOC1 includes the analysis ground launch point (a hypothetical ground launch point used for planning the mission</w:t>
      </w:r>
      <w:r w:rsidR="007E727D">
        <w:t>) and</w:t>
      </w:r>
      <w:r w:rsidR="00F669DD">
        <w:t xml:space="preserve"> is therefore the appropriate GL FRU for assignment to the mission.</w:t>
      </w:r>
    </w:p>
    <w:p w14:paraId="6A2B7790" w14:textId="58E8A38F" w:rsidR="00B0337E" w:rsidRPr="000665B0" w:rsidRDefault="00F669DD" w:rsidP="001F4B14">
      <w:pPr>
        <w:tabs>
          <w:tab w:val="left" w:pos="720"/>
        </w:tabs>
        <w:jc w:val="center"/>
      </w:pPr>
      <w:r>
        <w:rPr>
          <w:noProof/>
        </w:rPr>
        <w:drawing>
          <wp:inline distT="0" distB="0" distL="0" distR="0" wp14:anchorId="14F9065D" wp14:editId="24A841A6">
            <wp:extent cx="4983480" cy="2889504"/>
            <wp:effectExtent l="0" t="0" r="0" b="0"/>
            <wp:docPr id="293" name="Picture 29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293" descr="Chart&#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983480" cy="2889504"/>
                    </a:xfrm>
                    <a:prstGeom prst="rect">
                      <a:avLst/>
                    </a:prstGeom>
                  </pic:spPr>
                </pic:pic>
              </a:graphicData>
            </a:graphic>
          </wp:inline>
        </w:drawing>
      </w:r>
    </w:p>
    <w:p w14:paraId="3D8B91C4" w14:textId="3A42A4CF" w:rsidR="00F41648" w:rsidRPr="000665B0" w:rsidRDefault="00F41648" w:rsidP="00F41648">
      <w:pPr>
        <w:tabs>
          <w:tab w:val="left" w:pos="720"/>
        </w:tabs>
      </w:pPr>
      <w:r w:rsidRPr="000665B0">
        <w:t>For MSTM</w:t>
      </w:r>
      <w:r w:rsidR="00C05381" w:rsidRPr="000665B0">
        <w:t>s</w:t>
      </w:r>
      <w:r w:rsidRPr="000665B0">
        <w:t xml:space="preserve">, a green “checkmark” icon before the cost code indicates a good seeker while a red “minus” icon indicates a bad (failed) seeker. A MSTM with a seeker failure can be used for a land attack. However, PM3 </w:t>
      </w:r>
      <w:r w:rsidRPr="000665B0">
        <w:rPr>
          <w:b/>
        </w:rPr>
        <w:t xml:space="preserve">will not </w:t>
      </w:r>
      <w:r w:rsidR="00505F92" w:rsidRPr="000665B0">
        <w:t>prevent</w:t>
      </w:r>
      <w:r w:rsidRPr="000665B0">
        <w:t xml:space="preserve"> a user from </w:t>
      </w:r>
      <w:r w:rsidR="00505F92" w:rsidRPr="000665B0">
        <w:t>assigning</w:t>
      </w:r>
      <w:r w:rsidRPr="000665B0">
        <w:t xml:space="preserve"> a fully operational MSTM with a good seeker to a land attack mission.</w:t>
      </w:r>
    </w:p>
    <w:p w14:paraId="0FE41F25" w14:textId="3D0F732B" w:rsidR="00F41648" w:rsidRPr="000665B0" w:rsidRDefault="00F41648" w:rsidP="00F41648">
      <w:pPr>
        <w:pStyle w:val="BodyText"/>
        <w:jc w:val="center"/>
      </w:pPr>
      <w:r w:rsidRPr="000665B0">
        <w:rPr>
          <w:noProof/>
        </w:rPr>
        <w:drawing>
          <wp:inline distT="0" distB="0" distL="0" distR="0" wp14:anchorId="47C98939" wp14:editId="0D7811ED">
            <wp:extent cx="914400" cy="621792"/>
            <wp:effectExtent l="0" t="0" r="0" b="0"/>
            <wp:docPr id="2238" name="Picture 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914400" cy="621792"/>
                    </a:xfrm>
                    <a:prstGeom prst="rect">
                      <a:avLst/>
                    </a:prstGeom>
                    <a:ln>
                      <a:noFill/>
                    </a:ln>
                    <a:extLst>
                      <a:ext uri="{53640926-AAD7-44D8-BBD7-CCE9431645EC}">
                        <a14:shadowObscured xmlns:a14="http://schemas.microsoft.com/office/drawing/2010/main"/>
                      </a:ext>
                    </a:extLst>
                  </pic:spPr>
                </pic:pic>
              </a:graphicData>
            </a:graphic>
          </wp:inline>
        </w:drawing>
      </w:r>
    </w:p>
    <w:p w14:paraId="4B370E20" w14:textId="5055EF4F" w:rsidR="005F7A03" w:rsidRPr="000665B0" w:rsidRDefault="00DE797D" w:rsidP="00474A1F">
      <w:pPr>
        <w:tabs>
          <w:tab w:val="left" w:pos="720"/>
        </w:tabs>
      </w:pPr>
      <w:r w:rsidRPr="000665B0">
        <w:t>There are several ways to assign missiles.</w:t>
      </w:r>
      <w:r w:rsidR="002F21B8" w:rsidRPr="000665B0">
        <w:t xml:space="preserve"> </w:t>
      </w:r>
      <w:bookmarkEnd w:id="6423"/>
    </w:p>
    <w:p w14:paraId="3786B405" w14:textId="011F009D" w:rsidR="005F7A03" w:rsidRPr="000665B0" w:rsidRDefault="005F7A03" w:rsidP="006D5A65">
      <w:pPr>
        <w:pStyle w:val="Heading1"/>
      </w:pPr>
      <w:r w:rsidRPr="000665B0">
        <w:lastRenderedPageBreak/>
        <w:t xml:space="preserve">From the </w:t>
      </w:r>
      <w:r w:rsidRPr="000665B0">
        <w:rPr>
          <w:i/>
          <w:iCs/>
        </w:rPr>
        <w:t>PM3 for Strike Option: xxxxx-xxxxx-xxxxx</w:t>
      </w:r>
      <w:r w:rsidRPr="000665B0">
        <w:t xml:space="preserve"> window</w:t>
      </w:r>
      <w:r w:rsidR="00DE797D" w:rsidRPr="000665B0">
        <w:t>,</w:t>
      </w:r>
      <w:r w:rsidRPr="000665B0">
        <w:t xml:space="preserve"> </w:t>
      </w:r>
      <w:r w:rsidR="00DE797D" w:rsidRPr="000665B0">
        <w:t>under the desired target, select the desired Mission ID</w:t>
      </w:r>
      <w:r w:rsidR="00F4182D" w:rsidRPr="000665B0">
        <w:t>,</w:t>
      </w:r>
      <w:r w:rsidR="008D3930" w:rsidRPr="000665B0">
        <w:t xml:space="preserve"> </w:t>
      </w:r>
      <w:r w:rsidR="00DE797D" w:rsidRPr="000665B0">
        <w:t>Missile ID</w:t>
      </w:r>
      <w:r w:rsidR="00F4182D" w:rsidRPr="000665B0">
        <w:t>, or TSN Type</w:t>
      </w:r>
      <w:r w:rsidR="00DE797D" w:rsidRPr="000665B0">
        <w:t>.</w:t>
      </w:r>
    </w:p>
    <w:p w14:paraId="2027B866" w14:textId="4FDFFF74" w:rsidR="00A1644B" w:rsidRPr="000665B0" w:rsidRDefault="008D3930" w:rsidP="006D5A65">
      <w:pPr>
        <w:pStyle w:val="Heading1"/>
      </w:pPr>
      <w:r w:rsidRPr="000665B0">
        <w:t>I</w:t>
      </w:r>
      <w:r w:rsidR="005F7A03" w:rsidRPr="000665B0">
        <w:t>nvoke the context menu (</w:t>
      </w:r>
      <w:r w:rsidR="00D71804" w:rsidRPr="000665B0">
        <w:t>right-click</w:t>
      </w:r>
      <w:r w:rsidR="005F7A03" w:rsidRPr="000665B0">
        <w:t xml:space="preserve"> the mouse)</w:t>
      </w:r>
      <w:r w:rsidR="00A32654" w:rsidRPr="000665B0">
        <w:t>,</w:t>
      </w:r>
      <w:r w:rsidR="005F7A03" w:rsidRPr="000665B0">
        <w:t xml:space="preserve"> select</w:t>
      </w:r>
      <w:r w:rsidR="005F7A03" w:rsidRPr="000665B0">
        <w:rPr>
          <w:bCs/>
        </w:rPr>
        <w:t xml:space="preserve"> Assign Missiles to</w:t>
      </w:r>
      <w:r w:rsidR="00A32654" w:rsidRPr="000665B0">
        <w:rPr>
          <w:bCs/>
        </w:rPr>
        <w:t>,</w:t>
      </w:r>
      <w:r w:rsidR="005F7A03" w:rsidRPr="000665B0">
        <w:rPr>
          <w:bCs/>
        </w:rPr>
        <w:t xml:space="preserve"> </w:t>
      </w:r>
      <w:r w:rsidR="007318F3" w:rsidRPr="000665B0">
        <w:rPr>
          <w:bCs/>
        </w:rPr>
        <w:t xml:space="preserve">and select </w:t>
      </w:r>
      <w:r w:rsidR="007318F3" w:rsidRPr="000665B0">
        <w:t>t</w:t>
      </w:r>
      <w:r w:rsidR="005F7A03" w:rsidRPr="000665B0">
        <w:t xml:space="preserve">he desired </w:t>
      </w:r>
      <w:r w:rsidR="007318F3" w:rsidRPr="000665B0">
        <w:t>t</w:t>
      </w:r>
      <w:r w:rsidR="005F7A03" w:rsidRPr="000665B0">
        <w:t>rigraph</w:t>
      </w:r>
      <w:r w:rsidRPr="000665B0">
        <w:t xml:space="preserve"> in the ensuing window</w:t>
      </w:r>
      <w:r w:rsidR="005F7A03" w:rsidRPr="000665B0">
        <w:t xml:space="preserve">. </w:t>
      </w:r>
      <w:r w:rsidR="00A1644B" w:rsidRPr="000665B0">
        <w:t xml:space="preserve">The menu items for FRUs are displayed with colored icons according to their aggregate geofeasibility </w:t>
      </w:r>
      <w:r w:rsidR="009422AF" w:rsidRPr="000665B0">
        <w:t>for</w:t>
      </w:r>
      <w:r w:rsidR="00A1644B" w:rsidRPr="000665B0">
        <w:t xml:space="preserve"> the selected tree nodes. </w:t>
      </w:r>
    </w:p>
    <w:p w14:paraId="5FFAE005" w14:textId="1D672755" w:rsidR="00A1644B" w:rsidRPr="000665B0" w:rsidRDefault="00F4182D" w:rsidP="009D5A0D">
      <w:pPr>
        <w:pStyle w:val="Number0205"/>
        <w:tabs>
          <w:tab w:val="left" w:pos="720"/>
        </w:tabs>
        <w:spacing w:after="240"/>
        <w:ind w:left="0" w:firstLine="0"/>
        <w:jc w:val="center"/>
      </w:pPr>
      <w:r w:rsidRPr="000665B0">
        <w:rPr>
          <w:noProof/>
        </w:rPr>
        <w:drawing>
          <wp:inline distT="0" distB="0" distL="0" distR="0" wp14:anchorId="685F0766" wp14:editId="0FD42DC1">
            <wp:extent cx="2743200" cy="2112264"/>
            <wp:effectExtent l="0" t="0" r="0" b="0"/>
            <wp:docPr id="2091" name="Picture 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112264"/>
                    </a:xfrm>
                    <a:prstGeom prst="rect">
                      <a:avLst/>
                    </a:prstGeom>
                  </pic:spPr>
                </pic:pic>
              </a:graphicData>
            </a:graphic>
          </wp:inline>
        </w:drawing>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5"/>
        <w:gridCol w:w="1659"/>
        <w:gridCol w:w="6981"/>
      </w:tblGrid>
      <w:tr w:rsidR="00184A40" w:rsidRPr="000665B0" w14:paraId="371CA807" w14:textId="77777777" w:rsidTr="00AC2F7D">
        <w:trPr>
          <w:tblHeader/>
        </w:trPr>
        <w:tc>
          <w:tcPr>
            <w:tcW w:w="715" w:type="dxa"/>
            <w:shd w:val="clear" w:color="auto" w:fill="D9D9D9" w:themeFill="background1" w:themeFillShade="D9"/>
            <w:vAlign w:val="center"/>
          </w:tcPr>
          <w:p w14:paraId="15AB036D" w14:textId="11D30C44" w:rsidR="00184A40" w:rsidRPr="000665B0" w:rsidRDefault="00184A40" w:rsidP="00B87F09">
            <w:pPr>
              <w:spacing w:before="40" w:after="40" w:line="240" w:lineRule="auto"/>
              <w:jc w:val="center"/>
              <w:rPr>
                <w:rFonts w:ascii="Arial" w:hAnsi="Arial" w:cs="Arial"/>
                <w:b/>
                <w:sz w:val="22"/>
                <w:szCs w:val="22"/>
              </w:rPr>
            </w:pPr>
            <w:r w:rsidRPr="000665B0">
              <w:rPr>
                <w:rFonts w:ascii="Arial" w:hAnsi="Arial" w:cs="Arial"/>
                <w:b/>
                <w:sz w:val="22"/>
                <w:szCs w:val="22"/>
              </w:rPr>
              <w:t>Icon</w:t>
            </w:r>
          </w:p>
        </w:tc>
        <w:tc>
          <w:tcPr>
            <w:tcW w:w="1630" w:type="dxa"/>
            <w:shd w:val="clear" w:color="auto" w:fill="D9D9D9" w:themeFill="background1" w:themeFillShade="D9"/>
          </w:tcPr>
          <w:p w14:paraId="5CAF2099" w14:textId="36C5B77C" w:rsidR="00184A40" w:rsidRPr="000665B0" w:rsidRDefault="00184A40" w:rsidP="00EC6793">
            <w:pPr>
              <w:spacing w:before="40" w:after="40" w:line="240" w:lineRule="auto"/>
              <w:jc w:val="center"/>
              <w:rPr>
                <w:rFonts w:ascii="Arial" w:hAnsi="Arial" w:cs="Arial"/>
                <w:b/>
                <w:sz w:val="22"/>
                <w:szCs w:val="22"/>
              </w:rPr>
            </w:pPr>
            <w:r w:rsidRPr="000665B0">
              <w:rPr>
                <w:rFonts w:ascii="Arial" w:hAnsi="Arial" w:cs="Arial"/>
                <w:b/>
                <w:sz w:val="22"/>
                <w:szCs w:val="22"/>
              </w:rPr>
              <w:t>Geofeasibility Condition</w:t>
            </w:r>
          </w:p>
        </w:tc>
        <w:tc>
          <w:tcPr>
            <w:tcW w:w="7010" w:type="dxa"/>
            <w:shd w:val="clear" w:color="auto" w:fill="D9D9D9" w:themeFill="background1" w:themeFillShade="D9"/>
            <w:vAlign w:val="center"/>
          </w:tcPr>
          <w:p w14:paraId="458269AB" w14:textId="4822E424" w:rsidR="00184A40" w:rsidRPr="000665B0" w:rsidRDefault="00E36ECA" w:rsidP="00B87F09">
            <w:pPr>
              <w:spacing w:before="40" w:after="40" w:line="240" w:lineRule="auto"/>
              <w:jc w:val="center"/>
              <w:rPr>
                <w:rFonts w:ascii="Arial" w:hAnsi="Arial" w:cs="Arial"/>
                <w:b/>
                <w:sz w:val="22"/>
                <w:szCs w:val="22"/>
              </w:rPr>
            </w:pPr>
            <w:r w:rsidRPr="000665B0">
              <w:rPr>
                <w:rFonts w:ascii="Arial" w:hAnsi="Arial" w:cs="Arial"/>
                <w:b/>
                <w:sz w:val="22"/>
                <w:szCs w:val="22"/>
              </w:rPr>
              <w:t>Description</w:t>
            </w:r>
          </w:p>
        </w:tc>
      </w:tr>
      <w:tr w:rsidR="00184A40" w:rsidRPr="000665B0" w14:paraId="2E6CDB2F" w14:textId="77777777" w:rsidTr="00AC2F7D">
        <w:trPr>
          <w:tblHeader/>
        </w:trPr>
        <w:tc>
          <w:tcPr>
            <w:tcW w:w="715" w:type="dxa"/>
          </w:tcPr>
          <w:p w14:paraId="6166E564" w14:textId="7D970DBE" w:rsidR="00184A40" w:rsidRPr="000665B0" w:rsidRDefault="00C9104E" w:rsidP="0058307F">
            <w:pPr>
              <w:spacing w:before="40" w:after="40" w:line="240" w:lineRule="auto"/>
              <w:jc w:val="center"/>
              <w:rPr>
                <w:rFonts w:ascii="Arial" w:hAnsi="Arial" w:cs="Arial"/>
                <w:noProof/>
                <w:sz w:val="20"/>
              </w:rPr>
            </w:pPr>
            <w:r w:rsidRPr="000665B0">
              <w:rPr>
                <w:rFonts w:ascii="Arial" w:hAnsi="Arial" w:cs="Arial"/>
                <w:noProof/>
                <w:sz w:val="20"/>
              </w:rPr>
              <w:drawing>
                <wp:inline distT="0" distB="0" distL="0" distR="0" wp14:anchorId="77C6A361" wp14:editId="7F137B5B">
                  <wp:extent cx="219075" cy="228600"/>
                  <wp:effectExtent l="0" t="0" r="9525"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9075" cy="228600"/>
                          </a:xfrm>
                          <a:prstGeom prst="rect">
                            <a:avLst/>
                          </a:prstGeom>
                        </pic:spPr>
                      </pic:pic>
                    </a:graphicData>
                  </a:graphic>
                </wp:inline>
              </w:drawing>
            </w:r>
          </w:p>
        </w:tc>
        <w:tc>
          <w:tcPr>
            <w:tcW w:w="1630" w:type="dxa"/>
          </w:tcPr>
          <w:p w14:paraId="437B06CB" w14:textId="26F73BF8" w:rsidR="00184A40" w:rsidRPr="000665B0" w:rsidRDefault="00C9104E" w:rsidP="00EF2F76">
            <w:pPr>
              <w:spacing w:before="40" w:after="40" w:line="240" w:lineRule="auto"/>
              <w:ind w:hanging="29"/>
              <w:jc w:val="center"/>
              <w:rPr>
                <w:rFonts w:ascii="Arial" w:hAnsi="Arial" w:cs="Arial"/>
                <w:sz w:val="20"/>
              </w:rPr>
            </w:pPr>
            <w:r w:rsidRPr="000665B0">
              <w:rPr>
                <w:rFonts w:ascii="Arial" w:hAnsi="Arial" w:cs="Arial"/>
                <w:sz w:val="20"/>
              </w:rPr>
              <w:t>Feasible</w:t>
            </w:r>
          </w:p>
        </w:tc>
        <w:tc>
          <w:tcPr>
            <w:tcW w:w="7010" w:type="dxa"/>
          </w:tcPr>
          <w:p w14:paraId="61C06EF0" w14:textId="364037B3" w:rsidR="00184A40" w:rsidRPr="000665B0" w:rsidRDefault="00184A40" w:rsidP="00521C39">
            <w:pPr>
              <w:spacing w:before="40" w:after="40" w:line="240" w:lineRule="auto"/>
              <w:ind w:hanging="29"/>
              <w:rPr>
                <w:rFonts w:ascii="Arial" w:hAnsi="Arial" w:cs="Arial"/>
                <w:sz w:val="20"/>
              </w:rPr>
            </w:pPr>
            <w:r w:rsidRPr="000665B0">
              <w:rPr>
                <w:rFonts w:ascii="Arial" w:hAnsi="Arial" w:cs="Arial"/>
                <w:sz w:val="20"/>
              </w:rPr>
              <w:t xml:space="preserve">The FRU has an assigned </w:t>
            </w:r>
            <w:r w:rsidR="009422AF" w:rsidRPr="000665B0">
              <w:rPr>
                <w:rFonts w:ascii="Arial" w:hAnsi="Arial" w:cs="Arial"/>
                <w:sz w:val="20"/>
              </w:rPr>
              <w:t>preferred</w:t>
            </w:r>
            <w:r w:rsidRPr="000665B0">
              <w:rPr>
                <w:rFonts w:ascii="Arial" w:hAnsi="Arial" w:cs="Arial"/>
                <w:sz w:val="20"/>
              </w:rPr>
              <w:t xml:space="preserve"> launch position (PLP) </w:t>
            </w:r>
            <w:r w:rsidR="00292551" w:rsidRPr="000665B0">
              <w:rPr>
                <w:rFonts w:ascii="Arial" w:hAnsi="Arial" w:cs="Arial"/>
                <w:sz w:val="20"/>
              </w:rPr>
              <w:t>that</w:t>
            </w:r>
            <w:r w:rsidRPr="000665B0">
              <w:rPr>
                <w:rFonts w:ascii="Arial" w:hAnsi="Arial" w:cs="Arial"/>
                <w:sz w:val="20"/>
              </w:rPr>
              <w:t xml:space="preserve"> is entirely contained within the launch area of each of the missions referenced by the selected reservations.</w:t>
            </w:r>
          </w:p>
        </w:tc>
      </w:tr>
      <w:tr w:rsidR="00C9104E" w:rsidRPr="000665B0" w14:paraId="76A4E3F3" w14:textId="77777777" w:rsidTr="00AC2F7D">
        <w:trPr>
          <w:tblHeader/>
        </w:trPr>
        <w:tc>
          <w:tcPr>
            <w:tcW w:w="715" w:type="dxa"/>
          </w:tcPr>
          <w:p w14:paraId="5F5C0EAA" w14:textId="41FC692E" w:rsidR="00C9104E" w:rsidRPr="000665B0" w:rsidRDefault="00C9104E" w:rsidP="0058307F">
            <w:pPr>
              <w:spacing w:before="40" w:after="40" w:line="240" w:lineRule="auto"/>
              <w:jc w:val="center"/>
              <w:rPr>
                <w:rFonts w:ascii="Arial" w:hAnsi="Arial" w:cs="Arial"/>
                <w:noProof/>
                <w:sz w:val="20"/>
              </w:rPr>
            </w:pPr>
            <w:r w:rsidRPr="000665B0">
              <w:rPr>
                <w:rFonts w:ascii="Arial" w:hAnsi="Arial" w:cs="Arial"/>
                <w:noProof/>
                <w:sz w:val="20"/>
              </w:rPr>
              <w:drawing>
                <wp:inline distT="0" distB="0" distL="0" distR="0" wp14:anchorId="6B36FA2D" wp14:editId="29704AC5">
                  <wp:extent cx="238125" cy="200025"/>
                  <wp:effectExtent l="0" t="0" r="9525" b="9525"/>
                  <wp:docPr id="900" name="Picture 900" descr="C:\Users\001516\AppData\Local\Temp\msohtmlclip1\02\clip_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001516\AppData\Local\Temp\msohtmlclip1\02\clip_image003.png"/>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38125" cy="200025"/>
                          </a:xfrm>
                          <a:prstGeom prst="rect">
                            <a:avLst/>
                          </a:prstGeom>
                          <a:noFill/>
                          <a:ln>
                            <a:noFill/>
                          </a:ln>
                        </pic:spPr>
                      </pic:pic>
                    </a:graphicData>
                  </a:graphic>
                </wp:inline>
              </w:drawing>
            </w:r>
          </w:p>
        </w:tc>
        <w:tc>
          <w:tcPr>
            <w:tcW w:w="1630" w:type="dxa"/>
          </w:tcPr>
          <w:p w14:paraId="69AB7EE0" w14:textId="2EC9CD40" w:rsidR="00C9104E" w:rsidRPr="000665B0" w:rsidDel="00C9104E" w:rsidRDefault="00C9104E" w:rsidP="00EF2F76">
            <w:pPr>
              <w:spacing w:before="40" w:after="40" w:line="240" w:lineRule="auto"/>
              <w:ind w:hanging="29"/>
              <w:jc w:val="center"/>
              <w:rPr>
                <w:rFonts w:ascii="Arial" w:hAnsi="Arial" w:cs="Arial"/>
                <w:sz w:val="20"/>
              </w:rPr>
            </w:pPr>
            <w:r w:rsidRPr="000665B0">
              <w:rPr>
                <w:rFonts w:ascii="Arial" w:hAnsi="Arial" w:cs="Arial"/>
                <w:sz w:val="20"/>
              </w:rPr>
              <w:t>Partial</w:t>
            </w:r>
          </w:p>
        </w:tc>
        <w:tc>
          <w:tcPr>
            <w:tcW w:w="7010" w:type="dxa"/>
          </w:tcPr>
          <w:p w14:paraId="732F3F86" w14:textId="78B04E0A" w:rsidR="00C9104E" w:rsidRPr="000665B0" w:rsidRDefault="00C9104E" w:rsidP="002A2E1B">
            <w:pPr>
              <w:spacing w:before="40" w:after="40" w:line="240" w:lineRule="auto"/>
              <w:ind w:hanging="29"/>
              <w:rPr>
                <w:rFonts w:ascii="Arial" w:hAnsi="Arial" w:cs="Arial"/>
                <w:sz w:val="20"/>
              </w:rPr>
            </w:pPr>
            <w:r w:rsidRPr="000665B0">
              <w:rPr>
                <w:rFonts w:ascii="Arial" w:hAnsi="Arial" w:cs="Arial"/>
                <w:sz w:val="20"/>
              </w:rPr>
              <w:t xml:space="preserve">The FRU has an assigned preferred launch position (PLP) that is partially </w:t>
            </w:r>
            <w:r w:rsidR="00E36ECA" w:rsidRPr="000665B0">
              <w:rPr>
                <w:rFonts w:ascii="Arial" w:hAnsi="Arial" w:cs="Arial"/>
                <w:sz w:val="20"/>
              </w:rPr>
              <w:t>inside and partially outside of</w:t>
            </w:r>
            <w:r w:rsidRPr="000665B0">
              <w:rPr>
                <w:rFonts w:ascii="Arial" w:hAnsi="Arial" w:cs="Arial"/>
                <w:sz w:val="20"/>
              </w:rPr>
              <w:t xml:space="preserve"> the launch area of each of the missions referenced by the selected reservations.</w:t>
            </w:r>
          </w:p>
        </w:tc>
      </w:tr>
      <w:tr w:rsidR="00184A40" w:rsidRPr="000665B0" w14:paraId="4E98EAAC" w14:textId="77777777" w:rsidTr="00AC2F7D">
        <w:trPr>
          <w:tblHeader/>
        </w:trPr>
        <w:tc>
          <w:tcPr>
            <w:tcW w:w="715" w:type="dxa"/>
          </w:tcPr>
          <w:p w14:paraId="2121666E" w14:textId="392E7098" w:rsidR="00184A40" w:rsidRPr="000665B0" w:rsidRDefault="00184A40" w:rsidP="00C9104E">
            <w:pPr>
              <w:spacing w:before="40" w:after="40" w:line="240" w:lineRule="auto"/>
              <w:ind w:left="-23"/>
              <w:jc w:val="center"/>
              <w:rPr>
                <w:rFonts w:ascii="Arial" w:hAnsi="Arial" w:cs="Arial"/>
                <w:b/>
                <w:noProof/>
                <w:sz w:val="20"/>
              </w:rPr>
            </w:pPr>
            <w:r w:rsidRPr="000665B0">
              <w:rPr>
                <w:rFonts w:ascii="Arial" w:hAnsi="Arial" w:cs="Arial"/>
                <w:noProof/>
                <w:sz w:val="20"/>
              </w:rPr>
              <w:drawing>
                <wp:inline distT="0" distB="0" distL="0" distR="0" wp14:anchorId="45A237E2" wp14:editId="53F13305">
                  <wp:extent cx="228600" cy="209550"/>
                  <wp:effectExtent l="0" t="0" r="0" b="0"/>
                  <wp:docPr id="1958" name="Picture 1958" descr="C:\Users\001516\AppData\Local\Temp\msohtmlclip1\02\clip_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001516\AppData\Local\Temp\msohtmlclip1\02\clip_image002.png"/>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28600" cy="209550"/>
                          </a:xfrm>
                          <a:prstGeom prst="rect">
                            <a:avLst/>
                          </a:prstGeom>
                          <a:noFill/>
                          <a:ln>
                            <a:noFill/>
                          </a:ln>
                        </pic:spPr>
                      </pic:pic>
                    </a:graphicData>
                  </a:graphic>
                </wp:inline>
              </w:drawing>
            </w:r>
          </w:p>
        </w:tc>
        <w:tc>
          <w:tcPr>
            <w:tcW w:w="1630" w:type="dxa"/>
          </w:tcPr>
          <w:p w14:paraId="196340F6" w14:textId="75C45C00" w:rsidR="00184A40" w:rsidRPr="000665B0" w:rsidRDefault="00184A40" w:rsidP="00EF2F76">
            <w:pPr>
              <w:spacing w:before="40" w:after="40" w:line="240" w:lineRule="auto"/>
              <w:ind w:hanging="29"/>
              <w:jc w:val="center"/>
              <w:rPr>
                <w:rFonts w:ascii="Arial" w:hAnsi="Arial" w:cs="Arial"/>
                <w:sz w:val="20"/>
              </w:rPr>
            </w:pPr>
            <w:r w:rsidRPr="000665B0">
              <w:rPr>
                <w:rFonts w:ascii="Arial" w:hAnsi="Arial" w:cs="Arial"/>
                <w:sz w:val="20"/>
              </w:rPr>
              <w:t>Unknown</w:t>
            </w:r>
          </w:p>
        </w:tc>
        <w:tc>
          <w:tcPr>
            <w:tcW w:w="7010" w:type="dxa"/>
          </w:tcPr>
          <w:p w14:paraId="0FBFDD49" w14:textId="41A626AB" w:rsidR="00184A40" w:rsidRPr="000665B0" w:rsidRDefault="00184A40" w:rsidP="00521C39">
            <w:pPr>
              <w:spacing w:before="40" w:after="40" w:line="240" w:lineRule="auto"/>
              <w:ind w:hanging="29"/>
              <w:rPr>
                <w:rFonts w:ascii="Arial" w:hAnsi="Arial" w:cs="Arial"/>
                <w:sz w:val="20"/>
              </w:rPr>
            </w:pPr>
            <w:r w:rsidRPr="000665B0">
              <w:rPr>
                <w:rFonts w:ascii="Arial" w:hAnsi="Arial" w:cs="Arial"/>
                <w:sz w:val="20"/>
              </w:rPr>
              <w:t>Geofeasibility of the selected reservations for the FRU could not be determined, usually because the FRU has not yet been assigned a PLP. Other possible reasons are: PLP or mission is missing from the database, or the reservation(s) include(s) a non-mission reservation (TMPR or LMO).</w:t>
            </w:r>
          </w:p>
        </w:tc>
      </w:tr>
      <w:tr w:rsidR="00184A40" w:rsidRPr="000665B0" w14:paraId="0C6E4F72" w14:textId="77777777" w:rsidTr="00AC2F7D">
        <w:trPr>
          <w:tblHeader/>
        </w:trPr>
        <w:tc>
          <w:tcPr>
            <w:tcW w:w="715" w:type="dxa"/>
          </w:tcPr>
          <w:p w14:paraId="5B6FA851" w14:textId="090A7413" w:rsidR="00184A40" w:rsidRPr="000665B0" w:rsidRDefault="00C9104E" w:rsidP="00C9104E">
            <w:pPr>
              <w:spacing w:before="40" w:after="40" w:line="240" w:lineRule="auto"/>
              <w:ind w:left="-23"/>
              <w:jc w:val="center"/>
              <w:rPr>
                <w:rFonts w:ascii="Arial" w:hAnsi="Arial" w:cs="Arial"/>
                <w:b/>
                <w:noProof/>
                <w:sz w:val="20"/>
              </w:rPr>
            </w:pPr>
            <w:r w:rsidRPr="000665B0">
              <w:rPr>
                <w:rFonts w:ascii="Arial" w:hAnsi="Arial" w:cs="Arial"/>
                <w:noProof/>
                <w:sz w:val="20"/>
              </w:rPr>
              <w:drawing>
                <wp:inline distT="0" distB="0" distL="0" distR="0" wp14:anchorId="1D9D3BA1" wp14:editId="673F1D48">
                  <wp:extent cx="219075" cy="219075"/>
                  <wp:effectExtent l="0" t="0" r="9525" b="9525"/>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9075" cy="219075"/>
                          </a:xfrm>
                          <a:prstGeom prst="rect">
                            <a:avLst/>
                          </a:prstGeom>
                        </pic:spPr>
                      </pic:pic>
                    </a:graphicData>
                  </a:graphic>
                </wp:inline>
              </w:drawing>
            </w:r>
          </w:p>
        </w:tc>
        <w:tc>
          <w:tcPr>
            <w:tcW w:w="1630" w:type="dxa"/>
          </w:tcPr>
          <w:p w14:paraId="6599117A" w14:textId="7113AAFB" w:rsidR="00184A40" w:rsidRPr="000665B0" w:rsidRDefault="00184A40" w:rsidP="00EF2F76">
            <w:pPr>
              <w:spacing w:before="40" w:after="40" w:line="240" w:lineRule="auto"/>
              <w:ind w:hanging="29"/>
              <w:jc w:val="center"/>
              <w:rPr>
                <w:rFonts w:ascii="Arial" w:hAnsi="Arial" w:cs="Arial"/>
                <w:sz w:val="20"/>
              </w:rPr>
            </w:pPr>
            <w:r w:rsidRPr="000665B0">
              <w:rPr>
                <w:rFonts w:ascii="Arial" w:hAnsi="Arial" w:cs="Arial"/>
                <w:sz w:val="20"/>
              </w:rPr>
              <w:t>Infeasible</w:t>
            </w:r>
          </w:p>
        </w:tc>
        <w:tc>
          <w:tcPr>
            <w:tcW w:w="7010" w:type="dxa"/>
          </w:tcPr>
          <w:p w14:paraId="3C405E4C" w14:textId="2EE14A06" w:rsidR="00184A40" w:rsidRPr="000665B0" w:rsidRDefault="00184A40" w:rsidP="002A2E1B">
            <w:pPr>
              <w:spacing w:before="40" w:after="40" w:line="240" w:lineRule="auto"/>
              <w:ind w:hanging="29"/>
              <w:rPr>
                <w:rFonts w:ascii="Arial" w:hAnsi="Arial" w:cs="Arial"/>
                <w:sz w:val="20"/>
              </w:rPr>
            </w:pPr>
            <w:r w:rsidRPr="000665B0">
              <w:rPr>
                <w:rFonts w:ascii="Arial" w:hAnsi="Arial" w:cs="Arial"/>
                <w:sz w:val="20"/>
              </w:rPr>
              <w:t>The FRU has an assigned PLP, but the PLP lies</w:t>
            </w:r>
            <w:r w:rsidR="00E36ECA" w:rsidRPr="000665B0">
              <w:rPr>
                <w:rFonts w:ascii="Arial" w:hAnsi="Arial" w:cs="Arial"/>
                <w:sz w:val="20"/>
              </w:rPr>
              <w:t xml:space="preserve"> entirely</w:t>
            </w:r>
            <w:r w:rsidRPr="000665B0">
              <w:rPr>
                <w:rFonts w:ascii="Arial" w:hAnsi="Arial" w:cs="Arial"/>
                <w:sz w:val="20"/>
              </w:rPr>
              <w:t xml:space="preserve"> outside o</w:t>
            </w:r>
            <w:r w:rsidR="00E36ECA" w:rsidRPr="000665B0">
              <w:rPr>
                <w:rFonts w:ascii="Arial" w:hAnsi="Arial" w:cs="Arial"/>
                <w:sz w:val="20"/>
              </w:rPr>
              <w:t xml:space="preserve">f </w:t>
            </w:r>
            <w:r w:rsidRPr="000665B0">
              <w:rPr>
                <w:rFonts w:ascii="Arial" w:hAnsi="Arial" w:cs="Arial"/>
                <w:sz w:val="20"/>
              </w:rPr>
              <w:t>the launch area for the mission referenced by the selected reservations.</w:t>
            </w:r>
          </w:p>
        </w:tc>
      </w:tr>
    </w:tbl>
    <w:p w14:paraId="7FD4B0D6" w14:textId="4F4BF0DB" w:rsidR="00A0403D" w:rsidRPr="000665B0" w:rsidRDefault="00A0403D" w:rsidP="00AC2F7D">
      <w:pPr>
        <w:pStyle w:val="Number0205"/>
        <w:tabs>
          <w:tab w:val="left" w:pos="720"/>
        </w:tabs>
        <w:spacing w:after="0" w:line="240" w:lineRule="auto"/>
        <w:ind w:left="0" w:firstLine="0"/>
      </w:pPr>
    </w:p>
    <w:p w14:paraId="2D3998E3" w14:textId="23ED9A4C" w:rsidR="00184A40" w:rsidRPr="000665B0" w:rsidRDefault="0052146E" w:rsidP="00A0403D">
      <w:pPr>
        <w:pStyle w:val="Number0205"/>
        <w:tabs>
          <w:tab w:val="left" w:pos="720"/>
        </w:tabs>
        <w:ind w:firstLine="0"/>
      </w:pPr>
      <w:r w:rsidRPr="000665B0">
        <w:t>Tail-numbered m</w:t>
      </w:r>
      <w:r w:rsidR="00A0403D" w:rsidRPr="000665B0">
        <w:t>ission</w:t>
      </w:r>
      <w:r w:rsidR="009D2EF2" w:rsidRPr="000665B0">
        <w:t>s</w:t>
      </w:r>
      <w:r w:rsidR="00A0403D" w:rsidRPr="000665B0">
        <w:t xml:space="preserve"> </w:t>
      </w:r>
      <w:r w:rsidRPr="000665B0">
        <w:t>(indicated by</w:t>
      </w:r>
      <w:r w:rsidR="00A0403D" w:rsidRPr="000665B0">
        <w:t xml:space="preserve"> “</w:t>
      </w:r>
      <w:r w:rsidR="009D2EF2" w:rsidRPr="000665B0">
        <w:t>(</w:t>
      </w:r>
      <w:r w:rsidR="00A0403D" w:rsidRPr="000665B0">
        <w:t>TAIL</w:t>
      </w:r>
      <w:r w:rsidR="009D2EF2" w:rsidRPr="000665B0">
        <w:t>)</w:t>
      </w:r>
      <w:r w:rsidR="00A0403D" w:rsidRPr="000665B0">
        <w:t>”</w:t>
      </w:r>
      <w:r w:rsidRPr="000665B0">
        <w:t xml:space="preserve">) </w:t>
      </w:r>
      <w:r w:rsidR="009D2EF2" w:rsidRPr="000665B0">
        <w:t>are</w:t>
      </w:r>
      <w:r w:rsidR="00A0403D" w:rsidRPr="000665B0">
        <w:t xml:space="preserve"> presented with </w:t>
      </w:r>
      <w:r w:rsidR="009D2EF2" w:rsidRPr="000665B0">
        <w:t xml:space="preserve">only </w:t>
      </w:r>
      <w:r w:rsidR="00A0403D" w:rsidRPr="000665B0">
        <w:t xml:space="preserve">valid missile selections from valid launch platforms in the strike options. </w:t>
      </w:r>
      <w:r w:rsidR="009D2EF2" w:rsidRPr="000665B0">
        <w:t xml:space="preserve">Valid means that the tail number of a missile is included in the set of valid tail numbers </w:t>
      </w:r>
      <w:r w:rsidR="00FB2A2F" w:rsidRPr="000665B0">
        <w:t>specified</w:t>
      </w:r>
      <w:r w:rsidR="009D2EF2" w:rsidRPr="000665B0">
        <w:t xml:space="preserve"> in the mission, and that the missile is in a launch platform equipped with TTWCS Version 5.6 or above.</w:t>
      </w:r>
      <w:r w:rsidR="00A0403D" w:rsidRPr="000665B0">
        <w:t xml:space="preserve"> If there are no such FRUs or such FRUs do not have the </w:t>
      </w:r>
      <w:r w:rsidR="00920D3C" w:rsidRPr="000665B0">
        <w:t>tail-</w:t>
      </w:r>
      <w:r w:rsidR="00A0403D" w:rsidRPr="000665B0">
        <w:t xml:space="preserve">numbered missiles as specified within the mission, then no missiles are displayed for assignment. </w:t>
      </w:r>
      <w:r w:rsidRPr="000665B0">
        <w:t>Tail-</w:t>
      </w:r>
      <w:r w:rsidR="00A0403D" w:rsidRPr="000665B0">
        <w:t xml:space="preserve">numbered missiles are identified by the whale tail </w:t>
      </w:r>
      <w:r w:rsidR="00A0403D" w:rsidRPr="000665B0">
        <w:rPr>
          <w:noProof/>
          <w:position w:val="-6"/>
        </w:rPr>
        <w:drawing>
          <wp:inline distT="0" distB="0" distL="0" distR="0" wp14:anchorId="728518B9" wp14:editId="7B534485">
            <wp:extent cx="207269" cy="194352"/>
            <wp:effectExtent l="0" t="0" r="2540" b="0"/>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r="12397"/>
                    <a:stretch/>
                  </pic:blipFill>
                  <pic:spPr bwMode="auto">
                    <a:xfrm>
                      <a:off x="0" y="0"/>
                      <a:ext cx="208718" cy="195711"/>
                    </a:xfrm>
                    <a:prstGeom prst="rect">
                      <a:avLst/>
                    </a:prstGeom>
                    <a:ln>
                      <a:noFill/>
                    </a:ln>
                    <a:extLst>
                      <a:ext uri="{53640926-AAD7-44D8-BBD7-CCE9431645EC}">
                        <a14:shadowObscured xmlns:a14="http://schemas.microsoft.com/office/drawing/2010/main"/>
                      </a:ext>
                    </a:extLst>
                  </pic:spPr>
                </pic:pic>
              </a:graphicData>
            </a:graphic>
          </wp:inline>
        </w:drawing>
      </w:r>
      <w:r w:rsidR="00A0403D" w:rsidRPr="000665B0">
        <w:t xml:space="preserve"> icon in the </w:t>
      </w:r>
      <w:r w:rsidR="00A0403D" w:rsidRPr="000665B0">
        <w:rPr>
          <w:b/>
        </w:rPr>
        <w:t>Missiles Tree</w:t>
      </w:r>
      <w:r w:rsidR="00A0403D" w:rsidRPr="000665B0">
        <w:t xml:space="preserve"> pane. </w:t>
      </w:r>
    </w:p>
    <w:p w14:paraId="6D451BD1" w14:textId="78A2B5DB" w:rsidR="00F4182D" w:rsidRPr="000665B0" w:rsidRDefault="00F4182D" w:rsidP="00F4182D">
      <w:pPr>
        <w:pStyle w:val="Number0205"/>
        <w:tabs>
          <w:tab w:val="left" w:pos="720"/>
        </w:tabs>
        <w:ind w:left="0" w:firstLine="0"/>
        <w:jc w:val="center"/>
      </w:pPr>
      <w:r w:rsidRPr="000665B0">
        <w:rPr>
          <w:noProof/>
        </w:rPr>
        <w:lastRenderedPageBreak/>
        <w:drawing>
          <wp:inline distT="0" distB="0" distL="0" distR="0" wp14:anchorId="1C03FF16" wp14:editId="3723D47C">
            <wp:extent cx="1371600" cy="795528"/>
            <wp:effectExtent l="0" t="0" r="0" b="0"/>
            <wp:docPr id="2096" name="Picture 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371600" cy="795528"/>
                    </a:xfrm>
                    <a:prstGeom prst="rect">
                      <a:avLst/>
                    </a:prstGeom>
                    <a:ln>
                      <a:noFill/>
                    </a:ln>
                    <a:extLst>
                      <a:ext uri="{53640926-AAD7-44D8-BBD7-CCE9431645EC}">
                        <a14:shadowObscured xmlns:a14="http://schemas.microsoft.com/office/drawing/2010/main"/>
                      </a:ext>
                    </a:extLst>
                  </pic:spPr>
                </pic:pic>
              </a:graphicData>
            </a:graphic>
          </wp:inline>
        </w:drawing>
      </w:r>
    </w:p>
    <w:p w14:paraId="15279982" w14:textId="521A1A2B" w:rsidR="00505F92" w:rsidRPr="000665B0" w:rsidRDefault="00505F92" w:rsidP="00505F92">
      <w:pPr>
        <w:pStyle w:val="Number0205"/>
        <w:tabs>
          <w:tab w:val="left" w:pos="720"/>
        </w:tabs>
        <w:ind w:firstLine="0"/>
      </w:pPr>
      <w:r w:rsidRPr="000665B0">
        <w:t>MSTM missions (indicated by “MSTM”) are presented with only valid missile matching selection options, subject to FRU inventory and TSN strategy constraints.</w:t>
      </w:r>
    </w:p>
    <w:p w14:paraId="45B4F7A9" w14:textId="584CB87F" w:rsidR="005F7A03" w:rsidRPr="000665B0" w:rsidRDefault="001D05CF" w:rsidP="006D5A65">
      <w:pPr>
        <w:pStyle w:val="Heading1"/>
      </w:pPr>
      <w:r w:rsidRPr="000665B0">
        <w:t xml:space="preserve">After selecting a FRU, the </w:t>
      </w:r>
      <w:r w:rsidR="005F7A03" w:rsidRPr="000665B0">
        <w:rPr>
          <w:i/>
        </w:rPr>
        <w:t>FRU Assignment</w:t>
      </w:r>
      <w:r w:rsidR="005F7A03" w:rsidRPr="000665B0">
        <w:t xml:space="preserve"> window </w:t>
      </w:r>
      <w:r w:rsidR="008B1631" w:rsidRPr="000665B0">
        <w:t>is displayed</w:t>
      </w:r>
      <w:r w:rsidR="005F7A03" w:rsidRPr="000665B0">
        <w:t>.</w:t>
      </w:r>
    </w:p>
    <w:p w14:paraId="4A8DF20D" w14:textId="195CA65F" w:rsidR="005F7A03" w:rsidRPr="000665B0" w:rsidRDefault="00F4182D" w:rsidP="00474A1F">
      <w:pPr>
        <w:tabs>
          <w:tab w:val="left" w:pos="720"/>
        </w:tabs>
        <w:jc w:val="center"/>
      </w:pPr>
      <w:r w:rsidRPr="000665B0">
        <w:rPr>
          <w:noProof/>
        </w:rPr>
        <w:drawing>
          <wp:inline distT="0" distB="0" distL="0" distR="0" wp14:anchorId="749B9C43" wp14:editId="46A14F22">
            <wp:extent cx="4114800" cy="1207008"/>
            <wp:effectExtent l="0" t="0" r="0" b="0"/>
            <wp:docPr id="2094" name="Picture 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1207008"/>
                    </a:xfrm>
                    <a:prstGeom prst="rect">
                      <a:avLst/>
                    </a:prstGeom>
                  </pic:spPr>
                </pic:pic>
              </a:graphicData>
            </a:graphic>
          </wp:inline>
        </w:drawing>
      </w:r>
      <w:r w:rsidR="00695A1D" w:rsidRPr="000665B0">
        <w:rPr>
          <w:noProof/>
        </w:rPr>
        <w:t xml:space="preserve"> </w:t>
      </w:r>
    </w:p>
    <w:p w14:paraId="428BA687" w14:textId="12675C39" w:rsidR="005F7A03" w:rsidRPr="000665B0" w:rsidRDefault="00F4182D" w:rsidP="006D5A65">
      <w:pPr>
        <w:pStyle w:val="Heading1"/>
      </w:pPr>
      <w:r w:rsidRPr="000665B0">
        <w:t>Select</w:t>
      </w:r>
      <w:r w:rsidR="005F7A03" w:rsidRPr="000665B0">
        <w:t xml:space="preserve"> the desired missile assignment, Primary (</w:t>
      </w:r>
      <w:r w:rsidR="005F7A03" w:rsidRPr="000665B0">
        <w:rPr>
          <w:bCs/>
        </w:rPr>
        <w:t>P</w:t>
      </w:r>
      <w:r w:rsidR="005F7A03" w:rsidRPr="000665B0">
        <w:t xml:space="preserve">), </w:t>
      </w:r>
      <w:r w:rsidR="00A32654" w:rsidRPr="000665B0">
        <w:t xml:space="preserve">Backup (B), </w:t>
      </w:r>
      <w:r w:rsidR="005F7A03" w:rsidRPr="000665B0">
        <w:t>Ready Spare (</w:t>
      </w:r>
      <w:r w:rsidR="005F7A03" w:rsidRPr="000665B0">
        <w:rPr>
          <w:bCs/>
        </w:rPr>
        <w:t>RS</w:t>
      </w:r>
      <w:r w:rsidR="005F7A03" w:rsidRPr="000665B0">
        <w:t>), Auto</w:t>
      </w:r>
      <w:r w:rsidR="00A32654" w:rsidRPr="000665B0">
        <w:t xml:space="preserve"> </w:t>
      </w:r>
      <w:r w:rsidR="005F7A03" w:rsidRPr="000665B0">
        <w:t>Ready Spare (</w:t>
      </w:r>
      <w:r w:rsidR="005F7A03" w:rsidRPr="000665B0">
        <w:rPr>
          <w:bCs/>
        </w:rPr>
        <w:t>ARS</w:t>
      </w:r>
      <w:r w:rsidR="005F7A03" w:rsidRPr="000665B0">
        <w:t>) or Backup Pool (</w:t>
      </w:r>
      <w:r w:rsidR="005F7A03" w:rsidRPr="000665B0">
        <w:rPr>
          <w:bCs/>
        </w:rPr>
        <w:t>BP</w:t>
      </w:r>
      <w:r w:rsidR="005F7A03" w:rsidRPr="000665B0">
        <w:t xml:space="preserve">). The </w:t>
      </w:r>
      <w:r w:rsidR="005F7A03" w:rsidRPr="000665B0">
        <w:rPr>
          <w:bCs/>
        </w:rPr>
        <w:t>FRU to Backup</w:t>
      </w:r>
      <w:r w:rsidR="005F7A03" w:rsidRPr="000665B0">
        <w:t xml:space="preserve"> pull</w:t>
      </w:r>
      <w:r w:rsidR="00A73DAD" w:rsidRPr="000665B0">
        <w:t xml:space="preserve"> </w:t>
      </w:r>
      <w:r w:rsidR="005F7A03" w:rsidRPr="000665B0">
        <w:t>down menu assigns dedicated Backups. If a mission has already been assigned to a FRU and a dedicated backup is required, select the Primary FRU from the pull</w:t>
      </w:r>
      <w:r w:rsidR="00A73DAD" w:rsidRPr="000665B0">
        <w:t xml:space="preserve"> </w:t>
      </w:r>
      <w:r w:rsidR="005F7A03" w:rsidRPr="000665B0">
        <w:t>down menu and fill in the number of missiles.</w:t>
      </w:r>
      <w:r w:rsidR="00A32654" w:rsidRPr="000665B0">
        <w:t xml:space="preserve"> Click OK.</w:t>
      </w:r>
    </w:p>
    <w:p w14:paraId="178C6A6B" w14:textId="77777777" w:rsidR="00685AED" w:rsidRPr="000665B0" w:rsidRDefault="00685AED" w:rsidP="006D5A65">
      <w:pPr>
        <w:pStyle w:val="Heading1"/>
      </w:pPr>
      <w:r w:rsidRPr="000665B0">
        <w:t xml:space="preserve">The </w:t>
      </w:r>
      <w:r w:rsidRPr="000665B0">
        <w:rPr>
          <w:i/>
        </w:rPr>
        <w:t>Missile’s TOT</w:t>
      </w:r>
      <w:r w:rsidRPr="000665B0">
        <w:t xml:space="preserve"> window is displayed.</w:t>
      </w:r>
    </w:p>
    <w:p w14:paraId="00DB4CBD" w14:textId="2249C067" w:rsidR="00685AED" w:rsidRPr="000665B0" w:rsidRDefault="00F4182D" w:rsidP="00685AED">
      <w:pPr>
        <w:jc w:val="center"/>
      </w:pPr>
      <w:r w:rsidRPr="000665B0">
        <w:rPr>
          <w:noProof/>
        </w:rPr>
        <w:drawing>
          <wp:inline distT="0" distB="0" distL="0" distR="0" wp14:anchorId="3E3ABE0C" wp14:editId="1E602F98">
            <wp:extent cx="1828800" cy="1033272"/>
            <wp:effectExtent l="0" t="0" r="0" b="0"/>
            <wp:docPr id="2095" name="Picture 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033272"/>
                    </a:xfrm>
                    <a:prstGeom prst="rect">
                      <a:avLst/>
                    </a:prstGeom>
                  </pic:spPr>
                </pic:pic>
              </a:graphicData>
            </a:graphic>
          </wp:inline>
        </w:drawing>
      </w:r>
    </w:p>
    <w:p w14:paraId="65E6264F" w14:textId="5E6EC61A" w:rsidR="00685AED" w:rsidRPr="000665B0" w:rsidRDefault="00685AED" w:rsidP="006D5A65">
      <w:pPr>
        <w:pStyle w:val="Heading1"/>
      </w:pPr>
      <w:r w:rsidRPr="000665B0">
        <w:t xml:space="preserve">Review the suggested Missile’s TOT. To modify the Missile’s </w:t>
      </w:r>
      <w:r w:rsidR="007E727D" w:rsidRPr="000665B0">
        <w:t>TOT,</w:t>
      </w:r>
      <w:r w:rsidRPr="000665B0">
        <w:t xml:space="preserve"> click the calendar icon </w:t>
      </w:r>
      <w:r w:rsidRPr="000665B0">
        <w:rPr>
          <w:noProof/>
        </w:rPr>
        <w:drawing>
          <wp:inline distT="0" distB="0" distL="0" distR="0" wp14:anchorId="53671729" wp14:editId="6EFECDBE">
            <wp:extent cx="224790" cy="140970"/>
            <wp:effectExtent l="0" t="0" r="3810" b="0"/>
            <wp:docPr id="1998" name="Picture 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24790" cy="140970"/>
                    </a:xfrm>
                    <a:prstGeom prst="rect">
                      <a:avLst/>
                    </a:prstGeom>
                    <a:noFill/>
                    <a:ln>
                      <a:noFill/>
                    </a:ln>
                  </pic:spPr>
                </pic:pic>
              </a:graphicData>
            </a:graphic>
          </wp:inline>
        </w:drawing>
      </w:r>
      <w:r w:rsidRPr="000665B0">
        <w:t xml:space="preserve"> and select desired date. Click OK.</w:t>
      </w:r>
    </w:p>
    <w:p w14:paraId="02805FAA" w14:textId="77777777" w:rsidR="00A32654" w:rsidRPr="000665B0" w:rsidRDefault="00A32654" w:rsidP="00474A1F">
      <w:pPr>
        <w:pStyle w:val="Number0205"/>
        <w:tabs>
          <w:tab w:val="left" w:pos="720"/>
        </w:tabs>
      </w:pPr>
      <w:r w:rsidRPr="000665B0">
        <w:t>or</w:t>
      </w:r>
    </w:p>
    <w:p w14:paraId="6968AF24" w14:textId="40EE835C" w:rsidR="00164B41" w:rsidRPr="000665B0" w:rsidRDefault="005F7A03" w:rsidP="006D5A65">
      <w:pPr>
        <w:pStyle w:val="Heading1"/>
      </w:pPr>
      <w:r w:rsidRPr="000665B0">
        <w:t xml:space="preserve">Missiles can be assigned </w:t>
      </w:r>
      <w:r w:rsidR="008D3930" w:rsidRPr="000665B0">
        <w:t>more quickly</w:t>
      </w:r>
      <w:r w:rsidRPr="000665B0">
        <w:t xml:space="preserve"> by</w:t>
      </w:r>
      <w:r w:rsidR="008D3930" w:rsidRPr="000665B0">
        <w:t xml:space="preserve"> selecting the desired Mission ID</w:t>
      </w:r>
      <w:r w:rsidR="00F4182D" w:rsidRPr="000665B0">
        <w:t>,</w:t>
      </w:r>
      <w:r w:rsidR="008D3930" w:rsidRPr="000665B0">
        <w:t xml:space="preserve"> Missile ID,</w:t>
      </w:r>
      <w:r w:rsidRPr="000665B0">
        <w:t xml:space="preserve"> </w:t>
      </w:r>
      <w:r w:rsidR="00F4182D" w:rsidRPr="000665B0">
        <w:t xml:space="preserve">or TSN Type, </w:t>
      </w:r>
      <w:r w:rsidR="008D3930" w:rsidRPr="000665B0">
        <w:t xml:space="preserve">invoke </w:t>
      </w:r>
      <w:r w:rsidRPr="000665B0">
        <w:t>the context menu (</w:t>
      </w:r>
      <w:r w:rsidR="00D71804" w:rsidRPr="000665B0">
        <w:t>right-click</w:t>
      </w:r>
      <w:r w:rsidRPr="000665B0">
        <w:t xml:space="preserve"> the mouse)</w:t>
      </w:r>
      <w:r w:rsidR="00A32654" w:rsidRPr="000665B0">
        <w:t xml:space="preserve">, </w:t>
      </w:r>
      <w:r w:rsidRPr="000665B0">
        <w:t xml:space="preserve">select Assign Primary to </w:t>
      </w:r>
      <w:r w:rsidR="00CE7FC6" w:rsidRPr="000665B0">
        <w:sym w:font="Wingdings 3" w:char="F07D"/>
      </w:r>
      <w:r w:rsidRPr="000665B0">
        <w:t xml:space="preserve"> and </w:t>
      </w:r>
      <w:r w:rsidR="008D3930" w:rsidRPr="000665B0">
        <w:t>select</w:t>
      </w:r>
      <w:r w:rsidRPr="000665B0">
        <w:t xml:space="preserve"> the appropriate </w:t>
      </w:r>
      <w:r w:rsidR="008D3930" w:rsidRPr="000665B0">
        <w:t>trigraph in the ensuing window</w:t>
      </w:r>
      <w:r w:rsidR="009422AF" w:rsidRPr="000665B0">
        <w:t>.</w:t>
      </w:r>
      <w:r w:rsidRPr="000665B0">
        <w:t xml:space="preserve"> </w:t>
      </w:r>
      <w:r w:rsidR="009422AF" w:rsidRPr="000665B0">
        <w:t xml:space="preserve">The menu items for FRUs are displayed with colored icons </w:t>
      </w:r>
      <w:r w:rsidR="00164B41" w:rsidRPr="000665B0">
        <w:t xml:space="preserve">(see table above) </w:t>
      </w:r>
      <w:r w:rsidR="009422AF" w:rsidRPr="000665B0">
        <w:t xml:space="preserve">according to their aggregate geofeasibility condition for the selected tree nodes. </w:t>
      </w:r>
      <w:r w:rsidR="00C361E0" w:rsidRPr="000665B0">
        <w:t xml:space="preserve">This results in an immediate assignment. Repeat as needed, selecting Assign Backup to </w:t>
      </w:r>
      <w:r w:rsidR="00C361E0" w:rsidRPr="000665B0">
        <w:sym w:font="Wingdings 3" w:char="F07D"/>
      </w:r>
      <w:r w:rsidR="00C361E0" w:rsidRPr="000665B0">
        <w:t xml:space="preserve">, Assign Ready Spare to </w:t>
      </w:r>
      <w:r w:rsidR="00C361E0" w:rsidRPr="000665B0">
        <w:sym w:font="Wingdings 3" w:char="F07D"/>
      </w:r>
      <w:r w:rsidR="00C361E0" w:rsidRPr="000665B0">
        <w:t xml:space="preserve">, Assign Auto Ready Spare to </w:t>
      </w:r>
      <w:r w:rsidR="00C361E0" w:rsidRPr="000665B0">
        <w:sym w:font="Wingdings 3" w:char="F07D"/>
      </w:r>
      <w:r w:rsidR="00C361E0" w:rsidRPr="000665B0">
        <w:t xml:space="preserve">, or Assign Backup Pool to </w:t>
      </w:r>
      <w:r w:rsidR="00C361E0" w:rsidRPr="000665B0">
        <w:sym w:font="Wingdings 3" w:char="F07D"/>
      </w:r>
      <w:r w:rsidR="00C361E0" w:rsidRPr="000665B0">
        <w:t xml:space="preserve">. Alternatively, the user can </w:t>
      </w:r>
      <w:r w:rsidR="00C361E0" w:rsidRPr="000665B0">
        <w:lastRenderedPageBreak/>
        <w:t>invoke the Assign to menu by selecting the desired Mission ID</w:t>
      </w:r>
      <w:r w:rsidR="00F4182D" w:rsidRPr="000665B0">
        <w:t>,</w:t>
      </w:r>
      <w:r w:rsidR="00C361E0" w:rsidRPr="000665B0">
        <w:t xml:space="preserve"> Missile ID</w:t>
      </w:r>
      <w:r w:rsidR="00F4182D" w:rsidRPr="000665B0">
        <w:t>, or TSN Type</w:t>
      </w:r>
      <w:r w:rsidR="00C361E0" w:rsidRPr="000665B0">
        <w:t xml:space="preserve"> and simply typing P, B, R, A, or U.</w:t>
      </w:r>
    </w:p>
    <w:p w14:paraId="48933A8E" w14:textId="19322AA5" w:rsidR="00164B41" w:rsidRPr="000665B0" w:rsidRDefault="00947892" w:rsidP="0058307F">
      <w:pPr>
        <w:pStyle w:val="Number0205"/>
        <w:ind w:left="0" w:firstLine="0"/>
        <w:jc w:val="center"/>
      </w:pPr>
      <w:r w:rsidRPr="000665B0">
        <w:rPr>
          <w:noProof/>
        </w:rPr>
        <w:drawing>
          <wp:inline distT="0" distB="0" distL="0" distR="0" wp14:anchorId="5776C86C" wp14:editId="3565A4F7">
            <wp:extent cx="3200400" cy="2066544"/>
            <wp:effectExtent l="0" t="0" r="0" b="0"/>
            <wp:docPr id="2098" name="Picture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2066544"/>
                    </a:xfrm>
                    <a:prstGeom prst="rect">
                      <a:avLst/>
                    </a:prstGeom>
                  </pic:spPr>
                </pic:pic>
              </a:graphicData>
            </a:graphic>
          </wp:inline>
        </w:drawing>
      </w:r>
    </w:p>
    <w:p w14:paraId="406D4106" w14:textId="77777777" w:rsidR="00CE7FC6" w:rsidRPr="000665B0" w:rsidRDefault="00CE7FC6" w:rsidP="00474A1F">
      <w:pPr>
        <w:pStyle w:val="Number0205"/>
        <w:tabs>
          <w:tab w:val="left" w:pos="720"/>
        </w:tabs>
        <w:ind w:left="720" w:firstLine="0"/>
      </w:pPr>
      <w:r w:rsidRPr="000665B0">
        <w:t>or</w:t>
      </w:r>
    </w:p>
    <w:p w14:paraId="441562E6" w14:textId="77777777" w:rsidR="00255AD7" w:rsidRDefault="000F3260" w:rsidP="006D5A65">
      <w:pPr>
        <w:pStyle w:val="Heading1"/>
      </w:pPr>
      <w:r w:rsidRPr="000665B0">
        <w:t>Select the desired Mission ID</w:t>
      </w:r>
      <w:r w:rsidR="00F4182D" w:rsidRPr="000665B0">
        <w:t>,</w:t>
      </w:r>
      <w:r w:rsidRPr="000665B0">
        <w:t xml:space="preserve"> Missile ID</w:t>
      </w:r>
      <w:r w:rsidR="00F4182D" w:rsidRPr="000665B0">
        <w:t>, or TSN Type</w:t>
      </w:r>
      <w:r w:rsidRPr="000665B0">
        <w:t xml:space="preserve"> and drag</w:t>
      </w:r>
      <w:r w:rsidR="00CE7FC6" w:rsidRPr="000665B0">
        <w:t xml:space="preserve"> and drop</w:t>
      </w:r>
      <w:r w:rsidRPr="000665B0">
        <w:t xml:space="preserve"> it into</w:t>
      </w:r>
      <w:r w:rsidR="00CE7FC6" w:rsidRPr="000665B0">
        <w:t xml:space="preserve"> a </w:t>
      </w:r>
      <w:r w:rsidR="006E76E5" w:rsidRPr="000665B0">
        <w:t xml:space="preserve">reservation </w:t>
      </w:r>
      <w:r w:rsidR="008D0959" w:rsidRPr="000665B0">
        <w:t xml:space="preserve">box for a </w:t>
      </w:r>
      <w:r w:rsidR="00CE7FC6" w:rsidRPr="000665B0">
        <w:t>platform</w:t>
      </w:r>
      <w:r w:rsidR="00E375B7" w:rsidRPr="000665B0">
        <w:t xml:space="preserve"> in the FRUs pane. </w:t>
      </w:r>
      <w:r w:rsidR="008D0959" w:rsidRPr="000665B0">
        <w:t>The reservation box</w:t>
      </w:r>
      <w:r w:rsidR="00EC6793" w:rsidRPr="000665B0">
        <w:t>’s border color and fill color</w:t>
      </w:r>
      <w:r w:rsidR="008D0959" w:rsidRPr="000665B0">
        <w:t xml:space="preserve"> indicate </w:t>
      </w:r>
      <w:r w:rsidR="006E76E5" w:rsidRPr="000665B0">
        <w:t xml:space="preserve">the following as shown below. </w:t>
      </w:r>
    </w:p>
    <w:p w14:paraId="070F62B6" w14:textId="77777777" w:rsidR="00255AD7" w:rsidRDefault="006E76E5" w:rsidP="00255AD7">
      <w:pPr>
        <w:pStyle w:val="Number0205"/>
        <w:tabs>
          <w:tab w:val="left" w:pos="720"/>
        </w:tabs>
        <w:ind w:firstLine="0"/>
      </w:pPr>
      <w:r w:rsidRPr="000665B0">
        <w:t>1. Inventory feasibility status.</w:t>
      </w:r>
    </w:p>
    <w:p w14:paraId="4DD4E06E" w14:textId="1B33A21A" w:rsidR="00E3599E" w:rsidRPr="000665B0" w:rsidRDefault="006E76E5" w:rsidP="00255AD7">
      <w:pPr>
        <w:pStyle w:val="Number0205"/>
        <w:tabs>
          <w:tab w:val="left" w:pos="720"/>
        </w:tabs>
        <w:ind w:firstLine="0"/>
      </w:pPr>
      <w:r w:rsidRPr="000665B0">
        <w:t>2. Geofeasibil</w:t>
      </w:r>
      <w:r w:rsidR="00B307C5" w:rsidRPr="000665B0">
        <w:t>i</w:t>
      </w:r>
      <w:r w:rsidRPr="000665B0">
        <w:t>ty condition (if enabled).</w:t>
      </w:r>
    </w:p>
    <w:p w14:paraId="40610992" w14:textId="6685721B" w:rsidR="006E76E5" w:rsidRPr="000665B0" w:rsidRDefault="00E3599E" w:rsidP="00AC2F7D">
      <w:pPr>
        <w:pStyle w:val="Number0205"/>
        <w:tabs>
          <w:tab w:val="left" w:pos="720"/>
        </w:tabs>
        <w:ind w:firstLine="0"/>
      </w:pPr>
      <w:r w:rsidRPr="000665B0">
        <w:t>As</w:t>
      </w:r>
      <w:r w:rsidR="006E76E5" w:rsidRPr="000665B0">
        <w:t xml:space="preserve"> a Mission</w:t>
      </w:r>
      <w:r w:rsidR="00F4182D" w:rsidRPr="000665B0">
        <w:t>,</w:t>
      </w:r>
      <w:r w:rsidR="006E76E5" w:rsidRPr="000665B0">
        <w:t xml:space="preserve"> Missile</w:t>
      </w:r>
      <w:r w:rsidR="00F4182D" w:rsidRPr="000665B0">
        <w:t>, or TSN Type</w:t>
      </w:r>
      <w:r w:rsidR="006E76E5" w:rsidRPr="000665B0">
        <w:t xml:space="preserve"> is dragged over a reservation box, the </w:t>
      </w:r>
      <w:r w:rsidRPr="000665B0">
        <w:t xml:space="preserve">reservation </w:t>
      </w:r>
      <w:r w:rsidR="006E76E5" w:rsidRPr="000665B0">
        <w:t xml:space="preserve">box </w:t>
      </w:r>
      <w:r w:rsidRPr="000665B0">
        <w:t>is filled with</w:t>
      </w:r>
      <w:r w:rsidR="006E76E5" w:rsidRPr="000665B0">
        <w:t xml:space="preserve"> </w:t>
      </w:r>
      <w:r w:rsidR="00417023" w:rsidRPr="000665B0">
        <w:t xml:space="preserve">its border </w:t>
      </w:r>
      <w:r w:rsidR="006E76E5" w:rsidRPr="000665B0">
        <w:t>color to indicate acceptance of the Mission</w:t>
      </w:r>
      <w:r w:rsidR="003A2CEF" w:rsidRPr="000665B0">
        <w:t>,</w:t>
      </w:r>
      <w:r w:rsidRPr="000665B0">
        <w:t xml:space="preserve"> </w:t>
      </w:r>
      <w:r w:rsidR="006E76E5" w:rsidRPr="000665B0">
        <w:t>Missile</w:t>
      </w:r>
      <w:r w:rsidR="003A2CEF" w:rsidRPr="000665B0">
        <w:t>, or TSN Type</w:t>
      </w:r>
      <w:r w:rsidR="006E76E5" w:rsidRPr="000665B0">
        <w:t>. The display of the Prohibited icon (</w:t>
      </w:r>
      <w:r w:rsidR="00375459" w:rsidRPr="000665B0">
        <w:rPr>
          <w:noProof/>
          <w:position w:val="-6"/>
        </w:rPr>
        <w:drawing>
          <wp:inline distT="0" distB="0" distL="0" distR="0" wp14:anchorId="6CBB6F97" wp14:editId="57704DA5">
            <wp:extent cx="393192" cy="146304"/>
            <wp:effectExtent l="0" t="0" r="6985" b="635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93192" cy="146304"/>
                    </a:xfrm>
                    <a:prstGeom prst="rect">
                      <a:avLst/>
                    </a:prstGeom>
                  </pic:spPr>
                </pic:pic>
              </a:graphicData>
            </a:graphic>
          </wp:inline>
        </w:drawing>
      </w:r>
      <w:r w:rsidR="006E76E5" w:rsidRPr="000665B0">
        <w:t>) when a Mission</w:t>
      </w:r>
      <w:r w:rsidR="003A2CEF" w:rsidRPr="000665B0">
        <w:t>,</w:t>
      </w:r>
      <w:r w:rsidR="006E76E5" w:rsidRPr="000665B0">
        <w:t xml:space="preserve"> Missile</w:t>
      </w:r>
      <w:r w:rsidR="003A2CEF" w:rsidRPr="000665B0">
        <w:t>, or TSN Type</w:t>
      </w:r>
      <w:r w:rsidR="006E76E5" w:rsidRPr="000665B0">
        <w:t xml:space="preserve"> is dragged over a reservation box indicates that the assignment cannot be made.</w:t>
      </w:r>
    </w:p>
    <w:p w14:paraId="16ADAC13" w14:textId="03154C38" w:rsidR="00092D74" w:rsidRPr="000665B0" w:rsidRDefault="00E3599E" w:rsidP="006D5A65">
      <w:pPr>
        <w:pStyle w:val="Heading1"/>
      </w:pPr>
      <w:r w:rsidRPr="000665B0">
        <w:t>When the</w:t>
      </w:r>
      <w:r w:rsidR="008D0959" w:rsidRPr="000665B0">
        <w:t xml:space="preserve"> </w:t>
      </w:r>
      <w:r w:rsidR="00EC6793" w:rsidRPr="000665B0">
        <w:t>Show Geofeasibility checkbox is</w:t>
      </w:r>
      <w:r w:rsidRPr="000665B0">
        <w:t xml:space="preserve"> not </w:t>
      </w:r>
      <w:r w:rsidR="00EC6793" w:rsidRPr="000665B0">
        <w:t>selected</w:t>
      </w:r>
      <w:r w:rsidRPr="000665B0">
        <w:t>, (</w:t>
      </w:r>
      <w:r w:rsidRPr="000665B0">
        <w:rPr>
          <w:noProof/>
          <w:position w:val="-10"/>
        </w:rPr>
        <w:drawing>
          <wp:inline distT="0" distB="0" distL="0" distR="0" wp14:anchorId="6A3C176E" wp14:editId="0A5FA92F">
            <wp:extent cx="1115568" cy="210312"/>
            <wp:effectExtent l="0" t="0" r="8890" b="0"/>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115568" cy="210312"/>
                    </a:xfrm>
                    <a:prstGeom prst="rect">
                      <a:avLst/>
                    </a:prstGeom>
                  </pic:spPr>
                </pic:pic>
              </a:graphicData>
            </a:graphic>
          </wp:inline>
        </w:drawing>
      </w:r>
      <w:r w:rsidRPr="000665B0">
        <w:t>), inventory feasibility status is indicated as below:</w:t>
      </w:r>
    </w:p>
    <w:p w14:paraId="40E9FC8A" w14:textId="58D1A143" w:rsidR="00E3599E" w:rsidRPr="000665B0" w:rsidRDefault="00E3599E" w:rsidP="006D5A65">
      <w:pPr>
        <w:pStyle w:val="Heading1"/>
      </w:pPr>
      <w:r w:rsidRPr="000665B0">
        <w:t>Reservation boxes with a gray border and filled with gray indicate that inventory is not available. A reservation cannot be made and the missions</w:t>
      </w:r>
      <w:r w:rsidR="003A2CEF" w:rsidRPr="000665B0">
        <w:t>,</w:t>
      </w:r>
      <w:r w:rsidRPr="000665B0">
        <w:t xml:space="preserve"> missiles</w:t>
      </w:r>
      <w:r w:rsidR="003A2CEF" w:rsidRPr="000665B0">
        <w:t>, or TSN Types</w:t>
      </w:r>
      <w:r w:rsidRPr="000665B0">
        <w:t xml:space="preserve"> that are dragged and dropped </w:t>
      </w:r>
      <w:r w:rsidRPr="000665B0">
        <w:rPr>
          <w:i/>
        </w:rPr>
        <w:t>will be rejected</w:t>
      </w:r>
      <w:r w:rsidRPr="000665B0">
        <w:t>.</w:t>
      </w:r>
    </w:p>
    <w:p w14:paraId="6B8A1BB0" w14:textId="163D2508" w:rsidR="00E3599E" w:rsidRPr="000665B0" w:rsidRDefault="00E3599E" w:rsidP="00E3599E">
      <w:pPr>
        <w:pStyle w:val="Number0205"/>
        <w:tabs>
          <w:tab w:val="left" w:pos="720"/>
        </w:tabs>
        <w:ind w:left="0" w:firstLine="0"/>
        <w:jc w:val="center"/>
      </w:pPr>
      <w:r w:rsidRPr="000665B0">
        <w:rPr>
          <w:noProof/>
        </w:rPr>
        <w:drawing>
          <wp:inline distT="0" distB="0" distL="0" distR="0" wp14:anchorId="7167DB4C" wp14:editId="38495B64">
            <wp:extent cx="457200" cy="173736"/>
            <wp:effectExtent l="0" t="0" r="0" b="0"/>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 cy="173736"/>
                    </a:xfrm>
                    <a:prstGeom prst="rect">
                      <a:avLst/>
                    </a:prstGeom>
                  </pic:spPr>
                </pic:pic>
              </a:graphicData>
            </a:graphic>
          </wp:inline>
        </w:drawing>
      </w:r>
    </w:p>
    <w:p w14:paraId="2F804251" w14:textId="7D245A48" w:rsidR="00E3599E" w:rsidRPr="000665B0" w:rsidRDefault="00E3599E" w:rsidP="006D5A65">
      <w:pPr>
        <w:pStyle w:val="Heading1"/>
      </w:pPr>
      <w:r w:rsidRPr="000665B0">
        <w:t>Reservation boxes with a black border and filled with white indicate that inventory is available. A reservation can be made and the missions</w:t>
      </w:r>
      <w:r w:rsidR="003A2CEF" w:rsidRPr="000665B0">
        <w:t>,</w:t>
      </w:r>
      <w:r w:rsidRPr="000665B0">
        <w:t xml:space="preserve"> missiles</w:t>
      </w:r>
      <w:r w:rsidR="003A2CEF" w:rsidRPr="000665B0">
        <w:t>, or TSN Types</w:t>
      </w:r>
      <w:r w:rsidRPr="000665B0">
        <w:t xml:space="preserve"> that are dragged and dropped </w:t>
      </w:r>
      <w:r w:rsidRPr="000665B0">
        <w:rPr>
          <w:i/>
        </w:rPr>
        <w:t>will be accepted</w:t>
      </w:r>
      <w:r w:rsidRPr="000665B0">
        <w:t>.</w:t>
      </w:r>
    </w:p>
    <w:p w14:paraId="667CF71D" w14:textId="596B9012" w:rsidR="00E3599E" w:rsidRPr="000665B0" w:rsidRDefault="00E3599E" w:rsidP="00E3599E">
      <w:pPr>
        <w:pStyle w:val="Number0205"/>
        <w:tabs>
          <w:tab w:val="left" w:pos="720"/>
        </w:tabs>
        <w:ind w:left="0" w:firstLine="0"/>
        <w:jc w:val="center"/>
      </w:pPr>
      <w:r w:rsidRPr="000665B0">
        <w:rPr>
          <w:noProof/>
        </w:rPr>
        <w:drawing>
          <wp:inline distT="0" distB="0" distL="0" distR="0" wp14:anchorId="61581BB6" wp14:editId="2D3C7632">
            <wp:extent cx="457200" cy="173736"/>
            <wp:effectExtent l="0" t="0" r="0" b="0"/>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 cy="173736"/>
                    </a:xfrm>
                    <a:prstGeom prst="rect">
                      <a:avLst/>
                    </a:prstGeom>
                  </pic:spPr>
                </pic:pic>
              </a:graphicData>
            </a:graphic>
          </wp:inline>
        </w:drawing>
      </w:r>
    </w:p>
    <w:p w14:paraId="391049BF" w14:textId="3285481F" w:rsidR="00E3599E" w:rsidRPr="000665B0" w:rsidRDefault="00E3599E" w:rsidP="006D5A65">
      <w:pPr>
        <w:pStyle w:val="Heading1"/>
      </w:pPr>
      <w:r w:rsidRPr="000665B0">
        <w:t>When the Show Geofeasibility checkbox is selected, (</w:t>
      </w:r>
      <w:r w:rsidRPr="000665B0">
        <w:rPr>
          <w:noProof/>
          <w:position w:val="-10"/>
        </w:rPr>
        <w:drawing>
          <wp:inline distT="0" distB="0" distL="0" distR="0" wp14:anchorId="4E61158D" wp14:editId="7AD9F85A">
            <wp:extent cx="1143000" cy="210312"/>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143000" cy="210312"/>
                    </a:xfrm>
                    <a:prstGeom prst="rect">
                      <a:avLst/>
                    </a:prstGeom>
                  </pic:spPr>
                </pic:pic>
              </a:graphicData>
            </a:graphic>
          </wp:inline>
        </w:drawing>
      </w:r>
      <w:r w:rsidRPr="000665B0">
        <w:t xml:space="preserve">), inventory feasibility status is the same as </w:t>
      </w:r>
      <w:r w:rsidRPr="000665B0">
        <w:lastRenderedPageBreak/>
        <w:t xml:space="preserve">above. </w:t>
      </w:r>
      <w:r w:rsidR="00B307C5" w:rsidRPr="000665B0">
        <w:t>Additionally</w:t>
      </w:r>
      <w:r w:rsidRPr="000665B0">
        <w:t>, the Geofeasibil</w:t>
      </w:r>
      <w:r w:rsidR="00B307C5" w:rsidRPr="000665B0">
        <w:t>i</w:t>
      </w:r>
      <w:r w:rsidRPr="000665B0">
        <w:t xml:space="preserve">ty condition is indicated as below: </w:t>
      </w:r>
    </w:p>
    <w:p w14:paraId="3A64584D" w14:textId="419D5AC7" w:rsidR="00CE7FC6" w:rsidRPr="000665B0" w:rsidRDefault="00F463CD" w:rsidP="006D5A65">
      <w:pPr>
        <w:pStyle w:val="Heading1"/>
      </w:pPr>
      <w:r w:rsidRPr="000665B0">
        <w:t>Reservation boxes</w:t>
      </w:r>
      <w:r w:rsidR="00E375B7" w:rsidRPr="000665B0">
        <w:t xml:space="preserve"> </w:t>
      </w:r>
      <w:r w:rsidR="000F3260" w:rsidRPr="000665B0">
        <w:t>with</w:t>
      </w:r>
      <w:r w:rsidR="00E375B7" w:rsidRPr="000665B0">
        <w:t xml:space="preserve"> a green border indicate that </w:t>
      </w:r>
      <w:r w:rsidR="003A5DA5" w:rsidRPr="000665B0">
        <w:t xml:space="preserve">inventory is available and </w:t>
      </w:r>
      <w:r w:rsidR="00300D58" w:rsidRPr="000665B0">
        <w:t>the Geofeasibil</w:t>
      </w:r>
      <w:r w:rsidR="00B307C5" w:rsidRPr="000665B0">
        <w:t>i</w:t>
      </w:r>
      <w:r w:rsidR="00300D58" w:rsidRPr="000665B0">
        <w:t>ty condition is Feasible</w:t>
      </w:r>
      <w:r w:rsidR="009E60FD" w:rsidRPr="000665B0">
        <w:t xml:space="preserve"> (the </w:t>
      </w:r>
      <w:r w:rsidR="00417023" w:rsidRPr="000665B0">
        <w:t xml:space="preserve">FRU’s </w:t>
      </w:r>
      <w:r w:rsidR="009E60FD" w:rsidRPr="000665B0">
        <w:t>PLP</w:t>
      </w:r>
      <w:r w:rsidR="009E60FD" w:rsidRPr="000665B0">
        <w:rPr>
          <w:szCs w:val="24"/>
        </w:rPr>
        <w:t xml:space="preserve"> is entirely contained within the launch area)</w:t>
      </w:r>
      <w:r w:rsidR="003A5DA5" w:rsidRPr="000665B0">
        <w:t>. A reservation can be made and the missions</w:t>
      </w:r>
      <w:r w:rsidR="003A2CEF" w:rsidRPr="000665B0">
        <w:t>,</w:t>
      </w:r>
      <w:r w:rsidR="003A5DA5" w:rsidRPr="000665B0">
        <w:t xml:space="preserve"> missiles</w:t>
      </w:r>
      <w:r w:rsidR="003A2CEF" w:rsidRPr="000665B0">
        <w:t>, or TSN Types</w:t>
      </w:r>
      <w:r w:rsidR="003A5DA5" w:rsidRPr="000665B0">
        <w:t xml:space="preserve"> that are dragged and dropped </w:t>
      </w:r>
      <w:r w:rsidR="003A5DA5" w:rsidRPr="000665B0">
        <w:rPr>
          <w:i/>
        </w:rPr>
        <w:t>will be accepted</w:t>
      </w:r>
      <w:r w:rsidR="003A5DA5" w:rsidRPr="000665B0">
        <w:t>.</w:t>
      </w:r>
    </w:p>
    <w:p w14:paraId="2E14A8FF" w14:textId="10CAD224" w:rsidR="00F8616F" w:rsidRPr="000665B0" w:rsidRDefault="00300D58" w:rsidP="00474A1F">
      <w:pPr>
        <w:pStyle w:val="Number0205"/>
        <w:tabs>
          <w:tab w:val="left" w:pos="720"/>
        </w:tabs>
        <w:ind w:left="0" w:firstLine="0"/>
        <w:jc w:val="center"/>
      </w:pPr>
      <w:r w:rsidRPr="000665B0">
        <w:rPr>
          <w:noProof/>
        </w:rPr>
        <w:drawing>
          <wp:inline distT="0" distB="0" distL="0" distR="0" wp14:anchorId="41F27A80" wp14:editId="4FE186BA">
            <wp:extent cx="457200" cy="192024"/>
            <wp:effectExtent l="0" t="0" r="0" b="0"/>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 cy="192024"/>
                    </a:xfrm>
                    <a:prstGeom prst="rect">
                      <a:avLst/>
                    </a:prstGeom>
                  </pic:spPr>
                </pic:pic>
              </a:graphicData>
            </a:graphic>
          </wp:inline>
        </w:drawing>
      </w:r>
    </w:p>
    <w:p w14:paraId="3D9B7B15" w14:textId="4CB050A5" w:rsidR="002F326E" w:rsidRPr="000665B0" w:rsidRDefault="002F326E" w:rsidP="006D5A65">
      <w:pPr>
        <w:pStyle w:val="Heading1"/>
      </w:pPr>
      <w:r w:rsidRPr="000665B0">
        <w:t xml:space="preserve">Reservation boxes with a yellow border indicate that </w:t>
      </w:r>
      <w:r w:rsidR="00300D58" w:rsidRPr="000665B0">
        <w:t>inventory is available and the Geofeasibil</w:t>
      </w:r>
      <w:r w:rsidR="00B307C5" w:rsidRPr="000665B0">
        <w:t>i</w:t>
      </w:r>
      <w:r w:rsidR="00300D58" w:rsidRPr="000665B0">
        <w:t>ty condition is Partial</w:t>
      </w:r>
      <w:r w:rsidR="009E60FD" w:rsidRPr="000665B0">
        <w:t xml:space="preserve"> (the </w:t>
      </w:r>
      <w:r w:rsidR="00417023" w:rsidRPr="000665B0">
        <w:t xml:space="preserve">FRU’s </w:t>
      </w:r>
      <w:r w:rsidR="009E60FD" w:rsidRPr="000665B0">
        <w:t>PLP</w:t>
      </w:r>
      <w:r w:rsidR="009E60FD" w:rsidRPr="000665B0">
        <w:rPr>
          <w:szCs w:val="24"/>
        </w:rPr>
        <w:t xml:space="preserve"> is partially contained within the launch area)</w:t>
      </w:r>
      <w:r w:rsidR="00300D58" w:rsidRPr="000665B0">
        <w:t>. A reservation can be made and the missions</w:t>
      </w:r>
      <w:r w:rsidR="003A2CEF" w:rsidRPr="000665B0">
        <w:t>,</w:t>
      </w:r>
      <w:r w:rsidR="00300D58" w:rsidRPr="000665B0">
        <w:t xml:space="preserve"> missiles</w:t>
      </w:r>
      <w:r w:rsidR="003A2CEF" w:rsidRPr="000665B0">
        <w:t>, or TSN Types</w:t>
      </w:r>
      <w:r w:rsidR="00300D58" w:rsidRPr="000665B0">
        <w:t xml:space="preserve"> that are dragged and dropped </w:t>
      </w:r>
      <w:r w:rsidR="00300D58" w:rsidRPr="000665B0">
        <w:rPr>
          <w:i/>
        </w:rPr>
        <w:t>will be accepted</w:t>
      </w:r>
      <w:r w:rsidR="00300D58" w:rsidRPr="000665B0">
        <w:t>.</w:t>
      </w:r>
    </w:p>
    <w:p w14:paraId="10CDB930" w14:textId="740737E0" w:rsidR="002F326E" w:rsidRPr="000665B0" w:rsidRDefault="00300D58" w:rsidP="002F326E">
      <w:pPr>
        <w:pStyle w:val="Number0205"/>
        <w:tabs>
          <w:tab w:val="left" w:pos="720"/>
        </w:tabs>
        <w:ind w:left="0" w:firstLine="0"/>
        <w:jc w:val="center"/>
      </w:pPr>
      <w:r w:rsidRPr="000665B0">
        <w:rPr>
          <w:noProof/>
        </w:rPr>
        <w:drawing>
          <wp:inline distT="0" distB="0" distL="0" distR="0" wp14:anchorId="4D6AFA8C" wp14:editId="247FB944">
            <wp:extent cx="457200" cy="182880"/>
            <wp:effectExtent l="0" t="0" r="0" b="0"/>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 cy="182880"/>
                    </a:xfrm>
                    <a:prstGeom prst="rect">
                      <a:avLst/>
                    </a:prstGeom>
                  </pic:spPr>
                </pic:pic>
              </a:graphicData>
            </a:graphic>
          </wp:inline>
        </w:drawing>
      </w:r>
    </w:p>
    <w:p w14:paraId="2165207E" w14:textId="2312A74E" w:rsidR="00F8616F" w:rsidRPr="000665B0" w:rsidRDefault="00F463CD" w:rsidP="006D5A65">
      <w:pPr>
        <w:pStyle w:val="Heading1"/>
      </w:pPr>
      <w:r w:rsidRPr="000665B0">
        <w:t>Reservation b</w:t>
      </w:r>
      <w:r w:rsidR="00F8616F" w:rsidRPr="000665B0">
        <w:t xml:space="preserve">oxes with a black border </w:t>
      </w:r>
      <w:r w:rsidR="00300D58" w:rsidRPr="000665B0">
        <w:t>indicate that inventory is available and the Geofeasibil</w:t>
      </w:r>
      <w:r w:rsidR="00B307C5" w:rsidRPr="000665B0">
        <w:t>i</w:t>
      </w:r>
      <w:r w:rsidR="00300D58" w:rsidRPr="000665B0">
        <w:t>ty condition is Unknown</w:t>
      </w:r>
      <w:r w:rsidR="009E60FD" w:rsidRPr="000665B0">
        <w:t xml:space="preserve"> (the FRU has not yet been assigned a PLP, the PLP or mission is missing from the database, or the reservation[s] include[s] a non-mission reservation [TMPR or LMO])</w:t>
      </w:r>
      <w:r w:rsidR="00300D58" w:rsidRPr="000665B0">
        <w:t>. A reservation can be made and the missions</w:t>
      </w:r>
      <w:r w:rsidR="003A2CEF" w:rsidRPr="000665B0">
        <w:t>,</w:t>
      </w:r>
      <w:r w:rsidR="00300D58" w:rsidRPr="000665B0">
        <w:t xml:space="preserve"> missiles</w:t>
      </w:r>
      <w:r w:rsidR="003A2CEF" w:rsidRPr="000665B0">
        <w:t>, or TSN Types</w:t>
      </w:r>
      <w:r w:rsidR="00300D58" w:rsidRPr="000665B0">
        <w:t xml:space="preserve"> that are dragged and dropped </w:t>
      </w:r>
      <w:r w:rsidR="00300D58" w:rsidRPr="000665B0">
        <w:rPr>
          <w:i/>
        </w:rPr>
        <w:t>will be accepted</w:t>
      </w:r>
      <w:r w:rsidR="00300D58" w:rsidRPr="000665B0">
        <w:t>.</w:t>
      </w:r>
    </w:p>
    <w:p w14:paraId="3F9C3806" w14:textId="1E6418DE" w:rsidR="00F8616F" w:rsidRPr="000665B0" w:rsidRDefault="00300D58" w:rsidP="0058307F">
      <w:pPr>
        <w:pStyle w:val="Number0205"/>
        <w:tabs>
          <w:tab w:val="left" w:pos="720"/>
        </w:tabs>
        <w:ind w:left="0" w:firstLine="0"/>
        <w:jc w:val="center"/>
      </w:pPr>
      <w:r w:rsidRPr="000665B0">
        <w:rPr>
          <w:noProof/>
        </w:rPr>
        <w:drawing>
          <wp:inline distT="0" distB="0" distL="0" distR="0" wp14:anchorId="3D984E99" wp14:editId="7C2636EB">
            <wp:extent cx="457200" cy="173736"/>
            <wp:effectExtent l="0" t="0" r="0" b="0"/>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 cy="173736"/>
                    </a:xfrm>
                    <a:prstGeom prst="rect">
                      <a:avLst/>
                    </a:prstGeom>
                  </pic:spPr>
                </pic:pic>
              </a:graphicData>
            </a:graphic>
          </wp:inline>
        </w:drawing>
      </w:r>
    </w:p>
    <w:p w14:paraId="05B7EA15" w14:textId="1DA91B41" w:rsidR="00F8616F" w:rsidRPr="000665B0" w:rsidRDefault="00F463CD" w:rsidP="006D5A65">
      <w:pPr>
        <w:pStyle w:val="Heading1"/>
      </w:pPr>
      <w:r w:rsidRPr="000665B0">
        <w:t>Reservation b</w:t>
      </w:r>
      <w:r w:rsidR="00F8616F" w:rsidRPr="000665B0">
        <w:t xml:space="preserve">oxes with a </w:t>
      </w:r>
      <w:r w:rsidR="002F326E" w:rsidRPr="000665B0">
        <w:t xml:space="preserve">red </w:t>
      </w:r>
      <w:r w:rsidR="00F8616F" w:rsidRPr="000665B0">
        <w:t xml:space="preserve">border </w:t>
      </w:r>
      <w:r w:rsidR="00300D58" w:rsidRPr="000665B0">
        <w:t>indicate that inventory is available and the Geofeasibil</w:t>
      </w:r>
      <w:r w:rsidR="00B307C5" w:rsidRPr="000665B0">
        <w:t>i</w:t>
      </w:r>
      <w:r w:rsidR="00300D58" w:rsidRPr="000665B0">
        <w:t>ty condition is Infeasible</w:t>
      </w:r>
      <w:r w:rsidR="009E60FD" w:rsidRPr="000665B0">
        <w:t xml:space="preserve"> (the </w:t>
      </w:r>
      <w:r w:rsidR="00417023" w:rsidRPr="000665B0">
        <w:t xml:space="preserve">FRU’s </w:t>
      </w:r>
      <w:r w:rsidR="009E60FD" w:rsidRPr="000665B0">
        <w:t>PLP is entirely outside of the launch area)</w:t>
      </w:r>
      <w:r w:rsidR="00300D58" w:rsidRPr="000665B0">
        <w:t>. A reservation can be made and the missions</w:t>
      </w:r>
      <w:r w:rsidR="003A2CEF" w:rsidRPr="000665B0">
        <w:t>,</w:t>
      </w:r>
      <w:r w:rsidR="00300D58" w:rsidRPr="000665B0">
        <w:t xml:space="preserve"> missiles</w:t>
      </w:r>
      <w:r w:rsidR="003A2CEF" w:rsidRPr="000665B0">
        <w:t>, or TSN Types</w:t>
      </w:r>
      <w:r w:rsidR="00300D58" w:rsidRPr="000665B0">
        <w:t xml:space="preserve"> that are dragged and dropped </w:t>
      </w:r>
      <w:r w:rsidR="00300D58" w:rsidRPr="000665B0">
        <w:rPr>
          <w:i/>
        </w:rPr>
        <w:t>will be accepted</w:t>
      </w:r>
      <w:r w:rsidR="00300D58" w:rsidRPr="000665B0">
        <w:t>.</w:t>
      </w:r>
    </w:p>
    <w:p w14:paraId="42DC770D" w14:textId="5E865A49" w:rsidR="00417023" w:rsidRPr="000665B0" w:rsidRDefault="00300D58" w:rsidP="00597636">
      <w:pPr>
        <w:pStyle w:val="Number0205"/>
        <w:tabs>
          <w:tab w:val="left" w:pos="720"/>
        </w:tabs>
        <w:ind w:left="0" w:firstLine="0"/>
        <w:jc w:val="center"/>
      </w:pPr>
      <w:r w:rsidRPr="000665B0">
        <w:rPr>
          <w:noProof/>
        </w:rPr>
        <w:drawing>
          <wp:inline distT="0" distB="0" distL="0" distR="0" wp14:anchorId="16475DE1" wp14:editId="1B77F89B">
            <wp:extent cx="457200" cy="173736"/>
            <wp:effectExtent l="0" t="0" r="0" b="0"/>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 cy="173736"/>
                    </a:xfrm>
                    <a:prstGeom prst="rect">
                      <a:avLst/>
                    </a:prstGeom>
                  </pic:spPr>
                </pic:pic>
              </a:graphicData>
            </a:graphic>
          </wp:inline>
        </w:drawing>
      </w:r>
    </w:p>
    <w:p w14:paraId="7EB60EBA" w14:textId="77777777" w:rsidR="00417023" w:rsidRPr="000665B0" w:rsidRDefault="00417023" w:rsidP="00597636">
      <w:pPr>
        <w:pStyle w:val="bullet11"/>
        <w:pageBreakBefore/>
        <w:pBdr>
          <w:top w:val="single" w:sz="12" w:space="1" w:color="auto"/>
          <w:left w:val="single" w:sz="12" w:space="4" w:color="auto"/>
          <w:bottom w:val="single" w:sz="12" w:space="1" w:color="auto"/>
          <w:right w:val="single" w:sz="12" w:space="4" w:color="auto"/>
        </w:pBdr>
        <w:shd w:val="clear" w:color="auto" w:fill="F3F3F3"/>
        <w:tabs>
          <w:tab w:val="left" w:pos="720"/>
        </w:tabs>
        <w:spacing w:before="0" w:beforeAutospacing="0" w:after="120" w:afterAutospacing="0"/>
        <w:rPr>
          <w:b/>
        </w:rPr>
      </w:pPr>
      <w:r w:rsidRPr="000665B0">
        <w:rPr>
          <w:rFonts w:ascii="Arial" w:hAnsi="Arial" w:cs="Arial"/>
          <w:noProof/>
          <w:sz w:val="20"/>
        </w:rPr>
        <w:lastRenderedPageBreak/>
        <w:drawing>
          <wp:inline distT="0" distB="0" distL="0" distR="0" wp14:anchorId="2F0E56F9" wp14:editId="5493E3FD">
            <wp:extent cx="352425" cy="381000"/>
            <wp:effectExtent l="0" t="0" r="9525" b="0"/>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Pr="000665B0">
        <w:rPr>
          <w:b/>
        </w:rPr>
        <w:t xml:space="preserve">TIP: To view the Legend for the FRUs pane, select View </w:t>
      </w:r>
      <w:r w:rsidRPr="000665B0">
        <w:sym w:font="Wingdings" w:char="F0E0"/>
      </w:r>
      <w:r w:rsidRPr="000665B0">
        <w:rPr>
          <w:b/>
        </w:rPr>
        <w:t xml:space="preserve"> Legend.</w:t>
      </w:r>
    </w:p>
    <w:p w14:paraId="4EFD8C8E" w14:textId="77777777" w:rsidR="00417023" w:rsidRPr="000665B0" w:rsidRDefault="00417023" w:rsidP="00AC2F7D">
      <w:pPr>
        <w:pStyle w:val="bullet11"/>
        <w:pBdr>
          <w:top w:val="single" w:sz="12" w:space="1" w:color="auto"/>
          <w:left w:val="single" w:sz="12" w:space="4" w:color="auto"/>
          <w:bottom w:val="single" w:sz="12" w:space="1" w:color="auto"/>
          <w:right w:val="single" w:sz="12" w:space="4" w:color="auto"/>
        </w:pBdr>
        <w:shd w:val="clear" w:color="auto" w:fill="F3F3F3"/>
        <w:tabs>
          <w:tab w:val="left" w:pos="720"/>
        </w:tabs>
        <w:spacing w:before="0" w:beforeAutospacing="0" w:after="0" w:afterAutospacing="0"/>
        <w:jc w:val="center"/>
        <w:rPr>
          <w:b/>
        </w:rPr>
      </w:pPr>
      <w:r w:rsidRPr="000665B0">
        <w:rPr>
          <w:noProof/>
        </w:rPr>
        <w:drawing>
          <wp:inline distT="0" distB="0" distL="0" distR="0" wp14:anchorId="669BFC65" wp14:editId="0181E3D4">
            <wp:extent cx="2743200" cy="237744"/>
            <wp:effectExtent l="0" t="0" r="0" b="0"/>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37744"/>
                    </a:xfrm>
                    <a:prstGeom prst="rect">
                      <a:avLst/>
                    </a:prstGeom>
                  </pic:spPr>
                </pic:pic>
              </a:graphicData>
            </a:graphic>
          </wp:inline>
        </w:drawing>
      </w:r>
    </w:p>
    <w:p w14:paraId="7B9BDD59" w14:textId="70269EC0" w:rsidR="00F8616F" w:rsidRPr="000665B0" w:rsidRDefault="00F8616F" w:rsidP="00AC2F7D">
      <w:pPr>
        <w:pStyle w:val="bullet11"/>
        <w:pBdr>
          <w:top w:val="single" w:sz="12" w:space="1" w:color="auto"/>
          <w:left w:val="single" w:sz="12" w:space="4" w:color="auto"/>
          <w:bottom w:val="single" w:sz="12" w:space="1" w:color="auto"/>
          <w:right w:val="single" w:sz="12" w:space="4" w:color="auto"/>
        </w:pBdr>
        <w:shd w:val="clear" w:color="auto" w:fill="F3F3F3"/>
        <w:tabs>
          <w:tab w:val="left" w:pos="720"/>
        </w:tabs>
        <w:spacing w:before="0" w:beforeAutospacing="0" w:after="0" w:afterAutospacing="0"/>
        <w:jc w:val="center"/>
        <w:rPr>
          <w:b/>
        </w:rPr>
      </w:pPr>
    </w:p>
    <w:p w14:paraId="23B537B1" w14:textId="77777777" w:rsidR="002F21B8" w:rsidRPr="000665B0" w:rsidRDefault="00CA6832" w:rsidP="006D5A65">
      <w:pPr>
        <w:pStyle w:val="Heading1"/>
      </w:pPr>
      <w:r w:rsidRPr="000665B0">
        <w:t xml:space="preserve">If missile requirement assignments were previously made in the </w:t>
      </w:r>
      <w:r w:rsidRPr="000665B0">
        <w:rPr>
          <w:i/>
        </w:rPr>
        <w:t>Missions</w:t>
      </w:r>
      <w:r w:rsidRPr="000665B0">
        <w:t xml:space="preserve"> or </w:t>
      </w:r>
      <w:r w:rsidRPr="000665B0">
        <w:rPr>
          <w:i/>
        </w:rPr>
        <w:t>Arsenal</w:t>
      </w:r>
      <w:r w:rsidRPr="000665B0">
        <w:t xml:space="preserve"> tabs, these assignments must be completed. These appear as blue text in the Missiles Tree View pane list view.</w:t>
      </w:r>
      <w:r w:rsidR="002F21B8" w:rsidRPr="000665B0">
        <w:t xml:space="preserve"> Once enough missiles </w:t>
      </w:r>
      <w:r w:rsidRPr="000665B0">
        <w:t xml:space="preserve">have been assigned </w:t>
      </w:r>
      <w:r w:rsidR="002F21B8" w:rsidRPr="000665B0">
        <w:t>to meet the required condition, the list view item’s text reverts to its default color</w:t>
      </w:r>
      <w:r w:rsidRPr="000665B0">
        <w:t>.</w:t>
      </w:r>
    </w:p>
    <w:p w14:paraId="7A2637EC" w14:textId="589D3507" w:rsidR="00ED09C5" w:rsidRPr="000665B0" w:rsidRDefault="00DC1223" w:rsidP="006D5A65">
      <w:pPr>
        <w:pStyle w:val="Heading1"/>
      </w:pPr>
      <w:r w:rsidRPr="000665B0">
        <w:t>If desired, Missions can be assigned to Ghost tasking (</w:t>
      </w:r>
      <w:r w:rsidR="002C1999" w:rsidRPr="000665B0">
        <w:t xml:space="preserve">see </w:t>
      </w:r>
      <w:r w:rsidRPr="000665B0">
        <w:t xml:space="preserve">below). Otherwise, verify that each tasked target has at least one primary missile assigned. </w:t>
      </w:r>
      <w:r w:rsidR="00A65089" w:rsidRPr="000665B0">
        <w:t xml:space="preserve">Assignments can be removed or modified by selecting an item in the Missiles Tree View pane, </w:t>
      </w:r>
      <w:r w:rsidR="00D71804" w:rsidRPr="000665B0">
        <w:t>right-click</w:t>
      </w:r>
      <w:r w:rsidR="00A65089" w:rsidRPr="000665B0">
        <w:t xml:space="preserve">, and select Show Assignments. </w:t>
      </w:r>
      <w:r w:rsidR="004D6FF6" w:rsidRPr="000665B0">
        <w:t>Assignments</w:t>
      </w:r>
      <w:r w:rsidR="00A65089" w:rsidRPr="000665B0">
        <w:t xml:space="preserve"> displayed in the Assignments pane </w:t>
      </w:r>
      <w:r w:rsidR="00BB75EF" w:rsidRPr="000665B0">
        <w:t xml:space="preserve">have the same set of menu items in the context menu as are in the </w:t>
      </w:r>
      <w:r w:rsidR="00BB75EF" w:rsidRPr="000665B0">
        <w:rPr>
          <w:i/>
        </w:rPr>
        <w:t>Missiles</w:t>
      </w:r>
      <w:r w:rsidR="00BB75EF" w:rsidRPr="000665B0">
        <w:t xml:space="preserve"> tab. Hence, assignments can be removed or modified as one would in the </w:t>
      </w:r>
      <w:r w:rsidR="00BB75EF" w:rsidRPr="000665B0">
        <w:rPr>
          <w:i/>
        </w:rPr>
        <w:t>Missiles</w:t>
      </w:r>
      <w:r w:rsidR="00BB75EF" w:rsidRPr="000665B0">
        <w:t xml:space="preserve"> tab.</w:t>
      </w:r>
      <w:r w:rsidR="00A65089" w:rsidRPr="000665B0">
        <w:t xml:space="preserve"> </w:t>
      </w:r>
      <w:r w:rsidRPr="000665B0">
        <w:t xml:space="preserve">When assignments are complete, close the </w:t>
      </w:r>
      <w:r w:rsidRPr="000665B0">
        <w:rPr>
          <w:i/>
        </w:rPr>
        <w:t>PM3 for Strike Option</w:t>
      </w:r>
      <w:r w:rsidRPr="000665B0">
        <w:t xml:space="preserve"> window. </w:t>
      </w:r>
    </w:p>
    <w:p w14:paraId="50520580" w14:textId="2A5FA7B8" w:rsidR="00651758" w:rsidRPr="000665B0" w:rsidRDefault="00651758" w:rsidP="006D5A65">
      <w:pPr>
        <w:pStyle w:val="Heading1"/>
      </w:pPr>
      <w:r w:rsidRPr="000665B0">
        <w:t>If Fine Alignment is required for the mission, “FINE” is displayed before the listing of missiles needed/assigned and the system does not allow the mission to be assigned to a legacy TTWCS</w:t>
      </w:r>
      <w:r w:rsidR="003A2CEF" w:rsidRPr="000665B0">
        <w:t>.</w:t>
      </w:r>
    </w:p>
    <w:p w14:paraId="32B21882" w14:textId="3E6CEC49" w:rsidR="003A2CEF" w:rsidRPr="000665B0" w:rsidRDefault="003A2CEF" w:rsidP="003A2CEF">
      <w:pPr>
        <w:pStyle w:val="Number0205"/>
        <w:tabs>
          <w:tab w:val="left" w:pos="720"/>
        </w:tabs>
        <w:ind w:left="0" w:firstLine="0"/>
        <w:jc w:val="center"/>
      </w:pPr>
      <w:r w:rsidRPr="000665B0">
        <w:rPr>
          <w:noProof/>
        </w:rPr>
        <w:drawing>
          <wp:inline distT="0" distB="0" distL="0" distR="0" wp14:anchorId="73B183BC" wp14:editId="02A93E88">
            <wp:extent cx="2865120" cy="414859"/>
            <wp:effectExtent l="0" t="0" r="0" b="0"/>
            <wp:docPr id="2101" name="Picture 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926733" cy="423780"/>
                    </a:xfrm>
                    <a:prstGeom prst="rect">
                      <a:avLst/>
                    </a:prstGeom>
                  </pic:spPr>
                </pic:pic>
              </a:graphicData>
            </a:graphic>
          </wp:inline>
        </w:drawing>
      </w:r>
    </w:p>
    <w:p w14:paraId="273C4289" w14:textId="652FCB59" w:rsidR="00BA36BF" w:rsidRPr="000665B0" w:rsidRDefault="00BA36BF" w:rsidP="006D5A65">
      <w:pPr>
        <w:pStyle w:val="Heading1"/>
      </w:pPr>
      <w:r w:rsidRPr="000665B0">
        <w:t xml:space="preserve">After closing the </w:t>
      </w:r>
      <w:r w:rsidRPr="000665B0">
        <w:rPr>
          <w:i/>
        </w:rPr>
        <w:t>PM3 for Strike Option</w:t>
      </w:r>
      <w:r w:rsidRPr="000665B0">
        <w:t xml:space="preserve"> window, </w:t>
      </w:r>
      <w:r w:rsidRPr="000665B0">
        <w:rPr>
          <w:szCs w:val="24"/>
        </w:rPr>
        <w:t xml:space="preserve">click on the Save </w:t>
      </w:r>
      <w:r w:rsidRPr="000665B0">
        <w:rPr>
          <w:rFonts w:ascii="Wingdings" w:hAnsi="Wingdings" w:cs="Wingdings"/>
          <w:szCs w:val="24"/>
        </w:rPr>
        <w:t></w:t>
      </w:r>
      <w:r w:rsidRPr="000665B0">
        <w:rPr>
          <w:szCs w:val="24"/>
        </w:rPr>
        <w:t xml:space="preserve"> icon or select the </w:t>
      </w:r>
      <w:r w:rsidRPr="000665B0">
        <w:rPr>
          <w:bCs/>
          <w:szCs w:val="24"/>
        </w:rPr>
        <w:t>Save</w:t>
      </w:r>
      <w:r w:rsidRPr="000665B0">
        <w:rPr>
          <w:szCs w:val="24"/>
        </w:rPr>
        <w:t xml:space="preserve"> option from the </w:t>
      </w:r>
      <w:r w:rsidRPr="000665B0">
        <w:rPr>
          <w:bCs/>
          <w:szCs w:val="24"/>
        </w:rPr>
        <w:t>File</w:t>
      </w:r>
      <w:r w:rsidRPr="000665B0">
        <w:rPr>
          <w:szCs w:val="24"/>
        </w:rPr>
        <w:t xml:space="preserve"> pull down menu.</w:t>
      </w:r>
      <w:r w:rsidR="005B5C73" w:rsidRPr="000665B0">
        <w:rPr>
          <w:szCs w:val="24"/>
        </w:rPr>
        <w:t xml:space="preserve"> </w:t>
      </w:r>
      <w:r w:rsidR="005B5C73" w:rsidRPr="000665B0">
        <w:t>If only some attack plan missions for a specific attack plan ID have been assigned a primary missile and others do not have at least one primary missile assigned, upon exiting, the operator is required to either go back and continue to assign missiles, or to exit and remove all primary assignments to those other missions.</w:t>
      </w:r>
    </w:p>
    <w:p w14:paraId="4DD14787" w14:textId="77777777" w:rsidR="00ED09C5" w:rsidRPr="000665B0" w:rsidRDefault="00ED09C5" w:rsidP="003A2CEF">
      <w:pPr>
        <w:keepNext/>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p>
    <w:p w14:paraId="70B1E400" w14:textId="77777777" w:rsidR="00ED09C5" w:rsidRPr="000665B0" w:rsidRDefault="00ED09C5" w:rsidP="00474A1F">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When Missions are selected in the Missiles Tree View pane, the least-cost missile available is assigned to the selected FRU. When Missiles are selected in the Missiles Tree View pane, the selected miscode is assigned to the selected FRU.</w:t>
      </w:r>
    </w:p>
    <w:p w14:paraId="7384CBA8" w14:textId="77777777" w:rsidR="00ED09C5" w:rsidRPr="000665B0" w:rsidRDefault="00ED09C5" w:rsidP="00172AD0">
      <w:pPr>
        <w:tabs>
          <w:tab w:val="left" w:pos="720"/>
        </w:tabs>
        <w:spacing w:after="0" w:line="240" w:lineRule="auto"/>
      </w:pPr>
    </w:p>
    <w:p w14:paraId="4885EF61" w14:textId="37029E26" w:rsidR="00097BB6" w:rsidRPr="000665B0" w:rsidRDefault="009A1FDF" w:rsidP="00474A1F">
      <w:pPr>
        <w:pStyle w:val="bullet11"/>
        <w:pBdr>
          <w:top w:val="single" w:sz="12" w:space="1" w:color="auto"/>
          <w:left w:val="single" w:sz="12" w:space="4" w:color="auto"/>
          <w:bottom w:val="single" w:sz="12" w:space="1" w:color="auto"/>
          <w:right w:val="single" w:sz="12" w:space="4" w:color="auto"/>
        </w:pBdr>
        <w:shd w:val="clear" w:color="auto" w:fill="F3F3F3"/>
        <w:tabs>
          <w:tab w:val="left" w:pos="720"/>
        </w:tabs>
        <w:spacing w:before="0" w:beforeAutospacing="0" w:after="120" w:afterAutospacing="0"/>
        <w:rPr>
          <w:b/>
        </w:rPr>
      </w:pPr>
      <w:r w:rsidRPr="000665B0">
        <w:rPr>
          <w:rFonts w:ascii="Arial" w:hAnsi="Arial" w:cs="Arial"/>
          <w:noProof/>
          <w:sz w:val="20"/>
        </w:rPr>
        <w:lastRenderedPageBreak/>
        <w:drawing>
          <wp:inline distT="0" distB="0" distL="0" distR="0" wp14:anchorId="389CDE5C" wp14:editId="233027D0">
            <wp:extent cx="352425" cy="381000"/>
            <wp:effectExtent l="0" t="0" r="9525" b="0"/>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097BB6" w:rsidRPr="000665B0">
        <w:rPr>
          <w:b/>
        </w:rPr>
        <w:t>TIP: SSNs do not have Auto Ready Spare capability. When assigning Spares to a</w:t>
      </w:r>
      <w:r w:rsidR="00122686" w:rsidRPr="000665B0">
        <w:rPr>
          <w:b/>
        </w:rPr>
        <w:t>n</w:t>
      </w:r>
      <w:r w:rsidR="00097BB6" w:rsidRPr="000665B0">
        <w:rPr>
          <w:b/>
        </w:rPr>
        <w:t xml:space="preserve"> SSN</w:t>
      </w:r>
      <w:r w:rsidR="00122686" w:rsidRPr="000665B0">
        <w:rPr>
          <w:b/>
        </w:rPr>
        <w:t>,</w:t>
      </w:r>
      <w:r w:rsidR="00097BB6" w:rsidRPr="000665B0">
        <w:rPr>
          <w:b/>
        </w:rPr>
        <w:t xml:space="preserve"> the operator should use Ready Spares and not Auto Ready Spares. In addition</w:t>
      </w:r>
      <w:r w:rsidR="00DC1223" w:rsidRPr="000665B0">
        <w:rPr>
          <w:b/>
        </w:rPr>
        <w:t>,</w:t>
      </w:r>
      <w:r w:rsidR="00097BB6" w:rsidRPr="000665B0">
        <w:rPr>
          <w:b/>
        </w:rPr>
        <w:t xml:space="preserve"> Auto Ready Spares should not be reassigned to a</w:t>
      </w:r>
      <w:r w:rsidR="00122686" w:rsidRPr="000665B0">
        <w:rPr>
          <w:b/>
        </w:rPr>
        <w:t>n</w:t>
      </w:r>
      <w:r w:rsidR="00097BB6" w:rsidRPr="000665B0">
        <w:rPr>
          <w:b/>
        </w:rPr>
        <w:t xml:space="preserve"> SSN.</w:t>
      </w:r>
    </w:p>
    <w:p w14:paraId="553D461C" w14:textId="78A29B27" w:rsidR="00DC1223" w:rsidRPr="000665B0" w:rsidRDefault="00DC1223" w:rsidP="00474A1F">
      <w:pPr>
        <w:pStyle w:val="BodyText"/>
        <w:tabs>
          <w:tab w:val="left" w:pos="720"/>
        </w:tabs>
        <w:spacing w:before="120" w:after="120"/>
      </w:pPr>
      <w:r w:rsidRPr="000665B0">
        <w:t xml:space="preserve">Missions can be assigned to Ghost tasking. A Mission may be assigned Ghost Tasking if the Mission might be used, but the targets are not currently tasked for immediate execution. The Mission may be quickly assigned later if required. </w:t>
      </w:r>
      <w:r w:rsidR="00407E13" w:rsidRPr="000665B0">
        <w:t>Missions that are part of an Attack Plan cannot be assigned to Ghost tasking.</w:t>
      </w:r>
    </w:p>
    <w:p w14:paraId="2AB79343" w14:textId="77777777" w:rsidR="00DC1223" w:rsidRPr="000665B0" w:rsidRDefault="00DC1223" w:rsidP="00474A1F">
      <w:pPr>
        <w:pStyle w:val="BodyText"/>
        <w:tabs>
          <w:tab w:val="left" w:pos="720"/>
        </w:tabs>
        <w:spacing w:after="120"/>
      </w:pPr>
      <w:r w:rsidRPr="000665B0">
        <w:t xml:space="preserve">To assign missions to </w:t>
      </w:r>
      <w:r w:rsidRPr="000665B0">
        <w:rPr>
          <w:b/>
        </w:rPr>
        <w:t>Ghost</w:t>
      </w:r>
      <w:r w:rsidRPr="000665B0">
        <w:t xml:space="preserve">: </w:t>
      </w:r>
    </w:p>
    <w:p w14:paraId="5F994B2D" w14:textId="2EF55F9A" w:rsidR="00DC1223" w:rsidRPr="000665B0" w:rsidRDefault="00DC1223" w:rsidP="006D5A65">
      <w:pPr>
        <w:pStyle w:val="Heading1"/>
      </w:pPr>
      <w:r w:rsidRPr="000665B0">
        <w:t xml:space="preserve">In the </w:t>
      </w:r>
      <w:r w:rsidR="00A65089" w:rsidRPr="000665B0">
        <w:t>Missiles Tree View</w:t>
      </w:r>
      <w:r w:rsidRPr="000665B0">
        <w:t xml:space="preserve"> pane, select the desired Mission(s), invoke the context menu (</w:t>
      </w:r>
      <w:r w:rsidR="00D71804" w:rsidRPr="000665B0">
        <w:t>right-click</w:t>
      </w:r>
      <w:r w:rsidRPr="000665B0">
        <w:t xml:space="preserve"> the mouse</w:t>
      </w:r>
      <w:r w:rsidR="00A65089" w:rsidRPr="000665B0">
        <w:t>)</w:t>
      </w:r>
      <w:r w:rsidRPr="000665B0">
        <w:t>, and select Assign Ghost.</w:t>
      </w:r>
    </w:p>
    <w:p w14:paraId="16E5F563" w14:textId="77777777" w:rsidR="00A65089" w:rsidRPr="000665B0" w:rsidRDefault="00A65089" w:rsidP="00E7111D">
      <w:pPr>
        <w:pStyle w:val="Number0205"/>
        <w:ind w:left="360" w:firstLine="0"/>
      </w:pPr>
      <w:r w:rsidRPr="000665B0">
        <w:t>or</w:t>
      </w:r>
    </w:p>
    <w:p w14:paraId="0F0389FF" w14:textId="77777777" w:rsidR="00DC1223" w:rsidRPr="000665B0" w:rsidRDefault="00A65089" w:rsidP="006D5A65">
      <w:pPr>
        <w:pStyle w:val="Heading1"/>
        <w:rPr>
          <w:szCs w:val="24"/>
        </w:rPr>
      </w:pPr>
      <w:r w:rsidRPr="000665B0">
        <w:t>Select the desired Mission and drag and drop it into the GHOST MISSIONS box in the FRUs pane. Boxes outlined with a green border around the reservation type of assignment indicate that a reservation is available to be made and will accept missions or missiles that are dragged and dropped into the box</w:t>
      </w:r>
      <w:r w:rsidR="00DC1223" w:rsidRPr="000665B0">
        <w:rPr>
          <w:szCs w:val="24"/>
        </w:rPr>
        <w:t>.</w:t>
      </w:r>
    </w:p>
    <w:p w14:paraId="15D1A380" w14:textId="77777777" w:rsidR="00BA36BF" w:rsidRPr="000665B0" w:rsidRDefault="00BA36BF" w:rsidP="006D5A65">
      <w:pPr>
        <w:pStyle w:val="Heading1"/>
      </w:pPr>
      <w:r w:rsidRPr="000665B0">
        <w:t xml:space="preserve">When assignments are complete, close the </w:t>
      </w:r>
      <w:r w:rsidRPr="000665B0">
        <w:rPr>
          <w:i/>
        </w:rPr>
        <w:t>PM3 for Strike Option</w:t>
      </w:r>
      <w:r w:rsidRPr="000665B0">
        <w:t xml:space="preserve"> window. </w:t>
      </w:r>
    </w:p>
    <w:p w14:paraId="267A3141" w14:textId="3453D077" w:rsidR="00BA36BF" w:rsidRPr="000665B0" w:rsidRDefault="00BA36BF" w:rsidP="006D5A65">
      <w:pPr>
        <w:pStyle w:val="Heading1"/>
      </w:pPr>
      <w:r w:rsidRPr="000665B0">
        <w:t xml:space="preserve">After closing the </w:t>
      </w:r>
      <w:r w:rsidRPr="000665B0">
        <w:rPr>
          <w:i/>
        </w:rPr>
        <w:t>PM3 for Strike Option</w:t>
      </w:r>
      <w:r w:rsidRPr="000665B0">
        <w:t xml:space="preserve"> window, click on the Save </w:t>
      </w:r>
      <w:r w:rsidRPr="000665B0">
        <w:rPr>
          <w:rFonts w:ascii="Wingdings" w:hAnsi="Wingdings" w:cs="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77C2D18C" w14:textId="77777777" w:rsidR="004B0289" w:rsidRPr="000665B0" w:rsidRDefault="004B0289" w:rsidP="003D3739">
      <w:pPr>
        <w:keepNext/>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bCs/>
        </w:rPr>
        <w:t xml:space="preserve">Note: </w:t>
      </w:r>
    </w:p>
    <w:p w14:paraId="07EDE8F7" w14:textId="1239DDEF" w:rsidR="004B0289" w:rsidRPr="000665B0" w:rsidRDefault="004B0289" w:rsidP="003D3739">
      <w:pPr>
        <w:keepNext/>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 xml:space="preserve">There is a limitation associated with </w:t>
      </w:r>
      <w:r w:rsidR="001A107C" w:rsidRPr="000665B0">
        <w:rPr>
          <w:b/>
        </w:rPr>
        <w:t xml:space="preserve">109E </w:t>
      </w:r>
      <w:r w:rsidRPr="000665B0">
        <w:rPr>
          <w:b/>
        </w:rPr>
        <w:t>missions assigned to Ghost tasking under the following conditions:</w:t>
      </w:r>
    </w:p>
    <w:p w14:paraId="4D0EFE02" w14:textId="16AB38CB" w:rsidR="004B0289" w:rsidRPr="000665B0" w:rsidRDefault="004B0289" w:rsidP="003D3739">
      <w:pPr>
        <w:keepNext/>
        <w:pBdr>
          <w:top w:val="single" w:sz="12" w:space="1" w:color="auto"/>
          <w:left w:val="single" w:sz="12" w:space="4" w:color="auto"/>
          <w:bottom w:val="single" w:sz="12" w:space="1" w:color="auto"/>
          <w:right w:val="single" w:sz="12" w:space="4" w:color="auto"/>
        </w:pBdr>
        <w:shd w:val="clear" w:color="auto" w:fill="D9D9D9"/>
        <w:tabs>
          <w:tab w:val="left" w:pos="720"/>
        </w:tabs>
        <w:spacing w:after="0"/>
        <w:rPr>
          <w:b/>
        </w:rPr>
      </w:pPr>
      <w:r w:rsidRPr="000665B0">
        <w:rPr>
          <w:b/>
        </w:rPr>
        <w:t>1. A 109E Mission is assigned to ghost tasking and a TSN Type is selected (</w:t>
      </w:r>
      <w:r w:rsidR="00255AD7" w:rsidRPr="000665B0">
        <w:rPr>
          <w:b/>
        </w:rPr>
        <w:t>e.g.,</w:t>
      </w:r>
      <w:r w:rsidRPr="000665B0">
        <w:rPr>
          <w:b/>
        </w:rPr>
        <w:t xml:space="preserve"> DAMA).</w:t>
      </w:r>
      <w:r w:rsidRPr="000665B0">
        <w:rPr>
          <w:b/>
        </w:rPr>
        <w:br/>
        <w:t>2. The TSN Type is later changed (</w:t>
      </w:r>
      <w:r w:rsidR="00255AD7" w:rsidRPr="000665B0">
        <w:rPr>
          <w:b/>
        </w:rPr>
        <w:t>e.g.,</w:t>
      </w:r>
      <w:r w:rsidRPr="000665B0">
        <w:rPr>
          <w:b/>
        </w:rPr>
        <w:t xml:space="preserve"> switch</w:t>
      </w:r>
      <w:r w:rsidR="00A76EA5" w:rsidRPr="000665B0">
        <w:rPr>
          <w:b/>
        </w:rPr>
        <w:t>ed</w:t>
      </w:r>
      <w:r w:rsidRPr="000665B0">
        <w:rPr>
          <w:b/>
        </w:rPr>
        <w:t xml:space="preserve"> to ACA).</w:t>
      </w:r>
      <w:r w:rsidRPr="000665B0">
        <w:rPr>
          <w:b/>
        </w:rPr>
        <w:br/>
        <w:t>3. When the Ghost mission is assigned to a FRU, the TSN Type retains the original selection (e.g. DAMA).</w:t>
      </w:r>
    </w:p>
    <w:p w14:paraId="0E7139E7" w14:textId="77777777" w:rsidR="004B0289" w:rsidRPr="000665B0" w:rsidRDefault="004B0289" w:rsidP="000B625E">
      <w:pPr>
        <w:pStyle w:val="Number0205"/>
        <w:tabs>
          <w:tab w:val="left" w:pos="720"/>
        </w:tabs>
        <w:spacing w:after="0"/>
        <w:ind w:left="0" w:firstLine="0"/>
        <w:rPr>
          <w:szCs w:val="24"/>
        </w:rPr>
      </w:pPr>
    </w:p>
    <w:p w14:paraId="514834DA" w14:textId="77777777" w:rsidR="00DB52A6" w:rsidRPr="000665B0" w:rsidRDefault="00DB52A6" w:rsidP="003A2CEF">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lastRenderedPageBreak/>
        <w:t>Note:</w:t>
      </w:r>
    </w:p>
    <w:p w14:paraId="70EA6B16" w14:textId="0E7974F0" w:rsidR="00DB52A6" w:rsidRPr="000665B0" w:rsidRDefault="00DB52A6" w:rsidP="003A2CEF">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Prior to performing a Valid Platform List (VPL) update, all MDS Strike Folder, Option, and Execution windows should be closed and then re-opened following completion. If the updated VPL results in an insufficient number of Ghost Platforms to support existing Strike Options, manual updates are required to adjust the number of Ghost reservations within the Option to a maximum of 80 per VPL Ghost Platform.</w:t>
      </w:r>
    </w:p>
    <w:p w14:paraId="38C05697" w14:textId="20FB08A1" w:rsidR="005F7A03" w:rsidRPr="000665B0" w:rsidRDefault="005F7A03" w:rsidP="005A42A5">
      <w:pPr>
        <w:pStyle w:val="Heading5"/>
        <w:tabs>
          <w:tab w:val="left" w:pos="720"/>
        </w:tabs>
      </w:pPr>
      <w:bookmarkStart w:id="6424" w:name="_5.37.6.1.17__Auto"/>
      <w:bookmarkStart w:id="6425" w:name="_Toc289328883"/>
      <w:bookmarkEnd w:id="6424"/>
      <w:r w:rsidRPr="000665B0">
        <w:t>Auto PM3</w:t>
      </w:r>
      <w:bookmarkEnd w:id="6425"/>
    </w:p>
    <w:p w14:paraId="45C6BFBD" w14:textId="2B839CDD" w:rsidR="005F7A03" w:rsidRPr="000665B0" w:rsidRDefault="005F7A03" w:rsidP="00474A1F">
      <w:pPr>
        <w:pStyle w:val="BodyText"/>
        <w:tabs>
          <w:tab w:val="left" w:pos="720"/>
        </w:tabs>
        <w:spacing w:after="120"/>
      </w:pPr>
      <w:r w:rsidRPr="000665B0">
        <w:t xml:space="preserve">Auto PM3 uses an algorithm to automatically make missile assignments based on the Auto PM3 Parameters and the missiles required for each mission in the option. Missiles required are set on the </w:t>
      </w:r>
      <w:r w:rsidRPr="000665B0">
        <w:rPr>
          <w:b/>
          <w:i/>
        </w:rPr>
        <w:t>Missions</w:t>
      </w:r>
      <w:r w:rsidRPr="000665B0">
        <w:t xml:space="preserve"> tab </w:t>
      </w:r>
      <w:r w:rsidR="00C22724" w:rsidRPr="000665B0">
        <w:t xml:space="preserve">using </w:t>
      </w:r>
      <w:r w:rsidRPr="000665B0">
        <w:t>the edit context menu.</w:t>
      </w:r>
    </w:p>
    <w:p w14:paraId="74B68A2D" w14:textId="41AE871B" w:rsidR="005F7A03" w:rsidRPr="000665B0" w:rsidRDefault="005F7A03" w:rsidP="00474A1F">
      <w:pPr>
        <w:pStyle w:val="BodyText"/>
        <w:tabs>
          <w:tab w:val="left" w:pos="720"/>
        </w:tabs>
        <w:spacing w:after="120"/>
      </w:pPr>
      <w:r w:rsidRPr="000665B0">
        <w:t xml:space="preserve">Auto PM3 takes half module constraints into </w:t>
      </w:r>
      <w:r w:rsidR="00255AD7" w:rsidRPr="000665B0">
        <w:t>consideration and</w:t>
      </w:r>
      <w:r w:rsidRPr="000665B0">
        <w:t xml:space="preserve"> will not allocate missiles that are tagged as “Partially Operational</w:t>
      </w:r>
      <w:r w:rsidR="00AD04B4" w:rsidRPr="000665B0">
        <w:t>,</w:t>
      </w:r>
      <w:r w:rsidRPr="000665B0">
        <w:t>” “Non-Operational</w:t>
      </w:r>
      <w:r w:rsidR="00AD04B4" w:rsidRPr="000665B0">
        <w:t>,</w:t>
      </w:r>
      <w:r w:rsidRPr="000665B0">
        <w:t>” or “Not Available</w:t>
      </w:r>
      <w:r w:rsidR="00AD04B4" w:rsidRPr="000665B0">
        <w:t>.</w:t>
      </w:r>
      <w:r w:rsidRPr="000665B0">
        <w:t>” It also assumes that Primaries, Backups</w:t>
      </w:r>
      <w:r w:rsidR="00AD04B4" w:rsidRPr="000665B0">
        <w:t>,</w:t>
      </w:r>
      <w:r w:rsidRPr="000665B0">
        <w:t xml:space="preserve"> and Spares may be split between ships.</w:t>
      </w:r>
    </w:p>
    <w:p w14:paraId="1B23C993" w14:textId="7B873DC3" w:rsidR="007C79BF" w:rsidRPr="000665B0" w:rsidRDefault="007C79BF" w:rsidP="00474A1F">
      <w:pPr>
        <w:pStyle w:val="BodyText"/>
        <w:tabs>
          <w:tab w:val="left" w:pos="720"/>
        </w:tabs>
        <w:spacing w:after="120"/>
      </w:pPr>
      <w:r w:rsidRPr="000665B0">
        <w:t>Auto PM3 supports the MK57 modules</w:t>
      </w:r>
      <w:r w:rsidR="00A32391" w:rsidRPr="000665B0">
        <w:t xml:space="preserve"> </w:t>
      </w:r>
      <w:r w:rsidR="00243EBA" w:rsidRPr="000665B0">
        <w:t>for</w:t>
      </w:r>
      <w:r w:rsidR="00A32391" w:rsidRPr="000665B0">
        <w:t xml:space="preserve"> the </w:t>
      </w:r>
      <w:r w:rsidR="002C0686" w:rsidRPr="000665B0">
        <w:t>DDG-1000</w:t>
      </w:r>
      <w:r w:rsidR="00A32391" w:rsidRPr="000665B0">
        <w:t xml:space="preserve"> platform. The MK57 modules</w:t>
      </w:r>
      <w:r w:rsidRPr="000665B0">
        <w:t xml:space="preserve"> contain four missiles that can all be spun up at the same time</w:t>
      </w:r>
      <w:r w:rsidR="00A32391" w:rsidRPr="000665B0">
        <w:t>,</w:t>
      </w:r>
      <w:r w:rsidRPr="000665B0">
        <w:t xml:space="preserve"> unlike the half-modules on older </w:t>
      </w:r>
      <w:r w:rsidR="00A32391" w:rsidRPr="000665B0">
        <w:t>platforms</w:t>
      </w:r>
      <w:r w:rsidRPr="000665B0">
        <w:t xml:space="preserve"> that only allow a single missile to be spun up in the four missile half-module. </w:t>
      </w:r>
      <w:r w:rsidR="00A32391" w:rsidRPr="000665B0">
        <w:t>This gives the</w:t>
      </w:r>
      <w:r w:rsidRPr="000665B0">
        <w:t xml:space="preserve"> </w:t>
      </w:r>
      <w:r w:rsidR="002C0686" w:rsidRPr="000665B0">
        <w:t>DDG-1000</w:t>
      </w:r>
      <w:r w:rsidRPr="000665B0">
        <w:t xml:space="preserve"> </w:t>
      </w:r>
      <w:r w:rsidR="00A32391" w:rsidRPr="000665B0">
        <w:t xml:space="preserve">a </w:t>
      </w:r>
      <w:r w:rsidRPr="000665B0">
        <w:t>maximum missile capacity of 80 missiles</w:t>
      </w:r>
      <w:r w:rsidR="00A32391" w:rsidRPr="000665B0">
        <w:t>,</w:t>
      </w:r>
      <w:r w:rsidRPr="000665B0">
        <w:t xml:space="preserve"> and a planning size of 32</w:t>
      </w:r>
      <w:r w:rsidR="00A32391" w:rsidRPr="000665B0">
        <w:t xml:space="preserve"> missiles</w:t>
      </w:r>
      <w:r w:rsidRPr="000665B0">
        <w:t>.</w:t>
      </w:r>
      <w:r w:rsidR="000852D1" w:rsidRPr="000665B0">
        <w:t xml:space="preserve"> The DDG-1000 class only supports 109E tasking and MDS prevents tasking of 109C and 109D missiles to a DDG-1000 class platform.</w:t>
      </w:r>
    </w:p>
    <w:p w14:paraId="6180EE75" w14:textId="3452EAD8" w:rsidR="003844D6" w:rsidRPr="000665B0" w:rsidRDefault="003844D6" w:rsidP="00474A1F">
      <w:pPr>
        <w:pStyle w:val="BodyText"/>
        <w:tabs>
          <w:tab w:val="left" w:pos="720"/>
        </w:tabs>
        <w:spacing w:after="120"/>
      </w:pPr>
      <w:r w:rsidRPr="000665B0">
        <w:t>In addition, Auto PM3 supports the Block V Virginia launcher configuration graphically. The graphical display shows 6 payload modules containing a maximum inventory of 40 missiles. Forward of the sail consists of 2 payload tubes containing 6 cells for a total of 12 missiles. Aft of the sail contains the Virginia Payload Modules (VPM) which consist of 7 cells for a total of 28 missiles.</w:t>
      </w:r>
    </w:p>
    <w:p w14:paraId="7A0BC975" w14:textId="1D465365" w:rsidR="00772198" w:rsidRPr="000665B0" w:rsidRDefault="005F7A03" w:rsidP="00474A1F">
      <w:pPr>
        <w:pStyle w:val="BodyText"/>
        <w:tabs>
          <w:tab w:val="left" w:pos="720"/>
        </w:tabs>
        <w:spacing w:after="120"/>
      </w:pPr>
      <w:r w:rsidRPr="000665B0">
        <w:t>Auto PM3 take</w:t>
      </w:r>
      <w:r w:rsidR="00615661" w:rsidRPr="000665B0">
        <w:t>s</w:t>
      </w:r>
      <w:r w:rsidRPr="000665B0">
        <w:t xml:space="preserve"> geofeasibility into consideration</w:t>
      </w:r>
      <w:r w:rsidR="00615661" w:rsidRPr="000665B0">
        <w:t xml:space="preserve">; its status is displayed under the </w:t>
      </w:r>
      <w:r w:rsidR="00615661" w:rsidRPr="000665B0">
        <w:rPr>
          <w:b/>
        </w:rPr>
        <w:t>Geofeasible</w:t>
      </w:r>
      <w:r w:rsidR="00615661" w:rsidRPr="000665B0">
        <w:t xml:space="preserve"> column</w:t>
      </w:r>
      <w:r w:rsidRPr="000665B0">
        <w:t xml:space="preserve">. </w:t>
      </w:r>
      <w:r w:rsidR="001428F9" w:rsidRPr="000665B0">
        <w:t>Unlike manual PM3, if the Geofeasibil</w:t>
      </w:r>
      <w:r w:rsidR="00B307C5" w:rsidRPr="000665B0">
        <w:t>i</w:t>
      </w:r>
      <w:r w:rsidR="001428F9" w:rsidRPr="000665B0">
        <w:t>ty condition is</w:t>
      </w:r>
      <w:r w:rsidR="00772198" w:rsidRPr="000665B0">
        <w:t xml:space="preserve"> one of the following, a reservation </w:t>
      </w:r>
      <w:r w:rsidR="00772198" w:rsidRPr="000665B0">
        <w:rPr>
          <w:b/>
          <w:i/>
        </w:rPr>
        <w:t>will not be made</w:t>
      </w:r>
      <w:r w:rsidR="00772198" w:rsidRPr="000665B0">
        <w:t xml:space="preserve"> (see </w:t>
      </w:r>
      <w:hyperlink w:anchor="_Manually__Make" w:history="1">
        <w:r w:rsidR="009326FE" w:rsidRPr="000665B0">
          <w:rPr>
            <w:rStyle w:val="Hyperlink"/>
          </w:rPr>
          <w:t xml:space="preserve">Section </w:t>
        </w:r>
        <w:r w:rsidR="004231CC">
          <w:rPr>
            <w:rStyle w:val="Hyperlink"/>
          </w:rPr>
          <w:t>5.34</w:t>
        </w:r>
        <w:r w:rsidR="00772198" w:rsidRPr="000665B0">
          <w:rPr>
            <w:rStyle w:val="Hyperlink"/>
          </w:rPr>
          <w:t>.7.1.17.7</w:t>
        </w:r>
      </w:hyperlink>
      <w:r w:rsidR="00772198" w:rsidRPr="000665B0">
        <w:t>):</w:t>
      </w:r>
      <w:r w:rsidR="001428F9" w:rsidRPr="000665B0">
        <w:t xml:space="preserve"> </w:t>
      </w:r>
    </w:p>
    <w:p w14:paraId="2D7CA45C" w14:textId="77777777" w:rsidR="00772198" w:rsidRPr="000665B0" w:rsidRDefault="00772198" w:rsidP="006D5A65">
      <w:pPr>
        <w:pStyle w:val="Heading2"/>
      </w:pPr>
      <w:r w:rsidRPr="000665B0">
        <w:t xml:space="preserve">Unknown (the FRU has not yet been assigned a PLP, the PLP or mission is missing from the database, or the reservation[s] include[s] a non-mission reservation [TMPR or LMO]) </w:t>
      </w:r>
    </w:p>
    <w:p w14:paraId="19DFDC5B" w14:textId="389F70F9" w:rsidR="005F7A03" w:rsidRPr="000665B0" w:rsidRDefault="001428F9" w:rsidP="006D5A65">
      <w:pPr>
        <w:pStyle w:val="Heading2"/>
      </w:pPr>
      <w:r w:rsidRPr="000665B0">
        <w:t>Infeasible (the FRU’s PLP is entirely outside of the launch area</w:t>
      </w:r>
      <w:r w:rsidR="00772198" w:rsidRPr="000665B0">
        <w:t>).</w:t>
      </w:r>
      <w:r w:rsidRPr="000665B0">
        <w:t xml:space="preserve"> </w:t>
      </w:r>
    </w:p>
    <w:p w14:paraId="3C155A36" w14:textId="6C9CF355" w:rsidR="00196B5A" w:rsidRPr="000665B0" w:rsidRDefault="00196B5A" w:rsidP="00196B5A">
      <w:pPr>
        <w:tabs>
          <w:tab w:val="left" w:pos="720"/>
        </w:tabs>
      </w:pPr>
      <w:r w:rsidRPr="000665B0">
        <w:t xml:space="preserve">Before invoking Auto PM3, ensure that a </w:t>
      </w:r>
      <w:r w:rsidR="0063110F">
        <w:t>TSC</w:t>
      </w:r>
      <w:r w:rsidRPr="000665B0">
        <w:t xml:space="preserve"> is designated in the Arsenal (see </w:t>
      </w:r>
      <w:hyperlink w:anchor="_5.37.6.1.6__Missiles_Tab" w:history="1">
        <w:r w:rsidR="009326FE" w:rsidRPr="000665B0">
          <w:rPr>
            <w:rStyle w:val="Hyperlink"/>
          </w:rPr>
          <w:t xml:space="preserve">Section </w:t>
        </w:r>
        <w:r w:rsidR="004231CC">
          <w:rPr>
            <w:rStyle w:val="Hyperlink"/>
          </w:rPr>
          <w:t>5.34</w:t>
        </w:r>
        <w:r w:rsidRPr="000665B0">
          <w:rPr>
            <w:rStyle w:val="Hyperlink"/>
          </w:rPr>
          <w:t>.</w:t>
        </w:r>
        <w:r w:rsidR="0089269C" w:rsidRPr="000665B0">
          <w:rPr>
            <w:rStyle w:val="Hyperlink"/>
          </w:rPr>
          <w:t>7</w:t>
        </w:r>
        <w:r w:rsidRPr="000665B0">
          <w:rPr>
            <w:rStyle w:val="Hyperlink"/>
          </w:rPr>
          <w:t>.1.5</w:t>
        </w:r>
      </w:hyperlink>
      <w:r w:rsidRPr="000665B0">
        <w:t>).</w:t>
      </w:r>
    </w:p>
    <w:p w14:paraId="1A32AA94" w14:textId="5F81FBF6" w:rsidR="00097BB6" w:rsidRPr="000665B0" w:rsidRDefault="009A1FDF" w:rsidP="00585646">
      <w:pPr>
        <w:keepLines/>
        <w:pBdr>
          <w:top w:val="single" w:sz="12" w:space="1" w:color="000000"/>
          <w:left w:val="single" w:sz="12" w:space="4" w:color="000000"/>
          <w:bottom w:val="single" w:sz="12" w:space="1" w:color="000000"/>
          <w:right w:val="single" w:sz="12" w:space="4" w:color="000000"/>
        </w:pBdr>
        <w:shd w:val="clear" w:color="auto" w:fill="F3F3F3"/>
        <w:tabs>
          <w:tab w:val="left" w:pos="720"/>
        </w:tabs>
        <w:rPr>
          <w:b/>
        </w:rPr>
      </w:pPr>
      <w:r w:rsidRPr="000665B0">
        <w:rPr>
          <w:rFonts w:ascii="Arial" w:hAnsi="Arial" w:cs="Arial"/>
          <w:b/>
          <w:noProof/>
          <w:sz w:val="20"/>
        </w:rPr>
        <w:lastRenderedPageBreak/>
        <w:drawing>
          <wp:inline distT="0" distB="0" distL="0" distR="0" wp14:anchorId="4BBBCFE2" wp14:editId="09741D60">
            <wp:extent cx="352425" cy="381000"/>
            <wp:effectExtent l="0" t="0" r="9525" b="0"/>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097BB6" w:rsidRPr="000665B0">
        <w:rPr>
          <w:b/>
        </w:rPr>
        <w:t>TIP: Auto PM3 will not return a solution if any of the required assignments for a task cannot be satisfied.</w:t>
      </w:r>
      <w:r w:rsidR="00F303DA" w:rsidRPr="000665B0">
        <w:rPr>
          <w:b/>
        </w:rPr>
        <w:t xml:space="preserve"> </w:t>
      </w:r>
      <w:r w:rsidR="00097BB6" w:rsidRPr="000665B0">
        <w:rPr>
          <w:b/>
        </w:rPr>
        <w:t xml:space="preserve">In the simplest case let’s assume </w:t>
      </w:r>
      <w:r w:rsidR="00C22724" w:rsidRPr="000665B0">
        <w:rPr>
          <w:b/>
        </w:rPr>
        <w:t>that a</w:t>
      </w:r>
      <w:r w:rsidR="00097BB6" w:rsidRPr="000665B0">
        <w:rPr>
          <w:b/>
        </w:rPr>
        <w:t xml:space="preserve"> mission requires 1 primary and 1 ready spare. Let’s assume </w:t>
      </w:r>
      <w:r w:rsidR="00C22724" w:rsidRPr="000665B0">
        <w:rPr>
          <w:b/>
        </w:rPr>
        <w:t>that there is only</w:t>
      </w:r>
      <w:r w:rsidR="00097BB6" w:rsidRPr="000665B0">
        <w:rPr>
          <w:b/>
        </w:rPr>
        <w:t xml:space="preserve"> 1 capable missile for this mission in </w:t>
      </w:r>
      <w:r w:rsidR="00C22724" w:rsidRPr="000665B0">
        <w:rPr>
          <w:b/>
        </w:rPr>
        <w:t>the A</w:t>
      </w:r>
      <w:r w:rsidR="00097BB6" w:rsidRPr="000665B0">
        <w:rPr>
          <w:b/>
        </w:rPr>
        <w:t xml:space="preserve">rsenal. </w:t>
      </w:r>
      <w:r w:rsidR="00C22724" w:rsidRPr="000665B0">
        <w:rPr>
          <w:b/>
        </w:rPr>
        <w:t xml:space="preserve">In this case, </w:t>
      </w:r>
      <w:r w:rsidR="00097BB6" w:rsidRPr="000665B0">
        <w:rPr>
          <w:b/>
        </w:rPr>
        <w:t>Auto PM3 will not return any suggested assignments. If after running Auto PM3</w:t>
      </w:r>
      <w:r w:rsidR="00C22724" w:rsidRPr="000665B0">
        <w:rPr>
          <w:b/>
        </w:rPr>
        <w:t>,</w:t>
      </w:r>
      <w:r w:rsidR="00097BB6" w:rsidRPr="000665B0">
        <w:rPr>
          <w:b/>
        </w:rPr>
        <w:t xml:space="preserve"> some assignments were not made, go into Manual PM3 to see if there are any additional assignments that can be made. </w:t>
      </w:r>
      <w:r w:rsidR="00C22724" w:rsidRPr="000665B0">
        <w:rPr>
          <w:b/>
        </w:rPr>
        <w:t>Once in Manual PM3, it is recommended to select</w:t>
      </w:r>
      <w:r w:rsidR="00097BB6" w:rsidRPr="000665B0">
        <w:rPr>
          <w:b/>
        </w:rPr>
        <w:t xml:space="preserve"> Show</w:t>
      </w:r>
      <w:r w:rsidR="00C22724" w:rsidRPr="000665B0">
        <w:rPr>
          <w:b/>
        </w:rPr>
        <w:t xml:space="preserve"> </w:t>
      </w:r>
      <w:r w:rsidR="00C22724" w:rsidRPr="000665B0">
        <w:rPr>
          <w:b/>
        </w:rPr>
        <w:sym w:font="Wingdings" w:char="F0E0"/>
      </w:r>
      <w:r w:rsidR="00097BB6" w:rsidRPr="000665B0">
        <w:rPr>
          <w:b/>
        </w:rPr>
        <w:t xml:space="preserve"> Only Incomplete Items </w:t>
      </w:r>
      <w:r w:rsidR="00C22724" w:rsidRPr="000665B0">
        <w:rPr>
          <w:b/>
        </w:rPr>
        <w:t xml:space="preserve">from the </w:t>
      </w:r>
      <w:r w:rsidR="00255AD7" w:rsidRPr="000665B0">
        <w:rPr>
          <w:b/>
        </w:rPr>
        <w:t>pull-down</w:t>
      </w:r>
      <w:r w:rsidR="00C22724" w:rsidRPr="000665B0">
        <w:rPr>
          <w:b/>
        </w:rPr>
        <w:t xml:space="preserve"> menu,</w:t>
      </w:r>
      <w:r w:rsidR="00097BB6" w:rsidRPr="000665B0">
        <w:rPr>
          <w:b/>
        </w:rPr>
        <w:t xml:space="preserve"> as this will show only the assignments that have not been made.</w:t>
      </w:r>
    </w:p>
    <w:p w14:paraId="24C6A4E4" w14:textId="77777777" w:rsidR="00C22724" w:rsidRPr="000665B0" w:rsidRDefault="00C22724" w:rsidP="00AC2F7D">
      <w:pPr>
        <w:pStyle w:val="BodyText"/>
        <w:keepNext/>
        <w:tabs>
          <w:tab w:val="left" w:pos="720"/>
        </w:tabs>
        <w:spacing w:after="120"/>
      </w:pPr>
      <w:r w:rsidRPr="000665B0">
        <w:t>To invoke Auto PM3:</w:t>
      </w:r>
    </w:p>
    <w:p w14:paraId="73B09059" w14:textId="77777777" w:rsidR="005F7A03" w:rsidRPr="000665B0" w:rsidRDefault="00C22724" w:rsidP="006D5A65">
      <w:pPr>
        <w:pStyle w:val="Heading1"/>
      </w:pPr>
      <w:r w:rsidRPr="000665B0">
        <w:t xml:space="preserve">From the </w:t>
      </w:r>
      <w:r w:rsidRPr="000665B0">
        <w:rPr>
          <w:i/>
        </w:rPr>
        <w:t>Strike Option xxxxx-xxxxx-xxxxx</w:t>
      </w:r>
      <w:r w:rsidRPr="000665B0">
        <w:t xml:space="preserve"> window, select Tools </w:t>
      </w:r>
      <w:r w:rsidRPr="000665B0">
        <w:sym w:font="Wingdings" w:char="F0E0"/>
      </w:r>
      <w:r w:rsidRPr="000665B0">
        <w:t xml:space="preserve"> </w:t>
      </w:r>
      <w:r w:rsidR="005F7A03" w:rsidRPr="000665B0">
        <w:t xml:space="preserve">Auto PM3 or select the Auto PM3 </w:t>
      </w:r>
      <w:r w:rsidR="009A1FDF" w:rsidRPr="000665B0">
        <w:rPr>
          <w:noProof/>
          <w:position w:val="-8"/>
        </w:rPr>
        <w:drawing>
          <wp:inline distT="0" distB="0" distL="0" distR="0" wp14:anchorId="7B95DA75" wp14:editId="469791F0">
            <wp:extent cx="219456" cy="192024"/>
            <wp:effectExtent l="0" t="0" r="9525" b="0"/>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19456" cy="192024"/>
                    </a:xfrm>
                    <a:prstGeom prst="rect">
                      <a:avLst/>
                    </a:prstGeom>
                    <a:noFill/>
                    <a:ln w="9525">
                      <a:noFill/>
                      <a:miter lim="800000"/>
                      <a:headEnd/>
                      <a:tailEnd/>
                    </a:ln>
                  </pic:spPr>
                </pic:pic>
              </a:graphicData>
            </a:graphic>
          </wp:inline>
        </w:drawing>
      </w:r>
      <w:r w:rsidR="005F7A03" w:rsidRPr="000665B0">
        <w:t xml:space="preserve"> icon from the toolbar. The </w:t>
      </w:r>
      <w:r w:rsidR="005F7A03" w:rsidRPr="000665B0">
        <w:rPr>
          <w:i/>
          <w:iCs/>
        </w:rPr>
        <w:t>Auto PM3 Parameters</w:t>
      </w:r>
      <w:r w:rsidR="00F303DA" w:rsidRPr="000665B0">
        <w:rPr>
          <w:i/>
          <w:iCs/>
        </w:rPr>
        <w:t xml:space="preserve"> </w:t>
      </w:r>
      <w:r w:rsidR="005F7A03" w:rsidRPr="000665B0">
        <w:t xml:space="preserve">window </w:t>
      </w:r>
      <w:r w:rsidR="00F32494" w:rsidRPr="000665B0">
        <w:t>is</w:t>
      </w:r>
      <w:r w:rsidR="005F7A03" w:rsidRPr="000665B0">
        <w:t xml:space="preserve"> displayed.</w:t>
      </w:r>
    </w:p>
    <w:p w14:paraId="579E9826" w14:textId="6A9D9DA2" w:rsidR="005F7A03" w:rsidRPr="000665B0" w:rsidRDefault="00522CC3" w:rsidP="00474A1F">
      <w:pPr>
        <w:tabs>
          <w:tab w:val="left" w:pos="720"/>
        </w:tabs>
        <w:jc w:val="center"/>
      </w:pPr>
      <w:r w:rsidRPr="000665B0">
        <w:rPr>
          <w:noProof/>
        </w:rPr>
        <w:drawing>
          <wp:inline distT="0" distB="0" distL="0" distR="0" wp14:anchorId="1660075D" wp14:editId="17767ADD">
            <wp:extent cx="4114800" cy="2011680"/>
            <wp:effectExtent l="0" t="0" r="0" b="7620"/>
            <wp:docPr id="2113" name="Picture 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011680"/>
                    </a:xfrm>
                    <a:prstGeom prst="rect">
                      <a:avLst/>
                    </a:prstGeom>
                  </pic:spPr>
                </pic:pic>
              </a:graphicData>
            </a:graphic>
          </wp:inline>
        </w:drawing>
      </w:r>
      <w:r w:rsidR="00695A1D" w:rsidRPr="000665B0">
        <w:rPr>
          <w:noProof/>
        </w:rPr>
        <w:t xml:space="preserve"> </w:t>
      </w:r>
    </w:p>
    <w:p w14:paraId="7A3FC058" w14:textId="77777777" w:rsidR="005F7A03" w:rsidRPr="000665B0" w:rsidRDefault="005F7A03" w:rsidP="006D5A65">
      <w:pPr>
        <w:pStyle w:val="Heading1"/>
        <w:rPr>
          <w:bCs/>
        </w:rPr>
      </w:pPr>
      <w:r w:rsidRPr="000665B0">
        <w:t xml:space="preserve">In the </w:t>
      </w:r>
      <w:r w:rsidRPr="000665B0">
        <w:rPr>
          <w:i/>
        </w:rPr>
        <w:t>Auto PM3 Parameters</w:t>
      </w:r>
      <w:r w:rsidRPr="000665B0">
        <w:t xml:space="preserve"> window, the following parameters can be changed:</w:t>
      </w:r>
    </w:p>
    <w:p w14:paraId="7AC2E84D" w14:textId="18ABEE73" w:rsidR="005F7A03" w:rsidRPr="000665B0" w:rsidRDefault="005F7A03" w:rsidP="006D5A65">
      <w:pPr>
        <w:pStyle w:val="Heading2"/>
      </w:pPr>
      <w:r w:rsidRPr="000665B0">
        <w:t>Default TOT</w:t>
      </w:r>
      <w:r w:rsidR="00AD04B4" w:rsidRPr="000665B0">
        <w:t xml:space="preserve"> –</w:t>
      </w:r>
      <w:r w:rsidRPr="000665B0">
        <w:t xml:space="preserve"> This is the time the missile will hit the target if the TOT time is not assigned in the Folder’s Tasking. </w:t>
      </w:r>
      <w:r w:rsidR="00255AD7" w:rsidRPr="000665B0">
        <w:t>Thus,</w:t>
      </w:r>
      <w:r w:rsidRPr="000665B0">
        <w:t xml:space="preserve"> for a </w:t>
      </w:r>
      <w:r w:rsidR="00C22724" w:rsidRPr="000665B0">
        <w:t>TOT-</w:t>
      </w:r>
      <w:r w:rsidRPr="000665B0">
        <w:t>enabled missile</w:t>
      </w:r>
      <w:r w:rsidR="00C22724" w:rsidRPr="000665B0">
        <w:t>,</w:t>
      </w:r>
      <w:r w:rsidRPr="000665B0">
        <w:t xml:space="preserve"> the TOT time will be set to this. For a non-TOT enabled missile the First Waypoint (FWP) time will be set to this time minus the estimated time in route of the mission.</w:t>
      </w:r>
    </w:p>
    <w:p w14:paraId="2256C763" w14:textId="16E782B4" w:rsidR="005F7A03" w:rsidRPr="000665B0" w:rsidRDefault="005F7A03" w:rsidP="006D5A65">
      <w:pPr>
        <w:pStyle w:val="Heading2"/>
      </w:pPr>
      <w:r w:rsidRPr="000665B0">
        <w:t>Launch Time Tolerance</w:t>
      </w:r>
      <w:r w:rsidR="00AD04B4" w:rsidRPr="000665B0">
        <w:t xml:space="preserve"> –</w:t>
      </w:r>
      <w:r w:rsidRPr="000665B0">
        <w:t xml:space="preserve"> This is the +/- time</w:t>
      </w:r>
      <w:r w:rsidR="00C22724" w:rsidRPr="000665B0">
        <w:t xml:space="preserve"> (in seconds)</w:t>
      </w:r>
      <w:r w:rsidRPr="000665B0">
        <w:t xml:space="preserve"> that can be added to the TOT time for a missile to avoid half module constraints. </w:t>
      </w:r>
      <w:r w:rsidR="00255AD7" w:rsidRPr="000665B0">
        <w:t>Thus,</w:t>
      </w:r>
      <w:r w:rsidRPr="000665B0">
        <w:t xml:space="preserve"> if it is set to 0, </w:t>
      </w:r>
      <w:r w:rsidR="00B507D5" w:rsidRPr="000665B0">
        <w:t xml:space="preserve">the results </w:t>
      </w:r>
      <w:r w:rsidRPr="000665B0">
        <w:t xml:space="preserve">would only </w:t>
      </w:r>
      <w:r w:rsidR="00B507D5" w:rsidRPr="000665B0">
        <w:t>return</w:t>
      </w:r>
      <w:r w:rsidRPr="000665B0">
        <w:t xml:space="preserve"> missiles that can launch without half module constraints and hit the target at this exact time. If it’s set to 120 seconds, the TOT time assigned to missiles can be +/- 120 seconds from the default TOT time. The value entered must be an integer between 0 and 1,000.</w:t>
      </w:r>
    </w:p>
    <w:p w14:paraId="762BECB7" w14:textId="77777777" w:rsidR="005F7A03" w:rsidRPr="000665B0" w:rsidRDefault="005F7A03" w:rsidP="006D5A65">
      <w:pPr>
        <w:pStyle w:val="Heading2"/>
      </w:pPr>
      <w:r w:rsidRPr="000665B0">
        <w:lastRenderedPageBreak/>
        <w:t>Allow Submarine Backups</w:t>
      </w:r>
      <w:r w:rsidR="00AD04B4" w:rsidRPr="000665B0">
        <w:t xml:space="preserve"> –</w:t>
      </w:r>
      <w:r w:rsidRPr="000665B0">
        <w:t xml:space="preserve"> Will assign a backup missile to a sub if this is checked.</w:t>
      </w:r>
    </w:p>
    <w:p w14:paraId="304A7D2C" w14:textId="77777777" w:rsidR="003A6F30" w:rsidRPr="000665B0" w:rsidRDefault="005F7A03" w:rsidP="006D5A65">
      <w:pPr>
        <w:pStyle w:val="Heading2"/>
      </w:pPr>
      <w:r w:rsidRPr="000665B0">
        <w:t>Half Module Alignment Time</w:t>
      </w:r>
      <w:r w:rsidR="003A6F30" w:rsidRPr="000665B0">
        <w:t>s</w:t>
      </w:r>
      <w:r w:rsidR="00A414C3" w:rsidRPr="000665B0">
        <w:t xml:space="preserve"> </w:t>
      </w:r>
    </w:p>
    <w:p w14:paraId="7CAF2AA9" w14:textId="43A5284F" w:rsidR="003A6F30" w:rsidRPr="000665B0" w:rsidRDefault="00042AB6" w:rsidP="006D5A65">
      <w:pPr>
        <w:pStyle w:val="Heading3"/>
      </w:pPr>
      <w:r w:rsidRPr="000665B0">
        <w:t>109C, 109D</w:t>
      </w:r>
      <w:r w:rsidR="003A6F30" w:rsidRPr="000665B0">
        <w:t xml:space="preserve"> – Minimum time (in minutes) between launchings in the same half module using coarse alignment for </w:t>
      </w:r>
      <w:r w:rsidRPr="000665B0">
        <w:t>109C</w:t>
      </w:r>
      <w:r w:rsidR="003A6F30" w:rsidRPr="000665B0">
        <w:t xml:space="preserve"> and </w:t>
      </w:r>
      <w:r w:rsidRPr="000665B0">
        <w:t>109D</w:t>
      </w:r>
      <w:r w:rsidR="003A6F30" w:rsidRPr="000665B0">
        <w:t xml:space="preserve"> missiles. The value entered must be an integer between 0 and 1,000.</w:t>
      </w:r>
    </w:p>
    <w:p w14:paraId="0E251AD3" w14:textId="67049140" w:rsidR="005F7A03" w:rsidRPr="000665B0" w:rsidRDefault="00A414C3" w:rsidP="006D5A65">
      <w:pPr>
        <w:pStyle w:val="Heading3"/>
      </w:pPr>
      <w:r w:rsidRPr="000665B0">
        <w:t>109E</w:t>
      </w:r>
      <w:r w:rsidR="00AD04B4" w:rsidRPr="000665B0">
        <w:t xml:space="preserve"> –</w:t>
      </w:r>
      <w:r w:rsidR="005F7A03" w:rsidRPr="000665B0">
        <w:t xml:space="preserve"> Minimum time</w:t>
      </w:r>
      <w:r w:rsidR="00C22724" w:rsidRPr="000665B0">
        <w:t xml:space="preserve"> (in minutes)</w:t>
      </w:r>
      <w:r w:rsidR="005F7A03" w:rsidRPr="000665B0">
        <w:t xml:space="preserve"> between launchings in the same half module</w:t>
      </w:r>
      <w:r w:rsidRPr="000665B0">
        <w:t xml:space="preserve"> using coarse alignment for 109E missiles</w:t>
      </w:r>
      <w:r w:rsidR="005F7A03" w:rsidRPr="000665B0">
        <w:t>. The value entered must be an integer between 0 and 1,000.</w:t>
      </w:r>
    </w:p>
    <w:p w14:paraId="4D9FB80E" w14:textId="53A0F830" w:rsidR="00A414C3" w:rsidRPr="000665B0" w:rsidRDefault="00A414C3" w:rsidP="006D5A65">
      <w:pPr>
        <w:pStyle w:val="Heading3"/>
      </w:pPr>
      <w:r w:rsidRPr="000665B0">
        <w:t>Fine Alignment, 109E – Minimum time (in minutes) between launchings in the same half module using fine alignment for 109E missiles. The value entered must be an integer between 0 and 1,000.</w:t>
      </w:r>
    </w:p>
    <w:p w14:paraId="4082CB52" w14:textId="4A8DED76" w:rsidR="005F7A03" w:rsidRPr="000665B0" w:rsidRDefault="005F7A03" w:rsidP="006D5A65">
      <w:pPr>
        <w:pStyle w:val="Heading2"/>
        <w:rPr>
          <w:bCs/>
        </w:rPr>
      </w:pPr>
      <w:r w:rsidRPr="000665B0">
        <w:rPr>
          <w:bCs/>
        </w:rPr>
        <w:t>Spread Amongst Ships Weight</w:t>
      </w:r>
      <w:r w:rsidR="00AD04B4" w:rsidRPr="000665B0">
        <w:rPr>
          <w:bCs/>
        </w:rPr>
        <w:t xml:space="preserve"> </w:t>
      </w:r>
      <w:r w:rsidR="00AD04B4" w:rsidRPr="000665B0">
        <w:t>–</w:t>
      </w:r>
      <w:r w:rsidRPr="000665B0">
        <w:rPr>
          <w:bCs/>
        </w:rPr>
        <w:t xml:space="preserve"> Weight given to spreading missiles over ships. </w:t>
      </w:r>
      <w:r w:rsidRPr="000665B0">
        <w:t>If us</w:t>
      </w:r>
      <w:r w:rsidR="00B507D5" w:rsidRPr="000665B0">
        <w:t>ing</w:t>
      </w:r>
      <w:r w:rsidRPr="000665B0">
        <w:t xml:space="preserve"> a value of 0 the algorithm will </w:t>
      </w:r>
      <w:r w:rsidR="00C22724" w:rsidRPr="000665B0">
        <w:t>make a minimal effort</w:t>
      </w:r>
      <w:r w:rsidRPr="000665B0">
        <w:t xml:space="preserve"> to assign missiles to all the ships in the arsenal. The higher the number enter</w:t>
      </w:r>
      <w:r w:rsidR="00B507D5" w:rsidRPr="000665B0">
        <w:t>ed</w:t>
      </w:r>
      <w:r w:rsidRPr="000665B0">
        <w:t xml:space="preserve"> </w:t>
      </w:r>
      <w:r w:rsidR="00255AD7">
        <w:t xml:space="preserve">the </w:t>
      </w:r>
      <w:r w:rsidR="00C22724" w:rsidRPr="000665B0">
        <w:t>greater effort is made</w:t>
      </w:r>
      <w:r w:rsidRPr="000665B0">
        <w:t xml:space="preserve"> to spread out the missile assignments over the ship. The value entered must be an integer between 0 and 1,000.</w:t>
      </w:r>
    </w:p>
    <w:p w14:paraId="74BEEB3E" w14:textId="41DB98F1" w:rsidR="005F7A03" w:rsidRPr="000665B0" w:rsidRDefault="005F7A03" w:rsidP="006D5A65">
      <w:pPr>
        <w:pStyle w:val="Heading2"/>
        <w:rPr>
          <w:bCs/>
        </w:rPr>
      </w:pPr>
      <w:r w:rsidRPr="000665B0">
        <w:rPr>
          <w:bCs/>
        </w:rPr>
        <w:t>Use Most Inventory Weight</w:t>
      </w:r>
      <w:r w:rsidR="00AD04B4" w:rsidRPr="000665B0">
        <w:rPr>
          <w:bCs/>
        </w:rPr>
        <w:t xml:space="preserve"> </w:t>
      </w:r>
      <w:r w:rsidR="00AD04B4" w:rsidRPr="000665B0">
        <w:t>–</w:t>
      </w:r>
      <w:r w:rsidRPr="000665B0">
        <w:rPr>
          <w:bCs/>
        </w:rPr>
        <w:t xml:space="preserve"> Weight given to using missiles on ships with the most missiles available. </w:t>
      </w:r>
      <w:r w:rsidRPr="000665B0">
        <w:t>If us</w:t>
      </w:r>
      <w:r w:rsidR="00B507D5" w:rsidRPr="000665B0">
        <w:t>ing</w:t>
      </w:r>
      <w:r w:rsidRPr="000665B0">
        <w:t xml:space="preserve"> a value of 0 the algorithm will </w:t>
      </w:r>
      <w:r w:rsidR="00C22724" w:rsidRPr="000665B0">
        <w:t>make a minimal effort</w:t>
      </w:r>
      <w:r w:rsidRPr="000665B0">
        <w:t xml:space="preserve"> to assign missiles to the ships with the most missiles available in the arsenal. The higher the number enter</w:t>
      </w:r>
      <w:r w:rsidR="00B507D5" w:rsidRPr="000665B0">
        <w:t>ed</w:t>
      </w:r>
      <w:r w:rsidRPr="000665B0">
        <w:t xml:space="preserve"> the </w:t>
      </w:r>
      <w:r w:rsidR="00C22724" w:rsidRPr="000665B0">
        <w:t>greater effort is made</w:t>
      </w:r>
      <w:r w:rsidRPr="000665B0">
        <w:t xml:space="preserve"> to use missiles from ships with the most available. The value entered must be an integer between 0 and 1,000.</w:t>
      </w:r>
    </w:p>
    <w:p w14:paraId="5B539D49" w14:textId="3BB537ED" w:rsidR="005F7A03" w:rsidRPr="000665B0" w:rsidRDefault="005F7A03" w:rsidP="006D5A65">
      <w:pPr>
        <w:pStyle w:val="Heading2"/>
      </w:pPr>
      <w:r w:rsidRPr="000665B0">
        <w:t>Set Missile ID/Cell ID</w:t>
      </w:r>
      <w:r w:rsidR="00AD04B4" w:rsidRPr="000665B0">
        <w:t xml:space="preserve"> –</w:t>
      </w:r>
      <w:r w:rsidRPr="000665B0">
        <w:t xml:space="preserve"> Will set the Specific Missile ID to </w:t>
      </w:r>
      <w:r w:rsidR="001529E5" w:rsidRPr="000665B0">
        <w:t xml:space="preserve">use </w:t>
      </w:r>
      <w:r w:rsidRPr="000665B0">
        <w:t>and Cell ID if checked</w:t>
      </w:r>
      <w:r w:rsidR="001B3E68" w:rsidRPr="000665B0">
        <w:t>.</w:t>
      </w:r>
    </w:p>
    <w:p w14:paraId="31C5EBC9" w14:textId="77777777" w:rsidR="006F1503" w:rsidRPr="000665B0" w:rsidRDefault="005F7A03" w:rsidP="006D5A65">
      <w:pPr>
        <w:pStyle w:val="Heading2"/>
      </w:pPr>
      <w:r w:rsidRPr="000665B0">
        <w:t xml:space="preserve">FRUs </w:t>
      </w:r>
      <w:r w:rsidR="006F1503" w:rsidRPr="000665B0">
        <w:t>–</w:t>
      </w:r>
      <w:r w:rsidRPr="000665B0">
        <w:t xml:space="preserve"> </w:t>
      </w:r>
      <w:r w:rsidR="006F1503" w:rsidRPr="000665B0">
        <w:t>Move the FRUs to/from the Exclude and Include list boxes by selecting the FRU(s) and clicking on the Include -&gt; or &lt;- Exclude button. To quickly move all FRUs between the list boxes, click on the Include All -</w:t>
      </w:r>
      <w:r w:rsidR="001B2A25" w:rsidRPr="000665B0">
        <w:t xml:space="preserve"> -</w:t>
      </w:r>
      <w:r w:rsidR="006F1503" w:rsidRPr="000665B0">
        <w:t>&gt; or &lt;</w:t>
      </w:r>
      <w:r w:rsidR="001B2A25" w:rsidRPr="000665B0">
        <w:t xml:space="preserve">- </w:t>
      </w:r>
      <w:r w:rsidR="006F1503" w:rsidRPr="000665B0">
        <w:t>- Exclude All button. Move the FRUs to/from the Include and Expend list boxes by selecting the FRU(s) and clicking on the Expend -&gt; or &lt;- Include button. To quickly move all FRUs between the list boxes, click on the Expend All -</w:t>
      </w:r>
      <w:r w:rsidR="004C2538" w:rsidRPr="000665B0">
        <w:t xml:space="preserve"> -</w:t>
      </w:r>
      <w:r w:rsidR="006F1503" w:rsidRPr="000665B0">
        <w:t xml:space="preserve">&gt; or </w:t>
      </w:r>
      <w:r w:rsidR="004C2538" w:rsidRPr="000665B0">
        <w:t xml:space="preserve">&lt;- </w:t>
      </w:r>
      <w:r w:rsidR="006F1503" w:rsidRPr="000665B0">
        <w:t>- Include All button.</w:t>
      </w:r>
    </w:p>
    <w:p w14:paraId="10F357F0" w14:textId="77777777" w:rsidR="005F7A03" w:rsidRPr="000665B0" w:rsidRDefault="005F7A03" w:rsidP="006D5A65">
      <w:pPr>
        <w:pStyle w:val="Heading3"/>
      </w:pPr>
      <w:r w:rsidRPr="000665B0">
        <w:t>Exclude</w:t>
      </w:r>
      <w:r w:rsidR="00AD04B4" w:rsidRPr="000665B0">
        <w:t xml:space="preserve"> –</w:t>
      </w:r>
      <w:r w:rsidRPr="000665B0">
        <w:t xml:space="preserve"> Auto PM3 can make assignments to any of the FRUs in the Option’s Arsenal. FRUs can be </w:t>
      </w:r>
      <w:r w:rsidR="004C2538" w:rsidRPr="000665B0">
        <w:t xml:space="preserve">excluded </w:t>
      </w:r>
      <w:r w:rsidRPr="000665B0">
        <w:t xml:space="preserve">from the Auto PM3 algorithm (it </w:t>
      </w:r>
      <w:r w:rsidRPr="000665B0">
        <w:lastRenderedPageBreak/>
        <w:t xml:space="preserve">will not consider them for any assignments) by moving the FRU from the Include FRU list to the Exclude FRU list. </w:t>
      </w:r>
    </w:p>
    <w:p w14:paraId="62814476" w14:textId="77777777" w:rsidR="005F7A03" w:rsidRPr="000665B0" w:rsidRDefault="005F7A03" w:rsidP="006D5A65">
      <w:pPr>
        <w:pStyle w:val="Heading3"/>
      </w:pPr>
      <w:r w:rsidRPr="000665B0">
        <w:t>Include</w:t>
      </w:r>
      <w:r w:rsidR="00AD04B4" w:rsidRPr="000665B0">
        <w:t xml:space="preserve"> –</w:t>
      </w:r>
      <w:r w:rsidRPr="000665B0">
        <w:t xml:space="preserve"> Only FRUs in this list will be considered by the Auto PM3 algorithm and, thus </w:t>
      </w:r>
      <w:r w:rsidR="004C2538" w:rsidRPr="000665B0">
        <w:t xml:space="preserve">are </w:t>
      </w:r>
      <w:r w:rsidRPr="000665B0">
        <w:t xml:space="preserve">capable of getting assignments. </w:t>
      </w:r>
      <w:r w:rsidR="004C2538" w:rsidRPr="000665B0">
        <w:t xml:space="preserve">By default, all FRUs are initially listed in the Include list box. </w:t>
      </w:r>
      <w:r w:rsidRPr="000665B0">
        <w:t xml:space="preserve">FRUs can be moved from the Exclude </w:t>
      </w:r>
      <w:r w:rsidR="004C2538" w:rsidRPr="000665B0">
        <w:t xml:space="preserve">or Expend </w:t>
      </w:r>
      <w:r w:rsidRPr="000665B0">
        <w:t>FRU list to the Include FRU list.</w:t>
      </w:r>
    </w:p>
    <w:p w14:paraId="142C5E80" w14:textId="77777777" w:rsidR="008A586F" w:rsidRPr="000665B0" w:rsidRDefault="004C2538" w:rsidP="006D5A65">
      <w:pPr>
        <w:pStyle w:val="Heading3"/>
      </w:pPr>
      <w:r w:rsidRPr="000665B0">
        <w:t xml:space="preserve">Expend – </w:t>
      </w:r>
      <w:r w:rsidR="008A586F" w:rsidRPr="000665B0">
        <w:t>FRUs in this list have missiles that are to be used first and will be given the assignment, when optimal allocations to the FRUs are viable, over FRUs that are not in the list. The final allocations of mission/missile/FRU may not include a FRU in the Expend list and may instead include a FRU in the Include list because that particular FRU in the Expend list failed to satisfy the optimal criteria in the algorithm.</w:t>
      </w:r>
    </w:p>
    <w:p w14:paraId="0532231B" w14:textId="77777777" w:rsidR="004C2538" w:rsidRPr="000665B0" w:rsidRDefault="008A586F" w:rsidP="006D5A65">
      <w:pPr>
        <w:pStyle w:val="Heading3"/>
      </w:pPr>
      <w:r w:rsidRPr="000665B0">
        <w:t>Expend All – Puts all FRUs in the Include list into the Expend list.</w:t>
      </w:r>
    </w:p>
    <w:p w14:paraId="6F7964AC" w14:textId="77777777" w:rsidR="005F7A03" w:rsidRPr="000665B0" w:rsidRDefault="005F7A03" w:rsidP="006D5A65">
      <w:pPr>
        <w:pStyle w:val="Heading1"/>
      </w:pPr>
      <w:r w:rsidRPr="000665B0">
        <w:t>Click the Cancel button to close the window without running Auto PM3.</w:t>
      </w:r>
    </w:p>
    <w:p w14:paraId="1F181E96" w14:textId="77777777" w:rsidR="005F7A03" w:rsidRPr="000665B0" w:rsidRDefault="005F7A03" w:rsidP="006D5A65">
      <w:pPr>
        <w:pStyle w:val="Heading1"/>
      </w:pPr>
      <w:r w:rsidRPr="000665B0">
        <w:t xml:space="preserve">Click the </w:t>
      </w:r>
      <w:r w:rsidR="004C2538" w:rsidRPr="000665B0">
        <w:t xml:space="preserve">Reset </w:t>
      </w:r>
      <w:r w:rsidRPr="000665B0">
        <w:t>Defaults button to restore the default Auto PM3 Parameters to their initial values.</w:t>
      </w:r>
    </w:p>
    <w:p w14:paraId="7B5A1CF5" w14:textId="031A13D8" w:rsidR="005F7A03" w:rsidRPr="000665B0" w:rsidRDefault="005F7A03" w:rsidP="006D5A65">
      <w:pPr>
        <w:pStyle w:val="Heading1"/>
        <w:rPr>
          <w:bCs/>
        </w:rPr>
      </w:pPr>
      <w:r w:rsidRPr="000665B0">
        <w:t xml:space="preserve">Click the OK button to start the Auto PM3 algorithm. </w:t>
      </w:r>
      <w:r w:rsidR="004C2538" w:rsidRPr="000665B0">
        <w:t xml:space="preserve">The </w:t>
      </w:r>
      <w:r w:rsidR="004C2538" w:rsidRPr="000665B0">
        <w:rPr>
          <w:i/>
        </w:rPr>
        <w:t xml:space="preserve">Auto PM3 </w:t>
      </w:r>
      <w:r w:rsidRPr="000665B0">
        <w:t xml:space="preserve">window </w:t>
      </w:r>
      <w:r w:rsidR="004C2538" w:rsidRPr="000665B0">
        <w:t xml:space="preserve">appears, </w:t>
      </w:r>
      <w:r w:rsidRPr="000665B0">
        <w:t>showing</w:t>
      </w:r>
      <w:r w:rsidR="00695A1D" w:rsidRPr="000665B0">
        <w:t xml:space="preserve"> a</w:t>
      </w:r>
      <w:r w:rsidRPr="000665B0">
        <w:t xml:space="preserve"> progress</w:t>
      </w:r>
      <w:r w:rsidR="00695A1D" w:rsidRPr="000665B0">
        <w:t xml:space="preserve"> bar</w:t>
      </w:r>
      <w:r w:rsidR="001B3E68" w:rsidRPr="000665B0">
        <w:t>.</w:t>
      </w:r>
      <w:r w:rsidRPr="000665B0">
        <w:t xml:space="preserve"> </w:t>
      </w:r>
    </w:p>
    <w:p w14:paraId="4B15D33F" w14:textId="322F6467" w:rsidR="005F7A03" w:rsidRPr="000665B0" w:rsidRDefault="00522CC3" w:rsidP="00474A1F">
      <w:pPr>
        <w:tabs>
          <w:tab w:val="left" w:pos="720"/>
        </w:tabs>
        <w:jc w:val="center"/>
      </w:pPr>
      <w:r w:rsidRPr="000665B0">
        <w:rPr>
          <w:noProof/>
        </w:rPr>
        <w:drawing>
          <wp:inline distT="0" distB="0" distL="0" distR="0" wp14:anchorId="555A9853" wp14:editId="6F832069">
            <wp:extent cx="4983480" cy="594360"/>
            <wp:effectExtent l="0" t="0" r="0" b="0"/>
            <wp:docPr id="2124" name="Picture 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594360"/>
                    </a:xfrm>
                    <a:prstGeom prst="rect">
                      <a:avLst/>
                    </a:prstGeom>
                  </pic:spPr>
                </pic:pic>
              </a:graphicData>
            </a:graphic>
          </wp:inline>
        </w:drawing>
      </w:r>
    </w:p>
    <w:p w14:paraId="1F55F5A0" w14:textId="77777777" w:rsidR="005F7A03" w:rsidRPr="000665B0" w:rsidRDefault="005F7A03" w:rsidP="006D5A65">
      <w:pPr>
        <w:pStyle w:val="Heading1"/>
      </w:pPr>
      <w:r w:rsidRPr="000665B0">
        <w:t xml:space="preserve">Once the algorithm completes, the </w:t>
      </w:r>
      <w:r w:rsidRPr="000665B0">
        <w:rPr>
          <w:i/>
        </w:rPr>
        <w:t>Auto PM3 for Strike Option XXXXX-XXXXX-XXXXX</w:t>
      </w:r>
      <w:r w:rsidRPr="000665B0">
        <w:t xml:space="preserve"> window </w:t>
      </w:r>
      <w:r w:rsidR="00F32494" w:rsidRPr="000665B0">
        <w:t>is</w:t>
      </w:r>
      <w:r w:rsidRPr="000665B0">
        <w:t xml:space="preserve"> displayed.</w:t>
      </w:r>
    </w:p>
    <w:p w14:paraId="73968D48" w14:textId="71B6F040" w:rsidR="008563BD" w:rsidRPr="000665B0" w:rsidRDefault="008563BD" w:rsidP="00474A1F">
      <w:pPr>
        <w:tabs>
          <w:tab w:val="left" w:pos="720"/>
        </w:tabs>
        <w:jc w:val="center"/>
      </w:pPr>
      <w:r>
        <w:rPr>
          <w:noProof/>
        </w:rPr>
        <w:drawing>
          <wp:inline distT="0" distB="0" distL="0" distR="0" wp14:anchorId="122BB313" wp14:editId="0789D552">
            <wp:extent cx="4983480" cy="1563624"/>
            <wp:effectExtent l="0" t="0" r="0" b="0"/>
            <wp:docPr id="432" name="Picture 43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Picture 432" descr="A screenshot of a computer&#10;&#10;Description automatically generated with medium confidence"/>
                    <pic:cNvPicPr/>
                  </pic:nvPicPr>
                  <pic:blipFill>
                    <a:blip cstate="screen">
                      <a:extLst>
                        <a:ext uri="{28A0092B-C50C-407E-A947-70E740481C1C}">
                          <a14:useLocalDpi xmlns:a14="http://schemas.microsoft.com/office/drawing/2010/main"/>
                        </a:ext>
                      </a:extLst>
                    </a:blip>
                    <a:stretch>
                      <a:fillRect/>
                    </a:stretch>
                  </pic:blipFill>
                  <pic:spPr>
                    <a:xfrm>
                      <a:off x="0" y="0"/>
                      <a:ext cx="4983480" cy="1563624"/>
                    </a:xfrm>
                    <a:prstGeom prst="rect">
                      <a:avLst/>
                    </a:prstGeom>
                  </pic:spPr>
                </pic:pic>
              </a:graphicData>
            </a:graphic>
          </wp:inline>
        </w:drawing>
      </w:r>
    </w:p>
    <w:p w14:paraId="45D92C3A" w14:textId="29977DC1" w:rsidR="005F7A03" w:rsidRPr="000665B0" w:rsidRDefault="005F7A03" w:rsidP="00474A1F">
      <w:pPr>
        <w:pStyle w:val="BodyText"/>
        <w:tabs>
          <w:tab w:val="left" w:pos="720"/>
        </w:tabs>
        <w:spacing w:after="120"/>
      </w:pPr>
      <w:r w:rsidRPr="000665B0">
        <w:t>If it is not possible for the A</w:t>
      </w:r>
      <w:r w:rsidR="004C2538" w:rsidRPr="000665B0">
        <w:t xml:space="preserve">uto </w:t>
      </w:r>
      <w:r w:rsidRPr="000665B0">
        <w:t xml:space="preserve">PM3 allocation algorithm to allocate a block of missiles, a RED </w:t>
      </w:r>
      <w:r w:rsidR="004C2538" w:rsidRPr="000665B0">
        <w:t>pie s</w:t>
      </w:r>
      <w:r w:rsidRPr="000665B0">
        <w:t xml:space="preserve">lice </w:t>
      </w:r>
      <w:r w:rsidR="00F32494" w:rsidRPr="000665B0">
        <w:t>is</w:t>
      </w:r>
      <w:r w:rsidRPr="000665B0">
        <w:t xml:space="preserve"> shown. Click </w:t>
      </w:r>
      <w:r w:rsidRPr="000665B0">
        <w:rPr>
          <w:b/>
        </w:rPr>
        <w:t>Show Unallocated Tasks</w:t>
      </w:r>
      <w:r w:rsidRPr="000665B0">
        <w:t xml:space="preserve"> in the </w:t>
      </w:r>
      <w:r w:rsidRPr="000665B0">
        <w:rPr>
          <w:b/>
        </w:rPr>
        <w:t>View Allocations</w:t>
      </w:r>
      <w:r w:rsidRPr="000665B0">
        <w:t xml:space="preserve"> combo box for a list of Tasks which were not allocated.</w:t>
      </w:r>
    </w:p>
    <w:p w14:paraId="37828EC7" w14:textId="55B22132" w:rsidR="005F7A03" w:rsidRPr="000665B0" w:rsidRDefault="005F7A03" w:rsidP="00474A1F">
      <w:pPr>
        <w:tabs>
          <w:tab w:val="left" w:pos="720"/>
        </w:tabs>
      </w:pPr>
      <w:r w:rsidRPr="000665B0">
        <w:t>A particular mission may require a combination of several Primaries, Backups, ReadySpares, etc. AutoPM3 considers this group of missiles as a unit</w:t>
      </w:r>
      <w:r w:rsidR="004C2538" w:rsidRPr="000665B0">
        <w:t xml:space="preserve"> and</w:t>
      </w:r>
      <w:r w:rsidRPr="000665B0">
        <w:t xml:space="preserve"> will not allocate partial tasks. For example, assume that a task contains 2 Primaries, 2 Backups</w:t>
      </w:r>
      <w:r w:rsidR="00AD04B4" w:rsidRPr="000665B0">
        <w:t>,</w:t>
      </w:r>
      <w:r w:rsidRPr="000665B0">
        <w:t xml:space="preserve"> and a ReadySpare. If A</w:t>
      </w:r>
      <w:r w:rsidR="00020E9F" w:rsidRPr="000665B0">
        <w:t xml:space="preserve">uto </w:t>
      </w:r>
      <w:r w:rsidRPr="000665B0">
        <w:t xml:space="preserve">PM3 can allocate all </w:t>
      </w:r>
      <w:r w:rsidR="004C2538" w:rsidRPr="000665B0">
        <w:t xml:space="preserve">missiles </w:t>
      </w:r>
      <w:r w:rsidRPr="000665B0">
        <w:t xml:space="preserve">except for 1 Backup, it will </w:t>
      </w:r>
      <w:r w:rsidR="004C2538" w:rsidRPr="000665B0">
        <w:t xml:space="preserve">determine </w:t>
      </w:r>
      <w:r w:rsidRPr="000665B0">
        <w:t>that the entire task is not</w:t>
      </w:r>
      <w:r w:rsidR="004C2538" w:rsidRPr="000665B0">
        <w:t xml:space="preserve"> </w:t>
      </w:r>
      <w:r w:rsidRPr="000665B0">
        <w:lastRenderedPageBreak/>
        <w:t>allocatable</w:t>
      </w:r>
      <w:r w:rsidR="004C2538" w:rsidRPr="000665B0">
        <w:t>.</w:t>
      </w:r>
      <w:r w:rsidR="005B5C73" w:rsidRPr="000665B0">
        <w:t xml:space="preserve"> </w:t>
      </w:r>
      <w:r w:rsidR="000A7C31" w:rsidRPr="000665B0">
        <w:t xml:space="preserve">When at least one primary cannot be assigned to </w:t>
      </w:r>
      <w:r w:rsidR="000A7C31" w:rsidRPr="000665B0">
        <w:rPr>
          <w:i/>
        </w:rPr>
        <w:t>all</w:t>
      </w:r>
      <w:r w:rsidR="000A7C31" w:rsidRPr="000665B0">
        <w:t xml:space="preserve"> missions of an Attack Plan ID, then all missions for that Attack Plan ID will be completely unallocated</w:t>
      </w:r>
      <w:r w:rsidR="005B5C73" w:rsidRPr="000665B0">
        <w:t>.</w:t>
      </w:r>
    </w:p>
    <w:p w14:paraId="26AC3CBD" w14:textId="77777777" w:rsidR="005F7A03" w:rsidRPr="000665B0" w:rsidRDefault="005F7A03" w:rsidP="00AF5578">
      <w:pPr>
        <w:keepNext/>
        <w:tabs>
          <w:tab w:val="left" w:pos="720"/>
        </w:tabs>
      </w:pPr>
      <w:r w:rsidRPr="000665B0">
        <w:t xml:space="preserve">From the </w:t>
      </w:r>
      <w:r w:rsidRPr="000665B0">
        <w:rPr>
          <w:bCs/>
          <w:i/>
        </w:rPr>
        <w:t>Auto PM3 for Strike Option XXXXX-XXXXX-XXXXX</w:t>
      </w:r>
      <w:r w:rsidRPr="000665B0">
        <w:t xml:space="preserve"> window the following can be done:</w:t>
      </w:r>
    </w:p>
    <w:p w14:paraId="38A2ED56" w14:textId="77777777" w:rsidR="00846672" w:rsidRPr="000665B0" w:rsidRDefault="00846672" w:rsidP="006D5A65">
      <w:pPr>
        <w:pStyle w:val="Heading1"/>
      </w:pPr>
      <w:r w:rsidRPr="000665B0">
        <w:t>The View Allocations from list can be changed to show all allocations or allocations for a particular FRU.</w:t>
      </w:r>
    </w:p>
    <w:p w14:paraId="5D77CB71" w14:textId="77777777" w:rsidR="00846672" w:rsidRPr="000665B0" w:rsidRDefault="00846672" w:rsidP="006D5A65">
      <w:pPr>
        <w:pStyle w:val="Heading1"/>
      </w:pPr>
      <w:r w:rsidRPr="000665B0">
        <w:t>The Show list can be changed to show only Proposed assignments or both Current and Proposed reservations. The Status column in the list view indicates if the assignment is proposed or current.</w:t>
      </w:r>
    </w:p>
    <w:p w14:paraId="57C487AA" w14:textId="24CFDA96" w:rsidR="005F7A03" w:rsidRPr="000665B0" w:rsidRDefault="005F7A03" w:rsidP="006D5A65">
      <w:pPr>
        <w:pStyle w:val="Heading1"/>
      </w:pPr>
      <w:r w:rsidRPr="000665B0">
        <w:t xml:space="preserve">The Pie Chart shows the distribution of allocations across all platforms. </w:t>
      </w:r>
      <w:r w:rsidR="00522CC3" w:rsidRPr="000665B0">
        <w:t xml:space="preserve">Hover </w:t>
      </w:r>
      <w:r w:rsidRPr="000665B0">
        <w:t>the mouse over a pie chart slice to see the number of missiles that should be allocated to that platform. This number includes both existing and proposed reservations.</w:t>
      </w:r>
    </w:p>
    <w:p w14:paraId="299567E4" w14:textId="5501674F" w:rsidR="005F7A03" w:rsidRPr="000665B0" w:rsidRDefault="00522CC3" w:rsidP="00474A1F">
      <w:pPr>
        <w:tabs>
          <w:tab w:val="left" w:pos="720"/>
        </w:tabs>
        <w:jc w:val="center"/>
      </w:pPr>
      <w:r w:rsidRPr="000665B0">
        <w:rPr>
          <w:noProof/>
        </w:rPr>
        <w:drawing>
          <wp:inline distT="0" distB="0" distL="0" distR="0" wp14:anchorId="6D3CF606" wp14:editId="76DE3794">
            <wp:extent cx="1828800" cy="2523744"/>
            <wp:effectExtent l="0" t="0" r="0" b="0"/>
            <wp:docPr id="2126" name="Picture 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8800" cy="2523744"/>
                    </a:xfrm>
                    <a:prstGeom prst="rect">
                      <a:avLst/>
                    </a:prstGeom>
                  </pic:spPr>
                </pic:pic>
              </a:graphicData>
            </a:graphic>
          </wp:inline>
        </w:drawing>
      </w:r>
    </w:p>
    <w:p w14:paraId="63BF5537" w14:textId="2B07585C" w:rsidR="005F7A03" w:rsidRPr="000665B0" w:rsidRDefault="005F7A03" w:rsidP="006D5A65">
      <w:pPr>
        <w:pStyle w:val="Heading1"/>
      </w:pPr>
      <w:r w:rsidRPr="000665B0">
        <w:t xml:space="preserve">Select a </w:t>
      </w:r>
      <w:r w:rsidR="00846672" w:rsidRPr="000665B0">
        <w:t xml:space="preserve">pie slice </w:t>
      </w:r>
      <w:r w:rsidRPr="000665B0">
        <w:t xml:space="preserve">and </w:t>
      </w:r>
      <w:r w:rsidR="00846672" w:rsidRPr="000665B0">
        <w:t>invoke the</w:t>
      </w:r>
      <w:r w:rsidRPr="000665B0">
        <w:t xml:space="preserve"> context menu</w:t>
      </w:r>
      <w:r w:rsidR="00846672" w:rsidRPr="000665B0">
        <w:t xml:space="preserve"> (right</w:t>
      </w:r>
      <w:r w:rsidR="001B3E68" w:rsidRPr="000665B0">
        <w:t>-</w:t>
      </w:r>
      <w:r w:rsidR="00846672" w:rsidRPr="000665B0">
        <w:t>click the mouse)</w:t>
      </w:r>
      <w:r w:rsidRPr="000665B0">
        <w:t xml:space="preserve"> to </w:t>
      </w:r>
      <w:r w:rsidR="00846672" w:rsidRPr="000665B0">
        <w:t xml:space="preserve">view </w:t>
      </w:r>
      <w:r w:rsidRPr="000665B0">
        <w:t>the Missile Inventory Graphically and the Proposed CALA</w:t>
      </w:r>
      <w:r w:rsidR="00846672" w:rsidRPr="000665B0">
        <w:t xml:space="preserve"> for the selected FRU</w:t>
      </w:r>
      <w:r w:rsidRPr="000665B0">
        <w:t>:</w:t>
      </w:r>
    </w:p>
    <w:p w14:paraId="3E351272" w14:textId="31E53218" w:rsidR="005F7A03" w:rsidRPr="000665B0" w:rsidRDefault="00186CAA" w:rsidP="00474A1F">
      <w:pPr>
        <w:tabs>
          <w:tab w:val="left" w:pos="720"/>
        </w:tabs>
        <w:jc w:val="center"/>
      </w:pPr>
      <w:r w:rsidRPr="000665B0">
        <w:rPr>
          <w:noProof/>
        </w:rPr>
        <w:drawing>
          <wp:inline distT="0" distB="0" distL="0" distR="0" wp14:anchorId="6F536C64" wp14:editId="17B7EA77">
            <wp:extent cx="1828800" cy="1344168"/>
            <wp:effectExtent l="0" t="0" r="0" b="0"/>
            <wp:docPr id="2127" name="Picture 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8800" cy="1344168"/>
                    </a:xfrm>
                    <a:prstGeom prst="rect">
                      <a:avLst/>
                    </a:prstGeom>
                  </pic:spPr>
                </pic:pic>
              </a:graphicData>
            </a:graphic>
          </wp:inline>
        </w:drawing>
      </w:r>
    </w:p>
    <w:p w14:paraId="151175BC" w14:textId="40BF87E1" w:rsidR="005F7A03" w:rsidRPr="000665B0" w:rsidRDefault="005F7A03" w:rsidP="006D5A65">
      <w:pPr>
        <w:pStyle w:val="Heading1"/>
      </w:pPr>
      <w:r w:rsidRPr="000665B0">
        <w:lastRenderedPageBreak/>
        <w:t>The Missile Inventory Graphical display show</w:t>
      </w:r>
      <w:r w:rsidR="008B1631" w:rsidRPr="000665B0">
        <w:t>s</w:t>
      </w:r>
      <w:r w:rsidRPr="000665B0">
        <w:t xml:space="preserve"> the assignments for the FRU that the algorithm is suggesting</w:t>
      </w:r>
      <w:r w:rsidR="00186CAA" w:rsidRPr="000665B0">
        <w:t>.</w:t>
      </w:r>
    </w:p>
    <w:p w14:paraId="48213197" w14:textId="34D23CBA" w:rsidR="00186CAA" w:rsidRPr="000665B0" w:rsidRDefault="00186CAA" w:rsidP="006D5A65">
      <w:pPr>
        <w:pStyle w:val="Heading2"/>
      </w:pPr>
      <w:r w:rsidRPr="000665B0">
        <w:t xml:space="preserve">For missile IDs that contain the 4-character missile type (see </w:t>
      </w:r>
      <w:hyperlink w:anchor="_4_-Character_Missile" w:history="1">
        <w:r w:rsidRPr="000665B0">
          <w:rPr>
            <w:rStyle w:val="Hyperlink"/>
          </w:rPr>
          <w:t>Section 5.</w:t>
        </w:r>
        <w:r w:rsidR="00DD2577">
          <w:rPr>
            <w:rStyle w:val="Hyperlink"/>
          </w:rPr>
          <w:t>1</w:t>
        </w:r>
        <w:r w:rsidR="006E3370">
          <w:rPr>
            <w:rStyle w:val="Hyperlink"/>
          </w:rPr>
          <w:t>4</w:t>
        </w:r>
        <w:r w:rsidRPr="000665B0">
          <w:rPr>
            <w:rStyle w:val="Hyperlink"/>
          </w:rPr>
          <w:t>.1</w:t>
        </w:r>
      </w:hyperlink>
      <w:r w:rsidRPr="000665B0">
        <w:t xml:space="preserve">), hover the mouse over the specific missile ID to display a </w:t>
      </w:r>
      <w:r w:rsidR="00130ED4">
        <w:t>tooltip</w:t>
      </w:r>
      <w:r w:rsidRPr="000665B0">
        <w:t xml:space="preserve"> with additional information about the missile.</w:t>
      </w:r>
    </w:p>
    <w:p w14:paraId="59DE6A5D" w14:textId="571DB37E" w:rsidR="005F7A03" w:rsidRPr="000665B0" w:rsidRDefault="00724798" w:rsidP="00474A1F">
      <w:pPr>
        <w:tabs>
          <w:tab w:val="left" w:pos="720"/>
        </w:tabs>
        <w:jc w:val="center"/>
      </w:pPr>
      <w:r>
        <w:rPr>
          <w:noProof/>
        </w:rPr>
        <w:drawing>
          <wp:inline distT="0" distB="0" distL="0" distR="0" wp14:anchorId="4AB9A208" wp14:editId="4B9C7C9E">
            <wp:extent cx="4084320" cy="2485196"/>
            <wp:effectExtent l="0" t="0" r="0" b="0"/>
            <wp:docPr id="891733688" name="Picture 1" descr="Graphical user interfa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33688" name="Picture 1" descr="Graphical user interface, diagram&#10;&#10;AI-generated content may be incorrect."/>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099198" cy="2494249"/>
                    </a:xfrm>
                    <a:prstGeom prst="rect">
                      <a:avLst/>
                    </a:prstGeom>
                    <a:noFill/>
                    <a:ln>
                      <a:noFill/>
                    </a:ln>
                  </pic:spPr>
                </pic:pic>
              </a:graphicData>
            </a:graphic>
          </wp:inline>
        </w:drawing>
      </w:r>
    </w:p>
    <w:p w14:paraId="44A34D0C" w14:textId="20871D8F" w:rsidR="005F7A03" w:rsidRPr="000665B0" w:rsidRDefault="005F7A03" w:rsidP="006D5A65">
      <w:pPr>
        <w:pStyle w:val="Heading1"/>
      </w:pPr>
      <w:r w:rsidRPr="000665B0">
        <w:t xml:space="preserve">The Proposed CALA </w:t>
      </w:r>
      <w:r w:rsidR="00846672" w:rsidRPr="000665B0">
        <w:t>displays</w:t>
      </w:r>
      <w:r w:rsidRPr="000665B0">
        <w:t xml:space="preserve"> the CALA consisting of the existing reservations and proposed reservations. If no CALA </w:t>
      </w:r>
      <w:r w:rsidR="00A93DCC" w:rsidRPr="000665B0">
        <w:t>exists,</w:t>
      </w:r>
      <w:r w:rsidRPr="000665B0">
        <w:t xml:space="preserve"> </w:t>
      </w:r>
      <w:r w:rsidR="009E7582" w:rsidRPr="000665B0">
        <w:t xml:space="preserve">then </w:t>
      </w:r>
      <w:r w:rsidRPr="000665B0">
        <w:t>the condition N</w:t>
      </w:r>
      <w:r w:rsidR="00846672" w:rsidRPr="000665B0">
        <w:t>o</w:t>
      </w:r>
      <w:r w:rsidRPr="000665B0">
        <w:t xml:space="preserve"> I</w:t>
      </w:r>
      <w:r w:rsidR="00846672" w:rsidRPr="000665B0">
        <w:t>ntersection</w:t>
      </w:r>
      <w:r w:rsidRPr="000665B0">
        <w:t xml:space="preserve"> will be noted in </w:t>
      </w:r>
      <w:r w:rsidR="00846672" w:rsidRPr="000665B0">
        <w:t>the Geo O</w:t>
      </w:r>
      <w:r w:rsidRPr="000665B0">
        <w:t xml:space="preserve">bject manager node. A user can turn off and on the </w:t>
      </w:r>
      <w:r w:rsidRPr="000665B0">
        <w:lastRenderedPageBreak/>
        <w:t xml:space="preserve">assignments to determine which missiles are causing a CALA to not exist: </w:t>
      </w:r>
    </w:p>
    <w:p w14:paraId="47CFA857" w14:textId="58A2E254" w:rsidR="001B4723" w:rsidRPr="000665B0" w:rsidRDefault="00186CAA" w:rsidP="00474A1F">
      <w:pPr>
        <w:tabs>
          <w:tab w:val="left" w:pos="720"/>
        </w:tabs>
        <w:jc w:val="center"/>
      </w:pPr>
      <w:r w:rsidRPr="000665B0">
        <w:rPr>
          <w:noProof/>
        </w:rPr>
        <w:drawing>
          <wp:inline distT="0" distB="0" distL="0" distR="0" wp14:anchorId="078FC4F8" wp14:editId="3C369A32">
            <wp:extent cx="4114800" cy="3300984"/>
            <wp:effectExtent l="0" t="0" r="0" b="0"/>
            <wp:docPr id="2133" name="Picture 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3300984"/>
                    </a:xfrm>
                    <a:prstGeom prst="rect">
                      <a:avLst/>
                    </a:prstGeom>
                  </pic:spPr>
                </pic:pic>
              </a:graphicData>
            </a:graphic>
          </wp:inline>
        </w:drawing>
      </w:r>
    </w:p>
    <w:p w14:paraId="0479E96D" w14:textId="7218BCE0" w:rsidR="005F7A03" w:rsidRPr="000665B0" w:rsidRDefault="005F7A03" w:rsidP="006D5A65">
      <w:pPr>
        <w:pStyle w:val="Heading1"/>
      </w:pPr>
      <w:r w:rsidRPr="000665B0">
        <w:t xml:space="preserve">The </w:t>
      </w:r>
      <w:r w:rsidRPr="000665B0">
        <w:rPr>
          <w:i/>
        </w:rPr>
        <w:t xml:space="preserve">Auto PM3 </w:t>
      </w:r>
      <w:r w:rsidR="0094151D" w:rsidRPr="000665B0">
        <w:rPr>
          <w:i/>
        </w:rPr>
        <w:t>for Strike Option</w:t>
      </w:r>
      <w:r w:rsidR="0094151D" w:rsidRPr="000665B0">
        <w:t xml:space="preserve"> window </w:t>
      </w:r>
      <w:r w:rsidRPr="000665B0">
        <w:t>list view s</w:t>
      </w:r>
      <w:r w:rsidR="00D56911" w:rsidRPr="000665B0">
        <w:t xml:space="preserve">hows the following </w:t>
      </w:r>
      <w:r w:rsidR="0094151D" w:rsidRPr="000665B0">
        <w:t>columns</w:t>
      </w:r>
      <w:r w:rsidR="00D56911" w:rsidRPr="000665B0">
        <w:t>:</w:t>
      </w:r>
    </w:p>
    <w:p w14:paraId="53FCA994" w14:textId="77777777" w:rsidR="005F7A03" w:rsidRPr="000665B0" w:rsidRDefault="005F7A03" w:rsidP="006D5A65">
      <w:pPr>
        <w:pStyle w:val="Heading1"/>
      </w:pPr>
      <w:r w:rsidRPr="000665B0">
        <w:t>Obj ID – The tasking objective ID</w:t>
      </w:r>
      <w:r w:rsidR="00D56911" w:rsidRPr="000665B0">
        <w:t>.</w:t>
      </w:r>
    </w:p>
    <w:p w14:paraId="1F026856" w14:textId="77777777" w:rsidR="005F7A03" w:rsidRPr="000665B0" w:rsidRDefault="005F7A03" w:rsidP="006D5A65">
      <w:pPr>
        <w:pStyle w:val="Heading1"/>
      </w:pPr>
      <w:r w:rsidRPr="000665B0">
        <w:t>Target Type – Target (Reference) Type – BE, JDPI, TTN, UIC.</w:t>
      </w:r>
    </w:p>
    <w:p w14:paraId="3A696F5A" w14:textId="77777777" w:rsidR="005F7A03" w:rsidRPr="000665B0" w:rsidRDefault="005F7A03" w:rsidP="006D5A65">
      <w:pPr>
        <w:pStyle w:val="Heading1"/>
      </w:pPr>
      <w:r w:rsidRPr="000665B0">
        <w:t>Target – Target ID.</w:t>
      </w:r>
    </w:p>
    <w:p w14:paraId="79E1ADCD" w14:textId="77777777" w:rsidR="005F7A03" w:rsidRPr="000665B0" w:rsidRDefault="005F7A03" w:rsidP="006D5A65">
      <w:pPr>
        <w:pStyle w:val="Heading1"/>
      </w:pPr>
      <w:r w:rsidRPr="000665B0">
        <w:t>Trigraph – Shooter’s Trigraph.</w:t>
      </w:r>
    </w:p>
    <w:p w14:paraId="3D2AFD15" w14:textId="77777777" w:rsidR="00B84123" w:rsidRPr="000665B0" w:rsidRDefault="00B84123" w:rsidP="006D5A65">
      <w:pPr>
        <w:pStyle w:val="Heading1"/>
      </w:pPr>
      <w:r w:rsidRPr="000665B0">
        <w:t>Geofeasible – The geographic feasibility of a platform to execute the assigned mission while complying with geographical constraints, if any, such as prohibited area, flight corridor, heading towards FPPWP, and missile range.</w:t>
      </w:r>
    </w:p>
    <w:p w14:paraId="5A116248" w14:textId="77777777" w:rsidR="005F7A03" w:rsidRPr="000665B0" w:rsidRDefault="005F7A03" w:rsidP="006D5A65">
      <w:pPr>
        <w:pStyle w:val="Heading1"/>
      </w:pPr>
      <w:r w:rsidRPr="000665B0">
        <w:t>RSV – P, RS, ARS, B, BP, G</w:t>
      </w:r>
      <w:r w:rsidR="00D56911" w:rsidRPr="000665B0">
        <w:t>.</w:t>
      </w:r>
    </w:p>
    <w:p w14:paraId="67F44EB4" w14:textId="77777777" w:rsidR="005F7A03" w:rsidRPr="000665B0" w:rsidRDefault="005F7A03" w:rsidP="006D5A65">
      <w:pPr>
        <w:pStyle w:val="Heading1"/>
      </w:pPr>
      <w:r w:rsidRPr="000665B0">
        <w:t>Mission ID – The Mission ID.</w:t>
      </w:r>
    </w:p>
    <w:p w14:paraId="227C3479" w14:textId="77777777" w:rsidR="005F7A03" w:rsidRPr="000665B0" w:rsidRDefault="005F7A03" w:rsidP="006D5A65">
      <w:pPr>
        <w:pStyle w:val="Heading1"/>
      </w:pPr>
      <w:r w:rsidRPr="000665B0">
        <w:t>Outcome – The Mission Outcome.</w:t>
      </w:r>
    </w:p>
    <w:p w14:paraId="11F5BAB6" w14:textId="77777777" w:rsidR="005F7A03" w:rsidRPr="000665B0" w:rsidRDefault="005F7A03" w:rsidP="006D5A65">
      <w:pPr>
        <w:pStyle w:val="Heading1"/>
      </w:pPr>
      <w:r w:rsidRPr="000665B0">
        <w:t>Segment Number – The Mission Segment Number.</w:t>
      </w:r>
    </w:p>
    <w:p w14:paraId="1B0886CD" w14:textId="5080725C" w:rsidR="005F7A03" w:rsidRPr="000665B0" w:rsidRDefault="005F7A03" w:rsidP="006D5A65">
      <w:pPr>
        <w:pStyle w:val="Heading1"/>
      </w:pPr>
      <w:r w:rsidRPr="000665B0">
        <w:t>Variant</w:t>
      </w:r>
      <w:r w:rsidR="00C82AAD" w:rsidRPr="000665B0">
        <w:t xml:space="preserve"> </w:t>
      </w:r>
      <w:r w:rsidRPr="000665B0">
        <w:t xml:space="preserve">– Missile </w:t>
      </w:r>
      <w:r w:rsidR="007B1E59" w:rsidRPr="000665B0">
        <w:t xml:space="preserve">variant </w:t>
      </w:r>
      <w:r w:rsidR="001529E5" w:rsidRPr="000665B0">
        <w:t>e.g</w:t>
      </w:r>
      <w:r w:rsidRPr="000665B0">
        <w:t>.</w:t>
      </w:r>
      <w:r w:rsidR="00872EEF" w:rsidRPr="000665B0">
        <w:t>,</w:t>
      </w:r>
      <w:r w:rsidR="00F303DA" w:rsidRPr="000665B0">
        <w:t xml:space="preserve"> </w:t>
      </w:r>
      <w:r w:rsidRPr="000665B0">
        <w:t>109E</w:t>
      </w:r>
      <w:r w:rsidR="00D56911" w:rsidRPr="000665B0">
        <w:t>.</w:t>
      </w:r>
    </w:p>
    <w:p w14:paraId="22CA0369" w14:textId="77777777" w:rsidR="00B84123" w:rsidRPr="000665B0" w:rsidRDefault="00B84123" w:rsidP="006D5A65">
      <w:pPr>
        <w:pStyle w:val="Heading1"/>
      </w:pPr>
      <w:r w:rsidRPr="000665B0">
        <w:t>MS# – Missile Sequence Number.</w:t>
      </w:r>
    </w:p>
    <w:p w14:paraId="3AF1A6D7" w14:textId="77777777" w:rsidR="00B84123" w:rsidRPr="000665B0" w:rsidRDefault="00B84123" w:rsidP="006D5A65">
      <w:pPr>
        <w:pStyle w:val="Heading1"/>
      </w:pPr>
      <w:r w:rsidRPr="000665B0">
        <w:t>Cell – FRU’s Cell where missile is located.</w:t>
      </w:r>
    </w:p>
    <w:p w14:paraId="639A5BD2" w14:textId="77777777" w:rsidR="00B84123" w:rsidRPr="000665B0" w:rsidRDefault="00B84123" w:rsidP="006D5A65">
      <w:pPr>
        <w:pStyle w:val="Heading1"/>
      </w:pPr>
      <w:r w:rsidRPr="000665B0">
        <w:t>Status – Proposed, Current.</w:t>
      </w:r>
    </w:p>
    <w:p w14:paraId="701A45F7" w14:textId="297BBFD8" w:rsidR="00B84123" w:rsidRPr="000665B0" w:rsidRDefault="00B84123" w:rsidP="006D5A65">
      <w:pPr>
        <w:pStyle w:val="Heading1"/>
      </w:pPr>
      <w:r w:rsidRPr="000665B0">
        <w:t xml:space="preserve">TSN Strategy – The TSN type requested (ACA Only, DAMA Only, ACA First, or DAMA First) of a 109E missile. It is blank for Block </w:t>
      </w:r>
      <w:r w:rsidRPr="000665B0">
        <w:lastRenderedPageBreak/>
        <w:t>III missiles.</w:t>
      </w:r>
      <w:r w:rsidR="00435623">
        <w:t xml:space="preserve"> It is ACA Only for MSTM</w:t>
      </w:r>
      <w:r w:rsidR="00724798">
        <w:t>,</w:t>
      </w:r>
      <w:r w:rsidR="00435623">
        <w:t xml:space="preserve"> 109M missiles</w:t>
      </w:r>
      <w:r w:rsidR="00724798">
        <w:t xml:space="preserve"> and ACP missiles</w:t>
      </w:r>
      <w:r w:rsidR="00435623">
        <w:t>.</w:t>
      </w:r>
    </w:p>
    <w:p w14:paraId="3AFAF923" w14:textId="0B7B777F" w:rsidR="00B84123" w:rsidRPr="000665B0" w:rsidRDefault="00B84123" w:rsidP="006D5A65">
      <w:pPr>
        <w:pStyle w:val="Heading1"/>
      </w:pPr>
      <w:r w:rsidRPr="000665B0">
        <w:t>TSN Assigned – The TSN type assigned (ACA or DAMA) of a 109E missile. It is blank for Block III missiles.</w:t>
      </w:r>
      <w:r w:rsidR="00435623">
        <w:t xml:space="preserve"> It is ACA Only for MSTM</w:t>
      </w:r>
      <w:r w:rsidR="00724798">
        <w:t>,</w:t>
      </w:r>
      <w:r w:rsidR="00435623">
        <w:t xml:space="preserve"> 109M missiles</w:t>
      </w:r>
      <w:r w:rsidR="00724798">
        <w:t xml:space="preserve"> and ACP missiles</w:t>
      </w:r>
      <w:r w:rsidR="00435623">
        <w:t>.</w:t>
      </w:r>
    </w:p>
    <w:p w14:paraId="52B9342C" w14:textId="7A85BFC7" w:rsidR="00B84123" w:rsidRPr="000665B0" w:rsidRDefault="00B84123" w:rsidP="006D5A65">
      <w:pPr>
        <w:pStyle w:val="Heading1"/>
      </w:pPr>
      <w:r w:rsidRPr="000665B0">
        <w:t xml:space="preserve">Serial # – A </w:t>
      </w:r>
      <w:r w:rsidR="00A93DCC" w:rsidRPr="000665B0">
        <w:t>6-digit</w:t>
      </w:r>
      <w:r w:rsidRPr="000665B0">
        <w:t xml:space="preserve"> numeric missile Tail number.</w:t>
      </w:r>
    </w:p>
    <w:p w14:paraId="7E19E5DA" w14:textId="77777777" w:rsidR="001A3128" w:rsidRPr="000665B0" w:rsidRDefault="001A3128" w:rsidP="006D5A65">
      <w:pPr>
        <w:pStyle w:val="Heading1"/>
      </w:pPr>
      <w:r w:rsidRPr="000665B0">
        <w:t>Tail # Msn – Indicates that the mission that the missile is paired to is assignable to missiles that are identified by tail number instead of by missile ID code.</w:t>
      </w:r>
    </w:p>
    <w:p w14:paraId="3ECA163C" w14:textId="77777777" w:rsidR="00B84123" w:rsidRPr="000665B0" w:rsidRDefault="00B84123" w:rsidP="006D5A65">
      <w:pPr>
        <w:pStyle w:val="Heading1"/>
      </w:pPr>
      <w:r w:rsidRPr="000665B0">
        <w:t>TAR Type – Target Attack Requirements type for the target associated with the Attack Plan TMPR.</w:t>
      </w:r>
    </w:p>
    <w:p w14:paraId="5F58E331" w14:textId="559BA0AB" w:rsidR="00042AB6" w:rsidRPr="000665B0" w:rsidRDefault="00042AB6" w:rsidP="006D5A65">
      <w:pPr>
        <w:pStyle w:val="Heading1"/>
      </w:pPr>
      <w:r w:rsidRPr="000665B0">
        <w:t>TMPR ID – The ID for a specific TMPR.</w:t>
      </w:r>
    </w:p>
    <w:p w14:paraId="7428D54C" w14:textId="5FDD6047" w:rsidR="00042AB6" w:rsidRPr="000665B0" w:rsidRDefault="00042AB6" w:rsidP="006D5A65">
      <w:pPr>
        <w:pStyle w:val="Heading1"/>
      </w:pPr>
      <w:r w:rsidRPr="000665B0">
        <w:t>Attack Plan ID – Attack Plan ID associated with the Attack Plan TMPR.</w:t>
      </w:r>
    </w:p>
    <w:p w14:paraId="46BE5B5C" w14:textId="77777777" w:rsidR="00B84123" w:rsidRPr="000665B0" w:rsidRDefault="00B84123" w:rsidP="006D5A65">
      <w:pPr>
        <w:pStyle w:val="Heading1"/>
      </w:pPr>
      <w:r w:rsidRPr="000665B0">
        <w:t>APM# – Attack Plan Mission Number indicates the nth mission and the total number of missions requested in the Attack Plan (e.g., “2/10” indicates the 2</w:t>
      </w:r>
      <w:r w:rsidRPr="000665B0">
        <w:rPr>
          <w:vertAlign w:val="superscript"/>
        </w:rPr>
        <w:t>nd</w:t>
      </w:r>
      <w:r w:rsidRPr="000665B0">
        <w:t xml:space="preserve"> mission of a 10-mission Attack Plan TMPR).</w:t>
      </w:r>
    </w:p>
    <w:p w14:paraId="7942962C" w14:textId="77777777" w:rsidR="005F7A03" w:rsidRPr="000665B0" w:rsidRDefault="005F7A03" w:rsidP="006D5A65">
      <w:pPr>
        <w:pStyle w:val="Heading1"/>
      </w:pPr>
      <w:r w:rsidRPr="000665B0">
        <w:t>Assigned Time – NOT USED.</w:t>
      </w:r>
    </w:p>
    <w:p w14:paraId="0A8816B7" w14:textId="77777777" w:rsidR="005F7A03" w:rsidRPr="000665B0" w:rsidRDefault="005F7A03" w:rsidP="006D5A65">
      <w:pPr>
        <w:pStyle w:val="Heading1"/>
      </w:pPr>
      <w:r w:rsidRPr="000665B0">
        <w:t>Mission Type – Mission, LMO, TMPR.</w:t>
      </w:r>
    </w:p>
    <w:p w14:paraId="21DC205B" w14:textId="77777777" w:rsidR="005F7A03" w:rsidRPr="000665B0" w:rsidRDefault="005F7A03" w:rsidP="006D5A65">
      <w:pPr>
        <w:pStyle w:val="Heading1"/>
      </w:pPr>
      <w:r w:rsidRPr="000665B0">
        <w:t>Platform ID – Shooter’s Platform ID.</w:t>
      </w:r>
    </w:p>
    <w:p w14:paraId="232952E7" w14:textId="77777777" w:rsidR="00B84123" w:rsidRPr="000665B0" w:rsidRDefault="00B84123" w:rsidP="006D5A65">
      <w:pPr>
        <w:pStyle w:val="Heading1"/>
      </w:pPr>
      <w:r w:rsidRPr="000665B0">
        <w:t>Target ID(2) – For internal use.</w:t>
      </w:r>
    </w:p>
    <w:p w14:paraId="14D20D8A" w14:textId="77777777" w:rsidR="005F7A03" w:rsidRPr="000665B0" w:rsidRDefault="005F7A03" w:rsidP="006D5A65">
      <w:pPr>
        <w:pStyle w:val="Heading1"/>
      </w:pPr>
      <w:r w:rsidRPr="000665B0">
        <w:t>Tasking ID – For internal use.</w:t>
      </w:r>
    </w:p>
    <w:p w14:paraId="0D5A3FE1" w14:textId="77777777" w:rsidR="005F7A03" w:rsidRPr="000665B0" w:rsidRDefault="005F7A03" w:rsidP="006D5A65">
      <w:pPr>
        <w:pStyle w:val="Heading1"/>
      </w:pPr>
      <w:r w:rsidRPr="000665B0">
        <w:t>Selecting Assignment</w:t>
      </w:r>
      <w:r w:rsidR="00BD0CBC" w:rsidRPr="000665B0">
        <w:t>(</w:t>
      </w:r>
      <w:r w:rsidRPr="000665B0">
        <w:t>s</w:t>
      </w:r>
      <w:r w:rsidR="00BD0CBC" w:rsidRPr="000665B0">
        <w:t>)</w:t>
      </w:r>
      <w:r w:rsidRPr="000665B0">
        <w:t xml:space="preserve"> in the list view and clicking the Reserve button turn</w:t>
      </w:r>
      <w:r w:rsidR="00BD0CBC" w:rsidRPr="000665B0">
        <w:t>s</w:t>
      </w:r>
      <w:r w:rsidRPr="000665B0">
        <w:t xml:space="preserve"> these recommended assignments into actual missile reservations for the option. Auto PM3 makes assignment suggestions. They are not turned into actual reservations without user review. </w:t>
      </w:r>
      <w:r w:rsidR="00BD0CBC" w:rsidRPr="000665B0">
        <w:t>A</w:t>
      </w:r>
      <w:r w:rsidRPr="000665B0">
        <w:t xml:space="preserve"> user can choose to accept all proposed assignments, a sub-set, or none.</w:t>
      </w:r>
      <w:r w:rsidR="008A586F" w:rsidRPr="000665B0">
        <w:t xml:space="preserve"> After clicking the Reserve button for the selected missiles (or all), click the Save icon or the menu item File</w:t>
      </w:r>
      <w:r w:rsidR="008A586F" w:rsidRPr="000665B0">
        <w:rPr>
          <w:i/>
        </w:rPr>
        <w:t xml:space="preserve"> </w:t>
      </w:r>
      <w:r w:rsidR="008A586F" w:rsidRPr="000665B0">
        <w:sym w:font="Wingdings" w:char="F0E0"/>
      </w:r>
      <w:r w:rsidR="008A586F" w:rsidRPr="000665B0">
        <w:rPr>
          <w:i/>
        </w:rPr>
        <w:t xml:space="preserve"> </w:t>
      </w:r>
      <w:r w:rsidR="008A586F" w:rsidRPr="000665B0">
        <w:t>Save</w:t>
      </w:r>
      <w:r w:rsidR="008A586F" w:rsidRPr="000665B0">
        <w:rPr>
          <w:i/>
        </w:rPr>
        <w:t xml:space="preserve"> </w:t>
      </w:r>
      <w:r w:rsidR="008A586F" w:rsidRPr="000665B0">
        <w:t>to actually save the reservation to the option.</w:t>
      </w:r>
    </w:p>
    <w:p w14:paraId="5A514286" w14:textId="77777777" w:rsidR="00097BB6" w:rsidRPr="000665B0" w:rsidRDefault="009A1FDF" w:rsidP="00AD11AC">
      <w:pPr>
        <w:pBdr>
          <w:top w:val="single" w:sz="12" w:space="1" w:color="000000"/>
          <w:left w:val="single" w:sz="12" w:space="4" w:color="000000"/>
          <w:bottom w:val="single" w:sz="12" w:space="1" w:color="000000"/>
          <w:right w:val="single" w:sz="12" w:space="4" w:color="000000"/>
        </w:pBdr>
        <w:shd w:val="clear" w:color="auto" w:fill="F3F3F3"/>
        <w:tabs>
          <w:tab w:val="left" w:pos="720"/>
        </w:tabs>
        <w:rPr>
          <w:b/>
        </w:rPr>
      </w:pPr>
      <w:r w:rsidRPr="000665B0">
        <w:rPr>
          <w:rFonts w:ascii="Arial" w:hAnsi="Arial" w:cs="Arial"/>
          <w:b/>
          <w:noProof/>
          <w:sz w:val="20"/>
        </w:rPr>
        <w:drawing>
          <wp:inline distT="0" distB="0" distL="0" distR="0" wp14:anchorId="701F1547" wp14:editId="052F3E38">
            <wp:extent cx="352425" cy="381000"/>
            <wp:effectExtent l="0" t="0" r="9525" b="0"/>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097BB6" w:rsidRPr="000665B0">
        <w:rPr>
          <w:b/>
        </w:rPr>
        <w:t xml:space="preserve">TIP: It is possible to get a null pointer when reserving missiles in Auto PM3 when </w:t>
      </w:r>
      <w:r w:rsidR="00020E9F" w:rsidRPr="000665B0">
        <w:rPr>
          <w:b/>
        </w:rPr>
        <w:t>double-</w:t>
      </w:r>
      <w:r w:rsidR="00097BB6" w:rsidRPr="000665B0">
        <w:rPr>
          <w:b/>
        </w:rPr>
        <w:t xml:space="preserve">tapping a target with multiple spares. This can </w:t>
      </w:r>
      <w:r w:rsidR="00BD0CBC" w:rsidRPr="000665B0">
        <w:rPr>
          <w:b/>
        </w:rPr>
        <w:t xml:space="preserve">occur </w:t>
      </w:r>
      <w:r w:rsidR="00097BB6" w:rsidRPr="000665B0">
        <w:rPr>
          <w:b/>
        </w:rPr>
        <w:t xml:space="preserve">if </w:t>
      </w:r>
      <w:r w:rsidR="00B507D5" w:rsidRPr="000665B0">
        <w:rPr>
          <w:b/>
        </w:rPr>
        <w:t>there are</w:t>
      </w:r>
      <w:r w:rsidR="00097BB6" w:rsidRPr="000665B0">
        <w:rPr>
          <w:b/>
        </w:rPr>
        <w:t xml:space="preserve"> 2 primary and 2 spare missiles required set for the same mission. </w:t>
      </w:r>
      <w:r w:rsidR="00B507D5" w:rsidRPr="000665B0">
        <w:rPr>
          <w:b/>
        </w:rPr>
        <w:t>In this case,</w:t>
      </w:r>
      <w:r w:rsidR="00097BB6" w:rsidRPr="000665B0">
        <w:rPr>
          <w:b/>
        </w:rPr>
        <w:t xml:space="preserve"> run Auto PM3 </w:t>
      </w:r>
      <w:r w:rsidR="00BD0CBC" w:rsidRPr="000665B0">
        <w:rPr>
          <w:b/>
        </w:rPr>
        <w:t xml:space="preserve">and </w:t>
      </w:r>
      <w:r w:rsidR="00097BB6" w:rsidRPr="000665B0">
        <w:rPr>
          <w:b/>
        </w:rPr>
        <w:t>reserve 1 primary, then reserve 1 spare, and then reserve another spare before reserving the associated primary.</w:t>
      </w:r>
      <w:r w:rsidR="00F303DA" w:rsidRPr="000665B0">
        <w:rPr>
          <w:b/>
        </w:rPr>
        <w:t xml:space="preserve"> </w:t>
      </w:r>
      <w:r w:rsidR="00097BB6" w:rsidRPr="000665B0">
        <w:rPr>
          <w:b/>
        </w:rPr>
        <w:t xml:space="preserve">The null pointer can be avoided by reserving the primaries before the spares. This is only necessary when </w:t>
      </w:r>
      <w:r w:rsidR="00020E9F" w:rsidRPr="000665B0">
        <w:rPr>
          <w:b/>
        </w:rPr>
        <w:t>double-</w:t>
      </w:r>
      <w:r w:rsidR="00097BB6" w:rsidRPr="000665B0">
        <w:rPr>
          <w:b/>
        </w:rPr>
        <w:t>tapping of the mission.</w:t>
      </w:r>
    </w:p>
    <w:p w14:paraId="689D8775" w14:textId="77777777" w:rsidR="00372174" w:rsidRPr="000665B0" w:rsidRDefault="00372174" w:rsidP="006E255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7A71F9D3" w14:textId="7E62889D" w:rsidR="005F7A03" w:rsidRPr="000665B0" w:rsidRDefault="005F7A03" w:rsidP="006E255A">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Auto PM3 Limitations:</w:t>
      </w:r>
    </w:p>
    <w:p w14:paraId="018A0A1E" w14:textId="13CA9040" w:rsidR="005F7A03" w:rsidRDefault="005F7A03" w:rsidP="006E255A">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szCs w:val="24"/>
        </w:rPr>
      </w:pPr>
      <w:r w:rsidRPr="000665B0">
        <w:rPr>
          <w:b/>
        </w:rPr>
        <w:t>Auto PM3 allocations are limited by half-module constraints</w:t>
      </w:r>
      <w:r w:rsidR="00A32391" w:rsidRPr="000665B0">
        <w:rPr>
          <w:b/>
        </w:rPr>
        <w:t xml:space="preserve"> (except for the </w:t>
      </w:r>
      <w:r w:rsidR="002C0686" w:rsidRPr="000665B0">
        <w:rPr>
          <w:b/>
        </w:rPr>
        <w:t>DDG-1000</w:t>
      </w:r>
      <w:r w:rsidR="00A32391" w:rsidRPr="000665B0">
        <w:rPr>
          <w:b/>
        </w:rPr>
        <w:t xml:space="preserve"> platform)</w:t>
      </w:r>
      <w:r w:rsidRPr="000665B0">
        <w:rPr>
          <w:b/>
        </w:rPr>
        <w:t>. These constraints can be eliminated by setting the Auto PM3 Parameter – Half Module Alignment Time to 0 minutes or by setting a high Launch Time Tolerance.</w:t>
      </w:r>
      <w:r w:rsidR="00403162">
        <w:rPr>
          <w:b/>
        </w:rPr>
        <w:t xml:space="preserve"> </w:t>
      </w:r>
    </w:p>
    <w:p w14:paraId="27B2DB1F" w14:textId="23069914" w:rsidR="005F7A03" w:rsidRPr="000665B0" w:rsidRDefault="005F7A03" w:rsidP="00597636">
      <w:pPr>
        <w:tabs>
          <w:tab w:val="left" w:pos="720"/>
        </w:tabs>
      </w:pPr>
      <w:r w:rsidRPr="000665B0">
        <w:lastRenderedPageBreak/>
        <w:t xml:space="preserve">The following table shows the maximum Auto PM3 allocations that can be made when half module constraints are eliminated. It must be noted that this will also apply to FRU Reassignments as the Auto PM3 algorithm is used there </w:t>
      </w:r>
      <w:r w:rsidR="00BD0CBC" w:rsidRPr="000665B0">
        <w:t>as well</w:t>
      </w:r>
      <w:r w:rsidRPr="000665B0">
        <w:t>:</w:t>
      </w:r>
    </w:p>
    <w:tbl>
      <w:tblPr>
        <w:tblStyle w:val="TableGrid"/>
        <w:tblW w:w="0" w:type="auto"/>
        <w:tblInd w:w="-5" w:type="dxa"/>
        <w:tblLook w:val="04A0" w:firstRow="1" w:lastRow="0" w:firstColumn="1" w:lastColumn="0" w:noHBand="0" w:noVBand="1"/>
      </w:tblPr>
      <w:tblGrid>
        <w:gridCol w:w="2182"/>
        <w:gridCol w:w="1078"/>
        <w:gridCol w:w="808"/>
        <w:gridCol w:w="2221"/>
        <w:gridCol w:w="628"/>
        <w:gridCol w:w="1158"/>
        <w:gridCol w:w="1280"/>
      </w:tblGrid>
      <w:tr w:rsidR="00DC0D7F" w:rsidRPr="000665B0" w14:paraId="64EDDE5A" w14:textId="77777777" w:rsidTr="00EE09B4">
        <w:trPr>
          <w:tblHeader/>
        </w:trPr>
        <w:tc>
          <w:tcPr>
            <w:tcW w:w="2182" w:type="dxa"/>
            <w:shd w:val="clear" w:color="auto" w:fill="D9D9D9" w:themeFill="background1" w:themeFillShade="D9"/>
            <w:vAlign w:val="bottom"/>
          </w:tcPr>
          <w:p w14:paraId="150E4778" w14:textId="2939578B" w:rsidR="00DC0D7F" w:rsidRPr="000665B0" w:rsidRDefault="00DC0D7F" w:rsidP="000E21F8">
            <w:pPr>
              <w:spacing w:before="40" w:after="40"/>
              <w:jc w:val="center"/>
              <w:rPr>
                <w:rFonts w:ascii="Arial" w:hAnsi="Arial" w:cs="Arial"/>
                <w:b/>
                <w:bCs/>
                <w:sz w:val="22"/>
                <w:szCs w:val="22"/>
              </w:rPr>
            </w:pPr>
            <w:bookmarkStart w:id="6426" w:name="_5.37.6.1.18__Shift"/>
            <w:bookmarkStart w:id="6427" w:name="_Shift_Strike_Times"/>
            <w:bookmarkStart w:id="6428" w:name="_Toc289328884"/>
            <w:bookmarkEnd w:id="6426"/>
            <w:bookmarkEnd w:id="6427"/>
            <w:r w:rsidRPr="000665B0">
              <w:rPr>
                <w:rFonts w:ascii="Arial" w:hAnsi="Arial" w:cs="Arial"/>
                <w:b/>
                <w:bCs/>
                <w:sz w:val="22"/>
                <w:szCs w:val="22"/>
              </w:rPr>
              <w:t>Platform</w:t>
            </w:r>
          </w:p>
        </w:tc>
        <w:tc>
          <w:tcPr>
            <w:tcW w:w="1078" w:type="dxa"/>
            <w:shd w:val="clear" w:color="auto" w:fill="D9D9D9" w:themeFill="background1" w:themeFillShade="D9"/>
            <w:vAlign w:val="bottom"/>
          </w:tcPr>
          <w:p w14:paraId="5FD87F17" w14:textId="1216DDAB" w:rsidR="00DC0D7F" w:rsidRPr="000665B0" w:rsidRDefault="00DC0D7F" w:rsidP="000E21F8">
            <w:pPr>
              <w:spacing w:before="40" w:after="40"/>
              <w:jc w:val="center"/>
              <w:rPr>
                <w:rFonts w:ascii="Arial" w:hAnsi="Arial" w:cs="Arial"/>
                <w:b/>
                <w:bCs/>
                <w:sz w:val="22"/>
                <w:szCs w:val="22"/>
              </w:rPr>
            </w:pPr>
            <w:r w:rsidRPr="000665B0">
              <w:rPr>
                <w:rFonts w:ascii="Arial" w:hAnsi="Arial" w:cs="Arial"/>
                <w:b/>
                <w:bCs/>
                <w:sz w:val="22"/>
                <w:szCs w:val="22"/>
              </w:rPr>
              <w:t>Max Missiles</w:t>
            </w:r>
          </w:p>
        </w:tc>
        <w:tc>
          <w:tcPr>
            <w:tcW w:w="808" w:type="dxa"/>
            <w:shd w:val="clear" w:color="auto" w:fill="D9D9D9" w:themeFill="background1" w:themeFillShade="D9"/>
            <w:vAlign w:val="bottom"/>
          </w:tcPr>
          <w:p w14:paraId="0F906D8D" w14:textId="2116C467" w:rsidR="00DC0D7F" w:rsidRPr="000665B0" w:rsidRDefault="00DC0D7F" w:rsidP="000E21F8">
            <w:pPr>
              <w:spacing w:before="40" w:after="40"/>
              <w:jc w:val="center"/>
              <w:rPr>
                <w:rFonts w:ascii="Arial" w:hAnsi="Arial" w:cs="Arial"/>
                <w:b/>
                <w:bCs/>
                <w:sz w:val="22"/>
                <w:szCs w:val="22"/>
              </w:rPr>
            </w:pPr>
            <w:r w:rsidRPr="000665B0">
              <w:rPr>
                <w:rFonts w:ascii="Arial" w:hAnsi="Arial" w:cs="Arial"/>
                <w:b/>
                <w:bCs/>
                <w:sz w:val="22"/>
                <w:szCs w:val="22"/>
              </w:rPr>
              <w:t>Max Salvo</w:t>
            </w:r>
          </w:p>
        </w:tc>
        <w:tc>
          <w:tcPr>
            <w:tcW w:w="2221" w:type="dxa"/>
            <w:shd w:val="clear" w:color="auto" w:fill="D9D9D9" w:themeFill="background1" w:themeFillShade="D9"/>
            <w:vAlign w:val="bottom"/>
          </w:tcPr>
          <w:p w14:paraId="32C765AF" w14:textId="5019A408" w:rsidR="00DC0D7F" w:rsidRPr="000665B0" w:rsidRDefault="008563BD" w:rsidP="000E21F8">
            <w:pPr>
              <w:spacing w:before="40" w:after="40"/>
              <w:jc w:val="center"/>
              <w:rPr>
                <w:rFonts w:ascii="Arial" w:hAnsi="Arial" w:cs="Arial"/>
                <w:b/>
                <w:bCs/>
                <w:sz w:val="22"/>
                <w:szCs w:val="22"/>
              </w:rPr>
            </w:pPr>
            <w:r>
              <w:rPr>
                <w:rFonts w:ascii="Arial" w:hAnsi="Arial" w:cs="Arial"/>
                <w:b/>
                <w:bCs/>
                <w:sz w:val="22"/>
                <w:szCs w:val="22"/>
              </w:rPr>
              <w:t>PDS/</w:t>
            </w:r>
            <w:r w:rsidR="00DC0D7F" w:rsidRPr="000665B0">
              <w:rPr>
                <w:rFonts w:ascii="Arial" w:hAnsi="Arial" w:cs="Arial"/>
                <w:b/>
                <w:bCs/>
                <w:sz w:val="22"/>
                <w:szCs w:val="22"/>
              </w:rPr>
              <w:t>VLS/LCS/CLS/</w:t>
            </w:r>
            <w:r w:rsidR="00DC0D7F" w:rsidRPr="000665B0">
              <w:rPr>
                <w:rFonts w:ascii="Arial" w:hAnsi="Arial" w:cs="Arial"/>
                <w:b/>
                <w:bCs/>
                <w:sz w:val="22"/>
                <w:szCs w:val="22"/>
              </w:rPr>
              <w:br/>
              <w:t>VPT/VLM</w:t>
            </w:r>
          </w:p>
        </w:tc>
        <w:tc>
          <w:tcPr>
            <w:tcW w:w="628" w:type="dxa"/>
            <w:shd w:val="clear" w:color="auto" w:fill="D9D9D9" w:themeFill="background1" w:themeFillShade="D9"/>
            <w:vAlign w:val="bottom"/>
          </w:tcPr>
          <w:p w14:paraId="2694AB8A" w14:textId="76313030" w:rsidR="00DC0D7F" w:rsidRPr="000665B0" w:rsidRDefault="00DC0D7F" w:rsidP="000E21F8">
            <w:pPr>
              <w:spacing w:before="40" w:after="40"/>
              <w:jc w:val="center"/>
              <w:rPr>
                <w:rFonts w:ascii="Arial" w:hAnsi="Arial" w:cs="Arial"/>
                <w:b/>
                <w:bCs/>
                <w:sz w:val="22"/>
                <w:szCs w:val="22"/>
              </w:rPr>
            </w:pPr>
            <w:r w:rsidRPr="000665B0">
              <w:rPr>
                <w:rFonts w:ascii="Arial" w:hAnsi="Arial" w:cs="Arial"/>
                <w:b/>
                <w:bCs/>
                <w:sz w:val="22"/>
                <w:szCs w:val="22"/>
              </w:rPr>
              <w:t>TTL</w:t>
            </w:r>
          </w:p>
        </w:tc>
        <w:tc>
          <w:tcPr>
            <w:tcW w:w="1158" w:type="dxa"/>
            <w:shd w:val="clear" w:color="auto" w:fill="D9D9D9" w:themeFill="background1" w:themeFillShade="D9"/>
            <w:vAlign w:val="bottom"/>
          </w:tcPr>
          <w:p w14:paraId="3085931E" w14:textId="5EB5D7FA" w:rsidR="00DC0D7F" w:rsidRPr="000665B0" w:rsidRDefault="00DC0D7F" w:rsidP="000E21F8">
            <w:pPr>
              <w:spacing w:before="40" w:after="40"/>
              <w:jc w:val="center"/>
              <w:rPr>
                <w:rFonts w:ascii="Arial" w:hAnsi="Arial" w:cs="Arial"/>
                <w:b/>
                <w:bCs/>
                <w:sz w:val="22"/>
                <w:szCs w:val="22"/>
              </w:rPr>
            </w:pPr>
            <w:r w:rsidRPr="000665B0">
              <w:rPr>
                <w:rFonts w:ascii="Arial" w:hAnsi="Arial" w:cs="Arial"/>
                <w:b/>
                <w:bCs/>
                <w:sz w:val="22"/>
                <w:szCs w:val="22"/>
              </w:rPr>
              <w:t>Stowage</w:t>
            </w:r>
          </w:p>
        </w:tc>
        <w:tc>
          <w:tcPr>
            <w:tcW w:w="1280" w:type="dxa"/>
            <w:shd w:val="clear" w:color="auto" w:fill="D9D9D9" w:themeFill="background1" w:themeFillShade="D9"/>
            <w:vAlign w:val="bottom"/>
          </w:tcPr>
          <w:p w14:paraId="0F69B267" w14:textId="7D1DFDE9" w:rsidR="00DC0D7F" w:rsidRPr="000665B0" w:rsidRDefault="00DC0D7F" w:rsidP="000E21F8">
            <w:pPr>
              <w:spacing w:before="40" w:after="40"/>
              <w:jc w:val="center"/>
              <w:rPr>
                <w:rFonts w:ascii="Arial" w:hAnsi="Arial" w:cs="Arial"/>
                <w:b/>
                <w:bCs/>
                <w:sz w:val="22"/>
                <w:szCs w:val="22"/>
              </w:rPr>
            </w:pPr>
            <w:r w:rsidRPr="000665B0">
              <w:rPr>
                <w:rFonts w:ascii="Arial" w:hAnsi="Arial" w:cs="Arial"/>
                <w:b/>
                <w:bCs/>
                <w:sz w:val="22"/>
                <w:szCs w:val="22"/>
              </w:rPr>
              <w:t>Max Auto PM3 Allocation</w:t>
            </w:r>
          </w:p>
        </w:tc>
      </w:tr>
      <w:tr w:rsidR="00480E5B" w:rsidRPr="000665B0" w14:paraId="7942E5B8" w14:textId="77777777" w:rsidTr="00EE09B4">
        <w:tc>
          <w:tcPr>
            <w:tcW w:w="2182" w:type="dxa"/>
          </w:tcPr>
          <w:p w14:paraId="43141F98" w14:textId="75C053C3" w:rsidR="00480E5B" w:rsidRPr="000665B0" w:rsidRDefault="00480E5B" w:rsidP="000E21F8">
            <w:pPr>
              <w:spacing w:before="40" w:after="40"/>
              <w:jc w:val="center"/>
              <w:rPr>
                <w:rFonts w:ascii="Arial" w:hAnsi="Arial" w:cs="Arial"/>
                <w:sz w:val="20"/>
              </w:rPr>
            </w:pPr>
            <w:r>
              <w:rPr>
                <w:rFonts w:ascii="Arial" w:hAnsi="Arial" w:cs="Arial"/>
                <w:sz w:val="20"/>
              </w:rPr>
              <w:t>BOC</w:t>
            </w:r>
          </w:p>
        </w:tc>
        <w:tc>
          <w:tcPr>
            <w:tcW w:w="1078" w:type="dxa"/>
          </w:tcPr>
          <w:p w14:paraId="760CEDCC" w14:textId="188001A6" w:rsidR="00480E5B" w:rsidRPr="000665B0" w:rsidRDefault="00480E5B" w:rsidP="000E21F8">
            <w:pPr>
              <w:spacing w:before="40" w:after="40"/>
              <w:jc w:val="center"/>
              <w:rPr>
                <w:rFonts w:ascii="Arial" w:hAnsi="Arial" w:cs="Arial"/>
                <w:sz w:val="20"/>
              </w:rPr>
            </w:pPr>
            <w:r>
              <w:rPr>
                <w:rFonts w:ascii="Arial" w:hAnsi="Arial" w:cs="Arial"/>
                <w:sz w:val="20"/>
              </w:rPr>
              <w:t>16</w:t>
            </w:r>
          </w:p>
        </w:tc>
        <w:tc>
          <w:tcPr>
            <w:tcW w:w="808" w:type="dxa"/>
          </w:tcPr>
          <w:p w14:paraId="690B944E" w14:textId="34A05439" w:rsidR="00480E5B" w:rsidRPr="000665B0" w:rsidRDefault="008563BD" w:rsidP="000E21F8">
            <w:pPr>
              <w:spacing w:before="40" w:after="40"/>
              <w:jc w:val="center"/>
              <w:rPr>
                <w:rFonts w:ascii="Arial" w:hAnsi="Arial" w:cs="Arial"/>
                <w:sz w:val="20"/>
              </w:rPr>
            </w:pPr>
            <w:r>
              <w:rPr>
                <w:rFonts w:ascii="Arial" w:hAnsi="Arial" w:cs="Arial"/>
                <w:sz w:val="20"/>
              </w:rPr>
              <w:t>4</w:t>
            </w:r>
          </w:p>
        </w:tc>
        <w:tc>
          <w:tcPr>
            <w:tcW w:w="2221" w:type="dxa"/>
          </w:tcPr>
          <w:p w14:paraId="7C45756F" w14:textId="31A34B38" w:rsidR="00480E5B" w:rsidRPr="000665B0" w:rsidRDefault="00480E5B" w:rsidP="000E21F8">
            <w:pPr>
              <w:spacing w:before="40" w:after="40"/>
              <w:jc w:val="center"/>
              <w:rPr>
                <w:rFonts w:ascii="Arial" w:hAnsi="Arial" w:cs="Arial"/>
                <w:sz w:val="20"/>
              </w:rPr>
            </w:pPr>
            <w:r>
              <w:rPr>
                <w:rFonts w:ascii="Arial" w:hAnsi="Arial" w:cs="Arial"/>
                <w:sz w:val="20"/>
              </w:rPr>
              <w:t>16</w:t>
            </w:r>
          </w:p>
        </w:tc>
        <w:tc>
          <w:tcPr>
            <w:tcW w:w="628" w:type="dxa"/>
          </w:tcPr>
          <w:p w14:paraId="0FB72242" w14:textId="60898411" w:rsidR="00480E5B" w:rsidRPr="000665B0" w:rsidRDefault="00480E5B" w:rsidP="000E21F8">
            <w:pPr>
              <w:spacing w:before="40" w:after="40"/>
              <w:jc w:val="center"/>
              <w:rPr>
                <w:rFonts w:ascii="Arial" w:hAnsi="Arial" w:cs="Arial"/>
                <w:sz w:val="20"/>
              </w:rPr>
            </w:pPr>
            <w:r>
              <w:rPr>
                <w:rFonts w:ascii="Arial" w:hAnsi="Arial" w:cs="Arial"/>
                <w:sz w:val="20"/>
              </w:rPr>
              <w:t>0</w:t>
            </w:r>
          </w:p>
        </w:tc>
        <w:tc>
          <w:tcPr>
            <w:tcW w:w="1158" w:type="dxa"/>
          </w:tcPr>
          <w:p w14:paraId="7FA9E60F" w14:textId="169C5DE0" w:rsidR="00480E5B" w:rsidRPr="000665B0" w:rsidRDefault="00480E5B" w:rsidP="000E21F8">
            <w:pPr>
              <w:spacing w:before="40" w:after="40"/>
              <w:jc w:val="center"/>
              <w:rPr>
                <w:rFonts w:ascii="Arial" w:hAnsi="Arial" w:cs="Arial"/>
                <w:sz w:val="20"/>
              </w:rPr>
            </w:pPr>
            <w:r>
              <w:rPr>
                <w:rFonts w:ascii="Arial" w:hAnsi="Arial" w:cs="Arial"/>
                <w:sz w:val="20"/>
              </w:rPr>
              <w:t>0</w:t>
            </w:r>
          </w:p>
        </w:tc>
        <w:tc>
          <w:tcPr>
            <w:tcW w:w="1280" w:type="dxa"/>
          </w:tcPr>
          <w:p w14:paraId="33EBD479" w14:textId="3546F9C8" w:rsidR="00480E5B" w:rsidRPr="000665B0" w:rsidRDefault="008563BD" w:rsidP="000E21F8">
            <w:pPr>
              <w:spacing w:before="40" w:after="40"/>
              <w:jc w:val="center"/>
              <w:rPr>
                <w:rFonts w:ascii="Arial" w:hAnsi="Arial" w:cs="Arial"/>
                <w:sz w:val="20"/>
              </w:rPr>
            </w:pPr>
            <w:r>
              <w:rPr>
                <w:rFonts w:ascii="Arial" w:hAnsi="Arial" w:cs="Arial"/>
                <w:sz w:val="20"/>
              </w:rPr>
              <w:t>4</w:t>
            </w:r>
          </w:p>
        </w:tc>
      </w:tr>
      <w:tr w:rsidR="00DC0D7F" w:rsidRPr="000665B0" w14:paraId="2FA3FF57" w14:textId="77777777" w:rsidTr="00EE09B4">
        <w:tc>
          <w:tcPr>
            <w:tcW w:w="2182" w:type="dxa"/>
          </w:tcPr>
          <w:p w14:paraId="147800BC"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CG</w:t>
            </w:r>
          </w:p>
        </w:tc>
        <w:tc>
          <w:tcPr>
            <w:tcW w:w="1078" w:type="dxa"/>
          </w:tcPr>
          <w:p w14:paraId="5AC0DE33"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128</w:t>
            </w:r>
          </w:p>
        </w:tc>
        <w:tc>
          <w:tcPr>
            <w:tcW w:w="808" w:type="dxa"/>
          </w:tcPr>
          <w:p w14:paraId="34192352"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32</w:t>
            </w:r>
          </w:p>
        </w:tc>
        <w:tc>
          <w:tcPr>
            <w:tcW w:w="2221" w:type="dxa"/>
          </w:tcPr>
          <w:p w14:paraId="436CBDA2"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128</w:t>
            </w:r>
          </w:p>
        </w:tc>
        <w:tc>
          <w:tcPr>
            <w:tcW w:w="628" w:type="dxa"/>
          </w:tcPr>
          <w:p w14:paraId="3DB3B636"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158" w:type="dxa"/>
          </w:tcPr>
          <w:p w14:paraId="3261FE99"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280" w:type="dxa"/>
          </w:tcPr>
          <w:p w14:paraId="74710A45"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128</w:t>
            </w:r>
          </w:p>
        </w:tc>
      </w:tr>
      <w:tr w:rsidR="00DC0D7F" w:rsidRPr="000665B0" w14:paraId="77DE7684" w14:textId="77777777" w:rsidTr="00EE09B4">
        <w:tc>
          <w:tcPr>
            <w:tcW w:w="2182" w:type="dxa"/>
          </w:tcPr>
          <w:p w14:paraId="41877343"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DDG</w:t>
            </w:r>
          </w:p>
        </w:tc>
        <w:tc>
          <w:tcPr>
            <w:tcW w:w="1078" w:type="dxa"/>
          </w:tcPr>
          <w:p w14:paraId="045DB633"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96</w:t>
            </w:r>
          </w:p>
        </w:tc>
        <w:tc>
          <w:tcPr>
            <w:tcW w:w="808" w:type="dxa"/>
          </w:tcPr>
          <w:p w14:paraId="1A236260"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24</w:t>
            </w:r>
          </w:p>
        </w:tc>
        <w:tc>
          <w:tcPr>
            <w:tcW w:w="2221" w:type="dxa"/>
          </w:tcPr>
          <w:p w14:paraId="5A81B7EB"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96</w:t>
            </w:r>
          </w:p>
        </w:tc>
        <w:tc>
          <w:tcPr>
            <w:tcW w:w="628" w:type="dxa"/>
          </w:tcPr>
          <w:p w14:paraId="3D79914E"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158" w:type="dxa"/>
          </w:tcPr>
          <w:p w14:paraId="7BC83C7E"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280" w:type="dxa"/>
          </w:tcPr>
          <w:p w14:paraId="4BC5A1D6"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96</w:t>
            </w:r>
          </w:p>
        </w:tc>
      </w:tr>
      <w:tr w:rsidR="00DC0D7F" w:rsidRPr="000665B0" w14:paraId="13743888" w14:textId="77777777" w:rsidTr="00EE09B4">
        <w:tc>
          <w:tcPr>
            <w:tcW w:w="2182" w:type="dxa"/>
          </w:tcPr>
          <w:p w14:paraId="2C7595BF"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DDG-1000</w:t>
            </w:r>
          </w:p>
        </w:tc>
        <w:tc>
          <w:tcPr>
            <w:tcW w:w="1078" w:type="dxa"/>
          </w:tcPr>
          <w:p w14:paraId="35FE9A87"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80</w:t>
            </w:r>
          </w:p>
        </w:tc>
        <w:tc>
          <w:tcPr>
            <w:tcW w:w="808" w:type="dxa"/>
          </w:tcPr>
          <w:p w14:paraId="037AF43B"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32</w:t>
            </w:r>
          </w:p>
        </w:tc>
        <w:tc>
          <w:tcPr>
            <w:tcW w:w="2221" w:type="dxa"/>
          </w:tcPr>
          <w:p w14:paraId="1EF81DFA"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80</w:t>
            </w:r>
          </w:p>
        </w:tc>
        <w:tc>
          <w:tcPr>
            <w:tcW w:w="628" w:type="dxa"/>
          </w:tcPr>
          <w:p w14:paraId="2FA2CF8C"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158" w:type="dxa"/>
          </w:tcPr>
          <w:p w14:paraId="1400EB87"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280" w:type="dxa"/>
          </w:tcPr>
          <w:p w14:paraId="02586054"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32</w:t>
            </w:r>
          </w:p>
        </w:tc>
      </w:tr>
      <w:tr w:rsidR="00EE09B4" w:rsidRPr="000665B0" w14:paraId="734C9C73" w14:textId="77777777" w:rsidTr="00EE09B4">
        <w:tc>
          <w:tcPr>
            <w:tcW w:w="2182" w:type="dxa"/>
          </w:tcPr>
          <w:p w14:paraId="7B23175F" w14:textId="1C0F305D" w:rsidR="00EE09B4" w:rsidRPr="000665B0" w:rsidRDefault="00EE09B4" w:rsidP="00EE09B4">
            <w:pPr>
              <w:spacing w:before="40" w:after="40"/>
              <w:jc w:val="center"/>
              <w:rPr>
                <w:rFonts w:ascii="Arial" w:hAnsi="Arial" w:cs="Arial"/>
                <w:sz w:val="20"/>
              </w:rPr>
            </w:pPr>
            <w:r>
              <w:rPr>
                <w:rFonts w:ascii="Arial" w:hAnsi="Arial" w:cs="Arial"/>
                <w:sz w:val="20"/>
              </w:rPr>
              <w:t>LRF</w:t>
            </w:r>
          </w:p>
        </w:tc>
        <w:tc>
          <w:tcPr>
            <w:tcW w:w="1078" w:type="dxa"/>
          </w:tcPr>
          <w:p w14:paraId="0C4480A4" w14:textId="79A87C99" w:rsidR="00EE09B4" w:rsidRPr="000665B0" w:rsidRDefault="00EE09B4" w:rsidP="00EE09B4">
            <w:pPr>
              <w:spacing w:before="40" w:after="40"/>
              <w:jc w:val="center"/>
              <w:rPr>
                <w:rFonts w:ascii="Arial" w:hAnsi="Arial" w:cs="Arial"/>
                <w:sz w:val="20"/>
              </w:rPr>
            </w:pPr>
            <w:r>
              <w:rPr>
                <w:rFonts w:ascii="Arial" w:hAnsi="Arial" w:cs="Arial"/>
                <w:sz w:val="20"/>
              </w:rPr>
              <w:t>16</w:t>
            </w:r>
          </w:p>
        </w:tc>
        <w:tc>
          <w:tcPr>
            <w:tcW w:w="808" w:type="dxa"/>
          </w:tcPr>
          <w:p w14:paraId="3B07C10F" w14:textId="4FC0FD01" w:rsidR="00EE09B4" w:rsidRPr="000665B0" w:rsidRDefault="00EE09B4" w:rsidP="00EE09B4">
            <w:pPr>
              <w:spacing w:before="40" w:after="40"/>
              <w:jc w:val="center"/>
              <w:rPr>
                <w:rFonts w:ascii="Arial" w:hAnsi="Arial" w:cs="Arial"/>
                <w:sz w:val="20"/>
              </w:rPr>
            </w:pPr>
            <w:r>
              <w:rPr>
                <w:rFonts w:ascii="Arial" w:hAnsi="Arial" w:cs="Arial"/>
                <w:sz w:val="20"/>
              </w:rPr>
              <w:t>16</w:t>
            </w:r>
          </w:p>
        </w:tc>
        <w:tc>
          <w:tcPr>
            <w:tcW w:w="2221" w:type="dxa"/>
          </w:tcPr>
          <w:p w14:paraId="3386401B" w14:textId="39B70048" w:rsidR="00EE09B4" w:rsidRPr="000665B0" w:rsidRDefault="00EE09B4" w:rsidP="00EE09B4">
            <w:pPr>
              <w:spacing w:before="40" w:after="40"/>
              <w:jc w:val="center"/>
              <w:rPr>
                <w:rFonts w:ascii="Arial" w:hAnsi="Arial" w:cs="Arial"/>
                <w:sz w:val="20"/>
              </w:rPr>
            </w:pPr>
            <w:r>
              <w:rPr>
                <w:rFonts w:ascii="Arial" w:hAnsi="Arial" w:cs="Arial"/>
                <w:sz w:val="20"/>
              </w:rPr>
              <w:t>16</w:t>
            </w:r>
          </w:p>
        </w:tc>
        <w:tc>
          <w:tcPr>
            <w:tcW w:w="628" w:type="dxa"/>
          </w:tcPr>
          <w:p w14:paraId="4056159D" w14:textId="3C9299BB" w:rsidR="00EE09B4" w:rsidRPr="000665B0" w:rsidRDefault="00EE09B4" w:rsidP="00EE09B4">
            <w:pPr>
              <w:spacing w:before="40" w:after="40"/>
              <w:jc w:val="center"/>
              <w:rPr>
                <w:rFonts w:ascii="Arial" w:hAnsi="Arial" w:cs="Arial"/>
                <w:sz w:val="20"/>
              </w:rPr>
            </w:pPr>
            <w:r>
              <w:rPr>
                <w:rFonts w:ascii="Arial" w:hAnsi="Arial" w:cs="Arial"/>
                <w:sz w:val="20"/>
              </w:rPr>
              <w:t>0</w:t>
            </w:r>
          </w:p>
        </w:tc>
        <w:tc>
          <w:tcPr>
            <w:tcW w:w="1158" w:type="dxa"/>
          </w:tcPr>
          <w:p w14:paraId="4187FEA7" w14:textId="5F207106" w:rsidR="00EE09B4" w:rsidRPr="000665B0" w:rsidRDefault="00EE09B4" w:rsidP="00EE09B4">
            <w:pPr>
              <w:spacing w:before="40" w:after="40"/>
              <w:jc w:val="center"/>
              <w:rPr>
                <w:rFonts w:ascii="Arial" w:hAnsi="Arial" w:cs="Arial"/>
                <w:sz w:val="20"/>
              </w:rPr>
            </w:pPr>
            <w:r>
              <w:rPr>
                <w:rFonts w:ascii="Arial" w:hAnsi="Arial" w:cs="Arial"/>
                <w:sz w:val="20"/>
              </w:rPr>
              <w:t>0</w:t>
            </w:r>
          </w:p>
        </w:tc>
        <w:tc>
          <w:tcPr>
            <w:tcW w:w="1280" w:type="dxa"/>
          </w:tcPr>
          <w:p w14:paraId="1941259C" w14:textId="7A9CE811" w:rsidR="00EE09B4" w:rsidRPr="000665B0" w:rsidRDefault="00EE09B4" w:rsidP="00EE09B4">
            <w:pPr>
              <w:spacing w:before="40" w:after="40"/>
              <w:jc w:val="center"/>
              <w:rPr>
                <w:rFonts w:ascii="Arial" w:hAnsi="Arial" w:cs="Arial"/>
                <w:sz w:val="20"/>
              </w:rPr>
            </w:pPr>
            <w:r>
              <w:rPr>
                <w:rFonts w:ascii="Arial" w:hAnsi="Arial" w:cs="Arial"/>
                <w:sz w:val="20"/>
              </w:rPr>
              <w:t>0</w:t>
            </w:r>
          </w:p>
        </w:tc>
      </w:tr>
      <w:tr w:rsidR="00DC0D7F" w:rsidRPr="000665B0" w14:paraId="308337A8" w14:textId="77777777" w:rsidTr="00EE09B4">
        <w:tc>
          <w:tcPr>
            <w:tcW w:w="2182" w:type="dxa"/>
          </w:tcPr>
          <w:p w14:paraId="6CA96DDB" w14:textId="2E0AE445" w:rsidR="00DC0D7F" w:rsidRPr="000665B0" w:rsidRDefault="00DC0D7F" w:rsidP="000E21F8">
            <w:pPr>
              <w:spacing w:before="40" w:after="40"/>
              <w:jc w:val="center"/>
              <w:rPr>
                <w:rFonts w:ascii="Arial" w:hAnsi="Arial" w:cs="Arial"/>
                <w:sz w:val="20"/>
              </w:rPr>
            </w:pPr>
            <w:r w:rsidRPr="000665B0">
              <w:rPr>
                <w:rFonts w:ascii="Arial" w:hAnsi="Arial" w:cs="Arial"/>
                <w:sz w:val="20"/>
              </w:rPr>
              <w:t xml:space="preserve">SSN (Los Angeles – </w:t>
            </w:r>
            <w:r w:rsidR="000E21F8" w:rsidRPr="000665B0">
              <w:rPr>
                <w:rFonts w:ascii="Arial" w:hAnsi="Arial" w:cs="Arial"/>
                <w:sz w:val="20"/>
              </w:rPr>
              <w:br/>
            </w:r>
            <w:r w:rsidRPr="000665B0">
              <w:rPr>
                <w:rFonts w:ascii="Arial" w:hAnsi="Arial" w:cs="Arial"/>
                <w:sz w:val="20"/>
              </w:rPr>
              <w:t>hulls 688-718)</w:t>
            </w:r>
          </w:p>
        </w:tc>
        <w:tc>
          <w:tcPr>
            <w:tcW w:w="1078" w:type="dxa"/>
          </w:tcPr>
          <w:p w14:paraId="3AE86119"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28</w:t>
            </w:r>
          </w:p>
        </w:tc>
        <w:tc>
          <w:tcPr>
            <w:tcW w:w="808" w:type="dxa"/>
          </w:tcPr>
          <w:p w14:paraId="7FE1BD57"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w:t>
            </w:r>
          </w:p>
        </w:tc>
        <w:tc>
          <w:tcPr>
            <w:tcW w:w="2221" w:type="dxa"/>
          </w:tcPr>
          <w:p w14:paraId="1229BAD4"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628" w:type="dxa"/>
          </w:tcPr>
          <w:p w14:paraId="65F1132E"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w:t>
            </w:r>
          </w:p>
        </w:tc>
        <w:tc>
          <w:tcPr>
            <w:tcW w:w="1158" w:type="dxa"/>
          </w:tcPr>
          <w:p w14:paraId="6C79C671"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24</w:t>
            </w:r>
          </w:p>
        </w:tc>
        <w:tc>
          <w:tcPr>
            <w:tcW w:w="1280" w:type="dxa"/>
          </w:tcPr>
          <w:p w14:paraId="16BECB20"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w:t>
            </w:r>
          </w:p>
        </w:tc>
      </w:tr>
      <w:tr w:rsidR="00DC0D7F" w:rsidRPr="000665B0" w14:paraId="3ACF902A" w14:textId="77777777" w:rsidTr="00EE09B4">
        <w:tc>
          <w:tcPr>
            <w:tcW w:w="2182" w:type="dxa"/>
          </w:tcPr>
          <w:p w14:paraId="34FB083D" w14:textId="72E4043A" w:rsidR="00DC0D7F" w:rsidRPr="000665B0" w:rsidRDefault="00DC0D7F" w:rsidP="000E21F8">
            <w:pPr>
              <w:spacing w:before="40" w:after="40"/>
              <w:jc w:val="center"/>
              <w:rPr>
                <w:rFonts w:ascii="Arial" w:hAnsi="Arial" w:cs="Arial"/>
                <w:sz w:val="20"/>
              </w:rPr>
            </w:pPr>
            <w:r w:rsidRPr="000665B0">
              <w:rPr>
                <w:rFonts w:ascii="Arial" w:hAnsi="Arial" w:cs="Arial"/>
                <w:sz w:val="20"/>
              </w:rPr>
              <w:t xml:space="preserve">SSN (Los Angeles – </w:t>
            </w:r>
            <w:r w:rsidR="000E21F8" w:rsidRPr="000665B0">
              <w:rPr>
                <w:rFonts w:ascii="Arial" w:hAnsi="Arial" w:cs="Arial"/>
                <w:sz w:val="20"/>
              </w:rPr>
              <w:br/>
            </w:r>
            <w:r w:rsidRPr="000665B0">
              <w:rPr>
                <w:rFonts w:ascii="Arial" w:hAnsi="Arial" w:cs="Arial"/>
                <w:sz w:val="20"/>
              </w:rPr>
              <w:t>hulls 719-773)</w:t>
            </w:r>
          </w:p>
        </w:tc>
        <w:tc>
          <w:tcPr>
            <w:tcW w:w="1078" w:type="dxa"/>
          </w:tcPr>
          <w:p w14:paraId="1D77EEB1"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40</w:t>
            </w:r>
          </w:p>
        </w:tc>
        <w:tc>
          <w:tcPr>
            <w:tcW w:w="808" w:type="dxa"/>
          </w:tcPr>
          <w:p w14:paraId="1D0CD0AC"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16</w:t>
            </w:r>
          </w:p>
        </w:tc>
        <w:tc>
          <w:tcPr>
            <w:tcW w:w="2221" w:type="dxa"/>
          </w:tcPr>
          <w:p w14:paraId="0FAE1E32"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12</w:t>
            </w:r>
          </w:p>
        </w:tc>
        <w:tc>
          <w:tcPr>
            <w:tcW w:w="628" w:type="dxa"/>
          </w:tcPr>
          <w:p w14:paraId="25C9111F"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w:t>
            </w:r>
          </w:p>
        </w:tc>
        <w:tc>
          <w:tcPr>
            <w:tcW w:w="1158" w:type="dxa"/>
          </w:tcPr>
          <w:p w14:paraId="2DA2AB81"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24</w:t>
            </w:r>
          </w:p>
        </w:tc>
        <w:tc>
          <w:tcPr>
            <w:tcW w:w="1280" w:type="dxa"/>
          </w:tcPr>
          <w:p w14:paraId="549A3427"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6</w:t>
            </w:r>
          </w:p>
        </w:tc>
      </w:tr>
      <w:tr w:rsidR="00DC0D7F" w:rsidRPr="000665B0" w14:paraId="098DC775" w14:textId="77777777" w:rsidTr="00EE09B4">
        <w:tc>
          <w:tcPr>
            <w:tcW w:w="2182" w:type="dxa"/>
          </w:tcPr>
          <w:p w14:paraId="47DA667C"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SSN (Virginia Blk I/II</w:t>
            </w:r>
            <w:r w:rsidRPr="000665B0" w:rsidDel="00E8029B">
              <w:rPr>
                <w:rFonts w:ascii="Arial" w:hAnsi="Arial" w:cs="Arial"/>
                <w:sz w:val="20"/>
              </w:rPr>
              <w:t xml:space="preserve"> </w:t>
            </w:r>
            <w:r w:rsidRPr="000665B0">
              <w:rPr>
                <w:rFonts w:ascii="Arial" w:hAnsi="Arial" w:cs="Arial"/>
                <w:sz w:val="20"/>
              </w:rPr>
              <w:t>– hulls 774-783)</w:t>
            </w:r>
          </w:p>
        </w:tc>
        <w:tc>
          <w:tcPr>
            <w:tcW w:w="1078" w:type="dxa"/>
          </w:tcPr>
          <w:p w14:paraId="209A8AFA"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42</w:t>
            </w:r>
          </w:p>
        </w:tc>
        <w:tc>
          <w:tcPr>
            <w:tcW w:w="808" w:type="dxa"/>
          </w:tcPr>
          <w:p w14:paraId="63D249D2"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16</w:t>
            </w:r>
          </w:p>
        </w:tc>
        <w:tc>
          <w:tcPr>
            <w:tcW w:w="2221" w:type="dxa"/>
          </w:tcPr>
          <w:p w14:paraId="1566F58D"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12</w:t>
            </w:r>
          </w:p>
        </w:tc>
        <w:tc>
          <w:tcPr>
            <w:tcW w:w="628" w:type="dxa"/>
          </w:tcPr>
          <w:p w14:paraId="29E6EA28"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w:t>
            </w:r>
          </w:p>
        </w:tc>
        <w:tc>
          <w:tcPr>
            <w:tcW w:w="1158" w:type="dxa"/>
          </w:tcPr>
          <w:p w14:paraId="1AB1C265"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26</w:t>
            </w:r>
          </w:p>
        </w:tc>
        <w:tc>
          <w:tcPr>
            <w:tcW w:w="1280" w:type="dxa"/>
          </w:tcPr>
          <w:p w14:paraId="307B6992"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6</w:t>
            </w:r>
          </w:p>
        </w:tc>
      </w:tr>
      <w:tr w:rsidR="00DC0D7F" w:rsidRPr="000665B0" w14:paraId="3319A6B5" w14:textId="77777777" w:rsidTr="00EE09B4">
        <w:tc>
          <w:tcPr>
            <w:tcW w:w="2182" w:type="dxa"/>
          </w:tcPr>
          <w:p w14:paraId="1F297693"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SSN (Virginia Blk III/IV – hulls 784-801)</w:t>
            </w:r>
          </w:p>
        </w:tc>
        <w:tc>
          <w:tcPr>
            <w:tcW w:w="1078" w:type="dxa"/>
          </w:tcPr>
          <w:p w14:paraId="14B6992E"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12</w:t>
            </w:r>
          </w:p>
        </w:tc>
        <w:tc>
          <w:tcPr>
            <w:tcW w:w="808" w:type="dxa"/>
          </w:tcPr>
          <w:p w14:paraId="3C1F40E5"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12</w:t>
            </w:r>
          </w:p>
        </w:tc>
        <w:tc>
          <w:tcPr>
            <w:tcW w:w="2221" w:type="dxa"/>
          </w:tcPr>
          <w:p w14:paraId="16095A19"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12</w:t>
            </w:r>
          </w:p>
        </w:tc>
        <w:tc>
          <w:tcPr>
            <w:tcW w:w="628" w:type="dxa"/>
          </w:tcPr>
          <w:p w14:paraId="7FD240CD"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158" w:type="dxa"/>
          </w:tcPr>
          <w:p w14:paraId="400D02DE"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280" w:type="dxa"/>
          </w:tcPr>
          <w:p w14:paraId="4E33C501" w14:textId="104C0AEA" w:rsidR="00DC0D7F" w:rsidRPr="000665B0" w:rsidRDefault="00B30900" w:rsidP="000E21F8">
            <w:pPr>
              <w:spacing w:before="40" w:after="40"/>
              <w:jc w:val="center"/>
              <w:rPr>
                <w:rFonts w:ascii="Arial" w:hAnsi="Arial" w:cs="Arial"/>
                <w:sz w:val="20"/>
              </w:rPr>
            </w:pPr>
            <w:r w:rsidRPr="000665B0">
              <w:rPr>
                <w:rFonts w:ascii="Arial" w:hAnsi="Arial" w:cs="Arial"/>
                <w:sz w:val="20"/>
              </w:rPr>
              <w:t>TBD</w:t>
            </w:r>
          </w:p>
        </w:tc>
      </w:tr>
      <w:tr w:rsidR="00DC0D7F" w:rsidRPr="000665B0" w14:paraId="3ADCAD1C" w14:textId="77777777" w:rsidTr="00EE09B4">
        <w:tc>
          <w:tcPr>
            <w:tcW w:w="2182" w:type="dxa"/>
          </w:tcPr>
          <w:p w14:paraId="7A1D4471"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SSN (Virginia Blk V – hulls 802/AFS)</w:t>
            </w:r>
          </w:p>
        </w:tc>
        <w:tc>
          <w:tcPr>
            <w:tcW w:w="1078" w:type="dxa"/>
          </w:tcPr>
          <w:p w14:paraId="4FD7A952"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40</w:t>
            </w:r>
          </w:p>
        </w:tc>
        <w:tc>
          <w:tcPr>
            <w:tcW w:w="808" w:type="dxa"/>
          </w:tcPr>
          <w:p w14:paraId="1F879BD0"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40</w:t>
            </w:r>
          </w:p>
        </w:tc>
        <w:tc>
          <w:tcPr>
            <w:tcW w:w="2221" w:type="dxa"/>
          </w:tcPr>
          <w:p w14:paraId="3071390E"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40</w:t>
            </w:r>
          </w:p>
        </w:tc>
        <w:tc>
          <w:tcPr>
            <w:tcW w:w="628" w:type="dxa"/>
          </w:tcPr>
          <w:p w14:paraId="02A6944C"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158" w:type="dxa"/>
          </w:tcPr>
          <w:p w14:paraId="4B93E2A7"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280" w:type="dxa"/>
          </w:tcPr>
          <w:p w14:paraId="036AFF9C" w14:textId="3D33ED5B" w:rsidR="00DC0D7F" w:rsidRPr="000665B0" w:rsidRDefault="00B30900" w:rsidP="000E21F8">
            <w:pPr>
              <w:spacing w:before="40" w:after="40"/>
              <w:jc w:val="center"/>
              <w:rPr>
                <w:rFonts w:ascii="Arial" w:hAnsi="Arial" w:cs="Arial"/>
                <w:sz w:val="20"/>
              </w:rPr>
            </w:pPr>
            <w:r w:rsidRPr="000665B0">
              <w:rPr>
                <w:rFonts w:ascii="Arial" w:hAnsi="Arial" w:cs="Arial"/>
                <w:sz w:val="20"/>
              </w:rPr>
              <w:t>TBD</w:t>
            </w:r>
          </w:p>
        </w:tc>
      </w:tr>
      <w:tr w:rsidR="00DC0D7F" w:rsidRPr="000665B0" w14:paraId="0AFDD05B" w14:textId="77777777" w:rsidTr="00EE09B4">
        <w:tc>
          <w:tcPr>
            <w:tcW w:w="2182" w:type="dxa"/>
          </w:tcPr>
          <w:p w14:paraId="6B5821E4" w14:textId="2E147FAD" w:rsidR="00DC0D7F" w:rsidRPr="000665B0" w:rsidRDefault="000E21F8" w:rsidP="000E21F8">
            <w:pPr>
              <w:spacing w:before="40" w:after="40"/>
              <w:jc w:val="center"/>
              <w:rPr>
                <w:rFonts w:ascii="Arial" w:hAnsi="Arial" w:cs="Arial"/>
                <w:sz w:val="20"/>
              </w:rPr>
            </w:pPr>
            <w:r w:rsidRPr="000665B0">
              <w:rPr>
                <w:rFonts w:ascii="Arial" w:hAnsi="Arial" w:cs="Arial"/>
                <w:sz w:val="20"/>
              </w:rPr>
              <w:t>SSN (Seawolf –</w:t>
            </w:r>
            <w:r w:rsidRPr="000665B0">
              <w:rPr>
                <w:rFonts w:ascii="Arial" w:hAnsi="Arial" w:cs="Arial"/>
                <w:sz w:val="20"/>
              </w:rPr>
              <w:br/>
            </w:r>
            <w:r w:rsidR="00DC0D7F" w:rsidRPr="000665B0">
              <w:rPr>
                <w:rFonts w:ascii="Arial" w:hAnsi="Arial" w:cs="Arial"/>
                <w:sz w:val="20"/>
              </w:rPr>
              <w:t>hulls 21-23)</w:t>
            </w:r>
          </w:p>
        </w:tc>
        <w:tc>
          <w:tcPr>
            <w:tcW w:w="1078" w:type="dxa"/>
          </w:tcPr>
          <w:p w14:paraId="2F192782"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58</w:t>
            </w:r>
          </w:p>
        </w:tc>
        <w:tc>
          <w:tcPr>
            <w:tcW w:w="808" w:type="dxa"/>
          </w:tcPr>
          <w:p w14:paraId="730D6D7B"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8</w:t>
            </w:r>
          </w:p>
        </w:tc>
        <w:tc>
          <w:tcPr>
            <w:tcW w:w="2221" w:type="dxa"/>
          </w:tcPr>
          <w:p w14:paraId="652DFDEB"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628" w:type="dxa"/>
          </w:tcPr>
          <w:p w14:paraId="3073127D"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8</w:t>
            </w:r>
          </w:p>
        </w:tc>
        <w:tc>
          <w:tcPr>
            <w:tcW w:w="1158" w:type="dxa"/>
          </w:tcPr>
          <w:p w14:paraId="49991163"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50</w:t>
            </w:r>
          </w:p>
        </w:tc>
        <w:tc>
          <w:tcPr>
            <w:tcW w:w="1280" w:type="dxa"/>
          </w:tcPr>
          <w:p w14:paraId="103CE3DA"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6</w:t>
            </w:r>
          </w:p>
        </w:tc>
      </w:tr>
      <w:tr w:rsidR="00DC0D7F" w:rsidRPr="000665B0" w14:paraId="5EFF8A06" w14:textId="77777777" w:rsidTr="00EE09B4">
        <w:tc>
          <w:tcPr>
            <w:tcW w:w="2182" w:type="dxa"/>
          </w:tcPr>
          <w:p w14:paraId="462EE257"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SSGN (hulls 726-729)</w:t>
            </w:r>
          </w:p>
        </w:tc>
        <w:tc>
          <w:tcPr>
            <w:tcW w:w="1078" w:type="dxa"/>
          </w:tcPr>
          <w:p w14:paraId="0FADEEB0"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154</w:t>
            </w:r>
          </w:p>
        </w:tc>
        <w:tc>
          <w:tcPr>
            <w:tcW w:w="808" w:type="dxa"/>
          </w:tcPr>
          <w:p w14:paraId="1EAA8991"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32</w:t>
            </w:r>
          </w:p>
        </w:tc>
        <w:tc>
          <w:tcPr>
            <w:tcW w:w="2221" w:type="dxa"/>
          </w:tcPr>
          <w:p w14:paraId="0F6C38ED"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154</w:t>
            </w:r>
          </w:p>
        </w:tc>
        <w:tc>
          <w:tcPr>
            <w:tcW w:w="628" w:type="dxa"/>
          </w:tcPr>
          <w:p w14:paraId="45D086E2"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158" w:type="dxa"/>
          </w:tcPr>
          <w:p w14:paraId="6BD35B13"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1280" w:type="dxa"/>
          </w:tcPr>
          <w:p w14:paraId="2659D2FA"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6</w:t>
            </w:r>
          </w:p>
        </w:tc>
      </w:tr>
      <w:tr w:rsidR="00DC0D7F" w:rsidRPr="000665B0" w14:paraId="315E571A" w14:textId="77777777" w:rsidTr="00EE09B4">
        <w:tc>
          <w:tcPr>
            <w:tcW w:w="2182" w:type="dxa"/>
          </w:tcPr>
          <w:p w14:paraId="07C9B707" w14:textId="3EABF69A" w:rsidR="00DC0D7F" w:rsidRPr="000665B0" w:rsidRDefault="000E21F8" w:rsidP="000E21F8">
            <w:pPr>
              <w:spacing w:before="40" w:after="40"/>
              <w:jc w:val="center"/>
              <w:rPr>
                <w:rFonts w:ascii="Arial" w:hAnsi="Arial" w:cs="Arial"/>
                <w:sz w:val="20"/>
              </w:rPr>
            </w:pPr>
            <w:r w:rsidRPr="000665B0">
              <w:rPr>
                <w:rFonts w:ascii="Arial" w:hAnsi="Arial" w:cs="Arial"/>
                <w:sz w:val="20"/>
              </w:rPr>
              <w:t>UK (Trafalgar –</w:t>
            </w:r>
            <w:r w:rsidRPr="000665B0">
              <w:rPr>
                <w:rFonts w:ascii="Arial" w:hAnsi="Arial" w:cs="Arial"/>
                <w:sz w:val="20"/>
              </w:rPr>
              <w:br/>
            </w:r>
            <w:r w:rsidR="00DC0D7F" w:rsidRPr="000665B0">
              <w:rPr>
                <w:rFonts w:ascii="Arial" w:hAnsi="Arial" w:cs="Arial"/>
                <w:sz w:val="20"/>
              </w:rPr>
              <w:t>hulls 13-19)</w:t>
            </w:r>
          </w:p>
        </w:tc>
        <w:tc>
          <w:tcPr>
            <w:tcW w:w="1078" w:type="dxa"/>
          </w:tcPr>
          <w:p w14:paraId="607F38C5"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28</w:t>
            </w:r>
          </w:p>
        </w:tc>
        <w:tc>
          <w:tcPr>
            <w:tcW w:w="808" w:type="dxa"/>
          </w:tcPr>
          <w:p w14:paraId="0BB1C45F"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w:t>
            </w:r>
          </w:p>
        </w:tc>
        <w:tc>
          <w:tcPr>
            <w:tcW w:w="2221" w:type="dxa"/>
          </w:tcPr>
          <w:p w14:paraId="3DC72C15"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628" w:type="dxa"/>
          </w:tcPr>
          <w:p w14:paraId="1CF2E49E"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w:t>
            </w:r>
          </w:p>
        </w:tc>
        <w:tc>
          <w:tcPr>
            <w:tcW w:w="1158" w:type="dxa"/>
          </w:tcPr>
          <w:p w14:paraId="2D3943B6"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24</w:t>
            </w:r>
          </w:p>
        </w:tc>
        <w:tc>
          <w:tcPr>
            <w:tcW w:w="1280" w:type="dxa"/>
          </w:tcPr>
          <w:p w14:paraId="08E76D72"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4</w:t>
            </w:r>
          </w:p>
        </w:tc>
      </w:tr>
      <w:tr w:rsidR="00DC0D7F" w:rsidRPr="000665B0" w14:paraId="0D0171EE" w14:textId="77777777" w:rsidTr="00EE09B4">
        <w:tc>
          <w:tcPr>
            <w:tcW w:w="2182" w:type="dxa"/>
          </w:tcPr>
          <w:p w14:paraId="0B404C20"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UK (Astute – hulls 20-22)</w:t>
            </w:r>
          </w:p>
        </w:tc>
        <w:tc>
          <w:tcPr>
            <w:tcW w:w="1078" w:type="dxa"/>
          </w:tcPr>
          <w:p w14:paraId="3CB52CA2"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38</w:t>
            </w:r>
          </w:p>
        </w:tc>
        <w:tc>
          <w:tcPr>
            <w:tcW w:w="808" w:type="dxa"/>
          </w:tcPr>
          <w:p w14:paraId="0D7E27DC"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6</w:t>
            </w:r>
          </w:p>
        </w:tc>
        <w:tc>
          <w:tcPr>
            <w:tcW w:w="2221" w:type="dxa"/>
          </w:tcPr>
          <w:p w14:paraId="3BCBD0B4"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0</w:t>
            </w:r>
          </w:p>
        </w:tc>
        <w:tc>
          <w:tcPr>
            <w:tcW w:w="628" w:type="dxa"/>
          </w:tcPr>
          <w:p w14:paraId="1512628F"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6</w:t>
            </w:r>
          </w:p>
        </w:tc>
        <w:tc>
          <w:tcPr>
            <w:tcW w:w="1158" w:type="dxa"/>
          </w:tcPr>
          <w:p w14:paraId="7D5BC144"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32</w:t>
            </w:r>
          </w:p>
        </w:tc>
        <w:tc>
          <w:tcPr>
            <w:tcW w:w="1280" w:type="dxa"/>
          </w:tcPr>
          <w:p w14:paraId="44124C2F" w14:textId="26730806" w:rsidR="00DC0D7F" w:rsidRPr="000665B0" w:rsidRDefault="00B30900" w:rsidP="000E21F8">
            <w:pPr>
              <w:spacing w:before="40" w:after="40"/>
              <w:jc w:val="center"/>
              <w:rPr>
                <w:rFonts w:ascii="Arial" w:hAnsi="Arial" w:cs="Arial"/>
                <w:sz w:val="20"/>
              </w:rPr>
            </w:pPr>
            <w:r w:rsidRPr="000665B0">
              <w:rPr>
                <w:rFonts w:ascii="Arial" w:hAnsi="Arial" w:cs="Arial"/>
                <w:sz w:val="20"/>
              </w:rPr>
              <w:t>TBD</w:t>
            </w:r>
          </w:p>
        </w:tc>
      </w:tr>
      <w:tr w:rsidR="00DC0D7F" w:rsidRPr="000665B0" w14:paraId="7F8B9FF7" w14:textId="77777777" w:rsidTr="00EE09B4">
        <w:tc>
          <w:tcPr>
            <w:tcW w:w="2182" w:type="dxa"/>
          </w:tcPr>
          <w:p w14:paraId="0B7C7C8C"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Other</w:t>
            </w:r>
          </w:p>
        </w:tc>
        <w:tc>
          <w:tcPr>
            <w:tcW w:w="1078" w:type="dxa"/>
          </w:tcPr>
          <w:p w14:paraId="41C2CC78"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NA</w:t>
            </w:r>
          </w:p>
        </w:tc>
        <w:tc>
          <w:tcPr>
            <w:tcW w:w="808" w:type="dxa"/>
          </w:tcPr>
          <w:p w14:paraId="692AE79D"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NA</w:t>
            </w:r>
          </w:p>
        </w:tc>
        <w:tc>
          <w:tcPr>
            <w:tcW w:w="2221" w:type="dxa"/>
          </w:tcPr>
          <w:p w14:paraId="2E0471F0"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NA</w:t>
            </w:r>
          </w:p>
        </w:tc>
        <w:tc>
          <w:tcPr>
            <w:tcW w:w="628" w:type="dxa"/>
          </w:tcPr>
          <w:p w14:paraId="7B93E059"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NA</w:t>
            </w:r>
          </w:p>
        </w:tc>
        <w:tc>
          <w:tcPr>
            <w:tcW w:w="1158" w:type="dxa"/>
          </w:tcPr>
          <w:p w14:paraId="7312A034"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NA</w:t>
            </w:r>
          </w:p>
        </w:tc>
        <w:tc>
          <w:tcPr>
            <w:tcW w:w="1280" w:type="dxa"/>
          </w:tcPr>
          <w:p w14:paraId="2C98DE0F" w14:textId="77777777" w:rsidR="00DC0D7F" w:rsidRPr="000665B0" w:rsidRDefault="00DC0D7F" w:rsidP="000E21F8">
            <w:pPr>
              <w:spacing w:before="40" w:after="40"/>
              <w:jc w:val="center"/>
              <w:rPr>
                <w:rFonts w:ascii="Arial" w:hAnsi="Arial" w:cs="Arial"/>
                <w:sz w:val="20"/>
              </w:rPr>
            </w:pPr>
            <w:r w:rsidRPr="000665B0">
              <w:rPr>
                <w:rFonts w:ascii="Arial" w:hAnsi="Arial" w:cs="Arial"/>
                <w:sz w:val="20"/>
              </w:rPr>
              <w:t>NA</w:t>
            </w:r>
          </w:p>
        </w:tc>
      </w:tr>
    </w:tbl>
    <w:p w14:paraId="29B9713F" w14:textId="1B80B877" w:rsidR="000A7C0C" w:rsidRPr="000665B0" w:rsidRDefault="000A7C0C" w:rsidP="004E7DCC">
      <w:pPr>
        <w:pStyle w:val="Heading5"/>
        <w:tabs>
          <w:tab w:val="left" w:pos="720"/>
        </w:tabs>
      </w:pPr>
      <w:bookmarkStart w:id="6429" w:name="_Shift_Strike_Times_1"/>
      <w:bookmarkEnd w:id="6429"/>
      <w:r w:rsidRPr="000665B0">
        <w:t>Shift Strike Times</w:t>
      </w:r>
      <w:bookmarkEnd w:id="6428"/>
    </w:p>
    <w:p w14:paraId="4A3A3E4A" w14:textId="66A2A625" w:rsidR="006B5F42" w:rsidRPr="000665B0" w:rsidRDefault="000A7C0C" w:rsidP="00474A1F">
      <w:pPr>
        <w:tabs>
          <w:tab w:val="left" w:pos="720"/>
        </w:tabs>
      </w:pPr>
      <w:r w:rsidRPr="000665B0">
        <w:t>This function can be used both in Strike Option Planning and in Strike Execution</w:t>
      </w:r>
      <w:r w:rsidR="006B5F42" w:rsidRPr="000665B0">
        <w:t xml:space="preserve"> to shift the time of the Strike</w:t>
      </w:r>
      <w:r w:rsidRPr="000665B0">
        <w:t xml:space="preserve">. It can also be used for all </w:t>
      </w:r>
      <w:r w:rsidR="00EA5FE2" w:rsidRPr="000665B0">
        <w:t xml:space="preserve">missile </w:t>
      </w:r>
      <w:r w:rsidRPr="000665B0">
        <w:t xml:space="preserve">assignments within a strike or </w:t>
      </w:r>
      <w:r w:rsidR="0000696A" w:rsidRPr="000665B0">
        <w:t xml:space="preserve">for </w:t>
      </w:r>
      <w:r w:rsidRPr="000665B0">
        <w:t>only some assignments, such as selected assignments on a list view or only assignments for a selected FRU. It allows the user to shift all affected missile</w:t>
      </w:r>
      <w:r w:rsidR="004200B7" w:rsidRPr="000665B0">
        <w:t>s</w:t>
      </w:r>
      <w:r w:rsidR="00FE1E2A" w:rsidRPr="000665B0">
        <w:t>’</w:t>
      </w:r>
      <w:r w:rsidR="002128BC" w:rsidRPr="000665B0">
        <w:t xml:space="preserve"> assignment time</w:t>
      </w:r>
      <w:r w:rsidRPr="000665B0">
        <w:t>s</w:t>
      </w:r>
      <w:r w:rsidR="002128BC" w:rsidRPr="000665B0">
        <w:t>, provided</w:t>
      </w:r>
      <w:r w:rsidRPr="000665B0">
        <w:t xml:space="preserve"> that </w:t>
      </w:r>
      <w:r w:rsidR="002128BC" w:rsidRPr="000665B0">
        <w:t xml:space="preserve">the missiles </w:t>
      </w:r>
      <w:r w:rsidRPr="000665B0">
        <w:t>do not have their time locked by a chosen amount</w:t>
      </w:r>
      <w:r w:rsidR="006B5F42" w:rsidRPr="000665B0">
        <w:t xml:space="preserve"> and have not yet launched</w:t>
      </w:r>
      <w:r w:rsidRPr="000665B0">
        <w:t xml:space="preserve">. </w:t>
      </w:r>
      <w:r w:rsidR="004200B7" w:rsidRPr="000665B0">
        <w:t xml:space="preserve">Within the Strike Option </w:t>
      </w:r>
      <w:r w:rsidR="005F5962" w:rsidRPr="000665B0">
        <w:t>and</w:t>
      </w:r>
      <w:r w:rsidR="004200B7" w:rsidRPr="000665B0">
        <w:t xml:space="preserve"> Strike Execution, multiple missile assignments can be shifted at the same time.</w:t>
      </w:r>
    </w:p>
    <w:p w14:paraId="114C2F17" w14:textId="73962E89" w:rsidR="00410038" w:rsidRPr="000665B0" w:rsidRDefault="00410038" w:rsidP="00474A1F">
      <w:pPr>
        <w:tabs>
          <w:tab w:val="left" w:pos="720"/>
        </w:tabs>
      </w:pPr>
      <w:r w:rsidRPr="000665B0">
        <w:t xml:space="preserve">Shifting the strike time during execution may cause anomalies in the SMD’s display of ACA Filter Message use state transitions. Careful consideration should be made when shifting strike times (see </w:t>
      </w:r>
      <w:hyperlink w:anchor="_ACA__Filter_1" w:history="1">
        <w:r w:rsidR="009326FE" w:rsidRPr="000665B0">
          <w:rPr>
            <w:rStyle w:val="Hyperlink"/>
          </w:rPr>
          <w:t xml:space="preserve">Section </w:t>
        </w:r>
        <w:r w:rsidR="004231CC">
          <w:rPr>
            <w:rStyle w:val="Hyperlink"/>
          </w:rPr>
          <w:t>5.34</w:t>
        </w:r>
        <w:r w:rsidRPr="000665B0">
          <w:rPr>
            <w:rStyle w:val="Hyperlink"/>
          </w:rPr>
          <w:t>.7.1.9.2</w:t>
        </w:r>
      </w:hyperlink>
      <w:r w:rsidRPr="000665B0">
        <w:t>).</w:t>
      </w:r>
    </w:p>
    <w:p w14:paraId="08CCCCAF" w14:textId="61254F5E" w:rsidR="0000696A" w:rsidRPr="000665B0" w:rsidRDefault="0000696A" w:rsidP="00474A1F">
      <w:pPr>
        <w:tabs>
          <w:tab w:val="left" w:pos="720"/>
        </w:tabs>
      </w:pPr>
      <w:r w:rsidRPr="000665B0">
        <w:lastRenderedPageBreak/>
        <w:t xml:space="preserve">Shifting </w:t>
      </w:r>
      <w:r w:rsidR="00DD5D0B" w:rsidRPr="000665B0">
        <w:t xml:space="preserve">the </w:t>
      </w:r>
      <w:r w:rsidRPr="000665B0">
        <w:t>strike time</w:t>
      </w:r>
      <w:r w:rsidR="00332E54" w:rsidRPr="000665B0">
        <w:t xml:space="preserve"> during execution</w:t>
      </w:r>
      <w:r w:rsidRPr="000665B0">
        <w:t xml:space="preserve"> may cause </w:t>
      </w:r>
      <w:r w:rsidR="00B14C1B" w:rsidRPr="000665B0">
        <w:t xml:space="preserve">anomalies </w:t>
      </w:r>
      <w:r w:rsidR="00BC0595" w:rsidRPr="000665B0">
        <w:t>in</w:t>
      </w:r>
      <w:r w:rsidR="00332E54" w:rsidRPr="000665B0">
        <w:t xml:space="preserve"> the SMD’s display </w:t>
      </w:r>
      <w:r w:rsidR="003C3B7B" w:rsidRPr="000665B0">
        <w:t>of</w:t>
      </w:r>
      <w:r w:rsidR="00332E54" w:rsidRPr="000665B0">
        <w:t xml:space="preserve"> missile alignment times.</w:t>
      </w:r>
      <w:r w:rsidRPr="000665B0">
        <w:t xml:space="preserve"> </w:t>
      </w:r>
      <w:r w:rsidR="00332E54" w:rsidRPr="000665B0">
        <w:t xml:space="preserve">Careful consideration should be made when shifting strike times (see </w:t>
      </w:r>
      <w:hyperlink w:anchor="_What_Needs_to" w:history="1">
        <w:r w:rsidR="00E036B6" w:rsidRPr="000665B0">
          <w:rPr>
            <w:rStyle w:val="Hyperlink"/>
          </w:rPr>
          <w:t xml:space="preserve">Section </w:t>
        </w:r>
        <w:r w:rsidR="004231CC">
          <w:rPr>
            <w:rStyle w:val="Hyperlink"/>
          </w:rPr>
          <w:t>5.35</w:t>
        </w:r>
        <w:r w:rsidR="00332E54" w:rsidRPr="000665B0">
          <w:rPr>
            <w:rStyle w:val="Hyperlink"/>
          </w:rPr>
          <w:t>.16</w:t>
        </w:r>
      </w:hyperlink>
      <w:r w:rsidR="00332E54" w:rsidRPr="000665B0">
        <w:t>).</w:t>
      </w:r>
    </w:p>
    <w:p w14:paraId="37746826" w14:textId="77777777" w:rsidR="006B5F42" w:rsidRPr="000665B0" w:rsidRDefault="006B5F42" w:rsidP="00CD570F">
      <w:pPr>
        <w:pStyle w:val="BodyText"/>
        <w:keepNext/>
        <w:tabs>
          <w:tab w:val="left" w:pos="720"/>
        </w:tabs>
        <w:spacing w:after="120"/>
      </w:pPr>
      <w:r w:rsidRPr="000665B0">
        <w:t>To invoke Shift Strike Time:</w:t>
      </w:r>
    </w:p>
    <w:p w14:paraId="07CC5213" w14:textId="27E5E83E" w:rsidR="006B5F42" w:rsidRPr="000665B0" w:rsidRDefault="006B5F42" w:rsidP="006D5A65">
      <w:pPr>
        <w:pStyle w:val="Heading1"/>
      </w:pPr>
      <w:r w:rsidRPr="000665B0">
        <w:t xml:space="preserve">From the </w:t>
      </w:r>
      <w:r w:rsidRPr="000665B0">
        <w:rPr>
          <w:i/>
        </w:rPr>
        <w:t>Strike Option xxxxx-xxxxx-xxxxx</w:t>
      </w:r>
      <w:r w:rsidRPr="000665B0">
        <w:t xml:space="preserve"> window, </w:t>
      </w:r>
      <w:r w:rsidR="002128BC" w:rsidRPr="000665B0">
        <w:t xml:space="preserve">select the </w:t>
      </w:r>
      <w:r w:rsidR="002128BC" w:rsidRPr="000665B0">
        <w:rPr>
          <w:i/>
        </w:rPr>
        <w:t>Missiles</w:t>
      </w:r>
      <w:r w:rsidR="002128BC" w:rsidRPr="000665B0">
        <w:t xml:space="preserve"> tab. Select </w:t>
      </w:r>
      <w:r w:rsidR="00FE1E2A" w:rsidRPr="000665B0">
        <w:t xml:space="preserve">one or </w:t>
      </w:r>
      <w:r w:rsidR="006C7E56" w:rsidRPr="000665B0">
        <w:t>more</w:t>
      </w:r>
      <w:r w:rsidR="00FE1E2A" w:rsidRPr="000665B0">
        <w:t xml:space="preserve"> missiles</w:t>
      </w:r>
      <w:r w:rsidR="004200B7" w:rsidRPr="000665B0">
        <w:t>,</w:t>
      </w:r>
      <w:r w:rsidR="002128BC" w:rsidRPr="000665B0">
        <w:t xml:space="preserve"> invoke the context menu, and </w:t>
      </w:r>
      <w:r w:rsidRPr="000665B0">
        <w:t xml:space="preserve">select Edit </w:t>
      </w:r>
      <w:r w:rsidRPr="000665B0">
        <w:sym w:font="Wingdings" w:char="F0E0"/>
      </w:r>
      <w:r w:rsidRPr="000665B0">
        <w:t xml:space="preserve"> Shift Strike Times….The </w:t>
      </w:r>
      <w:r w:rsidRPr="000665B0">
        <w:rPr>
          <w:i/>
          <w:iCs/>
        </w:rPr>
        <w:t xml:space="preserve">Shift Strike Times </w:t>
      </w:r>
      <w:r w:rsidRPr="000665B0">
        <w:t>window is displayed.</w:t>
      </w:r>
    </w:p>
    <w:p w14:paraId="5D920F52" w14:textId="4762B619" w:rsidR="004200B7" w:rsidRPr="000665B0" w:rsidRDefault="004200B7" w:rsidP="00CB3E29">
      <w:pPr>
        <w:pStyle w:val="BodyText"/>
        <w:tabs>
          <w:tab w:val="left" w:pos="720"/>
        </w:tabs>
        <w:spacing w:after="120"/>
        <w:ind w:left="360"/>
      </w:pPr>
      <w:r w:rsidRPr="000665B0">
        <w:t>or</w:t>
      </w:r>
    </w:p>
    <w:p w14:paraId="7F2E924F" w14:textId="38D3D5E6" w:rsidR="003961EA" w:rsidRPr="000665B0" w:rsidRDefault="00FE1E2A" w:rsidP="006D5A65">
      <w:pPr>
        <w:pStyle w:val="Heading1"/>
      </w:pPr>
      <w:r w:rsidRPr="000665B0">
        <w:t>From the Strike Management Display Gantt Chart</w:t>
      </w:r>
      <w:r w:rsidR="003961EA" w:rsidRPr="000665B0">
        <w:t xml:space="preserve"> (see </w:t>
      </w:r>
      <w:hyperlink w:anchor="_5_.38.3.1.1_" w:history="1">
        <w:r w:rsidR="00E036B6" w:rsidRPr="000665B0">
          <w:rPr>
            <w:rStyle w:val="Hyperlink"/>
          </w:rPr>
          <w:t xml:space="preserve">Section </w:t>
        </w:r>
        <w:r w:rsidR="004231CC">
          <w:rPr>
            <w:rStyle w:val="Hyperlink"/>
          </w:rPr>
          <w:t>5.35</w:t>
        </w:r>
        <w:r w:rsidR="003961EA" w:rsidRPr="000665B0">
          <w:rPr>
            <w:rStyle w:val="Hyperlink"/>
          </w:rPr>
          <w:t>.3.1.1</w:t>
        </w:r>
      </w:hyperlink>
      <w:r w:rsidR="003961EA" w:rsidRPr="000665B0">
        <w:t>)</w:t>
      </w:r>
      <w:r w:rsidRPr="000665B0">
        <w:t>, select one or multiple missiles, invoke the context menu, and select</w:t>
      </w:r>
      <w:r w:rsidR="004200B7" w:rsidRPr="000665B0">
        <w:t xml:space="preserve"> Shift Time</w:t>
      </w:r>
      <w:r w:rsidRPr="000665B0">
        <w:t>. T</w:t>
      </w:r>
      <w:r w:rsidR="004200B7" w:rsidRPr="000665B0">
        <w:t xml:space="preserve">he </w:t>
      </w:r>
      <w:r w:rsidR="004200B7" w:rsidRPr="000665B0">
        <w:rPr>
          <w:i/>
          <w:iCs/>
        </w:rPr>
        <w:t xml:space="preserve">Shift Strike Times </w:t>
      </w:r>
      <w:r w:rsidR="004200B7" w:rsidRPr="000665B0">
        <w:t>window is displayed.</w:t>
      </w:r>
      <w:r w:rsidR="003961EA" w:rsidRPr="000665B0">
        <w:t xml:space="preserve"> </w:t>
      </w:r>
    </w:p>
    <w:p w14:paraId="38AFD9B6" w14:textId="77777777" w:rsidR="003961EA" w:rsidRPr="000665B0" w:rsidRDefault="003961EA" w:rsidP="003961EA">
      <w:pPr>
        <w:pStyle w:val="BodyText"/>
        <w:tabs>
          <w:tab w:val="left" w:pos="720"/>
        </w:tabs>
        <w:spacing w:after="120"/>
        <w:ind w:left="360"/>
      </w:pPr>
      <w:r w:rsidRPr="000665B0">
        <w:t>or</w:t>
      </w:r>
    </w:p>
    <w:p w14:paraId="5AA30A06" w14:textId="6D02B416" w:rsidR="003961EA" w:rsidRPr="000665B0" w:rsidRDefault="003961EA" w:rsidP="006D5A65">
      <w:pPr>
        <w:pStyle w:val="Heading1"/>
      </w:pPr>
      <w:r w:rsidRPr="000665B0">
        <w:t xml:space="preserve">From the Strike Management Display, select the </w:t>
      </w:r>
      <w:r w:rsidRPr="000665B0">
        <w:rPr>
          <w:i/>
        </w:rPr>
        <w:t>FRU Status</w:t>
      </w:r>
      <w:r w:rsidRPr="000665B0">
        <w:t xml:space="preserve"> tab and then the </w:t>
      </w:r>
      <w:r w:rsidRPr="000665B0">
        <w:rPr>
          <w:i/>
        </w:rPr>
        <w:t xml:space="preserve">Missile Assignments </w:t>
      </w:r>
      <w:r w:rsidRPr="000665B0">
        <w:t xml:space="preserve">sub-tab (see </w:t>
      </w:r>
      <w:hyperlink w:anchor="_Missile_Assignments_Tab" w:history="1">
        <w:r w:rsidR="0096111B" w:rsidRPr="000665B0">
          <w:rPr>
            <w:rStyle w:val="Hyperlink"/>
          </w:rPr>
          <w:t xml:space="preserve">Section </w:t>
        </w:r>
        <w:r w:rsidR="004231CC">
          <w:rPr>
            <w:rStyle w:val="Hyperlink"/>
          </w:rPr>
          <w:t>5.35</w:t>
        </w:r>
        <w:r w:rsidR="0096111B" w:rsidRPr="000665B0">
          <w:rPr>
            <w:rStyle w:val="Hyperlink"/>
          </w:rPr>
          <w:t>.3.1.9</w:t>
        </w:r>
        <w:r w:rsidRPr="000665B0">
          <w:rPr>
            <w:rStyle w:val="Hyperlink"/>
          </w:rPr>
          <w:t>.2</w:t>
        </w:r>
      </w:hyperlink>
      <w:r w:rsidRPr="000665B0">
        <w:t xml:space="preserve">), select one or multiple missiles, invoke the context menu, and select Shift Time. The </w:t>
      </w:r>
      <w:r w:rsidRPr="000665B0">
        <w:rPr>
          <w:i/>
          <w:iCs/>
        </w:rPr>
        <w:t xml:space="preserve">Shift Strike Times </w:t>
      </w:r>
      <w:r w:rsidRPr="000665B0">
        <w:t>window is displayed.</w:t>
      </w:r>
    </w:p>
    <w:p w14:paraId="44755554" w14:textId="1DC1BEA6" w:rsidR="006B5F42" w:rsidRPr="000665B0" w:rsidRDefault="0037515F" w:rsidP="00474A1F">
      <w:pPr>
        <w:tabs>
          <w:tab w:val="left" w:pos="720"/>
        </w:tabs>
        <w:jc w:val="center"/>
      </w:pPr>
      <w:r w:rsidRPr="000665B0">
        <w:rPr>
          <w:noProof/>
        </w:rPr>
        <w:drawing>
          <wp:inline distT="0" distB="0" distL="0" distR="0" wp14:anchorId="7466EB72" wp14:editId="15C642E3">
            <wp:extent cx="3200400" cy="2706624"/>
            <wp:effectExtent l="0" t="0" r="0" b="0"/>
            <wp:docPr id="1332" name="Picture 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200400" cy="2706624"/>
                    </a:xfrm>
                    <a:prstGeom prst="rect">
                      <a:avLst/>
                    </a:prstGeom>
                  </pic:spPr>
                </pic:pic>
              </a:graphicData>
            </a:graphic>
          </wp:inline>
        </w:drawing>
      </w:r>
    </w:p>
    <w:p w14:paraId="64575AB8" w14:textId="781B2469" w:rsidR="006B5F42" w:rsidRPr="000665B0" w:rsidRDefault="006B5F42" w:rsidP="00B45860">
      <w:pPr>
        <w:tabs>
          <w:tab w:val="left" w:pos="720"/>
        </w:tabs>
        <w:ind w:left="720"/>
        <w:rPr>
          <w:bCs/>
        </w:rPr>
      </w:pPr>
      <w:r w:rsidRPr="000665B0">
        <w:t xml:space="preserve">In the </w:t>
      </w:r>
      <w:r w:rsidRPr="000665B0">
        <w:rPr>
          <w:i/>
        </w:rPr>
        <w:t>Shift Strike Times</w:t>
      </w:r>
      <w:r w:rsidRPr="000665B0">
        <w:t xml:space="preserve"> window, the following is </w:t>
      </w:r>
      <w:r w:rsidR="00A93DCC" w:rsidRPr="000665B0">
        <w:t>displayed,</w:t>
      </w:r>
      <w:r w:rsidRPr="000665B0">
        <w:t xml:space="preserve"> and several parameters can be changed:</w:t>
      </w:r>
    </w:p>
    <w:p w14:paraId="06403192" w14:textId="77777777" w:rsidR="000A7C0C" w:rsidRPr="000665B0" w:rsidRDefault="000A7C0C" w:rsidP="006D5A65">
      <w:pPr>
        <w:pStyle w:val="Heading1"/>
      </w:pPr>
      <w:r w:rsidRPr="000665B0">
        <w:t xml:space="preserve">Information Messages </w:t>
      </w:r>
      <w:r w:rsidR="006B5F42" w:rsidRPr="000665B0">
        <w:t>–</w:t>
      </w:r>
      <w:r w:rsidRPr="000665B0">
        <w:t xml:space="preserve"> The upper portion of the dialog contain</w:t>
      </w:r>
      <w:r w:rsidR="006B5F42" w:rsidRPr="000665B0">
        <w:t>s</w:t>
      </w:r>
      <w:r w:rsidRPr="000665B0">
        <w:t xml:space="preserve"> a</w:t>
      </w:r>
      <w:r w:rsidR="006B5F42" w:rsidRPr="000665B0">
        <w:t>n</w:t>
      </w:r>
      <w:r w:rsidRPr="000665B0">
        <w:t xml:space="preserve"> informational message. </w:t>
      </w:r>
      <w:r w:rsidR="006B5F42" w:rsidRPr="000665B0">
        <w:t>The message informs the user</w:t>
      </w:r>
      <w:r w:rsidRPr="000665B0">
        <w:t xml:space="preserve"> which unlocked missiles will be shifted (i.e., selected assignments, all for the specific option, or all for the specific FRU). In the case where primaries were selected but </w:t>
      </w:r>
      <w:r w:rsidRPr="000665B0">
        <w:lastRenderedPageBreak/>
        <w:t xml:space="preserve">not the corresponding spares/backups, it will </w:t>
      </w:r>
      <w:r w:rsidR="006B5F42" w:rsidRPr="000665B0">
        <w:t xml:space="preserve">inform the </w:t>
      </w:r>
      <w:r w:rsidRPr="000665B0">
        <w:t xml:space="preserve">user that these will also be shifted and </w:t>
      </w:r>
      <w:r w:rsidR="006B5F42" w:rsidRPr="000665B0">
        <w:t>also lists the</w:t>
      </w:r>
      <w:r w:rsidRPr="000665B0">
        <w:t xml:space="preserve"> MS#s. While in execution, it will also </w:t>
      </w:r>
      <w:r w:rsidR="006B5F42" w:rsidRPr="000665B0">
        <w:t xml:space="preserve">inform </w:t>
      </w:r>
      <w:r w:rsidRPr="000665B0">
        <w:t>the user which MS#s will not be shifted since they have already launched.</w:t>
      </w:r>
    </w:p>
    <w:p w14:paraId="67BA50A7" w14:textId="03FF19E6" w:rsidR="000A7C0C" w:rsidRPr="000665B0" w:rsidRDefault="000A7C0C" w:rsidP="006D5A65">
      <w:pPr>
        <w:pStyle w:val="Heading1"/>
      </w:pPr>
      <w:r w:rsidRPr="000665B0">
        <w:t xml:space="preserve">Shift </w:t>
      </w:r>
      <w:r w:rsidR="006B5F42" w:rsidRPr="000665B0">
        <w:t>Pane</w:t>
      </w:r>
      <w:r w:rsidRPr="000665B0">
        <w:t xml:space="preserve"> (Later, Earlier, Earliest TGT, Earliest FWP, Earliest TOL) – Selecting Later</w:t>
      </w:r>
      <w:r w:rsidR="006B5F42" w:rsidRPr="000665B0">
        <w:t xml:space="preserve"> or </w:t>
      </w:r>
      <w:r w:rsidRPr="000665B0">
        <w:t>Earlier allows the user to set an amount of time to move all the affected missiles forward</w:t>
      </w:r>
      <w:r w:rsidR="006B5F42" w:rsidRPr="000665B0">
        <w:t xml:space="preserve"> or </w:t>
      </w:r>
      <w:r w:rsidRPr="000665B0">
        <w:t xml:space="preserve">backward. The Days, Hours, Minutes, and Seconds boxes become visible: </w:t>
      </w:r>
    </w:p>
    <w:p w14:paraId="71B513B8" w14:textId="1ED23B4D" w:rsidR="000A7C0C" w:rsidRPr="000665B0" w:rsidRDefault="00A35413" w:rsidP="00A35413">
      <w:pPr>
        <w:tabs>
          <w:tab w:val="left" w:pos="720"/>
        </w:tabs>
        <w:jc w:val="center"/>
      </w:pPr>
      <w:r w:rsidRPr="000665B0">
        <w:rPr>
          <w:noProof/>
        </w:rPr>
        <w:drawing>
          <wp:inline distT="0" distB="0" distL="0" distR="0" wp14:anchorId="0825B592" wp14:editId="7200C651">
            <wp:extent cx="4114800" cy="374904"/>
            <wp:effectExtent l="0" t="0" r="0" b="6350"/>
            <wp:docPr id="1154"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374904"/>
                    </a:xfrm>
                    <a:prstGeom prst="rect">
                      <a:avLst/>
                    </a:prstGeom>
                  </pic:spPr>
                </pic:pic>
              </a:graphicData>
            </a:graphic>
          </wp:inline>
        </w:drawing>
      </w:r>
    </w:p>
    <w:p w14:paraId="4AC2801D" w14:textId="77777777" w:rsidR="000A7C0C" w:rsidRPr="000665B0" w:rsidRDefault="000A7C0C" w:rsidP="00B45860">
      <w:pPr>
        <w:ind w:left="1080"/>
      </w:pPr>
      <w:r w:rsidRPr="000665B0">
        <w:t xml:space="preserve">Selecting the </w:t>
      </w:r>
      <w:r w:rsidRPr="000665B0">
        <w:rPr>
          <w:b/>
        </w:rPr>
        <w:t>Earliest TGT</w:t>
      </w:r>
      <w:r w:rsidR="006B5F42" w:rsidRPr="000665B0">
        <w:t xml:space="preserve">, </w:t>
      </w:r>
      <w:r w:rsidRPr="000665B0">
        <w:rPr>
          <w:b/>
        </w:rPr>
        <w:t>Earliest FWP</w:t>
      </w:r>
      <w:r w:rsidR="006B5F42" w:rsidRPr="000665B0">
        <w:t xml:space="preserve">, or </w:t>
      </w:r>
      <w:r w:rsidRPr="000665B0">
        <w:rPr>
          <w:b/>
        </w:rPr>
        <w:t>Earliest TOL</w:t>
      </w:r>
      <w:r w:rsidRPr="000665B0">
        <w:t xml:space="preserve"> allows the user to set an absolute time </w:t>
      </w:r>
      <w:r w:rsidR="006B5F42" w:rsidRPr="000665B0">
        <w:t>for</w:t>
      </w:r>
      <w:r w:rsidRPr="000665B0">
        <w:t xml:space="preserve"> the earliest missile to hit the </w:t>
      </w:r>
      <w:r w:rsidR="006B5F42" w:rsidRPr="000665B0">
        <w:t xml:space="preserve">selected </w:t>
      </w:r>
      <w:r w:rsidRPr="000665B0">
        <w:t>timing point (TGT</w:t>
      </w:r>
      <w:r w:rsidR="006B5F42" w:rsidRPr="000665B0">
        <w:t xml:space="preserve">, </w:t>
      </w:r>
      <w:r w:rsidRPr="000665B0">
        <w:t>FWP</w:t>
      </w:r>
      <w:r w:rsidR="006B5F42" w:rsidRPr="000665B0">
        <w:t xml:space="preserve">, or </w:t>
      </w:r>
      <w:r w:rsidRPr="000665B0">
        <w:t xml:space="preserve">TOL). The difference between the currently selected timing point’s time and new time will be applied to all the affected missiles. When one of these options </w:t>
      </w:r>
      <w:r w:rsidR="004D6FF6" w:rsidRPr="000665B0">
        <w:t>is</w:t>
      </w:r>
      <w:r w:rsidRPr="000665B0">
        <w:t xml:space="preserve"> selected the absolute time box become</w:t>
      </w:r>
      <w:r w:rsidR="00F32494" w:rsidRPr="000665B0">
        <w:t>s</w:t>
      </w:r>
      <w:r w:rsidRPr="000665B0">
        <w:t xml:space="preserve"> visible: </w:t>
      </w:r>
    </w:p>
    <w:p w14:paraId="22B9C58F" w14:textId="2CBBB761" w:rsidR="000A7C0C" w:rsidRPr="000665B0" w:rsidRDefault="0037515F" w:rsidP="006E1D1B">
      <w:pPr>
        <w:tabs>
          <w:tab w:val="left" w:pos="1080"/>
        </w:tabs>
        <w:jc w:val="center"/>
      </w:pPr>
      <w:r w:rsidRPr="000665B0">
        <w:rPr>
          <w:noProof/>
        </w:rPr>
        <w:drawing>
          <wp:inline distT="0" distB="0" distL="0" distR="0" wp14:anchorId="30170C43" wp14:editId="22C5190C">
            <wp:extent cx="2743200" cy="548640"/>
            <wp:effectExtent l="0" t="0" r="0" b="3810"/>
            <wp:docPr id="1927" name="Picture 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548640"/>
                    </a:xfrm>
                    <a:prstGeom prst="rect">
                      <a:avLst/>
                    </a:prstGeom>
                  </pic:spPr>
                </pic:pic>
              </a:graphicData>
            </a:graphic>
          </wp:inline>
        </w:drawing>
      </w:r>
    </w:p>
    <w:p w14:paraId="4BDCBD70" w14:textId="77777777" w:rsidR="000A7C0C" w:rsidRPr="000665B0" w:rsidRDefault="000A7C0C" w:rsidP="006D5A65">
      <w:pPr>
        <w:pStyle w:val="Heading1"/>
      </w:pPr>
      <w:r w:rsidRPr="000665B0">
        <w:t>Earliest TGT</w:t>
      </w:r>
      <w:r w:rsidR="000300DD" w:rsidRPr="000665B0">
        <w:t xml:space="preserve"> Pane</w:t>
      </w:r>
      <w:r w:rsidRPr="000665B0">
        <w:t xml:space="preserve"> – Always shows the Current Earliest TGT for the affected missiles. Once the Preview button is clicked it will also show what the New Earliest TGT will be if the shift is applied.</w:t>
      </w:r>
    </w:p>
    <w:p w14:paraId="6E5C5E42" w14:textId="77777777" w:rsidR="000A7C0C" w:rsidRPr="000665B0" w:rsidRDefault="000A7C0C" w:rsidP="006D5A65">
      <w:pPr>
        <w:pStyle w:val="Heading1"/>
      </w:pPr>
      <w:r w:rsidRPr="000665B0">
        <w:t>Earliest FWP</w:t>
      </w:r>
      <w:r w:rsidR="000300DD" w:rsidRPr="000665B0">
        <w:t xml:space="preserve"> Pane</w:t>
      </w:r>
      <w:r w:rsidRPr="000665B0">
        <w:t xml:space="preserve"> – Always shows the Current Earliest FWP for the affected missiles. Once the Preview button is clicked it will also show what the New Earliest FWP will be if the shift is applied.</w:t>
      </w:r>
    </w:p>
    <w:p w14:paraId="6898EB62" w14:textId="77777777" w:rsidR="000A7C0C" w:rsidRPr="000665B0" w:rsidRDefault="000A7C0C" w:rsidP="006D5A65">
      <w:pPr>
        <w:pStyle w:val="Heading1"/>
      </w:pPr>
      <w:r w:rsidRPr="000665B0">
        <w:t>Earliest TOL</w:t>
      </w:r>
      <w:r w:rsidR="000300DD" w:rsidRPr="000665B0">
        <w:t xml:space="preserve"> Pane</w:t>
      </w:r>
      <w:r w:rsidRPr="000665B0">
        <w:t xml:space="preserve"> – Always shows the Current Earliest TOL for the affected missiles. Once the Preview button is clicked it will also show what the New Earliest TOL will be if the shift is applied.</w:t>
      </w:r>
    </w:p>
    <w:p w14:paraId="31839B2A" w14:textId="6BD0AAA7" w:rsidR="000A7C0C" w:rsidRPr="000665B0" w:rsidRDefault="000A7C0C" w:rsidP="006D5A65">
      <w:pPr>
        <w:pStyle w:val="Heading1"/>
      </w:pPr>
      <w:r w:rsidRPr="000665B0">
        <w:t xml:space="preserve">Preview </w:t>
      </w:r>
      <w:r w:rsidR="000300DD" w:rsidRPr="000665B0">
        <w:t>B</w:t>
      </w:r>
      <w:r w:rsidRPr="000665B0">
        <w:t>utton –</w:t>
      </w:r>
      <w:r w:rsidR="00A35413" w:rsidRPr="000665B0">
        <w:t xml:space="preserve"> </w:t>
      </w:r>
      <w:r w:rsidR="00D171C8" w:rsidRPr="000665B0">
        <w:t>S</w:t>
      </w:r>
      <w:r w:rsidRPr="000665B0">
        <w:t>how</w:t>
      </w:r>
      <w:r w:rsidR="00D171C8" w:rsidRPr="000665B0">
        <w:t>s</w:t>
      </w:r>
      <w:r w:rsidRPr="000665B0">
        <w:t xml:space="preserve"> the user what the New Earliest TGT, New Earliest FWP, </w:t>
      </w:r>
      <w:r w:rsidR="00D171C8" w:rsidRPr="000665B0">
        <w:t xml:space="preserve">or </w:t>
      </w:r>
      <w:r w:rsidRPr="000665B0">
        <w:t xml:space="preserve">New Earliest TOL will become if the shift </w:t>
      </w:r>
      <w:r w:rsidRPr="000665B0">
        <w:lastRenderedPageBreak/>
        <w:t>is applied.</w:t>
      </w:r>
      <w:r w:rsidR="000300DD" w:rsidRPr="000665B0">
        <w:t xml:space="preserve"> It is recommended to view the preview before clicking OK.</w:t>
      </w:r>
    </w:p>
    <w:p w14:paraId="20E45B99" w14:textId="77777777" w:rsidR="000A7C0C" w:rsidRPr="000665B0" w:rsidRDefault="000A7C0C" w:rsidP="00172AD0">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 xml:space="preserve">Note: </w:t>
      </w:r>
    </w:p>
    <w:p w14:paraId="739ABF0A" w14:textId="77777777" w:rsidR="000A7C0C" w:rsidRPr="000665B0" w:rsidRDefault="000A7C0C" w:rsidP="00172AD0">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jc w:val="center"/>
        <w:rPr>
          <w:b/>
        </w:rPr>
      </w:pPr>
      <w:r w:rsidRPr="000665B0">
        <w:rPr>
          <w:b/>
        </w:rPr>
        <w:t>When the entire Strike Package’s time is shifted or edited by two hours or more</w:t>
      </w:r>
      <w:r w:rsidR="00D171C8" w:rsidRPr="000665B0">
        <w:rPr>
          <w:b/>
        </w:rPr>
        <w:t>,</w:t>
      </w:r>
      <w:r w:rsidRPr="000665B0">
        <w:rPr>
          <w:b/>
        </w:rPr>
        <w:t xml:space="preserve"> a warning dialog will prompt the operator that the changes will modify the Strike Reference Time. This gives the operator an opportunity to cancel the changes:</w:t>
      </w:r>
    </w:p>
    <w:p w14:paraId="129FE742" w14:textId="41E89818" w:rsidR="000A7C0C" w:rsidRPr="000665B0" w:rsidRDefault="00FE4AB8" w:rsidP="00172AD0">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jc w:val="center"/>
      </w:pPr>
      <w:r w:rsidRPr="000665B0">
        <w:rPr>
          <w:noProof/>
        </w:rPr>
        <w:drawing>
          <wp:inline distT="0" distB="0" distL="0" distR="0" wp14:anchorId="2DD13F35" wp14:editId="64ABE672">
            <wp:extent cx="2743200" cy="1298448"/>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298448"/>
                    </a:xfrm>
                    <a:prstGeom prst="rect">
                      <a:avLst/>
                    </a:prstGeom>
                  </pic:spPr>
                </pic:pic>
              </a:graphicData>
            </a:graphic>
          </wp:inline>
        </w:drawing>
      </w:r>
    </w:p>
    <w:p w14:paraId="1512DD1D" w14:textId="375B3507" w:rsidR="003D44FB" w:rsidRPr="000665B0" w:rsidRDefault="003D44FB" w:rsidP="00172AD0">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jc w:val="center"/>
        <w:rPr>
          <w:b/>
        </w:rPr>
      </w:pPr>
      <w:r w:rsidRPr="000665B0">
        <w:rPr>
          <w:b/>
        </w:rPr>
        <w:t>When multiple strikes are selected, clicking “No” to cancel the changes cancels ONLY the shift(s) for the strike in the warning dialog’s title. The remaining strikes ARE shifted.</w:t>
      </w:r>
    </w:p>
    <w:p w14:paraId="1B7795F0" w14:textId="77777777" w:rsidR="000A7C0C" w:rsidRPr="000665B0" w:rsidRDefault="000A7C0C" w:rsidP="00172AD0">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jc w:val="center"/>
        <w:rPr>
          <w:b/>
        </w:rPr>
      </w:pPr>
      <w:r w:rsidRPr="000665B0">
        <w:rPr>
          <w:b/>
        </w:rPr>
        <w:t>For Strike Execution, once a shift is completed</w:t>
      </w:r>
      <w:r w:rsidR="00231120" w:rsidRPr="000665B0">
        <w:rPr>
          <w:b/>
        </w:rPr>
        <w:t>,</w:t>
      </w:r>
      <w:r w:rsidRPr="000665B0">
        <w:rPr>
          <w:b/>
        </w:rPr>
        <w:t xml:space="preserve"> the option will be marked as pending distribution in the option list view and can be sent from there.</w:t>
      </w:r>
    </w:p>
    <w:p w14:paraId="00072EF9" w14:textId="67BDE176" w:rsidR="00B45860" w:rsidRPr="000665B0" w:rsidRDefault="000A7C0C" w:rsidP="00172AD0">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jc w:val="center"/>
        <w:rPr>
          <w:szCs w:val="24"/>
        </w:rPr>
      </w:pPr>
      <w:r w:rsidRPr="000665B0">
        <w:rPr>
          <w:b/>
        </w:rPr>
        <w:t xml:space="preserve">For Strike Execution, shifting the times for any missiles in a </w:t>
      </w:r>
      <w:r w:rsidR="00A93DCC" w:rsidRPr="000665B0">
        <w:rPr>
          <w:b/>
        </w:rPr>
        <w:t>double tap</w:t>
      </w:r>
      <w:r w:rsidRPr="000665B0">
        <w:rPr>
          <w:b/>
        </w:rPr>
        <w:t xml:space="preserve"> (2 missiles going to the same target at the same time) affects the TTWCS operational behavior. When these missiles are shifted in the final review (within 10 minutes of launch), TTWCS will automatically roll the shifted missiles to the reload pool. When these missiles are shifted prior to the final review (outside 10 minutes of launch), TTWCS will automatically roll the shifted missiles to the reload pool and it will also automatically start a new engagement.</w:t>
      </w:r>
      <w:r w:rsidR="00B45860" w:rsidRPr="000665B0">
        <w:rPr>
          <w:szCs w:val="24"/>
        </w:rPr>
        <w:t xml:space="preserve"> </w:t>
      </w:r>
    </w:p>
    <w:p w14:paraId="1B7B7E23" w14:textId="02C3FE59" w:rsidR="00E2312D" w:rsidRPr="000665B0" w:rsidRDefault="00E2312D" w:rsidP="006D5A65">
      <w:pPr>
        <w:pStyle w:val="Heading1"/>
      </w:pPr>
      <w:r w:rsidRPr="000665B0">
        <w:t xml:space="preserve">Click OK to apply the shift and close the </w:t>
      </w:r>
      <w:r w:rsidR="00A93DCC" w:rsidRPr="000665B0">
        <w:t>window or</w:t>
      </w:r>
      <w:r w:rsidRPr="000665B0">
        <w:t xml:space="preserve"> click Cancel to close the window without applying the shift.</w:t>
      </w:r>
    </w:p>
    <w:p w14:paraId="3A092986" w14:textId="259FEDF5" w:rsidR="00396918" w:rsidRPr="000665B0" w:rsidRDefault="00396918" w:rsidP="00863CE3">
      <w:pPr>
        <w:pStyle w:val="Heading5"/>
      </w:pPr>
      <w:bookmarkStart w:id="6430" w:name="_5.37.7__LMOs"/>
      <w:bookmarkStart w:id="6431" w:name="_Toc289328885"/>
      <w:bookmarkStart w:id="6432" w:name="_Toc312332069"/>
      <w:bookmarkEnd w:id="6430"/>
      <w:r w:rsidRPr="000665B0">
        <w:t>Changing a T</w:t>
      </w:r>
      <w:r w:rsidR="00E8363A" w:rsidRPr="000665B0">
        <w:t>MP</w:t>
      </w:r>
      <w:r w:rsidRPr="000665B0">
        <w:t>R or LMO Missile Type to Block I</w:t>
      </w:r>
      <w:r w:rsidR="004757F0" w:rsidRPr="000665B0">
        <w:t>II</w:t>
      </w:r>
      <w:r w:rsidRPr="000665B0">
        <w:t xml:space="preserve"> when Tasking Requires </w:t>
      </w:r>
      <w:r w:rsidR="001C6D19" w:rsidRPr="000665B0">
        <w:t>109E</w:t>
      </w:r>
    </w:p>
    <w:p w14:paraId="0C8ADC97" w14:textId="317C4895" w:rsidR="00396918" w:rsidRPr="000665B0" w:rsidRDefault="00396918" w:rsidP="00396918">
      <w:pPr>
        <w:tabs>
          <w:tab w:val="left" w:pos="720"/>
        </w:tabs>
      </w:pPr>
      <w:r w:rsidRPr="000665B0">
        <w:t xml:space="preserve">When a TMPR is created from a strike tasking </w:t>
      </w:r>
      <w:r w:rsidR="00415FD1" w:rsidRPr="000665B0">
        <w:t>that requires</w:t>
      </w:r>
      <w:r w:rsidRPr="000665B0">
        <w:t xml:space="preserve"> </w:t>
      </w:r>
      <w:r w:rsidR="001C6D19" w:rsidRPr="000665B0">
        <w:t>109E</w:t>
      </w:r>
      <w:r w:rsidRPr="000665B0">
        <w:t>, the TMPR</w:t>
      </w:r>
      <w:r w:rsidR="00E8363A" w:rsidRPr="000665B0">
        <w:t>’s</w:t>
      </w:r>
      <w:r w:rsidRPr="000665B0">
        <w:t xml:space="preserve"> missile type </w:t>
      </w:r>
      <w:r w:rsidR="00415FD1" w:rsidRPr="000665B0">
        <w:t>is</w:t>
      </w:r>
      <w:r w:rsidR="00E8363A" w:rsidRPr="000665B0">
        <w:t xml:space="preserve"> </w:t>
      </w:r>
      <w:r w:rsidR="006D65CB" w:rsidRPr="000665B0">
        <w:t>set to 109E</w:t>
      </w:r>
      <w:r w:rsidRPr="000665B0">
        <w:t>. However</w:t>
      </w:r>
      <w:r w:rsidR="00583ED3" w:rsidRPr="000665B0">
        <w:t>,</w:t>
      </w:r>
      <w:r w:rsidRPr="000665B0">
        <w:t xml:space="preserve"> </w:t>
      </w:r>
      <w:r w:rsidR="006D65CB" w:rsidRPr="000665B0">
        <w:t>the missile type</w:t>
      </w:r>
      <w:r w:rsidR="00583ED3" w:rsidRPr="000665B0">
        <w:t xml:space="preserve"> can be changed</w:t>
      </w:r>
      <w:r w:rsidRPr="000665B0">
        <w:t xml:space="preserve"> to a 109C or 109D </w:t>
      </w:r>
      <w:r w:rsidR="006D65CB" w:rsidRPr="000665B0">
        <w:t xml:space="preserve">missile type </w:t>
      </w:r>
      <w:r w:rsidR="00583ED3" w:rsidRPr="000665B0">
        <w:t>for a Block II mission</w:t>
      </w:r>
      <w:r w:rsidRPr="000665B0">
        <w:t xml:space="preserve">. Neither the TMPR nor the mission that </w:t>
      </w:r>
      <w:r w:rsidR="006D65CB" w:rsidRPr="000665B0">
        <w:t>are</w:t>
      </w:r>
      <w:r w:rsidRPr="000665B0">
        <w:t xml:space="preserve"> created will </w:t>
      </w:r>
      <w:r w:rsidR="00583ED3" w:rsidRPr="000665B0">
        <w:t>appear</w:t>
      </w:r>
      <w:r w:rsidRPr="000665B0">
        <w:t xml:space="preserve"> in the </w:t>
      </w:r>
      <w:r w:rsidR="00415FD1" w:rsidRPr="000665B0">
        <w:t>Mission Candidates Matrix</w:t>
      </w:r>
      <w:r w:rsidRPr="000665B0">
        <w:t xml:space="preserve"> </w:t>
      </w:r>
      <w:r w:rsidR="00BE0474" w:rsidRPr="000665B0">
        <w:t>because</w:t>
      </w:r>
      <w:r w:rsidRPr="000665B0">
        <w:t xml:space="preserve"> they </w:t>
      </w:r>
      <w:r w:rsidR="00415FD1" w:rsidRPr="000665B0">
        <w:t>will</w:t>
      </w:r>
      <w:r w:rsidRPr="000665B0">
        <w:t xml:space="preserve"> </w:t>
      </w:r>
      <w:r w:rsidR="00A966B2" w:rsidRPr="000665B0">
        <w:t>be</w:t>
      </w:r>
      <w:r w:rsidRPr="000665B0">
        <w:t xml:space="preserve"> filtered out </w:t>
      </w:r>
      <w:r w:rsidR="00BE0474" w:rsidRPr="000665B0">
        <w:t>as</w:t>
      </w:r>
      <w:r w:rsidR="00A966B2" w:rsidRPr="000665B0">
        <w:t xml:space="preserve"> they</w:t>
      </w:r>
      <w:r w:rsidRPr="000665B0">
        <w:t xml:space="preserve"> do not meet the </w:t>
      </w:r>
      <w:r w:rsidR="001C6D19" w:rsidRPr="000665B0">
        <w:t>109E</w:t>
      </w:r>
      <w:r w:rsidRPr="000665B0">
        <w:t xml:space="preserve"> requirement. </w:t>
      </w:r>
      <w:r w:rsidR="00A966B2" w:rsidRPr="000665B0">
        <w:t xml:space="preserve">When changing the missile type from 109E to 109C or 109D, the system </w:t>
      </w:r>
      <w:r w:rsidR="006D65CB" w:rsidRPr="000665B0">
        <w:t>displays the following prompt</w:t>
      </w:r>
      <w:r w:rsidR="004757F0" w:rsidRPr="000665B0">
        <w:t xml:space="preserve"> upon closing the window/saving</w:t>
      </w:r>
      <w:r w:rsidR="00A966B2" w:rsidRPr="000665B0">
        <w:t>. The prompt allows the user to</w:t>
      </w:r>
      <w:r w:rsidRPr="000665B0">
        <w:t xml:space="preserve"> change the tasking</w:t>
      </w:r>
      <w:r w:rsidR="00A966B2" w:rsidRPr="000665B0">
        <w:t xml:space="preserve"> (select </w:t>
      </w:r>
      <w:r w:rsidR="00A966B2" w:rsidRPr="000665B0">
        <w:rPr>
          <w:b/>
        </w:rPr>
        <w:t>Yes</w:t>
      </w:r>
      <w:r w:rsidR="00E8363A" w:rsidRPr="000665B0">
        <w:rPr>
          <w:b/>
        </w:rPr>
        <w:t xml:space="preserve"> </w:t>
      </w:r>
      <w:r w:rsidR="00E8363A" w:rsidRPr="000665B0">
        <w:t xml:space="preserve">to remove the </w:t>
      </w:r>
      <w:r w:rsidR="001C6D19" w:rsidRPr="000665B0">
        <w:t>109E</w:t>
      </w:r>
      <w:r w:rsidR="00E8363A" w:rsidRPr="000665B0">
        <w:t xml:space="preserve"> requirement</w:t>
      </w:r>
      <w:r w:rsidR="00A93DCC" w:rsidRPr="000665B0">
        <w:t>) or</w:t>
      </w:r>
      <w:r w:rsidRPr="000665B0">
        <w:t xml:space="preserve"> </w:t>
      </w:r>
      <w:r w:rsidR="00A966B2" w:rsidRPr="000665B0">
        <w:t>revert the</w:t>
      </w:r>
      <w:r w:rsidRPr="000665B0">
        <w:t xml:space="preserve"> missile type back to 109E</w:t>
      </w:r>
      <w:r w:rsidR="00A966B2" w:rsidRPr="000665B0">
        <w:t xml:space="preserve"> (select </w:t>
      </w:r>
      <w:r w:rsidR="00A966B2" w:rsidRPr="000665B0">
        <w:rPr>
          <w:b/>
        </w:rPr>
        <w:t>No</w:t>
      </w:r>
      <w:r w:rsidR="00E8363A" w:rsidRPr="000665B0">
        <w:rPr>
          <w:b/>
        </w:rPr>
        <w:t xml:space="preserve"> </w:t>
      </w:r>
      <w:r w:rsidR="00E8363A" w:rsidRPr="000665B0">
        <w:t xml:space="preserve">to retain the </w:t>
      </w:r>
      <w:r w:rsidR="001C6D19" w:rsidRPr="000665B0">
        <w:t>109E</w:t>
      </w:r>
      <w:r w:rsidR="00E8363A" w:rsidRPr="000665B0">
        <w:t xml:space="preserve"> requirement</w:t>
      </w:r>
      <w:r w:rsidR="00A966B2" w:rsidRPr="000665B0">
        <w:t>).</w:t>
      </w:r>
    </w:p>
    <w:p w14:paraId="3580DE12" w14:textId="4F85A03C" w:rsidR="00396918" w:rsidRPr="000665B0" w:rsidRDefault="0071222B" w:rsidP="008D4947">
      <w:pPr>
        <w:tabs>
          <w:tab w:val="left" w:pos="720"/>
        </w:tabs>
        <w:jc w:val="center"/>
      </w:pPr>
      <w:r w:rsidRPr="000665B0">
        <w:rPr>
          <w:noProof/>
        </w:rPr>
        <w:lastRenderedPageBreak/>
        <w:drawing>
          <wp:inline distT="0" distB="0" distL="0" distR="0" wp14:anchorId="5460ED12" wp14:editId="2573AC20">
            <wp:extent cx="3200400" cy="1728216"/>
            <wp:effectExtent l="0" t="0" r="0" b="5715"/>
            <wp:docPr id="58" name="Picture 58" descr="cid:image001.png@01D2E9C3.BA19C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2E9C3.BA19C030"/>
                    <pic:cNvPicPr>
                      <a:picLocks noChangeAspect="1" noChangeArrowheads="1"/>
                    </pic:cNvPicPr>
                  </pic:nvPicPr>
                  <pic:blipFill>
                    <a:blip r:link="rId25" cstate="screen">
                      <a:extLst>
                        <a:ext uri="{28A0092B-C50C-407E-A947-70E740481C1C}">
                          <a14:useLocalDpi xmlns:a14="http://schemas.microsoft.com/office/drawing/2010/main"/>
                        </a:ext>
                      </a:extLst>
                    </a:blip>
                    <a:srcRect/>
                    <a:stretch>
                      <a:fillRect/>
                    </a:stretch>
                  </pic:blipFill>
                  <pic:spPr bwMode="auto">
                    <a:xfrm>
                      <a:off x="0" y="0"/>
                      <a:ext cx="3200400" cy="1728216"/>
                    </a:xfrm>
                    <a:prstGeom prst="rect">
                      <a:avLst/>
                    </a:prstGeom>
                    <a:noFill/>
                    <a:ln>
                      <a:noFill/>
                    </a:ln>
                  </pic:spPr>
                </pic:pic>
              </a:graphicData>
            </a:graphic>
          </wp:inline>
        </w:drawing>
      </w:r>
    </w:p>
    <w:p w14:paraId="05EB4CEF" w14:textId="07F94351" w:rsidR="00A117E1" w:rsidRPr="000665B0" w:rsidRDefault="00396918" w:rsidP="008D4947">
      <w:pPr>
        <w:tabs>
          <w:tab w:val="left" w:pos="720"/>
        </w:tabs>
      </w:pPr>
      <w:r w:rsidRPr="000665B0">
        <w:t>Similarly</w:t>
      </w:r>
      <w:r w:rsidR="00E8363A" w:rsidRPr="000665B0">
        <w:t>,</w:t>
      </w:r>
      <w:r w:rsidRPr="000665B0">
        <w:t xml:space="preserve"> when an LMO is created from a strike tasking </w:t>
      </w:r>
      <w:r w:rsidR="006D65CB" w:rsidRPr="000665B0">
        <w:t>that requires</w:t>
      </w:r>
      <w:r w:rsidRPr="000665B0">
        <w:t xml:space="preserve"> </w:t>
      </w:r>
      <w:r w:rsidR="001C6D19" w:rsidRPr="000665B0">
        <w:t>109E</w:t>
      </w:r>
      <w:r w:rsidRPr="000665B0">
        <w:t>, the new LMO</w:t>
      </w:r>
      <w:r w:rsidR="006D65CB" w:rsidRPr="000665B0">
        <w:t xml:space="preserve">’s </w:t>
      </w:r>
      <w:r w:rsidR="006D65CB" w:rsidRPr="000665B0">
        <w:rPr>
          <w:b/>
        </w:rPr>
        <w:t>Block Number</w:t>
      </w:r>
      <w:r w:rsidR="006D65CB" w:rsidRPr="000665B0">
        <w:t xml:space="preserve"> field</w:t>
      </w:r>
      <w:r w:rsidRPr="000665B0">
        <w:t xml:space="preserve"> </w:t>
      </w:r>
      <w:r w:rsidR="006D65CB" w:rsidRPr="000665B0">
        <w:t>is</w:t>
      </w:r>
      <w:r w:rsidRPr="000665B0">
        <w:t xml:space="preserve"> set to </w:t>
      </w:r>
      <w:r w:rsidR="001C6D19" w:rsidRPr="000665B0">
        <w:rPr>
          <w:b/>
        </w:rPr>
        <w:t>109E</w:t>
      </w:r>
      <w:r w:rsidRPr="000665B0">
        <w:rPr>
          <w:b/>
        </w:rPr>
        <w:t xml:space="preserve"> </w:t>
      </w:r>
      <w:r w:rsidR="006D65CB" w:rsidRPr="000665B0">
        <w:rPr>
          <w:b/>
        </w:rPr>
        <w:t>R</w:t>
      </w:r>
      <w:r w:rsidRPr="000665B0">
        <w:rPr>
          <w:b/>
        </w:rPr>
        <w:t>equired</w:t>
      </w:r>
      <w:r w:rsidRPr="000665B0">
        <w:t xml:space="preserve">. </w:t>
      </w:r>
      <w:r w:rsidR="006D65CB" w:rsidRPr="000665B0">
        <w:t xml:space="preserve">However, the Block Number can be changed to </w:t>
      </w:r>
      <w:r w:rsidR="00583ED3" w:rsidRPr="000665B0">
        <w:rPr>
          <w:b/>
        </w:rPr>
        <w:t>B</w:t>
      </w:r>
      <w:r w:rsidRPr="000665B0">
        <w:rPr>
          <w:b/>
        </w:rPr>
        <w:t xml:space="preserve">lock III </w:t>
      </w:r>
      <w:r w:rsidR="006D65CB" w:rsidRPr="000665B0">
        <w:rPr>
          <w:b/>
        </w:rPr>
        <w:t>R</w:t>
      </w:r>
      <w:r w:rsidRPr="000665B0">
        <w:rPr>
          <w:b/>
        </w:rPr>
        <w:t>equired</w:t>
      </w:r>
      <w:r w:rsidRPr="000665B0">
        <w:t xml:space="preserve">. The LMO </w:t>
      </w:r>
      <w:r w:rsidR="006D65CB" w:rsidRPr="000665B0">
        <w:t xml:space="preserve">that is created </w:t>
      </w:r>
      <w:r w:rsidRPr="000665B0">
        <w:t xml:space="preserve">will not </w:t>
      </w:r>
      <w:r w:rsidR="00583ED3" w:rsidRPr="000665B0">
        <w:t>appear</w:t>
      </w:r>
      <w:r w:rsidRPr="000665B0">
        <w:t xml:space="preserve"> in the </w:t>
      </w:r>
      <w:r w:rsidR="006D65CB" w:rsidRPr="000665B0">
        <w:t xml:space="preserve">Mission Candidates Matrix </w:t>
      </w:r>
      <w:r w:rsidRPr="000665B0">
        <w:t xml:space="preserve">since it would get filtered out </w:t>
      </w:r>
      <w:r w:rsidR="006D65CB" w:rsidRPr="000665B0">
        <w:t xml:space="preserve">because it </w:t>
      </w:r>
      <w:r w:rsidR="00A117E1" w:rsidRPr="000665B0">
        <w:t>does</w:t>
      </w:r>
      <w:r w:rsidR="006D65CB" w:rsidRPr="000665B0">
        <w:t xml:space="preserve"> not meet the </w:t>
      </w:r>
      <w:r w:rsidR="001C6D19" w:rsidRPr="000665B0">
        <w:t>109E</w:t>
      </w:r>
      <w:r w:rsidR="006D65CB" w:rsidRPr="000665B0">
        <w:t xml:space="preserve"> requirement</w:t>
      </w:r>
      <w:r w:rsidRPr="000665B0">
        <w:t xml:space="preserve">. </w:t>
      </w:r>
      <w:r w:rsidR="00A117E1" w:rsidRPr="000665B0">
        <w:t xml:space="preserve">When changing the Block Number from </w:t>
      </w:r>
      <w:r w:rsidR="001C6D19" w:rsidRPr="000665B0">
        <w:rPr>
          <w:b/>
        </w:rPr>
        <w:t>109E</w:t>
      </w:r>
      <w:r w:rsidR="00A117E1" w:rsidRPr="000665B0">
        <w:rPr>
          <w:b/>
        </w:rPr>
        <w:t xml:space="preserve"> Required</w:t>
      </w:r>
      <w:r w:rsidR="00A117E1" w:rsidRPr="000665B0">
        <w:t xml:space="preserve"> to </w:t>
      </w:r>
      <w:r w:rsidR="00A117E1" w:rsidRPr="000665B0">
        <w:rPr>
          <w:b/>
        </w:rPr>
        <w:t>Block II</w:t>
      </w:r>
      <w:r w:rsidR="00322079" w:rsidRPr="000665B0">
        <w:rPr>
          <w:b/>
        </w:rPr>
        <w:t>I</w:t>
      </w:r>
      <w:r w:rsidR="00A117E1" w:rsidRPr="000665B0">
        <w:rPr>
          <w:b/>
        </w:rPr>
        <w:t xml:space="preserve"> Required</w:t>
      </w:r>
      <w:r w:rsidR="00A117E1" w:rsidRPr="000665B0">
        <w:t>, the system displays the following prompt</w:t>
      </w:r>
      <w:r w:rsidR="004757F0" w:rsidRPr="000665B0">
        <w:t xml:space="preserve"> upon closing the window/saving</w:t>
      </w:r>
      <w:r w:rsidR="00A117E1" w:rsidRPr="000665B0">
        <w:t xml:space="preserve">. The prompt allows the user to change the tasking (select </w:t>
      </w:r>
      <w:r w:rsidR="00A117E1" w:rsidRPr="000665B0">
        <w:rPr>
          <w:b/>
        </w:rPr>
        <w:t xml:space="preserve">Yes </w:t>
      </w:r>
      <w:r w:rsidR="00A117E1" w:rsidRPr="000665B0">
        <w:t xml:space="preserve">to remove the </w:t>
      </w:r>
      <w:r w:rsidR="001C6D19" w:rsidRPr="000665B0">
        <w:t>109E</w:t>
      </w:r>
      <w:r w:rsidR="00A117E1" w:rsidRPr="000665B0">
        <w:t xml:space="preserve"> requirement</w:t>
      </w:r>
      <w:r w:rsidR="00A93DCC" w:rsidRPr="000665B0">
        <w:t>) or</w:t>
      </w:r>
      <w:r w:rsidR="00A117E1" w:rsidRPr="000665B0">
        <w:t xml:space="preserve"> revert the missile type back to 109E (select </w:t>
      </w:r>
      <w:r w:rsidR="00A117E1" w:rsidRPr="000665B0">
        <w:rPr>
          <w:b/>
        </w:rPr>
        <w:t xml:space="preserve">No </w:t>
      </w:r>
      <w:r w:rsidR="00A117E1" w:rsidRPr="000665B0">
        <w:t xml:space="preserve">to retain the </w:t>
      </w:r>
      <w:r w:rsidR="001C6D19" w:rsidRPr="000665B0">
        <w:t>109E</w:t>
      </w:r>
      <w:r w:rsidR="00A117E1" w:rsidRPr="000665B0">
        <w:t xml:space="preserve"> requirement).</w:t>
      </w:r>
      <w:r w:rsidR="001C6D19" w:rsidRPr="000665B0">
        <w:t xml:space="preserve"> </w:t>
      </w:r>
    </w:p>
    <w:p w14:paraId="2EF312D0" w14:textId="3B762335" w:rsidR="00396918" w:rsidRPr="000665B0" w:rsidRDefault="0071222B" w:rsidP="00396918">
      <w:pPr>
        <w:tabs>
          <w:tab w:val="left" w:pos="720"/>
        </w:tabs>
        <w:jc w:val="center"/>
      </w:pPr>
      <w:r w:rsidRPr="000665B0">
        <w:rPr>
          <w:noProof/>
        </w:rPr>
        <w:drawing>
          <wp:inline distT="0" distB="0" distL="0" distR="0" wp14:anchorId="3E317129" wp14:editId="09CF019F">
            <wp:extent cx="3200400" cy="1682496"/>
            <wp:effectExtent l="0" t="0" r="0" b="0"/>
            <wp:docPr id="1424" name="Picture 1424" descr="cid:image002.png@01D2E9C3.BA19C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png@01D2E9C3.BA19C030"/>
                    <pic:cNvPicPr>
                      <a:picLocks noChangeAspect="1" noChangeArrowheads="1"/>
                    </pic:cNvPicPr>
                  </pic:nvPicPr>
                  <pic:blipFill>
                    <a:blip r:link="rId26" cstate="screen">
                      <a:extLst>
                        <a:ext uri="{28A0092B-C50C-407E-A947-70E740481C1C}">
                          <a14:useLocalDpi xmlns:a14="http://schemas.microsoft.com/office/drawing/2010/main"/>
                        </a:ext>
                      </a:extLst>
                    </a:blip>
                    <a:srcRect/>
                    <a:stretch>
                      <a:fillRect/>
                    </a:stretch>
                  </pic:blipFill>
                  <pic:spPr bwMode="auto">
                    <a:xfrm>
                      <a:off x="0" y="0"/>
                      <a:ext cx="3200400" cy="1682496"/>
                    </a:xfrm>
                    <a:prstGeom prst="rect">
                      <a:avLst/>
                    </a:prstGeom>
                    <a:noFill/>
                    <a:ln>
                      <a:noFill/>
                    </a:ln>
                  </pic:spPr>
                </pic:pic>
              </a:graphicData>
            </a:graphic>
          </wp:inline>
        </w:drawing>
      </w:r>
    </w:p>
    <w:p w14:paraId="3E2592EC" w14:textId="36A95722" w:rsidR="0078503C" w:rsidRPr="000665B0" w:rsidRDefault="0078503C" w:rsidP="004A637C">
      <w:pPr>
        <w:pStyle w:val="Heading3"/>
      </w:pPr>
      <w:bookmarkStart w:id="6433" w:name="_5.37.7__LMOs_1"/>
      <w:bookmarkStart w:id="6434" w:name="_Toc214283561"/>
      <w:bookmarkEnd w:id="6286"/>
      <w:bookmarkEnd w:id="6433"/>
      <w:r w:rsidRPr="000665B0">
        <w:t>LMOs</w:t>
      </w:r>
      <w:bookmarkEnd w:id="6394"/>
      <w:bookmarkEnd w:id="6395"/>
      <w:bookmarkEnd w:id="6402"/>
      <w:bookmarkEnd w:id="6407"/>
      <w:bookmarkEnd w:id="6431"/>
      <w:bookmarkEnd w:id="6432"/>
      <w:bookmarkEnd w:id="6434"/>
    </w:p>
    <w:p w14:paraId="42824E03" w14:textId="1F02192B" w:rsidR="00EF1355" w:rsidRPr="000665B0" w:rsidRDefault="00EF1355" w:rsidP="00474A1F">
      <w:pPr>
        <w:tabs>
          <w:tab w:val="left" w:pos="720"/>
        </w:tabs>
      </w:pPr>
      <w:r w:rsidRPr="000665B0">
        <w:rPr>
          <w:b/>
        </w:rPr>
        <w:t>LMOs</w:t>
      </w:r>
      <w:r w:rsidRPr="000665B0">
        <w:t xml:space="preserve"> is a Strike Folder </w:t>
      </w:r>
      <w:r w:rsidR="00B334BE" w:rsidRPr="000665B0">
        <w:t xml:space="preserve">tool </w:t>
      </w:r>
      <w:r w:rsidRPr="000665B0">
        <w:t xml:space="preserve">that is used for viewing and modifying the LMOs </w:t>
      </w:r>
      <w:r w:rsidR="00721E82" w:rsidRPr="000665B0">
        <w:t xml:space="preserve">within </w:t>
      </w:r>
      <w:r w:rsidRPr="000665B0">
        <w:t xml:space="preserve">a Strike Folder. </w:t>
      </w:r>
      <w:r w:rsidR="00BE40EE">
        <w:t>The associated LPMP Missions will be displayed as sub items to the LMO in the Tree List View.</w:t>
      </w:r>
      <w:r w:rsidR="00830E0C">
        <w:t xml:space="preserve"> </w:t>
      </w:r>
      <w:r w:rsidR="00721E82" w:rsidRPr="000665B0">
        <w:t xml:space="preserve">An LMO is an </w:t>
      </w:r>
      <w:r w:rsidR="00721E82" w:rsidRPr="000665B0">
        <w:rPr>
          <w:b/>
        </w:rPr>
        <w:t>LPMP MPR Object</w:t>
      </w:r>
      <w:r w:rsidR="00721E82" w:rsidRPr="000665B0">
        <w:t xml:space="preserve">, where </w:t>
      </w:r>
      <w:r w:rsidRPr="000665B0">
        <w:t xml:space="preserve">LPMP stands for </w:t>
      </w:r>
      <w:r w:rsidRPr="000665B0">
        <w:rPr>
          <w:b/>
        </w:rPr>
        <w:t>Launch Platform Mission Planning</w:t>
      </w:r>
      <w:r w:rsidRPr="000665B0">
        <w:t xml:space="preserve"> and MPR stands for </w:t>
      </w:r>
      <w:r w:rsidRPr="000665B0">
        <w:rPr>
          <w:b/>
        </w:rPr>
        <w:t>Mission Planning Request</w:t>
      </w:r>
      <w:r w:rsidRPr="000665B0">
        <w:t>. A</w:t>
      </w:r>
      <w:r w:rsidR="00721E82" w:rsidRPr="000665B0">
        <w:t>n</w:t>
      </w:r>
      <w:r w:rsidRPr="000665B0">
        <w:t xml:space="preserve"> LMO is basically a request for the TTWCS FRU to plan the mission </w:t>
      </w:r>
      <w:r w:rsidR="001C06F9" w:rsidRPr="000665B0">
        <w:t xml:space="preserve">using </w:t>
      </w:r>
      <w:r w:rsidRPr="000665B0">
        <w:t>the target information in the LMO message</w:t>
      </w:r>
      <w:r w:rsidR="00721E82" w:rsidRPr="000665B0">
        <w:t>,</w:t>
      </w:r>
      <w:r w:rsidRPr="000665B0">
        <w:t xml:space="preserve"> and to launch the resulting planned </w:t>
      </w:r>
      <w:r w:rsidR="00280E3C" w:rsidRPr="000665B0">
        <w:t xml:space="preserve">LPMP </w:t>
      </w:r>
      <w:r w:rsidRPr="000665B0">
        <w:t>mission afterward.</w:t>
      </w:r>
    </w:p>
    <w:p w14:paraId="16D5B6D9" w14:textId="21F286DC" w:rsidR="001C06F9" w:rsidRPr="000665B0" w:rsidRDefault="001C06F9" w:rsidP="001F4B14">
      <w:pPr>
        <w:autoSpaceDE w:val="0"/>
        <w:autoSpaceDN w:val="0"/>
        <w:adjustRightInd w:val="0"/>
      </w:pPr>
      <w:r w:rsidRPr="000665B0">
        <w:t>Launch Platform Mission Planning uses a fast auto-router algorithm that allows TTWCS</w:t>
      </w:r>
      <w:r w:rsidR="00A93DCC">
        <w:t xml:space="preserve"> </w:t>
      </w:r>
      <w:r w:rsidRPr="000665B0">
        <w:t xml:space="preserve">platforms to build missions on-board, or to respond to redirection requests for post-launch execution. Currently, an LPMP mission created by a TTWCS FRU can only be executed by </w:t>
      </w:r>
      <w:r w:rsidR="009F1B7E" w:rsidRPr="000665B0">
        <w:t>the</w:t>
      </w:r>
      <w:r w:rsidRPr="000665B0">
        <w:t xml:space="preserve"> originating platform. LPMP missions can be tasked to a FRU in a strike option when sent out, or “live” from the SMD during execution, or by voice circuit or chat.</w:t>
      </w:r>
    </w:p>
    <w:p w14:paraId="321A663B" w14:textId="7F262AE0" w:rsidR="001C06F9" w:rsidRPr="000665B0" w:rsidRDefault="001C06F9" w:rsidP="001F4B14">
      <w:pPr>
        <w:autoSpaceDE w:val="0"/>
        <w:autoSpaceDN w:val="0"/>
        <w:adjustRightInd w:val="0"/>
        <w:spacing w:line="240" w:lineRule="auto"/>
      </w:pPr>
      <w:r w:rsidRPr="000665B0">
        <w:t>At a minimum, LPMP requires a target, a FPPWP ACMS, and an Op Area ACMS. It is also</w:t>
      </w:r>
      <w:r w:rsidR="00A93DCC">
        <w:t xml:space="preserve"> </w:t>
      </w:r>
      <w:r w:rsidRPr="000665B0">
        <w:t xml:space="preserve">possible to use a single Flight Corridor ACMS, a single Loiter </w:t>
      </w:r>
      <w:r w:rsidR="00E971E8" w:rsidRPr="000665B0">
        <w:t>Area ACMS and</w:t>
      </w:r>
      <w:r w:rsidRPr="000665B0">
        <w:t xml:space="preserve"> </w:t>
      </w:r>
      <w:r w:rsidR="009F1B7E" w:rsidRPr="000665B0">
        <w:t xml:space="preserve">then </w:t>
      </w:r>
      <w:r w:rsidRPr="000665B0">
        <w:t xml:space="preserve">add </w:t>
      </w:r>
      <w:r w:rsidR="009F1B7E" w:rsidRPr="000665B0">
        <w:t>one or more</w:t>
      </w:r>
      <w:r w:rsidRPr="000665B0">
        <w:t xml:space="preserve"> Prohibited Area ACMSs in planning.</w:t>
      </w:r>
    </w:p>
    <w:p w14:paraId="4B16FE6D" w14:textId="2E8C3B39" w:rsidR="00525BCA" w:rsidRDefault="00280E3C" w:rsidP="00525BCA">
      <w:pPr>
        <w:pBdr>
          <w:top w:val="single" w:sz="12" w:space="1" w:color="auto"/>
          <w:left w:val="single" w:sz="12" w:space="4" w:color="auto"/>
          <w:bottom w:val="single" w:sz="12" w:space="1" w:color="auto"/>
          <w:right w:val="single" w:sz="12" w:space="4" w:color="auto"/>
        </w:pBdr>
        <w:shd w:val="clear" w:color="auto" w:fill="D9D9D9"/>
        <w:jc w:val="center"/>
        <w:rPr>
          <w:b/>
        </w:rPr>
      </w:pPr>
      <w:bookmarkStart w:id="6435" w:name="_Hlk58336213"/>
      <w:r w:rsidRPr="000665B0">
        <w:rPr>
          <w:b/>
        </w:rPr>
        <w:lastRenderedPageBreak/>
        <w:t>Note:</w:t>
      </w:r>
      <w:r w:rsidRPr="000665B0">
        <w:rPr>
          <w:b/>
        </w:rPr>
        <w:br/>
      </w:r>
      <w:r w:rsidR="00525BCA">
        <w:rPr>
          <w:b/>
        </w:rPr>
        <w:t xml:space="preserve">Editing and saving an LMO multiple times may cause a duplicate item to appear in the Strike Folder’s </w:t>
      </w:r>
      <w:r w:rsidR="00525BCA" w:rsidRPr="00ED16BF">
        <w:rPr>
          <w:b/>
        </w:rPr>
        <w:t xml:space="preserve">LMOs </w:t>
      </w:r>
      <w:r w:rsidR="00525BCA">
        <w:rPr>
          <w:b/>
        </w:rPr>
        <w:t>list view</w:t>
      </w:r>
      <w:r w:rsidR="00525BCA" w:rsidRPr="00ED16BF">
        <w:rPr>
          <w:b/>
        </w:rPr>
        <w:t>.</w:t>
      </w:r>
    </w:p>
    <w:p w14:paraId="3815F489" w14:textId="4DE40975" w:rsidR="00280E3C" w:rsidRPr="00BB4EBE" w:rsidRDefault="00525BCA" w:rsidP="00525BCA">
      <w:pPr>
        <w:pBdr>
          <w:top w:val="single" w:sz="12" w:space="1" w:color="auto"/>
          <w:left w:val="single" w:sz="12" w:space="4" w:color="auto"/>
          <w:bottom w:val="single" w:sz="12" w:space="1" w:color="auto"/>
          <w:right w:val="single" w:sz="12" w:space="4" w:color="auto"/>
        </w:pBdr>
        <w:shd w:val="clear" w:color="auto" w:fill="D9D9D9"/>
        <w:jc w:val="center"/>
        <w:rPr>
          <w:b/>
          <w:bCs/>
          <w:szCs w:val="24"/>
        </w:rPr>
      </w:pPr>
      <w:r>
        <w:rPr>
          <w:b/>
        </w:rPr>
        <w:t>Workaround: C</w:t>
      </w:r>
      <w:r w:rsidRPr="00ED16BF">
        <w:rPr>
          <w:b/>
        </w:rPr>
        <w:t>lose</w:t>
      </w:r>
      <w:r>
        <w:rPr>
          <w:b/>
        </w:rPr>
        <w:t xml:space="preserve"> </w:t>
      </w:r>
      <w:r w:rsidRPr="00ED16BF">
        <w:rPr>
          <w:b/>
        </w:rPr>
        <w:t xml:space="preserve">both </w:t>
      </w:r>
      <w:r>
        <w:rPr>
          <w:b/>
        </w:rPr>
        <w:t xml:space="preserve">the </w:t>
      </w:r>
      <w:r w:rsidRPr="00ED16BF">
        <w:rPr>
          <w:b/>
        </w:rPr>
        <w:t>LMO</w:t>
      </w:r>
      <w:r>
        <w:rPr>
          <w:b/>
        </w:rPr>
        <w:t xml:space="preserve"> and</w:t>
      </w:r>
      <w:r w:rsidRPr="00ED16BF">
        <w:rPr>
          <w:b/>
        </w:rPr>
        <w:t xml:space="preserve"> LMOs </w:t>
      </w:r>
      <w:r>
        <w:rPr>
          <w:b/>
        </w:rPr>
        <w:t>list view</w:t>
      </w:r>
      <w:r w:rsidRPr="00ED16BF">
        <w:rPr>
          <w:b/>
        </w:rPr>
        <w:t>. The</w:t>
      </w:r>
      <w:r>
        <w:rPr>
          <w:b/>
        </w:rPr>
        <w:t xml:space="preserve"> duplicate entry will no longer be present when</w:t>
      </w:r>
    </w:p>
    <w:bookmarkEnd w:id="6435"/>
    <w:p w14:paraId="1BF7A09C" w14:textId="7202022E" w:rsidR="00EF1355" w:rsidRPr="000665B0" w:rsidRDefault="00EF1355" w:rsidP="00474A1F">
      <w:pPr>
        <w:tabs>
          <w:tab w:val="left" w:pos="720"/>
        </w:tabs>
      </w:pPr>
      <w:r w:rsidRPr="000665B0">
        <w:t>A</w:t>
      </w:r>
      <w:r w:rsidR="00721E82" w:rsidRPr="000665B0">
        <w:t>n</w:t>
      </w:r>
      <w:r w:rsidRPr="000665B0">
        <w:t xml:space="preserve"> LMO is encoded into a message as part of the ESP that is sent from MDS to TTWCS. </w:t>
      </w:r>
      <w:r w:rsidR="00721E82" w:rsidRPr="000665B0">
        <w:t xml:space="preserve">There </w:t>
      </w:r>
      <w:r w:rsidRPr="000665B0">
        <w:t xml:space="preserve">are five types of LMOs: Type </w:t>
      </w:r>
      <w:r w:rsidR="00FF10F2" w:rsidRPr="000665B0">
        <w:t>1–</w:t>
      </w:r>
      <w:r w:rsidRPr="000665B0">
        <w:t xml:space="preserve">Call for Fire, Type </w:t>
      </w:r>
      <w:r w:rsidR="00FF10F2" w:rsidRPr="000665B0">
        <w:t>2–</w:t>
      </w:r>
      <w:r w:rsidRPr="000665B0">
        <w:t>Full, Type 3</w:t>
      </w:r>
      <w:r w:rsidR="00FF10F2" w:rsidRPr="000665B0">
        <w:t>–</w:t>
      </w:r>
      <w:r w:rsidRPr="000665B0">
        <w:t>Retarget, Type 4</w:t>
      </w:r>
      <w:r w:rsidR="00FF10F2" w:rsidRPr="000665B0">
        <w:t>–</w:t>
      </w:r>
      <w:r w:rsidRPr="000665B0">
        <w:t>Aimpoint Update, and Type 5</w:t>
      </w:r>
      <w:r w:rsidR="00FF10F2" w:rsidRPr="000665B0">
        <w:t>–</w:t>
      </w:r>
      <w:r w:rsidRPr="000665B0">
        <w:t xml:space="preserve">Changed Outcome. LMO Type 1 and 2 are created during Strike Planning in the Strike Tasking Matrix and the Candidates Matrix at the Strike Folder level or the Option level. They can be used with Block III or </w:t>
      </w:r>
      <w:r w:rsidR="001C6D19" w:rsidRPr="000665B0">
        <w:t>109E</w:t>
      </w:r>
      <w:r w:rsidRPr="000665B0">
        <w:t xml:space="preserve"> missiles. </w:t>
      </w:r>
      <w:r w:rsidR="00AE5995" w:rsidRPr="000665B0">
        <w:t xml:space="preserve">For additional </w:t>
      </w:r>
      <w:r w:rsidRPr="000665B0">
        <w:t>detail</w:t>
      </w:r>
      <w:r w:rsidR="00B11D3B" w:rsidRPr="000665B0">
        <w:t>s</w:t>
      </w:r>
      <w:r w:rsidR="00AE5995" w:rsidRPr="000665B0">
        <w:t xml:space="preserve">: see </w:t>
      </w:r>
      <w:hyperlink w:anchor="_5.37.4.2__Taskings" w:history="1">
        <w:r w:rsidR="009326FE" w:rsidRPr="000665B0">
          <w:rPr>
            <w:rStyle w:val="Hyperlink"/>
          </w:rPr>
          <w:t xml:space="preserve">Section </w:t>
        </w:r>
        <w:r w:rsidR="004231CC">
          <w:rPr>
            <w:rStyle w:val="Hyperlink"/>
          </w:rPr>
          <w:t>5.34</w:t>
        </w:r>
        <w:r w:rsidR="00AE5995" w:rsidRPr="000665B0">
          <w:rPr>
            <w:rStyle w:val="Hyperlink"/>
          </w:rPr>
          <w:t>.5.2</w:t>
        </w:r>
      </w:hyperlink>
      <w:r w:rsidR="00AE5995" w:rsidRPr="000665B0">
        <w:t xml:space="preserve"> for information about the </w:t>
      </w:r>
      <w:r w:rsidR="00AE5995" w:rsidRPr="000665B0">
        <w:rPr>
          <w:b/>
        </w:rPr>
        <w:t>Taskings</w:t>
      </w:r>
      <w:r w:rsidR="00AE5995" w:rsidRPr="000665B0">
        <w:t xml:space="preserve"> pane of the Candidates Matrix, see </w:t>
      </w:r>
      <w:hyperlink w:anchor="_LMOs_Tab" w:history="1">
        <w:r w:rsidR="009326FE" w:rsidRPr="000665B0">
          <w:rPr>
            <w:rStyle w:val="Hyperlink"/>
          </w:rPr>
          <w:t xml:space="preserve">Section </w:t>
        </w:r>
        <w:r w:rsidR="004231CC">
          <w:rPr>
            <w:rStyle w:val="Hyperlink"/>
          </w:rPr>
          <w:t>5.34</w:t>
        </w:r>
        <w:r w:rsidR="00AE5995" w:rsidRPr="000665B0">
          <w:rPr>
            <w:rStyle w:val="Hyperlink"/>
          </w:rPr>
          <w:t>.5.3.3</w:t>
        </w:r>
      </w:hyperlink>
      <w:r w:rsidR="00AE5995" w:rsidRPr="000665B0">
        <w:t xml:space="preserve"> for information about the </w:t>
      </w:r>
      <w:r w:rsidR="00AE5995" w:rsidRPr="000665B0">
        <w:rPr>
          <w:b/>
          <w:i/>
        </w:rPr>
        <w:t>LMOs</w:t>
      </w:r>
      <w:r w:rsidR="00AE5995" w:rsidRPr="000665B0">
        <w:t xml:space="preserve"> tab in the </w:t>
      </w:r>
      <w:r w:rsidR="00AE5995" w:rsidRPr="000665B0">
        <w:rPr>
          <w:b/>
        </w:rPr>
        <w:t>Candidates</w:t>
      </w:r>
      <w:r w:rsidR="00AE5995" w:rsidRPr="000665B0">
        <w:t xml:space="preserve"> pane, and see</w:t>
      </w:r>
      <w:r w:rsidR="00AE5995" w:rsidRPr="000665B0">
        <w:rPr>
          <w:rStyle w:val="Hyperlink"/>
        </w:rPr>
        <w:t xml:space="preserve"> </w:t>
      </w:r>
      <w:hyperlink w:anchor="_Tasking_Tab" w:history="1">
        <w:r w:rsidR="009326FE" w:rsidRPr="000665B0">
          <w:rPr>
            <w:rStyle w:val="Hyperlink"/>
          </w:rPr>
          <w:t xml:space="preserve">Section </w:t>
        </w:r>
        <w:r w:rsidR="004231CC">
          <w:rPr>
            <w:rStyle w:val="Hyperlink"/>
          </w:rPr>
          <w:t>5.34</w:t>
        </w:r>
        <w:r w:rsidR="00AE5995" w:rsidRPr="000665B0">
          <w:rPr>
            <w:rStyle w:val="Hyperlink"/>
          </w:rPr>
          <w:t>.7.1.2</w:t>
        </w:r>
      </w:hyperlink>
      <w:r w:rsidR="00AE5995" w:rsidRPr="000665B0">
        <w:t xml:space="preserve"> for information about the </w:t>
      </w:r>
      <w:r w:rsidR="00AE5995" w:rsidRPr="000665B0">
        <w:rPr>
          <w:b/>
          <w:i/>
        </w:rPr>
        <w:t>Tasking</w:t>
      </w:r>
      <w:r w:rsidR="00AE5995" w:rsidRPr="000665B0">
        <w:t xml:space="preserve"> tab in the Strike Option</w:t>
      </w:r>
      <w:r w:rsidRPr="000665B0">
        <w:t>. Type 3, 4, and 5 LMOs are Tactical Change LMOs that are created by retargeting by Missile Controller during Strike Execution. Tactical Change LMO</w:t>
      </w:r>
      <w:r w:rsidR="00721E82" w:rsidRPr="000665B0">
        <w:t>s</w:t>
      </w:r>
      <w:r w:rsidRPr="000665B0">
        <w:t xml:space="preserve"> can only be done with </w:t>
      </w:r>
      <w:r w:rsidR="001C6D19" w:rsidRPr="000665B0">
        <w:t>109E</w:t>
      </w:r>
      <w:r w:rsidR="00C96B78">
        <w:t>/M</w:t>
      </w:r>
      <w:r w:rsidRPr="000665B0">
        <w:t xml:space="preserve"> missiles. See </w:t>
      </w:r>
      <w:hyperlink w:anchor="_Reroute" w:history="1">
        <w:r w:rsidR="00985815" w:rsidRPr="000665B0">
          <w:rPr>
            <w:rStyle w:val="Hyperlink"/>
          </w:rPr>
          <w:t xml:space="preserve">Section </w:t>
        </w:r>
        <w:r w:rsidR="004231CC">
          <w:rPr>
            <w:rStyle w:val="Hyperlink"/>
          </w:rPr>
          <w:t>5.35</w:t>
        </w:r>
        <w:r w:rsidR="00985815" w:rsidRPr="000665B0">
          <w:rPr>
            <w:rStyle w:val="Hyperlink"/>
          </w:rPr>
          <w:t>.3.1.8</w:t>
        </w:r>
        <w:r w:rsidR="005F0501" w:rsidRPr="000665B0">
          <w:rPr>
            <w:rStyle w:val="Hyperlink"/>
          </w:rPr>
          <w:t>.1</w:t>
        </w:r>
      </w:hyperlink>
      <w:r w:rsidR="00E430A0" w:rsidRPr="000665B0">
        <w:t xml:space="preserve"> </w:t>
      </w:r>
      <w:r w:rsidRPr="000665B0">
        <w:t xml:space="preserve">for more detail. </w:t>
      </w:r>
    </w:p>
    <w:p w14:paraId="05D93A25" w14:textId="77777777" w:rsidR="00EF1355" w:rsidRPr="000665B0" w:rsidRDefault="00EF1355" w:rsidP="00474A1F">
      <w:pPr>
        <w:tabs>
          <w:tab w:val="left" w:pos="720"/>
        </w:tabs>
      </w:pPr>
      <w:r w:rsidRPr="000665B0">
        <w:t xml:space="preserve">LMOs are identified by IDs that are unique within the Strike Folder. Since LMOs are saved at the Folder level, LMOs created from one Strike Option can be reused in other Strike Options within the same Folder. Because the reuse of LMOs is possible, the Strike Planner must exercise extreme caution when modifying LMOs in the </w:t>
      </w:r>
      <w:r w:rsidR="00721E82" w:rsidRPr="000665B0">
        <w:t xml:space="preserve">Strike </w:t>
      </w:r>
      <w:r w:rsidRPr="000665B0">
        <w:t>Folder.</w:t>
      </w:r>
    </w:p>
    <w:p w14:paraId="79985D21" w14:textId="77777777" w:rsidR="00EF1355" w:rsidRPr="000665B0" w:rsidRDefault="00721E82" w:rsidP="00474A1F">
      <w:pPr>
        <w:tabs>
          <w:tab w:val="left" w:pos="720"/>
        </w:tabs>
      </w:pPr>
      <w:r w:rsidRPr="000665B0">
        <w:t>F</w:t>
      </w:r>
      <w:r w:rsidR="00EF1355" w:rsidRPr="000665B0">
        <w:t>or any platform that is tasked with LMO assignments, its LPMP Op Area must be defined in the Strike Arsenal. If the LPMP Op Area is not defined, TTWCS won’t be able to plan the mission.</w:t>
      </w:r>
    </w:p>
    <w:p w14:paraId="2AF46FA5" w14:textId="4334C10F" w:rsidR="00BE40EE" w:rsidRPr="00E430A0" w:rsidRDefault="00BE40EE" w:rsidP="00BE40EE">
      <w:pPr>
        <w:tabs>
          <w:tab w:val="left" w:pos="720"/>
        </w:tabs>
      </w:pPr>
      <w:r>
        <w:t xml:space="preserve">LPMP Mission line items are not created by the operator. These missions will be received from the TTWCS and TED will attempt to associate </w:t>
      </w:r>
      <w:r w:rsidR="00830E0C">
        <w:t xml:space="preserve">them </w:t>
      </w:r>
      <w:r>
        <w:t xml:space="preserve">to an existing LMO. If the association is successful, the LPMP </w:t>
      </w:r>
      <w:r w:rsidR="00FA3672">
        <w:t>Mission</w:t>
      </w:r>
      <w:r>
        <w:t xml:space="preserve"> line item will </w:t>
      </w:r>
      <w:r w:rsidR="00830E0C">
        <w:t xml:space="preserve">be </w:t>
      </w:r>
      <w:r>
        <w:t>a child item to the LMO line item in the Tree List View.</w:t>
      </w:r>
    </w:p>
    <w:p w14:paraId="6539A3F6" w14:textId="377EAB29" w:rsidR="0078503C" w:rsidRPr="000665B0" w:rsidRDefault="0078503C" w:rsidP="00474A1F">
      <w:pPr>
        <w:tabs>
          <w:tab w:val="left" w:pos="720"/>
        </w:tabs>
      </w:pPr>
      <w:r w:rsidRPr="000665B0">
        <w:t>To view the list of LMOs</w:t>
      </w:r>
      <w:r w:rsidR="00BE40EE">
        <w:t xml:space="preserve"> and LPMP Missions</w:t>
      </w:r>
      <w:r w:rsidRPr="000665B0">
        <w:t>:</w:t>
      </w:r>
    </w:p>
    <w:p w14:paraId="6F5400A3" w14:textId="77777777" w:rsidR="009B329E" w:rsidRPr="000665B0" w:rsidRDefault="0078503C" w:rsidP="006D5A65">
      <w:pPr>
        <w:pStyle w:val="Heading2"/>
      </w:pPr>
      <w:r w:rsidRPr="000665B0">
        <w:t xml:space="preserve">From the main </w:t>
      </w:r>
      <w:r w:rsidRPr="000665B0">
        <w:rPr>
          <w:i/>
          <w:iCs/>
        </w:rPr>
        <w:t>Strike Folder</w:t>
      </w:r>
      <w:r w:rsidR="009B329E" w:rsidRPr="000665B0">
        <w:rPr>
          <w:i/>
          <w:iCs/>
        </w:rPr>
        <w:t>s</w:t>
      </w:r>
      <w:r w:rsidRPr="000665B0">
        <w:t xml:space="preserve"> window</w:t>
      </w:r>
      <w:r w:rsidR="009B329E" w:rsidRPr="000665B0">
        <w:t xml:space="preserve"> highlight the appropriate Strike Folder</w:t>
      </w:r>
    </w:p>
    <w:p w14:paraId="04A9591E" w14:textId="7D08D6BF" w:rsidR="009B329E" w:rsidRPr="000665B0" w:rsidRDefault="0037038E" w:rsidP="006D5A65">
      <w:pPr>
        <w:pStyle w:val="Heading2"/>
      </w:pPr>
      <w:r w:rsidRPr="000665B0">
        <w:t>Double-click</w:t>
      </w:r>
      <w:r w:rsidR="009B329E" w:rsidRPr="000665B0">
        <w:t xml:space="preserve"> to display the Strike Folder </w:t>
      </w:r>
      <w:r w:rsidR="00A93DCC" w:rsidRPr="000665B0">
        <w:t>textually or</w:t>
      </w:r>
      <w:r w:rsidR="009B329E" w:rsidRPr="000665B0">
        <w:t xml:space="preserve"> invoke the context menu (</w:t>
      </w:r>
      <w:r w:rsidR="00D71804" w:rsidRPr="000665B0">
        <w:t>right-click</w:t>
      </w:r>
      <w:r w:rsidR="009B329E" w:rsidRPr="000665B0">
        <w:t xml:space="preserve"> the mouse) and select Display </w:t>
      </w:r>
      <w:r w:rsidR="009B329E" w:rsidRPr="000665B0">
        <w:sym w:font="Wingdings 3" w:char="F07D"/>
      </w:r>
      <w:r w:rsidR="009B329E" w:rsidRPr="000665B0">
        <w:t xml:space="preserve"> </w:t>
      </w:r>
      <w:r w:rsidR="004717BB" w:rsidRPr="000665B0">
        <w:t>Textually or</w:t>
      </w:r>
      <w:r w:rsidR="009B329E" w:rsidRPr="000665B0">
        <w:t xml:space="preserve"> select File </w:t>
      </w:r>
      <w:r w:rsidR="009B329E" w:rsidRPr="000665B0">
        <w:sym w:font="Wingdings" w:char="F0E0"/>
      </w:r>
      <w:r w:rsidR="009B329E" w:rsidRPr="000665B0">
        <w:t xml:space="preserve"> Display </w:t>
      </w:r>
      <w:r w:rsidR="009B329E" w:rsidRPr="000665B0">
        <w:sym w:font="Wingdings 3" w:char="F07D"/>
      </w:r>
      <w:r w:rsidR="009B329E" w:rsidRPr="000665B0">
        <w:t xml:space="preserve"> Textually.</w:t>
      </w:r>
    </w:p>
    <w:p w14:paraId="6FCC7696" w14:textId="71AFCCB5" w:rsidR="0078503C" w:rsidRPr="000665B0" w:rsidRDefault="009B329E" w:rsidP="006D5A65">
      <w:pPr>
        <w:pStyle w:val="Heading2"/>
      </w:pPr>
      <w:r w:rsidRPr="000665B0">
        <w:t>From the</w:t>
      </w:r>
      <w:r w:rsidRPr="000665B0">
        <w:rPr>
          <w:i/>
        </w:rPr>
        <w:t xml:space="preserve"> Strike Folder xxxxx-xxxxx</w:t>
      </w:r>
      <w:r w:rsidRPr="000665B0">
        <w:t xml:space="preserve"> window</w:t>
      </w:r>
      <w:r w:rsidR="0078503C" w:rsidRPr="000665B0">
        <w:t xml:space="preserve"> </w:t>
      </w:r>
      <w:r w:rsidR="0037038E" w:rsidRPr="000665B0">
        <w:t>double-click</w:t>
      </w:r>
      <w:r w:rsidRPr="000665B0">
        <w:t xml:space="preserve"> </w:t>
      </w:r>
      <w:r w:rsidR="0078503C" w:rsidRPr="000665B0">
        <w:t xml:space="preserve">the </w:t>
      </w:r>
      <w:r w:rsidR="0078503C" w:rsidRPr="000665B0">
        <w:rPr>
          <w:bCs/>
        </w:rPr>
        <w:t xml:space="preserve">LMOs </w:t>
      </w:r>
      <w:r w:rsidR="009A1FDF" w:rsidRPr="000665B0">
        <w:rPr>
          <w:bCs/>
          <w:noProof/>
          <w:position w:val="-4"/>
        </w:rPr>
        <w:drawing>
          <wp:inline distT="0" distB="0" distL="0" distR="0" wp14:anchorId="33F7F1E8" wp14:editId="7E63F9FA">
            <wp:extent cx="246888" cy="246888"/>
            <wp:effectExtent l="0" t="0" r="1270" b="127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cstate="print"/>
                    <a:srcRect/>
                    <a:stretch>
                      <a:fillRect/>
                    </a:stretch>
                  </pic:blipFill>
                  <pic:spPr bwMode="auto">
                    <a:xfrm>
                      <a:off x="0" y="0"/>
                      <a:ext cx="246888" cy="246888"/>
                    </a:xfrm>
                    <a:prstGeom prst="rect">
                      <a:avLst/>
                    </a:prstGeom>
                    <a:noFill/>
                    <a:ln w="9525">
                      <a:noFill/>
                      <a:miter lim="800000"/>
                      <a:headEnd/>
                      <a:tailEnd/>
                    </a:ln>
                  </pic:spPr>
                </pic:pic>
              </a:graphicData>
            </a:graphic>
          </wp:inline>
        </w:drawing>
      </w:r>
      <w:r w:rsidR="0078503C" w:rsidRPr="000665B0">
        <w:rPr>
          <w:bCs/>
        </w:rPr>
        <w:t xml:space="preserve"> </w:t>
      </w:r>
      <w:r w:rsidR="0078503C" w:rsidRPr="000665B0">
        <w:t xml:space="preserve">icon. The </w:t>
      </w:r>
      <w:r w:rsidR="0078503C" w:rsidRPr="000665B0">
        <w:rPr>
          <w:i/>
        </w:rPr>
        <w:t>LMOs for Strike Folder: xxxxx-xxxxx</w:t>
      </w:r>
      <w:r w:rsidR="0078503C" w:rsidRPr="000665B0">
        <w:t xml:space="preserve"> window </w:t>
      </w:r>
      <w:r w:rsidR="00F32494" w:rsidRPr="000665B0">
        <w:t>is</w:t>
      </w:r>
      <w:r w:rsidR="0078503C" w:rsidRPr="000665B0">
        <w:t xml:space="preserve"> displayed.</w:t>
      </w:r>
    </w:p>
    <w:p w14:paraId="11EE5C85" w14:textId="47B1CACF" w:rsidR="0078503C" w:rsidRPr="000665B0" w:rsidRDefault="000D0A2D" w:rsidP="00474A1F">
      <w:pPr>
        <w:tabs>
          <w:tab w:val="left" w:pos="720"/>
        </w:tabs>
        <w:jc w:val="center"/>
      </w:pPr>
      <w:r w:rsidRPr="000665B0">
        <w:rPr>
          <w:noProof/>
        </w:rPr>
        <w:lastRenderedPageBreak/>
        <w:drawing>
          <wp:inline distT="0" distB="0" distL="0" distR="0" wp14:anchorId="0E116006" wp14:editId="6B0FE682">
            <wp:extent cx="4619625" cy="983260"/>
            <wp:effectExtent l="0" t="0" r="0" b="0"/>
            <wp:docPr id="2223" name="Picture 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641943" cy="988010"/>
                    </a:xfrm>
                    <a:prstGeom prst="rect">
                      <a:avLst/>
                    </a:prstGeom>
                  </pic:spPr>
                </pic:pic>
              </a:graphicData>
            </a:graphic>
          </wp:inline>
        </w:drawing>
      </w:r>
    </w:p>
    <w:p w14:paraId="00600FE5" w14:textId="77777777" w:rsidR="0078503C" w:rsidRPr="000665B0" w:rsidRDefault="0078503C" w:rsidP="008C509B">
      <w:pPr>
        <w:pStyle w:val="Number0205"/>
        <w:keepNext/>
        <w:tabs>
          <w:tab w:val="left" w:pos="720"/>
        </w:tabs>
        <w:ind w:left="0" w:firstLine="0"/>
      </w:pPr>
      <w:r w:rsidRPr="000665B0">
        <w:t>To view the selected LMO textually:</w:t>
      </w:r>
    </w:p>
    <w:p w14:paraId="004E72CD" w14:textId="5DED1CF8" w:rsidR="0078503C" w:rsidRDefault="0078503C" w:rsidP="001F4B14">
      <w:pPr>
        <w:pStyle w:val="Number0205"/>
        <w:ind w:left="360" w:firstLine="0"/>
      </w:pPr>
      <w:r w:rsidRPr="000665B0">
        <w:t xml:space="preserve">From the </w:t>
      </w:r>
      <w:r w:rsidRPr="000665B0">
        <w:rPr>
          <w:b/>
        </w:rPr>
        <w:t>File</w:t>
      </w:r>
      <w:r w:rsidRPr="000665B0">
        <w:t xml:space="preserve"> menu select </w:t>
      </w:r>
      <w:r w:rsidRPr="000665B0">
        <w:rPr>
          <w:b/>
        </w:rPr>
        <w:t xml:space="preserve">Display </w:t>
      </w:r>
      <w:r w:rsidR="00616028" w:rsidRPr="000665B0">
        <w:rPr>
          <w:b/>
        </w:rPr>
        <w:sym w:font="Wingdings 3" w:char="F07D"/>
      </w:r>
      <w:r w:rsidRPr="000665B0">
        <w:rPr>
          <w:b/>
        </w:rPr>
        <w:t xml:space="preserve"> </w:t>
      </w:r>
      <w:r w:rsidR="00A93DCC" w:rsidRPr="000665B0">
        <w:rPr>
          <w:b/>
        </w:rPr>
        <w:t>Textually</w:t>
      </w:r>
      <w:r w:rsidR="00A93DCC" w:rsidRPr="000665B0">
        <w:t xml:space="preserve"> or</w:t>
      </w:r>
      <w:r w:rsidRPr="000665B0">
        <w:t xml:space="preserve"> invoke the context menu (</w:t>
      </w:r>
      <w:r w:rsidR="00D71804" w:rsidRPr="000665B0">
        <w:t>right-click</w:t>
      </w:r>
      <w:r w:rsidRPr="000665B0">
        <w:t xml:space="preserve"> the mouse) and select </w:t>
      </w:r>
      <w:r w:rsidRPr="000665B0">
        <w:rPr>
          <w:b/>
          <w:bCs/>
        </w:rPr>
        <w:t xml:space="preserve">Display </w:t>
      </w:r>
      <w:r w:rsidR="00616028" w:rsidRPr="000665B0">
        <w:rPr>
          <w:b/>
        </w:rPr>
        <w:sym w:font="Wingdings 3" w:char="F07D"/>
      </w:r>
      <w:r w:rsidRPr="000665B0">
        <w:rPr>
          <w:b/>
          <w:bCs/>
        </w:rPr>
        <w:t xml:space="preserve"> </w:t>
      </w:r>
      <w:r w:rsidR="004717BB" w:rsidRPr="000665B0">
        <w:rPr>
          <w:b/>
        </w:rPr>
        <w:t>Textually</w:t>
      </w:r>
      <w:r w:rsidR="004717BB" w:rsidRPr="000665B0">
        <w:t xml:space="preserve"> or</w:t>
      </w:r>
      <w:r w:rsidRPr="000665B0">
        <w:t xml:space="preserve"> click the </w:t>
      </w:r>
      <w:r w:rsidRPr="000665B0">
        <w:rPr>
          <w:b/>
        </w:rPr>
        <w:t>Display Textually</w:t>
      </w:r>
      <w:r w:rsidRPr="000665B0">
        <w:t xml:space="preserve"> </w:t>
      </w:r>
      <w:r w:rsidR="00616028" w:rsidRPr="000665B0">
        <w:rPr>
          <w:noProof/>
        </w:rPr>
        <w:drawing>
          <wp:inline distT="0" distB="0" distL="0" distR="0" wp14:anchorId="2CD644A5" wp14:editId="4C71BEB0">
            <wp:extent cx="152400" cy="152400"/>
            <wp:effectExtent l="0" t="0" r="0" b="0"/>
            <wp:docPr id="1258" name="Picture 1258" desc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616028" w:rsidRPr="000665B0">
        <w:t xml:space="preserve"> icon on the toolbar</w:t>
      </w:r>
      <w:r w:rsidRPr="000665B0">
        <w:t>. A</w:t>
      </w:r>
      <w:r w:rsidR="00616028" w:rsidRPr="000665B0">
        <w:t>n</w:t>
      </w:r>
      <w:r w:rsidRPr="000665B0">
        <w:t xml:space="preserve"> </w:t>
      </w:r>
      <w:r w:rsidRPr="000665B0">
        <w:rPr>
          <w:i/>
        </w:rPr>
        <w:t xml:space="preserve">LMO </w:t>
      </w:r>
      <w:r w:rsidRPr="000665B0">
        <w:t xml:space="preserve">window for each of the selected list view items </w:t>
      </w:r>
      <w:r w:rsidR="00F32494" w:rsidRPr="000665B0">
        <w:t>is</w:t>
      </w:r>
      <w:r w:rsidRPr="000665B0">
        <w:t xml:space="preserve"> displayed.</w:t>
      </w:r>
    </w:p>
    <w:p w14:paraId="71EB5852" w14:textId="77777777" w:rsidR="006811F5" w:rsidRPr="00E430A0" w:rsidRDefault="006811F5" w:rsidP="006811F5">
      <w:pPr>
        <w:pStyle w:val="Number0205"/>
        <w:ind w:left="0" w:firstLine="0"/>
      </w:pPr>
      <w:r w:rsidRPr="00E430A0">
        <w:t xml:space="preserve">To view the selected LMO </w:t>
      </w:r>
      <w:r>
        <w:t>geographically</w:t>
      </w:r>
      <w:r w:rsidRPr="00E430A0">
        <w:t>:</w:t>
      </w:r>
    </w:p>
    <w:p w14:paraId="6CA84549" w14:textId="5CB89848" w:rsidR="006811F5" w:rsidRDefault="006811F5" w:rsidP="001F4B14">
      <w:pPr>
        <w:pStyle w:val="Number0205"/>
        <w:ind w:left="360" w:firstLine="0"/>
      </w:pPr>
      <w:r w:rsidRPr="00E430A0">
        <w:t xml:space="preserve">From the </w:t>
      </w:r>
      <w:r w:rsidRPr="00E430A0">
        <w:rPr>
          <w:b/>
        </w:rPr>
        <w:t>File</w:t>
      </w:r>
      <w:r w:rsidRPr="00E430A0">
        <w:t xml:space="preserve"> menu select </w:t>
      </w:r>
      <w:r w:rsidRPr="00E430A0">
        <w:rPr>
          <w:b/>
        </w:rPr>
        <w:t xml:space="preserve">Display </w:t>
      </w:r>
      <w:r>
        <w:rPr>
          <w:b/>
        </w:rPr>
        <w:sym w:font="Wingdings 3" w:char="F07D"/>
      </w:r>
      <w:r w:rsidRPr="00FF10F2">
        <w:rPr>
          <w:b/>
        </w:rPr>
        <w:t xml:space="preserve"> </w:t>
      </w:r>
      <w:r w:rsidR="00A93DCC">
        <w:rPr>
          <w:b/>
        </w:rPr>
        <w:t>Geographically</w:t>
      </w:r>
      <w:r w:rsidR="00A93DCC" w:rsidRPr="00FF10F2">
        <w:t xml:space="preserve"> or</w:t>
      </w:r>
      <w:r w:rsidRPr="00FF10F2">
        <w:t xml:space="preserve"> invoke the context menu (right click the mouse) and select </w:t>
      </w:r>
      <w:r w:rsidRPr="00E430A0">
        <w:rPr>
          <w:b/>
          <w:bCs/>
        </w:rPr>
        <w:t xml:space="preserve">Display </w:t>
      </w:r>
      <w:r>
        <w:rPr>
          <w:b/>
        </w:rPr>
        <w:sym w:font="Wingdings 3" w:char="F07D"/>
      </w:r>
      <w:r w:rsidRPr="00E430A0">
        <w:rPr>
          <w:b/>
          <w:bCs/>
        </w:rPr>
        <w:t xml:space="preserve"> </w:t>
      </w:r>
      <w:r w:rsidR="00844DEA">
        <w:rPr>
          <w:b/>
        </w:rPr>
        <w:t>Geographically</w:t>
      </w:r>
      <w:r w:rsidR="00844DEA" w:rsidRPr="00E430A0">
        <w:t xml:space="preserve"> or</w:t>
      </w:r>
      <w:r w:rsidRPr="00E430A0">
        <w:t xml:space="preserve"> click the </w:t>
      </w:r>
      <w:r w:rsidRPr="00E430A0">
        <w:rPr>
          <w:b/>
        </w:rPr>
        <w:t xml:space="preserve">Display </w:t>
      </w:r>
      <w:r>
        <w:rPr>
          <w:b/>
        </w:rPr>
        <w:t>Geographically</w:t>
      </w:r>
      <w:r w:rsidRPr="00E430A0">
        <w:t xml:space="preserve"> </w:t>
      </w:r>
      <w:r>
        <w:rPr>
          <w:noProof/>
        </w:rPr>
        <w:drawing>
          <wp:inline distT="0" distB="0" distL="0" distR="0" wp14:anchorId="0E76F955" wp14:editId="42AD52E2">
            <wp:extent cx="152400" cy="152400"/>
            <wp:effectExtent l="0" t="0" r="0" b="0"/>
            <wp:docPr id="2274" name="Picture 2274" desc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t xml:space="preserve"> icon on the toolbar</w:t>
      </w:r>
      <w:r w:rsidRPr="00E430A0">
        <w:t xml:space="preserve">. </w:t>
      </w:r>
      <w:r>
        <w:t>The Geo Display Tool will open with the LMO’s target and ACMSs, including the FPPWP, Loiter Area, and Flight Corridor if present.</w:t>
      </w:r>
    </w:p>
    <w:p w14:paraId="5C96D533" w14:textId="77777777" w:rsidR="0078503C" w:rsidRPr="000665B0" w:rsidRDefault="0078503C" w:rsidP="009163E5">
      <w:pPr>
        <w:keepNext/>
        <w:tabs>
          <w:tab w:val="left" w:pos="720"/>
        </w:tabs>
        <w:rPr>
          <w:b/>
        </w:rPr>
      </w:pPr>
      <w:r w:rsidRPr="000665B0">
        <w:rPr>
          <w:b/>
        </w:rPr>
        <w:t>LMO Type 1 (Call For Fire LMO)</w:t>
      </w:r>
    </w:p>
    <w:p w14:paraId="76EB3B38" w14:textId="051109EE" w:rsidR="0078503C" w:rsidRPr="000665B0" w:rsidRDefault="00EF1355" w:rsidP="00172AD0">
      <w:pPr>
        <w:keepNext/>
        <w:tabs>
          <w:tab w:val="left" w:pos="720"/>
        </w:tabs>
      </w:pPr>
      <w:r w:rsidRPr="000665B0">
        <w:t>CFF LMO is the simplest LMO that basically tells the TTWCS FRU to reserve a mission missile that is ready to launch when call</w:t>
      </w:r>
      <w:r w:rsidR="00721E82" w:rsidRPr="000665B0">
        <w:t>ed</w:t>
      </w:r>
      <w:r w:rsidRPr="000665B0">
        <w:t xml:space="preserve"> upon. This type of LMO can be created in Strike Planning</w:t>
      </w:r>
      <w:r w:rsidR="00721E82" w:rsidRPr="000665B0">
        <w:t xml:space="preserve"> and can later be replaced by a full LMO</w:t>
      </w:r>
      <w:r w:rsidRPr="000665B0">
        <w:t>.</w:t>
      </w:r>
    </w:p>
    <w:p w14:paraId="394BBAAC" w14:textId="77777777" w:rsidR="0078503C" w:rsidRPr="000665B0" w:rsidRDefault="0078503C" w:rsidP="00172AD0">
      <w:pPr>
        <w:keepNext/>
        <w:tabs>
          <w:tab w:val="left" w:pos="720"/>
        </w:tabs>
        <w:rPr>
          <w:b/>
        </w:rPr>
      </w:pPr>
      <w:r w:rsidRPr="000665B0">
        <w:rPr>
          <w:b/>
        </w:rPr>
        <w:t>LMO Type 2 (Full LMO)</w:t>
      </w:r>
    </w:p>
    <w:p w14:paraId="29451E8B" w14:textId="77777777" w:rsidR="00EF1355" w:rsidRPr="000665B0" w:rsidRDefault="00EF1355" w:rsidP="009163E5">
      <w:pPr>
        <w:tabs>
          <w:tab w:val="left" w:pos="720"/>
        </w:tabs>
      </w:pPr>
      <w:r w:rsidRPr="000665B0">
        <w:t>Full LMO is a regular LMO that request</w:t>
      </w:r>
      <w:r w:rsidR="00616028" w:rsidRPr="000665B0">
        <w:t>s that</w:t>
      </w:r>
      <w:r w:rsidRPr="000665B0">
        <w:t xml:space="preserve"> the TTWCS FRU plan and launch the mission. This type of LMO can be created in Strike Planning.</w:t>
      </w:r>
    </w:p>
    <w:p w14:paraId="5BB18DF7" w14:textId="0ABE4743" w:rsidR="000F56FA" w:rsidRPr="000665B0" w:rsidRDefault="00783063" w:rsidP="00A217FE">
      <w:pPr>
        <w:tabs>
          <w:tab w:val="left" w:pos="720"/>
        </w:tabs>
        <w:jc w:val="center"/>
        <w:rPr>
          <w:b/>
        </w:rPr>
      </w:pPr>
      <w:r w:rsidRPr="000665B0">
        <w:rPr>
          <w:noProof/>
        </w:rPr>
        <w:drawing>
          <wp:inline distT="0" distB="0" distL="0" distR="0" wp14:anchorId="6D647691" wp14:editId="657B1C03">
            <wp:extent cx="2458558" cy="3505200"/>
            <wp:effectExtent l="0" t="0" r="0" b="0"/>
            <wp:docPr id="2224" name="Picture 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481299" cy="3537623"/>
                    </a:xfrm>
                    <a:prstGeom prst="rect">
                      <a:avLst/>
                    </a:prstGeom>
                  </pic:spPr>
                </pic:pic>
              </a:graphicData>
            </a:graphic>
          </wp:inline>
        </w:drawing>
      </w:r>
    </w:p>
    <w:p w14:paraId="45A023E8" w14:textId="77777777" w:rsidR="001B30ED" w:rsidRPr="000665B0" w:rsidRDefault="001B30ED" w:rsidP="006D5A65">
      <w:pPr>
        <w:pStyle w:val="Heading1"/>
      </w:pPr>
      <w:r w:rsidRPr="000665B0">
        <w:lastRenderedPageBreak/>
        <w:t xml:space="preserve">LPMP Type – </w:t>
      </w:r>
      <w:r w:rsidR="00594A06" w:rsidRPr="000665B0">
        <w:t>(</w:t>
      </w:r>
      <w:r w:rsidRPr="000665B0">
        <w:t>Type 2</w:t>
      </w:r>
      <w:r w:rsidR="00594A06" w:rsidRPr="000665B0">
        <w:t>)</w:t>
      </w:r>
      <w:r w:rsidRPr="000665B0">
        <w:t xml:space="preserve"> Full LMO.</w:t>
      </w:r>
    </w:p>
    <w:p w14:paraId="505420CD" w14:textId="404BA745" w:rsidR="00A217FE" w:rsidRPr="000665B0" w:rsidRDefault="00783063" w:rsidP="006D5A65">
      <w:pPr>
        <w:pStyle w:val="Heading1"/>
      </w:pPr>
      <w:r w:rsidRPr="000665B0">
        <w:t>Missile</w:t>
      </w:r>
      <w:r w:rsidR="0078503C" w:rsidRPr="000665B0">
        <w:t xml:space="preserve"> – </w:t>
      </w:r>
      <w:r w:rsidRPr="000665B0">
        <w:t xml:space="preserve">Missile type </w:t>
      </w:r>
      <w:r w:rsidR="0078503C" w:rsidRPr="000665B0">
        <w:t>to use for the LPMP.</w:t>
      </w:r>
      <w:r w:rsidR="00A217FE" w:rsidRPr="000665B0">
        <w:t xml:space="preserve"> Available selections are Block III</w:t>
      </w:r>
      <w:r w:rsidRPr="000665B0">
        <w:t>,</w:t>
      </w:r>
      <w:r w:rsidR="00A217FE" w:rsidRPr="000665B0">
        <w:t xml:space="preserve"> </w:t>
      </w:r>
      <w:r w:rsidR="00215F9D" w:rsidRPr="000665B0">
        <w:t>109E</w:t>
      </w:r>
      <w:r w:rsidRPr="000665B0">
        <w:t>,</w:t>
      </w:r>
      <w:r w:rsidR="00A217FE" w:rsidRPr="000665B0">
        <w:t xml:space="preserve"> </w:t>
      </w:r>
      <w:r w:rsidR="004717BB" w:rsidRPr="001F4B14">
        <w:rPr>
          <w:bCs/>
        </w:rPr>
        <w:t>109E ACP</w:t>
      </w:r>
      <w:r w:rsidR="00C96B78">
        <w:t>,</w:t>
      </w:r>
      <w:r w:rsidRPr="000665B0">
        <w:t xml:space="preserve"> MSTM</w:t>
      </w:r>
      <w:r w:rsidR="00C96B78">
        <w:t>, 109M</w:t>
      </w:r>
      <w:r w:rsidR="009F2F23">
        <w:t>, and ACP2</w:t>
      </w:r>
      <w:r w:rsidR="00A217FE" w:rsidRPr="000665B0">
        <w:t>.</w:t>
      </w:r>
    </w:p>
    <w:p w14:paraId="2B8E59B1" w14:textId="50287F14" w:rsidR="0078503C" w:rsidRPr="000665B0" w:rsidRDefault="00A217FE" w:rsidP="006D5A65">
      <w:pPr>
        <w:pStyle w:val="Heading1"/>
      </w:pPr>
      <w:r w:rsidRPr="000665B0">
        <w:t xml:space="preserve">AGR-4 Required (optional) – </w:t>
      </w:r>
      <w:r w:rsidRPr="000665B0">
        <w:rPr>
          <w:color w:val="000000"/>
        </w:rPr>
        <w:t>Indicates whether one or more AGR-4 missions are required by the LMO</w:t>
      </w:r>
      <w:r w:rsidR="005D5231" w:rsidRPr="000665B0">
        <w:rPr>
          <w:color w:val="000000"/>
        </w:rPr>
        <w:t xml:space="preserve"> (</w:t>
      </w:r>
      <w:r w:rsidRPr="000665B0">
        <w:t xml:space="preserve">available only </w:t>
      </w:r>
      <w:r w:rsidR="005D5231" w:rsidRPr="000665B0">
        <w:t xml:space="preserve">if missile type </w:t>
      </w:r>
      <w:r w:rsidR="00215F9D" w:rsidRPr="000665B0">
        <w:t>109E</w:t>
      </w:r>
      <w:r w:rsidR="005D5231" w:rsidRPr="000665B0">
        <w:t xml:space="preserve"> is selected</w:t>
      </w:r>
      <w:r w:rsidR="00CC0A94" w:rsidRPr="000665B0">
        <w:t xml:space="preserve"> or</w:t>
      </w:r>
      <w:r w:rsidR="000049F2" w:rsidRPr="000665B0">
        <w:t xml:space="preserve"> automatically selected</w:t>
      </w:r>
      <w:r w:rsidR="00462197" w:rsidRPr="000665B0">
        <w:t xml:space="preserve"> and set to read-only</w:t>
      </w:r>
      <w:r w:rsidR="000049F2" w:rsidRPr="000665B0">
        <w:t xml:space="preserve"> </w:t>
      </w:r>
      <w:r w:rsidR="005D5231" w:rsidRPr="000665B0">
        <w:t>if missile type</w:t>
      </w:r>
      <w:r w:rsidR="00C320C7">
        <w:t>s 109E ACP</w:t>
      </w:r>
      <w:r w:rsidR="00C96B78">
        <w:t>,</w:t>
      </w:r>
      <w:r w:rsidR="00C320C7">
        <w:t xml:space="preserve"> </w:t>
      </w:r>
      <w:r w:rsidR="005D5231" w:rsidRPr="000665B0">
        <w:t>MSTM</w:t>
      </w:r>
      <w:r w:rsidR="009F2F23">
        <w:t>,</w:t>
      </w:r>
      <w:r w:rsidR="00C96B78">
        <w:t xml:space="preserve"> 109M</w:t>
      </w:r>
      <w:r w:rsidR="009F2F23">
        <w:t>, or ACP2</w:t>
      </w:r>
      <w:r w:rsidR="00C96B78">
        <w:t xml:space="preserve"> </w:t>
      </w:r>
      <w:r w:rsidR="00C320C7">
        <w:t>are</w:t>
      </w:r>
      <w:r w:rsidR="00C320C7" w:rsidRPr="000665B0">
        <w:t xml:space="preserve"> </w:t>
      </w:r>
      <w:r w:rsidR="005D5231" w:rsidRPr="000665B0">
        <w:t>selected)</w:t>
      </w:r>
      <w:r w:rsidR="000049F2" w:rsidRPr="000665B0">
        <w:t>.</w:t>
      </w:r>
    </w:p>
    <w:p w14:paraId="0F13B00C" w14:textId="77777777" w:rsidR="0078503C" w:rsidRPr="000665B0" w:rsidRDefault="0078503C" w:rsidP="006D5A65">
      <w:pPr>
        <w:pStyle w:val="Heading1"/>
      </w:pPr>
      <w:r w:rsidRPr="000665B0">
        <w:t xml:space="preserve">Employment Explanation – The reason for the Mission Planning Request and any target or </w:t>
      </w:r>
      <w:r w:rsidR="00406691" w:rsidRPr="000665B0">
        <w:t xml:space="preserve">preplanned </w:t>
      </w:r>
      <w:r w:rsidRPr="000665B0">
        <w:t>loiter-specific information.</w:t>
      </w:r>
    </w:p>
    <w:p w14:paraId="0155808C" w14:textId="77777777" w:rsidR="00594A06" w:rsidRPr="000665B0" w:rsidRDefault="00594A06" w:rsidP="006D5A65">
      <w:pPr>
        <w:pStyle w:val="Heading1"/>
      </w:pPr>
      <w:r w:rsidRPr="000665B0">
        <w:t>Target Information Pane</w:t>
      </w:r>
    </w:p>
    <w:p w14:paraId="48313993" w14:textId="77777777" w:rsidR="0078503C" w:rsidRPr="000665B0" w:rsidRDefault="0078503C" w:rsidP="006D5A65">
      <w:pPr>
        <w:pStyle w:val="Heading2"/>
      </w:pPr>
      <w:r w:rsidRPr="000665B0">
        <w:t>Latitude – The target latitude.</w:t>
      </w:r>
    </w:p>
    <w:p w14:paraId="237A9785" w14:textId="77777777" w:rsidR="0078503C" w:rsidRPr="000665B0" w:rsidRDefault="0078503C" w:rsidP="006D5A65">
      <w:pPr>
        <w:pStyle w:val="Heading2"/>
      </w:pPr>
      <w:r w:rsidRPr="000665B0">
        <w:t>Longitude – The target longitude.</w:t>
      </w:r>
    </w:p>
    <w:p w14:paraId="31138376" w14:textId="77777777" w:rsidR="0078503C" w:rsidRPr="000665B0" w:rsidRDefault="0078503C" w:rsidP="006D5A65">
      <w:pPr>
        <w:pStyle w:val="Heading2"/>
      </w:pPr>
      <w:r w:rsidRPr="000665B0">
        <w:t>Elevation – The target elevation.</w:t>
      </w:r>
    </w:p>
    <w:p w14:paraId="54A71DE8" w14:textId="77777777" w:rsidR="0078503C" w:rsidRPr="000665B0" w:rsidRDefault="0078503C" w:rsidP="006D5A65">
      <w:pPr>
        <w:pStyle w:val="Heading2"/>
      </w:pPr>
      <w:r w:rsidRPr="000665B0">
        <w:t>Elevation Datum – The target elevation datum.</w:t>
      </w:r>
    </w:p>
    <w:p w14:paraId="2A333788" w14:textId="77777777" w:rsidR="0078503C" w:rsidRPr="000665B0" w:rsidRDefault="0078503C" w:rsidP="006D5A65">
      <w:pPr>
        <w:pStyle w:val="Heading2"/>
      </w:pPr>
      <w:r w:rsidRPr="000665B0">
        <w:t xml:space="preserve">Target Type – The type of target to plan for. If selected, the dive angle and </w:t>
      </w:r>
      <w:r w:rsidR="00594A06" w:rsidRPr="000665B0">
        <w:t xml:space="preserve">fuze </w:t>
      </w:r>
      <w:r w:rsidRPr="000665B0">
        <w:t>setting will be set to the defined value of the target type.</w:t>
      </w:r>
    </w:p>
    <w:p w14:paraId="09E6259D" w14:textId="77777777" w:rsidR="0078503C" w:rsidRPr="000665B0" w:rsidRDefault="0078503C" w:rsidP="006D5A65">
      <w:pPr>
        <w:pStyle w:val="Heading2"/>
      </w:pPr>
      <w:r w:rsidRPr="000665B0">
        <w:t>Dive Angle – The desired dive angle.</w:t>
      </w:r>
    </w:p>
    <w:p w14:paraId="5D3DBD44" w14:textId="77777777" w:rsidR="0078503C" w:rsidRPr="000665B0" w:rsidRDefault="0078503C" w:rsidP="006D5A65">
      <w:pPr>
        <w:pStyle w:val="Heading2"/>
      </w:pPr>
      <w:r w:rsidRPr="000665B0">
        <w:t>Fuze Setting – The desired fuze setting.</w:t>
      </w:r>
    </w:p>
    <w:p w14:paraId="2492D39D" w14:textId="77777777" w:rsidR="0078503C" w:rsidRPr="000665B0" w:rsidRDefault="0078503C" w:rsidP="006D5A65">
      <w:pPr>
        <w:pStyle w:val="Heading2"/>
      </w:pPr>
      <w:r w:rsidRPr="000665B0">
        <w:t>Run-in Azimuth – The degree of the run-in azimuth.</w:t>
      </w:r>
    </w:p>
    <w:p w14:paraId="2FCCF5D1" w14:textId="77777777" w:rsidR="00594A06" w:rsidRPr="000665B0" w:rsidRDefault="00594A06" w:rsidP="006D5A65">
      <w:pPr>
        <w:pStyle w:val="Heading1"/>
      </w:pPr>
      <w:r w:rsidRPr="000665B0">
        <w:t>Route Information Pane</w:t>
      </w:r>
    </w:p>
    <w:p w14:paraId="64FF2D36" w14:textId="6188F1C0" w:rsidR="001F79FD" w:rsidRPr="000665B0" w:rsidRDefault="0078503C" w:rsidP="006D5A65">
      <w:pPr>
        <w:pStyle w:val="Heading2"/>
      </w:pPr>
      <w:r w:rsidRPr="000665B0">
        <w:t xml:space="preserve">Route Altitude – The route altitude </w:t>
      </w:r>
      <w:r w:rsidR="001F79FD" w:rsidRPr="000665B0">
        <w:t>(</w:t>
      </w:r>
      <w:r w:rsidRPr="000665B0">
        <w:t>in feet</w:t>
      </w:r>
      <w:r w:rsidR="001F79FD" w:rsidRPr="000665B0">
        <w:t>) (valid range is 1,000 to 30,000)</w:t>
      </w:r>
      <w:r w:rsidRPr="000665B0">
        <w:t>.</w:t>
      </w:r>
      <w:r w:rsidR="001F79FD" w:rsidRPr="000665B0">
        <w:t xml:space="preserve"> This is a required field (as denoted by the * and/or yellow background) and the user is unable to proceed without updating this field. For further information on mandatory fields see </w:t>
      </w:r>
      <w:hyperlink w:anchor="_5.2.7__Editing" w:history="1">
        <w:r w:rsidR="001F79FD" w:rsidRPr="000665B0">
          <w:rPr>
            <w:color w:val="0000FF"/>
            <w:u w:val="single"/>
          </w:rPr>
          <w:t>Section 5.2.8</w:t>
        </w:r>
      </w:hyperlink>
      <w:r w:rsidR="001F79FD" w:rsidRPr="000665B0">
        <w:t>.</w:t>
      </w:r>
    </w:p>
    <w:p w14:paraId="2C766C1A" w14:textId="77777777" w:rsidR="0078503C" w:rsidRPr="000665B0" w:rsidRDefault="0078503C" w:rsidP="006D5A65">
      <w:pPr>
        <w:pStyle w:val="Heading2"/>
      </w:pPr>
      <w:r w:rsidRPr="000665B0">
        <w:t>Altitude Type – The altitude type</w:t>
      </w:r>
      <w:r w:rsidR="001F79FD" w:rsidRPr="000665B0">
        <w:t xml:space="preserve">; </w:t>
      </w:r>
      <w:r w:rsidRPr="000665B0">
        <w:t>clearance or inertial.</w:t>
      </w:r>
    </w:p>
    <w:p w14:paraId="561DE21B" w14:textId="77777777" w:rsidR="0078503C" w:rsidRPr="000665B0" w:rsidRDefault="0078503C" w:rsidP="006D5A65">
      <w:pPr>
        <w:pStyle w:val="Heading2"/>
      </w:pPr>
      <w:r w:rsidRPr="000665B0">
        <w:t>Altitude Datum – The altitude datum when the Altitude type is inertial.</w:t>
      </w:r>
    </w:p>
    <w:p w14:paraId="53781CA5" w14:textId="28B25BF6" w:rsidR="0078503C" w:rsidRPr="000665B0" w:rsidRDefault="0078503C" w:rsidP="006D5A65">
      <w:pPr>
        <w:pStyle w:val="Heading2"/>
      </w:pPr>
      <w:r w:rsidRPr="000665B0">
        <w:t>First Pre-planned Waypoint – The ACMS name of the first pre-planned waypoint to use.</w:t>
      </w:r>
      <w:r w:rsidR="001F79FD" w:rsidRPr="000665B0">
        <w:t xml:space="preserve"> This is a required field (as denoted by the * and/or yellow background) and the user is </w:t>
      </w:r>
      <w:r w:rsidR="001F79FD" w:rsidRPr="000665B0">
        <w:lastRenderedPageBreak/>
        <w:t xml:space="preserve">unable to proceed without updating this field. For further information on mandatory fields see </w:t>
      </w:r>
      <w:hyperlink w:anchor="_5.2.7__Editing" w:history="1">
        <w:r w:rsidR="001F79FD" w:rsidRPr="000665B0">
          <w:rPr>
            <w:color w:val="0000FF"/>
            <w:u w:val="single"/>
          </w:rPr>
          <w:t>Section 5.2.8</w:t>
        </w:r>
      </w:hyperlink>
      <w:r w:rsidR="001F79FD" w:rsidRPr="000665B0">
        <w:t>.</w:t>
      </w:r>
    </w:p>
    <w:p w14:paraId="41EFC2ED" w14:textId="77777777" w:rsidR="0078503C" w:rsidRPr="000665B0" w:rsidRDefault="0078503C" w:rsidP="006D5A65">
      <w:pPr>
        <w:pStyle w:val="Heading2"/>
      </w:pPr>
      <w:r w:rsidRPr="000665B0">
        <w:t>Loiter Required – Indicate</w:t>
      </w:r>
      <w:r w:rsidR="001F79FD" w:rsidRPr="000665B0">
        <w:t>s</w:t>
      </w:r>
      <w:r w:rsidRPr="000665B0">
        <w:t xml:space="preserve"> if the mission should be planned with the </w:t>
      </w:r>
      <w:r w:rsidR="00406691" w:rsidRPr="000665B0">
        <w:t xml:space="preserve">preplanned </w:t>
      </w:r>
      <w:r w:rsidRPr="000665B0">
        <w:t>loiter feature.</w:t>
      </w:r>
    </w:p>
    <w:p w14:paraId="2615E7E6" w14:textId="77777777" w:rsidR="0078503C" w:rsidRPr="000665B0" w:rsidRDefault="0078503C" w:rsidP="006D5A65">
      <w:pPr>
        <w:pStyle w:val="Heading3"/>
      </w:pPr>
      <w:r w:rsidRPr="000665B0">
        <w:t xml:space="preserve">Loiter Area Name – The ACMS name of the </w:t>
      </w:r>
      <w:r w:rsidR="00406691" w:rsidRPr="000665B0">
        <w:t xml:space="preserve">preplanned </w:t>
      </w:r>
      <w:r w:rsidRPr="000665B0">
        <w:t>loiter area to use.</w:t>
      </w:r>
    </w:p>
    <w:p w14:paraId="316E2850" w14:textId="77777777" w:rsidR="0078503C" w:rsidRPr="000665B0" w:rsidRDefault="0078503C" w:rsidP="006D5A65">
      <w:pPr>
        <w:pStyle w:val="Heading3"/>
      </w:pPr>
      <w:r w:rsidRPr="000665B0">
        <w:t xml:space="preserve">Loiter Altitude – The altitude of the </w:t>
      </w:r>
      <w:r w:rsidR="00406691" w:rsidRPr="000665B0">
        <w:t xml:space="preserve">preplanned </w:t>
      </w:r>
      <w:r w:rsidRPr="000665B0">
        <w:t>loiter</w:t>
      </w:r>
      <w:r w:rsidR="001F79FD" w:rsidRPr="000665B0">
        <w:t xml:space="preserve"> (in feet)</w:t>
      </w:r>
      <w:r w:rsidRPr="000665B0">
        <w:t xml:space="preserve"> or set to zero to indicate altitude is an LPMP option</w:t>
      </w:r>
      <w:r w:rsidR="001F79FD" w:rsidRPr="000665B0">
        <w:t xml:space="preserve"> (-500 to 30,000)</w:t>
      </w:r>
      <w:r w:rsidRPr="000665B0">
        <w:t>.</w:t>
      </w:r>
    </w:p>
    <w:p w14:paraId="6A0D6305" w14:textId="77777777" w:rsidR="0078503C" w:rsidRPr="000665B0" w:rsidRDefault="0078503C" w:rsidP="006D5A65">
      <w:pPr>
        <w:pStyle w:val="Heading3"/>
      </w:pPr>
      <w:r w:rsidRPr="000665B0">
        <w:t>Time in Loiter – The desired time in</w:t>
      </w:r>
      <w:r w:rsidR="00406691" w:rsidRPr="000665B0">
        <w:t xml:space="preserve"> the preplanned</w:t>
      </w:r>
      <w:r w:rsidRPr="000665B0">
        <w:t xml:space="preserve"> loiter</w:t>
      </w:r>
      <w:r w:rsidR="001F79FD" w:rsidRPr="000665B0">
        <w:t xml:space="preserve"> (in minutes),</w:t>
      </w:r>
      <w:r w:rsidRPr="000665B0">
        <w:t xml:space="preserve"> or zero to indicate best effort</w:t>
      </w:r>
      <w:r w:rsidR="001F79FD" w:rsidRPr="000665B0">
        <w:t xml:space="preserve"> (0 to 65535)</w:t>
      </w:r>
      <w:r w:rsidRPr="000665B0">
        <w:t>.</w:t>
      </w:r>
    </w:p>
    <w:p w14:paraId="1E9CAE7B" w14:textId="77777777" w:rsidR="0078503C" w:rsidRPr="000665B0" w:rsidRDefault="0078503C" w:rsidP="006D5A65">
      <w:pPr>
        <w:pStyle w:val="Heading1"/>
      </w:pPr>
      <w:r w:rsidRPr="000665B0">
        <w:t xml:space="preserve">Flight Corridor Provided – </w:t>
      </w:r>
      <w:r w:rsidR="00BB4A5C" w:rsidRPr="000665B0">
        <w:t>I</w:t>
      </w:r>
      <w:r w:rsidRPr="000665B0">
        <w:t>ndicate</w:t>
      </w:r>
      <w:r w:rsidR="001F79FD" w:rsidRPr="000665B0">
        <w:t>s</w:t>
      </w:r>
      <w:r w:rsidRPr="000665B0">
        <w:t xml:space="preserve"> </w:t>
      </w:r>
      <w:r w:rsidR="001F79FD" w:rsidRPr="000665B0">
        <w:t xml:space="preserve">whether </w:t>
      </w:r>
      <w:r w:rsidRPr="000665B0">
        <w:t>a flight corridor should be used.</w:t>
      </w:r>
      <w:r w:rsidR="00F303DA" w:rsidRPr="000665B0">
        <w:t xml:space="preserve"> </w:t>
      </w:r>
      <w:r w:rsidRPr="000665B0">
        <w:t xml:space="preserve">It can be applied before and/or after a </w:t>
      </w:r>
      <w:r w:rsidR="00406691" w:rsidRPr="000665B0">
        <w:t xml:space="preserve">preplanned </w:t>
      </w:r>
      <w:r w:rsidRPr="000665B0">
        <w:t>loiter.</w:t>
      </w:r>
    </w:p>
    <w:p w14:paraId="7BDE5B3A" w14:textId="77777777" w:rsidR="0078503C" w:rsidRPr="000665B0" w:rsidRDefault="0078503C" w:rsidP="006D5A65">
      <w:pPr>
        <w:pStyle w:val="Heading1"/>
      </w:pPr>
      <w:r w:rsidRPr="000665B0">
        <w:t>Flight Corridor Name – The name of the ACMS flight corridor to use.</w:t>
      </w:r>
    </w:p>
    <w:p w14:paraId="1C5EC944" w14:textId="77777777" w:rsidR="00EF1355" w:rsidRPr="000665B0" w:rsidRDefault="00EF1355" w:rsidP="00474A1F">
      <w:pPr>
        <w:pStyle w:val="Number0205"/>
        <w:tabs>
          <w:tab w:val="left" w:pos="720"/>
        </w:tabs>
        <w:ind w:left="0" w:firstLine="0"/>
        <w:rPr>
          <w:b/>
        </w:rPr>
      </w:pPr>
      <w:bookmarkStart w:id="6436" w:name="_Toc96170300"/>
      <w:bookmarkStart w:id="6437" w:name="_Toc96234345"/>
      <w:bookmarkStart w:id="6438" w:name="_Toc112733765"/>
      <w:bookmarkStart w:id="6439" w:name="_Toc164499455"/>
      <w:r w:rsidRPr="000665B0">
        <w:rPr>
          <w:b/>
        </w:rPr>
        <w:t xml:space="preserve">Tactical Change LMOs </w:t>
      </w:r>
    </w:p>
    <w:p w14:paraId="7B5BFFA7" w14:textId="77777777" w:rsidR="00EF1355" w:rsidRPr="000665B0" w:rsidRDefault="00EF1355" w:rsidP="00474A1F">
      <w:pPr>
        <w:pStyle w:val="Number0205"/>
        <w:tabs>
          <w:tab w:val="left" w:pos="720"/>
        </w:tabs>
        <w:ind w:left="0" w:firstLine="0"/>
      </w:pPr>
      <w:r w:rsidRPr="000665B0">
        <w:t>Tactical Change LMOs are LMO Types 3, 4</w:t>
      </w:r>
      <w:r w:rsidR="00AD04B4" w:rsidRPr="000665B0">
        <w:t>,</w:t>
      </w:r>
      <w:r w:rsidRPr="000665B0">
        <w:t xml:space="preserve"> and 5 which are created while performing retargeting during Strike Execution. </w:t>
      </w:r>
    </w:p>
    <w:p w14:paraId="136BB497" w14:textId="77777777" w:rsidR="00EF1355" w:rsidRPr="000665B0" w:rsidRDefault="00EF1355" w:rsidP="002C16B8">
      <w:pPr>
        <w:pStyle w:val="Number0205"/>
        <w:keepNext/>
        <w:tabs>
          <w:tab w:val="left" w:pos="720"/>
        </w:tabs>
        <w:ind w:left="0" w:firstLine="0"/>
        <w:rPr>
          <w:b/>
        </w:rPr>
      </w:pPr>
      <w:r w:rsidRPr="000665B0">
        <w:rPr>
          <w:b/>
        </w:rPr>
        <w:t>LMO Type 3 (Retarget LMO)</w:t>
      </w:r>
    </w:p>
    <w:p w14:paraId="25FBAF57" w14:textId="77777777" w:rsidR="00EF1355" w:rsidRPr="000665B0" w:rsidRDefault="00721E82" w:rsidP="00474A1F">
      <w:pPr>
        <w:pStyle w:val="Number0205"/>
        <w:tabs>
          <w:tab w:val="left" w:pos="720"/>
        </w:tabs>
        <w:ind w:left="0" w:firstLine="0"/>
      </w:pPr>
      <w:r w:rsidRPr="000665B0">
        <w:t xml:space="preserve">A </w:t>
      </w:r>
      <w:r w:rsidR="00EF1355" w:rsidRPr="000665B0">
        <w:t>Retarget LMO’s display</w:t>
      </w:r>
      <w:r w:rsidRPr="000665B0">
        <w:t xml:space="preserve"> is</w:t>
      </w:r>
      <w:r w:rsidR="00EF1355" w:rsidRPr="000665B0">
        <w:t xml:space="preserve"> very similar </w:t>
      </w:r>
      <w:r w:rsidRPr="000665B0">
        <w:t xml:space="preserve">to a </w:t>
      </w:r>
      <w:r w:rsidR="00EF1355" w:rsidRPr="000665B0">
        <w:t>Retarget TMPR’s display since they share a lot of display components. The main difference is that Retarget LMO has the IMMM Communication Enabling Flags for the ability to request the FRU to enable certain Comms attributes.</w:t>
      </w:r>
    </w:p>
    <w:p w14:paraId="43827612" w14:textId="5B79E1A1" w:rsidR="00EF1355" w:rsidRPr="000665B0" w:rsidRDefault="00367AC4" w:rsidP="00474A1F">
      <w:pPr>
        <w:tabs>
          <w:tab w:val="left" w:pos="720"/>
        </w:tabs>
        <w:jc w:val="center"/>
      </w:pPr>
      <w:r w:rsidRPr="000665B0">
        <w:rPr>
          <w:noProof/>
        </w:rPr>
        <w:lastRenderedPageBreak/>
        <w:drawing>
          <wp:inline distT="0" distB="0" distL="0" distR="0" wp14:anchorId="40FD9DC6" wp14:editId="6E16AF94">
            <wp:extent cx="4114800" cy="4215384"/>
            <wp:effectExtent l="0" t="0" r="0" b="0"/>
            <wp:docPr id="2182" name="Picture 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4215384"/>
                    </a:xfrm>
                    <a:prstGeom prst="rect">
                      <a:avLst/>
                    </a:prstGeom>
                  </pic:spPr>
                </pic:pic>
              </a:graphicData>
            </a:graphic>
          </wp:inline>
        </w:drawing>
      </w:r>
    </w:p>
    <w:p w14:paraId="7EF865BB" w14:textId="77777777" w:rsidR="00EF1355" w:rsidRPr="000665B0" w:rsidRDefault="00EF1355" w:rsidP="00474A1F">
      <w:pPr>
        <w:tabs>
          <w:tab w:val="left" w:pos="720"/>
        </w:tabs>
      </w:pPr>
      <w:r w:rsidRPr="000665B0">
        <w:t>Only the fields listed below are applicable to Retarget LMOs. The rest are TMPR-related fields that should be ignored.</w:t>
      </w:r>
    </w:p>
    <w:p w14:paraId="1A63A4EE" w14:textId="74966B4A" w:rsidR="00CD51A1" w:rsidRPr="000665B0" w:rsidRDefault="00CD51A1" w:rsidP="006D5A65">
      <w:pPr>
        <w:pStyle w:val="Heading1"/>
      </w:pPr>
      <w:r w:rsidRPr="000665B0">
        <w:t xml:space="preserve">Ref. Mission – The </w:t>
      </w:r>
      <w:r w:rsidR="00EF0E3A">
        <w:t>M</w:t>
      </w:r>
      <w:r w:rsidRPr="000665B0">
        <w:t>ission ID that the retarget or aimpoint update LMO is based off.</w:t>
      </w:r>
    </w:p>
    <w:p w14:paraId="7BBB0ACF" w14:textId="77777777" w:rsidR="00EF1355" w:rsidRPr="000665B0" w:rsidRDefault="00EF1355" w:rsidP="006D5A65">
      <w:pPr>
        <w:pStyle w:val="Heading1"/>
      </w:pPr>
      <w:r w:rsidRPr="000665B0">
        <w:t xml:space="preserve">Retarget Type – The type of retargeting: Retarget or Aimpoint Update. </w:t>
      </w:r>
    </w:p>
    <w:p w14:paraId="519AAAEC" w14:textId="77777777" w:rsidR="00EF1355" w:rsidRPr="000665B0" w:rsidRDefault="00EF1355" w:rsidP="006D5A65">
      <w:pPr>
        <w:pStyle w:val="Heading1"/>
      </w:pPr>
      <w:r w:rsidRPr="000665B0">
        <w:t>Strike Option ID – The Strike Option ID that this LMO is associated with.</w:t>
      </w:r>
    </w:p>
    <w:p w14:paraId="359C062A" w14:textId="77777777" w:rsidR="00EF1355" w:rsidRPr="000665B0" w:rsidRDefault="00EF1355" w:rsidP="006D5A65">
      <w:pPr>
        <w:pStyle w:val="Heading1"/>
      </w:pPr>
      <w:r w:rsidRPr="000665B0">
        <w:t>Platform ID – The FRU that this LMO is tasked with.</w:t>
      </w:r>
    </w:p>
    <w:p w14:paraId="3DA53859" w14:textId="77777777" w:rsidR="00EF1355" w:rsidRPr="000665B0" w:rsidRDefault="00EF1355" w:rsidP="006D5A65">
      <w:pPr>
        <w:pStyle w:val="Heading1"/>
      </w:pPr>
      <w:r w:rsidRPr="000665B0">
        <w:t xml:space="preserve">MS# </w:t>
      </w:r>
      <w:r w:rsidR="00EA05B2" w:rsidRPr="000665B0">
        <w:t>–</w:t>
      </w:r>
      <w:r w:rsidRPr="000665B0">
        <w:t xml:space="preserve"> The missile sequence number that is tasked with this LMO.</w:t>
      </w:r>
    </w:p>
    <w:p w14:paraId="066F85ED" w14:textId="77777777" w:rsidR="00EA05B2" w:rsidRPr="000665B0" w:rsidRDefault="00EA05B2" w:rsidP="006D5A65">
      <w:pPr>
        <w:pStyle w:val="Heading1"/>
      </w:pPr>
      <w:r w:rsidRPr="000665B0">
        <w:t>Target Data Pane</w:t>
      </w:r>
    </w:p>
    <w:p w14:paraId="7F719588" w14:textId="77777777" w:rsidR="00CD51A1" w:rsidRPr="000665B0" w:rsidRDefault="00CD51A1" w:rsidP="006D5A65">
      <w:pPr>
        <w:pStyle w:val="Heading2"/>
      </w:pPr>
      <w:r w:rsidRPr="000665B0">
        <w:t>Run-in Azimuth – The degree of the run-in azimuth.</w:t>
      </w:r>
    </w:p>
    <w:p w14:paraId="43828AB3" w14:textId="77777777" w:rsidR="00CD51A1" w:rsidRPr="000665B0" w:rsidRDefault="00CD51A1" w:rsidP="006D5A65">
      <w:pPr>
        <w:pStyle w:val="Heading2"/>
      </w:pPr>
      <w:r w:rsidRPr="000665B0">
        <w:t>Dive Angle – The desired dive angle.</w:t>
      </w:r>
    </w:p>
    <w:p w14:paraId="020FDE75" w14:textId="77777777" w:rsidR="00CD51A1" w:rsidRPr="000665B0" w:rsidRDefault="00CD51A1" w:rsidP="006D5A65">
      <w:pPr>
        <w:pStyle w:val="Heading2"/>
      </w:pPr>
      <w:r w:rsidRPr="000665B0">
        <w:t>Fuze Setting – The desired fuze setting.</w:t>
      </w:r>
    </w:p>
    <w:p w14:paraId="35D5D16C" w14:textId="77777777" w:rsidR="00EF1355" w:rsidRPr="000665B0" w:rsidRDefault="00EF1355" w:rsidP="006D5A65">
      <w:pPr>
        <w:pStyle w:val="Heading2"/>
      </w:pPr>
      <w:r w:rsidRPr="000665B0">
        <w:t>Target Type – The type of target to plan for. If selected, the dive angle and fuse setting will be set to the defined value of the target type.</w:t>
      </w:r>
    </w:p>
    <w:p w14:paraId="66CFE870" w14:textId="637291D4" w:rsidR="00EF1355" w:rsidRPr="000665B0" w:rsidRDefault="00EF1355" w:rsidP="006D5A65">
      <w:pPr>
        <w:pStyle w:val="Heading2"/>
      </w:pPr>
      <w:r w:rsidRPr="000665B0">
        <w:lastRenderedPageBreak/>
        <w:t>Latitude – The target latitude.</w:t>
      </w:r>
      <w:r w:rsidR="00EA05B2" w:rsidRPr="000665B0">
        <w:t xml:space="preserve"> This is a required field (as denoted by the * and/or yellow background) and the user is unable to proceed without updating this field. For further information on mandatory fields see </w:t>
      </w:r>
      <w:hyperlink w:anchor="_5.2.7__Editing" w:history="1">
        <w:r w:rsidR="00EA05B2" w:rsidRPr="000665B0">
          <w:rPr>
            <w:color w:val="0000FF"/>
            <w:u w:val="single"/>
          </w:rPr>
          <w:t>Section 5.2.8</w:t>
        </w:r>
      </w:hyperlink>
      <w:r w:rsidR="00EA05B2" w:rsidRPr="000665B0">
        <w:t>.</w:t>
      </w:r>
    </w:p>
    <w:p w14:paraId="5114F71D" w14:textId="77195137" w:rsidR="00EF1355" w:rsidRPr="000665B0" w:rsidRDefault="00EF1355" w:rsidP="006D5A65">
      <w:pPr>
        <w:pStyle w:val="Heading2"/>
      </w:pPr>
      <w:r w:rsidRPr="000665B0">
        <w:t>Longitude – The target longitude.</w:t>
      </w:r>
      <w:r w:rsidR="00EA05B2" w:rsidRPr="000665B0">
        <w:t xml:space="preserve"> This is a required field (as denoted by the * and/or yellow background) and the user is unable to proceed without updating this field. For further information on mandatory fields see </w:t>
      </w:r>
      <w:hyperlink w:anchor="_5.2.7__Editing" w:history="1">
        <w:r w:rsidR="00EA05B2" w:rsidRPr="000665B0">
          <w:rPr>
            <w:color w:val="0000FF"/>
            <w:u w:val="single"/>
          </w:rPr>
          <w:t>Section 5.2.8</w:t>
        </w:r>
      </w:hyperlink>
      <w:r w:rsidR="00EA05B2" w:rsidRPr="000665B0">
        <w:t>.</w:t>
      </w:r>
    </w:p>
    <w:p w14:paraId="2C58F8FD" w14:textId="77777777" w:rsidR="00EF1355" w:rsidRPr="000665B0" w:rsidRDefault="00EF1355" w:rsidP="006D5A65">
      <w:pPr>
        <w:pStyle w:val="Heading2"/>
      </w:pPr>
      <w:r w:rsidRPr="000665B0">
        <w:t>Elevation – The target elevation.</w:t>
      </w:r>
    </w:p>
    <w:p w14:paraId="6C54D980" w14:textId="48398225" w:rsidR="00EA05B2" w:rsidRPr="000665B0" w:rsidRDefault="00EA05B2" w:rsidP="006D5A65">
      <w:pPr>
        <w:pStyle w:val="Heading1"/>
      </w:pPr>
      <w:r w:rsidRPr="000665B0">
        <w:t>IMM</w:t>
      </w:r>
      <w:r w:rsidR="008C53E6" w:rsidRPr="000665B0">
        <w:t>M</w:t>
      </w:r>
      <w:r w:rsidRPr="000665B0">
        <w:t xml:space="preserve"> Communication Enabling Flags Pane</w:t>
      </w:r>
    </w:p>
    <w:p w14:paraId="0E28EA4E" w14:textId="77777777" w:rsidR="00EF1355" w:rsidRPr="000665B0" w:rsidRDefault="00EF1355" w:rsidP="006D5A65">
      <w:pPr>
        <w:pStyle w:val="Heading2"/>
      </w:pPr>
      <w:r w:rsidRPr="000665B0">
        <w:t xml:space="preserve">Delegate flag settings to MC – Indicates that the FRU should be the one to set the IMMM Enabling Flags. When this is checked, the Schedule H&amp;S, Event H&amp;S, </w:t>
      </w:r>
      <w:r w:rsidR="00220D1D" w:rsidRPr="000665B0">
        <w:t xml:space="preserve">and </w:t>
      </w:r>
      <w:r w:rsidRPr="000665B0">
        <w:t>BDI checkboxes will be disabled.</w:t>
      </w:r>
    </w:p>
    <w:p w14:paraId="52B16DE7" w14:textId="77777777" w:rsidR="00EF1355" w:rsidRPr="000665B0" w:rsidRDefault="00EF1355" w:rsidP="006D5A65">
      <w:pPr>
        <w:pStyle w:val="Heading2"/>
      </w:pPr>
      <w:r w:rsidRPr="000665B0">
        <w:t>Schedule H&amp;S – Enables Schedule H&amp;S.</w:t>
      </w:r>
    </w:p>
    <w:p w14:paraId="7BD22044" w14:textId="77777777" w:rsidR="00EF1355" w:rsidRPr="000665B0" w:rsidRDefault="00EF1355" w:rsidP="006D5A65">
      <w:pPr>
        <w:pStyle w:val="Heading2"/>
      </w:pPr>
      <w:r w:rsidRPr="000665B0">
        <w:t>Event H&amp;S – Enables Event H&amp;S.</w:t>
      </w:r>
    </w:p>
    <w:p w14:paraId="472CB961" w14:textId="77777777" w:rsidR="00EF1355" w:rsidRPr="000665B0" w:rsidRDefault="00EF1355" w:rsidP="006D5A65">
      <w:pPr>
        <w:pStyle w:val="Heading2"/>
      </w:pPr>
      <w:r w:rsidRPr="000665B0">
        <w:t>BDI – Enables BDI.</w:t>
      </w:r>
    </w:p>
    <w:p w14:paraId="19D08EA4" w14:textId="77777777" w:rsidR="00EF1355" w:rsidRPr="000665B0" w:rsidRDefault="00EF1355" w:rsidP="006D5A65">
      <w:pPr>
        <w:pStyle w:val="Heading1"/>
      </w:pPr>
      <w:r w:rsidRPr="000665B0">
        <w:t xml:space="preserve">Egress Flight Corridor – One Flight Corridor can be added in the </w:t>
      </w:r>
      <w:r w:rsidRPr="000665B0">
        <w:rPr>
          <w:i/>
        </w:rPr>
        <w:t>ACMS</w:t>
      </w:r>
      <w:r w:rsidRPr="000665B0">
        <w:t xml:space="preserve"> tab under the Advanced section.</w:t>
      </w:r>
    </w:p>
    <w:p w14:paraId="70FCD93B" w14:textId="77777777" w:rsidR="00EF1355" w:rsidRPr="000665B0" w:rsidRDefault="00EF1355" w:rsidP="00474A1F">
      <w:pPr>
        <w:pStyle w:val="Number0205"/>
        <w:tabs>
          <w:tab w:val="left" w:pos="720"/>
        </w:tabs>
        <w:ind w:left="0" w:firstLine="0"/>
        <w:rPr>
          <w:b/>
        </w:rPr>
      </w:pPr>
      <w:r w:rsidRPr="000665B0">
        <w:rPr>
          <w:b/>
        </w:rPr>
        <w:t>LMO Type 4 (Aimpoint Update LMO)</w:t>
      </w:r>
    </w:p>
    <w:p w14:paraId="2F269A5B" w14:textId="77777777" w:rsidR="00EF1355" w:rsidRPr="000665B0" w:rsidRDefault="00EF1355" w:rsidP="000B625E">
      <w:pPr>
        <w:pStyle w:val="Number0205"/>
        <w:tabs>
          <w:tab w:val="left" w:pos="720"/>
        </w:tabs>
        <w:ind w:left="0" w:firstLine="0"/>
      </w:pPr>
      <w:r w:rsidRPr="000665B0">
        <w:t>The Aimpoint Update LMO’s display is the same as the Retarget LMO’s display. The only difference is the Retarget Type field is set to Aimpoint Update instead of Retarget. See the Retarget LMO for the applicable fields’ description</w:t>
      </w:r>
      <w:r w:rsidR="006C3991" w:rsidRPr="000665B0">
        <w:t>s</w:t>
      </w:r>
      <w:r w:rsidRPr="000665B0">
        <w:t>.</w:t>
      </w:r>
    </w:p>
    <w:p w14:paraId="76FC5A84" w14:textId="6DD1B633" w:rsidR="00EF1355" w:rsidRPr="000665B0" w:rsidRDefault="00367AC4" w:rsidP="00474A1F">
      <w:pPr>
        <w:tabs>
          <w:tab w:val="left" w:pos="720"/>
        </w:tabs>
        <w:jc w:val="center"/>
      </w:pPr>
      <w:r w:rsidRPr="000665B0">
        <w:rPr>
          <w:noProof/>
        </w:rPr>
        <w:lastRenderedPageBreak/>
        <w:drawing>
          <wp:inline distT="0" distB="0" distL="0" distR="0" wp14:anchorId="3200CDDE" wp14:editId="775AC383">
            <wp:extent cx="4114800" cy="4187952"/>
            <wp:effectExtent l="0" t="0" r="0" b="3175"/>
            <wp:docPr id="2181" name="Picture 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4187952"/>
                    </a:xfrm>
                    <a:prstGeom prst="rect">
                      <a:avLst/>
                    </a:prstGeom>
                  </pic:spPr>
                </pic:pic>
              </a:graphicData>
            </a:graphic>
          </wp:inline>
        </w:drawing>
      </w:r>
    </w:p>
    <w:p w14:paraId="4A296267" w14:textId="77777777" w:rsidR="00EF1355" w:rsidRPr="000665B0" w:rsidRDefault="00EF1355" w:rsidP="00700211">
      <w:pPr>
        <w:pStyle w:val="Number0205"/>
        <w:keepNext/>
        <w:tabs>
          <w:tab w:val="left" w:pos="720"/>
        </w:tabs>
        <w:ind w:left="0" w:firstLine="0"/>
        <w:rPr>
          <w:b/>
        </w:rPr>
      </w:pPr>
      <w:r w:rsidRPr="000665B0">
        <w:rPr>
          <w:b/>
        </w:rPr>
        <w:t>LMO Type 5 (Changed Outcome LMO)</w:t>
      </w:r>
    </w:p>
    <w:p w14:paraId="0E419EAF" w14:textId="53C03CE5" w:rsidR="00EF1355" w:rsidRDefault="00EF1355" w:rsidP="00700211">
      <w:pPr>
        <w:pStyle w:val="Number0205"/>
        <w:keepNext/>
        <w:tabs>
          <w:tab w:val="left" w:pos="720"/>
        </w:tabs>
        <w:ind w:left="0" w:firstLine="0"/>
      </w:pPr>
      <w:r w:rsidRPr="000665B0">
        <w:t>Changed Outcome LMO is a request to have the FRU flex the outcome of the missile.</w:t>
      </w:r>
    </w:p>
    <w:p w14:paraId="10ED01E6" w14:textId="41546653" w:rsidR="00120CD1" w:rsidRPr="000665B0" w:rsidRDefault="00120CD1" w:rsidP="001F4B14">
      <w:pPr>
        <w:pStyle w:val="Number0205"/>
        <w:ind w:left="0" w:firstLine="0"/>
        <w:jc w:val="center"/>
      </w:pPr>
      <w:r w:rsidRPr="00120CD1">
        <w:rPr>
          <w:noProof/>
        </w:rPr>
        <w:drawing>
          <wp:inline distT="0" distB="0" distL="0" distR="0" wp14:anchorId="5DE647BB" wp14:editId="700B7771">
            <wp:extent cx="4114800" cy="3209544"/>
            <wp:effectExtent l="0" t="0" r="0" b="0"/>
            <wp:docPr id="160" name="Picture 3" descr="Graphical user interface, text, application, email&#10;&#10;Description automatically generated">
              <a:extLst xmlns:a="http://schemas.openxmlformats.org/drawingml/2006/main">
                <a:ext uri="{FF2B5EF4-FFF2-40B4-BE49-F238E27FC236}">
                  <a16:creationId xmlns:a16="http://schemas.microsoft.com/office/drawing/2014/main" id="{4FD4DB85-320D-40CD-AA5D-EAF3D89DED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3" descr="Graphical user interface, text, application, email&#10;&#10;Description automatically generated">
                      <a:extLst>
                        <a:ext uri="{FF2B5EF4-FFF2-40B4-BE49-F238E27FC236}">
                          <a16:creationId xmlns:a16="http://schemas.microsoft.com/office/drawing/2014/main" id="{4FD4DB85-320D-40CD-AA5D-EAF3D89DED14}"/>
                        </a:ext>
                      </a:extLst>
                    </pic:cNvPr>
                    <pic:cNvPicPr>
                      <a:picLocks noChangeAspect="1"/>
                    </pic:cNvPicPr>
                  </pic:nvPicPr>
                  <pic:blipFill>
                    <a:blip/>
                    <a:stretch>
                      <a:fillRect/>
                    </a:stretch>
                  </pic:blipFill>
                  <pic:spPr>
                    <a:xfrm>
                      <a:off x="0" y="0"/>
                      <a:ext cx="4114800" cy="3209544"/>
                    </a:xfrm>
                    <a:prstGeom prst="rect">
                      <a:avLst/>
                    </a:prstGeom>
                  </pic:spPr>
                </pic:pic>
              </a:graphicData>
            </a:graphic>
          </wp:inline>
        </w:drawing>
      </w:r>
    </w:p>
    <w:p w14:paraId="067161E4" w14:textId="77777777" w:rsidR="00EA05B2" w:rsidRPr="000665B0" w:rsidRDefault="00EA05B2" w:rsidP="006D5A65">
      <w:pPr>
        <w:pStyle w:val="Heading1"/>
      </w:pPr>
      <w:r w:rsidRPr="000665B0">
        <w:lastRenderedPageBreak/>
        <w:t>General Information Pane</w:t>
      </w:r>
    </w:p>
    <w:p w14:paraId="46C511CA" w14:textId="77777777" w:rsidR="004D6FF6" w:rsidRPr="000665B0" w:rsidRDefault="00EF1355" w:rsidP="006D5A65">
      <w:pPr>
        <w:pStyle w:val="Heading2"/>
      </w:pPr>
      <w:r w:rsidRPr="000665B0">
        <w:t xml:space="preserve">LPMP Type – </w:t>
      </w:r>
      <w:r w:rsidR="00EA05B2" w:rsidRPr="000665B0">
        <w:t>Type of LPMP:</w:t>
      </w:r>
      <w:r w:rsidRPr="000665B0">
        <w:t xml:space="preserve"> Changed Outcome.</w:t>
      </w:r>
    </w:p>
    <w:p w14:paraId="603469D1" w14:textId="5C343EAC" w:rsidR="00494E0F" w:rsidRPr="000665B0" w:rsidRDefault="00120CD1" w:rsidP="006D5A65">
      <w:pPr>
        <w:pStyle w:val="Heading2"/>
      </w:pPr>
      <w:r>
        <w:t>Missile</w:t>
      </w:r>
      <w:r w:rsidR="00494E0F" w:rsidRPr="000665B0">
        <w:t xml:space="preserve"> – Block Type to use for the LPMP. Available selections are Block III Required and 109E Required.</w:t>
      </w:r>
    </w:p>
    <w:p w14:paraId="6146EE57" w14:textId="79325BD7" w:rsidR="00494E0F" w:rsidRPr="000665B0" w:rsidRDefault="00494E0F" w:rsidP="006D5A65">
      <w:pPr>
        <w:pStyle w:val="Heading2"/>
      </w:pPr>
      <w:r w:rsidRPr="000665B0">
        <w:t>Employment Explanation – The reason for the Mission Planning Request and any target or preplanned loiter-specific information.</w:t>
      </w:r>
    </w:p>
    <w:p w14:paraId="4C312384" w14:textId="77777777" w:rsidR="00EA05B2" w:rsidRPr="000665B0" w:rsidRDefault="00EA05B2" w:rsidP="006D5A65">
      <w:pPr>
        <w:pStyle w:val="Heading1"/>
      </w:pPr>
      <w:r w:rsidRPr="000665B0">
        <w:t>Tactical Information Pane</w:t>
      </w:r>
    </w:p>
    <w:p w14:paraId="426DD51C" w14:textId="77777777" w:rsidR="00494E0F" w:rsidRPr="000665B0" w:rsidRDefault="00494E0F" w:rsidP="006D5A65">
      <w:pPr>
        <w:pStyle w:val="Heading2"/>
      </w:pPr>
      <w:r w:rsidRPr="000665B0">
        <w:t>Strike Option ID – The Strike Option ID that is associated with LMO.</w:t>
      </w:r>
    </w:p>
    <w:p w14:paraId="514A5094" w14:textId="77777777" w:rsidR="00494E0F" w:rsidRPr="000665B0" w:rsidRDefault="00494E0F" w:rsidP="006D5A65">
      <w:pPr>
        <w:pStyle w:val="Heading2"/>
      </w:pPr>
      <w:r w:rsidRPr="000665B0">
        <w:t>FRU – The TTWCS FRU that is responsible for this LMO.</w:t>
      </w:r>
    </w:p>
    <w:p w14:paraId="6679320D" w14:textId="1D247364" w:rsidR="00494E0F" w:rsidRPr="000665B0" w:rsidRDefault="00494E0F" w:rsidP="006D5A65">
      <w:pPr>
        <w:pStyle w:val="Heading2"/>
      </w:pPr>
      <w:r w:rsidRPr="000665B0">
        <w:t>Missile Sequence Number – The MS# identifies the missile tasked with this LMO.</w:t>
      </w:r>
    </w:p>
    <w:p w14:paraId="142C531A" w14:textId="77777777" w:rsidR="00EF1355" w:rsidRPr="000665B0" w:rsidRDefault="00EF1355" w:rsidP="006D5A65">
      <w:pPr>
        <w:pStyle w:val="Heading2"/>
      </w:pPr>
      <w:r w:rsidRPr="000665B0">
        <w:t>Mission ID – Identifies the mission for this LMO.</w:t>
      </w:r>
    </w:p>
    <w:p w14:paraId="037CBF40" w14:textId="77777777" w:rsidR="00EF1355" w:rsidRPr="000665B0" w:rsidRDefault="00EF1355" w:rsidP="006D5A65">
      <w:pPr>
        <w:pStyle w:val="Heading2"/>
      </w:pPr>
      <w:r w:rsidRPr="000665B0">
        <w:t xml:space="preserve">Branch ID – </w:t>
      </w:r>
      <w:r w:rsidR="0015035F" w:rsidRPr="000665B0">
        <w:t xml:space="preserve">Branch IDs are a numbering scheme used for the Primary Route (which is always Branch ID 0) and each of the Flex Routes in a 109E mission. </w:t>
      </w:r>
    </w:p>
    <w:p w14:paraId="63C1B391" w14:textId="77777777" w:rsidR="00EA05B2" w:rsidRPr="000665B0" w:rsidRDefault="00EA05B2" w:rsidP="006D5A65">
      <w:pPr>
        <w:pStyle w:val="Heading1"/>
      </w:pPr>
      <w:r w:rsidRPr="000665B0">
        <w:t>IMMM Communication Enabling Flags Pane</w:t>
      </w:r>
    </w:p>
    <w:p w14:paraId="1912C028" w14:textId="77777777" w:rsidR="00EF1355" w:rsidRPr="000665B0" w:rsidRDefault="00EF1355" w:rsidP="006D5A65">
      <w:pPr>
        <w:pStyle w:val="Heading2"/>
      </w:pPr>
      <w:r w:rsidRPr="000665B0">
        <w:t xml:space="preserve">Delegate flag settings to FRU – Indicates that the FRU should be the one to set the IMMM Enabling Flags. When this is checked, the Schedule H&amp;S, Event H&amp;S, </w:t>
      </w:r>
      <w:r w:rsidR="00220D1D" w:rsidRPr="000665B0">
        <w:t xml:space="preserve">and </w:t>
      </w:r>
      <w:r w:rsidRPr="000665B0">
        <w:t xml:space="preserve">BDI checkboxes will be disabled. </w:t>
      </w:r>
    </w:p>
    <w:p w14:paraId="7F628962" w14:textId="77777777" w:rsidR="00EF1355" w:rsidRPr="000665B0" w:rsidRDefault="00EF1355" w:rsidP="006D5A65">
      <w:pPr>
        <w:pStyle w:val="Heading2"/>
      </w:pPr>
      <w:r w:rsidRPr="000665B0">
        <w:t>Schedule H&amp;S – Enables Schedule H&amp;S.</w:t>
      </w:r>
    </w:p>
    <w:p w14:paraId="023D600E" w14:textId="77777777" w:rsidR="00EF1355" w:rsidRPr="000665B0" w:rsidRDefault="00EF1355" w:rsidP="006D5A65">
      <w:pPr>
        <w:pStyle w:val="Heading2"/>
      </w:pPr>
      <w:r w:rsidRPr="000665B0">
        <w:t>Event H&amp;S – Enables Event H&amp;S.</w:t>
      </w:r>
    </w:p>
    <w:p w14:paraId="079A987C" w14:textId="292CB60F" w:rsidR="00EF1355" w:rsidRPr="006811F5" w:rsidRDefault="00EF1355" w:rsidP="006D5A65">
      <w:pPr>
        <w:pStyle w:val="Heading2"/>
      </w:pPr>
      <w:r w:rsidRPr="000665B0">
        <w:t>BDI – Enables BDI.</w:t>
      </w:r>
    </w:p>
    <w:p w14:paraId="25643F40" w14:textId="77777777" w:rsidR="006811F5" w:rsidRPr="006811F5" w:rsidRDefault="006811F5" w:rsidP="006811F5">
      <w:pPr>
        <w:pStyle w:val="Number0205"/>
        <w:tabs>
          <w:tab w:val="left" w:pos="720"/>
        </w:tabs>
        <w:ind w:left="0" w:firstLine="0"/>
      </w:pPr>
      <w:r w:rsidRPr="006811F5">
        <w:t>To view the selected LPMP textually:</w:t>
      </w:r>
    </w:p>
    <w:p w14:paraId="11DB38D1" w14:textId="3257194E" w:rsidR="006811F5" w:rsidRDefault="006811F5" w:rsidP="006811F5">
      <w:pPr>
        <w:pStyle w:val="Number0205"/>
        <w:tabs>
          <w:tab w:val="left" w:pos="720"/>
        </w:tabs>
        <w:ind w:left="907" w:firstLine="0"/>
      </w:pPr>
      <w:r w:rsidRPr="00E430A0">
        <w:t xml:space="preserve">From the </w:t>
      </w:r>
      <w:r w:rsidRPr="00E430A0">
        <w:rPr>
          <w:b/>
        </w:rPr>
        <w:t>File</w:t>
      </w:r>
      <w:r w:rsidRPr="00E430A0">
        <w:t xml:space="preserve"> menu select </w:t>
      </w:r>
      <w:r w:rsidRPr="00E430A0">
        <w:rPr>
          <w:b/>
        </w:rPr>
        <w:t xml:space="preserve">Display </w:t>
      </w:r>
      <w:r>
        <w:rPr>
          <w:b/>
        </w:rPr>
        <w:sym w:font="Wingdings 3" w:char="F07D"/>
      </w:r>
      <w:r w:rsidRPr="00FF10F2">
        <w:rPr>
          <w:b/>
        </w:rPr>
        <w:t xml:space="preserve"> </w:t>
      </w:r>
      <w:r w:rsidR="00844DEA" w:rsidRPr="00FF10F2">
        <w:rPr>
          <w:b/>
        </w:rPr>
        <w:t>Textually</w:t>
      </w:r>
      <w:r w:rsidR="00844DEA" w:rsidRPr="00FF10F2">
        <w:t xml:space="preserve"> or</w:t>
      </w:r>
      <w:r w:rsidRPr="00FF10F2">
        <w:t xml:space="preserve"> invoke the context menu (right click the mouse) and select </w:t>
      </w:r>
      <w:r w:rsidRPr="00E430A0">
        <w:rPr>
          <w:b/>
          <w:bCs/>
        </w:rPr>
        <w:t xml:space="preserve">Display </w:t>
      </w:r>
      <w:r>
        <w:rPr>
          <w:b/>
        </w:rPr>
        <w:sym w:font="Wingdings 3" w:char="F07D"/>
      </w:r>
      <w:r w:rsidRPr="00E430A0">
        <w:rPr>
          <w:b/>
          <w:bCs/>
        </w:rPr>
        <w:t xml:space="preserve"> </w:t>
      </w:r>
      <w:r w:rsidR="008D3BEA" w:rsidRPr="00E430A0">
        <w:rPr>
          <w:b/>
        </w:rPr>
        <w:t>Textually</w:t>
      </w:r>
      <w:r w:rsidR="008D3BEA" w:rsidRPr="00E430A0">
        <w:t xml:space="preserve"> or</w:t>
      </w:r>
      <w:r w:rsidRPr="00E430A0">
        <w:t xml:space="preserve"> click the </w:t>
      </w:r>
      <w:r w:rsidRPr="00E430A0">
        <w:rPr>
          <w:b/>
        </w:rPr>
        <w:t>Display Textually</w:t>
      </w:r>
      <w:r w:rsidRPr="00E430A0">
        <w:t xml:space="preserve"> </w:t>
      </w:r>
      <w:r>
        <w:rPr>
          <w:noProof/>
        </w:rPr>
        <w:drawing>
          <wp:inline distT="0" distB="0" distL="0" distR="0" wp14:anchorId="221F771B" wp14:editId="50B4C960">
            <wp:extent cx="152400" cy="152400"/>
            <wp:effectExtent l="0" t="0" r="0" b="0"/>
            <wp:docPr id="2269" name="Picture 2269" desc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t xml:space="preserve"> icon on the toolbar</w:t>
      </w:r>
      <w:r w:rsidRPr="00E430A0">
        <w:t xml:space="preserve">. </w:t>
      </w:r>
      <w:r>
        <w:t>A Mission Textual View</w:t>
      </w:r>
      <w:r w:rsidRPr="00E430A0">
        <w:rPr>
          <w:i/>
        </w:rPr>
        <w:t xml:space="preserve"> </w:t>
      </w:r>
      <w:r w:rsidRPr="00E430A0">
        <w:t>window for each of the selected list view items is displayed.</w:t>
      </w:r>
      <w:r>
        <w:t xml:space="preserve"> </w:t>
      </w:r>
    </w:p>
    <w:p w14:paraId="2DDCB24E" w14:textId="77777777" w:rsidR="006811F5" w:rsidRPr="00E430A0" w:rsidRDefault="006811F5" w:rsidP="006811F5">
      <w:pPr>
        <w:pStyle w:val="Number0205"/>
        <w:tabs>
          <w:tab w:val="left" w:pos="720"/>
        </w:tabs>
        <w:ind w:left="0" w:firstLine="0"/>
      </w:pPr>
      <w:r w:rsidRPr="00E430A0">
        <w:t xml:space="preserve">To view the selected </w:t>
      </w:r>
      <w:r>
        <w:t>LPMP</w:t>
      </w:r>
      <w:r w:rsidRPr="00E430A0">
        <w:t xml:space="preserve"> </w:t>
      </w:r>
      <w:r>
        <w:t>geographically</w:t>
      </w:r>
      <w:r w:rsidRPr="00E430A0">
        <w:t>:</w:t>
      </w:r>
    </w:p>
    <w:p w14:paraId="47FED7B1" w14:textId="1802463D" w:rsidR="00403162" w:rsidRPr="00BB4EBE" w:rsidRDefault="006811F5" w:rsidP="00BB4EBE">
      <w:pPr>
        <w:pStyle w:val="Number0205"/>
        <w:tabs>
          <w:tab w:val="left" w:pos="720"/>
        </w:tabs>
        <w:ind w:left="907" w:firstLine="0"/>
      </w:pPr>
      <w:r w:rsidRPr="00E430A0">
        <w:t xml:space="preserve">From the </w:t>
      </w:r>
      <w:r w:rsidRPr="00E430A0">
        <w:rPr>
          <w:b/>
        </w:rPr>
        <w:t>File</w:t>
      </w:r>
      <w:r w:rsidRPr="00E430A0">
        <w:t xml:space="preserve"> menu select </w:t>
      </w:r>
      <w:r w:rsidRPr="00E430A0">
        <w:rPr>
          <w:b/>
        </w:rPr>
        <w:t xml:space="preserve">Display </w:t>
      </w:r>
      <w:r>
        <w:rPr>
          <w:b/>
        </w:rPr>
        <w:sym w:font="Wingdings 3" w:char="F07D"/>
      </w:r>
      <w:r w:rsidRPr="00FF10F2">
        <w:rPr>
          <w:b/>
        </w:rPr>
        <w:t xml:space="preserve"> </w:t>
      </w:r>
      <w:r w:rsidR="00844DEA">
        <w:rPr>
          <w:b/>
        </w:rPr>
        <w:t>Geographically</w:t>
      </w:r>
      <w:r w:rsidR="00844DEA" w:rsidRPr="00FF10F2">
        <w:t xml:space="preserve"> or</w:t>
      </w:r>
      <w:r w:rsidRPr="00FF10F2">
        <w:t xml:space="preserve"> invoke the context menu (right click the mouse) and select </w:t>
      </w:r>
      <w:r w:rsidRPr="00E430A0">
        <w:rPr>
          <w:b/>
          <w:bCs/>
        </w:rPr>
        <w:t xml:space="preserve">Display </w:t>
      </w:r>
      <w:r>
        <w:rPr>
          <w:b/>
        </w:rPr>
        <w:sym w:font="Wingdings 3" w:char="F07D"/>
      </w:r>
      <w:r w:rsidRPr="00E430A0">
        <w:rPr>
          <w:b/>
          <w:bCs/>
        </w:rPr>
        <w:t xml:space="preserve"> </w:t>
      </w:r>
      <w:r w:rsidR="008D3BEA">
        <w:rPr>
          <w:b/>
        </w:rPr>
        <w:t>Geographically</w:t>
      </w:r>
      <w:r w:rsidR="008D3BEA" w:rsidRPr="00E430A0">
        <w:t xml:space="preserve"> or</w:t>
      </w:r>
      <w:r w:rsidRPr="00E430A0">
        <w:t xml:space="preserve"> click the </w:t>
      </w:r>
      <w:r w:rsidRPr="00E430A0">
        <w:rPr>
          <w:b/>
        </w:rPr>
        <w:t xml:space="preserve">Display </w:t>
      </w:r>
      <w:r>
        <w:rPr>
          <w:b/>
        </w:rPr>
        <w:lastRenderedPageBreak/>
        <w:t>Geographically</w:t>
      </w:r>
      <w:r w:rsidRPr="00E430A0">
        <w:t xml:space="preserve"> </w:t>
      </w:r>
      <w:r>
        <w:rPr>
          <w:noProof/>
        </w:rPr>
        <w:drawing>
          <wp:inline distT="0" distB="0" distL="0" distR="0" wp14:anchorId="55820729" wp14:editId="429E5A11">
            <wp:extent cx="152400" cy="152400"/>
            <wp:effectExtent l="0" t="0" r="0" b="0"/>
            <wp:docPr id="2277" name="Picture 2277" desc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t xml:space="preserve"> icon on the toolbar</w:t>
      </w:r>
      <w:r w:rsidRPr="00E430A0">
        <w:t xml:space="preserve">. </w:t>
      </w:r>
      <w:r>
        <w:t>The Geo Display Tool will open with the LPMP Mission</w:t>
      </w:r>
      <w:r w:rsidRPr="00E430A0">
        <w:t>.</w:t>
      </w:r>
      <w:r>
        <w:t xml:space="preserve"> To differentiate from a Tlam Mission, the GOM’s line item is tagged with “(LPMP)”.</w:t>
      </w:r>
    </w:p>
    <w:p w14:paraId="16A5718D" w14:textId="77777777" w:rsidR="00403162" w:rsidRPr="00BB4EBE" w:rsidRDefault="00403162" w:rsidP="00403162">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BB4EBE">
        <w:rPr>
          <w:b/>
          <w:szCs w:val="24"/>
        </w:rPr>
        <w:t>Note:</w:t>
      </w:r>
    </w:p>
    <w:p w14:paraId="24A4FD82" w14:textId="3BC92F4F" w:rsidR="00403162" w:rsidRPr="00BB4EBE" w:rsidRDefault="00403162" w:rsidP="00BB4EBE">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BB4EBE">
        <w:rPr>
          <w:b/>
          <w:bCs/>
        </w:rPr>
        <w:t xml:space="preserve">TMPC 7.0.3 can’t create 109M LMOs and </w:t>
      </w:r>
      <w:r w:rsidR="00E971E8" w:rsidRPr="00BB4EBE">
        <w:rPr>
          <w:b/>
          <w:bCs/>
        </w:rPr>
        <w:t>LPMPs but</w:t>
      </w:r>
      <w:r w:rsidRPr="00BB4EBE">
        <w:rPr>
          <w:b/>
          <w:bCs/>
        </w:rPr>
        <w:t xml:space="preserve"> can receive them from TMPC 8.0.0. Received 109M LMOs and LPMPs will have limited capabilities in TMPC 7.0.3. </w:t>
      </w:r>
    </w:p>
    <w:p w14:paraId="50D884A5" w14:textId="505790C2" w:rsidR="0078503C" w:rsidRPr="000665B0" w:rsidRDefault="0078503C" w:rsidP="00597636">
      <w:pPr>
        <w:pStyle w:val="Heading3"/>
        <w:rPr>
          <w:caps/>
        </w:rPr>
      </w:pPr>
      <w:bookmarkStart w:id="6440" w:name="_Toc289328886"/>
      <w:bookmarkStart w:id="6441" w:name="_Toc312332070"/>
      <w:bookmarkStart w:id="6442" w:name="_Toc214283562"/>
      <w:r w:rsidRPr="000665B0">
        <w:t>Attachments</w:t>
      </w:r>
      <w:bookmarkEnd w:id="6436"/>
      <w:bookmarkEnd w:id="6437"/>
      <w:bookmarkEnd w:id="6438"/>
      <w:bookmarkEnd w:id="6439"/>
      <w:bookmarkEnd w:id="6440"/>
      <w:bookmarkEnd w:id="6441"/>
      <w:bookmarkEnd w:id="6442"/>
    </w:p>
    <w:p w14:paraId="1D65963C" w14:textId="7DF10BAC" w:rsidR="00EF1355" w:rsidRPr="000665B0" w:rsidRDefault="00EF1355" w:rsidP="00474A1F">
      <w:pPr>
        <w:tabs>
          <w:tab w:val="left" w:pos="720"/>
        </w:tabs>
      </w:pPr>
      <w:bookmarkStart w:id="6443" w:name="_Toc96170301"/>
      <w:bookmarkStart w:id="6444" w:name="_Toc96234346"/>
      <w:bookmarkStart w:id="6445" w:name="_Toc112733766"/>
      <w:r w:rsidRPr="000665B0">
        <w:t xml:space="preserve">The </w:t>
      </w:r>
      <w:r w:rsidRPr="000665B0">
        <w:rPr>
          <w:b/>
        </w:rPr>
        <w:t>Attachments</w:t>
      </w:r>
      <w:r w:rsidRPr="000665B0">
        <w:t xml:space="preserve"> </w:t>
      </w:r>
      <w:r w:rsidR="005406CE" w:rsidRPr="000665B0">
        <w:t xml:space="preserve">is a Strike Folder tool that </w:t>
      </w:r>
      <w:r w:rsidRPr="000665B0">
        <w:t xml:space="preserve">is used to attach and organize </w:t>
      </w:r>
      <w:r w:rsidR="0068065E" w:rsidRPr="000665B0">
        <w:t>strike-</w:t>
      </w:r>
      <w:r w:rsidRPr="000665B0">
        <w:t xml:space="preserve">related files. The attached files can be any type of files. </w:t>
      </w:r>
    </w:p>
    <w:p w14:paraId="5D41405B" w14:textId="77777777" w:rsidR="00EF1355" w:rsidRPr="000665B0" w:rsidRDefault="00EF1355" w:rsidP="00474A1F">
      <w:pPr>
        <w:tabs>
          <w:tab w:val="left" w:pos="720"/>
        </w:tabs>
      </w:pPr>
      <w:r w:rsidRPr="000665B0">
        <w:t>Additionally, the Attachments tool is a holding area for LPMP Missions received from TTWCS. When a</w:t>
      </w:r>
      <w:r w:rsidR="0068065E" w:rsidRPr="000665B0">
        <w:t>n</w:t>
      </w:r>
      <w:r w:rsidRPr="000665B0">
        <w:t xml:space="preserve"> LPMP Mission is processed, the DDO installer will attach the decoded LPMP Mission’s detail XML</w:t>
      </w:r>
      <w:r w:rsidR="007A61DF" w:rsidRPr="000665B0">
        <w:t xml:space="preserve"> file</w:t>
      </w:r>
      <w:r w:rsidRPr="000665B0">
        <w:t xml:space="preserve"> to the Attachments for the Strike Folder identified in the MIO </w:t>
      </w:r>
      <w:r w:rsidR="007A61DF" w:rsidRPr="000665B0">
        <w:t xml:space="preserve">(only </w:t>
      </w:r>
      <w:r w:rsidR="001C6D19" w:rsidRPr="000665B0">
        <w:t>109E</w:t>
      </w:r>
      <w:r w:rsidRPr="000665B0">
        <w:t xml:space="preserve"> LPMP Mission</w:t>
      </w:r>
      <w:r w:rsidR="007A61DF" w:rsidRPr="000665B0">
        <w:t>s</w:t>
      </w:r>
      <w:r w:rsidRPr="000665B0">
        <w:t xml:space="preserve"> contain a MIO</w:t>
      </w:r>
      <w:r w:rsidR="007A61DF" w:rsidRPr="000665B0">
        <w:t>)</w:t>
      </w:r>
      <w:r w:rsidRPr="000665B0">
        <w:t xml:space="preserve">. Because the associated Strike Option ID is identified in the MIO </w:t>
      </w:r>
      <w:r w:rsidR="00A07982" w:rsidRPr="000665B0">
        <w:t xml:space="preserve">(which is </w:t>
      </w:r>
      <w:r w:rsidRPr="000665B0">
        <w:t xml:space="preserve">not </w:t>
      </w:r>
      <w:r w:rsidR="00A07982" w:rsidRPr="000665B0">
        <w:t>contained in a Block III</w:t>
      </w:r>
      <w:r w:rsidRPr="000665B0">
        <w:t xml:space="preserve"> LPMP Mission</w:t>
      </w:r>
      <w:r w:rsidR="00A07982" w:rsidRPr="000665B0">
        <w:t>)</w:t>
      </w:r>
      <w:r w:rsidRPr="000665B0">
        <w:t xml:space="preserve">, Block III LPMP Missions are not automatically attached to the Strike Folder. </w:t>
      </w:r>
      <w:r w:rsidR="00A07982" w:rsidRPr="000665B0">
        <w:t xml:space="preserve">Instead, </w:t>
      </w:r>
      <w:r w:rsidRPr="000665B0">
        <w:t>Block III LPMP Missions are installed into the MDS’ temporary directory.</w:t>
      </w:r>
    </w:p>
    <w:p w14:paraId="2B4EC49E" w14:textId="77777777" w:rsidR="00EF1355" w:rsidRPr="000665B0" w:rsidRDefault="00EF1355" w:rsidP="00474A1F">
      <w:pPr>
        <w:tabs>
          <w:tab w:val="left" w:pos="720"/>
        </w:tabs>
      </w:pPr>
      <w:r w:rsidRPr="000665B0">
        <w:t xml:space="preserve">By default, the Attachments tool’s classification is set to Unclassified. Adding general files to the Attachments will not automatically </w:t>
      </w:r>
      <w:r w:rsidR="0068065E" w:rsidRPr="000665B0">
        <w:t>change</w:t>
      </w:r>
      <w:r w:rsidRPr="000665B0">
        <w:t xml:space="preserve"> the tool’s classification. The operator must manually </w:t>
      </w:r>
      <w:r w:rsidR="0068065E" w:rsidRPr="000665B0">
        <w:t>upgrade</w:t>
      </w:r>
      <w:r w:rsidRPr="000665B0">
        <w:t xml:space="preserve"> the classification when material with higher classification is attached to the Strike Folder. This is because any type of file can be added to the Attachments and the files may or may not contain any classification</w:t>
      </w:r>
      <w:r w:rsidR="0068065E" w:rsidRPr="000665B0">
        <w:t>.</w:t>
      </w:r>
      <w:r w:rsidRPr="000665B0">
        <w:t xml:space="preserve"> </w:t>
      </w:r>
      <w:r w:rsidR="0068065E" w:rsidRPr="000665B0">
        <w:t xml:space="preserve">Since </w:t>
      </w:r>
      <w:r w:rsidRPr="000665B0">
        <w:t>MDS has no way of determining each file’s classification</w:t>
      </w:r>
      <w:r w:rsidR="0068065E" w:rsidRPr="000665B0">
        <w:t>, it is up to the operator to correctly set the classification level</w:t>
      </w:r>
      <w:r w:rsidRPr="000665B0">
        <w:t xml:space="preserve">. The exception is </w:t>
      </w:r>
      <w:r w:rsidR="00994F21" w:rsidRPr="000665B0">
        <w:t xml:space="preserve">an </w:t>
      </w:r>
      <w:r w:rsidRPr="000665B0">
        <w:t xml:space="preserve">LPMP Mission. Because </w:t>
      </w:r>
      <w:r w:rsidR="00994F21" w:rsidRPr="000665B0">
        <w:t xml:space="preserve">an </w:t>
      </w:r>
      <w:r w:rsidRPr="000665B0">
        <w:t xml:space="preserve">LPMP Mission </w:t>
      </w:r>
      <w:r w:rsidR="00994F21" w:rsidRPr="000665B0">
        <w:t xml:space="preserve">has a </w:t>
      </w:r>
      <w:r w:rsidRPr="000665B0">
        <w:t xml:space="preserve">classification and it’s an explicit supported data type, the Attachment’s classification will be </w:t>
      </w:r>
      <w:r w:rsidR="00994F21" w:rsidRPr="000665B0">
        <w:t>automatically upgraded</w:t>
      </w:r>
      <w:r w:rsidRPr="000665B0">
        <w:t xml:space="preserve"> if the attached LPMP Mission </w:t>
      </w:r>
      <w:r w:rsidR="00994F21" w:rsidRPr="000665B0">
        <w:t xml:space="preserve">has </w:t>
      </w:r>
      <w:r w:rsidRPr="000665B0">
        <w:t>a higher classification.</w:t>
      </w:r>
    </w:p>
    <w:p w14:paraId="07D9A7E9" w14:textId="77777777" w:rsidR="00A07982" w:rsidRPr="000665B0" w:rsidRDefault="004D6FF6" w:rsidP="000B625E">
      <w:pPr>
        <w:pBdr>
          <w:top w:val="single" w:sz="12" w:space="1" w:color="auto"/>
          <w:left w:val="single" w:sz="12" w:space="4" w:color="auto"/>
          <w:bottom w:val="single" w:sz="12" w:space="1" w:color="auto"/>
          <w:right w:val="single" w:sz="12" w:space="4" w:color="auto"/>
        </w:pBdr>
        <w:shd w:val="clear" w:color="auto" w:fill="D9D9D9"/>
        <w:ind w:right="90"/>
        <w:jc w:val="center"/>
        <w:rPr>
          <w:b/>
        </w:rPr>
      </w:pPr>
      <w:r w:rsidRPr="000665B0">
        <w:rPr>
          <w:b/>
        </w:rPr>
        <w:t>Note:</w:t>
      </w:r>
      <w:r w:rsidR="00A07982" w:rsidRPr="000665B0">
        <w:rPr>
          <w:b/>
        </w:rPr>
        <w:br/>
        <w:t>Attachment file names cannot exceed 60 characters, including the file name’s extension. The file size of all Attachments must be less than 15MB.</w:t>
      </w:r>
    </w:p>
    <w:p w14:paraId="440B4633" w14:textId="77777777" w:rsidR="0078503C" w:rsidRPr="000665B0" w:rsidRDefault="0078503C" w:rsidP="00474A1F">
      <w:pPr>
        <w:tabs>
          <w:tab w:val="left" w:pos="720"/>
        </w:tabs>
      </w:pPr>
      <w:r w:rsidRPr="000665B0">
        <w:t>To view the Attachments:</w:t>
      </w:r>
    </w:p>
    <w:p w14:paraId="7F90E0F9" w14:textId="77777777" w:rsidR="00994F21" w:rsidRPr="000665B0" w:rsidRDefault="0078503C" w:rsidP="006D5A65">
      <w:pPr>
        <w:pStyle w:val="Heading1"/>
      </w:pPr>
      <w:r w:rsidRPr="000665B0">
        <w:lastRenderedPageBreak/>
        <w:t xml:space="preserve">From the main </w:t>
      </w:r>
      <w:r w:rsidRPr="000665B0">
        <w:rPr>
          <w:i/>
          <w:iCs/>
        </w:rPr>
        <w:t>Strike Folder</w:t>
      </w:r>
      <w:r w:rsidR="00994F21" w:rsidRPr="000665B0">
        <w:rPr>
          <w:i/>
          <w:iCs/>
        </w:rPr>
        <w:t>s</w:t>
      </w:r>
      <w:r w:rsidRPr="000665B0">
        <w:t xml:space="preserve"> window</w:t>
      </w:r>
      <w:r w:rsidR="00994F21" w:rsidRPr="000665B0">
        <w:t xml:space="preserve"> highlight the appropriate Strike Folder.</w:t>
      </w:r>
    </w:p>
    <w:p w14:paraId="7413B77A" w14:textId="62721B87" w:rsidR="00994F21" w:rsidRPr="000665B0" w:rsidRDefault="0037038E" w:rsidP="006D5A65">
      <w:pPr>
        <w:pStyle w:val="Heading1"/>
      </w:pPr>
      <w:r w:rsidRPr="000665B0">
        <w:t>Double-click</w:t>
      </w:r>
      <w:r w:rsidR="00994F21" w:rsidRPr="000665B0">
        <w:t xml:space="preserve"> to display the Strike Folder </w:t>
      </w:r>
      <w:r w:rsidR="00844DEA" w:rsidRPr="000665B0">
        <w:t>textually or</w:t>
      </w:r>
      <w:r w:rsidR="00994F21" w:rsidRPr="000665B0">
        <w:t xml:space="preserve"> invoke the context menu (</w:t>
      </w:r>
      <w:r w:rsidR="00D71804" w:rsidRPr="000665B0">
        <w:t>right-click</w:t>
      </w:r>
      <w:r w:rsidR="00994F21" w:rsidRPr="000665B0">
        <w:t xml:space="preserve"> the mouse) and select Display </w:t>
      </w:r>
      <w:r w:rsidR="00994F21" w:rsidRPr="000665B0">
        <w:sym w:font="Wingdings 3" w:char="F07D"/>
      </w:r>
      <w:r w:rsidR="00994F21" w:rsidRPr="000665B0">
        <w:t xml:space="preserve"> </w:t>
      </w:r>
      <w:r w:rsidR="00E971E8" w:rsidRPr="000665B0">
        <w:t>Textually or</w:t>
      </w:r>
      <w:r w:rsidR="00994F21" w:rsidRPr="000665B0">
        <w:t xml:space="preserve"> select File </w:t>
      </w:r>
      <w:r w:rsidR="00994F21" w:rsidRPr="000665B0">
        <w:sym w:font="Wingdings" w:char="F0E0"/>
      </w:r>
      <w:r w:rsidR="00994F21" w:rsidRPr="000665B0">
        <w:t xml:space="preserve"> Display </w:t>
      </w:r>
      <w:r w:rsidR="00994F21" w:rsidRPr="000665B0">
        <w:sym w:font="Wingdings 3" w:char="F07D"/>
      </w:r>
      <w:r w:rsidR="00994F21" w:rsidRPr="000665B0">
        <w:t xml:space="preserve"> Textually. </w:t>
      </w:r>
    </w:p>
    <w:p w14:paraId="3372A973" w14:textId="1B02A643" w:rsidR="0078503C" w:rsidRPr="000665B0" w:rsidRDefault="00994F21" w:rsidP="006D5A65">
      <w:pPr>
        <w:pStyle w:val="Heading1"/>
      </w:pPr>
      <w:r w:rsidRPr="000665B0">
        <w:t>From the</w:t>
      </w:r>
      <w:r w:rsidRPr="000665B0">
        <w:rPr>
          <w:i/>
        </w:rPr>
        <w:t xml:space="preserve"> Strike Folder xxxxx-xxxxx</w:t>
      </w:r>
      <w:r w:rsidRPr="000665B0">
        <w:t xml:space="preserve"> window, </w:t>
      </w:r>
      <w:r w:rsidR="0037038E" w:rsidRPr="000665B0">
        <w:t>double-click</w:t>
      </w:r>
      <w:r w:rsidR="0078503C" w:rsidRPr="000665B0">
        <w:t xml:space="preserve"> the </w:t>
      </w:r>
      <w:r w:rsidR="0078503C" w:rsidRPr="000665B0">
        <w:rPr>
          <w:bCs/>
        </w:rPr>
        <w:t xml:space="preserve">Attachments </w:t>
      </w:r>
      <w:r w:rsidR="009A1FDF" w:rsidRPr="000665B0">
        <w:rPr>
          <w:bCs/>
          <w:noProof/>
        </w:rPr>
        <w:drawing>
          <wp:inline distT="0" distB="0" distL="0" distR="0" wp14:anchorId="7EDCDC91" wp14:editId="4FF2111F">
            <wp:extent cx="209550" cy="209550"/>
            <wp:effectExtent l="19050" t="0" r="0" b="0"/>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cstate="print"/>
                    <a:srcRect/>
                    <a:stretch>
                      <a:fillRect/>
                    </a:stretch>
                  </pic:blipFill>
                  <pic:spPr bwMode="auto">
                    <a:xfrm>
                      <a:off x="0" y="0"/>
                      <a:ext cx="209550" cy="209550"/>
                    </a:xfrm>
                    <a:prstGeom prst="rect">
                      <a:avLst/>
                    </a:prstGeom>
                    <a:noFill/>
                    <a:ln w="9525">
                      <a:noFill/>
                      <a:miter lim="800000"/>
                      <a:headEnd/>
                      <a:tailEnd/>
                    </a:ln>
                  </pic:spPr>
                </pic:pic>
              </a:graphicData>
            </a:graphic>
          </wp:inline>
        </w:drawing>
      </w:r>
      <w:r w:rsidR="0078503C" w:rsidRPr="000665B0">
        <w:rPr>
          <w:bCs/>
        </w:rPr>
        <w:t xml:space="preserve"> </w:t>
      </w:r>
      <w:r w:rsidR="0078503C" w:rsidRPr="000665B0">
        <w:t xml:space="preserve">icon. The </w:t>
      </w:r>
      <w:r w:rsidR="0078503C" w:rsidRPr="000665B0">
        <w:rPr>
          <w:i/>
        </w:rPr>
        <w:t>Attachments for Strike Folder: xxxxx-xxxxx</w:t>
      </w:r>
      <w:r w:rsidR="0078503C" w:rsidRPr="000665B0">
        <w:t xml:space="preserve"> window </w:t>
      </w:r>
      <w:r w:rsidR="00F32494" w:rsidRPr="000665B0">
        <w:t>is</w:t>
      </w:r>
      <w:r w:rsidR="0078503C" w:rsidRPr="000665B0">
        <w:t xml:space="preserve"> displayed.</w:t>
      </w:r>
    </w:p>
    <w:p w14:paraId="50DB6A6E" w14:textId="622264A3" w:rsidR="0078503C" w:rsidRPr="000665B0" w:rsidRDefault="00994F21" w:rsidP="00474A1F">
      <w:pPr>
        <w:tabs>
          <w:tab w:val="left" w:pos="720"/>
        </w:tabs>
        <w:jc w:val="center"/>
        <w:rPr>
          <w:noProof/>
        </w:rPr>
      </w:pPr>
      <w:r w:rsidRPr="000665B0">
        <w:rPr>
          <w:noProof/>
        </w:rPr>
        <w:t xml:space="preserve"> </w:t>
      </w:r>
      <w:r w:rsidR="007855BD" w:rsidRPr="000665B0">
        <w:rPr>
          <w:noProof/>
        </w:rPr>
        <w:drawing>
          <wp:inline distT="0" distB="0" distL="0" distR="0" wp14:anchorId="304A4465" wp14:editId="1A2FC63F">
            <wp:extent cx="2728147" cy="2209800"/>
            <wp:effectExtent l="0" t="0" r="0" b="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38760" cy="2218396"/>
                    </a:xfrm>
                    <a:prstGeom prst="rect">
                      <a:avLst/>
                    </a:prstGeom>
                  </pic:spPr>
                </pic:pic>
              </a:graphicData>
            </a:graphic>
          </wp:inline>
        </w:drawing>
      </w:r>
    </w:p>
    <w:p w14:paraId="0C8EED02" w14:textId="37828BBA" w:rsidR="00994F21" w:rsidRPr="000665B0" w:rsidRDefault="00994F21" w:rsidP="006D5A65">
      <w:pPr>
        <w:pStyle w:val="Heading1"/>
      </w:pPr>
      <w:r w:rsidRPr="000665B0">
        <w:t xml:space="preserve">If it is required to change the classification, click the </w:t>
      </w:r>
      <w:r w:rsidRPr="000665B0">
        <w:rPr>
          <w:bCs/>
        </w:rPr>
        <w:t>EDIT</w:t>
      </w:r>
      <w:r w:rsidRPr="000665B0">
        <w:t xml:space="preserve"> </w:t>
      </w:r>
      <w:r w:rsidR="00844DEA" w:rsidRPr="000665B0">
        <w:t>button,</w:t>
      </w:r>
      <w:r w:rsidRPr="000665B0">
        <w:t xml:space="preserve"> and select the classification from the drop-down menu of the </w:t>
      </w:r>
      <w:r w:rsidRPr="000665B0">
        <w:rPr>
          <w:i/>
          <w:iCs/>
        </w:rPr>
        <w:t>Edit Classification</w:t>
      </w:r>
      <w:r w:rsidRPr="000665B0">
        <w:t xml:space="preserve"> window. For information on editing the classification see </w:t>
      </w:r>
      <w:hyperlink w:anchor="_5.2.7__Edit" w:history="1">
        <w:r w:rsidRPr="000665B0">
          <w:rPr>
            <w:color w:val="0000FF"/>
            <w:u w:val="single"/>
          </w:rPr>
          <w:t>Section 5.2.7</w:t>
        </w:r>
      </w:hyperlink>
      <w:r w:rsidRPr="000665B0">
        <w:t>.</w:t>
      </w:r>
    </w:p>
    <w:p w14:paraId="6227208B" w14:textId="77777777" w:rsidR="0078503C" w:rsidRPr="000665B0" w:rsidRDefault="0078503C" w:rsidP="00474A1F">
      <w:pPr>
        <w:tabs>
          <w:tab w:val="left" w:pos="720"/>
        </w:tabs>
      </w:pPr>
      <w:r w:rsidRPr="000665B0">
        <w:t>To attach files:</w:t>
      </w:r>
    </w:p>
    <w:p w14:paraId="121864E4" w14:textId="77777777" w:rsidR="0078503C" w:rsidRPr="000665B0" w:rsidRDefault="0078503C" w:rsidP="006D5A65">
      <w:pPr>
        <w:pStyle w:val="Heading1"/>
      </w:pPr>
      <w:r w:rsidRPr="000665B0">
        <w:t xml:space="preserve">From the File or Context menu, select </w:t>
      </w:r>
      <w:r w:rsidRPr="000665B0">
        <w:rPr>
          <w:bCs/>
        </w:rPr>
        <w:t xml:space="preserve">Add </w:t>
      </w:r>
      <w:r w:rsidR="00994F21" w:rsidRPr="000665B0">
        <w:sym w:font="Wingdings 3" w:char="F07D"/>
      </w:r>
      <w:r w:rsidRPr="000665B0">
        <w:rPr>
          <w:bCs/>
        </w:rPr>
        <w:t xml:space="preserve"> </w:t>
      </w:r>
      <w:r w:rsidRPr="000665B0">
        <w:t>Files</w:t>
      </w:r>
      <w:r w:rsidR="00994F21" w:rsidRPr="000665B0">
        <w:t>…</w:t>
      </w:r>
      <w:r w:rsidRPr="000665B0">
        <w:t xml:space="preserve">. An </w:t>
      </w:r>
      <w:r w:rsidRPr="000665B0">
        <w:rPr>
          <w:i/>
        </w:rPr>
        <w:t xml:space="preserve">Attach File(s) </w:t>
      </w:r>
      <w:r w:rsidRPr="000665B0">
        <w:t xml:space="preserve">window </w:t>
      </w:r>
      <w:r w:rsidR="00F32494" w:rsidRPr="000665B0">
        <w:t>is</w:t>
      </w:r>
      <w:r w:rsidRPr="000665B0">
        <w:t xml:space="preserve"> displayed.</w:t>
      </w:r>
    </w:p>
    <w:p w14:paraId="4CE343FD" w14:textId="5C7BB2CE" w:rsidR="0078503C" w:rsidRPr="000665B0" w:rsidRDefault="007855BD" w:rsidP="00474A1F">
      <w:pPr>
        <w:tabs>
          <w:tab w:val="left" w:pos="720"/>
        </w:tabs>
        <w:jc w:val="center"/>
      </w:pPr>
      <w:r w:rsidRPr="000665B0">
        <w:rPr>
          <w:noProof/>
        </w:rPr>
        <w:drawing>
          <wp:inline distT="0" distB="0" distL="0" distR="0" wp14:anchorId="4B6C1339" wp14:editId="1F0D266C">
            <wp:extent cx="4114800" cy="2011680"/>
            <wp:effectExtent l="0" t="0" r="0" b="7620"/>
            <wp:docPr id="1957" name="Picture 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011680"/>
                    </a:xfrm>
                    <a:prstGeom prst="rect">
                      <a:avLst/>
                    </a:prstGeom>
                  </pic:spPr>
                </pic:pic>
              </a:graphicData>
            </a:graphic>
          </wp:inline>
        </w:drawing>
      </w:r>
    </w:p>
    <w:p w14:paraId="45B40D7D" w14:textId="77777777" w:rsidR="0078503C" w:rsidRPr="000665B0" w:rsidRDefault="0078503C" w:rsidP="006D5A65">
      <w:pPr>
        <w:pStyle w:val="Heading1"/>
      </w:pPr>
      <w:r w:rsidRPr="000665B0">
        <w:lastRenderedPageBreak/>
        <w:t xml:space="preserve">Navigate to the desired file location, </w:t>
      </w:r>
      <w:r w:rsidR="00994F21" w:rsidRPr="000665B0">
        <w:t xml:space="preserve">select a file or </w:t>
      </w:r>
      <w:r w:rsidRPr="000665B0">
        <w:t>enter a file name</w:t>
      </w:r>
      <w:r w:rsidR="00994F21" w:rsidRPr="000665B0">
        <w:t>,</w:t>
      </w:r>
      <w:r w:rsidRPr="000665B0">
        <w:t xml:space="preserve"> and click the Open button.</w:t>
      </w:r>
    </w:p>
    <w:p w14:paraId="1A9F4730" w14:textId="77777777" w:rsidR="0078503C" w:rsidRPr="000665B0" w:rsidRDefault="0078503C" w:rsidP="009A2342">
      <w:pPr>
        <w:keepNext/>
        <w:tabs>
          <w:tab w:val="left" w:pos="720"/>
        </w:tabs>
      </w:pPr>
      <w:r w:rsidRPr="000665B0">
        <w:t xml:space="preserve">To </w:t>
      </w:r>
      <w:r w:rsidR="0068108A" w:rsidRPr="000665B0">
        <w:t xml:space="preserve">open </w:t>
      </w:r>
      <w:r w:rsidRPr="000665B0">
        <w:t>the attachment files:</w:t>
      </w:r>
    </w:p>
    <w:p w14:paraId="6B7AB9CD" w14:textId="77777777" w:rsidR="0078503C" w:rsidRPr="000665B0" w:rsidRDefault="0078503C" w:rsidP="006D5A65">
      <w:pPr>
        <w:pStyle w:val="Heading1"/>
      </w:pPr>
      <w:r w:rsidRPr="000665B0">
        <w:t xml:space="preserve">Select the attachment(s) from the </w:t>
      </w:r>
      <w:r w:rsidR="0068108A" w:rsidRPr="000665B0">
        <w:rPr>
          <w:i/>
        </w:rPr>
        <w:t>Attachments for Strike Folder: xxxxx-xxxxx</w:t>
      </w:r>
      <w:r w:rsidR="0068108A" w:rsidRPr="000665B0">
        <w:t xml:space="preserve"> window’s </w:t>
      </w:r>
      <w:r w:rsidRPr="000665B0">
        <w:t>list view to open.</w:t>
      </w:r>
    </w:p>
    <w:p w14:paraId="5E36E49B" w14:textId="45C1D0A4" w:rsidR="0068108A" w:rsidRPr="000665B0" w:rsidRDefault="0078503C" w:rsidP="006D5A65">
      <w:pPr>
        <w:pStyle w:val="Heading1"/>
      </w:pPr>
      <w:r w:rsidRPr="000665B0">
        <w:t xml:space="preserve">From the File or Context menu, select </w:t>
      </w:r>
      <w:r w:rsidRPr="000665B0">
        <w:rPr>
          <w:bCs/>
        </w:rPr>
        <w:t>Open</w:t>
      </w:r>
      <w:r w:rsidRPr="000665B0">
        <w:t xml:space="preserve"> or </w:t>
      </w:r>
      <w:r w:rsidR="0037038E" w:rsidRPr="000665B0">
        <w:t>double-click</w:t>
      </w:r>
      <w:r w:rsidRPr="000665B0">
        <w:t xml:space="preserve"> the</w:t>
      </w:r>
      <w:r w:rsidR="0068108A" w:rsidRPr="000665B0">
        <w:t xml:space="preserve"> attachment</w:t>
      </w:r>
      <w:r w:rsidRPr="000665B0">
        <w:t xml:space="preserve">. A Windows application, that is associated with the Attachment file type, </w:t>
      </w:r>
      <w:r w:rsidR="00F32494" w:rsidRPr="000665B0">
        <w:t>is</w:t>
      </w:r>
      <w:r w:rsidRPr="000665B0">
        <w:t xml:space="preserve"> displayed. For </w:t>
      </w:r>
      <w:r w:rsidR="00844DEA" w:rsidRPr="000665B0">
        <w:t>example,</w:t>
      </w:r>
      <w:r w:rsidRPr="000665B0">
        <w:t xml:space="preserve"> a file with a “.txt” extension will bring up a Notepad window.</w:t>
      </w:r>
    </w:p>
    <w:p w14:paraId="7AED0751" w14:textId="77777777" w:rsidR="0078503C" w:rsidRPr="000665B0" w:rsidRDefault="0078503C" w:rsidP="00474A1F">
      <w:pPr>
        <w:pStyle w:val="Number0205"/>
        <w:tabs>
          <w:tab w:val="left" w:pos="720"/>
        </w:tabs>
        <w:ind w:left="0" w:firstLine="0"/>
      </w:pPr>
      <w:r w:rsidRPr="000665B0">
        <w:t>To Display the LPMP Mission attachment textually:</w:t>
      </w:r>
    </w:p>
    <w:p w14:paraId="723E95AD" w14:textId="77777777" w:rsidR="0078503C" w:rsidRPr="000665B0" w:rsidRDefault="0078503C" w:rsidP="006D5A65">
      <w:pPr>
        <w:pStyle w:val="Heading1"/>
      </w:pPr>
      <w:r w:rsidRPr="000665B0">
        <w:t>Select one or more LPMP Mission attachments (the menu is only enabled when ONLY LPMP attachments are selected).</w:t>
      </w:r>
    </w:p>
    <w:p w14:paraId="6600F360" w14:textId="71867580" w:rsidR="0078503C" w:rsidRPr="000665B0" w:rsidRDefault="0078503C" w:rsidP="006D5A65">
      <w:pPr>
        <w:pStyle w:val="Heading1"/>
      </w:pPr>
      <w:r w:rsidRPr="000665B0">
        <w:t xml:space="preserve">From the File or Context menus, select Display </w:t>
      </w:r>
      <w:r w:rsidR="00E95A70" w:rsidRPr="000665B0">
        <w:sym w:font="Wingdings 3" w:char="F07D"/>
      </w:r>
      <w:r w:rsidRPr="000665B0">
        <w:t xml:space="preserve"> </w:t>
      </w:r>
      <w:r w:rsidR="001E3B29" w:rsidRPr="000665B0">
        <w:t>Textually</w:t>
      </w:r>
      <w:r w:rsidRPr="000665B0">
        <w:t>. A</w:t>
      </w:r>
      <w:r w:rsidR="00AD04B4" w:rsidRPr="000665B0">
        <w:t>n</w:t>
      </w:r>
      <w:r w:rsidRPr="000665B0">
        <w:t xml:space="preserve"> HTML viewer </w:t>
      </w:r>
      <w:r w:rsidR="00F32494" w:rsidRPr="000665B0">
        <w:t>is</w:t>
      </w:r>
      <w:r w:rsidRPr="000665B0">
        <w:t xml:space="preserve"> displayed with the LPMP Mission data.</w:t>
      </w:r>
    </w:p>
    <w:p w14:paraId="16D2CCE1" w14:textId="77777777" w:rsidR="0078503C" w:rsidRPr="000665B0" w:rsidRDefault="0078503C" w:rsidP="00474A1F">
      <w:pPr>
        <w:pStyle w:val="Number0205"/>
        <w:tabs>
          <w:tab w:val="left" w:pos="720"/>
        </w:tabs>
        <w:ind w:left="0" w:firstLine="0"/>
      </w:pPr>
      <w:r w:rsidRPr="000665B0">
        <w:t>To Save the LPMP Missions to a CRD format:</w:t>
      </w:r>
    </w:p>
    <w:p w14:paraId="300A8B90" w14:textId="77777777" w:rsidR="0078503C" w:rsidRPr="000665B0" w:rsidRDefault="0078503C" w:rsidP="006D5A65">
      <w:pPr>
        <w:pStyle w:val="Heading1"/>
      </w:pPr>
      <w:r w:rsidRPr="000665B0">
        <w:t>Select one or more LPMP Mission attachments (the menu is only enabled when ONLY LPMP attachments are selected).</w:t>
      </w:r>
    </w:p>
    <w:p w14:paraId="1F98D327" w14:textId="77777777" w:rsidR="0078503C" w:rsidRPr="000665B0" w:rsidRDefault="0078503C" w:rsidP="006D5A65">
      <w:pPr>
        <w:pStyle w:val="Heading1"/>
      </w:pPr>
      <w:r w:rsidRPr="000665B0">
        <w:t xml:space="preserve">From the File or Context menu, select Save As </w:t>
      </w:r>
      <w:r w:rsidR="00E95A70" w:rsidRPr="000665B0">
        <w:sym w:font="Wingdings 3" w:char="F07D"/>
      </w:r>
      <w:r w:rsidRPr="000665B0">
        <w:t xml:space="preserve"> Route </w:t>
      </w:r>
      <w:r w:rsidR="00A05D58" w:rsidRPr="000665B0">
        <w:sym w:font="Wingdings" w:char="F0E0"/>
      </w:r>
      <w:r w:rsidRPr="000665B0">
        <w:t xml:space="preserve"> Mission Based CRDxxx. A </w:t>
      </w:r>
      <w:r w:rsidRPr="000665B0">
        <w:rPr>
          <w:i/>
        </w:rPr>
        <w:t>Browse For Folder</w:t>
      </w:r>
      <w:r w:rsidRPr="000665B0">
        <w:t xml:space="preserve"> </w:t>
      </w:r>
      <w:r w:rsidR="00E95A70" w:rsidRPr="000665B0">
        <w:t xml:space="preserve">window </w:t>
      </w:r>
      <w:r w:rsidR="00F32494" w:rsidRPr="000665B0">
        <w:t>is</w:t>
      </w:r>
      <w:r w:rsidRPr="000665B0">
        <w:t xml:space="preserve"> displayed</w:t>
      </w:r>
      <w:r w:rsidR="00EE076C" w:rsidRPr="000665B0">
        <w:t xml:space="preserve"> </w:t>
      </w:r>
      <w:r w:rsidR="00EE076C" w:rsidRPr="000665B0">
        <w:rPr>
          <w:szCs w:val="24"/>
        </w:rPr>
        <w:t>with a prompt to select the directory to store the generated route files</w:t>
      </w:r>
      <w:r w:rsidRPr="000665B0">
        <w:t>.</w:t>
      </w:r>
    </w:p>
    <w:p w14:paraId="44E94FB7" w14:textId="131FAFBB" w:rsidR="0078503C" w:rsidRPr="000665B0" w:rsidRDefault="00FE4AB8" w:rsidP="00474A1F">
      <w:pPr>
        <w:tabs>
          <w:tab w:val="left" w:pos="720"/>
        </w:tabs>
        <w:jc w:val="center"/>
      </w:pPr>
      <w:r w:rsidRPr="000665B0">
        <w:rPr>
          <w:noProof/>
        </w:rPr>
        <w:drawing>
          <wp:inline distT="0" distB="0" distL="0" distR="0" wp14:anchorId="5C82363E" wp14:editId="11E48F12">
            <wp:extent cx="1607820" cy="1414882"/>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610794" cy="1417499"/>
                    </a:xfrm>
                    <a:prstGeom prst="rect">
                      <a:avLst/>
                    </a:prstGeom>
                  </pic:spPr>
                </pic:pic>
              </a:graphicData>
            </a:graphic>
          </wp:inline>
        </w:drawing>
      </w:r>
    </w:p>
    <w:p w14:paraId="45A4036F" w14:textId="77777777" w:rsidR="008306ED" w:rsidRPr="000665B0" w:rsidRDefault="008306ED" w:rsidP="006D5A65">
      <w:pPr>
        <w:pStyle w:val="Heading1"/>
      </w:pPr>
      <w:r w:rsidRPr="000665B0">
        <w:t xml:space="preserve">Navigate to the desired </w:t>
      </w:r>
      <w:r w:rsidR="00EE076C" w:rsidRPr="000665B0">
        <w:t>directory</w:t>
      </w:r>
      <w:r w:rsidRPr="000665B0">
        <w:t xml:space="preserve"> and click OK.</w:t>
      </w:r>
    </w:p>
    <w:p w14:paraId="40249F01" w14:textId="77777777" w:rsidR="0078503C" w:rsidRPr="000665B0" w:rsidRDefault="0078503C" w:rsidP="00474A1F">
      <w:pPr>
        <w:pStyle w:val="Number0205"/>
        <w:tabs>
          <w:tab w:val="left" w:pos="720"/>
        </w:tabs>
        <w:ind w:left="0" w:firstLine="0"/>
      </w:pPr>
      <w:r w:rsidRPr="000665B0">
        <w:t>To delete the attachment files:</w:t>
      </w:r>
    </w:p>
    <w:p w14:paraId="57F4AF7F" w14:textId="77777777" w:rsidR="0078503C" w:rsidRPr="000665B0" w:rsidRDefault="0078503C" w:rsidP="006D5A65">
      <w:pPr>
        <w:pStyle w:val="Heading1"/>
      </w:pPr>
      <w:r w:rsidRPr="000665B0">
        <w:t>Select the attachment file(s) to delete.</w:t>
      </w:r>
    </w:p>
    <w:p w14:paraId="60FD7593" w14:textId="77777777" w:rsidR="0078503C" w:rsidRPr="000665B0" w:rsidRDefault="0078503C" w:rsidP="006D5A65">
      <w:pPr>
        <w:pStyle w:val="Heading1"/>
      </w:pPr>
      <w:r w:rsidRPr="000665B0">
        <w:t xml:space="preserve">From the File or Context menu, select Delete. A confirmation dialog </w:t>
      </w:r>
      <w:r w:rsidR="00F32494" w:rsidRPr="000665B0">
        <w:t>is</w:t>
      </w:r>
      <w:r w:rsidRPr="000665B0">
        <w:t xml:space="preserve"> displayed to confirm the deletion of the selected files. Click on the Yes button to delete the attachment files.</w:t>
      </w:r>
    </w:p>
    <w:p w14:paraId="76946B74" w14:textId="3FC38327" w:rsidR="0078503C" w:rsidRPr="000665B0" w:rsidRDefault="007855BD" w:rsidP="00474A1F">
      <w:pPr>
        <w:tabs>
          <w:tab w:val="left" w:pos="720"/>
        </w:tabs>
        <w:jc w:val="center"/>
      </w:pPr>
      <w:r w:rsidRPr="000665B0">
        <w:rPr>
          <w:noProof/>
        </w:rPr>
        <w:drawing>
          <wp:inline distT="0" distB="0" distL="0" distR="0" wp14:anchorId="07B509A1" wp14:editId="6147095A">
            <wp:extent cx="2049780" cy="765251"/>
            <wp:effectExtent l="0" t="0" r="0" b="0"/>
            <wp:docPr id="2000" name="Picture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058141" cy="768372"/>
                    </a:xfrm>
                    <a:prstGeom prst="rect">
                      <a:avLst/>
                    </a:prstGeom>
                  </pic:spPr>
                </pic:pic>
              </a:graphicData>
            </a:graphic>
          </wp:inline>
        </w:drawing>
      </w:r>
    </w:p>
    <w:p w14:paraId="36EB464A" w14:textId="3A823E80" w:rsidR="0078503C" w:rsidRPr="000665B0" w:rsidRDefault="0078503C" w:rsidP="00474A1F">
      <w:pPr>
        <w:pStyle w:val="Heading3"/>
        <w:tabs>
          <w:tab w:val="left" w:pos="720"/>
        </w:tabs>
        <w:rPr>
          <w:caps/>
        </w:rPr>
      </w:pPr>
      <w:bookmarkStart w:id="6446" w:name="_Toc164499456"/>
      <w:bookmarkStart w:id="6447" w:name="_Toc289328887"/>
      <w:bookmarkStart w:id="6448" w:name="_Toc312332071"/>
      <w:bookmarkStart w:id="6449" w:name="_Toc214283563"/>
      <w:r w:rsidRPr="000665B0">
        <w:lastRenderedPageBreak/>
        <w:t>History Log</w:t>
      </w:r>
      <w:bookmarkEnd w:id="6396"/>
      <w:bookmarkEnd w:id="6443"/>
      <w:bookmarkEnd w:id="6444"/>
      <w:bookmarkEnd w:id="6445"/>
      <w:bookmarkEnd w:id="6446"/>
      <w:bookmarkEnd w:id="6447"/>
      <w:bookmarkEnd w:id="6448"/>
      <w:bookmarkEnd w:id="6449"/>
    </w:p>
    <w:p w14:paraId="7AF4562D" w14:textId="77777777" w:rsidR="00361983" w:rsidRPr="000665B0" w:rsidRDefault="005406CE" w:rsidP="00474A1F">
      <w:pPr>
        <w:pStyle w:val="BodyTextIndent2"/>
        <w:tabs>
          <w:tab w:val="left" w:pos="720"/>
        </w:tabs>
        <w:spacing w:line="240" w:lineRule="auto"/>
        <w:ind w:left="0"/>
      </w:pPr>
      <w:bookmarkStart w:id="6450" w:name="_Toc96170305"/>
      <w:bookmarkStart w:id="6451" w:name="_Toc96234350"/>
      <w:bookmarkStart w:id="6452" w:name="_Toc112733767"/>
      <w:bookmarkStart w:id="6453" w:name="_Toc164499457"/>
      <w:bookmarkStart w:id="6454" w:name="_Toc71955767"/>
      <w:r w:rsidRPr="000665B0">
        <w:t xml:space="preserve">The </w:t>
      </w:r>
      <w:r w:rsidRPr="000665B0">
        <w:rPr>
          <w:b/>
        </w:rPr>
        <w:t xml:space="preserve">History </w:t>
      </w:r>
      <w:r w:rsidRPr="000665B0">
        <w:t xml:space="preserve">Log is a Strike Folder tool that is used to view </w:t>
      </w:r>
      <w:r w:rsidR="00244AC1" w:rsidRPr="000665B0">
        <w:t>the history log of major changes made within the Strike Folder</w:t>
      </w:r>
      <w:r w:rsidRPr="000665B0">
        <w:t xml:space="preserve">. </w:t>
      </w:r>
      <w:r w:rsidR="00361983" w:rsidRPr="000665B0">
        <w:t xml:space="preserve">All changes to </w:t>
      </w:r>
      <w:r w:rsidRPr="000665B0">
        <w:t xml:space="preserve">each </w:t>
      </w:r>
      <w:r w:rsidR="00361983" w:rsidRPr="000665B0">
        <w:t xml:space="preserve">Strike Folder </w:t>
      </w:r>
      <w:r w:rsidR="002B0E4A" w:rsidRPr="000665B0">
        <w:t xml:space="preserve">are automatically recorded and </w:t>
      </w:r>
      <w:r w:rsidR="00361983" w:rsidRPr="000665B0">
        <w:t xml:space="preserve">can be viewed by </w:t>
      </w:r>
      <w:r w:rsidR="002B0E4A" w:rsidRPr="000665B0">
        <w:t>the operator</w:t>
      </w:r>
      <w:r w:rsidR="00361983" w:rsidRPr="000665B0">
        <w:t>. In addition, comments can be added to each change log.</w:t>
      </w:r>
    </w:p>
    <w:p w14:paraId="0A9AFFA0" w14:textId="77777777" w:rsidR="002B0E4A" w:rsidRPr="000665B0" w:rsidRDefault="002B0E4A" w:rsidP="00474A1F">
      <w:pPr>
        <w:tabs>
          <w:tab w:val="left" w:pos="720"/>
        </w:tabs>
      </w:pPr>
      <w:r w:rsidRPr="000665B0">
        <w:t>To view the History Log:</w:t>
      </w:r>
    </w:p>
    <w:p w14:paraId="774D5997" w14:textId="77777777" w:rsidR="002B0E4A" w:rsidRPr="000665B0" w:rsidRDefault="002B0E4A" w:rsidP="006D5A65">
      <w:pPr>
        <w:pStyle w:val="Heading1"/>
      </w:pPr>
      <w:r w:rsidRPr="000665B0">
        <w:t xml:space="preserve">From the main </w:t>
      </w:r>
      <w:r w:rsidRPr="000665B0">
        <w:rPr>
          <w:i/>
          <w:iCs/>
        </w:rPr>
        <w:t>Strike Folders</w:t>
      </w:r>
      <w:r w:rsidRPr="000665B0">
        <w:t xml:space="preserve"> window highlight the appropriate Strike Folder.</w:t>
      </w:r>
    </w:p>
    <w:p w14:paraId="6D72E618" w14:textId="097048D7" w:rsidR="002B0E4A" w:rsidRPr="000665B0" w:rsidRDefault="0037038E" w:rsidP="006D5A65">
      <w:pPr>
        <w:pStyle w:val="Heading1"/>
      </w:pPr>
      <w:r w:rsidRPr="000665B0">
        <w:t>Double-click</w:t>
      </w:r>
      <w:r w:rsidR="002B0E4A" w:rsidRPr="000665B0">
        <w:t xml:space="preserve"> to display the Strike Folder </w:t>
      </w:r>
      <w:r w:rsidR="00844DEA" w:rsidRPr="000665B0">
        <w:t>textually or</w:t>
      </w:r>
      <w:r w:rsidR="002B0E4A" w:rsidRPr="000665B0">
        <w:t xml:space="preserve"> invoke the context menu (</w:t>
      </w:r>
      <w:r w:rsidR="00D71804" w:rsidRPr="000665B0">
        <w:t>right-click</w:t>
      </w:r>
      <w:r w:rsidR="002B0E4A" w:rsidRPr="000665B0">
        <w:t xml:space="preserve"> the mouse) and select Display </w:t>
      </w:r>
      <w:r w:rsidR="002B0E4A" w:rsidRPr="000665B0">
        <w:sym w:font="Wingdings 3" w:char="F07D"/>
      </w:r>
      <w:r w:rsidR="002B0E4A" w:rsidRPr="000665B0">
        <w:t xml:space="preserve"> </w:t>
      </w:r>
      <w:r w:rsidR="00E971E8" w:rsidRPr="000665B0">
        <w:t>Textually or</w:t>
      </w:r>
      <w:r w:rsidR="002B0E4A" w:rsidRPr="000665B0">
        <w:t xml:space="preserve"> select File </w:t>
      </w:r>
      <w:r w:rsidR="002B0E4A" w:rsidRPr="000665B0">
        <w:sym w:font="Wingdings" w:char="F0E0"/>
      </w:r>
      <w:r w:rsidR="002B0E4A" w:rsidRPr="000665B0">
        <w:t xml:space="preserve"> Display </w:t>
      </w:r>
      <w:r w:rsidR="002B0E4A" w:rsidRPr="000665B0">
        <w:sym w:font="Wingdings 3" w:char="F07D"/>
      </w:r>
      <w:r w:rsidR="002B0E4A" w:rsidRPr="000665B0">
        <w:t xml:space="preserve"> Textually. </w:t>
      </w:r>
    </w:p>
    <w:p w14:paraId="6BF22AD1" w14:textId="6FC64F3F" w:rsidR="002B0E4A" w:rsidRPr="000665B0" w:rsidRDefault="002B0E4A" w:rsidP="006D5A65">
      <w:pPr>
        <w:pStyle w:val="Heading1"/>
      </w:pPr>
      <w:r w:rsidRPr="000665B0">
        <w:t>From the</w:t>
      </w:r>
      <w:r w:rsidRPr="000665B0">
        <w:rPr>
          <w:i/>
        </w:rPr>
        <w:t xml:space="preserve"> Strike Folder xxxxx-xxxxx</w:t>
      </w:r>
      <w:r w:rsidRPr="000665B0">
        <w:t xml:space="preserve"> window, </w:t>
      </w:r>
      <w:r w:rsidR="0037038E" w:rsidRPr="000665B0">
        <w:t>double-click</w:t>
      </w:r>
      <w:r w:rsidRPr="000665B0">
        <w:t xml:space="preserve"> the </w:t>
      </w:r>
      <w:r w:rsidRPr="000665B0">
        <w:rPr>
          <w:bCs/>
        </w:rPr>
        <w:t xml:space="preserve">History </w:t>
      </w:r>
      <w:r w:rsidRPr="000665B0">
        <w:rPr>
          <w:noProof/>
        </w:rPr>
        <w:drawing>
          <wp:inline distT="0" distB="0" distL="0" distR="0" wp14:anchorId="5344D5AA" wp14:editId="7C171550">
            <wp:extent cx="209550" cy="209550"/>
            <wp:effectExtent l="19050" t="0" r="0" b="0"/>
            <wp:docPr id="1059" name="Picture 1059" descr="StrikePlan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StrikePlanHistory"/>
                    <pic:cNvPicPr>
                      <a:picLocks noChangeAspect="1" noChangeArrowheads="1"/>
                    </pic:cNvPicPr>
                  </pic:nvPicPr>
                  <pic:blipFill>
                    <a:blip cstate="print"/>
                    <a:srcRect/>
                    <a:stretch>
                      <a:fillRect/>
                    </a:stretch>
                  </pic:blipFill>
                  <pic:spPr bwMode="auto">
                    <a:xfrm>
                      <a:off x="0" y="0"/>
                      <a:ext cx="209550" cy="209550"/>
                    </a:xfrm>
                    <a:prstGeom prst="rect">
                      <a:avLst/>
                    </a:prstGeom>
                    <a:noFill/>
                    <a:ln w="9525">
                      <a:noFill/>
                      <a:miter lim="800000"/>
                      <a:headEnd/>
                      <a:tailEnd/>
                    </a:ln>
                  </pic:spPr>
                </pic:pic>
              </a:graphicData>
            </a:graphic>
          </wp:inline>
        </w:drawing>
      </w:r>
      <w:r w:rsidRPr="000665B0">
        <w:rPr>
          <w:bCs/>
        </w:rPr>
        <w:t xml:space="preserve"> </w:t>
      </w:r>
      <w:r w:rsidRPr="000665B0">
        <w:t xml:space="preserve">icon. The </w:t>
      </w:r>
      <w:r w:rsidRPr="000665B0">
        <w:rPr>
          <w:i/>
        </w:rPr>
        <w:t>Strike History for Strike Folder: xxxxx-xxxxx</w:t>
      </w:r>
      <w:r w:rsidRPr="000665B0">
        <w:t xml:space="preserve"> window is displayed.</w:t>
      </w:r>
    </w:p>
    <w:p w14:paraId="446176C2" w14:textId="41A558B3" w:rsidR="00361983" w:rsidRPr="000665B0" w:rsidRDefault="00FE4AB8" w:rsidP="00474A1F">
      <w:pPr>
        <w:tabs>
          <w:tab w:val="left" w:pos="720"/>
        </w:tabs>
        <w:jc w:val="center"/>
      </w:pPr>
      <w:r w:rsidRPr="000665B0">
        <w:rPr>
          <w:noProof/>
        </w:rPr>
        <w:drawing>
          <wp:inline distT="0" distB="0" distL="0" distR="0" wp14:anchorId="09346221" wp14:editId="530E7756">
            <wp:extent cx="3603354" cy="1889760"/>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615906" cy="1896343"/>
                    </a:xfrm>
                    <a:prstGeom prst="rect">
                      <a:avLst/>
                    </a:prstGeom>
                  </pic:spPr>
                </pic:pic>
              </a:graphicData>
            </a:graphic>
          </wp:inline>
        </w:drawing>
      </w:r>
    </w:p>
    <w:p w14:paraId="6A15BA6E" w14:textId="77777777" w:rsidR="00361983" w:rsidRPr="000665B0" w:rsidRDefault="00361983" w:rsidP="0058307F">
      <w:pPr>
        <w:keepNext/>
        <w:tabs>
          <w:tab w:val="left" w:pos="720"/>
        </w:tabs>
      </w:pPr>
      <w:r w:rsidRPr="000665B0">
        <w:t>The activities that are logged are:</w:t>
      </w:r>
    </w:p>
    <w:p w14:paraId="5E9DF283" w14:textId="77777777" w:rsidR="00361983" w:rsidRPr="000665B0" w:rsidRDefault="00361983" w:rsidP="006D5A65">
      <w:pPr>
        <w:pStyle w:val="Heading1"/>
      </w:pPr>
      <w:r w:rsidRPr="000665B0">
        <w:t>Create Strike Folder</w:t>
      </w:r>
    </w:p>
    <w:p w14:paraId="6C6D82A6" w14:textId="77777777" w:rsidR="00361983" w:rsidRPr="000665B0" w:rsidRDefault="00361983" w:rsidP="006D5A65">
      <w:pPr>
        <w:pStyle w:val="Heading1"/>
      </w:pPr>
      <w:r w:rsidRPr="000665B0">
        <w:t>Save Strike Folder</w:t>
      </w:r>
    </w:p>
    <w:p w14:paraId="403A0C32" w14:textId="77777777" w:rsidR="00361983" w:rsidRPr="000665B0" w:rsidRDefault="00361983" w:rsidP="006D5A65">
      <w:pPr>
        <w:pStyle w:val="Heading1"/>
      </w:pPr>
      <w:r w:rsidRPr="000665B0">
        <w:t>Send Strike Folder</w:t>
      </w:r>
    </w:p>
    <w:p w14:paraId="0DF2B79A" w14:textId="77777777" w:rsidR="00361983" w:rsidRPr="000665B0" w:rsidRDefault="00361983" w:rsidP="006D5A65">
      <w:pPr>
        <w:pStyle w:val="Heading1"/>
      </w:pPr>
      <w:r w:rsidRPr="000665B0">
        <w:t>Strike Folder Upgrade Classification</w:t>
      </w:r>
    </w:p>
    <w:p w14:paraId="337A55D4" w14:textId="77777777" w:rsidR="00361983" w:rsidRPr="000665B0" w:rsidRDefault="00361983" w:rsidP="006D5A65">
      <w:pPr>
        <w:pStyle w:val="Heading1"/>
      </w:pPr>
      <w:r w:rsidRPr="000665B0">
        <w:t>Strike Folder Downgrade Classification</w:t>
      </w:r>
    </w:p>
    <w:p w14:paraId="773B7968" w14:textId="77777777" w:rsidR="00361983" w:rsidRPr="000665B0" w:rsidRDefault="00361983" w:rsidP="006D5A65">
      <w:pPr>
        <w:pStyle w:val="Heading1"/>
      </w:pPr>
      <w:r w:rsidRPr="000665B0">
        <w:t>Create Strike Option</w:t>
      </w:r>
    </w:p>
    <w:p w14:paraId="3FAD915A" w14:textId="77777777" w:rsidR="00361983" w:rsidRPr="000665B0" w:rsidRDefault="00361983" w:rsidP="006D5A65">
      <w:pPr>
        <w:pStyle w:val="Heading1"/>
      </w:pPr>
      <w:r w:rsidRPr="000665B0">
        <w:t>Save Strike Option</w:t>
      </w:r>
    </w:p>
    <w:p w14:paraId="00AE0C3B" w14:textId="77777777" w:rsidR="00361983" w:rsidRPr="000665B0" w:rsidRDefault="00361983" w:rsidP="006D5A65">
      <w:pPr>
        <w:pStyle w:val="Heading1"/>
      </w:pPr>
      <w:r w:rsidRPr="000665B0">
        <w:t>Send Strike Option</w:t>
      </w:r>
    </w:p>
    <w:p w14:paraId="3017E171" w14:textId="77777777" w:rsidR="00361983" w:rsidRPr="000665B0" w:rsidRDefault="00361983" w:rsidP="006D5A65">
      <w:pPr>
        <w:pStyle w:val="Heading1"/>
      </w:pPr>
      <w:r w:rsidRPr="000665B0">
        <w:t>Delete Strike Option</w:t>
      </w:r>
    </w:p>
    <w:p w14:paraId="1F3073C3" w14:textId="77777777" w:rsidR="00361983" w:rsidRPr="000665B0" w:rsidRDefault="00361983" w:rsidP="006D5A65">
      <w:pPr>
        <w:pStyle w:val="Heading1"/>
      </w:pPr>
      <w:r w:rsidRPr="000665B0">
        <w:t>Strike Option Upgrade Classification</w:t>
      </w:r>
    </w:p>
    <w:p w14:paraId="20D5B84D" w14:textId="77777777" w:rsidR="00361983" w:rsidRPr="000665B0" w:rsidRDefault="00361983" w:rsidP="006D5A65">
      <w:pPr>
        <w:pStyle w:val="Heading1"/>
      </w:pPr>
      <w:r w:rsidRPr="000665B0">
        <w:t>Strike Option Downgrade Classification</w:t>
      </w:r>
    </w:p>
    <w:p w14:paraId="420C237F" w14:textId="77777777" w:rsidR="00361983" w:rsidRPr="000665B0" w:rsidRDefault="00361983" w:rsidP="00474A1F">
      <w:pPr>
        <w:tabs>
          <w:tab w:val="left" w:pos="720"/>
        </w:tabs>
      </w:pPr>
      <w:r w:rsidRPr="000665B0">
        <w:t>The History Log allows some log entries</w:t>
      </w:r>
      <w:r w:rsidR="002B0E4A" w:rsidRPr="000665B0">
        <w:t xml:space="preserve"> (such as “Sent” activities)</w:t>
      </w:r>
      <w:r w:rsidRPr="000665B0">
        <w:t xml:space="preserve"> to</w:t>
      </w:r>
      <w:r w:rsidR="002B0E4A" w:rsidRPr="000665B0">
        <w:t xml:space="preserve"> be</w:t>
      </w:r>
      <w:r w:rsidRPr="000665B0">
        <w:t xml:space="preserve"> display</w:t>
      </w:r>
      <w:r w:rsidR="002B0E4A" w:rsidRPr="000665B0">
        <w:t>ed</w:t>
      </w:r>
      <w:r w:rsidRPr="000665B0">
        <w:t xml:space="preserve"> textually. </w:t>
      </w:r>
    </w:p>
    <w:p w14:paraId="66BAA633" w14:textId="77777777" w:rsidR="00361983" w:rsidRPr="000665B0" w:rsidRDefault="00361983" w:rsidP="00474A1F">
      <w:pPr>
        <w:tabs>
          <w:tab w:val="left" w:pos="720"/>
        </w:tabs>
      </w:pPr>
      <w:r w:rsidRPr="000665B0">
        <w:t>To display the log entry textually:</w:t>
      </w:r>
    </w:p>
    <w:p w14:paraId="2186D9A1" w14:textId="77777777" w:rsidR="00361983" w:rsidRPr="000665B0" w:rsidRDefault="00361983" w:rsidP="006D5A65">
      <w:pPr>
        <w:pStyle w:val="Heading1"/>
      </w:pPr>
      <w:r w:rsidRPr="000665B0">
        <w:lastRenderedPageBreak/>
        <w:t>Select the desired activity log entry.</w:t>
      </w:r>
    </w:p>
    <w:p w14:paraId="4D57CCEE" w14:textId="77777777" w:rsidR="00361983" w:rsidRPr="000665B0" w:rsidRDefault="002B0E4A" w:rsidP="006D5A65">
      <w:pPr>
        <w:pStyle w:val="Heading1"/>
      </w:pPr>
      <w:r w:rsidRPr="000665B0">
        <w:t xml:space="preserve">If enabled, from </w:t>
      </w:r>
      <w:r w:rsidR="00361983" w:rsidRPr="000665B0">
        <w:t xml:space="preserve">the File or Context menu, select Display </w:t>
      </w:r>
      <w:r w:rsidRPr="000665B0">
        <w:sym w:font="Wingdings 3" w:char="F07D"/>
      </w:r>
      <w:r w:rsidR="00361983" w:rsidRPr="000665B0">
        <w:t xml:space="preserve"> Textually. For “Sent” activity </w:t>
      </w:r>
      <w:r w:rsidR="009F5994" w:rsidRPr="000665B0">
        <w:t>entries</w:t>
      </w:r>
      <w:r w:rsidR="00361983" w:rsidRPr="000665B0">
        <w:t xml:space="preserve">, the associated Outgoing DDO Textual Form </w:t>
      </w:r>
      <w:r w:rsidR="00F32494" w:rsidRPr="000665B0">
        <w:t>is</w:t>
      </w:r>
      <w:r w:rsidR="00361983" w:rsidRPr="000665B0">
        <w:t xml:space="preserve"> displayed.</w:t>
      </w:r>
    </w:p>
    <w:p w14:paraId="3C5D9F54" w14:textId="77777777" w:rsidR="00361983" w:rsidRPr="000665B0" w:rsidRDefault="00361983" w:rsidP="00474A1F">
      <w:pPr>
        <w:tabs>
          <w:tab w:val="left" w:pos="720"/>
        </w:tabs>
      </w:pPr>
      <w:r w:rsidRPr="000665B0">
        <w:t>To add comment</w:t>
      </w:r>
      <w:r w:rsidR="009F5994" w:rsidRPr="000665B0">
        <w:t>s</w:t>
      </w:r>
      <w:r w:rsidRPr="000665B0">
        <w:t xml:space="preserve"> to change log(s):</w:t>
      </w:r>
    </w:p>
    <w:p w14:paraId="6EB61D53" w14:textId="77777777" w:rsidR="00361983" w:rsidRPr="000665B0" w:rsidRDefault="00361983" w:rsidP="006D5A65">
      <w:pPr>
        <w:pStyle w:val="Heading1"/>
      </w:pPr>
      <w:r w:rsidRPr="000665B0">
        <w:t>Select the</w:t>
      </w:r>
      <w:r w:rsidR="009F5994" w:rsidRPr="000665B0">
        <w:t xml:space="preserve"> desired</w:t>
      </w:r>
      <w:r w:rsidRPr="000665B0">
        <w:t xml:space="preserve"> log entry</w:t>
      </w:r>
      <w:r w:rsidR="009F5994" w:rsidRPr="000665B0">
        <w:t>(s)</w:t>
      </w:r>
      <w:r w:rsidRPr="000665B0">
        <w:t>.</w:t>
      </w:r>
    </w:p>
    <w:p w14:paraId="5B8FE1C0" w14:textId="77777777" w:rsidR="00361983" w:rsidRPr="000665B0" w:rsidRDefault="00361983" w:rsidP="006D5A65">
      <w:pPr>
        <w:pStyle w:val="Heading1"/>
      </w:pPr>
      <w:r w:rsidRPr="000665B0">
        <w:t>From the File or Context menu, select Edit</w:t>
      </w:r>
      <w:r w:rsidR="009F5994" w:rsidRPr="000665B0">
        <w:t>…</w:t>
      </w:r>
      <w:r w:rsidRPr="000665B0">
        <w:t xml:space="preserve">. A </w:t>
      </w:r>
      <w:r w:rsidRPr="000665B0">
        <w:rPr>
          <w:i/>
        </w:rPr>
        <w:t>Strike Plan History Comment</w:t>
      </w:r>
      <w:r w:rsidR="009F5994" w:rsidRPr="000665B0">
        <w:rPr>
          <w:i/>
        </w:rPr>
        <w:t xml:space="preserve"> - Log x</w:t>
      </w:r>
      <w:r w:rsidRPr="000665B0">
        <w:t xml:space="preserve"> </w:t>
      </w:r>
      <w:r w:rsidR="009F5994" w:rsidRPr="000665B0">
        <w:t xml:space="preserve">window </w:t>
      </w:r>
      <w:r w:rsidR="00F32494" w:rsidRPr="000665B0">
        <w:t>is</w:t>
      </w:r>
      <w:r w:rsidRPr="000665B0">
        <w:t xml:space="preserve"> displayed. </w:t>
      </w:r>
      <w:r w:rsidR="009F5994" w:rsidRPr="000665B0">
        <w:t xml:space="preserve">If multiple entries were selected, a </w:t>
      </w:r>
      <w:r w:rsidR="009F5994" w:rsidRPr="000665B0">
        <w:rPr>
          <w:i/>
        </w:rPr>
        <w:t>Strike Plan History - Selected Items</w:t>
      </w:r>
      <w:r w:rsidR="009F5994" w:rsidRPr="000665B0">
        <w:t xml:space="preserve"> window is displayed.</w:t>
      </w:r>
    </w:p>
    <w:p w14:paraId="39D47278" w14:textId="40D87D93" w:rsidR="00361983" w:rsidRPr="000665B0" w:rsidRDefault="007855BD" w:rsidP="006E255A">
      <w:pPr>
        <w:tabs>
          <w:tab w:val="left" w:pos="720"/>
        </w:tabs>
        <w:spacing w:before="120"/>
        <w:jc w:val="center"/>
      </w:pPr>
      <w:r w:rsidRPr="000665B0">
        <w:rPr>
          <w:noProof/>
        </w:rPr>
        <w:drawing>
          <wp:inline distT="0" distB="0" distL="0" distR="0" wp14:anchorId="1E791093" wp14:editId="1A7861A9">
            <wp:extent cx="3200400" cy="740664"/>
            <wp:effectExtent l="0" t="0" r="0" b="2540"/>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740664"/>
                    </a:xfrm>
                    <a:prstGeom prst="rect">
                      <a:avLst/>
                    </a:prstGeom>
                  </pic:spPr>
                </pic:pic>
              </a:graphicData>
            </a:graphic>
          </wp:inline>
        </w:drawing>
      </w:r>
    </w:p>
    <w:p w14:paraId="263838C4" w14:textId="4C56582D" w:rsidR="009F5994" w:rsidRPr="000665B0" w:rsidRDefault="007855BD" w:rsidP="006E255A">
      <w:pPr>
        <w:tabs>
          <w:tab w:val="left" w:pos="720"/>
        </w:tabs>
        <w:spacing w:before="120"/>
        <w:jc w:val="center"/>
      </w:pPr>
      <w:r w:rsidRPr="000665B0">
        <w:rPr>
          <w:noProof/>
        </w:rPr>
        <w:drawing>
          <wp:inline distT="0" distB="0" distL="0" distR="0" wp14:anchorId="6706DF60" wp14:editId="17475315">
            <wp:extent cx="3200400" cy="740664"/>
            <wp:effectExtent l="0" t="0" r="0" b="2540"/>
            <wp:docPr id="2005" name="Pict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740664"/>
                    </a:xfrm>
                    <a:prstGeom prst="rect">
                      <a:avLst/>
                    </a:prstGeom>
                  </pic:spPr>
                </pic:pic>
              </a:graphicData>
            </a:graphic>
          </wp:inline>
        </w:drawing>
      </w:r>
    </w:p>
    <w:p w14:paraId="55E68281" w14:textId="77777777" w:rsidR="00361983" w:rsidRPr="000665B0" w:rsidRDefault="00361983" w:rsidP="006D5A65">
      <w:pPr>
        <w:pStyle w:val="Heading1"/>
      </w:pPr>
      <w:r w:rsidRPr="000665B0">
        <w:t>Enter comment</w:t>
      </w:r>
      <w:r w:rsidR="009F5994" w:rsidRPr="000665B0">
        <w:t>s</w:t>
      </w:r>
      <w:r w:rsidRPr="000665B0">
        <w:t xml:space="preserve"> in the Comment field. Click OK.</w:t>
      </w:r>
      <w:r w:rsidR="009F5994" w:rsidRPr="000665B0">
        <w:t xml:space="preserve"> The comments are displayed in the Comments column of the </w:t>
      </w:r>
      <w:r w:rsidR="009F5994" w:rsidRPr="000665B0">
        <w:rPr>
          <w:i/>
        </w:rPr>
        <w:t>Strike History</w:t>
      </w:r>
      <w:r w:rsidR="009F5994" w:rsidRPr="000665B0">
        <w:t xml:space="preserve"> window.</w:t>
      </w:r>
    </w:p>
    <w:p w14:paraId="07297DC3" w14:textId="77777777" w:rsidR="00361983" w:rsidRPr="000665B0" w:rsidRDefault="009F5994" w:rsidP="006D5A65">
      <w:pPr>
        <w:pStyle w:val="Heading1"/>
      </w:pPr>
      <w:r w:rsidRPr="000665B0">
        <w:t xml:space="preserve">Click on the </w:t>
      </w:r>
      <w:r w:rsidRPr="000665B0">
        <w:rPr>
          <w:bCs/>
        </w:rPr>
        <w:t>Save</w:t>
      </w:r>
      <w:r w:rsidRPr="000665B0">
        <w:t xml:space="preserve"> </w:t>
      </w:r>
      <w:r w:rsidRPr="000665B0">
        <w:rPr>
          <w:rFonts w:ascii="Wingdings" w:hAnsi="Wingdings" w:cs="Wingdings"/>
        </w:rPr>
        <w:t></w:t>
      </w:r>
      <w:r w:rsidRPr="000665B0">
        <w:t xml:space="preserve"> icon to save the changes or select the </w:t>
      </w:r>
      <w:r w:rsidRPr="000665B0">
        <w:rPr>
          <w:bCs/>
        </w:rPr>
        <w:t>Save</w:t>
      </w:r>
      <w:r w:rsidRPr="000665B0">
        <w:t xml:space="preserve"> option from the </w:t>
      </w:r>
      <w:r w:rsidRPr="000665B0">
        <w:rPr>
          <w:bCs/>
        </w:rPr>
        <w:t>File</w:t>
      </w:r>
      <w:r w:rsidRPr="000665B0">
        <w:t xml:space="preserve"> pull down menu</w:t>
      </w:r>
      <w:r w:rsidR="00361983" w:rsidRPr="000665B0">
        <w:t>.</w:t>
      </w:r>
    </w:p>
    <w:p w14:paraId="5DCA4EB8" w14:textId="31A481FA" w:rsidR="00460CC7" w:rsidRPr="000665B0" w:rsidRDefault="00460CC7" w:rsidP="00474A1F">
      <w:pPr>
        <w:pStyle w:val="Heading3"/>
        <w:tabs>
          <w:tab w:val="left" w:pos="720"/>
        </w:tabs>
      </w:pPr>
      <w:bookmarkStart w:id="6455" w:name="_5.37.10__Send"/>
      <w:bookmarkStart w:id="6456" w:name="_Send"/>
      <w:bookmarkStart w:id="6457" w:name="_Toc289328888"/>
      <w:bookmarkStart w:id="6458" w:name="_Toc312332072"/>
      <w:bookmarkStart w:id="6459" w:name="_Toc214283564"/>
      <w:bookmarkStart w:id="6460" w:name="_Hlk39837448"/>
      <w:bookmarkEnd w:id="6455"/>
      <w:bookmarkEnd w:id="6456"/>
      <w:r w:rsidRPr="000665B0">
        <w:t>Send</w:t>
      </w:r>
      <w:bookmarkEnd w:id="6457"/>
      <w:bookmarkEnd w:id="6458"/>
      <w:bookmarkEnd w:id="6459"/>
    </w:p>
    <w:p w14:paraId="353AE17B" w14:textId="2E93104B" w:rsidR="00460CC7" w:rsidRPr="000665B0" w:rsidRDefault="00460CC7" w:rsidP="00474A1F">
      <w:pPr>
        <w:tabs>
          <w:tab w:val="left" w:pos="720"/>
        </w:tabs>
      </w:pPr>
      <w:r w:rsidRPr="000665B0">
        <w:rPr>
          <w:snapToGrid w:val="0"/>
        </w:rPr>
        <w:t xml:space="preserve">The </w:t>
      </w:r>
      <w:r w:rsidRPr="000665B0">
        <w:rPr>
          <w:b/>
          <w:bCs/>
          <w:snapToGrid w:val="0"/>
        </w:rPr>
        <w:t>Send</w:t>
      </w:r>
      <w:r w:rsidR="00FA3B9A" w:rsidRPr="000665B0">
        <w:rPr>
          <w:b/>
          <w:bCs/>
          <w:snapToGrid w:val="0"/>
        </w:rPr>
        <w:t>…</w:t>
      </w:r>
      <w:r w:rsidRPr="000665B0">
        <w:rPr>
          <w:snapToGrid w:val="0"/>
        </w:rPr>
        <w:t xml:space="preserve"> option adds the selected Strike Folders and/or Strike Options to a DDO template for further distribution. </w:t>
      </w:r>
      <w:r w:rsidR="005939A6" w:rsidRPr="000665B0">
        <w:rPr>
          <w:snapToGrid w:val="0"/>
        </w:rPr>
        <w:t>For more details on DDO Templates s</w:t>
      </w:r>
      <w:r w:rsidRPr="000665B0">
        <w:rPr>
          <w:snapToGrid w:val="0"/>
        </w:rPr>
        <w:t xml:space="preserve">ee </w:t>
      </w:r>
      <w:hyperlink w:anchor="_5.21__DDO" w:history="1">
        <w:r w:rsidR="00DE0842" w:rsidRPr="000665B0">
          <w:rPr>
            <w:rStyle w:val="Hyperlink"/>
            <w:snapToGrid w:val="0"/>
          </w:rPr>
          <w:t xml:space="preserve">Section </w:t>
        </w:r>
        <w:r w:rsidR="004231CC">
          <w:rPr>
            <w:rStyle w:val="Hyperlink"/>
            <w:snapToGrid w:val="0"/>
          </w:rPr>
          <w:t>5.16</w:t>
        </w:r>
      </w:hyperlink>
      <w:r w:rsidRPr="000665B0">
        <w:rPr>
          <w:snapToGrid w:val="0"/>
        </w:rPr>
        <w:t>.</w:t>
      </w:r>
    </w:p>
    <w:p w14:paraId="2EE8F018" w14:textId="63EB1ECA" w:rsidR="0094213A" w:rsidRPr="000665B0" w:rsidRDefault="0094213A" w:rsidP="00474A1F">
      <w:pPr>
        <w:tabs>
          <w:tab w:val="left" w:pos="720"/>
        </w:tabs>
      </w:pPr>
      <w:r w:rsidRPr="000665B0">
        <w:t xml:space="preserve">The </w:t>
      </w:r>
      <w:r w:rsidRPr="000665B0">
        <w:rPr>
          <w:b/>
        </w:rPr>
        <w:t>Send</w:t>
      </w:r>
      <w:r w:rsidRPr="000665B0">
        <w:t xml:space="preserve"> option can be used to send either a Strike Folder, or the Strike Options within a Strike Folder. </w:t>
      </w:r>
      <w:r w:rsidR="00993E44" w:rsidRPr="000665B0">
        <w:t xml:space="preserve">With minor exceptions, the </w:t>
      </w:r>
      <w:r w:rsidR="00993E44" w:rsidRPr="000665B0">
        <w:rPr>
          <w:b/>
          <w:bCs/>
          <w:i/>
          <w:iCs/>
        </w:rPr>
        <w:t xml:space="preserve">Send </w:t>
      </w:r>
      <w:r w:rsidR="00993E44" w:rsidRPr="000665B0">
        <w:rPr>
          <w:bCs/>
          <w:iCs/>
        </w:rPr>
        <w:t>option</w:t>
      </w:r>
      <w:r w:rsidR="00993E44" w:rsidRPr="000665B0">
        <w:t xml:space="preserve"> </w:t>
      </w:r>
      <w:r w:rsidR="00993E44" w:rsidRPr="000665B0">
        <w:rPr>
          <w:bCs/>
        </w:rPr>
        <w:t xml:space="preserve">functions the same way in both the Strike Folders tool, the Strike Execution tool (see </w:t>
      </w:r>
      <w:hyperlink w:anchor="_STRIKE__" w:history="1">
        <w:r w:rsidR="00E036B6" w:rsidRPr="000665B0">
          <w:rPr>
            <w:rStyle w:val="Hyperlink"/>
            <w:bCs/>
          </w:rPr>
          <w:t xml:space="preserve">Section </w:t>
        </w:r>
        <w:r w:rsidR="004231CC">
          <w:rPr>
            <w:rStyle w:val="Hyperlink"/>
            <w:bCs/>
          </w:rPr>
          <w:t>5.35</w:t>
        </w:r>
      </w:hyperlink>
      <w:r w:rsidR="00993E44" w:rsidRPr="000665B0">
        <w:rPr>
          <w:bCs/>
        </w:rPr>
        <w:t xml:space="preserve">), and the SMD (see </w:t>
      </w:r>
      <w:hyperlink w:anchor="_5.38.3.1.6__Options" w:history="1">
        <w:r w:rsidR="00A54F60" w:rsidRPr="000665B0">
          <w:rPr>
            <w:rStyle w:val="Hyperlink"/>
            <w:bCs/>
          </w:rPr>
          <w:t xml:space="preserve">Section </w:t>
        </w:r>
        <w:r w:rsidR="004231CC">
          <w:rPr>
            <w:rStyle w:val="Hyperlink"/>
            <w:bCs/>
          </w:rPr>
          <w:t>5.35</w:t>
        </w:r>
        <w:r w:rsidR="00A54F60" w:rsidRPr="000665B0">
          <w:rPr>
            <w:rStyle w:val="Hyperlink"/>
            <w:bCs/>
          </w:rPr>
          <w:t>.3.1.7</w:t>
        </w:r>
      </w:hyperlink>
      <w:r w:rsidR="00993E44" w:rsidRPr="000665B0">
        <w:rPr>
          <w:bCs/>
        </w:rPr>
        <w:t>).</w:t>
      </w:r>
      <w:r w:rsidR="00993E44" w:rsidRPr="000665B0">
        <w:t xml:space="preserve"> </w:t>
      </w:r>
    </w:p>
    <w:p w14:paraId="394F9C57" w14:textId="46B10E5D" w:rsidR="00460CC7" w:rsidRPr="000665B0" w:rsidRDefault="00460CC7" w:rsidP="00474A1F">
      <w:pPr>
        <w:tabs>
          <w:tab w:val="left" w:pos="720"/>
        </w:tabs>
      </w:pPr>
      <w:r w:rsidRPr="000665B0">
        <w:t xml:space="preserve">When the </w:t>
      </w:r>
      <w:r w:rsidRPr="000665B0">
        <w:rPr>
          <w:b/>
        </w:rPr>
        <w:t>Send</w:t>
      </w:r>
      <w:r w:rsidRPr="000665B0">
        <w:t xml:space="preserve"> option is selected on the Strike Folder(s), the selected Strike Folder(s) </w:t>
      </w:r>
      <w:r w:rsidR="0094213A" w:rsidRPr="000665B0">
        <w:t xml:space="preserve">are </w:t>
      </w:r>
      <w:r w:rsidRPr="000665B0">
        <w:t xml:space="preserve">added to a new DDO Template. Along with </w:t>
      </w:r>
      <w:r w:rsidR="0094213A" w:rsidRPr="000665B0">
        <w:t xml:space="preserve">the </w:t>
      </w:r>
      <w:r w:rsidRPr="000665B0">
        <w:t xml:space="preserve">selected Strike Folder(s), the selected Strike Folder’s </w:t>
      </w:r>
      <w:r w:rsidR="00D04F77" w:rsidRPr="000665B0">
        <w:t xml:space="preserve">associated </w:t>
      </w:r>
      <w:r w:rsidR="00813F09" w:rsidRPr="000665B0">
        <w:t xml:space="preserve">Task </w:t>
      </w:r>
      <w:r w:rsidRPr="000665B0">
        <w:t xml:space="preserve">Organization and all of </w:t>
      </w:r>
      <w:r w:rsidR="0094213A" w:rsidRPr="000665B0">
        <w:t xml:space="preserve">its </w:t>
      </w:r>
      <w:r w:rsidRPr="000665B0">
        <w:t xml:space="preserve">Strike Options </w:t>
      </w:r>
      <w:r w:rsidR="0094213A" w:rsidRPr="000665B0">
        <w:t xml:space="preserve">are </w:t>
      </w:r>
      <w:r w:rsidRPr="000665B0">
        <w:t>also added to the DDO Template.</w:t>
      </w:r>
    </w:p>
    <w:p w14:paraId="3E2D845B" w14:textId="5ECB88BE" w:rsidR="00460CC7" w:rsidRPr="000665B0" w:rsidRDefault="00460CC7" w:rsidP="00474A1F">
      <w:pPr>
        <w:tabs>
          <w:tab w:val="left" w:pos="720"/>
        </w:tabs>
      </w:pPr>
      <w:r w:rsidRPr="000665B0">
        <w:t xml:space="preserve">When the </w:t>
      </w:r>
      <w:r w:rsidRPr="000665B0">
        <w:rPr>
          <w:b/>
        </w:rPr>
        <w:t>Send</w:t>
      </w:r>
      <w:r w:rsidRPr="000665B0">
        <w:t xml:space="preserve"> option is selected on the Strike Option(s), the selected Strike Option(s) </w:t>
      </w:r>
      <w:r w:rsidR="0094213A" w:rsidRPr="000665B0">
        <w:t>are</w:t>
      </w:r>
      <w:r w:rsidRPr="000665B0">
        <w:t xml:space="preserve"> added to a new DDO Template. Unlike the Strike Folder, no other </w:t>
      </w:r>
      <w:r w:rsidR="00D12EE1" w:rsidRPr="000665B0">
        <w:t xml:space="preserve">associated </w:t>
      </w:r>
      <w:r w:rsidRPr="000665B0">
        <w:t xml:space="preserve">items </w:t>
      </w:r>
      <w:r w:rsidR="0094213A" w:rsidRPr="000665B0">
        <w:t>are</w:t>
      </w:r>
      <w:r w:rsidRPr="000665B0">
        <w:t xml:space="preserve"> included in the DDO Template. </w:t>
      </w:r>
      <w:r w:rsidR="00C93F41" w:rsidRPr="000665B0">
        <w:t>However, t</w:t>
      </w:r>
      <w:r w:rsidRPr="000665B0">
        <w:t xml:space="preserve">he </w:t>
      </w:r>
      <w:r w:rsidR="00D12EE1" w:rsidRPr="000665B0">
        <w:t xml:space="preserve">associated </w:t>
      </w:r>
      <w:r w:rsidRPr="000665B0">
        <w:t xml:space="preserve">Strike Folder </w:t>
      </w:r>
      <w:r w:rsidR="0094213A" w:rsidRPr="000665B0">
        <w:t xml:space="preserve">is </w:t>
      </w:r>
      <w:r w:rsidRPr="000665B0">
        <w:t xml:space="preserve">also </w:t>
      </w:r>
      <w:r w:rsidR="00C768A2" w:rsidRPr="000665B0">
        <w:t xml:space="preserve">automatically </w:t>
      </w:r>
      <w:r w:rsidRPr="000665B0">
        <w:t xml:space="preserve">included in the </w:t>
      </w:r>
      <w:r w:rsidR="0094213A" w:rsidRPr="000665B0">
        <w:t>DDO Template because</w:t>
      </w:r>
      <w:r w:rsidRPr="000665B0">
        <w:t xml:space="preserve"> Strike Options reference items </w:t>
      </w:r>
      <w:r w:rsidR="0094213A" w:rsidRPr="000665B0">
        <w:t>that are contained in the</w:t>
      </w:r>
      <w:r w:rsidRPr="000665B0">
        <w:t xml:space="preserve"> Strike Folder. Details </w:t>
      </w:r>
      <w:r w:rsidR="00F32494" w:rsidRPr="000665B0">
        <w:t>are</w:t>
      </w:r>
      <w:r w:rsidRPr="000665B0">
        <w:t xml:space="preserve"> discussed later.</w:t>
      </w:r>
    </w:p>
    <w:p w14:paraId="733B6D39" w14:textId="77777777" w:rsidR="0094213A" w:rsidRPr="000665B0" w:rsidRDefault="0094213A" w:rsidP="00474A1F">
      <w:pPr>
        <w:tabs>
          <w:tab w:val="left" w:pos="720"/>
        </w:tabs>
      </w:pPr>
      <w:r w:rsidRPr="000665B0">
        <w:t>To send a Strike Folder or Strike Options:</w:t>
      </w:r>
    </w:p>
    <w:p w14:paraId="49DA1F90" w14:textId="77777777" w:rsidR="0094213A" w:rsidRPr="000665B0" w:rsidRDefault="0094213A" w:rsidP="006D5A65">
      <w:pPr>
        <w:pStyle w:val="Heading1"/>
      </w:pPr>
      <w:r w:rsidRPr="000665B0">
        <w:lastRenderedPageBreak/>
        <w:t xml:space="preserve">From the main </w:t>
      </w:r>
      <w:r w:rsidRPr="000665B0">
        <w:rPr>
          <w:i/>
          <w:iCs/>
        </w:rPr>
        <w:t>Strike Folders</w:t>
      </w:r>
      <w:r w:rsidRPr="000665B0">
        <w:t xml:space="preserve"> window highlight the appropriate Strike Folder.</w:t>
      </w:r>
    </w:p>
    <w:p w14:paraId="4FF9BAE4" w14:textId="77777777" w:rsidR="0094213A" w:rsidRPr="000665B0" w:rsidRDefault="0094213A" w:rsidP="006D5A65">
      <w:pPr>
        <w:pStyle w:val="Heading2"/>
      </w:pPr>
      <w:r w:rsidRPr="000665B0">
        <w:t xml:space="preserve">(Send a Strike Folder): From the File or Context menu, select Send…. A new </w:t>
      </w:r>
      <w:r w:rsidRPr="000665B0">
        <w:rPr>
          <w:i/>
        </w:rPr>
        <w:t>DDO Template</w:t>
      </w:r>
      <w:r w:rsidRPr="000665B0">
        <w:t xml:space="preserve"> window is displayed.</w:t>
      </w:r>
    </w:p>
    <w:p w14:paraId="3A83A607" w14:textId="77777777" w:rsidR="0094213A" w:rsidRPr="000665B0" w:rsidRDefault="0094213A" w:rsidP="004C127C">
      <w:pPr>
        <w:tabs>
          <w:tab w:val="left" w:pos="720"/>
        </w:tabs>
        <w:ind w:left="720"/>
      </w:pPr>
      <w:r w:rsidRPr="000665B0">
        <w:t>or</w:t>
      </w:r>
    </w:p>
    <w:p w14:paraId="67853547" w14:textId="52CA878A" w:rsidR="0094213A" w:rsidRPr="000665B0" w:rsidRDefault="0094213A" w:rsidP="006D5A65">
      <w:pPr>
        <w:pStyle w:val="Heading2"/>
      </w:pPr>
      <w:r w:rsidRPr="000665B0">
        <w:t xml:space="preserve">(Send Strike Options): </w:t>
      </w:r>
      <w:r w:rsidR="0037038E" w:rsidRPr="000665B0">
        <w:t>Double-click</w:t>
      </w:r>
      <w:r w:rsidRPr="000665B0">
        <w:t xml:space="preserve"> to display the Strike Folder </w:t>
      </w:r>
      <w:r w:rsidR="00844DEA" w:rsidRPr="000665B0">
        <w:t>textually or</w:t>
      </w:r>
      <w:r w:rsidRPr="000665B0">
        <w:t xml:space="preserve"> invoke the context menu (</w:t>
      </w:r>
      <w:r w:rsidR="00D71804" w:rsidRPr="000665B0">
        <w:t>right-click</w:t>
      </w:r>
      <w:r w:rsidRPr="000665B0">
        <w:t xml:space="preserve"> the mouse) and select Display </w:t>
      </w:r>
      <w:r w:rsidRPr="000665B0">
        <w:sym w:font="Wingdings 3" w:char="F07D"/>
      </w:r>
      <w:r w:rsidRPr="000665B0">
        <w:t xml:space="preserve"> </w:t>
      </w:r>
      <w:r w:rsidR="00A37205" w:rsidRPr="000665B0">
        <w:t>Textually or</w:t>
      </w:r>
      <w:r w:rsidRPr="000665B0">
        <w:t xml:space="preserve"> select File </w:t>
      </w:r>
      <w:r w:rsidRPr="000665B0">
        <w:sym w:font="Wingdings" w:char="F0E0"/>
      </w:r>
      <w:r w:rsidRPr="000665B0">
        <w:t xml:space="preserve"> Display </w:t>
      </w:r>
      <w:r w:rsidRPr="000665B0">
        <w:sym w:font="Wingdings 3" w:char="F07D"/>
      </w:r>
      <w:r w:rsidRPr="000665B0">
        <w:t xml:space="preserve"> Textually. </w:t>
      </w:r>
    </w:p>
    <w:p w14:paraId="7C59E3B8" w14:textId="33C85B19" w:rsidR="0094213A" w:rsidRPr="000665B0" w:rsidRDefault="0094213A" w:rsidP="006D5A65">
      <w:pPr>
        <w:pStyle w:val="Heading2"/>
      </w:pPr>
      <w:r w:rsidRPr="000665B0">
        <w:t>From the</w:t>
      </w:r>
      <w:r w:rsidRPr="000665B0">
        <w:rPr>
          <w:i/>
        </w:rPr>
        <w:t xml:space="preserve"> Strike Folder xxxxx-xxxxx</w:t>
      </w:r>
      <w:r w:rsidRPr="000665B0">
        <w:t xml:space="preserve"> window, </w:t>
      </w:r>
      <w:r w:rsidR="0037038E" w:rsidRPr="000665B0">
        <w:t>double-click</w:t>
      </w:r>
      <w:r w:rsidRPr="000665B0">
        <w:t xml:space="preserve"> the </w:t>
      </w:r>
      <w:r w:rsidRPr="000665B0">
        <w:rPr>
          <w:bCs/>
        </w:rPr>
        <w:t xml:space="preserve">Options </w:t>
      </w:r>
      <w:r w:rsidRPr="000665B0">
        <w:rPr>
          <w:bCs/>
          <w:noProof/>
        </w:rPr>
        <w:drawing>
          <wp:inline distT="0" distB="0" distL="0" distR="0" wp14:anchorId="531F9BBB" wp14:editId="700B5CC7">
            <wp:extent cx="152400" cy="152400"/>
            <wp:effectExtent l="19050" t="0" r="0" b="0"/>
            <wp:docPr id="438" name="Picture 438" descr="StrikeOption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StrikeOption_16"/>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rPr>
          <w:bCs/>
        </w:rPr>
        <w:t xml:space="preserve"> </w:t>
      </w:r>
      <w:r w:rsidRPr="000665B0">
        <w:t xml:space="preserve">icon. The </w:t>
      </w:r>
      <w:r w:rsidRPr="000665B0">
        <w:rPr>
          <w:i/>
        </w:rPr>
        <w:t xml:space="preserve">Strike </w:t>
      </w:r>
      <w:r w:rsidR="00C93F41" w:rsidRPr="000665B0">
        <w:rPr>
          <w:i/>
        </w:rPr>
        <w:t>Options</w:t>
      </w:r>
      <w:r w:rsidRPr="000665B0">
        <w:rPr>
          <w:i/>
        </w:rPr>
        <w:t xml:space="preserve"> for Strike Folder: xxxxx-xxxxx</w:t>
      </w:r>
      <w:r w:rsidRPr="000665B0">
        <w:t xml:space="preserve"> window is displayed.</w:t>
      </w:r>
    </w:p>
    <w:p w14:paraId="1F81FE82" w14:textId="77777777" w:rsidR="0094213A" w:rsidRPr="000665B0" w:rsidRDefault="0094213A" w:rsidP="006D5A65">
      <w:pPr>
        <w:pStyle w:val="Heading2"/>
      </w:pPr>
      <w:r w:rsidRPr="000665B0">
        <w:t xml:space="preserve">Select the desired Option(s). From the File or Context menu, select Send…. A new </w:t>
      </w:r>
      <w:r w:rsidRPr="000665B0">
        <w:rPr>
          <w:i/>
        </w:rPr>
        <w:t>DDO Template</w:t>
      </w:r>
      <w:r w:rsidRPr="000665B0">
        <w:t xml:space="preserve"> window is displayed.</w:t>
      </w:r>
    </w:p>
    <w:p w14:paraId="590D9405" w14:textId="0B707CDA" w:rsidR="0094213A" w:rsidRPr="000665B0" w:rsidRDefault="0094213A" w:rsidP="006D5A65">
      <w:pPr>
        <w:pStyle w:val="Heading1"/>
      </w:pPr>
      <w:r w:rsidRPr="000665B0">
        <w:t xml:space="preserve">Select the </w:t>
      </w:r>
      <w:r w:rsidRPr="000665B0">
        <w:rPr>
          <w:i/>
        </w:rPr>
        <w:t>Strike Data</w:t>
      </w:r>
      <w:r w:rsidRPr="000665B0">
        <w:t xml:space="preserve"> tab.</w:t>
      </w:r>
    </w:p>
    <w:p w14:paraId="1F62ADB9" w14:textId="23908476" w:rsidR="00C1683F" w:rsidRDefault="004F21C4" w:rsidP="00474A1F">
      <w:pPr>
        <w:tabs>
          <w:tab w:val="left" w:pos="720"/>
        </w:tabs>
        <w:jc w:val="center"/>
        <w:rPr>
          <w:noProof/>
          <w:sz w:val="22"/>
          <w:szCs w:val="22"/>
        </w:rPr>
      </w:pPr>
      <w:r>
        <w:rPr>
          <w:noProof/>
          <w:sz w:val="22"/>
          <w:szCs w:val="22"/>
        </w:rPr>
        <w:drawing>
          <wp:inline distT="0" distB="0" distL="0" distR="0" wp14:anchorId="78E0F97A" wp14:editId="29BDA205">
            <wp:extent cx="3662081" cy="3276600"/>
            <wp:effectExtent l="0" t="0" r="0" b="0"/>
            <wp:docPr id="41788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3669353" cy="3283107"/>
                    </a:xfrm>
                    <a:prstGeom prst="rect">
                      <a:avLst/>
                    </a:prstGeom>
                    <a:noFill/>
                    <a:ln>
                      <a:noFill/>
                    </a:ln>
                  </pic:spPr>
                </pic:pic>
              </a:graphicData>
            </a:graphic>
          </wp:inline>
        </w:drawing>
      </w:r>
    </w:p>
    <w:p w14:paraId="55D2F880" w14:textId="77777777" w:rsidR="00460CC7" w:rsidRPr="000665B0" w:rsidRDefault="00460CC7" w:rsidP="006D5A65">
      <w:pPr>
        <w:pStyle w:val="Heading1"/>
      </w:pPr>
      <w:r w:rsidRPr="000665B0">
        <w:t xml:space="preserve">There are several </w:t>
      </w:r>
      <w:r w:rsidR="0094213A" w:rsidRPr="000665B0">
        <w:t xml:space="preserve">optional </w:t>
      </w:r>
      <w:r w:rsidRPr="000665B0">
        <w:t xml:space="preserve">checkboxes in the Strike Data </w:t>
      </w:r>
      <w:r w:rsidR="0094213A" w:rsidRPr="000665B0">
        <w:t xml:space="preserve">pane </w:t>
      </w:r>
      <w:r w:rsidRPr="000665B0">
        <w:t>to add the Strike Data’s associated data.</w:t>
      </w:r>
    </w:p>
    <w:p w14:paraId="199417F3" w14:textId="25F0C55C" w:rsidR="00460CC7" w:rsidRPr="000665B0" w:rsidRDefault="00460CC7" w:rsidP="006D5A65">
      <w:pPr>
        <w:pStyle w:val="Heading2"/>
      </w:pPr>
      <w:r w:rsidRPr="000665B0">
        <w:t xml:space="preserve">Include All Strike Data – </w:t>
      </w:r>
      <w:r w:rsidR="00E32A79" w:rsidRPr="000665B0">
        <w:t>One-</w:t>
      </w:r>
      <w:r w:rsidRPr="000665B0">
        <w:t xml:space="preserve">step process to include or exclude all </w:t>
      </w:r>
      <w:r w:rsidR="00E32A79" w:rsidRPr="000665B0">
        <w:t xml:space="preserve">of the </w:t>
      </w:r>
      <w:r w:rsidRPr="000665B0">
        <w:t>associated Strike Data.</w:t>
      </w:r>
    </w:p>
    <w:p w14:paraId="79FC514A" w14:textId="77777777" w:rsidR="003417E2" w:rsidRPr="000665B0" w:rsidRDefault="003417E2" w:rsidP="003417E2">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lastRenderedPageBreak/>
        <w:t>Note:</w:t>
      </w:r>
    </w:p>
    <w:p w14:paraId="0C8B7B14" w14:textId="3A14A58A" w:rsidR="003417E2" w:rsidRPr="000665B0" w:rsidRDefault="003417E2" w:rsidP="003417E2">
      <w:pPr>
        <w:keepNext/>
        <w:keepLines/>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0665B0">
        <w:rPr>
          <w:b/>
          <w:szCs w:val="24"/>
        </w:rPr>
        <w:t>MSTM strike data is not recognized by pre-7.0 MDS nodes and pre-V5.6.1 TTWCS nodes. When a DDO containing a MSTM strike folder (with a MSTM strike option containing MSTM tasking such as MSTM assignments, MSTM Full and CFF LMOs, and MSTM TMPRs) is distributed to those nodes, the following occurs:</w:t>
      </w:r>
    </w:p>
    <w:p w14:paraId="5DFD6BDB" w14:textId="4868908D" w:rsidR="003417E2" w:rsidRPr="000665B0" w:rsidRDefault="00881ABF" w:rsidP="00881ABF">
      <w:pPr>
        <w:keepNext/>
        <w:keepLines/>
        <w:pBdr>
          <w:top w:val="single" w:sz="12" w:space="1" w:color="auto"/>
          <w:left w:val="single" w:sz="12" w:space="4" w:color="auto"/>
          <w:bottom w:val="single" w:sz="12" w:space="1" w:color="auto"/>
          <w:right w:val="single" w:sz="12" w:space="4" w:color="auto"/>
        </w:pBdr>
        <w:shd w:val="clear" w:color="auto" w:fill="D9D9D9"/>
        <w:ind w:left="360" w:hanging="360"/>
        <w:rPr>
          <w:b/>
          <w:szCs w:val="24"/>
        </w:rPr>
      </w:pPr>
      <w:r w:rsidRPr="000665B0">
        <w:rPr>
          <w:b/>
          <w:szCs w:val="24"/>
        </w:rPr>
        <w:t>a.</w:t>
      </w:r>
      <w:r w:rsidRPr="000665B0">
        <w:rPr>
          <w:b/>
          <w:szCs w:val="24"/>
        </w:rPr>
        <w:tab/>
      </w:r>
      <w:r w:rsidR="003417E2" w:rsidRPr="000665B0">
        <w:rPr>
          <w:b/>
          <w:szCs w:val="24"/>
        </w:rPr>
        <w:t>All MSTM LMOs are removed from the LMO folder within the strike folder and are not sent.</w:t>
      </w:r>
    </w:p>
    <w:p w14:paraId="5E1F963C" w14:textId="451F6B69" w:rsidR="003417E2" w:rsidRPr="000665B0" w:rsidRDefault="00881ABF" w:rsidP="00881ABF">
      <w:pPr>
        <w:keepNext/>
        <w:keepLines/>
        <w:pBdr>
          <w:top w:val="single" w:sz="12" w:space="1" w:color="auto"/>
          <w:left w:val="single" w:sz="12" w:space="4" w:color="auto"/>
          <w:bottom w:val="single" w:sz="12" w:space="1" w:color="auto"/>
          <w:right w:val="single" w:sz="12" w:space="4" w:color="auto"/>
        </w:pBdr>
        <w:shd w:val="clear" w:color="auto" w:fill="D9D9D9"/>
        <w:ind w:left="360" w:hanging="360"/>
        <w:rPr>
          <w:b/>
          <w:szCs w:val="24"/>
        </w:rPr>
      </w:pPr>
      <w:r w:rsidRPr="000665B0">
        <w:rPr>
          <w:b/>
          <w:szCs w:val="24"/>
        </w:rPr>
        <w:t>b.</w:t>
      </w:r>
      <w:r w:rsidRPr="000665B0">
        <w:rPr>
          <w:b/>
          <w:szCs w:val="24"/>
        </w:rPr>
        <w:tab/>
      </w:r>
      <w:r w:rsidR="003417E2" w:rsidRPr="000665B0">
        <w:rPr>
          <w:b/>
          <w:szCs w:val="24"/>
        </w:rPr>
        <w:t>All MSTM assignments appear on MDS 5.x and 6.x as 109E comms-disabled reservations.</w:t>
      </w:r>
    </w:p>
    <w:p w14:paraId="20D019F7" w14:textId="1A20892D" w:rsidR="003417E2" w:rsidRPr="000665B0" w:rsidRDefault="00881ABF" w:rsidP="00881ABF">
      <w:pPr>
        <w:keepNext/>
        <w:keepLines/>
        <w:pBdr>
          <w:top w:val="single" w:sz="12" w:space="1" w:color="auto"/>
          <w:left w:val="single" w:sz="12" w:space="4" w:color="auto"/>
          <w:bottom w:val="single" w:sz="12" w:space="1" w:color="auto"/>
          <w:right w:val="single" w:sz="12" w:space="4" w:color="auto"/>
        </w:pBdr>
        <w:shd w:val="clear" w:color="auto" w:fill="D9D9D9"/>
        <w:ind w:left="360" w:hanging="360"/>
        <w:rPr>
          <w:b/>
          <w:szCs w:val="24"/>
        </w:rPr>
      </w:pPr>
      <w:r w:rsidRPr="000665B0">
        <w:rPr>
          <w:b/>
          <w:szCs w:val="24"/>
        </w:rPr>
        <w:t>c.</w:t>
      </w:r>
      <w:r w:rsidRPr="000665B0">
        <w:rPr>
          <w:b/>
          <w:szCs w:val="24"/>
        </w:rPr>
        <w:tab/>
      </w:r>
      <w:r w:rsidR="003417E2" w:rsidRPr="000665B0">
        <w:rPr>
          <w:b/>
          <w:szCs w:val="24"/>
        </w:rPr>
        <w:t xml:space="preserve">All </w:t>
      </w:r>
      <w:r w:rsidR="00F30E2A">
        <w:rPr>
          <w:b/>
          <w:szCs w:val="24"/>
        </w:rPr>
        <w:t>TMPRs that specify use of a MSTM</w:t>
      </w:r>
      <w:r w:rsidR="003417E2" w:rsidRPr="000665B0">
        <w:rPr>
          <w:b/>
          <w:szCs w:val="24"/>
        </w:rPr>
        <w:t xml:space="preserve"> display a Status of Missing TMPR in the strike folder MCM and strike option.</w:t>
      </w:r>
    </w:p>
    <w:p w14:paraId="7F2C023F" w14:textId="0369B548" w:rsidR="00881ABF" w:rsidRDefault="00881ABF" w:rsidP="00881ABF">
      <w:pPr>
        <w:keepNext/>
        <w:keepLines/>
        <w:pBdr>
          <w:top w:val="single" w:sz="12" w:space="1" w:color="auto"/>
          <w:left w:val="single" w:sz="12" w:space="4" w:color="auto"/>
          <w:bottom w:val="single" w:sz="12" w:space="1" w:color="auto"/>
          <w:right w:val="single" w:sz="12" w:space="4" w:color="auto"/>
        </w:pBdr>
        <w:shd w:val="clear" w:color="auto" w:fill="D9D9D9"/>
        <w:ind w:left="360" w:hanging="360"/>
        <w:rPr>
          <w:b/>
          <w:szCs w:val="24"/>
        </w:rPr>
      </w:pPr>
      <w:r w:rsidRPr="000665B0">
        <w:rPr>
          <w:b/>
          <w:szCs w:val="24"/>
        </w:rPr>
        <w:t>d.</w:t>
      </w:r>
      <w:r w:rsidRPr="000665B0">
        <w:rPr>
          <w:b/>
          <w:szCs w:val="24"/>
        </w:rPr>
        <w:tab/>
        <w:t>When the MSTM strike is returned by a legacy MDS 5.x or 6.x system, all MSTM strike components are restored to their original parameters.</w:t>
      </w:r>
    </w:p>
    <w:p w14:paraId="095C4275" w14:textId="26E89C0A" w:rsidR="005031F3" w:rsidRPr="000665B0" w:rsidRDefault="005031F3" w:rsidP="00BB4EBE">
      <w:pPr>
        <w:keepNext/>
        <w:keepLines/>
        <w:pBdr>
          <w:top w:val="single" w:sz="12" w:space="1" w:color="auto"/>
          <w:left w:val="single" w:sz="12" w:space="4" w:color="auto"/>
          <w:bottom w:val="single" w:sz="12" w:space="1" w:color="auto"/>
          <w:right w:val="single" w:sz="12" w:space="4" w:color="auto"/>
        </w:pBdr>
        <w:shd w:val="clear" w:color="auto" w:fill="D9D9D9"/>
        <w:spacing w:after="0"/>
        <w:ind w:left="360" w:hanging="360"/>
        <w:rPr>
          <w:b/>
          <w:szCs w:val="24"/>
        </w:rPr>
      </w:pPr>
      <w:r>
        <w:rPr>
          <w:b/>
          <w:szCs w:val="24"/>
        </w:rPr>
        <w:t>e.</w:t>
      </w:r>
      <w:r>
        <w:rPr>
          <w:b/>
          <w:szCs w:val="24"/>
        </w:rPr>
        <w:tab/>
        <w:t xml:space="preserve">On 6.0 systems, MSTM missiles will appear </w:t>
      </w:r>
      <w:r w:rsidR="00830E0C">
        <w:rPr>
          <w:b/>
          <w:szCs w:val="24"/>
        </w:rPr>
        <w:t>a</w:t>
      </w:r>
      <w:r>
        <w:rPr>
          <w:b/>
          <w:szCs w:val="24"/>
        </w:rPr>
        <w:t>s “not available</w:t>
      </w:r>
      <w:r w:rsidR="00830E0C">
        <w:rPr>
          <w:b/>
          <w:szCs w:val="24"/>
        </w:rPr>
        <w:t>”</w:t>
      </w:r>
      <w:r>
        <w:rPr>
          <w:b/>
          <w:szCs w:val="24"/>
        </w:rPr>
        <w:t>.</w:t>
      </w:r>
    </w:p>
    <w:p w14:paraId="61D3E4F3" w14:textId="77777777" w:rsidR="005456B0" w:rsidRDefault="005456B0" w:rsidP="00BB4EBE">
      <w:pPr>
        <w:spacing w:after="0"/>
      </w:pPr>
    </w:p>
    <w:p w14:paraId="1903284E" w14:textId="77777777" w:rsidR="005456B0" w:rsidRDefault="005456B0" w:rsidP="005456B0">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461A22">
        <w:rPr>
          <w:b/>
          <w:szCs w:val="24"/>
        </w:rPr>
        <w:t>Note:</w:t>
      </w:r>
    </w:p>
    <w:p w14:paraId="292DECA3" w14:textId="77777777" w:rsidR="005456B0" w:rsidRDefault="005456B0" w:rsidP="005456B0">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9D3D1E">
        <w:rPr>
          <w:b/>
          <w:szCs w:val="24"/>
        </w:rPr>
        <w:t>109M strike data is not recognized by pre-TMPC 7.0.3 nodes and pre-V</w:t>
      </w:r>
      <w:r>
        <w:rPr>
          <w:b/>
          <w:szCs w:val="24"/>
        </w:rPr>
        <w:t>7</w:t>
      </w:r>
      <w:r w:rsidRPr="009D3D1E">
        <w:rPr>
          <w:b/>
          <w:szCs w:val="24"/>
        </w:rPr>
        <w:t xml:space="preserve"> TTWCS nodes. When a DDO containing a 109M strike folder (with a 109M strike option containing 109M tasking such as 109M assignments, 109M Full and CFF LMOs) is distributed to those nodes, the following occurs:</w:t>
      </w:r>
    </w:p>
    <w:p w14:paraId="61DBFACF" w14:textId="77777777" w:rsidR="005456B0" w:rsidRPr="00461A22" w:rsidRDefault="005456B0" w:rsidP="005456B0">
      <w:pPr>
        <w:keepNext/>
        <w:keepLines/>
        <w:pBdr>
          <w:top w:val="single" w:sz="12" w:space="1" w:color="auto"/>
          <w:left w:val="single" w:sz="12" w:space="4" w:color="auto"/>
          <w:bottom w:val="single" w:sz="12" w:space="1" w:color="auto"/>
          <w:right w:val="single" w:sz="12" w:space="4" w:color="auto"/>
        </w:pBdr>
        <w:shd w:val="clear" w:color="auto" w:fill="D9D9D9"/>
        <w:ind w:left="360" w:hanging="360"/>
        <w:rPr>
          <w:b/>
          <w:szCs w:val="24"/>
        </w:rPr>
      </w:pPr>
      <w:r w:rsidRPr="00461A22">
        <w:rPr>
          <w:b/>
          <w:szCs w:val="24"/>
        </w:rPr>
        <w:t>a.</w:t>
      </w:r>
      <w:r w:rsidRPr="00461A22">
        <w:rPr>
          <w:b/>
          <w:szCs w:val="24"/>
        </w:rPr>
        <w:tab/>
      </w:r>
      <w:r>
        <w:rPr>
          <w:b/>
          <w:szCs w:val="24"/>
        </w:rPr>
        <w:t>All 109M LMOs are removed from the LMO Folder within the strike folder and are not sent.</w:t>
      </w:r>
    </w:p>
    <w:p w14:paraId="4F31CFFC" w14:textId="0493451F" w:rsidR="005456B0" w:rsidRPr="00461A22" w:rsidRDefault="005456B0" w:rsidP="00BB4EBE">
      <w:pPr>
        <w:keepNext/>
        <w:keepLines/>
        <w:pBdr>
          <w:top w:val="single" w:sz="12" w:space="1" w:color="auto"/>
          <w:left w:val="single" w:sz="12" w:space="4" w:color="auto"/>
          <w:bottom w:val="single" w:sz="12" w:space="1" w:color="auto"/>
          <w:right w:val="single" w:sz="12" w:space="4" w:color="auto"/>
        </w:pBdr>
        <w:shd w:val="clear" w:color="auto" w:fill="D9D9D9"/>
        <w:spacing w:after="0"/>
        <w:ind w:left="360" w:hanging="360"/>
        <w:rPr>
          <w:b/>
          <w:szCs w:val="24"/>
        </w:rPr>
      </w:pPr>
      <w:r w:rsidRPr="00461A22">
        <w:rPr>
          <w:b/>
          <w:szCs w:val="24"/>
        </w:rPr>
        <w:t>b.</w:t>
      </w:r>
      <w:r w:rsidRPr="00461A22">
        <w:rPr>
          <w:b/>
          <w:szCs w:val="24"/>
        </w:rPr>
        <w:tab/>
      </w:r>
      <w:r>
        <w:rPr>
          <w:b/>
          <w:szCs w:val="24"/>
        </w:rPr>
        <w:t>All 109M missile assignments are removed from the strike option and are not sent.</w:t>
      </w:r>
    </w:p>
    <w:p w14:paraId="4D1CB3C1" w14:textId="77777777" w:rsidR="003417E2" w:rsidRPr="000665B0" w:rsidRDefault="003417E2" w:rsidP="00BB4EBE">
      <w:pPr>
        <w:pStyle w:val="Number0205"/>
        <w:spacing w:after="0" w:line="0" w:lineRule="atLeast"/>
        <w:ind w:left="0" w:firstLine="0"/>
      </w:pPr>
    </w:p>
    <w:p w14:paraId="41795436" w14:textId="77777777" w:rsidR="004E3316" w:rsidRPr="000665B0" w:rsidRDefault="004E3316" w:rsidP="004E7DCC">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 xml:space="preserve">Note: </w:t>
      </w:r>
    </w:p>
    <w:p w14:paraId="66A08484" w14:textId="3EBE89D5" w:rsidR="004E3316" w:rsidRPr="000665B0" w:rsidRDefault="004E3316" w:rsidP="004E7DCC">
      <w:pPr>
        <w:keepNext/>
        <w:keepLines/>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0665B0">
        <w:rPr>
          <w:b/>
          <w:szCs w:val="24"/>
        </w:rPr>
        <w:t>DDOs addressed to a TTWCS 5.6+ node cannot contain any Overlays otherwise the DDO and all other associated data will fail to send. If there is an Overlay in the strike’s Resources tab, select each individual checkbox in the “Strike Data” pane (do not select the “Include All Strike Data” or the “Overlays” checkbox).</w:t>
      </w:r>
    </w:p>
    <w:p w14:paraId="616789C3" w14:textId="77777777" w:rsidR="00460CC7" w:rsidRPr="000665B0" w:rsidRDefault="00460CC7" w:rsidP="006D5A65">
      <w:pPr>
        <w:pStyle w:val="Heading2"/>
      </w:pPr>
      <w:r w:rsidRPr="000665B0">
        <w:t>ACMSs – Include</w:t>
      </w:r>
      <w:r w:rsidR="00C93F41" w:rsidRPr="000665B0">
        <w:t>s</w:t>
      </w:r>
      <w:r w:rsidRPr="000665B0">
        <w:t xml:space="preserve"> all the ACMS from the included Strike Folder’s ACMS type Geographic Resources and LMOs (Flight Corridor, Loiter Area, FPPWP, and Route Egress Flight Corridor). Also include</w:t>
      </w:r>
      <w:r w:rsidR="00C93F41" w:rsidRPr="000665B0">
        <w:t>s</w:t>
      </w:r>
      <w:r w:rsidRPr="000665B0">
        <w:t xml:space="preserve"> all the ACMS</w:t>
      </w:r>
      <w:r w:rsidR="00C93F41" w:rsidRPr="000665B0">
        <w:t>s</w:t>
      </w:r>
      <w:r w:rsidRPr="000665B0">
        <w:t xml:space="preserve"> from the included Strike Option’s Arsenal (PLP and Op Area), ACMS type Geographic Resources, Use Rates (Flight Corridor and Loiter Area), and referenced LMOs (Flight Corridor, Loiter Area, FPPWP, and Route Egress Flight Corridor).</w:t>
      </w:r>
    </w:p>
    <w:p w14:paraId="5C1CD86D" w14:textId="26B6C72D" w:rsidR="00460CC7" w:rsidRPr="000665B0" w:rsidRDefault="00460CC7" w:rsidP="006D5A65">
      <w:pPr>
        <w:pStyle w:val="Heading2"/>
      </w:pPr>
      <w:r w:rsidRPr="000665B0">
        <w:t>Crypto – Include</w:t>
      </w:r>
      <w:r w:rsidR="00C93F41" w:rsidRPr="000665B0">
        <w:t>s</w:t>
      </w:r>
      <w:r w:rsidRPr="000665B0">
        <w:t xml:space="preserve"> </w:t>
      </w:r>
      <w:r w:rsidR="00CE0C0F" w:rsidRPr="000665B0">
        <w:t>both the</w:t>
      </w:r>
      <w:r w:rsidRPr="000665B0">
        <w:t xml:space="preserve"> COMSEC and TRANSEC </w:t>
      </w:r>
      <w:r w:rsidR="00CE0C0F" w:rsidRPr="000665B0">
        <w:t xml:space="preserve">crypto for DAMA and ACA (if applicable) from the strike option’s </w:t>
      </w:r>
      <w:r w:rsidR="00CE0C0F" w:rsidRPr="000665B0">
        <w:rPr>
          <w:i/>
        </w:rPr>
        <w:t>TSN Comms</w:t>
      </w:r>
      <w:r w:rsidR="00CE0C0F" w:rsidRPr="000665B0">
        <w:t xml:space="preserve"> tab</w:t>
      </w:r>
      <w:r w:rsidRPr="000665B0">
        <w:t>.</w:t>
      </w:r>
    </w:p>
    <w:p w14:paraId="59A7BE97" w14:textId="77777777" w:rsidR="00460CC7" w:rsidRPr="000665B0" w:rsidRDefault="00460CC7" w:rsidP="006D5A65">
      <w:pPr>
        <w:pStyle w:val="Heading2"/>
      </w:pPr>
      <w:r w:rsidRPr="000665B0">
        <w:lastRenderedPageBreak/>
        <w:t>Mission Libraries – Include</w:t>
      </w:r>
      <w:r w:rsidR="00C93F41" w:rsidRPr="000665B0">
        <w:t>s</w:t>
      </w:r>
      <w:r w:rsidRPr="000665B0">
        <w:t xml:space="preserve"> all the Mission type Libraries that are referenced by the included Strike Folder’s and Strike Option’s Mission Candidates Matrix.</w:t>
      </w:r>
      <w:r w:rsidR="00802689" w:rsidRPr="000665B0">
        <w:rPr>
          <w:szCs w:val="24"/>
        </w:rPr>
        <w:t xml:space="preserve"> Note that the missions inside the mission library are not included. To include them, the user must manually add the Mission Library to the DDO.</w:t>
      </w:r>
    </w:p>
    <w:p w14:paraId="13477D67" w14:textId="77777777" w:rsidR="00460CC7" w:rsidRPr="000665B0" w:rsidRDefault="00460CC7" w:rsidP="006D5A65">
      <w:pPr>
        <w:pStyle w:val="Heading2"/>
      </w:pPr>
      <w:r w:rsidRPr="000665B0">
        <w:t>Missions – Include</w:t>
      </w:r>
      <w:r w:rsidR="00C93F41" w:rsidRPr="000665B0">
        <w:t>s</w:t>
      </w:r>
      <w:r w:rsidRPr="000665B0">
        <w:t xml:space="preserve"> all the Missions that are referenced by the included Strike Option’s Missions and Reservations. The Strike Option Missions are Missions in the Strike Option that have been declare</w:t>
      </w:r>
      <w:r w:rsidR="004C4548" w:rsidRPr="000665B0">
        <w:t>d</w:t>
      </w:r>
      <w:r w:rsidRPr="000665B0">
        <w:t xml:space="preserve"> for assignments needed. Also included with the Missions are the TERCOMs and DSMACs referenced by the included Missions.</w:t>
      </w:r>
    </w:p>
    <w:p w14:paraId="6C7D8FA7" w14:textId="6AF91A3B" w:rsidR="000B12D5" w:rsidRPr="000665B0" w:rsidRDefault="00EC533C" w:rsidP="006D5A65">
      <w:pPr>
        <w:pStyle w:val="Heading2"/>
      </w:pPr>
      <w:r w:rsidRPr="000665B0">
        <w:t>109E</w:t>
      </w:r>
      <w:r w:rsidR="000B12D5" w:rsidRPr="000665B0">
        <w:t xml:space="preserve"> TEFs –</w:t>
      </w:r>
      <w:r w:rsidR="008F7145" w:rsidRPr="000665B0">
        <w:t xml:space="preserve"> </w:t>
      </w:r>
      <w:r w:rsidR="00752875" w:rsidRPr="000665B0">
        <w:t xml:space="preserve">Includes </w:t>
      </w:r>
      <w:r w:rsidR="00BD7836" w:rsidRPr="000665B0">
        <w:t>109E</w:t>
      </w:r>
      <w:r w:rsidR="00752875" w:rsidRPr="000665B0">
        <w:t xml:space="preserve"> TEFs of mission, which are needed when missile redirection from the associated mission is performed during post-launch execution.</w:t>
      </w:r>
    </w:p>
    <w:p w14:paraId="4EFF25EE" w14:textId="17BC728D" w:rsidR="00BC7B51" w:rsidRPr="000665B0" w:rsidRDefault="000B12D5" w:rsidP="006D5A65">
      <w:pPr>
        <w:pStyle w:val="Heading2"/>
      </w:pPr>
      <w:r w:rsidRPr="000665B0">
        <w:t xml:space="preserve">All TEFs – </w:t>
      </w:r>
      <w:r w:rsidR="00752875" w:rsidRPr="000665B0">
        <w:t xml:space="preserve">Includes Blk III and </w:t>
      </w:r>
      <w:r w:rsidR="00EC533C" w:rsidRPr="000665B0">
        <w:t>109E</w:t>
      </w:r>
      <w:r w:rsidR="00752875" w:rsidRPr="000665B0">
        <w:t xml:space="preserve"> TEFs of mission.</w:t>
      </w:r>
    </w:p>
    <w:p w14:paraId="1EE50394" w14:textId="4C6A7E3F" w:rsidR="00572C7B" w:rsidRPr="000665B0" w:rsidRDefault="00572C7B" w:rsidP="006D5A65">
      <w:pPr>
        <w:pStyle w:val="Heading1"/>
      </w:pPr>
      <w:r w:rsidRPr="000665B0">
        <w:t xml:space="preserve">When sending TEF data to both CMSA/TSMPC and </w:t>
      </w:r>
      <w:r w:rsidRPr="001F4B14">
        <w:rPr>
          <w:i/>
          <w:iCs/>
        </w:rPr>
        <w:t>non-</w:t>
      </w:r>
      <w:r w:rsidR="00F37910" w:rsidRPr="001F4B14">
        <w:rPr>
          <w:i/>
          <w:iCs/>
        </w:rPr>
        <w:t>C</w:t>
      </w:r>
      <w:r w:rsidR="00F37910">
        <w:rPr>
          <w:i/>
          <w:iCs/>
        </w:rPr>
        <w:t>MS</w:t>
      </w:r>
      <w:r w:rsidR="00F37910" w:rsidRPr="001F4B14">
        <w:rPr>
          <w:i/>
          <w:iCs/>
        </w:rPr>
        <w:t>A</w:t>
      </w:r>
      <w:r w:rsidRPr="000665B0">
        <w:t xml:space="preserve">/TSMPC recipients, it is recommended to create two separate DDOs – one DDO for each type of recipient. A mission’s target data is only required for copying/modifying a mission, not retarget planning. When sending to CMSA/TSMPC recipients, TGTDB and </w:t>
      </w:r>
      <w:r w:rsidR="00E75AC3">
        <w:t>TAWS</w:t>
      </w:r>
      <w:r w:rsidRPr="000665B0">
        <w:t xml:space="preserve"> DB data is included </w:t>
      </w:r>
      <w:r w:rsidR="00AE2057" w:rsidRPr="000665B0">
        <w:t>along with</w:t>
      </w:r>
      <w:r w:rsidRPr="000665B0">
        <w:t xml:space="preserve"> the TEF. When sending to non-CMSA/TSMPC recipients, TGTDB and </w:t>
      </w:r>
      <w:r w:rsidR="00E75AC3">
        <w:t>TAWS</w:t>
      </w:r>
      <w:r w:rsidRPr="000665B0">
        <w:t xml:space="preserve"> DB data is not required (and therefore not included) </w:t>
      </w:r>
      <w:r w:rsidR="00AE2057" w:rsidRPr="000665B0">
        <w:t>with</w:t>
      </w:r>
      <w:r w:rsidRPr="000665B0">
        <w:t xml:space="preserve"> the TEF.</w:t>
      </w:r>
      <w:r w:rsidR="0020421E" w:rsidRPr="0020421E">
        <w:t xml:space="preserve"> Checking the </w:t>
      </w:r>
      <w:r w:rsidR="0020421E" w:rsidRPr="00273176">
        <w:rPr>
          <w:bCs/>
        </w:rPr>
        <w:t xml:space="preserve">User Preference Attach the </w:t>
      </w:r>
      <w:r w:rsidR="003B4B4F">
        <w:rPr>
          <w:bCs/>
        </w:rPr>
        <w:t>TAWS</w:t>
      </w:r>
      <w:r w:rsidR="0020421E" w:rsidRPr="00273176">
        <w:rPr>
          <w:bCs/>
        </w:rPr>
        <w:t xml:space="preserve"> in DDOs Containing TEFs</w:t>
      </w:r>
      <w:r w:rsidR="0020421E" w:rsidRPr="0020421E">
        <w:t xml:space="preserve"> will automatically send </w:t>
      </w:r>
      <w:r w:rsidR="003B4B4F">
        <w:t>TAWS</w:t>
      </w:r>
      <w:r w:rsidR="0020421E" w:rsidRPr="0020421E">
        <w:t xml:space="preserve"> when sending TEFs to CMSA/TSMPC. See </w:t>
      </w:r>
      <w:hyperlink w:anchor="_Set_Mission_Distribution" w:history="1">
        <w:r w:rsidR="0020421E" w:rsidRPr="005F64E1">
          <w:rPr>
            <w:rStyle w:val="Hyperlink"/>
          </w:rPr>
          <w:t xml:space="preserve">Section </w:t>
        </w:r>
        <w:r w:rsidR="004231CC">
          <w:rPr>
            <w:rStyle w:val="Hyperlink"/>
          </w:rPr>
          <w:t>5.16</w:t>
        </w:r>
        <w:r w:rsidR="0020421E" w:rsidRPr="005F64E1">
          <w:rPr>
            <w:rStyle w:val="Hyperlink"/>
          </w:rPr>
          <w:t>.2</w:t>
        </w:r>
      </w:hyperlink>
      <w:r w:rsidR="00DB7DA1" w:rsidRPr="000665B0">
        <w:t xml:space="preserve"> </w:t>
      </w:r>
    </w:p>
    <w:p w14:paraId="5B0C93F0" w14:textId="58063AD4" w:rsidR="005456B0" w:rsidRDefault="00BC7B51" w:rsidP="006D5A65">
      <w:pPr>
        <w:pStyle w:val="Heading1"/>
      </w:pPr>
      <w:r w:rsidRPr="000665B0">
        <w:t xml:space="preserve">The TEF format typically changes to match each major TMPC version. When sending TEFs to legacy TMPC systems, distribution automatically sends the correct TEF in the proper legacy format that is readable by the legacy system. </w:t>
      </w:r>
      <w:r w:rsidR="003B6D7D">
        <w:rPr>
          <w:szCs w:val="24"/>
        </w:rPr>
        <w:t>MDS displays up to four TEF formats for each mission to support the corresponding TMPC versions.</w:t>
      </w:r>
      <w:r w:rsidRPr="000665B0">
        <w:rPr>
          <w:snapToGrid w:val="0"/>
        </w:rPr>
        <w:t xml:space="preserve"> </w:t>
      </w:r>
      <w:r w:rsidRPr="000665B0">
        <w:t xml:space="preserve">When a DDO is sent, if distribution determines a specific TEF </w:t>
      </w:r>
      <w:r w:rsidR="00E824AD" w:rsidRPr="000665B0">
        <w:t xml:space="preserve">format </w:t>
      </w:r>
      <w:r w:rsidRPr="000665B0">
        <w:t xml:space="preserve">is missing, MDS will task TPS to generate the missing TEF. For more information about TEFs and TEF </w:t>
      </w:r>
      <w:r w:rsidR="00E824AD" w:rsidRPr="000665B0">
        <w:t>formats</w:t>
      </w:r>
      <w:r w:rsidRPr="000665B0">
        <w:t xml:space="preserve">, see </w:t>
      </w:r>
      <w:hyperlink w:anchor="_5.6__MISSIONS" w:history="1">
        <w:r w:rsidRPr="000665B0">
          <w:rPr>
            <w:rStyle w:val="Hyperlink"/>
          </w:rPr>
          <w:t>Section 5.5</w:t>
        </w:r>
      </w:hyperlink>
      <w:r w:rsidRPr="000665B0">
        <w:t xml:space="preserve">. For </w:t>
      </w:r>
      <w:r w:rsidRPr="000665B0">
        <w:lastRenderedPageBreak/>
        <w:t xml:space="preserve">more information about sending TEFs to legacy TMPC systems, see </w:t>
      </w:r>
      <w:hyperlink w:anchor="_appendix_K_" w:history="1">
        <w:r w:rsidRPr="000665B0">
          <w:rPr>
            <w:rStyle w:val="Hyperlink"/>
          </w:rPr>
          <w:t>Appendix K</w:t>
        </w:r>
      </w:hyperlink>
      <w:r w:rsidRPr="000665B0">
        <w:t>.</w:t>
      </w:r>
    </w:p>
    <w:p w14:paraId="25439A60" w14:textId="77777777" w:rsidR="005456B0" w:rsidRPr="000665B0" w:rsidRDefault="005456B0" w:rsidP="005456B0">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bookmarkStart w:id="6461" w:name="_Hlk168322498"/>
      <w:r w:rsidRPr="000665B0">
        <w:rPr>
          <w:b/>
          <w:szCs w:val="24"/>
        </w:rPr>
        <w:t>Note:</w:t>
      </w:r>
    </w:p>
    <w:p w14:paraId="3FAFFC38" w14:textId="6BF410E8" w:rsidR="005456B0" w:rsidRPr="00BB4EBE" w:rsidRDefault="005456B0" w:rsidP="00BB4EBE">
      <w:pPr>
        <w:keepNext/>
        <w:keepLines/>
        <w:pBdr>
          <w:top w:val="single" w:sz="12" w:space="1" w:color="auto"/>
          <w:left w:val="single" w:sz="12" w:space="4" w:color="auto"/>
          <w:bottom w:val="single" w:sz="12" w:space="1" w:color="auto"/>
          <w:right w:val="single" w:sz="12" w:space="4" w:color="auto"/>
        </w:pBdr>
        <w:shd w:val="clear" w:color="auto" w:fill="D9D9D9"/>
        <w:jc w:val="center"/>
        <w:rPr>
          <w:b/>
          <w:szCs w:val="24"/>
        </w:rPr>
      </w:pPr>
      <w:r>
        <w:rPr>
          <w:b/>
          <w:szCs w:val="24"/>
        </w:rPr>
        <w:t>TMPC 7.0.3 is compatible with TPS 7.0.1 which cannot generate 109M TEFs. Selecting All TEFs will not generate 109M TEFs.</w:t>
      </w:r>
      <w:bookmarkEnd w:id="6461"/>
    </w:p>
    <w:p w14:paraId="5C325655" w14:textId="484BDA9F" w:rsidR="000B12D5" w:rsidRPr="000665B0" w:rsidRDefault="00813F09" w:rsidP="006D5A65">
      <w:pPr>
        <w:pStyle w:val="Heading2"/>
      </w:pPr>
      <w:r w:rsidRPr="000665B0">
        <w:t xml:space="preserve">Task </w:t>
      </w:r>
      <w:r w:rsidR="000B12D5" w:rsidRPr="000665B0">
        <w:t xml:space="preserve">Organization – Includes the </w:t>
      </w:r>
      <w:r w:rsidRPr="000665B0">
        <w:t xml:space="preserve">Task </w:t>
      </w:r>
      <w:r w:rsidR="000B12D5" w:rsidRPr="000665B0">
        <w:t>Organization identified in the Strike Folder that is associated with that Strike Option</w:t>
      </w:r>
      <w:r w:rsidR="00B17E3C" w:rsidRPr="000665B0">
        <w:t xml:space="preserve">. The </w:t>
      </w:r>
      <w:r w:rsidRPr="000665B0">
        <w:t>Task</w:t>
      </w:r>
      <w:r w:rsidRPr="000665B0" w:rsidDel="00813F09">
        <w:t xml:space="preserve"> </w:t>
      </w:r>
      <w:r w:rsidR="00B17E3C" w:rsidRPr="000665B0">
        <w:t>Organization is automatically included when sending a Strike Folder; it must be selected when sending a Strike Option.</w:t>
      </w:r>
    </w:p>
    <w:p w14:paraId="4DAFCF71" w14:textId="77777777" w:rsidR="00460CC7" w:rsidRPr="000665B0" w:rsidRDefault="00460CC7" w:rsidP="006D5A65">
      <w:pPr>
        <w:pStyle w:val="Heading2"/>
      </w:pPr>
      <w:r w:rsidRPr="000665B0">
        <w:t>Queries – Include</w:t>
      </w:r>
      <w:r w:rsidR="00C93F41" w:rsidRPr="000665B0">
        <w:t>s</w:t>
      </w:r>
      <w:r w:rsidRPr="000665B0">
        <w:t xml:space="preserve"> all the Mission Queries that are referenced by the included Strike Folder’s and Strike Option’s Mission Candidates Matrix.</w:t>
      </w:r>
    </w:p>
    <w:p w14:paraId="0A7643C5" w14:textId="5185AA8B" w:rsidR="000B12D5" w:rsidRPr="000665B0" w:rsidRDefault="000B12D5" w:rsidP="006D5A65">
      <w:pPr>
        <w:pStyle w:val="Heading2"/>
      </w:pPr>
      <w:r w:rsidRPr="000665B0">
        <w:t>Strike Attachments – Includes all the files that are referenced by the Strike Folder’s attachments and the Strike Execution Folder’s attachments.</w:t>
      </w:r>
    </w:p>
    <w:p w14:paraId="6CB60627" w14:textId="77777777" w:rsidR="00460CC7" w:rsidRPr="000665B0" w:rsidRDefault="00460CC7" w:rsidP="006D5A65">
      <w:pPr>
        <w:pStyle w:val="Heading2"/>
      </w:pPr>
      <w:r w:rsidRPr="000665B0">
        <w:t>Targets – Include</w:t>
      </w:r>
      <w:r w:rsidR="00C93F41" w:rsidRPr="000665B0">
        <w:t>s</w:t>
      </w:r>
      <w:r w:rsidRPr="000665B0">
        <w:t xml:space="preserve"> all the Targets that are referenced by the included Strike Option’s Tasking.</w:t>
      </w:r>
    </w:p>
    <w:p w14:paraId="1E16F9C9" w14:textId="77777777" w:rsidR="00460CC7" w:rsidRPr="000665B0" w:rsidRDefault="00460CC7" w:rsidP="006D5A65">
      <w:pPr>
        <w:pStyle w:val="Heading2"/>
      </w:pPr>
      <w:r w:rsidRPr="000665B0">
        <w:t>TMPRs – Include</w:t>
      </w:r>
      <w:r w:rsidR="00C93F41" w:rsidRPr="000665B0">
        <w:t>s</w:t>
      </w:r>
      <w:r w:rsidRPr="000665B0">
        <w:t xml:space="preserve"> all the TMPRs that are referenced by the included Strike Option’s Missions and Reservations.</w:t>
      </w:r>
    </w:p>
    <w:p w14:paraId="0FC10549" w14:textId="15F55C00" w:rsidR="000B12D5" w:rsidRPr="000665B0" w:rsidRDefault="000B12D5" w:rsidP="006D5A65">
      <w:pPr>
        <w:pStyle w:val="Heading2"/>
      </w:pPr>
      <w:r w:rsidRPr="000665B0">
        <w:t>Overlays – Includes all the Overlays that are referenced by the included Strike Folder’s and Strike Option’s Geographic Resources.</w:t>
      </w:r>
      <w:r w:rsidR="004E3316" w:rsidRPr="000665B0">
        <w:t xml:space="preserve"> DDOs addressed to a TTWCS 5.6+ node cannot contain any Overlays otherwise the DDO and all other associated data will fail to send.</w:t>
      </w:r>
    </w:p>
    <w:p w14:paraId="5F60C483" w14:textId="4DF260FF" w:rsidR="00E00AC2" w:rsidRPr="000665B0" w:rsidRDefault="00E00AC2" w:rsidP="006D5A65">
      <w:pPr>
        <w:pStyle w:val="Heading2"/>
      </w:pPr>
      <w:r w:rsidRPr="000665B0">
        <w:t>Scenarios: Includes the scenarios referenced by the strike option.</w:t>
      </w:r>
      <w:r w:rsidR="00CD3E0B" w:rsidRPr="000665B0">
        <w:t xml:space="preserve"> (Applies to MDS 6.0 </w:t>
      </w:r>
      <w:r w:rsidR="005619C1" w:rsidRPr="000665B0">
        <w:t>[</w:t>
      </w:r>
      <w:r w:rsidR="00CD3E0B" w:rsidRPr="000665B0">
        <w:t>and above</w:t>
      </w:r>
      <w:r w:rsidR="005619C1" w:rsidRPr="000665B0">
        <w:t>]</w:t>
      </w:r>
      <w:r w:rsidR="00CD3E0B" w:rsidRPr="000665B0">
        <w:t xml:space="preserve"> only; Scenarios are not sent to MDS 5.0.2 or below.)</w:t>
      </w:r>
    </w:p>
    <w:p w14:paraId="334B12B4" w14:textId="14F43A16" w:rsidR="00E32A79" w:rsidRPr="000665B0" w:rsidRDefault="00C93F41" w:rsidP="006D5A65">
      <w:pPr>
        <w:pStyle w:val="Heading1"/>
      </w:pPr>
      <w:r w:rsidRPr="000665B0">
        <w:rPr>
          <w:snapToGrid w:val="0"/>
        </w:rPr>
        <w:t xml:space="preserve">Complete the remainder of the DDO Template. </w:t>
      </w:r>
      <w:r w:rsidR="005939A6" w:rsidRPr="000665B0">
        <w:rPr>
          <w:snapToGrid w:val="0"/>
        </w:rPr>
        <w:t xml:space="preserve">For more details on DDO Templates see </w:t>
      </w:r>
      <w:hyperlink w:anchor="_5.21__DDO" w:history="1">
        <w:r w:rsidR="00DE0842" w:rsidRPr="000665B0">
          <w:rPr>
            <w:rStyle w:val="Hyperlink"/>
            <w:snapToGrid w:val="0"/>
          </w:rPr>
          <w:t xml:space="preserve">Section </w:t>
        </w:r>
        <w:r w:rsidR="004231CC">
          <w:rPr>
            <w:rStyle w:val="Hyperlink"/>
            <w:snapToGrid w:val="0"/>
          </w:rPr>
          <w:t>5.16</w:t>
        </w:r>
      </w:hyperlink>
      <w:r w:rsidR="005939A6" w:rsidRPr="000665B0">
        <w:rPr>
          <w:snapToGrid w:val="0"/>
        </w:rPr>
        <w:t>.</w:t>
      </w:r>
    </w:p>
    <w:p w14:paraId="01D57537" w14:textId="00D719C9" w:rsidR="0069320E" w:rsidRPr="000665B0" w:rsidRDefault="002944ED" w:rsidP="0069320E">
      <w:pPr>
        <w:tabs>
          <w:tab w:val="left" w:pos="720"/>
        </w:tabs>
      </w:pPr>
      <w:r w:rsidRPr="000665B0">
        <w:t xml:space="preserve">Strike Options can be distributed to TTWCS in the form of ESPs. TTWCS can only process a valid ESP therefore the DDO Processor checks the validity of the Strike Options before they are converted to ESPs. Some verification checks include: valid use state (not Null), execution time (must be earlier than the earliest missile launch times), valid Strike start and last target times, and valid COMSEC and TRANSEC keys for </w:t>
      </w:r>
      <w:r w:rsidR="00152413" w:rsidRPr="000665B0">
        <w:t>comms-</w:t>
      </w:r>
      <w:r w:rsidRPr="000665B0">
        <w:t>enabled missiles.</w:t>
      </w:r>
      <w:r w:rsidR="0069320E" w:rsidRPr="000665B0">
        <w:t xml:space="preserve"> Strike packages that contain only </w:t>
      </w:r>
      <w:r w:rsidR="004C34C6" w:rsidRPr="000665B0">
        <w:t>109E</w:t>
      </w:r>
      <w:r w:rsidR="0069320E" w:rsidRPr="000665B0">
        <w:t xml:space="preserve"> pooled missiles cannot be sent to TTWCS unless primary tasking is added to the strike </w:t>
      </w:r>
      <w:r w:rsidR="0069320E" w:rsidRPr="000665B0">
        <w:rPr>
          <w:b/>
        </w:rPr>
        <w:t>before</w:t>
      </w:r>
      <w:r w:rsidR="0069320E" w:rsidRPr="000665B0">
        <w:t xml:space="preserve"> pooled tasking. Sending a strike where </w:t>
      </w:r>
      <w:r w:rsidR="004C34C6" w:rsidRPr="000665B0">
        <w:t>109E</w:t>
      </w:r>
      <w:r w:rsidR="0069320E" w:rsidRPr="000665B0">
        <w:t xml:space="preserve"> pooled tasking is added before </w:t>
      </w:r>
      <w:r w:rsidR="0069320E" w:rsidRPr="000665B0">
        <w:lastRenderedPageBreak/>
        <w:t xml:space="preserve">primary tasking results in an error and the strike will not be sent. The timing for pooled missiles is ignored, so the strike does not have a start and stop time to obtain the correct Crypto. </w:t>
      </w:r>
    </w:p>
    <w:p w14:paraId="74FE61D2" w14:textId="77777777" w:rsidR="0069320E" w:rsidRPr="000665B0" w:rsidRDefault="0069320E" w:rsidP="0069320E">
      <w:pPr>
        <w:tabs>
          <w:tab w:val="left" w:pos="720"/>
        </w:tabs>
      </w:pPr>
      <w:r w:rsidRPr="000665B0">
        <w:t xml:space="preserve">To ensure that the strike will be sent to TTWCS when creating a new strike package, add the </w:t>
      </w:r>
      <w:r w:rsidR="004C34C6" w:rsidRPr="000665B0">
        <w:t>109E</w:t>
      </w:r>
      <w:r w:rsidRPr="000665B0">
        <w:t xml:space="preserve"> primary tasking before </w:t>
      </w:r>
      <w:r w:rsidR="004C34C6" w:rsidRPr="000665B0">
        <w:t>109E</w:t>
      </w:r>
      <w:r w:rsidRPr="000665B0">
        <w:t xml:space="preserve"> pooled tasking per the following steps:</w:t>
      </w:r>
    </w:p>
    <w:p w14:paraId="5DFBA0E3" w14:textId="77777777" w:rsidR="0069320E" w:rsidRPr="000665B0" w:rsidRDefault="0069320E" w:rsidP="006D5A65">
      <w:pPr>
        <w:pStyle w:val="Heading1"/>
      </w:pPr>
      <w:r w:rsidRPr="000665B0">
        <w:t>Insert primary tasking to the strike package.</w:t>
      </w:r>
    </w:p>
    <w:p w14:paraId="19580F17" w14:textId="77777777" w:rsidR="0069320E" w:rsidRPr="000665B0" w:rsidRDefault="0069320E" w:rsidP="006D5A65">
      <w:pPr>
        <w:pStyle w:val="Heading1"/>
      </w:pPr>
      <w:r w:rsidRPr="000665B0">
        <w:t>Add pooled tasking to the strike package.</w:t>
      </w:r>
    </w:p>
    <w:p w14:paraId="6247AB09" w14:textId="77777777" w:rsidR="0069320E" w:rsidRPr="000665B0" w:rsidRDefault="0069320E" w:rsidP="006D5A65">
      <w:pPr>
        <w:pStyle w:val="Heading1"/>
      </w:pPr>
      <w:r w:rsidRPr="000665B0">
        <w:t>Turn the strike into a strike package.</w:t>
      </w:r>
    </w:p>
    <w:p w14:paraId="7279759F" w14:textId="77777777" w:rsidR="0069320E" w:rsidRPr="000665B0" w:rsidRDefault="0069320E" w:rsidP="006D5A65">
      <w:pPr>
        <w:pStyle w:val="Heading1"/>
      </w:pPr>
      <w:r w:rsidRPr="000665B0">
        <w:t>Change the strike’s Use State to Execute.</w:t>
      </w:r>
    </w:p>
    <w:p w14:paraId="38A2508B" w14:textId="5704E6D2" w:rsidR="0069320E" w:rsidRPr="000665B0" w:rsidRDefault="0069320E" w:rsidP="006D5A65">
      <w:pPr>
        <w:pStyle w:val="Heading1"/>
      </w:pPr>
      <w:r w:rsidRPr="000665B0">
        <w:t xml:space="preserve">Delete the primary tasking from the strike </w:t>
      </w:r>
      <w:r w:rsidR="00FC1869" w:rsidRPr="000665B0">
        <w:t>package.</w:t>
      </w:r>
    </w:p>
    <w:p w14:paraId="45F8C108" w14:textId="77777777" w:rsidR="0069320E" w:rsidRPr="000665B0" w:rsidRDefault="0069320E" w:rsidP="006D5A65">
      <w:pPr>
        <w:pStyle w:val="Heading1"/>
      </w:pPr>
      <w:r w:rsidRPr="000665B0">
        <w:t>Send the strike package to TTWCS.</w:t>
      </w:r>
    </w:p>
    <w:p w14:paraId="73123641" w14:textId="77777777" w:rsidR="0069320E" w:rsidRPr="000665B0" w:rsidRDefault="0069320E" w:rsidP="0069320E">
      <w:pPr>
        <w:tabs>
          <w:tab w:val="left" w:pos="720"/>
        </w:tabs>
      </w:pPr>
      <w:r w:rsidRPr="000665B0">
        <w:t xml:space="preserve">To ensure that the strike will be sent to TTWCS for an existing strike package where </w:t>
      </w:r>
      <w:r w:rsidR="004C34C6" w:rsidRPr="000665B0">
        <w:t>109E</w:t>
      </w:r>
      <w:r w:rsidRPr="000665B0">
        <w:t xml:space="preserve"> pooled tasking was added before primary tasking, correct the strike per following steps:</w:t>
      </w:r>
    </w:p>
    <w:p w14:paraId="1CB86077" w14:textId="77777777" w:rsidR="0069320E" w:rsidRPr="000665B0" w:rsidRDefault="0069320E" w:rsidP="006D5A65">
      <w:pPr>
        <w:pStyle w:val="Heading1"/>
      </w:pPr>
      <w:r w:rsidRPr="000665B0">
        <w:t>Open the strike package.</w:t>
      </w:r>
    </w:p>
    <w:p w14:paraId="68596AA7" w14:textId="77777777" w:rsidR="0069320E" w:rsidRPr="000665B0" w:rsidRDefault="0069320E" w:rsidP="006D5A65">
      <w:pPr>
        <w:pStyle w:val="Heading1"/>
      </w:pPr>
      <w:r w:rsidRPr="000665B0">
        <w:t>Remove the pooled missiles that were entered before the first primary (RSV column in the BP assignment is lower than the first P assignment).</w:t>
      </w:r>
    </w:p>
    <w:p w14:paraId="495D7610" w14:textId="77777777" w:rsidR="0069320E" w:rsidRPr="000665B0" w:rsidRDefault="0069320E" w:rsidP="006D5A65">
      <w:pPr>
        <w:pStyle w:val="Heading1"/>
      </w:pPr>
      <w:r w:rsidRPr="000665B0">
        <w:t>Perform a Save As.</w:t>
      </w:r>
    </w:p>
    <w:p w14:paraId="21872526" w14:textId="77777777" w:rsidR="0069320E" w:rsidRPr="000665B0" w:rsidRDefault="0069320E" w:rsidP="006D5A65">
      <w:pPr>
        <w:pStyle w:val="Heading1"/>
      </w:pPr>
      <w:r w:rsidRPr="000665B0">
        <w:t>Read back the pooled missiles.</w:t>
      </w:r>
    </w:p>
    <w:p w14:paraId="58A8D468" w14:textId="77777777" w:rsidR="0069320E" w:rsidRPr="000665B0" w:rsidRDefault="0069320E" w:rsidP="006D5A65">
      <w:pPr>
        <w:pStyle w:val="Heading1"/>
      </w:pPr>
      <w:r w:rsidRPr="000665B0">
        <w:t>Turn the strike into a strike package.</w:t>
      </w:r>
    </w:p>
    <w:p w14:paraId="5FE97D0F" w14:textId="77777777" w:rsidR="0069320E" w:rsidRPr="000665B0" w:rsidRDefault="0069320E" w:rsidP="006D5A65">
      <w:pPr>
        <w:pStyle w:val="Heading1"/>
      </w:pPr>
      <w:r w:rsidRPr="000665B0">
        <w:t>Change the strike’s Use State to Execute.</w:t>
      </w:r>
    </w:p>
    <w:p w14:paraId="1B6F9C24" w14:textId="77777777" w:rsidR="00921BE8" w:rsidRPr="000665B0" w:rsidRDefault="0069320E" w:rsidP="006D5A65">
      <w:pPr>
        <w:pStyle w:val="Heading1"/>
      </w:pPr>
      <w:r w:rsidRPr="000665B0">
        <w:t>Send the strike package to TTWCS.</w:t>
      </w:r>
      <w:r w:rsidR="00921BE8" w:rsidRPr="000665B0">
        <w:t xml:space="preserve"> </w:t>
      </w:r>
    </w:p>
    <w:p w14:paraId="23C5D5F0" w14:textId="77777777" w:rsidR="00921BE8" w:rsidRPr="000665B0" w:rsidRDefault="00921BE8" w:rsidP="00172AD0">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77AD2F40" w14:textId="7F48949A" w:rsidR="00921BE8" w:rsidRPr="000665B0" w:rsidRDefault="00921BE8" w:rsidP="00172AD0">
      <w:pPr>
        <w:keepNext/>
        <w:keepLines/>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0665B0">
        <w:rPr>
          <w:b/>
          <w:szCs w:val="24"/>
        </w:rPr>
        <w:t xml:space="preserve">When viewed on a </w:t>
      </w:r>
      <w:r w:rsidR="00A255BB" w:rsidRPr="000665B0">
        <w:rPr>
          <w:b/>
          <w:szCs w:val="24"/>
        </w:rPr>
        <w:t xml:space="preserve">TTWCS </w:t>
      </w:r>
      <w:r w:rsidRPr="000665B0">
        <w:rPr>
          <w:b/>
          <w:szCs w:val="24"/>
        </w:rPr>
        <w:t xml:space="preserve">machine, strikes distributed to TTWCS display a different start and end time when compared to MDS. TTWCS displays the start time as two hours earlier than the earliest time of launch, and the end time as two hours later than the latest TOT. This enables the TTWCS operator to launch missiles early or late. </w:t>
      </w:r>
    </w:p>
    <w:p w14:paraId="49FAAD00" w14:textId="7CBE202F" w:rsidR="00460CC7" w:rsidRPr="000665B0" w:rsidRDefault="00460CC7" w:rsidP="00921BE8">
      <w:r w:rsidRPr="000665B0">
        <w:t>Once the Strike Data has been selected to be distributed, the DDO Processor format</w:t>
      </w:r>
      <w:r w:rsidR="00D12EE1" w:rsidRPr="000665B0">
        <w:t>s</w:t>
      </w:r>
      <w:r w:rsidRPr="000665B0">
        <w:t xml:space="preserve"> and package</w:t>
      </w:r>
      <w:r w:rsidR="00D12EE1" w:rsidRPr="000665B0">
        <w:t>s</w:t>
      </w:r>
      <w:r w:rsidRPr="000665B0">
        <w:t xml:space="preserve"> the data based on the destination</w:t>
      </w:r>
      <w:r w:rsidR="00D12EE1" w:rsidRPr="000665B0">
        <w:t>(s)</w:t>
      </w:r>
      <w:r w:rsidRPr="000665B0">
        <w:t xml:space="preserve"> and distribution mode. If the distribution mode is of type </w:t>
      </w:r>
      <w:r w:rsidRPr="000665B0">
        <w:rPr>
          <w:i/>
        </w:rPr>
        <w:t>Comms</w:t>
      </w:r>
      <w:r w:rsidRPr="000665B0">
        <w:t xml:space="preserve">, then the Node type and software version from the distribution list </w:t>
      </w:r>
      <w:r w:rsidR="00D12EE1" w:rsidRPr="000665B0">
        <w:t>is</w:t>
      </w:r>
      <w:r w:rsidRPr="000665B0">
        <w:t xml:space="preserve"> used to det</w:t>
      </w:r>
      <w:r w:rsidR="002944ED" w:rsidRPr="000665B0">
        <w:t>ermine the formats to produce. For example, t</w:t>
      </w:r>
      <w:r w:rsidRPr="000665B0">
        <w:t>he DDO Processor create</w:t>
      </w:r>
      <w:r w:rsidR="00D12EE1" w:rsidRPr="000665B0">
        <w:t>s</w:t>
      </w:r>
      <w:r w:rsidRPr="000665B0">
        <w:t xml:space="preserve"> MDS Strike XML document</w:t>
      </w:r>
      <w:r w:rsidR="002944ED" w:rsidRPr="000665B0">
        <w:t>s</w:t>
      </w:r>
      <w:r w:rsidRPr="000665B0">
        <w:t xml:space="preserve"> if there are Nodes of type “MDS</w:t>
      </w:r>
      <w:r w:rsidR="00D12EE1" w:rsidRPr="000665B0">
        <w:t>.</w:t>
      </w:r>
      <w:r w:rsidRPr="000665B0">
        <w:t>” The DDO Processor create</w:t>
      </w:r>
      <w:r w:rsidR="00D12EE1" w:rsidRPr="000665B0">
        <w:t>s</w:t>
      </w:r>
      <w:r w:rsidRPr="000665B0">
        <w:t xml:space="preserve"> an ESP for Nodes of type “TTWCS</w:t>
      </w:r>
      <w:r w:rsidR="00D12EE1" w:rsidRPr="000665B0">
        <w:t>.</w:t>
      </w:r>
      <w:r w:rsidRPr="000665B0">
        <w:t xml:space="preserve">” If the distribution mode is of type </w:t>
      </w:r>
      <w:r w:rsidRPr="000665B0">
        <w:rPr>
          <w:i/>
        </w:rPr>
        <w:t>Media</w:t>
      </w:r>
      <w:r w:rsidRPr="000665B0">
        <w:t>, then the combination of the distribution list and the media information type checkboxes will be used to determine the formats to produce.</w:t>
      </w:r>
    </w:p>
    <w:p w14:paraId="40B5FE01" w14:textId="218601FA" w:rsidR="000C5D67" w:rsidRPr="000665B0" w:rsidRDefault="00392B1C" w:rsidP="00BD4482">
      <w:pPr>
        <w:tabs>
          <w:tab w:val="left" w:pos="720"/>
        </w:tabs>
      </w:pPr>
      <w:r w:rsidRPr="000665B0">
        <w:t xml:space="preserve">TMPR assignments in Strike Packages with a non-null use state (sendable to TTWCS) are now </w:t>
      </w:r>
      <w:r w:rsidR="00802689" w:rsidRPr="000665B0">
        <w:t xml:space="preserve">allowed in </w:t>
      </w:r>
      <w:r w:rsidR="00F77360" w:rsidRPr="000665B0">
        <w:t xml:space="preserve">TMPC </w:t>
      </w:r>
      <w:r w:rsidR="00802689" w:rsidRPr="000665B0">
        <w:t xml:space="preserve">5.0 </w:t>
      </w:r>
      <w:r w:rsidRPr="000665B0">
        <w:t xml:space="preserve">and above. </w:t>
      </w:r>
    </w:p>
    <w:p w14:paraId="09355635" w14:textId="4681F354" w:rsidR="000C5D67" w:rsidRPr="000665B0" w:rsidRDefault="000C5D67" w:rsidP="00BD4482">
      <w:pPr>
        <w:tabs>
          <w:tab w:val="left" w:pos="720"/>
        </w:tabs>
      </w:pPr>
      <w:r w:rsidRPr="000665B0">
        <w:t>Attack Plan TMPRs are not recognized by pre-6.0 systems. When a DDO template containing an Attack Plan TMPR is distributed to a pre-6.0 system, the Attack Plan TMPR will not be sent.</w:t>
      </w:r>
    </w:p>
    <w:p w14:paraId="30CBB17E" w14:textId="6FEC6636" w:rsidR="00392B1C" w:rsidRPr="000665B0" w:rsidRDefault="000C5D67" w:rsidP="00474A1F">
      <w:pPr>
        <w:tabs>
          <w:tab w:val="left" w:pos="720"/>
        </w:tabs>
        <w:spacing w:after="0"/>
      </w:pPr>
      <w:r w:rsidRPr="000665B0">
        <w:t xml:space="preserve">If an Attack Plan TMPR has been initiated, </w:t>
      </w:r>
      <w:r w:rsidR="00D62A6D" w:rsidRPr="000665B0">
        <w:t>ensure that the TMPR is complete (</w:t>
      </w:r>
      <w:r w:rsidRPr="000665B0">
        <w:t xml:space="preserve">all missions </w:t>
      </w:r>
      <w:r w:rsidR="00D62A6D" w:rsidRPr="000665B0">
        <w:t>have been</w:t>
      </w:r>
      <w:r w:rsidRPr="000665B0">
        <w:t xml:space="preserve"> returned</w:t>
      </w:r>
      <w:r w:rsidR="00D62A6D" w:rsidRPr="000665B0">
        <w:t>)</w:t>
      </w:r>
      <w:r w:rsidRPr="000665B0">
        <w:t xml:space="preserve"> before sending to TTWCS.</w:t>
      </w:r>
    </w:p>
    <w:p w14:paraId="1164F61C" w14:textId="6B179DA1" w:rsidR="00460CC7" w:rsidRPr="000665B0" w:rsidRDefault="00460CC7" w:rsidP="00474A1F">
      <w:pPr>
        <w:pStyle w:val="Heading3"/>
        <w:tabs>
          <w:tab w:val="left" w:pos="720"/>
        </w:tabs>
      </w:pPr>
      <w:bookmarkStart w:id="6462" w:name="_5.37.11__Receive"/>
      <w:bookmarkStart w:id="6463" w:name="_5_.37.11_"/>
      <w:bookmarkStart w:id="6464" w:name="_Toc289328889"/>
      <w:bookmarkStart w:id="6465" w:name="_Toc312332073"/>
      <w:bookmarkStart w:id="6466" w:name="_Toc214283565"/>
      <w:bookmarkEnd w:id="6460"/>
      <w:bookmarkEnd w:id="6462"/>
      <w:bookmarkEnd w:id="6463"/>
      <w:r w:rsidRPr="000665B0">
        <w:lastRenderedPageBreak/>
        <w:t>Receive</w:t>
      </w:r>
      <w:bookmarkEnd w:id="6464"/>
      <w:bookmarkEnd w:id="6465"/>
      <w:r w:rsidR="00367084" w:rsidRPr="000665B0">
        <w:t xml:space="preserve"> File</w:t>
      </w:r>
      <w:bookmarkEnd w:id="6466"/>
    </w:p>
    <w:p w14:paraId="694240A6" w14:textId="5C474422" w:rsidR="00460CC7" w:rsidRPr="000665B0" w:rsidRDefault="002944ED" w:rsidP="00474A1F">
      <w:pPr>
        <w:tabs>
          <w:tab w:val="left" w:pos="720"/>
        </w:tabs>
      </w:pPr>
      <w:r w:rsidRPr="000665B0">
        <w:t>MDS can receive Strike Folders and Strike Options through the Receive File option</w:t>
      </w:r>
      <w:r w:rsidR="00367084" w:rsidRPr="000665B0">
        <w:t xml:space="preserve"> (</w:t>
      </w:r>
      <w:r w:rsidR="00726A8D" w:rsidRPr="000665B0">
        <w:t xml:space="preserve">see </w:t>
      </w:r>
      <w:hyperlink w:anchor="_5.2.1.7__Receive" w:history="1">
        <w:r w:rsidR="00367084" w:rsidRPr="000665B0">
          <w:rPr>
            <w:color w:val="0000FF"/>
            <w:u w:val="single"/>
          </w:rPr>
          <w:t>Section 5.2.1.7</w:t>
        </w:r>
      </w:hyperlink>
      <w:r w:rsidR="00B72A29">
        <w:t xml:space="preserve">) </w:t>
      </w:r>
      <w:r w:rsidRPr="000665B0">
        <w:t xml:space="preserve">or from an Incoming DDO. When Strike Folders and Strike Options come into MDS, they come in as a DDO with several XML documents </w:t>
      </w:r>
      <w:r w:rsidR="00445900" w:rsidRPr="000665B0">
        <w:t xml:space="preserve">with </w:t>
      </w:r>
      <w:r w:rsidRPr="000665B0">
        <w:t>each document containing data for a single Strike Folder and its Strike Options. MDS takes these documents and extracts the Strike Folders and Strike Options and displays these installable items to the user. The processing of Strike Folders and Strike Options are handled by process rules below.</w:t>
      </w:r>
    </w:p>
    <w:p w14:paraId="2DB70E27" w14:textId="77777777" w:rsidR="00460CC7" w:rsidRPr="000665B0" w:rsidRDefault="00460CC7" w:rsidP="00474A1F">
      <w:pPr>
        <w:tabs>
          <w:tab w:val="left" w:pos="720"/>
        </w:tabs>
      </w:pPr>
      <w:r w:rsidRPr="000665B0">
        <w:t>Strike Folder Processing Rules:</w:t>
      </w:r>
    </w:p>
    <w:p w14:paraId="62A6AC95" w14:textId="520CDE48" w:rsidR="00460CC7" w:rsidRPr="000665B0" w:rsidRDefault="00460CC7" w:rsidP="006D5A65">
      <w:pPr>
        <w:pStyle w:val="Heading1"/>
      </w:pPr>
      <w:r w:rsidRPr="000665B0">
        <w:t>Install the receiving Strike Folder if it does not already exist.</w:t>
      </w:r>
    </w:p>
    <w:p w14:paraId="2F37B5BC" w14:textId="77777777" w:rsidR="00460CC7" w:rsidRPr="000665B0" w:rsidRDefault="00460CC7" w:rsidP="006D5A65">
      <w:pPr>
        <w:pStyle w:val="Heading1"/>
      </w:pPr>
      <w:r w:rsidRPr="000665B0">
        <w:t>If the receiving Strike Folder already exists, update the Strike Folder if both of the following are true:</w:t>
      </w:r>
    </w:p>
    <w:p w14:paraId="0743AC77" w14:textId="77777777" w:rsidR="00460CC7" w:rsidRPr="000665B0" w:rsidRDefault="00B90B44" w:rsidP="006D5A65">
      <w:pPr>
        <w:pStyle w:val="Heading2"/>
      </w:pPr>
      <w:r w:rsidRPr="000665B0">
        <w:t>T</w:t>
      </w:r>
      <w:r w:rsidR="00460CC7" w:rsidRPr="000665B0">
        <w:t>he processing system is not the owner of the existing Strike Folder</w:t>
      </w:r>
      <w:r w:rsidR="00A47D09" w:rsidRPr="000665B0">
        <w:t>.</w:t>
      </w:r>
    </w:p>
    <w:p w14:paraId="4A3C096D" w14:textId="77777777" w:rsidR="006772C2" w:rsidRPr="000665B0" w:rsidRDefault="00B90B44" w:rsidP="006D5A65">
      <w:pPr>
        <w:pStyle w:val="Heading2"/>
      </w:pPr>
      <w:r w:rsidRPr="000665B0">
        <w:t>The</w:t>
      </w:r>
      <w:r w:rsidR="00460CC7" w:rsidRPr="000665B0">
        <w:t xml:space="preserve"> Strike Folder</w:t>
      </w:r>
      <w:r w:rsidR="00A47D09" w:rsidRPr="000665B0">
        <w:t xml:space="preserve"> being received</w:t>
      </w:r>
      <w:r w:rsidR="00460CC7" w:rsidRPr="000665B0">
        <w:t xml:space="preserve"> has the same or </w:t>
      </w:r>
      <w:r w:rsidR="00A47D09" w:rsidRPr="000665B0">
        <w:t xml:space="preserve">a newer </w:t>
      </w:r>
      <w:r w:rsidR="00460CC7" w:rsidRPr="000665B0">
        <w:t>last modified time than the existing Strike Folder.</w:t>
      </w:r>
      <w:r w:rsidR="006772C2" w:rsidRPr="000665B0">
        <w:t xml:space="preserve"> If the times are the same, check the Strike Folder’s items (except for Options or History) and ensure that at least one of them has a later last modified time then the corresponding existing Strike Folder item.</w:t>
      </w:r>
    </w:p>
    <w:p w14:paraId="7C427D46" w14:textId="77777777" w:rsidR="006772C2" w:rsidRPr="000665B0" w:rsidRDefault="006772C2" w:rsidP="006D5A65">
      <w:pPr>
        <w:pStyle w:val="Heading1"/>
      </w:pPr>
      <w:r w:rsidRPr="000665B0">
        <w:t>If the receiving Strike Folder already exists, perform a partial update (LMOs and Geographic Resources) if the TED’s Own Node is the owner of the receiving Strike Folder. This handles the case where Strike Options could have been given ownership to another TED/MDS and new LMOs or Geographic Resources could have been added to the Strike Folder.</w:t>
      </w:r>
    </w:p>
    <w:p w14:paraId="1DCCEF1A" w14:textId="7217E5F9" w:rsidR="00460CC7" w:rsidRPr="000665B0" w:rsidRDefault="00FC1869" w:rsidP="006D5A65">
      <w:pPr>
        <w:pStyle w:val="Heading1"/>
      </w:pPr>
      <w:r w:rsidRPr="000665B0">
        <w:t>All other conditions</w:t>
      </w:r>
      <w:r w:rsidR="00460CC7" w:rsidRPr="000665B0">
        <w:t xml:space="preserve"> do not process the Strike Folder.</w:t>
      </w:r>
    </w:p>
    <w:p w14:paraId="59FD77E9" w14:textId="77777777" w:rsidR="00460CC7" w:rsidRPr="000665B0" w:rsidRDefault="00460CC7" w:rsidP="00474A1F">
      <w:pPr>
        <w:tabs>
          <w:tab w:val="left" w:pos="720"/>
        </w:tabs>
      </w:pPr>
      <w:r w:rsidRPr="000665B0">
        <w:t>Strike Option Process Rules:</w:t>
      </w:r>
    </w:p>
    <w:p w14:paraId="6BEDF9B6" w14:textId="77777777" w:rsidR="00460CC7" w:rsidRPr="000665B0" w:rsidRDefault="00460CC7" w:rsidP="006D5A65">
      <w:pPr>
        <w:pStyle w:val="Heading1"/>
      </w:pPr>
      <w:r w:rsidRPr="000665B0">
        <w:t>If the parent Strike Folder for the Strike Option</w:t>
      </w:r>
      <w:r w:rsidR="00A47D09" w:rsidRPr="000665B0">
        <w:t xml:space="preserve"> being received</w:t>
      </w:r>
      <w:r w:rsidRPr="000665B0">
        <w:t xml:space="preserve"> does not exist, install the Strike Folder (since a Strike Option needs its parent to exist).</w:t>
      </w:r>
    </w:p>
    <w:p w14:paraId="2391B3AE" w14:textId="77777777" w:rsidR="00460CC7" w:rsidRPr="000665B0" w:rsidRDefault="00460CC7" w:rsidP="006D5A65">
      <w:pPr>
        <w:pStyle w:val="Heading1"/>
      </w:pPr>
      <w:r w:rsidRPr="000665B0">
        <w:t>If the parent Strike Folder for the Strike Option</w:t>
      </w:r>
      <w:r w:rsidR="00A47D09" w:rsidRPr="000665B0">
        <w:t xml:space="preserve"> being received already</w:t>
      </w:r>
      <w:r w:rsidRPr="000665B0">
        <w:t xml:space="preserve"> exists:</w:t>
      </w:r>
    </w:p>
    <w:p w14:paraId="28CDBBBE" w14:textId="3D88A292" w:rsidR="000A2C95" w:rsidRPr="000665B0" w:rsidRDefault="00460CC7" w:rsidP="006D5A65">
      <w:pPr>
        <w:pStyle w:val="Heading1"/>
      </w:pPr>
      <w:r w:rsidRPr="000665B0">
        <w:t>Install the Strike Option</w:t>
      </w:r>
      <w:r w:rsidR="00A47D09" w:rsidRPr="000665B0">
        <w:t xml:space="preserve"> being received</w:t>
      </w:r>
      <w:r w:rsidRPr="000665B0">
        <w:t xml:space="preserve"> if it does not already exist</w:t>
      </w:r>
      <w:r w:rsidR="00A47D09" w:rsidRPr="000665B0">
        <w:t xml:space="preserve"> in the parent Strike Folder</w:t>
      </w:r>
      <w:r w:rsidRPr="000665B0">
        <w:t>.</w:t>
      </w:r>
    </w:p>
    <w:p w14:paraId="7280692C" w14:textId="3DD198ED" w:rsidR="000A2C95" w:rsidRPr="000665B0" w:rsidRDefault="00A47D09" w:rsidP="006D5A65">
      <w:pPr>
        <w:pStyle w:val="Heading1"/>
      </w:pPr>
      <w:r w:rsidRPr="000665B0">
        <w:t>I</w:t>
      </w:r>
      <w:r w:rsidR="00460CC7" w:rsidRPr="000665B0">
        <w:t>f the Strike Option</w:t>
      </w:r>
      <w:r w:rsidRPr="000665B0">
        <w:t xml:space="preserve"> being received</w:t>
      </w:r>
      <w:r w:rsidR="00460CC7" w:rsidRPr="000665B0">
        <w:t xml:space="preserve"> already exists, update the Strike Option if the Strike Option</w:t>
      </w:r>
      <w:r w:rsidRPr="000665B0">
        <w:t xml:space="preserve"> being received</w:t>
      </w:r>
      <w:r w:rsidR="00460CC7" w:rsidRPr="000665B0">
        <w:t xml:space="preserve"> has the same or </w:t>
      </w:r>
      <w:r w:rsidRPr="000665B0">
        <w:t xml:space="preserve">a newer </w:t>
      </w:r>
      <w:r w:rsidR="00460CC7" w:rsidRPr="000665B0">
        <w:t>last modified time than the existing Strike Option</w:t>
      </w:r>
      <w:r w:rsidRPr="000665B0">
        <w:t>,</w:t>
      </w:r>
      <w:r w:rsidR="00460CC7" w:rsidRPr="000665B0">
        <w:t xml:space="preserve"> and if one of the following </w:t>
      </w:r>
      <w:r w:rsidRPr="000665B0">
        <w:t xml:space="preserve">is </w:t>
      </w:r>
      <w:r w:rsidR="00460CC7" w:rsidRPr="000665B0">
        <w:t>true:</w:t>
      </w:r>
    </w:p>
    <w:p w14:paraId="3CD26969" w14:textId="77777777" w:rsidR="00460CC7" w:rsidRPr="000665B0" w:rsidRDefault="00A47D09" w:rsidP="006D5A65">
      <w:pPr>
        <w:pStyle w:val="Heading2"/>
      </w:pPr>
      <w:r w:rsidRPr="000665B0">
        <w:t>T</w:t>
      </w:r>
      <w:r w:rsidR="00460CC7" w:rsidRPr="000665B0">
        <w:t>he processing system is not the owner of the existing Strike Folder</w:t>
      </w:r>
      <w:r w:rsidRPr="000665B0">
        <w:t>.</w:t>
      </w:r>
    </w:p>
    <w:p w14:paraId="6F22BB35" w14:textId="77777777" w:rsidR="00460CC7" w:rsidRPr="000665B0" w:rsidRDefault="00A47D09" w:rsidP="006D5A65">
      <w:pPr>
        <w:pStyle w:val="Heading2"/>
      </w:pPr>
      <w:r w:rsidRPr="000665B0">
        <w:lastRenderedPageBreak/>
        <w:t xml:space="preserve">If </w:t>
      </w:r>
      <w:r w:rsidR="00460CC7" w:rsidRPr="000665B0">
        <w:t xml:space="preserve">the processing system is the owner of the existing Strike Folder and the owner of the Strike Option is the same </w:t>
      </w:r>
      <w:r w:rsidRPr="000665B0">
        <w:t xml:space="preserve">for both </w:t>
      </w:r>
      <w:r w:rsidR="00460CC7" w:rsidRPr="000665B0">
        <w:t>the existing Strike Option and the Strike Option</w:t>
      </w:r>
      <w:r w:rsidRPr="000665B0">
        <w:t xml:space="preserve"> being received</w:t>
      </w:r>
      <w:r w:rsidR="00460CC7" w:rsidRPr="000665B0">
        <w:t>.</w:t>
      </w:r>
    </w:p>
    <w:p w14:paraId="2274C6D5" w14:textId="19DE650A" w:rsidR="00460CC7" w:rsidRPr="000665B0" w:rsidRDefault="00FC1869" w:rsidP="006D5A65">
      <w:pPr>
        <w:pStyle w:val="Heading1"/>
      </w:pPr>
      <w:r w:rsidRPr="000665B0">
        <w:t>All other conditions</w:t>
      </w:r>
      <w:r w:rsidR="00460CC7" w:rsidRPr="000665B0">
        <w:t xml:space="preserve"> do not process the Strike Option.</w:t>
      </w:r>
    </w:p>
    <w:p w14:paraId="74FCA67A" w14:textId="03D6F38C" w:rsidR="00DE2507" w:rsidRPr="000665B0" w:rsidRDefault="00DE2507" w:rsidP="00474A1F">
      <w:pPr>
        <w:tabs>
          <w:tab w:val="left" w:pos="720"/>
        </w:tabs>
      </w:pPr>
      <w:r w:rsidRPr="000665B0">
        <w:t xml:space="preserve">Training Strike tasking is prohibited in a Tactical Strike. MDS will not process any Strike Option with a Tactical Folder class that references Test Missions or a mix of TACT and RSS Missions. Before a Strike Option is installed, it goes through a validation procedure and only processes if valid. It is possible that the incoming Strike Option may reference Missions that do not exist. In that case, the Mission Classes cannot be </w:t>
      </w:r>
      <w:r w:rsidR="00FC1869" w:rsidRPr="000665B0">
        <w:t>determined,</w:t>
      </w:r>
      <w:r w:rsidRPr="000665B0">
        <w:t xml:space="preserve"> and the Strike Option will continue its normal processing.</w:t>
      </w:r>
    </w:p>
    <w:p w14:paraId="41425499" w14:textId="231D49D8" w:rsidR="0078503C" w:rsidRPr="000665B0" w:rsidRDefault="0078503C" w:rsidP="00474A1F">
      <w:pPr>
        <w:pStyle w:val="Heading3"/>
        <w:tabs>
          <w:tab w:val="left" w:pos="720"/>
        </w:tabs>
      </w:pPr>
      <w:bookmarkStart w:id="6467" w:name="_5.37.12.1__Retarget"/>
      <w:bookmarkStart w:id="6468" w:name="_Toc71955768"/>
      <w:bookmarkStart w:id="6469" w:name="_Toc96170307"/>
      <w:bookmarkStart w:id="6470" w:name="_Toc96234352"/>
      <w:bookmarkStart w:id="6471" w:name="_Toc112733769"/>
      <w:bookmarkStart w:id="6472" w:name="_Toc164499459"/>
      <w:bookmarkStart w:id="6473" w:name="_Toc289328893"/>
      <w:bookmarkStart w:id="6474" w:name="_Toc312332076"/>
      <w:bookmarkStart w:id="6475" w:name="_Toc214283566"/>
      <w:bookmarkEnd w:id="6450"/>
      <w:bookmarkEnd w:id="6451"/>
      <w:bookmarkEnd w:id="6452"/>
      <w:bookmarkEnd w:id="6453"/>
      <w:bookmarkEnd w:id="6454"/>
      <w:bookmarkEnd w:id="6467"/>
      <w:r w:rsidRPr="000665B0">
        <w:t>Print All</w:t>
      </w:r>
      <w:bookmarkEnd w:id="6468"/>
      <w:bookmarkEnd w:id="6469"/>
      <w:bookmarkEnd w:id="6470"/>
      <w:bookmarkEnd w:id="6471"/>
      <w:bookmarkEnd w:id="6472"/>
      <w:bookmarkEnd w:id="6473"/>
      <w:bookmarkEnd w:id="6474"/>
      <w:bookmarkEnd w:id="6475"/>
    </w:p>
    <w:p w14:paraId="28B4517E" w14:textId="693465E2" w:rsidR="0078503C" w:rsidRPr="000665B0" w:rsidRDefault="00F02F03" w:rsidP="00474A1F">
      <w:pPr>
        <w:tabs>
          <w:tab w:val="left" w:pos="720"/>
        </w:tabs>
      </w:pPr>
      <w:r w:rsidRPr="000665B0">
        <w:t>See</w:t>
      </w:r>
      <w:r w:rsidR="0078503C" w:rsidRPr="000665B0">
        <w:t xml:space="preserve"> </w:t>
      </w:r>
      <w:hyperlink w:anchor="_5.2.1.5__Print" w:history="1">
        <w:r w:rsidR="00B9720D" w:rsidRPr="000665B0">
          <w:rPr>
            <w:rStyle w:val="Hyperlink"/>
          </w:rPr>
          <w:t>Section 5.2.1.5</w:t>
        </w:r>
      </w:hyperlink>
      <w:r w:rsidR="0078503C" w:rsidRPr="000665B0">
        <w:t>.</w:t>
      </w:r>
    </w:p>
    <w:p w14:paraId="28A7156F" w14:textId="35A6B4D8" w:rsidR="0078503C" w:rsidRPr="000665B0" w:rsidRDefault="0078503C" w:rsidP="00474A1F">
      <w:pPr>
        <w:pStyle w:val="Heading3"/>
        <w:tabs>
          <w:tab w:val="left" w:pos="720"/>
        </w:tabs>
      </w:pPr>
      <w:bookmarkStart w:id="6476" w:name="_Toc71955769"/>
      <w:bookmarkStart w:id="6477" w:name="_Toc96170308"/>
      <w:bookmarkStart w:id="6478" w:name="_Toc96234353"/>
      <w:bookmarkStart w:id="6479" w:name="_Toc112733770"/>
      <w:bookmarkStart w:id="6480" w:name="_Toc164499460"/>
      <w:bookmarkStart w:id="6481" w:name="_Toc289328894"/>
      <w:bookmarkStart w:id="6482" w:name="_Toc312332077"/>
      <w:bookmarkStart w:id="6483" w:name="_Toc214283567"/>
      <w:r w:rsidRPr="000665B0">
        <w:t>Display All in Excel</w:t>
      </w:r>
      <w:bookmarkEnd w:id="6476"/>
      <w:bookmarkEnd w:id="6477"/>
      <w:bookmarkEnd w:id="6478"/>
      <w:bookmarkEnd w:id="6479"/>
      <w:bookmarkEnd w:id="6480"/>
      <w:bookmarkEnd w:id="6481"/>
      <w:bookmarkEnd w:id="6482"/>
      <w:bookmarkEnd w:id="6483"/>
    </w:p>
    <w:p w14:paraId="2CEE01D1" w14:textId="10355E23" w:rsidR="0078503C" w:rsidRPr="000665B0" w:rsidRDefault="00F02F03" w:rsidP="00474A1F">
      <w:pPr>
        <w:tabs>
          <w:tab w:val="left" w:pos="720"/>
        </w:tabs>
      </w:pPr>
      <w:r w:rsidRPr="000665B0">
        <w:t>See</w:t>
      </w:r>
      <w:r w:rsidR="0078503C" w:rsidRPr="000665B0">
        <w:t xml:space="preserve"> </w:t>
      </w:r>
      <w:hyperlink w:anchor="_5.2.1.2.1__Display_1" w:history="1">
        <w:r w:rsidR="0078503C" w:rsidRPr="000665B0">
          <w:rPr>
            <w:rStyle w:val="Hyperlink"/>
          </w:rPr>
          <w:t>Section 5.2.1.2.1</w:t>
        </w:r>
      </w:hyperlink>
      <w:r w:rsidR="0078503C" w:rsidRPr="000665B0">
        <w:t>.</w:t>
      </w:r>
    </w:p>
    <w:p w14:paraId="41C87522" w14:textId="57747FFC" w:rsidR="0078503C" w:rsidRPr="000665B0" w:rsidRDefault="0078503C" w:rsidP="00474A1F">
      <w:pPr>
        <w:pStyle w:val="Heading3"/>
        <w:tabs>
          <w:tab w:val="left" w:pos="720"/>
        </w:tabs>
      </w:pPr>
      <w:bookmarkStart w:id="6484" w:name="_Toc71955771"/>
      <w:bookmarkStart w:id="6485" w:name="_Toc96170309"/>
      <w:bookmarkStart w:id="6486" w:name="_Toc96234354"/>
      <w:bookmarkStart w:id="6487" w:name="_Toc112733771"/>
      <w:bookmarkStart w:id="6488" w:name="_Toc164499461"/>
      <w:bookmarkStart w:id="6489" w:name="_Toc289328895"/>
      <w:bookmarkStart w:id="6490" w:name="_Toc312332078"/>
      <w:bookmarkStart w:id="6491" w:name="_Toc214283568"/>
      <w:r w:rsidRPr="000665B0">
        <w:t>Delete</w:t>
      </w:r>
      <w:bookmarkEnd w:id="6484"/>
      <w:bookmarkEnd w:id="6485"/>
      <w:bookmarkEnd w:id="6486"/>
      <w:bookmarkEnd w:id="6487"/>
      <w:bookmarkEnd w:id="6488"/>
      <w:bookmarkEnd w:id="6489"/>
      <w:bookmarkEnd w:id="6490"/>
      <w:bookmarkEnd w:id="6491"/>
      <w:r w:rsidRPr="000665B0">
        <w:t xml:space="preserve"> </w:t>
      </w:r>
    </w:p>
    <w:p w14:paraId="42427AC2" w14:textId="5DAC57A4" w:rsidR="0000199D" w:rsidRPr="000665B0" w:rsidRDefault="00F02F03" w:rsidP="0000199D">
      <w:pPr>
        <w:keepNext/>
        <w:tabs>
          <w:tab w:val="left" w:pos="720"/>
        </w:tabs>
        <w:rPr>
          <w:noProof/>
        </w:rPr>
      </w:pPr>
      <w:r w:rsidRPr="000665B0">
        <w:t>See</w:t>
      </w:r>
      <w:r w:rsidR="0078503C" w:rsidRPr="000665B0">
        <w:t xml:space="preserve"> </w:t>
      </w:r>
      <w:hyperlink w:anchor="_5.2.1.6__Delete" w:history="1">
        <w:r w:rsidR="00B9720D" w:rsidRPr="000665B0">
          <w:rPr>
            <w:rStyle w:val="Hyperlink"/>
          </w:rPr>
          <w:t>Section 5.2.1.6</w:t>
        </w:r>
      </w:hyperlink>
      <w:r w:rsidR="0078503C" w:rsidRPr="000665B0">
        <w:t>.</w:t>
      </w:r>
      <w:r w:rsidR="0000199D" w:rsidRPr="000665B0">
        <w:t xml:space="preserve"> A strike folder can’t be deleted if any of the Strike Options contained in the folder are currently being executed on the local TED.</w:t>
      </w:r>
      <w:r w:rsidR="0000199D" w:rsidRPr="000665B0">
        <w:rPr>
          <w:noProof/>
        </w:rPr>
        <w:t xml:space="preserve"> </w:t>
      </w:r>
    </w:p>
    <w:p w14:paraId="0B6C436A" w14:textId="77777777" w:rsidR="0000199D" w:rsidRPr="000665B0" w:rsidRDefault="0000199D" w:rsidP="0000199D">
      <w:pPr>
        <w:tabs>
          <w:tab w:val="left" w:pos="720"/>
        </w:tabs>
        <w:jc w:val="center"/>
      </w:pPr>
      <w:r w:rsidRPr="000665B0">
        <w:rPr>
          <w:noProof/>
        </w:rPr>
        <w:drawing>
          <wp:inline distT="0" distB="0" distL="0" distR="0" wp14:anchorId="30E9DFF0" wp14:editId="77134E0C">
            <wp:extent cx="3200400" cy="114300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extLst>
                        <a:ext uri="{28A0092B-C50C-407E-A947-70E740481C1C}">
                          <a14:useLocalDpi xmlns:a14="http://schemas.microsoft.com/office/drawing/2010/main"/>
                        </a:ext>
                      </a:extLst>
                    </a:blip>
                    <a:stretch>
                      <a:fillRect/>
                    </a:stretch>
                  </pic:blipFill>
                  <pic:spPr>
                    <a:xfrm>
                      <a:off x="0" y="0"/>
                      <a:ext cx="3200400" cy="1143000"/>
                    </a:xfrm>
                    <a:prstGeom prst="rect">
                      <a:avLst/>
                    </a:prstGeom>
                  </pic:spPr>
                </pic:pic>
              </a:graphicData>
            </a:graphic>
          </wp:inline>
        </w:drawing>
      </w:r>
    </w:p>
    <w:p w14:paraId="2805D884" w14:textId="79A19D72" w:rsidR="00C72742" w:rsidRPr="000665B0" w:rsidRDefault="00C72742" w:rsidP="00A0163E">
      <w:pPr>
        <w:tabs>
          <w:tab w:val="left" w:pos="720"/>
        </w:tabs>
      </w:pPr>
      <w:r w:rsidRPr="000665B0">
        <w:t>Quick Strikes that are deleted in the Strike Folders Tool are also deleted from the Quick Strike Tool.</w:t>
      </w:r>
      <w:r w:rsidR="00271A45" w:rsidRPr="000665B0">
        <w:t xml:space="preserve"> Similarly, Quick Strikes that are deleted in the Quick Strike Tool are also deleted from the Strike Folders Tool.</w:t>
      </w:r>
    </w:p>
    <w:p w14:paraId="51097F1E" w14:textId="3C2BCBF8" w:rsidR="008777A7" w:rsidRDefault="000E759D" w:rsidP="00A0163E">
      <w:pPr>
        <w:pBdr>
          <w:top w:val="single" w:sz="12" w:space="1" w:color="auto"/>
          <w:left w:val="single" w:sz="12" w:space="4" w:color="auto"/>
          <w:bottom w:val="single" w:sz="12" w:space="0" w:color="auto"/>
          <w:right w:val="single" w:sz="12" w:space="4" w:color="auto"/>
        </w:pBdr>
        <w:shd w:val="clear" w:color="auto" w:fill="D9D9D9"/>
        <w:tabs>
          <w:tab w:val="left" w:pos="720"/>
        </w:tabs>
        <w:spacing w:after="0"/>
        <w:jc w:val="center"/>
        <w:rPr>
          <w:b/>
        </w:rPr>
      </w:pPr>
      <w:r w:rsidRPr="000665B0">
        <w:rPr>
          <w:b/>
        </w:rPr>
        <w:t>Note:</w:t>
      </w:r>
      <w:r w:rsidR="008777A7">
        <w:rPr>
          <w:b/>
        </w:rPr>
        <w:br/>
      </w:r>
      <w:r w:rsidR="003E45ED" w:rsidRPr="000665B0">
        <w:rPr>
          <w:b/>
        </w:rPr>
        <w:t>For strike rehearsal</w:t>
      </w:r>
      <w:r w:rsidR="008777A7">
        <w:rPr>
          <w:b/>
        </w:rPr>
        <w:t xml:space="preserve">: </w:t>
      </w:r>
      <w:r w:rsidR="00CB56BA" w:rsidRPr="000665B0">
        <w:rPr>
          <w:b/>
        </w:rPr>
        <w:t xml:space="preserve">it is recommended to delete all strike options or folders that contain LPMP missions once that strike object is no longer in use, in order to </w:t>
      </w:r>
      <w:r w:rsidR="00BF5C5A" w:rsidRPr="000665B0">
        <w:rPr>
          <w:b/>
        </w:rPr>
        <w:t>remove</w:t>
      </w:r>
      <w:r w:rsidR="00CB56BA" w:rsidRPr="000665B0">
        <w:rPr>
          <w:b/>
        </w:rPr>
        <w:t xml:space="preserve"> the LPMP </w:t>
      </w:r>
      <w:r w:rsidR="00EF0E3A">
        <w:rPr>
          <w:b/>
        </w:rPr>
        <w:t>M</w:t>
      </w:r>
      <w:r w:rsidR="00CB56BA" w:rsidRPr="000665B0">
        <w:rPr>
          <w:b/>
        </w:rPr>
        <w:t xml:space="preserve">ission IDs stored in the system. See </w:t>
      </w:r>
      <w:hyperlink w:anchor="_TSRT__May" w:history="1">
        <w:r w:rsidR="00CB56BA" w:rsidRPr="000665B0">
          <w:rPr>
            <w:rStyle w:val="Hyperlink"/>
            <w:b/>
          </w:rPr>
          <w:t xml:space="preserve">Section </w:t>
        </w:r>
        <w:r w:rsidR="004231CC">
          <w:rPr>
            <w:rStyle w:val="Hyperlink"/>
            <w:b/>
          </w:rPr>
          <w:t>5.37</w:t>
        </w:r>
        <w:r w:rsidR="00CB56BA" w:rsidRPr="000665B0">
          <w:rPr>
            <w:rStyle w:val="Hyperlink"/>
            <w:b/>
          </w:rPr>
          <w:t>.1</w:t>
        </w:r>
        <w:r w:rsidR="00EF1CAE" w:rsidRPr="000665B0">
          <w:rPr>
            <w:rStyle w:val="Hyperlink"/>
            <w:b/>
          </w:rPr>
          <w:t>6</w:t>
        </w:r>
        <w:r w:rsidR="00CB56BA" w:rsidRPr="000665B0">
          <w:rPr>
            <w:rStyle w:val="Hyperlink"/>
            <w:b/>
          </w:rPr>
          <w:t>.5</w:t>
        </w:r>
      </w:hyperlink>
      <w:r w:rsidR="00CB56BA" w:rsidRPr="000665B0">
        <w:rPr>
          <w:b/>
        </w:rPr>
        <w:t xml:space="preserve"> for information regarding potential issues with duplicate LPMP </w:t>
      </w:r>
      <w:r w:rsidR="00EF0E3A">
        <w:rPr>
          <w:b/>
        </w:rPr>
        <w:t>M</w:t>
      </w:r>
      <w:r w:rsidR="00CB56BA" w:rsidRPr="000665B0">
        <w:rPr>
          <w:b/>
        </w:rPr>
        <w:t>ission IDs that may be generated by TSRT.</w:t>
      </w:r>
      <w:r w:rsidR="008777A7">
        <w:rPr>
          <w:b/>
        </w:rPr>
        <w:br/>
      </w:r>
      <w:r w:rsidR="008777A7">
        <w:rPr>
          <w:b/>
        </w:rPr>
        <w:br/>
      </w:r>
      <w:r w:rsidR="008777A7" w:rsidRPr="000665B0">
        <w:rPr>
          <w:b/>
        </w:rPr>
        <w:t>For Land Attack: if the strike option is complex or if it is anticipated that there are strike options that may be reused, save a copy of the strike folder prior to deletion. This retains all LMO tasking without the LPMPs.</w:t>
      </w:r>
      <w:r w:rsidR="008777A7">
        <w:rPr>
          <w:b/>
        </w:rPr>
        <w:br/>
      </w:r>
      <w:r w:rsidR="008777A7">
        <w:rPr>
          <w:b/>
        </w:rPr>
        <w:br/>
      </w:r>
      <w:r w:rsidR="008777A7" w:rsidRPr="000665B0">
        <w:rPr>
          <w:b/>
        </w:rPr>
        <w:lastRenderedPageBreak/>
        <w:t>For MST strike objects: deletion can be done once the engagement is complete as LPMP missions are only used for the current engagement for which they are created.</w:t>
      </w:r>
    </w:p>
    <w:p w14:paraId="04071550" w14:textId="20CCD64C" w:rsidR="00367084" w:rsidRPr="000665B0" w:rsidRDefault="00367084" w:rsidP="00AC2F7D">
      <w:pPr>
        <w:pStyle w:val="Heading3"/>
      </w:pPr>
      <w:bookmarkStart w:id="6492" w:name="_Toc61359422"/>
      <w:bookmarkStart w:id="6493" w:name="_Toc63168875"/>
      <w:bookmarkStart w:id="6494" w:name="_Toc67401825"/>
      <w:bookmarkStart w:id="6495" w:name="_Toc69208462"/>
      <w:bookmarkStart w:id="6496" w:name="_Toc70072030"/>
      <w:bookmarkStart w:id="6497" w:name="_Toc71012811"/>
      <w:bookmarkStart w:id="6498" w:name="_Toc71809480"/>
      <w:bookmarkStart w:id="6499" w:name="_Toc514253714"/>
      <w:bookmarkStart w:id="6500" w:name="_Toc214283569"/>
      <w:bookmarkEnd w:id="6492"/>
      <w:bookmarkEnd w:id="6493"/>
      <w:bookmarkEnd w:id="6494"/>
      <w:bookmarkEnd w:id="6495"/>
      <w:bookmarkEnd w:id="6496"/>
      <w:bookmarkEnd w:id="6497"/>
      <w:bookmarkEnd w:id="6498"/>
      <w:bookmarkEnd w:id="6499"/>
      <w:r w:rsidRPr="000665B0">
        <w:t>Select All</w:t>
      </w:r>
      <w:bookmarkEnd w:id="6500"/>
    </w:p>
    <w:p w14:paraId="17B25930" w14:textId="6F153341" w:rsidR="00367084" w:rsidRPr="000665B0" w:rsidRDefault="00F02F03" w:rsidP="00AC2F7D">
      <w:r w:rsidRPr="000665B0">
        <w:t>See</w:t>
      </w:r>
      <w:r w:rsidR="00367084" w:rsidRPr="000665B0">
        <w:t xml:space="preserve"> </w:t>
      </w:r>
      <w:hyperlink w:anchor="_5.2.2.1__Select_1" w:history="1">
        <w:r w:rsidR="00367084" w:rsidRPr="000665B0">
          <w:rPr>
            <w:rStyle w:val="Hyperlink"/>
          </w:rPr>
          <w:t>Section 5.2.2.1</w:t>
        </w:r>
      </w:hyperlink>
      <w:r w:rsidR="00367084" w:rsidRPr="000665B0">
        <w:t>.</w:t>
      </w:r>
    </w:p>
    <w:p w14:paraId="50541CDE" w14:textId="11343CA3" w:rsidR="00367084" w:rsidRPr="000665B0" w:rsidRDefault="00367084" w:rsidP="00AC2F7D">
      <w:pPr>
        <w:pStyle w:val="Heading3"/>
      </w:pPr>
      <w:bookmarkStart w:id="6501" w:name="_Toc514253716"/>
      <w:bookmarkStart w:id="6502" w:name="_Toc514253717"/>
      <w:bookmarkStart w:id="6503" w:name="_Toc214283570"/>
      <w:bookmarkEnd w:id="6501"/>
      <w:bookmarkEnd w:id="6502"/>
      <w:r w:rsidRPr="000665B0">
        <w:t>Find</w:t>
      </w:r>
      <w:bookmarkEnd w:id="6503"/>
    </w:p>
    <w:p w14:paraId="52C76BAC" w14:textId="3D335E66" w:rsidR="00367084" w:rsidRPr="000665B0" w:rsidRDefault="00F02F03" w:rsidP="00367084">
      <w:pPr>
        <w:pStyle w:val="Bullet"/>
        <w:spacing w:after="0" w:line="240" w:lineRule="auto"/>
      </w:pPr>
      <w:r w:rsidRPr="000665B0">
        <w:t>See</w:t>
      </w:r>
      <w:r w:rsidR="00367084" w:rsidRPr="000665B0">
        <w:t xml:space="preserve"> </w:t>
      </w:r>
      <w:hyperlink w:anchor="_5.2.5.1__Find_1" w:history="1">
        <w:r w:rsidR="00367084" w:rsidRPr="000665B0">
          <w:rPr>
            <w:rStyle w:val="Hyperlink"/>
          </w:rPr>
          <w:t>Section 5.2.5.1</w:t>
        </w:r>
      </w:hyperlink>
      <w:r w:rsidR="00367084" w:rsidRPr="000665B0">
        <w:t>.</w:t>
      </w:r>
    </w:p>
    <w:p w14:paraId="7142228C" w14:textId="1C0702B9" w:rsidR="00367084" w:rsidRPr="000665B0" w:rsidRDefault="00367084" w:rsidP="00AC2F7D">
      <w:pPr>
        <w:pStyle w:val="Heading3"/>
      </w:pPr>
      <w:bookmarkStart w:id="6504" w:name="_Toc214283571"/>
      <w:r w:rsidRPr="000665B0">
        <w:t>Plugin Tool</w:t>
      </w:r>
      <w:bookmarkEnd w:id="6504"/>
    </w:p>
    <w:p w14:paraId="7CBEAB6B" w14:textId="3BC6FB08" w:rsidR="00367084" w:rsidRPr="000665B0" w:rsidRDefault="00F02F03" w:rsidP="00367084">
      <w:pPr>
        <w:pStyle w:val="Bullet"/>
        <w:spacing w:after="0" w:line="240" w:lineRule="auto"/>
      </w:pPr>
      <w:r w:rsidRPr="000665B0">
        <w:t>See</w:t>
      </w:r>
      <w:r w:rsidR="00367084" w:rsidRPr="000665B0">
        <w:t xml:space="preserve"> </w:t>
      </w:r>
      <w:hyperlink w:anchor="_Plugin__Tool" w:history="1">
        <w:r w:rsidR="00367084" w:rsidRPr="000665B0">
          <w:rPr>
            <w:rStyle w:val="Hyperlink"/>
          </w:rPr>
          <w:t>Section 5.2.5.2</w:t>
        </w:r>
      </w:hyperlink>
      <w:r w:rsidR="00367084" w:rsidRPr="000665B0">
        <w:t>.</w:t>
      </w:r>
    </w:p>
    <w:p w14:paraId="290208F9" w14:textId="6DC23F3A" w:rsidR="007B2316" w:rsidRPr="000665B0" w:rsidRDefault="007B2316" w:rsidP="00474A1F">
      <w:pPr>
        <w:pStyle w:val="Heading3"/>
        <w:tabs>
          <w:tab w:val="left" w:pos="720"/>
        </w:tabs>
      </w:pPr>
      <w:bookmarkStart w:id="6505" w:name="_Toc514253720"/>
      <w:bookmarkStart w:id="6506" w:name="_Toc289328896"/>
      <w:bookmarkStart w:id="6507" w:name="_Toc312332079"/>
      <w:bookmarkStart w:id="6508" w:name="_Toc214283572"/>
      <w:bookmarkEnd w:id="6505"/>
      <w:r w:rsidRPr="000665B0">
        <w:t>Strike Folder FAQ</w:t>
      </w:r>
      <w:bookmarkEnd w:id="6506"/>
      <w:bookmarkEnd w:id="6507"/>
      <w:bookmarkEnd w:id="6508"/>
    </w:p>
    <w:p w14:paraId="4E1EFAEB" w14:textId="1D3D469A" w:rsidR="007B2316" w:rsidRPr="000665B0" w:rsidRDefault="00CD3F98" w:rsidP="00474A1F">
      <w:pPr>
        <w:tabs>
          <w:tab w:val="left" w:pos="720"/>
        </w:tabs>
      </w:pPr>
      <w:bookmarkStart w:id="6509" w:name="_Hlk123663406"/>
      <w:r w:rsidRPr="000665B0">
        <w:t xml:space="preserve">See </w:t>
      </w:r>
      <w:hyperlink w:anchor="_Appendix_P_Strike" w:history="1">
        <w:r w:rsidR="003E57B7" w:rsidRPr="000665B0">
          <w:rPr>
            <w:rStyle w:val="Hyperlink"/>
          </w:rPr>
          <w:t>Appendix N</w:t>
        </w:r>
      </w:hyperlink>
      <w:r w:rsidRPr="000665B0">
        <w:t>.</w:t>
      </w:r>
      <w:r w:rsidRPr="000665B0" w:rsidDel="00CD3F98">
        <w:rPr>
          <w:rStyle w:val="Hyperlink"/>
        </w:rPr>
        <w:t xml:space="preserve"> </w:t>
      </w:r>
    </w:p>
    <w:p w14:paraId="1ED98CD5" w14:textId="77777777" w:rsidR="00A316EA" w:rsidRDefault="00A316EA" w:rsidP="00474A1F">
      <w:pPr>
        <w:tabs>
          <w:tab w:val="left" w:pos="720"/>
        </w:tabs>
      </w:pPr>
      <w:r>
        <w:br w:type="page"/>
      </w:r>
      <w:bookmarkStart w:id="6510" w:name="_5.38__STRIKE"/>
      <w:bookmarkStart w:id="6511" w:name="_STRIKE__"/>
      <w:bookmarkStart w:id="6512" w:name="_Toc289328897"/>
      <w:bookmarkStart w:id="6513" w:name="_Toc312332080"/>
      <w:bookmarkStart w:id="6514" w:name="_Toc214283573"/>
      <w:bookmarkStart w:id="6515" w:name="_Hlk123663051"/>
      <w:bookmarkStart w:id="6516" w:name="_Hlk42851820"/>
      <w:bookmarkStart w:id="6517" w:name="_Hlk37686516"/>
      <w:bookmarkEnd w:id="6120"/>
      <w:bookmarkEnd w:id="6510"/>
      <w:bookmarkEnd w:id="6511"/>
      <w:r w:rsidR="005D1A26" w:rsidRPr="000665B0">
        <w:lastRenderedPageBreak/>
        <w:t>STRIKE EXECUTION</w:t>
      </w:r>
      <w:bookmarkEnd w:id="6113"/>
      <w:bookmarkEnd w:id="6114"/>
      <w:bookmarkEnd w:id="6115"/>
      <w:bookmarkEnd w:id="6512"/>
      <w:bookmarkEnd w:id="6513"/>
      <w:bookmarkEnd w:id="6514"/>
    </w:p>
    <w:p w14:paraId="42B637D2" w14:textId="327041E8" w:rsidR="00BD13E0" w:rsidRPr="000665B0" w:rsidRDefault="00BD13E0" w:rsidP="00BD13E0">
      <w:bookmarkStart w:id="6518" w:name="_5.38.1__Create_a_New_Strike_Executi"/>
      <w:bookmarkStart w:id="6519" w:name="_Toc96170311"/>
      <w:bookmarkStart w:id="6520" w:name="_Toc96234356"/>
      <w:bookmarkStart w:id="6521" w:name="_Toc112733773"/>
      <w:bookmarkEnd w:id="6518"/>
      <w:r w:rsidRPr="000665B0">
        <w:t xml:space="preserve">The Strike Execution Tool provides an interface for the </w:t>
      </w:r>
      <w:r w:rsidR="0086579B" w:rsidRPr="000665B0">
        <w:t xml:space="preserve">control </w:t>
      </w:r>
      <w:r w:rsidRPr="000665B0">
        <w:t xml:space="preserve">and </w:t>
      </w:r>
      <w:r w:rsidR="0086579B" w:rsidRPr="000665B0">
        <w:t xml:space="preserve">monitoring </w:t>
      </w:r>
      <w:r w:rsidRPr="000665B0">
        <w:t xml:space="preserve">of </w:t>
      </w:r>
      <w:r w:rsidR="00DC34B7" w:rsidRPr="000665B0">
        <w:t xml:space="preserve">assigned </w:t>
      </w:r>
      <w:r w:rsidRPr="000665B0">
        <w:t>TLAM missiles</w:t>
      </w:r>
      <w:r w:rsidR="00DC34B7" w:rsidRPr="000665B0">
        <w:t xml:space="preserve"> for Strike Execution</w:t>
      </w:r>
      <w:r w:rsidRPr="000665B0">
        <w:t xml:space="preserve">. The tool allows the operator to create and maintain Strike Execution Folders. A Strike Execution Folder </w:t>
      </w:r>
      <w:r w:rsidR="00DC34B7" w:rsidRPr="000665B0">
        <w:t xml:space="preserve">(SEF) </w:t>
      </w:r>
      <w:r w:rsidRPr="000665B0">
        <w:t xml:space="preserve">is a </w:t>
      </w:r>
      <w:r w:rsidR="00DC34B7" w:rsidRPr="000665B0">
        <w:t xml:space="preserve">folder used </w:t>
      </w:r>
      <w:r w:rsidRPr="000665B0">
        <w:t xml:space="preserve">to group one or more Strike Packages </w:t>
      </w:r>
      <w:r w:rsidR="00DC34B7" w:rsidRPr="000665B0">
        <w:t>that were planned in the Strike Folder Tool</w:t>
      </w:r>
      <w:r w:rsidR="008B743F" w:rsidRPr="000665B0">
        <w:t xml:space="preserve"> or created using the Quick Strike Tool (if installed; see </w:t>
      </w:r>
      <w:hyperlink w:anchor="_QUICK_STRIKE_TOOL_1" w:history="1">
        <w:r w:rsidR="00984911" w:rsidRPr="00DA0AED">
          <w:rPr>
            <w:rStyle w:val="Hyperlink"/>
          </w:rPr>
          <w:t xml:space="preserve">Section </w:t>
        </w:r>
        <w:r w:rsidR="004231CC">
          <w:rPr>
            <w:rStyle w:val="Hyperlink"/>
          </w:rPr>
          <w:t>5.36</w:t>
        </w:r>
      </w:hyperlink>
      <w:r w:rsidR="008B743F" w:rsidRPr="000665B0">
        <w:t>)</w:t>
      </w:r>
      <w:r w:rsidR="00DC34B7" w:rsidRPr="000665B0">
        <w:t>.</w:t>
      </w:r>
      <w:r w:rsidRPr="000665B0">
        <w:t xml:space="preserve"> </w:t>
      </w:r>
      <w:r w:rsidR="00DC34B7" w:rsidRPr="000665B0">
        <w:t xml:space="preserve">The Strike Execution Tool is </w:t>
      </w:r>
      <w:r w:rsidR="008B743F" w:rsidRPr="000665B0">
        <w:t xml:space="preserve">typically </w:t>
      </w:r>
      <w:r w:rsidR="00DC34B7" w:rsidRPr="000665B0">
        <w:t>used</w:t>
      </w:r>
      <w:r w:rsidR="00DC34B7" w:rsidRPr="000665B0" w:rsidDel="00DA42DE">
        <w:t xml:space="preserve"> </w:t>
      </w:r>
      <w:r w:rsidR="00DC34B7" w:rsidRPr="000665B0">
        <w:t xml:space="preserve">to </w:t>
      </w:r>
      <w:r w:rsidRPr="000665B0">
        <w:t>rehearse or execute those Strikes</w:t>
      </w:r>
      <w:r w:rsidR="00DC34B7" w:rsidRPr="000665B0">
        <w:t xml:space="preserve"> within the </w:t>
      </w:r>
      <w:r w:rsidR="00FC1869" w:rsidRPr="000665B0">
        <w:t>SEF and</w:t>
      </w:r>
      <w:r w:rsidR="00DC34B7" w:rsidRPr="000665B0">
        <w:t xml:space="preserve"> can be used to send the SEF to all Strike participants</w:t>
      </w:r>
      <w:r w:rsidRPr="000665B0">
        <w:t xml:space="preserve">. The tool provides functionalities such as </w:t>
      </w:r>
      <w:r w:rsidR="00DC34B7" w:rsidRPr="000665B0">
        <w:t>saving a rehearsal copy, saving</w:t>
      </w:r>
      <w:r w:rsidRPr="000665B0">
        <w:t xml:space="preserve"> Strike data in CTN format, Strike management</w:t>
      </w:r>
      <w:r w:rsidR="00DC34B7" w:rsidRPr="000665B0">
        <w:t>, and post-Strike analysis</w:t>
      </w:r>
      <w:r w:rsidRPr="000665B0">
        <w:t>.</w:t>
      </w:r>
    </w:p>
    <w:p w14:paraId="6388579E" w14:textId="77777777" w:rsidR="00BD13E0" w:rsidRPr="000665B0" w:rsidRDefault="00BD13E0" w:rsidP="00782308">
      <w:r w:rsidRPr="000665B0">
        <w:t>The Strike Execution Tool can only rehearse or execute one Strike Execution Folder at a time. When a Strike Execution Folder is rehearsed or executed, it becomes “activate</w:t>
      </w:r>
      <w:r w:rsidR="00191ED4" w:rsidRPr="000665B0">
        <w:t>d</w:t>
      </w:r>
      <w:r w:rsidRPr="000665B0">
        <w:t xml:space="preserve">” and will disable the capabilities to rehearse or execute another Strike Execution Folder. Once the folder is in the active state, MDS’ Strike Manager monitors all the Strikes in the folder. </w:t>
      </w:r>
      <w:r w:rsidR="009D68EB" w:rsidRPr="000665B0">
        <w:t xml:space="preserve">Before the Strike Execution Folder changes to the active state, execution is started in TED which allows TED to process incoming TSN Messages without a running MDS. TED will automatically respond to TSN Ping messages whenever it is executing. The </w:t>
      </w:r>
      <w:r w:rsidR="009D68EB" w:rsidRPr="000665B0">
        <w:rPr>
          <w:b/>
        </w:rPr>
        <w:t>Executing</w:t>
      </w:r>
      <w:r w:rsidR="009D68EB" w:rsidRPr="000665B0">
        <w:t xml:space="preserve"> column in the Strike Execution Folder list view can be used to determine which Strike Execution Folder is executing. When an execution in TED is started or stopped, the list view is updated to reflect the executing state. </w:t>
      </w:r>
      <w:r w:rsidRPr="000665B0">
        <w:t xml:space="preserve">The UI for the active strikes is the Strike </w:t>
      </w:r>
      <w:r w:rsidRPr="000665B0">
        <w:rPr>
          <w:b/>
        </w:rPr>
        <w:t>Management</w:t>
      </w:r>
      <w:r w:rsidRPr="000665B0">
        <w:t xml:space="preserve"> Display (</w:t>
      </w:r>
      <w:r w:rsidRPr="000665B0">
        <w:rPr>
          <w:b/>
        </w:rPr>
        <w:t>SMD</w:t>
      </w:r>
      <w:r w:rsidRPr="000665B0">
        <w:t>). The SMD monitors and updates all of the active Strikes’ activities including FRUs, missiles, targets, and TSN events.</w:t>
      </w:r>
      <w:r w:rsidR="00531C8E" w:rsidRPr="000665B0">
        <w:t xml:space="preserve"> </w:t>
      </w:r>
      <w:bookmarkStart w:id="6522" w:name="_Hlk65227772"/>
      <w:r w:rsidR="00531C8E" w:rsidRPr="000665B0">
        <w:t>The SMD was designed to allow users to make all normal changes to an executing strike including shifting strike times, sending out revisions, and adding missile assignments. Any other operation that is needed (such as adding/removing a FRU) that cannot be made on the SMD requires the SMD to be stopped and the changes made through the Strike Option Textual view. Furthermore, all other strike players would need to restart their SMD after receiving the updated strike revision to see these changes.</w:t>
      </w:r>
    </w:p>
    <w:bookmarkEnd w:id="6522"/>
    <w:p w14:paraId="00962A8F" w14:textId="2C36C656" w:rsidR="00BD13E0" w:rsidRDefault="00BD13E0" w:rsidP="00BD13E0">
      <w:r w:rsidRPr="000665B0">
        <w:t xml:space="preserve">The </w:t>
      </w:r>
      <w:r w:rsidRPr="000665B0">
        <w:rPr>
          <w:i/>
        </w:rPr>
        <w:t>Strike Execution</w:t>
      </w:r>
      <w:r w:rsidRPr="000665B0">
        <w:t xml:space="preserve"> </w:t>
      </w:r>
      <w:r w:rsidR="0086579B" w:rsidRPr="000665B0">
        <w:t>window</w:t>
      </w:r>
      <w:r w:rsidRPr="000665B0">
        <w:t xml:space="preserve"> is composed of a Strike Execution Folder and a Strike Option/Package list view. The Strike Execution Folder list view shows a summary data of all the Strike Execution Folders in MDS. This display provide</w:t>
      </w:r>
      <w:r w:rsidR="004E7E0C" w:rsidRPr="000665B0">
        <w:t>s</w:t>
      </w:r>
      <w:r w:rsidRPr="000665B0">
        <w:t xml:space="preserve"> a quick view on the stat</w:t>
      </w:r>
      <w:r w:rsidR="00E971E8">
        <w:t>u</w:t>
      </w:r>
      <w:r w:rsidRPr="000665B0">
        <w:t xml:space="preserve">s of the Strike Execution Folders. This is also the view that </w:t>
      </w:r>
      <w:r w:rsidR="008B743F" w:rsidRPr="000665B0">
        <w:t xml:space="preserve">typically </w:t>
      </w:r>
      <w:r w:rsidRPr="000665B0">
        <w:t>initiates the Strike rehearsal or execution</w:t>
      </w:r>
      <w:r w:rsidR="008B743F" w:rsidRPr="000665B0">
        <w:t xml:space="preserve">. Strike rehearsal or execution can also be initiated using the Quick Strike Tool (if installed; see </w:t>
      </w:r>
      <w:hyperlink w:anchor="_QUICK_STRIKE_TOOL_1" w:history="1">
        <w:r w:rsidR="00984911" w:rsidRPr="00DA0AED">
          <w:rPr>
            <w:rStyle w:val="Hyperlink"/>
          </w:rPr>
          <w:t xml:space="preserve">Section </w:t>
        </w:r>
        <w:r w:rsidR="004231CC">
          <w:rPr>
            <w:rStyle w:val="Hyperlink"/>
          </w:rPr>
          <w:t>5.36</w:t>
        </w:r>
      </w:hyperlink>
      <w:r w:rsidR="008B743F" w:rsidRPr="000665B0">
        <w:t>)</w:t>
      </w:r>
      <w:r w:rsidRPr="000665B0">
        <w:t xml:space="preserve">. The lower view of the </w:t>
      </w:r>
      <w:r w:rsidRPr="000665B0">
        <w:rPr>
          <w:i/>
        </w:rPr>
        <w:t>Strike Execution</w:t>
      </w:r>
      <w:r w:rsidRPr="000665B0">
        <w:t xml:space="preserve"> </w:t>
      </w:r>
      <w:r w:rsidR="0086579B" w:rsidRPr="000665B0">
        <w:t xml:space="preserve">window </w:t>
      </w:r>
      <w:r w:rsidRPr="000665B0">
        <w:t xml:space="preserve">is the Strike Option/Package list view that displays the Strike Options/Packages that </w:t>
      </w:r>
      <w:r w:rsidR="00191ED4" w:rsidRPr="000665B0">
        <w:t>are</w:t>
      </w:r>
      <w:r w:rsidRPr="000665B0">
        <w:t xml:space="preserve"> associated with the selected Strike Execution Folder </w:t>
      </w:r>
      <w:r w:rsidR="0086579B" w:rsidRPr="000665B0">
        <w:t xml:space="preserve">in </w:t>
      </w:r>
      <w:r w:rsidRPr="000665B0">
        <w:t xml:space="preserve">the upper view. This view is provided to preview the Strike Execution Folder’s Options/Packages without having to individually display each Strike Execution Folder. </w:t>
      </w:r>
      <w:r w:rsidR="003B3412" w:rsidRPr="000665B0">
        <w:t xml:space="preserve">For more information about the Strike Execution Folder’s Option/Package list view see </w:t>
      </w:r>
      <w:hyperlink w:anchor="_5.38.5__Strike" w:history="1">
        <w:r w:rsidR="00E036B6" w:rsidRPr="000665B0">
          <w:rPr>
            <w:rStyle w:val="Hyperlink"/>
          </w:rPr>
          <w:t xml:space="preserve">Section </w:t>
        </w:r>
        <w:r w:rsidR="004231CC">
          <w:rPr>
            <w:rStyle w:val="Hyperlink"/>
          </w:rPr>
          <w:t>5.35</w:t>
        </w:r>
        <w:r w:rsidRPr="000665B0">
          <w:rPr>
            <w:rStyle w:val="Hyperlink"/>
          </w:rPr>
          <w:t>.</w:t>
        </w:r>
        <w:r w:rsidR="008C424E" w:rsidRPr="000665B0">
          <w:rPr>
            <w:rStyle w:val="Hyperlink"/>
          </w:rPr>
          <w:t>5</w:t>
        </w:r>
      </w:hyperlink>
      <w:r w:rsidRPr="000665B0">
        <w:t>.</w:t>
      </w:r>
    </w:p>
    <w:p w14:paraId="128B24BB" w14:textId="13368A6A" w:rsidR="004325BD" w:rsidRPr="000665B0" w:rsidRDefault="00E960FD" w:rsidP="004325BD">
      <w:r w:rsidRPr="000665B0">
        <w:t>The ACA Filter Message</w:t>
      </w:r>
      <w:r>
        <w:t xml:space="preserve"> (see </w:t>
      </w:r>
      <w:hyperlink w:anchor="_Filter__Messages" w:history="1">
        <w:r w:rsidRPr="00E960FD">
          <w:rPr>
            <w:rStyle w:val="Hyperlink"/>
          </w:rPr>
          <w:t xml:space="preserve">Section </w:t>
        </w:r>
        <w:r w:rsidR="004231CC">
          <w:rPr>
            <w:rStyle w:val="Hyperlink"/>
          </w:rPr>
          <w:t>5.35</w:t>
        </w:r>
        <w:r w:rsidRPr="00E960FD">
          <w:rPr>
            <w:rStyle w:val="Hyperlink"/>
          </w:rPr>
          <w:t>.3.1.7.2</w:t>
        </w:r>
      </w:hyperlink>
      <w:r>
        <w:t>)</w:t>
      </w:r>
      <w:r w:rsidRPr="000665B0">
        <w:t xml:space="preserve"> is used to coordinate ACA services for a geographic area and time period in support of a Strike Packag</w:t>
      </w:r>
      <w:r>
        <w:t xml:space="preserve">e. </w:t>
      </w:r>
      <w:r w:rsidR="004325BD">
        <w:t xml:space="preserve">An </w:t>
      </w:r>
      <w:r w:rsidR="004325BD" w:rsidRPr="00EA5F29">
        <w:t xml:space="preserve">ACA Advance Coordination Filter Message </w:t>
      </w:r>
      <w:r w:rsidR="004325BD">
        <w:t xml:space="preserve">is a slightly different type of ACA Filter Message that is primarily used </w:t>
      </w:r>
      <w:r w:rsidR="004325BD" w:rsidRPr="00EA5F29">
        <w:t>for maritime strikes</w:t>
      </w:r>
      <w:r w:rsidR="004325BD">
        <w:t>.</w:t>
      </w:r>
      <w:r w:rsidR="004325BD" w:rsidRPr="00EA5F29">
        <w:t xml:space="preserve"> </w:t>
      </w:r>
      <w:r w:rsidR="004325BD">
        <w:t xml:space="preserve">It </w:t>
      </w:r>
      <w:r w:rsidR="004325BD" w:rsidRPr="00EA5F29">
        <w:t>can be sent</w:t>
      </w:r>
      <w:r w:rsidR="004325BD">
        <w:t xml:space="preserve"> directly from the Strike Execution list view</w:t>
      </w:r>
      <w:r w:rsidR="004325BD" w:rsidRPr="00EA5F29">
        <w:t xml:space="preserve"> before a strike exists to reserve time before actually creating a maritime engagement</w:t>
      </w:r>
      <w:r w:rsidR="004325BD">
        <w:t xml:space="preserve"> (see </w:t>
      </w:r>
      <w:hyperlink w:anchor="_ACA__Advance" w:history="1">
        <w:r w:rsidR="004325BD" w:rsidRPr="00C25C4A">
          <w:rPr>
            <w:rStyle w:val="Hyperlink"/>
          </w:rPr>
          <w:t xml:space="preserve">Section </w:t>
        </w:r>
        <w:r w:rsidR="004231CC">
          <w:rPr>
            <w:rStyle w:val="Hyperlink"/>
          </w:rPr>
          <w:t>5.35</w:t>
        </w:r>
        <w:r w:rsidR="004325BD" w:rsidRPr="00C25C4A">
          <w:rPr>
            <w:rStyle w:val="Hyperlink"/>
          </w:rPr>
          <w:t>.17</w:t>
        </w:r>
      </w:hyperlink>
      <w:r w:rsidR="004325BD">
        <w:t>).</w:t>
      </w:r>
      <w:r w:rsidR="009651B0">
        <w:t xml:space="preserve"> </w:t>
      </w:r>
    </w:p>
    <w:p w14:paraId="1BEB617B" w14:textId="77777777" w:rsidR="0086579B" w:rsidRPr="000665B0" w:rsidRDefault="0086579B" w:rsidP="00D60914">
      <w:pPr>
        <w:keepNext/>
      </w:pPr>
      <w:r w:rsidRPr="000665B0">
        <w:lastRenderedPageBreak/>
        <w:t>To view the Strike Execution Tool:</w:t>
      </w:r>
    </w:p>
    <w:p w14:paraId="300761A2" w14:textId="77777777" w:rsidR="0086579B" w:rsidRPr="000665B0" w:rsidRDefault="0086579B" w:rsidP="00EE28AB">
      <w:pPr>
        <w:pStyle w:val="Number0205"/>
        <w:keepNext/>
        <w:ind w:left="360" w:firstLine="0"/>
      </w:pPr>
      <w:r w:rsidRPr="000665B0">
        <w:t xml:space="preserve">From the </w:t>
      </w:r>
      <w:r w:rsidRPr="000665B0">
        <w:rPr>
          <w:b/>
        </w:rPr>
        <w:t>Go</w:t>
      </w:r>
      <w:r w:rsidRPr="000665B0">
        <w:t xml:space="preserve"> menu select </w:t>
      </w:r>
      <w:r w:rsidRPr="000665B0">
        <w:rPr>
          <w:b/>
          <w:bCs/>
        </w:rPr>
        <w:t>Strike Execution</w:t>
      </w:r>
      <w:r w:rsidRPr="000665B0">
        <w:t>.</w:t>
      </w:r>
    </w:p>
    <w:p w14:paraId="263960CD" w14:textId="1C3E372D" w:rsidR="0086579B" w:rsidRPr="000665B0" w:rsidRDefault="0035648B" w:rsidP="00536207">
      <w:pPr>
        <w:pStyle w:val="BodyText"/>
        <w:tabs>
          <w:tab w:val="left" w:pos="720"/>
        </w:tabs>
        <w:spacing w:after="120"/>
        <w:jc w:val="center"/>
      </w:pPr>
      <w:r w:rsidRPr="000665B0">
        <w:rPr>
          <w:noProof/>
        </w:rPr>
        <w:drawing>
          <wp:inline distT="0" distB="0" distL="0" distR="0" wp14:anchorId="2F91877E" wp14:editId="67EFF96D">
            <wp:extent cx="4983480" cy="1874520"/>
            <wp:effectExtent l="0" t="0" r="0" b="0"/>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874520"/>
                    </a:xfrm>
                    <a:prstGeom prst="rect">
                      <a:avLst/>
                    </a:prstGeom>
                  </pic:spPr>
                </pic:pic>
              </a:graphicData>
            </a:graphic>
          </wp:inline>
        </w:drawing>
      </w:r>
    </w:p>
    <w:p w14:paraId="02436B9C" w14:textId="77777777" w:rsidR="00BD13E0" w:rsidRPr="000665B0" w:rsidRDefault="00BD13E0" w:rsidP="00BD13E0">
      <w:pPr>
        <w:rPr>
          <w:b/>
        </w:rPr>
      </w:pPr>
      <w:r w:rsidRPr="000665B0">
        <w:rPr>
          <w:b/>
          <w:i/>
        </w:rPr>
        <w:t xml:space="preserve">Strike Execution Folder </w:t>
      </w:r>
      <w:r w:rsidR="0086579B" w:rsidRPr="000665B0">
        <w:rPr>
          <w:b/>
          <w:i/>
        </w:rPr>
        <w:t>List View</w:t>
      </w:r>
    </w:p>
    <w:p w14:paraId="6F83F44E" w14:textId="77777777" w:rsidR="0086579B" w:rsidRPr="000665B0" w:rsidRDefault="0086579B" w:rsidP="006D5A65">
      <w:pPr>
        <w:pStyle w:val="Heading1"/>
      </w:pPr>
      <w:r w:rsidRPr="000665B0">
        <w:t>Columns</w:t>
      </w:r>
    </w:p>
    <w:p w14:paraId="3440587A" w14:textId="77777777" w:rsidR="00BD13E0" w:rsidRPr="000665B0" w:rsidRDefault="00BD13E0" w:rsidP="006D5A65">
      <w:pPr>
        <w:pStyle w:val="Heading2"/>
      </w:pPr>
      <w:r w:rsidRPr="000665B0">
        <w:t xml:space="preserve">ID – </w:t>
      </w:r>
      <w:r w:rsidR="007A246A" w:rsidRPr="000665B0">
        <w:t>O</w:t>
      </w:r>
      <w:r w:rsidRPr="000665B0">
        <w:t>riginating Node location code and a sequence number.</w:t>
      </w:r>
    </w:p>
    <w:p w14:paraId="238F0422" w14:textId="77777777" w:rsidR="00987E38" w:rsidRPr="000665B0" w:rsidRDefault="00BD13E0" w:rsidP="006D5A65">
      <w:pPr>
        <w:pStyle w:val="Heading2"/>
      </w:pPr>
      <w:r w:rsidRPr="000665B0">
        <w:t>Title – Strike Execution Folder title.</w:t>
      </w:r>
    </w:p>
    <w:p w14:paraId="409E4E97" w14:textId="77777777" w:rsidR="00BD13E0" w:rsidRPr="000665B0" w:rsidRDefault="00BD13E0" w:rsidP="006D5A65">
      <w:pPr>
        <w:pStyle w:val="Heading2"/>
      </w:pPr>
      <w:r w:rsidRPr="000665B0">
        <w:t xml:space="preserve">Class – </w:t>
      </w:r>
      <w:r w:rsidR="003B3412" w:rsidRPr="000665B0">
        <w:t>T</w:t>
      </w:r>
      <w:r w:rsidRPr="000665B0">
        <w:t xml:space="preserve">he class type of the Strike Execution Folder. The Class type is dependent on the Class type of the Strike Execution Folder’s Strike Options/Packages. </w:t>
      </w:r>
    </w:p>
    <w:p w14:paraId="1439C037" w14:textId="77777777" w:rsidR="00BD13E0" w:rsidRPr="000665B0" w:rsidRDefault="00BD13E0" w:rsidP="006D5A65">
      <w:pPr>
        <w:pStyle w:val="Heading3"/>
      </w:pPr>
      <w:r w:rsidRPr="000665B0">
        <w:t>Tactical – The Strike Execution Folder’s Class type is Tactical if all of its Strike Packages also have a Class type of Tactical.</w:t>
      </w:r>
    </w:p>
    <w:p w14:paraId="068FAACB" w14:textId="77777777" w:rsidR="00BD13E0" w:rsidRPr="000665B0" w:rsidRDefault="00BD13E0" w:rsidP="006D5A65">
      <w:pPr>
        <w:pStyle w:val="Heading3"/>
      </w:pPr>
      <w:r w:rsidRPr="000665B0">
        <w:t xml:space="preserve">Training – If any of the Strike Execution Folder’s Strike Packages have a Class of Training, then the Strike Execution Folder’s Class will be Training. </w:t>
      </w:r>
    </w:p>
    <w:p w14:paraId="5097D2AF" w14:textId="77777777" w:rsidR="00BD13E0" w:rsidRPr="000665B0" w:rsidRDefault="00BD13E0" w:rsidP="006D5A65">
      <w:pPr>
        <w:pStyle w:val="Heading3"/>
        <w:rPr>
          <w:i/>
        </w:rPr>
      </w:pPr>
      <w:r w:rsidRPr="000665B0">
        <w:t xml:space="preserve">Rehearse – </w:t>
      </w:r>
      <w:r w:rsidR="003B3412" w:rsidRPr="000665B0">
        <w:t>R</w:t>
      </w:r>
      <w:r w:rsidRPr="000665B0">
        <w:t>ehearsal copy of a Strike Execution Folder.</w:t>
      </w:r>
    </w:p>
    <w:p w14:paraId="6B7A7277" w14:textId="6F46CDC5" w:rsidR="00BD13E0" w:rsidRPr="000665B0" w:rsidRDefault="00BD13E0" w:rsidP="006D5A65">
      <w:pPr>
        <w:pStyle w:val="Heading2"/>
      </w:pPr>
      <w:r w:rsidRPr="000665B0">
        <w:t>Execut</w:t>
      </w:r>
      <w:r w:rsidR="0086579B" w:rsidRPr="000665B0">
        <w:t>e</w:t>
      </w:r>
      <w:r w:rsidRPr="000665B0">
        <w:t xml:space="preserve"> State – </w:t>
      </w:r>
      <w:r w:rsidR="003B3412" w:rsidRPr="000665B0">
        <w:t>T</w:t>
      </w:r>
      <w:r w:rsidRPr="000665B0">
        <w:t>he current execution state of the Strike Execution Folder.</w:t>
      </w:r>
    </w:p>
    <w:p w14:paraId="538638D7" w14:textId="77777777" w:rsidR="00BD13E0" w:rsidRPr="000665B0" w:rsidRDefault="00BD13E0" w:rsidP="006D5A65">
      <w:pPr>
        <w:pStyle w:val="Heading3"/>
      </w:pPr>
      <w:r w:rsidRPr="000665B0">
        <w:lastRenderedPageBreak/>
        <w:t xml:space="preserve">Available – </w:t>
      </w:r>
      <w:r w:rsidR="003B3412" w:rsidRPr="000665B0">
        <w:t>T</w:t>
      </w:r>
      <w:r w:rsidRPr="000665B0">
        <w:t>he Strike Execution Folder has not been executed and is available for execution.</w:t>
      </w:r>
    </w:p>
    <w:p w14:paraId="5F3F6273" w14:textId="77777777" w:rsidR="00BD13E0" w:rsidRPr="000665B0" w:rsidRDefault="00BD13E0" w:rsidP="006D5A65">
      <w:pPr>
        <w:pStyle w:val="Heading3"/>
      </w:pPr>
      <w:r w:rsidRPr="000665B0">
        <w:t xml:space="preserve">Active – </w:t>
      </w:r>
      <w:r w:rsidR="003B3412" w:rsidRPr="000665B0">
        <w:t>T</w:t>
      </w:r>
      <w:r w:rsidRPr="000665B0">
        <w:t xml:space="preserve">he Strike Execution Folder </w:t>
      </w:r>
      <w:r w:rsidR="00936E18" w:rsidRPr="000665B0">
        <w:t>has been executed at least once or the rehearsal copy of the Strike Execution folder has been rehearsed at least once.</w:t>
      </w:r>
      <w:r w:rsidRPr="000665B0">
        <w:t xml:space="preserve"> </w:t>
      </w:r>
    </w:p>
    <w:p w14:paraId="1DB0C785" w14:textId="77777777" w:rsidR="00BD13E0" w:rsidRPr="000665B0" w:rsidRDefault="00BD13E0" w:rsidP="006D5A65">
      <w:pPr>
        <w:pStyle w:val="Heading3"/>
      </w:pPr>
      <w:r w:rsidRPr="000665B0">
        <w:t xml:space="preserve">Complete – </w:t>
      </w:r>
      <w:r w:rsidR="003B3412" w:rsidRPr="000665B0">
        <w:t>T</w:t>
      </w:r>
      <w:r w:rsidRPr="000665B0">
        <w:t>he Strike Execution Folder has been completed.</w:t>
      </w:r>
    </w:p>
    <w:p w14:paraId="21E308D1" w14:textId="77777777" w:rsidR="00BD13E0" w:rsidRPr="000665B0" w:rsidRDefault="00BD13E0" w:rsidP="006D5A65">
      <w:pPr>
        <w:pStyle w:val="Heading2"/>
      </w:pPr>
      <w:r w:rsidRPr="000665B0">
        <w:t xml:space="preserve">Creation DTG – </w:t>
      </w:r>
      <w:r w:rsidR="003B3412" w:rsidRPr="000665B0">
        <w:t>T</w:t>
      </w:r>
      <w:r w:rsidRPr="000665B0">
        <w:t>he creation DTG of the Strike Execution Folder.</w:t>
      </w:r>
    </w:p>
    <w:p w14:paraId="1DD6090D" w14:textId="77777777" w:rsidR="00BD13E0" w:rsidRPr="000665B0" w:rsidRDefault="00BD13E0" w:rsidP="006D5A65">
      <w:pPr>
        <w:pStyle w:val="Heading2"/>
      </w:pPr>
      <w:r w:rsidRPr="000665B0">
        <w:t xml:space="preserve">Last Modified DTG – </w:t>
      </w:r>
      <w:r w:rsidR="003B3412" w:rsidRPr="000665B0">
        <w:t>T</w:t>
      </w:r>
      <w:r w:rsidRPr="000665B0">
        <w:t>he DTG of the last modification to the Strike Execution Folder.</w:t>
      </w:r>
    </w:p>
    <w:p w14:paraId="37260A5F" w14:textId="77777777" w:rsidR="007A246A" w:rsidRPr="000665B0" w:rsidRDefault="007A246A" w:rsidP="006D5A65">
      <w:pPr>
        <w:pStyle w:val="Heading2"/>
      </w:pPr>
      <w:r w:rsidRPr="000665B0">
        <w:t>Originator – The user name of the originator.</w:t>
      </w:r>
    </w:p>
    <w:p w14:paraId="49689F66" w14:textId="77777777" w:rsidR="00BD13E0" w:rsidRPr="000665B0" w:rsidRDefault="00BD13E0" w:rsidP="006D5A65">
      <w:pPr>
        <w:pStyle w:val="Heading2"/>
      </w:pPr>
      <w:r w:rsidRPr="000665B0">
        <w:t xml:space="preserve">User Name – </w:t>
      </w:r>
      <w:r w:rsidR="003B3412" w:rsidRPr="000665B0">
        <w:t>T</w:t>
      </w:r>
      <w:r w:rsidRPr="000665B0">
        <w:t>he user name of the operator who last modified the Strike Execution Folder.</w:t>
      </w:r>
    </w:p>
    <w:p w14:paraId="4DB7F16F" w14:textId="77777777" w:rsidR="009D68EB" w:rsidRPr="000665B0" w:rsidRDefault="009D68EB" w:rsidP="006D5A65">
      <w:pPr>
        <w:pStyle w:val="Heading2"/>
      </w:pPr>
      <w:r w:rsidRPr="000665B0">
        <w:t>Executing – Indicates whether the Strike Execution folder is executing in TED.</w:t>
      </w:r>
    </w:p>
    <w:p w14:paraId="24B5FFF3" w14:textId="77777777" w:rsidR="00BD13E0" w:rsidRPr="000665B0" w:rsidRDefault="00BD13E0" w:rsidP="006D5A65">
      <w:pPr>
        <w:pStyle w:val="Heading1"/>
      </w:pPr>
      <w:r w:rsidRPr="000665B0">
        <w:t>Context Menu</w:t>
      </w:r>
    </w:p>
    <w:p w14:paraId="1CFA4957" w14:textId="19067220" w:rsidR="00B55EE2" w:rsidRPr="000665B0" w:rsidRDefault="00B55EE2" w:rsidP="006D5A65">
      <w:pPr>
        <w:pStyle w:val="Heading2"/>
        <w:rPr>
          <w:rFonts w:eastAsia="Arial Unicode MS"/>
        </w:rPr>
      </w:pPr>
      <w:r w:rsidRPr="000665B0">
        <w:rPr>
          <w:rFonts w:eastAsia="Arial Unicode MS"/>
        </w:rPr>
        <w:t xml:space="preserve">New – </w:t>
      </w:r>
      <w:r w:rsidRPr="000665B0">
        <w:t xml:space="preserve">Invokes the </w:t>
      </w:r>
      <w:r w:rsidRPr="000665B0">
        <w:rPr>
          <w:i/>
        </w:rPr>
        <w:t>Strike Execution Folder</w:t>
      </w:r>
      <w:r w:rsidRPr="000665B0">
        <w:t xml:space="preserve"> window.</w:t>
      </w:r>
    </w:p>
    <w:p w14:paraId="7528D1D5" w14:textId="77777777" w:rsidR="007A246A" w:rsidRPr="000665B0" w:rsidRDefault="007A246A" w:rsidP="006D5A65">
      <w:pPr>
        <w:pStyle w:val="Heading2"/>
      </w:pPr>
      <w:r w:rsidRPr="000665B0">
        <w:t>Display</w:t>
      </w:r>
    </w:p>
    <w:p w14:paraId="55E457BB" w14:textId="33130145" w:rsidR="00193736" w:rsidRPr="000665B0" w:rsidRDefault="007A246A" w:rsidP="006D5A65">
      <w:pPr>
        <w:pStyle w:val="Heading3"/>
      </w:pPr>
      <w:r w:rsidRPr="000665B0">
        <w:t xml:space="preserve">Textually – Displays the textual view of the selected Strike </w:t>
      </w:r>
      <w:r w:rsidR="00B819B8" w:rsidRPr="000665B0">
        <w:t xml:space="preserve">Execution </w:t>
      </w:r>
      <w:r w:rsidRPr="000665B0">
        <w:t>Folder(s).</w:t>
      </w:r>
    </w:p>
    <w:p w14:paraId="34D7B0A2" w14:textId="77777777" w:rsidR="007A246A" w:rsidRPr="000665B0" w:rsidRDefault="007A246A" w:rsidP="006D5A65">
      <w:pPr>
        <w:pStyle w:val="Heading3"/>
        <w:rPr>
          <w:rFonts w:eastAsia="Arial Unicode MS"/>
        </w:rPr>
      </w:pPr>
      <w:r w:rsidRPr="000665B0">
        <w:rPr>
          <w:rFonts w:eastAsia="Arial Unicode MS"/>
        </w:rPr>
        <w:t xml:space="preserve">in Excel – </w:t>
      </w:r>
      <w:r w:rsidRPr="000665B0">
        <w:t xml:space="preserve">Creates an Excel document containing the selected Strike Execution </w:t>
      </w:r>
      <w:r w:rsidR="00987E38" w:rsidRPr="000665B0">
        <w:t>Folders’</w:t>
      </w:r>
      <w:r w:rsidRPr="000665B0">
        <w:t xml:space="preserve"> information.</w:t>
      </w:r>
    </w:p>
    <w:p w14:paraId="519FF557" w14:textId="77777777" w:rsidR="00BD13E0" w:rsidRPr="000665B0" w:rsidRDefault="00BD13E0" w:rsidP="006D5A65">
      <w:pPr>
        <w:pStyle w:val="Heading2"/>
      </w:pPr>
      <w:r w:rsidRPr="000665B0">
        <w:t>Save As</w:t>
      </w:r>
    </w:p>
    <w:p w14:paraId="0093F72E" w14:textId="026CCFF7" w:rsidR="00BD13E0" w:rsidRPr="000665B0" w:rsidRDefault="00BD13E0" w:rsidP="006D5A65">
      <w:pPr>
        <w:pStyle w:val="Heading3"/>
      </w:pPr>
      <w:r w:rsidRPr="000665B0">
        <w:t xml:space="preserve">CTN… – Saves the CTN data files to a specified directory. </w:t>
      </w:r>
      <w:r w:rsidR="001C0F33" w:rsidRPr="000665B0">
        <w:t xml:space="preserve">See </w:t>
      </w:r>
      <w:hyperlink w:anchor="_Save_as_CTN" w:history="1">
        <w:r w:rsidR="00E036B6" w:rsidRPr="000665B0">
          <w:rPr>
            <w:rStyle w:val="Hyperlink"/>
          </w:rPr>
          <w:t xml:space="preserve">Section </w:t>
        </w:r>
        <w:r w:rsidR="004231CC">
          <w:rPr>
            <w:rStyle w:val="Hyperlink"/>
          </w:rPr>
          <w:t>5.35</w:t>
        </w:r>
        <w:r w:rsidR="001C0F33" w:rsidRPr="000665B0">
          <w:rPr>
            <w:rStyle w:val="Hyperlink"/>
          </w:rPr>
          <w:t>.4</w:t>
        </w:r>
      </w:hyperlink>
      <w:r w:rsidR="008C424E" w:rsidRPr="000665B0">
        <w:t xml:space="preserve"> </w:t>
      </w:r>
      <w:r w:rsidRPr="000665B0">
        <w:t>for more information. This menu is only enabled when there is one item selected.</w:t>
      </w:r>
    </w:p>
    <w:p w14:paraId="477E5AC1" w14:textId="77777777" w:rsidR="00BD13E0" w:rsidRPr="000665B0" w:rsidRDefault="00BD13E0" w:rsidP="006D5A65">
      <w:pPr>
        <w:pStyle w:val="Heading3"/>
      </w:pPr>
      <w:r w:rsidRPr="000665B0">
        <w:t>Rehearsal – Saves a copy of either a “Tactical” or a “Training” type Strike Execution Folder. The copy will be given the type “Rehearse</w:t>
      </w:r>
      <w:r w:rsidR="00CC266D" w:rsidRPr="000665B0">
        <w:t>.</w:t>
      </w:r>
      <w:r w:rsidRPr="000665B0">
        <w:t xml:space="preserve">” </w:t>
      </w:r>
    </w:p>
    <w:p w14:paraId="556C7D0C" w14:textId="79838855" w:rsidR="00BD13E0" w:rsidRPr="000665B0" w:rsidRDefault="00BD13E0" w:rsidP="006D5A65">
      <w:pPr>
        <w:pStyle w:val="Heading2"/>
      </w:pPr>
      <w:r w:rsidRPr="000665B0">
        <w:t>Rehearse… – Rehearse</w:t>
      </w:r>
      <w:r w:rsidR="00CC266D" w:rsidRPr="000665B0">
        <w:t>s</w:t>
      </w:r>
      <w:r w:rsidRPr="000665B0">
        <w:t xml:space="preserve"> the selected Strike Execution Folder. Only Strike Execution Folders with a Class type of “Rehearse” can be rehearsed. When a non-rehearsal Class </w:t>
      </w:r>
      <w:r w:rsidRPr="000665B0">
        <w:lastRenderedPageBreak/>
        <w:t xml:space="preserve">type is selected, a rehearsal copy will be </w:t>
      </w:r>
      <w:r w:rsidR="00414627" w:rsidRPr="000665B0">
        <w:t>created,</w:t>
      </w:r>
      <w:r w:rsidRPr="000665B0">
        <w:t xml:space="preserve"> and that copy will be used for the rehearsal.</w:t>
      </w:r>
    </w:p>
    <w:p w14:paraId="3E061FFC" w14:textId="77777777" w:rsidR="009D68EB" w:rsidRPr="000665B0" w:rsidRDefault="009D68EB" w:rsidP="006D5A65">
      <w:pPr>
        <w:pStyle w:val="Heading3"/>
      </w:pPr>
      <w:r w:rsidRPr="000665B0">
        <w:t xml:space="preserve">With SMD… – </w:t>
      </w:r>
      <w:r w:rsidR="00936E18" w:rsidRPr="000665B0">
        <w:t>Displays the Strike Management Display and starts the rehearsal in TED. This menu is only enabled when MDS is not rehearsing any other Strike Execution Folder. A warning is displayed if the operator tries to rehearse a Strike Execution Folder while TED is already rehearsing another fold</w:t>
      </w:r>
      <w:r w:rsidRPr="000665B0">
        <w:t xml:space="preserve">. </w:t>
      </w:r>
    </w:p>
    <w:p w14:paraId="0C05CC3C" w14:textId="77777777" w:rsidR="009D68EB" w:rsidRPr="000665B0" w:rsidRDefault="009D68EB" w:rsidP="006D5A65">
      <w:pPr>
        <w:pStyle w:val="Heading3"/>
      </w:pPr>
      <w:r w:rsidRPr="000665B0">
        <w:t xml:space="preserve">Without SMD… – </w:t>
      </w:r>
      <w:r w:rsidR="00936E18" w:rsidRPr="000665B0">
        <w:t xml:space="preserve">Starts the rehearsal in TED but does not display the Strike Management Display. This menu item is only enabled when the selected Strike Execution Folder is a rehearsal copy. </w:t>
      </w:r>
      <w:r w:rsidR="00987E38" w:rsidRPr="000665B0">
        <w:t>A warning</w:t>
      </w:r>
      <w:r w:rsidR="00936E18" w:rsidRPr="000665B0">
        <w:t xml:space="preserve"> is displayed if the operator tries to rehearse a Strike Execution Folder while TED is already rehearsing another folder.</w:t>
      </w:r>
    </w:p>
    <w:p w14:paraId="5578CA6D" w14:textId="77777777" w:rsidR="009D68EB" w:rsidRPr="000665B0" w:rsidRDefault="00BD13E0" w:rsidP="006D5A65">
      <w:pPr>
        <w:pStyle w:val="Heading2"/>
      </w:pPr>
      <w:r w:rsidRPr="000665B0">
        <w:t>Execute… – Execute</w:t>
      </w:r>
      <w:r w:rsidR="00CC266D" w:rsidRPr="000665B0">
        <w:t>s</w:t>
      </w:r>
      <w:r w:rsidRPr="000665B0">
        <w:t xml:space="preserve"> the selected Strike Execution Folder. </w:t>
      </w:r>
      <w:r w:rsidR="00936E18" w:rsidRPr="000665B0">
        <w:t>The sub menu items “With SMD” and “Without SMD”</w:t>
      </w:r>
      <w:r w:rsidR="00987E38" w:rsidRPr="000665B0">
        <w:t xml:space="preserve"> </w:t>
      </w:r>
      <w:r w:rsidR="00936E18" w:rsidRPr="000665B0">
        <w:t>are only enabled if the selected Strike Execution Folder is not a “Rehearsal”</w:t>
      </w:r>
      <w:r w:rsidR="00987E38" w:rsidRPr="000665B0">
        <w:t xml:space="preserve"> </w:t>
      </w:r>
      <w:r w:rsidR="00936E18" w:rsidRPr="000665B0">
        <w:t>class</w:t>
      </w:r>
      <w:r w:rsidRPr="000665B0">
        <w:t xml:space="preserve">. </w:t>
      </w:r>
    </w:p>
    <w:p w14:paraId="15FA8D05" w14:textId="77777777" w:rsidR="009D68EB" w:rsidRPr="000665B0" w:rsidRDefault="009D68EB" w:rsidP="006D5A65">
      <w:pPr>
        <w:pStyle w:val="Heading3"/>
      </w:pPr>
      <w:r w:rsidRPr="000665B0">
        <w:t xml:space="preserve">With SMD… – </w:t>
      </w:r>
      <w:r w:rsidR="00936E18" w:rsidRPr="000665B0">
        <w:t xml:space="preserve">Displays the Strike Management Display and starts the execution in TED. This menu item is only enabled when there is not another Strike Execution Folder running with SMD. If there is another Strike Execution Folder executing in TED without SMD, then </w:t>
      </w:r>
      <w:r w:rsidR="00987E38" w:rsidRPr="000665B0">
        <w:t>a warning</w:t>
      </w:r>
      <w:r w:rsidR="00936E18" w:rsidRPr="000665B0">
        <w:t xml:space="preserve"> is displayed if the operator tries to execute a Strike Execution Folder while TED is already executing another folder.</w:t>
      </w:r>
      <w:r w:rsidRPr="000665B0">
        <w:t xml:space="preserve"> </w:t>
      </w:r>
    </w:p>
    <w:p w14:paraId="4800AEFD" w14:textId="77777777" w:rsidR="009D68EB" w:rsidRPr="000665B0" w:rsidRDefault="009D68EB" w:rsidP="006D5A65">
      <w:pPr>
        <w:pStyle w:val="Heading3"/>
      </w:pPr>
      <w:r w:rsidRPr="000665B0">
        <w:t xml:space="preserve">Without SMD… – </w:t>
      </w:r>
      <w:r w:rsidR="00936E18" w:rsidRPr="000665B0">
        <w:t xml:space="preserve">Starts the execution in TED but does not display the Strike Management Display. When there is another Strike Execution Folder being executed in TED, a warning is displayed if the operator tries to </w:t>
      </w:r>
      <w:r w:rsidR="00987E38" w:rsidRPr="000665B0">
        <w:t>execute</w:t>
      </w:r>
      <w:r w:rsidR="00936E18" w:rsidRPr="000665B0">
        <w:t xml:space="preserve"> the selected Strike Execution Folder anyway.</w:t>
      </w:r>
    </w:p>
    <w:p w14:paraId="5D460643" w14:textId="461219EB" w:rsidR="009B4E16" w:rsidRPr="000665B0" w:rsidRDefault="009B4E16" w:rsidP="006D5A65">
      <w:pPr>
        <w:pStyle w:val="Heading2"/>
      </w:pPr>
      <w:r w:rsidRPr="000665B0">
        <w:t xml:space="preserve">Stop Execution – Stops the executing Strike Execution Folder in TED. This menu is only enabled when the selected Strike Execution Folder is currently </w:t>
      </w:r>
      <w:r w:rsidR="00414627" w:rsidRPr="000665B0">
        <w:t>executing,</w:t>
      </w:r>
      <w:r w:rsidRPr="000665B0">
        <w:t xml:space="preserve"> and the Strike Management Display is not being displayed.</w:t>
      </w:r>
    </w:p>
    <w:p w14:paraId="626B16D3" w14:textId="77777777" w:rsidR="00BD13E0" w:rsidRPr="000665B0" w:rsidRDefault="00BD13E0" w:rsidP="006D5A65">
      <w:pPr>
        <w:pStyle w:val="Heading2"/>
      </w:pPr>
      <w:r w:rsidRPr="000665B0">
        <w:t>Complete – Set</w:t>
      </w:r>
      <w:r w:rsidR="00CC266D" w:rsidRPr="000665B0">
        <w:t>s</w:t>
      </w:r>
      <w:r w:rsidRPr="000665B0">
        <w:t xml:space="preserve"> the selected Strike Execution Folder’s Execution State to “Complete.” This menu is only enabled when the selected Strike Execution Folder is not “Complete” and when there are no executing </w:t>
      </w:r>
      <w:r w:rsidR="008C5B8E" w:rsidRPr="000665B0">
        <w:t xml:space="preserve">or </w:t>
      </w:r>
      <w:r w:rsidR="00987E38" w:rsidRPr="000665B0">
        <w:t>rehearsing Strikes</w:t>
      </w:r>
      <w:r w:rsidRPr="000665B0">
        <w:t>.</w:t>
      </w:r>
    </w:p>
    <w:p w14:paraId="4157785D" w14:textId="3F7E48DA" w:rsidR="00BD13E0" w:rsidRDefault="00BD13E0" w:rsidP="006D5A65">
      <w:pPr>
        <w:pStyle w:val="Heading2"/>
      </w:pPr>
      <w:r w:rsidRPr="000665B0">
        <w:t>Post</w:t>
      </w:r>
      <w:r w:rsidR="00C357D7">
        <w:t>-</w:t>
      </w:r>
      <w:r w:rsidRPr="000665B0">
        <w:t>Strike</w:t>
      </w:r>
      <w:r w:rsidR="00C357D7">
        <w:t xml:space="preserve"> </w:t>
      </w:r>
      <w:r w:rsidRPr="000665B0">
        <w:t xml:space="preserve">Analysis… – </w:t>
      </w:r>
      <w:r w:rsidR="00CC266D" w:rsidRPr="000665B0">
        <w:t>Enables the user to generate post-Strike report(s)</w:t>
      </w:r>
      <w:r w:rsidRPr="000665B0">
        <w:t>. This menu is only enabled when the selected Strike Execution Folder</w:t>
      </w:r>
      <w:r w:rsidR="00F4762B">
        <w:t xml:space="preserve">’s Execution State </w:t>
      </w:r>
      <w:r w:rsidRPr="000665B0">
        <w:t xml:space="preserve">is “Complete” and when there are no executing </w:t>
      </w:r>
      <w:r w:rsidR="008C5B8E" w:rsidRPr="000665B0">
        <w:t xml:space="preserve">or rehearsing </w:t>
      </w:r>
      <w:r w:rsidRPr="000665B0">
        <w:t>Strikes.</w:t>
      </w:r>
    </w:p>
    <w:p w14:paraId="43A0BCBF" w14:textId="45DAA00D" w:rsidR="00A34DEA" w:rsidRDefault="00A34DEA" w:rsidP="00A34DEA">
      <w:pPr>
        <w:ind w:left="720"/>
        <w:jc w:val="center"/>
      </w:pPr>
      <w:r w:rsidRPr="00943D4B">
        <w:rPr>
          <w:noProof/>
        </w:rPr>
        <w:lastRenderedPageBreak/>
        <w:drawing>
          <wp:inline distT="0" distB="0" distL="0" distR="0" wp14:anchorId="6F3AF15B" wp14:editId="6BA3C35D">
            <wp:extent cx="1558048" cy="2161162"/>
            <wp:effectExtent l="0" t="0" r="4445" b="0"/>
            <wp:docPr id="544" name="Picture 54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a:stretch>
                      <a:fillRect/>
                    </a:stretch>
                  </pic:blipFill>
                  <pic:spPr>
                    <a:xfrm>
                      <a:off x="0" y="0"/>
                      <a:ext cx="1570439" cy="2178350"/>
                    </a:xfrm>
                    <a:prstGeom prst="rect">
                      <a:avLst/>
                    </a:prstGeom>
                  </pic:spPr>
                </pic:pic>
              </a:graphicData>
            </a:graphic>
          </wp:inline>
        </w:drawing>
      </w:r>
    </w:p>
    <w:p w14:paraId="4DFF689D" w14:textId="6CE1DF99" w:rsidR="00A34DEA" w:rsidRPr="00A34DEA" w:rsidRDefault="00A34DEA" w:rsidP="006D5A65">
      <w:pPr>
        <w:pStyle w:val="Heading1"/>
      </w:pPr>
      <w:r w:rsidRPr="007E1CDD">
        <w:t>Execution History</w:t>
      </w:r>
      <w:r>
        <w:t xml:space="preserve"> Report: </w:t>
      </w:r>
      <w:r w:rsidRPr="007E1CDD">
        <w:t>Provides chronological event history for all strikes in the Strike Execution Folder.</w:t>
      </w:r>
    </w:p>
    <w:p w14:paraId="4548F047" w14:textId="0B77D391" w:rsidR="00A34DEA" w:rsidRPr="00A34DEA" w:rsidRDefault="00A34DEA" w:rsidP="006D5A65">
      <w:pPr>
        <w:pStyle w:val="Heading1"/>
      </w:pPr>
      <w:r w:rsidRPr="007E1CDD">
        <w:t>TSN Message Detail</w:t>
      </w:r>
      <w:r>
        <w:t xml:space="preserve"> Report: </w:t>
      </w:r>
      <w:r w:rsidRPr="007E1CDD">
        <w:t>Provides chronological list of H&amp;S messages with details for all missiles that participated in the Strike Execution Folder.</w:t>
      </w:r>
    </w:p>
    <w:p w14:paraId="00371836" w14:textId="1A36A41E" w:rsidR="00A34DEA" w:rsidRPr="00A34DEA" w:rsidRDefault="00A34DEA" w:rsidP="006D5A65">
      <w:pPr>
        <w:pStyle w:val="Heading1"/>
      </w:pPr>
      <w:r w:rsidRPr="00A34DEA">
        <w:t>TSN Messages Report: Provides chronological H&amp;S history for all missiles that participated in the Strike Execution Folder.</w:t>
      </w:r>
    </w:p>
    <w:p w14:paraId="4C7919B5" w14:textId="4D282C03" w:rsidR="00A34DEA" w:rsidRPr="00D06C3E" w:rsidRDefault="00DC34B7" w:rsidP="006D5A65">
      <w:pPr>
        <w:pStyle w:val="Heading2"/>
        <w:rPr>
          <w:rStyle w:val="Hyperlink"/>
          <w:color w:val="auto"/>
          <w:u w:val="none"/>
        </w:rPr>
      </w:pPr>
      <w:r w:rsidRPr="000665B0">
        <w:t xml:space="preserve">Send… – </w:t>
      </w:r>
      <w:r w:rsidR="009D1630" w:rsidRPr="000665B0">
        <w:t xml:space="preserve">Adds </w:t>
      </w:r>
      <w:r w:rsidRPr="000665B0">
        <w:t>the selected SEF to</w:t>
      </w:r>
      <w:r w:rsidR="009D1630" w:rsidRPr="000665B0">
        <w:t xml:space="preserve"> a DDO template for distribution to</w:t>
      </w:r>
      <w:r w:rsidRPr="000665B0">
        <w:t xml:space="preserve"> Strike participants as defined </w:t>
      </w:r>
      <w:r w:rsidR="006D2436">
        <w:t>by each Strike Package’s Arsenal</w:t>
      </w:r>
      <w:r w:rsidRPr="000665B0">
        <w:t xml:space="preserve"> contained in the SEF. </w:t>
      </w:r>
      <w:r w:rsidR="009D1630" w:rsidRPr="000665B0">
        <w:t xml:space="preserve">By default, other data referenced in the Strike Package contained in the SEF are not included in the DDO. To include all strike data in the DDO, ensure that the Include All Strike Data checkbox is selected on the </w:t>
      </w:r>
      <w:r w:rsidR="009D1630" w:rsidRPr="000665B0">
        <w:rPr>
          <w:i/>
        </w:rPr>
        <w:t>Strike Data</w:t>
      </w:r>
      <w:r w:rsidR="009D1630" w:rsidRPr="000665B0">
        <w:t xml:space="preserve"> tab. The procedure is similar to Sending a Strike Folder or Strike Option via Comms using a DDO template (see </w:t>
      </w:r>
      <w:hyperlink w:anchor="_5.37.10__Send" w:history="1">
        <w:r w:rsidR="009326FE" w:rsidRPr="000665B0">
          <w:rPr>
            <w:rStyle w:val="Hyperlink"/>
          </w:rPr>
          <w:t xml:space="preserve">Section </w:t>
        </w:r>
        <w:r w:rsidR="004231CC">
          <w:rPr>
            <w:rStyle w:val="Hyperlink"/>
          </w:rPr>
          <w:t>5.34</w:t>
        </w:r>
        <w:r w:rsidR="009D1630" w:rsidRPr="000665B0">
          <w:rPr>
            <w:rStyle w:val="Hyperlink"/>
          </w:rPr>
          <w:t>.11</w:t>
        </w:r>
      </w:hyperlink>
      <w:r w:rsidR="008D631B">
        <w:t>).</w:t>
      </w:r>
      <w:r w:rsidR="009D1630" w:rsidRPr="000665B0">
        <w:t xml:space="preserve"> </w:t>
      </w:r>
      <w:r w:rsidR="009D1630" w:rsidRPr="000665B0">
        <w:rPr>
          <w:snapToGrid w:val="0"/>
        </w:rPr>
        <w:t xml:space="preserve">For more details on DDO Templates see </w:t>
      </w:r>
      <w:hyperlink w:anchor="_5.21__DDO" w:history="1">
        <w:r w:rsidR="00DE0842" w:rsidRPr="000665B0">
          <w:rPr>
            <w:rStyle w:val="Hyperlink"/>
            <w:snapToGrid w:val="0"/>
          </w:rPr>
          <w:t xml:space="preserve">Section </w:t>
        </w:r>
        <w:r w:rsidR="004231CC">
          <w:rPr>
            <w:rStyle w:val="Hyperlink"/>
            <w:snapToGrid w:val="0"/>
          </w:rPr>
          <w:t>5.16</w:t>
        </w:r>
      </w:hyperlink>
      <w:r w:rsidR="009D1630" w:rsidRPr="00EF2F76">
        <w:t>.</w:t>
      </w:r>
    </w:p>
    <w:p w14:paraId="5DA702E3" w14:textId="10C40C02" w:rsidR="008927CA" w:rsidRPr="000665B0" w:rsidRDefault="008927CA" w:rsidP="00D06C3E">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jc w:val="center"/>
        <w:rPr>
          <w:b/>
          <w:bCs/>
        </w:rPr>
      </w:pPr>
      <w:r w:rsidRPr="000665B0">
        <w:rPr>
          <w:b/>
          <w:bCs/>
        </w:rPr>
        <w:t>Note:</w:t>
      </w:r>
      <w:r w:rsidRPr="000665B0">
        <w:rPr>
          <w:b/>
          <w:bCs/>
        </w:rPr>
        <w:br/>
        <w:t xml:space="preserve">Do </w:t>
      </w:r>
      <w:r w:rsidR="00924448" w:rsidRPr="000665B0">
        <w:rPr>
          <w:b/>
          <w:bCs/>
        </w:rPr>
        <w:t>not</w:t>
      </w:r>
      <w:r w:rsidRPr="000665B0">
        <w:rPr>
          <w:b/>
          <w:bCs/>
        </w:rPr>
        <w:t xml:space="preserve"> send a Tactical SEF rehearsal copy to TTWCS nodes.</w:t>
      </w:r>
    </w:p>
    <w:p w14:paraId="58DDF312" w14:textId="5DF1912C" w:rsidR="00CC266D" w:rsidRPr="000665B0" w:rsidRDefault="00CC266D" w:rsidP="006D5A65">
      <w:pPr>
        <w:pStyle w:val="Heading2"/>
      </w:pPr>
      <w:r w:rsidRPr="000665B0">
        <w:t xml:space="preserve">Distribution Dashboard… </w:t>
      </w:r>
      <w:r w:rsidR="005E671D" w:rsidRPr="000665B0">
        <w:t xml:space="preserve">– </w:t>
      </w:r>
      <w:r w:rsidR="005E671D" w:rsidRPr="000665B0">
        <w:rPr>
          <w:rFonts w:eastAsia="Arial Unicode MS"/>
        </w:rPr>
        <w:t>The</w:t>
      </w:r>
      <w:r w:rsidR="00474A1F" w:rsidRPr="000665B0">
        <w:t xml:space="preserve"> Distribution Dashboard feature gives the operator the ability to track what data was sent to each recipient, and whether or not that data has been acknowledged. The feature’s functionality is the same across all tools that include it, but the data displayed will vary depending on the tool being used. See </w:t>
      </w:r>
      <w:hyperlink w:anchor="_5.2.10__Distribution" w:history="1">
        <w:r w:rsidR="00474A1F" w:rsidRPr="000665B0">
          <w:rPr>
            <w:rStyle w:val="Hyperlink"/>
          </w:rPr>
          <w:t>Section 5.2.10</w:t>
        </w:r>
      </w:hyperlink>
      <w:r w:rsidR="00474A1F" w:rsidRPr="000665B0">
        <w:t>.</w:t>
      </w:r>
    </w:p>
    <w:bookmarkEnd w:id="6509"/>
    <w:bookmarkEnd w:id="6515"/>
    <w:p w14:paraId="55C2D121" w14:textId="0184E0CE" w:rsidR="008C5B8E" w:rsidRDefault="00726A8D" w:rsidP="008C5B8E">
      <w:pPr>
        <w:rPr>
          <w:noProof/>
        </w:rPr>
      </w:pPr>
      <w:r w:rsidRPr="000665B0">
        <w:t xml:space="preserve">As in other list views, </w:t>
      </w:r>
      <w:r w:rsidR="00AB79FF" w:rsidRPr="000665B0">
        <w:t xml:space="preserve">items can be selected to </w:t>
      </w:r>
      <w:r w:rsidRPr="000665B0">
        <w:t xml:space="preserve">Print (see </w:t>
      </w:r>
      <w:hyperlink w:anchor="_5.2.1.5.1__Print" w:history="1">
        <w:r w:rsidRPr="000665B0">
          <w:rPr>
            <w:rStyle w:val="Hyperlink"/>
          </w:rPr>
          <w:t>Section 5.2.1.5.1</w:t>
        </w:r>
      </w:hyperlink>
      <w:r w:rsidRPr="000665B0">
        <w:rPr>
          <w:rStyle w:val="Hyperlink"/>
        </w:rPr>
        <w:t>)</w:t>
      </w:r>
      <w:r w:rsidRPr="000665B0">
        <w:t xml:space="preserve"> </w:t>
      </w:r>
      <w:r w:rsidR="00CC266D" w:rsidRPr="000665B0">
        <w:rPr>
          <w:noProof/>
        </w:rPr>
        <w:t xml:space="preserve">and Delete </w:t>
      </w:r>
      <w:r w:rsidRPr="000665B0">
        <w:rPr>
          <w:noProof/>
        </w:rPr>
        <w:t>(s</w:t>
      </w:r>
      <w:r w:rsidR="00CC266D" w:rsidRPr="000665B0">
        <w:rPr>
          <w:noProof/>
        </w:rPr>
        <w:t xml:space="preserve">ee </w:t>
      </w:r>
      <w:hyperlink w:anchor="_5.2.1.6__Delete" w:history="1">
        <w:r w:rsidR="00CC266D" w:rsidRPr="000665B0">
          <w:rPr>
            <w:rStyle w:val="Hyperlink"/>
          </w:rPr>
          <w:t>Section 5.2.1.6</w:t>
        </w:r>
      </w:hyperlink>
      <w:r w:rsidRPr="000665B0">
        <w:rPr>
          <w:noProof/>
        </w:rPr>
        <w:t>)</w:t>
      </w:r>
      <w:r w:rsidR="00CC266D" w:rsidRPr="000665B0">
        <w:rPr>
          <w:noProof/>
        </w:rPr>
        <w:t>.</w:t>
      </w:r>
      <w:bookmarkEnd w:id="6516"/>
    </w:p>
    <w:p w14:paraId="532773D7" w14:textId="386C503E" w:rsidR="00EA5282" w:rsidRPr="00C36B36" w:rsidRDefault="00EA5282" w:rsidP="00C36B36">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bCs/>
        </w:rPr>
      </w:pPr>
      <w:r w:rsidRPr="000665B0">
        <w:rPr>
          <w:b/>
          <w:bCs/>
        </w:rPr>
        <w:lastRenderedPageBreak/>
        <w:t>Note:</w:t>
      </w:r>
      <w:r w:rsidRPr="000665B0">
        <w:rPr>
          <w:b/>
          <w:bCs/>
        </w:rPr>
        <w:br/>
      </w:r>
      <w:r w:rsidRPr="006B0716">
        <w:rPr>
          <w:rStyle w:val="ui-provider"/>
          <w:b/>
          <w:szCs w:val="24"/>
        </w:rPr>
        <w:t>The Strike Execution Folder will contain a Casualty Option if the operator has decremented a FRU’s Missile Inventory Totals from the SMD during Strike Execution/Rehearsal by selecting Account For Casualty from the SMD's FRU Status tab. Only one Casualty Option is created which will contain one or more Casualties.</w:t>
      </w:r>
    </w:p>
    <w:p w14:paraId="2DDDC5CB" w14:textId="314EC4A0" w:rsidR="005D1A26" w:rsidRPr="000665B0" w:rsidRDefault="005D1A26" w:rsidP="00B35EE5">
      <w:pPr>
        <w:pStyle w:val="Heading3"/>
      </w:pPr>
      <w:bookmarkStart w:id="6523" w:name="_5.38.1__Create"/>
      <w:bookmarkStart w:id="6524" w:name="_Create_a_New"/>
      <w:bookmarkStart w:id="6525" w:name="_Toc289328898"/>
      <w:bookmarkStart w:id="6526" w:name="_Toc312332081"/>
      <w:bookmarkStart w:id="6527" w:name="_Toc214283574"/>
      <w:bookmarkStart w:id="6528" w:name="_Hlk42851960"/>
      <w:bookmarkEnd w:id="6523"/>
      <w:bookmarkEnd w:id="6524"/>
      <w:r w:rsidRPr="000665B0">
        <w:t>Create a New Strike Execution Folder</w:t>
      </w:r>
      <w:bookmarkEnd w:id="6519"/>
      <w:bookmarkEnd w:id="6520"/>
      <w:bookmarkEnd w:id="6521"/>
      <w:bookmarkEnd w:id="6525"/>
      <w:bookmarkEnd w:id="6526"/>
      <w:bookmarkEnd w:id="6527"/>
    </w:p>
    <w:p w14:paraId="0BF4FD3E" w14:textId="5ADFA929" w:rsidR="008B743F" w:rsidRPr="000665B0" w:rsidRDefault="008B743F" w:rsidP="00E300C3">
      <w:r w:rsidRPr="000665B0">
        <w:t>Strike Execution Folder</w:t>
      </w:r>
      <w:r w:rsidR="00C72742" w:rsidRPr="000665B0">
        <w:t>s</w:t>
      </w:r>
      <w:r w:rsidRPr="000665B0">
        <w:t xml:space="preserve"> </w:t>
      </w:r>
      <w:r w:rsidR="00871E64" w:rsidRPr="000665B0">
        <w:t xml:space="preserve">containing only a single FRU </w:t>
      </w:r>
      <w:r w:rsidRPr="000665B0">
        <w:t xml:space="preserve">may also be created using the Quick Strike Tool (if installed; see </w:t>
      </w:r>
      <w:hyperlink w:anchor="_QUICK_STRIKE_TOOL_1" w:history="1">
        <w:r w:rsidR="00984911" w:rsidRPr="00DA0AED">
          <w:rPr>
            <w:rStyle w:val="Hyperlink"/>
          </w:rPr>
          <w:t xml:space="preserve">Section </w:t>
        </w:r>
        <w:r w:rsidR="004231CC">
          <w:rPr>
            <w:rStyle w:val="Hyperlink"/>
          </w:rPr>
          <w:t>5.36</w:t>
        </w:r>
      </w:hyperlink>
      <w:r w:rsidRPr="000665B0">
        <w:t>).</w:t>
      </w:r>
    </w:p>
    <w:p w14:paraId="2FF9B851" w14:textId="50A3D95D" w:rsidR="005D1A26" w:rsidRPr="000665B0" w:rsidRDefault="005D1A26" w:rsidP="004E7DCC">
      <w:pPr>
        <w:keepNext/>
      </w:pPr>
      <w:r w:rsidRPr="000665B0">
        <w:t>To create a new execution folder from the Strike Execution Tool:</w:t>
      </w:r>
    </w:p>
    <w:p w14:paraId="1A20BE6A" w14:textId="525F5D50" w:rsidR="005D1A26" w:rsidRPr="000665B0" w:rsidRDefault="005D1A26" w:rsidP="006D5A65">
      <w:pPr>
        <w:pStyle w:val="Heading1"/>
      </w:pPr>
      <w:r w:rsidRPr="000665B0">
        <w:t>From the File menu select New</w:t>
      </w:r>
      <w:r w:rsidR="00B55EE2" w:rsidRPr="000665B0">
        <w:t>,</w:t>
      </w:r>
      <w:r w:rsidRPr="000665B0">
        <w:t xml:space="preserve"> </w:t>
      </w:r>
      <w:r w:rsidR="007A75CC" w:rsidRPr="000665B0">
        <w:t>click</w:t>
      </w:r>
      <w:r w:rsidRPr="000665B0">
        <w:t xml:space="preserve"> the New </w:t>
      </w:r>
      <w:r w:rsidR="009A1FDF" w:rsidRPr="000665B0">
        <w:rPr>
          <w:noProof/>
        </w:rPr>
        <w:drawing>
          <wp:inline distT="0" distB="0" distL="0" distR="0" wp14:anchorId="203E595C" wp14:editId="2458DEF1">
            <wp:extent cx="152400" cy="152400"/>
            <wp:effectExtent l="19050" t="0" r="0" b="0"/>
            <wp:docPr id="711" name="Picture 711"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new toolbar"/>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w:t>
      </w:r>
      <w:r w:rsidR="007A75CC" w:rsidRPr="000665B0">
        <w:t xml:space="preserve">on </w:t>
      </w:r>
      <w:r w:rsidRPr="000665B0">
        <w:t>the toolbar</w:t>
      </w:r>
      <w:r w:rsidR="00B55EE2" w:rsidRPr="000665B0">
        <w:rPr>
          <w:szCs w:val="24"/>
        </w:rPr>
        <w:t xml:space="preserve">, or </w:t>
      </w:r>
      <w:r w:rsidR="00B55EE2" w:rsidRPr="000665B0">
        <w:rPr>
          <w:noProof/>
          <w:szCs w:val="24"/>
        </w:rPr>
        <w:t>invoke the context menu (right-click the mouse) and select New…</w:t>
      </w:r>
      <w:r w:rsidRPr="000665B0">
        <w:t>.</w:t>
      </w:r>
      <w:r w:rsidRPr="000665B0">
        <w:rPr>
          <w:noProof/>
        </w:rPr>
        <w:t xml:space="preserve"> </w:t>
      </w:r>
      <w:r w:rsidRPr="000665B0">
        <w:t xml:space="preserve">An empty </w:t>
      </w:r>
      <w:r w:rsidRPr="000665B0">
        <w:rPr>
          <w:i/>
        </w:rPr>
        <w:t>Strike Execution Folder</w:t>
      </w:r>
      <w:r w:rsidRPr="000665B0">
        <w:t xml:space="preserve"> window </w:t>
      </w:r>
      <w:r w:rsidR="00D47C08" w:rsidRPr="000665B0">
        <w:t>is</w:t>
      </w:r>
      <w:r w:rsidRPr="000665B0">
        <w:t xml:space="preserve"> displayed.</w:t>
      </w:r>
    </w:p>
    <w:p w14:paraId="7535AAD1" w14:textId="7ACE2CE6" w:rsidR="005D1A26" w:rsidRPr="000665B0" w:rsidRDefault="0035648B" w:rsidP="00E300C3">
      <w:pPr>
        <w:jc w:val="center"/>
      </w:pPr>
      <w:r w:rsidRPr="000665B0">
        <w:rPr>
          <w:noProof/>
        </w:rPr>
        <w:drawing>
          <wp:inline distT="0" distB="0" distL="0" distR="0" wp14:anchorId="53F9D91A" wp14:editId="6E12FD59">
            <wp:extent cx="5029200" cy="2203704"/>
            <wp:effectExtent l="0" t="0" r="0" b="6350"/>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029200" cy="2203704"/>
                    </a:xfrm>
                    <a:prstGeom prst="rect">
                      <a:avLst/>
                    </a:prstGeom>
                  </pic:spPr>
                </pic:pic>
              </a:graphicData>
            </a:graphic>
          </wp:inline>
        </w:drawing>
      </w:r>
    </w:p>
    <w:p w14:paraId="26E70A9D" w14:textId="642FFCF7" w:rsidR="005D1A26" w:rsidRPr="000665B0" w:rsidRDefault="005D1A26" w:rsidP="006D5A65">
      <w:pPr>
        <w:pStyle w:val="Heading1"/>
      </w:pPr>
      <w:r w:rsidRPr="000665B0">
        <w:t>In the Strike Option List View area</w:t>
      </w:r>
      <w:r w:rsidR="008F4F97" w:rsidRPr="000665B0">
        <w:t xml:space="preserve"> (upper pane of the window)</w:t>
      </w:r>
      <w:r w:rsidRPr="000665B0">
        <w:t>, invoke the context menu (right</w:t>
      </w:r>
      <w:r w:rsidR="0057487F" w:rsidRPr="000665B0">
        <w:t>-</w:t>
      </w:r>
      <w:r w:rsidRPr="000665B0">
        <w:t xml:space="preserve">click the mouse) and select Add. A </w:t>
      </w:r>
      <w:r w:rsidRPr="000665B0">
        <w:rPr>
          <w:i/>
        </w:rPr>
        <w:t>Strike Options</w:t>
      </w:r>
      <w:r w:rsidRPr="000665B0">
        <w:t xml:space="preserve"> window with a selection view of all </w:t>
      </w:r>
      <w:r w:rsidR="004067A7" w:rsidRPr="000665B0">
        <w:t>Strike Options/Package</w:t>
      </w:r>
      <w:r w:rsidRPr="000665B0">
        <w:t xml:space="preserve"> is displayed. </w:t>
      </w:r>
    </w:p>
    <w:p w14:paraId="088EF817" w14:textId="50C416C1" w:rsidR="005D1A26" w:rsidRPr="000665B0" w:rsidRDefault="0035648B" w:rsidP="00E300C3">
      <w:pPr>
        <w:jc w:val="center"/>
      </w:pPr>
      <w:r w:rsidRPr="000665B0">
        <w:rPr>
          <w:noProof/>
        </w:rPr>
        <w:drawing>
          <wp:inline distT="0" distB="0" distL="0" distR="0" wp14:anchorId="168D54CD" wp14:editId="698E2CCD">
            <wp:extent cx="5029200" cy="1746504"/>
            <wp:effectExtent l="0" t="0" r="0" b="6350"/>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029200" cy="1746504"/>
                    </a:xfrm>
                    <a:prstGeom prst="rect">
                      <a:avLst/>
                    </a:prstGeom>
                  </pic:spPr>
                </pic:pic>
              </a:graphicData>
            </a:graphic>
          </wp:inline>
        </w:drawing>
      </w:r>
    </w:p>
    <w:p w14:paraId="6FD02FAB" w14:textId="77777777" w:rsidR="005D1A26" w:rsidRPr="000665B0" w:rsidRDefault="005D1A26" w:rsidP="006D5A65">
      <w:pPr>
        <w:pStyle w:val="Heading1"/>
      </w:pPr>
      <w:r w:rsidRPr="000665B0">
        <w:lastRenderedPageBreak/>
        <w:t>Select the package(s) to add to the execution folder and click OK.</w:t>
      </w:r>
    </w:p>
    <w:p w14:paraId="20C19E7F" w14:textId="77777777" w:rsidR="005D1A26" w:rsidRPr="000665B0" w:rsidRDefault="005D1A26" w:rsidP="006D5A65">
      <w:pPr>
        <w:pStyle w:val="Heading1"/>
      </w:pPr>
      <w:r w:rsidRPr="000665B0">
        <w:t xml:space="preserve">In the </w:t>
      </w:r>
      <w:r w:rsidRPr="000665B0">
        <w:rPr>
          <w:i/>
        </w:rPr>
        <w:t>Strike Execution Folder</w:t>
      </w:r>
      <w:r w:rsidRPr="000665B0">
        <w:t xml:space="preserve"> window add a Title</w:t>
      </w:r>
      <w:r w:rsidR="00713A0D" w:rsidRPr="000665B0">
        <w:t xml:space="preserve"> (up to 28 alphanumeric characters)</w:t>
      </w:r>
      <w:r w:rsidRPr="000665B0">
        <w:t xml:space="preserve">. From the File menu select Save or select the Save </w:t>
      </w:r>
      <w:r w:rsidR="009A1FDF" w:rsidRPr="000665B0">
        <w:rPr>
          <w:noProof/>
        </w:rPr>
        <w:drawing>
          <wp:inline distT="0" distB="0" distL="0" distR="0" wp14:anchorId="561567E5" wp14:editId="0A4A73B7">
            <wp:extent cx="152400" cy="152400"/>
            <wp:effectExtent l="19050" t="0" r="0" b="0"/>
            <wp:docPr id="714" name="Picture 714" descr="save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save toolbar"/>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from the toolbar. The folder </w:t>
      </w:r>
      <w:r w:rsidR="008F4F97" w:rsidRPr="000665B0">
        <w:t>is</w:t>
      </w:r>
      <w:r w:rsidRPr="000665B0">
        <w:t xml:space="preserve"> added to the Strike Execution </w:t>
      </w:r>
      <w:r w:rsidR="00422944" w:rsidRPr="000665B0">
        <w:t>T</w:t>
      </w:r>
      <w:r w:rsidRPr="000665B0">
        <w:t>ool.</w:t>
      </w:r>
    </w:p>
    <w:p w14:paraId="3EEA2CDA" w14:textId="0F796D4D" w:rsidR="005D1A26" w:rsidRPr="000665B0" w:rsidRDefault="005D1A26" w:rsidP="00B35EE5">
      <w:pPr>
        <w:pStyle w:val="Heading3"/>
      </w:pPr>
      <w:bookmarkStart w:id="6529" w:name="_5.38.2__Delete"/>
      <w:bookmarkStart w:id="6530" w:name="_Toc96170312"/>
      <w:bookmarkStart w:id="6531" w:name="_Toc96234357"/>
      <w:bookmarkStart w:id="6532" w:name="_Toc112733774"/>
      <w:bookmarkStart w:id="6533" w:name="_Toc289328899"/>
      <w:bookmarkStart w:id="6534" w:name="_Toc312332082"/>
      <w:bookmarkStart w:id="6535" w:name="_Toc214283575"/>
      <w:bookmarkEnd w:id="6528"/>
      <w:bookmarkEnd w:id="6529"/>
      <w:r w:rsidRPr="000665B0">
        <w:t>Delete a Strike Execution Folder</w:t>
      </w:r>
      <w:bookmarkEnd w:id="6530"/>
      <w:bookmarkEnd w:id="6531"/>
      <w:bookmarkEnd w:id="6532"/>
      <w:bookmarkEnd w:id="6533"/>
      <w:bookmarkEnd w:id="6534"/>
      <w:bookmarkEnd w:id="6535"/>
    </w:p>
    <w:p w14:paraId="38C7824F" w14:textId="3F791BB8" w:rsidR="00354D4A" w:rsidRPr="000665B0" w:rsidRDefault="00354D4A" w:rsidP="00354D4A">
      <w:bookmarkStart w:id="6536" w:name="_Toc96170313"/>
      <w:bookmarkStart w:id="6537" w:name="_Toc96234358"/>
      <w:bookmarkStart w:id="6538" w:name="_Toc112733775"/>
      <w:r w:rsidRPr="000665B0">
        <w:t xml:space="preserve">To delete an execution folder, select the folder from the </w:t>
      </w:r>
      <w:r w:rsidR="008F4F97" w:rsidRPr="000665B0">
        <w:t xml:space="preserve">Strike Execution </w:t>
      </w:r>
      <w:r w:rsidR="00744643" w:rsidRPr="000665B0">
        <w:t>Tool</w:t>
      </w:r>
      <w:r w:rsidRPr="000665B0">
        <w:t xml:space="preserve">. </w:t>
      </w:r>
      <w:r w:rsidR="00D71804" w:rsidRPr="000665B0">
        <w:t>Right-click</w:t>
      </w:r>
      <w:r w:rsidRPr="000665B0">
        <w:t xml:space="preserve"> and select </w:t>
      </w:r>
      <w:r w:rsidRPr="000665B0">
        <w:rPr>
          <w:b/>
        </w:rPr>
        <w:t>Delete</w:t>
      </w:r>
      <w:r w:rsidR="008F4F97" w:rsidRPr="000665B0">
        <w:rPr>
          <w:b/>
        </w:rPr>
        <w:t xml:space="preserve"> </w:t>
      </w:r>
      <w:r w:rsidR="008F4F97" w:rsidRPr="000665B0">
        <w:t>or click the</w:t>
      </w:r>
      <w:r w:rsidR="008F4F97" w:rsidRPr="000665B0">
        <w:rPr>
          <w:b/>
        </w:rPr>
        <w:t xml:space="preserve"> Delete </w:t>
      </w:r>
      <w:r w:rsidR="008F4F97" w:rsidRPr="000665B0">
        <w:t xml:space="preserve">icon </w:t>
      </w:r>
      <w:r w:rsidR="008F4F97" w:rsidRPr="000665B0">
        <w:rPr>
          <w:noProof/>
        </w:rPr>
        <w:drawing>
          <wp:inline distT="0" distB="0" distL="0" distR="0" wp14:anchorId="3C2017E7" wp14:editId="6545F333">
            <wp:extent cx="152400" cy="142875"/>
            <wp:effectExtent l="0" t="0" r="0" b="9525"/>
            <wp:docPr id="1282" name="Picture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152400" cy="142875"/>
                    </a:xfrm>
                    <a:prstGeom prst="rect">
                      <a:avLst/>
                    </a:prstGeom>
                  </pic:spPr>
                </pic:pic>
              </a:graphicData>
            </a:graphic>
          </wp:inline>
        </w:drawing>
      </w:r>
      <w:r w:rsidR="008F4F97" w:rsidRPr="000665B0">
        <w:t xml:space="preserve"> in the toolbar</w:t>
      </w:r>
      <w:r w:rsidRPr="000665B0">
        <w:t xml:space="preserve">. If the folder has a class of </w:t>
      </w:r>
      <w:r w:rsidRPr="000665B0">
        <w:rPr>
          <w:b/>
        </w:rPr>
        <w:t>Tactical</w:t>
      </w:r>
      <w:r w:rsidRPr="000665B0">
        <w:t xml:space="preserve">, the execution folder is deleted but all the packages within the folder will be untouched. If the folder </w:t>
      </w:r>
      <w:r w:rsidR="008F4F97" w:rsidRPr="000665B0">
        <w:t>has a</w:t>
      </w:r>
      <w:r w:rsidRPr="000665B0">
        <w:t xml:space="preserve"> class</w:t>
      </w:r>
      <w:r w:rsidR="008F4F97" w:rsidRPr="000665B0">
        <w:t xml:space="preserve"> of</w:t>
      </w:r>
      <w:r w:rsidRPr="000665B0">
        <w:t xml:space="preserve"> </w:t>
      </w:r>
      <w:r w:rsidR="00414627" w:rsidRPr="000665B0">
        <w:rPr>
          <w:b/>
        </w:rPr>
        <w:t>Rehearse,</w:t>
      </w:r>
      <w:r w:rsidRPr="000665B0">
        <w:t xml:space="preserve"> then the folder </w:t>
      </w:r>
      <w:r w:rsidR="008F4F97" w:rsidRPr="000665B0">
        <w:t>is</w:t>
      </w:r>
      <w:r w:rsidRPr="000665B0">
        <w:t xml:space="preserve"> deleted and all the packages within the folder </w:t>
      </w:r>
      <w:r w:rsidR="008F4F97" w:rsidRPr="000665B0">
        <w:t>are also</w:t>
      </w:r>
      <w:r w:rsidRPr="000665B0">
        <w:t xml:space="preserve"> deleted.</w:t>
      </w:r>
    </w:p>
    <w:p w14:paraId="58DEE5BE" w14:textId="77777777" w:rsidR="00354D4A" w:rsidRPr="000665B0" w:rsidRDefault="008F4F97" w:rsidP="00531C8E">
      <w:r w:rsidRPr="000665B0">
        <w:t>D</w:t>
      </w:r>
      <w:r w:rsidR="00354D4A" w:rsidRPr="000665B0">
        <w:t xml:space="preserve">eleting all packages in a </w:t>
      </w:r>
      <w:r w:rsidR="00354D4A" w:rsidRPr="000665B0">
        <w:rPr>
          <w:b/>
          <w:bCs/>
        </w:rPr>
        <w:t>Rehearse</w:t>
      </w:r>
      <w:r w:rsidR="00354D4A" w:rsidRPr="000665B0">
        <w:t xml:space="preserve"> folder is </w:t>
      </w:r>
      <w:r w:rsidRPr="000665B0">
        <w:t xml:space="preserve">done </w:t>
      </w:r>
      <w:r w:rsidR="00354D4A" w:rsidRPr="000665B0">
        <w:t>because they were created from a “Rehearse” activation. There is no reason to keep Strike Packages from a rehearsal.</w:t>
      </w:r>
    </w:p>
    <w:p w14:paraId="4D5E1C39" w14:textId="6821552F" w:rsidR="00531C8E" w:rsidRPr="000665B0" w:rsidRDefault="00531C8E" w:rsidP="00F26AD4">
      <w:pPr>
        <w:spacing w:after="0"/>
      </w:pPr>
      <w:r w:rsidRPr="000665B0">
        <w:t>An execution folder can’t be deleted if it is currently being executed on the local TED</w:t>
      </w:r>
      <w:r w:rsidR="003A25DD" w:rsidRPr="000665B0">
        <w:t xml:space="preserve"> (the </w:t>
      </w:r>
      <w:r w:rsidR="003A25DD" w:rsidRPr="000665B0">
        <w:rPr>
          <w:b/>
        </w:rPr>
        <w:t>Delete</w:t>
      </w:r>
      <w:r w:rsidR="003A25DD" w:rsidRPr="000665B0">
        <w:t xml:space="preserve"> menu item and icon are disabled)</w:t>
      </w:r>
      <w:r w:rsidRPr="000665B0">
        <w:t>.</w:t>
      </w:r>
      <w:r w:rsidRPr="000665B0">
        <w:rPr>
          <w:noProof/>
        </w:rPr>
        <w:t xml:space="preserve"> </w:t>
      </w:r>
    </w:p>
    <w:p w14:paraId="2E6D9365" w14:textId="71CBB349" w:rsidR="005D1A26" w:rsidRPr="000665B0" w:rsidRDefault="005D1A26" w:rsidP="00B35EE5">
      <w:pPr>
        <w:pStyle w:val="Heading3"/>
      </w:pPr>
      <w:bookmarkStart w:id="6539" w:name="_5.38.3__Activate"/>
      <w:bookmarkStart w:id="6540" w:name="_Activate__a"/>
      <w:bookmarkStart w:id="6541" w:name="_Activate_a_Strike"/>
      <w:bookmarkStart w:id="6542" w:name="_Toc289328900"/>
      <w:bookmarkStart w:id="6543" w:name="_Toc312332083"/>
      <w:bookmarkStart w:id="6544" w:name="_Toc214283576"/>
      <w:bookmarkStart w:id="6545" w:name="_Hlk75964708"/>
      <w:bookmarkStart w:id="6546" w:name="_Hlk42852079"/>
      <w:bookmarkEnd w:id="6539"/>
      <w:bookmarkEnd w:id="6540"/>
      <w:bookmarkEnd w:id="6541"/>
      <w:r w:rsidRPr="000665B0">
        <w:t>Activate a Strike Execution Folder</w:t>
      </w:r>
      <w:bookmarkEnd w:id="6536"/>
      <w:bookmarkEnd w:id="6537"/>
      <w:bookmarkEnd w:id="6538"/>
      <w:bookmarkEnd w:id="6542"/>
      <w:bookmarkEnd w:id="6543"/>
      <w:bookmarkEnd w:id="6544"/>
    </w:p>
    <w:p w14:paraId="3CBC579E" w14:textId="46913520" w:rsidR="005D1A26" w:rsidRPr="000665B0" w:rsidRDefault="005D1A26" w:rsidP="00E300C3">
      <w:r w:rsidRPr="000665B0">
        <w:t>To activate a strike execution folder</w:t>
      </w:r>
      <w:r w:rsidR="00DC34B7" w:rsidRPr="000665B0">
        <w:t xml:space="preserve"> (SEF)</w:t>
      </w:r>
      <w:r w:rsidRPr="000665B0">
        <w:t>:</w:t>
      </w:r>
    </w:p>
    <w:p w14:paraId="207A1EA5" w14:textId="77777777" w:rsidR="0045712C" w:rsidRPr="000665B0" w:rsidRDefault="0045712C" w:rsidP="006D5A65">
      <w:pPr>
        <w:pStyle w:val="Heading1"/>
      </w:pPr>
      <w:r w:rsidRPr="000665B0">
        <w:t>Determine whether to use Strike Execution or Strike Rehearsal.</w:t>
      </w:r>
    </w:p>
    <w:p w14:paraId="07F6560B" w14:textId="77777777" w:rsidR="0045712C" w:rsidRPr="000665B0" w:rsidRDefault="0045712C" w:rsidP="006D5A65">
      <w:pPr>
        <w:pStyle w:val="Heading1"/>
      </w:pPr>
      <w:r w:rsidRPr="000665B0">
        <w:t>Strike Rehearsal</w:t>
      </w:r>
    </w:p>
    <w:p w14:paraId="104F9D05" w14:textId="77777777" w:rsidR="0045712C" w:rsidRPr="000665B0" w:rsidRDefault="0045712C" w:rsidP="006D5A65">
      <w:pPr>
        <w:pStyle w:val="Heading2"/>
      </w:pPr>
      <w:r w:rsidRPr="000665B0">
        <w:t>Allows some or all strike participants to be simulated.</w:t>
      </w:r>
    </w:p>
    <w:p w14:paraId="5947850F" w14:textId="505FC6F9" w:rsidR="0045712C" w:rsidRPr="000665B0" w:rsidRDefault="0045712C" w:rsidP="006D5A65">
      <w:pPr>
        <w:pStyle w:val="Heading2"/>
      </w:pPr>
      <w:r w:rsidRPr="000665B0">
        <w:t xml:space="preserve">May allow the passage of time (“the clock”) to be sped up, slowed down, or paused during the rehearsal. (Depends on options chosen for TSRT setup; see </w:t>
      </w:r>
      <w:hyperlink w:anchor="_5.38.5.1__Retarget" w:history="1">
        <w:r w:rsidR="00E036B6" w:rsidRPr="000665B0">
          <w:rPr>
            <w:rStyle w:val="Hyperlink"/>
          </w:rPr>
          <w:t xml:space="preserve">Section </w:t>
        </w:r>
        <w:r w:rsidR="004231CC">
          <w:rPr>
            <w:rStyle w:val="Hyperlink"/>
          </w:rPr>
          <w:t>5.35</w:t>
        </w:r>
        <w:r w:rsidRPr="000665B0">
          <w:rPr>
            <w:rStyle w:val="Hyperlink"/>
          </w:rPr>
          <w:t>.</w:t>
        </w:r>
        <w:r w:rsidR="008C424E" w:rsidRPr="000665B0">
          <w:rPr>
            <w:rStyle w:val="Hyperlink"/>
          </w:rPr>
          <w:t>5</w:t>
        </w:r>
      </w:hyperlink>
      <w:r w:rsidRPr="000665B0">
        <w:t xml:space="preserve"> and </w:t>
      </w:r>
      <w:r w:rsidR="009E7616" w:rsidRPr="000665B0">
        <w:t>see</w:t>
      </w:r>
      <w:r w:rsidR="00D304FD" w:rsidRPr="000665B0">
        <w:t xml:space="preserve"> </w:t>
      </w:r>
      <w:r w:rsidRPr="000665B0">
        <w:t xml:space="preserve">Appendix </w:t>
      </w:r>
      <w:r w:rsidR="003E57B7" w:rsidRPr="000665B0">
        <w:t>R</w:t>
      </w:r>
      <w:r w:rsidRPr="000665B0">
        <w:t xml:space="preserve">, </w:t>
      </w:r>
      <w:hyperlink w:anchor="_S-3__Configuring" w:history="1">
        <w:r w:rsidRPr="000665B0">
          <w:rPr>
            <w:rStyle w:val="Hyperlink"/>
          </w:rPr>
          <w:t xml:space="preserve">Section </w:t>
        </w:r>
        <w:r w:rsidR="003E57B7" w:rsidRPr="000665B0">
          <w:rPr>
            <w:rStyle w:val="Hyperlink"/>
          </w:rPr>
          <w:t>R</w:t>
        </w:r>
        <w:r w:rsidR="00D230CE" w:rsidRPr="000665B0">
          <w:rPr>
            <w:rStyle w:val="Hyperlink"/>
          </w:rPr>
          <w:t>.</w:t>
        </w:r>
        <w:r w:rsidRPr="000665B0">
          <w:rPr>
            <w:rStyle w:val="Hyperlink"/>
          </w:rPr>
          <w:t>3</w:t>
        </w:r>
      </w:hyperlink>
      <w:r w:rsidRPr="000665B0">
        <w:t>)</w:t>
      </w:r>
      <w:r w:rsidR="006E255A">
        <w:t>.</w:t>
      </w:r>
    </w:p>
    <w:p w14:paraId="27C86BCA" w14:textId="77777777" w:rsidR="0045712C" w:rsidRPr="000665B0" w:rsidRDefault="0045712C" w:rsidP="006D5A65">
      <w:pPr>
        <w:pStyle w:val="Heading2"/>
      </w:pPr>
      <w:r w:rsidRPr="000665B0">
        <w:t>Some limitations on simulated FRUs:</w:t>
      </w:r>
    </w:p>
    <w:p w14:paraId="4EDBE7F8" w14:textId="77777777" w:rsidR="0045712C" w:rsidRPr="000665B0" w:rsidRDefault="0045712C" w:rsidP="006D5A65">
      <w:pPr>
        <w:pStyle w:val="Heading2"/>
      </w:pPr>
      <w:r w:rsidRPr="000665B0">
        <w:t>No chat room.</w:t>
      </w:r>
    </w:p>
    <w:p w14:paraId="655EE8C9" w14:textId="77777777" w:rsidR="0045712C" w:rsidRPr="000665B0" w:rsidRDefault="0045712C" w:rsidP="006D5A65">
      <w:pPr>
        <w:pStyle w:val="Heading2"/>
      </w:pPr>
      <w:r w:rsidRPr="000665B0">
        <w:t>No mission planning capability, so no LPMPs.</w:t>
      </w:r>
    </w:p>
    <w:p w14:paraId="0515631B" w14:textId="77777777" w:rsidR="0045712C" w:rsidRPr="000665B0" w:rsidRDefault="0045712C" w:rsidP="006D5A65">
      <w:pPr>
        <w:pStyle w:val="Heading2"/>
      </w:pPr>
      <w:r w:rsidRPr="000665B0">
        <w:t>Low-fidelity overwater routes.</w:t>
      </w:r>
    </w:p>
    <w:p w14:paraId="2087AE7E" w14:textId="77777777" w:rsidR="0045712C" w:rsidRPr="000665B0" w:rsidRDefault="0045712C" w:rsidP="006D5A65">
      <w:pPr>
        <w:pStyle w:val="Heading2"/>
      </w:pPr>
      <w:r w:rsidRPr="000665B0">
        <w:t>M3 may not be as sophisticated as could be achieved by an experienced TTWCS operator.</w:t>
      </w:r>
    </w:p>
    <w:p w14:paraId="103DEDA5" w14:textId="77777777" w:rsidR="0045712C" w:rsidRPr="000665B0" w:rsidRDefault="0045712C" w:rsidP="006D5A65">
      <w:pPr>
        <w:pStyle w:val="Heading2"/>
      </w:pPr>
      <w:r w:rsidRPr="000665B0">
        <w:t>Use for:</w:t>
      </w:r>
    </w:p>
    <w:p w14:paraId="32D28C90" w14:textId="77777777" w:rsidR="0045712C" w:rsidRPr="000665B0" w:rsidRDefault="0045712C" w:rsidP="006D5A65">
      <w:pPr>
        <w:pStyle w:val="Heading2"/>
      </w:pPr>
      <w:r w:rsidRPr="000665B0">
        <w:t>Classroom training.</w:t>
      </w:r>
    </w:p>
    <w:p w14:paraId="52673DF0" w14:textId="77777777" w:rsidR="0045712C" w:rsidRPr="000665B0" w:rsidRDefault="0045712C" w:rsidP="006D5A65">
      <w:pPr>
        <w:pStyle w:val="Heading2"/>
      </w:pPr>
      <w:r w:rsidRPr="000665B0">
        <w:lastRenderedPageBreak/>
        <w:t>Solo training.</w:t>
      </w:r>
    </w:p>
    <w:p w14:paraId="5DC000EB" w14:textId="77777777" w:rsidR="0045712C" w:rsidRPr="000665B0" w:rsidRDefault="0045712C" w:rsidP="006D5A65">
      <w:pPr>
        <w:pStyle w:val="Heading2"/>
      </w:pPr>
      <w:r w:rsidRPr="000665B0">
        <w:t>Trial runs of planned strikes.</w:t>
      </w:r>
    </w:p>
    <w:p w14:paraId="29F02452" w14:textId="77777777" w:rsidR="0045712C" w:rsidRPr="000665B0" w:rsidRDefault="0045712C" w:rsidP="006D5A65">
      <w:pPr>
        <w:pStyle w:val="Heading2"/>
      </w:pPr>
      <w:r w:rsidRPr="000665B0">
        <w:t>Test exercises (not live fire).</w:t>
      </w:r>
    </w:p>
    <w:p w14:paraId="7CAE154F" w14:textId="77777777" w:rsidR="0045712C" w:rsidRPr="000665B0" w:rsidRDefault="0045712C" w:rsidP="006D5A65">
      <w:pPr>
        <w:pStyle w:val="Heading2"/>
      </w:pPr>
      <w:r w:rsidRPr="000665B0">
        <w:t>Re-creation of previously executed strikes.</w:t>
      </w:r>
    </w:p>
    <w:p w14:paraId="3D746864" w14:textId="77777777" w:rsidR="0045712C" w:rsidRPr="000665B0" w:rsidRDefault="0045712C" w:rsidP="006D5A65">
      <w:pPr>
        <w:pStyle w:val="Heading2"/>
      </w:pPr>
      <w:r w:rsidRPr="000665B0">
        <w:t xml:space="preserve">Laboratory tests of </w:t>
      </w:r>
      <w:r w:rsidR="00F77360" w:rsidRPr="000665B0">
        <w:t xml:space="preserve">TMPC </w:t>
      </w:r>
      <w:r w:rsidRPr="000665B0">
        <w:t>that test the ability of the system to correctly respond to incoming messages and/or correctly generate outgoing messages.</w:t>
      </w:r>
    </w:p>
    <w:p w14:paraId="35D5A55C" w14:textId="77777777" w:rsidR="0045712C" w:rsidRPr="000665B0" w:rsidRDefault="0045712C" w:rsidP="0045712C">
      <w:pPr>
        <w:ind w:left="720"/>
      </w:pPr>
      <w:r w:rsidRPr="000665B0">
        <w:t>or</w:t>
      </w:r>
    </w:p>
    <w:p w14:paraId="60359CE0" w14:textId="77777777" w:rsidR="0045712C" w:rsidRPr="000665B0" w:rsidRDefault="0045712C" w:rsidP="006D5A65">
      <w:pPr>
        <w:pStyle w:val="Heading1"/>
      </w:pPr>
      <w:r w:rsidRPr="000665B0">
        <w:t>Strike Execution</w:t>
      </w:r>
    </w:p>
    <w:p w14:paraId="03D03125" w14:textId="77777777" w:rsidR="0045712C" w:rsidRPr="000665B0" w:rsidRDefault="0045712C" w:rsidP="006D5A65">
      <w:pPr>
        <w:pStyle w:val="Heading2"/>
      </w:pPr>
      <w:r w:rsidRPr="000665B0">
        <w:t>No participants are simulated; neither FRUs nor missiles.</w:t>
      </w:r>
    </w:p>
    <w:p w14:paraId="64F9FDE7" w14:textId="77777777" w:rsidR="0045712C" w:rsidRPr="000665B0" w:rsidRDefault="0045712C" w:rsidP="006D5A65">
      <w:pPr>
        <w:pStyle w:val="Heading2"/>
      </w:pPr>
      <w:r w:rsidRPr="000665B0">
        <w:t>Always proceeds in real time.</w:t>
      </w:r>
    </w:p>
    <w:p w14:paraId="658E803A" w14:textId="77777777" w:rsidR="0045712C" w:rsidRPr="000665B0" w:rsidRDefault="0045712C" w:rsidP="006D5A65">
      <w:pPr>
        <w:pStyle w:val="Heading2"/>
      </w:pPr>
      <w:r w:rsidRPr="000665B0">
        <w:t>Use for:</w:t>
      </w:r>
    </w:p>
    <w:p w14:paraId="26DA0DD5" w14:textId="77777777" w:rsidR="0045712C" w:rsidRPr="000665B0" w:rsidRDefault="0045712C" w:rsidP="006D5A65">
      <w:pPr>
        <w:pStyle w:val="Heading2"/>
      </w:pPr>
      <w:r w:rsidRPr="000665B0">
        <w:t>Actual tactical strikes.</w:t>
      </w:r>
    </w:p>
    <w:p w14:paraId="16517947" w14:textId="77777777" w:rsidR="0045712C" w:rsidRPr="000665B0" w:rsidRDefault="0045712C" w:rsidP="006D5A65">
      <w:pPr>
        <w:pStyle w:val="Heading2"/>
      </w:pPr>
      <w:r w:rsidRPr="000665B0">
        <w:t>Operational flight tests.</w:t>
      </w:r>
    </w:p>
    <w:p w14:paraId="4EA6448D" w14:textId="77777777" w:rsidR="0045712C" w:rsidRPr="000665B0" w:rsidRDefault="0045712C" w:rsidP="006D5A65">
      <w:pPr>
        <w:pStyle w:val="Heading2"/>
      </w:pPr>
      <w:r w:rsidRPr="000665B0">
        <w:t>Live-fire exercises.</w:t>
      </w:r>
    </w:p>
    <w:p w14:paraId="180641DA" w14:textId="7891F16B" w:rsidR="00637730" w:rsidRPr="000665B0" w:rsidRDefault="00637730" w:rsidP="006D5A65">
      <w:pPr>
        <w:pStyle w:val="Heading1"/>
      </w:pPr>
      <w:r w:rsidRPr="000665B0">
        <w:t xml:space="preserve">Strike Rehearsal/Execution of Quick Strikes will likely be initiated in the Quick Strike Tool (if installed; see </w:t>
      </w:r>
      <w:hyperlink w:anchor="_QUICK_STRIKE_TOOL_1" w:history="1">
        <w:r w:rsidR="00984911" w:rsidRPr="00DA0AED">
          <w:rPr>
            <w:rStyle w:val="Hyperlink"/>
          </w:rPr>
          <w:t xml:space="preserve">Section </w:t>
        </w:r>
        <w:r w:rsidR="004231CC">
          <w:rPr>
            <w:rStyle w:val="Hyperlink"/>
          </w:rPr>
          <w:t>5.36</w:t>
        </w:r>
      </w:hyperlink>
      <w:r w:rsidRPr="000665B0">
        <w:t xml:space="preserve">). The SEF of a Quick Strike defaults to: </w:t>
      </w:r>
    </w:p>
    <w:p w14:paraId="1D7B234F" w14:textId="460C723A" w:rsidR="00637730" w:rsidRPr="000665B0" w:rsidRDefault="00637730" w:rsidP="006D5A65">
      <w:pPr>
        <w:pStyle w:val="Heading2"/>
      </w:pPr>
      <w:r w:rsidRPr="000665B0">
        <w:t>Live FRU.</w:t>
      </w:r>
    </w:p>
    <w:p w14:paraId="68F97BBA" w14:textId="60073BFE" w:rsidR="00637730" w:rsidRPr="000665B0" w:rsidRDefault="00637730" w:rsidP="006D5A65">
      <w:pPr>
        <w:pStyle w:val="Heading2"/>
      </w:pPr>
      <w:r w:rsidRPr="000665B0">
        <w:t>Real-time clock.</w:t>
      </w:r>
    </w:p>
    <w:p w14:paraId="6686E4DF" w14:textId="4C6600C2" w:rsidR="00637730" w:rsidRPr="000665B0" w:rsidRDefault="00637730" w:rsidP="006D5A65">
      <w:pPr>
        <w:pStyle w:val="Heading2"/>
      </w:pPr>
      <w:r w:rsidRPr="000665B0">
        <w:t>Existing scenario.</w:t>
      </w:r>
    </w:p>
    <w:p w14:paraId="10955837" w14:textId="7E09DEBB" w:rsidR="00637730" w:rsidRPr="000665B0" w:rsidRDefault="00637730" w:rsidP="006D5A65">
      <w:pPr>
        <w:pStyle w:val="Heading2"/>
      </w:pPr>
      <w:r w:rsidRPr="000665B0">
        <w:t>Local TSRT.</w:t>
      </w:r>
    </w:p>
    <w:p w14:paraId="0037F6F6" w14:textId="6EFBAC6F" w:rsidR="00637730" w:rsidRPr="000665B0" w:rsidRDefault="00637730" w:rsidP="006D5A65">
      <w:pPr>
        <w:pStyle w:val="Heading2"/>
      </w:pPr>
      <w:r w:rsidRPr="000665B0">
        <w:t>Start time is commenced at the first estimated launch time.</w:t>
      </w:r>
    </w:p>
    <w:p w14:paraId="5BB2A1F2" w14:textId="1C781D33" w:rsidR="00637730" w:rsidRDefault="00637730" w:rsidP="00AC2F7D">
      <w:pPr>
        <w:pStyle w:val="BodyTextIndent2"/>
        <w:tabs>
          <w:tab w:val="left" w:pos="720"/>
        </w:tabs>
        <w:spacing w:line="240" w:lineRule="auto"/>
        <w:ind w:left="1080"/>
      </w:pPr>
      <w:r w:rsidRPr="000665B0">
        <w:t>The settings</w:t>
      </w:r>
      <w:r w:rsidR="008768C8" w:rsidRPr="000665B0">
        <w:t xml:space="preserve"> (including rehearsal settings)</w:t>
      </w:r>
      <w:r w:rsidRPr="000665B0">
        <w:t xml:space="preserve"> of a SEF created via Quick Strike can be changed as long as the strike is not being rehearsed or executed. </w:t>
      </w:r>
    </w:p>
    <w:p w14:paraId="47050126" w14:textId="5F51AC3A" w:rsidR="00C90EEC" w:rsidRDefault="00C90EEC" w:rsidP="006D5A65">
      <w:pPr>
        <w:pStyle w:val="Heading1"/>
      </w:pPr>
      <w:r>
        <w:t>Maritime Strike Rehearsal/Execution</w:t>
      </w:r>
    </w:p>
    <w:p w14:paraId="3DF87AFF" w14:textId="1BA520C0" w:rsidR="00181653" w:rsidRDefault="003C2F9F" w:rsidP="006D5A65">
      <w:pPr>
        <w:pStyle w:val="Heading2"/>
      </w:pPr>
      <w:r>
        <w:t xml:space="preserve">A Maritime Strike Execution Folder is an empty folder. A Maritime SEF is saved and can be Rehearsed or Executed </w:t>
      </w:r>
      <w:r w:rsidRPr="00C8159F">
        <w:rPr>
          <w:u w:val="single"/>
        </w:rPr>
        <w:lastRenderedPageBreak/>
        <w:t>without</w:t>
      </w:r>
      <w:r>
        <w:t xml:space="preserve"> preplanned Strike Packages. </w:t>
      </w:r>
      <w:r w:rsidR="00181653">
        <w:t>A Maritime Strike Execution Folder does not have to be distributed to all strike participants before rehearsing or executing the strike.</w:t>
      </w:r>
    </w:p>
    <w:p w14:paraId="16017CA9" w14:textId="35EFF137" w:rsidR="00181653" w:rsidRDefault="00181653" w:rsidP="006D5A65">
      <w:pPr>
        <w:pStyle w:val="Heading3"/>
      </w:pPr>
      <w:r>
        <w:t>Exception: For rehearsal, distribute the Strike Execution Folder to the TSRT node if it is not on the same TED node prior to rehearsing the strike.</w:t>
      </w:r>
    </w:p>
    <w:p w14:paraId="474D32D6" w14:textId="573D503F" w:rsidR="00181653" w:rsidRDefault="00181653" w:rsidP="006D5A65">
      <w:pPr>
        <w:pStyle w:val="Heading2"/>
      </w:pPr>
      <w:r>
        <w:t xml:space="preserve">MDS processes and automatically creates Packages for SEPs in new Strike Folders. The new Packages are then automatically added to the active Strike Execution Folder as SEPs are received. The new Packages are also added to the SMD (see </w:t>
      </w:r>
      <w:hyperlink w:anchor="_5.38.3.1__Strike_" w:history="1">
        <w:r w:rsidRPr="00181653">
          <w:rPr>
            <w:rStyle w:val="Hyperlink"/>
          </w:rPr>
          <w:t xml:space="preserve">Section </w:t>
        </w:r>
        <w:r w:rsidR="004231CC">
          <w:rPr>
            <w:rStyle w:val="Hyperlink"/>
          </w:rPr>
          <w:t>5.35</w:t>
        </w:r>
        <w:r w:rsidRPr="00181653">
          <w:rPr>
            <w:rStyle w:val="Hyperlink"/>
          </w:rPr>
          <w:t>.3.1</w:t>
        </w:r>
      </w:hyperlink>
      <w:r>
        <w:t xml:space="preserve">) and TSRT (if applicable, see </w:t>
      </w:r>
      <w:hyperlink w:anchor="_TSRT_SCENARIO_DIRECTOR" w:history="1">
        <w:r w:rsidRPr="00181653">
          <w:rPr>
            <w:rStyle w:val="Hyperlink"/>
          </w:rPr>
          <w:t xml:space="preserve">Section </w:t>
        </w:r>
        <w:r w:rsidR="004231CC">
          <w:rPr>
            <w:rStyle w:val="Hyperlink"/>
          </w:rPr>
          <w:t>5.37</w:t>
        </w:r>
      </w:hyperlink>
      <w:r>
        <w:t>).</w:t>
      </w:r>
    </w:p>
    <w:p w14:paraId="21EE1542" w14:textId="3AD7E27C" w:rsidR="00181653" w:rsidRDefault="00181653" w:rsidP="006D5A65">
      <w:pPr>
        <w:pStyle w:val="Heading3"/>
      </w:pPr>
      <w:r>
        <w:t>The active Strike Execution Folder does not have to be a Maritime Strike Execution Folder for new Maritime Packages to be added. For example, a Land Attack strike could be half-way through a rehearsal activity when a Training SEP is received. The Training SEP’s new Package will be automatically added to the SMD which will display the Land Attack and Maritime strikes simultaneously.</w:t>
      </w:r>
    </w:p>
    <w:p w14:paraId="6343FA9B" w14:textId="4C245A94" w:rsidR="00D607B8" w:rsidRDefault="00D607B8" w:rsidP="006D5A65">
      <w:pPr>
        <w:pStyle w:val="Heading2"/>
      </w:pPr>
      <w:r>
        <w:t>No SEF with SEP</w:t>
      </w:r>
    </w:p>
    <w:p w14:paraId="6F9ED211" w14:textId="05237E22" w:rsidR="00181653" w:rsidRDefault="00181653" w:rsidP="006D5A65">
      <w:pPr>
        <w:pStyle w:val="Heading2"/>
      </w:pPr>
      <w:r>
        <w:t>MDS automatically executes a new SEF when a SEP is received while no SEF is active.</w:t>
      </w:r>
    </w:p>
    <w:p w14:paraId="08D9CCC5" w14:textId="67424FE7" w:rsidR="00181653" w:rsidRDefault="00181653" w:rsidP="006D5A65">
      <w:pPr>
        <w:pStyle w:val="Heading2"/>
      </w:pPr>
      <w:r>
        <w:t>The automatic SEF’s folder class will match the SEP class.</w:t>
      </w:r>
    </w:p>
    <w:p w14:paraId="6DD31838" w14:textId="04C50D72" w:rsidR="00181653" w:rsidRDefault="00181653" w:rsidP="006D5A65">
      <w:pPr>
        <w:pStyle w:val="Heading3"/>
      </w:pPr>
      <w:r>
        <w:t>If the SEP was Training, then the SEF’s folder class will be Training and the SEF will be Rehearsed.</w:t>
      </w:r>
    </w:p>
    <w:p w14:paraId="4CFBAE43" w14:textId="6B299EC1" w:rsidR="00181653" w:rsidRDefault="00181653" w:rsidP="006D5A65">
      <w:pPr>
        <w:pStyle w:val="Heading3"/>
      </w:pPr>
      <w:r>
        <w:t>If the SEP was Tactical, then the SEF’s folder class will be Tactical and the SEF will be Executed.</w:t>
      </w:r>
    </w:p>
    <w:p w14:paraId="41F1E6D2" w14:textId="3E2825ED" w:rsidR="00D607B8" w:rsidRDefault="00D607B8" w:rsidP="006D5A65">
      <w:pPr>
        <w:pStyle w:val="Heading2"/>
      </w:pPr>
      <w:r>
        <w:t>FRU must be specified as a</w:t>
      </w:r>
      <w:r w:rsidR="007E7F0E">
        <w:t>n</w:t>
      </w:r>
      <w:r>
        <w:t xml:space="preserve"> MST backup </w:t>
      </w:r>
      <w:r w:rsidR="00414627">
        <w:t>controller,</w:t>
      </w:r>
      <w:r>
        <w:t xml:space="preserve"> or the SEP will be ignored</w:t>
      </w:r>
      <w:r w:rsidR="007E7F0E">
        <w:t>.</w:t>
      </w:r>
    </w:p>
    <w:p w14:paraId="7830F04F" w14:textId="404A6907" w:rsidR="00D607B8" w:rsidRDefault="00D607B8" w:rsidP="006D5A65">
      <w:pPr>
        <w:pStyle w:val="Heading2"/>
      </w:pPr>
      <w:r>
        <w:t>Alert in the lower right corner of the screen indicate</w:t>
      </w:r>
      <w:r w:rsidR="005C5333">
        <w:t>s</w:t>
      </w:r>
      <w:r>
        <w:t xml:space="preserve"> a new Maritime Strike in progress </w:t>
      </w:r>
      <w:r w:rsidR="005C5333">
        <w:t>with a</w:t>
      </w:r>
      <w:r>
        <w:t xml:space="preserve"> prompt to open the SMD.</w:t>
      </w:r>
    </w:p>
    <w:p w14:paraId="088007BB" w14:textId="77777777" w:rsidR="00D607B8" w:rsidRDefault="00D607B8" w:rsidP="00967228">
      <w:pPr>
        <w:pStyle w:val="Number0205"/>
        <w:ind w:left="0" w:firstLine="0"/>
        <w:jc w:val="center"/>
      </w:pPr>
      <w:r>
        <w:rPr>
          <w:noProof/>
        </w:rPr>
        <w:drawing>
          <wp:inline distT="0" distB="0" distL="0" distR="0" wp14:anchorId="447F72F1" wp14:editId="028B92A9">
            <wp:extent cx="2286000" cy="512064"/>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286000" cy="512064"/>
                    </a:xfrm>
                    <a:prstGeom prst="rect">
                      <a:avLst/>
                    </a:prstGeom>
                    <a:noFill/>
                    <a:ln>
                      <a:noFill/>
                    </a:ln>
                  </pic:spPr>
                </pic:pic>
              </a:graphicData>
            </a:graphic>
          </wp:inline>
        </w:drawing>
      </w:r>
    </w:p>
    <w:p w14:paraId="32B53C51" w14:textId="257E73D0" w:rsidR="00D607B8" w:rsidRDefault="00D607B8" w:rsidP="006D5A65">
      <w:pPr>
        <w:pStyle w:val="Heading2"/>
      </w:pPr>
      <w:r>
        <w:lastRenderedPageBreak/>
        <w:t xml:space="preserve">New SEF </w:t>
      </w:r>
      <w:r w:rsidR="005C5333">
        <w:t xml:space="preserve">titled </w:t>
      </w:r>
      <w:r w:rsidR="005C5333" w:rsidRPr="005C5333">
        <w:t>Maritime Execution</w:t>
      </w:r>
      <w:r w:rsidR="005C5333">
        <w:t xml:space="preserve"> </w:t>
      </w:r>
      <w:r w:rsidR="00181653">
        <w:t xml:space="preserve">automatically </w:t>
      </w:r>
      <w:r>
        <w:t>appear</w:t>
      </w:r>
      <w:r w:rsidR="005C5333">
        <w:t>s</w:t>
      </w:r>
      <w:r>
        <w:t xml:space="preserve"> in the Strike Execution </w:t>
      </w:r>
      <w:r w:rsidR="005C5333">
        <w:t>list view</w:t>
      </w:r>
      <w:r>
        <w:t xml:space="preserve"> </w:t>
      </w:r>
      <w:r w:rsidR="005C5333">
        <w:t>with</w:t>
      </w:r>
      <w:r>
        <w:t xml:space="preserve"> an indication </w:t>
      </w:r>
      <w:r w:rsidR="005C5333">
        <w:t xml:space="preserve">that </w:t>
      </w:r>
      <w:r>
        <w:t>it is executing.</w:t>
      </w:r>
    </w:p>
    <w:p w14:paraId="6DD7CFC8" w14:textId="77777777" w:rsidR="00D607B8" w:rsidRDefault="00D607B8" w:rsidP="00967228">
      <w:pPr>
        <w:pStyle w:val="Number0205"/>
        <w:ind w:left="0" w:firstLine="0"/>
        <w:jc w:val="center"/>
      </w:pPr>
      <w:r>
        <w:rPr>
          <w:noProof/>
        </w:rPr>
        <w:drawing>
          <wp:inline distT="0" distB="0" distL="0" distR="0" wp14:anchorId="2E42C592" wp14:editId="1C245918">
            <wp:extent cx="4983480" cy="374904"/>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cstate="screen">
                      <a:extLst>
                        <a:ext uri="{28A0092B-C50C-407E-A947-70E740481C1C}">
                          <a14:useLocalDpi xmlns:a14="http://schemas.microsoft.com/office/drawing/2010/main"/>
                        </a:ext>
                      </a:extLst>
                    </a:blip>
                    <a:srcRect b="-3342"/>
                    <a:stretch/>
                  </pic:blipFill>
                  <pic:spPr bwMode="auto">
                    <a:xfrm>
                      <a:off x="0" y="0"/>
                      <a:ext cx="4983480" cy="374904"/>
                    </a:xfrm>
                    <a:prstGeom prst="rect">
                      <a:avLst/>
                    </a:prstGeom>
                    <a:noFill/>
                    <a:ln>
                      <a:noFill/>
                    </a:ln>
                    <a:extLst>
                      <a:ext uri="{53640926-AAD7-44D8-BBD7-CCE9431645EC}">
                        <a14:shadowObscured xmlns:a14="http://schemas.microsoft.com/office/drawing/2010/main"/>
                      </a:ext>
                    </a:extLst>
                  </pic:spPr>
                </pic:pic>
              </a:graphicData>
            </a:graphic>
          </wp:inline>
        </w:drawing>
      </w:r>
    </w:p>
    <w:p w14:paraId="0B4B1C21" w14:textId="32113FBF" w:rsidR="00D607B8" w:rsidRDefault="00D607B8" w:rsidP="006D5A65">
      <w:pPr>
        <w:pStyle w:val="Heading2"/>
      </w:pPr>
      <w:r>
        <w:t xml:space="preserve">No SEF </w:t>
      </w:r>
      <w:r w:rsidR="00181653">
        <w:t>with N</w:t>
      </w:r>
      <w:r>
        <w:t>o SEP</w:t>
      </w:r>
    </w:p>
    <w:p w14:paraId="0BF5D970" w14:textId="7C1F8D1D" w:rsidR="00181653" w:rsidRDefault="00181653" w:rsidP="006D5A65">
      <w:pPr>
        <w:pStyle w:val="Heading2"/>
      </w:pPr>
      <w:r>
        <w:t>MDS automatically executes a new SEF when a rogue MST H&amp;S is received with no SEF is active.</w:t>
      </w:r>
    </w:p>
    <w:p w14:paraId="6F3073FC" w14:textId="7AC3BA96" w:rsidR="00181653" w:rsidRDefault="00181653" w:rsidP="006D5A65">
      <w:pPr>
        <w:pStyle w:val="Heading2"/>
      </w:pPr>
      <w:r>
        <w:t>The automatic SEF’s folder class will match the MST H&amp;S class (No SEP class).</w:t>
      </w:r>
    </w:p>
    <w:p w14:paraId="4A8C7337" w14:textId="6EF52F34" w:rsidR="00181653" w:rsidRDefault="00181653" w:rsidP="006D5A65">
      <w:pPr>
        <w:pStyle w:val="Heading3"/>
      </w:pPr>
      <w:r>
        <w:t>If the No SEP was Training, then the SEF’s folder class will be Training and the SEF will be Rehearsed.</w:t>
      </w:r>
    </w:p>
    <w:p w14:paraId="72B3A7D3" w14:textId="1EBEB3A2" w:rsidR="00181653" w:rsidRDefault="00181653" w:rsidP="006D5A65">
      <w:pPr>
        <w:pStyle w:val="Heading3"/>
      </w:pPr>
      <w:r>
        <w:t>If the No SEP was Tactical, then the SEF’s folder class will be Tactical and the SEF will be Executed.</w:t>
      </w:r>
    </w:p>
    <w:p w14:paraId="5B82C3D3" w14:textId="042CE713" w:rsidR="00D607B8" w:rsidRDefault="00D607B8" w:rsidP="006D5A65">
      <w:pPr>
        <w:pStyle w:val="Heading2"/>
      </w:pPr>
      <w:r>
        <w:t>FRU must be specified as a</w:t>
      </w:r>
      <w:r w:rsidR="007E7F0E">
        <w:t>n</w:t>
      </w:r>
      <w:r>
        <w:t xml:space="preserve"> MST backup </w:t>
      </w:r>
      <w:r w:rsidR="00414627">
        <w:t>controller,</w:t>
      </w:r>
      <w:r>
        <w:t xml:space="preserve"> or the </w:t>
      </w:r>
      <w:r w:rsidR="00181653">
        <w:t xml:space="preserve">rogue MST H&amp;S (No SEP case) </w:t>
      </w:r>
      <w:r>
        <w:t xml:space="preserve">will be ignored. </w:t>
      </w:r>
    </w:p>
    <w:p w14:paraId="429F6B71" w14:textId="2E314CC1" w:rsidR="00D607B8" w:rsidRDefault="00D607B8" w:rsidP="006D5A65">
      <w:pPr>
        <w:pStyle w:val="Heading2"/>
      </w:pPr>
      <w:r>
        <w:t xml:space="preserve">Alert in the lower right corner of the screen </w:t>
      </w:r>
      <w:r w:rsidR="007E7F0E">
        <w:t>indicates a new Maritime Strike in progress with a prompt to open the SMD</w:t>
      </w:r>
      <w:r>
        <w:t>.</w:t>
      </w:r>
    </w:p>
    <w:p w14:paraId="78E99634" w14:textId="2DFB306A" w:rsidR="00D607B8" w:rsidRDefault="00792B1C" w:rsidP="00967228">
      <w:pPr>
        <w:pStyle w:val="Number0205"/>
        <w:ind w:left="0" w:firstLine="0"/>
        <w:jc w:val="center"/>
      </w:pPr>
      <w:r>
        <w:rPr>
          <w:noProof/>
        </w:rPr>
        <w:drawing>
          <wp:inline distT="0" distB="0" distL="0" distR="0" wp14:anchorId="4D949096" wp14:editId="32D99D13">
            <wp:extent cx="2286000" cy="512064"/>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286000" cy="512064"/>
                    </a:xfrm>
                    <a:prstGeom prst="rect">
                      <a:avLst/>
                    </a:prstGeom>
                    <a:noFill/>
                    <a:ln>
                      <a:noFill/>
                    </a:ln>
                  </pic:spPr>
                </pic:pic>
              </a:graphicData>
            </a:graphic>
          </wp:inline>
        </w:drawing>
      </w:r>
    </w:p>
    <w:p w14:paraId="34344606" w14:textId="5580A975" w:rsidR="00D607B8" w:rsidRDefault="00792B1C" w:rsidP="006D5A65">
      <w:pPr>
        <w:pStyle w:val="Heading2"/>
      </w:pPr>
      <w:r>
        <w:t xml:space="preserve">New SEF titled </w:t>
      </w:r>
      <w:r w:rsidRPr="005C5333">
        <w:t>Maritime Execution</w:t>
      </w:r>
      <w:r>
        <w:t xml:space="preserve"> </w:t>
      </w:r>
      <w:r w:rsidR="00243B56">
        <w:t xml:space="preserve">automatically </w:t>
      </w:r>
      <w:r>
        <w:t>appears in the Strike Execution list view with an indication that it is executing</w:t>
      </w:r>
      <w:r w:rsidR="00D607B8">
        <w:t>.</w:t>
      </w:r>
    </w:p>
    <w:p w14:paraId="5B49118C" w14:textId="01BAE130" w:rsidR="00C90EEC" w:rsidRPr="000665B0" w:rsidRDefault="00792B1C" w:rsidP="00792B1C">
      <w:pPr>
        <w:pStyle w:val="Number0205"/>
        <w:ind w:left="0" w:firstLine="0"/>
        <w:jc w:val="center"/>
      </w:pPr>
      <w:r>
        <w:rPr>
          <w:noProof/>
        </w:rPr>
        <w:drawing>
          <wp:inline distT="0" distB="0" distL="0" distR="0" wp14:anchorId="795DA9B4" wp14:editId="15DABE2C">
            <wp:extent cx="4430486" cy="333303"/>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cstate="screen">
                      <a:extLst>
                        <a:ext uri="{28A0092B-C50C-407E-A947-70E740481C1C}">
                          <a14:useLocalDpi xmlns:a14="http://schemas.microsoft.com/office/drawing/2010/main"/>
                        </a:ext>
                      </a:extLst>
                    </a:blip>
                    <a:srcRect b="-3342"/>
                    <a:stretch/>
                  </pic:blipFill>
                  <pic:spPr bwMode="auto">
                    <a:xfrm>
                      <a:off x="0" y="0"/>
                      <a:ext cx="4430486" cy="333303"/>
                    </a:xfrm>
                    <a:prstGeom prst="rect">
                      <a:avLst/>
                    </a:prstGeom>
                    <a:noFill/>
                    <a:ln>
                      <a:noFill/>
                    </a:ln>
                    <a:extLst>
                      <a:ext uri="{53640926-AAD7-44D8-BBD7-CCE9431645EC}">
                        <a14:shadowObscured xmlns:a14="http://schemas.microsoft.com/office/drawing/2010/main"/>
                      </a:ext>
                    </a:extLst>
                  </pic:spPr>
                </pic:pic>
              </a:graphicData>
            </a:graphic>
          </wp:inline>
        </w:drawing>
      </w:r>
    </w:p>
    <w:p w14:paraId="04E2DAF2" w14:textId="2B4A6080" w:rsidR="007D6CAF" w:rsidRPr="000665B0" w:rsidRDefault="002B73CF" w:rsidP="006D5A65">
      <w:pPr>
        <w:pStyle w:val="Heading1"/>
      </w:pPr>
      <w:r w:rsidRPr="000665B0">
        <w:t xml:space="preserve">The </w:t>
      </w:r>
      <w:r w:rsidR="00181653">
        <w:t xml:space="preserve">Land Attack </w:t>
      </w:r>
      <w:r w:rsidR="0063110F">
        <w:t>TSC</w:t>
      </w:r>
      <w:r w:rsidR="0063110F" w:rsidRPr="000665B0">
        <w:t xml:space="preserve"> </w:t>
      </w:r>
      <w:r w:rsidRPr="000665B0">
        <w:t>must distribute the Strike Execution Folder to all strike participants before rehearsing or executing the</w:t>
      </w:r>
      <w:r w:rsidR="00181653">
        <w:t xml:space="preserve"> Land Attack</w:t>
      </w:r>
      <w:r w:rsidRPr="000665B0">
        <w:t xml:space="preserve"> strike. </w:t>
      </w:r>
    </w:p>
    <w:p w14:paraId="3EDBC550" w14:textId="77777777" w:rsidR="005D1A26" w:rsidRPr="000665B0" w:rsidRDefault="005D1A26" w:rsidP="006D5A65">
      <w:pPr>
        <w:pStyle w:val="Heading1"/>
      </w:pPr>
      <w:r w:rsidRPr="000665B0">
        <w:t>Navigate to the Strike Execution Tool.</w:t>
      </w:r>
    </w:p>
    <w:p w14:paraId="102D5C11" w14:textId="7C284466" w:rsidR="002B73CF" w:rsidRPr="000665B0" w:rsidRDefault="002B73CF" w:rsidP="006D5A65">
      <w:pPr>
        <w:pStyle w:val="Heading1"/>
      </w:pPr>
      <w:r w:rsidRPr="000665B0">
        <w:t xml:space="preserve">Select the desired folder. From the File or Context menu, select Send…. A new </w:t>
      </w:r>
      <w:r w:rsidRPr="000665B0">
        <w:rPr>
          <w:i/>
        </w:rPr>
        <w:t>DDO Template</w:t>
      </w:r>
      <w:r w:rsidRPr="000665B0">
        <w:t xml:space="preserve"> window is displayed. </w:t>
      </w:r>
      <w:r w:rsidRPr="000665B0">
        <w:rPr>
          <w:snapToGrid w:val="0"/>
        </w:rPr>
        <w:t xml:space="preserve">For more details on DDO Templates see </w:t>
      </w:r>
      <w:hyperlink w:anchor="_5.21__DDO" w:history="1">
        <w:r w:rsidR="00DE0842" w:rsidRPr="000665B0">
          <w:rPr>
            <w:rStyle w:val="Hyperlink"/>
            <w:snapToGrid w:val="0"/>
          </w:rPr>
          <w:t xml:space="preserve">Section </w:t>
        </w:r>
        <w:r w:rsidR="004231CC">
          <w:rPr>
            <w:rStyle w:val="Hyperlink"/>
            <w:snapToGrid w:val="0"/>
          </w:rPr>
          <w:t>5.16</w:t>
        </w:r>
      </w:hyperlink>
      <w:r w:rsidR="008D631B" w:rsidRPr="000665B0">
        <w:t>.</w:t>
      </w:r>
    </w:p>
    <w:p w14:paraId="3731AF06" w14:textId="77B9D37A" w:rsidR="002B73CF" w:rsidRPr="000665B0" w:rsidRDefault="002B73CF" w:rsidP="006D5A65">
      <w:pPr>
        <w:pStyle w:val="Heading1"/>
      </w:pPr>
      <w:r w:rsidRPr="000665B0">
        <w:t xml:space="preserve">Verify/select the desired nodes for the DDO distribution (for rehearsal, include the TSRT node if it is not on the same TED node). The nodes for the DDO distribution are automatically </w:t>
      </w:r>
      <w:r w:rsidRPr="000665B0">
        <w:lastRenderedPageBreak/>
        <w:t xml:space="preserve">populated based on </w:t>
      </w:r>
      <w:r w:rsidR="006D2436">
        <w:t>each Strike Package’s Arsenal</w:t>
      </w:r>
      <w:r w:rsidRPr="000665B0">
        <w:t>; any node may be added or removed from the addressee field.</w:t>
      </w:r>
    </w:p>
    <w:p w14:paraId="08145186" w14:textId="77777777" w:rsidR="002B73CF" w:rsidRPr="000665B0" w:rsidRDefault="002B73CF" w:rsidP="006D5A65">
      <w:pPr>
        <w:pStyle w:val="Heading1"/>
      </w:pPr>
      <w:r w:rsidRPr="000665B0">
        <w:t xml:space="preserve">At the bottom of the </w:t>
      </w:r>
      <w:r w:rsidRPr="000665B0">
        <w:rPr>
          <w:i/>
        </w:rPr>
        <w:t>DDO Template</w:t>
      </w:r>
      <w:r w:rsidRPr="000665B0">
        <w:t xml:space="preserve"> window, select the </w:t>
      </w:r>
      <w:r w:rsidRPr="000665B0">
        <w:rPr>
          <w:i/>
        </w:rPr>
        <w:t>Strike Data</w:t>
      </w:r>
      <w:r w:rsidRPr="000665B0">
        <w:t xml:space="preserve"> tab. In the Strike Data pane, select the Include All Strike Data checkbox. Select the </w:t>
      </w:r>
      <w:r w:rsidRPr="000665B0">
        <w:rPr>
          <w:i/>
        </w:rPr>
        <w:t>Platforms</w:t>
      </w:r>
      <w:r w:rsidRPr="000665B0">
        <w:t xml:space="preserve"> tab and select the Platform Information and Missile Inventory checkboxes.</w:t>
      </w:r>
    </w:p>
    <w:p w14:paraId="0E883B14" w14:textId="77777777" w:rsidR="002B73CF" w:rsidRPr="000665B0" w:rsidRDefault="002B73CF" w:rsidP="006D5A65">
      <w:pPr>
        <w:pStyle w:val="Heading1"/>
      </w:pPr>
      <w:r w:rsidRPr="000665B0">
        <w:t xml:space="preserve">From the File menu select Send or click the Send </w:t>
      </w:r>
      <w:r w:rsidRPr="000665B0">
        <w:rPr>
          <w:noProof/>
        </w:rPr>
        <w:drawing>
          <wp:inline distT="0" distB="0" distL="0" distR="0" wp14:anchorId="227744FF" wp14:editId="5E3E0A39">
            <wp:extent cx="152400" cy="152400"/>
            <wp:effectExtent l="0" t="0" r="0" b="0"/>
            <wp:docPr id="1436" name="Picture 1436"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 </w:t>
      </w:r>
      <w:r w:rsidRPr="000665B0">
        <w:rPr>
          <w:szCs w:val="24"/>
        </w:rPr>
        <w:t>Click the Approve button to send the DDO</w:t>
      </w:r>
      <w:r w:rsidRPr="000665B0">
        <w:t>.</w:t>
      </w:r>
    </w:p>
    <w:p w14:paraId="1B4F26FD" w14:textId="4DD6D10C" w:rsidR="002B73CF" w:rsidRPr="000665B0" w:rsidRDefault="002B73CF" w:rsidP="006D5A65">
      <w:pPr>
        <w:pStyle w:val="Heading1"/>
      </w:pPr>
      <w:r w:rsidRPr="000665B0">
        <w:t>Confirm that all participating nodes have received the DDO.</w:t>
      </w:r>
    </w:p>
    <w:p w14:paraId="272E1296" w14:textId="77777777" w:rsidR="00924448" w:rsidRPr="000665B0" w:rsidRDefault="00924448" w:rsidP="00D06C3E">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line="240" w:lineRule="auto"/>
        <w:jc w:val="center"/>
        <w:rPr>
          <w:b/>
          <w:bCs/>
        </w:rPr>
      </w:pPr>
      <w:r w:rsidRPr="000665B0">
        <w:rPr>
          <w:b/>
          <w:bCs/>
        </w:rPr>
        <w:t>Note:</w:t>
      </w:r>
      <w:r w:rsidRPr="000665B0">
        <w:rPr>
          <w:b/>
          <w:bCs/>
        </w:rPr>
        <w:br/>
        <w:t>Do not send a Tactical SEF rehearsal copy to TTWCS nodes.</w:t>
      </w:r>
    </w:p>
    <w:p w14:paraId="46977EA4" w14:textId="1E942867" w:rsidR="002B73CF" w:rsidRPr="000665B0" w:rsidRDefault="00E667B1" w:rsidP="006D5A65">
      <w:pPr>
        <w:pStyle w:val="Heading1"/>
      </w:pPr>
      <w:r w:rsidRPr="000665B0">
        <w:t xml:space="preserve">Select </w:t>
      </w:r>
      <w:r w:rsidR="005D1A26" w:rsidRPr="000665B0">
        <w:t>the desired folder</w:t>
      </w:r>
      <w:r w:rsidRPr="000665B0">
        <w:t>,</w:t>
      </w:r>
      <w:r w:rsidR="005D1A26" w:rsidRPr="000665B0">
        <w:t xml:space="preserve"> invoke the context menu (</w:t>
      </w:r>
      <w:r w:rsidR="00D71804" w:rsidRPr="000665B0">
        <w:t>right-click</w:t>
      </w:r>
      <w:r w:rsidRPr="000665B0">
        <w:t xml:space="preserve"> </w:t>
      </w:r>
      <w:r w:rsidR="005D1A26" w:rsidRPr="000665B0">
        <w:t>the mouse)</w:t>
      </w:r>
      <w:r w:rsidRPr="000665B0">
        <w:t>,</w:t>
      </w:r>
      <w:r w:rsidR="005D1A26" w:rsidRPr="000665B0">
        <w:t xml:space="preserve"> and select either</w:t>
      </w:r>
      <w:r w:rsidR="002B73CF" w:rsidRPr="000665B0">
        <w:t>:</w:t>
      </w:r>
    </w:p>
    <w:p w14:paraId="3CE24567" w14:textId="77777777" w:rsidR="002B73CF" w:rsidRPr="000665B0" w:rsidRDefault="005D1A26" w:rsidP="006D5A65">
      <w:pPr>
        <w:pStyle w:val="Heading2"/>
      </w:pPr>
      <w:r w:rsidRPr="000665B0">
        <w:t>Rehearse</w:t>
      </w:r>
      <w:r w:rsidR="00AC1EB0" w:rsidRPr="000665B0">
        <w:t xml:space="preserve"> </w:t>
      </w:r>
      <w:r w:rsidR="00AC1EB0" w:rsidRPr="000665B0">
        <w:sym w:font="Wingdings 3" w:char="F07D"/>
      </w:r>
      <w:r w:rsidR="00AC1EB0" w:rsidRPr="000665B0">
        <w:t xml:space="preserve"> </w:t>
      </w:r>
    </w:p>
    <w:p w14:paraId="4F8D4281" w14:textId="77777777" w:rsidR="002B73CF" w:rsidRPr="000665B0" w:rsidRDefault="00AC1EB0" w:rsidP="006D5A65">
      <w:pPr>
        <w:pStyle w:val="Heading2"/>
      </w:pPr>
      <w:r w:rsidRPr="000665B0">
        <w:t>With SMD</w:t>
      </w:r>
      <w:r w:rsidR="005D1A26" w:rsidRPr="000665B0">
        <w:t xml:space="preserve"> </w:t>
      </w:r>
    </w:p>
    <w:p w14:paraId="793D30A4" w14:textId="77777777" w:rsidR="002B73CF" w:rsidRPr="000665B0" w:rsidRDefault="002B73CF" w:rsidP="006D5A65">
      <w:pPr>
        <w:pStyle w:val="Heading2"/>
      </w:pPr>
      <w:r w:rsidRPr="000665B0">
        <w:t>Without SMD</w:t>
      </w:r>
    </w:p>
    <w:p w14:paraId="3B80055B" w14:textId="77777777" w:rsidR="002B73CF" w:rsidRPr="000665B0" w:rsidRDefault="005D1A26" w:rsidP="003F2C04">
      <w:pPr>
        <w:ind w:left="810"/>
      </w:pPr>
      <w:r w:rsidRPr="000665B0">
        <w:t xml:space="preserve">or </w:t>
      </w:r>
    </w:p>
    <w:p w14:paraId="395A3E9D" w14:textId="77777777" w:rsidR="002B73CF" w:rsidRPr="000665B0" w:rsidRDefault="005D1A26" w:rsidP="006D5A65">
      <w:pPr>
        <w:pStyle w:val="Heading2"/>
      </w:pPr>
      <w:r w:rsidRPr="000665B0">
        <w:t>Execute</w:t>
      </w:r>
      <w:r w:rsidR="00AC1EB0" w:rsidRPr="000665B0">
        <w:t xml:space="preserve"> </w:t>
      </w:r>
      <w:r w:rsidR="00AC1EB0" w:rsidRPr="000665B0">
        <w:sym w:font="Wingdings 3" w:char="F07D"/>
      </w:r>
      <w:r w:rsidR="00AC1EB0" w:rsidRPr="000665B0">
        <w:t xml:space="preserve"> </w:t>
      </w:r>
    </w:p>
    <w:p w14:paraId="5620DC9C" w14:textId="77777777" w:rsidR="002B73CF" w:rsidRPr="000665B0" w:rsidRDefault="00AC1EB0" w:rsidP="006D5A65">
      <w:pPr>
        <w:pStyle w:val="Heading2"/>
      </w:pPr>
      <w:r w:rsidRPr="000665B0">
        <w:t>With SMD</w:t>
      </w:r>
    </w:p>
    <w:p w14:paraId="5EA512AD" w14:textId="7FBE8769" w:rsidR="00E62297" w:rsidRPr="000665B0" w:rsidRDefault="002B73CF" w:rsidP="006D5A65">
      <w:pPr>
        <w:pStyle w:val="Heading2"/>
      </w:pPr>
      <w:r w:rsidRPr="000665B0">
        <w:t>Without SMD</w:t>
      </w:r>
      <w:r w:rsidR="005D1A26" w:rsidRPr="000665B0">
        <w:t>.</w:t>
      </w:r>
      <w:r w:rsidR="00E62297" w:rsidRPr="000665B0">
        <w:t xml:space="preserve"> </w:t>
      </w:r>
    </w:p>
    <w:p w14:paraId="7DCA6B0F" w14:textId="77777777" w:rsidR="00E62297" w:rsidRPr="000665B0" w:rsidRDefault="00E62297" w:rsidP="00AC2F7D">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jc w:val="center"/>
        <w:rPr>
          <w:b/>
          <w:bCs/>
        </w:rPr>
      </w:pPr>
      <w:r w:rsidRPr="000665B0">
        <w:rPr>
          <w:b/>
          <w:bCs/>
        </w:rPr>
        <w:t xml:space="preserve">Note: </w:t>
      </w:r>
      <w:r w:rsidRPr="000665B0">
        <w:rPr>
          <w:b/>
          <w:bCs/>
        </w:rPr>
        <w:br/>
        <w:t xml:space="preserve">Once a strike package has been executed, it cannot be re-executed after saving a copy of the executed package. </w:t>
      </w:r>
    </w:p>
    <w:p w14:paraId="597A1416" w14:textId="77777777" w:rsidR="00E62297" w:rsidRPr="000665B0" w:rsidRDefault="00E62297" w:rsidP="00AC2F7D">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after="240"/>
        <w:jc w:val="center"/>
        <w:rPr>
          <w:b/>
          <w:bCs/>
        </w:rPr>
      </w:pPr>
      <w:r w:rsidRPr="000665B0">
        <w:rPr>
          <w:b/>
          <w:bCs/>
        </w:rPr>
        <w:t>If it is anticipated that the strike may be executed more than once, save a copy of the original Strike Folder to be used for replication of additional Strike Folders for execution.</w:t>
      </w:r>
    </w:p>
    <w:p w14:paraId="5D8E87BA" w14:textId="77777777" w:rsidR="00EC64BA" w:rsidRPr="000665B0" w:rsidRDefault="00EC64BA" w:rsidP="006D5A65">
      <w:pPr>
        <w:pStyle w:val="Heading1"/>
      </w:pPr>
      <w:r w:rsidRPr="000665B0">
        <w:t xml:space="preserve">Before executing the Strike Execution Folder, MDS will check TED to determine if it is currently executing any other strike. If TED is not executing another strike, then it will start the execution in TED and continue with the Strike Execution Folder load. If TED is currently executing the requested Strike Execution Folder, TED will continue with the Strike Execution load. If TED is currently executing a Strike Execution Folder that is not the folder that is requested, TED will cancel the execution request and display a message to the </w:t>
      </w:r>
      <w:r w:rsidR="00987E38" w:rsidRPr="000665B0">
        <w:t>operator</w:t>
      </w:r>
      <w:r w:rsidRPr="000665B0">
        <w:t xml:space="preserve"> indicating that there is already an executing Strike Execution Folder that needs to be stopped in order to </w:t>
      </w:r>
      <w:r w:rsidRPr="000665B0">
        <w:lastRenderedPageBreak/>
        <w:t>start another execution. The message also indicates that only one execution can be active at a time.</w:t>
      </w:r>
    </w:p>
    <w:p w14:paraId="3FF9D232" w14:textId="2CE4866E" w:rsidR="008500E5" w:rsidRPr="000665B0" w:rsidRDefault="00C14C3E" w:rsidP="00EC64BA">
      <w:pPr>
        <w:pStyle w:val="Number0205"/>
        <w:ind w:left="0" w:firstLine="0"/>
        <w:jc w:val="center"/>
      </w:pPr>
      <w:r w:rsidRPr="000665B0">
        <w:rPr>
          <w:noProof/>
        </w:rPr>
        <w:drawing>
          <wp:inline distT="0" distB="0" distL="0" distR="0" wp14:anchorId="6B6D4385" wp14:editId="0E599CDA">
            <wp:extent cx="3200400" cy="1344168"/>
            <wp:effectExtent l="0" t="0" r="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344168"/>
                    </a:xfrm>
                    <a:prstGeom prst="rect">
                      <a:avLst/>
                    </a:prstGeom>
                  </pic:spPr>
                </pic:pic>
              </a:graphicData>
            </a:graphic>
          </wp:inline>
        </w:drawing>
      </w:r>
    </w:p>
    <w:p w14:paraId="6E01AA05" w14:textId="77777777" w:rsidR="00531C8E" w:rsidRPr="000665B0" w:rsidRDefault="00531C8E" w:rsidP="006D5A65">
      <w:pPr>
        <w:pStyle w:val="Heading1"/>
      </w:pPr>
      <w:r w:rsidRPr="000665B0">
        <w:t xml:space="preserve">MDS will determine if the Execution Folder is open for editing </w:t>
      </w:r>
      <w:r w:rsidR="007C695E" w:rsidRPr="000665B0">
        <w:t>(</w:t>
      </w:r>
      <w:r w:rsidRPr="000665B0">
        <w:t>or if any of the Strike Options in the Execution Folder are open for editing</w:t>
      </w:r>
      <w:r w:rsidR="007C695E" w:rsidRPr="000665B0">
        <w:t>)</w:t>
      </w:r>
      <w:r w:rsidRPr="000665B0">
        <w:t xml:space="preserve"> on any MDS connected to the local TED. If an Execution Folder is open on the local MDS</w:t>
      </w:r>
      <w:r w:rsidR="00BE259B" w:rsidRPr="000665B0">
        <w:t>,</w:t>
      </w:r>
      <w:r w:rsidRPr="000665B0">
        <w:t xml:space="preserve"> a message </w:t>
      </w:r>
      <w:r w:rsidR="00BE259B" w:rsidRPr="000665B0">
        <w:t>is</w:t>
      </w:r>
      <w:r w:rsidRPr="000665B0">
        <w:t xml:space="preserve"> displayed </w:t>
      </w:r>
      <w:r w:rsidR="00E12EEB" w:rsidRPr="000665B0">
        <w:t>that allows</w:t>
      </w:r>
      <w:r w:rsidRPr="000665B0">
        <w:t xml:space="preserve"> the operator to close the folder.</w:t>
      </w:r>
    </w:p>
    <w:p w14:paraId="50E46432" w14:textId="5605E4A1" w:rsidR="00531C8E" w:rsidRPr="000665B0" w:rsidRDefault="00C14C3E" w:rsidP="00531C8E">
      <w:pPr>
        <w:spacing w:after="200" w:line="276" w:lineRule="auto"/>
        <w:jc w:val="center"/>
      </w:pPr>
      <w:r w:rsidRPr="000665B0">
        <w:rPr>
          <w:noProof/>
        </w:rPr>
        <w:drawing>
          <wp:inline distT="0" distB="0" distL="0" distR="0" wp14:anchorId="57F6F2C7" wp14:editId="1EE30BA6">
            <wp:extent cx="3200400" cy="1444752"/>
            <wp:effectExtent l="0" t="0" r="0" b="3175"/>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444752"/>
                    </a:xfrm>
                    <a:prstGeom prst="rect">
                      <a:avLst/>
                    </a:prstGeom>
                  </pic:spPr>
                </pic:pic>
              </a:graphicData>
            </a:graphic>
          </wp:inline>
        </w:drawing>
      </w:r>
    </w:p>
    <w:p w14:paraId="64E4BF08" w14:textId="722B4E44" w:rsidR="00531C8E" w:rsidRPr="000665B0" w:rsidRDefault="00531C8E" w:rsidP="00F04CA9">
      <w:pPr>
        <w:ind w:left="720"/>
      </w:pPr>
      <w:r w:rsidRPr="000665B0">
        <w:t>If an Execution Folder is open on another MDS connected to the local TED</w:t>
      </w:r>
      <w:r w:rsidR="00BE259B" w:rsidRPr="000665B0">
        <w:t>,</w:t>
      </w:r>
      <w:r w:rsidRPr="000665B0">
        <w:t xml:space="preserve"> the operator receive</w:t>
      </w:r>
      <w:r w:rsidR="00BE259B" w:rsidRPr="000665B0">
        <w:t>s</w:t>
      </w:r>
      <w:r w:rsidRPr="000665B0">
        <w:t xml:space="preserve"> a message that Strik</w:t>
      </w:r>
      <w:r w:rsidR="00BE259B" w:rsidRPr="000665B0">
        <w:t xml:space="preserve">e Execution is </w:t>
      </w:r>
      <w:r w:rsidR="00414627" w:rsidRPr="000665B0">
        <w:t>starting,</w:t>
      </w:r>
      <w:r w:rsidR="00BE259B" w:rsidRPr="000665B0">
        <w:t xml:space="preserve"> and </w:t>
      </w:r>
      <w:r w:rsidRPr="000665B0">
        <w:t>the Execution Folder</w:t>
      </w:r>
      <w:r w:rsidR="00BE259B" w:rsidRPr="000665B0">
        <w:t xml:space="preserve"> needs to be closed</w:t>
      </w:r>
      <w:r w:rsidRPr="000665B0">
        <w:t>.</w:t>
      </w:r>
    </w:p>
    <w:p w14:paraId="36819330" w14:textId="3B20D6F2" w:rsidR="00531C8E" w:rsidRPr="000665B0" w:rsidRDefault="00E938D1" w:rsidP="00531C8E">
      <w:pPr>
        <w:spacing w:after="200" w:line="276" w:lineRule="auto"/>
        <w:jc w:val="center"/>
      </w:pPr>
      <w:r w:rsidRPr="000665B0">
        <w:rPr>
          <w:noProof/>
        </w:rPr>
        <w:drawing>
          <wp:inline distT="0" distB="0" distL="0" distR="0" wp14:anchorId="21099274" wp14:editId="0742987B">
            <wp:extent cx="3200400" cy="1764792"/>
            <wp:effectExtent l="0" t="0" r="0" b="6985"/>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764792"/>
                    </a:xfrm>
                    <a:prstGeom prst="rect">
                      <a:avLst/>
                    </a:prstGeom>
                  </pic:spPr>
                </pic:pic>
              </a:graphicData>
            </a:graphic>
          </wp:inline>
        </w:drawing>
      </w:r>
    </w:p>
    <w:p w14:paraId="23F866E4" w14:textId="77777777" w:rsidR="00531C8E" w:rsidRPr="000665B0" w:rsidRDefault="00531C8E" w:rsidP="00F04CA9">
      <w:pPr>
        <w:ind w:left="720"/>
      </w:pPr>
      <w:r w:rsidRPr="000665B0">
        <w:t>If the other user has already made changes or disregards the message and makes changes</w:t>
      </w:r>
      <w:r w:rsidR="00BE259B" w:rsidRPr="000665B0">
        <w:t>, the changes cannot</w:t>
      </w:r>
      <w:r w:rsidRPr="000665B0">
        <w:t xml:space="preserve"> </w:t>
      </w:r>
      <w:r w:rsidR="00BE259B" w:rsidRPr="000665B0">
        <w:t xml:space="preserve">be </w:t>
      </w:r>
      <w:r w:rsidRPr="000665B0">
        <w:t>save</w:t>
      </w:r>
      <w:r w:rsidR="00BE259B" w:rsidRPr="000665B0">
        <w:t>d</w:t>
      </w:r>
      <w:r w:rsidRPr="000665B0">
        <w:t xml:space="preserve"> to TED until execution has completed. </w:t>
      </w:r>
    </w:p>
    <w:p w14:paraId="0B8FF320" w14:textId="75E2CF50" w:rsidR="00531C8E" w:rsidRPr="000665B0" w:rsidRDefault="00E938D1" w:rsidP="00531C8E">
      <w:pPr>
        <w:spacing w:after="200" w:line="276" w:lineRule="auto"/>
        <w:jc w:val="center"/>
      </w:pPr>
      <w:r w:rsidRPr="000665B0">
        <w:rPr>
          <w:noProof/>
        </w:rPr>
        <w:lastRenderedPageBreak/>
        <w:drawing>
          <wp:inline distT="0" distB="0" distL="0" distR="0" wp14:anchorId="4043C8EC" wp14:editId="20E04A80">
            <wp:extent cx="3200400" cy="1865376"/>
            <wp:effectExtent l="0" t="0" r="0" b="1905"/>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865376"/>
                    </a:xfrm>
                    <a:prstGeom prst="rect">
                      <a:avLst/>
                    </a:prstGeom>
                  </pic:spPr>
                </pic:pic>
              </a:graphicData>
            </a:graphic>
          </wp:inline>
        </w:drawing>
      </w:r>
    </w:p>
    <w:p w14:paraId="2C6ED23E" w14:textId="77777777" w:rsidR="00531C8E" w:rsidRPr="000665B0" w:rsidRDefault="00531C8E" w:rsidP="00F04CA9">
      <w:pPr>
        <w:ind w:left="720"/>
      </w:pPr>
      <w:r w:rsidRPr="000665B0">
        <w:t>If the Strike Option is open on the same MDS</w:t>
      </w:r>
      <w:r w:rsidR="00BE259B" w:rsidRPr="000665B0">
        <w:t>,</w:t>
      </w:r>
      <w:r w:rsidRPr="000665B0">
        <w:t xml:space="preserve"> a message </w:t>
      </w:r>
      <w:r w:rsidR="00BE259B" w:rsidRPr="000665B0">
        <w:t>is</w:t>
      </w:r>
      <w:r w:rsidRPr="000665B0">
        <w:t xml:space="preserve"> displayed allowing the operator to close the Option</w:t>
      </w:r>
      <w:r w:rsidR="00F04CA9" w:rsidRPr="000665B0">
        <w:t>.</w:t>
      </w:r>
    </w:p>
    <w:p w14:paraId="3284502B" w14:textId="19382242" w:rsidR="00531C8E" w:rsidRPr="000665B0" w:rsidRDefault="00C14C3E" w:rsidP="00531C8E">
      <w:pPr>
        <w:spacing w:after="200" w:line="276" w:lineRule="auto"/>
        <w:jc w:val="center"/>
      </w:pPr>
      <w:r w:rsidRPr="000665B0">
        <w:rPr>
          <w:noProof/>
        </w:rPr>
        <w:drawing>
          <wp:inline distT="0" distB="0" distL="0" distR="0" wp14:anchorId="6CA44A13" wp14:editId="5796E398">
            <wp:extent cx="3200400" cy="1444752"/>
            <wp:effectExtent l="0" t="0" r="0" b="3175"/>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444752"/>
                    </a:xfrm>
                    <a:prstGeom prst="rect">
                      <a:avLst/>
                    </a:prstGeom>
                  </pic:spPr>
                </pic:pic>
              </a:graphicData>
            </a:graphic>
          </wp:inline>
        </w:drawing>
      </w:r>
    </w:p>
    <w:p w14:paraId="19044B94" w14:textId="77777777" w:rsidR="00531C8E" w:rsidRPr="000665B0" w:rsidRDefault="00531C8E" w:rsidP="00F04CA9">
      <w:pPr>
        <w:ind w:left="720"/>
      </w:pPr>
      <w:r w:rsidRPr="000665B0">
        <w:t xml:space="preserve">If the Strike Option is open on another MDS connected to the same TED (and the other user has not made changes), the other MDS </w:t>
      </w:r>
      <w:r w:rsidR="007C695E" w:rsidRPr="000665B0">
        <w:t>is</w:t>
      </w:r>
      <w:r w:rsidRPr="000665B0">
        <w:t xml:space="preserve"> prompted to close the Strike Option.</w:t>
      </w:r>
    </w:p>
    <w:p w14:paraId="54D42AF5" w14:textId="1986EA90" w:rsidR="00531C8E" w:rsidRPr="000665B0" w:rsidRDefault="00E938D1" w:rsidP="00531C8E">
      <w:pPr>
        <w:spacing w:after="200" w:line="276" w:lineRule="auto"/>
        <w:jc w:val="center"/>
      </w:pPr>
      <w:r w:rsidRPr="000665B0">
        <w:rPr>
          <w:noProof/>
        </w:rPr>
        <w:drawing>
          <wp:inline distT="0" distB="0" distL="0" distR="0" wp14:anchorId="1C4B9B63" wp14:editId="52A628EA">
            <wp:extent cx="3200400" cy="1709928"/>
            <wp:effectExtent l="0" t="0" r="0" b="5080"/>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709928"/>
                    </a:xfrm>
                    <a:prstGeom prst="rect">
                      <a:avLst/>
                    </a:prstGeom>
                  </pic:spPr>
                </pic:pic>
              </a:graphicData>
            </a:graphic>
          </wp:inline>
        </w:drawing>
      </w:r>
    </w:p>
    <w:p w14:paraId="6A80C9B3" w14:textId="4948B703" w:rsidR="00531C8E" w:rsidRPr="000665B0" w:rsidRDefault="00531C8E" w:rsidP="00F04CA9">
      <w:pPr>
        <w:ind w:left="720"/>
      </w:pPr>
      <w:r w:rsidRPr="000665B0">
        <w:t xml:space="preserve">If the Strike Option is open on another MDS connected to the same TED (and the other user </w:t>
      </w:r>
      <w:r w:rsidR="003C1C99" w:rsidRPr="000665B0">
        <w:t xml:space="preserve">has </w:t>
      </w:r>
      <w:r w:rsidRPr="000665B0">
        <w:t xml:space="preserve">made changes), the other MDS </w:t>
      </w:r>
      <w:r w:rsidR="007C695E" w:rsidRPr="000665B0">
        <w:t>is</w:t>
      </w:r>
      <w:r w:rsidRPr="000665B0">
        <w:t xml:space="preserve"> prompted to close the Strike Option </w:t>
      </w:r>
      <w:r w:rsidR="00BE259B" w:rsidRPr="000665B0">
        <w:t>and</w:t>
      </w:r>
      <w:r w:rsidRPr="000665B0">
        <w:t xml:space="preserve"> given the chance to </w:t>
      </w:r>
      <w:r w:rsidR="00EB0E3B" w:rsidRPr="000665B0">
        <w:t>perform</w:t>
      </w:r>
      <w:r w:rsidRPr="000665B0">
        <w:t xml:space="preserve"> a </w:t>
      </w:r>
      <w:r w:rsidR="00F04CA9" w:rsidRPr="000665B0">
        <w:rPr>
          <w:b/>
        </w:rPr>
        <w:t>Save As</w:t>
      </w:r>
      <w:r w:rsidR="00F04CA9" w:rsidRPr="000665B0">
        <w:t>.</w:t>
      </w:r>
    </w:p>
    <w:p w14:paraId="69C6C9EB" w14:textId="05A1C037" w:rsidR="00531C8E" w:rsidRPr="000665B0" w:rsidRDefault="00E938D1" w:rsidP="00531C8E">
      <w:pPr>
        <w:spacing w:after="200" w:line="276" w:lineRule="auto"/>
        <w:jc w:val="center"/>
      </w:pPr>
      <w:r w:rsidRPr="000665B0">
        <w:rPr>
          <w:noProof/>
        </w:rPr>
        <w:lastRenderedPageBreak/>
        <w:drawing>
          <wp:inline distT="0" distB="0" distL="0" distR="0" wp14:anchorId="4390BDA0" wp14:editId="1694B2F8">
            <wp:extent cx="3200400" cy="1819656"/>
            <wp:effectExtent l="0" t="0" r="0" b="9525"/>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819656"/>
                    </a:xfrm>
                    <a:prstGeom prst="rect">
                      <a:avLst/>
                    </a:prstGeom>
                  </pic:spPr>
                </pic:pic>
              </a:graphicData>
            </a:graphic>
          </wp:inline>
        </w:drawing>
      </w:r>
    </w:p>
    <w:p w14:paraId="0A3D19CF" w14:textId="2C061B8A" w:rsidR="009E0C7D" w:rsidRPr="000665B0" w:rsidRDefault="009E0C7D" w:rsidP="006D5A65">
      <w:pPr>
        <w:pStyle w:val="Heading1"/>
      </w:pPr>
      <w:r w:rsidRPr="000665B0">
        <w:t xml:space="preserve">While the Strike Execution Folder is being loaded, Pre-Strike Analysis </w:t>
      </w:r>
      <w:r w:rsidR="00EC64BA" w:rsidRPr="000665B0">
        <w:t>automatically</w:t>
      </w:r>
      <w:r w:rsidRPr="000665B0">
        <w:t xml:space="preserve"> run</w:t>
      </w:r>
      <w:r w:rsidR="000003BC" w:rsidRPr="000665B0">
        <w:t>s</w:t>
      </w:r>
      <w:r w:rsidRPr="000665B0">
        <w:t xml:space="preserve"> in the background. </w:t>
      </w:r>
    </w:p>
    <w:p w14:paraId="6513E114" w14:textId="77777777" w:rsidR="009E0C7D" w:rsidRPr="000665B0" w:rsidRDefault="009E0C7D" w:rsidP="006D5A65">
      <w:pPr>
        <w:pStyle w:val="Heading1"/>
      </w:pPr>
      <w:r w:rsidRPr="000665B0">
        <w:t>If the Strike Execution Folder passes the Pre-Strike Analysis, then the SMD will continue to load.</w:t>
      </w:r>
    </w:p>
    <w:p w14:paraId="46AEB606" w14:textId="77777777" w:rsidR="009E0C7D" w:rsidRPr="000665B0" w:rsidRDefault="009E0C7D" w:rsidP="006D5A65">
      <w:pPr>
        <w:pStyle w:val="Heading1"/>
      </w:pPr>
      <w:r w:rsidRPr="000665B0">
        <w:t>If it finds any issues, a Pre-Strike Analysis Dialog will prompt the operator with the list of issues. The operator can then choose Continue to ignore the warnings/errors and continue loading or Abort to cancel the execution and fix the warnings/errors. The operator can also export the warnings/errors to an Excel spreadsheet.</w:t>
      </w:r>
    </w:p>
    <w:p w14:paraId="3789E463" w14:textId="2957B474" w:rsidR="009E0C7D" w:rsidRPr="000665B0" w:rsidRDefault="00C14C3E" w:rsidP="009E0C7D">
      <w:pPr>
        <w:jc w:val="center"/>
      </w:pPr>
      <w:r w:rsidRPr="000665B0">
        <w:rPr>
          <w:noProof/>
        </w:rPr>
        <w:drawing>
          <wp:inline distT="0" distB="0" distL="0" distR="0" wp14:anchorId="6BE45490" wp14:editId="3E6070C2">
            <wp:extent cx="3657600" cy="877824"/>
            <wp:effectExtent l="0" t="0" r="0" b="0"/>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657600" cy="877824"/>
                    </a:xfrm>
                    <a:prstGeom prst="rect">
                      <a:avLst/>
                    </a:prstGeom>
                  </pic:spPr>
                </pic:pic>
              </a:graphicData>
            </a:graphic>
          </wp:inline>
        </w:drawing>
      </w:r>
    </w:p>
    <w:p w14:paraId="400B8C7F" w14:textId="77777777" w:rsidR="009E0C7D" w:rsidRPr="000665B0" w:rsidRDefault="009E0C7D" w:rsidP="009E0C7D">
      <w:pPr>
        <w:pStyle w:val="Number0205"/>
        <w:ind w:left="0" w:firstLine="0"/>
      </w:pPr>
      <w:r w:rsidRPr="000665B0">
        <w:t xml:space="preserve">The Pre-Strike Analysis will perform a few basic checks such as: Missile Inventory Feasibility, Subscriber ID, Missile Sequence Number, Missing Reservation Data, FRU Comms, Execution Timing, and Missing Option Data. </w:t>
      </w:r>
    </w:p>
    <w:p w14:paraId="1619B882" w14:textId="02667321" w:rsidR="005D1A26" w:rsidRPr="000665B0" w:rsidRDefault="005D1A26" w:rsidP="00E300C3">
      <w:r w:rsidRPr="000665B0">
        <w:t>If Rehearse is selected</w:t>
      </w:r>
      <w:r w:rsidR="003E66DE" w:rsidRPr="000665B0">
        <w:t>,</w:t>
      </w:r>
      <w:r w:rsidRPr="000665B0">
        <w:t xml:space="preserve"> all packages in the folder will be copied and their class changed to Rehearse. The folder is </w:t>
      </w:r>
      <w:r w:rsidR="0060713E" w:rsidRPr="000665B0">
        <w:t>copied,</w:t>
      </w:r>
      <w:r w:rsidRPr="000665B0">
        <w:t xml:space="preserve"> and its class will be Rehearse. This will allow the rehearsal copy of the Execution Folder to be modified in any way, without changing the original folder.</w:t>
      </w:r>
    </w:p>
    <w:p w14:paraId="73C81AEE" w14:textId="77777777" w:rsidR="00B40D5B" w:rsidRPr="000665B0" w:rsidRDefault="005B3651" w:rsidP="006E1D1B">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r w:rsidR="00B40D5B" w:rsidRPr="000665B0">
        <w:rPr>
          <w:b/>
        </w:rPr>
        <w:t>:</w:t>
      </w:r>
    </w:p>
    <w:p w14:paraId="5EBE1625" w14:textId="77777777" w:rsidR="00B40D5B" w:rsidRPr="000665B0" w:rsidRDefault="00B40D5B" w:rsidP="006E1D1B">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rehearsal copy of the strike option retains the same missile sequence numbers. If a rehearsal copy is sent to TTWCS multiple times the TTWCS system will reject the option with a “duplicate MSNO error</w:t>
      </w:r>
      <w:r w:rsidR="00F97449" w:rsidRPr="000665B0">
        <w:rPr>
          <w:b/>
        </w:rPr>
        <w:t>.</w:t>
      </w:r>
      <w:r w:rsidRPr="000665B0">
        <w:rPr>
          <w:b/>
        </w:rPr>
        <w:t>” The previous strike must be canceled so TTWCS will release the MSNOs.</w:t>
      </w:r>
    </w:p>
    <w:p w14:paraId="3D6462AE" w14:textId="77777777" w:rsidR="005D1A26" w:rsidRPr="000665B0" w:rsidRDefault="005D1A26" w:rsidP="00E300C3">
      <w:r w:rsidRPr="000665B0">
        <w:t>If Execute is selected</w:t>
      </w:r>
      <w:r w:rsidR="007C695E" w:rsidRPr="000665B0">
        <w:t>,</w:t>
      </w:r>
      <w:r w:rsidRPr="000665B0">
        <w:t xml:space="preserve"> then the folder’s packages are activated.</w:t>
      </w:r>
    </w:p>
    <w:p w14:paraId="4F2A93DD" w14:textId="77777777" w:rsidR="005D1A26" w:rsidRPr="000665B0" w:rsidRDefault="005D1A26" w:rsidP="009E0C7D">
      <w:r w:rsidRPr="000665B0">
        <w:t>When a folder is activated</w:t>
      </w:r>
      <w:r w:rsidR="00B54B8C" w:rsidRPr="000665B0">
        <w:t>,</w:t>
      </w:r>
      <w:r w:rsidRPr="000665B0">
        <w:t xml:space="preserve"> the SMD is displayed.</w:t>
      </w:r>
    </w:p>
    <w:p w14:paraId="2F775948" w14:textId="24B2A201" w:rsidR="009E0C7D" w:rsidRPr="000665B0" w:rsidRDefault="009A1FDF" w:rsidP="001F4B14">
      <w:pPr>
        <w:keepLines/>
        <w:pBdr>
          <w:top w:val="single" w:sz="12" w:space="1" w:color="auto"/>
          <w:left w:val="single" w:sz="12" w:space="4" w:color="auto"/>
          <w:bottom w:val="single" w:sz="12" w:space="1" w:color="auto"/>
          <w:right w:val="single" w:sz="12" w:space="4" w:color="auto"/>
        </w:pBdr>
        <w:shd w:val="clear" w:color="auto" w:fill="F3F3F3"/>
        <w:spacing w:after="0"/>
        <w:rPr>
          <w:rStyle w:val="bodycopy"/>
          <w:b/>
          <w:szCs w:val="24"/>
        </w:rPr>
      </w:pPr>
      <w:bookmarkStart w:id="6547" w:name="_5.38.4__Save"/>
      <w:bookmarkStart w:id="6548" w:name="_5.38.3.1__Strike"/>
      <w:bookmarkEnd w:id="6547"/>
      <w:bookmarkEnd w:id="6548"/>
      <w:r w:rsidRPr="000665B0">
        <w:rPr>
          <w:b/>
          <w:noProof/>
        </w:rPr>
        <w:lastRenderedPageBreak/>
        <w:drawing>
          <wp:inline distT="0" distB="0" distL="0" distR="0" wp14:anchorId="02FC5C1B" wp14:editId="05851530">
            <wp:extent cx="352425" cy="381000"/>
            <wp:effectExtent l="0" t="0" r="9525" b="0"/>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9E0C7D" w:rsidRPr="000665B0">
        <w:rPr>
          <w:b/>
        </w:rPr>
        <w:t>TIP: The Strike Execution Folder may contain Strike Options that are in the Option or Package state.</w:t>
      </w:r>
      <w:r w:rsidR="00F303DA" w:rsidRPr="000665B0">
        <w:rPr>
          <w:b/>
        </w:rPr>
        <w:t xml:space="preserve"> </w:t>
      </w:r>
      <w:r w:rsidR="009E0C7D" w:rsidRPr="000665B0">
        <w:rPr>
          <w:b/>
        </w:rPr>
        <w:t>When trying to rehearse or execute a Strike Execution Folder that contains Strike Options that are in the Option state, there may be missiles with duplicate MS#</w:t>
      </w:r>
      <w:r w:rsidR="00F6402E" w:rsidRPr="000665B0">
        <w:rPr>
          <w:b/>
        </w:rPr>
        <w:t>s</w:t>
      </w:r>
      <w:r w:rsidR="009E0C7D" w:rsidRPr="000665B0">
        <w:rPr>
          <w:b/>
        </w:rPr>
        <w:t>.</w:t>
      </w:r>
      <w:r w:rsidR="00F303DA" w:rsidRPr="000665B0">
        <w:rPr>
          <w:b/>
        </w:rPr>
        <w:t xml:space="preserve"> </w:t>
      </w:r>
      <w:r w:rsidR="009E0C7D" w:rsidRPr="000665B0">
        <w:rPr>
          <w:b/>
        </w:rPr>
        <w:t>Missiles with duplicate MS#</w:t>
      </w:r>
      <w:r w:rsidR="00F6402E" w:rsidRPr="000665B0">
        <w:rPr>
          <w:b/>
        </w:rPr>
        <w:t>s</w:t>
      </w:r>
      <w:r w:rsidR="009E0C7D" w:rsidRPr="000665B0">
        <w:rPr>
          <w:b/>
        </w:rPr>
        <w:t xml:space="preserve"> will be removed during the Pre-Strike Analysis of the Strike Execution Folder Activation.</w:t>
      </w:r>
      <w:r w:rsidR="00F303DA" w:rsidRPr="000665B0">
        <w:rPr>
          <w:b/>
        </w:rPr>
        <w:t xml:space="preserve"> </w:t>
      </w:r>
      <w:r w:rsidR="009E0C7D" w:rsidRPr="000665B0">
        <w:rPr>
          <w:b/>
        </w:rPr>
        <w:t>Missile assignments are given a temporary MS# when a Strike Option is in the Option state.</w:t>
      </w:r>
      <w:r w:rsidR="00F303DA" w:rsidRPr="000665B0">
        <w:rPr>
          <w:b/>
        </w:rPr>
        <w:t xml:space="preserve"> </w:t>
      </w:r>
      <w:r w:rsidR="009E0C7D" w:rsidRPr="000665B0">
        <w:rPr>
          <w:b/>
        </w:rPr>
        <w:t>But when a Strike Option is turned into a Package, the temporary MS#s are reassigned with unique MS#</w:t>
      </w:r>
      <w:r w:rsidR="00F6402E" w:rsidRPr="000665B0">
        <w:rPr>
          <w:b/>
        </w:rPr>
        <w:t>s</w:t>
      </w:r>
      <w:r w:rsidR="009E0C7D" w:rsidRPr="000665B0">
        <w:rPr>
          <w:b/>
        </w:rPr>
        <w:t>.</w:t>
      </w:r>
      <w:r w:rsidR="00F303DA" w:rsidRPr="000665B0">
        <w:rPr>
          <w:b/>
        </w:rPr>
        <w:t xml:space="preserve"> </w:t>
      </w:r>
      <w:r w:rsidR="009E0C7D" w:rsidRPr="000665B0">
        <w:rPr>
          <w:b/>
        </w:rPr>
        <w:t>To avoid having duplicate MS#</w:t>
      </w:r>
      <w:r w:rsidR="00F6402E" w:rsidRPr="000665B0">
        <w:rPr>
          <w:b/>
        </w:rPr>
        <w:t>s</w:t>
      </w:r>
      <w:r w:rsidR="009E0C7D" w:rsidRPr="000665B0">
        <w:rPr>
          <w:b/>
        </w:rPr>
        <w:t xml:space="preserve"> in an Execution, turn the Execution’s Strike Options into Strike Packages before Activating the Strike Execution Folder.</w:t>
      </w:r>
    </w:p>
    <w:p w14:paraId="10A8EA63" w14:textId="6637C885" w:rsidR="000A607E" w:rsidRPr="000665B0" w:rsidRDefault="000A607E" w:rsidP="00B35EE5">
      <w:pPr>
        <w:pStyle w:val="Heading4"/>
      </w:pPr>
      <w:bookmarkStart w:id="6549" w:name="_5.38.3.1__Strike_"/>
      <w:bookmarkStart w:id="6550" w:name="_5_.38.3.1_"/>
      <w:bookmarkStart w:id="6551" w:name="_Strike_Management_Display"/>
      <w:bookmarkStart w:id="6552" w:name="_Toc289328901"/>
      <w:bookmarkStart w:id="6553" w:name="_Hlk54269837"/>
      <w:bookmarkEnd w:id="6545"/>
      <w:bookmarkEnd w:id="6549"/>
      <w:bookmarkEnd w:id="6550"/>
      <w:bookmarkEnd w:id="6551"/>
      <w:r w:rsidRPr="000665B0">
        <w:t>Strike Management Display</w:t>
      </w:r>
      <w:bookmarkEnd w:id="6552"/>
    </w:p>
    <w:p w14:paraId="3B349987" w14:textId="5A68244D" w:rsidR="000A607E" w:rsidRPr="000665B0" w:rsidRDefault="000A607E" w:rsidP="000A607E">
      <w:r w:rsidRPr="000665B0">
        <w:t xml:space="preserve">The </w:t>
      </w:r>
      <w:r w:rsidRPr="000665B0">
        <w:rPr>
          <w:b/>
        </w:rPr>
        <w:t>SMD</w:t>
      </w:r>
      <w:r w:rsidRPr="000665B0">
        <w:t xml:space="preserve"> is the main command window during strike execution. From here, the operator can command missiles, view missile statuses, FRU statuses, targets statuses, initiate Pings, and receive TSN messages.</w:t>
      </w:r>
    </w:p>
    <w:p w14:paraId="6BF2A768" w14:textId="24D382BA" w:rsidR="000A607E" w:rsidRPr="000665B0" w:rsidRDefault="000A607E" w:rsidP="000A607E">
      <w:r w:rsidRPr="000665B0">
        <w:t>The SMD is a configurable collection of windows</w:t>
      </w:r>
      <w:r w:rsidR="00E8487F" w:rsidRPr="000665B0">
        <w:t xml:space="preserve"> contained with the larger SMD window</w:t>
      </w:r>
      <w:r w:rsidR="00030549" w:rsidRPr="000665B0">
        <w:t xml:space="preserve"> (see </w:t>
      </w:r>
      <w:hyperlink w:anchor="_Dockable_Windows" w:history="1">
        <w:r w:rsidR="00E036B6" w:rsidRPr="000665B0">
          <w:rPr>
            <w:rStyle w:val="Hyperlink"/>
          </w:rPr>
          <w:t xml:space="preserve">Section </w:t>
        </w:r>
        <w:r w:rsidR="004231CC">
          <w:rPr>
            <w:rStyle w:val="Hyperlink"/>
          </w:rPr>
          <w:t>5.35</w:t>
        </w:r>
        <w:r w:rsidR="00346105" w:rsidRPr="000665B0">
          <w:rPr>
            <w:rStyle w:val="Hyperlink"/>
          </w:rPr>
          <w:t>.14</w:t>
        </w:r>
      </w:hyperlink>
      <w:r w:rsidR="00346105" w:rsidRPr="000665B0">
        <w:t xml:space="preserve"> </w:t>
      </w:r>
      <w:r w:rsidR="00030549" w:rsidRPr="000665B0">
        <w:t>for information about configuring the appearance and layout of the windows within the SMD)</w:t>
      </w:r>
      <w:r w:rsidRPr="000665B0">
        <w:t xml:space="preserve">. Each window displays a specific aspect of the executing strike. </w:t>
      </w:r>
      <w:r w:rsidR="00E8487F" w:rsidRPr="000665B0">
        <w:t xml:space="preserve">From the SMD, main menu, select </w:t>
      </w:r>
      <w:r w:rsidR="00E8487F" w:rsidRPr="000665B0">
        <w:rPr>
          <w:b/>
        </w:rPr>
        <w:t xml:space="preserve">View </w:t>
      </w:r>
      <w:r w:rsidR="00E8487F" w:rsidRPr="000665B0">
        <w:sym w:font="Wingdings" w:char="F0E0"/>
      </w:r>
      <w:r w:rsidR="006C7E56" w:rsidRPr="000665B0">
        <w:t>:</w:t>
      </w:r>
    </w:p>
    <w:p w14:paraId="570D390A" w14:textId="134EF5FC" w:rsidR="000A607E" w:rsidRPr="000665B0" w:rsidRDefault="000A607E" w:rsidP="006D5A65">
      <w:pPr>
        <w:pStyle w:val="Heading1"/>
      </w:pPr>
      <w:r w:rsidRPr="000665B0">
        <w:t>Gantt – Gantt Chart</w:t>
      </w:r>
      <w:r w:rsidR="00030549" w:rsidRPr="000665B0">
        <w:t xml:space="preserve"> (see </w:t>
      </w:r>
      <w:hyperlink w:anchor="_Gantt_Chart" w:history="1">
        <w:r w:rsidR="00E036B6" w:rsidRPr="000665B0">
          <w:rPr>
            <w:rStyle w:val="Hyperlink"/>
          </w:rPr>
          <w:t xml:space="preserve">Section </w:t>
        </w:r>
        <w:r w:rsidR="004231CC">
          <w:rPr>
            <w:rStyle w:val="Hyperlink"/>
          </w:rPr>
          <w:t>5.35</w:t>
        </w:r>
        <w:r w:rsidR="00030549" w:rsidRPr="000665B0">
          <w:rPr>
            <w:rStyle w:val="Hyperlink"/>
          </w:rPr>
          <w:t>.3.1.1</w:t>
        </w:r>
      </w:hyperlink>
      <w:r w:rsidR="00030549" w:rsidRPr="000665B0">
        <w:t>)</w:t>
      </w:r>
      <w:r w:rsidRPr="000665B0">
        <w:t>.</w:t>
      </w:r>
    </w:p>
    <w:p w14:paraId="31522301" w14:textId="38AA32D4" w:rsidR="000A607E" w:rsidRPr="000665B0" w:rsidRDefault="00E8487F" w:rsidP="006D5A65">
      <w:pPr>
        <w:pStyle w:val="Heading1"/>
      </w:pPr>
      <w:r w:rsidRPr="000665B0">
        <w:t>Geo</w:t>
      </w:r>
      <w:r w:rsidR="006C7E56" w:rsidRPr="000665B0">
        <w:t xml:space="preserve"> </w:t>
      </w:r>
      <w:r w:rsidR="000A607E" w:rsidRPr="000665B0">
        <w:t>– Geographic Display</w:t>
      </w:r>
      <w:r w:rsidR="00AD4D62" w:rsidRPr="000665B0">
        <w:t xml:space="preserve"> and GOM</w:t>
      </w:r>
      <w:r w:rsidR="00030549" w:rsidRPr="000665B0">
        <w:t xml:space="preserve"> (see </w:t>
      </w:r>
      <w:hyperlink w:anchor="_Geo_Display_and" w:history="1">
        <w:r w:rsidR="00E036B6" w:rsidRPr="001425E2">
          <w:rPr>
            <w:rStyle w:val="Hyperlink"/>
          </w:rPr>
          <w:t xml:space="preserve">Section </w:t>
        </w:r>
        <w:r w:rsidR="004231CC">
          <w:rPr>
            <w:rStyle w:val="Hyperlink"/>
          </w:rPr>
          <w:t>5.35</w:t>
        </w:r>
        <w:r w:rsidR="00030549" w:rsidRPr="001425E2">
          <w:rPr>
            <w:rStyle w:val="Hyperlink"/>
          </w:rPr>
          <w:t>.3.1.2</w:t>
        </w:r>
      </w:hyperlink>
      <w:r w:rsidR="00030549" w:rsidRPr="000665B0">
        <w:t>).</w:t>
      </w:r>
    </w:p>
    <w:p w14:paraId="56C35E72" w14:textId="09460F0F" w:rsidR="00872F50" w:rsidRPr="000665B0" w:rsidRDefault="00872F50" w:rsidP="006D5A65">
      <w:pPr>
        <w:pStyle w:val="Heading1"/>
      </w:pPr>
      <w:r w:rsidRPr="000665B0">
        <w:t>MST Control Panel –</w:t>
      </w:r>
      <w:r w:rsidR="000F2C94" w:rsidRPr="000665B0">
        <w:t xml:space="preserve"> Identifies the target track and any tracks within the Farthest On Circle (FOC) whose classes match the Primary, Secondary and Tertiary target classes specified in the SEP. Also used to send commands and messages to MST missiles in a maritime strike</w:t>
      </w:r>
      <w:r w:rsidRPr="000665B0">
        <w:t xml:space="preserve"> (see </w:t>
      </w:r>
      <w:hyperlink w:anchor="_5.38.3.1.3__Events_2" w:history="1">
        <w:r w:rsidRPr="000665B0">
          <w:rPr>
            <w:rStyle w:val="Hyperlink"/>
          </w:rPr>
          <w:t xml:space="preserve">Section </w:t>
        </w:r>
        <w:r w:rsidR="004231CC">
          <w:rPr>
            <w:rStyle w:val="Hyperlink"/>
          </w:rPr>
          <w:t>5.35</w:t>
        </w:r>
        <w:r w:rsidRPr="000665B0">
          <w:rPr>
            <w:rStyle w:val="Hyperlink"/>
          </w:rPr>
          <w:t>.3.1.3</w:t>
        </w:r>
      </w:hyperlink>
      <w:r w:rsidRPr="000665B0">
        <w:t>).</w:t>
      </w:r>
    </w:p>
    <w:p w14:paraId="3715A632" w14:textId="58295795" w:rsidR="000A607E" w:rsidRPr="000665B0" w:rsidRDefault="000A607E" w:rsidP="006D5A65">
      <w:pPr>
        <w:pStyle w:val="Heading1"/>
      </w:pPr>
      <w:r w:rsidRPr="000665B0">
        <w:t xml:space="preserve">Events – Shows all events, in time-order, that </w:t>
      </w:r>
      <w:r w:rsidR="00744643" w:rsidRPr="000665B0">
        <w:t xml:space="preserve">have </w:t>
      </w:r>
      <w:r w:rsidRPr="000665B0">
        <w:t>occurred thus far</w:t>
      </w:r>
      <w:r w:rsidR="00030549" w:rsidRPr="000665B0">
        <w:t xml:space="preserve"> (see </w:t>
      </w:r>
      <w:hyperlink w:anchor="_Events_List_View_2" w:history="1">
        <w:r w:rsidR="00593DA3" w:rsidRPr="000665B0">
          <w:rPr>
            <w:rStyle w:val="Hyperlink"/>
          </w:rPr>
          <w:t xml:space="preserve">Section </w:t>
        </w:r>
        <w:r w:rsidR="004231CC">
          <w:rPr>
            <w:rStyle w:val="Hyperlink"/>
          </w:rPr>
          <w:t>5.35</w:t>
        </w:r>
        <w:r w:rsidR="00593DA3" w:rsidRPr="000665B0">
          <w:rPr>
            <w:rStyle w:val="Hyperlink"/>
          </w:rPr>
          <w:t>.3.1.4</w:t>
        </w:r>
      </w:hyperlink>
      <w:r w:rsidR="00030549" w:rsidRPr="000665B0">
        <w:t>)</w:t>
      </w:r>
      <w:r w:rsidRPr="000665B0">
        <w:t>.</w:t>
      </w:r>
    </w:p>
    <w:p w14:paraId="549594EB" w14:textId="5612A6DE" w:rsidR="000A607E" w:rsidRPr="000665B0" w:rsidRDefault="000A607E" w:rsidP="006D5A65">
      <w:pPr>
        <w:pStyle w:val="Heading1"/>
      </w:pPr>
      <w:r w:rsidRPr="000665B0">
        <w:t>TSN Messages – Shows all received and sent TSN Messages</w:t>
      </w:r>
      <w:r w:rsidR="00030549" w:rsidRPr="000665B0">
        <w:t xml:space="preserve"> (see </w:t>
      </w:r>
      <w:hyperlink w:anchor="_TSN_Messages_List" w:history="1">
        <w:r w:rsidR="00EE06DB" w:rsidRPr="000665B0">
          <w:rPr>
            <w:rStyle w:val="Hyperlink"/>
          </w:rPr>
          <w:t xml:space="preserve">Section </w:t>
        </w:r>
        <w:r w:rsidR="004231CC">
          <w:rPr>
            <w:rStyle w:val="Hyperlink"/>
          </w:rPr>
          <w:t>5.35</w:t>
        </w:r>
        <w:r w:rsidR="00EE06DB" w:rsidRPr="000665B0">
          <w:rPr>
            <w:rStyle w:val="Hyperlink"/>
          </w:rPr>
          <w:t>.3.1.5</w:t>
        </w:r>
      </w:hyperlink>
      <w:r w:rsidR="00030549" w:rsidRPr="000665B0">
        <w:t>)</w:t>
      </w:r>
      <w:r w:rsidRPr="000665B0">
        <w:t>.</w:t>
      </w:r>
    </w:p>
    <w:p w14:paraId="097EE386" w14:textId="09C86395" w:rsidR="000A607E" w:rsidRPr="000665B0" w:rsidRDefault="000A607E" w:rsidP="006D5A65">
      <w:pPr>
        <w:pStyle w:val="Heading1"/>
      </w:pPr>
      <w:r w:rsidRPr="000665B0">
        <w:t>Retarget Status – Shows all retarget requests and their statuses</w:t>
      </w:r>
      <w:r w:rsidR="00030549" w:rsidRPr="000665B0">
        <w:t xml:space="preserve"> (see </w:t>
      </w:r>
      <w:hyperlink w:anchor="_Retarget_Status_List" w:history="1">
        <w:r w:rsidR="001918F5" w:rsidRPr="000665B0">
          <w:rPr>
            <w:rStyle w:val="Hyperlink"/>
          </w:rPr>
          <w:t xml:space="preserve">Section </w:t>
        </w:r>
        <w:r w:rsidR="004231CC">
          <w:rPr>
            <w:rStyle w:val="Hyperlink"/>
          </w:rPr>
          <w:t>5.35</w:t>
        </w:r>
        <w:r w:rsidR="001918F5" w:rsidRPr="000665B0">
          <w:rPr>
            <w:rStyle w:val="Hyperlink"/>
          </w:rPr>
          <w:t>.3.1.6</w:t>
        </w:r>
      </w:hyperlink>
      <w:r w:rsidR="00030549" w:rsidRPr="000665B0">
        <w:t>)</w:t>
      </w:r>
      <w:r w:rsidRPr="000665B0">
        <w:t>.</w:t>
      </w:r>
    </w:p>
    <w:p w14:paraId="41069FC5" w14:textId="2562DCD9" w:rsidR="00E8487F" w:rsidRPr="000665B0" w:rsidRDefault="003C3142" w:rsidP="006D5A65">
      <w:pPr>
        <w:pStyle w:val="Heading1"/>
      </w:pPr>
      <w:r w:rsidRPr="000665B0">
        <w:t xml:space="preserve">TSN </w:t>
      </w:r>
      <w:r w:rsidR="00E8487F" w:rsidRPr="000665B0">
        <w:t xml:space="preserve">Ping – Shows all received and sent </w:t>
      </w:r>
      <w:r w:rsidR="00030549" w:rsidRPr="000665B0">
        <w:t xml:space="preserve">TSN </w:t>
      </w:r>
      <w:r w:rsidR="00E8487F" w:rsidRPr="000665B0">
        <w:t>pings</w:t>
      </w:r>
      <w:r w:rsidR="00030549" w:rsidRPr="000665B0">
        <w:t xml:space="preserve"> (see </w:t>
      </w:r>
      <w:hyperlink w:anchor="_TSN_Ping" w:history="1">
        <w:r w:rsidR="006752F4" w:rsidRPr="000665B0">
          <w:rPr>
            <w:rStyle w:val="Hyperlink"/>
          </w:rPr>
          <w:t xml:space="preserve">Section </w:t>
        </w:r>
        <w:r w:rsidR="004231CC">
          <w:rPr>
            <w:rStyle w:val="Hyperlink"/>
          </w:rPr>
          <w:t>5.35</w:t>
        </w:r>
        <w:r w:rsidR="006752F4" w:rsidRPr="000665B0">
          <w:rPr>
            <w:rStyle w:val="Hyperlink"/>
          </w:rPr>
          <w:t>.3.1.10</w:t>
        </w:r>
      </w:hyperlink>
      <w:r w:rsidR="00030549" w:rsidRPr="000665B0">
        <w:t>)</w:t>
      </w:r>
      <w:r w:rsidR="00E8487F" w:rsidRPr="000665B0">
        <w:t>.</w:t>
      </w:r>
    </w:p>
    <w:p w14:paraId="55A5D363" w14:textId="2BF1FB99" w:rsidR="000A607E" w:rsidRDefault="000A607E" w:rsidP="006D5A65">
      <w:pPr>
        <w:pStyle w:val="Heading1"/>
      </w:pPr>
      <w:r w:rsidRPr="000665B0">
        <w:t xml:space="preserve">Targets – </w:t>
      </w:r>
      <w:r w:rsidR="00EC64BA" w:rsidRPr="000665B0">
        <w:t>Shows all targets and missiles that go to that target. The Target window allows the operator to add new or existing targets, group the targets by</w:t>
      </w:r>
      <w:r w:rsidR="00B31D6F">
        <w:t xml:space="preserve"> </w:t>
      </w:r>
      <w:r w:rsidR="00B31D6F" w:rsidRPr="000665B0">
        <w:t>BE, JDPI, MST ID, TGT ID, TTN, or Target Number</w:t>
      </w:r>
      <w:r w:rsidR="00EC64BA" w:rsidRPr="000665B0">
        <w:t xml:space="preserve">. The missiles that are paired to the selected targets are listed in the lower pane and can be rerouted, displayed geographically and in an Excel spreadsheet, moved to a </w:t>
      </w:r>
      <w:r w:rsidR="00987E38" w:rsidRPr="000665B0">
        <w:t>pool, assigned</w:t>
      </w:r>
      <w:r w:rsidR="00EC64BA" w:rsidRPr="000665B0">
        <w:t xml:space="preserve"> as ghost, be selected for the creation of a new strike option, or assigned to new tasking and printed. Additionally, the launch time can be </w:t>
      </w:r>
      <w:r w:rsidR="00EC64BA" w:rsidRPr="000665B0">
        <w:lastRenderedPageBreak/>
        <w:t>edited and shifted.</w:t>
      </w:r>
      <w:r w:rsidR="00D75098">
        <w:t xml:space="preserve"> </w:t>
      </w:r>
      <w:r w:rsidR="00EC64BA" w:rsidRPr="000665B0">
        <w:t>The launch status of the missile can be edited</w:t>
      </w:r>
      <w:r w:rsidR="00030549" w:rsidRPr="000665B0">
        <w:t xml:space="preserve"> (see </w:t>
      </w:r>
      <w:hyperlink w:anchor="_Targets_1" w:history="1">
        <w:r w:rsidR="00985815" w:rsidRPr="000665B0">
          <w:rPr>
            <w:rStyle w:val="Hyperlink"/>
          </w:rPr>
          <w:t xml:space="preserve">Section </w:t>
        </w:r>
        <w:r w:rsidR="004231CC">
          <w:rPr>
            <w:rStyle w:val="Hyperlink"/>
          </w:rPr>
          <w:t>5.35</w:t>
        </w:r>
        <w:r w:rsidR="00985815" w:rsidRPr="000665B0">
          <w:rPr>
            <w:rStyle w:val="Hyperlink"/>
          </w:rPr>
          <w:t>.3.1.8</w:t>
        </w:r>
      </w:hyperlink>
      <w:r w:rsidR="00030549" w:rsidRPr="000665B0">
        <w:t>)</w:t>
      </w:r>
      <w:r w:rsidR="00EC64BA" w:rsidRPr="000665B0">
        <w:t>.</w:t>
      </w:r>
    </w:p>
    <w:p w14:paraId="3AD73511" w14:textId="33FA01A0" w:rsidR="00C6477C" w:rsidRPr="00BB4EBE" w:rsidRDefault="00C6477C"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bCs/>
        </w:rPr>
      </w:pPr>
      <w:r w:rsidRPr="00BB4EBE">
        <w:rPr>
          <w:b/>
          <w:bCs/>
          <w:szCs w:val="24"/>
        </w:rPr>
        <w:t>Note:</w:t>
      </w:r>
      <w:r>
        <w:rPr>
          <w:b/>
          <w:bCs/>
          <w:szCs w:val="24"/>
        </w:rPr>
        <w:br/>
      </w:r>
      <w:r w:rsidRPr="00BB4EBE">
        <w:rPr>
          <w:b/>
          <w:bCs/>
          <w:szCs w:val="24"/>
        </w:rPr>
        <w:t>In TMPC 7.0.3, 109M missiles cannot be rerouted, moved to a pool, assigned as ghost, be selected for the creation of a new strike option, or assigned to new tasking. Additionally, the launch status of the missile cannot be edited.</w:t>
      </w:r>
    </w:p>
    <w:p w14:paraId="55AB6C62" w14:textId="2F2D8A5C" w:rsidR="000A607E" w:rsidRPr="000665B0" w:rsidRDefault="000A607E" w:rsidP="006D5A65">
      <w:pPr>
        <w:pStyle w:val="Heading1"/>
      </w:pPr>
      <w:r w:rsidRPr="000665B0">
        <w:t xml:space="preserve">FRU Status – </w:t>
      </w:r>
      <w:r w:rsidR="00EC64BA" w:rsidRPr="000665B0">
        <w:t>Shows the status of all FRUs and their respective strike time from first to last launch time for the selected FRU. From here, the operator can edit a launch report, set the Use State of a FRU, shift the launch time for all the missiles assigned to a FRU and display a FRU textually, geographically, or its missile inventory. A selected FRU may be printed. Assigned missiles for the selected FRU in FRU Status can be viewed in the Missile Assignment tab. A list of actions that can be performed for each missile is displayed in the context menu of the selected missile</w:t>
      </w:r>
      <w:r w:rsidR="00030549" w:rsidRPr="000665B0">
        <w:t xml:space="preserve"> (see </w:t>
      </w:r>
      <w:hyperlink w:anchor="_FRU__Status" w:history="1">
        <w:r w:rsidR="0096111B" w:rsidRPr="000665B0">
          <w:rPr>
            <w:rStyle w:val="Hyperlink"/>
          </w:rPr>
          <w:t xml:space="preserve">Section </w:t>
        </w:r>
        <w:r w:rsidR="004231CC">
          <w:rPr>
            <w:rStyle w:val="Hyperlink"/>
          </w:rPr>
          <w:t>5.35</w:t>
        </w:r>
        <w:r w:rsidR="0096111B" w:rsidRPr="000665B0">
          <w:rPr>
            <w:rStyle w:val="Hyperlink"/>
          </w:rPr>
          <w:t>.3.1.9</w:t>
        </w:r>
      </w:hyperlink>
      <w:r w:rsidR="00030549" w:rsidRPr="000665B0">
        <w:t>)</w:t>
      </w:r>
      <w:r w:rsidR="00EC64BA" w:rsidRPr="000665B0">
        <w:t>.</w:t>
      </w:r>
    </w:p>
    <w:p w14:paraId="392822DB" w14:textId="77777777" w:rsidR="003C3142" w:rsidRPr="000665B0" w:rsidRDefault="003C3142" w:rsidP="006D5A65">
      <w:pPr>
        <w:pStyle w:val="Heading2"/>
      </w:pPr>
      <w:r w:rsidRPr="000665B0">
        <w:t xml:space="preserve">FRU Events – Sub-tab of </w:t>
      </w:r>
      <w:r w:rsidRPr="000665B0">
        <w:rPr>
          <w:i/>
        </w:rPr>
        <w:t>FRU Status</w:t>
      </w:r>
      <w:r w:rsidRPr="000665B0">
        <w:t xml:space="preserve"> tab.</w:t>
      </w:r>
    </w:p>
    <w:p w14:paraId="6351188F" w14:textId="3385F8CD" w:rsidR="003C3142" w:rsidRPr="000665B0" w:rsidRDefault="003C3142" w:rsidP="006D5A65">
      <w:pPr>
        <w:pStyle w:val="Heading2"/>
      </w:pPr>
      <w:r w:rsidRPr="000665B0">
        <w:t xml:space="preserve">Missile Assignments – Sub-tab of </w:t>
      </w:r>
      <w:r w:rsidRPr="000665B0">
        <w:rPr>
          <w:i/>
        </w:rPr>
        <w:t>FRU Status</w:t>
      </w:r>
      <w:r w:rsidRPr="000665B0">
        <w:t xml:space="preserve"> tab.</w:t>
      </w:r>
    </w:p>
    <w:p w14:paraId="366379A1" w14:textId="0817E753" w:rsidR="00030549" w:rsidRPr="000665B0" w:rsidRDefault="00030549" w:rsidP="006D5A65">
      <w:pPr>
        <w:pStyle w:val="Heading1"/>
      </w:pPr>
      <w:r w:rsidRPr="000665B0">
        <w:t xml:space="preserve">Options – Shows all options in the Execution Folder. The operator can set the Use State of an Option here (see </w:t>
      </w:r>
      <w:hyperlink w:anchor="_Options_List_View" w:history="1">
        <w:r w:rsidR="00A54F60" w:rsidRPr="000665B0">
          <w:rPr>
            <w:rStyle w:val="Hyperlink"/>
          </w:rPr>
          <w:t xml:space="preserve">Section </w:t>
        </w:r>
        <w:r w:rsidR="004231CC">
          <w:rPr>
            <w:rStyle w:val="Hyperlink"/>
          </w:rPr>
          <w:t>5.35</w:t>
        </w:r>
        <w:r w:rsidR="00A54F60" w:rsidRPr="000665B0">
          <w:rPr>
            <w:rStyle w:val="Hyperlink"/>
          </w:rPr>
          <w:t>.3.1.7</w:t>
        </w:r>
      </w:hyperlink>
      <w:r w:rsidRPr="000665B0">
        <w:t>).</w:t>
      </w:r>
    </w:p>
    <w:p w14:paraId="545D32C7" w14:textId="3DBE66C2" w:rsidR="003C3142" w:rsidRPr="000665B0" w:rsidRDefault="003C3142" w:rsidP="006D5A65">
      <w:pPr>
        <w:pStyle w:val="Heading2"/>
      </w:pPr>
      <w:r w:rsidRPr="000665B0">
        <w:t xml:space="preserve">Tasking Deviations – Sub-tab of </w:t>
      </w:r>
      <w:r w:rsidRPr="000665B0">
        <w:rPr>
          <w:i/>
        </w:rPr>
        <w:t>Options</w:t>
      </w:r>
      <w:r w:rsidRPr="000665B0">
        <w:t xml:space="preserve"> tab.</w:t>
      </w:r>
    </w:p>
    <w:p w14:paraId="505D34CF" w14:textId="3E68DFA5" w:rsidR="00801716" w:rsidRPr="000665B0" w:rsidRDefault="00801716" w:rsidP="006D5A65">
      <w:pPr>
        <w:pStyle w:val="Heading2"/>
      </w:pPr>
      <w:r w:rsidRPr="000665B0">
        <w:t xml:space="preserve">Filter Messages – Sub-tab of </w:t>
      </w:r>
      <w:r w:rsidRPr="000665B0">
        <w:rPr>
          <w:i/>
        </w:rPr>
        <w:t>Options</w:t>
      </w:r>
      <w:r w:rsidRPr="000665B0">
        <w:t xml:space="preserve"> tab.</w:t>
      </w:r>
    </w:p>
    <w:p w14:paraId="59D408D3" w14:textId="09494256" w:rsidR="00030549" w:rsidRPr="000665B0" w:rsidRDefault="00030549" w:rsidP="006D5A65">
      <w:pPr>
        <w:pStyle w:val="Heading1"/>
      </w:pPr>
      <w:r w:rsidRPr="000665B0">
        <w:t xml:space="preserve">Spotlighted Assignments – Shows </w:t>
      </w:r>
      <w:r w:rsidR="00CF59E1" w:rsidRPr="000665B0">
        <w:t xml:space="preserve">the current spotlighted item (if applicable) and </w:t>
      </w:r>
      <w:r w:rsidRPr="000665B0">
        <w:t xml:space="preserve">all previously spotlighted assignments (see </w:t>
      </w:r>
      <w:hyperlink w:anchor="_Spotlight" w:history="1">
        <w:r w:rsidR="00157B2F" w:rsidRPr="000665B0">
          <w:rPr>
            <w:rStyle w:val="Hyperlink"/>
          </w:rPr>
          <w:t xml:space="preserve">Section </w:t>
        </w:r>
        <w:r w:rsidR="004231CC">
          <w:rPr>
            <w:rStyle w:val="Hyperlink"/>
          </w:rPr>
          <w:t>5.35</w:t>
        </w:r>
        <w:r w:rsidR="00157B2F" w:rsidRPr="000665B0">
          <w:rPr>
            <w:rStyle w:val="Hyperlink"/>
          </w:rPr>
          <w:t>.3.1.11</w:t>
        </w:r>
      </w:hyperlink>
      <w:r w:rsidRPr="000665B0">
        <w:t>).</w:t>
      </w:r>
    </w:p>
    <w:p w14:paraId="2C69C943" w14:textId="1A3674BA" w:rsidR="000A607E" w:rsidRPr="000665B0" w:rsidRDefault="000A607E" w:rsidP="000A607E">
      <w:r w:rsidRPr="000665B0">
        <w:t xml:space="preserve">The </w:t>
      </w:r>
      <w:r w:rsidRPr="000665B0">
        <w:rPr>
          <w:i/>
        </w:rPr>
        <w:t>Gantt</w:t>
      </w:r>
      <w:r w:rsidRPr="000665B0">
        <w:t xml:space="preserve"> and </w:t>
      </w:r>
      <w:r w:rsidRPr="000665B0">
        <w:rPr>
          <w:i/>
        </w:rPr>
        <w:t>Geo</w:t>
      </w:r>
      <w:r w:rsidRPr="000665B0">
        <w:t xml:space="preserve"> </w:t>
      </w:r>
      <w:r w:rsidR="00E541D5" w:rsidRPr="000665B0">
        <w:t xml:space="preserve">(which includes the GOM) </w:t>
      </w:r>
      <w:r w:rsidRPr="000665B0">
        <w:t xml:space="preserve">are document windows. The rest are dockable windows. For a full description of document and dockable windows see </w:t>
      </w:r>
      <w:hyperlink w:anchor="_5.38.13__Dockable" w:history="1">
        <w:r w:rsidR="00E036B6" w:rsidRPr="000665B0">
          <w:rPr>
            <w:rStyle w:val="Hyperlink"/>
          </w:rPr>
          <w:t xml:space="preserve">Section </w:t>
        </w:r>
        <w:r w:rsidR="004231CC">
          <w:rPr>
            <w:rStyle w:val="Hyperlink"/>
          </w:rPr>
          <w:t>5.35</w:t>
        </w:r>
        <w:r w:rsidR="00346105" w:rsidRPr="000665B0">
          <w:rPr>
            <w:rStyle w:val="Hyperlink"/>
          </w:rPr>
          <w:t>.14</w:t>
        </w:r>
      </w:hyperlink>
      <w:r w:rsidR="00346105" w:rsidRPr="000665B0">
        <w:t xml:space="preserve"> </w:t>
      </w:r>
      <w:r w:rsidRPr="000665B0">
        <w:t xml:space="preserve">Dockable Windows. Each window can be turned on or off independently. The operator can configure the SMD to </w:t>
      </w:r>
      <w:r w:rsidR="00EF5462" w:rsidRPr="000665B0">
        <w:t>specific</w:t>
      </w:r>
      <w:r w:rsidRPr="000665B0">
        <w:t xml:space="preserve"> view preferences. These view preferences can be stored and recalled using profiles. For more information on Profiles see </w:t>
      </w:r>
      <w:hyperlink w:anchor="_5.38.13.5__Profiles" w:history="1">
        <w:r w:rsidR="00E036B6" w:rsidRPr="000665B0">
          <w:rPr>
            <w:rStyle w:val="Hyperlink"/>
          </w:rPr>
          <w:t xml:space="preserve">Section </w:t>
        </w:r>
        <w:r w:rsidR="004231CC">
          <w:rPr>
            <w:rStyle w:val="Hyperlink"/>
          </w:rPr>
          <w:t>5.35</w:t>
        </w:r>
        <w:r w:rsidRPr="000665B0">
          <w:rPr>
            <w:rStyle w:val="Hyperlink"/>
          </w:rPr>
          <w:t>.</w:t>
        </w:r>
        <w:r w:rsidR="00346105" w:rsidRPr="000665B0">
          <w:rPr>
            <w:rStyle w:val="Hyperlink"/>
          </w:rPr>
          <w:t>14</w:t>
        </w:r>
        <w:r w:rsidRPr="000665B0">
          <w:rPr>
            <w:rStyle w:val="Hyperlink"/>
          </w:rPr>
          <w:t>.5</w:t>
        </w:r>
      </w:hyperlink>
      <w:r w:rsidRPr="000665B0">
        <w:t>.</w:t>
      </w:r>
    </w:p>
    <w:p w14:paraId="715AEB20" w14:textId="5A2411B6" w:rsidR="00F97449" w:rsidRPr="000665B0" w:rsidRDefault="00F97449" w:rsidP="001F4B14">
      <w:r w:rsidRPr="000665B0">
        <w:t>This is a sample of the SMD. The main windows are the Gantt Chart</w:t>
      </w:r>
      <w:r w:rsidR="003C3142" w:rsidRPr="000665B0">
        <w:t xml:space="preserve"> </w:t>
      </w:r>
      <w:r w:rsidRPr="000665B0">
        <w:t xml:space="preserve">and the Geo Display. All the other windows are </w:t>
      </w:r>
      <w:r w:rsidR="002E1E7D" w:rsidRPr="000665B0">
        <w:t xml:space="preserve">dockable </w:t>
      </w:r>
      <w:r w:rsidRPr="000665B0">
        <w:t>windows</w:t>
      </w:r>
      <w:r w:rsidR="004A6038" w:rsidRPr="000665B0">
        <w:t xml:space="preserve">. Dockable windows can be enabled or disabled (see </w:t>
      </w:r>
      <w:hyperlink w:anchor="_Enable/Disable_Windows" w:history="1">
        <w:r w:rsidR="004A6038" w:rsidRPr="000665B0">
          <w:rPr>
            <w:rStyle w:val="Hyperlink"/>
          </w:rPr>
          <w:t xml:space="preserve">Section </w:t>
        </w:r>
        <w:r w:rsidR="004231CC">
          <w:rPr>
            <w:rStyle w:val="Hyperlink"/>
          </w:rPr>
          <w:t>5.35</w:t>
        </w:r>
        <w:r w:rsidR="004A6038" w:rsidRPr="000665B0">
          <w:rPr>
            <w:rStyle w:val="Hyperlink"/>
          </w:rPr>
          <w:t>.14.1</w:t>
        </w:r>
      </w:hyperlink>
      <w:r w:rsidR="004A6038" w:rsidRPr="000665B0">
        <w:t xml:space="preserve">), moved within the SMD (see </w:t>
      </w:r>
      <w:hyperlink w:anchor="_Floating_Windows" w:history="1">
        <w:r w:rsidR="004A6038" w:rsidRPr="000665B0">
          <w:rPr>
            <w:rStyle w:val="Hyperlink"/>
          </w:rPr>
          <w:t xml:space="preserve">Section </w:t>
        </w:r>
        <w:r w:rsidR="004231CC">
          <w:rPr>
            <w:rStyle w:val="Hyperlink"/>
          </w:rPr>
          <w:t>5.35</w:t>
        </w:r>
        <w:r w:rsidR="004A6038" w:rsidRPr="000665B0">
          <w:rPr>
            <w:rStyle w:val="Hyperlink"/>
          </w:rPr>
          <w:t>.14.1.1</w:t>
        </w:r>
      </w:hyperlink>
      <w:r w:rsidR="004A6038" w:rsidRPr="000665B0">
        <w:t>), and also re-sized within the SMD by clicking/dragging the outer edge of the window.</w:t>
      </w:r>
    </w:p>
    <w:p w14:paraId="4B30EFBE" w14:textId="2A06D50B" w:rsidR="00042379" w:rsidRPr="000665B0" w:rsidRDefault="00042379" w:rsidP="000A607E">
      <w:pPr>
        <w:jc w:val="center"/>
      </w:pPr>
      <w:r w:rsidRPr="000665B0">
        <w:rPr>
          <w:noProof/>
        </w:rPr>
        <w:lastRenderedPageBreak/>
        <w:drawing>
          <wp:inline distT="0" distB="0" distL="0" distR="0" wp14:anchorId="1C8AF5DC" wp14:editId="066B497B">
            <wp:extent cx="4983480" cy="3136392"/>
            <wp:effectExtent l="0" t="0" r="0"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4983480" cy="3136392"/>
                    </a:xfrm>
                    <a:prstGeom prst="rect">
                      <a:avLst/>
                    </a:prstGeom>
                    <a:noFill/>
                  </pic:spPr>
                </pic:pic>
              </a:graphicData>
            </a:graphic>
          </wp:inline>
        </w:drawing>
      </w:r>
    </w:p>
    <w:p w14:paraId="7EADAB08" w14:textId="5C007D3A" w:rsidR="00042379" w:rsidRPr="000665B0" w:rsidRDefault="00042379" w:rsidP="00640C82">
      <w:r w:rsidRPr="000665B0">
        <w:t xml:space="preserve">The </w:t>
      </w:r>
      <w:r w:rsidRPr="000665B0">
        <w:rPr>
          <w:i/>
        </w:rPr>
        <w:t>MST Control Panel</w:t>
      </w:r>
      <w:r w:rsidRPr="000665B0">
        <w:t xml:space="preserve"> window is populated only </w:t>
      </w:r>
      <w:r w:rsidR="00640C82" w:rsidRPr="000665B0">
        <w:t>for</w:t>
      </w:r>
      <w:r w:rsidRPr="000665B0">
        <w:t xml:space="preserve"> a maritime strike.</w:t>
      </w:r>
      <w:r w:rsidR="00DF231E">
        <w:t xml:space="preserve"> In the Toolbar, the # of MST strike(s) and Time to MST GHP (for all Targets) appears with a maritime strike.</w:t>
      </w:r>
    </w:p>
    <w:p w14:paraId="7DC4F36A" w14:textId="15F6DAAA" w:rsidR="00042379" w:rsidRPr="000665B0" w:rsidRDefault="00DF231E" w:rsidP="000A607E">
      <w:pPr>
        <w:jc w:val="center"/>
      </w:pPr>
      <w:r w:rsidRPr="00BF4CB3">
        <w:rPr>
          <w:noProof/>
        </w:rPr>
        <w:drawing>
          <wp:inline distT="0" distB="0" distL="0" distR="0" wp14:anchorId="281BB7C5" wp14:editId="26072A01">
            <wp:extent cx="4983480" cy="2679192"/>
            <wp:effectExtent l="0" t="0" r="0" b="0"/>
            <wp:docPr id="2164511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5119" name="Picture 1" descr="Graphical user interface, application&#10;&#10;Description automatically generated"/>
                    <pic:cNvPicPr/>
                  </pic:nvPicPr>
                  <pic:blipFill>
                    <a:blip/>
                    <a:stretch>
                      <a:fillRect/>
                    </a:stretch>
                  </pic:blipFill>
                  <pic:spPr>
                    <a:xfrm>
                      <a:off x="0" y="0"/>
                      <a:ext cx="4983480" cy="2679192"/>
                    </a:xfrm>
                    <a:prstGeom prst="rect">
                      <a:avLst/>
                    </a:prstGeom>
                  </pic:spPr>
                </pic:pic>
              </a:graphicData>
            </a:graphic>
          </wp:inline>
        </w:drawing>
      </w:r>
    </w:p>
    <w:p w14:paraId="06D55927" w14:textId="77777777" w:rsidR="000A607E" w:rsidRPr="000665B0" w:rsidRDefault="000A607E" w:rsidP="00A0163E">
      <w:pPr>
        <w:pStyle w:val="PlainText"/>
        <w:rPr>
          <w:rFonts w:ascii="Times New Roman" w:hAnsi="Times New Roman"/>
          <w:b/>
        </w:rPr>
      </w:pPr>
      <w:r w:rsidRPr="000665B0">
        <w:rPr>
          <w:rFonts w:ascii="Times New Roman" w:hAnsi="Times New Roman"/>
          <w:b/>
        </w:rPr>
        <w:t>Menu:</w:t>
      </w:r>
    </w:p>
    <w:p w14:paraId="41C9DEC5" w14:textId="77777777" w:rsidR="000A607E" w:rsidRPr="000665B0" w:rsidRDefault="000A607E" w:rsidP="006D5A65">
      <w:pPr>
        <w:pStyle w:val="Heading1"/>
      </w:pPr>
      <w:r w:rsidRPr="000665B0">
        <w:t>File</w:t>
      </w:r>
    </w:p>
    <w:p w14:paraId="78740ED8" w14:textId="6D29D2AC" w:rsidR="00EC64BA" w:rsidRPr="000665B0" w:rsidRDefault="000A607E" w:rsidP="006D5A65">
      <w:pPr>
        <w:pStyle w:val="Heading1"/>
      </w:pPr>
      <w:r w:rsidRPr="000665B0">
        <w:t xml:space="preserve">Close – </w:t>
      </w:r>
      <w:r w:rsidR="00EC64BA" w:rsidRPr="000665B0">
        <w:t xml:space="preserve">Closes the SMD. A window will appear to confirm the closing of SMD. Clicking Yes will close the SMD and stop the </w:t>
      </w:r>
      <w:r w:rsidR="00EC64BA" w:rsidRPr="000665B0">
        <w:lastRenderedPageBreak/>
        <w:t>execution in TED as well. Clicking No will close the SMD but the execution will continue in TED.</w:t>
      </w:r>
    </w:p>
    <w:p w14:paraId="176A6829" w14:textId="180481CD" w:rsidR="00EC64BA" w:rsidRPr="000665B0" w:rsidRDefault="003A25DD" w:rsidP="00EC64BA">
      <w:pPr>
        <w:spacing w:line="240" w:lineRule="auto"/>
        <w:jc w:val="center"/>
        <w:rPr>
          <w:bCs/>
          <w:szCs w:val="24"/>
        </w:rPr>
      </w:pPr>
      <w:r w:rsidRPr="000665B0">
        <w:rPr>
          <w:noProof/>
        </w:rPr>
        <w:drawing>
          <wp:inline distT="0" distB="0" distL="0" distR="0" wp14:anchorId="0E1BF0AE" wp14:editId="60BD75B5">
            <wp:extent cx="3200400" cy="1124712"/>
            <wp:effectExtent l="0" t="0" r="0" b="0"/>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124712"/>
                    </a:xfrm>
                    <a:prstGeom prst="rect">
                      <a:avLst/>
                    </a:prstGeom>
                  </pic:spPr>
                </pic:pic>
              </a:graphicData>
            </a:graphic>
          </wp:inline>
        </w:drawing>
      </w:r>
    </w:p>
    <w:p w14:paraId="682AB1C0" w14:textId="77777777" w:rsidR="000A607E" w:rsidRPr="000665B0" w:rsidRDefault="000A607E" w:rsidP="006D5A65">
      <w:pPr>
        <w:pStyle w:val="Heading1"/>
      </w:pPr>
      <w:r w:rsidRPr="000665B0">
        <w:lastRenderedPageBreak/>
        <w:t>View</w:t>
      </w:r>
    </w:p>
    <w:p w14:paraId="48F2102E" w14:textId="77777777" w:rsidR="000A607E" w:rsidRPr="000665B0" w:rsidRDefault="000A607E" w:rsidP="006D5A65">
      <w:pPr>
        <w:pStyle w:val="Heading1"/>
      </w:pPr>
      <w:r w:rsidRPr="000665B0">
        <w:t>Toolbar</w:t>
      </w:r>
      <w:r w:rsidR="00EC64BA" w:rsidRPr="000665B0">
        <w:t xml:space="preserve"> – When unchecked, the gap that displays the system time will be closed; therefore, the time will no longer be visible.</w:t>
      </w:r>
    </w:p>
    <w:p w14:paraId="0963911A" w14:textId="77777777" w:rsidR="000A607E" w:rsidRPr="000665B0" w:rsidRDefault="000A607E" w:rsidP="006D5A65">
      <w:pPr>
        <w:pStyle w:val="Heading1"/>
      </w:pPr>
      <w:r w:rsidRPr="000665B0">
        <w:t>Profiles</w:t>
      </w:r>
    </w:p>
    <w:p w14:paraId="4BC2447F" w14:textId="02572F07" w:rsidR="000A607E" w:rsidRPr="000665B0" w:rsidRDefault="000A607E" w:rsidP="006D5A65">
      <w:pPr>
        <w:pStyle w:val="Heading3"/>
      </w:pPr>
      <w:r w:rsidRPr="000665B0">
        <w:t xml:space="preserve">Save Profile – Saves the current </w:t>
      </w:r>
      <w:r w:rsidR="00875DD1" w:rsidRPr="000665B0">
        <w:t>profile</w:t>
      </w:r>
      <w:r w:rsidRPr="000665B0">
        <w:t xml:space="preserve"> using the current configuration</w:t>
      </w:r>
      <w:r w:rsidR="00825A96" w:rsidRPr="000665B0">
        <w:t xml:space="preserve"> (see </w:t>
      </w:r>
      <w:hyperlink w:anchor="_5.38.13.5.2__Save" w:history="1">
        <w:r w:rsidR="00E036B6" w:rsidRPr="000665B0">
          <w:rPr>
            <w:rStyle w:val="Hyperlink"/>
            <w:bCs/>
          </w:rPr>
          <w:t xml:space="preserve">Section </w:t>
        </w:r>
        <w:r w:rsidR="004231CC">
          <w:rPr>
            <w:rStyle w:val="Hyperlink"/>
            <w:bCs/>
          </w:rPr>
          <w:t>5.35</w:t>
        </w:r>
        <w:r w:rsidR="00825A96" w:rsidRPr="000665B0">
          <w:rPr>
            <w:rStyle w:val="Hyperlink"/>
          </w:rPr>
          <w:t>.</w:t>
        </w:r>
        <w:r w:rsidR="00346105" w:rsidRPr="000665B0">
          <w:rPr>
            <w:rStyle w:val="Hyperlink"/>
          </w:rPr>
          <w:t>14</w:t>
        </w:r>
        <w:r w:rsidR="00825A96" w:rsidRPr="000665B0">
          <w:rPr>
            <w:rStyle w:val="Hyperlink"/>
          </w:rPr>
          <w:t>.5.2</w:t>
        </w:r>
      </w:hyperlink>
      <w:r w:rsidR="00825A96" w:rsidRPr="000665B0">
        <w:t>)</w:t>
      </w:r>
      <w:r w:rsidRPr="000665B0">
        <w:t>.</w:t>
      </w:r>
    </w:p>
    <w:p w14:paraId="76CAA2DC" w14:textId="3C4C142B" w:rsidR="000A607E" w:rsidRPr="000665B0" w:rsidRDefault="000A607E" w:rsidP="006D5A65">
      <w:pPr>
        <w:pStyle w:val="Heading3"/>
      </w:pPr>
      <w:r w:rsidRPr="000665B0">
        <w:t xml:space="preserve">Save Profile As – Saves the current configuration as a new </w:t>
      </w:r>
      <w:r w:rsidR="00875DD1" w:rsidRPr="000665B0">
        <w:t xml:space="preserve">profile (see </w:t>
      </w:r>
      <w:hyperlink w:anchor="_5.38.13.5.1__Save" w:history="1">
        <w:r w:rsidR="00E036B6" w:rsidRPr="000665B0">
          <w:rPr>
            <w:rStyle w:val="Hyperlink"/>
            <w:bCs/>
          </w:rPr>
          <w:t xml:space="preserve">Section </w:t>
        </w:r>
        <w:r w:rsidR="004231CC">
          <w:rPr>
            <w:rStyle w:val="Hyperlink"/>
            <w:bCs/>
          </w:rPr>
          <w:t>5.35</w:t>
        </w:r>
        <w:r w:rsidR="00875DD1" w:rsidRPr="000665B0">
          <w:rPr>
            <w:rStyle w:val="Hyperlink"/>
          </w:rPr>
          <w:t>.</w:t>
        </w:r>
        <w:r w:rsidR="00346105" w:rsidRPr="000665B0">
          <w:rPr>
            <w:rStyle w:val="Hyperlink"/>
          </w:rPr>
          <w:t>14</w:t>
        </w:r>
        <w:r w:rsidR="00875DD1" w:rsidRPr="000665B0">
          <w:rPr>
            <w:rStyle w:val="Hyperlink"/>
          </w:rPr>
          <w:t>.5.1</w:t>
        </w:r>
      </w:hyperlink>
      <w:r w:rsidR="00875DD1" w:rsidRPr="000665B0">
        <w:t>)</w:t>
      </w:r>
      <w:r w:rsidRPr="000665B0">
        <w:t>.</w:t>
      </w:r>
    </w:p>
    <w:p w14:paraId="56D6D33F" w14:textId="3A52AF9A" w:rsidR="000A607E" w:rsidRPr="000665B0" w:rsidRDefault="000A607E" w:rsidP="006D5A65">
      <w:pPr>
        <w:pStyle w:val="Heading3"/>
        <w:rPr>
          <w:bCs/>
        </w:rPr>
      </w:pPr>
      <w:r w:rsidRPr="000665B0">
        <w:rPr>
          <w:bCs/>
        </w:rPr>
        <w:t xml:space="preserve">Remove Profile – Removes a saved </w:t>
      </w:r>
      <w:r w:rsidR="00875DD1" w:rsidRPr="000665B0">
        <w:t>profile</w:t>
      </w:r>
      <w:r w:rsidR="00875DD1" w:rsidRPr="000665B0">
        <w:rPr>
          <w:bCs/>
        </w:rPr>
        <w:t xml:space="preserve"> (see </w:t>
      </w:r>
      <w:hyperlink w:anchor="_5.38.12.5.3_Remove_a_Profile" w:history="1">
        <w:r w:rsidR="00E036B6" w:rsidRPr="000665B0">
          <w:rPr>
            <w:rStyle w:val="Hyperlink"/>
            <w:bCs/>
          </w:rPr>
          <w:t xml:space="preserve">Section </w:t>
        </w:r>
        <w:r w:rsidR="004231CC">
          <w:rPr>
            <w:rStyle w:val="Hyperlink"/>
            <w:bCs/>
          </w:rPr>
          <w:t>5.35</w:t>
        </w:r>
        <w:r w:rsidR="00875DD1" w:rsidRPr="000665B0">
          <w:rPr>
            <w:rStyle w:val="Hyperlink"/>
          </w:rPr>
          <w:t>.</w:t>
        </w:r>
        <w:r w:rsidR="00346105" w:rsidRPr="000665B0">
          <w:rPr>
            <w:rStyle w:val="Hyperlink"/>
          </w:rPr>
          <w:t>14</w:t>
        </w:r>
        <w:r w:rsidR="00875DD1" w:rsidRPr="000665B0">
          <w:rPr>
            <w:rStyle w:val="Hyperlink"/>
          </w:rPr>
          <w:t>.5.3</w:t>
        </w:r>
      </w:hyperlink>
      <w:r w:rsidR="00875DD1" w:rsidRPr="000665B0">
        <w:t>).</w:t>
      </w:r>
    </w:p>
    <w:p w14:paraId="0A730583" w14:textId="77777777" w:rsidR="00EC321E" w:rsidRPr="000665B0" w:rsidRDefault="00EC321E" w:rsidP="006D5A65">
      <w:pPr>
        <w:pStyle w:val="Heading3"/>
      </w:pPr>
      <w:r w:rsidRPr="000665B0">
        <w:t xml:space="preserve">Restore Defaults – Restores the default </w:t>
      </w:r>
      <w:r w:rsidR="00E03BEC" w:rsidRPr="000665B0">
        <w:t xml:space="preserve">of the </w:t>
      </w:r>
      <w:r w:rsidRPr="000665B0">
        <w:t>SMD configuration.</w:t>
      </w:r>
    </w:p>
    <w:p w14:paraId="79A71C19" w14:textId="77777777" w:rsidR="00EC321E" w:rsidRPr="000665B0" w:rsidRDefault="00EC321E" w:rsidP="006D5A65">
      <w:pPr>
        <w:pStyle w:val="Heading3"/>
      </w:pPr>
      <w:r w:rsidRPr="000665B0">
        <w:t>*Auto-Save* – The default “no profile” setting, in which any changes are automatically saved as the current configuration without prompting.</w:t>
      </w:r>
    </w:p>
    <w:p w14:paraId="1AEDDD0D" w14:textId="353C3CE8" w:rsidR="000A607E" w:rsidRPr="000665B0" w:rsidRDefault="000A607E" w:rsidP="006D5A65">
      <w:pPr>
        <w:pStyle w:val="Heading1"/>
        <w:rPr>
          <w:bCs/>
        </w:rPr>
      </w:pPr>
      <w:r w:rsidRPr="000665B0">
        <w:rPr>
          <w:bCs/>
        </w:rPr>
        <w:t xml:space="preserve">Gantt – </w:t>
      </w:r>
      <w:r w:rsidR="00F36DA6" w:rsidRPr="000665B0">
        <w:rPr>
          <w:bCs/>
        </w:rPr>
        <w:t>Show/hide</w:t>
      </w:r>
      <w:r w:rsidRPr="000665B0">
        <w:rPr>
          <w:bCs/>
        </w:rPr>
        <w:t xml:space="preserve"> the </w:t>
      </w:r>
      <w:r w:rsidR="00290F74" w:rsidRPr="000665B0">
        <w:t>Gantt Chart</w:t>
      </w:r>
      <w:r w:rsidR="00290F74" w:rsidRPr="000665B0">
        <w:rPr>
          <w:bCs/>
        </w:rPr>
        <w:t xml:space="preserve"> (see </w:t>
      </w:r>
      <w:hyperlink w:anchor="_5_.38.3.1.1_" w:history="1">
        <w:r w:rsidR="00E036B6" w:rsidRPr="000665B0">
          <w:rPr>
            <w:rStyle w:val="Hyperlink"/>
            <w:bCs/>
          </w:rPr>
          <w:t xml:space="preserve">Section </w:t>
        </w:r>
        <w:r w:rsidR="004231CC">
          <w:rPr>
            <w:rStyle w:val="Hyperlink"/>
            <w:bCs/>
          </w:rPr>
          <w:t>5.35</w:t>
        </w:r>
        <w:r w:rsidR="00290F74" w:rsidRPr="000665B0">
          <w:rPr>
            <w:rStyle w:val="Hyperlink"/>
          </w:rPr>
          <w:t>.3.1.1</w:t>
        </w:r>
      </w:hyperlink>
      <w:r w:rsidR="00290F74" w:rsidRPr="000665B0">
        <w:t>).</w:t>
      </w:r>
    </w:p>
    <w:p w14:paraId="3245F9D7" w14:textId="12D6B68D" w:rsidR="000A607E" w:rsidRPr="000665B0" w:rsidRDefault="000A607E" w:rsidP="006D5A65">
      <w:pPr>
        <w:pStyle w:val="Heading1"/>
        <w:rPr>
          <w:bCs/>
        </w:rPr>
      </w:pPr>
      <w:r w:rsidRPr="000665B0">
        <w:rPr>
          <w:bCs/>
        </w:rPr>
        <w:t xml:space="preserve">Geo – </w:t>
      </w:r>
      <w:r w:rsidR="00F36DA6" w:rsidRPr="000665B0">
        <w:rPr>
          <w:bCs/>
        </w:rPr>
        <w:t xml:space="preserve">Show/hide </w:t>
      </w:r>
      <w:r w:rsidRPr="000665B0">
        <w:rPr>
          <w:bCs/>
        </w:rPr>
        <w:t xml:space="preserve">the </w:t>
      </w:r>
      <w:r w:rsidR="00290F74" w:rsidRPr="000665B0">
        <w:t>Geo Display</w:t>
      </w:r>
      <w:r w:rsidR="00290F74" w:rsidRPr="000665B0">
        <w:rPr>
          <w:bCs/>
        </w:rPr>
        <w:t xml:space="preserve"> (see </w:t>
      </w:r>
      <w:hyperlink w:anchor="_Geo_Display_and" w:history="1">
        <w:r w:rsidR="00E036B6" w:rsidRPr="000665B0">
          <w:rPr>
            <w:rStyle w:val="Hyperlink"/>
            <w:bCs/>
          </w:rPr>
          <w:t xml:space="preserve">Section </w:t>
        </w:r>
        <w:r w:rsidR="004231CC">
          <w:rPr>
            <w:rStyle w:val="Hyperlink"/>
            <w:bCs/>
          </w:rPr>
          <w:t>5.35</w:t>
        </w:r>
        <w:r w:rsidR="00290F74" w:rsidRPr="000665B0">
          <w:rPr>
            <w:rStyle w:val="Hyperlink"/>
          </w:rPr>
          <w:t>.3.1.2</w:t>
        </w:r>
      </w:hyperlink>
      <w:r w:rsidR="00290F74" w:rsidRPr="000665B0">
        <w:t>).</w:t>
      </w:r>
    </w:p>
    <w:p w14:paraId="0C130604" w14:textId="183DC7C6" w:rsidR="00161150" w:rsidRPr="000665B0" w:rsidRDefault="00161150" w:rsidP="006D5A65">
      <w:pPr>
        <w:pStyle w:val="Heading1"/>
        <w:rPr>
          <w:bCs/>
        </w:rPr>
      </w:pPr>
      <w:r w:rsidRPr="000665B0">
        <w:t xml:space="preserve">MST Control Panel – Show/hide the </w:t>
      </w:r>
      <w:r w:rsidRPr="000665B0">
        <w:rPr>
          <w:i/>
        </w:rPr>
        <w:t>MST Control Panel</w:t>
      </w:r>
      <w:r w:rsidRPr="000665B0">
        <w:t xml:space="preserve"> window (see </w:t>
      </w:r>
      <w:hyperlink w:anchor="_5.38.3.1.3__Events_2" w:history="1">
        <w:r w:rsidRPr="000665B0">
          <w:rPr>
            <w:rStyle w:val="Hyperlink"/>
          </w:rPr>
          <w:t xml:space="preserve">Section </w:t>
        </w:r>
        <w:r w:rsidR="004231CC">
          <w:rPr>
            <w:rStyle w:val="Hyperlink"/>
          </w:rPr>
          <w:t>5.35</w:t>
        </w:r>
        <w:r w:rsidRPr="000665B0">
          <w:rPr>
            <w:rStyle w:val="Hyperlink"/>
          </w:rPr>
          <w:t>.3.1.3</w:t>
        </w:r>
      </w:hyperlink>
      <w:r w:rsidRPr="000665B0">
        <w:t>).</w:t>
      </w:r>
    </w:p>
    <w:p w14:paraId="418E76D6" w14:textId="64CA1E21" w:rsidR="000A607E" w:rsidRPr="000665B0" w:rsidRDefault="000A607E" w:rsidP="006D5A65">
      <w:pPr>
        <w:pStyle w:val="Heading1"/>
        <w:rPr>
          <w:bCs/>
        </w:rPr>
      </w:pPr>
      <w:r w:rsidRPr="000665B0">
        <w:rPr>
          <w:bCs/>
        </w:rPr>
        <w:t xml:space="preserve">Events – </w:t>
      </w:r>
      <w:r w:rsidR="00F36DA6" w:rsidRPr="000665B0">
        <w:rPr>
          <w:bCs/>
        </w:rPr>
        <w:t xml:space="preserve">Show/hide </w:t>
      </w:r>
      <w:r w:rsidRPr="000665B0">
        <w:rPr>
          <w:bCs/>
        </w:rPr>
        <w:t xml:space="preserve">the </w:t>
      </w:r>
      <w:r w:rsidR="00290F74" w:rsidRPr="000665B0">
        <w:rPr>
          <w:i/>
        </w:rPr>
        <w:t>Events</w:t>
      </w:r>
      <w:r w:rsidRPr="000665B0">
        <w:rPr>
          <w:bCs/>
        </w:rPr>
        <w:t xml:space="preserve"> window</w:t>
      </w:r>
      <w:r w:rsidR="00290F74" w:rsidRPr="000665B0">
        <w:rPr>
          <w:bCs/>
        </w:rPr>
        <w:t xml:space="preserve"> (see </w:t>
      </w:r>
      <w:hyperlink w:anchor="_Events_List_View_2" w:history="1">
        <w:r w:rsidR="00593DA3" w:rsidRPr="000665B0">
          <w:rPr>
            <w:rStyle w:val="Hyperlink"/>
          </w:rPr>
          <w:t xml:space="preserve">Section </w:t>
        </w:r>
        <w:r w:rsidR="004231CC">
          <w:rPr>
            <w:rStyle w:val="Hyperlink"/>
          </w:rPr>
          <w:t>5.35</w:t>
        </w:r>
        <w:r w:rsidR="00593DA3" w:rsidRPr="000665B0">
          <w:rPr>
            <w:rStyle w:val="Hyperlink"/>
          </w:rPr>
          <w:t>.3.1.4</w:t>
        </w:r>
      </w:hyperlink>
      <w:r w:rsidR="00290F74" w:rsidRPr="000665B0">
        <w:t>).</w:t>
      </w:r>
    </w:p>
    <w:p w14:paraId="1171BF65" w14:textId="519FC38F" w:rsidR="000A607E" w:rsidRPr="000665B0" w:rsidRDefault="000A607E" w:rsidP="006D5A65">
      <w:pPr>
        <w:pStyle w:val="Heading1"/>
      </w:pPr>
      <w:r w:rsidRPr="000665B0">
        <w:t xml:space="preserve">TSN Messages – </w:t>
      </w:r>
      <w:r w:rsidR="00F36DA6" w:rsidRPr="000665B0">
        <w:t xml:space="preserve">Show/hide </w:t>
      </w:r>
      <w:r w:rsidRPr="000665B0">
        <w:t xml:space="preserve">the </w:t>
      </w:r>
      <w:r w:rsidR="001359DA" w:rsidRPr="000665B0">
        <w:rPr>
          <w:i/>
        </w:rPr>
        <w:t>TSN Messages</w:t>
      </w:r>
      <w:r w:rsidRPr="000665B0">
        <w:t xml:space="preserve"> window</w:t>
      </w:r>
      <w:r w:rsidR="00290F74" w:rsidRPr="000665B0">
        <w:t xml:space="preserve"> (see </w:t>
      </w:r>
      <w:hyperlink w:anchor="_5.38.3.1.4__TSN" w:history="1">
        <w:r w:rsidR="00EE06DB" w:rsidRPr="000665B0">
          <w:rPr>
            <w:rStyle w:val="Hyperlink"/>
            <w:bCs/>
          </w:rPr>
          <w:t xml:space="preserve">Section </w:t>
        </w:r>
        <w:r w:rsidR="004231CC">
          <w:rPr>
            <w:rStyle w:val="Hyperlink"/>
            <w:bCs/>
          </w:rPr>
          <w:t>5.35</w:t>
        </w:r>
        <w:r w:rsidR="00EE06DB" w:rsidRPr="000665B0">
          <w:rPr>
            <w:rStyle w:val="Hyperlink"/>
            <w:bCs/>
          </w:rPr>
          <w:t>.3.1.5</w:t>
        </w:r>
      </w:hyperlink>
      <w:r w:rsidR="001359DA" w:rsidRPr="000665B0">
        <w:t>)</w:t>
      </w:r>
      <w:r w:rsidRPr="000665B0">
        <w:t>.</w:t>
      </w:r>
    </w:p>
    <w:p w14:paraId="53C83C63" w14:textId="12E0A4F2" w:rsidR="000A607E" w:rsidRPr="000665B0" w:rsidRDefault="000A607E" w:rsidP="006D5A65">
      <w:pPr>
        <w:pStyle w:val="Heading1"/>
        <w:rPr>
          <w:bCs/>
        </w:rPr>
      </w:pPr>
      <w:r w:rsidRPr="000665B0">
        <w:rPr>
          <w:bCs/>
        </w:rPr>
        <w:t xml:space="preserve">Targets – </w:t>
      </w:r>
      <w:r w:rsidR="00F36DA6" w:rsidRPr="000665B0">
        <w:rPr>
          <w:bCs/>
        </w:rPr>
        <w:t xml:space="preserve">Show/hide </w:t>
      </w:r>
      <w:r w:rsidRPr="000665B0">
        <w:rPr>
          <w:bCs/>
        </w:rPr>
        <w:t xml:space="preserve">the </w:t>
      </w:r>
      <w:r w:rsidR="001359DA" w:rsidRPr="000665B0">
        <w:rPr>
          <w:i/>
        </w:rPr>
        <w:t>Target</w:t>
      </w:r>
      <w:r w:rsidRPr="000665B0">
        <w:rPr>
          <w:bCs/>
        </w:rPr>
        <w:t xml:space="preserve"> window</w:t>
      </w:r>
      <w:r w:rsidR="001359DA" w:rsidRPr="000665B0">
        <w:rPr>
          <w:bCs/>
        </w:rPr>
        <w:t xml:space="preserve"> (see </w:t>
      </w:r>
      <w:hyperlink w:anchor="_Targets_1" w:history="1">
        <w:r w:rsidR="00985815" w:rsidRPr="000665B0">
          <w:rPr>
            <w:rStyle w:val="Hyperlink"/>
          </w:rPr>
          <w:t xml:space="preserve">Section </w:t>
        </w:r>
        <w:r w:rsidR="004231CC">
          <w:rPr>
            <w:rStyle w:val="Hyperlink"/>
          </w:rPr>
          <w:t>5.35</w:t>
        </w:r>
        <w:r w:rsidR="00985815" w:rsidRPr="000665B0">
          <w:rPr>
            <w:rStyle w:val="Hyperlink"/>
          </w:rPr>
          <w:t>.3.1.8</w:t>
        </w:r>
      </w:hyperlink>
      <w:r w:rsidR="001359DA" w:rsidRPr="000665B0">
        <w:t>)</w:t>
      </w:r>
      <w:r w:rsidRPr="000665B0">
        <w:rPr>
          <w:bCs/>
        </w:rPr>
        <w:t>.</w:t>
      </w:r>
    </w:p>
    <w:p w14:paraId="43C192BB" w14:textId="4B23690C" w:rsidR="000A607E" w:rsidRPr="000665B0" w:rsidRDefault="000A607E" w:rsidP="006D5A65">
      <w:pPr>
        <w:pStyle w:val="Heading1"/>
      </w:pPr>
      <w:r w:rsidRPr="000665B0">
        <w:t xml:space="preserve">FRU Status – </w:t>
      </w:r>
      <w:r w:rsidR="00F36DA6" w:rsidRPr="000665B0">
        <w:t xml:space="preserve">Show/hide </w:t>
      </w:r>
      <w:r w:rsidRPr="000665B0">
        <w:t xml:space="preserve">the </w:t>
      </w:r>
      <w:r w:rsidR="001359DA" w:rsidRPr="000665B0">
        <w:rPr>
          <w:i/>
        </w:rPr>
        <w:t>FRU</w:t>
      </w:r>
      <w:r w:rsidR="001359DA" w:rsidRPr="000665B0">
        <w:t xml:space="preserve"> </w:t>
      </w:r>
      <w:r w:rsidR="001359DA" w:rsidRPr="000665B0">
        <w:rPr>
          <w:i/>
        </w:rPr>
        <w:t>Status</w:t>
      </w:r>
      <w:r w:rsidRPr="000665B0">
        <w:t xml:space="preserve"> window</w:t>
      </w:r>
      <w:r w:rsidR="001359DA" w:rsidRPr="000665B0">
        <w:t xml:space="preserve"> (see </w:t>
      </w:r>
      <w:hyperlink w:anchor="_5.38.3.1.8__FRU" w:history="1">
        <w:r w:rsidR="0096111B" w:rsidRPr="000665B0">
          <w:rPr>
            <w:rStyle w:val="Hyperlink"/>
            <w:bCs/>
          </w:rPr>
          <w:t xml:space="preserve">Section </w:t>
        </w:r>
        <w:r w:rsidR="004231CC">
          <w:rPr>
            <w:rStyle w:val="Hyperlink"/>
            <w:bCs/>
          </w:rPr>
          <w:t>5.35</w:t>
        </w:r>
        <w:r w:rsidR="0096111B" w:rsidRPr="000665B0">
          <w:rPr>
            <w:rStyle w:val="Hyperlink"/>
            <w:bCs/>
          </w:rPr>
          <w:t>.3.1.9</w:t>
        </w:r>
      </w:hyperlink>
      <w:r w:rsidR="001359DA" w:rsidRPr="000665B0">
        <w:t>)</w:t>
      </w:r>
      <w:r w:rsidRPr="000665B0">
        <w:t>.</w:t>
      </w:r>
    </w:p>
    <w:p w14:paraId="7426F7EE" w14:textId="17152CED" w:rsidR="000A607E" w:rsidRPr="000665B0" w:rsidRDefault="000A607E" w:rsidP="006D5A65">
      <w:pPr>
        <w:pStyle w:val="Heading1"/>
      </w:pPr>
      <w:r w:rsidRPr="000665B0">
        <w:t xml:space="preserve">Options – </w:t>
      </w:r>
      <w:r w:rsidR="00F36DA6" w:rsidRPr="000665B0">
        <w:t xml:space="preserve">Show/hide </w:t>
      </w:r>
      <w:r w:rsidRPr="000665B0">
        <w:t xml:space="preserve">the </w:t>
      </w:r>
      <w:r w:rsidR="001359DA" w:rsidRPr="000665B0">
        <w:rPr>
          <w:i/>
        </w:rPr>
        <w:t>Options</w:t>
      </w:r>
      <w:r w:rsidRPr="000665B0">
        <w:t xml:space="preserve"> window</w:t>
      </w:r>
      <w:r w:rsidR="001359DA" w:rsidRPr="000665B0">
        <w:t xml:space="preserve"> (see </w:t>
      </w:r>
      <w:hyperlink w:anchor="_5.38.3.1.6__Options" w:history="1">
        <w:r w:rsidR="00A54F60" w:rsidRPr="000665B0">
          <w:rPr>
            <w:rStyle w:val="Hyperlink"/>
            <w:bCs/>
          </w:rPr>
          <w:t xml:space="preserve">Section </w:t>
        </w:r>
        <w:r w:rsidR="004231CC">
          <w:rPr>
            <w:rStyle w:val="Hyperlink"/>
            <w:bCs/>
          </w:rPr>
          <w:t>5.35</w:t>
        </w:r>
        <w:r w:rsidR="00A54F60" w:rsidRPr="000665B0">
          <w:rPr>
            <w:rStyle w:val="Hyperlink"/>
            <w:bCs/>
          </w:rPr>
          <w:t>.3.1.7</w:t>
        </w:r>
      </w:hyperlink>
      <w:r w:rsidR="001359DA" w:rsidRPr="000665B0">
        <w:t>)</w:t>
      </w:r>
      <w:r w:rsidRPr="000665B0">
        <w:t>.</w:t>
      </w:r>
    </w:p>
    <w:p w14:paraId="16026A29" w14:textId="39931893" w:rsidR="000A607E" w:rsidRPr="000665B0" w:rsidRDefault="000A607E" w:rsidP="006D5A65">
      <w:pPr>
        <w:pStyle w:val="Heading1"/>
      </w:pPr>
      <w:r w:rsidRPr="000665B0">
        <w:t>Retarget</w:t>
      </w:r>
      <w:r w:rsidR="006C7E56" w:rsidRPr="000665B0">
        <w:t xml:space="preserve"> Status</w:t>
      </w:r>
      <w:r w:rsidRPr="000665B0">
        <w:t xml:space="preserve"> – </w:t>
      </w:r>
      <w:r w:rsidR="00F36DA6" w:rsidRPr="000665B0">
        <w:t xml:space="preserve">Show/hide </w:t>
      </w:r>
      <w:r w:rsidRPr="000665B0">
        <w:t xml:space="preserve">the </w:t>
      </w:r>
      <w:r w:rsidR="001359DA" w:rsidRPr="000665B0">
        <w:rPr>
          <w:i/>
        </w:rPr>
        <w:t>Retarget</w:t>
      </w:r>
      <w:r w:rsidRPr="000665B0">
        <w:t xml:space="preserve"> window</w:t>
      </w:r>
      <w:r w:rsidR="001359DA" w:rsidRPr="000665B0">
        <w:t xml:space="preserve"> (see </w:t>
      </w:r>
      <w:hyperlink w:anchor="_5.38.3.1.5__Retarget" w:history="1">
        <w:r w:rsidR="001918F5" w:rsidRPr="000665B0">
          <w:rPr>
            <w:rStyle w:val="Hyperlink"/>
            <w:bCs/>
          </w:rPr>
          <w:t xml:space="preserve">Section </w:t>
        </w:r>
        <w:r w:rsidR="004231CC">
          <w:rPr>
            <w:rStyle w:val="Hyperlink"/>
            <w:bCs/>
          </w:rPr>
          <w:t>5.35</w:t>
        </w:r>
        <w:r w:rsidR="001918F5" w:rsidRPr="000665B0">
          <w:rPr>
            <w:rStyle w:val="Hyperlink"/>
            <w:bCs/>
          </w:rPr>
          <w:t>.3.1.6</w:t>
        </w:r>
      </w:hyperlink>
      <w:r w:rsidR="001359DA" w:rsidRPr="000665B0">
        <w:t>)</w:t>
      </w:r>
      <w:r w:rsidRPr="000665B0">
        <w:t>.</w:t>
      </w:r>
    </w:p>
    <w:p w14:paraId="75AF74BE" w14:textId="57F9413B" w:rsidR="000A607E" w:rsidRPr="000665B0" w:rsidRDefault="000A607E" w:rsidP="006D5A65">
      <w:pPr>
        <w:pStyle w:val="Heading1"/>
      </w:pPr>
      <w:r w:rsidRPr="000665B0">
        <w:t xml:space="preserve">Ping – </w:t>
      </w:r>
      <w:r w:rsidR="00F36DA6" w:rsidRPr="000665B0">
        <w:t xml:space="preserve">Show/hide </w:t>
      </w:r>
      <w:r w:rsidRPr="000665B0">
        <w:t xml:space="preserve">the </w:t>
      </w:r>
      <w:r w:rsidR="001359DA" w:rsidRPr="000665B0">
        <w:rPr>
          <w:i/>
        </w:rPr>
        <w:t>TSN Ping</w:t>
      </w:r>
      <w:r w:rsidRPr="000665B0">
        <w:t xml:space="preserve"> window</w:t>
      </w:r>
      <w:r w:rsidR="001359DA" w:rsidRPr="000665B0">
        <w:t xml:space="preserve"> (see </w:t>
      </w:r>
      <w:hyperlink w:anchor="_5.38.3.1.9__TSN" w:history="1">
        <w:r w:rsidR="006752F4" w:rsidRPr="000665B0">
          <w:rPr>
            <w:rStyle w:val="Hyperlink"/>
            <w:bCs/>
          </w:rPr>
          <w:t xml:space="preserve">Section </w:t>
        </w:r>
        <w:r w:rsidR="004231CC">
          <w:rPr>
            <w:rStyle w:val="Hyperlink"/>
            <w:bCs/>
          </w:rPr>
          <w:t>5.35</w:t>
        </w:r>
        <w:r w:rsidR="006752F4" w:rsidRPr="000665B0">
          <w:rPr>
            <w:rStyle w:val="Hyperlink"/>
            <w:bCs/>
          </w:rPr>
          <w:t>.3.1.10</w:t>
        </w:r>
      </w:hyperlink>
      <w:r w:rsidR="001359DA" w:rsidRPr="000665B0">
        <w:t>)</w:t>
      </w:r>
      <w:r w:rsidRPr="000665B0">
        <w:t>.</w:t>
      </w:r>
    </w:p>
    <w:p w14:paraId="27325A3E" w14:textId="42B5D0AB" w:rsidR="006C7E56" w:rsidRPr="000665B0" w:rsidRDefault="006C7E56" w:rsidP="006D5A65">
      <w:pPr>
        <w:pStyle w:val="Heading1"/>
      </w:pPr>
      <w:r w:rsidRPr="000665B0">
        <w:t xml:space="preserve">Spotlighted Assignments – </w:t>
      </w:r>
      <w:r w:rsidR="00F36DA6" w:rsidRPr="000665B0">
        <w:t xml:space="preserve">Show/hide </w:t>
      </w:r>
      <w:r w:rsidRPr="000665B0">
        <w:t xml:space="preserve">the </w:t>
      </w:r>
      <w:r w:rsidRPr="000665B0">
        <w:rPr>
          <w:i/>
        </w:rPr>
        <w:t>Spotlighted Assignments</w:t>
      </w:r>
      <w:r w:rsidRPr="000665B0">
        <w:t xml:space="preserve"> window (see </w:t>
      </w:r>
      <w:hyperlink w:anchor="_Spotlighted__Assignments" w:history="1">
        <w:r w:rsidR="00157B2F" w:rsidRPr="000665B0">
          <w:rPr>
            <w:rStyle w:val="Hyperlink"/>
          </w:rPr>
          <w:t xml:space="preserve">Section </w:t>
        </w:r>
        <w:r w:rsidR="004231CC">
          <w:rPr>
            <w:rStyle w:val="Hyperlink"/>
          </w:rPr>
          <w:t>5.35</w:t>
        </w:r>
        <w:r w:rsidR="00157B2F" w:rsidRPr="000665B0">
          <w:rPr>
            <w:rStyle w:val="Hyperlink"/>
          </w:rPr>
          <w:t>.3.1.11</w:t>
        </w:r>
      </w:hyperlink>
      <w:r w:rsidRPr="000665B0">
        <w:t>)</w:t>
      </w:r>
      <w:r w:rsidR="00DC41C4" w:rsidRPr="000665B0">
        <w:t>.</w:t>
      </w:r>
    </w:p>
    <w:p w14:paraId="671E92A9" w14:textId="77777777" w:rsidR="000A607E" w:rsidRPr="000665B0" w:rsidRDefault="000A607E" w:rsidP="006D5A65">
      <w:pPr>
        <w:pStyle w:val="Heading1"/>
      </w:pPr>
      <w:r w:rsidRPr="000665B0">
        <w:t>Gantt (only available if Gantt Chart is shown)</w:t>
      </w:r>
    </w:p>
    <w:p w14:paraId="1AED3E21" w14:textId="77777777" w:rsidR="000A607E" w:rsidRPr="000665B0" w:rsidRDefault="000A607E" w:rsidP="006D5A65">
      <w:pPr>
        <w:pStyle w:val="Heading1"/>
      </w:pPr>
      <w:r w:rsidRPr="000665B0">
        <w:t xml:space="preserve">Zoom In – Expand the network and </w:t>
      </w:r>
      <w:r w:rsidR="001E3B29" w:rsidRPr="000665B0">
        <w:t>Gantt</w:t>
      </w:r>
      <w:r w:rsidRPr="000665B0">
        <w:t xml:space="preserve"> chart. Can also use F2 keystroke.</w:t>
      </w:r>
    </w:p>
    <w:p w14:paraId="1A753E93" w14:textId="77777777" w:rsidR="000A607E" w:rsidRPr="000665B0" w:rsidRDefault="000A607E" w:rsidP="006D5A65">
      <w:pPr>
        <w:pStyle w:val="Heading1"/>
      </w:pPr>
      <w:r w:rsidRPr="000665B0">
        <w:t xml:space="preserve">Zoom Out – Shrink the network and </w:t>
      </w:r>
      <w:r w:rsidR="001E3B29" w:rsidRPr="000665B0">
        <w:t>Gantt</w:t>
      </w:r>
      <w:r w:rsidRPr="000665B0">
        <w:t xml:space="preserve"> chart. Can also use F3 keystroke.</w:t>
      </w:r>
    </w:p>
    <w:p w14:paraId="1EEE44ED" w14:textId="5AED7672" w:rsidR="000A607E" w:rsidRPr="000665B0" w:rsidRDefault="000A607E" w:rsidP="006D5A65">
      <w:pPr>
        <w:pStyle w:val="Heading1"/>
      </w:pPr>
      <w:r w:rsidRPr="000665B0">
        <w:t>Network Panel – Show/</w:t>
      </w:r>
      <w:r w:rsidR="00F36DA6" w:rsidRPr="000665B0">
        <w:t xml:space="preserve">hide </w:t>
      </w:r>
      <w:r w:rsidRPr="000665B0">
        <w:t>the Gantt Network Panel</w:t>
      </w:r>
      <w:r w:rsidR="00E03BEC" w:rsidRPr="000665B0">
        <w:t xml:space="preserve"> which provides message traffic capacity information through icons and coloring</w:t>
      </w:r>
      <w:r w:rsidRPr="000665B0">
        <w:t>.</w:t>
      </w:r>
    </w:p>
    <w:p w14:paraId="35D7026D" w14:textId="62E5D977" w:rsidR="000A607E" w:rsidRPr="000665B0" w:rsidRDefault="000A607E" w:rsidP="006D5A65">
      <w:pPr>
        <w:pStyle w:val="Heading1"/>
      </w:pPr>
      <w:r w:rsidRPr="000665B0">
        <w:t>Gantt Toolbar – Show/</w:t>
      </w:r>
      <w:r w:rsidR="00F36DA6" w:rsidRPr="000665B0">
        <w:t xml:space="preserve">hide </w:t>
      </w:r>
      <w:r w:rsidRPr="000665B0">
        <w:t>the Gantt toolbar</w:t>
      </w:r>
      <w:r w:rsidR="00E03BEC" w:rsidRPr="000665B0">
        <w:t xml:space="preserve"> which provides zooming, grouping, and ordering capabilities</w:t>
      </w:r>
      <w:r w:rsidRPr="000665B0">
        <w:t>.</w:t>
      </w:r>
    </w:p>
    <w:p w14:paraId="1484F0A2" w14:textId="77777777" w:rsidR="000A607E" w:rsidRPr="000665B0" w:rsidRDefault="000A607E" w:rsidP="006D5A65">
      <w:pPr>
        <w:pStyle w:val="Heading1"/>
      </w:pPr>
      <w:r w:rsidRPr="000665B0">
        <w:t>BLK III Missiles – Makes BLK III missiles visible or hidden. BLK III missiles cannot send Health and Status messages.</w:t>
      </w:r>
    </w:p>
    <w:p w14:paraId="7081AD86" w14:textId="76A703D7" w:rsidR="0084259D" w:rsidRDefault="004C34C6" w:rsidP="006D5A65">
      <w:pPr>
        <w:pStyle w:val="Heading1"/>
      </w:pPr>
      <w:r w:rsidRPr="000665B0">
        <w:lastRenderedPageBreak/>
        <w:t>109E</w:t>
      </w:r>
      <w:r w:rsidR="00C6477C">
        <w:t>/M</w:t>
      </w:r>
      <w:r w:rsidR="000A607E" w:rsidRPr="000665B0">
        <w:t xml:space="preserve"> Missiles with Comms Disabled – Makes </w:t>
      </w:r>
      <w:r w:rsidRPr="000665B0">
        <w:t>109E</w:t>
      </w:r>
      <w:r w:rsidR="00C6477C">
        <w:t>/M</w:t>
      </w:r>
      <w:r w:rsidR="000A607E" w:rsidRPr="000665B0">
        <w:t xml:space="preserve"> missiles with Comms disabled visible or hidden. </w:t>
      </w:r>
      <w:r w:rsidRPr="000665B0">
        <w:t>109E</w:t>
      </w:r>
      <w:r w:rsidR="00C6477C">
        <w:t>/M</w:t>
      </w:r>
      <w:r w:rsidR="000A607E" w:rsidRPr="000665B0">
        <w:t xml:space="preserve"> missiles with Comms disabled cannot send Health and Status messages.</w:t>
      </w:r>
    </w:p>
    <w:p w14:paraId="1F9ADC78" w14:textId="77777777" w:rsidR="0084259D" w:rsidRDefault="008B78AA" w:rsidP="006D5A65">
      <w:pPr>
        <w:pStyle w:val="Heading1"/>
      </w:pPr>
      <w:r w:rsidRPr="00333045">
        <w:t>Ghost Tasking – Makes Ghost Tasking visible or hidden</w:t>
      </w:r>
      <w:r w:rsidR="00C00600" w:rsidRPr="00333045">
        <w:t>.</w:t>
      </w:r>
    </w:p>
    <w:p w14:paraId="477F3B51" w14:textId="7159DDB2" w:rsidR="000A607E" w:rsidRPr="007E0ED5" w:rsidRDefault="000A607E" w:rsidP="006D5A65">
      <w:pPr>
        <w:pStyle w:val="Heading1"/>
      </w:pPr>
      <w:r w:rsidRPr="00C00600">
        <w:t>Commitments – Make platform and missile controller commitments visible or hidden.</w:t>
      </w:r>
    </w:p>
    <w:p w14:paraId="77135E40" w14:textId="77777777" w:rsidR="000A607E" w:rsidRPr="000665B0" w:rsidRDefault="000A607E" w:rsidP="006D5A65">
      <w:pPr>
        <w:pStyle w:val="Heading1"/>
      </w:pPr>
      <w:r w:rsidRPr="000665B0">
        <w:t>Notes – Make notes visible or hidden.</w:t>
      </w:r>
    </w:p>
    <w:p w14:paraId="3D13B68F" w14:textId="04F9D2AE" w:rsidR="000A607E" w:rsidRPr="000665B0" w:rsidRDefault="000A607E" w:rsidP="006D5A65">
      <w:pPr>
        <w:pStyle w:val="Heading1"/>
      </w:pPr>
      <w:r w:rsidRPr="000665B0">
        <w:t>Action</w:t>
      </w:r>
      <w:r w:rsidR="006C7E56" w:rsidRPr="000665B0">
        <w:t>p</w:t>
      </w:r>
      <w:r w:rsidRPr="000665B0">
        <w:t>oints – Makes route action</w:t>
      </w:r>
      <w:r w:rsidR="00290F74" w:rsidRPr="000665B0">
        <w:t xml:space="preserve"> </w:t>
      </w:r>
      <w:r w:rsidRPr="000665B0">
        <w:t>points visible or hidden.</w:t>
      </w:r>
    </w:p>
    <w:p w14:paraId="384F68C9" w14:textId="77777777" w:rsidR="000A607E" w:rsidRPr="000665B0" w:rsidRDefault="000A607E" w:rsidP="006D5A65">
      <w:pPr>
        <w:pStyle w:val="Heading1"/>
      </w:pPr>
      <w:r w:rsidRPr="000665B0">
        <w:t>Waypoints – Makes route waypoints visible or hidden.</w:t>
      </w:r>
    </w:p>
    <w:p w14:paraId="5973C2E1" w14:textId="77777777" w:rsidR="000A607E" w:rsidRPr="000665B0" w:rsidRDefault="000A607E" w:rsidP="006D5A65">
      <w:pPr>
        <w:pStyle w:val="Heading1"/>
      </w:pPr>
      <w:r w:rsidRPr="000665B0">
        <w:t>Flex</w:t>
      </w:r>
      <w:r w:rsidR="009E0C7D" w:rsidRPr="000665B0">
        <w:t xml:space="preserve"> P</w:t>
      </w:r>
      <w:r w:rsidRPr="000665B0">
        <w:t>oints – Makes route flex</w:t>
      </w:r>
      <w:r w:rsidR="00290F74" w:rsidRPr="000665B0">
        <w:t xml:space="preserve"> </w:t>
      </w:r>
      <w:r w:rsidRPr="000665B0">
        <w:t>points visible or hidden.</w:t>
      </w:r>
    </w:p>
    <w:p w14:paraId="4908261A" w14:textId="1261FD57" w:rsidR="00E4212F" w:rsidRDefault="00E4212F" w:rsidP="006D5A65">
      <w:pPr>
        <w:pStyle w:val="Heading1"/>
      </w:pPr>
      <w:r w:rsidRPr="000665B0">
        <w:t>Feet Dry – Makes feet dry locations visible or hidden.</w:t>
      </w:r>
    </w:p>
    <w:p w14:paraId="4FEDFCC4" w14:textId="77777777" w:rsidR="00107A3F" w:rsidRDefault="00107A3F" w:rsidP="006D5A65">
      <w:pPr>
        <w:pStyle w:val="Heading1"/>
      </w:pPr>
      <w:r>
        <w:t>Missile Redirectability – Makes earliest and latest redirectability times visible or hidden.</w:t>
      </w:r>
    </w:p>
    <w:p w14:paraId="7806C125" w14:textId="77777777" w:rsidR="00107A3F" w:rsidRDefault="00107A3F" w:rsidP="006D5A65">
      <w:pPr>
        <w:pStyle w:val="Heading1"/>
      </w:pPr>
      <w:r w:rsidRPr="004C6AEB">
        <w:t>MST IMMMs</w:t>
      </w:r>
      <w:r>
        <w:t xml:space="preserve"> – Makes MST IMMMs visible or hidden.</w:t>
      </w:r>
    </w:p>
    <w:p w14:paraId="5440AB07" w14:textId="761D3BF2" w:rsidR="00107A3F" w:rsidRPr="00107A3F" w:rsidRDefault="00107A3F" w:rsidP="006D5A65">
      <w:pPr>
        <w:pStyle w:val="Heading1"/>
      </w:pPr>
      <w:r w:rsidRPr="00107A3F">
        <w:t>Expected Maritime TSN Messages – Makes expected MST TSN messages visible or hidden.</w:t>
      </w:r>
    </w:p>
    <w:p w14:paraId="58AA90A8" w14:textId="77777777" w:rsidR="000A607E" w:rsidRPr="000665B0" w:rsidRDefault="000A607E" w:rsidP="006D5A65">
      <w:pPr>
        <w:pStyle w:val="Heading1"/>
      </w:pPr>
      <w:r w:rsidRPr="000665B0">
        <w:t>Group, Order, Filter... – Opens the TSN Display preferences dialog.</w:t>
      </w:r>
    </w:p>
    <w:p w14:paraId="227C5560" w14:textId="7988F300" w:rsidR="000A607E" w:rsidRPr="000665B0" w:rsidRDefault="000A607E" w:rsidP="006D5A65">
      <w:pPr>
        <w:pStyle w:val="Heading1"/>
      </w:pPr>
      <w:r w:rsidRPr="000665B0">
        <w:t xml:space="preserve">Gantt Missile ID Order... – Opens the Gantt Missile Identifier Properties dialog (See </w:t>
      </w:r>
      <w:hyperlink w:anchor="_5.38.3.1.1.2.1__Gantt_2" w:history="1">
        <w:r w:rsidR="00E036B6" w:rsidRPr="000665B0">
          <w:rPr>
            <w:rStyle w:val="Hyperlink"/>
            <w:bCs/>
          </w:rPr>
          <w:t xml:space="preserve">Section </w:t>
        </w:r>
        <w:r w:rsidR="004231CC">
          <w:rPr>
            <w:rStyle w:val="Hyperlink"/>
            <w:bCs/>
          </w:rPr>
          <w:t>5.35</w:t>
        </w:r>
        <w:r w:rsidRPr="000665B0">
          <w:rPr>
            <w:rStyle w:val="Hyperlink"/>
            <w:bCs/>
          </w:rPr>
          <w:t>.3.1.1.2.1</w:t>
        </w:r>
      </w:hyperlink>
      <w:r w:rsidRPr="000665B0">
        <w:t>).</w:t>
      </w:r>
    </w:p>
    <w:p w14:paraId="16E3FD46" w14:textId="77777777" w:rsidR="000A607E" w:rsidRPr="000665B0" w:rsidRDefault="000A607E" w:rsidP="006D5A65">
      <w:pPr>
        <w:pStyle w:val="Heading1"/>
      </w:pPr>
      <w:r w:rsidRPr="000665B0">
        <w:t>Auto Scroll – Enable Gantt Chart Auto Scroll.</w:t>
      </w:r>
    </w:p>
    <w:p w14:paraId="43781F27" w14:textId="77777777" w:rsidR="000A607E" w:rsidRPr="000665B0" w:rsidRDefault="000A607E" w:rsidP="006D5A65">
      <w:pPr>
        <w:pStyle w:val="Heading1"/>
      </w:pPr>
      <w:r w:rsidRPr="000665B0">
        <w:t>Geo (only available if Geo Display is shown)</w:t>
      </w:r>
    </w:p>
    <w:p w14:paraId="724FE1E6" w14:textId="7F1410FC" w:rsidR="000A607E" w:rsidRPr="000665B0" w:rsidRDefault="000A607E" w:rsidP="006D5A65">
      <w:pPr>
        <w:pStyle w:val="Heading1"/>
      </w:pPr>
      <w:r w:rsidRPr="000665B0">
        <w:t>Zoom In – Zoom In.</w:t>
      </w:r>
    </w:p>
    <w:p w14:paraId="7D9A2060" w14:textId="3FDC8118" w:rsidR="000A607E" w:rsidRPr="000665B0" w:rsidRDefault="000A607E" w:rsidP="006D5A65">
      <w:pPr>
        <w:pStyle w:val="Heading1"/>
      </w:pPr>
      <w:r w:rsidRPr="000665B0">
        <w:t>Zoom Out – Zoom Out.</w:t>
      </w:r>
    </w:p>
    <w:p w14:paraId="1CD8EB67" w14:textId="77777777" w:rsidR="000A607E" w:rsidRPr="000665B0" w:rsidRDefault="000A607E" w:rsidP="006D5A65">
      <w:pPr>
        <w:pStyle w:val="Heading1"/>
      </w:pPr>
      <w:r w:rsidRPr="000665B0">
        <w:t xml:space="preserve">Lock Geo – Lock/unlock zoom and re-centering on the Geo Display at the current position so that new Geo Object being added to the display would not move the Geo. </w:t>
      </w:r>
    </w:p>
    <w:p w14:paraId="48CB90E1" w14:textId="77777777" w:rsidR="000A607E" w:rsidRPr="000665B0" w:rsidRDefault="000A607E" w:rsidP="006D5A65">
      <w:pPr>
        <w:pStyle w:val="Heading1"/>
      </w:pPr>
      <w:r w:rsidRPr="000665B0">
        <w:t>Range and Bearing – Activate the Range and Bearing tool.</w:t>
      </w:r>
    </w:p>
    <w:p w14:paraId="4481E600" w14:textId="26D49335" w:rsidR="00E03BEC" w:rsidRPr="000665B0" w:rsidRDefault="00E03BEC" w:rsidP="006D5A65">
      <w:pPr>
        <w:pStyle w:val="Heading1"/>
      </w:pPr>
      <w:r w:rsidRPr="000665B0">
        <w:t>Hide All Labels – Show/</w:t>
      </w:r>
      <w:r w:rsidR="00F36DA6" w:rsidRPr="000665B0">
        <w:t xml:space="preserve">hide </w:t>
      </w:r>
      <w:r w:rsidRPr="000665B0">
        <w:t>the display of labels on the Geo Display.</w:t>
      </w:r>
    </w:p>
    <w:p w14:paraId="466154CF" w14:textId="44201E16" w:rsidR="00E03BEC" w:rsidRPr="000665B0" w:rsidRDefault="00E03BEC" w:rsidP="006D5A65">
      <w:pPr>
        <w:pStyle w:val="Heading1"/>
      </w:pPr>
      <w:r w:rsidRPr="000665B0">
        <w:t>Close All Note Window</w:t>
      </w:r>
      <w:r w:rsidR="006C7E56" w:rsidRPr="000665B0">
        <w:t>s</w:t>
      </w:r>
      <w:r w:rsidRPr="000665B0">
        <w:t xml:space="preserve"> – Show/</w:t>
      </w:r>
      <w:r w:rsidR="00F36DA6" w:rsidRPr="000665B0">
        <w:t xml:space="preserve">hide </w:t>
      </w:r>
      <w:r w:rsidRPr="000665B0">
        <w:t>the display of notes window on the Geo Display.</w:t>
      </w:r>
    </w:p>
    <w:p w14:paraId="1EFF55A1" w14:textId="1F2F16EC" w:rsidR="000A607E" w:rsidRPr="000665B0" w:rsidRDefault="000A607E" w:rsidP="006D5A65">
      <w:pPr>
        <w:pStyle w:val="Heading1"/>
      </w:pPr>
      <w:r w:rsidRPr="000665B0">
        <w:t>Display Geo Object Manager – Show/</w:t>
      </w:r>
      <w:r w:rsidR="00F36DA6" w:rsidRPr="000665B0">
        <w:t xml:space="preserve">hide </w:t>
      </w:r>
      <w:r w:rsidRPr="000665B0">
        <w:t>the Geo Object Manager.</w:t>
      </w:r>
    </w:p>
    <w:p w14:paraId="4484BF74" w14:textId="6C8F28E8" w:rsidR="000A607E" w:rsidRPr="000665B0" w:rsidRDefault="000A607E" w:rsidP="006D5A65">
      <w:pPr>
        <w:pStyle w:val="Heading1"/>
      </w:pPr>
      <w:r w:rsidRPr="000665B0">
        <w:t>Display Digital Maps – Show/</w:t>
      </w:r>
      <w:r w:rsidR="00F36DA6" w:rsidRPr="000665B0">
        <w:t xml:space="preserve">hide </w:t>
      </w:r>
      <w:r w:rsidRPr="000665B0">
        <w:t>digital maps.</w:t>
      </w:r>
    </w:p>
    <w:p w14:paraId="02308457" w14:textId="7B25FB85" w:rsidR="00DB4790" w:rsidRPr="000665B0" w:rsidRDefault="00DB4790" w:rsidP="006D5A65">
      <w:pPr>
        <w:pStyle w:val="Heading1"/>
        <w:rPr>
          <w:bCs/>
        </w:rPr>
      </w:pPr>
      <w:r w:rsidRPr="000665B0">
        <w:rPr>
          <w:bCs/>
        </w:rPr>
        <w:t xml:space="preserve">Show </w:t>
      </w:r>
      <w:r w:rsidR="00001501">
        <w:rPr>
          <w:bCs/>
        </w:rPr>
        <w:t xml:space="preserve">Filtered </w:t>
      </w:r>
      <w:r w:rsidRPr="000665B0">
        <w:rPr>
          <w:bCs/>
        </w:rPr>
        <w:t xml:space="preserve">Tracks – </w:t>
      </w:r>
      <w:r w:rsidRPr="000665B0">
        <w:t>Show/</w:t>
      </w:r>
      <w:r w:rsidR="00F36DA6" w:rsidRPr="000665B0">
        <w:t xml:space="preserve">hide </w:t>
      </w:r>
      <w:r w:rsidRPr="000665B0">
        <w:t>tracks on the Geo Display, and Tracks of Interest on the GOM.</w:t>
      </w:r>
    </w:p>
    <w:p w14:paraId="4F44EE9B" w14:textId="32791F1A" w:rsidR="00DB4790" w:rsidRPr="000665B0" w:rsidRDefault="00DB4790" w:rsidP="006D5A65">
      <w:pPr>
        <w:pStyle w:val="Heading1"/>
        <w:rPr>
          <w:bCs/>
        </w:rPr>
      </w:pPr>
      <w:r w:rsidRPr="000665B0">
        <w:rPr>
          <w:bCs/>
        </w:rPr>
        <w:t>Filter Displayed Tracks – F</w:t>
      </w:r>
      <w:r w:rsidRPr="000665B0">
        <w:t xml:space="preserve">ilter settings to narrow the criteria of which tracks are displayed. See </w:t>
      </w:r>
      <w:hyperlink w:anchor="_Filter__Displayed_1" w:history="1">
        <w:r w:rsidRPr="000665B0">
          <w:rPr>
            <w:rStyle w:val="Hyperlink"/>
          </w:rPr>
          <w:t xml:space="preserve">Section </w:t>
        </w:r>
        <w:r w:rsidR="004231CC">
          <w:rPr>
            <w:rStyle w:val="Hyperlink"/>
          </w:rPr>
          <w:t>5.32</w:t>
        </w:r>
        <w:r w:rsidRPr="000665B0">
          <w:rPr>
            <w:rStyle w:val="Hyperlink"/>
          </w:rPr>
          <w:t>.</w:t>
        </w:r>
        <w:r w:rsidR="00F44F6B">
          <w:rPr>
            <w:rStyle w:val="Hyperlink"/>
          </w:rPr>
          <w:t>1</w:t>
        </w:r>
      </w:hyperlink>
      <w:r w:rsidRPr="000665B0">
        <w:t>.</w:t>
      </w:r>
    </w:p>
    <w:p w14:paraId="33B1A74C" w14:textId="359F0D13" w:rsidR="00E03BEC" w:rsidRPr="000665B0" w:rsidRDefault="00E03BEC" w:rsidP="006D5A65">
      <w:pPr>
        <w:pStyle w:val="Heading1"/>
      </w:pPr>
      <w:r w:rsidRPr="000665B0">
        <w:t>Geo Toolbar – Show/</w:t>
      </w:r>
      <w:r w:rsidR="00F36DA6" w:rsidRPr="000665B0">
        <w:t xml:space="preserve">hide </w:t>
      </w:r>
      <w:r w:rsidRPr="000665B0">
        <w:t>the Geo toolbar.</w:t>
      </w:r>
    </w:p>
    <w:p w14:paraId="6C1E7F8C" w14:textId="3A949A48" w:rsidR="006C7E56" w:rsidRPr="000665B0" w:rsidRDefault="006C7E56" w:rsidP="006D5A65">
      <w:pPr>
        <w:pStyle w:val="Heading1"/>
      </w:pPr>
      <w:r w:rsidRPr="000665B0">
        <w:t>Viewpoint – Save or Restore a view.</w:t>
      </w:r>
    </w:p>
    <w:p w14:paraId="416BE680" w14:textId="2BAE214A" w:rsidR="000A607E" w:rsidRPr="000665B0" w:rsidRDefault="000A607E" w:rsidP="006D5A65">
      <w:pPr>
        <w:pStyle w:val="Heading1"/>
      </w:pPr>
      <w:r w:rsidRPr="000665B0">
        <w:t>Properties – Bring up the Geo Properties.</w:t>
      </w:r>
    </w:p>
    <w:p w14:paraId="523FEA20" w14:textId="232B61D0" w:rsidR="000E796D" w:rsidRPr="000665B0" w:rsidRDefault="000E796D" w:rsidP="006D5A65">
      <w:pPr>
        <w:pStyle w:val="Heading1"/>
      </w:pPr>
      <w:r w:rsidRPr="000665B0">
        <w:t>Maritime (only available if the MST Control Panel is displayed)</w:t>
      </w:r>
    </w:p>
    <w:p w14:paraId="364243D9" w14:textId="5EFCCC02" w:rsidR="000E796D" w:rsidRPr="000665B0" w:rsidRDefault="000E796D" w:rsidP="006D5A65">
      <w:pPr>
        <w:pStyle w:val="Heading1"/>
      </w:pPr>
      <w:r w:rsidRPr="000665B0">
        <w:t>Request H&amp;S on track update – When controlling a track, track updates will invoke an automatic Request for H&amp;S.</w:t>
      </w:r>
    </w:p>
    <w:p w14:paraId="637698CF" w14:textId="77777777" w:rsidR="000A607E" w:rsidRPr="000665B0" w:rsidRDefault="000A607E" w:rsidP="006D5A65">
      <w:pPr>
        <w:pStyle w:val="Heading1"/>
      </w:pPr>
      <w:r w:rsidRPr="000665B0">
        <w:lastRenderedPageBreak/>
        <w:t>Target</w:t>
      </w:r>
    </w:p>
    <w:p w14:paraId="57D13502" w14:textId="77777777" w:rsidR="000A607E" w:rsidRPr="000665B0" w:rsidRDefault="000A607E" w:rsidP="006D5A65">
      <w:pPr>
        <w:pStyle w:val="Heading1"/>
      </w:pPr>
      <w:r w:rsidRPr="000665B0">
        <w:t>Add</w:t>
      </w:r>
    </w:p>
    <w:p w14:paraId="0FEB7894" w14:textId="77777777" w:rsidR="000A607E" w:rsidRPr="000665B0" w:rsidRDefault="000A607E" w:rsidP="006D5A65">
      <w:pPr>
        <w:pStyle w:val="Heading3"/>
      </w:pPr>
      <w:r w:rsidRPr="000665B0">
        <w:t xml:space="preserve">New… </w:t>
      </w:r>
      <w:r w:rsidR="00691C6A" w:rsidRPr="000665B0">
        <w:t>–</w:t>
      </w:r>
      <w:r w:rsidRPr="000665B0">
        <w:t xml:space="preserve"> Add a new target.</w:t>
      </w:r>
    </w:p>
    <w:p w14:paraId="577D79FD" w14:textId="0CE20F98" w:rsidR="000A607E" w:rsidRPr="000665B0" w:rsidRDefault="000A607E" w:rsidP="006D5A65">
      <w:pPr>
        <w:pStyle w:val="Heading3"/>
      </w:pPr>
      <w:r w:rsidRPr="000665B0">
        <w:t xml:space="preserve">Existing… </w:t>
      </w:r>
      <w:r w:rsidR="00691C6A" w:rsidRPr="000665B0">
        <w:t>–</w:t>
      </w:r>
      <w:r w:rsidRPr="000665B0">
        <w:t xml:space="preserve"> Add </w:t>
      </w:r>
      <w:r w:rsidR="006C7E56" w:rsidRPr="000665B0">
        <w:t xml:space="preserve">one or more </w:t>
      </w:r>
      <w:r w:rsidRPr="000665B0">
        <w:t>existing target</w:t>
      </w:r>
      <w:r w:rsidR="006C7E56" w:rsidRPr="000665B0">
        <w:t>s</w:t>
      </w:r>
      <w:r w:rsidRPr="000665B0">
        <w:t>.</w:t>
      </w:r>
    </w:p>
    <w:p w14:paraId="03BDCFE8" w14:textId="77777777" w:rsidR="000A607E" w:rsidRPr="000665B0" w:rsidRDefault="000A607E" w:rsidP="006D5A65">
      <w:pPr>
        <w:pStyle w:val="Heading1"/>
      </w:pPr>
      <w:r w:rsidRPr="000665B0">
        <w:t>Tool</w:t>
      </w:r>
    </w:p>
    <w:p w14:paraId="23DDA776" w14:textId="77777777" w:rsidR="000A607E" w:rsidRPr="000665B0" w:rsidRDefault="000A607E" w:rsidP="006D5A65">
      <w:pPr>
        <w:pStyle w:val="Heading1"/>
      </w:pPr>
      <w:r w:rsidRPr="000665B0">
        <w:t>Multi-Strike Analysis… – Runs Multi-Strike Analysis.</w:t>
      </w:r>
    </w:p>
    <w:p w14:paraId="096E2BD8" w14:textId="77777777" w:rsidR="000A607E" w:rsidRPr="000665B0" w:rsidRDefault="000A607E" w:rsidP="006D5A65">
      <w:pPr>
        <w:pStyle w:val="Heading1"/>
      </w:pPr>
      <w:r w:rsidRPr="000665B0">
        <w:t xml:space="preserve">Add ACMS… </w:t>
      </w:r>
      <w:r w:rsidR="00691C6A" w:rsidRPr="000665B0">
        <w:t>–</w:t>
      </w:r>
      <w:r w:rsidRPr="000665B0">
        <w:t xml:space="preserve"> Add an ACMS to the Geo Display.</w:t>
      </w:r>
    </w:p>
    <w:p w14:paraId="6294A601" w14:textId="77777777" w:rsidR="000A607E" w:rsidRPr="000665B0" w:rsidRDefault="000A607E" w:rsidP="006D5A65">
      <w:pPr>
        <w:pStyle w:val="Heading1"/>
      </w:pPr>
      <w:r w:rsidRPr="000665B0">
        <w:t xml:space="preserve">Add Overlay… </w:t>
      </w:r>
      <w:r w:rsidR="00691C6A" w:rsidRPr="000665B0">
        <w:t>–</w:t>
      </w:r>
      <w:r w:rsidRPr="000665B0">
        <w:t xml:space="preserve"> Add an Overlay to the Geo Display.</w:t>
      </w:r>
    </w:p>
    <w:p w14:paraId="298B1219" w14:textId="1AF956E4" w:rsidR="00F323C7" w:rsidRPr="000665B0" w:rsidRDefault="00F323C7" w:rsidP="006D5A65">
      <w:pPr>
        <w:pStyle w:val="Heading1"/>
        <w:rPr>
          <w:bCs/>
        </w:rPr>
      </w:pPr>
      <w:r w:rsidRPr="000665B0">
        <w:rPr>
          <w:bCs/>
        </w:rPr>
        <w:t xml:space="preserve">Spotlight – </w:t>
      </w:r>
      <w:r w:rsidRPr="000665B0">
        <w:t xml:space="preserve">Highlights every line item associated with the selected missile sequence number in every pane in the SMD, including the Gantt Chart and corresponding route on the Geo display. This allows the user to rapidly locate and correlate missile assignments for an individual FRU. The spotlighted item is added to the Spotlighted Assignments pane (see </w:t>
      </w:r>
      <w:hyperlink w:anchor="_Spotlighted_Assignments_List" w:history="1">
        <w:r w:rsidR="00157B2F" w:rsidRPr="000665B0">
          <w:rPr>
            <w:rStyle w:val="Hyperlink"/>
          </w:rPr>
          <w:t xml:space="preserve">Section </w:t>
        </w:r>
        <w:r w:rsidR="004231CC">
          <w:rPr>
            <w:rStyle w:val="Hyperlink"/>
          </w:rPr>
          <w:t>5.35</w:t>
        </w:r>
        <w:r w:rsidR="00157B2F" w:rsidRPr="000665B0">
          <w:rPr>
            <w:rStyle w:val="Hyperlink"/>
          </w:rPr>
          <w:t>.3.1.11</w:t>
        </w:r>
      </w:hyperlink>
      <w:r w:rsidRPr="000665B0">
        <w:t>).</w:t>
      </w:r>
    </w:p>
    <w:p w14:paraId="7BB15877" w14:textId="77777777" w:rsidR="000A607E" w:rsidRPr="000665B0" w:rsidRDefault="000A607E" w:rsidP="006D5A65">
      <w:pPr>
        <w:pStyle w:val="Heading1"/>
      </w:pPr>
      <w:r w:rsidRPr="000665B0">
        <w:t>Help</w:t>
      </w:r>
    </w:p>
    <w:p w14:paraId="5D9BC0D8" w14:textId="77777777" w:rsidR="000A607E" w:rsidRPr="000665B0" w:rsidRDefault="000A607E" w:rsidP="006D5A65">
      <w:pPr>
        <w:pStyle w:val="Heading1"/>
      </w:pPr>
      <w:r w:rsidRPr="000665B0">
        <w:t>Strike Help – Help about the Strike Execution.</w:t>
      </w:r>
    </w:p>
    <w:p w14:paraId="3B4202CC" w14:textId="77777777" w:rsidR="000A607E" w:rsidRPr="000665B0" w:rsidRDefault="000A607E" w:rsidP="006D5A65">
      <w:pPr>
        <w:pStyle w:val="Heading1"/>
      </w:pPr>
      <w:r w:rsidRPr="000665B0">
        <w:t>Geo Help – Help about the Geo Display.</w:t>
      </w:r>
    </w:p>
    <w:p w14:paraId="6E722E43" w14:textId="3A2F6E38" w:rsidR="000A607E" w:rsidRPr="000665B0" w:rsidRDefault="000A607E" w:rsidP="000A607E">
      <w:pPr>
        <w:rPr>
          <w:b/>
        </w:rPr>
      </w:pPr>
      <w:r w:rsidRPr="000665B0">
        <w:rPr>
          <w:b/>
        </w:rPr>
        <w:t>Tool</w:t>
      </w:r>
      <w:r w:rsidR="00DF231E">
        <w:rPr>
          <w:b/>
        </w:rPr>
        <w:t>b</w:t>
      </w:r>
      <w:r w:rsidRPr="000665B0">
        <w:rPr>
          <w:b/>
        </w:rPr>
        <w:t>ar:</w:t>
      </w:r>
    </w:p>
    <w:p w14:paraId="37EF54B8" w14:textId="5FB40735" w:rsidR="00F323C7" w:rsidRDefault="00F323C7" w:rsidP="006D5A65">
      <w:pPr>
        <w:pStyle w:val="Heading1"/>
      </w:pPr>
      <w:r w:rsidRPr="000665B0">
        <w:t>Spotlight (</w:t>
      </w:r>
      <w:r w:rsidRPr="000665B0">
        <w:rPr>
          <w:noProof/>
          <w:position w:val="-4"/>
        </w:rPr>
        <w:drawing>
          <wp:inline distT="0" distB="0" distL="0" distR="0" wp14:anchorId="30BAB396" wp14:editId="3993389A">
            <wp:extent cx="137733" cy="156864"/>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38147" cy="157336"/>
                    </a:xfrm>
                    <a:prstGeom prst="rect">
                      <a:avLst/>
                    </a:prstGeom>
                    <a:ln>
                      <a:noFill/>
                    </a:ln>
                    <a:extLst>
                      <a:ext uri="{53640926-AAD7-44D8-BBD7-CCE9431645EC}">
                        <a14:shadowObscured xmlns:a14="http://schemas.microsoft.com/office/drawing/2010/main"/>
                      </a:ext>
                    </a:extLst>
                  </pic:spPr>
                </pic:pic>
              </a:graphicData>
            </a:graphic>
          </wp:inline>
        </w:drawing>
      </w:r>
      <w:r w:rsidRPr="000665B0">
        <w:t xml:space="preserve">) </w:t>
      </w:r>
      <w:r w:rsidR="00BE5747" w:rsidRPr="000665B0">
        <w:t xml:space="preserve">icon </w:t>
      </w:r>
      <w:r w:rsidRPr="000665B0">
        <w:t xml:space="preserve">– Invokes the </w:t>
      </w:r>
      <w:r w:rsidRPr="000665B0">
        <w:rPr>
          <w:i/>
        </w:rPr>
        <w:t>Spotlight</w:t>
      </w:r>
      <w:r w:rsidRPr="000665B0">
        <w:t xml:space="preserve"> window to select a missile for spotlight. Highlights every line item associated with the selected missile sequence number in every pane in the SMD, including the Gantt Chart and corresponding route on the Geo display. This allows the user to rapidly locate and correlate missile assignments for an individual FRU. The spotlighted item is added to the Spotlighted Assignments pane (see </w:t>
      </w:r>
      <w:hyperlink w:anchor="_Spotlighted_Assignments_List" w:history="1">
        <w:r w:rsidR="00157B2F" w:rsidRPr="000665B0">
          <w:rPr>
            <w:rStyle w:val="Hyperlink"/>
          </w:rPr>
          <w:t xml:space="preserve">Section </w:t>
        </w:r>
        <w:r w:rsidR="004231CC">
          <w:rPr>
            <w:rStyle w:val="Hyperlink"/>
          </w:rPr>
          <w:t>5.35</w:t>
        </w:r>
        <w:r w:rsidR="00157B2F" w:rsidRPr="000665B0">
          <w:rPr>
            <w:rStyle w:val="Hyperlink"/>
          </w:rPr>
          <w:t>.3.1.11</w:t>
        </w:r>
      </w:hyperlink>
      <w:r w:rsidRPr="000665B0">
        <w:t>).</w:t>
      </w:r>
    </w:p>
    <w:p w14:paraId="63249DE9" w14:textId="77777777" w:rsidR="00DF231E" w:rsidRPr="00DF231E" w:rsidRDefault="00DF231E" w:rsidP="006D5A65">
      <w:pPr>
        <w:pStyle w:val="Heading1"/>
      </w:pPr>
      <w:r>
        <w:t># of MST Strike(s</w:t>
      </w:r>
      <w:r w:rsidRPr="00B164AD">
        <w:t xml:space="preserve">) – The number of controlled </w:t>
      </w:r>
      <w:r>
        <w:t>MST S</w:t>
      </w:r>
      <w:r w:rsidRPr="00B164AD">
        <w:t>trike</w:t>
      </w:r>
      <w:r>
        <w:t>(</w:t>
      </w:r>
      <w:r w:rsidRPr="00B164AD">
        <w:t>s</w:t>
      </w:r>
      <w:r>
        <w:t>)</w:t>
      </w:r>
      <w:r w:rsidRPr="00B164AD">
        <w:t xml:space="preserve"> / Total MST Strike(s</w:t>
      </w:r>
    </w:p>
    <w:p w14:paraId="5FAE485A" w14:textId="7DD157DC" w:rsidR="00DF231E" w:rsidRPr="000665B0" w:rsidRDefault="00DF231E" w:rsidP="00BB4EBE">
      <w:pPr>
        <w:jc w:val="center"/>
      </w:pPr>
      <w:r w:rsidRPr="00C10081">
        <w:rPr>
          <w:noProof/>
        </w:rPr>
        <w:drawing>
          <wp:inline distT="0" distB="0" distL="0" distR="0" wp14:anchorId="2B1EF93A" wp14:editId="2C5BDF0A">
            <wp:extent cx="320040" cy="256032"/>
            <wp:effectExtent l="0" t="0" r="0" b="0"/>
            <wp:docPr id="119602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2437" name=""/>
                    <pic:cNvPicPr/>
                  </pic:nvPicPr>
                  <pic:blipFill>
                    <a:blip/>
                    <a:stretch>
                      <a:fillRect/>
                    </a:stretch>
                  </pic:blipFill>
                  <pic:spPr>
                    <a:xfrm>
                      <a:off x="0" y="0"/>
                      <a:ext cx="320040" cy="256032"/>
                    </a:xfrm>
                    <a:prstGeom prst="rect">
                      <a:avLst/>
                    </a:prstGeom>
                  </pic:spPr>
                </pic:pic>
              </a:graphicData>
            </a:graphic>
          </wp:inline>
        </w:drawing>
      </w:r>
    </w:p>
    <w:p w14:paraId="09F052E5" w14:textId="52A5B5F4" w:rsidR="00173DB7" w:rsidRDefault="00173DB7" w:rsidP="006D5A65">
      <w:pPr>
        <w:pStyle w:val="Heading1"/>
      </w:pPr>
      <w:r w:rsidRPr="00C36B36">
        <w:rPr>
          <w:bCs/>
        </w:rPr>
        <w:t>Time to MST GHP</w:t>
      </w:r>
      <w:r>
        <w:t xml:space="preserve"> – The time to the MST strike’s Guidance </w:t>
      </w:r>
      <w:r w:rsidR="003C5F60">
        <w:t xml:space="preserve">Handover </w:t>
      </w:r>
      <w:r>
        <w:t xml:space="preserve">Point (GHP) (see </w:t>
      </w:r>
      <w:hyperlink w:anchor="_Time_to_MST" w:history="1">
        <w:r w:rsidRPr="00D90BBF">
          <w:rPr>
            <w:rStyle w:val="Hyperlink"/>
          </w:rPr>
          <w:t xml:space="preserve">Section </w:t>
        </w:r>
        <w:r w:rsidR="004231CC">
          <w:rPr>
            <w:rStyle w:val="Hyperlink"/>
          </w:rPr>
          <w:t>5.35</w:t>
        </w:r>
        <w:r w:rsidRPr="00D90BBF">
          <w:rPr>
            <w:rStyle w:val="Hyperlink"/>
          </w:rPr>
          <w:t>.3.1.3.4</w:t>
        </w:r>
      </w:hyperlink>
      <w:r>
        <w:t>).</w:t>
      </w:r>
    </w:p>
    <w:p w14:paraId="6B4ABDA1" w14:textId="1671381D" w:rsidR="00DF231E" w:rsidRPr="00C36B36" w:rsidRDefault="00DF231E" w:rsidP="00BB4EBE">
      <w:pPr>
        <w:jc w:val="center"/>
      </w:pPr>
      <w:r w:rsidRPr="00AA72ED">
        <w:rPr>
          <w:noProof/>
        </w:rPr>
        <w:drawing>
          <wp:inline distT="0" distB="0" distL="0" distR="0" wp14:anchorId="10827CE4" wp14:editId="03FF2A7C">
            <wp:extent cx="1828800" cy="301752"/>
            <wp:effectExtent l="0" t="0" r="0" b="0"/>
            <wp:docPr id="13669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46370" name=""/>
                    <pic:cNvPicPr/>
                  </pic:nvPicPr>
                  <pic:blipFill>
                    <a:blip/>
                    <a:stretch>
                      <a:fillRect/>
                    </a:stretch>
                  </pic:blipFill>
                  <pic:spPr>
                    <a:xfrm>
                      <a:off x="0" y="0"/>
                      <a:ext cx="1828800" cy="301752"/>
                    </a:xfrm>
                    <a:prstGeom prst="rect">
                      <a:avLst/>
                    </a:prstGeom>
                  </pic:spPr>
                </pic:pic>
              </a:graphicData>
            </a:graphic>
          </wp:inline>
        </w:drawing>
      </w:r>
    </w:p>
    <w:p w14:paraId="2D65BE98" w14:textId="458822FB" w:rsidR="000A607E" w:rsidRPr="000665B0" w:rsidRDefault="000A607E" w:rsidP="006D5A65">
      <w:pPr>
        <w:pStyle w:val="Heading1"/>
      </w:pPr>
      <w:r w:rsidRPr="000665B0">
        <w:t>Execution Time – The current execution time</w:t>
      </w:r>
      <w:r w:rsidR="00F323C7" w:rsidRPr="000665B0">
        <w:t xml:space="preserve"> is shown in the upper right corner </w:t>
      </w:r>
      <w:r w:rsidR="00F323C7" w:rsidRPr="000665B0">
        <w:br/>
        <w:t>(</w:t>
      </w:r>
      <w:r w:rsidR="00F74602" w:rsidRPr="000665B0">
        <w:rPr>
          <w:noProof/>
          <w:position w:val="-6"/>
        </w:rPr>
        <w:drawing>
          <wp:inline distT="0" distB="0" distL="0" distR="0" wp14:anchorId="774EF31C" wp14:editId="5FEF2EEE">
            <wp:extent cx="1051560" cy="173695"/>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073046" cy="177244"/>
                    </a:xfrm>
                    <a:prstGeom prst="rect">
                      <a:avLst/>
                    </a:prstGeom>
                  </pic:spPr>
                </pic:pic>
              </a:graphicData>
            </a:graphic>
          </wp:inline>
        </w:drawing>
      </w:r>
      <w:r w:rsidR="00F323C7" w:rsidRPr="000665B0">
        <w:t>).</w:t>
      </w:r>
    </w:p>
    <w:p w14:paraId="334DA99B" w14:textId="77777777" w:rsidR="00D22BDB" w:rsidRPr="000665B0" w:rsidRDefault="00D22BDB" w:rsidP="00D22BDB">
      <w:r w:rsidRPr="000665B0">
        <w:t xml:space="preserve">While the SMD is running, it may be possible for another MDS connected to the same TED to stop the execution in TED. In this case, the running SMD will be notified of the change in TED </w:t>
      </w:r>
      <w:r w:rsidRPr="000665B0">
        <w:lastRenderedPageBreak/>
        <w:t>and will be prompted with the opportunity to restart the execution in TED. If the execution is not started in TED, TSN Messages will not be processed.</w:t>
      </w:r>
    </w:p>
    <w:p w14:paraId="457077B9" w14:textId="77777777" w:rsidR="00D22BDB" w:rsidRPr="000665B0" w:rsidRDefault="00D22BDB" w:rsidP="00D22BDB">
      <w:r w:rsidRPr="000665B0">
        <w:t>Upon completion of an execution, the operator will be prompted with the opportunity to stop the execution in TED. It is valid to close the SMD and still have TED continue executing as this will allow TED to continue processing TSN Messages.</w:t>
      </w:r>
    </w:p>
    <w:p w14:paraId="06ADDAF0" w14:textId="22AA4045" w:rsidR="000A607E" w:rsidRPr="000665B0" w:rsidRDefault="000A607E" w:rsidP="00BD4482">
      <w:pPr>
        <w:keepNext/>
        <w:rPr>
          <w:b/>
        </w:rPr>
      </w:pPr>
      <w:r w:rsidRPr="000665B0">
        <w:rPr>
          <w:b/>
        </w:rPr>
        <w:t>Control Message</w:t>
      </w:r>
      <w:r w:rsidR="00577482" w:rsidRPr="000665B0">
        <w:rPr>
          <w:b/>
        </w:rPr>
        <w:t xml:space="preserve"> (DDO)</w:t>
      </w:r>
      <w:r w:rsidRPr="000665B0">
        <w:rPr>
          <w:b/>
        </w:rPr>
        <w:t>:</w:t>
      </w:r>
    </w:p>
    <w:p w14:paraId="3928A369" w14:textId="6E860961" w:rsidR="00AF735D" w:rsidRPr="000665B0" w:rsidRDefault="00B9067E" w:rsidP="00AF735D">
      <w:r w:rsidRPr="000665B0">
        <w:t xml:space="preserve">Certain </w:t>
      </w:r>
      <w:r w:rsidR="000A607E" w:rsidRPr="000665B0">
        <w:t>action</w:t>
      </w:r>
      <w:r w:rsidRPr="000665B0">
        <w:t>s</w:t>
      </w:r>
      <w:r w:rsidR="000A607E" w:rsidRPr="000665B0">
        <w:t xml:space="preserve"> on the SMD </w:t>
      </w:r>
      <w:r w:rsidRPr="000665B0">
        <w:t xml:space="preserve">are </w:t>
      </w:r>
      <w:r w:rsidR="000A607E" w:rsidRPr="000665B0">
        <w:t xml:space="preserve">replicated to all SMDs rehearsing/executing the same Execution Folder. The mechanism behind replication is </w:t>
      </w:r>
      <w:r w:rsidR="00577482" w:rsidRPr="000665B0">
        <w:t xml:space="preserve">the </w:t>
      </w:r>
      <w:r w:rsidR="000A607E" w:rsidRPr="000665B0">
        <w:t>Control Message</w:t>
      </w:r>
      <w:r w:rsidR="00577482" w:rsidRPr="000665B0">
        <w:t xml:space="preserve"> (DDO)</w:t>
      </w:r>
      <w:r w:rsidR="000A607E" w:rsidRPr="000665B0">
        <w:t xml:space="preserve">. Control Messages </w:t>
      </w:r>
      <w:r w:rsidR="00577482" w:rsidRPr="000665B0">
        <w:t xml:space="preserve">(DDOs) </w:t>
      </w:r>
      <w:r w:rsidR="000A607E" w:rsidRPr="000665B0">
        <w:t xml:space="preserve">are sent to all MDS nodes in the arsenal list for the Execution Folder. </w:t>
      </w:r>
      <w:r w:rsidR="00AF735D" w:rsidRPr="000665B0">
        <w:t>When the incoming DDO is for a TTWCS Strike Package, it is noted in the DDO Notification window.</w:t>
      </w:r>
    </w:p>
    <w:p w14:paraId="2325D43A" w14:textId="77777777" w:rsidR="0037400E" w:rsidRDefault="0037400E" w:rsidP="0037400E">
      <w:pPr>
        <w:jc w:val="center"/>
      </w:pPr>
      <w:r w:rsidRPr="000665B0">
        <w:rPr>
          <w:noProof/>
        </w:rPr>
        <w:drawing>
          <wp:inline distT="0" distB="0" distL="0" distR="0" wp14:anchorId="52160799" wp14:editId="1887A951">
            <wp:extent cx="2743200" cy="630936"/>
            <wp:effectExtent l="0" t="0" r="0" b="0"/>
            <wp:docPr id="460" name="Picture 460"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Picture 460" descr="Graphical user interface, text, application&#10;&#10;AI-generated content may be incorrect."/>
                    <pic:cNvPicPr>
                      <a:picLocks noChangeAspect="1" noChangeArrowheads="1"/>
                    </pic:cNvPicPr>
                  </pic:nvPicPr>
                  <pic:blipFill rotWithShape="1">
                    <a:blip r:link="rId16" cstate="screen">
                      <a:extLst>
                        <a:ext uri="{28A0092B-C50C-407E-A947-70E740481C1C}">
                          <a14:useLocalDpi xmlns:a14="http://schemas.microsoft.com/office/drawing/2010/main"/>
                        </a:ext>
                      </a:extLst>
                    </a:blip>
                    <a:srcRect/>
                    <a:stretch/>
                  </pic:blipFill>
                  <pic:spPr bwMode="auto">
                    <a:xfrm>
                      <a:off x="0" y="0"/>
                      <a:ext cx="2743200" cy="630936"/>
                    </a:xfrm>
                    <a:prstGeom prst="rect">
                      <a:avLst/>
                    </a:prstGeom>
                    <a:noFill/>
                    <a:ln>
                      <a:noFill/>
                    </a:ln>
                    <a:extLst>
                      <a:ext uri="{53640926-AAD7-44D8-BBD7-CCE9431645EC}">
                        <a14:shadowObscured xmlns:a14="http://schemas.microsoft.com/office/drawing/2010/main"/>
                      </a:ext>
                    </a:extLst>
                  </pic:spPr>
                </pic:pic>
              </a:graphicData>
            </a:graphic>
          </wp:inline>
        </w:drawing>
      </w:r>
    </w:p>
    <w:p w14:paraId="7D4B7009" w14:textId="77777777" w:rsidR="0037400E" w:rsidRPr="000665B0" w:rsidRDefault="0037400E" w:rsidP="0037400E">
      <w:pPr>
        <w:jc w:val="center"/>
      </w:pPr>
      <w:r w:rsidRPr="000665B0">
        <w:rPr>
          <w:noProof/>
        </w:rPr>
        <w:drawing>
          <wp:inline distT="0" distB="0" distL="0" distR="0" wp14:anchorId="378CBA5A" wp14:editId="27774A97">
            <wp:extent cx="2758440" cy="619486"/>
            <wp:effectExtent l="0" t="0" r="3810" b="9525"/>
            <wp:docPr id="481" name="Picture 48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Text&#10;&#10;AI-generated content may be incorrect."/>
                    <pic:cNvPicPr>
                      <a:picLocks noChangeAspect="1" noChangeArrowheads="1"/>
                    </pic:cNvPicPr>
                  </pic:nvPicPr>
                  <pic:blipFill rotWithShape="1">
                    <a:blip r:link="rId18" cstate="screen">
                      <a:extLst>
                        <a:ext uri="{28A0092B-C50C-407E-A947-70E740481C1C}">
                          <a14:useLocalDpi xmlns:a14="http://schemas.microsoft.com/office/drawing/2010/main"/>
                        </a:ext>
                      </a:extLst>
                    </a:blip>
                    <a:srcRect/>
                    <a:stretch/>
                  </pic:blipFill>
                  <pic:spPr bwMode="auto">
                    <a:xfrm>
                      <a:off x="0" y="0"/>
                      <a:ext cx="2841823" cy="638212"/>
                    </a:xfrm>
                    <a:prstGeom prst="rect">
                      <a:avLst/>
                    </a:prstGeom>
                    <a:noFill/>
                    <a:ln>
                      <a:noFill/>
                    </a:ln>
                    <a:extLst>
                      <a:ext uri="{53640926-AAD7-44D8-BBD7-CCE9431645EC}">
                        <a14:shadowObscured xmlns:a14="http://schemas.microsoft.com/office/drawing/2010/main"/>
                      </a:ext>
                    </a:extLst>
                  </pic:spPr>
                </pic:pic>
              </a:graphicData>
            </a:graphic>
          </wp:inline>
        </w:drawing>
      </w:r>
    </w:p>
    <w:p w14:paraId="73AD557D" w14:textId="77777777" w:rsidR="000A607E" w:rsidRPr="000665B0" w:rsidRDefault="000A607E" w:rsidP="00AC2F7D">
      <w:pPr>
        <w:keepNext/>
      </w:pPr>
      <w:r w:rsidRPr="000665B0">
        <w:t>To process a Control Message</w:t>
      </w:r>
    </w:p>
    <w:p w14:paraId="5BB584B5" w14:textId="49DB7B4C" w:rsidR="000A607E" w:rsidRPr="000665B0" w:rsidRDefault="000A607E" w:rsidP="006D5A65">
      <w:pPr>
        <w:pStyle w:val="Heading1"/>
      </w:pPr>
      <w:r w:rsidRPr="000665B0">
        <w:t>From the Incoming DDO Tool, select the desired Control Message</w:t>
      </w:r>
      <w:r w:rsidR="00577482" w:rsidRPr="000665B0">
        <w:t xml:space="preserve"> (DDO)</w:t>
      </w:r>
      <w:r w:rsidRPr="000665B0">
        <w:t>.</w:t>
      </w:r>
    </w:p>
    <w:p w14:paraId="5DB10DF6" w14:textId="614C240C" w:rsidR="000A607E" w:rsidRPr="000665B0" w:rsidRDefault="000A607E" w:rsidP="006D5A65">
      <w:pPr>
        <w:pStyle w:val="Heading1"/>
      </w:pPr>
      <w:r w:rsidRPr="000665B0">
        <w:t xml:space="preserve"> Invoke the context menu (</w:t>
      </w:r>
      <w:r w:rsidR="00D71804" w:rsidRPr="000665B0">
        <w:t>right-click</w:t>
      </w:r>
      <w:r w:rsidRPr="000665B0">
        <w:t xml:space="preserve"> the mouse) and select Process. </w:t>
      </w:r>
    </w:p>
    <w:p w14:paraId="6C717A05" w14:textId="1814D927" w:rsidR="000A607E" w:rsidRPr="000665B0" w:rsidRDefault="000A607E" w:rsidP="006D5A65">
      <w:pPr>
        <w:pStyle w:val="Heading1"/>
      </w:pPr>
      <w:r w:rsidRPr="000665B0">
        <w:t xml:space="preserve">Alternatively, </w:t>
      </w:r>
      <w:r w:rsidR="00CC7EA6" w:rsidRPr="000665B0">
        <w:t xml:space="preserve">configure MDS to automatically process the data items from Incoming DDOs (see </w:t>
      </w:r>
      <w:hyperlink w:anchor="_5.23.4__Incoming_DDOs_Notifications" w:history="1">
        <w:r w:rsidR="00CC7EA6" w:rsidRPr="000665B0">
          <w:rPr>
            <w:rStyle w:val="Hyperlink"/>
          </w:rPr>
          <w:t xml:space="preserve">Section </w:t>
        </w:r>
        <w:r w:rsidR="004231CC">
          <w:rPr>
            <w:rStyle w:val="Hyperlink"/>
          </w:rPr>
          <w:t>5.18</w:t>
        </w:r>
        <w:r w:rsidR="00CC7EA6" w:rsidRPr="000665B0">
          <w:rPr>
            <w:rStyle w:val="Hyperlink"/>
          </w:rPr>
          <w:t>.4</w:t>
        </w:r>
      </w:hyperlink>
      <w:r w:rsidR="00CC7EA6" w:rsidRPr="000665B0">
        <w:t>).</w:t>
      </w:r>
    </w:p>
    <w:p w14:paraId="586301FC" w14:textId="6750DAF7" w:rsidR="000A607E" w:rsidRPr="000665B0" w:rsidRDefault="000A607E" w:rsidP="00A54352">
      <w:pPr>
        <w:pStyle w:val="Heading5"/>
      </w:pPr>
      <w:bookmarkStart w:id="6554" w:name="_5_.38.3.1.1_"/>
      <w:bookmarkStart w:id="6555" w:name="_Gantt_Chart"/>
      <w:bookmarkStart w:id="6556" w:name="_Toc289328902"/>
      <w:bookmarkStart w:id="6557" w:name="_Hlk54355378"/>
      <w:bookmarkEnd w:id="6554"/>
      <w:bookmarkEnd w:id="6555"/>
      <w:r w:rsidRPr="000665B0">
        <w:t>Gantt Chart</w:t>
      </w:r>
      <w:bookmarkEnd w:id="6556"/>
    </w:p>
    <w:p w14:paraId="694FF73D" w14:textId="2F5B662C" w:rsidR="005E671D" w:rsidRPr="000665B0" w:rsidRDefault="000A607E" w:rsidP="000A607E">
      <w:r w:rsidRPr="000665B0">
        <w:t xml:space="preserve">The Gantt Chart shows the missiles, messages, and platforms engagements from a timing perspective. The Gantt Chart consists of the Utilization Bar, the Option/FRU/Missile list, and the Gantt Chart. The Utilization Bar shows network utilization as a function of time. The Option/FRU/Missile List shows the options, FRUs, and missiles participating in this execution folder. The Gantt Chart shows the missile activities as a function of time. The current execution time is shown in the upper </w:t>
      </w:r>
      <w:r w:rsidR="0060713E" w:rsidRPr="000665B0">
        <w:t>right-hand</w:t>
      </w:r>
      <w:r w:rsidRPr="000665B0">
        <w:t xml:space="preserve"> corner of the SMD, as well as indicated by the red progression line across the SMD. The Gantt Chart can be hidden by going to the </w:t>
      </w:r>
      <w:r w:rsidRPr="000665B0">
        <w:rPr>
          <w:b/>
        </w:rPr>
        <w:t>View</w:t>
      </w:r>
      <w:r w:rsidRPr="000665B0">
        <w:t xml:space="preserve"> menu and deselecting the Gantt menu item.</w:t>
      </w:r>
    </w:p>
    <w:p w14:paraId="3BCCBF12" w14:textId="77777777" w:rsidR="000A607E" w:rsidRPr="000665B0" w:rsidRDefault="000A607E" w:rsidP="00C62099">
      <w:pPr>
        <w:keepNext/>
        <w:rPr>
          <w:b/>
        </w:rPr>
      </w:pPr>
      <w:r w:rsidRPr="000665B0">
        <w:rPr>
          <w:b/>
        </w:rPr>
        <w:lastRenderedPageBreak/>
        <w:t>ToolBar:</w:t>
      </w:r>
    </w:p>
    <w:p w14:paraId="38CADC32" w14:textId="77777777" w:rsidR="000A607E" w:rsidRPr="000665B0" w:rsidRDefault="009A1FDF" w:rsidP="006D5A65">
      <w:pPr>
        <w:pStyle w:val="Heading1"/>
      </w:pPr>
      <w:r w:rsidRPr="000665B0">
        <w:rPr>
          <w:noProof/>
        </w:rPr>
        <w:drawing>
          <wp:inline distT="0" distB="0" distL="0" distR="0" wp14:anchorId="05F6F467" wp14:editId="271E12AF">
            <wp:extent cx="190500" cy="238125"/>
            <wp:effectExtent l="19050" t="0" r="0" b="0"/>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cstate="print"/>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000A607E" w:rsidRPr="000665B0">
        <w:t xml:space="preserve"> – </w:t>
      </w:r>
      <w:r w:rsidR="009E0C7D" w:rsidRPr="000665B0">
        <w:t xml:space="preserve">Zoom in on </w:t>
      </w:r>
      <w:r w:rsidR="000A607E" w:rsidRPr="000665B0">
        <w:t xml:space="preserve">the network and Gantt chart. </w:t>
      </w:r>
    </w:p>
    <w:p w14:paraId="596E4F04" w14:textId="77777777" w:rsidR="000A607E" w:rsidRPr="000665B0" w:rsidRDefault="009A1FDF" w:rsidP="006D5A65">
      <w:pPr>
        <w:pStyle w:val="Heading1"/>
      </w:pPr>
      <w:r w:rsidRPr="000665B0">
        <w:rPr>
          <w:noProof/>
        </w:rPr>
        <w:drawing>
          <wp:inline distT="0" distB="0" distL="0" distR="0" wp14:anchorId="2BDF4EFF" wp14:editId="47BF8F54">
            <wp:extent cx="209550" cy="228600"/>
            <wp:effectExtent l="19050" t="0" r="0" b="0"/>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000A607E" w:rsidRPr="000665B0">
        <w:t xml:space="preserve"> – </w:t>
      </w:r>
      <w:r w:rsidR="009E0C7D" w:rsidRPr="000665B0">
        <w:t xml:space="preserve">Zoom out on </w:t>
      </w:r>
      <w:r w:rsidR="000A607E" w:rsidRPr="000665B0">
        <w:t>the network and Gantt chart.</w:t>
      </w:r>
    </w:p>
    <w:p w14:paraId="77DA3905" w14:textId="7A6C653F" w:rsidR="000A607E" w:rsidRPr="000665B0" w:rsidRDefault="009A1FDF" w:rsidP="006D5A65">
      <w:pPr>
        <w:pStyle w:val="Heading1"/>
      </w:pPr>
      <w:r w:rsidRPr="000665B0">
        <w:rPr>
          <w:noProof/>
        </w:rPr>
        <w:drawing>
          <wp:inline distT="0" distB="0" distL="0" distR="0" wp14:anchorId="1212E6B4" wp14:editId="1AEA557F">
            <wp:extent cx="566058" cy="257175"/>
            <wp:effectExtent l="0" t="0" r="5715" b="0"/>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566058" cy="257175"/>
                    </a:xfrm>
                    <a:prstGeom prst="rect">
                      <a:avLst/>
                    </a:prstGeom>
                    <a:noFill/>
                    <a:ln>
                      <a:noFill/>
                    </a:ln>
                    <a:extLst>
                      <a:ext uri="{53640926-AAD7-44D8-BBD7-CCE9431645EC}">
                        <a14:shadowObscured xmlns:a14="http://schemas.microsoft.com/office/drawing/2010/main"/>
                      </a:ext>
                    </a:extLst>
                  </pic:spPr>
                </pic:pic>
              </a:graphicData>
            </a:graphic>
          </wp:inline>
        </w:drawing>
      </w:r>
      <w:r w:rsidR="000A607E" w:rsidRPr="000665B0">
        <w:t xml:space="preserve"> – Changes the Missile Assignment List View grouping. Available Groupings are:</w:t>
      </w:r>
    </w:p>
    <w:p w14:paraId="09CA7C97" w14:textId="77777777" w:rsidR="000A607E" w:rsidRPr="000665B0" w:rsidRDefault="000A607E" w:rsidP="006D5A65">
      <w:pPr>
        <w:pStyle w:val="Heading1"/>
      </w:pPr>
      <w:r w:rsidRPr="000665B0">
        <w:t>Option, then Missile – Shows missile assignments grouped by Option.</w:t>
      </w:r>
    </w:p>
    <w:p w14:paraId="381A656D" w14:textId="77777777" w:rsidR="000A607E" w:rsidRPr="000665B0" w:rsidRDefault="000A607E" w:rsidP="006D5A65">
      <w:pPr>
        <w:pStyle w:val="Heading1"/>
      </w:pPr>
      <w:r w:rsidRPr="000665B0">
        <w:t>Option, then FRU, then Missile – Shows missile assignments grouped first by Option, then FRU.</w:t>
      </w:r>
    </w:p>
    <w:p w14:paraId="67B1E5C1" w14:textId="77777777" w:rsidR="000A607E" w:rsidRPr="000665B0" w:rsidRDefault="000A607E" w:rsidP="006D5A65">
      <w:pPr>
        <w:pStyle w:val="Heading1"/>
      </w:pPr>
      <w:r w:rsidRPr="000665B0">
        <w:t>Option, then Primary Controller, then Missile – Shows missile assignments grouped first by Option, then the Primary Missile Controller.</w:t>
      </w:r>
    </w:p>
    <w:p w14:paraId="2EC8112E" w14:textId="77777777" w:rsidR="000A607E" w:rsidRPr="000665B0" w:rsidRDefault="000A607E" w:rsidP="006D5A65">
      <w:pPr>
        <w:pStyle w:val="Heading1"/>
      </w:pPr>
      <w:r w:rsidRPr="000665B0">
        <w:t>Option, then Backup Controller, then Missile – Shows missile assignments grouped first by Option, then the Alternate/Backup Missile Controller.</w:t>
      </w:r>
    </w:p>
    <w:p w14:paraId="4C47D30C" w14:textId="6D3B4C93" w:rsidR="000A607E" w:rsidRPr="000665B0" w:rsidRDefault="000A607E" w:rsidP="006D5A65">
      <w:pPr>
        <w:pStyle w:val="Heading1"/>
      </w:pPr>
      <w:r w:rsidRPr="000665B0">
        <w:t xml:space="preserve">FRU, then Option, then Missile – Shows missile assignments grouped </w:t>
      </w:r>
      <w:r w:rsidR="004839F8" w:rsidRPr="000665B0">
        <w:t xml:space="preserve">first </w:t>
      </w:r>
      <w:r w:rsidRPr="000665B0">
        <w:t>by FRU, then Option.</w:t>
      </w:r>
    </w:p>
    <w:p w14:paraId="7A785C2E" w14:textId="77777777" w:rsidR="000A607E" w:rsidRPr="000665B0" w:rsidRDefault="000A607E" w:rsidP="006D5A65">
      <w:pPr>
        <w:pStyle w:val="Heading1"/>
      </w:pPr>
      <w:r w:rsidRPr="000665B0">
        <w:t>FRU, then Missile – Group missile assignments by FRU.</w:t>
      </w:r>
    </w:p>
    <w:p w14:paraId="76755555" w14:textId="77777777" w:rsidR="000A607E" w:rsidRPr="000665B0" w:rsidRDefault="000A607E" w:rsidP="006D5A65">
      <w:pPr>
        <w:pStyle w:val="Heading1"/>
      </w:pPr>
      <w:r w:rsidRPr="000665B0">
        <w:t>Primary Controller, then Missile – Group missile assignments by their Primary Missile Controller.</w:t>
      </w:r>
    </w:p>
    <w:p w14:paraId="0E578B34" w14:textId="77777777" w:rsidR="000A607E" w:rsidRPr="000665B0" w:rsidRDefault="000A607E" w:rsidP="006D5A65">
      <w:pPr>
        <w:pStyle w:val="Heading1"/>
      </w:pPr>
      <w:r w:rsidRPr="000665B0">
        <w:t>Backup Controller, then Missile – Group missile assignments by their Alternate/Backup Missile Controller.</w:t>
      </w:r>
    </w:p>
    <w:p w14:paraId="4F83FDF7" w14:textId="77777777" w:rsidR="000A607E" w:rsidRPr="000665B0" w:rsidRDefault="000A607E" w:rsidP="006D5A65">
      <w:pPr>
        <w:pStyle w:val="Heading1"/>
      </w:pPr>
      <w:r w:rsidRPr="000665B0">
        <w:t>Missile – Show only missile assignments.</w:t>
      </w:r>
    </w:p>
    <w:p w14:paraId="0B6B36E6" w14:textId="77777777" w:rsidR="00F74602" w:rsidRPr="000665B0" w:rsidRDefault="00F74602" w:rsidP="006D5A65">
      <w:pPr>
        <w:pStyle w:val="Heading1"/>
      </w:pPr>
      <w:r w:rsidRPr="000665B0">
        <w:t>TSN, then Missile – Shows missile assignments grouped by TSN Type.</w:t>
      </w:r>
    </w:p>
    <w:p w14:paraId="07DA30CF" w14:textId="6FA814C2" w:rsidR="00497FC5" w:rsidRPr="000665B0" w:rsidRDefault="00497FC5" w:rsidP="006D5A65">
      <w:pPr>
        <w:pStyle w:val="Heading1"/>
      </w:pPr>
      <w:r w:rsidRPr="000665B0">
        <w:t xml:space="preserve">TSN, </w:t>
      </w:r>
      <w:r w:rsidR="008D2960" w:rsidRPr="000665B0">
        <w:t xml:space="preserve">then </w:t>
      </w:r>
      <w:r w:rsidRPr="000665B0">
        <w:t xml:space="preserve">Primary Controller, then Missile – </w:t>
      </w:r>
      <w:r w:rsidR="00EB41A6" w:rsidRPr="000665B0">
        <w:t>Shows</w:t>
      </w:r>
      <w:r w:rsidRPr="000665B0">
        <w:t xml:space="preserve"> missile assignments grouped first by TSN Type, then the Primary Missile Controller.</w:t>
      </w:r>
    </w:p>
    <w:p w14:paraId="2A82AD16" w14:textId="367DA9ED" w:rsidR="004839F8" w:rsidRPr="000665B0" w:rsidRDefault="008D2960" w:rsidP="006D5A65">
      <w:pPr>
        <w:pStyle w:val="Heading1"/>
      </w:pPr>
      <w:r w:rsidRPr="000665B0">
        <w:t>Attack Plan, then Missile – Shows missile assignments grouped by Attack Plan.</w:t>
      </w:r>
      <w:r w:rsidR="004839F8" w:rsidRPr="000665B0">
        <w:t xml:space="preserve"> </w:t>
      </w:r>
    </w:p>
    <w:p w14:paraId="7236E19C" w14:textId="77777777" w:rsidR="004839F8" w:rsidRPr="000665B0" w:rsidRDefault="004839F8" w:rsidP="006D5A65">
      <w:pPr>
        <w:pStyle w:val="Heading1"/>
      </w:pPr>
      <w:r w:rsidRPr="000665B0">
        <w:t>Maritime Target, then Missile – Shows missile assignments grouped by Maritime Target.</w:t>
      </w:r>
    </w:p>
    <w:p w14:paraId="3E7A00FD" w14:textId="77777777" w:rsidR="004839F8" w:rsidRPr="000665B0" w:rsidRDefault="004839F8" w:rsidP="006D5A65">
      <w:pPr>
        <w:pStyle w:val="Heading1"/>
      </w:pPr>
      <w:r w:rsidRPr="000665B0">
        <w:t>Maritime Target, then Group, then Missile – Shows missile assignments grouped first by Maritime Target, then Group.</w:t>
      </w:r>
    </w:p>
    <w:p w14:paraId="6984CDF0" w14:textId="77777777" w:rsidR="004839F8" w:rsidRPr="000665B0" w:rsidRDefault="004839F8" w:rsidP="006D5A65">
      <w:pPr>
        <w:pStyle w:val="Heading1"/>
      </w:pPr>
      <w:r w:rsidRPr="000665B0">
        <w:t>Maritime Target, then Option, then Missile – Shows missile assignments grouped first by Maritime Target, then Option.</w:t>
      </w:r>
    </w:p>
    <w:p w14:paraId="1261E6F8" w14:textId="08BC6647" w:rsidR="008D2960" w:rsidRPr="000665B0" w:rsidRDefault="004839F8" w:rsidP="006D5A65">
      <w:pPr>
        <w:pStyle w:val="Heading1"/>
      </w:pPr>
      <w:r w:rsidRPr="000665B0">
        <w:t>TSN, then Maritime Target, then Missile – Shows missile assignments grouped first by TSN Type, then Maritime Target.</w:t>
      </w:r>
    </w:p>
    <w:p w14:paraId="4E71C093" w14:textId="7CF5AD14" w:rsidR="00DC36BA" w:rsidRPr="000665B0" w:rsidRDefault="00DC36BA" w:rsidP="00A0163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77FDC4C2" w14:textId="564D9E85" w:rsidR="00DC36BA" w:rsidRPr="000665B0" w:rsidRDefault="00DC36BA" w:rsidP="00A0163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 xml:space="preserve">The Gantt tree view in MDS 6.0 </w:t>
      </w:r>
      <w:r w:rsidR="00FE3E4A" w:rsidRPr="000665B0">
        <w:rPr>
          <w:b/>
        </w:rPr>
        <w:t>(</w:t>
      </w:r>
      <w:r w:rsidRPr="000665B0">
        <w:rPr>
          <w:b/>
        </w:rPr>
        <w:t>and above</w:t>
      </w:r>
      <w:r w:rsidR="00FE3E4A" w:rsidRPr="000665B0">
        <w:rPr>
          <w:b/>
        </w:rPr>
        <w:t>)</w:t>
      </w:r>
      <w:r w:rsidRPr="000665B0">
        <w:rPr>
          <w:b/>
        </w:rPr>
        <w:t xml:space="preserve"> lists </w:t>
      </w:r>
      <w:r w:rsidR="00FE3E4A" w:rsidRPr="000665B0">
        <w:rPr>
          <w:b/>
        </w:rPr>
        <w:t xml:space="preserve">data </w:t>
      </w:r>
      <w:r w:rsidRPr="000665B0">
        <w:rPr>
          <w:b/>
        </w:rPr>
        <w:t>in alphabetical order</w:t>
      </w:r>
      <w:r w:rsidR="00FE3E4A" w:rsidRPr="000665B0">
        <w:rPr>
          <w:b/>
        </w:rPr>
        <w:t>, whereas legacy MDS does not</w:t>
      </w:r>
      <w:r w:rsidRPr="000665B0">
        <w:rPr>
          <w:b/>
        </w:rPr>
        <w:t xml:space="preserve">. </w:t>
      </w:r>
      <w:r w:rsidR="00FE3E4A" w:rsidRPr="000665B0">
        <w:rPr>
          <w:b/>
        </w:rPr>
        <w:t xml:space="preserve">Therefore, </w:t>
      </w:r>
      <w:r w:rsidR="00316D9B" w:rsidRPr="000665B0">
        <w:rPr>
          <w:b/>
        </w:rPr>
        <w:t xml:space="preserve">MDS </w:t>
      </w:r>
      <w:r w:rsidRPr="000665B0">
        <w:rPr>
          <w:b/>
        </w:rPr>
        <w:t xml:space="preserve">6.0 </w:t>
      </w:r>
      <w:r w:rsidR="00FE3E4A" w:rsidRPr="000665B0">
        <w:rPr>
          <w:b/>
        </w:rPr>
        <w:t xml:space="preserve">(and above) </w:t>
      </w:r>
      <w:r w:rsidR="00316D9B" w:rsidRPr="000665B0">
        <w:rPr>
          <w:b/>
        </w:rPr>
        <w:t xml:space="preserve">and </w:t>
      </w:r>
      <w:r w:rsidRPr="000665B0">
        <w:rPr>
          <w:b/>
        </w:rPr>
        <w:t>MDS</w:t>
      </w:r>
      <w:r w:rsidR="00316D9B" w:rsidRPr="000665B0">
        <w:rPr>
          <w:b/>
        </w:rPr>
        <w:t xml:space="preserve"> legacy</w:t>
      </w:r>
      <w:r w:rsidRPr="000665B0">
        <w:rPr>
          <w:b/>
        </w:rPr>
        <w:t xml:space="preserve"> users</w:t>
      </w:r>
      <w:r w:rsidR="00FE3E4A" w:rsidRPr="000665B0">
        <w:rPr>
          <w:b/>
        </w:rPr>
        <w:t xml:space="preserve"> viewing the same strike execution</w:t>
      </w:r>
      <w:r w:rsidRPr="000665B0">
        <w:rPr>
          <w:b/>
        </w:rPr>
        <w:t xml:space="preserve"> will have a slightly different tree view on the left side of the SMD.</w:t>
      </w:r>
    </w:p>
    <w:p w14:paraId="65B30530" w14:textId="77777777" w:rsidR="00FE3E4A" w:rsidRPr="000665B0" w:rsidRDefault="00FE3E4A" w:rsidP="00A0163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p>
    <w:p w14:paraId="07D9D390" w14:textId="10C920D6" w:rsidR="00FE3E4A" w:rsidRPr="000665B0" w:rsidRDefault="00FE3E4A" w:rsidP="00A0163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lastRenderedPageBreak/>
        <w:t>Example:</w:t>
      </w:r>
    </w:p>
    <w:p w14:paraId="0EFD6E70" w14:textId="78BA3A59" w:rsidR="00FE3E4A" w:rsidRPr="000665B0" w:rsidRDefault="00FE3E4A" w:rsidP="00A0163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For the Group by/Order settings as shown:</w:t>
      </w:r>
    </w:p>
    <w:p w14:paraId="4A95E86C" w14:textId="37B46F7A" w:rsidR="00FE3E4A" w:rsidRPr="000665B0" w:rsidRDefault="00FE3E4A" w:rsidP="00A0163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noProof/>
        </w:rPr>
        <w:drawing>
          <wp:inline distT="0" distB="0" distL="0" distR="0" wp14:anchorId="1E934F8B" wp14:editId="2ADEA3A8">
            <wp:extent cx="2647950" cy="266700"/>
            <wp:effectExtent l="0" t="0" r="0" b="0"/>
            <wp:docPr id="1435" name="Picture 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765265" cy="278516"/>
                    </a:xfrm>
                    <a:prstGeom prst="rect">
                      <a:avLst/>
                    </a:prstGeom>
                    <a:ln>
                      <a:noFill/>
                    </a:ln>
                    <a:extLst>
                      <a:ext uri="{53640926-AAD7-44D8-BBD7-CCE9431645EC}">
                        <a14:shadowObscured xmlns:a14="http://schemas.microsoft.com/office/drawing/2010/main"/>
                      </a:ext>
                    </a:extLst>
                  </pic:spPr>
                </pic:pic>
              </a:graphicData>
            </a:graphic>
          </wp:inline>
        </w:drawing>
      </w:r>
      <w:r w:rsidRPr="000665B0">
        <w:rPr>
          <w:b/>
        </w:rPr>
        <w:t xml:space="preserve">      </w:t>
      </w:r>
      <w:r w:rsidRPr="000665B0">
        <w:rPr>
          <w:b/>
          <w:noProof/>
        </w:rPr>
        <w:drawing>
          <wp:inline distT="0" distB="0" distL="0" distR="0" wp14:anchorId="179F1F0F" wp14:editId="3A39388D">
            <wp:extent cx="2842260" cy="26193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849171" cy="262575"/>
                    </a:xfrm>
                    <a:prstGeom prst="rect">
                      <a:avLst/>
                    </a:prstGeom>
                    <a:ln>
                      <a:noFill/>
                    </a:ln>
                    <a:extLst>
                      <a:ext uri="{53640926-AAD7-44D8-BBD7-CCE9431645EC}">
                        <a14:shadowObscured xmlns:a14="http://schemas.microsoft.com/office/drawing/2010/main"/>
                      </a:ext>
                    </a:extLst>
                  </pic:spPr>
                </pic:pic>
              </a:graphicData>
            </a:graphic>
          </wp:inline>
        </w:drawing>
      </w:r>
    </w:p>
    <w:p w14:paraId="0205CC02" w14:textId="38089E1A" w:rsidR="00FE3E4A" w:rsidRPr="000665B0" w:rsidRDefault="00FE3E4A" w:rsidP="00A0163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 xml:space="preserve">In MDS 6.0 </w:t>
      </w:r>
      <w:r w:rsidR="00D66027" w:rsidRPr="000665B0">
        <w:rPr>
          <w:b/>
        </w:rPr>
        <w:t>(</w:t>
      </w:r>
      <w:r w:rsidRPr="000665B0">
        <w:rPr>
          <w:b/>
        </w:rPr>
        <w:t>and above</w:t>
      </w:r>
      <w:r w:rsidR="00D66027" w:rsidRPr="000665B0">
        <w:rPr>
          <w:b/>
        </w:rPr>
        <w:t>)</w:t>
      </w:r>
      <w:r w:rsidRPr="000665B0">
        <w:rPr>
          <w:b/>
        </w:rPr>
        <w:t xml:space="preserve">, options are listed in numerical ascending order. Within each option, FRUs are listed in alphabetical ascending order. Within each FRU, its assigned missiles are listed in descending order of MS#. </w:t>
      </w:r>
    </w:p>
    <w:p w14:paraId="758313D4" w14:textId="79B2B5E5" w:rsidR="00FE3E4A" w:rsidRPr="000665B0" w:rsidRDefault="00FE3E4A" w:rsidP="00A0163E">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rPr>
      </w:pPr>
      <w:r w:rsidRPr="000665B0">
        <w:rPr>
          <w:b/>
        </w:rPr>
        <w:t>When viewing the same strike execution, MDS 6.0</w:t>
      </w:r>
      <w:r w:rsidR="00E966FD" w:rsidRPr="000665B0">
        <w:rPr>
          <w:b/>
        </w:rPr>
        <w:t xml:space="preserve"> (and above)</w:t>
      </w:r>
      <w:r w:rsidRPr="000665B0">
        <w:rPr>
          <w:b/>
        </w:rPr>
        <w:t xml:space="preserve"> and MDS legacy users will see a different sorting order in the tree view on the left side of the SMD.</w:t>
      </w:r>
    </w:p>
    <w:p w14:paraId="588F200F" w14:textId="31E0F9E3" w:rsidR="000A607E" w:rsidRPr="000665B0" w:rsidRDefault="009A1FDF" w:rsidP="006D5A65">
      <w:pPr>
        <w:pStyle w:val="Heading1"/>
      </w:pPr>
      <w:r w:rsidRPr="000665B0">
        <w:rPr>
          <w:noProof/>
        </w:rPr>
        <w:drawing>
          <wp:inline distT="0" distB="0" distL="0" distR="0" wp14:anchorId="1A45AE03" wp14:editId="403B4EDE">
            <wp:extent cx="1567543" cy="200025"/>
            <wp:effectExtent l="0" t="0" r="0" b="0"/>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1567543" cy="200025"/>
                    </a:xfrm>
                    <a:prstGeom prst="rect">
                      <a:avLst/>
                    </a:prstGeom>
                    <a:noFill/>
                    <a:ln>
                      <a:noFill/>
                    </a:ln>
                    <a:extLst>
                      <a:ext uri="{53640926-AAD7-44D8-BBD7-CCE9431645EC}">
                        <a14:shadowObscured xmlns:a14="http://schemas.microsoft.com/office/drawing/2010/main"/>
                      </a:ext>
                    </a:extLst>
                  </pic:spPr>
                </pic:pic>
              </a:graphicData>
            </a:graphic>
          </wp:inline>
        </w:drawing>
      </w:r>
      <w:r w:rsidR="000A607E" w:rsidRPr="000665B0">
        <w:t xml:space="preserve"> – Orders the missiles</w:t>
      </w:r>
      <w:r w:rsidR="00A703EB" w:rsidRPr="000665B0">
        <w:t xml:space="preserve"> within the grouping selected, in either </w:t>
      </w:r>
      <w:r w:rsidR="000C29D8" w:rsidRPr="000665B0">
        <w:t>a</w:t>
      </w:r>
      <w:r w:rsidR="00A703EB" w:rsidRPr="000665B0">
        <w:t xml:space="preserve">scending or </w:t>
      </w:r>
      <w:r w:rsidR="000C29D8" w:rsidRPr="000665B0">
        <w:t>d</w:t>
      </w:r>
      <w:r w:rsidR="00A703EB" w:rsidRPr="000665B0">
        <w:t>escending order</w:t>
      </w:r>
      <w:r w:rsidR="000A607E" w:rsidRPr="000665B0">
        <w:t>. Available order by fields are:</w:t>
      </w:r>
    </w:p>
    <w:p w14:paraId="05CDB565" w14:textId="77777777" w:rsidR="000A607E" w:rsidRPr="000665B0" w:rsidRDefault="000A607E" w:rsidP="006D5A65">
      <w:pPr>
        <w:pStyle w:val="Heading1"/>
      </w:pPr>
      <w:r w:rsidRPr="000665B0">
        <w:t>MS# – Order missiles by MS#.</w:t>
      </w:r>
    </w:p>
    <w:p w14:paraId="3FB4A448" w14:textId="77777777" w:rsidR="000A607E" w:rsidRPr="000665B0" w:rsidRDefault="000A607E" w:rsidP="006D5A65">
      <w:pPr>
        <w:pStyle w:val="Heading1"/>
      </w:pPr>
      <w:r w:rsidRPr="000665B0">
        <w:t>TOL – Order by Time of Launch.</w:t>
      </w:r>
    </w:p>
    <w:p w14:paraId="100F27AA" w14:textId="77777777" w:rsidR="000A607E" w:rsidRPr="000665B0" w:rsidRDefault="000A607E" w:rsidP="006D5A65">
      <w:pPr>
        <w:pStyle w:val="Heading1"/>
      </w:pPr>
      <w:r w:rsidRPr="000665B0">
        <w:t>FWP – Order missiles by First Waypoint.</w:t>
      </w:r>
    </w:p>
    <w:p w14:paraId="30715F81" w14:textId="77777777" w:rsidR="000A607E" w:rsidRPr="000665B0" w:rsidRDefault="000A607E" w:rsidP="006D5A65">
      <w:pPr>
        <w:pStyle w:val="Heading1"/>
      </w:pPr>
      <w:r w:rsidRPr="000665B0">
        <w:t>TGT – Order missiles by Target arrival time.</w:t>
      </w:r>
    </w:p>
    <w:p w14:paraId="08699AEE" w14:textId="2EF57CBE" w:rsidR="000A607E" w:rsidRPr="000665B0" w:rsidRDefault="000A607E" w:rsidP="000A607E">
      <w:pPr>
        <w:pStyle w:val="PlainText"/>
        <w:ind w:left="720"/>
        <w:rPr>
          <w:rFonts w:ascii="Times New Roman" w:hAnsi="Times New Roman"/>
        </w:rPr>
      </w:pPr>
      <w:r w:rsidRPr="000665B0">
        <w:rPr>
          <w:rFonts w:ascii="Times New Roman" w:hAnsi="Times New Roman"/>
        </w:rPr>
        <w:t xml:space="preserve">Ordering of missiles </w:t>
      </w:r>
      <w:r w:rsidR="00A703EB" w:rsidRPr="000665B0">
        <w:rPr>
          <w:rFonts w:ascii="Times New Roman" w:hAnsi="Times New Roman"/>
        </w:rPr>
        <w:t xml:space="preserve">applies </w:t>
      </w:r>
      <w:r w:rsidRPr="000665B0">
        <w:rPr>
          <w:rFonts w:ascii="Times New Roman" w:hAnsi="Times New Roman"/>
        </w:rPr>
        <w:t xml:space="preserve">only within their group view. </w:t>
      </w:r>
    </w:p>
    <w:p w14:paraId="56693F60" w14:textId="20D2CB9A" w:rsidR="000A607E" w:rsidRPr="000665B0" w:rsidRDefault="000A607E" w:rsidP="00306174">
      <w:pPr>
        <w:pStyle w:val="Heading6"/>
      </w:pPr>
      <w:bookmarkStart w:id="6558" w:name="_Toc289328903"/>
      <w:r w:rsidRPr="000665B0">
        <w:t>The Network Panel</w:t>
      </w:r>
      <w:bookmarkEnd w:id="6558"/>
    </w:p>
    <w:p w14:paraId="28F726E4" w14:textId="40531563" w:rsidR="00DE33CE" w:rsidRPr="000665B0" w:rsidRDefault="00DE33CE" w:rsidP="004E7DCC">
      <w:r w:rsidRPr="000665B0">
        <w:t>The network panel depicts the planned TSN usage</w:t>
      </w:r>
      <w:r w:rsidR="005F7567" w:rsidRPr="000665B0">
        <w:t xml:space="preserve"> (see </w:t>
      </w:r>
      <w:hyperlink w:anchor="_TSN__Usage" w:history="1">
        <w:r w:rsidR="00E036B6" w:rsidRPr="000665B0">
          <w:rPr>
            <w:rStyle w:val="Hyperlink"/>
          </w:rPr>
          <w:t xml:space="preserve">Section </w:t>
        </w:r>
        <w:r w:rsidR="004231CC">
          <w:rPr>
            <w:rStyle w:val="Hyperlink"/>
          </w:rPr>
          <w:t>5.35</w:t>
        </w:r>
        <w:r w:rsidR="005F7567" w:rsidRPr="000665B0">
          <w:rPr>
            <w:rStyle w:val="Hyperlink"/>
          </w:rPr>
          <w:t>.3.1.1.1.1</w:t>
        </w:r>
      </w:hyperlink>
      <w:r w:rsidR="005F7567" w:rsidRPr="000665B0">
        <w:t>)</w:t>
      </w:r>
      <w:r w:rsidR="009A5699" w:rsidRPr="000665B0">
        <w:t>,</w:t>
      </w:r>
      <w:r w:rsidRPr="000665B0">
        <w:t xml:space="preserve"> as well as the Comms blackout period </w:t>
      </w:r>
      <w:r w:rsidR="005F7567" w:rsidRPr="000665B0">
        <w:t xml:space="preserve">(see </w:t>
      </w:r>
      <w:hyperlink w:anchor="_TSN_Comms_Blackout" w:history="1">
        <w:r w:rsidR="00E036B6" w:rsidRPr="000665B0">
          <w:rPr>
            <w:rStyle w:val="Hyperlink"/>
          </w:rPr>
          <w:t xml:space="preserve">Section </w:t>
        </w:r>
        <w:r w:rsidR="004231CC">
          <w:rPr>
            <w:rStyle w:val="Hyperlink"/>
          </w:rPr>
          <w:t>5.35</w:t>
        </w:r>
        <w:r w:rsidR="005F7567" w:rsidRPr="000665B0">
          <w:rPr>
            <w:rStyle w:val="Hyperlink"/>
          </w:rPr>
          <w:t>.3.1.1.1.2</w:t>
        </w:r>
      </w:hyperlink>
      <w:r w:rsidR="005F7567" w:rsidRPr="000665B0">
        <w:t xml:space="preserve">). </w:t>
      </w:r>
    </w:p>
    <w:p w14:paraId="2E7C77CD" w14:textId="356685A4" w:rsidR="00DE33CE" w:rsidRPr="000665B0" w:rsidRDefault="00DE33CE" w:rsidP="004E7DCC">
      <w:pPr>
        <w:pStyle w:val="Heading7"/>
      </w:pPr>
      <w:bookmarkStart w:id="6559" w:name="_TSN__Usage"/>
      <w:bookmarkEnd w:id="6559"/>
      <w:r w:rsidRPr="000665B0">
        <w:t>TSN Usage Indication in the Network Panel</w:t>
      </w:r>
    </w:p>
    <w:p w14:paraId="1EB13871" w14:textId="77777777" w:rsidR="00916E9C" w:rsidRPr="000665B0" w:rsidRDefault="009A1FDF" w:rsidP="00916E9C">
      <w:pPr>
        <w:pStyle w:val="PlainText"/>
        <w:jc w:val="center"/>
      </w:pPr>
      <w:r w:rsidRPr="000665B0">
        <w:rPr>
          <w:noProof/>
        </w:rPr>
        <w:drawing>
          <wp:inline distT="0" distB="0" distL="0" distR="0" wp14:anchorId="4ADAC8C1" wp14:editId="519A125A">
            <wp:extent cx="4983480" cy="329184"/>
            <wp:effectExtent l="0" t="0" r="0" b="0"/>
            <wp:docPr id="723" name="Picture 723" descr="7 Feb Network Panel - Before Lev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7 Feb Network Panel - Before Leveling"/>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329184"/>
                    </a:xfrm>
                    <a:prstGeom prst="rect">
                      <a:avLst/>
                    </a:prstGeom>
                    <a:noFill/>
                    <a:ln w="9525">
                      <a:noFill/>
                      <a:miter lim="800000"/>
                      <a:headEnd/>
                      <a:tailEnd/>
                    </a:ln>
                  </pic:spPr>
                </pic:pic>
              </a:graphicData>
            </a:graphic>
          </wp:inline>
        </w:drawing>
      </w:r>
    </w:p>
    <w:p w14:paraId="0FCF167A" w14:textId="10391FCF" w:rsidR="00916E9C" w:rsidRPr="000665B0" w:rsidRDefault="00916E9C" w:rsidP="00916E9C">
      <w:pPr>
        <w:pStyle w:val="BodyText"/>
        <w:spacing w:after="120"/>
      </w:pPr>
      <w:r w:rsidRPr="000665B0">
        <w:t xml:space="preserve">The network panel depicts the planned TSN usage. At the top of the panel are the hour and minutes. To the left is the number of messages legend. Each colored bar represents a planned message on the network. Message bars are colored according to whether they violate any of the constraints established by the network characterization parameters on the TSN Execution panel (see </w:t>
      </w:r>
      <w:hyperlink w:anchor="_5.37.1.1.4__TSN" w:history="1">
        <w:r w:rsidR="009326FE" w:rsidRPr="000665B0">
          <w:rPr>
            <w:rStyle w:val="Hyperlink"/>
          </w:rPr>
          <w:t xml:space="preserve">Section </w:t>
        </w:r>
        <w:r w:rsidR="004231CC">
          <w:rPr>
            <w:rStyle w:val="Hyperlink"/>
          </w:rPr>
          <w:t>5.34</w:t>
        </w:r>
        <w:r w:rsidR="00BE62F5" w:rsidRPr="000665B0">
          <w:rPr>
            <w:rStyle w:val="Hyperlink"/>
          </w:rPr>
          <w:t>.1.1.4</w:t>
        </w:r>
      </w:hyperlink>
      <w:r w:rsidRPr="000665B0">
        <w:t xml:space="preserve">). Constraint violations are colored red, conditions that approach constraint violations are colored yellow, and conditions that are well within network constraints are colored black. </w:t>
      </w:r>
      <w:r w:rsidR="00A50599">
        <w:t>Three</w:t>
      </w:r>
      <w:r w:rsidRPr="000665B0">
        <w:t xml:space="preserve"> network constraints are evaluated:</w:t>
      </w:r>
    </w:p>
    <w:p w14:paraId="169E0E7B" w14:textId="77777777" w:rsidR="00916E9C" w:rsidRPr="000665B0" w:rsidRDefault="00916E9C" w:rsidP="006D5A65">
      <w:pPr>
        <w:pStyle w:val="Heading1"/>
      </w:pPr>
      <w:r w:rsidRPr="000665B0">
        <w:t>Number of planned message services does not exceed the maximum concurrent modem services less the unscheduled message allowance. A message service lasts from the beginning of its bar until its end. In the default configuration, no more than two message services should be planned for any given time (leaving one message service for unplanned messages).</w:t>
      </w:r>
    </w:p>
    <w:p w14:paraId="489E3516" w14:textId="77777777" w:rsidR="00916E9C" w:rsidRPr="000665B0" w:rsidRDefault="00916E9C" w:rsidP="006D5A65">
      <w:pPr>
        <w:pStyle w:val="Heading1"/>
      </w:pPr>
      <w:r w:rsidRPr="000665B0">
        <w:t xml:space="preserve">Number of concurrent transmissions does not exceed the maximum concurrent transmissions less the unscheduled message allowance. A message is typically transmitted only in the last third of its total service time. In the default </w:t>
      </w:r>
      <w:r w:rsidRPr="000665B0">
        <w:lastRenderedPageBreak/>
        <w:t>configuration, no more than two planned messages may be transmitted concurrently (leaving one transmission slot for unplanned messages).</w:t>
      </w:r>
    </w:p>
    <w:p w14:paraId="786773DE" w14:textId="77777777" w:rsidR="00916E9C" w:rsidRPr="000665B0" w:rsidRDefault="00916E9C" w:rsidP="006D5A65">
      <w:pPr>
        <w:pStyle w:val="Heading1"/>
      </w:pPr>
      <w:r w:rsidRPr="000665B0">
        <w:t>The time between any two transmissions from the same missile must not be less than the minimum missile transmission interval. In the default configuration, missiles should not be asked to transmit messages that are not at least one minute apart.</w:t>
      </w:r>
    </w:p>
    <w:p w14:paraId="33D4F48D" w14:textId="00FDEE8F" w:rsidR="00F97449" w:rsidRPr="000665B0" w:rsidRDefault="00916E9C" w:rsidP="00F97449">
      <w:pPr>
        <w:pStyle w:val="BodyText"/>
        <w:spacing w:after="120"/>
      </w:pPr>
      <w:r w:rsidRPr="000665B0">
        <w:t>If a message block is colored red, at least one constraint is being violated. If a message block is colored yellow, no constraints are violated but at least one constraint is close to being violated. If a message block is colored black, all is well. Message blocks that are striped indicate higher-priority messages, around which lesser-priority messages should be scheduled.</w:t>
      </w:r>
      <w:r w:rsidR="00F97449" w:rsidRPr="000665B0">
        <w:t xml:space="preserve"> </w:t>
      </w:r>
      <w:r w:rsidR="00F637A2" w:rsidRPr="000665B0">
        <w:t xml:space="preserve">In the screenshot example below, the red-striped block indicates a violation of the ACA High Demand Threshold message limit that is set in Strike Properties (see </w:t>
      </w:r>
      <w:hyperlink w:anchor="_Execution__Tab" w:history="1">
        <w:r w:rsidR="009326FE" w:rsidRPr="000665B0">
          <w:rPr>
            <w:rStyle w:val="Hyperlink"/>
          </w:rPr>
          <w:t xml:space="preserve">Section </w:t>
        </w:r>
        <w:r w:rsidR="004231CC">
          <w:rPr>
            <w:rStyle w:val="Hyperlink"/>
          </w:rPr>
          <w:t>5.34</w:t>
        </w:r>
        <w:r w:rsidR="00F637A2" w:rsidRPr="000665B0">
          <w:rPr>
            <w:rStyle w:val="Hyperlink"/>
          </w:rPr>
          <w:t>.1.1.4.3</w:t>
        </w:r>
      </w:hyperlink>
      <w:r w:rsidR="00F637A2" w:rsidRPr="000665B0">
        <w:t>).</w:t>
      </w:r>
    </w:p>
    <w:p w14:paraId="31FA2B96" w14:textId="77777777" w:rsidR="00C1683F" w:rsidRDefault="009776F7" w:rsidP="00C63237">
      <w:pPr>
        <w:pStyle w:val="BodyText"/>
        <w:spacing w:after="120"/>
        <w:jc w:val="center"/>
        <w:rPr>
          <w:noProof/>
        </w:rPr>
      </w:pPr>
      <w:r w:rsidRPr="005920F7">
        <w:rPr>
          <w:noProof/>
        </w:rPr>
        <w:drawing>
          <wp:inline distT="0" distB="0" distL="0" distR="0" wp14:anchorId="18F5AC8E" wp14:editId="5A607644">
            <wp:extent cx="4983480" cy="1481328"/>
            <wp:effectExtent l="0" t="0" r="0" b="0"/>
            <wp:docPr id="444366087" name="Picture 44436608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 name="Picture 2190" descr="A picture containing chart&#10;&#10;Description automatically generated"/>
                    <pic:cNvPicPr/>
                  </pic:nvPicPr>
                  <pic:blipFill rotWithShape="1">
                    <a:blip/>
                    <a:srcRect b="43669"/>
                    <a:stretch/>
                  </pic:blipFill>
                  <pic:spPr bwMode="auto">
                    <a:xfrm>
                      <a:off x="0" y="0"/>
                      <a:ext cx="4983480" cy="1481328"/>
                    </a:xfrm>
                    <a:prstGeom prst="rect">
                      <a:avLst/>
                    </a:prstGeom>
                    <a:ln>
                      <a:noFill/>
                    </a:ln>
                    <a:extLst>
                      <a:ext uri="{53640926-AAD7-44D8-BBD7-CCE9431645EC}">
                        <a14:shadowObscured xmlns:a14="http://schemas.microsoft.com/office/drawing/2010/main"/>
                      </a:ext>
                    </a:extLst>
                  </pic:spPr>
                </pic:pic>
              </a:graphicData>
            </a:graphic>
          </wp:inline>
        </w:drawing>
      </w:r>
    </w:p>
    <w:p w14:paraId="459157CC" w14:textId="4030A426" w:rsidR="00916E9C" w:rsidRPr="000665B0" w:rsidRDefault="00916E9C" w:rsidP="0052704B">
      <w:pPr>
        <w:pStyle w:val="BodyText"/>
        <w:keepNext/>
        <w:spacing w:before="120" w:after="120"/>
        <w:rPr>
          <w:b/>
        </w:rPr>
      </w:pPr>
      <w:r w:rsidRPr="000665B0">
        <w:rPr>
          <w:b/>
        </w:rPr>
        <w:t>Load Leveling:</w:t>
      </w:r>
    </w:p>
    <w:p w14:paraId="73E20DFD" w14:textId="77777777" w:rsidR="00916E9C" w:rsidRPr="000665B0" w:rsidRDefault="00916E9C" w:rsidP="00916E9C">
      <w:pPr>
        <w:pStyle w:val="BodyText"/>
        <w:spacing w:after="120"/>
      </w:pPr>
      <w:r w:rsidRPr="000665B0">
        <w:t>A context menu on the network panel provides automatic load leveling for TSN messages. Load leveling reschedules lower-priority messages to avoid network constraint violations (and, optionally, warnings). The context menu provides two levels of re-scheduling.</w:t>
      </w:r>
    </w:p>
    <w:p w14:paraId="423F9DCB" w14:textId="77777777" w:rsidR="00916E9C" w:rsidRPr="000665B0" w:rsidRDefault="00916E9C" w:rsidP="006D5A65">
      <w:pPr>
        <w:pStyle w:val="Heading1"/>
      </w:pPr>
      <w:r w:rsidRPr="000665B0">
        <w:t>Clear Violations – Invokes load leveling with the goal of eliminating network constraint violations (red areas of the network panel).</w:t>
      </w:r>
    </w:p>
    <w:p w14:paraId="1D954A64" w14:textId="77777777" w:rsidR="00916E9C" w:rsidRPr="000665B0" w:rsidRDefault="00916E9C" w:rsidP="006D5A65">
      <w:pPr>
        <w:pStyle w:val="Heading1"/>
      </w:pPr>
      <w:r w:rsidRPr="000665B0">
        <w:t>Clear Warnings – Invokes load leveling with the goal of eliminating both network constraint violations and warnings (red and yellow areas of the network panel).</w:t>
      </w:r>
    </w:p>
    <w:p w14:paraId="0353A969" w14:textId="77777777" w:rsidR="004E4C76" w:rsidRPr="000665B0" w:rsidRDefault="00916E9C" w:rsidP="004E4C76">
      <w:pPr>
        <w:pStyle w:val="BodyText"/>
        <w:spacing w:after="120"/>
      </w:pPr>
      <w:r w:rsidRPr="000665B0">
        <w:t>Load leveling, by design, is unable to affect the times of messages which are tightly bound to target timing. It will not change the planned times of BDI messages, nor of event-based messages that depend on timing along the missile route, so there are some problems that it cannot fix. It will re-arrange scheduled and periodic health and status messages. Load-leveling will eliminate low-priority messages from the TSN schedule if it cannot re-schedule them for an appropriate time. Load leveling will not attempt to change the message schedule of a missile that has already been launched.</w:t>
      </w:r>
    </w:p>
    <w:p w14:paraId="3B96D4C5" w14:textId="77777777" w:rsidR="00916E9C" w:rsidRPr="000665B0" w:rsidRDefault="00916E9C" w:rsidP="0058307F">
      <w:pPr>
        <w:keepNext/>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246D692E" w14:textId="58A48C19" w:rsidR="00916E9C" w:rsidRPr="000665B0" w:rsidRDefault="00916E9C" w:rsidP="00A0163E">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Unless there is nothing it can do, performing load leveling will change one or more strike packages. For the TSN schedule changes to be effected, the new revisions of the affected </w:t>
      </w:r>
      <w:r w:rsidRPr="000665B0">
        <w:rPr>
          <w:b/>
        </w:rPr>
        <w:lastRenderedPageBreak/>
        <w:t>packages must be distributed to strike participants before the affected missiles are launched. Packages that have been modified will be marked with a “blue bubble” indicator on the Options List View (</w:t>
      </w:r>
      <w:r w:rsidR="00D304FD" w:rsidRPr="000665B0">
        <w:rPr>
          <w:b/>
        </w:rPr>
        <w:t xml:space="preserve">see </w:t>
      </w:r>
      <w:hyperlink w:anchor="_5.38.3.1.6__Options" w:history="1">
        <w:r w:rsidR="00A54F60" w:rsidRPr="000665B0">
          <w:rPr>
            <w:rStyle w:val="Hyperlink"/>
            <w:b/>
          </w:rPr>
          <w:t xml:space="preserve">Section </w:t>
        </w:r>
        <w:r w:rsidR="004231CC">
          <w:rPr>
            <w:rStyle w:val="Hyperlink"/>
            <w:b/>
          </w:rPr>
          <w:t>5.35</w:t>
        </w:r>
        <w:r w:rsidR="00A54F60" w:rsidRPr="000665B0">
          <w:rPr>
            <w:rStyle w:val="Hyperlink"/>
            <w:b/>
          </w:rPr>
          <w:t>.3.1.7</w:t>
        </w:r>
      </w:hyperlink>
      <w:r w:rsidRPr="000665B0">
        <w:rPr>
          <w:b/>
        </w:rPr>
        <w:t>).</w:t>
      </w:r>
    </w:p>
    <w:p w14:paraId="1353B369" w14:textId="77777777" w:rsidR="00690A0F" w:rsidRPr="000665B0" w:rsidRDefault="00690A0F" w:rsidP="00DA7FF3">
      <w:pPr>
        <w:keepNext/>
        <w:rPr>
          <w:b/>
        </w:rPr>
      </w:pPr>
      <w:r w:rsidRPr="000665B0">
        <w:rPr>
          <w:b/>
        </w:rPr>
        <w:t>Violations cleared from previous example:</w:t>
      </w:r>
    </w:p>
    <w:p w14:paraId="0D1688AE" w14:textId="77777777" w:rsidR="00916E9C" w:rsidRPr="000665B0" w:rsidRDefault="009A1FDF" w:rsidP="00446685">
      <w:pPr>
        <w:jc w:val="center"/>
      </w:pPr>
      <w:r w:rsidRPr="000665B0">
        <w:rPr>
          <w:noProof/>
        </w:rPr>
        <w:drawing>
          <wp:inline distT="0" distB="0" distL="0" distR="0" wp14:anchorId="32B15CCB" wp14:editId="52E8A004">
            <wp:extent cx="4983480" cy="329184"/>
            <wp:effectExtent l="0" t="0" r="0" b="0"/>
            <wp:docPr id="724" name="Picture 724" descr="7 Feb Network Panel - Violations Cle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7 Feb Network Panel - Violations Clear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329184"/>
                    </a:xfrm>
                    <a:prstGeom prst="rect">
                      <a:avLst/>
                    </a:prstGeom>
                    <a:noFill/>
                    <a:ln w="9525">
                      <a:noFill/>
                      <a:miter lim="800000"/>
                      <a:headEnd/>
                      <a:tailEnd/>
                    </a:ln>
                  </pic:spPr>
                </pic:pic>
              </a:graphicData>
            </a:graphic>
          </wp:inline>
        </w:drawing>
      </w:r>
    </w:p>
    <w:p w14:paraId="34864444" w14:textId="77777777" w:rsidR="00916E9C" w:rsidRPr="000665B0" w:rsidRDefault="00916E9C" w:rsidP="00916E9C">
      <w:pPr>
        <w:pStyle w:val="BodyText"/>
        <w:spacing w:after="120"/>
      </w:pPr>
      <w:r w:rsidRPr="000665B0">
        <w:t>Note that BDI violations (near right end) were unable to be cleared by automatic load leveling. Clearing these violations will require either alterations in target timing or disabling of some BDI messages.</w:t>
      </w:r>
    </w:p>
    <w:p w14:paraId="1DF5C25E" w14:textId="77777777" w:rsidR="00690A0F" w:rsidRPr="000665B0" w:rsidRDefault="00690A0F" w:rsidP="00A0163E">
      <w:pPr>
        <w:pStyle w:val="BodyText"/>
        <w:spacing w:after="120"/>
        <w:rPr>
          <w:b/>
        </w:rPr>
      </w:pPr>
      <w:r w:rsidRPr="000665B0">
        <w:rPr>
          <w:b/>
        </w:rPr>
        <w:t>Warnings cleared from previous example:</w:t>
      </w:r>
    </w:p>
    <w:p w14:paraId="782E4592" w14:textId="77777777" w:rsidR="00916E9C" w:rsidRPr="000665B0" w:rsidRDefault="009A1FDF" w:rsidP="00A0163E">
      <w:pPr>
        <w:pStyle w:val="BodyText"/>
        <w:spacing w:after="120"/>
        <w:jc w:val="center"/>
      </w:pPr>
      <w:r w:rsidRPr="000665B0">
        <w:rPr>
          <w:noProof/>
        </w:rPr>
        <w:drawing>
          <wp:inline distT="0" distB="0" distL="0" distR="0" wp14:anchorId="462FF138" wp14:editId="52F596CB">
            <wp:extent cx="4983480" cy="329184"/>
            <wp:effectExtent l="0" t="0" r="0" b="0"/>
            <wp:docPr id="725" name="Picture 725" descr="7 Feb Network Panel - Warnings Cle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7 Feb Network Panel - Warnings Clear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329184"/>
                    </a:xfrm>
                    <a:prstGeom prst="rect">
                      <a:avLst/>
                    </a:prstGeom>
                    <a:noFill/>
                    <a:ln w="9525">
                      <a:noFill/>
                      <a:miter lim="800000"/>
                      <a:headEnd/>
                      <a:tailEnd/>
                    </a:ln>
                  </pic:spPr>
                </pic:pic>
              </a:graphicData>
            </a:graphic>
          </wp:inline>
        </w:drawing>
      </w:r>
    </w:p>
    <w:p w14:paraId="222FDF70" w14:textId="77777777" w:rsidR="00916E9C" w:rsidRPr="000665B0" w:rsidRDefault="00916E9C" w:rsidP="003F2C04">
      <w:pPr>
        <w:pStyle w:val="BodyText"/>
        <w:spacing w:after="120"/>
      </w:pPr>
      <w:r w:rsidRPr="000665B0">
        <w:t>Some warnings due to BDI and route event messages could not be cleared by automatic load leveling.</w:t>
      </w:r>
    </w:p>
    <w:p w14:paraId="219B86A9" w14:textId="77777777" w:rsidR="00B54B8C" w:rsidRPr="000665B0" w:rsidRDefault="00B54B8C" w:rsidP="00A0163E">
      <w:pPr>
        <w:pStyle w:val="BodyText"/>
        <w:spacing w:after="120"/>
        <w:rPr>
          <w:b/>
        </w:rPr>
      </w:pPr>
      <w:r w:rsidRPr="000665B0">
        <w:rPr>
          <w:b/>
        </w:rPr>
        <w:t>Detail of maximum modem service violation</w:t>
      </w:r>
      <w:r w:rsidR="00F3036B" w:rsidRPr="000665B0">
        <w:rPr>
          <w:b/>
        </w:rPr>
        <w:t>:</w:t>
      </w:r>
    </w:p>
    <w:p w14:paraId="2A0EAD2B" w14:textId="77777777" w:rsidR="00C1683F" w:rsidRDefault="00295105" w:rsidP="0052704B">
      <w:pPr>
        <w:spacing w:before="120"/>
        <w:jc w:val="center"/>
        <w:rPr>
          <w:noProof/>
        </w:rPr>
      </w:pPr>
      <w:r w:rsidRPr="000665B0">
        <w:rPr>
          <w:noProof/>
        </w:rPr>
        <w:drawing>
          <wp:inline distT="0" distB="0" distL="0" distR="0" wp14:anchorId="75D4DBFE" wp14:editId="4BD441A8">
            <wp:extent cx="1600200" cy="2862072"/>
            <wp:effectExtent l="0" t="0" r="0" b="0"/>
            <wp:docPr id="1200430569" name="Picture 1200430569" descr="Detail - 3 Modem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Detail - 3 Modem Services"/>
                    <pic:cNvPicPr>
                      <a:picLocks noChangeAspect="1" noChangeArrowheads="1"/>
                    </pic:cNvPicPr>
                  </pic:nvPicPr>
                  <pic:blipFill rotWithShape="1">
                    <a:blip cstate="print"/>
                    <a:srcRect b="28612"/>
                    <a:stretch/>
                  </pic:blipFill>
                  <pic:spPr bwMode="auto">
                    <a:xfrm>
                      <a:off x="0" y="0"/>
                      <a:ext cx="1600200" cy="2862072"/>
                    </a:xfrm>
                    <a:prstGeom prst="rect">
                      <a:avLst/>
                    </a:prstGeom>
                    <a:noFill/>
                    <a:ln>
                      <a:noFill/>
                    </a:ln>
                    <a:extLst>
                      <a:ext uri="{53640926-AAD7-44D8-BBD7-CCE9431645EC}">
                        <a14:shadowObscured xmlns:a14="http://schemas.microsoft.com/office/drawing/2010/main"/>
                      </a:ext>
                    </a:extLst>
                  </pic:spPr>
                </pic:pic>
              </a:graphicData>
            </a:graphic>
          </wp:inline>
        </w:drawing>
      </w:r>
    </w:p>
    <w:p w14:paraId="4BA4C3EB" w14:textId="77777777" w:rsidR="00B54B8C" w:rsidRPr="000665B0" w:rsidRDefault="00B54B8C" w:rsidP="0052704B">
      <w:pPr>
        <w:keepNext/>
        <w:spacing w:before="120"/>
        <w:rPr>
          <w:b/>
        </w:rPr>
      </w:pPr>
      <w:r w:rsidRPr="000665B0">
        <w:rPr>
          <w:b/>
        </w:rPr>
        <w:lastRenderedPageBreak/>
        <w:t>Detail of minimum missile transmission interval violation</w:t>
      </w:r>
      <w:r w:rsidR="00F3036B" w:rsidRPr="000665B0">
        <w:rPr>
          <w:b/>
        </w:rPr>
        <w:t>:</w:t>
      </w:r>
    </w:p>
    <w:p w14:paraId="0AFCDBB3" w14:textId="77777777" w:rsidR="00916E9C" w:rsidRPr="000665B0" w:rsidRDefault="009A1FDF" w:rsidP="0052704B">
      <w:pPr>
        <w:spacing w:before="120"/>
        <w:jc w:val="center"/>
      </w:pPr>
      <w:r w:rsidRPr="000665B0">
        <w:rPr>
          <w:noProof/>
        </w:rPr>
        <w:drawing>
          <wp:inline distT="0" distB="0" distL="0" distR="0" wp14:anchorId="6D3EE845" wp14:editId="3CF35A1D">
            <wp:extent cx="1600200" cy="3063240"/>
            <wp:effectExtent l="0" t="0" r="0" b="0"/>
            <wp:docPr id="727" name="Picture 727" descr="Missile Transmission Interval Violation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Missile Transmission Interval Violation - Detail"/>
                    <pic:cNvPicPr>
                      <a:picLocks noChangeAspect="1" noChangeArrowheads="1"/>
                    </pic:cNvPicPr>
                  </pic:nvPicPr>
                  <pic:blipFill>
                    <a:blip cstate="print"/>
                    <a:srcRect/>
                    <a:stretch>
                      <a:fillRect/>
                    </a:stretch>
                  </pic:blipFill>
                  <pic:spPr bwMode="auto">
                    <a:xfrm>
                      <a:off x="0" y="0"/>
                      <a:ext cx="1600200" cy="3063240"/>
                    </a:xfrm>
                    <a:prstGeom prst="rect">
                      <a:avLst/>
                    </a:prstGeom>
                    <a:noFill/>
                    <a:ln w="9525">
                      <a:noFill/>
                      <a:miter lim="800000"/>
                      <a:headEnd/>
                      <a:tailEnd/>
                    </a:ln>
                  </pic:spPr>
                </pic:pic>
              </a:graphicData>
            </a:graphic>
          </wp:inline>
        </w:drawing>
      </w:r>
    </w:p>
    <w:p w14:paraId="3BCF05E1" w14:textId="27DAB792" w:rsidR="009A5699" w:rsidRPr="000665B0" w:rsidRDefault="009A5699" w:rsidP="004E7DCC">
      <w:pPr>
        <w:pStyle w:val="Heading7"/>
      </w:pPr>
      <w:bookmarkStart w:id="6560" w:name="_TSN_Comms_Blackout"/>
      <w:bookmarkEnd w:id="6560"/>
      <w:r w:rsidRPr="000665B0">
        <w:t>TSN Comms Blackout Indication in the Network Panel</w:t>
      </w:r>
    </w:p>
    <w:p w14:paraId="752EF7AC" w14:textId="71EEC581" w:rsidR="009A5699" w:rsidRPr="000665B0" w:rsidRDefault="009A5699" w:rsidP="009A5699">
      <w:r w:rsidRPr="000665B0">
        <w:t>The network panel depicts the Comms blackout period</w:t>
      </w:r>
      <w:r w:rsidR="00C9665E" w:rsidRPr="000665B0">
        <w:t xml:space="preserve"> </w:t>
      </w:r>
      <w:r w:rsidR="00B85C16" w:rsidRPr="000665B0">
        <w:t xml:space="preserve">with orange diagonal lines </w:t>
      </w:r>
      <w:r w:rsidR="00C9665E" w:rsidRPr="000665B0">
        <w:t xml:space="preserve">when there is a Comms blackout </w:t>
      </w:r>
      <w:r w:rsidR="00B85C16" w:rsidRPr="000665B0">
        <w:t>during</w:t>
      </w:r>
      <w:r w:rsidR="00C9665E" w:rsidRPr="000665B0">
        <w:t xml:space="preserve"> a specific time </w:t>
      </w:r>
      <w:r w:rsidR="00166DDC" w:rsidRPr="000665B0">
        <w:t>span</w:t>
      </w:r>
      <w:r w:rsidR="00C9665E" w:rsidRPr="000665B0">
        <w:t xml:space="preserve"> </w:t>
      </w:r>
      <w:r w:rsidR="00166DDC" w:rsidRPr="000665B0">
        <w:t>in</w:t>
      </w:r>
      <w:r w:rsidR="00C9665E" w:rsidRPr="000665B0">
        <w:t xml:space="preserve"> a geographical area </w:t>
      </w:r>
      <w:r w:rsidR="00B85C16" w:rsidRPr="000665B0">
        <w:t xml:space="preserve">that is contained </w:t>
      </w:r>
      <w:r w:rsidR="00C9665E" w:rsidRPr="000665B0">
        <w:t>within the POB, as designated in the Geographic Exception of the Filter Message. The C</w:t>
      </w:r>
      <w:r w:rsidR="00B85C16" w:rsidRPr="000665B0">
        <w:t>omms</w:t>
      </w:r>
      <w:r w:rsidR="00C9665E" w:rsidRPr="000665B0">
        <w:t xml:space="preserve"> blackout</w:t>
      </w:r>
      <w:r w:rsidR="00B85C16" w:rsidRPr="000665B0">
        <w:t xml:space="preserve"> period</w:t>
      </w:r>
      <w:r w:rsidR="00C9665E" w:rsidRPr="000665B0">
        <w:t xml:space="preserve"> </w:t>
      </w:r>
      <w:r w:rsidR="001F6475" w:rsidRPr="000665B0">
        <w:t>results from receiving</w:t>
      </w:r>
      <w:r w:rsidR="00C9665E" w:rsidRPr="000665B0">
        <w:t xml:space="preserve"> </w:t>
      </w:r>
      <w:r w:rsidR="00166DDC" w:rsidRPr="000665B0">
        <w:t>a Filter Response message</w:t>
      </w:r>
      <w:r w:rsidR="001F6475" w:rsidRPr="000665B0">
        <w:t xml:space="preserve"> from the NSP</w:t>
      </w:r>
      <w:r w:rsidR="00166DDC" w:rsidRPr="000665B0">
        <w:t xml:space="preserve"> that contains a Geographic Exception</w:t>
      </w:r>
      <w:r w:rsidR="00C9665E" w:rsidRPr="000665B0">
        <w:t xml:space="preserve">. The blackout period </w:t>
      </w:r>
      <w:r w:rsidR="00B85C16" w:rsidRPr="000665B0">
        <w:t>is</w:t>
      </w:r>
      <w:r w:rsidR="00C9665E" w:rsidRPr="000665B0">
        <w:t xml:space="preserve"> based on the time </w:t>
      </w:r>
      <w:r w:rsidR="00B85C16" w:rsidRPr="000665B0">
        <w:t>span</w:t>
      </w:r>
      <w:r w:rsidR="00C9665E" w:rsidRPr="000665B0">
        <w:t xml:space="preserve"> indicated in the </w:t>
      </w:r>
      <w:r w:rsidR="00B85C16" w:rsidRPr="000665B0">
        <w:t>G</w:t>
      </w:r>
      <w:r w:rsidR="00C9665E" w:rsidRPr="000665B0">
        <w:t xml:space="preserve">eographic </w:t>
      </w:r>
      <w:r w:rsidR="00B85C16" w:rsidRPr="000665B0">
        <w:t>E</w:t>
      </w:r>
      <w:r w:rsidR="00C9665E" w:rsidRPr="000665B0">
        <w:t xml:space="preserve">xception. </w:t>
      </w:r>
      <w:r w:rsidR="00E1776F" w:rsidRPr="000665B0">
        <w:t>In addition</w:t>
      </w:r>
      <w:r w:rsidR="001F6475" w:rsidRPr="000665B0">
        <w:t>,</w:t>
      </w:r>
      <w:r w:rsidR="00E1776F" w:rsidRPr="000665B0">
        <w:t xml:space="preserve"> t</w:t>
      </w:r>
      <w:r w:rsidR="00C9665E" w:rsidRPr="000665B0">
        <w:t>he C</w:t>
      </w:r>
      <w:r w:rsidR="00B85C16" w:rsidRPr="000665B0">
        <w:t>omms</w:t>
      </w:r>
      <w:r w:rsidR="00C9665E" w:rsidRPr="000665B0">
        <w:t xml:space="preserve"> blackout </w:t>
      </w:r>
      <w:r w:rsidR="00E1776F" w:rsidRPr="000665B0">
        <w:t xml:space="preserve">period </w:t>
      </w:r>
      <w:r w:rsidR="00C9665E" w:rsidRPr="000665B0">
        <w:t xml:space="preserve">can be simulated in TSRT </w:t>
      </w:r>
      <w:r w:rsidR="00B85C16" w:rsidRPr="000665B0">
        <w:t>by creating a TSN ACA complication (se</w:t>
      </w:r>
      <w:r w:rsidRPr="000665B0">
        <w:t xml:space="preserve">e </w:t>
      </w:r>
      <w:hyperlink w:anchor="_TSN_Complications" w:history="1">
        <w:r w:rsidRPr="000665B0">
          <w:rPr>
            <w:rStyle w:val="Hyperlink"/>
          </w:rPr>
          <w:t xml:space="preserve">Section </w:t>
        </w:r>
        <w:r w:rsidR="004231CC">
          <w:rPr>
            <w:rStyle w:val="Hyperlink"/>
          </w:rPr>
          <w:t>5.37</w:t>
        </w:r>
        <w:r w:rsidRPr="000665B0">
          <w:rPr>
            <w:rStyle w:val="Hyperlink"/>
          </w:rPr>
          <w:t>.14.</w:t>
        </w:r>
        <w:r w:rsidR="00D46E30" w:rsidRPr="000665B0">
          <w:rPr>
            <w:rStyle w:val="Hyperlink"/>
          </w:rPr>
          <w:t>8</w:t>
        </w:r>
      </w:hyperlink>
      <w:r w:rsidR="00B85C16" w:rsidRPr="000665B0">
        <w:t>)</w:t>
      </w:r>
      <w:r w:rsidRPr="000665B0">
        <w:t xml:space="preserve">. </w:t>
      </w:r>
    </w:p>
    <w:p w14:paraId="2438612F" w14:textId="77777777" w:rsidR="009A5699" w:rsidRPr="000665B0" w:rsidRDefault="009A5699" w:rsidP="0052704B">
      <w:pPr>
        <w:spacing w:before="120"/>
        <w:jc w:val="center"/>
      </w:pPr>
      <w:r w:rsidRPr="000665B0">
        <w:rPr>
          <w:noProof/>
        </w:rPr>
        <w:drawing>
          <wp:inline distT="0" distB="0" distL="0" distR="0" wp14:anchorId="46B2FB52" wp14:editId="098C7EAE">
            <wp:extent cx="4114800" cy="9326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932688"/>
                    </a:xfrm>
                    <a:prstGeom prst="rect">
                      <a:avLst/>
                    </a:prstGeom>
                  </pic:spPr>
                </pic:pic>
              </a:graphicData>
            </a:graphic>
          </wp:inline>
        </w:drawing>
      </w:r>
    </w:p>
    <w:p w14:paraId="5D1F27DF" w14:textId="6CC5A022" w:rsidR="00D96FE7" w:rsidRPr="000665B0" w:rsidRDefault="00B85C16" w:rsidP="009A5699">
      <w:r w:rsidRPr="000665B0">
        <w:t>When a</w:t>
      </w:r>
      <w:r w:rsidR="00D96FE7" w:rsidRPr="000665B0">
        <w:t xml:space="preserve"> missile in a strike</w:t>
      </w:r>
      <w:r w:rsidRPr="000665B0">
        <w:t xml:space="preserve"> flies within </w:t>
      </w:r>
      <w:r w:rsidR="00583230" w:rsidRPr="000665B0">
        <w:t>the</w:t>
      </w:r>
      <w:r w:rsidRPr="000665B0">
        <w:t xml:space="preserve"> area defined by </w:t>
      </w:r>
      <w:r w:rsidR="00583230" w:rsidRPr="000665B0">
        <w:t>the Geographic E</w:t>
      </w:r>
      <w:r w:rsidRPr="000665B0">
        <w:t xml:space="preserve">xception in </w:t>
      </w:r>
      <w:r w:rsidR="00583230" w:rsidRPr="000665B0">
        <w:t>the F</w:t>
      </w:r>
      <w:r w:rsidRPr="000665B0">
        <w:t xml:space="preserve">ilter </w:t>
      </w:r>
      <w:r w:rsidR="00583230" w:rsidRPr="000665B0">
        <w:t>R</w:t>
      </w:r>
      <w:r w:rsidRPr="000665B0">
        <w:t>esponse message,</w:t>
      </w:r>
      <w:r w:rsidR="00D96FE7" w:rsidRPr="000665B0">
        <w:t xml:space="preserve"> the affected missile’s resulting Comms blackout period is </w:t>
      </w:r>
      <w:r w:rsidR="002956EB" w:rsidRPr="000665B0">
        <w:t xml:space="preserve">also </w:t>
      </w:r>
      <w:r w:rsidR="00D96FE7" w:rsidRPr="000665B0">
        <w:t>indicated by orange diagonal lines on its corresponding row of the Gantt Chart. In the example below:</w:t>
      </w:r>
    </w:p>
    <w:p w14:paraId="042296FD" w14:textId="17058AAF" w:rsidR="00D96FE7" w:rsidRPr="000665B0" w:rsidRDefault="008E5521" w:rsidP="006D5A65">
      <w:pPr>
        <w:pStyle w:val="Heading1"/>
      </w:pPr>
      <w:r w:rsidRPr="000665B0">
        <w:lastRenderedPageBreak/>
        <w:t>T</w:t>
      </w:r>
      <w:r w:rsidR="00D96FE7" w:rsidRPr="000665B0">
        <w:t xml:space="preserve">he orange diagonal lines on the network panel indicate the Comms blackout </w:t>
      </w:r>
      <w:r w:rsidR="00B85C16" w:rsidRPr="000665B0">
        <w:t>period</w:t>
      </w:r>
      <w:r w:rsidRPr="000665B0">
        <w:t>.</w:t>
      </w:r>
    </w:p>
    <w:p w14:paraId="61314D9A" w14:textId="74820E7A" w:rsidR="008E5521" w:rsidRPr="000665B0" w:rsidRDefault="008E5521" w:rsidP="006D5A65">
      <w:pPr>
        <w:pStyle w:val="Heading1"/>
      </w:pPr>
      <w:r w:rsidRPr="000665B0">
        <w:t xml:space="preserve">The orange diagonal lines on </w:t>
      </w:r>
      <w:r w:rsidR="00C14C3E" w:rsidRPr="000665B0">
        <w:t>the missile</w:t>
      </w:r>
      <w:r w:rsidRPr="000665B0">
        <w:t>’s Gantt Chart row</w:t>
      </w:r>
      <w:r w:rsidR="00C14C3E" w:rsidRPr="000665B0">
        <w:t xml:space="preserve">s </w:t>
      </w:r>
      <w:r w:rsidRPr="000665B0">
        <w:t xml:space="preserve">indicate </w:t>
      </w:r>
      <w:r w:rsidR="00B85C16" w:rsidRPr="000665B0">
        <w:t xml:space="preserve">that </w:t>
      </w:r>
      <w:r w:rsidR="00C14C3E" w:rsidRPr="000665B0">
        <w:t>those missiles</w:t>
      </w:r>
      <w:r w:rsidRPr="000665B0">
        <w:t xml:space="preserve"> </w:t>
      </w:r>
      <w:r w:rsidR="00B85C16" w:rsidRPr="000665B0">
        <w:t xml:space="preserve">will fly through the Geographic Exception area at the time of the Comms blackout period. </w:t>
      </w:r>
    </w:p>
    <w:p w14:paraId="51B6FEA0" w14:textId="77777777" w:rsidR="00C1683F" w:rsidRDefault="00BE04BD" w:rsidP="0052704B">
      <w:pPr>
        <w:spacing w:before="120"/>
        <w:jc w:val="center"/>
        <w:rPr>
          <w:noProof/>
        </w:rPr>
      </w:pPr>
      <w:r>
        <w:rPr>
          <w:noProof/>
        </w:rPr>
        <w:drawing>
          <wp:inline distT="0" distB="0" distL="0" distR="0" wp14:anchorId="7C183912" wp14:editId="733FD181">
            <wp:extent cx="4983480" cy="1901952"/>
            <wp:effectExtent l="0" t="0" r="0" b="0"/>
            <wp:docPr id="1175819658" name="Picture 1175819658"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19658" name="Picture 1175819658" descr="A picture containing chart&#10;&#10;Description automatically generated"/>
                    <pic:cNvPicPr>
                      <a:picLocks noChangeAspect="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983480" cy="1901952"/>
                    </a:xfrm>
                    <a:prstGeom prst="rect">
                      <a:avLst/>
                    </a:prstGeom>
                    <a:noFill/>
                    <a:ln>
                      <a:noFill/>
                    </a:ln>
                  </pic:spPr>
                </pic:pic>
              </a:graphicData>
            </a:graphic>
          </wp:inline>
        </w:drawing>
      </w:r>
    </w:p>
    <w:p w14:paraId="338BC02F" w14:textId="43093A9A" w:rsidR="009A5699" w:rsidRPr="000665B0" w:rsidRDefault="00B85C16" w:rsidP="009A5699">
      <w:r w:rsidRPr="000665B0">
        <w:t xml:space="preserve">When the </w:t>
      </w:r>
      <w:r w:rsidR="007664D9" w:rsidRPr="000665B0">
        <w:rPr>
          <w:b/>
        </w:rPr>
        <w:t>Response Status Indicator</w:t>
      </w:r>
      <w:r w:rsidR="007664D9" w:rsidRPr="000665B0">
        <w:t xml:space="preserve"> icon in the </w:t>
      </w:r>
      <w:r w:rsidR="007664D9" w:rsidRPr="000665B0">
        <w:rPr>
          <w:b/>
        </w:rPr>
        <w:t>Filter Messages</w:t>
      </w:r>
      <w:r w:rsidR="007664D9" w:rsidRPr="000665B0">
        <w:t xml:space="preserve"> pane is</w:t>
      </w:r>
      <w:r w:rsidRPr="000665B0">
        <w:t xml:space="preserve"> </w:t>
      </w:r>
      <w:r w:rsidR="00166DDC" w:rsidRPr="000665B0">
        <w:t>red</w:t>
      </w:r>
      <w:r w:rsidRPr="000665B0">
        <w:t>, it</w:t>
      </w:r>
      <w:r w:rsidR="007664D9" w:rsidRPr="000665B0">
        <w:t xml:space="preserve"> indicates that the NSP response message includes exceptions to the referenced Filter Message.</w:t>
      </w:r>
      <w:r w:rsidRPr="000665B0">
        <w:t xml:space="preserve"> </w:t>
      </w:r>
      <w:r w:rsidR="007664D9" w:rsidRPr="000665B0">
        <w:t>The exception</w:t>
      </w:r>
      <w:r w:rsidRPr="000665B0">
        <w:t xml:space="preserve"> may be </w:t>
      </w:r>
      <w:r w:rsidR="007664D9" w:rsidRPr="000665B0">
        <w:t>a G</w:t>
      </w:r>
      <w:r w:rsidRPr="000665B0">
        <w:t xml:space="preserve">eographic </w:t>
      </w:r>
      <w:r w:rsidR="007664D9" w:rsidRPr="000665B0">
        <w:t>E</w:t>
      </w:r>
      <w:r w:rsidRPr="000665B0">
        <w:t xml:space="preserve">xception area that has </w:t>
      </w:r>
      <w:r w:rsidR="007664D9" w:rsidRPr="000665B0">
        <w:t>a Comms</w:t>
      </w:r>
      <w:r w:rsidRPr="000665B0">
        <w:t xml:space="preserve"> blackout period. </w:t>
      </w:r>
      <w:r w:rsidR="007664D9" w:rsidRPr="000665B0">
        <w:t>Display the ACA Filter Message textually to determine whether</w:t>
      </w:r>
      <w:r w:rsidRPr="000665B0">
        <w:t xml:space="preserve"> the response contains </w:t>
      </w:r>
      <w:r w:rsidR="007664D9" w:rsidRPr="000665B0">
        <w:t>a G</w:t>
      </w:r>
      <w:r w:rsidRPr="000665B0">
        <w:t xml:space="preserve">eographic </w:t>
      </w:r>
      <w:r w:rsidR="007664D9" w:rsidRPr="000665B0">
        <w:t>E</w:t>
      </w:r>
      <w:r w:rsidRPr="000665B0">
        <w:t>xception</w:t>
      </w:r>
      <w:r w:rsidR="007664D9" w:rsidRPr="000665B0">
        <w:t xml:space="preserve">. </w:t>
      </w:r>
    </w:p>
    <w:p w14:paraId="6EAE6054" w14:textId="77777777" w:rsidR="009D0399" w:rsidRPr="000665B0" w:rsidRDefault="009A5699" w:rsidP="004E7DCC">
      <w:pPr>
        <w:jc w:val="center"/>
      </w:pPr>
      <w:r w:rsidRPr="000665B0">
        <w:rPr>
          <w:noProof/>
        </w:rPr>
        <w:drawing>
          <wp:inline distT="0" distB="0" distL="0" distR="0" wp14:anchorId="142A1C3B" wp14:editId="281D391A">
            <wp:extent cx="4983480" cy="530352"/>
            <wp:effectExtent l="0" t="0" r="0" b="0"/>
            <wp:docPr id="1387" name="Picture 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4983480" cy="530352"/>
                    </a:xfrm>
                    <a:prstGeom prst="rect">
                      <a:avLst/>
                    </a:prstGeom>
                    <a:ln>
                      <a:noFill/>
                    </a:ln>
                    <a:extLst>
                      <a:ext uri="{53640926-AAD7-44D8-BBD7-CCE9431645EC}">
                        <a14:shadowObscured xmlns:a14="http://schemas.microsoft.com/office/drawing/2010/main"/>
                      </a:ext>
                    </a:extLst>
                  </pic:spPr>
                </pic:pic>
              </a:graphicData>
            </a:graphic>
          </wp:inline>
        </w:drawing>
      </w:r>
    </w:p>
    <w:p w14:paraId="03590468" w14:textId="74CCA02B" w:rsidR="009D0399" w:rsidRPr="000665B0" w:rsidRDefault="007664D9" w:rsidP="009A5699">
      <w:r w:rsidRPr="000665B0">
        <w:t xml:space="preserve">If </w:t>
      </w:r>
      <w:r w:rsidR="00583230" w:rsidRPr="000665B0">
        <w:t>the Filter Message contains a Geographic Exception</w:t>
      </w:r>
      <w:r w:rsidRPr="000665B0">
        <w:t xml:space="preserve">, the </w:t>
      </w:r>
      <w:r w:rsidRPr="000665B0">
        <w:rPr>
          <w:b/>
          <w:i/>
        </w:rPr>
        <w:t>Response</w:t>
      </w:r>
      <w:r w:rsidRPr="000665B0">
        <w:t xml:space="preserve"> sub tab’s </w:t>
      </w:r>
      <w:r w:rsidRPr="000665B0">
        <w:rPr>
          <w:b/>
        </w:rPr>
        <w:t>Geographic Exceptions</w:t>
      </w:r>
      <w:r w:rsidRPr="000665B0">
        <w:t xml:space="preserve"> pane lists the defined Geographic area that has the Comms blackout period. The Geographic Exception may be displayed geographically. See </w:t>
      </w:r>
      <w:hyperlink w:anchor="_Filter_Messages_Tab" w:history="1">
        <w:r w:rsidR="009326FE" w:rsidRPr="000665B0">
          <w:rPr>
            <w:rStyle w:val="Hyperlink"/>
          </w:rPr>
          <w:t xml:space="preserve">Section </w:t>
        </w:r>
        <w:r w:rsidR="004231CC">
          <w:rPr>
            <w:rStyle w:val="Hyperlink"/>
          </w:rPr>
          <w:t>5.34</w:t>
        </w:r>
        <w:r w:rsidRPr="000665B0">
          <w:rPr>
            <w:rStyle w:val="Hyperlink"/>
          </w:rPr>
          <w:t>.7.1.9</w:t>
        </w:r>
      </w:hyperlink>
      <w:r w:rsidRPr="000665B0">
        <w:t xml:space="preserve"> for more information about the </w:t>
      </w:r>
      <w:r w:rsidRPr="000665B0">
        <w:rPr>
          <w:b/>
        </w:rPr>
        <w:t>Response Status Indicator</w:t>
      </w:r>
      <w:r w:rsidR="00E1776F" w:rsidRPr="000665B0">
        <w:t xml:space="preserve"> icon</w:t>
      </w:r>
      <w:r w:rsidRPr="000665B0">
        <w:t xml:space="preserve">, displaying the Filter Message textually, the </w:t>
      </w:r>
      <w:r w:rsidRPr="000665B0">
        <w:rPr>
          <w:b/>
          <w:i/>
        </w:rPr>
        <w:t>Response</w:t>
      </w:r>
      <w:r w:rsidRPr="000665B0">
        <w:t xml:space="preserve"> sub tab’s </w:t>
      </w:r>
      <w:r w:rsidRPr="000665B0">
        <w:rPr>
          <w:b/>
        </w:rPr>
        <w:t>Geographic Exceptions</w:t>
      </w:r>
      <w:r w:rsidRPr="000665B0">
        <w:t xml:space="preserve"> pane, and </w:t>
      </w:r>
      <w:r w:rsidRPr="000665B0" w:rsidDel="0096362D">
        <w:t>view</w:t>
      </w:r>
      <w:r w:rsidRPr="000665B0">
        <w:t>ing</w:t>
      </w:r>
      <w:r w:rsidRPr="000665B0" w:rsidDel="0096362D">
        <w:t xml:space="preserve"> the </w:t>
      </w:r>
      <w:r w:rsidRPr="000665B0">
        <w:t>Geographic E</w:t>
      </w:r>
      <w:r w:rsidRPr="000665B0" w:rsidDel="0096362D">
        <w:t>xception</w:t>
      </w:r>
      <w:r w:rsidRPr="000665B0">
        <w:t xml:space="preserve"> geographically.</w:t>
      </w:r>
    </w:p>
    <w:p w14:paraId="0CC12BC4" w14:textId="4D768EA2" w:rsidR="009A5699" w:rsidRPr="000665B0" w:rsidRDefault="009A5699" w:rsidP="007664D9">
      <w:pPr>
        <w:jc w:val="center"/>
      </w:pPr>
      <w:r w:rsidRPr="000665B0">
        <w:rPr>
          <w:noProof/>
        </w:rPr>
        <w:lastRenderedPageBreak/>
        <w:drawing>
          <wp:inline distT="0" distB="0" distL="0" distR="0" wp14:anchorId="2B6298A9" wp14:editId="6E041B04">
            <wp:extent cx="3259010" cy="3526972"/>
            <wp:effectExtent l="0" t="0" r="0" b="0"/>
            <wp:docPr id="1389" name="Picture 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68947" cy="3537726"/>
                    </a:xfrm>
                    <a:prstGeom prst="rect">
                      <a:avLst/>
                    </a:prstGeom>
                  </pic:spPr>
                </pic:pic>
              </a:graphicData>
            </a:graphic>
          </wp:inline>
        </w:drawing>
      </w:r>
    </w:p>
    <w:p w14:paraId="218526E3" w14:textId="7E9B0239" w:rsidR="000A607E" w:rsidRPr="000665B0" w:rsidRDefault="000A607E" w:rsidP="00306174">
      <w:pPr>
        <w:pStyle w:val="Heading6"/>
      </w:pPr>
      <w:bookmarkStart w:id="6561" w:name="_Missile_Assignments_List/Icon"/>
      <w:bookmarkStart w:id="6562" w:name="_Toc289328904"/>
      <w:bookmarkStart w:id="6563" w:name="_Hlk141886440"/>
      <w:bookmarkEnd w:id="6561"/>
      <w:r w:rsidRPr="000665B0">
        <w:t>Missile Assignments List</w:t>
      </w:r>
      <w:bookmarkEnd w:id="6562"/>
      <w:r w:rsidR="002A1530" w:rsidRPr="000665B0">
        <w:t>/Icon Definitions</w:t>
      </w:r>
    </w:p>
    <w:p w14:paraId="0C31A989" w14:textId="7853B9D9" w:rsidR="00561DE7" w:rsidRPr="000665B0" w:rsidRDefault="00561DE7" w:rsidP="00561DE7">
      <w:bookmarkStart w:id="6564" w:name="_5.38.3.1.1.2.1__Gantt"/>
      <w:bookmarkEnd w:id="6564"/>
      <w:r w:rsidRPr="000665B0">
        <w:t>This list show</w:t>
      </w:r>
      <w:r w:rsidR="00BA3A39" w:rsidRPr="000665B0">
        <w:t>s</w:t>
      </w:r>
      <w:r w:rsidRPr="000665B0">
        <w:t xml:space="preserve"> the missiles grouped by </w:t>
      </w:r>
      <w:r w:rsidR="009A5DDC" w:rsidRPr="000665B0">
        <w:t>the selection made in</w:t>
      </w:r>
      <w:r w:rsidRPr="000665B0">
        <w:t xml:space="preserve"> the </w:t>
      </w:r>
      <w:r w:rsidRPr="000665B0">
        <w:rPr>
          <w:b/>
        </w:rPr>
        <w:t>Group By</w:t>
      </w:r>
      <w:r w:rsidRPr="000665B0">
        <w:t xml:space="preserve"> </w:t>
      </w:r>
      <w:r w:rsidR="009A5DDC" w:rsidRPr="000665B0">
        <w:t>pull down menu</w:t>
      </w:r>
      <w:r w:rsidRPr="000665B0">
        <w:t xml:space="preserve"> in the toolbar</w:t>
      </w:r>
      <w:r w:rsidR="009A5DDC" w:rsidRPr="000665B0">
        <w:t xml:space="preserve"> (see </w:t>
      </w:r>
      <w:hyperlink w:anchor="_5_.38.3.1.1_" w:history="1">
        <w:r w:rsidR="00E036B6" w:rsidRPr="000665B0">
          <w:rPr>
            <w:rStyle w:val="Hyperlink"/>
          </w:rPr>
          <w:t xml:space="preserve">Section </w:t>
        </w:r>
        <w:r w:rsidR="004231CC">
          <w:rPr>
            <w:rStyle w:val="Hyperlink"/>
          </w:rPr>
          <w:t>5.35</w:t>
        </w:r>
        <w:r w:rsidR="009A5DDC" w:rsidRPr="000665B0">
          <w:rPr>
            <w:rStyle w:val="Hyperlink"/>
          </w:rPr>
          <w:t>.3.1.1</w:t>
        </w:r>
      </w:hyperlink>
      <w:r w:rsidR="009A5DDC" w:rsidRPr="000665B0">
        <w:t>)</w:t>
      </w:r>
      <w:r w:rsidRPr="000665B0">
        <w:t xml:space="preserve">. The sorting order of the missiles displayed can be changed by using the </w:t>
      </w:r>
      <w:r w:rsidRPr="000665B0">
        <w:rPr>
          <w:b/>
        </w:rPr>
        <w:t>Order Missiles within Grouping by</w:t>
      </w:r>
      <w:r w:rsidRPr="000665B0">
        <w:t xml:space="preserve"> </w:t>
      </w:r>
      <w:r w:rsidR="00BA3A39" w:rsidRPr="000665B0">
        <w:t xml:space="preserve">pull </w:t>
      </w:r>
      <w:r w:rsidRPr="000665B0">
        <w:t xml:space="preserve">down </w:t>
      </w:r>
      <w:r w:rsidR="00BA3A39" w:rsidRPr="000665B0">
        <w:t xml:space="preserve">menu </w:t>
      </w:r>
      <w:r w:rsidRPr="000665B0">
        <w:t>in the toolbar.</w:t>
      </w:r>
      <w:r w:rsidR="00F97449" w:rsidRPr="000665B0">
        <w:t xml:space="preserve"> Once the missile grouping and sorting order have been selected and the missiles are displayed, the display does not update when missiles’ times are shifted. This is intended to prevent the system from automatically re-ordering the missiles and changing the display. As a result, the SMD’s grouping and sorting order may vary from client to client, even though the </w:t>
      </w:r>
      <w:r w:rsidR="00F97449" w:rsidRPr="000665B0">
        <w:rPr>
          <w:b/>
        </w:rPr>
        <w:t>Group By</w:t>
      </w:r>
      <w:r w:rsidR="00F97449" w:rsidRPr="000665B0">
        <w:t xml:space="preserve"> and </w:t>
      </w:r>
      <w:r w:rsidR="00F97449" w:rsidRPr="000665B0">
        <w:rPr>
          <w:b/>
        </w:rPr>
        <w:t xml:space="preserve">Order Missiles within Grouping by </w:t>
      </w:r>
      <w:r w:rsidR="00F97449" w:rsidRPr="000665B0">
        <w:t>selections are the same.</w:t>
      </w:r>
    </w:p>
    <w:p w14:paraId="545358B3" w14:textId="77DAD241" w:rsidR="00315E9C" w:rsidRPr="000665B0" w:rsidRDefault="009651B0" w:rsidP="009651B0">
      <w:pPr>
        <w:ind w:left="720"/>
        <w:jc w:val="center"/>
        <w:rPr>
          <w:noProof/>
        </w:rPr>
      </w:pPr>
      <w:r w:rsidRPr="000665B0">
        <w:rPr>
          <w:noProof/>
        </w:rPr>
        <w:drawing>
          <wp:inline distT="0" distB="0" distL="0" distR="0" wp14:anchorId="115193B8" wp14:editId="5460BC28">
            <wp:extent cx="1828800" cy="2606040"/>
            <wp:effectExtent l="0" t="0" r="0" b="3810"/>
            <wp:docPr id="2189" name="Picture 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8800" cy="2606040"/>
                    </a:xfrm>
                    <a:prstGeom prst="rect">
                      <a:avLst/>
                    </a:prstGeom>
                  </pic:spPr>
                </pic:pic>
              </a:graphicData>
            </a:graphic>
          </wp:inline>
        </w:drawing>
      </w:r>
      <w:r w:rsidR="00212A1B">
        <w:rPr>
          <w:noProof/>
        </w:rPr>
        <w:t xml:space="preserve">  </w:t>
      </w:r>
      <w:r w:rsidR="00A36B1F" w:rsidRPr="000665B0">
        <w:rPr>
          <w:noProof/>
        </w:rPr>
        <w:drawing>
          <wp:inline distT="0" distB="0" distL="0" distR="0" wp14:anchorId="5B2FD3D3" wp14:editId="55B1AE32">
            <wp:extent cx="1828800" cy="2615184"/>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8800" cy="2615184"/>
                    </a:xfrm>
                    <a:prstGeom prst="rect">
                      <a:avLst/>
                    </a:prstGeom>
                  </pic:spPr>
                </pic:pic>
              </a:graphicData>
            </a:graphic>
          </wp:inline>
        </w:drawing>
      </w:r>
    </w:p>
    <w:p w14:paraId="390F1E2A" w14:textId="20B17E9F" w:rsidR="00561DE7" w:rsidRPr="000665B0" w:rsidRDefault="00315E9C" w:rsidP="00561DE7">
      <w:pPr>
        <w:jc w:val="center"/>
      </w:pPr>
      <w:r w:rsidRPr="000665B0">
        <w:rPr>
          <w:noProof/>
        </w:rPr>
        <w:lastRenderedPageBreak/>
        <w:drawing>
          <wp:inline distT="0" distB="0" distL="0" distR="0" wp14:anchorId="5256C708" wp14:editId="51162F75">
            <wp:extent cx="1828800" cy="1865376"/>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8800" cy="1865376"/>
                    </a:xfrm>
                    <a:prstGeom prst="rect">
                      <a:avLst/>
                    </a:prstGeom>
                  </pic:spPr>
                </pic:pic>
              </a:graphicData>
            </a:graphic>
          </wp:inline>
        </w:drawing>
      </w:r>
    </w:p>
    <w:p w14:paraId="1404F1A0" w14:textId="77777777" w:rsidR="00561DE7" w:rsidRPr="000665B0" w:rsidRDefault="00561DE7" w:rsidP="005A42A5">
      <w:pPr>
        <w:keepNext/>
      </w:pPr>
      <w:r w:rsidRPr="000665B0">
        <w:t xml:space="preserve">An option is indicated by the </w:t>
      </w:r>
      <w:r w:rsidR="009A1FDF" w:rsidRPr="000665B0">
        <w:rPr>
          <w:noProof/>
        </w:rPr>
        <w:drawing>
          <wp:inline distT="0" distB="0" distL="0" distR="0" wp14:anchorId="5D28F461" wp14:editId="50C84757">
            <wp:extent cx="200025" cy="180975"/>
            <wp:effectExtent l="19050" t="0" r="9525" b="0"/>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r w:rsidRPr="000665B0">
        <w:t xml:space="preserve"> icon, followed by the Option ID.</w:t>
      </w:r>
    </w:p>
    <w:p w14:paraId="1CB63BBA" w14:textId="77777777" w:rsidR="00561DE7" w:rsidRPr="000665B0" w:rsidRDefault="00561DE7" w:rsidP="00561DE7">
      <w:r w:rsidRPr="000665B0">
        <w:t xml:space="preserve">A FRU is indicated by the </w:t>
      </w:r>
      <w:r w:rsidR="009A1FDF" w:rsidRPr="000665B0">
        <w:rPr>
          <w:noProof/>
        </w:rPr>
        <w:drawing>
          <wp:inline distT="0" distB="0" distL="0" distR="0" wp14:anchorId="76FF8262" wp14:editId="2E65C0F4">
            <wp:extent cx="161925" cy="180975"/>
            <wp:effectExtent l="19050" t="0" r="9525" b="0"/>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cstate="print"/>
                    <a:srcRect/>
                    <a:stretch>
                      <a:fillRect/>
                    </a:stretch>
                  </pic:blipFill>
                  <pic:spPr bwMode="auto">
                    <a:xfrm>
                      <a:off x="0" y="0"/>
                      <a:ext cx="161925" cy="180975"/>
                    </a:xfrm>
                    <a:prstGeom prst="rect">
                      <a:avLst/>
                    </a:prstGeom>
                    <a:noFill/>
                    <a:ln w="9525">
                      <a:noFill/>
                      <a:miter lim="800000"/>
                      <a:headEnd/>
                      <a:tailEnd/>
                    </a:ln>
                  </pic:spPr>
                </pic:pic>
              </a:graphicData>
            </a:graphic>
          </wp:inline>
        </w:drawing>
      </w:r>
      <w:r w:rsidRPr="000665B0">
        <w:t xml:space="preserve"> icon, followed by the Trigraph and the FRU ID in parenthesis.</w:t>
      </w:r>
    </w:p>
    <w:p w14:paraId="161E15AE" w14:textId="4DE01D34" w:rsidR="000C47E6" w:rsidRPr="000665B0" w:rsidRDefault="009A5DDC" w:rsidP="00561DE7">
      <w:r w:rsidRPr="000665B0">
        <w:t>When grouped by TSN Type, t</w:t>
      </w:r>
      <w:r w:rsidR="000C47E6" w:rsidRPr="000665B0">
        <w:t xml:space="preserve">he ACA network type is indicated by the </w:t>
      </w:r>
      <w:r w:rsidR="000C47E6" w:rsidRPr="000665B0">
        <w:rPr>
          <w:bCs/>
          <w:noProof/>
        </w:rPr>
        <w:drawing>
          <wp:inline distT="0" distB="0" distL="0" distR="0" wp14:anchorId="02AD1739" wp14:editId="10A81D25">
            <wp:extent cx="152400" cy="152400"/>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0C47E6" w:rsidRPr="000665B0">
        <w:t xml:space="preserve"> icon. The DAMA network type is indicated by the </w:t>
      </w:r>
      <w:r w:rsidR="000C47E6" w:rsidRPr="000665B0">
        <w:rPr>
          <w:bCs/>
          <w:noProof/>
        </w:rPr>
        <w:drawing>
          <wp:inline distT="0" distB="0" distL="0" distR="0" wp14:anchorId="55834876" wp14:editId="1C72D961">
            <wp:extent cx="152400" cy="152400"/>
            <wp:effectExtent l="0" t="0" r="0" b="0"/>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0C47E6" w:rsidRPr="000665B0">
        <w:t xml:space="preserve"> icon. No Comms is indicated by the </w:t>
      </w:r>
      <w:r w:rsidR="000C47E6" w:rsidRPr="000665B0">
        <w:rPr>
          <w:bCs/>
          <w:noProof/>
        </w:rPr>
        <w:drawing>
          <wp:inline distT="0" distB="0" distL="0" distR="0" wp14:anchorId="0BE2D054" wp14:editId="7D0A15E8">
            <wp:extent cx="152400" cy="152400"/>
            <wp:effectExtent l="0" t="0" r="0" b="0"/>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0C47E6" w:rsidRPr="000665B0">
        <w:t xml:space="preserve"> icon.</w:t>
      </w:r>
    </w:p>
    <w:p w14:paraId="413A7B44" w14:textId="36397730" w:rsidR="00315E9C" w:rsidRPr="000665B0" w:rsidRDefault="00315E9C" w:rsidP="00315E9C">
      <w:r w:rsidRPr="000665B0">
        <w:t xml:space="preserve">A </w:t>
      </w:r>
      <w:r w:rsidR="00107A3F">
        <w:t>maritime T</w:t>
      </w:r>
      <w:r w:rsidRPr="000665B0">
        <w:t xml:space="preserve">arget is indicated by the </w:t>
      </w:r>
      <w:r w:rsidRPr="000665B0">
        <w:rPr>
          <w:noProof/>
          <w:position w:val="-8"/>
        </w:rPr>
        <w:drawing>
          <wp:inline distT="0" distB="0" distL="0" distR="0" wp14:anchorId="17D0E5F9" wp14:editId="06F763EA">
            <wp:extent cx="208143" cy="216816"/>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09312" cy="218033"/>
                    </a:xfrm>
                    <a:prstGeom prst="rect">
                      <a:avLst/>
                    </a:prstGeom>
                  </pic:spPr>
                </pic:pic>
              </a:graphicData>
            </a:graphic>
          </wp:inline>
        </w:drawing>
      </w:r>
      <w:r w:rsidRPr="000665B0">
        <w:t xml:space="preserve"> icon, followed by the Target ID (maritime strike).</w:t>
      </w:r>
      <w:r w:rsidR="00107A3F">
        <w:t xml:space="preserve"> For land attack strikes, grouping by Maritime Target displays the </w:t>
      </w:r>
      <w:r w:rsidR="00107A3F" w:rsidRPr="00107A3F">
        <w:rPr>
          <w:noProof/>
          <w:position w:val="-6"/>
        </w:rPr>
        <w:drawing>
          <wp:inline distT="0" distB="0" distL="0" distR="0" wp14:anchorId="53AACE55" wp14:editId="5BC0BA95">
            <wp:extent cx="173736" cy="173736"/>
            <wp:effectExtent l="0" t="0" r="0" b="0"/>
            <wp:docPr id="2128" name="Picture 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oFist.ico"/>
                    <pic:cNvPicPr/>
                  </pic:nvPicPr>
                  <pic:blipFill>
                    <a:blip>
                      <a:extLst>
                        <a:ext uri="{28A0092B-C50C-407E-A947-70E740481C1C}">
                          <a14:useLocalDpi xmlns:a14="http://schemas.microsoft.com/office/drawing/2010/main"/>
                        </a:ext>
                      </a:extLst>
                    </a:blip>
                    <a:stretch>
                      <a:fillRect/>
                    </a:stretch>
                  </pic:blipFill>
                  <pic:spPr>
                    <a:xfrm>
                      <a:off x="0" y="0"/>
                      <a:ext cx="173736" cy="173736"/>
                    </a:xfrm>
                    <a:prstGeom prst="rect">
                      <a:avLst/>
                    </a:prstGeom>
                  </pic:spPr>
                </pic:pic>
              </a:graphicData>
            </a:graphic>
          </wp:inline>
        </w:drawing>
      </w:r>
      <w:r w:rsidR="00107A3F">
        <w:t xml:space="preserve"> icon.</w:t>
      </w:r>
    </w:p>
    <w:p w14:paraId="29CD3A18" w14:textId="4C5ADB1E" w:rsidR="00315E9C" w:rsidRPr="000665B0" w:rsidRDefault="00315E9C" w:rsidP="00561DE7">
      <w:r w:rsidRPr="000665B0">
        <w:t xml:space="preserve">A </w:t>
      </w:r>
      <w:r w:rsidR="00107A3F">
        <w:t xml:space="preserve">maritime </w:t>
      </w:r>
      <w:r w:rsidRPr="000665B0">
        <w:t xml:space="preserve">Group is indicated by the </w:t>
      </w:r>
      <w:r w:rsidRPr="000665B0">
        <w:rPr>
          <w:noProof/>
          <w:position w:val="-7"/>
        </w:rPr>
        <w:drawing>
          <wp:inline distT="0" distB="0" distL="0" distR="0" wp14:anchorId="77EA9E8E" wp14:editId="0BC2D746">
            <wp:extent cx="137160" cy="164592"/>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37160" cy="164592"/>
                    </a:xfrm>
                    <a:prstGeom prst="rect">
                      <a:avLst/>
                    </a:prstGeom>
                    <a:noFill/>
                    <a:ln>
                      <a:noFill/>
                    </a:ln>
                  </pic:spPr>
                </pic:pic>
              </a:graphicData>
            </a:graphic>
          </wp:inline>
        </w:drawing>
      </w:r>
      <w:r w:rsidRPr="000665B0">
        <w:t xml:space="preserve"> icon, followed by the Group ID (maritime strike).</w:t>
      </w:r>
    </w:p>
    <w:p w14:paraId="1B327627" w14:textId="0B846A28" w:rsidR="00561DE7" w:rsidRPr="000665B0" w:rsidRDefault="00561DE7" w:rsidP="00561DE7">
      <w:r w:rsidRPr="000665B0">
        <w:t xml:space="preserve">A Missile is indicated by the </w:t>
      </w:r>
      <w:r w:rsidR="009A1FDF" w:rsidRPr="000665B0">
        <w:rPr>
          <w:noProof/>
        </w:rPr>
        <w:drawing>
          <wp:inline distT="0" distB="0" distL="0" distR="0" wp14:anchorId="20DC6960" wp14:editId="4CC9568B">
            <wp:extent cx="180975" cy="171450"/>
            <wp:effectExtent l="19050" t="0" r="9525" b="0"/>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Pr="000665B0">
        <w:t xml:space="preserve"> icon, followed by a configurable Missile ID. By default, the MS# </w:t>
      </w:r>
      <w:r w:rsidR="00315E9C" w:rsidRPr="000665B0">
        <w:t xml:space="preserve">is </w:t>
      </w:r>
      <w:r w:rsidRPr="000665B0">
        <w:t>always displayed first. The operator may then configure the rest of the attributes to be displayed in the ID</w:t>
      </w:r>
      <w:r w:rsidR="00AF6111" w:rsidRPr="000665B0">
        <w:t>.</w:t>
      </w:r>
      <w:r w:rsidRPr="000665B0">
        <w:t xml:space="preserve"> (To configure the Gantt Missile Identifier, </w:t>
      </w:r>
      <w:r w:rsidR="00AF6111" w:rsidRPr="000665B0">
        <w:t xml:space="preserve">see </w:t>
      </w:r>
      <w:hyperlink w:anchor="_5.38.3.1.1.2.1__Gantt_2" w:history="1">
        <w:r w:rsidR="00E036B6" w:rsidRPr="000665B0">
          <w:rPr>
            <w:rStyle w:val="Hyperlink"/>
          </w:rPr>
          <w:t xml:space="preserve">Section </w:t>
        </w:r>
        <w:r w:rsidR="004231CC">
          <w:rPr>
            <w:rStyle w:val="Hyperlink"/>
          </w:rPr>
          <w:t>5.35</w:t>
        </w:r>
        <w:r w:rsidRPr="000665B0">
          <w:rPr>
            <w:rStyle w:val="Hyperlink"/>
            <w:bCs/>
          </w:rPr>
          <w:t>.3.1.1.2.1</w:t>
        </w:r>
      </w:hyperlink>
      <w:r w:rsidR="00AF6111" w:rsidRPr="000665B0">
        <w:rPr>
          <w:rStyle w:val="Hyperlink"/>
          <w:bCs/>
        </w:rPr>
        <w:t>.</w:t>
      </w:r>
      <w:r w:rsidRPr="000665B0">
        <w:t xml:space="preserve">) These attributes are listed below: </w:t>
      </w:r>
    </w:p>
    <w:p w14:paraId="79EB63A5" w14:textId="77777777" w:rsidR="00561DE7" w:rsidRPr="000665B0" w:rsidRDefault="00561DE7" w:rsidP="006D5A65">
      <w:pPr>
        <w:pStyle w:val="Heading1"/>
      </w:pPr>
      <w:r w:rsidRPr="000665B0">
        <w:lastRenderedPageBreak/>
        <w:t>BE, Aimpoint ID</w:t>
      </w:r>
    </w:p>
    <w:p w14:paraId="565ABAF5" w14:textId="77777777" w:rsidR="00561DE7" w:rsidRPr="000665B0" w:rsidRDefault="00561DE7" w:rsidP="006D5A65">
      <w:pPr>
        <w:pStyle w:val="Heading1"/>
      </w:pPr>
      <w:r w:rsidRPr="000665B0">
        <w:t>JDPI</w:t>
      </w:r>
    </w:p>
    <w:p w14:paraId="71C33952" w14:textId="77777777" w:rsidR="00561DE7" w:rsidRPr="000665B0" w:rsidRDefault="00561DE7" w:rsidP="006D5A65">
      <w:pPr>
        <w:pStyle w:val="Heading1"/>
      </w:pPr>
      <w:r w:rsidRPr="000665B0">
        <w:t>UIC</w:t>
      </w:r>
    </w:p>
    <w:p w14:paraId="697AE357" w14:textId="77777777" w:rsidR="00561DE7" w:rsidRPr="000665B0" w:rsidRDefault="00561DE7" w:rsidP="006D5A65">
      <w:pPr>
        <w:pStyle w:val="Heading1"/>
      </w:pPr>
      <w:r w:rsidRPr="000665B0">
        <w:t>User Target Number</w:t>
      </w:r>
    </w:p>
    <w:p w14:paraId="2A7077D1" w14:textId="77777777" w:rsidR="00561DE7" w:rsidRPr="000665B0" w:rsidRDefault="00561DE7" w:rsidP="006D5A65">
      <w:pPr>
        <w:pStyle w:val="Heading1"/>
      </w:pPr>
      <w:r w:rsidRPr="000665B0">
        <w:t>TTN</w:t>
      </w:r>
    </w:p>
    <w:p w14:paraId="37B16664" w14:textId="77777777" w:rsidR="00561DE7" w:rsidRPr="000665B0" w:rsidRDefault="00561DE7" w:rsidP="006D5A65">
      <w:pPr>
        <w:pStyle w:val="Heading1"/>
      </w:pPr>
      <w:r w:rsidRPr="000665B0">
        <w:t>Mission ID</w:t>
      </w:r>
    </w:p>
    <w:p w14:paraId="2BB1DF86" w14:textId="77777777" w:rsidR="00561DE7" w:rsidRPr="000665B0" w:rsidRDefault="00561DE7" w:rsidP="006D5A65">
      <w:pPr>
        <w:pStyle w:val="Heading1"/>
      </w:pPr>
      <w:r w:rsidRPr="000665B0">
        <w:t>Branch ID</w:t>
      </w:r>
    </w:p>
    <w:p w14:paraId="61D8DF4F" w14:textId="77777777" w:rsidR="00561DE7" w:rsidRPr="000665B0" w:rsidRDefault="00561DE7" w:rsidP="006D5A65">
      <w:pPr>
        <w:pStyle w:val="Heading1"/>
      </w:pPr>
      <w:r w:rsidRPr="000665B0">
        <w:t>Subscriber ID</w:t>
      </w:r>
    </w:p>
    <w:p w14:paraId="57FBCC6A" w14:textId="77777777" w:rsidR="00561DE7" w:rsidRPr="000665B0" w:rsidRDefault="00561DE7" w:rsidP="006D5A65">
      <w:pPr>
        <w:pStyle w:val="Heading1"/>
      </w:pPr>
      <w:r w:rsidRPr="000665B0">
        <w:t>MSL Variant</w:t>
      </w:r>
    </w:p>
    <w:p w14:paraId="71DDDBDE" w14:textId="77777777" w:rsidR="00561DE7" w:rsidRPr="000665B0" w:rsidRDefault="00561DE7" w:rsidP="006D5A65">
      <w:pPr>
        <w:pStyle w:val="Heading1"/>
      </w:pPr>
      <w:r w:rsidRPr="000665B0">
        <w:t>FRU (specified as a Trigraph)</w:t>
      </w:r>
    </w:p>
    <w:p w14:paraId="6748B9EC" w14:textId="77777777" w:rsidR="00561DE7" w:rsidRPr="000665B0" w:rsidRDefault="00561DE7" w:rsidP="006D5A65">
      <w:pPr>
        <w:pStyle w:val="Heading1"/>
      </w:pPr>
      <w:r w:rsidRPr="000665B0">
        <w:t>Missile Priority</w:t>
      </w:r>
    </w:p>
    <w:p w14:paraId="6C1190B0" w14:textId="77777777" w:rsidR="00561DE7" w:rsidRPr="000665B0" w:rsidRDefault="00561DE7" w:rsidP="006D5A65">
      <w:pPr>
        <w:pStyle w:val="Heading1"/>
      </w:pPr>
      <w:r w:rsidRPr="000665B0">
        <w:t>Aimpoint Priority</w:t>
      </w:r>
    </w:p>
    <w:p w14:paraId="78E896BC" w14:textId="77777777" w:rsidR="00561DE7" w:rsidRPr="000665B0" w:rsidRDefault="00561DE7" w:rsidP="006D5A65">
      <w:pPr>
        <w:pStyle w:val="Heading1"/>
      </w:pPr>
      <w:r w:rsidRPr="000665B0">
        <w:t>Primary Msl Cntlr (specified as a Trigraph)</w:t>
      </w:r>
    </w:p>
    <w:p w14:paraId="0DEBB298" w14:textId="77777777" w:rsidR="00561DE7" w:rsidRPr="000665B0" w:rsidRDefault="00561DE7" w:rsidP="006D5A65">
      <w:pPr>
        <w:pStyle w:val="Heading1"/>
      </w:pPr>
      <w:r w:rsidRPr="000665B0">
        <w:t>Backup Msl Cntlr (specified as a Trigraph)</w:t>
      </w:r>
    </w:p>
    <w:p w14:paraId="262F3448" w14:textId="77777777" w:rsidR="000C47E6" w:rsidRPr="000665B0" w:rsidRDefault="000C47E6" w:rsidP="006D5A65">
      <w:pPr>
        <w:pStyle w:val="Heading1"/>
      </w:pPr>
      <w:r w:rsidRPr="000665B0">
        <w:t>TSN Type Assigned</w:t>
      </w:r>
    </w:p>
    <w:p w14:paraId="7BF5776F" w14:textId="520B427C" w:rsidR="00561DE7" w:rsidRPr="000665B0" w:rsidRDefault="00561DE7" w:rsidP="006D5A65">
      <w:pPr>
        <w:pStyle w:val="Heading1"/>
      </w:pPr>
      <w:r w:rsidRPr="000665B0">
        <w:t>Time Type</w:t>
      </w:r>
    </w:p>
    <w:p w14:paraId="15025F86" w14:textId="76A13ADE" w:rsidR="009F5697" w:rsidRPr="000665B0" w:rsidRDefault="009F5697" w:rsidP="006D5A65">
      <w:pPr>
        <w:pStyle w:val="Heading1"/>
      </w:pPr>
      <w:r w:rsidRPr="000665B0">
        <w:t>CST ID (maritime strike)</w:t>
      </w:r>
    </w:p>
    <w:p w14:paraId="17F8BE71" w14:textId="477AC2AC" w:rsidR="00315E9C" w:rsidRPr="000665B0" w:rsidRDefault="00315E9C" w:rsidP="006D5A65">
      <w:pPr>
        <w:pStyle w:val="Heading1"/>
      </w:pPr>
      <w:r w:rsidRPr="000665B0">
        <w:t>TGT ID (maritime strike)</w:t>
      </w:r>
      <w:r w:rsidR="00BF38FB" w:rsidRPr="000665B0">
        <w:t>.</w:t>
      </w:r>
    </w:p>
    <w:p w14:paraId="12F3CFE5" w14:textId="6ABAA0DC" w:rsidR="00561DE7" w:rsidRPr="000665B0" w:rsidRDefault="00561DE7" w:rsidP="00561DE7">
      <w:r w:rsidRPr="000665B0">
        <w:t>If there is no specified Trigraph for the Primary/Backup Missile Controller, the node name will be displayed in its place.</w:t>
      </w:r>
      <w:r w:rsidR="00F303DA" w:rsidRPr="000665B0">
        <w:t xml:space="preserve"> </w:t>
      </w:r>
      <w:r w:rsidRPr="000665B0">
        <w:t>In addition, 109E</w:t>
      </w:r>
      <w:r w:rsidR="00C6477C">
        <w:t>/M</w:t>
      </w:r>
      <w:r w:rsidRPr="000665B0">
        <w:t xml:space="preserve"> missiles with multiple outcomes </w:t>
      </w:r>
      <w:r w:rsidR="001F60B3" w:rsidRPr="000665B0">
        <w:t>display</w:t>
      </w:r>
      <w:r w:rsidRPr="000665B0">
        <w:t xml:space="preserve"> their outcomes </w:t>
      </w:r>
      <w:r w:rsidR="001F60B3" w:rsidRPr="000665B0">
        <w:t xml:space="preserve">in a list </w:t>
      </w:r>
      <w:r w:rsidRPr="000665B0">
        <w:t xml:space="preserve">under </w:t>
      </w:r>
      <w:r w:rsidR="001F60B3" w:rsidRPr="000665B0">
        <w:t>the missile</w:t>
      </w:r>
      <w:r w:rsidRPr="000665B0">
        <w:t>.</w:t>
      </w:r>
    </w:p>
    <w:p w14:paraId="2E7B2D54" w14:textId="293D99A1" w:rsidR="00561DE7" w:rsidRPr="000665B0" w:rsidRDefault="00561DE7" w:rsidP="00561DE7">
      <w:r w:rsidRPr="000665B0">
        <w:t xml:space="preserve">The background colors of these icons will change when the status changes. The following is </w:t>
      </w:r>
      <w:r w:rsidR="001A3F3D">
        <w:t xml:space="preserve">an explanation </w:t>
      </w:r>
      <w:r w:rsidRPr="000665B0">
        <w:t>of each icon.</w:t>
      </w:r>
    </w:p>
    <w:p w14:paraId="4686BEA4" w14:textId="77777777" w:rsidR="00561DE7" w:rsidRPr="000665B0" w:rsidRDefault="00561DE7" w:rsidP="006D5A65">
      <w:pPr>
        <w:pStyle w:val="Heading1"/>
      </w:pPr>
      <w:r w:rsidRPr="000665B0">
        <w:t>Missile icon</w:t>
      </w:r>
    </w:p>
    <w:p w14:paraId="3A4C6C3A" w14:textId="77777777" w:rsidR="00561DE7" w:rsidRPr="000665B0" w:rsidRDefault="009A1FDF" w:rsidP="00561DE7">
      <w:pPr>
        <w:ind w:left="720"/>
      </w:pPr>
      <w:r w:rsidRPr="000665B0">
        <w:rPr>
          <w:rFonts w:ascii="Symbol" w:hAnsi="Symbol"/>
          <w:noProof/>
        </w:rPr>
        <w:drawing>
          <wp:inline distT="0" distB="0" distL="0" distR="0" wp14:anchorId="57A053AB" wp14:editId="630A0296">
            <wp:extent cx="190500" cy="190500"/>
            <wp:effectExtent l="19050" t="0" r="0" b="0"/>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561DE7" w:rsidRPr="000665B0">
        <w:rPr>
          <w:rFonts w:ascii="Symbol" w:hAnsi="Symbol"/>
        </w:rPr>
        <w:t></w:t>
      </w:r>
      <w:r w:rsidR="00561DE7" w:rsidRPr="000665B0">
        <w:t>White – Missile is in an unknown state. This is the initial default state of a missile.</w:t>
      </w:r>
    </w:p>
    <w:p w14:paraId="2C22E05C" w14:textId="4075A192" w:rsidR="00BD3D08" w:rsidRDefault="0085566B" w:rsidP="00561DE7">
      <w:pPr>
        <w:ind w:left="720"/>
      </w:pPr>
      <w:bookmarkStart w:id="6565" w:name="_Hlk141953669"/>
      <w:bookmarkStart w:id="6566" w:name="_Hlk141958793"/>
      <w:r>
        <w:rPr>
          <w:noProof/>
        </w:rPr>
        <w:drawing>
          <wp:inline distT="0" distB="0" distL="0" distR="0" wp14:anchorId="3E521E6F" wp14:editId="58B8B146">
            <wp:extent cx="152400" cy="190500"/>
            <wp:effectExtent l="0" t="0" r="0" b="0"/>
            <wp:docPr id="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00561DE7" w:rsidRPr="000665B0">
        <w:t xml:space="preserve"> Yellow – Missile has a warning. Check the Events list view to determine what the warning is. Some of the events that can cause this include: </w:t>
      </w:r>
    </w:p>
    <w:p w14:paraId="045F6596" w14:textId="08B46281" w:rsidR="00BD3D08" w:rsidRPr="00A859E5" w:rsidRDefault="001F3DE2" w:rsidP="006D5A65">
      <w:pPr>
        <w:pStyle w:val="Heading1"/>
      </w:pPr>
      <w:r w:rsidRPr="002A65D4">
        <w:t>F</w:t>
      </w:r>
      <w:r w:rsidR="00561DE7" w:rsidRPr="002A65D4">
        <w:t>ailure to receive an LER</w:t>
      </w:r>
      <w:r w:rsidR="006F5321" w:rsidRPr="002A65D4">
        <w:t>.</w:t>
      </w:r>
      <w:r w:rsidR="00561DE7" w:rsidRPr="002A65D4">
        <w:t xml:space="preserve"> </w:t>
      </w:r>
    </w:p>
    <w:p w14:paraId="4E9058A8" w14:textId="23B504C3" w:rsidR="00BD3D08" w:rsidRPr="00A859E5" w:rsidRDefault="001F3DE2" w:rsidP="006D5A65">
      <w:pPr>
        <w:pStyle w:val="Heading1"/>
      </w:pPr>
      <w:r w:rsidRPr="002A65D4">
        <w:t>F</w:t>
      </w:r>
      <w:r w:rsidR="00561DE7" w:rsidRPr="002A65D4">
        <w:t>ailure to receive a Scheduled H&amp;S</w:t>
      </w:r>
      <w:r w:rsidR="006F5321" w:rsidRPr="002A65D4">
        <w:t>.</w:t>
      </w:r>
    </w:p>
    <w:p w14:paraId="05C8CF6E" w14:textId="5DE6B723" w:rsidR="00BD3D08" w:rsidRPr="00A859E5" w:rsidRDefault="001F3DE2" w:rsidP="006D5A65">
      <w:pPr>
        <w:pStyle w:val="Heading1"/>
      </w:pPr>
      <w:r w:rsidRPr="002A65D4">
        <w:t>T</w:t>
      </w:r>
      <w:r w:rsidR="00561DE7" w:rsidRPr="002A65D4">
        <w:t>he missile will</w:t>
      </w:r>
      <w:r w:rsidR="00BD3D08" w:rsidRPr="002A65D4">
        <w:t xml:space="preserve"> be</w:t>
      </w:r>
      <w:r w:rsidR="00561DE7" w:rsidRPr="002A65D4">
        <w:t xml:space="preserve"> hit</w:t>
      </w:r>
      <w:r w:rsidR="00BD3D08" w:rsidRPr="002A65D4">
        <w:t>ting</w:t>
      </w:r>
      <w:r w:rsidR="00561DE7" w:rsidRPr="002A65D4">
        <w:t xml:space="preserve"> its Time at Timing Point earlier or later by an amount equal or greater th</w:t>
      </w:r>
      <w:r w:rsidR="00A47B35" w:rsidRPr="002A65D4">
        <w:t>a</w:t>
      </w:r>
      <w:r w:rsidR="00561DE7" w:rsidRPr="002A65D4">
        <w:t>n the Timing Deviation</w:t>
      </w:r>
      <w:r w:rsidR="006F5321" w:rsidRPr="002A65D4">
        <w:t>.</w:t>
      </w:r>
    </w:p>
    <w:p w14:paraId="5FC0771A" w14:textId="07B82D2D" w:rsidR="00BD3D08" w:rsidRPr="00A859E5" w:rsidRDefault="001F3DE2" w:rsidP="006D5A65">
      <w:pPr>
        <w:pStyle w:val="Heading1"/>
      </w:pPr>
      <w:r w:rsidRPr="002A65D4">
        <w:t>T</w:t>
      </w:r>
      <w:r w:rsidR="00646673" w:rsidRPr="002A65D4">
        <w:t>he missile reports a H&amp;S with the “GPS High Power” problem indicated</w:t>
      </w:r>
      <w:r w:rsidR="006F5321" w:rsidRPr="002A65D4">
        <w:t>.</w:t>
      </w:r>
      <w:r w:rsidR="00561DE7" w:rsidRPr="002A65D4">
        <w:t xml:space="preserve"> </w:t>
      </w:r>
    </w:p>
    <w:p w14:paraId="20E0ADF6" w14:textId="07A3BC24" w:rsidR="00561DE7" w:rsidRPr="00A859E5" w:rsidRDefault="001F3DE2" w:rsidP="006D5A65">
      <w:pPr>
        <w:pStyle w:val="Heading1"/>
      </w:pPr>
      <w:r w:rsidRPr="002A65D4">
        <w:t>T</w:t>
      </w:r>
      <w:r w:rsidR="00561DE7" w:rsidRPr="002A65D4">
        <w:t xml:space="preserve">he operator </w:t>
      </w:r>
      <w:r w:rsidR="00BD3D08" w:rsidRPr="002A65D4">
        <w:t>set</w:t>
      </w:r>
      <w:r w:rsidR="00265FC5" w:rsidRPr="002A65D4">
        <w:t>ting</w:t>
      </w:r>
      <w:r w:rsidR="00BD3D08" w:rsidRPr="002A65D4">
        <w:t xml:space="preserve"> </w:t>
      </w:r>
      <w:r w:rsidR="00561DE7" w:rsidRPr="002A65D4">
        <w:t>the missile to Wa</w:t>
      </w:r>
      <w:r w:rsidR="00B84E85" w:rsidRPr="002A65D4">
        <w:t>r</w:t>
      </w:r>
      <w:r w:rsidR="00561DE7" w:rsidRPr="002A65D4">
        <w:t>ning.</w:t>
      </w:r>
    </w:p>
    <w:bookmarkEnd w:id="6565"/>
    <w:p w14:paraId="667E7561" w14:textId="77777777" w:rsidR="00561DE7" w:rsidRPr="000665B0" w:rsidRDefault="009A1FDF" w:rsidP="00561DE7">
      <w:pPr>
        <w:ind w:left="720"/>
      </w:pPr>
      <w:r w:rsidRPr="000665B0">
        <w:rPr>
          <w:noProof/>
        </w:rPr>
        <w:drawing>
          <wp:inline distT="0" distB="0" distL="0" distR="0" wp14:anchorId="72D1994E" wp14:editId="5DF573EC">
            <wp:extent cx="171450" cy="190500"/>
            <wp:effectExtent l="19050" t="0" r="0" b="0"/>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cstate="print"/>
                    <a:srcRect/>
                    <a:stretch>
                      <a:fillRect/>
                    </a:stretch>
                  </pic:blipFill>
                  <pic:spPr bwMode="auto">
                    <a:xfrm>
                      <a:off x="0" y="0"/>
                      <a:ext cx="171450" cy="190500"/>
                    </a:xfrm>
                    <a:prstGeom prst="rect">
                      <a:avLst/>
                    </a:prstGeom>
                    <a:noFill/>
                    <a:ln w="9525">
                      <a:noFill/>
                      <a:miter lim="800000"/>
                      <a:headEnd/>
                      <a:tailEnd/>
                    </a:ln>
                  </pic:spPr>
                </pic:pic>
              </a:graphicData>
            </a:graphic>
          </wp:inline>
        </w:drawing>
      </w:r>
      <w:r w:rsidR="00561DE7" w:rsidRPr="000665B0">
        <w:t xml:space="preserve"> Green – </w:t>
      </w:r>
      <w:r w:rsidR="00E03BEC" w:rsidRPr="000665B0">
        <w:t xml:space="preserve">A missile that has received </w:t>
      </w:r>
      <w:r w:rsidR="00987E38" w:rsidRPr="000665B0">
        <w:t>an</w:t>
      </w:r>
      <w:r w:rsidR="00E03BEC" w:rsidRPr="000665B0">
        <w:t xml:space="preserve"> H&amp;S message from the missile confirming that the missile is g</w:t>
      </w:r>
      <w:r w:rsidR="00561DE7" w:rsidRPr="000665B0">
        <w:t>ood.</w:t>
      </w:r>
    </w:p>
    <w:bookmarkEnd w:id="6566"/>
    <w:p w14:paraId="1C6A013A" w14:textId="314206D0" w:rsidR="00561DE7" w:rsidRPr="000665B0" w:rsidRDefault="009A1FDF" w:rsidP="00561DE7">
      <w:pPr>
        <w:ind w:left="720"/>
      </w:pPr>
      <w:r w:rsidRPr="000665B0">
        <w:rPr>
          <w:noProof/>
        </w:rPr>
        <w:drawing>
          <wp:inline distT="0" distB="0" distL="0" distR="0" wp14:anchorId="27DC7B06" wp14:editId="2C6D1581">
            <wp:extent cx="200025" cy="200025"/>
            <wp:effectExtent l="19050" t="0" r="9525" b="0"/>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cstate="print"/>
                    <a:srcRect/>
                    <a:stretch>
                      <a:fillRect/>
                    </a:stretch>
                  </pic:blipFill>
                  <pic:spPr bwMode="auto">
                    <a:xfrm>
                      <a:off x="0" y="0"/>
                      <a:ext cx="200025" cy="200025"/>
                    </a:xfrm>
                    <a:prstGeom prst="rect">
                      <a:avLst/>
                    </a:prstGeom>
                    <a:noFill/>
                    <a:ln w="9525">
                      <a:noFill/>
                      <a:miter lim="800000"/>
                      <a:headEnd/>
                      <a:tailEnd/>
                    </a:ln>
                  </pic:spPr>
                </pic:pic>
              </a:graphicData>
            </a:graphic>
          </wp:inline>
        </w:drawing>
      </w:r>
      <w:r w:rsidR="00561DE7" w:rsidRPr="000665B0">
        <w:t xml:space="preserve"> Red – Failed missile</w:t>
      </w:r>
      <w:r w:rsidR="00646673">
        <w:t xml:space="preserve"> or missile has a critical condition</w:t>
      </w:r>
      <w:r w:rsidR="00561DE7" w:rsidRPr="000665B0">
        <w:t>. Check the Events list view to determine why the missile failed</w:t>
      </w:r>
      <w:r w:rsidR="00646673">
        <w:t xml:space="preserve"> or what the critical condition is</w:t>
      </w:r>
      <w:r w:rsidR="00561DE7" w:rsidRPr="000665B0">
        <w:t xml:space="preserve">. Some of the events that can cause </w:t>
      </w:r>
      <w:r w:rsidR="00646673">
        <w:t>the red icon to appear</w:t>
      </w:r>
      <w:r w:rsidR="00646673" w:rsidRPr="000665B0">
        <w:t xml:space="preserve"> </w:t>
      </w:r>
      <w:r w:rsidR="00561DE7" w:rsidRPr="000665B0">
        <w:t>include: the missile failed</w:t>
      </w:r>
      <w:r w:rsidR="00F7293D" w:rsidRPr="000665B0">
        <w:t xml:space="preserve">, a LER is </w:t>
      </w:r>
      <w:r w:rsidR="009D2524" w:rsidRPr="000665B0">
        <w:t xml:space="preserve">received </w:t>
      </w:r>
      <w:r w:rsidR="00F7293D" w:rsidRPr="000665B0">
        <w:t>that indicates a failed launch,</w:t>
      </w:r>
      <w:r w:rsidR="00561DE7" w:rsidRPr="000665B0">
        <w:t xml:space="preserve"> or the operator set the missile to Failed.</w:t>
      </w:r>
      <w:r w:rsidR="00646673">
        <w:t xml:space="preserve"> Some of the events that </w:t>
      </w:r>
      <w:r w:rsidR="00646673">
        <w:lastRenderedPageBreak/>
        <w:t xml:space="preserve">can cause the </w:t>
      </w:r>
      <w:r w:rsidR="00FC0770">
        <w:t>m</w:t>
      </w:r>
      <w:r w:rsidR="00646673">
        <w:t>issile to have a critical condition include: the missile reports an H&amp;S with a BITA Test Fail</w:t>
      </w:r>
      <w:r w:rsidR="00FC0770">
        <w:t>ure</w:t>
      </w:r>
      <w:r w:rsidR="00646673">
        <w:t xml:space="preserve"> o</w:t>
      </w:r>
      <w:r w:rsidR="00FC0770">
        <w:t>r</w:t>
      </w:r>
      <w:r w:rsidR="00646673">
        <w:t xml:space="preserve"> “GPS Not Providing Updates” problem indicated. </w:t>
      </w:r>
    </w:p>
    <w:p w14:paraId="29BDD2A2" w14:textId="77777777" w:rsidR="00561DE7" w:rsidRPr="000665B0" w:rsidRDefault="009A1FDF" w:rsidP="00561DE7">
      <w:pPr>
        <w:ind w:left="720"/>
      </w:pPr>
      <w:r w:rsidRPr="000665B0">
        <w:rPr>
          <w:noProof/>
        </w:rPr>
        <w:drawing>
          <wp:inline distT="0" distB="0" distL="0" distR="0" wp14:anchorId="4E758726" wp14:editId="6FDEB77F">
            <wp:extent cx="142875" cy="180975"/>
            <wp:effectExtent l="19050" t="0" r="9525" b="0"/>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cstate="print"/>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00561DE7" w:rsidRPr="000665B0">
        <w:t xml:space="preserve"> Hold – Missile is on hold.</w:t>
      </w:r>
    </w:p>
    <w:p w14:paraId="72464C0B" w14:textId="77777777" w:rsidR="00561DE7" w:rsidRPr="000665B0" w:rsidRDefault="00561DE7" w:rsidP="006D5A65">
      <w:pPr>
        <w:pStyle w:val="Heading1"/>
      </w:pPr>
      <w:r w:rsidRPr="000665B0">
        <w:t>FRU icon</w:t>
      </w:r>
    </w:p>
    <w:p w14:paraId="0DE02EDF" w14:textId="77777777" w:rsidR="00561DE7" w:rsidRPr="000665B0" w:rsidRDefault="009A1FDF" w:rsidP="00561DE7">
      <w:pPr>
        <w:ind w:left="720"/>
      </w:pPr>
      <w:r w:rsidRPr="000665B0">
        <w:rPr>
          <w:noProof/>
        </w:rPr>
        <w:drawing>
          <wp:inline distT="0" distB="0" distL="0" distR="0" wp14:anchorId="482E585B" wp14:editId="4E3287D6">
            <wp:extent cx="171450" cy="228600"/>
            <wp:effectExtent l="19050" t="0" r="0" b="0"/>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cstate="print"/>
                    <a:srcRect/>
                    <a:stretch>
                      <a:fillRect/>
                    </a:stretch>
                  </pic:blipFill>
                  <pic:spPr bwMode="auto">
                    <a:xfrm>
                      <a:off x="0" y="0"/>
                      <a:ext cx="171450" cy="228600"/>
                    </a:xfrm>
                    <a:prstGeom prst="rect">
                      <a:avLst/>
                    </a:prstGeom>
                    <a:noFill/>
                    <a:ln w="9525">
                      <a:noFill/>
                      <a:miter lim="800000"/>
                      <a:headEnd/>
                      <a:tailEnd/>
                    </a:ln>
                  </pic:spPr>
                </pic:pic>
              </a:graphicData>
            </a:graphic>
          </wp:inline>
        </w:drawing>
      </w:r>
      <w:r w:rsidR="00561DE7" w:rsidRPr="000665B0">
        <w:t xml:space="preserve"> White – Platform is in an unknown state. This is the initial default state of a platform.</w:t>
      </w:r>
    </w:p>
    <w:p w14:paraId="6C72D1A3" w14:textId="036B2AE4" w:rsidR="00561DE7" w:rsidRPr="000665B0" w:rsidRDefault="00714E1E" w:rsidP="00561DE7">
      <w:pPr>
        <w:ind w:left="720"/>
      </w:pPr>
      <w:r>
        <w:rPr>
          <w:noProof/>
        </w:rPr>
        <w:drawing>
          <wp:inline distT="0" distB="0" distL="0" distR="0" wp14:anchorId="511096C3" wp14:editId="0391EA99">
            <wp:extent cx="274320" cy="274320"/>
            <wp:effectExtent l="0" t="0" r="0" b="0"/>
            <wp:docPr id="2259"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74320" cy="274320"/>
                    </a:xfrm>
                    <a:prstGeom prst="rect">
                      <a:avLst/>
                    </a:prstGeom>
                    <a:noFill/>
                    <a:ln>
                      <a:noFill/>
                    </a:ln>
                  </pic:spPr>
                </pic:pic>
              </a:graphicData>
            </a:graphic>
          </wp:inline>
        </w:drawing>
      </w:r>
      <w:r w:rsidR="00561DE7" w:rsidRPr="000665B0">
        <w:t xml:space="preserve"> Green – Good status. Platform has fired its missiles.</w:t>
      </w:r>
    </w:p>
    <w:p w14:paraId="3F21713D" w14:textId="7BA5D6C5" w:rsidR="003435B8" w:rsidRDefault="00714E1E" w:rsidP="00561DE7">
      <w:pPr>
        <w:ind w:left="720"/>
      </w:pPr>
      <w:bookmarkStart w:id="6567" w:name="_Hlk141953779"/>
      <w:r>
        <w:rPr>
          <w:noProof/>
        </w:rPr>
        <w:drawing>
          <wp:inline distT="0" distB="0" distL="0" distR="0" wp14:anchorId="2978EE7A" wp14:editId="0FE1987F">
            <wp:extent cx="198120" cy="220980"/>
            <wp:effectExtent l="0" t="0" r="0" b="0"/>
            <wp:docPr id="2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cstate="screen">
                      <a:extLst>
                        <a:ext uri="{28A0092B-C50C-407E-A947-70E740481C1C}">
                          <a14:useLocalDpi xmlns:a14="http://schemas.microsoft.com/office/drawing/2010/main"/>
                        </a:ext>
                      </a:extLst>
                    </a:blip>
                    <a:srcRect l="8696" t="29778" b="-2"/>
                    <a:stretch>
                      <a:fillRect/>
                    </a:stretch>
                  </pic:blipFill>
                  <pic:spPr bwMode="auto">
                    <a:xfrm>
                      <a:off x="0" y="0"/>
                      <a:ext cx="198120" cy="220980"/>
                    </a:xfrm>
                    <a:prstGeom prst="rect">
                      <a:avLst/>
                    </a:prstGeom>
                    <a:noFill/>
                    <a:ln>
                      <a:noFill/>
                    </a:ln>
                  </pic:spPr>
                </pic:pic>
              </a:graphicData>
            </a:graphic>
          </wp:inline>
        </w:drawing>
      </w:r>
      <w:r w:rsidR="00315E9C" w:rsidRPr="000665B0">
        <w:t xml:space="preserve"> </w:t>
      </w:r>
      <w:r w:rsidR="003435B8" w:rsidRPr="000665B0">
        <w:t xml:space="preserve">Yellow – Warning </w:t>
      </w:r>
      <w:r w:rsidR="0029779F" w:rsidRPr="000665B0">
        <w:t>s</w:t>
      </w:r>
      <w:r w:rsidR="003435B8" w:rsidRPr="000665B0">
        <w:t>tatus. Check the Events list view to determine what the warning is. This status is based on the results o</w:t>
      </w:r>
      <w:r w:rsidR="0029779F" w:rsidRPr="000665B0">
        <w:t>f</w:t>
      </w:r>
      <w:r w:rsidR="003435B8" w:rsidRPr="000665B0">
        <w:t xml:space="preserve"> all the missiles the platform is supposed to fire. If any missile has a yellow indication, the FRU also has a yellow indication.</w:t>
      </w:r>
    </w:p>
    <w:p w14:paraId="0D8A8585" w14:textId="5EBE91C1" w:rsidR="003435B8" w:rsidRDefault="00CC1EDF" w:rsidP="00561DE7">
      <w:pPr>
        <w:ind w:left="720"/>
      </w:pPr>
      <w:r>
        <w:rPr>
          <w:noProof/>
        </w:rPr>
        <w:drawing>
          <wp:inline distT="0" distB="0" distL="0" distR="0" wp14:anchorId="2C214BAE" wp14:editId="58D88248">
            <wp:extent cx="213360" cy="213360"/>
            <wp:effectExtent l="0" t="0" r="0" b="0"/>
            <wp:docPr id="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sidR="00AC260C">
        <w:t xml:space="preserve"> </w:t>
      </w:r>
      <w:r w:rsidR="003435B8" w:rsidRPr="000665B0">
        <w:t xml:space="preserve">Red – Failed </w:t>
      </w:r>
      <w:r w:rsidR="0029779F" w:rsidRPr="000665B0">
        <w:t>s</w:t>
      </w:r>
      <w:r w:rsidR="003435B8" w:rsidRPr="000665B0">
        <w:t>tatus. Check the Events list view to determine what the failure is. This status is based on the results o</w:t>
      </w:r>
      <w:r w:rsidR="0029779F" w:rsidRPr="000665B0">
        <w:t>f</w:t>
      </w:r>
      <w:r w:rsidR="003435B8" w:rsidRPr="000665B0">
        <w:t xml:space="preserve"> all the missiles the platform is supposed to fire. If any missile has a red indication, the FRU also has a red indication.</w:t>
      </w:r>
    </w:p>
    <w:p w14:paraId="44682DDE" w14:textId="586836A8" w:rsidR="00AC260C" w:rsidRPr="000665B0" w:rsidRDefault="00AC260C" w:rsidP="00AC260C">
      <w:pPr>
        <w:ind w:left="720"/>
      </w:pPr>
      <w:r>
        <w:rPr>
          <w:noProof/>
        </w:rPr>
        <w:drawing>
          <wp:inline distT="0" distB="0" distL="0" distR="0" wp14:anchorId="44DEFA62" wp14:editId="393851DA">
            <wp:extent cx="333375" cy="219075"/>
            <wp:effectExtent l="0" t="0" r="9525" b="9525"/>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39970" cy="223409"/>
                    </a:xfrm>
                    <a:prstGeom prst="rect">
                      <a:avLst/>
                    </a:prstGeom>
                  </pic:spPr>
                </pic:pic>
              </a:graphicData>
            </a:graphic>
          </wp:inline>
        </w:drawing>
      </w:r>
      <w:r>
        <w:t>A truck icon signifies a GL FRU and may include a White, Green, or Yellow background as defined for ship FRUs above.</w:t>
      </w:r>
    </w:p>
    <w:p w14:paraId="0BE15600" w14:textId="77777777" w:rsidR="00561DE7" w:rsidRPr="000665B0" w:rsidRDefault="00561DE7" w:rsidP="006D5A65">
      <w:pPr>
        <w:pStyle w:val="Heading1"/>
      </w:pPr>
      <w:r w:rsidRPr="000665B0">
        <w:t>Option icon</w:t>
      </w:r>
    </w:p>
    <w:bookmarkEnd w:id="6567"/>
    <w:p w14:paraId="5EACF42C" w14:textId="77777777" w:rsidR="00561DE7" w:rsidRPr="000665B0" w:rsidRDefault="009A1FDF" w:rsidP="00561DE7">
      <w:pPr>
        <w:ind w:left="720"/>
      </w:pPr>
      <w:r w:rsidRPr="000665B0">
        <w:rPr>
          <w:noProof/>
        </w:rPr>
        <w:drawing>
          <wp:inline distT="0" distB="0" distL="0" distR="0" wp14:anchorId="67DACC7F" wp14:editId="19C85412">
            <wp:extent cx="209550" cy="228600"/>
            <wp:effectExtent l="19050" t="0" r="0" b="0"/>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00561DE7" w:rsidRPr="000665B0">
        <w:t xml:space="preserve"> White – Option icons do not have color.</w:t>
      </w:r>
    </w:p>
    <w:p w14:paraId="1528ECF1" w14:textId="77777777" w:rsidR="00C6477C" w:rsidRDefault="00561DE7" w:rsidP="00C6477C">
      <w:pPr>
        <w:rPr>
          <w:szCs w:val="24"/>
        </w:rPr>
      </w:pPr>
      <w:r w:rsidRPr="000665B0">
        <w:t xml:space="preserve">Missiles have context menus associated with them. </w:t>
      </w:r>
      <w:r w:rsidR="00D71804" w:rsidRPr="000665B0">
        <w:t>Right-click</w:t>
      </w:r>
      <w:r w:rsidRPr="000665B0">
        <w:t xml:space="preserve"> on the missile to bring up the context menu.</w:t>
      </w:r>
      <w:r w:rsidR="00315E9C" w:rsidRPr="000665B0">
        <w:t xml:space="preserve"> </w:t>
      </w:r>
      <w:r w:rsidR="00315E9C" w:rsidRPr="000665B0">
        <w:rPr>
          <w:snapToGrid w:val="0"/>
        </w:rPr>
        <w:t xml:space="preserve">The </w:t>
      </w:r>
      <w:r w:rsidR="00F605E5" w:rsidRPr="000665B0">
        <w:rPr>
          <w:snapToGrid w:val="0"/>
        </w:rPr>
        <w:t>context menu selections may vary</w:t>
      </w:r>
      <w:r w:rsidR="00315E9C" w:rsidRPr="000665B0">
        <w:rPr>
          <w:snapToGrid w:val="0"/>
        </w:rPr>
        <w:t xml:space="preserve"> depending on whether the strike is a land attack or maritime strike.</w:t>
      </w:r>
    </w:p>
    <w:p w14:paraId="5E16A381" w14:textId="5C9CCD92" w:rsidR="00C6477C" w:rsidRPr="00686BA0" w:rsidRDefault="00C6477C" w:rsidP="00A22A6A">
      <w:pPr>
        <w:keepNext/>
        <w:pageBreakBefore/>
        <w:pBdr>
          <w:top w:val="single" w:sz="12" w:space="1" w:color="auto"/>
          <w:left w:val="single" w:sz="12" w:space="4" w:color="auto"/>
          <w:bottom w:val="single" w:sz="12" w:space="1" w:color="auto"/>
          <w:right w:val="single" w:sz="12" w:space="4" w:color="auto"/>
        </w:pBdr>
        <w:shd w:val="clear" w:color="auto" w:fill="D9D9D9" w:themeFill="background1" w:themeFillShade="D9"/>
        <w:spacing w:before="120"/>
        <w:jc w:val="center"/>
        <w:rPr>
          <w:b/>
          <w:bCs/>
          <w:szCs w:val="24"/>
        </w:rPr>
      </w:pPr>
      <w:r w:rsidRPr="00686BA0">
        <w:rPr>
          <w:b/>
          <w:bCs/>
          <w:szCs w:val="24"/>
        </w:rPr>
        <w:lastRenderedPageBreak/>
        <w:t>Note:</w:t>
      </w:r>
      <w:r w:rsidRPr="00686BA0">
        <w:rPr>
          <w:b/>
          <w:bCs/>
          <w:szCs w:val="24"/>
        </w:rPr>
        <w:br/>
        <w:t>In TMPC 7.0.3, the following context menu items are disabled for 109M missile</w:t>
      </w:r>
      <w:r w:rsidR="00244BC5">
        <w:rPr>
          <w:b/>
          <w:bCs/>
          <w:szCs w:val="24"/>
        </w:rPr>
        <w:t>s</w:t>
      </w:r>
      <w:r w:rsidRPr="00686BA0">
        <w:rPr>
          <w:b/>
          <w:bCs/>
          <w:szCs w:val="24"/>
        </w:rPr>
        <w:t>.</w:t>
      </w:r>
    </w:p>
    <w:p w14:paraId="258B706B" w14:textId="77777777" w:rsidR="00C6477C" w:rsidRPr="00686BA0" w:rsidRDefault="00C6477C" w:rsidP="006D5A65">
      <w:pPr>
        <w:pStyle w:val="Heading1"/>
      </w:pPr>
      <w:r w:rsidRPr="00686BA0">
        <w:t>Status</w:t>
      </w:r>
    </w:p>
    <w:p w14:paraId="71648991" w14:textId="77777777" w:rsidR="00C6477C" w:rsidRPr="00686BA0" w:rsidRDefault="00C6477C" w:rsidP="006D5A65">
      <w:pPr>
        <w:pStyle w:val="Heading1"/>
      </w:pPr>
      <w:r w:rsidRPr="00686BA0">
        <w:t>Reassign FRU…</w:t>
      </w:r>
    </w:p>
    <w:p w14:paraId="38FE7191" w14:textId="77777777" w:rsidR="00C6477C" w:rsidRPr="00686BA0" w:rsidRDefault="00C6477C" w:rsidP="006D5A65">
      <w:pPr>
        <w:pStyle w:val="Heading1"/>
      </w:pPr>
      <w:r w:rsidRPr="00686BA0">
        <w:t>Assign Ghost…</w:t>
      </w:r>
    </w:p>
    <w:p w14:paraId="1457A51D" w14:textId="77777777" w:rsidR="00C6477C" w:rsidRPr="00686BA0" w:rsidRDefault="00C6477C" w:rsidP="006D5A65">
      <w:pPr>
        <w:pStyle w:val="Heading1"/>
      </w:pPr>
      <w:r w:rsidRPr="00686BA0">
        <w:t>Move to Pool</w:t>
      </w:r>
    </w:p>
    <w:p w14:paraId="0166106C" w14:textId="77777777" w:rsidR="00C6477C" w:rsidRPr="00686BA0" w:rsidRDefault="00C6477C" w:rsidP="006D5A65">
      <w:pPr>
        <w:pStyle w:val="Heading1"/>
      </w:pPr>
      <w:r w:rsidRPr="00686BA0">
        <w:t>Edit</w:t>
      </w:r>
      <w:r w:rsidRPr="00686BA0">
        <w:br/>
        <w:t>- TTWCS IMMM</w:t>
      </w:r>
      <w:r w:rsidRPr="00686BA0">
        <w:br/>
        <w:t>- TSN Comms</w:t>
      </w:r>
    </w:p>
    <w:p w14:paraId="4390AC44" w14:textId="77777777" w:rsidR="00C6477C" w:rsidRPr="00686BA0" w:rsidRDefault="00C6477C" w:rsidP="006D5A65">
      <w:pPr>
        <w:pStyle w:val="Heading1"/>
      </w:pPr>
      <w:r w:rsidRPr="00686BA0">
        <w:t>Swap Controller (to [Node])</w:t>
      </w:r>
    </w:p>
    <w:p w14:paraId="2C202257" w14:textId="4CF2D6FD" w:rsidR="00561DE7" w:rsidRPr="00BB4EBE" w:rsidRDefault="00C6477C" w:rsidP="006D5A65">
      <w:pPr>
        <w:pStyle w:val="Heading1"/>
      </w:pPr>
      <w:r w:rsidRPr="00686BA0">
        <w:t>Edit Alternate Controller…</w:t>
      </w:r>
    </w:p>
    <w:p w14:paraId="67D21BBA" w14:textId="0AE20F2E" w:rsidR="00561DE7" w:rsidRPr="000665B0" w:rsidRDefault="00EA5282" w:rsidP="00A22A6A">
      <w:pPr>
        <w:spacing w:before="120"/>
        <w:jc w:val="center"/>
      </w:pPr>
      <w:r>
        <w:rPr>
          <w:noProof/>
        </w:rPr>
        <w:drawing>
          <wp:inline distT="0" distB="0" distL="0" distR="0" wp14:anchorId="1567CDAA" wp14:editId="6CC32C87">
            <wp:extent cx="1331982" cy="2197769"/>
            <wp:effectExtent l="0" t="0" r="0" b="0"/>
            <wp:docPr id="2021666948" name="Picture 202166694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6948" name="Picture 2021666948" descr="Graphical user interface, text, application&#10;&#10;Description automatically generated"/>
                    <pic:cNvPicPr/>
                  </pic:nvPicPr>
                  <pic:blipFill>
                    <a:blip/>
                    <a:stretch>
                      <a:fillRect/>
                    </a:stretch>
                  </pic:blipFill>
                  <pic:spPr>
                    <a:xfrm>
                      <a:off x="0" y="0"/>
                      <a:ext cx="1381547" cy="2279552"/>
                    </a:xfrm>
                    <a:prstGeom prst="rect">
                      <a:avLst/>
                    </a:prstGeom>
                  </pic:spPr>
                </pic:pic>
              </a:graphicData>
            </a:graphic>
          </wp:inline>
        </w:drawing>
      </w:r>
    </w:p>
    <w:p w14:paraId="12035C59" w14:textId="77777777" w:rsidR="00BF38FB" w:rsidRPr="000665B0" w:rsidRDefault="00BF38FB" w:rsidP="006D5A65">
      <w:pPr>
        <w:pStyle w:val="Heading1"/>
      </w:pPr>
      <w:r w:rsidRPr="000665B0">
        <w:t xml:space="preserve">Display </w:t>
      </w:r>
    </w:p>
    <w:p w14:paraId="25FA8638" w14:textId="1BA51515" w:rsidR="00BF38FB" w:rsidRPr="000665B0" w:rsidRDefault="00BF38FB" w:rsidP="006D5A65">
      <w:pPr>
        <w:pStyle w:val="Heading1"/>
      </w:pPr>
      <w:r w:rsidRPr="000665B0">
        <w:rPr>
          <w:szCs w:val="24"/>
        </w:rPr>
        <w:t xml:space="preserve">MTO (NA for maritime strikes)– </w:t>
      </w:r>
      <w:r w:rsidRPr="000665B0">
        <w:t>Message to Observer shows information that can be transmitted to the observer monitoring the target area to provide the observer with the necessary information to meet the observer’s objectives. MTO contains static data from the mission and dynamic data from the strike.</w:t>
      </w:r>
      <w:r w:rsidR="0044403B">
        <w:t xml:space="preserve"> (See </w:t>
      </w:r>
      <w:hyperlink w:anchor="_MTO_–_Message" w:history="1">
        <w:r w:rsidR="0044403B" w:rsidRPr="0044403B">
          <w:rPr>
            <w:rStyle w:val="Hyperlink"/>
            <w:rFonts w:ascii="Times New Roman" w:eastAsia="Times New Roman" w:hAnsi="Times New Roman"/>
          </w:rPr>
          <w:t xml:space="preserve">Section </w:t>
        </w:r>
        <w:r w:rsidR="004231CC">
          <w:rPr>
            <w:rStyle w:val="Hyperlink"/>
            <w:rFonts w:ascii="Times New Roman" w:eastAsia="Times New Roman" w:hAnsi="Times New Roman"/>
          </w:rPr>
          <w:t>5.35</w:t>
        </w:r>
        <w:r w:rsidR="0044403B" w:rsidRPr="0044403B">
          <w:rPr>
            <w:rStyle w:val="Hyperlink"/>
            <w:rFonts w:ascii="Times New Roman" w:eastAsia="Times New Roman" w:hAnsi="Times New Roman"/>
          </w:rPr>
          <w:t>.18.1</w:t>
        </w:r>
      </w:hyperlink>
      <w:r w:rsidR="0044403B">
        <w:t>).</w:t>
      </w:r>
    </w:p>
    <w:p w14:paraId="16FBDB8D" w14:textId="77777777" w:rsidR="00BF38FB" w:rsidRPr="000665B0" w:rsidRDefault="00BF38FB" w:rsidP="006D5A65">
      <w:pPr>
        <w:pStyle w:val="Heading1"/>
      </w:pPr>
      <w:r w:rsidRPr="000665B0">
        <w:rPr>
          <w:szCs w:val="24"/>
        </w:rPr>
        <w:t xml:space="preserve">Geographically – </w:t>
      </w:r>
      <w:r w:rsidRPr="000665B0">
        <w:t>Displays the selected target(s) geographically.</w:t>
      </w:r>
    </w:p>
    <w:p w14:paraId="027E8A49" w14:textId="147549BE" w:rsidR="00561DE7" w:rsidRPr="000665B0" w:rsidRDefault="00561DE7" w:rsidP="006D5A65">
      <w:pPr>
        <w:pStyle w:val="Heading1"/>
      </w:pPr>
      <w:r w:rsidRPr="000665B0">
        <w:t>Status</w:t>
      </w:r>
    </w:p>
    <w:p w14:paraId="4B8BD295" w14:textId="0ABE14CC" w:rsidR="00561DE7" w:rsidRPr="000665B0" w:rsidRDefault="001A1285" w:rsidP="00561DE7">
      <w:pPr>
        <w:jc w:val="center"/>
        <w:rPr>
          <w:b/>
        </w:rPr>
      </w:pPr>
      <w:r w:rsidRPr="000665B0">
        <w:rPr>
          <w:noProof/>
        </w:rPr>
        <w:drawing>
          <wp:inline distT="0" distB="0" distL="0" distR="0" wp14:anchorId="3F33209A" wp14:editId="493F2B4C">
            <wp:extent cx="2743200" cy="1060704"/>
            <wp:effectExtent l="0" t="0" r="0" b="6350"/>
            <wp:docPr id="2084" name="Picture 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743200" cy="1060704"/>
                    </a:xfrm>
                    <a:prstGeom prst="rect">
                      <a:avLst/>
                    </a:prstGeom>
                    <a:ln>
                      <a:noFill/>
                    </a:ln>
                    <a:extLst>
                      <a:ext uri="{53640926-AAD7-44D8-BBD7-CCE9431645EC}">
                        <a14:shadowObscured xmlns:a14="http://schemas.microsoft.com/office/drawing/2010/main"/>
                      </a:ext>
                    </a:extLst>
                  </pic:spPr>
                </pic:pic>
              </a:graphicData>
            </a:graphic>
          </wp:inline>
        </w:drawing>
      </w:r>
    </w:p>
    <w:p w14:paraId="4E1A8395" w14:textId="77777777" w:rsidR="00561DE7" w:rsidRPr="000665B0" w:rsidRDefault="00561DE7" w:rsidP="006D5A65">
      <w:pPr>
        <w:pStyle w:val="Heading2"/>
      </w:pPr>
      <w:r w:rsidRPr="000665B0">
        <w:t xml:space="preserve">Set to Good – </w:t>
      </w:r>
      <w:r w:rsidR="002C4C03" w:rsidRPr="000665B0">
        <w:t>S</w:t>
      </w:r>
      <w:r w:rsidRPr="000665B0">
        <w:t>et</w:t>
      </w:r>
      <w:r w:rsidR="002348EB" w:rsidRPr="000665B0">
        <w:t>s</w:t>
      </w:r>
      <w:r w:rsidRPr="000665B0">
        <w:t xml:space="preserve"> the missile to a good state.</w:t>
      </w:r>
    </w:p>
    <w:p w14:paraId="6A36D9B9" w14:textId="77777777" w:rsidR="00561DE7" w:rsidRPr="000665B0" w:rsidRDefault="00561DE7" w:rsidP="006D5A65">
      <w:pPr>
        <w:pStyle w:val="Heading2"/>
      </w:pPr>
      <w:r w:rsidRPr="000665B0">
        <w:t xml:space="preserve">Set to Warning – </w:t>
      </w:r>
      <w:r w:rsidR="002C4C03" w:rsidRPr="000665B0">
        <w:t>S</w:t>
      </w:r>
      <w:r w:rsidRPr="000665B0">
        <w:t>et</w:t>
      </w:r>
      <w:r w:rsidR="002348EB" w:rsidRPr="000665B0">
        <w:t>s</w:t>
      </w:r>
      <w:r w:rsidRPr="000665B0">
        <w:t xml:space="preserve"> the missile to a warning state.</w:t>
      </w:r>
    </w:p>
    <w:p w14:paraId="554B6BF1" w14:textId="77777777" w:rsidR="00561DE7" w:rsidRPr="000665B0" w:rsidRDefault="00561DE7" w:rsidP="006D5A65">
      <w:pPr>
        <w:pStyle w:val="Heading2"/>
      </w:pPr>
      <w:r w:rsidRPr="000665B0">
        <w:lastRenderedPageBreak/>
        <w:t xml:space="preserve">Set to Failed – </w:t>
      </w:r>
      <w:r w:rsidR="002C4C03" w:rsidRPr="000665B0">
        <w:t>S</w:t>
      </w:r>
      <w:r w:rsidRPr="000665B0">
        <w:t>et</w:t>
      </w:r>
      <w:r w:rsidR="002348EB" w:rsidRPr="000665B0">
        <w:t>s</w:t>
      </w:r>
      <w:r w:rsidRPr="000665B0">
        <w:t xml:space="preserve"> the missile to a failed state.</w:t>
      </w:r>
    </w:p>
    <w:p w14:paraId="4978DF4E" w14:textId="13708647" w:rsidR="00561DE7" w:rsidRPr="000665B0" w:rsidRDefault="00561DE7" w:rsidP="00BB4EBE">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3D1B9C9C" w14:textId="77777777" w:rsidR="00561DE7" w:rsidRPr="000665B0" w:rsidRDefault="00561DE7" w:rsidP="00BB4EBE">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Only a Missile Controller can fail a missile.</w:t>
      </w:r>
    </w:p>
    <w:p w14:paraId="563CB167" w14:textId="537D7ED5" w:rsidR="00EA5282" w:rsidRPr="00C36B36" w:rsidRDefault="00EA5282" w:rsidP="006D5A65">
      <w:pPr>
        <w:pStyle w:val="Heading1"/>
      </w:pPr>
      <w:r w:rsidRPr="00827BCD">
        <w:t>Cancel</w:t>
      </w:r>
      <w:r>
        <w:t xml:space="preserve"> (Only </w:t>
      </w:r>
      <w:r w:rsidRPr="00517711">
        <w:t xml:space="preserve">enabled if there is an Associated Backup or Associated Spare) – This allows the operator to remove the Associated Backup or Associated Spare missile reservation which </w:t>
      </w:r>
      <w:r w:rsidRPr="00517711">
        <w:rPr>
          <w:rStyle w:val="normaltextrun"/>
          <w:color w:val="000000"/>
          <w:szCs w:val="24"/>
          <w:shd w:val="clear" w:color="auto" w:fill="FFFFFF"/>
        </w:rPr>
        <w:t>restores missile availability following successful transition to cruise of the associated Primary.</w:t>
      </w:r>
    </w:p>
    <w:p w14:paraId="6753EE60" w14:textId="0C23D8B1" w:rsidR="00561DE7" w:rsidRPr="000665B0" w:rsidRDefault="00561DE7" w:rsidP="006D5A65">
      <w:pPr>
        <w:pStyle w:val="Heading1"/>
      </w:pPr>
      <w:r w:rsidRPr="000665B0">
        <w:t>Recovery (Enabled for failed missiles)</w:t>
      </w:r>
    </w:p>
    <w:p w14:paraId="2D81AF40" w14:textId="03632B22" w:rsidR="00561DE7" w:rsidRPr="000665B0" w:rsidRDefault="00561DE7" w:rsidP="006D5A65">
      <w:pPr>
        <w:pStyle w:val="Heading2"/>
      </w:pPr>
      <w:r w:rsidRPr="000665B0">
        <w:t>Launch Backup – The submenu show</w:t>
      </w:r>
      <w:r w:rsidR="00222732" w:rsidRPr="000665B0">
        <w:t>s</w:t>
      </w:r>
      <w:r w:rsidRPr="000665B0">
        <w:t xml:space="preserve"> the available backup missiles to launch. </w:t>
      </w:r>
      <w:r w:rsidR="00222732" w:rsidRPr="000665B0">
        <w:t xml:space="preserve">The backup missile is launched by a different FRU (acting as the backup), than the FRU that failed to launch the primary missile. </w:t>
      </w:r>
      <w:r w:rsidRPr="000665B0">
        <w:t>Selecting one of these backup missiles deactivate</w:t>
      </w:r>
      <w:r w:rsidR="00222732" w:rsidRPr="000665B0">
        <w:t>s</w:t>
      </w:r>
      <w:r w:rsidRPr="000665B0">
        <w:t xml:space="preserve"> the failed missile and activate</w:t>
      </w:r>
      <w:r w:rsidR="00222732" w:rsidRPr="000665B0">
        <w:t>s</w:t>
      </w:r>
      <w:r w:rsidRPr="000665B0">
        <w:t xml:space="preserve"> the backup missile. An SEM will be sent if applicable. If there are no backup missiles, then this menu item </w:t>
      </w:r>
      <w:r w:rsidR="00215996" w:rsidRPr="000665B0">
        <w:t>is</w:t>
      </w:r>
      <w:r w:rsidRPr="000665B0">
        <w:t xml:space="preserve"> disabled.</w:t>
      </w:r>
    </w:p>
    <w:p w14:paraId="632CF973" w14:textId="0AE24114" w:rsidR="00E91113" w:rsidRPr="000665B0" w:rsidRDefault="00E91113" w:rsidP="006D5A65">
      <w:pPr>
        <w:pStyle w:val="Heading2"/>
      </w:pPr>
      <w:r w:rsidRPr="000665B0">
        <w:t xml:space="preserve">Launch Ready Spare – </w:t>
      </w:r>
      <w:r w:rsidR="00084A70" w:rsidRPr="000665B0">
        <w:t xml:space="preserve">Ready spare is a missile that has been powered up ready for launch when the primary missile fails. </w:t>
      </w:r>
      <w:r w:rsidR="00222732" w:rsidRPr="000665B0">
        <w:t xml:space="preserve">Ready Spare and primary missiles are on the same FRU. </w:t>
      </w:r>
      <w:r w:rsidR="00084A70" w:rsidRPr="000665B0">
        <w:t>It requires a manual process to make the ready spare the primary missile. An auto ready spare missile is one that can be launched in case the primary missile fails. It does not require human intervention to turn it into a primary missile.</w:t>
      </w:r>
    </w:p>
    <w:p w14:paraId="24E7621A" w14:textId="09B9F466" w:rsidR="00531115" w:rsidRPr="000665B0" w:rsidRDefault="001D1ED5" w:rsidP="006D5A65">
      <w:pPr>
        <w:pStyle w:val="Heading3"/>
        <w:rPr>
          <w:bCs/>
        </w:rPr>
      </w:pPr>
      <w:r w:rsidRPr="000665B0">
        <w:t>S</w:t>
      </w:r>
      <w:r w:rsidR="00463D30" w:rsidRPr="000665B0">
        <w:t xml:space="preserve">pare missile launches may cause </w:t>
      </w:r>
      <w:r w:rsidR="001D5929" w:rsidRPr="000665B0">
        <w:t xml:space="preserve">unexpected behavior </w:t>
      </w:r>
      <w:r w:rsidR="0060072F" w:rsidRPr="000665B0">
        <w:t>by</w:t>
      </w:r>
      <w:r w:rsidR="001D5929" w:rsidRPr="000665B0">
        <w:t xml:space="preserve"> some of the icons</w:t>
      </w:r>
      <w:r w:rsidR="00463D30" w:rsidRPr="000665B0">
        <w:t xml:space="preserve"> on the Gantt chart (see </w:t>
      </w:r>
      <w:hyperlink w:anchor="_H&amp;S/Other_Icons_Fail" w:history="1">
        <w:r w:rsidR="00E036B6" w:rsidRPr="000665B0">
          <w:rPr>
            <w:rStyle w:val="Hyperlink"/>
          </w:rPr>
          <w:t xml:space="preserve">Section </w:t>
        </w:r>
        <w:r w:rsidR="004231CC">
          <w:rPr>
            <w:rStyle w:val="Hyperlink"/>
          </w:rPr>
          <w:t>5.35</w:t>
        </w:r>
        <w:r w:rsidR="001D5929" w:rsidRPr="000665B0">
          <w:rPr>
            <w:rStyle w:val="Hyperlink"/>
          </w:rPr>
          <w:t>.3.1.1.3.1</w:t>
        </w:r>
      </w:hyperlink>
      <w:r w:rsidR="00463D30" w:rsidRPr="000665B0">
        <w:t xml:space="preserve">). </w:t>
      </w:r>
    </w:p>
    <w:p w14:paraId="4F6A8A64" w14:textId="143FCE6D" w:rsidR="00561DE7" w:rsidRPr="000665B0" w:rsidRDefault="00561DE7" w:rsidP="006D5A65">
      <w:pPr>
        <w:pStyle w:val="Heading1"/>
      </w:pPr>
      <w:r w:rsidRPr="000665B0">
        <w:t>Move to Pool – Move</w:t>
      </w:r>
      <w:r w:rsidR="002348EB" w:rsidRPr="000665B0">
        <w:t>s</w:t>
      </w:r>
      <w:r w:rsidRPr="000665B0">
        <w:t xml:space="preserve"> a missile to the backup pool. </w:t>
      </w:r>
      <w:r w:rsidR="0054406A" w:rsidRPr="000665B0">
        <w:t xml:space="preserve">See </w:t>
      </w:r>
      <w:hyperlink w:anchor="_5.38.3.1.8.2.5__Move" w:history="1">
        <w:r w:rsidR="0096111B" w:rsidRPr="000665B0">
          <w:rPr>
            <w:rStyle w:val="Hyperlink"/>
          </w:rPr>
          <w:t xml:space="preserve">Section </w:t>
        </w:r>
        <w:r w:rsidR="004231CC">
          <w:rPr>
            <w:rStyle w:val="Hyperlink"/>
          </w:rPr>
          <w:t>5.35</w:t>
        </w:r>
        <w:r w:rsidR="0096111B" w:rsidRPr="000665B0">
          <w:rPr>
            <w:rStyle w:val="Hyperlink"/>
          </w:rPr>
          <w:t>.3.1.9</w:t>
        </w:r>
        <w:r w:rsidR="0054406A" w:rsidRPr="000665B0">
          <w:rPr>
            <w:rStyle w:val="Hyperlink"/>
          </w:rPr>
          <w:t>.2.</w:t>
        </w:r>
        <w:r w:rsidR="00475731" w:rsidRPr="000665B0">
          <w:rPr>
            <w:rStyle w:val="Hyperlink"/>
          </w:rPr>
          <w:t>4</w:t>
        </w:r>
      </w:hyperlink>
      <w:r w:rsidR="0054406A" w:rsidRPr="000665B0">
        <w:t>.</w:t>
      </w:r>
    </w:p>
    <w:p w14:paraId="454C0175" w14:textId="77777777" w:rsidR="00A47B35" w:rsidRPr="000665B0" w:rsidRDefault="00A47B35" w:rsidP="00BB4EBE">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0FE0CB43" w14:textId="77777777" w:rsidR="00A47B35" w:rsidRPr="000665B0" w:rsidRDefault="00A47B35" w:rsidP="00C376CE">
      <w:pPr>
        <w:keepNext/>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Only missiles that have not been previously launched can be moved to the pool. Once completed, the option will be marked as pending distribution in the option list view and can be sent from there.</w:t>
      </w:r>
    </w:p>
    <w:p w14:paraId="3DE27014" w14:textId="41D82588" w:rsidR="00215996" w:rsidRPr="000665B0" w:rsidRDefault="00215996" w:rsidP="006D5A65">
      <w:pPr>
        <w:pStyle w:val="Heading1"/>
      </w:pPr>
      <w:r w:rsidRPr="000665B0">
        <w:t xml:space="preserve">Assign Ghost… – </w:t>
      </w:r>
      <w:r w:rsidR="00910D51" w:rsidRPr="000665B0">
        <w:t xml:space="preserve">This allows the planner to select the FRU that will execute the mission. Selecting this menu will bring up </w:t>
      </w:r>
      <w:r w:rsidR="00910D51" w:rsidRPr="000665B0">
        <w:lastRenderedPageBreak/>
        <w:t>a dialog that contains a list of FRUs that can handle the tasking. This menu is only available for Ghost missiles.</w:t>
      </w:r>
    </w:p>
    <w:p w14:paraId="47B9C9FF" w14:textId="77777777" w:rsidR="00B6764D" w:rsidRPr="000665B0" w:rsidRDefault="00B6764D" w:rsidP="00BB4EBE">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bCs/>
        </w:rPr>
        <w:t>Note</w:t>
      </w:r>
      <w:r w:rsidRPr="000665B0">
        <w:rPr>
          <w:b/>
        </w:rPr>
        <w:t xml:space="preserve">: </w:t>
      </w:r>
    </w:p>
    <w:p w14:paraId="3D8711F4" w14:textId="47C8CDA0" w:rsidR="00B6764D" w:rsidRPr="000665B0" w:rsidRDefault="00B6764D" w:rsidP="00BB4EBE">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There is a limitation associated with </w:t>
      </w:r>
      <w:r w:rsidR="001A107C" w:rsidRPr="000665B0">
        <w:rPr>
          <w:b/>
        </w:rPr>
        <w:t xml:space="preserve">109E </w:t>
      </w:r>
      <w:r w:rsidRPr="000665B0">
        <w:rPr>
          <w:b/>
        </w:rPr>
        <w:t>missions assigned to Ghost tasking under the following conditions:</w:t>
      </w:r>
    </w:p>
    <w:p w14:paraId="01C8A113" w14:textId="1EE6C186" w:rsidR="00B6764D" w:rsidRPr="000665B0" w:rsidRDefault="00B6764D" w:rsidP="00BB4EBE">
      <w:pPr>
        <w:keepNext/>
        <w:keepLines/>
        <w:pBdr>
          <w:top w:val="single" w:sz="12" w:space="1" w:color="auto"/>
          <w:left w:val="single" w:sz="12" w:space="4" w:color="auto"/>
          <w:bottom w:val="single" w:sz="12" w:space="1" w:color="auto"/>
          <w:right w:val="single" w:sz="12" w:space="4" w:color="auto"/>
        </w:pBdr>
        <w:shd w:val="clear" w:color="auto" w:fill="D9D9D9"/>
        <w:rPr>
          <w:b/>
        </w:rPr>
      </w:pPr>
      <w:r w:rsidRPr="000665B0">
        <w:rPr>
          <w:b/>
        </w:rPr>
        <w:t>1. A 109E Mission is assigned to ghost tasking and a TSN Type is selected (e.g. DAMA).</w:t>
      </w:r>
      <w:r w:rsidRPr="000665B0">
        <w:rPr>
          <w:b/>
        </w:rPr>
        <w:br/>
        <w:t>2. The TSN Type is later changed (e.g. switch</w:t>
      </w:r>
      <w:r w:rsidR="00A76EA5" w:rsidRPr="000665B0">
        <w:rPr>
          <w:b/>
        </w:rPr>
        <w:t>ed</w:t>
      </w:r>
      <w:r w:rsidRPr="000665B0">
        <w:rPr>
          <w:b/>
        </w:rPr>
        <w:t xml:space="preserve"> to ACA).</w:t>
      </w:r>
      <w:r w:rsidRPr="000665B0">
        <w:rPr>
          <w:b/>
        </w:rPr>
        <w:br/>
        <w:t>3. When the Ghost mission is assigned to a FRU, the TSN Type retains the original selection (e.g. DAMA).</w:t>
      </w:r>
    </w:p>
    <w:p w14:paraId="32F28596" w14:textId="77D2E58E" w:rsidR="00561DE7" w:rsidRPr="000665B0" w:rsidRDefault="00561DE7" w:rsidP="006D5A65">
      <w:pPr>
        <w:pStyle w:val="Heading1"/>
      </w:pPr>
      <w:r w:rsidRPr="000665B0">
        <w:t xml:space="preserve">Shift Time… – </w:t>
      </w:r>
      <w:r w:rsidR="002128BC" w:rsidRPr="000665B0">
        <w:t>Shifts one or multiple missiles’ assignment times, provided that the missiles do not have their time locked by a chosen amount and have not yet launched.</w:t>
      </w:r>
      <w:r w:rsidRPr="000665B0">
        <w:t xml:space="preserve"> For more information see </w:t>
      </w:r>
      <w:hyperlink w:anchor="_Shift_Strike_Times_1" w:history="1">
        <w:r w:rsidR="009326FE" w:rsidRPr="000665B0">
          <w:rPr>
            <w:rStyle w:val="Hyperlink"/>
          </w:rPr>
          <w:t xml:space="preserve">Section </w:t>
        </w:r>
        <w:r w:rsidR="004231CC">
          <w:rPr>
            <w:rStyle w:val="Hyperlink"/>
          </w:rPr>
          <w:t>5.34</w:t>
        </w:r>
        <w:r w:rsidR="000B6B74" w:rsidRPr="000665B0">
          <w:rPr>
            <w:rStyle w:val="Hyperlink"/>
          </w:rPr>
          <w:t>.</w:t>
        </w:r>
        <w:r w:rsidR="0089269C" w:rsidRPr="000665B0">
          <w:rPr>
            <w:rStyle w:val="Hyperlink"/>
          </w:rPr>
          <w:t>7</w:t>
        </w:r>
        <w:r w:rsidR="000B6B74" w:rsidRPr="000665B0">
          <w:rPr>
            <w:rStyle w:val="Hyperlink"/>
          </w:rPr>
          <w:t>.1.19</w:t>
        </w:r>
      </w:hyperlink>
      <w:r w:rsidRPr="000665B0">
        <w:t xml:space="preserve">. </w:t>
      </w:r>
    </w:p>
    <w:p w14:paraId="1CFB8890" w14:textId="77777777" w:rsidR="00561DE7" w:rsidRPr="000665B0" w:rsidRDefault="00561DE7" w:rsidP="006D5A65">
      <w:pPr>
        <w:pStyle w:val="Heading1"/>
      </w:pPr>
      <w:r w:rsidRPr="000665B0">
        <w:t>Edit Alternate Controller – Edit</w:t>
      </w:r>
      <w:r w:rsidR="002348EB" w:rsidRPr="000665B0">
        <w:t>s</w:t>
      </w:r>
      <w:r w:rsidRPr="000665B0">
        <w:t xml:space="preserve"> the missile’s alternate controller.</w:t>
      </w:r>
    </w:p>
    <w:p w14:paraId="78B2B135" w14:textId="4CDA3670" w:rsidR="004E4C76" w:rsidRPr="000665B0" w:rsidRDefault="00A36B1F" w:rsidP="00561DE7">
      <w:pPr>
        <w:spacing w:after="240"/>
        <w:jc w:val="center"/>
      </w:pPr>
      <w:r w:rsidRPr="000665B0">
        <w:rPr>
          <w:noProof/>
        </w:rPr>
        <w:drawing>
          <wp:inline distT="0" distB="0" distL="0" distR="0" wp14:anchorId="72755FD6" wp14:editId="53F31DAD">
            <wp:extent cx="2743200" cy="1069848"/>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43200" cy="1069848"/>
                    </a:xfrm>
                    <a:prstGeom prst="rect">
                      <a:avLst/>
                    </a:prstGeom>
                  </pic:spPr>
                </pic:pic>
              </a:graphicData>
            </a:graphic>
          </wp:inline>
        </w:drawing>
      </w:r>
    </w:p>
    <w:p w14:paraId="7A454798" w14:textId="77777777" w:rsidR="00561DE7" w:rsidRPr="000665B0" w:rsidRDefault="00561DE7" w:rsidP="00A0163E">
      <w:pPr>
        <w:pBdr>
          <w:top w:val="single" w:sz="12" w:space="1" w:color="000000"/>
          <w:left w:val="single" w:sz="12" w:space="4" w:color="000000"/>
          <w:bottom w:val="single" w:sz="12" w:space="1" w:color="000000"/>
          <w:right w:val="single" w:sz="12" w:space="4" w:color="000000"/>
        </w:pBdr>
        <w:shd w:val="clear" w:color="auto" w:fill="D9D9D9"/>
        <w:spacing w:after="0"/>
        <w:ind w:left="86" w:right="86"/>
        <w:jc w:val="center"/>
        <w:rPr>
          <w:b/>
        </w:rPr>
      </w:pPr>
      <w:r w:rsidRPr="000665B0">
        <w:rPr>
          <w:b/>
        </w:rPr>
        <w:t>Note:</w:t>
      </w:r>
    </w:p>
    <w:p w14:paraId="4ED89079" w14:textId="22A29854" w:rsidR="00561DE7" w:rsidRPr="000665B0" w:rsidRDefault="00561DE7" w:rsidP="00A0163E">
      <w:pPr>
        <w:pBdr>
          <w:top w:val="single" w:sz="12" w:space="1" w:color="000000"/>
          <w:left w:val="single" w:sz="12" w:space="4" w:color="000000"/>
          <w:bottom w:val="single" w:sz="12" w:space="1" w:color="000000"/>
          <w:right w:val="single" w:sz="12" w:space="4" w:color="000000"/>
        </w:pBdr>
        <w:shd w:val="clear" w:color="auto" w:fill="D9D9D9"/>
        <w:ind w:left="86" w:right="86"/>
        <w:jc w:val="center"/>
        <w:rPr>
          <w:b/>
        </w:rPr>
      </w:pPr>
      <w:r w:rsidRPr="000665B0">
        <w:rPr>
          <w:b/>
        </w:rPr>
        <w:t xml:space="preserve">Only the </w:t>
      </w:r>
      <w:r w:rsidR="0063110F">
        <w:rPr>
          <w:b/>
        </w:rPr>
        <w:t>TSC</w:t>
      </w:r>
      <w:r w:rsidRPr="000665B0">
        <w:rPr>
          <w:b/>
        </w:rPr>
        <w:t>/</w:t>
      </w:r>
      <w:r w:rsidR="0063110F">
        <w:rPr>
          <w:b/>
        </w:rPr>
        <w:t>ATSC</w:t>
      </w:r>
      <w:r w:rsidR="0063110F" w:rsidRPr="000665B0">
        <w:rPr>
          <w:b/>
        </w:rPr>
        <w:t xml:space="preserve"> </w:t>
      </w:r>
      <w:r w:rsidRPr="000665B0">
        <w:rPr>
          <w:b/>
        </w:rPr>
        <w:t xml:space="preserve">has the permission to perform an Alternate Controller edit. The Edit Alternate Controller menu item </w:t>
      </w:r>
      <w:r w:rsidR="003F5FAA" w:rsidRPr="000665B0">
        <w:rPr>
          <w:b/>
        </w:rPr>
        <w:t>is</w:t>
      </w:r>
      <w:r w:rsidRPr="000665B0">
        <w:rPr>
          <w:b/>
        </w:rPr>
        <w:t xml:space="preserve"> disabled if the operator does not have permission or if the missile does not have a missile controller (i.e., 109C).</w:t>
      </w:r>
    </w:p>
    <w:p w14:paraId="652B4E57" w14:textId="7375DCEF" w:rsidR="002348EB" w:rsidRPr="000665B0" w:rsidRDefault="002348EB" w:rsidP="006D5A65">
      <w:pPr>
        <w:pStyle w:val="Heading1"/>
      </w:pPr>
      <w:r w:rsidRPr="000665B0">
        <w:t xml:space="preserve">Edit </w:t>
      </w:r>
      <w:r w:rsidR="00BF38FB" w:rsidRPr="000665B0">
        <w:sym w:font="Wingdings 3" w:char="F07D"/>
      </w:r>
      <w:r w:rsidR="00BF38FB" w:rsidRPr="000665B0">
        <w:t xml:space="preserve"> </w:t>
      </w:r>
      <w:r w:rsidRPr="000665B0">
        <w:t>Time – Edits the missile’s timing information. The timing information includes the timing type, assigned time, delta, and time lock.</w:t>
      </w:r>
    </w:p>
    <w:p w14:paraId="49695E62" w14:textId="6A674E63" w:rsidR="002348EB" w:rsidRPr="000665B0" w:rsidRDefault="00A36B1F" w:rsidP="002348EB">
      <w:pPr>
        <w:spacing w:after="240"/>
        <w:jc w:val="center"/>
      </w:pPr>
      <w:r w:rsidRPr="000665B0">
        <w:rPr>
          <w:noProof/>
        </w:rPr>
        <w:drawing>
          <wp:inline distT="0" distB="0" distL="0" distR="0" wp14:anchorId="431C4C8E" wp14:editId="6B6D3E16">
            <wp:extent cx="2743200" cy="1298448"/>
            <wp:effectExtent l="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298448"/>
                    </a:xfrm>
                    <a:prstGeom prst="rect">
                      <a:avLst/>
                    </a:prstGeom>
                  </pic:spPr>
                </pic:pic>
              </a:graphicData>
            </a:graphic>
          </wp:inline>
        </w:drawing>
      </w:r>
    </w:p>
    <w:p w14:paraId="6A56BC53" w14:textId="77777777" w:rsidR="002348EB" w:rsidRPr="000665B0" w:rsidRDefault="002348EB" w:rsidP="002348EB">
      <w:pPr>
        <w:ind w:left="720"/>
      </w:pPr>
      <w:r w:rsidRPr="000665B0">
        <w:t>The Locked checkbox locks the selected reservation’s timing. Once locked, any timing changes will not affect the locked reservations.</w:t>
      </w:r>
    </w:p>
    <w:p w14:paraId="1C83BD7B" w14:textId="77777777" w:rsidR="002348EB" w:rsidRPr="000665B0" w:rsidRDefault="002348EB" w:rsidP="0056560F">
      <w:pPr>
        <w:pBdr>
          <w:top w:val="single" w:sz="12" w:space="1" w:color="auto"/>
          <w:left w:val="single" w:sz="12" w:space="4" w:color="auto"/>
          <w:bottom w:val="single" w:sz="12" w:space="1" w:color="auto"/>
          <w:right w:val="single" w:sz="12" w:space="4" w:color="auto"/>
        </w:pBdr>
        <w:shd w:val="clear" w:color="auto" w:fill="D9D9D9"/>
        <w:spacing w:after="0"/>
        <w:ind w:left="90" w:right="90"/>
        <w:jc w:val="center"/>
        <w:rPr>
          <w:b/>
        </w:rPr>
      </w:pPr>
      <w:r w:rsidRPr="000665B0">
        <w:rPr>
          <w:b/>
        </w:rPr>
        <w:t>Note:</w:t>
      </w:r>
    </w:p>
    <w:p w14:paraId="0508DECB" w14:textId="77777777" w:rsidR="002348EB" w:rsidRPr="000665B0" w:rsidRDefault="002348EB" w:rsidP="00BB4EBE">
      <w:pPr>
        <w:pBdr>
          <w:top w:val="single" w:sz="12" w:space="1" w:color="auto"/>
          <w:left w:val="single" w:sz="12" w:space="4" w:color="auto"/>
          <w:bottom w:val="single" w:sz="12" w:space="1" w:color="auto"/>
          <w:right w:val="single" w:sz="12" w:space="4" w:color="auto"/>
        </w:pBdr>
        <w:shd w:val="clear" w:color="auto" w:fill="D9D9D9"/>
        <w:ind w:left="90" w:right="90"/>
        <w:jc w:val="center"/>
        <w:rPr>
          <w:b/>
        </w:rPr>
      </w:pPr>
      <w:r w:rsidRPr="000665B0">
        <w:rPr>
          <w:b/>
        </w:rPr>
        <w:lastRenderedPageBreak/>
        <w:t>Only missiles that have not been launched can have their times changed. Once completed, the option will be marked as pending distribution in the option list view and can be sent from there.</w:t>
      </w:r>
    </w:p>
    <w:p w14:paraId="0460B46C" w14:textId="606B6DC4" w:rsidR="00561DE7" w:rsidRPr="000665B0" w:rsidRDefault="00561DE7" w:rsidP="006D5A65">
      <w:pPr>
        <w:pStyle w:val="Heading1"/>
      </w:pPr>
      <w:r w:rsidRPr="000665B0">
        <w:t>Swap Controller – Swap</w:t>
      </w:r>
      <w:r w:rsidR="002348EB" w:rsidRPr="000665B0">
        <w:t>s</w:t>
      </w:r>
      <w:r w:rsidRPr="000665B0">
        <w:t xml:space="preserve"> a missile’s primary and backup missile controllers. The primary becomes the </w:t>
      </w:r>
      <w:r w:rsidR="00B97A50" w:rsidRPr="000665B0">
        <w:t>backup,</w:t>
      </w:r>
      <w:r w:rsidRPr="000665B0">
        <w:t xml:space="preserve"> and the backup becomes the primary. </w:t>
      </w:r>
    </w:p>
    <w:p w14:paraId="0CF65087" w14:textId="52BAA1AF" w:rsidR="00561DE7" w:rsidRPr="000665B0" w:rsidRDefault="00561DE7" w:rsidP="00A0163E">
      <w:pPr>
        <w:pBdr>
          <w:top w:val="single" w:sz="12" w:space="1" w:color="000000"/>
          <w:left w:val="single" w:sz="12" w:space="4" w:color="000000"/>
          <w:bottom w:val="single" w:sz="12" w:space="1" w:color="000000"/>
          <w:right w:val="single" w:sz="12" w:space="4" w:color="000000"/>
        </w:pBdr>
        <w:shd w:val="clear" w:color="auto" w:fill="D9D9D9"/>
        <w:ind w:left="86" w:right="86"/>
        <w:jc w:val="center"/>
        <w:rPr>
          <w:b/>
        </w:rPr>
      </w:pPr>
      <w:r w:rsidRPr="000665B0">
        <w:rPr>
          <w:b/>
        </w:rPr>
        <w:t>Note:</w:t>
      </w:r>
      <w:r w:rsidR="001117FE" w:rsidRPr="000665B0">
        <w:rPr>
          <w:b/>
        </w:rPr>
        <w:br/>
      </w:r>
      <w:r w:rsidRPr="000665B0">
        <w:rPr>
          <w:b/>
        </w:rPr>
        <w:t xml:space="preserve">Only the </w:t>
      </w:r>
      <w:r w:rsidR="00BD1D32">
        <w:rPr>
          <w:b/>
        </w:rPr>
        <w:t>TSC/ATSC</w:t>
      </w:r>
      <w:r w:rsidR="00682338">
        <w:rPr>
          <w:b/>
        </w:rPr>
        <w:t xml:space="preserve"> </w:t>
      </w:r>
      <w:r w:rsidRPr="000665B0">
        <w:rPr>
          <w:b/>
        </w:rPr>
        <w:t xml:space="preserve">has the permission to perform a Swap Controller. The Swap Controller menu item </w:t>
      </w:r>
      <w:r w:rsidR="003F5FAA" w:rsidRPr="000665B0">
        <w:rPr>
          <w:b/>
        </w:rPr>
        <w:t>is</w:t>
      </w:r>
      <w:r w:rsidRPr="000665B0">
        <w:rPr>
          <w:b/>
        </w:rPr>
        <w:t xml:space="preserve"> disabled if the operator does not have permission or if the missile does not have a missile controller (i.e., 109C).</w:t>
      </w:r>
    </w:p>
    <w:p w14:paraId="607C14D8" w14:textId="77777777" w:rsidR="00561DE7" w:rsidRPr="000665B0" w:rsidRDefault="00561DE7" w:rsidP="0056560F">
      <w:pPr>
        <w:pBdr>
          <w:top w:val="single" w:sz="12" w:space="1" w:color="auto"/>
          <w:left w:val="single" w:sz="12" w:space="4" w:color="auto"/>
          <w:bottom w:val="single" w:sz="12" w:space="1" w:color="auto"/>
          <w:right w:val="single" w:sz="12" w:space="4" w:color="auto"/>
        </w:pBdr>
        <w:shd w:val="clear" w:color="auto" w:fill="D9D9D9"/>
        <w:spacing w:after="0"/>
        <w:ind w:left="90" w:right="90"/>
        <w:jc w:val="center"/>
        <w:rPr>
          <w:b/>
        </w:rPr>
      </w:pPr>
      <w:r w:rsidRPr="000665B0">
        <w:rPr>
          <w:b/>
        </w:rPr>
        <w:t>Note:</w:t>
      </w:r>
    </w:p>
    <w:p w14:paraId="13389F74" w14:textId="77777777" w:rsidR="00561DE7" w:rsidRPr="000665B0" w:rsidRDefault="00561DE7" w:rsidP="00BB4EBE">
      <w:pPr>
        <w:pBdr>
          <w:top w:val="single" w:sz="12" w:space="1" w:color="auto"/>
          <w:left w:val="single" w:sz="12" w:space="4" w:color="auto"/>
          <w:bottom w:val="single" w:sz="12" w:space="1" w:color="auto"/>
          <w:right w:val="single" w:sz="12" w:space="4" w:color="auto"/>
        </w:pBdr>
        <w:shd w:val="clear" w:color="auto" w:fill="D9D9D9"/>
        <w:ind w:left="90" w:right="90"/>
        <w:jc w:val="center"/>
        <w:rPr>
          <w:b/>
        </w:rPr>
      </w:pPr>
      <w:r w:rsidRPr="000665B0">
        <w:rPr>
          <w:b/>
        </w:rPr>
        <w:t xml:space="preserve">ESP revision does not increase when the </w:t>
      </w:r>
      <w:r w:rsidR="0088223D" w:rsidRPr="000665B0">
        <w:rPr>
          <w:b/>
        </w:rPr>
        <w:t>Primary Missile Controller/Backup Missile Controller</w:t>
      </w:r>
      <w:r w:rsidRPr="000665B0">
        <w:rPr>
          <w:b/>
        </w:rPr>
        <w:t xml:space="preserve"> are swapped for one or more missiles. The ESP revision does not bump up because swapping the </w:t>
      </w:r>
      <w:r w:rsidR="0088223D" w:rsidRPr="000665B0">
        <w:rPr>
          <w:b/>
        </w:rPr>
        <w:t xml:space="preserve">Primary Missile Controller/Backup Missile Controller </w:t>
      </w:r>
      <w:r w:rsidRPr="000665B0">
        <w:rPr>
          <w:b/>
        </w:rPr>
        <w:t>for each individual missile does not change the ESP. The TTWCS IMMM field in Missile Assignment of the Strike Option affects the ESP.</w:t>
      </w:r>
    </w:p>
    <w:p w14:paraId="7E49D7B7" w14:textId="5ECB7E2C" w:rsidR="00E16E36" w:rsidRPr="000665B0" w:rsidRDefault="00E16E36" w:rsidP="006D5A65">
      <w:pPr>
        <w:pStyle w:val="Heading1"/>
      </w:pPr>
      <w:bookmarkStart w:id="6568" w:name="_5.38.3.1.1.2.1__Gantt_1"/>
      <w:bookmarkStart w:id="6569" w:name="_Toc289328905"/>
      <w:bookmarkEnd w:id="6568"/>
      <w:r w:rsidRPr="000665B0">
        <w:t>Switch Network to</w:t>
      </w:r>
      <w:r w:rsidR="00CA7A3B" w:rsidRPr="000665B0">
        <w:t xml:space="preserve"> ACA/DAMA </w:t>
      </w:r>
      <w:r w:rsidRPr="000665B0">
        <w:t>– Switches the selected assignment (and any associated spare) to the other TSN type. DAMA can be switched to ACA, and ACA to DAMA. The menu is not enabled for non</w:t>
      </w:r>
      <w:r w:rsidR="00A72464" w:rsidRPr="000665B0">
        <w:t>-</w:t>
      </w:r>
      <w:r w:rsidRPr="000665B0">
        <w:t>109E missiles</w:t>
      </w:r>
      <w:r w:rsidR="00C320C7">
        <w:t>, 109E ACPs</w:t>
      </w:r>
      <w:r w:rsidR="0024128B">
        <w:t>,</w:t>
      </w:r>
      <w:r w:rsidR="00A1292F" w:rsidRPr="000665B0">
        <w:t xml:space="preserve"> MSTM</w:t>
      </w:r>
      <w:r w:rsidR="00C05381" w:rsidRPr="000665B0">
        <w:t>s</w:t>
      </w:r>
      <w:r w:rsidR="0024128B">
        <w:t>, and ACP2s</w:t>
      </w:r>
      <w:r w:rsidRPr="000665B0">
        <w:t>.</w:t>
      </w:r>
    </w:p>
    <w:p w14:paraId="71E5789F" w14:textId="77777777" w:rsidR="00E16E36" w:rsidRPr="000665B0" w:rsidRDefault="00E16E36" w:rsidP="006D5A65">
      <w:pPr>
        <w:pStyle w:val="Heading1"/>
      </w:pPr>
      <w:r w:rsidRPr="000665B0">
        <w:t>Select the 109E Comms Enabled missile</w:t>
      </w:r>
      <w:r w:rsidRPr="001F4B14">
        <w:t>.</w:t>
      </w:r>
    </w:p>
    <w:p w14:paraId="0B515065" w14:textId="2300B1D6" w:rsidR="00E16E36" w:rsidRPr="000665B0" w:rsidRDefault="00E16E36" w:rsidP="006D5A65">
      <w:pPr>
        <w:pStyle w:val="Heading1"/>
      </w:pPr>
      <w:r w:rsidRPr="000665B0">
        <w:t>Invoke the context menu (</w:t>
      </w:r>
      <w:r w:rsidR="00D71804" w:rsidRPr="000665B0">
        <w:t>right-click</w:t>
      </w:r>
      <w:r w:rsidRPr="000665B0">
        <w:t xml:space="preserve"> the mouse) and select</w:t>
      </w:r>
      <w:r w:rsidRPr="000665B0">
        <w:rPr>
          <w:bCs/>
        </w:rPr>
        <w:t xml:space="preserve"> Switch Network to ACA or </w:t>
      </w:r>
      <w:r w:rsidR="00A1292F" w:rsidRPr="000665B0">
        <w:rPr>
          <w:bCs/>
        </w:rPr>
        <w:t xml:space="preserve">Switch Network to </w:t>
      </w:r>
      <w:r w:rsidRPr="000665B0">
        <w:rPr>
          <w:bCs/>
        </w:rPr>
        <w:t xml:space="preserve">DAMA. </w:t>
      </w:r>
    </w:p>
    <w:p w14:paraId="4985E412" w14:textId="77777777" w:rsidR="00E16E36" w:rsidRPr="000665B0" w:rsidRDefault="00E16E36" w:rsidP="00E16E36">
      <w:pPr>
        <w:pStyle w:val="BodyTextIndent2"/>
        <w:tabs>
          <w:tab w:val="left" w:pos="720"/>
        </w:tabs>
        <w:spacing w:line="240" w:lineRule="auto"/>
        <w:ind w:left="1080"/>
        <w:rPr>
          <w:b/>
        </w:rPr>
      </w:pPr>
      <w:r w:rsidRPr="000665B0">
        <w:t>Before the switch is made, the system checks to ensure that there are enough missiles available (both during planning and execution). If there are not enough missiles, the user is notified and the TSN type is NOT switched.</w:t>
      </w:r>
    </w:p>
    <w:p w14:paraId="308B54EA" w14:textId="77777777" w:rsidR="00E16E36" w:rsidRPr="000665B0" w:rsidRDefault="00E16E36" w:rsidP="00E16E36">
      <w:pPr>
        <w:pStyle w:val="ListParagraph"/>
        <w:spacing w:after="120" w:line="240" w:lineRule="atLeast"/>
        <w:ind w:left="0"/>
        <w:jc w:val="center"/>
      </w:pPr>
      <w:r w:rsidRPr="000665B0">
        <w:rPr>
          <w:noProof/>
        </w:rPr>
        <w:drawing>
          <wp:inline distT="0" distB="0" distL="0" distR="0" wp14:anchorId="748D4B43" wp14:editId="479E2448">
            <wp:extent cx="2743200" cy="1106424"/>
            <wp:effectExtent l="0" t="0" r="0" b="0"/>
            <wp:docPr id="2142" name="Picture 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106424"/>
                    </a:xfrm>
                    <a:prstGeom prst="rect">
                      <a:avLst/>
                    </a:prstGeom>
                  </pic:spPr>
                </pic:pic>
              </a:graphicData>
            </a:graphic>
          </wp:inline>
        </w:drawing>
      </w:r>
    </w:p>
    <w:p w14:paraId="6C456EB2" w14:textId="77777777" w:rsidR="00E16E36" w:rsidRPr="000665B0" w:rsidRDefault="00E16E36" w:rsidP="00E16E36">
      <w:pPr>
        <w:pStyle w:val="BodyTextIndent2"/>
        <w:tabs>
          <w:tab w:val="left" w:pos="720"/>
        </w:tabs>
        <w:spacing w:line="240" w:lineRule="auto"/>
        <w:ind w:left="1080"/>
      </w:pPr>
      <w:r w:rsidRPr="000665B0">
        <w:t>During execution, the system also checks to ensure that the needed crypto is present. If not, the user is notified.</w:t>
      </w:r>
    </w:p>
    <w:p w14:paraId="3EB48CC3" w14:textId="77777777" w:rsidR="00E16E36" w:rsidRPr="000665B0" w:rsidRDefault="00E16E36" w:rsidP="00E16E36">
      <w:pPr>
        <w:jc w:val="center"/>
      </w:pPr>
      <w:r w:rsidRPr="000665B0">
        <w:rPr>
          <w:noProof/>
        </w:rPr>
        <w:lastRenderedPageBreak/>
        <w:drawing>
          <wp:inline distT="0" distB="0" distL="0" distR="0" wp14:anchorId="330E1751" wp14:editId="59531B95">
            <wp:extent cx="3091800" cy="2090057"/>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02655" cy="2097395"/>
                    </a:xfrm>
                    <a:prstGeom prst="rect">
                      <a:avLst/>
                    </a:prstGeom>
                  </pic:spPr>
                </pic:pic>
              </a:graphicData>
            </a:graphic>
          </wp:inline>
        </w:drawing>
      </w:r>
    </w:p>
    <w:p w14:paraId="4E044553" w14:textId="2BF2DB9F" w:rsidR="00BF38FB" w:rsidRPr="000665B0" w:rsidRDefault="00BF38FB" w:rsidP="006D5A65">
      <w:pPr>
        <w:pStyle w:val="Heading1"/>
        <w:rPr>
          <w:szCs w:val="24"/>
        </w:rPr>
      </w:pPr>
      <w:r w:rsidRPr="000665B0">
        <w:t xml:space="preserve">Spotlight – Highlights every line item associated with the selected missile sequence number in every pane in the SMD, including the Gantt Chart and corresponding route on the Geo display. This allows the user to rapidly locate and correlate missile assignments for an individual FRU. The spotlighted item is added to the Spotlighted Assignments pane (see </w:t>
      </w:r>
      <w:hyperlink w:anchor="_Spotlighted_Assignments_List" w:history="1">
        <w:r w:rsidR="00157B2F" w:rsidRPr="000665B0">
          <w:rPr>
            <w:rStyle w:val="Hyperlink"/>
          </w:rPr>
          <w:t xml:space="preserve">Section </w:t>
        </w:r>
        <w:r w:rsidR="004231CC">
          <w:rPr>
            <w:rStyle w:val="Hyperlink"/>
          </w:rPr>
          <w:t>5.35</w:t>
        </w:r>
        <w:r w:rsidR="00157B2F" w:rsidRPr="000665B0">
          <w:rPr>
            <w:rStyle w:val="Hyperlink"/>
          </w:rPr>
          <w:t>.3.1.11</w:t>
        </w:r>
      </w:hyperlink>
      <w:r w:rsidRPr="000665B0">
        <w:t>).</w:t>
      </w:r>
    </w:p>
    <w:p w14:paraId="4DCF55E3" w14:textId="1679EB8F" w:rsidR="00BF38FB" w:rsidRPr="000665B0" w:rsidRDefault="00BF38FB" w:rsidP="006D5A65">
      <w:pPr>
        <w:pStyle w:val="Heading1"/>
        <w:rPr>
          <w:szCs w:val="24"/>
        </w:rPr>
      </w:pPr>
      <w:r w:rsidRPr="000665B0">
        <w:t xml:space="preserve">Save As – Saves the route files to a Mission-Based Common Route Definition (CRD) format. See </w:t>
      </w:r>
      <w:hyperlink w:anchor="_Save_as_Route" w:history="1">
        <w:r w:rsidRPr="000665B0">
          <w:rPr>
            <w:rStyle w:val="Hyperlink"/>
            <w:bCs/>
          </w:rPr>
          <w:t>Section 5.5.14</w:t>
        </w:r>
      </w:hyperlink>
      <w:r w:rsidRPr="000665B0">
        <w:t>.</w:t>
      </w:r>
    </w:p>
    <w:p w14:paraId="6889A9F6" w14:textId="278BD86F" w:rsidR="0032239A" w:rsidRPr="000665B0" w:rsidRDefault="0032239A" w:rsidP="006D5A65">
      <w:pPr>
        <w:pStyle w:val="Heading1"/>
      </w:pPr>
      <w:r w:rsidRPr="000665B0">
        <w:t>Save Route As</w:t>
      </w:r>
      <w:r w:rsidR="00BF38FB" w:rsidRPr="000665B0">
        <w:t xml:space="preserve"> (maritime strike)</w:t>
      </w:r>
    </w:p>
    <w:p w14:paraId="044A3589" w14:textId="1A3C8A2E" w:rsidR="0032239A" w:rsidRPr="000665B0" w:rsidRDefault="0032239A" w:rsidP="006D5A65">
      <w:pPr>
        <w:pStyle w:val="Heading1"/>
      </w:pPr>
      <w:r w:rsidRPr="000665B0">
        <w:t xml:space="preserve">KML – </w:t>
      </w:r>
      <w:r w:rsidR="001A4205" w:rsidRPr="000665B0">
        <w:t>Saves the route file in KML format.</w:t>
      </w:r>
    </w:p>
    <w:p w14:paraId="6F6F6C32" w14:textId="30230667" w:rsidR="0032239A" w:rsidRPr="000665B0" w:rsidRDefault="0032239A" w:rsidP="006D5A65">
      <w:pPr>
        <w:pStyle w:val="Heading1"/>
      </w:pPr>
      <w:r w:rsidRPr="000665B0">
        <w:t xml:space="preserve">Overlay – </w:t>
      </w:r>
      <w:r w:rsidR="001A4205" w:rsidRPr="000665B0">
        <w:t>Saves the route file as an overlay.</w:t>
      </w:r>
    </w:p>
    <w:p w14:paraId="34644D6F" w14:textId="27C5D2CD" w:rsidR="000A607E" w:rsidRPr="000665B0" w:rsidRDefault="000A607E" w:rsidP="00536207">
      <w:pPr>
        <w:pStyle w:val="Heading7"/>
        <w:keepNext w:val="0"/>
      </w:pPr>
      <w:bookmarkStart w:id="6570" w:name="_5.38.3.1.1.2.1__Gantt_2"/>
      <w:bookmarkEnd w:id="6570"/>
      <w:r w:rsidRPr="000665B0">
        <w:t>Gantt Missile Identifier Properties</w:t>
      </w:r>
      <w:bookmarkEnd w:id="6569"/>
    </w:p>
    <w:p w14:paraId="06FB6E20" w14:textId="77777777" w:rsidR="000A607E" w:rsidRPr="000665B0" w:rsidRDefault="000A607E" w:rsidP="000A607E">
      <w:pPr>
        <w:rPr>
          <w:snapToGrid w:val="0"/>
        </w:rPr>
      </w:pPr>
      <w:r w:rsidRPr="000665B0">
        <w:t xml:space="preserve">The </w:t>
      </w:r>
      <w:r w:rsidRPr="000665B0">
        <w:rPr>
          <w:i/>
          <w:iCs/>
        </w:rPr>
        <w:t>Gantt Missile Identifier</w:t>
      </w:r>
      <w:r w:rsidRPr="000665B0">
        <w:t xml:space="preserve"> </w:t>
      </w:r>
      <w:r w:rsidRPr="000665B0">
        <w:rPr>
          <w:i/>
          <w:iCs/>
        </w:rPr>
        <w:t xml:space="preserve">Properties </w:t>
      </w:r>
      <w:r w:rsidRPr="000665B0">
        <w:t xml:space="preserve">dialog </w:t>
      </w:r>
      <w:r w:rsidRPr="000665B0">
        <w:rPr>
          <w:snapToGrid w:val="0"/>
        </w:rPr>
        <w:t xml:space="preserve">allows the operator to customize the appearance of the Missile ID in the Gantt chart tree view by configuring what fields relating to the missile reservation will be displayed, and in what order. All changes are user unique and are retained </w:t>
      </w:r>
      <w:r w:rsidR="00EF5462" w:rsidRPr="000665B0">
        <w:rPr>
          <w:snapToGrid w:val="0"/>
        </w:rPr>
        <w:t>after logging out and logging back in</w:t>
      </w:r>
      <w:r w:rsidRPr="000665B0">
        <w:rPr>
          <w:snapToGrid w:val="0"/>
        </w:rPr>
        <w:t xml:space="preserve">. </w:t>
      </w:r>
    </w:p>
    <w:p w14:paraId="76BC6A15" w14:textId="77777777" w:rsidR="000A607E" w:rsidRPr="000665B0" w:rsidRDefault="000A607E" w:rsidP="000A607E">
      <w:r w:rsidRPr="000665B0">
        <w:rPr>
          <w:snapToGrid w:val="0"/>
        </w:rPr>
        <w:t>To configure the field order for the Gantt Missile ID:</w:t>
      </w:r>
    </w:p>
    <w:p w14:paraId="353EAB21" w14:textId="73321DEF" w:rsidR="000A607E" w:rsidRPr="000665B0" w:rsidRDefault="000A607E" w:rsidP="006D5A65">
      <w:pPr>
        <w:pStyle w:val="Heading1"/>
      </w:pPr>
      <w:r w:rsidRPr="000665B0">
        <w:lastRenderedPageBreak/>
        <w:t>In the SMD</w:t>
      </w:r>
      <w:r w:rsidR="00BA3A39" w:rsidRPr="000665B0">
        <w:t>’s menu</w:t>
      </w:r>
      <w:r w:rsidRPr="000665B0">
        <w:t xml:space="preserve">, select Gantt </w:t>
      </w:r>
      <w:r w:rsidRPr="000665B0">
        <w:sym w:font="Wingdings" w:char="F0E0"/>
      </w:r>
      <w:r w:rsidRPr="000665B0">
        <w:t xml:space="preserve"> Gantt Missile ID Order….</w:t>
      </w:r>
    </w:p>
    <w:p w14:paraId="4626459D" w14:textId="1D7ABDAC" w:rsidR="000E2610" w:rsidRPr="000665B0" w:rsidRDefault="00206A7C" w:rsidP="00D15947">
      <w:pPr>
        <w:jc w:val="center"/>
      </w:pPr>
      <w:r>
        <w:rPr>
          <w:noProof/>
        </w:rPr>
        <w:drawing>
          <wp:inline distT="0" distB="0" distL="0" distR="0" wp14:anchorId="47F4A490" wp14:editId="12AFD076">
            <wp:extent cx="1828800" cy="2478024"/>
            <wp:effectExtent l="0" t="0" r="0" b="0"/>
            <wp:docPr id="358" name="Picture 35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Picture 358" descr="Graphical user interface, application&#10;&#10;Description automatically generat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828800" cy="2478024"/>
                    </a:xfrm>
                    <a:prstGeom prst="rect">
                      <a:avLst/>
                    </a:prstGeom>
                    <a:noFill/>
                    <a:ln>
                      <a:noFill/>
                    </a:ln>
                  </pic:spPr>
                </pic:pic>
              </a:graphicData>
            </a:graphic>
          </wp:inline>
        </w:drawing>
      </w:r>
    </w:p>
    <w:p w14:paraId="3AF6A72C" w14:textId="77777777" w:rsidR="000A607E" w:rsidRPr="000665B0" w:rsidRDefault="000A607E" w:rsidP="006D5A65">
      <w:pPr>
        <w:pStyle w:val="Heading1"/>
      </w:pPr>
      <w:r w:rsidRPr="000665B0">
        <w:t xml:space="preserve">The </w:t>
      </w:r>
      <w:r w:rsidRPr="000665B0">
        <w:rPr>
          <w:i/>
        </w:rPr>
        <w:t>Gantt Missile Identifier Properties</w:t>
      </w:r>
      <w:r w:rsidRPr="000665B0">
        <w:t xml:space="preserve"> window </w:t>
      </w:r>
      <w:r w:rsidR="001026BE" w:rsidRPr="000665B0">
        <w:t>is</w:t>
      </w:r>
      <w:r w:rsidRPr="000665B0">
        <w:t xml:space="preserve"> displayed. As </w:t>
      </w:r>
      <w:r w:rsidR="00F97449" w:rsidRPr="000665B0">
        <w:t>is shown</w:t>
      </w:r>
      <w:r w:rsidRPr="000665B0">
        <w:t xml:space="preserve"> by the window representation, items are added or removed as necessary. The left side lists the available field attributes for display, while the right side lists the fields already selected for display. </w:t>
      </w:r>
    </w:p>
    <w:p w14:paraId="23781D93" w14:textId="66AF7CE4" w:rsidR="000A607E" w:rsidRPr="000665B0" w:rsidRDefault="004076AF" w:rsidP="00D15947">
      <w:pPr>
        <w:jc w:val="center"/>
      </w:pPr>
      <w:r w:rsidRPr="000665B0">
        <w:rPr>
          <w:noProof/>
        </w:rPr>
        <w:drawing>
          <wp:inline distT="0" distB="0" distL="0" distR="0" wp14:anchorId="1E963F1D" wp14:editId="0EBD1632">
            <wp:extent cx="2286000" cy="229514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286000" cy="2295144"/>
                    </a:xfrm>
                    <a:prstGeom prst="rect">
                      <a:avLst/>
                    </a:prstGeom>
                  </pic:spPr>
                </pic:pic>
              </a:graphicData>
            </a:graphic>
          </wp:inline>
        </w:drawing>
      </w:r>
    </w:p>
    <w:p w14:paraId="52135B08" w14:textId="31B05AC6" w:rsidR="000A607E" w:rsidRPr="000665B0" w:rsidRDefault="000A607E" w:rsidP="006D5A65">
      <w:pPr>
        <w:pStyle w:val="Heading1"/>
      </w:pPr>
      <w:r w:rsidRPr="000665B0">
        <w:t xml:space="preserve">In the Gantt Missile Identifier Properties window, move the items To/From the Available Fields/Display Fields in this Order </w:t>
      </w:r>
      <w:r w:rsidRPr="000665B0">
        <w:lastRenderedPageBreak/>
        <w:t xml:space="preserve">list boxes by either </w:t>
      </w:r>
      <w:r w:rsidR="0037038E" w:rsidRPr="000665B0">
        <w:t>double-click</w:t>
      </w:r>
      <w:r w:rsidRPr="000665B0">
        <w:t>ing on the item, or selecting the item(s) and clicking on the Add -&gt; or &lt;- Remove button.</w:t>
      </w:r>
    </w:p>
    <w:p w14:paraId="4B981873" w14:textId="77777777" w:rsidR="000A607E" w:rsidRPr="000665B0" w:rsidRDefault="000A607E" w:rsidP="006D5A65">
      <w:pPr>
        <w:pStyle w:val="Heading1"/>
      </w:pPr>
      <w:r w:rsidRPr="000665B0">
        <w:t xml:space="preserve">To display all fields, click on the Add All -&gt;&gt; button. To remove all fields, click on the &lt;&lt;- Remove All button. </w:t>
      </w:r>
    </w:p>
    <w:p w14:paraId="24EEC5C0" w14:textId="2473AFA7" w:rsidR="000A607E" w:rsidRPr="000665B0" w:rsidRDefault="000A607E" w:rsidP="006D5A65">
      <w:pPr>
        <w:pStyle w:val="Heading1"/>
      </w:pPr>
      <w:r w:rsidRPr="000665B0">
        <w:t xml:space="preserve">The field order can be changed by selecting one or more adjacent </w:t>
      </w:r>
      <w:r w:rsidR="00E971E8" w:rsidRPr="000665B0">
        <w:t>columns and</w:t>
      </w:r>
      <w:r w:rsidRPr="000665B0">
        <w:t xml:space="preserve"> clicking on the Move Up or Move Down buttons until the field is in the desired location.</w:t>
      </w:r>
    </w:p>
    <w:p w14:paraId="772525A5" w14:textId="77777777" w:rsidR="000A607E" w:rsidRPr="000665B0" w:rsidRDefault="000A607E" w:rsidP="006D5A65">
      <w:pPr>
        <w:pStyle w:val="Heading1"/>
      </w:pPr>
      <w:r w:rsidRPr="000665B0">
        <w:t>If it becomes necessary to revert back to the original state, the operator can click the Restore Column Defaults button.</w:t>
      </w:r>
    </w:p>
    <w:p w14:paraId="67223568" w14:textId="77777777" w:rsidR="000A607E" w:rsidRPr="000665B0" w:rsidRDefault="000A607E" w:rsidP="006D5A65">
      <w:pPr>
        <w:pStyle w:val="Heading1"/>
      </w:pPr>
      <w:r w:rsidRPr="000665B0">
        <w:t>Click the OK button when all configurations have been completed.</w:t>
      </w:r>
    </w:p>
    <w:p w14:paraId="77A2D5D5" w14:textId="5C18CD96" w:rsidR="007B1957" w:rsidRPr="000665B0" w:rsidRDefault="000A607E" w:rsidP="00306174">
      <w:pPr>
        <w:pStyle w:val="Heading6"/>
      </w:pPr>
      <w:bookmarkStart w:id="6571" w:name="_5.38.3.1.1.3__Gantt"/>
      <w:bookmarkStart w:id="6572" w:name="_Toc289328906"/>
      <w:bookmarkEnd w:id="6571"/>
      <w:r w:rsidRPr="000665B0">
        <w:t>Gantt Chart</w:t>
      </w:r>
      <w:bookmarkEnd w:id="6572"/>
      <w:r w:rsidR="002A1530" w:rsidRPr="000665B0">
        <w:t>/Icon Definitions</w:t>
      </w:r>
    </w:p>
    <w:p w14:paraId="39A266C0" w14:textId="67D4373B" w:rsidR="007B1957" w:rsidRPr="000665B0" w:rsidRDefault="007B1957" w:rsidP="00A0163E">
      <w:pPr>
        <w:jc w:val="center"/>
        <w:rPr>
          <w:b/>
        </w:rPr>
      </w:pPr>
      <w:r w:rsidRPr="000665B0">
        <w:rPr>
          <w:b/>
        </w:rPr>
        <w:t>Gantt Chart (Land Attack):</w:t>
      </w:r>
    </w:p>
    <w:p w14:paraId="4B11A526" w14:textId="123ED523" w:rsidR="005566F2" w:rsidRPr="0056560F" w:rsidRDefault="00295105" w:rsidP="0056560F">
      <w:pPr>
        <w:jc w:val="center"/>
        <w:rPr>
          <w:noProof/>
        </w:rPr>
      </w:pPr>
      <w:r w:rsidRPr="00A611D2">
        <w:rPr>
          <w:b/>
          <w:noProof/>
        </w:rPr>
        <w:drawing>
          <wp:inline distT="0" distB="0" distL="0" distR="0" wp14:anchorId="19100BC9" wp14:editId="6BFDF48C">
            <wp:extent cx="5029200" cy="932688"/>
            <wp:effectExtent l="0" t="0" r="0" b="1270"/>
            <wp:docPr id="2132073228"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3228" name="Picture 1" descr="A screenshot of a computer&#10;&#10;Description automatically generated with low confidence"/>
                    <pic:cNvPicPr/>
                  </pic:nvPicPr>
                  <pic:blipFill>
                    <a:blip/>
                    <a:stretch>
                      <a:fillRect/>
                    </a:stretch>
                  </pic:blipFill>
                  <pic:spPr>
                    <a:xfrm>
                      <a:off x="0" y="0"/>
                      <a:ext cx="5029200" cy="932688"/>
                    </a:xfrm>
                    <a:prstGeom prst="rect">
                      <a:avLst/>
                    </a:prstGeom>
                  </pic:spPr>
                </pic:pic>
              </a:graphicData>
            </a:graphic>
          </wp:inline>
        </w:drawing>
      </w:r>
    </w:p>
    <w:p w14:paraId="701FD42A" w14:textId="504A3CF7" w:rsidR="007B1957" w:rsidRPr="000665B0" w:rsidRDefault="007B1957" w:rsidP="001F4B14">
      <w:pPr>
        <w:jc w:val="center"/>
      </w:pPr>
      <w:r w:rsidRPr="000665B0">
        <w:rPr>
          <w:b/>
        </w:rPr>
        <w:t>Gantt Chart (Maritime Strike):</w:t>
      </w:r>
    </w:p>
    <w:p w14:paraId="76CC68F1" w14:textId="07CECA86" w:rsidR="000A607E" w:rsidRPr="000665B0" w:rsidRDefault="007B1957" w:rsidP="004E7DCC">
      <w:pPr>
        <w:jc w:val="center"/>
      </w:pPr>
      <w:r w:rsidRPr="000665B0">
        <w:rPr>
          <w:noProof/>
        </w:rPr>
        <w:drawing>
          <wp:inline distT="0" distB="0" distL="0" distR="0" wp14:anchorId="4E8C951F" wp14:editId="1A7E472C">
            <wp:extent cx="3200400" cy="1764792"/>
            <wp:effectExtent l="0" t="0" r="0" b="698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3200400" cy="1764792"/>
                    </a:xfrm>
                    <a:prstGeom prst="rect">
                      <a:avLst/>
                    </a:prstGeom>
                    <a:noFill/>
                    <a:ln>
                      <a:noFill/>
                    </a:ln>
                  </pic:spPr>
                </pic:pic>
              </a:graphicData>
            </a:graphic>
          </wp:inline>
        </w:drawing>
      </w:r>
    </w:p>
    <w:p w14:paraId="1AE2E71B" w14:textId="77777777" w:rsidR="000A607E" w:rsidRPr="000665B0" w:rsidRDefault="000A607E" w:rsidP="000A607E">
      <w:r w:rsidRPr="000665B0">
        <w:t>Each row of the Gantt Chart corresponds to a missile, FRU, Controller, or Option in the Missile Assignments List. Each column corresponds to a time column on the Network Utilization Panel. Below is a description of the icons that can appear.</w:t>
      </w:r>
    </w:p>
    <w:p w14:paraId="0DC8AC89" w14:textId="77777777" w:rsidR="0059566D" w:rsidRPr="000665B0" w:rsidRDefault="0059566D" w:rsidP="0059566D">
      <w:r w:rsidRPr="000665B0">
        <w:t xml:space="preserve">On the Gantt Chart, Waypoint numbers are not shown, while Action Points are numbered with their Action Point Sequence Number. </w:t>
      </w:r>
    </w:p>
    <w:p w14:paraId="668FC04F" w14:textId="77777777" w:rsidR="000A607E" w:rsidRPr="000665B0" w:rsidRDefault="009A1FDF" w:rsidP="006D5A65">
      <w:pPr>
        <w:pStyle w:val="Heading1"/>
      </w:pPr>
      <w:r w:rsidRPr="000665B0">
        <w:rPr>
          <w:noProof/>
        </w:rPr>
        <w:lastRenderedPageBreak/>
        <w:drawing>
          <wp:inline distT="0" distB="0" distL="0" distR="0" wp14:anchorId="347960AD" wp14:editId="62655A64">
            <wp:extent cx="180975" cy="171450"/>
            <wp:effectExtent l="19050" t="0" r="9525" b="0"/>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000A607E" w:rsidRPr="000665B0">
        <w:t xml:space="preserve"> </w:t>
      </w:r>
      <w:r w:rsidR="0028288A" w:rsidRPr="000665B0">
        <w:t xml:space="preserve">– </w:t>
      </w:r>
      <w:r w:rsidR="000A607E" w:rsidRPr="000665B0">
        <w:t>Start of a Strike.</w:t>
      </w:r>
    </w:p>
    <w:p w14:paraId="33D18DE9" w14:textId="77777777" w:rsidR="000A607E" w:rsidRPr="000665B0" w:rsidRDefault="009A1FDF" w:rsidP="006D5A65">
      <w:pPr>
        <w:pStyle w:val="Heading1"/>
      </w:pPr>
      <w:r w:rsidRPr="000665B0">
        <w:rPr>
          <w:noProof/>
        </w:rPr>
        <w:drawing>
          <wp:inline distT="0" distB="0" distL="0" distR="0" wp14:anchorId="24A5EF76" wp14:editId="65498A43">
            <wp:extent cx="180975" cy="180975"/>
            <wp:effectExtent l="19050" t="0" r="9525" b="0"/>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cstate="print"/>
                    <a:srcRect/>
                    <a:stretch>
                      <a:fillRect/>
                    </a:stretch>
                  </pic:blipFill>
                  <pic:spPr bwMode="auto">
                    <a:xfrm>
                      <a:off x="0" y="0"/>
                      <a:ext cx="180975" cy="180975"/>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End of a Strike.</w:t>
      </w:r>
    </w:p>
    <w:p w14:paraId="093DFD1D" w14:textId="77777777" w:rsidR="000A607E" w:rsidRPr="000665B0" w:rsidRDefault="009A1FDF" w:rsidP="006D5A65">
      <w:pPr>
        <w:pStyle w:val="Heading1"/>
      </w:pPr>
      <w:r w:rsidRPr="000665B0">
        <w:rPr>
          <w:noProof/>
        </w:rPr>
        <w:drawing>
          <wp:inline distT="0" distB="0" distL="0" distR="0" wp14:anchorId="14A41204" wp14:editId="514A27AC">
            <wp:extent cx="180975" cy="161925"/>
            <wp:effectExtent l="19050" t="0" r="9525" b="0"/>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cstate="print"/>
                    <a:srcRect/>
                    <a:stretch>
                      <a:fillRect/>
                    </a:stretch>
                  </pic:blipFill>
                  <pic:spPr bwMode="auto">
                    <a:xfrm>
                      <a:off x="0" y="0"/>
                      <a:ext cx="180975" cy="161925"/>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Launch point for a missile.</w:t>
      </w:r>
    </w:p>
    <w:p w14:paraId="2A23F05E" w14:textId="77777777" w:rsidR="000A607E" w:rsidRPr="000665B0" w:rsidRDefault="009A1FDF" w:rsidP="006D5A65">
      <w:pPr>
        <w:pStyle w:val="Heading1"/>
      </w:pPr>
      <w:r w:rsidRPr="000665B0">
        <w:rPr>
          <w:noProof/>
        </w:rPr>
        <w:drawing>
          <wp:inline distT="0" distB="0" distL="0" distR="0" wp14:anchorId="2FD8D28F" wp14:editId="24E0CA93">
            <wp:extent cx="161925" cy="161925"/>
            <wp:effectExtent l="19050" t="0" r="9525" b="0"/>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cstate="print"/>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Target point for a missile.</w:t>
      </w:r>
    </w:p>
    <w:p w14:paraId="3FC90DC8" w14:textId="77777777" w:rsidR="000A607E" w:rsidRPr="000665B0" w:rsidRDefault="009A1FDF" w:rsidP="006D5A65">
      <w:pPr>
        <w:pStyle w:val="Heading1"/>
      </w:pPr>
      <w:r w:rsidRPr="000665B0">
        <w:rPr>
          <w:noProof/>
        </w:rPr>
        <w:drawing>
          <wp:inline distT="0" distB="0" distL="0" distR="0" wp14:anchorId="601C3C4B" wp14:editId="5EC8421E">
            <wp:extent cx="914400" cy="104775"/>
            <wp:effectExtent l="19050" t="0" r="0" b="0"/>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cstate="print"/>
                    <a:srcRect/>
                    <a:stretch>
                      <a:fillRect/>
                    </a:stretch>
                  </pic:blipFill>
                  <pic:spPr bwMode="auto">
                    <a:xfrm>
                      <a:off x="0" y="0"/>
                      <a:ext cx="914400" cy="104775"/>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Missile enroute bar.</w:t>
      </w:r>
    </w:p>
    <w:p w14:paraId="584AC4C7" w14:textId="2ACC723F" w:rsidR="00B12037" w:rsidRPr="000665B0" w:rsidRDefault="00B12037" w:rsidP="006D5A65">
      <w:pPr>
        <w:pStyle w:val="Heading1"/>
      </w:pPr>
      <w:r w:rsidRPr="000665B0">
        <w:rPr>
          <w:noProof/>
          <w:position w:val="-6"/>
        </w:rPr>
        <w:drawing>
          <wp:inline distT="0" distB="0" distL="0" distR="0" wp14:anchorId="7D679337" wp14:editId="439D5523">
            <wp:extent cx="919163" cy="149038"/>
            <wp:effectExtent l="0" t="0" r="0" b="3810"/>
            <wp:docPr id="1390" name="Picture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018787" cy="165192"/>
                    </a:xfrm>
                    <a:prstGeom prst="rect">
                      <a:avLst/>
                    </a:prstGeom>
                    <a:ln>
                      <a:noFill/>
                    </a:ln>
                    <a:extLst>
                      <a:ext uri="{53640926-AAD7-44D8-BBD7-CCE9431645EC}">
                        <a14:shadowObscured xmlns:a14="http://schemas.microsoft.com/office/drawing/2010/main"/>
                      </a:ext>
                    </a:extLst>
                  </pic:spPr>
                </pic:pic>
              </a:graphicData>
            </a:graphic>
          </wp:inline>
        </w:drawing>
      </w:r>
      <w:r w:rsidRPr="000665B0">
        <w:t xml:space="preserve"> – Comms blackout period for a missile (orange diagonal lines).</w:t>
      </w:r>
    </w:p>
    <w:p w14:paraId="1F227E03" w14:textId="2C3D92B8" w:rsidR="000A607E" w:rsidRPr="000665B0" w:rsidRDefault="00802180" w:rsidP="006D5A65">
      <w:pPr>
        <w:pStyle w:val="Heading1"/>
      </w:pPr>
      <w:r w:rsidRPr="00802180">
        <w:rPr>
          <w:noProof/>
          <w:position w:val="-6"/>
        </w:rPr>
        <w:drawing>
          <wp:inline distT="0" distB="0" distL="0" distR="0" wp14:anchorId="6CF6F50F" wp14:editId="05D7EA33">
            <wp:extent cx="164592" cy="164592"/>
            <wp:effectExtent l="0" t="0" r="6985" b="698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WP.ico"/>
                    <pic:cNvPicPr/>
                  </pic:nvPicPr>
                  <pic:blipFill>
                    <a:blip>
                      <a:extLst>
                        <a:ext uri="{28A0092B-C50C-407E-A947-70E740481C1C}">
                          <a14:useLocalDpi xmlns:a14="http://schemas.microsoft.com/office/drawing/2010/main"/>
                        </a:ext>
                      </a:extLst>
                    </a:blip>
                    <a:stretch>
                      <a:fillRect/>
                    </a:stretch>
                  </pic:blipFill>
                  <pic:spPr>
                    <a:xfrm>
                      <a:off x="0" y="0"/>
                      <a:ext cx="164592" cy="164592"/>
                    </a:xfrm>
                    <a:prstGeom prst="rect">
                      <a:avLst/>
                    </a:prstGeom>
                  </pic:spPr>
                </pic:pic>
              </a:graphicData>
            </a:graphic>
          </wp:inline>
        </w:drawing>
      </w:r>
      <w:r>
        <w:t xml:space="preserve"> </w:t>
      </w:r>
      <w:r w:rsidR="0028288A" w:rsidRPr="000665B0">
        <w:t>–</w:t>
      </w:r>
      <w:r w:rsidR="000A607E" w:rsidRPr="000665B0">
        <w:t xml:space="preserve"> First waypoint.</w:t>
      </w:r>
    </w:p>
    <w:p w14:paraId="0948F017" w14:textId="0ADF677E" w:rsidR="000A607E" w:rsidRPr="000665B0" w:rsidRDefault="009A1FDF" w:rsidP="006D5A65">
      <w:pPr>
        <w:pStyle w:val="Heading1"/>
      </w:pPr>
      <w:bookmarkStart w:id="6573" w:name="_Hlk40449229"/>
      <w:r w:rsidRPr="000665B0">
        <w:rPr>
          <w:noProof/>
        </w:rPr>
        <w:drawing>
          <wp:inline distT="0" distB="0" distL="0" distR="0" wp14:anchorId="26E0F367" wp14:editId="474048C5">
            <wp:extent cx="142875" cy="152400"/>
            <wp:effectExtent l="19050" t="0" r="9525" b="0"/>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w:t>
      </w:r>
      <w:r w:rsidR="00CA1435" w:rsidRPr="000665B0">
        <w:t>R</w:t>
      </w:r>
      <w:r w:rsidR="00B8345F" w:rsidRPr="000665B0">
        <w:t>epresent</w:t>
      </w:r>
      <w:r w:rsidR="00CA1435" w:rsidRPr="000665B0">
        <w:t>s</w:t>
      </w:r>
      <w:r w:rsidR="00B8345F" w:rsidRPr="000665B0">
        <w:t xml:space="preserve"> a</w:t>
      </w:r>
      <w:r w:rsidR="000A607E" w:rsidRPr="000665B0">
        <w:t xml:space="preserve"> timing point. Unless an OWR changes the timing, this </w:t>
      </w:r>
      <w:r w:rsidR="00BA3A39" w:rsidRPr="000665B0">
        <w:t>is displayed</w:t>
      </w:r>
      <w:r w:rsidR="000A607E" w:rsidRPr="000665B0">
        <w:t xml:space="preserve"> over the Launch point for a TOL missile, the First Pre-Planned waypoint for a FWP missile, and the Target point for a TOT missile.</w:t>
      </w:r>
    </w:p>
    <w:bookmarkEnd w:id="6573"/>
    <w:p w14:paraId="4E2F6245" w14:textId="77777777" w:rsidR="0059566D" w:rsidRPr="000665B0" w:rsidRDefault="009A1FDF" w:rsidP="006D5A65">
      <w:pPr>
        <w:pStyle w:val="Heading1"/>
      </w:pPr>
      <w:r w:rsidRPr="000665B0">
        <w:rPr>
          <w:noProof/>
        </w:rPr>
        <w:drawing>
          <wp:inline distT="0" distB="0" distL="0" distR="0" wp14:anchorId="0920005E" wp14:editId="083487C9">
            <wp:extent cx="171450" cy="209550"/>
            <wp:effectExtent l="19050" t="0" r="0" b="0"/>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cstate="print"/>
                    <a:srcRect/>
                    <a:stretch>
                      <a:fillRect/>
                    </a:stretch>
                  </pic:blipFill>
                  <pic:spPr bwMode="auto">
                    <a:xfrm>
                      <a:off x="0" y="0"/>
                      <a:ext cx="171450" cy="20955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Action point with action point number.</w:t>
      </w:r>
      <w:r w:rsidR="0059566D" w:rsidRPr="000665B0">
        <w:t xml:space="preserve"> Action Points are numbered with their Action Point Sequence Number. If there are branches off the main branch, the Branch Number is specified, followed by “-” and the Sequence Number. A number such as 3:1-1 indicates</w:t>
      </w:r>
      <w:r w:rsidR="006B4F5D" w:rsidRPr="000665B0">
        <w:t xml:space="preserve"> the following</w:t>
      </w:r>
      <w:r w:rsidR="0059566D" w:rsidRPr="000665B0">
        <w:t>:</w:t>
      </w:r>
    </w:p>
    <w:p w14:paraId="0AD9C896" w14:textId="77777777" w:rsidR="006B4F5D" w:rsidRPr="000665B0" w:rsidRDefault="006B4F5D" w:rsidP="006D5A65">
      <w:pPr>
        <w:pStyle w:val="Heading1"/>
      </w:pPr>
      <w:r w:rsidRPr="000665B0">
        <w:t>3:1 – First Branch from Parent Route 3</w:t>
      </w:r>
    </w:p>
    <w:p w14:paraId="5FF0DBF6" w14:textId="77777777" w:rsidR="006B4F5D" w:rsidRPr="000665B0" w:rsidRDefault="006B4F5D" w:rsidP="006D5A65">
      <w:pPr>
        <w:pStyle w:val="Heading1"/>
      </w:pPr>
      <w:r w:rsidRPr="000665B0">
        <w:t xml:space="preserve">-1 – </w:t>
      </w:r>
      <w:r w:rsidR="003B5BBC" w:rsidRPr="000665B0">
        <w:t>Action</w:t>
      </w:r>
      <w:r w:rsidRPr="000665B0">
        <w:t xml:space="preserve"> Point Sequence Number 1.</w:t>
      </w:r>
    </w:p>
    <w:p w14:paraId="3633526C" w14:textId="77777777" w:rsidR="000A607E" w:rsidRPr="000665B0" w:rsidRDefault="009A1FDF" w:rsidP="006D5A65">
      <w:pPr>
        <w:pStyle w:val="Heading1"/>
      </w:pPr>
      <w:r w:rsidRPr="000665B0">
        <w:rPr>
          <w:noProof/>
        </w:rPr>
        <w:drawing>
          <wp:inline distT="0" distB="0" distL="0" distR="0" wp14:anchorId="367160D6" wp14:editId="6249D1CE">
            <wp:extent cx="133350" cy="114300"/>
            <wp:effectExtent l="19050" t="0" r="0" b="0"/>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cstate="print"/>
                    <a:srcRect/>
                    <a:stretch>
                      <a:fillRect/>
                    </a:stretch>
                  </pic:blipFill>
                  <pic:spPr bwMode="auto">
                    <a:xfrm>
                      <a:off x="0" y="0"/>
                      <a:ext cx="133350" cy="11430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Waypoint.</w:t>
      </w:r>
    </w:p>
    <w:p w14:paraId="69EDBBD8" w14:textId="77777777" w:rsidR="000A607E" w:rsidRPr="000665B0" w:rsidRDefault="009A1FDF" w:rsidP="006D5A65">
      <w:pPr>
        <w:pStyle w:val="Heading1"/>
      </w:pPr>
      <w:r w:rsidRPr="000665B0">
        <w:rPr>
          <w:noProof/>
        </w:rPr>
        <w:drawing>
          <wp:inline distT="0" distB="0" distL="0" distR="0" wp14:anchorId="34415295" wp14:editId="4502B6FC">
            <wp:extent cx="209550" cy="209550"/>
            <wp:effectExtent l="19050" t="0" r="0" b="0"/>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cstate="print"/>
                    <a:srcRect/>
                    <a:stretch>
                      <a:fillRect/>
                    </a:stretch>
                  </pic:blipFill>
                  <pic:spPr bwMode="auto">
                    <a:xfrm>
                      <a:off x="0" y="0"/>
                      <a:ext cx="209550" cy="20955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Flex point with flex point number.</w:t>
      </w:r>
    </w:p>
    <w:p w14:paraId="604C39AA" w14:textId="77777777" w:rsidR="000A607E" w:rsidRPr="000665B0" w:rsidRDefault="009A1FDF" w:rsidP="006D5A65">
      <w:pPr>
        <w:pStyle w:val="Heading1"/>
      </w:pPr>
      <w:r w:rsidRPr="000665B0">
        <w:rPr>
          <w:noProof/>
        </w:rPr>
        <w:drawing>
          <wp:inline distT="0" distB="0" distL="0" distR="0" wp14:anchorId="1E91B5BC" wp14:editId="1432B1A6">
            <wp:extent cx="828675" cy="161925"/>
            <wp:effectExtent l="19050" t="0" r="9525" b="0"/>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cstate="print"/>
                    <a:srcRect/>
                    <a:stretch>
                      <a:fillRect/>
                    </a:stretch>
                  </pic:blipFill>
                  <pic:spPr bwMode="auto">
                    <a:xfrm>
                      <a:off x="0" y="0"/>
                      <a:ext cx="828675" cy="161925"/>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Defense Interactions.</w:t>
      </w:r>
    </w:p>
    <w:p w14:paraId="674D13AF" w14:textId="77777777" w:rsidR="000A607E" w:rsidRPr="000665B0" w:rsidRDefault="009A1FDF" w:rsidP="006D5A65">
      <w:pPr>
        <w:pStyle w:val="Heading1"/>
      </w:pPr>
      <w:r w:rsidRPr="000665B0">
        <w:rPr>
          <w:noProof/>
        </w:rPr>
        <w:drawing>
          <wp:inline distT="0" distB="0" distL="0" distR="0" wp14:anchorId="28E35511" wp14:editId="77D5E772">
            <wp:extent cx="971550" cy="285750"/>
            <wp:effectExtent l="19050" t="0" r="0" b="0"/>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cstate="print"/>
                    <a:srcRect/>
                    <a:stretch>
                      <a:fillRect/>
                    </a:stretch>
                  </pic:blipFill>
                  <pic:spPr bwMode="auto">
                    <a:xfrm>
                      <a:off x="0" y="0"/>
                      <a:ext cx="971550" cy="28575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FRU Commitments with commitment title.</w:t>
      </w:r>
    </w:p>
    <w:p w14:paraId="12F9141E" w14:textId="6CDFCCCF" w:rsidR="005A12AE" w:rsidRPr="000665B0" w:rsidRDefault="009A1FDF" w:rsidP="006D5A65">
      <w:pPr>
        <w:pStyle w:val="Heading1"/>
      </w:pPr>
      <w:r w:rsidRPr="000665B0">
        <w:rPr>
          <w:noProof/>
        </w:rPr>
        <w:drawing>
          <wp:inline distT="0" distB="0" distL="0" distR="0" wp14:anchorId="1372BCDA" wp14:editId="641CFED1">
            <wp:extent cx="180975" cy="133350"/>
            <wp:effectExtent l="19050" t="0" r="9525" b="0"/>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cstate="print"/>
                    <a:srcRect/>
                    <a:stretch>
                      <a:fillRect/>
                    </a:stretch>
                  </pic:blipFill>
                  <pic:spPr bwMode="auto">
                    <a:xfrm>
                      <a:off x="0" y="0"/>
                      <a:ext cx="180975" cy="13335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w:t>
      </w:r>
      <w:r w:rsidR="005A12AE" w:rsidRPr="000665B0">
        <w:t>The specifically specified First Scheduled H&amp;S Immediately After FPPWP and any manually placed Health &amp; Status message.</w:t>
      </w:r>
      <w:r w:rsidR="009651B0">
        <w:t xml:space="preserve"> </w:t>
      </w:r>
    </w:p>
    <w:p w14:paraId="788579D1" w14:textId="77777777" w:rsidR="000A607E" w:rsidRPr="000665B0" w:rsidRDefault="005A12AE" w:rsidP="006D5A65">
      <w:pPr>
        <w:pStyle w:val="Heading1"/>
      </w:pPr>
      <w:r w:rsidRPr="000665B0">
        <w:rPr>
          <w:noProof/>
        </w:rPr>
        <w:drawing>
          <wp:inline distT="0" distB="0" distL="0" distR="0" wp14:anchorId="77C47422" wp14:editId="47688240">
            <wp:extent cx="190500" cy="161925"/>
            <wp:effectExtent l="19050" t="0" r="0" b="0"/>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cstate="print"/>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Pr="000665B0">
        <w:t xml:space="preserve"> </w:t>
      </w:r>
      <w:r w:rsidR="0028288A" w:rsidRPr="000665B0">
        <w:t>–</w:t>
      </w:r>
      <w:r w:rsidRPr="000665B0">
        <w:t xml:space="preserve"> Periodically planned Health &amp; Status message. A periodic scheduled H&amp;S message, may coincidentally be placed after the FPPWP, would still have P because it is </w:t>
      </w:r>
      <w:bookmarkStart w:id="6574" w:name="_Hlk141959087"/>
      <w:r w:rsidRPr="000665B0">
        <w:t xml:space="preserve">not a </w:t>
      </w:r>
      <w:r w:rsidRPr="000665B0">
        <w:lastRenderedPageBreak/>
        <w:t>specifically specified First Scheduled H&amp;S Immediately After FPPWP.</w:t>
      </w:r>
      <w:r w:rsidR="000A607E" w:rsidRPr="000665B0">
        <w:t xml:space="preserve"> </w:t>
      </w:r>
    </w:p>
    <w:p w14:paraId="014A6539" w14:textId="77777777" w:rsidR="000A607E" w:rsidRDefault="009A1FDF" w:rsidP="006D5A65">
      <w:pPr>
        <w:pStyle w:val="Heading1"/>
      </w:pPr>
      <w:bookmarkStart w:id="6575" w:name="_Hlk141953900"/>
      <w:r w:rsidRPr="000665B0">
        <w:rPr>
          <w:noProof/>
        </w:rPr>
        <w:drawing>
          <wp:inline distT="0" distB="0" distL="0" distR="0" wp14:anchorId="1749B048" wp14:editId="0F59A16D">
            <wp:extent cx="180975" cy="171450"/>
            <wp:effectExtent l="19050" t="0" r="9525" b="0"/>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BDI Health &amp; Status message.</w:t>
      </w:r>
    </w:p>
    <w:p w14:paraId="0C3C32AF" w14:textId="14E28E5B" w:rsidR="0031180E" w:rsidRDefault="0031180E" w:rsidP="006D5A65">
      <w:pPr>
        <w:pStyle w:val="Heading1"/>
      </w:pPr>
      <w:r>
        <w:rPr>
          <w:noProof/>
        </w:rPr>
        <w:drawing>
          <wp:inline distT="0" distB="0" distL="0" distR="0" wp14:anchorId="0598B95C" wp14:editId="54C5A468">
            <wp:extent cx="190500" cy="190500"/>
            <wp:effectExtent l="0" t="0" r="0" b="0"/>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t xml:space="preserve"> </w:t>
      </w:r>
      <w:r w:rsidR="00F11C1D" w:rsidRPr="000665B0">
        <w:t xml:space="preserve">– </w:t>
      </w:r>
      <w:r>
        <w:t>BDI Health &amp; Status message with “GPS High Power” problem or other warnings indicated.</w:t>
      </w:r>
    </w:p>
    <w:p w14:paraId="609DADE6" w14:textId="3E95BDA1" w:rsidR="0031180E" w:rsidRPr="000665B0" w:rsidRDefault="0031180E" w:rsidP="006D5A65">
      <w:pPr>
        <w:pStyle w:val="Heading1"/>
      </w:pPr>
      <w:r>
        <w:rPr>
          <w:noProof/>
        </w:rPr>
        <w:drawing>
          <wp:inline distT="0" distB="0" distL="0" distR="0" wp14:anchorId="4F0BA16A" wp14:editId="6874CF63">
            <wp:extent cx="220980" cy="152400"/>
            <wp:effectExtent l="0" t="0" r="7620" b="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980" cy="152400"/>
                    </a:xfrm>
                    <a:prstGeom prst="rect">
                      <a:avLst/>
                    </a:prstGeom>
                    <a:noFill/>
                    <a:ln>
                      <a:noFill/>
                    </a:ln>
                  </pic:spPr>
                </pic:pic>
              </a:graphicData>
            </a:graphic>
          </wp:inline>
        </w:drawing>
      </w:r>
      <w:r>
        <w:t xml:space="preserve"> </w:t>
      </w:r>
      <w:r w:rsidR="00F11C1D" w:rsidRPr="000665B0">
        <w:t xml:space="preserve">– </w:t>
      </w:r>
      <w:r>
        <w:t>BDI Health &amp; Status message with “GPS Not Providing Updates” problem, BIT Test Failure, or other failures indicated.</w:t>
      </w:r>
    </w:p>
    <w:p w14:paraId="1E19F4CE" w14:textId="77777777" w:rsidR="000A607E" w:rsidRPr="000665B0" w:rsidRDefault="009A1FDF" w:rsidP="006D5A65">
      <w:pPr>
        <w:pStyle w:val="Heading1"/>
      </w:pPr>
      <w:bookmarkStart w:id="6576" w:name="_Hlk141963561"/>
      <w:r w:rsidRPr="000665B0">
        <w:rPr>
          <w:noProof/>
        </w:rPr>
        <w:drawing>
          <wp:inline distT="0" distB="0" distL="0" distR="0" wp14:anchorId="6DE45E95" wp14:editId="7C9293B5">
            <wp:extent cx="180975" cy="152400"/>
            <wp:effectExtent l="19050" t="0" r="9525" b="0"/>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cstate="print"/>
                    <a:srcRect/>
                    <a:stretch>
                      <a:fillRect/>
                    </a:stretch>
                  </pic:blipFill>
                  <pic:spPr bwMode="auto">
                    <a:xfrm>
                      <a:off x="0" y="0"/>
                      <a:ext cx="180975" cy="15240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Planned Pre-planned Outcome IMMM message.</w:t>
      </w:r>
    </w:p>
    <w:bookmarkEnd w:id="6574"/>
    <w:bookmarkEnd w:id="6576"/>
    <w:p w14:paraId="64D1460C" w14:textId="77777777" w:rsidR="000A607E" w:rsidRPr="000665B0" w:rsidRDefault="009A1FDF" w:rsidP="006D5A65">
      <w:pPr>
        <w:pStyle w:val="Heading1"/>
      </w:pPr>
      <w:r w:rsidRPr="000665B0">
        <w:rPr>
          <w:noProof/>
        </w:rPr>
        <w:drawing>
          <wp:inline distT="0" distB="0" distL="0" distR="0" wp14:anchorId="382C56D3" wp14:editId="1E39810A">
            <wp:extent cx="171450" cy="171450"/>
            <wp:effectExtent l="19050" t="0" r="0" b="0"/>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Planned Aimpoint Update IMMM message.</w:t>
      </w:r>
    </w:p>
    <w:p w14:paraId="4B791D14" w14:textId="256839B4" w:rsidR="000A607E" w:rsidRDefault="009A1FDF" w:rsidP="006D5A65">
      <w:pPr>
        <w:pStyle w:val="Heading1"/>
      </w:pPr>
      <w:r w:rsidRPr="000665B0">
        <w:rPr>
          <w:noProof/>
        </w:rPr>
        <w:drawing>
          <wp:inline distT="0" distB="0" distL="0" distR="0" wp14:anchorId="13B29977" wp14:editId="1F1820E5">
            <wp:extent cx="180975" cy="171450"/>
            <wp:effectExtent l="19050" t="0" r="9525" b="0"/>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Received Scheduled Health &amp; Status TSN message</w:t>
      </w:r>
      <w:r w:rsidR="00A96225">
        <w:t xml:space="preserve"> (land attack)</w:t>
      </w:r>
      <w:r w:rsidR="00840235" w:rsidRPr="000665B0">
        <w:t>,</w:t>
      </w:r>
      <w:r w:rsidR="00082782" w:rsidRPr="000665B0">
        <w:t xml:space="preserve"> or response to an MST command when H&amp;S was requested</w:t>
      </w:r>
      <w:r w:rsidR="000A607E" w:rsidRPr="000665B0">
        <w:t>.</w:t>
      </w:r>
    </w:p>
    <w:p w14:paraId="14473B8D" w14:textId="4DE281F9" w:rsidR="0031180E" w:rsidRDefault="0031180E" w:rsidP="006D5A65">
      <w:pPr>
        <w:pStyle w:val="Heading1"/>
      </w:pPr>
      <w:r>
        <w:rPr>
          <w:noProof/>
        </w:rPr>
        <w:drawing>
          <wp:inline distT="0" distB="0" distL="0" distR="0" wp14:anchorId="6FC5CF47" wp14:editId="65B17197">
            <wp:extent cx="198120" cy="220980"/>
            <wp:effectExtent l="0" t="0" r="0" b="7620"/>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8120" cy="220980"/>
                    </a:xfrm>
                    <a:prstGeom prst="rect">
                      <a:avLst/>
                    </a:prstGeom>
                    <a:noFill/>
                    <a:ln>
                      <a:noFill/>
                    </a:ln>
                  </pic:spPr>
                </pic:pic>
              </a:graphicData>
            </a:graphic>
          </wp:inline>
        </w:drawing>
      </w:r>
      <w:r>
        <w:t xml:space="preserve"> </w:t>
      </w:r>
      <w:r w:rsidRPr="000665B0">
        <w:t xml:space="preserve">– </w:t>
      </w:r>
      <w:r>
        <w:t>Received Scheduled Health &amp; Status message with “GPS High Power” problem or other warnings indicated.</w:t>
      </w:r>
    </w:p>
    <w:p w14:paraId="2A7A6E4E" w14:textId="0E397CD2" w:rsidR="00A96225" w:rsidRPr="000665B0" w:rsidRDefault="00E23014" w:rsidP="006D5A65">
      <w:pPr>
        <w:pStyle w:val="Heading1"/>
      </w:pPr>
      <w:r>
        <w:t xml:space="preserve"> </w:t>
      </w:r>
      <w:r w:rsidR="000366A6" w:rsidRPr="006A4AC3">
        <w:rPr>
          <w:noProof/>
          <w:position w:val="-6"/>
        </w:rPr>
        <w:drawing>
          <wp:inline distT="0" distB="0" distL="0" distR="0" wp14:anchorId="56D5AA9E" wp14:editId="7BB2B6DF">
            <wp:extent cx="173736" cy="173736"/>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ceived_MST_HS_16.ico"/>
                    <pic:cNvPicPr/>
                  </pic:nvPicPr>
                  <pic:blipFill>
                    <a:blip>
                      <a:extLst>
                        <a:ext uri="{28A0092B-C50C-407E-A947-70E740481C1C}">
                          <a14:useLocalDpi xmlns:a14="http://schemas.microsoft.com/office/drawing/2010/main"/>
                        </a:ext>
                      </a:extLst>
                    </a:blip>
                    <a:stretch>
                      <a:fillRect/>
                    </a:stretch>
                  </pic:blipFill>
                  <pic:spPr>
                    <a:xfrm>
                      <a:off x="0" y="0"/>
                      <a:ext cx="173736" cy="173736"/>
                    </a:xfrm>
                    <a:prstGeom prst="rect">
                      <a:avLst/>
                    </a:prstGeom>
                  </pic:spPr>
                </pic:pic>
              </a:graphicData>
            </a:graphic>
          </wp:inline>
        </w:drawing>
      </w:r>
      <w:r w:rsidR="000366A6">
        <w:t xml:space="preserve"> – </w:t>
      </w:r>
      <w:r w:rsidR="00A96225">
        <w:t>Received Scheduled Health &amp; Status TSN message (maritime).</w:t>
      </w:r>
    </w:p>
    <w:p w14:paraId="005D5AD7" w14:textId="4FEA7978" w:rsidR="000A607E" w:rsidRDefault="009A1FDF" w:rsidP="006D5A65">
      <w:pPr>
        <w:pStyle w:val="Heading1"/>
      </w:pPr>
      <w:r w:rsidRPr="000665B0">
        <w:rPr>
          <w:noProof/>
        </w:rPr>
        <w:drawing>
          <wp:inline distT="0" distB="0" distL="0" distR="0" wp14:anchorId="7A58CF7C" wp14:editId="121E865F">
            <wp:extent cx="180975" cy="152400"/>
            <wp:effectExtent l="19050" t="0" r="9525" b="0"/>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cstate="print"/>
                    <a:srcRect/>
                    <a:stretch>
                      <a:fillRect/>
                    </a:stretch>
                  </pic:blipFill>
                  <pic:spPr bwMode="auto">
                    <a:xfrm>
                      <a:off x="0" y="0"/>
                      <a:ext cx="180975" cy="15240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Received Scheduled Health &amp; Status TSN message with </w:t>
      </w:r>
      <w:r w:rsidR="0031180E">
        <w:t xml:space="preserve">“GPS Not Providing Updates” problem, BIT Test Failure, </w:t>
      </w:r>
      <w:r w:rsidR="000A607E" w:rsidRPr="000665B0">
        <w:t>or other failures</w:t>
      </w:r>
      <w:r w:rsidR="000A7721">
        <w:t xml:space="preserve"> (land attack)</w:t>
      </w:r>
      <w:r w:rsidR="00082782" w:rsidRPr="000665B0">
        <w:t>, or potentially the Terminal H&amp;S message for a maritime strike</w:t>
      </w:r>
      <w:r w:rsidR="000A607E" w:rsidRPr="000665B0">
        <w:t>.</w:t>
      </w:r>
    </w:p>
    <w:p w14:paraId="45A6E1E4" w14:textId="57ED5FDF" w:rsidR="000A7721" w:rsidRPr="000665B0" w:rsidRDefault="00CE3887" w:rsidP="006D5A65">
      <w:pPr>
        <w:pStyle w:val="Heading1"/>
      </w:pPr>
      <w:r w:rsidRPr="00E23014">
        <w:rPr>
          <w:noProof/>
          <w:position w:val="-6"/>
        </w:rPr>
        <w:drawing>
          <wp:inline distT="0" distB="0" distL="0" distR="0" wp14:anchorId="2071C322" wp14:editId="381599A4">
            <wp:extent cx="173736" cy="173736"/>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ceived_MST_HS_Critical_16.ico"/>
                    <pic:cNvPicPr/>
                  </pic:nvPicPr>
                  <pic:blipFill>
                    <a:blip>
                      <a:extLst>
                        <a:ext uri="{28A0092B-C50C-407E-A947-70E740481C1C}">
                          <a14:useLocalDpi xmlns:a14="http://schemas.microsoft.com/office/drawing/2010/main"/>
                        </a:ext>
                      </a:extLst>
                    </a:blip>
                    <a:stretch>
                      <a:fillRect/>
                    </a:stretch>
                  </pic:blipFill>
                  <pic:spPr>
                    <a:xfrm>
                      <a:off x="0" y="0"/>
                      <a:ext cx="173736" cy="173736"/>
                    </a:xfrm>
                    <a:prstGeom prst="rect">
                      <a:avLst/>
                    </a:prstGeom>
                  </pic:spPr>
                </pic:pic>
              </a:graphicData>
            </a:graphic>
          </wp:inline>
        </w:drawing>
      </w:r>
      <w:r>
        <w:t xml:space="preserve"> – </w:t>
      </w:r>
      <w:r w:rsidR="000A7721">
        <w:t>Received Schedule Health &amp; Status TSN message with BIT or other failures (maritime).</w:t>
      </w:r>
    </w:p>
    <w:p w14:paraId="1872A407" w14:textId="77777777" w:rsidR="000A607E" w:rsidRDefault="009A1FDF" w:rsidP="006D5A65">
      <w:pPr>
        <w:pStyle w:val="Heading1"/>
      </w:pPr>
      <w:bookmarkStart w:id="6577" w:name="_Hlk40449242"/>
      <w:r w:rsidRPr="000665B0">
        <w:rPr>
          <w:noProof/>
        </w:rPr>
        <w:drawing>
          <wp:inline distT="0" distB="0" distL="0" distR="0" wp14:anchorId="39183B88" wp14:editId="2FB40C16">
            <wp:extent cx="161925" cy="161925"/>
            <wp:effectExtent l="19050" t="0" r="9525" b="0"/>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cstate="print"/>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Received Event Health &amp; Status TSN message.</w:t>
      </w:r>
    </w:p>
    <w:p w14:paraId="4847467D" w14:textId="66B5F73E" w:rsidR="00F60364" w:rsidRPr="000665B0" w:rsidRDefault="00F60364" w:rsidP="006D5A65">
      <w:pPr>
        <w:pStyle w:val="Heading1"/>
      </w:pPr>
      <w:r>
        <w:rPr>
          <w:noProof/>
        </w:rPr>
        <w:drawing>
          <wp:inline distT="0" distB="0" distL="0" distR="0" wp14:anchorId="2D8ED9E3" wp14:editId="7A9D4344">
            <wp:extent cx="198120" cy="198120"/>
            <wp:effectExtent l="0" t="0" r="0" b="0"/>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t xml:space="preserve"> </w:t>
      </w:r>
      <w:r w:rsidR="00F11C1D" w:rsidRPr="000665B0">
        <w:t xml:space="preserve">– </w:t>
      </w:r>
      <w:r>
        <w:t>Received Event Health &amp; Status TSN message with “GPS High Power” problem or other warnings indicated.</w:t>
      </w:r>
    </w:p>
    <w:bookmarkEnd w:id="6577"/>
    <w:p w14:paraId="010B63AF" w14:textId="7142E10F" w:rsidR="000A607E" w:rsidRPr="000665B0" w:rsidRDefault="009A1FDF" w:rsidP="006D5A65">
      <w:pPr>
        <w:pStyle w:val="Heading1"/>
      </w:pPr>
      <w:r w:rsidRPr="000665B0">
        <w:rPr>
          <w:noProof/>
        </w:rPr>
        <w:drawing>
          <wp:inline distT="0" distB="0" distL="0" distR="0" wp14:anchorId="1DB19067" wp14:editId="294063DD">
            <wp:extent cx="152400" cy="152400"/>
            <wp:effectExtent l="19050" t="0" r="0" b="0"/>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Received Event Health &amp; Status TSN message with </w:t>
      </w:r>
      <w:r w:rsidR="00F60364">
        <w:t xml:space="preserve">“GPS Not Providing Updates” problem, BIT Test Failure, </w:t>
      </w:r>
      <w:r w:rsidR="000A607E" w:rsidRPr="000665B0">
        <w:t>or other failures</w:t>
      </w:r>
      <w:r w:rsidR="00882C5A">
        <w:t xml:space="preserve"> indicated</w:t>
      </w:r>
      <w:r w:rsidR="000A607E" w:rsidRPr="000665B0">
        <w:t>.</w:t>
      </w:r>
    </w:p>
    <w:p w14:paraId="2CFBE8D4" w14:textId="1479C3C4" w:rsidR="000A607E" w:rsidRDefault="009A1FDF" w:rsidP="006D5A65">
      <w:pPr>
        <w:pStyle w:val="Heading1"/>
      </w:pPr>
      <w:r w:rsidRPr="000665B0">
        <w:rPr>
          <w:noProof/>
        </w:rPr>
        <w:drawing>
          <wp:inline distT="0" distB="0" distL="0" distR="0" wp14:anchorId="3965254F" wp14:editId="2643CDC8">
            <wp:extent cx="200025" cy="171450"/>
            <wp:effectExtent l="19050" t="0" r="9525" b="0"/>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cstate="print"/>
                    <a:srcRect/>
                    <a:stretch>
                      <a:fillRect/>
                    </a:stretch>
                  </pic:blipFill>
                  <pic:spPr bwMode="auto">
                    <a:xfrm>
                      <a:off x="0" y="0"/>
                      <a:ext cx="200025" cy="17145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IMMM Acknowledgement </w:t>
      </w:r>
      <w:r w:rsidR="00F60364">
        <w:t xml:space="preserve">Health &amp; Status </w:t>
      </w:r>
      <w:r w:rsidR="000A607E" w:rsidRPr="000665B0">
        <w:t>message.</w:t>
      </w:r>
    </w:p>
    <w:p w14:paraId="601A95CD" w14:textId="492C0566" w:rsidR="00F60364" w:rsidRPr="000665B0" w:rsidRDefault="00F60364" w:rsidP="006D5A65">
      <w:pPr>
        <w:pStyle w:val="Heading1"/>
      </w:pPr>
      <w:r>
        <w:rPr>
          <w:noProof/>
        </w:rPr>
        <w:drawing>
          <wp:inline distT="0" distB="0" distL="0" distR="0" wp14:anchorId="52FAB89F" wp14:editId="5A60C157">
            <wp:extent cx="228600" cy="228600"/>
            <wp:effectExtent l="0" t="0" r="0" b="0"/>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w:t>
      </w:r>
      <w:r w:rsidR="001F51F6" w:rsidRPr="000665B0">
        <w:t xml:space="preserve">– </w:t>
      </w:r>
      <w:r>
        <w:t>IMMM Acknowledgement Health &amp; Status message with “GPS High Power” problem or other warnings indicated.</w:t>
      </w:r>
    </w:p>
    <w:p w14:paraId="571FD826" w14:textId="2DC0EEF1" w:rsidR="000A607E" w:rsidRPr="000665B0" w:rsidRDefault="009A1FDF" w:rsidP="006D5A65">
      <w:pPr>
        <w:pStyle w:val="Heading1"/>
      </w:pPr>
      <w:r w:rsidRPr="000665B0">
        <w:rPr>
          <w:noProof/>
        </w:rPr>
        <w:drawing>
          <wp:inline distT="0" distB="0" distL="0" distR="0" wp14:anchorId="7658F83B" wp14:editId="123A49DA">
            <wp:extent cx="200025" cy="161925"/>
            <wp:effectExtent l="19050" t="0" r="9525" b="0"/>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cstate="print"/>
                    <a:srcRect/>
                    <a:stretch>
                      <a:fillRect/>
                    </a:stretch>
                  </pic:blipFill>
                  <pic:spPr bwMode="auto">
                    <a:xfrm>
                      <a:off x="0" y="0"/>
                      <a:ext cx="200025" cy="161925"/>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IMMM Acknowledgement </w:t>
      </w:r>
      <w:r w:rsidR="003D0C7D">
        <w:t>Health &amp; Status message with “GPS Not Providing Updates” problem, BIT Test Failure, or other failures indicated.</w:t>
      </w:r>
    </w:p>
    <w:p w14:paraId="7BB41E17" w14:textId="77777777" w:rsidR="00E4212F" w:rsidRPr="000665B0" w:rsidRDefault="009A1FDF" w:rsidP="006D5A65">
      <w:pPr>
        <w:pStyle w:val="Heading1"/>
      </w:pPr>
      <w:r w:rsidRPr="000665B0">
        <w:rPr>
          <w:noProof/>
        </w:rPr>
        <w:drawing>
          <wp:inline distT="0" distB="0" distL="0" distR="0" wp14:anchorId="17D533B7" wp14:editId="612FDBA7">
            <wp:extent cx="152400" cy="152400"/>
            <wp:effectExtent l="19050" t="0" r="0" b="0"/>
            <wp:docPr id="775" name="Picture 775" descr="FeetDry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FeetDry_16"/>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E4212F" w:rsidRPr="000665B0">
        <w:t xml:space="preserve"> </w:t>
      </w:r>
      <w:r w:rsidR="0028288A" w:rsidRPr="000665B0">
        <w:t>–</w:t>
      </w:r>
      <w:r w:rsidR="00E4212F" w:rsidRPr="000665B0">
        <w:t xml:space="preserve"> Missile Feet Dry time.</w:t>
      </w:r>
    </w:p>
    <w:p w14:paraId="47F354F6" w14:textId="33917780" w:rsidR="000A607E" w:rsidRPr="000665B0" w:rsidRDefault="009A1FDF" w:rsidP="006D5A65">
      <w:pPr>
        <w:pStyle w:val="Heading1"/>
        <w:rPr>
          <w:bCs/>
        </w:rPr>
      </w:pPr>
      <w:r w:rsidRPr="000665B0">
        <w:rPr>
          <w:noProof/>
        </w:rPr>
        <w:drawing>
          <wp:inline distT="0" distB="0" distL="0" distR="0" wp14:anchorId="174B381A" wp14:editId="040A7D00">
            <wp:extent cx="228600" cy="209550"/>
            <wp:effectExtent l="19050" t="0" r="0" b="0"/>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cstate="print"/>
                    <a:srcRect/>
                    <a:stretch>
                      <a:fillRect/>
                    </a:stretch>
                  </pic:blipFill>
                  <pic:spPr bwMode="auto">
                    <a:xfrm>
                      <a:off x="0" y="0"/>
                      <a:ext cx="228600" cy="209550"/>
                    </a:xfrm>
                    <a:prstGeom prst="rect">
                      <a:avLst/>
                    </a:prstGeom>
                    <a:noFill/>
                    <a:ln w="9525">
                      <a:noFill/>
                      <a:miter lim="800000"/>
                      <a:headEnd/>
                      <a:tailEnd/>
                    </a:ln>
                  </pic:spPr>
                </pic:pic>
              </a:graphicData>
            </a:graphic>
          </wp:inline>
        </w:drawing>
      </w:r>
      <w:r w:rsidR="000A607E" w:rsidRPr="000665B0">
        <w:t xml:space="preserve"> </w:t>
      </w:r>
      <w:r w:rsidR="0028288A" w:rsidRPr="000665B0">
        <w:t>–</w:t>
      </w:r>
      <w:r w:rsidR="000A607E" w:rsidRPr="000665B0">
        <w:t xml:space="preserve"> A Comms note.</w:t>
      </w:r>
      <w:r w:rsidR="00F303DA" w:rsidRPr="000665B0">
        <w:t xml:space="preserve"> </w:t>
      </w:r>
      <w:r w:rsidR="000A607E" w:rsidRPr="000665B0">
        <w:t xml:space="preserve">Notes are placed on the Comms Schedule by the Strike Planner. It can contain any text (i.e., contingency </w:t>
      </w:r>
      <w:r w:rsidR="000A607E" w:rsidRPr="000665B0">
        <w:lastRenderedPageBreak/>
        <w:t xml:space="preserve">actions or recovery steps). Notes </w:t>
      </w:r>
      <w:r w:rsidR="00987E38" w:rsidRPr="000665B0">
        <w:t>cannot</w:t>
      </w:r>
      <w:r w:rsidR="000A607E" w:rsidRPr="000665B0">
        <w:t xml:space="preserve"> be modified during execution.</w:t>
      </w:r>
    </w:p>
    <w:p w14:paraId="60605066" w14:textId="5CD9A83D" w:rsidR="00082782" w:rsidRPr="000665B0" w:rsidRDefault="00082782" w:rsidP="006D5A65">
      <w:pPr>
        <w:pStyle w:val="Heading1"/>
      </w:pPr>
      <w:r w:rsidRPr="000665B0">
        <w:rPr>
          <w:noProof/>
          <w:position w:val="-6"/>
        </w:rPr>
        <w:drawing>
          <wp:inline distT="0" distB="0" distL="0" distR="0" wp14:anchorId="518ABF52" wp14:editId="216A089F">
            <wp:extent cx="182880" cy="182880"/>
            <wp:effectExtent l="0" t="0" r="7620" b="762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2880" cy="182880"/>
                    </a:xfrm>
                    <a:prstGeom prst="rect">
                      <a:avLst/>
                    </a:prstGeom>
                    <a:noFill/>
                    <a:ln>
                      <a:noFill/>
                    </a:ln>
                  </pic:spPr>
                </pic:pic>
              </a:graphicData>
            </a:graphic>
          </wp:inline>
        </w:drawing>
      </w:r>
      <w:r w:rsidRPr="000665B0">
        <w:t xml:space="preserve"> – Guidance </w:t>
      </w:r>
      <w:r w:rsidR="003C5F60">
        <w:t>Handover</w:t>
      </w:r>
      <w:r w:rsidRPr="000665B0">
        <w:t xml:space="preserve"> Point (maritime strike).</w:t>
      </w:r>
    </w:p>
    <w:p w14:paraId="69F9531C" w14:textId="2268D242" w:rsidR="00082782" w:rsidRPr="000665B0" w:rsidRDefault="00082782" w:rsidP="006D5A65">
      <w:pPr>
        <w:pStyle w:val="Heading1"/>
      </w:pPr>
      <w:r w:rsidRPr="000665B0">
        <w:rPr>
          <w:noProof/>
          <w:position w:val="-6"/>
        </w:rPr>
        <w:drawing>
          <wp:inline distT="0" distB="0" distL="0" distR="0" wp14:anchorId="2856D307" wp14:editId="7BD98843">
            <wp:extent cx="201168" cy="182880"/>
            <wp:effectExtent l="0" t="0" r="8890" b="762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1168" cy="182880"/>
                    </a:xfrm>
                    <a:prstGeom prst="rect">
                      <a:avLst/>
                    </a:prstGeom>
                    <a:noFill/>
                    <a:ln>
                      <a:noFill/>
                    </a:ln>
                  </pic:spPr>
                </pic:pic>
              </a:graphicData>
            </a:graphic>
          </wp:inline>
        </w:drawing>
      </w:r>
      <w:r w:rsidRPr="000665B0">
        <w:t xml:space="preserve"> – Sent MST IMMM (maritime strike).. </w:t>
      </w:r>
    </w:p>
    <w:p w14:paraId="1CF65541" w14:textId="63F11B58" w:rsidR="00082782" w:rsidRPr="000665B0" w:rsidRDefault="00082782" w:rsidP="006D5A65">
      <w:pPr>
        <w:pStyle w:val="Heading1"/>
      </w:pPr>
      <w:r w:rsidRPr="000665B0">
        <w:rPr>
          <w:noProof/>
          <w:position w:val="-6"/>
        </w:rPr>
        <w:drawing>
          <wp:inline distT="0" distB="0" distL="0" distR="0" wp14:anchorId="2F5BFB83" wp14:editId="634D5DA3">
            <wp:extent cx="201168" cy="182880"/>
            <wp:effectExtent l="0" t="0" r="8890" b="7620"/>
            <wp:docPr id="118" name="Pictur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4"/>
                    <pic:cNvPicPr preferRelativeResize="0">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1168" cy="182880"/>
                    </a:xfrm>
                    <a:prstGeom prst="rect">
                      <a:avLst/>
                    </a:prstGeom>
                    <a:noFill/>
                    <a:ln>
                      <a:noFill/>
                    </a:ln>
                  </pic:spPr>
                </pic:pic>
              </a:graphicData>
            </a:graphic>
          </wp:inline>
        </w:drawing>
      </w:r>
      <w:r w:rsidRPr="000665B0">
        <w:t xml:space="preserve"> – Received MST IMMM (maritime strike).</w:t>
      </w:r>
    </w:p>
    <w:p w14:paraId="313170A9" w14:textId="16EE229D" w:rsidR="00082782" w:rsidRPr="000665B0" w:rsidRDefault="00082782" w:rsidP="006D5A65">
      <w:pPr>
        <w:pStyle w:val="Heading1"/>
      </w:pPr>
      <w:r w:rsidRPr="000665B0">
        <w:rPr>
          <w:noProof/>
          <w:position w:val="-6"/>
        </w:rPr>
        <w:drawing>
          <wp:inline distT="0" distB="0" distL="0" distR="0" wp14:anchorId="22600A68" wp14:editId="2A0E1440">
            <wp:extent cx="182880" cy="182880"/>
            <wp:effectExtent l="0" t="0" r="7620" b="762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2880" cy="182880"/>
                    </a:xfrm>
                    <a:prstGeom prst="rect">
                      <a:avLst/>
                    </a:prstGeom>
                    <a:noFill/>
                    <a:ln>
                      <a:noFill/>
                    </a:ln>
                  </pic:spPr>
                </pic:pic>
              </a:graphicData>
            </a:graphic>
          </wp:inline>
        </w:drawing>
      </w:r>
      <w:r w:rsidRPr="000665B0">
        <w:t xml:space="preserve"> – Guide Point (maritime strike). </w:t>
      </w:r>
    </w:p>
    <w:p w14:paraId="6EA2388C" w14:textId="544284D1" w:rsidR="00082782" w:rsidRPr="000665B0" w:rsidRDefault="00082782" w:rsidP="006D5A65">
      <w:pPr>
        <w:pStyle w:val="Heading1"/>
      </w:pPr>
      <w:r w:rsidRPr="000665B0">
        <w:rPr>
          <w:noProof/>
          <w:position w:val="-6"/>
        </w:rPr>
        <w:drawing>
          <wp:inline distT="0" distB="0" distL="0" distR="0" wp14:anchorId="034A85A7" wp14:editId="792BB383">
            <wp:extent cx="182880" cy="182880"/>
            <wp:effectExtent l="0" t="0" r="7620" b="7620"/>
            <wp:docPr id="1935" name="Picture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2880" cy="182880"/>
                    </a:xfrm>
                    <a:prstGeom prst="rect">
                      <a:avLst/>
                    </a:prstGeom>
                    <a:noFill/>
                    <a:ln>
                      <a:noFill/>
                    </a:ln>
                  </pic:spPr>
                </pic:pic>
              </a:graphicData>
            </a:graphic>
          </wp:inline>
        </w:drawing>
      </w:r>
      <w:r w:rsidRPr="000665B0">
        <w:t xml:space="preserve"> – Target Track Updates (maritime strike).</w:t>
      </w:r>
    </w:p>
    <w:bookmarkEnd w:id="6575"/>
    <w:p w14:paraId="396389A3" w14:textId="05485FC6" w:rsidR="008B7C1C" w:rsidRPr="000665B0" w:rsidRDefault="008B7C1C" w:rsidP="000A607E">
      <w:r w:rsidRPr="000665B0">
        <w:t xml:space="preserve">Actions that change the timing of events on the Gantt chart </w:t>
      </w:r>
      <w:r w:rsidR="00AC6A42" w:rsidRPr="000665B0">
        <w:t xml:space="preserve">will </w:t>
      </w:r>
      <w:r w:rsidRPr="000665B0">
        <w:t xml:space="preserve">cause the icons on the Gantt chart to </w:t>
      </w:r>
      <w:r w:rsidR="00522659" w:rsidRPr="000665B0">
        <w:t xml:space="preserve">automatically </w:t>
      </w:r>
      <w:r w:rsidR="00AC6A42" w:rsidRPr="000665B0">
        <w:t>update</w:t>
      </w:r>
      <w:r w:rsidRPr="000665B0">
        <w:t xml:space="preserve"> to reflect the revised times. In certain cases, some icons </w:t>
      </w:r>
      <w:r w:rsidRPr="000665B0">
        <w:rPr>
          <w:i/>
        </w:rPr>
        <w:t>may fail to update</w:t>
      </w:r>
      <w:r w:rsidRPr="000665B0">
        <w:t xml:space="preserve"> and will remain at their original time (see </w:t>
      </w:r>
      <w:hyperlink w:anchor="_H&amp;S/Other_Icons_Fail" w:history="1">
        <w:r w:rsidR="00E036B6" w:rsidRPr="000665B0">
          <w:rPr>
            <w:rStyle w:val="Hyperlink"/>
          </w:rPr>
          <w:t xml:space="preserve">Section </w:t>
        </w:r>
        <w:r w:rsidR="004231CC">
          <w:rPr>
            <w:rStyle w:val="Hyperlink"/>
          </w:rPr>
          <w:t>5.35</w:t>
        </w:r>
        <w:r w:rsidRPr="000665B0">
          <w:rPr>
            <w:rStyle w:val="Hyperlink"/>
          </w:rPr>
          <w:t>.3.1.1.3.1</w:t>
        </w:r>
      </w:hyperlink>
      <w:r w:rsidRPr="000665B0">
        <w:t xml:space="preserve">). </w:t>
      </w:r>
    </w:p>
    <w:p w14:paraId="675D122D" w14:textId="372C117E" w:rsidR="00840235" w:rsidRPr="000665B0" w:rsidRDefault="00840235" w:rsidP="000A607E">
      <w:r w:rsidRPr="000665B0">
        <w:t xml:space="preserve">The following information applies to a land attack. For information about sending </w:t>
      </w:r>
      <w:r w:rsidR="00C11C3B" w:rsidRPr="000665B0">
        <w:t>messages</w:t>
      </w:r>
      <w:r w:rsidRPr="000665B0">
        <w:t xml:space="preserve"> to an MST mis</w:t>
      </w:r>
      <w:r w:rsidR="00797ED9" w:rsidRPr="000665B0">
        <w:t>s</w:t>
      </w:r>
      <w:r w:rsidRPr="000665B0">
        <w:t xml:space="preserve">ile in a maritime strike, see </w:t>
      </w:r>
      <w:hyperlink w:anchor="_MST_Control_Panel" w:history="1">
        <w:r w:rsidR="00593DA3" w:rsidRPr="000665B0">
          <w:rPr>
            <w:rStyle w:val="Hyperlink"/>
          </w:rPr>
          <w:t xml:space="preserve">Section </w:t>
        </w:r>
        <w:r w:rsidR="004231CC">
          <w:rPr>
            <w:rStyle w:val="Hyperlink"/>
          </w:rPr>
          <w:t>5.35</w:t>
        </w:r>
        <w:r w:rsidR="00593DA3" w:rsidRPr="000665B0">
          <w:rPr>
            <w:rStyle w:val="Hyperlink"/>
          </w:rPr>
          <w:t>.3.1.3</w:t>
        </w:r>
      </w:hyperlink>
      <w:r w:rsidRPr="000665B0">
        <w:t>.</w:t>
      </w:r>
    </w:p>
    <w:bookmarkEnd w:id="6563"/>
    <w:p w14:paraId="395ACD59" w14:textId="48A4389A" w:rsidR="00AF28EE" w:rsidRPr="000665B0" w:rsidRDefault="004C34C6" w:rsidP="000A607E">
      <w:r w:rsidRPr="000665B0">
        <w:t>109E</w:t>
      </w:r>
      <w:r w:rsidR="00D421E6">
        <w:t xml:space="preserve"> and 109M</w:t>
      </w:r>
      <w:r w:rsidR="000A607E" w:rsidRPr="000665B0">
        <w:t xml:space="preserve"> missiles with Comms enabled will receive TSN messages. Only received and processed messages for the Execution Folder are added to the chart. TSN messages are placed on the Gantt Chart at their “Data Valid Time” and not their “Received Time</w:t>
      </w:r>
      <w:r w:rsidR="00E32823" w:rsidRPr="000665B0">
        <w:t>.</w:t>
      </w:r>
      <w:r w:rsidR="000A607E" w:rsidRPr="000665B0">
        <w:t>”</w:t>
      </w:r>
    </w:p>
    <w:p w14:paraId="2CC6AD46" w14:textId="77777777" w:rsidR="000A607E" w:rsidRPr="000665B0" w:rsidRDefault="000A607E" w:rsidP="00AC6A42">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1DB3DC21" w14:textId="7300CD6E" w:rsidR="006458CE" w:rsidRPr="000665B0" w:rsidRDefault="000A607E" w:rsidP="006458CE">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rPr>
        <w:t>TSN Messages that fail Cyclic Redundancy Check (CRC) checks are dropped.</w:t>
      </w:r>
      <w:r w:rsidR="00593264" w:rsidRPr="000665B0">
        <w:rPr>
          <w:b/>
        </w:rPr>
        <w:br/>
      </w:r>
      <w:r w:rsidR="0047200F" w:rsidRPr="000665B0">
        <w:rPr>
          <w:b/>
        </w:rPr>
        <w:t>TSN Messages with an unidentified Subscriber ID are dropped.</w:t>
      </w:r>
      <w:r w:rsidR="006458CE" w:rsidRPr="000665B0">
        <w:rPr>
          <w:b/>
          <w:szCs w:val="24"/>
        </w:rPr>
        <w:t xml:space="preserve"> </w:t>
      </w:r>
    </w:p>
    <w:p w14:paraId="5258297C" w14:textId="77777777" w:rsidR="006458CE" w:rsidRPr="000665B0" w:rsidRDefault="006458CE" w:rsidP="00A92F65">
      <w:pPr>
        <w:pageBreakBefore/>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lastRenderedPageBreak/>
        <w:t>Note:</w:t>
      </w:r>
    </w:p>
    <w:p w14:paraId="3BECE4F8" w14:textId="639A1857" w:rsidR="00AF28EE" w:rsidRPr="000665B0" w:rsidRDefault="006458CE" w:rsidP="00AF28EE">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Setting a Pre-Planned Outcome IMMM</w:t>
      </w:r>
      <w:r w:rsidR="00AF28EE" w:rsidRPr="000665B0">
        <w:rPr>
          <w:b/>
        </w:rPr>
        <w:t xml:space="preserve"> </w:t>
      </w:r>
      <w:r w:rsidRPr="000665B0">
        <w:rPr>
          <w:b/>
        </w:rPr>
        <w:t>and/or Aimpoint Update IMMM</w:t>
      </w:r>
      <w:r w:rsidR="002A42E9" w:rsidRPr="000665B0">
        <w:rPr>
          <w:b/>
        </w:rPr>
        <w:t xml:space="preserve"> on the Gantt Chart</w:t>
      </w:r>
      <w:r w:rsidRPr="000665B0">
        <w:rPr>
          <w:b/>
        </w:rPr>
        <w:t xml:space="preserve"> is done in absolute time. The mouse location at the time the context menu popup is the transmission time of the message. If the strike time is shifted, the </w:t>
      </w:r>
      <w:r w:rsidR="002A42E9" w:rsidRPr="000665B0">
        <w:rPr>
          <w:b/>
        </w:rPr>
        <w:t xml:space="preserve">transmission time (and </w:t>
      </w:r>
      <w:r w:rsidR="00400270" w:rsidRPr="000665B0">
        <w:rPr>
          <w:b/>
        </w:rPr>
        <w:t>the</w:t>
      </w:r>
      <w:r w:rsidR="002A42E9" w:rsidRPr="000665B0">
        <w:rPr>
          <w:b/>
        </w:rPr>
        <w:t xml:space="preserve"> </w:t>
      </w:r>
      <w:r w:rsidRPr="000665B0">
        <w:rPr>
          <w:b/>
        </w:rPr>
        <w:t>icons</w:t>
      </w:r>
      <w:r w:rsidR="002A42E9" w:rsidRPr="000665B0">
        <w:rPr>
          <w:b/>
        </w:rPr>
        <w:t>)</w:t>
      </w:r>
      <w:r w:rsidRPr="000665B0">
        <w:rPr>
          <w:b/>
        </w:rPr>
        <w:t xml:space="preserve"> for the Pre-Planned Outcome IMMM and/or Aimpoint Update IMMM do NOT shift relative to the new launch time.</w:t>
      </w:r>
    </w:p>
    <w:p w14:paraId="4D2512EF" w14:textId="2322437A" w:rsidR="000A607E" w:rsidRPr="000665B0" w:rsidRDefault="000A607E" w:rsidP="000A607E">
      <w:pPr>
        <w:spacing w:before="120"/>
      </w:pPr>
      <w:r w:rsidRPr="000665B0">
        <w:t xml:space="preserve">TSN IMMMs can be sent to the missile by </w:t>
      </w:r>
      <w:r w:rsidR="00D71804" w:rsidRPr="000665B0">
        <w:t>right-click</w:t>
      </w:r>
      <w:r w:rsidRPr="000665B0">
        <w:t xml:space="preserve">ing on the missile bar. If the missile bar is obstructed by a </w:t>
      </w:r>
      <w:r w:rsidRPr="000665B0">
        <w:rPr>
          <w:b/>
        </w:rPr>
        <w:t>TSN</w:t>
      </w:r>
      <w:r w:rsidRPr="000665B0">
        <w:t xml:space="preserve"> icon, zoom in or out to gain access to the missile bar. The appropriate IMMM can then be selected (Pre</w:t>
      </w:r>
      <w:r w:rsidR="006458CE" w:rsidRPr="000665B0">
        <w:t xml:space="preserve">-Planned </w:t>
      </w:r>
      <w:r w:rsidRPr="000665B0">
        <w:t xml:space="preserve">Outcome or Aimpoint Update). A form is displayed for the IMMM. The user can select </w:t>
      </w:r>
      <w:r w:rsidRPr="000665B0">
        <w:rPr>
          <w:b/>
        </w:rPr>
        <w:t>Send Immediately</w:t>
      </w:r>
      <w:r w:rsidRPr="000665B0">
        <w:t xml:space="preserve"> in which case the IMMM is sent to the missile when </w:t>
      </w:r>
      <w:r w:rsidRPr="000665B0">
        <w:rPr>
          <w:b/>
          <w:bCs/>
        </w:rPr>
        <w:t>OK</w:t>
      </w:r>
      <w:r w:rsidRPr="000665B0">
        <w:t xml:space="preserve"> is clicked. If </w:t>
      </w:r>
      <w:r w:rsidRPr="000665B0">
        <w:rPr>
          <w:b/>
        </w:rPr>
        <w:t>Send Immediately</w:t>
      </w:r>
      <w:r w:rsidRPr="000665B0">
        <w:t xml:space="preserve"> is unchecked, then the transmission time is used. The message is scheduled and will be sent at the appropriate time.</w:t>
      </w:r>
    </w:p>
    <w:p w14:paraId="22544141" w14:textId="2A381CCD" w:rsidR="000A607E" w:rsidRPr="000665B0" w:rsidRDefault="002B74F7" w:rsidP="000A607E">
      <w:pPr>
        <w:jc w:val="center"/>
      </w:pPr>
      <w:r w:rsidRPr="000665B0">
        <w:rPr>
          <w:noProof/>
        </w:rPr>
        <w:drawing>
          <wp:inline distT="0" distB="0" distL="0" distR="0" wp14:anchorId="759434D2" wp14:editId="22E88136">
            <wp:extent cx="1828800" cy="338328"/>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338328"/>
                    </a:xfrm>
                    <a:prstGeom prst="rect">
                      <a:avLst/>
                    </a:prstGeom>
                  </pic:spPr>
                </pic:pic>
              </a:graphicData>
            </a:graphic>
          </wp:inline>
        </w:drawing>
      </w:r>
    </w:p>
    <w:p w14:paraId="155819B5" w14:textId="626F0EF4" w:rsidR="000A607E" w:rsidRPr="000665B0" w:rsidRDefault="002B74F7" w:rsidP="000A607E">
      <w:pPr>
        <w:jc w:val="center"/>
      </w:pPr>
      <w:r w:rsidRPr="000665B0">
        <w:rPr>
          <w:noProof/>
        </w:rPr>
        <w:drawing>
          <wp:inline distT="0" distB="0" distL="0" distR="0" wp14:anchorId="284D1A6B" wp14:editId="6F6B6422">
            <wp:extent cx="1828800" cy="2496312"/>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2496312"/>
                    </a:xfrm>
                    <a:prstGeom prst="rect">
                      <a:avLst/>
                    </a:prstGeom>
                  </pic:spPr>
                </pic:pic>
              </a:graphicData>
            </a:graphic>
          </wp:inline>
        </w:drawing>
      </w:r>
    </w:p>
    <w:p w14:paraId="7DB7C1AA" w14:textId="77777777" w:rsidR="00767C65" w:rsidRPr="000665B0" w:rsidRDefault="00767C65" w:rsidP="00767C65">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0D8D99E3" w14:textId="19E79B63" w:rsidR="00767C65" w:rsidRPr="000665B0" w:rsidRDefault="00767C65" w:rsidP="00767C65">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If an MDS 5.1.1 </w:t>
      </w:r>
      <w:r w:rsidR="00BD1D32">
        <w:rPr>
          <w:b/>
        </w:rPr>
        <w:t>TSC</w:t>
      </w:r>
      <w:r w:rsidRPr="000665B0">
        <w:rPr>
          <w:b/>
        </w:rPr>
        <w:t xml:space="preserve"> schedules a Pre-Planned Outcome (PPO) and then deletes the PPO, the PPO icon is (incorrectly) not deleted from an MDS 5.1.1 or 5.1 </w:t>
      </w:r>
      <w:r w:rsidR="00BD1D32">
        <w:rPr>
          <w:b/>
        </w:rPr>
        <w:t>ATSC</w:t>
      </w:r>
      <w:r w:rsidR="00BD1D32" w:rsidRPr="000665B0">
        <w:rPr>
          <w:b/>
        </w:rPr>
        <w:t xml:space="preserve">’s </w:t>
      </w:r>
      <w:r w:rsidRPr="000665B0">
        <w:rPr>
          <w:b/>
        </w:rPr>
        <w:t xml:space="preserve">Gantt Chart. When an MDS 5.1.1 </w:t>
      </w:r>
      <w:r w:rsidR="00BD1D32">
        <w:rPr>
          <w:b/>
        </w:rPr>
        <w:t>TSC</w:t>
      </w:r>
      <w:r w:rsidR="00BD1D32" w:rsidRPr="000665B0">
        <w:rPr>
          <w:b/>
        </w:rPr>
        <w:t xml:space="preserve"> </w:t>
      </w:r>
      <w:r w:rsidRPr="000665B0">
        <w:rPr>
          <w:b/>
        </w:rPr>
        <w:t xml:space="preserve">deletes a PPO, the </w:t>
      </w:r>
      <w:r w:rsidR="00BD1D32">
        <w:rPr>
          <w:b/>
        </w:rPr>
        <w:t>TSC</w:t>
      </w:r>
      <w:r w:rsidR="00BD1D32" w:rsidRPr="000665B0">
        <w:rPr>
          <w:b/>
        </w:rPr>
        <w:t xml:space="preserve"> </w:t>
      </w:r>
      <w:r w:rsidRPr="000665B0">
        <w:rPr>
          <w:b/>
        </w:rPr>
        <w:t xml:space="preserve">should use chat/voice to report the PPO cancellation to all MDS 5.x </w:t>
      </w:r>
      <w:r w:rsidR="00BD1D32">
        <w:rPr>
          <w:b/>
        </w:rPr>
        <w:t>ATSC</w:t>
      </w:r>
      <w:r w:rsidR="00BD1D32" w:rsidRPr="000665B0">
        <w:rPr>
          <w:b/>
        </w:rPr>
        <w:t>s</w:t>
      </w:r>
      <w:r w:rsidRPr="000665B0">
        <w:rPr>
          <w:b/>
        </w:rPr>
        <w:t xml:space="preserve">. </w:t>
      </w:r>
    </w:p>
    <w:p w14:paraId="0C554826" w14:textId="07D289A7" w:rsidR="00767C65" w:rsidRPr="000665B0" w:rsidRDefault="00767C65" w:rsidP="00767C65">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Conversely, if an MDS 5.x</w:t>
      </w:r>
      <w:r w:rsidR="00B54FFB">
        <w:rPr>
          <w:b/>
        </w:rPr>
        <w:t xml:space="preserve"> ATSC </w:t>
      </w:r>
      <w:r w:rsidRPr="000665B0">
        <w:rPr>
          <w:b/>
        </w:rPr>
        <w:t xml:space="preserve">displays a PPO (expecting a response) and does not receive the response (missile turns yellow), use chat/voice to contact the </w:t>
      </w:r>
      <w:r w:rsidR="00BD1D32">
        <w:rPr>
          <w:b/>
        </w:rPr>
        <w:t>TSC</w:t>
      </w:r>
      <w:r w:rsidR="00BD1D32" w:rsidRPr="000665B0">
        <w:rPr>
          <w:b/>
        </w:rPr>
        <w:t xml:space="preserve"> </w:t>
      </w:r>
      <w:r w:rsidRPr="000665B0">
        <w:rPr>
          <w:b/>
        </w:rPr>
        <w:t xml:space="preserve">about missile status. </w:t>
      </w:r>
    </w:p>
    <w:p w14:paraId="5529B4FC" w14:textId="533E1CDC" w:rsidR="000A607E" w:rsidRDefault="000A607E" w:rsidP="005566F2">
      <w:bookmarkStart w:id="6578" w:name="_Hlk141261858"/>
      <w:r w:rsidRPr="000665B0">
        <w:t>An Aimpoint Update IMMM can be sent in the same manner. An Aimpoint update IMMM will direct the missile to divert from its current path to the Lat/Lon provided in the IMMM.</w:t>
      </w:r>
    </w:p>
    <w:p w14:paraId="5041ADD0" w14:textId="26F327D6" w:rsidR="008651E8" w:rsidRDefault="008651E8" w:rsidP="00AC2F7D">
      <w:pPr>
        <w:spacing w:after="240"/>
        <w:jc w:val="center"/>
      </w:pPr>
      <w:r>
        <w:rPr>
          <w:noProof/>
        </w:rPr>
        <w:lastRenderedPageBreak/>
        <w:drawing>
          <wp:inline distT="0" distB="0" distL="0" distR="0" wp14:anchorId="594C11C9" wp14:editId="6C589E61">
            <wp:extent cx="3657600" cy="2990088"/>
            <wp:effectExtent l="0" t="0" r="0" b="0"/>
            <wp:docPr id="698" name="Picture 69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pic:cNvPicPr>
                  </pic:nvPicPr>
                  <pic:blipFill>
                    <a:blip/>
                    <a:stretch>
                      <a:fillRect/>
                    </a:stretch>
                  </pic:blipFill>
                  <pic:spPr>
                    <a:xfrm>
                      <a:off x="0" y="0"/>
                      <a:ext cx="3657600" cy="2990088"/>
                    </a:xfrm>
                    <a:prstGeom prst="rect">
                      <a:avLst/>
                    </a:prstGeom>
                  </pic:spPr>
                </pic:pic>
              </a:graphicData>
            </a:graphic>
          </wp:inline>
        </w:drawing>
      </w:r>
    </w:p>
    <w:p w14:paraId="4A62498C" w14:textId="759C4F93" w:rsidR="00BD6DDA" w:rsidRPr="00D06BB8" w:rsidRDefault="00BD6DDA" w:rsidP="00F04A99">
      <w:bookmarkStart w:id="6579" w:name="_Hlk141790963"/>
      <w:r w:rsidRPr="00D06BB8">
        <w:t xml:space="preserve">Below </w:t>
      </w:r>
      <w:r w:rsidR="008F4F4B">
        <w:t>are</w:t>
      </w:r>
      <w:r w:rsidRPr="00D06BB8">
        <w:t xml:space="preserve"> explanation</w:t>
      </w:r>
      <w:r w:rsidR="008F4F4B">
        <w:t>s</w:t>
      </w:r>
      <w:r w:rsidRPr="00D06BB8">
        <w:t xml:space="preserve"> for the terms in the Aimpoint Update IMMM screen</w:t>
      </w:r>
      <w:r w:rsidR="008F4F4B">
        <w:t>:</w:t>
      </w:r>
    </w:p>
    <w:p w14:paraId="4F82618A" w14:textId="206E8147" w:rsidR="00F04A99" w:rsidRPr="00D06BB8" w:rsidRDefault="00F04A99" w:rsidP="00281633">
      <w:pPr>
        <w:spacing w:before="120"/>
        <w:rPr>
          <w:b/>
          <w:bCs/>
          <w:szCs w:val="24"/>
        </w:rPr>
      </w:pPr>
      <w:r w:rsidRPr="00D06BB8">
        <w:rPr>
          <w:b/>
          <w:bCs/>
          <w:szCs w:val="24"/>
        </w:rPr>
        <w:t>Missile Data</w:t>
      </w:r>
    </w:p>
    <w:p w14:paraId="57E4BD7A" w14:textId="2B00718F" w:rsidR="00F04A99" w:rsidRPr="00C04ECD" w:rsidRDefault="00F04A99" w:rsidP="006D5A65">
      <w:pPr>
        <w:pStyle w:val="Heading1"/>
      </w:pPr>
      <w:r w:rsidRPr="00C04ECD">
        <w:rPr>
          <w:bCs/>
        </w:rPr>
        <w:t>Missile Seq. Number</w:t>
      </w:r>
      <w:r w:rsidRPr="00C04ECD">
        <w:t xml:space="preserve"> – </w:t>
      </w:r>
      <w:r w:rsidR="00FE713D" w:rsidRPr="00C04ECD">
        <w:t>M</w:t>
      </w:r>
      <w:r w:rsidRPr="00C04ECD">
        <w:t>issile’s missile sequence number</w:t>
      </w:r>
      <w:r w:rsidR="00281633">
        <w:t>.</w:t>
      </w:r>
    </w:p>
    <w:p w14:paraId="394D3742" w14:textId="40562757" w:rsidR="00FE713D" w:rsidRPr="00C04ECD" w:rsidRDefault="00F04A99" w:rsidP="006D5A65">
      <w:pPr>
        <w:pStyle w:val="Heading1"/>
        <w:rPr>
          <w:bCs/>
        </w:rPr>
      </w:pPr>
      <w:r w:rsidRPr="00D06BB8">
        <w:rPr>
          <w:bCs/>
        </w:rPr>
        <w:t>Missile Subscriber ID</w:t>
      </w:r>
      <w:r w:rsidRPr="00C04ECD">
        <w:rPr>
          <w:bCs/>
        </w:rPr>
        <w:t xml:space="preserve"> </w:t>
      </w:r>
      <w:r w:rsidRPr="00097645">
        <w:rPr>
          <w:bCs/>
        </w:rPr>
        <w:t xml:space="preserve">– </w:t>
      </w:r>
      <w:r w:rsidR="00097645" w:rsidRPr="00097645">
        <w:t>Used to identify which missile authored th</w:t>
      </w:r>
      <w:r w:rsidR="00097645">
        <w:t>e</w:t>
      </w:r>
      <w:r w:rsidR="00097645" w:rsidRPr="00097645">
        <w:t xml:space="preserve"> message</w:t>
      </w:r>
      <w:r w:rsidR="00097645">
        <w:t>.</w:t>
      </w:r>
    </w:p>
    <w:p w14:paraId="7D24AC4F" w14:textId="77777777" w:rsidR="00F04A99" w:rsidRPr="00D06BB8" w:rsidRDefault="00F04A99" w:rsidP="00281633">
      <w:pPr>
        <w:spacing w:before="120"/>
        <w:rPr>
          <w:b/>
          <w:bCs/>
          <w:szCs w:val="24"/>
        </w:rPr>
      </w:pPr>
      <w:r w:rsidRPr="00D06BB8">
        <w:rPr>
          <w:b/>
          <w:bCs/>
          <w:szCs w:val="24"/>
        </w:rPr>
        <w:t>Transmission Data</w:t>
      </w:r>
    </w:p>
    <w:p w14:paraId="02F34844" w14:textId="4B1146A0" w:rsidR="00F04A99" w:rsidRPr="00C04ECD" w:rsidRDefault="00F04A99" w:rsidP="006D5A65">
      <w:pPr>
        <w:pStyle w:val="Heading1"/>
      </w:pPr>
      <w:r w:rsidRPr="00D06BB8">
        <w:rPr>
          <w:bCs/>
        </w:rPr>
        <w:t>Transmission Time</w:t>
      </w:r>
      <w:r w:rsidRPr="00C04ECD">
        <w:rPr>
          <w:bCs/>
        </w:rPr>
        <w:t xml:space="preserve"> – </w:t>
      </w:r>
      <w:r w:rsidR="00FE713D" w:rsidRPr="00C04ECD">
        <w:t>T</w:t>
      </w:r>
      <w:r w:rsidRPr="00C04ECD">
        <w:t xml:space="preserve">ime the message </w:t>
      </w:r>
      <w:r w:rsidR="00FE713D" w:rsidRPr="00C04ECD">
        <w:t>will be</w:t>
      </w:r>
      <w:r w:rsidRPr="00C04ECD">
        <w:t xml:space="preserve"> sent to the missile if Send Immediately is not checked</w:t>
      </w:r>
      <w:r w:rsidR="00281633">
        <w:t>.</w:t>
      </w:r>
    </w:p>
    <w:p w14:paraId="68456074" w14:textId="70CF537F" w:rsidR="00320D29" w:rsidRPr="00C04ECD" w:rsidRDefault="00F04A99" w:rsidP="006D5A65">
      <w:pPr>
        <w:pStyle w:val="Heading1"/>
      </w:pPr>
      <w:r w:rsidRPr="00D06BB8">
        <w:rPr>
          <w:bCs/>
        </w:rPr>
        <w:t>Send Immediately</w:t>
      </w:r>
      <w:r w:rsidR="006C4B14">
        <w:rPr>
          <w:bCs/>
        </w:rPr>
        <w:t xml:space="preserve"> </w:t>
      </w:r>
      <w:r w:rsidRPr="00C04ECD">
        <w:rPr>
          <w:bCs/>
        </w:rPr>
        <w:t>–</w:t>
      </w:r>
      <w:r w:rsidR="006C4B14" w:rsidRPr="00C04ECD">
        <w:rPr>
          <w:bCs/>
        </w:rPr>
        <w:t xml:space="preserve"> </w:t>
      </w:r>
      <w:r w:rsidR="00FE713D" w:rsidRPr="00C04ECD">
        <w:t>T</w:t>
      </w:r>
      <w:r w:rsidRPr="00C04ECD">
        <w:t xml:space="preserve">he message </w:t>
      </w:r>
      <w:r w:rsidR="008877B7" w:rsidRPr="00C04ECD">
        <w:t>will be</w:t>
      </w:r>
      <w:r w:rsidRPr="00C04ECD">
        <w:t xml:space="preserve"> sent to the missile after the window is closed</w:t>
      </w:r>
      <w:r w:rsidR="00281633">
        <w:t>.</w:t>
      </w:r>
    </w:p>
    <w:p w14:paraId="7D6252A4" w14:textId="5BD3D2A8" w:rsidR="00F04A99" w:rsidRPr="00D06BB8" w:rsidRDefault="00F04A99" w:rsidP="00281633">
      <w:pPr>
        <w:spacing w:before="120"/>
        <w:rPr>
          <w:b/>
          <w:bCs/>
          <w:szCs w:val="24"/>
        </w:rPr>
      </w:pPr>
      <w:r w:rsidRPr="00D06BB8">
        <w:rPr>
          <w:b/>
          <w:bCs/>
          <w:szCs w:val="24"/>
        </w:rPr>
        <w:t>Target Data</w:t>
      </w:r>
    </w:p>
    <w:p w14:paraId="40095637" w14:textId="5CC31423" w:rsidR="00F04A99" w:rsidRPr="00C04ECD" w:rsidRDefault="00F04A99" w:rsidP="006D5A65">
      <w:pPr>
        <w:pStyle w:val="Heading1"/>
        <w:rPr>
          <w:bCs/>
        </w:rPr>
      </w:pPr>
      <w:r w:rsidRPr="00D06BB8">
        <w:rPr>
          <w:bCs/>
        </w:rPr>
        <w:t>Target Latitude</w:t>
      </w:r>
      <w:r w:rsidRPr="00C04ECD">
        <w:rPr>
          <w:bCs/>
        </w:rPr>
        <w:t xml:space="preserve"> – </w:t>
      </w:r>
      <w:r w:rsidRPr="00C04ECD">
        <w:t>Latitude of the Target in degrees</w:t>
      </w:r>
      <w:r w:rsidR="00281633">
        <w:t>.</w:t>
      </w:r>
    </w:p>
    <w:p w14:paraId="413D408A" w14:textId="42E87D39" w:rsidR="00F04A99" w:rsidRPr="00C04ECD" w:rsidRDefault="00F04A99" w:rsidP="006D5A65">
      <w:pPr>
        <w:pStyle w:val="Heading1"/>
      </w:pPr>
      <w:r w:rsidRPr="00D06BB8">
        <w:rPr>
          <w:bCs/>
        </w:rPr>
        <w:t>Target Longitude</w:t>
      </w:r>
      <w:r w:rsidRPr="00C04ECD">
        <w:rPr>
          <w:bCs/>
        </w:rPr>
        <w:t xml:space="preserve"> – </w:t>
      </w:r>
      <w:r w:rsidRPr="00C04ECD">
        <w:t>Longitude of the Target in degrees</w:t>
      </w:r>
      <w:r w:rsidR="00281633">
        <w:t>.</w:t>
      </w:r>
    </w:p>
    <w:p w14:paraId="65E1CFB0" w14:textId="56261ADD" w:rsidR="00F04A99" w:rsidRPr="00C04ECD" w:rsidRDefault="00F04A99" w:rsidP="006D5A65">
      <w:pPr>
        <w:pStyle w:val="Heading1"/>
      </w:pPr>
      <w:r w:rsidRPr="00D06BB8">
        <w:rPr>
          <w:bCs/>
        </w:rPr>
        <w:t>Target Elevation</w:t>
      </w:r>
      <w:r w:rsidRPr="00C04ECD">
        <w:rPr>
          <w:bCs/>
        </w:rPr>
        <w:t xml:space="preserve"> – </w:t>
      </w:r>
      <w:r w:rsidRPr="00C04ECD">
        <w:t xml:space="preserve">Elevation of the Target in the specified </w:t>
      </w:r>
      <w:r w:rsidR="008877B7" w:rsidRPr="00C04ECD">
        <w:t>f</w:t>
      </w:r>
      <w:r w:rsidRPr="00C04ECD">
        <w:t>eet/</w:t>
      </w:r>
      <w:r w:rsidR="008877B7" w:rsidRPr="00C04ECD">
        <w:t>m</w:t>
      </w:r>
      <w:r w:rsidRPr="00C04ECD">
        <w:t>eters and reference HAE. (</w:t>
      </w:r>
      <w:r w:rsidR="008877B7" w:rsidRPr="00C04ECD">
        <w:t>h</w:t>
      </w:r>
      <w:r w:rsidRPr="00C04ECD">
        <w:t xml:space="preserve">eight </w:t>
      </w:r>
      <w:r w:rsidR="008877B7" w:rsidRPr="00C04ECD">
        <w:t>a</w:t>
      </w:r>
      <w:r w:rsidRPr="00C04ECD">
        <w:t xml:space="preserve">bove </w:t>
      </w:r>
      <w:r w:rsidR="008877B7" w:rsidRPr="00C04ECD">
        <w:t>e</w:t>
      </w:r>
      <w:r w:rsidRPr="00C04ECD">
        <w:t>llipsoid)/MSL (</w:t>
      </w:r>
      <w:r w:rsidR="00FE713D" w:rsidRPr="00C04ECD">
        <w:t>m</w:t>
      </w:r>
      <w:r w:rsidRPr="00C04ECD">
        <w:t xml:space="preserve">ean </w:t>
      </w:r>
      <w:r w:rsidR="00FE713D" w:rsidRPr="00C04ECD">
        <w:t>s</w:t>
      </w:r>
      <w:r w:rsidRPr="00C04ECD">
        <w:t xml:space="preserve">ea </w:t>
      </w:r>
      <w:r w:rsidR="00FE713D" w:rsidRPr="00C04ECD">
        <w:t>l</w:t>
      </w:r>
      <w:r w:rsidRPr="00C04ECD">
        <w:t>evel)</w:t>
      </w:r>
      <w:r w:rsidR="00281633">
        <w:t>.</w:t>
      </w:r>
    </w:p>
    <w:p w14:paraId="22E97FCF" w14:textId="0E7866B3" w:rsidR="00F04A99" w:rsidRPr="00C04ECD" w:rsidRDefault="00F04A99" w:rsidP="006D5A65">
      <w:pPr>
        <w:pStyle w:val="Heading1"/>
      </w:pPr>
      <w:r w:rsidRPr="00D06BB8">
        <w:rPr>
          <w:bCs/>
        </w:rPr>
        <w:t>Impact Angle</w:t>
      </w:r>
      <w:r w:rsidRPr="00C04ECD">
        <w:rPr>
          <w:bCs/>
        </w:rPr>
        <w:t xml:space="preserve"> – </w:t>
      </w:r>
      <w:r w:rsidRPr="00C04ECD">
        <w:t xml:space="preserve">Angle of </w:t>
      </w:r>
      <w:r w:rsidR="008877B7" w:rsidRPr="00C04ECD">
        <w:t>i</w:t>
      </w:r>
      <w:r w:rsidRPr="00C04ECD">
        <w:t>mpact in degrees</w:t>
      </w:r>
      <w:r w:rsidR="00281633">
        <w:t>.</w:t>
      </w:r>
    </w:p>
    <w:p w14:paraId="37C43B4B" w14:textId="3C0892DB" w:rsidR="00FE713D" w:rsidRPr="00C04ECD" w:rsidRDefault="00F04A99" w:rsidP="006D5A65">
      <w:pPr>
        <w:pStyle w:val="Heading1"/>
      </w:pPr>
      <w:r w:rsidRPr="00D06BB8">
        <w:rPr>
          <w:bCs/>
        </w:rPr>
        <w:t>Fuze Setting</w:t>
      </w:r>
      <w:r w:rsidRPr="00C04ECD">
        <w:rPr>
          <w:bCs/>
        </w:rPr>
        <w:t xml:space="preserve"> – </w:t>
      </w:r>
      <w:r w:rsidRPr="00C04ECD">
        <w:t xml:space="preserve">Desired Fuze </w:t>
      </w:r>
      <w:r w:rsidR="00FE713D" w:rsidRPr="00C04ECD">
        <w:t>s</w:t>
      </w:r>
      <w:r w:rsidRPr="00C04ECD">
        <w:t>etting</w:t>
      </w:r>
      <w:r w:rsidR="00281633">
        <w:t>.</w:t>
      </w:r>
    </w:p>
    <w:p w14:paraId="37A9A56F" w14:textId="1011F1C9" w:rsidR="00FE713D" w:rsidRPr="00D06BB8" w:rsidRDefault="00FE713D" w:rsidP="00281633">
      <w:pPr>
        <w:spacing w:before="120"/>
        <w:rPr>
          <w:b/>
          <w:bCs/>
          <w:szCs w:val="24"/>
        </w:rPr>
      </w:pPr>
      <w:r w:rsidRPr="00D06BB8">
        <w:rPr>
          <w:b/>
          <w:bCs/>
          <w:szCs w:val="24"/>
        </w:rPr>
        <w:t>Inertial data</w:t>
      </w:r>
    </w:p>
    <w:p w14:paraId="09BFF05A" w14:textId="77777777" w:rsidR="00F04A99" w:rsidRPr="00C04ECD" w:rsidRDefault="00F04A99" w:rsidP="006D5A65">
      <w:pPr>
        <w:pStyle w:val="Heading1"/>
      </w:pPr>
      <w:r w:rsidRPr="00D06BB8">
        <w:rPr>
          <w:bCs/>
        </w:rPr>
        <w:lastRenderedPageBreak/>
        <w:t>Inertial Altitude</w:t>
      </w:r>
      <w:r w:rsidRPr="00C04ECD">
        <w:rPr>
          <w:bCs/>
        </w:rPr>
        <w:t xml:space="preserve"> – </w:t>
      </w:r>
      <w:r w:rsidRPr="00C04ECD">
        <w:t>Altitude in the specified Feet/Meters and reference HAE. (Height Above Ellipsoid)/MSL (Mean Sea Level) to fly in event missile’s radar altimeter fails.</w:t>
      </w:r>
    </w:p>
    <w:p w14:paraId="23746711" w14:textId="2FF6AD62" w:rsidR="00F04A99" w:rsidRPr="00C04ECD" w:rsidRDefault="00F04A99" w:rsidP="006D5A65">
      <w:pPr>
        <w:pStyle w:val="Heading1"/>
        <w:rPr>
          <w:bCs/>
        </w:rPr>
      </w:pPr>
      <w:r w:rsidRPr="00D06BB8">
        <w:rPr>
          <w:bCs/>
        </w:rPr>
        <w:t>Inertial Latitude</w:t>
      </w:r>
      <w:r w:rsidRPr="00C04ECD">
        <w:rPr>
          <w:bCs/>
        </w:rPr>
        <w:t xml:space="preserve"> – </w:t>
      </w:r>
      <w:r w:rsidRPr="00C04ECD">
        <w:t>Latitude in degrees used for converting from MSL to HAE (not shown/used when Inertial reference is HAE)</w:t>
      </w:r>
      <w:r w:rsidR="00281633">
        <w:t>.</w:t>
      </w:r>
    </w:p>
    <w:p w14:paraId="43A2BDC2" w14:textId="25664991" w:rsidR="00F04A99" w:rsidRPr="00C04ECD" w:rsidRDefault="00F04A99" w:rsidP="006D5A65">
      <w:pPr>
        <w:pStyle w:val="Heading1"/>
      </w:pPr>
      <w:r w:rsidRPr="00D06BB8">
        <w:rPr>
          <w:bCs/>
        </w:rPr>
        <w:t>Inertial Longitude</w:t>
      </w:r>
      <w:r w:rsidRPr="00C04ECD">
        <w:rPr>
          <w:bCs/>
        </w:rPr>
        <w:t xml:space="preserve"> – </w:t>
      </w:r>
      <w:r w:rsidRPr="00C04ECD">
        <w:t>Longitude in degrees used for converting from MSL to HAE (not shown/used when Inertial reference is HAE)</w:t>
      </w:r>
      <w:r w:rsidR="00281633">
        <w:t>.</w:t>
      </w:r>
    </w:p>
    <w:p w14:paraId="73D9D802" w14:textId="602105A8" w:rsidR="00EE68D1" w:rsidRPr="00C04ECD" w:rsidRDefault="00F04A99" w:rsidP="006D5A65">
      <w:pPr>
        <w:pStyle w:val="Heading1"/>
      </w:pPr>
      <w:r w:rsidRPr="00D06BB8">
        <w:rPr>
          <w:bCs/>
        </w:rPr>
        <w:t>Clearance C</w:t>
      </w:r>
      <w:r w:rsidR="00FE713D" w:rsidRPr="00D06BB8">
        <w:rPr>
          <w:bCs/>
        </w:rPr>
        <w:t>m</w:t>
      </w:r>
      <w:r w:rsidRPr="00D06BB8">
        <w:rPr>
          <w:bCs/>
        </w:rPr>
        <w:t>d</w:t>
      </w:r>
      <w:r w:rsidRPr="00C04ECD">
        <w:rPr>
          <w:bCs/>
        </w:rPr>
        <w:t xml:space="preserve"> </w:t>
      </w:r>
      <w:r w:rsidR="006C4B14" w:rsidRPr="00C04ECD">
        <w:rPr>
          <w:bCs/>
        </w:rPr>
        <w:t xml:space="preserve">– </w:t>
      </w:r>
      <w:r w:rsidRPr="00C04ECD">
        <w:t>Clearance Command in Feet/Meters AGL (Above Ground Level)</w:t>
      </w:r>
      <w:r w:rsidR="00281633">
        <w:t>.</w:t>
      </w:r>
    </w:p>
    <w:p w14:paraId="285382F9" w14:textId="25B4F051" w:rsidR="00EE68D1" w:rsidRPr="00FA6319" w:rsidRDefault="00F04A99" w:rsidP="00281633">
      <w:pPr>
        <w:spacing w:before="120"/>
        <w:rPr>
          <w:b/>
          <w:bCs/>
          <w:szCs w:val="24"/>
        </w:rPr>
      </w:pPr>
      <w:r w:rsidRPr="00D06BB8">
        <w:rPr>
          <w:b/>
          <w:bCs/>
          <w:szCs w:val="24"/>
        </w:rPr>
        <w:t xml:space="preserve">Missile Reporting State </w:t>
      </w:r>
    </w:p>
    <w:p w14:paraId="76464F1C" w14:textId="413EFBED" w:rsidR="00F04A99" w:rsidRPr="00D06BB8" w:rsidRDefault="00F04A99" w:rsidP="00281633">
      <w:pPr>
        <w:spacing w:before="120"/>
        <w:ind w:left="360"/>
        <w:rPr>
          <w:b/>
          <w:bCs/>
          <w:szCs w:val="24"/>
          <w:u w:val="single"/>
        </w:rPr>
      </w:pPr>
      <w:r w:rsidRPr="00D06BB8">
        <w:rPr>
          <w:b/>
          <w:bCs/>
          <w:szCs w:val="24"/>
          <w:u w:val="single"/>
        </w:rPr>
        <w:t>Enablements</w:t>
      </w:r>
    </w:p>
    <w:p w14:paraId="0255EC92" w14:textId="6DE2F0E5" w:rsidR="00F04A99" w:rsidRPr="00D06BB8" w:rsidRDefault="00F04A99" w:rsidP="006D5A65">
      <w:pPr>
        <w:pStyle w:val="Heading1"/>
      </w:pPr>
      <w:r w:rsidRPr="00D06BB8">
        <w:rPr>
          <w:bCs/>
        </w:rPr>
        <w:t>Scheduled H&amp;S</w:t>
      </w:r>
      <w:r w:rsidRPr="00D06BB8">
        <w:t xml:space="preserve"> – Indicates whether the missile will transmit H&amp;S messages at a scheduled time</w:t>
      </w:r>
      <w:r w:rsidR="00281633">
        <w:t>.</w:t>
      </w:r>
    </w:p>
    <w:p w14:paraId="35615935" w14:textId="36406C7D" w:rsidR="00F04A99" w:rsidRPr="00D06BB8" w:rsidRDefault="00F04A99" w:rsidP="006D5A65">
      <w:pPr>
        <w:pStyle w:val="Heading1"/>
      </w:pPr>
      <w:r w:rsidRPr="00D06BB8">
        <w:rPr>
          <w:bCs/>
        </w:rPr>
        <w:t>Event H&amp;S</w:t>
      </w:r>
      <w:r w:rsidRPr="00D06BB8">
        <w:t xml:space="preserve"> – Indicates whether the missile will transmit Event H&amp;S messages in accordance with initialization parameters</w:t>
      </w:r>
      <w:r w:rsidR="00281633">
        <w:t>.</w:t>
      </w:r>
    </w:p>
    <w:p w14:paraId="2457E024" w14:textId="608ED572" w:rsidR="00FA6319" w:rsidRPr="00C04ECD" w:rsidRDefault="00F04A99" w:rsidP="006D5A65">
      <w:pPr>
        <w:pStyle w:val="Heading1"/>
      </w:pPr>
      <w:r w:rsidRPr="00D06BB8">
        <w:rPr>
          <w:bCs/>
        </w:rPr>
        <w:t>BDI</w:t>
      </w:r>
      <w:r w:rsidRPr="00D06BB8">
        <w:t xml:space="preserve"> – Indicates whether the missile will transmit a BDI message</w:t>
      </w:r>
      <w:r w:rsidR="00281633">
        <w:t>.</w:t>
      </w:r>
    </w:p>
    <w:p w14:paraId="36124AD6" w14:textId="31291C7D" w:rsidR="00F04A99" w:rsidRPr="00D06BB8" w:rsidRDefault="00F04A99" w:rsidP="00281633">
      <w:pPr>
        <w:spacing w:before="120"/>
        <w:ind w:left="360"/>
        <w:rPr>
          <w:b/>
          <w:bCs/>
          <w:szCs w:val="24"/>
          <w:u w:val="single"/>
        </w:rPr>
      </w:pPr>
      <w:r w:rsidRPr="00D06BB8">
        <w:rPr>
          <w:b/>
          <w:bCs/>
          <w:szCs w:val="24"/>
          <w:u w:val="single"/>
        </w:rPr>
        <w:t>Acknowledgements</w:t>
      </w:r>
    </w:p>
    <w:p w14:paraId="443A8775" w14:textId="629F4EAE" w:rsidR="00EE68D1" w:rsidRPr="00C04ECD" w:rsidRDefault="00F04A99" w:rsidP="006D5A65">
      <w:pPr>
        <w:pStyle w:val="Heading1"/>
      </w:pPr>
      <w:r w:rsidRPr="00D06BB8">
        <w:rPr>
          <w:bCs/>
        </w:rPr>
        <w:t>Immediate H&amp;S Required</w:t>
      </w:r>
      <w:r w:rsidRPr="00D06BB8">
        <w:t xml:space="preserve"> </w:t>
      </w:r>
      <w:r w:rsidR="006C4B14" w:rsidRPr="00D06BB8">
        <w:t>–</w:t>
      </w:r>
      <w:r w:rsidRPr="00D06BB8">
        <w:t xml:space="preserve"> </w:t>
      </w:r>
      <w:r w:rsidR="00EE68D1" w:rsidRPr="00D06BB8">
        <w:t>T</w:t>
      </w:r>
      <w:r w:rsidR="008877B7" w:rsidRPr="00D06BB8">
        <w:t>he</w:t>
      </w:r>
      <w:r w:rsidRPr="00D06BB8">
        <w:t xml:space="preserve"> missile will transmit an acknowledgement to the message in the form of an H&amp;S message</w:t>
      </w:r>
      <w:r w:rsidR="00281633">
        <w:t>.</w:t>
      </w:r>
    </w:p>
    <w:p w14:paraId="4DFEB9B3" w14:textId="77777777" w:rsidR="00F04A99" w:rsidRPr="00D06BB8" w:rsidRDefault="00F04A99" w:rsidP="00281633">
      <w:pPr>
        <w:spacing w:before="120"/>
        <w:rPr>
          <w:b/>
          <w:bCs/>
          <w:szCs w:val="24"/>
        </w:rPr>
      </w:pPr>
      <w:r w:rsidRPr="00D06BB8">
        <w:rPr>
          <w:b/>
          <w:bCs/>
          <w:szCs w:val="24"/>
        </w:rPr>
        <w:t>Route Validation Data</w:t>
      </w:r>
    </w:p>
    <w:p w14:paraId="4026EEC1" w14:textId="149A4201" w:rsidR="00F04A99" w:rsidRPr="00D06BB8" w:rsidRDefault="00F04A99" w:rsidP="006D5A65">
      <w:pPr>
        <w:pStyle w:val="Heading1"/>
      </w:pPr>
      <w:r w:rsidRPr="00D06BB8">
        <w:t>Launch to Departure Point – in nautical miles</w:t>
      </w:r>
      <w:r w:rsidR="00281633">
        <w:t>.</w:t>
      </w:r>
    </w:p>
    <w:p w14:paraId="30A23D14" w14:textId="7CE2DD34" w:rsidR="00F04A99" w:rsidRPr="00D06BB8" w:rsidRDefault="00F04A99" w:rsidP="006D5A65">
      <w:pPr>
        <w:pStyle w:val="Heading1"/>
      </w:pPr>
      <w:r w:rsidRPr="00D06BB8">
        <w:t>Remaining Missile Range – in nautical miles</w:t>
      </w:r>
      <w:r w:rsidR="00281633">
        <w:t>.</w:t>
      </w:r>
    </w:p>
    <w:p w14:paraId="5B0DEF5F" w14:textId="264D009D" w:rsidR="00F04A99" w:rsidRPr="00D06BB8" w:rsidRDefault="00F04A99" w:rsidP="006D5A65">
      <w:pPr>
        <w:pStyle w:val="Heading1"/>
      </w:pPr>
      <w:r w:rsidRPr="00D06BB8">
        <w:t>Departure Point To Target – in nautical miles</w:t>
      </w:r>
      <w:r w:rsidR="00281633">
        <w:t>.</w:t>
      </w:r>
    </w:p>
    <w:p w14:paraId="40A4F7D0" w14:textId="731D5016" w:rsidR="00F04A99" w:rsidRPr="00D06BB8" w:rsidRDefault="00F04A99" w:rsidP="006D5A65">
      <w:pPr>
        <w:pStyle w:val="Heading1"/>
      </w:pPr>
      <w:r w:rsidRPr="00D06BB8">
        <w:t>Departure Point To Target – time to target</w:t>
      </w:r>
      <w:r w:rsidR="00281633">
        <w:t>.</w:t>
      </w:r>
    </w:p>
    <w:p w14:paraId="4A8A170F" w14:textId="20963644" w:rsidR="00FA6319" w:rsidRPr="00281633" w:rsidRDefault="00F04A99" w:rsidP="006D5A65">
      <w:pPr>
        <w:pStyle w:val="Heading1"/>
      </w:pPr>
      <w:r w:rsidRPr="00D06BB8">
        <w:rPr>
          <w:bCs/>
        </w:rPr>
        <w:t>Estimated TOT</w:t>
      </w:r>
      <w:r w:rsidRPr="00D06BB8">
        <w:t xml:space="preserve"> – time target</w:t>
      </w:r>
      <w:r w:rsidR="00FA6319" w:rsidRPr="00D06BB8">
        <w:t xml:space="preserve"> is</w:t>
      </w:r>
      <w:r w:rsidRPr="00D06BB8">
        <w:t xml:space="preserve"> hit</w:t>
      </w:r>
      <w:r w:rsidR="00281633">
        <w:t>.</w:t>
      </w:r>
    </w:p>
    <w:p w14:paraId="56D30B6F" w14:textId="3DACA326" w:rsidR="00F04A99" w:rsidRDefault="00F04A99" w:rsidP="00D06BB8">
      <w:r w:rsidRPr="00D06BB8">
        <w:rPr>
          <w:b/>
          <w:bCs/>
        </w:rPr>
        <w:t>Refresh</w:t>
      </w:r>
      <w:r>
        <w:t xml:space="preserve"> – </w:t>
      </w:r>
      <w:r w:rsidR="00FA6319">
        <w:t>R</w:t>
      </w:r>
      <w:r>
        <w:t>ecalculates route data (above</w:t>
      </w:r>
      <w:r w:rsidR="00FA6319">
        <w:t>);</w:t>
      </w:r>
      <w:r>
        <w:t xml:space="preserve"> give</w:t>
      </w:r>
      <w:r w:rsidR="00FA6319">
        <w:t>s</w:t>
      </w:r>
      <w:r>
        <w:t xml:space="preserve"> </w:t>
      </w:r>
      <w:r w:rsidR="00FA6319">
        <w:t xml:space="preserve">an </w:t>
      </w:r>
      <w:r>
        <w:t xml:space="preserve">error if </w:t>
      </w:r>
      <w:r w:rsidR="00FA6319">
        <w:t xml:space="preserve">the </w:t>
      </w:r>
      <w:r>
        <w:t xml:space="preserve">target </w:t>
      </w:r>
      <w:r w:rsidR="00FA6319">
        <w:t xml:space="preserve">is </w:t>
      </w:r>
      <w:r>
        <w:t>beyond range of fuel</w:t>
      </w:r>
      <w:r w:rsidR="00281633">
        <w:t>.</w:t>
      </w:r>
    </w:p>
    <w:p w14:paraId="796A917D" w14:textId="22FBB77B" w:rsidR="00F04A99" w:rsidRDefault="00F04A99" w:rsidP="00F04A99">
      <w:r w:rsidRPr="00D06BB8">
        <w:rPr>
          <w:b/>
          <w:bCs/>
        </w:rPr>
        <w:t>Alt. Missile Controller Override</w:t>
      </w:r>
      <w:r>
        <w:t xml:space="preserve"> – </w:t>
      </w:r>
      <w:r w:rsidR="00FA6319">
        <w:t>A</w:t>
      </w:r>
      <w:r>
        <w:t>llows the backup missile controller to override the forwarding of the IMMM and send it directly to the missile</w:t>
      </w:r>
      <w:r w:rsidR="00281633">
        <w:t>.</w:t>
      </w:r>
    </w:p>
    <w:p w14:paraId="085C6565" w14:textId="2DBAB8E2" w:rsidR="00F04A99" w:rsidRDefault="00F04A99" w:rsidP="00F04A99">
      <w:r w:rsidRPr="00D06BB8">
        <w:rPr>
          <w:b/>
          <w:bCs/>
        </w:rPr>
        <w:t>OK</w:t>
      </w:r>
      <w:r w:rsidR="008877B7">
        <w:rPr>
          <w:b/>
          <w:bCs/>
        </w:rPr>
        <w:t xml:space="preserve"> </w:t>
      </w:r>
      <w:r w:rsidR="008877B7">
        <w:t xml:space="preserve">– </w:t>
      </w:r>
      <w:r w:rsidR="00FA6319">
        <w:t>V</w:t>
      </w:r>
      <w:r>
        <w:t xml:space="preserve">alidates </w:t>
      </w:r>
      <w:r w:rsidR="00FA6319">
        <w:t xml:space="preserve">the </w:t>
      </w:r>
      <w:r>
        <w:t>data entered and that target can be hit</w:t>
      </w:r>
      <w:r w:rsidR="00FA6319">
        <w:t>;</w:t>
      </w:r>
      <w:r>
        <w:t xml:space="preserve"> if </w:t>
      </w:r>
      <w:r w:rsidR="00FA6319">
        <w:t xml:space="preserve">data is </w:t>
      </w:r>
      <w:r>
        <w:t>valid then saves and sends or schedules the IMMM</w:t>
      </w:r>
      <w:r w:rsidR="00281633">
        <w:t>.</w:t>
      </w:r>
    </w:p>
    <w:p w14:paraId="21BA02DC" w14:textId="6F538FB7" w:rsidR="00F04A99" w:rsidRPr="000665B0" w:rsidRDefault="00F04A99" w:rsidP="00D06BB8">
      <w:r w:rsidRPr="00D06BB8">
        <w:rPr>
          <w:b/>
          <w:bCs/>
        </w:rPr>
        <w:t>Cancel</w:t>
      </w:r>
      <w:r>
        <w:t xml:space="preserve"> – closes without saving or sending IMMM</w:t>
      </w:r>
      <w:r w:rsidR="00281633">
        <w:t>.</w:t>
      </w:r>
    </w:p>
    <w:bookmarkEnd w:id="6579"/>
    <w:p w14:paraId="3C11097B" w14:textId="77777777" w:rsidR="000A607E" w:rsidRPr="000665B0" w:rsidRDefault="000A607E" w:rsidP="000A607E">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w:t>
      </w:r>
      <w:r w:rsidR="00CF4841" w:rsidRPr="000665B0">
        <w:rPr>
          <w:b/>
        </w:rPr>
        <w:t>ote</w:t>
      </w:r>
      <w:r w:rsidRPr="000665B0">
        <w:rPr>
          <w:b/>
        </w:rPr>
        <w:t>:</w:t>
      </w:r>
    </w:p>
    <w:p w14:paraId="74A576AB" w14:textId="74598900" w:rsidR="00373DC0" w:rsidRPr="000665B0" w:rsidRDefault="000A607E" w:rsidP="00CC5CE9">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MDS allows the operator to enter an impact angle greater than or equal to 5 and less than 85 degrees for a direct Aimpoint Update.</w:t>
      </w:r>
      <w:r w:rsidR="00373DC0" w:rsidRPr="000665B0">
        <w:rPr>
          <w:b/>
        </w:rPr>
        <w:t xml:space="preserve"> </w:t>
      </w:r>
    </w:p>
    <w:bookmarkEnd w:id="6578"/>
    <w:p w14:paraId="0AC666CD" w14:textId="77777777" w:rsidR="00373DC0" w:rsidRPr="000665B0" w:rsidRDefault="00373DC0" w:rsidP="00585646">
      <w:pPr>
        <w:spacing w:after="0" w:line="120" w:lineRule="atLeast"/>
      </w:pPr>
    </w:p>
    <w:p w14:paraId="78627081" w14:textId="77777777" w:rsidR="00AC508A" w:rsidRPr="000665B0" w:rsidRDefault="00AC508A" w:rsidP="00373DC0">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lastRenderedPageBreak/>
        <w:t>The Aimpoint Update IMMM dialog uses the missile’s current position as the departure point basis of the estimated TOT. If the IMMM is being scheduled for a later time, or there is a significant delay before the IMMM is sent, the actual TOT may be significantly different from that shown.</w:t>
      </w:r>
    </w:p>
    <w:p w14:paraId="7383013E" w14:textId="32F77ACD" w:rsidR="004E4C76" w:rsidRPr="000665B0" w:rsidRDefault="000A607E" w:rsidP="004E4C76">
      <w:pPr>
        <w:spacing w:after="240"/>
      </w:pPr>
      <w:r w:rsidRPr="000665B0">
        <w:t xml:space="preserve">A disabled menu item signifies </w:t>
      </w:r>
      <w:r w:rsidR="00FA6319">
        <w:t xml:space="preserve">that </w:t>
      </w:r>
      <w:r w:rsidRPr="000665B0">
        <w:t xml:space="preserve">the system is unable to schedule an IMMM. Reasons include, but are not limited to, the execution time has passed, the missile is not a 109E missile or does not have TSN Comms enabled, or the operator does not have permission to schedule an IMMM. Only a Missile Controller (of the Package), or the </w:t>
      </w:r>
      <w:r w:rsidR="00BD1D32">
        <w:t>TSC/ATSC</w:t>
      </w:r>
      <w:r w:rsidRPr="000665B0">
        <w:t xml:space="preserve"> has permissions to schedule an IMMM message.</w:t>
      </w:r>
    </w:p>
    <w:p w14:paraId="03D39572" w14:textId="77777777" w:rsidR="002C6A63" w:rsidRPr="000665B0" w:rsidRDefault="002C6A63" w:rsidP="00D60914">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6718FBDF" w14:textId="309A0E7D" w:rsidR="002C6A63" w:rsidRPr="000665B0" w:rsidRDefault="002C6A63" w:rsidP="00D60914">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To receive confirmation of branch changes made in response to IMMMs sent to the missile, the </w:t>
      </w:r>
      <w:r w:rsidRPr="000665B0">
        <w:rPr>
          <w:b/>
          <w:i/>
        </w:rPr>
        <w:t>Event H&amp;S</w:t>
      </w:r>
      <w:r w:rsidRPr="000665B0">
        <w:rPr>
          <w:b/>
        </w:rPr>
        <w:t xml:space="preserve"> checkbox under Enablements in the Missile Reporting State pane must be checked. In addition, it is recommended that the </w:t>
      </w:r>
      <w:r w:rsidRPr="000665B0">
        <w:rPr>
          <w:b/>
          <w:i/>
        </w:rPr>
        <w:t>Immediate H&amp;S Required</w:t>
      </w:r>
      <w:r w:rsidRPr="000665B0">
        <w:rPr>
          <w:b/>
        </w:rPr>
        <w:t xml:space="preserve"> checkbox under Acknowledgements in the same pane be unchecked for both Pre-Planned Outcome and Aimpoint Update IMMMs, because an acknowledgement can prevent the Branch Change Message from being sent by the missile. If Branch Change Event Reporting was enabled for the missile (see </w:t>
      </w:r>
      <w:hyperlink w:anchor="_5.37.6.1.6__Missiles_1" w:history="1">
        <w:r w:rsidR="009326FE" w:rsidRPr="000665B0">
          <w:rPr>
            <w:rStyle w:val="Hyperlink"/>
            <w:b/>
          </w:rPr>
          <w:t xml:space="preserve">Section </w:t>
        </w:r>
        <w:r w:rsidR="004231CC">
          <w:rPr>
            <w:rStyle w:val="Hyperlink"/>
            <w:b/>
          </w:rPr>
          <w:t>5.34</w:t>
        </w:r>
        <w:r w:rsidRPr="000665B0">
          <w:rPr>
            <w:rStyle w:val="Hyperlink"/>
            <w:b/>
          </w:rPr>
          <w:t>.</w:t>
        </w:r>
        <w:r w:rsidR="0089269C" w:rsidRPr="000665B0">
          <w:rPr>
            <w:rStyle w:val="Hyperlink"/>
            <w:b/>
          </w:rPr>
          <w:t>7</w:t>
        </w:r>
        <w:r w:rsidRPr="000665B0">
          <w:rPr>
            <w:rStyle w:val="Hyperlink"/>
            <w:b/>
          </w:rPr>
          <w:t>.1.6</w:t>
        </w:r>
      </w:hyperlink>
      <w:r w:rsidRPr="000665B0">
        <w:rPr>
          <w:b/>
        </w:rPr>
        <w:t>), this will cause the Geo Display to show the new missile route only after receiving confirmation of the new route from the missile.</w:t>
      </w:r>
    </w:p>
    <w:p w14:paraId="44838276" w14:textId="77777777" w:rsidR="002C6A63" w:rsidRPr="000665B0" w:rsidRDefault="002C6A63" w:rsidP="00CC5CE9">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If Branch Change Event Reporting was not enabled for the missile, it will be necessary instead to select the </w:t>
      </w:r>
      <w:r w:rsidRPr="000665B0">
        <w:rPr>
          <w:b/>
          <w:bCs/>
        </w:rPr>
        <w:t>Immediate H&amp;S Required</w:t>
      </w:r>
      <w:r w:rsidRPr="000665B0">
        <w:rPr>
          <w:b/>
        </w:rPr>
        <w:t xml:space="preserve"> checkbox under </w:t>
      </w:r>
      <w:r w:rsidRPr="000665B0">
        <w:rPr>
          <w:b/>
          <w:bCs/>
        </w:rPr>
        <w:t>Acknowledgements</w:t>
      </w:r>
      <w:r w:rsidRPr="000665B0">
        <w:rPr>
          <w:b/>
        </w:rPr>
        <w:t>. In this less-than-optimal case, the Geo Display may update to the new route as soon as the IMMM is sent, without waiting for confirmation from the missile. The operator must remain alert for the receipt of the acknowledgement H&amp;S message to verify that the IMMM was successfully processed by the missile.</w:t>
      </w:r>
    </w:p>
    <w:p w14:paraId="4A37B9EA" w14:textId="77777777" w:rsidR="00F6064D" w:rsidRPr="000665B0" w:rsidRDefault="00F6064D" w:rsidP="00F6064D">
      <w:pPr>
        <w:spacing w:after="0"/>
      </w:pPr>
    </w:p>
    <w:p w14:paraId="56E42265" w14:textId="77777777" w:rsidR="00F6064D" w:rsidRPr="000665B0" w:rsidRDefault="00F6064D" w:rsidP="00F6064D">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0908551C" w14:textId="77777777" w:rsidR="00F6064D" w:rsidRPr="000665B0" w:rsidRDefault="00F6064D" w:rsidP="00F6064D">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Invalid branch change flags sent by the missile will always be latched to that missile. A second branch change or retarget will not clear the first invalid branch change, as that type of flag is not resettable. Once an invalid branch change flag is received from a missile, the operator should look at subsequent retarget H&amp;S messages for the coordinates of the new target to determine whether the missile is on the correct flight path.</w:t>
      </w:r>
    </w:p>
    <w:p w14:paraId="0430CAA7" w14:textId="77777777" w:rsidR="002C6A63" w:rsidRPr="000665B0" w:rsidRDefault="002C6A63" w:rsidP="00E7111D">
      <w:pPr>
        <w:spacing w:after="0"/>
      </w:pPr>
    </w:p>
    <w:p w14:paraId="5EDB1DB7" w14:textId="77777777" w:rsidR="002E1C7C" w:rsidRPr="000665B0" w:rsidRDefault="002E1C7C" w:rsidP="004E4C76">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r w:rsidRPr="000665B0">
        <w:rPr>
          <w:b/>
        </w:rPr>
        <w:t>Note:</w:t>
      </w:r>
    </w:p>
    <w:p w14:paraId="170FE666" w14:textId="5EECB85A" w:rsidR="002E1C7C" w:rsidRPr="000665B0" w:rsidRDefault="002E1C7C" w:rsidP="00CC5CE9">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lastRenderedPageBreak/>
        <w:t xml:space="preserve">Only the Primary Missile Controller of the missile will be able to send the IMMM message. Therefore, even though a Backup Missile Controller schedules an IMMM to be sent immediately, it will not be sent until the Primary Missile Controller receives the control message. Any Node with the Missile Controller role can be assigned the Primary Missile Controller, even a TTWCS Node. But only the MDS Nodes can process the control messages. </w:t>
      </w:r>
      <w:r w:rsidR="00B97A50" w:rsidRPr="000665B0">
        <w:rPr>
          <w:b/>
        </w:rPr>
        <w:t>Therefore,</w:t>
      </w:r>
      <w:r w:rsidRPr="000665B0">
        <w:rPr>
          <w:b/>
        </w:rPr>
        <w:t xml:space="preserve"> when a TTWCS Node is appointed to be the Primary Missile Controller and when a Backup Missile Controller schedules an IMMM to be sent, the TTWCS Node will not be able to process the control message and therefore the IMMM will not be sent to the missile. In certain </w:t>
      </w:r>
      <w:r w:rsidR="005444EA" w:rsidRPr="000665B0">
        <w:rPr>
          <w:b/>
        </w:rPr>
        <w:t>cases</w:t>
      </w:r>
      <w:r w:rsidRPr="000665B0">
        <w:rPr>
          <w:b/>
        </w:rPr>
        <w:t xml:space="preserve"> like this, it may not be desirable to forward the IMMM to the Primary Missile Controller. MDS allows the Backup Missile Controller to send the IMMM directly to the missile, check the “Alt. Missile Controller Override” option so that the Backup Missile Controller will override the forwarding of the IMMM and send it directly to the missile.</w:t>
      </w:r>
    </w:p>
    <w:p w14:paraId="5806A6A1" w14:textId="77777777" w:rsidR="000A607E" w:rsidRPr="000665B0" w:rsidRDefault="000A607E" w:rsidP="00E7111D">
      <w:pPr>
        <w:spacing w:after="0"/>
      </w:pPr>
    </w:p>
    <w:p w14:paraId="12334496" w14:textId="77777777" w:rsidR="000A607E" w:rsidRPr="000665B0" w:rsidRDefault="000A607E" w:rsidP="00CC5CE9">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w:t>
      </w:r>
      <w:r w:rsidR="00CF4841" w:rsidRPr="000665B0">
        <w:rPr>
          <w:b/>
        </w:rPr>
        <w:t>ote</w:t>
      </w:r>
      <w:r w:rsidRPr="000665B0">
        <w:rPr>
          <w:b/>
        </w:rPr>
        <w:t>:</w:t>
      </w:r>
      <w:r w:rsidR="001117FE" w:rsidRPr="000665B0">
        <w:rPr>
          <w:b/>
        </w:rPr>
        <w:br/>
      </w:r>
      <w:r w:rsidRPr="000665B0">
        <w:rPr>
          <w:b/>
        </w:rPr>
        <w:t>If the Primary Controller’s TSN comms fail, the Backup Controller must first swap missile controller to designate own node as Primary Controller in the SMD prior to sending an IMMM.</w:t>
      </w:r>
    </w:p>
    <w:p w14:paraId="53DAD6A7" w14:textId="77777777" w:rsidR="00C75A69" w:rsidRPr="000665B0" w:rsidRDefault="00C75A69" w:rsidP="00E7111D">
      <w:pPr>
        <w:spacing w:after="0"/>
      </w:pPr>
      <w:bookmarkStart w:id="6580" w:name="_5.38.3.1.2__Geo"/>
      <w:bookmarkEnd w:id="6580"/>
    </w:p>
    <w:p w14:paraId="0D69AC4C" w14:textId="77777777" w:rsidR="00C75A69" w:rsidRPr="000665B0" w:rsidRDefault="00C75A69" w:rsidP="00C75A69">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A039B1B" w14:textId="16A60E4A" w:rsidR="00C75A69" w:rsidRPr="000665B0" w:rsidRDefault="00C75A69" w:rsidP="00C75A69">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A warning event will be logged on receipt of an H&amp;S message (either an Ack or later H&amp;S message) if a retargeting action has left a </w:t>
      </w:r>
      <w:r w:rsidR="009C2AD1" w:rsidRPr="000665B0">
        <w:rPr>
          <w:b/>
        </w:rPr>
        <w:t>previously covered</w:t>
      </w:r>
      <w:r w:rsidRPr="000665B0">
        <w:rPr>
          <w:b/>
        </w:rPr>
        <w:t xml:space="preserve"> target uncovered.</w:t>
      </w:r>
    </w:p>
    <w:p w14:paraId="18102DB1" w14:textId="120C56A6" w:rsidR="001D5929" w:rsidRPr="000665B0" w:rsidRDefault="001D5929" w:rsidP="001D5929">
      <w:pPr>
        <w:pStyle w:val="Heading7"/>
      </w:pPr>
      <w:bookmarkStart w:id="6581" w:name="_5.38.3.1.2__Geo_1"/>
      <w:bookmarkStart w:id="6582" w:name="_Geo_Display"/>
      <w:bookmarkStart w:id="6583" w:name="_Gantt__Chart"/>
      <w:bookmarkStart w:id="6584" w:name="_Toc289328907"/>
      <w:bookmarkEnd w:id="6581"/>
      <w:bookmarkEnd w:id="6582"/>
      <w:bookmarkEnd w:id="6583"/>
      <w:r w:rsidRPr="000665B0">
        <w:t>Gantt Chart</w:t>
      </w:r>
      <w:r w:rsidR="00673FCA" w:rsidRPr="000665B0">
        <w:t>/SMD</w:t>
      </w:r>
      <w:r w:rsidRPr="000665B0">
        <w:t xml:space="preserve"> Icon Anomalies</w:t>
      </w:r>
    </w:p>
    <w:p w14:paraId="5EC62AAA" w14:textId="735FAF38" w:rsidR="00673FCA" w:rsidRPr="000665B0" w:rsidRDefault="00673FCA" w:rsidP="00673FCA">
      <w:pPr>
        <w:pStyle w:val="Heading8"/>
      </w:pPr>
      <w:bookmarkStart w:id="6585" w:name="_H&amp;S/Other_Icons_Fail"/>
      <w:bookmarkEnd w:id="6585"/>
      <w:r w:rsidRPr="000665B0">
        <w:t>H&amp;S/Other Icons Fail to Update After Changes to Missile Timing</w:t>
      </w:r>
    </w:p>
    <w:p w14:paraId="355EC0EC" w14:textId="3076F5F3" w:rsidR="005C7708" w:rsidRPr="000665B0" w:rsidRDefault="004B7354" w:rsidP="004B7354">
      <w:r w:rsidRPr="000665B0">
        <w:t>When an action (e.g.</w:t>
      </w:r>
      <w:r w:rsidR="008D2BC2" w:rsidRPr="000665B0">
        <w:t xml:space="preserve"> </w:t>
      </w:r>
      <w:r w:rsidRPr="000665B0">
        <w:t xml:space="preserve">spare missile launch) causes a change to a missile’s timing, the icons on the Gantt chart </w:t>
      </w:r>
      <w:r w:rsidR="00F9417A" w:rsidRPr="000665B0">
        <w:t>are</w:t>
      </w:r>
      <w:r w:rsidR="008D2BC2" w:rsidRPr="000665B0">
        <w:t xml:space="preserve"> </w:t>
      </w:r>
      <w:r w:rsidR="00522659" w:rsidRPr="000665B0">
        <w:t>automatically update</w:t>
      </w:r>
      <w:r w:rsidR="00F9417A" w:rsidRPr="000665B0">
        <w:t>d</w:t>
      </w:r>
      <w:r w:rsidR="00522659" w:rsidRPr="000665B0">
        <w:t xml:space="preserve"> </w:t>
      </w:r>
      <w:r w:rsidRPr="000665B0">
        <w:t xml:space="preserve">to reflect the missile’s revised </w:t>
      </w:r>
      <w:r w:rsidR="00A2053B" w:rsidRPr="000665B0">
        <w:t>launch time</w:t>
      </w:r>
      <w:r w:rsidRPr="000665B0">
        <w:t xml:space="preserve"> and target time. However, other icons (e.g.</w:t>
      </w:r>
      <w:r w:rsidR="001254C0" w:rsidRPr="000665B0">
        <w:t>,</w:t>
      </w:r>
      <w:r w:rsidRPr="000665B0">
        <w:t xml:space="preserve"> H&amp;S icons) along the missile enroute bar </w:t>
      </w:r>
      <w:r w:rsidRPr="000665B0">
        <w:rPr>
          <w:i/>
        </w:rPr>
        <w:t>may fail to update</w:t>
      </w:r>
      <w:r w:rsidRPr="000665B0">
        <w:t xml:space="preserve"> and will remain at their original tim</w:t>
      </w:r>
      <w:r w:rsidR="005C7708" w:rsidRPr="000665B0">
        <w:t>e</w:t>
      </w:r>
      <w:r w:rsidRPr="000665B0">
        <w:t xml:space="preserve">. </w:t>
      </w:r>
      <w:r w:rsidR="005C7708" w:rsidRPr="000665B0">
        <w:t xml:space="preserve">In the case of H&amp;S icons, the </w:t>
      </w:r>
      <w:r w:rsidRPr="000665B0">
        <w:t>H&amp;S messages will be sent at the time indicated on the Gantt, which will not correlate to the missile’s revised timing.</w:t>
      </w:r>
      <w:r w:rsidR="005C7708" w:rsidRPr="000665B0">
        <w:t xml:space="preserve"> </w:t>
      </w:r>
    </w:p>
    <w:p w14:paraId="67F376C1" w14:textId="0AE03AE6" w:rsidR="004B7354" w:rsidRPr="000665B0" w:rsidRDefault="005C7708" w:rsidP="004B7354">
      <w:r w:rsidRPr="000665B0">
        <w:t xml:space="preserve">Visually, the icons that fail to update will look out-of-place because they </w:t>
      </w:r>
      <w:r w:rsidR="008D2BC2" w:rsidRPr="000665B0">
        <w:t>may</w:t>
      </w:r>
      <w:r w:rsidRPr="000665B0">
        <w:t xml:space="preserve"> appear outside of the span between the Launch point icon and the Target point icon.</w:t>
      </w:r>
    </w:p>
    <w:p w14:paraId="676216D3" w14:textId="1B7FFCC1" w:rsidR="000A607E" w:rsidRPr="000665B0" w:rsidRDefault="000A607E" w:rsidP="00EE28AB">
      <w:pPr>
        <w:pStyle w:val="Heading5"/>
      </w:pPr>
      <w:bookmarkStart w:id="6586" w:name="_Geo_Display_and"/>
      <w:bookmarkEnd w:id="6557"/>
      <w:bookmarkEnd w:id="6586"/>
      <w:r w:rsidRPr="000665B0">
        <w:t>Geo Display</w:t>
      </w:r>
      <w:bookmarkEnd w:id="6584"/>
      <w:r w:rsidR="00CA728D" w:rsidRPr="000665B0">
        <w:t xml:space="preserve"> and Geo Object Manager (GOM)</w:t>
      </w:r>
    </w:p>
    <w:p w14:paraId="39128973" w14:textId="7D0F86E2" w:rsidR="000A607E" w:rsidRPr="000665B0" w:rsidRDefault="00F51024" w:rsidP="000A607E">
      <w:r w:rsidRPr="000665B0">
        <w:t xml:space="preserve">The </w:t>
      </w:r>
      <w:r w:rsidRPr="000665B0">
        <w:rPr>
          <w:b/>
        </w:rPr>
        <w:t>Geo</w:t>
      </w:r>
      <w:r w:rsidRPr="000665B0">
        <w:t xml:space="preserve"> pane displays strike items geographically on the far right side of the SMD and behaves in the same manner as the Geo Display tool (see </w:t>
      </w:r>
      <w:hyperlink w:anchor="_GEO_DISPLAY_TOOL" w:history="1">
        <w:r w:rsidR="004B5B37" w:rsidRPr="000665B0">
          <w:rPr>
            <w:rStyle w:val="Hyperlink"/>
          </w:rPr>
          <w:t xml:space="preserve">Section </w:t>
        </w:r>
        <w:r w:rsidR="004231CC">
          <w:rPr>
            <w:rStyle w:val="Hyperlink"/>
          </w:rPr>
          <w:t>5.26</w:t>
        </w:r>
      </w:hyperlink>
      <w:r w:rsidRPr="000665B0">
        <w:t>). The</w:t>
      </w:r>
      <w:r w:rsidR="000A607E" w:rsidRPr="000665B0">
        <w:t xml:space="preserve"> </w:t>
      </w:r>
      <w:r w:rsidR="000A607E" w:rsidRPr="000665B0">
        <w:rPr>
          <w:b/>
        </w:rPr>
        <w:t>Geo</w:t>
      </w:r>
      <w:r w:rsidR="000A607E" w:rsidRPr="000665B0">
        <w:t xml:space="preserve"> </w:t>
      </w:r>
      <w:r w:rsidRPr="000665B0">
        <w:t xml:space="preserve">pane displays </w:t>
      </w:r>
      <w:r w:rsidR="000A607E" w:rsidRPr="000665B0">
        <w:t>a geographic perspective of the executing strike</w:t>
      </w:r>
      <w:r w:rsidRPr="000665B0">
        <w:t xml:space="preserve"> and shows</w:t>
      </w:r>
      <w:r w:rsidR="000A607E" w:rsidRPr="000665B0">
        <w:t xml:space="preserve"> Options, FRUs, missiles, targets, geographic resources</w:t>
      </w:r>
      <w:r w:rsidR="005C14C4" w:rsidRPr="000665B0">
        <w:t>, and Track(s) of Interest (maritime strike)</w:t>
      </w:r>
      <w:r w:rsidR="000A607E" w:rsidRPr="000665B0">
        <w:t xml:space="preserve">. </w:t>
      </w:r>
    </w:p>
    <w:p w14:paraId="44484254" w14:textId="175EF07E" w:rsidR="007F4EE2" w:rsidRPr="000665B0" w:rsidRDefault="007F4EE2" w:rsidP="004B7354">
      <w:r w:rsidRPr="000665B0">
        <w:t>To zoom</w:t>
      </w:r>
      <w:r w:rsidR="000A77E7" w:rsidRPr="000665B0">
        <w:t xml:space="preserve"> in or out on the Geo display</w:t>
      </w:r>
      <w:r w:rsidRPr="000665B0">
        <w:t xml:space="preserve">, use the Geo </w:t>
      </w:r>
      <w:r w:rsidRPr="000665B0">
        <w:rPr>
          <w:b/>
        </w:rPr>
        <w:t>Zoom In</w:t>
      </w:r>
      <w:r w:rsidRPr="000665B0">
        <w:t xml:space="preserve"> and Geo </w:t>
      </w:r>
      <w:r w:rsidRPr="000665B0">
        <w:rPr>
          <w:b/>
        </w:rPr>
        <w:t>Zoom Out</w:t>
      </w:r>
      <w:r w:rsidRPr="000665B0">
        <w:t xml:space="preserve"> toolbar buttons, or the </w:t>
      </w:r>
      <w:r w:rsidRPr="000665B0">
        <w:rPr>
          <w:b/>
        </w:rPr>
        <w:t>Geo</w:t>
      </w:r>
      <w:r w:rsidRPr="000665B0">
        <w:t xml:space="preserve"> menu’s </w:t>
      </w:r>
      <w:r w:rsidRPr="000665B0">
        <w:rPr>
          <w:b/>
        </w:rPr>
        <w:t>Zoom In</w:t>
      </w:r>
      <w:r w:rsidRPr="000665B0">
        <w:t xml:space="preserve"> and </w:t>
      </w:r>
      <w:r w:rsidRPr="000665B0">
        <w:rPr>
          <w:b/>
        </w:rPr>
        <w:t>Zoom Out</w:t>
      </w:r>
      <w:r w:rsidRPr="000665B0">
        <w:t xml:space="preserve"> menu items. To pan, move the cursor to an edge of the Geo display until the cursor turns into </w:t>
      </w:r>
      <w:r w:rsidR="005C14C4" w:rsidRPr="000665B0">
        <w:t xml:space="preserve">a hollow </w:t>
      </w:r>
      <w:r w:rsidRPr="000665B0">
        <w:t xml:space="preserve">arrow, then </w:t>
      </w:r>
      <w:r w:rsidR="0037038E" w:rsidRPr="000665B0">
        <w:t>left-click</w:t>
      </w:r>
      <w:r w:rsidRPr="000665B0">
        <w:t xml:space="preserve">. To view a Digital map, click the </w:t>
      </w:r>
      <w:r w:rsidRPr="000665B0">
        <w:rPr>
          <w:b/>
        </w:rPr>
        <w:t>Display Digital Maps</w:t>
      </w:r>
      <w:r w:rsidRPr="000665B0">
        <w:t xml:space="preserve"> menu item under the </w:t>
      </w:r>
      <w:r w:rsidRPr="000665B0">
        <w:rPr>
          <w:b/>
        </w:rPr>
        <w:t>Geo</w:t>
      </w:r>
      <w:r w:rsidRPr="000665B0">
        <w:t xml:space="preserve"> menu. To find the range and bearing, </w:t>
      </w:r>
      <w:r w:rsidRPr="000665B0">
        <w:lastRenderedPageBreak/>
        <w:t xml:space="preserve">select </w:t>
      </w:r>
      <w:r w:rsidRPr="000665B0">
        <w:rPr>
          <w:b/>
        </w:rPr>
        <w:t>Range and Bearing</w:t>
      </w:r>
      <w:r w:rsidRPr="000665B0">
        <w:t xml:space="preserve"> from the </w:t>
      </w:r>
      <w:r w:rsidRPr="000665B0">
        <w:rPr>
          <w:b/>
        </w:rPr>
        <w:t>Geo</w:t>
      </w:r>
      <w:r w:rsidRPr="000665B0">
        <w:t xml:space="preserve"> menu, </w:t>
      </w:r>
      <w:r w:rsidR="0037038E" w:rsidRPr="000665B0">
        <w:t>left-click</w:t>
      </w:r>
      <w:r w:rsidRPr="000665B0">
        <w:t xml:space="preserve"> and drag to the desired location/direction, the range and bearing will be displayed. See the </w:t>
      </w:r>
      <w:r w:rsidRPr="000665B0">
        <w:rPr>
          <w:b/>
        </w:rPr>
        <w:t>Help</w:t>
      </w:r>
      <w:r w:rsidR="000A77E7" w:rsidRPr="000665B0">
        <w:rPr>
          <w:b/>
        </w:rPr>
        <w:t xml:space="preserve"> </w:t>
      </w:r>
      <w:r w:rsidR="000A77E7" w:rsidRPr="000665B0">
        <w:sym w:font="Wingdings" w:char="F0E0"/>
      </w:r>
      <w:r w:rsidR="000A77E7" w:rsidRPr="000665B0">
        <w:t xml:space="preserve"> </w:t>
      </w:r>
      <w:r w:rsidR="000A77E7" w:rsidRPr="000665B0">
        <w:rPr>
          <w:b/>
        </w:rPr>
        <w:t>Geo Help</w:t>
      </w:r>
      <w:r w:rsidRPr="000665B0">
        <w:t xml:space="preserve"> for further information on the functional aspects of the Geo Display.</w:t>
      </w:r>
    </w:p>
    <w:p w14:paraId="09C0CB69" w14:textId="6A133958" w:rsidR="007F4EE2" w:rsidRPr="000665B0" w:rsidRDefault="007F4EE2">
      <w:r w:rsidRPr="000665B0">
        <w:t xml:space="preserve">The strike items displayed in the Geo display are also displayed hierarchically in a tree list view to the left of the Geo display, in the </w:t>
      </w:r>
      <w:r w:rsidRPr="000665B0">
        <w:rPr>
          <w:b/>
        </w:rPr>
        <w:t>Geo Object Manager</w:t>
      </w:r>
      <w:r w:rsidRPr="000665B0">
        <w:t xml:space="preserve"> (GOM) pane. </w:t>
      </w:r>
    </w:p>
    <w:p w14:paraId="0DF0EBCC" w14:textId="77777777" w:rsidR="00F51024" w:rsidRPr="000665B0" w:rsidRDefault="00F51024" w:rsidP="00F51024">
      <w:pPr>
        <w:tabs>
          <w:tab w:val="left" w:pos="720"/>
        </w:tabs>
      </w:pPr>
      <w:r w:rsidRPr="000665B0">
        <w:t>To enable the Geo display and GOM:</w:t>
      </w:r>
    </w:p>
    <w:p w14:paraId="78F5EF79" w14:textId="4F84FBAC" w:rsidR="00F51024" w:rsidRPr="000665B0" w:rsidRDefault="00F51024" w:rsidP="006D5A65">
      <w:pPr>
        <w:pStyle w:val="Heading1"/>
      </w:pPr>
      <w:r w:rsidRPr="000665B0">
        <w:t xml:space="preserve">Select View </w:t>
      </w:r>
      <w:r w:rsidRPr="000665B0">
        <w:sym w:font="Wingdings" w:char="F0E0"/>
      </w:r>
      <w:r w:rsidRPr="000665B0">
        <w:t xml:space="preserve"> Geo. The GOM is enabled by default (to disable it, select Geo </w:t>
      </w:r>
      <w:r w:rsidRPr="000665B0">
        <w:sym w:font="Wingdings" w:char="F0E0"/>
      </w:r>
      <w:r w:rsidRPr="000665B0">
        <w:t xml:space="preserve"> Display Geo Object Manager).</w:t>
      </w:r>
      <w:r w:rsidR="00BC0AB5" w:rsidRPr="000665B0">
        <w:t xml:space="preserve"> Examples of a land attack</w:t>
      </w:r>
      <w:r w:rsidR="002C22FA">
        <w:t>, including a ground launched land attack,</w:t>
      </w:r>
      <w:r w:rsidR="00BC0AB5" w:rsidRPr="000665B0">
        <w:t xml:space="preserve"> and a maritime strike are shown below.</w:t>
      </w:r>
      <w:r w:rsidR="002C22FA">
        <w:t xml:space="preserve"> GL FRUs (trigraph B01 and B02) are denoted by a front view truck icon. The ground launch point used to plan the GL Required mission is denoted by the letter G to denote ground, and with subscript LP to denote launch point.</w:t>
      </w:r>
    </w:p>
    <w:p w14:paraId="28B353C9" w14:textId="725146F6" w:rsidR="00F51024" w:rsidRDefault="005C14C4" w:rsidP="000A607E">
      <w:pPr>
        <w:spacing w:after="240"/>
        <w:jc w:val="center"/>
      </w:pPr>
      <w:r w:rsidRPr="000665B0">
        <w:rPr>
          <w:noProof/>
        </w:rPr>
        <w:drawing>
          <wp:inline distT="0" distB="0" distL="0" distR="0" wp14:anchorId="1CB2FFAE" wp14:editId="1A3365EA">
            <wp:extent cx="3981450" cy="1990725"/>
            <wp:effectExtent l="0" t="0" r="0" b="0"/>
            <wp:docPr id="1971" name="Picture 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983312" cy="1991656"/>
                    </a:xfrm>
                    <a:prstGeom prst="rect">
                      <a:avLst/>
                    </a:prstGeom>
                  </pic:spPr>
                </pic:pic>
              </a:graphicData>
            </a:graphic>
          </wp:inline>
        </w:drawing>
      </w:r>
    </w:p>
    <w:p w14:paraId="331C51B7" w14:textId="7ADC66BB" w:rsidR="002C22FA" w:rsidRPr="000665B0" w:rsidRDefault="00F669DD" w:rsidP="000A607E">
      <w:pPr>
        <w:spacing w:after="240"/>
        <w:jc w:val="center"/>
      </w:pPr>
      <w:r>
        <w:rPr>
          <w:noProof/>
        </w:rPr>
        <w:drawing>
          <wp:inline distT="0" distB="0" distL="0" distR="0" wp14:anchorId="745E1D80" wp14:editId="2D79F305">
            <wp:extent cx="4000500" cy="2672334"/>
            <wp:effectExtent l="0" t="0" r="0" b="0"/>
            <wp:docPr id="2168" name="Picture 216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 name="Picture 2168" descr="Graphical user interface&#10;&#10;Description automatically generated with medium confidence"/>
                    <pic:cNvPicPr/>
                  </pic:nvPicPr>
                  <pic:blipFill>
                    <a:blip cstate="screen">
                      <a:extLst>
                        <a:ext uri="{28A0092B-C50C-407E-A947-70E740481C1C}">
                          <a14:useLocalDpi xmlns:a14="http://schemas.microsoft.com/office/drawing/2010/main"/>
                        </a:ext>
                      </a:extLst>
                    </a:blip>
                    <a:stretch>
                      <a:fillRect/>
                    </a:stretch>
                  </pic:blipFill>
                  <pic:spPr>
                    <a:xfrm>
                      <a:off x="0" y="0"/>
                      <a:ext cx="4006207" cy="2676146"/>
                    </a:xfrm>
                    <a:prstGeom prst="rect">
                      <a:avLst/>
                    </a:prstGeom>
                  </pic:spPr>
                </pic:pic>
              </a:graphicData>
            </a:graphic>
          </wp:inline>
        </w:drawing>
      </w:r>
    </w:p>
    <w:p w14:paraId="66073A0E" w14:textId="3E4B1BDA" w:rsidR="005C14C4" w:rsidRPr="000665B0" w:rsidRDefault="005C14C4" w:rsidP="000A607E">
      <w:pPr>
        <w:spacing w:after="240"/>
        <w:jc w:val="center"/>
      </w:pPr>
      <w:r w:rsidRPr="000665B0">
        <w:rPr>
          <w:noProof/>
        </w:rPr>
        <w:lastRenderedPageBreak/>
        <w:drawing>
          <wp:inline distT="0" distB="0" distL="0" distR="0" wp14:anchorId="62786232" wp14:editId="430CF756">
            <wp:extent cx="4058367" cy="3019425"/>
            <wp:effectExtent l="0" t="0" r="0" b="0"/>
            <wp:docPr id="1961" name="Picture 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067392" cy="3026140"/>
                    </a:xfrm>
                    <a:prstGeom prst="rect">
                      <a:avLst/>
                    </a:prstGeom>
                    <a:noFill/>
                    <a:ln>
                      <a:noFill/>
                    </a:ln>
                  </pic:spPr>
                </pic:pic>
              </a:graphicData>
            </a:graphic>
          </wp:inline>
        </w:drawing>
      </w:r>
    </w:p>
    <w:p w14:paraId="00E41AD9" w14:textId="7B7EFD47" w:rsidR="00FA64AB" w:rsidRPr="000665B0" w:rsidRDefault="00F51024" w:rsidP="006D5A65">
      <w:pPr>
        <w:pStyle w:val="Heading1"/>
      </w:pPr>
      <w:r w:rsidRPr="000665B0">
        <w:t xml:space="preserve">To show or remove strike items on the Geo display, select or de-select the checkbox next to the item in the tree list of the GOM. Toggling a checkbox at the node level turns on/off all sub-items under the node such that they are either all </w:t>
      </w:r>
      <w:r w:rsidR="009C2AD1" w:rsidRPr="000665B0">
        <w:t>displayed,</w:t>
      </w:r>
      <w:r w:rsidRPr="000665B0">
        <w:t xml:space="preserve"> or all removed from the Geo display. Individual sub-items (such as ACMSs or Overlays) can also be toggled on/off such that the selected items are displayed or removed from the Geo display.</w:t>
      </w:r>
    </w:p>
    <w:p w14:paraId="021F092F" w14:textId="11EF158D" w:rsidR="00FA64AB" w:rsidRPr="000665B0" w:rsidRDefault="00FA64AB" w:rsidP="006D5A65">
      <w:pPr>
        <w:pStyle w:val="Heading1"/>
      </w:pPr>
      <w:r w:rsidRPr="000665B0">
        <w:t xml:space="preserve">The missile icon color in the GOM </w:t>
      </w:r>
      <w:r w:rsidR="001A655E" w:rsidRPr="000665B0">
        <w:t xml:space="preserve">and Geo pane </w:t>
      </w:r>
      <w:r w:rsidRPr="000665B0">
        <w:t xml:space="preserve">for all missiles defaults to </w:t>
      </w:r>
      <w:r w:rsidR="001F60B3" w:rsidRPr="000665B0">
        <w:t xml:space="preserve">the color that was set in Strike </w:t>
      </w:r>
      <w:r w:rsidR="001F60B3" w:rsidRPr="000665B0">
        <w:lastRenderedPageBreak/>
        <w:t>Properties</w:t>
      </w:r>
      <w:r w:rsidRPr="000665B0">
        <w:t xml:space="preserve">. </w:t>
      </w:r>
      <w:r w:rsidR="001F60B3" w:rsidRPr="000665B0">
        <w:t>(</w:t>
      </w:r>
      <w:r w:rsidRPr="000665B0">
        <w:t xml:space="preserve">To change the default missile color to a different palette, see </w:t>
      </w:r>
      <w:hyperlink w:anchor="_Geo_Properties" w:history="1">
        <w:r w:rsidR="009326FE" w:rsidRPr="000665B0">
          <w:rPr>
            <w:rStyle w:val="Hyperlink"/>
          </w:rPr>
          <w:t xml:space="preserve">Section </w:t>
        </w:r>
        <w:r w:rsidR="004231CC">
          <w:rPr>
            <w:rStyle w:val="Hyperlink"/>
          </w:rPr>
          <w:t>5.34</w:t>
        </w:r>
        <w:r w:rsidRPr="000665B0">
          <w:rPr>
            <w:rStyle w:val="Hyperlink"/>
          </w:rPr>
          <w:t>.1.2.5</w:t>
        </w:r>
      </w:hyperlink>
      <w:r w:rsidRPr="000665B0">
        <w:t>.</w:t>
      </w:r>
      <w:r w:rsidR="001F60B3" w:rsidRPr="000665B0">
        <w:t>)</w:t>
      </w:r>
      <w:r w:rsidRPr="000665B0">
        <w:t xml:space="preserve"> </w:t>
      </w:r>
    </w:p>
    <w:p w14:paraId="6687D9FD" w14:textId="6A205D7D" w:rsidR="00FA64AB" w:rsidRPr="000665B0" w:rsidRDefault="00DC078C" w:rsidP="00A22A6A">
      <w:pPr>
        <w:spacing w:before="120"/>
        <w:jc w:val="center"/>
      </w:pPr>
      <w:r w:rsidRPr="000665B0">
        <w:rPr>
          <w:noProof/>
        </w:rPr>
        <w:drawing>
          <wp:inline distT="0" distB="0" distL="0" distR="0" wp14:anchorId="1C4F3F94" wp14:editId="1478F3A9">
            <wp:extent cx="4572000" cy="3200400"/>
            <wp:effectExtent l="0" t="0" r="0" b="0"/>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3200400"/>
                    </a:xfrm>
                    <a:prstGeom prst="rect">
                      <a:avLst/>
                    </a:prstGeom>
                  </pic:spPr>
                </pic:pic>
              </a:graphicData>
            </a:graphic>
          </wp:inline>
        </w:drawing>
      </w:r>
    </w:p>
    <w:p w14:paraId="76AF630B" w14:textId="3E980066" w:rsidR="00BC0AB5" w:rsidRPr="000665B0" w:rsidRDefault="00BC0AB5" w:rsidP="006D5A65">
      <w:pPr>
        <w:pStyle w:val="Heading2"/>
      </w:pPr>
      <w:r w:rsidRPr="000665B0">
        <w:t xml:space="preserve">For a </w:t>
      </w:r>
      <w:r w:rsidR="00F40B81" w:rsidRPr="000665B0">
        <w:t>maritime</w:t>
      </w:r>
      <w:r w:rsidRPr="000665B0">
        <w:t xml:space="preserve"> strike, the missile icon</w:t>
      </w:r>
      <w:r w:rsidR="00695E5A" w:rsidRPr="000665B0">
        <w:t xml:space="preserve"> on the Geo pane</w:t>
      </w:r>
      <w:r w:rsidRPr="000665B0">
        <w:t xml:space="preserve"> contains a halo background color behind the </w:t>
      </w:r>
      <w:r w:rsidR="00E616F8" w:rsidRPr="000665B0">
        <w:t xml:space="preserve">icon ( </w:t>
      </w:r>
      <w:r w:rsidR="00E616F8" w:rsidRPr="000665B0">
        <w:rPr>
          <w:noProof/>
          <w:position w:val="-6"/>
        </w:rPr>
        <w:drawing>
          <wp:inline distT="0" distB="0" distL="0" distR="0" wp14:anchorId="54A6FC91" wp14:editId="3CC7F64A">
            <wp:extent cx="208801" cy="198362"/>
            <wp:effectExtent l="0" t="0" r="127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17453" cy="206581"/>
                    </a:xfrm>
                    <a:prstGeom prst="rect">
                      <a:avLst/>
                    </a:prstGeom>
                  </pic:spPr>
                </pic:pic>
              </a:graphicData>
            </a:graphic>
          </wp:inline>
        </w:drawing>
      </w:r>
      <w:r w:rsidR="00E616F8" w:rsidRPr="000665B0">
        <w:t xml:space="preserve"> )</w:t>
      </w:r>
      <w:r w:rsidRPr="000665B0">
        <w:t xml:space="preserve">. </w:t>
      </w:r>
      <w:r w:rsidR="00462F6C" w:rsidRPr="000665B0">
        <w:t xml:space="preserve">To change the default missile halo color to a different palette, see </w:t>
      </w:r>
      <w:hyperlink w:anchor="_Configuring__Missile" w:history="1">
        <w:r w:rsidR="00462F6C" w:rsidRPr="000665B0">
          <w:rPr>
            <w:rStyle w:val="Hyperlink"/>
          </w:rPr>
          <w:t xml:space="preserve">Section </w:t>
        </w:r>
        <w:r w:rsidR="004231CC">
          <w:rPr>
            <w:rStyle w:val="Hyperlink"/>
          </w:rPr>
          <w:t>5.26</w:t>
        </w:r>
        <w:r w:rsidR="00462F6C" w:rsidRPr="000665B0">
          <w:rPr>
            <w:rStyle w:val="Hyperlink"/>
          </w:rPr>
          <w:t>.7.4</w:t>
        </w:r>
      </w:hyperlink>
      <w:r w:rsidR="00462F6C" w:rsidRPr="000665B0">
        <w:t xml:space="preserve">. </w:t>
      </w:r>
      <w:r w:rsidRPr="000665B0">
        <w:t xml:space="preserve">The </w:t>
      </w:r>
      <w:r w:rsidR="00270370" w:rsidRPr="000665B0">
        <w:t xml:space="preserve">default </w:t>
      </w:r>
      <w:r w:rsidRPr="000665B0">
        <w:t>halo color</w:t>
      </w:r>
      <w:r w:rsidR="00270370" w:rsidRPr="000665B0">
        <w:t>s</w:t>
      </w:r>
      <w:r w:rsidRPr="000665B0">
        <w:t xml:space="preserve"> indicate the </w:t>
      </w:r>
      <w:r w:rsidR="002B2C5C" w:rsidRPr="000665B0">
        <w:t>missile’s progress as follows:</w:t>
      </w:r>
    </w:p>
    <w:p w14:paraId="6624CEB1" w14:textId="5AEA88C6" w:rsidR="00E616F8" w:rsidRPr="000665B0" w:rsidRDefault="00932952" w:rsidP="006D5A65">
      <w:pPr>
        <w:pStyle w:val="Heading1"/>
        <w:rPr>
          <w:noProof/>
        </w:rPr>
      </w:pPr>
      <w:r w:rsidRPr="000665B0">
        <w:rPr>
          <w:noProof/>
          <w:position w:val="-4"/>
        </w:rPr>
        <w:lastRenderedPageBreak/>
        <w:drawing>
          <wp:inline distT="0" distB="0" distL="0" distR="0" wp14:anchorId="2E2FC07C" wp14:editId="5E404FD8">
            <wp:extent cx="128016" cy="128016"/>
            <wp:effectExtent l="0" t="0" r="5715" b="5715"/>
            <wp:docPr id="161" name="Pictur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28016" cy="128016"/>
                    </a:xfrm>
                    <a:prstGeom prst="rect">
                      <a:avLst/>
                    </a:prstGeom>
                    <a:noFill/>
                    <a:ln>
                      <a:noFill/>
                    </a:ln>
                  </pic:spPr>
                </pic:pic>
              </a:graphicData>
            </a:graphic>
          </wp:inline>
        </w:drawing>
      </w:r>
      <w:r w:rsidRPr="000665B0">
        <w:t xml:space="preserve"> (Blue) – </w:t>
      </w:r>
      <w:r w:rsidR="00E616F8" w:rsidRPr="000665B0">
        <w:t xml:space="preserve">On </w:t>
      </w:r>
      <w:r w:rsidR="00E511CA" w:rsidRPr="000665B0">
        <w:t>P</w:t>
      </w:r>
      <w:r w:rsidR="00E616F8" w:rsidRPr="000665B0">
        <w:t xml:space="preserve">replanned </w:t>
      </w:r>
      <w:r w:rsidR="00E511CA" w:rsidRPr="000665B0">
        <w:t>R</w:t>
      </w:r>
      <w:r w:rsidR="00E616F8" w:rsidRPr="000665B0">
        <w:t>oute (</w:t>
      </w:r>
      <w:r w:rsidR="00E511CA" w:rsidRPr="000665B0">
        <w:t>P</w:t>
      </w:r>
      <w:r w:rsidR="00E616F8" w:rsidRPr="000665B0">
        <w:t>rior to or at GHP)</w:t>
      </w:r>
      <w:r w:rsidRPr="000665B0">
        <w:t>.</w:t>
      </w:r>
    </w:p>
    <w:p w14:paraId="03F70431" w14:textId="4C4E9490" w:rsidR="00BD1F2A" w:rsidRPr="000665B0" w:rsidRDefault="00BF7BB3" w:rsidP="006D5A65">
      <w:pPr>
        <w:pStyle w:val="Heading1"/>
        <w:rPr>
          <w:noProof/>
        </w:rPr>
      </w:pPr>
      <w:r w:rsidRPr="000665B0">
        <w:rPr>
          <w:noProof/>
          <w:position w:val="-4"/>
        </w:rPr>
        <w:drawing>
          <wp:inline distT="0" distB="0" distL="0" distR="0" wp14:anchorId="08CB5681" wp14:editId="6443FEF0">
            <wp:extent cx="128016" cy="128016"/>
            <wp:effectExtent l="0" t="0" r="5715" b="5715"/>
            <wp:docPr id="176" name="Pictur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28016" cy="128016"/>
                    </a:xfrm>
                    <a:prstGeom prst="rect">
                      <a:avLst/>
                    </a:prstGeom>
                    <a:noFill/>
                    <a:ln>
                      <a:noFill/>
                    </a:ln>
                  </pic:spPr>
                </pic:pic>
              </a:graphicData>
            </a:graphic>
          </wp:inline>
        </w:drawing>
      </w:r>
      <w:r w:rsidRPr="000665B0">
        <w:t xml:space="preserve"> (Red) – </w:t>
      </w:r>
      <w:r w:rsidR="00E511CA" w:rsidRPr="000665B0">
        <w:t>Target Miss</w:t>
      </w:r>
      <w:r w:rsidRPr="000665B0">
        <w:t>.</w:t>
      </w:r>
    </w:p>
    <w:p w14:paraId="3A48DD59" w14:textId="2F6E1168" w:rsidR="00BD1F2A" w:rsidRPr="000665B0" w:rsidRDefault="001C3013" w:rsidP="006D5A65">
      <w:pPr>
        <w:pStyle w:val="Heading1"/>
        <w:rPr>
          <w:noProof/>
        </w:rPr>
      </w:pPr>
      <w:r w:rsidRPr="000665B0">
        <w:rPr>
          <w:noProof/>
          <w:position w:val="-4"/>
        </w:rPr>
        <w:drawing>
          <wp:inline distT="0" distB="0" distL="0" distR="0" wp14:anchorId="06E24476" wp14:editId="1F98257D">
            <wp:extent cx="128016" cy="128016"/>
            <wp:effectExtent l="0" t="0" r="5715" b="5715"/>
            <wp:docPr id="178" name="Pictur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referRelativeResize="0">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28016" cy="128016"/>
                    </a:xfrm>
                    <a:prstGeom prst="rect">
                      <a:avLst/>
                    </a:prstGeom>
                    <a:noFill/>
                    <a:ln>
                      <a:noFill/>
                    </a:ln>
                  </pic:spPr>
                </pic:pic>
              </a:graphicData>
            </a:graphic>
          </wp:inline>
        </w:drawing>
      </w:r>
      <w:r w:rsidRPr="000665B0">
        <w:t xml:space="preserve"> </w:t>
      </w:r>
      <w:r w:rsidR="00BD1F2A" w:rsidRPr="000665B0">
        <w:t xml:space="preserve">(Orange Red) – </w:t>
      </w:r>
      <w:r w:rsidR="00E511CA" w:rsidRPr="000665B0">
        <w:t>On Aimpoint Update (Divert)</w:t>
      </w:r>
      <w:r w:rsidR="00BD1F2A" w:rsidRPr="000665B0">
        <w:t>.</w:t>
      </w:r>
    </w:p>
    <w:p w14:paraId="10516FE5" w14:textId="1682A5B9" w:rsidR="00BD1F2A" w:rsidRPr="000665B0" w:rsidRDefault="001C3013" w:rsidP="006D5A65">
      <w:pPr>
        <w:pStyle w:val="Heading1"/>
        <w:rPr>
          <w:noProof/>
        </w:rPr>
      </w:pPr>
      <w:r w:rsidRPr="000665B0">
        <w:rPr>
          <w:noProof/>
          <w:position w:val="-4"/>
        </w:rPr>
        <w:drawing>
          <wp:inline distT="0" distB="0" distL="0" distR="0" wp14:anchorId="601DB41C" wp14:editId="2AE30042">
            <wp:extent cx="128016" cy="128016"/>
            <wp:effectExtent l="0" t="0" r="5715" b="5715"/>
            <wp:docPr id="179" name="Pictur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28016" cy="128016"/>
                    </a:xfrm>
                    <a:prstGeom prst="rect">
                      <a:avLst/>
                    </a:prstGeom>
                    <a:noFill/>
                    <a:ln>
                      <a:noFill/>
                    </a:ln>
                  </pic:spPr>
                </pic:pic>
              </a:graphicData>
            </a:graphic>
          </wp:inline>
        </w:drawing>
      </w:r>
      <w:r w:rsidR="00BD1F2A" w:rsidRPr="000665B0">
        <w:t xml:space="preserve"> (Red) – </w:t>
      </w:r>
      <w:r w:rsidR="00E511CA" w:rsidRPr="000665B0">
        <w:t>Abort</w:t>
      </w:r>
      <w:r w:rsidR="002B2C5C" w:rsidRPr="000665B0">
        <w:t>.</w:t>
      </w:r>
    </w:p>
    <w:p w14:paraId="5EB8D571" w14:textId="20EE388E" w:rsidR="00BD1F2A" w:rsidRPr="000665B0" w:rsidRDefault="001C3013" w:rsidP="006D5A65">
      <w:pPr>
        <w:pStyle w:val="Heading1"/>
        <w:rPr>
          <w:noProof/>
        </w:rPr>
      </w:pPr>
      <w:r w:rsidRPr="000665B0">
        <w:rPr>
          <w:noProof/>
          <w:position w:val="-4"/>
        </w:rPr>
        <w:drawing>
          <wp:inline distT="0" distB="0" distL="0" distR="0" wp14:anchorId="015DCBE3" wp14:editId="618DA144">
            <wp:extent cx="128016" cy="128016"/>
            <wp:effectExtent l="0" t="0" r="5715" b="5715"/>
            <wp:docPr id="182" name="Pictur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28016" cy="128016"/>
                    </a:xfrm>
                    <a:prstGeom prst="rect">
                      <a:avLst/>
                    </a:prstGeom>
                    <a:noFill/>
                    <a:ln>
                      <a:noFill/>
                    </a:ln>
                  </pic:spPr>
                </pic:pic>
              </a:graphicData>
            </a:graphic>
          </wp:inline>
        </w:drawing>
      </w:r>
      <w:r w:rsidR="00BD1F2A" w:rsidRPr="000665B0">
        <w:t xml:space="preserve"> (Green) – </w:t>
      </w:r>
      <w:r w:rsidR="00E511CA" w:rsidRPr="000665B0">
        <w:t>Departed Preplanned Route (Past GHP)</w:t>
      </w:r>
      <w:r w:rsidR="00BD1F2A" w:rsidRPr="000665B0">
        <w:t>.</w:t>
      </w:r>
    </w:p>
    <w:p w14:paraId="098E1D7B" w14:textId="5D3AFFBA" w:rsidR="00BD1F2A" w:rsidRPr="000665B0" w:rsidRDefault="001C3013" w:rsidP="006D5A65">
      <w:pPr>
        <w:pStyle w:val="Heading1"/>
        <w:rPr>
          <w:noProof/>
        </w:rPr>
      </w:pPr>
      <w:r w:rsidRPr="000665B0">
        <w:rPr>
          <w:noProof/>
          <w:position w:val="-4"/>
        </w:rPr>
        <w:drawing>
          <wp:inline distT="0" distB="0" distL="0" distR="0" wp14:anchorId="251E4089" wp14:editId="11709DE0">
            <wp:extent cx="128016" cy="128016"/>
            <wp:effectExtent l="0" t="0" r="5715" b="571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28016" cy="128016"/>
                    </a:xfrm>
                    <a:prstGeom prst="rect">
                      <a:avLst/>
                    </a:prstGeom>
                    <a:noFill/>
                    <a:ln>
                      <a:noFill/>
                    </a:ln>
                  </pic:spPr>
                </pic:pic>
              </a:graphicData>
            </a:graphic>
          </wp:inline>
        </w:drawing>
      </w:r>
      <w:r w:rsidR="00BD1F2A" w:rsidRPr="000665B0">
        <w:t xml:space="preserve"> (Cyan) – </w:t>
      </w:r>
      <w:r w:rsidR="00E511CA" w:rsidRPr="000665B0">
        <w:t>Engaging Primary Target Class</w:t>
      </w:r>
      <w:r w:rsidR="00BD1F2A" w:rsidRPr="000665B0">
        <w:t>.</w:t>
      </w:r>
    </w:p>
    <w:p w14:paraId="418AC1DD" w14:textId="35BD6A1A" w:rsidR="00BD1F2A" w:rsidRPr="000665B0" w:rsidRDefault="001C3013" w:rsidP="006D5A65">
      <w:pPr>
        <w:pStyle w:val="Heading1"/>
        <w:rPr>
          <w:noProof/>
        </w:rPr>
      </w:pPr>
      <w:r w:rsidRPr="000665B0">
        <w:rPr>
          <w:noProof/>
          <w:position w:val="-4"/>
        </w:rPr>
        <w:drawing>
          <wp:inline distT="0" distB="0" distL="0" distR="0" wp14:anchorId="75F0DEBF" wp14:editId="28654AA1">
            <wp:extent cx="128016" cy="128016"/>
            <wp:effectExtent l="0" t="0" r="5715" b="571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28016" cy="128016"/>
                    </a:xfrm>
                    <a:prstGeom prst="rect">
                      <a:avLst/>
                    </a:prstGeom>
                    <a:noFill/>
                    <a:ln>
                      <a:noFill/>
                    </a:ln>
                  </pic:spPr>
                </pic:pic>
              </a:graphicData>
            </a:graphic>
          </wp:inline>
        </w:drawing>
      </w:r>
      <w:r w:rsidRPr="000665B0">
        <w:t xml:space="preserve"> </w:t>
      </w:r>
      <w:r w:rsidR="00BD1F2A" w:rsidRPr="000665B0">
        <w:t xml:space="preserve">(Dark Cyan) – </w:t>
      </w:r>
      <w:r w:rsidR="00E511CA" w:rsidRPr="000665B0">
        <w:t>Engaging Secondary Target Class</w:t>
      </w:r>
      <w:r w:rsidR="00BD1F2A" w:rsidRPr="000665B0">
        <w:t>.</w:t>
      </w:r>
    </w:p>
    <w:p w14:paraId="0AF865F0" w14:textId="17CE8A5E" w:rsidR="00BD1F2A" w:rsidRPr="000665B0" w:rsidRDefault="001C3013" w:rsidP="006D5A65">
      <w:pPr>
        <w:pStyle w:val="Heading1"/>
        <w:rPr>
          <w:noProof/>
        </w:rPr>
      </w:pPr>
      <w:r w:rsidRPr="000665B0">
        <w:rPr>
          <w:noProof/>
          <w:position w:val="-4"/>
        </w:rPr>
        <w:drawing>
          <wp:inline distT="0" distB="0" distL="0" distR="0" wp14:anchorId="67BA9606" wp14:editId="50ECDB6D">
            <wp:extent cx="128016" cy="128016"/>
            <wp:effectExtent l="0" t="0" r="5715" b="5715"/>
            <wp:docPr id="186" name="Pictur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referRelativeResize="0">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28016" cy="128016"/>
                    </a:xfrm>
                    <a:prstGeom prst="rect">
                      <a:avLst/>
                    </a:prstGeom>
                    <a:noFill/>
                    <a:ln>
                      <a:noFill/>
                    </a:ln>
                  </pic:spPr>
                </pic:pic>
              </a:graphicData>
            </a:graphic>
          </wp:inline>
        </w:drawing>
      </w:r>
      <w:r w:rsidR="00BD1F2A" w:rsidRPr="000665B0">
        <w:t xml:space="preserve"> (Green Yellow) –</w:t>
      </w:r>
      <w:r w:rsidR="00E511CA" w:rsidRPr="000665B0">
        <w:t xml:space="preserve"> Engaging Tertiary Target Class</w:t>
      </w:r>
      <w:r w:rsidR="00BD1F2A" w:rsidRPr="000665B0">
        <w:t>.</w:t>
      </w:r>
    </w:p>
    <w:p w14:paraId="35BDE631" w14:textId="586F37EC" w:rsidR="00BD1F2A" w:rsidRPr="000665B0" w:rsidRDefault="001C3013" w:rsidP="006D5A65">
      <w:pPr>
        <w:pStyle w:val="Heading1"/>
        <w:rPr>
          <w:noProof/>
        </w:rPr>
      </w:pPr>
      <w:r w:rsidRPr="000665B0">
        <w:rPr>
          <w:noProof/>
          <w:position w:val="-4"/>
        </w:rPr>
        <w:drawing>
          <wp:inline distT="0" distB="0" distL="0" distR="0" wp14:anchorId="2BBEBE85" wp14:editId="19D69824">
            <wp:extent cx="128016" cy="128016"/>
            <wp:effectExtent l="0" t="0" r="5715" b="5715"/>
            <wp:docPr id="190" name="Pictur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referRelativeResize="0">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28016" cy="128016"/>
                    </a:xfrm>
                    <a:prstGeom prst="rect">
                      <a:avLst/>
                    </a:prstGeom>
                    <a:noFill/>
                    <a:ln>
                      <a:noFill/>
                    </a:ln>
                  </pic:spPr>
                </pic:pic>
              </a:graphicData>
            </a:graphic>
          </wp:inline>
        </w:drawing>
      </w:r>
      <w:r w:rsidR="00BD1F2A" w:rsidRPr="000665B0">
        <w:t xml:space="preserve"> (Dark Violet) – </w:t>
      </w:r>
      <w:r w:rsidR="00E511CA" w:rsidRPr="000665B0">
        <w:t>On Preplanned Route (Past GHP)</w:t>
      </w:r>
      <w:r w:rsidR="00BD1F2A" w:rsidRPr="000665B0">
        <w:t>.</w:t>
      </w:r>
    </w:p>
    <w:p w14:paraId="7B31A30B" w14:textId="0DD203A4" w:rsidR="00BD1F2A" w:rsidRPr="000665B0" w:rsidRDefault="001C3013" w:rsidP="006D5A65">
      <w:pPr>
        <w:pStyle w:val="Heading1"/>
        <w:rPr>
          <w:noProof/>
        </w:rPr>
      </w:pPr>
      <w:r w:rsidRPr="000665B0">
        <w:rPr>
          <w:noProof/>
          <w:position w:val="-4"/>
        </w:rPr>
        <w:drawing>
          <wp:inline distT="0" distB="0" distL="0" distR="0" wp14:anchorId="7A41D76C" wp14:editId="589766CE">
            <wp:extent cx="128016" cy="128016"/>
            <wp:effectExtent l="0" t="0" r="5715" b="5715"/>
            <wp:docPr id="1984" name="Picture 19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28016" cy="128016"/>
                    </a:xfrm>
                    <a:prstGeom prst="rect">
                      <a:avLst/>
                    </a:prstGeom>
                    <a:noFill/>
                    <a:ln>
                      <a:noFill/>
                    </a:ln>
                  </pic:spPr>
                </pic:pic>
              </a:graphicData>
            </a:graphic>
          </wp:inline>
        </w:drawing>
      </w:r>
      <w:r w:rsidR="00BD1F2A" w:rsidRPr="000665B0">
        <w:t xml:space="preserve"> (Yellow) – </w:t>
      </w:r>
      <w:r w:rsidR="00E511CA" w:rsidRPr="000665B0">
        <w:t>On Preplanned Route (In Loiter).</w:t>
      </w:r>
    </w:p>
    <w:p w14:paraId="21754647" w14:textId="69207529" w:rsidR="00BC0AB5" w:rsidRPr="000665B0" w:rsidRDefault="00BC0AB5" w:rsidP="00CB3E29">
      <w:pPr>
        <w:spacing w:after="240"/>
        <w:jc w:val="center"/>
      </w:pPr>
      <w:r w:rsidRPr="000665B0">
        <w:rPr>
          <w:noProof/>
        </w:rPr>
        <w:drawing>
          <wp:inline distT="0" distB="0" distL="0" distR="0" wp14:anchorId="1D3B8A00" wp14:editId="68FCC0C9">
            <wp:extent cx="4572000" cy="3419856"/>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572000" cy="3419856"/>
                    </a:xfrm>
                    <a:prstGeom prst="rect">
                      <a:avLst/>
                    </a:prstGeom>
                    <a:noFill/>
                    <a:ln>
                      <a:noFill/>
                    </a:ln>
                  </pic:spPr>
                </pic:pic>
              </a:graphicData>
            </a:graphic>
          </wp:inline>
        </w:drawing>
      </w:r>
    </w:p>
    <w:p w14:paraId="1D6132FB" w14:textId="4800D1D8" w:rsidR="00FA64AB" w:rsidRPr="000665B0" w:rsidRDefault="00FA64AB" w:rsidP="006D5A65">
      <w:pPr>
        <w:pStyle w:val="Heading1"/>
      </w:pPr>
      <w:r w:rsidRPr="000665B0">
        <w:t>Within the GOM</w:t>
      </w:r>
      <w:r w:rsidR="001A655E" w:rsidRPr="000665B0">
        <w:t xml:space="preserve"> and Geo pane</w:t>
      </w:r>
      <w:r w:rsidRPr="000665B0">
        <w:t>, the color of any miss</w:t>
      </w:r>
      <w:r w:rsidR="007F4EE2" w:rsidRPr="000665B0">
        <w:t>i</w:t>
      </w:r>
      <w:r w:rsidRPr="000665B0">
        <w:t xml:space="preserve">le/mission, or all </w:t>
      </w:r>
      <w:r w:rsidR="00E72C35" w:rsidRPr="000665B0">
        <w:t>missiles</w:t>
      </w:r>
      <w:r w:rsidRPr="000665B0">
        <w:t xml:space="preserve"> assigned to a FRU can </w:t>
      </w:r>
      <w:r w:rsidR="001F60B3" w:rsidRPr="000665B0">
        <w:t>quickly</w:t>
      </w:r>
      <w:r w:rsidR="0037483F" w:rsidRPr="000665B0">
        <w:t xml:space="preserve"> </w:t>
      </w:r>
      <w:r w:rsidRPr="000665B0">
        <w:t xml:space="preserve">be changed. </w:t>
      </w:r>
      <w:r w:rsidR="00F40B81" w:rsidRPr="000665B0">
        <w:t xml:space="preserve">However, the halo background color behind the </w:t>
      </w:r>
      <w:r w:rsidR="00AC1F1A" w:rsidRPr="000665B0">
        <w:lastRenderedPageBreak/>
        <w:t xml:space="preserve">missile </w:t>
      </w:r>
      <w:r w:rsidR="00F40B81" w:rsidRPr="000665B0">
        <w:t>icon on the Geo pane of a maritime strike cannot be changed in this manner.</w:t>
      </w:r>
    </w:p>
    <w:p w14:paraId="7BB01169" w14:textId="75689CB5" w:rsidR="00FA64AB" w:rsidRPr="000665B0" w:rsidRDefault="001A655E" w:rsidP="006D5A65">
      <w:pPr>
        <w:pStyle w:val="Heading1"/>
      </w:pPr>
      <w:r w:rsidRPr="000665B0">
        <w:t>Within the</w:t>
      </w:r>
      <w:r w:rsidR="00FA64AB" w:rsidRPr="000665B0">
        <w:t xml:space="preserve"> GOM, select the desired missile, </w:t>
      </w:r>
      <w:r w:rsidR="00D15A7E" w:rsidRPr="000665B0">
        <w:t>right-click</w:t>
      </w:r>
      <w:r w:rsidR="00FA64AB" w:rsidRPr="000665B0">
        <w:t>, and select Display Properties.</w:t>
      </w:r>
    </w:p>
    <w:p w14:paraId="0A31D721" w14:textId="266DB9AA" w:rsidR="00FA64AB" w:rsidRPr="000665B0" w:rsidRDefault="00BC0AB5" w:rsidP="00CB3E29">
      <w:pPr>
        <w:spacing w:after="240"/>
        <w:jc w:val="center"/>
      </w:pPr>
      <w:r w:rsidRPr="000665B0">
        <w:rPr>
          <w:noProof/>
        </w:rPr>
        <w:drawing>
          <wp:inline distT="0" distB="0" distL="0" distR="0" wp14:anchorId="4217E355" wp14:editId="09746DC9">
            <wp:extent cx="2743200" cy="2304288"/>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304288"/>
                    </a:xfrm>
                    <a:prstGeom prst="rect">
                      <a:avLst/>
                    </a:prstGeom>
                  </pic:spPr>
                </pic:pic>
              </a:graphicData>
            </a:graphic>
          </wp:inline>
        </w:drawing>
      </w:r>
    </w:p>
    <w:p w14:paraId="5BEE8EF3" w14:textId="77777777" w:rsidR="00923167" w:rsidRPr="000665B0" w:rsidRDefault="00923167" w:rsidP="00923167">
      <w:pPr>
        <w:pStyle w:val="number020500"/>
        <w:ind w:left="720" w:firstLine="0"/>
      </w:pPr>
      <w:r w:rsidRPr="000665B0">
        <w:t>or</w:t>
      </w:r>
    </w:p>
    <w:p w14:paraId="4E9F8F1D" w14:textId="385D4DD4" w:rsidR="00923167" w:rsidRPr="000665B0" w:rsidRDefault="00923167" w:rsidP="00CB3E29">
      <w:pPr>
        <w:pStyle w:val="number020500"/>
        <w:ind w:firstLine="0"/>
      </w:pPr>
      <w:r w:rsidRPr="000665B0">
        <w:t xml:space="preserve">Within the GOM, select the desired FRU, </w:t>
      </w:r>
      <w:r w:rsidR="00D15A7E" w:rsidRPr="000665B0">
        <w:t>right-click</w:t>
      </w:r>
      <w:r w:rsidRPr="000665B0">
        <w:t xml:space="preserve">, and select </w:t>
      </w:r>
      <w:r w:rsidRPr="000665B0">
        <w:rPr>
          <w:b/>
        </w:rPr>
        <w:t>Missile Display Properties</w:t>
      </w:r>
      <w:r w:rsidRPr="000665B0">
        <w:t>.</w:t>
      </w:r>
    </w:p>
    <w:p w14:paraId="1B5DA2E2" w14:textId="12261842" w:rsidR="00923167" w:rsidRPr="000665B0" w:rsidRDefault="00337686" w:rsidP="00CB3E29">
      <w:pPr>
        <w:pStyle w:val="number020500"/>
        <w:ind w:left="0" w:firstLine="0"/>
        <w:jc w:val="center"/>
      </w:pPr>
      <w:r w:rsidRPr="000665B0">
        <w:rPr>
          <w:noProof/>
        </w:rPr>
        <w:drawing>
          <wp:inline distT="0" distB="0" distL="0" distR="0" wp14:anchorId="64D9BD4D" wp14:editId="75C1667F">
            <wp:extent cx="2743200" cy="1472184"/>
            <wp:effectExtent l="0" t="0" r="0" b="0"/>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472184"/>
                    </a:xfrm>
                    <a:prstGeom prst="rect">
                      <a:avLst/>
                    </a:prstGeom>
                  </pic:spPr>
                </pic:pic>
              </a:graphicData>
            </a:graphic>
          </wp:inline>
        </w:drawing>
      </w:r>
    </w:p>
    <w:p w14:paraId="2A1F03B0" w14:textId="641C9D7E" w:rsidR="001A655E" w:rsidRPr="000665B0" w:rsidRDefault="001A655E" w:rsidP="006D5A65">
      <w:pPr>
        <w:pStyle w:val="Heading1"/>
      </w:pPr>
      <w:r w:rsidRPr="000665B0">
        <w:t xml:space="preserve">The </w:t>
      </w:r>
      <w:r w:rsidR="00134479" w:rsidRPr="000665B0">
        <w:rPr>
          <w:i/>
        </w:rPr>
        <w:t xml:space="preserve">Missile Geographic </w:t>
      </w:r>
      <w:r w:rsidRPr="000665B0">
        <w:rPr>
          <w:i/>
        </w:rPr>
        <w:t xml:space="preserve">Display </w:t>
      </w:r>
      <w:r w:rsidR="00134479" w:rsidRPr="000665B0">
        <w:rPr>
          <w:i/>
        </w:rPr>
        <w:t>Properties</w:t>
      </w:r>
      <w:r w:rsidR="00134479" w:rsidRPr="000665B0">
        <w:t xml:space="preserve"> </w:t>
      </w:r>
      <w:r w:rsidRPr="000665B0">
        <w:t xml:space="preserve">window is displayed. Select a color from the Color pull down menu and </w:t>
      </w:r>
      <w:r w:rsidRPr="000665B0">
        <w:lastRenderedPageBreak/>
        <w:t>cl</w:t>
      </w:r>
      <w:r w:rsidR="00923167" w:rsidRPr="000665B0">
        <w:t>i</w:t>
      </w:r>
      <w:r w:rsidRPr="000665B0">
        <w:t>ck OK.</w:t>
      </w:r>
      <w:r w:rsidR="001F60B3" w:rsidRPr="000665B0">
        <w:t xml:space="preserve"> The color in the GOM and the Geo display are immediately changed to the new color.</w:t>
      </w:r>
    </w:p>
    <w:p w14:paraId="2F3D2950" w14:textId="589654A4" w:rsidR="001A655E" w:rsidRPr="000665B0" w:rsidRDefault="00686A9B" w:rsidP="00A22A6A">
      <w:pPr>
        <w:pStyle w:val="number020500"/>
        <w:spacing w:before="120"/>
        <w:ind w:left="0" w:firstLine="0"/>
        <w:jc w:val="center"/>
      </w:pPr>
      <w:r w:rsidRPr="000665B0">
        <w:rPr>
          <w:noProof/>
        </w:rPr>
        <w:drawing>
          <wp:inline distT="0" distB="0" distL="0" distR="0" wp14:anchorId="1A39FF82" wp14:editId="3E0BCF3B">
            <wp:extent cx="3200400" cy="3429000"/>
            <wp:effectExtent l="0" t="0" r="0" b="0"/>
            <wp:docPr id="2055" name="Picture 2055" descr="cid:image005.png@01D3517B.4ADF4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5.png@01D3517B.4ADF45D0"/>
                    <pic:cNvPicPr>
                      <a:picLocks noChangeAspect="1" noChangeArrowheads="1"/>
                    </pic:cNvPicPr>
                  </pic:nvPicPr>
                  <pic:blipFill>
                    <a:blip r:link="rId27" cstate="screen">
                      <a:extLst>
                        <a:ext uri="{28A0092B-C50C-407E-A947-70E740481C1C}">
                          <a14:useLocalDpi xmlns:a14="http://schemas.microsoft.com/office/drawing/2010/main"/>
                        </a:ext>
                      </a:extLst>
                    </a:blip>
                    <a:srcRect/>
                    <a:stretch>
                      <a:fillRect/>
                    </a:stretch>
                  </pic:blipFill>
                  <pic:spPr bwMode="auto">
                    <a:xfrm>
                      <a:off x="0" y="0"/>
                      <a:ext cx="3200400" cy="3429000"/>
                    </a:xfrm>
                    <a:prstGeom prst="rect">
                      <a:avLst/>
                    </a:prstGeom>
                    <a:noFill/>
                    <a:ln>
                      <a:noFill/>
                    </a:ln>
                  </pic:spPr>
                </pic:pic>
              </a:graphicData>
            </a:graphic>
          </wp:inline>
        </w:drawing>
      </w:r>
    </w:p>
    <w:p w14:paraId="1DE9EC69" w14:textId="5CF1664E" w:rsidR="00F51024" w:rsidRPr="000665B0" w:rsidRDefault="00923167" w:rsidP="006D5A65">
      <w:pPr>
        <w:pStyle w:val="Heading1"/>
      </w:pPr>
      <w:r w:rsidRPr="000665B0">
        <w:t>To</w:t>
      </w:r>
      <w:r w:rsidR="00FA64AB" w:rsidRPr="000665B0">
        <w:t xml:space="preserve"> revert </w:t>
      </w:r>
      <w:r w:rsidRPr="000665B0">
        <w:t xml:space="preserve">to the previous </w:t>
      </w:r>
      <w:r w:rsidR="00FA64AB" w:rsidRPr="000665B0">
        <w:t>color of a missile</w:t>
      </w:r>
      <w:r w:rsidR="006A6A44" w:rsidRPr="000665B0">
        <w:t xml:space="preserve"> </w:t>
      </w:r>
      <w:r w:rsidR="00FA64AB" w:rsidRPr="000665B0">
        <w:t>or al</w:t>
      </w:r>
      <w:r w:rsidRPr="000665B0">
        <w:t>l missiles assigned to a FRU: Within the GOM, select the missile or FRU in the GOM, invoke the context menu, and select Revert to Previous Color (missile) or Revert to Previous Missile Color (FRU)</w:t>
      </w:r>
      <w:r w:rsidR="00FA64AB" w:rsidRPr="000665B0">
        <w:t>. Revert only revert</w:t>
      </w:r>
      <w:r w:rsidRPr="000665B0">
        <w:t>s</w:t>
      </w:r>
      <w:r w:rsidR="00FA64AB" w:rsidRPr="000665B0">
        <w:t xml:space="preserve"> to the immediate previous color. </w:t>
      </w:r>
      <w:r w:rsidR="00FA64AB" w:rsidRPr="000665B0">
        <w:lastRenderedPageBreak/>
        <w:t xml:space="preserve">Continuous reverting will alternate the color between </w:t>
      </w:r>
      <w:r w:rsidRPr="000665B0">
        <w:t>two colors: the previous color and the currently selected color</w:t>
      </w:r>
      <w:r w:rsidR="00FA64AB" w:rsidRPr="000665B0">
        <w:t>.</w:t>
      </w:r>
      <w:r w:rsidR="00F51024" w:rsidRPr="000665B0">
        <w:t xml:space="preserve"> </w:t>
      </w:r>
    </w:p>
    <w:p w14:paraId="321F3B82" w14:textId="77777777" w:rsidR="00F51024" w:rsidRPr="000665B0" w:rsidRDefault="00F51024" w:rsidP="006D5A65">
      <w:pPr>
        <w:pStyle w:val="Heading1"/>
      </w:pPr>
      <w:r w:rsidRPr="000665B0">
        <w:t>Within the Geo pane, select an item and invoke the context menu to bring up the following functions:</w:t>
      </w:r>
    </w:p>
    <w:p w14:paraId="733AC004" w14:textId="77777777" w:rsidR="00F51024" w:rsidRPr="000665B0" w:rsidRDefault="00F51024" w:rsidP="006D5A65">
      <w:pPr>
        <w:pStyle w:val="Heading1"/>
      </w:pPr>
      <w:r w:rsidRPr="000665B0">
        <w:t>Strike Option xxxxx-xxxxx-xxxxx</w:t>
      </w:r>
    </w:p>
    <w:p w14:paraId="2FE558D5" w14:textId="5BCFB641" w:rsidR="00F51024" w:rsidRPr="000665B0" w:rsidRDefault="00F51024" w:rsidP="006D5A65">
      <w:pPr>
        <w:pStyle w:val="Heading1"/>
      </w:pPr>
      <w:r w:rsidRPr="000665B0">
        <w:t xml:space="preserve">Show Note – </w:t>
      </w:r>
      <w:r w:rsidR="008A2DDD" w:rsidRPr="000665B0">
        <w:t>Invokes a sub-menu to d</w:t>
      </w:r>
      <w:r w:rsidRPr="000665B0">
        <w:t>isplay Geo Object information in a bubble box on the Geo Display.</w:t>
      </w:r>
    </w:p>
    <w:p w14:paraId="0C8DB521" w14:textId="77777777" w:rsidR="00F51024" w:rsidRPr="000665B0" w:rsidRDefault="00F51024" w:rsidP="006D5A65">
      <w:pPr>
        <w:pStyle w:val="Heading1"/>
      </w:pPr>
      <w:r w:rsidRPr="000665B0">
        <w:t>Show – Displays or hides the Geo object.</w:t>
      </w:r>
    </w:p>
    <w:p w14:paraId="336A6CFC" w14:textId="77777777" w:rsidR="00F51024" w:rsidRPr="000665B0" w:rsidRDefault="00F51024" w:rsidP="006D5A65">
      <w:pPr>
        <w:pStyle w:val="Heading1"/>
      </w:pPr>
      <w:r w:rsidRPr="000665B0">
        <w:t>Bring to Front – Draws the selected object on top of all others, when shown.</w:t>
      </w:r>
    </w:p>
    <w:p w14:paraId="14E3C9A7" w14:textId="77777777" w:rsidR="00F51024" w:rsidRPr="000665B0" w:rsidRDefault="00F51024" w:rsidP="006D5A65">
      <w:pPr>
        <w:pStyle w:val="Heading1"/>
      </w:pPr>
      <w:r w:rsidRPr="000665B0">
        <w:t>Push to Back – Draws the selected object beneath all others, when shown.</w:t>
      </w:r>
    </w:p>
    <w:p w14:paraId="01BBD7CD" w14:textId="77777777" w:rsidR="00F51024" w:rsidRPr="000665B0" w:rsidRDefault="00F51024" w:rsidP="006D5A65">
      <w:pPr>
        <w:pStyle w:val="Heading1"/>
      </w:pPr>
      <w:r w:rsidRPr="000665B0">
        <w:t>Restore Normal Precedence – Returns the selected Geo object to its usual precedence in the drawing order after a Bring to Front or a Push to Back.</w:t>
      </w:r>
    </w:p>
    <w:p w14:paraId="1E527591" w14:textId="77777777" w:rsidR="00F51024" w:rsidRPr="000665B0" w:rsidRDefault="00F51024" w:rsidP="006D5A65">
      <w:pPr>
        <w:pStyle w:val="Heading1"/>
      </w:pPr>
      <w:r w:rsidRPr="000665B0">
        <w:t>Center On Cursor – Re-centers the Geo Display on the mouse location.</w:t>
      </w:r>
    </w:p>
    <w:p w14:paraId="5C7507F4" w14:textId="77777777" w:rsidR="00F51024" w:rsidRPr="000665B0" w:rsidRDefault="00F51024" w:rsidP="006D5A65">
      <w:pPr>
        <w:pStyle w:val="Heading1"/>
      </w:pPr>
      <w:r w:rsidRPr="000665B0">
        <w:t>Remove All – Removes all objects in the Geo Object Manager.</w:t>
      </w:r>
    </w:p>
    <w:p w14:paraId="10BF090A" w14:textId="7C673868" w:rsidR="00F51024" w:rsidRPr="000665B0" w:rsidRDefault="00F51024" w:rsidP="006D5A65">
      <w:pPr>
        <w:pStyle w:val="Heading1"/>
      </w:pPr>
      <w:r w:rsidRPr="000665B0">
        <w:t xml:space="preserve">Query Geospatial Data – Obtains more information about map features. See </w:t>
      </w:r>
      <w:hyperlink w:anchor="_5.30.7__Querying_1" w:history="1">
        <w:r w:rsidRPr="000665B0">
          <w:rPr>
            <w:rStyle w:val="Hyperlink"/>
            <w:szCs w:val="24"/>
          </w:rPr>
          <w:t xml:space="preserve">Section </w:t>
        </w:r>
        <w:r w:rsidR="004231CC">
          <w:rPr>
            <w:rStyle w:val="Hyperlink"/>
            <w:szCs w:val="24"/>
          </w:rPr>
          <w:t>5.26</w:t>
        </w:r>
        <w:r w:rsidRPr="000665B0">
          <w:rPr>
            <w:rStyle w:val="Hyperlink"/>
            <w:szCs w:val="24"/>
          </w:rPr>
          <w:t>.6</w:t>
        </w:r>
      </w:hyperlink>
      <w:r w:rsidRPr="000665B0">
        <w:t>.</w:t>
      </w:r>
    </w:p>
    <w:p w14:paraId="7A33DD6F" w14:textId="7E7F2892" w:rsidR="00873975" w:rsidRPr="000665B0" w:rsidRDefault="00873975" w:rsidP="006D5A65">
      <w:pPr>
        <w:pStyle w:val="Heading1"/>
      </w:pPr>
      <w:r w:rsidRPr="000665B0">
        <w:t>Track TrackName (Tx) (maritime strike)</w:t>
      </w:r>
    </w:p>
    <w:p w14:paraId="32C2F2B9" w14:textId="2F471D87" w:rsidR="00873975" w:rsidRPr="000665B0" w:rsidRDefault="00873975" w:rsidP="006D5A65">
      <w:pPr>
        <w:pStyle w:val="Heading2"/>
        <w:rPr>
          <w:bCs/>
        </w:rPr>
      </w:pPr>
      <w:r w:rsidRPr="000665B0">
        <w:rPr>
          <w:bCs/>
        </w:rPr>
        <w:t xml:space="preserve">Show Note – </w:t>
      </w:r>
      <w:r w:rsidRPr="000665B0">
        <w:t>Invokes a sub-menu to display Geo Object information in a bubble box on the Geo Display.</w:t>
      </w:r>
    </w:p>
    <w:p w14:paraId="7BE65F5F" w14:textId="77777777" w:rsidR="00873975" w:rsidRPr="000665B0" w:rsidRDefault="00873975" w:rsidP="006D5A65">
      <w:pPr>
        <w:pStyle w:val="Heading2"/>
        <w:rPr>
          <w:bCs/>
        </w:rPr>
      </w:pPr>
      <w:r w:rsidRPr="000665B0">
        <w:rPr>
          <w:bCs/>
        </w:rPr>
        <w:t xml:space="preserve">Show AOU – </w:t>
      </w:r>
      <w:r w:rsidRPr="000665B0">
        <w:t>Displays the Area of Uncertainty on the Geo Display.</w:t>
      </w:r>
    </w:p>
    <w:p w14:paraId="4FE5BA3E" w14:textId="77777777" w:rsidR="00873975" w:rsidRPr="000665B0" w:rsidRDefault="00873975" w:rsidP="006D5A65">
      <w:pPr>
        <w:pStyle w:val="Heading2"/>
        <w:rPr>
          <w:bCs/>
        </w:rPr>
      </w:pPr>
      <w:r w:rsidRPr="000665B0">
        <w:rPr>
          <w:bCs/>
        </w:rPr>
        <w:t xml:space="preserve">Show History – </w:t>
      </w:r>
      <w:r w:rsidRPr="000665B0">
        <w:t>Displays the history on the Geo Display.</w:t>
      </w:r>
    </w:p>
    <w:p w14:paraId="3B26CABE" w14:textId="77777777" w:rsidR="00873975" w:rsidRPr="000665B0" w:rsidRDefault="00873975" w:rsidP="006D5A65">
      <w:pPr>
        <w:pStyle w:val="Heading2"/>
        <w:rPr>
          <w:bCs/>
        </w:rPr>
      </w:pPr>
      <w:r w:rsidRPr="000665B0">
        <w:rPr>
          <w:bCs/>
        </w:rPr>
        <w:t xml:space="preserve">Show Velocity Leader – </w:t>
      </w:r>
      <w:r w:rsidRPr="000665B0">
        <w:t>Displays the Velocity Leader on the Geo Display.</w:t>
      </w:r>
    </w:p>
    <w:p w14:paraId="5A3CBC47" w14:textId="456F8A6B" w:rsidR="00873975" w:rsidRPr="000665B0" w:rsidRDefault="00873975" w:rsidP="006D5A65">
      <w:pPr>
        <w:pStyle w:val="Heading2"/>
        <w:rPr>
          <w:bCs/>
        </w:rPr>
      </w:pPr>
      <w:r w:rsidRPr="000665B0">
        <w:rPr>
          <w:bCs/>
        </w:rPr>
        <w:t xml:space="preserve">Show Textually – </w:t>
      </w:r>
      <w:r w:rsidRPr="000665B0">
        <w:t xml:space="preserve">Displays the </w:t>
      </w:r>
      <w:r w:rsidR="00F51B77" w:rsidRPr="000665B0">
        <w:t>t</w:t>
      </w:r>
      <w:r w:rsidRPr="000665B0">
        <w:t>rack textually.</w:t>
      </w:r>
    </w:p>
    <w:p w14:paraId="670FE727" w14:textId="162DF465" w:rsidR="00873975" w:rsidRPr="000665B0" w:rsidRDefault="00873975" w:rsidP="006D5A65">
      <w:pPr>
        <w:pStyle w:val="Heading2"/>
        <w:rPr>
          <w:bCs/>
        </w:rPr>
      </w:pPr>
      <w:r w:rsidRPr="000665B0">
        <w:rPr>
          <w:bCs/>
        </w:rPr>
        <w:t xml:space="preserve">Set as Track of Interest – </w:t>
      </w:r>
      <w:r w:rsidR="00F51B77" w:rsidRPr="000665B0">
        <w:t xml:space="preserve">Sets the selected track as a Track of Interest. </w:t>
      </w:r>
    </w:p>
    <w:p w14:paraId="6823AA91" w14:textId="77777777" w:rsidR="00873975" w:rsidRPr="000665B0" w:rsidRDefault="00873975" w:rsidP="006D5A65">
      <w:pPr>
        <w:pStyle w:val="Heading2"/>
      </w:pPr>
      <w:r w:rsidRPr="000665B0">
        <w:t xml:space="preserve">Designate FRU </w:t>
      </w:r>
    </w:p>
    <w:p w14:paraId="3B536FFE" w14:textId="146D8BD9" w:rsidR="00873975" w:rsidRPr="000665B0" w:rsidRDefault="00873975" w:rsidP="006D5A65">
      <w:pPr>
        <w:pStyle w:val="Heading3"/>
        <w:rPr>
          <w:bCs/>
        </w:rPr>
      </w:pPr>
      <w:r w:rsidRPr="000665B0">
        <w:rPr>
          <w:bCs/>
        </w:rPr>
        <w:t xml:space="preserve">Ownship – </w:t>
      </w:r>
      <w:r w:rsidRPr="000665B0">
        <w:t xml:space="preserve">Designate </w:t>
      </w:r>
      <w:r w:rsidR="00F51B77" w:rsidRPr="000665B0">
        <w:t>t</w:t>
      </w:r>
      <w:r w:rsidRPr="000665B0">
        <w:t>rack as Ownship.</w:t>
      </w:r>
    </w:p>
    <w:p w14:paraId="0AFC2BA8" w14:textId="6EE64AE7" w:rsidR="00873975" w:rsidRPr="000665B0" w:rsidRDefault="00873975" w:rsidP="006D5A65">
      <w:pPr>
        <w:pStyle w:val="Heading3"/>
        <w:rPr>
          <w:bCs/>
        </w:rPr>
      </w:pPr>
      <w:r w:rsidRPr="000665B0">
        <w:rPr>
          <w:bCs/>
        </w:rPr>
        <w:t xml:space="preserve">FRU </w:t>
      </w:r>
      <w:r w:rsidRPr="000665B0">
        <w:t xml:space="preserve">– Designate </w:t>
      </w:r>
      <w:r w:rsidR="00F51B77" w:rsidRPr="000665B0">
        <w:t>t</w:t>
      </w:r>
      <w:r w:rsidRPr="000665B0">
        <w:t>rack as FRU listed</w:t>
      </w:r>
      <w:r w:rsidR="007639DF" w:rsidRPr="000665B0">
        <w:t xml:space="preserve"> </w:t>
      </w:r>
      <w:r w:rsidRPr="000665B0">
        <w:t>(</w:t>
      </w:r>
      <w:r w:rsidR="009C2AD1" w:rsidRPr="000665B0">
        <w:t>e.g.,</w:t>
      </w:r>
      <w:r w:rsidRPr="000665B0">
        <w:t xml:space="preserve"> MTY)</w:t>
      </w:r>
      <w:r w:rsidR="00E8770A" w:rsidRPr="000665B0">
        <w:t>.</w:t>
      </w:r>
    </w:p>
    <w:p w14:paraId="07239158" w14:textId="7928C42B" w:rsidR="00873975" w:rsidRPr="000665B0" w:rsidRDefault="00873975" w:rsidP="006D5A65">
      <w:pPr>
        <w:pStyle w:val="Heading2"/>
        <w:rPr>
          <w:bCs/>
        </w:rPr>
      </w:pPr>
      <w:r w:rsidRPr="000665B0">
        <w:rPr>
          <w:bCs/>
        </w:rPr>
        <w:t xml:space="preserve">Set Target – </w:t>
      </w:r>
      <w:r w:rsidRPr="000665B0">
        <w:t>Set</w:t>
      </w:r>
      <w:r w:rsidR="00F51B77" w:rsidRPr="000665B0">
        <w:t>s the selected t</w:t>
      </w:r>
      <w:r w:rsidRPr="000665B0">
        <w:t xml:space="preserve">rack as an existing </w:t>
      </w:r>
      <w:r w:rsidR="00F51B77" w:rsidRPr="000665B0">
        <w:t>t</w:t>
      </w:r>
      <w:r w:rsidRPr="000665B0">
        <w:t>arget.</w:t>
      </w:r>
    </w:p>
    <w:p w14:paraId="7A8B911E" w14:textId="66F79B1E" w:rsidR="00873975" w:rsidRPr="000665B0" w:rsidRDefault="00873975" w:rsidP="006D5A65">
      <w:pPr>
        <w:pStyle w:val="Heading2"/>
        <w:rPr>
          <w:bCs/>
        </w:rPr>
      </w:pPr>
      <w:r w:rsidRPr="000665B0">
        <w:rPr>
          <w:bCs/>
        </w:rPr>
        <w:lastRenderedPageBreak/>
        <w:t xml:space="preserve">Show – </w:t>
      </w:r>
      <w:r w:rsidRPr="000665B0">
        <w:t>Displays or hides the Geo object.</w:t>
      </w:r>
    </w:p>
    <w:p w14:paraId="574B15EC" w14:textId="77777777" w:rsidR="00873975" w:rsidRPr="000665B0" w:rsidRDefault="00873975" w:rsidP="006D5A65">
      <w:pPr>
        <w:pStyle w:val="Heading2"/>
        <w:rPr>
          <w:bCs/>
        </w:rPr>
      </w:pPr>
      <w:r w:rsidRPr="000665B0">
        <w:rPr>
          <w:bCs/>
        </w:rPr>
        <w:t xml:space="preserve">Bring to Front – </w:t>
      </w:r>
      <w:r w:rsidRPr="000665B0">
        <w:t>Draws the selected object on top of all others, when shown.</w:t>
      </w:r>
    </w:p>
    <w:p w14:paraId="7694D978" w14:textId="1BDD5D2E" w:rsidR="00873975" w:rsidRPr="000665B0" w:rsidRDefault="00873975" w:rsidP="006D5A65">
      <w:pPr>
        <w:pStyle w:val="Heading2"/>
        <w:rPr>
          <w:bCs/>
        </w:rPr>
      </w:pPr>
      <w:r w:rsidRPr="000665B0">
        <w:rPr>
          <w:bCs/>
        </w:rPr>
        <w:t xml:space="preserve">Push to Back – </w:t>
      </w:r>
      <w:r w:rsidRPr="000665B0">
        <w:t>Draws the selected object beneath all others, when shown.</w:t>
      </w:r>
    </w:p>
    <w:p w14:paraId="0C7851C2" w14:textId="77777777" w:rsidR="00E8770A" w:rsidRPr="000665B0" w:rsidRDefault="00E8770A" w:rsidP="006D5A65">
      <w:pPr>
        <w:pStyle w:val="Heading2"/>
        <w:rPr>
          <w:bCs/>
        </w:rPr>
      </w:pPr>
      <w:r w:rsidRPr="000665B0">
        <w:t>Restore Normal Precedence – Returns the selected Geo object to its usual precedence in the drawing order after a Bring to Front or a Push to Back.</w:t>
      </w:r>
    </w:p>
    <w:p w14:paraId="20674225" w14:textId="77777777" w:rsidR="000A607E" w:rsidRPr="000665B0" w:rsidRDefault="000A607E" w:rsidP="0035787A">
      <w:pPr>
        <w:keepNext/>
        <w:rPr>
          <w:b/>
        </w:rPr>
      </w:pPr>
      <w:r w:rsidRPr="000665B0">
        <w:rPr>
          <w:b/>
        </w:rPr>
        <w:t>Toolbar:</w:t>
      </w:r>
    </w:p>
    <w:p w14:paraId="34613F5D" w14:textId="34CCE307" w:rsidR="00C75A69" w:rsidRPr="00A92F65" w:rsidRDefault="00B54B8C" w:rsidP="006D5A65">
      <w:pPr>
        <w:pStyle w:val="Heading1"/>
      </w:pPr>
      <w:r w:rsidRPr="00A92F65">
        <w:t>–</w:t>
      </w:r>
      <w:r w:rsidR="00C75A69" w:rsidRPr="00A92F65">
        <w:t xml:space="preserve"> Zoom in</w:t>
      </w:r>
    </w:p>
    <w:p w14:paraId="11C895ED" w14:textId="77777777" w:rsidR="00C75A69" w:rsidRPr="00A92F65" w:rsidRDefault="009A1FDF" w:rsidP="006D5A65">
      <w:pPr>
        <w:pStyle w:val="Heading1"/>
      </w:pPr>
      <w:r w:rsidRPr="00A92F65">
        <w:rPr>
          <w:noProof/>
        </w:rPr>
        <w:drawing>
          <wp:inline distT="0" distB="0" distL="0" distR="0" wp14:anchorId="20224883" wp14:editId="10E633FD">
            <wp:extent cx="142875" cy="152400"/>
            <wp:effectExtent l="19050" t="0" r="9525" b="0"/>
            <wp:docPr id="782" name="Picture 782" descr="Zoom Ou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Zoom Out Icon"/>
                    <pic:cNvPicPr>
                      <a:picLocks noChangeAspect="1" noChangeArrowheads="1"/>
                    </pic:cNvPicPr>
                  </pic:nvPicPr>
                  <pic:blipFill>
                    <a:blip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00C75A69" w:rsidRPr="00A92F65">
        <w:t xml:space="preserve"> </w:t>
      </w:r>
      <w:r w:rsidR="00B54B8C" w:rsidRPr="00A92F65">
        <w:t>–</w:t>
      </w:r>
      <w:r w:rsidR="00C75A69" w:rsidRPr="00A92F65">
        <w:t xml:space="preserve"> Zoom out</w:t>
      </w:r>
    </w:p>
    <w:p w14:paraId="572C4EFB" w14:textId="43BC4417" w:rsidR="00C75A69" w:rsidRPr="000665B0" w:rsidRDefault="009A1FDF" w:rsidP="00A92F65">
      <w:pPr>
        <w:ind w:left="360"/>
        <w:rPr>
          <w:b/>
        </w:rPr>
      </w:pPr>
      <w:r w:rsidRPr="000665B0">
        <w:rPr>
          <w:b/>
          <w:noProof/>
        </w:rPr>
        <w:drawing>
          <wp:inline distT="0" distB="0" distL="0" distR="0" wp14:anchorId="04A4252C" wp14:editId="6A653937">
            <wp:extent cx="114300" cy="142875"/>
            <wp:effectExtent l="19050" t="0" r="0" b="0"/>
            <wp:docPr id="783" name="Picture 783" descr="Geo Lock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Geo Lock Icon"/>
                    <pic:cNvPicPr>
                      <a:picLocks noChangeAspect="1" noChangeArrowheads="1"/>
                    </pic:cNvPicPr>
                  </pic:nvPicPr>
                  <pic:blipFill>
                    <a:blip cstate="print"/>
                    <a:srcRect/>
                    <a:stretch>
                      <a:fillRect/>
                    </a:stretch>
                  </pic:blipFill>
                  <pic:spPr bwMode="auto">
                    <a:xfrm>
                      <a:off x="0" y="0"/>
                      <a:ext cx="114300" cy="142875"/>
                    </a:xfrm>
                    <a:prstGeom prst="rect">
                      <a:avLst/>
                    </a:prstGeom>
                    <a:noFill/>
                    <a:ln w="9525">
                      <a:noFill/>
                      <a:miter lim="800000"/>
                      <a:headEnd/>
                      <a:tailEnd/>
                    </a:ln>
                  </pic:spPr>
                </pic:pic>
              </a:graphicData>
            </a:graphic>
          </wp:inline>
        </w:drawing>
      </w:r>
      <w:r w:rsidR="00C75A69" w:rsidRPr="000665B0">
        <w:rPr>
          <w:b/>
        </w:rPr>
        <w:t xml:space="preserve"> </w:t>
      </w:r>
      <w:r w:rsidR="00B54B8C" w:rsidRPr="000665B0">
        <w:rPr>
          <w:b/>
        </w:rPr>
        <w:t>–</w:t>
      </w:r>
      <w:r w:rsidR="00C75A69" w:rsidRPr="000665B0">
        <w:t xml:space="preserve"> Lock/unlock zoom and re-centering</w:t>
      </w:r>
    </w:p>
    <w:p w14:paraId="43C0762C" w14:textId="2561EE58" w:rsidR="004613FB" w:rsidRPr="000665B0" w:rsidRDefault="00714E1E" w:rsidP="004613FB">
      <w:pPr>
        <w:pStyle w:val="bullet11"/>
        <w:spacing w:before="0" w:beforeAutospacing="0" w:after="120" w:afterAutospacing="0"/>
        <w:ind w:left="360"/>
        <w:rPr>
          <w:bCs/>
        </w:rPr>
      </w:pPr>
      <w:r>
        <w:rPr>
          <w:noProof/>
          <w:position w:val="-8"/>
        </w:rPr>
        <w:drawing>
          <wp:inline distT="0" distB="0" distL="0" distR="0" wp14:anchorId="24545A18" wp14:editId="4850D7AF">
            <wp:extent cx="182880" cy="274320"/>
            <wp:effectExtent l="0" t="0" r="0" b="0"/>
            <wp:docPr id="254" name="Picture 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2880" cy="274320"/>
                    </a:xfrm>
                    <a:prstGeom prst="rect">
                      <a:avLst/>
                    </a:prstGeom>
                    <a:noFill/>
                    <a:ln>
                      <a:noFill/>
                    </a:ln>
                  </pic:spPr>
                </pic:pic>
              </a:graphicData>
            </a:graphic>
          </wp:inline>
        </w:drawing>
      </w:r>
      <w:r w:rsidR="004613FB" w:rsidRPr="000665B0">
        <w:t xml:space="preserve"> </w:t>
      </w:r>
      <w:r w:rsidR="004613FB" w:rsidRPr="000665B0">
        <w:rPr>
          <w:bCs/>
        </w:rPr>
        <w:t xml:space="preserve">– </w:t>
      </w:r>
      <w:r w:rsidR="004613FB" w:rsidRPr="000665B0">
        <w:t>Show/</w:t>
      </w:r>
      <w:r w:rsidR="00B0614D" w:rsidRPr="000665B0">
        <w:t>h</w:t>
      </w:r>
      <w:r w:rsidR="004613FB" w:rsidRPr="000665B0">
        <w:t>ide tracks on the Geo Display, and Tracks of Interest on the GOM.</w:t>
      </w:r>
    </w:p>
    <w:p w14:paraId="288CFC86" w14:textId="5B5516E2" w:rsidR="004613FB" w:rsidRPr="000665B0" w:rsidRDefault="004613FB" w:rsidP="004613FB">
      <w:pPr>
        <w:pStyle w:val="bullet11"/>
        <w:spacing w:before="0" w:beforeAutospacing="0" w:after="120" w:afterAutospacing="0"/>
        <w:ind w:left="360"/>
        <w:rPr>
          <w:b/>
        </w:rPr>
      </w:pPr>
      <w:r w:rsidRPr="000665B0">
        <w:rPr>
          <w:noProof/>
          <w:position w:val="-6"/>
        </w:rPr>
        <w:drawing>
          <wp:inline distT="0" distB="0" distL="0" distR="0" wp14:anchorId="570FA7B9" wp14:editId="606F3335">
            <wp:extent cx="200025" cy="190500"/>
            <wp:effectExtent l="0" t="0" r="9525" b="0"/>
            <wp:docPr id="2008" name="Pictur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0025" cy="190500"/>
                    </a:xfrm>
                    <a:prstGeom prst="rect">
                      <a:avLst/>
                    </a:prstGeom>
                    <a:noFill/>
                  </pic:spPr>
                </pic:pic>
              </a:graphicData>
            </a:graphic>
          </wp:inline>
        </w:drawing>
      </w:r>
      <w:r w:rsidRPr="000665B0">
        <w:t xml:space="preserve"> </w:t>
      </w:r>
      <w:r w:rsidRPr="000665B0">
        <w:rPr>
          <w:bCs/>
        </w:rPr>
        <w:t>– F</w:t>
      </w:r>
      <w:r w:rsidRPr="000665B0">
        <w:t xml:space="preserve">ilter settings to narrow the criteria of which tracks are displayed. See </w:t>
      </w:r>
      <w:hyperlink w:anchor="_Filter__Displayed_1" w:history="1">
        <w:r w:rsidRPr="000665B0">
          <w:rPr>
            <w:rStyle w:val="Hyperlink"/>
          </w:rPr>
          <w:t xml:space="preserve">Section </w:t>
        </w:r>
        <w:r w:rsidR="004231CC">
          <w:rPr>
            <w:rStyle w:val="Hyperlink"/>
          </w:rPr>
          <w:t>5.32</w:t>
        </w:r>
        <w:r w:rsidRPr="000665B0">
          <w:rPr>
            <w:rStyle w:val="Hyperlink"/>
          </w:rPr>
          <w:t>.</w:t>
        </w:r>
        <w:r w:rsidR="00F44F6B">
          <w:rPr>
            <w:rStyle w:val="Hyperlink"/>
          </w:rPr>
          <w:t>1</w:t>
        </w:r>
      </w:hyperlink>
      <w:r w:rsidRPr="000665B0">
        <w:t>.</w:t>
      </w:r>
    </w:p>
    <w:p w14:paraId="59DEE1A0" w14:textId="77777777" w:rsidR="00C75A69" w:rsidRPr="000665B0" w:rsidRDefault="009A1FDF" w:rsidP="004613FB">
      <w:pPr>
        <w:ind w:left="360"/>
        <w:rPr>
          <w:b/>
        </w:rPr>
      </w:pPr>
      <w:r w:rsidRPr="000665B0">
        <w:rPr>
          <w:b/>
          <w:noProof/>
        </w:rPr>
        <w:drawing>
          <wp:inline distT="0" distB="0" distL="0" distR="0" wp14:anchorId="3B1C0792" wp14:editId="250C61E8">
            <wp:extent cx="152400" cy="152400"/>
            <wp:effectExtent l="19050" t="0" r="0" b="0"/>
            <wp:docPr id="784" name="Picture 784" descr="Object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Object Manager Icon"/>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F303DA" w:rsidRPr="000665B0">
        <w:rPr>
          <w:b/>
        </w:rPr>
        <w:t xml:space="preserve"> </w:t>
      </w:r>
      <w:r w:rsidR="00B54B8C" w:rsidRPr="000665B0">
        <w:rPr>
          <w:b/>
        </w:rPr>
        <w:t>–</w:t>
      </w:r>
      <w:r w:rsidR="00C75A69" w:rsidRPr="000665B0">
        <w:rPr>
          <w:b/>
        </w:rPr>
        <w:t xml:space="preserve"> </w:t>
      </w:r>
      <w:r w:rsidR="00C75A69" w:rsidRPr="000665B0">
        <w:t>Show/Hide the Geo Object manager</w:t>
      </w:r>
    </w:p>
    <w:p w14:paraId="5682AD49" w14:textId="77777777" w:rsidR="00C75A69" w:rsidRPr="000665B0" w:rsidRDefault="009A1FDF" w:rsidP="004613FB">
      <w:pPr>
        <w:ind w:left="360"/>
      </w:pPr>
      <w:r w:rsidRPr="000665B0">
        <w:rPr>
          <w:noProof/>
        </w:rPr>
        <w:drawing>
          <wp:inline distT="0" distB="0" distL="0" distR="0" wp14:anchorId="6E5B9F86" wp14:editId="6714B91A">
            <wp:extent cx="152400" cy="123825"/>
            <wp:effectExtent l="19050" t="0" r="0" b="0"/>
            <wp:docPr id="785" name="Picture 785" descr="Labe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Label Icon"/>
                    <pic:cNvPicPr>
                      <a:picLocks noChangeAspect="1" noChangeArrowheads="1"/>
                    </pic:cNvPicPr>
                  </pic:nvPicPr>
                  <pic:blipFill>
                    <a:blip cstate="print"/>
                    <a:srcRect/>
                    <a:stretch>
                      <a:fillRect/>
                    </a:stretch>
                  </pic:blipFill>
                  <pic:spPr bwMode="auto">
                    <a:xfrm>
                      <a:off x="0" y="0"/>
                      <a:ext cx="152400" cy="123825"/>
                    </a:xfrm>
                    <a:prstGeom prst="rect">
                      <a:avLst/>
                    </a:prstGeom>
                    <a:noFill/>
                    <a:ln w="9525">
                      <a:noFill/>
                      <a:miter lim="800000"/>
                      <a:headEnd/>
                      <a:tailEnd/>
                    </a:ln>
                  </pic:spPr>
                </pic:pic>
              </a:graphicData>
            </a:graphic>
          </wp:inline>
        </w:drawing>
      </w:r>
      <w:r w:rsidR="00F303DA" w:rsidRPr="000665B0">
        <w:t xml:space="preserve"> </w:t>
      </w:r>
      <w:r w:rsidR="00B54B8C" w:rsidRPr="000665B0">
        <w:rPr>
          <w:b/>
        </w:rPr>
        <w:t>–</w:t>
      </w:r>
      <w:r w:rsidR="00C75A69" w:rsidRPr="000665B0">
        <w:t xml:space="preserve"> Hide/Show object labels</w:t>
      </w:r>
    </w:p>
    <w:p w14:paraId="6E3EB484" w14:textId="531E2128" w:rsidR="00C75A69" w:rsidRPr="000665B0" w:rsidRDefault="009A1FDF" w:rsidP="004613FB">
      <w:pPr>
        <w:ind w:left="360"/>
      </w:pPr>
      <w:r w:rsidRPr="000665B0">
        <w:rPr>
          <w:noProof/>
        </w:rPr>
        <w:drawing>
          <wp:inline distT="0" distB="0" distL="0" distR="0" wp14:anchorId="497276F3" wp14:editId="210E00A6">
            <wp:extent cx="142875" cy="142875"/>
            <wp:effectExtent l="19050" t="0" r="9525" b="0"/>
            <wp:docPr id="786" name="Picture 786" descr="No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Note Icon"/>
                    <pic:cNvPicPr>
                      <a:picLocks noChangeAspect="1" noChangeArrowheads="1"/>
                    </pic:cNvPicPr>
                  </pic:nvPicPr>
                  <pic:blipFill>
                    <a:blip cstate="print"/>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00F303DA" w:rsidRPr="000665B0">
        <w:t xml:space="preserve"> </w:t>
      </w:r>
      <w:r w:rsidR="00B54B8C" w:rsidRPr="000665B0">
        <w:rPr>
          <w:b/>
        </w:rPr>
        <w:t>–</w:t>
      </w:r>
      <w:r w:rsidR="00C75A69" w:rsidRPr="000665B0">
        <w:t xml:space="preserve"> Close all note windows</w:t>
      </w:r>
      <w:r w:rsidR="004613FB" w:rsidRPr="000665B0">
        <w:t>.</w:t>
      </w:r>
    </w:p>
    <w:p w14:paraId="5520EAC6" w14:textId="3882659B" w:rsidR="000A607E" w:rsidRPr="000665B0" w:rsidRDefault="000A607E" w:rsidP="002F480A">
      <w:r w:rsidRPr="000665B0">
        <w:t>Received TSN messages from the missile will be displayed on the Geo. During retarget preview, the previewed branch will be displayed on the Geo</w:t>
      </w:r>
      <w:r w:rsidR="00BC6FCB" w:rsidRPr="000665B0">
        <w:t xml:space="preserve"> (NA for maritime strikes)</w:t>
      </w:r>
      <w:r w:rsidRPr="000665B0">
        <w:t>.</w:t>
      </w:r>
    </w:p>
    <w:p w14:paraId="6ADBA224" w14:textId="77777777" w:rsidR="002F480A" w:rsidRPr="000665B0" w:rsidRDefault="009A1FDF" w:rsidP="008D12B4">
      <w:pPr>
        <w:pBdr>
          <w:top w:val="single" w:sz="12" w:space="1" w:color="auto"/>
          <w:left w:val="single" w:sz="12" w:space="4" w:color="auto"/>
          <w:bottom w:val="single" w:sz="12" w:space="1" w:color="auto"/>
          <w:right w:val="single" w:sz="12" w:space="4" w:color="auto"/>
        </w:pBdr>
        <w:shd w:val="clear" w:color="auto" w:fill="F3F3F3"/>
        <w:rPr>
          <w:b/>
        </w:rPr>
      </w:pPr>
      <w:bookmarkStart w:id="6587" w:name="_5.38.3.1.3__Events"/>
      <w:bookmarkEnd w:id="6587"/>
      <w:r w:rsidRPr="000665B0">
        <w:rPr>
          <w:rFonts w:ascii="Arial" w:hAnsi="Arial" w:cs="Arial"/>
          <w:noProof/>
          <w:sz w:val="20"/>
        </w:rPr>
        <w:drawing>
          <wp:inline distT="0" distB="0" distL="0" distR="0" wp14:anchorId="0402B3F1" wp14:editId="313BB0DB">
            <wp:extent cx="352425" cy="381000"/>
            <wp:effectExtent l="0" t="0" r="9525" b="0"/>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2F480A" w:rsidRPr="000665B0">
        <w:rPr>
          <w:b/>
        </w:rPr>
        <w:t>TIP: The SMD may become slow and unresponsive when displaying a large number of missiles on the Geo Display. Deselect all items from the Geo Display to regain responsiveness.</w:t>
      </w:r>
    </w:p>
    <w:p w14:paraId="06E834B8" w14:textId="6E7F8B7D" w:rsidR="00EE2E46" w:rsidRPr="000665B0" w:rsidRDefault="00EE2E46" w:rsidP="00EE2E46">
      <w:pPr>
        <w:rPr>
          <w:szCs w:val="24"/>
        </w:rPr>
      </w:pPr>
      <w:bookmarkStart w:id="6588" w:name="_5.38.3.1.3__Events_1"/>
      <w:bookmarkStart w:id="6589" w:name="_Hlk41993650"/>
      <w:bookmarkStart w:id="6590" w:name="_Toc289328908"/>
      <w:bookmarkEnd w:id="6588"/>
      <w:r w:rsidRPr="000665B0">
        <w:rPr>
          <w:szCs w:val="24"/>
        </w:rPr>
        <w:t xml:space="preserve">On the </w:t>
      </w:r>
      <w:r w:rsidRPr="000665B0">
        <w:rPr>
          <w:b/>
          <w:szCs w:val="24"/>
        </w:rPr>
        <w:t>Geo</w:t>
      </w:r>
      <w:r w:rsidR="00CA1435" w:rsidRPr="000665B0">
        <w:rPr>
          <w:szCs w:val="24"/>
        </w:rPr>
        <w:t xml:space="preserve"> pane</w:t>
      </w:r>
      <w:r w:rsidRPr="000665B0">
        <w:rPr>
          <w:szCs w:val="24"/>
        </w:rPr>
        <w:t>, Waypoints are indicated as solid diamonds (</w:t>
      </w:r>
      <w:r w:rsidRPr="000665B0">
        <w:rPr>
          <w:noProof/>
          <w:position w:val="-2"/>
        </w:rPr>
        <w:drawing>
          <wp:inline distT="0" distB="0" distL="0" distR="0" wp14:anchorId="6D2C29AB" wp14:editId="59FC7F26">
            <wp:extent cx="133350" cy="114300"/>
            <wp:effectExtent l="19050" t="0" r="0" b="0"/>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cstate="print"/>
                    <a:srcRect/>
                    <a:stretch>
                      <a:fillRect/>
                    </a:stretch>
                  </pic:blipFill>
                  <pic:spPr bwMode="auto">
                    <a:xfrm>
                      <a:off x="0" y="0"/>
                      <a:ext cx="133350" cy="114300"/>
                    </a:xfrm>
                    <a:prstGeom prst="rect">
                      <a:avLst/>
                    </a:prstGeom>
                    <a:noFill/>
                    <a:ln w="9525">
                      <a:noFill/>
                      <a:miter lim="800000"/>
                      <a:headEnd/>
                      <a:tailEnd/>
                    </a:ln>
                  </pic:spPr>
                </pic:pic>
              </a:graphicData>
            </a:graphic>
          </wp:inline>
        </w:drawing>
      </w:r>
      <w:r w:rsidRPr="000665B0">
        <w:t>)</w:t>
      </w:r>
      <w:r w:rsidRPr="000665B0">
        <w:rPr>
          <w:szCs w:val="24"/>
        </w:rPr>
        <w:t xml:space="preserve"> on the route while Action Points are indicated as hollow diamonds (</w:t>
      </w:r>
      <w:r w:rsidRPr="000665B0">
        <w:rPr>
          <w:noProof/>
          <w:position w:val="-6"/>
        </w:rPr>
        <w:drawing>
          <wp:inline distT="0" distB="0" distL="0" distR="0" wp14:anchorId="1A5A2F5A" wp14:editId="46A6BA7B">
            <wp:extent cx="171450" cy="209550"/>
            <wp:effectExtent l="0" t="0" r="0" b="0"/>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cstate="print"/>
                    <a:srcRect/>
                    <a:stretch>
                      <a:fillRect/>
                    </a:stretch>
                  </pic:blipFill>
                  <pic:spPr bwMode="auto">
                    <a:xfrm>
                      <a:off x="0" y="0"/>
                      <a:ext cx="171450" cy="209550"/>
                    </a:xfrm>
                    <a:prstGeom prst="rect">
                      <a:avLst/>
                    </a:prstGeom>
                    <a:noFill/>
                    <a:ln w="9525">
                      <a:noFill/>
                      <a:miter lim="800000"/>
                      <a:headEnd/>
                      <a:tailEnd/>
                    </a:ln>
                  </pic:spPr>
                </pic:pic>
              </a:graphicData>
            </a:graphic>
          </wp:inline>
        </w:drawing>
      </w:r>
      <w:r w:rsidRPr="000665B0">
        <w:rPr>
          <w:szCs w:val="24"/>
        </w:rPr>
        <w:t xml:space="preserve">). </w:t>
      </w:r>
    </w:p>
    <w:p w14:paraId="153B3137" w14:textId="23ED3E78" w:rsidR="00EE2E46" w:rsidRPr="000665B0" w:rsidRDefault="00EE2E46" w:rsidP="00EE2E46">
      <w:pPr>
        <w:rPr>
          <w:szCs w:val="24"/>
        </w:rPr>
      </w:pPr>
      <w:r w:rsidRPr="000665B0">
        <w:rPr>
          <w:szCs w:val="24"/>
        </w:rPr>
        <w:t>To display Waypoints and Action Points on the Geo Display:</w:t>
      </w:r>
    </w:p>
    <w:p w14:paraId="0AE53F26" w14:textId="7AA2794A" w:rsidR="00D15A7E" w:rsidRPr="000665B0" w:rsidRDefault="00CA1435" w:rsidP="006D5A65">
      <w:pPr>
        <w:pStyle w:val="Heading1"/>
      </w:pPr>
      <w:r w:rsidRPr="000665B0">
        <w:t>Within the GOM, s</w:t>
      </w:r>
      <w:r w:rsidR="00EE2E46" w:rsidRPr="000665B0">
        <w:t xml:space="preserve">elect </w:t>
      </w:r>
      <w:r w:rsidR="00D15A7E" w:rsidRPr="000665B0">
        <w:t>the desired</w:t>
      </w:r>
      <w:r w:rsidR="00EE2E46" w:rsidRPr="000665B0">
        <w:t xml:space="preserve"> </w:t>
      </w:r>
      <w:r w:rsidRPr="000665B0">
        <w:t>missile</w:t>
      </w:r>
      <w:r w:rsidR="00EE2E46" w:rsidRPr="000665B0">
        <w:t xml:space="preserve">, </w:t>
      </w:r>
      <w:r w:rsidR="00D71804" w:rsidRPr="000665B0">
        <w:t>right-click</w:t>
      </w:r>
      <w:r w:rsidR="00EE2E46" w:rsidRPr="000665B0">
        <w:t xml:space="preserve">, and select </w:t>
      </w:r>
      <w:r w:rsidR="00F35064" w:rsidRPr="000665B0">
        <w:t xml:space="preserve">Display </w:t>
      </w:r>
      <w:r w:rsidR="00EE2E46" w:rsidRPr="000665B0">
        <w:t>Properties.</w:t>
      </w:r>
    </w:p>
    <w:p w14:paraId="34510F2F" w14:textId="48F98C12" w:rsidR="00D15A7E" w:rsidRPr="000665B0" w:rsidRDefault="00D15A7E" w:rsidP="00D15A7E">
      <w:pPr>
        <w:pStyle w:val="number1"/>
        <w:spacing w:before="0" w:beforeAutospacing="0" w:after="120" w:afterAutospacing="0"/>
        <w:ind w:left="360"/>
      </w:pPr>
      <w:r w:rsidRPr="000665B0">
        <w:t>or</w:t>
      </w:r>
    </w:p>
    <w:p w14:paraId="760C36FC" w14:textId="243291A9" w:rsidR="00D15A7E" w:rsidRPr="000665B0" w:rsidRDefault="005200E0" w:rsidP="006D5A65">
      <w:pPr>
        <w:pStyle w:val="Heading1"/>
      </w:pPr>
      <w:r w:rsidRPr="000665B0">
        <w:lastRenderedPageBreak/>
        <w:t>Within the GOM, select the desired FRU, right-click, and select Missile Display Properties.</w:t>
      </w:r>
    </w:p>
    <w:p w14:paraId="1ADBD191" w14:textId="4613FF7F" w:rsidR="00EE2E46" w:rsidRPr="000665B0" w:rsidRDefault="00EE2E46" w:rsidP="006D5A65">
      <w:pPr>
        <w:pStyle w:val="Heading1"/>
      </w:pPr>
      <w:r w:rsidRPr="000665B0">
        <w:t xml:space="preserve">The </w:t>
      </w:r>
      <w:r w:rsidR="00F35064" w:rsidRPr="000665B0">
        <w:t xml:space="preserve">Missile Geographic </w:t>
      </w:r>
      <w:r w:rsidRPr="000665B0">
        <w:t xml:space="preserve">Display </w:t>
      </w:r>
      <w:r w:rsidR="00F35064" w:rsidRPr="000665B0">
        <w:t xml:space="preserve">Properties </w:t>
      </w:r>
      <w:r w:rsidRPr="000665B0">
        <w:t>window is displayed.</w:t>
      </w:r>
    </w:p>
    <w:p w14:paraId="7E035F32" w14:textId="605608AA" w:rsidR="00EE2E46" w:rsidRPr="000665B0" w:rsidRDefault="00EE2E46" w:rsidP="006D5A65">
      <w:pPr>
        <w:pStyle w:val="Heading1"/>
      </w:pPr>
      <w:r w:rsidRPr="000665B0">
        <w:t xml:space="preserve">Select Show Route Waypoint to Waypoint to display the </w:t>
      </w:r>
      <w:r w:rsidR="00F35064" w:rsidRPr="000665B0">
        <w:t>route from waypoint to waypoint</w:t>
      </w:r>
      <w:r w:rsidRPr="000665B0">
        <w:t>.</w:t>
      </w:r>
    </w:p>
    <w:p w14:paraId="6267F1DB" w14:textId="5F974869" w:rsidR="00EE2E46" w:rsidRPr="000665B0" w:rsidRDefault="00EE2E46" w:rsidP="006D5A65">
      <w:pPr>
        <w:pStyle w:val="Heading1"/>
      </w:pPr>
      <w:r w:rsidRPr="000665B0">
        <w:t xml:space="preserve">Select Show Route Action Point to Action Point to display the </w:t>
      </w:r>
      <w:r w:rsidR="00F35064" w:rsidRPr="000665B0">
        <w:t xml:space="preserve">route from </w:t>
      </w:r>
      <w:r w:rsidRPr="000665B0">
        <w:t xml:space="preserve">Action </w:t>
      </w:r>
      <w:r w:rsidR="00F35064" w:rsidRPr="000665B0">
        <w:t>Point to Action Point</w:t>
      </w:r>
      <w:r w:rsidRPr="000665B0">
        <w:t>.</w:t>
      </w:r>
    </w:p>
    <w:p w14:paraId="4A7BDF02" w14:textId="0D271C15" w:rsidR="00F35064" w:rsidRPr="000665B0" w:rsidRDefault="00F35064" w:rsidP="006D5A65">
      <w:pPr>
        <w:pStyle w:val="Heading1"/>
      </w:pPr>
      <w:r w:rsidRPr="000665B0">
        <w:t>If desired, select Show Route Points, Show Points &amp; Numbers, or Show Divert Routes.</w:t>
      </w:r>
    </w:p>
    <w:p w14:paraId="48B63F97" w14:textId="1FD03F5B" w:rsidR="00EE2E46" w:rsidRPr="000665B0" w:rsidRDefault="00AC0BBB" w:rsidP="00EE2E46">
      <w:pPr>
        <w:rPr>
          <w:szCs w:val="24"/>
        </w:rPr>
      </w:pPr>
      <w:r w:rsidRPr="000665B0">
        <w:rPr>
          <w:szCs w:val="24"/>
        </w:rPr>
        <w:t>When applicable, the</w:t>
      </w:r>
      <w:r w:rsidR="00EE2E46" w:rsidRPr="000665B0">
        <w:rPr>
          <w:szCs w:val="24"/>
        </w:rPr>
        <w:t xml:space="preserve"> Waypoint is displayed with the Branch Number and Route Point Sequence Number information shown as: </w:t>
      </w:r>
      <w:r w:rsidR="00EE2E46" w:rsidRPr="000665B0">
        <w:rPr>
          <w:b/>
          <w:szCs w:val="24"/>
        </w:rPr>
        <w:t>&lt;Branch Number&gt; - &lt;Route</w:t>
      </w:r>
      <w:r w:rsidR="009C7E2B" w:rsidRPr="000665B0">
        <w:rPr>
          <w:b/>
          <w:szCs w:val="24"/>
        </w:rPr>
        <w:t xml:space="preserve"> </w:t>
      </w:r>
      <w:r w:rsidR="00EE2E46" w:rsidRPr="000665B0">
        <w:rPr>
          <w:b/>
          <w:szCs w:val="24"/>
        </w:rPr>
        <w:t>Point</w:t>
      </w:r>
      <w:r w:rsidR="009C7E2B" w:rsidRPr="000665B0">
        <w:rPr>
          <w:b/>
          <w:szCs w:val="24"/>
        </w:rPr>
        <w:t xml:space="preserve"> </w:t>
      </w:r>
      <w:r w:rsidR="00EE2E46" w:rsidRPr="000665B0">
        <w:rPr>
          <w:b/>
          <w:szCs w:val="24"/>
        </w:rPr>
        <w:t>Sequence</w:t>
      </w:r>
      <w:r w:rsidR="009C7E2B" w:rsidRPr="000665B0">
        <w:rPr>
          <w:b/>
          <w:szCs w:val="24"/>
        </w:rPr>
        <w:t xml:space="preserve"> </w:t>
      </w:r>
      <w:r w:rsidR="00EE2E46" w:rsidRPr="000665B0">
        <w:rPr>
          <w:b/>
          <w:szCs w:val="24"/>
        </w:rPr>
        <w:t>Number&gt;</w:t>
      </w:r>
      <w:r w:rsidR="00EE2E46" w:rsidRPr="000665B0">
        <w:rPr>
          <w:szCs w:val="24"/>
        </w:rPr>
        <w:t>.</w:t>
      </w:r>
    </w:p>
    <w:p w14:paraId="12B26650" w14:textId="4721CD16" w:rsidR="008D12B4" w:rsidRPr="000665B0" w:rsidRDefault="00925DBE" w:rsidP="008D12B4">
      <w:pPr>
        <w:jc w:val="center"/>
        <w:rPr>
          <w:noProof/>
        </w:rPr>
      </w:pPr>
      <w:r w:rsidRPr="000665B0">
        <w:rPr>
          <w:noProof/>
        </w:rPr>
        <w:drawing>
          <wp:inline distT="0" distB="0" distL="0" distR="0" wp14:anchorId="0948685F" wp14:editId="3774C770">
            <wp:extent cx="5029200" cy="2487168"/>
            <wp:effectExtent l="0" t="0" r="0" b="8890"/>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5029200" cy="2487168"/>
                    </a:xfrm>
                    <a:prstGeom prst="rect">
                      <a:avLst/>
                    </a:prstGeom>
                    <a:noFill/>
                    <a:ln>
                      <a:noFill/>
                    </a:ln>
                  </pic:spPr>
                </pic:pic>
              </a:graphicData>
            </a:graphic>
          </wp:inline>
        </w:drawing>
      </w:r>
    </w:p>
    <w:p w14:paraId="7BC758AA" w14:textId="49DF51B1" w:rsidR="00BC6FCB" w:rsidRPr="000665B0" w:rsidRDefault="00BC6FCB" w:rsidP="008D12B4">
      <w:pPr>
        <w:jc w:val="center"/>
        <w:rPr>
          <w:szCs w:val="24"/>
        </w:rPr>
      </w:pPr>
      <w:r w:rsidRPr="000665B0">
        <w:rPr>
          <w:noProof/>
        </w:rPr>
        <w:drawing>
          <wp:inline distT="0" distB="0" distL="0" distR="0" wp14:anchorId="174DCEDE" wp14:editId="1613EF8D">
            <wp:extent cx="5029200" cy="3090672"/>
            <wp:effectExtent l="0" t="0" r="0" b="0"/>
            <wp:docPr id="2010" name="Pictur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029200" cy="3090672"/>
                    </a:xfrm>
                    <a:prstGeom prst="rect">
                      <a:avLst/>
                    </a:prstGeom>
                  </pic:spPr>
                </pic:pic>
              </a:graphicData>
            </a:graphic>
          </wp:inline>
        </w:drawing>
      </w:r>
    </w:p>
    <w:bookmarkEnd w:id="6589"/>
    <w:p w14:paraId="610BD876" w14:textId="77777777" w:rsidR="00EE2E46" w:rsidRPr="000665B0" w:rsidRDefault="00EE2E46" w:rsidP="00A0163E">
      <w:pPr>
        <w:rPr>
          <w:szCs w:val="24"/>
        </w:rPr>
      </w:pPr>
      <w:r w:rsidRPr="000665B0">
        <w:rPr>
          <w:szCs w:val="24"/>
        </w:rPr>
        <w:lastRenderedPageBreak/>
        <w:t>The Branch Number identifies the branch. This is a sequence that starts with 0 and each new branch off of the primary 0 branch is assigned sequential numbers of 1, 2, 3, etc. The Waypoints on branch 0 show only the Route Point Sequence Number and do not include the Branch Number nor the preceding “-” (dash). The Branch Numbers are defined as follows:</w:t>
      </w:r>
    </w:p>
    <w:p w14:paraId="1E7C190F" w14:textId="77777777" w:rsidR="00EE2E46" w:rsidRPr="000665B0" w:rsidRDefault="00EE2E46" w:rsidP="006D5A65">
      <w:pPr>
        <w:pStyle w:val="Heading1"/>
      </w:pPr>
      <w:r w:rsidRPr="000665B0">
        <w:t>The 1</w:t>
      </w:r>
      <w:r w:rsidRPr="001F4B14">
        <w:rPr>
          <w:vertAlign w:val="superscript"/>
        </w:rPr>
        <w:t xml:space="preserve">st </w:t>
      </w:r>
      <w:r w:rsidRPr="00F40454">
        <w:t>B</w:t>
      </w:r>
      <w:r w:rsidRPr="000665B0">
        <w:t>ranch from Branch 0 is 1</w:t>
      </w:r>
    </w:p>
    <w:p w14:paraId="19DA2766" w14:textId="77777777" w:rsidR="00EE2E46" w:rsidRPr="000665B0" w:rsidRDefault="00EE2E46" w:rsidP="006D5A65">
      <w:pPr>
        <w:pStyle w:val="Heading1"/>
      </w:pPr>
      <w:r w:rsidRPr="000665B0">
        <w:t>The 1</w:t>
      </w:r>
      <w:r w:rsidRPr="001F4B14">
        <w:rPr>
          <w:vertAlign w:val="superscript"/>
        </w:rPr>
        <w:t xml:space="preserve">st </w:t>
      </w:r>
      <w:r w:rsidRPr="00F40454">
        <w:rPr>
          <w:szCs w:val="24"/>
        </w:rPr>
        <w:t>B</w:t>
      </w:r>
      <w:r w:rsidRPr="000665B0">
        <w:t>ranch from Branch 1 is 1:1</w:t>
      </w:r>
    </w:p>
    <w:p w14:paraId="61262A73" w14:textId="77777777" w:rsidR="00EE2E46" w:rsidRPr="000665B0" w:rsidRDefault="00EE2E46" w:rsidP="006D5A65">
      <w:pPr>
        <w:pStyle w:val="Heading1"/>
      </w:pPr>
      <w:r w:rsidRPr="000665B0">
        <w:t>The 2</w:t>
      </w:r>
      <w:r w:rsidRPr="001F4B14">
        <w:rPr>
          <w:vertAlign w:val="superscript"/>
        </w:rPr>
        <w:t xml:space="preserve">nd </w:t>
      </w:r>
      <w:r w:rsidRPr="00F40454">
        <w:rPr>
          <w:szCs w:val="24"/>
        </w:rPr>
        <w:t>B</w:t>
      </w:r>
      <w:r w:rsidRPr="000665B0">
        <w:t>ranch from Branch 1 is 1:2</w:t>
      </w:r>
    </w:p>
    <w:p w14:paraId="1037790A" w14:textId="77777777" w:rsidR="00EE2E46" w:rsidRPr="000665B0" w:rsidRDefault="00EE2E46" w:rsidP="006D5A65">
      <w:pPr>
        <w:pStyle w:val="Heading1"/>
      </w:pPr>
      <w:r w:rsidRPr="000665B0">
        <w:t>The 2</w:t>
      </w:r>
      <w:r w:rsidRPr="001F4B14">
        <w:rPr>
          <w:vertAlign w:val="superscript"/>
        </w:rPr>
        <w:t xml:space="preserve">nd </w:t>
      </w:r>
      <w:r w:rsidRPr="00F40454">
        <w:rPr>
          <w:szCs w:val="24"/>
        </w:rPr>
        <w:t>B</w:t>
      </w:r>
      <w:r w:rsidRPr="000665B0">
        <w:t>ranch from Branch 0 is Branch 2</w:t>
      </w:r>
    </w:p>
    <w:p w14:paraId="3B2B2064" w14:textId="77777777" w:rsidR="00EE2E46" w:rsidRPr="000665B0" w:rsidRDefault="00EE2E46" w:rsidP="006D5A65">
      <w:pPr>
        <w:pStyle w:val="Heading1"/>
      </w:pPr>
      <w:r w:rsidRPr="000665B0">
        <w:t>The 1</w:t>
      </w:r>
      <w:r w:rsidRPr="001F4B14">
        <w:rPr>
          <w:vertAlign w:val="superscript"/>
        </w:rPr>
        <w:t xml:space="preserve">st </w:t>
      </w:r>
      <w:r w:rsidRPr="00F40454">
        <w:rPr>
          <w:szCs w:val="24"/>
        </w:rPr>
        <w:t>B</w:t>
      </w:r>
      <w:r w:rsidRPr="000665B0">
        <w:t xml:space="preserve">ranch from Branch 2 is 2:1 </w:t>
      </w:r>
    </w:p>
    <w:p w14:paraId="0086792B" w14:textId="77777777" w:rsidR="00EE2E46" w:rsidRPr="000665B0" w:rsidRDefault="00EE2E46" w:rsidP="006D5A65">
      <w:pPr>
        <w:pStyle w:val="Heading1"/>
      </w:pPr>
      <w:r w:rsidRPr="000665B0">
        <w:t>The 2</w:t>
      </w:r>
      <w:r w:rsidRPr="001F4B14">
        <w:rPr>
          <w:vertAlign w:val="superscript"/>
        </w:rPr>
        <w:t xml:space="preserve">nd </w:t>
      </w:r>
      <w:r w:rsidRPr="00F40454">
        <w:rPr>
          <w:szCs w:val="24"/>
        </w:rPr>
        <w:t>B</w:t>
      </w:r>
      <w:r w:rsidRPr="000665B0">
        <w:t>ranch from Branch 2 is 2:2</w:t>
      </w:r>
    </w:p>
    <w:p w14:paraId="41E31C1F" w14:textId="4F50580D" w:rsidR="00EE2E46" w:rsidRPr="000665B0" w:rsidRDefault="00EE2E46" w:rsidP="006D5A65">
      <w:pPr>
        <w:pStyle w:val="Heading1"/>
      </w:pPr>
      <w:r w:rsidRPr="000665B0">
        <w:t>Etc.</w:t>
      </w:r>
      <w:r w:rsidRPr="000665B0">
        <w:rPr>
          <w:noProof/>
        </w:rPr>
        <w:t xml:space="preserve"> </w:t>
      </w:r>
    </w:p>
    <w:p w14:paraId="584EDC17" w14:textId="4E20B724" w:rsidR="00C4524E" w:rsidRPr="000665B0" w:rsidRDefault="00C4524E" w:rsidP="006D5A65">
      <w:pPr>
        <w:pStyle w:val="Heading1"/>
      </w:pPr>
      <w:r w:rsidRPr="000665B0">
        <w:rPr>
          <w:noProof/>
        </w:rPr>
        <w:t>For MST strikes, the Branch number is always either Branch ID 0 or Branch ID 16.</w:t>
      </w:r>
    </w:p>
    <w:p w14:paraId="40BA9F43" w14:textId="18367CB3" w:rsidR="00EE2E46" w:rsidRPr="000665B0" w:rsidRDefault="00EE2E46" w:rsidP="00EE2E46">
      <w:pPr>
        <w:rPr>
          <w:szCs w:val="24"/>
        </w:rPr>
      </w:pPr>
      <w:r w:rsidRPr="000665B0">
        <w:rPr>
          <w:szCs w:val="24"/>
        </w:rPr>
        <w:t xml:space="preserve">The Route Point Sequence Number starts at 1 and is incremented by 1 for every Waypoint and Action Point. However, the MDS Geo Display shows only the Waypoints when that option is selected in the </w:t>
      </w:r>
      <w:r w:rsidR="00F35064" w:rsidRPr="000665B0">
        <w:rPr>
          <w:i/>
        </w:rPr>
        <w:t>Missile Geographic Display Properties</w:t>
      </w:r>
      <w:r w:rsidRPr="000665B0">
        <w:rPr>
          <w:szCs w:val="24"/>
        </w:rPr>
        <w:t xml:space="preserve"> window as described above. The Route Point Sequence Number starts again at the beginning of each branch.</w:t>
      </w:r>
    </w:p>
    <w:p w14:paraId="527CB604" w14:textId="7D5A8FF4" w:rsidR="00EE2E46" w:rsidRPr="000665B0" w:rsidRDefault="00EE2E46" w:rsidP="00EE2E46">
      <w:pPr>
        <w:pStyle w:val="base"/>
        <w:spacing w:before="0" w:beforeAutospacing="0" w:after="120" w:afterAutospacing="0"/>
        <w:rPr>
          <w:rFonts w:ascii="Times New Roman" w:eastAsia="Times New Roman" w:hAnsi="Times New Roman" w:cs="Times New Roman"/>
        </w:rPr>
      </w:pPr>
      <w:r w:rsidRPr="000665B0">
        <w:rPr>
          <w:rFonts w:ascii="Times New Roman" w:eastAsia="Times New Roman" w:hAnsi="Times New Roman" w:cs="Times New Roman"/>
        </w:rPr>
        <w:t xml:space="preserve">When the Action Point option is selected in the </w:t>
      </w:r>
      <w:r w:rsidR="00F35064" w:rsidRPr="000665B0">
        <w:rPr>
          <w:rFonts w:ascii="Times New Roman" w:eastAsia="Times New Roman" w:hAnsi="Times New Roman" w:cs="Times New Roman"/>
          <w:i/>
          <w:szCs w:val="20"/>
        </w:rPr>
        <w:t>Missile Geographic Display Properties</w:t>
      </w:r>
      <w:r w:rsidRPr="000665B0">
        <w:rPr>
          <w:rFonts w:ascii="Times New Roman" w:eastAsia="Times New Roman" w:hAnsi="Times New Roman" w:cs="Times New Roman"/>
        </w:rPr>
        <w:t xml:space="preserve"> window as described above, the Action Point on the MDS Geo Display shows the Action Point Sequence Number. This sequence starts at 0 and increments by 1 for each Action Point. The Action Point Sequence Number increments continuously through branch transitions.</w:t>
      </w:r>
    </w:p>
    <w:p w14:paraId="0EF3B20E" w14:textId="4C0D4F50" w:rsidR="00EE6C4C" w:rsidRPr="000665B0" w:rsidRDefault="00EE6C4C" w:rsidP="008147FD">
      <w:pPr>
        <w:pStyle w:val="Heading5"/>
      </w:pPr>
      <w:bookmarkStart w:id="6591" w:name="_5.38.3.1.3__Events_2"/>
      <w:bookmarkStart w:id="6592" w:name="_Events_List_View"/>
      <w:bookmarkStart w:id="6593" w:name="_MST_Control_Panel"/>
      <w:bookmarkStart w:id="6594" w:name="_MST__"/>
      <w:bookmarkStart w:id="6595" w:name="_Hlk54257575"/>
      <w:bookmarkEnd w:id="6591"/>
      <w:bookmarkEnd w:id="6592"/>
      <w:bookmarkEnd w:id="6593"/>
      <w:bookmarkEnd w:id="6594"/>
      <w:r w:rsidRPr="000665B0">
        <w:t>MST Control Panel</w:t>
      </w:r>
    </w:p>
    <w:p w14:paraId="4153D627" w14:textId="13D46BAB" w:rsidR="004700F5" w:rsidRPr="000665B0" w:rsidRDefault="00564D9B" w:rsidP="00564D9B">
      <w:r w:rsidRPr="000665B0">
        <w:t>During a Maritime</w:t>
      </w:r>
      <w:r w:rsidR="00CD6791" w:rsidRPr="000665B0">
        <w:t xml:space="preserve"> Strike Tomahawk</w:t>
      </w:r>
      <w:r w:rsidRPr="000665B0">
        <w:t xml:space="preserve"> (MST) engagement, the </w:t>
      </w:r>
      <w:r w:rsidRPr="000665B0">
        <w:rPr>
          <w:b/>
        </w:rPr>
        <w:t>MST Control Panel</w:t>
      </w:r>
      <w:r w:rsidRPr="000665B0">
        <w:t xml:space="preserve"> identifies the target track and any tracks within the </w:t>
      </w:r>
      <w:r w:rsidR="004700F5" w:rsidRPr="000665B0">
        <w:t>Farthest On Circle (</w:t>
      </w:r>
      <w:r w:rsidRPr="000665B0">
        <w:t>FOC</w:t>
      </w:r>
      <w:r w:rsidR="004700F5" w:rsidRPr="000665B0">
        <w:t>)</w:t>
      </w:r>
      <w:r w:rsidRPr="000665B0">
        <w:t xml:space="preserve"> whose classes match the Primary, Secondary and Tertiary target classes specified in the SEP. Each target has its own tab, </w:t>
      </w:r>
      <w:r w:rsidR="007F2AAC" w:rsidRPr="000665B0">
        <w:t xml:space="preserve">that is </w:t>
      </w:r>
      <w:r w:rsidRPr="000665B0">
        <w:t>identified by its Target ID (</w:t>
      </w:r>
      <w:r w:rsidR="009C2AD1" w:rsidRPr="000665B0">
        <w:t>e.g.,</w:t>
      </w:r>
      <w:r w:rsidRPr="000665B0">
        <w:t xml:space="preserve"> “T1”) and whether the user is currently a Monitor or Controller (e.g. </w:t>
      </w:r>
      <w:r w:rsidRPr="000665B0">
        <w:rPr>
          <w:b/>
        </w:rPr>
        <w:t>T1: Monitor</w:t>
      </w:r>
      <w:r w:rsidRPr="000665B0">
        <w:t xml:space="preserve"> or </w:t>
      </w:r>
      <w:r w:rsidRPr="000665B0">
        <w:rPr>
          <w:b/>
        </w:rPr>
        <w:t>T1: Controller</w:t>
      </w:r>
      <w:r w:rsidRPr="000665B0">
        <w:t xml:space="preserve">). </w:t>
      </w:r>
    </w:p>
    <w:p w14:paraId="0FAA9EB2" w14:textId="111DD8F8" w:rsidR="004700F5" w:rsidRPr="000665B0" w:rsidRDefault="004700F5" w:rsidP="004700F5">
      <w:pPr>
        <w:jc w:val="center"/>
      </w:pPr>
      <w:r w:rsidRPr="000665B0">
        <w:rPr>
          <w:noProof/>
        </w:rPr>
        <w:drawing>
          <wp:inline distT="0" distB="0" distL="0" distR="0" wp14:anchorId="6CC9B952" wp14:editId="48C0D5C4">
            <wp:extent cx="1371600" cy="923544"/>
            <wp:effectExtent l="0" t="0" r="0" b="0"/>
            <wp:docPr id="2041" name="Picture 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371600" cy="923544"/>
                    </a:xfrm>
                    <a:prstGeom prst="rect">
                      <a:avLst/>
                    </a:prstGeom>
                  </pic:spPr>
                </pic:pic>
              </a:graphicData>
            </a:graphic>
          </wp:inline>
        </w:drawing>
      </w:r>
      <w:r w:rsidR="00106387">
        <w:t xml:space="preserve"> </w:t>
      </w:r>
      <w:r w:rsidR="008538B6" w:rsidRPr="000665B0">
        <w:rPr>
          <w:noProof/>
        </w:rPr>
        <w:drawing>
          <wp:inline distT="0" distB="0" distL="0" distR="0" wp14:anchorId="2AE2CE3E" wp14:editId="2C8E411E">
            <wp:extent cx="1371600" cy="969264"/>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371600" cy="969264"/>
                    </a:xfrm>
                    <a:prstGeom prst="rect">
                      <a:avLst/>
                    </a:prstGeom>
                  </pic:spPr>
                </pic:pic>
              </a:graphicData>
            </a:graphic>
          </wp:inline>
        </w:drawing>
      </w:r>
    </w:p>
    <w:p w14:paraId="546E59BC" w14:textId="5C70C3EF" w:rsidR="004700F5" w:rsidRPr="000665B0" w:rsidRDefault="00564D9B" w:rsidP="00564D9B">
      <w:r w:rsidRPr="000665B0">
        <w:t xml:space="preserve">When </w:t>
      </w:r>
      <w:r w:rsidR="004700F5" w:rsidRPr="000665B0">
        <w:t xml:space="preserve">the user is </w:t>
      </w:r>
      <w:r w:rsidRPr="000665B0">
        <w:t>a Monitor, the target</w:t>
      </w:r>
      <w:r w:rsidR="007F2AAC" w:rsidRPr="000665B0">
        <w:t>’s</w:t>
      </w:r>
      <w:r w:rsidRPr="000665B0">
        <w:t xml:space="preserve"> tab contains only </w:t>
      </w:r>
      <w:r w:rsidR="008A1719" w:rsidRPr="000665B0">
        <w:t>the</w:t>
      </w:r>
      <w:r w:rsidRPr="000665B0">
        <w:t xml:space="preserve"> </w:t>
      </w:r>
      <w:r w:rsidRPr="000665B0">
        <w:rPr>
          <w:b/>
          <w:i/>
        </w:rPr>
        <w:t>Tracks</w:t>
      </w:r>
      <w:r w:rsidRPr="000665B0">
        <w:t xml:space="preserve"> sub-tab.</w:t>
      </w:r>
      <w:r w:rsidR="00DF231E">
        <w:t xml:space="preserve"> A monitor needs a target to be set to Assume Control (see </w:t>
      </w:r>
      <w:hyperlink w:anchor="_Set_Target" w:history="1">
        <w:r w:rsidR="0096517C">
          <w:rPr>
            <w:rStyle w:val="Hyperlink"/>
          </w:rPr>
          <w:t xml:space="preserve">Section </w:t>
        </w:r>
        <w:r w:rsidR="004231CC">
          <w:rPr>
            <w:rStyle w:val="Hyperlink"/>
          </w:rPr>
          <w:t>5.35</w:t>
        </w:r>
        <w:r w:rsidR="00DF231E" w:rsidRPr="00DF231E">
          <w:rPr>
            <w:rStyle w:val="Hyperlink"/>
          </w:rPr>
          <w:t>.3.1.3.1.1</w:t>
        </w:r>
      </w:hyperlink>
      <w:r w:rsidR="00DF231E">
        <w:t>).</w:t>
      </w:r>
    </w:p>
    <w:p w14:paraId="796E1C93" w14:textId="78D1ED3E" w:rsidR="00564D9B" w:rsidRPr="000665B0" w:rsidRDefault="0072309A" w:rsidP="004700F5">
      <w:pPr>
        <w:jc w:val="center"/>
      </w:pPr>
      <w:r>
        <w:rPr>
          <w:noProof/>
        </w:rPr>
        <w:lastRenderedPageBreak/>
        <w:drawing>
          <wp:inline distT="0" distB="0" distL="0" distR="0" wp14:anchorId="3C910161" wp14:editId="3388C70A">
            <wp:extent cx="3154680" cy="3054096"/>
            <wp:effectExtent l="0" t="0" r="0" b="0"/>
            <wp:docPr id="1950422970"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22970" name="Picture 1" descr="A picture containing graphical user interface&#10;&#10;Description automatically generated"/>
                    <pic:cNvPicPr>
                      <a:picLocks noChangeAspect="1"/>
                    </pic:cNvPicPr>
                  </pic:nvPicPr>
                  <pic:blipFill>
                    <a:blip/>
                    <a:stretch>
                      <a:fillRect/>
                    </a:stretch>
                  </pic:blipFill>
                  <pic:spPr>
                    <a:xfrm>
                      <a:off x="0" y="0"/>
                      <a:ext cx="3154680" cy="3054096"/>
                    </a:xfrm>
                    <a:prstGeom prst="rect">
                      <a:avLst/>
                    </a:prstGeom>
                  </pic:spPr>
                </pic:pic>
              </a:graphicData>
            </a:graphic>
          </wp:inline>
        </w:drawing>
      </w:r>
    </w:p>
    <w:p w14:paraId="419F31F0" w14:textId="0B10D493" w:rsidR="00564D9B" w:rsidRPr="000665B0" w:rsidRDefault="00564D9B" w:rsidP="00564D9B">
      <w:r w:rsidRPr="000665B0">
        <w:t>When the user assumes control</w:t>
      </w:r>
      <w:r w:rsidR="004700F5" w:rsidRPr="000665B0">
        <w:t xml:space="preserve"> of the MST strike (see </w:t>
      </w:r>
      <w:hyperlink w:anchor="_Assume_Control/Release_Control" w:history="1">
        <w:r w:rsidR="004700F5" w:rsidRPr="000665B0">
          <w:rPr>
            <w:rStyle w:val="Hyperlink"/>
          </w:rPr>
          <w:t xml:space="preserve">Section </w:t>
        </w:r>
        <w:r w:rsidR="004231CC">
          <w:rPr>
            <w:rStyle w:val="Hyperlink"/>
          </w:rPr>
          <w:t>5.35</w:t>
        </w:r>
        <w:r w:rsidR="004700F5" w:rsidRPr="000665B0">
          <w:rPr>
            <w:rStyle w:val="Hyperlink"/>
          </w:rPr>
          <w:t>.3.1.3.3</w:t>
        </w:r>
      </w:hyperlink>
      <w:r w:rsidR="004700F5" w:rsidRPr="000665B0">
        <w:t>)</w:t>
      </w:r>
      <w:r w:rsidRPr="000665B0">
        <w:t xml:space="preserve">, the </w:t>
      </w:r>
      <w:r w:rsidRPr="000665B0">
        <w:rPr>
          <w:b/>
          <w:i/>
        </w:rPr>
        <w:t>Control</w:t>
      </w:r>
      <w:r w:rsidRPr="000665B0">
        <w:t xml:space="preserve"> sub-tab</w:t>
      </w:r>
      <w:r w:rsidR="004700F5" w:rsidRPr="000665B0">
        <w:t xml:space="preserve"> is </w:t>
      </w:r>
      <w:r w:rsidR="009970F7" w:rsidRPr="000665B0">
        <w:t>added as a selectable tab</w:t>
      </w:r>
      <w:r w:rsidRPr="000665B0">
        <w:t>.</w:t>
      </w:r>
    </w:p>
    <w:p w14:paraId="134B9F14" w14:textId="5F1C591D" w:rsidR="00564D9B" w:rsidRPr="000665B0" w:rsidRDefault="00DF231E" w:rsidP="004700F5">
      <w:pPr>
        <w:jc w:val="center"/>
      </w:pPr>
      <w:r w:rsidRPr="001427C2">
        <w:rPr>
          <w:noProof/>
        </w:rPr>
        <w:drawing>
          <wp:inline distT="0" distB="0" distL="0" distR="0" wp14:anchorId="0E631358" wp14:editId="152938B7">
            <wp:extent cx="3154680" cy="2862072"/>
            <wp:effectExtent l="0" t="0" r="0" b="0"/>
            <wp:docPr id="189622060"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060" name="Picture 1" descr="A picture containing graphical user interface&#10;&#10;Description automatically generated"/>
                    <pic:cNvPicPr/>
                  </pic:nvPicPr>
                  <pic:blipFill>
                    <a:blip/>
                    <a:stretch>
                      <a:fillRect/>
                    </a:stretch>
                  </pic:blipFill>
                  <pic:spPr>
                    <a:xfrm>
                      <a:off x="0" y="0"/>
                      <a:ext cx="3154680" cy="2862072"/>
                    </a:xfrm>
                    <a:prstGeom prst="rect">
                      <a:avLst/>
                    </a:prstGeom>
                  </pic:spPr>
                </pic:pic>
              </a:graphicData>
            </a:graphic>
          </wp:inline>
        </w:drawing>
      </w:r>
    </w:p>
    <w:p w14:paraId="67C40E2C" w14:textId="66A41519" w:rsidR="00564D9B" w:rsidRPr="000665B0" w:rsidRDefault="00564D9B" w:rsidP="009970F7">
      <w:pPr>
        <w:rPr>
          <w:b/>
        </w:rPr>
      </w:pPr>
      <w:r w:rsidRPr="000665B0">
        <w:t xml:space="preserve">The </w:t>
      </w:r>
      <w:r w:rsidRPr="000665B0">
        <w:rPr>
          <w:b/>
          <w:i/>
        </w:rPr>
        <w:t>Tracks</w:t>
      </w:r>
      <w:r w:rsidRPr="000665B0">
        <w:t xml:space="preserve"> sub-tab</w:t>
      </w:r>
      <w:r w:rsidR="008A1719" w:rsidRPr="000665B0">
        <w:t xml:space="preserve"> </w:t>
      </w:r>
      <w:r w:rsidRPr="000665B0">
        <w:t>identifies tracks within the FOC engagement area that match one of the target classes in the SEP</w:t>
      </w:r>
      <w:r w:rsidR="009970F7" w:rsidRPr="000665B0">
        <w:t xml:space="preserve"> (see </w:t>
      </w:r>
      <w:hyperlink w:anchor="_Tracks_Tab" w:history="1">
        <w:r w:rsidR="009970F7" w:rsidRPr="000665B0">
          <w:rPr>
            <w:rStyle w:val="Hyperlink"/>
          </w:rPr>
          <w:t xml:space="preserve">Section </w:t>
        </w:r>
        <w:r w:rsidR="004231CC">
          <w:rPr>
            <w:rStyle w:val="Hyperlink"/>
          </w:rPr>
          <w:t>5.35</w:t>
        </w:r>
        <w:r w:rsidR="009970F7" w:rsidRPr="000665B0">
          <w:rPr>
            <w:rStyle w:val="Hyperlink"/>
          </w:rPr>
          <w:t>.3.1.3.1</w:t>
        </w:r>
      </w:hyperlink>
      <w:r w:rsidR="009970F7" w:rsidRPr="000665B0">
        <w:t>)</w:t>
      </w:r>
      <w:r w:rsidRPr="000665B0">
        <w:t xml:space="preserve">. </w:t>
      </w:r>
    </w:p>
    <w:p w14:paraId="6EB409F8" w14:textId="5038F513" w:rsidR="00564D9B" w:rsidRPr="000665B0" w:rsidRDefault="00564D9B" w:rsidP="009970F7">
      <w:pPr>
        <w:rPr>
          <w:b/>
        </w:rPr>
      </w:pPr>
      <w:r w:rsidRPr="000665B0">
        <w:t xml:space="preserve">The </w:t>
      </w:r>
      <w:r w:rsidRPr="000665B0">
        <w:rPr>
          <w:b/>
          <w:i/>
        </w:rPr>
        <w:t>Control</w:t>
      </w:r>
      <w:r w:rsidRPr="000665B0">
        <w:t xml:space="preserve"> sub-tab</w:t>
      </w:r>
      <w:r w:rsidR="003045E3" w:rsidRPr="000665B0">
        <w:t xml:space="preserve"> is</w:t>
      </w:r>
      <w:r w:rsidRPr="000665B0">
        <w:t xml:space="preserve"> used to send command IMMMs to one or more MST-enabled missiles</w:t>
      </w:r>
      <w:r w:rsidR="009970F7" w:rsidRPr="000665B0">
        <w:t xml:space="preserve"> (see </w:t>
      </w:r>
      <w:hyperlink w:anchor="_Control_Tab" w:history="1">
        <w:r w:rsidR="009970F7" w:rsidRPr="000665B0">
          <w:rPr>
            <w:rStyle w:val="Hyperlink"/>
          </w:rPr>
          <w:t xml:space="preserve">Section </w:t>
        </w:r>
        <w:r w:rsidR="004231CC">
          <w:rPr>
            <w:rStyle w:val="Hyperlink"/>
          </w:rPr>
          <w:t>5.35</w:t>
        </w:r>
        <w:r w:rsidR="009970F7" w:rsidRPr="000665B0">
          <w:rPr>
            <w:rStyle w:val="Hyperlink"/>
          </w:rPr>
          <w:t>.3.1.3.2</w:t>
        </w:r>
      </w:hyperlink>
      <w:r w:rsidR="009970F7" w:rsidRPr="000665B0">
        <w:t>)</w:t>
      </w:r>
      <w:r w:rsidRPr="000665B0">
        <w:t xml:space="preserve">. </w:t>
      </w:r>
    </w:p>
    <w:p w14:paraId="0BEF66C2" w14:textId="5D93A053" w:rsidR="00564D9B" w:rsidRPr="000665B0" w:rsidRDefault="00DF231E" w:rsidP="00D731DF">
      <w:pPr>
        <w:jc w:val="center"/>
      </w:pPr>
      <w:r>
        <w:rPr>
          <w:noProof/>
        </w:rPr>
        <w:lastRenderedPageBreak/>
        <w:drawing>
          <wp:inline distT="0" distB="0" distL="0" distR="0" wp14:anchorId="05011289" wp14:editId="7470E2E7">
            <wp:extent cx="3154680" cy="2642616"/>
            <wp:effectExtent l="0" t="0" r="0" b="0"/>
            <wp:docPr id="624011370" name="Picture 62401137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11370" name="Picture 624011370" descr="Graphical user interface, text, application, email&#10;&#10;Description automatically generated"/>
                    <pic:cNvPicPr/>
                  </pic:nvPicPr>
                  <pic:blipFill>
                    <a:blip cstate="print">
                      <a:extLst>
                        <a:ext uri="{28A0092B-C50C-407E-A947-70E740481C1C}">
                          <a14:useLocalDpi xmlns:a14="http://schemas.microsoft.com/office/drawing/2010/main" val="0"/>
                        </a:ext>
                      </a:extLst>
                    </a:blip>
                    <a:stretch>
                      <a:fillRect/>
                    </a:stretch>
                  </pic:blipFill>
                  <pic:spPr>
                    <a:xfrm>
                      <a:off x="0" y="0"/>
                      <a:ext cx="3154680" cy="2642616"/>
                    </a:xfrm>
                    <a:prstGeom prst="rect">
                      <a:avLst/>
                    </a:prstGeom>
                  </pic:spPr>
                </pic:pic>
              </a:graphicData>
            </a:graphic>
          </wp:inline>
        </w:drawing>
      </w:r>
    </w:p>
    <w:p w14:paraId="3B4AA363" w14:textId="3FA277D7" w:rsidR="005A21C1" w:rsidRPr="00BB2E5D" w:rsidRDefault="00B419B2" w:rsidP="00BB2E5D">
      <w:pPr>
        <w:rPr>
          <w:szCs w:val="24"/>
        </w:rPr>
      </w:pPr>
      <w:r w:rsidRPr="000665B0">
        <w:t xml:space="preserve">Each sub-tab displays the Target ID followed by the display name of the </w:t>
      </w:r>
      <w:r w:rsidR="00D83462" w:rsidRPr="000665B0">
        <w:t>t</w:t>
      </w:r>
      <w:r w:rsidRPr="000665B0">
        <w:t xml:space="preserve">arget track. Select the desired </w:t>
      </w:r>
      <w:r w:rsidR="0072309A">
        <w:t xml:space="preserve">option from the dropdown </w:t>
      </w:r>
      <w:r w:rsidRPr="000665B0">
        <w:t xml:space="preserve">to display </w:t>
      </w:r>
      <w:r w:rsidR="00EC009F" w:rsidRPr="000665B0">
        <w:t xml:space="preserve">the </w:t>
      </w:r>
      <w:r w:rsidR="00D83462" w:rsidRPr="000665B0">
        <w:t>t</w:t>
      </w:r>
      <w:r w:rsidRPr="000665B0">
        <w:t xml:space="preserve">arget </w:t>
      </w:r>
      <w:r w:rsidR="003920D5" w:rsidRPr="000665B0">
        <w:t xml:space="preserve">track </w:t>
      </w:r>
      <w:r w:rsidRPr="000665B0">
        <w:t xml:space="preserve">by its </w:t>
      </w:r>
      <w:r w:rsidRPr="000665B0">
        <w:rPr>
          <w:b/>
        </w:rPr>
        <w:t>CST UID</w:t>
      </w:r>
      <w:r w:rsidR="0072309A">
        <w:rPr>
          <w:b/>
        </w:rPr>
        <w:t xml:space="preserve">, </w:t>
      </w:r>
      <w:r w:rsidRPr="000665B0">
        <w:rPr>
          <w:b/>
        </w:rPr>
        <w:t>Best Label</w:t>
      </w:r>
      <w:r w:rsidR="0072309A">
        <w:rPr>
          <w:b/>
        </w:rPr>
        <w:t>, or System Track Number</w:t>
      </w:r>
      <w:r w:rsidR="00EC009F" w:rsidRPr="000665B0">
        <w:t>.</w:t>
      </w:r>
      <w:r w:rsidRPr="000665B0">
        <w:t xml:space="preserve"> The </w:t>
      </w:r>
      <w:r w:rsidRPr="000665B0">
        <w:rPr>
          <w:b/>
        </w:rPr>
        <w:t>CST ID</w:t>
      </w:r>
      <w:r w:rsidRPr="000665B0">
        <w:t xml:space="preserve"> </w:t>
      </w:r>
      <w:r w:rsidR="00455C60" w:rsidRPr="000665B0">
        <w:t xml:space="preserve">is a </w:t>
      </w:r>
      <w:r w:rsidR="00D83462" w:rsidRPr="000665B0">
        <w:t>t</w:t>
      </w:r>
      <w:r w:rsidR="003920D5" w:rsidRPr="000665B0">
        <w:t xml:space="preserve">arget </w:t>
      </w:r>
      <w:r w:rsidR="00455C60" w:rsidRPr="000665B0">
        <w:t xml:space="preserve">track’s </w:t>
      </w:r>
      <w:r w:rsidR="00455C60" w:rsidRPr="000665B0">
        <w:rPr>
          <w:szCs w:val="24"/>
        </w:rPr>
        <w:t xml:space="preserve">Console Selected Track Unique Identifier while </w:t>
      </w:r>
      <w:r w:rsidR="00455C60" w:rsidRPr="000665B0">
        <w:rPr>
          <w:b/>
          <w:szCs w:val="24"/>
        </w:rPr>
        <w:t>Best Label</w:t>
      </w:r>
      <w:r w:rsidR="00455C60" w:rsidRPr="000665B0">
        <w:rPr>
          <w:szCs w:val="24"/>
        </w:rPr>
        <w:t xml:space="preserve"> is a more readable name.</w:t>
      </w:r>
    </w:p>
    <w:p w14:paraId="35A893A5" w14:textId="6ED9EEAE" w:rsidR="00EE6C4C" w:rsidRPr="000665B0" w:rsidRDefault="00B65E7C" w:rsidP="00306174">
      <w:pPr>
        <w:pStyle w:val="Heading6"/>
      </w:pPr>
      <w:bookmarkStart w:id="6596" w:name="_Tracks_Tab"/>
      <w:bookmarkStart w:id="6597" w:name="_Hlk74582037"/>
      <w:bookmarkEnd w:id="6596"/>
      <w:r w:rsidRPr="000665B0">
        <w:t>Tracks Tab</w:t>
      </w:r>
    </w:p>
    <w:p w14:paraId="1FA79C64" w14:textId="56DC459A" w:rsidR="00C269D4" w:rsidRPr="000665B0" w:rsidRDefault="006A0277" w:rsidP="00BB2E5D">
      <w:r w:rsidRPr="000665B0">
        <w:t xml:space="preserve">The </w:t>
      </w:r>
      <w:r w:rsidRPr="000665B0">
        <w:rPr>
          <w:b/>
          <w:i/>
        </w:rPr>
        <w:t>Tracks</w:t>
      </w:r>
      <w:r w:rsidRPr="000665B0">
        <w:t xml:space="preserve"> sub-tab identifies tracks within the FOC engagement area that match one of the target classes in the SEP. The tracks are categorized by Primary, Secondary</w:t>
      </w:r>
      <w:r w:rsidR="00C269D4" w:rsidRPr="000665B0">
        <w:t>,</w:t>
      </w:r>
      <w:r w:rsidRPr="000665B0">
        <w:t xml:space="preserve"> or Tertiary target class. The target track is identified by the bullseye target icon (</w:t>
      </w:r>
      <w:r w:rsidR="00696DBF">
        <w:rPr>
          <w:noProof/>
        </w:rPr>
        <w:drawing>
          <wp:inline distT="0" distB="0" distL="0" distR="0" wp14:anchorId="3D522B51" wp14:editId="14548CE8">
            <wp:extent cx="160020" cy="160020"/>
            <wp:effectExtent l="0" t="0" r="0" b="0"/>
            <wp:docPr id="163820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0665B0">
        <w:t xml:space="preserve">). </w:t>
      </w:r>
    </w:p>
    <w:p w14:paraId="45BE54EF" w14:textId="671C43EE" w:rsidR="00D83462" w:rsidRPr="000665B0" w:rsidRDefault="00D83462" w:rsidP="00D83462">
      <w:r w:rsidRPr="000665B0">
        <w:rPr>
          <w:bCs/>
        </w:rPr>
        <w:t xml:space="preserve">The </w:t>
      </w:r>
      <w:r w:rsidRPr="000665B0">
        <w:rPr>
          <w:b/>
          <w:bCs/>
        </w:rPr>
        <w:t>Search</w:t>
      </w:r>
      <w:r w:rsidRPr="000665B0">
        <w:rPr>
          <w:bCs/>
        </w:rPr>
        <w:t xml:space="preserve"> field is used to find tracks and</w:t>
      </w:r>
      <w:r w:rsidRPr="000665B0">
        <w:t xml:space="preserve"> narrow the criteria of which tracks are displayed in the </w:t>
      </w:r>
      <w:r w:rsidRPr="000665B0">
        <w:rPr>
          <w:b/>
        </w:rPr>
        <w:t>Primary</w:t>
      </w:r>
      <w:r w:rsidRPr="000665B0">
        <w:t xml:space="preserve">, </w:t>
      </w:r>
      <w:r w:rsidRPr="000665B0">
        <w:rPr>
          <w:b/>
        </w:rPr>
        <w:t>Secondary</w:t>
      </w:r>
      <w:r w:rsidRPr="000665B0">
        <w:t xml:space="preserve">, or </w:t>
      </w:r>
      <w:r w:rsidRPr="000665B0">
        <w:rPr>
          <w:b/>
        </w:rPr>
        <w:t>Tertiary</w:t>
      </w:r>
      <w:r w:rsidRPr="000665B0">
        <w:t xml:space="preserve"> target class columns. To search, type a filter substring in the </w:t>
      </w:r>
      <w:r w:rsidRPr="000665B0">
        <w:rPr>
          <w:b/>
        </w:rPr>
        <w:t>Search</w:t>
      </w:r>
      <w:r w:rsidRPr="000665B0">
        <w:t xml:space="preserve"> field and press the </w:t>
      </w:r>
      <w:r w:rsidRPr="000665B0">
        <w:rPr>
          <w:b/>
        </w:rPr>
        <w:t>Enter</w:t>
      </w:r>
      <w:r w:rsidRPr="000665B0">
        <w:t xml:space="preserve"> key. </w:t>
      </w:r>
      <w:r w:rsidR="00C73C39" w:rsidRPr="000665B0">
        <w:t xml:space="preserve">For example, entering a “2” in the </w:t>
      </w:r>
      <w:r w:rsidR="00C73C39" w:rsidRPr="000665B0">
        <w:rPr>
          <w:b/>
        </w:rPr>
        <w:t>Search</w:t>
      </w:r>
      <w:r w:rsidR="00C73C39" w:rsidRPr="000665B0">
        <w:t xml:space="preserve"> field displays only those tracks with a “2” in their name. </w:t>
      </w:r>
      <w:r w:rsidRPr="000665B0">
        <w:t xml:space="preserve">To stop searching, </w:t>
      </w:r>
      <w:r w:rsidR="00C73C39" w:rsidRPr="000665B0">
        <w:t xml:space="preserve">delete the text from the </w:t>
      </w:r>
      <w:r w:rsidR="00C73C39" w:rsidRPr="000665B0">
        <w:rPr>
          <w:b/>
        </w:rPr>
        <w:t>Search</w:t>
      </w:r>
      <w:r w:rsidR="00C73C39" w:rsidRPr="000665B0">
        <w:t xml:space="preserve"> field or </w:t>
      </w:r>
      <w:r w:rsidRPr="000665B0">
        <w:t xml:space="preserve">click the </w:t>
      </w:r>
      <w:r w:rsidRPr="000665B0">
        <w:rPr>
          <w:b/>
        </w:rPr>
        <w:t>X</w:t>
      </w:r>
      <w:r w:rsidRPr="000665B0">
        <w:t xml:space="preserve"> in the </w:t>
      </w:r>
      <w:r w:rsidRPr="000665B0">
        <w:rPr>
          <w:b/>
        </w:rPr>
        <w:t>Search</w:t>
      </w:r>
      <w:r w:rsidRPr="000665B0">
        <w:t xml:space="preserve"> field.</w:t>
      </w:r>
    </w:p>
    <w:p w14:paraId="6A6E0C43" w14:textId="77777777" w:rsidR="0099430A" w:rsidRPr="000665B0" w:rsidRDefault="0099430A" w:rsidP="0099430A">
      <w:r w:rsidRPr="000665B0">
        <w:t xml:space="preserve">Functions available on the </w:t>
      </w:r>
      <w:r w:rsidRPr="000665B0">
        <w:rPr>
          <w:b/>
          <w:i/>
        </w:rPr>
        <w:t>Tracks</w:t>
      </w:r>
      <w:r w:rsidRPr="000665B0">
        <w:t xml:space="preserve"> sub-tab include:</w:t>
      </w:r>
    </w:p>
    <w:p w14:paraId="1AD9522A" w14:textId="16FF676D" w:rsidR="0099430A" w:rsidRPr="00C36B36" w:rsidRDefault="0099430A" w:rsidP="006D5A65">
      <w:pPr>
        <w:pStyle w:val="Heading1"/>
      </w:pPr>
      <w:r w:rsidRPr="000665B0">
        <w:lastRenderedPageBreak/>
        <w:t>Set Target – Sets the target track to a new track from the Primary target class</w:t>
      </w:r>
      <w:r w:rsidR="006D1F9F">
        <w:t xml:space="preserve"> (see </w:t>
      </w:r>
      <w:hyperlink w:anchor="_Set_Target" w:history="1">
        <w:r w:rsidR="006D1F9F" w:rsidRPr="006D1F9F">
          <w:rPr>
            <w:rStyle w:val="Hyperlink"/>
          </w:rPr>
          <w:t xml:space="preserve">Section </w:t>
        </w:r>
        <w:r w:rsidR="004231CC">
          <w:rPr>
            <w:rStyle w:val="Hyperlink"/>
          </w:rPr>
          <w:t>5.35</w:t>
        </w:r>
        <w:r w:rsidR="006D1F9F" w:rsidRPr="006D1F9F">
          <w:rPr>
            <w:rStyle w:val="Hyperlink"/>
          </w:rPr>
          <w:t>.3.1.3.1.1</w:t>
        </w:r>
      </w:hyperlink>
      <w:r w:rsidR="006D1F9F">
        <w:t>).</w:t>
      </w:r>
    </w:p>
    <w:p w14:paraId="33C27F00" w14:textId="0BD374D8" w:rsidR="0072309A" w:rsidRPr="000665B0" w:rsidRDefault="00696DBF" w:rsidP="00C36B36">
      <w:pPr>
        <w:jc w:val="center"/>
        <w:rPr>
          <w:b/>
        </w:rPr>
      </w:pPr>
      <w:r w:rsidRPr="00E307D5">
        <w:rPr>
          <w:noProof/>
        </w:rPr>
        <w:drawing>
          <wp:inline distT="0" distB="0" distL="0" distR="0" wp14:anchorId="2AC43491" wp14:editId="45682099">
            <wp:extent cx="3154680" cy="2898648"/>
            <wp:effectExtent l="0" t="0" r="0" b="0"/>
            <wp:docPr id="2068967816"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67816" name="Picture 1" descr="Diagram&#10;&#10;Description automatically generated"/>
                    <pic:cNvPicPr/>
                  </pic:nvPicPr>
                  <pic:blipFill>
                    <a:blip/>
                    <a:stretch>
                      <a:fillRect/>
                    </a:stretch>
                  </pic:blipFill>
                  <pic:spPr>
                    <a:xfrm>
                      <a:off x="0" y="0"/>
                      <a:ext cx="3154680" cy="2898648"/>
                    </a:xfrm>
                    <a:prstGeom prst="rect">
                      <a:avLst/>
                    </a:prstGeom>
                  </pic:spPr>
                </pic:pic>
              </a:graphicData>
            </a:graphic>
          </wp:inline>
        </w:drawing>
      </w:r>
    </w:p>
    <w:p w14:paraId="74748C69" w14:textId="1E19FF34" w:rsidR="00D258EA" w:rsidRPr="000665B0" w:rsidRDefault="00D258EA" w:rsidP="00D258EA">
      <w:pPr>
        <w:pStyle w:val="Heading7"/>
      </w:pPr>
      <w:bookmarkStart w:id="6598" w:name="_Set_Target"/>
      <w:bookmarkStart w:id="6599" w:name="_Hlk74580942"/>
      <w:bookmarkEnd w:id="6598"/>
      <w:r w:rsidRPr="000665B0">
        <w:t>Set Target</w:t>
      </w:r>
    </w:p>
    <w:p w14:paraId="2D906D90" w14:textId="7DF8FFCF" w:rsidR="00E269A3" w:rsidRDefault="00E269A3" w:rsidP="00B65E7C">
      <w:r w:rsidRPr="00833F58">
        <w:t>A maritime target may be designated automatically or manually.</w:t>
      </w:r>
    </w:p>
    <w:p w14:paraId="403026DA" w14:textId="2B0AD294" w:rsidR="00E269A3" w:rsidRPr="00E269A3" w:rsidRDefault="00E269A3" w:rsidP="00E269A3">
      <w:pPr>
        <w:rPr>
          <w:b/>
        </w:rPr>
      </w:pPr>
      <w:r>
        <w:rPr>
          <w:b/>
        </w:rPr>
        <w:t>Automatic</w:t>
      </w:r>
      <w:r w:rsidRPr="00E269A3">
        <w:rPr>
          <w:b/>
        </w:rPr>
        <w:t xml:space="preserve"> Designation</w:t>
      </w:r>
    </w:p>
    <w:p w14:paraId="49230410" w14:textId="77777777" w:rsidR="00A156E6" w:rsidRDefault="00E269A3" w:rsidP="00E269A3">
      <w:r>
        <w:t>When an MST SEP is received and processed, MDS uses the target track ID from the SEP and attempts to find a track with a matching CST UID attribute. (Other attributes are also considered when track sources other than GCCS are added to the TMPC system in support of maritime tasking.)</w:t>
      </w:r>
    </w:p>
    <w:p w14:paraId="00C47349" w14:textId="4A3633FF" w:rsidR="00A156E6" w:rsidRDefault="00E269A3" w:rsidP="00E269A3">
      <w:r>
        <w:t>If a track is identified, it is automatically designated as the target track for that engagement, and an entry is added to the SMD Events Log to indicate successful target designation.</w:t>
      </w:r>
    </w:p>
    <w:p w14:paraId="46418BA4" w14:textId="77777777" w:rsidR="00A156E6" w:rsidRDefault="00A156E6" w:rsidP="00A156E6">
      <w:pPr>
        <w:jc w:val="center"/>
      </w:pPr>
      <w:r>
        <w:rPr>
          <w:noProof/>
        </w:rPr>
        <w:drawing>
          <wp:inline distT="0" distB="0" distL="0" distR="0" wp14:anchorId="36D93E4C" wp14:editId="57084CA3">
            <wp:extent cx="4983480" cy="1508760"/>
            <wp:effectExtent l="0" t="0" r="0" b="0"/>
            <wp:docPr id="1801082870" name="Picture 180108287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82870" name="Picture 1801082870" descr="Graphical user interface, text, application, email&#10;&#10;Description automatically generated"/>
                    <pic:cNvPicPr/>
                  </pic:nvPicPr>
                  <pic:blipFill>
                    <a:blip cstate="print">
                      <a:extLst>
                        <a:ext uri="{28A0092B-C50C-407E-A947-70E740481C1C}">
                          <a14:useLocalDpi xmlns:a14="http://schemas.microsoft.com/office/drawing/2010/main" val="0"/>
                        </a:ext>
                      </a:extLst>
                    </a:blip>
                    <a:stretch>
                      <a:fillRect/>
                    </a:stretch>
                  </pic:blipFill>
                  <pic:spPr>
                    <a:xfrm>
                      <a:off x="0" y="0"/>
                      <a:ext cx="4983480" cy="1508760"/>
                    </a:xfrm>
                    <a:prstGeom prst="rect">
                      <a:avLst/>
                    </a:prstGeom>
                  </pic:spPr>
                </pic:pic>
              </a:graphicData>
            </a:graphic>
          </wp:inline>
        </w:drawing>
      </w:r>
    </w:p>
    <w:p w14:paraId="208DC3D4" w14:textId="68B36BF5" w:rsidR="00A156E6" w:rsidRDefault="00A156E6" w:rsidP="00BB4EBE">
      <w:pPr>
        <w:jc w:val="center"/>
      </w:pPr>
      <w:r>
        <w:rPr>
          <w:noProof/>
        </w:rPr>
        <w:lastRenderedPageBreak/>
        <w:drawing>
          <wp:inline distT="0" distB="0" distL="0" distR="0" wp14:anchorId="1C5E26E7" wp14:editId="74BAF0EB">
            <wp:extent cx="3154680" cy="1115568"/>
            <wp:effectExtent l="0" t="0" r="0" b="0"/>
            <wp:docPr id="1392308168" name="Picture 139230816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08168" name="Picture 1392308168" descr="Graphical user interface, text, application&#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3154680" cy="1115568"/>
                    </a:xfrm>
                    <a:prstGeom prst="rect">
                      <a:avLst/>
                    </a:prstGeom>
                  </pic:spPr>
                </pic:pic>
              </a:graphicData>
            </a:graphic>
          </wp:inline>
        </w:drawing>
      </w:r>
    </w:p>
    <w:p w14:paraId="23345416" w14:textId="3AB88C3F" w:rsidR="003B67EF" w:rsidRDefault="003B67EF" w:rsidP="00E269A3">
      <w:r w:rsidRPr="003B67EF">
        <w:t xml:space="preserve">When a track is automatically designated as the target track, it is also automatically set as a Track of Interest (see </w:t>
      </w:r>
      <w:hyperlink w:anchor="_Set_as_Track_3" w:history="1">
        <w:r w:rsidRPr="003B67EF">
          <w:rPr>
            <w:rStyle w:val="Hyperlink"/>
          </w:rPr>
          <w:t xml:space="preserve">Section </w:t>
        </w:r>
        <w:r w:rsidR="004231CC">
          <w:rPr>
            <w:rStyle w:val="Hyperlink"/>
          </w:rPr>
          <w:t>5.32</w:t>
        </w:r>
        <w:r w:rsidRPr="003B67EF">
          <w:rPr>
            <w:rStyle w:val="Hyperlink"/>
          </w:rPr>
          <w:t>.8</w:t>
        </w:r>
      </w:hyperlink>
      <w:r w:rsidRPr="003B67EF">
        <w:t>).</w:t>
      </w:r>
    </w:p>
    <w:p w14:paraId="521BAC51" w14:textId="47CED358" w:rsidR="00E269A3" w:rsidRDefault="00E269A3" w:rsidP="00E269A3">
      <w:r>
        <w:t>If no track is identified</w:t>
      </w:r>
      <w:r w:rsidR="003B67EF">
        <w:t xml:space="preserve"> as the target track</w:t>
      </w:r>
      <w:r>
        <w:t xml:space="preserve">, an entry is added to the SMD Events Log to indicate that manual target designation is required. </w:t>
      </w:r>
    </w:p>
    <w:p w14:paraId="6FC6CC3C" w14:textId="3DF96D0E" w:rsidR="00A156E6" w:rsidRDefault="00A156E6" w:rsidP="00A156E6">
      <w:pPr>
        <w:jc w:val="center"/>
      </w:pPr>
      <w:r w:rsidRPr="00E45CAD">
        <w:rPr>
          <w:noProof/>
        </w:rPr>
        <w:drawing>
          <wp:inline distT="0" distB="0" distL="0" distR="0" wp14:anchorId="24D98363" wp14:editId="7A1E4045">
            <wp:extent cx="4983480" cy="1051560"/>
            <wp:effectExtent l="0" t="0" r="0" b="0"/>
            <wp:docPr id="1750197430"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97430" name="Picture 1" descr="Graphical user interface, application&#10;&#10;Description automatically generated"/>
                    <pic:cNvPicPr/>
                  </pic:nvPicPr>
                  <pic:blipFill>
                    <a:blip/>
                    <a:stretch>
                      <a:fillRect/>
                    </a:stretch>
                  </pic:blipFill>
                  <pic:spPr>
                    <a:xfrm>
                      <a:off x="0" y="0"/>
                      <a:ext cx="4983480" cy="1051560"/>
                    </a:xfrm>
                    <a:prstGeom prst="rect">
                      <a:avLst/>
                    </a:prstGeom>
                  </pic:spPr>
                </pic:pic>
              </a:graphicData>
            </a:graphic>
          </wp:inline>
        </w:drawing>
      </w:r>
    </w:p>
    <w:p w14:paraId="54866F76" w14:textId="227DC6FF" w:rsidR="00A156E6" w:rsidRDefault="00A156E6" w:rsidP="00BB4EBE">
      <w:pPr>
        <w:jc w:val="center"/>
      </w:pPr>
      <w:r w:rsidRPr="00E45CAD">
        <w:rPr>
          <w:noProof/>
        </w:rPr>
        <w:drawing>
          <wp:inline distT="0" distB="0" distL="0" distR="0" wp14:anchorId="4E47E0CE" wp14:editId="612EB9BC">
            <wp:extent cx="2743200" cy="1234440"/>
            <wp:effectExtent l="0" t="0" r="0" b="0"/>
            <wp:docPr id="1126115966"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5966" name="Picture 1" descr="Graphical user interface, text, application&#10;&#10;Description automatically generated"/>
                    <pic:cNvPicPr/>
                  </pic:nvPicPr>
                  <pic:blipFill>
                    <a:blip/>
                    <a:stretch>
                      <a:fillRect/>
                    </a:stretch>
                  </pic:blipFill>
                  <pic:spPr>
                    <a:xfrm>
                      <a:off x="0" y="0"/>
                      <a:ext cx="2743200" cy="1234440"/>
                    </a:xfrm>
                    <a:prstGeom prst="rect">
                      <a:avLst/>
                    </a:prstGeom>
                  </pic:spPr>
                </pic:pic>
              </a:graphicData>
            </a:graphic>
          </wp:inline>
        </w:drawing>
      </w:r>
    </w:p>
    <w:p w14:paraId="0AAE7E37" w14:textId="1C17340F" w:rsidR="00E269A3" w:rsidRDefault="00E269A3" w:rsidP="00E269A3">
      <w:r>
        <w:t xml:space="preserve">Target tracks display unique identifiers on the SMD, including a </w:t>
      </w:r>
      <w:r w:rsidRPr="000665B0">
        <w:t>bullseye target icon (</w:t>
      </w:r>
      <w:r w:rsidR="00A156E6">
        <w:rPr>
          <w:noProof/>
        </w:rPr>
        <w:drawing>
          <wp:inline distT="0" distB="0" distL="0" distR="0" wp14:anchorId="581D8D09" wp14:editId="00B8769A">
            <wp:extent cx="160020" cy="160020"/>
            <wp:effectExtent l="0" t="0" r="0" b="0"/>
            <wp:docPr id="135306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0665B0">
        <w:t>)</w:t>
      </w:r>
      <w:r>
        <w:t xml:space="preserve"> next to the track name on the </w:t>
      </w:r>
      <w:r w:rsidRPr="00185502">
        <w:rPr>
          <w:b/>
        </w:rPr>
        <w:t>MST Control Panel</w:t>
      </w:r>
      <w:r>
        <w:t xml:space="preserve">. On the Geo display, the target track for that engagement displays a </w:t>
      </w:r>
      <w:r w:rsidRPr="00623E93">
        <w:rPr>
          <w:b/>
        </w:rPr>
        <w:t>T</w:t>
      </w:r>
      <w:r>
        <w:t xml:space="preserve"> followed by the Target Comms ID (</w:t>
      </w:r>
      <w:r w:rsidR="009C2AD1">
        <w:t>e.g.,</w:t>
      </w:r>
      <w:r>
        <w:t xml:space="preserve"> </w:t>
      </w:r>
      <w:r w:rsidRPr="00185502">
        <w:rPr>
          <w:b/>
        </w:rPr>
        <w:t>T1</w:t>
      </w:r>
      <w:r>
        <w:t>)</w:t>
      </w:r>
      <w:r w:rsidRPr="000665B0">
        <w:t xml:space="preserve"> </w:t>
      </w:r>
      <w:r>
        <w:t xml:space="preserve">in red text, surrounded by a </w:t>
      </w:r>
      <w:r w:rsidR="007A37E4">
        <w:t xml:space="preserve">hollow </w:t>
      </w:r>
      <w:r>
        <w:t>red square.</w:t>
      </w:r>
      <w:r w:rsidR="007A37E4">
        <w:t xml:space="preserve"> On the GOM, the target track is displayed in </w:t>
      </w:r>
      <w:r w:rsidR="000242AB">
        <w:t xml:space="preserve">white </w:t>
      </w:r>
      <w:r w:rsidR="007A37E4">
        <w:t>text surrounded by a solid red rectangle.</w:t>
      </w:r>
    </w:p>
    <w:p w14:paraId="599B87F7" w14:textId="08C61712" w:rsidR="003F53D3" w:rsidRDefault="003F53D3" w:rsidP="00E269A3">
      <w:pPr>
        <w:jc w:val="center"/>
      </w:pPr>
      <w:r>
        <w:rPr>
          <w:noProof/>
        </w:rPr>
        <w:lastRenderedPageBreak/>
        <w:drawing>
          <wp:inline distT="0" distB="0" distL="0" distR="0" wp14:anchorId="4124E69C" wp14:editId="66434F98">
            <wp:extent cx="4983480" cy="3300984"/>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3300984"/>
                    </a:xfrm>
                    <a:prstGeom prst="rect">
                      <a:avLst/>
                    </a:prstGeom>
                    <a:noFill/>
                    <a:ln>
                      <a:noFill/>
                    </a:ln>
                  </pic:spPr>
                </pic:pic>
              </a:graphicData>
            </a:graphic>
          </wp:inline>
        </w:drawing>
      </w:r>
    </w:p>
    <w:p w14:paraId="547A991E" w14:textId="4134D7AD" w:rsidR="00E269A3" w:rsidRDefault="00E269A3" w:rsidP="00E269A3">
      <w:r>
        <w:t>A “No</w:t>
      </w:r>
      <w:r w:rsidR="00EF642F">
        <w:t xml:space="preserve"> </w:t>
      </w:r>
      <w:r>
        <w:t xml:space="preserve">SEP Case” occurs when MDS doesn’t receive the SEP via DDO and </w:t>
      </w:r>
      <w:r w:rsidR="00475EBC">
        <w:t>must</w:t>
      </w:r>
      <w:r>
        <w:t xml:space="preserve"> reconstruct an engagement from an MST H&amp;S message. In this case, auto-designation does not occur because the MST H&amp;S message doesn’t contain the engagement’s target track ID.</w:t>
      </w:r>
    </w:p>
    <w:p w14:paraId="62C1D546" w14:textId="55976D01" w:rsidR="00E269A3" w:rsidRPr="00E269A3" w:rsidRDefault="00E269A3" w:rsidP="00B65E7C">
      <w:pPr>
        <w:rPr>
          <w:b/>
        </w:rPr>
      </w:pPr>
      <w:r w:rsidRPr="00E269A3">
        <w:rPr>
          <w:b/>
        </w:rPr>
        <w:t>Manual Designation</w:t>
      </w:r>
    </w:p>
    <w:p w14:paraId="57017FA1" w14:textId="7C2042D3" w:rsidR="00EF4AE7" w:rsidRPr="000665B0" w:rsidRDefault="00C269D4" w:rsidP="00B65E7C">
      <w:r w:rsidRPr="000665B0">
        <w:t>The</w:t>
      </w:r>
      <w:r w:rsidRPr="000665B0">
        <w:rPr>
          <w:b/>
        </w:rPr>
        <w:t xml:space="preserve"> </w:t>
      </w:r>
      <w:r w:rsidR="00B65E7C" w:rsidRPr="000665B0">
        <w:rPr>
          <w:b/>
        </w:rPr>
        <w:t xml:space="preserve">Set Target </w:t>
      </w:r>
      <w:r w:rsidRPr="000665B0">
        <w:t>button is used to s</w:t>
      </w:r>
      <w:r w:rsidR="00B65E7C" w:rsidRPr="000665B0">
        <w:t xml:space="preserve">et the target track to a new </w:t>
      </w:r>
      <w:r w:rsidRPr="000665B0">
        <w:t>t</w:t>
      </w:r>
      <w:r w:rsidR="00B65E7C" w:rsidRPr="000665B0">
        <w:t xml:space="preserve">rack from the Primary target class. </w:t>
      </w:r>
      <w:r w:rsidR="00B3637D">
        <w:t>T</w:t>
      </w:r>
      <w:r w:rsidR="00B65E7C" w:rsidRPr="000665B0">
        <w:t xml:space="preserve">he </w:t>
      </w:r>
      <w:r w:rsidR="00B65E7C" w:rsidRPr="000665B0">
        <w:rPr>
          <w:b/>
        </w:rPr>
        <w:t>Set Target</w:t>
      </w:r>
      <w:r w:rsidR="00B65E7C" w:rsidRPr="000665B0">
        <w:t xml:space="preserve"> </w:t>
      </w:r>
      <w:r w:rsidRPr="000665B0">
        <w:t>button</w:t>
      </w:r>
      <w:r w:rsidR="00B65E7C" w:rsidRPr="000665B0">
        <w:t xml:space="preserve"> is the only </w:t>
      </w:r>
      <w:r w:rsidRPr="000665B0">
        <w:t>c</w:t>
      </w:r>
      <w:r w:rsidR="00B65E7C" w:rsidRPr="000665B0">
        <w:t xml:space="preserve">ommand available in the </w:t>
      </w:r>
      <w:r w:rsidRPr="000665B0">
        <w:rPr>
          <w:b/>
          <w:i/>
        </w:rPr>
        <w:t>Tracks</w:t>
      </w:r>
      <w:r w:rsidR="00B65E7C" w:rsidRPr="000665B0">
        <w:t xml:space="preserve"> sub-tab. </w:t>
      </w:r>
    </w:p>
    <w:p w14:paraId="0ADF7869" w14:textId="1926710C" w:rsidR="00B65E7C" w:rsidRPr="000665B0" w:rsidRDefault="00EF4AE7" w:rsidP="00B65E7C">
      <w:r w:rsidRPr="000665B0">
        <w:t xml:space="preserve">The </w:t>
      </w:r>
      <w:r w:rsidRPr="000665B0">
        <w:rPr>
          <w:b/>
        </w:rPr>
        <w:t>Set Target</w:t>
      </w:r>
      <w:r w:rsidRPr="000665B0">
        <w:t xml:space="preserve"> command does not result in revision changes to the Strike Package, nor does it send an IMMM message. It is used to set the associated track as the target of the MST strike. In the case of a No SEP strike, the </w:t>
      </w:r>
      <w:r w:rsidRPr="000665B0">
        <w:rPr>
          <w:b/>
        </w:rPr>
        <w:t>Set Target</w:t>
      </w:r>
      <w:r w:rsidRPr="000665B0">
        <w:t xml:space="preserve"> command must be used to initially set the targeted track.</w:t>
      </w:r>
      <w:r w:rsidR="00C269D4" w:rsidRPr="000665B0">
        <w:t xml:space="preserve"> </w:t>
      </w:r>
    </w:p>
    <w:p w14:paraId="007523E0" w14:textId="77777777" w:rsidR="00C269D4" w:rsidRPr="000665B0" w:rsidRDefault="00C269D4" w:rsidP="00B65E7C">
      <w:bookmarkStart w:id="6600" w:name="_Hlk74578892"/>
      <w:r w:rsidRPr="000665B0">
        <w:t>To set the target track to a new track from the Primary target class:</w:t>
      </w:r>
    </w:p>
    <w:p w14:paraId="499B4259" w14:textId="77777777" w:rsidR="00C269D4" w:rsidRDefault="00C269D4" w:rsidP="006D5A65">
      <w:pPr>
        <w:pStyle w:val="Heading1"/>
      </w:pPr>
      <w:r w:rsidRPr="000665B0">
        <w:lastRenderedPageBreak/>
        <w:t xml:space="preserve">From the </w:t>
      </w:r>
      <w:r w:rsidRPr="000665B0">
        <w:rPr>
          <w:i/>
        </w:rPr>
        <w:t>Tracks</w:t>
      </w:r>
      <w:r w:rsidRPr="000665B0">
        <w:t xml:space="preserve"> sub-tab, click the</w:t>
      </w:r>
      <w:r w:rsidR="00B65E7C" w:rsidRPr="000665B0">
        <w:t xml:space="preserve"> Set Target button</w:t>
      </w:r>
      <w:r w:rsidRPr="000665B0">
        <w:t>.</w:t>
      </w:r>
    </w:p>
    <w:p w14:paraId="2B3C3DE3" w14:textId="6E8FB011" w:rsidR="00A156E6" w:rsidRPr="000665B0" w:rsidRDefault="00A156E6" w:rsidP="00BB4EBE">
      <w:pPr>
        <w:pStyle w:val="BodyTextIndent2"/>
        <w:spacing w:line="240" w:lineRule="auto"/>
        <w:ind w:left="0"/>
        <w:jc w:val="center"/>
      </w:pPr>
      <w:r w:rsidRPr="00AF21CA">
        <w:rPr>
          <w:noProof/>
        </w:rPr>
        <w:drawing>
          <wp:inline distT="0" distB="0" distL="0" distR="0" wp14:anchorId="19625E42" wp14:editId="11CD45DB">
            <wp:extent cx="2743200" cy="2679192"/>
            <wp:effectExtent l="0" t="0" r="0" b="0"/>
            <wp:docPr id="208106938"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6938" name="Picture 1" descr="Diagram&#10;&#10;Description automatically generated"/>
                    <pic:cNvPicPr/>
                  </pic:nvPicPr>
                  <pic:blipFill>
                    <a:blip/>
                    <a:stretch>
                      <a:fillRect/>
                    </a:stretch>
                  </pic:blipFill>
                  <pic:spPr>
                    <a:xfrm>
                      <a:off x="0" y="0"/>
                      <a:ext cx="2743200" cy="2679192"/>
                    </a:xfrm>
                    <a:prstGeom prst="rect">
                      <a:avLst/>
                    </a:prstGeom>
                  </pic:spPr>
                </pic:pic>
              </a:graphicData>
            </a:graphic>
          </wp:inline>
        </w:drawing>
      </w:r>
    </w:p>
    <w:p w14:paraId="43EBA934" w14:textId="3092400E" w:rsidR="00A156E6" w:rsidRDefault="00A156E6" w:rsidP="006D5A65">
      <w:pPr>
        <w:pStyle w:val="Heading1"/>
      </w:pPr>
      <w:r w:rsidRPr="000665B0">
        <w:t>All tracks in the Primary Target class list become available for selection.</w:t>
      </w:r>
    </w:p>
    <w:p w14:paraId="6F957E9D" w14:textId="4FAACD48" w:rsidR="00A156E6" w:rsidRDefault="00A156E6" w:rsidP="00106387">
      <w:pPr>
        <w:pStyle w:val="BodyTextIndent2"/>
        <w:spacing w:line="240" w:lineRule="auto"/>
        <w:ind w:left="0"/>
        <w:jc w:val="center"/>
      </w:pPr>
      <w:r w:rsidRPr="009878D3">
        <w:rPr>
          <w:noProof/>
        </w:rPr>
        <w:drawing>
          <wp:inline distT="0" distB="0" distL="0" distR="0" wp14:anchorId="669224F0" wp14:editId="22F13F50">
            <wp:extent cx="2743200" cy="2670048"/>
            <wp:effectExtent l="0" t="0" r="0" b="0"/>
            <wp:docPr id="1880847759"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47759" name="Picture 1" descr="A picture containing diagram&#10;&#10;Description automatically generated"/>
                    <pic:cNvPicPr/>
                  </pic:nvPicPr>
                  <pic:blipFill>
                    <a:blip/>
                    <a:stretch>
                      <a:fillRect/>
                    </a:stretch>
                  </pic:blipFill>
                  <pic:spPr>
                    <a:xfrm>
                      <a:off x="0" y="0"/>
                      <a:ext cx="2743200" cy="2670048"/>
                    </a:xfrm>
                    <a:prstGeom prst="rect">
                      <a:avLst/>
                    </a:prstGeom>
                  </pic:spPr>
                </pic:pic>
              </a:graphicData>
            </a:graphic>
          </wp:inline>
        </w:drawing>
      </w:r>
    </w:p>
    <w:p w14:paraId="42A804E2" w14:textId="7E0CFB26" w:rsidR="003A5AB8" w:rsidRPr="000665B0" w:rsidRDefault="00A156E6" w:rsidP="006D5A65">
      <w:pPr>
        <w:pStyle w:val="Heading1"/>
      </w:pPr>
      <w:r>
        <w:lastRenderedPageBreak/>
        <w:t xml:space="preserve"> </w:t>
      </w:r>
      <w:r w:rsidR="003A5AB8" w:rsidRPr="000665B0">
        <w:t>Upon selection of the desired</w:t>
      </w:r>
      <w:r w:rsidR="00B65E7C" w:rsidRPr="000665B0">
        <w:t xml:space="preserve"> target track </w:t>
      </w:r>
      <w:r w:rsidR="003A5AB8" w:rsidRPr="000665B0">
        <w:t>from</w:t>
      </w:r>
      <w:r w:rsidR="00B65E7C" w:rsidRPr="000665B0">
        <w:t xml:space="preserve"> the </w:t>
      </w:r>
      <w:r w:rsidR="00B65E7C" w:rsidRPr="00A156E6">
        <w:t>Primary</w:t>
      </w:r>
      <w:r w:rsidR="00B65E7C" w:rsidRPr="000665B0">
        <w:t xml:space="preserve"> Target class</w:t>
      </w:r>
      <w:r w:rsidR="00537950" w:rsidRPr="000665B0">
        <w:t xml:space="preserve"> list</w:t>
      </w:r>
      <w:r w:rsidR="00B65E7C" w:rsidRPr="000665B0">
        <w:t xml:space="preserve">, the </w:t>
      </w:r>
      <w:r w:rsidR="00B65E7C" w:rsidRPr="00A156E6">
        <w:t>Set</w:t>
      </w:r>
      <w:r w:rsidR="00B65E7C" w:rsidRPr="000665B0">
        <w:t xml:space="preserve"> </w:t>
      </w:r>
      <w:r w:rsidR="003A5AB8" w:rsidRPr="000665B0">
        <w:t>b</w:t>
      </w:r>
      <w:r w:rsidR="00B65E7C" w:rsidRPr="000665B0">
        <w:t xml:space="preserve">utton </w:t>
      </w:r>
      <w:r w:rsidR="003A5AB8" w:rsidRPr="000665B0">
        <w:t>is displayed</w:t>
      </w:r>
      <w:r w:rsidR="00B65E7C" w:rsidRPr="000665B0">
        <w:t>.</w:t>
      </w:r>
    </w:p>
    <w:p w14:paraId="441EF1A8" w14:textId="530BE31B" w:rsidR="003A5AB8" w:rsidRPr="000665B0" w:rsidRDefault="00A156E6" w:rsidP="00537950">
      <w:pPr>
        <w:pStyle w:val="BodyTextIndent2"/>
        <w:spacing w:line="240" w:lineRule="auto"/>
        <w:ind w:left="0"/>
        <w:jc w:val="center"/>
      </w:pPr>
      <w:r w:rsidRPr="009878D3">
        <w:rPr>
          <w:noProof/>
        </w:rPr>
        <w:drawing>
          <wp:inline distT="0" distB="0" distL="0" distR="0" wp14:anchorId="7B1A11F8" wp14:editId="210867CC">
            <wp:extent cx="2743200" cy="2679192"/>
            <wp:effectExtent l="0" t="0" r="0" b="0"/>
            <wp:docPr id="121085020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50201" name="Picture 1" descr="Graphical user interface&#10;&#10;Description automatically generated"/>
                    <pic:cNvPicPr/>
                  </pic:nvPicPr>
                  <pic:blipFill>
                    <a:blip/>
                    <a:stretch>
                      <a:fillRect/>
                    </a:stretch>
                  </pic:blipFill>
                  <pic:spPr>
                    <a:xfrm>
                      <a:off x="0" y="0"/>
                      <a:ext cx="2743200" cy="2679192"/>
                    </a:xfrm>
                    <a:prstGeom prst="rect">
                      <a:avLst/>
                    </a:prstGeom>
                  </pic:spPr>
                </pic:pic>
              </a:graphicData>
            </a:graphic>
          </wp:inline>
        </w:drawing>
      </w:r>
    </w:p>
    <w:p w14:paraId="3A1B1961" w14:textId="068DD7A0" w:rsidR="00B65E7C" w:rsidRDefault="00B65E7C" w:rsidP="006D5A65">
      <w:pPr>
        <w:pStyle w:val="Heading1"/>
      </w:pPr>
      <w:r w:rsidRPr="000665B0">
        <w:t xml:space="preserve">Click the Set button </w:t>
      </w:r>
      <w:r w:rsidR="00537950" w:rsidRPr="000665B0">
        <w:t>to reassign the target track to the selected track.</w:t>
      </w:r>
      <w:r w:rsidRPr="000665B0">
        <w:t xml:space="preserve"> The Status </w:t>
      </w:r>
      <w:r w:rsidR="00F9551F" w:rsidRPr="000665B0">
        <w:t xml:space="preserve">field </w:t>
      </w:r>
      <w:r w:rsidR="00441800" w:rsidRPr="000665B0">
        <w:t>is updated to reflect the new</w:t>
      </w:r>
      <w:r w:rsidRPr="000665B0">
        <w:t xml:space="preserve"> assigned target track. </w:t>
      </w:r>
    </w:p>
    <w:p w14:paraId="0F38BA51" w14:textId="74B47E02" w:rsidR="00A156E6" w:rsidRDefault="00A156E6" w:rsidP="00106387">
      <w:pPr>
        <w:pStyle w:val="BodyTextIndent2"/>
        <w:spacing w:line="240" w:lineRule="auto"/>
        <w:ind w:left="0"/>
        <w:jc w:val="center"/>
      </w:pPr>
      <w:r w:rsidRPr="00B81E24">
        <w:rPr>
          <w:noProof/>
        </w:rPr>
        <w:drawing>
          <wp:inline distT="0" distB="0" distL="0" distR="0" wp14:anchorId="4B52FF13" wp14:editId="405FE953">
            <wp:extent cx="2743200" cy="2569464"/>
            <wp:effectExtent l="0" t="0" r="0" b="0"/>
            <wp:docPr id="1160194103"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94103" name="Picture 1" descr="A picture containing graphical user interface&#10;&#10;Description automatically generated"/>
                    <pic:cNvPicPr/>
                  </pic:nvPicPr>
                  <pic:blipFill>
                    <a:blip/>
                    <a:stretch>
                      <a:fillRect/>
                    </a:stretch>
                  </pic:blipFill>
                  <pic:spPr>
                    <a:xfrm>
                      <a:off x="0" y="0"/>
                      <a:ext cx="2743200" cy="2569464"/>
                    </a:xfrm>
                    <a:prstGeom prst="rect">
                      <a:avLst/>
                    </a:prstGeom>
                  </pic:spPr>
                </pic:pic>
              </a:graphicData>
            </a:graphic>
          </wp:inline>
        </w:drawing>
      </w:r>
    </w:p>
    <w:p w14:paraId="0B17A596" w14:textId="229F3328" w:rsidR="00A156E6" w:rsidRDefault="00A156E6" w:rsidP="006D5A65">
      <w:pPr>
        <w:pStyle w:val="Heading1"/>
      </w:pPr>
      <w:r>
        <w:t>An entry is added to the SMD Events Log to indicate successful target designation.</w:t>
      </w:r>
    </w:p>
    <w:p w14:paraId="0EF3E0C5" w14:textId="47721875" w:rsidR="00A156E6" w:rsidRDefault="00A156E6" w:rsidP="00A156E6">
      <w:pPr>
        <w:pStyle w:val="BodyTextIndent2"/>
        <w:spacing w:line="240" w:lineRule="auto"/>
        <w:ind w:left="0"/>
        <w:jc w:val="center"/>
      </w:pPr>
      <w:r w:rsidRPr="00E05715">
        <w:rPr>
          <w:noProof/>
        </w:rPr>
        <w:drawing>
          <wp:inline distT="0" distB="0" distL="0" distR="0" wp14:anchorId="7F2127C0" wp14:editId="217CD925">
            <wp:extent cx="4983480" cy="713232"/>
            <wp:effectExtent l="0" t="0" r="0" b="0"/>
            <wp:docPr id="1288896674"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96674" name="Picture 1" descr="Graphical user interface&#10;&#10;Description automatically generated with medium confidence"/>
                    <pic:cNvPicPr/>
                  </pic:nvPicPr>
                  <pic:blipFill>
                    <a:blip/>
                    <a:stretch>
                      <a:fillRect/>
                    </a:stretch>
                  </pic:blipFill>
                  <pic:spPr>
                    <a:xfrm>
                      <a:off x="0" y="0"/>
                      <a:ext cx="4983480" cy="713232"/>
                    </a:xfrm>
                    <a:prstGeom prst="rect">
                      <a:avLst/>
                    </a:prstGeom>
                  </pic:spPr>
                </pic:pic>
              </a:graphicData>
            </a:graphic>
          </wp:inline>
        </w:drawing>
      </w:r>
    </w:p>
    <w:p w14:paraId="3C322462" w14:textId="71F63778" w:rsidR="00A156E6" w:rsidRPr="000665B0" w:rsidRDefault="00A156E6" w:rsidP="00BB4EBE">
      <w:pPr>
        <w:pStyle w:val="BodyTextIndent2"/>
        <w:spacing w:line="240" w:lineRule="auto"/>
        <w:ind w:left="0"/>
        <w:jc w:val="center"/>
      </w:pPr>
      <w:r w:rsidRPr="0069010C">
        <w:rPr>
          <w:noProof/>
        </w:rPr>
        <w:lastRenderedPageBreak/>
        <w:drawing>
          <wp:inline distT="0" distB="0" distL="0" distR="0" wp14:anchorId="0DBAF560" wp14:editId="192CB15F">
            <wp:extent cx="3154680" cy="859536"/>
            <wp:effectExtent l="0" t="0" r="0" b="0"/>
            <wp:docPr id="1292629263"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29263" name="Picture 1" descr="Graphical user interface, text, application, email&#10;&#10;Description automatically generated"/>
                    <pic:cNvPicPr/>
                  </pic:nvPicPr>
                  <pic:blipFill>
                    <a:blip/>
                    <a:stretch>
                      <a:fillRect/>
                    </a:stretch>
                  </pic:blipFill>
                  <pic:spPr>
                    <a:xfrm>
                      <a:off x="0" y="0"/>
                      <a:ext cx="3154680" cy="859536"/>
                    </a:xfrm>
                    <a:prstGeom prst="rect">
                      <a:avLst/>
                    </a:prstGeom>
                  </pic:spPr>
                </pic:pic>
              </a:graphicData>
            </a:graphic>
          </wp:inline>
        </w:drawing>
      </w:r>
    </w:p>
    <w:p w14:paraId="39A68ECF" w14:textId="0DDF6745" w:rsidR="00B65E7C" w:rsidRPr="000665B0" w:rsidRDefault="00855BFC" w:rsidP="00306174">
      <w:pPr>
        <w:pStyle w:val="Heading6"/>
      </w:pPr>
      <w:bookmarkStart w:id="6601" w:name="_Reassign_Target"/>
      <w:bookmarkStart w:id="6602" w:name="_Proceed_To_New"/>
      <w:bookmarkStart w:id="6603" w:name="_Control_Tab"/>
      <w:bookmarkStart w:id="6604" w:name="_Control__Tab"/>
      <w:bookmarkEnd w:id="6597"/>
      <w:bookmarkEnd w:id="6599"/>
      <w:bookmarkEnd w:id="6600"/>
      <w:bookmarkEnd w:id="6601"/>
      <w:bookmarkEnd w:id="6602"/>
      <w:bookmarkEnd w:id="6603"/>
      <w:bookmarkEnd w:id="6604"/>
      <w:r w:rsidRPr="000665B0">
        <w:t>Control Tab</w:t>
      </w:r>
    </w:p>
    <w:p w14:paraId="3CC2FC27" w14:textId="44508033" w:rsidR="005465FD" w:rsidRDefault="00855BFC" w:rsidP="005465FD">
      <w:r w:rsidRPr="000665B0">
        <w:t xml:space="preserve">The </w:t>
      </w:r>
      <w:r w:rsidRPr="000665B0">
        <w:rPr>
          <w:b/>
          <w:i/>
        </w:rPr>
        <w:t>Control</w:t>
      </w:r>
      <w:r w:rsidRPr="000665B0">
        <w:t xml:space="preserve"> sub-tab </w:t>
      </w:r>
      <w:r w:rsidR="005465FD" w:rsidRPr="000665B0">
        <w:t>is</w:t>
      </w:r>
      <w:r w:rsidRPr="000665B0">
        <w:t xml:space="preserve"> used to send IMMM</w:t>
      </w:r>
      <w:r w:rsidR="008B798C" w:rsidRPr="000665B0">
        <w:t xml:space="preserve"> command</w:t>
      </w:r>
      <w:r w:rsidRPr="000665B0">
        <w:t xml:space="preserve">s to one or more MST-enabled missiles. </w:t>
      </w:r>
      <w:r w:rsidR="00F74C97" w:rsidRPr="000665B0">
        <w:t>Commands available</w:t>
      </w:r>
      <w:r w:rsidRPr="000665B0">
        <w:t xml:space="preserve"> </w:t>
      </w:r>
      <w:r w:rsidR="005465FD" w:rsidRPr="000665B0">
        <w:t>include:</w:t>
      </w:r>
    </w:p>
    <w:p w14:paraId="6EDFC8D6" w14:textId="077F3511" w:rsidR="00195499" w:rsidRPr="000665B0" w:rsidRDefault="006D0F35" w:rsidP="00BB4EBE">
      <w:pPr>
        <w:jc w:val="center"/>
      </w:pPr>
      <w:r>
        <w:rPr>
          <w:noProof/>
        </w:rPr>
        <w:drawing>
          <wp:inline distT="0" distB="0" distL="0" distR="0" wp14:anchorId="362382AD" wp14:editId="4EA4BA97">
            <wp:extent cx="4114800" cy="512064"/>
            <wp:effectExtent l="0" t="0" r="0" b="0"/>
            <wp:docPr id="2081144020"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9519" name="Picture 1" descr="Graphical user interface, text, application&#10;&#10;Description automatically generated"/>
                    <pic:cNvPicPr>
                      <a:picLocks noChangeAspect="1"/>
                    </pic:cNvPicPr>
                  </pic:nvPicPr>
                  <pic:blipFill rotWithShape="1">
                    <a:blip r:link="rId28" cstate="print">
                      <a:extLst>
                        <a:ext uri="{28A0092B-C50C-407E-A947-70E740481C1C}">
                          <a14:useLocalDpi xmlns:a14="http://schemas.microsoft.com/office/drawing/2010/main" val="0"/>
                        </a:ext>
                      </a:extLst>
                    </a:blip>
                    <a:srcRect t="20805" b="65181"/>
                    <a:stretch/>
                  </pic:blipFill>
                  <pic:spPr bwMode="auto">
                    <a:xfrm>
                      <a:off x="0" y="0"/>
                      <a:ext cx="4114800" cy="512064"/>
                    </a:xfrm>
                    <a:prstGeom prst="rect">
                      <a:avLst/>
                    </a:prstGeom>
                    <a:noFill/>
                    <a:ln>
                      <a:noFill/>
                    </a:ln>
                    <a:extLst>
                      <a:ext uri="{53640926-AAD7-44D8-BBD7-CCE9431645EC}">
                        <a14:shadowObscured xmlns:a14="http://schemas.microsoft.com/office/drawing/2010/main"/>
                      </a:ext>
                    </a:extLst>
                  </pic:spPr>
                </pic:pic>
              </a:graphicData>
            </a:graphic>
          </wp:inline>
        </w:drawing>
      </w:r>
    </w:p>
    <w:p w14:paraId="6B2C264C" w14:textId="0FCFFBA0" w:rsidR="00855BFC" w:rsidRPr="000665B0" w:rsidRDefault="00855BFC" w:rsidP="006D5A65">
      <w:pPr>
        <w:pStyle w:val="Heading1"/>
      </w:pPr>
      <w:r w:rsidRPr="000665B0">
        <w:t>Request H&amp;S – Requests a Health &amp; Status update</w:t>
      </w:r>
      <w:r w:rsidR="00C95320">
        <w:t xml:space="preserve"> (see </w:t>
      </w:r>
      <w:hyperlink w:anchor="_Request_H&amp;S" w:history="1">
        <w:r w:rsidR="00C95320" w:rsidRPr="006D1F9F">
          <w:rPr>
            <w:rStyle w:val="Hyperlink"/>
          </w:rPr>
          <w:t xml:space="preserve">Section </w:t>
        </w:r>
        <w:r w:rsidR="004231CC">
          <w:rPr>
            <w:rStyle w:val="Hyperlink"/>
          </w:rPr>
          <w:t>5.35</w:t>
        </w:r>
        <w:r w:rsidR="00C95320" w:rsidRPr="006D1F9F">
          <w:rPr>
            <w:rStyle w:val="Hyperlink"/>
          </w:rPr>
          <w:t>.3.1.3.</w:t>
        </w:r>
        <w:r w:rsidR="00C95320">
          <w:rPr>
            <w:rStyle w:val="Hyperlink"/>
          </w:rPr>
          <w:t>2</w:t>
        </w:r>
        <w:r w:rsidR="00C95320" w:rsidRPr="006D1F9F">
          <w:rPr>
            <w:rStyle w:val="Hyperlink"/>
          </w:rPr>
          <w:t>.1</w:t>
        </w:r>
      </w:hyperlink>
      <w:r w:rsidR="00C95320">
        <w:t>)</w:t>
      </w:r>
      <w:r w:rsidR="005465FD" w:rsidRPr="000665B0">
        <w:t>.</w:t>
      </w:r>
    </w:p>
    <w:p w14:paraId="17C6115F" w14:textId="24A312EA" w:rsidR="00855BFC" w:rsidRPr="000665B0" w:rsidRDefault="00855BFC" w:rsidP="006D5A65">
      <w:pPr>
        <w:pStyle w:val="Heading1"/>
      </w:pPr>
      <w:r w:rsidRPr="000665B0">
        <w:t>Abort – Commands missile(s) to crash as soon as possible</w:t>
      </w:r>
      <w:r w:rsidR="00C95320">
        <w:t xml:space="preserve"> (see </w:t>
      </w:r>
      <w:hyperlink w:anchor="_Abort" w:history="1">
        <w:r w:rsidR="00C95320" w:rsidRPr="006D1F9F">
          <w:rPr>
            <w:rStyle w:val="Hyperlink"/>
          </w:rPr>
          <w:t xml:space="preserve">Section </w:t>
        </w:r>
        <w:r w:rsidR="004231CC">
          <w:rPr>
            <w:rStyle w:val="Hyperlink"/>
          </w:rPr>
          <w:t>5.35</w:t>
        </w:r>
        <w:r w:rsidR="00C95320" w:rsidRPr="006D1F9F">
          <w:rPr>
            <w:rStyle w:val="Hyperlink"/>
          </w:rPr>
          <w:t>.3.1.3.</w:t>
        </w:r>
        <w:r w:rsidR="00C95320">
          <w:rPr>
            <w:rStyle w:val="Hyperlink"/>
          </w:rPr>
          <w:t>2</w:t>
        </w:r>
        <w:r w:rsidR="00C95320" w:rsidRPr="006D1F9F">
          <w:rPr>
            <w:rStyle w:val="Hyperlink"/>
          </w:rPr>
          <w:t>.</w:t>
        </w:r>
        <w:r w:rsidR="00C95320">
          <w:rPr>
            <w:rStyle w:val="Hyperlink"/>
          </w:rPr>
          <w:t>2</w:t>
        </w:r>
      </w:hyperlink>
      <w:r w:rsidR="00C95320">
        <w:t>)</w:t>
      </w:r>
      <w:r w:rsidR="005465FD" w:rsidRPr="000665B0">
        <w:t>.</w:t>
      </w:r>
    </w:p>
    <w:p w14:paraId="24952262" w14:textId="2940B895" w:rsidR="00855BFC" w:rsidRPr="000665B0" w:rsidRDefault="00855BFC" w:rsidP="006D5A65">
      <w:pPr>
        <w:pStyle w:val="Heading1"/>
      </w:pPr>
      <w:r w:rsidRPr="000665B0">
        <w:t>Divert – Commands missile(s) to divert to a given location and crash</w:t>
      </w:r>
      <w:r w:rsidR="00C95320">
        <w:t xml:space="preserve"> (see </w:t>
      </w:r>
      <w:hyperlink w:anchor="_Divert" w:history="1">
        <w:r w:rsidR="00C95320" w:rsidRPr="006D1F9F">
          <w:rPr>
            <w:rStyle w:val="Hyperlink"/>
          </w:rPr>
          <w:t xml:space="preserve">Section </w:t>
        </w:r>
        <w:r w:rsidR="004231CC">
          <w:rPr>
            <w:rStyle w:val="Hyperlink"/>
          </w:rPr>
          <w:t>5.35</w:t>
        </w:r>
        <w:r w:rsidR="00C95320" w:rsidRPr="006D1F9F">
          <w:rPr>
            <w:rStyle w:val="Hyperlink"/>
          </w:rPr>
          <w:t>.3.1.3.</w:t>
        </w:r>
        <w:r w:rsidR="00C95320">
          <w:rPr>
            <w:rStyle w:val="Hyperlink"/>
          </w:rPr>
          <w:t>2</w:t>
        </w:r>
        <w:r w:rsidR="00C95320" w:rsidRPr="006D1F9F">
          <w:rPr>
            <w:rStyle w:val="Hyperlink"/>
          </w:rPr>
          <w:t>.</w:t>
        </w:r>
        <w:r w:rsidR="00C95320">
          <w:rPr>
            <w:rStyle w:val="Hyperlink"/>
          </w:rPr>
          <w:t>3</w:t>
        </w:r>
      </w:hyperlink>
      <w:r w:rsidR="00C95320">
        <w:t>)</w:t>
      </w:r>
      <w:r w:rsidR="005465FD" w:rsidRPr="000665B0">
        <w:t>.</w:t>
      </w:r>
    </w:p>
    <w:p w14:paraId="725A46D0" w14:textId="20BAAA83" w:rsidR="0072309A" w:rsidRPr="007208F5" w:rsidRDefault="00855BFC" w:rsidP="006D5A65">
      <w:pPr>
        <w:pStyle w:val="Heading1"/>
      </w:pPr>
      <w:r w:rsidRPr="000665B0">
        <w:t>Change Enablement</w:t>
      </w:r>
      <w:r w:rsidR="00135733">
        <w:t>s</w:t>
      </w:r>
      <w:r w:rsidR="005F734C" w:rsidRPr="000665B0">
        <w:t xml:space="preserve"> </w:t>
      </w:r>
      <w:r w:rsidRPr="000665B0">
        <w:t xml:space="preserve">– Sets whether the missile(s) will report the selected events or </w:t>
      </w:r>
      <w:r w:rsidR="00C73E1A" w:rsidRPr="000665B0">
        <w:t>BIT</w:t>
      </w:r>
      <w:r w:rsidRPr="000665B0">
        <w:t xml:space="preserve"> failures</w:t>
      </w:r>
      <w:r w:rsidR="00C95320">
        <w:t xml:space="preserve"> (see </w:t>
      </w:r>
      <w:hyperlink w:anchor="_Change_Enablements" w:history="1">
        <w:r w:rsidR="00C95320" w:rsidRPr="006D1F9F">
          <w:rPr>
            <w:rStyle w:val="Hyperlink"/>
          </w:rPr>
          <w:t xml:space="preserve">Section </w:t>
        </w:r>
        <w:r w:rsidR="004231CC">
          <w:rPr>
            <w:rStyle w:val="Hyperlink"/>
          </w:rPr>
          <w:t>5.35</w:t>
        </w:r>
        <w:r w:rsidR="00C95320" w:rsidRPr="006D1F9F">
          <w:rPr>
            <w:rStyle w:val="Hyperlink"/>
          </w:rPr>
          <w:t>.3.1.3.</w:t>
        </w:r>
        <w:r w:rsidR="00C95320">
          <w:rPr>
            <w:rStyle w:val="Hyperlink"/>
          </w:rPr>
          <w:t>2</w:t>
        </w:r>
        <w:r w:rsidR="00C95320" w:rsidRPr="006D1F9F">
          <w:rPr>
            <w:rStyle w:val="Hyperlink"/>
          </w:rPr>
          <w:t>.</w:t>
        </w:r>
        <w:r w:rsidR="00C95320">
          <w:rPr>
            <w:rStyle w:val="Hyperlink"/>
          </w:rPr>
          <w:t>4</w:t>
        </w:r>
      </w:hyperlink>
      <w:r w:rsidR="00C95320">
        <w:t>)</w:t>
      </w:r>
      <w:r w:rsidR="005465FD" w:rsidRPr="000665B0">
        <w:t>.</w:t>
      </w:r>
    </w:p>
    <w:p w14:paraId="0A6A687F" w14:textId="6D447339" w:rsidR="00855BFC" w:rsidRPr="000665B0" w:rsidRDefault="00855BFC" w:rsidP="00855BFC">
      <w:r w:rsidRPr="000665B0">
        <w:t>Commands can be sent at the Target, Group</w:t>
      </w:r>
      <w:r w:rsidR="00D41C28" w:rsidRPr="000665B0">
        <w:t>,</w:t>
      </w:r>
      <w:r w:rsidRPr="000665B0">
        <w:t xml:space="preserve"> or individual Missile level:</w:t>
      </w:r>
    </w:p>
    <w:p w14:paraId="2F377813" w14:textId="34E5FF5E" w:rsidR="00855BFC" w:rsidRPr="000665B0" w:rsidRDefault="00855BFC" w:rsidP="006D5A65">
      <w:pPr>
        <w:pStyle w:val="Heading1"/>
      </w:pPr>
      <w:r w:rsidRPr="000665B0">
        <w:t xml:space="preserve">Target – </w:t>
      </w:r>
      <w:r w:rsidR="00D41C28" w:rsidRPr="000665B0">
        <w:t>An MST IMMM command directed at missiles with the same Target Comms ID</w:t>
      </w:r>
      <w:r w:rsidR="00C73E1A" w:rsidRPr="000665B0">
        <w:t>.</w:t>
      </w:r>
    </w:p>
    <w:p w14:paraId="7E06439F" w14:textId="0292BEB1" w:rsidR="00855BFC" w:rsidRPr="000665B0" w:rsidRDefault="00855BFC" w:rsidP="006D5A65">
      <w:pPr>
        <w:pStyle w:val="Heading1"/>
      </w:pPr>
      <w:r w:rsidRPr="000665B0">
        <w:t xml:space="preserve">Group – </w:t>
      </w:r>
      <w:r w:rsidR="00D41C28" w:rsidRPr="000665B0">
        <w:t>An MST IMMM command directed at missiles with the same Group Comms ID</w:t>
      </w:r>
      <w:r w:rsidR="00C73E1A" w:rsidRPr="000665B0">
        <w:t>.</w:t>
      </w:r>
    </w:p>
    <w:p w14:paraId="621570B7" w14:textId="77777777" w:rsidR="0072309A" w:rsidRDefault="00855BFC" w:rsidP="006D5A65">
      <w:pPr>
        <w:pStyle w:val="Heading1"/>
      </w:pPr>
      <w:r w:rsidRPr="000665B0">
        <w:t xml:space="preserve">Missile – </w:t>
      </w:r>
      <w:r w:rsidR="00D41C28" w:rsidRPr="000665B0">
        <w:t>An MST IM</w:t>
      </w:r>
      <w:r w:rsidR="00BA2440" w:rsidRPr="000665B0">
        <w:t>M</w:t>
      </w:r>
      <w:r w:rsidR="00D41C28" w:rsidRPr="000665B0">
        <w:t>M command directed at a single missile</w:t>
      </w:r>
      <w:r w:rsidR="00C73E1A" w:rsidRPr="000665B0">
        <w:t>.</w:t>
      </w:r>
    </w:p>
    <w:p w14:paraId="68579BF0" w14:textId="14776036" w:rsidR="0072309A" w:rsidRPr="000665B0" w:rsidRDefault="0072309A" w:rsidP="00C36B36">
      <w:r w:rsidRPr="00C36B36">
        <w:rPr>
          <w:bCs/>
        </w:rPr>
        <w:t>The</w:t>
      </w:r>
      <w:r w:rsidRPr="00C36B36">
        <w:rPr>
          <w:bCs/>
          <w:i/>
          <w:iCs/>
        </w:rPr>
        <w:t xml:space="preserve"> </w:t>
      </w:r>
      <w:r w:rsidRPr="00C36B36">
        <w:rPr>
          <w:b/>
          <w:i/>
          <w:iCs/>
        </w:rPr>
        <w:t>Control</w:t>
      </w:r>
      <w:r w:rsidRPr="0072309A">
        <w:rPr>
          <w:b/>
        </w:rPr>
        <w:t xml:space="preserve"> </w:t>
      </w:r>
      <w:r w:rsidRPr="00C36B36">
        <w:rPr>
          <w:bCs/>
        </w:rPr>
        <w:t>sub</w:t>
      </w:r>
      <w:r w:rsidRPr="0072309A">
        <w:rPr>
          <w:b/>
        </w:rPr>
        <w:t>-</w:t>
      </w:r>
      <w:r>
        <w:t>tab is also used to enable sending automatic Target State Updates. The “Target S</w:t>
      </w:r>
      <w:r w:rsidR="00E96A60">
        <w:t>t</w:t>
      </w:r>
      <w:r>
        <w:t>ate</w:t>
      </w:r>
      <w:r w:rsidR="00195499">
        <w:t xml:space="preserve"> IMMM</w:t>
      </w:r>
      <w:r>
        <w:t>” box only appears when the</w:t>
      </w:r>
      <w:r w:rsidRPr="00C36B36">
        <w:rPr>
          <w:b/>
          <w:bCs/>
          <w:i/>
          <w:iCs/>
        </w:rPr>
        <w:t xml:space="preserve"> Control</w:t>
      </w:r>
      <w:r>
        <w:t xml:space="preserve"> sub-tab is selected, and Target State Update IMMMs are sent at the Target level only.</w:t>
      </w:r>
    </w:p>
    <w:p w14:paraId="0DC62F9B" w14:textId="77777777" w:rsidR="005D4D9C" w:rsidRDefault="005D4D9C" w:rsidP="005D4D9C">
      <w:pPr>
        <w:pStyle w:val="Heading7"/>
      </w:pPr>
      <w:bookmarkStart w:id="6605" w:name="_Request_H&amp;S"/>
      <w:bookmarkEnd w:id="6605"/>
      <w:r>
        <w:t>Request H&amp;S</w:t>
      </w:r>
    </w:p>
    <w:p w14:paraId="52B53CE9" w14:textId="74842D2E" w:rsidR="00424286" w:rsidRPr="000665B0" w:rsidRDefault="00424286" w:rsidP="00855BFC">
      <w:r w:rsidRPr="000665B0">
        <w:t>T</w:t>
      </w:r>
      <w:r w:rsidR="00F9551F" w:rsidRPr="000665B0">
        <w:t xml:space="preserve">he </w:t>
      </w:r>
      <w:r w:rsidR="00F9551F" w:rsidRPr="000665B0">
        <w:rPr>
          <w:b/>
        </w:rPr>
        <w:t>Request H&amp;S</w:t>
      </w:r>
      <w:r w:rsidR="00F9551F" w:rsidRPr="000665B0">
        <w:t xml:space="preserve"> button request</w:t>
      </w:r>
      <w:r w:rsidRPr="000665B0">
        <w:t>s</w:t>
      </w:r>
      <w:r w:rsidR="00F9551F" w:rsidRPr="000665B0">
        <w:t xml:space="preserve"> an H&amp;S IMMM. </w:t>
      </w:r>
    </w:p>
    <w:p w14:paraId="4874D0C9" w14:textId="2C582158" w:rsidR="00424286" w:rsidRPr="000665B0" w:rsidRDefault="00424286" w:rsidP="006D5A65">
      <w:pPr>
        <w:pStyle w:val="Heading1"/>
      </w:pPr>
      <w:r w:rsidRPr="000665B0">
        <w:lastRenderedPageBreak/>
        <w:t>Click the Request H&amp;S button to initiate an H&amp;S request.</w:t>
      </w:r>
    </w:p>
    <w:p w14:paraId="4C03FB6B" w14:textId="302C9115" w:rsidR="00424286" w:rsidRPr="000665B0" w:rsidRDefault="00424286" w:rsidP="006D5A65">
      <w:pPr>
        <w:pStyle w:val="Heading1"/>
      </w:pPr>
      <w:r w:rsidRPr="000665B0">
        <w:t>Select the desired Command Level.</w:t>
      </w:r>
    </w:p>
    <w:p w14:paraId="38C6AE1E" w14:textId="45E154A5" w:rsidR="005841B1" w:rsidRPr="000665B0" w:rsidRDefault="005841B1" w:rsidP="006D5A65">
      <w:pPr>
        <w:pStyle w:val="Heading1"/>
      </w:pPr>
      <w:r w:rsidRPr="000665B0">
        <w:t>At the Target Command Level, the Status is updated to reflect the Target Comms ID and missiles.</w:t>
      </w:r>
    </w:p>
    <w:p w14:paraId="0AE043CE" w14:textId="42B2ADDE" w:rsidR="00855BFC" w:rsidRPr="000665B0" w:rsidRDefault="007A19E8" w:rsidP="00543FD4">
      <w:pPr>
        <w:jc w:val="center"/>
        <w:rPr>
          <w:b/>
        </w:rPr>
      </w:pPr>
      <w:r>
        <w:rPr>
          <w:noProof/>
        </w:rPr>
        <w:drawing>
          <wp:inline distT="0" distB="0" distL="0" distR="0" wp14:anchorId="2910EE81" wp14:editId="688AF2D4">
            <wp:extent cx="2930639" cy="1695450"/>
            <wp:effectExtent l="0" t="0" r="0" b="0"/>
            <wp:docPr id="1429725208" name="Picture 142972520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25208" name="Picture 1429725208" descr="Graphical user interface, text, application, email&#10;&#10;Description automatically generated"/>
                    <pic:cNvPicPr/>
                  </pic:nvPicPr>
                  <pic:blipFill>
                    <a:blip cstate="print">
                      <a:extLst>
                        <a:ext uri="{28A0092B-C50C-407E-A947-70E740481C1C}">
                          <a14:useLocalDpi xmlns:a14="http://schemas.microsoft.com/office/drawing/2010/main" val="0"/>
                        </a:ext>
                      </a:extLst>
                    </a:blip>
                    <a:stretch>
                      <a:fillRect/>
                    </a:stretch>
                  </pic:blipFill>
                  <pic:spPr>
                    <a:xfrm>
                      <a:off x="0" y="0"/>
                      <a:ext cx="2971024" cy="1718814"/>
                    </a:xfrm>
                    <a:prstGeom prst="rect">
                      <a:avLst/>
                    </a:prstGeom>
                  </pic:spPr>
                </pic:pic>
              </a:graphicData>
            </a:graphic>
          </wp:inline>
        </w:drawing>
      </w:r>
    </w:p>
    <w:p w14:paraId="5CCD1EFF" w14:textId="261A4152" w:rsidR="005841B1" w:rsidRPr="000665B0" w:rsidRDefault="005841B1" w:rsidP="006D5A65">
      <w:pPr>
        <w:pStyle w:val="Heading1"/>
      </w:pPr>
      <w:r w:rsidRPr="000665B0">
        <w:t>At the Group Command Level, select the desired Group</w:t>
      </w:r>
      <w:r w:rsidR="005F734C" w:rsidRPr="000665B0">
        <w:t>.</w:t>
      </w:r>
      <w:r w:rsidRPr="000665B0">
        <w:t xml:space="preserve"> The Status is updated to reflect the Group ID and missiles. </w:t>
      </w:r>
    </w:p>
    <w:p w14:paraId="0A5DF127" w14:textId="5BC4E49B" w:rsidR="00855BFC" w:rsidRPr="000665B0" w:rsidRDefault="007A19E8" w:rsidP="00543FD4">
      <w:pPr>
        <w:jc w:val="center"/>
        <w:rPr>
          <w:b/>
        </w:rPr>
      </w:pPr>
      <w:r>
        <w:rPr>
          <w:noProof/>
        </w:rPr>
        <w:drawing>
          <wp:inline distT="0" distB="0" distL="0" distR="0" wp14:anchorId="0946B695" wp14:editId="76C46CB2">
            <wp:extent cx="2935224" cy="1700784"/>
            <wp:effectExtent l="0" t="0" r="0" b="0"/>
            <wp:docPr id="601941001" name="Picture 60194100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41001" name="Picture 601941001" descr="Graphical user interface, text, application, email&#10;&#10;Description automatically generated"/>
                    <pic:cNvPicPr/>
                  </pic:nvPicPr>
                  <pic:blipFill>
                    <a:blip cstate="print">
                      <a:extLst>
                        <a:ext uri="{28A0092B-C50C-407E-A947-70E740481C1C}">
                          <a14:useLocalDpi xmlns:a14="http://schemas.microsoft.com/office/drawing/2010/main" val="0"/>
                        </a:ext>
                      </a:extLst>
                    </a:blip>
                    <a:stretch>
                      <a:fillRect/>
                    </a:stretch>
                  </pic:blipFill>
                  <pic:spPr>
                    <a:xfrm>
                      <a:off x="0" y="0"/>
                      <a:ext cx="2935224" cy="1700784"/>
                    </a:xfrm>
                    <a:prstGeom prst="rect">
                      <a:avLst/>
                    </a:prstGeom>
                  </pic:spPr>
                </pic:pic>
              </a:graphicData>
            </a:graphic>
          </wp:inline>
        </w:drawing>
      </w:r>
    </w:p>
    <w:p w14:paraId="3B0F55F1" w14:textId="50640815" w:rsidR="005841B1" w:rsidRPr="000665B0" w:rsidRDefault="005841B1" w:rsidP="006D5A65">
      <w:pPr>
        <w:pStyle w:val="Heading1"/>
      </w:pPr>
      <w:r w:rsidRPr="000665B0">
        <w:t>At the Missile Command Level, select the desired missile</w:t>
      </w:r>
      <w:r w:rsidR="005F734C" w:rsidRPr="000665B0">
        <w:t>(</w:t>
      </w:r>
      <w:r w:rsidRPr="000665B0">
        <w:t>s</w:t>
      </w:r>
      <w:r w:rsidR="005F734C" w:rsidRPr="000665B0">
        <w:t>) to receive the IMMM</w:t>
      </w:r>
      <w:r w:rsidRPr="000665B0">
        <w:t xml:space="preserve">. The Status is updated to reflect the missiles. </w:t>
      </w:r>
    </w:p>
    <w:p w14:paraId="7E478E37" w14:textId="2B82E8AC" w:rsidR="00855BFC" w:rsidRPr="000665B0" w:rsidRDefault="007A19E8" w:rsidP="00543FD4">
      <w:pPr>
        <w:jc w:val="center"/>
        <w:rPr>
          <w:b/>
        </w:rPr>
      </w:pPr>
      <w:r>
        <w:rPr>
          <w:noProof/>
        </w:rPr>
        <w:drawing>
          <wp:inline distT="0" distB="0" distL="0" distR="0" wp14:anchorId="28F0BEA5" wp14:editId="65793A74">
            <wp:extent cx="2935224" cy="1700784"/>
            <wp:effectExtent l="0" t="0" r="0" b="0"/>
            <wp:docPr id="2047217594" name="Picture 204721759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17594" name="Picture 2047217594" descr="Graphical user interface, text, application, email&#10;&#10;Description automatically generated"/>
                    <pic:cNvPicPr/>
                  </pic:nvPicPr>
                  <pic:blipFill>
                    <a:blip cstate="print">
                      <a:extLst>
                        <a:ext uri="{28A0092B-C50C-407E-A947-70E740481C1C}">
                          <a14:useLocalDpi xmlns:a14="http://schemas.microsoft.com/office/drawing/2010/main" val="0"/>
                        </a:ext>
                      </a:extLst>
                    </a:blip>
                    <a:stretch>
                      <a:fillRect/>
                    </a:stretch>
                  </pic:blipFill>
                  <pic:spPr>
                    <a:xfrm>
                      <a:off x="0" y="0"/>
                      <a:ext cx="2935224" cy="1700784"/>
                    </a:xfrm>
                    <a:prstGeom prst="rect">
                      <a:avLst/>
                    </a:prstGeom>
                  </pic:spPr>
                </pic:pic>
              </a:graphicData>
            </a:graphic>
          </wp:inline>
        </w:drawing>
      </w:r>
    </w:p>
    <w:p w14:paraId="56C49710" w14:textId="77777777" w:rsidR="00996E1C" w:rsidRPr="000665B0" w:rsidRDefault="00996E1C" w:rsidP="006D5A65">
      <w:pPr>
        <w:pStyle w:val="Heading1"/>
      </w:pPr>
      <w:r w:rsidRPr="000665B0">
        <w:lastRenderedPageBreak/>
        <w:t>Click the Send button. A confirmation is displayed allowing review of the selections. The Status field is updated to indicate that the system is awaiting confirmation.</w:t>
      </w:r>
    </w:p>
    <w:p w14:paraId="4EE4278A" w14:textId="5824EA92" w:rsidR="00996E1C" w:rsidRPr="000665B0" w:rsidRDefault="007A19E8" w:rsidP="00996E1C">
      <w:pPr>
        <w:pStyle w:val="BodyTextIndent2"/>
        <w:spacing w:line="240" w:lineRule="auto"/>
        <w:ind w:left="0"/>
        <w:jc w:val="center"/>
      </w:pPr>
      <w:r w:rsidRPr="005370AD">
        <w:rPr>
          <w:noProof/>
        </w:rPr>
        <w:drawing>
          <wp:inline distT="0" distB="0" distL="0" distR="0" wp14:anchorId="52A757A3" wp14:editId="1D5415C8">
            <wp:extent cx="4114800" cy="566928"/>
            <wp:effectExtent l="0" t="0" r="0" b="0"/>
            <wp:docPr id="95387581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75811" name="Picture 1" descr="A picture containing graphical user interface&#10;&#10;Description automatically generated"/>
                    <pic:cNvPicPr/>
                  </pic:nvPicPr>
                  <pic:blipFill>
                    <a:blip/>
                    <a:stretch>
                      <a:fillRect/>
                    </a:stretch>
                  </pic:blipFill>
                  <pic:spPr>
                    <a:xfrm>
                      <a:off x="0" y="0"/>
                      <a:ext cx="4114800" cy="566928"/>
                    </a:xfrm>
                    <a:prstGeom prst="rect">
                      <a:avLst/>
                    </a:prstGeom>
                  </pic:spPr>
                </pic:pic>
              </a:graphicData>
            </a:graphic>
          </wp:inline>
        </w:drawing>
      </w:r>
    </w:p>
    <w:p w14:paraId="21CDB419" w14:textId="77777777" w:rsidR="00996E1C" w:rsidRPr="000665B0" w:rsidRDefault="00996E1C" w:rsidP="006D5A65">
      <w:pPr>
        <w:pStyle w:val="Heading1"/>
      </w:pPr>
      <w:r w:rsidRPr="000665B0">
        <w:t>Click Yes to send the completed IMMM command.</w:t>
      </w:r>
    </w:p>
    <w:p w14:paraId="6B82EA30" w14:textId="77777777" w:rsidR="00996E1C" w:rsidRPr="000665B0" w:rsidRDefault="00996E1C" w:rsidP="00996E1C">
      <w:pPr>
        <w:pStyle w:val="BodyTextIndent2"/>
        <w:spacing w:line="240" w:lineRule="auto"/>
        <w:ind w:left="720"/>
      </w:pPr>
      <w:r w:rsidRPr="000665B0">
        <w:t>or</w:t>
      </w:r>
    </w:p>
    <w:p w14:paraId="185F1BBE" w14:textId="77777777" w:rsidR="00996E1C" w:rsidRPr="000665B0" w:rsidRDefault="00996E1C" w:rsidP="006D5A65">
      <w:pPr>
        <w:pStyle w:val="Heading1"/>
      </w:pPr>
      <w:r w:rsidRPr="000665B0">
        <w:t>Click No to reset the Send button; then review and change the settings needed.</w:t>
      </w:r>
    </w:p>
    <w:p w14:paraId="2105B21E" w14:textId="77777777" w:rsidR="005D4D9C" w:rsidRDefault="005D4D9C" w:rsidP="005D4D9C">
      <w:pPr>
        <w:pStyle w:val="Heading7"/>
      </w:pPr>
      <w:bookmarkStart w:id="6606" w:name="_Abort"/>
      <w:bookmarkEnd w:id="6606"/>
      <w:r>
        <w:t>Abort</w:t>
      </w:r>
    </w:p>
    <w:p w14:paraId="09617359" w14:textId="162B9527" w:rsidR="005048FD" w:rsidRPr="000665B0" w:rsidRDefault="00855BFC" w:rsidP="00855BFC">
      <w:r w:rsidRPr="000665B0">
        <w:t xml:space="preserve">An </w:t>
      </w:r>
      <w:r w:rsidRPr="000665B0">
        <w:rPr>
          <w:b/>
        </w:rPr>
        <w:t>Abort</w:t>
      </w:r>
      <w:r w:rsidRPr="000665B0">
        <w:t xml:space="preserve"> command instructs the missile to crash as soon as feasible. </w:t>
      </w:r>
    </w:p>
    <w:p w14:paraId="4426A98E" w14:textId="10EFBC5F" w:rsidR="005048FD" w:rsidRPr="000665B0" w:rsidRDefault="005048FD" w:rsidP="006D5A65">
      <w:pPr>
        <w:pStyle w:val="Heading1"/>
      </w:pPr>
      <w:r w:rsidRPr="000665B0">
        <w:t xml:space="preserve">Click the Abort button to initiate an Abort IMMM. </w:t>
      </w:r>
    </w:p>
    <w:p w14:paraId="581A473A" w14:textId="6A16DE08" w:rsidR="001738B1" w:rsidRPr="000665B0" w:rsidRDefault="001738B1" w:rsidP="006D5A65">
      <w:pPr>
        <w:pStyle w:val="Heading1"/>
      </w:pPr>
      <w:r w:rsidRPr="000665B0">
        <w:t>Select the desired Command Level.</w:t>
      </w:r>
    </w:p>
    <w:p w14:paraId="656D3EF3" w14:textId="1B47C5F2" w:rsidR="008B798C" w:rsidRPr="000665B0" w:rsidRDefault="007A19E8" w:rsidP="006D5A65">
      <w:pPr>
        <w:pStyle w:val="Heading1"/>
      </w:pPr>
      <w:r>
        <w:t>Based on the selected Command Level, s</w:t>
      </w:r>
      <w:r w:rsidRPr="000665B0">
        <w:t xml:space="preserve">elect </w:t>
      </w:r>
      <w:r w:rsidR="008B798C" w:rsidRPr="000665B0">
        <w:t>the desired</w:t>
      </w:r>
      <w:r>
        <w:t xml:space="preserve"> group(s) or</w:t>
      </w:r>
      <w:r w:rsidR="008B798C" w:rsidRPr="000665B0">
        <w:t xml:space="preserve"> missile(s) to receive the IMMM.</w:t>
      </w:r>
    </w:p>
    <w:p w14:paraId="24BBED53" w14:textId="5AF92A9F" w:rsidR="00855BFC" w:rsidRDefault="001738B1" w:rsidP="006D5A65">
      <w:pPr>
        <w:pStyle w:val="Heading1"/>
      </w:pPr>
      <w:r w:rsidRPr="000665B0">
        <w:t>Select the Request H&amp;S checkbox to instruct the missile to send an acknowledgement that it has received the command and is about to abort.</w:t>
      </w:r>
    </w:p>
    <w:p w14:paraId="53715CF6" w14:textId="6691F029" w:rsidR="007A19E8" w:rsidRPr="000665B0" w:rsidRDefault="007A19E8" w:rsidP="00F9551F">
      <w:pPr>
        <w:jc w:val="center"/>
      </w:pPr>
      <w:r>
        <w:rPr>
          <w:noProof/>
        </w:rPr>
        <w:drawing>
          <wp:inline distT="0" distB="0" distL="0" distR="0" wp14:anchorId="07B735A1" wp14:editId="642473BE">
            <wp:extent cx="2935224" cy="1700784"/>
            <wp:effectExtent l="0" t="0" r="0" b="0"/>
            <wp:docPr id="167901325" name="Picture 16790132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1325" name="Picture 167901325" descr="Graphical user interface, text, application, email&#10;&#10;Description automatically generated"/>
                    <pic:cNvPicPr/>
                  </pic:nvPicPr>
                  <pic:blipFill>
                    <a:blip cstate="print">
                      <a:extLst>
                        <a:ext uri="{28A0092B-C50C-407E-A947-70E740481C1C}">
                          <a14:useLocalDpi xmlns:a14="http://schemas.microsoft.com/office/drawing/2010/main" val="0"/>
                        </a:ext>
                      </a:extLst>
                    </a:blip>
                    <a:stretch>
                      <a:fillRect/>
                    </a:stretch>
                  </pic:blipFill>
                  <pic:spPr>
                    <a:xfrm>
                      <a:off x="0" y="0"/>
                      <a:ext cx="2935224" cy="1700784"/>
                    </a:xfrm>
                    <a:prstGeom prst="rect">
                      <a:avLst/>
                    </a:prstGeom>
                  </pic:spPr>
                </pic:pic>
              </a:graphicData>
            </a:graphic>
          </wp:inline>
        </w:drawing>
      </w:r>
    </w:p>
    <w:p w14:paraId="21F6A2B8" w14:textId="77777777" w:rsidR="00223E72" w:rsidRPr="000665B0" w:rsidRDefault="00223E72" w:rsidP="006D5A65">
      <w:pPr>
        <w:pStyle w:val="Heading1"/>
      </w:pPr>
      <w:r w:rsidRPr="000665B0">
        <w:t>Click the Send button. A confirmation is displayed allowing review of the selections. The Status field is updated to indicate that the system is awaiting confirmation.</w:t>
      </w:r>
    </w:p>
    <w:p w14:paraId="0DCD287D" w14:textId="27C1034E" w:rsidR="00223E72" w:rsidRPr="000665B0" w:rsidRDefault="007A19E8" w:rsidP="00223E72">
      <w:pPr>
        <w:pStyle w:val="BodyTextIndent2"/>
        <w:spacing w:line="240" w:lineRule="auto"/>
        <w:ind w:left="0"/>
        <w:jc w:val="center"/>
      </w:pPr>
      <w:r w:rsidRPr="00536BFD">
        <w:rPr>
          <w:noProof/>
        </w:rPr>
        <w:drawing>
          <wp:inline distT="0" distB="0" distL="0" distR="0" wp14:anchorId="1F50863E" wp14:editId="613C6706">
            <wp:extent cx="4114800" cy="557784"/>
            <wp:effectExtent l="0" t="0" r="0" b="0"/>
            <wp:docPr id="2110552377" name="Picture 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52377" name="Picture 1" descr="Graphical user interface&#10;&#10;Description automatically generated with low confidence"/>
                    <pic:cNvPicPr/>
                  </pic:nvPicPr>
                  <pic:blipFill>
                    <a:blip/>
                    <a:stretch>
                      <a:fillRect/>
                    </a:stretch>
                  </pic:blipFill>
                  <pic:spPr>
                    <a:xfrm>
                      <a:off x="0" y="0"/>
                      <a:ext cx="4114800" cy="557784"/>
                    </a:xfrm>
                    <a:prstGeom prst="rect">
                      <a:avLst/>
                    </a:prstGeom>
                  </pic:spPr>
                </pic:pic>
              </a:graphicData>
            </a:graphic>
          </wp:inline>
        </w:drawing>
      </w:r>
    </w:p>
    <w:p w14:paraId="12970D5E" w14:textId="77777777" w:rsidR="00223E72" w:rsidRPr="000665B0" w:rsidRDefault="00223E72" w:rsidP="006D5A65">
      <w:pPr>
        <w:pStyle w:val="Heading1"/>
      </w:pPr>
      <w:r w:rsidRPr="000665B0">
        <w:t>Click Yes to send the completed IMMM command.</w:t>
      </w:r>
    </w:p>
    <w:p w14:paraId="47E88D57" w14:textId="77777777" w:rsidR="00223E72" w:rsidRPr="000665B0" w:rsidRDefault="00223E72" w:rsidP="00223E72">
      <w:pPr>
        <w:pStyle w:val="BodyTextIndent2"/>
        <w:spacing w:line="240" w:lineRule="auto"/>
        <w:ind w:left="720"/>
      </w:pPr>
      <w:r w:rsidRPr="000665B0">
        <w:t>or</w:t>
      </w:r>
    </w:p>
    <w:p w14:paraId="3F83134E" w14:textId="77777777" w:rsidR="00223E72" w:rsidRPr="000665B0" w:rsidRDefault="00223E72" w:rsidP="006D5A65">
      <w:pPr>
        <w:pStyle w:val="Heading1"/>
      </w:pPr>
      <w:r w:rsidRPr="000665B0">
        <w:lastRenderedPageBreak/>
        <w:t>Click No to reset the Send button; then review and change the settings needed.</w:t>
      </w:r>
    </w:p>
    <w:p w14:paraId="068F749F" w14:textId="77777777" w:rsidR="005D4D9C" w:rsidRDefault="005D4D9C" w:rsidP="005D4D9C">
      <w:pPr>
        <w:pStyle w:val="Heading7"/>
      </w:pPr>
      <w:bookmarkStart w:id="6607" w:name="_Divert"/>
      <w:bookmarkEnd w:id="6607"/>
      <w:r>
        <w:t>Divert</w:t>
      </w:r>
    </w:p>
    <w:p w14:paraId="1A512A4F" w14:textId="07349046" w:rsidR="004F7C12" w:rsidRPr="000665B0" w:rsidRDefault="00855BFC" w:rsidP="00855BFC">
      <w:r w:rsidRPr="000665B0">
        <w:t xml:space="preserve">A </w:t>
      </w:r>
      <w:r w:rsidRPr="000665B0">
        <w:rPr>
          <w:b/>
        </w:rPr>
        <w:t>Divert</w:t>
      </w:r>
      <w:r w:rsidRPr="000665B0">
        <w:t xml:space="preserve"> command instructs the missile to proceed to the given location and crash. </w:t>
      </w:r>
    </w:p>
    <w:p w14:paraId="6ECE7DDF" w14:textId="4E6BB4AA" w:rsidR="004F7C12" w:rsidRPr="000665B0" w:rsidRDefault="004F7C12" w:rsidP="006D5A65">
      <w:pPr>
        <w:pStyle w:val="Heading1"/>
      </w:pPr>
      <w:r w:rsidRPr="000665B0">
        <w:t xml:space="preserve">Click the Divert button to initiate a Divert IMMM. </w:t>
      </w:r>
    </w:p>
    <w:p w14:paraId="14FEA9E3" w14:textId="4A17BF07" w:rsidR="001738B1" w:rsidRPr="000665B0" w:rsidRDefault="001738B1" w:rsidP="006D5A65">
      <w:pPr>
        <w:pStyle w:val="Heading1"/>
      </w:pPr>
      <w:r w:rsidRPr="000665B0">
        <w:t>Select the desired Command Level.</w:t>
      </w:r>
    </w:p>
    <w:p w14:paraId="10C7BB90" w14:textId="32A89C88" w:rsidR="004F7C12" w:rsidRPr="000665B0" w:rsidRDefault="002F48F1" w:rsidP="006D5A65">
      <w:pPr>
        <w:pStyle w:val="Heading1"/>
      </w:pPr>
      <w:r>
        <w:t>Based on the selected Command Level, s</w:t>
      </w:r>
      <w:r w:rsidRPr="000665B0">
        <w:t xml:space="preserve">elect </w:t>
      </w:r>
      <w:r w:rsidR="004F7C12" w:rsidRPr="000665B0">
        <w:t>the desired</w:t>
      </w:r>
      <w:r>
        <w:t xml:space="preserve"> group(s) or</w:t>
      </w:r>
      <w:r w:rsidR="004F7C12" w:rsidRPr="000665B0">
        <w:t xml:space="preserve"> missile(s) to receive the IMMM.</w:t>
      </w:r>
    </w:p>
    <w:p w14:paraId="4CF600CA" w14:textId="77777777" w:rsidR="006A7CA5" w:rsidRPr="000665B0" w:rsidRDefault="006A7CA5" w:rsidP="006D5A65">
      <w:pPr>
        <w:pStyle w:val="Heading1"/>
      </w:pPr>
      <w:r w:rsidRPr="000665B0">
        <w:t>Enter the desired coordinates in the Latitude and Longitude fields and proceed to the next (numbered) step.</w:t>
      </w:r>
    </w:p>
    <w:p w14:paraId="14891D6D" w14:textId="77777777" w:rsidR="006A7CA5" w:rsidRPr="000665B0" w:rsidRDefault="006A7CA5" w:rsidP="006A7CA5">
      <w:pPr>
        <w:pStyle w:val="BodyTextIndent2"/>
        <w:spacing w:line="240" w:lineRule="atLeast"/>
        <w:ind w:left="720"/>
      </w:pPr>
      <w:r w:rsidRPr="000665B0">
        <w:t>or</w:t>
      </w:r>
    </w:p>
    <w:p w14:paraId="6B3AA27B" w14:textId="77777777" w:rsidR="006A7CA5" w:rsidRPr="000665B0" w:rsidRDefault="006A7CA5" w:rsidP="006D5A65">
      <w:pPr>
        <w:pStyle w:val="Heading1"/>
      </w:pPr>
      <w:r w:rsidRPr="000665B0">
        <w:t>Click the Select from Geo button.</w:t>
      </w:r>
    </w:p>
    <w:p w14:paraId="43783840" w14:textId="77777777" w:rsidR="006A7CA5" w:rsidRPr="000665B0" w:rsidRDefault="006A7CA5" w:rsidP="006D5A65">
      <w:pPr>
        <w:pStyle w:val="Heading1"/>
      </w:pPr>
      <w:r w:rsidRPr="000665B0">
        <w:t xml:space="preserve">A Geo pane is displayed that shows a crosshair icon ( </w:t>
      </w:r>
      <w:r w:rsidRPr="000665B0">
        <w:rPr>
          <w:noProof/>
          <w:position w:val="-4"/>
        </w:rPr>
        <w:drawing>
          <wp:inline distT="0" distB="0" distL="0" distR="0" wp14:anchorId="7612DAEB" wp14:editId="057E3EC8">
            <wp:extent cx="160256" cy="149329"/>
            <wp:effectExtent l="0" t="0" r="0" b="317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75484" cy="163519"/>
                    </a:xfrm>
                    <a:prstGeom prst="rect">
                      <a:avLst/>
                    </a:prstGeom>
                  </pic:spPr>
                </pic:pic>
              </a:graphicData>
            </a:graphic>
          </wp:inline>
        </w:drawing>
      </w:r>
      <w:r w:rsidRPr="000665B0">
        <w:t xml:space="preserve"> ) when the mouse is hovered over the pane.</w:t>
      </w:r>
    </w:p>
    <w:p w14:paraId="3C420CE8" w14:textId="64B05AC3" w:rsidR="006A7CA5" w:rsidRPr="000665B0" w:rsidRDefault="000B04DD" w:rsidP="006D5A65">
      <w:pPr>
        <w:pStyle w:val="Heading1"/>
      </w:pPr>
      <w:r w:rsidRPr="000665B0">
        <w:t xml:space="preserve">Click the desired location in the Geo pane to select the </w:t>
      </w:r>
      <w:r w:rsidR="00BA2440" w:rsidRPr="000665B0">
        <w:t>location. The</w:t>
      </w:r>
      <w:r w:rsidRPr="000665B0">
        <w:t xml:space="preserve"> Latitude and Longitude fields are populated with the selected coordinates.</w:t>
      </w:r>
    </w:p>
    <w:p w14:paraId="314992F4" w14:textId="0989D50B" w:rsidR="00855BFC" w:rsidRPr="000665B0" w:rsidRDefault="002F48F1" w:rsidP="00273FA4">
      <w:pPr>
        <w:jc w:val="center"/>
      </w:pPr>
      <w:r>
        <w:rPr>
          <w:noProof/>
        </w:rPr>
        <w:drawing>
          <wp:inline distT="0" distB="0" distL="0" distR="0" wp14:anchorId="7B14351D" wp14:editId="3599B0E8">
            <wp:extent cx="2935224" cy="1700784"/>
            <wp:effectExtent l="0" t="0" r="0" b="0"/>
            <wp:docPr id="811366901" name="Picture 81136690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66901" name="Picture 811366901" descr="Graphical user interface, text, application, email&#10;&#10;Description automatically generated"/>
                    <pic:cNvPicPr/>
                  </pic:nvPicPr>
                  <pic:blipFill>
                    <a:blip cstate="print">
                      <a:extLst>
                        <a:ext uri="{28A0092B-C50C-407E-A947-70E740481C1C}">
                          <a14:useLocalDpi xmlns:a14="http://schemas.microsoft.com/office/drawing/2010/main" val="0"/>
                        </a:ext>
                      </a:extLst>
                    </a:blip>
                    <a:stretch>
                      <a:fillRect/>
                    </a:stretch>
                  </pic:blipFill>
                  <pic:spPr>
                    <a:xfrm>
                      <a:off x="0" y="0"/>
                      <a:ext cx="2935224" cy="1700784"/>
                    </a:xfrm>
                    <a:prstGeom prst="rect">
                      <a:avLst/>
                    </a:prstGeom>
                  </pic:spPr>
                </pic:pic>
              </a:graphicData>
            </a:graphic>
          </wp:inline>
        </w:drawing>
      </w:r>
    </w:p>
    <w:p w14:paraId="422F91A4" w14:textId="42CF3F87" w:rsidR="001738B1" w:rsidRPr="000665B0" w:rsidRDefault="001738B1" w:rsidP="006D5A65">
      <w:pPr>
        <w:pStyle w:val="Heading1"/>
      </w:pPr>
      <w:r w:rsidRPr="000665B0">
        <w:t>Select the Request H&amp;S checkbox to instruct the missile to send an acknowledgement that it has received the command and is about to divert.</w:t>
      </w:r>
    </w:p>
    <w:p w14:paraId="543BA3BB" w14:textId="77777777" w:rsidR="006537BB" w:rsidRPr="000665B0" w:rsidRDefault="006537BB" w:rsidP="006D5A65">
      <w:pPr>
        <w:pStyle w:val="Heading1"/>
      </w:pPr>
      <w:r w:rsidRPr="000665B0">
        <w:t>Click the Send button. A confirmation is displayed allowing review of the selections. The Status field is updated to indicate that the system is awaiting confirmation.</w:t>
      </w:r>
    </w:p>
    <w:p w14:paraId="0F05326D" w14:textId="07BEACFD" w:rsidR="006537BB" w:rsidRPr="000665B0" w:rsidRDefault="002F48F1" w:rsidP="006537BB">
      <w:pPr>
        <w:pStyle w:val="BodyTextIndent2"/>
        <w:spacing w:line="240" w:lineRule="auto"/>
        <w:ind w:left="0"/>
        <w:jc w:val="center"/>
      </w:pPr>
      <w:r w:rsidRPr="00405F9D">
        <w:rPr>
          <w:noProof/>
        </w:rPr>
        <w:drawing>
          <wp:inline distT="0" distB="0" distL="0" distR="0" wp14:anchorId="2740356B" wp14:editId="75A69191">
            <wp:extent cx="4571290" cy="632460"/>
            <wp:effectExtent l="0" t="0" r="0" b="0"/>
            <wp:docPr id="989981092" name="Picture 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81092" name="Picture 1" descr="Graphical user interface&#10;&#10;Description automatically generated with low confidence"/>
                    <pic:cNvPicPr/>
                  </pic:nvPicPr>
                  <pic:blipFill>
                    <a:blip/>
                    <a:stretch>
                      <a:fillRect/>
                    </a:stretch>
                  </pic:blipFill>
                  <pic:spPr>
                    <a:xfrm>
                      <a:off x="0" y="0"/>
                      <a:ext cx="4716437" cy="652542"/>
                    </a:xfrm>
                    <a:prstGeom prst="rect">
                      <a:avLst/>
                    </a:prstGeom>
                  </pic:spPr>
                </pic:pic>
              </a:graphicData>
            </a:graphic>
          </wp:inline>
        </w:drawing>
      </w:r>
    </w:p>
    <w:p w14:paraId="556C2BE1" w14:textId="77777777" w:rsidR="006537BB" w:rsidRPr="000665B0" w:rsidRDefault="006537BB" w:rsidP="006D5A65">
      <w:pPr>
        <w:pStyle w:val="Heading1"/>
      </w:pPr>
      <w:r w:rsidRPr="000665B0">
        <w:t>Click Yes to send the completed IMMM command.</w:t>
      </w:r>
    </w:p>
    <w:p w14:paraId="31DC3DFE" w14:textId="77777777" w:rsidR="006537BB" w:rsidRPr="000665B0" w:rsidRDefault="006537BB" w:rsidP="006537BB">
      <w:pPr>
        <w:pStyle w:val="BodyTextIndent2"/>
        <w:spacing w:line="240" w:lineRule="auto"/>
        <w:ind w:left="720"/>
      </w:pPr>
      <w:r w:rsidRPr="000665B0">
        <w:t>or</w:t>
      </w:r>
    </w:p>
    <w:p w14:paraId="6942F849" w14:textId="77777777" w:rsidR="006537BB" w:rsidRPr="000665B0" w:rsidRDefault="006537BB" w:rsidP="006D5A65">
      <w:pPr>
        <w:pStyle w:val="Heading1"/>
      </w:pPr>
      <w:r w:rsidRPr="000665B0">
        <w:lastRenderedPageBreak/>
        <w:t>Click No to reset the Send button; then review and change the settings needed.</w:t>
      </w:r>
    </w:p>
    <w:p w14:paraId="647615EE" w14:textId="406DAFB7" w:rsidR="005D4D9C" w:rsidRDefault="005D4D9C" w:rsidP="005D4D9C">
      <w:pPr>
        <w:pStyle w:val="Heading7"/>
      </w:pPr>
      <w:bookmarkStart w:id="6608" w:name="_Change_Enablements"/>
      <w:bookmarkEnd w:id="6608"/>
      <w:r>
        <w:t>Change Enablement</w:t>
      </w:r>
      <w:r w:rsidR="00135733">
        <w:t>s</w:t>
      </w:r>
    </w:p>
    <w:p w14:paraId="3CC1B578" w14:textId="128FF187" w:rsidR="00855BFC" w:rsidRPr="000665B0" w:rsidRDefault="00CF2AB6" w:rsidP="00855BFC">
      <w:pPr>
        <w:rPr>
          <w:b/>
        </w:rPr>
      </w:pPr>
      <w:r w:rsidRPr="000665B0">
        <w:t>The</w:t>
      </w:r>
      <w:r w:rsidR="005F734C" w:rsidRPr="000665B0">
        <w:t xml:space="preserve"> </w:t>
      </w:r>
      <w:r w:rsidR="005F734C" w:rsidRPr="000665B0">
        <w:rPr>
          <w:b/>
        </w:rPr>
        <w:t>Change Enablement</w:t>
      </w:r>
      <w:r w:rsidR="00135733">
        <w:rPr>
          <w:b/>
        </w:rPr>
        <w:t>s</w:t>
      </w:r>
      <w:r w:rsidR="005F734C" w:rsidRPr="000665B0">
        <w:t xml:space="preserve"> command allows the user to configure whether the missile will send Scheduled H&amp;S messages. </w:t>
      </w:r>
      <w:r w:rsidRPr="000665B0">
        <w:t>MST-enabled missiles are capable of self-reporting certain events, problems and/or failures via H&amp;S messages. The</w:t>
      </w:r>
      <w:r w:rsidR="00123442" w:rsidRPr="000665B0">
        <w:t xml:space="preserve"> </w:t>
      </w:r>
      <w:r w:rsidR="00123442" w:rsidRPr="000665B0">
        <w:rPr>
          <w:b/>
        </w:rPr>
        <w:t>Change Enablement</w:t>
      </w:r>
      <w:r w:rsidR="00135733">
        <w:rPr>
          <w:b/>
        </w:rPr>
        <w:t>s</w:t>
      </w:r>
      <w:r w:rsidR="00123442" w:rsidRPr="000665B0">
        <w:t xml:space="preserve"> command </w:t>
      </w:r>
      <w:r w:rsidR="005F734C" w:rsidRPr="000665B0">
        <w:t xml:space="preserve">also </w:t>
      </w:r>
      <w:r w:rsidR="00855BFC" w:rsidRPr="000665B0">
        <w:t xml:space="preserve">allows the user to configure which </w:t>
      </w:r>
      <w:r w:rsidR="00905BD6" w:rsidRPr="000665B0">
        <w:t>Events</w:t>
      </w:r>
      <w:r w:rsidR="00855BFC" w:rsidRPr="000665B0">
        <w:t xml:space="preserve">, </w:t>
      </w:r>
      <w:r w:rsidR="00905BD6" w:rsidRPr="000665B0">
        <w:t>P</w:t>
      </w:r>
      <w:r w:rsidR="00855BFC" w:rsidRPr="000665B0">
        <w:t xml:space="preserve">roblems or </w:t>
      </w:r>
      <w:r w:rsidR="002155A3" w:rsidRPr="000665B0">
        <w:t xml:space="preserve">BIT </w:t>
      </w:r>
      <w:r w:rsidR="00905BD6" w:rsidRPr="000665B0">
        <w:t>F</w:t>
      </w:r>
      <w:r w:rsidR="00855BFC" w:rsidRPr="000665B0">
        <w:t>ailures should be reported, such as:</w:t>
      </w:r>
    </w:p>
    <w:p w14:paraId="6E5B8965" w14:textId="77777777" w:rsidR="00855BFC" w:rsidRPr="000665B0" w:rsidRDefault="00855BFC" w:rsidP="006D5A65">
      <w:pPr>
        <w:pStyle w:val="Heading1"/>
      </w:pPr>
      <w:r w:rsidRPr="000665B0">
        <w:t>Events</w:t>
      </w:r>
    </w:p>
    <w:p w14:paraId="48B2C880" w14:textId="77777777" w:rsidR="00855BFC" w:rsidRPr="000665B0" w:rsidRDefault="00855BFC" w:rsidP="006D5A65">
      <w:pPr>
        <w:pStyle w:val="Heading2"/>
      </w:pPr>
      <w:r w:rsidRPr="000665B0">
        <w:t>Cruise Transition</w:t>
      </w:r>
    </w:p>
    <w:p w14:paraId="0DC2A40E" w14:textId="77777777" w:rsidR="00855BFC" w:rsidRPr="000665B0" w:rsidRDefault="00855BFC" w:rsidP="006D5A65">
      <w:pPr>
        <w:pStyle w:val="Heading2"/>
      </w:pPr>
      <w:r w:rsidRPr="000665B0">
        <w:t>GPS High Power Ceased</w:t>
      </w:r>
    </w:p>
    <w:p w14:paraId="7F1C607C" w14:textId="77777777" w:rsidR="00855BFC" w:rsidRPr="000665B0" w:rsidRDefault="00855BFC" w:rsidP="006D5A65">
      <w:pPr>
        <w:pStyle w:val="Heading2"/>
      </w:pPr>
      <w:r w:rsidRPr="000665B0">
        <w:t>Intercept State Changed</w:t>
      </w:r>
    </w:p>
    <w:p w14:paraId="7EAE661C" w14:textId="77777777" w:rsidR="00855BFC" w:rsidRPr="000665B0" w:rsidRDefault="00855BFC" w:rsidP="006D5A65">
      <w:pPr>
        <w:pStyle w:val="Heading2"/>
      </w:pPr>
      <w:r w:rsidRPr="000665B0">
        <w:t>Terminal H&amp;S</w:t>
      </w:r>
    </w:p>
    <w:p w14:paraId="03904420" w14:textId="77777777" w:rsidR="00855BFC" w:rsidRPr="000665B0" w:rsidRDefault="00855BFC" w:rsidP="006D5A65">
      <w:pPr>
        <w:pStyle w:val="Heading1"/>
      </w:pPr>
      <w:r w:rsidRPr="000665B0">
        <w:t>Problems</w:t>
      </w:r>
    </w:p>
    <w:p w14:paraId="50922E28" w14:textId="77777777" w:rsidR="00855BFC" w:rsidRPr="000665B0" w:rsidRDefault="00855BFC" w:rsidP="006D5A65">
      <w:pPr>
        <w:pStyle w:val="Heading2"/>
      </w:pPr>
      <w:r w:rsidRPr="000665B0">
        <w:t>GPS High Power</w:t>
      </w:r>
    </w:p>
    <w:p w14:paraId="130186A8" w14:textId="77777777" w:rsidR="00855BFC" w:rsidRPr="000665B0" w:rsidRDefault="00855BFC" w:rsidP="006D5A65">
      <w:pPr>
        <w:pStyle w:val="Heading2"/>
      </w:pPr>
      <w:r w:rsidRPr="000665B0">
        <w:t>GPS Not Providing Updates</w:t>
      </w:r>
    </w:p>
    <w:p w14:paraId="3C979181" w14:textId="77777777" w:rsidR="00855BFC" w:rsidRPr="000665B0" w:rsidRDefault="00855BFC" w:rsidP="006D5A65">
      <w:pPr>
        <w:pStyle w:val="Heading2"/>
      </w:pPr>
      <w:r w:rsidRPr="000665B0">
        <w:t>Invalid Outcome</w:t>
      </w:r>
    </w:p>
    <w:p w14:paraId="1DB5DDBA" w14:textId="77777777" w:rsidR="00855BFC" w:rsidRPr="000665B0" w:rsidRDefault="00855BFC" w:rsidP="006D5A65">
      <w:pPr>
        <w:pStyle w:val="Heading1"/>
      </w:pPr>
      <w:r w:rsidRPr="000665B0">
        <w:t>BIT Failures</w:t>
      </w:r>
    </w:p>
    <w:p w14:paraId="6507F692" w14:textId="77777777" w:rsidR="00855BFC" w:rsidRPr="000665B0" w:rsidRDefault="00855BFC" w:rsidP="006D5A65">
      <w:pPr>
        <w:pStyle w:val="Heading2"/>
      </w:pPr>
      <w:r w:rsidRPr="000665B0">
        <w:t>AGR</w:t>
      </w:r>
    </w:p>
    <w:p w14:paraId="7D8B1C3F" w14:textId="77777777" w:rsidR="00855BFC" w:rsidRPr="000665B0" w:rsidRDefault="00855BFC" w:rsidP="006D5A65">
      <w:pPr>
        <w:pStyle w:val="Heading2"/>
      </w:pPr>
      <w:r w:rsidRPr="000665B0">
        <w:t>IMU</w:t>
      </w:r>
    </w:p>
    <w:p w14:paraId="5CC79B97" w14:textId="77777777" w:rsidR="00855BFC" w:rsidRPr="000665B0" w:rsidRDefault="00855BFC" w:rsidP="006D5A65">
      <w:pPr>
        <w:pStyle w:val="Heading2"/>
      </w:pPr>
      <w:r w:rsidRPr="000665B0">
        <w:t>PST</w:t>
      </w:r>
    </w:p>
    <w:p w14:paraId="70A8CFB0" w14:textId="77777777" w:rsidR="00855BFC" w:rsidRPr="000665B0" w:rsidRDefault="00855BFC" w:rsidP="006D5A65">
      <w:pPr>
        <w:pStyle w:val="Heading2"/>
      </w:pPr>
      <w:r w:rsidRPr="000665B0">
        <w:t>Seeker</w:t>
      </w:r>
    </w:p>
    <w:p w14:paraId="173478FE" w14:textId="77777777" w:rsidR="00855BFC" w:rsidRPr="000665B0" w:rsidRDefault="00855BFC" w:rsidP="006D5A65">
      <w:pPr>
        <w:pStyle w:val="Heading2"/>
      </w:pPr>
      <w:r w:rsidRPr="000665B0">
        <w:t>Air Data Module</w:t>
      </w:r>
    </w:p>
    <w:p w14:paraId="53126B09" w14:textId="77777777" w:rsidR="00855BFC" w:rsidRPr="000665B0" w:rsidRDefault="00855BFC" w:rsidP="006D5A65">
      <w:pPr>
        <w:pStyle w:val="Heading2"/>
      </w:pPr>
      <w:r w:rsidRPr="000665B0">
        <w:t>Guidance Processor</w:t>
      </w:r>
    </w:p>
    <w:p w14:paraId="04A10C0B" w14:textId="77777777" w:rsidR="00855BFC" w:rsidRPr="000665B0" w:rsidRDefault="00855BFC" w:rsidP="006D5A65">
      <w:pPr>
        <w:pStyle w:val="Heading2"/>
      </w:pPr>
      <w:r w:rsidRPr="000665B0">
        <w:t>Radar Altimeter</w:t>
      </w:r>
    </w:p>
    <w:p w14:paraId="40D3EDBB" w14:textId="373170BB" w:rsidR="001738B1" w:rsidRPr="000665B0" w:rsidRDefault="001738B1" w:rsidP="006D5A65">
      <w:pPr>
        <w:pStyle w:val="Heading1"/>
      </w:pPr>
      <w:r w:rsidRPr="000665B0">
        <w:lastRenderedPageBreak/>
        <w:t xml:space="preserve">Click the </w:t>
      </w:r>
      <w:r w:rsidR="002155A3" w:rsidRPr="000665B0">
        <w:t>Change Enablement</w:t>
      </w:r>
      <w:r w:rsidR="00135733">
        <w:t>s</w:t>
      </w:r>
      <w:r w:rsidRPr="000665B0">
        <w:t xml:space="preserve"> button to initiate a </w:t>
      </w:r>
      <w:r w:rsidR="002155A3" w:rsidRPr="000665B0">
        <w:t>Change Enablement</w:t>
      </w:r>
      <w:r w:rsidRPr="000665B0">
        <w:t xml:space="preserve"> IMMM. </w:t>
      </w:r>
    </w:p>
    <w:p w14:paraId="26353714" w14:textId="3BB73406" w:rsidR="00AB71F7" w:rsidRPr="000665B0" w:rsidRDefault="00AB71F7" w:rsidP="006D5A65">
      <w:pPr>
        <w:pStyle w:val="Heading1"/>
      </w:pPr>
      <w:r w:rsidRPr="000665B0">
        <w:t>Select the desired Command Level.</w:t>
      </w:r>
    </w:p>
    <w:p w14:paraId="330C8455" w14:textId="38FF1CE9" w:rsidR="00AB71F7" w:rsidRPr="000665B0" w:rsidRDefault="002F48F1" w:rsidP="006D5A65">
      <w:pPr>
        <w:pStyle w:val="Heading1"/>
      </w:pPr>
      <w:r>
        <w:t>Based on the selected Command Level, s</w:t>
      </w:r>
      <w:r w:rsidRPr="000665B0">
        <w:t xml:space="preserve">elect </w:t>
      </w:r>
      <w:r w:rsidR="00AB71F7" w:rsidRPr="000665B0">
        <w:t>the desired</w:t>
      </w:r>
      <w:r>
        <w:t xml:space="preserve"> group(s) or</w:t>
      </w:r>
      <w:r w:rsidR="00AB71F7" w:rsidRPr="000665B0">
        <w:t xml:space="preserve"> missile(s) to receive the IMMM.</w:t>
      </w:r>
    </w:p>
    <w:p w14:paraId="24738EC4" w14:textId="50E3A071" w:rsidR="001328C1" w:rsidRDefault="00606B48" w:rsidP="006D5A65">
      <w:pPr>
        <w:pStyle w:val="Heading1"/>
      </w:pPr>
      <w:r w:rsidRPr="000665B0">
        <w:t>If desired, select from the Change Enablements pane/Presets field.</w:t>
      </w:r>
      <w:r w:rsidR="009A540D">
        <w:t xml:space="preserve"> </w:t>
      </w:r>
    </w:p>
    <w:p w14:paraId="1779D420" w14:textId="21BC128E" w:rsidR="00913F48" w:rsidRDefault="001328C1" w:rsidP="00D4144B">
      <w:pPr>
        <w:ind w:left="720"/>
      </w:pPr>
      <w:bookmarkStart w:id="6609" w:name="_Hlk131765100"/>
      <w:r w:rsidRPr="000665B0">
        <w:t xml:space="preserve">The </w:t>
      </w:r>
      <w:r w:rsidR="00230309" w:rsidRPr="00230309">
        <w:rPr>
          <w:b/>
        </w:rPr>
        <w:t>Presets</w:t>
      </w:r>
      <w:r w:rsidR="00230309">
        <w:t xml:space="preserve"> </w:t>
      </w:r>
      <w:r w:rsidR="00D4144B">
        <w:t>can be customized</w:t>
      </w:r>
      <w:r w:rsidRPr="000665B0">
        <w:t xml:space="preserve"> in the xml file </w:t>
      </w:r>
      <w:r w:rsidRPr="000665B0">
        <w:rPr>
          <w:i/>
        </w:rPr>
        <w:t>MSTControlPanelSettings.xml</w:t>
      </w:r>
      <w:r w:rsidRPr="000665B0">
        <w:t xml:space="preserve"> located in C:\Program Files\Perspecta\MDS\SupportFiles. The </w:t>
      </w:r>
      <w:r w:rsidR="00D4144B">
        <w:t>xml file</w:t>
      </w:r>
      <w:r w:rsidRPr="000665B0">
        <w:t xml:space="preserve"> can be edited using a text editor</w:t>
      </w:r>
      <w:r w:rsidR="00D4144B">
        <w:t xml:space="preserve"> to change each button’s name and define each button’s functionality</w:t>
      </w:r>
      <w:r w:rsidRPr="000665B0">
        <w:t>.</w:t>
      </w:r>
      <w:r w:rsidR="00D4144B">
        <w:t xml:space="preserve"> The current defaults (subject to change based on the xml file) a</w:t>
      </w:r>
      <w:r w:rsidR="00D4144B" w:rsidRPr="00D4144B">
        <w:t>re</w:t>
      </w:r>
      <w:r w:rsidR="00913F48">
        <w:t>:</w:t>
      </w:r>
    </w:p>
    <w:bookmarkEnd w:id="6609"/>
    <w:p w14:paraId="16E41D70" w14:textId="77D58F6F" w:rsidR="00913F48" w:rsidRDefault="00855BFC" w:rsidP="006D5A65">
      <w:pPr>
        <w:pStyle w:val="Heading1"/>
      </w:pPr>
      <w:r w:rsidRPr="00D4144B">
        <w:t>EMCON</w:t>
      </w:r>
      <w:r w:rsidR="00913F48">
        <w:t xml:space="preserve"> – </w:t>
      </w:r>
      <w:r w:rsidR="002767F4">
        <w:t>Selects the following Events, Problems, or BIT Failures: Cruise Transition, Intercept State Changed, Terminal H&amp;S, and Seeker (does not select Scheduled H&amp;S Enabled).</w:t>
      </w:r>
    </w:p>
    <w:p w14:paraId="13B4D1B4" w14:textId="1AC9EE1F" w:rsidR="00913F48" w:rsidRDefault="00855BFC" w:rsidP="006D5A65">
      <w:pPr>
        <w:pStyle w:val="Heading1"/>
      </w:pPr>
      <w:r w:rsidRPr="00D4144B">
        <w:t>Sch H&amp;S Off</w:t>
      </w:r>
      <w:r w:rsidR="009651B0">
        <w:t xml:space="preserve"> </w:t>
      </w:r>
      <w:r w:rsidR="00913F48">
        <w:t>–</w:t>
      </w:r>
      <w:r w:rsidR="002767F4">
        <w:t xml:space="preserve"> Selects all Events, Problems, and BIT Failures (does not select Scheduled H&amp;S Enabled)</w:t>
      </w:r>
    </w:p>
    <w:p w14:paraId="3CFB9C5C" w14:textId="344C70E1" w:rsidR="00855BFC" w:rsidRPr="000665B0" w:rsidRDefault="00855BFC" w:rsidP="006D5A65">
      <w:pPr>
        <w:pStyle w:val="Heading1"/>
      </w:pPr>
      <w:r w:rsidRPr="00D4144B">
        <w:t>Custom</w:t>
      </w:r>
      <w:r w:rsidR="00913F48">
        <w:t xml:space="preserve"> –</w:t>
      </w:r>
      <w:r w:rsidR="002767F4">
        <w:t xml:space="preserve"> Selects all Events, Problems, and BIT Failures (does not select Scheduled H&amp;S Enabled).</w:t>
      </w:r>
    </w:p>
    <w:p w14:paraId="3EB6653E" w14:textId="3321AFB7" w:rsidR="002155A3" w:rsidRPr="000665B0" w:rsidRDefault="002155A3" w:rsidP="006D5A65">
      <w:pPr>
        <w:pStyle w:val="Heading1"/>
      </w:pPr>
      <w:r w:rsidRPr="000665B0">
        <w:t>In the Enablements pane, select the Scheduled H&amp;S Enabled checkbox to instruct the missile to send Scheduled H&amp;S messages.</w:t>
      </w:r>
    </w:p>
    <w:p w14:paraId="2E5EDAAB" w14:textId="1BC4D7C2" w:rsidR="002155A3" w:rsidRPr="000665B0" w:rsidRDefault="001D5919" w:rsidP="006D5A65">
      <w:pPr>
        <w:pStyle w:val="Heading1"/>
      </w:pPr>
      <w:r w:rsidRPr="000665B0">
        <w:t>In the Enablements pane</w:t>
      </w:r>
      <w:r>
        <w:t>, s</w:t>
      </w:r>
      <w:r w:rsidR="002155A3" w:rsidRPr="000665B0">
        <w:t xml:space="preserve">elect the desired Events, Problems, and BIT Failures. </w:t>
      </w:r>
      <w:r w:rsidR="008A557B" w:rsidRPr="000665B0">
        <w:t>Alternatively</w:t>
      </w:r>
      <w:r w:rsidR="002155A3" w:rsidRPr="000665B0">
        <w:t>, select the Select/Deselect All checkbox to quickly select</w:t>
      </w:r>
      <w:r w:rsidR="008342FF" w:rsidRPr="000665B0">
        <w:t xml:space="preserve"> or deselect</w:t>
      </w:r>
      <w:r w:rsidR="002155A3" w:rsidRPr="000665B0">
        <w:t xml:space="preserve"> all of options</w:t>
      </w:r>
      <w:r>
        <w:t xml:space="preserve"> within the </w:t>
      </w:r>
      <w:r w:rsidRPr="001D5919">
        <w:t>Enablements</w:t>
      </w:r>
      <w:r>
        <w:t xml:space="preserve"> pane</w:t>
      </w:r>
      <w:r w:rsidR="002155A3" w:rsidRPr="000665B0">
        <w:t>.</w:t>
      </w:r>
    </w:p>
    <w:p w14:paraId="6ABCCBFF" w14:textId="0534BB3D" w:rsidR="002155A3" w:rsidRDefault="00EA185E" w:rsidP="006D5A65">
      <w:pPr>
        <w:pStyle w:val="Heading1"/>
      </w:pPr>
      <w:r w:rsidRPr="000665B0">
        <w:t xml:space="preserve">Once all selections are made, the Send button and Request H&amp;S checkbox are displayed. The Status field is updated to reflect the selections. </w:t>
      </w:r>
      <w:r w:rsidR="002155A3" w:rsidRPr="000665B0">
        <w:t xml:space="preserve">Select the Request H&amp;S checkbox to </w:t>
      </w:r>
      <w:r w:rsidR="002155A3" w:rsidRPr="000665B0">
        <w:lastRenderedPageBreak/>
        <w:t>instruct the missile to send an acknowledgement that it has received the command.</w:t>
      </w:r>
    </w:p>
    <w:p w14:paraId="52FFB660" w14:textId="2E04D68F" w:rsidR="00816638" w:rsidRPr="000665B0" w:rsidRDefault="002F48F1" w:rsidP="005A3944">
      <w:pPr>
        <w:pStyle w:val="BodyTextIndent2"/>
        <w:spacing w:line="240" w:lineRule="auto"/>
        <w:ind w:left="0"/>
        <w:jc w:val="center"/>
      </w:pPr>
      <w:r>
        <w:rPr>
          <w:noProof/>
        </w:rPr>
        <w:drawing>
          <wp:inline distT="0" distB="0" distL="0" distR="0" wp14:anchorId="46936CF3" wp14:editId="2694CD6E">
            <wp:extent cx="3200400" cy="2692644"/>
            <wp:effectExtent l="0" t="0" r="0" b="0"/>
            <wp:docPr id="1652376771" name="Picture 165237677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76771" name="Picture 1652376771" descr="Graphical user interface, text, application&#10;&#10;Description automatically generated"/>
                    <pic:cNvPicPr/>
                  </pic:nvPicPr>
                  <pic:blipFill>
                    <a:blip cstate="print">
                      <a:extLst>
                        <a:ext uri="{28A0092B-C50C-407E-A947-70E740481C1C}">
                          <a14:useLocalDpi xmlns:a14="http://schemas.microsoft.com/office/drawing/2010/main" val="0"/>
                        </a:ext>
                      </a:extLst>
                    </a:blip>
                    <a:stretch>
                      <a:fillRect/>
                    </a:stretch>
                  </pic:blipFill>
                  <pic:spPr>
                    <a:xfrm>
                      <a:off x="0" y="0"/>
                      <a:ext cx="3204286" cy="2695913"/>
                    </a:xfrm>
                    <a:prstGeom prst="rect">
                      <a:avLst/>
                    </a:prstGeom>
                  </pic:spPr>
                </pic:pic>
              </a:graphicData>
            </a:graphic>
          </wp:inline>
        </w:drawing>
      </w:r>
    </w:p>
    <w:p w14:paraId="3D0ECDFC" w14:textId="01CEC54A" w:rsidR="00EA185E" w:rsidRPr="000665B0" w:rsidRDefault="00EA185E" w:rsidP="006D5A65">
      <w:pPr>
        <w:pStyle w:val="Heading1"/>
      </w:pPr>
      <w:r w:rsidRPr="000665B0">
        <w:t>Click the Send button. A confirmation is displayed allowing review of the selections. The Status field is updated to indicate that the system is awaiting confirmation.</w:t>
      </w:r>
    </w:p>
    <w:p w14:paraId="74734F98" w14:textId="0AA80378" w:rsidR="00E62EF0" w:rsidRPr="000665B0" w:rsidRDefault="002F48F1" w:rsidP="00E62EF0">
      <w:pPr>
        <w:pStyle w:val="BodyTextIndent2"/>
        <w:spacing w:line="240" w:lineRule="auto"/>
        <w:ind w:left="0"/>
        <w:jc w:val="center"/>
      </w:pPr>
      <w:r w:rsidRPr="005E48CE">
        <w:rPr>
          <w:noProof/>
        </w:rPr>
        <w:drawing>
          <wp:inline distT="0" distB="0" distL="0" distR="0" wp14:anchorId="3FC9235B" wp14:editId="62E43F18">
            <wp:extent cx="4554716" cy="647685"/>
            <wp:effectExtent l="0" t="0" r="0" b="0"/>
            <wp:docPr id="7781794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7941" name="Picture 1" descr="A picture containing graphical user interface&#10;&#10;Description automatically generated"/>
                    <pic:cNvPicPr/>
                  </pic:nvPicPr>
                  <pic:blipFill>
                    <a:blip/>
                    <a:stretch>
                      <a:fillRect/>
                    </a:stretch>
                  </pic:blipFill>
                  <pic:spPr>
                    <a:xfrm>
                      <a:off x="0" y="0"/>
                      <a:ext cx="5084756" cy="723057"/>
                    </a:xfrm>
                    <a:prstGeom prst="rect">
                      <a:avLst/>
                    </a:prstGeom>
                  </pic:spPr>
                </pic:pic>
              </a:graphicData>
            </a:graphic>
          </wp:inline>
        </w:drawing>
      </w:r>
    </w:p>
    <w:p w14:paraId="2D766FBD" w14:textId="762165AC" w:rsidR="00EA185E" w:rsidRPr="000665B0" w:rsidRDefault="00EA185E" w:rsidP="006D5A65">
      <w:pPr>
        <w:pStyle w:val="Heading1"/>
      </w:pPr>
      <w:r w:rsidRPr="000665B0">
        <w:t>Click Yes to send the completed IMMM command.</w:t>
      </w:r>
    </w:p>
    <w:p w14:paraId="2D37C41C" w14:textId="49DD0020" w:rsidR="00EA185E" w:rsidRPr="000665B0" w:rsidRDefault="00E62EF0" w:rsidP="00EA185E">
      <w:pPr>
        <w:pStyle w:val="BodyTextIndent2"/>
        <w:spacing w:line="240" w:lineRule="auto"/>
        <w:ind w:left="720"/>
      </w:pPr>
      <w:r w:rsidRPr="000665B0">
        <w:t>or</w:t>
      </w:r>
    </w:p>
    <w:p w14:paraId="0E979C42" w14:textId="7C9E2A5A" w:rsidR="00EA185E" w:rsidRDefault="00EA185E" w:rsidP="006D5A65">
      <w:pPr>
        <w:pStyle w:val="Heading1"/>
      </w:pPr>
      <w:r w:rsidRPr="000665B0">
        <w:t>Click No to reset the Send button; then review and chan</w:t>
      </w:r>
      <w:r w:rsidR="00290D2D" w:rsidRPr="000665B0">
        <w:t>g</w:t>
      </w:r>
      <w:r w:rsidRPr="000665B0">
        <w:t>e the settings needed.</w:t>
      </w:r>
    </w:p>
    <w:p w14:paraId="3C7848A2" w14:textId="6A99CC10" w:rsidR="006A03CE" w:rsidRDefault="006A03CE" w:rsidP="006A03CE">
      <w:pPr>
        <w:pStyle w:val="Heading7"/>
      </w:pPr>
      <w:bookmarkStart w:id="6610" w:name="_Target_State_UpdatesIMMM"/>
      <w:bookmarkEnd w:id="6610"/>
      <w:r>
        <w:t xml:space="preserve">Target State </w:t>
      </w:r>
      <w:r w:rsidR="009F0F5A">
        <w:t>IMMM</w:t>
      </w:r>
    </w:p>
    <w:p w14:paraId="29AA0B45" w14:textId="32317F1E" w:rsidR="006A03CE" w:rsidRDefault="006A03CE" w:rsidP="006A03CE">
      <w:pPr>
        <w:rPr>
          <w:rFonts w:eastAsia="Times New Roman"/>
          <w:szCs w:val="24"/>
        </w:rPr>
      </w:pPr>
      <w:r>
        <w:t xml:space="preserve">The </w:t>
      </w:r>
      <w:r w:rsidRPr="00C36B36">
        <w:rPr>
          <w:b/>
          <w:bCs/>
        </w:rPr>
        <w:t xml:space="preserve">Target State </w:t>
      </w:r>
      <w:r w:rsidR="00330400">
        <w:rPr>
          <w:b/>
          <w:bCs/>
        </w:rPr>
        <w:t>IMMM</w:t>
      </w:r>
      <w:r w:rsidR="00330400">
        <w:t xml:space="preserve"> </w:t>
      </w:r>
      <w:r>
        <w:t xml:space="preserve">checkbox enables/disables the automatic sending of </w:t>
      </w:r>
      <w:r w:rsidR="00552A94">
        <w:t xml:space="preserve">target data in </w:t>
      </w:r>
      <w:r>
        <w:t>Target State IMMMs by SMD</w:t>
      </w:r>
      <w:r w:rsidR="00E96A60">
        <w:t>.</w:t>
      </w:r>
      <w:r w:rsidR="00330400" w:rsidRPr="00330400">
        <w:rPr>
          <w:rFonts w:eastAsia="Times New Roman"/>
          <w:szCs w:val="24"/>
        </w:rPr>
        <w:t xml:space="preserve"> </w:t>
      </w:r>
      <w:r w:rsidR="00330400" w:rsidRPr="143E1B3E">
        <w:rPr>
          <w:rFonts w:eastAsia="Times New Roman"/>
          <w:szCs w:val="24"/>
        </w:rPr>
        <w:t>By default, Target State IMMMs are disabled when a SEP is received and when the user Assumes Control.</w:t>
      </w:r>
      <w:r w:rsidR="00330400" w:rsidRPr="03244963">
        <w:rPr>
          <w:rFonts w:eastAsia="Times New Roman"/>
          <w:szCs w:val="24"/>
        </w:rPr>
        <w:t xml:space="preserve"> When Target State IMMMs are disabled Target information will not be displayed in IMMM messages (see</w:t>
      </w:r>
      <w:r w:rsidR="000D3A14">
        <w:rPr>
          <w:rFonts w:eastAsia="Times New Roman"/>
          <w:szCs w:val="24"/>
        </w:rPr>
        <w:t xml:space="preserve"> </w:t>
      </w:r>
      <w:hyperlink w:anchor="_Display_Textually_(MST" w:history="1">
        <w:r w:rsidR="000D3A14" w:rsidRPr="000D3A14">
          <w:rPr>
            <w:rStyle w:val="Hyperlink"/>
            <w:rFonts w:eastAsia="Times New Roman"/>
            <w:szCs w:val="24"/>
          </w:rPr>
          <w:t>Section</w:t>
        </w:r>
        <w:r w:rsidR="00330400" w:rsidRPr="000D3A14">
          <w:rPr>
            <w:rStyle w:val="Hyperlink"/>
            <w:rFonts w:eastAsia="Times New Roman"/>
            <w:szCs w:val="24"/>
          </w:rPr>
          <w:t xml:space="preserve"> </w:t>
        </w:r>
        <w:r w:rsidR="004231CC">
          <w:rPr>
            <w:rStyle w:val="Hyperlink"/>
            <w:rFonts w:eastAsia="Times New Roman"/>
            <w:szCs w:val="24"/>
          </w:rPr>
          <w:t>5.37</w:t>
        </w:r>
        <w:r w:rsidR="00330400" w:rsidRPr="000D3A14">
          <w:rPr>
            <w:rStyle w:val="Hyperlink"/>
            <w:rFonts w:eastAsia="Times New Roman"/>
            <w:szCs w:val="24"/>
          </w:rPr>
          <w:t>.10.2.1</w:t>
        </w:r>
      </w:hyperlink>
      <w:r w:rsidR="00330400" w:rsidRPr="03244963">
        <w:rPr>
          <w:rFonts w:eastAsia="Times New Roman"/>
          <w:szCs w:val="24"/>
        </w:rPr>
        <w:t>).</w:t>
      </w:r>
      <w:r w:rsidR="00330400" w:rsidRPr="002667A9">
        <w:t xml:space="preserve"> </w:t>
      </w:r>
      <w:r w:rsidR="003D4D31">
        <w:rPr>
          <w:rFonts w:eastAsia="Times New Roman"/>
          <w:szCs w:val="24"/>
        </w:rPr>
        <w:t>When Target State IMMMs are enabled, u</w:t>
      </w:r>
      <w:r w:rsidR="00330400" w:rsidRPr="002667A9">
        <w:rPr>
          <w:rFonts w:eastAsia="Times New Roman"/>
          <w:szCs w:val="24"/>
        </w:rPr>
        <w:t xml:space="preserve">pdates to Target Data are needed to send Target State IMMMs. The transmission interval between Target State IMMMs and Warnings if updates are not received are in the Missile Parameters Tab (See </w:t>
      </w:r>
      <w:hyperlink w:anchor="_Missile_Parameters_Tab_1" w:history="1">
        <w:r w:rsidR="000E3287" w:rsidRPr="000E3287">
          <w:rPr>
            <w:rStyle w:val="Hyperlink"/>
            <w:rFonts w:eastAsia="Times New Roman"/>
            <w:szCs w:val="24"/>
          </w:rPr>
          <w:t xml:space="preserve">Section </w:t>
        </w:r>
        <w:r w:rsidR="004231CC">
          <w:rPr>
            <w:rStyle w:val="Hyperlink"/>
            <w:rFonts w:eastAsia="Times New Roman"/>
            <w:szCs w:val="24"/>
          </w:rPr>
          <w:t>5.34</w:t>
        </w:r>
        <w:r w:rsidR="00330400" w:rsidRPr="000E3287">
          <w:rPr>
            <w:rStyle w:val="Hyperlink"/>
            <w:rFonts w:eastAsia="Times New Roman"/>
            <w:szCs w:val="24"/>
          </w:rPr>
          <w:t>.1.1.4.2.1</w:t>
        </w:r>
      </w:hyperlink>
      <w:r w:rsidR="00330400" w:rsidRPr="002667A9">
        <w:rPr>
          <w:rFonts w:eastAsia="Times New Roman"/>
          <w:szCs w:val="24"/>
        </w:rPr>
        <w:t>).</w:t>
      </w:r>
    </w:p>
    <w:p w14:paraId="2A06C002" w14:textId="3C098013" w:rsidR="00330400" w:rsidRDefault="00330400" w:rsidP="00BB4EBE">
      <w:pPr>
        <w:jc w:val="center"/>
      </w:pPr>
      <w:r w:rsidRPr="004E25D8">
        <w:rPr>
          <w:noProof/>
        </w:rPr>
        <w:lastRenderedPageBreak/>
        <w:drawing>
          <wp:inline distT="0" distB="0" distL="0" distR="0" wp14:anchorId="538328B3" wp14:editId="5E1A59FB">
            <wp:extent cx="3810000" cy="971826"/>
            <wp:effectExtent l="0" t="0" r="0" b="0"/>
            <wp:docPr id="1039479703"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79703" name="Picture 1" descr="Graphical user interface&#10;&#10;Description automatically generated"/>
                    <pic:cNvPicPr/>
                  </pic:nvPicPr>
                  <pic:blipFill>
                    <a:blip/>
                    <a:stretch>
                      <a:fillRect/>
                    </a:stretch>
                  </pic:blipFill>
                  <pic:spPr>
                    <a:xfrm>
                      <a:off x="0" y="0"/>
                      <a:ext cx="3836235" cy="978518"/>
                    </a:xfrm>
                    <a:prstGeom prst="rect">
                      <a:avLst/>
                    </a:prstGeom>
                  </pic:spPr>
                </pic:pic>
              </a:graphicData>
            </a:graphic>
          </wp:inline>
        </w:drawing>
      </w:r>
    </w:p>
    <w:p w14:paraId="4750E137" w14:textId="00DF2E6F" w:rsidR="006A03CE" w:rsidRPr="00E553BA" w:rsidRDefault="006A03CE" w:rsidP="006D5A65">
      <w:pPr>
        <w:pStyle w:val="Heading2"/>
      </w:pPr>
      <w:r w:rsidRPr="00E553BA">
        <w:t>Check</w:t>
      </w:r>
      <w:r w:rsidR="00330400" w:rsidRPr="00E553BA">
        <w:t>/Uncheck</w:t>
      </w:r>
      <w:r w:rsidRPr="00E553BA">
        <w:t xml:space="preserve"> the </w:t>
      </w:r>
      <w:r w:rsidRPr="00E553BA">
        <w:rPr>
          <w:bCs/>
        </w:rPr>
        <w:t xml:space="preserve">Target State </w:t>
      </w:r>
      <w:r w:rsidR="00330400" w:rsidRPr="00E553BA">
        <w:rPr>
          <w:bCs/>
        </w:rPr>
        <w:t xml:space="preserve">IMMM </w:t>
      </w:r>
      <w:r w:rsidRPr="00E553BA">
        <w:t>checkbox</w:t>
      </w:r>
      <w:r w:rsidR="00330400" w:rsidRPr="00E553BA">
        <w:t xml:space="preserve"> to enable/disable automatic sending of Target State IMMMs</w:t>
      </w:r>
      <w:r w:rsidR="00E96A60" w:rsidRPr="00E553BA">
        <w:t>.</w:t>
      </w:r>
    </w:p>
    <w:p w14:paraId="28A1EC24" w14:textId="38AA8B74" w:rsidR="006A03CE" w:rsidRPr="00E553BA" w:rsidRDefault="006A03CE" w:rsidP="006D5A65">
      <w:pPr>
        <w:pStyle w:val="Heading2"/>
      </w:pPr>
      <w:r w:rsidRPr="00E553BA">
        <w:t>On the Confirmation dialogue, select yes or no to confirm or reject enabling/disabling the automatic sending of Target State IMMMs</w:t>
      </w:r>
      <w:r w:rsidR="00E96A60" w:rsidRPr="00E553BA">
        <w:t>.</w:t>
      </w:r>
    </w:p>
    <w:p w14:paraId="11945255" w14:textId="5C019C2B" w:rsidR="00330400" w:rsidRDefault="00330400" w:rsidP="00330400">
      <w:pPr>
        <w:tabs>
          <w:tab w:val="left" w:pos="360"/>
        </w:tabs>
        <w:ind w:left="648" w:hanging="288"/>
        <w:jc w:val="center"/>
      </w:pPr>
      <w:r w:rsidRPr="001060EE">
        <w:rPr>
          <w:noProof/>
        </w:rPr>
        <w:drawing>
          <wp:inline distT="0" distB="0" distL="0" distR="0" wp14:anchorId="44D0F417" wp14:editId="231F338E">
            <wp:extent cx="2743200" cy="1252728"/>
            <wp:effectExtent l="0" t="0" r="0" b="0"/>
            <wp:docPr id="1859573464"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73464" name="Picture 1" descr="Graphical user interface, text, application&#10;&#10;Description automatically generated"/>
                    <pic:cNvPicPr/>
                  </pic:nvPicPr>
                  <pic:blipFill>
                    <a:blip/>
                    <a:stretch>
                      <a:fillRect/>
                    </a:stretch>
                  </pic:blipFill>
                  <pic:spPr>
                    <a:xfrm>
                      <a:off x="0" y="0"/>
                      <a:ext cx="2743200" cy="1252728"/>
                    </a:xfrm>
                    <a:prstGeom prst="rect">
                      <a:avLst/>
                    </a:prstGeom>
                  </pic:spPr>
                </pic:pic>
              </a:graphicData>
            </a:graphic>
          </wp:inline>
        </w:drawing>
      </w:r>
    </w:p>
    <w:p w14:paraId="41305AF8" w14:textId="6EBD7999" w:rsidR="00330400" w:rsidRDefault="00330400" w:rsidP="00BB4EBE">
      <w:pPr>
        <w:tabs>
          <w:tab w:val="left" w:pos="360"/>
        </w:tabs>
        <w:ind w:left="648" w:hanging="288"/>
        <w:jc w:val="center"/>
      </w:pPr>
      <w:r w:rsidRPr="001060EE">
        <w:rPr>
          <w:noProof/>
        </w:rPr>
        <w:drawing>
          <wp:inline distT="0" distB="0" distL="0" distR="0" wp14:anchorId="75EED73E" wp14:editId="64FF3CAB">
            <wp:extent cx="2743200" cy="1243584"/>
            <wp:effectExtent l="0" t="0" r="0" b="0"/>
            <wp:docPr id="2104549862"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49862" name="Picture 1" descr="Graphical user interface, text, application&#10;&#10;Description automatically generated"/>
                    <pic:cNvPicPr/>
                  </pic:nvPicPr>
                  <pic:blipFill>
                    <a:blip/>
                    <a:stretch>
                      <a:fillRect/>
                    </a:stretch>
                  </pic:blipFill>
                  <pic:spPr>
                    <a:xfrm>
                      <a:off x="0" y="0"/>
                      <a:ext cx="2743200" cy="1243584"/>
                    </a:xfrm>
                    <a:prstGeom prst="rect">
                      <a:avLst/>
                    </a:prstGeom>
                  </pic:spPr>
                </pic:pic>
              </a:graphicData>
            </a:graphic>
          </wp:inline>
        </w:drawing>
      </w:r>
    </w:p>
    <w:p w14:paraId="27970BE0" w14:textId="56EF086F" w:rsidR="006A03CE" w:rsidRDefault="006A03CE" w:rsidP="00C36B36">
      <w:pPr>
        <w:tabs>
          <w:tab w:val="left" w:pos="360"/>
        </w:tabs>
      </w:pPr>
      <w:r>
        <w:t xml:space="preserve">When automatic </w:t>
      </w:r>
      <w:r w:rsidRPr="00C36B36">
        <w:rPr>
          <w:b/>
          <w:bCs/>
        </w:rPr>
        <w:t xml:space="preserve">Target State </w:t>
      </w:r>
      <w:r w:rsidR="00330400">
        <w:rPr>
          <w:b/>
          <w:bCs/>
        </w:rPr>
        <w:t>IMMMs</w:t>
      </w:r>
      <w:r w:rsidR="00330400">
        <w:t xml:space="preserve"> </w:t>
      </w:r>
      <w:r>
        <w:t xml:space="preserve">are enabled, the </w:t>
      </w:r>
      <w:r w:rsidRPr="00C36B36">
        <w:rPr>
          <w:b/>
          <w:bCs/>
        </w:rPr>
        <w:t>MST Control Panel</w:t>
      </w:r>
      <w:r>
        <w:t xml:space="preserve"> identifie</w:t>
      </w:r>
      <w:r w:rsidR="006F64AB">
        <w:t>s</w:t>
      </w:r>
      <w:r>
        <w:t xml:space="preserve"> the</w:t>
      </w:r>
      <w:r w:rsidR="00C36B36">
        <w:t xml:space="preserve"> </w:t>
      </w:r>
      <w:r>
        <w:t xml:space="preserve">target track and displays </w:t>
      </w:r>
      <w:r w:rsidR="00330400">
        <w:t xml:space="preserve">the </w:t>
      </w:r>
      <w:r w:rsidR="00330400">
        <w:rPr>
          <w:noProof/>
        </w:rPr>
        <w:drawing>
          <wp:inline distT="0" distB="0" distL="0" distR="0" wp14:anchorId="25F23BFE" wp14:editId="58F44A20">
            <wp:extent cx="146685" cy="135890"/>
            <wp:effectExtent l="0" t="0" r="0" b="0"/>
            <wp:docPr id="782414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46685" cy="135890"/>
                    </a:xfrm>
                    <a:prstGeom prst="rect">
                      <a:avLst/>
                    </a:prstGeom>
                    <a:noFill/>
                    <a:ln>
                      <a:noFill/>
                    </a:ln>
                  </pic:spPr>
                </pic:pic>
              </a:graphicData>
            </a:graphic>
          </wp:inline>
        </w:drawing>
      </w:r>
      <w:r w:rsidR="00330400">
        <w:t xml:space="preserve"> icon</w:t>
      </w:r>
      <w:r>
        <w:t xml:space="preserve"> to indicate the user enabled sending automatic </w:t>
      </w:r>
      <w:r w:rsidRPr="00C36B36">
        <w:rPr>
          <w:b/>
          <w:bCs/>
        </w:rPr>
        <w:t xml:space="preserve">Target State </w:t>
      </w:r>
      <w:r w:rsidR="00330400">
        <w:rPr>
          <w:b/>
          <w:bCs/>
        </w:rPr>
        <w:t>IMMM</w:t>
      </w:r>
      <w:r w:rsidR="00330400" w:rsidRPr="00C36B36">
        <w:rPr>
          <w:b/>
          <w:bCs/>
        </w:rPr>
        <w:t>s</w:t>
      </w:r>
      <w:r w:rsidR="00330400">
        <w:t xml:space="preserve"> </w:t>
      </w:r>
      <w:r>
        <w:t>for that target.</w:t>
      </w:r>
    </w:p>
    <w:p w14:paraId="3C01DE27" w14:textId="50DD9183" w:rsidR="000E3287" w:rsidRDefault="000E3287" w:rsidP="000E3287">
      <w:pPr>
        <w:tabs>
          <w:tab w:val="left" w:pos="360"/>
        </w:tabs>
        <w:jc w:val="center"/>
      </w:pPr>
      <w:r>
        <w:rPr>
          <w:noProof/>
        </w:rPr>
        <w:drawing>
          <wp:inline distT="0" distB="0" distL="0" distR="0" wp14:anchorId="5F244187" wp14:editId="57ACE4A9">
            <wp:extent cx="1828800" cy="365760"/>
            <wp:effectExtent l="0" t="0" r="0" b="0"/>
            <wp:docPr id="922751790"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51790" name="Picture 3" descr="Graphical user interface, application&#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1828800" cy="365760"/>
                    </a:xfrm>
                    <a:prstGeom prst="rect">
                      <a:avLst/>
                    </a:prstGeom>
                  </pic:spPr>
                </pic:pic>
              </a:graphicData>
            </a:graphic>
          </wp:inline>
        </w:drawing>
      </w:r>
    </w:p>
    <w:p w14:paraId="250162A8" w14:textId="77777777" w:rsidR="000E3287" w:rsidRPr="006A03CE" w:rsidRDefault="000E3287" w:rsidP="000E3287">
      <w:pPr>
        <w:tabs>
          <w:tab w:val="left" w:pos="360"/>
        </w:tabs>
      </w:pPr>
      <w:r>
        <w:t>An entry is added to the SMD Events Log whenever Target State IMMMs are enabled or disabled.</w:t>
      </w:r>
    </w:p>
    <w:p w14:paraId="16B21B9F" w14:textId="4062497B" w:rsidR="000E3287" w:rsidRDefault="000E3287">
      <w:pPr>
        <w:tabs>
          <w:tab w:val="left" w:pos="360"/>
        </w:tabs>
        <w:jc w:val="center"/>
      </w:pPr>
      <w:r>
        <w:rPr>
          <w:noProof/>
        </w:rPr>
        <w:drawing>
          <wp:inline distT="0" distB="0" distL="0" distR="0" wp14:anchorId="15A9CF40" wp14:editId="1D998BCC">
            <wp:extent cx="4983480" cy="1508760"/>
            <wp:effectExtent l="0" t="0" r="0" b="0"/>
            <wp:docPr id="1006795147" name="Picture 100679514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95147" name="Picture 1006795147" descr="Graphical user interface, text, application&#10;&#10;Description automatically generated"/>
                    <pic:cNvPicPr/>
                  </pic:nvPicPr>
                  <pic:blipFill>
                    <a:blip cstate="print">
                      <a:extLst>
                        <a:ext uri="{28A0092B-C50C-407E-A947-70E740481C1C}">
                          <a14:useLocalDpi xmlns:a14="http://schemas.microsoft.com/office/drawing/2010/main" val="0"/>
                        </a:ext>
                      </a:extLst>
                    </a:blip>
                    <a:stretch>
                      <a:fillRect/>
                    </a:stretch>
                  </pic:blipFill>
                  <pic:spPr>
                    <a:xfrm>
                      <a:off x="0" y="0"/>
                      <a:ext cx="4983480" cy="1508760"/>
                    </a:xfrm>
                    <a:prstGeom prst="rect">
                      <a:avLst/>
                    </a:prstGeom>
                  </pic:spPr>
                </pic:pic>
              </a:graphicData>
            </a:graphic>
          </wp:inline>
        </w:drawing>
      </w:r>
    </w:p>
    <w:p w14:paraId="7667A1BC" w14:textId="37E0D670" w:rsidR="003D4D31" w:rsidRDefault="003D4D31" w:rsidP="003D4D31">
      <w:pPr>
        <w:tabs>
          <w:tab w:val="num" w:pos="2520"/>
        </w:tabs>
        <w:rPr>
          <w:bCs/>
          <w:color w:val="000000" w:themeColor="text1"/>
          <w:szCs w:val="24"/>
        </w:rPr>
      </w:pPr>
      <w:r w:rsidRPr="00B35856">
        <w:rPr>
          <w:bCs/>
          <w:color w:val="000000" w:themeColor="text1"/>
          <w:szCs w:val="24"/>
        </w:rPr>
        <w:lastRenderedPageBreak/>
        <w:t xml:space="preserve">Target State IMMMs include AOU Major Axis and AOU Minor Axis data that is sometimes modified raw data. Target State IMMMs created from IBS or JREAP-C raw data convert the raw AOU Axis to reflect a 90% containment, so the IMMM textual display will contain smaller AOU Axis than the Target Track’s textual display (see </w:t>
      </w:r>
      <w:hyperlink w:anchor="_Set_as_Track_1" w:history="1">
        <w:r w:rsidRPr="003D4D31">
          <w:rPr>
            <w:rStyle w:val="Hyperlink"/>
            <w:bCs/>
            <w:szCs w:val="24"/>
          </w:rPr>
          <w:t xml:space="preserve">Section </w:t>
        </w:r>
        <w:r w:rsidR="004231CC">
          <w:rPr>
            <w:rStyle w:val="Hyperlink"/>
            <w:bCs/>
            <w:szCs w:val="24"/>
          </w:rPr>
          <w:t>5.32</w:t>
        </w:r>
        <w:r w:rsidRPr="003D4D31">
          <w:rPr>
            <w:rStyle w:val="Hyperlink"/>
            <w:bCs/>
            <w:szCs w:val="24"/>
          </w:rPr>
          <w:t>.6</w:t>
        </w:r>
      </w:hyperlink>
      <w:r w:rsidRPr="00B35856">
        <w:rPr>
          <w:bCs/>
          <w:color w:val="000000" w:themeColor="text1"/>
          <w:szCs w:val="24"/>
        </w:rPr>
        <w:t>).</w:t>
      </w:r>
    </w:p>
    <w:p w14:paraId="6F03667A" w14:textId="7CD855FC" w:rsidR="003868B5" w:rsidRDefault="003868B5" w:rsidP="00BB4EBE">
      <w:pPr>
        <w:tabs>
          <w:tab w:val="num" w:pos="2520"/>
        </w:tabs>
        <w:jc w:val="center"/>
        <w:rPr>
          <w:bCs/>
          <w:color w:val="000000" w:themeColor="text1"/>
          <w:szCs w:val="24"/>
        </w:rPr>
      </w:pPr>
      <w:r>
        <w:rPr>
          <w:b/>
          <w:noProof/>
        </w:rPr>
        <w:drawing>
          <wp:inline distT="0" distB="0" distL="0" distR="0" wp14:anchorId="12678F06" wp14:editId="3B6FC22E">
            <wp:extent cx="4572000" cy="2249424"/>
            <wp:effectExtent l="0" t="0" r="0" b="0"/>
            <wp:docPr id="1850425445" name="Picture 3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25445" name="Picture 38" descr="Graphical user interface, text&#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4572000" cy="2249424"/>
                    </a:xfrm>
                    <a:prstGeom prst="rect">
                      <a:avLst/>
                    </a:prstGeom>
                  </pic:spPr>
                </pic:pic>
              </a:graphicData>
            </a:graphic>
          </wp:inline>
        </w:drawing>
      </w:r>
    </w:p>
    <w:p w14:paraId="5D5E1F90" w14:textId="5FF8C96C" w:rsidR="00552A94" w:rsidRPr="00552A94" w:rsidRDefault="00552A94" w:rsidP="00552A94">
      <w:pPr>
        <w:tabs>
          <w:tab w:val="num" w:pos="2520"/>
        </w:tabs>
        <w:rPr>
          <w:bCs/>
          <w:color w:val="000000" w:themeColor="text1"/>
          <w:szCs w:val="24"/>
        </w:rPr>
      </w:pPr>
      <w:r w:rsidRPr="00552A94">
        <w:rPr>
          <w:bCs/>
          <w:color w:val="000000" w:themeColor="text1"/>
          <w:szCs w:val="24"/>
        </w:rPr>
        <w:t xml:space="preserve">Target tracks may contain or receive Events with fake data. If the target track’s newest Event has fake AOU (see </w:t>
      </w:r>
      <w:hyperlink w:anchor="_Set_as_Track_1" w:history="1">
        <w:r w:rsidRPr="00552A94">
          <w:rPr>
            <w:rStyle w:val="Hyperlink"/>
            <w:bCs/>
            <w:szCs w:val="24"/>
          </w:rPr>
          <w:t xml:space="preserve">Section </w:t>
        </w:r>
        <w:r w:rsidR="004231CC">
          <w:rPr>
            <w:rStyle w:val="Hyperlink"/>
            <w:bCs/>
            <w:szCs w:val="24"/>
          </w:rPr>
          <w:t>5.32</w:t>
        </w:r>
        <w:r w:rsidRPr="00552A94">
          <w:rPr>
            <w:rStyle w:val="Hyperlink"/>
            <w:bCs/>
            <w:szCs w:val="24"/>
          </w:rPr>
          <w:t>.6</w:t>
        </w:r>
      </w:hyperlink>
      <w:r w:rsidRPr="00552A94">
        <w:rPr>
          <w:bCs/>
          <w:color w:val="000000" w:themeColor="text1"/>
          <w:szCs w:val="24"/>
        </w:rPr>
        <w:t>)</w:t>
      </w:r>
      <w:r w:rsidR="00D85ED1">
        <w:rPr>
          <w:bCs/>
          <w:color w:val="000000" w:themeColor="text1"/>
          <w:szCs w:val="24"/>
        </w:rPr>
        <w:t xml:space="preserve">. </w:t>
      </w:r>
      <w:r w:rsidR="00D85ED1">
        <w:t>A default value is assigned to the AOU of the Track in order to send a Target State IMMM</w:t>
      </w:r>
      <w:r w:rsidR="00D85ED1" w:rsidRPr="004F0972">
        <w:t>.</w:t>
      </w:r>
      <w:r w:rsidR="00D85ED1" w:rsidRPr="00117298">
        <w:rPr>
          <w:bCs/>
          <w:color w:val="000000"/>
          <w:szCs w:val="24"/>
        </w:rPr>
        <w:t xml:space="preserve"> </w:t>
      </w:r>
      <w:r w:rsidR="00D85ED1">
        <w:rPr>
          <w:bCs/>
          <w:color w:val="000000"/>
          <w:szCs w:val="24"/>
        </w:rPr>
        <w:t xml:space="preserve"> If the track has an AOU Semi-Major/Semi-Minor Axis that is greater than </w:t>
      </w:r>
      <w:r w:rsidR="00D85ED1" w:rsidRPr="00EA76D3">
        <w:rPr>
          <w:bCs/>
          <w:color w:val="000000"/>
          <w:szCs w:val="24"/>
        </w:rPr>
        <w:t>63.9990234</w:t>
      </w:r>
      <w:r w:rsidR="00D85ED1">
        <w:rPr>
          <w:bCs/>
          <w:color w:val="000000"/>
          <w:szCs w:val="24"/>
        </w:rPr>
        <w:t xml:space="preserve">, the </w:t>
      </w:r>
      <w:r w:rsidR="00D85ED1">
        <w:t>Target State IMMM will NOT be sent, and recorded in the error logs.</w:t>
      </w:r>
    </w:p>
    <w:p w14:paraId="7EEDC647" w14:textId="467B0939" w:rsidR="00552A94" w:rsidRPr="00552A94" w:rsidRDefault="00552A94" w:rsidP="00552A94">
      <w:pPr>
        <w:tabs>
          <w:tab w:val="num" w:pos="2520"/>
        </w:tabs>
        <w:rPr>
          <w:bCs/>
          <w:color w:val="000000" w:themeColor="text1"/>
          <w:szCs w:val="24"/>
        </w:rPr>
      </w:pPr>
      <w:r w:rsidRPr="00552A94">
        <w:rPr>
          <w:bCs/>
          <w:color w:val="000000" w:themeColor="text1"/>
          <w:szCs w:val="24"/>
        </w:rPr>
        <w:t xml:space="preserve">When an MST IMMM (see </w:t>
      </w:r>
      <w:hyperlink w:anchor="_Maritime_Strike_IMMMs" w:history="1">
        <w:r w:rsidRPr="00552A94">
          <w:rPr>
            <w:rStyle w:val="Hyperlink"/>
            <w:bCs/>
            <w:szCs w:val="24"/>
          </w:rPr>
          <w:t xml:space="preserve">Section </w:t>
        </w:r>
        <w:r w:rsidR="004231CC">
          <w:rPr>
            <w:rStyle w:val="Hyperlink"/>
            <w:bCs/>
            <w:szCs w:val="24"/>
          </w:rPr>
          <w:t>5.37</w:t>
        </w:r>
        <w:r w:rsidRPr="00552A94">
          <w:rPr>
            <w:rStyle w:val="Hyperlink"/>
            <w:bCs/>
            <w:szCs w:val="24"/>
          </w:rPr>
          <w:t>.10.2</w:t>
        </w:r>
      </w:hyperlink>
      <w:r w:rsidRPr="00552A94">
        <w:rPr>
          <w:bCs/>
          <w:color w:val="000000" w:themeColor="text1"/>
          <w:szCs w:val="24"/>
        </w:rPr>
        <w:t xml:space="preserve">) is textually displayed, it will include Target Data only if Target State IMMMs are enabled. </w:t>
      </w:r>
    </w:p>
    <w:p w14:paraId="02DC9260" w14:textId="77777777" w:rsidR="00552A94" w:rsidRPr="00552A94" w:rsidRDefault="00552A94" w:rsidP="00552A94">
      <w:pPr>
        <w:tabs>
          <w:tab w:val="num" w:pos="2520"/>
        </w:tabs>
        <w:rPr>
          <w:bCs/>
          <w:color w:val="000000" w:themeColor="text1"/>
          <w:szCs w:val="24"/>
        </w:rPr>
      </w:pPr>
      <w:r w:rsidRPr="00552A94">
        <w:rPr>
          <w:bCs/>
          <w:color w:val="000000" w:themeColor="text1"/>
          <w:szCs w:val="24"/>
        </w:rPr>
        <w:t>The type of data included in the Target Data box of a Target State IMMM changes depending on the ISAT configuration and target track type as shown below:</w:t>
      </w:r>
    </w:p>
    <w:p w14:paraId="62E814A9" w14:textId="77777777" w:rsidR="00552A94" w:rsidRPr="00552A94" w:rsidRDefault="00552A94" w:rsidP="006D5A65">
      <w:pPr>
        <w:pStyle w:val="Heading1"/>
      </w:pPr>
      <w:r w:rsidRPr="00552A94">
        <w:t xml:space="preserve">If the ISAT configuration is set to provide Solutions, then all Target State IMMMs will include Solution data in the Target Data box. </w:t>
      </w:r>
    </w:p>
    <w:p w14:paraId="7C6D828A" w14:textId="77777777" w:rsidR="00552A94" w:rsidRPr="00552A94" w:rsidRDefault="00552A94" w:rsidP="006D5A65">
      <w:pPr>
        <w:pStyle w:val="Heading1"/>
      </w:pPr>
      <w:r w:rsidRPr="00552A94">
        <w:t>If the ISAT configuration is not providing Solutions, and the target track does not contain Solutions, then the Target State IMMMs will include Event Data in the Target Data box.</w:t>
      </w:r>
    </w:p>
    <w:p w14:paraId="1035F59A" w14:textId="610D6094" w:rsidR="00552A94" w:rsidRPr="00BB4EBE" w:rsidRDefault="00552A94" w:rsidP="00402E99">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color w:val="000000" w:themeColor="text1"/>
          <w:szCs w:val="24"/>
        </w:rPr>
      </w:pPr>
      <w:r w:rsidRPr="00BB4EBE">
        <w:rPr>
          <w:b/>
          <w:color w:val="000000" w:themeColor="text1"/>
          <w:szCs w:val="24"/>
        </w:rPr>
        <w:t>Note:</w:t>
      </w:r>
      <w:r>
        <w:rPr>
          <w:b/>
          <w:color w:val="000000" w:themeColor="text1"/>
          <w:szCs w:val="24"/>
        </w:rPr>
        <w:br/>
      </w:r>
      <w:r w:rsidRPr="00BB4EBE">
        <w:rPr>
          <w:b/>
          <w:color w:val="000000" w:themeColor="text1"/>
          <w:szCs w:val="24"/>
        </w:rPr>
        <w:t>Tracks from GCCS-M are provided Solutions directly from GCCS-M and not ISAT. If the target track is a track from GCCS-M or is a Master Track with a component track from GCCS-M, then the Target State IMMMs will include Solution Data even when the ISAT configuration is not providing Solutions.</w:t>
      </w:r>
    </w:p>
    <w:p w14:paraId="44CB4B76" w14:textId="419925E9" w:rsidR="003D4D31" w:rsidRPr="006A03CE" w:rsidRDefault="00552A94" w:rsidP="00BB4EBE">
      <w:pPr>
        <w:tabs>
          <w:tab w:val="num" w:pos="2520"/>
        </w:tabs>
      </w:pPr>
      <w:r w:rsidRPr="00552A94">
        <w:rPr>
          <w:bCs/>
          <w:color w:val="000000" w:themeColor="text1"/>
          <w:szCs w:val="24"/>
        </w:rPr>
        <w:t>The ISAT configuration setting is logged as an entry in the MDS Error Log Entries tool at MDS startup.</w:t>
      </w:r>
    </w:p>
    <w:p w14:paraId="21FB349B" w14:textId="63070C41" w:rsidR="00855BFC" w:rsidRPr="000665B0" w:rsidRDefault="00263B9C" w:rsidP="00306174">
      <w:pPr>
        <w:pStyle w:val="Heading6"/>
      </w:pPr>
      <w:bookmarkStart w:id="6611" w:name="_Assume_Control/Release_Control"/>
      <w:bookmarkStart w:id="6612" w:name="_Assume__Control/Release"/>
      <w:bookmarkEnd w:id="6611"/>
      <w:bookmarkEnd w:id="6612"/>
      <w:r w:rsidRPr="000665B0">
        <w:lastRenderedPageBreak/>
        <w:t xml:space="preserve">Assume Control/Release Control </w:t>
      </w:r>
      <w:r w:rsidR="008A1719" w:rsidRPr="000665B0">
        <w:t>of a Maritime Strike</w:t>
      </w:r>
    </w:p>
    <w:p w14:paraId="5E87ABB8" w14:textId="047A7C80" w:rsidR="00263B9C" w:rsidRPr="000665B0" w:rsidRDefault="00263B9C" w:rsidP="00263B9C">
      <w:r w:rsidRPr="000665B0">
        <w:t xml:space="preserve">The </w:t>
      </w:r>
      <w:r w:rsidRPr="000665B0">
        <w:rPr>
          <w:b/>
        </w:rPr>
        <w:t>Assume</w:t>
      </w:r>
      <w:r w:rsidR="00905BD6" w:rsidRPr="000665B0">
        <w:rPr>
          <w:b/>
        </w:rPr>
        <w:t xml:space="preserve"> Control</w:t>
      </w:r>
      <w:r w:rsidRPr="000665B0">
        <w:rPr>
          <w:b/>
        </w:rPr>
        <w:t>/Release Control</w:t>
      </w:r>
      <w:r w:rsidR="00905BD6" w:rsidRPr="000665B0">
        <w:t xml:space="preserve"> </w:t>
      </w:r>
      <w:r w:rsidR="003F2E08">
        <w:t xml:space="preserve">button </w:t>
      </w:r>
      <w:r w:rsidRPr="000665B0">
        <w:t>allows a user to take control</w:t>
      </w:r>
      <w:r w:rsidR="0055299A" w:rsidRPr="000665B0">
        <w:t xml:space="preserve"> or release control</w:t>
      </w:r>
      <w:r w:rsidRPr="000665B0">
        <w:t xml:space="preserve"> of the MST strike for the </w:t>
      </w:r>
      <w:r w:rsidR="00905BD6" w:rsidRPr="000665B0">
        <w:t>t</w:t>
      </w:r>
      <w:r w:rsidRPr="000665B0">
        <w:t xml:space="preserve">arget </w:t>
      </w:r>
      <w:r w:rsidR="00905BD6" w:rsidRPr="000665B0">
        <w:t>t</w:t>
      </w:r>
      <w:r w:rsidRPr="000665B0">
        <w:t xml:space="preserve">rack. </w:t>
      </w:r>
      <w:r w:rsidR="0055299A" w:rsidRPr="000665B0">
        <w:t xml:space="preserve">Assuming control </w:t>
      </w:r>
      <w:r w:rsidRPr="000665B0">
        <w:t xml:space="preserve">allows the user to send IMMM commands to </w:t>
      </w:r>
      <w:r w:rsidR="00905BD6" w:rsidRPr="000665B0">
        <w:t>m</w:t>
      </w:r>
      <w:r w:rsidRPr="000665B0">
        <w:t>issiles based on the Target, Group, and Missile command level in the MST Control Panel</w:t>
      </w:r>
      <w:r w:rsidR="007E7AF7">
        <w:t>.</w:t>
      </w:r>
    </w:p>
    <w:p w14:paraId="04627A36" w14:textId="1217B1FD" w:rsidR="003F2E08" w:rsidRDefault="00335F80" w:rsidP="003F2E08">
      <w:r w:rsidRPr="000665B0">
        <w:t xml:space="preserve">The </w:t>
      </w:r>
      <w:r w:rsidR="00263B9C" w:rsidRPr="000665B0">
        <w:rPr>
          <w:b/>
        </w:rPr>
        <w:t>Assume</w:t>
      </w:r>
      <w:r w:rsidRPr="000665B0">
        <w:rPr>
          <w:b/>
        </w:rPr>
        <w:t xml:space="preserve"> Control</w:t>
      </w:r>
      <w:r w:rsidR="00263B9C" w:rsidRPr="000665B0">
        <w:rPr>
          <w:b/>
        </w:rPr>
        <w:t>/Release Control</w:t>
      </w:r>
      <w:r w:rsidR="00263B9C" w:rsidRPr="000665B0">
        <w:t xml:space="preserve"> </w:t>
      </w:r>
      <w:r w:rsidR="003F2E08">
        <w:t>button (based on whether the user is currently a Monitor or Controller)</w:t>
      </w:r>
      <w:r w:rsidR="00263B9C" w:rsidRPr="000665B0">
        <w:t xml:space="preserve"> </w:t>
      </w:r>
      <w:r w:rsidRPr="000665B0">
        <w:t xml:space="preserve">is displayed </w:t>
      </w:r>
      <w:r w:rsidR="003F2E08">
        <w:t>underneath the MST Control Panel tab</w:t>
      </w:r>
      <w:r w:rsidRPr="000665B0">
        <w:t xml:space="preserve"> of each target track</w:t>
      </w:r>
      <w:r w:rsidR="00263B9C" w:rsidRPr="000665B0">
        <w:t xml:space="preserve">. </w:t>
      </w:r>
    </w:p>
    <w:p w14:paraId="2CD7F0C1" w14:textId="7F0BBC55" w:rsidR="003B20F0" w:rsidRDefault="006D0F35" w:rsidP="006D0F35">
      <w:pPr>
        <w:tabs>
          <w:tab w:val="center" w:pos="4680"/>
          <w:tab w:val="left" w:pos="7740"/>
        </w:tabs>
      </w:pPr>
      <w:r>
        <w:tab/>
      </w:r>
      <w:r w:rsidR="003F2E08" w:rsidRPr="003F2E08">
        <w:rPr>
          <w:noProof/>
        </w:rPr>
        <w:drawing>
          <wp:inline distT="0" distB="0" distL="0" distR="0" wp14:anchorId="0ACE8495" wp14:editId="4A89BA36">
            <wp:extent cx="1371600" cy="740664"/>
            <wp:effectExtent l="0" t="0" r="0" b="0"/>
            <wp:docPr id="996537822"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7822" name="Picture 1" descr="A picture containing diagram&#10;&#10;Description automatically generated"/>
                    <pic:cNvPicPr/>
                  </pic:nvPicPr>
                  <pic:blipFill rotWithShape="1">
                    <a:blip>
                      <a:extLst>
                        <a:ext uri="{28A0092B-C50C-407E-A947-70E740481C1C}">
                          <a14:useLocalDpi xmlns:a14="http://schemas.microsoft.com/office/drawing/2010/main" val="0"/>
                        </a:ext>
                      </a:extLst>
                    </a:blip>
                    <a:srcRect r="60235" b="78588"/>
                    <a:stretch/>
                  </pic:blipFill>
                  <pic:spPr bwMode="auto">
                    <a:xfrm>
                      <a:off x="0" y="0"/>
                      <a:ext cx="1371600" cy="740664"/>
                    </a:xfrm>
                    <a:prstGeom prst="rect">
                      <a:avLst/>
                    </a:prstGeom>
                    <a:ln>
                      <a:noFill/>
                    </a:ln>
                    <a:extLst>
                      <a:ext uri="{53640926-AAD7-44D8-BBD7-CCE9431645EC}">
                        <a14:shadowObscured xmlns:a14="http://schemas.microsoft.com/office/drawing/2010/main"/>
                      </a:ext>
                    </a:extLst>
                  </pic:spPr>
                </pic:pic>
              </a:graphicData>
            </a:graphic>
          </wp:inline>
        </w:drawing>
      </w:r>
      <w:r w:rsidR="00402E99">
        <w:t xml:space="preserve"> </w:t>
      </w:r>
      <w:r>
        <w:rPr>
          <w:noProof/>
        </w:rPr>
        <w:drawing>
          <wp:inline distT="0" distB="0" distL="0" distR="0" wp14:anchorId="0044F30E" wp14:editId="5C5BF3CC">
            <wp:extent cx="1371600" cy="758952"/>
            <wp:effectExtent l="0" t="0" r="0" b="0"/>
            <wp:docPr id="1151791772"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with medium confidence"/>
                    <pic:cNvPicPr>
                      <a:picLocks noChangeAspect="1" noChangeArrowheads="1"/>
                    </pic:cNvPicPr>
                  </pic:nvPicPr>
                  <pic:blipFill rotWithShape="1">
                    <a:blip r:link="rId29" cstate="print">
                      <a:extLst>
                        <a:ext uri="{28A0092B-C50C-407E-A947-70E740481C1C}">
                          <a14:useLocalDpi xmlns:a14="http://schemas.microsoft.com/office/drawing/2010/main" val="0"/>
                        </a:ext>
                      </a:extLst>
                    </a:blip>
                    <a:srcRect r="63957" b="77819"/>
                    <a:stretch/>
                  </pic:blipFill>
                  <pic:spPr bwMode="auto">
                    <a:xfrm>
                      <a:off x="0" y="0"/>
                      <a:ext cx="1371600" cy="758952"/>
                    </a:xfrm>
                    <a:prstGeom prst="rect">
                      <a:avLst/>
                    </a:prstGeom>
                    <a:noFill/>
                    <a:ln>
                      <a:noFill/>
                    </a:ln>
                    <a:extLst>
                      <a:ext uri="{53640926-AAD7-44D8-BBD7-CCE9431645EC}">
                        <a14:shadowObscured xmlns:a14="http://schemas.microsoft.com/office/drawing/2010/main"/>
                      </a:ext>
                    </a:extLst>
                  </pic:spPr>
                </pic:pic>
              </a:graphicData>
            </a:graphic>
          </wp:inline>
        </w:drawing>
      </w:r>
    </w:p>
    <w:p w14:paraId="1C7007CB" w14:textId="020F70C2" w:rsidR="007E7AF7" w:rsidRPr="000665B0" w:rsidRDefault="007E7AF7" w:rsidP="007E7AF7">
      <w:pPr>
        <w:jc w:val="center"/>
      </w:pPr>
      <w:r>
        <w:t>Control can only be assumed when a target track has been set (</w:t>
      </w:r>
      <w:hyperlink w:anchor="_Set_Target" w:history="1">
        <w:r w:rsidRPr="007E7AF7">
          <w:rPr>
            <w:rStyle w:val="Hyperlink"/>
          </w:rPr>
          <w:t xml:space="preserve">see </w:t>
        </w:r>
        <w:r>
          <w:rPr>
            <w:rStyle w:val="Hyperlink"/>
          </w:rPr>
          <w:t xml:space="preserve">Section </w:t>
        </w:r>
        <w:r w:rsidR="004231CC">
          <w:rPr>
            <w:rStyle w:val="Hyperlink"/>
          </w:rPr>
          <w:t>5.35</w:t>
        </w:r>
        <w:r w:rsidRPr="007E7AF7">
          <w:rPr>
            <w:rStyle w:val="Hyperlink"/>
          </w:rPr>
          <w:t>.3.1.3.1.1</w:t>
        </w:r>
      </w:hyperlink>
      <w:r>
        <w:t>).</w:t>
      </w:r>
    </w:p>
    <w:p w14:paraId="7FAB1054" w14:textId="5771678A" w:rsidR="00263B9C" w:rsidRPr="000665B0" w:rsidRDefault="006E5AA9" w:rsidP="00263B9C">
      <w:r w:rsidRPr="000665B0">
        <w:t>To assume control of an MST strike:</w:t>
      </w:r>
    </w:p>
    <w:p w14:paraId="52D83417" w14:textId="696A13CF" w:rsidR="006E5AA9" w:rsidRPr="000665B0" w:rsidRDefault="00207A51" w:rsidP="006D5A65">
      <w:pPr>
        <w:pStyle w:val="Heading1"/>
      </w:pPr>
      <w:r w:rsidRPr="000665B0">
        <w:t>From the SMD</w:t>
      </w:r>
      <w:r w:rsidR="003F2E08">
        <w:t xml:space="preserve"> MST Control Panel</w:t>
      </w:r>
      <w:r w:rsidRPr="000665B0">
        <w:t>, c</w:t>
      </w:r>
      <w:r w:rsidR="006E5AA9" w:rsidRPr="000665B0">
        <w:t>lick the Assume Control button.</w:t>
      </w:r>
    </w:p>
    <w:p w14:paraId="609E5376" w14:textId="14596F7A" w:rsidR="00263B9C" w:rsidRPr="000665B0" w:rsidRDefault="006E5AA9" w:rsidP="006D5A65">
      <w:pPr>
        <w:pStyle w:val="Heading1"/>
      </w:pPr>
      <w:r w:rsidRPr="000665B0">
        <w:t xml:space="preserve">The </w:t>
      </w:r>
      <w:r w:rsidRPr="000665B0">
        <w:rPr>
          <w:i/>
        </w:rPr>
        <w:t xml:space="preserve">Assume Control </w:t>
      </w:r>
      <w:r w:rsidRPr="000665B0">
        <w:t>confirmation window is displayed.</w:t>
      </w:r>
    </w:p>
    <w:p w14:paraId="34F4B3E7" w14:textId="73D635CB" w:rsidR="00263B9C" w:rsidRPr="000665B0" w:rsidRDefault="00263B9C" w:rsidP="006E5AA9">
      <w:pPr>
        <w:jc w:val="center"/>
      </w:pPr>
      <w:r w:rsidRPr="000665B0">
        <w:rPr>
          <w:noProof/>
        </w:rPr>
        <w:drawing>
          <wp:inline distT="0" distB="0" distL="0" distR="0" wp14:anchorId="2A358C17" wp14:editId="46A1E76C">
            <wp:extent cx="1828800" cy="950976"/>
            <wp:effectExtent l="0" t="0" r="0" b="1905"/>
            <wp:docPr id="2036" name="Picture 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28800" cy="950976"/>
                    </a:xfrm>
                    <a:prstGeom prst="rect">
                      <a:avLst/>
                    </a:prstGeom>
                    <a:noFill/>
                    <a:ln>
                      <a:noFill/>
                    </a:ln>
                  </pic:spPr>
                </pic:pic>
              </a:graphicData>
            </a:graphic>
          </wp:inline>
        </w:drawing>
      </w:r>
    </w:p>
    <w:p w14:paraId="7BDAA334" w14:textId="14355339" w:rsidR="006E5AA9" w:rsidRPr="000665B0" w:rsidRDefault="006E5AA9" w:rsidP="006D5A65">
      <w:pPr>
        <w:pStyle w:val="Heading1"/>
      </w:pPr>
      <w:r w:rsidRPr="000665B0">
        <w:t xml:space="preserve">Click Yes to assume control of the target track. </w:t>
      </w:r>
    </w:p>
    <w:p w14:paraId="500335B3" w14:textId="55F8DA7F" w:rsidR="006E5AA9" w:rsidRPr="000665B0" w:rsidRDefault="006E5AA9" w:rsidP="006E5AA9">
      <w:pPr>
        <w:ind w:left="720"/>
      </w:pPr>
      <w:r w:rsidRPr="000665B0">
        <w:t>or</w:t>
      </w:r>
    </w:p>
    <w:p w14:paraId="1D473B0F" w14:textId="35A3FF45" w:rsidR="006E5AA9" w:rsidRPr="000665B0" w:rsidRDefault="006E5AA9" w:rsidP="006D5A65">
      <w:pPr>
        <w:pStyle w:val="Heading1"/>
      </w:pPr>
      <w:r w:rsidRPr="000665B0">
        <w:t>Click No to close the window without assuming control of the target track.</w:t>
      </w:r>
    </w:p>
    <w:p w14:paraId="1EA96294" w14:textId="4264CC8E" w:rsidR="007E7AF7" w:rsidRDefault="00263B9C" w:rsidP="006D5A65">
      <w:pPr>
        <w:pStyle w:val="Heading1"/>
      </w:pPr>
      <w:r w:rsidRPr="000665B0">
        <w:t xml:space="preserve">When </w:t>
      </w:r>
      <w:r w:rsidR="00BD2051" w:rsidRPr="000665B0">
        <w:t>c</w:t>
      </w:r>
      <w:r w:rsidRPr="000665B0">
        <w:t xml:space="preserve">ontrol is </w:t>
      </w:r>
      <w:r w:rsidR="00BD2051" w:rsidRPr="000665B0">
        <w:t>a</w:t>
      </w:r>
      <w:r w:rsidRPr="000665B0">
        <w:t>ssumed</w:t>
      </w:r>
      <w:r w:rsidR="00BD2051" w:rsidRPr="000665B0">
        <w:t xml:space="preserve">, the Assume Control button changes to Release Control and becomes green in color. The MST Control Panel identifies the target track </w:t>
      </w:r>
      <w:r w:rsidR="00207A51" w:rsidRPr="000665B0">
        <w:t xml:space="preserve">and </w:t>
      </w:r>
      <w:r w:rsidR="00BD2051" w:rsidRPr="000665B0">
        <w:t>displays Controller with a green background</w:t>
      </w:r>
      <w:r w:rsidR="00207A51" w:rsidRPr="000665B0">
        <w:t xml:space="preserve"> to indicate that the user is in control of the MST</w:t>
      </w:r>
      <w:r w:rsidR="00BD2051" w:rsidRPr="000665B0">
        <w:t xml:space="preserve">. The </w:t>
      </w:r>
      <w:r w:rsidR="00BD2051" w:rsidRPr="000665B0">
        <w:rPr>
          <w:i/>
        </w:rPr>
        <w:t>Control</w:t>
      </w:r>
      <w:r w:rsidR="00BD2051" w:rsidRPr="000665B0">
        <w:t xml:space="preserve"> sub-tab is displayed, with the ability to send IMMM commands to one or more MST-enabled missiles (see </w:t>
      </w:r>
      <w:hyperlink w:anchor="_Control__Tab" w:history="1">
        <w:r w:rsidR="00BD2051" w:rsidRPr="000665B0">
          <w:rPr>
            <w:rStyle w:val="Hyperlink"/>
          </w:rPr>
          <w:t xml:space="preserve">Section </w:t>
        </w:r>
        <w:r w:rsidR="004231CC">
          <w:rPr>
            <w:rStyle w:val="Hyperlink"/>
          </w:rPr>
          <w:t>5.35</w:t>
        </w:r>
        <w:r w:rsidR="00BD2051" w:rsidRPr="000665B0">
          <w:rPr>
            <w:rStyle w:val="Hyperlink"/>
          </w:rPr>
          <w:t>.3.1.3.2</w:t>
        </w:r>
      </w:hyperlink>
      <w:r w:rsidR="00BD2051" w:rsidRPr="000665B0">
        <w:t xml:space="preserve">). The </w:t>
      </w:r>
      <w:r w:rsidR="00BD2051" w:rsidRPr="000665B0">
        <w:rPr>
          <w:i/>
        </w:rPr>
        <w:t>Tracks</w:t>
      </w:r>
      <w:r w:rsidR="00BD2051" w:rsidRPr="000665B0">
        <w:t xml:space="preserve"> sub-tab is displayed which identifies tracks within the FOC engagement area that match one of the target classes in the SEP. </w:t>
      </w:r>
    </w:p>
    <w:p w14:paraId="3AEE033B" w14:textId="251E35ED" w:rsidR="00766C7E" w:rsidRDefault="00B2605C" w:rsidP="00281934">
      <w:pPr>
        <w:pStyle w:val="BodyTextIndent2"/>
        <w:spacing w:line="240" w:lineRule="auto"/>
        <w:ind w:left="0"/>
        <w:jc w:val="center"/>
      </w:pPr>
      <w:r>
        <w:rPr>
          <w:noProof/>
        </w:rPr>
        <w:drawing>
          <wp:inline distT="0" distB="0" distL="0" distR="0" wp14:anchorId="783C8EF5" wp14:editId="558C429C">
            <wp:extent cx="1828800" cy="987552"/>
            <wp:effectExtent l="0" t="0" r="0" b="0"/>
            <wp:docPr id="688226704" name="Picture 68822670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26704" name="Picture 688226704" descr="Graphical user interface, text, application, chat or text message&#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1828800" cy="987552"/>
                    </a:xfrm>
                    <a:prstGeom prst="rect">
                      <a:avLst/>
                    </a:prstGeom>
                  </pic:spPr>
                </pic:pic>
              </a:graphicData>
            </a:graphic>
          </wp:inline>
        </w:drawing>
      </w:r>
    </w:p>
    <w:p w14:paraId="2C5F98A5" w14:textId="4554C55A" w:rsidR="007E7AF7" w:rsidRPr="000665B0" w:rsidRDefault="007E7AF7" w:rsidP="00BB4EBE">
      <w:pPr>
        <w:pStyle w:val="BodyTextIndent2"/>
        <w:spacing w:line="240" w:lineRule="auto"/>
        <w:ind w:left="0"/>
      </w:pPr>
      <w:r>
        <w:t xml:space="preserve">Assuming Control does not enable Target State IMMMs (see </w:t>
      </w:r>
      <w:hyperlink w:anchor="_Target_State_UpdatesIMMM" w:history="1">
        <w:r w:rsidR="00CE2734">
          <w:rPr>
            <w:rStyle w:val="Hyperlink"/>
          </w:rPr>
          <w:t>Sectio</w:t>
        </w:r>
        <w:r w:rsidR="00B2605C">
          <w:rPr>
            <w:rStyle w:val="Hyperlink"/>
          </w:rPr>
          <w:t>n</w:t>
        </w:r>
        <w:r w:rsidR="00CE2734">
          <w:rPr>
            <w:rStyle w:val="Hyperlink"/>
          </w:rPr>
          <w:t xml:space="preserve"> </w:t>
        </w:r>
        <w:r w:rsidR="004231CC">
          <w:rPr>
            <w:rStyle w:val="Hyperlink"/>
          </w:rPr>
          <w:t>5.35</w:t>
        </w:r>
        <w:r w:rsidRPr="007E7AF7">
          <w:rPr>
            <w:rStyle w:val="Hyperlink"/>
          </w:rPr>
          <w:t>.3.1.3.2.5</w:t>
        </w:r>
      </w:hyperlink>
      <w:r>
        <w:t xml:space="preserve">). </w:t>
      </w:r>
    </w:p>
    <w:p w14:paraId="5D22701B" w14:textId="0BE222A7" w:rsidR="007F06DA" w:rsidRPr="000665B0" w:rsidRDefault="007F06DA" w:rsidP="007F06DA">
      <w:r w:rsidRPr="000665B0">
        <w:lastRenderedPageBreak/>
        <w:t>To release control of an MST strike:</w:t>
      </w:r>
    </w:p>
    <w:p w14:paraId="0D33AEFA" w14:textId="07E8EA6F" w:rsidR="007F06DA" w:rsidRPr="000665B0" w:rsidRDefault="007F06DA" w:rsidP="006D5A65">
      <w:pPr>
        <w:pStyle w:val="Heading1"/>
      </w:pPr>
      <w:r w:rsidRPr="000665B0">
        <w:t>From the SMD</w:t>
      </w:r>
      <w:r w:rsidR="003F2E08">
        <w:t xml:space="preserve"> MST Control Panel</w:t>
      </w:r>
      <w:r w:rsidRPr="000665B0">
        <w:t>, click the Release Control button.</w:t>
      </w:r>
    </w:p>
    <w:p w14:paraId="12CC6744" w14:textId="04F25465" w:rsidR="007F06DA" w:rsidRPr="000665B0" w:rsidRDefault="007F06DA" w:rsidP="006D5A65">
      <w:pPr>
        <w:pStyle w:val="Heading1"/>
      </w:pPr>
      <w:r w:rsidRPr="000665B0">
        <w:t xml:space="preserve">The </w:t>
      </w:r>
      <w:r w:rsidRPr="000665B0">
        <w:rPr>
          <w:i/>
        </w:rPr>
        <w:t xml:space="preserve">Release Control </w:t>
      </w:r>
      <w:r w:rsidRPr="000665B0">
        <w:t>confirmation window is displayed.</w:t>
      </w:r>
    </w:p>
    <w:p w14:paraId="46A26941" w14:textId="38AF4BF1" w:rsidR="007F06DA" w:rsidRPr="000665B0" w:rsidRDefault="005B0524" w:rsidP="007F06DA">
      <w:pPr>
        <w:jc w:val="center"/>
      </w:pPr>
      <w:r w:rsidRPr="000665B0">
        <w:rPr>
          <w:noProof/>
        </w:rPr>
        <w:drawing>
          <wp:inline distT="0" distB="0" distL="0" distR="0" wp14:anchorId="51BCCC28" wp14:editId="1B75993D">
            <wp:extent cx="1828800" cy="941832"/>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28800" cy="941832"/>
                    </a:xfrm>
                    <a:prstGeom prst="rect">
                      <a:avLst/>
                    </a:prstGeom>
                    <a:noFill/>
                    <a:ln>
                      <a:noFill/>
                    </a:ln>
                  </pic:spPr>
                </pic:pic>
              </a:graphicData>
            </a:graphic>
          </wp:inline>
        </w:drawing>
      </w:r>
    </w:p>
    <w:p w14:paraId="5FACBC60" w14:textId="0D69C3EB" w:rsidR="007F06DA" w:rsidRPr="000665B0" w:rsidRDefault="007F06DA" w:rsidP="006D5A65">
      <w:pPr>
        <w:pStyle w:val="Heading1"/>
      </w:pPr>
      <w:r w:rsidRPr="000665B0">
        <w:t xml:space="preserve">Click Yes to </w:t>
      </w:r>
      <w:r w:rsidR="005B0524" w:rsidRPr="000665B0">
        <w:t>release</w:t>
      </w:r>
      <w:r w:rsidRPr="000665B0">
        <w:t xml:space="preserve"> control of the target track. </w:t>
      </w:r>
    </w:p>
    <w:p w14:paraId="00C39FF2" w14:textId="77777777" w:rsidR="007F06DA" w:rsidRPr="000665B0" w:rsidRDefault="007F06DA" w:rsidP="007F06DA">
      <w:pPr>
        <w:ind w:left="720"/>
      </w:pPr>
      <w:r w:rsidRPr="000665B0">
        <w:t>or</w:t>
      </w:r>
    </w:p>
    <w:p w14:paraId="6BDBBE0F" w14:textId="7CE78209" w:rsidR="007F06DA" w:rsidRPr="000665B0" w:rsidRDefault="007F06DA" w:rsidP="006D5A65">
      <w:pPr>
        <w:pStyle w:val="Heading1"/>
      </w:pPr>
      <w:r w:rsidRPr="000665B0">
        <w:t xml:space="preserve">Click No to close the window without </w:t>
      </w:r>
      <w:r w:rsidR="005B0524" w:rsidRPr="000665B0">
        <w:t>releasing</w:t>
      </w:r>
      <w:r w:rsidRPr="000665B0">
        <w:t xml:space="preserve"> control of the target track.</w:t>
      </w:r>
    </w:p>
    <w:p w14:paraId="681739A9" w14:textId="6195A4AA" w:rsidR="007F06DA" w:rsidRDefault="007F06DA" w:rsidP="006D5A65">
      <w:pPr>
        <w:pStyle w:val="Heading1"/>
      </w:pPr>
      <w:r w:rsidRPr="000665B0">
        <w:t xml:space="preserve">When control is </w:t>
      </w:r>
      <w:r w:rsidR="00591BB8" w:rsidRPr="000665B0">
        <w:t>released</w:t>
      </w:r>
      <w:r w:rsidRPr="000665B0">
        <w:t xml:space="preserve">, the </w:t>
      </w:r>
      <w:r w:rsidR="00591BB8" w:rsidRPr="000665B0">
        <w:t xml:space="preserve">Release </w:t>
      </w:r>
      <w:r w:rsidRPr="000665B0">
        <w:t xml:space="preserve">Control button changes to </w:t>
      </w:r>
      <w:r w:rsidR="00591BB8" w:rsidRPr="000665B0">
        <w:t xml:space="preserve">Assume </w:t>
      </w:r>
      <w:r w:rsidRPr="000665B0">
        <w:t xml:space="preserve">Control and becomes </w:t>
      </w:r>
      <w:r w:rsidR="00591BB8" w:rsidRPr="000665B0">
        <w:t>the default (gray)</w:t>
      </w:r>
      <w:r w:rsidRPr="000665B0">
        <w:t xml:space="preserve"> in color. The MST Control Panel identifies the target track and displays </w:t>
      </w:r>
      <w:r w:rsidR="00591BB8" w:rsidRPr="000665B0">
        <w:t>Monitor</w:t>
      </w:r>
      <w:r w:rsidRPr="000665B0">
        <w:t xml:space="preserve"> with a </w:t>
      </w:r>
      <w:r w:rsidR="00591BB8" w:rsidRPr="000665B0">
        <w:t>default (gray)</w:t>
      </w:r>
      <w:r w:rsidRPr="000665B0">
        <w:t xml:space="preserve"> background to indicate that the user is</w:t>
      </w:r>
      <w:r w:rsidR="00591BB8" w:rsidRPr="000665B0">
        <w:t xml:space="preserve"> not</w:t>
      </w:r>
      <w:r w:rsidRPr="000665B0">
        <w:t xml:space="preserve"> in control of the MST. The </w:t>
      </w:r>
      <w:r w:rsidRPr="000665B0">
        <w:rPr>
          <w:i/>
        </w:rPr>
        <w:t>Control</w:t>
      </w:r>
      <w:r w:rsidRPr="000665B0">
        <w:t xml:space="preserve"> sub-tab is </w:t>
      </w:r>
      <w:r w:rsidR="00591BB8" w:rsidRPr="000665B0">
        <w:t xml:space="preserve">not </w:t>
      </w:r>
      <w:r w:rsidRPr="000665B0">
        <w:t xml:space="preserve">displayed. </w:t>
      </w:r>
    </w:p>
    <w:p w14:paraId="25CC4A39" w14:textId="599385AD" w:rsidR="007E7AF7" w:rsidRDefault="007E7AF7" w:rsidP="006D5A65">
      <w:pPr>
        <w:pStyle w:val="Heading1"/>
      </w:pPr>
      <w:r>
        <w:t xml:space="preserve">If Target State IMMMs are enabled (see </w:t>
      </w:r>
      <w:hyperlink w:anchor="_Target_State_UpdatesIMMM" w:history="1">
        <w:r w:rsidR="00CE2734">
          <w:rPr>
            <w:rStyle w:val="Hyperlink"/>
          </w:rPr>
          <w:t xml:space="preserve">Section </w:t>
        </w:r>
        <w:r w:rsidR="004231CC">
          <w:rPr>
            <w:rStyle w:val="Hyperlink"/>
          </w:rPr>
          <w:t>5.35</w:t>
        </w:r>
        <w:r w:rsidRPr="007E7AF7">
          <w:rPr>
            <w:rStyle w:val="Hyperlink"/>
          </w:rPr>
          <w:t>.3.1.3.2.5</w:t>
        </w:r>
      </w:hyperlink>
      <w:r>
        <w:t xml:space="preserve">), this is automatically disabled when control is released for a target. </w:t>
      </w:r>
    </w:p>
    <w:p w14:paraId="0AA850E5" w14:textId="5539ED18" w:rsidR="00B2605C" w:rsidRDefault="009C3F3F" w:rsidP="003C0A69">
      <w:pPr>
        <w:pStyle w:val="BodyTextIndent2"/>
        <w:tabs>
          <w:tab w:val="center" w:pos="4680"/>
          <w:tab w:val="left" w:pos="7404"/>
        </w:tabs>
        <w:spacing w:line="240" w:lineRule="auto"/>
        <w:ind w:left="0"/>
        <w:jc w:val="center"/>
        <w:rPr>
          <w:rStyle w:val="CommentReference"/>
        </w:rPr>
      </w:pPr>
      <w:r w:rsidRPr="009C3F3F">
        <w:rPr>
          <w:noProof/>
        </w:rPr>
        <w:drawing>
          <wp:inline distT="0" distB="0" distL="0" distR="0" wp14:anchorId="4CEB2C26" wp14:editId="578E6E41">
            <wp:extent cx="1828800" cy="987552"/>
            <wp:effectExtent l="0" t="0" r="0" b="0"/>
            <wp:docPr id="953253226"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7822" name="Picture 1" descr="A picture containing diagram&#10;&#10;Description automatically generated"/>
                    <pic:cNvPicPr/>
                  </pic:nvPicPr>
                  <pic:blipFill rotWithShape="1">
                    <a:blip>
                      <a:extLst>
                        <a:ext uri="{28A0092B-C50C-407E-A947-70E740481C1C}">
                          <a14:useLocalDpi xmlns:a14="http://schemas.microsoft.com/office/drawing/2010/main" val="0"/>
                        </a:ext>
                      </a:extLst>
                    </a:blip>
                    <a:srcRect r="60235" b="78588"/>
                    <a:stretch/>
                  </pic:blipFill>
                  <pic:spPr bwMode="auto">
                    <a:xfrm>
                      <a:off x="0" y="0"/>
                      <a:ext cx="1828800" cy="987552"/>
                    </a:xfrm>
                    <a:prstGeom prst="rect">
                      <a:avLst/>
                    </a:prstGeom>
                    <a:ln>
                      <a:noFill/>
                    </a:ln>
                    <a:extLst>
                      <a:ext uri="{53640926-AAD7-44D8-BBD7-CCE9431645EC}">
                        <a14:shadowObscured xmlns:a14="http://schemas.microsoft.com/office/drawing/2010/main"/>
                      </a:ext>
                    </a:extLst>
                  </pic:spPr>
                </pic:pic>
              </a:graphicData>
            </a:graphic>
          </wp:inline>
        </w:drawing>
      </w:r>
    </w:p>
    <w:p w14:paraId="74B26BB2" w14:textId="6315C52B" w:rsidR="0065503E" w:rsidRDefault="00B2605C" w:rsidP="003C0A69">
      <w:pPr>
        <w:pStyle w:val="BodyTextIndent2"/>
        <w:tabs>
          <w:tab w:val="center" w:pos="4680"/>
          <w:tab w:val="left" w:pos="7404"/>
        </w:tabs>
        <w:spacing w:line="240" w:lineRule="auto"/>
        <w:ind w:left="0"/>
        <w:jc w:val="center"/>
      </w:pPr>
      <w:r w:rsidRPr="00B36536">
        <w:rPr>
          <w:noProof/>
        </w:rPr>
        <w:drawing>
          <wp:inline distT="0" distB="0" distL="0" distR="0" wp14:anchorId="0F7D2B8B" wp14:editId="71E76CB2">
            <wp:extent cx="4983480" cy="1307592"/>
            <wp:effectExtent l="0" t="0" r="0" b="0"/>
            <wp:docPr id="707575243"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75243" name="Picture 1" descr="Graphical user interface, application&#10;&#10;Description automatically generated"/>
                    <pic:cNvPicPr/>
                  </pic:nvPicPr>
                  <pic:blipFill>
                    <a:blip/>
                    <a:stretch>
                      <a:fillRect/>
                    </a:stretch>
                  </pic:blipFill>
                  <pic:spPr>
                    <a:xfrm>
                      <a:off x="0" y="0"/>
                      <a:ext cx="4983480" cy="1307592"/>
                    </a:xfrm>
                    <a:prstGeom prst="rect">
                      <a:avLst/>
                    </a:prstGeom>
                  </pic:spPr>
                </pic:pic>
              </a:graphicData>
            </a:graphic>
          </wp:inline>
        </w:drawing>
      </w:r>
    </w:p>
    <w:p w14:paraId="1889DC70" w14:textId="40CCF3F9" w:rsidR="003F2E08" w:rsidRDefault="003F2E08" w:rsidP="00306174">
      <w:pPr>
        <w:pStyle w:val="Heading6"/>
      </w:pPr>
      <w:bookmarkStart w:id="6613" w:name="_Time_to_MST"/>
      <w:bookmarkEnd w:id="6613"/>
      <w:r>
        <w:t>Time to MST GHP</w:t>
      </w:r>
    </w:p>
    <w:p w14:paraId="39F9F4C0" w14:textId="3612452A" w:rsidR="003F2E08" w:rsidRDefault="003F2E08" w:rsidP="003F2E08">
      <w:r>
        <w:t xml:space="preserve">The Time to the MST strike’s Guidance </w:t>
      </w:r>
      <w:r w:rsidR="003C5F60">
        <w:t>Handover</w:t>
      </w:r>
      <w:r w:rsidR="003C5F60" w:rsidDel="003C5F60">
        <w:t xml:space="preserve"> </w:t>
      </w:r>
      <w:r>
        <w:t xml:space="preserve">Point (GHP) in hours:minutes:seconds is used to determine how much time remains until missiles reach GHP for a specific Target comms ID. The Time to GHP is located in the SMD Toolbar (see Section </w:t>
      </w:r>
      <w:hyperlink w:anchor="_5.38.3.1__Strike_" w:history="1">
        <w:r w:rsidR="004231CC">
          <w:rPr>
            <w:rStyle w:val="Hyperlink"/>
          </w:rPr>
          <w:t>5.35</w:t>
        </w:r>
        <w:r w:rsidRPr="004F063E">
          <w:rPr>
            <w:rStyle w:val="Hyperlink"/>
          </w:rPr>
          <w:t>.3.1</w:t>
        </w:r>
      </w:hyperlink>
      <w:r>
        <w:t>).</w:t>
      </w:r>
    </w:p>
    <w:p w14:paraId="0710E0FB" w14:textId="3C8C582E" w:rsidR="00402E99" w:rsidRPr="00451953" w:rsidRDefault="004F063E" w:rsidP="00451953">
      <w:pPr>
        <w:jc w:val="center"/>
      </w:pPr>
      <w:r w:rsidRPr="00914321">
        <w:rPr>
          <w:noProof/>
        </w:rPr>
        <w:drawing>
          <wp:inline distT="0" distB="0" distL="0" distR="0" wp14:anchorId="10E2428B" wp14:editId="75B8A5E6">
            <wp:extent cx="4572000" cy="256032"/>
            <wp:effectExtent l="0" t="0" r="0" b="0"/>
            <wp:docPr id="174522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26323" name=""/>
                    <pic:cNvPicPr/>
                  </pic:nvPicPr>
                  <pic:blipFill>
                    <a:blip/>
                    <a:stretch>
                      <a:fillRect/>
                    </a:stretch>
                  </pic:blipFill>
                  <pic:spPr>
                    <a:xfrm>
                      <a:off x="0" y="0"/>
                      <a:ext cx="4572000" cy="256032"/>
                    </a:xfrm>
                    <a:prstGeom prst="rect">
                      <a:avLst/>
                    </a:prstGeom>
                  </pic:spPr>
                </pic:pic>
              </a:graphicData>
            </a:graphic>
          </wp:inline>
        </w:drawing>
      </w:r>
      <w:bookmarkStart w:id="6614" w:name="_Auto-Designation"/>
      <w:bookmarkStart w:id="6615" w:name="_Manual_Designation"/>
      <w:bookmarkStart w:id="6616" w:name="_Events_List_View_1"/>
      <w:bookmarkStart w:id="6617" w:name="_Hlk76634271"/>
      <w:bookmarkEnd w:id="6614"/>
      <w:bookmarkEnd w:id="6615"/>
      <w:bookmarkEnd w:id="6616"/>
    </w:p>
    <w:p w14:paraId="155F87C7" w14:textId="2019564F" w:rsidR="000A607E" w:rsidRPr="000665B0" w:rsidRDefault="000A607E" w:rsidP="00451953">
      <w:pPr>
        <w:pStyle w:val="Heading5"/>
        <w:pageBreakBefore/>
        <w:spacing w:before="0"/>
      </w:pPr>
      <w:bookmarkStart w:id="6618" w:name="_Events_List_View_2"/>
      <w:bookmarkEnd w:id="6618"/>
      <w:r w:rsidRPr="000665B0">
        <w:lastRenderedPageBreak/>
        <w:t>Events List View</w:t>
      </w:r>
      <w:bookmarkEnd w:id="6590"/>
    </w:p>
    <w:p w14:paraId="0CE8AC59" w14:textId="0C63E6AD" w:rsidR="000A607E" w:rsidRPr="000665B0" w:rsidRDefault="000A607E" w:rsidP="00B879D8">
      <w:pPr>
        <w:rPr>
          <w:szCs w:val="24"/>
        </w:rPr>
      </w:pPr>
      <w:r w:rsidRPr="000665B0">
        <w:t>Every event that occurs during execution is logged in this list view.</w:t>
      </w:r>
    </w:p>
    <w:p w14:paraId="59D827A9" w14:textId="434FBA9E" w:rsidR="008B7B12" w:rsidRPr="000665B0" w:rsidRDefault="004E7AC7" w:rsidP="00402E99">
      <w:pPr>
        <w:jc w:val="center"/>
      </w:pPr>
      <w:r w:rsidRPr="000665B0">
        <w:rPr>
          <w:noProof/>
        </w:rPr>
        <w:drawing>
          <wp:inline distT="0" distB="0" distL="0" distR="0" wp14:anchorId="67E6B6A7" wp14:editId="58092455">
            <wp:extent cx="4746173" cy="140208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4764731" cy="1407562"/>
                    </a:xfrm>
                    <a:prstGeom prst="rect">
                      <a:avLst/>
                    </a:prstGeom>
                    <a:noFill/>
                    <a:ln>
                      <a:noFill/>
                    </a:ln>
                    <a:extLst>
                      <a:ext uri="{53640926-AAD7-44D8-BBD7-CCE9431645EC}">
                        <a14:shadowObscured xmlns:a14="http://schemas.microsoft.com/office/drawing/2010/main"/>
                      </a:ext>
                    </a:extLst>
                  </pic:spPr>
                </pic:pic>
              </a:graphicData>
            </a:graphic>
          </wp:inline>
        </w:drawing>
      </w:r>
    </w:p>
    <w:p w14:paraId="4D2E5B19" w14:textId="63C7316C" w:rsidR="00146AD5" w:rsidRPr="000665B0" w:rsidRDefault="00146AD5" w:rsidP="00B879D8">
      <w:pPr>
        <w:jc w:val="center"/>
      </w:pPr>
      <w:r w:rsidRPr="000665B0">
        <w:rPr>
          <w:noProof/>
        </w:rPr>
        <w:drawing>
          <wp:inline distT="0" distB="0" distL="0" distR="0" wp14:anchorId="1B230A3B" wp14:editId="53152710">
            <wp:extent cx="4754880" cy="1657666"/>
            <wp:effectExtent l="0" t="0" r="0" b="0"/>
            <wp:docPr id="1947" name="Picture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827522" cy="1682991"/>
                    </a:xfrm>
                    <a:prstGeom prst="rect">
                      <a:avLst/>
                    </a:prstGeom>
                  </pic:spPr>
                </pic:pic>
              </a:graphicData>
            </a:graphic>
          </wp:inline>
        </w:drawing>
      </w:r>
    </w:p>
    <w:p w14:paraId="552877A5" w14:textId="77777777" w:rsidR="000A607E" w:rsidRPr="000665B0" w:rsidRDefault="000A607E" w:rsidP="00CB3E29">
      <w:pPr>
        <w:keepNext/>
        <w:rPr>
          <w:b/>
        </w:rPr>
      </w:pPr>
      <w:r w:rsidRPr="000665B0">
        <w:rPr>
          <w:b/>
        </w:rPr>
        <w:t>Columns:</w:t>
      </w:r>
    </w:p>
    <w:p w14:paraId="0C82E051" w14:textId="77777777" w:rsidR="000A607E" w:rsidRPr="000665B0" w:rsidRDefault="000A607E" w:rsidP="006D5A65">
      <w:pPr>
        <w:pStyle w:val="Heading1"/>
      </w:pPr>
      <w:r w:rsidRPr="000665B0">
        <w:t>Creation DTG – Time the event occurred.</w:t>
      </w:r>
    </w:p>
    <w:p w14:paraId="13E44212" w14:textId="5DF734C2" w:rsidR="000A607E" w:rsidRPr="000665B0" w:rsidRDefault="000A607E" w:rsidP="006D5A65">
      <w:pPr>
        <w:pStyle w:val="Heading1"/>
      </w:pPr>
      <w:r w:rsidRPr="000665B0">
        <w:t>Text – Descriptive text about the event</w:t>
      </w:r>
      <w:r w:rsidR="004E7AC7" w:rsidRPr="000665B0">
        <w:t>.</w:t>
      </w:r>
    </w:p>
    <w:p w14:paraId="6FAFDBED" w14:textId="29D5A530" w:rsidR="004E7AC7" w:rsidRPr="000665B0" w:rsidRDefault="004E7AC7" w:rsidP="006D5A65">
      <w:pPr>
        <w:pStyle w:val="Heading1"/>
      </w:pPr>
      <w:r w:rsidRPr="000665B0">
        <w:t xml:space="preserve">Last Mod By – Domain name and user ID of the </w:t>
      </w:r>
      <w:r w:rsidRPr="000665B0">
        <w:rPr>
          <w:szCs w:val="24"/>
        </w:rPr>
        <w:t xml:space="preserve">last person who modified the </w:t>
      </w:r>
      <w:r w:rsidRPr="000665B0">
        <w:t>event, or in the case of a system update, the system component that initiated the event.</w:t>
      </w:r>
    </w:p>
    <w:p w14:paraId="6270A273" w14:textId="700E3592" w:rsidR="004E7AC7" w:rsidRPr="000665B0" w:rsidRDefault="004E7AC7" w:rsidP="006D5A65">
      <w:pPr>
        <w:pStyle w:val="Heading1"/>
      </w:pPr>
      <w:r w:rsidRPr="000665B0">
        <w:t>Machine Name – Name of the host machine creating the event, or in the case of a system update, the name of the TED machine.</w:t>
      </w:r>
    </w:p>
    <w:p w14:paraId="6C2A0EC2" w14:textId="217EB95D" w:rsidR="00146AD5" w:rsidRDefault="00146AD5" w:rsidP="006D5A65">
      <w:pPr>
        <w:pStyle w:val="Heading1"/>
      </w:pPr>
      <w:r w:rsidRPr="000665B0">
        <w:t>TGT ID – ID of the target (Target Comms ID) (maritime strike).</w:t>
      </w:r>
    </w:p>
    <w:p w14:paraId="54C4EBC4" w14:textId="11552D93" w:rsidR="00D84EF6" w:rsidRDefault="00D84EF6" w:rsidP="006D5A65">
      <w:pPr>
        <w:pStyle w:val="Heading1"/>
      </w:pPr>
      <w:r>
        <w:t>Event – Event type</w:t>
      </w:r>
      <w:r w:rsidR="003938EA">
        <w:t>/description.</w:t>
      </w:r>
    </w:p>
    <w:p w14:paraId="21959ECA" w14:textId="0BC2195A" w:rsidR="00D84EF6" w:rsidRDefault="00D84EF6" w:rsidP="006D5A65">
      <w:pPr>
        <w:pStyle w:val="Heading1"/>
      </w:pPr>
      <w:r>
        <w:t>ID – Event ID</w:t>
      </w:r>
      <w:r w:rsidR="003938EA">
        <w:t>.</w:t>
      </w:r>
    </w:p>
    <w:p w14:paraId="03F96408" w14:textId="3C0B0CB6" w:rsidR="00D84EF6" w:rsidRDefault="00D84EF6" w:rsidP="006D5A65">
      <w:pPr>
        <w:pStyle w:val="Heading1"/>
      </w:pPr>
      <w:r>
        <w:t xml:space="preserve">MS# </w:t>
      </w:r>
      <w:r w:rsidR="003938EA">
        <w:t>–</w:t>
      </w:r>
      <w:r>
        <w:t xml:space="preserve"> Missile </w:t>
      </w:r>
      <w:r w:rsidR="003938EA">
        <w:t>Sequence N</w:t>
      </w:r>
      <w:r>
        <w:t>umber</w:t>
      </w:r>
      <w:r w:rsidR="003938EA">
        <w:t>.</w:t>
      </w:r>
    </w:p>
    <w:p w14:paraId="117F46AC" w14:textId="6E6FFA2A" w:rsidR="00D84EF6" w:rsidRDefault="00D84EF6" w:rsidP="006D5A65">
      <w:pPr>
        <w:pStyle w:val="Heading1"/>
      </w:pPr>
      <w:r>
        <w:t xml:space="preserve">Option ID – </w:t>
      </w:r>
      <w:r w:rsidR="00060412" w:rsidRPr="000665B0">
        <w:t>The identifier of the Strike Option/Package</w:t>
      </w:r>
      <w:r w:rsidR="00060412">
        <w:t>.</w:t>
      </w:r>
    </w:p>
    <w:p w14:paraId="5AC6FE10" w14:textId="2DDEB063" w:rsidR="00D84EF6" w:rsidRDefault="00D84EF6" w:rsidP="006D5A65">
      <w:pPr>
        <w:pStyle w:val="Heading1"/>
      </w:pPr>
      <w:r>
        <w:t>Orig Location – Originati</w:t>
      </w:r>
      <w:r w:rsidR="005E5347">
        <w:t>ng</w:t>
      </w:r>
      <w:r>
        <w:t xml:space="preserve"> location</w:t>
      </w:r>
      <w:r w:rsidR="005E5347">
        <w:t>.</w:t>
      </w:r>
    </w:p>
    <w:p w14:paraId="1F0D93E4" w14:textId="53219B28" w:rsidR="00D84EF6" w:rsidRDefault="00D84EF6" w:rsidP="006D5A65">
      <w:pPr>
        <w:pStyle w:val="Heading1"/>
      </w:pPr>
      <w:r>
        <w:t>Orig Type – Originat</w:t>
      </w:r>
      <w:r w:rsidR="005E5347">
        <w:t>ing</w:t>
      </w:r>
      <w:r>
        <w:t xml:space="preserve"> type</w:t>
      </w:r>
      <w:r w:rsidR="005E5347">
        <w:t>.</w:t>
      </w:r>
    </w:p>
    <w:p w14:paraId="66EF50C4" w14:textId="7C285241" w:rsidR="00D84EF6" w:rsidRDefault="00D84EF6" w:rsidP="006D5A65">
      <w:pPr>
        <w:pStyle w:val="Heading1"/>
      </w:pPr>
      <w:r>
        <w:t>Platform ID – Platform ID</w:t>
      </w:r>
      <w:r w:rsidR="005E5347">
        <w:t xml:space="preserve"> of FRU.</w:t>
      </w:r>
    </w:p>
    <w:p w14:paraId="05FA5F3A" w14:textId="31E87E4D" w:rsidR="00D84EF6" w:rsidRDefault="00D84EF6" w:rsidP="006D5A65">
      <w:pPr>
        <w:pStyle w:val="Heading1"/>
      </w:pPr>
      <w:r>
        <w:t>Rev – Revision</w:t>
      </w:r>
      <w:r w:rsidR="005E5347">
        <w:t>.</w:t>
      </w:r>
    </w:p>
    <w:p w14:paraId="1599EF7E" w14:textId="408E45E2" w:rsidR="00D84EF6" w:rsidRPr="000665B0" w:rsidRDefault="00D84EF6" w:rsidP="006D5A65">
      <w:pPr>
        <w:pStyle w:val="Heading1"/>
      </w:pPr>
      <w:r w:rsidRPr="00D84EF6">
        <w:t xml:space="preserve">Status </w:t>
      </w:r>
      <w:r>
        <w:t xml:space="preserve">– </w:t>
      </w:r>
      <w:r w:rsidR="003628DB">
        <w:t>The s</w:t>
      </w:r>
      <w:r>
        <w:t>tatus</w:t>
      </w:r>
      <w:r w:rsidR="003628DB">
        <w:t xml:space="preserve"> of the event</w:t>
      </w:r>
      <w:r>
        <w:t>.</w:t>
      </w:r>
    </w:p>
    <w:p w14:paraId="36C75A52" w14:textId="77777777" w:rsidR="000A607E" w:rsidRPr="000665B0" w:rsidRDefault="000A607E" w:rsidP="000A607E">
      <w:r w:rsidRPr="000665B0">
        <w:t xml:space="preserve">In addition, warning and critical events are distinguished by </w:t>
      </w:r>
      <w:r w:rsidR="009A1FDF" w:rsidRPr="000665B0">
        <w:rPr>
          <w:noProof/>
        </w:rPr>
        <w:drawing>
          <wp:inline distT="0" distB="0" distL="0" distR="0" wp14:anchorId="0FA4AECD" wp14:editId="12485A07">
            <wp:extent cx="171450" cy="190500"/>
            <wp:effectExtent l="19050" t="0" r="0" b="0"/>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cstate="print"/>
                    <a:srcRect/>
                    <a:stretch>
                      <a:fillRect/>
                    </a:stretch>
                  </pic:blipFill>
                  <pic:spPr bwMode="auto">
                    <a:xfrm>
                      <a:off x="0" y="0"/>
                      <a:ext cx="171450" cy="190500"/>
                    </a:xfrm>
                    <a:prstGeom prst="rect">
                      <a:avLst/>
                    </a:prstGeom>
                    <a:noFill/>
                    <a:ln w="9525">
                      <a:noFill/>
                      <a:miter lim="800000"/>
                      <a:headEnd/>
                      <a:tailEnd/>
                    </a:ln>
                  </pic:spPr>
                </pic:pic>
              </a:graphicData>
            </a:graphic>
          </wp:inline>
        </w:drawing>
      </w:r>
      <w:r w:rsidRPr="000665B0">
        <w:t xml:space="preserve"> and </w:t>
      </w:r>
      <w:r w:rsidR="009A1FDF" w:rsidRPr="000665B0">
        <w:rPr>
          <w:noProof/>
        </w:rPr>
        <w:drawing>
          <wp:inline distT="0" distB="0" distL="0" distR="0" wp14:anchorId="1A0EEDA8" wp14:editId="7CB276BD">
            <wp:extent cx="142875" cy="190500"/>
            <wp:effectExtent l="19050" t="0" r="9525" b="0"/>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cstate="print"/>
                    <a:srcRect/>
                    <a:stretch>
                      <a:fillRect/>
                    </a:stretch>
                  </pic:blipFill>
                  <pic:spPr bwMode="auto">
                    <a:xfrm>
                      <a:off x="0" y="0"/>
                      <a:ext cx="142875" cy="190500"/>
                    </a:xfrm>
                    <a:prstGeom prst="rect">
                      <a:avLst/>
                    </a:prstGeom>
                    <a:noFill/>
                    <a:ln w="9525">
                      <a:noFill/>
                      <a:miter lim="800000"/>
                      <a:headEnd/>
                      <a:tailEnd/>
                    </a:ln>
                  </pic:spPr>
                </pic:pic>
              </a:graphicData>
            </a:graphic>
          </wp:inline>
        </w:drawing>
      </w:r>
      <w:r w:rsidRPr="000665B0">
        <w:t xml:space="preserve"> icons, respectively.</w:t>
      </w:r>
    </w:p>
    <w:p w14:paraId="078DEFF4" w14:textId="2E1F2FE1" w:rsidR="00E8487F" w:rsidRPr="000665B0" w:rsidRDefault="00382975" w:rsidP="00DC29AE">
      <w:pPr>
        <w:rPr>
          <w:szCs w:val="24"/>
        </w:rPr>
      </w:pPr>
      <w:r w:rsidRPr="000665B0">
        <w:t xml:space="preserve">The toolbar allows the Events to be filtered by </w:t>
      </w:r>
      <w:r w:rsidRPr="000665B0">
        <w:rPr>
          <w:b/>
          <w:szCs w:val="24"/>
        </w:rPr>
        <w:t>All</w:t>
      </w:r>
      <w:r w:rsidRPr="000665B0">
        <w:rPr>
          <w:szCs w:val="24"/>
        </w:rPr>
        <w:t xml:space="preserve">, </w:t>
      </w:r>
      <w:r w:rsidR="0084097B" w:rsidRPr="000665B0">
        <w:rPr>
          <w:b/>
          <w:szCs w:val="24"/>
        </w:rPr>
        <w:t>Critical &amp; Warning</w:t>
      </w:r>
      <w:r w:rsidR="0084097B" w:rsidRPr="000665B0">
        <w:rPr>
          <w:szCs w:val="24"/>
        </w:rPr>
        <w:t xml:space="preserve">, </w:t>
      </w:r>
      <w:r w:rsidRPr="000665B0">
        <w:rPr>
          <w:b/>
          <w:szCs w:val="24"/>
        </w:rPr>
        <w:t>Critical</w:t>
      </w:r>
      <w:r w:rsidRPr="000665B0">
        <w:rPr>
          <w:szCs w:val="24"/>
        </w:rPr>
        <w:t xml:space="preserve">, </w:t>
      </w:r>
      <w:r w:rsidRPr="000665B0">
        <w:rPr>
          <w:b/>
          <w:szCs w:val="24"/>
        </w:rPr>
        <w:t>Warning</w:t>
      </w:r>
      <w:r w:rsidRPr="000665B0">
        <w:rPr>
          <w:szCs w:val="24"/>
        </w:rPr>
        <w:t xml:space="preserve">, or </w:t>
      </w:r>
      <w:r w:rsidRPr="000665B0">
        <w:rPr>
          <w:b/>
          <w:szCs w:val="24"/>
        </w:rPr>
        <w:t>Informational</w:t>
      </w:r>
      <w:r w:rsidRPr="000665B0">
        <w:rPr>
          <w:szCs w:val="24"/>
        </w:rPr>
        <w:t>.</w:t>
      </w:r>
    </w:p>
    <w:p w14:paraId="49BBA166" w14:textId="5CD8889C" w:rsidR="00382975" w:rsidRPr="000665B0" w:rsidRDefault="006D0F35" w:rsidP="00CB3E29">
      <w:pPr>
        <w:jc w:val="center"/>
      </w:pPr>
      <w:r w:rsidRPr="000665B0">
        <w:rPr>
          <w:noProof/>
          <w:color w:val="1F497D"/>
          <w:sz w:val="22"/>
          <w:szCs w:val="22"/>
        </w:rPr>
        <w:lastRenderedPageBreak/>
        <w:drawing>
          <wp:inline distT="0" distB="0" distL="0" distR="0" wp14:anchorId="79FDA5CE" wp14:editId="12CEC793">
            <wp:extent cx="1827530" cy="960504"/>
            <wp:effectExtent l="0" t="0" r="0" b="0"/>
            <wp:docPr id="132" name="Picture 132" descr="cid:image003.jpg@01D332CE.150C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jpg@01D332CE.150C3650"/>
                    <pic:cNvPicPr>
                      <a:picLocks noChangeAspect="1" noChangeArrowheads="1"/>
                    </pic:cNvPicPr>
                  </pic:nvPicPr>
                  <pic:blipFill rotWithShape="1">
                    <a:blip r:link="rId30" cstate="screen">
                      <a:extLst>
                        <a:ext uri="{28A0092B-C50C-407E-A947-70E740481C1C}">
                          <a14:useLocalDpi xmlns:a14="http://schemas.microsoft.com/office/drawing/2010/main"/>
                        </a:ext>
                      </a:extLst>
                    </a:blip>
                    <a:srcRect/>
                    <a:stretch/>
                  </pic:blipFill>
                  <pic:spPr bwMode="auto">
                    <a:xfrm>
                      <a:off x="0" y="0"/>
                      <a:ext cx="1844421" cy="969382"/>
                    </a:xfrm>
                    <a:prstGeom prst="rect">
                      <a:avLst/>
                    </a:prstGeom>
                    <a:noFill/>
                    <a:ln>
                      <a:noFill/>
                    </a:ln>
                    <a:extLst>
                      <a:ext uri="{53640926-AAD7-44D8-BBD7-CCE9431645EC}">
                        <a14:shadowObscured xmlns:a14="http://schemas.microsoft.com/office/drawing/2010/main"/>
                      </a:ext>
                    </a:extLst>
                  </pic:spPr>
                </pic:pic>
              </a:graphicData>
            </a:graphic>
          </wp:inline>
        </w:drawing>
      </w:r>
    </w:p>
    <w:p w14:paraId="18E0D4F5" w14:textId="3616BFE2" w:rsidR="000A607E" w:rsidRPr="000665B0" w:rsidRDefault="000A607E" w:rsidP="000A607E">
      <w:r w:rsidRPr="000665B0">
        <w:t>Each event can be displayed textually, in Excel, or printed. Displaying an event textually will show various forms depending on the event. For example, displaying an “event H&amp;S message received” event will show the Event H&amp;S textual view.</w:t>
      </w:r>
      <w:r w:rsidR="003712C4" w:rsidRPr="000665B0">
        <w:t xml:space="preserve"> Additionally, an entry in the </w:t>
      </w:r>
      <w:r w:rsidR="003712C4" w:rsidRPr="000665B0">
        <w:rPr>
          <w:b/>
          <w:i/>
        </w:rPr>
        <w:t>Events</w:t>
      </w:r>
      <w:r w:rsidR="003712C4" w:rsidRPr="000665B0">
        <w:t xml:space="preserve"> tab that pertains to a missile event can be spotlighted using the context menu (see </w:t>
      </w:r>
      <w:hyperlink w:anchor="_Spotlighted_Assignments_List" w:history="1">
        <w:r w:rsidR="00157B2F" w:rsidRPr="000665B0">
          <w:rPr>
            <w:rStyle w:val="Hyperlink"/>
          </w:rPr>
          <w:t xml:space="preserve">Section </w:t>
        </w:r>
        <w:r w:rsidR="004231CC">
          <w:rPr>
            <w:rStyle w:val="Hyperlink"/>
          </w:rPr>
          <w:t>5.35</w:t>
        </w:r>
        <w:r w:rsidR="00157B2F" w:rsidRPr="000665B0">
          <w:rPr>
            <w:rStyle w:val="Hyperlink"/>
          </w:rPr>
          <w:t>.3.1.11</w:t>
        </w:r>
      </w:hyperlink>
      <w:r w:rsidR="003712C4" w:rsidRPr="000665B0">
        <w:t>)</w:t>
      </w:r>
      <w:r w:rsidR="00DC41C4" w:rsidRPr="000665B0">
        <w:t>.</w:t>
      </w:r>
      <w:r w:rsidR="003712C4" w:rsidRPr="000665B0">
        <w:t xml:space="preserve"> If the event does not pertain to a missile (such as a Strike Exception event), the </w:t>
      </w:r>
      <w:r w:rsidR="003712C4" w:rsidRPr="000665B0">
        <w:rPr>
          <w:b/>
        </w:rPr>
        <w:t>Spotlight</w:t>
      </w:r>
      <w:r w:rsidR="003712C4" w:rsidRPr="000665B0">
        <w:t xml:space="preserve"> menu is disabled.</w:t>
      </w:r>
    </w:p>
    <w:p w14:paraId="04567454" w14:textId="3D9CD03C" w:rsidR="000A607E" w:rsidRPr="000665B0" w:rsidRDefault="000A607E" w:rsidP="00172AD0">
      <w:r w:rsidRPr="000665B0">
        <w:t>Whenever an OWR is received, and the time at timing point is either later or earlier more th</w:t>
      </w:r>
      <w:r w:rsidR="00C75A69" w:rsidRPr="000665B0">
        <w:t>a</w:t>
      </w:r>
      <w:r w:rsidRPr="000665B0">
        <w:t xml:space="preserve">n the Timing Type Deviation (minutes), a warning event indicating the condition is created. The missile on the Gantt is set to warning. The Timing Type Deviation is set on the Folder’s </w:t>
      </w:r>
      <w:r w:rsidRPr="000665B0">
        <w:rPr>
          <w:b/>
        </w:rPr>
        <w:t>Properties</w:t>
      </w:r>
      <w:r w:rsidRPr="000665B0">
        <w:t xml:space="preserve"> </w:t>
      </w:r>
      <w:r w:rsidR="002E564A" w:rsidRPr="000665B0">
        <w:t>&gt;</w:t>
      </w:r>
      <w:r w:rsidRPr="000665B0">
        <w:t xml:space="preserve"> </w:t>
      </w:r>
      <w:r w:rsidRPr="000665B0">
        <w:rPr>
          <w:b/>
        </w:rPr>
        <w:t>TSN</w:t>
      </w:r>
      <w:r w:rsidRPr="000665B0">
        <w:t xml:space="preserve"> </w:t>
      </w:r>
      <w:r w:rsidR="002E564A" w:rsidRPr="000665B0">
        <w:t>&gt;</w:t>
      </w:r>
      <w:r w:rsidRPr="000665B0">
        <w:t xml:space="preserve"> </w:t>
      </w:r>
      <w:r w:rsidRPr="000665B0">
        <w:rPr>
          <w:b/>
          <w:i/>
          <w:iCs/>
        </w:rPr>
        <w:t>Execution</w:t>
      </w:r>
      <w:r w:rsidRPr="000665B0">
        <w:t xml:space="preserve"> </w:t>
      </w:r>
      <w:r w:rsidR="002E564A" w:rsidRPr="000665B0">
        <w:t>tab</w:t>
      </w:r>
      <w:r w:rsidRPr="000665B0">
        <w:t xml:space="preserve">. Timing Type Deviation is defined as the </w:t>
      </w:r>
      <w:r w:rsidRPr="000665B0">
        <w:rPr>
          <w:rFonts w:cs="Courier New"/>
          <w:szCs w:val="24"/>
        </w:rPr>
        <w:t xml:space="preserve">maximum time (in minutes) that a </w:t>
      </w:r>
      <w:r w:rsidR="002E564A" w:rsidRPr="000665B0">
        <w:rPr>
          <w:rFonts w:cs="Courier New"/>
          <w:szCs w:val="24"/>
        </w:rPr>
        <w:t xml:space="preserve">missile’s </w:t>
      </w:r>
      <w:r w:rsidRPr="000665B0">
        <w:rPr>
          <w:rFonts w:cs="Courier New"/>
          <w:szCs w:val="24"/>
        </w:rPr>
        <w:t>time at timing point can deviate from scheduled before a Warning event is added to the log.</w:t>
      </w:r>
    </w:p>
    <w:p w14:paraId="35200778" w14:textId="2C1BB947" w:rsidR="007345C2" w:rsidRPr="000665B0" w:rsidRDefault="00D66E25" w:rsidP="00146AD5">
      <w:r w:rsidRPr="000665B0">
        <w:rPr>
          <w:szCs w:val="24"/>
        </w:rPr>
        <w:t xml:space="preserve">When a missile is flexed to a new route that has a longer flight time than the original route and BDI is enabled, </w:t>
      </w:r>
      <w:r w:rsidRPr="000665B0">
        <w:t xml:space="preserve">a warning event may be displayed in </w:t>
      </w:r>
      <w:r w:rsidRPr="000665B0">
        <w:rPr>
          <w:szCs w:val="24"/>
        </w:rPr>
        <w:t>the SMD Events list view</w:t>
      </w:r>
      <w:r w:rsidRPr="000665B0">
        <w:t xml:space="preserve">. </w:t>
      </w:r>
      <w:r w:rsidR="007345C2" w:rsidRPr="000665B0">
        <w:t xml:space="preserve">See </w:t>
      </w:r>
      <w:hyperlink w:anchor="_How_to_Reroute" w:history="1">
        <w:r w:rsidR="00985815" w:rsidRPr="000665B0">
          <w:rPr>
            <w:rStyle w:val="Hyperlink"/>
          </w:rPr>
          <w:t xml:space="preserve">Section </w:t>
        </w:r>
        <w:r w:rsidR="004231CC">
          <w:rPr>
            <w:rStyle w:val="Hyperlink"/>
          </w:rPr>
          <w:t>5.35</w:t>
        </w:r>
        <w:r w:rsidR="00985815" w:rsidRPr="000665B0">
          <w:rPr>
            <w:rStyle w:val="Hyperlink"/>
          </w:rPr>
          <w:t>.3.1.8</w:t>
        </w:r>
        <w:r w:rsidR="007345C2" w:rsidRPr="000665B0">
          <w:rPr>
            <w:rStyle w:val="Hyperlink"/>
          </w:rPr>
          <w:t>.1.1</w:t>
        </w:r>
      </w:hyperlink>
      <w:r w:rsidR="007345C2" w:rsidRPr="000665B0">
        <w:t>.</w:t>
      </w:r>
    </w:p>
    <w:p w14:paraId="2542D877" w14:textId="52C5FEAF" w:rsidR="00146AD5" w:rsidRPr="000665B0" w:rsidRDefault="00146AD5" w:rsidP="00146AD5">
      <w:r w:rsidRPr="000665B0">
        <w:t>The following are examples of maritime strike events:</w:t>
      </w:r>
    </w:p>
    <w:p w14:paraId="2D80E936" w14:textId="1634117D" w:rsidR="00146AD5" w:rsidRPr="000665B0" w:rsidRDefault="00146AD5" w:rsidP="006D5A65">
      <w:pPr>
        <w:pStyle w:val="Heading1"/>
        <w:rPr>
          <w:bCs/>
        </w:rPr>
      </w:pPr>
      <w:r w:rsidRPr="000665B0">
        <w:t>Control of an MST engagement has been assumed.</w:t>
      </w:r>
    </w:p>
    <w:p w14:paraId="457F7A95" w14:textId="6936C9AA" w:rsidR="00146AD5" w:rsidRPr="000665B0" w:rsidRDefault="00146AD5" w:rsidP="006D5A65">
      <w:pPr>
        <w:pStyle w:val="Heading1"/>
      </w:pPr>
      <w:r w:rsidRPr="000665B0">
        <w:t>A Track has been designated as a target.</w:t>
      </w:r>
    </w:p>
    <w:p w14:paraId="468E8849" w14:textId="3A61C4FD" w:rsidR="00146AD5" w:rsidRPr="000665B0" w:rsidRDefault="00146AD5" w:rsidP="006D5A65">
      <w:pPr>
        <w:pStyle w:val="Heading1"/>
      </w:pPr>
      <w:r w:rsidRPr="000665B0">
        <w:t>A Target State Update is outside of the engagement area (Warning).</w:t>
      </w:r>
    </w:p>
    <w:p w14:paraId="650F3069" w14:textId="76FA1477" w:rsidR="00146AD5" w:rsidRPr="000665B0" w:rsidRDefault="00146AD5" w:rsidP="006D5A65">
      <w:pPr>
        <w:pStyle w:val="Heading1"/>
      </w:pPr>
      <w:r w:rsidRPr="000665B0">
        <w:t>No Track was found identified in the SEP (Warning).</w:t>
      </w:r>
    </w:p>
    <w:p w14:paraId="12C10876" w14:textId="784A932A" w:rsidR="00146AD5" w:rsidRPr="000665B0" w:rsidRDefault="00146AD5" w:rsidP="006D5A65">
      <w:pPr>
        <w:pStyle w:val="Heading1"/>
      </w:pPr>
      <w:r w:rsidRPr="000665B0">
        <w:t>Specified Track already has a different Comms ID (Warning).</w:t>
      </w:r>
    </w:p>
    <w:p w14:paraId="126E41F4" w14:textId="51CEC6C7" w:rsidR="00146AD5" w:rsidRPr="000665B0" w:rsidRDefault="00146AD5" w:rsidP="006D5A65">
      <w:pPr>
        <w:pStyle w:val="Heading1"/>
      </w:pPr>
      <w:r w:rsidRPr="000665B0">
        <w:t>Specified Comms ID already has a different Track ID assigned in the SEP (Warning).</w:t>
      </w:r>
    </w:p>
    <w:p w14:paraId="10C85DEA" w14:textId="2FBCB33D" w:rsidR="00146AD5" w:rsidRPr="000665B0" w:rsidRDefault="00146AD5" w:rsidP="006D5A65">
      <w:pPr>
        <w:pStyle w:val="Heading1"/>
      </w:pPr>
      <w:r w:rsidRPr="000665B0">
        <w:t>No Track has been designated as a target (Warning).</w:t>
      </w:r>
    </w:p>
    <w:p w14:paraId="03B96C46" w14:textId="0DDB3F69" w:rsidR="000A607E" w:rsidRPr="000665B0" w:rsidRDefault="000A607E" w:rsidP="00A54352">
      <w:pPr>
        <w:pStyle w:val="Heading5"/>
      </w:pPr>
      <w:bookmarkStart w:id="6619" w:name="_5.38.3.1.4__TSN"/>
      <w:bookmarkStart w:id="6620" w:name="_TSN_Messages_List"/>
      <w:bookmarkStart w:id="6621" w:name="_Toc289328909"/>
      <w:bookmarkStart w:id="6622" w:name="_Hlk74234574"/>
      <w:bookmarkEnd w:id="6595"/>
      <w:bookmarkEnd w:id="6617"/>
      <w:bookmarkEnd w:id="6619"/>
      <w:bookmarkEnd w:id="6620"/>
      <w:r w:rsidRPr="000665B0">
        <w:t>TSN Messages List View</w:t>
      </w:r>
      <w:bookmarkEnd w:id="6621"/>
    </w:p>
    <w:p w14:paraId="7B7B5DEB" w14:textId="0F66C499" w:rsidR="000A607E" w:rsidRPr="000665B0" w:rsidRDefault="000A607E" w:rsidP="00E47B2D">
      <w:r w:rsidRPr="000665B0">
        <w:t xml:space="preserve">All TSN messages sent and received during execution are logged here. A TSN message can be displayed textually, in Excel, </w:t>
      </w:r>
      <w:r w:rsidR="003712C4" w:rsidRPr="000665B0">
        <w:t>spotlighted</w:t>
      </w:r>
      <w:r w:rsidR="00DC41C4" w:rsidRPr="000665B0">
        <w:t xml:space="preserve"> (see </w:t>
      </w:r>
      <w:hyperlink w:anchor="_Spotlighted_Assignments_List" w:history="1">
        <w:r w:rsidR="00157B2F" w:rsidRPr="000665B0">
          <w:rPr>
            <w:rStyle w:val="Hyperlink"/>
          </w:rPr>
          <w:t xml:space="preserve">Section </w:t>
        </w:r>
        <w:r w:rsidR="004231CC">
          <w:rPr>
            <w:rStyle w:val="Hyperlink"/>
          </w:rPr>
          <w:t>5.35</w:t>
        </w:r>
        <w:r w:rsidR="00157B2F" w:rsidRPr="000665B0">
          <w:rPr>
            <w:rStyle w:val="Hyperlink"/>
          </w:rPr>
          <w:t>.3.1.11</w:t>
        </w:r>
      </w:hyperlink>
      <w:r w:rsidR="00DC41C4" w:rsidRPr="000665B0">
        <w:t>)</w:t>
      </w:r>
      <w:r w:rsidR="003712C4" w:rsidRPr="000665B0">
        <w:t xml:space="preserve">, </w:t>
      </w:r>
      <w:r w:rsidRPr="000665B0">
        <w:t>or printed using the context menu.</w:t>
      </w:r>
    </w:p>
    <w:p w14:paraId="6BDE7A14" w14:textId="5C43DDBA" w:rsidR="00156DC2" w:rsidRPr="000665B0" w:rsidRDefault="00C24449" w:rsidP="001F4B14">
      <w:pPr>
        <w:jc w:val="center"/>
      </w:pPr>
      <w:r w:rsidRPr="000665B0">
        <w:rPr>
          <w:noProof/>
        </w:rPr>
        <w:drawing>
          <wp:inline distT="0" distB="0" distL="0" distR="0" wp14:anchorId="329E02EF" wp14:editId="5A3A4427">
            <wp:extent cx="4983480" cy="649224"/>
            <wp:effectExtent l="0" t="0" r="0" b="0"/>
            <wp:docPr id="146" name="Picture 1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screenshot of a computer&#10;&#10;AI-generated content may be incorrect."/>
                    <pic:cNvPicPr>
                      <a:picLocks noChangeAspect="1" noChangeArrowheads="1"/>
                    </pic:cNvPicPr>
                  </pic:nvPicPr>
                  <pic:blipFill>
                    <a:blip r:link="rId31" cstate="screen">
                      <a:extLst>
                        <a:ext uri="{28A0092B-C50C-407E-A947-70E740481C1C}">
                          <a14:useLocalDpi xmlns:a14="http://schemas.microsoft.com/office/drawing/2010/main"/>
                        </a:ext>
                      </a:extLst>
                    </a:blip>
                    <a:srcRect/>
                    <a:stretch>
                      <a:fillRect/>
                    </a:stretch>
                  </pic:blipFill>
                  <pic:spPr bwMode="auto">
                    <a:xfrm>
                      <a:off x="0" y="0"/>
                      <a:ext cx="4983480" cy="649224"/>
                    </a:xfrm>
                    <a:prstGeom prst="rect">
                      <a:avLst/>
                    </a:prstGeom>
                    <a:noFill/>
                    <a:ln>
                      <a:noFill/>
                    </a:ln>
                  </pic:spPr>
                </pic:pic>
              </a:graphicData>
            </a:graphic>
          </wp:inline>
        </w:drawing>
      </w:r>
    </w:p>
    <w:p w14:paraId="4BD92D1D" w14:textId="65A49F74" w:rsidR="00F25A09" w:rsidRPr="000665B0" w:rsidRDefault="00F25A09" w:rsidP="001F4B14">
      <w:pPr>
        <w:jc w:val="center"/>
      </w:pPr>
      <w:r w:rsidRPr="000665B0">
        <w:rPr>
          <w:rFonts w:ascii="Calibri" w:hAnsi="Calibri" w:cs="Calibri"/>
          <w:noProof/>
          <w:sz w:val="22"/>
          <w:szCs w:val="22"/>
        </w:rPr>
        <w:lastRenderedPageBreak/>
        <w:drawing>
          <wp:inline distT="0" distB="0" distL="0" distR="0" wp14:anchorId="778610E2" wp14:editId="2B807E7C">
            <wp:extent cx="4983480" cy="120700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207008"/>
                    </a:xfrm>
                    <a:prstGeom prst="rect">
                      <a:avLst/>
                    </a:prstGeom>
                  </pic:spPr>
                </pic:pic>
              </a:graphicData>
            </a:graphic>
          </wp:inline>
        </w:drawing>
      </w:r>
    </w:p>
    <w:p w14:paraId="46CEEBD1" w14:textId="77777777" w:rsidR="000A607E" w:rsidRPr="000665B0" w:rsidRDefault="000A607E" w:rsidP="00172AD0">
      <w:pPr>
        <w:keepNext/>
      </w:pPr>
      <w:r w:rsidRPr="000665B0">
        <w:t>Columns are:</w:t>
      </w:r>
    </w:p>
    <w:p w14:paraId="61A94F63" w14:textId="77777777" w:rsidR="005A1B14" w:rsidRPr="000665B0" w:rsidRDefault="005A1B14" w:rsidP="006D5A65">
      <w:pPr>
        <w:pStyle w:val="Heading1"/>
      </w:pPr>
      <w:r w:rsidRPr="000665B0">
        <w:t>Received DTG – DTG message was received by MDS.</w:t>
      </w:r>
    </w:p>
    <w:p w14:paraId="0B399D0D" w14:textId="37577670" w:rsidR="000A607E" w:rsidRPr="000665B0" w:rsidRDefault="000A607E" w:rsidP="006D5A65">
      <w:pPr>
        <w:pStyle w:val="Heading1"/>
      </w:pPr>
      <w:r w:rsidRPr="000665B0">
        <w:t>Message Type – Type of message.</w:t>
      </w:r>
    </w:p>
    <w:p w14:paraId="316768A0" w14:textId="241B1E8E" w:rsidR="005A1B14" w:rsidRPr="000665B0" w:rsidRDefault="005A1B14" w:rsidP="006D5A65">
      <w:pPr>
        <w:pStyle w:val="Heading2"/>
      </w:pPr>
      <w:r w:rsidRPr="000665B0">
        <w:t xml:space="preserve">H&amp;S Messages – See </w:t>
      </w:r>
      <w:hyperlink w:anchor="_Health__and" w:history="1">
        <w:r w:rsidRPr="000665B0">
          <w:rPr>
            <w:rStyle w:val="Hyperlink"/>
          </w:rPr>
          <w:t xml:space="preserve">Section </w:t>
        </w:r>
        <w:r w:rsidR="004231CC">
          <w:rPr>
            <w:rStyle w:val="Hyperlink"/>
          </w:rPr>
          <w:t>5.37</w:t>
        </w:r>
        <w:r w:rsidRPr="000665B0">
          <w:rPr>
            <w:rStyle w:val="Hyperlink"/>
          </w:rPr>
          <w:t>.9</w:t>
        </w:r>
      </w:hyperlink>
      <w:r w:rsidRPr="000665B0">
        <w:t xml:space="preserve"> for information about the types of H&amp;S messages</w:t>
      </w:r>
      <w:r w:rsidR="006B686C" w:rsidRPr="000665B0">
        <w:t xml:space="preserve">. See </w:t>
      </w:r>
      <w:hyperlink w:anchor="_Display_Textually_2" w:history="1">
        <w:r w:rsidR="006B686C" w:rsidRPr="000665B0">
          <w:rPr>
            <w:rStyle w:val="Hyperlink"/>
          </w:rPr>
          <w:t xml:space="preserve">Section </w:t>
        </w:r>
        <w:r w:rsidR="004231CC">
          <w:rPr>
            <w:rStyle w:val="Hyperlink"/>
          </w:rPr>
          <w:t>5.37</w:t>
        </w:r>
        <w:r w:rsidR="006B686C" w:rsidRPr="000665B0">
          <w:rPr>
            <w:rStyle w:val="Hyperlink"/>
          </w:rPr>
          <w:t>.9.1</w:t>
        </w:r>
      </w:hyperlink>
      <w:r w:rsidR="006B686C" w:rsidRPr="000665B0">
        <w:t xml:space="preserve"> for information about</w:t>
      </w:r>
      <w:r w:rsidR="009E5CA5" w:rsidRPr="000665B0">
        <w:t xml:space="preserve"> the textual display of</w:t>
      </w:r>
      <w:r w:rsidRPr="000665B0">
        <w:t xml:space="preserve"> H&amp;S message</w:t>
      </w:r>
      <w:r w:rsidR="009E5CA5" w:rsidRPr="000665B0">
        <w:t>s</w:t>
      </w:r>
      <w:r w:rsidRPr="000665B0">
        <w:t>.</w:t>
      </w:r>
    </w:p>
    <w:p w14:paraId="32CD225A" w14:textId="18CF1DBF" w:rsidR="005A1B14" w:rsidRPr="000665B0" w:rsidRDefault="005A1B14" w:rsidP="006D5A65">
      <w:pPr>
        <w:pStyle w:val="Heading2"/>
      </w:pPr>
      <w:r w:rsidRPr="000665B0">
        <w:t xml:space="preserve">MST H&amp;S Messages – See </w:t>
      </w:r>
      <w:hyperlink w:anchor="_Maritime_Strike_Health" w:history="1">
        <w:r w:rsidRPr="000665B0">
          <w:rPr>
            <w:rStyle w:val="Hyperlink"/>
          </w:rPr>
          <w:t xml:space="preserve">Section </w:t>
        </w:r>
        <w:r w:rsidR="004231CC">
          <w:rPr>
            <w:rStyle w:val="Hyperlink"/>
          </w:rPr>
          <w:t>5.37</w:t>
        </w:r>
        <w:r w:rsidRPr="000665B0">
          <w:rPr>
            <w:rStyle w:val="Hyperlink"/>
          </w:rPr>
          <w:t>.9.2</w:t>
        </w:r>
      </w:hyperlink>
      <w:r w:rsidRPr="000665B0">
        <w:t xml:space="preserve"> for information about the types of maritime H&amp;S messages.</w:t>
      </w:r>
      <w:r w:rsidR="006B686C" w:rsidRPr="000665B0">
        <w:t xml:space="preserve"> See </w:t>
      </w:r>
      <w:hyperlink w:anchor="_Display_Textually_(MST_1" w:history="1">
        <w:r w:rsidR="006B686C" w:rsidRPr="000665B0">
          <w:rPr>
            <w:rStyle w:val="Hyperlink"/>
          </w:rPr>
          <w:t xml:space="preserve">Section </w:t>
        </w:r>
        <w:r w:rsidR="004231CC">
          <w:rPr>
            <w:rStyle w:val="Hyperlink"/>
          </w:rPr>
          <w:t>5.37</w:t>
        </w:r>
        <w:r w:rsidR="006B686C" w:rsidRPr="000665B0">
          <w:rPr>
            <w:rStyle w:val="Hyperlink"/>
          </w:rPr>
          <w:t>.9.2.1</w:t>
        </w:r>
      </w:hyperlink>
      <w:r w:rsidR="006B686C" w:rsidRPr="000665B0">
        <w:t xml:space="preserve"> for information about </w:t>
      </w:r>
      <w:r w:rsidR="009E5CA5" w:rsidRPr="000665B0">
        <w:t>the textual display of maritime H&amp;S messages.</w:t>
      </w:r>
    </w:p>
    <w:p w14:paraId="7E7994B4" w14:textId="22F038A7" w:rsidR="005A1B14" w:rsidRPr="000665B0" w:rsidRDefault="005A1B14" w:rsidP="006D5A65">
      <w:pPr>
        <w:pStyle w:val="Heading2"/>
      </w:pPr>
      <w:r w:rsidRPr="000665B0">
        <w:t xml:space="preserve">IMMM Messages – See </w:t>
      </w:r>
      <w:hyperlink w:anchor="_IMMM_Log_1" w:history="1">
        <w:r w:rsidRPr="000665B0">
          <w:rPr>
            <w:rStyle w:val="Hyperlink"/>
          </w:rPr>
          <w:t xml:space="preserve">Section </w:t>
        </w:r>
        <w:r w:rsidR="004231CC">
          <w:rPr>
            <w:rStyle w:val="Hyperlink"/>
          </w:rPr>
          <w:t>5.37</w:t>
        </w:r>
        <w:r w:rsidRPr="000665B0">
          <w:rPr>
            <w:rStyle w:val="Hyperlink"/>
          </w:rPr>
          <w:t>.</w:t>
        </w:r>
        <w:r w:rsidR="00DF62F5">
          <w:rPr>
            <w:rStyle w:val="Hyperlink"/>
          </w:rPr>
          <w:t>10</w:t>
        </w:r>
      </w:hyperlink>
      <w:r w:rsidRPr="000665B0">
        <w:t xml:space="preserve"> for information about the types of IMMM messages.</w:t>
      </w:r>
      <w:r w:rsidR="006B686C" w:rsidRPr="000665B0">
        <w:t xml:space="preserve"> See </w:t>
      </w:r>
      <w:hyperlink w:anchor="_Display_Textually_3" w:history="1">
        <w:r w:rsidR="006B686C" w:rsidRPr="000665B0">
          <w:rPr>
            <w:rStyle w:val="Hyperlink"/>
          </w:rPr>
          <w:t xml:space="preserve">Section </w:t>
        </w:r>
        <w:r w:rsidR="004231CC">
          <w:rPr>
            <w:rStyle w:val="Hyperlink"/>
          </w:rPr>
          <w:t>5.37</w:t>
        </w:r>
        <w:r w:rsidR="006B686C" w:rsidRPr="000665B0">
          <w:rPr>
            <w:rStyle w:val="Hyperlink"/>
          </w:rPr>
          <w:t>.10.1</w:t>
        </w:r>
      </w:hyperlink>
      <w:r w:rsidR="006B686C" w:rsidRPr="000665B0">
        <w:t xml:space="preserve"> for information about </w:t>
      </w:r>
      <w:r w:rsidR="009E5CA5" w:rsidRPr="000665B0">
        <w:t>the textual display of IMMMs</w:t>
      </w:r>
      <w:r w:rsidR="006B686C" w:rsidRPr="000665B0">
        <w:t>.</w:t>
      </w:r>
    </w:p>
    <w:p w14:paraId="7EEDA901" w14:textId="2B159596" w:rsidR="005A1B14" w:rsidRPr="000665B0" w:rsidRDefault="005A1B14" w:rsidP="006D5A65">
      <w:pPr>
        <w:pStyle w:val="Heading2"/>
      </w:pPr>
      <w:r w:rsidRPr="000665B0">
        <w:t xml:space="preserve">MST IMMM Messages – See </w:t>
      </w:r>
      <w:hyperlink w:anchor="_Maritime__Strike" w:history="1">
        <w:r w:rsidRPr="000665B0">
          <w:rPr>
            <w:rStyle w:val="Hyperlink"/>
          </w:rPr>
          <w:t xml:space="preserve">Section </w:t>
        </w:r>
        <w:r w:rsidR="004231CC">
          <w:rPr>
            <w:rStyle w:val="Hyperlink"/>
          </w:rPr>
          <w:t>5.37</w:t>
        </w:r>
        <w:r w:rsidRPr="000665B0">
          <w:rPr>
            <w:rStyle w:val="Hyperlink"/>
          </w:rPr>
          <w:t>.10.2</w:t>
        </w:r>
      </w:hyperlink>
      <w:r w:rsidRPr="000665B0">
        <w:t xml:space="preserve"> for information about the types of maritime IMMM messages</w:t>
      </w:r>
      <w:r w:rsidR="006B686C" w:rsidRPr="000665B0">
        <w:t xml:space="preserve">. See </w:t>
      </w:r>
      <w:hyperlink w:anchor="_Display_Textually_(MST" w:history="1">
        <w:r w:rsidR="006B686C" w:rsidRPr="000665B0">
          <w:rPr>
            <w:rStyle w:val="Hyperlink"/>
          </w:rPr>
          <w:t xml:space="preserve">Section </w:t>
        </w:r>
        <w:r w:rsidR="004231CC">
          <w:rPr>
            <w:rStyle w:val="Hyperlink"/>
          </w:rPr>
          <w:t>5.37</w:t>
        </w:r>
        <w:r w:rsidR="006B686C" w:rsidRPr="000665B0">
          <w:rPr>
            <w:rStyle w:val="Hyperlink"/>
          </w:rPr>
          <w:t>.10.2.1</w:t>
        </w:r>
      </w:hyperlink>
      <w:r w:rsidR="006B686C" w:rsidRPr="000665B0">
        <w:t xml:space="preserve"> for information about </w:t>
      </w:r>
      <w:r w:rsidR="009E5CA5" w:rsidRPr="000665B0">
        <w:t xml:space="preserve">the textual display of </w:t>
      </w:r>
      <w:r w:rsidR="006B686C" w:rsidRPr="000665B0">
        <w:t>maritime IMMM</w:t>
      </w:r>
      <w:r w:rsidR="009E5CA5" w:rsidRPr="000665B0">
        <w:t>s</w:t>
      </w:r>
      <w:r w:rsidR="006B686C" w:rsidRPr="000665B0">
        <w:t>.</w:t>
      </w:r>
    </w:p>
    <w:p w14:paraId="7FE35E8F" w14:textId="2206DED0" w:rsidR="00A37A84" w:rsidRPr="000665B0" w:rsidRDefault="00A37A84" w:rsidP="006D5A65">
      <w:pPr>
        <w:pStyle w:val="Heading1"/>
      </w:pPr>
      <w:r w:rsidRPr="000665B0">
        <w:t xml:space="preserve">Ping Type – </w:t>
      </w:r>
      <w:r w:rsidR="00B30FCA" w:rsidRPr="000665B0">
        <w:t>Indicates the type of ping (Ping, Ping Response, or Ping Ver</w:t>
      </w:r>
      <w:r w:rsidR="006D628D" w:rsidRPr="000665B0">
        <w:t>i</w:t>
      </w:r>
      <w:r w:rsidR="00B30FCA" w:rsidRPr="000665B0">
        <w:t>fication).</w:t>
      </w:r>
      <w:r w:rsidR="00214619" w:rsidRPr="000665B0">
        <w:t xml:space="preserve"> See </w:t>
      </w:r>
      <w:hyperlink w:anchor="_Display__Textually" w:history="1">
        <w:r w:rsidR="00214619" w:rsidRPr="000665B0">
          <w:rPr>
            <w:rStyle w:val="Hyperlink"/>
          </w:rPr>
          <w:t xml:space="preserve">Section </w:t>
        </w:r>
        <w:r w:rsidR="004231CC">
          <w:rPr>
            <w:rStyle w:val="Hyperlink"/>
          </w:rPr>
          <w:t>5.35</w:t>
        </w:r>
        <w:r w:rsidR="00214619" w:rsidRPr="000665B0">
          <w:rPr>
            <w:rStyle w:val="Hyperlink"/>
          </w:rPr>
          <w:t>.3.1.5.1</w:t>
        </w:r>
      </w:hyperlink>
      <w:r w:rsidR="00214619" w:rsidRPr="000665B0">
        <w:t xml:space="preserve"> for information about the textual display of TSN Ping messages.</w:t>
      </w:r>
    </w:p>
    <w:p w14:paraId="3C4AB352" w14:textId="77777777" w:rsidR="000A607E" w:rsidRPr="000665B0" w:rsidRDefault="000A607E" w:rsidP="006D5A65">
      <w:pPr>
        <w:pStyle w:val="Heading1"/>
      </w:pPr>
      <w:r w:rsidRPr="000665B0">
        <w:t>Message ID – ID of the message.</w:t>
      </w:r>
    </w:p>
    <w:p w14:paraId="18CE2217" w14:textId="77777777" w:rsidR="000A607E" w:rsidRPr="000665B0" w:rsidRDefault="000A607E" w:rsidP="006D5A65">
      <w:pPr>
        <w:pStyle w:val="Heading1"/>
      </w:pPr>
      <w:r w:rsidRPr="000665B0">
        <w:t>Status – Status of message.</w:t>
      </w:r>
      <w:r w:rsidR="00F303DA" w:rsidRPr="000665B0">
        <w:t xml:space="preserve"> </w:t>
      </w:r>
      <w:r w:rsidRPr="000665B0">
        <w:t>BIT failures are listed as critical.</w:t>
      </w:r>
    </w:p>
    <w:p w14:paraId="36FE82E7" w14:textId="77777777" w:rsidR="000A607E" w:rsidRPr="000665B0" w:rsidRDefault="000A607E" w:rsidP="006D5A65">
      <w:pPr>
        <w:pStyle w:val="Heading1"/>
      </w:pPr>
      <w:r w:rsidRPr="000665B0">
        <w:t>MS# – Missile that sent/received this message.</w:t>
      </w:r>
    </w:p>
    <w:p w14:paraId="5CF0BABF" w14:textId="3FB43E91" w:rsidR="000A607E" w:rsidRPr="000665B0" w:rsidRDefault="000A607E" w:rsidP="006D5A65">
      <w:pPr>
        <w:pStyle w:val="Heading1"/>
      </w:pPr>
      <w:r w:rsidRPr="000665B0">
        <w:t xml:space="preserve">Subscriber ID – Missile Subscriber </w:t>
      </w:r>
      <w:r w:rsidR="00816181" w:rsidRPr="000665B0">
        <w:t>I</w:t>
      </w:r>
      <w:r w:rsidR="00816181">
        <w:t>D</w:t>
      </w:r>
      <w:r w:rsidR="00816181" w:rsidRPr="000665B0">
        <w:t xml:space="preserve"> </w:t>
      </w:r>
      <w:r w:rsidRPr="000665B0">
        <w:t>in message.</w:t>
      </w:r>
    </w:p>
    <w:p w14:paraId="1CCBFB14" w14:textId="77777777" w:rsidR="000A607E" w:rsidRPr="000665B0" w:rsidRDefault="000A607E" w:rsidP="006D5A65">
      <w:pPr>
        <w:pStyle w:val="Heading1"/>
      </w:pPr>
      <w:r w:rsidRPr="000665B0">
        <w:t>Data Valid Time – Time message is valid.</w:t>
      </w:r>
    </w:p>
    <w:p w14:paraId="586BDCB8" w14:textId="77777777" w:rsidR="000A607E" w:rsidRPr="000665B0" w:rsidRDefault="000A607E" w:rsidP="006D5A65">
      <w:pPr>
        <w:pStyle w:val="Heading1"/>
      </w:pPr>
      <w:r w:rsidRPr="000665B0">
        <w:t>Mission ID – Mission the missile is flying.</w:t>
      </w:r>
    </w:p>
    <w:p w14:paraId="3CFF705C" w14:textId="77777777" w:rsidR="000A607E" w:rsidRPr="000665B0" w:rsidRDefault="000A607E" w:rsidP="006D5A65">
      <w:pPr>
        <w:pStyle w:val="Heading1"/>
      </w:pPr>
      <w:r w:rsidRPr="000665B0">
        <w:t xml:space="preserve">Branch ID – </w:t>
      </w:r>
      <w:r w:rsidR="0015035F" w:rsidRPr="000665B0">
        <w:t xml:space="preserve">Branch IDs are a numbering scheme used for the Primary Route (which is always Branch ID 0) and each of the Flex Routes in a 109E mission. </w:t>
      </w:r>
      <w:r w:rsidR="002050FF" w:rsidRPr="000665B0">
        <w:t xml:space="preserve">Due to the manner in which </w:t>
      </w:r>
      <w:r w:rsidR="0015035F" w:rsidRPr="000665B0">
        <w:t>retarget segments of the mission</w:t>
      </w:r>
      <w:r w:rsidR="002050FF" w:rsidRPr="000665B0">
        <w:t xml:space="preserve"> are constructed, stored, and executed </w:t>
      </w:r>
      <w:r w:rsidR="00BD6F8F" w:rsidRPr="000665B0">
        <w:t>by</w:t>
      </w:r>
      <w:r w:rsidR="002050FF" w:rsidRPr="000665B0">
        <w:t xml:space="preserve"> the missile, the missile will not update the </w:t>
      </w:r>
      <w:r w:rsidR="002050FF" w:rsidRPr="000665B0">
        <w:lastRenderedPageBreak/>
        <w:t xml:space="preserve">Branch ID until the missile is actually on the new mission branch (has departed the </w:t>
      </w:r>
      <w:r w:rsidR="00F120CB" w:rsidRPr="000665B0">
        <w:t xml:space="preserve">previous </w:t>
      </w:r>
      <w:r w:rsidR="002050FF" w:rsidRPr="000665B0">
        <w:t>branch).</w:t>
      </w:r>
    </w:p>
    <w:p w14:paraId="2E865A61" w14:textId="136401AD" w:rsidR="000A607E" w:rsidRPr="000665B0" w:rsidRDefault="000A607E" w:rsidP="006D5A65">
      <w:pPr>
        <w:pStyle w:val="Heading1"/>
      </w:pPr>
      <w:r w:rsidRPr="000665B0">
        <w:t>State – Send/Receive state of the message.</w:t>
      </w:r>
    </w:p>
    <w:p w14:paraId="3D3D6956" w14:textId="7F434CA1" w:rsidR="00F9212D" w:rsidRPr="000665B0" w:rsidRDefault="00F9212D" w:rsidP="006D5A65">
      <w:pPr>
        <w:pStyle w:val="Heading1"/>
      </w:pPr>
      <w:bookmarkStart w:id="6623" w:name="_Hlk74211735"/>
      <w:bookmarkStart w:id="6624" w:name="_Hlk74211190"/>
      <w:r w:rsidRPr="000665B0">
        <w:t>Missile Lat</w:t>
      </w:r>
      <w:r w:rsidR="00074F4F" w:rsidRPr="000665B0">
        <w:t xml:space="preserve"> </w:t>
      </w:r>
      <w:r w:rsidRPr="000665B0">
        <w:t>–</w:t>
      </w:r>
      <w:r w:rsidR="00B228CB" w:rsidRPr="000665B0">
        <w:t xml:space="preserve"> C</w:t>
      </w:r>
      <w:r w:rsidRPr="000665B0">
        <w:t xml:space="preserve">urrent </w:t>
      </w:r>
      <w:r w:rsidR="00B228CB" w:rsidRPr="000665B0">
        <w:t xml:space="preserve">missile </w:t>
      </w:r>
      <w:r w:rsidRPr="000665B0">
        <w:t>latitude</w:t>
      </w:r>
      <w:r w:rsidR="00074F4F" w:rsidRPr="000665B0">
        <w:t xml:space="preserve"> (maritime strike</w:t>
      </w:r>
      <w:r w:rsidR="00A01892" w:rsidRPr="000665B0">
        <w:t xml:space="preserve"> H&amp;S</w:t>
      </w:r>
      <w:r w:rsidR="00074F4F" w:rsidRPr="000665B0">
        <w:t>)</w:t>
      </w:r>
      <w:r w:rsidRPr="000665B0">
        <w:t>.</w:t>
      </w:r>
    </w:p>
    <w:p w14:paraId="781EE59D" w14:textId="743F152D" w:rsidR="00F9212D" w:rsidRPr="000665B0" w:rsidRDefault="00F9212D" w:rsidP="006D5A65">
      <w:pPr>
        <w:pStyle w:val="Heading1"/>
      </w:pPr>
      <w:r w:rsidRPr="000665B0">
        <w:t>Missile Lon</w:t>
      </w:r>
      <w:r w:rsidR="00074F4F" w:rsidRPr="000665B0">
        <w:t xml:space="preserve"> </w:t>
      </w:r>
      <w:r w:rsidRPr="000665B0">
        <w:t>–</w:t>
      </w:r>
      <w:r w:rsidR="00B228CB" w:rsidRPr="000665B0">
        <w:t xml:space="preserve"> C</w:t>
      </w:r>
      <w:r w:rsidRPr="000665B0">
        <w:t xml:space="preserve">urrent </w:t>
      </w:r>
      <w:r w:rsidR="00B228CB" w:rsidRPr="000665B0">
        <w:t xml:space="preserve">missile </w:t>
      </w:r>
      <w:r w:rsidRPr="000665B0">
        <w:t>longitude</w:t>
      </w:r>
      <w:r w:rsidR="00074F4F" w:rsidRPr="000665B0">
        <w:t xml:space="preserve"> (maritime strike</w:t>
      </w:r>
      <w:r w:rsidR="00A01892" w:rsidRPr="000665B0">
        <w:t xml:space="preserve"> H&amp;S</w:t>
      </w:r>
      <w:r w:rsidR="00074F4F" w:rsidRPr="000665B0">
        <w:t>)</w:t>
      </w:r>
      <w:r w:rsidRPr="000665B0">
        <w:t>.</w:t>
      </w:r>
    </w:p>
    <w:p w14:paraId="045945D7" w14:textId="6211BB66" w:rsidR="003B226C" w:rsidRPr="000665B0" w:rsidRDefault="003B226C" w:rsidP="006D5A65">
      <w:pPr>
        <w:pStyle w:val="Heading1"/>
      </w:pPr>
      <w:r w:rsidRPr="000665B0">
        <w:t xml:space="preserve">Intercept Lat – </w:t>
      </w:r>
      <w:r w:rsidR="00F9212D" w:rsidRPr="000665B0">
        <w:t>Latitude of target</w:t>
      </w:r>
      <w:r w:rsidR="00B228CB" w:rsidRPr="000665B0">
        <w:t xml:space="preserve"> (intercept)</w:t>
      </w:r>
      <w:r w:rsidR="00074F4F" w:rsidRPr="000665B0">
        <w:t xml:space="preserve"> (maritime strike</w:t>
      </w:r>
      <w:r w:rsidR="00A01892" w:rsidRPr="000665B0">
        <w:t xml:space="preserve"> H&amp;S</w:t>
      </w:r>
      <w:r w:rsidR="00074F4F" w:rsidRPr="000665B0">
        <w:t>)</w:t>
      </w:r>
      <w:r w:rsidRPr="000665B0">
        <w:rPr>
          <w:bCs/>
        </w:rPr>
        <w:t>.</w:t>
      </w:r>
    </w:p>
    <w:p w14:paraId="6FD906C5" w14:textId="415982BB" w:rsidR="003B226C" w:rsidRPr="000665B0" w:rsidRDefault="003B226C" w:rsidP="006D5A65">
      <w:pPr>
        <w:pStyle w:val="Heading1"/>
      </w:pPr>
      <w:r w:rsidRPr="000665B0">
        <w:t>Intercept Lon –</w:t>
      </w:r>
      <w:r w:rsidR="00F9212D" w:rsidRPr="000665B0">
        <w:t xml:space="preserve"> </w:t>
      </w:r>
      <w:r w:rsidR="00F9212D" w:rsidRPr="00C320C7">
        <w:rPr>
          <w:bCs/>
        </w:rPr>
        <w:t>L</w:t>
      </w:r>
      <w:r w:rsidRPr="000665B0">
        <w:rPr>
          <w:bCs/>
        </w:rPr>
        <w:t>ongitude</w:t>
      </w:r>
      <w:r w:rsidR="00F9212D" w:rsidRPr="000665B0">
        <w:rPr>
          <w:bCs/>
        </w:rPr>
        <w:t xml:space="preserve"> of target</w:t>
      </w:r>
      <w:r w:rsidR="00B228CB" w:rsidRPr="000665B0">
        <w:rPr>
          <w:bCs/>
        </w:rPr>
        <w:t xml:space="preserve"> (intercept)</w:t>
      </w:r>
      <w:r w:rsidR="00074F4F" w:rsidRPr="000665B0">
        <w:rPr>
          <w:bCs/>
        </w:rPr>
        <w:t xml:space="preserve"> </w:t>
      </w:r>
      <w:r w:rsidR="00074F4F" w:rsidRPr="000665B0">
        <w:t>(maritime strike</w:t>
      </w:r>
      <w:r w:rsidR="00A01892" w:rsidRPr="000665B0">
        <w:t xml:space="preserve"> H&amp;S</w:t>
      </w:r>
      <w:r w:rsidR="00074F4F" w:rsidRPr="000665B0">
        <w:t>)</w:t>
      </w:r>
      <w:r w:rsidRPr="000665B0">
        <w:rPr>
          <w:bCs/>
        </w:rPr>
        <w:t>.</w:t>
      </w:r>
    </w:p>
    <w:bookmarkEnd w:id="6623"/>
    <w:p w14:paraId="73E5A036" w14:textId="321FE419" w:rsidR="003B226C" w:rsidRPr="000665B0" w:rsidRDefault="003B226C" w:rsidP="006D5A65">
      <w:pPr>
        <w:pStyle w:val="Heading1"/>
      </w:pPr>
      <w:r w:rsidRPr="000665B0">
        <w:t xml:space="preserve">Sec. to Intercept – </w:t>
      </w:r>
      <w:r w:rsidR="00A37A84" w:rsidRPr="000665B0">
        <w:t>Estimated time until</w:t>
      </w:r>
      <w:r w:rsidR="00B30FCA" w:rsidRPr="000665B0">
        <w:t xml:space="preserve"> target (intercept)</w:t>
      </w:r>
      <w:r w:rsidR="00A37A84" w:rsidRPr="000665B0">
        <w:t xml:space="preserve"> </w:t>
      </w:r>
      <w:r w:rsidR="00B228CB" w:rsidRPr="000665B0">
        <w:t>in seconds</w:t>
      </w:r>
      <w:r w:rsidR="00074F4F" w:rsidRPr="000665B0">
        <w:t xml:space="preserve"> (maritime strike</w:t>
      </w:r>
      <w:r w:rsidR="00A01892" w:rsidRPr="000665B0">
        <w:t xml:space="preserve"> H&amp;S</w:t>
      </w:r>
      <w:r w:rsidR="00074F4F" w:rsidRPr="000665B0">
        <w:t>)</w:t>
      </w:r>
      <w:r w:rsidRPr="000665B0">
        <w:t>.</w:t>
      </w:r>
    </w:p>
    <w:p w14:paraId="4B402024" w14:textId="740657FA" w:rsidR="003B226C" w:rsidRPr="000665B0" w:rsidRDefault="003B226C" w:rsidP="006D5A65">
      <w:pPr>
        <w:pStyle w:val="Heading1"/>
      </w:pPr>
      <w:r w:rsidRPr="000665B0">
        <w:t>TGT ID</w:t>
      </w:r>
      <w:r w:rsidR="00074F4F" w:rsidRPr="000665B0">
        <w:t xml:space="preserve"> </w:t>
      </w:r>
      <w:r w:rsidRPr="000665B0">
        <w:t xml:space="preserve">– </w:t>
      </w:r>
      <w:r w:rsidR="00A37A84" w:rsidRPr="000665B0">
        <w:t xml:space="preserve">ID of the </w:t>
      </w:r>
      <w:r w:rsidR="00E94A07" w:rsidRPr="000665B0">
        <w:t>target</w:t>
      </w:r>
      <w:r w:rsidR="00A37A84" w:rsidRPr="000665B0">
        <w:t xml:space="preserve"> (Target Comms ID)</w:t>
      </w:r>
      <w:r w:rsidR="00074F4F" w:rsidRPr="000665B0">
        <w:t xml:space="preserve"> (maritime strike</w:t>
      </w:r>
      <w:r w:rsidR="00A01892" w:rsidRPr="000665B0">
        <w:t xml:space="preserve"> IMMM</w:t>
      </w:r>
      <w:r w:rsidR="00074F4F" w:rsidRPr="000665B0">
        <w:t>)</w:t>
      </w:r>
      <w:r w:rsidRPr="000665B0">
        <w:t>.</w:t>
      </w:r>
    </w:p>
    <w:p w14:paraId="761DEDE6" w14:textId="08DF8EFA" w:rsidR="003B226C" w:rsidRPr="000665B0" w:rsidRDefault="003B226C" w:rsidP="006D5A65">
      <w:pPr>
        <w:pStyle w:val="Heading1"/>
      </w:pPr>
      <w:r w:rsidRPr="000665B0">
        <w:t>Target Lat</w:t>
      </w:r>
      <w:r w:rsidR="00074F4F" w:rsidRPr="000665B0">
        <w:t xml:space="preserve"> </w:t>
      </w:r>
      <w:r w:rsidRPr="000665B0">
        <w:t xml:space="preserve">– </w:t>
      </w:r>
      <w:r w:rsidR="00A37A84" w:rsidRPr="000665B0">
        <w:rPr>
          <w:bCs/>
        </w:rPr>
        <w:t>Latitude of the target</w:t>
      </w:r>
      <w:r w:rsidR="00074F4F" w:rsidRPr="000665B0">
        <w:rPr>
          <w:bCs/>
        </w:rPr>
        <w:t xml:space="preserve"> </w:t>
      </w:r>
      <w:r w:rsidR="00074F4F" w:rsidRPr="000665B0">
        <w:t>(maritime strike</w:t>
      </w:r>
      <w:r w:rsidR="00A01892" w:rsidRPr="000665B0">
        <w:t xml:space="preserve"> IMMM</w:t>
      </w:r>
      <w:r w:rsidR="00074F4F" w:rsidRPr="000665B0">
        <w:t>)</w:t>
      </w:r>
      <w:r w:rsidRPr="000665B0">
        <w:rPr>
          <w:bCs/>
        </w:rPr>
        <w:t>.</w:t>
      </w:r>
    </w:p>
    <w:p w14:paraId="753C952D" w14:textId="64ECA9A4" w:rsidR="003B226C" w:rsidRPr="000665B0" w:rsidRDefault="003B226C" w:rsidP="006D5A65">
      <w:pPr>
        <w:pStyle w:val="Heading1"/>
      </w:pPr>
      <w:r w:rsidRPr="000665B0">
        <w:t>Target Lo</w:t>
      </w:r>
      <w:r w:rsidR="00074F4F" w:rsidRPr="000665B0">
        <w:t xml:space="preserve">n </w:t>
      </w:r>
      <w:r w:rsidRPr="000665B0">
        <w:rPr>
          <w:bCs/>
        </w:rPr>
        <w:t xml:space="preserve">– </w:t>
      </w:r>
      <w:r w:rsidR="00A37A84" w:rsidRPr="000665B0">
        <w:rPr>
          <w:bCs/>
        </w:rPr>
        <w:t>Longitude of the target</w:t>
      </w:r>
      <w:r w:rsidR="00074F4F" w:rsidRPr="000665B0">
        <w:rPr>
          <w:bCs/>
        </w:rPr>
        <w:t xml:space="preserve"> </w:t>
      </w:r>
      <w:r w:rsidR="00074F4F" w:rsidRPr="000665B0">
        <w:t>(maritime strike</w:t>
      </w:r>
      <w:r w:rsidR="00A01892" w:rsidRPr="000665B0">
        <w:t xml:space="preserve"> IMMM</w:t>
      </w:r>
      <w:r w:rsidR="00074F4F" w:rsidRPr="000665B0">
        <w:t>)</w:t>
      </w:r>
      <w:r w:rsidRPr="000665B0">
        <w:rPr>
          <w:bCs/>
        </w:rPr>
        <w:t>.</w:t>
      </w:r>
    </w:p>
    <w:p w14:paraId="3033CCAB" w14:textId="28AD50F2" w:rsidR="003B226C" w:rsidRPr="000665B0" w:rsidRDefault="003B226C" w:rsidP="006D5A65">
      <w:pPr>
        <w:pStyle w:val="Heading1"/>
      </w:pPr>
      <w:r w:rsidRPr="000665B0">
        <w:t xml:space="preserve">Target Course – </w:t>
      </w:r>
      <w:r w:rsidR="00F9212D" w:rsidRPr="000665B0">
        <w:rPr>
          <w:bCs/>
        </w:rPr>
        <w:t>Bearing (in degrees) of target</w:t>
      </w:r>
      <w:r w:rsidR="00074F4F" w:rsidRPr="000665B0">
        <w:rPr>
          <w:bCs/>
        </w:rPr>
        <w:t xml:space="preserve"> </w:t>
      </w:r>
      <w:r w:rsidR="00074F4F" w:rsidRPr="000665B0">
        <w:t>(maritime strike</w:t>
      </w:r>
      <w:r w:rsidR="00A01892" w:rsidRPr="000665B0">
        <w:t xml:space="preserve"> IMMM</w:t>
      </w:r>
      <w:r w:rsidR="00074F4F" w:rsidRPr="000665B0">
        <w:t>)</w:t>
      </w:r>
      <w:r w:rsidRPr="000665B0">
        <w:rPr>
          <w:bCs/>
        </w:rPr>
        <w:t>.</w:t>
      </w:r>
    </w:p>
    <w:p w14:paraId="7EA112C0" w14:textId="0AF4841F" w:rsidR="003B226C" w:rsidRPr="000665B0" w:rsidRDefault="003B226C" w:rsidP="006D5A65">
      <w:pPr>
        <w:pStyle w:val="Heading1"/>
      </w:pPr>
      <w:r w:rsidRPr="000665B0">
        <w:t xml:space="preserve">Target Speed – </w:t>
      </w:r>
      <w:r w:rsidR="00F9212D" w:rsidRPr="000665B0">
        <w:rPr>
          <w:bCs/>
        </w:rPr>
        <w:t>Speed (in knots) of target</w:t>
      </w:r>
      <w:r w:rsidR="00074F4F" w:rsidRPr="000665B0">
        <w:rPr>
          <w:bCs/>
        </w:rPr>
        <w:t xml:space="preserve"> </w:t>
      </w:r>
      <w:r w:rsidR="00074F4F" w:rsidRPr="000665B0">
        <w:t>(maritime strike</w:t>
      </w:r>
      <w:r w:rsidR="00A01892" w:rsidRPr="000665B0">
        <w:t xml:space="preserve"> IMMM</w:t>
      </w:r>
      <w:r w:rsidR="00074F4F" w:rsidRPr="000665B0">
        <w:t>)</w:t>
      </w:r>
      <w:r w:rsidRPr="000665B0">
        <w:rPr>
          <w:bCs/>
        </w:rPr>
        <w:t>.</w:t>
      </w:r>
    </w:p>
    <w:p w14:paraId="617D4E02" w14:textId="114E92B5" w:rsidR="00214619" w:rsidRPr="000665B0" w:rsidRDefault="00214619" w:rsidP="00306174">
      <w:pPr>
        <w:pStyle w:val="Heading6"/>
      </w:pPr>
      <w:bookmarkStart w:id="6625" w:name="_Display__Textually"/>
      <w:bookmarkEnd w:id="6625"/>
      <w:r w:rsidRPr="000665B0">
        <w:t>Display Textually (TSN Ping</w:t>
      </w:r>
      <w:r w:rsidR="00810CB9" w:rsidRPr="000665B0">
        <w:t xml:space="preserve"> Message</w:t>
      </w:r>
      <w:r w:rsidRPr="000665B0">
        <w:t>)</w:t>
      </w:r>
    </w:p>
    <w:p w14:paraId="361D1E8D" w14:textId="6C33F655" w:rsidR="00214619" w:rsidRPr="000665B0" w:rsidRDefault="00214619" w:rsidP="00214619">
      <w:r w:rsidRPr="000665B0">
        <w:t xml:space="preserve">To display a TSN Ping message textually see </w:t>
      </w:r>
      <w:hyperlink w:anchor="_5.2.1.2.4__Display_1" w:history="1">
        <w:r w:rsidRPr="000665B0">
          <w:rPr>
            <w:rStyle w:val="Hyperlink"/>
          </w:rPr>
          <w:t>Section 5.2.1.2.4</w:t>
        </w:r>
      </w:hyperlink>
      <w:r w:rsidRPr="000665B0">
        <w:t>.</w:t>
      </w:r>
    </w:p>
    <w:p w14:paraId="08337517" w14:textId="2900E82C" w:rsidR="00191754" w:rsidRPr="000665B0" w:rsidRDefault="00191754" w:rsidP="00191754">
      <w:pPr>
        <w:rPr>
          <w:bCs/>
        </w:rPr>
      </w:pPr>
      <w:r w:rsidRPr="000665B0">
        <w:rPr>
          <w:bCs/>
        </w:rPr>
        <w:t>In a successful Ping</w:t>
      </w:r>
      <w:r w:rsidR="009C1341" w:rsidRPr="000665B0">
        <w:rPr>
          <w:bCs/>
        </w:rPr>
        <w:t>,</w:t>
      </w:r>
      <w:r w:rsidRPr="000665B0">
        <w:rPr>
          <w:bCs/>
        </w:rPr>
        <w:t xml:space="preserve"> there are three Ping </w:t>
      </w:r>
      <w:r w:rsidR="009C1341" w:rsidRPr="000665B0">
        <w:rPr>
          <w:bCs/>
        </w:rPr>
        <w:t>m</w:t>
      </w:r>
      <w:r w:rsidRPr="000665B0">
        <w:rPr>
          <w:bCs/>
        </w:rPr>
        <w:t>essages exchanged:</w:t>
      </w:r>
    </w:p>
    <w:p w14:paraId="48F53C46" w14:textId="55C4C027" w:rsidR="00191754" w:rsidRPr="000665B0" w:rsidRDefault="00191754" w:rsidP="006D5A65">
      <w:pPr>
        <w:pStyle w:val="Heading1"/>
      </w:pPr>
      <w:r w:rsidRPr="000665B0">
        <w:t>The original ping message from the sender.</w:t>
      </w:r>
    </w:p>
    <w:p w14:paraId="7BDB05C5" w14:textId="4A9017DE" w:rsidR="00191754" w:rsidRPr="000665B0" w:rsidRDefault="00191754" w:rsidP="006D5A65">
      <w:pPr>
        <w:pStyle w:val="Heading1"/>
      </w:pPr>
      <w:r w:rsidRPr="000665B0">
        <w:t>A response ping from the recipient.</w:t>
      </w:r>
    </w:p>
    <w:p w14:paraId="55663069" w14:textId="3D829617" w:rsidR="00191754" w:rsidRPr="000665B0" w:rsidRDefault="00191754" w:rsidP="006D5A65">
      <w:pPr>
        <w:pStyle w:val="Heading1"/>
      </w:pPr>
      <w:r w:rsidRPr="000665B0">
        <w:t>A verification ping from the sender.</w:t>
      </w:r>
    </w:p>
    <w:p w14:paraId="194C0735" w14:textId="44C4F614" w:rsidR="00191754" w:rsidRPr="000665B0" w:rsidRDefault="00191754" w:rsidP="00191754">
      <w:r w:rsidRPr="000665B0">
        <w:t xml:space="preserve">The TSN Ping message textual display contains the detailed information about a TSN Ping </w:t>
      </w:r>
      <w:r w:rsidR="009C1341" w:rsidRPr="000665B0">
        <w:t>m</w:t>
      </w:r>
      <w:r w:rsidRPr="000665B0">
        <w:t>essage and is for informational purposes only. Each message contains the following fields:</w:t>
      </w:r>
    </w:p>
    <w:p w14:paraId="14BD4BAE" w14:textId="4FC0CB24" w:rsidR="00191754" w:rsidRPr="000665B0" w:rsidRDefault="00191754" w:rsidP="006D5A65">
      <w:pPr>
        <w:pStyle w:val="Heading1"/>
      </w:pPr>
      <w:r w:rsidRPr="000665B0">
        <w:lastRenderedPageBreak/>
        <w:t>Ping Type – (Ping, Ping Response, or Ping Verification).</w:t>
      </w:r>
      <w:r w:rsidR="009651B0">
        <w:t xml:space="preserve"> </w:t>
      </w:r>
    </w:p>
    <w:p w14:paraId="3D0D1A5E" w14:textId="28F0ACC6" w:rsidR="00191754" w:rsidRPr="000665B0" w:rsidRDefault="007C4A7D" w:rsidP="006D5A65">
      <w:pPr>
        <w:pStyle w:val="Heading1"/>
      </w:pPr>
      <w:r w:rsidRPr="000665B0">
        <w:t>Status (</w:t>
      </w:r>
      <w:r w:rsidR="002E584B" w:rsidRPr="000665B0">
        <w:t>Unl</w:t>
      </w:r>
      <w:r w:rsidRPr="000665B0">
        <w:t>abel</w:t>
      </w:r>
      <w:r w:rsidR="002E584B" w:rsidRPr="000665B0">
        <w:t>e</w:t>
      </w:r>
      <w:r w:rsidRPr="000665B0">
        <w:t xml:space="preserve">d) </w:t>
      </w:r>
      <w:r w:rsidR="00191754" w:rsidRPr="000665B0">
        <w:t>– Send/Receive state of the message.</w:t>
      </w:r>
    </w:p>
    <w:p w14:paraId="3AB95EEB" w14:textId="7E7A0B9C" w:rsidR="00191754" w:rsidRPr="000665B0" w:rsidRDefault="00191754" w:rsidP="006D5A65">
      <w:pPr>
        <w:pStyle w:val="Heading1"/>
      </w:pPr>
      <w:r w:rsidRPr="000665B0">
        <w:t xml:space="preserve">Sender – Location Code of the Sender of the TSN Ping </w:t>
      </w:r>
      <w:r w:rsidR="007C4A7D" w:rsidRPr="000665B0">
        <w:t>m</w:t>
      </w:r>
      <w:r w:rsidRPr="000665B0">
        <w:t>essage.</w:t>
      </w:r>
    </w:p>
    <w:p w14:paraId="747B1DE2" w14:textId="5C92D215" w:rsidR="00191754" w:rsidRPr="000665B0" w:rsidRDefault="00191754" w:rsidP="006D5A65">
      <w:pPr>
        <w:pStyle w:val="Heading1"/>
      </w:pPr>
      <w:r w:rsidRPr="000665B0">
        <w:t xml:space="preserve">Recipient – Location Code of the Recipient of the TSN Ping </w:t>
      </w:r>
      <w:r w:rsidR="002E584B" w:rsidRPr="000665B0">
        <w:t>Message</w:t>
      </w:r>
      <w:r w:rsidRPr="000665B0">
        <w:t>.</w:t>
      </w:r>
    </w:p>
    <w:p w14:paraId="32365001" w14:textId="1EAB4AAA" w:rsidR="00191754" w:rsidRPr="000665B0" w:rsidRDefault="00191754" w:rsidP="006D5A65">
      <w:pPr>
        <w:pStyle w:val="Heading1"/>
      </w:pPr>
      <w:r w:rsidRPr="000665B0">
        <w:t xml:space="preserve">Creation DTG – </w:t>
      </w:r>
      <w:r w:rsidR="007C4A7D" w:rsidRPr="000665B0">
        <w:t>Creation d</w:t>
      </w:r>
      <w:r w:rsidRPr="000665B0">
        <w:t xml:space="preserve">ate and </w:t>
      </w:r>
      <w:r w:rsidR="007C4A7D" w:rsidRPr="000665B0">
        <w:t>t</w:t>
      </w:r>
      <w:r w:rsidRPr="000665B0">
        <w:t xml:space="preserve">ime of the </w:t>
      </w:r>
      <w:r w:rsidR="007C4A7D" w:rsidRPr="000665B0">
        <w:t>Ping message.</w:t>
      </w:r>
      <w:r w:rsidRPr="000665B0">
        <w:t xml:space="preserve"> </w:t>
      </w:r>
    </w:p>
    <w:p w14:paraId="68A7F53A" w14:textId="48F40FC1" w:rsidR="00191754" w:rsidRPr="000665B0" w:rsidRDefault="00191754" w:rsidP="006D5A65">
      <w:pPr>
        <w:pStyle w:val="Heading1"/>
      </w:pPr>
      <w:r w:rsidRPr="000665B0">
        <w:t xml:space="preserve">Note – Optional </w:t>
      </w:r>
      <w:r w:rsidR="007C4A7D" w:rsidRPr="000665B0">
        <w:t>t</w:t>
      </w:r>
      <w:r w:rsidRPr="000665B0">
        <w:t xml:space="preserve">ext that was sent in the initial Ping </w:t>
      </w:r>
      <w:r w:rsidR="007C4A7D" w:rsidRPr="000665B0">
        <w:t>m</w:t>
      </w:r>
      <w:r w:rsidRPr="000665B0">
        <w:t>essage.</w:t>
      </w:r>
    </w:p>
    <w:p w14:paraId="4ED723B1" w14:textId="125D473F" w:rsidR="00C24449" w:rsidRPr="000665B0" w:rsidRDefault="00C24449" w:rsidP="00C24449">
      <w:pPr>
        <w:pStyle w:val="ListParagraph"/>
        <w:jc w:val="center"/>
      </w:pPr>
      <w:bookmarkStart w:id="6626" w:name="_5.38.3.1.5__Retarget"/>
      <w:bookmarkStart w:id="6627" w:name="_Retarget_Status_List"/>
      <w:bookmarkStart w:id="6628" w:name="_Toc289328910"/>
      <w:bookmarkEnd w:id="6622"/>
      <w:bookmarkEnd w:id="6624"/>
      <w:bookmarkEnd w:id="6626"/>
      <w:bookmarkEnd w:id="6627"/>
      <w:r w:rsidRPr="000665B0">
        <w:rPr>
          <w:noProof/>
        </w:rPr>
        <w:drawing>
          <wp:inline distT="0" distB="0" distL="0" distR="0" wp14:anchorId="2E8120F5" wp14:editId="60E37E03">
            <wp:extent cx="2286000" cy="1581912"/>
            <wp:effectExtent l="0" t="0" r="0" b="0"/>
            <wp:docPr id="152" name="Picture 152"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Graphical user interface, application&#10;&#10;AI-generated content may be incorrect."/>
                    <pic:cNvPicPr>
                      <a:picLocks noChangeAspect="1" noChangeArrowheads="1"/>
                    </pic:cNvPicPr>
                  </pic:nvPicPr>
                  <pic:blipFill>
                    <a:blip r:link="rId32" cstate="screen">
                      <a:extLst>
                        <a:ext uri="{28A0092B-C50C-407E-A947-70E740481C1C}">
                          <a14:useLocalDpi xmlns:a14="http://schemas.microsoft.com/office/drawing/2010/main"/>
                        </a:ext>
                      </a:extLst>
                    </a:blip>
                    <a:srcRect/>
                    <a:stretch>
                      <a:fillRect/>
                    </a:stretch>
                  </pic:blipFill>
                  <pic:spPr bwMode="auto">
                    <a:xfrm>
                      <a:off x="0" y="0"/>
                      <a:ext cx="2286000" cy="1581912"/>
                    </a:xfrm>
                    <a:prstGeom prst="rect">
                      <a:avLst/>
                    </a:prstGeom>
                    <a:noFill/>
                    <a:ln>
                      <a:noFill/>
                    </a:ln>
                  </pic:spPr>
                </pic:pic>
              </a:graphicData>
            </a:graphic>
          </wp:inline>
        </w:drawing>
      </w:r>
      <w:r>
        <w:t xml:space="preserve"> </w:t>
      </w:r>
      <w:r w:rsidRPr="000665B0">
        <w:rPr>
          <w:noProof/>
        </w:rPr>
        <w:drawing>
          <wp:inline distT="0" distB="0" distL="0" distR="0" wp14:anchorId="0D297BD2" wp14:editId="12662870">
            <wp:extent cx="2286000" cy="1581912"/>
            <wp:effectExtent l="0" t="0" r="0" b="0"/>
            <wp:docPr id="1997" name="Picture 1997"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 name="Picture 1997" descr="Graphical user interface, application&#10;&#10;AI-generated content may be incorrect."/>
                    <pic:cNvPicPr>
                      <a:picLocks noChangeAspect="1" noChangeArrowheads="1"/>
                    </pic:cNvPicPr>
                  </pic:nvPicPr>
                  <pic:blipFill>
                    <a:blip r:link="rId33" cstate="screen">
                      <a:extLst>
                        <a:ext uri="{28A0092B-C50C-407E-A947-70E740481C1C}">
                          <a14:useLocalDpi xmlns:a14="http://schemas.microsoft.com/office/drawing/2010/main"/>
                        </a:ext>
                      </a:extLst>
                    </a:blip>
                    <a:srcRect/>
                    <a:stretch>
                      <a:fillRect/>
                    </a:stretch>
                  </pic:blipFill>
                  <pic:spPr bwMode="auto">
                    <a:xfrm>
                      <a:off x="0" y="0"/>
                      <a:ext cx="2286000" cy="1581912"/>
                    </a:xfrm>
                    <a:prstGeom prst="rect">
                      <a:avLst/>
                    </a:prstGeom>
                    <a:noFill/>
                    <a:ln>
                      <a:noFill/>
                    </a:ln>
                  </pic:spPr>
                </pic:pic>
              </a:graphicData>
            </a:graphic>
          </wp:inline>
        </w:drawing>
      </w:r>
    </w:p>
    <w:p w14:paraId="734616B9" w14:textId="7B7869E5" w:rsidR="000A607E" w:rsidRPr="000665B0" w:rsidRDefault="000A607E" w:rsidP="0047200F">
      <w:pPr>
        <w:pStyle w:val="Heading5"/>
        <w:keepNext w:val="0"/>
      </w:pPr>
      <w:r w:rsidRPr="000665B0">
        <w:t>Retarget Status List View</w:t>
      </w:r>
      <w:bookmarkEnd w:id="6628"/>
    </w:p>
    <w:p w14:paraId="62E2AF17" w14:textId="77777777" w:rsidR="000A607E" w:rsidRPr="000665B0" w:rsidRDefault="000A607E" w:rsidP="000A607E">
      <w:r w:rsidRPr="000665B0">
        <w:t>Retarget list view shows all current retarget requests.</w:t>
      </w:r>
    </w:p>
    <w:p w14:paraId="2D63F72C" w14:textId="77777777" w:rsidR="000A607E" w:rsidRPr="000665B0" w:rsidRDefault="000A607E" w:rsidP="00474E49">
      <w:pPr>
        <w:keepNext/>
      </w:pPr>
      <w:r w:rsidRPr="000665B0">
        <w:t>The columns are:</w:t>
      </w:r>
    </w:p>
    <w:p w14:paraId="6F0E2973" w14:textId="77777777" w:rsidR="000A607E" w:rsidRPr="000665B0" w:rsidRDefault="000A607E" w:rsidP="006D5A65">
      <w:pPr>
        <w:pStyle w:val="Heading1"/>
      </w:pPr>
      <w:r w:rsidRPr="000665B0">
        <w:t>TMPR ID – TMPR ID if the request is a Retarget TMPR or Aimpoint Update TMPR.</w:t>
      </w:r>
    </w:p>
    <w:p w14:paraId="0D591226" w14:textId="473A8095" w:rsidR="000A607E" w:rsidRPr="000665B0" w:rsidRDefault="000A607E" w:rsidP="006D5A65">
      <w:pPr>
        <w:pStyle w:val="Heading1"/>
      </w:pPr>
      <w:r w:rsidRPr="000665B0">
        <w:t xml:space="preserve">MS# </w:t>
      </w:r>
      <w:r w:rsidR="00302A10" w:rsidRPr="000665B0">
        <w:t xml:space="preserve">– </w:t>
      </w:r>
      <w:r w:rsidRPr="000665B0">
        <w:t>Missile Sequence # of the missile that the request is for.</w:t>
      </w:r>
    </w:p>
    <w:p w14:paraId="2D19E88A" w14:textId="77777777" w:rsidR="002E1C7C" w:rsidRPr="000665B0" w:rsidRDefault="002E1C7C" w:rsidP="006D5A65">
      <w:pPr>
        <w:pStyle w:val="Heading1"/>
      </w:pPr>
      <w:r w:rsidRPr="000665B0">
        <w:t>Trigraph – Identify the FRU that is tasked with the missile.</w:t>
      </w:r>
    </w:p>
    <w:p w14:paraId="55FABA77" w14:textId="77777777" w:rsidR="000A607E" w:rsidRPr="000665B0" w:rsidRDefault="000A607E" w:rsidP="006D5A65">
      <w:pPr>
        <w:pStyle w:val="Heading1"/>
      </w:pPr>
      <w:r w:rsidRPr="000665B0">
        <w:t xml:space="preserve">Type – Type of Retarget and Aimpoint Update. This includes TPS and MDS (Aimpoint Update </w:t>
      </w:r>
      <w:r w:rsidR="00E05F5C" w:rsidRPr="000665B0">
        <w:t>[</w:t>
      </w:r>
      <w:r w:rsidRPr="000665B0">
        <w:t>AU</w:t>
      </w:r>
      <w:r w:rsidR="00E05F5C" w:rsidRPr="000665B0">
        <w:t>]</w:t>
      </w:r>
      <w:r w:rsidRPr="000665B0">
        <w:t xml:space="preserve"> MPR, Retarget </w:t>
      </w:r>
      <w:r w:rsidR="00E05F5C" w:rsidRPr="000665B0">
        <w:t>[</w:t>
      </w:r>
      <w:r w:rsidRPr="000665B0">
        <w:t>RTGT</w:t>
      </w:r>
      <w:r w:rsidR="00E05F5C" w:rsidRPr="000665B0">
        <w:t>]</w:t>
      </w:r>
      <w:r w:rsidRPr="000665B0">
        <w:t xml:space="preserve"> MPR, and MDS AU). </w:t>
      </w:r>
    </w:p>
    <w:p w14:paraId="0ED05A40" w14:textId="77777777" w:rsidR="000A607E" w:rsidRPr="000665B0" w:rsidRDefault="000A607E" w:rsidP="006D5A65">
      <w:pPr>
        <w:pStyle w:val="Heading1"/>
      </w:pPr>
      <w:r w:rsidRPr="000665B0">
        <w:t>Request DTG – DTG when retarget was requested.</w:t>
      </w:r>
    </w:p>
    <w:p w14:paraId="6A22F5C1" w14:textId="77777777" w:rsidR="000A607E" w:rsidRPr="000665B0" w:rsidRDefault="000A607E" w:rsidP="006D5A65">
      <w:pPr>
        <w:pStyle w:val="Heading1"/>
      </w:pPr>
      <w:r w:rsidRPr="000665B0">
        <w:t xml:space="preserve">Sec to BAP – Seconds to Branch Action Point. This is for TMPR requests only. When the request has the status of </w:t>
      </w:r>
      <w:r w:rsidR="00BD6F8F" w:rsidRPr="000665B0">
        <w:t xml:space="preserve">TMPR </w:t>
      </w:r>
      <w:r w:rsidRPr="000665B0">
        <w:lastRenderedPageBreak/>
        <w:t>Completed, this Sec to BAP will indicate how much time the operator has before the Retarget or Aimpoint Update expires.</w:t>
      </w:r>
    </w:p>
    <w:p w14:paraId="5A3AE945" w14:textId="77777777" w:rsidR="002E1C7C" w:rsidRPr="000665B0" w:rsidRDefault="002E1C7C" w:rsidP="006D5A65">
      <w:pPr>
        <w:pStyle w:val="Heading1"/>
      </w:pPr>
      <w:r w:rsidRPr="000665B0">
        <w:t>BAP – The Branch Action Point listed in TMPR or the Retarget Segment.</w:t>
      </w:r>
    </w:p>
    <w:p w14:paraId="2113D515" w14:textId="77777777" w:rsidR="000A607E" w:rsidRPr="000665B0" w:rsidRDefault="000A607E" w:rsidP="006D5A65">
      <w:pPr>
        <w:pStyle w:val="Heading1"/>
      </w:pPr>
      <w:r w:rsidRPr="000665B0">
        <w:t>BE – BE of the requested target for Retarget or Aimpoint Update.</w:t>
      </w:r>
    </w:p>
    <w:p w14:paraId="10E25861" w14:textId="77777777" w:rsidR="000A607E" w:rsidRPr="000665B0" w:rsidRDefault="000A607E" w:rsidP="006D5A65">
      <w:pPr>
        <w:pStyle w:val="Heading1"/>
      </w:pPr>
      <w:r w:rsidRPr="000665B0">
        <w:t>Aimpoint ID – Aimpoint ID of the requested target for Retarget or Aimpoint Update.</w:t>
      </w:r>
    </w:p>
    <w:p w14:paraId="56653B3B" w14:textId="77777777" w:rsidR="000A607E" w:rsidRPr="000665B0" w:rsidRDefault="000A607E" w:rsidP="006D5A65">
      <w:pPr>
        <w:pStyle w:val="Heading1"/>
      </w:pPr>
      <w:r w:rsidRPr="000665B0">
        <w:t>Status – Indicates the status of the request.</w:t>
      </w:r>
    </w:p>
    <w:p w14:paraId="049E36E8" w14:textId="77777777" w:rsidR="000A607E" w:rsidRPr="000665B0" w:rsidRDefault="000A607E" w:rsidP="0058307F">
      <w:pPr>
        <w:keepNext/>
        <w:rPr>
          <w:b/>
        </w:rPr>
      </w:pPr>
      <w:r w:rsidRPr="000665B0">
        <w:rPr>
          <w:b/>
        </w:rPr>
        <w:t>Context Menu:</w:t>
      </w:r>
    </w:p>
    <w:p w14:paraId="44AD080C" w14:textId="77777777" w:rsidR="000A607E" w:rsidRPr="000665B0" w:rsidRDefault="000A607E" w:rsidP="006D5A65">
      <w:pPr>
        <w:pStyle w:val="Heading1"/>
      </w:pPr>
      <w:r w:rsidRPr="000665B0">
        <w:t>Display</w:t>
      </w:r>
    </w:p>
    <w:p w14:paraId="3D1A7CD1" w14:textId="77777777" w:rsidR="000A607E" w:rsidRPr="000665B0" w:rsidRDefault="000A607E" w:rsidP="006D5A65">
      <w:pPr>
        <w:pStyle w:val="Heading2"/>
      </w:pPr>
      <w:r w:rsidRPr="000665B0">
        <w:t>Textually – Display the requested object textually.</w:t>
      </w:r>
    </w:p>
    <w:p w14:paraId="3C332A34" w14:textId="77777777" w:rsidR="000A607E" w:rsidRPr="000665B0" w:rsidRDefault="000A607E" w:rsidP="006D5A65">
      <w:pPr>
        <w:pStyle w:val="Heading2"/>
      </w:pPr>
      <w:r w:rsidRPr="000665B0">
        <w:t>Validation Result – Display MDS QA of the Retarget Segment or Aimpoint Update. MDS QA checks can be changed in the preferences.</w:t>
      </w:r>
    </w:p>
    <w:p w14:paraId="11E6E349" w14:textId="77777777" w:rsidR="000A607E" w:rsidRPr="000665B0" w:rsidRDefault="000A607E" w:rsidP="006D5A65">
      <w:pPr>
        <w:pStyle w:val="Heading2"/>
      </w:pPr>
      <w:r w:rsidRPr="000665B0">
        <w:t>In Excel – Displays list view in excel.</w:t>
      </w:r>
    </w:p>
    <w:p w14:paraId="61AA2B8D" w14:textId="77777777" w:rsidR="000A607E" w:rsidRPr="000665B0" w:rsidRDefault="000A607E" w:rsidP="006D5A65">
      <w:pPr>
        <w:pStyle w:val="Heading1"/>
      </w:pPr>
      <w:r w:rsidRPr="000665B0">
        <w:t>Send IMMM – This is for TMPR requests. It allows the operator to send the IMMM generated from the Retarget Segment.</w:t>
      </w:r>
    </w:p>
    <w:p w14:paraId="5855BDBA" w14:textId="77777777" w:rsidR="000A607E" w:rsidRPr="000665B0" w:rsidRDefault="000A607E" w:rsidP="006D5A65">
      <w:pPr>
        <w:pStyle w:val="Heading1"/>
      </w:pPr>
      <w:r w:rsidRPr="000665B0">
        <w:t>Cancel – Cancel the Retarget request.</w:t>
      </w:r>
    </w:p>
    <w:p w14:paraId="6C5C6BEC" w14:textId="77777777" w:rsidR="000A607E" w:rsidRPr="000665B0" w:rsidRDefault="000A607E" w:rsidP="006D5A65">
      <w:pPr>
        <w:pStyle w:val="Heading1"/>
      </w:pPr>
      <w:r w:rsidRPr="000665B0">
        <w:t>Preview Segment – Allow the operator to preview/un-preview the Retarget Segment. Previewing the Retarget Segment is only possible when the Retarget Segment is processed.</w:t>
      </w:r>
    </w:p>
    <w:p w14:paraId="72B960A9" w14:textId="394C5DC0" w:rsidR="00B07AAB" w:rsidRPr="000665B0" w:rsidRDefault="00B07AAB" w:rsidP="006D5A65">
      <w:pPr>
        <w:pStyle w:val="Heading1"/>
      </w:pPr>
      <w:r w:rsidRPr="000665B0">
        <w:t xml:space="preserve">Vertical Flight Profile – </w:t>
      </w:r>
      <w:r w:rsidR="000063CD" w:rsidRPr="000665B0">
        <w:t xml:space="preserve">Displays a vertical flight profile (VFP) (see </w:t>
      </w:r>
      <w:hyperlink w:anchor="_5.6.19__Display" w:history="1">
        <w:r w:rsidR="000063CD" w:rsidRPr="000665B0">
          <w:rPr>
            <w:rStyle w:val="Hyperlink"/>
            <w:szCs w:val="24"/>
          </w:rPr>
          <w:t>Section 5.</w:t>
        </w:r>
        <w:r w:rsidR="00C526BF" w:rsidRPr="000665B0">
          <w:rPr>
            <w:rStyle w:val="Hyperlink"/>
            <w:szCs w:val="24"/>
          </w:rPr>
          <w:t>5</w:t>
        </w:r>
        <w:r w:rsidR="000063CD" w:rsidRPr="000665B0">
          <w:rPr>
            <w:rStyle w:val="Hyperlink"/>
            <w:szCs w:val="24"/>
          </w:rPr>
          <w:t>.18</w:t>
        </w:r>
      </w:hyperlink>
      <w:r w:rsidR="000063CD" w:rsidRPr="000665B0">
        <w:t xml:space="preserve">) of a missile’s flight path over terrain in a two-dimensional graph layout, with altitude on the vertical axis and distance on the horizontal axis. In this case for a Retarget TMPR, the VFP display contains the mission segment vertical profile from the Retarget Branch Action Point to the Target, ACMS data from the originating TMPR (including the ACMS name and type), and the corresponding DTED information. See </w:t>
      </w:r>
      <w:hyperlink w:anchor="_5.38.3.1.7.1.2_How_to" w:history="1">
        <w:r w:rsidR="00985815" w:rsidRPr="000665B0">
          <w:rPr>
            <w:rStyle w:val="Hyperlink"/>
            <w:szCs w:val="24"/>
          </w:rPr>
          <w:t xml:space="preserve">Section </w:t>
        </w:r>
        <w:r w:rsidR="004231CC">
          <w:rPr>
            <w:rStyle w:val="Hyperlink"/>
            <w:szCs w:val="24"/>
          </w:rPr>
          <w:t>5.35</w:t>
        </w:r>
        <w:r w:rsidR="00985815" w:rsidRPr="000665B0">
          <w:rPr>
            <w:rStyle w:val="Hyperlink"/>
            <w:szCs w:val="24"/>
          </w:rPr>
          <w:t>.3.1.8</w:t>
        </w:r>
        <w:r w:rsidR="000063CD" w:rsidRPr="000665B0">
          <w:rPr>
            <w:rStyle w:val="Hyperlink"/>
            <w:szCs w:val="24"/>
          </w:rPr>
          <w:t>.1.2</w:t>
        </w:r>
      </w:hyperlink>
      <w:r w:rsidR="000063CD" w:rsidRPr="000665B0">
        <w:t>.</w:t>
      </w:r>
    </w:p>
    <w:p w14:paraId="155ACC18" w14:textId="653E3443" w:rsidR="003712C4" w:rsidRPr="000665B0" w:rsidRDefault="003712C4" w:rsidP="006D5A65">
      <w:pPr>
        <w:pStyle w:val="Heading1"/>
      </w:pPr>
      <w:r w:rsidRPr="000665B0">
        <w:t>Spotlight – Highlights every line item associated with the selected missile sequence number in every pane in the SMD, including the Gantt Chart and corresponding route on the</w:t>
      </w:r>
      <w:r w:rsidR="00294000" w:rsidRPr="000665B0">
        <w:t xml:space="preserve"> </w:t>
      </w:r>
      <w:r w:rsidRPr="000665B0">
        <w:t xml:space="preserve">Geo display. This allows the user to rapidly locate and correlate missile assignments for an individual FRU. The </w:t>
      </w:r>
      <w:r w:rsidRPr="000665B0">
        <w:lastRenderedPageBreak/>
        <w:t xml:space="preserve">spotlighted item is added to the Spotlighted Assignments pane (see </w:t>
      </w:r>
      <w:hyperlink w:anchor="_Spotlighted_Assignments_List" w:history="1">
        <w:r w:rsidR="00157B2F" w:rsidRPr="000665B0">
          <w:rPr>
            <w:rStyle w:val="Hyperlink"/>
          </w:rPr>
          <w:t xml:space="preserve">Section </w:t>
        </w:r>
        <w:r w:rsidR="004231CC">
          <w:rPr>
            <w:rStyle w:val="Hyperlink"/>
          </w:rPr>
          <w:t>5.35</w:t>
        </w:r>
        <w:r w:rsidR="00157B2F" w:rsidRPr="000665B0">
          <w:rPr>
            <w:rStyle w:val="Hyperlink"/>
          </w:rPr>
          <w:t>.3.1.11</w:t>
        </w:r>
      </w:hyperlink>
      <w:r w:rsidRPr="000665B0">
        <w:t>).</w:t>
      </w:r>
    </w:p>
    <w:p w14:paraId="30A53765" w14:textId="77777777" w:rsidR="000A607E" w:rsidRPr="000665B0" w:rsidRDefault="000A607E" w:rsidP="006D5A65">
      <w:pPr>
        <w:pStyle w:val="Heading1"/>
      </w:pPr>
      <w:r w:rsidRPr="000665B0">
        <w:t>Print – Prints current list view.</w:t>
      </w:r>
    </w:p>
    <w:p w14:paraId="4D4ADE81" w14:textId="3996A0AA" w:rsidR="000A607E" w:rsidRPr="000665B0" w:rsidRDefault="000A607E" w:rsidP="0047200F">
      <w:pPr>
        <w:pStyle w:val="Heading5"/>
        <w:keepNext w:val="0"/>
      </w:pPr>
      <w:bookmarkStart w:id="6629" w:name="_5.38.3.1.6__Options"/>
      <w:bookmarkStart w:id="6630" w:name="_Options_List_View"/>
      <w:bookmarkStart w:id="6631" w:name="_Toc289328911"/>
      <w:bookmarkStart w:id="6632" w:name="_Hlk75964843"/>
      <w:bookmarkEnd w:id="6629"/>
      <w:bookmarkEnd w:id="6630"/>
      <w:r w:rsidRPr="000665B0">
        <w:t>Options List View</w:t>
      </w:r>
      <w:bookmarkEnd w:id="6631"/>
    </w:p>
    <w:p w14:paraId="7730F2F0" w14:textId="226DC97B" w:rsidR="003B57CE" w:rsidRPr="000665B0" w:rsidRDefault="003B57CE" w:rsidP="009300F7">
      <w:bookmarkStart w:id="6633" w:name="_5.38.3.1.7__Target"/>
      <w:bookmarkEnd w:id="6633"/>
      <w:r w:rsidRPr="000665B0">
        <w:t>All options within the Strike Execution folder are listed in this list view. In the case of an MST engagement, a strike option will be automatically added to the SEF when the SEP is received by the SMD.</w:t>
      </w:r>
    </w:p>
    <w:p w14:paraId="770C6047" w14:textId="0BD5BC4D" w:rsidR="00594D31" w:rsidRPr="000665B0" w:rsidRDefault="00801716" w:rsidP="009300F7">
      <w:r w:rsidRPr="000665B0">
        <w:t xml:space="preserve">The </w:t>
      </w:r>
      <w:r w:rsidRPr="000665B0">
        <w:rPr>
          <w:b/>
          <w:i/>
        </w:rPr>
        <w:t>Options</w:t>
      </w:r>
      <w:r w:rsidRPr="000665B0">
        <w:t xml:space="preserve"> tab contains two sub-tabs: </w:t>
      </w:r>
      <w:r w:rsidRPr="000665B0">
        <w:rPr>
          <w:b/>
          <w:i/>
        </w:rPr>
        <w:t>Tasking Deviations</w:t>
      </w:r>
      <w:r w:rsidRPr="000665B0">
        <w:t xml:space="preserve"> and </w:t>
      </w:r>
      <w:r w:rsidRPr="000665B0">
        <w:rPr>
          <w:b/>
          <w:i/>
        </w:rPr>
        <w:t>Filter Messages</w:t>
      </w:r>
      <w:r w:rsidRPr="000665B0">
        <w:t xml:space="preserve">. Click the </w:t>
      </w:r>
      <w:r w:rsidRPr="000665B0">
        <w:rPr>
          <w:b/>
          <w:i/>
        </w:rPr>
        <w:t>Options</w:t>
      </w:r>
      <w:r w:rsidRPr="000665B0">
        <w:t xml:space="preserve"> tab and then either sub-tab to display a two-paned list view control. </w:t>
      </w:r>
      <w:r w:rsidR="00594D31" w:rsidRPr="000665B0">
        <w:t xml:space="preserve">The bottom list view is determined by selecting an option in the top pane, and then either the </w:t>
      </w:r>
      <w:r w:rsidR="00594D31" w:rsidRPr="000665B0">
        <w:rPr>
          <w:b/>
          <w:i/>
        </w:rPr>
        <w:t>Tasking Deviations</w:t>
      </w:r>
      <w:r w:rsidR="00594D31" w:rsidRPr="000665B0">
        <w:t xml:space="preserve"> or </w:t>
      </w:r>
      <w:r w:rsidR="00594D31" w:rsidRPr="000665B0">
        <w:rPr>
          <w:b/>
          <w:i/>
        </w:rPr>
        <w:t xml:space="preserve">Filter Messages </w:t>
      </w:r>
      <w:r w:rsidR="00594D31" w:rsidRPr="000665B0">
        <w:t xml:space="preserve">sub-tab. </w:t>
      </w:r>
    </w:p>
    <w:p w14:paraId="312818A9" w14:textId="1090E634" w:rsidR="00594D31" w:rsidRPr="000665B0" w:rsidRDefault="00594D31" w:rsidP="009300F7">
      <w:r w:rsidRPr="000665B0">
        <w:t xml:space="preserve">The </w:t>
      </w:r>
      <w:r w:rsidRPr="000665B0">
        <w:rPr>
          <w:b/>
        </w:rPr>
        <w:t>Tasking Deviations</w:t>
      </w:r>
      <w:r w:rsidRPr="000665B0">
        <w:t xml:space="preserve"> list view contains </w:t>
      </w:r>
      <w:r w:rsidR="009300F7" w:rsidRPr="000665B0">
        <w:t xml:space="preserve">all </w:t>
      </w:r>
      <w:r w:rsidRPr="000665B0">
        <w:t xml:space="preserve">of </w:t>
      </w:r>
      <w:r w:rsidR="009300F7" w:rsidRPr="000665B0">
        <w:t xml:space="preserve">the tasking deviations for the selected Option. From here you can edit the TDSN and/or deviation description, display two deviation differences, display in </w:t>
      </w:r>
      <w:r w:rsidR="005E40B1" w:rsidRPr="000665B0">
        <w:t>E</w:t>
      </w:r>
      <w:r w:rsidR="009300F7" w:rsidRPr="000665B0">
        <w:t>xcel, and print.</w:t>
      </w:r>
      <w:r w:rsidRPr="000665B0">
        <w:t xml:space="preserve"> See </w:t>
      </w:r>
      <w:hyperlink w:anchor="_Tasking_Deviations_Tab" w:history="1">
        <w:r w:rsidR="00A54F60" w:rsidRPr="000665B0">
          <w:rPr>
            <w:rStyle w:val="Hyperlink"/>
          </w:rPr>
          <w:t xml:space="preserve">Section </w:t>
        </w:r>
        <w:r w:rsidR="004231CC">
          <w:rPr>
            <w:rStyle w:val="Hyperlink"/>
          </w:rPr>
          <w:t>5.35</w:t>
        </w:r>
        <w:r w:rsidR="00A54F60" w:rsidRPr="000665B0">
          <w:rPr>
            <w:rStyle w:val="Hyperlink"/>
          </w:rPr>
          <w:t>.3.1.7</w:t>
        </w:r>
        <w:r w:rsidRPr="000665B0">
          <w:rPr>
            <w:rStyle w:val="Hyperlink"/>
          </w:rPr>
          <w:t>.1</w:t>
        </w:r>
      </w:hyperlink>
      <w:r w:rsidRPr="000665B0">
        <w:t>.</w:t>
      </w:r>
    </w:p>
    <w:p w14:paraId="4C46D946" w14:textId="54FB103E" w:rsidR="009300F7" w:rsidRPr="000665B0" w:rsidRDefault="00594D31" w:rsidP="009300F7">
      <w:r w:rsidRPr="000665B0">
        <w:t xml:space="preserve">The </w:t>
      </w:r>
      <w:r w:rsidRPr="000665B0">
        <w:rPr>
          <w:b/>
          <w:i/>
        </w:rPr>
        <w:t xml:space="preserve">Filter Messages </w:t>
      </w:r>
      <w:r w:rsidRPr="000665B0">
        <w:t>list view contains all of the ACA Filter Messages referenced to the Strike Option, including both those automatically generated by the system</w:t>
      </w:r>
      <w:r w:rsidR="00E87D59" w:rsidRPr="000665B0">
        <w:t xml:space="preserve"> (see </w:t>
      </w:r>
      <w:hyperlink w:anchor="_Execution_Tab" w:history="1">
        <w:r w:rsidR="009326FE" w:rsidRPr="000665B0">
          <w:rPr>
            <w:rStyle w:val="Hyperlink"/>
          </w:rPr>
          <w:t xml:space="preserve">Section </w:t>
        </w:r>
        <w:r w:rsidR="004231CC">
          <w:rPr>
            <w:rStyle w:val="Hyperlink"/>
          </w:rPr>
          <w:t>5.34</w:t>
        </w:r>
        <w:r w:rsidR="00E87D59" w:rsidRPr="000665B0">
          <w:rPr>
            <w:rStyle w:val="Hyperlink"/>
          </w:rPr>
          <w:t>.1.1.4.3</w:t>
        </w:r>
      </w:hyperlink>
      <w:r w:rsidR="00E87D59" w:rsidRPr="000665B0">
        <w:t>) or manually by the user</w:t>
      </w:r>
      <w:r w:rsidR="00180C81" w:rsidRPr="000665B0">
        <w:t xml:space="preserve"> (see </w:t>
      </w:r>
      <w:hyperlink w:anchor="_Send_an_ACA" w:history="1">
        <w:r w:rsidR="009326FE" w:rsidRPr="000665B0">
          <w:rPr>
            <w:rStyle w:val="Hyperlink"/>
          </w:rPr>
          <w:t xml:space="preserve">Section </w:t>
        </w:r>
        <w:r w:rsidR="004231CC">
          <w:rPr>
            <w:rStyle w:val="Hyperlink"/>
          </w:rPr>
          <w:t>5.34</w:t>
        </w:r>
        <w:r w:rsidR="00180C81" w:rsidRPr="000665B0">
          <w:rPr>
            <w:rStyle w:val="Hyperlink"/>
          </w:rPr>
          <w:t>.7.1.9.1</w:t>
        </w:r>
      </w:hyperlink>
      <w:r w:rsidR="00180C81" w:rsidRPr="000665B0">
        <w:t xml:space="preserve"> or</w:t>
      </w:r>
      <w:r w:rsidR="00DF2ADA" w:rsidRPr="000665B0">
        <w:t xml:space="preserve"> see</w:t>
      </w:r>
      <w:r w:rsidR="00180C81" w:rsidRPr="000665B0">
        <w:t xml:space="preserve"> </w:t>
      </w:r>
      <w:hyperlink w:anchor="_Send__an_1" w:history="1">
        <w:r w:rsidR="00A54F60" w:rsidRPr="000665B0">
          <w:rPr>
            <w:rStyle w:val="Hyperlink"/>
          </w:rPr>
          <w:t xml:space="preserve">Section </w:t>
        </w:r>
        <w:r w:rsidR="004231CC">
          <w:rPr>
            <w:rStyle w:val="Hyperlink"/>
          </w:rPr>
          <w:t>5.35</w:t>
        </w:r>
        <w:r w:rsidR="00A54F60" w:rsidRPr="000665B0">
          <w:rPr>
            <w:rStyle w:val="Hyperlink"/>
          </w:rPr>
          <w:t>.3.1.7</w:t>
        </w:r>
        <w:r w:rsidR="00180C81" w:rsidRPr="000665B0">
          <w:rPr>
            <w:rStyle w:val="Hyperlink"/>
          </w:rPr>
          <w:t>.2.1</w:t>
        </w:r>
      </w:hyperlink>
      <w:r w:rsidR="00180C81" w:rsidRPr="000665B0">
        <w:t>)</w:t>
      </w:r>
      <w:r w:rsidRPr="000665B0">
        <w:t xml:space="preserve">. Tasking information such as response status indicator, message </w:t>
      </w:r>
      <w:r w:rsidR="00DD7617" w:rsidRPr="000665B0">
        <w:t>ID</w:t>
      </w:r>
      <w:r w:rsidRPr="000665B0">
        <w:t xml:space="preserve">, use state, time of acknowledgement by the NSP, response status, and other information is displayed. From here you can display textually, in Excel, and print. See </w:t>
      </w:r>
      <w:hyperlink w:anchor="_Filter__Messages" w:history="1">
        <w:r w:rsidR="00A54F60" w:rsidRPr="000665B0">
          <w:rPr>
            <w:rStyle w:val="Hyperlink"/>
          </w:rPr>
          <w:t xml:space="preserve">Section </w:t>
        </w:r>
        <w:r w:rsidR="004231CC">
          <w:rPr>
            <w:rStyle w:val="Hyperlink"/>
          </w:rPr>
          <w:t>5.35</w:t>
        </w:r>
        <w:r w:rsidR="00A54F60" w:rsidRPr="000665B0">
          <w:rPr>
            <w:rStyle w:val="Hyperlink"/>
          </w:rPr>
          <w:t>.3.1.7</w:t>
        </w:r>
        <w:r w:rsidRPr="000665B0">
          <w:rPr>
            <w:rStyle w:val="Hyperlink"/>
          </w:rPr>
          <w:t>.2</w:t>
        </w:r>
      </w:hyperlink>
      <w:r w:rsidRPr="000665B0">
        <w:t>.</w:t>
      </w:r>
    </w:p>
    <w:p w14:paraId="51648B4D" w14:textId="6F630090" w:rsidR="00CF23F9" w:rsidRPr="000665B0" w:rsidRDefault="00B70979" w:rsidP="00F26AD4">
      <w:pPr>
        <w:spacing w:after="240"/>
        <w:jc w:val="center"/>
      </w:pPr>
      <w:r w:rsidRPr="00F67093">
        <w:rPr>
          <w:rFonts w:eastAsia="Times New Roman"/>
          <w:noProof/>
        </w:rPr>
        <w:drawing>
          <wp:inline distT="0" distB="0" distL="0" distR="0" wp14:anchorId="44197D23" wp14:editId="09D93E84">
            <wp:extent cx="4983480" cy="141732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417320"/>
                    </a:xfrm>
                    <a:prstGeom prst="rect">
                      <a:avLst/>
                    </a:prstGeom>
                  </pic:spPr>
                </pic:pic>
              </a:graphicData>
            </a:graphic>
          </wp:inline>
        </w:drawing>
      </w:r>
    </w:p>
    <w:p w14:paraId="6C9FD0D2" w14:textId="3728DB41" w:rsidR="00CF23F9" w:rsidRPr="000665B0" w:rsidRDefault="00D002B0" w:rsidP="00F26AD4">
      <w:pPr>
        <w:spacing w:after="240"/>
        <w:jc w:val="center"/>
      </w:pPr>
      <w:r w:rsidRPr="00F67093">
        <w:rPr>
          <w:rFonts w:eastAsia="Times New Roman"/>
          <w:noProof/>
        </w:rPr>
        <w:drawing>
          <wp:inline distT="0" distB="0" distL="0" distR="0" wp14:anchorId="35701F69" wp14:editId="5AD3C89C">
            <wp:extent cx="4983480" cy="1243584"/>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243584"/>
                    </a:xfrm>
                    <a:prstGeom prst="rect">
                      <a:avLst/>
                    </a:prstGeom>
                  </pic:spPr>
                </pic:pic>
              </a:graphicData>
            </a:graphic>
          </wp:inline>
        </w:drawing>
      </w:r>
    </w:p>
    <w:p w14:paraId="018DAD89" w14:textId="77777777" w:rsidR="009300F7" w:rsidRPr="00383F18" w:rsidRDefault="009300F7" w:rsidP="009300F7">
      <w:pPr>
        <w:rPr>
          <w:b/>
        </w:rPr>
      </w:pPr>
      <w:r w:rsidRPr="000665B0">
        <w:t>The Option list view columns are:</w:t>
      </w:r>
    </w:p>
    <w:p w14:paraId="7278363E" w14:textId="0EE7E1F6" w:rsidR="00383F18" w:rsidRPr="00383F18" w:rsidRDefault="00383F18" w:rsidP="006D5A65">
      <w:pPr>
        <w:pStyle w:val="Heading1"/>
      </w:pPr>
      <w:r w:rsidRPr="00383F18">
        <w:t>(Checkbox)</w:t>
      </w:r>
      <w:r>
        <w:t xml:space="preserve"> – </w:t>
      </w:r>
      <w:r w:rsidRPr="00D460DC">
        <w:t xml:space="preserve">The first column displays the checkbox that controls whether an option is loaded </w:t>
      </w:r>
      <w:r w:rsidR="00EC0411">
        <w:t xml:space="preserve">and displayed </w:t>
      </w:r>
      <w:r w:rsidRPr="00D460DC">
        <w:t xml:space="preserve">in </w:t>
      </w:r>
      <w:r w:rsidR="00967C92">
        <w:t xml:space="preserve">the </w:t>
      </w:r>
      <w:r w:rsidRPr="00D460DC">
        <w:t xml:space="preserve">SMD or not. </w:t>
      </w:r>
      <w:r w:rsidR="00E179F8">
        <w:t>The Send icon (</w:t>
      </w:r>
      <w:r w:rsidR="00E179F8" w:rsidRPr="00B82FB4">
        <w:rPr>
          <w:noProof/>
          <w:position w:val="-8"/>
        </w:rPr>
        <w:drawing>
          <wp:inline distT="0" distB="0" distL="0" distR="0" wp14:anchorId="6FCCBABB" wp14:editId="4F5F6A7D">
            <wp:extent cx="179070" cy="186055"/>
            <wp:effectExtent l="0" t="0" r="0" b="444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l="7204" t="8420" r="10132" b="5689"/>
                    <a:stretch/>
                  </pic:blipFill>
                  <pic:spPr bwMode="auto">
                    <a:xfrm>
                      <a:off x="0" y="0"/>
                      <a:ext cx="181727" cy="188816"/>
                    </a:xfrm>
                    <a:prstGeom prst="rect">
                      <a:avLst/>
                    </a:prstGeom>
                    <a:ln>
                      <a:noFill/>
                    </a:ln>
                    <a:extLst>
                      <a:ext uri="{53640926-AAD7-44D8-BBD7-CCE9431645EC}">
                        <a14:shadowObscured xmlns:a14="http://schemas.microsoft.com/office/drawing/2010/main"/>
                      </a:ext>
                    </a:extLst>
                  </pic:spPr>
                </pic:pic>
              </a:graphicData>
            </a:graphic>
          </wp:inline>
        </w:drawing>
      </w:r>
      <w:r w:rsidR="00E179F8">
        <w:t xml:space="preserve">) is also displayed in this column if </w:t>
      </w:r>
      <w:r w:rsidR="00E179F8">
        <w:lastRenderedPageBreak/>
        <w:t>there are revisions to the strike option that have not been sent.</w:t>
      </w:r>
    </w:p>
    <w:p w14:paraId="33471F7C" w14:textId="033A666E" w:rsidR="009300F7" w:rsidRPr="000665B0" w:rsidRDefault="009300F7" w:rsidP="006D5A65">
      <w:pPr>
        <w:pStyle w:val="Heading1"/>
      </w:pPr>
      <w:r w:rsidRPr="000665B0">
        <w:t>Option ID – The identifier of the Strike Option/Package.</w:t>
      </w:r>
    </w:p>
    <w:p w14:paraId="4A8FB329" w14:textId="77777777" w:rsidR="009300F7" w:rsidRPr="000665B0" w:rsidRDefault="009300F7" w:rsidP="006D5A65">
      <w:pPr>
        <w:pStyle w:val="Heading1"/>
      </w:pPr>
      <w:r w:rsidRPr="000665B0">
        <w:t xml:space="preserve">Title – </w:t>
      </w:r>
      <w:r w:rsidRPr="00C320C7">
        <w:t>T</w:t>
      </w:r>
      <w:r w:rsidRPr="000665B0">
        <w:t>he title description of the Strike Option/Package.</w:t>
      </w:r>
    </w:p>
    <w:p w14:paraId="05D90C72" w14:textId="77777777" w:rsidR="009300F7" w:rsidRPr="000665B0" w:rsidRDefault="009300F7" w:rsidP="006D5A65">
      <w:pPr>
        <w:pStyle w:val="Heading1"/>
      </w:pPr>
      <w:r w:rsidRPr="000665B0">
        <w:t>Use State – Current use state of the Strike Option/Package.</w:t>
      </w:r>
    </w:p>
    <w:p w14:paraId="72BF136E" w14:textId="77777777" w:rsidR="009300F7" w:rsidRPr="000665B0" w:rsidRDefault="009300F7" w:rsidP="006D5A65">
      <w:pPr>
        <w:pStyle w:val="Heading2"/>
      </w:pPr>
      <w:r w:rsidRPr="000665B0">
        <w:t>Launch Plan – Put the Strike in Launch Plan state.</w:t>
      </w:r>
    </w:p>
    <w:p w14:paraId="27594EA2" w14:textId="77777777" w:rsidR="009300F7" w:rsidRPr="000665B0" w:rsidRDefault="009300F7" w:rsidP="006D5A65">
      <w:pPr>
        <w:pStyle w:val="Heading2"/>
      </w:pPr>
      <w:r w:rsidRPr="000665B0">
        <w:t>Holdfire – Hold fire the Strike.</w:t>
      </w:r>
    </w:p>
    <w:p w14:paraId="282A7771" w14:textId="77777777" w:rsidR="009300F7" w:rsidRPr="000665B0" w:rsidRDefault="009300F7" w:rsidP="006D5A65">
      <w:pPr>
        <w:pStyle w:val="Heading2"/>
      </w:pPr>
      <w:r w:rsidRPr="000665B0">
        <w:t>Execute – Execute the Strike.</w:t>
      </w:r>
    </w:p>
    <w:p w14:paraId="0034F4AF" w14:textId="77777777" w:rsidR="009300F7" w:rsidRPr="000665B0" w:rsidRDefault="009300F7" w:rsidP="006D5A65">
      <w:pPr>
        <w:pStyle w:val="Heading2"/>
      </w:pPr>
      <w:r w:rsidRPr="000665B0">
        <w:t>Cancel – Cancel the Strike.</w:t>
      </w:r>
    </w:p>
    <w:p w14:paraId="0A9B8DC2" w14:textId="29E9AA3B" w:rsidR="009300F7" w:rsidRPr="000665B0" w:rsidRDefault="009300F7" w:rsidP="006D5A65">
      <w:pPr>
        <w:pStyle w:val="Heading2"/>
      </w:pPr>
      <w:r w:rsidRPr="000665B0">
        <w:t>Null – Initial state of Option. Not a TTWCS acceptable use state for Strike Package.</w:t>
      </w:r>
    </w:p>
    <w:p w14:paraId="0C99F717" w14:textId="77777777" w:rsidR="009300F7" w:rsidRPr="000665B0" w:rsidRDefault="009300F7" w:rsidP="006D5A65">
      <w:pPr>
        <w:pStyle w:val="Heading1"/>
      </w:pPr>
      <w:r w:rsidRPr="000665B0">
        <w:t>Execute State – Execute state of option.</w:t>
      </w:r>
    </w:p>
    <w:p w14:paraId="09A8E446" w14:textId="77777777" w:rsidR="009300F7" w:rsidRPr="000665B0" w:rsidRDefault="009300F7" w:rsidP="006D5A65">
      <w:pPr>
        <w:pStyle w:val="Heading2"/>
      </w:pPr>
      <w:r w:rsidRPr="000665B0">
        <w:t>Available – Option is available for execution.</w:t>
      </w:r>
    </w:p>
    <w:p w14:paraId="2F49FB1F" w14:textId="77777777" w:rsidR="009300F7" w:rsidRPr="000665B0" w:rsidRDefault="009300F7" w:rsidP="006D5A65">
      <w:pPr>
        <w:pStyle w:val="Heading2"/>
      </w:pPr>
      <w:r w:rsidRPr="000665B0">
        <w:t>Active – Option is currently executing.</w:t>
      </w:r>
    </w:p>
    <w:p w14:paraId="44338ED9" w14:textId="77777777" w:rsidR="009300F7" w:rsidRPr="000665B0" w:rsidRDefault="009300F7" w:rsidP="006D5A65">
      <w:pPr>
        <w:pStyle w:val="Heading2"/>
      </w:pPr>
      <w:r w:rsidRPr="000665B0">
        <w:t>Complete – Option has completed execution.</w:t>
      </w:r>
    </w:p>
    <w:p w14:paraId="08FBE713" w14:textId="77777777" w:rsidR="009300F7" w:rsidRPr="000665B0" w:rsidRDefault="009300F7" w:rsidP="006D5A65">
      <w:pPr>
        <w:pStyle w:val="Heading1"/>
      </w:pPr>
      <w:r w:rsidRPr="000665B0">
        <w:t>Type – Type of Option.</w:t>
      </w:r>
    </w:p>
    <w:p w14:paraId="42DC8397" w14:textId="77777777" w:rsidR="009300F7" w:rsidRPr="000665B0" w:rsidRDefault="009300F7" w:rsidP="006D5A65">
      <w:pPr>
        <w:pStyle w:val="Heading2"/>
      </w:pPr>
      <w:r w:rsidRPr="000665B0">
        <w:t xml:space="preserve">Package – </w:t>
      </w:r>
      <w:r w:rsidRPr="00C320C7">
        <w:t>T</w:t>
      </w:r>
      <w:r w:rsidRPr="000665B0">
        <w:t>he Strike is a Package type. The missile sequence numbers are unique to the originating Node. Distributable to TTWCS.</w:t>
      </w:r>
    </w:p>
    <w:p w14:paraId="20B120D5" w14:textId="1373AAFD" w:rsidR="009300F7" w:rsidRPr="000665B0" w:rsidRDefault="009300F7" w:rsidP="006D5A65">
      <w:pPr>
        <w:pStyle w:val="Heading2"/>
      </w:pPr>
      <w:r w:rsidRPr="000665B0">
        <w:t xml:space="preserve">Option – </w:t>
      </w:r>
      <w:r w:rsidRPr="00C320C7">
        <w:t>T</w:t>
      </w:r>
      <w:r w:rsidRPr="000665B0">
        <w:t xml:space="preserve">he Strike is an Option type. The missile sequence numbers may not be </w:t>
      </w:r>
      <w:r w:rsidR="00CA486B" w:rsidRPr="000665B0">
        <w:t>unique,</w:t>
      </w:r>
      <w:r w:rsidRPr="000665B0">
        <w:t xml:space="preserve"> and this Strike is not distributable to TTWCS.</w:t>
      </w:r>
    </w:p>
    <w:p w14:paraId="46455136" w14:textId="77777777" w:rsidR="009300F7" w:rsidRPr="000665B0" w:rsidRDefault="009300F7" w:rsidP="006D5A65">
      <w:pPr>
        <w:pStyle w:val="Heading2"/>
      </w:pPr>
      <w:r w:rsidRPr="000665B0">
        <w:t>Rehearse – The Strike is a rehearsal copy.</w:t>
      </w:r>
    </w:p>
    <w:p w14:paraId="6C49698B" w14:textId="64DD8ED7" w:rsidR="009300F7" w:rsidRPr="000665B0" w:rsidRDefault="009300F7" w:rsidP="006D5A65">
      <w:pPr>
        <w:pStyle w:val="Heading1"/>
      </w:pPr>
      <w:r w:rsidRPr="000665B0">
        <w:t>Rev – Current Strike Package revision. Revision only applies to Strike Packages and Strike Packages that have been distributed. Only changes to FRU’s tasking will affect the Strike Package Revision.</w:t>
      </w:r>
    </w:p>
    <w:p w14:paraId="5762ED09" w14:textId="39C9FEB0" w:rsidR="007E76D7" w:rsidRPr="000665B0" w:rsidRDefault="007E76D7" w:rsidP="006D5A65">
      <w:pPr>
        <w:pStyle w:val="Heading1"/>
      </w:pPr>
      <w:r w:rsidRPr="000665B0">
        <w:t xml:space="preserve">M Rev – </w:t>
      </w:r>
      <w:r w:rsidR="00604DCE" w:rsidRPr="000665B0">
        <w:t xml:space="preserve">Current Strike Package minor revision. It is a revision number indicating how many times the strike package has been modified prior to distribution to the </w:t>
      </w:r>
      <w:r w:rsidR="00130C8E" w:rsidRPr="000665B0">
        <w:t>Task O</w:t>
      </w:r>
      <w:r w:rsidR="00604DCE" w:rsidRPr="000665B0">
        <w:t xml:space="preserve">rganization. Once </w:t>
      </w:r>
      <w:r w:rsidR="00604DCE" w:rsidRPr="000665B0">
        <w:lastRenderedPageBreak/>
        <w:t>the strike package has been distributed the minor revision reverts back to zero again.</w:t>
      </w:r>
    </w:p>
    <w:p w14:paraId="092C4FB5" w14:textId="77777777" w:rsidR="009300F7" w:rsidRPr="000665B0" w:rsidRDefault="009300F7" w:rsidP="006D5A65">
      <w:pPr>
        <w:pStyle w:val="Heading1"/>
      </w:pPr>
      <w:r w:rsidRPr="000665B0">
        <w:t xml:space="preserve">Last Mod DTG – </w:t>
      </w:r>
      <w:r w:rsidRPr="00C320C7">
        <w:t>T</w:t>
      </w:r>
      <w:r w:rsidRPr="000665B0">
        <w:t>he DTG of the last modification to the Strike Option/Package.</w:t>
      </w:r>
    </w:p>
    <w:p w14:paraId="03FA99A4" w14:textId="77777777" w:rsidR="009300F7" w:rsidRPr="000665B0" w:rsidRDefault="009300F7" w:rsidP="006D5A65">
      <w:pPr>
        <w:pStyle w:val="Heading1"/>
      </w:pPr>
      <w:r w:rsidRPr="000665B0">
        <w:t xml:space="preserve">Last Mod By – </w:t>
      </w:r>
      <w:r w:rsidRPr="00C320C7">
        <w:t>T</w:t>
      </w:r>
      <w:r w:rsidRPr="000665B0">
        <w:t>he user name of the last person who modified the Strike Option/Package.</w:t>
      </w:r>
    </w:p>
    <w:p w14:paraId="3FE4D59C" w14:textId="77777777" w:rsidR="009300F7" w:rsidRPr="000665B0" w:rsidRDefault="009300F7" w:rsidP="006D5A65">
      <w:pPr>
        <w:pStyle w:val="Heading1"/>
      </w:pPr>
      <w:r w:rsidRPr="000665B0">
        <w:t>Owner – Owner node of this option.</w:t>
      </w:r>
    </w:p>
    <w:p w14:paraId="48E3A1E1" w14:textId="77777777" w:rsidR="009300F7" w:rsidRPr="000665B0" w:rsidRDefault="009300F7" w:rsidP="006D5A65">
      <w:pPr>
        <w:pStyle w:val="Heading1"/>
      </w:pPr>
      <w:r w:rsidRPr="000665B0">
        <w:t>CLASS LVL – The classification level of the Strike Option/Package.</w:t>
      </w:r>
    </w:p>
    <w:p w14:paraId="5FC61744" w14:textId="6D622A46" w:rsidR="009300F7" w:rsidRPr="000665B0" w:rsidRDefault="009300F7" w:rsidP="006D5A65">
      <w:pPr>
        <w:pStyle w:val="Heading1"/>
      </w:pPr>
      <w:r w:rsidRPr="000665B0">
        <w:t xml:space="preserve">Ad Hoc </w:t>
      </w:r>
      <w:r w:rsidR="00594D31" w:rsidRPr="000665B0">
        <w:t xml:space="preserve">Template </w:t>
      </w:r>
      <w:r w:rsidRPr="000665B0">
        <w:t xml:space="preserve">– </w:t>
      </w:r>
      <w:r w:rsidR="000B5A0B" w:rsidRPr="000665B0">
        <w:t>I</w:t>
      </w:r>
      <w:r w:rsidRPr="000665B0">
        <w:t>ndicates which option is the ad hoc one</w:t>
      </w:r>
      <w:r w:rsidR="005A12AE" w:rsidRPr="000665B0">
        <w:t>, being used for copying its information such as Crypto, TSN comms, and arsenal to the new option</w:t>
      </w:r>
      <w:r w:rsidR="007A78D4" w:rsidRPr="000665B0">
        <w:t>.</w:t>
      </w:r>
    </w:p>
    <w:p w14:paraId="2E39DFA0" w14:textId="1E811878" w:rsidR="00801716" w:rsidRPr="000665B0" w:rsidRDefault="00801716" w:rsidP="006D5A65">
      <w:pPr>
        <w:pStyle w:val="Heading1"/>
      </w:pPr>
      <w:r w:rsidRPr="000665B0">
        <w:t>Execution Time</w:t>
      </w:r>
      <w:r w:rsidR="00594D31" w:rsidRPr="000665B0">
        <w:t xml:space="preserve"> – Indicates the Strike Execution Time of the Strike Option, which represents the earliest time at which the Strike can begin.</w:t>
      </w:r>
    </w:p>
    <w:p w14:paraId="7D44D90F" w14:textId="58F8896B" w:rsidR="00801716" w:rsidRPr="000665B0" w:rsidRDefault="00801716" w:rsidP="006D5A65">
      <w:pPr>
        <w:pStyle w:val="Heading1"/>
      </w:pPr>
      <w:r w:rsidRPr="000665B0">
        <w:t>Earliest Launch</w:t>
      </w:r>
      <w:r w:rsidR="00594D31" w:rsidRPr="000665B0">
        <w:t xml:space="preserve"> –</w:t>
      </w:r>
      <w:r w:rsidR="000C52D5" w:rsidRPr="000665B0">
        <w:t xml:space="preserve"> Time of launch for missile(s) in the strike with the earliest launch.</w:t>
      </w:r>
    </w:p>
    <w:p w14:paraId="489244E5" w14:textId="741D8CB5" w:rsidR="00801716" w:rsidRPr="000665B0" w:rsidRDefault="00801716" w:rsidP="006D5A65">
      <w:pPr>
        <w:pStyle w:val="Heading1"/>
      </w:pPr>
      <w:r w:rsidRPr="000665B0">
        <w:t>Latest Target</w:t>
      </w:r>
      <w:r w:rsidR="00594D31" w:rsidRPr="000665B0">
        <w:t xml:space="preserve"> –</w:t>
      </w:r>
      <w:r w:rsidR="000C52D5" w:rsidRPr="000665B0">
        <w:t xml:space="preserve"> Time on target for missile(s) in the strike that have the last impact.</w:t>
      </w:r>
    </w:p>
    <w:p w14:paraId="5C0E696E" w14:textId="3E0ECC3D" w:rsidR="00801716" w:rsidRPr="000665B0" w:rsidRDefault="00801716" w:rsidP="006D5A65">
      <w:pPr>
        <w:pStyle w:val="Heading1"/>
      </w:pPr>
      <w:r w:rsidRPr="000665B0">
        <w:t>ACA Pending</w:t>
      </w:r>
      <w:r w:rsidR="00594D31" w:rsidRPr="000665B0">
        <w:t xml:space="preserve"> – An X indicates that the</w:t>
      </w:r>
      <w:r w:rsidR="00DD7617" w:rsidRPr="000665B0">
        <w:t>re are changes related to the ACA reservations that have occurred since the last transmitted ACA Filter Message to the NSP</w:t>
      </w:r>
      <w:r w:rsidR="00594D31" w:rsidRPr="000665B0">
        <w:t xml:space="preserve">. </w:t>
      </w:r>
      <w:r w:rsidR="00DD7617" w:rsidRPr="000665B0">
        <w:t>The X does not necessarily mean that a new Filter Message needs to be sent (i.e., not sending an updated Filter Message will not affect the strike).</w:t>
      </w:r>
      <w:r w:rsidR="00151225" w:rsidRPr="000665B0">
        <w:t xml:space="preserve"> See </w:t>
      </w:r>
      <w:hyperlink w:anchor="_ACA__Pending" w:history="1">
        <w:r w:rsidR="00A54F60" w:rsidRPr="000665B0">
          <w:rPr>
            <w:rStyle w:val="Hyperlink"/>
          </w:rPr>
          <w:t xml:space="preserve">Section </w:t>
        </w:r>
        <w:r w:rsidR="004231CC">
          <w:rPr>
            <w:rStyle w:val="Hyperlink"/>
          </w:rPr>
          <w:t>5.35</w:t>
        </w:r>
        <w:r w:rsidR="00A54F60" w:rsidRPr="000665B0">
          <w:rPr>
            <w:rStyle w:val="Hyperlink"/>
          </w:rPr>
          <w:t>.3.1.7</w:t>
        </w:r>
        <w:r w:rsidR="00151225" w:rsidRPr="000665B0">
          <w:rPr>
            <w:rStyle w:val="Hyperlink"/>
          </w:rPr>
          <w:t>.2.3</w:t>
        </w:r>
      </w:hyperlink>
      <w:r w:rsidR="00151225" w:rsidRPr="000665B0">
        <w:t xml:space="preserve"> for more information.</w:t>
      </w:r>
    </w:p>
    <w:p w14:paraId="7244BA36" w14:textId="6962BD81" w:rsidR="00F05AB4" w:rsidRPr="000665B0" w:rsidRDefault="00F05AB4" w:rsidP="006D5A65">
      <w:pPr>
        <w:pStyle w:val="Heading2"/>
      </w:pPr>
      <w:r w:rsidRPr="000665B0">
        <w:t xml:space="preserve">OWRs being received by the SMD could potentially cause </w:t>
      </w:r>
      <w:r w:rsidR="00151225" w:rsidRPr="000665B0">
        <w:t xml:space="preserve">ACA </w:t>
      </w:r>
      <w:r w:rsidRPr="000665B0">
        <w:t>missiles to shift outside of the strike window. In this case, an ACA Pending flag is set (an X appears in the column) even though the operator has not modified the option.</w:t>
      </w:r>
    </w:p>
    <w:p w14:paraId="702B1CC2" w14:textId="1EBF82DD" w:rsidR="00594D31" w:rsidRPr="000665B0" w:rsidRDefault="00594D31" w:rsidP="006D5A65">
      <w:pPr>
        <w:pStyle w:val="Heading1"/>
      </w:pPr>
      <w:r w:rsidRPr="000665B0">
        <w:t>Class – Tactical or Training.</w:t>
      </w:r>
    </w:p>
    <w:p w14:paraId="40FB305E" w14:textId="11718847" w:rsidR="00594D31" w:rsidRPr="000665B0" w:rsidRDefault="00594D31" w:rsidP="006D5A65">
      <w:pPr>
        <w:pStyle w:val="Heading1"/>
      </w:pPr>
      <w:r w:rsidRPr="000665B0">
        <w:t>LMO Tasking Start –</w:t>
      </w:r>
      <w:r w:rsidR="000C52D5" w:rsidRPr="000665B0">
        <w:t xml:space="preserve"> Earliest time for which LMO or ghost assignments can have as launch time.</w:t>
      </w:r>
    </w:p>
    <w:p w14:paraId="3BA83860" w14:textId="7EBA012E" w:rsidR="00594D31" w:rsidRPr="000665B0" w:rsidRDefault="00594D31" w:rsidP="006D5A65">
      <w:pPr>
        <w:pStyle w:val="Heading1"/>
      </w:pPr>
      <w:r w:rsidRPr="000665B0">
        <w:t>LMO Tasking End –</w:t>
      </w:r>
      <w:r w:rsidR="000C52D5" w:rsidRPr="000665B0">
        <w:t xml:space="preserve"> Latest time for which LMO or ghost assignments can have as time on target.</w:t>
      </w:r>
    </w:p>
    <w:p w14:paraId="7E5CF78B" w14:textId="77777777" w:rsidR="0021627A" w:rsidRPr="002D08A2" w:rsidRDefault="0021627A" w:rsidP="0021627A">
      <w:pPr>
        <w:rPr>
          <w:b/>
        </w:rPr>
      </w:pPr>
      <w:r w:rsidRPr="002D08A2">
        <w:rPr>
          <w:b/>
        </w:rPr>
        <w:t>Loading or Unloading an Option</w:t>
      </w:r>
    </w:p>
    <w:p w14:paraId="4F917ACB" w14:textId="0F266D1E" w:rsidR="0021627A" w:rsidRDefault="0021627A" w:rsidP="0021627A">
      <w:r>
        <w:t>The checkbox in front of the option indicates whether that option is loaded in the SMD or not. When a Land Attack strike is received, it is displayed in the SMD’s Options list view and loaded by default. When a Maritime strike SEP or a rogue MST H&amp;S is received, a strike is created based on data in the SEP or the MST H&amp;S</w:t>
      </w:r>
      <w:r w:rsidRPr="00DB5BC9">
        <w:t xml:space="preserve">. The </w:t>
      </w:r>
      <w:r w:rsidRPr="00DB5BC9">
        <w:rPr>
          <w:b/>
        </w:rPr>
        <w:t>Auto</w:t>
      </w:r>
      <w:r w:rsidRPr="00DB5BC9">
        <w:t xml:space="preserve"> </w:t>
      </w:r>
      <w:r w:rsidRPr="00DB5BC9">
        <w:rPr>
          <w:b/>
        </w:rPr>
        <w:t>Display Incoming Maritime Strikes</w:t>
      </w:r>
      <w:r w:rsidRPr="00DB5BC9">
        <w:t xml:space="preserve"> setting in Strike Preferences (see </w:t>
      </w:r>
      <w:hyperlink w:anchor="_Execution_Tab" w:history="1">
        <w:r w:rsidRPr="00DB5BC9">
          <w:rPr>
            <w:rStyle w:val="Hyperlink"/>
          </w:rPr>
          <w:t xml:space="preserve">Section </w:t>
        </w:r>
        <w:r w:rsidR="004231CC">
          <w:rPr>
            <w:rStyle w:val="Hyperlink"/>
          </w:rPr>
          <w:t>5.34</w:t>
        </w:r>
        <w:r w:rsidRPr="00DB5BC9">
          <w:rPr>
            <w:rStyle w:val="Hyperlink"/>
          </w:rPr>
          <w:t>.1.1.4.3</w:t>
        </w:r>
      </w:hyperlink>
      <w:r w:rsidRPr="00DB5BC9">
        <w:t>) determines whether the Maritime option is automatically loaded</w:t>
      </w:r>
      <w:r>
        <w:t xml:space="preserve"> and displayed in the SMD</w:t>
      </w:r>
      <w:r w:rsidRPr="00DB5BC9">
        <w:t>.</w:t>
      </w:r>
    </w:p>
    <w:p w14:paraId="1B209BC9" w14:textId="77777777" w:rsidR="0021627A" w:rsidRDefault="0021627A" w:rsidP="006D5A65">
      <w:pPr>
        <w:pStyle w:val="Heading1"/>
      </w:pPr>
      <w:r>
        <w:lastRenderedPageBreak/>
        <w:t>To Load or Unload an Option:</w:t>
      </w:r>
    </w:p>
    <w:p w14:paraId="4D051FEC" w14:textId="77777777" w:rsidR="0021627A" w:rsidRPr="00E20E67" w:rsidRDefault="0021627A" w:rsidP="006D5A65">
      <w:pPr>
        <w:pStyle w:val="Heading2"/>
      </w:pPr>
      <w:r w:rsidRPr="00E20E67">
        <w:t>Select the checkbox to load the option in the SMD. All data related to the option is displayed throughout the SMD (Geo, Gantt, Events, TSN Messages, Assume Control button, etc.).</w:t>
      </w:r>
    </w:p>
    <w:p w14:paraId="58A67986" w14:textId="77777777" w:rsidR="0021627A" w:rsidRDefault="0021627A" w:rsidP="006D5A65">
      <w:pPr>
        <w:pStyle w:val="Heading2"/>
      </w:pPr>
      <w:r>
        <w:t>Select the checkbox again (no checkmark) to unload the option in the SMD. When an option is not loaded, it is essentially hidden. All other panes in the SMD do not display any information associated with the option, although the option itself is still shown in the Options list view.</w:t>
      </w:r>
    </w:p>
    <w:p w14:paraId="0590ECE3" w14:textId="77777777" w:rsidR="0021627A" w:rsidRDefault="0021627A" w:rsidP="006D5A65">
      <w:pPr>
        <w:pStyle w:val="Heading1"/>
      </w:pPr>
      <w:r>
        <w:t xml:space="preserve">Effects of Loading or Unloading an Option: </w:t>
      </w:r>
    </w:p>
    <w:p w14:paraId="23DC86D3" w14:textId="0FA78D85" w:rsidR="0021627A" w:rsidRDefault="0021627A" w:rsidP="006D5A65">
      <w:pPr>
        <w:pStyle w:val="Heading2"/>
      </w:pPr>
      <w:r>
        <w:t>The execution of a strike is not affected by loading or unloading the option.</w:t>
      </w:r>
      <w:r w:rsidR="009651B0">
        <w:t xml:space="preserve"> </w:t>
      </w:r>
      <w:r>
        <w:t>The strike will continue to run even if it is unloaded.</w:t>
      </w:r>
    </w:p>
    <w:p w14:paraId="5E2D15A2" w14:textId="77777777" w:rsidR="0021627A" w:rsidRDefault="0021627A" w:rsidP="006D5A65">
      <w:pPr>
        <w:pStyle w:val="Heading2"/>
      </w:pPr>
      <w:r>
        <w:t xml:space="preserve">In the case of Maritime strikes, the associated target track will continue to be displayed in the </w:t>
      </w:r>
      <w:r w:rsidRPr="00B82FB4">
        <w:t>Geo</w:t>
      </w:r>
      <w:r>
        <w:t xml:space="preserve"> pane even when the option is unloaded.</w:t>
      </w:r>
    </w:p>
    <w:p w14:paraId="569FC216" w14:textId="1370DECD" w:rsidR="00243B56" w:rsidRDefault="00DE5F06">
      <w:r>
        <w:t xml:space="preserve">When a Land Attack SEF is received, and a Maritime SEF is active (See </w:t>
      </w:r>
      <w:hyperlink w:anchor="_5.38.3__Activate" w:history="1">
        <w:r w:rsidRPr="007D7372">
          <w:rPr>
            <w:rStyle w:val="Hyperlink"/>
          </w:rPr>
          <w:t xml:space="preserve">Section </w:t>
        </w:r>
        <w:r w:rsidR="004231CC">
          <w:rPr>
            <w:rStyle w:val="Hyperlink"/>
          </w:rPr>
          <w:t>5.35</w:t>
        </w:r>
        <w:r w:rsidRPr="007D7372">
          <w:rPr>
            <w:rStyle w:val="Hyperlink"/>
          </w:rPr>
          <w:t>.3</w:t>
        </w:r>
      </w:hyperlink>
      <w:r>
        <w:t>), a popup requests the user accept or reject adding the Land Attack strikes from the Land Attack SEF to the SMD. If the user accepts the Land Attack strike</w:t>
      </w:r>
      <w:r w:rsidR="00243B56">
        <w:t>s</w:t>
      </w:r>
      <w:r>
        <w:t>, the Land Attack strike</w:t>
      </w:r>
      <w:r w:rsidR="00243B56">
        <w:t>s</w:t>
      </w:r>
      <w:r>
        <w:t xml:space="preserve"> display on the SMD’s Options list view and load by default. If the user declines to add the Land Attack strikes, the Land Attack </w:t>
      </w:r>
      <w:r w:rsidR="00243B56">
        <w:t>s</w:t>
      </w:r>
      <w:r>
        <w:t xml:space="preserve">trikes are not added to </w:t>
      </w:r>
      <w:r w:rsidR="00513816">
        <w:t xml:space="preserve">the </w:t>
      </w:r>
      <w:r>
        <w:t>SMD but the user can manually add them later using the “Add SEP/Strike Package” context menu item.</w:t>
      </w:r>
    </w:p>
    <w:p w14:paraId="70D13E03" w14:textId="71DE8562" w:rsidR="00243B56" w:rsidRDefault="00243B56" w:rsidP="00C36B36">
      <w:pPr>
        <w:jc w:val="center"/>
      </w:pPr>
      <w:r>
        <w:rPr>
          <w:noProof/>
        </w:rPr>
        <w:drawing>
          <wp:inline distT="0" distB="0" distL="0" distR="0" wp14:anchorId="00B00108" wp14:editId="00989B96">
            <wp:extent cx="3200400" cy="1828800"/>
            <wp:effectExtent l="0" t="0" r="0" b="0"/>
            <wp:docPr id="1091096917"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96917" name="Picture 1" descr="Graphical user interface, text, application&#10;&#10;Description automatically generated"/>
                    <pic:cNvPicPr>
                      <a:picLocks noChangeAspect="1"/>
                    </pic:cNvPicPr>
                  </pic:nvPicPr>
                  <pic:blipFill>
                    <a:blip/>
                    <a:stretch>
                      <a:fillRect/>
                    </a:stretch>
                  </pic:blipFill>
                  <pic:spPr>
                    <a:xfrm>
                      <a:off x="0" y="0"/>
                      <a:ext cx="3200400" cy="1828800"/>
                    </a:xfrm>
                    <a:prstGeom prst="rect">
                      <a:avLst/>
                    </a:prstGeom>
                  </pic:spPr>
                </pic:pic>
              </a:graphicData>
            </a:graphic>
          </wp:inline>
        </w:drawing>
      </w:r>
    </w:p>
    <w:p w14:paraId="4D77866F" w14:textId="6B118F13" w:rsidR="00373DC0" w:rsidRDefault="00373DC0" w:rsidP="00116D9D">
      <w:r w:rsidRPr="000665B0">
        <w:t>The context menu allows</w:t>
      </w:r>
      <w:r w:rsidR="00116D9D">
        <w:t xml:space="preserve"> the following (detailed below)</w:t>
      </w:r>
      <w:r w:rsidRPr="000665B0">
        <w:t>:</w:t>
      </w:r>
    </w:p>
    <w:p w14:paraId="1BAAADC3" w14:textId="42EB7C2B" w:rsidR="00116D9D" w:rsidRPr="00116D9D" w:rsidRDefault="00116D9D" w:rsidP="006D5A65">
      <w:pPr>
        <w:pStyle w:val="Heading1"/>
      </w:pPr>
      <w:r w:rsidRPr="00116D9D">
        <w:lastRenderedPageBreak/>
        <w:t>Display</w:t>
      </w:r>
    </w:p>
    <w:p w14:paraId="5F07640C" w14:textId="757AD4B4" w:rsidR="00116D9D" w:rsidRPr="00116D9D" w:rsidRDefault="00116D9D" w:rsidP="006D5A65">
      <w:pPr>
        <w:pStyle w:val="Heading1"/>
      </w:pPr>
      <w:r w:rsidRPr="00116D9D">
        <w:t>Use State</w:t>
      </w:r>
    </w:p>
    <w:p w14:paraId="043EE492" w14:textId="44C5EF59" w:rsidR="00116D9D" w:rsidRDefault="00116D9D" w:rsidP="006D5A65">
      <w:pPr>
        <w:pStyle w:val="Heading1"/>
      </w:pPr>
      <w:r w:rsidRPr="00116D9D">
        <w:t>Set as Ad Hoc Template</w:t>
      </w:r>
    </w:p>
    <w:p w14:paraId="362D7802" w14:textId="76E69119" w:rsidR="00FE0D60" w:rsidRPr="00116D9D" w:rsidRDefault="00FE0D60" w:rsidP="006D5A65">
      <w:pPr>
        <w:pStyle w:val="Heading1"/>
      </w:pPr>
      <w:r>
        <w:t>Generate BDA Input Report</w:t>
      </w:r>
    </w:p>
    <w:p w14:paraId="787C0438" w14:textId="293B7F4F" w:rsidR="00116D9D" w:rsidRPr="00116D9D" w:rsidRDefault="00116D9D" w:rsidP="006D5A65">
      <w:pPr>
        <w:pStyle w:val="Heading1"/>
      </w:pPr>
      <w:r w:rsidRPr="00116D9D">
        <w:t>Shift Time</w:t>
      </w:r>
    </w:p>
    <w:p w14:paraId="6A8FBCAF" w14:textId="70C844EE" w:rsidR="00116D9D" w:rsidRPr="00116D9D" w:rsidRDefault="00116D9D" w:rsidP="006D5A65">
      <w:pPr>
        <w:pStyle w:val="Heading1"/>
      </w:pPr>
      <w:r w:rsidRPr="00116D9D">
        <w:t>Mark as Sent</w:t>
      </w:r>
    </w:p>
    <w:p w14:paraId="4E096123" w14:textId="5DC3DA69" w:rsidR="00116D9D" w:rsidRPr="00116D9D" w:rsidRDefault="00116D9D" w:rsidP="006D5A65">
      <w:pPr>
        <w:pStyle w:val="Heading1"/>
      </w:pPr>
      <w:r w:rsidRPr="00116D9D">
        <w:t>Mark as Unsent</w:t>
      </w:r>
    </w:p>
    <w:p w14:paraId="3D9EC822" w14:textId="7E526EDA" w:rsidR="00116D9D" w:rsidRPr="00116D9D" w:rsidRDefault="00116D9D" w:rsidP="006D5A65">
      <w:pPr>
        <w:pStyle w:val="Heading1"/>
      </w:pPr>
      <w:r w:rsidRPr="00116D9D">
        <w:t>Send</w:t>
      </w:r>
    </w:p>
    <w:p w14:paraId="3B73A418" w14:textId="017D11F6" w:rsidR="00116D9D" w:rsidRPr="00116D9D" w:rsidRDefault="00116D9D" w:rsidP="006D5A65">
      <w:pPr>
        <w:pStyle w:val="Heading1"/>
      </w:pPr>
      <w:r w:rsidRPr="00116D9D">
        <w:t>Add SEP</w:t>
      </w:r>
      <w:r w:rsidR="00DE5F06">
        <w:t>/Strike Package</w:t>
      </w:r>
    </w:p>
    <w:p w14:paraId="32905A65" w14:textId="32C482FD" w:rsidR="00116D9D" w:rsidRPr="00116D9D" w:rsidRDefault="00116D9D" w:rsidP="006D5A65">
      <w:pPr>
        <w:pStyle w:val="Heading1"/>
      </w:pPr>
      <w:r w:rsidRPr="00116D9D">
        <w:t>Print</w:t>
      </w:r>
    </w:p>
    <w:p w14:paraId="2E7D771D" w14:textId="77777777" w:rsidR="00594D31" w:rsidRPr="000665B0" w:rsidRDefault="00594D31" w:rsidP="00F26AD4">
      <w:pPr>
        <w:keepNext/>
        <w:rPr>
          <w:b/>
        </w:rPr>
      </w:pPr>
      <w:r w:rsidRPr="000665B0">
        <w:rPr>
          <w:b/>
        </w:rPr>
        <w:t>Display</w:t>
      </w:r>
    </w:p>
    <w:p w14:paraId="1E4F4F2E" w14:textId="77777777" w:rsidR="00594D31" w:rsidRPr="000665B0" w:rsidRDefault="00594D31" w:rsidP="006D5A65">
      <w:pPr>
        <w:pStyle w:val="Heading1"/>
      </w:pPr>
      <w:r w:rsidRPr="000665B0">
        <w:t>Textually – Displays the textual view of the selected item(s).</w:t>
      </w:r>
    </w:p>
    <w:p w14:paraId="639D61AA" w14:textId="77777777" w:rsidR="00594D31" w:rsidRPr="000665B0" w:rsidRDefault="00594D31" w:rsidP="006D5A65">
      <w:pPr>
        <w:pStyle w:val="Heading1"/>
      </w:pPr>
      <w:r w:rsidRPr="000665B0">
        <w:t>INDIGO – Displays the INDIGO for the selected items.</w:t>
      </w:r>
    </w:p>
    <w:p w14:paraId="27B89B50" w14:textId="77777777" w:rsidR="00594D31" w:rsidRPr="000665B0" w:rsidRDefault="00594D31" w:rsidP="006D5A65">
      <w:pPr>
        <w:pStyle w:val="Heading1"/>
      </w:pPr>
      <w:r w:rsidRPr="000665B0">
        <w:t>In Excel – Creates an Excel document containing the selected item’s information.</w:t>
      </w:r>
    </w:p>
    <w:p w14:paraId="7D6D3E64" w14:textId="122B2104" w:rsidR="009300F7" w:rsidRPr="000665B0" w:rsidRDefault="009300F7" w:rsidP="004E7DCC">
      <w:pPr>
        <w:keepNext/>
        <w:rPr>
          <w:b/>
        </w:rPr>
      </w:pPr>
      <w:r w:rsidRPr="000665B0">
        <w:rPr>
          <w:b/>
        </w:rPr>
        <w:t>Use State</w:t>
      </w:r>
    </w:p>
    <w:p w14:paraId="62FF7C03" w14:textId="4D01A54B" w:rsidR="009300F7" w:rsidRPr="000665B0" w:rsidRDefault="009300F7" w:rsidP="009300F7">
      <w:r w:rsidRPr="000665B0">
        <w:t xml:space="preserve">The state of a Strike Package is defined in the Use State. Use states are initially set in the Strike Option/Package prior to Strike Execution, but they can be changed during Strike Execution via the Option List View in the SMD. </w:t>
      </w:r>
      <w:r w:rsidR="00C4289B" w:rsidRPr="000665B0">
        <w:t xml:space="preserve">The </w:t>
      </w:r>
      <w:r w:rsidRPr="000665B0">
        <w:t>Strike revision number does not change if the only change to the package is in the Use State</w:t>
      </w:r>
      <w:r w:rsidR="00C4289B" w:rsidRPr="000665B0">
        <w:t>,</w:t>
      </w:r>
      <w:r w:rsidRPr="000665B0">
        <w:t xml:space="preserve"> and FRU assignments have not been modified. Whenever a Tactical Change LMO is created, the TTWCS ESP is sent with a Tactical Change Use State. Because a Tactical Change is a change to the TTWCS FRU’s tasking, the Strike Package Revision is changed. Note</w:t>
      </w:r>
      <w:r w:rsidR="00C4289B" w:rsidRPr="000665B0">
        <w:t xml:space="preserve"> that</w:t>
      </w:r>
      <w:r w:rsidRPr="000665B0">
        <w:t xml:space="preserve"> a Tactical Change Use State is not an </w:t>
      </w:r>
      <w:r w:rsidR="00C4289B" w:rsidRPr="000665B0">
        <w:t>operator-</w:t>
      </w:r>
      <w:r w:rsidRPr="000665B0">
        <w:t>selectable Use State in the SMD. It’s a Use State that is automatically set when send</w:t>
      </w:r>
      <w:r w:rsidR="00C4289B" w:rsidRPr="000665B0">
        <w:t>ing</w:t>
      </w:r>
      <w:r w:rsidRPr="000665B0">
        <w:t xml:space="preserve"> a Tactical Change LMO to TTWCS.</w:t>
      </w:r>
    </w:p>
    <w:p w14:paraId="7E455853" w14:textId="77777777" w:rsidR="00AB0C8A" w:rsidRPr="000665B0" w:rsidRDefault="00E07199" w:rsidP="00CB3E29">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lastRenderedPageBreak/>
        <w:t>Note:</w:t>
      </w:r>
      <w:r w:rsidRPr="000665B0">
        <w:rPr>
          <w:b/>
        </w:rPr>
        <w:br/>
      </w:r>
      <w:r w:rsidR="00AB0C8A" w:rsidRPr="000665B0">
        <w:rPr>
          <w:b/>
        </w:rPr>
        <w:t xml:space="preserve">When there is a pending change to an option (such as a Shift Time change), </w:t>
      </w:r>
      <w:r w:rsidRPr="000665B0">
        <w:rPr>
          <w:b/>
        </w:rPr>
        <w:t>the strike must be distributed</w:t>
      </w:r>
      <w:r w:rsidR="00AB0C8A" w:rsidRPr="000665B0">
        <w:rPr>
          <w:b/>
        </w:rPr>
        <w:t xml:space="preserve"> before changing the Use State. </w:t>
      </w:r>
      <w:r w:rsidR="008C7B56" w:rsidRPr="000665B0">
        <w:rPr>
          <w:b/>
        </w:rPr>
        <w:t>If the strike is not distributed</w:t>
      </w:r>
      <w:r w:rsidRPr="000665B0">
        <w:rPr>
          <w:b/>
        </w:rPr>
        <w:t>, the receiving system will process the Use Stat</w:t>
      </w:r>
      <w:r w:rsidR="008C7B56" w:rsidRPr="000665B0">
        <w:rPr>
          <w:b/>
        </w:rPr>
        <w:t>e</w:t>
      </w:r>
      <w:r w:rsidRPr="000665B0">
        <w:rPr>
          <w:b/>
        </w:rPr>
        <w:t xml:space="preserve"> change</w:t>
      </w:r>
      <w:r w:rsidR="008C7B56" w:rsidRPr="000665B0">
        <w:rPr>
          <w:b/>
        </w:rPr>
        <w:t>,</w:t>
      </w:r>
      <w:r w:rsidRPr="000665B0">
        <w:rPr>
          <w:b/>
        </w:rPr>
        <w:t xml:space="preserve"> but not the Revision change.</w:t>
      </w:r>
    </w:p>
    <w:p w14:paraId="455A752B" w14:textId="77777777" w:rsidR="00F91358" w:rsidRPr="000665B0" w:rsidRDefault="00F91358" w:rsidP="00CB3E29">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p>
    <w:p w14:paraId="3A4DC6C4" w14:textId="77777777" w:rsidR="008C7B56" w:rsidRPr="000665B0" w:rsidRDefault="008C7B56" w:rsidP="00CB3E29">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If the strike was not distributed prior to changing the Use State</w:t>
      </w:r>
      <w:r w:rsidR="00D84872" w:rsidRPr="000665B0">
        <w:rPr>
          <w:b/>
        </w:rPr>
        <w:t>, perform the following</w:t>
      </w:r>
      <w:r w:rsidRPr="000665B0">
        <w:rPr>
          <w:b/>
        </w:rPr>
        <w:t>:</w:t>
      </w:r>
      <w:r w:rsidRPr="000665B0">
        <w:rPr>
          <w:b/>
        </w:rPr>
        <w:br/>
        <w:t xml:space="preserve">1. Make a minor Revision change to the strike. For example, shift a missile time by one second and then shift it back to </w:t>
      </w:r>
      <w:r w:rsidR="00D84872" w:rsidRPr="000665B0">
        <w:rPr>
          <w:b/>
        </w:rPr>
        <w:t>its</w:t>
      </w:r>
      <w:r w:rsidRPr="000665B0">
        <w:rPr>
          <w:b/>
        </w:rPr>
        <w:t xml:space="preserve"> original time. This effectively does not change the strike, but </w:t>
      </w:r>
      <w:r w:rsidR="00D84872" w:rsidRPr="000665B0">
        <w:rPr>
          <w:b/>
        </w:rPr>
        <w:t xml:space="preserve">it </w:t>
      </w:r>
      <w:r w:rsidRPr="000665B0">
        <w:rPr>
          <w:b/>
        </w:rPr>
        <w:t>does increment the strike’s Revision.</w:t>
      </w:r>
      <w:r w:rsidRPr="000665B0">
        <w:rPr>
          <w:b/>
        </w:rPr>
        <w:br/>
        <w:t>2. Distribute the strike.</w:t>
      </w:r>
    </w:p>
    <w:p w14:paraId="54CF265E" w14:textId="77777777" w:rsidR="004C5BA6" w:rsidRPr="000665B0" w:rsidRDefault="009300F7" w:rsidP="00CC5CE9">
      <w:pPr>
        <w:keepNext/>
      </w:pPr>
      <w:r w:rsidRPr="000665B0">
        <w:t xml:space="preserve">To </w:t>
      </w:r>
      <w:r w:rsidR="004C5BA6" w:rsidRPr="000665B0">
        <w:t>Change the Use State:</w:t>
      </w:r>
    </w:p>
    <w:p w14:paraId="29FFC3D5" w14:textId="77777777" w:rsidR="004C5BA6" w:rsidRPr="000665B0" w:rsidRDefault="004C5BA6" w:rsidP="006D5A65">
      <w:pPr>
        <w:pStyle w:val="Heading1"/>
        <w:rPr>
          <w:rStyle w:val="number0205Char0"/>
        </w:rPr>
      </w:pPr>
      <w:r w:rsidRPr="000665B0">
        <w:rPr>
          <w:rStyle w:val="number0205Char0"/>
        </w:rPr>
        <w:t>Select the desired Option in the Option List View.</w:t>
      </w:r>
    </w:p>
    <w:p w14:paraId="54089A7E" w14:textId="5152D5CA" w:rsidR="004C5BA6" w:rsidRPr="000665B0" w:rsidRDefault="004C5BA6" w:rsidP="006D5A65">
      <w:pPr>
        <w:pStyle w:val="Heading1"/>
      </w:pPr>
      <w:r w:rsidRPr="000665B0">
        <w:rPr>
          <w:rStyle w:val="number0205Char0"/>
        </w:rPr>
        <w:t>Invoke the context menu (</w:t>
      </w:r>
      <w:r w:rsidR="00D71804" w:rsidRPr="000665B0">
        <w:rPr>
          <w:rStyle w:val="number0205Char0"/>
        </w:rPr>
        <w:t>right-click</w:t>
      </w:r>
      <w:r w:rsidRPr="000665B0">
        <w:rPr>
          <w:rStyle w:val="number0205Char0"/>
        </w:rPr>
        <w:t xml:space="preserve"> the mouse) and select </w:t>
      </w:r>
      <w:r w:rsidRPr="000665B0">
        <w:t xml:space="preserve">Use State </w:t>
      </w:r>
      <w:r w:rsidR="005A63D0" w:rsidRPr="000665B0">
        <w:sym w:font="Wingdings 3" w:char="F07D"/>
      </w:r>
      <w:r w:rsidRPr="000665B0">
        <w:t xml:space="preserve">. </w:t>
      </w:r>
      <w:r w:rsidR="005A63D0" w:rsidRPr="000665B0">
        <w:t>Select the desired Use State.</w:t>
      </w:r>
    </w:p>
    <w:p w14:paraId="69B6986F" w14:textId="77BA1EC7" w:rsidR="00B9276F" w:rsidRPr="000665B0" w:rsidRDefault="003862E5" w:rsidP="005A63D0">
      <w:pPr>
        <w:jc w:val="center"/>
      </w:pPr>
      <w:r w:rsidRPr="00F67093">
        <w:rPr>
          <w:rFonts w:eastAsia="Times New Roman"/>
          <w:noProof/>
        </w:rPr>
        <w:drawing>
          <wp:inline distT="0" distB="0" distL="0" distR="0" wp14:anchorId="5267BC91" wp14:editId="4A302DD1">
            <wp:extent cx="4665999" cy="2217420"/>
            <wp:effectExtent l="0" t="0" r="0" b="0"/>
            <wp:docPr id="2121" name="Picture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684632" cy="2226275"/>
                    </a:xfrm>
                    <a:prstGeom prst="rect">
                      <a:avLst/>
                    </a:prstGeom>
                  </pic:spPr>
                </pic:pic>
              </a:graphicData>
            </a:graphic>
          </wp:inline>
        </w:drawing>
      </w:r>
    </w:p>
    <w:p w14:paraId="6961095B" w14:textId="77777777" w:rsidR="005A63D0" w:rsidRPr="000665B0" w:rsidRDefault="005A63D0" w:rsidP="006D5A65">
      <w:pPr>
        <w:pStyle w:val="Heading1"/>
      </w:pPr>
      <w:r w:rsidRPr="000665B0">
        <w:t>Select Yes or No to confirm or cancel the Use State change.</w:t>
      </w:r>
    </w:p>
    <w:p w14:paraId="4AB0D408" w14:textId="2EE0CF63" w:rsidR="005A63D0" w:rsidRPr="000665B0" w:rsidRDefault="00594D31" w:rsidP="005A63D0">
      <w:pPr>
        <w:jc w:val="center"/>
      </w:pPr>
      <w:r w:rsidRPr="000665B0">
        <w:rPr>
          <w:noProof/>
        </w:rPr>
        <w:drawing>
          <wp:inline distT="0" distB="0" distL="0" distR="0" wp14:anchorId="25601CC3" wp14:editId="79AAA516">
            <wp:extent cx="2743200" cy="1069848"/>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069848"/>
                    </a:xfrm>
                    <a:prstGeom prst="rect">
                      <a:avLst/>
                    </a:prstGeom>
                  </pic:spPr>
                </pic:pic>
              </a:graphicData>
            </a:graphic>
          </wp:inline>
        </w:drawing>
      </w:r>
    </w:p>
    <w:p w14:paraId="7CC306ED" w14:textId="77777777" w:rsidR="009300F7" w:rsidRPr="000665B0" w:rsidRDefault="009300F7" w:rsidP="009300F7">
      <w:r w:rsidRPr="000665B0">
        <w:t xml:space="preserve">From Launch Plan state, an option can be changed to </w:t>
      </w:r>
      <w:r w:rsidRPr="000665B0">
        <w:rPr>
          <w:b/>
        </w:rPr>
        <w:t>Execute</w:t>
      </w:r>
      <w:r w:rsidRPr="000665B0">
        <w:t xml:space="preserve"> or </w:t>
      </w:r>
      <w:r w:rsidRPr="000665B0">
        <w:rPr>
          <w:b/>
        </w:rPr>
        <w:t>Cancel</w:t>
      </w:r>
      <w:r w:rsidRPr="000665B0">
        <w:t xml:space="preserve">. When initially loaded in Launch Plan state, all missiles are on hold. </w:t>
      </w:r>
    </w:p>
    <w:p w14:paraId="60EDB200" w14:textId="77777777" w:rsidR="009300F7" w:rsidRPr="000665B0" w:rsidRDefault="009300F7" w:rsidP="009300F7">
      <w:r w:rsidRPr="000665B0">
        <w:t xml:space="preserve">From Execute state, an option can be set to </w:t>
      </w:r>
      <w:r w:rsidRPr="000665B0">
        <w:rPr>
          <w:b/>
        </w:rPr>
        <w:t>Holdfire</w:t>
      </w:r>
      <w:r w:rsidRPr="000665B0">
        <w:t xml:space="preserve"> or </w:t>
      </w:r>
      <w:r w:rsidRPr="000665B0">
        <w:rPr>
          <w:b/>
        </w:rPr>
        <w:t>Cancel</w:t>
      </w:r>
      <w:r w:rsidRPr="000665B0">
        <w:t>. Holdfire puts all unlaunched missiles on hold. If the missiles have launched, then use state cannot be changed to Holdfire.</w:t>
      </w:r>
    </w:p>
    <w:p w14:paraId="3D7284D0" w14:textId="48917B67" w:rsidR="00CF3D77" w:rsidRPr="000665B0" w:rsidRDefault="009300F7" w:rsidP="00CF3D77">
      <w:pPr>
        <w:rPr>
          <w:b/>
        </w:rPr>
      </w:pPr>
      <w:r w:rsidRPr="000665B0">
        <w:t xml:space="preserve">From Holdfire, an option can either be </w:t>
      </w:r>
      <w:r w:rsidRPr="000665B0">
        <w:rPr>
          <w:b/>
        </w:rPr>
        <w:t>Execute</w:t>
      </w:r>
      <w:r w:rsidRPr="000665B0">
        <w:t xml:space="preserve"> or </w:t>
      </w:r>
      <w:r w:rsidRPr="000665B0">
        <w:rPr>
          <w:b/>
        </w:rPr>
        <w:t>Cancel</w:t>
      </w:r>
      <w:r w:rsidRPr="000665B0">
        <w:t xml:space="preserve">. Once in Cancel state, an option cannot change to any other state. </w:t>
      </w:r>
    </w:p>
    <w:p w14:paraId="60AA082F" w14:textId="6994B897" w:rsidR="009300F7" w:rsidRPr="000665B0" w:rsidRDefault="009C1E98" w:rsidP="00CF3D77">
      <w:r w:rsidRPr="000665B0">
        <w:rPr>
          <w:b/>
        </w:rPr>
        <w:t xml:space="preserve">Set as </w:t>
      </w:r>
      <w:r w:rsidR="009300F7" w:rsidRPr="000665B0">
        <w:rPr>
          <w:b/>
        </w:rPr>
        <w:t xml:space="preserve">Ad Hoc </w:t>
      </w:r>
      <w:r w:rsidR="00801716" w:rsidRPr="000665B0">
        <w:rPr>
          <w:b/>
        </w:rPr>
        <w:t>Template</w:t>
      </w:r>
    </w:p>
    <w:p w14:paraId="29C5406E" w14:textId="19351799" w:rsidR="009300F7" w:rsidRPr="000665B0" w:rsidRDefault="009300F7" w:rsidP="00BB2E5D">
      <w:r w:rsidRPr="000665B0">
        <w:lastRenderedPageBreak/>
        <w:t xml:space="preserve">The SMD gives the operator the ability to create new options during execution. The Ad Hoc </w:t>
      </w:r>
      <w:r w:rsidR="000C52D5" w:rsidRPr="000665B0">
        <w:t xml:space="preserve">Template </w:t>
      </w:r>
      <w:r w:rsidRPr="000665B0">
        <w:t xml:space="preserve">is a template used when creating new options from targets. Once a new option is set to a package and is added into the current existing execution, it </w:t>
      </w:r>
      <w:r w:rsidR="00380661" w:rsidRPr="000665B0">
        <w:t>is listed</w:t>
      </w:r>
      <w:r w:rsidRPr="000665B0">
        <w:t xml:space="preserve"> in the Option List View. New options are created based on an ad hoc </w:t>
      </w:r>
      <w:r w:rsidR="000C52D5" w:rsidRPr="000665B0">
        <w:t>template</w:t>
      </w:r>
      <w:r w:rsidRPr="000665B0">
        <w:t xml:space="preserve">. An ad hoc </w:t>
      </w:r>
      <w:r w:rsidR="000C52D5" w:rsidRPr="000665B0">
        <w:t xml:space="preserve">template </w:t>
      </w:r>
      <w:r w:rsidRPr="000665B0">
        <w:t xml:space="preserve">is an option that is used to create new options. Its arsenal, comms parameters, and crypto keys are copied into the new option. There is always one and only one ad hoc </w:t>
      </w:r>
      <w:r w:rsidR="000C52D5" w:rsidRPr="000665B0">
        <w:t>template</w:t>
      </w:r>
      <w:r w:rsidRPr="000665B0">
        <w:t xml:space="preserve">. The ad hoc </w:t>
      </w:r>
      <w:r w:rsidR="000C52D5" w:rsidRPr="000665B0">
        <w:t xml:space="preserve">template </w:t>
      </w:r>
      <w:r w:rsidRPr="000665B0">
        <w:t xml:space="preserve">can be changed by selecting a different option from the Option List View and clicking on the </w:t>
      </w:r>
      <w:r w:rsidRPr="000665B0">
        <w:rPr>
          <w:b/>
        </w:rPr>
        <w:t xml:space="preserve">Set as Ad Hoc </w:t>
      </w:r>
      <w:r w:rsidR="00F91F23" w:rsidRPr="000665B0">
        <w:rPr>
          <w:b/>
        </w:rPr>
        <w:t>Template</w:t>
      </w:r>
      <w:r w:rsidR="00F91F23" w:rsidRPr="000665B0">
        <w:t xml:space="preserve"> </w:t>
      </w:r>
      <w:r w:rsidRPr="000665B0">
        <w:t>menu item. The actual creati</w:t>
      </w:r>
      <w:r w:rsidR="005A12AE" w:rsidRPr="000665B0">
        <w:t>on</w:t>
      </w:r>
      <w:r w:rsidRPr="000665B0">
        <w:t xml:space="preserve"> of a new option is done in the Target List View by </w:t>
      </w:r>
      <w:r w:rsidR="00D71804" w:rsidRPr="000665B0">
        <w:t>right-click</w:t>
      </w:r>
      <w:r w:rsidRPr="000665B0">
        <w:t xml:space="preserve">ing on a target and selecting the </w:t>
      </w:r>
      <w:r w:rsidRPr="000665B0">
        <w:rPr>
          <w:b/>
        </w:rPr>
        <w:t>Create Option</w:t>
      </w:r>
      <w:r w:rsidRPr="000665B0">
        <w:t xml:space="preserve"> menu item. The new option will be created based on the </w:t>
      </w:r>
      <w:r w:rsidR="00380661" w:rsidRPr="000665B0">
        <w:t xml:space="preserve">current </w:t>
      </w:r>
      <w:r w:rsidRPr="000665B0">
        <w:t xml:space="preserve">ad hoc </w:t>
      </w:r>
      <w:r w:rsidR="000C52D5" w:rsidRPr="000665B0">
        <w:t>template</w:t>
      </w:r>
      <w:r w:rsidRPr="000665B0">
        <w:t>.</w:t>
      </w:r>
    </w:p>
    <w:p w14:paraId="4AB85E08" w14:textId="1037FCC2" w:rsidR="009300F7" w:rsidRPr="000665B0" w:rsidRDefault="009A1FDF" w:rsidP="001C443B">
      <w:pPr>
        <w:keepNext/>
        <w:keepLines/>
        <w:pBdr>
          <w:top w:val="single" w:sz="12" w:space="1" w:color="auto"/>
          <w:left w:val="single" w:sz="12" w:space="4" w:color="auto"/>
          <w:bottom w:val="single" w:sz="12" w:space="1" w:color="auto"/>
          <w:right w:val="single" w:sz="12" w:space="4" w:color="auto"/>
        </w:pBdr>
        <w:shd w:val="clear" w:color="auto" w:fill="F3F3F3"/>
        <w:rPr>
          <w:b/>
        </w:rPr>
      </w:pPr>
      <w:r w:rsidRPr="000665B0">
        <w:rPr>
          <w:rFonts w:ascii="Arial" w:hAnsi="Arial" w:cs="Arial"/>
          <w:b/>
          <w:noProof/>
          <w:sz w:val="20"/>
        </w:rPr>
        <w:drawing>
          <wp:inline distT="0" distB="0" distL="0" distR="0" wp14:anchorId="490C21F9" wp14:editId="4A4383AB">
            <wp:extent cx="352425" cy="381000"/>
            <wp:effectExtent l="0" t="0" r="9525" b="0"/>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9300F7" w:rsidRPr="000665B0">
        <w:rPr>
          <w:b/>
        </w:rPr>
        <w:t>TIP: When an ad hoc option is added to the SMD it needs to be distributed. When the distribution occurs from the SMD, one DDO is created that contains the ad hoc option and another one with the strike execution folder. If the receiver has auto processing turned on they will receive the DDOs and process them. Sometimes the strike execution folder DDO is processed before the strike option DDO. When this happens, the option will not be added to the SMD as it does not yet exist in the receiver’s system. There are multiple workarounds for this problem</w:t>
      </w:r>
      <w:r w:rsidR="00277A30" w:rsidRPr="000665B0">
        <w:rPr>
          <w:b/>
        </w:rPr>
        <w:t>, such as</w:t>
      </w:r>
      <w:r w:rsidR="009300F7" w:rsidRPr="000665B0">
        <w:rPr>
          <w:b/>
        </w:rPr>
        <w:t xml:space="preserve">: </w:t>
      </w:r>
    </w:p>
    <w:p w14:paraId="1DFC4422" w14:textId="77777777" w:rsidR="009300F7" w:rsidRPr="000665B0" w:rsidRDefault="009300F7" w:rsidP="001C443B">
      <w:pPr>
        <w:keepNext/>
        <w:keepLines/>
        <w:pBdr>
          <w:top w:val="single" w:sz="12" w:space="1" w:color="auto"/>
          <w:left w:val="single" w:sz="12" w:space="4" w:color="auto"/>
          <w:bottom w:val="single" w:sz="12" w:space="1" w:color="auto"/>
          <w:right w:val="single" w:sz="12" w:space="4" w:color="auto"/>
        </w:pBdr>
        <w:shd w:val="clear" w:color="auto" w:fill="F3F3F3"/>
        <w:rPr>
          <w:b/>
        </w:rPr>
      </w:pPr>
      <w:r w:rsidRPr="000665B0">
        <w:rPr>
          <w:b/>
        </w:rPr>
        <w:t>1. Close the SMD and bring it back up.</w:t>
      </w:r>
    </w:p>
    <w:p w14:paraId="71CE7D0D" w14:textId="77777777" w:rsidR="009300F7" w:rsidRPr="000665B0" w:rsidRDefault="009300F7" w:rsidP="001C443B">
      <w:pPr>
        <w:keepNext/>
        <w:keepLines/>
        <w:pBdr>
          <w:top w:val="single" w:sz="12" w:space="1" w:color="auto"/>
          <w:left w:val="single" w:sz="12" w:space="4" w:color="auto"/>
          <w:bottom w:val="single" w:sz="12" w:space="1" w:color="auto"/>
          <w:right w:val="single" w:sz="12" w:space="4" w:color="auto"/>
        </w:pBdr>
        <w:shd w:val="clear" w:color="auto" w:fill="F3F3F3"/>
        <w:rPr>
          <w:b/>
        </w:rPr>
      </w:pPr>
      <w:r w:rsidRPr="000665B0">
        <w:rPr>
          <w:b/>
        </w:rPr>
        <w:t>2. Have the operator who created the ad hoc option re-send the execution folder.</w:t>
      </w:r>
    </w:p>
    <w:p w14:paraId="19A05E7A" w14:textId="77777777" w:rsidR="009300F7" w:rsidRPr="000665B0" w:rsidRDefault="009300F7" w:rsidP="001C443B">
      <w:pPr>
        <w:keepNext/>
        <w:keepLines/>
        <w:pBdr>
          <w:top w:val="single" w:sz="12" w:space="1" w:color="auto"/>
          <w:left w:val="single" w:sz="12" w:space="4" w:color="auto"/>
          <w:bottom w:val="single" w:sz="12" w:space="1" w:color="auto"/>
          <w:right w:val="single" w:sz="12" w:space="4" w:color="auto"/>
        </w:pBdr>
        <w:shd w:val="clear" w:color="auto" w:fill="F3F3F3"/>
        <w:spacing w:after="0"/>
        <w:rPr>
          <w:b/>
        </w:rPr>
      </w:pPr>
      <w:r w:rsidRPr="000665B0">
        <w:rPr>
          <w:b/>
        </w:rPr>
        <w:t>3. Turn off auto processing of the DDO’s strike execution folders. Only process the strike execution folder DDO after the ad hoc option has been processed.</w:t>
      </w:r>
    </w:p>
    <w:p w14:paraId="12B78E34" w14:textId="77777777" w:rsidR="00924448" w:rsidRPr="000665B0" w:rsidRDefault="00924448" w:rsidP="00924448">
      <w:pPr>
        <w:spacing w:after="0"/>
        <w:rPr>
          <w:rStyle w:val="Hyperlink"/>
          <w:color w:val="auto"/>
          <w:u w:val="none"/>
        </w:rPr>
      </w:pPr>
    </w:p>
    <w:p w14:paraId="26D72AC6" w14:textId="77777777" w:rsidR="00924448" w:rsidRPr="000665B0" w:rsidRDefault="00924448" w:rsidP="00D06C3E">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line="240" w:lineRule="auto"/>
        <w:jc w:val="center"/>
        <w:rPr>
          <w:b/>
          <w:bCs/>
        </w:rPr>
      </w:pPr>
      <w:r w:rsidRPr="000665B0">
        <w:rPr>
          <w:b/>
          <w:bCs/>
        </w:rPr>
        <w:t>Note:</w:t>
      </w:r>
      <w:r w:rsidRPr="000665B0">
        <w:rPr>
          <w:b/>
          <w:bCs/>
        </w:rPr>
        <w:br/>
        <w:t>Do not send a Tactical SEF rehearsal copy to TTWCS nodes.</w:t>
      </w:r>
    </w:p>
    <w:p w14:paraId="40A3BDE2" w14:textId="7833AC46" w:rsidR="00F02FA5" w:rsidRPr="00C36B36" w:rsidRDefault="00F02FA5" w:rsidP="00F02FA5">
      <w:pPr>
        <w:rPr>
          <w:b/>
          <w:color w:val="000000" w:themeColor="text1"/>
        </w:rPr>
      </w:pPr>
      <w:r w:rsidRPr="00C36B36">
        <w:rPr>
          <w:b/>
          <w:color w:val="000000" w:themeColor="text1"/>
        </w:rPr>
        <w:t>Generate BDA Input Report</w:t>
      </w:r>
    </w:p>
    <w:p w14:paraId="2A48351A" w14:textId="2748F2D6" w:rsidR="00C92934" w:rsidRPr="00D06C3E" w:rsidRDefault="00F02FA5" w:rsidP="00D06C3E">
      <w:pPr>
        <w:rPr>
          <w:bCs/>
          <w:color w:val="000000" w:themeColor="text1"/>
        </w:rPr>
      </w:pPr>
      <w:r w:rsidRPr="00C36B36">
        <w:rPr>
          <w:bCs/>
          <w:color w:val="000000" w:themeColor="text1"/>
        </w:rPr>
        <w:t>The operator can create a Battle Damage Assessment report of the targets from the selected strike options. All selected strike options must be TLAM for the menu item to be enabled. This report is saved to a user-specified location that can be accessed via Microsoft Excel. Ensure that the report has finished generating before initiating any other reports.</w:t>
      </w:r>
      <w:r w:rsidR="0038181F">
        <w:rPr>
          <w:bCs/>
          <w:color w:val="000000" w:themeColor="text1"/>
        </w:rPr>
        <w:t xml:space="preserve"> For more information on BDA reports, see </w:t>
      </w:r>
      <w:hyperlink w:anchor="Appendix_B" w:history="1">
        <w:r w:rsidR="0038181F" w:rsidRPr="0038181F">
          <w:rPr>
            <w:rStyle w:val="Hyperlink"/>
            <w:bCs/>
          </w:rPr>
          <w:t>Appendix B</w:t>
        </w:r>
      </w:hyperlink>
      <w:r w:rsidR="0038181F">
        <w:rPr>
          <w:bCs/>
          <w:color w:val="000000" w:themeColor="text1"/>
        </w:rPr>
        <w:t>.</w:t>
      </w:r>
    </w:p>
    <w:p w14:paraId="38552073" w14:textId="38297A5E" w:rsidR="009300F7" w:rsidRPr="000665B0" w:rsidRDefault="009300F7" w:rsidP="009300F7">
      <w:r w:rsidRPr="000665B0">
        <w:rPr>
          <w:b/>
        </w:rPr>
        <w:t>Shift Time</w:t>
      </w:r>
    </w:p>
    <w:p w14:paraId="34CAA31C" w14:textId="6418DFE3" w:rsidR="009300F7" w:rsidRPr="000665B0" w:rsidRDefault="009300F7" w:rsidP="009300F7">
      <w:r w:rsidRPr="000665B0">
        <w:t>Select to shift the missile times of all missiles for the option that do not have their time locked and have not already launched. For more information see</w:t>
      </w:r>
      <w:hyperlink w:anchor="_Shift_Strike_Times_1" w:history="1">
        <w:r w:rsidRPr="00AA4D23">
          <w:rPr>
            <w:rStyle w:val="Hyperlink"/>
          </w:rPr>
          <w:t xml:space="preserve"> </w:t>
        </w:r>
        <w:r w:rsidR="009326FE" w:rsidRPr="00AA4D23">
          <w:rPr>
            <w:rStyle w:val="Hyperlink"/>
          </w:rPr>
          <w:t xml:space="preserve">Section </w:t>
        </w:r>
        <w:r w:rsidR="004231CC">
          <w:rPr>
            <w:rStyle w:val="Hyperlink"/>
          </w:rPr>
          <w:t>5.34</w:t>
        </w:r>
        <w:r w:rsidR="000B6B74" w:rsidRPr="00AA4D23">
          <w:rPr>
            <w:rStyle w:val="Hyperlink"/>
          </w:rPr>
          <w:t>.</w:t>
        </w:r>
        <w:r w:rsidR="0089269C" w:rsidRPr="00AA4D23">
          <w:rPr>
            <w:rStyle w:val="Hyperlink"/>
          </w:rPr>
          <w:t>7</w:t>
        </w:r>
        <w:r w:rsidR="000B6B74" w:rsidRPr="00AA4D23">
          <w:rPr>
            <w:rStyle w:val="Hyperlink"/>
          </w:rPr>
          <w:t>.1.19</w:t>
        </w:r>
      </w:hyperlink>
      <w:r w:rsidRPr="000665B0">
        <w:t>.</w:t>
      </w:r>
    </w:p>
    <w:bookmarkEnd w:id="7"/>
    <w:p w14:paraId="5CE04003" w14:textId="77777777" w:rsidR="009C1E98" w:rsidRPr="000665B0" w:rsidRDefault="009C1E98" w:rsidP="009C1E98">
      <w:r w:rsidRPr="000665B0">
        <w:rPr>
          <w:b/>
        </w:rPr>
        <w:t xml:space="preserve">Mark as Sent/Unsent </w:t>
      </w:r>
    </w:p>
    <w:p w14:paraId="2204A0F0" w14:textId="77777777" w:rsidR="009C1E98" w:rsidRPr="000665B0" w:rsidRDefault="009C1E98" w:rsidP="009C1E98">
      <w:r w:rsidRPr="000665B0">
        <w:t xml:space="preserve">Whenever the option has been changed but not distributed both the options tab and the corresponding option will have an </w:t>
      </w:r>
      <w:r w:rsidRPr="000665B0">
        <w:rPr>
          <w:rStyle w:val="number0205Char0"/>
          <w:b/>
        </w:rPr>
        <w:t>Unsent</w:t>
      </w:r>
      <w:r w:rsidRPr="000665B0">
        <w:rPr>
          <w:rStyle w:val="number0205Char0"/>
        </w:rPr>
        <w:t xml:space="preserve"> </w:t>
      </w:r>
      <w:r w:rsidRPr="000665B0">
        <w:rPr>
          <w:noProof/>
        </w:rPr>
        <w:drawing>
          <wp:inline distT="0" distB="0" distL="0" distR="0" wp14:anchorId="5BACE913" wp14:editId="13766322">
            <wp:extent cx="200025" cy="155575"/>
            <wp:effectExtent l="0" t="0" r="9525"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00025" cy="155575"/>
                    </a:xfrm>
                    <a:prstGeom prst="rect">
                      <a:avLst/>
                    </a:prstGeom>
                    <a:ln>
                      <a:noFill/>
                    </a:ln>
                    <a:extLst>
                      <a:ext uri="{53640926-AAD7-44D8-BBD7-CCE9431645EC}">
                        <a14:shadowObscured xmlns:a14="http://schemas.microsoft.com/office/drawing/2010/main"/>
                      </a:ext>
                    </a:extLst>
                  </pic:spPr>
                </pic:pic>
              </a:graphicData>
            </a:graphic>
          </wp:inline>
        </w:drawing>
      </w:r>
      <w:r w:rsidRPr="000665B0">
        <w:rPr>
          <w:rStyle w:val="number0205Char0"/>
        </w:rPr>
        <w:t xml:space="preserve"> </w:t>
      </w:r>
      <w:r w:rsidRPr="000665B0">
        <w:t>icon indicating that distribution is pending. This occurs whenever a FRU Reassignment is made, a missile’s time has been shifted, a missile has been moved to pool, or a new option has been created and added to this executing strike. Sending the option(s) will clear the icon(s).</w:t>
      </w:r>
    </w:p>
    <w:p w14:paraId="0017AE53" w14:textId="3A3BB666" w:rsidR="008A4270" w:rsidRPr="000665B0" w:rsidRDefault="00FA22A3" w:rsidP="009C1E98">
      <w:pPr>
        <w:spacing w:after="240"/>
        <w:jc w:val="center"/>
      </w:pPr>
      <w:r w:rsidRPr="008005D8">
        <w:rPr>
          <w:rFonts w:eastAsia="Times New Roman"/>
          <w:noProof/>
        </w:rPr>
        <w:lastRenderedPageBreak/>
        <w:drawing>
          <wp:inline distT="0" distB="0" distL="0" distR="0" wp14:anchorId="5EB50554" wp14:editId="0F433D0B">
            <wp:extent cx="4362450" cy="1333664"/>
            <wp:effectExtent l="0" t="0" r="0" b="0"/>
            <wp:docPr id="2122" name="Picture 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375922" cy="1337783"/>
                    </a:xfrm>
                    <a:prstGeom prst="rect">
                      <a:avLst/>
                    </a:prstGeom>
                  </pic:spPr>
                </pic:pic>
              </a:graphicData>
            </a:graphic>
          </wp:inline>
        </w:drawing>
      </w:r>
    </w:p>
    <w:p w14:paraId="36755A8D" w14:textId="77777777" w:rsidR="009C1E98" w:rsidRPr="000665B0" w:rsidRDefault="009C1E98" w:rsidP="009C1E98">
      <w:pPr>
        <w:keepNext/>
      </w:pPr>
      <w:r w:rsidRPr="000665B0">
        <w:t>To Mark a Strike Package as Sent:</w:t>
      </w:r>
    </w:p>
    <w:p w14:paraId="4F1F9263" w14:textId="77777777" w:rsidR="009C1E98" w:rsidRPr="000665B0" w:rsidRDefault="009C1E98" w:rsidP="006D5A65">
      <w:pPr>
        <w:pStyle w:val="Heading1"/>
        <w:rPr>
          <w:rStyle w:val="number0205Char0"/>
        </w:rPr>
      </w:pPr>
      <w:r w:rsidRPr="000665B0">
        <w:rPr>
          <w:rStyle w:val="number0205Char0"/>
        </w:rPr>
        <w:t xml:space="preserve">Select the Unsent (blue option icon) </w:t>
      </w:r>
      <w:r w:rsidRPr="000665B0">
        <w:rPr>
          <w:noProof/>
        </w:rPr>
        <w:drawing>
          <wp:inline distT="0" distB="0" distL="0" distR="0" wp14:anchorId="5AF30121" wp14:editId="377F42E7">
            <wp:extent cx="200025" cy="155575"/>
            <wp:effectExtent l="0" t="0" r="9525" b="0"/>
            <wp:docPr id="1320" name="Picture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00025" cy="155575"/>
                    </a:xfrm>
                    <a:prstGeom prst="rect">
                      <a:avLst/>
                    </a:prstGeom>
                    <a:ln>
                      <a:noFill/>
                    </a:ln>
                    <a:extLst>
                      <a:ext uri="{53640926-AAD7-44D8-BBD7-CCE9431645EC}">
                        <a14:shadowObscured xmlns:a14="http://schemas.microsoft.com/office/drawing/2010/main"/>
                      </a:ext>
                    </a:extLst>
                  </pic:spPr>
                </pic:pic>
              </a:graphicData>
            </a:graphic>
          </wp:inline>
        </w:drawing>
      </w:r>
      <w:r w:rsidRPr="000665B0">
        <w:rPr>
          <w:rStyle w:val="number0205Char0"/>
        </w:rPr>
        <w:t xml:space="preserve"> Strike Package in the Option List View.</w:t>
      </w:r>
    </w:p>
    <w:p w14:paraId="093FBE87" w14:textId="2545BA6E" w:rsidR="009C1E98" w:rsidRPr="000665B0" w:rsidRDefault="009C1E98" w:rsidP="006D5A65">
      <w:pPr>
        <w:pStyle w:val="Heading1"/>
      </w:pPr>
      <w:r w:rsidRPr="000665B0">
        <w:rPr>
          <w:rStyle w:val="number0205Char0"/>
        </w:rPr>
        <w:t>Invoke the context menu (</w:t>
      </w:r>
      <w:r w:rsidR="00D71804" w:rsidRPr="000665B0">
        <w:rPr>
          <w:rStyle w:val="number0205Char0"/>
        </w:rPr>
        <w:t>right-click</w:t>
      </w:r>
      <w:r w:rsidRPr="000665B0">
        <w:rPr>
          <w:rStyle w:val="number0205Char0"/>
        </w:rPr>
        <w:t xml:space="preserve"> the mouse) and select </w:t>
      </w:r>
      <w:r w:rsidRPr="000665B0">
        <w:t>Mark as Sent. After sending the DDO, select Mark as Sent and the Unsent icon will disappear for the selected list item.</w:t>
      </w:r>
    </w:p>
    <w:p w14:paraId="6D7CFD5C" w14:textId="77777777" w:rsidR="009C1E98" w:rsidRPr="000665B0" w:rsidRDefault="009C1E98" w:rsidP="00F26AD4">
      <w:pPr>
        <w:keepNext/>
      </w:pPr>
      <w:r w:rsidRPr="000665B0">
        <w:t>To Mark a Strike Package as Unsent:</w:t>
      </w:r>
    </w:p>
    <w:p w14:paraId="6F1094BA" w14:textId="77777777" w:rsidR="009C1E98" w:rsidRPr="000665B0" w:rsidRDefault="009C1E98" w:rsidP="006D5A65">
      <w:pPr>
        <w:pStyle w:val="Heading1"/>
        <w:rPr>
          <w:rStyle w:val="number0205Char0"/>
        </w:rPr>
      </w:pPr>
      <w:r w:rsidRPr="000665B0">
        <w:rPr>
          <w:rStyle w:val="number0205Char0"/>
        </w:rPr>
        <w:t xml:space="preserve">Select the Strike Package (no Unsent icon) in the Option List View. </w:t>
      </w:r>
    </w:p>
    <w:p w14:paraId="6A268965" w14:textId="4FDF1F0C" w:rsidR="009C1E98" w:rsidRPr="000665B0" w:rsidRDefault="009C1E98" w:rsidP="006D5A65">
      <w:pPr>
        <w:pStyle w:val="Heading1"/>
      </w:pPr>
      <w:r w:rsidRPr="000665B0">
        <w:rPr>
          <w:rStyle w:val="number0205Char0"/>
        </w:rPr>
        <w:t>Invoke the context menu (</w:t>
      </w:r>
      <w:r w:rsidR="00D71804" w:rsidRPr="000665B0">
        <w:rPr>
          <w:rStyle w:val="number0205Char0"/>
        </w:rPr>
        <w:t>right-click</w:t>
      </w:r>
      <w:r w:rsidRPr="000665B0">
        <w:rPr>
          <w:rStyle w:val="number0205Char0"/>
        </w:rPr>
        <w:t xml:space="preserve"> the mouse) and select </w:t>
      </w:r>
      <w:r w:rsidRPr="000665B0">
        <w:t>Mark as Unsent. An Unsent icon will appear in the selected list item.</w:t>
      </w:r>
    </w:p>
    <w:p w14:paraId="654C7197" w14:textId="2A459B58" w:rsidR="00594D31" w:rsidRPr="000665B0" w:rsidRDefault="00594D31" w:rsidP="004E7DCC">
      <w:pPr>
        <w:keepNext/>
        <w:rPr>
          <w:b/>
        </w:rPr>
      </w:pPr>
      <w:r w:rsidRPr="000665B0">
        <w:rPr>
          <w:b/>
        </w:rPr>
        <w:t>Send</w:t>
      </w:r>
    </w:p>
    <w:p w14:paraId="73202595" w14:textId="29A99345" w:rsidR="00594D31" w:rsidRPr="000665B0" w:rsidRDefault="00594D31" w:rsidP="004E7DCC">
      <w:pPr>
        <w:keepNext/>
        <w:rPr>
          <w:b/>
        </w:rPr>
      </w:pPr>
      <w:r w:rsidRPr="000665B0">
        <w:t xml:space="preserve">Send the strike option(s) to all strike </w:t>
      </w:r>
      <w:r w:rsidR="00E971E8" w:rsidRPr="000665B0">
        <w:t>participants or</w:t>
      </w:r>
      <w:r w:rsidRPr="000665B0">
        <w:t xml:space="preserve"> manually send an ACA Filter Message associated with the strike option to NSP.</w:t>
      </w:r>
    </w:p>
    <w:p w14:paraId="54AB2355" w14:textId="77777777" w:rsidR="00594D31" w:rsidRPr="000665B0" w:rsidRDefault="00594D31" w:rsidP="006D5A65">
      <w:pPr>
        <w:pStyle w:val="Heading1"/>
      </w:pPr>
      <w:r w:rsidRPr="000665B0">
        <w:t>Send</w:t>
      </w:r>
    </w:p>
    <w:p w14:paraId="34FEEF63" w14:textId="4A00082C" w:rsidR="00594D31" w:rsidRPr="00D06C3E" w:rsidRDefault="00594D31" w:rsidP="006D5A65">
      <w:pPr>
        <w:pStyle w:val="Heading2"/>
        <w:rPr>
          <w:rStyle w:val="Hyperlink"/>
          <w:color w:val="auto"/>
          <w:u w:val="none"/>
        </w:rPr>
      </w:pPr>
      <w:r w:rsidRPr="000665B0">
        <w:t xml:space="preserve">Strike Option – See </w:t>
      </w:r>
      <w:hyperlink w:anchor="_Send" w:history="1">
        <w:r w:rsidR="009326FE" w:rsidRPr="000665B0">
          <w:rPr>
            <w:rStyle w:val="Hyperlink"/>
          </w:rPr>
          <w:t xml:space="preserve">Section </w:t>
        </w:r>
        <w:r w:rsidR="004231CC">
          <w:rPr>
            <w:rStyle w:val="Hyperlink"/>
          </w:rPr>
          <w:t>5.34</w:t>
        </w:r>
        <w:r w:rsidRPr="000665B0">
          <w:rPr>
            <w:rStyle w:val="Hyperlink"/>
          </w:rPr>
          <w:t>.11</w:t>
        </w:r>
      </w:hyperlink>
      <w:r w:rsidRPr="00F775B9">
        <w:t>.</w:t>
      </w:r>
    </w:p>
    <w:p w14:paraId="75E0E71A" w14:textId="77777777" w:rsidR="00924448" w:rsidRPr="000665B0" w:rsidRDefault="00924448" w:rsidP="00D06C3E">
      <w:pPr>
        <w:keepNext/>
        <w:keepLines/>
        <w:pBdr>
          <w:top w:val="single" w:sz="12" w:space="1" w:color="auto"/>
          <w:left w:val="single" w:sz="12" w:space="4" w:color="auto"/>
          <w:bottom w:val="single" w:sz="12" w:space="1" w:color="auto"/>
          <w:right w:val="single" w:sz="12" w:space="4" w:color="auto"/>
        </w:pBdr>
        <w:shd w:val="clear" w:color="auto" w:fill="D9D9D9"/>
        <w:tabs>
          <w:tab w:val="left" w:pos="720"/>
        </w:tabs>
        <w:spacing w:line="240" w:lineRule="auto"/>
        <w:jc w:val="center"/>
        <w:rPr>
          <w:b/>
          <w:bCs/>
        </w:rPr>
      </w:pPr>
      <w:r w:rsidRPr="000665B0">
        <w:rPr>
          <w:b/>
          <w:bCs/>
        </w:rPr>
        <w:t>Note:</w:t>
      </w:r>
      <w:r w:rsidRPr="000665B0">
        <w:rPr>
          <w:b/>
          <w:bCs/>
        </w:rPr>
        <w:br/>
        <w:t>Do not send a Tactical SEF rehearsal copy to TTWCS nodes.</w:t>
      </w:r>
    </w:p>
    <w:p w14:paraId="2E9D0CA6" w14:textId="6E7A6818" w:rsidR="00594D31" w:rsidRPr="000665B0" w:rsidRDefault="00594D31" w:rsidP="006D5A65">
      <w:pPr>
        <w:pStyle w:val="Heading2"/>
        <w:rPr>
          <w:bCs/>
        </w:rPr>
      </w:pPr>
      <w:r w:rsidRPr="000665B0">
        <w:t>ACA Filter Message</w:t>
      </w:r>
      <w:r w:rsidR="00E87D59" w:rsidRPr="000665B0">
        <w:t xml:space="preserve"> – Manually sends an ACA Filter Message to the NSP</w:t>
      </w:r>
      <w:r w:rsidR="00C34BCE" w:rsidRPr="000665B0">
        <w:t xml:space="preserve"> (see </w:t>
      </w:r>
      <w:hyperlink w:anchor="_Send__an_1" w:history="1">
        <w:r w:rsidR="00A54F60" w:rsidRPr="000665B0">
          <w:rPr>
            <w:rStyle w:val="Hyperlink"/>
          </w:rPr>
          <w:t xml:space="preserve">Section </w:t>
        </w:r>
        <w:r w:rsidR="004231CC">
          <w:rPr>
            <w:rStyle w:val="Hyperlink"/>
          </w:rPr>
          <w:t>5.35</w:t>
        </w:r>
        <w:r w:rsidR="00A54F60" w:rsidRPr="000665B0">
          <w:rPr>
            <w:rStyle w:val="Hyperlink"/>
          </w:rPr>
          <w:t>.3.1.7</w:t>
        </w:r>
        <w:r w:rsidR="00C34BCE" w:rsidRPr="000665B0">
          <w:rPr>
            <w:rStyle w:val="Hyperlink"/>
          </w:rPr>
          <w:t>.2.1</w:t>
        </w:r>
      </w:hyperlink>
      <w:r w:rsidR="00C34BCE" w:rsidRPr="000665B0">
        <w:t>)</w:t>
      </w:r>
      <w:r w:rsidR="00E87D59" w:rsidRPr="000665B0">
        <w:t>.</w:t>
      </w:r>
      <w:r w:rsidR="004C7D53" w:rsidRPr="000665B0">
        <w:t xml:space="preserve"> The type of messages available depend on the strike’s state and timing.</w:t>
      </w:r>
    </w:p>
    <w:bookmarkEnd w:id="8"/>
    <w:p w14:paraId="6A9E7477" w14:textId="6E6C3AA4" w:rsidR="003F51F4" w:rsidRPr="000665B0" w:rsidRDefault="003F51F4" w:rsidP="006D5A65">
      <w:pPr>
        <w:pStyle w:val="Heading3"/>
        <w:rPr>
          <w:bCs/>
        </w:rPr>
      </w:pPr>
      <w:r w:rsidRPr="000665B0">
        <w:t>72 Hour – Filter message for a strike option or package that is within 72 hours and more than 5 hours remaining before SET.</w:t>
      </w:r>
      <w:r w:rsidR="00180C81" w:rsidRPr="000665B0">
        <w:t xml:space="preserve"> This provides situational awareness to the </w:t>
      </w:r>
      <w:r w:rsidR="004C7D53" w:rsidRPr="000665B0">
        <w:t>NSP staff</w:t>
      </w:r>
      <w:r w:rsidR="00180C81" w:rsidRPr="000665B0">
        <w:t>.</w:t>
      </w:r>
      <w:r w:rsidR="00747048">
        <w:t xml:space="preserve"> Not available in MST Strikes.</w:t>
      </w:r>
    </w:p>
    <w:p w14:paraId="439D8FCB" w14:textId="38E6AA6F" w:rsidR="003F51F4" w:rsidRPr="000665B0" w:rsidRDefault="003F51F4" w:rsidP="006D5A65">
      <w:pPr>
        <w:pStyle w:val="Heading3"/>
        <w:rPr>
          <w:bCs/>
        </w:rPr>
      </w:pPr>
      <w:r w:rsidRPr="000665B0">
        <w:t>5 Hour – Filter message for a strike option or package that is within 5 hours of SET.</w:t>
      </w:r>
      <w:r w:rsidR="00180C81" w:rsidRPr="000665B0">
        <w:t xml:space="preserve"> This provides situational awareness to the </w:t>
      </w:r>
      <w:r w:rsidR="004C7D53" w:rsidRPr="000665B0">
        <w:t>NSP staff</w:t>
      </w:r>
      <w:r w:rsidR="00180C81" w:rsidRPr="000665B0">
        <w:t>.</w:t>
      </w:r>
      <w:r w:rsidR="00747048">
        <w:t xml:space="preserve"> Not available in MST Strikes.</w:t>
      </w:r>
    </w:p>
    <w:p w14:paraId="59FB0522" w14:textId="04253D58" w:rsidR="00594D31" w:rsidRPr="000665B0" w:rsidRDefault="00594D31" w:rsidP="006D5A65">
      <w:pPr>
        <w:pStyle w:val="Heading3"/>
        <w:rPr>
          <w:bCs/>
        </w:rPr>
      </w:pPr>
      <w:r w:rsidRPr="000665B0">
        <w:t xml:space="preserve">Execute </w:t>
      </w:r>
      <w:r w:rsidRPr="000665B0">
        <w:rPr>
          <w:bCs/>
        </w:rPr>
        <w:t xml:space="preserve">– </w:t>
      </w:r>
      <w:r w:rsidRPr="000665B0">
        <w:t>Informs the NSP to execute the ACA Filter Message</w:t>
      </w:r>
      <w:r w:rsidR="005169E8" w:rsidRPr="000665B0">
        <w:t>.</w:t>
      </w:r>
      <w:r w:rsidR="00180C81" w:rsidRPr="000665B0">
        <w:t xml:space="preserve"> This is to notify the ACA operator and mission support capability that the strike </w:t>
      </w:r>
      <w:r w:rsidR="00180C81" w:rsidRPr="000665B0">
        <w:lastRenderedPageBreak/>
        <w:t>package has reached its execution window and missile launch may be imminent.</w:t>
      </w:r>
      <w:r w:rsidR="00747048">
        <w:t xml:space="preserve"> Not available in MST Strikes.</w:t>
      </w:r>
    </w:p>
    <w:p w14:paraId="0E00D879" w14:textId="23AF045B" w:rsidR="00594D31" w:rsidRPr="000665B0" w:rsidRDefault="00594D31" w:rsidP="006D5A65">
      <w:pPr>
        <w:pStyle w:val="Heading3"/>
        <w:rPr>
          <w:bCs/>
        </w:rPr>
      </w:pPr>
      <w:r w:rsidRPr="000665B0">
        <w:t xml:space="preserve">Cancel </w:t>
      </w:r>
      <w:r w:rsidRPr="000665B0">
        <w:rPr>
          <w:bCs/>
        </w:rPr>
        <w:t xml:space="preserve">– </w:t>
      </w:r>
      <w:r w:rsidRPr="000665B0">
        <w:t>Cancels the currently active ACA Filter Message.</w:t>
      </w:r>
      <w:r w:rsidR="00747048">
        <w:t xml:space="preserve"> Not available in MST Strikes.</w:t>
      </w:r>
    </w:p>
    <w:p w14:paraId="2A09E667" w14:textId="78A92476" w:rsidR="00ED6AD6" w:rsidRPr="000665B0" w:rsidRDefault="00594D31" w:rsidP="006D5A65">
      <w:pPr>
        <w:pStyle w:val="Heading3"/>
        <w:rPr>
          <w:bCs/>
        </w:rPr>
      </w:pPr>
      <w:r w:rsidRPr="000665B0">
        <w:t xml:space="preserve">Complete </w:t>
      </w:r>
      <w:r w:rsidRPr="000665B0">
        <w:rPr>
          <w:bCs/>
        </w:rPr>
        <w:t>–Indicates t</w:t>
      </w:r>
      <w:r w:rsidRPr="000665B0">
        <w:t>hat the strike is complete such that the resources allocated in the ACA Filter Message can be released.</w:t>
      </w:r>
    </w:p>
    <w:p w14:paraId="004DE08A" w14:textId="395D7337" w:rsidR="00DD7BFC" w:rsidRPr="000665B0" w:rsidRDefault="00DD7BFC" w:rsidP="00DD7BFC">
      <w:pPr>
        <w:pStyle w:val="BodyText"/>
        <w:tabs>
          <w:tab w:val="left" w:pos="720"/>
        </w:tabs>
        <w:spacing w:after="120"/>
        <w:rPr>
          <w:b/>
          <w:bCs/>
        </w:rPr>
      </w:pPr>
      <w:r w:rsidRPr="000665B0">
        <w:rPr>
          <w:b/>
          <w:bCs/>
        </w:rPr>
        <w:t>Add SEP</w:t>
      </w:r>
      <w:r w:rsidR="00DE5F06">
        <w:rPr>
          <w:b/>
          <w:bCs/>
        </w:rPr>
        <w:t>/Strike Package</w:t>
      </w:r>
    </w:p>
    <w:p w14:paraId="46ABB565" w14:textId="64151B36" w:rsidR="00DD7BFC" w:rsidRPr="000665B0" w:rsidRDefault="00DD7BFC" w:rsidP="00DD7BFC">
      <w:pPr>
        <w:pStyle w:val="BodyText"/>
        <w:tabs>
          <w:tab w:val="left" w:pos="720"/>
        </w:tabs>
        <w:spacing w:after="120"/>
        <w:rPr>
          <w:bCs/>
        </w:rPr>
      </w:pPr>
      <w:r w:rsidRPr="000665B0">
        <w:rPr>
          <w:bCs/>
        </w:rPr>
        <w:t>An MST Strike Execution Package (SEP)</w:t>
      </w:r>
      <w:r w:rsidR="00DE5F06">
        <w:rPr>
          <w:bCs/>
        </w:rPr>
        <w:t xml:space="preserve"> or Land Attack Package</w:t>
      </w:r>
      <w:r w:rsidRPr="000665B0">
        <w:rPr>
          <w:bCs/>
        </w:rPr>
        <w:t xml:space="preserve"> may be manually added to the current strike execution.</w:t>
      </w:r>
    </w:p>
    <w:p w14:paraId="79285135" w14:textId="4027BFEE" w:rsidR="00951171" w:rsidRPr="000665B0" w:rsidRDefault="00951171" w:rsidP="006D5A65">
      <w:pPr>
        <w:pStyle w:val="Heading1"/>
      </w:pPr>
      <w:r w:rsidRPr="000665B0">
        <w:t xml:space="preserve">From the </w:t>
      </w:r>
      <w:r w:rsidRPr="000665B0">
        <w:rPr>
          <w:i/>
        </w:rPr>
        <w:t>Options</w:t>
      </w:r>
      <w:r w:rsidRPr="000665B0">
        <w:t xml:space="preserve"> window</w:t>
      </w:r>
      <w:r w:rsidR="00804B1F" w:rsidRPr="000665B0">
        <w:t>/</w:t>
      </w:r>
      <w:r w:rsidR="00804B1F" w:rsidRPr="000665B0">
        <w:rPr>
          <w:i/>
        </w:rPr>
        <w:t>Strike Packages</w:t>
      </w:r>
      <w:r w:rsidR="00804B1F" w:rsidRPr="000665B0">
        <w:t xml:space="preserve"> tab</w:t>
      </w:r>
      <w:r w:rsidRPr="000665B0">
        <w:t>, invoke the context menu and select Add SEP</w:t>
      </w:r>
      <w:r w:rsidR="00DE5F06">
        <w:t>/Strike Package</w:t>
      </w:r>
      <w:r w:rsidRPr="000665B0">
        <w:t>.</w:t>
      </w:r>
    </w:p>
    <w:p w14:paraId="445AC46D" w14:textId="507ACED8" w:rsidR="00DD7BFC" w:rsidRPr="000665B0" w:rsidRDefault="00D80DBE" w:rsidP="00804B1F">
      <w:pPr>
        <w:pStyle w:val="BodyText"/>
        <w:tabs>
          <w:tab w:val="left" w:pos="720"/>
        </w:tabs>
        <w:spacing w:after="120"/>
        <w:jc w:val="center"/>
        <w:rPr>
          <w:bCs/>
        </w:rPr>
      </w:pPr>
      <w:r w:rsidRPr="00D80DBE">
        <w:rPr>
          <w:noProof/>
        </w:rPr>
        <w:t xml:space="preserve"> </w:t>
      </w:r>
      <w:r>
        <w:rPr>
          <w:noProof/>
        </w:rPr>
        <w:drawing>
          <wp:inline distT="0" distB="0" distL="0" distR="0" wp14:anchorId="021D6374" wp14:editId="1110EDD4">
            <wp:extent cx="2286000" cy="1426464"/>
            <wp:effectExtent l="0" t="0" r="0" b="0"/>
            <wp:docPr id="1157959326"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59326" name="Picture 1" descr="Graphical user interface, application&#10;&#10;Description automatically generated"/>
                    <pic:cNvPicPr>
                      <a:picLocks noChangeAspect="1"/>
                    </pic:cNvPicPr>
                  </pic:nvPicPr>
                  <pic:blipFill>
                    <a:blip/>
                    <a:stretch>
                      <a:fillRect/>
                    </a:stretch>
                  </pic:blipFill>
                  <pic:spPr>
                    <a:xfrm>
                      <a:off x="0" y="0"/>
                      <a:ext cx="2286000" cy="1426464"/>
                    </a:xfrm>
                    <a:prstGeom prst="rect">
                      <a:avLst/>
                    </a:prstGeom>
                  </pic:spPr>
                </pic:pic>
              </a:graphicData>
            </a:graphic>
          </wp:inline>
        </w:drawing>
      </w:r>
    </w:p>
    <w:p w14:paraId="32EEB9C4" w14:textId="16015D30" w:rsidR="00DD7BFC" w:rsidRPr="00C36B36" w:rsidRDefault="00EF7581" w:rsidP="006D5A65">
      <w:pPr>
        <w:pStyle w:val="Heading1"/>
      </w:pPr>
      <w:r w:rsidRPr="000665B0">
        <w:t>The</w:t>
      </w:r>
      <w:r w:rsidR="00804B1F" w:rsidRPr="000665B0">
        <w:t xml:space="preserve"> </w:t>
      </w:r>
      <w:r w:rsidR="00804B1F" w:rsidRPr="000665B0">
        <w:rPr>
          <w:i/>
        </w:rPr>
        <w:t>SEP</w:t>
      </w:r>
      <w:r w:rsidR="00804B1F" w:rsidRPr="000665B0">
        <w:t xml:space="preserve"> window</w:t>
      </w:r>
      <w:r w:rsidRPr="000665B0">
        <w:t xml:space="preserve"> is displayed. S</w:t>
      </w:r>
      <w:r w:rsidR="00804B1F" w:rsidRPr="000665B0">
        <w:t xml:space="preserve">elect the </w:t>
      </w:r>
      <w:r w:rsidR="00F21B60" w:rsidRPr="000665B0">
        <w:t>desired</w:t>
      </w:r>
      <w:r w:rsidR="00804B1F" w:rsidRPr="000665B0">
        <w:t xml:space="preserve"> SEP</w:t>
      </w:r>
      <w:r w:rsidR="00D80DBE">
        <w:t xml:space="preserve"> or Strike Package</w:t>
      </w:r>
      <w:r w:rsidR="00804B1F" w:rsidRPr="000665B0">
        <w:t xml:space="preserve"> and click OK.</w:t>
      </w:r>
    </w:p>
    <w:p w14:paraId="6F2BF57A" w14:textId="1A01A2A0" w:rsidR="00804B1F" w:rsidRPr="000665B0" w:rsidRDefault="00804B1F" w:rsidP="006D5A65">
      <w:pPr>
        <w:pStyle w:val="Heading1"/>
        <w:rPr>
          <w:bCs/>
        </w:rPr>
      </w:pPr>
      <w:r w:rsidRPr="000665B0">
        <w:rPr>
          <w:bCs/>
        </w:rPr>
        <w:t xml:space="preserve">The </w:t>
      </w:r>
      <w:r w:rsidR="00D80DBE">
        <w:rPr>
          <w:bCs/>
        </w:rPr>
        <w:t xml:space="preserve">selection </w:t>
      </w:r>
      <w:r w:rsidRPr="000665B0">
        <w:rPr>
          <w:bCs/>
        </w:rPr>
        <w:t xml:space="preserve">is added to the </w:t>
      </w:r>
      <w:r w:rsidRPr="000665B0">
        <w:rPr>
          <w:bCs/>
          <w:i/>
        </w:rPr>
        <w:t>Options</w:t>
      </w:r>
      <w:r w:rsidRPr="000665B0">
        <w:rPr>
          <w:bCs/>
        </w:rPr>
        <w:t xml:space="preserve"> window/</w:t>
      </w:r>
      <w:r w:rsidRPr="000665B0">
        <w:rPr>
          <w:bCs/>
          <w:i/>
        </w:rPr>
        <w:t>Strike Packages</w:t>
      </w:r>
      <w:r w:rsidRPr="000665B0">
        <w:rPr>
          <w:bCs/>
        </w:rPr>
        <w:t xml:space="preserve"> tab.</w:t>
      </w:r>
      <w:r w:rsidR="00432F7E">
        <w:rPr>
          <w:bCs/>
        </w:rPr>
        <w:t xml:space="preserve"> </w:t>
      </w:r>
      <w:r w:rsidR="00432F7E" w:rsidRPr="00DB5BC9">
        <w:t xml:space="preserve">The Auto Display Incoming Maritime Strikes setting in Strike Preferences (see </w:t>
      </w:r>
      <w:hyperlink w:anchor="_Execution_Tab" w:history="1">
        <w:r w:rsidR="00432F7E" w:rsidRPr="00DB5BC9">
          <w:rPr>
            <w:rStyle w:val="Hyperlink"/>
          </w:rPr>
          <w:t xml:space="preserve">Section </w:t>
        </w:r>
        <w:r w:rsidR="004231CC">
          <w:rPr>
            <w:rStyle w:val="Hyperlink"/>
          </w:rPr>
          <w:t>5.34</w:t>
        </w:r>
        <w:r w:rsidR="00432F7E" w:rsidRPr="00DB5BC9">
          <w:rPr>
            <w:rStyle w:val="Hyperlink"/>
          </w:rPr>
          <w:t>.1.1.4.3</w:t>
        </w:r>
      </w:hyperlink>
      <w:r w:rsidR="00432F7E" w:rsidRPr="00DB5BC9">
        <w:t>) determines whether Maritime option</w:t>
      </w:r>
      <w:r w:rsidR="00D80DBE">
        <w:t>s are</w:t>
      </w:r>
      <w:r w:rsidR="00432F7E" w:rsidRPr="00DB5BC9">
        <w:t xml:space="preserve"> automatically loaded</w:t>
      </w:r>
      <w:r w:rsidR="00432F7E">
        <w:t xml:space="preserve"> and displayed in the SMD</w:t>
      </w:r>
      <w:r w:rsidR="00432F7E" w:rsidRPr="00DB5BC9">
        <w:t>.</w:t>
      </w:r>
      <w:r w:rsidR="00D80DBE">
        <w:t xml:space="preserve"> Land Attack options are loaded (checked) by default.</w:t>
      </w:r>
    </w:p>
    <w:p w14:paraId="0BE8A9AC" w14:textId="50C18DBB" w:rsidR="00DD7BFC" w:rsidRPr="000665B0" w:rsidRDefault="00DD7BFC" w:rsidP="00804B1F">
      <w:pPr>
        <w:pStyle w:val="BodyText"/>
        <w:tabs>
          <w:tab w:val="left" w:pos="720"/>
        </w:tabs>
        <w:spacing w:after="120"/>
        <w:jc w:val="center"/>
        <w:rPr>
          <w:bCs/>
        </w:rPr>
      </w:pPr>
      <w:r w:rsidRPr="000665B0">
        <w:rPr>
          <w:noProof/>
        </w:rPr>
        <w:drawing>
          <wp:inline distT="0" distB="0" distL="0" distR="0" wp14:anchorId="379C3FF1" wp14:editId="37DAF3C2">
            <wp:extent cx="3200400" cy="20391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3200400" cy="2039112"/>
                    </a:xfrm>
                    <a:prstGeom prst="rect">
                      <a:avLst/>
                    </a:prstGeom>
                    <a:noFill/>
                    <a:ln>
                      <a:noFill/>
                    </a:ln>
                  </pic:spPr>
                </pic:pic>
              </a:graphicData>
            </a:graphic>
          </wp:inline>
        </w:drawing>
      </w:r>
    </w:p>
    <w:p w14:paraId="6371E233" w14:textId="244D2C9F" w:rsidR="009300F7" w:rsidRPr="000665B0" w:rsidRDefault="009300F7" w:rsidP="00306174">
      <w:pPr>
        <w:pStyle w:val="Heading6"/>
      </w:pPr>
      <w:bookmarkStart w:id="6634" w:name="_Tasking_Deviations_Tab"/>
      <w:bookmarkEnd w:id="6634"/>
      <w:r w:rsidRPr="000665B0">
        <w:lastRenderedPageBreak/>
        <w:t>Tasking Deviation</w:t>
      </w:r>
      <w:r w:rsidR="003A6F30" w:rsidRPr="000665B0">
        <w:t>s</w:t>
      </w:r>
      <w:r w:rsidRPr="000665B0">
        <w:t xml:space="preserve"> </w:t>
      </w:r>
      <w:r w:rsidR="00594D31" w:rsidRPr="000665B0">
        <w:t>Tab</w:t>
      </w:r>
    </w:p>
    <w:p w14:paraId="22FF97B2" w14:textId="724AC742" w:rsidR="009300F7" w:rsidRPr="000665B0" w:rsidRDefault="009300F7" w:rsidP="009300F7">
      <w:r w:rsidRPr="000665B0">
        <w:t xml:space="preserve">The </w:t>
      </w:r>
      <w:r w:rsidRPr="000665B0">
        <w:rPr>
          <w:b/>
          <w:i/>
        </w:rPr>
        <w:t>Tasking Deviation</w:t>
      </w:r>
      <w:r w:rsidR="00594D31" w:rsidRPr="000665B0">
        <w:rPr>
          <w:b/>
          <w:i/>
        </w:rPr>
        <w:t>s</w:t>
      </w:r>
      <w:r w:rsidR="00594D31" w:rsidRPr="000665B0">
        <w:t xml:space="preserve"> </w:t>
      </w:r>
      <w:r w:rsidR="00590E38" w:rsidRPr="000665B0">
        <w:t>sub-</w:t>
      </w:r>
      <w:r w:rsidR="00594D31" w:rsidRPr="000665B0">
        <w:t>tab</w:t>
      </w:r>
      <w:r w:rsidRPr="000665B0">
        <w:t xml:space="preserve"> tracks all revision changes that have occurred</w:t>
      </w:r>
      <w:r w:rsidR="00594D31" w:rsidRPr="000665B0">
        <w:t xml:space="preserve"> for the selected option</w:t>
      </w:r>
      <w:r w:rsidRPr="000665B0">
        <w:t xml:space="preserve">. For each revision change, a snapshot of the Strike Package XML is created and stored for later use. This is done automatically whenever a revision change occurs. Each Tasking Deviation has a TDSN number and description that the operator may enter. </w:t>
      </w:r>
    </w:p>
    <w:p w14:paraId="426B40FC" w14:textId="77777777" w:rsidR="009300F7" w:rsidRPr="000665B0" w:rsidRDefault="009300F7" w:rsidP="009300F7">
      <w:r w:rsidRPr="000665B0">
        <w:t>To display the differences between a Tasking Deviation with the current Strike Package:</w:t>
      </w:r>
    </w:p>
    <w:p w14:paraId="27A8DBAA" w14:textId="77777777" w:rsidR="009300F7" w:rsidRPr="000665B0" w:rsidRDefault="009300F7" w:rsidP="006D5A65">
      <w:pPr>
        <w:pStyle w:val="Heading1"/>
      </w:pPr>
      <w:r w:rsidRPr="000665B0">
        <w:t>Select the two desired Tasking Deviations on the Tasking Deviation List View.</w:t>
      </w:r>
    </w:p>
    <w:p w14:paraId="13FFD39D" w14:textId="2BF228A7" w:rsidR="009300F7" w:rsidRPr="000665B0" w:rsidRDefault="009300F7" w:rsidP="006D5A65">
      <w:pPr>
        <w:pStyle w:val="Heading1"/>
      </w:pPr>
      <w:r w:rsidRPr="000665B0">
        <w:rPr>
          <w:rStyle w:val="number0205Char0"/>
        </w:rPr>
        <w:t>Invoke the context menu (</w:t>
      </w:r>
      <w:r w:rsidR="00D71804" w:rsidRPr="000665B0">
        <w:rPr>
          <w:rStyle w:val="number0205Char0"/>
        </w:rPr>
        <w:t>right-click</w:t>
      </w:r>
      <w:r w:rsidRPr="000665B0">
        <w:rPr>
          <w:rStyle w:val="number0205Char0"/>
        </w:rPr>
        <w:t xml:space="preserve"> the mouse) and select </w:t>
      </w:r>
      <w:r w:rsidRPr="000665B0">
        <w:t xml:space="preserve">Display </w:t>
      </w:r>
      <w:r w:rsidR="00A05D58" w:rsidRPr="000665B0">
        <w:sym w:font="Wingdings" w:char="F0E0"/>
      </w:r>
      <w:r w:rsidRPr="000665B0">
        <w:t xml:space="preserve"> Differences. The </w:t>
      </w:r>
      <w:r w:rsidRPr="000665B0">
        <w:rPr>
          <w:i/>
        </w:rPr>
        <w:t>Deviation Detail</w:t>
      </w:r>
      <w:r w:rsidRPr="000665B0">
        <w:t xml:space="preserve"> </w:t>
      </w:r>
      <w:r w:rsidR="00590E38" w:rsidRPr="000665B0">
        <w:t>window is</w:t>
      </w:r>
      <w:r w:rsidRPr="000665B0">
        <w:t xml:space="preserve"> displayed.</w:t>
      </w:r>
    </w:p>
    <w:p w14:paraId="5865F31E" w14:textId="14BCCE0D" w:rsidR="009300F7" w:rsidRPr="000665B0" w:rsidRDefault="00394FED" w:rsidP="009300F7">
      <w:pPr>
        <w:jc w:val="center"/>
      </w:pPr>
      <w:r w:rsidRPr="000665B0">
        <w:rPr>
          <w:noProof/>
        </w:rPr>
        <w:drawing>
          <wp:inline distT="0" distB="0" distL="0" distR="0" wp14:anchorId="7600836E" wp14:editId="4832CEF3">
            <wp:extent cx="4114800" cy="2359152"/>
            <wp:effectExtent l="0" t="0" r="0" b="3175"/>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359152"/>
                    </a:xfrm>
                    <a:prstGeom prst="rect">
                      <a:avLst/>
                    </a:prstGeom>
                  </pic:spPr>
                </pic:pic>
              </a:graphicData>
            </a:graphic>
          </wp:inline>
        </w:drawing>
      </w:r>
    </w:p>
    <w:p w14:paraId="5A2CB1DE" w14:textId="77777777" w:rsidR="009300F7" w:rsidRPr="000665B0" w:rsidRDefault="009300F7" w:rsidP="0047200F">
      <w:r w:rsidRPr="000665B0">
        <w:t>To edit a Tasking Deviation:</w:t>
      </w:r>
    </w:p>
    <w:p w14:paraId="7FB08808" w14:textId="77777777" w:rsidR="009300F7" w:rsidRPr="000665B0" w:rsidRDefault="009300F7" w:rsidP="006D5A65">
      <w:pPr>
        <w:pStyle w:val="Heading1"/>
      </w:pPr>
      <w:r w:rsidRPr="000665B0">
        <w:t>Select the desired Tasking Deviation on the Tasking Deviation List View.</w:t>
      </w:r>
    </w:p>
    <w:p w14:paraId="325F9ACF" w14:textId="32F80C82" w:rsidR="009300F7" w:rsidRPr="000665B0" w:rsidRDefault="009300F7" w:rsidP="006D5A65">
      <w:pPr>
        <w:pStyle w:val="Heading1"/>
      </w:pPr>
      <w:r w:rsidRPr="000665B0">
        <w:rPr>
          <w:rStyle w:val="number0205Char0"/>
        </w:rPr>
        <w:t>Invoke the context menu (</w:t>
      </w:r>
      <w:r w:rsidR="00D71804" w:rsidRPr="000665B0">
        <w:rPr>
          <w:rStyle w:val="number0205Char0"/>
        </w:rPr>
        <w:t>right-click</w:t>
      </w:r>
      <w:r w:rsidR="00590E38" w:rsidRPr="000665B0">
        <w:rPr>
          <w:rStyle w:val="number0205Char0"/>
        </w:rPr>
        <w:t xml:space="preserve"> </w:t>
      </w:r>
      <w:r w:rsidRPr="000665B0">
        <w:rPr>
          <w:rStyle w:val="number0205Char0"/>
        </w:rPr>
        <w:t xml:space="preserve">the mouse) and select </w:t>
      </w:r>
      <w:r w:rsidRPr="000665B0">
        <w:t>Edit. The Tasking Deviation Edit dialog will be displayed.</w:t>
      </w:r>
    </w:p>
    <w:p w14:paraId="18C2D370" w14:textId="2A397588" w:rsidR="009300F7" w:rsidRPr="000665B0" w:rsidRDefault="00033D77" w:rsidP="009300F7">
      <w:pPr>
        <w:jc w:val="center"/>
      </w:pPr>
      <w:r w:rsidRPr="000665B0">
        <w:rPr>
          <w:noProof/>
        </w:rPr>
        <w:drawing>
          <wp:inline distT="0" distB="0" distL="0" distR="0" wp14:anchorId="4FD5306A" wp14:editId="603A2EA5">
            <wp:extent cx="1828800" cy="1618488"/>
            <wp:effectExtent l="0" t="0" r="0" b="1270"/>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8800" cy="1618488"/>
                    </a:xfrm>
                    <a:prstGeom prst="rect">
                      <a:avLst/>
                    </a:prstGeom>
                  </pic:spPr>
                </pic:pic>
              </a:graphicData>
            </a:graphic>
          </wp:inline>
        </w:drawing>
      </w:r>
    </w:p>
    <w:p w14:paraId="05363A2C" w14:textId="77777777" w:rsidR="009300F7" w:rsidRPr="000665B0" w:rsidRDefault="009300F7" w:rsidP="006D5A65">
      <w:pPr>
        <w:pStyle w:val="Heading1"/>
      </w:pPr>
      <w:r w:rsidRPr="000665B0">
        <w:lastRenderedPageBreak/>
        <w:t>Enter a TDSN and description if desired.</w:t>
      </w:r>
    </w:p>
    <w:p w14:paraId="0C624C3B" w14:textId="77777777" w:rsidR="009300F7" w:rsidRPr="000665B0" w:rsidRDefault="009300F7" w:rsidP="006D5A65">
      <w:pPr>
        <w:pStyle w:val="Heading1"/>
      </w:pPr>
      <w:r w:rsidRPr="000665B0">
        <w:t>Click the OK button to save the edit.</w:t>
      </w:r>
    </w:p>
    <w:p w14:paraId="4564C552" w14:textId="150816ED" w:rsidR="00594D31" w:rsidRPr="000665B0" w:rsidRDefault="00594D31" w:rsidP="00306174">
      <w:pPr>
        <w:pStyle w:val="Heading6"/>
      </w:pPr>
      <w:bookmarkStart w:id="6635" w:name="_Filter__Messages"/>
      <w:bookmarkStart w:id="6636" w:name="_Hlk37673861"/>
      <w:bookmarkStart w:id="6637" w:name="_Hlk76551855"/>
      <w:bookmarkEnd w:id="6635"/>
      <w:r w:rsidRPr="000665B0">
        <w:t>Filter Messages Tab</w:t>
      </w:r>
    </w:p>
    <w:p w14:paraId="71A44129" w14:textId="676B8C17" w:rsidR="00594D31" w:rsidRPr="000665B0" w:rsidRDefault="00590E38" w:rsidP="00F26AD4">
      <w:pPr>
        <w:rPr>
          <w:bCs/>
        </w:rPr>
      </w:pPr>
      <w:r w:rsidRPr="000665B0">
        <w:t xml:space="preserve">The </w:t>
      </w:r>
      <w:r w:rsidRPr="000665B0">
        <w:rPr>
          <w:b/>
          <w:bCs/>
          <w:i/>
          <w:iCs/>
        </w:rPr>
        <w:t xml:space="preserve">Filter Messages </w:t>
      </w:r>
      <w:r w:rsidRPr="000665B0">
        <w:t xml:space="preserve">tab is used to display the </w:t>
      </w:r>
      <w:r w:rsidRPr="000665B0">
        <w:rPr>
          <w:bCs/>
        </w:rPr>
        <w:t xml:space="preserve">ACA </w:t>
      </w:r>
      <w:r w:rsidR="00B64719" w:rsidRPr="000665B0">
        <w:rPr>
          <w:bCs/>
        </w:rPr>
        <w:t>Filter</w:t>
      </w:r>
      <w:r w:rsidRPr="000665B0">
        <w:rPr>
          <w:bCs/>
        </w:rPr>
        <w:t xml:space="preserve"> Messages associated with the Strike </w:t>
      </w:r>
      <w:r w:rsidR="00CA486B" w:rsidRPr="000665B0">
        <w:rPr>
          <w:bCs/>
        </w:rPr>
        <w:t>Option and</w:t>
      </w:r>
      <w:r w:rsidRPr="000665B0">
        <w:rPr>
          <w:bCs/>
        </w:rPr>
        <w:t xml:space="preserve"> functions the same way in </w:t>
      </w:r>
      <w:r w:rsidR="00CA5F9E" w:rsidRPr="000665B0">
        <w:rPr>
          <w:bCs/>
        </w:rPr>
        <w:t xml:space="preserve">both </w:t>
      </w:r>
      <w:r w:rsidRPr="000665B0">
        <w:rPr>
          <w:bCs/>
        </w:rPr>
        <w:t xml:space="preserve">the Strike Folders tool (see </w:t>
      </w:r>
      <w:hyperlink w:anchor="_Filter_Messages_Tab" w:history="1">
        <w:r w:rsidR="009326FE" w:rsidRPr="000665B0">
          <w:rPr>
            <w:rStyle w:val="Hyperlink"/>
            <w:bCs/>
          </w:rPr>
          <w:t xml:space="preserve">Section </w:t>
        </w:r>
        <w:r w:rsidR="004231CC">
          <w:rPr>
            <w:rStyle w:val="Hyperlink"/>
            <w:bCs/>
          </w:rPr>
          <w:t>5.34</w:t>
        </w:r>
        <w:r w:rsidR="00380661" w:rsidRPr="000665B0">
          <w:rPr>
            <w:rStyle w:val="Hyperlink"/>
            <w:bCs/>
          </w:rPr>
          <w:t>.7.1.</w:t>
        </w:r>
        <w:r w:rsidRPr="000665B0">
          <w:rPr>
            <w:rStyle w:val="Hyperlink"/>
            <w:bCs/>
          </w:rPr>
          <w:t>9</w:t>
        </w:r>
      </w:hyperlink>
      <w:r w:rsidRPr="000665B0">
        <w:rPr>
          <w:bCs/>
        </w:rPr>
        <w:t>)</w:t>
      </w:r>
      <w:r w:rsidR="00CA5F9E" w:rsidRPr="000665B0">
        <w:rPr>
          <w:bCs/>
        </w:rPr>
        <w:t xml:space="preserve"> and the SMD</w:t>
      </w:r>
      <w:r w:rsidRPr="000665B0">
        <w:rPr>
          <w:bCs/>
        </w:rPr>
        <w:t>.</w:t>
      </w:r>
    </w:p>
    <w:p w14:paraId="17266D1A" w14:textId="77777777" w:rsidR="00CC427B" w:rsidRPr="000665B0" w:rsidRDefault="00CC427B" w:rsidP="00F26AD4">
      <w:pPr>
        <w:pStyle w:val="Heading7"/>
      </w:pPr>
      <w:bookmarkStart w:id="6638" w:name="_Send__an_1"/>
      <w:bookmarkStart w:id="6639" w:name="_Hlk37242572"/>
      <w:bookmarkEnd w:id="6638"/>
      <w:r w:rsidRPr="000665B0">
        <w:t>Send an ACA Filter Message</w:t>
      </w:r>
    </w:p>
    <w:p w14:paraId="38342C87" w14:textId="77777777" w:rsidR="00CC427B" w:rsidRPr="000665B0" w:rsidRDefault="00CC427B" w:rsidP="00CC427B">
      <w:pPr>
        <w:pStyle w:val="Number0205"/>
        <w:tabs>
          <w:tab w:val="left" w:pos="720"/>
        </w:tabs>
        <w:ind w:left="0" w:firstLine="0"/>
      </w:pPr>
      <w:r w:rsidRPr="000665B0">
        <w:t xml:space="preserve">The ACA Filter Message is used to coordinate ACA services for a geographic area and time period in support of a Strike Package. It specifies the strike execution start and stop time, and the geographic boundary of all strike planning elements such as FRUs, missions, etc. The NSP will determine whether the specified conditions are supportable by the ACA network or not. Filter Messages cannot be sent more than 72 hours before the Strike Execution Time (SET), nor after the Use State of the Strike Execution folder is set to </w:t>
      </w:r>
      <w:r w:rsidRPr="000665B0">
        <w:rPr>
          <w:b/>
        </w:rPr>
        <w:t>Complete</w:t>
      </w:r>
      <w:r w:rsidRPr="000665B0">
        <w:t>.</w:t>
      </w:r>
    </w:p>
    <w:p w14:paraId="58CAB37B" w14:textId="743DBC4C" w:rsidR="00C25C4A" w:rsidRPr="000665B0" w:rsidRDefault="00E7138E" w:rsidP="004325BD">
      <w:pPr>
        <w:pStyle w:val="Number0205"/>
        <w:tabs>
          <w:tab w:val="left" w:pos="720"/>
        </w:tabs>
        <w:ind w:left="0" w:firstLine="0"/>
      </w:pPr>
      <w:r w:rsidRPr="000665B0">
        <w:t>ACA Filter messages will automatically be sent 72 hours before the strike execution time if set in Strike Properties</w:t>
      </w:r>
      <w:r w:rsidR="00CC427B" w:rsidRPr="000665B0">
        <w:t xml:space="preserve"> (see </w:t>
      </w:r>
      <w:hyperlink w:anchor="_Execution_Tab" w:history="1">
        <w:r w:rsidR="009326FE" w:rsidRPr="000665B0">
          <w:rPr>
            <w:rStyle w:val="Hyperlink"/>
          </w:rPr>
          <w:t xml:space="preserve">Section </w:t>
        </w:r>
        <w:r w:rsidR="004231CC">
          <w:rPr>
            <w:rStyle w:val="Hyperlink"/>
          </w:rPr>
          <w:t>5.34</w:t>
        </w:r>
        <w:r w:rsidR="00CC427B" w:rsidRPr="000665B0">
          <w:rPr>
            <w:rStyle w:val="Hyperlink"/>
          </w:rPr>
          <w:t>.1.1.4.3</w:t>
        </w:r>
      </w:hyperlink>
      <w:r w:rsidR="00CC427B" w:rsidRPr="000665B0">
        <w:t xml:space="preserve">). ACA Filter messages may also be sent manually from within a Strike Option (see </w:t>
      </w:r>
      <w:hyperlink w:anchor="_Send__an" w:history="1">
        <w:r w:rsidR="009326FE" w:rsidRPr="000665B0">
          <w:rPr>
            <w:rStyle w:val="Hyperlink"/>
          </w:rPr>
          <w:t xml:space="preserve">Section </w:t>
        </w:r>
        <w:r w:rsidR="004231CC">
          <w:rPr>
            <w:rStyle w:val="Hyperlink"/>
          </w:rPr>
          <w:t>5.34</w:t>
        </w:r>
        <w:r w:rsidR="00CC427B" w:rsidRPr="000665B0">
          <w:rPr>
            <w:rStyle w:val="Hyperlink"/>
          </w:rPr>
          <w:t>.7.1.9.1</w:t>
        </w:r>
      </w:hyperlink>
      <w:r w:rsidR="00CC427B" w:rsidRPr="000665B0">
        <w:t>), or from the SMD. A</w:t>
      </w:r>
      <w:r w:rsidR="00DD7617" w:rsidRPr="000665B0">
        <w:t>n</w:t>
      </w:r>
      <w:r w:rsidR="00CC427B" w:rsidRPr="000665B0">
        <w:t xml:space="preserve"> ACA Filter Message may be </w:t>
      </w:r>
      <w:r w:rsidR="00DD7617" w:rsidRPr="000665B0">
        <w:t xml:space="preserve">manually sent </w:t>
      </w:r>
      <w:r w:rsidR="00CC427B" w:rsidRPr="000665B0">
        <w:t xml:space="preserve">to </w:t>
      </w:r>
      <w:r w:rsidR="00ED6AD6" w:rsidRPr="000665B0">
        <w:t xml:space="preserve">notify </w:t>
      </w:r>
      <w:r w:rsidR="00CC427B" w:rsidRPr="000665B0">
        <w:t xml:space="preserve">the NSP of changes made to an ACA strike when those changes are made outside of the automatic Filter Message timeframe parameters, or when </w:t>
      </w:r>
      <w:r w:rsidR="00CC427B" w:rsidRPr="000665B0">
        <w:rPr>
          <w:b/>
        </w:rPr>
        <w:t>Auto Send ACA Filter Messages</w:t>
      </w:r>
      <w:r w:rsidR="00CC427B" w:rsidRPr="000665B0">
        <w:t xml:space="preserve"> in Strike Properties is disabled. </w:t>
      </w:r>
    </w:p>
    <w:p w14:paraId="057B10D4" w14:textId="3F3A3381" w:rsidR="00D93AF6" w:rsidRPr="000665B0" w:rsidRDefault="00E9646D" w:rsidP="00CC427B">
      <w:pPr>
        <w:pStyle w:val="Number0205"/>
        <w:tabs>
          <w:tab w:val="left" w:pos="720"/>
        </w:tabs>
        <w:ind w:left="0" w:firstLine="0"/>
      </w:pPr>
      <w:r w:rsidRPr="000665B0">
        <w:t xml:space="preserve">Nodes assigned the Strike Monitor role should not manually send ACA Filter Messages, nor should they be configured to automatically send ACA Filter Messages. ACA Filter Messages should only be sent by the active </w:t>
      </w:r>
      <w:r w:rsidR="00B54FFB">
        <w:t>TSC</w:t>
      </w:r>
      <w:r w:rsidRPr="000665B0">
        <w:t xml:space="preserve"> or by an</w:t>
      </w:r>
      <w:r w:rsidR="00B54FFB">
        <w:t xml:space="preserve"> ATSC </w:t>
      </w:r>
      <w:r w:rsidRPr="000665B0">
        <w:t xml:space="preserve">that is authorized by the </w:t>
      </w:r>
      <w:r w:rsidR="00BD1D32">
        <w:t>TSC</w:t>
      </w:r>
      <w:r w:rsidRPr="000665B0">
        <w:t>.</w:t>
      </w:r>
    </w:p>
    <w:p w14:paraId="70586275" w14:textId="77777777" w:rsidR="00540F26" w:rsidRPr="000665B0" w:rsidRDefault="00540F26" w:rsidP="00A0163E">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rPr>
      </w:pPr>
      <w:r w:rsidRPr="000665B0">
        <w:rPr>
          <w:b/>
        </w:rPr>
        <w:t>Note:</w:t>
      </w:r>
    </w:p>
    <w:p w14:paraId="09C61A05" w14:textId="34677BAD" w:rsidR="00540F26" w:rsidRPr="000665B0" w:rsidRDefault="00AD7826" w:rsidP="00A0163E">
      <w:pPr>
        <w:pBdr>
          <w:top w:val="single" w:sz="12" w:space="1" w:color="auto"/>
          <w:left w:val="single" w:sz="12" w:space="4" w:color="auto"/>
          <w:bottom w:val="single" w:sz="12" w:space="1" w:color="auto"/>
          <w:right w:val="single" w:sz="12" w:space="4" w:color="auto"/>
        </w:pBdr>
        <w:shd w:val="clear" w:color="auto" w:fill="D9D9D9"/>
        <w:tabs>
          <w:tab w:val="left" w:pos="720"/>
        </w:tabs>
        <w:jc w:val="center"/>
      </w:pPr>
      <w:r w:rsidRPr="000665B0">
        <w:rPr>
          <w:b/>
        </w:rPr>
        <w:t>If the first TOL of a Strike Option or Strike Package is</w:t>
      </w:r>
      <w:r w:rsidR="00540F26" w:rsidRPr="000665B0">
        <w:rPr>
          <w:b/>
        </w:rPr>
        <w:t xml:space="preserve"> shifted past its current COMSEC Crypto period and into </w:t>
      </w:r>
      <w:r w:rsidRPr="000665B0">
        <w:rPr>
          <w:b/>
        </w:rPr>
        <w:t>its</w:t>
      </w:r>
      <w:r w:rsidR="00540F26" w:rsidRPr="000665B0">
        <w:rPr>
          <w:b/>
        </w:rPr>
        <w:t xml:space="preserve"> extended COMSEC Crypto time, an attempt to send an ACA Filter Message may fail or generate an error message. In this case, re</w:t>
      </w:r>
      <w:r w:rsidRPr="000665B0">
        <w:rPr>
          <w:b/>
        </w:rPr>
        <w:t>-</w:t>
      </w:r>
      <w:r w:rsidR="00540F26" w:rsidRPr="000665B0">
        <w:rPr>
          <w:b/>
        </w:rPr>
        <w:t xml:space="preserve">start MDS and </w:t>
      </w:r>
      <w:r w:rsidR="00540F26" w:rsidRPr="000665B0">
        <w:rPr>
          <w:b/>
        </w:rPr>
        <w:br/>
        <w:t>re-send the ACA Filter Message.</w:t>
      </w:r>
    </w:p>
    <w:p w14:paraId="00D46CA3" w14:textId="2D607759" w:rsidR="00540F26" w:rsidRPr="000665B0" w:rsidRDefault="00E02D17" w:rsidP="004E7DCC">
      <w:pPr>
        <w:tabs>
          <w:tab w:val="left" w:pos="720"/>
        </w:tabs>
      </w:pPr>
      <w:r w:rsidRPr="000665B0">
        <w:t xml:space="preserve">Shifting </w:t>
      </w:r>
      <w:r w:rsidR="00DD5D0B" w:rsidRPr="000665B0">
        <w:t xml:space="preserve">the </w:t>
      </w:r>
      <w:r w:rsidRPr="000665B0">
        <w:t xml:space="preserve">strike time during execution may cause </w:t>
      </w:r>
      <w:r w:rsidR="00BC0595" w:rsidRPr="000665B0">
        <w:t xml:space="preserve">anomalies in </w:t>
      </w:r>
      <w:r w:rsidRPr="000665B0">
        <w:t xml:space="preserve">the SMD’s display of ACA Filter Message use state transitions. Careful consideration should be made when shifting strike times (see </w:t>
      </w:r>
      <w:hyperlink w:anchor="_5.38.3.1.7__Target_1" w:history="1">
        <w:r w:rsidR="00A54F60" w:rsidRPr="000665B0">
          <w:rPr>
            <w:rStyle w:val="Hyperlink"/>
          </w:rPr>
          <w:t xml:space="preserve">Section </w:t>
        </w:r>
        <w:r w:rsidR="004231CC">
          <w:rPr>
            <w:rStyle w:val="Hyperlink"/>
          </w:rPr>
          <w:t>5.35</w:t>
        </w:r>
        <w:r w:rsidR="00A54F60" w:rsidRPr="000665B0">
          <w:rPr>
            <w:rStyle w:val="Hyperlink"/>
          </w:rPr>
          <w:t>.3.1.7</w:t>
        </w:r>
        <w:r w:rsidR="00413B63" w:rsidRPr="000665B0">
          <w:rPr>
            <w:rStyle w:val="Hyperlink"/>
          </w:rPr>
          <w:t>.2.2</w:t>
        </w:r>
      </w:hyperlink>
      <w:r w:rsidRPr="000665B0">
        <w:t>)</w:t>
      </w:r>
    </w:p>
    <w:p w14:paraId="56F1330B" w14:textId="69E4CA34" w:rsidR="00CC427B" w:rsidRPr="000665B0" w:rsidRDefault="00CC427B" w:rsidP="00CC427B">
      <w:pPr>
        <w:pStyle w:val="Number0205"/>
        <w:tabs>
          <w:tab w:val="left" w:pos="720"/>
        </w:tabs>
        <w:ind w:left="0" w:firstLine="0"/>
      </w:pPr>
      <w:r w:rsidRPr="000665B0">
        <w:t>To manually send an ACA Filter Message from within the SMD:</w:t>
      </w:r>
    </w:p>
    <w:p w14:paraId="37FCAB4D" w14:textId="5DE09B1B" w:rsidR="00CC427B" w:rsidRPr="000665B0" w:rsidRDefault="00CC427B" w:rsidP="006D5A65">
      <w:pPr>
        <w:pStyle w:val="Heading1"/>
      </w:pPr>
      <w:r w:rsidRPr="000665B0">
        <w:lastRenderedPageBreak/>
        <w:t xml:space="preserve">From the </w:t>
      </w:r>
      <w:r w:rsidRPr="000665B0">
        <w:rPr>
          <w:i/>
        </w:rPr>
        <w:t>Options</w:t>
      </w:r>
      <w:r w:rsidRPr="000665B0">
        <w:t xml:space="preserve"> tab, select the desired Strike Option, invoke the context menu, and select Send </w:t>
      </w:r>
      <w:r w:rsidRPr="000665B0">
        <w:sym w:font="Wingdings 3" w:char="F07D"/>
      </w:r>
      <w:r w:rsidRPr="000665B0">
        <w:t xml:space="preserve"> ACA Filter Message </w:t>
      </w:r>
      <w:r w:rsidRPr="000665B0">
        <w:sym w:font="Wingdings 3" w:char="F07D"/>
      </w:r>
    </w:p>
    <w:p w14:paraId="73447D1D" w14:textId="36E3596B" w:rsidR="00CC427B" w:rsidRPr="000665B0" w:rsidRDefault="00CC427B" w:rsidP="006D5A65">
      <w:pPr>
        <w:pStyle w:val="Heading1"/>
        <w:rPr>
          <w:bCs/>
        </w:rPr>
      </w:pPr>
      <w:r w:rsidRPr="000665B0">
        <w:t>72 Hour – Filter message for a strike option or package that is within 72 hours and more than 5 hours remaining before SET.</w:t>
      </w:r>
      <w:r w:rsidR="00180C81" w:rsidRPr="000665B0">
        <w:t xml:space="preserve"> This provides situational awareness to the </w:t>
      </w:r>
      <w:r w:rsidR="004C7D53" w:rsidRPr="000665B0">
        <w:t>NSP staff</w:t>
      </w:r>
      <w:r w:rsidR="00180C81" w:rsidRPr="000665B0">
        <w:t>.</w:t>
      </w:r>
    </w:p>
    <w:p w14:paraId="2580C111" w14:textId="4AEA2474" w:rsidR="00CC427B" w:rsidRPr="000665B0" w:rsidRDefault="00CC427B" w:rsidP="006D5A65">
      <w:pPr>
        <w:pStyle w:val="Heading1"/>
        <w:rPr>
          <w:bCs/>
        </w:rPr>
      </w:pPr>
      <w:r w:rsidRPr="000665B0">
        <w:t>5 Hour – Filter message for a strike option or package that is within 5 hours of SET.</w:t>
      </w:r>
      <w:r w:rsidR="00180C81" w:rsidRPr="000665B0">
        <w:t xml:space="preserve"> This provides situational awareness to the </w:t>
      </w:r>
      <w:r w:rsidR="004C7D53" w:rsidRPr="000665B0">
        <w:t>NSP staff</w:t>
      </w:r>
      <w:r w:rsidR="00180C81" w:rsidRPr="000665B0">
        <w:t>.</w:t>
      </w:r>
    </w:p>
    <w:p w14:paraId="577B62A5" w14:textId="0C454E32" w:rsidR="00CC427B" w:rsidRPr="000665B0" w:rsidRDefault="00CC427B" w:rsidP="006D5A65">
      <w:pPr>
        <w:pStyle w:val="Heading1"/>
        <w:rPr>
          <w:bCs/>
        </w:rPr>
      </w:pPr>
      <w:r w:rsidRPr="000665B0">
        <w:t xml:space="preserve">Execute </w:t>
      </w:r>
      <w:r w:rsidRPr="000665B0">
        <w:rPr>
          <w:bCs/>
        </w:rPr>
        <w:t xml:space="preserve">– </w:t>
      </w:r>
      <w:r w:rsidRPr="000665B0">
        <w:t>Informs the NSP to execute the ACA Filter Message.</w:t>
      </w:r>
      <w:r w:rsidR="00180C81" w:rsidRPr="000665B0">
        <w:t xml:space="preserve"> This is to notify the ACA operator and mission support capability that the strike package has reached its execution window and missile launch may be imminent.</w:t>
      </w:r>
    </w:p>
    <w:p w14:paraId="338439FF" w14:textId="77777777" w:rsidR="00CC427B" w:rsidRPr="000665B0" w:rsidRDefault="00CC427B" w:rsidP="006D5A65">
      <w:pPr>
        <w:pStyle w:val="Heading1"/>
        <w:rPr>
          <w:bCs/>
        </w:rPr>
      </w:pPr>
      <w:r w:rsidRPr="000665B0">
        <w:t xml:space="preserve">Cancel </w:t>
      </w:r>
      <w:r w:rsidRPr="000665B0">
        <w:rPr>
          <w:bCs/>
        </w:rPr>
        <w:t xml:space="preserve">– </w:t>
      </w:r>
      <w:r w:rsidRPr="000665B0">
        <w:t>Cancels the currently active ACA Filter Message.</w:t>
      </w:r>
    </w:p>
    <w:p w14:paraId="72B1AE3F" w14:textId="77777777" w:rsidR="00CC427B" w:rsidRPr="000665B0" w:rsidRDefault="00CC427B" w:rsidP="006D5A65">
      <w:pPr>
        <w:pStyle w:val="Heading1"/>
      </w:pPr>
      <w:r w:rsidRPr="000665B0">
        <w:t xml:space="preserve">Complete </w:t>
      </w:r>
      <w:r w:rsidRPr="000665B0">
        <w:rPr>
          <w:bCs/>
        </w:rPr>
        <w:t>–Indicates t</w:t>
      </w:r>
      <w:r w:rsidRPr="000665B0">
        <w:t>hat the strike is complete such that the resources allocated in the ACA Filter Message can be released.</w:t>
      </w:r>
    </w:p>
    <w:p w14:paraId="54379946" w14:textId="1A86E341" w:rsidR="004C7D53" w:rsidRPr="000665B0" w:rsidRDefault="004C7D53" w:rsidP="00C63237">
      <w:pPr>
        <w:pStyle w:val="Number0205"/>
        <w:tabs>
          <w:tab w:val="left" w:pos="720"/>
        </w:tabs>
        <w:ind w:left="720" w:firstLine="0"/>
      </w:pPr>
      <w:r w:rsidRPr="000665B0">
        <w:t>The type of messages available depend on the strike’s state and timing.</w:t>
      </w:r>
    </w:p>
    <w:p w14:paraId="25769316" w14:textId="77777777" w:rsidR="00CC427B" w:rsidRPr="000665B0" w:rsidRDefault="00CC427B" w:rsidP="006D5A65">
      <w:pPr>
        <w:pStyle w:val="Heading1"/>
      </w:pPr>
      <w:r w:rsidRPr="000665B0">
        <w:t>The ACA Filter Message for Strike Option XXXXX-XXXXX-XXXXX is displayed.</w:t>
      </w:r>
    </w:p>
    <w:p w14:paraId="50F5718E" w14:textId="77777777" w:rsidR="00CC427B" w:rsidRPr="000665B0" w:rsidRDefault="00CC427B" w:rsidP="006D5A65">
      <w:pPr>
        <w:pStyle w:val="Heading1"/>
      </w:pPr>
      <w:r w:rsidRPr="000665B0">
        <w:t xml:space="preserve">From the File menu select Send or click the Send </w:t>
      </w:r>
      <w:r w:rsidRPr="000665B0">
        <w:rPr>
          <w:noProof/>
        </w:rPr>
        <w:drawing>
          <wp:inline distT="0" distB="0" distL="0" distR="0" wp14:anchorId="712884EE" wp14:editId="3A80808B">
            <wp:extent cx="152400" cy="152400"/>
            <wp:effectExtent l="0" t="0" r="0" b="0"/>
            <wp:docPr id="1045" name="Picture 1045"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p>
    <w:p w14:paraId="7312481F" w14:textId="77777777" w:rsidR="00CC427B" w:rsidRPr="000665B0" w:rsidRDefault="00CC427B" w:rsidP="00CC427B">
      <w:pPr>
        <w:pStyle w:val="Number0205"/>
        <w:tabs>
          <w:tab w:val="left" w:pos="720"/>
        </w:tabs>
        <w:ind w:left="360" w:firstLine="0"/>
      </w:pPr>
      <w:r w:rsidRPr="000665B0">
        <w:t>or</w:t>
      </w:r>
    </w:p>
    <w:p w14:paraId="1F65D0EA" w14:textId="77777777" w:rsidR="00CC427B" w:rsidRPr="000665B0" w:rsidRDefault="00CC427B" w:rsidP="006D5A65">
      <w:pPr>
        <w:pStyle w:val="Heading1"/>
      </w:pPr>
      <w:r w:rsidRPr="000665B0">
        <w:t>Display the desired Strike Option textually.</w:t>
      </w:r>
    </w:p>
    <w:p w14:paraId="200C5A08" w14:textId="77777777" w:rsidR="00CC427B" w:rsidRPr="000665B0" w:rsidRDefault="00CC427B" w:rsidP="006D5A65">
      <w:pPr>
        <w:pStyle w:val="Heading1"/>
      </w:pPr>
      <w:r w:rsidRPr="000665B0">
        <w:t xml:space="preserve">From the toolbar, click the Send ACA Filter Message </w:t>
      </w:r>
      <w:r w:rsidRPr="000665B0">
        <w:rPr>
          <w:noProof/>
          <w:position w:val="-6"/>
        </w:rPr>
        <w:drawing>
          <wp:inline distT="0" distB="0" distL="0" distR="0" wp14:anchorId="6ED0257E" wp14:editId="423B3A2D">
            <wp:extent cx="210312" cy="210312"/>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0312" cy="210312"/>
                    </a:xfrm>
                    <a:prstGeom prst="rect">
                      <a:avLst/>
                    </a:prstGeom>
                  </pic:spPr>
                </pic:pic>
              </a:graphicData>
            </a:graphic>
          </wp:inline>
        </w:drawing>
      </w:r>
      <w:r w:rsidRPr="000665B0">
        <w:t xml:space="preserve"> icon.</w:t>
      </w:r>
    </w:p>
    <w:p w14:paraId="14E6A127" w14:textId="77777777" w:rsidR="00CC427B" w:rsidRPr="000665B0" w:rsidRDefault="00CC427B" w:rsidP="006D5A65">
      <w:pPr>
        <w:pStyle w:val="Heading1"/>
      </w:pPr>
      <w:r w:rsidRPr="000665B0">
        <w:t>The ACA Filter Message for Strike Option XXXXX-XXXXX-XXXXX is displayed.</w:t>
      </w:r>
    </w:p>
    <w:p w14:paraId="6EC10A24" w14:textId="77777777" w:rsidR="00CC427B" w:rsidRPr="000665B0" w:rsidRDefault="00CC427B" w:rsidP="006D5A65">
      <w:pPr>
        <w:pStyle w:val="Heading1"/>
      </w:pPr>
      <w:r w:rsidRPr="000665B0">
        <w:t xml:space="preserve">From the File menu select Send or click the Send </w:t>
      </w:r>
      <w:r w:rsidRPr="000665B0">
        <w:rPr>
          <w:noProof/>
        </w:rPr>
        <w:drawing>
          <wp:inline distT="0" distB="0" distL="0" distR="0" wp14:anchorId="75339D4C" wp14:editId="58265B5A">
            <wp:extent cx="152400" cy="152400"/>
            <wp:effectExtent l="0" t="0" r="0" b="0"/>
            <wp:docPr id="1048" name="Picture 1048"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p>
    <w:p w14:paraId="7EAEF106" w14:textId="77777777" w:rsidR="00CC427B" w:rsidRPr="000665B0" w:rsidRDefault="00CC427B" w:rsidP="00CC427B">
      <w:pPr>
        <w:pStyle w:val="number02050"/>
        <w:tabs>
          <w:tab w:val="left" w:pos="720"/>
        </w:tabs>
        <w:ind w:left="360" w:firstLine="0"/>
      </w:pPr>
      <w:r w:rsidRPr="000665B0">
        <w:t>or</w:t>
      </w:r>
    </w:p>
    <w:p w14:paraId="18616D64" w14:textId="77777777" w:rsidR="00CC427B" w:rsidRPr="000665B0" w:rsidRDefault="00CC427B" w:rsidP="006D5A65">
      <w:pPr>
        <w:pStyle w:val="Heading1"/>
      </w:pPr>
      <w:r w:rsidRPr="000665B0">
        <w:t>Display the desired Strike Option textually.</w:t>
      </w:r>
    </w:p>
    <w:p w14:paraId="6CAE52B1" w14:textId="77777777" w:rsidR="00CC427B" w:rsidRPr="000665B0" w:rsidRDefault="00CC427B" w:rsidP="006D5A65">
      <w:pPr>
        <w:pStyle w:val="Heading1"/>
      </w:pPr>
      <w:r w:rsidRPr="000665B0">
        <w:t xml:space="preserve">From the File menu select Send </w:t>
      </w:r>
      <w:r w:rsidRPr="000665B0">
        <w:sym w:font="Wingdings 3" w:char="F07D"/>
      </w:r>
      <w:r w:rsidRPr="000665B0">
        <w:t xml:space="preserve"> ACA Filter Message </w:t>
      </w:r>
      <w:r w:rsidRPr="000665B0">
        <w:sym w:font="Wingdings 3" w:char="F07D"/>
      </w:r>
    </w:p>
    <w:p w14:paraId="76A7476F" w14:textId="13855407" w:rsidR="00CC427B" w:rsidRPr="000665B0" w:rsidRDefault="00CC427B" w:rsidP="006D5A65">
      <w:pPr>
        <w:pStyle w:val="Heading1"/>
        <w:rPr>
          <w:bCs/>
        </w:rPr>
      </w:pPr>
      <w:r w:rsidRPr="000665B0">
        <w:t>72 Hour – Filter message for a strike option or package that is within 72 hours and more than 5 hours remaining before SET.</w:t>
      </w:r>
      <w:r w:rsidR="00180C81" w:rsidRPr="000665B0">
        <w:t xml:space="preserve"> This provides situational awareness to the </w:t>
      </w:r>
      <w:r w:rsidR="004C7D53" w:rsidRPr="000665B0">
        <w:t>NSP staff</w:t>
      </w:r>
      <w:r w:rsidR="00180C81" w:rsidRPr="000665B0">
        <w:t>.</w:t>
      </w:r>
    </w:p>
    <w:p w14:paraId="0A6C6656" w14:textId="7CF55ADE" w:rsidR="00CC427B" w:rsidRPr="000665B0" w:rsidRDefault="00CC427B" w:rsidP="006D5A65">
      <w:pPr>
        <w:pStyle w:val="Heading1"/>
        <w:rPr>
          <w:bCs/>
        </w:rPr>
      </w:pPr>
      <w:r w:rsidRPr="000665B0">
        <w:t>5 Hour – Filter message for a strike option or package that is within 5 hours of SET.</w:t>
      </w:r>
      <w:r w:rsidR="00180C81" w:rsidRPr="000665B0">
        <w:t xml:space="preserve"> This provides situational awareness to the </w:t>
      </w:r>
      <w:r w:rsidR="004C7D53" w:rsidRPr="000665B0">
        <w:t>NSP staff</w:t>
      </w:r>
      <w:r w:rsidR="00180C81" w:rsidRPr="000665B0">
        <w:t>.</w:t>
      </w:r>
    </w:p>
    <w:p w14:paraId="7B9EB234" w14:textId="7DE17EC8" w:rsidR="00CC427B" w:rsidRPr="000665B0" w:rsidRDefault="00CC427B" w:rsidP="006D5A65">
      <w:pPr>
        <w:pStyle w:val="Heading1"/>
        <w:rPr>
          <w:bCs/>
        </w:rPr>
      </w:pPr>
      <w:r w:rsidRPr="000665B0">
        <w:t xml:space="preserve">Execute </w:t>
      </w:r>
      <w:r w:rsidRPr="000665B0">
        <w:rPr>
          <w:bCs/>
        </w:rPr>
        <w:t xml:space="preserve">– </w:t>
      </w:r>
      <w:r w:rsidRPr="000665B0">
        <w:t>Informs the NSP to execute the ACA Filter Message.</w:t>
      </w:r>
      <w:r w:rsidR="00180C81" w:rsidRPr="000665B0">
        <w:t xml:space="preserve"> This is to notify the ACA operator and mission support </w:t>
      </w:r>
      <w:r w:rsidR="00180C81" w:rsidRPr="000665B0">
        <w:lastRenderedPageBreak/>
        <w:t>capability that the strike package has reached its execution window and missile launch may be imminent.</w:t>
      </w:r>
    </w:p>
    <w:p w14:paraId="1227613D" w14:textId="77777777" w:rsidR="00CC427B" w:rsidRPr="000665B0" w:rsidRDefault="00CC427B" w:rsidP="006D5A65">
      <w:pPr>
        <w:pStyle w:val="Heading1"/>
        <w:rPr>
          <w:bCs/>
        </w:rPr>
      </w:pPr>
      <w:r w:rsidRPr="000665B0">
        <w:t xml:space="preserve">Cancel </w:t>
      </w:r>
      <w:r w:rsidRPr="000665B0">
        <w:rPr>
          <w:bCs/>
        </w:rPr>
        <w:t xml:space="preserve">– </w:t>
      </w:r>
      <w:r w:rsidRPr="000665B0">
        <w:t>Cancels the currently active ACA Filter Message.</w:t>
      </w:r>
    </w:p>
    <w:p w14:paraId="0BCA2DD1" w14:textId="77777777" w:rsidR="00CC427B" w:rsidRPr="000665B0" w:rsidRDefault="00CC427B" w:rsidP="006D5A65">
      <w:pPr>
        <w:pStyle w:val="Heading1"/>
      </w:pPr>
      <w:r w:rsidRPr="000665B0">
        <w:t xml:space="preserve">Complete </w:t>
      </w:r>
      <w:r w:rsidRPr="000665B0">
        <w:rPr>
          <w:bCs/>
        </w:rPr>
        <w:t>–Indicates t</w:t>
      </w:r>
      <w:r w:rsidRPr="000665B0">
        <w:t>hat the strike is complete such that the resources allocated in the ACA Filter Message can be released.</w:t>
      </w:r>
    </w:p>
    <w:p w14:paraId="1F05788E" w14:textId="716C7D60" w:rsidR="004C7D53" w:rsidRPr="000665B0" w:rsidRDefault="004C7D53" w:rsidP="00C63237">
      <w:pPr>
        <w:pStyle w:val="Number0205"/>
        <w:tabs>
          <w:tab w:val="left" w:pos="720"/>
        </w:tabs>
        <w:ind w:left="720" w:firstLine="0"/>
      </w:pPr>
      <w:r w:rsidRPr="000665B0">
        <w:t>The type of messages available depend on the strike’s state and timing.</w:t>
      </w:r>
    </w:p>
    <w:p w14:paraId="664C576E" w14:textId="77777777" w:rsidR="00CC427B" w:rsidRPr="000665B0" w:rsidRDefault="00CC427B" w:rsidP="006D5A65">
      <w:pPr>
        <w:pStyle w:val="Heading1"/>
      </w:pPr>
      <w:r w:rsidRPr="000665B0">
        <w:t>The ACA Filter Message for Strike Option XXXXX-XXXXX-XXXXX is displayed.</w:t>
      </w:r>
    </w:p>
    <w:p w14:paraId="005269B6" w14:textId="372542B9" w:rsidR="007C3B34" w:rsidRDefault="00CC427B" w:rsidP="006D5A65">
      <w:pPr>
        <w:pStyle w:val="Heading1"/>
      </w:pPr>
      <w:r w:rsidRPr="000665B0">
        <w:t xml:space="preserve">From the File menu select Send or click the Send </w:t>
      </w:r>
      <w:r w:rsidRPr="000665B0">
        <w:rPr>
          <w:noProof/>
        </w:rPr>
        <w:drawing>
          <wp:inline distT="0" distB="0" distL="0" distR="0" wp14:anchorId="528B7784" wp14:editId="4B74EB67">
            <wp:extent cx="152400" cy="152400"/>
            <wp:effectExtent l="0" t="0" r="0" b="0"/>
            <wp:docPr id="1057" name="Picture 1057"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p>
    <w:p w14:paraId="017EF186" w14:textId="68B2AED5" w:rsidR="007C3B34" w:rsidRPr="00BB2E5D" w:rsidRDefault="007C3B34" w:rsidP="00BB2E5D">
      <w:pPr>
        <w:pBdr>
          <w:top w:val="single" w:sz="12" w:space="1" w:color="auto"/>
          <w:left w:val="single" w:sz="12" w:space="4" w:color="auto"/>
          <w:bottom w:val="single" w:sz="12" w:space="1" w:color="auto"/>
          <w:right w:val="single" w:sz="12" w:space="4" w:color="auto"/>
        </w:pBdr>
        <w:shd w:val="clear" w:color="auto" w:fill="D9D9D9"/>
        <w:tabs>
          <w:tab w:val="left" w:pos="720"/>
        </w:tabs>
        <w:ind w:left="180" w:firstLine="180"/>
        <w:jc w:val="center"/>
        <w:rPr>
          <w:b/>
        </w:rPr>
      </w:pPr>
      <w:r w:rsidRPr="00BB2E5D">
        <w:rPr>
          <w:b/>
        </w:rPr>
        <w:t>Note:</w:t>
      </w:r>
      <w:r w:rsidRPr="00BB2E5D">
        <w:rPr>
          <w:b/>
        </w:rPr>
        <w:br/>
        <w:t xml:space="preserve">When viewing the Strike Option textually or from the SMD Options Pane, the Send ACA Filter Message </w:t>
      </w:r>
      <w:r w:rsidRPr="00BB2E5D">
        <w:rPr>
          <w:b/>
          <w:noProof/>
          <w:position w:val="-6"/>
        </w:rPr>
        <w:drawing>
          <wp:inline distT="0" distB="0" distL="0" distR="0" wp14:anchorId="3E468875" wp14:editId="2F10CDFB">
            <wp:extent cx="213360" cy="213360"/>
            <wp:effectExtent l="0" t="0" r="0" b="0"/>
            <wp:docPr id="1737502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45844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sidRPr="00BB2E5D">
        <w:rPr>
          <w:b/>
        </w:rPr>
        <w:t xml:space="preserve"> icon will be disabled when the Use State is set to </w:t>
      </w:r>
      <w:r w:rsidR="00A65CF6" w:rsidRPr="00BB2E5D">
        <w:rPr>
          <w:b/>
        </w:rPr>
        <w:t>Cancel</w:t>
      </w:r>
      <w:r w:rsidRPr="00BB2E5D">
        <w:rPr>
          <w:b/>
        </w:rPr>
        <w:t xml:space="preserve">, the Execution State is set to </w:t>
      </w:r>
      <w:r w:rsidR="00A65CF6" w:rsidRPr="00BB2E5D">
        <w:rPr>
          <w:b/>
        </w:rPr>
        <w:t>Complete</w:t>
      </w:r>
      <w:r w:rsidRPr="00BB2E5D">
        <w:rPr>
          <w:b/>
        </w:rPr>
        <w:t>, or the filter number of the last received ACA Filter Message has reached 999.</w:t>
      </w:r>
    </w:p>
    <w:p w14:paraId="5462328D" w14:textId="77777777" w:rsidR="00F833F4" w:rsidRPr="000665B0" w:rsidRDefault="00F833F4" w:rsidP="004E7DCC">
      <w:pPr>
        <w:pStyle w:val="Heading7"/>
      </w:pPr>
      <w:bookmarkStart w:id="6640" w:name="_5.38.3.1.7__Target_1"/>
      <w:bookmarkStart w:id="6641" w:name="_5_.38.3.1.7_"/>
      <w:bookmarkStart w:id="6642" w:name="_Target"/>
      <w:bookmarkStart w:id="6643" w:name="_Targets"/>
      <w:bookmarkStart w:id="6644" w:name="_Toc289328912"/>
      <w:bookmarkEnd w:id="6636"/>
      <w:bookmarkEnd w:id="6639"/>
      <w:bookmarkEnd w:id="6640"/>
      <w:bookmarkEnd w:id="6641"/>
      <w:bookmarkEnd w:id="6642"/>
      <w:bookmarkEnd w:id="6643"/>
      <w:r w:rsidRPr="000665B0">
        <w:t>ACA Filter Message Use State Transition When Shifting Strike Time</w:t>
      </w:r>
    </w:p>
    <w:p w14:paraId="563A36F8" w14:textId="77777777" w:rsidR="00F833F4" w:rsidRPr="000665B0" w:rsidRDefault="00F833F4" w:rsidP="00F833F4">
      <w:r w:rsidRPr="000665B0">
        <w:t>Shifting the strike time during execution or rehearsal may cause anomalies in the SMD’s display of ACA Filter Message use state transitions.</w:t>
      </w:r>
    </w:p>
    <w:p w14:paraId="125BA994" w14:textId="7BDD099E" w:rsidR="00F833F4" w:rsidRPr="000665B0" w:rsidRDefault="00F833F4" w:rsidP="00F833F4">
      <w:r w:rsidRPr="000665B0">
        <w:t xml:space="preserve">After an </w:t>
      </w:r>
      <w:r w:rsidRPr="000665B0">
        <w:rPr>
          <w:b/>
        </w:rPr>
        <w:t>Execute</w:t>
      </w:r>
      <w:r w:rsidRPr="000665B0">
        <w:t xml:space="preserve"> ACA Filter Message has been sent for the first missile launch during strike execution or rehearsal, shifting the strike to the right (later) </w:t>
      </w:r>
      <w:r w:rsidRPr="000665B0">
        <w:rPr>
          <w:i/>
        </w:rPr>
        <w:t>before</w:t>
      </w:r>
      <w:r w:rsidRPr="000665B0">
        <w:t xml:space="preserve"> processing the resulting LER from the </w:t>
      </w:r>
      <w:r w:rsidR="00CA486B" w:rsidRPr="000665B0">
        <w:t>previously launched</w:t>
      </w:r>
      <w:r w:rsidRPr="000665B0">
        <w:t xml:space="preserve"> missile, causes the next ACA Filter Message to transition from </w:t>
      </w:r>
      <w:r w:rsidRPr="000665B0">
        <w:rPr>
          <w:b/>
        </w:rPr>
        <w:t>Execute</w:t>
      </w:r>
      <w:r w:rsidRPr="000665B0">
        <w:t xml:space="preserve"> to </w:t>
      </w:r>
      <w:r w:rsidRPr="000665B0">
        <w:rPr>
          <w:b/>
        </w:rPr>
        <w:t>5 Hour</w:t>
      </w:r>
      <w:r w:rsidRPr="000665B0">
        <w:t xml:space="preserve"> (or </w:t>
      </w:r>
      <w:r w:rsidRPr="000665B0">
        <w:rPr>
          <w:b/>
        </w:rPr>
        <w:t>72 Hour</w:t>
      </w:r>
      <w:r w:rsidRPr="000665B0">
        <w:t xml:space="preserve">), and then back to </w:t>
      </w:r>
      <w:r w:rsidRPr="000665B0">
        <w:rPr>
          <w:b/>
        </w:rPr>
        <w:t>Execute</w:t>
      </w:r>
      <w:r w:rsidRPr="000665B0">
        <w:t>. This may occur when the time shift is made when LERs are not set to automatically process, or when the time shift is made after an LER is received but not yet processed.</w:t>
      </w:r>
    </w:p>
    <w:p w14:paraId="5A401C1C" w14:textId="77777777" w:rsidR="00151225" w:rsidRPr="000665B0" w:rsidRDefault="00151225" w:rsidP="00151225">
      <w:pPr>
        <w:pStyle w:val="Heading7"/>
      </w:pPr>
      <w:bookmarkStart w:id="6645" w:name="_ACA__Pending"/>
      <w:bookmarkEnd w:id="6645"/>
      <w:r w:rsidRPr="000665B0">
        <w:t>ACA Pending Flag</w:t>
      </w:r>
    </w:p>
    <w:p w14:paraId="68834233" w14:textId="77777777" w:rsidR="00151225" w:rsidRPr="000665B0" w:rsidRDefault="00151225" w:rsidP="00151225">
      <w:r w:rsidRPr="000665B0">
        <w:t>The ACA Pending flag indicates that there are changes related to the ACA reservations that have occurred since the last transmitted ACA Filter Message to the NSP. The flag is cleared once a Filter Message is transmitted to the NSP.</w:t>
      </w:r>
    </w:p>
    <w:p w14:paraId="0E8F96A4" w14:textId="77777777" w:rsidR="00151225" w:rsidRPr="000665B0" w:rsidRDefault="00151225" w:rsidP="00151225">
      <w:r w:rsidRPr="000665B0">
        <w:t>The ACA Pending flag aids in the automatic transmission of a Filter Message when there are ACA revision changes to a strike package. Instead of the operator initiating and flooding the NSP with a new Filter Message for every change to a strike package, the transmission of any pending Filter Message is triggered when its referencing strike package is distributed. The operator can focus on the tasks and once the strike package is transmitted, the system knows to send out a Filter Message to the NSP, if necessary.</w:t>
      </w:r>
    </w:p>
    <w:p w14:paraId="3592CB93" w14:textId="69C6F2D3" w:rsidR="00151225" w:rsidRPr="000665B0" w:rsidRDefault="00151225" w:rsidP="00151225">
      <w:r w:rsidRPr="000665B0">
        <w:t xml:space="preserve">The one exception where an </w:t>
      </w:r>
      <w:r w:rsidRPr="000665B0">
        <w:rPr>
          <w:b/>
        </w:rPr>
        <w:t>Execute</w:t>
      </w:r>
      <w:r w:rsidRPr="000665B0">
        <w:t xml:space="preserve"> Filter Message will be automatically transmitted, without strike package distribution, is when the executing strike reaches the Strike Execution Time (SET). The Filter Message Use State is determined by the strike package’s </w:t>
      </w:r>
      <w:r w:rsidR="00CA486B" w:rsidRPr="000665B0">
        <w:t>manually entered</w:t>
      </w:r>
      <w:r w:rsidRPr="000665B0">
        <w:t xml:space="preserve"> </w:t>
      </w:r>
      <w:r w:rsidRPr="000665B0">
        <w:lastRenderedPageBreak/>
        <w:t>Strike Execution Time. If the SET is not defined, then the first launch time (of any missile type) is used.</w:t>
      </w:r>
    </w:p>
    <w:p w14:paraId="5B989081" w14:textId="77777777" w:rsidR="00151225" w:rsidRPr="000665B0" w:rsidRDefault="00151225" w:rsidP="00151225">
      <w:pPr>
        <w:rPr>
          <w:szCs w:val="24"/>
        </w:rPr>
      </w:pPr>
      <w:r w:rsidRPr="000665B0">
        <w:t>The following ACA revision changes to a strike package determine pending ACA changes that need to be relayed to the NSP:</w:t>
      </w:r>
    </w:p>
    <w:p w14:paraId="06EC975C" w14:textId="77777777" w:rsidR="00151225" w:rsidRPr="000665B0" w:rsidRDefault="00151225" w:rsidP="006D5A65">
      <w:pPr>
        <w:pStyle w:val="Heading1"/>
      </w:pPr>
      <w:r w:rsidRPr="000665B0">
        <w:t>Strike Execution Time – Strike package’s manually entered Strike Execution Time. If the SET is not defined, then the first launch time (of any missile type) is used. Shifts that affect the first launch time change the Strike Execution Time. OWRs being received by the SMD could potentially cause ACA missiles to shift outside of the strike window. In this case, an ACA Pending flag is set (an X appears in the column) even though the operator has not modified the option. If this is an undesired side effect of the OWR, the strike package’s Strike Execution Time should be set.</w:t>
      </w:r>
    </w:p>
    <w:p w14:paraId="3D774684" w14:textId="77777777" w:rsidR="00151225" w:rsidRPr="000665B0" w:rsidRDefault="00151225" w:rsidP="006D5A65">
      <w:pPr>
        <w:pStyle w:val="Heading1"/>
      </w:pPr>
      <w:r w:rsidRPr="000665B0">
        <w:t>Missile Subscriber IDs – Added or removed ACA missile assignments.</w:t>
      </w:r>
    </w:p>
    <w:p w14:paraId="23D9023B" w14:textId="77777777" w:rsidR="00151225" w:rsidRPr="000665B0" w:rsidRDefault="00151225" w:rsidP="006D5A65">
      <w:pPr>
        <w:pStyle w:val="Heading1"/>
      </w:pPr>
      <w:r w:rsidRPr="000665B0">
        <w:t>Crypto Keys</w:t>
      </w:r>
    </w:p>
    <w:p w14:paraId="573767D3" w14:textId="77777777" w:rsidR="00151225" w:rsidRPr="000665B0" w:rsidRDefault="00151225" w:rsidP="006D5A65">
      <w:pPr>
        <w:pStyle w:val="Heading1"/>
      </w:pPr>
      <w:r w:rsidRPr="000665B0">
        <w:t>Frequency Lookups</w:t>
      </w:r>
    </w:p>
    <w:p w14:paraId="0396F40E" w14:textId="77777777" w:rsidR="00151225" w:rsidRPr="000665B0" w:rsidRDefault="00151225" w:rsidP="006D5A65">
      <w:pPr>
        <w:pStyle w:val="Heading1"/>
      </w:pPr>
      <w:r w:rsidRPr="000665B0">
        <w:t>Geographic Boundaries (POB) – With latest Time on Target.</w:t>
      </w:r>
    </w:p>
    <w:p w14:paraId="511D6DDD" w14:textId="77777777" w:rsidR="00151225" w:rsidRPr="000665B0" w:rsidRDefault="00151225" w:rsidP="00151225">
      <w:r w:rsidRPr="000665B0">
        <w:t>The following fields in the SMD Strike Package’s list view can aid in determining the ACA Pending changes:</w:t>
      </w:r>
    </w:p>
    <w:p w14:paraId="710C9AA3" w14:textId="77777777" w:rsidR="00151225" w:rsidRPr="000665B0" w:rsidRDefault="00151225" w:rsidP="006D5A65">
      <w:pPr>
        <w:pStyle w:val="Heading1"/>
      </w:pPr>
      <w:r w:rsidRPr="000665B0">
        <w:t>Execution Time – The manually-entered Strike Execution Time (if provided).</w:t>
      </w:r>
    </w:p>
    <w:p w14:paraId="0B9559E0" w14:textId="77777777" w:rsidR="00151225" w:rsidRPr="000665B0" w:rsidRDefault="00151225" w:rsidP="006D5A65">
      <w:pPr>
        <w:pStyle w:val="Heading1"/>
      </w:pPr>
      <w:r w:rsidRPr="000665B0">
        <w:t>Earliest Launch – The earliest missile launch time.</w:t>
      </w:r>
    </w:p>
    <w:p w14:paraId="7BA5A72F" w14:textId="77777777" w:rsidR="00151225" w:rsidRPr="000665B0" w:rsidRDefault="00151225" w:rsidP="006D5A65">
      <w:pPr>
        <w:pStyle w:val="Heading1"/>
      </w:pPr>
      <w:r w:rsidRPr="000665B0">
        <w:t>Latest Target – The latest missile target time.</w:t>
      </w:r>
    </w:p>
    <w:p w14:paraId="1E7B1B2A" w14:textId="587EAAC4" w:rsidR="00D85B96" w:rsidRPr="000665B0" w:rsidRDefault="00151225" w:rsidP="006D5A65">
      <w:pPr>
        <w:pStyle w:val="Heading1"/>
      </w:pPr>
      <w:r w:rsidRPr="000665B0">
        <w:t xml:space="preserve">LMO Tasking Start/End – The start and end time for LMO or Ghost-only strikes. </w:t>
      </w:r>
    </w:p>
    <w:p w14:paraId="32132749" w14:textId="0E6D21FA" w:rsidR="000A607E" w:rsidRPr="000665B0" w:rsidRDefault="000A607E" w:rsidP="00B90275">
      <w:pPr>
        <w:pStyle w:val="Heading5"/>
      </w:pPr>
      <w:bookmarkStart w:id="6646" w:name="_Targets_1"/>
      <w:bookmarkStart w:id="6647" w:name="_Hlk42252940"/>
      <w:bookmarkEnd w:id="6632"/>
      <w:bookmarkEnd w:id="6637"/>
      <w:bookmarkEnd w:id="6646"/>
      <w:r w:rsidRPr="000665B0">
        <w:t>Target</w:t>
      </w:r>
      <w:bookmarkEnd w:id="6644"/>
      <w:r w:rsidR="003712C4" w:rsidRPr="000665B0">
        <w:t>s</w:t>
      </w:r>
    </w:p>
    <w:p w14:paraId="23D6E9AC" w14:textId="0983163E" w:rsidR="000B5A0B" w:rsidRPr="000665B0" w:rsidRDefault="000B5A0B" w:rsidP="000B5A0B">
      <w:r w:rsidRPr="000665B0">
        <w:t xml:space="preserve">The </w:t>
      </w:r>
      <w:r w:rsidRPr="000665B0">
        <w:rPr>
          <w:b/>
          <w:i/>
        </w:rPr>
        <w:t>Target</w:t>
      </w:r>
      <w:r w:rsidR="003712C4" w:rsidRPr="000665B0">
        <w:rPr>
          <w:b/>
          <w:i/>
        </w:rPr>
        <w:t>s</w:t>
      </w:r>
      <w:r w:rsidRPr="000665B0">
        <w:t xml:space="preserve"> </w:t>
      </w:r>
      <w:r w:rsidR="00987E38" w:rsidRPr="000665B0">
        <w:t>tab</w:t>
      </w:r>
      <w:r w:rsidRPr="000665B0">
        <w:t xml:space="preserve"> </w:t>
      </w:r>
      <w:r w:rsidR="00172C5A" w:rsidRPr="000665B0">
        <w:t xml:space="preserve">contains </w:t>
      </w:r>
      <w:r w:rsidRPr="000665B0">
        <w:t>a two-</w:t>
      </w:r>
      <w:r w:rsidR="0080707A" w:rsidRPr="000665B0">
        <w:t xml:space="preserve">paned </w:t>
      </w:r>
      <w:r w:rsidRPr="000665B0">
        <w:t xml:space="preserve">list view control, </w:t>
      </w:r>
      <w:r w:rsidR="00172C5A" w:rsidRPr="000665B0">
        <w:t xml:space="preserve">displaying </w:t>
      </w:r>
      <w:r w:rsidRPr="000665B0">
        <w:t>a summary of all targets in the Execution Folder and missiles that go to those targets. This tab allows the user to add new or existing targets, and to retarget missiles.</w:t>
      </w:r>
    </w:p>
    <w:p w14:paraId="06CF3046" w14:textId="77E459D6" w:rsidR="000B5A0B" w:rsidRPr="000665B0" w:rsidRDefault="00394FED" w:rsidP="000B5A0B">
      <w:pPr>
        <w:jc w:val="center"/>
      </w:pPr>
      <w:r w:rsidRPr="000665B0">
        <w:rPr>
          <w:noProof/>
        </w:rPr>
        <w:drawing>
          <wp:inline distT="0" distB="0" distL="0" distR="0" wp14:anchorId="15D01852" wp14:editId="7EBEF2C8">
            <wp:extent cx="4983480" cy="1289304"/>
            <wp:effectExtent l="0" t="0" r="0" b="0"/>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289304"/>
                    </a:xfrm>
                    <a:prstGeom prst="rect">
                      <a:avLst/>
                    </a:prstGeom>
                  </pic:spPr>
                </pic:pic>
              </a:graphicData>
            </a:graphic>
          </wp:inline>
        </w:drawing>
      </w:r>
      <w:r w:rsidR="00172C5A" w:rsidRPr="000665B0">
        <w:rPr>
          <w:noProof/>
        </w:rPr>
        <w:t xml:space="preserve"> </w:t>
      </w:r>
    </w:p>
    <w:p w14:paraId="557B972A" w14:textId="52DA5B2C" w:rsidR="000B5A0B" w:rsidRPr="000665B0" w:rsidRDefault="000B5A0B" w:rsidP="000B5A0B">
      <w:r w:rsidRPr="000665B0">
        <w:t xml:space="preserve">The top list view contains a list of targets grouped by either BE, </w:t>
      </w:r>
      <w:r w:rsidR="00A05B06" w:rsidRPr="000665B0">
        <w:t xml:space="preserve">JDPI, MST ID, TGT ID, TTN, or </w:t>
      </w:r>
      <w:r w:rsidRPr="000665B0">
        <w:t xml:space="preserve">Target Number. </w:t>
      </w:r>
      <w:r w:rsidR="00B9067E" w:rsidRPr="000665B0">
        <w:t xml:space="preserve">Dashes (“------”) are displayed for data without Target IDs to enhance the </w:t>
      </w:r>
      <w:r w:rsidR="00B9067E" w:rsidRPr="000665B0">
        <w:lastRenderedPageBreak/>
        <w:t xml:space="preserve">visibility of targets in the list view. </w:t>
      </w:r>
      <w:r w:rsidRPr="000665B0">
        <w:t>When a target in the top list view is selected, the bottom list view is populated with all missiles that go to that target.</w:t>
      </w:r>
    </w:p>
    <w:p w14:paraId="7F09CBC9" w14:textId="1DE8943B" w:rsidR="006E7851" w:rsidRPr="000665B0" w:rsidRDefault="006E7851" w:rsidP="006E7851">
      <w:r w:rsidRPr="000665B0">
        <w:t xml:space="preserve">A target can be selected in the upper pane. The </w:t>
      </w:r>
      <w:r w:rsidR="008A5254" w:rsidRPr="000665B0">
        <w:rPr>
          <w:b/>
        </w:rPr>
        <w:t>Group by:</w:t>
      </w:r>
      <w:r w:rsidR="008A5254" w:rsidRPr="000665B0">
        <w:t xml:space="preserve"> pull down menu </w:t>
      </w:r>
      <w:r w:rsidRPr="000665B0">
        <w:t>allows the targets to be grouped by</w:t>
      </w:r>
      <w:r w:rsidR="00A87D18" w:rsidRPr="000665B0">
        <w:t xml:space="preserve"> the following (moves the selection to the first column)</w:t>
      </w:r>
      <w:r w:rsidRPr="000665B0">
        <w:t>:</w:t>
      </w:r>
    </w:p>
    <w:p w14:paraId="35DBD143" w14:textId="527B7AD3" w:rsidR="006E7851" w:rsidRPr="000665B0" w:rsidRDefault="006E7851" w:rsidP="006D5A65">
      <w:pPr>
        <w:pStyle w:val="Heading1"/>
      </w:pPr>
      <w:r w:rsidRPr="000665B0">
        <w:t>BE – Groups targets by BE.</w:t>
      </w:r>
    </w:p>
    <w:p w14:paraId="17569CFB" w14:textId="1E59019D" w:rsidR="00B214A4" w:rsidRPr="000665B0" w:rsidRDefault="00B214A4" w:rsidP="006D5A65">
      <w:pPr>
        <w:pStyle w:val="Heading1"/>
      </w:pPr>
      <w:r w:rsidRPr="000665B0">
        <w:t>JDPI – Groups targets by JDPI.</w:t>
      </w:r>
    </w:p>
    <w:p w14:paraId="50C3DA4A" w14:textId="564A461D" w:rsidR="00962B2A" w:rsidRPr="000665B0" w:rsidRDefault="00962B2A" w:rsidP="006D5A65">
      <w:pPr>
        <w:pStyle w:val="Heading1"/>
      </w:pPr>
      <w:r w:rsidRPr="000665B0">
        <w:rPr>
          <w:szCs w:val="24"/>
        </w:rPr>
        <w:t xml:space="preserve">MST ID </w:t>
      </w:r>
      <w:r w:rsidRPr="000665B0">
        <w:t xml:space="preserve">– Groups targets by </w:t>
      </w:r>
      <w:r w:rsidR="00FB2C86" w:rsidRPr="000665B0">
        <w:t>MST</w:t>
      </w:r>
      <w:r w:rsidRPr="000665B0">
        <w:t xml:space="preserve"> ID.</w:t>
      </w:r>
    </w:p>
    <w:p w14:paraId="579F98DC" w14:textId="79F48231" w:rsidR="00962B2A" w:rsidRPr="000665B0" w:rsidRDefault="00962B2A" w:rsidP="006D5A65">
      <w:pPr>
        <w:pStyle w:val="Heading1"/>
        <w:rPr>
          <w:szCs w:val="24"/>
        </w:rPr>
      </w:pPr>
      <w:r w:rsidRPr="000665B0">
        <w:rPr>
          <w:szCs w:val="24"/>
        </w:rPr>
        <w:t xml:space="preserve">TGT ID </w:t>
      </w:r>
      <w:r w:rsidRPr="000665B0">
        <w:t>– Groups targets by Target ID.</w:t>
      </w:r>
    </w:p>
    <w:p w14:paraId="330918D1" w14:textId="3092B9BE" w:rsidR="006E7851" w:rsidRPr="000665B0" w:rsidRDefault="006E7851" w:rsidP="006D5A65">
      <w:pPr>
        <w:pStyle w:val="Heading1"/>
      </w:pPr>
      <w:r w:rsidRPr="000665B0">
        <w:t>TTN – Groups targets by TTN.</w:t>
      </w:r>
    </w:p>
    <w:p w14:paraId="69B24FC3" w14:textId="77777777" w:rsidR="00962B2A" w:rsidRPr="000665B0" w:rsidRDefault="00962B2A" w:rsidP="006D5A65">
      <w:pPr>
        <w:pStyle w:val="Heading1"/>
      </w:pPr>
      <w:r w:rsidRPr="000665B0">
        <w:t>Target Number – Groups targets by Target Number.</w:t>
      </w:r>
    </w:p>
    <w:p w14:paraId="016306C5" w14:textId="77777777" w:rsidR="000B5A0B" w:rsidRPr="000665B0" w:rsidRDefault="000B5A0B" w:rsidP="00F26AD4">
      <w:pPr>
        <w:keepNext/>
      </w:pPr>
      <w:r w:rsidRPr="000665B0">
        <w:t xml:space="preserve">The </w:t>
      </w:r>
      <w:r w:rsidR="00B040AE" w:rsidRPr="000665B0">
        <w:rPr>
          <w:b/>
        </w:rPr>
        <w:t>Target</w:t>
      </w:r>
      <w:r w:rsidR="00B040AE" w:rsidRPr="000665B0">
        <w:t xml:space="preserve"> tab </w:t>
      </w:r>
      <w:r w:rsidRPr="000665B0">
        <w:t>list view columns are:</w:t>
      </w:r>
    </w:p>
    <w:p w14:paraId="4F07653E" w14:textId="5F4FFCDB" w:rsidR="000B5A0B" w:rsidRPr="000665B0" w:rsidRDefault="000B5A0B" w:rsidP="006D5A65">
      <w:pPr>
        <w:pStyle w:val="Heading1"/>
      </w:pPr>
      <w:r w:rsidRPr="000665B0">
        <w:t>BE/</w:t>
      </w:r>
      <w:r w:rsidR="00E82656" w:rsidRPr="000665B0">
        <w:t>JDPI/MST ID/TGT ID/TTN/</w:t>
      </w:r>
      <w:r w:rsidRPr="000665B0">
        <w:t xml:space="preserve">Target Number – Depending on </w:t>
      </w:r>
      <w:r w:rsidR="008A5254" w:rsidRPr="000665B0">
        <w:t>the selection in the Group by: pull down menu</w:t>
      </w:r>
      <w:r w:rsidRPr="000665B0">
        <w:t>, this column show</w:t>
      </w:r>
      <w:r w:rsidR="008A5254" w:rsidRPr="000665B0">
        <w:t>s</w:t>
      </w:r>
      <w:r w:rsidRPr="000665B0">
        <w:t xml:space="preserve"> </w:t>
      </w:r>
      <w:r w:rsidR="008A5254" w:rsidRPr="000665B0">
        <w:t xml:space="preserve">either </w:t>
      </w:r>
      <w:r w:rsidRPr="000665B0">
        <w:t xml:space="preserve">BE, </w:t>
      </w:r>
      <w:r w:rsidR="00E82656" w:rsidRPr="000665B0">
        <w:t xml:space="preserve">JDPI, MST ID, TGT ID, TTN, or </w:t>
      </w:r>
      <w:r w:rsidRPr="000665B0">
        <w:t>Target Number</w:t>
      </w:r>
      <w:r w:rsidR="00172C5A" w:rsidRPr="000665B0">
        <w:t>.</w:t>
      </w:r>
    </w:p>
    <w:p w14:paraId="15718212" w14:textId="2B572D6A" w:rsidR="001C3778" w:rsidRPr="000665B0" w:rsidRDefault="001C3778" w:rsidP="006D5A65">
      <w:pPr>
        <w:pStyle w:val="Heading1"/>
      </w:pPr>
      <w:r w:rsidRPr="000665B0">
        <w:t>OWR – Circular icon that indicates whether OWR</w:t>
      </w:r>
      <w:r w:rsidR="00A87D18" w:rsidRPr="000665B0">
        <w:t>s</w:t>
      </w:r>
      <w:r w:rsidRPr="000665B0">
        <w:t xml:space="preserve"> ha</w:t>
      </w:r>
      <w:r w:rsidR="00A87D18" w:rsidRPr="000665B0">
        <w:t>ve</w:t>
      </w:r>
      <w:r w:rsidRPr="000665B0">
        <w:t xml:space="preserve"> been received for all of the </w:t>
      </w:r>
      <w:r w:rsidR="00A87D18" w:rsidRPr="000665B0">
        <w:t>target’s</w:t>
      </w:r>
      <w:r w:rsidRPr="000665B0">
        <w:t xml:space="preserve"> assigned missiles. </w:t>
      </w:r>
      <w:r w:rsidRPr="000665B0">
        <w:rPr>
          <w:rFonts w:cs="Arial"/>
          <w:szCs w:val="24"/>
        </w:rPr>
        <w:t>OWRs contain overwater waypoints that guide the missile from launch to the first preplanned waypoint</w:t>
      </w:r>
      <w:r w:rsidRPr="000665B0">
        <w:t>. The icon indicators are as follows:</w:t>
      </w:r>
    </w:p>
    <w:p w14:paraId="3E97A1AA" w14:textId="77777777" w:rsidR="001C3778" w:rsidRPr="000665B0" w:rsidRDefault="001C3778" w:rsidP="006D5A65">
      <w:pPr>
        <w:pStyle w:val="Heading2"/>
      </w:pPr>
      <w:r w:rsidRPr="000665B0">
        <w:t xml:space="preserve">Blank (no circular icon) – Indicates that an OWR is not expected as the assignment is for ghost or pool. </w:t>
      </w:r>
    </w:p>
    <w:p w14:paraId="5A21C847" w14:textId="5F7A80FF" w:rsidR="001C3778" w:rsidRPr="000665B0" w:rsidRDefault="001C3778" w:rsidP="006D5A65">
      <w:pPr>
        <w:pStyle w:val="Heading2"/>
      </w:pPr>
      <w:r w:rsidRPr="000665B0">
        <w:t xml:space="preserve">White (At Least 1 OWR is Outstanding) – Indicates that at least one OWR is still outstanding. </w:t>
      </w:r>
    </w:p>
    <w:p w14:paraId="5D0D3D9C" w14:textId="77777777" w:rsidR="001C3778" w:rsidRPr="000665B0" w:rsidRDefault="001C3778" w:rsidP="006D5A65">
      <w:pPr>
        <w:pStyle w:val="Heading2"/>
      </w:pPr>
      <w:r w:rsidRPr="000665B0">
        <w:t>Green (All OWRs have been Received) – Indicates that all of the expected OWRs have been received. Note that new tasking added via Insert Tasking or ad hoc tasking causes the icon to change from green to white.</w:t>
      </w:r>
    </w:p>
    <w:p w14:paraId="60016023" w14:textId="5C495A41" w:rsidR="001C3778" w:rsidRPr="000665B0" w:rsidRDefault="001C3778" w:rsidP="006D5A65">
      <w:pPr>
        <w:pStyle w:val="Heading1"/>
      </w:pPr>
      <w:r w:rsidRPr="000665B0">
        <w:t xml:space="preserve">LER – Circular icon that indicates whether a Launch Event Report (LER) has been received for all of the </w:t>
      </w:r>
      <w:r w:rsidR="00A87D18" w:rsidRPr="000665B0">
        <w:t>target’s</w:t>
      </w:r>
      <w:r w:rsidRPr="000665B0">
        <w:t xml:space="preserve"> assigned missiles. An </w:t>
      </w:r>
      <w:r w:rsidRPr="000665B0">
        <w:rPr>
          <w:rFonts w:cs="Arial"/>
          <w:szCs w:val="24"/>
        </w:rPr>
        <w:t>LER is an indication whether the missile was launched successfully or not. Current practice is that the FRU sends an LER only for a successful missile launch.</w:t>
      </w:r>
      <w:r w:rsidRPr="000665B0">
        <w:t xml:space="preserve"> The icon indicators are as follows:</w:t>
      </w:r>
    </w:p>
    <w:p w14:paraId="2FD21015" w14:textId="6D43A595" w:rsidR="001C3778" w:rsidRPr="000665B0" w:rsidRDefault="001C3778" w:rsidP="006D5A65">
      <w:pPr>
        <w:pStyle w:val="Heading2"/>
      </w:pPr>
      <w:r w:rsidRPr="000665B0">
        <w:t xml:space="preserve">Blank (no circular icon) – Indicates that the </w:t>
      </w:r>
      <w:r w:rsidR="00A87D18" w:rsidRPr="000665B0">
        <w:t>target</w:t>
      </w:r>
      <w:r w:rsidRPr="000665B0">
        <w:t xml:space="preserve"> has no primary assignment, or that </w:t>
      </w:r>
      <w:r w:rsidR="00A87D18" w:rsidRPr="000665B0">
        <w:t>the assignments are ghost assignments</w:t>
      </w:r>
      <w:r w:rsidRPr="000665B0">
        <w:t xml:space="preserve">. </w:t>
      </w:r>
    </w:p>
    <w:p w14:paraId="28BFC8A7" w14:textId="77777777" w:rsidR="001C3778" w:rsidRPr="000665B0" w:rsidRDefault="001C3778" w:rsidP="006D5A65">
      <w:pPr>
        <w:pStyle w:val="Heading2"/>
      </w:pPr>
      <w:r w:rsidRPr="000665B0">
        <w:t xml:space="preserve">White (At Least 1 LER is Outstanding) – Indicates that an LER(s) is expected. LERs are expected within a specific time interval after launch. If the specified time interval has passed and an LER has not been received, the LER is </w:t>
      </w:r>
      <w:r w:rsidRPr="000665B0">
        <w:lastRenderedPageBreak/>
        <w:t>considered past due. If the LER is received before the specified time interval, the LER is considered on time.</w:t>
      </w:r>
    </w:p>
    <w:p w14:paraId="60816C08" w14:textId="77777777" w:rsidR="001C3778" w:rsidRPr="000665B0" w:rsidRDefault="001C3778" w:rsidP="006D5A65">
      <w:pPr>
        <w:pStyle w:val="Heading2"/>
      </w:pPr>
      <w:r w:rsidRPr="000665B0">
        <w:t>Green (All LERs Have Been Received) – Indicates that all expected LERs are on time (they have been received within the specific time interval after launch).</w:t>
      </w:r>
    </w:p>
    <w:p w14:paraId="601A660A" w14:textId="77777777" w:rsidR="001C3778" w:rsidRPr="000665B0" w:rsidRDefault="001C3778" w:rsidP="006D5A65">
      <w:pPr>
        <w:pStyle w:val="Heading2"/>
      </w:pPr>
      <w:r w:rsidRPr="000665B0">
        <w:t>Yellow (At Least 1 LER is Late) – Indicates that at least one LER is past due.</w:t>
      </w:r>
    </w:p>
    <w:p w14:paraId="6FC9867D" w14:textId="77777777" w:rsidR="001C3778" w:rsidRPr="000665B0" w:rsidRDefault="001C3778" w:rsidP="006D5A65">
      <w:pPr>
        <w:pStyle w:val="Heading2"/>
      </w:pPr>
      <w:r w:rsidRPr="000665B0">
        <w:t>Red (At Least 1 LER is a Failure) – Indicates that at least one LER indicates a failed missile.</w:t>
      </w:r>
    </w:p>
    <w:p w14:paraId="21396917" w14:textId="77B9CF61" w:rsidR="001C3778" w:rsidRPr="000665B0" w:rsidRDefault="001C3778" w:rsidP="006D5A65">
      <w:pPr>
        <w:pStyle w:val="Heading1"/>
      </w:pPr>
      <w:r w:rsidRPr="000665B0">
        <w:t xml:space="preserve">MSL – Circular icon that indicates the operational status for all of the </w:t>
      </w:r>
      <w:r w:rsidR="00A87D18" w:rsidRPr="000665B0">
        <w:t>target’s</w:t>
      </w:r>
      <w:r w:rsidRPr="000665B0">
        <w:t xml:space="preserve"> assigned missiles. For information about conditions that determine missile status for a missile, see </w:t>
      </w:r>
      <w:hyperlink w:anchor="_Missile_Assignments_Tab" w:history="1">
        <w:r w:rsidR="0096111B" w:rsidRPr="000665B0">
          <w:rPr>
            <w:rStyle w:val="Hyperlink"/>
          </w:rPr>
          <w:t xml:space="preserve">Section </w:t>
        </w:r>
        <w:r w:rsidR="004231CC">
          <w:rPr>
            <w:rStyle w:val="Hyperlink"/>
          </w:rPr>
          <w:t>5.35</w:t>
        </w:r>
        <w:r w:rsidR="0096111B" w:rsidRPr="000665B0">
          <w:rPr>
            <w:rStyle w:val="Hyperlink"/>
          </w:rPr>
          <w:t>.3.1.9</w:t>
        </w:r>
        <w:r w:rsidRPr="000665B0">
          <w:rPr>
            <w:rStyle w:val="Hyperlink"/>
          </w:rPr>
          <w:t>.2</w:t>
        </w:r>
      </w:hyperlink>
      <w:r w:rsidRPr="000665B0">
        <w:t xml:space="preserve"> (MSL column)</w:t>
      </w:r>
      <w:r w:rsidRPr="000665B0">
        <w:rPr>
          <w:rFonts w:cs="Arial"/>
          <w:szCs w:val="24"/>
        </w:rPr>
        <w:t>.</w:t>
      </w:r>
      <w:r w:rsidRPr="000665B0">
        <w:t xml:space="preserve"> The icon indicators are as follows:</w:t>
      </w:r>
    </w:p>
    <w:p w14:paraId="32815E9D" w14:textId="13C3308E" w:rsidR="001C3778" w:rsidRPr="000665B0" w:rsidRDefault="001C3778" w:rsidP="006D5A65">
      <w:pPr>
        <w:pStyle w:val="Heading2"/>
      </w:pPr>
      <w:r w:rsidRPr="000665B0">
        <w:t xml:space="preserve">Blank (no circular icon) – Indicates that </w:t>
      </w:r>
      <w:r w:rsidRPr="000665B0">
        <w:rPr>
          <w:rFonts w:cs="Arial"/>
          <w:szCs w:val="24"/>
        </w:rPr>
        <w:t xml:space="preserve">the </w:t>
      </w:r>
      <w:r w:rsidR="00A87D18" w:rsidRPr="000665B0">
        <w:rPr>
          <w:rFonts w:cs="Arial"/>
          <w:szCs w:val="24"/>
        </w:rPr>
        <w:t>target</w:t>
      </w:r>
      <w:r w:rsidRPr="000665B0">
        <w:rPr>
          <w:rFonts w:cs="Arial"/>
          <w:szCs w:val="24"/>
        </w:rPr>
        <w:t xml:space="preserve"> has no primary assignment</w:t>
      </w:r>
      <w:r w:rsidRPr="000665B0">
        <w:t xml:space="preserve">. </w:t>
      </w:r>
    </w:p>
    <w:p w14:paraId="28177CE9" w14:textId="727C3DE9" w:rsidR="001C3778" w:rsidRPr="000665B0" w:rsidRDefault="001C3778" w:rsidP="006D5A65">
      <w:pPr>
        <w:pStyle w:val="Heading2"/>
      </w:pPr>
      <w:r w:rsidRPr="000665B0">
        <w:t xml:space="preserve">White (At Least 1 Primary Missile is Assigned) – Indicates that at least one primary missile is assigned to the </w:t>
      </w:r>
      <w:r w:rsidR="00A87D18" w:rsidRPr="000665B0">
        <w:t>target</w:t>
      </w:r>
      <w:r w:rsidRPr="000665B0">
        <w:t>.</w:t>
      </w:r>
    </w:p>
    <w:p w14:paraId="281FC240" w14:textId="3A4C9DF9" w:rsidR="001C3778" w:rsidRPr="000665B0" w:rsidRDefault="001C3778" w:rsidP="006D5A65">
      <w:pPr>
        <w:pStyle w:val="Heading2"/>
      </w:pPr>
      <w:r w:rsidRPr="000665B0">
        <w:t xml:space="preserve">Green (At Least 1 Missile is Good with no Warning or Failures) – Indicates that </w:t>
      </w:r>
      <w:r w:rsidR="00A87D18" w:rsidRPr="000665B0">
        <w:t>a missile’s estimated launch time has passed (assume it is good) or a missile was marked as good and there are no warnings or bad missiles for the target</w:t>
      </w:r>
      <w:r w:rsidRPr="000665B0">
        <w:t>.</w:t>
      </w:r>
    </w:p>
    <w:p w14:paraId="656BCF4A" w14:textId="77777777" w:rsidR="001C3778" w:rsidRPr="000665B0" w:rsidRDefault="001C3778" w:rsidP="006D5A65">
      <w:pPr>
        <w:pStyle w:val="Heading2"/>
      </w:pPr>
      <w:r w:rsidRPr="000665B0">
        <w:t>Yellow (At Least 1 Missile has a Warning with No Failures) – Indicates that the MSL Status of at least one of the FRU’s missiles is yellow (warning).</w:t>
      </w:r>
    </w:p>
    <w:p w14:paraId="7960A38E" w14:textId="43E05BFD" w:rsidR="001C3778" w:rsidRPr="000665B0" w:rsidRDefault="001C3778" w:rsidP="006D5A65">
      <w:pPr>
        <w:pStyle w:val="Heading2"/>
      </w:pPr>
      <w:r w:rsidRPr="000665B0">
        <w:t>Red (At Least 1 Missile has a Failure) – Indicates that the MSL Status of at least one of the FRU’s missiles is red (failure).</w:t>
      </w:r>
    </w:p>
    <w:p w14:paraId="69C3E5C5" w14:textId="6F601BC2" w:rsidR="000B5A0B" w:rsidRPr="000665B0" w:rsidRDefault="000B5A0B" w:rsidP="006D5A65">
      <w:pPr>
        <w:pStyle w:val="Heading1"/>
      </w:pPr>
      <w:r w:rsidRPr="000665B0">
        <w:lastRenderedPageBreak/>
        <w:t xml:space="preserve">First TOT </w:t>
      </w:r>
      <w:r w:rsidR="004E2624" w:rsidRPr="000665B0">
        <w:t>–</w:t>
      </w:r>
      <w:r w:rsidRPr="000665B0">
        <w:t xml:space="preserve"> First Time on Target for that target.</w:t>
      </w:r>
    </w:p>
    <w:p w14:paraId="1B52B19A" w14:textId="1B1D790E" w:rsidR="000B5A0B" w:rsidRPr="000665B0" w:rsidRDefault="000B5A0B" w:rsidP="006D5A65">
      <w:pPr>
        <w:pStyle w:val="Heading1"/>
      </w:pPr>
      <w:r w:rsidRPr="000665B0">
        <w:t xml:space="preserve">Last TOT </w:t>
      </w:r>
      <w:r w:rsidR="004E2624" w:rsidRPr="000665B0">
        <w:t>–</w:t>
      </w:r>
      <w:r w:rsidRPr="000665B0">
        <w:t xml:space="preserve"> Last Time on Target for that target.</w:t>
      </w:r>
    </w:p>
    <w:p w14:paraId="4E741E29" w14:textId="77777777" w:rsidR="000B5A0B" w:rsidRPr="000665B0" w:rsidRDefault="000B5A0B" w:rsidP="006D5A65">
      <w:pPr>
        <w:pStyle w:val="Heading1"/>
      </w:pPr>
      <w:r w:rsidRPr="000665B0">
        <w:t xml:space="preserve">Enroute </w:t>
      </w:r>
      <w:r w:rsidR="004E2624" w:rsidRPr="000665B0">
        <w:t>–</w:t>
      </w:r>
      <w:r w:rsidRPr="000665B0">
        <w:t xml:space="preserve"> Number of missiles enroute to that target. </w:t>
      </w:r>
    </w:p>
    <w:p w14:paraId="57B5F418" w14:textId="148FAAB0" w:rsidR="000B5A0B" w:rsidRPr="000665B0" w:rsidRDefault="000B5A0B" w:rsidP="006D5A65">
      <w:pPr>
        <w:pStyle w:val="Heading1"/>
      </w:pPr>
      <w:r w:rsidRPr="000665B0">
        <w:t xml:space="preserve">Failed </w:t>
      </w:r>
      <w:r w:rsidR="004E2624" w:rsidRPr="000665B0">
        <w:t>–</w:t>
      </w:r>
      <w:r w:rsidRPr="000665B0">
        <w:t xml:space="preserve"> Number of failed missiles for that target.</w:t>
      </w:r>
    </w:p>
    <w:p w14:paraId="7A621774" w14:textId="77777777" w:rsidR="000B5A0B" w:rsidRPr="000665B0" w:rsidRDefault="000B5A0B" w:rsidP="006D5A65">
      <w:pPr>
        <w:pStyle w:val="Heading1"/>
      </w:pPr>
      <w:r w:rsidRPr="000665B0">
        <w:t xml:space="preserve">At Tgt </w:t>
      </w:r>
      <w:r w:rsidR="004E2624" w:rsidRPr="000665B0">
        <w:t>–</w:t>
      </w:r>
      <w:r w:rsidRPr="000665B0">
        <w:t xml:space="preserve"> Number of missiles that hit the target.</w:t>
      </w:r>
    </w:p>
    <w:p w14:paraId="202ABC12" w14:textId="668FC663" w:rsidR="000B5A0B" w:rsidRPr="000665B0" w:rsidRDefault="000B5A0B" w:rsidP="006D5A65">
      <w:pPr>
        <w:pStyle w:val="Heading1"/>
      </w:pPr>
      <w:r w:rsidRPr="000665B0">
        <w:t xml:space="preserve">Total </w:t>
      </w:r>
      <w:r w:rsidR="004E2624" w:rsidRPr="000665B0">
        <w:t>–</w:t>
      </w:r>
      <w:r w:rsidRPr="000665B0">
        <w:t xml:space="preserve"> Total number of missiles to the target.</w:t>
      </w:r>
    </w:p>
    <w:p w14:paraId="215258A7" w14:textId="09DF7F31" w:rsidR="006E7851" w:rsidRPr="000665B0" w:rsidRDefault="006E7851" w:rsidP="006D5A65">
      <w:pPr>
        <w:pStyle w:val="Heading1"/>
      </w:pPr>
      <w:r w:rsidRPr="000665B0">
        <w:t xml:space="preserve">JDPI – </w:t>
      </w:r>
      <w:r w:rsidR="003712C4" w:rsidRPr="000665B0">
        <w:t>JDPI ID.</w:t>
      </w:r>
    </w:p>
    <w:p w14:paraId="31BC5C2E" w14:textId="3F53B8A6" w:rsidR="006E7851" w:rsidRPr="000665B0" w:rsidRDefault="006E7851" w:rsidP="006D5A65">
      <w:pPr>
        <w:pStyle w:val="Heading1"/>
      </w:pPr>
      <w:r w:rsidRPr="000665B0">
        <w:t>Target Number –</w:t>
      </w:r>
      <w:r w:rsidR="003712C4" w:rsidRPr="000665B0">
        <w:t xml:space="preserve"> The Target Number of the target.</w:t>
      </w:r>
    </w:p>
    <w:p w14:paraId="66BF9E6D" w14:textId="307D7709" w:rsidR="00382975" w:rsidRPr="009B047F" w:rsidRDefault="006E7851" w:rsidP="006D5A65">
      <w:pPr>
        <w:pStyle w:val="Heading1"/>
        <w:rPr>
          <w:szCs w:val="24"/>
        </w:rPr>
      </w:pPr>
      <w:r w:rsidRPr="000665B0">
        <w:t xml:space="preserve">TTN – </w:t>
      </w:r>
      <w:r w:rsidR="003712C4" w:rsidRPr="000665B0">
        <w:t>Indicates the TTN of the target.</w:t>
      </w:r>
    </w:p>
    <w:p w14:paraId="49FCFFB1" w14:textId="7FE2C049" w:rsidR="00820752" w:rsidRPr="009B047F" w:rsidRDefault="00820752" w:rsidP="006D5A65">
      <w:pPr>
        <w:pStyle w:val="Heading1"/>
      </w:pPr>
      <w:r>
        <w:t>Launch Type – Assigned mission to the MSL is ground</w:t>
      </w:r>
      <w:r w:rsidR="00AA56E8">
        <w:t>-launch</w:t>
      </w:r>
      <w:r>
        <w:t xml:space="preserve"> or sea</w:t>
      </w:r>
      <w:r w:rsidR="00AA56E8">
        <w:t>-</w:t>
      </w:r>
      <w:r>
        <w:t>launch mission.</w:t>
      </w:r>
    </w:p>
    <w:p w14:paraId="584C608C" w14:textId="3053E9D0" w:rsidR="009B047F" w:rsidRDefault="009B047F" w:rsidP="009B047F">
      <w:pPr>
        <w:rPr>
          <w:szCs w:val="24"/>
        </w:rPr>
      </w:pPr>
      <w:r w:rsidRPr="009B047F">
        <w:rPr>
          <w:bCs/>
        </w:rPr>
        <w:t>The bottom list view</w:t>
      </w:r>
      <w:r w:rsidR="002118E4">
        <w:rPr>
          <w:bCs/>
        </w:rPr>
        <w:t xml:space="preserve"> of the </w:t>
      </w:r>
      <w:r w:rsidR="002118E4" w:rsidRPr="002118E4">
        <w:rPr>
          <w:b/>
          <w:bCs/>
          <w:i/>
        </w:rPr>
        <w:t>Targets</w:t>
      </w:r>
      <w:r w:rsidR="002118E4">
        <w:rPr>
          <w:bCs/>
        </w:rPr>
        <w:t xml:space="preserve"> tab</w:t>
      </w:r>
      <w:r w:rsidRPr="009B047F">
        <w:rPr>
          <w:bCs/>
        </w:rPr>
        <w:t xml:space="preserve"> is populated with all missiles that go to the target selected in the top list view</w:t>
      </w:r>
      <w:r w:rsidRPr="009B047F">
        <w:rPr>
          <w:bCs/>
          <w:szCs w:val="24"/>
        </w:rPr>
        <w:t>. The</w:t>
      </w:r>
      <w:r>
        <w:rPr>
          <w:szCs w:val="24"/>
        </w:rPr>
        <w:t xml:space="preserve"> bottom list view contains the following columns (this is not a complete list</w:t>
      </w:r>
      <w:r w:rsidR="002118E4">
        <w:rPr>
          <w:szCs w:val="24"/>
        </w:rPr>
        <w:t xml:space="preserve"> but many of the columns are common to other list views</w:t>
      </w:r>
      <w:r>
        <w:rPr>
          <w:szCs w:val="24"/>
        </w:rPr>
        <w:t>).</w:t>
      </w:r>
    </w:p>
    <w:p w14:paraId="207D238E" w14:textId="7BBF6DB1" w:rsidR="009B047F" w:rsidRPr="009B047F" w:rsidRDefault="009B047F" w:rsidP="006D5A65">
      <w:pPr>
        <w:pStyle w:val="Heading1"/>
        <w:rPr>
          <w:szCs w:val="24"/>
        </w:rPr>
      </w:pPr>
      <w:r w:rsidRPr="00BB6C1D">
        <w:t>MST Group</w:t>
      </w:r>
      <w:r w:rsidR="00BB6C1D">
        <w:t xml:space="preserve"> –</w:t>
      </w:r>
      <w:r>
        <w:t xml:space="preserve"> </w:t>
      </w:r>
      <w:r w:rsidR="002118E4">
        <w:t>MST Group ID.</w:t>
      </w:r>
    </w:p>
    <w:p w14:paraId="762BED07" w14:textId="17380A84" w:rsidR="00BB6C1D" w:rsidRPr="00BB6C1D" w:rsidRDefault="009B047F" w:rsidP="006D5A65">
      <w:pPr>
        <w:pStyle w:val="Heading1"/>
        <w:rPr>
          <w:szCs w:val="24"/>
        </w:rPr>
      </w:pPr>
      <w:r w:rsidRPr="00BB6C1D">
        <w:t>MST Target</w:t>
      </w:r>
      <w:r w:rsidR="006838C4">
        <w:t xml:space="preserve"> – </w:t>
      </w:r>
      <w:r w:rsidR="002118E4">
        <w:t>MST Target ID.</w:t>
      </w:r>
    </w:p>
    <w:p w14:paraId="6ADDA5CD" w14:textId="237FBABF" w:rsidR="009B047F" w:rsidRPr="00BB6C1D" w:rsidRDefault="006838C4" w:rsidP="006D5A65">
      <w:pPr>
        <w:pStyle w:val="Heading1"/>
      </w:pPr>
      <w:r w:rsidRPr="00BB6C1D">
        <w:t>MST Primary Target Class</w:t>
      </w:r>
      <w:r w:rsidRPr="000665B0">
        <w:t xml:space="preserve"> – </w:t>
      </w:r>
      <w:r w:rsidRPr="00BB6C1D">
        <w:t>The Primary target class for the missile to engage</w:t>
      </w:r>
      <w:r w:rsidRPr="000665B0">
        <w:t xml:space="preserve"> (maritime strike).</w:t>
      </w:r>
    </w:p>
    <w:p w14:paraId="1A1C8708" w14:textId="63506C5A" w:rsidR="009B047F" w:rsidRPr="009B047F" w:rsidRDefault="006838C4" w:rsidP="006D5A65">
      <w:pPr>
        <w:pStyle w:val="Heading1"/>
      </w:pPr>
      <w:r w:rsidRPr="000665B0">
        <w:t>MST Secondary Target Class – The Secondary target class for the missile to engage (maritime strike).</w:t>
      </w:r>
    </w:p>
    <w:p w14:paraId="7BD0505E" w14:textId="7551ACE6" w:rsidR="006838C4" w:rsidRPr="006838C4" w:rsidRDefault="006838C4" w:rsidP="006D5A65">
      <w:pPr>
        <w:pStyle w:val="Heading1"/>
      </w:pPr>
      <w:r w:rsidRPr="000665B0">
        <w:t>MST Tertiary Target Class – The Tertiary target class for the missile to engage (maritime strike).</w:t>
      </w:r>
      <w:r w:rsidR="009B047F">
        <w:t xml:space="preserve"> </w:t>
      </w:r>
    </w:p>
    <w:p w14:paraId="390E27C1" w14:textId="77777777" w:rsidR="006838C4" w:rsidRPr="000665B0" w:rsidRDefault="006838C4" w:rsidP="006D5A65">
      <w:pPr>
        <w:pStyle w:val="Heading1"/>
      </w:pPr>
      <w:r w:rsidRPr="000665B0">
        <w:t>Seeker Acquisition State – State of missile Seeker Acquisition (maritime strike). Possible states include:</w:t>
      </w:r>
    </w:p>
    <w:p w14:paraId="6F17D706" w14:textId="77777777" w:rsidR="006838C4" w:rsidRPr="000665B0" w:rsidRDefault="006838C4" w:rsidP="006D5A65">
      <w:pPr>
        <w:pStyle w:val="Heading2"/>
      </w:pPr>
      <w:r w:rsidRPr="000665B0">
        <w:t>Not Acquired – Target not acquired</w:t>
      </w:r>
    </w:p>
    <w:p w14:paraId="00A0FF10" w14:textId="105E6F62" w:rsidR="006838C4" w:rsidRPr="000665B0" w:rsidRDefault="006838C4" w:rsidP="006D5A65">
      <w:pPr>
        <w:pStyle w:val="Heading2"/>
      </w:pPr>
      <w:r w:rsidRPr="000665B0">
        <w:t xml:space="preserve">Passive Acquired – Target acquired with passive </w:t>
      </w:r>
      <w:r w:rsidR="00CA486B" w:rsidRPr="000665B0">
        <w:t>seeker.</w:t>
      </w:r>
    </w:p>
    <w:p w14:paraId="4CCC3158" w14:textId="3B65C248" w:rsidR="009B047F" w:rsidRPr="000665B0" w:rsidRDefault="006838C4" w:rsidP="006D5A65">
      <w:pPr>
        <w:pStyle w:val="Heading2"/>
        <w:rPr>
          <w:szCs w:val="24"/>
        </w:rPr>
      </w:pPr>
      <w:r w:rsidRPr="000665B0">
        <w:t>Active Acquired – Target acquired with active seeker.</w:t>
      </w:r>
    </w:p>
    <w:p w14:paraId="227DCCFE" w14:textId="5B67B3B5" w:rsidR="000B5A0B" w:rsidRPr="000665B0" w:rsidRDefault="000B5A0B" w:rsidP="004E7DCC">
      <w:pPr>
        <w:keepNext/>
      </w:pPr>
      <w:r w:rsidRPr="000665B0">
        <w:t>The context menu allows</w:t>
      </w:r>
      <w:r w:rsidR="00B214A4" w:rsidRPr="000665B0">
        <w:t xml:space="preserve"> the following. </w:t>
      </w:r>
      <w:bookmarkStart w:id="6648" w:name="_Hlk74149013"/>
      <w:r w:rsidR="00B214A4" w:rsidRPr="000665B0">
        <w:rPr>
          <w:snapToGrid w:val="0"/>
        </w:rPr>
        <w:t xml:space="preserve">The </w:t>
      </w:r>
      <w:r w:rsidR="00F605E5" w:rsidRPr="000665B0">
        <w:rPr>
          <w:snapToGrid w:val="0"/>
        </w:rPr>
        <w:t>context menu selections may vary</w:t>
      </w:r>
      <w:r w:rsidR="00B214A4" w:rsidRPr="000665B0">
        <w:rPr>
          <w:snapToGrid w:val="0"/>
        </w:rPr>
        <w:t xml:space="preserve"> depending on whether the strike is a land attack or maritime strike.</w:t>
      </w:r>
      <w:bookmarkEnd w:id="6648"/>
    </w:p>
    <w:p w14:paraId="4F2DE691" w14:textId="77777777" w:rsidR="00B2765F" w:rsidRPr="000665B0" w:rsidRDefault="000B5A0B" w:rsidP="006D5A65">
      <w:pPr>
        <w:pStyle w:val="Heading1"/>
      </w:pPr>
      <w:r w:rsidRPr="000665B0">
        <w:t>Display</w:t>
      </w:r>
      <w:r w:rsidR="00A05D58" w:rsidRPr="000665B0">
        <w:t xml:space="preserve"> </w:t>
      </w:r>
    </w:p>
    <w:p w14:paraId="2EF32EA8" w14:textId="27B868FE" w:rsidR="00B2765F" w:rsidRPr="000665B0" w:rsidRDefault="00B2765F" w:rsidP="006D5A65">
      <w:pPr>
        <w:pStyle w:val="Heading1"/>
      </w:pPr>
      <w:r w:rsidRPr="000665B0">
        <w:rPr>
          <w:szCs w:val="24"/>
        </w:rPr>
        <w:t xml:space="preserve">MTO </w:t>
      </w:r>
      <w:r w:rsidR="00B214A4" w:rsidRPr="000665B0">
        <w:rPr>
          <w:szCs w:val="24"/>
        </w:rPr>
        <w:t>(NA for maritime strikes)</w:t>
      </w:r>
      <w:r w:rsidRPr="000665B0">
        <w:rPr>
          <w:szCs w:val="24"/>
        </w:rPr>
        <w:t xml:space="preserve">– </w:t>
      </w:r>
      <w:r w:rsidR="005A12AE" w:rsidRPr="000665B0">
        <w:t xml:space="preserve">Message to Observer shows information that can be transmitted to the observer monitoring the target area to provide the observer with the necessary information to meet the </w:t>
      </w:r>
      <w:r w:rsidR="00987E38" w:rsidRPr="000665B0">
        <w:t>observer’s objectives</w:t>
      </w:r>
      <w:r w:rsidR="005A12AE" w:rsidRPr="000665B0">
        <w:t xml:space="preserve">. MTO </w:t>
      </w:r>
      <w:r w:rsidR="005A12AE" w:rsidRPr="000665B0">
        <w:lastRenderedPageBreak/>
        <w:t>contains static data from the mission and dynamic data from the strike</w:t>
      </w:r>
      <w:r w:rsidR="001D7CDF" w:rsidRPr="000665B0">
        <w:t>.</w:t>
      </w:r>
      <w:r w:rsidR="00CF1403">
        <w:t xml:space="preserve"> (See </w:t>
      </w:r>
      <w:hyperlink w:anchor="_MTO__–" w:history="1">
        <w:r w:rsidR="00CF1403" w:rsidRPr="00CF1403">
          <w:rPr>
            <w:rStyle w:val="Hyperlink"/>
            <w:rFonts w:ascii="Times New Roman" w:eastAsia="Times New Roman" w:hAnsi="Times New Roman"/>
          </w:rPr>
          <w:t xml:space="preserve">Section </w:t>
        </w:r>
        <w:r w:rsidR="004231CC">
          <w:rPr>
            <w:rStyle w:val="Hyperlink"/>
            <w:rFonts w:ascii="Times New Roman" w:eastAsia="Times New Roman" w:hAnsi="Times New Roman"/>
          </w:rPr>
          <w:t>5.35</w:t>
        </w:r>
        <w:r w:rsidR="00CF1403" w:rsidRPr="00CF1403">
          <w:rPr>
            <w:rStyle w:val="Hyperlink"/>
            <w:rFonts w:ascii="Times New Roman" w:eastAsia="Times New Roman" w:hAnsi="Times New Roman"/>
          </w:rPr>
          <w:t>.18.2</w:t>
        </w:r>
      </w:hyperlink>
      <w:r w:rsidR="00CF1403">
        <w:t>).</w:t>
      </w:r>
    </w:p>
    <w:p w14:paraId="42519EAD" w14:textId="77777777" w:rsidR="000B5A0B" w:rsidRPr="000665B0" w:rsidRDefault="000B5A0B" w:rsidP="006D5A65">
      <w:pPr>
        <w:pStyle w:val="Heading1"/>
      </w:pPr>
      <w:r w:rsidRPr="000665B0">
        <w:rPr>
          <w:szCs w:val="24"/>
        </w:rPr>
        <w:t xml:space="preserve">Geographically – </w:t>
      </w:r>
      <w:r w:rsidR="004E2624" w:rsidRPr="000665B0">
        <w:t>Displays the selected target(s) geographically</w:t>
      </w:r>
      <w:r w:rsidRPr="000665B0">
        <w:t>.</w:t>
      </w:r>
    </w:p>
    <w:p w14:paraId="50411CCD" w14:textId="77777777" w:rsidR="00B2765F" w:rsidRPr="000665B0" w:rsidRDefault="00B2765F" w:rsidP="006D5A65">
      <w:pPr>
        <w:pStyle w:val="Heading1"/>
      </w:pPr>
      <w:r w:rsidRPr="000665B0">
        <w:rPr>
          <w:szCs w:val="24"/>
        </w:rPr>
        <w:t>In Excel</w:t>
      </w:r>
      <w:r w:rsidR="004E2624" w:rsidRPr="000665B0">
        <w:rPr>
          <w:szCs w:val="24"/>
        </w:rPr>
        <w:t xml:space="preserve"> – </w:t>
      </w:r>
      <w:r w:rsidR="004E2624" w:rsidRPr="000665B0">
        <w:t>Creates an Excel document containing the selected target’s information.</w:t>
      </w:r>
    </w:p>
    <w:p w14:paraId="6CFAC906" w14:textId="29BE0318" w:rsidR="0021728B" w:rsidRPr="000665B0" w:rsidRDefault="0021728B" w:rsidP="006D5A65">
      <w:pPr>
        <w:pStyle w:val="Heading1"/>
      </w:pPr>
      <w:r w:rsidRPr="000665B0">
        <w:t>Add Target</w:t>
      </w:r>
      <w:r w:rsidR="006E7851" w:rsidRPr="000665B0">
        <w:t>s</w:t>
      </w:r>
    </w:p>
    <w:p w14:paraId="6BFEE23D" w14:textId="77777777" w:rsidR="0021728B" w:rsidRPr="000665B0" w:rsidRDefault="0021728B" w:rsidP="006D5A65">
      <w:pPr>
        <w:pStyle w:val="Heading1"/>
      </w:pPr>
      <w:r w:rsidRPr="000665B0">
        <w:t xml:space="preserve">New – </w:t>
      </w:r>
      <w:r w:rsidR="0033752B" w:rsidRPr="000665B0">
        <w:t xml:space="preserve">Invokes the </w:t>
      </w:r>
      <w:r w:rsidR="0033752B" w:rsidRPr="000665B0">
        <w:rPr>
          <w:i/>
        </w:rPr>
        <w:t>Target ID</w:t>
      </w:r>
      <w:r w:rsidR="0033752B" w:rsidRPr="000665B0">
        <w:t xml:space="preserve"> window to add a new target.</w:t>
      </w:r>
    </w:p>
    <w:p w14:paraId="2C3A3021" w14:textId="209ED20D" w:rsidR="0033752B" w:rsidRPr="000665B0" w:rsidRDefault="0021728B" w:rsidP="006D5A65">
      <w:pPr>
        <w:pStyle w:val="Heading1"/>
      </w:pPr>
      <w:r w:rsidRPr="000665B0">
        <w:t xml:space="preserve">Existing – </w:t>
      </w:r>
      <w:r w:rsidR="0033752B" w:rsidRPr="000665B0">
        <w:t xml:space="preserve">Invokes the </w:t>
      </w:r>
      <w:r w:rsidR="0033752B" w:rsidRPr="000665B0">
        <w:rPr>
          <w:i/>
        </w:rPr>
        <w:t xml:space="preserve">Targets </w:t>
      </w:r>
      <w:r w:rsidR="0033752B" w:rsidRPr="000665B0">
        <w:t xml:space="preserve">window to add </w:t>
      </w:r>
      <w:r w:rsidR="006E7851" w:rsidRPr="000665B0">
        <w:t xml:space="preserve">one or more </w:t>
      </w:r>
      <w:r w:rsidR="0033752B" w:rsidRPr="000665B0">
        <w:t>existing target</w:t>
      </w:r>
      <w:r w:rsidR="006E7851" w:rsidRPr="000665B0">
        <w:t>s</w:t>
      </w:r>
      <w:r w:rsidR="0033752B" w:rsidRPr="000665B0">
        <w:t>.</w:t>
      </w:r>
      <w:r w:rsidR="006E7851" w:rsidRPr="000665B0">
        <w:t xml:space="preserve"> (It is not recommended to add more than five targets at one time.)</w:t>
      </w:r>
    </w:p>
    <w:p w14:paraId="60052C65" w14:textId="77777777" w:rsidR="0033752B" w:rsidRPr="000665B0" w:rsidRDefault="0033752B" w:rsidP="006D5A65">
      <w:pPr>
        <w:pStyle w:val="Heading1"/>
        <w:rPr>
          <w:szCs w:val="24"/>
        </w:rPr>
      </w:pPr>
      <w:r w:rsidRPr="000665B0">
        <w:rPr>
          <w:szCs w:val="24"/>
        </w:rPr>
        <w:t>Print…</w:t>
      </w:r>
      <w:r w:rsidR="00172C5A" w:rsidRPr="000665B0">
        <w:rPr>
          <w:szCs w:val="24"/>
        </w:rPr>
        <w:t xml:space="preserve"> </w:t>
      </w:r>
      <w:r w:rsidRPr="000665B0">
        <w:rPr>
          <w:szCs w:val="24"/>
        </w:rPr>
        <w:t xml:space="preserve">– </w:t>
      </w:r>
      <w:r w:rsidR="00172C5A" w:rsidRPr="000665B0">
        <w:t>Prints the selected item(s) in the list.</w:t>
      </w:r>
    </w:p>
    <w:p w14:paraId="27295D6C" w14:textId="77777777" w:rsidR="00C6477C" w:rsidRDefault="0033752B" w:rsidP="00C6477C">
      <w:pPr>
        <w:rPr>
          <w:szCs w:val="24"/>
        </w:rPr>
      </w:pPr>
      <w:r w:rsidRPr="000665B0">
        <w:t>A missile can be selected in the lower pane. The context menu allows</w:t>
      </w:r>
      <w:r w:rsidR="00940F27" w:rsidRPr="000665B0">
        <w:t xml:space="preserve"> the following (some menu items may be enabled/disabled depending on the type of missile)</w:t>
      </w:r>
      <w:r w:rsidR="00582A56" w:rsidRPr="000665B0">
        <w:t xml:space="preserve">. </w:t>
      </w:r>
      <w:r w:rsidR="00582A56" w:rsidRPr="000665B0">
        <w:rPr>
          <w:snapToGrid w:val="0"/>
        </w:rPr>
        <w:t xml:space="preserve">The </w:t>
      </w:r>
      <w:r w:rsidR="00F605E5" w:rsidRPr="000665B0">
        <w:rPr>
          <w:snapToGrid w:val="0"/>
        </w:rPr>
        <w:t>context menu selections may vary</w:t>
      </w:r>
      <w:r w:rsidR="00582A56" w:rsidRPr="000665B0">
        <w:rPr>
          <w:snapToGrid w:val="0"/>
        </w:rPr>
        <w:t xml:space="preserve"> depending on whether the strike is a land attack or maritime strike.</w:t>
      </w:r>
      <w:bookmarkStart w:id="6649" w:name="_Hlk168563007"/>
    </w:p>
    <w:p w14:paraId="78F1BBD1" w14:textId="5DAC469B" w:rsidR="00C6477C" w:rsidRPr="00686BA0" w:rsidRDefault="00C6477C" w:rsidP="00C6477C">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bCs/>
          <w:szCs w:val="24"/>
        </w:rPr>
      </w:pPr>
      <w:r w:rsidRPr="00686BA0">
        <w:rPr>
          <w:b/>
          <w:bCs/>
          <w:szCs w:val="24"/>
        </w:rPr>
        <w:t>Note:</w:t>
      </w:r>
      <w:r w:rsidRPr="00686BA0">
        <w:rPr>
          <w:b/>
          <w:bCs/>
          <w:szCs w:val="24"/>
        </w:rPr>
        <w:br/>
        <w:t>In TMPC 7.0.3, the following context menu items are disabled for 109M missile</w:t>
      </w:r>
      <w:r w:rsidR="00244BC5">
        <w:rPr>
          <w:b/>
          <w:bCs/>
          <w:szCs w:val="24"/>
        </w:rPr>
        <w:t>s</w:t>
      </w:r>
      <w:r w:rsidRPr="00686BA0">
        <w:rPr>
          <w:b/>
          <w:bCs/>
          <w:szCs w:val="24"/>
        </w:rPr>
        <w:t>.</w:t>
      </w:r>
    </w:p>
    <w:p w14:paraId="6CBF3AFB" w14:textId="77777777" w:rsidR="00C6477C" w:rsidRPr="00686BA0" w:rsidRDefault="00C6477C" w:rsidP="006D5A65">
      <w:pPr>
        <w:pStyle w:val="Heading1"/>
      </w:pPr>
      <w:r w:rsidRPr="00686BA0">
        <w:t>Status</w:t>
      </w:r>
    </w:p>
    <w:p w14:paraId="7F46AB56" w14:textId="77777777" w:rsidR="00C6477C" w:rsidRPr="00686BA0" w:rsidRDefault="00C6477C" w:rsidP="006D5A65">
      <w:pPr>
        <w:pStyle w:val="Heading1"/>
      </w:pPr>
      <w:r w:rsidRPr="00686BA0">
        <w:t>Reassign FRU…</w:t>
      </w:r>
    </w:p>
    <w:p w14:paraId="552801B2" w14:textId="77777777" w:rsidR="00C6477C" w:rsidRPr="00686BA0" w:rsidRDefault="00C6477C" w:rsidP="006D5A65">
      <w:pPr>
        <w:pStyle w:val="Heading1"/>
      </w:pPr>
      <w:r w:rsidRPr="00686BA0">
        <w:t>Assign Ghost…</w:t>
      </w:r>
    </w:p>
    <w:p w14:paraId="7AD5E273" w14:textId="77777777" w:rsidR="00C6477C" w:rsidRPr="00686BA0" w:rsidRDefault="00C6477C" w:rsidP="006D5A65">
      <w:pPr>
        <w:pStyle w:val="Heading1"/>
      </w:pPr>
      <w:r w:rsidRPr="00686BA0">
        <w:t>Move to Pool</w:t>
      </w:r>
    </w:p>
    <w:p w14:paraId="7A5D5F58" w14:textId="77777777" w:rsidR="00C6477C" w:rsidRPr="00686BA0" w:rsidRDefault="00C6477C" w:rsidP="006D5A65">
      <w:pPr>
        <w:pStyle w:val="Heading1"/>
      </w:pPr>
      <w:r w:rsidRPr="00686BA0">
        <w:t>Edit</w:t>
      </w:r>
      <w:r w:rsidRPr="00686BA0">
        <w:br/>
        <w:t>- TTWCS IMMM</w:t>
      </w:r>
      <w:r w:rsidRPr="00686BA0">
        <w:br/>
        <w:t>- TSN Comms</w:t>
      </w:r>
    </w:p>
    <w:p w14:paraId="6B1F9FB0" w14:textId="77777777" w:rsidR="00C6477C" w:rsidRPr="00686BA0" w:rsidRDefault="00C6477C" w:rsidP="006D5A65">
      <w:pPr>
        <w:pStyle w:val="Heading1"/>
      </w:pPr>
      <w:r w:rsidRPr="00686BA0">
        <w:t>Swap Controller (to [Node])</w:t>
      </w:r>
    </w:p>
    <w:p w14:paraId="418514B4" w14:textId="797165D7" w:rsidR="0033752B" w:rsidRPr="00BB4EBE" w:rsidRDefault="00C6477C" w:rsidP="006D5A65">
      <w:pPr>
        <w:pStyle w:val="Heading1"/>
      </w:pPr>
      <w:r w:rsidRPr="00686BA0">
        <w:t>Edit Alternate Controller…</w:t>
      </w:r>
      <w:bookmarkEnd w:id="6649"/>
    </w:p>
    <w:p w14:paraId="7FE75F8C" w14:textId="77777777" w:rsidR="005A1D6C" w:rsidRPr="000665B0" w:rsidRDefault="005A1D6C" w:rsidP="006D5A65">
      <w:pPr>
        <w:pStyle w:val="Heading1"/>
      </w:pPr>
      <w:r w:rsidRPr="000665B0">
        <w:t>Display</w:t>
      </w:r>
    </w:p>
    <w:p w14:paraId="5FF812C6" w14:textId="757F4F7E" w:rsidR="00DA2D89" w:rsidRPr="00DA2D89" w:rsidRDefault="005A1D6C" w:rsidP="006D5A65">
      <w:pPr>
        <w:pStyle w:val="Heading2"/>
        <w:rPr>
          <w:rFonts w:eastAsia="Arial Unicode MS"/>
        </w:rPr>
      </w:pPr>
      <w:r w:rsidRPr="00DF11F2">
        <w:rPr>
          <w:rFonts w:eastAsia="Arial Unicode MS"/>
        </w:rPr>
        <w:t xml:space="preserve">MTO – </w:t>
      </w:r>
      <w:r w:rsidRPr="000665B0">
        <w:t xml:space="preserve">Display </w:t>
      </w:r>
      <w:r w:rsidRPr="00DF11F2">
        <w:t>Message to Observer shows information that can be transmitted to the observer monitoring the target area to provide the observer with the necessary information to meet the observer’s objectives. MTO contains static data from the mission and dynamic data from the strike.</w:t>
      </w:r>
      <w:r w:rsidR="00DF11F2" w:rsidRPr="00DF11F2">
        <w:t xml:space="preserve"> (See </w:t>
      </w:r>
      <w:hyperlink w:anchor="_MTO_–_Message" w:history="1">
        <w:r w:rsidR="00DF11F2" w:rsidRPr="00DF11F2">
          <w:rPr>
            <w:rStyle w:val="Hyperlink"/>
            <w:rFonts w:eastAsia="Calibri"/>
            <w:szCs w:val="24"/>
          </w:rPr>
          <w:t xml:space="preserve">Section </w:t>
        </w:r>
        <w:r w:rsidR="004231CC">
          <w:rPr>
            <w:rStyle w:val="Hyperlink"/>
            <w:rFonts w:eastAsia="Calibri"/>
            <w:szCs w:val="24"/>
          </w:rPr>
          <w:t>5.35</w:t>
        </w:r>
        <w:r w:rsidR="00DF11F2" w:rsidRPr="00DF11F2">
          <w:rPr>
            <w:rStyle w:val="Hyperlink"/>
            <w:rFonts w:eastAsia="Calibri"/>
            <w:szCs w:val="24"/>
          </w:rPr>
          <w:t>.18.1</w:t>
        </w:r>
      </w:hyperlink>
      <w:r w:rsidR="00DF11F2" w:rsidRPr="00DF11F2">
        <w:t>)</w:t>
      </w:r>
      <w:r w:rsidR="00DF11F2">
        <w:t>.</w:t>
      </w:r>
    </w:p>
    <w:p w14:paraId="1F4DEACF" w14:textId="4AF51D68" w:rsidR="005A1D6C" w:rsidRPr="00DF11F2" w:rsidRDefault="005A1D6C" w:rsidP="006D5A65">
      <w:pPr>
        <w:pStyle w:val="Heading2"/>
        <w:rPr>
          <w:rFonts w:eastAsia="Arial Unicode MS"/>
        </w:rPr>
      </w:pPr>
      <w:r w:rsidRPr="00DF11F2">
        <w:rPr>
          <w:rFonts w:eastAsia="Arial Unicode MS"/>
        </w:rPr>
        <w:t xml:space="preserve">Geographically – </w:t>
      </w:r>
      <w:r w:rsidRPr="000665B0">
        <w:t>Displays the selected missile(s) geographically.</w:t>
      </w:r>
    </w:p>
    <w:p w14:paraId="0B35BCB4" w14:textId="77777777" w:rsidR="005A1D6C" w:rsidRPr="000665B0" w:rsidRDefault="005A1D6C" w:rsidP="006D5A65">
      <w:pPr>
        <w:pStyle w:val="Heading2"/>
      </w:pPr>
      <w:r w:rsidRPr="000665B0">
        <w:rPr>
          <w:rFonts w:eastAsia="Arial Unicode MS"/>
        </w:rPr>
        <w:t xml:space="preserve">in Excel – </w:t>
      </w:r>
      <w:r w:rsidRPr="000665B0">
        <w:t>Creates an Excel document containing the selected missile’s information.</w:t>
      </w:r>
    </w:p>
    <w:p w14:paraId="456CDDE7" w14:textId="77777777" w:rsidR="00940F27" w:rsidRPr="000665B0" w:rsidRDefault="00940F27" w:rsidP="006D5A65">
      <w:pPr>
        <w:pStyle w:val="Heading1"/>
      </w:pPr>
      <w:r w:rsidRPr="000665B0">
        <w:t>New</w:t>
      </w:r>
    </w:p>
    <w:p w14:paraId="552D4996" w14:textId="5E784388" w:rsidR="00940F27" w:rsidRPr="000665B0" w:rsidRDefault="00940F27" w:rsidP="006D5A65">
      <w:pPr>
        <w:pStyle w:val="Heading2"/>
      </w:pPr>
      <w:r w:rsidRPr="000665B0">
        <w:rPr>
          <w:szCs w:val="24"/>
        </w:rPr>
        <w:t>Strike Exception –</w:t>
      </w:r>
      <w:r w:rsidRPr="000665B0">
        <w:t xml:space="preserve"> Invokes the </w:t>
      </w:r>
      <w:r w:rsidRPr="000665B0">
        <w:rPr>
          <w:i/>
        </w:rPr>
        <w:t>Strike Exception</w:t>
      </w:r>
      <w:r w:rsidRPr="000665B0">
        <w:t xml:space="preserve"> window to manually create a strike exception for missile assignment exceptions (see </w:t>
      </w:r>
      <w:hyperlink w:anchor="_Manually_Generate_a" w:history="1">
        <w:r w:rsidR="0096111B" w:rsidRPr="000665B0">
          <w:rPr>
            <w:rStyle w:val="Hyperlink"/>
          </w:rPr>
          <w:t xml:space="preserve">Section </w:t>
        </w:r>
        <w:r w:rsidR="004231CC">
          <w:rPr>
            <w:rStyle w:val="Hyperlink"/>
          </w:rPr>
          <w:t>5.35</w:t>
        </w:r>
        <w:r w:rsidR="0096111B" w:rsidRPr="000665B0">
          <w:rPr>
            <w:rStyle w:val="Hyperlink"/>
          </w:rPr>
          <w:t>.3.1.9</w:t>
        </w:r>
        <w:r w:rsidRPr="000665B0">
          <w:rPr>
            <w:rStyle w:val="Hyperlink"/>
          </w:rPr>
          <w:t>.2.1</w:t>
        </w:r>
      </w:hyperlink>
      <w:r w:rsidRPr="000665B0">
        <w:t>).</w:t>
      </w:r>
    </w:p>
    <w:p w14:paraId="6223120B" w14:textId="43CC850E" w:rsidR="00940F27" w:rsidRPr="000665B0" w:rsidRDefault="00940F27" w:rsidP="006D5A65">
      <w:pPr>
        <w:pStyle w:val="Heading2"/>
      </w:pPr>
      <w:r w:rsidRPr="000665B0">
        <w:rPr>
          <w:szCs w:val="24"/>
        </w:rPr>
        <w:lastRenderedPageBreak/>
        <w:t xml:space="preserve">Launch Event Report </w:t>
      </w:r>
      <w:r w:rsidRPr="000665B0">
        <w:t xml:space="preserve">– Invokes the </w:t>
      </w:r>
      <w:r w:rsidRPr="000665B0">
        <w:rPr>
          <w:i/>
        </w:rPr>
        <w:t>Launch Event Report</w:t>
      </w:r>
      <w:r w:rsidRPr="000665B0">
        <w:t xml:space="preserve"> window to</w:t>
      </w:r>
      <w:r w:rsidR="00C439DA" w:rsidRPr="000665B0">
        <w:t xml:space="preserve"> manually create a LER.</w:t>
      </w:r>
    </w:p>
    <w:p w14:paraId="43F488A3" w14:textId="77777777" w:rsidR="00940F27" w:rsidRPr="000665B0" w:rsidRDefault="00940F27" w:rsidP="006D5A65">
      <w:pPr>
        <w:pStyle w:val="Heading1"/>
      </w:pPr>
      <w:r w:rsidRPr="000665B0">
        <w:t>Status</w:t>
      </w:r>
    </w:p>
    <w:p w14:paraId="5DC68405" w14:textId="77777777" w:rsidR="00940F27" w:rsidRPr="000665B0" w:rsidRDefault="00940F27" w:rsidP="006D5A65">
      <w:pPr>
        <w:pStyle w:val="Heading2"/>
      </w:pPr>
      <w:r w:rsidRPr="000665B0">
        <w:t>Set to Good – Sets the missile to a good state.</w:t>
      </w:r>
    </w:p>
    <w:p w14:paraId="23C3A51C" w14:textId="77777777" w:rsidR="00940F27" w:rsidRPr="000665B0" w:rsidRDefault="00940F27" w:rsidP="006D5A65">
      <w:pPr>
        <w:pStyle w:val="Heading2"/>
      </w:pPr>
      <w:r w:rsidRPr="000665B0">
        <w:t>Set to Warning – Sets the missile to a warning state.</w:t>
      </w:r>
    </w:p>
    <w:p w14:paraId="23A1EF3A" w14:textId="51B5C9E3" w:rsidR="00940F27" w:rsidRPr="000665B0" w:rsidRDefault="00940F27" w:rsidP="006D5A65">
      <w:pPr>
        <w:pStyle w:val="Heading2"/>
      </w:pPr>
      <w:r w:rsidRPr="000665B0">
        <w:t>Set to Failed – Sets the missile to a failed state.</w:t>
      </w:r>
    </w:p>
    <w:p w14:paraId="1663458F" w14:textId="4C4421C1" w:rsidR="00940F27" w:rsidRPr="000665B0" w:rsidRDefault="00940F27" w:rsidP="00940F27">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79704F58" w14:textId="225505ED" w:rsidR="00940F27" w:rsidRPr="000665B0" w:rsidRDefault="00940F27" w:rsidP="00940F27">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Only a Missile Controller can fail a missile.</w:t>
      </w:r>
    </w:p>
    <w:p w14:paraId="0C59FE3E" w14:textId="59E7D460" w:rsidR="001E7504" w:rsidRPr="000665B0" w:rsidRDefault="001E7504" w:rsidP="006D5A65">
      <w:pPr>
        <w:pStyle w:val="Heading1"/>
      </w:pPr>
      <w:r w:rsidRPr="000665B0">
        <w:t xml:space="preserve">Reassign FRU – Reassigns a missile to another FRU. See </w:t>
      </w:r>
      <w:hyperlink w:anchor="_5_.38.3.1.8.2.4_" w:history="1">
        <w:r w:rsidR="0096111B" w:rsidRPr="000665B0">
          <w:rPr>
            <w:rStyle w:val="Hyperlink"/>
          </w:rPr>
          <w:t xml:space="preserve">Section </w:t>
        </w:r>
        <w:r w:rsidR="004231CC">
          <w:rPr>
            <w:rStyle w:val="Hyperlink"/>
          </w:rPr>
          <w:t>5.35</w:t>
        </w:r>
        <w:r w:rsidR="0096111B" w:rsidRPr="000665B0">
          <w:rPr>
            <w:rStyle w:val="Hyperlink"/>
          </w:rPr>
          <w:t>.3.1.9</w:t>
        </w:r>
        <w:r w:rsidRPr="000665B0">
          <w:rPr>
            <w:rStyle w:val="Hyperlink"/>
          </w:rPr>
          <w:t>.2.3</w:t>
        </w:r>
      </w:hyperlink>
      <w:r w:rsidRPr="000665B0">
        <w:t>.</w:t>
      </w:r>
    </w:p>
    <w:p w14:paraId="5EA4CE7C" w14:textId="77777777" w:rsidR="001E7504" w:rsidRPr="000665B0" w:rsidRDefault="001E7504" w:rsidP="006D5A65">
      <w:pPr>
        <w:pStyle w:val="Heading1"/>
      </w:pPr>
      <w:r w:rsidRPr="000665B0">
        <w:t>Assign Ghost – This allows the planner to select the FRU that will execute the mission. Selecting this menu will bring up a dialog that contains a list of FRUs that can handle the tasking. This menu is only available for Ghost missiles.</w:t>
      </w:r>
    </w:p>
    <w:p w14:paraId="7392427C" w14:textId="763F89C8" w:rsidR="001E7504" w:rsidRPr="000665B0" w:rsidRDefault="001E7504" w:rsidP="001E7504">
      <w:pPr>
        <w:ind w:left="720"/>
      </w:pPr>
      <w:r w:rsidRPr="000665B0">
        <w:t xml:space="preserve">The user will be prompted to the TGT </w:t>
      </w:r>
      <w:r w:rsidR="00E971E8" w:rsidRPr="000665B0">
        <w:t>time and</w:t>
      </w:r>
      <w:r w:rsidRPr="000665B0">
        <w:t xml:space="preserve"> then given the ability to assign the Ghost to a FRU.</w:t>
      </w:r>
    </w:p>
    <w:p w14:paraId="0C8BB1A2" w14:textId="77777777" w:rsidR="00B6764D" w:rsidRPr="000665B0" w:rsidRDefault="00B6764D" w:rsidP="001C443B">
      <w:pPr>
        <w:keepNext/>
        <w:keepLines/>
        <w:pBdr>
          <w:top w:val="single" w:sz="12" w:space="1" w:color="auto"/>
          <w:left w:val="single" w:sz="12" w:space="4" w:color="auto"/>
          <w:bottom w:val="single" w:sz="12" w:space="1" w:color="auto"/>
          <w:right w:val="single" w:sz="12" w:space="4" w:color="auto"/>
        </w:pBdr>
        <w:shd w:val="clear" w:color="auto" w:fill="D9D9D9"/>
        <w:spacing w:after="0"/>
        <w:ind w:left="86" w:right="86"/>
        <w:jc w:val="center"/>
        <w:rPr>
          <w:b/>
        </w:rPr>
      </w:pPr>
      <w:r w:rsidRPr="000665B0">
        <w:rPr>
          <w:b/>
          <w:bCs/>
        </w:rPr>
        <w:t>Note</w:t>
      </w:r>
      <w:r w:rsidRPr="000665B0">
        <w:rPr>
          <w:b/>
        </w:rPr>
        <w:t xml:space="preserve">: </w:t>
      </w:r>
    </w:p>
    <w:p w14:paraId="662A4022" w14:textId="5615D1BA" w:rsidR="00B6764D" w:rsidRPr="000665B0" w:rsidRDefault="00B6764D" w:rsidP="001C443B">
      <w:pPr>
        <w:keepNext/>
        <w:keepLines/>
        <w:pBdr>
          <w:top w:val="single" w:sz="12" w:space="1" w:color="auto"/>
          <w:left w:val="single" w:sz="12" w:space="4" w:color="auto"/>
          <w:bottom w:val="single" w:sz="12" w:space="1" w:color="auto"/>
          <w:right w:val="single" w:sz="12" w:space="4" w:color="auto"/>
        </w:pBdr>
        <w:shd w:val="clear" w:color="auto" w:fill="D9D9D9"/>
        <w:spacing w:after="0"/>
        <w:ind w:left="86" w:right="86"/>
        <w:jc w:val="center"/>
        <w:rPr>
          <w:b/>
        </w:rPr>
      </w:pPr>
      <w:r w:rsidRPr="000665B0">
        <w:rPr>
          <w:b/>
        </w:rPr>
        <w:t xml:space="preserve">There is a limitation associated with </w:t>
      </w:r>
      <w:r w:rsidR="001A107C" w:rsidRPr="000665B0">
        <w:rPr>
          <w:b/>
        </w:rPr>
        <w:t xml:space="preserve">109E </w:t>
      </w:r>
      <w:r w:rsidRPr="000665B0">
        <w:rPr>
          <w:b/>
        </w:rPr>
        <w:t>missions assigned to Ghost tasking under the following conditions:</w:t>
      </w:r>
    </w:p>
    <w:p w14:paraId="0E592276" w14:textId="32177AF0" w:rsidR="00B6764D" w:rsidRPr="000665B0" w:rsidRDefault="00B6764D" w:rsidP="001C443B">
      <w:pPr>
        <w:keepNext/>
        <w:keepLines/>
        <w:pBdr>
          <w:top w:val="single" w:sz="12" w:space="1" w:color="auto"/>
          <w:left w:val="single" w:sz="12" w:space="4" w:color="auto"/>
          <w:bottom w:val="single" w:sz="12" w:space="1" w:color="auto"/>
          <w:right w:val="single" w:sz="12" w:space="4" w:color="auto"/>
        </w:pBdr>
        <w:shd w:val="clear" w:color="auto" w:fill="D9D9D9"/>
        <w:ind w:left="86" w:right="86"/>
      </w:pPr>
      <w:r w:rsidRPr="000665B0">
        <w:rPr>
          <w:b/>
        </w:rPr>
        <w:t>1. A 109E Mission is assigned to ghost tasking and a TSN Type is selected (</w:t>
      </w:r>
      <w:r w:rsidR="007C7F46" w:rsidRPr="000665B0">
        <w:rPr>
          <w:b/>
        </w:rPr>
        <w:t>e.g.,</w:t>
      </w:r>
      <w:r w:rsidRPr="000665B0">
        <w:rPr>
          <w:b/>
        </w:rPr>
        <w:t xml:space="preserve"> DAMA).</w:t>
      </w:r>
      <w:r w:rsidRPr="000665B0">
        <w:rPr>
          <w:b/>
        </w:rPr>
        <w:br/>
        <w:t>2. The TSN Type is later changed (</w:t>
      </w:r>
      <w:r w:rsidR="007C7F46" w:rsidRPr="000665B0">
        <w:rPr>
          <w:b/>
        </w:rPr>
        <w:t>e.g.,</w:t>
      </w:r>
      <w:r w:rsidRPr="000665B0">
        <w:rPr>
          <w:b/>
        </w:rPr>
        <w:t xml:space="preserve"> switch</w:t>
      </w:r>
      <w:r w:rsidR="00A76EA5" w:rsidRPr="000665B0">
        <w:rPr>
          <w:b/>
        </w:rPr>
        <w:t>ed</w:t>
      </w:r>
      <w:r w:rsidRPr="000665B0">
        <w:rPr>
          <w:b/>
        </w:rPr>
        <w:t xml:space="preserve"> to ACA).</w:t>
      </w:r>
      <w:r w:rsidRPr="000665B0">
        <w:rPr>
          <w:b/>
        </w:rPr>
        <w:br/>
        <w:t>3. When the Ghost mission is assigned to a FRU, the TSN Type retains the original selection (e.g.</w:t>
      </w:r>
      <w:r w:rsidR="007C7F46">
        <w:rPr>
          <w:b/>
        </w:rPr>
        <w:t>,</w:t>
      </w:r>
      <w:r w:rsidRPr="000665B0">
        <w:rPr>
          <w:b/>
        </w:rPr>
        <w:t xml:space="preserve"> DAMA).</w:t>
      </w:r>
    </w:p>
    <w:p w14:paraId="1C1D192F" w14:textId="68EBE4BF" w:rsidR="001E7504" w:rsidRPr="000665B0" w:rsidRDefault="001E7504" w:rsidP="006D5A65">
      <w:pPr>
        <w:pStyle w:val="Heading2"/>
      </w:pPr>
      <w:r w:rsidRPr="000665B0">
        <w:t xml:space="preserve">Move to Pool – Moves a missile to the backup pool. See </w:t>
      </w:r>
      <w:hyperlink w:anchor="_5.38.3.1.8.2.5__Move" w:history="1">
        <w:r w:rsidR="0096111B" w:rsidRPr="000665B0">
          <w:rPr>
            <w:rStyle w:val="Hyperlink"/>
          </w:rPr>
          <w:t xml:space="preserve">Section </w:t>
        </w:r>
        <w:r w:rsidR="004231CC">
          <w:rPr>
            <w:rStyle w:val="Hyperlink"/>
          </w:rPr>
          <w:t>5.35</w:t>
        </w:r>
        <w:r w:rsidR="0096111B" w:rsidRPr="000665B0">
          <w:rPr>
            <w:rStyle w:val="Hyperlink"/>
          </w:rPr>
          <w:t>.3.1.9</w:t>
        </w:r>
        <w:r w:rsidRPr="000665B0">
          <w:rPr>
            <w:rStyle w:val="Hyperlink"/>
          </w:rPr>
          <w:t>.2.4</w:t>
        </w:r>
      </w:hyperlink>
      <w:r w:rsidRPr="000665B0">
        <w:t>.</w:t>
      </w:r>
    </w:p>
    <w:p w14:paraId="141E7970" w14:textId="528EC015" w:rsidR="00EA5282" w:rsidRPr="00C36B36" w:rsidRDefault="00EA5282" w:rsidP="006D5A65">
      <w:pPr>
        <w:pStyle w:val="Heading1"/>
      </w:pPr>
      <w:r>
        <w:t xml:space="preserve">Cancel (Only enabled if there is an Associated Backup or Associated Spare) – </w:t>
      </w:r>
      <w:r w:rsidRPr="000665B0">
        <w:t xml:space="preserve">This allows the operator to </w:t>
      </w:r>
      <w:r>
        <w:t xml:space="preserve">remove the Associated Backup or Associated Spare missile reservation which </w:t>
      </w:r>
      <w:r w:rsidRPr="00827BCD">
        <w:rPr>
          <w:rStyle w:val="normaltextrun"/>
          <w:color w:val="000000"/>
          <w:shd w:val="clear" w:color="auto" w:fill="FFFFFF"/>
        </w:rPr>
        <w:t xml:space="preserve">restores </w:t>
      </w:r>
      <w:r>
        <w:rPr>
          <w:rStyle w:val="normaltextrun"/>
          <w:color w:val="000000"/>
          <w:shd w:val="clear" w:color="auto" w:fill="FFFFFF"/>
        </w:rPr>
        <w:t>m</w:t>
      </w:r>
      <w:r w:rsidRPr="00827BCD">
        <w:rPr>
          <w:rStyle w:val="normaltextrun"/>
          <w:color w:val="000000"/>
          <w:shd w:val="clear" w:color="auto" w:fill="FFFFFF"/>
        </w:rPr>
        <w:t xml:space="preserve">issile </w:t>
      </w:r>
      <w:r>
        <w:rPr>
          <w:rStyle w:val="normaltextrun"/>
          <w:color w:val="000000"/>
          <w:shd w:val="clear" w:color="auto" w:fill="FFFFFF"/>
        </w:rPr>
        <w:t>a</w:t>
      </w:r>
      <w:r w:rsidRPr="00827BCD">
        <w:rPr>
          <w:rStyle w:val="normaltextrun"/>
          <w:color w:val="000000"/>
          <w:shd w:val="clear" w:color="auto" w:fill="FFFFFF"/>
        </w:rPr>
        <w:t>vailability following successful transition to cruise of the associated Primary.</w:t>
      </w:r>
    </w:p>
    <w:p w14:paraId="37F4959F" w14:textId="3EB3D5D1" w:rsidR="001E7504" w:rsidRPr="000665B0" w:rsidRDefault="001E7504" w:rsidP="006D5A65">
      <w:pPr>
        <w:pStyle w:val="Heading1"/>
      </w:pPr>
      <w:r w:rsidRPr="000665B0">
        <w:t>Recovery (Enabled for failed missiles)</w:t>
      </w:r>
    </w:p>
    <w:p w14:paraId="3D1CD605" w14:textId="77777777" w:rsidR="001E7504" w:rsidRPr="000665B0" w:rsidRDefault="001E7504" w:rsidP="006D5A65">
      <w:pPr>
        <w:pStyle w:val="Heading2"/>
      </w:pPr>
      <w:r w:rsidRPr="000665B0">
        <w:t>Launch Backup – The submenu shows the available backup missiles to launch. The backup missile is launched by a different FRU (acting as the backup), than the FRU that failed to launch the primary missile. Selecting one of these backup missiles deactivates the failed missile and activates the backup missile. An SEM will be sent if applicable. If there are no backup missiles, then this menu item is disabled.</w:t>
      </w:r>
    </w:p>
    <w:p w14:paraId="621B68F6" w14:textId="52A42C08" w:rsidR="001E7504" w:rsidRPr="000665B0" w:rsidRDefault="001E7504" w:rsidP="006D5A65">
      <w:pPr>
        <w:pStyle w:val="Heading2"/>
      </w:pPr>
      <w:r w:rsidRPr="000665B0">
        <w:lastRenderedPageBreak/>
        <w:t>Launch Ready Spare – Ready spare is a missile that has been powered up ready for launch when the primary missile fails. Ready Spare and primary missiles are on the same FRU. It requires a manual process to make the ready spare the primary missile. An auto ready spare missile is one that can be launched in case the primary missile fails; an auto ready spare does not require human intervention to turn it into a primary missile.</w:t>
      </w:r>
    </w:p>
    <w:p w14:paraId="7F3A1661" w14:textId="48557CD5" w:rsidR="000059A6" w:rsidRPr="000665B0" w:rsidRDefault="001D1ED5" w:rsidP="006D5A65">
      <w:pPr>
        <w:pStyle w:val="Heading3"/>
      </w:pPr>
      <w:r w:rsidRPr="000665B0">
        <w:t>S</w:t>
      </w:r>
      <w:r w:rsidR="0060072F" w:rsidRPr="000665B0">
        <w:t xml:space="preserve">pare missile launches may cause unexpected behavior by some of the icons on the Gantt chart (see </w:t>
      </w:r>
      <w:hyperlink w:anchor="_H&amp;S/Other_Icons_Fail" w:history="1">
        <w:r w:rsidR="00E036B6" w:rsidRPr="000665B0">
          <w:rPr>
            <w:rStyle w:val="Hyperlink"/>
          </w:rPr>
          <w:t xml:space="preserve">Section </w:t>
        </w:r>
        <w:r w:rsidR="004231CC">
          <w:rPr>
            <w:rStyle w:val="Hyperlink"/>
          </w:rPr>
          <w:t>5.35</w:t>
        </w:r>
        <w:r w:rsidR="0060072F" w:rsidRPr="000665B0">
          <w:rPr>
            <w:rStyle w:val="Hyperlink"/>
          </w:rPr>
          <w:t>.3.1.1.3.1</w:t>
        </w:r>
      </w:hyperlink>
      <w:r w:rsidR="0060072F" w:rsidRPr="000665B0">
        <w:t xml:space="preserve">). </w:t>
      </w:r>
    </w:p>
    <w:p w14:paraId="28469A5B" w14:textId="7398C1C1" w:rsidR="001E7504" w:rsidRPr="000665B0" w:rsidRDefault="001E7504" w:rsidP="006D5A65">
      <w:pPr>
        <w:pStyle w:val="Heading1"/>
      </w:pPr>
      <w:r w:rsidRPr="000665B0">
        <w:t>Reroute Missile – This allows the operator to se</w:t>
      </w:r>
      <w:r w:rsidR="00C540A0" w:rsidRPr="000665B0">
        <w:t>lec</w:t>
      </w:r>
      <w:r w:rsidRPr="000665B0">
        <w:t>t the priority of the reroute action. Missiles assigned to aimpoints with higher priority than the selected priority will not be considered for rerouting.</w:t>
      </w:r>
      <w:r w:rsidR="00C540A0" w:rsidRPr="000665B0">
        <w:t xml:space="preserve"> Although CFF is shown as a selection, it is </w:t>
      </w:r>
      <w:r w:rsidR="000F3AA3" w:rsidRPr="000665B0">
        <w:t>currently not functional</w:t>
      </w:r>
      <w:r w:rsidR="00C540A0" w:rsidRPr="000665B0">
        <w:t>.</w:t>
      </w:r>
    </w:p>
    <w:p w14:paraId="379C6FF3" w14:textId="43ED71FA" w:rsidR="001E7504" w:rsidRPr="000665B0" w:rsidRDefault="00BA09B9" w:rsidP="001E7504">
      <w:pPr>
        <w:jc w:val="center"/>
      </w:pPr>
      <w:r w:rsidRPr="000665B0">
        <w:rPr>
          <w:noProof/>
        </w:rPr>
        <w:drawing>
          <wp:inline distT="0" distB="0" distL="0" distR="0" wp14:anchorId="22821D0A" wp14:editId="730A9EFE">
            <wp:extent cx="2743200" cy="621792"/>
            <wp:effectExtent l="0" t="0" r="0" b="6985"/>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743200" cy="621792"/>
                    </a:xfrm>
                    <a:prstGeom prst="rect">
                      <a:avLst/>
                    </a:prstGeom>
                    <a:ln>
                      <a:noFill/>
                    </a:ln>
                    <a:extLst>
                      <a:ext uri="{53640926-AAD7-44D8-BBD7-CCE9431645EC}">
                        <a14:shadowObscured xmlns:a14="http://schemas.microsoft.com/office/drawing/2010/main"/>
                      </a:ext>
                    </a:extLst>
                  </pic:spPr>
                </pic:pic>
              </a:graphicData>
            </a:graphic>
          </wp:inline>
        </w:drawing>
      </w:r>
    </w:p>
    <w:p w14:paraId="077F7D6B" w14:textId="0D0FEE33" w:rsidR="001E7504" w:rsidRPr="000665B0" w:rsidRDefault="001E7504" w:rsidP="001E7504">
      <w:pPr>
        <w:ind w:left="720"/>
      </w:pPr>
      <w:r w:rsidRPr="000665B0">
        <w:t>Upon selecting the priority, the Retarget Calculator is started</w:t>
      </w:r>
      <w:r w:rsidR="00C439DA" w:rsidRPr="000665B0">
        <w:t xml:space="preserve"> and</w:t>
      </w:r>
      <w:r w:rsidRPr="000665B0">
        <w:t xml:space="preserve"> a list of missiles that can be diverted to this target is displayed. A missile can be selected from the list</w:t>
      </w:r>
      <w:r w:rsidR="00C439DA" w:rsidRPr="000665B0">
        <w:t xml:space="preserve"> (see </w:t>
      </w:r>
      <w:hyperlink w:anchor="_Reroute" w:history="1">
        <w:r w:rsidR="00985815" w:rsidRPr="000665B0">
          <w:rPr>
            <w:rStyle w:val="Hyperlink"/>
          </w:rPr>
          <w:t xml:space="preserve">Section </w:t>
        </w:r>
        <w:r w:rsidR="004231CC">
          <w:rPr>
            <w:rStyle w:val="Hyperlink"/>
          </w:rPr>
          <w:t>5.35</w:t>
        </w:r>
        <w:r w:rsidR="00985815" w:rsidRPr="000665B0">
          <w:rPr>
            <w:rStyle w:val="Hyperlink"/>
          </w:rPr>
          <w:t>.3.1.8</w:t>
        </w:r>
        <w:r w:rsidR="00C439DA" w:rsidRPr="000665B0">
          <w:rPr>
            <w:rStyle w:val="Hyperlink"/>
          </w:rPr>
          <w:t>.1</w:t>
        </w:r>
      </w:hyperlink>
      <w:r w:rsidR="00C439DA" w:rsidRPr="000665B0">
        <w:t>)</w:t>
      </w:r>
      <w:r w:rsidRPr="000665B0">
        <w:t xml:space="preserve">. </w:t>
      </w:r>
    </w:p>
    <w:p w14:paraId="009D78EF" w14:textId="77777777" w:rsidR="001E7504" w:rsidRPr="000665B0" w:rsidRDefault="001E7504" w:rsidP="001C443B">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343529A3" w14:textId="77777777" w:rsidR="001E7504" w:rsidRPr="000665B0" w:rsidRDefault="001E7504" w:rsidP="001C443B">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Only missiles that have not been previously launched can be moved to the pool. Once completed the option will be marked as pending distribution in the option list view and can be sent from there.</w:t>
      </w:r>
    </w:p>
    <w:p w14:paraId="208A9D13" w14:textId="0AF58258" w:rsidR="001E7504" w:rsidRPr="000665B0" w:rsidRDefault="001E7504" w:rsidP="006D5A65">
      <w:pPr>
        <w:pStyle w:val="Heading1"/>
      </w:pPr>
      <w:r w:rsidRPr="000665B0">
        <w:t xml:space="preserve">Shift Time… – Shifts the selected missile’s assignment times. For more information see </w:t>
      </w:r>
      <w:hyperlink w:anchor="_Shift_Strike_Times_1" w:history="1">
        <w:r w:rsidR="009326FE" w:rsidRPr="000665B0">
          <w:rPr>
            <w:rStyle w:val="Hyperlink"/>
          </w:rPr>
          <w:t xml:space="preserve">Section </w:t>
        </w:r>
        <w:r w:rsidR="004231CC">
          <w:rPr>
            <w:rStyle w:val="Hyperlink"/>
          </w:rPr>
          <w:t>5.34</w:t>
        </w:r>
        <w:r w:rsidRPr="000665B0">
          <w:rPr>
            <w:rStyle w:val="Hyperlink"/>
          </w:rPr>
          <w:t>.7.1.19</w:t>
        </w:r>
      </w:hyperlink>
      <w:r w:rsidRPr="000665B0">
        <w:t>.</w:t>
      </w:r>
    </w:p>
    <w:p w14:paraId="00B89575" w14:textId="77777777" w:rsidR="001E7504" w:rsidRPr="000665B0" w:rsidRDefault="002348EB" w:rsidP="006D5A65">
      <w:pPr>
        <w:pStyle w:val="Heading1"/>
      </w:pPr>
      <w:r w:rsidRPr="000665B0">
        <w:t xml:space="preserve">Edit </w:t>
      </w:r>
    </w:p>
    <w:p w14:paraId="29781A74" w14:textId="444A5BC8" w:rsidR="002348EB" w:rsidRPr="000665B0" w:rsidRDefault="002348EB" w:rsidP="006D5A65">
      <w:pPr>
        <w:pStyle w:val="Heading2"/>
      </w:pPr>
      <w:r w:rsidRPr="000665B0">
        <w:t>Time… – Edits the missile’s timing information. The timing information includes the timing type, assigned time, delta, and lock</w:t>
      </w:r>
      <w:r w:rsidR="00016C86" w:rsidRPr="000665B0">
        <w:t>ed</w:t>
      </w:r>
      <w:r w:rsidRPr="000665B0">
        <w:t>.</w:t>
      </w:r>
    </w:p>
    <w:p w14:paraId="7F9B9E8A" w14:textId="403AE7A6" w:rsidR="002348EB" w:rsidRPr="000665B0" w:rsidRDefault="00DD3413" w:rsidP="002348EB">
      <w:pPr>
        <w:spacing w:after="240"/>
        <w:jc w:val="center"/>
      </w:pPr>
      <w:r w:rsidRPr="000665B0">
        <w:rPr>
          <w:noProof/>
        </w:rPr>
        <w:drawing>
          <wp:inline distT="0" distB="0" distL="0" distR="0" wp14:anchorId="5C74F3F3" wp14:editId="5A40E183">
            <wp:extent cx="2743200" cy="1298448"/>
            <wp:effectExtent l="0" t="0" r="0" b="0"/>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298448"/>
                    </a:xfrm>
                    <a:prstGeom prst="rect">
                      <a:avLst/>
                    </a:prstGeom>
                  </pic:spPr>
                </pic:pic>
              </a:graphicData>
            </a:graphic>
          </wp:inline>
        </w:drawing>
      </w:r>
    </w:p>
    <w:p w14:paraId="101E2280" w14:textId="77777777" w:rsidR="004E4C76" w:rsidRPr="000665B0" w:rsidRDefault="002348EB" w:rsidP="002348EB">
      <w:pPr>
        <w:ind w:left="720"/>
      </w:pPr>
      <w:r w:rsidRPr="000665B0">
        <w:lastRenderedPageBreak/>
        <w:t>The Locked checkbox locks the selected reservation’s timing. Once locked, any timing changes will not affect the locked reservations.</w:t>
      </w:r>
    </w:p>
    <w:p w14:paraId="6F1E4078" w14:textId="77777777" w:rsidR="002348EB" w:rsidRPr="000665B0" w:rsidRDefault="002348EB" w:rsidP="00A0163E">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769C2FBB" w14:textId="77777777" w:rsidR="002348EB" w:rsidRPr="000665B0" w:rsidRDefault="002348EB" w:rsidP="00593264">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Only missiles that have not been launched can have their times changed. Once completed, the option will be marked as pending distribution in the option list view and can be sent from there.</w:t>
      </w:r>
    </w:p>
    <w:p w14:paraId="5DC33ECE" w14:textId="77777777" w:rsidR="001E7504" w:rsidRPr="000665B0" w:rsidRDefault="001E7504" w:rsidP="006D5A65">
      <w:pPr>
        <w:pStyle w:val="Heading2"/>
      </w:pPr>
      <w:r w:rsidRPr="000665B0">
        <w:rPr>
          <w:szCs w:val="24"/>
        </w:rPr>
        <w:t xml:space="preserve">TTWCS IMMM </w:t>
      </w:r>
      <w:r w:rsidRPr="000665B0">
        <w:t>– Indicates whether TTWCS is allowed/not allowed to send IMMM to the missile directly.</w:t>
      </w:r>
    </w:p>
    <w:p w14:paraId="264D547B" w14:textId="77777777" w:rsidR="001E7504" w:rsidRPr="000665B0" w:rsidRDefault="001E7504" w:rsidP="006D5A65">
      <w:pPr>
        <w:pStyle w:val="Heading3"/>
      </w:pPr>
      <w:r w:rsidRPr="000665B0">
        <w:t>ALLOWED – Enabled when IMMM capability is disabled for TTWCS on the FRU. This enables IMMM capability.</w:t>
      </w:r>
    </w:p>
    <w:p w14:paraId="7FAEBEE2" w14:textId="77777777" w:rsidR="001E7504" w:rsidRPr="000665B0" w:rsidRDefault="001E7504" w:rsidP="006D5A65">
      <w:pPr>
        <w:pStyle w:val="Heading3"/>
      </w:pPr>
      <w:r w:rsidRPr="000665B0">
        <w:t>NOT ALLOWED – Enabled when IMMM capability is enabled for TTWCS on the FRU. This disables IMMM capability.</w:t>
      </w:r>
    </w:p>
    <w:p w14:paraId="6DDDD9E3" w14:textId="3210BE9B" w:rsidR="001E7504" w:rsidRPr="000665B0" w:rsidRDefault="001E7504" w:rsidP="006D5A65">
      <w:pPr>
        <w:pStyle w:val="Heading2"/>
      </w:pPr>
      <w:r w:rsidRPr="000665B0">
        <w:t xml:space="preserve">TSN Comms </w:t>
      </w:r>
      <w:r w:rsidR="00C439DA" w:rsidRPr="000665B0">
        <w:t xml:space="preserve">(109E missiles only) </w:t>
      </w:r>
      <w:r w:rsidRPr="000665B0">
        <w:t>– Enables/disables TSN comms.</w:t>
      </w:r>
    </w:p>
    <w:p w14:paraId="72FCC7FB" w14:textId="77777777" w:rsidR="001E7504" w:rsidRPr="000665B0" w:rsidRDefault="001E7504" w:rsidP="006D5A65">
      <w:pPr>
        <w:pStyle w:val="Heading3"/>
      </w:pPr>
      <w:r w:rsidRPr="000665B0">
        <w:t xml:space="preserve">Enable – Enabled when TSN comms is disabled. This enables TSN comms for the missile. </w:t>
      </w:r>
    </w:p>
    <w:p w14:paraId="2481FF51" w14:textId="77777777" w:rsidR="001E7504" w:rsidRPr="000665B0" w:rsidRDefault="001E7504" w:rsidP="006D5A65">
      <w:pPr>
        <w:pStyle w:val="Heading3"/>
      </w:pPr>
      <w:r w:rsidRPr="000665B0">
        <w:t xml:space="preserve">Disable – Enabled when TSN comms is enabled. This disables TSN comms for the missile. </w:t>
      </w:r>
    </w:p>
    <w:p w14:paraId="7BBFA239" w14:textId="241CD9CA" w:rsidR="00C6477C" w:rsidRPr="000665B0" w:rsidRDefault="001E7504" w:rsidP="006D5A65">
      <w:pPr>
        <w:pStyle w:val="Heading2"/>
      </w:pPr>
      <w:r w:rsidRPr="000665B0">
        <w:t>TSN Parameters –</w:t>
      </w:r>
      <w:r w:rsidR="00A97C4F" w:rsidRPr="000665B0">
        <w:t xml:space="preserve"> </w:t>
      </w:r>
      <w:r w:rsidR="00C439DA" w:rsidRPr="000665B0">
        <w:t xml:space="preserve">See </w:t>
      </w:r>
      <w:hyperlink w:anchor="_Option_TSN_Schedule" w:history="1">
        <w:r w:rsidR="009326FE" w:rsidRPr="000665B0">
          <w:rPr>
            <w:rStyle w:val="Hyperlink"/>
          </w:rPr>
          <w:t xml:space="preserve">Section </w:t>
        </w:r>
        <w:r w:rsidR="004231CC">
          <w:rPr>
            <w:rStyle w:val="Hyperlink"/>
          </w:rPr>
          <w:t>5.34</w:t>
        </w:r>
        <w:r w:rsidR="00C439DA" w:rsidRPr="000665B0">
          <w:rPr>
            <w:rStyle w:val="Hyperlink"/>
          </w:rPr>
          <w:t>.7.1.16</w:t>
        </w:r>
      </w:hyperlink>
      <w:r w:rsidR="00C439DA" w:rsidRPr="000665B0">
        <w:t xml:space="preserve"> at “To modify the TSN Parameters setting using the Missile Assignment List.”</w:t>
      </w:r>
    </w:p>
    <w:p w14:paraId="60E007C0" w14:textId="71B962B3" w:rsidR="00E16E36" w:rsidRPr="000665B0" w:rsidRDefault="00E16E36" w:rsidP="006D5A65">
      <w:pPr>
        <w:pStyle w:val="Heading1"/>
      </w:pPr>
      <w:r w:rsidRPr="000665B0">
        <w:t>Switch Network</w:t>
      </w:r>
      <w:r w:rsidR="00CA7A3B" w:rsidRPr="000665B0">
        <w:t xml:space="preserve"> to ACA/DAMA</w:t>
      </w:r>
      <w:r w:rsidRPr="000665B0">
        <w:t xml:space="preserve"> – Switches the selected assignment</w:t>
      </w:r>
      <w:r w:rsidR="00DA65A0" w:rsidRPr="000665B0">
        <w:t>s</w:t>
      </w:r>
      <w:r w:rsidRPr="000665B0">
        <w:t xml:space="preserve"> (and any associated spare</w:t>
      </w:r>
      <w:r w:rsidR="00DA65A0" w:rsidRPr="000665B0">
        <w:t>s</w:t>
      </w:r>
      <w:r w:rsidRPr="000665B0">
        <w:t>) to the other TSN type. DAMA can be switched to ACA, and ACA to DAMA. The menu is not enabled for non</w:t>
      </w:r>
      <w:r w:rsidR="00A72464" w:rsidRPr="000665B0">
        <w:t>-</w:t>
      </w:r>
      <w:r w:rsidRPr="000665B0">
        <w:t>109E missiles</w:t>
      </w:r>
      <w:r w:rsidR="00C320C7">
        <w:t>, 109E ACPs</w:t>
      </w:r>
      <w:r w:rsidR="0024128B">
        <w:t>,</w:t>
      </w:r>
      <w:r w:rsidR="00EF1544" w:rsidRPr="000665B0">
        <w:t xml:space="preserve"> </w:t>
      </w:r>
      <w:r w:rsidR="00A1292F" w:rsidRPr="000665B0">
        <w:t>MSTM</w:t>
      </w:r>
      <w:r w:rsidR="00C05381" w:rsidRPr="000665B0">
        <w:t>s</w:t>
      </w:r>
      <w:r w:rsidR="0024128B">
        <w:t>, and ACP2s</w:t>
      </w:r>
      <w:r w:rsidRPr="000665B0">
        <w:t>.</w:t>
      </w:r>
    </w:p>
    <w:p w14:paraId="0D964378" w14:textId="0AB040C3" w:rsidR="00E16E36" w:rsidRPr="000665B0" w:rsidRDefault="00E16E36" w:rsidP="006D5A65">
      <w:pPr>
        <w:pStyle w:val="Heading1"/>
      </w:pPr>
      <w:r w:rsidRPr="000665B0">
        <w:t>Select the 109E Comms Enabled missile(s)</w:t>
      </w:r>
      <w:r w:rsidRPr="001F4B14">
        <w:t>.</w:t>
      </w:r>
    </w:p>
    <w:p w14:paraId="58A70997" w14:textId="2520B817" w:rsidR="00E16E36" w:rsidRPr="000665B0" w:rsidRDefault="00E16E36" w:rsidP="006D5A65">
      <w:pPr>
        <w:pStyle w:val="Heading1"/>
      </w:pPr>
      <w:r w:rsidRPr="000665B0">
        <w:t>Invoke the context menu (right</w:t>
      </w:r>
      <w:r w:rsidR="00FF1BD6" w:rsidRPr="000665B0">
        <w:t>-</w:t>
      </w:r>
      <w:r w:rsidRPr="000665B0">
        <w:t>click the mouse) and select</w:t>
      </w:r>
      <w:r w:rsidRPr="000665B0">
        <w:rPr>
          <w:bCs/>
        </w:rPr>
        <w:t xml:space="preserve"> Switch Network to ACA or </w:t>
      </w:r>
      <w:r w:rsidR="00A1292F" w:rsidRPr="000665B0">
        <w:rPr>
          <w:bCs/>
        </w:rPr>
        <w:t xml:space="preserve">Switch Network to </w:t>
      </w:r>
      <w:r w:rsidRPr="000665B0">
        <w:rPr>
          <w:bCs/>
        </w:rPr>
        <w:t xml:space="preserve">DAMA. </w:t>
      </w:r>
    </w:p>
    <w:p w14:paraId="1B27CC23" w14:textId="77777777" w:rsidR="00E16E36" w:rsidRPr="000665B0" w:rsidRDefault="00E16E36" w:rsidP="00E16E36">
      <w:pPr>
        <w:pStyle w:val="BodyTextIndent2"/>
        <w:tabs>
          <w:tab w:val="left" w:pos="720"/>
        </w:tabs>
        <w:spacing w:line="240" w:lineRule="auto"/>
        <w:ind w:left="1080"/>
        <w:rPr>
          <w:b/>
        </w:rPr>
      </w:pPr>
      <w:r w:rsidRPr="000665B0">
        <w:t>Before the switch is made, the system checks to ensure that there are enough missiles available (both during planning and execution). If there are not enough missiles, the user is notified and the TSN type is NOT switched.</w:t>
      </w:r>
    </w:p>
    <w:p w14:paraId="60CF0BDE" w14:textId="77777777" w:rsidR="00E16E36" w:rsidRPr="000665B0" w:rsidRDefault="00E16E36" w:rsidP="00E16E36">
      <w:pPr>
        <w:pStyle w:val="ListParagraph"/>
        <w:spacing w:after="120" w:line="240" w:lineRule="atLeast"/>
        <w:ind w:left="0"/>
        <w:jc w:val="center"/>
      </w:pPr>
      <w:r w:rsidRPr="000665B0">
        <w:rPr>
          <w:noProof/>
        </w:rPr>
        <w:drawing>
          <wp:inline distT="0" distB="0" distL="0" distR="0" wp14:anchorId="129B3FD2" wp14:editId="223C502C">
            <wp:extent cx="3200400" cy="1289304"/>
            <wp:effectExtent l="0" t="0" r="0" b="6350"/>
            <wp:docPr id="2143" name="Picture 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289304"/>
                    </a:xfrm>
                    <a:prstGeom prst="rect">
                      <a:avLst/>
                    </a:prstGeom>
                  </pic:spPr>
                </pic:pic>
              </a:graphicData>
            </a:graphic>
          </wp:inline>
        </w:drawing>
      </w:r>
    </w:p>
    <w:p w14:paraId="0207237C" w14:textId="77777777" w:rsidR="00E16E36" w:rsidRPr="000665B0" w:rsidRDefault="00E16E36" w:rsidP="00E16E36">
      <w:pPr>
        <w:pStyle w:val="BodyTextIndent2"/>
        <w:tabs>
          <w:tab w:val="left" w:pos="720"/>
        </w:tabs>
        <w:spacing w:line="240" w:lineRule="auto"/>
        <w:ind w:left="1080"/>
      </w:pPr>
      <w:r w:rsidRPr="000665B0">
        <w:lastRenderedPageBreak/>
        <w:t>During execution, the system also checks to ensure that the needed crypto is present. If not, the user is notified.</w:t>
      </w:r>
    </w:p>
    <w:p w14:paraId="66E90BBC" w14:textId="77777777" w:rsidR="00E16E36" w:rsidRPr="000665B0" w:rsidRDefault="00E16E36" w:rsidP="00E16E36">
      <w:pPr>
        <w:jc w:val="center"/>
      </w:pPr>
      <w:r w:rsidRPr="000665B0">
        <w:rPr>
          <w:noProof/>
        </w:rPr>
        <w:drawing>
          <wp:inline distT="0" distB="0" distL="0" distR="0" wp14:anchorId="46FE98D6" wp14:editId="2B53AB54">
            <wp:extent cx="2659380" cy="1785584"/>
            <wp:effectExtent l="0" t="0" r="0" b="0"/>
            <wp:docPr id="2144" name="Picture 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676150" cy="1796844"/>
                    </a:xfrm>
                    <a:prstGeom prst="rect">
                      <a:avLst/>
                    </a:prstGeom>
                  </pic:spPr>
                </pic:pic>
              </a:graphicData>
            </a:graphic>
          </wp:inline>
        </w:drawing>
      </w:r>
    </w:p>
    <w:p w14:paraId="75343089" w14:textId="68B75F9E" w:rsidR="00F06FE4" w:rsidRPr="000665B0" w:rsidRDefault="000B5A0B" w:rsidP="006D5A65">
      <w:pPr>
        <w:pStyle w:val="Heading1"/>
      </w:pPr>
      <w:r w:rsidRPr="000665B0">
        <w:t xml:space="preserve">Create Option… – The selected targets </w:t>
      </w:r>
      <w:r w:rsidR="00D96072" w:rsidRPr="000665B0">
        <w:t>are</w:t>
      </w:r>
      <w:r w:rsidRPr="000665B0">
        <w:t xml:space="preserve"> copied into a newly created </w:t>
      </w:r>
      <w:r w:rsidR="00D96072" w:rsidRPr="000665B0">
        <w:t>Strike O</w:t>
      </w:r>
      <w:r w:rsidRPr="000665B0">
        <w:t xml:space="preserve">ption that </w:t>
      </w:r>
      <w:r w:rsidR="00D96072" w:rsidRPr="000665B0">
        <w:t>has</w:t>
      </w:r>
      <w:r w:rsidRPr="000665B0">
        <w:t xml:space="preserve"> the same arsenal, comms parameters, and crypto as the ad hoc option. The </w:t>
      </w:r>
      <w:r w:rsidRPr="000665B0">
        <w:rPr>
          <w:i/>
        </w:rPr>
        <w:t>Strike Option</w:t>
      </w:r>
      <w:r w:rsidRPr="000665B0">
        <w:t xml:space="preserve"> </w:t>
      </w:r>
      <w:r w:rsidR="00D96072" w:rsidRPr="000665B0">
        <w:t>window appears with this information already populated.</w:t>
      </w:r>
      <w:r w:rsidRPr="000665B0">
        <w:t xml:space="preserve"> The operator can then assign missiles either manually or </w:t>
      </w:r>
      <w:r w:rsidR="0080707A" w:rsidRPr="000665B0">
        <w:t xml:space="preserve">with </w:t>
      </w:r>
      <w:r w:rsidRPr="000665B0">
        <w:t>AutoPM3 and can also create TMPRs/LMOs</w:t>
      </w:r>
      <w:r w:rsidR="00D96072" w:rsidRPr="000665B0">
        <w:t>, similar to creating a new</w:t>
      </w:r>
      <w:r w:rsidRPr="000665B0">
        <w:t xml:space="preserve"> option. </w:t>
      </w:r>
      <w:r w:rsidR="00F06FE4" w:rsidRPr="000665B0">
        <w:t xml:space="preserve">When creating a TMPR for a Retarget or Aimpoint Update (see </w:t>
      </w:r>
      <w:hyperlink w:anchor="_5.38.3.1.7.1.2_How_to" w:history="1">
        <w:r w:rsidR="00985815" w:rsidRPr="000665B0">
          <w:rPr>
            <w:rStyle w:val="Hyperlink"/>
          </w:rPr>
          <w:t xml:space="preserve">Section </w:t>
        </w:r>
        <w:r w:rsidR="004231CC">
          <w:rPr>
            <w:rStyle w:val="Hyperlink"/>
          </w:rPr>
          <w:t>5.35</w:t>
        </w:r>
        <w:r w:rsidR="00985815" w:rsidRPr="000665B0">
          <w:rPr>
            <w:rStyle w:val="Hyperlink"/>
          </w:rPr>
          <w:t>.3.1.8</w:t>
        </w:r>
        <w:r w:rsidR="00F06FE4" w:rsidRPr="000665B0">
          <w:rPr>
            <w:rStyle w:val="Hyperlink"/>
          </w:rPr>
          <w:t>.1.2</w:t>
        </w:r>
      </w:hyperlink>
      <w:r w:rsidR="00F06FE4" w:rsidRPr="000665B0">
        <w:t xml:space="preserve">), ensure that the </w:t>
      </w:r>
      <w:r w:rsidR="00CA486B" w:rsidRPr="000665B0">
        <w:t>newly selected</w:t>
      </w:r>
      <w:r w:rsidR="00F06FE4" w:rsidRPr="000665B0">
        <w:t xml:space="preserve"> target does not display a BE of NO_BE_XXX. If a target with NO_BE_XXX is selected, an error is generated when saving the TMPR.</w:t>
      </w:r>
    </w:p>
    <w:p w14:paraId="6E36F6C5" w14:textId="6C3B33BA" w:rsidR="000B5A0B" w:rsidRDefault="000B5A0B" w:rsidP="00CB3E29">
      <w:pPr>
        <w:ind w:left="720"/>
      </w:pPr>
      <w:r w:rsidRPr="000665B0">
        <w:t>Once the option is completed, multi</w:t>
      </w:r>
      <w:r w:rsidR="007C7F46">
        <w:t xml:space="preserve"> </w:t>
      </w:r>
      <w:r w:rsidRPr="000665B0">
        <w:t xml:space="preserve">strike analysis can be run on this option and the executing strike by selecting the </w:t>
      </w:r>
      <w:r w:rsidRPr="000665B0">
        <w:rPr>
          <w:b/>
        </w:rPr>
        <w:t xml:space="preserve">Tools </w:t>
      </w:r>
      <w:r w:rsidR="00D96072" w:rsidRPr="000665B0">
        <w:rPr>
          <w:b/>
        </w:rPr>
        <w:sym w:font="Wingdings" w:char="F0E0"/>
      </w:r>
      <w:r w:rsidRPr="000665B0">
        <w:rPr>
          <w:b/>
        </w:rPr>
        <w:t xml:space="preserve"> Run Multi Strike Analysis</w:t>
      </w:r>
      <w:r w:rsidRPr="000665B0">
        <w:t xml:space="preserve"> </w:t>
      </w:r>
      <w:r w:rsidRPr="000665B0">
        <w:rPr>
          <w:b/>
        </w:rPr>
        <w:t>with Executing Strike</w:t>
      </w:r>
      <w:r w:rsidRPr="000665B0">
        <w:t xml:space="preserve"> menu. Once all errors are corrected</w:t>
      </w:r>
      <w:r w:rsidR="00D96072" w:rsidRPr="000665B0">
        <w:t>,</w:t>
      </w:r>
      <w:r w:rsidRPr="000665B0">
        <w:t xml:space="preserve"> the option can be added to the executing strike by selecting the </w:t>
      </w:r>
      <w:r w:rsidRPr="000665B0">
        <w:rPr>
          <w:b/>
        </w:rPr>
        <w:t xml:space="preserve">Edit </w:t>
      </w:r>
      <w:r w:rsidR="00D96072" w:rsidRPr="000665B0">
        <w:rPr>
          <w:b/>
        </w:rPr>
        <w:sym w:font="Wingdings" w:char="F0E0"/>
      </w:r>
      <w:r w:rsidRPr="000665B0">
        <w:rPr>
          <w:b/>
        </w:rPr>
        <w:t xml:space="preserve"> Add this Option to the Executing Strike</w:t>
      </w:r>
      <w:r w:rsidRPr="000665B0">
        <w:t xml:space="preserve"> menu. This adds the option to the executing strike and will add the option and all its data to the SMD and mark it as pending distribution. When the option is sent from the option list view, the execution folder will also be sent to all MDSs in any of the options in the execution folder.</w:t>
      </w:r>
    </w:p>
    <w:p w14:paraId="0B4C36CF" w14:textId="232B44B6" w:rsidR="00C6477C" w:rsidRPr="000665B0" w:rsidRDefault="00C6477C" w:rsidP="00C92934">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pPr>
      <w:r w:rsidRPr="00991662">
        <w:rPr>
          <w:b/>
          <w:bCs/>
          <w:szCs w:val="24"/>
        </w:rPr>
        <w:t>Note:</w:t>
      </w:r>
      <w:r>
        <w:rPr>
          <w:b/>
          <w:bCs/>
          <w:szCs w:val="24"/>
        </w:rPr>
        <w:br/>
      </w:r>
      <w:r w:rsidRPr="00991662">
        <w:rPr>
          <w:b/>
          <w:bCs/>
          <w:szCs w:val="24"/>
        </w:rPr>
        <w:t xml:space="preserve">In TMPC 7.0.3, the operator cannot </w:t>
      </w:r>
      <w:r w:rsidR="005D5A08">
        <w:rPr>
          <w:b/>
          <w:bCs/>
          <w:szCs w:val="24"/>
        </w:rPr>
        <w:t>create</w:t>
      </w:r>
      <w:r w:rsidRPr="00991662">
        <w:rPr>
          <w:b/>
          <w:bCs/>
          <w:szCs w:val="24"/>
        </w:rPr>
        <w:t xml:space="preserve"> </w:t>
      </w:r>
      <w:r w:rsidR="005D5A08">
        <w:rPr>
          <w:b/>
          <w:bCs/>
          <w:szCs w:val="24"/>
        </w:rPr>
        <w:t xml:space="preserve">new </w:t>
      </w:r>
      <w:r w:rsidRPr="00991662">
        <w:rPr>
          <w:b/>
          <w:bCs/>
          <w:szCs w:val="24"/>
        </w:rPr>
        <w:t>missile</w:t>
      </w:r>
      <w:r w:rsidR="005D5A08">
        <w:rPr>
          <w:b/>
          <w:bCs/>
          <w:szCs w:val="24"/>
        </w:rPr>
        <w:t xml:space="preserve"> assignments</w:t>
      </w:r>
      <w:r w:rsidRPr="00991662">
        <w:rPr>
          <w:b/>
          <w:bCs/>
          <w:szCs w:val="24"/>
        </w:rPr>
        <w:t>, either manually or with AutoPM3, to 109M missions.</w:t>
      </w:r>
    </w:p>
    <w:p w14:paraId="219D2190" w14:textId="77777777" w:rsidR="00C92934" w:rsidRDefault="00C92934" w:rsidP="00C92934">
      <w:pPr>
        <w:spacing w:after="0"/>
        <w:rPr>
          <w:b/>
        </w:rPr>
      </w:pPr>
    </w:p>
    <w:p w14:paraId="2A0A68BA" w14:textId="77777777" w:rsidR="00C92934" w:rsidRPr="000665B0" w:rsidRDefault="00C92934" w:rsidP="00A0163E">
      <w:pPr>
        <w:pBdr>
          <w:top w:val="single" w:sz="12" w:space="1" w:color="000000"/>
          <w:left w:val="single" w:sz="12" w:space="4" w:color="000000"/>
          <w:bottom w:val="single" w:sz="12" w:space="1" w:color="000000"/>
          <w:right w:val="single" w:sz="12" w:space="4" w:color="000000"/>
        </w:pBdr>
        <w:shd w:val="clear" w:color="auto" w:fill="D9D9D9"/>
        <w:spacing w:after="0"/>
        <w:jc w:val="center"/>
        <w:rPr>
          <w:b/>
        </w:rPr>
      </w:pPr>
      <w:r w:rsidRPr="000665B0">
        <w:rPr>
          <w:b/>
        </w:rPr>
        <w:t>Note:</w:t>
      </w:r>
    </w:p>
    <w:p w14:paraId="6C60769E" w14:textId="607B6C90" w:rsidR="00C92934" w:rsidRDefault="00C92934" w:rsidP="00A0163E">
      <w:pPr>
        <w:pBdr>
          <w:top w:val="single" w:sz="12" w:space="1" w:color="000000"/>
          <w:left w:val="single" w:sz="12" w:space="4" w:color="000000"/>
          <w:bottom w:val="single" w:sz="12" w:space="1" w:color="000000"/>
          <w:right w:val="single" w:sz="12" w:space="4" w:color="000000"/>
        </w:pBdr>
        <w:shd w:val="clear" w:color="auto" w:fill="D9D9D9"/>
        <w:spacing w:after="0"/>
        <w:jc w:val="center"/>
        <w:rPr>
          <w:b/>
        </w:rPr>
      </w:pPr>
      <w:bookmarkStart w:id="6650" w:name="_Hlk98935470"/>
      <w:r w:rsidRPr="000665B0">
        <w:rPr>
          <w:b/>
        </w:rPr>
        <w:t xml:space="preserve">To improve analysis performance, ensure that </w:t>
      </w:r>
      <w:bookmarkEnd w:id="6650"/>
      <w:r w:rsidRPr="000665B0">
        <w:rPr>
          <w:b/>
        </w:rPr>
        <w:t>the “During Strike Execution, only Route Deconflict new assignments” checkbox is selected in Strike Properties</w:t>
      </w:r>
      <w:r>
        <w:rPr>
          <w:b/>
        </w:rPr>
        <w:br/>
      </w:r>
      <w:r w:rsidRPr="00C92934">
        <w:rPr>
          <w:b/>
        </w:rPr>
        <w:t xml:space="preserve">(see </w:t>
      </w:r>
      <w:hyperlink w:anchor="_Deconfliction__Tab" w:history="1">
        <w:r w:rsidRPr="00C92934">
          <w:rPr>
            <w:rStyle w:val="Hyperlink"/>
            <w:b/>
          </w:rPr>
          <w:t xml:space="preserve">Section </w:t>
        </w:r>
        <w:r w:rsidR="004231CC">
          <w:rPr>
            <w:rStyle w:val="Hyperlink"/>
            <w:b/>
          </w:rPr>
          <w:t>5.34</w:t>
        </w:r>
        <w:r w:rsidRPr="00C92934">
          <w:rPr>
            <w:rStyle w:val="Hyperlink"/>
            <w:b/>
          </w:rPr>
          <w:t>.1.1.3.4</w:t>
        </w:r>
      </w:hyperlink>
      <w:r w:rsidRPr="00C92934">
        <w:rPr>
          <w:b/>
        </w:rPr>
        <w:t>.)</w:t>
      </w:r>
    </w:p>
    <w:p w14:paraId="2453744F" w14:textId="77777777" w:rsidR="00C92934" w:rsidRDefault="00C92934" w:rsidP="00C92934">
      <w:pPr>
        <w:spacing w:after="0"/>
        <w:rPr>
          <w:b/>
          <w:bCs/>
        </w:rPr>
      </w:pPr>
    </w:p>
    <w:p w14:paraId="5D239542" w14:textId="0A76A9E9" w:rsidR="00C92934" w:rsidRDefault="00C92934" w:rsidP="00A0163E">
      <w:pPr>
        <w:pBdr>
          <w:top w:val="single" w:sz="12" w:space="1" w:color="000000"/>
          <w:left w:val="single" w:sz="12" w:space="4" w:color="000000"/>
          <w:bottom w:val="single" w:sz="12" w:space="1" w:color="000000"/>
          <w:right w:val="single" w:sz="12" w:space="4" w:color="000000"/>
        </w:pBdr>
        <w:shd w:val="clear" w:color="auto" w:fill="D9D9D9"/>
        <w:jc w:val="center"/>
        <w:rPr>
          <w:b/>
          <w:bCs/>
        </w:rPr>
      </w:pPr>
      <w:r>
        <w:rPr>
          <w:b/>
          <w:bCs/>
        </w:rPr>
        <w:t>Note:</w:t>
      </w:r>
      <w:r>
        <w:rPr>
          <w:b/>
          <w:bCs/>
        </w:rPr>
        <w:br/>
        <w:t xml:space="preserve">When Option is created from selected targets during strike execution and a reservation is assigned to a BOC or LRF platform in the Option and the Option is distributed, a pre-6.0.2 </w:t>
      </w:r>
      <w:r>
        <w:rPr>
          <w:b/>
          <w:bCs/>
        </w:rPr>
        <w:lastRenderedPageBreak/>
        <w:t>TED node will display MS#s assigned to a BOC or LRF on the GANTT chart, but there will be no mission displayed in temporal line on the GANTT. The MS# should not be displayed on the GANTT because there is no timing information for the mission. There is no timing information for the mission because a pre-6.0.2 TED node will never receive a</w:t>
      </w:r>
      <w:r>
        <w:rPr>
          <w:b/>
          <w:bCs/>
        </w:rPr>
        <w:br/>
        <w:t>ground-launch required mission.</w:t>
      </w:r>
    </w:p>
    <w:p w14:paraId="4DA5DF46" w14:textId="30C9C3F8" w:rsidR="000B5A0B" w:rsidRPr="000665B0" w:rsidRDefault="00B54B8C" w:rsidP="00496AAC">
      <w:r w:rsidRPr="000665B0">
        <w:t xml:space="preserve">For more information on </w:t>
      </w:r>
      <w:hyperlink w:anchor="_5.38.3.1.8.2.3__Reassign" w:history="1">
        <w:r w:rsidR="000B5A0B" w:rsidRPr="000665B0">
          <w:t>How to Complete FRU Reassignment</w:t>
        </w:r>
      </w:hyperlink>
      <w:r w:rsidRPr="000665B0">
        <w:t xml:space="preserve">, see </w:t>
      </w:r>
      <w:hyperlink w:anchor="_5.38.3.1.8.2.4__Reassign" w:history="1">
        <w:r w:rsidR="0096111B" w:rsidRPr="000665B0">
          <w:rPr>
            <w:rStyle w:val="Hyperlink"/>
          </w:rPr>
          <w:t xml:space="preserve">Section </w:t>
        </w:r>
        <w:r w:rsidR="004231CC">
          <w:rPr>
            <w:rStyle w:val="Hyperlink"/>
          </w:rPr>
          <w:t>5.35</w:t>
        </w:r>
        <w:r w:rsidR="0096111B" w:rsidRPr="000665B0">
          <w:rPr>
            <w:rStyle w:val="Hyperlink"/>
          </w:rPr>
          <w:t>.3.1.9</w:t>
        </w:r>
        <w:r w:rsidRPr="000665B0">
          <w:rPr>
            <w:rStyle w:val="Hyperlink"/>
          </w:rPr>
          <w:t>.2.3</w:t>
        </w:r>
      </w:hyperlink>
      <w:r w:rsidRPr="000665B0">
        <w:t>.</w:t>
      </w:r>
      <w:r w:rsidR="009651B0">
        <w:t xml:space="preserve"> </w:t>
      </w:r>
    </w:p>
    <w:p w14:paraId="6F735612" w14:textId="77777777" w:rsidR="000B5A0B" w:rsidRPr="000665B0" w:rsidRDefault="009A1FDF" w:rsidP="00BB4EBE">
      <w:pPr>
        <w:keepLines/>
        <w:pBdr>
          <w:top w:val="single" w:sz="12" w:space="1" w:color="auto"/>
          <w:left w:val="single" w:sz="12" w:space="4" w:color="auto"/>
          <w:bottom w:val="single" w:sz="12" w:space="1" w:color="auto"/>
          <w:right w:val="single" w:sz="12" w:space="4" w:color="auto"/>
        </w:pBdr>
        <w:shd w:val="clear" w:color="auto" w:fill="F3F3F3"/>
        <w:rPr>
          <w:rStyle w:val="bodycopy"/>
          <w:b/>
          <w:szCs w:val="24"/>
        </w:rPr>
      </w:pPr>
      <w:r w:rsidRPr="000665B0">
        <w:rPr>
          <w:b/>
          <w:noProof/>
        </w:rPr>
        <w:drawing>
          <wp:inline distT="0" distB="0" distL="0" distR="0" wp14:anchorId="2BBC4637" wp14:editId="70DE7987">
            <wp:extent cx="352425" cy="381000"/>
            <wp:effectExtent l="0" t="0" r="9525" b="0"/>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0B5A0B" w:rsidRPr="000665B0">
        <w:rPr>
          <w:b/>
        </w:rPr>
        <w:t>TIP: The newly created Strike Option does not populate its Geographic Resources with the PLPs and Operational Areas that are assigned in the Arsenal’s tab. Since the Arsenal’s PLP and Operational Area selections are retrieved from the Option’s Geographic Resources, any PLPs or Operational Areas that are not in the Geographic Resources will not be selectable for assignment to new or unassigned Arsenals. In order to make the PLPs and Operational Areas available for assignment, these ACMSs must be manually added to the Option’s Geographic Resources.</w:t>
      </w:r>
    </w:p>
    <w:p w14:paraId="36B9E1FB" w14:textId="24C24774" w:rsidR="00BB62BE" w:rsidRDefault="00D96072" w:rsidP="006D5A65">
      <w:pPr>
        <w:pStyle w:val="Heading1"/>
      </w:pPr>
      <w:r w:rsidRPr="000665B0">
        <w:t xml:space="preserve">Insert Tasking into Option… – </w:t>
      </w:r>
      <w:r w:rsidR="00BB62BE" w:rsidRPr="000665B0">
        <w:t xml:space="preserve">This allows the operator to create new missile assignments in the selected Option. After the Option is selected from the context menu, the </w:t>
      </w:r>
      <w:r w:rsidR="00BB62BE" w:rsidRPr="000665B0">
        <w:rPr>
          <w:i/>
        </w:rPr>
        <w:t>PM3 for Strike Rehearse/Execute xxxxx-xxxxx-xxxxx</w:t>
      </w:r>
      <w:r w:rsidR="00BB62BE" w:rsidRPr="000665B0">
        <w:t xml:space="preserve"> window appears. From here the operator can make missile assignments using PM3. For more information about PM3, see </w:t>
      </w:r>
      <w:hyperlink w:anchor="_5.37.6.1.17__Manual" w:history="1">
        <w:r w:rsidR="009326FE" w:rsidRPr="000665B0">
          <w:rPr>
            <w:rStyle w:val="Hyperlink"/>
          </w:rPr>
          <w:t xml:space="preserve">Section </w:t>
        </w:r>
        <w:r w:rsidR="004231CC">
          <w:rPr>
            <w:rStyle w:val="Hyperlink"/>
          </w:rPr>
          <w:t>5.34</w:t>
        </w:r>
        <w:r w:rsidR="00BB62BE" w:rsidRPr="000665B0">
          <w:rPr>
            <w:rStyle w:val="Hyperlink"/>
          </w:rPr>
          <w:t>.</w:t>
        </w:r>
        <w:r w:rsidR="0089269C" w:rsidRPr="000665B0">
          <w:rPr>
            <w:rStyle w:val="Hyperlink"/>
          </w:rPr>
          <w:t>7</w:t>
        </w:r>
        <w:r w:rsidR="00BB62BE" w:rsidRPr="000665B0">
          <w:rPr>
            <w:rStyle w:val="Hyperlink"/>
          </w:rPr>
          <w:t>.1.17</w:t>
        </w:r>
      </w:hyperlink>
      <w:r w:rsidR="00BB62BE" w:rsidRPr="000665B0">
        <w:t>.</w:t>
      </w:r>
    </w:p>
    <w:p w14:paraId="49927017" w14:textId="3E276688" w:rsidR="00C6477C" w:rsidRPr="000665B0" w:rsidRDefault="00C6477C"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pPr>
      <w:r w:rsidRPr="00991662">
        <w:rPr>
          <w:b/>
          <w:bCs/>
          <w:szCs w:val="24"/>
        </w:rPr>
        <w:t>Note:</w:t>
      </w:r>
      <w:r>
        <w:rPr>
          <w:b/>
          <w:bCs/>
          <w:szCs w:val="24"/>
        </w:rPr>
        <w:br/>
      </w:r>
      <w:r w:rsidRPr="00991662">
        <w:rPr>
          <w:b/>
          <w:bCs/>
          <w:szCs w:val="24"/>
        </w:rPr>
        <w:t>In TMPC 7.0.3, the operator cannot create new missiles assignments for 109M missions</w:t>
      </w:r>
      <w:r w:rsidR="00D421E6">
        <w:rPr>
          <w:b/>
          <w:bCs/>
          <w:szCs w:val="24"/>
        </w:rPr>
        <w:t>.</w:t>
      </w:r>
    </w:p>
    <w:p w14:paraId="24E6A67A" w14:textId="3ED73214" w:rsidR="00084BAC" w:rsidRPr="000665B0" w:rsidRDefault="00DD3413" w:rsidP="009C16DF">
      <w:pPr>
        <w:jc w:val="center"/>
      </w:pPr>
      <w:r w:rsidRPr="000665B0">
        <w:rPr>
          <w:noProof/>
        </w:rPr>
        <w:drawing>
          <wp:inline distT="0" distB="0" distL="0" distR="0" wp14:anchorId="7C7A5DE2" wp14:editId="68B74EE3">
            <wp:extent cx="4114800" cy="2715768"/>
            <wp:effectExtent l="0" t="0" r="0" b="8890"/>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715768"/>
                    </a:xfrm>
                    <a:prstGeom prst="rect">
                      <a:avLst/>
                    </a:prstGeom>
                  </pic:spPr>
                </pic:pic>
              </a:graphicData>
            </a:graphic>
          </wp:inline>
        </w:drawing>
      </w:r>
    </w:p>
    <w:p w14:paraId="09B41AC8" w14:textId="77777777" w:rsidR="00C92934" w:rsidRDefault="00BB62BE" w:rsidP="00A0163E">
      <w:pPr>
        <w:pBdr>
          <w:top w:val="single" w:sz="12" w:space="1" w:color="000000"/>
          <w:left w:val="single" w:sz="12" w:space="4" w:color="000000"/>
          <w:bottom w:val="single" w:sz="12" w:space="1" w:color="000000"/>
          <w:right w:val="single" w:sz="12" w:space="4" w:color="000000"/>
        </w:pBdr>
        <w:shd w:val="clear" w:color="auto" w:fill="D9D9D9"/>
        <w:spacing w:after="0"/>
        <w:jc w:val="center"/>
        <w:rPr>
          <w:b/>
        </w:rPr>
      </w:pPr>
      <w:r w:rsidRPr="000665B0">
        <w:rPr>
          <w:b/>
        </w:rPr>
        <w:t>Note:</w:t>
      </w:r>
    </w:p>
    <w:p w14:paraId="3629D7C6" w14:textId="7206CB59" w:rsidR="00C6477C" w:rsidRDefault="00C23BFE" w:rsidP="00A0163E">
      <w:pPr>
        <w:pBdr>
          <w:top w:val="single" w:sz="12" w:space="1" w:color="000000"/>
          <w:left w:val="single" w:sz="12" w:space="4" w:color="000000"/>
          <w:bottom w:val="single" w:sz="12" w:space="1" w:color="000000"/>
          <w:right w:val="single" w:sz="12" w:space="4" w:color="000000"/>
        </w:pBdr>
        <w:shd w:val="clear" w:color="auto" w:fill="D9D9D9"/>
        <w:spacing w:after="0"/>
        <w:jc w:val="center"/>
        <w:rPr>
          <w:b/>
        </w:rPr>
      </w:pPr>
      <w:r w:rsidRPr="000665B0">
        <w:rPr>
          <w:b/>
        </w:rPr>
        <w:t xml:space="preserve">If no mission exists for the target, the operator can create a TMPR from the target by selecting the target, invoking the context menu, and selecting New </w:t>
      </w:r>
      <w:r w:rsidRPr="000665B0">
        <w:rPr>
          <w:b/>
        </w:rPr>
        <w:sym w:font="Wingdings 3" w:char="F07D"/>
      </w:r>
      <w:r w:rsidRPr="000665B0">
        <w:rPr>
          <w:b/>
        </w:rPr>
        <w:t xml:space="preserve"> TMPR. Since TMPR assignments are not allowed during Strike Execution, the TMPR node will be in the “needs </w:t>
      </w:r>
      <w:r w:rsidRPr="000665B0">
        <w:rPr>
          <w:b/>
        </w:rPr>
        <w:lastRenderedPageBreak/>
        <w:t>attention” color (red is the default).</w:t>
      </w:r>
      <w:r w:rsidRPr="000665B0">
        <w:t xml:space="preserve"> </w:t>
      </w:r>
      <w:r w:rsidRPr="000665B0">
        <w:rPr>
          <w:b/>
        </w:rPr>
        <w:t>In this case, the red text does not indicate a problem; it is intended to convey that although the TMPR is displayed in PM, the</w:t>
      </w:r>
      <w:r w:rsidRPr="00C23BFE">
        <w:rPr>
          <w:b/>
        </w:rPr>
        <w:t xml:space="preserve"> </w:t>
      </w:r>
      <w:r w:rsidRPr="000665B0">
        <w:rPr>
          <w:b/>
        </w:rPr>
        <w:t>assignment cannot be</w:t>
      </w:r>
      <w:r>
        <w:rPr>
          <w:b/>
        </w:rPr>
        <w:t xml:space="preserve"> made.</w:t>
      </w:r>
    </w:p>
    <w:p w14:paraId="5B38DE16" w14:textId="77777777" w:rsidR="00C92934" w:rsidRDefault="00C92934" w:rsidP="00BB4EBE">
      <w:pPr>
        <w:spacing w:after="0"/>
        <w:rPr>
          <w:szCs w:val="24"/>
        </w:rPr>
      </w:pPr>
    </w:p>
    <w:p w14:paraId="1E7F7B52" w14:textId="77777777" w:rsidR="00C6477C" w:rsidRPr="002E5D98" w:rsidRDefault="00C6477C" w:rsidP="00C6477C">
      <w:pPr>
        <w:keepNext/>
        <w:keepLines/>
        <w:pBdr>
          <w:top w:val="single" w:sz="12" w:space="1" w:color="000000"/>
          <w:left w:val="single" w:sz="12" w:space="4" w:color="000000"/>
          <w:bottom w:val="single" w:sz="12" w:space="1" w:color="000000"/>
          <w:right w:val="single" w:sz="12" w:space="4" w:color="000000"/>
        </w:pBdr>
        <w:shd w:val="clear" w:color="auto" w:fill="D9D9D9"/>
        <w:spacing w:after="0"/>
        <w:jc w:val="center"/>
        <w:rPr>
          <w:b/>
        </w:rPr>
      </w:pPr>
      <w:r w:rsidRPr="002E5D98">
        <w:rPr>
          <w:b/>
        </w:rPr>
        <w:t>Note:</w:t>
      </w:r>
    </w:p>
    <w:p w14:paraId="610F1605" w14:textId="538D0768" w:rsidR="00C6477C" w:rsidRPr="00C92934" w:rsidRDefault="00C6477C" w:rsidP="00C92934">
      <w:pPr>
        <w:keepNext/>
        <w:keepLines/>
        <w:pBdr>
          <w:top w:val="single" w:sz="12" w:space="1" w:color="000000"/>
          <w:left w:val="single" w:sz="12" w:space="4" w:color="000000"/>
          <w:bottom w:val="single" w:sz="12" w:space="1" w:color="000000"/>
          <w:right w:val="single" w:sz="12" w:space="4" w:color="000000"/>
        </w:pBdr>
        <w:shd w:val="clear" w:color="auto" w:fill="D9D9D9"/>
        <w:jc w:val="center"/>
        <w:rPr>
          <w:b/>
          <w:bCs/>
        </w:rPr>
      </w:pPr>
      <w:r>
        <w:rPr>
          <w:b/>
          <w:bCs/>
        </w:rPr>
        <w:t>When Insert Tasking contains a ground-launch reservation and the updated strike option containing that Insert Tasking is distributed, a pre-6.0.2 node will not display the ground-launch missile assignment on the GANTT or in the Missile Assignment pane. If there are multiple Insert Taskings performed in one strike package revision and distributed, a pre-6.0.2 node will exhibit the following symptoms for all Insert Tasking of missile reservations subsequent to the Insert Tasking of a ground launch required missile: missiles will not be displayed on the GANTT and will not be displayed on the Missile Assignment pane.</w:t>
      </w:r>
    </w:p>
    <w:p w14:paraId="56185DD1" w14:textId="4917EE9D" w:rsidR="004015C0" w:rsidRPr="002E5D98" w:rsidRDefault="004015C0" w:rsidP="006D5A65">
      <w:pPr>
        <w:pStyle w:val="Heading1"/>
      </w:pPr>
      <w:r w:rsidRPr="002E5D98">
        <w:t xml:space="preserve">Unlike in the Strike Option PM3, once an assignment is made, the </w:t>
      </w:r>
      <w:r w:rsidRPr="002E5D98">
        <w:rPr>
          <w:i/>
        </w:rPr>
        <w:t>Missile’s Time</w:t>
      </w:r>
      <w:r w:rsidRPr="002E5D98">
        <w:t xml:space="preserve"> window </w:t>
      </w:r>
      <w:r w:rsidR="00CA486B" w:rsidRPr="002E5D98">
        <w:t>appears,</w:t>
      </w:r>
      <w:r w:rsidRPr="002E5D98">
        <w:t xml:space="preserve"> and the missile’s timing can be changed.</w:t>
      </w:r>
    </w:p>
    <w:p w14:paraId="4E956F30" w14:textId="52A9C5DC" w:rsidR="007242A5" w:rsidRPr="000665B0" w:rsidRDefault="00DD3413" w:rsidP="007242A5">
      <w:pPr>
        <w:spacing w:before="240"/>
        <w:jc w:val="center"/>
      </w:pPr>
      <w:r w:rsidRPr="000665B0">
        <w:rPr>
          <w:noProof/>
        </w:rPr>
        <w:drawing>
          <wp:inline distT="0" distB="0" distL="0" distR="0" wp14:anchorId="0570DDEC" wp14:editId="04296A5C">
            <wp:extent cx="2286000" cy="1078992"/>
            <wp:effectExtent l="0" t="0" r="0" b="0"/>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286000" cy="1078992"/>
                    </a:xfrm>
                    <a:prstGeom prst="rect">
                      <a:avLst/>
                    </a:prstGeom>
                  </pic:spPr>
                </pic:pic>
              </a:graphicData>
            </a:graphic>
          </wp:inline>
        </w:drawing>
      </w:r>
    </w:p>
    <w:p w14:paraId="6C20922F" w14:textId="77777777" w:rsidR="00BB62BE" w:rsidRPr="000665B0" w:rsidRDefault="00BB62BE" w:rsidP="00BB62BE">
      <w:pPr>
        <w:ind w:left="1080"/>
      </w:pPr>
      <w:r w:rsidRPr="000665B0">
        <w:t xml:space="preserve">The </w:t>
      </w:r>
      <w:r w:rsidRPr="000665B0">
        <w:rPr>
          <w:b/>
        </w:rPr>
        <w:t>Locked</w:t>
      </w:r>
      <w:r w:rsidRPr="000665B0">
        <w:t xml:space="preserve"> checkbox locks the selected reservation’s timing. Once locked, any timing changes will not affect the locked reservations.</w:t>
      </w:r>
    </w:p>
    <w:p w14:paraId="3894FD73" w14:textId="77777777" w:rsidR="00BB62BE" w:rsidRPr="000665B0" w:rsidRDefault="00BB62BE" w:rsidP="00BB62BE">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46CBFFAA" w14:textId="77777777" w:rsidR="00BB62BE" w:rsidRPr="000665B0" w:rsidRDefault="00BB62BE" w:rsidP="00BB62BE">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Only missiles that have not been launched can have their times changed. Once completed, the option will be marked as pending distribution in the option list view and can be sent from there.</w:t>
      </w:r>
    </w:p>
    <w:p w14:paraId="1B1C0343" w14:textId="3A78211E" w:rsidR="00BB62BE" w:rsidRPr="000665B0" w:rsidRDefault="00BB62BE" w:rsidP="00BB62BE">
      <w:pPr>
        <w:ind w:left="1080"/>
      </w:pPr>
      <w:r w:rsidRPr="000665B0">
        <w:t xml:space="preserve">Immediately after shifting a missile’s time, the </w:t>
      </w:r>
      <w:r w:rsidRPr="000665B0">
        <w:rPr>
          <w:i/>
        </w:rPr>
        <w:t xml:space="preserve">Analysis </w:t>
      </w:r>
      <w:r w:rsidR="00C320C7">
        <w:rPr>
          <w:i/>
        </w:rPr>
        <w:t>–</w:t>
      </w:r>
      <w:r w:rsidRPr="000665B0">
        <w:rPr>
          <w:i/>
        </w:rPr>
        <w:t xml:space="preserve"> Strike Option: xxxxx-xxxxx-xxxxx with Executing Strike</w:t>
      </w:r>
      <w:r w:rsidRPr="000665B0">
        <w:t xml:space="preserve"> window is displayed.</w:t>
      </w:r>
    </w:p>
    <w:p w14:paraId="1F3A31CB" w14:textId="0186B551" w:rsidR="005B5020" w:rsidRPr="000665B0" w:rsidRDefault="005B5020" w:rsidP="004E7DCC">
      <w:pPr>
        <w:jc w:val="center"/>
      </w:pPr>
      <w:r w:rsidRPr="000665B0">
        <w:rPr>
          <w:noProof/>
        </w:rPr>
        <w:lastRenderedPageBreak/>
        <w:drawing>
          <wp:inline distT="0" distB="0" distL="0" distR="0" wp14:anchorId="27E69235" wp14:editId="7174430E">
            <wp:extent cx="3841230" cy="3124200"/>
            <wp:effectExtent l="0" t="0" r="0" b="0"/>
            <wp:docPr id="1132"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850161" cy="3131464"/>
                    </a:xfrm>
                    <a:prstGeom prst="rect">
                      <a:avLst/>
                    </a:prstGeom>
                  </pic:spPr>
                </pic:pic>
              </a:graphicData>
            </a:graphic>
          </wp:inline>
        </w:drawing>
      </w:r>
    </w:p>
    <w:p w14:paraId="39AE81FD" w14:textId="77777777" w:rsidR="00EC268C" w:rsidRPr="000665B0" w:rsidRDefault="00EC268C" w:rsidP="00EC268C">
      <w:pPr>
        <w:keepNext/>
        <w:pBdr>
          <w:top w:val="single" w:sz="12" w:space="1" w:color="000000"/>
          <w:left w:val="single" w:sz="12" w:space="4" w:color="000000"/>
          <w:bottom w:val="single" w:sz="12" w:space="1" w:color="000000"/>
          <w:right w:val="single" w:sz="12" w:space="4" w:color="000000"/>
        </w:pBdr>
        <w:shd w:val="clear" w:color="auto" w:fill="D9D9D9"/>
        <w:spacing w:after="0"/>
        <w:jc w:val="center"/>
        <w:rPr>
          <w:b/>
        </w:rPr>
      </w:pPr>
      <w:r w:rsidRPr="000665B0">
        <w:rPr>
          <w:b/>
        </w:rPr>
        <w:t>Note:</w:t>
      </w:r>
    </w:p>
    <w:p w14:paraId="76BD9ECC" w14:textId="31F0CA61" w:rsidR="00EC268C" w:rsidRPr="000665B0" w:rsidRDefault="00EC268C" w:rsidP="00EC268C">
      <w:pPr>
        <w:keepNext/>
        <w:pBdr>
          <w:top w:val="single" w:sz="12" w:space="1" w:color="000000"/>
          <w:left w:val="single" w:sz="12" w:space="4" w:color="000000"/>
          <w:bottom w:val="single" w:sz="12" w:space="1" w:color="000000"/>
          <w:right w:val="single" w:sz="12" w:space="4" w:color="000000"/>
        </w:pBdr>
        <w:shd w:val="clear" w:color="auto" w:fill="D9D9D9"/>
        <w:jc w:val="center"/>
        <w:rPr>
          <w:b/>
        </w:rPr>
      </w:pPr>
      <w:r w:rsidRPr="000665B0">
        <w:rPr>
          <w:b/>
        </w:rPr>
        <w:t xml:space="preserve">To improve analysis performance, ensure that the “During Strike Execution, only Route Deconflict new assignments” checkbox is selected in Strike Properties (see </w:t>
      </w:r>
      <w:hyperlink w:anchor="_Deconfliction__Tab" w:history="1">
        <w:r w:rsidR="009326FE" w:rsidRPr="000665B0">
          <w:rPr>
            <w:rStyle w:val="Hyperlink"/>
            <w:b/>
          </w:rPr>
          <w:t xml:space="preserve">Section </w:t>
        </w:r>
        <w:r w:rsidR="004231CC">
          <w:rPr>
            <w:rStyle w:val="Hyperlink"/>
            <w:b/>
          </w:rPr>
          <w:t>5.34</w:t>
        </w:r>
        <w:r w:rsidRPr="000665B0">
          <w:rPr>
            <w:rStyle w:val="Hyperlink"/>
            <w:b/>
          </w:rPr>
          <w:t>.1.1.3.4</w:t>
        </w:r>
      </w:hyperlink>
      <w:r w:rsidRPr="000665B0">
        <w:rPr>
          <w:b/>
        </w:rPr>
        <w:t>).</w:t>
      </w:r>
    </w:p>
    <w:p w14:paraId="097B0787" w14:textId="2D9B5284" w:rsidR="00BB62BE" w:rsidRPr="000665B0" w:rsidRDefault="00BB62BE" w:rsidP="00BB62BE">
      <w:pPr>
        <w:ind w:left="1080"/>
      </w:pPr>
      <w:r w:rsidRPr="000665B0">
        <w:t xml:space="preserve">This gives the operator the chance to see and correct </w:t>
      </w:r>
      <w:r w:rsidR="007C7F46" w:rsidRPr="000665B0">
        <w:t>newly created</w:t>
      </w:r>
      <w:r w:rsidRPr="000665B0">
        <w:t xml:space="preserve"> conflicts before the assignments are saved to the database. </w:t>
      </w:r>
    </w:p>
    <w:p w14:paraId="4FDC86DB" w14:textId="3AB96AE5" w:rsidR="00BB62BE" w:rsidRPr="000665B0" w:rsidRDefault="00BB62BE" w:rsidP="006D5A65">
      <w:pPr>
        <w:pStyle w:val="Heading3"/>
      </w:pPr>
      <w:r w:rsidRPr="000665B0">
        <w:rPr>
          <w:i/>
        </w:rPr>
        <w:t>Analysis</w:t>
      </w:r>
      <w:r w:rsidRPr="000665B0">
        <w:t xml:space="preserve"> Window Toolbar and File pull down </w:t>
      </w:r>
      <w:r w:rsidR="007C4735" w:rsidRPr="000665B0">
        <w:t>menu.</w:t>
      </w:r>
    </w:p>
    <w:p w14:paraId="5A2E5DF8" w14:textId="77777777" w:rsidR="00BB62BE" w:rsidRPr="000665B0" w:rsidRDefault="00BB62BE" w:rsidP="006D5A65">
      <w:pPr>
        <w:pStyle w:val="Heading3"/>
      </w:pPr>
      <w:r w:rsidRPr="000665B0">
        <w:t xml:space="preserve">Add </w:t>
      </w:r>
      <w:r w:rsidRPr="000665B0">
        <w:rPr>
          <w:noProof/>
        </w:rPr>
        <w:drawing>
          <wp:inline distT="0" distB="0" distL="0" distR="0" wp14:anchorId="4D3EB40E" wp14:editId="798E66F5">
            <wp:extent cx="219075" cy="200025"/>
            <wp:effectExtent l="0" t="0" r="9525" b="9525"/>
            <wp:docPr id="1323" name="Picture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19075" cy="200025"/>
                    </a:xfrm>
                    <a:prstGeom prst="rect">
                      <a:avLst/>
                    </a:prstGeom>
                    <a:noFill/>
                    <a:ln>
                      <a:noFill/>
                    </a:ln>
                  </pic:spPr>
                </pic:pic>
              </a:graphicData>
            </a:graphic>
          </wp:inline>
        </w:drawing>
      </w:r>
      <w:r w:rsidRPr="000665B0">
        <w:t xml:space="preserve"> – Adds all newly created assignments, IMMEDIATELY.</w:t>
      </w:r>
    </w:p>
    <w:p w14:paraId="3FD7C7D7" w14:textId="77777777" w:rsidR="00BB62BE" w:rsidRPr="000665B0" w:rsidRDefault="00BB62BE" w:rsidP="006D5A65">
      <w:pPr>
        <w:pStyle w:val="Heading3"/>
      </w:pPr>
      <w:r w:rsidRPr="000665B0">
        <w:t xml:space="preserve">Cancel </w:t>
      </w:r>
      <w:r w:rsidRPr="000665B0">
        <w:rPr>
          <w:noProof/>
        </w:rPr>
        <w:drawing>
          <wp:inline distT="0" distB="0" distL="0" distR="0" wp14:anchorId="6710B817" wp14:editId="07734A90">
            <wp:extent cx="219075" cy="200025"/>
            <wp:effectExtent l="0" t="0" r="9525" b="9525"/>
            <wp:docPr id="1324" name="Picture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19075" cy="200025"/>
                    </a:xfrm>
                    <a:prstGeom prst="rect">
                      <a:avLst/>
                    </a:prstGeom>
                    <a:noFill/>
                    <a:ln>
                      <a:noFill/>
                    </a:ln>
                  </pic:spPr>
                </pic:pic>
              </a:graphicData>
            </a:graphic>
          </wp:inline>
        </w:drawing>
      </w:r>
      <w:r w:rsidRPr="000665B0">
        <w:t xml:space="preserve"> – Cancels adding assignments.</w:t>
      </w:r>
    </w:p>
    <w:p w14:paraId="541A474A" w14:textId="77777777" w:rsidR="00D96072" w:rsidRPr="000665B0" w:rsidRDefault="00BB62BE" w:rsidP="006D5A65">
      <w:pPr>
        <w:pStyle w:val="Heading3"/>
      </w:pPr>
      <w:r w:rsidRPr="000665B0">
        <w:t xml:space="preserve">Continue </w:t>
      </w:r>
      <w:r w:rsidRPr="000665B0">
        <w:rPr>
          <w:noProof/>
        </w:rPr>
        <w:drawing>
          <wp:inline distT="0" distB="0" distL="0" distR="0" wp14:anchorId="6D00219E" wp14:editId="3916AA27">
            <wp:extent cx="209550" cy="209550"/>
            <wp:effectExtent l="0" t="0" r="0" b="0"/>
            <wp:docPr id="1325" name="Picture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9550" cy="209550"/>
                    </a:xfrm>
                    <a:prstGeom prst="rect">
                      <a:avLst/>
                    </a:prstGeom>
                    <a:noFill/>
                    <a:ln>
                      <a:noFill/>
                    </a:ln>
                  </pic:spPr>
                </pic:pic>
              </a:graphicData>
            </a:graphic>
          </wp:inline>
        </w:drawing>
      </w:r>
      <w:r w:rsidRPr="000665B0">
        <w:t xml:space="preserve"> – Continues adding more assignments.</w:t>
      </w:r>
    </w:p>
    <w:p w14:paraId="6A36A67A" w14:textId="77777777" w:rsidR="000B5A0B" w:rsidRPr="000665B0" w:rsidRDefault="000B5A0B" w:rsidP="006D5A65">
      <w:pPr>
        <w:pStyle w:val="Heading1"/>
      </w:pPr>
      <w:r w:rsidRPr="000665B0">
        <w:t xml:space="preserve">Print – </w:t>
      </w:r>
      <w:r w:rsidR="00D96072" w:rsidRPr="000665B0">
        <w:t>Prints the selected item(s) in the list.</w:t>
      </w:r>
    </w:p>
    <w:p w14:paraId="19085C51" w14:textId="34C02F21" w:rsidR="003712C4" w:rsidRPr="000665B0" w:rsidRDefault="003712C4" w:rsidP="006D5A65">
      <w:pPr>
        <w:pStyle w:val="Heading1"/>
      </w:pPr>
      <w:r w:rsidRPr="000665B0">
        <w:t>Spotlight – Highlights every line item associated with the selected missile sequence number in every pane in the SMD, including the Gantt Chart and correspo</w:t>
      </w:r>
      <w:r w:rsidR="00294000" w:rsidRPr="000665B0">
        <w:t xml:space="preserve">nding route on </w:t>
      </w:r>
      <w:r w:rsidRPr="000665B0">
        <w:t>the</w:t>
      </w:r>
      <w:r w:rsidR="00294000" w:rsidRPr="000665B0">
        <w:t xml:space="preserve"> </w:t>
      </w:r>
      <w:r w:rsidRPr="000665B0">
        <w:t xml:space="preserve">Geo display. This allows the user to rapidly locate and correlate missile assignments for an individual FRU. The </w:t>
      </w:r>
      <w:r w:rsidRPr="000665B0">
        <w:lastRenderedPageBreak/>
        <w:t xml:space="preserve">spotlighted item is added to the Spotlighted Assignments pane (see </w:t>
      </w:r>
      <w:hyperlink w:anchor="_Spotlighted_Assignments_List" w:history="1">
        <w:r w:rsidR="00157B2F" w:rsidRPr="000665B0">
          <w:rPr>
            <w:rStyle w:val="Hyperlink"/>
          </w:rPr>
          <w:t xml:space="preserve">Section </w:t>
        </w:r>
        <w:r w:rsidR="004231CC">
          <w:rPr>
            <w:rStyle w:val="Hyperlink"/>
          </w:rPr>
          <w:t>5.35</w:t>
        </w:r>
        <w:r w:rsidR="00157B2F" w:rsidRPr="000665B0">
          <w:rPr>
            <w:rStyle w:val="Hyperlink"/>
          </w:rPr>
          <w:t>.3.1.11</w:t>
        </w:r>
      </w:hyperlink>
      <w:r w:rsidRPr="000665B0">
        <w:t>).</w:t>
      </w:r>
    </w:p>
    <w:p w14:paraId="68781298" w14:textId="77777777" w:rsidR="005019C9" w:rsidRPr="000665B0" w:rsidRDefault="005019C9" w:rsidP="006D5A65">
      <w:pPr>
        <w:pStyle w:val="Heading1"/>
      </w:pPr>
      <w:r w:rsidRPr="000665B0">
        <w:t>Save Route As</w:t>
      </w:r>
    </w:p>
    <w:p w14:paraId="616E3EB0" w14:textId="2768A50E" w:rsidR="005019C9" w:rsidRPr="000665B0" w:rsidRDefault="005019C9" w:rsidP="006D5A65">
      <w:pPr>
        <w:pStyle w:val="Heading1"/>
      </w:pPr>
      <w:r w:rsidRPr="000665B0">
        <w:t xml:space="preserve">KML – </w:t>
      </w:r>
      <w:r w:rsidR="00A9336A" w:rsidRPr="000665B0">
        <w:t>Saves the route file in KML format.</w:t>
      </w:r>
    </w:p>
    <w:p w14:paraId="6EDB271A" w14:textId="7A5C5C4C" w:rsidR="005019C9" w:rsidRPr="000665B0" w:rsidRDefault="005019C9" w:rsidP="006D5A65">
      <w:pPr>
        <w:pStyle w:val="Heading1"/>
      </w:pPr>
      <w:r w:rsidRPr="000665B0">
        <w:t xml:space="preserve">Overlay – </w:t>
      </w:r>
      <w:r w:rsidR="00A9336A" w:rsidRPr="000665B0">
        <w:t>Saves the route file as an overlay.</w:t>
      </w:r>
    </w:p>
    <w:p w14:paraId="4D9D91BA" w14:textId="6BB50473" w:rsidR="000A607E" w:rsidRPr="000665B0" w:rsidRDefault="000A607E" w:rsidP="00306174">
      <w:pPr>
        <w:pStyle w:val="Heading6"/>
      </w:pPr>
      <w:bookmarkStart w:id="6651" w:name="_Reroute"/>
      <w:bookmarkStart w:id="6652" w:name="_Toc289328913"/>
      <w:bookmarkEnd w:id="6651"/>
      <w:r w:rsidRPr="000665B0">
        <w:t>Reroute</w:t>
      </w:r>
      <w:bookmarkEnd w:id="6652"/>
    </w:p>
    <w:p w14:paraId="30EC6CA1" w14:textId="0B92C4B4" w:rsidR="003D29EC" w:rsidRPr="000665B0" w:rsidRDefault="003D29EC" w:rsidP="003D29EC">
      <w:bookmarkStart w:id="6653" w:name="How_to_reroute_missile_using_flex"/>
      <w:r w:rsidRPr="000665B0">
        <w:t xml:space="preserve">The </w:t>
      </w:r>
      <w:r w:rsidRPr="000665B0">
        <w:rPr>
          <w:i/>
        </w:rPr>
        <w:t>Reroute</w:t>
      </w:r>
      <w:r w:rsidRPr="000665B0">
        <w:t xml:space="preserve"> tab provides a view of the candidate missiles to Flex, Retarget, or Aimpoint Update for a particular target.</w:t>
      </w:r>
    </w:p>
    <w:p w14:paraId="79103114" w14:textId="4EE845E3" w:rsidR="003D29EC" w:rsidRPr="000665B0" w:rsidRDefault="00367AC4" w:rsidP="003D29EC">
      <w:pPr>
        <w:jc w:val="center"/>
      </w:pPr>
      <w:r w:rsidRPr="000665B0">
        <w:rPr>
          <w:noProof/>
        </w:rPr>
        <w:drawing>
          <wp:inline distT="0" distB="0" distL="0" distR="0" wp14:anchorId="22C1DF89" wp14:editId="2242133A">
            <wp:extent cx="2286000" cy="1883664"/>
            <wp:effectExtent l="0" t="0" r="0" b="2540"/>
            <wp:docPr id="1346"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883664"/>
                    </a:xfrm>
                    <a:prstGeom prst="rect">
                      <a:avLst/>
                    </a:prstGeom>
                  </pic:spPr>
                </pic:pic>
              </a:graphicData>
            </a:graphic>
          </wp:inline>
        </w:drawing>
      </w:r>
    </w:p>
    <w:p w14:paraId="7D37CF3D" w14:textId="76469DF8" w:rsidR="003D29EC" w:rsidRPr="000665B0" w:rsidRDefault="003D29EC" w:rsidP="003D29EC">
      <w:r w:rsidRPr="000665B0">
        <w:t xml:space="preserve">The top section contains a Flex list </w:t>
      </w:r>
      <w:r w:rsidR="00CA486B" w:rsidRPr="000665B0">
        <w:t>view,</w:t>
      </w:r>
      <w:r w:rsidRPr="000665B0">
        <w:t xml:space="preserve"> and it shows the candidate missiles with mission outcomes that can be flexed to the Reroute target.</w:t>
      </w:r>
    </w:p>
    <w:p w14:paraId="6116447B" w14:textId="3A07FC6F" w:rsidR="003D29EC" w:rsidRPr="000665B0" w:rsidRDefault="003D29EC" w:rsidP="003D29EC">
      <w:r w:rsidRPr="000665B0">
        <w:t>The bottom section contains a Reroute list view and it shows the candidate missiles that can be retargeted or aimpoint updated. The candidacy list is generated by a Retarget Calculator. The candidacy report can be display</w:t>
      </w:r>
      <w:r w:rsidR="00FB4493" w:rsidRPr="000665B0">
        <w:t>ed</w:t>
      </w:r>
      <w:r w:rsidRPr="000665B0">
        <w:t xml:space="preserve"> from the </w:t>
      </w:r>
      <w:r w:rsidRPr="000665B0">
        <w:rPr>
          <w:b/>
        </w:rPr>
        <w:t>Show Report</w:t>
      </w:r>
      <w:r w:rsidRPr="000665B0">
        <w:t xml:space="preserve"> context menu inside of the Reroute list view.</w:t>
      </w:r>
    </w:p>
    <w:p w14:paraId="2E4DFD20" w14:textId="073A580B" w:rsidR="003D29EC" w:rsidRPr="000665B0" w:rsidRDefault="00EB7763" w:rsidP="003D29EC">
      <w:pPr>
        <w:jc w:val="center"/>
      </w:pPr>
      <w:r w:rsidRPr="000665B0">
        <w:rPr>
          <w:noProof/>
        </w:rPr>
        <w:drawing>
          <wp:inline distT="0" distB="0" distL="0" distR="0" wp14:anchorId="28D9A3B2" wp14:editId="5838A4D5">
            <wp:extent cx="3200400" cy="2459736"/>
            <wp:effectExtent l="0" t="0" r="0" b="0"/>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200400" cy="2459736"/>
                    </a:xfrm>
                    <a:prstGeom prst="rect">
                      <a:avLst/>
                    </a:prstGeom>
                  </pic:spPr>
                </pic:pic>
              </a:graphicData>
            </a:graphic>
          </wp:inline>
        </w:drawing>
      </w:r>
    </w:p>
    <w:p w14:paraId="00F47152" w14:textId="77777777" w:rsidR="003D29EC" w:rsidRPr="000665B0" w:rsidRDefault="003D29EC" w:rsidP="0037185B">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bookmarkStart w:id="6654" w:name="_5.38.3.1.7.1.1__How"/>
      <w:bookmarkEnd w:id="6654"/>
      <w:r w:rsidRPr="000665B0">
        <w:rPr>
          <w:b/>
        </w:rPr>
        <w:lastRenderedPageBreak/>
        <w:t>Note:</w:t>
      </w:r>
    </w:p>
    <w:p w14:paraId="3CAC0F36" w14:textId="0E271793" w:rsidR="003D29EC" w:rsidRPr="000665B0" w:rsidRDefault="003D29EC" w:rsidP="0037185B">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A warning event will be logged on receipt of an H&amp;S message (either an Ack or later H&amp;S message) if a retargeting action has left a </w:t>
      </w:r>
      <w:r w:rsidR="00CA486B" w:rsidRPr="000665B0">
        <w:rPr>
          <w:b/>
        </w:rPr>
        <w:t>previously covered</w:t>
      </w:r>
      <w:r w:rsidRPr="000665B0">
        <w:rPr>
          <w:b/>
        </w:rPr>
        <w:t xml:space="preserve"> target uncovered.</w:t>
      </w:r>
    </w:p>
    <w:p w14:paraId="5EA85C55" w14:textId="77777777" w:rsidR="00F6064D" w:rsidRPr="000665B0" w:rsidRDefault="00F6064D" w:rsidP="00CB3E29">
      <w:pPr>
        <w:spacing w:after="0"/>
      </w:pPr>
      <w:bookmarkStart w:id="6655" w:name="_5.38.3.1.7.1.1__How_1"/>
      <w:bookmarkStart w:id="6656" w:name="_Toc289328914"/>
      <w:bookmarkEnd w:id="6655"/>
    </w:p>
    <w:p w14:paraId="7BEB03C3" w14:textId="77777777" w:rsidR="00F6064D" w:rsidRPr="000665B0" w:rsidRDefault="00F6064D" w:rsidP="00F6064D">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01FC5CB6" w14:textId="77777777" w:rsidR="00F6064D" w:rsidRPr="000665B0" w:rsidRDefault="00F6064D" w:rsidP="00F6064D">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Invalid branch change flags sent by the missile will always be latched to that missile. A second branch change or retarget will not clear the first invalid branch change, as that type of flag is not resettable. Once an invalid branch change flag is received from a missile, the operator should look at subsequent retarget H&amp;S messages for the coordinates of the new target to determine whether the missile is on the correct flight path.</w:t>
      </w:r>
    </w:p>
    <w:p w14:paraId="2FD05BD8" w14:textId="6B34C05C" w:rsidR="000A607E" w:rsidRPr="000665B0" w:rsidRDefault="000A607E" w:rsidP="0047200F">
      <w:pPr>
        <w:pStyle w:val="Heading7"/>
        <w:keepNext w:val="0"/>
      </w:pPr>
      <w:bookmarkStart w:id="6657" w:name="_How_to_Reroute"/>
      <w:bookmarkEnd w:id="6657"/>
      <w:r w:rsidRPr="000665B0">
        <w:t xml:space="preserve">How to Reroute Missile </w:t>
      </w:r>
      <w:r w:rsidR="007806A8" w:rsidRPr="000665B0">
        <w:t xml:space="preserve">Using </w:t>
      </w:r>
      <w:r w:rsidRPr="000665B0">
        <w:t>Flex</w:t>
      </w:r>
      <w:bookmarkEnd w:id="6653"/>
      <w:bookmarkEnd w:id="6656"/>
    </w:p>
    <w:p w14:paraId="67602883" w14:textId="0CA7051C" w:rsidR="003D29EC" w:rsidRPr="000665B0" w:rsidRDefault="00A309F5" w:rsidP="003D29EC">
      <w:bookmarkStart w:id="6658" w:name="How_to_retarget_aimpoint_update"/>
      <w:r w:rsidRPr="000665B0">
        <w:t>Rerouting a missile using Flex (Change Outcome) allows the operator to change the selected Outcome</w:t>
      </w:r>
      <w:r w:rsidR="003D29EC" w:rsidRPr="000665B0">
        <w:t xml:space="preserve"> of the missile in flight to other pre-planned Outcomes. Flex can be done via a PPO IMMM for missiles controlled by the Strike Controller. </w:t>
      </w:r>
      <w:r w:rsidR="00C318F7" w:rsidRPr="000665B0">
        <w:t>A</w:t>
      </w:r>
      <w:r w:rsidR="003D29EC" w:rsidRPr="000665B0">
        <w:t xml:space="preserve"> TTWCS FRU </w:t>
      </w:r>
      <w:r w:rsidR="00C318F7" w:rsidRPr="000665B0">
        <w:t xml:space="preserve">may also be designated </w:t>
      </w:r>
      <w:r w:rsidR="003D29EC" w:rsidRPr="000665B0">
        <w:t>to do a Flex by sending the TTWCS FRU a Tactical LPMP MPR Object (Tactical</w:t>
      </w:r>
      <w:r w:rsidR="00C318F7" w:rsidRPr="000665B0">
        <w:t xml:space="preserve"> Change</w:t>
      </w:r>
      <w:r w:rsidR="003D29EC" w:rsidRPr="000665B0">
        <w:t xml:space="preserve"> LMO) of type Change Outcome.</w:t>
      </w:r>
    </w:p>
    <w:p w14:paraId="6EFF0885" w14:textId="0CC68BA1" w:rsidR="003D29EC" w:rsidRPr="000665B0" w:rsidRDefault="003D29EC" w:rsidP="003D29EC">
      <w:r w:rsidRPr="000665B0">
        <w:t xml:space="preserve">To flex by Missile Controller (“By MC” in the context menu), the TTWCS FRU </w:t>
      </w:r>
      <w:r w:rsidR="00C318F7" w:rsidRPr="000665B0">
        <w:t xml:space="preserve">must have the </w:t>
      </w:r>
      <w:r w:rsidRPr="000665B0">
        <w:t>role of Missile Controller (MC) in the Option Arsenal and TTWCS IMMM</w:t>
      </w:r>
      <w:r w:rsidR="00C318F7" w:rsidRPr="000665B0">
        <w:t>s</w:t>
      </w:r>
      <w:r w:rsidRPr="000665B0">
        <w:t xml:space="preserve"> are allowed for its assigned missiles in the Option Reservation.</w:t>
      </w:r>
    </w:p>
    <w:p w14:paraId="48F6DBD7" w14:textId="512812B9" w:rsidR="003D29EC" w:rsidRPr="000665B0" w:rsidRDefault="003D29EC" w:rsidP="003D29EC">
      <w:r w:rsidRPr="000665B0">
        <w:t xml:space="preserve">To Flex a missile, select </w:t>
      </w:r>
      <w:r w:rsidR="00C318F7" w:rsidRPr="000665B0">
        <w:t xml:space="preserve">the desired </w:t>
      </w:r>
      <w:r w:rsidRPr="000665B0">
        <w:t>target to flex to.</w:t>
      </w:r>
    </w:p>
    <w:p w14:paraId="1BC0F35A" w14:textId="732AAC11" w:rsidR="00BA09B9" w:rsidRPr="000665B0" w:rsidRDefault="00BA09B9" w:rsidP="006D5A65">
      <w:pPr>
        <w:pStyle w:val="Heading1"/>
      </w:pPr>
      <w:r w:rsidRPr="000665B0">
        <w:t xml:space="preserve">In </w:t>
      </w:r>
      <w:r w:rsidR="003D29EC" w:rsidRPr="000665B0">
        <w:t>the</w:t>
      </w:r>
      <w:r w:rsidRPr="000665B0">
        <w:t xml:space="preserve"> top list view of the</w:t>
      </w:r>
      <w:r w:rsidR="003D29EC" w:rsidRPr="000665B0">
        <w:t xml:space="preserve"> </w:t>
      </w:r>
      <w:r w:rsidR="003D29EC" w:rsidRPr="000665B0">
        <w:rPr>
          <w:i/>
        </w:rPr>
        <w:t>Target</w:t>
      </w:r>
      <w:r w:rsidRPr="000665B0">
        <w:rPr>
          <w:i/>
        </w:rPr>
        <w:t>s</w:t>
      </w:r>
      <w:r w:rsidR="003D29EC" w:rsidRPr="000665B0">
        <w:t xml:space="preserve"> tab, </w:t>
      </w:r>
      <w:r w:rsidRPr="000665B0">
        <w:t>select</w:t>
      </w:r>
      <w:r w:rsidR="003D29EC" w:rsidRPr="000665B0">
        <w:t xml:space="preserve"> </w:t>
      </w:r>
      <w:r w:rsidR="00C318F7" w:rsidRPr="000665B0">
        <w:t xml:space="preserve">the </w:t>
      </w:r>
      <w:r w:rsidR="003D29EC" w:rsidRPr="000665B0">
        <w:t>desired target</w:t>
      </w:r>
      <w:r w:rsidRPr="000665B0">
        <w:t>.</w:t>
      </w:r>
    </w:p>
    <w:p w14:paraId="415C94F5" w14:textId="5FD5AA3D" w:rsidR="003D29EC" w:rsidRPr="000665B0" w:rsidRDefault="00BA09B9" w:rsidP="006D5A65">
      <w:pPr>
        <w:pStyle w:val="Heading1"/>
      </w:pPr>
      <w:r w:rsidRPr="000665B0">
        <w:t>In the bottom list view of</w:t>
      </w:r>
      <w:r w:rsidR="00E734E6" w:rsidRPr="000665B0">
        <w:t xml:space="preserve"> the</w:t>
      </w:r>
      <w:r w:rsidRPr="000665B0">
        <w:t xml:space="preserve"> </w:t>
      </w:r>
      <w:r w:rsidRPr="000665B0">
        <w:rPr>
          <w:i/>
        </w:rPr>
        <w:t>Targets</w:t>
      </w:r>
      <w:r w:rsidRPr="000665B0">
        <w:t xml:space="preserve"> tab, select the desired missile, right-click,</w:t>
      </w:r>
      <w:r w:rsidR="003D29EC" w:rsidRPr="000665B0">
        <w:t xml:space="preserve"> and select Reroute Missile….</w:t>
      </w:r>
    </w:p>
    <w:p w14:paraId="17CB4A48" w14:textId="0CC02C36" w:rsidR="003D29EC" w:rsidRPr="000665B0" w:rsidRDefault="003D29EC" w:rsidP="006D5A65">
      <w:pPr>
        <w:pStyle w:val="Heading1"/>
      </w:pPr>
      <w:r w:rsidRPr="000665B0">
        <w:t>Se</w:t>
      </w:r>
      <w:r w:rsidR="00BA09B9" w:rsidRPr="000665B0">
        <w:t>lec</w:t>
      </w:r>
      <w:r w:rsidRPr="000665B0">
        <w:t>t the priority of the reroute action</w:t>
      </w:r>
      <w:r w:rsidR="00BA09B9" w:rsidRPr="000665B0">
        <w:t xml:space="preserve"> from the </w:t>
      </w:r>
      <w:r w:rsidR="00CA486B" w:rsidRPr="000665B0">
        <w:t>pull-down</w:t>
      </w:r>
      <w:r w:rsidR="00BA09B9" w:rsidRPr="000665B0">
        <w:t xml:space="preserve"> menu</w:t>
      </w:r>
      <w:r w:rsidRPr="000665B0">
        <w:t xml:space="preserve">. Missiles assigned to aimpoints with higher priority than the selected priority will not be considered for </w:t>
      </w:r>
      <w:r w:rsidRPr="000665B0">
        <w:lastRenderedPageBreak/>
        <w:t>rerouting.</w:t>
      </w:r>
      <w:r w:rsidR="00C540A0" w:rsidRPr="000665B0">
        <w:t xml:space="preserve"> Although CFF is shown as a selection, it is </w:t>
      </w:r>
      <w:r w:rsidR="000F3AA3" w:rsidRPr="000665B0">
        <w:t>currently not functional</w:t>
      </w:r>
      <w:r w:rsidR="00C540A0" w:rsidRPr="000665B0">
        <w:t>.</w:t>
      </w:r>
    </w:p>
    <w:p w14:paraId="6CED6660" w14:textId="3F7E23BE" w:rsidR="003D29EC" w:rsidRPr="000665B0" w:rsidRDefault="00EA5282" w:rsidP="003D29EC">
      <w:pPr>
        <w:jc w:val="center"/>
      </w:pPr>
      <w:r>
        <w:rPr>
          <w:noProof/>
        </w:rPr>
        <w:drawing>
          <wp:inline distT="0" distB="0" distL="0" distR="0" wp14:anchorId="37349B36" wp14:editId="60ABFBAD">
            <wp:extent cx="2743200" cy="3483864"/>
            <wp:effectExtent l="0" t="0" r="0" b="0"/>
            <wp:docPr id="2021666949" name="Picture 202166694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6949" name="Picture 2021666949" descr="Graphical user interface, application&#10;&#10;Description automatically generated"/>
                    <pic:cNvPicPr/>
                  </pic:nvPicPr>
                  <pic:blipFill>
                    <a:blip/>
                    <a:stretch>
                      <a:fillRect/>
                    </a:stretch>
                  </pic:blipFill>
                  <pic:spPr>
                    <a:xfrm>
                      <a:off x="0" y="0"/>
                      <a:ext cx="2743200" cy="3483864"/>
                    </a:xfrm>
                    <a:prstGeom prst="rect">
                      <a:avLst/>
                    </a:prstGeom>
                  </pic:spPr>
                </pic:pic>
              </a:graphicData>
            </a:graphic>
          </wp:inline>
        </w:drawing>
      </w:r>
    </w:p>
    <w:p w14:paraId="768551B9" w14:textId="5E93F5BD" w:rsidR="000F6881" w:rsidRPr="000665B0" w:rsidRDefault="003D29EC" w:rsidP="006D5A65">
      <w:pPr>
        <w:pStyle w:val="Heading1"/>
      </w:pPr>
      <w:r w:rsidRPr="000665B0">
        <w:t xml:space="preserve">The Retarget Calculator </w:t>
      </w:r>
      <w:r w:rsidR="00C318F7" w:rsidRPr="000665B0">
        <w:t>displays the</w:t>
      </w:r>
      <w:r w:rsidRPr="000665B0">
        <w:t xml:space="preserve"> </w:t>
      </w:r>
      <w:r w:rsidRPr="000665B0">
        <w:rPr>
          <w:i/>
        </w:rPr>
        <w:t>Reroute</w:t>
      </w:r>
      <w:r w:rsidRPr="000665B0">
        <w:t xml:space="preserve"> tab. This tab display</w:t>
      </w:r>
      <w:r w:rsidR="00C318F7" w:rsidRPr="000665B0">
        <w:t>s</w:t>
      </w:r>
      <w:r w:rsidRPr="000665B0">
        <w:t xml:space="preserve"> all </w:t>
      </w:r>
      <w:r w:rsidR="00C318F7" w:rsidRPr="000665B0">
        <w:t xml:space="preserve">of </w:t>
      </w:r>
      <w:r w:rsidRPr="000665B0">
        <w:t xml:space="preserve">the candidate missiles </w:t>
      </w:r>
      <w:r w:rsidR="00C318F7" w:rsidRPr="000665B0">
        <w:t>available for</w:t>
      </w:r>
      <w:r w:rsidRPr="000665B0">
        <w:t xml:space="preserve"> flex, retarget, or aimpoint update. The top </w:t>
      </w:r>
      <w:r w:rsidR="00987E38" w:rsidRPr="000665B0">
        <w:t>l</w:t>
      </w:r>
      <w:r w:rsidRPr="000665B0">
        <w:t>ist</w:t>
      </w:r>
      <w:r w:rsidR="00987E38" w:rsidRPr="000665B0">
        <w:t xml:space="preserve"> </w:t>
      </w:r>
      <w:r w:rsidRPr="000665B0">
        <w:t>view shows all the Flex candidates.</w:t>
      </w:r>
      <w:r w:rsidR="000F6881" w:rsidRPr="000665B0">
        <w:t xml:space="preserve"> </w:t>
      </w:r>
    </w:p>
    <w:p w14:paraId="739D0E0E" w14:textId="77777777" w:rsidR="000F6881" w:rsidRPr="000665B0" w:rsidRDefault="000F6881" w:rsidP="000F6881">
      <w:pPr>
        <w:pBdr>
          <w:top w:val="single" w:sz="12" w:space="1" w:color="auto"/>
          <w:left w:val="single" w:sz="12" w:space="4" w:color="auto"/>
          <w:bottom w:val="single" w:sz="12" w:space="1" w:color="auto"/>
          <w:right w:val="single" w:sz="12" w:space="4" w:color="auto"/>
        </w:pBdr>
        <w:shd w:val="clear" w:color="auto" w:fill="D9D9D9"/>
        <w:tabs>
          <w:tab w:val="left" w:pos="720"/>
        </w:tabs>
        <w:spacing w:after="0"/>
        <w:jc w:val="center"/>
        <w:rPr>
          <w:b/>
          <w:szCs w:val="24"/>
        </w:rPr>
      </w:pPr>
      <w:r w:rsidRPr="000665B0">
        <w:rPr>
          <w:b/>
          <w:szCs w:val="24"/>
        </w:rPr>
        <w:t>Note:</w:t>
      </w:r>
    </w:p>
    <w:p w14:paraId="6B3125FF" w14:textId="77777777" w:rsidR="000F6881" w:rsidRPr="000665B0" w:rsidRDefault="000F6881" w:rsidP="000F6881">
      <w:pPr>
        <w:pBdr>
          <w:top w:val="single" w:sz="12" w:space="1" w:color="auto"/>
          <w:left w:val="single" w:sz="12" w:space="4" w:color="auto"/>
          <w:bottom w:val="single" w:sz="12" w:space="1" w:color="auto"/>
          <w:right w:val="single" w:sz="12" w:space="4" w:color="auto"/>
        </w:pBdr>
        <w:shd w:val="clear" w:color="auto" w:fill="D9D9D9"/>
        <w:tabs>
          <w:tab w:val="left" w:pos="720"/>
        </w:tabs>
        <w:jc w:val="center"/>
        <w:rPr>
          <w:b/>
          <w:szCs w:val="24"/>
        </w:rPr>
      </w:pPr>
      <w:r w:rsidRPr="000665B0">
        <w:rPr>
          <w:b/>
          <w:szCs w:val="24"/>
        </w:rPr>
        <w:t xml:space="preserve">Other in-flight missiles that have already overflown the branch point for the selected target are not considered as Flex candidates and are not shown in the top List View. </w:t>
      </w:r>
    </w:p>
    <w:p w14:paraId="578B8BAA" w14:textId="730CC04E" w:rsidR="000F6881" w:rsidRPr="000665B0" w:rsidRDefault="000F6881" w:rsidP="000F6881">
      <w:pPr>
        <w:pBdr>
          <w:top w:val="single" w:sz="12" w:space="1" w:color="auto"/>
          <w:left w:val="single" w:sz="12" w:space="4" w:color="auto"/>
          <w:bottom w:val="single" w:sz="12" w:space="1" w:color="auto"/>
          <w:right w:val="single" w:sz="12" w:space="4" w:color="auto"/>
        </w:pBdr>
        <w:shd w:val="clear" w:color="auto" w:fill="D9D9D9"/>
        <w:tabs>
          <w:tab w:val="left" w:pos="720"/>
        </w:tabs>
        <w:jc w:val="center"/>
        <w:rPr>
          <w:b/>
          <w:szCs w:val="24"/>
        </w:rPr>
      </w:pPr>
      <w:r w:rsidRPr="000665B0">
        <w:rPr>
          <w:b/>
          <w:szCs w:val="24"/>
        </w:rPr>
        <w:t xml:space="preserve">As an alternative: if a specific missile has a multiple outcome that covers the target and the missile hasn’t overflown the branch, manually insert a PPO IMMM on the Gantt Chart for that missile and select the Branch ID in the PPO IMMM (see </w:t>
      </w:r>
      <w:hyperlink w:anchor="_5.38.3.1.1.3__Gantt" w:history="1">
        <w:r w:rsidR="00E036B6" w:rsidRPr="000665B0">
          <w:rPr>
            <w:rStyle w:val="Hyperlink"/>
            <w:b/>
            <w:szCs w:val="24"/>
          </w:rPr>
          <w:t xml:space="preserve">Section </w:t>
        </w:r>
        <w:r w:rsidR="004231CC">
          <w:rPr>
            <w:rStyle w:val="Hyperlink"/>
            <w:b/>
            <w:szCs w:val="24"/>
          </w:rPr>
          <w:t>5.35</w:t>
        </w:r>
        <w:r w:rsidRPr="000665B0">
          <w:rPr>
            <w:rStyle w:val="Hyperlink"/>
            <w:b/>
            <w:szCs w:val="24"/>
          </w:rPr>
          <w:t>.3.1.1.3</w:t>
        </w:r>
      </w:hyperlink>
      <w:r w:rsidRPr="000665B0">
        <w:rPr>
          <w:b/>
          <w:szCs w:val="24"/>
        </w:rPr>
        <w:t>).</w:t>
      </w:r>
    </w:p>
    <w:p w14:paraId="646E773A" w14:textId="220F8B55" w:rsidR="003D29EC" w:rsidRPr="000665B0" w:rsidRDefault="003D29EC" w:rsidP="006D5A65">
      <w:pPr>
        <w:pStyle w:val="Heading1"/>
      </w:pPr>
      <w:r w:rsidRPr="000665B0">
        <w:t xml:space="preserve">On the </w:t>
      </w:r>
      <w:r w:rsidRPr="000665B0">
        <w:rPr>
          <w:i/>
        </w:rPr>
        <w:t>Reroute</w:t>
      </w:r>
      <w:r w:rsidRPr="000665B0">
        <w:t xml:space="preserve"> tab, </w:t>
      </w:r>
      <w:r w:rsidR="00D71804" w:rsidRPr="000665B0">
        <w:t>right-click</w:t>
      </w:r>
      <w:r w:rsidRPr="000665B0">
        <w:t xml:space="preserve"> on the </w:t>
      </w:r>
      <w:r w:rsidR="00C318F7" w:rsidRPr="000665B0">
        <w:t xml:space="preserve">desired </w:t>
      </w:r>
      <w:r w:rsidRPr="000665B0">
        <w:t xml:space="preserve">missile to Flex in the top </w:t>
      </w:r>
      <w:r w:rsidR="00987E38" w:rsidRPr="000665B0">
        <w:t>l</w:t>
      </w:r>
      <w:r w:rsidRPr="000665B0">
        <w:t>ist</w:t>
      </w:r>
      <w:r w:rsidR="00987E38" w:rsidRPr="000665B0">
        <w:t xml:space="preserve"> </w:t>
      </w:r>
      <w:r w:rsidRPr="000665B0">
        <w:t>view labeled Flex</w:t>
      </w:r>
      <w:r w:rsidR="00C318F7" w:rsidRPr="000665B0">
        <w:t xml:space="preserve">; </w:t>
      </w:r>
      <w:r w:rsidRPr="000665B0">
        <w:t>a context menu display</w:t>
      </w:r>
      <w:r w:rsidR="00C318F7" w:rsidRPr="000665B0">
        <w:t>s</w:t>
      </w:r>
      <w:r w:rsidRPr="000665B0">
        <w:t xml:space="preserve"> </w:t>
      </w:r>
      <w:r w:rsidR="00016C86" w:rsidRPr="000665B0">
        <w:t xml:space="preserve">a list of possible nodes. The possible nodes are the FRU node, also indicated with “(TTWCS)” next to the node name or the node name of the PCs and BCs. Selecting either choice, a </w:t>
      </w:r>
      <w:r w:rsidR="00016C86" w:rsidRPr="000665B0">
        <w:rPr>
          <w:i/>
        </w:rPr>
        <w:t>PPO IMMM</w:t>
      </w:r>
      <w:r w:rsidR="00016C86" w:rsidRPr="000665B0">
        <w:t xml:space="preserve"> dialog </w:t>
      </w:r>
      <w:r w:rsidR="00C318F7" w:rsidRPr="000665B0">
        <w:t>is displayed with prompts</w:t>
      </w:r>
      <w:r w:rsidR="00016C86" w:rsidRPr="000665B0">
        <w:t xml:space="preserve"> to select the desired Outcome to flex. Selecting a non-TTWCS node means MDS will generate and send the PPO IMMM, while the selection of a TTWCS node means MDS will create a Tactical Change LMO and </w:t>
      </w:r>
      <w:r w:rsidR="00016C86" w:rsidRPr="000665B0">
        <w:lastRenderedPageBreak/>
        <w:t>send the Tactical Change LMO to TTWCS and TTWCS will then send the actual IMMM</w:t>
      </w:r>
      <w:r w:rsidRPr="000665B0">
        <w:t>.</w:t>
      </w:r>
    </w:p>
    <w:p w14:paraId="7CE0DC03" w14:textId="122C7F8F" w:rsidR="003D29EC" w:rsidRPr="000665B0" w:rsidRDefault="003D29EC" w:rsidP="006D5A65">
      <w:pPr>
        <w:pStyle w:val="Heading1"/>
      </w:pPr>
      <w:r w:rsidRPr="000665B0">
        <w:t>From the Branch ID combo box, select the branch ID of the new Outcome to flex</w:t>
      </w:r>
      <w:r w:rsidR="00C318F7" w:rsidRPr="000665B0">
        <w:t xml:space="preserve"> to</w:t>
      </w:r>
      <w:r w:rsidRPr="000665B0">
        <w:t>.</w:t>
      </w:r>
    </w:p>
    <w:p w14:paraId="5965472A" w14:textId="502642DA" w:rsidR="003D29EC" w:rsidRPr="000665B0" w:rsidRDefault="003D29EC" w:rsidP="006D5A65">
      <w:pPr>
        <w:pStyle w:val="Heading1"/>
      </w:pPr>
      <w:r w:rsidRPr="000665B0">
        <w:t xml:space="preserve">Set </w:t>
      </w:r>
      <w:r w:rsidR="00C318F7" w:rsidRPr="000665B0">
        <w:t xml:space="preserve">the </w:t>
      </w:r>
      <w:r w:rsidRPr="000665B0">
        <w:t>desired Missile Reporting State and click the OK button to flex.</w:t>
      </w:r>
    </w:p>
    <w:p w14:paraId="1D67FBA3" w14:textId="7CBFA48A" w:rsidR="003D29EC" w:rsidRPr="000665B0" w:rsidRDefault="003D29EC" w:rsidP="000417F2">
      <w:pPr>
        <w:keepNext/>
        <w:keepLines/>
        <w:jc w:val="center"/>
      </w:pPr>
      <w:r w:rsidRPr="000665B0">
        <w:t xml:space="preserve"> </w:t>
      </w:r>
      <w:r w:rsidR="00016C86" w:rsidRPr="000665B0">
        <w:rPr>
          <w:b/>
        </w:rPr>
        <w:t xml:space="preserve">A </w:t>
      </w:r>
      <w:r w:rsidR="00D56649" w:rsidRPr="000665B0">
        <w:rPr>
          <w:b/>
        </w:rPr>
        <w:t xml:space="preserve">Standalone MDS </w:t>
      </w:r>
      <w:r w:rsidR="00016C86" w:rsidRPr="000665B0">
        <w:rPr>
          <w:b/>
        </w:rPr>
        <w:t>Node’s</w:t>
      </w:r>
      <w:r w:rsidR="00F671F3" w:rsidRPr="000665B0">
        <w:rPr>
          <w:b/>
        </w:rPr>
        <w:t xml:space="preserve"> </w:t>
      </w:r>
      <w:r w:rsidR="00016C86" w:rsidRPr="000665B0">
        <w:rPr>
          <w:b/>
        </w:rPr>
        <w:t>Flex Dialog</w:t>
      </w:r>
      <w:r w:rsidR="007D0F14" w:rsidRPr="000665B0">
        <w:rPr>
          <w:b/>
        </w:rPr>
        <w:t>:</w:t>
      </w:r>
      <w:r w:rsidRPr="000665B0">
        <w:tab/>
      </w:r>
      <w:r w:rsidR="00016C86" w:rsidRPr="000665B0">
        <w:rPr>
          <w:b/>
        </w:rPr>
        <w:t>A TTWCS Node’s Flex Dialog</w:t>
      </w:r>
      <w:r w:rsidR="007D0F14" w:rsidRPr="000665B0">
        <w:rPr>
          <w:b/>
        </w:rPr>
        <w:t>:</w:t>
      </w:r>
    </w:p>
    <w:p w14:paraId="392D6CD7" w14:textId="3208EB0E" w:rsidR="003D29EC" w:rsidRPr="000665B0" w:rsidRDefault="00783CF6" w:rsidP="000417F2">
      <w:pPr>
        <w:keepNext/>
        <w:keepLines/>
        <w:spacing w:after="240"/>
        <w:jc w:val="center"/>
      </w:pPr>
      <w:r w:rsidRPr="000665B0">
        <w:rPr>
          <w:noProof/>
        </w:rPr>
        <w:drawing>
          <wp:inline distT="0" distB="0" distL="0" distR="0" wp14:anchorId="65D36A6F" wp14:editId="421F6912">
            <wp:extent cx="1828800" cy="2523744"/>
            <wp:effectExtent l="0" t="0" r="0" b="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8800" cy="2523744"/>
                    </a:xfrm>
                    <a:prstGeom prst="rect">
                      <a:avLst/>
                    </a:prstGeom>
                  </pic:spPr>
                </pic:pic>
              </a:graphicData>
            </a:graphic>
          </wp:inline>
        </w:drawing>
      </w:r>
      <w:r w:rsidR="00C92934">
        <w:t xml:space="preserve"> </w:t>
      </w:r>
      <w:r w:rsidRPr="000665B0">
        <w:rPr>
          <w:noProof/>
        </w:rPr>
        <w:drawing>
          <wp:inline distT="0" distB="0" distL="0" distR="0" wp14:anchorId="048D7463" wp14:editId="4EE8F40C">
            <wp:extent cx="1828800" cy="2532888"/>
            <wp:effectExtent l="0" t="0" r="0" b="0"/>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8800" cy="2532888"/>
                    </a:xfrm>
                    <a:prstGeom prst="rect">
                      <a:avLst/>
                    </a:prstGeom>
                  </pic:spPr>
                </pic:pic>
              </a:graphicData>
            </a:graphic>
          </wp:inline>
        </w:drawing>
      </w:r>
    </w:p>
    <w:p w14:paraId="535CA43F" w14:textId="77777777" w:rsidR="007345C2" w:rsidRPr="000665B0" w:rsidRDefault="007345C2" w:rsidP="00BB2E5D">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3B692EBF" w14:textId="423A8238" w:rsidR="001022A8" w:rsidRPr="000665B0" w:rsidRDefault="007345C2" w:rsidP="00BB2E5D">
      <w:pPr>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0665B0">
        <w:rPr>
          <w:b/>
          <w:szCs w:val="24"/>
        </w:rPr>
        <w:t>When a missile is flexed to a new route</w:t>
      </w:r>
      <w:r w:rsidR="001022A8" w:rsidRPr="000665B0">
        <w:rPr>
          <w:b/>
          <w:szCs w:val="24"/>
        </w:rPr>
        <w:t xml:space="preserve"> that has a longer flight time than the original route and BDI is enabled</w:t>
      </w:r>
      <w:r w:rsidRPr="000665B0">
        <w:rPr>
          <w:b/>
          <w:szCs w:val="24"/>
        </w:rPr>
        <w:t xml:space="preserve">, </w:t>
      </w:r>
      <w:r w:rsidR="001022A8" w:rsidRPr="000665B0">
        <w:rPr>
          <w:b/>
        </w:rPr>
        <w:t xml:space="preserve">a warning event </w:t>
      </w:r>
      <w:r w:rsidR="00D66E25" w:rsidRPr="000665B0">
        <w:rPr>
          <w:b/>
        </w:rPr>
        <w:t>may be</w:t>
      </w:r>
      <w:r w:rsidR="001022A8" w:rsidRPr="000665B0">
        <w:rPr>
          <w:b/>
        </w:rPr>
        <w:t xml:space="preserve"> displayed in </w:t>
      </w:r>
      <w:r w:rsidR="001022A8" w:rsidRPr="000665B0">
        <w:rPr>
          <w:b/>
          <w:szCs w:val="24"/>
        </w:rPr>
        <w:t xml:space="preserve">the SMD Events list view. </w:t>
      </w:r>
      <w:r w:rsidR="00D66E25" w:rsidRPr="000665B0">
        <w:rPr>
          <w:b/>
          <w:szCs w:val="24"/>
        </w:rPr>
        <w:t>B</w:t>
      </w:r>
      <w:r w:rsidRPr="000665B0">
        <w:rPr>
          <w:b/>
          <w:szCs w:val="24"/>
        </w:rPr>
        <w:t>ased on the originally tasked time of the expected BDI</w:t>
      </w:r>
      <w:r w:rsidR="00D66E25" w:rsidRPr="000665B0">
        <w:rPr>
          <w:b/>
          <w:szCs w:val="24"/>
        </w:rPr>
        <w:t>, the warning states that the BDI was not received</w:t>
      </w:r>
      <w:r w:rsidR="001022A8" w:rsidRPr="000665B0">
        <w:rPr>
          <w:b/>
          <w:szCs w:val="24"/>
        </w:rPr>
        <w:t>. Additionally, the</w:t>
      </w:r>
      <w:r w:rsidRPr="000665B0">
        <w:rPr>
          <w:b/>
          <w:szCs w:val="24"/>
        </w:rPr>
        <w:t xml:space="preserve"> FRU and missile </w:t>
      </w:r>
      <w:r w:rsidR="001022A8" w:rsidRPr="000665B0">
        <w:rPr>
          <w:b/>
          <w:szCs w:val="24"/>
        </w:rPr>
        <w:t xml:space="preserve">icons change </w:t>
      </w:r>
      <w:r w:rsidRPr="000665B0">
        <w:rPr>
          <w:b/>
          <w:szCs w:val="24"/>
        </w:rPr>
        <w:t>to yellow</w:t>
      </w:r>
      <w:r w:rsidR="0029779F" w:rsidRPr="000665B0">
        <w:rPr>
          <w:b/>
          <w:szCs w:val="24"/>
        </w:rPr>
        <w:t xml:space="preserve"> (warning status)</w:t>
      </w:r>
      <w:r w:rsidR="001022A8" w:rsidRPr="000665B0">
        <w:rPr>
          <w:b/>
          <w:szCs w:val="24"/>
        </w:rPr>
        <w:t xml:space="preserve"> in the Missile Assignments list</w:t>
      </w:r>
      <w:r w:rsidRPr="000665B0">
        <w:rPr>
          <w:b/>
          <w:szCs w:val="24"/>
        </w:rPr>
        <w:t xml:space="preserve">. </w:t>
      </w:r>
    </w:p>
    <w:p w14:paraId="2415D7D6" w14:textId="3FB0C181" w:rsidR="007345C2" w:rsidRPr="000665B0" w:rsidRDefault="007345C2" w:rsidP="00BB2E5D">
      <w:pPr>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0665B0">
        <w:rPr>
          <w:b/>
          <w:szCs w:val="24"/>
        </w:rPr>
        <w:t>The warning</w:t>
      </w:r>
      <w:r w:rsidR="001022A8" w:rsidRPr="000665B0">
        <w:rPr>
          <w:b/>
          <w:szCs w:val="24"/>
        </w:rPr>
        <w:t xml:space="preserve"> </w:t>
      </w:r>
      <w:r w:rsidR="00544EA1" w:rsidRPr="000665B0">
        <w:rPr>
          <w:b/>
          <w:szCs w:val="24"/>
        </w:rPr>
        <w:t>can</w:t>
      </w:r>
      <w:r w:rsidR="001022A8" w:rsidRPr="000665B0">
        <w:rPr>
          <w:b/>
          <w:szCs w:val="24"/>
        </w:rPr>
        <w:t xml:space="preserve"> be ignored. Once the missile reaches the new transmittal time, </w:t>
      </w:r>
      <w:r w:rsidRPr="000665B0">
        <w:rPr>
          <w:b/>
          <w:szCs w:val="24"/>
        </w:rPr>
        <w:t xml:space="preserve">the </w:t>
      </w:r>
      <w:r w:rsidR="001022A8" w:rsidRPr="000665B0">
        <w:rPr>
          <w:b/>
          <w:szCs w:val="24"/>
        </w:rPr>
        <w:t>E</w:t>
      </w:r>
      <w:r w:rsidRPr="000665B0">
        <w:rPr>
          <w:b/>
          <w:szCs w:val="24"/>
        </w:rPr>
        <w:t>vent</w:t>
      </w:r>
      <w:r w:rsidR="001022A8" w:rsidRPr="000665B0">
        <w:rPr>
          <w:b/>
          <w:szCs w:val="24"/>
        </w:rPr>
        <w:t>s</w:t>
      </w:r>
      <w:r w:rsidRPr="000665B0">
        <w:rPr>
          <w:b/>
          <w:szCs w:val="24"/>
        </w:rPr>
        <w:t xml:space="preserve"> </w:t>
      </w:r>
      <w:r w:rsidR="001022A8" w:rsidRPr="000665B0">
        <w:rPr>
          <w:b/>
          <w:szCs w:val="24"/>
        </w:rPr>
        <w:t>list view</w:t>
      </w:r>
      <w:r w:rsidRPr="000665B0">
        <w:rPr>
          <w:b/>
          <w:szCs w:val="24"/>
        </w:rPr>
        <w:t xml:space="preserve"> records receipt of the BDI message</w:t>
      </w:r>
      <w:r w:rsidR="00CA7A95" w:rsidRPr="000665B0">
        <w:rPr>
          <w:b/>
          <w:szCs w:val="24"/>
        </w:rPr>
        <w:t>,</w:t>
      </w:r>
      <w:r w:rsidR="001022A8" w:rsidRPr="000665B0">
        <w:rPr>
          <w:b/>
          <w:szCs w:val="24"/>
        </w:rPr>
        <w:t xml:space="preserve"> and</w:t>
      </w:r>
      <w:r w:rsidRPr="000665B0">
        <w:rPr>
          <w:b/>
          <w:szCs w:val="24"/>
        </w:rPr>
        <w:t xml:space="preserve"> the </w:t>
      </w:r>
      <w:r w:rsidR="001022A8" w:rsidRPr="000665B0">
        <w:rPr>
          <w:b/>
          <w:szCs w:val="24"/>
        </w:rPr>
        <w:t xml:space="preserve">FRU and </w:t>
      </w:r>
      <w:r w:rsidRPr="000665B0">
        <w:rPr>
          <w:b/>
          <w:szCs w:val="24"/>
        </w:rPr>
        <w:t xml:space="preserve">missile </w:t>
      </w:r>
      <w:r w:rsidR="001022A8" w:rsidRPr="000665B0">
        <w:rPr>
          <w:b/>
          <w:szCs w:val="24"/>
        </w:rPr>
        <w:t xml:space="preserve">icons </w:t>
      </w:r>
      <w:r w:rsidR="00D66E25" w:rsidRPr="000665B0">
        <w:rPr>
          <w:b/>
          <w:szCs w:val="24"/>
        </w:rPr>
        <w:t>return</w:t>
      </w:r>
      <w:r w:rsidR="001022A8" w:rsidRPr="000665B0">
        <w:rPr>
          <w:b/>
          <w:szCs w:val="24"/>
        </w:rPr>
        <w:t xml:space="preserve"> </w:t>
      </w:r>
      <w:r w:rsidRPr="000665B0">
        <w:rPr>
          <w:b/>
          <w:szCs w:val="24"/>
        </w:rPr>
        <w:t>to green</w:t>
      </w:r>
      <w:r w:rsidR="0029779F" w:rsidRPr="000665B0">
        <w:rPr>
          <w:b/>
          <w:szCs w:val="24"/>
        </w:rPr>
        <w:t xml:space="preserve"> (good status)</w:t>
      </w:r>
      <w:r w:rsidR="001022A8" w:rsidRPr="000665B0">
        <w:rPr>
          <w:b/>
          <w:szCs w:val="24"/>
        </w:rPr>
        <w:t>.</w:t>
      </w:r>
      <w:r w:rsidRPr="000665B0">
        <w:rPr>
          <w:b/>
          <w:szCs w:val="24"/>
        </w:rPr>
        <w:t xml:space="preserve"> </w:t>
      </w:r>
    </w:p>
    <w:p w14:paraId="1EB538AB" w14:textId="61C48AF9" w:rsidR="000A607E" w:rsidRPr="000665B0" w:rsidRDefault="000A607E" w:rsidP="005A42A5">
      <w:pPr>
        <w:pStyle w:val="Heading7"/>
      </w:pPr>
      <w:bookmarkStart w:id="6659" w:name="_5.38.3.1.7.1.2_How_to"/>
      <w:bookmarkStart w:id="6660" w:name="_5.38.3.1.7.1.2__How"/>
      <w:bookmarkStart w:id="6661" w:name="_How__to"/>
      <w:bookmarkStart w:id="6662" w:name="_How_to_Retarget/Aimpoint"/>
      <w:bookmarkStart w:id="6663" w:name="_Toc289328915"/>
      <w:bookmarkEnd w:id="6659"/>
      <w:bookmarkEnd w:id="6660"/>
      <w:bookmarkEnd w:id="6661"/>
      <w:bookmarkEnd w:id="6662"/>
      <w:r w:rsidRPr="000665B0">
        <w:t>How to Retarget/Aimpoint Update</w:t>
      </w:r>
      <w:bookmarkEnd w:id="6658"/>
      <w:bookmarkEnd w:id="6663"/>
    </w:p>
    <w:p w14:paraId="294BB351" w14:textId="77777777" w:rsidR="003D29EC" w:rsidRPr="000665B0" w:rsidRDefault="003D29EC" w:rsidP="003D29EC">
      <w:r w:rsidRPr="000665B0">
        <w:t xml:space="preserve">There are several pre-conditions and setups that must be met before you can do a retarget or aimpoint update. The setup conditions depend on whether you want the FRU or TPS to plan the retarget or aimpoint update. </w:t>
      </w:r>
    </w:p>
    <w:p w14:paraId="582AF0EF" w14:textId="77777777" w:rsidR="003D29EC" w:rsidRPr="000665B0" w:rsidRDefault="003D29EC" w:rsidP="003D29EC">
      <w:r w:rsidRPr="000665B0">
        <w:t>For instance, if you want to use TPS to plan your retarget or aimpoint update, you must either have a co-located TPS or forward your TMPR request to a site that has a TPS. You can also designate a FRU like TTWCS to retarget or aimpoint update by sending the TTWCS FRU a Tactical LPMP MPR Object (Tactical LMO).</w:t>
      </w:r>
    </w:p>
    <w:p w14:paraId="0269D7BF" w14:textId="7FF0A029" w:rsidR="003D29EC" w:rsidRPr="000665B0" w:rsidRDefault="003D29EC" w:rsidP="003D29EC">
      <w:r w:rsidRPr="000665B0">
        <w:rPr>
          <w:b/>
        </w:rPr>
        <w:t>Forward Pass Configuration</w:t>
      </w:r>
    </w:p>
    <w:p w14:paraId="31866279" w14:textId="77777777" w:rsidR="003D29EC" w:rsidRPr="000665B0" w:rsidRDefault="003D29EC" w:rsidP="003D29EC">
      <w:r w:rsidRPr="000665B0">
        <w:lastRenderedPageBreak/>
        <w:t>If you are going to forward your TMPR request to a remote site with TPS, you should have the following setup configured first.</w:t>
      </w:r>
    </w:p>
    <w:p w14:paraId="0B7C9C9F" w14:textId="77777777" w:rsidR="003D29EC" w:rsidRPr="000665B0" w:rsidRDefault="003D29EC" w:rsidP="006D5A65">
      <w:pPr>
        <w:pStyle w:val="Heading1"/>
      </w:pPr>
      <w:r w:rsidRPr="000665B0">
        <w:t>On the Requesting MDS, turn on Auto Process for Retarget and Aimpoint Update data type. This will ensure that when the remote MDS sends back the segment result, your MDS will automatically process the results.</w:t>
      </w:r>
    </w:p>
    <w:p w14:paraId="46913004" w14:textId="77777777" w:rsidR="003D29EC" w:rsidRPr="000665B0" w:rsidRDefault="003D29EC" w:rsidP="006D5A65">
      <w:pPr>
        <w:pStyle w:val="Heading1"/>
      </w:pPr>
      <w:r w:rsidRPr="000665B0">
        <w:t>On the Remote MDS with a co-located TPS, turn on Auto Process for TMPR. This will ensure that the remote MDS will automatically process all TMPR requests from the requesting MDS.</w:t>
      </w:r>
    </w:p>
    <w:p w14:paraId="4AEBE265" w14:textId="77777777" w:rsidR="003D29EC" w:rsidRPr="000665B0" w:rsidRDefault="003D29EC" w:rsidP="00CC5CE9">
      <w:pPr>
        <w:keepNext/>
        <w:rPr>
          <w:b/>
        </w:rPr>
      </w:pPr>
      <w:r w:rsidRPr="000665B0">
        <w:rPr>
          <w:b/>
        </w:rPr>
        <w:t>Retarget/Aimpoint Update</w:t>
      </w:r>
    </w:p>
    <w:p w14:paraId="56590778" w14:textId="77777777" w:rsidR="003D29EC" w:rsidRPr="000665B0" w:rsidRDefault="003D29EC" w:rsidP="00A0163E">
      <w:r w:rsidRPr="000665B0">
        <w:t>To retarget or aimpoint update, first you must have a target you want to reroute a missile to.</w:t>
      </w:r>
    </w:p>
    <w:p w14:paraId="0AD33445" w14:textId="67A34809" w:rsidR="00E734E6" w:rsidRPr="000665B0" w:rsidRDefault="00E734E6" w:rsidP="006D5A65">
      <w:pPr>
        <w:pStyle w:val="Heading2"/>
      </w:pPr>
      <w:r w:rsidRPr="000665B0">
        <w:t xml:space="preserve">In </w:t>
      </w:r>
      <w:r w:rsidR="003D29EC" w:rsidRPr="000665B0">
        <w:t>the</w:t>
      </w:r>
      <w:r w:rsidRPr="000665B0">
        <w:t xml:space="preserve"> top list view of the</w:t>
      </w:r>
      <w:r w:rsidR="003D29EC" w:rsidRPr="000665B0">
        <w:t xml:space="preserve"> </w:t>
      </w:r>
      <w:r w:rsidR="003D29EC" w:rsidRPr="000665B0">
        <w:rPr>
          <w:i/>
        </w:rPr>
        <w:t>Target</w:t>
      </w:r>
      <w:r w:rsidRPr="000665B0">
        <w:rPr>
          <w:i/>
        </w:rPr>
        <w:t>s</w:t>
      </w:r>
      <w:r w:rsidR="003D29EC" w:rsidRPr="000665B0">
        <w:t xml:space="preserve"> tab, </w:t>
      </w:r>
      <w:r w:rsidRPr="000665B0">
        <w:t>select the</w:t>
      </w:r>
      <w:r w:rsidR="003D29EC" w:rsidRPr="000665B0">
        <w:t xml:space="preserve"> desired target</w:t>
      </w:r>
      <w:r w:rsidRPr="000665B0">
        <w:t>.</w:t>
      </w:r>
    </w:p>
    <w:p w14:paraId="0A1148E0" w14:textId="54EC679C" w:rsidR="004713B0" w:rsidRPr="000665B0" w:rsidRDefault="00E734E6" w:rsidP="006D5A65">
      <w:pPr>
        <w:pStyle w:val="Heading2"/>
      </w:pPr>
      <w:r w:rsidRPr="000665B0">
        <w:t xml:space="preserve">In the bottom list view of the </w:t>
      </w:r>
      <w:r w:rsidRPr="000665B0">
        <w:rPr>
          <w:i/>
        </w:rPr>
        <w:t>Targets</w:t>
      </w:r>
      <w:r w:rsidRPr="000665B0">
        <w:t xml:space="preserve"> tab, select the desired missile, right-click,</w:t>
      </w:r>
      <w:r w:rsidR="003D29EC" w:rsidRPr="000665B0">
        <w:t xml:space="preserve"> and select Reroute Missile</w:t>
      </w:r>
      <w:r w:rsidRPr="000665B0">
        <w:t>…</w:t>
      </w:r>
      <w:r w:rsidR="003D29EC" w:rsidRPr="000665B0">
        <w:t>.</w:t>
      </w:r>
    </w:p>
    <w:p w14:paraId="499881A2" w14:textId="7819EFE7" w:rsidR="003D29EC" w:rsidRPr="000665B0" w:rsidRDefault="003D29EC" w:rsidP="006D5A65">
      <w:pPr>
        <w:pStyle w:val="Heading2"/>
      </w:pPr>
      <w:r w:rsidRPr="000665B0">
        <w:t>Se</w:t>
      </w:r>
      <w:r w:rsidR="00E734E6" w:rsidRPr="000665B0">
        <w:t>lec</w:t>
      </w:r>
      <w:r w:rsidRPr="000665B0">
        <w:t>t the priority of the reroute action</w:t>
      </w:r>
      <w:r w:rsidR="00E734E6" w:rsidRPr="000665B0">
        <w:t xml:space="preserve"> from the pull</w:t>
      </w:r>
      <w:r w:rsidR="00F62F84">
        <w:t>-</w:t>
      </w:r>
      <w:r w:rsidR="00E734E6" w:rsidRPr="000665B0">
        <w:t>down menu</w:t>
      </w:r>
      <w:r w:rsidRPr="000665B0">
        <w:t>. Missiles assigned to aimpoints with higher priority than the selected priority will not be considered for rerouting.</w:t>
      </w:r>
      <w:r w:rsidR="00C540A0" w:rsidRPr="000665B0">
        <w:t xml:space="preserve"> Although CFF is shown as a selection, it is </w:t>
      </w:r>
      <w:r w:rsidR="000F3AA3" w:rsidRPr="000665B0">
        <w:t>currently not functional</w:t>
      </w:r>
      <w:r w:rsidR="00C540A0" w:rsidRPr="000665B0">
        <w:t>.</w:t>
      </w:r>
    </w:p>
    <w:p w14:paraId="7AB1F37F" w14:textId="2887708D" w:rsidR="003D29EC" w:rsidRPr="000665B0" w:rsidRDefault="00EA5282" w:rsidP="003D29EC">
      <w:pPr>
        <w:jc w:val="center"/>
      </w:pPr>
      <w:r>
        <w:rPr>
          <w:noProof/>
        </w:rPr>
        <w:lastRenderedPageBreak/>
        <w:drawing>
          <wp:inline distT="0" distB="0" distL="0" distR="0" wp14:anchorId="492CDA5F" wp14:editId="7A03DF6E">
            <wp:extent cx="2956560" cy="3758243"/>
            <wp:effectExtent l="0" t="0" r="0" b="0"/>
            <wp:docPr id="2021666951" name="Picture 202166695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6951" name="Picture 2021666951" descr="Graphical user interface, application&#10;&#10;Description automatically generated"/>
                    <pic:cNvPicPr/>
                  </pic:nvPicPr>
                  <pic:blipFill>
                    <a:blip/>
                    <a:stretch>
                      <a:fillRect/>
                    </a:stretch>
                  </pic:blipFill>
                  <pic:spPr>
                    <a:xfrm>
                      <a:off x="0" y="0"/>
                      <a:ext cx="2964629" cy="3768500"/>
                    </a:xfrm>
                    <a:prstGeom prst="rect">
                      <a:avLst/>
                    </a:prstGeom>
                  </pic:spPr>
                </pic:pic>
              </a:graphicData>
            </a:graphic>
          </wp:inline>
        </w:drawing>
      </w:r>
    </w:p>
    <w:p w14:paraId="17D75290" w14:textId="3A99E401" w:rsidR="003D29EC" w:rsidRPr="000665B0" w:rsidRDefault="003D29EC" w:rsidP="006D5A65">
      <w:pPr>
        <w:pStyle w:val="Heading2"/>
      </w:pPr>
      <w:r w:rsidRPr="000665B0">
        <w:t xml:space="preserve">The Retarget Calculator </w:t>
      </w:r>
      <w:r w:rsidR="009D2524" w:rsidRPr="000665B0">
        <w:t>displays the</w:t>
      </w:r>
      <w:r w:rsidRPr="000665B0">
        <w:t xml:space="preserve"> </w:t>
      </w:r>
      <w:r w:rsidRPr="000665B0">
        <w:rPr>
          <w:i/>
        </w:rPr>
        <w:t>Reroute</w:t>
      </w:r>
      <w:r w:rsidRPr="000665B0">
        <w:t xml:space="preserve"> tab. This tab will display all the candidate missiles that you could retarget or aimpoint update to.</w:t>
      </w:r>
    </w:p>
    <w:p w14:paraId="22426828" w14:textId="739B85A8" w:rsidR="00FF365D" w:rsidRPr="000665B0" w:rsidRDefault="003D29EC" w:rsidP="006D5A65">
      <w:pPr>
        <w:pStyle w:val="Heading2"/>
      </w:pPr>
      <w:r w:rsidRPr="000665B0">
        <w:t xml:space="preserve">On the </w:t>
      </w:r>
      <w:r w:rsidRPr="000665B0">
        <w:rPr>
          <w:i/>
        </w:rPr>
        <w:t>Reroute</w:t>
      </w:r>
      <w:r w:rsidRPr="000665B0">
        <w:t xml:space="preserve"> tab, if you </w:t>
      </w:r>
      <w:r w:rsidR="00D71804" w:rsidRPr="000665B0">
        <w:t>right-click</w:t>
      </w:r>
      <w:r w:rsidRPr="000665B0">
        <w:t xml:space="preserve"> on the missile you want to use to retarget or aimpoint update, a context menu will popup displaying all the MDS Node Planning Organization (MDS Node with PO roles in the Arsenal) or the TTWCS (TTWCS IMMM Allowed).</w:t>
      </w:r>
    </w:p>
    <w:p w14:paraId="306373D2" w14:textId="6E541DE4" w:rsidR="000148DF" w:rsidRPr="000665B0" w:rsidRDefault="000148DF" w:rsidP="00713285">
      <w:pPr>
        <w:jc w:val="center"/>
      </w:pPr>
      <w:r w:rsidRPr="000665B0">
        <w:rPr>
          <w:noProof/>
        </w:rPr>
        <w:drawing>
          <wp:inline distT="0" distB="0" distL="0" distR="0" wp14:anchorId="2C0BB6CE" wp14:editId="191B606E">
            <wp:extent cx="2743200" cy="2450592"/>
            <wp:effectExtent l="0" t="0" r="0" b="6985"/>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450592"/>
                    </a:xfrm>
                    <a:prstGeom prst="rect">
                      <a:avLst/>
                    </a:prstGeom>
                  </pic:spPr>
                </pic:pic>
              </a:graphicData>
            </a:graphic>
          </wp:inline>
        </w:drawing>
      </w:r>
    </w:p>
    <w:p w14:paraId="6E379C38" w14:textId="77777777" w:rsidR="003D29EC" w:rsidRPr="000665B0" w:rsidRDefault="003D29EC" w:rsidP="006D5A65">
      <w:pPr>
        <w:pStyle w:val="Heading2"/>
      </w:pPr>
      <w:r w:rsidRPr="000665B0">
        <w:lastRenderedPageBreak/>
        <w:t>Depending which Node you pick, you either create a TMPR request for TPS or a Tactical LMO for TTWCS.</w:t>
      </w:r>
    </w:p>
    <w:p w14:paraId="66710CCC" w14:textId="77777777" w:rsidR="003D29EC" w:rsidRPr="000665B0" w:rsidRDefault="003D29EC" w:rsidP="006D5A65">
      <w:pPr>
        <w:pStyle w:val="Heading2"/>
      </w:pPr>
      <w:r w:rsidRPr="000665B0">
        <w:t xml:space="preserve">If you select a TTWCS Node, then a Tactical LMO form will </w:t>
      </w:r>
      <w:r w:rsidR="00987E38" w:rsidRPr="000665B0">
        <w:t>pop up</w:t>
      </w:r>
      <w:r w:rsidRPr="000665B0">
        <w:t xml:space="preserve"> with the select target information pre-filled. Fill out the rest of Tactical LMO if desired and click send to send to the FRU. The FRU will plan the segment and send the IMMM to the missile.</w:t>
      </w:r>
    </w:p>
    <w:p w14:paraId="1A04E313" w14:textId="77777777" w:rsidR="00797DE2" w:rsidRPr="000665B0" w:rsidRDefault="009A1FDF" w:rsidP="006E1D1B">
      <w:pPr>
        <w:pBdr>
          <w:top w:val="single" w:sz="12" w:space="1" w:color="auto"/>
          <w:left w:val="single" w:sz="12" w:space="4" w:color="auto"/>
          <w:bottom w:val="single" w:sz="12" w:space="1" w:color="auto"/>
          <w:right w:val="single" w:sz="12" w:space="4" w:color="auto"/>
        </w:pBdr>
        <w:shd w:val="clear" w:color="auto" w:fill="F3F3F3"/>
        <w:spacing w:after="0"/>
        <w:ind w:left="90" w:right="90"/>
        <w:rPr>
          <w:b/>
        </w:rPr>
      </w:pPr>
      <w:r w:rsidRPr="000665B0">
        <w:rPr>
          <w:rFonts w:ascii="Arial" w:hAnsi="Arial" w:cs="Arial"/>
          <w:noProof/>
          <w:sz w:val="20"/>
        </w:rPr>
        <w:drawing>
          <wp:inline distT="0" distB="0" distL="0" distR="0" wp14:anchorId="7A4CF466" wp14:editId="7548F3D9">
            <wp:extent cx="352425" cy="381000"/>
            <wp:effectExtent l="0" t="0" r="9525" b="0"/>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3D29EC" w:rsidRPr="000665B0">
        <w:rPr>
          <w:b/>
        </w:rPr>
        <w:t xml:space="preserve">TIP: </w:t>
      </w:r>
      <w:r w:rsidR="003D29EC" w:rsidRPr="000665B0">
        <w:rPr>
          <w:rStyle w:val="bodycopy"/>
          <w:b/>
        </w:rPr>
        <w:t>When creating an LMO from the SMD, the operator must be aware that the LMO screen may not always open on top and may be obscured by other windows.</w:t>
      </w:r>
      <w:r w:rsidR="00797DE2" w:rsidRPr="000665B0">
        <w:rPr>
          <w:b/>
        </w:rPr>
        <w:t xml:space="preserve"> </w:t>
      </w:r>
    </w:p>
    <w:p w14:paraId="48881822" w14:textId="77777777" w:rsidR="00797DE2" w:rsidRPr="000665B0" w:rsidRDefault="00797DE2" w:rsidP="006E1D1B">
      <w:pPr>
        <w:spacing w:after="0"/>
        <w:ind w:left="90" w:right="90"/>
      </w:pPr>
    </w:p>
    <w:p w14:paraId="2812AE17" w14:textId="77777777" w:rsidR="003D29EC" w:rsidRPr="000665B0" w:rsidRDefault="009A1FDF" w:rsidP="006E1D1B">
      <w:pPr>
        <w:pBdr>
          <w:top w:val="single" w:sz="12" w:space="1" w:color="auto"/>
          <w:left w:val="single" w:sz="12" w:space="4" w:color="auto"/>
          <w:bottom w:val="single" w:sz="12" w:space="1" w:color="auto"/>
          <w:right w:val="single" w:sz="12" w:space="4" w:color="auto"/>
        </w:pBdr>
        <w:shd w:val="clear" w:color="auto" w:fill="F3F3F3"/>
        <w:ind w:left="90" w:right="90"/>
        <w:rPr>
          <w:b/>
        </w:rPr>
      </w:pPr>
      <w:r w:rsidRPr="000665B0">
        <w:rPr>
          <w:rFonts w:ascii="Arial" w:hAnsi="Arial" w:cs="Arial"/>
          <w:noProof/>
          <w:sz w:val="20"/>
        </w:rPr>
        <w:drawing>
          <wp:inline distT="0" distB="0" distL="0" distR="0" wp14:anchorId="0ABFC359" wp14:editId="79B5D604">
            <wp:extent cx="352425" cy="381000"/>
            <wp:effectExtent l="0" t="0" r="9525" b="0"/>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3D29EC" w:rsidRPr="000665B0">
        <w:rPr>
          <w:b/>
        </w:rPr>
        <w:t>TIP: The SMD does not have the ability to resend the same Tactical Change LMO</w:t>
      </w:r>
      <w:r w:rsidR="003D29EC" w:rsidRPr="000665B0">
        <w:rPr>
          <w:rStyle w:val="bodycopy"/>
          <w:b/>
        </w:rPr>
        <w:t>. The work around is to create a new TC LMO with the same targeting information. Remember, whenever a TC LMO is sent, the Strike Revision is incremented.</w:t>
      </w:r>
    </w:p>
    <w:p w14:paraId="6FAD64BF" w14:textId="6F10BD22" w:rsidR="003D29EC" w:rsidRPr="000665B0" w:rsidRDefault="003D29EC" w:rsidP="006D5A65">
      <w:pPr>
        <w:pStyle w:val="Heading1"/>
      </w:pPr>
      <w:r w:rsidRPr="000665B0">
        <w:t xml:space="preserve">If you select a PO Node, then a TMPR form will </w:t>
      </w:r>
      <w:r w:rsidR="00987E38" w:rsidRPr="000665B0">
        <w:t>pop up</w:t>
      </w:r>
      <w:r w:rsidRPr="000665B0">
        <w:t xml:space="preserve"> with the select target information pre-filled. Fill out the rest of TMPR if desired and click </w:t>
      </w:r>
      <w:r w:rsidR="00064692" w:rsidRPr="000665B0">
        <w:t>Save</w:t>
      </w:r>
      <w:r w:rsidRPr="000665B0">
        <w:t>.</w:t>
      </w:r>
    </w:p>
    <w:p w14:paraId="69FEDCA9" w14:textId="1BF67024" w:rsidR="003D29EC" w:rsidRPr="000665B0" w:rsidRDefault="003D29EC" w:rsidP="006D5A65">
      <w:pPr>
        <w:pStyle w:val="Heading1"/>
      </w:pPr>
      <w:r w:rsidRPr="000665B0">
        <w:t xml:space="preserve">If you have a co-located TPS, the TPS will process your TMPR Request and generate a segment result. If you don’t have a co-located TPS, you need to forward the TMPR Request to a remote MDS with TPS co-located. Right now, you have to manually forward the TMPR Request by sending the TMPR in a DDO. For more information see </w:t>
      </w:r>
      <w:hyperlink w:anchor="_Creating_a_Retarget" w:history="1">
        <w:r w:rsidRPr="000665B0">
          <w:rPr>
            <w:rStyle w:val="Hyperlink"/>
          </w:rPr>
          <w:t xml:space="preserve">Section </w:t>
        </w:r>
        <w:r w:rsidR="004231CC">
          <w:rPr>
            <w:rStyle w:val="Hyperlink"/>
          </w:rPr>
          <w:t>5.31</w:t>
        </w:r>
        <w:r w:rsidRPr="000665B0">
          <w:rPr>
            <w:rStyle w:val="Hyperlink"/>
          </w:rPr>
          <w:t>.</w:t>
        </w:r>
        <w:r w:rsidR="00865446" w:rsidRPr="000665B0">
          <w:rPr>
            <w:rStyle w:val="Hyperlink"/>
          </w:rPr>
          <w:t>4</w:t>
        </w:r>
      </w:hyperlink>
      <w:r w:rsidRPr="000665B0">
        <w:t>.</w:t>
      </w:r>
    </w:p>
    <w:p w14:paraId="5D8BBF49" w14:textId="422FFD71" w:rsidR="00521DFA" w:rsidRPr="000665B0" w:rsidRDefault="003D29EC" w:rsidP="006D5A65">
      <w:pPr>
        <w:pStyle w:val="Heading1"/>
      </w:pPr>
      <w:r w:rsidRPr="000665B0">
        <w:t xml:space="preserve">Once you get the segment result back for your TMPR Request, install the segment result. This should update your Retarget Status state to TMPR Completed (green icon). </w:t>
      </w:r>
    </w:p>
    <w:p w14:paraId="7164212C" w14:textId="22391D5B" w:rsidR="003D29EC" w:rsidRPr="000665B0" w:rsidRDefault="003D29EC" w:rsidP="006D5A65">
      <w:pPr>
        <w:pStyle w:val="Heading2"/>
        <w:rPr>
          <w:bCs/>
        </w:rPr>
      </w:pPr>
      <w:r w:rsidRPr="000665B0">
        <w:t xml:space="preserve">From the </w:t>
      </w:r>
      <w:r w:rsidRPr="000665B0">
        <w:rPr>
          <w:i/>
        </w:rPr>
        <w:t>Retarget Status</w:t>
      </w:r>
      <w:r w:rsidRPr="000665B0">
        <w:t xml:space="preserve"> tab, you can send the IMMM generated from the segment result to the missile. If your segment result failed to install, check the validation result in the </w:t>
      </w:r>
      <w:r w:rsidRPr="000665B0">
        <w:rPr>
          <w:i/>
        </w:rPr>
        <w:t>Retarget Status</w:t>
      </w:r>
      <w:r w:rsidRPr="000665B0">
        <w:t xml:space="preserve"> tab by </w:t>
      </w:r>
      <w:r w:rsidR="00D71804" w:rsidRPr="000665B0">
        <w:t>right-click</w:t>
      </w:r>
      <w:r w:rsidRPr="000665B0">
        <w:t>ing state and check your IQVC logs.</w:t>
      </w:r>
    </w:p>
    <w:p w14:paraId="1BC7EF11" w14:textId="17A907C9" w:rsidR="00293051" w:rsidRPr="000665B0" w:rsidRDefault="00293051" w:rsidP="006D5A65">
      <w:pPr>
        <w:pStyle w:val="Heading2"/>
        <w:rPr>
          <w:bCs/>
        </w:rPr>
      </w:pPr>
      <w:r w:rsidRPr="000665B0">
        <w:t xml:space="preserve">From the </w:t>
      </w:r>
      <w:r w:rsidRPr="000665B0">
        <w:rPr>
          <w:i/>
        </w:rPr>
        <w:t>Retarget Status</w:t>
      </w:r>
      <w:r w:rsidRPr="000665B0">
        <w:t xml:space="preserve"> tab, it is also possible to display a vertical flight profile (VFP) (see </w:t>
      </w:r>
      <w:hyperlink w:anchor="_5.6.19__Display" w:history="1">
        <w:r w:rsidRPr="000665B0">
          <w:rPr>
            <w:rStyle w:val="Hyperlink"/>
          </w:rPr>
          <w:t>Section 5.</w:t>
        </w:r>
        <w:r w:rsidR="00C526BF" w:rsidRPr="000665B0">
          <w:rPr>
            <w:rStyle w:val="Hyperlink"/>
          </w:rPr>
          <w:t>5</w:t>
        </w:r>
        <w:r w:rsidRPr="000665B0">
          <w:rPr>
            <w:rStyle w:val="Hyperlink"/>
          </w:rPr>
          <w:t>.18</w:t>
        </w:r>
      </w:hyperlink>
      <w:r w:rsidRPr="000665B0">
        <w:t>) of a missile’s flight path over terrain in a two-dimensional graph layout, with altitude on the vertical axis and distance on the horizontal axis. In this case for a Retarget TMPR, the VFP display contains the mission segment vertical profile from the Retarget Branch Action Point to the Target, ACMS data from the originating TMPR (including the ACMS name and type), and the corresponding DTED information.</w:t>
      </w:r>
    </w:p>
    <w:p w14:paraId="602B21A3" w14:textId="77777777" w:rsidR="00293051" w:rsidRPr="000665B0" w:rsidRDefault="00293051" w:rsidP="00293051">
      <w:pPr>
        <w:ind w:left="1080"/>
      </w:pPr>
      <w:r w:rsidRPr="000665B0">
        <w:lastRenderedPageBreak/>
        <w:t>To display the vertical flight profile from the SMD:</w:t>
      </w:r>
    </w:p>
    <w:p w14:paraId="71B64879" w14:textId="28994BEE" w:rsidR="00293051" w:rsidRPr="000665B0" w:rsidRDefault="00293051" w:rsidP="006D5A65">
      <w:pPr>
        <w:pStyle w:val="Heading6"/>
      </w:pPr>
      <w:r w:rsidRPr="000665B0">
        <w:t>From the Retarget Status pane of the SMD, select the desired Retarget TMPR</w:t>
      </w:r>
      <w:r w:rsidR="00474E49" w:rsidRPr="000665B0">
        <w:t xml:space="preserve"> (when the bubble is green)</w:t>
      </w:r>
      <w:r w:rsidRPr="000665B0">
        <w:t xml:space="preserve">. Invoke the context menu and select Vertical Flight Profile. </w:t>
      </w:r>
      <w:bookmarkStart w:id="6664" w:name="_Hlk56520793"/>
      <w:r w:rsidRPr="000665B0">
        <w:t>The Vertical Flight Profile menu is enabled only when the TMPR Status is Complete or Transmitted (after sending an IMMM).</w:t>
      </w:r>
      <w:bookmarkEnd w:id="6664"/>
      <w:r w:rsidR="009651B0">
        <w:t xml:space="preserve"> </w:t>
      </w:r>
    </w:p>
    <w:p w14:paraId="0427E4A2" w14:textId="2A7BD282" w:rsidR="00293051" w:rsidRPr="000665B0" w:rsidRDefault="00293051" w:rsidP="006D5A65">
      <w:pPr>
        <w:pStyle w:val="Heading6"/>
      </w:pPr>
      <w:r w:rsidRPr="000665B0">
        <w:t>The Vertical Flight Profile for TMPR ID: window is displayed.</w:t>
      </w:r>
    </w:p>
    <w:p w14:paraId="41E8FE97" w14:textId="77777777" w:rsidR="007325F5" w:rsidRDefault="001A17C2" w:rsidP="007325F5">
      <w:pPr>
        <w:ind w:left="360"/>
      </w:pPr>
      <w:r w:rsidRPr="000665B0">
        <w:t xml:space="preserve">After receiving a Retarget IMMM, the missile will switch to the new branch (16). The </w:t>
      </w:r>
      <w:r w:rsidRPr="000665B0">
        <w:rPr>
          <w:b/>
        </w:rPr>
        <w:t>Status</w:t>
      </w:r>
      <w:r w:rsidRPr="000665B0">
        <w:t xml:space="preserve"> column in the </w:t>
      </w:r>
      <w:r w:rsidRPr="000665B0">
        <w:rPr>
          <w:b/>
          <w:i/>
        </w:rPr>
        <w:t>Missile Assignment</w:t>
      </w:r>
      <w:r w:rsidRPr="000665B0">
        <w:t xml:space="preserve"> tab of the SMD will display: </w:t>
      </w:r>
      <w:r w:rsidRPr="000665B0">
        <w:rPr>
          <w:b/>
        </w:rPr>
        <w:t>Missing mission; tasking is no longer in the strike folder</w:t>
      </w:r>
      <w:r w:rsidRPr="000665B0">
        <w:t>. The message is displayed because the mission associated with the new target is not loaded in this strike’s folder due to the recent processing of the retarget. In this case, this status does not indicate a problem; it is intended to convey that the missile has just recently processed the retarget. In other cases, this status may indicate a problem with the strike execution.</w:t>
      </w:r>
    </w:p>
    <w:p w14:paraId="227BCD6F" w14:textId="77777777" w:rsidR="007325F5" w:rsidRPr="000665B0" w:rsidRDefault="007325F5" w:rsidP="00C92934">
      <w:pPr>
        <w:pBdr>
          <w:top w:val="single" w:sz="12" w:space="1" w:color="auto"/>
          <w:left w:val="single" w:sz="12" w:space="0" w:color="auto"/>
          <w:bottom w:val="single" w:sz="12" w:space="1" w:color="auto"/>
          <w:right w:val="single" w:sz="12" w:space="0" w:color="auto"/>
        </w:pBdr>
        <w:shd w:val="clear" w:color="auto" w:fill="D9D9D9" w:themeFill="background1" w:themeFillShade="D9"/>
        <w:spacing w:after="0"/>
        <w:jc w:val="center"/>
        <w:rPr>
          <w:b/>
        </w:rPr>
      </w:pPr>
      <w:r w:rsidRPr="000665B0">
        <w:rPr>
          <w:b/>
        </w:rPr>
        <w:t>Note:</w:t>
      </w:r>
    </w:p>
    <w:p w14:paraId="0284E85B" w14:textId="77777777" w:rsidR="007325F5" w:rsidRPr="00873044" w:rsidRDefault="007325F5" w:rsidP="00C92934">
      <w:pPr>
        <w:pBdr>
          <w:top w:val="single" w:sz="12" w:space="1" w:color="auto"/>
          <w:left w:val="single" w:sz="12" w:space="0" w:color="auto"/>
          <w:bottom w:val="single" w:sz="12" w:space="1" w:color="auto"/>
          <w:right w:val="single" w:sz="12" w:space="0" w:color="auto"/>
        </w:pBdr>
        <w:shd w:val="clear" w:color="auto" w:fill="D9D9D9" w:themeFill="background1" w:themeFillShade="D9"/>
        <w:spacing w:after="0"/>
        <w:jc w:val="center"/>
        <w:rPr>
          <w:b/>
          <w:bCs/>
          <w:szCs w:val="24"/>
        </w:rPr>
      </w:pPr>
      <w:r w:rsidRPr="00873044">
        <w:rPr>
          <w:b/>
          <w:bCs/>
          <w:szCs w:val="24"/>
        </w:rPr>
        <w:t>The calculations for the estimated TOT of a retarget may have a variation of up to 2 minutes between TTWCS and SMD. This will cause the simulated missile position on the SMD to be out of sync with what TTWCS has calculated when the missile is on the new route for the retarget.</w:t>
      </w:r>
    </w:p>
    <w:p w14:paraId="295996C3" w14:textId="3FD2940B" w:rsidR="001A17C2" w:rsidRPr="000665B0" w:rsidRDefault="001A17C2" w:rsidP="00BB2E5D">
      <w:pPr>
        <w:spacing w:after="0"/>
      </w:pPr>
    </w:p>
    <w:p w14:paraId="6CF98164" w14:textId="53516BF4" w:rsidR="003D29EC" w:rsidRPr="000665B0" w:rsidRDefault="009A1FDF" w:rsidP="006E1D1B">
      <w:pPr>
        <w:pBdr>
          <w:top w:val="single" w:sz="12" w:space="1" w:color="auto"/>
          <w:left w:val="single" w:sz="12" w:space="4" w:color="auto"/>
          <w:bottom w:val="single" w:sz="12" w:space="1" w:color="auto"/>
          <w:right w:val="single" w:sz="12" w:space="4" w:color="auto"/>
        </w:pBdr>
        <w:shd w:val="clear" w:color="auto" w:fill="F3F3F3"/>
        <w:spacing w:after="0"/>
        <w:ind w:left="90" w:right="90"/>
      </w:pPr>
      <w:r w:rsidRPr="000665B0">
        <w:rPr>
          <w:rFonts w:ascii="Arial" w:hAnsi="Arial" w:cs="Arial"/>
          <w:noProof/>
          <w:sz w:val="20"/>
        </w:rPr>
        <w:drawing>
          <wp:inline distT="0" distB="0" distL="0" distR="0" wp14:anchorId="4FE0497E" wp14:editId="6A70524B">
            <wp:extent cx="352425" cy="381000"/>
            <wp:effectExtent l="0" t="0" r="9525" b="0"/>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3D29EC" w:rsidRPr="000665B0">
        <w:rPr>
          <w:b/>
        </w:rPr>
        <w:t>TIP: When a TC LMO is tasked to a live FRU, the Strike Revision is not sent to all participants. The Strike Package needs to be redistributed to all strike participants.</w:t>
      </w:r>
    </w:p>
    <w:p w14:paraId="3AE5CF44" w14:textId="77777777" w:rsidR="003D29EC" w:rsidRPr="000665B0" w:rsidRDefault="003D29EC" w:rsidP="00BB2E5D">
      <w:pPr>
        <w:spacing w:after="0"/>
        <w:ind w:left="86" w:right="86"/>
      </w:pPr>
    </w:p>
    <w:p w14:paraId="1D4D39F3" w14:textId="77777777" w:rsidR="003D29EC" w:rsidRPr="000665B0" w:rsidRDefault="009A1FDF" w:rsidP="006E1D1B">
      <w:pPr>
        <w:keepNext/>
        <w:keepLines/>
        <w:pBdr>
          <w:top w:val="single" w:sz="12" w:space="1" w:color="auto"/>
          <w:left w:val="single" w:sz="12" w:space="4" w:color="auto"/>
          <w:bottom w:val="single" w:sz="12" w:space="1" w:color="auto"/>
          <w:right w:val="single" w:sz="12" w:space="4" w:color="auto"/>
        </w:pBdr>
        <w:shd w:val="clear" w:color="auto" w:fill="F3F3F3"/>
        <w:ind w:left="90" w:right="90"/>
      </w:pPr>
      <w:r w:rsidRPr="000665B0">
        <w:rPr>
          <w:rFonts w:ascii="Arial" w:hAnsi="Arial" w:cs="Arial"/>
          <w:noProof/>
          <w:sz w:val="20"/>
        </w:rPr>
        <w:drawing>
          <wp:inline distT="0" distB="0" distL="0" distR="0" wp14:anchorId="7211FA2F" wp14:editId="36B7CF57">
            <wp:extent cx="352425" cy="381000"/>
            <wp:effectExtent l="0" t="0" r="9525" b="0"/>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3D29EC" w:rsidRPr="000665B0">
        <w:rPr>
          <w:b/>
        </w:rPr>
        <w:t>TIP: The SMD will ignore the second ACK for the Aimpoint Update IMMM after a successful ACK for Retarget IMMM has been processed. By receiving the Retarget IMMM and then the Aimpoint Update IMMM, it appeared to the SMD that there was no change.</w:t>
      </w:r>
    </w:p>
    <w:p w14:paraId="36B4D560" w14:textId="77777777" w:rsidR="003D29EC" w:rsidRPr="007325F5" w:rsidRDefault="003D29EC" w:rsidP="003D29EC">
      <w:pPr>
        <w:rPr>
          <w:b/>
          <w:bCs/>
        </w:rPr>
      </w:pPr>
      <w:r w:rsidRPr="007325F5">
        <w:rPr>
          <w:b/>
          <w:bCs/>
        </w:rPr>
        <w:t>Auto Forward Pass Retarget/Aimpoint Update TMPR</w:t>
      </w:r>
    </w:p>
    <w:p w14:paraId="526AA342" w14:textId="77777777" w:rsidR="003D29EC" w:rsidRPr="000665B0" w:rsidRDefault="003D29EC" w:rsidP="006D5A65">
      <w:pPr>
        <w:pStyle w:val="Heading1"/>
      </w:pPr>
      <w:r w:rsidRPr="000665B0">
        <w:t>The 2 Forward Pass Conditions listed above in regard to turning on Auto Processing for TMPR and Retarget/Aimpoint Update must be met.</w:t>
      </w:r>
    </w:p>
    <w:p w14:paraId="6005FD95" w14:textId="77777777" w:rsidR="003D29EC" w:rsidRPr="000665B0" w:rsidRDefault="003D29EC" w:rsidP="006D5A65">
      <w:pPr>
        <w:pStyle w:val="Heading1"/>
      </w:pPr>
      <w:r w:rsidRPr="000665B0">
        <w:t>Follow the Retarget/Aimpoint Update instruction steps listed above (Step 1-5).</w:t>
      </w:r>
    </w:p>
    <w:p w14:paraId="56C8BFEA" w14:textId="407214B6" w:rsidR="00F62F84" w:rsidRPr="000665B0" w:rsidRDefault="003D29EC" w:rsidP="006D5A65">
      <w:pPr>
        <w:pStyle w:val="Heading1"/>
      </w:pPr>
      <w:r w:rsidRPr="000665B0">
        <w:t xml:space="preserve">Select your PO Node. If you selected a PO that is your Own Node (local), then the TMPR will be generated and saved to your local TED. If the selected PO is a remote Node, then the system will automatically Forward Pass your TMPR to the </w:t>
      </w:r>
      <w:r w:rsidRPr="000665B0">
        <w:lastRenderedPageBreak/>
        <w:t>remote site via a DDO. A DDO will be generated with the TMPR and sent to the remote PO.</w:t>
      </w:r>
    </w:p>
    <w:p w14:paraId="7214CEF1" w14:textId="60227D20" w:rsidR="000148DF" w:rsidRPr="000665B0" w:rsidRDefault="000148DF" w:rsidP="00BB2E5D">
      <w:pPr>
        <w:spacing w:before="120"/>
        <w:jc w:val="center"/>
      </w:pPr>
      <w:r w:rsidRPr="000665B0">
        <w:rPr>
          <w:noProof/>
        </w:rPr>
        <w:drawing>
          <wp:inline distT="0" distB="0" distL="0" distR="0" wp14:anchorId="1E1C2C81" wp14:editId="4A4F1BBA">
            <wp:extent cx="2743200" cy="2450592"/>
            <wp:effectExtent l="0" t="0" r="0" b="6985"/>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450592"/>
                    </a:xfrm>
                    <a:prstGeom prst="rect">
                      <a:avLst/>
                    </a:prstGeom>
                  </pic:spPr>
                </pic:pic>
              </a:graphicData>
            </a:graphic>
          </wp:inline>
        </w:drawing>
      </w:r>
    </w:p>
    <w:p w14:paraId="28926A5A" w14:textId="5AE0D21E" w:rsidR="00446DBF" w:rsidRPr="000665B0" w:rsidRDefault="000A607E" w:rsidP="00172AD0">
      <w:pPr>
        <w:pStyle w:val="Heading5"/>
      </w:pPr>
      <w:bookmarkStart w:id="6665" w:name="_5.38.3.1.8__FRU"/>
      <w:bookmarkStart w:id="6666" w:name="_FRU__Status"/>
      <w:bookmarkStart w:id="6667" w:name="_Toc289328917"/>
      <w:bookmarkStart w:id="6668" w:name="_Hlk74131929"/>
      <w:bookmarkEnd w:id="6647"/>
      <w:bookmarkEnd w:id="6665"/>
      <w:bookmarkEnd w:id="6666"/>
      <w:r w:rsidRPr="000665B0">
        <w:t>FRU Status</w:t>
      </w:r>
      <w:bookmarkEnd w:id="6667"/>
    </w:p>
    <w:p w14:paraId="62CB12AD" w14:textId="78100B8F" w:rsidR="00C93598" w:rsidRPr="000665B0" w:rsidRDefault="003F7BA6" w:rsidP="00C93598">
      <w:r w:rsidRPr="000665B0">
        <w:t xml:space="preserve">The </w:t>
      </w:r>
      <w:r w:rsidRPr="000665B0">
        <w:rPr>
          <w:b/>
          <w:i/>
        </w:rPr>
        <w:t>FRU Status</w:t>
      </w:r>
      <w:r w:rsidRPr="000665B0">
        <w:t xml:space="preserve"> tab contains</w:t>
      </w:r>
      <w:r w:rsidR="00F779D6" w:rsidRPr="000665B0">
        <w:t xml:space="preserve"> two sub-tabs: </w:t>
      </w:r>
      <w:r w:rsidR="00F779D6" w:rsidRPr="000665B0">
        <w:rPr>
          <w:b/>
          <w:i/>
        </w:rPr>
        <w:t>FRU Events</w:t>
      </w:r>
      <w:r w:rsidR="00F779D6" w:rsidRPr="000665B0">
        <w:t xml:space="preserve"> and </w:t>
      </w:r>
      <w:r w:rsidR="00F779D6" w:rsidRPr="000665B0">
        <w:rPr>
          <w:b/>
          <w:i/>
        </w:rPr>
        <w:t>Missile Assignments</w:t>
      </w:r>
      <w:r w:rsidR="00F779D6" w:rsidRPr="000665B0">
        <w:t>.</w:t>
      </w:r>
      <w:r w:rsidRPr="000665B0">
        <w:t xml:space="preserve"> </w:t>
      </w:r>
      <w:r w:rsidR="00F779D6" w:rsidRPr="000665B0">
        <w:t xml:space="preserve">Click the </w:t>
      </w:r>
      <w:r w:rsidR="00F779D6" w:rsidRPr="000665B0">
        <w:rPr>
          <w:b/>
          <w:i/>
        </w:rPr>
        <w:t>FRU Status</w:t>
      </w:r>
      <w:r w:rsidR="00F779D6" w:rsidRPr="000665B0">
        <w:t xml:space="preserve"> tab and then either sub-tab to display a </w:t>
      </w:r>
      <w:r w:rsidR="00E72C35" w:rsidRPr="000665B0">
        <w:t>two</w:t>
      </w:r>
      <w:r w:rsidR="00F779D6" w:rsidRPr="000665B0">
        <w:t xml:space="preserve">-paned list view control. </w:t>
      </w:r>
    </w:p>
    <w:p w14:paraId="28C8FA2B" w14:textId="7395C382" w:rsidR="003F7BA6" w:rsidRPr="000665B0" w:rsidRDefault="00F779D6" w:rsidP="00F779D6">
      <w:r w:rsidRPr="000665B0">
        <w:t xml:space="preserve">The top </w:t>
      </w:r>
      <w:r w:rsidRPr="000665B0">
        <w:rPr>
          <w:b/>
        </w:rPr>
        <w:t>FRU Status</w:t>
      </w:r>
      <w:r w:rsidRPr="000665B0">
        <w:t xml:space="preserve"> </w:t>
      </w:r>
      <w:r w:rsidR="00C93598" w:rsidRPr="000665B0">
        <w:t>list view</w:t>
      </w:r>
      <w:r w:rsidRPr="000665B0">
        <w:t xml:space="preserve"> allows the user to select the desired FRU and provides an overview of the current state of all FRUs in the arsenal.</w:t>
      </w:r>
      <w:r w:rsidR="003252AC" w:rsidRPr="000665B0">
        <w:t xml:space="preserve"> The BOO trigraph </w:t>
      </w:r>
      <w:r w:rsidR="00856AED" w:rsidRPr="000665B0">
        <w:t>is a concatenation of</w:t>
      </w:r>
      <w:r w:rsidR="003252AC" w:rsidRPr="000665B0">
        <w:t xml:space="preserve"> all of the ghost </w:t>
      </w:r>
      <w:r w:rsidR="00856AED" w:rsidRPr="000665B0">
        <w:t xml:space="preserve">missile </w:t>
      </w:r>
      <w:r w:rsidR="003252AC" w:rsidRPr="000665B0">
        <w:t>assignments</w:t>
      </w:r>
      <w:r w:rsidR="00856AED" w:rsidRPr="000665B0">
        <w:t xml:space="preserve"> across all ghost platforms,</w:t>
      </w:r>
      <w:r w:rsidR="003252AC" w:rsidRPr="000665B0">
        <w:t xml:space="preserve"> for all of the strike options within the executing folder. A maximum of 80 ghost missile assignments can be assigned to each </w:t>
      </w:r>
      <w:r w:rsidR="00100C89" w:rsidRPr="000665B0">
        <w:t>ghost</w:t>
      </w:r>
      <w:r w:rsidR="003252AC" w:rsidRPr="000665B0">
        <w:t xml:space="preserve"> platform.</w:t>
      </w:r>
      <w:r w:rsidRPr="000665B0">
        <w:t xml:space="preserve"> The bottom </w:t>
      </w:r>
      <w:r w:rsidR="00C93598" w:rsidRPr="000665B0">
        <w:t>list view</w:t>
      </w:r>
      <w:r w:rsidRPr="000665B0">
        <w:t xml:space="preserve"> is determined by selecting either the </w:t>
      </w:r>
      <w:r w:rsidRPr="000665B0">
        <w:rPr>
          <w:b/>
          <w:i/>
        </w:rPr>
        <w:t>FRU Events</w:t>
      </w:r>
      <w:r w:rsidRPr="000665B0">
        <w:t xml:space="preserve"> or </w:t>
      </w:r>
      <w:r w:rsidRPr="000665B0">
        <w:rPr>
          <w:b/>
          <w:i/>
        </w:rPr>
        <w:t xml:space="preserve">Missile Assignments </w:t>
      </w:r>
      <w:r w:rsidRPr="000665B0">
        <w:t xml:space="preserve">sub-tab. </w:t>
      </w:r>
      <w:r w:rsidR="003F7BA6" w:rsidRPr="000665B0">
        <w:t xml:space="preserve">The </w:t>
      </w:r>
      <w:r w:rsidR="003F7BA6" w:rsidRPr="000665B0">
        <w:rPr>
          <w:b/>
        </w:rPr>
        <w:t>FRU Events</w:t>
      </w:r>
      <w:r w:rsidR="003F7BA6" w:rsidRPr="000665B0">
        <w:t xml:space="preserve"> </w:t>
      </w:r>
      <w:r w:rsidR="00C93598" w:rsidRPr="000665B0">
        <w:t>list view</w:t>
      </w:r>
      <w:r w:rsidRPr="000665B0">
        <w:t xml:space="preserve"> </w:t>
      </w:r>
      <w:r w:rsidR="003F7BA6" w:rsidRPr="000665B0">
        <w:t xml:space="preserve">contains all FDU messages received from the </w:t>
      </w:r>
      <w:r w:rsidRPr="000665B0">
        <w:t xml:space="preserve">selected </w:t>
      </w:r>
      <w:r w:rsidR="003F7BA6" w:rsidRPr="000665B0">
        <w:t xml:space="preserve">FRU. The </w:t>
      </w:r>
      <w:r w:rsidR="003F7BA6" w:rsidRPr="000665B0">
        <w:rPr>
          <w:b/>
        </w:rPr>
        <w:t>Missile</w:t>
      </w:r>
      <w:r w:rsidRPr="000665B0">
        <w:rPr>
          <w:b/>
        </w:rPr>
        <w:t xml:space="preserve"> Assignment</w:t>
      </w:r>
      <w:r w:rsidR="003F7BA6" w:rsidRPr="000665B0">
        <w:rPr>
          <w:b/>
        </w:rPr>
        <w:t>s</w:t>
      </w:r>
      <w:r w:rsidR="003F7BA6" w:rsidRPr="000665B0">
        <w:t xml:space="preserve"> </w:t>
      </w:r>
      <w:r w:rsidR="00C93598" w:rsidRPr="000665B0">
        <w:t>list view</w:t>
      </w:r>
      <w:r w:rsidRPr="000665B0">
        <w:t xml:space="preserve"> </w:t>
      </w:r>
      <w:r w:rsidR="003F7BA6" w:rsidRPr="000665B0">
        <w:t xml:space="preserve">contains all missile reservations assigned to the </w:t>
      </w:r>
      <w:r w:rsidRPr="000665B0">
        <w:t xml:space="preserve">selected </w:t>
      </w:r>
      <w:r w:rsidR="003F7BA6" w:rsidRPr="000665B0">
        <w:t xml:space="preserve">FRU. </w:t>
      </w:r>
    </w:p>
    <w:p w14:paraId="53DDE5F1" w14:textId="154E56E2" w:rsidR="00E72C35" w:rsidRPr="000665B0" w:rsidRDefault="00384119" w:rsidP="00F62F84">
      <w:pPr>
        <w:keepNext/>
        <w:jc w:val="center"/>
        <w:rPr>
          <w:b/>
        </w:rPr>
      </w:pPr>
      <w:r w:rsidRPr="000665B0">
        <w:rPr>
          <w:b/>
          <w:i/>
        </w:rPr>
        <w:t xml:space="preserve">FRU Status </w:t>
      </w:r>
      <w:r w:rsidRPr="000665B0">
        <w:rPr>
          <w:b/>
        </w:rPr>
        <w:t xml:space="preserve">tab with </w:t>
      </w:r>
      <w:r w:rsidR="00E72C35" w:rsidRPr="000665B0">
        <w:rPr>
          <w:b/>
          <w:i/>
        </w:rPr>
        <w:t>FRU Events</w:t>
      </w:r>
      <w:r w:rsidR="00E72C35" w:rsidRPr="000665B0">
        <w:rPr>
          <w:b/>
        </w:rPr>
        <w:t xml:space="preserve"> sub-tab</w:t>
      </w:r>
      <w:r w:rsidR="007E3B9D" w:rsidRPr="000665B0">
        <w:rPr>
          <w:b/>
        </w:rPr>
        <w:t>:</w:t>
      </w:r>
    </w:p>
    <w:p w14:paraId="02CB3AC0" w14:textId="77777777" w:rsidR="00E72C35" w:rsidRPr="000665B0" w:rsidRDefault="00E72C35" w:rsidP="00CB3E29">
      <w:pPr>
        <w:spacing w:after="240"/>
        <w:jc w:val="center"/>
      </w:pPr>
      <w:r w:rsidRPr="000665B0">
        <w:rPr>
          <w:noProof/>
        </w:rPr>
        <w:drawing>
          <wp:inline distT="0" distB="0" distL="0" distR="0" wp14:anchorId="3E27FE3C" wp14:editId="20B698EF">
            <wp:extent cx="5029200" cy="254203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029200" cy="2542032"/>
                    </a:xfrm>
                    <a:prstGeom prst="rect">
                      <a:avLst/>
                    </a:prstGeom>
                  </pic:spPr>
                </pic:pic>
              </a:graphicData>
            </a:graphic>
          </wp:inline>
        </w:drawing>
      </w:r>
    </w:p>
    <w:p w14:paraId="49999651" w14:textId="27583CD0" w:rsidR="00E72C35" w:rsidRPr="000665B0" w:rsidRDefault="00384119" w:rsidP="00F62F84">
      <w:pPr>
        <w:keepNext/>
        <w:jc w:val="center"/>
        <w:rPr>
          <w:b/>
        </w:rPr>
      </w:pPr>
      <w:r w:rsidRPr="000665B0">
        <w:rPr>
          <w:b/>
          <w:i/>
        </w:rPr>
        <w:lastRenderedPageBreak/>
        <w:t xml:space="preserve">FRU Status </w:t>
      </w:r>
      <w:r w:rsidRPr="000665B0">
        <w:rPr>
          <w:b/>
        </w:rPr>
        <w:t xml:space="preserve">tab with </w:t>
      </w:r>
      <w:r w:rsidR="00E72C35" w:rsidRPr="000665B0">
        <w:rPr>
          <w:b/>
          <w:i/>
        </w:rPr>
        <w:t>Missile Assignments</w:t>
      </w:r>
      <w:r w:rsidR="00E72C35" w:rsidRPr="000665B0">
        <w:rPr>
          <w:b/>
        </w:rPr>
        <w:t xml:space="preserve"> sub-tab</w:t>
      </w:r>
      <w:r w:rsidR="007E3B9D" w:rsidRPr="000665B0">
        <w:rPr>
          <w:b/>
        </w:rPr>
        <w:t>:</w:t>
      </w:r>
    </w:p>
    <w:p w14:paraId="085C3159" w14:textId="330AC0A8" w:rsidR="00E72C35" w:rsidRPr="000665B0" w:rsidRDefault="005F59FC" w:rsidP="00CB3E29">
      <w:pPr>
        <w:spacing w:after="240"/>
        <w:jc w:val="center"/>
      </w:pPr>
      <w:r w:rsidRPr="000665B0">
        <w:rPr>
          <w:noProof/>
        </w:rPr>
        <w:drawing>
          <wp:inline distT="0" distB="0" distL="0" distR="0" wp14:anchorId="3AB02FA6" wp14:editId="65F931E1">
            <wp:extent cx="5029200" cy="1609344"/>
            <wp:effectExtent l="0" t="0" r="0" b="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029200" cy="1609344"/>
                    </a:xfrm>
                    <a:prstGeom prst="rect">
                      <a:avLst/>
                    </a:prstGeom>
                  </pic:spPr>
                </pic:pic>
              </a:graphicData>
            </a:graphic>
          </wp:inline>
        </w:drawing>
      </w:r>
    </w:p>
    <w:p w14:paraId="4131FFB7" w14:textId="77777777" w:rsidR="003F7BA6" w:rsidRPr="000665B0" w:rsidRDefault="003F7BA6" w:rsidP="00CC5CE9">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362BDCE2" w14:textId="3B6997D1" w:rsidR="003F7BA6" w:rsidRPr="000665B0" w:rsidRDefault="003F7BA6" w:rsidP="00CC5CE9">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The </w:t>
      </w:r>
      <w:r w:rsidR="00C93598" w:rsidRPr="000665B0">
        <w:rPr>
          <w:b/>
        </w:rPr>
        <w:t xml:space="preserve">pane heights in the FRU Status tab may need to be adjusted </w:t>
      </w:r>
      <w:r w:rsidR="00C92934" w:rsidRPr="000665B0">
        <w:rPr>
          <w:b/>
        </w:rPr>
        <w:t>to</w:t>
      </w:r>
      <w:r w:rsidR="00C93598" w:rsidRPr="000665B0">
        <w:rPr>
          <w:b/>
        </w:rPr>
        <w:t xml:space="preserve"> view </w:t>
      </w:r>
      <w:r w:rsidR="00E72C35" w:rsidRPr="000665B0">
        <w:rPr>
          <w:b/>
        </w:rPr>
        <w:t xml:space="preserve">the </w:t>
      </w:r>
      <w:r w:rsidR="00E72C35" w:rsidRPr="000665B0">
        <w:rPr>
          <w:b/>
          <w:i/>
        </w:rPr>
        <w:t>FRU Events</w:t>
      </w:r>
      <w:r w:rsidR="00E72C35" w:rsidRPr="000665B0">
        <w:t xml:space="preserve"> and </w:t>
      </w:r>
      <w:r w:rsidR="00E72C35" w:rsidRPr="000665B0">
        <w:rPr>
          <w:b/>
          <w:i/>
        </w:rPr>
        <w:t>Missile Assignments</w:t>
      </w:r>
      <w:r w:rsidR="00E72C35" w:rsidRPr="000665B0">
        <w:rPr>
          <w:b/>
        </w:rPr>
        <w:t xml:space="preserve"> sub-tab panes.</w:t>
      </w:r>
    </w:p>
    <w:p w14:paraId="4BC595EE" w14:textId="77777777" w:rsidR="003F7BA6" w:rsidRPr="000665B0" w:rsidRDefault="003F7BA6" w:rsidP="00A0163E">
      <w:r w:rsidRPr="000665B0">
        <w:t xml:space="preserve">The </w:t>
      </w:r>
      <w:r w:rsidR="00F779D6" w:rsidRPr="000665B0">
        <w:rPr>
          <w:b/>
        </w:rPr>
        <w:t>FRU Status</w:t>
      </w:r>
      <w:r w:rsidR="00F779D6" w:rsidRPr="000665B0">
        <w:t xml:space="preserve"> </w:t>
      </w:r>
      <w:r w:rsidR="00C93598" w:rsidRPr="000665B0">
        <w:t>l</w:t>
      </w:r>
      <w:r w:rsidRPr="000665B0">
        <w:t xml:space="preserve">ist </w:t>
      </w:r>
      <w:r w:rsidR="00C93598" w:rsidRPr="000665B0">
        <w:t xml:space="preserve">view </w:t>
      </w:r>
      <w:r w:rsidRPr="000665B0">
        <w:t>columns are:</w:t>
      </w:r>
    </w:p>
    <w:p w14:paraId="76159E67" w14:textId="28F2CA39" w:rsidR="003F7BA6" w:rsidRPr="000665B0" w:rsidRDefault="003F7BA6" w:rsidP="006D5A65">
      <w:pPr>
        <w:pStyle w:val="Heading1"/>
      </w:pPr>
      <w:r w:rsidRPr="000665B0">
        <w:t xml:space="preserve">Trigraph – </w:t>
      </w:r>
      <w:r w:rsidR="00D351B2" w:rsidRPr="000665B0">
        <w:t>Three character Trigraph of the platform shooting the missile</w:t>
      </w:r>
      <w:r w:rsidRPr="000665B0">
        <w:t>.</w:t>
      </w:r>
    </w:p>
    <w:p w14:paraId="4EAA2B8E" w14:textId="4D9670D9" w:rsidR="00D351B2" w:rsidRPr="000665B0" w:rsidRDefault="00C020CD" w:rsidP="006D5A65">
      <w:pPr>
        <w:pStyle w:val="Heading1"/>
      </w:pPr>
      <w:r w:rsidRPr="000665B0">
        <w:t xml:space="preserve">SPEO – </w:t>
      </w:r>
      <w:bookmarkStart w:id="6669" w:name="_Hlk69817299"/>
      <w:r w:rsidR="00D351B2" w:rsidRPr="000665B0">
        <w:t xml:space="preserve">Circular icon that indicates whether a Strike Package </w:t>
      </w:r>
      <w:r w:rsidR="00294000" w:rsidRPr="000665B0">
        <w:t>Exception</w:t>
      </w:r>
      <w:r w:rsidR="00D351B2" w:rsidRPr="000665B0">
        <w:t xml:space="preserve"> Object (SPEO) received from a FRU contains/does not contain exceptions to tasking. </w:t>
      </w:r>
      <w:r w:rsidR="00660BA1" w:rsidRPr="000665B0">
        <w:t>A SPEO reports missile assignments that cannot be supported by the FRU, if any.</w:t>
      </w:r>
      <w:r w:rsidR="00D351B2" w:rsidRPr="000665B0">
        <w:t xml:space="preserve"> The icon indicators are as follows:</w:t>
      </w:r>
    </w:p>
    <w:p w14:paraId="7155BA47" w14:textId="24A77911" w:rsidR="00D351B2" w:rsidRPr="000665B0" w:rsidRDefault="00D351B2" w:rsidP="006D5A65">
      <w:pPr>
        <w:pStyle w:val="Heading2"/>
      </w:pPr>
      <w:r w:rsidRPr="000665B0">
        <w:t xml:space="preserve">Blank (no circular icon) – </w:t>
      </w:r>
      <w:r w:rsidR="00A203C2" w:rsidRPr="000665B0">
        <w:t>Indicates that a SPEO is not expected as</w:t>
      </w:r>
      <w:r w:rsidRPr="000665B0">
        <w:t xml:space="preserve"> the FRU has no assignments besides pools, or that the FRU is BOO (ghost).</w:t>
      </w:r>
      <w:r w:rsidR="00A203C2" w:rsidRPr="000665B0">
        <w:t xml:space="preserve"> </w:t>
      </w:r>
    </w:p>
    <w:p w14:paraId="00D831E1" w14:textId="35F9A8C5" w:rsidR="00D351B2" w:rsidRPr="000665B0" w:rsidRDefault="00D351B2" w:rsidP="006D5A65">
      <w:pPr>
        <w:pStyle w:val="Heading2"/>
      </w:pPr>
      <w:r w:rsidRPr="000665B0">
        <w:t>White (At Least 1 SPEO is Outstanding)</w:t>
      </w:r>
      <w:r w:rsidR="00990594" w:rsidRPr="000665B0">
        <w:t xml:space="preserve"> </w:t>
      </w:r>
      <w:r w:rsidRPr="000665B0">
        <w:t xml:space="preserve">– Indicates that a SPEO is expected. </w:t>
      </w:r>
    </w:p>
    <w:p w14:paraId="3294751B" w14:textId="610119C9" w:rsidR="00D351B2" w:rsidRPr="000665B0" w:rsidRDefault="00D351B2" w:rsidP="006D5A65">
      <w:pPr>
        <w:pStyle w:val="Heading2"/>
      </w:pPr>
      <w:r w:rsidRPr="000665B0">
        <w:t>Green (All Tasking Can be Met)</w:t>
      </w:r>
      <w:r w:rsidR="00FC5C00" w:rsidRPr="000665B0">
        <w:t xml:space="preserve"> </w:t>
      </w:r>
      <w:r w:rsidRPr="000665B0">
        <w:t>– Indicates that all SPEOs have been received and all tasking can be met.</w:t>
      </w:r>
    </w:p>
    <w:p w14:paraId="045D51EE" w14:textId="436CC3DF" w:rsidR="00D351B2" w:rsidRPr="000665B0" w:rsidRDefault="00D351B2" w:rsidP="006D5A65">
      <w:pPr>
        <w:pStyle w:val="Heading2"/>
      </w:pPr>
      <w:r w:rsidRPr="000665B0">
        <w:t xml:space="preserve">Yellow (Other Ship Tasking </w:t>
      </w:r>
      <w:bookmarkEnd w:id="6669"/>
      <w:r w:rsidRPr="000665B0">
        <w:t>Cannot be Met)</w:t>
      </w:r>
      <w:r w:rsidR="00990594" w:rsidRPr="000665B0">
        <w:t xml:space="preserve"> </w:t>
      </w:r>
      <w:r w:rsidRPr="000665B0">
        <w:t xml:space="preserve">– Indicates that at least one of the latest SPEOs for an option cannot meet other ship’s </w:t>
      </w:r>
      <w:r w:rsidR="00D83392" w:rsidRPr="000665B0">
        <w:t>tasking but</w:t>
      </w:r>
      <w:r w:rsidRPr="000665B0">
        <w:t xml:space="preserve"> can meet own ship tasking.</w:t>
      </w:r>
    </w:p>
    <w:p w14:paraId="7B3163B2" w14:textId="02472F0E" w:rsidR="00C020CD" w:rsidRPr="000665B0" w:rsidRDefault="00D351B2" w:rsidP="006D5A65">
      <w:pPr>
        <w:pStyle w:val="Heading2"/>
      </w:pPr>
      <w:r w:rsidRPr="000665B0">
        <w:t>Red (Own Ship Cannot Meet its Tasking) – Indicates that at le</w:t>
      </w:r>
      <w:r w:rsidR="007E077D" w:rsidRPr="000665B0">
        <w:t>a</w:t>
      </w:r>
      <w:r w:rsidRPr="000665B0">
        <w:t>st one of the latest SPEOs for an option cannot meet own ship tasking.</w:t>
      </w:r>
    </w:p>
    <w:p w14:paraId="04ACD9BF" w14:textId="6667BEFA" w:rsidR="00D351B2" w:rsidRPr="000665B0" w:rsidRDefault="00C020CD" w:rsidP="006D5A65">
      <w:pPr>
        <w:pStyle w:val="Heading1"/>
      </w:pPr>
      <w:r w:rsidRPr="000665B0">
        <w:t xml:space="preserve">OWR – </w:t>
      </w:r>
      <w:r w:rsidR="00D351B2" w:rsidRPr="000665B0">
        <w:t xml:space="preserve">Circular icon that indicates whether an OWR has been received for all of the FRU’s assigned missiles. </w:t>
      </w:r>
      <w:r w:rsidR="00D351B2" w:rsidRPr="000665B0">
        <w:rPr>
          <w:rFonts w:cs="Arial"/>
          <w:szCs w:val="24"/>
        </w:rPr>
        <w:t xml:space="preserve">OWRs contain overwater waypoints that guide the missile from launch to </w:t>
      </w:r>
      <w:r w:rsidR="00D351B2" w:rsidRPr="000665B0">
        <w:rPr>
          <w:rFonts w:cs="Arial"/>
          <w:szCs w:val="24"/>
        </w:rPr>
        <w:lastRenderedPageBreak/>
        <w:t>the first preplanned waypoint</w:t>
      </w:r>
      <w:r w:rsidR="00D351B2" w:rsidRPr="000665B0">
        <w:t>. The icon indicators are as follows:</w:t>
      </w:r>
    </w:p>
    <w:p w14:paraId="762A174D" w14:textId="5A8F782C" w:rsidR="00D351B2" w:rsidRPr="000665B0" w:rsidRDefault="00D351B2" w:rsidP="006D5A65">
      <w:pPr>
        <w:pStyle w:val="Heading2"/>
      </w:pPr>
      <w:r w:rsidRPr="000665B0">
        <w:t xml:space="preserve">Blank (no circular icon) – </w:t>
      </w:r>
      <w:r w:rsidR="00990594" w:rsidRPr="000665B0">
        <w:t>Indicates that an OWR is not expected as the assignment is for ghost or pool</w:t>
      </w:r>
      <w:r w:rsidRPr="000665B0">
        <w:t xml:space="preserve">. </w:t>
      </w:r>
    </w:p>
    <w:p w14:paraId="47CCD78A" w14:textId="423C1B78" w:rsidR="00D351B2" w:rsidRPr="000665B0" w:rsidRDefault="00D351B2" w:rsidP="006D5A65">
      <w:pPr>
        <w:pStyle w:val="Heading2"/>
      </w:pPr>
      <w:r w:rsidRPr="000665B0">
        <w:t>White (At Least 1 OWR is Outstanding)</w:t>
      </w:r>
      <w:r w:rsidR="00990594" w:rsidRPr="000665B0">
        <w:t xml:space="preserve"> </w:t>
      </w:r>
      <w:r w:rsidRPr="000665B0">
        <w:t xml:space="preserve">– Indicates that at least one OWR is still outstanding. </w:t>
      </w:r>
    </w:p>
    <w:p w14:paraId="5AB41A53" w14:textId="7D4B0642" w:rsidR="00C020CD" w:rsidRPr="000665B0" w:rsidRDefault="00D351B2" w:rsidP="006D5A65">
      <w:pPr>
        <w:pStyle w:val="Heading2"/>
      </w:pPr>
      <w:r w:rsidRPr="000665B0">
        <w:t>Green (All OWRs have been Received)</w:t>
      </w:r>
      <w:r w:rsidR="00990594" w:rsidRPr="000665B0">
        <w:t xml:space="preserve"> </w:t>
      </w:r>
      <w:r w:rsidRPr="000665B0">
        <w:t>– Indicates that all of the expected OWRs have been received.</w:t>
      </w:r>
      <w:r w:rsidR="00815D34" w:rsidRPr="000665B0">
        <w:t xml:space="preserve"> Note that new tasking added via Insert Tasking or ad hoc tasking causes the icon to change from green to white.</w:t>
      </w:r>
    </w:p>
    <w:p w14:paraId="0B87E714" w14:textId="224F3622" w:rsidR="004B681D" w:rsidRPr="000665B0" w:rsidRDefault="00C020CD" w:rsidP="006D5A65">
      <w:pPr>
        <w:pStyle w:val="Heading1"/>
      </w:pPr>
      <w:r w:rsidRPr="000665B0">
        <w:t xml:space="preserve">LER – </w:t>
      </w:r>
      <w:r w:rsidR="004B681D" w:rsidRPr="000665B0">
        <w:t>Circular icon that indicates whether a Launch Event Report (LER) has been received for all of the FRU’s assigned missiles. A</w:t>
      </w:r>
      <w:r w:rsidR="00196A2F" w:rsidRPr="000665B0">
        <w:t>n</w:t>
      </w:r>
      <w:r w:rsidR="004B681D" w:rsidRPr="000665B0">
        <w:t xml:space="preserve"> </w:t>
      </w:r>
      <w:r w:rsidR="004B681D" w:rsidRPr="000665B0">
        <w:rPr>
          <w:rFonts w:cs="Arial"/>
          <w:szCs w:val="24"/>
        </w:rPr>
        <w:t xml:space="preserve">LER is an indication </w:t>
      </w:r>
      <w:r w:rsidR="00196A2F" w:rsidRPr="000665B0">
        <w:rPr>
          <w:rFonts w:cs="Arial"/>
          <w:szCs w:val="24"/>
        </w:rPr>
        <w:t>whether</w:t>
      </w:r>
      <w:r w:rsidR="004B681D" w:rsidRPr="000665B0">
        <w:rPr>
          <w:rFonts w:cs="Arial"/>
          <w:szCs w:val="24"/>
        </w:rPr>
        <w:t xml:space="preserve"> the missile was launched successfully or not. </w:t>
      </w:r>
      <w:r w:rsidR="00196A2F" w:rsidRPr="000665B0">
        <w:rPr>
          <w:rFonts w:cs="Arial"/>
          <w:szCs w:val="24"/>
        </w:rPr>
        <w:t>Current practice is that the</w:t>
      </w:r>
      <w:r w:rsidR="004B681D" w:rsidRPr="000665B0">
        <w:rPr>
          <w:rFonts w:cs="Arial"/>
          <w:szCs w:val="24"/>
        </w:rPr>
        <w:t xml:space="preserve"> FRU sends an LER only for </w:t>
      </w:r>
      <w:r w:rsidR="00196A2F" w:rsidRPr="000665B0">
        <w:rPr>
          <w:rFonts w:cs="Arial"/>
          <w:szCs w:val="24"/>
        </w:rPr>
        <w:t xml:space="preserve">a </w:t>
      </w:r>
      <w:r w:rsidR="004B681D" w:rsidRPr="000665B0">
        <w:rPr>
          <w:rFonts w:cs="Arial"/>
          <w:szCs w:val="24"/>
        </w:rPr>
        <w:t>successful missile launch.</w:t>
      </w:r>
      <w:r w:rsidR="004B681D" w:rsidRPr="000665B0">
        <w:t xml:space="preserve"> The icon indicators are as follows:</w:t>
      </w:r>
    </w:p>
    <w:p w14:paraId="77B8B019" w14:textId="39302210" w:rsidR="004B681D" w:rsidRPr="000665B0" w:rsidRDefault="004B681D" w:rsidP="006D5A65">
      <w:pPr>
        <w:pStyle w:val="Heading2"/>
      </w:pPr>
      <w:r w:rsidRPr="000665B0">
        <w:t xml:space="preserve">Blank (no circular icon) – Indicates that the FRU has no </w:t>
      </w:r>
      <w:r w:rsidR="00196A2F" w:rsidRPr="000665B0">
        <w:t xml:space="preserve">primary </w:t>
      </w:r>
      <w:r w:rsidRPr="000665B0">
        <w:t xml:space="preserve">assignment, or that the FRU is BOO (ghost). </w:t>
      </w:r>
    </w:p>
    <w:p w14:paraId="03489404" w14:textId="6ABBCE51" w:rsidR="004B681D" w:rsidRPr="000665B0" w:rsidRDefault="004B681D" w:rsidP="006D5A65">
      <w:pPr>
        <w:pStyle w:val="Heading2"/>
      </w:pPr>
      <w:r w:rsidRPr="000665B0">
        <w:t xml:space="preserve">White (At Least 1 </w:t>
      </w:r>
      <w:r w:rsidR="00196A2F" w:rsidRPr="000665B0">
        <w:t>LER</w:t>
      </w:r>
      <w:r w:rsidRPr="000665B0">
        <w:t xml:space="preserve"> is Outstanding)</w:t>
      </w:r>
      <w:r w:rsidR="00990594" w:rsidRPr="000665B0">
        <w:t xml:space="preserve"> </w:t>
      </w:r>
      <w:r w:rsidRPr="000665B0">
        <w:t xml:space="preserve">– Indicates that </w:t>
      </w:r>
      <w:r w:rsidR="00196A2F" w:rsidRPr="000665B0">
        <w:t>a</w:t>
      </w:r>
      <w:r w:rsidR="008A637A" w:rsidRPr="000665B0">
        <w:t>n</w:t>
      </w:r>
      <w:r w:rsidR="00196A2F" w:rsidRPr="000665B0">
        <w:t xml:space="preserve"> LER</w:t>
      </w:r>
      <w:r w:rsidR="00386FDF" w:rsidRPr="000665B0">
        <w:t>(s)</w:t>
      </w:r>
      <w:r w:rsidRPr="000665B0">
        <w:t xml:space="preserve"> is expected. </w:t>
      </w:r>
      <w:r w:rsidR="003A7CD7" w:rsidRPr="000665B0">
        <w:t xml:space="preserve">LERs </w:t>
      </w:r>
      <w:r w:rsidR="00196A2F" w:rsidRPr="000665B0">
        <w:t>are expected</w:t>
      </w:r>
      <w:r w:rsidR="00A9630A" w:rsidRPr="000665B0">
        <w:t xml:space="preserve"> within a specific time interval after launch</w:t>
      </w:r>
      <w:r w:rsidR="00196A2F" w:rsidRPr="000665B0">
        <w:t xml:space="preserve">. If the </w:t>
      </w:r>
      <w:r w:rsidR="003A7CD7" w:rsidRPr="000665B0">
        <w:t>specified time</w:t>
      </w:r>
      <w:r w:rsidR="00196A2F" w:rsidRPr="000665B0">
        <w:t xml:space="preserve"> </w:t>
      </w:r>
      <w:r w:rsidR="00A9630A" w:rsidRPr="000665B0">
        <w:t xml:space="preserve">interval </w:t>
      </w:r>
      <w:r w:rsidR="00196A2F" w:rsidRPr="000665B0">
        <w:t xml:space="preserve">has passed and an LER has not been received, the LER is considered past due. If </w:t>
      </w:r>
      <w:r w:rsidR="003A7CD7" w:rsidRPr="000665B0">
        <w:t xml:space="preserve">the </w:t>
      </w:r>
      <w:r w:rsidR="00196A2F" w:rsidRPr="000665B0">
        <w:t xml:space="preserve">LER is received </w:t>
      </w:r>
      <w:r w:rsidR="003A7CD7" w:rsidRPr="000665B0">
        <w:t>before the specified time</w:t>
      </w:r>
      <w:r w:rsidR="00A9630A" w:rsidRPr="000665B0">
        <w:t xml:space="preserve"> interval</w:t>
      </w:r>
      <w:r w:rsidR="00196A2F" w:rsidRPr="000665B0">
        <w:t>, the LER is considered on time.</w:t>
      </w:r>
      <w:r w:rsidR="003F2144" w:rsidRPr="000665B0">
        <w:t xml:space="preserve"> The LER time interval is set in the Strike Properties (see </w:t>
      </w:r>
      <w:hyperlink w:anchor="_Execution_Tab" w:history="1">
        <w:r w:rsidR="009326FE" w:rsidRPr="000665B0">
          <w:rPr>
            <w:rStyle w:val="Hyperlink"/>
          </w:rPr>
          <w:t xml:space="preserve">Section </w:t>
        </w:r>
        <w:r w:rsidR="004231CC">
          <w:rPr>
            <w:rStyle w:val="Hyperlink"/>
          </w:rPr>
          <w:t>5.34</w:t>
        </w:r>
        <w:r w:rsidR="003F2144" w:rsidRPr="000665B0">
          <w:rPr>
            <w:rStyle w:val="Hyperlink"/>
          </w:rPr>
          <w:t>.1.1.4.3</w:t>
        </w:r>
      </w:hyperlink>
      <w:r w:rsidR="003F2144" w:rsidRPr="000665B0">
        <w:t>).</w:t>
      </w:r>
    </w:p>
    <w:p w14:paraId="12630458" w14:textId="7058B610" w:rsidR="004B681D" w:rsidRPr="000665B0" w:rsidRDefault="004B681D" w:rsidP="006D5A65">
      <w:pPr>
        <w:pStyle w:val="Heading2"/>
      </w:pPr>
      <w:r w:rsidRPr="000665B0">
        <w:t xml:space="preserve">Green (All </w:t>
      </w:r>
      <w:r w:rsidR="00196A2F" w:rsidRPr="000665B0">
        <w:t>LERs Have Been Received</w:t>
      </w:r>
      <w:r w:rsidRPr="000665B0">
        <w:t>)</w:t>
      </w:r>
      <w:r w:rsidR="00990594" w:rsidRPr="000665B0">
        <w:t xml:space="preserve"> </w:t>
      </w:r>
      <w:r w:rsidRPr="000665B0">
        <w:t xml:space="preserve">– Indicates that all </w:t>
      </w:r>
      <w:r w:rsidR="00196A2F" w:rsidRPr="000665B0">
        <w:t xml:space="preserve">expected LERs are on time (they have been received within the </w:t>
      </w:r>
      <w:r w:rsidR="00A9630A" w:rsidRPr="000665B0">
        <w:t>specific time interval after launch</w:t>
      </w:r>
      <w:r w:rsidR="00196A2F" w:rsidRPr="000665B0">
        <w:t>)</w:t>
      </w:r>
      <w:r w:rsidRPr="000665B0">
        <w:t>.</w:t>
      </w:r>
    </w:p>
    <w:p w14:paraId="7BAA61DC" w14:textId="164D7E79" w:rsidR="004B681D" w:rsidRPr="000665B0" w:rsidRDefault="004B681D" w:rsidP="006D5A65">
      <w:pPr>
        <w:pStyle w:val="Heading2"/>
      </w:pPr>
      <w:r w:rsidRPr="000665B0">
        <w:t>Yellow (</w:t>
      </w:r>
      <w:r w:rsidR="00196A2F" w:rsidRPr="000665B0">
        <w:t>At Least 1 LER is Late</w:t>
      </w:r>
      <w:r w:rsidRPr="000665B0">
        <w:t>)</w:t>
      </w:r>
      <w:r w:rsidR="00990594" w:rsidRPr="000665B0">
        <w:t xml:space="preserve"> </w:t>
      </w:r>
      <w:r w:rsidRPr="000665B0">
        <w:t xml:space="preserve">– Indicates that at least one </w:t>
      </w:r>
      <w:r w:rsidR="00196A2F" w:rsidRPr="000665B0">
        <w:t>LER is past due</w:t>
      </w:r>
      <w:r w:rsidRPr="000665B0">
        <w:t>.</w:t>
      </w:r>
    </w:p>
    <w:p w14:paraId="4D74C600" w14:textId="12A513F8" w:rsidR="00D127E7" w:rsidRPr="000665B0" w:rsidRDefault="00D127E7" w:rsidP="006D5A65">
      <w:pPr>
        <w:pStyle w:val="Heading2"/>
      </w:pPr>
      <w:r w:rsidRPr="000665B0">
        <w:t>Red (At Least 1 LER is a Failure) – Indicates that at least one LER indicates a failed missile.</w:t>
      </w:r>
    </w:p>
    <w:p w14:paraId="7961FAE9" w14:textId="526B6509" w:rsidR="00F513D4" w:rsidRPr="000665B0" w:rsidRDefault="00C020CD" w:rsidP="006D5A65">
      <w:pPr>
        <w:pStyle w:val="Heading1"/>
      </w:pPr>
      <w:r w:rsidRPr="000665B0">
        <w:t xml:space="preserve">MSL – </w:t>
      </w:r>
      <w:r w:rsidR="00F513D4" w:rsidRPr="000665B0">
        <w:t xml:space="preserve">Circular icon that indicates the operational status for all of the FRU’s assigned missiles. For information about </w:t>
      </w:r>
      <w:r w:rsidR="00F513D4" w:rsidRPr="000665B0">
        <w:lastRenderedPageBreak/>
        <w:t xml:space="preserve">conditions that determine </w:t>
      </w:r>
      <w:r w:rsidR="00660BA1" w:rsidRPr="000665B0">
        <w:t xml:space="preserve">a </w:t>
      </w:r>
      <w:r w:rsidR="00F513D4" w:rsidRPr="000665B0">
        <w:t>missile</w:t>
      </w:r>
      <w:r w:rsidR="00660BA1" w:rsidRPr="000665B0">
        <w:t>’s</w:t>
      </w:r>
      <w:r w:rsidR="00F513D4" w:rsidRPr="000665B0">
        <w:t xml:space="preserve"> status, see </w:t>
      </w:r>
      <w:hyperlink w:anchor="_Missile_Assignments_Tab" w:history="1">
        <w:r w:rsidR="0096111B" w:rsidRPr="000665B0">
          <w:rPr>
            <w:rStyle w:val="Hyperlink"/>
          </w:rPr>
          <w:t xml:space="preserve">Section </w:t>
        </w:r>
        <w:r w:rsidR="004231CC">
          <w:rPr>
            <w:rStyle w:val="Hyperlink"/>
          </w:rPr>
          <w:t>5.35</w:t>
        </w:r>
        <w:r w:rsidR="0096111B" w:rsidRPr="000665B0">
          <w:rPr>
            <w:rStyle w:val="Hyperlink"/>
          </w:rPr>
          <w:t>.3.1.9</w:t>
        </w:r>
        <w:r w:rsidR="00F513D4" w:rsidRPr="000665B0">
          <w:rPr>
            <w:rStyle w:val="Hyperlink"/>
          </w:rPr>
          <w:t>.2</w:t>
        </w:r>
      </w:hyperlink>
      <w:r w:rsidR="00F513D4" w:rsidRPr="000665B0">
        <w:t xml:space="preserve"> (MSL column)</w:t>
      </w:r>
      <w:r w:rsidR="00F513D4" w:rsidRPr="000665B0">
        <w:rPr>
          <w:rFonts w:cs="Arial"/>
          <w:szCs w:val="24"/>
        </w:rPr>
        <w:t>.</w:t>
      </w:r>
      <w:r w:rsidR="00F513D4" w:rsidRPr="000665B0">
        <w:t xml:space="preserve"> The icon indicators are as follows:</w:t>
      </w:r>
    </w:p>
    <w:p w14:paraId="3EE3C2FE" w14:textId="15A43FAB" w:rsidR="00F513D4" w:rsidRPr="000665B0" w:rsidRDefault="00F513D4" w:rsidP="006D5A65">
      <w:pPr>
        <w:pStyle w:val="Heading2"/>
      </w:pPr>
      <w:r w:rsidRPr="000665B0">
        <w:t xml:space="preserve">Blank (no circular icon) – Indicates that </w:t>
      </w:r>
      <w:r w:rsidRPr="000665B0">
        <w:rPr>
          <w:rFonts w:cs="Arial"/>
          <w:szCs w:val="24"/>
        </w:rPr>
        <w:t>the FRU has no primary assignment</w:t>
      </w:r>
      <w:r w:rsidRPr="000665B0">
        <w:t xml:space="preserve">. </w:t>
      </w:r>
    </w:p>
    <w:p w14:paraId="42BC57F9" w14:textId="1252320B" w:rsidR="00F513D4" w:rsidRPr="000665B0" w:rsidRDefault="00F513D4" w:rsidP="006D5A65">
      <w:pPr>
        <w:pStyle w:val="Heading2"/>
      </w:pPr>
      <w:r w:rsidRPr="000665B0">
        <w:t>White (At Least 1 Primary Missile is Assigned)</w:t>
      </w:r>
      <w:r w:rsidR="00384119" w:rsidRPr="000665B0">
        <w:t xml:space="preserve"> </w:t>
      </w:r>
      <w:r w:rsidRPr="000665B0">
        <w:t>– Indicates that at least one primary missile is assigned to the FRU.</w:t>
      </w:r>
    </w:p>
    <w:p w14:paraId="4E87D328" w14:textId="0748F0A9" w:rsidR="00F513D4" w:rsidRPr="000665B0" w:rsidRDefault="00F513D4" w:rsidP="006D5A65">
      <w:pPr>
        <w:pStyle w:val="Heading2"/>
      </w:pPr>
      <w:r w:rsidRPr="000665B0">
        <w:t>Green (At Least 1 Missile is Good with no Warning or Failures)</w:t>
      </w:r>
      <w:r w:rsidR="00990594" w:rsidRPr="000665B0">
        <w:t xml:space="preserve"> </w:t>
      </w:r>
      <w:r w:rsidRPr="000665B0">
        <w:t xml:space="preserve">– Indicates that </w:t>
      </w:r>
      <w:r w:rsidR="00214212" w:rsidRPr="000665B0">
        <w:t>a missile’s estimated launch time has passed (assume it is good) or a missile was marked as good and there are no warnings or bad missiles for the FRU</w:t>
      </w:r>
      <w:r w:rsidRPr="000665B0">
        <w:t>.</w:t>
      </w:r>
    </w:p>
    <w:p w14:paraId="1354C7A3" w14:textId="0108C0DD" w:rsidR="00C020CD" w:rsidRPr="000665B0" w:rsidRDefault="00F513D4" w:rsidP="006D5A65">
      <w:pPr>
        <w:pStyle w:val="Heading2"/>
      </w:pPr>
      <w:r w:rsidRPr="000665B0">
        <w:t xml:space="preserve">Yellow (At Least 1 </w:t>
      </w:r>
      <w:r w:rsidR="00384119" w:rsidRPr="000665B0">
        <w:t>Missile has a Warning with No Failures</w:t>
      </w:r>
      <w:r w:rsidRPr="000665B0">
        <w:t>)</w:t>
      </w:r>
      <w:r w:rsidR="00990594" w:rsidRPr="000665B0">
        <w:t xml:space="preserve"> </w:t>
      </w:r>
      <w:r w:rsidRPr="000665B0">
        <w:t xml:space="preserve">– Indicates that </w:t>
      </w:r>
      <w:r w:rsidR="00384119" w:rsidRPr="000665B0">
        <w:t>the MSL Status of at least one of the FRU’s missiles is yellow (warning)</w:t>
      </w:r>
      <w:r w:rsidRPr="000665B0">
        <w:t>.</w:t>
      </w:r>
    </w:p>
    <w:p w14:paraId="1F5C4318" w14:textId="41526DFC" w:rsidR="00384119" w:rsidRPr="000665B0" w:rsidRDefault="00384119" w:rsidP="006D5A65">
      <w:pPr>
        <w:pStyle w:val="Heading2"/>
      </w:pPr>
      <w:r w:rsidRPr="000665B0">
        <w:t>Red (At Least 1 Missile has a Failure) – Indicates that the MSL Status of at least one of the FRU’s missiles is red (failure).</w:t>
      </w:r>
    </w:p>
    <w:p w14:paraId="366AD88B" w14:textId="77777777" w:rsidR="0015593C" w:rsidRPr="000665B0" w:rsidRDefault="0015593C" w:rsidP="006D5A65">
      <w:pPr>
        <w:pStyle w:val="Heading1"/>
      </w:pPr>
      <w:r w:rsidRPr="000665B0">
        <w:lastRenderedPageBreak/>
        <w:t xml:space="preserve">Next Launch – Countdown to the launch of the next missile on FRU. </w:t>
      </w:r>
    </w:p>
    <w:p w14:paraId="3C02218A" w14:textId="77777777" w:rsidR="003F7BA6" w:rsidRPr="000665B0" w:rsidRDefault="003F7BA6" w:rsidP="006D5A65">
      <w:pPr>
        <w:pStyle w:val="Heading1"/>
      </w:pPr>
      <w:r w:rsidRPr="000665B0">
        <w:t>First Launch – Countdown to the launch of the first missile on FRU. Once first missile is launched, this field will be blank.</w:t>
      </w:r>
    </w:p>
    <w:p w14:paraId="38CD8B31" w14:textId="77777777" w:rsidR="003F7BA6" w:rsidRPr="000665B0" w:rsidRDefault="003F7BA6" w:rsidP="006D5A65">
      <w:pPr>
        <w:pStyle w:val="Heading1"/>
      </w:pPr>
      <w:r w:rsidRPr="000665B0">
        <w:t>Last TOT – Countdown to the last Time on Target for FRU.</w:t>
      </w:r>
    </w:p>
    <w:p w14:paraId="25B64DBB" w14:textId="77777777" w:rsidR="0015593C" w:rsidRPr="000665B0" w:rsidRDefault="0015593C" w:rsidP="006D5A65">
      <w:pPr>
        <w:pStyle w:val="Heading1"/>
      </w:pPr>
      <w:r w:rsidRPr="000665B0">
        <w:t xml:space="preserve">Ready – </w:t>
      </w:r>
      <w:r w:rsidR="00D678CE" w:rsidRPr="000665B0">
        <w:t>The number of missiles ready for launch.</w:t>
      </w:r>
    </w:p>
    <w:p w14:paraId="5DD0B57B" w14:textId="77777777" w:rsidR="003F7BA6" w:rsidRPr="000665B0" w:rsidRDefault="003F7BA6" w:rsidP="006D5A65">
      <w:pPr>
        <w:pStyle w:val="Heading1"/>
      </w:pPr>
      <w:r w:rsidRPr="000665B0">
        <w:t>Enroute – Number of FRU’s missiles that are enroute.</w:t>
      </w:r>
    </w:p>
    <w:p w14:paraId="2ACF1284" w14:textId="77777777" w:rsidR="003F7BA6" w:rsidRPr="000665B0" w:rsidRDefault="003F7BA6" w:rsidP="006D5A65">
      <w:pPr>
        <w:pStyle w:val="Heading1"/>
      </w:pPr>
      <w:r w:rsidRPr="000665B0">
        <w:t>At Tgt – Number of FRU’s missiles that are at the target.</w:t>
      </w:r>
    </w:p>
    <w:p w14:paraId="65061BD5" w14:textId="77777777" w:rsidR="003F7BA6" w:rsidRPr="000665B0" w:rsidRDefault="003F7BA6" w:rsidP="006D5A65">
      <w:pPr>
        <w:pStyle w:val="Heading1"/>
      </w:pPr>
      <w:r w:rsidRPr="000665B0">
        <w:t>Failed – Number of FRU’s missiles that have failed.</w:t>
      </w:r>
    </w:p>
    <w:p w14:paraId="366697F7" w14:textId="77777777" w:rsidR="003F7BA6" w:rsidRPr="000665B0" w:rsidRDefault="003F7BA6" w:rsidP="006D5A65">
      <w:pPr>
        <w:pStyle w:val="Heading1"/>
      </w:pPr>
      <w:r w:rsidRPr="000665B0">
        <w:t>Next Launch At – DTG of next launch on FRU.</w:t>
      </w:r>
    </w:p>
    <w:p w14:paraId="18E0B38D" w14:textId="59EA78EB" w:rsidR="003F7BA6" w:rsidRPr="000665B0" w:rsidRDefault="003F7BA6" w:rsidP="006D5A65">
      <w:pPr>
        <w:pStyle w:val="Heading1"/>
      </w:pPr>
      <w:r w:rsidRPr="000665B0">
        <w:t xml:space="preserve">P – Number of primaries </w:t>
      </w:r>
      <w:r w:rsidR="00384119" w:rsidRPr="000665B0">
        <w:t xml:space="preserve">assigned to </w:t>
      </w:r>
      <w:r w:rsidRPr="000665B0">
        <w:t>FRU.</w:t>
      </w:r>
    </w:p>
    <w:p w14:paraId="7F54F35F" w14:textId="132DC2B0" w:rsidR="003F7BA6" w:rsidRPr="000665B0" w:rsidRDefault="003F7BA6" w:rsidP="006D5A65">
      <w:pPr>
        <w:pStyle w:val="Heading1"/>
      </w:pPr>
      <w:r w:rsidRPr="000665B0">
        <w:t xml:space="preserve">B – Number of backups </w:t>
      </w:r>
      <w:r w:rsidR="00384119" w:rsidRPr="000665B0">
        <w:t>assigned to</w:t>
      </w:r>
      <w:r w:rsidR="00384119" w:rsidRPr="000665B0" w:rsidDel="00384119">
        <w:t xml:space="preserve"> </w:t>
      </w:r>
      <w:r w:rsidRPr="000665B0">
        <w:t>FRU.</w:t>
      </w:r>
    </w:p>
    <w:p w14:paraId="79098AD4" w14:textId="5D92A251" w:rsidR="003F7BA6" w:rsidRPr="000665B0" w:rsidRDefault="003F7BA6" w:rsidP="006D5A65">
      <w:pPr>
        <w:pStyle w:val="Heading1"/>
      </w:pPr>
      <w:r w:rsidRPr="000665B0">
        <w:t xml:space="preserve">ARS – Number of auto ready spares </w:t>
      </w:r>
      <w:r w:rsidR="00384119" w:rsidRPr="000665B0">
        <w:t>assigned to</w:t>
      </w:r>
      <w:r w:rsidR="00384119" w:rsidRPr="000665B0" w:rsidDel="00384119">
        <w:t xml:space="preserve"> </w:t>
      </w:r>
      <w:r w:rsidRPr="000665B0">
        <w:t>FRU.</w:t>
      </w:r>
    </w:p>
    <w:p w14:paraId="7E1FE903" w14:textId="5D69E919" w:rsidR="003F7BA6" w:rsidRPr="000665B0" w:rsidRDefault="003F7BA6" w:rsidP="006D5A65">
      <w:pPr>
        <w:pStyle w:val="Heading1"/>
      </w:pPr>
      <w:r w:rsidRPr="000665B0">
        <w:t xml:space="preserve">RS – Number of ready spares </w:t>
      </w:r>
      <w:r w:rsidR="00384119" w:rsidRPr="000665B0">
        <w:t>assigned to</w:t>
      </w:r>
      <w:r w:rsidR="00384119" w:rsidRPr="000665B0" w:rsidDel="00384119">
        <w:t xml:space="preserve"> </w:t>
      </w:r>
      <w:r w:rsidRPr="000665B0">
        <w:t>FRU.</w:t>
      </w:r>
    </w:p>
    <w:p w14:paraId="293B1DFD" w14:textId="43203E98" w:rsidR="003F7BA6" w:rsidRPr="000665B0" w:rsidRDefault="003F7BA6" w:rsidP="006D5A65">
      <w:pPr>
        <w:pStyle w:val="Heading1"/>
      </w:pPr>
      <w:r w:rsidRPr="000665B0">
        <w:t xml:space="preserve">BP – Number of backup pools </w:t>
      </w:r>
      <w:r w:rsidR="00384119" w:rsidRPr="000665B0">
        <w:t>assigned to</w:t>
      </w:r>
      <w:r w:rsidR="00384119" w:rsidRPr="000665B0" w:rsidDel="00384119">
        <w:t xml:space="preserve"> </w:t>
      </w:r>
      <w:r w:rsidRPr="000665B0">
        <w:t>FRU.</w:t>
      </w:r>
    </w:p>
    <w:p w14:paraId="5BFA3D2A" w14:textId="470E373E" w:rsidR="003F7BA6" w:rsidRDefault="003F7BA6" w:rsidP="006D5A65">
      <w:pPr>
        <w:pStyle w:val="Heading1"/>
      </w:pPr>
      <w:r w:rsidRPr="000665B0">
        <w:t xml:space="preserve">CFF – Number of CFFs </w:t>
      </w:r>
      <w:r w:rsidR="00384119" w:rsidRPr="000665B0">
        <w:t>assigned to</w:t>
      </w:r>
      <w:r w:rsidR="00384119" w:rsidRPr="000665B0" w:rsidDel="00384119">
        <w:t xml:space="preserve"> </w:t>
      </w:r>
      <w:r w:rsidRPr="000665B0">
        <w:t>FRU.</w:t>
      </w:r>
    </w:p>
    <w:p w14:paraId="447400CB" w14:textId="77777777" w:rsidR="00EA5282" w:rsidRDefault="00EA5282" w:rsidP="006D5A65">
      <w:pPr>
        <w:pStyle w:val="Heading1"/>
      </w:pPr>
      <w:r w:rsidRPr="00DC0E1D">
        <w:rPr>
          <w:rStyle w:val="normaltextrun"/>
          <w:color w:val="000000"/>
        </w:rPr>
        <w:t xml:space="preserve">LUD3+LUD4 </w:t>
      </w:r>
      <w:r w:rsidRPr="000665B0">
        <w:t xml:space="preserve">– Number of </w:t>
      </w:r>
      <w:r>
        <w:rPr>
          <w:rStyle w:val="normaltextrun"/>
          <w:color w:val="000000"/>
        </w:rPr>
        <w:t xml:space="preserve">LUD3 and </w:t>
      </w:r>
      <w:r w:rsidRPr="00DC0E1D">
        <w:rPr>
          <w:rStyle w:val="normaltextrun"/>
          <w:color w:val="000000"/>
        </w:rPr>
        <w:t xml:space="preserve">LUD4 </w:t>
      </w:r>
      <w:r w:rsidRPr="000665B0">
        <w:t>missiles</w:t>
      </w:r>
      <w:r>
        <w:t xml:space="preserve"> available</w:t>
      </w:r>
      <w:r w:rsidRPr="000665B0">
        <w:t>.</w:t>
      </w:r>
    </w:p>
    <w:p w14:paraId="314F449D" w14:textId="77777777" w:rsidR="00EA5282" w:rsidRDefault="00EA5282" w:rsidP="006D5A65">
      <w:pPr>
        <w:pStyle w:val="Heading1"/>
      </w:pPr>
      <w:r w:rsidRPr="00DC0E1D">
        <w:rPr>
          <w:rStyle w:val="normaltextrun"/>
          <w:color w:val="000000"/>
        </w:rPr>
        <w:t xml:space="preserve">LUA4+LUA5 </w:t>
      </w:r>
      <w:r w:rsidRPr="000665B0">
        <w:t xml:space="preserve">– Number of </w:t>
      </w:r>
      <w:r>
        <w:rPr>
          <w:rStyle w:val="normaltextrun"/>
          <w:color w:val="000000"/>
        </w:rPr>
        <w:t xml:space="preserve">LUA4 and </w:t>
      </w:r>
      <w:r w:rsidRPr="00DC0E1D">
        <w:rPr>
          <w:rStyle w:val="normaltextrun"/>
          <w:color w:val="000000"/>
        </w:rPr>
        <w:t xml:space="preserve">LUA5 </w:t>
      </w:r>
      <w:r w:rsidRPr="000665B0">
        <w:t>missiles</w:t>
      </w:r>
      <w:r>
        <w:t xml:space="preserve"> available</w:t>
      </w:r>
      <w:r w:rsidRPr="000665B0">
        <w:t>.</w:t>
      </w:r>
    </w:p>
    <w:p w14:paraId="4907FED8" w14:textId="77777777" w:rsidR="00EA5282" w:rsidRDefault="00EA5282" w:rsidP="006D5A65">
      <w:pPr>
        <w:pStyle w:val="Heading1"/>
      </w:pPr>
      <w:r>
        <w:rPr>
          <w:rStyle w:val="normaltextrun"/>
          <w:color w:val="000000"/>
        </w:rPr>
        <w:t>LUP4+</w:t>
      </w:r>
      <w:r w:rsidRPr="00AB72FE">
        <w:rPr>
          <w:rStyle w:val="normaltextrun"/>
          <w:color w:val="000000"/>
        </w:rPr>
        <w:t>LUP5</w:t>
      </w:r>
      <w:r>
        <w:rPr>
          <w:rStyle w:val="normaltextrun"/>
          <w:color w:val="000000"/>
        </w:rPr>
        <w:t xml:space="preserve"> </w:t>
      </w:r>
      <w:r w:rsidRPr="000665B0">
        <w:t xml:space="preserve">– Number of </w:t>
      </w:r>
      <w:r>
        <w:rPr>
          <w:rStyle w:val="normaltextrun"/>
          <w:color w:val="000000"/>
        </w:rPr>
        <w:t xml:space="preserve">LUP4 and LUP5 </w:t>
      </w:r>
      <w:r w:rsidRPr="000665B0">
        <w:t>missiles</w:t>
      </w:r>
      <w:r>
        <w:t xml:space="preserve"> available</w:t>
      </w:r>
      <w:r w:rsidRPr="000665B0">
        <w:t>.</w:t>
      </w:r>
    </w:p>
    <w:p w14:paraId="52C88D11" w14:textId="77777777" w:rsidR="00EA5282" w:rsidRPr="00827BCD" w:rsidRDefault="00EA5282" w:rsidP="006D5A65">
      <w:pPr>
        <w:pStyle w:val="Heading1"/>
        <w:rPr>
          <w:rStyle w:val="normaltextrun"/>
        </w:rPr>
      </w:pPr>
      <w:r>
        <w:rPr>
          <w:rStyle w:val="normaltextrun"/>
          <w:color w:val="000000"/>
        </w:rPr>
        <w:t>SUP4+</w:t>
      </w:r>
      <w:r w:rsidRPr="00AB72FE">
        <w:rPr>
          <w:rStyle w:val="normaltextrun"/>
          <w:color w:val="000000"/>
        </w:rPr>
        <w:t>SUP5</w:t>
      </w:r>
      <w:r>
        <w:rPr>
          <w:rStyle w:val="normaltextrun"/>
          <w:color w:val="000000"/>
        </w:rPr>
        <w:t xml:space="preserve"> </w:t>
      </w:r>
      <w:r w:rsidRPr="000665B0">
        <w:t xml:space="preserve">– Number of </w:t>
      </w:r>
      <w:r>
        <w:rPr>
          <w:rStyle w:val="normaltextrun"/>
          <w:color w:val="000000"/>
        </w:rPr>
        <w:t xml:space="preserve">SUP4 and </w:t>
      </w:r>
      <w:r w:rsidRPr="004036BD">
        <w:rPr>
          <w:rStyle w:val="normaltextrun"/>
          <w:color w:val="000000"/>
        </w:rPr>
        <w:t>SUP5</w:t>
      </w:r>
      <w:r>
        <w:rPr>
          <w:rStyle w:val="normaltextrun"/>
          <w:color w:val="000000"/>
        </w:rPr>
        <w:t xml:space="preserve"> </w:t>
      </w:r>
      <w:r w:rsidRPr="000665B0">
        <w:t>missiles</w:t>
      </w:r>
      <w:r>
        <w:t xml:space="preserve"> available</w:t>
      </w:r>
      <w:r w:rsidRPr="000665B0">
        <w:t>.</w:t>
      </w:r>
      <w:r>
        <w:rPr>
          <w:rStyle w:val="normaltextrun"/>
          <w:color w:val="000000"/>
        </w:rPr>
        <w:t xml:space="preserve"> </w:t>
      </w:r>
    </w:p>
    <w:p w14:paraId="72D8B4E4" w14:textId="77777777" w:rsidR="00EA5282" w:rsidRPr="00827BCD" w:rsidRDefault="00EA5282" w:rsidP="006D5A65">
      <w:pPr>
        <w:pStyle w:val="Heading1"/>
        <w:rPr>
          <w:rStyle w:val="normaltextrun"/>
        </w:rPr>
      </w:pPr>
      <w:r>
        <w:rPr>
          <w:rStyle w:val="normaltextrun"/>
          <w:color w:val="000000"/>
        </w:rPr>
        <w:t>LJP4+</w:t>
      </w:r>
      <w:r w:rsidRPr="00AB72FE">
        <w:rPr>
          <w:rStyle w:val="normaltextrun"/>
          <w:color w:val="000000"/>
        </w:rPr>
        <w:t>LJP5</w:t>
      </w:r>
      <w:r>
        <w:rPr>
          <w:rStyle w:val="normaltextrun"/>
          <w:color w:val="000000"/>
        </w:rPr>
        <w:t xml:space="preserve"> </w:t>
      </w:r>
      <w:r w:rsidRPr="000665B0">
        <w:t xml:space="preserve">– Number of </w:t>
      </w:r>
      <w:r>
        <w:rPr>
          <w:rStyle w:val="normaltextrun"/>
          <w:color w:val="000000"/>
        </w:rPr>
        <w:t xml:space="preserve">LJP4 and </w:t>
      </w:r>
      <w:r w:rsidRPr="004036BD">
        <w:rPr>
          <w:rStyle w:val="normaltextrun"/>
          <w:color w:val="000000"/>
        </w:rPr>
        <w:t>LJP5</w:t>
      </w:r>
      <w:r>
        <w:rPr>
          <w:rStyle w:val="normaltextrun"/>
          <w:color w:val="000000"/>
        </w:rPr>
        <w:t xml:space="preserve"> </w:t>
      </w:r>
      <w:r w:rsidRPr="000665B0">
        <w:t>missiles</w:t>
      </w:r>
      <w:r>
        <w:t xml:space="preserve"> available</w:t>
      </w:r>
      <w:r w:rsidRPr="000665B0">
        <w:t>.</w:t>
      </w:r>
      <w:r>
        <w:t xml:space="preserve"> </w:t>
      </w:r>
      <w:r w:rsidRPr="004C7BF1">
        <w:rPr>
          <w:rStyle w:val="normaltextrun"/>
          <w:color w:val="000000"/>
        </w:rPr>
        <w:t xml:space="preserve">Note: For TMPC 7.0.3, </w:t>
      </w:r>
      <w:r w:rsidRPr="004C7BF1">
        <w:rPr>
          <w:rStyle w:val="normaltextrun"/>
          <w:color w:val="000000"/>
          <w:shd w:val="clear" w:color="auto" w:fill="FFFFFF"/>
        </w:rPr>
        <w:t>109M Missiles will not be included (always have a total of “0”) in any summary totals.</w:t>
      </w:r>
      <w:r w:rsidRPr="00827BCD">
        <w:rPr>
          <w:rStyle w:val="normaltextrun"/>
          <w:color w:val="000000"/>
        </w:rPr>
        <w:t xml:space="preserve"> </w:t>
      </w:r>
    </w:p>
    <w:p w14:paraId="7EA0885C" w14:textId="77777777" w:rsidR="00EA5282" w:rsidRPr="000665B0" w:rsidRDefault="00EA5282" w:rsidP="006D5A65">
      <w:pPr>
        <w:pStyle w:val="Heading1"/>
      </w:pPr>
      <w:r w:rsidRPr="00827BCD">
        <w:rPr>
          <w:rStyle w:val="normaltextrun"/>
          <w:color w:val="000000"/>
        </w:rPr>
        <w:t xml:space="preserve">Other MSLs </w:t>
      </w:r>
      <w:r w:rsidRPr="000665B0">
        <w:t xml:space="preserve">– Number </w:t>
      </w:r>
      <w:r>
        <w:t xml:space="preserve">of </w:t>
      </w:r>
      <w:r w:rsidRPr="00827BCD">
        <w:rPr>
          <w:shd w:val="clear" w:color="auto" w:fill="FFFFFF"/>
        </w:rPr>
        <w:t>Block III</w:t>
      </w:r>
      <w:r>
        <w:rPr>
          <w:shd w:val="clear" w:color="auto" w:fill="FFFFFF"/>
        </w:rPr>
        <w:t xml:space="preserve"> and </w:t>
      </w:r>
      <w:r w:rsidRPr="00827BCD">
        <w:rPr>
          <w:shd w:val="clear" w:color="auto" w:fill="FFFFFF"/>
        </w:rPr>
        <w:t xml:space="preserve">Exercise </w:t>
      </w:r>
      <w:r w:rsidRPr="008B5F7B">
        <w:t>missiles available</w:t>
      </w:r>
      <w:r>
        <w:t>.</w:t>
      </w:r>
    </w:p>
    <w:p w14:paraId="55B8AD89" w14:textId="125D6950" w:rsidR="00EA5282" w:rsidRPr="000665B0" w:rsidRDefault="00EA5282" w:rsidP="006D5A65">
      <w:pPr>
        <w:pStyle w:val="Heading1"/>
      </w:pPr>
      <w:r>
        <w:rPr>
          <w:rStyle w:val="normaltextrun"/>
          <w:color w:val="000000"/>
        </w:rPr>
        <w:t>Total MSLs</w:t>
      </w:r>
      <w:r w:rsidR="00513816">
        <w:rPr>
          <w:rStyle w:val="normaltextrun"/>
          <w:color w:val="000000"/>
        </w:rPr>
        <w:t xml:space="preserve"> </w:t>
      </w:r>
      <w:r w:rsidRPr="000665B0">
        <w:t xml:space="preserve">– </w:t>
      </w:r>
      <w:r>
        <w:t>Total n</w:t>
      </w:r>
      <w:r w:rsidRPr="000665B0">
        <w:t>umber of missiles</w:t>
      </w:r>
      <w:r>
        <w:t xml:space="preserve"> available in the </w:t>
      </w:r>
      <w:r>
        <w:rPr>
          <w:rStyle w:val="normaltextrun"/>
          <w:color w:val="000000"/>
        </w:rPr>
        <w:t>LUD3+</w:t>
      </w:r>
      <w:r w:rsidRPr="004036BD">
        <w:rPr>
          <w:rStyle w:val="normaltextrun"/>
          <w:color w:val="000000"/>
        </w:rPr>
        <w:t>LUD4</w:t>
      </w:r>
      <w:r w:rsidRPr="003453E7">
        <w:rPr>
          <w:szCs w:val="24"/>
        </w:rPr>
        <w:t xml:space="preserve">, </w:t>
      </w:r>
      <w:r>
        <w:rPr>
          <w:rStyle w:val="normaltextrun"/>
          <w:color w:val="000000"/>
        </w:rPr>
        <w:t>LUA4+</w:t>
      </w:r>
      <w:r w:rsidRPr="004036BD">
        <w:rPr>
          <w:rStyle w:val="normaltextrun"/>
          <w:color w:val="000000"/>
        </w:rPr>
        <w:t>LUA5</w:t>
      </w:r>
      <w:r>
        <w:rPr>
          <w:rStyle w:val="normaltextrun"/>
          <w:color w:val="000000"/>
        </w:rPr>
        <w:t>, LUP4+</w:t>
      </w:r>
      <w:r w:rsidRPr="00AB72FE">
        <w:rPr>
          <w:rStyle w:val="normaltextrun"/>
          <w:color w:val="000000"/>
        </w:rPr>
        <w:t>LUP5, SUP4</w:t>
      </w:r>
      <w:r>
        <w:rPr>
          <w:rStyle w:val="normaltextrun"/>
          <w:color w:val="000000"/>
        </w:rPr>
        <w:t>+SUP5 and</w:t>
      </w:r>
      <w:r w:rsidRPr="00AB72FE">
        <w:rPr>
          <w:rStyle w:val="normaltextrun"/>
          <w:color w:val="000000"/>
        </w:rPr>
        <w:t xml:space="preserve"> </w:t>
      </w:r>
      <w:r>
        <w:rPr>
          <w:rStyle w:val="normaltextrun"/>
          <w:color w:val="000000"/>
        </w:rPr>
        <w:t>LJP4+</w:t>
      </w:r>
      <w:r w:rsidRPr="00AB72FE">
        <w:rPr>
          <w:rStyle w:val="normaltextrun"/>
          <w:color w:val="000000"/>
        </w:rPr>
        <w:t>LJP5</w:t>
      </w:r>
      <w:r>
        <w:rPr>
          <w:rStyle w:val="normaltextrun"/>
          <w:color w:val="000000"/>
        </w:rPr>
        <w:t xml:space="preserve"> columns</w:t>
      </w:r>
      <w:r w:rsidRPr="000665B0">
        <w:t>.</w:t>
      </w:r>
      <w:r>
        <w:t xml:space="preserve"> </w:t>
      </w:r>
      <w:r w:rsidRPr="004C7BF1">
        <w:rPr>
          <w:rStyle w:val="normaltextrun"/>
          <w:color w:val="000000"/>
        </w:rPr>
        <w:t xml:space="preserve">Note: For TMPC 7.0.3, </w:t>
      </w:r>
      <w:r w:rsidRPr="004C7BF1">
        <w:rPr>
          <w:rStyle w:val="normaltextrun"/>
          <w:color w:val="000000"/>
          <w:shd w:val="clear" w:color="auto" w:fill="FFFFFF"/>
        </w:rPr>
        <w:t>109M Missiles will not be included</w:t>
      </w:r>
      <w:r>
        <w:rPr>
          <w:rStyle w:val="normaltextrun"/>
          <w:color w:val="000000"/>
          <w:shd w:val="clear" w:color="auto" w:fill="FFFFFF"/>
        </w:rPr>
        <w:t xml:space="preserve"> </w:t>
      </w:r>
      <w:r w:rsidRPr="004C7BF1">
        <w:rPr>
          <w:rStyle w:val="normaltextrun"/>
          <w:color w:val="000000"/>
          <w:shd w:val="clear" w:color="auto" w:fill="FFFFFF"/>
        </w:rPr>
        <w:t>in any summary totals.</w:t>
      </w:r>
    </w:p>
    <w:p w14:paraId="01DF3AB3" w14:textId="700C5CF8" w:rsidR="003F7BA6" w:rsidRPr="000665B0" w:rsidRDefault="003F7BA6" w:rsidP="006D5A65">
      <w:pPr>
        <w:pStyle w:val="Heading1"/>
      </w:pPr>
      <w:r w:rsidRPr="000665B0">
        <w:t xml:space="preserve">Platform ID – Platform </w:t>
      </w:r>
      <w:r w:rsidR="008A1CDC" w:rsidRPr="000665B0">
        <w:t>I</w:t>
      </w:r>
      <w:r w:rsidR="008A1CDC">
        <w:t>D</w:t>
      </w:r>
      <w:r w:rsidR="008A1CDC" w:rsidRPr="000665B0">
        <w:t xml:space="preserve"> </w:t>
      </w:r>
      <w:r w:rsidRPr="000665B0">
        <w:t>of FRU.</w:t>
      </w:r>
    </w:p>
    <w:p w14:paraId="6BDBA636" w14:textId="255789B6" w:rsidR="0015593C" w:rsidRPr="000665B0" w:rsidRDefault="0015593C" w:rsidP="006D5A65">
      <w:pPr>
        <w:pStyle w:val="Heading1"/>
      </w:pPr>
      <w:r w:rsidRPr="000665B0">
        <w:t xml:space="preserve">WCS vers – </w:t>
      </w:r>
      <w:r w:rsidR="00D678CE" w:rsidRPr="000665B0">
        <w:t>Version of TTWCS</w:t>
      </w:r>
      <w:r w:rsidR="00D34CAC">
        <w:t>.</w:t>
      </w:r>
    </w:p>
    <w:p w14:paraId="648466DE" w14:textId="3E7BFCB3" w:rsidR="00E37584" w:rsidRPr="000665B0" w:rsidRDefault="00E37584" w:rsidP="00E37584">
      <w:r w:rsidRPr="000665B0">
        <w:t>The context menu allows</w:t>
      </w:r>
      <w:r w:rsidR="00694E4A" w:rsidRPr="000665B0">
        <w:t xml:space="preserve"> the following. (All menus are disabled for the BOO trigraph except for the</w:t>
      </w:r>
      <w:r w:rsidR="00E95B74" w:rsidRPr="000665B0">
        <w:t xml:space="preserve"> </w:t>
      </w:r>
      <w:r w:rsidR="00E95B74" w:rsidRPr="000665B0">
        <w:rPr>
          <w:b/>
        </w:rPr>
        <w:t xml:space="preserve">Display </w:t>
      </w:r>
      <w:r w:rsidR="00E95B74" w:rsidRPr="000665B0">
        <w:rPr>
          <w:b/>
        </w:rPr>
        <w:sym w:font="Wingdings 3" w:char="F07D"/>
      </w:r>
      <w:r w:rsidR="00E95B74" w:rsidRPr="000665B0">
        <w:rPr>
          <w:b/>
        </w:rPr>
        <w:t xml:space="preserve"> Excel</w:t>
      </w:r>
      <w:r w:rsidR="00E95B74" w:rsidRPr="000665B0">
        <w:t>,</w:t>
      </w:r>
      <w:r w:rsidR="00694E4A" w:rsidRPr="000665B0">
        <w:t xml:space="preserve"> </w:t>
      </w:r>
      <w:r w:rsidR="00694E4A" w:rsidRPr="000665B0">
        <w:rPr>
          <w:b/>
        </w:rPr>
        <w:t>Shift Time</w:t>
      </w:r>
      <w:r w:rsidR="00E95B74" w:rsidRPr="000665B0">
        <w:t xml:space="preserve">, and </w:t>
      </w:r>
      <w:r w:rsidR="00E95B74" w:rsidRPr="000665B0">
        <w:rPr>
          <w:b/>
        </w:rPr>
        <w:t>Print</w:t>
      </w:r>
      <w:r w:rsidR="00E95B74" w:rsidRPr="000665B0">
        <w:t xml:space="preserve"> </w:t>
      </w:r>
      <w:r w:rsidR="00694E4A" w:rsidRPr="000665B0">
        <w:t>menu.)</w:t>
      </w:r>
      <w:r w:rsidR="00110492" w:rsidRPr="000665B0">
        <w:rPr>
          <w:snapToGrid w:val="0"/>
        </w:rPr>
        <w:t xml:space="preserve"> The </w:t>
      </w:r>
      <w:r w:rsidR="00F605E5" w:rsidRPr="000665B0">
        <w:rPr>
          <w:snapToGrid w:val="0"/>
        </w:rPr>
        <w:t>context menu selections may vary</w:t>
      </w:r>
      <w:r w:rsidR="00110492" w:rsidRPr="000665B0">
        <w:rPr>
          <w:snapToGrid w:val="0"/>
        </w:rPr>
        <w:t xml:space="preserve"> depending on whether the strike is a land attack or maritime strike.</w:t>
      </w:r>
    </w:p>
    <w:p w14:paraId="466B5027" w14:textId="77777777" w:rsidR="00E37584" w:rsidRPr="000665B0" w:rsidRDefault="00E37584" w:rsidP="006D5A65">
      <w:pPr>
        <w:pStyle w:val="Heading1"/>
      </w:pPr>
      <w:r w:rsidRPr="000665B0">
        <w:t xml:space="preserve">Display </w:t>
      </w:r>
    </w:p>
    <w:p w14:paraId="1DEECB86" w14:textId="77777777" w:rsidR="00E37584" w:rsidRPr="000665B0" w:rsidRDefault="00E37584" w:rsidP="006D5A65">
      <w:pPr>
        <w:pStyle w:val="Heading1"/>
      </w:pPr>
      <w:r w:rsidRPr="000665B0">
        <w:t>Textually – Displays the textual view of the selected item(s).</w:t>
      </w:r>
    </w:p>
    <w:p w14:paraId="6D02A7F9" w14:textId="77777777" w:rsidR="00E37584" w:rsidRPr="000665B0" w:rsidRDefault="00E37584" w:rsidP="006D5A65">
      <w:pPr>
        <w:pStyle w:val="Heading1"/>
      </w:pPr>
      <w:r w:rsidRPr="000665B0">
        <w:rPr>
          <w:szCs w:val="24"/>
        </w:rPr>
        <w:t xml:space="preserve">Geographically – </w:t>
      </w:r>
      <w:r w:rsidRPr="000665B0">
        <w:t>Displays the selected item(s) geographically.</w:t>
      </w:r>
    </w:p>
    <w:p w14:paraId="19F2E290" w14:textId="438BCBEE" w:rsidR="00E37584" w:rsidRPr="000665B0" w:rsidRDefault="00E37584" w:rsidP="006D5A65">
      <w:pPr>
        <w:pStyle w:val="Heading1"/>
      </w:pPr>
      <w:r w:rsidRPr="000665B0">
        <w:rPr>
          <w:szCs w:val="24"/>
        </w:rPr>
        <w:t xml:space="preserve">Missile Inventory Graphically </w:t>
      </w:r>
      <w:r w:rsidRPr="000665B0">
        <w:t>– Displays a platform’s missile inventory graphically.</w:t>
      </w:r>
    </w:p>
    <w:p w14:paraId="771721C7" w14:textId="648C84E7" w:rsidR="00623512" w:rsidRPr="000665B0" w:rsidRDefault="00623512" w:rsidP="006D5A65">
      <w:pPr>
        <w:pStyle w:val="Heading3"/>
      </w:pPr>
      <w:r w:rsidRPr="000665B0">
        <w:t xml:space="preserve">For missile IDs that contain the 4-character missile type (see </w:t>
      </w:r>
      <w:hyperlink w:anchor="_4_-Character_Missile" w:history="1">
        <w:r w:rsidRPr="000665B0">
          <w:rPr>
            <w:rStyle w:val="Hyperlink"/>
          </w:rPr>
          <w:t>Section 5.</w:t>
        </w:r>
        <w:r w:rsidR="001F2287">
          <w:rPr>
            <w:rStyle w:val="Hyperlink"/>
          </w:rPr>
          <w:t>1</w:t>
        </w:r>
        <w:r w:rsidR="003E5AC1">
          <w:rPr>
            <w:rStyle w:val="Hyperlink"/>
          </w:rPr>
          <w:t>4</w:t>
        </w:r>
        <w:r w:rsidRPr="000665B0">
          <w:rPr>
            <w:rStyle w:val="Hyperlink"/>
          </w:rPr>
          <w:t>.1</w:t>
        </w:r>
      </w:hyperlink>
      <w:r w:rsidRPr="000665B0">
        <w:t xml:space="preserve">), hover the mouse over the specific missile ID to display a </w:t>
      </w:r>
      <w:r w:rsidR="0087541B">
        <w:t>tooltip</w:t>
      </w:r>
      <w:r w:rsidRPr="000665B0">
        <w:t xml:space="preserve"> with additional information about the missile. For the missile inventory, this </w:t>
      </w:r>
      <w:r w:rsidRPr="000665B0">
        <w:lastRenderedPageBreak/>
        <w:t>applies to both the platform layout (left side) and the Status pane (right side) of the display.</w:t>
      </w:r>
    </w:p>
    <w:p w14:paraId="727657F4" w14:textId="4891A3AA" w:rsidR="00F10AC1" w:rsidRPr="000665B0" w:rsidRDefault="009651B0" w:rsidP="009651B0">
      <w:pPr>
        <w:pStyle w:val="ListParagraph"/>
        <w:spacing w:after="240"/>
        <w:jc w:val="center"/>
        <w:rPr>
          <w:rFonts w:ascii="Times New Roman" w:eastAsia="Times New Roman" w:hAnsi="Times New Roman"/>
          <w:sz w:val="24"/>
          <w:szCs w:val="20"/>
        </w:rPr>
      </w:pPr>
      <w:r w:rsidRPr="000665B0">
        <w:rPr>
          <w:noProof/>
        </w:rPr>
        <w:drawing>
          <wp:inline distT="0" distB="0" distL="0" distR="0" wp14:anchorId="36D0CE9A" wp14:editId="23FB6A0B">
            <wp:extent cx="1828800" cy="1243584"/>
            <wp:effectExtent l="0" t="0" r="0" b="0"/>
            <wp:docPr id="2192" name="Picture 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8800" cy="1243584"/>
                    </a:xfrm>
                    <a:prstGeom prst="rect">
                      <a:avLst/>
                    </a:prstGeom>
                  </pic:spPr>
                </pic:pic>
              </a:graphicData>
            </a:graphic>
          </wp:inline>
        </w:drawing>
      </w:r>
      <w:r w:rsidR="00F67A7A">
        <w:rPr>
          <w:rFonts w:ascii="Times New Roman" w:eastAsia="Times New Roman" w:hAnsi="Times New Roman"/>
          <w:sz w:val="24"/>
          <w:szCs w:val="20"/>
        </w:rPr>
        <w:t xml:space="preserve">  </w:t>
      </w:r>
      <w:r w:rsidR="00F10AC1" w:rsidRPr="000665B0">
        <w:rPr>
          <w:noProof/>
        </w:rPr>
        <w:drawing>
          <wp:inline distT="0" distB="0" distL="0" distR="0" wp14:anchorId="7E26CA0A" wp14:editId="7F1FF1A6">
            <wp:extent cx="2743200" cy="1106424"/>
            <wp:effectExtent l="0" t="0" r="0" b="0"/>
            <wp:docPr id="2097" name="Picture 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106424"/>
                    </a:xfrm>
                    <a:prstGeom prst="rect">
                      <a:avLst/>
                    </a:prstGeom>
                  </pic:spPr>
                </pic:pic>
              </a:graphicData>
            </a:graphic>
          </wp:inline>
        </w:drawing>
      </w:r>
    </w:p>
    <w:p w14:paraId="15EA5F65" w14:textId="77777777" w:rsidR="00E37584" w:rsidRPr="000665B0" w:rsidRDefault="00E37584" w:rsidP="006D5A65">
      <w:pPr>
        <w:pStyle w:val="Heading1"/>
      </w:pPr>
      <w:r w:rsidRPr="000665B0">
        <w:rPr>
          <w:szCs w:val="24"/>
        </w:rPr>
        <w:t xml:space="preserve">In Excel – </w:t>
      </w:r>
      <w:r w:rsidRPr="000665B0">
        <w:t>Creates an Excel document containing the selected item’s information.</w:t>
      </w:r>
    </w:p>
    <w:p w14:paraId="33F639FA" w14:textId="37ADCB8A" w:rsidR="00E37584" w:rsidRPr="00C36B36" w:rsidRDefault="00E37584" w:rsidP="006D5A65">
      <w:pPr>
        <w:pStyle w:val="Heading1"/>
      </w:pPr>
      <w:r w:rsidRPr="000665B0">
        <w:t xml:space="preserve">Shift Time… </w:t>
      </w:r>
      <w:r w:rsidR="00EB6103" w:rsidRPr="000665B0">
        <w:t xml:space="preserve">(NA for maritime strikes) </w:t>
      </w:r>
      <w:r w:rsidRPr="000665B0">
        <w:t>–</w:t>
      </w:r>
      <w:r w:rsidR="00487314" w:rsidRPr="000665B0">
        <w:t xml:space="preserve"> </w:t>
      </w:r>
      <w:r w:rsidR="00A331E4" w:rsidRPr="000665B0">
        <w:t xml:space="preserve">Shifts one or multiple missiles’ assignment times, provided that the missiles do not have their time locked by a chosen amount and have not yet launched. For more information see </w:t>
      </w:r>
      <w:hyperlink w:anchor="_Shift_Strike_Times_1" w:history="1">
        <w:r w:rsidR="009326FE" w:rsidRPr="000665B0">
          <w:rPr>
            <w:rStyle w:val="Hyperlink"/>
          </w:rPr>
          <w:t xml:space="preserve">Section </w:t>
        </w:r>
        <w:r w:rsidR="004231CC">
          <w:rPr>
            <w:rStyle w:val="Hyperlink"/>
          </w:rPr>
          <w:t>5.34</w:t>
        </w:r>
        <w:r w:rsidR="00A331E4" w:rsidRPr="000665B0">
          <w:rPr>
            <w:rStyle w:val="Hyperlink"/>
          </w:rPr>
          <w:t>.7.1.19</w:t>
        </w:r>
      </w:hyperlink>
      <w:r w:rsidR="00A331E4" w:rsidRPr="000665B0">
        <w:t>.</w:t>
      </w:r>
    </w:p>
    <w:p w14:paraId="206BA5DA" w14:textId="77125890" w:rsidR="00002724" w:rsidRPr="00827BCD" w:rsidRDefault="00002724" w:rsidP="006D5A65">
      <w:pPr>
        <w:pStyle w:val="Heading1"/>
        <w:rPr>
          <w:rStyle w:val="normaltextrun"/>
          <w:b w:val="0"/>
        </w:rPr>
      </w:pPr>
      <w:r>
        <w:t xml:space="preserve">Account for Casualty </w:t>
      </w:r>
      <w:r w:rsidR="00513816" w:rsidRPr="000665B0">
        <w:t>–</w:t>
      </w:r>
      <w:r w:rsidRPr="008C6F71">
        <w:t xml:space="preserve"> </w:t>
      </w:r>
      <w:r w:rsidRPr="007A6CC3">
        <w:rPr>
          <w:rStyle w:val="normaltextrun"/>
          <w:color w:val="000000"/>
          <w:szCs w:val="24"/>
          <w:shd w:val="clear" w:color="auto" w:fill="FFFFFF"/>
        </w:rPr>
        <w:t>Manually decrement</w:t>
      </w:r>
      <w:r w:rsidRPr="00827BCD">
        <w:rPr>
          <w:rStyle w:val="normaltextrun"/>
          <w:color w:val="000000"/>
          <w:shd w:val="clear" w:color="auto" w:fill="FFFFFF"/>
        </w:rPr>
        <w:t xml:space="preserve"> </w:t>
      </w:r>
      <w:r w:rsidRPr="007A6CC3">
        <w:rPr>
          <w:rStyle w:val="normaltextrun"/>
          <w:color w:val="000000"/>
          <w:szCs w:val="24"/>
          <w:shd w:val="clear" w:color="auto" w:fill="FFFFFF"/>
        </w:rPr>
        <w:t>available Platform Missile Inventory counts based on FRU Voice/Chat</w:t>
      </w:r>
      <w:r>
        <w:rPr>
          <w:rStyle w:val="normaltextrun"/>
          <w:color w:val="000000"/>
          <w:szCs w:val="24"/>
          <w:shd w:val="clear" w:color="auto" w:fill="FFFFFF"/>
        </w:rPr>
        <w:t>/Tomahawk Collaboration Tool (TCT)</w:t>
      </w:r>
      <w:r w:rsidRPr="007A6CC3">
        <w:rPr>
          <w:rStyle w:val="normaltextrun"/>
          <w:color w:val="000000"/>
          <w:szCs w:val="24"/>
          <w:shd w:val="clear" w:color="auto" w:fill="FFFFFF"/>
        </w:rPr>
        <w:t xml:space="preserve"> reporting by selecting the </w:t>
      </w:r>
      <w:r>
        <w:rPr>
          <w:rStyle w:val="normaltextrun"/>
          <w:color w:val="000000"/>
          <w:szCs w:val="24"/>
          <w:shd w:val="clear" w:color="auto" w:fill="FFFFFF"/>
        </w:rPr>
        <w:t>M</w:t>
      </w:r>
      <w:r w:rsidRPr="007A6CC3">
        <w:rPr>
          <w:rStyle w:val="normaltextrun"/>
          <w:color w:val="000000"/>
          <w:szCs w:val="24"/>
          <w:shd w:val="clear" w:color="auto" w:fill="FFFFFF"/>
        </w:rPr>
        <w:t xml:space="preserve">issile </w:t>
      </w:r>
      <w:r>
        <w:rPr>
          <w:rStyle w:val="normaltextrun"/>
          <w:color w:val="000000"/>
          <w:szCs w:val="24"/>
          <w:shd w:val="clear" w:color="auto" w:fill="FFFFFF"/>
        </w:rPr>
        <w:t>T</w:t>
      </w:r>
      <w:r w:rsidRPr="007A6CC3">
        <w:rPr>
          <w:rStyle w:val="normaltextrun"/>
          <w:color w:val="000000"/>
          <w:szCs w:val="24"/>
          <w:shd w:val="clear" w:color="auto" w:fill="FFFFFF"/>
        </w:rPr>
        <w:t>ype bucket.</w:t>
      </w:r>
      <w:r w:rsidRPr="007A6CC3">
        <w:rPr>
          <w:rStyle w:val="Heading3Char"/>
          <w:color w:val="000000"/>
          <w:szCs w:val="24"/>
          <w:shd w:val="clear" w:color="auto" w:fill="FFFFFF"/>
        </w:rPr>
        <w:t xml:space="preserve"> </w:t>
      </w:r>
      <w:r w:rsidRPr="00ED367D">
        <w:rPr>
          <w:rStyle w:val="Heading3Char"/>
          <w:rFonts w:ascii="Times New Roman" w:hAnsi="Times New Roman"/>
          <w:color w:val="000000"/>
          <w:szCs w:val="24"/>
          <w:shd w:val="clear" w:color="auto" w:fill="FFFFFF"/>
        </w:rPr>
        <w:t xml:space="preserve">Allows </w:t>
      </w:r>
      <w:r w:rsidRPr="007A6CC3">
        <w:rPr>
          <w:rStyle w:val="normaltextrun"/>
          <w:color w:val="000000"/>
          <w:szCs w:val="24"/>
          <w:shd w:val="clear" w:color="auto" w:fill="FFFFFF"/>
        </w:rPr>
        <w:t xml:space="preserve">TMPC Missile inventory accountability to better align with the actual TTWCS FRU Inventory following Missile </w:t>
      </w:r>
      <w:r w:rsidRPr="007A6CC3">
        <w:rPr>
          <w:rStyle w:val="findhit"/>
          <w:color w:val="000000"/>
          <w:szCs w:val="24"/>
        </w:rPr>
        <w:t>Casualty</w:t>
      </w:r>
      <w:r w:rsidRPr="007A6CC3">
        <w:rPr>
          <w:rStyle w:val="normaltextrun"/>
          <w:color w:val="000000"/>
          <w:szCs w:val="24"/>
          <w:shd w:val="clear" w:color="auto" w:fill="FFFFFF"/>
        </w:rPr>
        <w:t xml:space="preserve"> reporting, allowing improved situational awareness and accuracy</w:t>
      </w:r>
      <w:r>
        <w:rPr>
          <w:rStyle w:val="normaltextrun"/>
          <w:color w:val="000000"/>
          <w:szCs w:val="24"/>
          <w:shd w:val="clear" w:color="auto" w:fill="FFFFFF"/>
        </w:rPr>
        <w:t xml:space="preserve"> for follow-on </w:t>
      </w:r>
      <w:r w:rsidRPr="007A6CC3">
        <w:rPr>
          <w:rStyle w:val="normaltextrun"/>
          <w:color w:val="000000"/>
          <w:szCs w:val="24"/>
          <w:shd w:val="clear" w:color="auto" w:fill="FFFFFF"/>
        </w:rPr>
        <w:t>tasking.</w:t>
      </w:r>
      <w:r>
        <w:rPr>
          <w:rStyle w:val="normaltextrun"/>
          <w:color w:val="000000"/>
          <w:szCs w:val="24"/>
          <w:shd w:val="clear" w:color="auto" w:fill="FFFFFF"/>
        </w:rPr>
        <w:t xml:space="preserve"> </w:t>
      </w:r>
    </w:p>
    <w:p w14:paraId="207ACE15" w14:textId="3421C7F0" w:rsidR="00002724" w:rsidRPr="000665B0" w:rsidRDefault="00002724" w:rsidP="00C36B36">
      <w:pPr>
        <w:jc w:val="center"/>
        <w:rPr>
          <w:b/>
        </w:rPr>
      </w:pPr>
      <w:r>
        <w:rPr>
          <w:noProof/>
        </w:rPr>
        <w:drawing>
          <wp:inline distT="0" distB="0" distL="0" distR="0" wp14:anchorId="0F00180F" wp14:editId="650528DE">
            <wp:extent cx="3657600" cy="1819656"/>
            <wp:effectExtent l="0" t="0" r="0" b="0"/>
            <wp:docPr id="2021666953" name="Picture 2021666953"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6953" name="Picture 2021666953" descr="Graphical user interface, table&#10;&#10;Description automatically generated"/>
                    <pic:cNvPicPr/>
                  </pic:nvPicPr>
                  <pic:blipFill>
                    <a:blip/>
                    <a:stretch>
                      <a:fillRect/>
                    </a:stretch>
                  </pic:blipFill>
                  <pic:spPr>
                    <a:xfrm>
                      <a:off x="0" y="0"/>
                      <a:ext cx="3657600" cy="1819656"/>
                    </a:xfrm>
                    <a:prstGeom prst="rect">
                      <a:avLst/>
                    </a:prstGeom>
                  </pic:spPr>
                </pic:pic>
              </a:graphicData>
            </a:graphic>
          </wp:inline>
        </w:drawing>
      </w:r>
    </w:p>
    <w:p w14:paraId="4B7E4484" w14:textId="6A929D94" w:rsidR="00E834F1" w:rsidRPr="000665B0" w:rsidRDefault="00E834F1" w:rsidP="006D5A65">
      <w:pPr>
        <w:pStyle w:val="Heading1"/>
      </w:pPr>
      <w:r w:rsidRPr="000665B0">
        <w:t xml:space="preserve">Latest SPEO… </w:t>
      </w:r>
      <w:r w:rsidR="00EB6103" w:rsidRPr="000665B0">
        <w:t xml:space="preserve">(NA for maritime strikes) </w:t>
      </w:r>
      <w:r w:rsidRPr="000665B0">
        <w:t xml:space="preserve">– Opens the </w:t>
      </w:r>
      <w:r w:rsidRPr="000665B0">
        <w:rPr>
          <w:i/>
        </w:rPr>
        <w:t>Strike Exception</w:t>
      </w:r>
      <w:r w:rsidRPr="000665B0">
        <w:t xml:space="preserve"> window showing missile assignments</w:t>
      </w:r>
      <w:r w:rsidR="00214212" w:rsidRPr="000665B0">
        <w:t xml:space="preserve"> (if any)</w:t>
      </w:r>
      <w:r w:rsidRPr="000665B0">
        <w:t xml:space="preserve"> that the FRU cannot support. The </w:t>
      </w:r>
      <w:r w:rsidRPr="000665B0">
        <w:rPr>
          <w:i/>
        </w:rPr>
        <w:t>Strike Exception</w:t>
      </w:r>
      <w:r w:rsidRPr="000665B0">
        <w:t xml:space="preserve"> window supports the Reassign FRU context menu to reassign an unsupportable </w:t>
      </w:r>
      <w:r w:rsidRPr="000665B0">
        <w:lastRenderedPageBreak/>
        <w:t xml:space="preserve">missile from the reporting FRU to other FRUs. See </w:t>
      </w:r>
      <w:hyperlink w:anchor="_5_.38.3.1.8.2.4_" w:history="1">
        <w:r w:rsidR="0096111B" w:rsidRPr="000665B0">
          <w:rPr>
            <w:rStyle w:val="Hyperlink"/>
          </w:rPr>
          <w:t xml:space="preserve">Section </w:t>
        </w:r>
        <w:r w:rsidR="004231CC">
          <w:rPr>
            <w:rStyle w:val="Hyperlink"/>
          </w:rPr>
          <w:t>5.35</w:t>
        </w:r>
        <w:r w:rsidR="0096111B" w:rsidRPr="000665B0">
          <w:rPr>
            <w:rStyle w:val="Hyperlink"/>
          </w:rPr>
          <w:t>.3.1.9</w:t>
        </w:r>
        <w:r w:rsidRPr="000665B0">
          <w:rPr>
            <w:rStyle w:val="Hyperlink"/>
          </w:rPr>
          <w:t>.2.3</w:t>
        </w:r>
      </w:hyperlink>
      <w:r w:rsidRPr="000665B0">
        <w:t xml:space="preserve">. </w:t>
      </w:r>
    </w:p>
    <w:p w14:paraId="6294DACD" w14:textId="77777777" w:rsidR="00E37584" w:rsidRPr="000665B0" w:rsidRDefault="00E37584" w:rsidP="006D5A65">
      <w:pPr>
        <w:pStyle w:val="Heading1"/>
      </w:pPr>
      <w:r w:rsidRPr="000665B0">
        <w:t xml:space="preserve">Print… – </w:t>
      </w:r>
      <w:r w:rsidR="0018570A" w:rsidRPr="000665B0">
        <w:t>Prints the selected item(s) in the list.</w:t>
      </w:r>
    </w:p>
    <w:p w14:paraId="039ADEFD" w14:textId="48C73860" w:rsidR="000A607E" w:rsidRPr="000665B0" w:rsidRDefault="000A607E" w:rsidP="00306174">
      <w:pPr>
        <w:pStyle w:val="Heading6"/>
      </w:pPr>
      <w:bookmarkStart w:id="6670" w:name="_Toc289328918"/>
      <w:r w:rsidRPr="000665B0">
        <w:t>FRU Events Tab</w:t>
      </w:r>
      <w:bookmarkEnd w:id="6670"/>
    </w:p>
    <w:p w14:paraId="1773E0AA" w14:textId="1210793C" w:rsidR="00E834F1" w:rsidRPr="000665B0" w:rsidRDefault="00214212" w:rsidP="00CB3E29">
      <w:pPr>
        <w:jc w:val="center"/>
      </w:pPr>
      <w:r w:rsidRPr="000665B0">
        <w:rPr>
          <w:noProof/>
        </w:rPr>
        <w:drawing>
          <wp:inline distT="0" distB="0" distL="0" distR="0" wp14:anchorId="477F1258" wp14:editId="164088BA">
            <wp:extent cx="5029200" cy="2066544"/>
            <wp:effectExtent l="0" t="0" r="0" b="0"/>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029200" cy="2066544"/>
                    </a:xfrm>
                    <a:prstGeom prst="rect">
                      <a:avLst/>
                    </a:prstGeom>
                  </pic:spPr>
                </pic:pic>
              </a:graphicData>
            </a:graphic>
          </wp:inline>
        </w:drawing>
      </w:r>
    </w:p>
    <w:p w14:paraId="676954B1" w14:textId="537E9494" w:rsidR="000A607E" w:rsidRPr="000665B0" w:rsidRDefault="000A607E" w:rsidP="000A607E">
      <w:r w:rsidRPr="000665B0">
        <w:t xml:space="preserve">The </w:t>
      </w:r>
      <w:r w:rsidRPr="000665B0">
        <w:rPr>
          <w:b/>
          <w:i/>
        </w:rPr>
        <w:t>FRU Events</w:t>
      </w:r>
      <w:r w:rsidR="00B040AE" w:rsidRPr="000665B0">
        <w:t xml:space="preserve"> tab</w:t>
      </w:r>
      <w:r w:rsidRPr="000665B0">
        <w:t xml:space="preserve"> lists the received FDU messages for the selected FRU.</w:t>
      </w:r>
    </w:p>
    <w:p w14:paraId="4EE300C3" w14:textId="77777777" w:rsidR="000A607E" w:rsidRPr="000665B0" w:rsidRDefault="006D5A95" w:rsidP="000A607E">
      <w:r w:rsidRPr="000665B0">
        <w:t xml:space="preserve">The </w:t>
      </w:r>
      <w:r w:rsidRPr="000665B0">
        <w:rPr>
          <w:b/>
        </w:rPr>
        <w:t>FRU Events</w:t>
      </w:r>
      <w:r w:rsidRPr="000665B0">
        <w:t xml:space="preserve"> list view c</w:t>
      </w:r>
      <w:r w:rsidR="000A607E" w:rsidRPr="000665B0">
        <w:t>olumns are:</w:t>
      </w:r>
    </w:p>
    <w:p w14:paraId="75A11958" w14:textId="25E20218" w:rsidR="000A607E" w:rsidRPr="000665B0" w:rsidRDefault="000A607E" w:rsidP="006D5A65">
      <w:pPr>
        <w:pStyle w:val="Heading1"/>
      </w:pPr>
      <w:r w:rsidRPr="000665B0">
        <w:t>Option</w:t>
      </w:r>
      <w:r w:rsidR="00F657C0" w:rsidRPr="000665B0">
        <w:t xml:space="preserve"> </w:t>
      </w:r>
      <w:r w:rsidRPr="000665B0">
        <w:t>ID – Option this message relates to.</w:t>
      </w:r>
      <w:r w:rsidR="007E077D" w:rsidRPr="000665B0">
        <w:t xml:space="preserve"> A circular icon before the Option ID (when the event is for a SPEO) indicates the following: </w:t>
      </w:r>
    </w:p>
    <w:p w14:paraId="6E42EDDF" w14:textId="7F49C727" w:rsidR="007E077D" w:rsidRPr="000665B0" w:rsidRDefault="007E077D" w:rsidP="006D5A65">
      <w:pPr>
        <w:pStyle w:val="Heading2"/>
      </w:pPr>
      <w:r w:rsidRPr="000665B0">
        <w:t xml:space="preserve">Blank (no circular icon) – Indicates that all tasking can be met. </w:t>
      </w:r>
    </w:p>
    <w:p w14:paraId="18AC6439" w14:textId="682CE1B2" w:rsidR="007E077D" w:rsidRPr="000665B0" w:rsidRDefault="007E077D" w:rsidP="006D5A65">
      <w:pPr>
        <w:pStyle w:val="Heading2"/>
      </w:pPr>
      <w:r w:rsidRPr="000665B0">
        <w:t>Yellow– Indicates that other ship tasking cannot be met, but own ship’s tasking</w:t>
      </w:r>
      <w:r w:rsidR="00A203C2" w:rsidRPr="000665B0">
        <w:t xml:space="preserve"> can be met</w:t>
      </w:r>
      <w:r w:rsidRPr="000665B0">
        <w:t xml:space="preserve">. </w:t>
      </w:r>
    </w:p>
    <w:p w14:paraId="2ADCA8C2" w14:textId="0DC4B3CF" w:rsidR="007E077D" w:rsidRPr="000665B0" w:rsidRDefault="007E077D" w:rsidP="006D5A65">
      <w:pPr>
        <w:pStyle w:val="Heading2"/>
      </w:pPr>
      <w:r w:rsidRPr="000665B0">
        <w:t>Red – Indicates that own ship’s tasking</w:t>
      </w:r>
      <w:r w:rsidR="00A203C2" w:rsidRPr="000665B0">
        <w:t xml:space="preserve"> cannot be met</w:t>
      </w:r>
      <w:r w:rsidRPr="000665B0">
        <w:t>.</w:t>
      </w:r>
    </w:p>
    <w:p w14:paraId="40564360" w14:textId="77777777" w:rsidR="000A607E" w:rsidRPr="000665B0" w:rsidRDefault="000A607E" w:rsidP="006D5A65">
      <w:pPr>
        <w:pStyle w:val="Heading1"/>
      </w:pPr>
      <w:r w:rsidRPr="000665B0">
        <w:t>Rev – Revision of Option.</w:t>
      </w:r>
    </w:p>
    <w:p w14:paraId="48637DD6" w14:textId="3A8C69A6" w:rsidR="00BE6DF0" w:rsidRPr="000665B0" w:rsidRDefault="00BE6DF0" w:rsidP="006D5A65">
      <w:pPr>
        <w:pStyle w:val="Heading1"/>
      </w:pPr>
      <w:r w:rsidRPr="000665B0">
        <w:t>M Rev –</w:t>
      </w:r>
      <w:r w:rsidR="00604DCE" w:rsidRPr="000665B0">
        <w:t xml:space="preserve">Current Strike Package minor revision. It is a revision number indicating how many times the strike package has been modified prior to distribution to the </w:t>
      </w:r>
      <w:r w:rsidR="00130C8E" w:rsidRPr="000665B0">
        <w:t>Task O</w:t>
      </w:r>
      <w:r w:rsidR="00604DCE" w:rsidRPr="000665B0">
        <w:t>rganization. Once the strike package has been distributed the minor revision reverts back to zero again</w:t>
      </w:r>
      <w:r w:rsidR="00987E38" w:rsidRPr="000665B0">
        <w:t>.</w:t>
      </w:r>
    </w:p>
    <w:p w14:paraId="2BDF4AEB" w14:textId="77777777" w:rsidR="000A607E" w:rsidRPr="000665B0" w:rsidRDefault="000A607E" w:rsidP="006D5A65">
      <w:pPr>
        <w:pStyle w:val="Heading1"/>
      </w:pPr>
      <w:r w:rsidRPr="000665B0">
        <w:t>Type – Type of message.</w:t>
      </w:r>
    </w:p>
    <w:p w14:paraId="3049DA7C" w14:textId="77777777" w:rsidR="000A607E" w:rsidRPr="000665B0" w:rsidRDefault="00B267E2" w:rsidP="006D5A65">
      <w:pPr>
        <w:pStyle w:val="Heading2"/>
      </w:pPr>
      <w:r w:rsidRPr="000665B0">
        <w:t xml:space="preserve">Strike Exception </w:t>
      </w:r>
      <w:r w:rsidR="000A607E" w:rsidRPr="000665B0">
        <w:t xml:space="preserve">– </w:t>
      </w:r>
      <w:r w:rsidRPr="000665B0">
        <w:t>Strike Exception (</w:t>
      </w:r>
      <w:r w:rsidR="000A607E" w:rsidRPr="000665B0">
        <w:t>SPEO</w:t>
      </w:r>
      <w:r w:rsidRPr="000665B0">
        <w:t>)</w:t>
      </w:r>
      <w:r w:rsidR="000A607E" w:rsidRPr="000665B0">
        <w:t xml:space="preserve"> received.</w:t>
      </w:r>
    </w:p>
    <w:p w14:paraId="1C4F9AF8" w14:textId="2AC9673C" w:rsidR="000A607E" w:rsidRPr="000665B0" w:rsidRDefault="00E834F1" w:rsidP="006D5A65">
      <w:pPr>
        <w:pStyle w:val="Heading2"/>
      </w:pPr>
      <w:r w:rsidRPr="000665B0">
        <w:t>Launch Event Report</w:t>
      </w:r>
      <w:r w:rsidR="004829F2" w:rsidRPr="000665B0">
        <w:t xml:space="preserve"> </w:t>
      </w:r>
      <w:r w:rsidR="000A607E" w:rsidRPr="000665B0">
        <w:t xml:space="preserve">– </w:t>
      </w:r>
      <w:r w:rsidR="00B267E2" w:rsidRPr="000665B0">
        <w:t>Launch Event Report (</w:t>
      </w:r>
      <w:r w:rsidR="000A607E" w:rsidRPr="000665B0">
        <w:t>LER</w:t>
      </w:r>
      <w:r w:rsidR="00B267E2" w:rsidRPr="000665B0">
        <w:t>)</w:t>
      </w:r>
      <w:r w:rsidR="000A607E" w:rsidRPr="000665B0">
        <w:t xml:space="preserve"> received.</w:t>
      </w:r>
    </w:p>
    <w:p w14:paraId="34F8E05B" w14:textId="77777777" w:rsidR="000A607E" w:rsidRPr="000665B0" w:rsidRDefault="004829F2" w:rsidP="006D5A65">
      <w:pPr>
        <w:pStyle w:val="Heading2"/>
      </w:pPr>
      <w:r w:rsidRPr="000665B0">
        <w:t xml:space="preserve">Overwater Waypoints Record </w:t>
      </w:r>
      <w:r w:rsidR="000A607E" w:rsidRPr="000665B0">
        <w:t xml:space="preserve">– </w:t>
      </w:r>
      <w:r w:rsidR="00B267E2" w:rsidRPr="000665B0">
        <w:t>Overwater Waypoints Record (</w:t>
      </w:r>
      <w:r w:rsidR="000A607E" w:rsidRPr="000665B0">
        <w:t>OWR</w:t>
      </w:r>
      <w:r w:rsidR="00B267E2" w:rsidRPr="000665B0">
        <w:t>)</w:t>
      </w:r>
      <w:r w:rsidR="000A607E" w:rsidRPr="000665B0">
        <w:t xml:space="preserve"> received.</w:t>
      </w:r>
    </w:p>
    <w:p w14:paraId="4AC3C8BE" w14:textId="77777777" w:rsidR="000A607E" w:rsidRPr="000665B0" w:rsidRDefault="000A607E" w:rsidP="006D5A65">
      <w:pPr>
        <w:pStyle w:val="Heading1"/>
      </w:pPr>
      <w:r w:rsidRPr="000665B0">
        <w:lastRenderedPageBreak/>
        <w:t>Received DTG – Received DTG of message.</w:t>
      </w:r>
    </w:p>
    <w:p w14:paraId="53F8F804" w14:textId="77777777" w:rsidR="000A607E" w:rsidRPr="000665B0" w:rsidRDefault="000A607E" w:rsidP="006D5A65">
      <w:pPr>
        <w:pStyle w:val="Heading1"/>
      </w:pPr>
      <w:r w:rsidRPr="000665B0">
        <w:t>Event Status – Status of message received. Varies depending on the type of message.</w:t>
      </w:r>
    </w:p>
    <w:p w14:paraId="114F86E0" w14:textId="77777777" w:rsidR="000A607E" w:rsidRPr="000665B0" w:rsidRDefault="000A607E" w:rsidP="006D5A65">
      <w:pPr>
        <w:pStyle w:val="Heading1"/>
      </w:pPr>
      <w:r w:rsidRPr="000665B0">
        <w:t>Event State – State of message.</w:t>
      </w:r>
    </w:p>
    <w:p w14:paraId="32F5F58D" w14:textId="77777777" w:rsidR="000A607E" w:rsidRPr="000665B0" w:rsidRDefault="000A607E" w:rsidP="006D5A65">
      <w:pPr>
        <w:pStyle w:val="Heading2"/>
      </w:pPr>
      <w:r w:rsidRPr="000665B0">
        <w:t>Good – Good message.</w:t>
      </w:r>
    </w:p>
    <w:p w14:paraId="20D9E237" w14:textId="77777777" w:rsidR="000A607E" w:rsidRPr="000665B0" w:rsidRDefault="000A607E" w:rsidP="006D5A65">
      <w:pPr>
        <w:pStyle w:val="Heading2"/>
      </w:pPr>
      <w:r w:rsidRPr="000665B0">
        <w:t>Fail – LER or SPEO with an exception.</w:t>
      </w:r>
    </w:p>
    <w:p w14:paraId="61C8101A" w14:textId="77777777" w:rsidR="000A607E" w:rsidRPr="000665B0" w:rsidRDefault="000A607E" w:rsidP="006D5A65">
      <w:pPr>
        <w:pStyle w:val="Heading2"/>
      </w:pPr>
      <w:r w:rsidRPr="000665B0">
        <w:t>Empty – Unknown or not applicable.</w:t>
      </w:r>
    </w:p>
    <w:p w14:paraId="66D41DF4" w14:textId="69BD3C5E" w:rsidR="00C020CD" w:rsidRPr="000665B0" w:rsidRDefault="00C020CD" w:rsidP="006D5A65">
      <w:pPr>
        <w:pStyle w:val="Heading1"/>
      </w:pPr>
      <w:r w:rsidRPr="000665B0">
        <w:t xml:space="preserve">MS# – </w:t>
      </w:r>
      <w:r w:rsidR="00E834F1" w:rsidRPr="000665B0">
        <w:t>Missile Sequence Number.</w:t>
      </w:r>
    </w:p>
    <w:p w14:paraId="531E9128" w14:textId="38D99160" w:rsidR="000A607E" w:rsidRPr="000665B0" w:rsidRDefault="000A607E" w:rsidP="000A607E">
      <w:pPr>
        <w:spacing w:after="0"/>
      </w:pPr>
      <w:r w:rsidRPr="000665B0">
        <w:t xml:space="preserve">Display message textually, in </w:t>
      </w:r>
      <w:r w:rsidR="00B040AE" w:rsidRPr="000665B0">
        <w:t>E</w:t>
      </w:r>
      <w:r w:rsidRPr="000665B0">
        <w:t xml:space="preserve">xcel, or print message are available through the context menu. </w:t>
      </w:r>
      <w:r w:rsidR="00BE6DF0" w:rsidRPr="000665B0">
        <w:t xml:space="preserve">The operator may also mark a message as </w:t>
      </w:r>
      <w:r w:rsidR="00BE6DF0" w:rsidRPr="000665B0">
        <w:rPr>
          <w:b/>
        </w:rPr>
        <w:t>Sent</w:t>
      </w:r>
      <w:r w:rsidR="00BE6DF0" w:rsidRPr="000665B0">
        <w:t xml:space="preserve"> or </w:t>
      </w:r>
      <w:r w:rsidR="00BE6DF0" w:rsidRPr="000665B0">
        <w:rPr>
          <w:b/>
        </w:rPr>
        <w:t>Unsent</w:t>
      </w:r>
      <w:r w:rsidR="00BE6DF0" w:rsidRPr="000665B0">
        <w:t xml:space="preserve">, as well as </w:t>
      </w:r>
      <w:r w:rsidR="00BE6DF0" w:rsidRPr="000665B0">
        <w:rPr>
          <w:b/>
        </w:rPr>
        <w:t>Send</w:t>
      </w:r>
      <w:r w:rsidR="00BE6DF0" w:rsidRPr="000665B0">
        <w:t xml:space="preserve"> a selected message.</w:t>
      </w:r>
      <w:r w:rsidR="00E834F1" w:rsidRPr="000665B0">
        <w:t xml:space="preserve"> Additionally, an entry in the </w:t>
      </w:r>
      <w:r w:rsidR="00E834F1" w:rsidRPr="000665B0">
        <w:rPr>
          <w:b/>
          <w:i/>
        </w:rPr>
        <w:t>FRU Events</w:t>
      </w:r>
      <w:r w:rsidR="00E834F1" w:rsidRPr="000665B0">
        <w:t xml:space="preserve"> tab that pertains to a missile event can be spotlighted using the context menu</w:t>
      </w:r>
      <w:r w:rsidR="00CF59E1" w:rsidRPr="000665B0">
        <w:t xml:space="preserve"> (see </w:t>
      </w:r>
      <w:hyperlink w:anchor="_Spotlighted_Assignments_List" w:history="1">
        <w:r w:rsidR="00157B2F" w:rsidRPr="000665B0">
          <w:rPr>
            <w:rStyle w:val="Hyperlink"/>
          </w:rPr>
          <w:t xml:space="preserve">Section </w:t>
        </w:r>
        <w:r w:rsidR="004231CC">
          <w:rPr>
            <w:rStyle w:val="Hyperlink"/>
          </w:rPr>
          <w:t>5.35</w:t>
        </w:r>
        <w:r w:rsidR="00157B2F" w:rsidRPr="000665B0">
          <w:rPr>
            <w:rStyle w:val="Hyperlink"/>
          </w:rPr>
          <w:t>.3.1.11</w:t>
        </w:r>
      </w:hyperlink>
      <w:r w:rsidR="00CF59E1" w:rsidRPr="000665B0">
        <w:t>)</w:t>
      </w:r>
      <w:r w:rsidR="00DC41C4" w:rsidRPr="000665B0">
        <w:t>.</w:t>
      </w:r>
      <w:r w:rsidR="00E834F1" w:rsidRPr="000665B0">
        <w:t xml:space="preserve"> If the event does not pertain to a missile (such as a Strike Exception event), the </w:t>
      </w:r>
      <w:r w:rsidR="00E834F1" w:rsidRPr="000665B0">
        <w:rPr>
          <w:b/>
        </w:rPr>
        <w:t>Spotlight</w:t>
      </w:r>
      <w:r w:rsidR="00E834F1" w:rsidRPr="000665B0">
        <w:t xml:space="preserve"> menu is disabled.</w:t>
      </w:r>
    </w:p>
    <w:p w14:paraId="56B391F5" w14:textId="75B24672" w:rsidR="000A607E" w:rsidRPr="000665B0" w:rsidRDefault="000A607E" w:rsidP="00306174">
      <w:pPr>
        <w:pStyle w:val="Heading6"/>
      </w:pPr>
      <w:bookmarkStart w:id="6671" w:name="_Missile_Assignments_Tab"/>
      <w:bookmarkStart w:id="6672" w:name="_Toc289328919"/>
      <w:bookmarkEnd w:id="6671"/>
      <w:r w:rsidRPr="000665B0">
        <w:t>Missile</w:t>
      </w:r>
      <w:r w:rsidR="00D96A6B" w:rsidRPr="000665B0">
        <w:t xml:space="preserve"> Assignment</w:t>
      </w:r>
      <w:r w:rsidRPr="000665B0">
        <w:t>s Tab</w:t>
      </w:r>
      <w:bookmarkEnd w:id="6672"/>
    </w:p>
    <w:p w14:paraId="41F34975" w14:textId="77777777" w:rsidR="00511C74" w:rsidRPr="000665B0" w:rsidRDefault="00511C74" w:rsidP="00511C74">
      <w:bookmarkStart w:id="6673" w:name="Manually_generate_a_SPEO"/>
      <w:r w:rsidRPr="000665B0">
        <w:t xml:space="preserve">The </w:t>
      </w:r>
      <w:r w:rsidRPr="000665B0">
        <w:rPr>
          <w:b/>
          <w:i/>
        </w:rPr>
        <w:t>Missile</w:t>
      </w:r>
      <w:r w:rsidR="00B040AE" w:rsidRPr="000665B0">
        <w:rPr>
          <w:b/>
          <w:i/>
        </w:rPr>
        <w:t xml:space="preserve"> Assignment</w:t>
      </w:r>
      <w:r w:rsidRPr="000665B0">
        <w:rPr>
          <w:b/>
          <w:i/>
        </w:rPr>
        <w:t>s</w:t>
      </w:r>
      <w:r w:rsidRPr="000665B0">
        <w:t xml:space="preserve"> </w:t>
      </w:r>
      <w:r w:rsidR="00B040AE" w:rsidRPr="000665B0">
        <w:t xml:space="preserve">tab </w:t>
      </w:r>
      <w:r w:rsidRPr="000665B0">
        <w:t xml:space="preserve">shows all the missiles assigned to the selected FRU. </w:t>
      </w:r>
    </w:p>
    <w:p w14:paraId="08693FF1" w14:textId="0DB37D0B" w:rsidR="00C52F4E" w:rsidRPr="000665B0" w:rsidRDefault="00367AC4" w:rsidP="00CB3E29">
      <w:pPr>
        <w:jc w:val="center"/>
      </w:pPr>
      <w:r w:rsidRPr="000665B0">
        <w:rPr>
          <w:noProof/>
        </w:rPr>
        <w:drawing>
          <wp:inline distT="0" distB="0" distL="0" distR="0" wp14:anchorId="7A066EE0" wp14:editId="4D9791DD">
            <wp:extent cx="4983480" cy="2103120"/>
            <wp:effectExtent l="0" t="0" r="0" b="0"/>
            <wp:docPr id="2180" name="Picture 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2103120"/>
                    </a:xfrm>
                    <a:prstGeom prst="rect">
                      <a:avLst/>
                    </a:prstGeom>
                  </pic:spPr>
                </pic:pic>
              </a:graphicData>
            </a:graphic>
          </wp:inline>
        </w:drawing>
      </w:r>
    </w:p>
    <w:p w14:paraId="2D55E519" w14:textId="2B442045" w:rsidR="00511C74" w:rsidRPr="000665B0" w:rsidRDefault="00B040AE" w:rsidP="00511C74">
      <w:r w:rsidRPr="000665B0">
        <w:t xml:space="preserve">The </w:t>
      </w:r>
      <w:r w:rsidRPr="000665B0">
        <w:rPr>
          <w:b/>
        </w:rPr>
        <w:t>Missile Assignments</w:t>
      </w:r>
      <w:r w:rsidRPr="000665B0">
        <w:t xml:space="preserve"> list view c</w:t>
      </w:r>
      <w:r w:rsidR="00511C74" w:rsidRPr="000665B0">
        <w:t>olumns are:</w:t>
      </w:r>
    </w:p>
    <w:p w14:paraId="5342B085" w14:textId="77777777" w:rsidR="00511C74" w:rsidRPr="000665B0" w:rsidRDefault="00511C74" w:rsidP="006D5A65">
      <w:pPr>
        <w:pStyle w:val="Heading1"/>
      </w:pPr>
      <w:r w:rsidRPr="000665B0">
        <w:t>Option</w:t>
      </w:r>
      <w:r w:rsidR="00997965" w:rsidRPr="000665B0">
        <w:t xml:space="preserve"> </w:t>
      </w:r>
      <w:r w:rsidRPr="000665B0">
        <w:t>ID – Option that missile is in.</w:t>
      </w:r>
    </w:p>
    <w:p w14:paraId="440A5DA8" w14:textId="4DFFE765" w:rsidR="00990594" w:rsidRPr="000665B0" w:rsidRDefault="00A96EC4" w:rsidP="006D5A65">
      <w:pPr>
        <w:pStyle w:val="Heading1"/>
      </w:pPr>
      <w:r w:rsidRPr="000665B0">
        <w:t xml:space="preserve">OWR – </w:t>
      </w:r>
      <w:r w:rsidR="00990594" w:rsidRPr="000665B0">
        <w:t>Circular icon that indicates whether an OWR has been received for the assigned missile. The icon indicators are as follows:</w:t>
      </w:r>
    </w:p>
    <w:p w14:paraId="5CB7D198" w14:textId="4CDE4073" w:rsidR="00990594" w:rsidRPr="000665B0" w:rsidRDefault="00990594" w:rsidP="006D5A65">
      <w:pPr>
        <w:pStyle w:val="Heading2"/>
      </w:pPr>
      <w:r w:rsidRPr="000665B0">
        <w:t xml:space="preserve">Blank (no circular icon) – Indicates that an OWR is not expected as the assignment is for ghost or pool. </w:t>
      </w:r>
    </w:p>
    <w:p w14:paraId="12F08CB6" w14:textId="6C76B4DC" w:rsidR="00990594" w:rsidRPr="000665B0" w:rsidRDefault="00990594" w:rsidP="006D5A65">
      <w:pPr>
        <w:pStyle w:val="Heading2"/>
      </w:pPr>
      <w:r w:rsidRPr="000665B0">
        <w:t xml:space="preserve">White (OWR is Outstanding) – Indicates that an OWR is expected but has not yet been received. </w:t>
      </w:r>
    </w:p>
    <w:p w14:paraId="2A480750" w14:textId="0020905C" w:rsidR="00A96EC4" w:rsidRPr="000665B0" w:rsidRDefault="00990594" w:rsidP="006D5A65">
      <w:pPr>
        <w:pStyle w:val="Heading2"/>
      </w:pPr>
      <w:r w:rsidRPr="000665B0">
        <w:lastRenderedPageBreak/>
        <w:t xml:space="preserve">Green (OWR </w:t>
      </w:r>
      <w:r w:rsidR="00A203C2" w:rsidRPr="000665B0">
        <w:t>has</w:t>
      </w:r>
      <w:r w:rsidRPr="000665B0">
        <w:t xml:space="preserve"> been Received) – Indicates that all of the expected OWRs have been received. </w:t>
      </w:r>
    </w:p>
    <w:p w14:paraId="504BB52B" w14:textId="1FB431B4" w:rsidR="00A96EC4" w:rsidRPr="000665B0" w:rsidRDefault="00A96EC4" w:rsidP="006D5A65">
      <w:pPr>
        <w:pStyle w:val="Heading1"/>
      </w:pPr>
      <w:r w:rsidRPr="000665B0">
        <w:t xml:space="preserve">LER – </w:t>
      </w:r>
      <w:r w:rsidR="00990594" w:rsidRPr="000665B0">
        <w:t>Circular icon that indicates whether an LER has been received for the assigned missile. The icon indicators are as follows:</w:t>
      </w:r>
    </w:p>
    <w:p w14:paraId="41C26FA3" w14:textId="66F3B78F" w:rsidR="00990594" w:rsidRPr="000665B0" w:rsidRDefault="00990594" w:rsidP="006D5A65">
      <w:pPr>
        <w:pStyle w:val="Heading2"/>
      </w:pPr>
      <w:r w:rsidRPr="000665B0">
        <w:t xml:space="preserve">Blank (no circular icon) – Indicates that no LER is expected as </w:t>
      </w:r>
      <w:r w:rsidRPr="000665B0">
        <w:rPr>
          <w:rFonts w:cs="Arial"/>
          <w:szCs w:val="24"/>
        </w:rPr>
        <w:t>the FRU has no primary assignment, or that the FRU is BOO (ghost)</w:t>
      </w:r>
      <w:r w:rsidRPr="000665B0">
        <w:t xml:space="preserve">. </w:t>
      </w:r>
    </w:p>
    <w:p w14:paraId="5B41A9B6" w14:textId="60CE868F" w:rsidR="00990594" w:rsidRPr="000665B0" w:rsidRDefault="00990594" w:rsidP="006D5A65">
      <w:pPr>
        <w:pStyle w:val="Heading2"/>
      </w:pPr>
      <w:r w:rsidRPr="000665B0">
        <w:t>White (LER is Outstanding)</w:t>
      </w:r>
      <w:r w:rsidR="00FC5C00" w:rsidRPr="000665B0">
        <w:t xml:space="preserve"> </w:t>
      </w:r>
      <w:r w:rsidRPr="000665B0">
        <w:t>– Indicates that a</w:t>
      </w:r>
      <w:r w:rsidR="008A637A" w:rsidRPr="000665B0">
        <w:t>n</w:t>
      </w:r>
      <w:r w:rsidRPr="000665B0">
        <w:t xml:space="preserve"> LER is expected but has not yet been received.</w:t>
      </w:r>
      <w:r w:rsidR="008A637A" w:rsidRPr="000665B0">
        <w:t xml:space="preserve"> </w:t>
      </w:r>
    </w:p>
    <w:p w14:paraId="0118A1BC" w14:textId="44884560" w:rsidR="00990594" w:rsidRPr="000665B0" w:rsidRDefault="00990594" w:rsidP="006D5A65">
      <w:pPr>
        <w:pStyle w:val="Heading2"/>
      </w:pPr>
      <w:r w:rsidRPr="000665B0">
        <w:t>Green (LER Has Been Received) – Indicates that the expected LER has been received.</w:t>
      </w:r>
    </w:p>
    <w:p w14:paraId="487EC117" w14:textId="71DD5740" w:rsidR="00990594" w:rsidRPr="000665B0" w:rsidRDefault="00990594" w:rsidP="006D5A65">
      <w:pPr>
        <w:pStyle w:val="Heading2"/>
      </w:pPr>
      <w:r w:rsidRPr="000665B0">
        <w:t xml:space="preserve">Yellow (LER is Late) – Indicates that </w:t>
      </w:r>
      <w:r w:rsidR="008A637A" w:rsidRPr="000665B0">
        <w:t>the</w:t>
      </w:r>
      <w:r w:rsidRPr="000665B0">
        <w:t xml:space="preserve"> LER is past due.</w:t>
      </w:r>
      <w:r w:rsidR="008A637A" w:rsidRPr="000665B0">
        <w:t xml:space="preserve"> LERs are expected within a specific time interval after launch; see </w:t>
      </w:r>
      <w:hyperlink w:anchor="_Execution_Tab" w:history="1">
        <w:r w:rsidR="009326FE" w:rsidRPr="000665B0">
          <w:rPr>
            <w:rStyle w:val="Hyperlink"/>
          </w:rPr>
          <w:t xml:space="preserve">Section </w:t>
        </w:r>
        <w:r w:rsidR="004231CC">
          <w:rPr>
            <w:rStyle w:val="Hyperlink"/>
          </w:rPr>
          <w:t>5.34</w:t>
        </w:r>
        <w:r w:rsidR="00FC5C00" w:rsidRPr="000665B0">
          <w:rPr>
            <w:rStyle w:val="Hyperlink"/>
          </w:rPr>
          <w:t>.1.1.4.3</w:t>
        </w:r>
      </w:hyperlink>
      <w:r w:rsidR="008A637A" w:rsidRPr="000665B0">
        <w:t xml:space="preserve"> for information about setting the time interval.</w:t>
      </w:r>
    </w:p>
    <w:p w14:paraId="5F92EA9E" w14:textId="71D57723" w:rsidR="00D127E7" w:rsidRPr="000665B0" w:rsidRDefault="00D127E7" w:rsidP="006D5A65">
      <w:pPr>
        <w:pStyle w:val="Heading2"/>
      </w:pPr>
      <w:r w:rsidRPr="000665B0">
        <w:t>Red (LER is a Failure) – Indicates that the LER indicates a failed missile.</w:t>
      </w:r>
    </w:p>
    <w:p w14:paraId="601EDB29" w14:textId="5B65190C" w:rsidR="008A637A" w:rsidRPr="000665B0" w:rsidRDefault="00A96EC4" w:rsidP="006D5A65">
      <w:pPr>
        <w:pStyle w:val="Heading1"/>
      </w:pPr>
      <w:r w:rsidRPr="000665B0">
        <w:t xml:space="preserve">MSL – </w:t>
      </w:r>
      <w:r w:rsidR="008A637A" w:rsidRPr="000665B0">
        <w:t>Circular icon that indicates the operational status for the assigned missile. The icon indicators are as follows:</w:t>
      </w:r>
    </w:p>
    <w:p w14:paraId="1ACAAEEE" w14:textId="68BAD080" w:rsidR="008A637A" w:rsidRPr="000665B0" w:rsidRDefault="008A637A" w:rsidP="006D5A65">
      <w:pPr>
        <w:pStyle w:val="Heading2"/>
      </w:pPr>
      <w:r w:rsidRPr="000665B0">
        <w:t xml:space="preserve">Blank (no circular icon) – Indicates that no status is expected as </w:t>
      </w:r>
      <w:r w:rsidRPr="000665B0">
        <w:rPr>
          <w:rFonts w:cs="Arial"/>
          <w:szCs w:val="24"/>
        </w:rPr>
        <w:t>the FRU has no primary assignment</w:t>
      </w:r>
      <w:r w:rsidRPr="000665B0">
        <w:t xml:space="preserve">. </w:t>
      </w:r>
    </w:p>
    <w:p w14:paraId="6CA59DAD" w14:textId="6C7854FD" w:rsidR="008A637A" w:rsidRPr="000665B0" w:rsidRDefault="008A637A" w:rsidP="006D5A65">
      <w:pPr>
        <w:pStyle w:val="Heading2"/>
      </w:pPr>
      <w:r w:rsidRPr="000665B0">
        <w:t>White (No Status) – Indicates that this is a</w:t>
      </w:r>
      <w:r w:rsidR="00660BA1" w:rsidRPr="000665B0">
        <w:t xml:space="preserve"> primary missile that does not yet have a status</w:t>
      </w:r>
      <w:r w:rsidRPr="000665B0">
        <w:t>.</w:t>
      </w:r>
    </w:p>
    <w:p w14:paraId="289EDF0C" w14:textId="500AF81F" w:rsidR="008A637A" w:rsidRPr="000665B0" w:rsidRDefault="008A637A" w:rsidP="006D5A65">
      <w:pPr>
        <w:pStyle w:val="Heading2"/>
      </w:pPr>
      <w:r w:rsidRPr="000665B0">
        <w:t>Green (Missile is Good)</w:t>
      </w:r>
      <w:r w:rsidR="00FC5C00" w:rsidRPr="000665B0">
        <w:t xml:space="preserve"> </w:t>
      </w:r>
      <w:r w:rsidRPr="000665B0">
        <w:t xml:space="preserve">– </w:t>
      </w:r>
      <w:r w:rsidR="00AC1493" w:rsidRPr="000665B0">
        <w:t>A missile’s estimated launch time has passed and an LER or H&amp;S message has been received for the missile, or the missile was marked as good.</w:t>
      </w:r>
    </w:p>
    <w:p w14:paraId="71DFAA18" w14:textId="065C96E8" w:rsidR="008A637A" w:rsidRPr="000665B0" w:rsidRDefault="008A637A" w:rsidP="006D5A65">
      <w:pPr>
        <w:pStyle w:val="Heading2"/>
      </w:pPr>
      <w:r w:rsidRPr="000665B0">
        <w:t>Yellow (</w:t>
      </w:r>
      <w:r w:rsidR="00AC1493" w:rsidRPr="000665B0">
        <w:t>Missile has a Warning</w:t>
      </w:r>
      <w:r w:rsidRPr="000665B0">
        <w:t>)</w:t>
      </w:r>
      <w:r w:rsidR="00FC5C00" w:rsidRPr="000665B0">
        <w:t xml:space="preserve"> </w:t>
      </w:r>
      <w:r w:rsidRPr="000665B0">
        <w:t xml:space="preserve">– Indicates that the </w:t>
      </w:r>
      <w:r w:rsidR="00AC1493" w:rsidRPr="000665B0">
        <w:t>missile has a warning, which can be set by the user or by the system</w:t>
      </w:r>
      <w:r w:rsidRPr="000665B0">
        <w:t>.</w:t>
      </w:r>
      <w:r w:rsidR="00AC1493" w:rsidRPr="000665B0">
        <w:t xml:space="preserve"> The system will set the status to yellow when an LER or H&amp;S message has not been received within a time duration since launch. LERs are expected within a specific time interval after launch; see </w:t>
      </w:r>
      <w:hyperlink w:anchor="_Execution_Tab" w:history="1">
        <w:r w:rsidR="009326FE" w:rsidRPr="000665B0">
          <w:rPr>
            <w:rStyle w:val="Hyperlink"/>
          </w:rPr>
          <w:t xml:space="preserve">Section </w:t>
        </w:r>
        <w:r w:rsidR="004231CC">
          <w:rPr>
            <w:rStyle w:val="Hyperlink"/>
          </w:rPr>
          <w:t>5.34</w:t>
        </w:r>
        <w:r w:rsidR="00AC1493" w:rsidRPr="000665B0">
          <w:rPr>
            <w:rStyle w:val="Hyperlink"/>
          </w:rPr>
          <w:t>.1.1.4.3</w:t>
        </w:r>
      </w:hyperlink>
      <w:r w:rsidR="00AC1493" w:rsidRPr="000665B0">
        <w:t xml:space="preserve"> for information about setting the time interval.</w:t>
      </w:r>
    </w:p>
    <w:p w14:paraId="0FCBC785" w14:textId="5F614ECA" w:rsidR="00A96EC4" w:rsidRPr="000665B0" w:rsidRDefault="008A637A" w:rsidP="006D5A65">
      <w:pPr>
        <w:pStyle w:val="Heading2"/>
      </w:pPr>
      <w:r w:rsidRPr="000665B0">
        <w:t xml:space="preserve">Red (Missile has a Failure) – </w:t>
      </w:r>
      <w:r w:rsidR="00AC1493" w:rsidRPr="000665B0">
        <w:t xml:space="preserve">Indicates that the missile has a failure, which can be set by the user or by the system. A </w:t>
      </w:r>
      <w:r w:rsidR="00AC1493" w:rsidRPr="000665B0">
        <w:lastRenderedPageBreak/>
        <w:t xml:space="preserve">BIT failure or any reported problem in </w:t>
      </w:r>
      <w:r w:rsidR="00660BA1" w:rsidRPr="000665B0">
        <w:t xml:space="preserve">a </w:t>
      </w:r>
      <w:r w:rsidR="00AC1493" w:rsidRPr="000665B0">
        <w:t>received H&amp;S message changes the icon to red.</w:t>
      </w:r>
    </w:p>
    <w:p w14:paraId="407AC03F" w14:textId="77777777" w:rsidR="00511C74" w:rsidRPr="000665B0" w:rsidRDefault="00511C74" w:rsidP="006D5A65">
      <w:pPr>
        <w:pStyle w:val="Heading1"/>
      </w:pPr>
      <w:r w:rsidRPr="000665B0">
        <w:t>Msl State – State of missile.</w:t>
      </w:r>
    </w:p>
    <w:p w14:paraId="402E1A3C" w14:textId="77777777" w:rsidR="00511C74" w:rsidRPr="000665B0" w:rsidRDefault="00511C74" w:rsidP="006D5A65">
      <w:pPr>
        <w:pStyle w:val="Heading2"/>
      </w:pPr>
      <w:r w:rsidRPr="000665B0">
        <w:t>Good – Missile has launched.</w:t>
      </w:r>
    </w:p>
    <w:p w14:paraId="43B15879" w14:textId="77777777" w:rsidR="00511C74" w:rsidRPr="000665B0" w:rsidRDefault="00511C74" w:rsidP="006D5A65">
      <w:pPr>
        <w:pStyle w:val="Heading2"/>
      </w:pPr>
      <w:r w:rsidRPr="000665B0">
        <w:t>Warning – Missile has a warning. Check the Events list view to determine what the warning is. An example of a warning is a missed TSN message.</w:t>
      </w:r>
    </w:p>
    <w:p w14:paraId="059BEA49" w14:textId="77777777" w:rsidR="00511C74" w:rsidRPr="000665B0" w:rsidRDefault="00511C74" w:rsidP="006D5A65">
      <w:pPr>
        <w:pStyle w:val="Heading2"/>
      </w:pPr>
      <w:r w:rsidRPr="000665B0">
        <w:t xml:space="preserve">Critical – Missile requires immediate attention. </w:t>
      </w:r>
    </w:p>
    <w:p w14:paraId="49779B35" w14:textId="77777777" w:rsidR="00511C74" w:rsidRPr="000665B0" w:rsidRDefault="00511C74" w:rsidP="006D5A65">
      <w:pPr>
        <w:pStyle w:val="Heading2"/>
      </w:pPr>
      <w:r w:rsidRPr="000665B0">
        <w:t>Fail – Missile has failed.</w:t>
      </w:r>
    </w:p>
    <w:p w14:paraId="0C8A0BEF" w14:textId="77777777" w:rsidR="00511C74" w:rsidRPr="000665B0" w:rsidRDefault="00511C74" w:rsidP="006D5A65">
      <w:pPr>
        <w:pStyle w:val="Heading1"/>
      </w:pPr>
      <w:r w:rsidRPr="000665B0">
        <w:t>Msl Progress – Progress of missile.</w:t>
      </w:r>
    </w:p>
    <w:p w14:paraId="26F894D6" w14:textId="77777777" w:rsidR="00511C74" w:rsidRPr="000665B0" w:rsidRDefault="00511C74" w:rsidP="006D5A65">
      <w:pPr>
        <w:pStyle w:val="Heading2"/>
      </w:pPr>
      <w:r w:rsidRPr="000665B0">
        <w:t>Hold – Missile is on hold.</w:t>
      </w:r>
    </w:p>
    <w:p w14:paraId="29729462" w14:textId="77777777" w:rsidR="00511C74" w:rsidRPr="000665B0" w:rsidRDefault="00511C74" w:rsidP="006D5A65">
      <w:pPr>
        <w:pStyle w:val="Heading2"/>
      </w:pPr>
      <w:r w:rsidRPr="000665B0">
        <w:t>Enroute – Missile has launched.</w:t>
      </w:r>
    </w:p>
    <w:p w14:paraId="2BB347BF" w14:textId="619F4419" w:rsidR="00511C74" w:rsidRPr="000665B0" w:rsidRDefault="00511C74" w:rsidP="006D5A65">
      <w:pPr>
        <w:pStyle w:val="Heading2"/>
      </w:pPr>
      <w:r w:rsidRPr="000665B0">
        <w:t>On Target – Missile on target.</w:t>
      </w:r>
    </w:p>
    <w:p w14:paraId="5E162AC2" w14:textId="48F6FBCA" w:rsidR="00EB6103" w:rsidRPr="000665B0" w:rsidRDefault="00EB6103" w:rsidP="006D5A65">
      <w:pPr>
        <w:pStyle w:val="Heading2"/>
      </w:pPr>
      <w:r w:rsidRPr="000665B0">
        <w:t>On Preplanned Route (Prior to or at GHP)</w:t>
      </w:r>
      <w:r w:rsidR="002535B7" w:rsidRPr="000665B0">
        <w:t xml:space="preserve"> </w:t>
      </w:r>
      <w:r w:rsidR="00122900" w:rsidRPr="000665B0">
        <w:t xml:space="preserve">– </w:t>
      </w:r>
      <w:r w:rsidR="00551270" w:rsidRPr="000665B0">
        <w:t xml:space="preserve">Missile is on the preplanned route and prior to the GHP </w:t>
      </w:r>
      <w:r w:rsidR="002535B7" w:rsidRPr="000665B0">
        <w:t>(maritime strike).</w:t>
      </w:r>
    </w:p>
    <w:p w14:paraId="13733FA1" w14:textId="127F65C9" w:rsidR="00EB6103" w:rsidRPr="000665B0" w:rsidRDefault="00EB6103" w:rsidP="006D5A65">
      <w:pPr>
        <w:pStyle w:val="Heading2"/>
      </w:pPr>
      <w:r w:rsidRPr="000665B0">
        <w:t>Target Miss</w:t>
      </w:r>
      <w:r w:rsidR="002535B7" w:rsidRPr="000665B0">
        <w:t xml:space="preserve"> </w:t>
      </w:r>
      <w:r w:rsidR="00122900" w:rsidRPr="000665B0">
        <w:t xml:space="preserve">– </w:t>
      </w:r>
      <w:r w:rsidR="00551270" w:rsidRPr="000665B0">
        <w:t xml:space="preserve">Missile has missed the target </w:t>
      </w:r>
      <w:r w:rsidR="002535B7" w:rsidRPr="000665B0">
        <w:t>(maritime strike).</w:t>
      </w:r>
    </w:p>
    <w:p w14:paraId="475CAD39" w14:textId="26FB469A" w:rsidR="00EB6103" w:rsidRPr="000665B0" w:rsidRDefault="00EB6103" w:rsidP="006D5A65">
      <w:pPr>
        <w:pStyle w:val="Heading2"/>
      </w:pPr>
      <w:r w:rsidRPr="000665B0">
        <w:t>On Aimpoint Update (Divert)</w:t>
      </w:r>
      <w:r w:rsidR="00122900" w:rsidRPr="000665B0">
        <w:t xml:space="preserve"> – </w:t>
      </w:r>
      <w:r w:rsidR="00551270" w:rsidRPr="000665B0">
        <w:t xml:space="preserve">Missile has been diverted </w:t>
      </w:r>
      <w:r w:rsidR="002535B7" w:rsidRPr="000665B0">
        <w:t>(maritime strike).</w:t>
      </w:r>
    </w:p>
    <w:p w14:paraId="496E4437" w14:textId="635710AF" w:rsidR="00EB6103" w:rsidRPr="000665B0" w:rsidRDefault="00EB6103" w:rsidP="006D5A65">
      <w:pPr>
        <w:pStyle w:val="Heading2"/>
      </w:pPr>
      <w:r w:rsidRPr="000665B0">
        <w:t>Abort</w:t>
      </w:r>
      <w:r w:rsidR="00122900" w:rsidRPr="000665B0">
        <w:t xml:space="preserve"> – </w:t>
      </w:r>
      <w:r w:rsidR="00551270" w:rsidRPr="000665B0">
        <w:t xml:space="preserve">Missile has been aborted </w:t>
      </w:r>
      <w:r w:rsidR="002535B7" w:rsidRPr="000665B0">
        <w:t>(maritime strike).</w:t>
      </w:r>
    </w:p>
    <w:p w14:paraId="263BCA06" w14:textId="416BBFE6" w:rsidR="00EB6103" w:rsidRPr="000665B0" w:rsidRDefault="00EB6103" w:rsidP="006D5A65">
      <w:pPr>
        <w:pStyle w:val="Heading2"/>
      </w:pPr>
      <w:r w:rsidRPr="000665B0">
        <w:t>Departed Preplanned Route (Past GHP</w:t>
      </w:r>
      <w:r w:rsidR="008A5254" w:rsidRPr="000665B0">
        <w:t>)</w:t>
      </w:r>
      <w:r w:rsidR="002535B7" w:rsidRPr="000665B0">
        <w:t xml:space="preserve"> </w:t>
      </w:r>
      <w:r w:rsidR="00122900" w:rsidRPr="000665B0">
        <w:t xml:space="preserve">– </w:t>
      </w:r>
      <w:r w:rsidR="00551270" w:rsidRPr="000665B0">
        <w:t xml:space="preserve">Missile has departed the preplanned route and is past the GHP </w:t>
      </w:r>
      <w:r w:rsidR="002535B7" w:rsidRPr="000665B0">
        <w:t>(maritime strike).</w:t>
      </w:r>
    </w:p>
    <w:p w14:paraId="5EC20C10" w14:textId="7FC182F4" w:rsidR="00EB6103" w:rsidRPr="000665B0" w:rsidRDefault="00EB6103" w:rsidP="006D5A65">
      <w:pPr>
        <w:pStyle w:val="Heading2"/>
      </w:pPr>
      <w:r w:rsidRPr="000665B0">
        <w:t>Engaging Primary Target Class</w:t>
      </w:r>
      <w:r w:rsidR="00122900" w:rsidRPr="000665B0">
        <w:t xml:space="preserve"> – </w:t>
      </w:r>
      <w:r w:rsidR="00551270" w:rsidRPr="000665B0">
        <w:t xml:space="preserve">Missile is engaging the Primary target class </w:t>
      </w:r>
      <w:r w:rsidR="002535B7" w:rsidRPr="000665B0">
        <w:t>(maritime strike).</w:t>
      </w:r>
    </w:p>
    <w:p w14:paraId="5555B161" w14:textId="02FBA0D6" w:rsidR="00EB6103" w:rsidRPr="000665B0" w:rsidRDefault="00EB6103" w:rsidP="006D5A65">
      <w:pPr>
        <w:pStyle w:val="Heading2"/>
      </w:pPr>
      <w:r w:rsidRPr="000665B0">
        <w:t>Engaging Secondary Target Class</w:t>
      </w:r>
      <w:r w:rsidR="00122900" w:rsidRPr="000665B0">
        <w:t xml:space="preserve"> – </w:t>
      </w:r>
      <w:r w:rsidR="00551270" w:rsidRPr="000665B0">
        <w:t xml:space="preserve">Missile is engaging the Secondary target class </w:t>
      </w:r>
      <w:r w:rsidR="002535B7" w:rsidRPr="000665B0">
        <w:t>(maritime strike).</w:t>
      </w:r>
    </w:p>
    <w:p w14:paraId="5382C1D6" w14:textId="1B6A10FB" w:rsidR="00EB6103" w:rsidRPr="000665B0" w:rsidRDefault="00EB6103" w:rsidP="006D5A65">
      <w:pPr>
        <w:pStyle w:val="Heading2"/>
      </w:pPr>
      <w:r w:rsidRPr="000665B0">
        <w:t>Engaging Tertiary Target Class</w:t>
      </w:r>
      <w:r w:rsidR="00122900" w:rsidRPr="000665B0">
        <w:t xml:space="preserve"> – </w:t>
      </w:r>
      <w:r w:rsidR="00551270" w:rsidRPr="000665B0">
        <w:t xml:space="preserve">Missile is engaging the Tertiary target class </w:t>
      </w:r>
      <w:r w:rsidR="002535B7" w:rsidRPr="000665B0">
        <w:t>(maritime strike).</w:t>
      </w:r>
    </w:p>
    <w:p w14:paraId="3D8B98AA" w14:textId="12525EC6" w:rsidR="00EB6103" w:rsidRPr="000665B0" w:rsidRDefault="00EB6103" w:rsidP="006D5A65">
      <w:pPr>
        <w:pStyle w:val="Heading2"/>
      </w:pPr>
      <w:r w:rsidRPr="000665B0">
        <w:t>On Preplanned Route (Past GHP)</w:t>
      </w:r>
      <w:r w:rsidR="00122900" w:rsidRPr="000665B0">
        <w:t xml:space="preserve"> – </w:t>
      </w:r>
      <w:r w:rsidR="00551270" w:rsidRPr="000665B0">
        <w:t xml:space="preserve">Missile is on the preplanned route and is past the GHP </w:t>
      </w:r>
      <w:r w:rsidR="002535B7" w:rsidRPr="000665B0">
        <w:t>(maritime strike).</w:t>
      </w:r>
    </w:p>
    <w:p w14:paraId="36044D4C" w14:textId="6F7009FF" w:rsidR="00EB6103" w:rsidRPr="000665B0" w:rsidRDefault="00EB6103" w:rsidP="006D5A65">
      <w:pPr>
        <w:pStyle w:val="Heading2"/>
      </w:pPr>
      <w:r w:rsidRPr="000665B0">
        <w:lastRenderedPageBreak/>
        <w:t>On Preplanned Route (In Loiter)</w:t>
      </w:r>
      <w:r w:rsidR="00122900" w:rsidRPr="000665B0">
        <w:t xml:space="preserve"> – </w:t>
      </w:r>
      <w:r w:rsidR="00551270" w:rsidRPr="000665B0">
        <w:t xml:space="preserve">Missile is on the preplanned route and loitering </w:t>
      </w:r>
      <w:r w:rsidR="002535B7" w:rsidRPr="000665B0">
        <w:t>(maritime strike).</w:t>
      </w:r>
    </w:p>
    <w:p w14:paraId="17D4438E" w14:textId="5EF0F06F" w:rsidR="00A533A3" w:rsidRPr="000665B0" w:rsidRDefault="00A533A3" w:rsidP="006D5A65">
      <w:pPr>
        <w:pStyle w:val="Heading1"/>
      </w:pPr>
      <w:r w:rsidRPr="000665B0">
        <w:t xml:space="preserve">Time to Tgt – </w:t>
      </w:r>
      <w:r w:rsidR="00F020C7" w:rsidRPr="000665B0">
        <w:t>Arrival time of missile to Target.</w:t>
      </w:r>
    </w:p>
    <w:p w14:paraId="57366439" w14:textId="45B273DF" w:rsidR="00122900" w:rsidRPr="000665B0" w:rsidRDefault="00122900" w:rsidP="006D5A65">
      <w:pPr>
        <w:pStyle w:val="Heading1"/>
      </w:pPr>
      <w:bookmarkStart w:id="6674" w:name="_Hlk76575005"/>
      <w:r w:rsidRPr="000665B0">
        <w:t xml:space="preserve">MST Primary Target Class – </w:t>
      </w:r>
      <w:r w:rsidR="00551270" w:rsidRPr="000665B0">
        <w:t xml:space="preserve">The Primary target class for the missile to engage </w:t>
      </w:r>
      <w:r w:rsidR="002535B7" w:rsidRPr="000665B0">
        <w:t>(maritime strike).</w:t>
      </w:r>
    </w:p>
    <w:p w14:paraId="0A514740" w14:textId="367E570D" w:rsidR="00122900" w:rsidRPr="000665B0" w:rsidRDefault="00122900" w:rsidP="006D5A65">
      <w:pPr>
        <w:pStyle w:val="Heading1"/>
      </w:pPr>
      <w:r w:rsidRPr="000665B0">
        <w:t xml:space="preserve">MST Secondary Target Class – </w:t>
      </w:r>
      <w:r w:rsidR="005C1896" w:rsidRPr="000665B0">
        <w:t xml:space="preserve">The Secondary target class for the missile to engage </w:t>
      </w:r>
      <w:r w:rsidR="002535B7" w:rsidRPr="000665B0">
        <w:t>(maritime strike).</w:t>
      </w:r>
      <w:r w:rsidRPr="000665B0">
        <w:t xml:space="preserve"> </w:t>
      </w:r>
    </w:p>
    <w:p w14:paraId="54821D5D" w14:textId="3BA2B6F3" w:rsidR="00122900" w:rsidRPr="000665B0" w:rsidRDefault="00122900" w:rsidP="006D5A65">
      <w:pPr>
        <w:pStyle w:val="Heading1"/>
      </w:pPr>
      <w:r w:rsidRPr="000665B0">
        <w:t xml:space="preserve">MST Tertiary Target Class – </w:t>
      </w:r>
      <w:r w:rsidR="005C1896" w:rsidRPr="000665B0">
        <w:t xml:space="preserve">The Tertiary target class for the missile to engage </w:t>
      </w:r>
      <w:r w:rsidR="002535B7" w:rsidRPr="000665B0">
        <w:t>(maritime strike).</w:t>
      </w:r>
      <w:r w:rsidRPr="000665B0">
        <w:t xml:space="preserve"> </w:t>
      </w:r>
    </w:p>
    <w:p w14:paraId="727FA036" w14:textId="02A7BEB8" w:rsidR="00122900" w:rsidRPr="00B17338" w:rsidRDefault="00122900" w:rsidP="006D5A65">
      <w:pPr>
        <w:pStyle w:val="Heading1"/>
        <w:rPr>
          <w:lang w:val="da-DK"/>
        </w:rPr>
      </w:pPr>
      <w:r w:rsidRPr="00B17338">
        <w:rPr>
          <w:lang w:val="da-DK"/>
        </w:rPr>
        <w:t xml:space="preserve">MST ID – </w:t>
      </w:r>
      <w:r w:rsidR="00FB2C86" w:rsidRPr="00B17338">
        <w:rPr>
          <w:lang w:val="da-DK"/>
        </w:rPr>
        <w:t>MST ID</w:t>
      </w:r>
      <w:r w:rsidR="002535B7" w:rsidRPr="00B17338">
        <w:rPr>
          <w:lang w:val="da-DK"/>
        </w:rPr>
        <w:t xml:space="preserve"> (maritime strike).</w:t>
      </w:r>
    </w:p>
    <w:p w14:paraId="1FD6F176" w14:textId="672BAFEB" w:rsidR="00296575" w:rsidRPr="000665B0" w:rsidRDefault="00296575" w:rsidP="006D5A65">
      <w:pPr>
        <w:pStyle w:val="Heading1"/>
      </w:pPr>
      <w:bookmarkStart w:id="6675" w:name="_Hlk74234159"/>
      <w:r w:rsidRPr="000665B0">
        <w:t>Seeker Acquisition State – State of missile Seeker Acquisition</w:t>
      </w:r>
      <w:r w:rsidR="004A396C" w:rsidRPr="000665B0">
        <w:t xml:space="preserve"> (maritime strike)</w:t>
      </w:r>
      <w:r w:rsidRPr="000665B0">
        <w:t>. Possible states include:</w:t>
      </w:r>
    </w:p>
    <w:bookmarkEnd w:id="6675"/>
    <w:p w14:paraId="13F9F63D" w14:textId="77777777" w:rsidR="00296575" w:rsidRPr="000665B0" w:rsidRDefault="00296575" w:rsidP="006D5A65">
      <w:pPr>
        <w:pStyle w:val="Heading2"/>
      </w:pPr>
      <w:r w:rsidRPr="000665B0">
        <w:t>Not Acquired – Target not acquired</w:t>
      </w:r>
    </w:p>
    <w:p w14:paraId="776848BD" w14:textId="3EA31AF4" w:rsidR="00296575" w:rsidRPr="000665B0" w:rsidRDefault="00296575" w:rsidP="006D5A65">
      <w:pPr>
        <w:pStyle w:val="Heading2"/>
      </w:pPr>
      <w:r w:rsidRPr="000665B0">
        <w:t xml:space="preserve">Passive Acquired – Target acquired with passive </w:t>
      </w:r>
      <w:r w:rsidR="00D83392" w:rsidRPr="000665B0">
        <w:t>seeker.</w:t>
      </w:r>
    </w:p>
    <w:p w14:paraId="784C3D41" w14:textId="76BB7EE8" w:rsidR="00296575" w:rsidRPr="000665B0" w:rsidRDefault="00296575" w:rsidP="006D5A65">
      <w:pPr>
        <w:pStyle w:val="Heading2"/>
      </w:pPr>
      <w:r w:rsidRPr="000665B0">
        <w:t>Active Acquired – Target acquired with active seeker.</w:t>
      </w:r>
      <w:bookmarkEnd w:id="6674"/>
    </w:p>
    <w:p w14:paraId="453057E8" w14:textId="77777777" w:rsidR="00511C74" w:rsidRPr="000665B0" w:rsidRDefault="00511C74" w:rsidP="006D5A65">
      <w:pPr>
        <w:pStyle w:val="Heading1"/>
      </w:pPr>
      <w:r w:rsidRPr="000665B0">
        <w:lastRenderedPageBreak/>
        <w:t>Obj ID – Tasking objective this missile satisfies.</w:t>
      </w:r>
    </w:p>
    <w:p w14:paraId="6AA93765" w14:textId="77777777" w:rsidR="00511C74" w:rsidRPr="000665B0" w:rsidRDefault="00511C74" w:rsidP="006D5A65">
      <w:pPr>
        <w:pStyle w:val="Heading1"/>
      </w:pPr>
      <w:r w:rsidRPr="000665B0">
        <w:t>BE – BE # of target.</w:t>
      </w:r>
    </w:p>
    <w:p w14:paraId="78BF0EE8" w14:textId="77777777" w:rsidR="00511C74" w:rsidRPr="000665B0" w:rsidRDefault="00511C74" w:rsidP="006D5A65">
      <w:pPr>
        <w:pStyle w:val="Heading1"/>
      </w:pPr>
      <w:r w:rsidRPr="000665B0">
        <w:t>Missile Priority – Missile priority.</w:t>
      </w:r>
    </w:p>
    <w:p w14:paraId="54ABC5BA" w14:textId="77777777" w:rsidR="00511C74" w:rsidRPr="000665B0" w:rsidRDefault="00511C74" w:rsidP="006D5A65">
      <w:pPr>
        <w:pStyle w:val="Heading1"/>
      </w:pPr>
      <w:r w:rsidRPr="000665B0">
        <w:t>Aimpt ID – Aimpoint ID.</w:t>
      </w:r>
    </w:p>
    <w:p w14:paraId="5CCD5CB1" w14:textId="77777777" w:rsidR="00511C74" w:rsidRPr="000665B0" w:rsidRDefault="00511C74" w:rsidP="006D5A65">
      <w:pPr>
        <w:pStyle w:val="Heading1"/>
      </w:pPr>
      <w:r w:rsidRPr="000665B0">
        <w:t>Mission ID – ID of mission missile is flying.</w:t>
      </w:r>
    </w:p>
    <w:p w14:paraId="4D69D043" w14:textId="77777777" w:rsidR="00511C74" w:rsidRPr="000665B0" w:rsidRDefault="00511C74" w:rsidP="006D5A65">
      <w:pPr>
        <w:pStyle w:val="Heading1"/>
      </w:pPr>
      <w:r w:rsidRPr="000665B0">
        <w:t>Outcome – Outcome of mission missile is flying.</w:t>
      </w:r>
    </w:p>
    <w:p w14:paraId="6F676BA2" w14:textId="77777777" w:rsidR="00511C74" w:rsidRPr="000665B0" w:rsidRDefault="00511C74" w:rsidP="006D5A65">
      <w:pPr>
        <w:pStyle w:val="Heading1"/>
      </w:pPr>
      <w:r w:rsidRPr="000665B0">
        <w:t xml:space="preserve">MS# </w:t>
      </w:r>
      <w:r w:rsidRPr="001F4B14">
        <w:t>–</w:t>
      </w:r>
      <w:r w:rsidRPr="000665B0">
        <w:t xml:space="preserve"> Missile sequence number of missile.</w:t>
      </w:r>
    </w:p>
    <w:p w14:paraId="6D992920" w14:textId="77777777" w:rsidR="00A533A3" w:rsidRPr="000665B0" w:rsidRDefault="00A533A3" w:rsidP="006D5A65">
      <w:pPr>
        <w:pStyle w:val="Heading1"/>
      </w:pPr>
      <w:r w:rsidRPr="000665B0">
        <w:t>Pri MS# – Primary MS# being backed up (only for backup missiles).</w:t>
      </w:r>
    </w:p>
    <w:p w14:paraId="27CB9375" w14:textId="0C0DF40F" w:rsidR="00511C74" w:rsidRPr="000665B0" w:rsidRDefault="00C82AAD" w:rsidP="006D5A65">
      <w:pPr>
        <w:pStyle w:val="Heading1"/>
      </w:pPr>
      <w:r w:rsidRPr="000665B0">
        <w:t xml:space="preserve">Missile </w:t>
      </w:r>
      <w:r w:rsidR="00511C74" w:rsidRPr="000665B0">
        <w:t>– Missile variant.</w:t>
      </w:r>
    </w:p>
    <w:p w14:paraId="47E4B975" w14:textId="39D0C9AA" w:rsidR="00511C74" w:rsidRPr="000665B0" w:rsidRDefault="00511C74" w:rsidP="006D5A65">
      <w:pPr>
        <w:pStyle w:val="Heading1"/>
      </w:pPr>
      <w:r w:rsidRPr="000665B0">
        <w:t xml:space="preserve">TTWCS IMMM – Indicates </w:t>
      </w:r>
      <w:r w:rsidR="00AF404B" w:rsidRPr="000665B0">
        <w:t xml:space="preserve">whether </w:t>
      </w:r>
      <w:r w:rsidRPr="000665B0">
        <w:t>TTWCS is allowed to send an IMMM</w:t>
      </w:r>
      <w:r w:rsidR="0014647A" w:rsidRPr="000665B0">
        <w:t>.</w:t>
      </w:r>
    </w:p>
    <w:p w14:paraId="2CABA20F" w14:textId="77777777" w:rsidR="00511C74" w:rsidRPr="000665B0" w:rsidRDefault="00511C74" w:rsidP="006D5A65">
      <w:pPr>
        <w:pStyle w:val="Heading1"/>
      </w:pPr>
      <w:r w:rsidRPr="000665B0">
        <w:t>Trigraph – Trigraph of platform shooting the missile.</w:t>
      </w:r>
    </w:p>
    <w:p w14:paraId="4F74EA25" w14:textId="77777777" w:rsidR="00511C74" w:rsidRPr="000665B0" w:rsidRDefault="00511C74" w:rsidP="006D5A65">
      <w:pPr>
        <w:pStyle w:val="Heading1"/>
      </w:pPr>
      <w:r w:rsidRPr="000665B0">
        <w:t>RSV – Reservation type.</w:t>
      </w:r>
    </w:p>
    <w:p w14:paraId="53477F55" w14:textId="77777777" w:rsidR="00511C74" w:rsidRPr="000665B0" w:rsidRDefault="00511C74" w:rsidP="006D5A65">
      <w:pPr>
        <w:pStyle w:val="Heading1"/>
      </w:pPr>
      <w:r w:rsidRPr="000665B0">
        <w:t>Platform ID to Backup – Platform ID of primary missile being backed up (only for backup missiles).</w:t>
      </w:r>
    </w:p>
    <w:p w14:paraId="78ECBD50" w14:textId="77777777" w:rsidR="00511C74" w:rsidRPr="000665B0" w:rsidRDefault="00511C74" w:rsidP="006D5A65">
      <w:pPr>
        <w:pStyle w:val="Heading1"/>
      </w:pPr>
      <w:r w:rsidRPr="000665B0">
        <w:t>Cell – Cell of missile.</w:t>
      </w:r>
    </w:p>
    <w:p w14:paraId="2D27934F" w14:textId="77777777" w:rsidR="00511C74" w:rsidRPr="000665B0" w:rsidRDefault="00511C74" w:rsidP="006D5A65">
      <w:pPr>
        <w:pStyle w:val="Heading1"/>
      </w:pPr>
      <w:r w:rsidRPr="000665B0">
        <w:t>TOT Enabled – TOT enabled.</w:t>
      </w:r>
    </w:p>
    <w:p w14:paraId="624B113E" w14:textId="77777777" w:rsidR="00511C74" w:rsidRPr="000665B0" w:rsidRDefault="00511C74" w:rsidP="006D5A65">
      <w:pPr>
        <w:pStyle w:val="Heading1"/>
      </w:pPr>
      <w:r w:rsidRPr="000665B0">
        <w:t>Time Type – Timing type being used in the Time at Timing Type column.</w:t>
      </w:r>
    </w:p>
    <w:p w14:paraId="74E165AA" w14:textId="4CA12CB5" w:rsidR="00511C74" w:rsidRPr="000665B0" w:rsidRDefault="00511C74" w:rsidP="006D5A65">
      <w:pPr>
        <w:pStyle w:val="Heading1"/>
        <w:rPr>
          <w:i/>
        </w:rPr>
      </w:pPr>
      <w:r w:rsidRPr="000665B0">
        <w:t xml:space="preserve">Assigned Time – Time being assigned for missile. For more information see </w:t>
      </w:r>
      <w:hyperlink w:anchor="_5.38.15__What" w:history="1">
        <w:r w:rsidR="00E036B6" w:rsidRPr="000665B0">
          <w:rPr>
            <w:rStyle w:val="Hyperlink"/>
          </w:rPr>
          <w:t xml:space="preserve">Section </w:t>
        </w:r>
        <w:r w:rsidR="004231CC">
          <w:rPr>
            <w:rStyle w:val="Hyperlink"/>
          </w:rPr>
          <w:t>5.35</w:t>
        </w:r>
        <w:r w:rsidR="00346105" w:rsidRPr="000665B0">
          <w:rPr>
            <w:rStyle w:val="Hyperlink"/>
          </w:rPr>
          <w:t>.16</w:t>
        </w:r>
      </w:hyperlink>
      <w:r w:rsidRPr="000665B0">
        <w:t>.</w:t>
      </w:r>
    </w:p>
    <w:p w14:paraId="06062B6A" w14:textId="77777777" w:rsidR="00511C74" w:rsidRPr="000665B0" w:rsidRDefault="00511C74" w:rsidP="006D5A65">
      <w:pPr>
        <w:pStyle w:val="Heading1"/>
      </w:pPr>
      <w:r w:rsidRPr="000665B0">
        <w:t>Est Launch Time – Estimated launch time.</w:t>
      </w:r>
    </w:p>
    <w:p w14:paraId="35BC3057" w14:textId="77777777" w:rsidR="00511C74" w:rsidRPr="000665B0" w:rsidRDefault="00511C74" w:rsidP="006D5A65">
      <w:pPr>
        <w:pStyle w:val="Heading1"/>
      </w:pPr>
      <w:r w:rsidRPr="000665B0">
        <w:t>Est Time at FPPWP – Estimated time at first pre-planned waypoint.</w:t>
      </w:r>
    </w:p>
    <w:p w14:paraId="0F97413D" w14:textId="77777777" w:rsidR="002E5AF5" w:rsidRPr="000665B0" w:rsidRDefault="002E5AF5" w:rsidP="006D5A65">
      <w:pPr>
        <w:pStyle w:val="Heading1"/>
      </w:pPr>
      <w:r w:rsidRPr="000665B0">
        <w:t xml:space="preserve">Est Time On Target – </w:t>
      </w:r>
      <w:r w:rsidR="00D678CE" w:rsidRPr="000665B0">
        <w:t>Estimated time that the missile will impact on target.</w:t>
      </w:r>
    </w:p>
    <w:p w14:paraId="38AE8D83" w14:textId="77777777" w:rsidR="00511C74" w:rsidRPr="000665B0" w:rsidRDefault="00511C74" w:rsidP="006D5A65">
      <w:pPr>
        <w:pStyle w:val="Heading1"/>
      </w:pPr>
      <w:r w:rsidRPr="000665B0">
        <w:t>Delta – Used to adjust missile times (during planning).</w:t>
      </w:r>
    </w:p>
    <w:p w14:paraId="1B77B7F4" w14:textId="77777777" w:rsidR="00511C74" w:rsidRPr="000665B0" w:rsidRDefault="00511C74" w:rsidP="006D5A65">
      <w:pPr>
        <w:pStyle w:val="Heading1"/>
      </w:pPr>
      <w:r w:rsidRPr="000665B0">
        <w:t xml:space="preserve">ETE – Estimated time enroute, in </w:t>
      </w:r>
      <w:r w:rsidR="00997965" w:rsidRPr="000665B0">
        <w:t>hours</w:t>
      </w:r>
      <w:r w:rsidRPr="000665B0">
        <w:t>:minutes:seconds.</w:t>
      </w:r>
    </w:p>
    <w:p w14:paraId="5AD8CB8E" w14:textId="77777777" w:rsidR="00511C74" w:rsidRPr="000665B0" w:rsidRDefault="00511C74" w:rsidP="006D5A65">
      <w:pPr>
        <w:pStyle w:val="Heading1"/>
      </w:pPr>
      <w:r w:rsidRPr="000665B0">
        <w:t>Time Locked – Time is locked (during planning).</w:t>
      </w:r>
    </w:p>
    <w:p w14:paraId="4A05DE1A" w14:textId="77240F19" w:rsidR="00511C74" w:rsidRPr="000665B0" w:rsidRDefault="00511C74" w:rsidP="006D5A65">
      <w:pPr>
        <w:pStyle w:val="Heading1"/>
      </w:pPr>
      <w:r w:rsidRPr="000665B0">
        <w:t xml:space="preserve">TSN Comms Enabled – </w:t>
      </w:r>
      <w:r w:rsidR="00997965" w:rsidRPr="000665B0">
        <w:t xml:space="preserve">Indicates whether the missile is TSN Comms Enabled (applies only to </w:t>
      </w:r>
      <w:r w:rsidR="001C6D19" w:rsidRPr="000665B0">
        <w:t>109E</w:t>
      </w:r>
      <w:r w:rsidR="00545994">
        <w:t>/M</w:t>
      </w:r>
      <w:r w:rsidR="00997965" w:rsidRPr="000665B0">
        <w:t xml:space="preserve"> missiles)</w:t>
      </w:r>
      <w:r w:rsidRPr="000665B0">
        <w:t>.</w:t>
      </w:r>
    </w:p>
    <w:p w14:paraId="5E266B47" w14:textId="61D7CEB6" w:rsidR="002E5AF5" w:rsidRPr="000665B0" w:rsidRDefault="002E5AF5" w:rsidP="006D5A65">
      <w:pPr>
        <w:pStyle w:val="Heading1"/>
      </w:pPr>
      <w:r w:rsidRPr="000665B0">
        <w:t xml:space="preserve">Status – </w:t>
      </w:r>
      <w:r w:rsidR="00881CBE" w:rsidRPr="000665B0">
        <w:t>Status of missile.</w:t>
      </w:r>
      <w:r w:rsidR="00554053" w:rsidRPr="000665B0">
        <w:t xml:space="preserve"> For information about the Status column displaying a Missing Mission status due to a retarget, see </w:t>
      </w:r>
      <w:hyperlink w:anchor="_5.38.3.1.7.1.2__How" w:history="1">
        <w:r w:rsidR="00985815" w:rsidRPr="000665B0">
          <w:rPr>
            <w:rStyle w:val="Hyperlink"/>
          </w:rPr>
          <w:t xml:space="preserve">Section </w:t>
        </w:r>
        <w:r w:rsidR="004231CC">
          <w:rPr>
            <w:rStyle w:val="Hyperlink"/>
          </w:rPr>
          <w:t>5.35</w:t>
        </w:r>
        <w:r w:rsidR="00985815" w:rsidRPr="000665B0">
          <w:rPr>
            <w:rStyle w:val="Hyperlink"/>
          </w:rPr>
          <w:t>.3.1.8</w:t>
        </w:r>
        <w:r w:rsidR="00554053" w:rsidRPr="000665B0">
          <w:rPr>
            <w:rStyle w:val="Hyperlink"/>
          </w:rPr>
          <w:t>.1.2</w:t>
        </w:r>
      </w:hyperlink>
      <w:r w:rsidR="00554053" w:rsidRPr="000665B0">
        <w:t>.</w:t>
      </w:r>
    </w:p>
    <w:p w14:paraId="02EE68D9" w14:textId="77777777" w:rsidR="002E5AF5" w:rsidRPr="000665B0" w:rsidRDefault="002E5AF5" w:rsidP="006D5A65">
      <w:pPr>
        <w:pStyle w:val="Heading1"/>
      </w:pPr>
      <w:r w:rsidRPr="000665B0">
        <w:t xml:space="preserve">Msl Ctrl – </w:t>
      </w:r>
      <w:r w:rsidR="00D678CE" w:rsidRPr="000665B0">
        <w:t>Node of the primary controller of the missile.</w:t>
      </w:r>
    </w:p>
    <w:p w14:paraId="0F390F72" w14:textId="77777777" w:rsidR="0015593C" w:rsidRPr="000665B0" w:rsidRDefault="0015593C" w:rsidP="006D5A65">
      <w:pPr>
        <w:pStyle w:val="Heading1"/>
      </w:pPr>
      <w:r w:rsidRPr="000665B0">
        <w:t xml:space="preserve">Backup Msl Ctrl – </w:t>
      </w:r>
      <w:r w:rsidR="00D678CE" w:rsidRPr="000665B0">
        <w:t>Node of the backup controller of the missile.</w:t>
      </w:r>
    </w:p>
    <w:p w14:paraId="1B124E41" w14:textId="77777777" w:rsidR="0015593C" w:rsidRPr="000665B0" w:rsidRDefault="0015593C" w:rsidP="006D5A65">
      <w:pPr>
        <w:pStyle w:val="Heading1"/>
      </w:pPr>
      <w:r w:rsidRPr="000665B0">
        <w:t xml:space="preserve">Aimpoint Description – </w:t>
      </w:r>
      <w:r w:rsidR="00BA4A3C" w:rsidRPr="000665B0">
        <w:t>Text used to assist in identifying the specific aimpoint of the attack.</w:t>
      </w:r>
    </w:p>
    <w:p w14:paraId="7440CBFD" w14:textId="2A4AC916" w:rsidR="00C02034" w:rsidRPr="000665B0" w:rsidRDefault="00A96EC4" w:rsidP="006D5A65">
      <w:pPr>
        <w:pStyle w:val="Heading1"/>
      </w:pPr>
      <w:r w:rsidRPr="000665B0">
        <w:t xml:space="preserve">TSN Assigned – </w:t>
      </w:r>
      <w:r w:rsidR="00C02034" w:rsidRPr="000665B0">
        <w:t>The TSN type assigned (ACA or DAMA) of a 109E missile. It is blank for Block III missiles.</w:t>
      </w:r>
      <w:r w:rsidR="00545994">
        <w:t xml:space="preserve"> </w:t>
      </w:r>
      <w:r w:rsidR="00545994" w:rsidRPr="00545994">
        <w:t>It is ACA for MSTM</w:t>
      </w:r>
      <w:r w:rsidR="0024128B">
        <w:t>,</w:t>
      </w:r>
      <w:r w:rsidR="00545994" w:rsidRPr="00545994">
        <w:t>109M</w:t>
      </w:r>
      <w:r w:rsidR="0024128B">
        <w:t>, and ACP</w:t>
      </w:r>
      <w:r w:rsidR="00545994" w:rsidRPr="00545994">
        <w:t xml:space="preserve"> missiles.</w:t>
      </w:r>
    </w:p>
    <w:p w14:paraId="4558168C" w14:textId="12110CCA" w:rsidR="00A96EC4" w:rsidRPr="000665B0" w:rsidRDefault="00C02034" w:rsidP="006D5A65">
      <w:pPr>
        <w:pStyle w:val="Heading1"/>
      </w:pPr>
      <w:r w:rsidRPr="000665B0">
        <w:t xml:space="preserve">TSN </w:t>
      </w:r>
      <w:r w:rsidR="00820B9D" w:rsidRPr="000665B0">
        <w:t xml:space="preserve">Strategy </w:t>
      </w:r>
      <w:r w:rsidRPr="000665B0">
        <w:t>– The TSN type requested (ACA Only, DAMA Only, ACA First, or DAMA First) of a 109E missile. It is blank for Block III missiles.</w:t>
      </w:r>
      <w:r w:rsidR="00545994">
        <w:t xml:space="preserve"> </w:t>
      </w:r>
      <w:r w:rsidR="00545994" w:rsidRPr="00545994">
        <w:t>It is ACA for MSTM</w:t>
      </w:r>
      <w:r w:rsidR="0024128B">
        <w:t>,</w:t>
      </w:r>
      <w:r w:rsidR="00545994" w:rsidRPr="00545994">
        <w:t>109M</w:t>
      </w:r>
      <w:r w:rsidR="0024128B">
        <w:t>, and ACP</w:t>
      </w:r>
      <w:r w:rsidR="00545994" w:rsidRPr="00545994">
        <w:t xml:space="preserve"> missiles.</w:t>
      </w:r>
    </w:p>
    <w:p w14:paraId="7C6B6BC7" w14:textId="1849A218" w:rsidR="00A96EC4" w:rsidRPr="000665B0" w:rsidRDefault="00A96EC4" w:rsidP="006D5A65">
      <w:pPr>
        <w:pStyle w:val="Heading1"/>
      </w:pPr>
      <w:r w:rsidRPr="000665B0">
        <w:lastRenderedPageBreak/>
        <w:t xml:space="preserve">Geofeasible – </w:t>
      </w:r>
      <w:r w:rsidR="00C020CD" w:rsidRPr="000665B0">
        <w:t>The geographic feasibility of a platform to execute the assigned mission while complying with geographical constraints, if any, such as prohibited area, flight corridor, heading towards FPPWP, and missile range.</w:t>
      </w:r>
    </w:p>
    <w:p w14:paraId="43016744" w14:textId="03051D91" w:rsidR="00A96EC4" w:rsidRPr="000665B0" w:rsidRDefault="00A96EC4" w:rsidP="006D5A65">
      <w:pPr>
        <w:pStyle w:val="Heading1"/>
      </w:pPr>
      <w:r w:rsidRPr="000665B0">
        <w:t xml:space="preserve">Fine Alignment – </w:t>
      </w:r>
      <w:r w:rsidR="00C020CD" w:rsidRPr="000665B0">
        <w:t xml:space="preserve">An X indicates that the Inertial Navigation System (INS) in the AUR requires Fine Alignment, prior to launch from a FRU. </w:t>
      </w:r>
      <w:r w:rsidR="00C020CD" w:rsidRPr="000665B0">
        <w:rPr>
          <w:noProof/>
        </w:rPr>
        <w:t>It is blank for GPS-required missile types.</w:t>
      </w:r>
    </w:p>
    <w:p w14:paraId="1BE4B79A" w14:textId="77777777" w:rsidR="00C02034" w:rsidRPr="000665B0" w:rsidRDefault="00C02034" w:rsidP="006D5A65">
      <w:pPr>
        <w:pStyle w:val="Heading1"/>
      </w:pPr>
      <w:r w:rsidRPr="000665B0">
        <w:t>Attack Plan ID – ID of the attack plan that contains a mission which the missile is assigned to.</w:t>
      </w:r>
    </w:p>
    <w:p w14:paraId="30644173" w14:textId="77777777" w:rsidR="00C02034" w:rsidRPr="000665B0" w:rsidRDefault="00C02034" w:rsidP="006D5A65">
      <w:pPr>
        <w:pStyle w:val="Heading1"/>
      </w:pPr>
      <w:r w:rsidRPr="000665B0">
        <w:t>Attack Plan TMPR – TMPR ID of the attack plan.</w:t>
      </w:r>
    </w:p>
    <w:p w14:paraId="112F9C97" w14:textId="300B8613" w:rsidR="00C02034" w:rsidRPr="000665B0" w:rsidRDefault="00C02034" w:rsidP="006D5A65">
      <w:pPr>
        <w:pStyle w:val="Heading1"/>
      </w:pPr>
      <w:r w:rsidRPr="000665B0">
        <w:t xml:space="preserve">APM# – Attack Plan Mission Number indicates the </w:t>
      </w:r>
      <w:r w:rsidR="00B43467" w:rsidRPr="000665B0">
        <w:t>n</w:t>
      </w:r>
      <w:r w:rsidRPr="000665B0">
        <w:t xml:space="preserve">th mission </w:t>
      </w:r>
      <w:r w:rsidR="00AA01DB" w:rsidRPr="000665B0">
        <w:t xml:space="preserve">and </w:t>
      </w:r>
      <w:r w:rsidRPr="000665B0">
        <w:t xml:space="preserve">the total number of missions </w:t>
      </w:r>
      <w:r w:rsidR="00AA01DB" w:rsidRPr="000665B0">
        <w:t xml:space="preserve">requested </w:t>
      </w:r>
      <w:r w:rsidRPr="000665B0">
        <w:t xml:space="preserve">in the </w:t>
      </w:r>
      <w:r w:rsidR="00AA01DB" w:rsidRPr="000665B0">
        <w:t xml:space="preserve">Attack Plan </w:t>
      </w:r>
      <w:r w:rsidR="00B43467" w:rsidRPr="000665B0">
        <w:lastRenderedPageBreak/>
        <w:t>(</w:t>
      </w:r>
      <w:r w:rsidR="003509EA" w:rsidRPr="000665B0">
        <w:t xml:space="preserve">e.g., </w:t>
      </w:r>
      <w:r w:rsidR="00AA01DB" w:rsidRPr="000665B0">
        <w:t>“</w:t>
      </w:r>
      <w:r w:rsidR="00B43467" w:rsidRPr="000665B0">
        <w:t>2</w:t>
      </w:r>
      <w:r w:rsidR="00AA01DB" w:rsidRPr="000665B0">
        <w:t>/10”</w:t>
      </w:r>
      <w:r w:rsidR="00B43467" w:rsidRPr="000665B0">
        <w:t xml:space="preserve"> indicates the 2</w:t>
      </w:r>
      <w:r w:rsidR="00B43467" w:rsidRPr="000665B0">
        <w:rPr>
          <w:vertAlign w:val="superscript"/>
        </w:rPr>
        <w:t>nd</w:t>
      </w:r>
      <w:r w:rsidR="00B43467" w:rsidRPr="000665B0">
        <w:t xml:space="preserve"> mission of a 10-mission </w:t>
      </w:r>
      <w:r w:rsidR="00AA01DB" w:rsidRPr="000665B0">
        <w:t>Attack Plan TMPR</w:t>
      </w:r>
      <w:r w:rsidR="00B43467" w:rsidRPr="000665B0">
        <w:t>)</w:t>
      </w:r>
      <w:r w:rsidRPr="000665B0">
        <w:t xml:space="preserve">. </w:t>
      </w:r>
    </w:p>
    <w:p w14:paraId="6A970F17" w14:textId="13680519" w:rsidR="00C02034" w:rsidRPr="000665B0" w:rsidRDefault="00C02034" w:rsidP="006D5A65">
      <w:pPr>
        <w:pStyle w:val="Heading1"/>
      </w:pPr>
      <w:r w:rsidRPr="000665B0">
        <w:t>TAR Type – Target Attack Requirement type determines the number of missiles, which means an equal number of missions are required for the attack plan.</w:t>
      </w:r>
    </w:p>
    <w:p w14:paraId="402AD513" w14:textId="6D70E045" w:rsidR="00C02034" w:rsidRPr="000665B0" w:rsidRDefault="00C02034" w:rsidP="006D5A65">
      <w:pPr>
        <w:pStyle w:val="Heading1"/>
      </w:pPr>
      <w:r w:rsidRPr="000665B0">
        <w:t xml:space="preserve">Tail # Msn – </w:t>
      </w:r>
      <w:r w:rsidR="00B43467" w:rsidRPr="000665B0">
        <w:t>Indicates</w:t>
      </w:r>
      <w:r w:rsidRPr="000665B0">
        <w:t xml:space="preserve"> that the mission that the missile is paired to is assignable to missiles that are identified by tail number instead of by missile ID code.</w:t>
      </w:r>
    </w:p>
    <w:p w14:paraId="26440E48" w14:textId="075947CC" w:rsidR="00C02034" w:rsidRPr="000665B0" w:rsidRDefault="00C02034" w:rsidP="006D5A65">
      <w:pPr>
        <w:pStyle w:val="Heading1"/>
      </w:pPr>
      <w:r w:rsidRPr="000665B0">
        <w:t>Serial # – A 6 digit numeric missile Tail number.</w:t>
      </w:r>
    </w:p>
    <w:p w14:paraId="2850C2D2" w14:textId="77777777" w:rsidR="007A78D4" w:rsidRPr="000665B0" w:rsidRDefault="007A78D4" w:rsidP="006D5A65">
      <w:pPr>
        <w:pStyle w:val="Heading1"/>
      </w:pPr>
      <w:r w:rsidRPr="000665B0">
        <w:t>Rev Add – Revision missile assignment was added.</w:t>
      </w:r>
    </w:p>
    <w:p w14:paraId="3D4EB666" w14:textId="77777777" w:rsidR="007A78D4" w:rsidRPr="000665B0" w:rsidRDefault="007A78D4" w:rsidP="006D5A65">
      <w:pPr>
        <w:pStyle w:val="Heading1"/>
      </w:pPr>
      <w:r w:rsidRPr="000665B0">
        <w:t>Rev Chg – Revision missile assignment was changed.</w:t>
      </w:r>
    </w:p>
    <w:p w14:paraId="0FB8452B" w14:textId="77777777" w:rsidR="007A78D4" w:rsidRPr="000665B0" w:rsidRDefault="007A78D4" w:rsidP="006D5A65">
      <w:pPr>
        <w:pStyle w:val="Heading1"/>
      </w:pPr>
      <w:r w:rsidRPr="000665B0">
        <w:t>Rev Coms – Revision missile assignment Coms parameter was changed.</w:t>
      </w:r>
    </w:p>
    <w:p w14:paraId="359CFD99" w14:textId="4A9139E4" w:rsidR="00B16527" w:rsidRPr="000665B0" w:rsidRDefault="00B16527" w:rsidP="006D5A65">
      <w:pPr>
        <w:pStyle w:val="Heading1"/>
      </w:pPr>
      <w:r w:rsidRPr="000665B0">
        <w:t>O</w:t>
      </w:r>
      <w:r w:rsidR="00C320C7" w:rsidRPr="000665B0">
        <w:t>s</w:t>
      </w:r>
      <w:r w:rsidRPr="000665B0">
        <w:t>uffix – The O</w:t>
      </w:r>
      <w:r w:rsidR="00C320C7" w:rsidRPr="000665B0">
        <w:t>s</w:t>
      </w:r>
      <w:r w:rsidRPr="000665B0">
        <w:t>uffix of the target used in the reservation.</w:t>
      </w:r>
    </w:p>
    <w:p w14:paraId="281DB1BC" w14:textId="77777777" w:rsidR="00B16527" w:rsidRPr="000665B0" w:rsidRDefault="00B16527" w:rsidP="006D5A65">
      <w:pPr>
        <w:pStyle w:val="Heading1"/>
      </w:pPr>
      <w:r w:rsidRPr="000665B0">
        <w:t>Platform ID – The Platform ID of the FRU that is tasked with this missile assignment.</w:t>
      </w:r>
    </w:p>
    <w:p w14:paraId="2F54C163" w14:textId="16383E15" w:rsidR="00B16527" w:rsidRPr="000665B0" w:rsidRDefault="00B16527" w:rsidP="006D5A65">
      <w:pPr>
        <w:pStyle w:val="Heading1"/>
      </w:pPr>
      <w:r w:rsidRPr="000665B0">
        <w:t>Platform Name – The Platform Name of the FRU that is tasked with this missile assignment.</w:t>
      </w:r>
    </w:p>
    <w:p w14:paraId="4F4F0E23" w14:textId="77777777" w:rsidR="00B16527" w:rsidRPr="000665B0" w:rsidRDefault="00B16527" w:rsidP="006D5A65">
      <w:pPr>
        <w:pStyle w:val="Heading1"/>
      </w:pPr>
      <w:r w:rsidRPr="000665B0">
        <w:t>Type – Indicates the candidate mission type of the reservation. Possible types are Mission, TMPR, and LMO.</w:t>
      </w:r>
    </w:p>
    <w:p w14:paraId="26DE324D" w14:textId="77777777" w:rsidR="00B16527" w:rsidRPr="000665B0" w:rsidRDefault="00B16527" w:rsidP="006D5A65">
      <w:pPr>
        <w:pStyle w:val="Heading1"/>
      </w:pPr>
      <w:r w:rsidRPr="000665B0">
        <w:t xml:space="preserve">Missile ID – The Missile ID assigned to this reservation. Missile ID will only show up if the reservation is set to use specified MSL ID. </w:t>
      </w:r>
    </w:p>
    <w:p w14:paraId="5B042BF9" w14:textId="353C88CB" w:rsidR="00B16527" w:rsidRPr="000665B0" w:rsidRDefault="00B16527" w:rsidP="006D5A65">
      <w:pPr>
        <w:pStyle w:val="Heading1"/>
      </w:pPr>
      <w:r w:rsidRPr="000665B0">
        <w:t>LD – The Line Designator of the reservation.</w:t>
      </w:r>
    </w:p>
    <w:p w14:paraId="3A6B0610" w14:textId="77777777" w:rsidR="00B16527" w:rsidRPr="000665B0" w:rsidRDefault="00B16527" w:rsidP="006D5A65">
      <w:pPr>
        <w:pStyle w:val="Heading1"/>
      </w:pPr>
      <w:r w:rsidRPr="000665B0">
        <w:t>Time At Timing Point – DTG time at the time of the specified Timing Type such as DTG time at launch time for TOL, at FPPWP time for FWP, or at target impact time for TGT.</w:t>
      </w:r>
    </w:p>
    <w:p w14:paraId="205B668B" w14:textId="77777777" w:rsidR="00B16527" w:rsidRPr="000665B0" w:rsidRDefault="00B16527" w:rsidP="006D5A65">
      <w:pPr>
        <w:pStyle w:val="Heading1"/>
      </w:pPr>
      <w:r w:rsidRPr="000665B0">
        <w:t>Est Launch To FPPWP – The estimated time (HH:MM:SS) from Launch to FPPWP.</w:t>
      </w:r>
    </w:p>
    <w:p w14:paraId="6D79A16F" w14:textId="77777777" w:rsidR="00B16527" w:rsidRPr="000665B0" w:rsidRDefault="00B16527" w:rsidP="006D5A65">
      <w:pPr>
        <w:pStyle w:val="Heading1"/>
      </w:pPr>
      <w:r w:rsidRPr="000665B0">
        <w:t>OWR ID – The overwater waypoint ID for the reservation.</w:t>
      </w:r>
    </w:p>
    <w:p w14:paraId="6E330F57" w14:textId="77777777" w:rsidR="00B16527" w:rsidRPr="000665B0" w:rsidRDefault="00B16527" w:rsidP="006D5A65">
      <w:pPr>
        <w:pStyle w:val="Heading1"/>
      </w:pPr>
      <w:r w:rsidRPr="000665B0">
        <w:t xml:space="preserve">FRU to Backup – Shows the FRU’s Trigraph that this missile is backing up. </w:t>
      </w:r>
    </w:p>
    <w:p w14:paraId="37E06BBA" w14:textId="77777777" w:rsidR="00B16527" w:rsidRPr="000665B0" w:rsidRDefault="00B16527" w:rsidP="006D5A65">
      <w:pPr>
        <w:pStyle w:val="Heading1"/>
      </w:pPr>
      <w:r w:rsidRPr="000665B0">
        <w:t>Segment Number – The segment number of the mission. This is primarily used for 109D missions.</w:t>
      </w:r>
    </w:p>
    <w:p w14:paraId="3791806F" w14:textId="77777777" w:rsidR="00B16527" w:rsidRPr="000665B0" w:rsidRDefault="00B16527" w:rsidP="006D5A65">
      <w:pPr>
        <w:pStyle w:val="Heading1"/>
      </w:pPr>
      <w:r w:rsidRPr="000665B0">
        <w:t>Reference Type – Indicates the target’s reference type for this reservation.</w:t>
      </w:r>
    </w:p>
    <w:p w14:paraId="379A65E3" w14:textId="08D1EDB4" w:rsidR="00B16527" w:rsidRPr="000665B0" w:rsidRDefault="00B16527" w:rsidP="006D5A65">
      <w:pPr>
        <w:pStyle w:val="Heading1"/>
      </w:pPr>
      <w:r w:rsidRPr="000665B0">
        <w:t>ASN – Indicates the Aimpoint Sequence Number of the reservation. No more than 8 missiles can share the same ASN. The field is used in the ESP for TTWCS.</w:t>
      </w:r>
    </w:p>
    <w:p w14:paraId="50D313FB" w14:textId="77777777" w:rsidR="00B16527" w:rsidRPr="000665B0" w:rsidRDefault="00B16527" w:rsidP="006D5A65">
      <w:pPr>
        <w:pStyle w:val="Heading1"/>
      </w:pPr>
      <w:r w:rsidRPr="000665B0">
        <w:t xml:space="preserve">Missile Requirement – Indicates the Missile Requirement setting of </w:t>
      </w:r>
      <w:r w:rsidRPr="000665B0">
        <w:rPr>
          <w:bCs/>
        </w:rPr>
        <w:t>Exclude, Branch ID Change Only, or Retarget/Branch Allowed.</w:t>
      </w:r>
    </w:p>
    <w:p w14:paraId="4CB26777" w14:textId="77777777" w:rsidR="00B16527" w:rsidRPr="000665B0" w:rsidRDefault="00B16527" w:rsidP="006D5A65">
      <w:pPr>
        <w:pStyle w:val="Heading1"/>
      </w:pPr>
      <w:r w:rsidRPr="000665B0">
        <w:t>JDPI – Indicates the JDPI of the target for this reservation.</w:t>
      </w:r>
    </w:p>
    <w:p w14:paraId="73380D8E" w14:textId="77777777" w:rsidR="00B16527" w:rsidRPr="000665B0" w:rsidRDefault="00B16527" w:rsidP="006D5A65">
      <w:pPr>
        <w:pStyle w:val="Heading1"/>
      </w:pPr>
      <w:r w:rsidRPr="000665B0">
        <w:t>TTN – Indicates the TTN of the target for this reservation.</w:t>
      </w:r>
    </w:p>
    <w:p w14:paraId="486CEBCF" w14:textId="77777777" w:rsidR="00B16527" w:rsidRPr="000665B0" w:rsidRDefault="00B16527" w:rsidP="006D5A65">
      <w:pPr>
        <w:pStyle w:val="Heading1"/>
      </w:pPr>
      <w:r w:rsidRPr="000665B0">
        <w:t>UIC – Indicates the UIC of the target for this reservation.</w:t>
      </w:r>
    </w:p>
    <w:p w14:paraId="159F3B58" w14:textId="77777777" w:rsidR="00B16527" w:rsidRPr="000665B0" w:rsidRDefault="00B16527" w:rsidP="006D5A65">
      <w:pPr>
        <w:pStyle w:val="Heading1"/>
      </w:pPr>
      <w:r w:rsidRPr="000665B0">
        <w:lastRenderedPageBreak/>
        <w:t>Latitude – Indicates the latitude of the target for this reservation.</w:t>
      </w:r>
    </w:p>
    <w:p w14:paraId="18B45BF7" w14:textId="77777777" w:rsidR="00B16527" w:rsidRPr="000665B0" w:rsidRDefault="00B16527" w:rsidP="006D5A65">
      <w:pPr>
        <w:pStyle w:val="Heading1"/>
      </w:pPr>
      <w:r w:rsidRPr="000665B0">
        <w:t>Longitude – Indicates the longitude of the target for this reservation.</w:t>
      </w:r>
    </w:p>
    <w:p w14:paraId="322E4613" w14:textId="0F0F31AA" w:rsidR="00B16527" w:rsidRPr="000665B0" w:rsidRDefault="00B16527" w:rsidP="006D5A65">
      <w:pPr>
        <w:pStyle w:val="Heading1"/>
      </w:pPr>
      <w:r w:rsidRPr="000665B0">
        <w:t>Elev – Indicates the elevation of the target for this reservation.</w:t>
      </w:r>
    </w:p>
    <w:p w14:paraId="1846E8C0" w14:textId="0D047961" w:rsidR="00B16527" w:rsidRPr="000665B0" w:rsidRDefault="00B16527" w:rsidP="006D5A65">
      <w:pPr>
        <w:pStyle w:val="Heading1"/>
      </w:pPr>
      <w:r w:rsidRPr="000665B0">
        <w:t>Elev Ref – Indicates the elevation reference of the target for this reservation.</w:t>
      </w:r>
    </w:p>
    <w:p w14:paraId="02B83444" w14:textId="4007F20B" w:rsidR="00B16527" w:rsidRPr="000665B0" w:rsidRDefault="00B16527" w:rsidP="006D5A65">
      <w:pPr>
        <w:pStyle w:val="Heading1"/>
      </w:pPr>
      <w:r w:rsidRPr="000665B0">
        <w:t>Subscriber ID –</w:t>
      </w:r>
      <w:r w:rsidR="007C0F92" w:rsidRPr="000665B0">
        <w:t xml:space="preserve"> </w:t>
      </w:r>
      <w:r w:rsidRPr="000665B0">
        <w:t xml:space="preserve">ID assigned to </w:t>
      </w:r>
      <w:r w:rsidR="007C0F92" w:rsidRPr="000665B0">
        <w:t xml:space="preserve">a missile </w:t>
      </w:r>
      <w:r w:rsidRPr="000665B0">
        <w:t xml:space="preserve">reservation </w:t>
      </w:r>
      <w:r w:rsidR="007C0F92" w:rsidRPr="000665B0">
        <w:t xml:space="preserve">that </w:t>
      </w:r>
      <w:r w:rsidRPr="000665B0">
        <w:t xml:space="preserve">is used for TSN </w:t>
      </w:r>
      <w:r w:rsidR="007C0F92" w:rsidRPr="000665B0">
        <w:t>communication with the missile</w:t>
      </w:r>
      <w:r w:rsidRPr="000665B0">
        <w:t>.</w:t>
      </w:r>
    </w:p>
    <w:p w14:paraId="6FB9CEFF" w14:textId="77777777" w:rsidR="00B16527" w:rsidRPr="000665B0" w:rsidRDefault="00B16527" w:rsidP="006D5A65">
      <w:pPr>
        <w:pStyle w:val="Heading1"/>
      </w:pPr>
      <w:r w:rsidRPr="000665B0">
        <w:t xml:space="preserve">Use Specified MSL ID – Specify a specific missile ID should be used for this reservation. Enabling this will reveal the missile ID in the MSL ID column. </w:t>
      </w:r>
    </w:p>
    <w:p w14:paraId="4646F29E" w14:textId="77777777" w:rsidR="00B16527" w:rsidRPr="000665B0" w:rsidRDefault="00B16527" w:rsidP="006D5A65">
      <w:pPr>
        <w:pStyle w:val="Heading1"/>
      </w:pPr>
      <w:r w:rsidRPr="000665B0">
        <w:t>Launch Area – The Launch Area of the mission for this reservation.</w:t>
      </w:r>
    </w:p>
    <w:p w14:paraId="19BD0010" w14:textId="2AD66A0C" w:rsidR="00B16527" w:rsidRPr="000665B0" w:rsidRDefault="00B16527" w:rsidP="006D5A65">
      <w:pPr>
        <w:pStyle w:val="Heading1"/>
      </w:pPr>
      <w:r w:rsidRPr="000665B0">
        <w:t>Target Number – The Target Number of the target.</w:t>
      </w:r>
    </w:p>
    <w:p w14:paraId="7EAF0F3E" w14:textId="0DD9DC17" w:rsidR="00B16527" w:rsidRPr="000665B0" w:rsidRDefault="00B16527" w:rsidP="006D5A65">
      <w:pPr>
        <w:pStyle w:val="Heading1"/>
      </w:pPr>
      <w:r w:rsidRPr="000665B0">
        <w:t>RSV# – Reservation number.</w:t>
      </w:r>
    </w:p>
    <w:p w14:paraId="62C868F2" w14:textId="7A9C7308" w:rsidR="00B16527" w:rsidRPr="000665B0" w:rsidRDefault="00B16527" w:rsidP="006D5A65">
      <w:pPr>
        <w:pStyle w:val="Heading1"/>
      </w:pPr>
      <w:r w:rsidRPr="000665B0">
        <w:t>Est Time at Feet Dry – Estimated time of missile feet dry time.</w:t>
      </w:r>
    </w:p>
    <w:p w14:paraId="4EB94929" w14:textId="1356E757" w:rsidR="00B16527" w:rsidRPr="000665B0" w:rsidRDefault="00B16527" w:rsidP="006D5A65">
      <w:pPr>
        <w:pStyle w:val="Heading1"/>
      </w:pPr>
      <w:r w:rsidRPr="000665B0">
        <w:t>TLD – Target Line Designator.</w:t>
      </w:r>
    </w:p>
    <w:p w14:paraId="07F5B606" w14:textId="5D26DEC9" w:rsidR="0070686D" w:rsidRDefault="0070686D" w:rsidP="006D5A65">
      <w:pPr>
        <w:pStyle w:val="Heading1"/>
      </w:pPr>
      <w:bookmarkStart w:id="6676" w:name="_Hlk117184826"/>
      <w:r w:rsidRPr="000665B0">
        <w:rPr>
          <w:bCs/>
        </w:rPr>
        <w:t xml:space="preserve">Missile Type – </w:t>
      </w:r>
      <w:r w:rsidR="00D11664" w:rsidRPr="000665B0">
        <w:t xml:space="preserve">The 4-character missile type (see </w:t>
      </w:r>
      <w:hyperlink w:anchor="_4_-Character_Missile" w:history="1">
        <w:r w:rsidR="00D11664" w:rsidRPr="000665B0">
          <w:rPr>
            <w:rStyle w:val="Hyperlink"/>
          </w:rPr>
          <w:t>Section 5.</w:t>
        </w:r>
        <w:r w:rsidR="001F2287">
          <w:rPr>
            <w:rStyle w:val="Hyperlink"/>
          </w:rPr>
          <w:t>1</w:t>
        </w:r>
        <w:r w:rsidR="003E5AC1">
          <w:rPr>
            <w:rStyle w:val="Hyperlink"/>
          </w:rPr>
          <w:t>4</w:t>
        </w:r>
        <w:r w:rsidR="00D11664" w:rsidRPr="000665B0">
          <w:rPr>
            <w:rStyle w:val="Hyperlink"/>
          </w:rPr>
          <w:t>.1</w:t>
        </w:r>
      </w:hyperlink>
      <w:r w:rsidR="00D11664" w:rsidRPr="000665B0">
        <w:t xml:space="preserve">) structured as &lt;Missile Type&gt;&lt;Warhead Type&gt;&lt;TSN Type&gt;&lt;GPS Type&gt;. Populated only when missile assignment reservations are made by MIS Code. The Additional Information icon </w:t>
      </w:r>
      <w:r w:rsidR="004A219D">
        <w:t>(Φ)</w:t>
      </w:r>
      <w:r w:rsidR="00D11664" w:rsidRPr="000665B0">
        <w:t xml:space="preserve"> in list view column heads or textual view fields indicates that additional information is available for the data within the column or field (see </w:t>
      </w:r>
      <w:hyperlink w:anchor="_Additional__Information" w:history="1">
        <w:r w:rsidR="00D11664" w:rsidRPr="000665B0">
          <w:rPr>
            <w:rStyle w:val="Hyperlink"/>
          </w:rPr>
          <w:t>Section 5.2.11</w:t>
        </w:r>
      </w:hyperlink>
      <w:r w:rsidR="00D11664" w:rsidRPr="000665B0">
        <w:t>).</w:t>
      </w:r>
    </w:p>
    <w:bookmarkEnd w:id="6676"/>
    <w:p w14:paraId="5D1E619D" w14:textId="77777777" w:rsidR="00820752" w:rsidRPr="000665B0" w:rsidRDefault="00820752" w:rsidP="006D5A65">
      <w:pPr>
        <w:pStyle w:val="Heading1"/>
      </w:pPr>
      <w:r>
        <w:t>Launch Type – Assigned mission for the reservation is for ground launch or sea launch.</w:t>
      </w:r>
    </w:p>
    <w:p w14:paraId="18CD60B1" w14:textId="3C86A6B2" w:rsidR="00B040AE" w:rsidRPr="00C92934" w:rsidRDefault="009A1FDF" w:rsidP="00C92934">
      <w:pPr>
        <w:keepNext/>
        <w:keepLines/>
        <w:pBdr>
          <w:top w:val="single" w:sz="12" w:space="1" w:color="auto"/>
          <w:left w:val="single" w:sz="12" w:space="4" w:color="auto"/>
          <w:bottom w:val="single" w:sz="12" w:space="1" w:color="auto"/>
          <w:right w:val="single" w:sz="12" w:space="4" w:color="auto"/>
        </w:pBdr>
        <w:shd w:val="clear" w:color="auto" w:fill="F3F3F3"/>
        <w:ind w:left="90" w:right="90"/>
        <w:rPr>
          <w:b/>
        </w:rPr>
      </w:pPr>
      <w:r w:rsidRPr="000665B0">
        <w:rPr>
          <w:rFonts w:ascii="Arial" w:hAnsi="Arial" w:cs="Arial"/>
          <w:b/>
          <w:noProof/>
          <w:sz w:val="20"/>
        </w:rPr>
        <w:drawing>
          <wp:inline distT="0" distB="0" distL="0" distR="0" wp14:anchorId="4AFD2A2A" wp14:editId="6D475C3B">
            <wp:extent cx="352425" cy="381000"/>
            <wp:effectExtent l="0" t="0" r="9525" b="0"/>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511C74" w:rsidRPr="000665B0">
        <w:rPr>
          <w:b/>
        </w:rPr>
        <w:t>TIP: When a primary missile is failed on the SMD Gantt, the FRU assignments list view’s Msl Progress field will still show it as Enroute. This occurs when the missile is Set to Failed or Failed Primary, Success Ready Spare. In the SMD’s FRU assignments list view, even though the Msl Progress says Enroute, the Time to Tgt field will be blanked out when a missile has failed. Thus to verify that a missile is really enroute, the operator can look at the Time to Tgt field. If it has a value the missile really is enroute, otherwise (if blank) it is not enroute.</w:t>
      </w:r>
      <w:bookmarkStart w:id="6677" w:name="_5.38.3.1.8.2.1__Manually"/>
      <w:bookmarkStart w:id="6678" w:name="_Toc289328920"/>
      <w:bookmarkEnd w:id="6677"/>
    </w:p>
    <w:p w14:paraId="2688AA79" w14:textId="72BDAA49" w:rsidR="000D217A" w:rsidRPr="000665B0" w:rsidRDefault="00B040AE" w:rsidP="00A0163E">
      <w:r w:rsidRPr="000665B0">
        <w:t>The context menu allows</w:t>
      </w:r>
      <w:r w:rsidR="008C2AA7" w:rsidRPr="000665B0">
        <w:t xml:space="preserve"> the following. (All menus are disabled for the BOO trigraph except for the </w:t>
      </w:r>
      <w:r w:rsidR="008C2AA7" w:rsidRPr="000665B0">
        <w:rPr>
          <w:b/>
        </w:rPr>
        <w:t>Shift Time</w:t>
      </w:r>
      <w:r w:rsidR="008C2AA7" w:rsidRPr="000665B0">
        <w:t xml:space="preserve">, </w:t>
      </w:r>
      <w:r w:rsidR="008C2AA7" w:rsidRPr="000665B0">
        <w:rPr>
          <w:b/>
        </w:rPr>
        <w:t>Edit Time</w:t>
      </w:r>
      <w:r w:rsidR="008C2AA7" w:rsidRPr="000665B0">
        <w:t xml:space="preserve">, </w:t>
      </w:r>
      <w:r w:rsidR="00CF554A" w:rsidRPr="000665B0">
        <w:rPr>
          <w:b/>
        </w:rPr>
        <w:t>Spotlight</w:t>
      </w:r>
      <w:r w:rsidR="008C2AA7" w:rsidRPr="000665B0">
        <w:t xml:space="preserve">, and </w:t>
      </w:r>
      <w:r w:rsidR="008C2AA7" w:rsidRPr="000665B0">
        <w:rPr>
          <w:b/>
        </w:rPr>
        <w:t>Print</w:t>
      </w:r>
      <w:r w:rsidR="008C2AA7" w:rsidRPr="000665B0">
        <w:t xml:space="preserve"> menus.)</w:t>
      </w:r>
      <w:r w:rsidR="00265823" w:rsidRPr="000665B0">
        <w:t xml:space="preserve"> </w:t>
      </w:r>
      <w:r w:rsidR="00265823" w:rsidRPr="000665B0">
        <w:rPr>
          <w:snapToGrid w:val="0"/>
        </w:rPr>
        <w:t xml:space="preserve">The </w:t>
      </w:r>
      <w:r w:rsidR="00F605E5" w:rsidRPr="000665B0">
        <w:rPr>
          <w:snapToGrid w:val="0"/>
        </w:rPr>
        <w:t>context menu selections may vary</w:t>
      </w:r>
      <w:r w:rsidR="00265823" w:rsidRPr="000665B0">
        <w:rPr>
          <w:snapToGrid w:val="0"/>
        </w:rPr>
        <w:t xml:space="preserve"> depending on whether the strike is a land attack or maritime strike.</w:t>
      </w:r>
      <w:r w:rsidR="00265823" w:rsidRPr="000665B0">
        <w:t xml:space="preserve"> </w:t>
      </w:r>
    </w:p>
    <w:p w14:paraId="56892E43" w14:textId="7B1CE9C5" w:rsidR="00A953FC" w:rsidRPr="0043211C" w:rsidRDefault="000D217A" w:rsidP="006D5A65">
      <w:pPr>
        <w:pStyle w:val="Heading1"/>
      </w:pPr>
      <w:r>
        <w:t>Display</w:t>
      </w:r>
    </w:p>
    <w:p w14:paraId="6DB352E7" w14:textId="53DE7A41" w:rsidR="00333DB1" w:rsidRPr="000665B0" w:rsidRDefault="00333DB1" w:rsidP="006D5A65">
      <w:pPr>
        <w:pStyle w:val="Heading1"/>
      </w:pPr>
      <w:r w:rsidRPr="000665B0">
        <w:rPr>
          <w:szCs w:val="24"/>
        </w:rPr>
        <w:t xml:space="preserve">MTO – </w:t>
      </w:r>
      <w:r w:rsidRPr="000665B0">
        <w:t xml:space="preserve">Message to Observer shows information that can be transmitted to the observer monitoring the target area to provide the observer with the necessary information to meet </w:t>
      </w:r>
      <w:r w:rsidRPr="000665B0">
        <w:lastRenderedPageBreak/>
        <w:t>the observer’s objectives. MTO contains static data from the mission and dynamic data from the strike.</w:t>
      </w:r>
      <w:r w:rsidR="00752EA6">
        <w:t xml:space="preserve"> (See </w:t>
      </w:r>
      <w:hyperlink w:anchor="_MTO_–_Message" w:history="1">
        <w:r w:rsidR="00752EA6" w:rsidRPr="00752EA6">
          <w:rPr>
            <w:rStyle w:val="Hyperlink"/>
            <w:rFonts w:ascii="Times New Roman" w:eastAsia="Times New Roman" w:hAnsi="Times New Roman"/>
          </w:rPr>
          <w:t xml:space="preserve">Section </w:t>
        </w:r>
        <w:r w:rsidR="004231CC">
          <w:rPr>
            <w:rStyle w:val="Hyperlink"/>
            <w:rFonts w:ascii="Times New Roman" w:eastAsia="Times New Roman" w:hAnsi="Times New Roman"/>
          </w:rPr>
          <w:t>5.35</w:t>
        </w:r>
        <w:r w:rsidR="00752EA6" w:rsidRPr="00752EA6">
          <w:rPr>
            <w:rStyle w:val="Hyperlink"/>
            <w:rFonts w:ascii="Times New Roman" w:eastAsia="Times New Roman" w:hAnsi="Times New Roman"/>
          </w:rPr>
          <w:t>.18.1</w:t>
        </w:r>
      </w:hyperlink>
      <w:r w:rsidR="00752EA6">
        <w:t>).</w:t>
      </w:r>
    </w:p>
    <w:p w14:paraId="13805278" w14:textId="77777777" w:rsidR="00333DB1" w:rsidRPr="000665B0" w:rsidRDefault="00333DB1" w:rsidP="006D5A65">
      <w:pPr>
        <w:pStyle w:val="Heading1"/>
      </w:pPr>
      <w:r w:rsidRPr="000665B0">
        <w:rPr>
          <w:szCs w:val="24"/>
        </w:rPr>
        <w:t xml:space="preserve">Geographically – </w:t>
      </w:r>
      <w:r w:rsidRPr="000665B0">
        <w:t>Displays the selected target(s) geographically.</w:t>
      </w:r>
    </w:p>
    <w:p w14:paraId="713B0C05" w14:textId="3CE88FD9" w:rsidR="00333DB1" w:rsidRPr="000665B0" w:rsidRDefault="00333DB1" w:rsidP="006D5A65">
      <w:pPr>
        <w:pStyle w:val="Heading1"/>
      </w:pPr>
      <w:r w:rsidRPr="000665B0">
        <w:rPr>
          <w:szCs w:val="24"/>
        </w:rPr>
        <w:t xml:space="preserve">In Excel – </w:t>
      </w:r>
      <w:r w:rsidRPr="000665B0">
        <w:t>Creates an Excel document containing the selected target’s information.</w:t>
      </w:r>
    </w:p>
    <w:p w14:paraId="0423376B" w14:textId="22B98196" w:rsidR="00B040AE" w:rsidRPr="000665B0" w:rsidRDefault="00B040AE" w:rsidP="006D5A65">
      <w:pPr>
        <w:pStyle w:val="Heading1"/>
      </w:pPr>
      <w:r w:rsidRPr="000665B0">
        <w:t>New</w:t>
      </w:r>
    </w:p>
    <w:p w14:paraId="5611ABCF" w14:textId="6E00E75A" w:rsidR="00B040AE" w:rsidRPr="000665B0" w:rsidRDefault="00B040AE" w:rsidP="006D5A65">
      <w:pPr>
        <w:pStyle w:val="Heading1"/>
      </w:pPr>
      <w:r w:rsidRPr="000665B0">
        <w:rPr>
          <w:szCs w:val="24"/>
        </w:rPr>
        <w:t>Strike Exception –</w:t>
      </w:r>
      <w:r w:rsidR="00D678CE" w:rsidRPr="000665B0">
        <w:t xml:space="preserve"> </w:t>
      </w:r>
      <w:r w:rsidR="00FA579C" w:rsidRPr="000665B0">
        <w:t xml:space="preserve">Invokes the </w:t>
      </w:r>
      <w:r w:rsidR="00FA579C" w:rsidRPr="000665B0">
        <w:rPr>
          <w:i/>
        </w:rPr>
        <w:t>Strike Exception</w:t>
      </w:r>
      <w:r w:rsidR="00FA579C" w:rsidRPr="000665B0">
        <w:t xml:space="preserve"> window to manually create a strike exception for missile assignment exceptions</w:t>
      </w:r>
      <w:r w:rsidR="0031158F" w:rsidRPr="000665B0">
        <w:t xml:space="preserve"> (see </w:t>
      </w:r>
      <w:hyperlink w:anchor="_Manually_Generate_a" w:history="1">
        <w:r w:rsidR="0096111B" w:rsidRPr="000665B0">
          <w:rPr>
            <w:rStyle w:val="Hyperlink"/>
            <w:rFonts w:ascii="Times New Roman" w:eastAsia="Times New Roman" w:hAnsi="Times New Roman"/>
          </w:rPr>
          <w:t xml:space="preserve">Section </w:t>
        </w:r>
        <w:r w:rsidR="004231CC">
          <w:rPr>
            <w:rStyle w:val="Hyperlink"/>
            <w:rFonts w:ascii="Times New Roman" w:eastAsia="Times New Roman" w:hAnsi="Times New Roman"/>
          </w:rPr>
          <w:t>5.35</w:t>
        </w:r>
        <w:r w:rsidR="0096111B" w:rsidRPr="000665B0">
          <w:rPr>
            <w:rStyle w:val="Hyperlink"/>
            <w:rFonts w:ascii="Times New Roman" w:eastAsia="Times New Roman" w:hAnsi="Times New Roman"/>
          </w:rPr>
          <w:t>.3.1.9</w:t>
        </w:r>
        <w:r w:rsidR="0031158F" w:rsidRPr="000665B0">
          <w:rPr>
            <w:rStyle w:val="Hyperlink"/>
            <w:rFonts w:ascii="Times New Roman" w:eastAsia="Times New Roman" w:hAnsi="Times New Roman"/>
          </w:rPr>
          <w:t>.2.1</w:t>
        </w:r>
      </w:hyperlink>
      <w:r w:rsidR="0031158F" w:rsidRPr="000665B0">
        <w:t>)</w:t>
      </w:r>
      <w:r w:rsidR="00D678CE" w:rsidRPr="000665B0">
        <w:t>.</w:t>
      </w:r>
    </w:p>
    <w:p w14:paraId="0734CC82" w14:textId="0F96592B" w:rsidR="00333DB1" w:rsidRPr="000665B0" w:rsidRDefault="00333DB1" w:rsidP="006D5A65">
      <w:pPr>
        <w:pStyle w:val="Heading1"/>
      </w:pPr>
      <w:r w:rsidRPr="000665B0">
        <w:rPr>
          <w:szCs w:val="24"/>
        </w:rPr>
        <w:t xml:space="preserve">Launch Event Report </w:t>
      </w:r>
      <w:r w:rsidRPr="000665B0">
        <w:t>– Invokes the Launch Event Report window to manually create a LER.</w:t>
      </w:r>
    </w:p>
    <w:p w14:paraId="7EF8F6EB" w14:textId="77777777" w:rsidR="00B040AE" w:rsidRPr="000665B0" w:rsidRDefault="00B040AE" w:rsidP="006D5A65">
      <w:pPr>
        <w:pStyle w:val="Heading1"/>
      </w:pPr>
      <w:r w:rsidRPr="000665B0">
        <w:t>Status</w:t>
      </w:r>
    </w:p>
    <w:p w14:paraId="30258398" w14:textId="77777777" w:rsidR="00B040AE" w:rsidRPr="000665B0" w:rsidRDefault="00B040AE" w:rsidP="006D5A65">
      <w:pPr>
        <w:pStyle w:val="Heading1"/>
      </w:pPr>
      <w:r w:rsidRPr="000665B0">
        <w:rPr>
          <w:szCs w:val="24"/>
        </w:rPr>
        <w:t xml:space="preserve">Set to Good </w:t>
      </w:r>
      <w:r w:rsidRPr="000665B0">
        <w:t>–</w:t>
      </w:r>
      <w:r w:rsidR="00484CA4" w:rsidRPr="000665B0">
        <w:t xml:space="preserve"> Sets the missile to a good state.</w:t>
      </w:r>
    </w:p>
    <w:p w14:paraId="2A361930" w14:textId="77777777" w:rsidR="00B040AE" w:rsidRPr="000665B0" w:rsidRDefault="00B040AE" w:rsidP="006D5A65">
      <w:pPr>
        <w:pStyle w:val="Heading1"/>
      </w:pPr>
      <w:r w:rsidRPr="000665B0">
        <w:rPr>
          <w:szCs w:val="24"/>
        </w:rPr>
        <w:t xml:space="preserve">Set to Warning </w:t>
      </w:r>
      <w:r w:rsidRPr="000665B0">
        <w:t>–</w:t>
      </w:r>
      <w:r w:rsidR="00484CA4" w:rsidRPr="000665B0">
        <w:t xml:space="preserve"> Sets the missile to a warning state.</w:t>
      </w:r>
    </w:p>
    <w:p w14:paraId="78711E66" w14:textId="77777777" w:rsidR="00B040AE" w:rsidRPr="000665B0" w:rsidRDefault="00B040AE" w:rsidP="006D5A65">
      <w:pPr>
        <w:pStyle w:val="Heading1"/>
      </w:pPr>
      <w:r w:rsidRPr="000665B0">
        <w:t xml:space="preserve">Set to Failed – </w:t>
      </w:r>
      <w:r w:rsidR="00484CA4" w:rsidRPr="000665B0">
        <w:t>Sets the missile to a failed state.</w:t>
      </w:r>
    </w:p>
    <w:p w14:paraId="26A838B3" w14:textId="4182B63D" w:rsidR="00B040AE" w:rsidRPr="000665B0" w:rsidRDefault="00B040AE" w:rsidP="006D5A65">
      <w:pPr>
        <w:pStyle w:val="Heading1"/>
      </w:pPr>
      <w:r w:rsidRPr="000665B0">
        <w:t>Reassign FRU –</w:t>
      </w:r>
      <w:r w:rsidR="00484CA4" w:rsidRPr="000665B0">
        <w:t xml:space="preserve"> </w:t>
      </w:r>
      <w:r w:rsidR="005F0F17" w:rsidRPr="000665B0">
        <w:t xml:space="preserve">Reassigns a missile to another FRU. See </w:t>
      </w:r>
      <w:hyperlink w:anchor="_5_.38.3.1.8.2.4_" w:history="1">
        <w:r w:rsidR="0096111B" w:rsidRPr="000665B0">
          <w:rPr>
            <w:rStyle w:val="Hyperlink"/>
          </w:rPr>
          <w:t xml:space="preserve">Section </w:t>
        </w:r>
        <w:r w:rsidR="004231CC">
          <w:rPr>
            <w:rStyle w:val="Hyperlink"/>
          </w:rPr>
          <w:t>5.35</w:t>
        </w:r>
        <w:r w:rsidR="0096111B" w:rsidRPr="000665B0">
          <w:rPr>
            <w:rStyle w:val="Hyperlink"/>
          </w:rPr>
          <w:t>.3.1.9</w:t>
        </w:r>
        <w:r w:rsidR="005F0F17" w:rsidRPr="000665B0">
          <w:rPr>
            <w:rStyle w:val="Hyperlink"/>
          </w:rPr>
          <w:t>.2.</w:t>
        </w:r>
        <w:r w:rsidR="00114D78" w:rsidRPr="000665B0">
          <w:rPr>
            <w:rStyle w:val="Hyperlink"/>
          </w:rPr>
          <w:t>3</w:t>
        </w:r>
      </w:hyperlink>
      <w:r w:rsidR="005F0F17" w:rsidRPr="000665B0">
        <w:t>.</w:t>
      </w:r>
    </w:p>
    <w:p w14:paraId="5FDEC17F" w14:textId="67A4B838" w:rsidR="007F232F" w:rsidRDefault="00333DB1" w:rsidP="006D5A65">
      <w:pPr>
        <w:pStyle w:val="Heading1"/>
      </w:pPr>
      <w:r w:rsidRPr="000665B0">
        <w:rPr>
          <w:szCs w:val="24"/>
        </w:rPr>
        <w:t xml:space="preserve">Assign Ghost </w:t>
      </w:r>
      <w:r w:rsidRPr="000665B0">
        <w:t>– This allows the planner to select the FRU that will execute the mission. Selecting this menu will bring up a dialog that contains a list of FRUs that can handle the tasking. This menu is only available for Ghost missiles.</w:t>
      </w:r>
    </w:p>
    <w:p w14:paraId="7C75F6BD" w14:textId="77777777" w:rsidR="008B702E" w:rsidRDefault="008B702E" w:rsidP="00AD6267">
      <w:pPr>
        <w:pageBreakBefore/>
        <w:pBdr>
          <w:top w:val="single" w:sz="12" w:space="1" w:color="000000"/>
          <w:left w:val="single" w:sz="12" w:space="4" w:color="000000"/>
          <w:bottom w:val="single" w:sz="12" w:space="1" w:color="000000"/>
          <w:right w:val="single" w:sz="12" w:space="4" w:color="000000"/>
        </w:pBdr>
        <w:shd w:val="clear" w:color="auto" w:fill="D9D9D9"/>
        <w:spacing w:after="0"/>
        <w:jc w:val="center"/>
        <w:rPr>
          <w:b/>
        </w:rPr>
      </w:pPr>
      <w:r w:rsidRPr="000665B0">
        <w:rPr>
          <w:b/>
          <w:bCs/>
        </w:rPr>
        <w:lastRenderedPageBreak/>
        <w:t>Note</w:t>
      </w:r>
      <w:r w:rsidRPr="000665B0">
        <w:rPr>
          <w:b/>
        </w:rPr>
        <w:t>:</w:t>
      </w:r>
    </w:p>
    <w:p w14:paraId="6DDDD968" w14:textId="71F26E14" w:rsidR="008B702E" w:rsidRDefault="008B702E" w:rsidP="008B702E">
      <w:pPr>
        <w:keepNext/>
        <w:pBdr>
          <w:top w:val="single" w:sz="12" w:space="1" w:color="000000"/>
          <w:left w:val="single" w:sz="12" w:space="4" w:color="000000"/>
          <w:bottom w:val="single" w:sz="12" w:space="1" w:color="000000"/>
          <w:right w:val="single" w:sz="12" w:space="4" w:color="000000"/>
        </w:pBdr>
        <w:shd w:val="clear" w:color="auto" w:fill="D9D9D9"/>
        <w:spacing w:after="0"/>
        <w:rPr>
          <w:b/>
        </w:rPr>
      </w:pPr>
      <w:r w:rsidRPr="000665B0">
        <w:rPr>
          <w:b/>
        </w:rPr>
        <w:t>There is a limitation associated with 109E missions assigned to Ghost tasking under the following conditions:</w:t>
      </w:r>
    </w:p>
    <w:p w14:paraId="77E2C4F1" w14:textId="4066C80E" w:rsidR="008B702E" w:rsidRPr="001F4B14" w:rsidRDefault="008B702E" w:rsidP="00F67A7A">
      <w:pPr>
        <w:keepNext/>
        <w:pBdr>
          <w:top w:val="single" w:sz="12" w:space="1" w:color="000000"/>
          <w:left w:val="single" w:sz="12" w:space="4" w:color="000000"/>
          <w:bottom w:val="single" w:sz="12" w:space="1" w:color="000000"/>
          <w:right w:val="single" w:sz="12" w:space="4" w:color="000000"/>
        </w:pBdr>
        <w:shd w:val="clear" w:color="auto" w:fill="D9D9D9"/>
        <w:spacing w:after="0"/>
        <w:rPr>
          <w:b/>
          <w:bCs/>
        </w:rPr>
      </w:pPr>
      <w:r w:rsidRPr="001F4B14">
        <w:rPr>
          <w:b/>
          <w:bCs/>
        </w:rPr>
        <w:t>1. A 109E Mission is assigned to ghost tasking and a TSN Type is selected (</w:t>
      </w:r>
      <w:r w:rsidR="004918FD" w:rsidRPr="001F4B14">
        <w:rPr>
          <w:b/>
          <w:bCs/>
        </w:rPr>
        <w:t>e.g.,</w:t>
      </w:r>
      <w:r w:rsidRPr="001F4B14">
        <w:rPr>
          <w:b/>
          <w:bCs/>
        </w:rPr>
        <w:t xml:space="preserve"> DAMA).</w:t>
      </w:r>
      <w:r w:rsidRPr="001F4B14">
        <w:rPr>
          <w:b/>
          <w:bCs/>
        </w:rPr>
        <w:br/>
        <w:t>2. The TSN Type is later changed (</w:t>
      </w:r>
      <w:r w:rsidR="004918FD" w:rsidRPr="001F4B14">
        <w:rPr>
          <w:b/>
          <w:bCs/>
        </w:rPr>
        <w:t>e.g.,</w:t>
      </w:r>
      <w:r w:rsidRPr="001F4B14">
        <w:rPr>
          <w:b/>
          <w:bCs/>
        </w:rPr>
        <w:t xml:space="preserve"> switched to ACA).</w:t>
      </w:r>
      <w:r w:rsidRPr="001F4B14">
        <w:rPr>
          <w:b/>
          <w:bCs/>
        </w:rPr>
        <w:br/>
        <w:t>3. When the Ghost mission is assigned to a FRU, the TSN Type retains the original selection (e.g.</w:t>
      </w:r>
      <w:r w:rsidR="004918FD" w:rsidRPr="001F4B14">
        <w:rPr>
          <w:b/>
          <w:bCs/>
        </w:rPr>
        <w:t>,</w:t>
      </w:r>
      <w:r w:rsidRPr="001F4B14">
        <w:rPr>
          <w:b/>
          <w:bCs/>
        </w:rPr>
        <w:t xml:space="preserve"> DAMA).</w:t>
      </w:r>
    </w:p>
    <w:p w14:paraId="4F8A4EDD" w14:textId="75867F38" w:rsidR="007F232F" w:rsidRPr="000665B0" w:rsidRDefault="007F232F" w:rsidP="00C92934">
      <w:pPr>
        <w:spacing w:after="0"/>
        <w:rPr>
          <w:b/>
        </w:rPr>
      </w:pPr>
    </w:p>
    <w:p w14:paraId="046A02B6" w14:textId="31B9A08F" w:rsidR="007F232F" w:rsidRDefault="007F232F" w:rsidP="007F232F">
      <w:pPr>
        <w:keepNext/>
        <w:pBdr>
          <w:top w:val="single" w:sz="12" w:space="1" w:color="000000"/>
          <w:left w:val="single" w:sz="12" w:space="4" w:color="000000"/>
          <w:bottom w:val="single" w:sz="12" w:space="1" w:color="000000"/>
          <w:right w:val="single" w:sz="12" w:space="4" w:color="000000"/>
        </w:pBdr>
        <w:shd w:val="clear" w:color="auto" w:fill="D9D9D9"/>
        <w:spacing w:after="0"/>
        <w:jc w:val="center"/>
        <w:rPr>
          <w:b/>
          <w:bCs/>
        </w:rPr>
      </w:pPr>
      <w:r>
        <w:rPr>
          <w:b/>
          <w:bCs/>
        </w:rPr>
        <w:t>When a Ghost reservation is assigned to a BOC platform, a pre-6.0.2 TED node will display MS# assigned to the BOC on the GANTT chart, but there will be no mission displayed in temporal line on the GANTT. The MS# should not be displayed on the GANTT because there is no timing information for the mission due to the fact that a pre-6.0.2 TED node will never receive a ground-launch required mission</w:t>
      </w:r>
      <w:r w:rsidR="001C6B00">
        <w:rPr>
          <w:b/>
          <w:bCs/>
        </w:rPr>
        <w:t xml:space="preserve"> and will not have any timing information for the mission</w:t>
      </w:r>
      <w:r>
        <w:rPr>
          <w:b/>
          <w:bCs/>
        </w:rPr>
        <w:t xml:space="preserve">. </w:t>
      </w:r>
    </w:p>
    <w:p w14:paraId="47E33593" w14:textId="711E8DC3" w:rsidR="00633906" w:rsidRPr="00633906" w:rsidRDefault="00633906" w:rsidP="006D5A65">
      <w:pPr>
        <w:pStyle w:val="Heading1"/>
      </w:pPr>
      <w:r w:rsidRPr="007F232F">
        <w:rPr>
          <w:bCs/>
        </w:rPr>
        <w:t xml:space="preserve">Move to Pool – </w:t>
      </w:r>
      <w:r w:rsidRPr="00633906">
        <w:t>Moves a missile to the backup pool. See</w:t>
      </w:r>
      <w:r w:rsidRPr="00633906">
        <w:rPr>
          <w:bCs/>
        </w:rPr>
        <w:t xml:space="preserve"> </w:t>
      </w:r>
      <w:hyperlink w:anchor="_Move_to_Pool" w:history="1">
        <w:r w:rsidRPr="00EC4990">
          <w:rPr>
            <w:rStyle w:val="Hyperlink"/>
          </w:rPr>
          <w:t xml:space="preserve">Section </w:t>
        </w:r>
        <w:r w:rsidR="004231CC">
          <w:rPr>
            <w:rStyle w:val="Hyperlink"/>
          </w:rPr>
          <w:t>5.35</w:t>
        </w:r>
        <w:r w:rsidRPr="00EC4990">
          <w:rPr>
            <w:rStyle w:val="Hyperlink"/>
          </w:rPr>
          <w:t>.3.1.9.2.4</w:t>
        </w:r>
      </w:hyperlink>
      <w:r w:rsidRPr="00EC4990">
        <w:t>.</w:t>
      </w:r>
    </w:p>
    <w:p w14:paraId="51B94595" w14:textId="09C4F3A6" w:rsidR="00002724" w:rsidRPr="00C36B36" w:rsidRDefault="00002724" w:rsidP="006D5A65">
      <w:pPr>
        <w:pStyle w:val="Heading1"/>
      </w:pPr>
      <w:r w:rsidRPr="00517711">
        <w:t xml:space="preserve">Cancel (Only enabled if there is an Associated Backup or Associated Spare) – This allows the operator to remove the Associated Backup or Associated Spare missile reservation which </w:t>
      </w:r>
      <w:r w:rsidRPr="00517711">
        <w:rPr>
          <w:rStyle w:val="normaltextrun"/>
          <w:color w:val="000000"/>
          <w:szCs w:val="24"/>
          <w:shd w:val="clear" w:color="auto" w:fill="FFFFFF"/>
        </w:rPr>
        <w:t>restores missile availability following successful transition to cruise of the associated Primary.</w:t>
      </w:r>
    </w:p>
    <w:p w14:paraId="2DAE5FCA" w14:textId="0169C50D" w:rsidR="00484CA4" w:rsidRPr="000665B0" w:rsidRDefault="00484CA4" w:rsidP="006D5A65">
      <w:pPr>
        <w:pStyle w:val="Heading1"/>
      </w:pPr>
      <w:r w:rsidRPr="000665B0">
        <w:t>Recovery (Enabled for failed missiles)</w:t>
      </w:r>
      <w:r w:rsidR="00333DB1" w:rsidRPr="000665B0">
        <w:t>.</w:t>
      </w:r>
    </w:p>
    <w:p w14:paraId="159D9B55" w14:textId="788F2F81" w:rsidR="00484CA4" w:rsidRPr="000665B0" w:rsidRDefault="00484CA4" w:rsidP="006D5A65">
      <w:pPr>
        <w:pStyle w:val="Heading2"/>
      </w:pPr>
      <w:r w:rsidRPr="000665B0">
        <w:t>Launch Backup – The submenu show</w:t>
      </w:r>
      <w:r w:rsidR="0014647A" w:rsidRPr="000665B0">
        <w:t>s</w:t>
      </w:r>
      <w:r w:rsidRPr="000665B0">
        <w:t xml:space="preserve"> the available backup missiles to launch. </w:t>
      </w:r>
      <w:r w:rsidR="0014647A" w:rsidRPr="000665B0">
        <w:t xml:space="preserve">The backup missile is launched by a different FRU </w:t>
      </w:r>
      <w:r w:rsidR="0075044B" w:rsidRPr="000665B0">
        <w:t>(</w:t>
      </w:r>
      <w:r w:rsidR="0014647A" w:rsidRPr="000665B0">
        <w:t>acting as the backup</w:t>
      </w:r>
      <w:r w:rsidR="0075044B" w:rsidRPr="000665B0">
        <w:t>),</w:t>
      </w:r>
      <w:r w:rsidR="0014647A" w:rsidRPr="000665B0">
        <w:t xml:space="preserve"> </w:t>
      </w:r>
      <w:r w:rsidR="0075044B" w:rsidRPr="000665B0">
        <w:t>than</w:t>
      </w:r>
      <w:r w:rsidR="0014647A" w:rsidRPr="000665B0">
        <w:t xml:space="preserve"> the FRU that failed to launch the primary missile. </w:t>
      </w:r>
      <w:r w:rsidRPr="000665B0">
        <w:t>Selecting one of these backup missiles deactivate</w:t>
      </w:r>
      <w:r w:rsidR="0014647A" w:rsidRPr="000665B0">
        <w:t>s</w:t>
      </w:r>
      <w:r w:rsidRPr="000665B0">
        <w:t xml:space="preserve"> the failed missile and activate</w:t>
      </w:r>
      <w:r w:rsidR="0014647A" w:rsidRPr="000665B0">
        <w:t>s</w:t>
      </w:r>
      <w:r w:rsidRPr="000665B0">
        <w:t xml:space="preserve"> the backup missile. An SEM will be sent if applicable. If there are no backup missiles, then this menu item is disabled.</w:t>
      </w:r>
    </w:p>
    <w:p w14:paraId="5A5CC247" w14:textId="3E8DB21E" w:rsidR="0047200F" w:rsidRPr="000665B0" w:rsidRDefault="005F59FC" w:rsidP="00453FD6">
      <w:pPr>
        <w:jc w:val="center"/>
      </w:pPr>
      <w:r w:rsidRPr="000665B0">
        <w:rPr>
          <w:noProof/>
        </w:rPr>
        <w:drawing>
          <wp:inline distT="0" distB="0" distL="0" distR="0" wp14:anchorId="5216B50B" wp14:editId="5E155BC9">
            <wp:extent cx="4114800" cy="1737360"/>
            <wp:effectExtent l="0" t="0" r="0" b="0"/>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1737360"/>
                    </a:xfrm>
                    <a:prstGeom prst="rect">
                      <a:avLst/>
                    </a:prstGeom>
                  </pic:spPr>
                </pic:pic>
              </a:graphicData>
            </a:graphic>
          </wp:inline>
        </w:drawing>
      </w:r>
    </w:p>
    <w:p w14:paraId="3395F2B0" w14:textId="35569C16" w:rsidR="00484CA4" w:rsidRPr="000665B0" w:rsidRDefault="00484CA4" w:rsidP="006D5A65">
      <w:pPr>
        <w:pStyle w:val="Heading2"/>
      </w:pPr>
      <w:r w:rsidRPr="000665B0">
        <w:t xml:space="preserve">Launch Ready Spare – </w:t>
      </w:r>
      <w:r w:rsidR="00826A9D" w:rsidRPr="000665B0">
        <w:t xml:space="preserve">Ready spare is a missile that has been powered up ready for launch when the primary missile fails. </w:t>
      </w:r>
      <w:r w:rsidR="0014647A" w:rsidRPr="000665B0">
        <w:t xml:space="preserve">Ready Spare and primary missiles are on the same FRU. </w:t>
      </w:r>
      <w:r w:rsidR="00826A9D" w:rsidRPr="000665B0">
        <w:t xml:space="preserve">It requires a manual process to make the ready spare the </w:t>
      </w:r>
      <w:r w:rsidR="00826A9D" w:rsidRPr="000665B0">
        <w:lastRenderedPageBreak/>
        <w:t>primary missile. An auto ready spare missile is one that can be launched in case the primary missile fails</w:t>
      </w:r>
      <w:r w:rsidR="0014647A" w:rsidRPr="000665B0">
        <w:t xml:space="preserve">; </w:t>
      </w:r>
      <w:r w:rsidR="0075044B" w:rsidRPr="000665B0">
        <w:t>an auto ready spare</w:t>
      </w:r>
      <w:r w:rsidR="00826A9D" w:rsidRPr="000665B0">
        <w:t xml:space="preserve"> does not require human intervention to turn it into a primary missile.</w:t>
      </w:r>
    </w:p>
    <w:p w14:paraId="56AECA56" w14:textId="4EA6508A" w:rsidR="000059A6" w:rsidRPr="000665B0" w:rsidRDefault="001D1ED5" w:rsidP="006D5A65">
      <w:pPr>
        <w:pStyle w:val="Heading3"/>
      </w:pPr>
      <w:r w:rsidRPr="000665B0">
        <w:t>S</w:t>
      </w:r>
      <w:r w:rsidR="0060072F" w:rsidRPr="000665B0">
        <w:t xml:space="preserve">pare missile launches may cause unexpected behavior by some of the icons on the Gantt chart (see </w:t>
      </w:r>
      <w:hyperlink w:anchor="_H&amp;S/Other_Icons_Fail" w:history="1">
        <w:r w:rsidR="00E036B6" w:rsidRPr="000665B0">
          <w:rPr>
            <w:rStyle w:val="Hyperlink"/>
          </w:rPr>
          <w:t xml:space="preserve">Section </w:t>
        </w:r>
        <w:r w:rsidR="004231CC">
          <w:rPr>
            <w:rStyle w:val="Hyperlink"/>
          </w:rPr>
          <w:t>5.35</w:t>
        </w:r>
        <w:r w:rsidR="0060072F" w:rsidRPr="000665B0">
          <w:rPr>
            <w:rStyle w:val="Hyperlink"/>
          </w:rPr>
          <w:t>.3.1.1.3.1</w:t>
        </w:r>
      </w:hyperlink>
      <w:r w:rsidR="0060072F" w:rsidRPr="000665B0">
        <w:t xml:space="preserve">). </w:t>
      </w:r>
    </w:p>
    <w:p w14:paraId="10D28B98" w14:textId="5CF6EE81" w:rsidR="0014647A" w:rsidRPr="000665B0" w:rsidRDefault="005F59FC" w:rsidP="00CB3E29">
      <w:pPr>
        <w:jc w:val="center"/>
      </w:pPr>
      <w:r w:rsidRPr="000665B0">
        <w:rPr>
          <w:noProof/>
        </w:rPr>
        <w:drawing>
          <wp:inline distT="0" distB="0" distL="0" distR="0" wp14:anchorId="2DB4D879" wp14:editId="746F0456">
            <wp:extent cx="4114800" cy="2020824"/>
            <wp:effectExtent l="0" t="0" r="0" b="0"/>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020824"/>
                    </a:xfrm>
                    <a:prstGeom prst="rect">
                      <a:avLst/>
                    </a:prstGeom>
                  </pic:spPr>
                </pic:pic>
              </a:graphicData>
            </a:graphic>
          </wp:inline>
        </w:drawing>
      </w:r>
    </w:p>
    <w:p w14:paraId="05F2B42F" w14:textId="6C587F95" w:rsidR="00333DB1" w:rsidRPr="000665B0" w:rsidRDefault="00333DB1" w:rsidP="006D5A65">
      <w:pPr>
        <w:pStyle w:val="Heading1"/>
      </w:pPr>
      <w:r w:rsidRPr="000665B0">
        <w:t>Reroute Missile – This allows the operator to se</w:t>
      </w:r>
      <w:r w:rsidR="00C540A0" w:rsidRPr="000665B0">
        <w:t>lec</w:t>
      </w:r>
      <w:r w:rsidRPr="000665B0">
        <w:t>t the priority of the reroute action. Missiles assigned to aimpoints with higher priority than the selected priority will not be considered for rerouting.</w:t>
      </w:r>
      <w:r w:rsidR="00C540A0" w:rsidRPr="000665B0">
        <w:t xml:space="preserve"> Although CFF is shown as a selection, it is </w:t>
      </w:r>
      <w:r w:rsidR="000F3AA3" w:rsidRPr="000665B0">
        <w:t>currently not functional</w:t>
      </w:r>
      <w:r w:rsidR="00C540A0" w:rsidRPr="000665B0">
        <w:t>.</w:t>
      </w:r>
    </w:p>
    <w:p w14:paraId="4AF71B0F" w14:textId="0828C141" w:rsidR="00333DB1" w:rsidRPr="000665B0" w:rsidRDefault="00BA09B9" w:rsidP="00333DB1">
      <w:pPr>
        <w:jc w:val="center"/>
      </w:pPr>
      <w:r w:rsidRPr="000665B0">
        <w:rPr>
          <w:noProof/>
        </w:rPr>
        <w:drawing>
          <wp:inline distT="0" distB="0" distL="0" distR="0" wp14:anchorId="7E74912D" wp14:editId="62063AAC">
            <wp:extent cx="2743200" cy="621792"/>
            <wp:effectExtent l="0" t="0" r="0" b="6985"/>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743200" cy="621792"/>
                    </a:xfrm>
                    <a:prstGeom prst="rect">
                      <a:avLst/>
                    </a:prstGeom>
                    <a:ln>
                      <a:noFill/>
                    </a:ln>
                    <a:extLst>
                      <a:ext uri="{53640926-AAD7-44D8-BBD7-CCE9431645EC}">
                        <a14:shadowObscured xmlns:a14="http://schemas.microsoft.com/office/drawing/2010/main"/>
                      </a:ext>
                    </a:extLst>
                  </pic:spPr>
                </pic:pic>
              </a:graphicData>
            </a:graphic>
          </wp:inline>
        </w:drawing>
      </w:r>
    </w:p>
    <w:p w14:paraId="04D5D9D5" w14:textId="2C060680" w:rsidR="00333DB1" w:rsidRPr="000665B0" w:rsidRDefault="00333DB1" w:rsidP="00333DB1">
      <w:pPr>
        <w:ind w:left="720"/>
      </w:pPr>
      <w:r w:rsidRPr="000665B0">
        <w:t xml:space="preserve">Upon selecting the priority, the Retarget Calculator is started and a list of missiles that can be diverted to this target is displayed. A missile can be selected from the list (see </w:t>
      </w:r>
      <w:hyperlink w:anchor="_Reroute" w:history="1">
        <w:r w:rsidR="00985815" w:rsidRPr="000665B0">
          <w:rPr>
            <w:rStyle w:val="Hyperlink"/>
          </w:rPr>
          <w:t xml:space="preserve">Section </w:t>
        </w:r>
        <w:r w:rsidR="004231CC">
          <w:rPr>
            <w:rStyle w:val="Hyperlink"/>
          </w:rPr>
          <w:t>5.35</w:t>
        </w:r>
        <w:r w:rsidR="00985815" w:rsidRPr="000665B0">
          <w:rPr>
            <w:rStyle w:val="Hyperlink"/>
          </w:rPr>
          <w:t>.3.1.8</w:t>
        </w:r>
        <w:r w:rsidRPr="000665B0">
          <w:rPr>
            <w:rStyle w:val="Hyperlink"/>
          </w:rPr>
          <w:t>.1</w:t>
        </w:r>
      </w:hyperlink>
      <w:r w:rsidRPr="000665B0">
        <w:t xml:space="preserve">). </w:t>
      </w:r>
    </w:p>
    <w:p w14:paraId="1B126984" w14:textId="77777777" w:rsidR="00333DB1" w:rsidRPr="000665B0" w:rsidRDefault="00333DB1" w:rsidP="00F26AD4">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C66BC14" w14:textId="77777777" w:rsidR="00333DB1" w:rsidRPr="000665B0" w:rsidRDefault="00333DB1" w:rsidP="00333DB1">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Only missiles that have not been previously launched can be moved to the pool. Once completed the option will be marked as pending distribution in the option list view and can be sent from there.</w:t>
      </w:r>
    </w:p>
    <w:p w14:paraId="1A8C1C10" w14:textId="2F6C8EF3" w:rsidR="00B040AE" w:rsidRPr="000665B0" w:rsidRDefault="00B040AE" w:rsidP="006D5A65">
      <w:pPr>
        <w:pStyle w:val="Heading1"/>
      </w:pPr>
      <w:r w:rsidRPr="000665B0">
        <w:t>Shift Time… –</w:t>
      </w:r>
      <w:r w:rsidR="0075044B" w:rsidRPr="000665B0">
        <w:t xml:space="preserve"> </w:t>
      </w:r>
      <w:r w:rsidR="00EA5FE2" w:rsidRPr="000665B0">
        <w:t xml:space="preserve">Shifts one or multiple missiles’ assignment times, provided that the missiles do not have their time locked by a chosen amount and have not yet launched. For more information see </w:t>
      </w:r>
      <w:hyperlink w:anchor="_Shift_Strike_Times_1" w:history="1">
        <w:r w:rsidR="009326FE" w:rsidRPr="000665B0">
          <w:rPr>
            <w:rStyle w:val="Hyperlink"/>
          </w:rPr>
          <w:t xml:space="preserve">Section </w:t>
        </w:r>
        <w:r w:rsidR="004231CC">
          <w:rPr>
            <w:rStyle w:val="Hyperlink"/>
          </w:rPr>
          <w:t>5.34</w:t>
        </w:r>
        <w:r w:rsidR="00EA5FE2" w:rsidRPr="000665B0">
          <w:rPr>
            <w:rStyle w:val="Hyperlink"/>
          </w:rPr>
          <w:t>.7.1.19</w:t>
        </w:r>
      </w:hyperlink>
      <w:r w:rsidR="0075044B" w:rsidRPr="000665B0">
        <w:t>.</w:t>
      </w:r>
    </w:p>
    <w:p w14:paraId="2418A8C3" w14:textId="77777777" w:rsidR="00CF554A" w:rsidRPr="000665B0" w:rsidRDefault="00CF554A" w:rsidP="006D5A65">
      <w:pPr>
        <w:pStyle w:val="Heading1"/>
      </w:pPr>
      <w:r w:rsidRPr="000665B0">
        <w:t>Edit</w:t>
      </w:r>
    </w:p>
    <w:p w14:paraId="2CECE1F5" w14:textId="77777777" w:rsidR="00333DB1" w:rsidRPr="000665B0" w:rsidRDefault="00333DB1" w:rsidP="006D5A65">
      <w:pPr>
        <w:pStyle w:val="Heading2"/>
      </w:pPr>
      <w:r w:rsidRPr="000665B0">
        <w:t>Time… – Edits the missile’s timing information. The timing information includes the timing type, assigned time, delta, and locked.</w:t>
      </w:r>
    </w:p>
    <w:p w14:paraId="16A53964" w14:textId="2AACDA7D" w:rsidR="00333DB1" w:rsidRPr="000665B0" w:rsidRDefault="00EB2ACF" w:rsidP="00333DB1">
      <w:pPr>
        <w:spacing w:after="240"/>
        <w:jc w:val="center"/>
      </w:pPr>
      <w:r w:rsidRPr="000665B0">
        <w:rPr>
          <w:noProof/>
        </w:rPr>
        <w:lastRenderedPageBreak/>
        <w:drawing>
          <wp:inline distT="0" distB="0" distL="0" distR="0" wp14:anchorId="769724CD" wp14:editId="2405B3D3">
            <wp:extent cx="2743200" cy="1298448"/>
            <wp:effectExtent l="0" t="0" r="0" b="0"/>
            <wp:docPr id="1136"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298448"/>
                    </a:xfrm>
                    <a:prstGeom prst="rect">
                      <a:avLst/>
                    </a:prstGeom>
                  </pic:spPr>
                </pic:pic>
              </a:graphicData>
            </a:graphic>
          </wp:inline>
        </w:drawing>
      </w:r>
    </w:p>
    <w:p w14:paraId="5B976C72" w14:textId="77777777" w:rsidR="00333DB1" w:rsidRPr="000665B0" w:rsidRDefault="00333DB1" w:rsidP="00333DB1">
      <w:pPr>
        <w:ind w:left="720"/>
      </w:pPr>
      <w:r w:rsidRPr="000665B0">
        <w:t>The Locked checkbox locks the selected reservation’s timing. Once locked, any timing changes will not affect the locked reservations.</w:t>
      </w:r>
    </w:p>
    <w:p w14:paraId="5B283751" w14:textId="77777777" w:rsidR="00333DB1" w:rsidRPr="000665B0" w:rsidRDefault="00333DB1" w:rsidP="00333DB1">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30DEF977" w14:textId="77777777" w:rsidR="00333DB1" w:rsidRPr="000665B0" w:rsidRDefault="00333DB1" w:rsidP="00333DB1">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Only missiles that have not been launched can have their times changed. Once completed, the option will be marked as pending distribution in the option list view and can be sent from there.</w:t>
      </w:r>
    </w:p>
    <w:p w14:paraId="4E33529C" w14:textId="4D2F584C" w:rsidR="00CF554A" w:rsidRPr="000665B0" w:rsidRDefault="00CF554A" w:rsidP="006D5A65">
      <w:pPr>
        <w:pStyle w:val="Heading1"/>
      </w:pPr>
      <w:r w:rsidRPr="000665B0">
        <w:rPr>
          <w:szCs w:val="24"/>
        </w:rPr>
        <w:t xml:space="preserve">TTWCS IMMM </w:t>
      </w:r>
      <w:r w:rsidRPr="000665B0">
        <w:t xml:space="preserve">– </w:t>
      </w:r>
      <w:r w:rsidR="0014647A" w:rsidRPr="000665B0">
        <w:t>Indicates whether TTWCS is allowed/not allowed to send IMMM to the missile directly.</w:t>
      </w:r>
    </w:p>
    <w:p w14:paraId="7CC7027A" w14:textId="6644EB24" w:rsidR="0014647A" w:rsidRPr="000665B0" w:rsidRDefault="0014647A" w:rsidP="006D5A65">
      <w:pPr>
        <w:pStyle w:val="Heading3"/>
      </w:pPr>
      <w:r w:rsidRPr="000665B0">
        <w:t>ALLOWED – Enabled when IMMM capability is disabled for TTWCS on the FRU. This enables IMMM capability.</w:t>
      </w:r>
    </w:p>
    <w:p w14:paraId="4659C428" w14:textId="2E00F419" w:rsidR="0014647A" w:rsidRPr="000665B0" w:rsidRDefault="0014647A" w:rsidP="006D5A65">
      <w:pPr>
        <w:pStyle w:val="Heading3"/>
      </w:pPr>
      <w:r w:rsidRPr="000665B0">
        <w:t>NOT ALLOWED – Enabled when IMMM capability is enabled for TTWCS on the FRU. This disables IMMM capability.</w:t>
      </w:r>
    </w:p>
    <w:p w14:paraId="2147D2AA" w14:textId="66FF3A59" w:rsidR="00CF554A" w:rsidRPr="000665B0" w:rsidRDefault="00CF554A" w:rsidP="006D5A65">
      <w:pPr>
        <w:pStyle w:val="Heading1"/>
      </w:pPr>
      <w:r w:rsidRPr="000665B0">
        <w:rPr>
          <w:szCs w:val="24"/>
        </w:rPr>
        <w:t xml:space="preserve">TSN Comms </w:t>
      </w:r>
      <w:r w:rsidRPr="000665B0">
        <w:t xml:space="preserve">– </w:t>
      </w:r>
      <w:r w:rsidR="0031158F" w:rsidRPr="000665B0">
        <w:t>Enables/disables TSN comms</w:t>
      </w:r>
      <w:r w:rsidR="00214212" w:rsidRPr="000665B0">
        <w:t xml:space="preserve"> (109E</w:t>
      </w:r>
      <w:r w:rsidR="007C0242">
        <w:t>/M</w:t>
      </w:r>
      <w:r w:rsidR="00214212" w:rsidRPr="000665B0">
        <w:t xml:space="preserve"> missiles only)</w:t>
      </w:r>
      <w:r w:rsidR="0031158F" w:rsidRPr="000665B0">
        <w:t>.</w:t>
      </w:r>
    </w:p>
    <w:p w14:paraId="3098D5E7" w14:textId="77777777" w:rsidR="0031158F" w:rsidRPr="000665B0" w:rsidRDefault="0031158F" w:rsidP="006D5A65">
      <w:pPr>
        <w:pStyle w:val="Heading3"/>
      </w:pPr>
      <w:r w:rsidRPr="000665B0">
        <w:t xml:space="preserve">Enable – Enabled when TSN comms is disabled. This enables TSN comms for the missile. </w:t>
      </w:r>
    </w:p>
    <w:p w14:paraId="249CB150" w14:textId="77777777" w:rsidR="00214212" w:rsidRPr="000665B0" w:rsidRDefault="0031158F" w:rsidP="006D5A65">
      <w:pPr>
        <w:pStyle w:val="Heading3"/>
      </w:pPr>
      <w:r w:rsidRPr="000665B0">
        <w:t>Disable – Enabled when TSN comms is enabled. This disables TSN comms for the missile.</w:t>
      </w:r>
    </w:p>
    <w:p w14:paraId="5E5DFB74" w14:textId="1CA81F06" w:rsidR="0031158F" w:rsidRPr="000665B0" w:rsidRDefault="00214212" w:rsidP="006D5A65">
      <w:pPr>
        <w:pStyle w:val="Heading1"/>
      </w:pPr>
      <w:r w:rsidRPr="000665B0">
        <w:rPr>
          <w:szCs w:val="24"/>
        </w:rPr>
        <w:t xml:space="preserve">TSN Parameters – </w:t>
      </w:r>
      <w:r w:rsidR="00C439DA" w:rsidRPr="000665B0">
        <w:t xml:space="preserve">See </w:t>
      </w:r>
      <w:hyperlink w:anchor="_5.37.6.1.15__Option" w:history="1">
        <w:r w:rsidR="009326FE" w:rsidRPr="000665B0">
          <w:rPr>
            <w:rStyle w:val="Hyperlink"/>
            <w:rFonts w:ascii="Times New Roman" w:eastAsia="Times New Roman" w:hAnsi="Times New Roman"/>
          </w:rPr>
          <w:t xml:space="preserve">Section </w:t>
        </w:r>
        <w:r w:rsidR="004231CC">
          <w:rPr>
            <w:rStyle w:val="Hyperlink"/>
            <w:rFonts w:ascii="Times New Roman" w:eastAsia="Times New Roman" w:hAnsi="Times New Roman"/>
          </w:rPr>
          <w:t>5.34</w:t>
        </w:r>
        <w:r w:rsidR="00C439DA" w:rsidRPr="000665B0">
          <w:rPr>
            <w:rStyle w:val="Hyperlink"/>
            <w:rFonts w:ascii="Times New Roman" w:eastAsia="Times New Roman" w:hAnsi="Times New Roman"/>
          </w:rPr>
          <w:t>.7.1.16</w:t>
        </w:r>
      </w:hyperlink>
      <w:r w:rsidR="00C439DA" w:rsidRPr="000665B0">
        <w:t xml:space="preserve"> at “To modify the TSN Parameters setting using the Missile Assignment List.”</w:t>
      </w:r>
    </w:p>
    <w:p w14:paraId="459DE6C5" w14:textId="332452E9" w:rsidR="00DA65A0" w:rsidRPr="000665B0" w:rsidRDefault="00DA65A0" w:rsidP="006D5A65">
      <w:pPr>
        <w:pStyle w:val="Heading1"/>
      </w:pPr>
      <w:r w:rsidRPr="000665B0">
        <w:t>Switch Network</w:t>
      </w:r>
      <w:r w:rsidR="00CA7A3B" w:rsidRPr="000665B0">
        <w:t xml:space="preserve"> to ACA/DAMA</w:t>
      </w:r>
      <w:r w:rsidRPr="000665B0">
        <w:t xml:space="preserve"> – Switches the selected assignments (and any associated spares) to the other TSN type. DAMA can be switched to ACA, and ACA to DAMA. The menu is not enabled for non</w:t>
      </w:r>
      <w:r w:rsidR="00A72464" w:rsidRPr="000665B0">
        <w:t>-</w:t>
      </w:r>
      <w:r w:rsidRPr="000665B0">
        <w:t>109E missiles</w:t>
      </w:r>
      <w:r w:rsidR="00C320C7">
        <w:t>, 109E ACPs</w:t>
      </w:r>
      <w:r w:rsidR="007C0242">
        <w:t>,</w:t>
      </w:r>
      <w:r w:rsidR="00A1292F" w:rsidRPr="000665B0">
        <w:t xml:space="preserve"> MSTM</w:t>
      </w:r>
      <w:r w:rsidR="00C05381" w:rsidRPr="000665B0">
        <w:t>s</w:t>
      </w:r>
      <w:r w:rsidR="007C0242">
        <w:t>,  109Ms</w:t>
      </w:r>
      <w:r w:rsidR="00D21DA9">
        <w:t>, and ACP2s</w:t>
      </w:r>
      <w:r w:rsidRPr="000665B0">
        <w:t>.</w:t>
      </w:r>
    </w:p>
    <w:p w14:paraId="55AAF2A6" w14:textId="77777777" w:rsidR="00DA65A0" w:rsidRPr="000665B0" w:rsidRDefault="00DA65A0" w:rsidP="006D5A65">
      <w:pPr>
        <w:pStyle w:val="Heading1"/>
      </w:pPr>
      <w:r w:rsidRPr="000665B0">
        <w:t>Select the 109E Comms Enabled missile(s).</w:t>
      </w:r>
    </w:p>
    <w:p w14:paraId="1A2BB767" w14:textId="477FBF18" w:rsidR="00DA65A0" w:rsidRPr="000665B0" w:rsidRDefault="00DA65A0" w:rsidP="006D5A65">
      <w:pPr>
        <w:pStyle w:val="Heading1"/>
      </w:pPr>
      <w:r w:rsidRPr="000665B0">
        <w:t>Invoke the context menu (right</w:t>
      </w:r>
      <w:r w:rsidR="00CE7E74" w:rsidRPr="000665B0">
        <w:t>-</w:t>
      </w:r>
      <w:r w:rsidRPr="000665B0">
        <w:t>click the mouse) and select</w:t>
      </w:r>
      <w:r w:rsidRPr="000665B0">
        <w:rPr>
          <w:bCs/>
        </w:rPr>
        <w:t xml:space="preserve"> Switch Network to ACA or </w:t>
      </w:r>
      <w:r w:rsidR="00A1292F" w:rsidRPr="000665B0">
        <w:rPr>
          <w:bCs/>
        </w:rPr>
        <w:t xml:space="preserve">Switch Network to </w:t>
      </w:r>
      <w:r w:rsidRPr="000665B0">
        <w:rPr>
          <w:bCs/>
        </w:rPr>
        <w:t xml:space="preserve">DAMA. </w:t>
      </w:r>
    </w:p>
    <w:p w14:paraId="1A27AFE1" w14:textId="77777777" w:rsidR="00DA65A0" w:rsidRPr="000665B0" w:rsidRDefault="00DA65A0" w:rsidP="00DA65A0">
      <w:pPr>
        <w:pStyle w:val="BodyTextIndent2"/>
        <w:tabs>
          <w:tab w:val="left" w:pos="720"/>
        </w:tabs>
        <w:spacing w:line="240" w:lineRule="auto"/>
        <w:ind w:left="1080"/>
        <w:rPr>
          <w:b/>
        </w:rPr>
      </w:pPr>
      <w:r w:rsidRPr="000665B0">
        <w:t>Before the switch is made, the system checks to ensure that there are enough missiles available (both during planning and execution). If there are not enough missiles, the user is notified and the TSN type is NOT switched.</w:t>
      </w:r>
    </w:p>
    <w:p w14:paraId="7F930CD2" w14:textId="77777777" w:rsidR="00DA65A0" w:rsidRPr="000665B0" w:rsidRDefault="00DA65A0" w:rsidP="00DA65A0">
      <w:pPr>
        <w:pStyle w:val="ListParagraph"/>
        <w:spacing w:after="120" w:line="240" w:lineRule="atLeast"/>
        <w:ind w:left="0"/>
        <w:jc w:val="center"/>
      </w:pPr>
      <w:r w:rsidRPr="000665B0">
        <w:rPr>
          <w:noProof/>
        </w:rPr>
        <w:lastRenderedPageBreak/>
        <w:drawing>
          <wp:inline distT="0" distB="0" distL="0" distR="0" wp14:anchorId="08DADB60" wp14:editId="09D0693E">
            <wp:extent cx="3200400" cy="1289304"/>
            <wp:effectExtent l="0" t="0" r="0" b="6350"/>
            <wp:docPr id="2145" name="Picture 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1289304"/>
                    </a:xfrm>
                    <a:prstGeom prst="rect">
                      <a:avLst/>
                    </a:prstGeom>
                  </pic:spPr>
                </pic:pic>
              </a:graphicData>
            </a:graphic>
          </wp:inline>
        </w:drawing>
      </w:r>
    </w:p>
    <w:p w14:paraId="475FDC6F" w14:textId="77777777" w:rsidR="00DA65A0" w:rsidRPr="000665B0" w:rsidRDefault="00DA65A0" w:rsidP="00DA65A0">
      <w:pPr>
        <w:pStyle w:val="BodyTextIndent2"/>
        <w:tabs>
          <w:tab w:val="left" w:pos="720"/>
        </w:tabs>
        <w:spacing w:line="240" w:lineRule="auto"/>
        <w:ind w:left="1080"/>
      </w:pPr>
      <w:r w:rsidRPr="000665B0">
        <w:t>During execution, the system also checks to ensure that the needed crypto is present. If not, the user is notified.</w:t>
      </w:r>
    </w:p>
    <w:p w14:paraId="439869D0" w14:textId="77777777" w:rsidR="00DA65A0" w:rsidRPr="000665B0" w:rsidRDefault="00DA65A0" w:rsidP="00DA65A0">
      <w:pPr>
        <w:jc w:val="center"/>
      </w:pPr>
      <w:r w:rsidRPr="000665B0">
        <w:rPr>
          <w:noProof/>
        </w:rPr>
        <w:drawing>
          <wp:inline distT="0" distB="0" distL="0" distR="0" wp14:anchorId="65C2DEFA" wp14:editId="6EB70530">
            <wp:extent cx="3200400" cy="2148840"/>
            <wp:effectExtent l="0" t="0" r="0" b="0"/>
            <wp:docPr id="2146" name="Picture 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2148840"/>
                    </a:xfrm>
                    <a:prstGeom prst="rect">
                      <a:avLst/>
                    </a:prstGeom>
                  </pic:spPr>
                </pic:pic>
              </a:graphicData>
            </a:graphic>
          </wp:inline>
        </w:drawing>
      </w:r>
    </w:p>
    <w:p w14:paraId="664C03A5" w14:textId="6C68A93E" w:rsidR="00333DB1" w:rsidRPr="000665B0" w:rsidRDefault="00333DB1" w:rsidP="006D5A65">
      <w:pPr>
        <w:pStyle w:val="Heading1"/>
      </w:pPr>
      <w:r w:rsidRPr="000665B0">
        <w:t xml:space="preserve">Swap Controller (to) – Swaps a missile’s primary and backup missile controllers. The primary becomes the </w:t>
      </w:r>
      <w:r w:rsidR="00F67A7A" w:rsidRPr="000665B0">
        <w:t>backup,</w:t>
      </w:r>
      <w:r w:rsidRPr="000665B0">
        <w:t xml:space="preserve"> and the backup becomes the primary. </w:t>
      </w:r>
    </w:p>
    <w:p w14:paraId="0D34BB31" w14:textId="36D6ADC3" w:rsidR="00C92934" w:rsidRDefault="00333DB1" w:rsidP="00A0163E">
      <w:pPr>
        <w:pBdr>
          <w:top w:val="single" w:sz="12" w:space="1" w:color="000000"/>
          <w:left w:val="single" w:sz="12" w:space="4" w:color="000000"/>
          <w:bottom w:val="single" w:sz="12" w:space="1" w:color="000000"/>
          <w:right w:val="single" w:sz="12" w:space="4" w:color="000000"/>
        </w:pBdr>
        <w:shd w:val="clear" w:color="auto" w:fill="D9D9D9"/>
        <w:spacing w:after="0"/>
        <w:ind w:left="86" w:right="86"/>
        <w:jc w:val="center"/>
        <w:rPr>
          <w:b/>
        </w:rPr>
      </w:pPr>
      <w:r w:rsidRPr="000665B0">
        <w:rPr>
          <w:b/>
        </w:rPr>
        <w:t>Note:</w:t>
      </w:r>
      <w:r w:rsidRPr="000665B0">
        <w:rPr>
          <w:b/>
        </w:rPr>
        <w:br/>
        <w:t xml:space="preserve">Only the </w:t>
      </w:r>
      <w:r w:rsidR="00BD1D32">
        <w:rPr>
          <w:b/>
        </w:rPr>
        <w:t>TSC/ATSC</w:t>
      </w:r>
      <w:r w:rsidRPr="000665B0">
        <w:rPr>
          <w:b/>
        </w:rPr>
        <w:t xml:space="preserve"> has the permission to perform a Swap Controller. The Swap Controller menu item is disabled if the operator does not have permission or if the missile does not have a missile controller (i.e., 109C).</w:t>
      </w:r>
    </w:p>
    <w:p w14:paraId="22AAAF9C" w14:textId="2159E841" w:rsidR="00333DB1" w:rsidRPr="000665B0" w:rsidRDefault="00333DB1" w:rsidP="00C92934">
      <w:pPr>
        <w:spacing w:after="0" w:line="240" w:lineRule="auto"/>
        <w:rPr>
          <w:b/>
        </w:rPr>
      </w:pPr>
    </w:p>
    <w:p w14:paraId="3AFE1002" w14:textId="77777777" w:rsidR="00333DB1" w:rsidRPr="000665B0" w:rsidRDefault="00333DB1" w:rsidP="00C92934">
      <w:pPr>
        <w:pBdr>
          <w:top w:val="single" w:sz="12" w:space="1" w:color="auto"/>
          <w:left w:val="single" w:sz="12" w:space="4" w:color="auto"/>
          <w:bottom w:val="single" w:sz="12" w:space="1" w:color="auto"/>
          <w:right w:val="single" w:sz="12" w:space="4" w:color="auto"/>
        </w:pBdr>
        <w:shd w:val="clear" w:color="auto" w:fill="D9D9D9"/>
        <w:spacing w:after="0"/>
        <w:ind w:left="90" w:right="90"/>
        <w:jc w:val="center"/>
        <w:rPr>
          <w:b/>
        </w:rPr>
      </w:pPr>
      <w:r w:rsidRPr="000665B0">
        <w:rPr>
          <w:b/>
        </w:rPr>
        <w:t>Note:</w:t>
      </w:r>
    </w:p>
    <w:p w14:paraId="3FB8E1F6" w14:textId="77777777" w:rsidR="00333DB1" w:rsidRPr="000665B0" w:rsidRDefault="00333DB1" w:rsidP="00C92934">
      <w:pPr>
        <w:pBdr>
          <w:top w:val="single" w:sz="12" w:space="1" w:color="auto"/>
          <w:left w:val="single" w:sz="12" w:space="4" w:color="auto"/>
          <w:bottom w:val="single" w:sz="12" w:space="1" w:color="auto"/>
          <w:right w:val="single" w:sz="12" w:space="4" w:color="auto"/>
        </w:pBdr>
        <w:shd w:val="clear" w:color="auto" w:fill="D9D9D9"/>
        <w:ind w:left="90" w:right="90"/>
        <w:jc w:val="center"/>
        <w:rPr>
          <w:b/>
        </w:rPr>
      </w:pPr>
      <w:r w:rsidRPr="000665B0">
        <w:rPr>
          <w:b/>
        </w:rPr>
        <w:t>ESP revision does not increase when the Primary Missile Controller/Backup Missile Controller are swapped for one or more missiles. The ESP revision does not bump up because swapping the Primary Missile Controller/Backup Missile Controller for each individual missile does not change the ESP. The TTWCS IMMM field in Missile Assignment of the Strike Option affects the ESP.</w:t>
      </w:r>
    </w:p>
    <w:p w14:paraId="54E90F0F" w14:textId="77777777" w:rsidR="00333DB1" w:rsidRPr="000665B0" w:rsidRDefault="00333DB1" w:rsidP="006D5A65">
      <w:pPr>
        <w:pStyle w:val="Heading1"/>
      </w:pPr>
      <w:r w:rsidRPr="000665B0">
        <w:lastRenderedPageBreak/>
        <w:t>Edit Alternate Controller – Edits the missile’s alternate controller.</w:t>
      </w:r>
    </w:p>
    <w:p w14:paraId="0BF38F5E" w14:textId="4446A5E8" w:rsidR="00333DB1" w:rsidRPr="000665B0" w:rsidRDefault="00EB2ACF" w:rsidP="00333DB1">
      <w:pPr>
        <w:spacing w:after="240"/>
        <w:jc w:val="center"/>
      </w:pPr>
      <w:r w:rsidRPr="000665B0">
        <w:rPr>
          <w:noProof/>
        </w:rPr>
        <w:drawing>
          <wp:inline distT="0" distB="0" distL="0" distR="0" wp14:anchorId="31355BA4" wp14:editId="3802E571">
            <wp:extent cx="2743200" cy="1069848"/>
            <wp:effectExtent l="0" t="0" r="0" b="0"/>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43200" cy="1069848"/>
                    </a:xfrm>
                    <a:prstGeom prst="rect">
                      <a:avLst/>
                    </a:prstGeom>
                  </pic:spPr>
                </pic:pic>
              </a:graphicData>
            </a:graphic>
          </wp:inline>
        </w:drawing>
      </w:r>
    </w:p>
    <w:p w14:paraId="19CFB642" w14:textId="77777777" w:rsidR="00333DB1" w:rsidRPr="000665B0" w:rsidRDefault="00333DB1" w:rsidP="00A0163E">
      <w:pPr>
        <w:pBdr>
          <w:top w:val="single" w:sz="12" w:space="1" w:color="000000"/>
          <w:left w:val="single" w:sz="12" w:space="4" w:color="000000"/>
          <w:bottom w:val="single" w:sz="12" w:space="1" w:color="000000"/>
          <w:right w:val="single" w:sz="12" w:space="4" w:color="000000"/>
        </w:pBdr>
        <w:shd w:val="clear" w:color="auto" w:fill="D9D9D9"/>
        <w:spacing w:after="0"/>
        <w:ind w:left="86" w:right="86"/>
        <w:jc w:val="center"/>
        <w:rPr>
          <w:b/>
        </w:rPr>
      </w:pPr>
      <w:r w:rsidRPr="000665B0">
        <w:rPr>
          <w:b/>
        </w:rPr>
        <w:t>Note:</w:t>
      </w:r>
    </w:p>
    <w:p w14:paraId="508FC2CA" w14:textId="64D4D9C5" w:rsidR="00333DB1" w:rsidRPr="000665B0" w:rsidRDefault="00333DB1" w:rsidP="00A0163E">
      <w:pPr>
        <w:pBdr>
          <w:top w:val="single" w:sz="12" w:space="1" w:color="000000"/>
          <w:left w:val="single" w:sz="12" w:space="4" w:color="000000"/>
          <w:bottom w:val="single" w:sz="12" w:space="1" w:color="000000"/>
          <w:right w:val="single" w:sz="12" w:space="4" w:color="000000"/>
        </w:pBdr>
        <w:shd w:val="clear" w:color="auto" w:fill="D9D9D9"/>
        <w:ind w:left="86" w:right="86"/>
        <w:jc w:val="center"/>
        <w:rPr>
          <w:b/>
        </w:rPr>
      </w:pPr>
      <w:r w:rsidRPr="000665B0">
        <w:rPr>
          <w:b/>
        </w:rPr>
        <w:t xml:space="preserve">Only the </w:t>
      </w:r>
      <w:r w:rsidR="00BD1D32">
        <w:rPr>
          <w:b/>
        </w:rPr>
        <w:t>TSC/ATSC</w:t>
      </w:r>
      <w:r w:rsidRPr="000665B0">
        <w:rPr>
          <w:b/>
        </w:rPr>
        <w:t xml:space="preserve"> has the permission to perform an Alternate Controller edit. The Edit Alternate Controller menu item is disabled if the operator does not have permission or if the missile does not have a missile controller (i.e., 109C).</w:t>
      </w:r>
    </w:p>
    <w:p w14:paraId="1BFEDE16" w14:textId="3747C152" w:rsidR="00333DB1" w:rsidRPr="000665B0" w:rsidRDefault="00333DB1" w:rsidP="006D5A65">
      <w:pPr>
        <w:pStyle w:val="Heading1"/>
      </w:pPr>
      <w:r w:rsidRPr="000665B0">
        <w:t>Create Option… – The selected targets are copied into a newly created Strike Option that has the same arsenal, comms parameters, and crypto as the</w:t>
      </w:r>
      <w:r w:rsidR="00EA2971" w:rsidRPr="000665B0">
        <w:t xml:space="preserve"> option designated as the</w:t>
      </w:r>
      <w:r w:rsidRPr="000665B0">
        <w:t xml:space="preserve"> ad hoc </w:t>
      </w:r>
      <w:r w:rsidR="00EA2971" w:rsidRPr="000665B0">
        <w:t>template</w:t>
      </w:r>
      <w:r w:rsidRPr="000665B0">
        <w:t xml:space="preserve">. See </w:t>
      </w:r>
      <w:hyperlink w:anchor="_Targets_1" w:history="1">
        <w:r w:rsidR="00985815" w:rsidRPr="000665B0">
          <w:rPr>
            <w:rStyle w:val="Hyperlink"/>
          </w:rPr>
          <w:t xml:space="preserve">Section </w:t>
        </w:r>
        <w:r w:rsidR="004231CC">
          <w:rPr>
            <w:rStyle w:val="Hyperlink"/>
          </w:rPr>
          <w:t>5.35</w:t>
        </w:r>
        <w:r w:rsidR="00985815" w:rsidRPr="000665B0">
          <w:rPr>
            <w:rStyle w:val="Hyperlink"/>
          </w:rPr>
          <w:t>.3.1.8</w:t>
        </w:r>
      </w:hyperlink>
      <w:r w:rsidRPr="000665B0">
        <w:t>.</w:t>
      </w:r>
    </w:p>
    <w:p w14:paraId="1A6E145E" w14:textId="0C18CB83" w:rsidR="00333DB1" w:rsidRPr="000665B0" w:rsidRDefault="00333DB1" w:rsidP="006D5A65">
      <w:pPr>
        <w:pStyle w:val="Heading1"/>
      </w:pPr>
      <w:r w:rsidRPr="000665B0">
        <w:t xml:space="preserve">Insert Tasking into Option… – Allows the operator to create new missile assignments in the selected Option. See </w:t>
      </w:r>
      <w:hyperlink w:anchor="_Targets_1" w:history="1">
        <w:r w:rsidR="00985815" w:rsidRPr="000665B0">
          <w:rPr>
            <w:rStyle w:val="Hyperlink"/>
          </w:rPr>
          <w:t xml:space="preserve">Section </w:t>
        </w:r>
        <w:r w:rsidR="004231CC">
          <w:rPr>
            <w:rStyle w:val="Hyperlink"/>
          </w:rPr>
          <w:t>5.35</w:t>
        </w:r>
        <w:r w:rsidR="00985815" w:rsidRPr="000665B0">
          <w:rPr>
            <w:rStyle w:val="Hyperlink"/>
          </w:rPr>
          <w:t>.3.1.8</w:t>
        </w:r>
      </w:hyperlink>
      <w:r w:rsidRPr="000665B0">
        <w:t>.</w:t>
      </w:r>
    </w:p>
    <w:p w14:paraId="70C87171" w14:textId="0501DF02" w:rsidR="00B040AE" w:rsidRPr="000665B0" w:rsidRDefault="00CF554A" w:rsidP="006D5A65">
      <w:pPr>
        <w:pStyle w:val="Heading1"/>
      </w:pPr>
      <w:r w:rsidRPr="000665B0">
        <w:t xml:space="preserve">Spotlight – </w:t>
      </w:r>
      <w:r w:rsidR="0031158F" w:rsidRPr="000665B0">
        <w:t xml:space="preserve">Highlights every line item associated with the </w:t>
      </w:r>
      <w:r w:rsidR="0075044B" w:rsidRPr="000665B0">
        <w:t>selected</w:t>
      </w:r>
      <w:r w:rsidR="0031158F" w:rsidRPr="000665B0">
        <w:t xml:space="preserve"> missile sequence </w:t>
      </w:r>
      <w:r w:rsidR="0075044B" w:rsidRPr="000665B0">
        <w:t>number</w:t>
      </w:r>
      <w:r w:rsidR="0031158F" w:rsidRPr="000665B0">
        <w:t xml:space="preserve"> in every pane</w:t>
      </w:r>
      <w:r w:rsidR="0075044B" w:rsidRPr="000665B0">
        <w:t xml:space="preserve"> in the SMD</w:t>
      </w:r>
      <w:r w:rsidR="0031158F" w:rsidRPr="000665B0">
        <w:t>, including the Gantt Chart and corresponding route on the</w:t>
      </w:r>
      <w:r w:rsidR="00294000" w:rsidRPr="000665B0">
        <w:t xml:space="preserve"> </w:t>
      </w:r>
      <w:r w:rsidR="0031158F" w:rsidRPr="000665B0">
        <w:t xml:space="preserve">Geo display. This </w:t>
      </w:r>
      <w:r w:rsidR="0075044B" w:rsidRPr="000665B0">
        <w:t xml:space="preserve">allows the user to rapidly locate and correlate missile assignments for an individual FRU. The spotlighted item is added to the Spotlighted Assignments pane (see </w:t>
      </w:r>
      <w:hyperlink w:anchor="_Spotlighted_Assignments_List" w:history="1">
        <w:r w:rsidR="00157B2F" w:rsidRPr="000665B0">
          <w:rPr>
            <w:rStyle w:val="Hyperlink"/>
          </w:rPr>
          <w:t xml:space="preserve">Section </w:t>
        </w:r>
        <w:r w:rsidR="004231CC">
          <w:rPr>
            <w:rStyle w:val="Hyperlink"/>
          </w:rPr>
          <w:t>5.35</w:t>
        </w:r>
        <w:r w:rsidR="00157B2F" w:rsidRPr="000665B0">
          <w:rPr>
            <w:rStyle w:val="Hyperlink"/>
          </w:rPr>
          <w:t>.3.1.11</w:t>
        </w:r>
      </w:hyperlink>
      <w:r w:rsidR="0075044B" w:rsidRPr="000665B0">
        <w:t>)</w:t>
      </w:r>
      <w:r w:rsidR="0031158F" w:rsidRPr="000665B0">
        <w:t>.</w:t>
      </w:r>
    </w:p>
    <w:p w14:paraId="3DBCC141" w14:textId="706A3E83" w:rsidR="00B040AE" w:rsidRPr="000665B0" w:rsidRDefault="00B040AE" w:rsidP="006D5A65">
      <w:pPr>
        <w:pStyle w:val="Heading1"/>
      </w:pPr>
      <w:r w:rsidRPr="000665B0">
        <w:t>Print… – Prints the selected item(s) in the list.</w:t>
      </w:r>
    </w:p>
    <w:p w14:paraId="36ED1702" w14:textId="0A4A42C7" w:rsidR="00265823" w:rsidRPr="000665B0" w:rsidRDefault="00265823" w:rsidP="006D5A65">
      <w:pPr>
        <w:pStyle w:val="Heading1"/>
      </w:pPr>
      <w:r w:rsidRPr="000665B0">
        <w:t>Save Route As</w:t>
      </w:r>
    </w:p>
    <w:p w14:paraId="5DF07F2B" w14:textId="22991D58" w:rsidR="00265823" w:rsidRPr="000665B0" w:rsidRDefault="00265823" w:rsidP="006D5A65">
      <w:pPr>
        <w:pStyle w:val="Heading1"/>
      </w:pPr>
      <w:r w:rsidRPr="000665B0">
        <w:t xml:space="preserve">KML – </w:t>
      </w:r>
      <w:r w:rsidR="00A9336A" w:rsidRPr="000665B0">
        <w:t>Saves the route file in KML format.</w:t>
      </w:r>
    </w:p>
    <w:p w14:paraId="7AD13D05" w14:textId="2302B65F" w:rsidR="00265823" w:rsidRPr="000665B0" w:rsidRDefault="00265823" w:rsidP="006D5A65">
      <w:pPr>
        <w:pStyle w:val="Heading1"/>
      </w:pPr>
      <w:r w:rsidRPr="000665B0">
        <w:t xml:space="preserve">Overlay – </w:t>
      </w:r>
      <w:r w:rsidR="00A9336A" w:rsidRPr="000665B0">
        <w:t>Saves the route file as an Overlay.</w:t>
      </w:r>
    </w:p>
    <w:p w14:paraId="0D4EBB93" w14:textId="42160D67" w:rsidR="000A607E" w:rsidRPr="000665B0" w:rsidRDefault="000A607E" w:rsidP="00593264">
      <w:pPr>
        <w:pStyle w:val="Heading7"/>
        <w:keepNext w:val="0"/>
      </w:pPr>
      <w:bookmarkStart w:id="6679" w:name="_5.38.3.1.8.2.1__Manually_1"/>
      <w:bookmarkStart w:id="6680" w:name="_Manually_Generate_a"/>
      <w:bookmarkEnd w:id="6679"/>
      <w:bookmarkEnd w:id="6680"/>
      <w:r w:rsidRPr="000665B0">
        <w:t xml:space="preserve">Manually </w:t>
      </w:r>
      <w:r w:rsidR="007806A8" w:rsidRPr="000665B0">
        <w:t>G</w:t>
      </w:r>
      <w:r w:rsidRPr="000665B0">
        <w:t xml:space="preserve">enerate a </w:t>
      </w:r>
      <w:r w:rsidR="00735D3E" w:rsidRPr="000665B0">
        <w:t xml:space="preserve">Strike Exception </w:t>
      </w:r>
      <w:r w:rsidRPr="000665B0">
        <w:t xml:space="preserve">for a </w:t>
      </w:r>
      <w:r w:rsidR="007806A8" w:rsidRPr="000665B0">
        <w:t>M</w:t>
      </w:r>
      <w:r w:rsidRPr="000665B0">
        <w:t>issile</w:t>
      </w:r>
      <w:bookmarkEnd w:id="6673"/>
      <w:bookmarkEnd w:id="6678"/>
    </w:p>
    <w:p w14:paraId="207EAB87" w14:textId="77777777" w:rsidR="000A607E" w:rsidRPr="000665B0" w:rsidRDefault="000A607E" w:rsidP="006D5A65">
      <w:pPr>
        <w:pStyle w:val="Heading1"/>
      </w:pPr>
      <w:r w:rsidRPr="000665B0">
        <w:lastRenderedPageBreak/>
        <w:t xml:space="preserve">From the </w:t>
      </w:r>
      <w:r w:rsidRPr="000665B0">
        <w:rPr>
          <w:i/>
        </w:rPr>
        <w:t>SMD, FRU Status</w:t>
      </w:r>
      <w:r w:rsidRPr="000665B0">
        <w:t xml:space="preserve"> tab, select a FRU that contains the desired missile.</w:t>
      </w:r>
    </w:p>
    <w:p w14:paraId="36872B91" w14:textId="77777777" w:rsidR="000A607E" w:rsidRPr="000665B0" w:rsidRDefault="000A607E" w:rsidP="006D5A65">
      <w:pPr>
        <w:pStyle w:val="Heading1"/>
      </w:pPr>
      <w:r w:rsidRPr="000665B0">
        <w:t>Select the Missile</w:t>
      </w:r>
      <w:r w:rsidR="00337385" w:rsidRPr="000665B0">
        <w:t xml:space="preserve"> Assignment</w:t>
      </w:r>
      <w:r w:rsidRPr="000665B0">
        <w:t>s tab.</w:t>
      </w:r>
    </w:p>
    <w:p w14:paraId="7A9F2520" w14:textId="77777777" w:rsidR="000A607E" w:rsidRPr="000665B0" w:rsidRDefault="000A607E" w:rsidP="006D5A65">
      <w:pPr>
        <w:pStyle w:val="Heading1"/>
      </w:pPr>
      <w:r w:rsidRPr="000665B0">
        <w:t xml:space="preserve">Select the desired missile and </w:t>
      </w:r>
      <w:r w:rsidR="00337385" w:rsidRPr="000665B0">
        <w:t>invoke</w:t>
      </w:r>
      <w:r w:rsidRPr="000665B0">
        <w:t xml:space="preserve"> the context menu.</w:t>
      </w:r>
    </w:p>
    <w:p w14:paraId="46603975" w14:textId="77777777" w:rsidR="000A607E" w:rsidRPr="000665B0" w:rsidRDefault="000A607E" w:rsidP="006D5A65">
      <w:pPr>
        <w:pStyle w:val="Heading1"/>
      </w:pPr>
      <w:r w:rsidRPr="000665B0">
        <w:t>Select New</w:t>
      </w:r>
      <w:r w:rsidR="00337385" w:rsidRPr="000665B0">
        <w:t xml:space="preserve"> </w:t>
      </w:r>
      <w:r w:rsidR="00337385" w:rsidRPr="000665B0">
        <w:sym w:font="Wingdings 3" w:char="F07D"/>
      </w:r>
      <w:r w:rsidR="00337385" w:rsidRPr="000665B0">
        <w:t xml:space="preserve"> </w:t>
      </w:r>
      <w:r w:rsidR="00735D3E" w:rsidRPr="000665B0">
        <w:t>Strike Exception</w:t>
      </w:r>
      <w:r w:rsidR="00987E38" w:rsidRPr="000665B0">
        <w:t>...</w:t>
      </w:r>
    </w:p>
    <w:p w14:paraId="748908A7" w14:textId="77777777" w:rsidR="000A607E" w:rsidRPr="000665B0" w:rsidRDefault="00735D3E" w:rsidP="000A607E">
      <w:pPr>
        <w:jc w:val="center"/>
      </w:pPr>
      <w:r w:rsidRPr="000665B0">
        <w:rPr>
          <w:noProof/>
        </w:rPr>
        <w:drawing>
          <wp:inline distT="0" distB="0" distL="0" distR="0" wp14:anchorId="658B2DEB" wp14:editId="7B2A5F73">
            <wp:extent cx="3178396" cy="1981200"/>
            <wp:effectExtent l="0" t="0" r="0" b="0"/>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3180951" cy="1982793"/>
                    </a:xfrm>
                    <a:prstGeom prst="rect">
                      <a:avLst/>
                    </a:prstGeom>
                  </pic:spPr>
                </pic:pic>
              </a:graphicData>
            </a:graphic>
          </wp:inline>
        </w:drawing>
      </w:r>
    </w:p>
    <w:p w14:paraId="481DF5FD" w14:textId="77777777" w:rsidR="000A607E" w:rsidRPr="000665B0" w:rsidRDefault="00735D3E" w:rsidP="006D5A65">
      <w:pPr>
        <w:pStyle w:val="Heading1"/>
      </w:pPr>
      <w:r w:rsidRPr="000665B0">
        <w:t xml:space="preserve">Enter text in the ensuing </w:t>
      </w:r>
      <w:r w:rsidR="007A78D4" w:rsidRPr="000665B0">
        <w:rPr>
          <w:i/>
        </w:rPr>
        <w:t>Strike Exception</w:t>
      </w:r>
      <w:r w:rsidR="007A78D4" w:rsidRPr="000665B0">
        <w:t xml:space="preserve"> </w:t>
      </w:r>
      <w:r w:rsidRPr="000665B0">
        <w:t xml:space="preserve">window </w:t>
      </w:r>
      <w:r w:rsidR="000A607E" w:rsidRPr="000665B0">
        <w:t xml:space="preserve">and click Save </w:t>
      </w:r>
      <w:r w:rsidRPr="000665B0">
        <w:t xml:space="preserve">to </w:t>
      </w:r>
      <w:r w:rsidR="000A607E" w:rsidRPr="000665B0">
        <w:t xml:space="preserve">create the </w:t>
      </w:r>
      <w:r w:rsidR="007A78D4" w:rsidRPr="000665B0">
        <w:t xml:space="preserve">Strike Exception </w:t>
      </w:r>
      <w:r w:rsidR="000A607E" w:rsidRPr="000665B0">
        <w:t>for the selected missile.</w:t>
      </w:r>
    </w:p>
    <w:p w14:paraId="4072C68C" w14:textId="630CF944" w:rsidR="000A607E" w:rsidRPr="000665B0" w:rsidRDefault="000A607E" w:rsidP="00593264">
      <w:pPr>
        <w:pStyle w:val="Heading7"/>
        <w:keepNext w:val="0"/>
      </w:pPr>
      <w:bookmarkStart w:id="6681" w:name="_5.38.3.1.8.2.2__Manually"/>
      <w:bookmarkStart w:id="6682" w:name="_5.38.3.1.8.2.3__Sending"/>
      <w:bookmarkStart w:id="6683" w:name="_Send_an_SEM"/>
      <w:bookmarkStart w:id="6684" w:name="_Toc289328922"/>
      <w:bookmarkEnd w:id="6681"/>
      <w:bookmarkEnd w:id="6682"/>
      <w:bookmarkEnd w:id="6683"/>
      <w:r w:rsidRPr="000665B0">
        <w:t>Send an SEM</w:t>
      </w:r>
      <w:bookmarkEnd w:id="6684"/>
    </w:p>
    <w:p w14:paraId="0E37C852" w14:textId="659453BC" w:rsidR="000A607E" w:rsidRPr="000665B0" w:rsidRDefault="000A607E" w:rsidP="000A607E">
      <w:pPr>
        <w:pStyle w:val="Number0205"/>
        <w:ind w:left="0" w:firstLine="0"/>
      </w:pPr>
      <w:r w:rsidRPr="000665B0">
        <w:t xml:space="preserve">A Secondary Execution Message (SEM) is an electronic message sent from </w:t>
      </w:r>
      <w:r w:rsidR="003D6207" w:rsidRPr="000665B0">
        <w:t xml:space="preserve">TMPC </w:t>
      </w:r>
      <w:r w:rsidRPr="000665B0">
        <w:t>to TTWCS to release one or more of the backup (secondary) missiles. For other non-TTWCS FRUs, Verbal Orders are used to launch backups since such a message is not available. In an event where a</w:t>
      </w:r>
      <w:r w:rsidR="00337385" w:rsidRPr="000665B0">
        <w:t>n</w:t>
      </w:r>
      <w:r w:rsidRPr="000665B0">
        <w:t xml:space="preserve"> SEM fails to transmit to a TTWCS, a Verbal Order can also be used instead. The process of sending a SEM is done via the SMD during an execution as described below.</w:t>
      </w:r>
    </w:p>
    <w:p w14:paraId="027637E5" w14:textId="5E3B7AB5" w:rsidR="00EE27CF" w:rsidRPr="00EE27CF" w:rsidRDefault="00B02D78" w:rsidP="006D5A65">
      <w:pPr>
        <w:pStyle w:val="Heading1"/>
      </w:pPr>
      <w:r>
        <w:t xml:space="preserve">When utilizing TSRT to simulate the Backup Missile, first ensure the Primary Missile Reservation is Failed. From the TSRT Scenario Director (TSD), Gantt, Missiles Tree View pane, select the </w:t>
      </w:r>
      <w:r>
        <w:rPr>
          <w:bCs/>
        </w:rPr>
        <w:t xml:space="preserve">Primary reservation </w:t>
      </w:r>
      <w:r>
        <w:rPr>
          <w:rFonts w:ascii="Wingdings 3" w:hAnsi="Wingdings 3"/>
          <w:bCs/>
        </w:rPr>
        <w:t>}</w:t>
      </w:r>
      <w:r>
        <w:rPr>
          <w:bCs/>
        </w:rPr>
        <w:t xml:space="preserve"> Fail Missile Now</w:t>
      </w:r>
      <w:r>
        <w:t>. Verify the "Fail Missile Now" indicator displays over the launch icon for the Primary reservation.</w:t>
      </w:r>
    </w:p>
    <w:p w14:paraId="0D0CB501" w14:textId="1E8C2BBA" w:rsidR="000A607E" w:rsidRPr="000665B0" w:rsidRDefault="000A607E" w:rsidP="006D5A65">
      <w:pPr>
        <w:pStyle w:val="Heading1"/>
      </w:pPr>
      <w:r w:rsidRPr="000665B0">
        <w:t xml:space="preserve">From the </w:t>
      </w:r>
      <w:r w:rsidRPr="001F225E">
        <w:t>SMD, FRU Status</w:t>
      </w:r>
      <w:r w:rsidRPr="000665B0">
        <w:t xml:space="preserve"> tab, select a FRU that contains the desired missile.</w:t>
      </w:r>
    </w:p>
    <w:p w14:paraId="3B889838" w14:textId="77777777" w:rsidR="000A607E" w:rsidRPr="000665B0" w:rsidRDefault="000A607E" w:rsidP="006D5A65">
      <w:pPr>
        <w:pStyle w:val="Heading1"/>
      </w:pPr>
      <w:r w:rsidRPr="000665B0">
        <w:t xml:space="preserve">Select the </w:t>
      </w:r>
      <w:r w:rsidRPr="007B6DDB">
        <w:t>Missile</w:t>
      </w:r>
      <w:r w:rsidR="00337385" w:rsidRPr="007B6DDB">
        <w:t xml:space="preserve"> Assignment</w:t>
      </w:r>
      <w:r w:rsidRPr="007B6DDB">
        <w:t xml:space="preserve">s </w:t>
      </w:r>
      <w:r w:rsidRPr="000665B0">
        <w:t>tab.</w:t>
      </w:r>
    </w:p>
    <w:p w14:paraId="0244604F" w14:textId="77777777" w:rsidR="000A607E" w:rsidRPr="000665B0" w:rsidRDefault="000A607E" w:rsidP="006D5A65">
      <w:pPr>
        <w:pStyle w:val="Heading1"/>
      </w:pPr>
      <w:r w:rsidRPr="000665B0">
        <w:t xml:space="preserve">Select the failed missile and </w:t>
      </w:r>
      <w:r w:rsidR="00337385" w:rsidRPr="000665B0">
        <w:t>invoke</w:t>
      </w:r>
      <w:r w:rsidRPr="000665B0">
        <w:t xml:space="preserve"> the context menu.</w:t>
      </w:r>
    </w:p>
    <w:p w14:paraId="142F6083" w14:textId="77777777" w:rsidR="000A607E" w:rsidRPr="000665B0" w:rsidRDefault="000A607E" w:rsidP="006D5A65">
      <w:pPr>
        <w:pStyle w:val="Heading1"/>
      </w:pPr>
      <w:r w:rsidRPr="000665B0">
        <w:t xml:space="preserve">Select </w:t>
      </w:r>
      <w:r w:rsidRPr="007B6DDB">
        <w:t>Recovery</w:t>
      </w:r>
      <w:r w:rsidR="00337385" w:rsidRPr="007B6DDB">
        <w:t xml:space="preserve"> </w:t>
      </w:r>
      <w:r w:rsidR="00337385" w:rsidRPr="007B6DDB">
        <w:sym w:font="Wingdings 3" w:char="F07D"/>
      </w:r>
      <w:r w:rsidR="00337385" w:rsidRPr="007B6DDB">
        <w:t xml:space="preserve"> </w:t>
      </w:r>
      <w:r w:rsidRPr="007B6DDB">
        <w:t xml:space="preserve">Launch Backup, </w:t>
      </w:r>
      <w:r w:rsidRPr="000665B0">
        <w:t xml:space="preserve">and the desired backup missile to fire. If the </w:t>
      </w:r>
      <w:r w:rsidRPr="007B6DDB">
        <w:t>Launch Backup</w:t>
      </w:r>
      <w:r w:rsidRPr="000665B0">
        <w:t xml:space="preserve"> menu is disabled, that means there are no backups assigned to this missile.</w:t>
      </w:r>
    </w:p>
    <w:p w14:paraId="789642B4" w14:textId="3CD80D03" w:rsidR="000A607E" w:rsidRPr="000665B0" w:rsidRDefault="000A607E" w:rsidP="006D5A65">
      <w:pPr>
        <w:pStyle w:val="Heading1"/>
      </w:pPr>
      <w:r w:rsidRPr="000665B0">
        <w:t xml:space="preserve">This will send the SEM and activate the backup missile. </w:t>
      </w:r>
    </w:p>
    <w:p w14:paraId="3789DE50" w14:textId="77777777" w:rsidR="000A607E" w:rsidRPr="000665B0" w:rsidRDefault="009A1FDF" w:rsidP="00067B19">
      <w:pPr>
        <w:pBdr>
          <w:top w:val="single" w:sz="12" w:space="1" w:color="auto"/>
          <w:left w:val="single" w:sz="12" w:space="4" w:color="auto"/>
          <w:bottom w:val="single" w:sz="12" w:space="1" w:color="auto"/>
          <w:right w:val="single" w:sz="12" w:space="4" w:color="auto"/>
        </w:pBdr>
        <w:shd w:val="clear" w:color="auto" w:fill="F3F3F3"/>
        <w:rPr>
          <w:b/>
        </w:rPr>
      </w:pPr>
      <w:r w:rsidRPr="000665B0">
        <w:rPr>
          <w:rFonts w:ascii="Arial" w:hAnsi="Arial" w:cs="Arial"/>
          <w:noProof/>
          <w:sz w:val="20"/>
        </w:rPr>
        <w:drawing>
          <wp:inline distT="0" distB="0" distL="0" distR="0" wp14:anchorId="2BA1AA84" wp14:editId="74174A9D">
            <wp:extent cx="352425" cy="381000"/>
            <wp:effectExtent l="0" t="0" r="9525" b="0"/>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0A607E" w:rsidRPr="000665B0">
        <w:rPr>
          <w:b/>
        </w:rPr>
        <w:t xml:space="preserve">TIP: If an initial SEM is not received at the TTWCS, use Verbal Orders to launch </w:t>
      </w:r>
      <w:r w:rsidR="00C41C40" w:rsidRPr="000665B0">
        <w:rPr>
          <w:b/>
        </w:rPr>
        <w:t xml:space="preserve">the </w:t>
      </w:r>
      <w:r w:rsidR="000A607E" w:rsidRPr="000665B0">
        <w:rPr>
          <w:b/>
        </w:rPr>
        <w:t>backup.</w:t>
      </w:r>
    </w:p>
    <w:p w14:paraId="3F2284B2" w14:textId="03C37F2C" w:rsidR="000A607E" w:rsidRPr="000665B0" w:rsidRDefault="000A607E" w:rsidP="00F75F3C">
      <w:pPr>
        <w:pStyle w:val="Heading7"/>
      </w:pPr>
      <w:bookmarkStart w:id="6685" w:name="_5.38.3.1.8.2.4__Reassign"/>
      <w:bookmarkStart w:id="6686" w:name="_5_.38.3.1.8.2.4_"/>
      <w:bookmarkStart w:id="6687" w:name="_5.38.3.1.8.2.3__Reassign"/>
      <w:bookmarkStart w:id="6688" w:name="_Reassign_a_Missile"/>
      <w:bookmarkStart w:id="6689" w:name="_Toc289328923"/>
      <w:bookmarkEnd w:id="6685"/>
      <w:bookmarkEnd w:id="6686"/>
      <w:bookmarkEnd w:id="6687"/>
      <w:bookmarkEnd w:id="6688"/>
      <w:r w:rsidRPr="000665B0">
        <w:lastRenderedPageBreak/>
        <w:t xml:space="preserve">Reassign a </w:t>
      </w:r>
      <w:r w:rsidR="007806A8" w:rsidRPr="000665B0">
        <w:t>M</w:t>
      </w:r>
      <w:r w:rsidRPr="000665B0">
        <w:t xml:space="preserve">issile to </w:t>
      </w:r>
      <w:r w:rsidR="007806A8" w:rsidRPr="000665B0">
        <w:t>A</w:t>
      </w:r>
      <w:r w:rsidRPr="000665B0">
        <w:t>nother FRU</w:t>
      </w:r>
      <w:bookmarkEnd w:id="6689"/>
    </w:p>
    <w:p w14:paraId="2A496E24" w14:textId="62704890" w:rsidR="000A607E" w:rsidRPr="000665B0" w:rsidRDefault="000A607E" w:rsidP="000A607E">
      <w:r w:rsidRPr="000665B0">
        <w:t>Re</w:t>
      </w:r>
      <w:r w:rsidR="00C41C40" w:rsidRPr="000665B0">
        <w:t>a</w:t>
      </w:r>
      <w:r w:rsidRPr="000665B0">
        <w:t>ssignment is basically switching an assignment’s FRU. Primaries, spares, and backups are kept intact (i.e., if the primary is switched so are the spares</w:t>
      </w:r>
      <w:r w:rsidR="00EA4434" w:rsidRPr="000665B0">
        <w:t>)</w:t>
      </w:r>
      <w:r w:rsidRPr="000665B0">
        <w:t>. The system will figure out all the other FRUs that can take on the additional tasking based solely on missile inventory (including half module constraints). It will also indicate FRUs that can meet part of the tasking and how much of it.</w:t>
      </w:r>
    </w:p>
    <w:p w14:paraId="5E132DDF" w14:textId="77777777" w:rsidR="000A607E" w:rsidRPr="000665B0" w:rsidRDefault="000A607E" w:rsidP="00067B19">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0D3B934" w14:textId="77777777" w:rsidR="000A607E" w:rsidRPr="000665B0" w:rsidRDefault="000A607E" w:rsidP="00BB4EBE">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Only missiles that have not been launched can be reassigned.</w:t>
      </w:r>
    </w:p>
    <w:p w14:paraId="7574B6A9" w14:textId="038BEC52" w:rsidR="000A607E" w:rsidRPr="000665B0" w:rsidRDefault="000A607E" w:rsidP="00AD6267">
      <w:pPr>
        <w:spacing w:before="120"/>
      </w:pPr>
      <w:r w:rsidRPr="000665B0">
        <w:t>Re</w:t>
      </w:r>
      <w:r w:rsidR="00C41C40" w:rsidRPr="000665B0">
        <w:t>a</w:t>
      </w:r>
      <w:r w:rsidRPr="000665B0">
        <w:t xml:space="preserve">ssignment will take into consideration each option’s arsenal. </w:t>
      </w:r>
      <w:r w:rsidR="0054406A" w:rsidRPr="000665B0">
        <w:t xml:space="preserve">For example, if the user </w:t>
      </w:r>
      <w:r w:rsidRPr="000665B0">
        <w:t>reassign</w:t>
      </w:r>
      <w:r w:rsidR="0054406A" w:rsidRPr="000665B0">
        <w:t>s</w:t>
      </w:r>
      <w:r w:rsidRPr="000665B0">
        <w:t xml:space="preserve"> </w:t>
      </w:r>
      <w:r w:rsidR="006956E6" w:rsidRPr="000665B0">
        <w:t>two</w:t>
      </w:r>
      <w:r w:rsidRPr="000665B0">
        <w:t xml:space="preserve"> missiles from option a and option b, and a FRU is in only one of these options, it will not be able to fully meet the tasking (it could only partially fulfill it).</w:t>
      </w:r>
    </w:p>
    <w:p w14:paraId="19906922" w14:textId="0631B2F4" w:rsidR="000A607E" w:rsidRPr="000665B0" w:rsidRDefault="000A607E" w:rsidP="000A607E">
      <w:r w:rsidRPr="000665B0">
        <w:t xml:space="preserve">Once the operator accepts a FRU for retasking, the option(s) will be modified and saved in the DB (reservation FRUs changed and revision(s) bumped up when needed). The SMD will indicate that the option(s) needs to be redistributed by placing a </w:t>
      </w:r>
      <w:r w:rsidRPr="000665B0">
        <w:rPr>
          <w:b/>
        </w:rPr>
        <w:t>Distribution Pending</w:t>
      </w:r>
      <w:r w:rsidRPr="000665B0">
        <w:t xml:space="preserve"> icon in the option list view for the corresponding option. </w:t>
      </w:r>
      <w:r w:rsidR="00D83392" w:rsidRPr="000665B0">
        <w:t>Additionally,</w:t>
      </w:r>
      <w:r w:rsidRPr="000665B0">
        <w:t xml:space="preserve"> the </w:t>
      </w:r>
      <w:r w:rsidR="00F3559C" w:rsidRPr="000665B0">
        <w:rPr>
          <w:b/>
        </w:rPr>
        <w:t>Save</w:t>
      </w:r>
      <w:r w:rsidR="00F3559C" w:rsidRPr="000665B0">
        <w:t xml:space="preserve"> </w:t>
      </w:r>
      <w:r w:rsidRPr="000665B0">
        <w:t xml:space="preserve">icon will appear in the </w:t>
      </w:r>
      <w:r w:rsidRPr="000665B0">
        <w:rPr>
          <w:b/>
          <w:i/>
        </w:rPr>
        <w:t>Option</w:t>
      </w:r>
      <w:r w:rsidRPr="000665B0">
        <w:t xml:space="preserve"> tab text. Redistribution will not be done automatically as the operator may want to do multiple reassignments before redistribution. If the strike is sent from the SMD, the DDO will automatically be sent without bringing up the DDO window</w:t>
      </w:r>
      <w:r w:rsidR="0001432A">
        <w:t>,</w:t>
      </w:r>
      <w:r w:rsidRPr="000665B0">
        <w:t xml:space="preserve"> </w:t>
      </w:r>
      <w:bookmarkStart w:id="6690" w:name="_Hlk103172591"/>
      <w:r w:rsidRPr="000665B0">
        <w:t xml:space="preserve">and the </w:t>
      </w:r>
      <w:r w:rsidRPr="0001432A">
        <w:rPr>
          <w:b/>
          <w:bCs/>
        </w:rPr>
        <w:t>Distribution Pending</w:t>
      </w:r>
      <w:r w:rsidRPr="000665B0">
        <w:t xml:space="preserve"> icons </w:t>
      </w:r>
      <w:bookmarkEnd w:id="6690"/>
      <w:r w:rsidRPr="000665B0">
        <w:t>will disappear.</w:t>
      </w:r>
    </w:p>
    <w:p w14:paraId="1D074522" w14:textId="77777777" w:rsidR="00302A10" w:rsidRPr="000665B0" w:rsidRDefault="00302A10" w:rsidP="00302A10">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B2FAA36" w14:textId="3DB69B4C" w:rsidR="00AE4328" w:rsidRPr="000665B0" w:rsidRDefault="00AE4328" w:rsidP="00AE4328">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There are </w:t>
      </w:r>
      <w:r w:rsidR="00902C35" w:rsidRPr="000665B0">
        <w:rPr>
          <w:b/>
        </w:rPr>
        <w:t xml:space="preserve">FRU </w:t>
      </w:r>
      <w:r w:rsidRPr="000665B0">
        <w:rPr>
          <w:b/>
        </w:rPr>
        <w:t>reassignment limitations on legacy system</w:t>
      </w:r>
      <w:r w:rsidR="008354FF" w:rsidRPr="000665B0">
        <w:rPr>
          <w:b/>
        </w:rPr>
        <w:t>s</w:t>
      </w:r>
      <w:r w:rsidRPr="000665B0">
        <w:rPr>
          <w:b/>
        </w:rPr>
        <w:t xml:space="preserve"> (MDS 5.x) when executing an MDS 6.0 </w:t>
      </w:r>
      <w:r w:rsidR="005619C1" w:rsidRPr="000665B0">
        <w:rPr>
          <w:b/>
        </w:rPr>
        <w:t xml:space="preserve">(and above) </w:t>
      </w:r>
      <w:r w:rsidRPr="000665B0">
        <w:rPr>
          <w:b/>
        </w:rPr>
        <w:t xml:space="preserve">strike: </w:t>
      </w:r>
    </w:p>
    <w:p w14:paraId="79EF3223" w14:textId="63B66F15" w:rsidR="00902C35" w:rsidRPr="000665B0" w:rsidRDefault="00902C35" w:rsidP="00902C35">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If there </w:t>
      </w:r>
      <w:r w:rsidR="003F0C45" w:rsidRPr="000665B0">
        <w:rPr>
          <w:b/>
        </w:rPr>
        <w:t>are</w:t>
      </w:r>
      <w:r w:rsidRPr="000665B0">
        <w:rPr>
          <w:b/>
        </w:rPr>
        <w:t xml:space="preserve"> ACA reservation</w:t>
      </w:r>
      <w:r w:rsidR="003F0C45" w:rsidRPr="000665B0">
        <w:rPr>
          <w:b/>
        </w:rPr>
        <w:t>s</w:t>
      </w:r>
      <w:r w:rsidRPr="000665B0">
        <w:rPr>
          <w:b/>
        </w:rPr>
        <w:t xml:space="preserve"> in the </w:t>
      </w:r>
      <w:r w:rsidR="003F0C45" w:rsidRPr="000665B0">
        <w:rPr>
          <w:b/>
        </w:rPr>
        <w:t xml:space="preserve">MDS </w:t>
      </w:r>
      <w:r w:rsidRPr="000665B0">
        <w:rPr>
          <w:b/>
        </w:rPr>
        <w:t xml:space="preserve">6.0 </w:t>
      </w:r>
      <w:r w:rsidR="005619C1" w:rsidRPr="000665B0">
        <w:rPr>
          <w:b/>
        </w:rPr>
        <w:t xml:space="preserve">(and above) </w:t>
      </w:r>
      <w:r w:rsidRPr="000665B0">
        <w:rPr>
          <w:b/>
        </w:rPr>
        <w:t xml:space="preserve">strike, </w:t>
      </w:r>
      <w:r w:rsidR="003F0C45" w:rsidRPr="000665B0">
        <w:rPr>
          <w:b/>
        </w:rPr>
        <w:t>they</w:t>
      </w:r>
      <w:r w:rsidRPr="000665B0">
        <w:rPr>
          <w:b/>
        </w:rPr>
        <w:t xml:space="preserve"> appear on MDS 5.x as </w:t>
      </w:r>
      <w:r w:rsidR="007D3E78" w:rsidRPr="000665B0">
        <w:rPr>
          <w:b/>
        </w:rPr>
        <w:t xml:space="preserve">comms-disabled </w:t>
      </w:r>
      <w:r w:rsidRPr="000665B0">
        <w:rPr>
          <w:b/>
        </w:rPr>
        <w:t>DAMA reservation</w:t>
      </w:r>
      <w:r w:rsidR="003F0C45" w:rsidRPr="000665B0">
        <w:rPr>
          <w:b/>
        </w:rPr>
        <w:t>s</w:t>
      </w:r>
      <w:r w:rsidRPr="000665B0">
        <w:rPr>
          <w:b/>
        </w:rPr>
        <w:t>.</w:t>
      </w:r>
    </w:p>
    <w:p w14:paraId="6E23DB0B" w14:textId="0F45D948" w:rsidR="00302A10" w:rsidRPr="000665B0" w:rsidRDefault="00902C35">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When an MDS 6.0 </w:t>
      </w:r>
      <w:r w:rsidR="005619C1" w:rsidRPr="000665B0">
        <w:rPr>
          <w:b/>
        </w:rPr>
        <w:t xml:space="preserve">(and above) </w:t>
      </w:r>
      <w:r w:rsidRPr="000665B0">
        <w:rPr>
          <w:b/>
        </w:rPr>
        <w:t xml:space="preserve">strike is modified </w:t>
      </w:r>
      <w:r w:rsidR="003F0C45" w:rsidRPr="000665B0">
        <w:rPr>
          <w:b/>
        </w:rPr>
        <w:t>(</w:t>
      </w:r>
      <w:r w:rsidR="003509EA" w:rsidRPr="000665B0">
        <w:rPr>
          <w:b/>
        </w:rPr>
        <w:t xml:space="preserve">e.g., </w:t>
      </w:r>
      <w:r w:rsidR="003F0C45" w:rsidRPr="000665B0">
        <w:rPr>
          <w:b/>
        </w:rPr>
        <w:t xml:space="preserve">FRU reassign of any ACA reservations to DAMA) </w:t>
      </w:r>
      <w:r w:rsidRPr="000665B0">
        <w:rPr>
          <w:b/>
        </w:rPr>
        <w:t xml:space="preserve">on MDS </w:t>
      </w:r>
      <w:r w:rsidR="00D83392" w:rsidRPr="000665B0">
        <w:rPr>
          <w:b/>
        </w:rPr>
        <w:t>5.x and</w:t>
      </w:r>
      <w:r w:rsidRPr="000665B0">
        <w:rPr>
          <w:b/>
        </w:rPr>
        <w:t xml:space="preserve"> </w:t>
      </w:r>
      <w:r w:rsidR="006D265C" w:rsidRPr="000665B0">
        <w:rPr>
          <w:b/>
        </w:rPr>
        <w:t xml:space="preserve">is </w:t>
      </w:r>
      <w:r w:rsidRPr="000665B0">
        <w:rPr>
          <w:b/>
        </w:rPr>
        <w:t>then sent back to MDS 6.0</w:t>
      </w:r>
      <w:r w:rsidR="005619C1" w:rsidRPr="000665B0">
        <w:rPr>
          <w:b/>
        </w:rPr>
        <w:t xml:space="preserve"> (and above)</w:t>
      </w:r>
      <w:r w:rsidRPr="000665B0">
        <w:rPr>
          <w:b/>
        </w:rPr>
        <w:t>, the modified reservation</w:t>
      </w:r>
      <w:r w:rsidR="003F0C45" w:rsidRPr="000665B0">
        <w:rPr>
          <w:b/>
        </w:rPr>
        <w:t>s</w:t>
      </w:r>
      <w:r w:rsidRPr="000665B0">
        <w:rPr>
          <w:b/>
        </w:rPr>
        <w:t xml:space="preserve"> appear on MDS 6.0</w:t>
      </w:r>
      <w:r w:rsidR="005619C1" w:rsidRPr="000665B0">
        <w:rPr>
          <w:b/>
        </w:rPr>
        <w:t xml:space="preserve"> (and above)</w:t>
      </w:r>
      <w:r w:rsidRPr="000665B0">
        <w:rPr>
          <w:b/>
        </w:rPr>
        <w:t xml:space="preserve"> as DAMA reservation</w:t>
      </w:r>
      <w:r w:rsidR="003F0C45" w:rsidRPr="000665B0">
        <w:rPr>
          <w:b/>
        </w:rPr>
        <w:t>s,</w:t>
      </w:r>
      <w:r w:rsidRPr="000665B0">
        <w:rPr>
          <w:b/>
        </w:rPr>
        <w:t xml:space="preserve"> but </w:t>
      </w:r>
      <w:r w:rsidR="00BE74DC" w:rsidRPr="000665B0">
        <w:rPr>
          <w:b/>
        </w:rPr>
        <w:t>with</w:t>
      </w:r>
      <w:r w:rsidRPr="000665B0">
        <w:rPr>
          <w:b/>
        </w:rPr>
        <w:t xml:space="preserve"> ACA </w:t>
      </w:r>
      <w:r w:rsidR="00CB517B" w:rsidRPr="000665B0">
        <w:rPr>
          <w:b/>
        </w:rPr>
        <w:t xml:space="preserve">missile </w:t>
      </w:r>
      <w:r w:rsidRPr="000665B0">
        <w:rPr>
          <w:b/>
        </w:rPr>
        <w:t>subscriber ID</w:t>
      </w:r>
      <w:r w:rsidR="003F0C45" w:rsidRPr="000665B0">
        <w:rPr>
          <w:b/>
        </w:rPr>
        <w:t>s</w:t>
      </w:r>
      <w:r w:rsidRPr="000665B0">
        <w:rPr>
          <w:b/>
        </w:rPr>
        <w:t>.</w:t>
      </w:r>
    </w:p>
    <w:p w14:paraId="541DFB04" w14:textId="7EFE9C86" w:rsidR="000A607E" w:rsidRPr="000665B0" w:rsidRDefault="000A607E" w:rsidP="000A607E">
      <w:r w:rsidRPr="000665B0">
        <w:t>How to Reassign the missile(s):</w:t>
      </w:r>
    </w:p>
    <w:p w14:paraId="1D33B51A" w14:textId="77777777" w:rsidR="000A607E" w:rsidRPr="000665B0" w:rsidRDefault="000A607E" w:rsidP="006D5A65">
      <w:pPr>
        <w:pStyle w:val="Heading1"/>
      </w:pPr>
      <w:r w:rsidRPr="000665B0">
        <w:lastRenderedPageBreak/>
        <w:t xml:space="preserve">From the </w:t>
      </w:r>
      <w:r w:rsidRPr="000665B0">
        <w:rPr>
          <w:i/>
        </w:rPr>
        <w:t>SMD, FRU Status</w:t>
      </w:r>
      <w:r w:rsidRPr="000665B0">
        <w:t xml:space="preserve"> tab, select a FRU that contains the desired missile.</w:t>
      </w:r>
    </w:p>
    <w:p w14:paraId="63B76875" w14:textId="77777777" w:rsidR="000A607E" w:rsidRPr="000665B0" w:rsidRDefault="000A607E" w:rsidP="006D5A65">
      <w:pPr>
        <w:pStyle w:val="Heading1"/>
      </w:pPr>
      <w:r w:rsidRPr="000665B0">
        <w:t>Select the Missile</w:t>
      </w:r>
      <w:r w:rsidR="0054406A" w:rsidRPr="000665B0">
        <w:t xml:space="preserve"> Assignment</w:t>
      </w:r>
      <w:r w:rsidRPr="000665B0">
        <w:t>s tab.</w:t>
      </w:r>
    </w:p>
    <w:p w14:paraId="0EA3CE6B" w14:textId="47DECCF5" w:rsidR="00CF554A" w:rsidRPr="000665B0" w:rsidRDefault="000A607E" w:rsidP="006D5A65">
      <w:pPr>
        <w:pStyle w:val="Heading1"/>
      </w:pPr>
      <w:r w:rsidRPr="000665B0">
        <w:t>Select the desired missile</w:t>
      </w:r>
      <w:r w:rsidR="00CF554A" w:rsidRPr="000665B0">
        <w:t xml:space="preserve">, </w:t>
      </w:r>
      <w:r w:rsidR="0054406A" w:rsidRPr="000665B0">
        <w:t>invoke</w:t>
      </w:r>
      <w:r w:rsidRPr="000665B0">
        <w:t xml:space="preserve"> the context menu</w:t>
      </w:r>
      <w:r w:rsidR="00CF554A" w:rsidRPr="000665B0">
        <w:t>, and select Reassign FRU….</w:t>
      </w:r>
    </w:p>
    <w:p w14:paraId="429DA1F6" w14:textId="6577A437" w:rsidR="000A607E" w:rsidRPr="000665B0" w:rsidRDefault="00002724" w:rsidP="00CF554A">
      <w:pPr>
        <w:jc w:val="center"/>
      </w:pPr>
      <w:r>
        <w:rPr>
          <w:noProof/>
        </w:rPr>
        <w:drawing>
          <wp:inline distT="0" distB="0" distL="0" distR="0" wp14:anchorId="42844086" wp14:editId="15485B60">
            <wp:extent cx="3200400" cy="3520440"/>
            <wp:effectExtent l="0" t="0" r="0" b="0"/>
            <wp:docPr id="2021666952" name="Picture 2021666952"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6952" name="Picture 2021666952" descr="Graphical user interface, application, table&#10;&#10;Description automatically generated"/>
                    <pic:cNvPicPr/>
                  </pic:nvPicPr>
                  <pic:blipFill>
                    <a:blip/>
                    <a:stretch>
                      <a:fillRect/>
                    </a:stretch>
                  </pic:blipFill>
                  <pic:spPr>
                    <a:xfrm>
                      <a:off x="0" y="0"/>
                      <a:ext cx="3200400" cy="3520440"/>
                    </a:xfrm>
                    <a:prstGeom prst="rect">
                      <a:avLst/>
                    </a:prstGeom>
                  </pic:spPr>
                </pic:pic>
              </a:graphicData>
            </a:graphic>
          </wp:inline>
        </w:drawing>
      </w:r>
    </w:p>
    <w:p w14:paraId="788FB3A6" w14:textId="0BC0CC66" w:rsidR="00772198" w:rsidRPr="000665B0" w:rsidRDefault="00772198" w:rsidP="006D5A65">
      <w:pPr>
        <w:pStyle w:val="Heading1"/>
      </w:pPr>
      <w:r w:rsidRPr="000665B0">
        <w:t xml:space="preserve">The </w:t>
      </w:r>
      <w:r w:rsidRPr="000665B0">
        <w:rPr>
          <w:i/>
        </w:rPr>
        <w:t>Candidate Selection</w:t>
      </w:r>
      <w:r w:rsidRPr="000665B0">
        <w:t xml:space="preserve"> window appears displaying a list of FRUs and an initial indication of geographic feasibility (geofeasibility) of the new FRU with respect to the potential new missile reservation. For more information on geographic feasibility, see </w:t>
      </w:r>
      <w:hyperlink w:anchor="_5.37.6.1.16.6__How" w:history="1">
        <w:r w:rsidR="00EB3DC2" w:rsidRPr="000665B0">
          <w:rPr>
            <w:rStyle w:val="Hyperlink"/>
            <w:szCs w:val="24"/>
          </w:rPr>
          <w:t xml:space="preserve">Section </w:t>
        </w:r>
        <w:r w:rsidR="004231CC">
          <w:rPr>
            <w:rStyle w:val="Hyperlink"/>
            <w:szCs w:val="24"/>
          </w:rPr>
          <w:t>5.34</w:t>
        </w:r>
        <w:r w:rsidR="00EB3DC2" w:rsidRPr="000665B0">
          <w:rPr>
            <w:rStyle w:val="Hyperlink"/>
            <w:szCs w:val="24"/>
          </w:rPr>
          <w:t>.7.1.17.7</w:t>
        </w:r>
      </w:hyperlink>
      <w:r w:rsidRPr="000665B0">
        <w:t xml:space="preserve">. </w:t>
      </w:r>
    </w:p>
    <w:p w14:paraId="3BEBF272" w14:textId="77777777" w:rsidR="00772198" w:rsidRPr="000665B0" w:rsidRDefault="00772198" w:rsidP="00772198">
      <w:pPr>
        <w:tabs>
          <w:tab w:val="left" w:pos="720"/>
        </w:tabs>
        <w:jc w:val="center"/>
        <w:rPr>
          <w:szCs w:val="24"/>
        </w:rPr>
      </w:pPr>
      <w:r w:rsidRPr="000665B0">
        <w:rPr>
          <w:noProof/>
          <w:szCs w:val="24"/>
        </w:rPr>
        <w:drawing>
          <wp:inline distT="0" distB="0" distL="0" distR="0" wp14:anchorId="65C0E517" wp14:editId="7A2CD4B6">
            <wp:extent cx="1243705" cy="1882140"/>
            <wp:effectExtent l="0" t="0" r="0" b="0"/>
            <wp:docPr id="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a:stretch>
                      <a:fillRect/>
                    </a:stretch>
                  </pic:blipFill>
                  <pic:spPr>
                    <a:xfrm>
                      <a:off x="0" y="0"/>
                      <a:ext cx="1249097" cy="1890299"/>
                    </a:xfrm>
                    <a:prstGeom prst="rect">
                      <a:avLst/>
                    </a:prstGeom>
                  </pic:spPr>
                </pic:pic>
              </a:graphicData>
            </a:graphic>
          </wp:inline>
        </w:drawing>
      </w:r>
    </w:p>
    <w:p w14:paraId="1CF636A6" w14:textId="77777777" w:rsidR="00342C30" w:rsidRPr="000665B0" w:rsidRDefault="00342C30" w:rsidP="006D5A65">
      <w:pPr>
        <w:pStyle w:val="Heading1"/>
      </w:pPr>
      <w:r w:rsidRPr="000665B0">
        <w:t xml:space="preserve">The FRUs are grouped by their geofeasibility condition, with the groups listed from top to bottom in the following order: Feasible (green icon), Partial (yellow icon), Unknown (white </w:t>
      </w:r>
      <w:r w:rsidRPr="000665B0">
        <w:lastRenderedPageBreak/>
        <w:t>icon), and Infeasible (red icon). By default, all geofeasible FRUs (if any) are automatically selected. If no FRUs are geofeasible, all partial geofeasible FRUs (if any) are automatically selected. If no FRUs are geofeasible or partial geofeasible, all unknown FRUs (if any) are automatically selected. If no FRUs are geofeasible, partial geofeasible, or unknown, all infeasible FRUs (if any) are automatically selected.</w:t>
      </w:r>
    </w:p>
    <w:p w14:paraId="3D00C782" w14:textId="5F0D4F9C" w:rsidR="009772D2" w:rsidRPr="000665B0" w:rsidRDefault="000A607E" w:rsidP="006D5A65">
      <w:pPr>
        <w:pStyle w:val="Heading1"/>
      </w:pPr>
      <w:r w:rsidRPr="000665B0">
        <w:t>Select a FRU from the</w:t>
      </w:r>
      <w:r w:rsidR="0054406A" w:rsidRPr="000665B0">
        <w:t xml:space="preserve"> resulting</w:t>
      </w:r>
      <w:r w:rsidRPr="000665B0">
        <w:t xml:space="preserve"> </w:t>
      </w:r>
      <w:r w:rsidR="00772198" w:rsidRPr="000665B0">
        <w:rPr>
          <w:i/>
        </w:rPr>
        <w:t xml:space="preserve">Candidate </w:t>
      </w:r>
      <w:r w:rsidR="0054406A" w:rsidRPr="000665B0">
        <w:rPr>
          <w:i/>
        </w:rPr>
        <w:t>Selection</w:t>
      </w:r>
      <w:r w:rsidR="0054406A" w:rsidRPr="000665B0">
        <w:t xml:space="preserve"> window and c</w:t>
      </w:r>
      <w:r w:rsidRPr="000665B0">
        <w:t xml:space="preserve">lick </w:t>
      </w:r>
      <w:r w:rsidR="00772198" w:rsidRPr="000665B0">
        <w:t>Continue</w:t>
      </w:r>
      <w:r w:rsidRPr="000665B0">
        <w:t>.</w:t>
      </w:r>
    </w:p>
    <w:p w14:paraId="0177F30A" w14:textId="5E76C4AF" w:rsidR="00182E2F" w:rsidRPr="000665B0" w:rsidRDefault="00182E2F" w:rsidP="006D5A65">
      <w:pPr>
        <w:pStyle w:val="Heading1"/>
      </w:pPr>
      <w:r w:rsidRPr="000665B0">
        <w:t xml:space="preserve">For additional information, see </w:t>
      </w:r>
      <w:hyperlink w:anchor="_5.37.6.1.6__Missiles_1" w:history="1">
        <w:r w:rsidR="009326FE" w:rsidRPr="000665B0">
          <w:rPr>
            <w:rStyle w:val="Hyperlink"/>
          </w:rPr>
          <w:t xml:space="preserve">Section </w:t>
        </w:r>
        <w:r w:rsidR="004231CC">
          <w:rPr>
            <w:rStyle w:val="Hyperlink"/>
          </w:rPr>
          <w:t>5.34</w:t>
        </w:r>
        <w:r w:rsidRPr="000665B0">
          <w:rPr>
            <w:rStyle w:val="Hyperlink"/>
          </w:rPr>
          <w:t>.7.1.6</w:t>
        </w:r>
      </w:hyperlink>
      <w:r w:rsidRPr="000665B0">
        <w:t xml:space="preserve"> at “FRU Reassignment.”</w:t>
      </w:r>
    </w:p>
    <w:p w14:paraId="3C0A3857" w14:textId="05AD46DF" w:rsidR="00C41C40" w:rsidRPr="000665B0" w:rsidRDefault="0054406A" w:rsidP="00C41C40">
      <w:pPr>
        <w:spacing w:after="0"/>
        <w:rPr>
          <w:szCs w:val="24"/>
        </w:rPr>
      </w:pPr>
      <w:r w:rsidRPr="000665B0">
        <w:rPr>
          <w:szCs w:val="24"/>
        </w:rPr>
        <w:t xml:space="preserve">Upon clicking </w:t>
      </w:r>
      <w:r w:rsidR="00772198" w:rsidRPr="000665B0">
        <w:rPr>
          <w:b/>
          <w:szCs w:val="24"/>
        </w:rPr>
        <w:t>Continue</w:t>
      </w:r>
      <w:r w:rsidRPr="000665B0">
        <w:rPr>
          <w:szCs w:val="24"/>
        </w:rPr>
        <w:t xml:space="preserve">, </w:t>
      </w:r>
      <w:r w:rsidR="00C41C40" w:rsidRPr="000665B0">
        <w:rPr>
          <w:szCs w:val="24"/>
        </w:rPr>
        <w:t>the Auto PM3 algorithm starts running. While in progress the</w:t>
      </w:r>
      <w:r w:rsidR="00C41C40" w:rsidRPr="000665B0">
        <w:rPr>
          <w:b/>
          <w:szCs w:val="24"/>
        </w:rPr>
        <w:t xml:space="preserve"> Reassign FRU</w:t>
      </w:r>
      <w:r w:rsidR="00C41C40" w:rsidRPr="000665B0">
        <w:rPr>
          <w:szCs w:val="24"/>
        </w:rPr>
        <w:t xml:space="preserve"> menu will become </w:t>
      </w:r>
      <w:r w:rsidR="00D83392" w:rsidRPr="000665B0">
        <w:rPr>
          <w:szCs w:val="24"/>
        </w:rPr>
        <w:t>disabled,</w:t>
      </w:r>
      <w:r w:rsidR="00C41C40" w:rsidRPr="000665B0">
        <w:rPr>
          <w:szCs w:val="24"/>
        </w:rPr>
        <w:t xml:space="preserve"> but the user can continue working on other </w:t>
      </w:r>
      <w:r w:rsidR="001E3B29" w:rsidRPr="000665B0">
        <w:rPr>
          <w:szCs w:val="24"/>
        </w:rPr>
        <w:t>functions</w:t>
      </w:r>
      <w:r w:rsidR="00C41C40" w:rsidRPr="000665B0">
        <w:rPr>
          <w:szCs w:val="24"/>
        </w:rPr>
        <w:t>.</w:t>
      </w:r>
    </w:p>
    <w:p w14:paraId="6F202E41" w14:textId="7DF269D0" w:rsidR="000A607E" w:rsidRPr="000665B0" w:rsidRDefault="000A607E" w:rsidP="00593264">
      <w:pPr>
        <w:pStyle w:val="Heading7"/>
        <w:keepNext w:val="0"/>
      </w:pPr>
      <w:bookmarkStart w:id="6691" w:name="_5.38.3.1.8.2.5__Move"/>
      <w:bookmarkStart w:id="6692" w:name="_5.38.3.1.8.2.4__Move"/>
      <w:bookmarkStart w:id="6693" w:name="_Move_to_Pool"/>
      <w:bookmarkStart w:id="6694" w:name="_Toc289328924"/>
      <w:bookmarkStart w:id="6695" w:name="_Hlk34654077"/>
      <w:bookmarkEnd w:id="6691"/>
      <w:bookmarkEnd w:id="6692"/>
      <w:bookmarkEnd w:id="6693"/>
      <w:r w:rsidRPr="000665B0">
        <w:t>Move to Pool</w:t>
      </w:r>
      <w:bookmarkEnd w:id="6694"/>
    </w:p>
    <w:p w14:paraId="409B6CD9" w14:textId="77777777" w:rsidR="000A607E" w:rsidRPr="000665B0" w:rsidRDefault="000A607E" w:rsidP="006D5A65">
      <w:pPr>
        <w:pStyle w:val="Heading1"/>
      </w:pPr>
      <w:r w:rsidRPr="000665B0">
        <w:t xml:space="preserve">From the </w:t>
      </w:r>
      <w:r w:rsidRPr="000665B0">
        <w:rPr>
          <w:i/>
        </w:rPr>
        <w:t>SMD, FRU Status</w:t>
      </w:r>
      <w:r w:rsidRPr="000665B0">
        <w:t xml:space="preserve"> tab, select a FRU that contains the desired missile.</w:t>
      </w:r>
    </w:p>
    <w:p w14:paraId="25AB96C7" w14:textId="77777777" w:rsidR="000A607E" w:rsidRPr="000665B0" w:rsidRDefault="000A607E" w:rsidP="006D5A65">
      <w:pPr>
        <w:pStyle w:val="Heading1"/>
      </w:pPr>
      <w:r w:rsidRPr="000665B0">
        <w:t>Select the Missile</w:t>
      </w:r>
      <w:r w:rsidR="0054406A" w:rsidRPr="000665B0">
        <w:t xml:space="preserve"> Assignment</w:t>
      </w:r>
      <w:r w:rsidRPr="000665B0">
        <w:t>s tab.</w:t>
      </w:r>
    </w:p>
    <w:p w14:paraId="42C410E2" w14:textId="77777777" w:rsidR="000A607E" w:rsidRPr="000665B0" w:rsidRDefault="000A607E" w:rsidP="006D5A65">
      <w:pPr>
        <w:pStyle w:val="Heading1"/>
      </w:pPr>
      <w:r w:rsidRPr="000665B0">
        <w:t xml:space="preserve">Select the desired missile(s) and </w:t>
      </w:r>
      <w:r w:rsidR="0054406A" w:rsidRPr="000665B0">
        <w:t>invoke</w:t>
      </w:r>
      <w:r w:rsidRPr="000665B0">
        <w:t xml:space="preserve"> the context menu.</w:t>
      </w:r>
    </w:p>
    <w:p w14:paraId="76C8779A" w14:textId="77777777" w:rsidR="000A607E" w:rsidRPr="000665B0" w:rsidRDefault="000A607E" w:rsidP="006D5A65">
      <w:pPr>
        <w:pStyle w:val="Heading1"/>
      </w:pPr>
      <w:r w:rsidRPr="000665B0">
        <w:t>Select Move to Pool.</w:t>
      </w:r>
    </w:p>
    <w:p w14:paraId="03A1566B" w14:textId="77777777" w:rsidR="000A607E" w:rsidRPr="000665B0" w:rsidRDefault="000A607E" w:rsidP="00A0163E">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w:t>
      </w:r>
      <w:r w:rsidR="00067B19" w:rsidRPr="000665B0">
        <w:rPr>
          <w:b/>
        </w:rPr>
        <w:t>ote</w:t>
      </w:r>
      <w:r w:rsidRPr="000665B0">
        <w:rPr>
          <w:b/>
        </w:rPr>
        <w:t>:</w:t>
      </w:r>
    </w:p>
    <w:p w14:paraId="5F7D09EE" w14:textId="77777777" w:rsidR="000A607E" w:rsidRPr="000665B0" w:rsidRDefault="000A607E" w:rsidP="000A607E">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Only missiles that have not been previously launched can be moved to the pool. Once completed the option will be marked as pending distribution in the option list view and can be sent from there.</w:t>
      </w:r>
    </w:p>
    <w:p w14:paraId="5AF2DF1A" w14:textId="77777777" w:rsidR="000A607E" w:rsidRPr="000665B0" w:rsidRDefault="000A607E" w:rsidP="00172AD0">
      <w:pPr>
        <w:spacing w:after="0" w:line="240" w:lineRule="auto"/>
        <w:rPr>
          <w:szCs w:val="24"/>
        </w:rPr>
      </w:pPr>
    </w:p>
    <w:p w14:paraId="3265DB03" w14:textId="77777777" w:rsidR="000A607E" w:rsidRPr="000665B0" w:rsidRDefault="000A607E" w:rsidP="00A0163E">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w:t>
      </w:r>
      <w:r w:rsidR="00067B19" w:rsidRPr="000665B0">
        <w:rPr>
          <w:b/>
          <w:szCs w:val="24"/>
        </w:rPr>
        <w:t>ote</w:t>
      </w:r>
      <w:r w:rsidRPr="000665B0">
        <w:rPr>
          <w:b/>
          <w:szCs w:val="24"/>
        </w:rPr>
        <w:t>:</w:t>
      </w:r>
    </w:p>
    <w:p w14:paraId="088FD184" w14:textId="7C16329F" w:rsidR="000A607E" w:rsidRDefault="000A607E" w:rsidP="00A0163E">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To cancel tasking when the intent is to revise and reassign tasking to the same FRU, the </w:t>
      </w:r>
      <w:r w:rsidR="004C614A">
        <w:rPr>
          <w:b/>
        </w:rPr>
        <w:t>TSC</w:t>
      </w:r>
      <w:r w:rsidR="004C614A" w:rsidRPr="000665B0">
        <w:rPr>
          <w:b/>
        </w:rPr>
        <w:t xml:space="preserve"> </w:t>
      </w:r>
      <w:r w:rsidRPr="000665B0">
        <w:rPr>
          <w:b/>
        </w:rPr>
        <w:t xml:space="preserve">needs to verbally tell the FRU to move the identified missiles to the Reload Pool – BEFORE sending the ESP revision that removes the tasking from that FRU. When TTWCS (v4 and v5) deletes tasking, the missiles are </w:t>
      </w:r>
      <w:r w:rsidR="0054406A" w:rsidRPr="000665B0">
        <w:rPr>
          <w:b/>
        </w:rPr>
        <w:t>“</w:t>
      </w:r>
      <w:r w:rsidR="00E82472" w:rsidRPr="000665B0">
        <w:rPr>
          <w:b/>
        </w:rPr>
        <w:t>Safe</w:t>
      </w:r>
      <w:r w:rsidR="00E34FD7" w:rsidRPr="000665B0">
        <w:rPr>
          <w:b/>
        </w:rPr>
        <w:t>d</w:t>
      </w:r>
      <w:r w:rsidR="0054406A" w:rsidRPr="000665B0">
        <w:rPr>
          <w:b/>
        </w:rPr>
        <w:t>.”</w:t>
      </w:r>
      <w:r w:rsidRPr="000665B0">
        <w:rPr>
          <w:b/>
        </w:rPr>
        <w:t xml:space="preserve"> If the </w:t>
      </w:r>
      <w:r w:rsidR="004C614A">
        <w:rPr>
          <w:b/>
        </w:rPr>
        <w:t>TSC</w:t>
      </w:r>
      <w:r w:rsidR="004C614A" w:rsidRPr="000665B0">
        <w:rPr>
          <w:b/>
        </w:rPr>
        <w:t xml:space="preserve"> </w:t>
      </w:r>
      <w:r w:rsidRPr="000665B0">
        <w:rPr>
          <w:b/>
        </w:rPr>
        <w:t>moves them to the pool verbally first, they will be available for assignment when the modified tasking is sent in another ESP revision (TTWCS can be directed to use missiles from pool).</w:t>
      </w:r>
    </w:p>
    <w:p w14:paraId="10657D1D" w14:textId="2951BA1D" w:rsidR="000A607E" w:rsidRPr="000665B0" w:rsidRDefault="000A607E" w:rsidP="00593264">
      <w:pPr>
        <w:pStyle w:val="Heading7"/>
        <w:keepNext w:val="0"/>
      </w:pPr>
      <w:bookmarkStart w:id="6696" w:name="_5.38.3.1.8.2.5__Shift"/>
      <w:bookmarkStart w:id="6697" w:name="_Toc289328925"/>
      <w:bookmarkEnd w:id="6695"/>
      <w:bookmarkEnd w:id="6696"/>
      <w:r w:rsidRPr="000665B0">
        <w:t>Shift Time…</w:t>
      </w:r>
      <w:bookmarkEnd w:id="6697"/>
    </w:p>
    <w:p w14:paraId="1EDABA14" w14:textId="77777777" w:rsidR="00332E54" w:rsidRPr="000665B0" w:rsidRDefault="00E422B5" w:rsidP="00332E54">
      <w:pPr>
        <w:tabs>
          <w:tab w:val="left" w:pos="720"/>
        </w:tabs>
      </w:pPr>
      <w:r w:rsidRPr="000665B0">
        <w:t xml:space="preserve">The Shift Strike Times function can be performed for individual or multiple FRUs. Shifting a strike time at the FRU Status level applies to all strike options for the selected FRU. </w:t>
      </w:r>
    </w:p>
    <w:p w14:paraId="3194EF1A" w14:textId="5C8FEE1B" w:rsidR="00410038" w:rsidRPr="000665B0" w:rsidRDefault="00410038" w:rsidP="00410038">
      <w:pPr>
        <w:tabs>
          <w:tab w:val="left" w:pos="720"/>
        </w:tabs>
      </w:pPr>
      <w:r w:rsidRPr="000665B0">
        <w:t xml:space="preserve">Shifting the strike time during execution may cause anomalies in the SMD’s display of ACA Filter Message use state transitions. Careful consideration should be made when shifting strike times (see </w:t>
      </w:r>
      <w:hyperlink w:anchor="_5.38.3.1.7__Target_1" w:history="1">
        <w:r w:rsidR="00A54F60" w:rsidRPr="000665B0">
          <w:rPr>
            <w:rStyle w:val="Hyperlink"/>
          </w:rPr>
          <w:t xml:space="preserve">Section </w:t>
        </w:r>
        <w:r w:rsidR="004231CC">
          <w:rPr>
            <w:rStyle w:val="Hyperlink"/>
          </w:rPr>
          <w:t>5.35</w:t>
        </w:r>
        <w:r w:rsidR="00A54F60" w:rsidRPr="000665B0">
          <w:rPr>
            <w:rStyle w:val="Hyperlink"/>
          </w:rPr>
          <w:t>.3.1.7</w:t>
        </w:r>
        <w:r w:rsidRPr="000665B0">
          <w:rPr>
            <w:rStyle w:val="Hyperlink"/>
          </w:rPr>
          <w:t>.2.2</w:t>
        </w:r>
      </w:hyperlink>
      <w:r w:rsidRPr="000665B0">
        <w:t>).</w:t>
      </w:r>
    </w:p>
    <w:p w14:paraId="39A597FB" w14:textId="78A4CB6F" w:rsidR="00410038" w:rsidRPr="000665B0" w:rsidRDefault="00410038" w:rsidP="00410038">
      <w:pPr>
        <w:tabs>
          <w:tab w:val="left" w:pos="720"/>
        </w:tabs>
      </w:pPr>
      <w:r w:rsidRPr="000665B0">
        <w:lastRenderedPageBreak/>
        <w:t xml:space="preserve">Shifting the strike time during execution may cause anomalies in the SMD’s display </w:t>
      </w:r>
      <w:r w:rsidR="003C3B7B" w:rsidRPr="000665B0">
        <w:t>of</w:t>
      </w:r>
      <w:r w:rsidRPr="000665B0">
        <w:t xml:space="preserve"> missile alignment times. Careful consideration should be made when shifting strike times (see </w:t>
      </w:r>
      <w:hyperlink w:anchor="_What_Needs_to" w:history="1">
        <w:r w:rsidR="00E036B6" w:rsidRPr="000665B0">
          <w:rPr>
            <w:rStyle w:val="Hyperlink"/>
          </w:rPr>
          <w:t xml:space="preserve">Section </w:t>
        </w:r>
        <w:r w:rsidR="004231CC">
          <w:rPr>
            <w:rStyle w:val="Hyperlink"/>
          </w:rPr>
          <w:t>5.35</w:t>
        </w:r>
        <w:r w:rsidRPr="000665B0">
          <w:rPr>
            <w:rStyle w:val="Hyperlink"/>
          </w:rPr>
          <w:t>.16</w:t>
        </w:r>
      </w:hyperlink>
      <w:r w:rsidRPr="000665B0">
        <w:t>).</w:t>
      </w:r>
    </w:p>
    <w:p w14:paraId="0788EB11" w14:textId="77777777" w:rsidR="00AB26CC" w:rsidRPr="000665B0" w:rsidRDefault="00AB26CC" w:rsidP="006D5A65">
      <w:pPr>
        <w:pStyle w:val="Heading1"/>
      </w:pPr>
      <w:bookmarkStart w:id="6698" w:name="_5.38.3.1.8.2.7__Fail"/>
      <w:bookmarkEnd w:id="6698"/>
      <w:r w:rsidRPr="000665B0">
        <w:t xml:space="preserve">From the </w:t>
      </w:r>
      <w:r w:rsidRPr="000665B0">
        <w:rPr>
          <w:i/>
        </w:rPr>
        <w:t>SMD, FRU Status</w:t>
      </w:r>
      <w:r w:rsidRPr="000665B0">
        <w:t xml:space="preserve"> tab, select a FRU that contains the desired missile.</w:t>
      </w:r>
    </w:p>
    <w:p w14:paraId="2AAEADB7" w14:textId="77777777" w:rsidR="00E422B5" w:rsidRPr="000665B0" w:rsidRDefault="00E422B5" w:rsidP="00E422B5">
      <w:pPr>
        <w:pStyle w:val="Number0205"/>
        <w:ind w:left="360" w:firstLine="0"/>
      </w:pPr>
      <w:r w:rsidRPr="000665B0">
        <w:t>or</w:t>
      </w:r>
    </w:p>
    <w:p w14:paraId="0A4B0459" w14:textId="77777777" w:rsidR="00E422B5" w:rsidRPr="000665B0" w:rsidRDefault="00E422B5" w:rsidP="006D5A65">
      <w:pPr>
        <w:pStyle w:val="Heading1"/>
      </w:pPr>
      <w:r w:rsidRPr="000665B0">
        <w:t>To simultaneously shift time on multiple FRUs, select all of the desired FRUs.</w:t>
      </w:r>
    </w:p>
    <w:p w14:paraId="7AF28D04" w14:textId="77777777" w:rsidR="00AB26CC" w:rsidRPr="000665B0" w:rsidRDefault="00AB26CC" w:rsidP="006D5A65">
      <w:pPr>
        <w:pStyle w:val="Heading1"/>
      </w:pPr>
      <w:r w:rsidRPr="000665B0">
        <w:t>Select the Missile</w:t>
      </w:r>
      <w:r w:rsidR="0054406A" w:rsidRPr="000665B0">
        <w:t xml:space="preserve"> Assignment</w:t>
      </w:r>
      <w:r w:rsidRPr="000665B0">
        <w:t>s tab.</w:t>
      </w:r>
    </w:p>
    <w:p w14:paraId="4618C59E" w14:textId="77777777" w:rsidR="00AB26CC" w:rsidRPr="000665B0" w:rsidRDefault="00AB26CC" w:rsidP="006D5A65">
      <w:pPr>
        <w:pStyle w:val="Heading1"/>
      </w:pPr>
      <w:r w:rsidRPr="000665B0">
        <w:t xml:space="preserve">Select </w:t>
      </w:r>
      <w:r w:rsidR="00E422B5" w:rsidRPr="000665B0">
        <w:t xml:space="preserve">all of </w:t>
      </w:r>
      <w:r w:rsidRPr="000665B0">
        <w:t xml:space="preserve">the desired </w:t>
      </w:r>
      <w:r w:rsidR="00E422B5" w:rsidRPr="000665B0">
        <w:t xml:space="preserve">modifiable </w:t>
      </w:r>
      <w:r w:rsidRPr="000665B0">
        <w:t xml:space="preserve">missile(s) and </w:t>
      </w:r>
      <w:r w:rsidR="0054406A" w:rsidRPr="000665B0">
        <w:t>invoke</w:t>
      </w:r>
      <w:r w:rsidRPr="000665B0">
        <w:t xml:space="preserve"> the context menu.</w:t>
      </w:r>
    </w:p>
    <w:p w14:paraId="3F621F48" w14:textId="77777777" w:rsidR="00E422B5" w:rsidRPr="000665B0" w:rsidRDefault="00AB26CC" w:rsidP="006D5A65">
      <w:pPr>
        <w:pStyle w:val="Heading1"/>
      </w:pPr>
      <w:r w:rsidRPr="000665B0">
        <w:t xml:space="preserve">Select Shift Time…. </w:t>
      </w:r>
      <w:r w:rsidR="002F3393" w:rsidRPr="000665B0">
        <w:t xml:space="preserve">The </w:t>
      </w:r>
      <w:r w:rsidR="002F3393" w:rsidRPr="000665B0">
        <w:rPr>
          <w:i/>
          <w:iCs/>
        </w:rPr>
        <w:t xml:space="preserve">Shift Strike Times </w:t>
      </w:r>
      <w:r w:rsidR="002F3393" w:rsidRPr="000665B0">
        <w:t>window is displayed.</w:t>
      </w:r>
    </w:p>
    <w:p w14:paraId="3256E1AD" w14:textId="306A69DD" w:rsidR="00AB26CC" w:rsidRPr="000665B0" w:rsidRDefault="00AB26CC" w:rsidP="006D5A65">
      <w:pPr>
        <w:pStyle w:val="Heading1"/>
      </w:pPr>
      <w:r w:rsidRPr="000665B0">
        <w:t>For more information</w:t>
      </w:r>
      <w:r w:rsidR="00E422B5" w:rsidRPr="000665B0">
        <w:t xml:space="preserve"> about shifting strike times,</w:t>
      </w:r>
      <w:r w:rsidRPr="000665B0">
        <w:t xml:space="preserve"> see </w:t>
      </w:r>
      <w:hyperlink w:anchor="_Shift_Strike_Times_1" w:history="1">
        <w:r w:rsidR="009326FE" w:rsidRPr="00EA7FAB">
          <w:rPr>
            <w:rStyle w:val="Hyperlink"/>
          </w:rPr>
          <w:t xml:space="preserve">Section </w:t>
        </w:r>
        <w:r w:rsidR="004231CC">
          <w:rPr>
            <w:rStyle w:val="Hyperlink"/>
          </w:rPr>
          <w:t>5.34</w:t>
        </w:r>
        <w:r w:rsidR="000B6B74" w:rsidRPr="00EA7FAB">
          <w:rPr>
            <w:rStyle w:val="Hyperlink"/>
          </w:rPr>
          <w:t>.</w:t>
        </w:r>
        <w:r w:rsidR="0089269C" w:rsidRPr="00EA7FAB">
          <w:rPr>
            <w:rStyle w:val="Hyperlink"/>
          </w:rPr>
          <w:t>7</w:t>
        </w:r>
        <w:r w:rsidR="000B6B74" w:rsidRPr="00EA7FAB">
          <w:rPr>
            <w:rStyle w:val="Hyperlink"/>
          </w:rPr>
          <w:t>.1.19</w:t>
        </w:r>
        <w:r w:rsidRPr="00EA7FAB">
          <w:rPr>
            <w:rStyle w:val="Hyperlink"/>
          </w:rPr>
          <w:t>.</w:t>
        </w:r>
      </w:hyperlink>
    </w:p>
    <w:p w14:paraId="4A1C7F7E" w14:textId="37B6C04D" w:rsidR="000A607E" w:rsidRPr="000665B0" w:rsidRDefault="000A607E" w:rsidP="00593264">
      <w:pPr>
        <w:pStyle w:val="Heading7"/>
        <w:keepNext w:val="0"/>
      </w:pPr>
      <w:bookmarkStart w:id="6699" w:name="_5.38.3.1.8.2.7__Fail_1"/>
      <w:bookmarkStart w:id="6700" w:name="_Fail_a_Missile"/>
      <w:bookmarkStart w:id="6701" w:name="_Toc289328926"/>
      <w:bookmarkEnd w:id="6699"/>
      <w:bookmarkEnd w:id="6700"/>
      <w:r w:rsidRPr="000665B0">
        <w:t xml:space="preserve">Fail a </w:t>
      </w:r>
      <w:r w:rsidR="007806A8" w:rsidRPr="000665B0">
        <w:t>M</w:t>
      </w:r>
      <w:r w:rsidRPr="000665B0">
        <w:t>issile</w:t>
      </w:r>
      <w:bookmarkEnd w:id="6701"/>
    </w:p>
    <w:p w14:paraId="4253CFDA" w14:textId="07A01274" w:rsidR="000A607E" w:rsidRPr="000665B0" w:rsidRDefault="000A607E" w:rsidP="006D5A65">
      <w:pPr>
        <w:pStyle w:val="Heading1"/>
      </w:pPr>
      <w:r w:rsidRPr="000665B0">
        <w:t xml:space="preserve">From the </w:t>
      </w:r>
      <w:r w:rsidRPr="000665B0">
        <w:rPr>
          <w:i/>
        </w:rPr>
        <w:t>SMD, FRU Status</w:t>
      </w:r>
      <w:r w:rsidRPr="000665B0">
        <w:t xml:space="preserve"> tab, select a FRU that contains the desired missile.</w:t>
      </w:r>
    </w:p>
    <w:p w14:paraId="2459B830" w14:textId="77777777" w:rsidR="000A607E" w:rsidRPr="000665B0" w:rsidRDefault="000A607E" w:rsidP="006D5A65">
      <w:pPr>
        <w:pStyle w:val="Heading1"/>
      </w:pPr>
      <w:r w:rsidRPr="000665B0">
        <w:t>Select the Missile</w:t>
      </w:r>
      <w:r w:rsidR="00327866" w:rsidRPr="000665B0">
        <w:t xml:space="preserve"> </w:t>
      </w:r>
      <w:r w:rsidR="00987E38" w:rsidRPr="000665B0">
        <w:t>Assignments</w:t>
      </w:r>
      <w:r w:rsidRPr="000665B0">
        <w:t xml:space="preserve"> tab.</w:t>
      </w:r>
    </w:p>
    <w:p w14:paraId="06FC2A96" w14:textId="77387ABC" w:rsidR="00C32E1C" w:rsidRPr="000665B0" w:rsidRDefault="00367AC4" w:rsidP="00CB3E29">
      <w:pPr>
        <w:pStyle w:val="Number0205"/>
        <w:ind w:left="0" w:firstLine="0"/>
        <w:jc w:val="center"/>
      </w:pPr>
      <w:r w:rsidRPr="000665B0">
        <w:rPr>
          <w:noProof/>
        </w:rPr>
        <w:drawing>
          <wp:inline distT="0" distB="0" distL="0" distR="0" wp14:anchorId="089842DA" wp14:editId="1874772F">
            <wp:extent cx="4572000" cy="2212848"/>
            <wp:effectExtent l="0" t="0" r="0" b="0"/>
            <wp:docPr id="2178" name="Picture 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2212848"/>
                    </a:xfrm>
                    <a:prstGeom prst="rect">
                      <a:avLst/>
                    </a:prstGeom>
                  </pic:spPr>
                </pic:pic>
              </a:graphicData>
            </a:graphic>
          </wp:inline>
        </w:drawing>
      </w:r>
    </w:p>
    <w:p w14:paraId="20FBC2AF" w14:textId="77777777" w:rsidR="000A607E" w:rsidRPr="000665B0" w:rsidRDefault="000A607E" w:rsidP="006D5A65">
      <w:pPr>
        <w:pStyle w:val="Heading1"/>
      </w:pPr>
      <w:r w:rsidRPr="000665B0">
        <w:t xml:space="preserve">Select the desired missile and </w:t>
      </w:r>
      <w:r w:rsidR="00327866" w:rsidRPr="000665B0">
        <w:t>invoke</w:t>
      </w:r>
      <w:r w:rsidRPr="000665B0">
        <w:t xml:space="preserve"> the context menu.</w:t>
      </w:r>
    </w:p>
    <w:p w14:paraId="756884B8" w14:textId="77777777" w:rsidR="000A607E" w:rsidRPr="000665B0" w:rsidRDefault="000A607E" w:rsidP="006D5A65">
      <w:pPr>
        <w:pStyle w:val="Heading1"/>
      </w:pPr>
      <w:r w:rsidRPr="000665B0">
        <w:t>Select Status</w:t>
      </w:r>
      <w:r w:rsidR="00327866" w:rsidRPr="000665B0">
        <w:t xml:space="preserve"> </w:t>
      </w:r>
      <w:r w:rsidR="00327866" w:rsidRPr="000665B0">
        <w:sym w:font="Wingdings 3" w:char="F07D"/>
      </w:r>
      <w:r w:rsidRPr="000665B0">
        <w:t xml:space="preserve"> </w:t>
      </w:r>
      <w:r w:rsidR="00327866" w:rsidRPr="000665B0">
        <w:t xml:space="preserve">Set to </w:t>
      </w:r>
      <w:r w:rsidRPr="000665B0">
        <w:t>Failed.</w:t>
      </w:r>
    </w:p>
    <w:p w14:paraId="45B87C2E" w14:textId="36C7E3ED" w:rsidR="000A607E" w:rsidRPr="000665B0" w:rsidRDefault="000A607E" w:rsidP="00593264">
      <w:pPr>
        <w:pStyle w:val="Heading5"/>
        <w:keepNext w:val="0"/>
      </w:pPr>
      <w:bookmarkStart w:id="6702" w:name="_5.38.3.1.9__TSN"/>
      <w:bookmarkStart w:id="6703" w:name="_TSN_Ping"/>
      <w:bookmarkStart w:id="6704" w:name="_Toc289328927"/>
      <w:bookmarkEnd w:id="6668"/>
      <w:bookmarkEnd w:id="6702"/>
      <w:bookmarkEnd w:id="6703"/>
      <w:r w:rsidRPr="000665B0">
        <w:t>TSN Ping</w:t>
      </w:r>
      <w:bookmarkEnd w:id="6704"/>
    </w:p>
    <w:p w14:paraId="578236E4" w14:textId="1FB2528C" w:rsidR="000A607E" w:rsidRDefault="000A607E" w:rsidP="00C92934">
      <w:r w:rsidRPr="000665B0">
        <w:t xml:space="preserve">The </w:t>
      </w:r>
      <w:r w:rsidRPr="000665B0">
        <w:rPr>
          <w:b/>
          <w:i/>
        </w:rPr>
        <w:t>TSN Ping</w:t>
      </w:r>
      <w:r w:rsidRPr="000665B0">
        <w:t xml:space="preserve"> tab provides a tool to verify TSN connectivity between MDSs and TTWCSs.</w:t>
      </w:r>
    </w:p>
    <w:p w14:paraId="16B28AB1" w14:textId="5A7F607F" w:rsidR="00AD500C" w:rsidRPr="000665B0" w:rsidRDefault="00AD500C" w:rsidP="000A607E">
      <w:pPr>
        <w:jc w:val="center"/>
      </w:pPr>
      <w:r>
        <w:rPr>
          <w:noProof/>
        </w:rPr>
        <w:lastRenderedPageBreak/>
        <w:drawing>
          <wp:inline distT="0" distB="0" distL="0" distR="0" wp14:anchorId="63A5CAD1" wp14:editId="470CF4E8">
            <wp:extent cx="4572000" cy="1298448"/>
            <wp:effectExtent l="0" t="0" r="0" b="0"/>
            <wp:docPr id="427" name="Picture 4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Picture 427" descr="A screenshot of a computer&#10;&#10;Description automatically generated"/>
                    <pic:cNvPicPr/>
                  </pic:nvPicPr>
                  <pic:blipFill>
                    <a:blip/>
                    <a:stretch>
                      <a:fillRect/>
                    </a:stretch>
                  </pic:blipFill>
                  <pic:spPr>
                    <a:xfrm>
                      <a:off x="0" y="0"/>
                      <a:ext cx="4572000" cy="1298448"/>
                    </a:xfrm>
                    <a:prstGeom prst="rect">
                      <a:avLst/>
                    </a:prstGeom>
                  </pic:spPr>
                </pic:pic>
              </a:graphicData>
            </a:graphic>
          </wp:inline>
        </w:drawing>
      </w:r>
    </w:p>
    <w:p w14:paraId="3980A537" w14:textId="08D738EF" w:rsidR="000A607E" w:rsidRPr="000665B0" w:rsidRDefault="000A607E" w:rsidP="000A607E">
      <w:pPr>
        <w:spacing w:after="0"/>
      </w:pPr>
      <w:r w:rsidRPr="000665B0">
        <w:t xml:space="preserve">When node(s) are selected and a Ping is sent from the context menu, a Ping TSN message is generated. The message is sent over the TSN. All MDSs on the network that </w:t>
      </w:r>
      <w:r w:rsidR="00A72464" w:rsidRPr="000665B0">
        <w:t xml:space="preserve">have </w:t>
      </w:r>
      <w:r w:rsidRPr="000665B0">
        <w:t xml:space="preserve">the SMD up will receive and process the TSN Ping Request. If the request is addressed to the receiving </w:t>
      </w:r>
      <w:r w:rsidR="0040164B" w:rsidRPr="000665B0">
        <w:t>node,</w:t>
      </w:r>
      <w:r w:rsidRPr="000665B0">
        <w:t xml:space="preserve"> then that node will reply with a Ping Reply. The originating node receives that Ping Reply and updates this ping list view with Recv Time and Round Trip Time. If a Ping Reply is not received in 5 </w:t>
      </w:r>
      <w:r w:rsidR="0040164B" w:rsidRPr="000665B0">
        <w:t>minutes,</w:t>
      </w:r>
      <w:r w:rsidRPr="000665B0">
        <w:t xml:space="preserve"> then a status of </w:t>
      </w:r>
      <w:r w:rsidRPr="000665B0">
        <w:rPr>
          <w:b/>
        </w:rPr>
        <w:t>Failed</w:t>
      </w:r>
      <w:r w:rsidRPr="000665B0">
        <w:t xml:space="preserve"> is assigned to the ping.</w:t>
      </w:r>
      <w:r w:rsidR="00747048">
        <w:t xml:space="preserve"> MST strikes are ACA </w:t>
      </w:r>
      <w:r w:rsidR="00401661">
        <w:t>only and</w:t>
      </w:r>
      <w:r w:rsidR="00747048">
        <w:t xml:space="preserve"> will never return a mixed ping icon.</w:t>
      </w:r>
    </w:p>
    <w:p w14:paraId="174F0766" w14:textId="386D5680" w:rsidR="000A607E" w:rsidRPr="000665B0" w:rsidRDefault="000A607E" w:rsidP="00306174">
      <w:pPr>
        <w:pStyle w:val="Heading6"/>
      </w:pPr>
      <w:bookmarkStart w:id="6705" w:name="_5.38.3.1.9.1__How"/>
      <w:bookmarkStart w:id="6706" w:name="_How_to_Send"/>
      <w:bookmarkStart w:id="6707" w:name="_Toc289328928"/>
      <w:bookmarkEnd w:id="6705"/>
      <w:bookmarkEnd w:id="6706"/>
      <w:r w:rsidRPr="000665B0">
        <w:t xml:space="preserve">How to </w:t>
      </w:r>
      <w:r w:rsidR="007806A8" w:rsidRPr="000665B0">
        <w:t>S</w:t>
      </w:r>
      <w:r w:rsidRPr="000665B0">
        <w:t>end a Ping</w:t>
      </w:r>
      <w:bookmarkEnd w:id="6707"/>
    </w:p>
    <w:p w14:paraId="4DDB946B" w14:textId="7CE514EB" w:rsidR="000A607E" w:rsidRPr="000665B0" w:rsidRDefault="000A607E" w:rsidP="006D5A65">
      <w:pPr>
        <w:pStyle w:val="Heading1"/>
      </w:pPr>
      <w:r w:rsidRPr="000665B0">
        <w:t xml:space="preserve">From the </w:t>
      </w:r>
      <w:r w:rsidRPr="000665B0">
        <w:rPr>
          <w:i/>
        </w:rPr>
        <w:t xml:space="preserve">SMD, </w:t>
      </w:r>
      <w:r w:rsidR="007E76D7" w:rsidRPr="000665B0">
        <w:rPr>
          <w:i/>
        </w:rPr>
        <w:t>TSN Ping</w:t>
      </w:r>
      <w:r w:rsidRPr="000665B0">
        <w:t xml:space="preserve"> tab, select the desired FRU and </w:t>
      </w:r>
      <w:r w:rsidR="004E26D4" w:rsidRPr="000665B0">
        <w:t>invoke</w:t>
      </w:r>
      <w:r w:rsidRPr="000665B0">
        <w:t xml:space="preserve"> the context menu.</w:t>
      </w:r>
    </w:p>
    <w:p w14:paraId="7BD9A7D5" w14:textId="3EC2301D" w:rsidR="000A607E" w:rsidRPr="000665B0" w:rsidRDefault="000A607E" w:rsidP="006D5A65">
      <w:pPr>
        <w:pStyle w:val="Heading1"/>
      </w:pPr>
      <w:r w:rsidRPr="000665B0">
        <w:t>Select Ping</w:t>
      </w:r>
      <w:r w:rsidR="004E26D4" w:rsidRPr="000665B0">
        <w:t xml:space="preserve"> to initiate</w:t>
      </w:r>
      <w:r w:rsidRPr="000665B0">
        <w:t xml:space="preserve"> the </w:t>
      </w:r>
      <w:r w:rsidR="00E2186F" w:rsidRPr="000665B0">
        <w:t xml:space="preserve">ping </w:t>
      </w:r>
      <w:r w:rsidRPr="000665B0">
        <w:t xml:space="preserve">process. </w:t>
      </w:r>
    </w:p>
    <w:p w14:paraId="4689DEA0" w14:textId="2E8FE2CF" w:rsidR="004E26D4" w:rsidRPr="000665B0" w:rsidRDefault="00AD500C" w:rsidP="006D5A65">
      <w:pPr>
        <w:pStyle w:val="Heading1"/>
      </w:pPr>
      <w:r>
        <w:t>The left side of the bubble before</w:t>
      </w:r>
      <w:r w:rsidR="004E26D4" w:rsidRPr="000665B0">
        <w:t xml:space="preserve"> the FRU indicates the status of the </w:t>
      </w:r>
      <w:r>
        <w:t xml:space="preserve">ACA </w:t>
      </w:r>
      <w:r w:rsidR="004E26D4" w:rsidRPr="000665B0">
        <w:t>ping</w:t>
      </w:r>
      <w:r>
        <w:t>, while the right side indicates the status of the DAMA ping</w:t>
      </w:r>
      <w:r w:rsidR="004E26D4" w:rsidRPr="000665B0">
        <w:t>:</w:t>
      </w:r>
    </w:p>
    <w:p w14:paraId="3D4BBBEB" w14:textId="643B42AF" w:rsidR="004E26D4" w:rsidRPr="000665B0" w:rsidRDefault="00AD500C" w:rsidP="006D5A65">
      <w:pPr>
        <w:pStyle w:val="Heading1"/>
      </w:pPr>
      <w:r w:rsidRPr="000665B0">
        <w:t xml:space="preserve">Yellow </w:t>
      </w:r>
      <w:r w:rsidR="004E26D4" w:rsidRPr="000665B0">
        <w:t xml:space="preserve">indicates that </w:t>
      </w:r>
      <w:r w:rsidR="000A607E" w:rsidRPr="000665B0">
        <w:t xml:space="preserve">the ping is pending. </w:t>
      </w:r>
    </w:p>
    <w:p w14:paraId="2C56AC23" w14:textId="7544AE78" w:rsidR="004E26D4" w:rsidRPr="000665B0" w:rsidRDefault="00AD500C" w:rsidP="006D5A65">
      <w:pPr>
        <w:pStyle w:val="Heading1"/>
      </w:pPr>
      <w:r w:rsidRPr="000665B0">
        <w:t xml:space="preserve">Green </w:t>
      </w:r>
      <w:r w:rsidR="004E26D4" w:rsidRPr="000665B0">
        <w:t xml:space="preserve">indicates </w:t>
      </w:r>
      <w:r w:rsidR="000A607E" w:rsidRPr="000665B0">
        <w:t xml:space="preserve">a successful ping. </w:t>
      </w:r>
    </w:p>
    <w:p w14:paraId="680883D9" w14:textId="286D2CB8" w:rsidR="000A607E" w:rsidRPr="000665B0" w:rsidRDefault="00AD500C" w:rsidP="006D5A65">
      <w:pPr>
        <w:pStyle w:val="Heading1"/>
      </w:pPr>
      <w:r w:rsidRPr="000665B0">
        <w:t xml:space="preserve">Red </w:t>
      </w:r>
      <w:r w:rsidR="004E26D4" w:rsidRPr="000665B0">
        <w:t xml:space="preserve">indicates </w:t>
      </w:r>
      <w:r w:rsidR="000A607E" w:rsidRPr="000665B0">
        <w:t>an unsuccessful ping.</w:t>
      </w:r>
    </w:p>
    <w:p w14:paraId="62B0849B" w14:textId="088FED4D" w:rsidR="00AD500C" w:rsidRDefault="00AD500C" w:rsidP="006D5A65">
      <w:pPr>
        <w:pStyle w:val="Heading1"/>
      </w:pPr>
      <w:r>
        <w:t>Mixed or partial bubbles indicate the following:</w:t>
      </w:r>
    </w:p>
    <w:p w14:paraId="7DF50186" w14:textId="44B6F896" w:rsidR="00AD500C" w:rsidRDefault="00AD500C" w:rsidP="006D5A65">
      <w:pPr>
        <w:pStyle w:val="Heading2"/>
      </w:pPr>
      <w:r>
        <w:rPr>
          <w:noProof/>
        </w:rPr>
        <w:drawing>
          <wp:inline distT="0" distB="0" distL="0" distR="0" wp14:anchorId="020D7054" wp14:editId="589AE815">
            <wp:extent cx="200025" cy="190500"/>
            <wp:effectExtent l="0" t="0" r="9525"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0025" cy="190500"/>
                    </a:xfrm>
                    <a:prstGeom prst="rect">
                      <a:avLst/>
                    </a:prstGeom>
                    <a:noFill/>
                    <a:ln>
                      <a:noFill/>
                    </a:ln>
                  </pic:spPr>
                </pic:pic>
              </a:graphicData>
            </a:graphic>
          </wp:inline>
        </w:drawing>
      </w:r>
      <w:r w:rsidRPr="000665B0">
        <w:t xml:space="preserve"> </w:t>
      </w:r>
      <w:r>
        <w:t>-</w:t>
      </w:r>
      <w:r w:rsidRPr="000665B0">
        <w:t xml:space="preserve"> </w:t>
      </w:r>
      <w:r>
        <w:t>ACA failed, DAMA failed</w:t>
      </w:r>
    </w:p>
    <w:p w14:paraId="3B4875C7" w14:textId="77777777" w:rsidR="00AD500C" w:rsidRDefault="00AD500C" w:rsidP="006D5A65">
      <w:pPr>
        <w:pStyle w:val="Heading2"/>
      </w:pPr>
      <w:r>
        <w:rPr>
          <w:noProof/>
        </w:rPr>
        <w:drawing>
          <wp:inline distT="0" distB="0" distL="0" distR="0" wp14:anchorId="49C655DB" wp14:editId="58D89670">
            <wp:extent cx="200025" cy="219075"/>
            <wp:effectExtent l="0" t="0" r="9525" b="9525"/>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0025" cy="219075"/>
                    </a:xfrm>
                    <a:prstGeom prst="rect">
                      <a:avLst/>
                    </a:prstGeom>
                    <a:noFill/>
                    <a:ln>
                      <a:noFill/>
                    </a:ln>
                  </pic:spPr>
                </pic:pic>
              </a:graphicData>
            </a:graphic>
          </wp:inline>
        </w:drawing>
      </w:r>
      <w:r>
        <w:t>- ACA failed, DAMA successful</w:t>
      </w:r>
    </w:p>
    <w:p w14:paraId="65DB361F" w14:textId="77777777" w:rsidR="00AD500C" w:rsidRDefault="00AD500C" w:rsidP="006D5A65">
      <w:pPr>
        <w:pStyle w:val="Heading2"/>
      </w:pPr>
      <w:r>
        <w:rPr>
          <w:noProof/>
        </w:rPr>
        <w:drawing>
          <wp:inline distT="0" distB="0" distL="0" distR="0" wp14:anchorId="08102567" wp14:editId="6E77844E">
            <wp:extent cx="209550" cy="219075"/>
            <wp:effectExtent l="0" t="0" r="0" b="9525"/>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9550" cy="219075"/>
                    </a:xfrm>
                    <a:prstGeom prst="rect">
                      <a:avLst/>
                    </a:prstGeom>
                    <a:noFill/>
                    <a:ln>
                      <a:noFill/>
                    </a:ln>
                  </pic:spPr>
                </pic:pic>
              </a:graphicData>
            </a:graphic>
          </wp:inline>
        </w:drawing>
      </w:r>
      <w:r>
        <w:t>- ACA failed</w:t>
      </w:r>
    </w:p>
    <w:p w14:paraId="25B83382" w14:textId="77777777" w:rsidR="00AD500C" w:rsidRDefault="00AD500C" w:rsidP="006D5A65">
      <w:pPr>
        <w:pStyle w:val="Heading2"/>
      </w:pPr>
      <w:r>
        <w:rPr>
          <w:noProof/>
        </w:rPr>
        <w:drawing>
          <wp:inline distT="0" distB="0" distL="0" distR="0" wp14:anchorId="7A1BA4C3" wp14:editId="118CB392">
            <wp:extent cx="180975" cy="200025"/>
            <wp:effectExtent l="0" t="0" r="9525" b="9525"/>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0975" cy="200025"/>
                    </a:xfrm>
                    <a:prstGeom prst="rect">
                      <a:avLst/>
                    </a:prstGeom>
                    <a:noFill/>
                    <a:ln>
                      <a:noFill/>
                    </a:ln>
                  </pic:spPr>
                </pic:pic>
              </a:graphicData>
            </a:graphic>
          </wp:inline>
        </w:drawing>
      </w:r>
      <w:r>
        <w:t xml:space="preserve"> - ACA failed, DAMA pending</w:t>
      </w:r>
    </w:p>
    <w:p w14:paraId="269CB973" w14:textId="77777777" w:rsidR="00AD500C" w:rsidRDefault="00AD500C" w:rsidP="006D5A65">
      <w:pPr>
        <w:pStyle w:val="Heading2"/>
      </w:pPr>
      <w:r w:rsidRPr="00470A50">
        <w:rPr>
          <w:noProof/>
        </w:rPr>
        <w:drawing>
          <wp:inline distT="0" distB="0" distL="0" distR="0" wp14:anchorId="5DD19CB6" wp14:editId="4D75E68E">
            <wp:extent cx="171450" cy="209550"/>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71450" cy="209550"/>
                    </a:xfrm>
                    <a:prstGeom prst="rect">
                      <a:avLst/>
                    </a:prstGeom>
                    <a:noFill/>
                    <a:ln>
                      <a:noFill/>
                    </a:ln>
                  </pic:spPr>
                </pic:pic>
              </a:graphicData>
            </a:graphic>
          </wp:inline>
        </w:drawing>
      </w:r>
      <w:r>
        <w:t>- ACA successful, DAMA failed</w:t>
      </w:r>
    </w:p>
    <w:p w14:paraId="65834598" w14:textId="77777777" w:rsidR="00AD500C" w:rsidRDefault="00AD500C" w:rsidP="006D5A65">
      <w:pPr>
        <w:pStyle w:val="Heading2"/>
      </w:pPr>
      <w:r w:rsidRPr="00470A50">
        <w:rPr>
          <w:noProof/>
        </w:rPr>
        <w:drawing>
          <wp:inline distT="0" distB="0" distL="0" distR="0" wp14:anchorId="3F1AB9C4" wp14:editId="7F55686B">
            <wp:extent cx="190500" cy="190500"/>
            <wp:effectExtent l="0" t="0" r="0" b="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90500" cy="190500"/>
                    </a:xfrm>
                    <a:prstGeom prst="rect">
                      <a:avLst/>
                    </a:prstGeom>
                    <a:noFill/>
                    <a:ln>
                      <a:noFill/>
                    </a:ln>
                  </pic:spPr>
                </pic:pic>
              </a:graphicData>
            </a:graphic>
          </wp:inline>
        </w:drawing>
      </w:r>
      <w:r>
        <w:t xml:space="preserve"> - ACA successful, DAMA successful</w:t>
      </w:r>
    </w:p>
    <w:p w14:paraId="7811C9BB" w14:textId="77777777" w:rsidR="00AD500C" w:rsidRDefault="00AD500C" w:rsidP="006D5A65">
      <w:pPr>
        <w:pStyle w:val="Heading2"/>
      </w:pPr>
      <w:r w:rsidRPr="00470A50">
        <w:rPr>
          <w:noProof/>
        </w:rPr>
        <w:drawing>
          <wp:inline distT="0" distB="0" distL="0" distR="0" wp14:anchorId="0A93D75F" wp14:editId="64BA0CC9">
            <wp:extent cx="190500" cy="171450"/>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90500" cy="171450"/>
                    </a:xfrm>
                    <a:prstGeom prst="rect">
                      <a:avLst/>
                    </a:prstGeom>
                    <a:noFill/>
                    <a:ln>
                      <a:noFill/>
                    </a:ln>
                  </pic:spPr>
                </pic:pic>
              </a:graphicData>
            </a:graphic>
          </wp:inline>
        </w:drawing>
      </w:r>
      <w:r>
        <w:t xml:space="preserve"> - ACA successful</w:t>
      </w:r>
    </w:p>
    <w:p w14:paraId="5D751241" w14:textId="77777777" w:rsidR="00AD500C" w:rsidRDefault="00AD500C" w:rsidP="006D5A65">
      <w:pPr>
        <w:pStyle w:val="Heading2"/>
      </w:pPr>
      <w:r w:rsidRPr="00470A50">
        <w:rPr>
          <w:noProof/>
        </w:rPr>
        <w:drawing>
          <wp:inline distT="0" distB="0" distL="0" distR="0" wp14:anchorId="50895A7A" wp14:editId="4060E3E5">
            <wp:extent cx="190500" cy="200025"/>
            <wp:effectExtent l="0" t="0" r="0" b="952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90500" cy="200025"/>
                    </a:xfrm>
                    <a:prstGeom prst="rect">
                      <a:avLst/>
                    </a:prstGeom>
                    <a:noFill/>
                    <a:ln>
                      <a:noFill/>
                    </a:ln>
                  </pic:spPr>
                </pic:pic>
              </a:graphicData>
            </a:graphic>
          </wp:inline>
        </w:drawing>
      </w:r>
      <w:r>
        <w:t xml:space="preserve"> - ACA successful, DAMA pending</w:t>
      </w:r>
    </w:p>
    <w:p w14:paraId="6F4A233F" w14:textId="77777777" w:rsidR="00AD500C" w:rsidRDefault="00AD500C" w:rsidP="006D5A65">
      <w:pPr>
        <w:pStyle w:val="Heading2"/>
      </w:pPr>
      <w:r w:rsidRPr="00470A50">
        <w:rPr>
          <w:noProof/>
        </w:rPr>
        <w:lastRenderedPageBreak/>
        <w:drawing>
          <wp:inline distT="0" distB="0" distL="0" distR="0" wp14:anchorId="60139F68" wp14:editId="6BD7431A">
            <wp:extent cx="219075" cy="209550"/>
            <wp:effectExtent l="0" t="0" r="9525"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19075" cy="209550"/>
                    </a:xfrm>
                    <a:prstGeom prst="rect">
                      <a:avLst/>
                    </a:prstGeom>
                    <a:noFill/>
                    <a:ln>
                      <a:noFill/>
                    </a:ln>
                  </pic:spPr>
                </pic:pic>
              </a:graphicData>
            </a:graphic>
          </wp:inline>
        </w:drawing>
      </w:r>
      <w:r>
        <w:t xml:space="preserve"> - DAMA failed</w:t>
      </w:r>
    </w:p>
    <w:p w14:paraId="0A372DB6" w14:textId="77777777" w:rsidR="00AD500C" w:rsidRDefault="00AD500C" w:rsidP="006D5A65">
      <w:pPr>
        <w:pStyle w:val="Heading2"/>
      </w:pPr>
      <w:r w:rsidRPr="00470A50">
        <w:rPr>
          <w:noProof/>
        </w:rPr>
        <w:drawing>
          <wp:inline distT="0" distB="0" distL="0" distR="0" wp14:anchorId="3C3632FC" wp14:editId="064EAED0">
            <wp:extent cx="219075" cy="200025"/>
            <wp:effectExtent l="0" t="0" r="9525" b="9525"/>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19075" cy="200025"/>
                    </a:xfrm>
                    <a:prstGeom prst="rect">
                      <a:avLst/>
                    </a:prstGeom>
                    <a:noFill/>
                    <a:ln>
                      <a:noFill/>
                    </a:ln>
                  </pic:spPr>
                </pic:pic>
              </a:graphicData>
            </a:graphic>
          </wp:inline>
        </w:drawing>
      </w:r>
      <w:r>
        <w:t xml:space="preserve"> - DAMA successful</w:t>
      </w:r>
    </w:p>
    <w:p w14:paraId="01E1627B" w14:textId="77777777" w:rsidR="00AD500C" w:rsidRDefault="00AD500C" w:rsidP="006D5A65">
      <w:pPr>
        <w:pStyle w:val="Heading2"/>
      </w:pPr>
      <w:r w:rsidRPr="00470A50">
        <w:rPr>
          <w:noProof/>
        </w:rPr>
        <w:drawing>
          <wp:inline distT="0" distB="0" distL="0" distR="0" wp14:anchorId="13951D0F" wp14:editId="5A888477">
            <wp:extent cx="238125" cy="219075"/>
            <wp:effectExtent l="0" t="0" r="9525" b="9525"/>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38125" cy="219075"/>
                    </a:xfrm>
                    <a:prstGeom prst="rect">
                      <a:avLst/>
                    </a:prstGeom>
                    <a:noFill/>
                    <a:ln>
                      <a:noFill/>
                    </a:ln>
                  </pic:spPr>
                </pic:pic>
              </a:graphicData>
            </a:graphic>
          </wp:inline>
        </w:drawing>
      </w:r>
      <w:r>
        <w:t xml:space="preserve"> - DAMA pending</w:t>
      </w:r>
    </w:p>
    <w:p w14:paraId="3E8BC779" w14:textId="77777777" w:rsidR="00AD500C" w:rsidRDefault="00AD500C" w:rsidP="006D5A65">
      <w:pPr>
        <w:pStyle w:val="Heading2"/>
      </w:pPr>
      <w:r w:rsidRPr="00470A50">
        <w:rPr>
          <w:noProof/>
        </w:rPr>
        <w:drawing>
          <wp:inline distT="0" distB="0" distL="0" distR="0" wp14:anchorId="424EB607" wp14:editId="60A9FA7D">
            <wp:extent cx="200025" cy="200025"/>
            <wp:effectExtent l="0" t="0" r="9525" b="9525"/>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0025" cy="200025"/>
                    </a:xfrm>
                    <a:prstGeom prst="rect">
                      <a:avLst/>
                    </a:prstGeom>
                    <a:noFill/>
                    <a:ln>
                      <a:noFill/>
                    </a:ln>
                  </pic:spPr>
                </pic:pic>
              </a:graphicData>
            </a:graphic>
          </wp:inline>
        </w:drawing>
      </w:r>
      <w:r>
        <w:t xml:space="preserve"> - ACA pending, DAMA failed</w:t>
      </w:r>
    </w:p>
    <w:p w14:paraId="13704F0B" w14:textId="77777777" w:rsidR="00AD500C" w:rsidRDefault="00AD500C" w:rsidP="006D5A65">
      <w:pPr>
        <w:pStyle w:val="Heading2"/>
      </w:pPr>
      <w:r w:rsidRPr="00470A50">
        <w:rPr>
          <w:noProof/>
        </w:rPr>
        <w:drawing>
          <wp:inline distT="0" distB="0" distL="0" distR="0" wp14:anchorId="73FB8657" wp14:editId="135DBE41">
            <wp:extent cx="200025" cy="180975"/>
            <wp:effectExtent l="0" t="0" r="9525" b="9525"/>
            <wp:docPr id="2304" name="Picture 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0025" cy="180975"/>
                    </a:xfrm>
                    <a:prstGeom prst="rect">
                      <a:avLst/>
                    </a:prstGeom>
                    <a:noFill/>
                    <a:ln>
                      <a:noFill/>
                    </a:ln>
                  </pic:spPr>
                </pic:pic>
              </a:graphicData>
            </a:graphic>
          </wp:inline>
        </w:drawing>
      </w:r>
      <w:r>
        <w:t xml:space="preserve"> - ACA pending, DAMA successful</w:t>
      </w:r>
    </w:p>
    <w:p w14:paraId="56951A8F" w14:textId="77777777" w:rsidR="00AD500C" w:rsidRDefault="00AD500C" w:rsidP="006D5A65">
      <w:pPr>
        <w:pStyle w:val="Heading2"/>
      </w:pPr>
      <w:r w:rsidRPr="00470A50">
        <w:rPr>
          <w:noProof/>
        </w:rPr>
        <w:drawing>
          <wp:inline distT="0" distB="0" distL="0" distR="0" wp14:anchorId="0E5886D4" wp14:editId="753923DE">
            <wp:extent cx="219075" cy="180975"/>
            <wp:effectExtent l="0" t="0" r="9525" b="9525"/>
            <wp:docPr id="2305" name="Picture 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19075" cy="180975"/>
                    </a:xfrm>
                    <a:prstGeom prst="rect">
                      <a:avLst/>
                    </a:prstGeom>
                    <a:noFill/>
                    <a:ln>
                      <a:noFill/>
                    </a:ln>
                  </pic:spPr>
                </pic:pic>
              </a:graphicData>
            </a:graphic>
          </wp:inline>
        </w:drawing>
      </w:r>
      <w:r>
        <w:t xml:space="preserve"> - ACA pending</w:t>
      </w:r>
    </w:p>
    <w:p w14:paraId="3128B751" w14:textId="77777777" w:rsidR="00AD500C" w:rsidRDefault="00AD500C" w:rsidP="006D5A65">
      <w:pPr>
        <w:pStyle w:val="Heading2"/>
      </w:pPr>
      <w:r w:rsidRPr="00470A50">
        <w:rPr>
          <w:noProof/>
        </w:rPr>
        <w:drawing>
          <wp:inline distT="0" distB="0" distL="0" distR="0" wp14:anchorId="2C21E5F9" wp14:editId="2B8051B5">
            <wp:extent cx="200025" cy="200025"/>
            <wp:effectExtent l="0" t="0" r="9525" b="9525"/>
            <wp:docPr id="2307" name="Picture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00025" cy="200025"/>
                    </a:xfrm>
                    <a:prstGeom prst="rect">
                      <a:avLst/>
                    </a:prstGeom>
                    <a:noFill/>
                    <a:ln>
                      <a:noFill/>
                    </a:ln>
                  </pic:spPr>
                </pic:pic>
              </a:graphicData>
            </a:graphic>
          </wp:inline>
        </w:drawing>
      </w:r>
      <w:r>
        <w:t xml:space="preserve"> - ACA pending, DAMA pending</w:t>
      </w:r>
    </w:p>
    <w:p w14:paraId="29B70435" w14:textId="77777777" w:rsidR="000A607E" w:rsidRPr="00C97B43" w:rsidRDefault="000A607E" w:rsidP="00A0163E">
      <w:pPr>
        <w:pBdr>
          <w:top w:val="single" w:sz="12" w:space="1" w:color="auto"/>
          <w:left w:val="single" w:sz="12" w:space="4" w:color="auto"/>
          <w:bottom w:val="single" w:sz="12" w:space="1" w:color="auto"/>
          <w:right w:val="single" w:sz="12" w:space="4" w:color="auto"/>
        </w:pBdr>
        <w:shd w:val="clear" w:color="auto" w:fill="D9D9D9"/>
        <w:spacing w:after="0"/>
        <w:jc w:val="center"/>
        <w:rPr>
          <w:b/>
        </w:rPr>
      </w:pPr>
      <w:bookmarkStart w:id="6708" w:name="_Hlk118883438"/>
      <w:r w:rsidRPr="00C97B43">
        <w:rPr>
          <w:b/>
        </w:rPr>
        <w:t>Note:</w:t>
      </w:r>
    </w:p>
    <w:p w14:paraId="6D294011" w14:textId="77B614DD" w:rsidR="000A607E" w:rsidRPr="000665B0" w:rsidRDefault="000A607E" w:rsidP="00593264">
      <w:pPr>
        <w:pBdr>
          <w:top w:val="single" w:sz="12" w:space="1" w:color="auto"/>
          <w:left w:val="single" w:sz="12" w:space="4" w:color="auto"/>
          <w:bottom w:val="single" w:sz="12" w:space="1" w:color="auto"/>
          <w:right w:val="single" w:sz="12" w:space="4" w:color="auto"/>
        </w:pBdr>
        <w:shd w:val="clear" w:color="auto" w:fill="D9D9D9"/>
        <w:spacing w:after="240"/>
        <w:jc w:val="center"/>
        <w:rPr>
          <w:b/>
        </w:rPr>
      </w:pPr>
      <w:r w:rsidRPr="00C97B43">
        <w:rPr>
          <w:b/>
        </w:rPr>
        <w:t>Only TSC</w:t>
      </w:r>
      <w:r w:rsidR="00355831">
        <w:rPr>
          <w:b/>
        </w:rPr>
        <w:t xml:space="preserve"> </w:t>
      </w:r>
      <w:r w:rsidRPr="00C97B43">
        <w:rPr>
          <w:b/>
        </w:rPr>
        <w:t>and A</w:t>
      </w:r>
      <w:r w:rsidR="00355831">
        <w:rPr>
          <w:b/>
        </w:rPr>
        <w:t>TSC</w:t>
      </w:r>
      <w:r w:rsidRPr="00C97B43">
        <w:rPr>
          <w:b/>
        </w:rPr>
        <w:t xml:space="preserve"> can initiate a ping.</w:t>
      </w:r>
      <w:r w:rsidR="00593264" w:rsidRPr="000665B0">
        <w:rPr>
          <w:b/>
        </w:rPr>
        <w:br/>
      </w:r>
      <w:r w:rsidRPr="000665B0">
        <w:rPr>
          <w:b/>
        </w:rPr>
        <w:t>Initiating a ping will clear the previous ping request.</w:t>
      </w:r>
    </w:p>
    <w:p w14:paraId="235B39A4" w14:textId="3520161A" w:rsidR="00030549" w:rsidRPr="000665B0" w:rsidRDefault="00030549" w:rsidP="00CB3E29">
      <w:pPr>
        <w:pStyle w:val="Heading5"/>
      </w:pPr>
      <w:bookmarkStart w:id="6709" w:name="_5.38.5__Save"/>
      <w:bookmarkStart w:id="6710" w:name="_5.38.5__Save_"/>
      <w:bookmarkStart w:id="6711" w:name="_Spotlight"/>
      <w:bookmarkStart w:id="6712" w:name="_Spotlighted_Assignments_List"/>
      <w:bookmarkStart w:id="6713" w:name="_Spotlighted__Assignments"/>
      <w:bookmarkStart w:id="6714" w:name="_Toc289328930"/>
      <w:bookmarkStart w:id="6715" w:name="_Toc312332085"/>
      <w:bookmarkStart w:id="6716" w:name="_Toc112733776"/>
      <w:bookmarkEnd w:id="6708"/>
      <w:bookmarkEnd w:id="6709"/>
      <w:bookmarkEnd w:id="6710"/>
      <w:bookmarkEnd w:id="6711"/>
      <w:bookmarkEnd w:id="6712"/>
      <w:bookmarkEnd w:id="6713"/>
      <w:r w:rsidRPr="000665B0">
        <w:t>Spotlight</w:t>
      </w:r>
      <w:r w:rsidR="0075044B" w:rsidRPr="000665B0">
        <w:t>ed Assignments List View</w:t>
      </w:r>
    </w:p>
    <w:p w14:paraId="2661EE06" w14:textId="3773D4EC" w:rsidR="00030549" w:rsidRPr="000665B0" w:rsidRDefault="00660BA1" w:rsidP="00CB3E29">
      <w:r w:rsidRPr="000665B0">
        <w:t>The</w:t>
      </w:r>
      <w:r w:rsidR="00233313" w:rsidRPr="000665B0">
        <w:t xml:space="preserve"> </w:t>
      </w:r>
      <w:r w:rsidRPr="000665B0">
        <w:t>currently</w:t>
      </w:r>
      <w:r w:rsidR="00214212" w:rsidRPr="000665B0">
        <w:t xml:space="preserve"> </w:t>
      </w:r>
      <w:r w:rsidR="00233313" w:rsidRPr="000665B0">
        <w:t>spotlighted item</w:t>
      </w:r>
      <w:r w:rsidRPr="000665B0">
        <w:t xml:space="preserve"> and previously spotlighted items</w:t>
      </w:r>
      <w:r w:rsidR="00233313" w:rsidRPr="000665B0">
        <w:t xml:space="preserve"> are </w:t>
      </w:r>
      <w:r w:rsidR="00214212" w:rsidRPr="000665B0">
        <w:t>displayed</w:t>
      </w:r>
      <w:r w:rsidR="00233313" w:rsidRPr="000665B0">
        <w:t xml:space="preserve"> in this list view. </w:t>
      </w:r>
      <w:r w:rsidR="00214212" w:rsidRPr="000665B0">
        <w:t xml:space="preserve">Double-click a previously spotlighted item to </w:t>
      </w:r>
      <w:r w:rsidR="00233313" w:rsidRPr="000665B0">
        <w:t>quickly re-select</w:t>
      </w:r>
      <w:r w:rsidR="00214212" w:rsidRPr="000665B0">
        <w:t xml:space="preserve"> it</w:t>
      </w:r>
      <w:r w:rsidR="00233313" w:rsidRPr="000665B0">
        <w:t xml:space="preserve"> from the list view. </w:t>
      </w:r>
    </w:p>
    <w:p w14:paraId="05ACBF19" w14:textId="52AB01F9" w:rsidR="00233313" w:rsidRPr="000665B0" w:rsidRDefault="00233313" w:rsidP="00CB3E29">
      <w:r w:rsidRPr="000665B0">
        <w:t>Once an item is spotlighted, it stays spotlighted until it is un-spotlighted (toggle spotlight on/off using context menu</w:t>
      </w:r>
      <w:r w:rsidR="00660BA1" w:rsidRPr="000665B0">
        <w:t xml:space="preserve"> or double-click</w:t>
      </w:r>
      <w:r w:rsidRPr="000665B0">
        <w:t xml:space="preserve">), or until another item is spotlighted. Only one item may be spotlighted at a time. </w:t>
      </w:r>
    </w:p>
    <w:p w14:paraId="770B0795" w14:textId="368F52D8" w:rsidR="00233313" w:rsidRPr="000665B0" w:rsidRDefault="00233313" w:rsidP="00CB3E29">
      <w:r w:rsidRPr="000665B0">
        <w:t xml:space="preserve">To </w:t>
      </w:r>
      <w:r w:rsidR="00214212" w:rsidRPr="000665B0">
        <w:t>set</w:t>
      </w:r>
      <w:r w:rsidRPr="000665B0">
        <w:t xml:space="preserve"> the </w:t>
      </w:r>
      <w:r w:rsidR="00F05ED8" w:rsidRPr="000665B0">
        <w:t xml:space="preserve">background </w:t>
      </w:r>
      <w:r w:rsidRPr="000665B0">
        <w:t>color</w:t>
      </w:r>
      <w:r w:rsidR="00F05ED8" w:rsidRPr="000665B0">
        <w:t xml:space="preserve"> of spotlighted items</w:t>
      </w:r>
      <w:r w:rsidRPr="000665B0">
        <w:t xml:space="preserve">, see </w:t>
      </w:r>
      <w:hyperlink w:anchor="_Colors" w:history="1">
        <w:r w:rsidR="009326FE" w:rsidRPr="000665B0">
          <w:rPr>
            <w:rStyle w:val="Hyperlink"/>
          </w:rPr>
          <w:t xml:space="preserve">Section </w:t>
        </w:r>
        <w:r w:rsidR="004231CC">
          <w:rPr>
            <w:rStyle w:val="Hyperlink"/>
          </w:rPr>
          <w:t>5.34</w:t>
        </w:r>
        <w:r w:rsidRPr="000665B0">
          <w:rPr>
            <w:rStyle w:val="Hyperlink"/>
          </w:rPr>
          <w:t>.1.2.3</w:t>
        </w:r>
      </w:hyperlink>
      <w:r w:rsidRPr="000665B0">
        <w:t>.</w:t>
      </w:r>
    </w:p>
    <w:p w14:paraId="798CCF9D" w14:textId="0183496E" w:rsidR="0070686D" w:rsidRPr="000665B0" w:rsidRDefault="0070686D" w:rsidP="00CB3E29">
      <w:r w:rsidRPr="000665B0">
        <w:t xml:space="preserve">The Additional Information icon </w:t>
      </w:r>
      <w:r w:rsidR="004A219D">
        <w:t>(Φ)</w:t>
      </w:r>
      <w:r w:rsidRPr="000665B0">
        <w:t xml:space="preserve"> in list view column heads or textual view fields indicates that additional information is available for the data within the column or field (see </w:t>
      </w:r>
      <w:hyperlink w:anchor="_Additional__Information" w:history="1">
        <w:r w:rsidRPr="000665B0">
          <w:rPr>
            <w:rStyle w:val="Hyperlink"/>
          </w:rPr>
          <w:t>Section 5.2.11</w:t>
        </w:r>
      </w:hyperlink>
      <w:r w:rsidRPr="000665B0">
        <w:t>).</w:t>
      </w:r>
    </w:p>
    <w:p w14:paraId="20AA71AE" w14:textId="5D60D7F9" w:rsidR="00233313" w:rsidRPr="000665B0" w:rsidRDefault="0070686D" w:rsidP="00CB3E29">
      <w:pPr>
        <w:jc w:val="center"/>
      </w:pPr>
      <w:r w:rsidRPr="000665B0">
        <w:rPr>
          <w:noProof/>
        </w:rPr>
        <w:drawing>
          <wp:inline distT="0" distB="0" distL="0" distR="0" wp14:anchorId="30874AEE" wp14:editId="6355A7E3">
            <wp:extent cx="3200400" cy="2103120"/>
            <wp:effectExtent l="0" t="0" r="0" b="0"/>
            <wp:docPr id="2102" name="Picture 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00400" cy="2103120"/>
                    </a:xfrm>
                    <a:prstGeom prst="rect">
                      <a:avLst/>
                    </a:prstGeom>
                  </pic:spPr>
                </pic:pic>
              </a:graphicData>
            </a:graphic>
          </wp:inline>
        </w:drawing>
      </w:r>
    </w:p>
    <w:p w14:paraId="0A8EA30B" w14:textId="300DF9A1" w:rsidR="00DB4790" w:rsidRPr="000665B0" w:rsidRDefault="00DB4790" w:rsidP="00DB4790">
      <w:pPr>
        <w:pStyle w:val="Heading5"/>
      </w:pPr>
      <w:r w:rsidRPr="000665B0">
        <w:lastRenderedPageBreak/>
        <w:t>Track Source Connection Status</w:t>
      </w:r>
    </w:p>
    <w:p w14:paraId="55F42285" w14:textId="602361E8" w:rsidR="00DB4790" w:rsidRPr="000665B0" w:rsidRDefault="00DB4790" w:rsidP="00DB4790">
      <w:r w:rsidRPr="000665B0">
        <w:t xml:space="preserve">Connection status information is shown on the bottom right in the status bar regarding the connection to the external track source (see </w:t>
      </w:r>
      <w:hyperlink w:anchor="_Connection_Status_Bar" w:history="1">
        <w:r w:rsidR="002330BE" w:rsidRPr="000665B0">
          <w:rPr>
            <w:rStyle w:val="Hyperlink"/>
          </w:rPr>
          <w:t xml:space="preserve">Section </w:t>
        </w:r>
        <w:r w:rsidR="004231CC">
          <w:rPr>
            <w:rStyle w:val="Hyperlink"/>
          </w:rPr>
          <w:t>5.32</w:t>
        </w:r>
        <w:r w:rsidR="002330BE" w:rsidRPr="000665B0">
          <w:rPr>
            <w:rStyle w:val="Hyperlink"/>
          </w:rPr>
          <w:t>.</w:t>
        </w:r>
        <w:r w:rsidR="00296D17">
          <w:rPr>
            <w:rStyle w:val="Hyperlink"/>
          </w:rPr>
          <w:t>1</w:t>
        </w:r>
        <w:r w:rsidR="00F44F6B">
          <w:rPr>
            <w:rStyle w:val="Hyperlink"/>
          </w:rPr>
          <w:t>3</w:t>
        </w:r>
      </w:hyperlink>
      <w:r w:rsidRPr="000665B0">
        <w:t>).</w:t>
      </w:r>
    </w:p>
    <w:p w14:paraId="232E5062" w14:textId="1840C8FE" w:rsidR="00DB4790" w:rsidRPr="000665B0" w:rsidRDefault="00DB4790" w:rsidP="00CB3E29">
      <w:pPr>
        <w:jc w:val="center"/>
      </w:pPr>
      <w:r w:rsidRPr="000665B0">
        <w:rPr>
          <w:noProof/>
        </w:rPr>
        <w:drawing>
          <wp:inline distT="0" distB="0" distL="0" distR="0" wp14:anchorId="6EF501DA" wp14:editId="4293C47C">
            <wp:extent cx="3657600" cy="237744"/>
            <wp:effectExtent l="0" t="0" r="0" b="0"/>
            <wp:docPr id="2306" name="Picture 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237744"/>
                    </a:xfrm>
                    <a:prstGeom prst="rect">
                      <a:avLst/>
                    </a:prstGeom>
                  </pic:spPr>
                </pic:pic>
              </a:graphicData>
            </a:graphic>
          </wp:inline>
        </w:drawing>
      </w:r>
    </w:p>
    <w:p w14:paraId="628BABB5" w14:textId="7DBF13A7" w:rsidR="00C81241" w:rsidRPr="000665B0" w:rsidRDefault="00C81241" w:rsidP="00B35EE5">
      <w:pPr>
        <w:pStyle w:val="Heading3"/>
      </w:pPr>
      <w:bookmarkStart w:id="6717" w:name="_Save_as_CTN"/>
      <w:bookmarkStart w:id="6718" w:name="_Toc214283577"/>
      <w:bookmarkStart w:id="6719" w:name="_Hlk42852454"/>
      <w:bookmarkEnd w:id="6546"/>
      <w:bookmarkEnd w:id="6553"/>
      <w:bookmarkEnd w:id="6717"/>
      <w:r w:rsidRPr="000665B0">
        <w:t>Save as CTN</w:t>
      </w:r>
      <w:bookmarkEnd w:id="6714"/>
      <w:bookmarkEnd w:id="6715"/>
      <w:bookmarkEnd w:id="6718"/>
    </w:p>
    <w:p w14:paraId="23472F60" w14:textId="77777777" w:rsidR="00B57263" w:rsidRPr="000665B0" w:rsidRDefault="00B57263" w:rsidP="00B57263">
      <w:r w:rsidRPr="000665B0">
        <w:t>This function allows the operator to generate the CTN files that the TTWCS training nodes need to model the execution of a training strike. The CTN data consists of all the ACMSs, Missions, and Strike Folders/Options referenced by the Strike Execution Folder. The CTN data is formatted in accordance with the 3900/146 specifications.</w:t>
      </w:r>
    </w:p>
    <w:p w14:paraId="7CF12992" w14:textId="77777777" w:rsidR="00C81241" w:rsidRPr="000665B0" w:rsidRDefault="00C81241" w:rsidP="006C596D">
      <w:pPr>
        <w:keepNext/>
      </w:pPr>
      <w:r w:rsidRPr="000665B0">
        <w:t>To generate CTN files:</w:t>
      </w:r>
    </w:p>
    <w:p w14:paraId="4AD4D2FB" w14:textId="77777777" w:rsidR="00C81241" w:rsidRPr="000665B0" w:rsidRDefault="00C81241" w:rsidP="006D5A65">
      <w:pPr>
        <w:pStyle w:val="Heading3"/>
      </w:pPr>
      <w:r w:rsidRPr="000665B0">
        <w:t xml:space="preserve">Navigate to the </w:t>
      </w:r>
      <w:r w:rsidRPr="000665B0">
        <w:rPr>
          <w:bCs/>
        </w:rPr>
        <w:t xml:space="preserve">Strike Execution </w:t>
      </w:r>
      <w:r w:rsidRPr="000665B0">
        <w:t>Tool and select the desired Strike Execution package from the Strike Execution List.</w:t>
      </w:r>
    </w:p>
    <w:p w14:paraId="61AEB448" w14:textId="6E656FF2" w:rsidR="00C81241" w:rsidRPr="000665B0" w:rsidRDefault="00C81241" w:rsidP="006D5A65">
      <w:pPr>
        <w:pStyle w:val="Heading1"/>
      </w:pPr>
      <w:r w:rsidRPr="000665B0">
        <w:t xml:space="preserve">From the </w:t>
      </w:r>
      <w:r w:rsidRPr="000665B0">
        <w:rPr>
          <w:bCs/>
        </w:rPr>
        <w:t>File</w:t>
      </w:r>
      <w:r w:rsidRPr="000665B0">
        <w:t xml:space="preserve"> menu select </w:t>
      </w:r>
      <w:r w:rsidRPr="000665B0">
        <w:rPr>
          <w:bCs/>
        </w:rPr>
        <w:t xml:space="preserve">Save As </w:t>
      </w:r>
      <w:r w:rsidRPr="000665B0">
        <w:rPr>
          <w:rFonts w:ascii="Wingdings" w:hAnsi="Wingdings"/>
          <w:bCs/>
        </w:rPr>
        <w:t></w:t>
      </w:r>
      <w:r w:rsidRPr="000665B0">
        <w:rPr>
          <w:bCs/>
        </w:rPr>
        <w:t xml:space="preserve"> CTN </w:t>
      </w:r>
      <w:r w:rsidR="00FC4324" w:rsidRPr="000665B0">
        <w:t xml:space="preserve">or invoke the context menu </w:t>
      </w:r>
      <w:r w:rsidRPr="000665B0">
        <w:t xml:space="preserve">(by </w:t>
      </w:r>
      <w:r w:rsidR="00D71804" w:rsidRPr="000665B0">
        <w:t>right-click</w:t>
      </w:r>
      <w:r w:rsidRPr="000665B0">
        <w:t>ing the mouse).</w:t>
      </w:r>
    </w:p>
    <w:p w14:paraId="06472AD7" w14:textId="7551B59E" w:rsidR="00C81241" w:rsidRPr="000665B0" w:rsidRDefault="00E413CE" w:rsidP="00C81241">
      <w:pPr>
        <w:jc w:val="center"/>
      </w:pPr>
      <w:r w:rsidRPr="000665B0">
        <w:rPr>
          <w:noProof/>
        </w:rPr>
        <w:drawing>
          <wp:inline distT="0" distB="0" distL="0" distR="0" wp14:anchorId="654C78C0" wp14:editId="68168927">
            <wp:extent cx="4114800" cy="1764792"/>
            <wp:effectExtent l="0" t="0" r="0" b="6985"/>
            <wp:docPr id="1145" name="Picture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1764792"/>
                    </a:xfrm>
                    <a:prstGeom prst="rect">
                      <a:avLst/>
                    </a:prstGeom>
                  </pic:spPr>
                </pic:pic>
              </a:graphicData>
            </a:graphic>
          </wp:inline>
        </w:drawing>
      </w:r>
    </w:p>
    <w:p w14:paraId="7343372B" w14:textId="77777777" w:rsidR="00C81241" w:rsidRPr="000665B0" w:rsidRDefault="00C81241" w:rsidP="006D5A65">
      <w:pPr>
        <w:pStyle w:val="Heading1"/>
      </w:pPr>
      <w:r w:rsidRPr="000665B0">
        <w:t xml:space="preserve">A </w:t>
      </w:r>
      <w:r w:rsidRPr="000665B0">
        <w:rPr>
          <w:i/>
        </w:rPr>
        <w:t xml:space="preserve">Browse </w:t>
      </w:r>
      <w:r w:rsidR="00283689" w:rsidRPr="000665B0">
        <w:rPr>
          <w:i/>
        </w:rPr>
        <w:t>For</w:t>
      </w:r>
      <w:r w:rsidRPr="000665B0">
        <w:rPr>
          <w:i/>
        </w:rPr>
        <w:t xml:space="preserve"> Folde</w:t>
      </w:r>
      <w:r w:rsidR="007E46B2" w:rsidRPr="000665B0">
        <w:rPr>
          <w:i/>
        </w:rPr>
        <w:t>r</w:t>
      </w:r>
      <w:r w:rsidRPr="000665B0">
        <w:t xml:space="preserve"> </w:t>
      </w:r>
      <w:r w:rsidR="00283689" w:rsidRPr="000665B0">
        <w:t xml:space="preserve">window </w:t>
      </w:r>
      <w:r w:rsidR="00C4048D" w:rsidRPr="000665B0">
        <w:t>is</w:t>
      </w:r>
      <w:r w:rsidR="00283689" w:rsidRPr="000665B0">
        <w:t xml:space="preserve"> displayed </w:t>
      </w:r>
      <w:r w:rsidRPr="000665B0">
        <w:t>prompt</w:t>
      </w:r>
      <w:r w:rsidR="00283689" w:rsidRPr="000665B0">
        <w:t>ing the user</w:t>
      </w:r>
      <w:r w:rsidRPr="000665B0">
        <w:t xml:space="preserve"> to select the directory to store the generated CTN files.</w:t>
      </w:r>
    </w:p>
    <w:p w14:paraId="74A86E3F" w14:textId="5AB15AD2" w:rsidR="00C81241" w:rsidRPr="000665B0" w:rsidRDefault="00E413CE" w:rsidP="00C81241">
      <w:pPr>
        <w:jc w:val="center"/>
      </w:pPr>
      <w:r w:rsidRPr="000665B0">
        <w:rPr>
          <w:noProof/>
        </w:rPr>
        <w:drawing>
          <wp:inline distT="0" distB="0" distL="0" distR="0" wp14:anchorId="345BEF00" wp14:editId="43988744">
            <wp:extent cx="2286000" cy="1517904"/>
            <wp:effectExtent l="0" t="0" r="0" b="6350"/>
            <wp:docPr id="1146" name="Picture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286000" cy="1517904"/>
                    </a:xfrm>
                    <a:prstGeom prst="rect">
                      <a:avLst/>
                    </a:prstGeom>
                  </pic:spPr>
                </pic:pic>
              </a:graphicData>
            </a:graphic>
          </wp:inline>
        </w:drawing>
      </w:r>
    </w:p>
    <w:p w14:paraId="7C9A4A03" w14:textId="0B5735F9" w:rsidR="00C81241" w:rsidRPr="000665B0" w:rsidRDefault="00C81241" w:rsidP="006D5A65">
      <w:pPr>
        <w:pStyle w:val="Heading1"/>
      </w:pPr>
      <w:r w:rsidRPr="000665B0">
        <w:lastRenderedPageBreak/>
        <w:t xml:space="preserve">Select a directory and click the </w:t>
      </w:r>
      <w:r w:rsidRPr="000665B0">
        <w:rPr>
          <w:bCs/>
        </w:rPr>
        <w:t>OK</w:t>
      </w:r>
      <w:r w:rsidRPr="000665B0">
        <w:t xml:space="preserve"> button. The CTN files will be </w:t>
      </w:r>
      <w:r w:rsidR="00401661" w:rsidRPr="000665B0">
        <w:t>generated,</w:t>
      </w:r>
      <w:r w:rsidRPr="000665B0">
        <w:t xml:space="preserve"> and the operator will be notified when/where the files are stored.</w:t>
      </w:r>
    </w:p>
    <w:p w14:paraId="46166148" w14:textId="754E1684" w:rsidR="00C81241" w:rsidRPr="000665B0" w:rsidRDefault="00DC565A" w:rsidP="00C81241">
      <w:pPr>
        <w:jc w:val="center"/>
      </w:pPr>
      <w:r w:rsidRPr="000665B0">
        <w:rPr>
          <w:noProof/>
        </w:rPr>
        <w:drawing>
          <wp:inline distT="0" distB="0" distL="0" distR="0" wp14:anchorId="0D465468" wp14:editId="469439B8">
            <wp:extent cx="2286000" cy="1133856"/>
            <wp:effectExtent l="0" t="0" r="0" b="9525"/>
            <wp:docPr id="2155" name="Picture 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133856"/>
                    </a:xfrm>
                    <a:prstGeom prst="rect">
                      <a:avLst/>
                    </a:prstGeom>
                  </pic:spPr>
                </pic:pic>
              </a:graphicData>
            </a:graphic>
          </wp:inline>
        </w:drawing>
      </w:r>
    </w:p>
    <w:p w14:paraId="639EDB4D" w14:textId="0798CC0C" w:rsidR="00AD0320" w:rsidRPr="000665B0" w:rsidRDefault="00AD0320" w:rsidP="00B35EE5">
      <w:pPr>
        <w:pStyle w:val="Heading3"/>
      </w:pPr>
      <w:bookmarkStart w:id="6720" w:name="_5.38.5.1__Retarget"/>
      <w:bookmarkStart w:id="6721" w:name="_5.38.6__Strike"/>
      <w:bookmarkStart w:id="6722" w:name="_5.38.5__Strike"/>
      <w:bookmarkStart w:id="6723" w:name="_Toc289328931"/>
      <w:bookmarkStart w:id="6724" w:name="_Toc312332086"/>
      <w:bookmarkStart w:id="6725" w:name="_Toc214283578"/>
      <w:bookmarkEnd w:id="6719"/>
      <w:bookmarkEnd w:id="6720"/>
      <w:bookmarkEnd w:id="6721"/>
      <w:bookmarkEnd w:id="6722"/>
      <w:r w:rsidRPr="000665B0">
        <w:t>Strike Execution Folder Textual</w:t>
      </w:r>
      <w:bookmarkEnd w:id="6723"/>
      <w:bookmarkEnd w:id="6724"/>
      <w:bookmarkEnd w:id="6725"/>
    </w:p>
    <w:p w14:paraId="604FF223" w14:textId="77777777" w:rsidR="00B57263" w:rsidRPr="000665B0" w:rsidRDefault="00B57263" w:rsidP="00B57263">
      <w:r w:rsidRPr="000665B0">
        <w:t xml:space="preserve">The Strike Execution Folder is a tool to manage the Strikes that are to be rehearsed or executed. The Strike Execution Folder is composed of </w:t>
      </w:r>
      <w:r w:rsidR="00604DCE" w:rsidRPr="000665B0">
        <w:t>the</w:t>
      </w:r>
      <w:r w:rsidRPr="000665B0">
        <w:t xml:space="preserve"> </w:t>
      </w:r>
      <w:r w:rsidRPr="000665B0">
        <w:rPr>
          <w:b/>
        </w:rPr>
        <w:t>Strike Options/Packages</w:t>
      </w:r>
      <w:r w:rsidRPr="000665B0">
        <w:t xml:space="preserve"> list view</w:t>
      </w:r>
      <w:r w:rsidR="00604DCE" w:rsidRPr="000665B0">
        <w:t xml:space="preserve"> pane </w:t>
      </w:r>
      <w:r w:rsidRPr="000665B0">
        <w:t xml:space="preserve">and </w:t>
      </w:r>
      <w:r w:rsidR="00604DCE" w:rsidRPr="000665B0">
        <w:t xml:space="preserve">the </w:t>
      </w:r>
      <w:r w:rsidRPr="000665B0">
        <w:rPr>
          <w:b/>
        </w:rPr>
        <w:t>Attachments</w:t>
      </w:r>
      <w:r w:rsidRPr="000665B0">
        <w:t xml:space="preserve"> list view</w:t>
      </w:r>
      <w:r w:rsidR="00604DCE" w:rsidRPr="000665B0">
        <w:t xml:space="preserve"> pane</w:t>
      </w:r>
      <w:r w:rsidRPr="000665B0">
        <w:t xml:space="preserve">. The Strike Options/Packages list view provides a summary view of the Strikes in the Strike Execution. The view includes the current Strike Options/Package states, like the Execution State and the Revision number. It also provides some other functionality like generating Strike related reports and creating Strike Option Libraries. The Attachments list view provides a way to attach any associated Strike files, Sent messages, </w:t>
      </w:r>
      <w:r w:rsidR="00C91FC8" w:rsidRPr="000665B0">
        <w:t xml:space="preserve">and </w:t>
      </w:r>
      <w:r w:rsidRPr="000665B0">
        <w:t>Received messages.</w:t>
      </w:r>
    </w:p>
    <w:p w14:paraId="76090865" w14:textId="77777777" w:rsidR="00B57263" w:rsidRPr="000665B0" w:rsidRDefault="00B57263" w:rsidP="00B57263">
      <w:r w:rsidRPr="000665B0">
        <w:t>Strike Option list view:</w:t>
      </w:r>
    </w:p>
    <w:p w14:paraId="5394092B" w14:textId="77777777" w:rsidR="00B57263" w:rsidRPr="000665B0" w:rsidRDefault="00B57263" w:rsidP="006D5A65">
      <w:pPr>
        <w:pStyle w:val="Heading1"/>
      </w:pPr>
      <w:r w:rsidRPr="000665B0">
        <w:t>Option ID – The identifier of the Strike Option/Package.</w:t>
      </w:r>
    </w:p>
    <w:p w14:paraId="7130A7D6" w14:textId="77777777" w:rsidR="00B57263" w:rsidRPr="000665B0" w:rsidRDefault="00B57263" w:rsidP="006D5A65">
      <w:pPr>
        <w:pStyle w:val="Heading1"/>
      </w:pPr>
      <w:r w:rsidRPr="000665B0">
        <w:t>Title</w:t>
      </w:r>
      <w:r w:rsidR="00184DF1" w:rsidRPr="000665B0">
        <w:t xml:space="preserve"> – </w:t>
      </w:r>
      <w:r w:rsidRPr="000665B0">
        <w:t>The title description of the Strike Option/Package.</w:t>
      </w:r>
    </w:p>
    <w:p w14:paraId="72A3A830" w14:textId="77777777" w:rsidR="00B57263" w:rsidRPr="000665B0" w:rsidRDefault="00B57263" w:rsidP="006D5A65">
      <w:pPr>
        <w:pStyle w:val="Heading1"/>
      </w:pPr>
      <w:r w:rsidRPr="000665B0">
        <w:t>Use State – Current use state of the Strike Option/Package.</w:t>
      </w:r>
    </w:p>
    <w:p w14:paraId="0B782590" w14:textId="77777777" w:rsidR="00B57263" w:rsidRPr="000665B0" w:rsidRDefault="00B57263" w:rsidP="006D5A65">
      <w:pPr>
        <w:pStyle w:val="Heading2"/>
      </w:pPr>
      <w:r w:rsidRPr="000665B0">
        <w:t>Launch Plan – Launch Plan state.</w:t>
      </w:r>
    </w:p>
    <w:p w14:paraId="1B45BCFD" w14:textId="77777777" w:rsidR="00B57263" w:rsidRPr="000665B0" w:rsidRDefault="00B57263" w:rsidP="006D5A65">
      <w:pPr>
        <w:pStyle w:val="Heading2"/>
      </w:pPr>
      <w:r w:rsidRPr="000665B0">
        <w:t>Holdfire – Hold fire the Strike.</w:t>
      </w:r>
    </w:p>
    <w:p w14:paraId="5D6FE7D0" w14:textId="77777777" w:rsidR="00B57263" w:rsidRPr="000665B0" w:rsidRDefault="00B57263" w:rsidP="006D5A65">
      <w:pPr>
        <w:pStyle w:val="Heading2"/>
      </w:pPr>
      <w:r w:rsidRPr="000665B0">
        <w:t>Execute – Execute the Strike.</w:t>
      </w:r>
    </w:p>
    <w:p w14:paraId="291CEF5B" w14:textId="77777777" w:rsidR="00B57263" w:rsidRPr="000665B0" w:rsidRDefault="00B57263" w:rsidP="006D5A65">
      <w:pPr>
        <w:pStyle w:val="Heading2"/>
      </w:pPr>
      <w:r w:rsidRPr="000665B0">
        <w:t>Cancel – Cancel the Strike.</w:t>
      </w:r>
    </w:p>
    <w:p w14:paraId="561732E6" w14:textId="77777777" w:rsidR="00B57263" w:rsidRPr="000665B0" w:rsidRDefault="00B57263" w:rsidP="006D5A65">
      <w:pPr>
        <w:pStyle w:val="Heading2"/>
      </w:pPr>
      <w:r w:rsidRPr="000665B0">
        <w:t>Null – Initial state of Option. Not a TTWCS acceptable use state for Strike Package.</w:t>
      </w:r>
    </w:p>
    <w:p w14:paraId="53088E46" w14:textId="77777777" w:rsidR="00B57263" w:rsidRPr="000665B0" w:rsidRDefault="00B57263" w:rsidP="006D5A65">
      <w:pPr>
        <w:pStyle w:val="Heading1"/>
      </w:pPr>
      <w:r w:rsidRPr="000665B0">
        <w:t xml:space="preserve">Execute State – Execute state of </w:t>
      </w:r>
      <w:r w:rsidR="00C14016" w:rsidRPr="000665B0">
        <w:t>Option</w:t>
      </w:r>
      <w:r w:rsidRPr="000665B0">
        <w:t>.</w:t>
      </w:r>
    </w:p>
    <w:p w14:paraId="0A4702C7" w14:textId="77777777" w:rsidR="00B57263" w:rsidRPr="000665B0" w:rsidRDefault="00B57263" w:rsidP="006D5A65">
      <w:pPr>
        <w:pStyle w:val="Heading2"/>
      </w:pPr>
      <w:r w:rsidRPr="000665B0">
        <w:t>Available – Option is available for execution.</w:t>
      </w:r>
    </w:p>
    <w:p w14:paraId="61423C9F" w14:textId="77777777" w:rsidR="00B57263" w:rsidRPr="000665B0" w:rsidRDefault="00B57263" w:rsidP="006D5A65">
      <w:pPr>
        <w:pStyle w:val="Heading2"/>
      </w:pPr>
      <w:r w:rsidRPr="000665B0">
        <w:t xml:space="preserve">Active – Option </w:t>
      </w:r>
      <w:r w:rsidR="00604DCE" w:rsidRPr="000665B0">
        <w:t>has been executed at least once</w:t>
      </w:r>
      <w:r w:rsidRPr="000665B0">
        <w:t>.</w:t>
      </w:r>
    </w:p>
    <w:p w14:paraId="451C7FAC" w14:textId="77777777" w:rsidR="00B57263" w:rsidRPr="000665B0" w:rsidRDefault="00B57263" w:rsidP="006D5A65">
      <w:pPr>
        <w:pStyle w:val="Heading2"/>
      </w:pPr>
      <w:r w:rsidRPr="000665B0">
        <w:t>Complete – Option has completed execution.</w:t>
      </w:r>
    </w:p>
    <w:p w14:paraId="715AB024" w14:textId="77777777" w:rsidR="00B57263" w:rsidRPr="000665B0" w:rsidRDefault="00B57263" w:rsidP="006D5A65">
      <w:pPr>
        <w:pStyle w:val="Heading1"/>
      </w:pPr>
      <w:r w:rsidRPr="000665B0">
        <w:lastRenderedPageBreak/>
        <w:t>Type – Type of Option.</w:t>
      </w:r>
    </w:p>
    <w:p w14:paraId="3F2439EF" w14:textId="77777777" w:rsidR="00B57263" w:rsidRPr="000665B0" w:rsidRDefault="00B57263" w:rsidP="006D5A65">
      <w:pPr>
        <w:pStyle w:val="Heading2"/>
      </w:pPr>
      <w:r w:rsidRPr="000665B0">
        <w:t>Package – The Strike is a Package type. The missile sequence numbers are unique to the originating Node. Distributable to TTWCS.</w:t>
      </w:r>
    </w:p>
    <w:p w14:paraId="6BCF4C2E" w14:textId="2BBE556B" w:rsidR="00B57263" w:rsidRPr="000665B0" w:rsidRDefault="00B57263" w:rsidP="006D5A65">
      <w:pPr>
        <w:pStyle w:val="Heading2"/>
      </w:pPr>
      <w:r w:rsidRPr="000665B0">
        <w:t xml:space="preserve">Option – The Strike is an Option type. The missile sequence numbers may not be </w:t>
      </w:r>
      <w:r w:rsidR="0040164B" w:rsidRPr="000665B0">
        <w:t>unique,</w:t>
      </w:r>
      <w:r w:rsidRPr="000665B0">
        <w:t xml:space="preserve"> and this Strike is not distributable to TTWCS.</w:t>
      </w:r>
    </w:p>
    <w:p w14:paraId="0AAA700F" w14:textId="77777777" w:rsidR="00B57263" w:rsidRPr="000665B0" w:rsidRDefault="00B57263" w:rsidP="006D5A65">
      <w:pPr>
        <w:pStyle w:val="Heading2"/>
      </w:pPr>
      <w:r w:rsidRPr="000665B0">
        <w:t>Rehearse – The Strike is a rehearsal copy.</w:t>
      </w:r>
    </w:p>
    <w:p w14:paraId="47999FED" w14:textId="2DA9500F" w:rsidR="00B57263" w:rsidRPr="000665B0" w:rsidRDefault="00B57263" w:rsidP="006D5A65">
      <w:pPr>
        <w:pStyle w:val="Heading1"/>
      </w:pPr>
      <w:r w:rsidRPr="000665B0">
        <w:t>Rev – Current Strike Package revision. Revision only applies to Strike Packages and Strike Packages that have been distributed. Only changes to FRU’s tasking will affect the Strike Package Revision.</w:t>
      </w:r>
    </w:p>
    <w:p w14:paraId="6B9934F1" w14:textId="2703A9C6" w:rsidR="00604DCE" w:rsidRPr="000665B0" w:rsidRDefault="00604DCE" w:rsidP="006D5A65">
      <w:pPr>
        <w:pStyle w:val="Heading1"/>
      </w:pPr>
      <w:r w:rsidRPr="000665B0">
        <w:t xml:space="preserve">M Rev – Current Strike Package minor revision. It is a revision number indicating how many times the strike package has been modified prior to distribution to the </w:t>
      </w:r>
      <w:r w:rsidR="00130C8E" w:rsidRPr="000665B0">
        <w:t>Task O</w:t>
      </w:r>
      <w:r w:rsidRPr="000665B0">
        <w:t>rganization. Once the strike package has been distributed the minor revision reverts back to zero again.</w:t>
      </w:r>
    </w:p>
    <w:p w14:paraId="6F90E654" w14:textId="77777777" w:rsidR="00B57263" w:rsidRPr="000665B0" w:rsidRDefault="00B57263" w:rsidP="006D5A65">
      <w:pPr>
        <w:pStyle w:val="Heading1"/>
      </w:pPr>
      <w:r w:rsidRPr="000665B0">
        <w:t>Last Mod DTG – The DTG of the last modification to the Strike Option/Package.</w:t>
      </w:r>
    </w:p>
    <w:p w14:paraId="24E10A32" w14:textId="77777777" w:rsidR="00B57263" w:rsidRPr="000665B0" w:rsidRDefault="00B57263" w:rsidP="006D5A65">
      <w:pPr>
        <w:pStyle w:val="Heading1"/>
      </w:pPr>
      <w:r w:rsidRPr="000665B0">
        <w:t>Last Mod By – The user name of the last person who modified the Strike Option/Package.</w:t>
      </w:r>
    </w:p>
    <w:p w14:paraId="6850E65F" w14:textId="77777777" w:rsidR="00B57263" w:rsidRPr="000665B0" w:rsidRDefault="00B57263" w:rsidP="006D5A65">
      <w:pPr>
        <w:pStyle w:val="Heading1"/>
      </w:pPr>
      <w:r w:rsidRPr="000665B0">
        <w:t>Owner – Owner node of this option.</w:t>
      </w:r>
    </w:p>
    <w:p w14:paraId="02A2ABEC" w14:textId="36DF7257" w:rsidR="00137DB0" w:rsidRPr="000665B0" w:rsidRDefault="00F302D1" w:rsidP="006D5A65">
      <w:pPr>
        <w:pStyle w:val="Heading1"/>
      </w:pPr>
      <w:r w:rsidRPr="000665B0">
        <w:t>CLASS LVL</w:t>
      </w:r>
      <w:r w:rsidR="00137DB0" w:rsidRPr="000665B0">
        <w:t xml:space="preserve"> – The classification level of </w:t>
      </w:r>
      <w:r w:rsidRPr="000665B0">
        <w:t xml:space="preserve">the </w:t>
      </w:r>
      <w:r w:rsidR="00137DB0" w:rsidRPr="000665B0">
        <w:t>Strike Option/Package.</w:t>
      </w:r>
    </w:p>
    <w:p w14:paraId="35AA354E" w14:textId="63481CDB" w:rsidR="00B57263" w:rsidRPr="000665B0" w:rsidRDefault="00B57263" w:rsidP="006D5A65">
      <w:pPr>
        <w:pStyle w:val="Heading1"/>
      </w:pPr>
      <w:r w:rsidRPr="000665B0">
        <w:t xml:space="preserve">Ad Hoc </w:t>
      </w:r>
      <w:r w:rsidR="00F302D1" w:rsidRPr="000665B0">
        <w:t xml:space="preserve">Template </w:t>
      </w:r>
      <w:r w:rsidRPr="000665B0">
        <w:t xml:space="preserve">– </w:t>
      </w:r>
      <w:r w:rsidR="00C91FC8" w:rsidRPr="000665B0">
        <w:t xml:space="preserve">Indicates </w:t>
      </w:r>
      <w:r w:rsidRPr="000665B0">
        <w:t>which option is the ad hoc one</w:t>
      </w:r>
      <w:r w:rsidR="00137DB0" w:rsidRPr="000665B0">
        <w:t>, being used for copying its information such as crypto, TSN comms, and arsenal to the new</w:t>
      </w:r>
      <w:r w:rsidR="00735D3E" w:rsidRPr="000665B0">
        <w:t xml:space="preserve"> option</w:t>
      </w:r>
      <w:r w:rsidR="00C91FC8" w:rsidRPr="000665B0">
        <w:t>.</w:t>
      </w:r>
    </w:p>
    <w:p w14:paraId="748BF24E" w14:textId="77777777" w:rsidR="00F302D1" w:rsidRPr="000665B0" w:rsidRDefault="00F302D1" w:rsidP="006D5A65">
      <w:pPr>
        <w:pStyle w:val="Heading1"/>
      </w:pPr>
      <w:r w:rsidRPr="000665B0">
        <w:t>Execution Time – Indicates the Strike Execution Time of the Strike Option, which represents the earliest time at which the Strike can begin.</w:t>
      </w:r>
    </w:p>
    <w:p w14:paraId="37DB978B" w14:textId="77777777" w:rsidR="00F302D1" w:rsidRPr="000665B0" w:rsidRDefault="00F302D1" w:rsidP="006D5A65">
      <w:pPr>
        <w:pStyle w:val="Heading1"/>
      </w:pPr>
      <w:r w:rsidRPr="000665B0">
        <w:t>Earliest Launch – Time of launch for missile(s) in the strike with the earliest launch.</w:t>
      </w:r>
    </w:p>
    <w:p w14:paraId="7E51770D" w14:textId="77777777" w:rsidR="00F302D1" w:rsidRPr="000665B0" w:rsidRDefault="00F302D1" w:rsidP="006D5A65">
      <w:pPr>
        <w:pStyle w:val="Heading1"/>
      </w:pPr>
      <w:r w:rsidRPr="000665B0">
        <w:t>Latest Target – Time on target for missile(s) in the strike that have the last impact.</w:t>
      </w:r>
    </w:p>
    <w:p w14:paraId="1E99AC8B" w14:textId="09FA6A96" w:rsidR="003F09DA" w:rsidRPr="000665B0" w:rsidRDefault="00F302D1" w:rsidP="006D5A65">
      <w:pPr>
        <w:pStyle w:val="Heading1"/>
      </w:pPr>
      <w:r w:rsidRPr="000665B0">
        <w:t>ACA Pending – An X indicates that the</w:t>
      </w:r>
      <w:r w:rsidR="00DD7617" w:rsidRPr="000665B0">
        <w:t>re are changes related to the ACA reservations that have occurred since the last transmitted ACA Filter Message to the NSP. The X does not necessarily mean that a new Filter Message needs to be sent (i.e., not sending an updated Filter Message will not affect the strike)</w:t>
      </w:r>
      <w:r w:rsidRPr="000665B0">
        <w:t xml:space="preserve">. </w:t>
      </w:r>
      <w:r w:rsidR="00151225" w:rsidRPr="000665B0">
        <w:t xml:space="preserve">See </w:t>
      </w:r>
      <w:hyperlink w:anchor="_ACA__Pending" w:history="1">
        <w:r w:rsidR="00A54F60" w:rsidRPr="000665B0">
          <w:rPr>
            <w:rStyle w:val="Hyperlink"/>
          </w:rPr>
          <w:t xml:space="preserve">Section </w:t>
        </w:r>
        <w:r w:rsidR="004231CC">
          <w:rPr>
            <w:rStyle w:val="Hyperlink"/>
          </w:rPr>
          <w:t>5.35</w:t>
        </w:r>
        <w:r w:rsidR="00A54F60" w:rsidRPr="000665B0">
          <w:rPr>
            <w:rStyle w:val="Hyperlink"/>
          </w:rPr>
          <w:t>.3.1.7</w:t>
        </w:r>
        <w:r w:rsidR="00151225" w:rsidRPr="000665B0">
          <w:rPr>
            <w:rStyle w:val="Hyperlink"/>
          </w:rPr>
          <w:t>.2.3</w:t>
        </w:r>
      </w:hyperlink>
      <w:r w:rsidR="00151225" w:rsidRPr="000665B0">
        <w:t xml:space="preserve"> for more information.</w:t>
      </w:r>
    </w:p>
    <w:p w14:paraId="14AF1EC4" w14:textId="3B2AC0C6" w:rsidR="003F09DA" w:rsidRPr="000665B0" w:rsidRDefault="003F09DA" w:rsidP="006D5A65">
      <w:pPr>
        <w:pStyle w:val="Heading2"/>
      </w:pPr>
      <w:r w:rsidRPr="000665B0">
        <w:t xml:space="preserve">OWRs being received by the SMD could potentially cause </w:t>
      </w:r>
      <w:r w:rsidR="00151225" w:rsidRPr="000665B0">
        <w:t xml:space="preserve">ACA </w:t>
      </w:r>
      <w:r w:rsidRPr="000665B0">
        <w:t xml:space="preserve">missiles to shift outside of the strike window. In </w:t>
      </w:r>
      <w:r w:rsidRPr="000665B0">
        <w:lastRenderedPageBreak/>
        <w:t>this case, an ACA Pending flag is set (an X appears in the column) even though the operator has not modified the option.</w:t>
      </w:r>
    </w:p>
    <w:p w14:paraId="404AF23A" w14:textId="77777777" w:rsidR="00F302D1" w:rsidRPr="000665B0" w:rsidRDefault="00F302D1" w:rsidP="006D5A65">
      <w:pPr>
        <w:pStyle w:val="Heading1"/>
      </w:pPr>
      <w:r w:rsidRPr="000665B0">
        <w:t>Class – Tactical or Training.</w:t>
      </w:r>
    </w:p>
    <w:p w14:paraId="163B688D" w14:textId="77777777" w:rsidR="00F302D1" w:rsidRPr="000665B0" w:rsidRDefault="00F302D1" w:rsidP="006D5A65">
      <w:pPr>
        <w:pStyle w:val="Heading1"/>
      </w:pPr>
      <w:r w:rsidRPr="000665B0">
        <w:t>LMO Tasking Start – Earliest time for which LMO or ghost assignments can have as launch time.</w:t>
      </w:r>
    </w:p>
    <w:p w14:paraId="4287F342" w14:textId="002695A9" w:rsidR="00F302D1" w:rsidRPr="000665B0" w:rsidRDefault="00F302D1" w:rsidP="006D5A65">
      <w:pPr>
        <w:pStyle w:val="Heading1"/>
      </w:pPr>
      <w:r w:rsidRPr="000665B0">
        <w:t>LMO Tasking End – Latest time for which LMO or ghost assignments can have as time on target.</w:t>
      </w:r>
    </w:p>
    <w:p w14:paraId="5DCBD07F" w14:textId="77777777" w:rsidR="002A25BF" w:rsidRPr="000665B0" w:rsidRDefault="002A25BF" w:rsidP="002A25BF">
      <w:r w:rsidRPr="000665B0">
        <w:t xml:space="preserve">To </w:t>
      </w:r>
      <w:r w:rsidR="007D30B5" w:rsidRPr="000665B0">
        <w:t xml:space="preserve">view or </w:t>
      </w:r>
      <w:r w:rsidRPr="000665B0">
        <w:t xml:space="preserve">edit </w:t>
      </w:r>
      <w:r w:rsidR="007D30B5" w:rsidRPr="000665B0">
        <w:t xml:space="preserve">a </w:t>
      </w:r>
      <w:r w:rsidRPr="000665B0">
        <w:t xml:space="preserve">Strike Execution </w:t>
      </w:r>
      <w:r w:rsidR="007D30B5" w:rsidRPr="000665B0">
        <w:t>Folder</w:t>
      </w:r>
      <w:r w:rsidRPr="000665B0">
        <w:t>:</w:t>
      </w:r>
    </w:p>
    <w:p w14:paraId="6F0A7CD6" w14:textId="77777777" w:rsidR="002A25BF" w:rsidRPr="000665B0" w:rsidRDefault="002A25BF" w:rsidP="006D5A65">
      <w:pPr>
        <w:pStyle w:val="Heading1"/>
      </w:pPr>
      <w:r w:rsidRPr="000665B0">
        <w:t xml:space="preserve">Navigate to the </w:t>
      </w:r>
      <w:r w:rsidR="007F7A55" w:rsidRPr="000665B0">
        <w:rPr>
          <w:bCs/>
        </w:rPr>
        <w:t>Strike Execution</w:t>
      </w:r>
      <w:r w:rsidRPr="000665B0">
        <w:rPr>
          <w:bCs/>
        </w:rPr>
        <w:t xml:space="preserve"> </w:t>
      </w:r>
      <w:r w:rsidRPr="000665B0">
        <w:t>Tool and select the desired Strike Execution package(s) from the Strike Execution List.</w:t>
      </w:r>
    </w:p>
    <w:p w14:paraId="006422BE" w14:textId="2AB50D88" w:rsidR="00CE1699" w:rsidRPr="000665B0" w:rsidRDefault="00CE1699" w:rsidP="006D5A65">
      <w:pPr>
        <w:pStyle w:val="Heading1"/>
      </w:pPr>
      <w:r w:rsidRPr="000665B0">
        <w:t xml:space="preserve">From the </w:t>
      </w:r>
      <w:r w:rsidRPr="000665B0">
        <w:rPr>
          <w:bCs/>
        </w:rPr>
        <w:t>File</w:t>
      </w:r>
      <w:r w:rsidRPr="000665B0">
        <w:t xml:space="preserve"> main menu </w:t>
      </w:r>
      <w:r w:rsidR="00FC4324" w:rsidRPr="000665B0">
        <w:t xml:space="preserve">or invoke the context menu </w:t>
      </w:r>
      <w:r w:rsidRPr="000665B0">
        <w:t xml:space="preserve">(by </w:t>
      </w:r>
      <w:r w:rsidR="00D71804" w:rsidRPr="000665B0">
        <w:t>right-click</w:t>
      </w:r>
      <w:r w:rsidRPr="000665B0">
        <w:t xml:space="preserve">ing the mouse), select </w:t>
      </w:r>
      <w:r w:rsidRPr="000665B0">
        <w:rPr>
          <w:bCs/>
        </w:rPr>
        <w:t xml:space="preserve">Display </w:t>
      </w:r>
      <w:r w:rsidR="00A05D58" w:rsidRPr="000665B0">
        <w:sym w:font="Wingdings" w:char="F0E0"/>
      </w:r>
      <w:r w:rsidRPr="000665B0">
        <w:rPr>
          <w:bCs/>
        </w:rPr>
        <w:t xml:space="preserve"> Textually</w:t>
      </w:r>
      <w:r w:rsidRPr="000665B0">
        <w:t xml:space="preserve">. Another option is to double-click on the desired Strike Execution list view item. The </w:t>
      </w:r>
      <w:r w:rsidRPr="000665B0">
        <w:rPr>
          <w:i/>
        </w:rPr>
        <w:t>Strike Execution Folder</w:t>
      </w:r>
      <w:r w:rsidRPr="000665B0">
        <w:t xml:space="preserve"> window for the selected Strike Execution Package will be displayed.</w:t>
      </w:r>
    </w:p>
    <w:p w14:paraId="1C959663" w14:textId="60F5FDD5" w:rsidR="002A25BF" w:rsidRPr="000665B0" w:rsidRDefault="00C23D89" w:rsidP="002A25BF">
      <w:pPr>
        <w:jc w:val="center"/>
      </w:pPr>
      <w:r w:rsidRPr="000665B0">
        <w:rPr>
          <w:noProof/>
        </w:rPr>
        <w:drawing>
          <wp:inline distT="0" distB="0" distL="0" distR="0" wp14:anchorId="438610CD" wp14:editId="75E9AEE7">
            <wp:extent cx="4816379" cy="1493520"/>
            <wp:effectExtent l="0" t="0" r="0" b="0"/>
            <wp:docPr id="114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844378" cy="1502202"/>
                    </a:xfrm>
                    <a:prstGeom prst="rect">
                      <a:avLst/>
                    </a:prstGeom>
                  </pic:spPr>
                </pic:pic>
              </a:graphicData>
            </a:graphic>
          </wp:inline>
        </w:drawing>
      </w:r>
      <w:r w:rsidR="00137DB0" w:rsidRPr="000665B0">
        <w:rPr>
          <w:noProof/>
        </w:rPr>
        <w:t xml:space="preserve"> </w:t>
      </w:r>
    </w:p>
    <w:p w14:paraId="31B712C2" w14:textId="77777777" w:rsidR="002A25BF" w:rsidRPr="000665B0" w:rsidRDefault="002A25BF" w:rsidP="002A25BF">
      <w:r w:rsidRPr="000665B0">
        <w:t>The following menu items are provided, in addition to the standard window menu items.</w:t>
      </w:r>
    </w:p>
    <w:p w14:paraId="651C4AEB" w14:textId="7BC00C2D" w:rsidR="00417D05" w:rsidRPr="000665B0" w:rsidRDefault="002A25BF" w:rsidP="00417D05">
      <w:r w:rsidRPr="000665B0">
        <w:rPr>
          <w:b/>
        </w:rPr>
        <w:t xml:space="preserve">Edit </w:t>
      </w:r>
      <w:r w:rsidR="00E01498" w:rsidRPr="000665B0">
        <w:sym w:font="Wingdings" w:char="F0E0"/>
      </w:r>
      <w:r w:rsidR="00B04359" w:rsidRPr="000665B0">
        <w:t xml:space="preserve"> </w:t>
      </w:r>
      <w:r w:rsidRPr="000665B0">
        <w:rPr>
          <w:b/>
        </w:rPr>
        <w:t xml:space="preserve">TSRT Setup… </w:t>
      </w:r>
      <w:r w:rsidRPr="000665B0">
        <w:t>–</w:t>
      </w:r>
      <w:r w:rsidR="00922412" w:rsidRPr="000665B0">
        <w:t xml:space="preserve"> </w:t>
      </w:r>
      <w:r w:rsidR="00C91FC8" w:rsidRPr="000665B0">
        <w:t>B</w:t>
      </w:r>
      <w:r w:rsidRPr="000665B0">
        <w:t xml:space="preserve">rings up the </w:t>
      </w:r>
      <w:r w:rsidR="00E01498" w:rsidRPr="000665B0">
        <w:rPr>
          <w:i/>
        </w:rPr>
        <w:t>Strike Simulation Setup</w:t>
      </w:r>
      <w:r w:rsidR="00E01498" w:rsidRPr="000665B0">
        <w:t xml:space="preserve"> window </w:t>
      </w:r>
      <w:r w:rsidRPr="000665B0">
        <w:t>that allows for setting up TSRT.</w:t>
      </w:r>
      <w:r w:rsidR="00E50B8E" w:rsidRPr="000665B0">
        <w:t xml:space="preserve"> For more information, see Appendix </w:t>
      </w:r>
      <w:r w:rsidR="003E57B7" w:rsidRPr="000665B0">
        <w:t>R</w:t>
      </w:r>
      <w:r w:rsidR="00E50B8E" w:rsidRPr="000665B0">
        <w:t xml:space="preserve">, </w:t>
      </w:r>
      <w:hyperlink w:anchor="_S-3__Configuring" w:history="1">
        <w:r w:rsidR="00E50B8E" w:rsidRPr="000665B0">
          <w:rPr>
            <w:rStyle w:val="Hyperlink"/>
          </w:rPr>
          <w:t xml:space="preserve">Section </w:t>
        </w:r>
        <w:r w:rsidR="003E57B7" w:rsidRPr="000665B0">
          <w:rPr>
            <w:rStyle w:val="Hyperlink"/>
          </w:rPr>
          <w:t>R</w:t>
        </w:r>
        <w:r w:rsidR="00D230CE" w:rsidRPr="000665B0">
          <w:rPr>
            <w:rStyle w:val="Hyperlink"/>
          </w:rPr>
          <w:t>.</w:t>
        </w:r>
        <w:r w:rsidR="00E50B8E" w:rsidRPr="000665B0">
          <w:rPr>
            <w:rStyle w:val="Hyperlink"/>
          </w:rPr>
          <w:t>3</w:t>
        </w:r>
      </w:hyperlink>
      <w:r w:rsidR="00E50B8E" w:rsidRPr="000665B0">
        <w:t>.</w:t>
      </w:r>
    </w:p>
    <w:p w14:paraId="4F072E41" w14:textId="77777777" w:rsidR="003766FA" w:rsidRPr="000665B0" w:rsidRDefault="00B7556C" w:rsidP="003766FA">
      <w:pPr>
        <w:ind w:left="720"/>
      </w:pPr>
      <w:r w:rsidRPr="000665B0">
        <w:t>U</w:t>
      </w:r>
      <w:r w:rsidR="00AC3012" w:rsidRPr="000665B0">
        <w:t xml:space="preserve">se the </w:t>
      </w:r>
      <w:r w:rsidR="003766FA" w:rsidRPr="000665B0">
        <w:rPr>
          <w:b/>
          <w:i/>
        </w:rPr>
        <w:t>Scenario Setup</w:t>
      </w:r>
      <w:r w:rsidR="003766FA" w:rsidRPr="000665B0">
        <w:t xml:space="preserve"> and </w:t>
      </w:r>
      <w:r w:rsidR="003766FA" w:rsidRPr="000665B0">
        <w:rPr>
          <w:b/>
          <w:i/>
        </w:rPr>
        <w:t>TSRT</w:t>
      </w:r>
      <w:r w:rsidR="003766FA" w:rsidRPr="000665B0">
        <w:t xml:space="preserve"> tabs</w:t>
      </w:r>
      <w:r w:rsidRPr="000665B0">
        <w:t xml:space="preserve"> along with </w:t>
      </w:r>
      <w:r w:rsidR="004D0906" w:rsidRPr="000665B0">
        <w:t>the following</w:t>
      </w:r>
      <w:r w:rsidRPr="000665B0">
        <w:t xml:space="preserve"> buttons</w:t>
      </w:r>
      <w:r w:rsidR="003766FA" w:rsidRPr="000665B0">
        <w:t xml:space="preserve"> </w:t>
      </w:r>
      <w:r w:rsidRPr="000665B0">
        <w:t>to configure TSRT</w:t>
      </w:r>
      <w:r w:rsidR="003766FA" w:rsidRPr="000665B0">
        <w:t>:</w:t>
      </w:r>
    </w:p>
    <w:p w14:paraId="285AB6F0" w14:textId="77777777" w:rsidR="009D1168" w:rsidRPr="000665B0" w:rsidRDefault="009D1168" w:rsidP="006D5A65">
      <w:pPr>
        <w:pStyle w:val="Heading1"/>
      </w:pPr>
      <w:r w:rsidRPr="000665B0">
        <w:t>OK – Incorporates the selected TSRT setup configuration selections for the current execution folder. Save the execution folder to save the configuration for the current folder.</w:t>
      </w:r>
    </w:p>
    <w:p w14:paraId="3B28CE2C" w14:textId="77777777" w:rsidR="009D1168" w:rsidRPr="000665B0" w:rsidRDefault="009D1168" w:rsidP="006D5A65">
      <w:pPr>
        <w:pStyle w:val="Heading1"/>
      </w:pPr>
      <w:r w:rsidRPr="000665B0">
        <w:t>Restore Defaults – Restores the default TSRT setup configuration.</w:t>
      </w:r>
    </w:p>
    <w:p w14:paraId="277A39ED" w14:textId="77777777" w:rsidR="009D1168" w:rsidRPr="000665B0" w:rsidRDefault="009D1168" w:rsidP="006D5A65">
      <w:pPr>
        <w:pStyle w:val="Heading1"/>
      </w:pPr>
      <w:r w:rsidRPr="000665B0">
        <w:t>Save Preferences – Saves the current TSRT setup configuration as a user-preference file in .xml format.</w:t>
      </w:r>
    </w:p>
    <w:p w14:paraId="0C6317B8" w14:textId="03CD7FA8" w:rsidR="003766FA" w:rsidRPr="000665B0" w:rsidRDefault="009D1168" w:rsidP="006D5A65">
      <w:pPr>
        <w:pStyle w:val="Heading1"/>
      </w:pPr>
      <w:r w:rsidRPr="000665B0">
        <w:t>Load Preferences – Invokes a window to select and load an existing TSRT setup configuration (user-preference file).</w:t>
      </w:r>
    </w:p>
    <w:p w14:paraId="5091A597" w14:textId="77777777" w:rsidR="002A25BF" w:rsidRPr="000665B0" w:rsidRDefault="002A25BF" w:rsidP="00A0163E">
      <w:pPr>
        <w:ind w:left="720"/>
        <w:rPr>
          <w:b/>
          <w:i/>
        </w:rPr>
      </w:pPr>
      <w:r w:rsidRPr="000665B0">
        <w:rPr>
          <w:b/>
          <w:i/>
        </w:rPr>
        <w:t xml:space="preserve">Scenario Setup </w:t>
      </w:r>
      <w:r w:rsidRPr="000665B0">
        <w:rPr>
          <w:b/>
        </w:rPr>
        <w:t>Tab</w:t>
      </w:r>
    </w:p>
    <w:p w14:paraId="7E8A7116" w14:textId="77777777" w:rsidR="00E01498" w:rsidRPr="000665B0" w:rsidRDefault="00E01498" w:rsidP="00E01498">
      <w:pPr>
        <w:jc w:val="center"/>
        <w:rPr>
          <w:b/>
          <w:i/>
        </w:rPr>
      </w:pPr>
      <w:r w:rsidRPr="000665B0">
        <w:rPr>
          <w:noProof/>
        </w:rPr>
        <w:lastRenderedPageBreak/>
        <w:drawing>
          <wp:inline distT="0" distB="0" distL="0" distR="0" wp14:anchorId="57B9A5F3" wp14:editId="657522E2">
            <wp:extent cx="2743200" cy="3172968"/>
            <wp:effectExtent l="0" t="0" r="0" b="889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3172968"/>
                    </a:xfrm>
                    <a:prstGeom prst="rect">
                      <a:avLst/>
                    </a:prstGeom>
                  </pic:spPr>
                </pic:pic>
              </a:graphicData>
            </a:graphic>
          </wp:inline>
        </w:drawing>
      </w:r>
    </w:p>
    <w:p w14:paraId="20215407" w14:textId="77777777" w:rsidR="00E01498" w:rsidRPr="000665B0" w:rsidRDefault="002A25BF" w:rsidP="006D5A65">
      <w:pPr>
        <w:pStyle w:val="Heading1"/>
      </w:pPr>
      <w:r w:rsidRPr="000665B0">
        <w:t xml:space="preserve">Scenario </w:t>
      </w:r>
      <w:r w:rsidR="00E01498" w:rsidRPr="000665B0">
        <w:t>Pane</w:t>
      </w:r>
    </w:p>
    <w:p w14:paraId="39A14DE9" w14:textId="77777777" w:rsidR="002A25BF" w:rsidRPr="000665B0" w:rsidRDefault="002A25BF" w:rsidP="006D5A65">
      <w:pPr>
        <w:pStyle w:val="Heading2"/>
      </w:pPr>
      <w:r w:rsidRPr="000665B0">
        <w:t xml:space="preserve">Choose to create a </w:t>
      </w:r>
      <w:r w:rsidR="00E01498" w:rsidRPr="000665B0">
        <w:t xml:space="preserve">New </w:t>
      </w:r>
      <w:r w:rsidRPr="000665B0">
        <w:t xml:space="preserve">scenario or choose an </w:t>
      </w:r>
      <w:r w:rsidR="00E01498" w:rsidRPr="000665B0">
        <w:t xml:space="preserve">Existing </w:t>
      </w:r>
      <w:r w:rsidRPr="000665B0">
        <w:t xml:space="preserve">scenario for this rehearsal. </w:t>
      </w:r>
      <w:r w:rsidR="00BF2B61" w:rsidRPr="000665B0">
        <w:t xml:space="preserve">It is recommended to set the TSRT location on the </w:t>
      </w:r>
      <w:r w:rsidR="00BF2B61" w:rsidRPr="000665B0">
        <w:rPr>
          <w:i/>
        </w:rPr>
        <w:t xml:space="preserve">TSRT </w:t>
      </w:r>
      <w:r w:rsidR="00E01498" w:rsidRPr="000665B0">
        <w:rPr>
          <w:i/>
        </w:rPr>
        <w:t>tab</w:t>
      </w:r>
      <w:r w:rsidR="00E01498" w:rsidRPr="000665B0">
        <w:t xml:space="preserve"> </w:t>
      </w:r>
      <w:r w:rsidR="00BF2B61" w:rsidRPr="000665B0">
        <w:t>before selecting an existing scenario, since existing scenarios are stored at the TSRT location.</w:t>
      </w:r>
    </w:p>
    <w:p w14:paraId="7C36B46A" w14:textId="77777777" w:rsidR="00E01498" w:rsidRPr="000665B0" w:rsidRDefault="00E01498" w:rsidP="006D5A65">
      <w:pPr>
        <w:pStyle w:val="Heading1"/>
      </w:pPr>
      <w:r w:rsidRPr="000665B0">
        <w:t>Strike Participants Pane</w:t>
      </w:r>
    </w:p>
    <w:p w14:paraId="59B43F5E" w14:textId="77777777" w:rsidR="002A25BF" w:rsidRPr="000665B0" w:rsidRDefault="002A25BF" w:rsidP="006D5A65">
      <w:pPr>
        <w:pStyle w:val="Heading2"/>
      </w:pPr>
      <w:r w:rsidRPr="000665B0">
        <w:t xml:space="preserve">FRU Participants – This section allows the user to specify the FRUs </w:t>
      </w:r>
      <w:r w:rsidR="00BF2B61" w:rsidRPr="000665B0">
        <w:t>as either Simulated or Live. TSRT simulates the weapon control system and missiles for Simulated FRUs. TSRT simulates only the missiles for FRUs designated as Live. It is expected that when a FRU is designated as Live, there is a live TTWCS for that FRU taking part in the rehearsal.</w:t>
      </w:r>
      <w:r w:rsidRPr="000665B0">
        <w:t xml:space="preserve"> </w:t>
      </w:r>
    </w:p>
    <w:p w14:paraId="72EFD289" w14:textId="77777777" w:rsidR="007D30B5" w:rsidRPr="000665B0" w:rsidRDefault="007D30B5" w:rsidP="006D5A65">
      <w:pPr>
        <w:pStyle w:val="Heading2"/>
      </w:pPr>
      <w:r w:rsidRPr="000665B0">
        <w:t>Simulate ACA Ground Segment – The Simulate ACA Ground Segment checkbox determines whether TSRT should simulate the ACA Ground Segment or not. If checked, TSRT responds with NSP Ack and Response messages upon receiving ACA Control (filter) messages. If unchecked, TSRT does not respond.</w:t>
      </w:r>
    </w:p>
    <w:p w14:paraId="756CC65B" w14:textId="77777777" w:rsidR="00E01498" w:rsidRPr="000665B0" w:rsidRDefault="002A25BF" w:rsidP="006D5A65">
      <w:pPr>
        <w:pStyle w:val="Heading1"/>
      </w:pPr>
      <w:r w:rsidRPr="000665B0">
        <w:t xml:space="preserve">Clock </w:t>
      </w:r>
      <w:r w:rsidR="00E01498" w:rsidRPr="000665B0">
        <w:t xml:space="preserve">Pane </w:t>
      </w:r>
    </w:p>
    <w:p w14:paraId="6902832C" w14:textId="77777777" w:rsidR="002A25BF" w:rsidRPr="000665B0" w:rsidRDefault="00137DB0" w:rsidP="006D5A65">
      <w:pPr>
        <w:pStyle w:val="Heading2"/>
      </w:pPr>
      <w:r w:rsidRPr="000665B0">
        <w:t xml:space="preserve">Select </w:t>
      </w:r>
      <w:r w:rsidR="00E01498" w:rsidRPr="000665B0">
        <w:t xml:space="preserve">Simulation Clock </w:t>
      </w:r>
      <w:r w:rsidRPr="000665B0">
        <w:t xml:space="preserve">to </w:t>
      </w:r>
      <w:r w:rsidR="00BF2B61" w:rsidRPr="000665B0">
        <w:t xml:space="preserve">have the ability to </w:t>
      </w:r>
      <w:r w:rsidRPr="000665B0">
        <w:t xml:space="preserve">speed up </w:t>
      </w:r>
      <w:r w:rsidR="00BF2B61" w:rsidRPr="000665B0">
        <w:t xml:space="preserve">and slow down </w:t>
      </w:r>
      <w:r w:rsidRPr="000665B0">
        <w:t xml:space="preserve">time when no Live FRUs are in the rehearsal. </w:t>
      </w:r>
      <w:r w:rsidR="00BF2B61" w:rsidRPr="000665B0">
        <w:t>The</w:t>
      </w:r>
      <w:r w:rsidRPr="000665B0">
        <w:t xml:space="preserve"> </w:t>
      </w:r>
      <w:r w:rsidR="00E01498" w:rsidRPr="000665B0">
        <w:t>Real</w:t>
      </w:r>
      <w:r w:rsidRPr="000665B0">
        <w:t>-</w:t>
      </w:r>
      <w:r w:rsidR="00E01498" w:rsidRPr="000665B0">
        <w:t xml:space="preserve">Time Clock </w:t>
      </w:r>
      <w:r w:rsidR="00BF2B61" w:rsidRPr="000665B0">
        <w:t xml:space="preserve">will be selected </w:t>
      </w:r>
      <w:r w:rsidR="00987E38" w:rsidRPr="000665B0">
        <w:t>when</w:t>
      </w:r>
      <w:r w:rsidRPr="000665B0">
        <w:t xml:space="preserve"> there are Live FRUs </w:t>
      </w:r>
      <w:r w:rsidRPr="000665B0">
        <w:lastRenderedPageBreak/>
        <w:t xml:space="preserve">in the rehearsal </w:t>
      </w:r>
      <w:r w:rsidR="00BF2B61" w:rsidRPr="000665B0">
        <w:t>and may be selected when</w:t>
      </w:r>
      <w:r w:rsidR="00BF2B61" w:rsidRPr="000665B0" w:rsidDel="00BF2B61">
        <w:t xml:space="preserve"> </w:t>
      </w:r>
      <w:r w:rsidRPr="000665B0">
        <w:t>there is a need to run in real-time</w:t>
      </w:r>
      <w:r w:rsidR="00BF2B61" w:rsidRPr="000665B0">
        <w:t>, such as when a live satellite connection is used for TSN communications.</w:t>
      </w:r>
    </w:p>
    <w:p w14:paraId="206F2167" w14:textId="77777777" w:rsidR="002A25BF" w:rsidRPr="000665B0" w:rsidRDefault="002A25BF" w:rsidP="00A0163E">
      <w:pPr>
        <w:ind w:left="720"/>
        <w:rPr>
          <w:b/>
        </w:rPr>
      </w:pPr>
      <w:r w:rsidRPr="000665B0">
        <w:rPr>
          <w:b/>
          <w:i/>
        </w:rPr>
        <w:t>TSRT</w:t>
      </w:r>
      <w:r w:rsidRPr="000665B0">
        <w:rPr>
          <w:b/>
        </w:rPr>
        <w:t xml:space="preserve"> Tab</w:t>
      </w:r>
    </w:p>
    <w:p w14:paraId="62612DE7" w14:textId="7DA6F93D" w:rsidR="00E01498" w:rsidRPr="000665B0" w:rsidRDefault="003A25DD" w:rsidP="00E01498">
      <w:pPr>
        <w:jc w:val="center"/>
        <w:rPr>
          <w:b/>
        </w:rPr>
      </w:pPr>
      <w:r w:rsidRPr="000665B0">
        <w:rPr>
          <w:noProof/>
        </w:rPr>
        <w:drawing>
          <wp:inline distT="0" distB="0" distL="0" distR="0" wp14:anchorId="4AE3A787" wp14:editId="5B04543E">
            <wp:extent cx="2743200" cy="4105656"/>
            <wp:effectExtent l="0" t="0" r="0" b="9525"/>
            <wp:docPr id="2154" name="Picture 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4105656"/>
                    </a:xfrm>
                    <a:prstGeom prst="rect">
                      <a:avLst/>
                    </a:prstGeom>
                  </pic:spPr>
                </pic:pic>
              </a:graphicData>
            </a:graphic>
          </wp:inline>
        </w:drawing>
      </w:r>
    </w:p>
    <w:p w14:paraId="452AEDAE" w14:textId="77777777" w:rsidR="00E01498" w:rsidRPr="000665B0" w:rsidRDefault="00CE1699" w:rsidP="006D5A65">
      <w:pPr>
        <w:pStyle w:val="Heading1"/>
      </w:pPr>
      <w:r w:rsidRPr="000665B0">
        <w:t xml:space="preserve">TSRT Location </w:t>
      </w:r>
      <w:r w:rsidR="00E01498" w:rsidRPr="000665B0">
        <w:t>Pane</w:t>
      </w:r>
    </w:p>
    <w:p w14:paraId="1AED023B" w14:textId="77777777" w:rsidR="00CE1699" w:rsidRPr="000665B0" w:rsidRDefault="00137DB0" w:rsidP="006D5A65">
      <w:pPr>
        <w:pStyle w:val="Heading2"/>
      </w:pPr>
      <w:r w:rsidRPr="000665B0">
        <w:t>TSRT and SMD are being run on the same machine</w:t>
      </w:r>
      <w:r w:rsidR="00BF2B61" w:rsidRPr="000665B0">
        <w:t xml:space="preserve"> (Local)</w:t>
      </w:r>
      <w:r w:rsidRPr="000665B0">
        <w:t xml:space="preserve"> or on separate machines</w:t>
      </w:r>
      <w:r w:rsidR="00BF2B61" w:rsidRPr="000665B0">
        <w:t xml:space="preserve"> (Remote)</w:t>
      </w:r>
      <w:r w:rsidRPr="000665B0">
        <w:t xml:space="preserve">. When executing TSRT on a remote machine, </w:t>
      </w:r>
      <w:r w:rsidR="0031360B" w:rsidRPr="000665B0">
        <w:t>enter</w:t>
      </w:r>
      <w:r w:rsidRPr="000665B0">
        <w:t xml:space="preserve"> the remote computer’s IP address.</w:t>
      </w:r>
    </w:p>
    <w:p w14:paraId="117B58FE" w14:textId="77777777" w:rsidR="00387D84" w:rsidRPr="000665B0" w:rsidRDefault="00387D84" w:rsidP="00F26AD4">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4411CDA8" w14:textId="77777777" w:rsidR="00387D84" w:rsidRPr="000665B0" w:rsidRDefault="00387D84" w:rsidP="00387D84">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The TSRT should be run on a machine with an MDS version that is at least as high as the MDS version of the highest-versioned MDS that is participating in the rehearsal. Older TSRTs may not be forward-compatible with more current MDS versions.</w:t>
      </w:r>
    </w:p>
    <w:p w14:paraId="7A0B8782" w14:textId="6E086D5C" w:rsidR="002A25BF" w:rsidRPr="000665B0" w:rsidRDefault="002A25BF" w:rsidP="006D5A65">
      <w:pPr>
        <w:pStyle w:val="Heading1"/>
      </w:pPr>
      <w:r w:rsidRPr="000665B0">
        <w:t xml:space="preserve">Simulation Fidelity </w:t>
      </w:r>
      <w:r w:rsidR="00E01498" w:rsidRPr="000665B0">
        <w:t>Pane</w:t>
      </w:r>
    </w:p>
    <w:p w14:paraId="275A927F" w14:textId="77777777" w:rsidR="002A25BF" w:rsidRPr="000665B0" w:rsidRDefault="002A25BF" w:rsidP="006D5A65">
      <w:pPr>
        <w:pStyle w:val="Heading2"/>
      </w:pPr>
      <w:r w:rsidRPr="000665B0">
        <w:t>Use realistic missile alignment times</w:t>
      </w:r>
      <w:r w:rsidR="00BF2B61" w:rsidRPr="000665B0">
        <w:t xml:space="preserve"> – </w:t>
      </w:r>
      <w:r w:rsidRPr="000665B0">
        <w:t xml:space="preserve">When checked, a missile will not be launched if it is not completely powered up. </w:t>
      </w:r>
    </w:p>
    <w:p w14:paraId="58B2C6CF" w14:textId="77777777" w:rsidR="002A25BF" w:rsidRPr="000665B0" w:rsidRDefault="002A25BF" w:rsidP="006D5A65">
      <w:pPr>
        <w:pStyle w:val="Heading2"/>
      </w:pPr>
      <w:r w:rsidRPr="000665B0">
        <w:lastRenderedPageBreak/>
        <w:t>Check missile inventory when preparing SPEOs</w:t>
      </w:r>
      <w:r w:rsidR="00BF2B61" w:rsidRPr="000665B0">
        <w:t xml:space="preserve"> – </w:t>
      </w:r>
      <w:r w:rsidRPr="000665B0">
        <w:t xml:space="preserve">When checked, the TSRT confirms that its FRUs contain the inventory requested by the strike. Tasking will be rejected if there is not enough inventory to support the requests. When not checked, no inventory or half module checking is done. </w:t>
      </w:r>
    </w:p>
    <w:p w14:paraId="5D81E7A3" w14:textId="09B4959F" w:rsidR="002A25BF" w:rsidRPr="000665B0" w:rsidRDefault="002A25BF" w:rsidP="006D5A65">
      <w:pPr>
        <w:pStyle w:val="Heading2"/>
        <w:rPr>
          <w:szCs w:val="24"/>
        </w:rPr>
      </w:pPr>
      <w:r w:rsidRPr="000665B0">
        <w:rPr>
          <w:szCs w:val="24"/>
        </w:rPr>
        <w:t xml:space="preserve">Allow missile launch in all use-states. If unchecked, launches will only occur in the </w:t>
      </w:r>
      <w:r w:rsidR="00626CD7" w:rsidRPr="000665B0">
        <w:rPr>
          <w:szCs w:val="24"/>
        </w:rPr>
        <w:t xml:space="preserve">“Execute” </w:t>
      </w:r>
      <w:r w:rsidRPr="000665B0">
        <w:rPr>
          <w:szCs w:val="24"/>
        </w:rPr>
        <w:t>use-state</w:t>
      </w:r>
      <w:r w:rsidR="003A25DD" w:rsidRPr="000665B0">
        <w:rPr>
          <w:szCs w:val="24"/>
        </w:rPr>
        <w:t xml:space="preserve"> – </w:t>
      </w:r>
      <w:r w:rsidR="003A25DD" w:rsidRPr="000665B0">
        <w:t>If unchecked, a strike must be in the executing state for missiles to launch. If checked, TSRT will also launch missiles while the strike is in a holdfire state (or any other state).</w:t>
      </w:r>
      <w:r w:rsidRPr="000665B0">
        <w:rPr>
          <w:szCs w:val="24"/>
        </w:rPr>
        <w:t xml:space="preserve"> </w:t>
      </w:r>
    </w:p>
    <w:p w14:paraId="5BA03C65" w14:textId="2E95C7B0" w:rsidR="002A25BF" w:rsidRPr="000665B0" w:rsidRDefault="002A25BF" w:rsidP="006D5A65">
      <w:pPr>
        <w:pStyle w:val="Heading2"/>
      </w:pPr>
      <w:r w:rsidRPr="000665B0">
        <w:t>Simulate FRU message transmission (SPEO</w:t>
      </w:r>
      <w:r w:rsidR="00BF2B61" w:rsidRPr="000665B0">
        <w:t xml:space="preserve">, </w:t>
      </w:r>
      <w:r w:rsidRPr="000665B0">
        <w:t>OWR</w:t>
      </w:r>
      <w:r w:rsidR="00BF2B61" w:rsidRPr="000665B0">
        <w:t xml:space="preserve">, </w:t>
      </w:r>
      <w:r w:rsidRPr="000665B0">
        <w:t xml:space="preserve">LER, PLRO, </w:t>
      </w:r>
      <w:r w:rsidR="00795F99" w:rsidRPr="000665B0">
        <w:br/>
      </w:r>
      <w:r w:rsidRPr="000665B0">
        <w:t>MLOSRF-T) for simulated TTWCS nodes</w:t>
      </w:r>
      <w:r w:rsidR="00BF2B61" w:rsidRPr="000665B0">
        <w:t xml:space="preserve"> – </w:t>
      </w:r>
      <w:r w:rsidRPr="000665B0">
        <w:t xml:space="preserve">If unchecked, there will be no FRU transmission of the </w:t>
      </w:r>
      <w:r w:rsidR="00BF2B61" w:rsidRPr="000665B0">
        <w:t>Strike Package Exception Object (</w:t>
      </w:r>
      <w:r w:rsidRPr="000665B0">
        <w:t>SPEO</w:t>
      </w:r>
      <w:r w:rsidR="00BF2B61" w:rsidRPr="000665B0">
        <w:t>)</w:t>
      </w:r>
      <w:r w:rsidRPr="000665B0">
        <w:t xml:space="preserve">, </w:t>
      </w:r>
      <w:r w:rsidR="00BF2B61" w:rsidRPr="000665B0">
        <w:t>Overwater Report (</w:t>
      </w:r>
      <w:r w:rsidRPr="000665B0">
        <w:t>OWR</w:t>
      </w:r>
      <w:r w:rsidR="00BF2B61" w:rsidRPr="000665B0">
        <w:t>)</w:t>
      </w:r>
      <w:r w:rsidRPr="000665B0">
        <w:t xml:space="preserve">, </w:t>
      </w:r>
      <w:r w:rsidR="00BF2B61" w:rsidRPr="000665B0">
        <w:t>Launch Event Report (</w:t>
      </w:r>
      <w:r w:rsidRPr="000665B0">
        <w:t>LER</w:t>
      </w:r>
      <w:r w:rsidR="00BF2B61" w:rsidRPr="000665B0">
        <w:t>)</w:t>
      </w:r>
      <w:r w:rsidRPr="000665B0">
        <w:t xml:space="preserve">, PLRO or MLOSRF-T messages by the simulated FRUs. </w:t>
      </w:r>
    </w:p>
    <w:p w14:paraId="73B23721" w14:textId="77777777" w:rsidR="003A25DD" w:rsidRPr="000665B0" w:rsidRDefault="003A25DD" w:rsidP="006D5A65">
      <w:pPr>
        <w:pStyle w:val="Heading2"/>
      </w:pPr>
      <w:r w:rsidRPr="000665B0">
        <w:t>Combine all OWR data for an option into one message – If unchecked, each OWR will be sent out in its own message.</w:t>
      </w:r>
    </w:p>
    <w:p w14:paraId="775ADBE1" w14:textId="1406070D" w:rsidR="003A25DD" w:rsidRPr="000665B0" w:rsidRDefault="003A25DD" w:rsidP="006D5A65">
      <w:pPr>
        <w:pStyle w:val="Heading2"/>
        <w:rPr>
          <w:szCs w:val="24"/>
        </w:rPr>
      </w:pPr>
      <w:r w:rsidRPr="000665B0">
        <w:rPr>
          <w:szCs w:val="24"/>
        </w:rPr>
        <w:t xml:space="preserve">Manage OWRs as a FRU does – </w:t>
      </w:r>
      <w:r w:rsidRPr="000665B0">
        <w:t>This option is enabled by default. When a strike revision is received and OWRs are being managed, simulated FRUs re-plan and re-send OWRs only in the case where there is a substantial change in the assignment, such as being launched from a different FRU.</w:t>
      </w:r>
      <w:r w:rsidR="009651B0">
        <w:t xml:space="preserve"> </w:t>
      </w:r>
    </w:p>
    <w:p w14:paraId="371440B5" w14:textId="77B45504" w:rsidR="003A25DD" w:rsidRPr="000665B0" w:rsidRDefault="003A25DD" w:rsidP="006D5A65">
      <w:pPr>
        <w:pStyle w:val="Heading1"/>
      </w:pPr>
      <w:r w:rsidRPr="000665B0">
        <w:t>Start Time Pane</w:t>
      </w:r>
    </w:p>
    <w:p w14:paraId="5A2E6341" w14:textId="1F5988B5" w:rsidR="003A25DD" w:rsidRPr="000665B0" w:rsidRDefault="003A25DD" w:rsidP="006D5A65">
      <w:pPr>
        <w:pStyle w:val="Heading2"/>
        <w:rPr>
          <w:szCs w:val="24"/>
        </w:rPr>
      </w:pPr>
      <w:r w:rsidRPr="000665B0">
        <w:rPr>
          <w:szCs w:val="24"/>
        </w:rPr>
        <w:t xml:space="preserve">Commence rehearsal at first estimated launch time – </w:t>
      </w:r>
      <w:r w:rsidRPr="000665B0">
        <w:t>This should be checked only if the rehearsal is practiced for simplistic TSN message scenarios.</w:t>
      </w:r>
    </w:p>
    <w:p w14:paraId="145A1409" w14:textId="7D7FD13A" w:rsidR="003A25DD" w:rsidRPr="000665B0" w:rsidRDefault="002A25BF" w:rsidP="006D5A65">
      <w:pPr>
        <w:pStyle w:val="Heading2"/>
        <w:rPr>
          <w:szCs w:val="24"/>
        </w:rPr>
      </w:pPr>
      <w:r w:rsidRPr="000665B0">
        <w:rPr>
          <w:szCs w:val="24"/>
        </w:rPr>
        <w:t xml:space="preserve">Commence rehearsal one hour before first estimated launch </w:t>
      </w:r>
      <w:r w:rsidR="00C04091" w:rsidRPr="000665B0">
        <w:rPr>
          <w:szCs w:val="24"/>
        </w:rPr>
        <w:t xml:space="preserve">– </w:t>
      </w:r>
      <w:r w:rsidR="003A25DD" w:rsidRPr="000665B0">
        <w:t>Unless there is a compelling reason to do otherwise, this option should be checked for strikes with DAMA only missiles. While it can save some time to start the strike at first launch, there is a risk that missiles launched from simulated FRUs during the earliest portion of the strike will arrive late at their targets. This is because without the simulation of final review (nominally 10 minutes before launch), overwater routes and missile launch times will not be adjusted for the FRU positions within their PLPs.</w:t>
      </w:r>
    </w:p>
    <w:p w14:paraId="2D39C2EA" w14:textId="0F4E5582" w:rsidR="002A25BF" w:rsidRPr="000665B0" w:rsidRDefault="003A25DD" w:rsidP="006D5A65">
      <w:pPr>
        <w:pStyle w:val="Heading2"/>
        <w:rPr>
          <w:szCs w:val="24"/>
        </w:rPr>
      </w:pPr>
      <w:r w:rsidRPr="000665B0">
        <w:t>Commence rehearsal 72 hours before first estimated launch –</w:t>
      </w:r>
      <w:r w:rsidR="00FD0223" w:rsidRPr="000665B0">
        <w:t xml:space="preserve"> </w:t>
      </w:r>
      <w:r w:rsidRPr="000665B0">
        <w:t xml:space="preserve">Unless there is a compelling reason to do </w:t>
      </w:r>
      <w:r w:rsidRPr="000665B0">
        <w:lastRenderedPageBreak/>
        <w:t>otherwise, this option should be checked for strikes with ACA missile reservations. The initial ACA filter message must be sent to the NSP within 72 hours before the ACA strike execution time to allow for simulation of coordination with NSP.</w:t>
      </w:r>
    </w:p>
    <w:p w14:paraId="781661DA" w14:textId="19E39299" w:rsidR="00C04091" w:rsidRPr="000665B0" w:rsidRDefault="00C04091" w:rsidP="00A0163E">
      <w:pPr>
        <w:ind w:left="720"/>
        <w:rPr>
          <w:rFonts w:eastAsia="Calibri"/>
        </w:rPr>
      </w:pPr>
      <w:r w:rsidRPr="000665B0">
        <w:rPr>
          <w:rFonts w:eastAsia="Calibri"/>
        </w:rPr>
        <w:t>The highest fidelity can be achieved by the following option selections:</w:t>
      </w:r>
    </w:p>
    <w:tbl>
      <w:tblPr>
        <w:tblStyle w:val="TableGrid1"/>
        <w:tblW w:w="0" w:type="auto"/>
        <w:jc w:val="center"/>
        <w:tblLook w:val="04A0" w:firstRow="1" w:lastRow="0" w:firstColumn="1" w:lastColumn="0" w:noHBand="0" w:noVBand="1"/>
      </w:tblPr>
      <w:tblGrid>
        <w:gridCol w:w="395"/>
        <w:gridCol w:w="8955"/>
      </w:tblGrid>
      <w:tr w:rsidR="00C04091" w:rsidRPr="000665B0" w14:paraId="499BC0CC" w14:textId="77777777" w:rsidTr="00C04091">
        <w:trPr>
          <w:jc w:val="center"/>
        </w:trPr>
        <w:tc>
          <w:tcPr>
            <w:tcW w:w="0" w:type="auto"/>
            <w:vAlign w:val="center"/>
          </w:tcPr>
          <w:p w14:paraId="0DB4E70D" w14:textId="77777777" w:rsidR="00C04091" w:rsidRPr="000665B0" w:rsidRDefault="00C04091" w:rsidP="00377582">
            <w:pPr>
              <w:keepNext/>
              <w:spacing w:before="200" w:after="0" w:line="240" w:lineRule="auto"/>
              <w:rPr>
                <w:rFonts w:ascii="Arial" w:hAnsi="Arial" w:cs="Arial"/>
                <w:b/>
                <w:sz w:val="20"/>
              </w:rPr>
            </w:pPr>
            <w:r w:rsidRPr="000665B0">
              <w:rPr>
                <w:rFonts w:ascii="Arial" w:hAnsi="Arial" w:cs="Arial"/>
                <w:b/>
                <w:sz w:val="20"/>
              </w:rPr>
              <w:sym w:font="Wingdings" w:char="F0FE"/>
            </w:r>
          </w:p>
        </w:tc>
        <w:tc>
          <w:tcPr>
            <w:tcW w:w="0" w:type="auto"/>
            <w:vAlign w:val="center"/>
          </w:tcPr>
          <w:p w14:paraId="7010A520" w14:textId="77777777" w:rsidR="00C04091" w:rsidRPr="000665B0" w:rsidRDefault="00C04091" w:rsidP="00377582">
            <w:pPr>
              <w:keepNext/>
              <w:spacing w:before="200" w:after="0" w:line="240" w:lineRule="auto"/>
              <w:rPr>
                <w:rFonts w:ascii="Arial" w:hAnsi="Arial" w:cs="Arial"/>
                <w:sz w:val="20"/>
              </w:rPr>
            </w:pPr>
            <w:r w:rsidRPr="000665B0">
              <w:rPr>
                <w:rFonts w:ascii="Arial" w:hAnsi="Arial" w:cs="Arial"/>
                <w:sz w:val="20"/>
              </w:rPr>
              <w:t>Use realistic missile alignment times</w:t>
            </w:r>
          </w:p>
        </w:tc>
      </w:tr>
      <w:tr w:rsidR="00C04091" w:rsidRPr="000665B0" w14:paraId="334626A3" w14:textId="77777777" w:rsidTr="00C04091">
        <w:trPr>
          <w:jc w:val="center"/>
        </w:trPr>
        <w:tc>
          <w:tcPr>
            <w:tcW w:w="0" w:type="auto"/>
            <w:vAlign w:val="center"/>
          </w:tcPr>
          <w:p w14:paraId="77403BD5" w14:textId="77777777" w:rsidR="00C04091" w:rsidRPr="000665B0" w:rsidRDefault="00C04091" w:rsidP="00377582">
            <w:pPr>
              <w:keepNext/>
              <w:spacing w:before="200" w:after="0" w:line="240" w:lineRule="auto"/>
              <w:rPr>
                <w:rFonts w:ascii="Arial" w:hAnsi="Arial" w:cs="Arial"/>
                <w:b/>
                <w:sz w:val="20"/>
              </w:rPr>
            </w:pPr>
            <w:r w:rsidRPr="000665B0">
              <w:rPr>
                <w:rFonts w:ascii="Arial" w:hAnsi="Arial" w:cs="Arial"/>
                <w:b/>
                <w:sz w:val="20"/>
              </w:rPr>
              <w:sym w:font="Wingdings" w:char="F0FE"/>
            </w:r>
          </w:p>
        </w:tc>
        <w:tc>
          <w:tcPr>
            <w:tcW w:w="0" w:type="auto"/>
            <w:vAlign w:val="center"/>
          </w:tcPr>
          <w:p w14:paraId="76443F87" w14:textId="77777777" w:rsidR="00C04091" w:rsidRPr="000665B0" w:rsidRDefault="00C04091" w:rsidP="00377582">
            <w:pPr>
              <w:keepNext/>
              <w:spacing w:before="200" w:after="0" w:line="240" w:lineRule="auto"/>
              <w:rPr>
                <w:rFonts w:ascii="Arial" w:hAnsi="Arial" w:cs="Arial"/>
                <w:sz w:val="20"/>
              </w:rPr>
            </w:pPr>
            <w:r w:rsidRPr="000665B0">
              <w:rPr>
                <w:rFonts w:ascii="Arial" w:hAnsi="Arial" w:cs="Arial"/>
                <w:sz w:val="20"/>
              </w:rPr>
              <w:t>Check missile inventory when preparing SPEOs</w:t>
            </w:r>
          </w:p>
        </w:tc>
      </w:tr>
      <w:tr w:rsidR="00C04091" w:rsidRPr="000665B0" w14:paraId="5FC38B6E" w14:textId="77777777" w:rsidTr="00C04091">
        <w:trPr>
          <w:jc w:val="center"/>
        </w:trPr>
        <w:tc>
          <w:tcPr>
            <w:tcW w:w="0" w:type="auto"/>
            <w:vAlign w:val="center"/>
          </w:tcPr>
          <w:p w14:paraId="25451A27" w14:textId="77777777" w:rsidR="00C04091" w:rsidRPr="000665B0" w:rsidRDefault="00C04091" w:rsidP="00377582">
            <w:pPr>
              <w:keepNext/>
              <w:spacing w:before="200" w:after="0" w:line="240" w:lineRule="auto"/>
              <w:rPr>
                <w:rFonts w:ascii="Arial" w:hAnsi="Arial" w:cs="Arial"/>
                <w:b/>
                <w:sz w:val="20"/>
              </w:rPr>
            </w:pPr>
            <w:r w:rsidRPr="000665B0">
              <w:rPr>
                <w:rFonts w:ascii="Arial" w:hAnsi="Arial" w:cs="Arial"/>
                <w:b/>
                <w:sz w:val="20"/>
              </w:rPr>
              <w:sym w:font="Wingdings" w:char="F0A8"/>
            </w:r>
          </w:p>
        </w:tc>
        <w:tc>
          <w:tcPr>
            <w:tcW w:w="0" w:type="auto"/>
            <w:vAlign w:val="center"/>
          </w:tcPr>
          <w:p w14:paraId="670902F6" w14:textId="77777777" w:rsidR="00C04091" w:rsidRPr="000665B0" w:rsidRDefault="00C04091" w:rsidP="00377582">
            <w:pPr>
              <w:keepNext/>
              <w:spacing w:before="200" w:after="0" w:line="240" w:lineRule="auto"/>
              <w:rPr>
                <w:rFonts w:ascii="Arial" w:hAnsi="Arial" w:cs="Arial"/>
                <w:sz w:val="20"/>
              </w:rPr>
            </w:pPr>
            <w:r w:rsidRPr="000665B0">
              <w:rPr>
                <w:rFonts w:ascii="Arial" w:hAnsi="Arial" w:cs="Arial"/>
                <w:sz w:val="20"/>
              </w:rPr>
              <w:t>Allow missile launch in all use states…</w:t>
            </w:r>
          </w:p>
        </w:tc>
      </w:tr>
      <w:tr w:rsidR="00C04091" w:rsidRPr="000665B0" w14:paraId="327480AE" w14:textId="77777777" w:rsidTr="00C04091">
        <w:trPr>
          <w:jc w:val="center"/>
        </w:trPr>
        <w:tc>
          <w:tcPr>
            <w:tcW w:w="0" w:type="auto"/>
            <w:vAlign w:val="center"/>
          </w:tcPr>
          <w:p w14:paraId="6BC8E2A9" w14:textId="77777777" w:rsidR="00C04091" w:rsidRPr="000665B0" w:rsidRDefault="00C04091" w:rsidP="00377582">
            <w:pPr>
              <w:keepNext/>
              <w:spacing w:before="200" w:after="0" w:line="240" w:lineRule="auto"/>
              <w:rPr>
                <w:rFonts w:ascii="Arial" w:hAnsi="Arial" w:cs="Arial"/>
                <w:b/>
                <w:sz w:val="20"/>
              </w:rPr>
            </w:pPr>
            <w:r w:rsidRPr="000665B0">
              <w:rPr>
                <w:rFonts w:ascii="Arial" w:hAnsi="Arial" w:cs="Arial"/>
                <w:b/>
                <w:sz w:val="20"/>
              </w:rPr>
              <w:sym w:font="Wingdings" w:char="F0FE"/>
            </w:r>
          </w:p>
        </w:tc>
        <w:tc>
          <w:tcPr>
            <w:tcW w:w="0" w:type="auto"/>
            <w:vAlign w:val="center"/>
          </w:tcPr>
          <w:p w14:paraId="14AC5639" w14:textId="77777777" w:rsidR="00C04091" w:rsidRPr="000665B0" w:rsidRDefault="00C04091" w:rsidP="00377582">
            <w:pPr>
              <w:keepNext/>
              <w:spacing w:before="200" w:after="0" w:line="240" w:lineRule="auto"/>
              <w:rPr>
                <w:rFonts w:ascii="Arial" w:hAnsi="Arial" w:cs="Arial"/>
                <w:sz w:val="20"/>
              </w:rPr>
            </w:pPr>
            <w:r w:rsidRPr="000665B0">
              <w:rPr>
                <w:rFonts w:ascii="Arial" w:hAnsi="Arial" w:cs="Arial"/>
                <w:sz w:val="20"/>
              </w:rPr>
              <w:t>Simulate FRU message transmission … for simulated TTWCS nodes</w:t>
            </w:r>
          </w:p>
        </w:tc>
      </w:tr>
      <w:tr w:rsidR="00C04091" w:rsidRPr="000665B0" w14:paraId="28182CB0" w14:textId="77777777" w:rsidTr="00C04091">
        <w:trPr>
          <w:jc w:val="center"/>
        </w:trPr>
        <w:tc>
          <w:tcPr>
            <w:tcW w:w="0" w:type="auto"/>
            <w:vAlign w:val="center"/>
          </w:tcPr>
          <w:p w14:paraId="3A7960FD" w14:textId="77777777" w:rsidR="00C04091" w:rsidRPr="000665B0" w:rsidRDefault="00C04091" w:rsidP="00377582">
            <w:pPr>
              <w:keepNext/>
              <w:spacing w:before="200" w:after="0" w:line="240" w:lineRule="auto"/>
              <w:rPr>
                <w:rFonts w:ascii="Arial" w:hAnsi="Arial" w:cs="Arial"/>
                <w:b/>
                <w:sz w:val="20"/>
              </w:rPr>
            </w:pPr>
            <w:r w:rsidRPr="000665B0">
              <w:rPr>
                <w:rFonts w:ascii="Arial" w:hAnsi="Arial" w:cs="Arial"/>
                <w:b/>
                <w:sz w:val="20"/>
              </w:rPr>
              <w:sym w:font="Wingdings" w:char="F0FE"/>
            </w:r>
          </w:p>
        </w:tc>
        <w:tc>
          <w:tcPr>
            <w:tcW w:w="0" w:type="auto"/>
            <w:vAlign w:val="center"/>
          </w:tcPr>
          <w:p w14:paraId="5D8A9237" w14:textId="77777777" w:rsidR="00C04091" w:rsidRPr="000665B0" w:rsidRDefault="00C04091" w:rsidP="00377582">
            <w:pPr>
              <w:keepNext/>
              <w:spacing w:before="200" w:after="0" w:line="240" w:lineRule="auto"/>
              <w:rPr>
                <w:rFonts w:ascii="Arial" w:hAnsi="Arial" w:cs="Arial"/>
                <w:sz w:val="20"/>
              </w:rPr>
            </w:pPr>
            <w:r w:rsidRPr="000665B0">
              <w:rPr>
                <w:rFonts w:ascii="Arial" w:hAnsi="Arial" w:cs="Arial"/>
                <w:sz w:val="20"/>
              </w:rPr>
              <w:t>Commence rehearsal one hour before first estimated launch…</w:t>
            </w:r>
          </w:p>
        </w:tc>
      </w:tr>
      <w:tr w:rsidR="00C04091" w:rsidRPr="000665B0" w14:paraId="0F61621B" w14:textId="77777777" w:rsidTr="00C04091">
        <w:trPr>
          <w:jc w:val="center"/>
        </w:trPr>
        <w:tc>
          <w:tcPr>
            <w:tcW w:w="0" w:type="auto"/>
            <w:vAlign w:val="center"/>
          </w:tcPr>
          <w:p w14:paraId="42771435" w14:textId="77777777" w:rsidR="00C04091" w:rsidRPr="000665B0" w:rsidRDefault="00C04091" w:rsidP="00377582">
            <w:pPr>
              <w:keepNext/>
              <w:spacing w:before="200" w:after="0" w:line="240" w:lineRule="auto"/>
              <w:rPr>
                <w:rFonts w:ascii="Arial" w:hAnsi="Arial" w:cs="Arial"/>
                <w:b/>
                <w:sz w:val="20"/>
              </w:rPr>
            </w:pPr>
            <w:r w:rsidRPr="000665B0">
              <w:rPr>
                <w:rFonts w:ascii="Arial" w:hAnsi="Arial" w:cs="Arial"/>
                <w:b/>
                <w:sz w:val="20"/>
              </w:rPr>
              <w:sym w:font="Wingdings" w:char="F0A8"/>
            </w:r>
          </w:p>
        </w:tc>
        <w:tc>
          <w:tcPr>
            <w:tcW w:w="0" w:type="auto"/>
            <w:vAlign w:val="center"/>
          </w:tcPr>
          <w:p w14:paraId="6D4F1EE6" w14:textId="77777777" w:rsidR="00C04091" w:rsidRPr="000665B0" w:rsidRDefault="00C04091" w:rsidP="00377582">
            <w:pPr>
              <w:keepNext/>
              <w:spacing w:before="200" w:after="0" w:line="240" w:lineRule="auto"/>
              <w:rPr>
                <w:rFonts w:ascii="Arial" w:hAnsi="Arial" w:cs="Arial"/>
                <w:sz w:val="20"/>
              </w:rPr>
            </w:pPr>
            <w:r w:rsidRPr="000665B0">
              <w:rPr>
                <w:rFonts w:ascii="Arial" w:hAnsi="Arial" w:cs="Arial"/>
                <w:sz w:val="20"/>
              </w:rPr>
              <w:t>Combine all OWR data for an option into one message</w:t>
            </w:r>
          </w:p>
        </w:tc>
      </w:tr>
      <w:tr w:rsidR="003A25DD" w:rsidRPr="000665B0" w14:paraId="0D3E5A52" w14:textId="77777777" w:rsidTr="00BA6B3A">
        <w:trPr>
          <w:jc w:val="center"/>
        </w:trPr>
        <w:tc>
          <w:tcPr>
            <w:tcW w:w="0" w:type="auto"/>
            <w:vAlign w:val="center"/>
          </w:tcPr>
          <w:p w14:paraId="656D7836" w14:textId="77777777" w:rsidR="003A25DD" w:rsidRPr="000665B0" w:rsidRDefault="003A25DD" w:rsidP="00BA6B3A">
            <w:pPr>
              <w:keepNext/>
              <w:spacing w:before="200" w:after="0" w:line="240" w:lineRule="auto"/>
              <w:rPr>
                <w:rFonts w:ascii="Arial" w:hAnsi="Arial" w:cs="Arial"/>
                <w:b/>
                <w:sz w:val="20"/>
              </w:rPr>
            </w:pPr>
            <w:r w:rsidRPr="000665B0">
              <w:rPr>
                <w:rFonts w:ascii="Arial" w:hAnsi="Arial" w:cs="Arial"/>
                <w:b/>
                <w:sz w:val="20"/>
              </w:rPr>
              <w:sym w:font="Wingdings" w:char="F0FE"/>
            </w:r>
          </w:p>
        </w:tc>
        <w:tc>
          <w:tcPr>
            <w:tcW w:w="0" w:type="auto"/>
            <w:vAlign w:val="center"/>
          </w:tcPr>
          <w:p w14:paraId="33A99ED0" w14:textId="77777777" w:rsidR="003A25DD" w:rsidRPr="000665B0" w:rsidRDefault="003A25DD" w:rsidP="00BA6B3A">
            <w:pPr>
              <w:keepNext/>
              <w:spacing w:before="200" w:after="0" w:line="240" w:lineRule="auto"/>
              <w:rPr>
                <w:rFonts w:ascii="Arial" w:hAnsi="Arial" w:cs="Arial"/>
                <w:sz w:val="20"/>
              </w:rPr>
            </w:pPr>
            <w:r w:rsidRPr="000665B0">
              <w:rPr>
                <w:rFonts w:ascii="Arial" w:hAnsi="Arial" w:cs="Arial"/>
                <w:sz w:val="20"/>
              </w:rPr>
              <w:t>Manage OWRs as a FRU does</w:t>
            </w:r>
          </w:p>
        </w:tc>
      </w:tr>
      <w:tr w:rsidR="003A25DD" w:rsidRPr="000665B0" w14:paraId="4FCF7127" w14:textId="77777777" w:rsidTr="00BA6B3A">
        <w:trPr>
          <w:jc w:val="center"/>
        </w:trPr>
        <w:tc>
          <w:tcPr>
            <w:tcW w:w="0" w:type="auto"/>
            <w:vAlign w:val="center"/>
          </w:tcPr>
          <w:p w14:paraId="0F20EDDE" w14:textId="77777777" w:rsidR="003A25DD" w:rsidRPr="000665B0" w:rsidRDefault="003A25DD" w:rsidP="00BA6B3A">
            <w:pPr>
              <w:keepNext/>
              <w:spacing w:before="200" w:after="0" w:line="240" w:lineRule="auto"/>
              <w:rPr>
                <w:rFonts w:ascii="Arial" w:hAnsi="Arial" w:cs="Arial"/>
                <w:b/>
                <w:sz w:val="20"/>
              </w:rPr>
            </w:pPr>
            <w:r w:rsidRPr="000665B0">
              <w:rPr>
                <w:rFonts w:ascii="Arial" w:hAnsi="Arial" w:cs="Arial"/>
                <w:b/>
                <w:sz w:val="20"/>
              </w:rPr>
              <w:sym w:font="Wingdings" w:char="F0FE"/>
            </w:r>
          </w:p>
        </w:tc>
        <w:tc>
          <w:tcPr>
            <w:tcW w:w="0" w:type="auto"/>
            <w:vAlign w:val="center"/>
          </w:tcPr>
          <w:p w14:paraId="7D520D26" w14:textId="77777777" w:rsidR="003A25DD" w:rsidRPr="000665B0" w:rsidRDefault="003A25DD" w:rsidP="00BA6B3A">
            <w:pPr>
              <w:keepNext/>
              <w:spacing w:before="200" w:after="0" w:line="240" w:lineRule="auto"/>
              <w:rPr>
                <w:rFonts w:ascii="Arial" w:hAnsi="Arial" w:cs="Arial"/>
                <w:sz w:val="20"/>
              </w:rPr>
            </w:pPr>
            <w:r w:rsidRPr="000665B0">
              <w:rPr>
                <w:rFonts w:ascii="Arial" w:hAnsi="Arial" w:cs="Arial"/>
                <w:sz w:val="20"/>
              </w:rPr>
              <w:t>Commence rehearsal 72 hours before first estimated launch (for strikes with ACA missile reservations)</w:t>
            </w:r>
          </w:p>
        </w:tc>
      </w:tr>
    </w:tbl>
    <w:p w14:paraId="25FD65B9" w14:textId="13BB9F6D" w:rsidR="002A25BF" w:rsidRPr="000665B0" w:rsidRDefault="002A25BF" w:rsidP="006D5A65">
      <w:pPr>
        <w:pStyle w:val="Heading1"/>
      </w:pPr>
      <w:r w:rsidRPr="000665B0">
        <w:rPr>
          <w:rFonts w:eastAsia="Calibri"/>
        </w:rPr>
        <w:t>Tool</w:t>
      </w:r>
      <w:r w:rsidRPr="000665B0">
        <w:t xml:space="preserve"> </w:t>
      </w:r>
      <w:r w:rsidR="00B04359" w:rsidRPr="000665B0">
        <w:sym w:font="Wingdings" w:char="F0E0"/>
      </w:r>
      <w:r w:rsidRPr="000665B0">
        <w:t xml:space="preserve"> Multi-Strike Analysis –</w:t>
      </w:r>
      <w:r w:rsidR="00922412" w:rsidRPr="000665B0">
        <w:t xml:space="preserve"> </w:t>
      </w:r>
      <w:r w:rsidR="00C91FC8" w:rsidRPr="000665B0">
        <w:t>B</w:t>
      </w:r>
      <w:r w:rsidRPr="000665B0">
        <w:t>rings up the multi-strike analysis form that allows for running multi-strike analysis against all the options for the execution folder.</w:t>
      </w:r>
    </w:p>
    <w:p w14:paraId="053441BA" w14:textId="5817C286" w:rsidR="00184DF1" w:rsidRPr="000665B0" w:rsidRDefault="00D161E4" w:rsidP="006C6EA8">
      <w:pPr>
        <w:jc w:val="center"/>
      </w:pPr>
      <w:r w:rsidRPr="000665B0">
        <w:rPr>
          <w:noProof/>
        </w:rPr>
        <w:drawing>
          <wp:inline distT="0" distB="0" distL="0" distR="0" wp14:anchorId="76A1A2C6" wp14:editId="5020BB18">
            <wp:extent cx="3657600" cy="2377440"/>
            <wp:effectExtent l="0" t="0" r="0" b="3810"/>
            <wp:docPr id="1160"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657600" cy="2377440"/>
                    </a:xfrm>
                    <a:prstGeom prst="rect">
                      <a:avLst/>
                    </a:prstGeom>
                  </pic:spPr>
                </pic:pic>
              </a:graphicData>
            </a:graphic>
          </wp:inline>
        </w:drawing>
      </w:r>
    </w:p>
    <w:p w14:paraId="40CA360A" w14:textId="453BAF93" w:rsidR="00184DF1" w:rsidRPr="000665B0" w:rsidRDefault="00184DF1" w:rsidP="00795F99">
      <w:pPr>
        <w:ind w:left="360"/>
      </w:pPr>
      <w:r w:rsidRPr="000665B0">
        <w:rPr>
          <w:bCs/>
        </w:rPr>
        <w:t xml:space="preserve">Turning an option into a package while executing a strike invokes multi-strike analysis automatically in accordance with the Auto-Analysis preferences (see </w:t>
      </w:r>
      <w:hyperlink w:anchor="_5.37.1.1.3.3__Auto-Analysis" w:history="1">
        <w:r w:rsidR="009326FE" w:rsidRPr="000665B0">
          <w:rPr>
            <w:rStyle w:val="Hyperlink"/>
            <w:bCs/>
          </w:rPr>
          <w:t xml:space="preserve">Section </w:t>
        </w:r>
        <w:r w:rsidR="004231CC">
          <w:rPr>
            <w:rStyle w:val="Hyperlink"/>
            <w:bCs/>
          </w:rPr>
          <w:t>5.34</w:t>
        </w:r>
        <w:r w:rsidR="00BE62F5" w:rsidRPr="000665B0">
          <w:rPr>
            <w:rStyle w:val="Hyperlink"/>
            <w:bCs/>
          </w:rPr>
          <w:t>.1.1.3.3</w:t>
        </w:r>
      </w:hyperlink>
      <w:r w:rsidRPr="000665B0">
        <w:rPr>
          <w:bCs/>
        </w:rPr>
        <w:t>).</w:t>
      </w:r>
    </w:p>
    <w:p w14:paraId="288803B0" w14:textId="77777777" w:rsidR="002A25BF" w:rsidRPr="000665B0" w:rsidRDefault="002A25BF" w:rsidP="00795F99">
      <w:pPr>
        <w:ind w:left="360"/>
      </w:pPr>
      <w:r w:rsidRPr="000665B0">
        <w:t>The following context menu items are provided, in addition to the standard option list view menu items.</w:t>
      </w:r>
    </w:p>
    <w:p w14:paraId="0502398D" w14:textId="77777777" w:rsidR="002A25BF" w:rsidRPr="000665B0" w:rsidRDefault="002A25BF" w:rsidP="006D5A65">
      <w:pPr>
        <w:pStyle w:val="Heading1"/>
      </w:pPr>
      <w:r w:rsidRPr="000665B0">
        <w:lastRenderedPageBreak/>
        <w:t>Add –</w:t>
      </w:r>
      <w:r w:rsidR="00922412" w:rsidRPr="000665B0">
        <w:t xml:space="preserve"> </w:t>
      </w:r>
      <w:r w:rsidR="00C91FC8" w:rsidRPr="000665B0">
        <w:t>B</w:t>
      </w:r>
      <w:r w:rsidRPr="000665B0">
        <w:t>rings up a selection view where you can select the options that are to be added to the execution folder.</w:t>
      </w:r>
    </w:p>
    <w:p w14:paraId="41669C0E" w14:textId="0F9E1E88" w:rsidR="002A25BF" w:rsidRPr="000665B0" w:rsidRDefault="002A25BF" w:rsidP="006D5A65">
      <w:pPr>
        <w:pStyle w:val="Heading1"/>
      </w:pPr>
      <w:r w:rsidRPr="000665B0">
        <w:t xml:space="preserve">Set as Ad Hoc </w:t>
      </w:r>
      <w:r w:rsidR="00F91F23" w:rsidRPr="000665B0">
        <w:t xml:space="preserve">Template </w:t>
      </w:r>
      <w:r w:rsidRPr="000665B0">
        <w:t>– There is always one and only one ad hoc option for an execution folder.</w:t>
      </w:r>
      <w:r w:rsidR="00F303DA" w:rsidRPr="000665B0">
        <w:t xml:space="preserve"> </w:t>
      </w:r>
      <w:r w:rsidRPr="000665B0">
        <w:t>This is the option that is used when creating an option. Its arsenal, comms parameters, and crypto keys are copied into the new option. The ad hoc option can be changed by select</w:t>
      </w:r>
      <w:r w:rsidR="00702188" w:rsidRPr="000665B0">
        <w:t xml:space="preserve">ing </w:t>
      </w:r>
      <w:r w:rsidRPr="000665B0">
        <w:t>a different one from the list view and clicking on this menu item.</w:t>
      </w:r>
    </w:p>
    <w:p w14:paraId="187DAA04" w14:textId="77777777" w:rsidR="00137DB0" w:rsidRPr="000665B0" w:rsidRDefault="00137DB0" w:rsidP="006D5A65">
      <w:pPr>
        <w:pStyle w:val="Heading1"/>
      </w:pPr>
      <w:r w:rsidRPr="000665B0">
        <w:t>Reports</w:t>
      </w:r>
    </w:p>
    <w:p w14:paraId="27F028A2" w14:textId="2117A19F" w:rsidR="00137DB0" w:rsidRPr="000665B0" w:rsidRDefault="00137DB0" w:rsidP="006D5A65">
      <w:pPr>
        <w:pStyle w:val="Heading2"/>
      </w:pPr>
      <w:r w:rsidRPr="000665B0">
        <w:t xml:space="preserve">Custom – Displays a window of reports that can be produced. For more information on Custom Reports see </w:t>
      </w:r>
      <w:hyperlink w:anchor="_5.2.1.3__Custom" w:history="1">
        <w:r w:rsidRPr="000665B0">
          <w:rPr>
            <w:rStyle w:val="Hyperlink"/>
          </w:rPr>
          <w:t>Section 5.2.1.3</w:t>
        </w:r>
      </w:hyperlink>
      <w:r w:rsidRPr="000665B0">
        <w:t>.</w:t>
      </w:r>
    </w:p>
    <w:p w14:paraId="435385C6" w14:textId="77777777" w:rsidR="00137DB0" w:rsidRPr="000665B0" w:rsidRDefault="00137DB0" w:rsidP="006D5A65">
      <w:pPr>
        <w:pStyle w:val="Heading2"/>
      </w:pPr>
      <w:r w:rsidRPr="000665B0">
        <w:t>Strike Briefing – Produces a Strike Briefing PowerPoint presentation.</w:t>
      </w:r>
      <w:r w:rsidR="00D754C9" w:rsidRPr="000665B0">
        <w:t xml:space="preserve"> Ensure that the report has finished generating before initiating any other reports.</w:t>
      </w:r>
    </w:p>
    <w:p w14:paraId="0C5CCDD1" w14:textId="77777777" w:rsidR="00F02FA5" w:rsidRDefault="00137DB0" w:rsidP="006D5A65">
      <w:pPr>
        <w:pStyle w:val="Heading2"/>
      </w:pPr>
      <w:r w:rsidRPr="000665B0">
        <w:t>TSN Comms Configuration – Produces a report of the TSN Comms settings</w:t>
      </w:r>
      <w:r w:rsidR="0030174D" w:rsidRPr="000665B0">
        <w:t>.</w:t>
      </w:r>
      <w:r w:rsidR="00D754C9" w:rsidRPr="000665B0">
        <w:t xml:space="preserve"> Ensure that the report has finished generating before initiating any other reports.</w:t>
      </w:r>
    </w:p>
    <w:p w14:paraId="7CFF459D" w14:textId="70C97E94" w:rsidR="00F02FA5" w:rsidRPr="00F02FA5" w:rsidRDefault="00F02FA5" w:rsidP="006D5A65">
      <w:pPr>
        <w:pStyle w:val="Heading2"/>
      </w:pPr>
      <w:r w:rsidRPr="00C36B36">
        <w:t>Generate BDA Input Report – Produces a Battle Damage Assessment report from the selected Strike Options (TLAM only). Ensure that the report has finished generating before initiating any other reports.</w:t>
      </w:r>
      <w:r w:rsidR="0038181F" w:rsidRPr="00C36B36">
        <w:t xml:space="preserve"> For more information on BDA reports, see </w:t>
      </w:r>
      <w:hyperlink w:anchor="Appendix_B" w:history="1">
        <w:r w:rsidR="0038181F" w:rsidRPr="00C36B36">
          <w:rPr>
            <w:rStyle w:val="Hyperlink"/>
            <w:bCs/>
          </w:rPr>
          <w:t>Appendix B</w:t>
        </w:r>
      </w:hyperlink>
      <w:r w:rsidR="0038181F" w:rsidRPr="00C36B36">
        <w:t>.</w:t>
      </w:r>
    </w:p>
    <w:p w14:paraId="7C9A5820" w14:textId="461F5439" w:rsidR="00F02FA5" w:rsidRPr="00F02FA5" w:rsidRDefault="00F02FA5" w:rsidP="00C36B36">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rPr>
      </w:pPr>
      <w:r w:rsidRPr="000665B0">
        <w:rPr>
          <w:b/>
        </w:rPr>
        <w:t>Note:</w:t>
      </w:r>
      <w:r w:rsidRPr="000665B0">
        <w:rPr>
          <w:b/>
        </w:rPr>
        <w:br/>
      </w:r>
      <w:r>
        <w:rPr>
          <w:b/>
        </w:rPr>
        <w:t>Reports are not to be generated in parallel. Ensure that generation of a report has completed before attempting to generate a new report.</w:t>
      </w:r>
    </w:p>
    <w:p w14:paraId="0AF0EBCD" w14:textId="77777777" w:rsidR="00137DB0" w:rsidRPr="000665B0" w:rsidRDefault="00137DB0" w:rsidP="006D5A65">
      <w:pPr>
        <w:pStyle w:val="Heading1"/>
      </w:pPr>
      <w:r w:rsidRPr="000665B0">
        <w:t>Create Strike Option Library – Creates a strike option library that contains selected strike options or empty if no item is selected.</w:t>
      </w:r>
    </w:p>
    <w:p w14:paraId="5792D0A4" w14:textId="7FD33A6E" w:rsidR="00137DB0" w:rsidRPr="000665B0" w:rsidRDefault="00137DB0" w:rsidP="006D5A65">
      <w:pPr>
        <w:pStyle w:val="Heading1"/>
      </w:pPr>
      <w:r w:rsidRPr="000665B0">
        <w:t>Distribution Dashboard</w:t>
      </w:r>
      <w:r w:rsidR="00B32C8E" w:rsidRPr="000665B0">
        <w:t xml:space="preserve"> </w:t>
      </w:r>
      <w:r w:rsidRPr="000665B0">
        <w:rPr>
          <w:rFonts w:eastAsia="Arial Unicode MS"/>
        </w:rPr>
        <w:t xml:space="preserve">– </w:t>
      </w:r>
      <w:r w:rsidR="00474A1F" w:rsidRPr="000665B0">
        <w:t xml:space="preserve">The Distribution Dashboard feature gives the operator the ability to track what data was sent to each recipient, and whether or not that data has been acknowledged. The feature’s functionality is the same across all tools that include it, but the data displayed will vary depending on the tool being used. See </w:t>
      </w:r>
      <w:hyperlink w:anchor="_5.2.10__Distribution" w:history="1">
        <w:r w:rsidR="00474A1F" w:rsidRPr="000665B0">
          <w:rPr>
            <w:rStyle w:val="Hyperlink"/>
          </w:rPr>
          <w:t>Section 5.2.10</w:t>
        </w:r>
      </w:hyperlink>
      <w:r w:rsidR="00474A1F" w:rsidRPr="000665B0">
        <w:t>.</w:t>
      </w:r>
    </w:p>
    <w:p w14:paraId="365B141F" w14:textId="75A374F4" w:rsidR="002A25BF" w:rsidRPr="000665B0" w:rsidRDefault="002A25BF" w:rsidP="00795F99">
      <w:pPr>
        <w:ind w:left="360"/>
      </w:pPr>
      <w:r w:rsidRPr="000665B0">
        <w:t xml:space="preserve">The following attachment list view control context menu item </w:t>
      </w:r>
      <w:r w:rsidR="008F0ABD" w:rsidRPr="000665B0">
        <w:t xml:space="preserve">is </w:t>
      </w:r>
      <w:r w:rsidRPr="000665B0">
        <w:t>provided, in addition to the standard window menu Items.</w:t>
      </w:r>
    </w:p>
    <w:p w14:paraId="5F1FBC5B" w14:textId="77777777" w:rsidR="002A25BF" w:rsidRPr="000665B0" w:rsidRDefault="002A25BF" w:rsidP="006D5A65">
      <w:pPr>
        <w:pStyle w:val="Heading1"/>
      </w:pPr>
      <w:r w:rsidRPr="000665B0">
        <w:lastRenderedPageBreak/>
        <w:t>Add – Files…</w:t>
      </w:r>
      <w:r w:rsidR="00922412" w:rsidRPr="000665B0">
        <w:t xml:space="preserve"> </w:t>
      </w:r>
      <w:r w:rsidRPr="000665B0">
        <w:t xml:space="preserve">– </w:t>
      </w:r>
      <w:r w:rsidR="00C91FC8" w:rsidRPr="000665B0">
        <w:t>B</w:t>
      </w:r>
      <w:r w:rsidRPr="000665B0">
        <w:t>rings up an open file dialog where you can select the files that are to be added to the execution folder attachments.</w:t>
      </w:r>
    </w:p>
    <w:p w14:paraId="1C7655B8" w14:textId="77777777" w:rsidR="00A07982" w:rsidRPr="000665B0" w:rsidRDefault="00A07982" w:rsidP="00F26AD4">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rPr>
      </w:pPr>
      <w:bookmarkStart w:id="6726" w:name="_5.38.7__Archive"/>
      <w:bookmarkStart w:id="6727" w:name="_Toc289328932"/>
      <w:bookmarkStart w:id="6728" w:name="_Toc312332087"/>
      <w:bookmarkEnd w:id="6726"/>
      <w:r w:rsidRPr="000665B0">
        <w:rPr>
          <w:b/>
        </w:rPr>
        <w:t>N</w:t>
      </w:r>
      <w:r w:rsidR="004D6FF6" w:rsidRPr="000665B0">
        <w:rPr>
          <w:b/>
        </w:rPr>
        <w:t>ote</w:t>
      </w:r>
      <w:r w:rsidRPr="000665B0">
        <w:rPr>
          <w:b/>
        </w:rPr>
        <w:t>:</w:t>
      </w:r>
      <w:r w:rsidRPr="000665B0">
        <w:rPr>
          <w:b/>
        </w:rPr>
        <w:br/>
        <w:t>Attachment file names cannot exceed 60 characters, including the file name’s extension. The file size of all Attachments must be less than 15MB.</w:t>
      </w:r>
    </w:p>
    <w:p w14:paraId="02C32680" w14:textId="0BD8A67A" w:rsidR="003A458C" w:rsidRPr="000665B0" w:rsidRDefault="003A458C" w:rsidP="009163E5">
      <w:pPr>
        <w:pStyle w:val="Heading3"/>
        <w:keepLines/>
      </w:pPr>
      <w:bookmarkStart w:id="6729" w:name="_5.38.7__Archive_1"/>
      <w:bookmarkStart w:id="6730" w:name="_Toc214283579"/>
      <w:bookmarkEnd w:id="6729"/>
      <w:r w:rsidRPr="000665B0">
        <w:t>Archive and Restore Completed Strike</w:t>
      </w:r>
      <w:bookmarkEnd w:id="6727"/>
      <w:bookmarkEnd w:id="6728"/>
      <w:bookmarkEnd w:id="6730"/>
    </w:p>
    <w:p w14:paraId="13A8A7E3" w14:textId="69C5D7D0" w:rsidR="009B7F62" w:rsidRPr="000665B0" w:rsidRDefault="009B7F62" w:rsidP="00585646">
      <w:r w:rsidRPr="000665B0">
        <w:t>After a strike has been executed, it must be preserved.</w:t>
      </w:r>
      <w:r w:rsidRPr="000665B0" w:rsidDel="001F436A">
        <w:t xml:space="preserve"> </w:t>
      </w:r>
      <w:r w:rsidRPr="000665B0">
        <w:t xml:space="preserve">To archive a completed strike, send the Strike Execution Folder to media using a DDO template, ensuring that the </w:t>
      </w:r>
      <w:r w:rsidRPr="000665B0">
        <w:rPr>
          <w:b/>
        </w:rPr>
        <w:t>Include All Strike Data</w:t>
      </w:r>
      <w:r w:rsidRPr="000665B0">
        <w:t xml:space="preserve"> checkbox is selected on the </w:t>
      </w:r>
      <w:r w:rsidRPr="000665B0">
        <w:rPr>
          <w:b/>
          <w:i/>
        </w:rPr>
        <w:t>Strike Data</w:t>
      </w:r>
      <w:r w:rsidRPr="000665B0">
        <w:t xml:space="preserve"> tab. The procedure is similar to Sending a Strike Folder or Strike Option via Comms using a DDO template, except that the button for the </w:t>
      </w:r>
      <w:r w:rsidRPr="000665B0">
        <w:rPr>
          <w:b/>
        </w:rPr>
        <w:t>Media</w:t>
      </w:r>
      <w:r w:rsidRPr="000665B0">
        <w:t xml:space="preserve"> Distribution Mode must be selected in place of the </w:t>
      </w:r>
      <w:r w:rsidRPr="000665B0">
        <w:rPr>
          <w:b/>
        </w:rPr>
        <w:t>Comms</w:t>
      </w:r>
      <w:r w:rsidRPr="000665B0">
        <w:t xml:space="preserve"> default. See </w:t>
      </w:r>
      <w:hyperlink w:anchor="_5.37.10__Send" w:history="1">
        <w:r w:rsidR="009326FE" w:rsidRPr="000665B0">
          <w:rPr>
            <w:rStyle w:val="Hyperlink"/>
          </w:rPr>
          <w:t xml:space="preserve">Section </w:t>
        </w:r>
        <w:r w:rsidR="004231CC">
          <w:rPr>
            <w:rStyle w:val="Hyperlink"/>
          </w:rPr>
          <w:t>5.34</w:t>
        </w:r>
        <w:r w:rsidR="0089269C" w:rsidRPr="000665B0">
          <w:rPr>
            <w:rStyle w:val="Hyperlink"/>
          </w:rPr>
          <w:t>.11</w:t>
        </w:r>
      </w:hyperlink>
      <w:r w:rsidRPr="000665B0">
        <w:t xml:space="preserve">. If the Strike Execution Folder needs to be restored at a later date, the operator can read the saved DDO back into the system via the </w:t>
      </w:r>
      <w:r w:rsidRPr="000665B0">
        <w:rPr>
          <w:b/>
        </w:rPr>
        <w:t xml:space="preserve">File </w:t>
      </w:r>
      <w:r w:rsidRPr="000665B0">
        <w:rPr>
          <w:b/>
        </w:rPr>
        <w:sym w:font="Wingdings" w:char="F0E0"/>
      </w:r>
      <w:r w:rsidRPr="000665B0">
        <w:rPr>
          <w:b/>
        </w:rPr>
        <w:t xml:space="preserve"> Receive File</w:t>
      </w:r>
      <w:r w:rsidRPr="000665B0">
        <w:t xml:space="preserve"> feature (see </w:t>
      </w:r>
      <w:hyperlink w:anchor="_5.2.1.7__Receive" w:history="1">
        <w:r w:rsidRPr="000665B0">
          <w:rPr>
            <w:rStyle w:val="Hyperlink"/>
          </w:rPr>
          <w:t>Section 5.2.1.7</w:t>
        </w:r>
      </w:hyperlink>
      <w:r w:rsidRPr="000665B0">
        <w:t>).</w:t>
      </w:r>
    </w:p>
    <w:p w14:paraId="483D6976" w14:textId="1177600E" w:rsidR="00CC67F3" w:rsidRPr="000665B0" w:rsidRDefault="00CC67F3" w:rsidP="00B35EE5">
      <w:pPr>
        <w:pStyle w:val="Heading3"/>
      </w:pPr>
      <w:bookmarkStart w:id="6731" w:name="_5.38.8__Strike"/>
      <w:bookmarkStart w:id="6732" w:name="_Toc112733797"/>
      <w:bookmarkStart w:id="6733" w:name="_Toc289328933"/>
      <w:bookmarkStart w:id="6734" w:name="_Toc312332088"/>
      <w:bookmarkStart w:id="6735" w:name="_Toc214283580"/>
      <w:bookmarkEnd w:id="6716"/>
      <w:bookmarkEnd w:id="6731"/>
      <w:r w:rsidRPr="000665B0">
        <w:t>Strike Execution FAQ</w:t>
      </w:r>
      <w:bookmarkEnd w:id="6732"/>
      <w:bookmarkEnd w:id="6733"/>
      <w:bookmarkEnd w:id="6734"/>
      <w:bookmarkEnd w:id="6735"/>
    </w:p>
    <w:p w14:paraId="7703B4F9" w14:textId="7682F6D8" w:rsidR="00CC67F3" w:rsidRPr="000665B0" w:rsidRDefault="00CC67F3" w:rsidP="006D5A65">
      <w:pPr>
        <w:pStyle w:val="Heading1"/>
      </w:pPr>
      <w:hyperlink w:anchor="_5.38.1__Create" w:history="1">
        <w:r w:rsidRPr="000665B0">
          <w:t xml:space="preserve">How </w:t>
        </w:r>
        <w:r w:rsidR="00D84A23" w:rsidRPr="000665B0">
          <w:t xml:space="preserve">Do </w:t>
        </w:r>
        <w:r w:rsidRPr="000665B0">
          <w:t xml:space="preserve">I </w:t>
        </w:r>
        <w:r w:rsidR="0024420D" w:rsidRPr="000665B0">
          <w:t xml:space="preserve">Create </w:t>
        </w:r>
        <w:r w:rsidR="00566AD9" w:rsidRPr="000665B0">
          <w:t xml:space="preserve">a </w:t>
        </w:r>
        <w:r w:rsidR="00D84A23" w:rsidRPr="000665B0">
          <w:t xml:space="preserve">New </w:t>
        </w:r>
        <w:r w:rsidR="00566AD9" w:rsidRPr="000665B0">
          <w:t>Strike Execution Folder?</w:t>
        </w:r>
      </w:hyperlink>
      <w:r w:rsidR="00A4192C" w:rsidRPr="000665B0">
        <w:t xml:space="preserve"> See </w:t>
      </w:r>
      <w:hyperlink w:anchor="_Create_a_New" w:history="1">
        <w:r w:rsidR="00E036B6" w:rsidRPr="000665B0">
          <w:rPr>
            <w:rStyle w:val="Hyperlink"/>
          </w:rPr>
          <w:t xml:space="preserve">Section </w:t>
        </w:r>
        <w:r w:rsidR="004231CC">
          <w:rPr>
            <w:rStyle w:val="Hyperlink"/>
          </w:rPr>
          <w:t>5.35</w:t>
        </w:r>
        <w:r w:rsidR="00A4192C" w:rsidRPr="000665B0">
          <w:rPr>
            <w:rStyle w:val="Hyperlink"/>
          </w:rPr>
          <w:t>.1</w:t>
        </w:r>
      </w:hyperlink>
      <w:r w:rsidR="00A4192C" w:rsidRPr="000665B0">
        <w:t>.</w:t>
      </w:r>
    </w:p>
    <w:p w14:paraId="64429DE1" w14:textId="7AC00977" w:rsidR="00CC67F3" w:rsidRPr="000665B0" w:rsidRDefault="00CC67F3" w:rsidP="006D5A65">
      <w:pPr>
        <w:pStyle w:val="Heading1"/>
      </w:pPr>
      <w:hyperlink w:anchor="Rehearsing_a_Strike" w:history="1">
        <w:r w:rsidRPr="000665B0">
          <w:t xml:space="preserve">How </w:t>
        </w:r>
        <w:r w:rsidR="00D84A23" w:rsidRPr="000665B0">
          <w:t xml:space="preserve">Do </w:t>
        </w:r>
        <w:r w:rsidRPr="000665B0">
          <w:t xml:space="preserve">I Rehearse a </w:t>
        </w:r>
        <w:r w:rsidR="004C188B" w:rsidRPr="000665B0">
          <w:t>Strike?</w:t>
        </w:r>
      </w:hyperlink>
      <w:r w:rsidR="00A4192C" w:rsidRPr="000665B0">
        <w:t xml:space="preserve"> See </w:t>
      </w:r>
      <w:hyperlink w:anchor="_Rehearsing_a_Strike" w:history="1">
        <w:r w:rsidR="00A4192C" w:rsidRPr="000665B0">
          <w:rPr>
            <w:rStyle w:val="Hyperlink"/>
          </w:rPr>
          <w:t xml:space="preserve">Section </w:t>
        </w:r>
        <w:r w:rsidR="004231CC">
          <w:rPr>
            <w:rStyle w:val="Hyperlink"/>
          </w:rPr>
          <w:t>5.38</w:t>
        </w:r>
        <w:r w:rsidR="00A4192C" w:rsidRPr="000665B0">
          <w:rPr>
            <w:rStyle w:val="Hyperlink"/>
          </w:rPr>
          <w:t>.2</w:t>
        </w:r>
      </w:hyperlink>
      <w:r w:rsidR="00A4192C" w:rsidRPr="000665B0">
        <w:t>.</w:t>
      </w:r>
    </w:p>
    <w:p w14:paraId="6AAFB074" w14:textId="6C4779B9" w:rsidR="00CC67F3" w:rsidRPr="000665B0" w:rsidRDefault="00CC67F3" w:rsidP="006D5A65">
      <w:pPr>
        <w:pStyle w:val="Heading1"/>
      </w:pPr>
      <w:hyperlink w:anchor="_5.38.3.1.8.2.3__Sending" w:history="1">
        <w:r w:rsidRPr="000665B0">
          <w:t xml:space="preserve">How </w:t>
        </w:r>
        <w:r w:rsidR="00D84A23" w:rsidRPr="000665B0">
          <w:t xml:space="preserve">Do I </w:t>
        </w:r>
        <w:r w:rsidR="0024420D" w:rsidRPr="000665B0">
          <w:t xml:space="preserve">Send </w:t>
        </w:r>
        <w:r w:rsidR="00CF772A" w:rsidRPr="000665B0">
          <w:t>a Secondary Execution Message (SEM)?</w:t>
        </w:r>
      </w:hyperlink>
      <w:r w:rsidR="00A4192C" w:rsidRPr="000665B0">
        <w:t xml:space="preserve"> See </w:t>
      </w:r>
      <w:hyperlink w:anchor="_Send_an_SEM" w:history="1">
        <w:r w:rsidR="0096111B" w:rsidRPr="000665B0">
          <w:rPr>
            <w:rStyle w:val="Hyperlink"/>
          </w:rPr>
          <w:t xml:space="preserve">Section </w:t>
        </w:r>
        <w:r w:rsidR="004231CC">
          <w:rPr>
            <w:rStyle w:val="Hyperlink"/>
          </w:rPr>
          <w:t>5.35</w:t>
        </w:r>
        <w:r w:rsidR="0096111B" w:rsidRPr="000665B0">
          <w:rPr>
            <w:rStyle w:val="Hyperlink"/>
          </w:rPr>
          <w:t>.3.1.9</w:t>
        </w:r>
        <w:r w:rsidR="00A4192C" w:rsidRPr="000665B0">
          <w:rPr>
            <w:rStyle w:val="Hyperlink"/>
          </w:rPr>
          <w:t>.2.2</w:t>
        </w:r>
      </w:hyperlink>
      <w:r w:rsidR="00A4192C" w:rsidRPr="000665B0">
        <w:t>.</w:t>
      </w:r>
    </w:p>
    <w:p w14:paraId="71114BAC" w14:textId="43CF0583" w:rsidR="00CC67F3" w:rsidRPr="000665B0" w:rsidRDefault="00CC67F3" w:rsidP="006D5A65">
      <w:pPr>
        <w:pStyle w:val="Heading1"/>
      </w:pPr>
      <w:hyperlink w:anchor="_5.38.3.1.8.2.1__Manually_1" w:history="1">
        <w:r w:rsidRPr="000665B0">
          <w:t xml:space="preserve">How </w:t>
        </w:r>
        <w:r w:rsidR="00D84A23" w:rsidRPr="000665B0">
          <w:t xml:space="preserve">Do I Manually </w:t>
        </w:r>
        <w:r w:rsidR="004C188B" w:rsidRPr="000665B0">
          <w:t>Generate</w:t>
        </w:r>
        <w:r w:rsidR="0024420D" w:rsidRPr="000665B0">
          <w:t xml:space="preserve"> </w:t>
        </w:r>
        <w:r w:rsidRPr="000665B0">
          <w:t xml:space="preserve">a </w:t>
        </w:r>
        <w:r w:rsidR="007A78D4" w:rsidRPr="000665B0">
          <w:t xml:space="preserve">Strike Exception </w:t>
        </w:r>
        <w:r w:rsidR="00D84A23" w:rsidRPr="000665B0">
          <w:t>for a Missile?</w:t>
        </w:r>
      </w:hyperlink>
      <w:r w:rsidR="00A4192C" w:rsidRPr="000665B0">
        <w:t xml:space="preserve"> See </w:t>
      </w:r>
      <w:hyperlink w:anchor="_5.38.3.1.8.2.1__Manually_1" w:history="1">
        <w:r w:rsidR="0096111B" w:rsidRPr="000665B0">
          <w:rPr>
            <w:rStyle w:val="Hyperlink"/>
          </w:rPr>
          <w:t xml:space="preserve">Section </w:t>
        </w:r>
        <w:r w:rsidR="004231CC">
          <w:rPr>
            <w:rStyle w:val="Hyperlink"/>
          </w:rPr>
          <w:t>5.35</w:t>
        </w:r>
        <w:r w:rsidR="0096111B" w:rsidRPr="000665B0">
          <w:rPr>
            <w:rStyle w:val="Hyperlink"/>
          </w:rPr>
          <w:t>.3.1.9</w:t>
        </w:r>
        <w:r w:rsidR="00A4192C" w:rsidRPr="000665B0">
          <w:rPr>
            <w:rStyle w:val="Hyperlink"/>
          </w:rPr>
          <w:t>.2.1</w:t>
        </w:r>
      </w:hyperlink>
      <w:r w:rsidR="00A4192C" w:rsidRPr="000665B0">
        <w:t>.</w:t>
      </w:r>
    </w:p>
    <w:p w14:paraId="3F90F727" w14:textId="59B3686C" w:rsidR="00CC67F3" w:rsidRPr="000665B0" w:rsidRDefault="00CC67F3" w:rsidP="006D5A65">
      <w:pPr>
        <w:pStyle w:val="Heading1"/>
      </w:pPr>
      <w:hyperlink w:anchor="_5.38.3.1.8.2.4__Reassign" w:history="1">
        <w:r w:rsidRPr="000665B0">
          <w:t xml:space="preserve">How </w:t>
        </w:r>
        <w:r w:rsidR="00D84A23" w:rsidRPr="000665B0">
          <w:t>Do I</w:t>
        </w:r>
        <w:r w:rsidRPr="000665B0">
          <w:t xml:space="preserve"> </w:t>
        </w:r>
        <w:r w:rsidR="0024420D" w:rsidRPr="000665B0">
          <w:t xml:space="preserve">Reassign </w:t>
        </w:r>
        <w:r w:rsidRPr="000665B0">
          <w:t xml:space="preserve">a </w:t>
        </w:r>
        <w:r w:rsidR="0024420D" w:rsidRPr="000665B0">
          <w:t xml:space="preserve">Missile </w:t>
        </w:r>
        <w:r w:rsidRPr="000665B0">
          <w:t xml:space="preserve">to a </w:t>
        </w:r>
        <w:r w:rsidR="0024420D" w:rsidRPr="000665B0">
          <w:t xml:space="preserve">Different </w:t>
        </w:r>
        <w:r w:rsidR="00283C2D" w:rsidRPr="000665B0">
          <w:t>FRU?</w:t>
        </w:r>
      </w:hyperlink>
      <w:r w:rsidR="00A4192C" w:rsidRPr="000665B0">
        <w:t xml:space="preserve"> </w:t>
      </w:r>
      <w:r w:rsidR="004B7234" w:rsidRPr="000665B0">
        <w:t xml:space="preserve">See </w:t>
      </w:r>
      <w:hyperlink w:anchor="_5.38.3.1.8.2.4__Reassign" w:history="1">
        <w:r w:rsidR="0096111B" w:rsidRPr="000665B0">
          <w:rPr>
            <w:rStyle w:val="Hyperlink"/>
          </w:rPr>
          <w:t xml:space="preserve">Section </w:t>
        </w:r>
        <w:r w:rsidR="004231CC">
          <w:rPr>
            <w:rStyle w:val="Hyperlink"/>
          </w:rPr>
          <w:t>5.35</w:t>
        </w:r>
        <w:r w:rsidR="0096111B" w:rsidRPr="000665B0">
          <w:rPr>
            <w:rStyle w:val="Hyperlink"/>
          </w:rPr>
          <w:t>.3.1.9</w:t>
        </w:r>
        <w:r w:rsidR="004B7234" w:rsidRPr="000665B0">
          <w:rPr>
            <w:rStyle w:val="Hyperlink"/>
          </w:rPr>
          <w:t>.2.3</w:t>
        </w:r>
      </w:hyperlink>
      <w:r w:rsidR="004B7234" w:rsidRPr="000665B0">
        <w:t>.</w:t>
      </w:r>
    </w:p>
    <w:p w14:paraId="37665BC6" w14:textId="33929721" w:rsidR="00CC67F3" w:rsidRPr="000665B0" w:rsidRDefault="00CC67F3" w:rsidP="006D5A65">
      <w:pPr>
        <w:pStyle w:val="Heading1"/>
      </w:pPr>
      <w:hyperlink w:anchor="_5.38.3.1.8.2.7__Fail_1" w:history="1">
        <w:r w:rsidRPr="000665B0">
          <w:t xml:space="preserve">How </w:t>
        </w:r>
        <w:r w:rsidR="00D84A23" w:rsidRPr="000665B0">
          <w:t>Do I</w:t>
        </w:r>
        <w:r w:rsidRPr="000665B0">
          <w:t xml:space="preserve"> </w:t>
        </w:r>
        <w:r w:rsidR="0024420D" w:rsidRPr="000665B0">
          <w:t xml:space="preserve">Fail </w:t>
        </w:r>
        <w:r w:rsidRPr="000665B0">
          <w:t xml:space="preserve">a </w:t>
        </w:r>
        <w:r w:rsidR="00D84A23" w:rsidRPr="000665B0">
          <w:t>Missile?</w:t>
        </w:r>
      </w:hyperlink>
      <w:r w:rsidR="004B7234" w:rsidRPr="000665B0">
        <w:t xml:space="preserve"> See </w:t>
      </w:r>
      <w:hyperlink w:anchor="_Fail_a_Missile" w:history="1">
        <w:r w:rsidR="0096111B" w:rsidRPr="000665B0">
          <w:rPr>
            <w:rStyle w:val="Hyperlink"/>
          </w:rPr>
          <w:t xml:space="preserve">Section </w:t>
        </w:r>
        <w:r w:rsidR="004231CC">
          <w:rPr>
            <w:rStyle w:val="Hyperlink"/>
          </w:rPr>
          <w:t>5.35</w:t>
        </w:r>
        <w:r w:rsidR="0096111B" w:rsidRPr="000665B0">
          <w:rPr>
            <w:rStyle w:val="Hyperlink"/>
          </w:rPr>
          <w:t>.3.1.9</w:t>
        </w:r>
        <w:r w:rsidR="004B7234" w:rsidRPr="000665B0">
          <w:rPr>
            <w:rStyle w:val="Hyperlink"/>
          </w:rPr>
          <w:t>.2.6</w:t>
        </w:r>
      </w:hyperlink>
      <w:r w:rsidR="004B7234" w:rsidRPr="000665B0">
        <w:t>.</w:t>
      </w:r>
    </w:p>
    <w:p w14:paraId="6CDB9524" w14:textId="41CFBFCE" w:rsidR="00E178C8" w:rsidRPr="000665B0" w:rsidRDefault="00CC67F3" w:rsidP="006D5A65">
      <w:pPr>
        <w:pStyle w:val="Heading1"/>
      </w:pPr>
      <w:hyperlink w:anchor="_5.38.3.1.9.1__How" w:history="1">
        <w:r w:rsidRPr="000665B0">
          <w:t xml:space="preserve">How </w:t>
        </w:r>
        <w:r w:rsidR="00D84A23" w:rsidRPr="000665B0">
          <w:t>Do I</w:t>
        </w:r>
        <w:r w:rsidRPr="000665B0">
          <w:t xml:space="preserve"> </w:t>
        </w:r>
        <w:r w:rsidR="0024420D" w:rsidRPr="000665B0">
          <w:t xml:space="preserve">Send </w:t>
        </w:r>
        <w:r w:rsidRPr="000665B0">
          <w:t xml:space="preserve">a </w:t>
        </w:r>
        <w:r w:rsidR="00D84A23" w:rsidRPr="000665B0">
          <w:t>Ping?</w:t>
        </w:r>
      </w:hyperlink>
      <w:r w:rsidR="00A662FE" w:rsidRPr="000665B0">
        <w:t xml:space="preserve"> See </w:t>
      </w:r>
      <w:hyperlink w:anchor="_5.38.3.1.9.1__How" w:history="1">
        <w:r w:rsidR="006752F4" w:rsidRPr="000665B0">
          <w:rPr>
            <w:rStyle w:val="Hyperlink"/>
          </w:rPr>
          <w:t xml:space="preserve">Section </w:t>
        </w:r>
        <w:r w:rsidR="004231CC">
          <w:rPr>
            <w:rStyle w:val="Hyperlink"/>
          </w:rPr>
          <w:t>5.35</w:t>
        </w:r>
        <w:r w:rsidR="006752F4" w:rsidRPr="000665B0">
          <w:rPr>
            <w:rStyle w:val="Hyperlink"/>
          </w:rPr>
          <w:t>.3.1.10</w:t>
        </w:r>
        <w:r w:rsidR="00A662FE" w:rsidRPr="000665B0">
          <w:rPr>
            <w:rStyle w:val="Hyperlink"/>
          </w:rPr>
          <w:t>.1</w:t>
        </w:r>
      </w:hyperlink>
      <w:r w:rsidR="00A662FE" w:rsidRPr="000665B0">
        <w:t>.</w:t>
      </w:r>
    </w:p>
    <w:p w14:paraId="3EF57A98" w14:textId="2D76278C" w:rsidR="005A4BA0" w:rsidRPr="000665B0" w:rsidRDefault="005A4BA0" w:rsidP="006D5A65">
      <w:pPr>
        <w:pStyle w:val="Heading1"/>
      </w:pPr>
      <w:hyperlink w:anchor="_5.38.3.1.7.1.1__How_1" w:history="1">
        <w:r w:rsidRPr="000665B0">
          <w:t xml:space="preserve">How </w:t>
        </w:r>
        <w:r w:rsidR="00283C2D" w:rsidRPr="000665B0">
          <w:t>Do I</w:t>
        </w:r>
        <w:r w:rsidRPr="000665B0">
          <w:t xml:space="preserve"> Reroute </w:t>
        </w:r>
        <w:r w:rsidR="00283C2D" w:rsidRPr="000665B0">
          <w:t xml:space="preserve">a </w:t>
        </w:r>
        <w:r w:rsidRPr="000665B0">
          <w:t xml:space="preserve">Missile </w:t>
        </w:r>
        <w:r w:rsidR="0024420D" w:rsidRPr="000665B0">
          <w:t xml:space="preserve">Using </w:t>
        </w:r>
        <w:r w:rsidR="00283C2D" w:rsidRPr="000665B0">
          <w:t>Flex?</w:t>
        </w:r>
      </w:hyperlink>
      <w:r w:rsidR="00A662FE" w:rsidRPr="000665B0">
        <w:t xml:space="preserve"> See </w:t>
      </w:r>
      <w:hyperlink w:anchor="_How_to_Reroute" w:history="1">
        <w:r w:rsidR="00985815" w:rsidRPr="000665B0">
          <w:rPr>
            <w:rStyle w:val="Hyperlink"/>
          </w:rPr>
          <w:t xml:space="preserve">Section </w:t>
        </w:r>
        <w:r w:rsidR="004231CC">
          <w:rPr>
            <w:rStyle w:val="Hyperlink"/>
          </w:rPr>
          <w:t>5.35</w:t>
        </w:r>
        <w:r w:rsidR="00985815" w:rsidRPr="000665B0">
          <w:rPr>
            <w:rStyle w:val="Hyperlink"/>
          </w:rPr>
          <w:t>.3.1.8</w:t>
        </w:r>
        <w:r w:rsidR="00A662FE" w:rsidRPr="000665B0">
          <w:rPr>
            <w:rStyle w:val="Hyperlink"/>
          </w:rPr>
          <w:t>.1.1</w:t>
        </w:r>
      </w:hyperlink>
      <w:r w:rsidR="00A662FE" w:rsidRPr="000665B0">
        <w:t>.</w:t>
      </w:r>
    </w:p>
    <w:p w14:paraId="6A6CDE13" w14:textId="50AC9F09" w:rsidR="00676ACB" w:rsidRPr="000665B0" w:rsidRDefault="00552D44" w:rsidP="006D5A65">
      <w:pPr>
        <w:pStyle w:val="Heading1"/>
      </w:pPr>
      <w:hyperlink w:anchor="_5.38.3.1.7.1.2_How_to" w:history="1">
        <w:r w:rsidRPr="000665B0">
          <w:t xml:space="preserve">How </w:t>
        </w:r>
        <w:r w:rsidR="00283C2D" w:rsidRPr="000665B0">
          <w:t>Do</w:t>
        </w:r>
        <w:r w:rsidR="00CF772A" w:rsidRPr="000665B0">
          <w:t xml:space="preserve"> </w:t>
        </w:r>
        <w:r w:rsidR="00283C2D" w:rsidRPr="000665B0">
          <w:t>I</w:t>
        </w:r>
        <w:r w:rsidRPr="000665B0">
          <w:t xml:space="preserve"> </w:t>
        </w:r>
        <w:r w:rsidR="00283C2D" w:rsidRPr="000665B0">
          <w:t xml:space="preserve">Make a </w:t>
        </w:r>
        <w:r w:rsidRPr="000665B0">
          <w:t>Retarget</w:t>
        </w:r>
        <w:r w:rsidR="00283C2D" w:rsidRPr="000665B0">
          <w:t xml:space="preserve"> or </w:t>
        </w:r>
        <w:r w:rsidRPr="000665B0">
          <w:t xml:space="preserve">Aimpoint </w:t>
        </w:r>
        <w:r w:rsidR="00283C2D" w:rsidRPr="000665B0">
          <w:t>Update?</w:t>
        </w:r>
      </w:hyperlink>
      <w:r w:rsidR="00A662FE" w:rsidRPr="000665B0">
        <w:t xml:space="preserve"> See </w:t>
      </w:r>
      <w:hyperlink w:anchor="_5.38.3.1.7.1.2_How_to" w:history="1">
        <w:r w:rsidR="00985815" w:rsidRPr="000665B0">
          <w:rPr>
            <w:rStyle w:val="Hyperlink"/>
          </w:rPr>
          <w:t xml:space="preserve">Section </w:t>
        </w:r>
        <w:r w:rsidR="004231CC">
          <w:rPr>
            <w:rStyle w:val="Hyperlink"/>
          </w:rPr>
          <w:t>5.35</w:t>
        </w:r>
        <w:r w:rsidR="00985815" w:rsidRPr="000665B0">
          <w:rPr>
            <w:rStyle w:val="Hyperlink"/>
          </w:rPr>
          <w:t>.3.1.8</w:t>
        </w:r>
        <w:r w:rsidR="00A662FE" w:rsidRPr="000665B0">
          <w:rPr>
            <w:rStyle w:val="Hyperlink"/>
          </w:rPr>
          <w:t>.1.2</w:t>
        </w:r>
      </w:hyperlink>
      <w:r w:rsidR="00A662FE" w:rsidRPr="000665B0">
        <w:t>.</w:t>
      </w:r>
    </w:p>
    <w:bookmarkStart w:id="6736" w:name="_Toc96170319"/>
    <w:bookmarkStart w:id="6737" w:name="_Toc96234364"/>
    <w:bookmarkStart w:id="6738" w:name="_Toc108834021"/>
    <w:bookmarkStart w:id="6739" w:name="_Toc112733798"/>
    <w:p w14:paraId="6D907C54" w14:textId="41B43176" w:rsidR="005A4BA0" w:rsidRPr="000665B0" w:rsidRDefault="000F5A15" w:rsidP="006D5A65">
      <w:pPr>
        <w:pStyle w:val="Heading1"/>
      </w:pPr>
      <w:r w:rsidRPr="000665B0">
        <w:fldChar w:fldCharType="begin"/>
      </w:r>
      <w:r w:rsidR="00222742" w:rsidRPr="000665B0">
        <w:instrText>HYPERLINK  \l "_5.38.15__What"</w:instrText>
      </w:r>
      <w:r w:rsidRPr="000665B0">
        <w:fldChar w:fldCharType="separate"/>
      </w:r>
      <w:r w:rsidR="005A4BA0" w:rsidRPr="000665B0">
        <w:t xml:space="preserve">What Time </w:t>
      </w:r>
      <w:r w:rsidR="0024420D" w:rsidRPr="000665B0">
        <w:t xml:space="preserve">Needs </w:t>
      </w:r>
      <w:r w:rsidR="005A4BA0" w:rsidRPr="000665B0">
        <w:t xml:space="preserve">to be </w:t>
      </w:r>
      <w:r w:rsidR="0024420D" w:rsidRPr="000665B0">
        <w:t xml:space="preserve">Considered </w:t>
      </w:r>
      <w:r w:rsidR="005A4BA0" w:rsidRPr="000665B0">
        <w:t>when Shifting Times?</w:t>
      </w:r>
      <w:r w:rsidRPr="000665B0">
        <w:fldChar w:fldCharType="end"/>
      </w:r>
      <w:r w:rsidR="003C5193" w:rsidRPr="000665B0">
        <w:t xml:space="preserve"> See </w:t>
      </w:r>
      <w:hyperlink w:anchor="_What_Time_Needs" w:history="1">
        <w:r w:rsidR="00E036B6" w:rsidRPr="000665B0">
          <w:rPr>
            <w:rStyle w:val="Hyperlink"/>
          </w:rPr>
          <w:t xml:space="preserve">Section </w:t>
        </w:r>
        <w:r w:rsidR="004231CC">
          <w:rPr>
            <w:rStyle w:val="Hyperlink"/>
          </w:rPr>
          <w:t>5.35</w:t>
        </w:r>
        <w:r w:rsidR="003C5193" w:rsidRPr="000665B0">
          <w:rPr>
            <w:rStyle w:val="Hyperlink"/>
          </w:rPr>
          <w:t>.16</w:t>
        </w:r>
      </w:hyperlink>
      <w:r w:rsidR="003C5193" w:rsidRPr="000665B0">
        <w:t>.</w:t>
      </w:r>
    </w:p>
    <w:p w14:paraId="5AFEA544" w14:textId="7BF25606" w:rsidR="00702188" w:rsidRPr="000665B0" w:rsidRDefault="00702188" w:rsidP="006D5A65">
      <w:pPr>
        <w:pStyle w:val="Heading1"/>
      </w:pPr>
      <w:hyperlink w:anchor="_Appendix_Q_Strike" w:history="1">
        <w:r w:rsidRPr="000665B0">
          <w:t>Strike Execution Comms Setup Guidelines</w:t>
        </w:r>
      </w:hyperlink>
      <w:r w:rsidR="003C5193" w:rsidRPr="000665B0">
        <w:t xml:space="preserve">. </w:t>
      </w:r>
      <w:hyperlink w:anchor="_Appendix_Q_Strike" w:history="1">
        <w:r w:rsidR="003C5193" w:rsidRPr="000665B0">
          <w:t>See</w:t>
        </w:r>
      </w:hyperlink>
      <w:r w:rsidR="003C5193" w:rsidRPr="000665B0">
        <w:t xml:space="preserve"> </w:t>
      </w:r>
      <w:hyperlink w:anchor="Strike_Comms_Setup_Guidelines" w:history="1">
        <w:r w:rsidR="003C5193" w:rsidRPr="000665B0">
          <w:rPr>
            <w:rStyle w:val="Hyperlink"/>
          </w:rPr>
          <w:t>Appendix O</w:t>
        </w:r>
      </w:hyperlink>
      <w:r w:rsidR="003C5193" w:rsidRPr="000665B0">
        <w:t>.</w:t>
      </w:r>
    </w:p>
    <w:p w14:paraId="7616FA31" w14:textId="2FC0803A" w:rsidR="00702188" w:rsidRPr="000665B0" w:rsidRDefault="00702188" w:rsidP="006D5A65">
      <w:pPr>
        <w:pStyle w:val="Heading1"/>
      </w:pPr>
      <w:hyperlink w:anchor="_Appendix_R_Strike" w:history="1">
        <w:r w:rsidRPr="000665B0">
          <w:t>Strike Execution Guidelines</w:t>
        </w:r>
      </w:hyperlink>
      <w:r w:rsidR="001E3F28" w:rsidRPr="000665B0">
        <w:t>. See</w:t>
      </w:r>
      <w:r w:rsidR="001E3F28" w:rsidRPr="000665B0">
        <w:rPr>
          <w:rStyle w:val="Hyperlink"/>
        </w:rPr>
        <w:t xml:space="preserve"> </w:t>
      </w:r>
      <w:hyperlink w:anchor="Strike_Execution_Guidelines" w:history="1">
        <w:r w:rsidR="001E3F28" w:rsidRPr="000665B0">
          <w:rPr>
            <w:rStyle w:val="Hyperlink"/>
          </w:rPr>
          <w:t>Appendix P</w:t>
        </w:r>
      </w:hyperlink>
      <w:r w:rsidR="001E3F28" w:rsidRPr="000665B0">
        <w:t>.</w:t>
      </w:r>
    </w:p>
    <w:p w14:paraId="6A89177E" w14:textId="56B26EE7" w:rsidR="00CC67F3" w:rsidRPr="000665B0" w:rsidRDefault="00CC67F3" w:rsidP="00B35EE5">
      <w:pPr>
        <w:pStyle w:val="Heading3"/>
      </w:pPr>
      <w:bookmarkStart w:id="6740" w:name="_Toc289328934"/>
      <w:bookmarkStart w:id="6741" w:name="_Toc312332089"/>
      <w:bookmarkStart w:id="6742" w:name="_Toc214283581"/>
      <w:r w:rsidRPr="000665B0">
        <w:t>Print</w:t>
      </w:r>
      <w:bookmarkEnd w:id="6736"/>
      <w:bookmarkEnd w:id="6737"/>
      <w:bookmarkEnd w:id="6738"/>
      <w:bookmarkEnd w:id="6739"/>
      <w:r w:rsidR="006C312D" w:rsidRPr="000665B0">
        <w:t xml:space="preserve"> All</w:t>
      </w:r>
      <w:bookmarkEnd w:id="6740"/>
      <w:bookmarkEnd w:id="6741"/>
      <w:bookmarkEnd w:id="6742"/>
    </w:p>
    <w:p w14:paraId="285739FB" w14:textId="40D5CFA2" w:rsidR="00CC67F3" w:rsidRPr="000665B0" w:rsidRDefault="00F02F03" w:rsidP="00CC67F3">
      <w:r w:rsidRPr="000665B0">
        <w:t>See</w:t>
      </w:r>
      <w:r w:rsidR="00CC67F3" w:rsidRPr="000665B0">
        <w:t xml:space="preserve"> </w:t>
      </w:r>
      <w:hyperlink w:anchor="_5.2.1.5__Print" w:history="1">
        <w:r w:rsidR="00CC67F3" w:rsidRPr="000665B0">
          <w:rPr>
            <w:rStyle w:val="Hyperlink"/>
          </w:rPr>
          <w:t xml:space="preserve">Section </w:t>
        </w:r>
        <w:r w:rsidR="00743590" w:rsidRPr="000665B0">
          <w:rPr>
            <w:rStyle w:val="Hyperlink"/>
          </w:rPr>
          <w:t>5.2.1.</w:t>
        </w:r>
        <w:r w:rsidR="00641324" w:rsidRPr="000665B0">
          <w:rPr>
            <w:rStyle w:val="Hyperlink"/>
          </w:rPr>
          <w:t>5</w:t>
        </w:r>
      </w:hyperlink>
      <w:r w:rsidR="00CC67F3" w:rsidRPr="000665B0">
        <w:t>.</w:t>
      </w:r>
    </w:p>
    <w:p w14:paraId="355819AB" w14:textId="7D194616" w:rsidR="00CC67F3" w:rsidRPr="000665B0" w:rsidRDefault="00277DCD" w:rsidP="00B35EE5">
      <w:pPr>
        <w:pStyle w:val="Heading3"/>
      </w:pPr>
      <w:bookmarkStart w:id="6743" w:name="_Toc96170320"/>
      <w:bookmarkStart w:id="6744" w:name="_Toc96234365"/>
      <w:bookmarkStart w:id="6745" w:name="_Toc108834022"/>
      <w:bookmarkStart w:id="6746" w:name="_Toc112733799"/>
      <w:bookmarkStart w:id="6747" w:name="_Toc289328935"/>
      <w:bookmarkStart w:id="6748" w:name="_Toc312332090"/>
      <w:bookmarkStart w:id="6749" w:name="_Toc214283582"/>
      <w:r w:rsidRPr="000665B0">
        <w:t>Display All in Excel</w:t>
      </w:r>
      <w:bookmarkEnd w:id="6743"/>
      <w:bookmarkEnd w:id="6744"/>
      <w:bookmarkEnd w:id="6745"/>
      <w:bookmarkEnd w:id="6746"/>
      <w:bookmarkEnd w:id="6747"/>
      <w:bookmarkEnd w:id="6748"/>
      <w:bookmarkEnd w:id="6749"/>
    </w:p>
    <w:p w14:paraId="0FDD738A" w14:textId="2C85558B" w:rsidR="00CC67F3" w:rsidRPr="000665B0" w:rsidRDefault="00F02F03" w:rsidP="00CC67F3">
      <w:r w:rsidRPr="000665B0">
        <w:t>See</w:t>
      </w:r>
      <w:r w:rsidR="00CC67F3" w:rsidRPr="000665B0">
        <w:t xml:space="preserve"> </w:t>
      </w:r>
      <w:hyperlink w:anchor="_5.2.1.2.1__Display_1" w:history="1">
        <w:r w:rsidR="00CC67F3" w:rsidRPr="000665B0">
          <w:rPr>
            <w:rStyle w:val="Hyperlink"/>
          </w:rPr>
          <w:t>Section 5.2.1.2.1</w:t>
        </w:r>
      </w:hyperlink>
      <w:r w:rsidR="00CC67F3" w:rsidRPr="000665B0">
        <w:t>.</w:t>
      </w:r>
    </w:p>
    <w:p w14:paraId="3DA6345F" w14:textId="1E5E6F32" w:rsidR="00CC67F3" w:rsidRPr="000665B0" w:rsidRDefault="00CC67F3" w:rsidP="00B35EE5">
      <w:pPr>
        <w:pStyle w:val="Heading3"/>
      </w:pPr>
      <w:bookmarkStart w:id="6750" w:name="_Toc96170321"/>
      <w:bookmarkStart w:id="6751" w:name="_Toc96234366"/>
      <w:bookmarkStart w:id="6752" w:name="_Toc108834023"/>
      <w:bookmarkStart w:id="6753" w:name="_Toc112733800"/>
      <w:bookmarkStart w:id="6754" w:name="_Toc289328936"/>
      <w:bookmarkStart w:id="6755" w:name="_Toc312332091"/>
      <w:bookmarkStart w:id="6756" w:name="_Toc214283583"/>
      <w:r w:rsidRPr="000665B0">
        <w:lastRenderedPageBreak/>
        <w:t>Delete</w:t>
      </w:r>
      <w:bookmarkEnd w:id="6750"/>
      <w:bookmarkEnd w:id="6751"/>
      <w:bookmarkEnd w:id="6752"/>
      <w:bookmarkEnd w:id="6753"/>
      <w:bookmarkEnd w:id="6754"/>
      <w:bookmarkEnd w:id="6755"/>
      <w:bookmarkEnd w:id="6756"/>
    </w:p>
    <w:p w14:paraId="2C34060B" w14:textId="42C088C3" w:rsidR="00CC67F3" w:rsidRPr="000665B0" w:rsidRDefault="00F02F03" w:rsidP="00CC67F3">
      <w:r w:rsidRPr="000665B0">
        <w:t>See</w:t>
      </w:r>
      <w:r w:rsidR="00CC67F3" w:rsidRPr="000665B0">
        <w:t xml:space="preserve"> </w:t>
      </w:r>
      <w:hyperlink w:anchor="_5.2.1.6__Delete" w:history="1">
        <w:r w:rsidR="00CC67F3" w:rsidRPr="000665B0">
          <w:rPr>
            <w:rStyle w:val="Hyperlink"/>
          </w:rPr>
          <w:t xml:space="preserve">Section </w:t>
        </w:r>
        <w:r w:rsidR="00743590" w:rsidRPr="000665B0">
          <w:rPr>
            <w:rStyle w:val="Hyperlink"/>
          </w:rPr>
          <w:t>5.2.1.</w:t>
        </w:r>
        <w:r w:rsidR="00641324" w:rsidRPr="000665B0">
          <w:rPr>
            <w:rStyle w:val="Hyperlink"/>
          </w:rPr>
          <w:t>6</w:t>
        </w:r>
      </w:hyperlink>
      <w:r w:rsidR="00CC67F3" w:rsidRPr="000665B0">
        <w:t>.</w:t>
      </w:r>
    </w:p>
    <w:p w14:paraId="62D88C31" w14:textId="0C68B9A3" w:rsidR="00CC67F3" w:rsidRPr="000665B0" w:rsidRDefault="00CC67F3" w:rsidP="00B35EE5">
      <w:pPr>
        <w:pStyle w:val="Heading3"/>
      </w:pPr>
      <w:bookmarkStart w:id="6757" w:name="_Toc96170322"/>
      <w:bookmarkStart w:id="6758" w:name="_Toc96234367"/>
      <w:bookmarkStart w:id="6759" w:name="_Toc108834024"/>
      <w:bookmarkStart w:id="6760" w:name="_Toc112733801"/>
      <w:bookmarkStart w:id="6761" w:name="_Toc289328937"/>
      <w:bookmarkStart w:id="6762" w:name="_Toc312332092"/>
      <w:bookmarkStart w:id="6763" w:name="_Toc214283584"/>
      <w:r w:rsidRPr="000665B0">
        <w:t>Find</w:t>
      </w:r>
      <w:bookmarkEnd w:id="6757"/>
      <w:bookmarkEnd w:id="6758"/>
      <w:bookmarkEnd w:id="6759"/>
      <w:bookmarkEnd w:id="6760"/>
      <w:bookmarkEnd w:id="6761"/>
      <w:bookmarkEnd w:id="6762"/>
      <w:bookmarkEnd w:id="6763"/>
    </w:p>
    <w:p w14:paraId="2887167C" w14:textId="3F40A4C7" w:rsidR="00CC67F3" w:rsidRPr="000665B0" w:rsidRDefault="00F02F03" w:rsidP="00CC67F3">
      <w:pPr>
        <w:pStyle w:val="Bullet"/>
        <w:spacing w:after="0" w:line="240" w:lineRule="auto"/>
      </w:pPr>
      <w:r w:rsidRPr="000665B0">
        <w:t>See</w:t>
      </w:r>
      <w:r w:rsidR="00CC67F3" w:rsidRPr="000665B0">
        <w:t xml:space="preserve"> </w:t>
      </w:r>
      <w:hyperlink w:anchor="_5.2.5.1__Find_1" w:history="1">
        <w:r w:rsidR="00CC67F3" w:rsidRPr="000665B0">
          <w:rPr>
            <w:rStyle w:val="Hyperlink"/>
          </w:rPr>
          <w:t>Section 5.2.5.1</w:t>
        </w:r>
      </w:hyperlink>
      <w:r w:rsidR="00CC67F3" w:rsidRPr="000665B0">
        <w:t>.</w:t>
      </w:r>
    </w:p>
    <w:p w14:paraId="7443DE65" w14:textId="77777777" w:rsidR="00346105" w:rsidRPr="000665B0" w:rsidRDefault="00346105" w:rsidP="00346105">
      <w:pPr>
        <w:pStyle w:val="Heading3"/>
      </w:pPr>
      <w:bookmarkStart w:id="6764" w:name="_Toc214283585"/>
      <w:r w:rsidRPr="000665B0">
        <w:t>Plugin Tool</w:t>
      </w:r>
      <w:bookmarkEnd w:id="6764"/>
    </w:p>
    <w:p w14:paraId="6AB7CF43" w14:textId="0DAA2D21" w:rsidR="00346105" w:rsidRPr="000665B0" w:rsidRDefault="00F02F03" w:rsidP="00346105">
      <w:pPr>
        <w:pStyle w:val="Bullet"/>
        <w:spacing w:after="0" w:line="240" w:lineRule="auto"/>
      </w:pPr>
      <w:r w:rsidRPr="000665B0">
        <w:t>See</w:t>
      </w:r>
      <w:r w:rsidR="00346105" w:rsidRPr="000665B0">
        <w:t xml:space="preserve"> </w:t>
      </w:r>
      <w:hyperlink w:anchor="_Plugin__Tool" w:history="1">
        <w:r w:rsidR="00346105" w:rsidRPr="000665B0">
          <w:rPr>
            <w:rStyle w:val="Hyperlink"/>
          </w:rPr>
          <w:t>Section 5.2.5.2</w:t>
        </w:r>
      </w:hyperlink>
      <w:r w:rsidR="00346105" w:rsidRPr="000665B0">
        <w:t>.</w:t>
      </w:r>
    </w:p>
    <w:p w14:paraId="61764EFD" w14:textId="469A0B13" w:rsidR="00CC67F3" w:rsidRPr="000665B0" w:rsidRDefault="00CC67F3" w:rsidP="00B35EE5">
      <w:pPr>
        <w:pStyle w:val="Heading3"/>
      </w:pPr>
      <w:bookmarkStart w:id="6765" w:name="_Toc514253735"/>
      <w:bookmarkStart w:id="6766" w:name="_Toc96170323"/>
      <w:bookmarkStart w:id="6767" w:name="_Toc96234368"/>
      <w:bookmarkStart w:id="6768" w:name="_Toc108834025"/>
      <w:bookmarkStart w:id="6769" w:name="_Toc112733802"/>
      <w:bookmarkStart w:id="6770" w:name="_Toc289328938"/>
      <w:bookmarkStart w:id="6771" w:name="_Toc312332093"/>
      <w:bookmarkStart w:id="6772" w:name="_Toc214283586"/>
      <w:bookmarkEnd w:id="6765"/>
      <w:r w:rsidRPr="000665B0">
        <w:t>Select All</w:t>
      </w:r>
      <w:bookmarkEnd w:id="6766"/>
      <w:bookmarkEnd w:id="6767"/>
      <w:bookmarkEnd w:id="6768"/>
      <w:bookmarkEnd w:id="6769"/>
      <w:bookmarkEnd w:id="6770"/>
      <w:bookmarkEnd w:id="6771"/>
      <w:bookmarkEnd w:id="6772"/>
    </w:p>
    <w:p w14:paraId="12C125BE" w14:textId="031D8767" w:rsidR="00CC67F3" w:rsidRPr="000665B0" w:rsidRDefault="00F02F03" w:rsidP="00CC67F3">
      <w:pPr>
        <w:pStyle w:val="Bullet"/>
        <w:spacing w:after="0" w:line="240" w:lineRule="auto"/>
      </w:pPr>
      <w:r w:rsidRPr="000665B0">
        <w:t>See</w:t>
      </w:r>
      <w:r w:rsidR="00CC67F3" w:rsidRPr="000665B0">
        <w:t xml:space="preserve"> </w:t>
      </w:r>
      <w:hyperlink w:anchor="_5.2.2.1__Select_1" w:history="1">
        <w:r w:rsidR="00CC67F3" w:rsidRPr="000665B0">
          <w:rPr>
            <w:rStyle w:val="Hyperlink"/>
          </w:rPr>
          <w:t>Section 5.2.2.1</w:t>
        </w:r>
      </w:hyperlink>
      <w:r w:rsidR="00CC67F3" w:rsidRPr="000665B0">
        <w:t>.</w:t>
      </w:r>
    </w:p>
    <w:p w14:paraId="16D197BC" w14:textId="4A303AEF" w:rsidR="002170A8" w:rsidRPr="000665B0" w:rsidRDefault="002170A8" w:rsidP="00B35EE5">
      <w:pPr>
        <w:pStyle w:val="Heading3"/>
      </w:pPr>
      <w:bookmarkStart w:id="6773" w:name="_5.38.12__Dockable_Windows"/>
      <w:bookmarkStart w:id="6774" w:name="_5.38.13__Dockable_Windows"/>
      <w:bookmarkStart w:id="6775" w:name="_5.38.14__Dockable_Windows"/>
      <w:bookmarkStart w:id="6776" w:name="_5.38.15__Dockable_Windows"/>
      <w:bookmarkStart w:id="6777" w:name="_5.38.14__Dockable"/>
      <w:bookmarkStart w:id="6778" w:name="_5.38.13__Dockable"/>
      <w:bookmarkStart w:id="6779" w:name="_Dockable_Windows"/>
      <w:bookmarkStart w:id="6780" w:name="_Toc289328939"/>
      <w:bookmarkStart w:id="6781" w:name="_Toc312332094"/>
      <w:bookmarkStart w:id="6782" w:name="_Toc214283587"/>
      <w:bookmarkStart w:id="6783" w:name="_Hlk34381692"/>
      <w:bookmarkEnd w:id="6773"/>
      <w:bookmarkEnd w:id="6774"/>
      <w:bookmarkEnd w:id="6775"/>
      <w:bookmarkEnd w:id="6776"/>
      <w:bookmarkEnd w:id="6777"/>
      <w:bookmarkEnd w:id="6778"/>
      <w:bookmarkEnd w:id="6779"/>
      <w:r w:rsidRPr="000665B0">
        <w:t>Dockable Windows</w:t>
      </w:r>
      <w:bookmarkEnd w:id="6780"/>
      <w:bookmarkEnd w:id="6781"/>
      <w:bookmarkEnd w:id="6782"/>
    </w:p>
    <w:p w14:paraId="01B6B322" w14:textId="7E18FCF2" w:rsidR="002170A8" w:rsidRPr="000665B0" w:rsidRDefault="002170A8" w:rsidP="002170A8">
      <w:r w:rsidRPr="000665B0">
        <w:t>Dockable windows allow</w:t>
      </w:r>
      <w:r w:rsidR="006F5018" w:rsidRPr="000665B0">
        <w:t xml:space="preserve"> for</w:t>
      </w:r>
      <w:r w:rsidRPr="000665B0">
        <w:t xml:space="preserve"> greater flexibility in customizing windows to their optimized views. When there are many windows, screen space becomes an issue because only a finite amount of information can be visible at any one time. </w:t>
      </w:r>
      <w:r w:rsidR="006F5018" w:rsidRPr="000665B0">
        <w:t>Dockable windows provide</w:t>
      </w:r>
      <w:r w:rsidRPr="000665B0">
        <w:t xml:space="preserve"> several methods to save screen space. Dockable windows can be enabled</w:t>
      </w:r>
      <w:r w:rsidR="006F5018" w:rsidRPr="000665B0">
        <w:t xml:space="preserve"> or </w:t>
      </w:r>
      <w:r w:rsidRPr="000665B0">
        <w:t>disabled</w:t>
      </w:r>
      <w:r w:rsidR="00E541D5" w:rsidRPr="000665B0">
        <w:t xml:space="preserve"> (see </w:t>
      </w:r>
      <w:hyperlink w:anchor="_Enable/Disable_Windows" w:history="1">
        <w:r w:rsidR="00E036B6" w:rsidRPr="000665B0">
          <w:rPr>
            <w:rStyle w:val="Hyperlink"/>
          </w:rPr>
          <w:t xml:space="preserve">Section </w:t>
        </w:r>
        <w:r w:rsidR="004231CC">
          <w:rPr>
            <w:rStyle w:val="Hyperlink"/>
          </w:rPr>
          <w:t>5.35</w:t>
        </w:r>
        <w:r w:rsidR="00E541D5" w:rsidRPr="000665B0">
          <w:rPr>
            <w:rStyle w:val="Hyperlink"/>
          </w:rPr>
          <w:t>.14.1</w:t>
        </w:r>
      </w:hyperlink>
      <w:r w:rsidR="00E541D5" w:rsidRPr="000665B0">
        <w:t>)</w:t>
      </w:r>
      <w:r w:rsidR="000A5666" w:rsidRPr="000665B0">
        <w:t xml:space="preserve">, </w:t>
      </w:r>
      <w:r w:rsidR="00A7493D" w:rsidRPr="000665B0">
        <w:t xml:space="preserve">moved within the SMD (see </w:t>
      </w:r>
      <w:hyperlink w:anchor="_Floating_Windows" w:history="1">
        <w:r w:rsidR="00E036B6" w:rsidRPr="000665B0">
          <w:rPr>
            <w:rStyle w:val="Hyperlink"/>
          </w:rPr>
          <w:t xml:space="preserve">Section </w:t>
        </w:r>
        <w:r w:rsidR="004231CC">
          <w:rPr>
            <w:rStyle w:val="Hyperlink"/>
          </w:rPr>
          <w:t>5.35</w:t>
        </w:r>
        <w:r w:rsidR="00A7493D" w:rsidRPr="000665B0">
          <w:rPr>
            <w:rStyle w:val="Hyperlink"/>
          </w:rPr>
          <w:t>.14.1.1</w:t>
        </w:r>
      </w:hyperlink>
      <w:r w:rsidR="00A7493D" w:rsidRPr="000665B0">
        <w:t>)</w:t>
      </w:r>
      <w:r w:rsidR="004C15EA" w:rsidRPr="000665B0">
        <w:t>,</w:t>
      </w:r>
      <w:r w:rsidR="00A7493D" w:rsidRPr="000665B0">
        <w:t xml:space="preserve"> </w:t>
      </w:r>
      <w:r w:rsidR="000A5666" w:rsidRPr="000665B0">
        <w:t>and also re-sized with</w:t>
      </w:r>
      <w:r w:rsidR="004C15EA" w:rsidRPr="000665B0">
        <w:t>in</w:t>
      </w:r>
      <w:r w:rsidR="000A5666" w:rsidRPr="000665B0">
        <w:t xml:space="preserve"> the SMD by </w:t>
      </w:r>
      <w:r w:rsidR="00DF6F97" w:rsidRPr="000665B0">
        <w:t>clicking/</w:t>
      </w:r>
      <w:r w:rsidR="000A5666" w:rsidRPr="000665B0">
        <w:t>dragging the outer edge of the window</w:t>
      </w:r>
      <w:r w:rsidRPr="000665B0">
        <w:t>. Disabled windows save processing time as well as screen space. Dockable windows can also be floating</w:t>
      </w:r>
      <w:r w:rsidR="00E541D5" w:rsidRPr="000665B0">
        <w:t xml:space="preserve"> (see </w:t>
      </w:r>
      <w:hyperlink w:anchor="_Floating_Windows_1" w:history="1">
        <w:r w:rsidR="00E036B6" w:rsidRPr="000665B0">
          <w:rPr>
            <w:rStyle w:val="Hyperlink"/>
          </w:rPr>
          <w:t xml:space="preserve">Section </w:t>
        </w:r>
        <w:r w:rsidR="004231CC">
          <w:rPr>
            <w:rStyle w:val="Hyperlink"/>
          </w:rPr>
          <w:t>5.35</w:t>
        </w:r>
        <w:r w:rsidR="00E541D5" w:rsidRPr="000665B0">
          <w:rPr>
            <w:rStyle w:val="Hyperlink"/>
          </w:rPr>
          <w:t>.14.2</w:t>
        </w:r>
      </w:hyperlink>
      <w:r w:rsidR="00E541D5" w:rsidRPr="000665B0">
        <w:t>)</w:t>
      </w:r>
      <w:r w:rsidRPr="000665B0">
        <w:t>. Floating windows are windows that float above their parent window</w:t>
      </w:r>
      <w:r w:rsidR="006F5018" w:rsidRPr="000665B0">
        <w:t xml:space="preserve"> and </w:t>
      </w:r>
      <w:r w:rsidRPr="000665B0">
        <w:t>are ideal for multiple monitors. Dockable windows can also auto-hide</w:t>
      </w:r>
      <w:r w:rsidR="00E541D5" w:rsidRPr="000665B0">
        <w:t xml:space="preserve"> (see </w:t>
      </w:r>
      <w:hyperlink w:anchor="_Auto-Hide_Windows" w:history="1">
        <w:r w:rsidR="00E036B6" w:rsidRPr="000665B0">
          <w:rPr>
            <w:rStyle w:val="Hyperlink"/>
          </w:rPr>
          <w:t xml:space="preserve">Section </w:t>
        </w:r>
        <w:r w:rsidR="004231CC">
          <w:rPr>
            <w:rStyle w:val="Hyperlink"/>
          </w:rPr>
          <w:t>5.35</w:t>
        </w:r>
        <w:r w:rsidR="00E541D5" w:rsidRPr="000665B0">
          <w:rPr>
            <w:rStyle w:val="Hyperlink"/>
          </w:rPr>
          <w:t>.14.3</w:t>
        </w:r>
      </w:hyperlink>
      <w:r w:rsidR="00E541D5" w:rsidRPr="000665B0">
        <w:t>)</w:t>
      </w:r>
      <w:r w:rsidRPr="000665B0">
        <w:t xml:space="preserve">. Auto-hide windows are </w:t>
      </w:r>
      <w:r w:rsidR="00E541D5" w:rsidRPr="000665B0">
        <w:t xml:space="preserve">minimized </w:t>
      </w:r>
      <w:r w:rsidRPr="000665B0">
        <w:t xml:space="preserve">windows that expand and collapse upon demand. Another feature of dockable windows </w:t>
      </w:r>
      <w:r w:rsidR="007D0F14" w:rsidRPr="000665B0">
        <w:t xml:space="preserve">is </w:t>
      </w:r>
      <w:r w:rsidRPr="000665B0">
        <w:t>tabbed windows</w:t>
      </w:r>
      <w:r w:rsidR="00E541D5" w:rsidRPr="000665B0">
        <w:t xml:space="preserve"> (see </w:t>
      </w:r>
      <w:hyperlink w:anchor="_Tabbed_Windows" w:history="1">
        <w:r w:rsidR="00E036B6" w:rsidRPr="000665B0">
          <w:rPr>
            <w:rStyle w:val="Hyperlink"/>
          </w:rPr>
          <w:t xml:space="preserve">Section </w:t>
        </w:r>
        <w:r w:rsidR="004231CC">
          <w:rPr>
            <w:rStyle w:val="Hyperlink"/>
          </w:rPr>
          <w:t>5.35</w:t>
        </w:r>
        <w:r w:rsidR="00E541D5" w:rsidRPr="000665B0">
          <w:rPr>
            <w:rStyle w:val="Hyperlink"/>
          </w:rPr>
          <w:t>.14.4</w:t>
        </w:r>
      </w:hyperlink>
      <w:r w:rsidR="00E541D5" w:rsidRPr="000665B0">
        <w:t>)</w:t>
      </w:r>
      <w:r w:rsidR="00F17E64" w:rsidRPr="000665B0">
        <w:t>,</w:t>
      </w:r>
      <w:r w:rsidR="006F5018" w:rsidRPr="000665B0">
        <w:t xml:space="preserve"> which are</w:t>
      </w:r>
      <w:r w:rsidRPr="000665B0">
        <w:t xml:space="preserve"> windows placed in a tabbed format.</w:t>
      </w:r>
      <w:r w:rsidR="000A5666" w:rsidRPr="000665B0">
        <w:t xml:space="preserve"> </w:t>
      </w:r>
    </w:p>
    <w:p w14:paraId="2B896A70" w14:textId="71BFF592" w:rsidR="00B64A32" w:rsidRPr="000665B0" w:rsidRDefault="002170A8" w:rsidP="002170A8">
      <w:r w:rsidRPr="000665B0">
        <w:t xml:space="preserve">There are </w:t>
      </w:r>
      <w:r w:rsidR="007D0F14" w:rsidRPr="000665B0">
        <w:t xml:space="preserve">two </w:t>
      </w:r>
      <w:r w:rsidRPr="000665B0">
        <w:t>types of dockable windows</w:t>
      </w:r>
      <w:r w:rsidR="007D0F14" w:rsidRPr="000665B0">
        <w:t>:</w:t>
      </w:r>
      <w:r w:rsidRPr="000665B0">
        <w:t xml:space="preserve"> document windows and docked windows. Document windows occupy the main viewing area of </w:t>
      </w:r>
      <w:r w:rsidR="00A7493D" w:rsidRPr="000665B0">
        <w:t>the SMD</w:t>
      </w:r>
      <w:r w:rsidRPr="000665B0">
        <w:t xml:space="preserve">, while docked windows </w:t>
      </w:r>
      <w:r w:rsidR="00A7493D" w:rsidRPr="000665B0">
        <w:t>generally occupy</w:t>
      </w:r>
      <w:r w:rsidRPr="000665B0">
        <w:t xml:space="preserve"> the edges of </w:t>
      </w:r>
      <w:r w:rsidR="00A7493D" w:rsidRPr="000665B0">
        <w:t>the SMD</w:t>
      </w:r>
      <w:r w:rsidRPr="000665B0">
        <w:t>.</w:t>
      </w:r>
      <w:r w:rsidR="00E541D5" w:rsidRPr="000665B0">
        <w:t xml:space="preserve"> </w:t>
      </w:r>
    </w:p>
    <w:p w14:paraId="114575AB" w14:textId="3FDFBA0B" w:rsidR="00B64A32" w:rsidRPr="000665B0" w:rsidRDefault="00E541D5" w:rsidP="002170A8">
      <w:r w:rsidRPr="000665B0">
        <w:t xml:space="preserve">The </w:t>
      </w:r>
      <w:r w:rsidRPr="000665B0">
        <w:rPr>
          <w:i/>
        </w:rPr>
        <w:t>Gantt</w:t>
      </w:r>
      <w:r w:rsidRPr="000665B0">
        <w:t xml:space="preserve"> and </w:t>
      </w:r>
      <w:r w:rsidRPr="000665B0">
        <w:rPr>
          <w:i/>
        </w:rPr>
        <w:t>Geo</w:t>
      </w:r>
      <w:r w:rsidRPr="000665B0">
        <w:t xml:space="preserve"> (which includes the </w:t>
      </w:r>
      <w:r w:rsidRPr="000665B0">
        <w:rPr>
          <w:b/>
        </w:rPr>
        <w:t>GOM</w:t>
      </w:r>
      <w:r w:rsidR="00EB168C" w:rsidRPr="000665B0">
        <w:t xml:space="preserve"> pane</w:t>
      </w:r>
      <w:r w:rsidRPr="000665B0">
        <w:t xml:space="preserve">) </w:t>
      </w:r>
      <w:r w:rsidR="00225C4A" w:rsidRPr="000665B0">
        <w:t xml:space="preserve">windows </w:t>
      </w:r>
      <w:r w:rsidRPr="000665B0">
        <w:t>are document windows</w:t>
      </w:r>
      <w:r w:rsidR="00EB168C" w:rsidRPr="000665B0">
        <w:t xml:space="preserve"> and by default, are displayed at the top of the SMD</w:t>
      </w:r>
      <w:r w:rsidRPr="000665B0">
        <w:t xml:space="preserve">. </w:t>
      </w:r>
      <w:r w:rsidR="00EB168C" w:rsidRPr="000665B0">
        <w:t xml:space="preserve">Document windows can be configured to be floating or </w:t>
      </w:r>
      <w:r w:rsidR="00F819A7" w:rsidRPr="000665B0">
        <w:t>tabbed but</w:t>
      </w:r>
      <w:r w:rsidR="00EB168C" w:rsidRPr="000665B0">
        <w:t xml:space="preserve"> cannot auto-hide. </w:t>
      </w:r>
    </w:p>
    <w:p w14:paraId="5902DCCB" w14:textId="51C51863" w:rsidR="002170A8" w:rsidRPr="000665B0" w:rsidRDefault="00E541D5" w:rsidP="002170A8">
      <w:r w:rsidRPr="000665B0">
        <w:t xml:space="preserve">The </w:t>
      </w:r>
      <w:r w:rsidR="00A7493D" w:rsidRPr="000665B0">
        <w:t>remaining windows</w:t>
      </w:r>
      <w:r w:rsidRPr="000665B0">
        <w:t xml:space="preserve"> are dock</w:t>
      </w:r>
      <w:r w:rsidR="00B64A32" w:rsidRPr="000665B0">
        <w:t>ed</w:t>
      </w:r>
      <w:r w:rsidRPr="000665B0">
        <w:t xml:space="preserve"> windows</w:t>
      </w:r>
      <w:r w:rsidR="00EB168C" w:rsidRPr="000665B0">
        <w:t xml:space="preserve"> and by default, are displayed at the bottom of the SMD</w:t>
      </w:r>
      <w:r w:rsidRPr="000665B0">
        <w:t xml:space="preserve">. Docked windows can be </w:t>
      </w:r>
      <w:r w:rsidR="00EB168C" w:rsidRPr="000665B0">
        <w:t xml:space="preserve">configured to be </w:t>
      </w:r>
      <w:r w:rsidRPr="000665B0">
        <w:t>floating, tabbed, or auto-hide.</w:t>
      </w:r>
    </w:p>
    <w:p w14:paraId="36C51D02" w14:textId="7C7DCE27" w:rsidR="002170A8" w:rsidRPr="000665B0" w:rsidRDefault="002170A8" w:rsidP="00B35EE5">
      <w:pPr>
        <w:pStyle w:val="Heading4"/>
      </w:pPr>
      <w:bookmarkStart w:id="6784" w:name="_Enable/Disable_Windows"/>
      <w:bookmarkStart w:id="6785" w:name="_Toc289328940"/>
      <w:bookmarkEnd w:id="6784"/>
      <w:r w:rsidRPr="000665B0">
        <w:t xml:space="preserve">Enable/Disable </w:t>
      </w:r>
      <w:r w:rsidR="007806A8" w:rsidRPr="000665B0">
        <w:t>W</w:t>
      </w:r>
      <w:r w:rsidRPr="000665B0">
        <w:t>indows</w:t>
      </w:r>
      <w:bookmarkEnd w:id="6785"/>
    </w:p>
    <w:p w14:paraId="42F69A49" w14:textId="77777777" w:rsidR="00C307DD" w:rsidRPr="000665B0" w:rsidRDefault="002170A8" w:rsidP="002170A8">
      <w:r w:rsidRPr="000665B0">
        <w:t xml:space="preserve">The </w:t>
      </w:r>
      <w:r w:rsidRPr="000665B0">
        <w:rPr>
          <w:b/>
        </w:rPr>
        <w:t>View</w:t>
      </w:r>
      <w:r w:rsidRPr="000665B0">
        <w:t xml:space="preserve"> menu item shows a list of all windows that can be enabled/disabled. </w:t>
      </w:r>
    </w:p>
    <w:p w14:paraId="0989C414" w14:textId="0C28EA02" w:rsidR="002170A8" w:rsidRPr="000665B0" w:rsidRDefault="002170A8" w:rsidP="002170A8">
      <w:r w:rsidRPr="000665B0">
        <w:t xml:space="preserve">To enable/disable </w:t>
      </w:r>
      <w:r w:rsidR="00C307DD" w:rsidRPr="000665B0">
        <w:t>a</w:t>
      </w:r>
      <w:r w:rsidR="001E23DB" w:rsidRPr="000665B0">
        <w:t>n individual</w:t>
      </w:r>
      <w:r w:rsidRPr="000665B0">
        <w:t xml:space="preserve"> window</w:t>
      </w:r>
      <w:r w:rsidR="001E23DB" w:rsidRPr="000665B0">
        <w:t xml:space="preserve"> with</w:t>
      </w:r>
      <w:r w:rsidR="000A5666" w:rsidRPr="000665B0">
        <w:t>in</w:t>
      </w:r>
      <w:r w:rsidR="001E23DB" w:rsidRPr="000665B0">
        <w:t xml:space="preserve"> the SMD</w:t>
      </w:r>
      <w:r w:rsidR="004C15EA" w:rsidRPr="000665B0">
        <w:t xml:space="preserve">: </w:t>
      </w:r>
      <w:r w:rsidR="001E23DB" w:rsidRPr="000665B0">
        <w:t>from</w:t>
      </w:r>
      <w:r w:rsidR="00C307DD" w:rsidRPr="000665B0">
        <w:t xml:space="preserve"> the </w:t>
      </w:r>
      <w:r w:rsidRPr="000665B0">
        <w:rPr>
          <w:b/>
        </w:rPr>
        <w:t>View</w:t>
      </w:r>
      <w:r w:rsidRPr="000665B0">
        <w:t xml:space="preserve"> </w:t>
      </w:r>
      <w:r w:rsidR="001E23DB" w:rsidRPr="000665B0">
        <w:t>pull down menu</w:t>
      </w:r>
      <w:r w:rsidRPr="000665B0">
        <w:t>, click on the desired window. A check next to the window means it is enabled</w:t>
      </w:r>
      <w:r w:rsidR="001E23DB" w:rsidRPr="000665B0">
        <w:t xml:space="preserve"> (displayed)</w:t>
      </w:r>
      <w:r w:rsidRPr="000665B0">
        <w:t>. No check means it is disabled</w:t>
      </w:r>
      <w:r w:rsidR="001E23DB" w:rsidRPr="000665B0">
        <w:t xml:space="preserve"> (not displayed)</w:t>
      </w:r>
      <w:r w:rsidRPr="000665B0">
        <w:t>. It is a toggle method, so if it is checked and the</w:t>
      </w:r>
      <w:r w:rsidR="001E23DB" w:rsidRPr="000665B0">
        <w:t>n</w:t>
      </w:r>
      <w:r w:rsidRPr="000665B0">
        <w:t xml:space="preserve"> </w:t>
      </w:r>
      <w:r w:rsidR="001E23DB" w:rsidRPr="000665B0">
        <w:t>selected</w:t>
      </w:r>
      <w:r w:rsidRPr="000665B0">
        <w:t xml:space="preserve">, it </w:t>
      </w:r>
      <w:r w:rsidRPr="000665B0">
        <w:lastRenderedPageBreak/>
        <w:t>be</w:t>
      </w:r>
      <w:r w:rsidR="001E23DB" w:rsidRPr="000665B0">
        <w:t>comes</w:t>
      </w:r>
      <w:r w:rsidRPr="000665B0">
        <w:t xml:space="preserve"> unchecked and subsequently disabled. Another method to disable</w:t>
      </w:r>
      <w:r w:rsidR="00DF6F97" w:rsidRPr="000665B0">
        <w:t xml:space="preserve"> (close)</w:t>
      </w:r>
      <w:r w:rsidRPr="000665B0">
        <w:t xml:space="preserve"> a window is to click the </w:t>
      </w:r>
      <w:r w:rsidR="00DF6F97" w:rsidRPr="000665B0">
        <w:rPr>
          <w:noProof/>
          <w:position w:val="-4"/>
        </w:rPr>
        <w:drawing>
          <wp:inline distT="0" distB="0" distL="0" distR="0" wp14:anchorId="54718B06" wp14:editId="593E9174">
            <wp:extent cx="152400" cy="135467"/>
            <wp:effectExtent l="0" t="0" r="0" b="0"/>
            <wp:docPr id="1301" name="Picture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53704" cy="136626"/>
                    </a:xfrm>
                    <a:prstGeom prst="rect">
                      <a:avLst/>
                    </a:prstGeom>
                  </pic:spPr>
                </pic:pic>
              </a:graphicData>
            </a:graphic>
          </wp:inline>
        </w:drawing>
      </w:r>
      <w:r w:rsidRPr="000665B0">
        <w:t xml:space="preserve"> on the individual window.</w:t>
      </w:r>
    </w:p>
    <w:p w14:paraId="0533F9C7" w14:textId="06FE592E" w:rsidR="00C307DD" w:rsidRPr="000665B0" w:rsidRDefault="002170A8" w:rsidP="00C307DD">
      <w:r w:rsidRPr="000665B0">
        <w:t xml:space="preserve">Enabled windows </w:t>
      </w:r>
      <w:r w:rsidR="001E23DB" w:rsidRPr="000665B0">
        <w:t xml:space="preserve">may </w:t>
      </w:r>
      <w:r w:rsidRPr="000665B0">
        <w:t xml:space="preserve">take a bit of time to show because of the initialization steps required to create these windows. </w:t>
      </w:r>
      <w:r w:rsidR="004C15EA" w:rsidRPr="000665B0">
        <w:t xml:space="preserve">Enabling a </w:t>
      </w:r>
      <w:r w:rsidRPr="000665B0">
        <w:t xml:space="preserve">window </w:t>
      </w:r>
      <w:r w:rsidR="004C15EA" w:rsidRPr="000665B0">
        <w:t xml:space="preserve">causes it to </w:t>
      </w:r>
      <w:r w:rsidR="00D161E4" w:rsidRPr="000665B0">
        <w:t>appear</w:t>
      </w:r>
      <w:r w:rsidRPr="000665B0">
        <w:t xml:space="preserve"> in </w:t>
      </w:r>
      <w:r w:rsidR="004C15EA" w:rsidRPr="000665B0">
        <w:t xml:space="preserve">its </w:t>
      </w:r>
      <w:r w:rsidRPr="000665B0">
        <w:t xml:space="preserve">default location. Disabled windows do not </w:t>
      </w:r>
      <w:r w:rsidR="00D161E4" w:rsidRPr="000665B0">
        <w:t>appear</w:t>
      </w:r>
      <w:r w:rsidRPr="000665B0">
        <w:t xml:space="preserve"> on the screen</w:t>
      </w:r>
      <w:r w:rsidR="00A7493D" w:rsidRPr="000665B0">
        <w:t xml:space="preserve"> and</w:t>
      </w:r>
      <w:r w:rsidRPr="000665B0">
        <w:t xml:space="preserve"> can save processing time</w:t>
      </w:r>
      <w:r w:rsidR="004C15EA" w:rsidRPr="000665B0">
        <w:t>,</w:t>
      </w:r>
      <w:r w:rsidRPr="000665B0">
        <w:t xml:space="preserve"> because they are not visible and do not need to be updated.</w:t>
      </w:r>
      <w:r w:rsidR="00C307DD" w:rsidRPr="000665B0">
        <w:t xml:space="preserve"> </w:t>
      </w:r>
    </w:p>
    <w:p w14:paraId="66ABC5E4" w14:textId="5BC3E870" w:rsidR="00DF6F97" w:rsidRPr="000665B0" w:rsidRDefault="00DF6F97" w:rsidP="004E7DCC">
      <w:pPr>
        <w:pStyle w:val="Heading5"/>
      </w:pPr>
      <w:bookmarkStart w:id="6786" w:name="_Floating_Windows"/>
      <w:bookmarkStart w:id="6787" w:name="_Move_Windows"/>
      <w:bookmarkStart w:id="6788" w:name="_Toc289328941"/>
      <w:bookmarkEnd w:id="6786"/>
      <w:bookmarkEnd w:id="6787"/>
      <w:r w:rsidRPr="000665B0">
        <w:t>Move Windows</w:t>
      </w:r>
    </w:p>
    <w:p w14:paraId="654FA445" w14:textId="57D9A173" w:rsidR="006868AE" w:rsidRPr="000665B0" w:rsidRDefault="00225C4A" w:rsidP="007776F2">
      <w:r w:rsidRPr="000665B0">
        <w:t xml:space="preserve">The </w:t>
      </w:r>
      <w:r w:rsidRPr="000665B0">
        <w:rPr>
          <w:i/>
        </w:rPr>
        <w:t>Gantt</w:t>
      </w:r>
      <w:r w:rsidRPr="000665B0">
        <w:t xml:space="preserve"> and </w:t>
      </w:r>
      <w:r w:rsidRPr="000665B0">
        <w:rPr>
          <w:i/>
        </w:rPr>
        <w:t>Geo</w:t>
      </w:r>
      <w:r w:rsidRPr="000665B0">
        <w:t xml:space="preserve"> (which includes the </w:t>
      </w:r>
      <w:r w:rsidRPr="000665B0">
        <w:rPr>
          <w:b/>
        </w:rPr>
        <w:t>GOM</w:t>
      </w:r>
      <w:r w:rsidRPr="000665B0">
        <w:t xml:space="preserve"> pane) </w:t>
      </w:r>
      <w:r w:rsidR="006868AE" w:rsidRPr="000665B0">
        <w:t xml:space="preserve">windows </w:t>
      </w:r>
      <w:r w:rsidRPr="000665B0">
        <w:t xml:space="preserve">are document windows and by default, are displayed at the top of the SMD. Document windows can </w:t>
      </w:r>
      <w:r w:rsidR="006868AE" w:rsidRPr="000665B0">
        <w:t>only be moved within the top portion of the SMD (but can be floated anywhere within the SMD)</w:t>
      </w:r>
      <w:r w:rsidRPr="000665B0">
        <w:t xml:space="preserve">. The remaining windows are dockable windows and by default, are displayed at the bottom of the SMD. </w:t>
      </w:r>
      <w:r w:rsidR="006868AE" w:rsidRPr="000665B0">
        <w:t>Dockable windows can generally be moved within both the top and bottom</w:t>
      </w:r>
      <w:r w:rsidR="004C15EA" w:rsidRPr="000665B0">
        <w:t xml:space="preserve"> areas</w:t>
      </w:r>
      <w:r w:rsidR="006868AE" w:rsidRPr="000665B0">
        <w:t xml:space="preserve"> of the SMD.</w:t>
      </w:r>
    </w:p>
    <w:p w14:paraId="0F018854" w14:textId="509E55D5" w:rsidR="007776F2" w:rsidRPr="000665B0" w:rsidRDefault="007776F2" w:rsidP="007776F2">
      <w:r w:rsidRPr="000665B0">
        <w:t xml:space="preserve">To </w:t>
      </w:r>
      <w:r w:rsidR="00225C4A" w:rsidRPr="000665B0">
        <w:t>move windows within the SMD</w:t>
      </w:r>
      <w:r w:rsidRPr="000665B0">
        <w:t xml:space="preserve">: </w:t>
      </w:r>
    </w:p>
    <w:p w14:paraId="6E5D5DDA" w14:textId="04F11F7A" w:rsidR="006868AE" w:rsidRPr="000665B0" w:rsidRDefault="006868AE" w:rsidP="006D5A65">
      <w:pPr>
        <w:pStyle w:val="Heading1"/>
      </w:pPr>
      <w:r w:rsidRPr="000665B0">
        <w:t xml:space="preserve">Hold the left mouse down on the title </w:t>
      </w:r>
      <w:r w:rsidR="00517ED9" w:rsidRPr="000665B0">
        <w:t>bar and</w:t>
      </w:r>
      <w:r w:rsidRPr="000665B0">
        <w:t xml:space="preserve"> drag the window over another window.</w:t>
      </w:r>
    </w:p>
    <w:p w14:paraId="18F90ABD" w14:textId="315138E1" w:rsidR="007776F2" w:rsidRPr="000665B0" w:rsidRDefault="006868AE" w:rsidP="006D5A65">
      <w:pPr>
        <w:pStyle w:val="Heading1"/>
      </w:pPr>
      <w:r w:rsidRPr="000665B0">
        <w:t xml:space="preserve">When dragging the window, a shaded box follows the </w:t>
      </w:r>
      <w:r w:rsidR="00517ED9" w:rsidRPr="000665B0">
        <w:t>mouse,</w:t>
      </w:r>
      <w:r w:rsidRPr="000665B0">
        <w:t xml:space="preserve"> and the directional icon is displayed.</w:t>
      </w:r>
    </w:p>
    <w:p w14:paraId="5F42B560" w14:textId="00BFEC2C" w:rsidR="006868AE" w:rsidRPr="000665B0" w:rsidRDefault="001629D7" w:rsidP="004E7DCC">
      <w:pPr>
        <w:pStyle w:val="Number0205"/>
        <w:ind w:left="0" w:firstLine="0"/>
        <w:jc w:val="center"/>
      </w:pPr>
      <w:r w:rsidRPr="000665B0">
        <w:rPr>
          <w:noProof/>
        </w:rPr>
        <w:drawing>
          <wp:inline distT="0" distB="0" distL="0" distR="0" wp14:anchorId="7C264A8E" wp14:editId="0E73F9C2">
            <wp:extent cx="914400" cy="950976"/>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914400" cy="950976"/>
                    </a:xfrm>
                    <a:prstGeom prst="rect">
                      <a:avLst/>
                    </a:prstGeom>
                  </pic:spPr>
                </pic:pic>
              </a:graphicData>
            </a:graphic>
          </wp:inline>
        </w:drawing>
      </w:r>
    </w:p>
    <w:p w14:paraId="679B7898" w14:textId="77777777" w:rsidR="00492FC3" w:rsidRPr="000665B0" w:rsidRDefault="001629D7" w:rsidP="006D5A65">
      <w:pPr>
        <w:pStyle w:val="Heading1"/>
      </w:pPr>
      <w:r w:rsidRPr="000665B0">
        <w:t xml:space="preserve">Drag the </w:t>
      </w:r>
      <w:r w:rsidR="00492FC3" w:rsidRPr="000665B0">
        <w:t>window</w:t>
      </w:r>
      <w:r w:rsidRPr="000665B0">
        <w:t xml:space="preserve"> such that the mouse is positioned over either the left, right, top, or bottom arrows on the directional icon. </w:t>
      </w:r>
    </w:p>
    <w:p w14:paraId="21F7435F" w14:textId="748C44F0" w:rsidR="001629D7" w:rsidRPr="000665B0" w:rsidRDefault="001629D7" w:rsidP="006D5A65">
      <w:pPr>
        <w:pStyle w:val="Heading1"/>
      </w:pPr>
      <w:r w:rsidRPr="000665B0">
        <w:t xml:space="preserve">The example below shows the </w:t>
      </w:r>
      <w:r w:rsidR="00492FC3" w:rsidRPr="000665B0">
        <w:rPr>
          <w:i/>
        </w:rPr>
        <w:t>Events</w:t>
      </w:r>
      <w:r w:rsidR="00357F9B" w:rsidRPr="000665B0">
        <w:rPr>
          <w:i/>
        </w:rPr>
        <w:t xml:space="preserve"> </w:t>
      </w:r>
      <w:r w:rsidR="00492FC3" w:rsidRPr="000665B0">
        <w:t>window</w:t>
      </w:r>
      <w:r w:rsidRPr="000665B0">
        <w:t xml:space="preserve"> being dragged over the </w:t>
      </w:r>
      <w:r w:rsidR="00492FC3" w:rsidRPr="000665B0">
        <w:rPr>
          <w:i/>
        </w:rPr>
        <w:t>TSN Ping</w:t>
      </w:r>
      <w:r w:rsidRPr="000665B0">
        <w:t xml:space="preserve"> window, with the mouse positioned over the </w:t>
      </w:r>
      <w:r w:rsidR="00492FC3" w:rsidRPr="000665B0">
        <w:t>left</w:t>
      </w:r>
      <w:r w:rsidRPr="000665B0">
        <w:t xml:space="preserve"> arrow on the directional icon. The shaded box indicates the new position of the dragged window. </w:t>
      </w:r>
    </w:p>
    <w:p w14:paraId="25E06449" w14:textId="1D527419" w:rsidR="001629D7" w:rsidRPr="000665B0" w:rsidRDefault="009600D5" w:rsidP="001629D7">
      <w:pPr>
        <w:jc w:val="center"/>
      </w:pPr>
      <w:r w:rsidRPr="000665B0">
        <w:rPr>
          <w:noProof/>
        </w:rPr>
        <w:drawing>
          <wp:inline distT="0" distB="0" distL="0" distR="0" wp14:anchorId="3AF931CE" wp14:editId="254BD239">
            <wp:extent cx="5486400" cy="1207008"/>
            <wp:effectExtent l="0" t="0" r="0" b="0"/>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486400" cy="1207008"/>
                    </a:xfrm>
                    <a:prstGeom prst="rect">
                      <a:avLst/>
                    </a:prstGeom>
                  </pic:spPr>
                </pic:pic>
              </a:graphicData>
            </a:graphic>
          </wp:inline>
        </w:drawing>
      </w:r>
    </w:p>
    <w:p w14:paraId="5DFE7BFA" w14:textId="092D77CF" w:rsidR="001629D7" w:rsidRPr="000665B0" w:rsidRDefault="001629D7" w:rsidP="004E7DCC">
      <w:pPr>
        <w:pStyle w:val="Number0205"/>
        <w:tabs>
          <w:tab w:val="left" w:pos="720"/>
        </w:tabs>
        <w:ind w:firstLine="0"/>
      </w:pPr>
      <w:r w:rsidRPr="000665B0">
        <w:t xml:space="preserve">When the left mouse button is released, the </w:t>
      </w:r>
      <w:r w:rsidR="00492FC3" w:rsidRPr="000665B0">
        <w:rPr>
          <w:i/>
        </w:rPr>
        <w:t>Events</w:t>
      </w:r>
      <w:r w:rsidR="00357F9B" w:rsidRPr="000665B0">
        <w:rPr>
          <w:i/>
        </w:rPr>
        <w:t xml:space="preserve"> </w:t>
      </w:r>
      <w:r w:rsidRPr="000665B0">
        <w:t xml:space="preserve">window </w:t>
      </w:r>
      <w:r w:rsidR="00357F9B" w:rsidRPr="000665B0">
        <w:t>has been moved</w:t>
      </w:r>
      <w:r w:rsidRPr="000665B0">
        <w:t xml:space="preserve"> to the </w:t>
      </w:r>
      <w:r w:rsidR="00492FC3" w:rsidRPr="000665B0">
        <w:t>left</w:t>
      </w:r>
      <w:r w:rsidRPr="000665B0">
        <w:t xml:space="preserve"> of the</w:t>
      </w:r>
      <w:r w:rsidRPr="000665B0">
        <w:rPr>
          <w:i/>
        </w:rPr>
        <w:t xml:space="preserve"> </w:t>
      </w:r>
      <w:r w:rsidR="00492FC3" w:rsidRPr="000665B0">
        <w:rPr>
          <w:i/>
        </w:rPr>
        <w:t>TSN Ping</w:t>
      </w:r>
      <w:r w:rsidRPr="000665B0">
        <w:rPr>
          <w:i/>
        </w:rPr>
        <w:t xml:space="preserve"> </w:t>
      </w:r>
      <w:r w:rsidRPr="000665B0">
        <w:t>window</w:t>
      </w:r>
      <w:r w:rsidRPr="000665B0">
        <w:rPr>
          <w:i/>
        </w:rPr>
        <w:t>.</w:t>
      </w:r>
      <w:r w:rsidRPr="000665B0">
        <w:t xml:space="preserve"> </w:t>
      </w:r>
    </w:p>
    <w:p w14:paraId="06E6FEB0" w14:textId="22665213" w:rsidR="001629D7" w:rsidRPr="000665B0" w:rsidRDefault="009600D5" w:rsidP="001629D7">
      <w:pPr>
        <w:pStyle w:val="ListParagraph"/>
        <w:spacing w:after="120" w:line="240" w:lineRule="atLeast"/>
        <w:ind w:left="0"/>
        <w:jc w:val="center"/>
      </w:pPr>
      <w:r w:rsidRPr="000665B0">
        <w:rPr>
          <w:noProof/>
        </w:rPr>
        <w:lastRenderedPageBreak/>
        <w:drawing>
          <wp:inline distT="0" distB="0" distL="0" distR="0" wp14:anchorId="581E74B8" wp14:editId="163C606C">
            <wp:extent cx="5486400" cy="1225296"/>
            <wp:effectExtent l="0" t="0" r="0" b="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486400" cy="1225296"/>
                    </a:xfrm>
                    <a:prstGeom prst="rect">
                      <a:avLst/>
                    </a:prstGeom>
                  </pic:spPr>
                </pic:pic>
              </a:graphicData>
            </a:graphic>
          </wp:inline>
        </w:drawing>
      </w:r>
    </w:p>
    <w:p w14:paraId="795F4F5C" w14:textId="09080171" w:rsidR="00492FC3" w:rsidRPr="000665B0" w:rsidRDefault="00492FC3" w:rsidP="006D5A65">
      <w:pPr>
        <w:pStyle w:val="Heading1"/>
      </w:pPr>
      <w:r w:rsidRPr="000665B0">
        <w:t xml:space="preserve">The example below shows the </w:t>
      </w:r>
      <w:r w:rsidRPr="000665B0">
        <w:rPr>
          <w:i/>
        </w:rPr>
        <w:t>Events</w:t>
      </w:r>
      <w:r w:rsidR="00357F9B" w:rsidRPr="000665B0">
        <w:rPr>
          <w:i/>
        </w:rPr>
        <w:t xml:space="preserve"> </w:t>
      </w:r>
      <w:r w:rsidRPr="000665B0">
        <w:t xml:space="preserve">window being dragged over the </w:t>
      </w:r>
      <w:r w:rsidRPr="000665B0">
        <w:rPr>
          <w:i/>
        </w:rPr>
        <w:t>TSN Ping</w:t>
      </w:r>
      <w:r w:rsidRPr="000665B0">
        <w:t xml:space="preserve"> window, with the mouse positioned over the bottom arrow on the directional icon. The shaded box indicates the new position of the dragged window.</w:t>
      </w:r>
    </w:p>
    <w:p w14:paraId="5CDD1A3C" w14:textId="141EABAC" w:rsidR="00025340" w:rsidRPr="000665B0" w:rsidRDefault="00025340" w:rsidP="004E7DCC">
      <w:pPr>
        <w:pStyle w:val="number020500"/>
        <w:ind w:left="0" w:firstLine="0"/>
        <w:jc w:val="center"/>
      </w:pPr>
      <w:r w:rsidRPr="000665B0">
        <w:rPr>
          <w:noProof/>
        </w:rPr>
        <w:drawing>
          <wp:inline distT="0" distB="0" distL="0" distR="0" wp14:anchorId="41D3C010" wp14:editId="1782F6A2">
            <wp:extent cx="5486400" cy="1207008"/>
            <wp:effectExtent l="0" t="0" r="0" b="0"/>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486400" cy="1207008"/>
                    </a:xfrm>
                    <a:prstGeom prst="rect">
                      <a:avLst/>
                    </a:prstGeom>
                  </pic:spPr>
                </pic:pic>
              </a:graphicData>
            </a:graphic>
          </wp:inline>
        </w:drawing>
      </w:r>
    </w:p>
    <w:p w14:paraId="29A70BF9" w14:textId="1A108E8E" w:rsidR="00492FC3" w:rsidRPr="000665B0" w:rsidRDefault="00492FC3" w:rsidP="00357F9B">
      <w:pPr>
        <w:pStyle w:val="Number0205"/>
        <w:tabs>
          <w:tab w:val="left" w:pos="720"/>
        </w:tabs>
        <w:ind w:firstLine="0"/>
        <w:rPr>
          <w:i/>
        </w:rPr>
      </w:pPr>
      <w:r w:rsidRPr="000665B0">
        <w:t xml:space="preserve">When the left mouse button is released, the </w:t>
      </w:r>
      <w:r w:rsidRPr="000665B0">
        <w:rPr>
          <w:i/>
        </w:rPr>
        <w:t>Events</w:t>
      </w:r>
      <w:r w:rsidR="00357F9B" w:rsidRPr="000665B0">
        <w:rPr>
          <w:i/>
        </w:rPr>
        <w:t xml:space="preserve"> </w:t>
      </w:r>
      <w:r w:rsidRPr="000665B0">
        <w:t xml:space="preserve">window </w:t>
      </w:r>
      <w:r w:rsidR="00357F9B" w:rsidRPr="000665B0">
        <w:t>has been moved</w:t>
      </w:r>
      <w:r w:rsidRPr="000665B0">
        <w:t xml:space="preserve"> below the</w:t>
      </w:r>
      <w:r w:rsidRPr="000665B0">
        <w:rPr>
          <w:i/>
        </w:rPr>
        <w:t xml:space="preserve"> TSN Ping </w:t>
      </w:r>
      <w:r w:rsidRPr="000665B0">
        <w:t>window</w:t>
      </w:r>
      <w:r w:rsidRPr="000665B0">
        <w:rPr>
          <w:i/>
        </w:rPr>
        <w:t>.</w:t>
      </w:r>
    </w:p>
    <w:p w14:paraId="140D52F0" w14:textId="575B51D0" w:rsidR="00025340" w:rsidRPr="000665B0" w:rsidRDefault="00A7616C" w:rsidP="004E7DCC">
      <w:pPr>
        <w:pStyle w:val="number020500"/>
        <w:ind w:left="0" w:firstLine="0"/>
        <w:jc w:val="center"/>
      </w:pPr>
      <w:r w:rsidRPr="000665B0">
        <w:rPr>
          <w:noProof/>
        </w:rPr>
        <w:drawing>
          <wp:inline distT="0" distB="0" distL="0" distR="0" wp14:anchorId="655E6DC1" wp14:editId="2DFB29E5">
            <wp:extent cx="5486400" cy="1216152"/>
            <wp:effectExtent l="0" t="0" r="0" b="0"/>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486400" cy="1216152"/>
                    </a:xfrm>
                    <a:prstGeom prst="rect">
                      <a:avLst/>
                    </a:prstGeom>
                  </pic:spPr>
                </pic:pic>
              </a:graphicData>
            </a:graphic>
          </wp:inline>
        </w:drawing>
      </w:r>
    </w:p>
    <w:p w14:paraId="58C6C0D0" w14:textId="33A1F11D" w:rsidR="002170A8" w:rsidRPr="000665B0" w:rsidRDefault="002170A8" w:rsidP="00B35EE5">
      <w:pPr>
        <w:pStyle w:val="Heading4"/>
      </w:pPr>
      <w:bookmarkStart w:id="6789" w:name="_Floating_Windows_1"/>
      <w:bookmarkEnd w:id="6789"/>
      <w:r w:rsidRPr="000665B0">
        <w:t xml:space="preserve">Floating </w:t>
      </w:r>
      <w:r w:rsidR="007806A8" w:rsidRPr="000665B0">
        <w:t>W</w:t>
      </w:r>
      <w:r w:rsidRPr="000665B0">
        <w:t>indows</w:t>
      </w:r>
      <w:bookmarkEnd w:id="6788"/>
    </w:p>
    <w:p w14:paraId="5BDFD18A" w14:textId="549C882E" w:rsidR="002170A8" w:rsidRPr="000665B0" w:rsidRDefault="0080554B" w:rsidP="002170A8">
      <w:r w:rsidRPr="000665B0">
        <w:t xml:space="preserve">Floating windows are displayed in a layer above the primary window and are useful for multiple-monitor environments. </w:t>
      </w:r>
      <w:r w:rsidR="002170A8" w:rsidRPr="000665B0">
        <w:t xml:space="preserve">To float a window, </w:t>
      </w:r>
      <w:r w:rsidR="0037038E" w:rsidRPr="000665B0">
        <w:t>double-click</w:t>
      </w:r>
      <w:r w:rsidR="002170A8" w:rsidRPr="000665B0">
        <w:t xml:space="preserve"> on the title bar of the window, or alternat</w:t>
      </w:r>
      <w:r w:rsidR="00D161E4" w:rsidRPr="000665B0">
        <w:t>iv</w:t>
      </w:r>
      <w:r w:rsidR="002170A8" w:rsidRPr="000665B0">
        <w:t xml:space="preserve">ely, </w:t>
      </w:r>
      <w:bookmarkStart w:id="6790" w:name="_Hlk40269890"/>
      <w:r w:rsidR="002170A8" w:rsidRPr="000665B0">
        <w:t>hold the left mouse button down on the title bar and drag the window off the parent window.</w:t>
      </w:r>
    </w:p>
    <w:p w14:paraId="34767D24" w14:textId="139AAA37" w:rsidR="002170A8" w:rsidRPr="000665B0" w:rsidRDefault="00D161E4" w:rsidP="00AD6267">
      <w:pPr>
        <w:spacing w:before="120"/>
        <w:jc w:val="center"/>
      </w:pPr>
      <w:r w:rsidRPr="000665B0">
        <w:rPr>
          <w:noProof/>
        </w:rPr>
        <w:drawing>
          <wp:inline distT="0" distB="0" distL="0" distR="0" wp14:anchorId="0F17806C" wp14:editId="6A5F0BD3">
            <wp:extent cx="2743200" cy="1417320"/>
            <wp:effectExtent l="0" t="0" r="0" b="0"/>
            <wp:docPr id="1171"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43200" cy="1417320"/>
                    </a:xfrm>
                    <a:prstGeom prst="rect">
                      <a:avLst/>
                    </a:prstGeom>
                    <a:noFill/>
                  </pic:spPr>
                </pic:pic>
              </a:graphicData>
            </a:graphic>
          </wp:inline>
        </w:drawing>
      </w:r>
    </w:p>
    <w:p w14:paraId="40AB9808" w14:textId="1C43A16E" w:rsidR="00C307DD" w:rsidRPr="000665B0" w:rsidRDefault="00C307DD" w:rsidP="00C307DD">
      <w:r w:rsidRPr="000665B0">
        <w:t xml:space="preserve">When dragging the window, a </w:t>
      </w:r>
      <w:r w:rsidR="008D0B68" w:rsidRPr="000665B0">
        <w:t xml:space="preserve">shaded </w:t>
      </w:r>
      <w:r w:rsidRPr="000665B0">
        <w:t>box follow</w:t>
      </w:r>
      <w:r w:rsidR="008D0B68" w:rsidRPr="000665B0">
        <w:t>s</w:t>
      </w:r>
      <w:r w:rsidRPr="000665B0">
        <w:t xml:space="preserve"> the mouse. </w:t>
      </w:r>
      <w:r w:rsidR="0099491E" w:rsidRPr="000665B0">
        <w:t xml:space="preserve">The </w:t>
      </w:r>
      <w:r w:rsidR="008D0B68" w:rsidRPr="000665B0">
        <w:t xml:space="preserve">shaded </w:t>
      </w:r>
      <w:r w:rsidRPr="000665B0">
        <w:t>box indicat</w:t>
      </w:r>
      <w:r w:rsidR="004C15EA" w:rsidRPr="000665B0">
        <w:t>es the new position of the dragged window</w:t>
      </w:r>
      <w:r w:rsidRPr="000665B0">
        <w:t>.</w:t>
      </w:r>
    </w:p>
    <w:bookmarkEnd w:id="6790"/>
    <w:p w14:paraId="3FDDB927" w14:textId="77777777" w:rsidR="002A6AA5" w:rsidRDefault="00517ED9" w:rsidP="00AD6267">
      <w:pPr>
        <w:spacing w:before="120"/>
        <w:jc w:val="center"/>
        <w:rPr>
          <w:noProof/>
        </w:rPr>
      </w:pPr>
      <w:r>
        <w:rPr>
          <w:noProof/>
        </w:rPr>
        <w:lastRenderedPageBreak/>
        <w:drawing>
          <wp:inline distT="0" distB="0" distL="0" distR="0" wp14:anchorId="29AAE2A3" wp14:editId="44F5405D">
            <wp:extent cx="3657600" cy="3218688"/>
            <wp:effectExtent l="0" t="0" r="0" b="1270"/>
            <wp:docPr id="1105800257"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00257" name="Picture 2" descr="Graphical user interface, application&#10;&#10;Description automatically generated"/>
                    <pic:cNvPicPr/>
                  </pic:nvPicPr>
                  <pic:blipFill>
                    <a:blip cstate="print">
                      <a:extLst>
                        <a:ext uri="{28A0092B-C50C-407E-A947-70E740481C1C}">
                          <a14:useLocalDpi xmlns:a14="http://schemas.microsoft.com/office/drawing/2010/main" val="0"/>
                        </a:ext>
                      </a:extLst>
                    </a:blip>
                    <a:stretch>
                      <a:fillRect/>
                    </a:stretch>
                  </pic:blipFill>
                  <pic:spPr>
                    <a:xfrm>
                      <a:off x="0" y="0"/>
                      <a:ext cx="3657600" cy="3218688"/>
                    </a:xfrm>
                    <a:prstGeom prst="rect">
                      <a:avLst/>
                    </a:prstGeom>
                  </pic:spPr>
                </pic:pic>
              </a:graphicData>
            </a:graphic>
          </wp:inline>
        </w:drawing>
      </w:r>
    </w:p>
    <w:p w14:paraId="64993290" w14:textId="17E6D07E" w:rsidR="00C307DD" w:rsidRPr="000665B0" w:rsidRDefault="004C15EA" w:rsidP="00C307DD">
      <w:r w:rsidRPr="000665B0">
        <w:t>When the left mouse button is released, the dragged window is displayed in a layer above the primary window.</w:t>
      </w:r>
      <w:r w:rsidR="00C307DD" w:rsidRPr="000665B0">
        <w:t xml:space="preserve"> </w:t>
      </w:r>
    </w:p>
    <w:p w14:paraId="6435B034" w14:textId="0CD92434" w:rsidR="002170A8" w:rsidRPr="000665B0" w:rsidRDefault="00DF6F97" w:rsidP="00C307DD">
      <w:pPr>
        <w:jc w:val="center"/>
      </w:pPr>
      <w:r w:rsidRPr="000665B0">
        <w:rPr>
          <w:noProof/>
        </w:rPr>
        <w:drawing>
          <wp:inline distT="0" distB="0" distL="0" distR="0" wp14:anchorId="11BA3C9D" wp14:editId="7A909A87">
            <wp:extent cx="1828800" cy="1856232"/>
            <wp:effectExtent l="0" t="0" r="0" b="0"/>
            <wp:docPr id="1305" name="Picture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8800" cy="1856232"/>
                    </a:xfrm>
                    <a:prstGeom prst="rect">
                      <a:avLst/>
                    </a:prstGeom>
                  </pic:spPr>
                </pic:pic>
              </a:graphicData>
            </a:graphic>
          </wp:inline>
        </w:drawing>
      </w:r>
    </w:p>
    <w:p w14:paraId="19F1178C" w14:textId="4587ABC0" w:rsidR="004C15EA" w:rsidRPr="000665B0" w:rsidRDefault="004C15EA" w:rsidP="004E7DCC">
      <w:r w:rsidRPr="000665B0">
        <w:t xml:space="preserve">To dock a floating window, double-click the title bar of the window, which returns it to its previous location before the float. A floating window can also be moved back to its parent window (see </w:t>
      </w:r>
      <w:hyperlink w:anchor="_Floating_Windows" w:history="1">
        <w:r w:rsidR="00E036B6" w:rsidRPr="000665B0">
          <w:rPr>
            <w:rStyle w:val="Hyperlink"/>
          </w:rPr>
          <w:t xml:space="preserve">Section </w:t>
        </w:r>
        <w:r w:rsidR="004231CC">
          <w:rPr>
            <w:rStyle w:val="Hyperlink"/>
          </w:rPr>
          <w:t>5.35</w:t>
        </w:r>
        <w:r w:rsidRPr="000665B0">
          <w:rPr>
            <w:rStyle w:val="Hyperlink"/>
          </w:rPr>
          <w:t>.14.1.1</w:t>
        </w:r>
      </w:hyperlink>
      <w:r w:rsidRPr="000665B0">
        <w:t>).</w:t>
      </w:r>
    </w:p>
    <w:p w14:paraId="7AB59853" w14:textId="0E8A0824" w:rsidR="002170A8" w:rsidRPr="000665B0" w:rsidRDefault="002170A8" w:rsidP="00B35EE5">
      <w:pPr>
        <w:pStyle w:val="Heading4"/>
      </w:pPr>
      <w:bookmarkStart w:id="6791" w:name="_Auto-Hide_Windows"/>
      <w:bookmarkStart w:id="6792" w:name="_Toc289328942"/>
      <w:bookmarkEnd w:id="6791"/>
      <w:r w:rsidRPr="000665B0">
        <w:t>Auto-</w:t>
      </w:r>
      <w:r w:rsidR="007806A8" w:rsidRPr="000665B0">
        <w:t>H</w:t>
      </w:r>
      <w:r w:rsidRPr="000665B0">
        <w:t xml:space="preserve">ide </w:t>
      </w:r>
      <w:r w:rsidR="007806A8" w:rsidRPr="000665B0">
        <w:t>W</w:t>
      </w:r>
      <w:r w:rsidRPr="000665B0">
        <w:t>indows</w:t>
      </w:r>
      <w:bookmarkEnd w:id="6792"/>
    </w:p>
    <w:p w14:paraId="23A19566" w14:textId="27FF75C2" w:rsidR="006760E5" w:rsidRPr="000665B0" w:rsidRDefault="002170A8" w:rsidP="006760E5">
      <w:r w:rsidRPr="000665B0">
        <w:t xml:space="preserve">Auto-hide windows are </w:t>
      </w:r>
      <w:r w:rsidR="00B64A32" w:rsidRPr="000665B0">
        <w:t xml:space="preserve">collapsed </w:t>
      </w:r>
      <w:r w:rsidRPr="000665B0">
        <w:t>windows</w:t>
      </w:r>
      <w:r w:rsidR="00B64A32" w:rsidRPr="000665B0">
        <w:t xml:space="preserve"> that expand on demand</w:t>
      </w:r>
      <w:r w:rsidRPr="000665B0">
        <w:t>. When the mouse is over a collapsed auto-hide window, it expand</w:t>
      </w:r>
      <w:r w:rsidR="0099491E" w:rsidRPr="000665B0">
        <w:t>s</w:t>
      </w:r>
      <w:r w:rsidRPr="000665B0">
        <w:t xml:space="preserve"> itself. When the mouse is off the window, it collapse</w:t>
      </w:r>
      <w:r w:rsidR="0099491E" w:rsidRPr="000665B0">
        <w:t>s</w:t>
      </w:r>
      <w:r w:rsidRPr="000665B0">
        <w:t xml:space="preserve"> back to its minimized form. To make a </w:t>
      </w:r>
      <w:r w:rsidR="00B64A32" w:rsidRPr="000665B0">
        <w:t xml:space="preserve">docked </w:t>
      </w:r>
      <w:r w:rsidRPr="000665B0">
        <w:t xml:space="preserve">window auto-hide, click the </w:t>
      </w:r>
      <w:r w:rsidR="0099491E" w:rsidRPr="000665B0">
        <w:t xml:space="preserve">vertical </w:t>
      </w:r>
      <w:r w:rsidRPr="000665B0">
        <w:t xml:space="preserve">pin </w:t>
      </w:r>
      <w:r w:rsidR="0099491E" w:rsidRPr="000665B0">
        <w:rPr>
          <w:noProof/>
          <w:position w:val="-8"/>
        </w:rPr>
        <w:drawing>
          <wp:inline distT="0" distB="0" distL="0" distR="0" wp14:anchorId="638AB3D2" wp14:editId="186D845D">
            <wp:extent cx="194689" cy="186901"/>
            <wp:effectExtent l="0" t="0" r="0" b="3810"/>
            <wp:docPr id="1184" name="Picture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03043" cy="194921"/>
                    </a:xfrm>
                    <a:prstGeom prst="rect">
                      <a:avLst/>
                    </a:prstGeom>
                  </pic:spPr>
                </pic:pic>
              </a:graphicData>
            </a:graphic>
          </wp:inline>
        </w:drawing>
      </w:r>
      <w:r w:rsidRPr="000665B0">
        <w:t xml:space="preserve"> icon. The window collapse</w:t>
      </w:r>
      <w:r w:rsidR="0099491E" w:rsidRPr="000665B0">
        <w:t>s</w:t>
      </w:r>
      <w:r w:rsidRPr="000665B0">
        <w:t xml:space="preserve"> into its minimized form</w:t>
      </w:r>
      <w:r w:rsidR="0099491E" w:rsidRPr="000665B0">
        <w:t xml:space="preserve"> and is shown as a tab at the bottom of the SMD</w:t>
      </w:r>
      <w:r w:rsidRPr="000665B0">
        <w:t>.</w:t>
      </w:r>
      <w:r w:rsidR="006760E5" w:rsidRPr="000665B0">
        <w:t xml:space="preserve"> </w:t>
      </w:r>
    </w:p>
    <w:p w14:paraId="24B030EB" w14:textId="6097AE31" w:rsidR="00B64A32" w:rsidRPr="000665B0" w:rsidRDefault="006760E5" w:rsidP="006760E5">
      <w:r w:rsidRPr="000665B0">
        <w:t xml:space="preserve">In this example, </w:t>
      </w:r>
      <w:r w:rsidR="00A7493D" w:rsidRPr="000665B0">
        <w:t>the auto-hide</w:t>
      </w:r>
      <w:r w:rsidRPr="000665B0">
        <w:t xml:space="preserve"> minimized forms of </w:t>
      </w:r>
      <w:r w:rsidR="0099491E" w:rsidRPr="000665B0">
        <w:t xml:space="preserve">the </w:t>
      </w:r>
      <w:r w:rsidRPr="000665B0">
        <w:rPr>
          <w:i/>
        </w:rPr>
        <w:t>Retarget Status</w:t>
      </w:r>
      <w:r w:rsidRPr="000665B0">
        <w:t xml:space="preserve">, </w:t>
      </w:r>
      <w:r w:rsidRPr="000665B0">
        <w:rPr>
          <w:i/>
        </w:rPr>
        <w:t>TSN Ping</w:t>
      </w:r>
      <w:r w:rsidR="0099491E" w:rsidRPr="000665B0">
        <w:t>,</w:t>
      </w:r>
      <w:r w:rsidR="0099491E" w:rsidRPr="000665B0">
        <w:rPr>
          <w:i/>
        </w:rPr>
        <w:t xml:space="preserve"> Targets</w:t>
      </w:r>
      <w:r w:rsidR="0099491E" w:rsidRPr="000665B0">
        <w:t>, and</w:t>
      </w:r>
      <w:r w:rsidR="0099491E" w:rsidRPr="000665B0">
        <w:rPr>
          <w:i/>
        </w:rPr>
        <w:t xml:space="preserve"> FRU Status</w:t>
      </w:r>
      <w:r w:rsidRPr="000665B0">
        <w:t xml:space="preserve"> window</w:t>
      </w:r>
      <w:r w:rsidR="0099491E" w:rsidRPr="000665B0">
        <w:t>s</w:t>
      </w:r>
      <w:r w:rsidR="00A7493D" w:rsidRPr="000665B0">
        <w:t xml:space="preserve"> are shown as tabs</w:t>
      </w:r>
      <w:r w:rsidRPr="000665B0">
        <w:t xml:space="preserve">. Although not visible in the </w:t>
      </w:r>
      <w:r w:rsidR="0099491E" w:rsidRPr="000665B0">
        <w:t>example</w:t>
      </w:r>
      <w:r w:rsidRPr="000665B0">
        <w:t xml:space="preserve">, the mouse is over the </w:t>
      </w:r>
      <w:r w:rsidR="0099491E" w:rsidRPr="000665B0">
        <w:rPr>
          <w:b/>
          <w:i/>
        </w:rPr>
        <w:t>TSN Ping</w:t>
      </w:r>
      <w:r w:rsidR="0099491E" w:rsidRPr="000665B0">
        <w:t xml:space="preserve"> </w:t>
      </w:r>
      <w:r w:rsidR="0080554B" w:rsidRPr="000665B0">
        <w:t>tab</w:t>
      </w:r>
      <w:r w:rsidRPr="000665B0">
        <w:t xml:space="preserve">, </w:t>
      </w:r>
      <w:r w:rsidR="0099491E" w:rsidRPr="000665B0">
        <w:t xml:space="preserve">which causes the </w:t>
      </w:r>
      <w:r w:rsidR="0080554B" w:rsidRPr="000665B0">
        <w:rPr>
          <w:i/>
        </w:rPr>
        <w:t xml:space="preserve">TSN Ping </w:t>
      </w:r>
      <w:r w:rsidR="0099491E" w:rsidRPr="000665B0">
        <w:t>window to</w:t>
      </w:r>
      <w:r w:rsidRPr="000665B0">
        <w:t xml:space="preserve"> expand as shown. </w:t>
      </w:r>
      <w:r w:rsidR="0099491E" w:rsidRPr="000665B0">
        <w:t xml:space="preserve">When </w:t>
      </w:r>
      <w:r w:rsidRPr="000665B0">
        <w:t xml:space="preserve">the mouse is </w:t>
      </w:r>
      <w:r w:rsidR="0099491E" w:rsidRPr="000665B0">
        <w:lastRenderedPageBreak/>
        <w:t xml:space="preserve">moved </w:t>
      </w:r>
      <w:r w:rsidRPr="000665B0">
        <w:t xml:space="preserve">off the </w:t>
      </w:r>
      <w:r w:rsidR="0099491E" w:rsidRPr="000665B0">
        <w:rPr>
          <w:i/>
        </w:rPr>
        <w:t>TSN Ping</w:t>
      </w:r>
      <w:r w:rsidR="0099491E" w:rsidRPr="000665B0">
        <w:t xml:space="preserve"> </w:t>
      </w:r>
      <w:r w:rsidRPr="000665B0">
        <w:t xml:space="preserve">window, </w:t>
      </w:r>
      <w:r w:rsidR="0099491E" w:rsidRPr="000665B0">
        <w:t>the window</w:t>
      </w:r>
      <w:r w:rsidRPr="000665B0">
        <w:t xml:space="preserve"> collapse</w:t>
      </w:r>
      <w:r w:rsidR="0099491E" w:rsidRPr="000665B0">
        <w:t>s</w:t>
      </w:r>
      <w:r w:rsidRPr="000665B0">
        <w:t xml:space="preserve">. </w:t>
      </w:r>
      <w:r w:rsidR="0099491E" w:rsidRPr="000665B0">
        <w:t xml:space="preserve">Alternatively, </w:t>
      </w:r>
      <w:r w:rsidRPr="000665B0">
        <w:t>to collapse</w:t>
      </w:r>
      <w:r w:rsidR="0099491E" w:rsidRPr="000665B0">
        <w:t xml:space="preserve"> the window,</w:t>
      </w:r>
      <w:r w:rsidRPr="000665B0">
        <w:t xml:space="preserve"> double-click on the title bar. </w:t>
      </w:r>
    </w:p>
    <w:p w14:paraId="451F7221" w14:textId="626A46FC" w:rsidR="00B64A32" w:rsidRPr="000665B0" w:rsidRDefault="00B64A32" w:rsidP="004E7DCC">
      <w:pPr>
        <w:jc w:val="center"/>
      </w:pPr>
      <w:r w:rsidRPr="000665B0">
        <w:rPr>
          <w:noProof/>
        </w:rPr>
        <w:drawing>
          <wp:inline distT="0" distB="0" distL="0" distR="0" wp14:anchorId="22321A13" wp14:editId="188517F8">
            <wp:extent cx="3657600" cy="1536192"/>
            <wp:effectExtent l="0" t="0" r="0" b="6985"/>
            <wp:docPr id="1172"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657600" cy="1536192"/>
                    </a:xfrm>
                    <a:prstGeom prst="rect">
                      <a:avLst/>
                    </a:prstGeom>
                  </pic:spPr>
                </pic:pic>
              </a:graphicData>
            </a:graphic>
          </wp:inline>
        </w:drawing>
      </w:r>
    </w:p>
    <w:p w14:paraId="08ED3D9A" w14:textId="738E2CCD" w:rsidR="006760E5" w:rsidRPr="000665B0" w:rsidRDefault="006760E5" w:rsidP="006760E5">
      <w:r w:rsidRPr="000665B0">
        <w:t xml:space="preserve">To </w:t>
      </w:r>
      <w:r w:rsidR="0099491E" w:rsidRPr="000665B0">
        <w:t>disable</w:t>
      </w:r>
      <w:r w:rsidRPr="000665B0">
        <w:t xml:space="preserve"> auto-hide</w:t>
      </w:r>
      <w:r w:rsidR="0099491E" w:rsidRPr="000665B0">
        <w:t xml:space="preserve"> and return the window to its previous location</w:t>
      </w:r>
      <w:r w:rsidRPr="000665B0">
        <w:t>, click the</w:t>
      </w:r>
      <w:r w:rsidR="0099491E" w:rsidRPr="000665B0">
        <w:t xml:space="preserve"> horizontal</w:t>
      </w:r>
      <w:r w:rsidRPr="000665B0">
        <w:t xml:space="preserve"> pin </w:t>
      </w:r>
      <w:r w:rsidR="0099491E" w:rsidRPr="000665B0">
        <w:rPr>
          <w:noProof/>
          <w:position w:val="-6"/>
        </w:rPr>
        <w:drawing>
          <wp:inline distT="0" distB="0" distL="0" distR="0" wp14:anchorId="4EEEC47D" wp14:editId="65AF798F">
            <wp:extent cx="164254" cy="147709"/>
            <wp:effectExtent l="0" t="0" r="7620" b="5080"/>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l="12665" t="14203" r="16921" b="3205"/>
                    <a:stretch/>
                  </pic:blipFill>
                  <pic:spPr bwMode="auto">
                    <a:xfrm>
                      <a:off x="0" y="0"/>
                      <a:ext cx="167107" cy="150274"/>
                    </a:xfrm>
                    <a:prstGeom prst="rect">
                      <a:avLst/>
                    </a:prstGeom>
                    <a:ln>
                      <a:noFill/>
                    </a:ln>
                    <a:extLst>
                      <a:ext uri="{53640926-AAD7-44D8-BBD7-CCE9431645EC}">
                        <a14:shadowObscured xmlns:a14="http://schemas.microsoft.com/office/drawing/2010/main"/>
                      </a:ext>
                    </a:extLst>
                  </pic:spPr>
                </pic:pic>
              </a:graphicData>
            </a:graphic>
          </wp:inline>
        </w:drawing>
      </w:r>
      <w:r w:rsidRPr="000665B0">
        <w:t xml:space="preserve"> icon.</w:t>
      </w:r>
    </w:p>
    <w:p w14:paraId="106104BB" w14:textId="77777777" w:rsidR="006760E5" w:rsidRPr="000665B0" w:rsidRDefault="006760E5" w:rsidP="004E7DCC">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74FF2DDB" w14:textId="7B754E2D" w:rsidR="006760E5" w:rsidRPr="000665B0" w:rsidRDefault="006760E5" w:rsidP="001A0CBD">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Auto-hide windows </w:t>
      </w:r>
      <w:r w:rsidR="00987E38" w:rsidRPr="000665B0">
        <w:rPr>
          <w:b/>
        </w:rPr>
        <w:t>cannot</w:t>
      </w:r>
      <w:r w:rsidRPr="000665B0">
        <w:rPr>
          <w:b/>
        </w:rPr>
        <w:t xml:space="preserve"> float.</w:t>
      </w:r>
      <w:r w:rsidR="00F303DA" w:rsidRPr="000665B0">
        <w:rPr>
          <w:b/>
        </w:rPr>
        <w:t xml:space="preserve"> </w:t>
      </w:r>
      <w:r w:rsidRPr="000665B0">
        <w:rPr>
          <w:b/>
        </w:rPr>
        <w:t xml:space="preserve">To float, </w:t>
      </w:r>
      <w:r w:rsidR="00B64A32" w:rsidRPr="000665B0">
        <w:rPr>
          <w:b/>
        </w:rPr>
        <w:t>disable</w:t>
      </w:r>
      <w:r w:rsidRPr="000665B0">
        <w:rPr>
          <w:b/>
        </w:rPr>
        <w:t xml:space="preserve"> auto-hide.</w:t>
      </w:r>
    </w:p>
    <w:p w14:paraId="1AB334A9" w14:textId="468F0B15" w:rsidR="002170A8" w:rsidRPr="000665B0" w:rsidRDefault="002170A8" w:rsidP="00750E0A">
      <w:pPr>
        <w:pStyle w:val="Heading4"/>
      </w:pPr>
      <w:bookmarkStart w:id="6793" w:name="_Tabbed_Windows"/>
      <w:bookmarkStart w:id="6794" w:name="_Toc289328943"/>
      <w:bookmarkEnd w:id="6793"/>
      <w:r w:rsidRPr="000665B0">
        <w:t xml:space="preserve">Tabbed </w:t>
      </w:r>
      <w:r w:rsidR="007806A8" w:rsidRPr="000665B0">
        <w:t>W</w:t>
      </w:r>
      <w:r w:rsidRPr="000665B0">
        <w:t>indows</w:t>
      </w:r>
      <w:bookmarkEnd w:id="6794"/>
    </w:p>
    <w:p w14:paraId="3D998D95" w14:textId="02EBB716" w:rsidR="001E23DB" w:rsidRPr="000665B0" w:rsidRDefault="002170A8" w:rsidP="002170A8">
      <w:r w:rsidRPr="000665B0">
        <w:t>Dockable window</w:t>
      </w:r>
      <w:r w:rsidR="0099491E" w:rsidRPr="000665B0">
        <w:t>s</w:t>
      </w:r>
      <w:r w:rsidRPr="000665B0">
        <w:t xml:space="preserve"> can</w:t>
      </w:r>
      <w:r w:rsidR="001E23DB" w:rsidRPr="000665B0">
        <w:t xml:space="preserve"> also</w:t>
      </w:r>
      <w:r w:rsidRPr="000665B0">
        <w:t xml:space="preserve"> be</w:t>
      </w:r>
      <w:r w:rsidR="001E23DB" w:rsidRPr="000665B0">
        <w:t xml:space="preserve"> arranged</w:t>
      </w:r>
      <w:r w:rsidRPr="000665B0">
        <w:t xml:space="preserve"> in</w:t>
      </w:r>
      <w:r w:rsidR="001E23DB" w:rsidRPr="000665B0">
        <w:t>to</w:t>
      </w:r>
      <w:r w:rsidRPr="000665B0">
        <w:t xml:space="preserve"> a tabbed format.</w:t>
      </w:r>
      <w:r w:rsidR="00EC6D91" w:rsidRPr="000665B0">
        <w:t xml:space="preserve"> </w:t>
      </w:r>
    </w:p>
    <w:p w14:paraId="27DB6D48" w14:textId="08EA0466" w:rsidR="00B64A32" w:rsidRPr="000665B0" w:rsidRDefault="00B64A32" w:rsidP="002170A8">
      <w:r w:rsidRPr="000665B0">
        <w:t>Document windows can only be tabbed within the top portion of the SMD while docked windows can only be tabbed within the bottom portion of the SMD.</w:t>
      </w:r>
    </w:p>
    <w:p w14:paraId="75BD18EA" w14:textId="79EE8502" w:rsidR="001E23DB" w:rsidRPr="000665B0" w:rsidRDefault="00EC6D91" w:rsidP="002170A8">
      <w:r w:rsidRPr="000665B0">
        <w:t xml:space="preserve">In this example, </w:t>
      </w:r>
      <w:r w:rsidR="001E23DB" w:rsidRPr="000665B0">
        <w:t xml:space="preserve">the </w:t>
      </w:r>
      <w:r w:rsidR="001E23DB" w:rsidRPr="000665B0">
        <w:rPr>
          <w:i/>
        </w:rPr>
        <w:t>TSN Messages</w:t>
      </w:r>
      <w:r w:rsidR="001E23DB" w:rsidRPr="000665B0">
        <w:t xml:space="preserve"> and </w:t>
      </w:r>
      <w:r w:rsidR="001E23DB" w:rsidRPr="000665B0">
        <w:rPr>
          <w:i/>
        </w:rPr>
        <w:t>TSN Ping</w:t>
      </w:r>
      <w:r w:rsidR="001E23DB" w:rsidRPr="000665B0">
        <w:t xml:space="preserve"> windows are shown</w:t>
      </w:r>
      <w:r w:rsidRPr="000665B0">
        <w:t xml:space="preserve"> in a tabbed </w:t>
      </w:r>
      <w:r w:rsidR="001E23DB" w:rsidRPr="000665B0">
        <w:t>(</w:t>
      </w:r>
      <w:r w:rsidR="008D0B68" w:rsidRPr="000665B0">
        <w:t>minimized</w:t>
      </w:r>
      <w:r w:rsidR="001E23DB" w:rsidRPr="000665B0">
        <w:t xml:space="preserve">) </w:t>
      </w:r>
      <w:r w:rsidRPr="000665B0">
        <w:t>format</w:t>
      </w:r>
      <w:r w:rsidR="0080554B" w:rsidRPr="000665B0">
        <w:t xml:space="preserve">, with the </w:t>
      </w:r>
      <w:r w:rsidR="0080554B" w:rsidRPr="000665B0">
        <w:rPr>
          <w:b/>
        </w:rPr>
        <w:t>TSN Ping</w:t>
      </w:r>
      <w:r w:rsidR="0080554B" w:rsidRPr="000665B0">
        <w:t xml:space="preserve"> tab selected</w:t>
      </w:r>
      <w:r w:rsidRPr="000665B0">
        <w:t xml:space="preserve">. </w:t>
      </w:r>
      <w:r w:rsidR="0080554B" w:rsidRPr="000665B0">
        <w:t>Clicking a tab name causes it to become the active window.</w:t>
      </w:r>
      <w:r w:rsidR="001739B9" w:rsidRPr="000665B0">
        <w:t xml:space="preserve"> The </w:t>
      </w:r>
      <w:r w:rsidR="001739B9" w:rsidRPr="000665B0">
        <w:rPr>
          <w:i/>
        </w:rPr>
        <w:t>Events</w:t>
      </w:r>
      <w:r w:rsidR="00A7493D" w:rsidRPr="000665B0">
        <w:rPr>
          <w:i/>
        </w:rPr>
        <w:t xml:space="preserve"> </w:t>
      </w:r>
      <w:r w:rsidR="001739B9" w:rsidRPr="000665B0">
        <w:t>window is not in the tabbed format.</w:t>
      </w:r>
    </w:p>
    <w:p w14:paraId="06DF7C75" w14:textId="3A5C6180" w:rsidR="001E23DB" w:rsidRPr="000665B0" w:rsidRDefault="001739B9" w:rsidP="004E7DCC">
      <w:pPr>
        <w:jc w:val="center"/>
      </w:pPr>
      <w:r w:rsidRPr="000665B0">
        <w:rPr>
          <w:noProof/>
        </w:rPr>
        <w:drawing>
          <wp:inline distT="0" distB="0" distL="0" distR="0" wp14:anchorId="0CA84489" wp14:editId="57E11F62">
            <wp:extent cx="4572000" cy="1033272"/>
            <wp:effectExtent l="0" t="0" r="0" b="0"/>
            <wp:docPr id="1243" name="Picture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1033272"/>
                    </a:xfrm>
                    <a:prstGeom prst="rect">
                      <a:avLst/>
                    </a:prstGeom>
                  </pic:spPr>
                </pic:pic>
              </a:graphicData>
            </a:graphic>
          </wp:inline>
        </w:drawing>
      </w:r>
    </w:p>
    <w:p w14:paraId="36F3F7BD" w14:textId="2A82A361" w:rsidR="008D0B68" w:rsidRPr="000665B0" w:rsidRDefault="002170A8" w:rsidP="00EC6D91">
      <w:r w:rsidRPr="000665B0">
        <w:t xml:space="preserve">To </w:t>
      </w:r>
      <w:r w:rsidR="001739B9" w:rsidRPr="000665B0">
        <w:t>arrange dockable windows into a tabbed format</w:t>
      </w:r>
      <w:r w:rsidR="008D0B68" w:rsidRPr="000665B0">
        <w:t>:</w:t>
      </w:r>
      <w:r w:rsidRPr="000665B0">
        <w:t xml:space="preserve"> </w:t>
      </w:r>
    </w:p>
    <w:p w14:paraId="7356D018" w14:textId="5874C9AF" w:rsidR="008D0B68" w:rsidRPr="000665B0" w:rsidRDefault="008D0B68" w:rsidP="006D5A65">
      <w:pPr>
        <w:pStyle w:val="Heading1"/>
      </w:pPr>
      <w:r w:rsidRPr="000665B0">
        <w:t xml:space="preserve">Hold </w:t>
      </w:r>
      <w:r w:rsidR="002170A8" w:rsidRPr="000665B0">
        <w:t>the left mouse</w:t>
      </w:r>
      <w:r w:rsidRPr="000665B0">
        <w:t xml:space="preserve"> down</w:t>
      </w:r>
      <w:r w:rsidR="002170A8" w:rsidRPr="000665B0">
        <w:t xml:space="preserve"> </w:t>
      </w:r>
      <w:r w:rsidRPr="000665B0">
        <w:t>on</w:t>
      </w:r>
      <w:r w:rsidR="002170A8" w:rsidRPr="000665B0">
        <w:t xml:space="preserve"> the title</w:t>
      </w:r>
      <w:r w:rsidRPr="000665B0">
        <w:t xml:space="preserve"> </w:t>
      </w:r>
      <w:r w:rsidR="00F819A7" w:rsidRPr="000665B0">
        <w:t>bar and</w:t>
      </w:r>
      <w:r w:rsidR="002170A8" w:rsidRPr="000665B0">
        <w:t xml:space="preserve"> drag the window over another window.</w:t>
      </w:r>
    </w:p>
    <w:p w14:paraId="59EA67E6" w14:textId="136A1592" w:rsidR="008D0B68" w:rsidRPr="000665B0" w:rsidRDefault="008D0B68" w:rsidP="006D5A65">
      <w:pPr>
        <w:pStyle w:val="Heading1"/>
      </w:pPr>
      <w:r w:rsidRPr="000665B0">
        <w:t xml:space="preserve">When dragging the window, a shaded box follows the </w:t>
      </w:r>
      <w:r w:rsidR="00F819A7" w:rsidRPr="000665B0">
        <w:t>mouse,</w:t>
      </w:r>
      <w:r w:rsidRPr="000665B0">
        <w:t xml:space="preserve"> and the directional icon is displayed. </w:t>
      </w:r>
    </w:p>
    <w:p w14:paraId="0EE59011" w14:textId="48619CD2" w:rsidR="008D0B68" w:rsidRPr="000665B0" w:rsidRDefault="008D0B68" w:rsidP="004E7DCC">
      <w:pPr>
        <w:pStyle w:val="Number0205"/>
        <w:ind w:left="0" w:firstLine="0"/>
        <w:jc w:val="center"/>
      </w:pPr>
      <w:r w:rsidRPr="000665B0">
        <w:rPr>
          <w:noProof/>
        </w:rPr>
        <w:drawing>
          <wp:inline distT="0" distB="0" distL="0" distR="0" wp14:anchorId="63CA0971" wp14:editId="45D2E005">
            <wp:extent cx="914400" cy="950976"/>
            <wp:effectExtent l="0" t="0" r="0" b="0"/>
            <wp:docPr id="1195"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914400" cy="950976"/>
                    </a:xfrm>
                    <a:prstGeom prst="rect">
                      <a:avLst/>
                    </a:prstGeom>
                  </pic:spPr>
                </pic:pic>
              </a:graphicData>
            </a:graphic>
          </wp:inline>
        </w:drawing>
      </w:r>
    </w:p>
    <w:p w14:paraId="39FC168B" w14:textId="114E4F94" w:rsidR="00EC6D91" w:rsidRPr="000665B0" w:rsidRDefault="008D0B68" w:rsidP="006D5A65">
      <w:pPr>
        <w:pStyle w:val="Heading1"/>
      </w:pPr>
      <w:r w:rsidRPr="000665B0">
        <w:lastRenderedPageBreak/>
        <w:t xml:space="preserve">Ensure that </w:t>
      </w:r>
      <w:r w:rsidR="00F01F38" w:rsidRPr="000665B0">
        <w:t xml:space="preserve">either </w:t>
      </w:r>
      <w:r w:rsidRPr="000665B0">
        <w:t>the shaded box covers the entire window</w:t>
      </w:r>
      <w:r w:rsidR="00F01F38" w:rsidRPr="000665B0">
        <w:t xml:space="preserve"> that is beneath the dragged window, or that the mouse is hovered over the middle of the directional icon</w:t>
      </w:r>
      <w:r w:rsidRPr="000665B0">
        <w:t>.</w:t>
      </w:r>
      <w:r w:rsidR="00EC6D91" w:rsidRPr="000665B0">
        <w:t xml:space="preserve"> </w:t>
      </w:r>
      <w:r w:rsidR="00F01F38" w:rsidRPr="000665B0">
        <w:t xml:space="preserve">The </w:t>
      </w:r>
      <w:r w:rsidR="00EC6D91" w:rsidRPr="000665B0">
        <w:t>example</w:t>
      </w:r>
      <w:r w:rsidR="00F01F38" w:rsidRPr="000665B0">
        <w:t xml:space="preserve"> below shows the </w:t>
      </w:r>
      <w:r w:rsidR="00EC6D91" w:rsidRPr="000665B0">
        <w:rPr>
          <w:i/>
        </w:rPr>
        <w:t>T</w:t>
      </w:r>
      <w:r w:rsidR="00A73296" w:rsidRPr="000665B0">
        <w:rPr>
          <w:i/>
        </w:rPr>
        <w:t>SN</w:t>
      </w:r>
      <w:r w:rsidR="00EC6D91" w:rsidRPr="000665B0">
        <w:rPr>
          <w:i/>
        </w:rPr>
        <w:t xml:space="preserve"> </w:t>
      </w:r>
      <w:r w:rsidR="00F01F38" w:rsidRPr="000665B0">
        <w:rPr>
          <w:i/>
        </w:rPr>
        <w:t>Ping</w:t>
      </w:r>
      <w:r w:rsidR="00F01F38" w:rsidRPr="000665B0">
        <w:t xml:space="preserve"> </w:t>
      </w:r>
      <w:r w:rsidR="00EC6D91" w:rsidRPr="000665B0">
        <w:t xml:space="preserve">window </w:t>
      </w:r>
      <w:r w:rsidR="00F01F38" w:rsidRPr="000665B0">
        <w:t xml:space="preserve">being dragged </w:t>
      </w:r>
      <w:r w:rsidR="00EC6D91" w:rsidRPr="000665B0">
        <w:t xml:space="preserve">over the </w:t>
      </w:r>
      <w:r w:rsidR="00F01F38" w:rsidRPr="000665B0">
        <w:rPr>
          <w:i/>
        </w:rPr>
        <w:t>TSN Messages</w:t>
      </w:r>
      <w:r w:rsidR="00F01F38" w:rsidRPr="000665B0">
        <w:t xml:space="preserve"> </w:t>
      </w:r>
      <w:r w:rsidR="00EC6D91" w:rsidRPr="000665B0">
        <w:t xml:space="preserve">window. </w:t>
      </w:r>
    </w:p>
    <w:p w14:paraId="16F998A2" w14:textId="044F9F56" w:rsidR="002170A8" w:rsidRPr="000665B0" w:rsidRDefault="001739B9" w:rsidP="00EC6D91">
      <w:pPr>
        <w:jc w:val="center"/>
      </w:pPr>
      <w:r w:rsidRPr="000665B0">
        <w:rPr>
          <w:noProof/>
        </w:rPr>
        <w:drawing>
          <wp:inline distT="0" distB="0" distL="0" distR="0" wp14:anchorId="4970C3ED" wp14:editId="727DE337">
            <wp:extent cx="4572000" cy="1033272"/>
            <wp:effectExtent l="0" t="0" r="0" b="0"/>
            <wp:docPr id="1244"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b="-1"/>
                    <a:stretch/>
                  </pic:blipFill>
                  <pic:spPr bwMode="auto">
                    <a:xfrm>
                      <a:off x="0" y="0"/>
                      <a:ext cx="4572000" cy="1033272"/>
                    </a:xfrm>
                    <a:prstGeom prst="rect">
                      <a:avLst/>
                    </a:prstGeom>
                    <a:ln>
                      <a:noFill/>
                    </a:ln>
                    <a:extLst>
                      <a:ext uri="{53640926-AAD7-44D8-BBD7-CCE9431645EC}">
                        <a14:shadowObscured xmlns:a14="http://schemas.microsoft.com/office/drawing/2010/main"/>
                      </a:ext>
                    </a:extLst>
                  </pic:spPr>
                </pic:pic>
              </a:graphicData>
            </a:graphic>
          </wp:inline>
        </w:drawing>
      </w:r>
    </w:p>
    <w:p w14:paraId="3566A078" w14:textId="49388AD2" w:rsidR="0080554B" w:rsidRPr="000665B0" w:rsidRDefault="0080554B" w:rsidP="006D5A65">
      <w:pPr>
        <w:pStyle w:val="Heading1"/>
      </w:pPr>
      <w:r w:rsidRPr="000665B0">
        <w:t xml:space="preserve">When the left mouse button is released, the </w:t>
      </w:r>
      <w:r w:rsidRPr="000665B0">
        <w:rPr>
          <w:i/>
        </w:rPr>
        <w:t>TSN Messages</w:t>
      </w:r>
      <w:r w:rsidRPr="000665B0">
        <w:t xml:space="preserve"> and </w:t>
      </w:r>
      <w:r w:rsidRPr="000665B0">
        <w:rPr>
          <w:i/>
        </w:rPr>
        <w:t>TSN Ping</w:t>
      </w:r>
      <w:r w:rsidRPr="000665B0">
        <w:t xml:space="preserve"> windows are shown in a tabbed (minimized) format. In this case, the TSN Ping tab is selected. Clicking a tab name causes it to become the active window.</w:t>
      </w:r>
      <w:r w:rsidR="001739B9" w:rsidRPr="000665B0">
        <w:t xml:space="preserve"> The </w:t>
      </w:r>
      <w:r w:rsidR="001739B9" w:rsidRPr="000665B0">
        <w:rPr>
          <w:i/>
        </w:rPr>
        <w:t>Events</w:t>
      </w:r>
      <w:r w:rsidR="001739B9" w:rsidRPr="000665B0">
        <w:t xml:space="preserve"> window is not in the tabbed format.</w:t>
      </w:r>
    </w:p>
    <w:p w14:paraId="43F70862" w14:textId="03F4B1AE" w:rsidR="00F01F38" w:rsidRPr="000665B0" w:rsidRDefault="001739B9" w:rsidP="004E7DCC">
      <w:pPr>
        <w:pStyle w:val="ListParagraph"/>
        <w:spacing w:after="120" w:line="240" w:lineRule="atLeast"/>
        <w:ind w:left="0"/>
        <w:jc w:val="center"/>
      </w:pPr>
      <w:r w:rsidRPr="000665B0">
        <w:rPr>
          <w:noProof/>
        </w:rPr>
        <w:drawing>
          <wp:inline distT="0" distB="0" distL="0" distR="0" wp14:anchorId="1AE966B8" wp14:editId="6282B568">
            <wp:extent cx="4572000" cy="1033272"/>
            <wp:effectExtent l="0" t="0" r="0" b="0"/>
            <wp:docPr id="1256"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1033272"/>
                    </a:xfrm>
                    <a:prstGeom prst="rect">
                      <a:avLst/>
                    </a:prstGeom>
                  </pic:spPr>
                </pic:pic>
              </a:graphicData>
            </a:graphic>
          </wp:inline>
        </w:drawing>
      </w:r>
    </w:p>
    <w:p w14:paraId="009EBB24" w14:textId="09B8EF60" w:rsidR="001739B9" w:rsidRPr="000665B0" w:rsidRDefault="001739B9" w:rsidP="001739B9">
      <w:r w:rsidRPr="000665B0">
        <w:t xml:space="preserve">To restore dockable windows from a tabbed format: </w:t>
      </w:r>
    </w:p>
    <w:p w14:paraId="647DF39F" w14:textId="67CA3118" w:rsidR="001739B9" w:rsidRPr="000665B0" w:rsidRDefault="001739B9" w:rsidP="006D5A65">
      <w:pPr>
        <w:pStyle w:val="Heading1"/>
      </w:pPr>
      <w:r w:rsidRPr="000665B0">
        <w:t xml:space="preserve">Hold the left mouse down on the tab </w:t>
      </w:r>
      <w:r w:rsidR="00F819A7" w:rsidRPr="000665B0">
        <w:t>name and</w:t>
      </w:r>
      <w:r w:rsidRPr="000665B0">
        <w:t xml:space="preserve"> drag the </w:t>
      </w:r>
      <w:r w:rsidR="009B7950" w:rsidRPr="000665B0">
        <w:t xml:space="preserve">tab </w:t>
      </w:r>
      <w:r w:rsidRPr="000665B0">
        <w:t>over another window.</w:t>
      </w:r>
    </w:p>
    <w:p w14:paraId="4EF806A9" w14:textId="52CA4241" w:rsidR="001739B9" w:rsidRPr="000665B0" w:rsidRDefault="001739B9" w:rsidP="006D5A65">
      <w:pPr>
        <w:pStyle w:val="Heading1"/>
      </w:pPr>
      <w:r w:rsidRPr="000665B0">
        <w:t xml:space="preserve">When dragging the tab, a shaded box follows the </w:t>
      </w:r>
      <w:r w:rsidR="00F819A7" w:rsidRPr="000665B0">
        <w:t>mouse,</w:t>
      </w:r>
      <w:r w:rsidRPr="000665B0">
        <w:t xml:space="preserve"> and the directional icon is displayed. </w:t>
      </w:r>
    </w:p>
    <w:p w14:paraId="1C2455EB" w14:textId="77777777" w:rsidR="001739B9" w:rsidRPr="000665B0" w:rsidRDefault="001739B9" w:rsidP="004E7DCC">
      <w:pPr>
        <w:pStyle w:val="Number0205"/>
        <w:ind w:left="0" w:firstLine="0"/>
        <w:jc w:val="center"/>
      </w:pPr>
      <w:r w:rsidRPr="000665B0">
        <w:rPr>
          <w:noProof/>
        </w:rPr>
        <w:drawing>
          <wp:inline distT="0" distB="0" distL="0" distR="0" wp14:anchorId="4872CD11" wp14:editId="10AF30F7">
            <wp:extent cx="914400" cy="950976"/>
            <wp:effectExtent l="0" t="0" r="0" b="0"/>
            <wp:docPr id="1227" name="Picture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914400" cy="950976"/>
                    </a:xfrm>
                    <a:prstGeom prst="rect">
                      <a:avLst/>
                    </a:prstGeom>
                  </pic:spPr>
                </pic:pic>
              </a:graphicData>
            </a:graphic>
          </wp:inline>
        </w:drawing>
      </w:r>
    </w:p>
    <w:p w14:paraId="3900C7A7" w14:textId="2055DDD0" w:rsidR="001739B9" w:rsidRPr="000665B0" w:rsidRDefault="001739B9" w:rsidP="006D5A65">
      <w:pPr>
        <w:pStyle w:val="Heading1"/>
      </w:pPr>
      <w:r w:rsidRPr="000665B0">
        <w:t xml:space="preserve">Drag the tab such that the mouse is positioned over either the left, right, top, or bottom arrows on the directional icon. The example below shows the TSN Ping tab being dragged over the </w:t>
      </w:r>
      <w:r w:rsidRPr="000665B0">
        <w:rPr>
          <w:i/>
        </w:rPr>
        <w:t>Events</w:t>
      </w:r>
      <w:r w:rsidRPr="000665B0">
        <w:t xml:space="preserve"> window, with the mouse positioned over the right </w:t>
      </w:r>
      <w:r w:rsidRPr="000665B0">
        <w:lastRenderedPageBreak/>
        <w:t xml:space="preserve">arrow on the directional icon. The shaded box indicates the new position of the dragged window. </w:t>
      </w:r>
    </w:p>
    <w:p w14:paraId="6DF81CBE" w14:textId="192B40EB" w:rsidR="001739B9" w:rsidRPr="000665B0" w:rsidRDefault="001739B9" w:rsidP="001739B9">
      <w:pPr>
        <w:jc w:val="center"/>
      </w:pPr>
      <w:r w:rsidRPr="000665B0">
        <w:rPr>
          <w:noProof/>
        </w:rPr>
        <w:drawing>
          <wp:inline distT="0" distB="0" distL="0" distR="0" wp14:anchorId="0FF08697" wp14:editId="4B763D82">
            <wp:extent cx="4572000" cy="1033272"/>
            <wp:effectExtent l="0" t="0" r="0" b="0"/>
            <wp:docPr id="1257"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1033272"/>
                    </a:xfrm>
                    <a:prstGeom prst="rect">
                      <a:avLst/>
                    </a:prstGeom>
                  </pic:spPr>
                </pic:pic>
              </a:graphicData>
            </a:graphic>
          </wp:inline>
        </w:drawing>
      </w:r>
    </w:p>
    <w:p w14:paraId="6273A560" w14:textId="120840D7" w:rsidR="001739B9" w:rsidRPr="000665B0" w:rsidRDefault="001739B9" w:rsidP="006D5A65">
      <w:pPr>
        <w:pStyle w:val="Heading1"/>
      </w:pPr>
      <w:r w:rsidRPr="000665B0">
        <w:t xml:space="preserve">When the left mouse button is released, the </w:t>
      </w:r>
      <w:r w:rsidRPr="000665B0">
        <w:rPr>
          <w:i/>
        </w:rPr>
        <w:t xml:space="preserve">TSN Ping </w:t>
      </w:r>
      <w:r w:rsidRPr="000665B0">
        <w:t>window is shown to the right of the</w:t>
      </w:r>
      <w:r w:rsidRPr="000665B0">
        <w:rPr>
          <w:i/>
        </w:rPr>
        <w:t xml:space="preserve"> Events </w:t>
      </w:r>
      <w:r w:rsidRPr="000665B0">
        <w:t xml:space="preserve">window with the </w:t>
      </w:r>
      <w:r w:rsidRPr="000665B0">
        <w:rPr>
          <w:i/>
        </w:rPr>
        <w:t>TSN Messages</w:t>
      </w:r>
      <w:r w:rsidRPr="000665B0">
        <w:t xml:space="preserve"> window to the right of that</w:t>
      </w:r>
      <w:r w:rsidRPr="000665B0">
        <w:rPr>
          <w:i/>
        </w:rPr>
        <w:t>.</w:t>
      </w:r>
      <w:r w:rsidRPr="000665B0">
        <w:t xml:space="preserve"> </w:t>
      </w:r>
    </w:p>
    <w:p w14:paraId="099C3390" w14:textId="7792C0A2" w:rsidR="001739B9" w:rsidRPr="000665B0" w:rsidRDefault="001739B9" w:rsidP="001F4B14">
      <w:pPr>
        <w:pStyle w:val="ListParagraph"/>
        <w:spacing w:after="240" w:line="240" w:lineRule="atLeast"/>
        <w:ind w:left="0"/>
        <w:jc w:val="center"/>
      </w:pPr>
      <w:r w:rsidRPr="000665B0">
        <w:rPr>
          <w:noProof/>
        </w:rPr>
        <w:drawing>
          <wp:inline distT="0" distB="0" distL="0" distR="0" wp14:anchorId="78E7104F" wp14:editId="20F0D10B">
            <wp:extent cx="4572000" cy="1024128"/>
            <wp:effectExtent l="0" t="0" r="0" b="5080"/>
            <wp:docPr id="1260"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1024128"/>
                    </a:xfrm>
                    <a:prstGeom prst="rect">
                      <a:avLst/>
                    </a:prstGeom>
                  </pic:spPr>
                </pic:pic>
              </a:graphicData>
            </a:graphic>
          </wp:inline>
        </w:drawing>
      </w:r>
    </w:p>
    <w:p w14:paraId="072C63F5" w14:textId="77777777" w:rsidR="00EC6D91" w:rsidRPr="000665B0" w:rsidRDefault="002170A8" w:rsidP="001A0CBD">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4D036740" w14:textId="77777777" w:rsidR="002170A8" w:rsidRPr="000665B0" w:rsidRDefault="002170A8" w:rsidP="001A0CBD">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Dragging the Window Title will signify moving the tabbed windows as a whole, and not just an individual tabbed window.</w:t>
      </w:r>
    </w:p>
    <w:p w14:paraId="169CD366" w14:textId="6CCEEAC3" w:rsidR="002170A8" w:rsidRPr="000665B0" w:rsidRDefault="002170A8" w:rsidP="00B35EE5">
      <w:pPr>
        <w:pStyle w:val="Heading4"/>
      </w:pPr>
      <w:bookmarkStart w:id="6795" w:name="_5.38.12.5_Profiles"/>
      <w:bookmarkStart w:id="6796" w:name="_5.38.13.5_Profiles"/>
      <w:bookmarkStart w:id="6797" w:name="_5.38.14.5_Profiles"/>
      <w:bookmarkStart w:id="6798" w:name="_5.38.15.5__Profiles"/>
      <w:bookmarkStart w:id="6799" w:name="_5.38.14.5__Profiles"/>
      <w:bookmarkStart w:id="6800" w:name="_5.38.13.5__Profiles"/>
      <w:bookmarkStart w:id="6801" w:name="_Toc289328944"/>
      <w:bookmarkStart w:id="6802" w:name="_Hlk34293297"/>
      <w:bookmarkStart w:id="6803" w:name="_Hlk34312762"/>
      <w:bookmarkStart w:id="6804" w:name="_Hlk34831045"/>
      <w:bookmarkEnd w:id="6795"/>
      <w:bookmarkEnd w:id="6796"/>
      <w:bookmarkEnd w:id="6797"/>
      <w:bookmarkEnd w:id="6798"/>
      <w:bookmarkEnd w:id="6799"/>
      <w:bookmarkEnd w:id="6800"/>
      <w:r w:rsidRPr="000665B0">
        <w:t>Profiles</w:t>
      </w:r>
      <w:bookmarkEnd w:id="6801"/>
    </w:p>
    <w:p w14:paraId="78775185" w14:textId="3E04F3CB" w:rsidR="0034630C" w:rsidRPr="000665B0" w:rsidRDefault="00CF754F" w:rsidP="004E7DCC">
      <w:bookmarkStart w:id="6805" w:name="_5.38.14.5.1_Save_a_New_Profile"/>
      <w:bookmarkStart w:id="6806" w:name="_5.38.14.5.1__Save_a_New_Profile"/>
      <w:bookmarkStart w:id="6807" w:name="_5.38.15.5.1__Save_a_New_Profile"/>
      <w:bookmarkStart w:id="6808" w:name="_Hlk34302329"/>
      <w:bookmarkEnd w:id="6805"/>
      <w:bookmarkEnd w:id="6806"/>
      <w:bookmarkEnd w:id="6807"/>
      <w:r w:rsidRPr="000665B0">
        <w:t xml:space="preserve">Certain </w:t>
      </w:r>
      <w:r w:rsidR="00804EC5" w:rsidRPr="000665B0">
        <w:t xml:space="preserve">SMD </w:t>
      </w:r>
      <w:r w:rsidRPr="000665B0">
        <w:t>layouts are useful for certain situation</w:t>
      </w:r>
      <w:r w:rsidR="0008015E" w:rsidRPr="000665B0">
        <w:t>s</w:t>
      </w:r>
      <w:r w:rsidRPr="000665B0">
        <w:t xml:space="preserve">. Furthermore, personal preferences play a key role in the layout </w:t>
      </w:r>
      <w:r w:rsidR="00EB4756" w:rsidRPr="000665B0">
        <w:t>of the SMD</w:t>
      </w:r>
      <w:r w:rsidRPr="000665B0">
        <w:t xml:space="preserve">. </w:t>
      </w:r>
      <w:bookmarkStart w:id="6809" w:name="_Hlk34828316"/>
      <w:r w:rsidR="00C84694" w:rsidRPr="000665B0">
        <w:t xml:space="preserve">To facilitate quick access to a preferred layout, each user may create one or more profiles that </w:t>
      </w:r>
      <w:r w:rsidR="009104E4" w:rsidRPr="000665B0">
        <w:t>contain the desired layouts</w:t>
      </w:r>
      <w:r w:rsidR="00C84694" w:rsidRPr="000665B0">
        <w:t xml:space="preserve">. </w:t>
      </w:r>
      <w:bookmarkEnd w:id="6809"/>
      <w:r w:rsidRPr="000665B0">
        <w:t xml:space="preserve">After customizing </w:t>
      </w:r>
      <w:r w:rsidR="00F438DC" w:rsidRPr="000665B0">
        <w:t>the SMD</w:t>
      </w:r>
      <w:r w:rsidRPr="000665B0">
        <w:t xml:space="preserve"> to the preferred layout, the </w:t>
      </w:r>
      <w:r w:rsidR="00F438DC" w:rsidRPr="000665B0">
        <w:t xml:space="preserve">layout </w:t>
      </w:r>
      <w:r w:rsidR="00C84694" w:rsidRPr="000665B0">
        <w:t>is</w:t>
      </w:r>
      <w:r w:rsidR="00F438DC" w:rsidRPr="000665B0">
        <w:t xml:space="preserve"> saved</w:t>
      </w:r>
      <w:r w:rsidRPr="000665B0">
        <w:t xml:space="preserve"> a</w:t>
      </w:r>
      <w:r w:rsidR="00F438DC" w:rsidRPr="000665B0">
        <w:t>s a</w:t>
      </w:r>
      <w:r w:rsidRPr="000665B0">
        <w:t xml:space="preserve"> profile. Later, when this layout is desired, the </w:t>
      </w:r>
      <w:r w:rsidR="00FE4AFB" w:rsidRPr="000665B0">
        <w:t>profile is quickly accessed</w:t>
      </w:r>
      <w:r w:rsidRPr="000665B0">
        <w:t xml:space="preserve"> by selecting the saved profile</w:t>
      </w:r>
      <w:r w:rsidR="0017409D" w:rsidRPr="000665B0">
        <w:t>’s name</w:t>
      </w:r>
      <w:r w:rsidRPr="000665B0">
        <w:t xml:space="preserve"> from the </w:t>
      </w:r>
      <w:r w:rsidRPr="000665B0">
        <w:rPr>
          <w:b/>
        </w:rPr>
        <w:t xml:space="preserve">View </w:t>
      </w:r>
      <w:r w:rsidR="00A05D58" w:rsidRPr="000665B0">
        <w:rPr>
          <w:b/>
        </w:rPr>
        <w:sym w:font="Wingdings" w:char="F0E0"/>
      </w:r>
      <w:r w:rsidRPr="000665B0">
        <w:t xml:space="preserve"> </w:t>
      </w:r>
      <w:r w:rsidRPr="000665B0">
        <w:rPr>
          <w:b/>
        </w:rPr>
        <w:t>Profiles</w:t>
      </w:r>
      <w:r w:rsidRPr="000665B0">
        <w:t xml:space="preserve"> menu. </w:t>
      </w:r>
    </w:p>
    <w:p w14:paraId="08839811" w14:textId="7ADD2CD4" w:rsidR="00877A09" w:rsidRPr="000665B0" w:rsidRDefault="00CF754F" w:rsidP="00C36B36">
      <w:pPr>
        <w:rPr>
          <w:b/>
        </w:rPr>
      </w:pPr>
      <w:r w:rsidRPr="000665B0">
        <w:t>Once an operator selects a profile</w:t>
      </w:r>
      <w:r w:rsidR="0034630C" w:rsidRPr="000665B0">
        <w:t xml:space="preserve"> for use in the SMD</w:t>
      </w:r>
      <w:r w:rsidRPr="000665B0">
        <w:t>, that profile remain</w:t>
      </w:r>
      <w:r w:rsidR="0034630C" w:rsidRPr="000665B0">
        <w:t>s</w:t>
      </w:r>
      <w:r w:rsidRPr="000665B0">
        <w:t xml:space="preserve"> in effect until a different profile is selected. Any modifications to the </w:t>
      </w:r>
      <w:r w:rsidR="0034630C" w:rsidRPr="000665B0">
        <w:t xml:space="preserve">SMD </w:t>
      </w:r>
      <w:r w:rsidRPr="000665B0">
        <w:t>layout affect the profile</w:t>
      </w:r>
      <w:r w:rsidR="00F438DC" w:rsidRPr="000665B0">
        <w:t xml:space="preserve"> </w:t>
      </w:r>
      <w:bookmarkStart w:id="6810" w:name="_Hlk34828528"/>
      <w:r w:rsidR="00F438DC" w:rsidRPr="000665B0">
        <w:t>that is in use</w:t>
      </w:r>
      <w:r w:rsidR="00EB4756" w:rsidRPr="000665B0">
        <w:t xml:space="preserve"> and t</w:t>
      </w:r>
      <w:r w:rsidR="00F438DC" w:rsidRPr="000665B0">
        <w:t>he m</w:t>
      </w:r>
      <w:r w:rsidR="0017409D" w:rsidRPr="000665B0">
        <w:t xml:space="preserve">odifications </w:t>
      </w:r>
      <w:r w:rsidR="00F438DC" w:rsidRPr="000665B0">
        <w:t xml:space="preserve">may be </w:t>
      </w:r>
      <w:r w:rsidR="00EB4756" w:rsidRPr="000665B0">
        <w:t xml:space="preserve">saved to the </w:t>
      </w:r>
      <w:r w:rsidR="0017409D" w:rsidRPr="000665B0">
        <w:t>current profile</w:t>
      </w:r>
      <w:r w:rsidR="00EB4756" w:rsidRPr="000665B0">
        <w:t>,</w:t>
      </w:r>
      <w:r w:rsidR="0017409D" w:rsidRPr="000665B0">
        <w:t xml:space="preserve"> </w:t>
      </w:r>
      <w:r w:rsidR="00C84694" w:rsidRPr="000665B0">
        <w:t xml:space="preserve">saved to a new profile, </w:t>
      </w:r>
      <w:r w:rsidR="0017409D" w:rsidRPr="000665B0">
        <w:t xml:space="preserve">or </w:t>
      </w:r>
      <w:r w:rsidR="00F438DC" w:rsidRPr="000665B0">
        <w:t>discarded</w:t>
      </w:r>
      <w:r w:rsidR="0017409D" w:rsidRPr="000665B0">
        <w:t xml:space="preserve">. </w:t>
      </w:r>
      <w:r w:rsidR="00EB4756" w:rsidRPr="000665B0">
        <w:t>MDS initially defaults to us</w:t>
      </w:r>
      <w:r w:rsidR="00FE4AFB" w:rsidRPr="000665B0">
        <w:t>e</w:t>
      </w:r>
      <w:r w:rsidR="00EB4756" w:rsidRPr="000665B0">
        <w:t xml:space="preserve"> the </w:t>
      </w:r>
      <w:r w:rsidR="00EB4756" w:rsidRPr="000665B0">
        <w:rPr>
          <w:b/>
        </w:rPr>
        <w:t>*Auto-Save*</w:t>
      </w:r>
      <w:r w:rsidR="00EB4756" w:rsidRPr="000665B0">
        <w:t xml:space="preserve"> profile (see </w:t>
      </w:r>
      <w:hyperlink w:anchor="_*Auto-Save*" w:history="1">
        <w:r w:rsidR="00E036B6" w:rsidRPr="000665B0">
          <w:rPr>
            <w:rStyle w:val="Hyperlink"/>
          </w:rPr>
          <w:t xml:space="preserve">Section </w:t>
        </w:r>
        <w:r w:rsidR="004231CC">
          <w:rPr>
            <w:rStyle w:val="Hyperlink"/>
          </w:rPr>
          <w:t>5.35</w:t>
        </w:r>
        <w:r w:rsidR="00EB4756" w:rsidRPr="000665B0">
          <w:rPr>
            <w:rStyle w:val="Hyperlink"/>
          </w:rPr>
          <w:t>.14.5.5</w:t>
        </w:r>
      </w:hyperlink>
      <w:r w:rsidR="00EB4756" w:rsidRPr="000665B0">
        <w:t>).</w:t>
      </w:r>
      <w:bookmarkStart w:id="6811" w:name="_Hlk34828646"/>
      <w:bookmarkStart w:id="6812" w:name="_Hlk34828680"/>
      <w:bookmarkEnd w:id="6802"/>
      <w:bookmarkEnd w:id="6808"/>
      <w:bookmarkEnd w:id="6810"/>
    </w:p>
    <w:p w14:paraId="15BB5A9E" w14:textId="5E2BC6D8" w:rsidR="002170A8" w:rsidRPr="000665B0" w:rsidRDefault="002170A8" w:rsidP="00A54352">
      <w:pPr>
        <w:pStyle w:val="Heading5"/>
      </w:pPr>
      <w:bookmarkStart w:id="6813" w:name="_5.38.14.5.1__Save"/>
      <w:bookmarkStart w:id="6814" w:name="_5.38.13.5.1__Save"/>
      <w:bookmarkStart w:id="6815" w:name="_Save_a_New"/>
      <w:bookmarkStart w:id="6816" w:name="_Toc289328945"/>
      <w:bookmarkEnd w:id="6803"/>
      <w:bookmarkEnd w:id="6811"/>
      <w:bookmarkEnd w:id="6812"/>
      <w:bookmarkEnd w:id="6813"/>
      <w:bookmarkEnd w:id="6814"/>
      <w:bookmarkEnd w:id="6815"/>
      <w:r w:rsidRPr="000665B0">
        <w:lastRenderedPageBreak/>
        <w:t>Save a New Profile</w:t>
      </w:r>
      <w:bookmarkEnd w:id="6816"/>
    </w:p>
    <w:p w14:paraId="5907D1D9" w14:textId="7933D019" w:rsidR="00811D46" w:rsidRPr="000665B0" w:rsidRDefault="00811D46" w:rsidP="006D5A65">
      <w:pPr>
        <w:pStyle w:val="Heading1"/>
      </w:pPr>
      <w:bookmarkStart w:id="6817" w:name="_Hlk34828751"/>
      <w:r w:rsidRPr="000665B0">
        <w:t xml:space="preserve">Modify the SMD layout as desired. </w:t>
      </w:r>
    </w:p>
    <w:bookmarkEnd w:id="6817"/>
    <w:p w14:paraId="4F902887" w14:textId="226AE840" w:rsidR="002170A8" w:rsidRPr="000665B0" w:rsidRDefault="002170A8" w:rsidP="006D5A65">
      <w:pPr>
        <w:pStyle w:val="Heading1"/>
      </w:pPr>
      <w:r w:rsidRPr="000665B0">
        <w:t>From the View menu, select Profiles</w:t>
      </w:r>
      <w:r w:rsidR="005D6CFF" w:rsidRPr="000665B0">
        <w:t xml:space="preserve"> </w:t>
      </w:r>
      <w:r w:rsidR="00A05D58" w:rsidRPr="000665B0">
        <w:sym w:font="Wingdings" w:char="F0E0"/>
      </w:r>
      <w:r w:rsidR="005D6CFF" w:rsidRPr="000665B0">
        <w:t xml:space="preserve"> </w:t>
      </w:r>
      <w:r w:rsidRPr="000665B0">
        <w:t xml:space="preserve">Save Profile As…. </w:t>
      </w:r>
    </w:p>
    <w:p w14:paraId="686FA7AB" w14:textId="65C74566" w:rsidR="002170A8" w:rsidRPr="000665B0" w:rsidRDefault="004D7E98" w:rsidP="002170A8">
      <w:pPr>
        <w:jc w:val="center"/>
      </w:pPr>
      <w:r w:rsidRPr="000665B0">
        <w:rPr>
          <w:noProof/>
        </w:rPr>
        <w:drawing>
          <wp:inline distT="0" distB="0" distL="0" distR="0" wp14:anchorId="78890AF9" wp14:editId="4FB904ED">
            <wp:extent cx="2618327" cy="1981200"/>
            <wp:effectExtent l="0" t="0" r="0" b="0"/>
            <wp:docPr id="2130" name="Picture 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629537" cy="1989682"/>
                    </a:xfrm>
                    <a:prstGeom prst="rect">
                      <a:avLst/>
                    </a:prstGeom>
                    <a:ln>
                      <a:noFill/>
                    </a:ln>
                    <a:extLst>
                      <a:ext uri="{53640926-AAD7-44D8-BBD7-CCE9431645EC}">
                        <a14:shadowObscured xmlns:a14="http://schemas.microsoft.com/office/drawing/2010/main"/>
                      </a:ext>
                    </a:extLst>
                  </pic:spPr>
                </pic:pic>
              </a:graphicData>
            </a:graphic>
          </wp:inline>
        </w:drawing>
      </w:r>
    </w:p>
    <w:p w14:paraId="28BE57DC" w14:textId="7A5CAA67" w:rsidR="001B20EC" w:rsidRPr="000665B0" w:rsidRDefault="001B20EC" w:rsidP="006D5A65">
      <w:pPr>
        <w:pStyle w:val="Heading1"/>
      </w:pPr>
      <w:bookmarkStart w:id="6818" w:name="_Hlk34829268"/>
      <w:r w:rsidRPr="000665B0">
        <w:t xml:space="preserve">In the </w:t>
      </w:r>
      <w:r w:rsidRPr="000665B0">
        <w:rPr>
          <w:i/>
        </w:rPr>
        <w:t>Save Profile As</w:t>
      </w:r>
      <w:r w:rsidRPr="000665B0">
        <w:t xml:space="preserve"> window, enter the name of the profile (1-20 letters; no numbers, spaces, or symbols), and click OK.</w:t>
      </w:r>
      <w:bookmarkEnd w:id="6818"/>
      <w:r w:rsidRPr="000665B0">
        <w:t xml:space="preserve"> The current layout is saved to this named profile.</w:t>
      </w:r>
    </w:p>
    <w:p w14:paraId="04E9C090" w14:textId="3201E6A6" w:rsidR="001B20EC" w:rsidRPr="000665B0" w:rsidRDefault="001B20EC" w:rsidP="004E7DCC">
      <w:pPr>
        <w:pStyle w:val="Number0205"/>
        <w:ind w:left="0" w:firstLine="0"/>
        <w:jc w:val="center"/>
      </w:pPr>
      <w:r w:rsidRPr="000665B0">
        <w:rPr>
          <w:noProof/>
        </w:rPr>
        <w:drawing>
          <wp:inline distT="0" distB="0" distL="0" distR="0" wp14:anchorId="0DFA4872" wp14:editId="7DB9FAD8">
            <wp:extent cx="2743200" cy="859536"/>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859536"/>
                    </a:xfrm>
                    <a:prstGeom prst="rect">
                      <a:avLst/>
                    </a:prstGeom>
                  </pic:spPr>
                </pic:pic>
              </a:graphicData>
            </a:graphic>
          </wp:inline>
        </w:drawing>
      </w:r>
    </w:p>
    <w:p w14:paraId="1E804927" w14:textId="344D6987" w:rsidR="005D6CFF" w:rsidRPr="000665B0" w:rsidRDefault="005D6CFF" w:rsidP="005D6CFF">
      <w:r w:rsidRPr="000665B0">
        <w:t>Later, when this profile is required</w:t>
      </w:r>
      <w:r w:rsidR="00804EC5" w:rsidRPr="000665B0">
        <w:t xml:space="preserve">: </w:t>
      </w:r>
      <w:bookmarkStart w:id="6819" w:name="_Hlk34829413"/>
      <w:r w:rsidR="00804EC5" w:rsidRPr="000665B0">
        <w:t xml:space="preserve">From the </w:t>
      </w:r>
      <w:r w:rsidR="00804EC5" w:rsidRPr="000665B0">
        <w:rPr>
          <w:b/>
        </w:rPr>
        <w:t>View</w:t>
      </w:r>
      <w:r w:rsidR="00804EC5" w:rsidRPr="000665B0">
        <w:t xml:space="preserve"> menu, select </w:t>
      </w:r>
      <w:r w:rsidR="00804EC5" w:rsidRPr="000665B0">
        <w:rPr>
          <w:b/>
        </w:rPr>
        <w:t>Profiles</w:t>
      </w:r>
      <w:r w:rsidR="00804EC5" w:rsidRPr="000665B0">
        <w:t xml:space="preserve"> </w:t>
      </w:r>
      <w:r w:rsidR="00804EC5" w:rsidRPr="000665B0">
        <w:rPr>
          <w:b/>
        </w:rPr>
        <w:sym w:font="Wingdings" w:char="F0E0"/>
      </w:r>
      <w:r w:rsidR="00804EC5" w:rsidRPr="000665B0">
        <w:t xml:space="preserve"> </w:t>
      </w:r>
      <w:r w:rsidR="00804EC5" w:rsidRPr="000665B0">
        <w:rPr>
          <w:b/>
        </w:rPr>
        <w:t xml:space="preserve">[Profile Name] </w:t>
      </w:r>
      <w:r w:rsidR="00804EC5" w:rsidRPr="000665B0">
        <w:t>to</w:t>
      </w:r>
      <w:bookmarkEnd w:id="6819"/>
      <w:r w:rsidRPr="000665B0">
        <w:t xml:space="preserve"> change the layout to the selected profile. </w:t>
      </w:r>
    </w:p>
    <w:p w14:paraId="3A832493" w14:textId="65E92FE7" w:rsidR="002170A8" w:rsidRPr="000665B0" w:rsidRDefault="00F34058" w:rsidP="001A0E57">
      <w:pPr>
        <w:jc w:val="center"/>
      </w:pPr>
      <w:r w:rsidRPr="000665B0">
        <w:rPr>
          <w:noProof/>
        </w:rPr>
        <w:drawing>
          <wp:inline distT="0" distB="0" distL="0" distR="0" wp14:anchorId="0F46088B" wp14:editId="4A4B3F6F">
            <wp:extent cx="2481515" cy="1885950"/>
            <wp:effectExtent l="0" t="0" r="0" b="0"/>
            <wp:docPr id="2131" name="Picture 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490334" cy="1892652"/>
                    </a:xfrm>
                    <a:prstGeom prst="rect">
                      <a:avLst/>
                    </a:prstGeom>
                  </pic:spPr>
                </pic:pic>
              </a:graphicData>
            </a:graphic>
          </wp:inline>
        </w:drawing>
      </w:r>
    </w:p>
    <w:p w14:paraId="541EF936" w14:textId="18D6334B" w:rsidR="002170A8" w:rsidRPr="000665B0" w:rsidRDefault="0034630C" w:rsidP="00A54352">
      <w:pPr>
        <w:pStyle w:val="Heading5"/>
      </w:pPr>
      <w:bookmarkStart w:id="6820" w:name="_5.38.12.5.2_Save_a_Profile"/>
      <w:bookmarkStart w:id="6821" w:name="_5.38.14.5.2_Save_a_Profile"/>
      <w:bookmarkStart w:id="6822" w:name="_5.38.14.5.2__Save_a_Profile"/>
      <w:bookmarkStart w:id="6823" w:name="_5.38.15.5.2__Save_a_Profile"/>
      <w:bookmarkStart w:id="6824" w:name="_5.38.14.5.2__Save"/>
      <w:bookmarkStart w:id="6825" w:name="_5.38.13.5.2__Save"/>
      <w:bookmarkStart w:id="6826" w:name="_Edit_a_Profile"/>
      <w:bookmarkStart w:id="6827" w:name="_Toc289328946"/>
      <w:bookmarkEnd w:id="6820"/>
      <w:bookmarkEnd w:id="6821"/>
      <w:bookmarkEnd w:id="6822"/>
      <w:bookmarkEnd w:id="6823"/>
      <w:bookmarkEnd w:id="6824"/>
      <w:bookmarkEnd w:id="6825"/>
      <w:bookmarkEnd w:id="6826"/>
      <w:r w:rsidRPr="000665B0">
        <w:t xml:space="preserve">Edit </w:t>
      </w:r>
      <w:r w:rsidR="002170A8" w:rsidRPr="000665B0">
        <w:t>a Profile</w:t>
      </w:r>
      <w:bookmarkEnd w:id="6827"/>
    </w:p>
    <w:p w14:paraId="434B7657" w14:textId="33AADFFF" w:rsidR="002170A8" w:rsidRPr="000665B0" w:rsidRDefault="002170A8" w:rsidP="00CF754F">
      <w:r w:rsidRPr="000665B0">
        <w:t>If a</w:t>
      </w:r>
      <w:r w:rsidR="001B20EC" w:rsidRPr="000665B0">
        <w:t>n existing</w:t>
      </w:r>
      <w:r w:rsidRPr="000665B0">
        <w:t xml:space="preserve"> profile need</w:t>
      </w:r>
      <w:r w:rsidR="005D6CFF" w:rsidRPr="000665B0">
        <w:t>s</w:t>
      </w:r>
      <w:r w:rsidRPr="000665B0">
        <w:t xml:space="preserve"> to be changed</w:t>
      </w:r>
      <w:r w:rsidR="00804EC5" w:rsidRPr="000665B0">
        <w:t xml:space="preserve">: </w:t>
      </w:r>
      <w:bookmarkStart w:id="6828" w:name="_Hlk34829934"/>
      <w:r w:rsidR="00804EC5" w:rsidRPr="000665B0">
        <w:t xml:space="preserve">From the </w:t>
      </w:r>
      <w:r w:rsidR="00804EC5" w:rsidRPr="000665B0">
        <w:rPr>
          <w:b/>
        </w:rPr>
        <w:t>View</w:t>
      </w:r>
      <w:r w:rsidR="00804EC5" w:rsidRPr="000665B0">
        <w:t xml:space="preserve"> menu, select </w:t>
      </w:r>
      <w:r w:rsidR="00804EC5" w:rsidRPr="000665B0">
        <w:rPr>
          <w:b/>
        </w:rPr>
        <w:t>Profiles</w:t>
      </w:r>
      <w:r w:rsidR="00804EC5" w:rsidRPr="000665B0">
        <w:t xml:space="preserve"> </w:t>
      </w:r>
      <w:r w:rsidR="00804EC5" w:rsidRPr="000665B0">
        <w:rPr>
          <w:b/>
        </w:rPr>
        <w:sym w:font="Wingdings" w:char="F0E0"/>
      </w:r>
      <w:r w:rsidR="00804EC5" w:rsidRPr="000665B0">
        <w:t xml:space="preserve"> </w:t>
      </w:r>
      <w:r w:rsidR="00804EC5" w:rsidRPr="000665B0">
        <w:rPr>
          <w:b/>
        </w:rPr>
        <w:t>[Profile Name]</w:t>
      </w:r>
      <w:bookmarkEnd w:id="6828"/>
      <w:r w:rsidRPr="000665B0">
        <w:t xml:space="preserve">. Make all required layout changes, </w:t>
      </w:r>
      <w:r w:rsidR="005D6CFF" w:rsidRPr="000665B0">
        <w:t>and then</w:t>
      </w:r>
      <w:r w:rsidRPr="000665B0">
        <w:t xml:space="preserve"> </w:t>
      </w:r>
      <w:bookmarkStart w:id="6829" w:name="_Hlk34829954"/>
      <w:r w:rsidR="00804EC5" w:rsidRPr="000665B0">
        <w:t xml:space="preserve">from the </w:t>
      </w:r>
      <w:r w:rsidR="00804EC5" w:rsidRPr="000665B0">
        <w:rPr>
          <w:b/>
        </w:rPr>
        <w:t>View</w:t>
      </w:r>
      <w:r w:rsidR="00804EC5" w:rsidRPr="000665B0">
        <w:t xml:space="preserve"> menu, select </w:t>
      </w:r>
      <w:r w:rsidR="00804EC5" w:rsidRPr="000665B0">
        <w:rPr>
          <w:b/>
        </w:rPr>
        <w:t>Profiles</w:t>
      </w:r>
      <w:r w:rsidR="00804EC5" w:rsidRPr="000665B0">
        <w:t xml:space="preserve"> </w:t>
      </w:r>
      <w:r w:rsidR="00804EC5" w:rsidRPr="000665B0">
        <w:rPr>
          <w:b/>
        </w:rPr>
        <w:sym w:font="Wingdings" w:char="F0E0"/>
      </w:r>
      <w:r w:rsidR="00804EC5" w:rsidRPr="000665B0">
        <w:t xml:space="preserve"> </w:t>
      </w:r>
      <w:r w:rsidR="00804EC5" w:rsidRPr="000665B0">
        <w:rPr>
          <w:b/>
        </w:rPr>
        <w:t>Save Profile</w:t>
      </w:r>
      <w:bookmarkEnd w:id="6829"/>
      <w:r w:rsidR="00804EC5" w:rsidRPr="000665B0">
        <w:t xml:space="preserve">. </w:t>
      </w:r>
      <w:r w:rsidRPr="000665B0">
        <w:t>This override</w:t>
      </w:r>
      <w:r w:rsidR="00804EC5" w:rsidRPr="000665B0">
        <w:t>s</w:t>
      </w:r>
      <w:r w:rsidRPr="000665B0">
        <w:t xml:space="preserve"> the previous layout with the current layout.</w:t>
      </w:r>
    </w:p>
    <w:p w14:paraId="38530EDF" w14:textId="1FD8B950" w:rsidR="002170A8" w:rsidRPr="000665B0" w:rsidRDefault="002170A8" w:rsidP="00A54352">
      <w:pPr>
        <w:pStyle w:val="Heading5"/>
      </w:pPr>
      <w:bookmarkStart w:id="6830" w:name="_5.38.12.5.3_Remove_a_Profile"/>
      <w:bookmarkStart w:id="6831" w:name="_5.38.14.5.3_Remove_a_Profile"/>
      <w:bookmarkStart w:id="6832" w:name="_5.38.14.5.3__Remove_a_Profile"/>
      <w:bookmarkStart w:id="6833" w:name="_5.38.15.5.3__Remove_a_Profile"/>
      <w:bookmarkStart w:id="6834" w:name="_5.38.14.5.3__Remove"/>
      <w:bookmarkStart w:id="6835" w:name="_Remove_a_Profile"/>
      <w:bookmarkStart w:id="6836" w:name="_Toc289328947"/>
      <w:bookmarkEnd w:id="6830"/>
      <w:bookmarkEnd w:id="6831"/>
      <w:bookmarkEnd w:id="6832"/>
      <w:bookmarkEnd w:id="6833"/>
      <w:bookmarkEnd w:id="6834"/>
      <w:bookmarkEnd w:id="6835"/>
      <w:r w:rsidRPr="000665B0">
        <w:lastRenderedPageBreak/>
        <w:t>Remove a Profile</w:t>
      </w:r>
      <w:bookmarkEnd w:id="6836"/>
    </w:p>
    <w:p w14:paraId="656E6171" w14:textId="6024EB37" w:rsidR="002170A8" w:rsidRPr="000665B0" w:rsidRDefault="00804EC5" w:rsidP="002170A8">
      <w:bookmarkStart w:id="6837" w:name="_Hlk34830683"/>
      <w:r w:rsidRPr="000665B0">
        <w:t xml:space="preserve">If a profile needs to be removed (deleted): From the </w:t>
      </w:r>
      <w:r w:rsidRPr="000665B0">
        <w:rPr>
          <w:b/>
        </w:rPr>
        <w:t>View</w:t>
      </w:r>
      <w:r w:rsidRPr="000665B0">
        <w:t xml:space="preserve"> menu, select </w:t>
      </w:r>
      <w:r w:rsidRPr="000665B0">
        <w:rPr>
          <w:b/>
        </w:rPr>
        <w:t>Profiles</w:t>
      </w:r>
      <w:r w:rsidRPr="000665B0">
        <w:t xml:space="preserve"> </w:t>
      </w:r>
      <w:r w:rsidRPr="000665B0">
        <w:rPr>
          <w:b/>
        </w:rPr>
        <w:sym w:font="Wingdings" w:char="F0E0"/>
      </w:r>
      <w:r w:rsidRPr="000665B0">
        <w:t xml:space="preserve"> </w:t>
      </w:r>
      <w:r w:rsidRPr="000665B0">
        <w:rPr>
          <w:b/>
        </w:rPr>
        <w:t>Remove Profile</w:t>
      </w:r>
      <w:r w:rsidRPr="000665B0">
        <w:t>.</w:t>
      </w:r>
      <w:bookmarkEnd w:id="6837"/>
      <w:r w:rsidRPr="000665B0">
        <w:t xml:space="preserve"> </w:t>
      </w:r>
      <w:r w:rsidR="002170A8" w:rsidRPr="000665B0">
        <w:t xml:space="preserve">Check the profile(s) to remove from the </w:t>
      </w:r>
      <w:bookmarkStart w:id="6838" w:name="_Hlk34830704"/>
      <w:r w:rsidRPr="000665B0">
        <w:rPr>
          <w:i/>
        </w:rPr>
        <w:t>Remove Profiles</w:t>
      </w:r>
      <w:r w:rsidRPr="000665B0">
        <w:t xml:space="preserve"> </w:t>
      </w:r>
      <w:bookmarkEnd w:id="6838"/>
      <w:r w:rsidR="00E64F32" w:rsidRPr="000665B0">
        <w:t>window and</w:t>
      </w:r>
      <w:r w:rsidR="002170A8" w:rsidRPr="000665B0">
        <w:t xml:space="preserve"> click </w:t>
      </w:r>
      <w:bookmarkStart w:id="6839" w:name="_Hlk34830719"/>
      <w:r w:rsidR="000A32F8" w:rsidRPr="000665B0">
        <w:rPr>
          <w:b/>
        </w:rPr>
        <w:t>Remove</w:t>
      </w:r>
      <w:r w:rsidR="002170A8" w:rsidRPr="000665B0">
        <w:t>.</w:t>
      </w:r>
      <w:r w:rsidR="000A32F8" w:rsidRPr="000665B0">
        <w:t xml:space="preserve"> A </w:t>
      </w:r>
      <w:r w:rsidR="000A32F8" w:rsidRPr="000665B0">
        <w:rPr>
          <w:i/>
        </w:rPr>
        <w:t>Remove Profile</w:t>
      </w:r>
      <w:r w:rsidR="000A32F8" w:rsidRPr="000665B0">
        <w:t xml:space="preserve"> confirmation window is displayed. Click </w:t>
      </w:r>
      <w:r w:rsidR="000A32F8" w:rsidRPr="000665B0">
        <w:rPr>
          <w:b/>
        </w:rPr>
        <w:t>OK</w:t>
      </w:r>
      <w:bookmarkEnd w:id="6839"/>
      <w:r w:rsidR="000A32F8" w:rsidRPr="000665B0">
        <w:t>.</w:t>
      </w:r>
    </w:p>
    <w:p w14:paraId="569D237C" w14:textId="77777777" w:rsidR="004969D6" w:rsidRPr="000665B0" w:rsidRDefault="004969D6" w:rsidP="00C92934">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65673A6A" w14:textId="77777777" w:rsidR="004969D6" w:rsidRPr="000665B0" w:rsidRDefault="004969D6" w:rsidP="00C92934">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The *Auto-Save* profile cannot be removed.</w:t>
      </w:r>
    </w:p>
    <w:p w14:paraId="4438E3B4" w14:textId="5849F306" w:rsidR="004969D6" w:rsidRPr="000665B0" w:rsidRDefault="004969D6" w:rsidP="00A54352">
      <w:pPr>
        <w:pStyle w:val="Heading5"/>
      </w:pPr>
      <w:bookmarkStart w:id="6840" w:name="_Toc289328948"/>
      <w:r w:rsidRPr="000665B0">
        <w:t>Restore Defaults</w:t>
      </w:r>
      <w:bookmarkEnd w:id="6840"/>
    </w:p>
    <w:p w14:paraId="55843925" w14:textId="036078B2" w:rsidR="004969D6" w:rsidRPr="000665B0" w:rsidRDefault="004969D6" w:rsidP="004969D6">
      <w:pPr>
        <w:spacing w:after="0"/>
      </w:pPr>
      <w:r w:rsidRPr="000665B0">
        <w:t>To restore the SMD layout to the default (startup) configuration</w:t>
      </w:r>
      <w:bookmarkStart w:id="6841" w:name="_Hlk34830805"/>
      <w:r w:rsidR="009A2A74" w:rsidRPr="000665B0">
        <w:t xml:space="preserve">: From the </w:t>
      </w:r>
      <w:r w:rsidR="009A2A74" w:rsidRPr="000665B0">
        <w:rPr>
          <w:b/>
        </w:rPr>
        <w:t>View</w:t>
      </w:r>
      <w:r w:rsidR="009A2A74" w:rsidRPr="000665B0">
        <w:t xml:space="preserve"> menu, select </w:t>
      </w:r>
      <w:r w:rsidR="009A2A74" w:rsidRPr="000665B0">
        <w:rPr>
          <w:b/>
        </w:rPr>
        <w:t>Profiles</w:t>
      </w:r>
      <w:r w:rsidR="009A2A74" w:rsidRPr="000665B0">
        <w:t xml:space="preserve"> </w:t>
      </w:r>
      <w:r w:rsidR="009A2A74" w:rsidRPr="000665B0">
        <w:rPr>
          <w:b/>
        </w:rPr>
        <w:sym w:font="Wingdings" w:char="F0E0"/>
      </w:r>
      <w:bookmarkEnd w:id="6841"/>
      <w:r w:rsidR="009A2A74" w:rsidRPr="000665B0">
        <w:t xml:space="preserve"> </w:t>
      </w:r>
      <w:r w:rsidRPr="000665B0">
        <w:rPr>
          <w:b/>
        </w:rPr>
        <w:t>Restore Defaults</w:t>
      </w:r>
      <w:r w:rsidRPr="000665B0">
        <w:t xml:space="preserve">. When this item is selected, the current configuration </w:t>
      </w:r>
      <w:r w:rsidR="009A2A74" w:rsidRPr="000665B0">
        <w:t>is</w:t>
      </w:r>
      <w:r w:rsidRPr="000665B0">
        <w:t xml:space="preserve"> </w:t>
      </w:r>
      <w:r w:rsidR="00E64F32" w:rsidRPr="000665B0">
        <w:t>discarded,</w:t>
      </w:r>
      <w:r w:rsidRPr="000665B0">
        <w:t xml:space="preserve"> and the displayed layout </w:t>
      </w:r>
      <w:r w:rsidR="009A2A74" w:rsidRPr="000665B0">
        <w:t>is</w:t>
      </w:r>
      <w:r w:rsidRPr="000665B0">
        <w:t xml:space="preserve"> restored to the default configuration. If the operator currently has a profile selected, this </w:t>
      </w:r>
      <w:r w:rsidR="00FE5909" w:rsidRPr="000665B0">
        <w:t xml:space="preserve">default </w:t>
      </w:r>
      <w:r w:rsidRPr="000665B0">
        <w:t>layout become</w:t>
      </w:r>
      <w:r w:rsidR="009A2A74" w:rsidRPr="000665B0">
        <w:t>s</w:t>
      </w:r>
      <w:r w:rsidRPr="000665B0">
        <w:t xml:space="preserve"> the configuration for the selected profile </w:t>
      </w:r>
      <w:r w:rsidR="00BF5005" w:rsidRPr="000665B0">
        <w:t>(</w:t>
      </w:r>
      <w:r w:rsidRPr="000665B0">
        <w:t>unless the operator declines to save the modifications later</w:t>
      </w:r>
      <w:r w:rsidR="00BF5005" w:rsidRPr="000665B0">
        <w:t>)</w:t>
      </w:r>
      <w:r w:rsidRPr="000665B0">
        <w:t>.</w:t>
      </w:r>
    </w:p>
    <w:p w14:paraId="4C912897" w14:textId="27FD1987" w:rsidR="004969D6" w:rsidRPr="000665B0" w:rsidRDefault="004969D6" w:rsidP="00A54352">
      <w:pPr>
        <w:pStyle w:val="Heading5"/>
      </w:pPr>
      <w:bookmarkStart w:id="6842" w:name="_*Auto-Save*"/>
      <w:bookmarkStart w:id="6843" w:name="_Toc289328949"/>
      <w:bookmarkEnd w:id="6842"/>
      <w:r w:rsidRPr="000665B0">
        <w:t>*Auto-Save*</w:t>
      </w:r>
      <w:bookmarkEnd w:id="6843"/>
      <w:r w:rsidRPr="000665B0">
        <w:t xml:space="preserve"> </w:t>
      </w:r>
    </w:p>
    <w:p w14:paraId="77CF1520" w14:textId="1E010E99" w:rsidR="004969D6" w:rsidRPr="000665B0" w:rsidRDefault="009A2A74" w:rsidP="004969D6">
      <w:pPr>
        <w:spacing w:after="0"/>
      </w:pPr>
      <w:r w:rsidRPr="000665B0">
        <w:t>T</w:t>
      </w:r>
      <w:r w:rsidR="004969D6" w:rsidRPr="000665B0">
        <w:t xml:space="preserve">he </w:t>
      </w:r>
      <w:r w:rsidR="004969D6" w:rsidRPr="000665B0">
        <w:rPr>
          <w:b/>
        </w:rPr>
        <w:t>*Auto-Save*</w:t>
      </w:r>
      <w:r w:rsidR="004969D6" w:rsidRPr="000665B0">
        <w:t xml:space="preserve"> profile is </w:t>
      </w:r>
      <w:r w:rsidRPr="000665B0">
        <w:t xml:space="preserve">a </w:t>
      </w:r>
      <w:r w:rsidR="004969D6" w:rsidRPr="000665B0">
        <w:t xml:space="preserve">default </w:t>
      </w:r>
      <w:bookmarkStart w:id="6844" w:name="_Hlk34830927"/>
      <w:r w:rsidRPr="000665B0">
        <w:t xml:space="preserve">profile that is </w:t>
      </w:r>
      <w:r w:rsidR="00BF5005" w:rsidRPr="000665B0">
        <w:t>created</w:t>
      </w:r>
      <w:r w:rsidRPr="000665B0">
        <w:t xml:space="preserve"> </w:t>
      </w:r>
      <w:bookmarkEnd w:id="6844"/>
      <w:r w:rsidR="004969D6" w:rsidRPr="000665B0">
        <w:t>at system installation</w:t>
      </w:r>
      <w:r w:rsidRPr="000665B0">
        <w:t xml:space="preserve"> </w:t>
      </w:r>
      <w:bookmarkStart w:id="6845" w:name="_Hlk34830957"/>
      <w:r w:rsidRPr="000665B0">
        <w:t xml:space="preserve">and cannot be removed. While using this profile, </w:t>
      </w:r>
      <w:bookmarkEnd w:id="6845"/>
      <w:r w:rsidR="004969D6" w:rsidRPr="000665B0">
        <w:t xml:space="preserve">any changes made to the SMD layout are saved automatically. </w:t>
      </w:r>
      <w:r w:rsidRPr="000665B0">
        <w:t xml:space="preserve">Use </w:t>
      </w:r>
      <w:r w:rsidR="004969D6" w:rsidRPr="000665B0">
        <w:t xml:space="preserve">this profile when no user-defined profiles are desired and all </w:t>
      </w:r>
      <w:r w:rsidR="00BF5005" w:rsidRPr="000665B0">
        <w:t xml:space="preserve">SMD layout </w:t>
      </w:r>
      <w:r w:rsidR="004969D6" w:rsidRPr="000665B0">
        <w:t>modifications are to be saved without prompting.</w:t>
      </w:r>
    </w:p>
    <w:p w14:paraId="5E6A5885" w14:textId="367FA64A" w:rsidR="005A4BA0" w:rsidRPr="00C97B43" w:rsidRDefault="005A4BA0" w:rsidP="00B35EE5">
      <w:pPr>
        <w:pStyle w:val="Heading3"/>
      </w:pPr>
      <w:bookmarkStart w:id="6846" w:name="_Toc289328950"/>
      <w:bookmarkStart w:id="6847" w:name="_Toc312332095"/>
      <w:bookmarkStart w:id="6848" w:name="_Toc214283588"/>
      <w:bookmarkStart w:id="6849" w:name="_Hlk36735422"/>
      <w:bookmarkEnd w:id="6783"/>
      <w:bookmarkEnd w:id="6804"/>
      <w:r w:rsidRPr="00C97B43">
        <w:t xml:space="preserve">The </w:t>
      </w:r>
      <w:r w:rsidR="004E7017" w:rsidRPr="00C97B43">
        <w:t>Alternate Tomahawk</w:t>
      </w:r>
      <w:r w:rsidR="00550DB2" w:rsidRPr="00C97B43">
        <w:t xml:space="preserve"> Strike Coordinator</w:t>
      </w:r>
      <w:r w:rsidR="00D40AED">
        <w:t xml:space="preserve"> </w:t>
      </w:r>
      <w:r w:rsidRPr="00C97B43">
        <w:t>(</w:t>
      </w:r>
      <w:r w:rsidR="00550DB2" w:rsidRPr="00C97B43">
        <w:t>ATSC</w:t>
      </w:r>
      <w:r w:rsidRPr="00C97B43">
        <w:t>) Role</w:t>
      </w:r>
      <w:bookmarkEnd w:id="6846"/>
      <w:bookmarkEnd w:id="6847"/>
      <w:bookmarkEnd w:id="6848"/>
    </w:p>
    <w:p w14:paraId="30D2D5BC" w14:textId="361BE1AB" w:rsidR="00AC5CA0" w:rsidRDefault="005A4BA0" w:rsidP="00AC5CA0">
      <w:pPr>
        <w:rPr>
          <w:rFonts w:cs="Arial"/>
        </w:rPr>
      </w:pPr>
      <w:r w:rsidRPr="00C97B43">
        <w:rPr>
          <w:rFonts w:cs="Arial"/>
        </w:rPr>
        <w:t>The AT</w:t>
      </w:r>
      <w:r w:rsidR="00550DB2" w:rsidRPr="00C97B43">
        <w:rPr>
          <w:rFonts w:cs="Arial"/>
        </w:rPr>
        <w:t>SC</w:t>
      </w:r>
      <w:r w:rsidR="00206258" w:rsidRPr="00C97B43">
        <w:rPr>
          <w:rFonts w:cs="Arial"/>
        </w:rPr>
        <w:t>’</w:t>
      </w:r>
      <w:r w:rsidR="008D0568" w:rsidRPr="00C97B43">
        <w:rPr>
          <w:rFonts w:cs="Arial"/>
        </w:rPr>
        <w:t>s</w:t>
      </w:r>
      <w:r w:rsidRPr="00C97B43">
        <w:rPr>
          <w:rFonts w:cs="Arial"/>
        </w:rPr>
        <w:t xml:space="preserve"> job is to monitor the strike while it is executing. Only when the </w:t>
      </w:r>
      <w:r w:rsidR="00550DB2" w:rsidRPr="00C97B43">
        <w:rPr>
          <w:rFonts w:cs="Arial"/>
        </w:rPr>
        <w:t xml:space="preserve">TSC </w:t>
      </w:r>
      <w:r w:rsidRPr="00C97B43">
        <w:rPr>
          <w:rFonts w:cs="Arial"/>
        </w:rPr>
        <w:t>becomes non-operational should the AT</w:t>
      </w:r>
      <w:r w:rsidR="00550DB2" w:rsidRPr="00C97B43">
        <w:rPr>
          <w:rFonts w:cs="Arial"/>
        </w:rPr>
        <w:t>SC</w:t>
      </w:r>
      <w:r w:rsidRPr="00C97B43">
        <w:rPr>
          <w:rFonts w:cs="Arial"/>
        </w:rPr>
        <w:t xml:space="preserve"> take control of the strike. By taking control of the strike, the AT</w:t>
      </w:r>
      <w:r w:rsidR="00550DB2" w:rsidRPr="00C97B43">
        <w:rPr>
          <w:rFonts w:cs="Arial"/>
        </w:rPr>
        <w:t>SC</w:t>
      </w:r>
      <w:r w:rsidRPr="00C97B43">
        <w:rPr>
          <w:rFonts w:cs="Arial"/>
        </w:rPr>
        <w:t xml:space="preserve"> can perform all the functions of the T</w:t>
      </w:r>
      <w:r w:rsidR="00550DB2" w:rsidRPr="00C97B43">
        <w:rPr>
          <w:rFonts w:cs="Arial"/>
        </w:rPr>
        <w:t>SC</w:t>
      </w:r>
      <w:r w:rsidRPr="00C97B43">
        <w:rPr>
          <w:rFonts w:cs="Arial"/>
        </w:rPr>
        <w:t xml:space="preserve"> such as shifting strike times, reassigning FRUs</w:t>
      </w:r>
      <w:r w:rsidR="006235B5" w:rsidRPr="00C97B43">
        <w:rPr>
          <w:rFonts w:cs="Arial"/>
        </w:rPr>
        <w:t>,</w:t>
      </w:r>
      <w:r w:rsidRPr="00C97B43">
        <w:rPr>
          <w:rFonts w:cs="Arial"/>
        </w:rPr>
        <w:t xml:space="preserve"> and creating ad</w:t>
      </w:r>
      <w:r w:rsidR="000C4033" w:rsidRPr="00C97B43">
        <w:rPr>
          <w:rFonts w:cs="Arial"/>
        </w:rPr>
        <w:t xml:space="preserve"> </w:t>
      </w:r>
      <w:r w:rsidRPr="00C97B43">
        <w:rPr>
          <w:rFonts w:cs="Arial"/>
        </w:rPr>
        <w:t xml:space="preserve">hoc options. </w:t>
      </w:r>
      <w:r w:rsidR="00AC5CA0" w:rsidRPr="00C97B43">
        <w:rPr>
          <w:rFonts w:cs="Arial"/>
        </w:rPr>
        <w:t>Upon restoration of capability of the T</w:t>
      </w:r>
      <w:r w:rsidR="00550DB2" w:rsidRPr="00C97B43">
        <w:rPr>
          <w:rFonts w:cs="Arial"/>
        </w:rPr>
        <w:t>SC</w:t>
      </w:r>
      <w:r w:rsidR="00AC5CA0" w:rsidRPr="00C97B43">
        <w:rPr>
          <w:rFonts w:cs="Arial"/>
        </w:rPr>
        <w:t xml:space="preserve">, strike control can be returned. </w:t>
      </w:r>
    </w:p>
    <w:p w14:paraId="3668181D" w14:textId="5E4615BA" w:rsidR="00B17338" w:rsidRDefault="004713B0" w:rsidP="003260B4">
      <w:pPr>
        <w:pBdr>
          <w:top w:val="single" w:sz="12" w:space="1" w:color="auto"/>
          <w:left w:val="single" w:sz="12" w:space="4" w:color="auto"/>
          <w:bottom w:val="single" w:sz="12" w:space="1" w:color="auto"/>
          <w:right w:val="single" w:sz="12" w:space="4" w:color="auto"/>
        </w:pBdr>
        <w:shd w:val="clear" w:color="auto" w:fill="D9D9D9" w:themeFill="background1" w:themeFillShade="D9"/>
        <w:jc w:val="center"/>
        <w:rPr>
          <w:b/>
          <w:bCs/>
          <w:szCs w:val="24"/>
        </w:rPr>
      </w:pPr>
      <w:r w:rsidRPr="00BB4EBE">
        <w:rPr>
          <w:b/>
          <w:bCs/>
          <w:szCs w:val="24"/>
        </w:rPr>
        <w:t>Note:</w:t>
      </w:r>
      <w:r w:rsidRPr="00BB4EBE">
        <w:rPr>
          <w:b/>
          <w:bCs/>
          <w:szCs w:val="24"/>
        </w:rPr>
        <w:br/>
        <w:t>TMPC 7.0.3 may act as an ATSC to a TMPC 8.0.0 strike that contains 109M reservations. However, in the event that the ATSC takes control of the strike, it will have limited control over 109M reservations. TMPC 7.0.3 does not have the ability to create new 109M tasking or perform comms-related actions on existing 109M reservations.</w:t>
      </w:r>
    </w:p>
    <w:p w14:paraId="235E6AF6" w14:textId="4B202524" w:rsidR="003C1785" w:rsidRPr="00C97B43" w:rsidRDefault="00EF2840" w:rsidP="00750E0A">
      <w:pPr>
        <w:pStyle w:val="Heading4"/>
      </w:pPr>
      <w:bookmarkStart w:id="6850" w:name="_5.38.17_What_Time"/>
      <w:bookmarkStart w:id="6851" w:name="_5.38.16_What_Time"/>
      <w:bookmarkStart w:id="6852" w:name="_Transfer__Strike"/>
      <w:bookmarkStart w:id="6853" w:name="_Transfer_Strike_Control"/>
      <w:bookmarkStart w:id="6854" w:name="_Toc289328951"/>
      <w:bookmarkStart w:id="6855" w:name="_Toc312332096"/>
      <w:bookmarkEnd w:id="6850"/>
      <w:bookmarkEnd w:id="6851"/>
      <w:bookmarkEnd w:id="6852"/>
      <w:bookmarkEnd w:id="6853"/>
      <w:r w:rsidRPr="00C97B43">
        <w:t>Transfer Strike Control</w:t>
      </w:r>
    </w:p>
    <w:p w14:paraId="32AC6DB2" w14:textId="77777777" w:rsidR="0063231D" w:rsidRPr="00C97B43" w:rsidRDefault="0063231D" w:rsidP="00C92934">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C97B43">
        <w:rPr>
          <w:b/>
        </w:rPr>
        <w:t>Note:</w:t>
      </w:r>
    </w:p>
    <w:p w14:paraId="75C08432" w14:textId="140208DC" w:rsidR="0063231D" w:rsidRPr="00C97B43" w:rsidRDefault="0063231D" w:rsidP="00C92934">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C97B43">
        <w:rPr>
          <w:b/>
        </w:rPr>
        <w:t>The following steps are general procedures that apply to the transfer of strike control</w:t>
      </w:r>
      <w:r w:rsidR="000F668F" w:rsidRPr="00C97B43">
        <w:rPr>
          <w:b/>
        </w:rPr>
        <w:t xml:space="preserve"> from the </w:t>
      </w:r>
      <w:r w:rsidR="00550DB2" w:rsidRPr="00C97B43">
        <w:rPr>
          <w:b/>
        </w:rPr>
        <w:t>TSC</w:t>
      </w:r>
      <w:r w:rsidR="000F668F" w:rsidRPr="00C97B43">
        <w:rPr>
          <w:b/>
        </w:rPr>
        <w:t xml:space="preserve"> to the </w:t>
      </w:r>
      <w:r w:rsidR="009B4DBE" w:rsidRPr="00C97B43">
        <w:rPr>
          <w:b/>
        </w:rPr>
        <w:t>A</w:t>
      </w:r>
      <w:r w:rsidR="00550DB2" w:rsidRPr="00C97B43">
        <w:rPr>
          <w:b/>
        </w:rPr>
        <w:t>TSC</w:t>
      </w:r>
      <w:r w:rsidR="000F668F" w:rsidRPr="00C97B43">
        <w:rPr>
          <w:b/>
        </w:rPr>
        <w:t>, and then back from the A</w:t>
      </w:r>
      <w:r w:rsidR="00550DB2" w:rsidRPr="00C97B43">
        <w:rPr>
          <w:b/>
        </w:rPr>
        <w:t>TSC</w:t>
      </w:r>
      <w:r w:rsidR="000F668F" w:rsidRPr="00C97B43">
        <w:rPr>
          <w:b/>
        </w:rPr>
        <w:t xml:space="preserve"> to the </w:t>
      </w:r>
      <w:r w:rsidR="00550DB2" w:rsidRPr="00C97B43">
        <w:rPr>
          <w:b/>
        </w:rPr>
        <w:t>TSC</w:t>
      </w:r>
      <w:r w:rsidR="000F668F" w:rsidRPr="00C97B43">
        <w:rPr>
          <w:b/>
        </w:rPr>
        <w:t>.</w:t>
      </w:r>
      <w:r w:rsidRPr="00C97B43">
        <w:rPr>
          <w:b/>
        </w:rPr>
        <w:t xml:space="preserve"> </w:t>
      </w:r>
    </w:p>
    <w:p w14:paraId="666D49F6" w14:textId="77777777" w:rsidR="0074105C" w:rsidRPr="00C97B43" w:rsidRDefault="0074105C" w:rsidP="00B17338">
      <w:pPr>
        <w:pBdr>
          <w:top w:val="single" w:sz="12" w:space="1" w:color="auto"/>
          <w:left w:val="single" w:sz="12" w:space="4" w:color="auto"/>
          <w:bottom w:val="single" w:sz="12" w:space="1" w:color="auto"/>
          <w:right w:val="single" w:sz="12" w:space="4" w:color="auto"/>
        </w:pBdr>
        <w:shd w:val="clear" w:color="auto" w:fill="D9D9D9"/>
        <w:spacing w:after="0"/>
        <w:rPr>
          <w:b/>
        </w:rPr>
      </w:pPr>
    </w:p>
    <w:p w14:paraId="4880D4F3" w14:textId="33E2C841" w:rsidR="0063231D" w:rsidRPr="00C97B43" w:rsidRDefault="0063231D" w:rsidP="00C92934">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C97B43">
        <w:rPr>
          <w:b/>
        </w:rPr>
        <w:t xml:space="preserve">There are functionality limitations on legacy systems </w:t>
      </w:r>
      <w:r w:rsidR="004A31DB" w:rsidRPr="00C97B43">
        <w:rPr>
          <w:b/>
        </w:rPr>
        <w:t>when an MDS 5.x</w:t>
      </w:r>
      <w:r w:rsidR="00B54FFB">
        <w:rPr>
          <w:b/>
        </w:rPr>
        <w:t xml:space="preserve"> ATSC </w:t>
      </w:r>
      <w:r w:rsidR="004A31DB" w:rsidRPr="00C97B43">
        <w:rPr>
          <w:b/>
        </w:rPr>
        <w:t xml:space="preserve">assumes the role of the </w:t>
      </w:r>
      <w:r w:rsidR="004C614A">
        <w:rPr>
          <w:b/>
        </w:rPr>
        <w:t>TSC</w:t>
      </w:r>
      <w:r w:rsidR="004C614A" w:rsidRPr="00C97B43">
        <w:rPr>
          <w:b/>
        </w:rPr>
        <w:t xml:space="preserve"> </w:t>
      </w:r>
      <w:r w:rsidR="004A31DB" w:rsidRPr="00C97B43">
        <w:rPr>
          <w:b/>
        </w:rPr>
        <w:t xml:space="preserve">from an MDS 6.0 </w:t>
      </w:r>
      <w:r w:rsidR="004C614A">
        <w:rPr>
          <w:b/>
        </w:rPr>
        <w:t>TSC</w:t>
      </w:r>
      <w:r w:rsidR="004C614A" w:rsidRPr="00C97B43">
        <w:rPr>
          <w:b/>
        </w:rPr>
        <w:t xml:space="preserve"> </w:t>
      </w:r>
      <w:r w:rsidR="005619C1" w:rsidRPr="00C97B43">
        <w:rPr>
          <w:b/>
        </w:rPr>
        <w:t>(</w:t>
      </w:r>
      <w:r w:rsidR="00F05858" w:rsidRPr="00C97B43">
        <w:rPr>
          <w:b/>
        </w:rPr>
        <w:t>or MDS 7.x TSC beginning with 7.x</w:t>
      </w:r>
      <w:r w:rsidR="00E64F32" w:rsidRPr="00C97B43">
        <w:rPr>
          <w:b/>
        </w:rPr>
        <w:t>) and</w:t>
      </w:r>
      <w:r w:rsidR="004A31DB" w:rsidRPr="00C97B43">
        <w:rPr>
          <w:b/>
        </w:rPr>
        <w:t xml:space="preserve"> executes</w:t>
      </w:r>
      <w:r w:rsidRPr="00C97B43">
        <w:rPr>
          <w:b/>
        </w:rPr>
        <w:t xml:space="preserve"> an MDS 6.0 </w:t>
      </w:r>
      <w:r w:rsidR="005619C1" w:rsidRPr="00C97B43">
        <w:rPr>
          <w:b/>
        </w:rPr>
        <w:t xml:space="preserve">(and above) </w:t>
      </w:r>
      <w:r w:rsidRPr="00C97B43">
        <w:rPr>
          <w:b/>
        </w:rPr>
        <w:t xml:space="preserve">strike that contains any ACA missile reservations (see </w:t>
      </w:r>
      <w:hyperlink w:anchor="_appendix_K_" w:history="1">
        <w:r w:rsidRPr="00C97B43">
          <w:rPr>
            <w:rStyle w:val="Hyperlink"/>
            <w:b/>
          </w:rPr>
          <w:t>Appendix K</w:t>
        </w:r>
      </w:hyperlink>
      <w:r w:rsidRPr="00C97B43">
        <w:rPr>
          <w:b/>
        </w:rPr>
        <w:t>).</w:t>
      </w:r>
    </w:p>
    <w:p w14:paraId="4ECD2084" w14:textId="77777777" w:rsidR="0063231D" w:rsidRPr="00C97B43" w:rsidRDefault="0063231D" w:rsidP="004E7DCC">
      <w:pPr>
        <w:pStyle w:val="ListParagraph"/>
        <w:rPr>
          <w:szCs w:val="24"/>
        </w:rPr>
      </w:pPr>
    </w:p>
    <w:p w14:paraId="783A14CA" w14:textId="686DC038" w:rsidR="0029447F" w:rsidRPr="00C97B43" w:rsidRDefault="00206258" w:rsidP="00C50E01">
      <w:r w:rsidRPr="00C97B43">
        <w:t xml:space="preserve">To </w:t>
      </w:r>
      <w:r w:rsidR="007B0506" w:rsidRPr="00C97B43">
        <w:t>t</w:t>
      </w:r>
      <w:r w:rsidRPr="00C97B43">
        <w:t xml:space="preserve">ransfer </w:t>
      </w:r>
      <w:r w:rsidR="007B0506" w:rsidRPr="00C97B43">
        <w:t>s</w:t>
      </w:r>
      <w:r w:rsidRPr="00C97B43">
        <w:t xml:space="preserve">trike </w:t>
      </w:r>
      <w:r w:rsidR="007B0506" w:rsidRPr="00C97B43">
        <w:t>c</w:t>
      </w:r>
      <w:r w:rsidRPr="00C97B43">
        <w:t xml:space="preserve">ontrol from the </w:t>
      </w:r>
      <w:r w:rsidR="00550DB2" w:rsidRPr="00C97B43">
        <w:t>TSC</w:t>
      </w:r>
      <w:r w:rsidRPr="00C97B43">
        <w:t xml:space="preserve"> to the </w:t>
      </w:r>
      <w:r w:rsidR="00550DB2" w:rsidRPr="00C97B43">
        <w:t>ATSC</w:t>
      </w:r>
      <w:r w:rsidRPr="00C97B43">
        <w:t xml:space="preserve"> if the </w:t>
      </w:r>
      <w:r w:rsidR="00550DB2" w:rsidRPr="00C97B43">
        <w:t>TSC</w:t>
      </w:r>
      <w:r w:rsidRPr="00C97B43">
        <w:t xml:space="preserve"> becomes non-operational:</w:t>
      </w:r>
    </w:p>
    <w:p w14:paraId="673C76C7" w14:textId="61B6B708" w:rsidR="007B0506" w:rsidRPr="00C97B43" w:rsidRDefault="007B0506" w:rsidP="006D5A65">
      <w:pPr>
        <w:pStyle w:val="Heading1"/>
      </w:pPr>
      <w:r w:rsidRPr="00C97B43">
        <w:t xml:space="preserve">The </w:t>
      </w:r>
      <w:r w:rsidR="00550DB2" w:rsidRPr="00C97B43">
        <w:t>TSC</w:t>
      </w:r>
      <w:r w:rsidR="00206258" w:rsidRPr="00C97B43">
        <w:t xml:space="preserve"> verifies that </w:t>
      </w:r>
      <w:r w:rsidRPr="00C97B43">
        <w:t xml:space="preserve">the </w:t>
      </w:r>
      <w:r w:rsidR="00550DB2" w:rsidRPr="00C97B43">
        <w:t>ATSC</w:t>
      </w:r>
      <w:r w:rsidR="00206258" w:rsidRPr="00C97B43">
        <w:t xml:space="preserve"> has the latest revision(s) and has good communications with </w:t>
      </w:r>
      <w:r w:rsidRPr="00C97B43">
        <w:t xml:space="preserve">the </w:t>
      </w:r>
      <w:r w:rsidR="00130C8E" w:rsidRPr="00C97B43">
        <w:t>Task O</w:t>
      </w:r>
      <w:r w:rsidR="00206258" w:rsidRPr="00C97B43">
        <w:t>rganization</w:t>
      </w:r>
      <w:r w:rsidRPr="00C97B43">
        <w:t>.</w:t>
      </w:r>
      <w:r w:rsidR="00206258" w:rsidRPr="00C97B43">
        <w:t xml:space="preserve"> </w:t>
      </w:r>
    </w:p>
    <w:p w14:paraId="15A591A1" w14:textId="2F84CF0E" w:rsidR="00206258" w:rsidRPr="00C97B43" w:rsidRDefault="007B0506" w:rsidP="006D5A65">
      <w:pPr>
        <w:pStyle w:val="Heading1"/>
      </w:pPr>
      <w:r w:rsidRPr="00C97B43">
        <w:t xml:space="preserve">The </w:t>
      </w:r>
      <w:r w:rsidR="00550DB2" w:rsidRPr="00C97B43">
        <w:t>TSC</w:t>
      </w:r>
      <w:r w:rsidRPr="00C97B43">
        <w:t xml:space="preserve"> </w:t>
      </w:r>
      <w:r w:rsidR="00206258" w:rsidRPr="00C97B43">
        <w:t>relinquishes control</w:t>
      </w:r>
      <w:r w:rsidR="00EC4E91" w:rsidRPr="00C97B43">
        <w:t xml:space="preserve"> of the strike</w:t>
      </w:r>
      <w:r w:rsidR="00206258" w:rsidRPr="00C97B43">
        <w:t xml:space="preserve"> and </w:t>
      </w:r>
      <w:r w:rsidRPr="00C97B43">
        <w:t xml:space="preserve">the </w:t>
      </w:r>
      <w:r w:rsidR="00550DB2" w:rsidRPr="00C97B43">
        <w:t>ATSC</w:t>
      </w:r>
      <w:r w:rsidR="00206258" w:rsidRPr="00C97B43">
        <w:t xml:space="preserve"> assumes primary </w:t>
      </w:r>
      <w:r w:rsidRPr="00C97B43">
        <w:t>s</w:t>
      </w:r>
      <w:r w:rsidR="00206258" w:rsidRPr="00C97B43">
        <w:t xml:space="preserve">trike </w:t>
      </w:r>
      <w:r w:rsidRPr="00C97B43">
        <w:t>c</w:t>
      </w:r>
      <w:r w:rsidR="00206258" w:rsidRPr="00C97B43">
        <w:t>ontrol</w:t>
      </w:r>
      <w:r w:rsidRPr="00C97B43">
        <w:t xml:space="preserve">. </w:t>
      </w:r>
      <w:r w:rsidR="00206258" w:rsidRPr="00C97B43">
        <w:t>Turnover may be coordinated via chat or voice</w:t>
      </w:r>
      <w:r w:rsidRPr="00C97B43">
        <w:t>.</w:t>
      </w:r>
    </w:p>
    <w:p w14:paraId="0BD07F18" w14:textId="725F20E4" w:rsidR="00206258" w:rsidRPr="00C97B43" w:rsidRDefault="00206258" w:rsidP="006D5A65">
      <w:pPr>
        <w:pStyle w:val="Heading1"/>
      </w:pPr>
      <w:r w:rsidRPr="00C97B43">
        <w:t>Once control has been transferred</w:t>
      </w:r>
      <w:r w:rsidR="007B0506" w:rsidRPr="00C97B43">
        <w:t xml:space="preserve"> to the </w:t>
      </w:r>
      <w:r w:rsidR="00550DB2" w:rsidRPr="00C97B43">
        <w:t>ATSC</w:t>
      </w:r>
      <w:r w:rsidRPr="00C97B43">
        <w:t>,</w:t>
      </w:r>
      <w:r w:rsidR="009B4DBE" w:rsidRPr="00C97B43">
        <w:t xml:space="preserve"> the </w:t>
      </w:r>
      <w:r w:rsidR="00550DB2" w:rsidRPr="00C97B43">
        <w:t>ATSC</w:t>
      </w:r>
      <w:r w:rsidR="009B4DBE" w:rsidRPr="00C97B43">
        <w:t xml:space="preserve"> assumes control of the strike.</w:t>
      </w:r>
      <w:r w:rsidRPr="00C97B43">
        <w:t xml:space="preserve"> </w:t>
      </w:r>
    </w:p>
    <w:p w14:paraId="0321E35C" w14:textId="44768F85" w:rsidR="00EC4E91" w:rsidRPr="00C97B43" w:rsidRDefault="00EC4E91" w:rsidP="00EC4E91">
      <w:r w:rsidRPr="00C97B43">
        <w:t xml:space="preserve">To transfer strike control from the </w:t>
      </w:r>
      <w:r w:rsidR="00550DB2" w:rsidRPr="00C97B43">
        <w:t>ATSC</w:t>
      </w:r>
      <w:r w:rsidRPr="00C97B43">
        <w:t xml:space="preserve"> back to the </w:t>
      </w:r>
      <w:r w:rsidR="00550DB2" w:rsidRPr="00C97B43">
        <w:t>TSC</w:t>
      </w:r>
      <w:r w:rsidRPr="00C97B43">
        <w:t xml:space="preserve"> after the </w:t>
      </w:r>
      <w:r w:rsidR="00550DB2" w:rsidRPr="00C97B43">
        <w:t>TSC</w:t>
      </w:r>
      <w:r w:rsidRPr="00C97B43">
        <w:t xml:space="preserve"> </w:t>
      </w:r>
      <w:r w:rsidR="00FD3E2E" w:rsidRPr="00C97B43">
        <w:t>becomes operational</w:t>
      </w:r>
      <w:r w:rsidRPr="00C97B43">
        <w:t>:</w:t>
      </w:r>
    </w:p>
    <w:p w14:paraId="2ABF2044" w14:textId="7CF1F28B" w:rsidR="00B35E58" w:rsidRPr="00C97B43" w:rsidRDefault="00B35E58" w:rsidP="006D5A65">
      <w:pPr>
        <w:pStyle w:val="Heading1"/>
      </w:pPr>
      <w:r w:rsidRPr="00C97B43">
        <w:t xml:space="preserve">The </w:t>
      </w:r>
      <w:r w:rsidR="00550DB2" w:rsidRPr="00C97B43">
        <w:t>TSC</w:t>
      </w:r>
      <w:r w:rsidRPr="00C97B43">
        <w:t xml:space="preserve"> must ensure that all SMDs are closed</w:t>
      </w:r>
      <w:r w:rsidR="00B12BD6">
        <w:t xml:space="preserve"> with TED still </w:t>
      </w:r>
      <w:r w:rsidR="00473C8E">
        <w:t>Executing</w:t>
      </w:r>
      <w:r w:rsidRPr="00C97B43">
        <w:t>.</w:t>
      </w:r>
    </w:p>
    <w:p w14:paraId="461BF120" w14:textId="4F11D1C0" w:rsidR="00D724B1" w:rsidRPr="00C97B43" w:rsidRDefault="0060207E" w:rsidP="006D5A65">
      <w:pPr>
        <w:pStyle w:val="Heading1"/>
      </w:pPr>
      <w:r w:rsidRPr="00C97B43">
        <w:t xml:space="preserve">The </w:t>
      </w:r>
      <w:r w:rsidR="00550DB2" w:rsidRPr="00C97B43">
        <w:t>TSC</w:t>
      </w:r>
      <w:r w:rsidRPr="00C97B43">
        <w:t xml:space="preserve"> notifies the </w:t>
      </w:r>
      <w:r w:rsidR="00550DB2" w:rsidRPr="00C97B43">
        <w:t>ATSC</w:t>
      </w:r>
      <w:r w:rsidRPr="00C97B43">
        <w:t xml:space="preserve"> of readiness to re-join the ongoing strike execution.</w:t>
      </w:r>
    </w:p>
    <w:p w14:paraId="38FE3504" w14:textId="3B26C372" w:rsidR="00D724B1" w:rsidRPr="00C97B43" w:rsidRDefault="0060207E" w:rsidP="006D5A65">
      <w:pPr>
        <w:pStyle w:val="Heading1"/>
      </w:pPr>
      <w:r w:rsidRPr="00C97B43">
        <w:t xml:space="preserve">The </w:t>
      </w:r>
      <w:r w:rsidR="00550DB2" w:rsidRPr="00C97B43">
        <w:t>ATSC</w:t>
      </w:r>
      <w:r w:rsidRPr="00C97B43">
        <w:t xml:space="preserve"> verifies electronic communications with the </w:t>
      </w:r>
      <w:r w:rsidR="00550DB2" w:rsidRPr="00C97B43">
        <w:t>TSC</w:t>
      </w:r>
      <w:r w:rsidRPr="00C97B43">
        <w:t xml:space="preserve"> by sending a request for node inventory using the Coordination Template and receiving a response.</w:t>
      </w:r>
    </w:p>
    <w:p w14:paraId="63418FE3" w14:textId="2F8DF5A6" w:rsidR="00EF2840" w:rsidRPr="00C97B43" w:rsidRDefault="00DD01C1" w:rsidP="006D5A65">
      <w:pPr>
        <w:pStyle w:val="Heading1"/>
      </w:pPr>
      <w:r w:rsidRPr="00C97B43">
        <w:t xml:space="preserve">The </w:t>
      </w:r>
      <w:r w:rsidR="00550DB2" w:rsidRPr="00C97B43">
        <w:t>ATSC</w:t>
      </w:r>
      <w:r w:rsidR="00EF2840" w:rsidRPr="00C97B43">
        <w:t xml:space="preserve"> sends </w:t>
      </w:r>
      <w:r w:rsidRPr="00C97B43">
        <w:t xml:space="preserve">the </w:t>
      </w:r>
      <w:r w:rsidR="00EF2840" w:rsidRPr="00C97B43">
        <w:t xml:space="preserve">SEF to </w:t>
      </w:r>
      <w:r w:rsidRPr="00C97B43">
        <w:t xml:space="preserve">the </w:t>
      </w:r>
      <w:r w:rsidR="00550DB2" w:rsidRPr="00C97B43">
        <w:t>TSC</w:t>
      </w:r>
      <w:r w:rsidR="00EF2840" w:rsidRPr="00C97B43">
        <w:t xml:space="preserve"> via DDO</w:t>
      </w:r>
      <w:r w:rsidRPr="00C97B43">
        <w:t>.</w:t>
      </w:r>
      <w:r w:rsidR="0029114B" w:rsidRPr="00C97B43">
        <w:t xml:space="preserve"> </w:t>
      </w:r>
      <w:r w:rsidR="006235B5" w:rsidRPr="00C97B43">
        <w:t>(</w:t>
      </w:r>
      <w:r w:rsidR="0029114B" w:rsidRPr="00C97B43">
        <w:t xml:space="preserve">For more information about creating a DDO, see </w:t>
      </w:r>
      <w:hyperlink w:anchor="_Create_DDOs" w:history="1">
        <w:r w:rsidR="00637B60" w:rsidRPr="00C97B43">
          <w:rPr>
            <w:rStyle w:val="Hyperlink"/>
          </w:rPr>
          <w:t xml:space="preserve">Section </w:t>
        </w:r>
        <w:r w:rsidR="004231CC">
          <w:rPr>
            <w:rStyle w:val="Hyperlink"/>
          </w:rPr>
          <w:t>5.16</w:t>
        </w:r>
        <w:r w:rsidR="00637B60" w:rsidRPr="00C97B43">
          <w:rPr>
            <w:rStyle w:val="Hyperlink"/>
          </w:rPr>
          <w:t>.3</w:t>
        </w:r>
      </w:hyperlink>
      <w:r w:rsidR="0029114B" w:rsidRPr="00C97B43">
        <w:t>.</w:t>
      </w:r>
      <w:r w:rsidR="006235B5" w:rsidRPr="00C97B43">
        <w:t>)</w:t>
      </w:r>
    </w:p>
    <w:p w14:paraId="6539D340" w14:textId="7B241AE8" w:rsidR="00EF2840" w:rsidRPr="00C97B43" w:rsidRDefault="00EF2840" w:rsidP="006D5A65">
      <w:pPr>
        <w:pStyle w:val="Heading1"/>
      </w:pPr>
      <w:r w:rsidRPr="00C97B43">
        <w:t>MDS 5.</w:t>
      </w:r>
      <w:r w:rsidR="00A56843" w:rsidRPr="00C97B43">
        <w:t xml:space="preserve">x and 6.x </w:t>
      </w:r>
      <w:r w:rsidRPr="00C97B43">
        <w:t xml:space="preserve">must ensure </w:t>
      </w:r>
      <w:r w:rsidR="0029114B" w:rsidRPr="00C97B43">
        <w:t>the following on the DDO</w:t>
      </w:r>
      <w:r w:rsidRPr="00C97B43">
        <w:t>:</w:t>
      </w:r>
    </w:p>
    <w:p w14:paraId="36FA0BFD" w14:textId="40E82E05" w:rsidR="006E4C2E" w:rsidRPr="00C97B43" w:rsidRDefault="007F6255" w:rsidP="006D5A65">
      <w:pPr>
        <w:pStyle w:val="Heading1"/>
      </w:pPr>
      <w:r w:rsidRPr="00C97B43">
        <w:t>T</w:t>
      </w:r>
      <w:r w:rsidR="00A440E0" w:rsidRPr="00C97B43">
        <w:t xml:space="preserve">he To field </w:t>
      </w:r>
      <w:r w:rsidRPr="00C97B43">
        <w:t xml:space="preserve">in the DDO must contain </w:t>
      </w:r>
      <w:r w:rsidRPr="00C97B43">
        <w:rPr>
          <w:i/>
        </w:rPr>
        <w:t>only</w:t>
      </w:r>
      <w:r w:rsidRPr="00C97B43">
        <w:t xml:space="preserve"> </w:t>
      </w:r>
      <w:r w:rsidR="00A440E0" w:rsidRPr="00C97B43">
        <w:t xml:space="preserve">the </w:t>
      </w:r>
      <w:r w:rsidR="004C614A">
        <w:t>TSC</w:t>
      </w:r>
      <w:r w:rsidR="00A440E0" w:rsidRPr="00C97B43">
        <w:t>. Do not send the DDO to other strike participants.</w:t>
      </w:r>
    </w:p>
    <w:p w14:paraId="766A2BA4" w14:textId="3AD5CBD9" w:rsidR="00EF2840" w:rsidRPr="00C97B43" w:rsidRDefault="00DD01C1" w:rsidP="006D5A65">
      <w:pPr>
        <w:pStyle w:val="Heading3"/>
      </w:pPr>
      <w:r w:rsidRPr="00C97B43">
        <w:t xml:space="preserve">The Include All Strike Data checkbox is selected on the </w:t>
      </w:r>
      <w:r w:rsidRPr="00C97B43">
        <w:rPr>
          <w:i/>
        </w:rPr>
        <w:t>Strike Data</w:t>
      </w:r>
      <w:r w:rsidRPr="00C97B43">
        <w:t xml:space="preserve"> tab.</w:t>
      </w:r>
    </w:p>
    <w:p w14:paraId="62193A46" w14:textId="77777777" w:rsidR="00EF2840" w:rsidRPr="00C97B43" w:rsidRDefault="00DD01C1" w:rsidP="006D5A65">
      <w:pPr>
        <w:pStyle w:val="Heading3"/>
      </w:pPr>
      <w:r w:rsidRPr="00C97B43">
        <w:t xml:space="preserve">The </w:t>
      </w:r>
      <w:r w:rsidR="00EF2840" w:rsidRPr="00C97B43">
        <w:t>Perform Minimization</w:t>
      </w:r>
      <w:r w:rsidRPr="00C97B43">
        <w:t xml:space="preserve"> checkbox is</w:t>
      </w:r>
      <w:r w:rsidR="00EF2840" w:rsidRPr="00C97B43">
        <w:t xml:space="preserve"> selected</w:t>
      </w:r>
      <w:r w:rsidRPr="00C97B43">
        <w:t xml:space="preserve"> on the DDO.</w:t>
      </w:r>
    </w:p>
    <w:p w14:paraId="7CDD6778" w14:textId="77777777" w:rsidR="00EF2840" w:rsidRPr="00C97B43" w:rsidRDefault="00DD01C1" w:rsidP="006D5A65">
      <w:pPr>
        <w:pStyle w:val="Heading3"/>
      </w:pPr>
      <w:r w:rsidRPr="00C97B43">
        <w:t>The Include All TEFs checkbox is selected</w:t>
      </w:r>
      <w:r w:rsidR="00EF2840" w:rsidRPr="00C97B43">
        <w:t xml:space="preserve"> on</w:t>
      </w:r>
      <w:r w:rsidR="0029114B" w:rsidRPr="00C97B43">
        <w:t xml:space="preserve"> the</w:t>
      </w:r>
      <w:r w:rsidR="00EF2840" w:rsidRPr="00C97B43">
        <w:t xml:space="preserve"> </w:t>
      </w:r>
      <w:r w:rsidR="00EF2840" w:rsidRPr="00C97B43">
        <w:rPr>
          <w:i/>
        </w:rPr>
        <w:t>Missions</w:t>
      </w:r>
      <w:r w:rsidR="00EF2840" w:rsidRPr="00C97B43">
        <w:t xml:space="preserve"> tab</w:t>
      </w:r>
      <w:r w:rsidRPr="00C97B43">
        <w:t>.</w:t>
      </w:r>
    </w:p>
    <w:p w14:paraId="5E8D709C" w14:textId="249F19F4" w:rsidR="00EF2840" w:rsidRPr="00C97B43" w:rsidRDefault="008F2A3F" w:rsidP="006D5A65">
      <w:pPr>
        <w:pStyle w:val="Heading1"/>
      </w:pPr>
      <w:r w:rsidRPr="00C97B43">
        <w:t xml:space="preserve">The </w:t>
      </w:r>
      <w:r w:rsidR="00550DB2" w:rsidRPr="00C97B43">
        <w:t>TSC</w:t>
      </w:r>
      <w:r w:rsidR="00EF2840" w:rsidRPr="00C97B43">
        <w:t xml:space="preserve"> receives and processes the </w:t>
      </w:r>
      <w:r w:rsidRPr="00C97B43">
        <w:t>i</w:t>
      </w:r>
      <w:r w:rsidR="00EF2840" w:rsidRPr="00C97B43">
        <w:t>ncoming DDO</w:t>
      </w:r>
      <w:r w:rsidRPr="00C97B43">
        <w:t>.</w:t>
      </w:r>
    </w:p>
    <w:p w14:paraId="77AEA8DE" w14:textId="4EFFB634" w:rsidR="009B4DBE" w:rsidRPr="00C97B43" w:rsidRDefault="009B4DBE" w:rsidP="006D5A65">
      <w:pPr>
        <w:pStyle w:val="Heading1"/>
      </w:pPr>
      <w:r w:rsidRPr="00C97B43">
        <w:t>If DDO Auto-Processing is not enabled, select the DDO and process it.</w:t>
      </w:r>
    </w:p>
    <w:p w14:paraId="1915903B" w14:textId="3A05FDC1" w:rsidR="009B4DBE" w:rsidRPr="00C97B43" w:rsidRDefault="009B4DBE" w:rsidP="006D5A65">
      <w:pPr>
        <w:pStyle w:val="Heading1"/>
      </w:pPr>
      <w:r w:rsidRPr="00C97B43">
        <w:t>Display the received DDO and verify that all data is successfully processed.</w:t>
      </w:r>
    </w:p>
    <w:p w14:paraId="6AD97641" w14:textId="00D8EAB2" w:rsidR="00EF2840" w:rsidRPr="00C97B43" w:rsidRDefault="008F2A3F" w:rsidP="006D5A65">
      <w:pPr>
        <w:pStyle w:val="Heading1"/>
      </w:pPr>
      <w:r w:rsidRPr="00C97B43">
        <w:t xml:space="preserve">The </w:t>
      </w:r>
      <w:r w:rsidR="00550DB2" w:rsidRPr="00C97B43">
        <w:t>TSC</w:t>
      </w:r>
      <w:r w:rsidRPr="00C97B43">
        <w:t xml:space="preserve"> e</w:t>
      </w:r>
      <w:r w:rsidR="00EF2840" w:rsidRPr="00C97B43">
        <w:t>xecutes the received SEF</w:t>
      </w:r>
      <w:r w:rsidRPr="00C97B43">
        <w:t xml:space="preserve"> (see </w:t>
      </w:r>
      <w:hyperlink w:anchor="_5.38.3__Activate" w:history="1">
        <w:r w:rsidR="00E036B6" w:rsidRPr="00C97B43">
          <w:rPr>
            <w:rStyle w:val="Hyperlink"/>
          </w:rPr>
          <w:t xml:space="preserve">Section </w:t>
        </w:r>
        <w:r w:rsidR="004231CC">
          <w:rPr>
            <w:rStyle w:val="Hyperlink"/>
          </w:rPr>
          <w:t>5.35</w:t>
        </w:r>
        <w:r w:rsidRPr="00C97B43">
          <w:rPr>
            <w:rStyle w:val="Hyperlink"/>
          </w:rPr>
          <w:t>.3</w:t>
        </w:r>
      </w:hyperlink>
      <w:r w:rsidRPr="00C97B43">
        <w:t>).</w:t>
      </w:r>
    </w:p>
    <w:p w14:paraId="08F07DA5" w14:textId="34981D6D" w:rsidR="00A440E0" w:rsidRPr="00C97B43" w:rsidRDefault="00A440E0" w:rsidP="006D5A65">
      <w:pPr>
        <w:pStyle w:val="Heading1"/>
      </w:pPr>
      <w:r w:rsidRPr="00C97B43">
        <w:t xml:space="preserve">The </w:t>
      </w:r>
      <w:r w:rsidR="00550DB2" w:rsidRPr="00C97B43">
        <w:t>TSC</w:t>
      </w:r>
      <w:r w:rsidRPr="00C97B43">
        <w:t xml:space="preserve"> verifies that synchronization is established with the </w:t>
      </w:r>
      <w:r w:rsidR="00550DB2" w:rsidRPr="00C97B43">
        <w:t>ATSC</w:t>
      </w:r>
      <w:r w:rsidRPr="00C97B43">
        <w:t xml:space="preserve"> by sending a ping</w:t>
      </w:r>
      <w:r w:rsidRPr="00C97B43">
        <w:rPr>
          <w:sz w:val="20"/>
        </w:rPr>
        <w:t xml:space="preserve"> </w:t>
      </w:r>
      <w:r w:rsidRPr="00C97B43">
        <w:t xml:space="preserve">(see </w:t>
      </w:r>
      <w:hyperlink w:anchor="_5.38.3.1.9.1__How" w:history="1">
        <w:r w:rsidR="006752F4" w:rsidRPr="00C97B43">
          <w:rPr>
            <w:rStyle w:val="Hyperlink"/>
          </w:rPr>
          <w:t xml:space="preserve">Section </w:t>
        </w:r>
        <w:r w:rsidR="004231CC">
          <w:rPr>
            <w:rStyle w:val="Hyperlink"/>
          </w:rPr>
          <w:t>5.35</w:t>
        </w:r>
        <w:r w:rsidR="006752F4" w:rsidRPr="00C97B43">
          <w:rPr>
            <w:rStyle w:val="Hyperlink"/>
          </w:rPr>
          <w:t>.3.1.10</w:t>
        </w:r>
        <w:r w:rsidRPr="00C97B43">
          <w:rPr>
            <w:rStyle w:val="Hyperlink"/>
          </w:rPr>
          <w:t>.1</w:t>
        </w:r>
      </w:hyperlink>
      <w:r w:rsidRPr="00C97B43">
        <w:t>)</w:t>
      </w:r>
      <w:r w:rsidRPr="00C97B43">
        <w:rPr>
          <w:sz w:val="20"/>
        </w:rPr>
        <w:t>.</w:t>
      </w:r>
    </w:p>
    <w:p w14:paraId="339A990B" w14:textId="26B66AEC" w:rsidR="00EF2840" w:rsidRPr="00C97B43" w:rsidRDefault="008F2A3F" w:rsidP="006D5A65">
      <w:pPr>
        <w:pStyle w:val="Heading1"/>
      </w:pPr>
      <w:r w:rsidRPr="00C97B43">
        <w:t xml:space="preserve">The </w:t>
      </w:r>
      <w:r w:rsidR="00550DB2" w:rsidRPr="00C97B43">
        <w:t>TSC</w:t>
      </w:r>
      <w:r w:rsidR="00EF2840" w:rsidRPr="00C97B43">
        <w:t xml:space="preserve"> assumes primary </w:t>
      </w:r>
      <w:r w:rsidR="006235B5" w:rsidRPr="00C97B43">
        <w:t>s</w:t>
      </w:r>
      <w:r w:rsidR="00EF2840" w:rsidRPr="00C97B43">
        <w:t xml:space="preserve">trike </w:t>
      </w:r>
      <w:r w:rsidR="006235B5" w:rsidRPr="00C97B43">
        <w:t>c</w:t>
      </w:r>
      <w:r w:rsidR="00EF2840" w:rsidRPr="00C97B43">
        <w:t>ontrol</w:t>
      </w:r>
      <w:r w:rsidRPr="00C97B43">
        <w:t>. Turnover may be coordinated via chat or voice.</w:t>
      </w:r>
    </w:p>
    <w:p w14:paraId="4CEE1788" w14:textId="70A330BE" w:rsidR="005A4BA0" w:rsidRPr="00C97B43" w:rsidRDefault="005A4BA0" w:rsidP="00206258">
      <w:pPr>
        <w:pStyle w:val="Heading3"/>
      </w:pPr>
      <w:bookmarkStart w:id="6856" w:name="_5.38.15__What"/>
      <w:bookmarkStart w:id="6857" w:name="_What_Needs_to"/>
      <w:bookmarkStart w:id="6858" w:name="_What_Time_Needs"/>
      <w:bookmarkStart w:id="6859" w:name="_Toc214283589"/>
      <w:bookmarkEnd w:id="6849"/>
      <w:bookmarkEnd w:id="6856"/>
      <w:bookmarkEnd w:id="6857"/>
      <w:bookmarkEnd w:id="6858"/>
      <w:r w:rsidRPr="00C97B43">
        <w:t xml:space="preserve">What Time </w:t>
      </w:r>
      <w:r w:rsidR="007806A8" w:rsidRPr="00C97B43">
        <w:t>N</w:t>
      </w:r>
      <w:r w:rsidRPr="00C97B43">
        <w:t xml:space="preserve">eeds to be </w:t>
      </w:r>
      <w:r w:rsidR="007806A8" w:rsidRPr="00C97B43">
        <w:t>C</w:t>
      </w:r>
      <w:r w:rsidRPr="00C97B43">
        <w:t>onsidered when Shifting Times?</w:t>
      </w:r>
      <w:bookmarkEnd w:id="6854"/>
      <w:bookmarkEnd w:id="6855"/>
      <w:bookmarkEnd w:id="6859"/>
    </w:p>
    <w:p w14:paraId="6509A2C2" w14:textId="5D6D72C5" w:rsidR="005A4BA0" w:rsidRPr="000665B0" w:rsidRDefault="005A4BA0" w:rsidP="00967B2B">
      <w:r w:rsidRPr="00C97B43">
        <w:t xml:space="preserve">A missile’s Assigned Time is the stake in the ground to consider whenever making time shifts. On the Gantt the Assigned Time is represented by the </w:t>
      </w:r>
      <w:r w:rsidR="00F3559C" w:rsidRPr="00C97B43">
        <w:rPr>
          <w:b/>
        </w:rPr>
        <w:t>C</w:t>
      </w:r>
      <w:r w:rsidRPr="00C97B43">
        <w:rPr>
          <w:b/>
        </w:rPr>
        <w:t>lock</w:t>
      </w:r>
      <w:r w:rsidRPr="00C97B43">
        <w:t xml:space="preserve"> icon. </w:t>
      </w:r>
      <w:r w:rsidR="00E64F32" w:rsidRPr="00C97B43">
        <w:t>Typically,</w:t>
      </w:r>
      <w:r w:rsidRPr="00C97B43">
        <w:t xml:space="preserve"> the Assigned Time </w:t>
      </w:r>
      <w:r w:rsidRPr="00C97B43">
        <w:lastRenderedPageBreak/>
        <w:t>will line up with the Launch Time, Time at First Pre-Planned Waypoint, or Time on Target as the Assigned Time is basically the Time at the Timing Point. The following lists some of the</w:t>
      </w:r>
      <w:r w:rsidRPr="000665B0">
        <w:t xml:space="preserve"> times when the Assigned Time will not be in alignment:</w:t>
      </w:r>
    </w:p>
    <w:p w14:paraId="3DB5CAF6" w14:textId="77777777" w:rsidR="005A4BA0" w:rsidRPr="000665B0" w:rsidRDefault="005A4BA0" w:rsidP="006D5A65">
      <w:pPr>
        <w:pStyle w:val="Heading1"/>
      </w:pPr>
      <w:r w:rsidRPr="000665B0">
        <w:t>The missile is scheduled to arrive early or late</w:t>
      </w:r>
      <w:r w:rsidR="008D0568" w:rsidRPr="000665B0">
        <w:t>.</w:t>
      </w:r>
      <w:r w:rsidRPr="000665B0">
        <w:t xml:space="preserve"> </w:t>
      </w:r>
    </w:p>
    <w:p w14:paraId="02381B15" w14:textId="77777777" w:rsidR="005A4BA0" w:rsidRPr="000665B0" w:rsidRDefault="005A4BA0" w:rsidP="006D5A65">
      <w:pPr>
        <w:pStyle w:val="Heading1"/>
      </w:pPr>
      <w:r w:rsidRPr="000665B0">
        <w:t>An OWR has processed from a previous revision that had a different Assigned Time (note: receipt of an OWR does not change the Assigned Time)</w:t>
      </w:r>
      <w:r w:rsidR="008D0568" w:rsidRPr="000665B0">
        <w:t>.</w:t>
      </w:r>
      <w:r w:rsidRPr="000665B0">
        <w:t xml:space="preserve"> </w:t>
      </w:r>
    </w:p>
    <w:p w14:paraId="3D73B4B1" w14:textId="77777777" w:rsidR="005A4BA0" w:rsidRPr="000665B0" w:rsidRDefault="005A4BA0" w:rsidP="006D5A65">
      <w:pPr>
        <w:pStyle w:val="Heading1"/>
      </w:pPr>
      <w:r w:rsidRPr="000665B0">
        <w:t>After changing the missile’s timing but before sending out the strike an OWR is processed for the missile</w:t>
      </w:r>
      <w:r w:rsidR="008D0568" w:rsidRPr="000665B0">
        <w:t>.</w:t>
      </w:r>
      <w:r w:rsidRPr="000665B0">
        <w:t xml:space="preserve"> </w:t>
      </w:r>
    </w:p>
    <w:p w14:paraId="1AE7CFC2" w14:textId="4AD8D65E" w:rsidR="005A4BA0" w:rsidRPr="000665B0" w:rsidRDefault="00E64F32" w:rsidP="00967B2B">
      <w:r w:rsidRPr="000665B0">
        <w:t>Thus,</w:t>
      </w:r>
      <w:r w:rsidR="005A4BA0" w:rsidRPr="000665B0">
        <w:t xml:space="preserve"> it’s imperative that the operator looks at the Assigned Time while shifting strikes.</w:t>
      </w:r>
    </w:p>
    <w:p w14:paraId="2FEB283D" w14:textId="77777777" w:rsidR="002A6AA5" w:rsidRDefault="007A77C0" w:rsidP="00E7111D">
      <w:pPr>
        <w:jc w:val="center"/>
        <w:rPr>
          <w:noProof/>
        </w:rPr>
      </w:pPr>
      <w:r>
        <w:rPr>
          <w:noProof/>
        </w:rPr>
        <w:drawing>
          <wp:inline distT="0" distB="0" distL="0" distR="0" wp14:anchorId="08D61CF4" wp14:editId="1A24FC2A">
            <wp:extent cx="4983480" cy="2167128"/>
            <wp:effectExtent l="0" t="0" r="0" b="0"/>
            <wp:docPr id="69889268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92681" name="Picture 1" descr="Table&#10;&#10;Description automatically generated"/>
                    <pic:cNvPicPr/>
                  </pic:nvPicPr>
                  <pic:blipFill>
                    <a:blip cstate="print">
                      <a:extLst>
                        <a:ext uri="{28A0092B-C50C-407E-A947-70E740481C1C}">
                          <a14:useLocalDpi xmlns:a14="http://schemas.microsoft.com/office/drawing/2010/main" val="0"/>
                        </a:ext>
                      </a:extLst>
                    </a:blip>
                    <a:stretch>
                      <a:fillRect/>
                    </a:stretch>
                  </pic:blipFill>
                  <pic:spPr>
                    <a:xfrm>
                      <a:off x="0" y="0"/>
                      <a:ext cx="4983480" cy="2167128"/>
                    </a:xfrm>
                    <a:prstGeom prst="rect">
                      <a:avLst/>
                    </a:prstGeom>
                  </pic:spPr>
                </pic:pic>
              </a:graphicData>
            </a:graphic>
          </wp:inline>
        </w:drawing>
      </w:r>
    </w:p>
    <w:p w14:paraId="190F3E43" w14:textId="458A34E3" w:rsidR="00590A9A" w:rsidRDefault="00590A9A" w:rsidP="00590A9A">
      <w:pPr>
        <w:pStyle w:val="Heading3"/>
      </w:pPr>
      <w:bookmarkStart w:id="6860" w:name="_ACA__Advance"/>
      <w:bookmarkStart w:id="6861" w:name="_Toc214283590"/>
      <w:bookmarkEnd w:id="6860"/>
      <w:r>
        <w:t>ACA Advance Coordination Filter Messages</w:t>
      </w:r>
      <w:bookmarkEnd w:id="6861"/>
    </w:p>
    <w:p w14:paraId="3BD2828F" w14:textId="30C0CA80" w:rsidR="00F667BA" w:rsidRDefault="00642209" w:rsidP="00642209">
      <w:r>
        <w:t xml:space="preserve">The ACA </w:t>
      </w:r>
      <w:r w:rsidR="002E5EC5">
        <w:t>Advance</w:t>
      </w:r>
      <w:r>
        <w:t xml:space="preserve"> Coordination</w:t>
      </w:r>
      <w:r w:rsidR="00D6345D">
        <w:t xml:space="preserve"> Filter Messages</w:t>
      </w:r>
      <w:r>
        <w:t xml:space="preserve"> list view displays the advance coordination filter messages in the database. </w:t>
      </w:r>
      <w:r w:rsidR="00F667BA">
        <w:t xml:space="preserve">Filter </w:t>
      </w:r>
      <w:r w:rsidR="00F768A7">
        <w:t>m</w:t>
      </w:r>
      <w:r>
        <w:t xml:space="preserve">essages can be monitored from this view for any future updates. </w:t>
      </w:r>
    </w:p>
    <w:p w14:paraId="297F06E0" w14:textId="504C4AB1" w:rsidR="00EA5F29" w:rsidRDefault="00EA5F29" w:rsidP="00EA5F29">
      <w:r w:rsidRPr="00EA5F29">
        <w:t xml:space="preserve">Unlike ACA Filter Messages in Strike Planning (see </w:t>
      </w:r>
      <w:hyperlink w:anchor="_Filter_Messages_Tab" w:history="1">
        <w:r w:rsidRPr="00C77DC6">
          <w:rPr>
            <w:rStyle w:val="Hyperlink"/>
          </w:rPr>
          <w:t xml:space="preserve">Section </w:t>
        </w:r>
        <w:r w:rsidR="004231CC">
          <w:rPr>
            <w:rStyle w:val="Hyperlink"/>
          </w:rPr>
          <w:t>5.34</w:t>
        </w:r>
        <w:r w:rsidRPr="00C77DC6">
          <w:rPr>
            <w:rStyle w:val="Hyperlink"/>
          </w:rPr>
          <w:t>.7.1.9</w:t>
        </w:r>
      </w:hyperlink>
      <w:r w:rsidRPr="00EA5F29">
        <w:t xml:space="preserve">) or Strike Execution (see </w:t>
      </w:r>
      <w:hyperlink w:anchor="_Filter__Messages" w:history="1">
        <w:r w:rsidRPr="00C77DC6">
          <w:rPr>
            <w:rStyle w:val="Hyperlink"/>
          </w:rPr>
          <w:t xml:space="preserve">Section </w:t>
        </w:r>
        <w:r w:rsidR="004231CC">
          <w:rPr>
            <w:rStyle w:val="Hyperlink"/>
          </w:rPr>
          <w:t>5.35</w:t>
        </w:r>
        <w:r w:rsidRPr="00C77DC6">
          <w:rPr>
            <w:rStyle w:val="Hyperlink"/>
          </w:rPr>
          <w:t>.3.1.7.2</w:t>
        </w:r>
      </w:hyperlink>
      <w:r w:rsidRPr="00EA5F29">
        <w:t xml:space="preserve">), ACA Advance Coordination Filter Messages can be sent mid-strike and viewed directly from the Strike Execution list view. The messages can be created, sent, and viewed outside of the SMD. ACA Advance Coordination Filter Messages are particularly useful for maritime strikes because the message can be sent before a strike exists to reserve time before actually creating a </w:t>
      </w:r>
      <w:r w:rsidR="00074274" w:rsidRPr="00EA5F29">
        <w:t>maritime</w:t>
      </w:r>
      <w:r w:rsidRPr="00EA5F29">
        <w:t xml:space="preserve"> engagement.</w:t>
      </w:r>
    </w:p>
    <w:p w14:paraId="711440B4" w14:textId="7EFEF20E" w:rsidR="00642209" w:rsidRDefault="00642209" w:rsidP="00642209">
      <w:r>
        <w:t>T</w:t>
      </w:r>
      <w:r w:rsidR="007E62A0">
        <w:t xml:space="preserve">o </w:t>
      </w:r>
      <w:r w:rsidR="00D6345D">
        <w:t xml:space="preserve">view the </w:t>
      </w:r>
      <w:r w:rsidR="008A341C">
        <w:t xml:space="preserve">ACA </w:t>
      </w:r>
      <w:r w:rsidR="002E5EC5">
        <w:t>Advance</w:t>
      </w:r>
      <w:r w:rsidR="008A341C">
        <w:t xml:space="preserve"> Coordination Filter Messages </w:t>
      </w:r>
      <w:r w:rsidR="00D6345D">
        <w:t>list view:</w:t>
      </w:r>
      <w:r>
        <w:t xml:space="preserve"> </w:t>
      </w:r>
      <w:r w:rsidR="00CF275B">
        <w:t>Navigate to</w:t>
      </w:r>
      <w:r w:rsidR="00D6345D">
        <w:t xml:space="preserve"> </w:t>
      </w:r>
      <w:r>
        <w:t xml:space="preserve">the Strike Execution Tool </w:t>
      </w:r>
      <w:r w:rsidR="00D6345D">
        <w:t xml:space="preserve">list view. From the </w:t>
      </w:r>
      <w:r w:rsidRPr="00F768A7">
        <w:rPr>
          <w:b/>
        </w:rPr>
        <w:t>File</w:t>
      </w:r>
      <w:r w:rsidR="00D6345D">
        <w:t xml:space="preserve"> menu, select</w:t>
      </w:r>
      <w:r>
        <w:t xml:space="preserve"> </w:t>
      </w:r>
      <w:r w:rsidR="005663F0">
        <w:rPr>
          <w:b/>
          <w:bCs/>
        </w:rPr>
        <w:t>Display</w:t>
      </w:r>
      <w:r w:rsidR="005663F0" w:rsidRPr="000665B0">
        <w:rPr>
          <w:b/>
          <w:bCs/>
        </w:rPr>
        <w:t xml:space="preserve"> </w:t>
      </w:r>
      <w:r w:rsidR="005663F0" w:rsidRPr="000665B0">
        <w:rPr>
          <w:b/>
        </w:rPr>
        <w:sym w:font="Wingdings 3" w:char="F07D"/>
      </w:r>
      <w:r>
        <w:t xml:space="preserve"> </w:t>
      </w:r>
      <w:r w:rsidRPr="005663F0">
        <w:rPr>
          <w:b/>
        </w:rPr>
        <w:t>ACA Advance Coordination</w:t>
      </w:r>
      <w:r w:rsidR="00F768A7">
        <w:t xml:space="preserve">. The </w:t>
      </w:r>
      <w:r w:rsidR="00F768A7" w:rsidRPr="001B310B">
        <w:rPr>
          <w:i/>
        </w:rPr>
        <w:t>ACA Advance Coordination Filter Messages</w:t>
      </w:r>
      <w:r w:rsidR="00F768A7">
        <w:t xml:space="preserve"> window is displayed.</w:t>
      </w:r>
    </w:p>
    <w:p w14:paraId="31033540" w14:textId="77777777" w:rsidR="00642209" w:rsidRDefault="00642209" w:rsidP="00642209">
      <w:pPr>
        <w:jc w:val="center"/>
      </w:pPr>
      <w:r>
        <w:rPr>
          <w:noProof/>
        </w:rPr>
        <w:drawing>
          <wp:inline distT="0" distB="0" distL="0" distR="0" wp14:anchorId="162797DE" wp14:editId="4871C243">
            <wp:extent cx="5612027" cy="3810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5625833" cy="381937"/>
                    </a:xfrm>
                    <a:prstGeom prst="rect">
                      <a:avLst/>
                    </a:prstGeom>
                    <a:noFill/>
                    <a:ln>
                      <a:noFill/>
                    </a:ln>
                    <a:extLst>
                      <a:ext uri="{53640926-AAD7-44D8-BBD7-CCE9431645EC}">
                        <a14:shadowObscured xmlns:a14="http://schemas.microsoft.com/office/drawing/2010/main"/>
                      </a:ext>
                    </a:extLst>
                  </pic:spPr>
                </pic:pic>
              </a:graphicData>
            </a:graphic>
          </wp:inline>
        </w:drawing>
      </w:r>
    </w:p>
    <w:p w14:paraId="631E9577" w14:textId="77777777" w:rsidR="00642209" w:rsidRDefault="00642209" w:rsidP="006D5A65">
      <w:pPr>
        <w:pStyle w:val="Heading1"/>
      </w:pPr>
      <w:r w:rsidRPr="00E037F5">
        <w:t>Columns</w:t>
      </w:r>
    </w:p>
    <w:p w14:paraId="2758DF6E" w14:textId="049D597F" w:rsidR="00642209" w:rsidRDefault="00642209" w:rsidP="006D5A65">
      <w:pPr>
        <w:pStyle w:val="Heading2"/>
      </w:pPr>
      <w:r w:rsidRPr="00B45430">
        <w:t xml:space="preserve">Message ID/Filter Number – </w:t>
      </w:r>
      <w:r w:rsidR="00012242">
        <w:t>The Message ID is a u</w:t>
      </w:r>
      <w:r w:rsidR="00FB4285" w:rsidRPr="000665B0">
        <w:t xml:space="preserve">nique identifier for the Filter Message (automatically generated </w:t>
      </w:r>
      <w:r w:rsidR="00FB4285" w:rsidRPr="000665B0">
        <w:lastRenderedPageBreak/>
        <w:t>by the system)</w:t>
      </w:r>
      <w:r w:rsidR="00012242">
        <w:t xml:space="preserve">. The </w:t>
      </w:r>
      <w:r w:rsidRPr="00B45430">
        <w:t>filter number</w:t>
      </w:r>
      <w:r w:rsidR="00012242">
        <w:t xml:space="preserve"> is an incremental </w:t>
      </w:r>
      <w:r w:rsidR="00CA0956">
        <w:t xml:space="preserve">numbered </w:t>
      </w:r>
      <w:r w:rsidR="00012242">
        <w:t>list that is nested under the Message ID.</w:t>
      </w:r>
    </w:p>
    <w:p w14:paraId="69DADCF9" w14:textId="06E399FA" w:rsidR="00012242" w:rsidRPr="00B45430" w:rsidRDefault="00CA0956" w:rsidP="00CA0956">
      <w:pPr>
        <w:pStyle w:val="BodyText"/>
        <w:spacing w:after="120"/>
        <w:jc w:val="center"/>
      </w:pPr>
      <w:r>
        <w:rPr>
          <w:noProof/>
        </w:rPr>
        <w:drawing>
          <wp:inline distT="0" distB="0" distL="0" distR="0" wp14:anchorId="6496BEEB" wp14:editId="77169A57">
            <wp:extent cx="1314450" cy="696658"/>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321760" cy="700532"/>
                    </a:xfrm>
                    <a:prstGeom prst="rect">
                      <a:avLst/>
                    </a:prstGeom>
                  </pic:spPr>
                </pic:pic>
              </a:graphicData>
            </a:graphic>
          </wp:inline>
        </w:drawing>
      </w:r>
    </w:p>
    <w:p w14:paraId="178059B4" w14:textId="626CDF08" w:rsidR="00642209" w:rsidRPr="00B45430" w:rsidRDefault="00642209" w:rsidP="006D5A65">
      <w:pPr>
        <w:pStyle w:val="Heading2"/>
      </w:pPr>
      <w:r w:rsidRPr="00B45430">
        <w:t xml:space="preserve">Message Time – </w:t>
      </w:r>
      <w:r w:rsidR="002122D8" w:rsidRPr="000665B0">
        <w:t>The time the Filter Message was transmitted</w:t>
      </w:r>
      <w:r w:rsidR="00F667BA">
        <w:t>.</w:t>
      </w:r>
    </w:p>
    <w:p w14:paraId="31FE0098" w14:textId="31BE3F44" w:rsidR="00642209" w:rsidRPr="00B45430" w:rsidRDefault="00642209" w:rsidP="006D5A65">
      <w:pPr>
        <w:pStyle w:val="Heading2"/>
      </w:pPr>
      <w:r w:rsidRPr="00B45430">
        <w:t>Mode – Tactical/Training</w:t>
      </w:r>
      <w:r w:rsidR="00F667BA">
        <w:t>.</w:t>
      </w:r>
    </w:p>
    <w:p w14:paraId="78699584" w14:textId="7CBEC385" w:rsidR="00642209" w:rsidRPr="00B45430" w:rsidRDefault="00642209" w:rsidP="006D5A65">
      <w:pPr>
        <w:pStyle w:val="Heading2"/>
      </w:pPr>
      <w:r w:rsidRPr="00B45430">
        <w:t xml:space="preserve">Filter Number – </w:t>
      </w:r>
      <w:r w:rsidR="00A206D7">
        <w:t xml:space="preserve">The </w:t>
      </w:r>
      <w:r w:rsidR="00A206D7" w:rsidRPr="00B45430">
        <w:t>filter number</w:t>
      </w:r>
      <w:r w:rsidR="00A206D7">
        <w:t xml:space="preserve"> is an incremental numbered list</w:t>
      </w:r>
      <w:r w:rsidR="002122D8" w:rsidRPr="000665B0">
        <w:t xml:space="preserve">. The first Filter Message generated for each </w:t>
      </w:r>
      <w:r w:rsidR="00A206D7">
        <w:t>message</w:t>
      </w:r>
      <w:r w:rsidR="002122D8" w:rsidRPr="000665B0">
        <w:t xml:space="preserve"> is assigned a Filter Number of </w:t>
      </w:r>
      <w:r w:rsidR="00A206D7">
        <w:t>0</w:t>
      </w:r>
      <w:r w:rsidR="002122D8" w:rsidRPr="000665B0">
        <w:t>, and for each additional message transmitted, the Filter Number is incremented as necessary.</w:t>
      </w:r>
      <w:r w:rsidR="00A206D7">
        <w:t xml:space="preserve"> </w:t>
      </w:r>
    </w:p>
    <w:p w14:paraId="0599E20B" w14:textId="0CFE13D7" w:rsidR="00642209" w:rsidRPr="00B45430" w:rsidRDefault="00642209" w:rsidP="006D5A65">
      <w:pPr>
        <w:pStyle w:val="Heading2"/>
      </w:pPr>
      <w:r w:rsidRPr="00B45430">
        <w:t xml:space="preserve">SOM – </w:t>
      </w:r>
      <w:r w:rsidR="00A17782" w:rsidRPr="000665B0">
        <w:t>The Start of Message (SOM) indicates whether the Filter Message is Tactical or Training</w:t>
      </w:r>
      <w:r w:rsidR="00F667BA">
        <w:t>.</w:t>
      </w:r>
    </w:p>
    <w:p w14:paraId="7B81617C" w14:textId="33F271FA" w:rsidR="00642209" w:rsidRPr="00B45430" w:rsidRDefault="00642209" w:rsidP="006D5A65">
      <w:pPr>
        <w:pStyle w:val="Heading2"/>
      </w:pPr>
      <w:r w:rsidRPr="00B45430">
        <w:t xml:space="preserve">Use State </w:t>
      </w:r>
      <w:r w:rsidR="00A17782" w:rsidRPr="000665B0">
        <w:t>– Indicates the state of the Filter Message – 72 Hours, Cancel, or Complete</w:t>
      </w:r>
      <w:r w:rsidR="00A17782">
        <w:t>.</w:t>
      </w:r>
    </w:p>
    <w:p w14:paraId="2D85D9AB" w14:textId="1096AB65" w:rsidR="00642209" w:rsidRPr="00B45430" w:rsidRDefault="00642209" w:rsidP="006D5A65">
      <w:pPr>
        <w:pStyle w:val="Heading2"/>
      </w:pPr>
      <w:r w:rsidRPr="00B45430">
        <w:t>Strike Exec</w:t>
      </w:r>
      <w:r w:rsidR="001B310B">
        <w:t>ut</w:t>
      </w:r>
      <w:r w:rsidRPr="00B45430">
        <w:t xml:space="preserve">ion Time – </w:t>
      </w:r>
      <w:r w:rsidR="00A17782" w:rsidRPr="000665B0">
        <w:t>Indicates the Strike Execution Time, which represents the earliest time at which the Strike can begin</w:t>
      </w:r>
      <w:r w:rsidR="00F667BA">
        <w:t>.</w:t>
      </w:r>
      <w:r w:rsidRPr="00B45430">
        <w:t xml:space="preserve"> </w:t>
      </w:r>
    </w:p>
    <w:p w14:paraId="02FC4646" w14:textId="33DC5B7B" w:rsidR="00642209" w:rsidRPr="00B45430" w:rsidRDefault="00642209" w:rsidP="006D5A65">
      <w:pPr>
        <w:pStyle w:val="Heading2"/>
      </w:pPr>
      <w:r w:rsidRPr="00B45430">
        <w:t xml:space="preserve">NSP Ack Time – </w:t>
      </w:r>
      <w:r w:rsidR="001B310B" w:rsidRPr="000665B0">
        <w:t>Indicates the time the NSP system acknowledged receipt of the Filter Message</w:t>
      </w:r>
      <w:r w:rsidR="00F667BA">
        <w:t>.</w:t>
      </w:r>
    </w:p>
    <w:p w14:paraId="161B0432" w14:textId="77777777" w:rsidR="001B310B" w:rsidRPr="000665B0" w:rsidRDefault="00642209" w:rsidP="006D5A65">
      <w:pPr>
        <w:pStyle w:val="Heading1"/>
      </w:pPr>
      <w:r w:rsidRPr="00F667BA">
        <w:t>Response Status</w:t>
      </w:r>
      <w:r w:rsidR="008A341C">
        <w:t xml:space="preserve"> </w:t>
      </w:r>
      <w:r w:rsidR="001B310B">
        <w:t xml:space="preserve">– </w:t>
      </w:r>
      <w:r w:rsidR="001B310B" w:rsidRPr="000665B0">
        <w:t>Response from the NSP.</w:t>
      </w:r>
    </w:p>
    <w:p w14:paraId="257C9EAC" w14:textId="77777777" w:rsidR="001B310B" w:rsidRPr="000665B0" w:rsidRDefault="001B310B" w:rsidP="006D5A65">
      <w:pPr>
        <w:pStyle w:val="Heading2"/>
      </w:pPr>
      <w:r w:rsidRPr="000665B0">
        <w:t>WILCO – Indicates that the communications requirements defined in the Filter Message can be satisfied.</w:t>
      </w:r>
    </w:p>
    <w:p w14:paraId="38E00247" w14:textId="77777777" w:rsidR="001B310B" w:rsidRPr="000665B0" w:rsidRDefault="001B310B" w:rsidP="006D5A65">
      <w:pPr>
        <w:pStyle w:val="Heading2"/>
      </w:pPr>
      <w:r w:rsidRPr="000665B0">
        <w:t>Exceptions – Indicates one or more exceptions to the information provided in the Filter Message.</w:t>
      </w:r>
    </w:p>
    <w:p w14:paraId="2320940B" w14:textId="54A917FF" w:rsidR="00642209" w:rsidRPr="00B64D2E" w:rsidRDefault="001B310B" w:rsidP="006D5A65">
      <w:pPr>
        <w:pStyle w:val="Heading2"/>
      </w:pPr>
      <w:r w:rsidRPr="000665B0">
        <w:t>Blank – Indicates that the NSP response has not yet been received.</w:t>
      </w:r>
    </w:p>
    <w:p w14:paraId="0C0E735D" w14:textId="77777777" w:rsidR="00B64D2E" w:rsidRPr="000665B0" w:rsidRDefault="00B64D2E" w:rsidP="006D5A65">
      <w:pPr>
        <w:pStyle w:val="Heading1"/>
      </w:pPr>
      <w:r w:rsidRPr="000665B0">
        <w:t>Context Menu</w:t>
      </w:r>
    </w:p>
    <w:p w14:paraId="55A8AFDC" w14:textId="77777777" w:rsidR="00B64D2E" w:rsidRPr="000665B0" w:rsidRDefault="00B64D2E" w:rsidP="006D5A65">
      <w:pPr>
        <w:pStyle w:val="Heading2"/>
      </w:pPr>
      <w:r w:rsidRPr="000665B0">
        <w:t>Display</w:t>
      </w:r>
    </w:p>
    <w:p w14:paraId="760A8147" w14:textId="7D9DDC55" w:rsidR="00B64D2E" w:rsidRPr="001C44A0" w:rsidRDefault="00B64D2E" w:rsidP="006D5A65">
      <w:pPr>
        <w:pStyle w:val="Heading3"/>
      </w:pPr>
      <w:r w:rsidRPr="000665B0">
        <w:rPr>
          <w:rFonts w:eastAsia="Arial Unicode MS"/>
        </w:rPr>
        <w:lastRenderedPageBreak/>
        <w:t xml:space="preserve">in Excel – </w:t>
      </w:r>
      <w:r w:rsidRPr="000665B0">
        <w:t xml:space="preserve">Creates an Excel document containing the selected </w:t>
      </w:r>
      <w:r>
        <w:t>filter message</w:t>
      </w:r>
      <w:r w:rsidRPr="000665B0">
        <w:t>’</w:t>
      </w:r>
      <w:r>
        <w:t>s</w:t>
      </w:r>
      <w:r w:rsidRPr="000665B0">
        <w:t xml:space="preserve"> information.</w:t>
      </w:r>
    </w:p>
    <w:p w14:paraId="3C5F8DF4" w14:textId="30DF56C7" w:rsidR="00CF275B" w:rsidRPr="00CF275B" w:rsidRDefault="00CF275B" w:rsidP="006D5A65">
      <w:pPr>
        <w:pStyle w:val="Heading2"/>
      </w:pPr>
      <w:r>
        <w:t>Send</w:t>
      </w:r>
    </w:p>
    <w:p w14:paraId="0310E830" w14:textId="75359186" w:rsidR="00CF275B" w:rsidRPr="00CF275B" w:rsidRDefault="00CF275B" w:rsidP="006D5A65">
      <w:pPr>
        <w:pStyle w:val="Heading3"/>
      </w:pPr>
      <w:r>
        <w:t>Revision –</w:t>
      </w:r>
      <w:r w:rsidRPr="00CF275B">
        <w:t xml:space="preserve"> Opens the filter message to allow revision and re-send.</w:t>
      </w:r>
    </w:p>
    <w:p w14:paraId="0796EE18" w14:textId="644CF9A9" w:rsidR="00CF275B" w:rsidRPr="00CF275B" w:rsidRDefault="00CF275B" w:rsidP="006D5A65">
      <w:pPr>
        <w:pStyle w:val="Heading3"/>
      </w:pPr>
      <w:r>
        <w:t xml:space="preserve">Cancel </w:t>
      </w:r>
      <w:r w:rsidRPr="00CF275B">
        <w:t>– Invokes a confirmation window to cancel the</w:t>
      </w:r>
      <w:r>
        <w:t xml:space="preserve"> selected</w:t>
      </w:r>
      <w:r w:rsidRPr="00CF275B">
        <w:t xml:space="preserve"> ACA Advance Coordination Filter Message.</w:t>
      </w:r>
      <w:r w:rsidR="00A206D7">
        <w:t xml:space="preserve"> Sending a </w:t>
      </w:r>
      <w:r w:rsidR="00A206D7" w:rsidRPr="00A206D7">
        <w:t>Cancel</w:t>
      </w:r>
      <w:r w:rsidR="00A206D7">
        <w:t xml:space="preserve"> increments the Filter Number to 999.</w:t>
      </w:r>
    </w:p>
    <w:p w14:paraId="2C1A94A1" w14:textId="38D59971" w:rsidR="001C44A0" w:rsidRPr="00CF275B" w:rsidRDefault="001C44A0" w:rsidP="006D5A65">
      <w:pPr>
        <w:pStyle w:val="Heading2"/>
      </w:pPr>
      <w:r>
        <w:rPr>
          <w:rFonts w:eastAsia="Arial Unicode MS"/>
        </w:rPr>
        <w:t>Print –</w:t>
      </w:r>
      <w:r>
        <w:t xml:space="preserve"> </w:t>
      </w:r>
      <w:r w:rsidRPr="000665B0">
        <w:t>Prints the selected item(s) in the list</w:t>
      </w:r>
      <w:r>
        <w:t>.</w:t>
      </w:r>
    </w:p>
    <w:p w14:paraId="756C48AF" w14:textId="67FF01F4" w:rsidR="00CF275B" w:rsidRPr="00CA0956" w:rsidRDefault="00CF275B" w:rsidP="006D5A65">
      <w:pPr>
        <w:pStyle w:val="Heading2"/>
      </w:pPr>
      <w:r w:rsidRPr="00CF275B">
        <w:t>Delete – Invokes a confirmation window to delete the selected ACA Advance Coordination Filter Message.</w:t>
      </w:r>
    </w:p>
    <w:p w14:paraId="3CFADB90" w14:textId="24528F3A" w:rsidR="00CA0956" w:rsidRPr="00CA0956" w:rsidRDefault="00CA0956" w:rsidP="006D5A65">
      <w:pPr>
        <w:pStyle w:val="Heading2"/>
      </w:pPr>
      <w:r>
        <w:t>Display</w:t>
      </w:r>
    </w:p>
    <w:p w14:paraId="0E4D62F0" w14:textId="6DE28F1C" w:rsidR="00CA0956" w:rsidRPr="008B1AEE" w:rsidRDefault="00CA0956" w:rsidP="006D5A65">
      <w:pPr>
        <w:pStyle w:val="Heading3"/>
      </w:pPr>
      <w:r>
        <w:rPr>
          <w:rFonts w:eastAsia="Arial Unicode MS"/>
        </w:rPr>
        <w:t>Textually</w:t>
      </w:r>
      <w:r w:rsidRPr="000665B0">
        <w:rPr>
          <w:rFonts w:eastAsia="Arial Unicode MS"/>
        </w:rPr>
        <w:t xml:space="preserve"> – </w:t>
      </w:r>
      <w:r w:rsidR="008B1AEE" w:rsidRPr="000665B0">
        <w:t xml:space="preserve">Displays the textual view of the selected </w:t>
      </w:r>
      <w:r w:rsidR="008B1AEE">
        <w:t>Filter Message</w:t>
      </w:r>
      <w:r w:rsidRPr="000665B0">
        <w:t>.</w:t>
      </w:r>
      <w:r w:rsidR="008B1AEE">
        <w:t xml:space="preserve"> This menu item is available only from the </w:t>
      </w:r>
      <w:r w:rsidR="00A55EE9">
        <w:t>Filter Number level</w:t>
      </w:r>
      <w:r w:rsidR="008B1AEE">
        <w:t xml:space="preserve"> that is nested under the Message ID.</w:t>
      </w:r>
    </w:p>
    <w:p w14:paraId="79FB4E7A" w14:textId="764FD332" w:rsidR="008B1AEE" w:rsidRPr="00CF275B" w:rsidRDefault="008B1AEE" w:rsidP="008B1AEE">
      <w:pPr>
        <w:jc w:val="center"/>
        <w:rPr>
          <w:b/>
        </w:rPr>
      </w:pPr>
      <w:r>
        <w:rPr>
          <w:noProof/>
        </w:rPr>
        <w:drawing>
          <wp:inline distT="0" distB="0" distL="0" distR="0" wp14:anchorId="6F66134E" wp14:editId="7AF85943">
            <wp:extent cx="1800225" cy="704088"/>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12130" cy="708744"/>
                    </a:xfrm>
                    <a:prstGeom prst="rect">
                      <a:avLst/>
                    </a:prstGeom>
                  </pic:spPr>
                </pic:pic>
              </a:graphicData>
            </a:graphic>
          </wp:inline>
        </w:drawing>
      </w:r>
    </w:p>
    <w:p w14:paraId="45C88B2C" w14:textId="6223C238" w:rsidR="00642209" w:rsidRDefault="001C44A0" w:rsidP="00642209">
      <w:pPr>
        <w:pStyle w:val="Heading4"/>
      </w:pPr>
      <w:r>
        <w:t xml:space="preserve">Send an </w:t>
      </w:r>
      <w:r w:rsidR="007652A7">
        <w:t xml:space="preserve">Advance Coordination </w:t>
      </w:r>
      <w:r>
        <w:t>ACA</w:t>
      </w:r>
      <w:r w:rsidR="00642209">
        <w:t xml:space="preserve"> Filter </w:t>
      </w:r>
      <w:r>
        <w:t>M</w:t>
      </w:r>
      <w:r w:rsidR="00642209">
        <w:t>essage</w:t>
      </w:r>
    </w:p>
    <w:p w14:paraId="0941CABC" w14:textId="515F786A" w:rsidR="00CE63D3" w:rsidRDefault="00012242" w:rsidP="00CE63D3">
      <w:r>
        <w:t>To c</w:t>
      </w:r>
      <w:r w:rsidR="00CE63D3">
        <w:t>reat</w:t>
      </w:r>
      <w:r>
        <w:t>e</w:t>
      </w:r>
      <w:r w:rsidR="00CE63D3">
        <w:t xml:space="preserve"> and send an </w:t>
      </w:r>
      <w:r>
        <w:t xml:space="preserve">Advance Coordination </w:t>
      </w:r>
      <w:r w:rsidR="00CE63D3">
        <w:t>ACA Filter Message from the list view is similar to the process used in Strike Planning.</w:t>
      </w:r>
    </w:p>
    <w:p w14:paraId="6B68ABB0" w14:textId="6F3416BE" w:rsidR="00CE63D3" w:rsidRDefault="00CE63D3" w:rsidP="006D5A65">
      <w:pPr>
        <w:pStyle w:val="Heading1"/>
      </w:pPr>
      <w:r w:rsidRPr="000665B0">
        <w:lastRenderedPageBreak/>
        <w:t>Navigate to the</w:t>
      </w:r>
      <w:r>
        <w:t xml:space="preserve"> </w:t>
      </w:r>
      <w:r w:rsidRPr="001B310B">
        <w:t>ACA Advance Coordination Filter Messages</w:t>
      </w:r>
      <w:r>
        <w:t xml:space="preserve"> window.</w:t>
      </w:r>
    </w:p>
    <w:p w14:paraId="43D49AEC" w14:textId="77777777" w:rsidR="00CE63D3" w:rsidRPr="00CE63D3" w:rsidRDefault="00CE63D3" w:rsidP="006D5A65">
      <w:pPr>
        <w:pStyle w:val="Heading1"/>
      </w:pPr>
      <w:r w:rsidRPr="000665B0">
        <w:t xml:space="preserve">From the </w:t>
      </w:r>
      <w:r w:rsidRPr="00CE63D3">
        <w:t>File</w:t>
      </w:r>
      <w:r w:rsidRPr="000665B0">
        <w:t xml:space="preserve"> menu select </w:t>
      </w:r>
      <w:r>
        <w:t>Send ACA Advance Coordination</w:t>
      </w:r>
      <w:r w:rsidRPr="00CE63D3">
        <w:t>.</w:t>
      </w:r>
    </w:p>
    <w:p w14:paraId="07088CC3" w14:textId="77777777" w:rsidR="00BC41FE" w:rsidRPr="00BC41FE" w:rsidRDefault="00CE63D3" w:rsidP="006D5A65">
      <w:pPr>
        <w:pStyle w:val="Heading1"/>
      </w:pPr>
      <w:r w:rsidRPr="00CE63D3">
        <w:t xml:space="preserve">The </w:t>
      </w:r>
      <w:r w:rsidRPr="00CE63D3">
        <w:rPr>
          <w:i/>
        </w:rPr>
        <w:t>ACA Filter Message</w:t>
      </w:r>
      <w:r w:rsidRPr="00CE63D3">
        <w:t xml:space="preserve"> window is displayed. </w:t>
      </w:r>
    </w:p>
    <w:p w14:paraId="32E7E5AD" w14:textId="28DE108A" w:rsidR="00BC41FE" w:rsidRDefault="003F1649" w:rsidP="00D710FE">
      <w:pPr>
        <w:pStyle w:val="Number0205"/>
        <w:ind w:left="0" w:firstLine="0"/>
        <w:jc w:val="center"/>
        <w:rPr>
          <w:bCs/>
        </w:rPr>
      </w:pPr>
      <w:r>
        <w:rPr>
          <w:noProof/>
        </w:rPr>
        <w:drawing>
          <wp:inline distT="0" distB="0" distL="0" distR="0" wp14:anchorId="6A2D53B3" wp14:editId="645CED8D">
            <wp:extent cx="2396403" cy="3514725"/>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406467" cy="3529486"/>
                    </a:xfrm>
                    <a:prstGeom prst="rect">
                      <a:avLst/>
                    </a:prstGeom>
                  </pic:spPr>
                </pic:pic>
              </a:graphicData>
            </a:graphic>
          </wp:inline>
        </w:drawing>
      </w:r>
    </w:p>
    <w:p w14:paraId="330B1C85" w14:textId="645C19EE" w:rsidR="006D5D9E" w:rsidRPr="00A5379E" w:rsidRDefault="006D5D9E" w:rsidP="006D5A65">
      <w:pPr>
        <w:pStyle w:val="Heading1"/>
      </w:pPr>
      <w:r w:rsidRPr="00A5379E">
        <w:t>If desired, change the Mode (default is Tactical) and/or SOM Header (default is Tactical).</w:t>
      </w:r>
      <w:r w:rsidR="00A5379E" w:rsidRPr="00A5379E">
        <w:t xml:space="preserve"> </w:t>
      </w:r>
      <w:r w:rsidRPr="00A5379E">
        <w:t>If desired, changed the Strike Execution Time and/or Latest TOT</w:t>
      </w:r>
      <w:r w:rsidR="004658CA" w:rsidRPr="004658CA">
        <w:t xml:space="preserve"> from their default values</w:t>
      </w:r>
      <w:r w:rsidRPr="00A5379E">
        <w:t xml:space="preserve">. </w:t>
      </w:r>
      <w:r w:rsidR="00A5379E" w:rsidRPr="000665B0">
        <w:rPr>
          <w:szCs w:val="24"/>
        </w:rPr>
        <w:t xml:space="preserve">This is a required field (as denoted by the * and/or yellow background) and the user is unable to proceed without updating this field. For further information on mandatory fields see </w:t>
      </w:r>
      <w:hyperlink w:anchor="_5.2.7__Editing" w:history="1">
        <w:r w:rsidR="00A5379E" w:rsidRPr="000665B0">
          <w:rPr>
            <w:color w:val="0000FF"/>
            <w:szCs w:val="24"/>
            <w:u w:val="single"/>
          </w:rPr>
          <w:t>Section 5.2.8</w:t>
        </w:r>
      </w:hyperlink>
      <w:r w:rsidR="00A5379E" w:rsidRPr="000665B0">
        <w:rPr>
          <w:szCs w:val="24"/>
        </w:rPr>
        <w:t>.</w:t>
      </w:r>
    </w:p>
    <w:p w14:paraId="10E30D7E" w14:textId="5F87E952" w:rsidR="006D5D9E" w:rsidRDefault="006D5D9E" w:rsidP="006D5A65">
      <w:pPr>
        <w:pStyle w:val="Heading1"/>
      </w:pPr>
      <w:r>
        <w:t xml:space="preserve">The </w:t>
      </w:r>
      <w:r w:rsidRPr="006D5D9E">
        <w:t>Use State</w:t>
      </w:r>
      <w:r>
        <w:t xml:space="preserve"> defaults to </w:t>
      </w:r>
      <w:r w:rsidRPr="006D5D9E">
        <w:t>72 Hour</w:t>
      </w:r>
      <w:r>
        <w:t xml:space="preserve"> and cannot be changed.</w:t>
      </w:r>
    </w:p>
    <w:p w14:paraId="4677A56F" w14:textId="1723EAC1" w:rsidR="00A5379E" w:rsidRPr="00A5379E" w:rsidRDefault="006D5D9E" w:rsidP="006D5A65">
      <w:pPr>
        <w:pStyle w:val="Heading1"/>
      </w:pPr>
      <w:r>
        <w:t xml:space="preserve">If desired, select or add </w:t>
      </w:r>
      <w:r w:rsidRPr="006D5D9E">
        <w:t>Crypto Keys</w:t>
      </w:r>
      <w:r w:rsidR="00A5379E">
        <w:t xml:space="preserve"> or</w:t>
      </w:r>
      <w:r>
        <w:t xml:space="preserve"> </w:t>
      </w:r>
      <w:r w:rsidRPr="006D5D9E">
        <w:t>Frequency Lookups</w:t>
      </w:r>
      <w:r w:rsidR="00A5379E" w:rsidRPr="00A5379E">
        <w:t>.</w:t>
      </w:r>
      <w:r>
        <w:t xml:space="preserve"> </w:t>
      </w:r>
    </w:p>
    <w:p w14:paraId="77A4D349" w14:textId="249E67E9" w:rsidR="00BC41FE" w:rsidRPr="000665B0" w:rsidRDefault="00A5379E" w:rsidP="006D5A65">
      <w:pPr>
        <w:pStyle w:val="Heading1"/>
      </w:pPr>
      <w:r w:rsidRPr="00A5379E">
        <w:rPr>
          <w:bCs/>
        </w:rPr>
        <w:t>Enter the</w:t>
      </w:r>
      <w:r>
        <w:rPr>
          <w:bCs/>
        </w:rPr>
        <w:t xml:space="preserve"> </w:t>
      </w:r>
      <w:r w:rsidR="006D5D9E" w:rsidRPr="006D5D9E">
        <w:rPr>
          <w:bCs/>
        </w:rPr>
        <w:t>Planned Outcomes Boundary</w:t>
      </w:r>
      <w:r w:rsidR="006D5D9E">
        <w:rPr>
          <w:bCs/>
        </w:rPr>
        <w:t xml:space="preserve"> information.</w:t>
      </w:r>
      <w:r>
        <w:rPr>
          <w:bCs/>
        </w:rPr>
        <w:t xml:space="preserve"> </w:t>
      </w:r>
      <w:r w:rsidRPr="000665B0">
        <w:t xml:space="preserve">This is a required field (as denoted by the * and/or yellow background) </w:t>
      </w:r>
      <w:r w:rsidRPr="000665B0">
        <w:lastRenderedPageBreak/>
        <w:t xml:space="preserve">and the user is unable to proceed without updating this field. For further information on mandatory fields see </w:t>
      </w:r>
      <w:hyperlink w:anchor="_5.2.7__Editing" w:history="1">
        <w:r w:rsidRPr="000665B0">
          <w:rPr>
            <w:color w:val="0000FF"/>
            <w:u w:val="single"/>
          </w:rPr>
          <w:t>Section 5.2.8</w:t>
        </w:r>
      </w:hyperlink>
      <w:r w:rsidRPr="000665B0">
        <w:t>.</w:t>
      </w:r>
    </w:p>
    <w:p w14:paraId="0E140F70" w14:textId="5553F7B4" w:rsidR="00343C74" w:rsidRPr="000665B0" w:rsidRDefault="00BC41FE" w:rsidP="006D5A65">
      <w:pPr>
        <w:pStyle w:val="Heading1"/>
      </w:pPr>
      <w:r w:rsidRPr="000665B0">
        <w:t xml:space="preserve">From the </w:t>
      </w:r>
      <w:r w:rsidRPr="008279E4">
        <w:t>File</w:t>
      </w:r>
      <w:r w:rsidRPr="000665B0">
        <w:t xml:space="preserve"> menu select </w:t>
      </w:r>
      <w:r w:rsidRPr="008279E4">
        <w:t>Send</w:t>
      </w:r>
      <w:r w:rsidRPr="000665B0">
        <w:t xml:space="preserve"> or click the </w:t>
      </w:r>
      <w:r w:rsidRPr="008279E4">
        <w:t>Send</w:t>
      </w:r>
      <w:r w:rsidRPr="000665B0">
        <w:t xml:space="preserve"> </w:t>
      </w:r>
      <w:r w:rsidRPr="000665B0">
        <w:rPr>
          <w:noProof/>
        </w:rPr>
        <w:drawing>
          <wp:inline distT="0" distB="0" distL="0" distR="0" wp14:anchorId="0BF6799D" wp14:editId="09A4429F">
            <wp:extent cx="152400" cy="152400"/>
            <wp:effectExtent l="0" t="0" r="0" b="0"/>
            <wp:docPr id="350" name="Picture 350"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bookmarkStart w:id="6862" w:name="_ACA__Filter"/>
      <w:bookmarkEnd w:id="6862"/>
    </w:p>
    <w:p w14:paraId="7E9520E1" w14:textId="3D8DABA8" w:rsidR="001949B4" w:rsidRDefault="00443BB7" w:rsidP="001F4B14">
      <w:pPr>
        <w:pStyle w:val="Heading3"/>
      </w:pPr>
      <w:bookmarkStart w:id="6863" w:name="_5.39__STRIKE_REHEARSALS"/>
      <w:bookmarkStart w:id="6864" w:name="_5.39__TSRT"/>
      <w:bookmarkStart w:id="6865" w:name="_5_.39_"/>
      <w:bookmarkStart w:id="6866" w:name="_QUICK_STRIKE_TOOL"/>
      <w:bookmarkStart w:id="6867" w:name="_Toc214283591"/>
      <w:bookmarkStart w:id="6868" w:name="_Toc101923351"/>
      <w:bookmarkStart w:id="6869" w:name="_Ref103407545"/>
      <w:bookmarkStart w:id="6870" w:name="_Toc112733803"/>
      <w:bookmarkStart w:id="6871" w:name="_Toc289328952"/>
      <w:bookmarkStart w:id="6872" w:name="_Toc312332097"/>
      <w:bookmarkStart w:id="6873" w:name="_Toc96170324"/>
      <w:bookmarkStart w:id="6874" w:name="_Toc96234369"/>
      <w:bookmarkEnd w:id="6517"/>
      <w:bookmarkEnd w:id="6863"/>
      <w:bookmarkEnd w:id="6864"/>
      <w:bookmarkEnd w:id="6865"/>
      <w:bookmarkEnd w:id="6866"/>
      <w:r>
        <w:t>MTO – Message to Observer</w:t>
      </w:r>
      <w:bookmarkEnd w:id="6867"/>
    </w:p>
    <w:p w14:paraId="153D0B1F" w14:textId="06D250D8" w:rsidR="00443BB7" w:rsidRDefault="00443BB7" w:rsidP="001F4B14">
      <w:pPr>
        <w:pStyle w:val="Heading4"/>
      </w:pPr>
      <w:bookmarkStart w:id="6875" w:name="_MTO_–_Message"/>
      <w:bookmarkEnd w:id="6875"/>
      <w:r>
        <w:t>MTO – Message to Observer for a missile reservation</w:t>
      </w:r>
    </w:p>
    <w:p w14:paraId="37166FFF" w14:textId="77777777" w:rsidR="00443BB7" w:rsidRDefault="00443BB7" w:rsidP="00443BB7">
      <w:pPr>
        <w:rPr>
          <w:rFonts w:eastAsia="Times New Roman"/>
        </w:rPr>
      </w:pPr>
      <w:r>
        <w:t xml:space="preserve">The MTO (Message to Observer) for a missile reservation </w:t>
      </w:r>
      <w:r w:rsidRPr="000665B0">
        <w:rPr>
          <w:rFonts w:eastAsia="Times New Roman"/>
        </w:rPr>
        <w:t>shows information that can be transmitted to the observer monitoring the target area to provide the observer with the necessary information to meet the observer’s objectives</w:t>
      </w:r>
      <w:r>
        <w:rPr>
          <w:rFonts w:eastAsia="Times New Roman"/>
        </w:rPr>
        <w:t xml:space="preserve"> for one missile reservation.</w:t>
      </w:r>
    </w:p>
    <w:p w14:paraId="72D366C5" w14:textId="77777777" w:rsidR="00443BB7" w:rsidRDefault="00443BB7" w:rsidP="001F4B14">
      <w:pPr>
        <w:jc w:val="center"/>
      </w:pPr>
      <w:r>
        <w:rPr>
          <w:noProof/>
        </w:rPr>
        <w:drawing>
          <wp:inline distT="0" distB="0" distL="0" distR="0" wp14:anchorId="02F93610" wp14:editId="110D64A1">
            <wp:extent cx="3200231" cy="1704975"/>
            <wp:effectExtent l="0" t="0" r="635" b="0"/>
            <wp:docPr id="1224377375" name="Picture 122437737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rotWithShape="1">
                    <a:blip/>
                    <a:srcRect b="29099"/>
                    <a:stretch>
                      <a:fillRect/>
                    </a:stretch>
                  </pic:blipFill>
                  <pic:spPr bwMode="auto">
                    <a:xfrm>
                      <a:off x="0" y="0"/>
                      <a:ext cx="3200400" cy="1705065"/>
                    </a:xfrm>
                    <a:prstGeom prst="rect">
                      <a:avLst/>
                    </a:prstGeom>
                    <a:ln>
                      <a:noFill/>
                    </a:ln>
                    <a:extLst>
                      <a:ext uri="{53640926-AAD7-44D8-BBD7-CCE9431645EC}">
                        <a14:shadowObscured xmlns:a14="http://schemas.microsoft.com/office/drawing/2010/main"/>
                      </a:ext>
                    </a:extLst>
                  </pic:spPr>
                </pic:pic>
              </a:graphicData>
            </a:graphic>
          </wp:inline>
        </w:drawing>
      </w:r>
    </w:p>
    <w:p w14:paraId="331A8B4E" w14:textId="77777777" w:rsidR="00443BB7" w:rsidRPr="00443BB7" w:rsidRDefault="00443BB7" w:rsidP="00443BB7">
      <w:pPr>
        <w:rPr>
          <w:szCs w:val="24"/>
        </w:rPr>
      </w:pPr>
      <w:r w:rsidRPr="00443BB7">
        <w:rPr>
          <w:szCs w:val="24"/>
        </w:rPr>
        <w:t>Data always displayed:</w:t>
      </w:r>
    </w:p>
    <w:p w14:paraId="1C5EED01" w14:textId="126E7E63" w:rsidR="00443BB7" w:rsidRPr="001F4B14" w:rsidRDefault="00443BB7" w:rsidP="006D5A65">
      <w:pPr>
        <w:pStyle w:val="Heading1"/>
      </w:pPr>
      <w:r w:rsidRPr="001F4B14">
        <w:t>TLAM Target:</w:t>
      </w:r>
      <w:r w:rsidR="00454EC8">
        <w:t xml:space="preserve"> </w:t>
      </w:r>
      <w:r w:rsidRPr="001F4B14">
        <w:t>BE and JDPI from reservation, blank for DEAU</w:t>
      </w:r>
    </w:p>
    <w:p w14:paraId="00B705A6" w14:textId="015EDBE8" w:rsidR="00443BB7" w:rsidRPr="001F4B14" w:rsidRDefault="00443BB7" w:rsidP="006D5A65">
      <w:pPr>
        <w:pStyle w:val="Heading1"/>
      </w:pPr>
      <w:r w:rsidRPr="001F4B14">
        <w:t>1 TLAM BLK IV</w:t>
      </w:r>
      <w:r w:rsidR="00454EC8">
        <w:t xml:space="preserve"> </w:t>
      </w:r>
      <w:r w:rsidR="00BA4539">
        <w:t xml:space="preserve">– </w:t>
      </w:r>
      <w:r w:rsidRPr="001F4B14">
        <w:t>1 TLAM (BLK IV when applicable)</w:t>
      </w:r>
    </w:p>
    <w:p w14:paraId="08607352" w14:textId="127B9624" w:rsidR="00443BB7" w:rsidRPr="001F4B14" w:rsidRDefault="00443BB7" w:rsidP="006D5A65">
      <w:pPr>
        <w:pStyle w:val="Heading1"/>
      </w:pPr>
      <w:r w:rsidRPr="001F4B14">
        <w:t>Time on Target:</w:t>
      </w:r>
      <w:r w:rsidR="00454EC8">
        <w:t xml:space="preserve"> </w:t>
      </w:r>
      <w:r w:rsidRPr="001F4B14">
        <w:t>hhmmZ – from reservation</w:t>
      </w:r>
    </w:p>
    <w:p w14:paraId="7734C53D" w14:textId="5EBCAA63" w:rsidR="00443BB7" w:rsidRPr="001F4B14" w:rsidRDefault="00443BB7" w:rsidP="006D5A65">
      <w:pPr>
        <w:pStyle w:val="Heading1"/>
      </w:pPr>
      <w:r w:rsidRPr="001F4B14">
        <w:t>Time of Launch:</w:t>
      </w:r>
      <w:r w:rsidR="00454EC8">
        <w:t xml:space="preserve"> </w:t>
      </w:r>
      <w:r w:rsidRPr="001F4B14">
        <w:t>hhmmZ – from reservation, not in NTTP</w:t>
      </w:r>
    </w:p>
    <w:p w14:paraId="3E7FA032" w14:textId="37A9DCD5" w:rsidR="00443BB7" w:rsidRPr="001F4B14" w:rsidRDefault="00443BB7" w:rsidP="006D5A65">
      <w:pPr>
        <w:pStyle w:val="Heading1"/>
      </w:pPr>
      <w:r w:rsidRPr="001F4B14">
        <w:t>Time of Flight:</w:t>
      </w:r>
      <w:r w:rsidR="00454EC8">
        <w:t xml:space="preserve"> </w:t>
      </w:r>
      <w:r w:rsidRPr="001F4B14">
        <w:t>hh:mm:ss – from reservation, time from launch to target before LER received, time from FPPWP to target after LER received</w:t>
      </w:r>
    </w:p>
    <w:p w14:paraId="4131771B" w14:textId="4B86CE10" w:rsidR="00443BB7" w:rsidRPr="001F4B14" w:rsidRDefault="00443BB7" w:rsidP="006D5A65">
      <w:pPr>
        <w:pStyle w:val="Heading1"/>
      </w:pPr>
      <w:r w:rsidRPr="001F4B14">
        <w:t xml:space="preserve">Run-in Heading: # Degrees – mission textual target data - Msn object mission outcome target segment </w:t>
      </w:r>
      <w:r w:rsidRPr="001F4B14">
        <w:rPr>
          <w:color w:val="000000"/>
        </w:rPr>
        <w:t>TgtWptHeading, blank for DEAU</w:t>
      </w:r>
    </w:p>
    <w:p w14:paraId="21B31197" w14:textId="23C29EA1" w:rsidR="00443BB7" w:rsidRPr="001F4B14" w:rsidRDefault="00443BB7" w:rsidP="006D5A65">
      <w:pPr>
        <w:pStyle w:val="Heading1"/>
      </w:pPr>
      <w:r w:rsidRPr="001F4B14">
        <w:t xml:space="preserve">Dive Angle: # – mission textual target data - C2TargetAimpoint achieved dive deg - </w:t>
      </w:r>
      <w:r w:rsidR="00D3081B">
        <w:t>MSN ID</w:t>
      </w:r>
      <w:r w:rsidRPr="001F4B14">
        <w:t xml:space="preserve">, </w:t>
      </w:r>
      <w:r w:rsidR="00D3081B">
        <w:t>Branch ID</w:t>
      </w:r>
      <w:r w:rsidRPr="001F4B14">
        <w:t>, from aimpoint update for DEAU</w:t>
      </w:r>
    </w:p>
    <w:p w14:paraId="6DB68BF8" w14:textId="77777777" w:rsidR="00443BB7" w:rsidRPr="001F4B14" w:rsidRDefault="00443BB7" w:rsidP="006D5A65">
      <w:pPr>
        <w:pStyle w:val="Heading1"/>
      </w:pPr>
      <w:r w:rsidRPr="001F4B14">
        <w:t xml:space="preserve">Fuze Setting: # Milliseconds – classified code on mission textual target data, from aimpoint update for DEAU </w:t>
      </w:r>
    </w:p>
    <w:p w14:paraId="517BA30F" w14:textId="77777777" w:rsidR="00B60C8A" w:rsidRPr="00646D97" w:rsidRDefault="00443BB7" w:rsidP="006D5A65">
      <w:pPr>
        <w:pStyle w:val="Heading1"/>
      </w:pPr>
      <w:r w:rsidRPr="001F4B14">
        <w:t>Max ORD: # Feet MSL, mission textual target data pop up altitude</w:t>
      </w:r>
    </w:p>
    <w:p w14:paraId="0F2B5218" w14:textId="77777777" w:rsidR="00B60C8A" w:rsidRPr="00A0163E" w:rsidRDefault="00B60C8A" w:rsidP="00A0163E">
      <w:pPr>
        <w:pStyle w:val="ListParagraph"/>
        <w:pBdr>
          <w:top w:val="single" w:sz="12" w:space="1" w:color="auto"/>
          <w:left w:val="single" w:sz="12" w:space="4" w:color="auto"/>
          <w:bottom w:val="single" w:sz="12" w:space="0" w:color="auto"/>
          <w:right w:val="single" w:sz="12" w:space="4" w:color="auto"/>
        </w:pBdr>
        <w:shd w:val="clear" w:color="auto" w:fill="D9D9D9"/>
        <w:ind w:left="0"/>
        <w:jc w:val="center"/>
        <w:rPr>
          <w:rFonts w:ascii="Times New Roman" w:hAnsi="Times New Roman"/>
          <w:b/>
          <w:sz w:val="24"/>
          <w:szCs w:val="24"/>
        </w:rPr>
      </w:pPr>
      <w:r w:rsidRPr="00A0163E">
        <w:rPr>
          <w:rFonts w:ascii="Times New Roman" w:hAnsi="Times New Roman"/>
          <w:b/>
          <w:sz w:val="24"/>
          <w:szCs w:val="24"/>
        </w:rPr>
        <w:t>Note:</w:t>
      </w:r>
    </w:p>
    <w:p w14:paraId="6C5F9EA5" w14:textId="17F950F7" w:rsidR="00B60C8A" w:rsidRPr="00A0163E" w:rsidRDefault="00B60C8A" w:rsidP="00A0163E">
      <w:pPr>
        <w:pStyle w:val="ListParagraph"/>
        <w:pBdr>
          <w:top w:val="single" w:sz="12" w:space="1" w:color="auto"/>
          <w:left w:val="single" w:sz="12" w:space="4" w:color="auto"/>
          <w:bottom w:val="single" w:sz="12" w:space="0" w:color="auto"/>
          <w:right w:val="single" w:sz="12" w:space="4" w:color="auto"/>
        </w:pBdr>
        <w:shd w:val="clear" w:color="auto" w:fill="D9D9D9"/>
        <w:spacing w:after="120"/>
        <w:ind w:left="0"/>
        <w:jc w:val="center"/>
        <w:rPr>
          <w:rFonts w:ascii="Times New Roman" w:hAnsi="Times New Roman"/>
          <w:b/>
          <w:sz w:val="24"/>
          <w:szCs w:val="24"/>
        </w:rPr>
      </w:pPr>
      <w:r w:rsidRPr="00A0163E">
        <w:rPr>
          <w:rFonts w:ascii="Times New Roman" w:hAnsi="Times New Roman"/>
          <w:b/>
          <w:sz w:val="24"/>
          <w:szCs w:val="24"/>
        </w:rPr>
        <w:t>For 109M reservations with a Custom Fuze Setting,</w:t>
      </w:r>
      <w:r>
        <w:rPr>
          <w:rFonts w:ascii="Times New Roman" w:hAnsi="Times New Roman"/>
          <w:b/>
          <w:sz w:val="24"/>
          <w:szCs w:val="24"/>
        </w:rPr>
        <w:t xml:space="preserve"> </w:t>
      </w:r>
      <w:r w:rsidRPr="00A0163E">
        <w:rPr>
          <w:rFonts w:ascii="Times New Roman" w:hAnsi="Times New Roman"/>
          <w:b/>
          <w:sz w:val="24"/>
          <w:szCs w:val="24"/>
        </w:rPr>
        <w:t xml:space="preserve">“Fuze Setting: </w:t>
      </w:r>
      <w:r w:rsidRPr="00A0163E">
        <w:rPr>
          <w:rFonts w:ascii="Times New Roman" w:hAnsi="Times New Roman"/>
          <w:b/>
          <w:i/>
          <w:iCs/>
          <w:sz w:val="24"/>
          <w:szCs w:val="24"/>
        </w:rPr>
        <w:t>X</w:t>
      </w:r>
      <w:r w:rsidRPr="00A0163E">
        <w:rPr>
          <w:rFonts w:ascii="Times New Roman" w:hAnsi="Times New Roman"/>
          <w:b/>
          <w:sz w:val="24"/>
          <w:szCs w:val="24"/>
        </w:rPr>
        <w:t xml:space="preserve"> / </w:t>
      </w:r>
      <w:r w:rsidRPr="00A0163E">
        <w:rPr>
          <w:rFonts w:ascii="Times New Roman" w:hAnsi="Times New Roman"/>
          <w:b/>
          <w:i/>
          <w:iCs/>
          <w:sz w:val="24"/>
          <w:szCs w:val="24"/>
        </w:rPr>
        <w:t>Y</w:t>
      </w:r>
      <w:r w:rsidRPr="00A0163E">
        <w:rPr>
          <w:rFonts w:ascii="Times New Roman" w:hAnsi="Times New Roman"/>
          <w:b/>
          <w:sz w:val="24"/>
          <w:szCs w:val="24"/>
        </w:rPr>
        <w:t xml:space="preserve"> Milliseconds" replaces "Fuze Setting: Milliseconds”, where </w:t>
      </w:r>
      <w:r w:rsidRPr="00A0163E">
        <w:rPr>
          <w:rFonts w:ascii="Times New Roman" w:hAnsi="Times New Roman"/>
          <w:b/>
          <w:i/>
          <w:iCs/>
          <w:sz w:val="24"/>
          <w:szCs w:val="24"/>
        </w:rPr>
        <w:t>X</w:t>
      </w:r>
      <w:r w:rsidRPr="00A0163E">
        <w:rPr>
          <w:rFonts w:ascii="Times New Roman" w:hAnsi="Times New Roman"/>
          <w:b/>
          <w:sz w:val="24"/>
          <w:szCs w:val="24"/>
        </w:rPr>
        <w:t xml:space="preserve"> is SCIM, and </w:t>
      </w:r>
      <w:r w:rsidRPr="00A0163E">
        <w:rPr>
          <w:rFonts w:ascii="Times New Roman" w:hAnsi="Times New Roman"/>
          <w:b/>
          <w:i/>
          <w:iCs/>
          <w:sz w:val="24"/>
          <w:szCs w:val="24"/>
        </w:rPr>
        <w:t>Y</w:t>
      </w:r>
      <w:r w:rsidRPr="00A0163E">
        <w:rPr>
          <w:rFonts w:ascii="Times New Roman" w:hAnsi="Times New Roman"/>
          <w:b/>
          <w:sz w:val="24"/>
          <w:szCs w:val="24"/>
        </w:rPr>
        <w:t xml:space="preserve"> is FTF.</w:t>
      </w:r>
    </w:p>
    <w:p w14:paraId="792BA70D" w14:textId="77777777" w:rsidR="00443BB7" w:rsidRPr="00443BB7" w:rsidRDefault="00443BB7" w:rsidP="00443BB7">
      <w:pPr>
        <w:rPr>
          <w:szCs w:val="24"/>
        </w:rPr>
      </w:pPr>
      <w:r w:rsidRPr="00443BB7">
        <w:rPr>
          <w:szCs w:val="24"/>
        </w:rPr>
        <w:t>Data only displayed for 109E:</w:t>
      </w:r>
    </w:p>
    <w:p w14:paraId="1AB48E7E" w14:textId="377DF02C" w:rsidR="00443BB7" w:rsidRPr="001F4B14" w:rsidRDefault="00443BB7" w:rsidP="006D5A65">
      <w:pPr>
        <w:pStyle w:val="Heading1"/>
      </w:pPr>
      <w:r w:rsidRPr="001F4B14">
        <w:lastRenderedPageBreak/>
        <w:t>Last Received H&amp;S: hhmmZ - from strike events when H&amp;S is received on the system (does not include DBI)</w:t>
      </w:r>
    </w:p>
    <w:p w14:paraId="1BCB397D" w14:textId="77777777" w:rsidR="00443BB7" w:rsidRPr="001F4B14" w:rsidRDefault="00443BB7" w:rsidP="006D5A65">
      <w:pPr>
        <w:pStyle w:val="Heading1"/>
      </w:pPr>
      <w:r w:rsidRPr="001F4B14">
        <w:t>Loiter Established: blank, cannot calculate</w:t>
      </w:r>
    </w:p>
    <w:p w14:paraId="5E692F59" w14:textId="77777777" w:rsidR="00443BB7" w:rsidRPr="001F4B14" w:rsidRDefault="00443BB7" w:rsidP="006D5A65">
      <w:pPr>
        <w:pStyle w:val="Heading1"/>
      </w:pPr>
      <w:r w:rsidRPr="001F4B14">
        <w:t>Loiter Exited: blank, cannot calculate</w:t>
      </w:r>
    </w:p>
    <w:p w14:paraId="044A595B" w14:textId="69D7889F" w:rsidR="00443BB7" w:rsidRPr="001F4B14" w:rsidRDefault="00443BB7" w:rsidP="006D5A65">
      <w:pPr>
        <w:pStyle w:val="Heading1"/>
      </w:pPr>
      <w:r w:rsidRPr="001F4B14">
        <w:t xml:space="preserve">Last Possible Divert: hhmmZ </w:t>
      </w:r>
      <w:r w:rsidR="00750E0A">
        <w:t>--</w:t>
      </w:r>
      <w:r w:rsidRPr="001F4B14">
        <w:t xml:space="preserve"> 10 mins off time on target</w:t>
      </w:r>
    </w:p>
    <w:p w14:paraId="33529A60" w14:textId="6FBD5CFD" w:rsidR="00443BB7" w:rsidRPr="001F4B14" w:rsidRDefault="00443BB7" w:rsidP="006D5A65">
      <w:pPr>
        <w:pStyle w:val="Heading1"/>
      </w:pPr>
      <w:r w:rsidRPr="001F4B14">
        <w:t>Last Possible Redirect: hhmmZ</w:t>
      </w:r>
      <w:r w:rsidR="00750E0A">
        <w:t xml:space="preserve"> </w:t>
      </w:r>
      <w:r w:rsidRPr="001F4B14">
        <w:t>-- 10 mins off time on target</w:t>
      </w:r>
    </w:p>
    <w:p w14:paraId="0AB3A248" w14:textId="52D03797" w:rsidR="00000948" w:rsidRDefault="00000948">
      <w:pPr>
        <w:pStyle w:val="Heading4"/>
      </w:pPr>
      <w:bookmarkStart w:id="6876" w:name="_MTO__–"/>
      <w:bookmarkEnd w:id="6876"/>
      <w:r>
        <w:t>MTO – Message to Observer for a target</w:t>
      </w:r>
    </w:p>
    <w:p w14:paraId="6E853866" w14:textId="5A612FE0" w:rsidR="00000948" w:rsidRDefault="00000948" w:rsidP="00000948">
      <w:pPr>
        <w:rPr>
          <w:rFonts w:eastAsia="Times New Roman"/>
        </w:rPr>
      </w:pPr>
      <w:r>
        <w:t xml:space="preserve">The MTO (Message to Observer) for a </w:t>
      </w:r>
      <w:r w:rsidR="00454EC8">
        <w:t>target</w:t>
      </w:r>
      <w:r>
        <w:t xml:space="preserve"> </w:t>
      </w:r>
      <w:r w:rsidRPr="000665B0">
        <w:rPr>
          <w:rFonts w:eastAsia="Times New Roman"/>
        </w:rPr>
        <w:t>shows information that can be transmitted to the observer monitoring the target area to provide the observer with the necessary information to meet the observer’s objectives</w:t>
      </w:r>
      <w:r>
        <w:rPr>
          <w:rFonts w:eastAsia="Times New Roman"/>
        </w:rPr>
        <w:t xml:space="preserve"> for all missiles going to a target.</w:t>
      </w:r>
    </w:p>
    <w:p w14:paraId="07D18E9B" w14:textId="77777777" w:rsidR="00000948" w:rsidRDefault="00000948" w:rsidP="001F4B14">
      <w:pPr>
        <w:jc w:val="center"/>
        <w:rPr>
          <w:rFonts w:eastAsia="Times New Roman"/>
        </w:rPr>
      </w:pPr>
      <w:r>
        <w:rPr>
          <w:noProof/>
        </w:rPr>
        <w:drawing>
          <wp:inline distT="0" distB="0" distL="0" distR="0" wp14:anchorId="1540A4AA" wp14:editId="5BA0826C">
            <wp:extent cx="2298701" cy="2758440"/>
            <wp:effectExtent l="0" t="0" r="0" b="0"/>
            <wp:docPr id="1712633372" name="Picture 171263337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a:stretch>
                      <a:fillRect/>
                    </a:stretch>
                  </pic:blipFill>
                  <pic:spPr>
                    <a:xfrm>
                      <a:off x="0" y="0"/>
                      <a:ext cx="2315451" cy="2778540"/>
                    </a:xfrm>
                    <a:prstGeom prst="rect">
                      <a:avLst/>
                    </a:prstGeom>
                  </pic:spPr>
                </pic:pic>
              </a:graphicData>
            </a:graphic>
          </wp:inline>
        </w:drawing>
      </w:r>
      <w:r>
        <w:rPr>
          <w:rFonts w:eastAsia="Times New Roman"/>
        </w:rPr>
        <w:t>.</w:t>
      </w:r>
    </w:p>
    <w:p w14:paraId="637D8FAB" w14:textId="77777777" w:rsidR="00A316EA" w:rsidRDefault="00000948" w:rsidP="00000948">
      <w:pPr>
        <w:rPr>
          <w:rFonts w:eastAsia="Times New Roman"/>
        </w:rPr>
      </w:pPr>
      <w:r>
        <w:t xml:space="preserve">For definitions of the fields </w:t>
      </w:r>
      <w:r>
        <w:rPr>
          <w:rFonts w:eastAsia="Times New Roman"/>
        </w:rPr>
        <w:t xml:space="preserve">(See </w:t>
      </w:r>
      <w:hyperlink w:anchor="_MTO_–_Message" w:history="1">
        <w:r w:rsidRPr="0044403B">
          <w:rPr>
            <w:rStyle w:val="Hyperlink"/>
            <w:rFonts w:eastAsia="Times New Roman"/>
          </w:rPr>
          <w:t xml:space="preserve">Section </w:t>
        </w:r>
        <w:r w:rsidR="004231CC">
          <w:rPr>
            <w:rStyle w:val="Hyperlink"/>
            <w:rFonts w:eastAsia="Times New Roman"/>
          </w:rPr>
          <w:t>5.35</w:t>
        </w:r>
        <w:r w:rsidRPr="0044403B">
          <w:rPr>
            <w:rStyle w:val="Hyperlink"/>
            <w:rFonts w:eastAsia="Times New Roman"/>
          </w:rPr>
          <w:t>.18.1</w:t>
        </w:r>
      </w:hyperlink>
      <w:r>
        <w:rPr>
          <w:rFonts w:eastAsia="Times New Roman"/>
        </w:rPr>
        <w:t>).</w:t>
      </w:r>
      <w:r w:rsidR="00A316EA">
        <w:br w:type="page"/>
      </w:r>
      <w:bookmarkStart w:id="6877" w:name="_QUICK_STRIKE_TOOL_1"/>
      <w:bookmarkStart w:id="6878" w:name="_Toc214283592"/>
      <w:bookmarkEnd w:id="6877"/>
      <w:r w:rsidR="00ED7A0A" w:rsidRPr="000665B0">
        <w:lastRenderedPageBreak/>
        <w:t>QUICK STRIKE TOOL</w:t>
      </w:r>
      <w:bookmarkEnd w:id="6878"/>
    </w:p>
    <w:p w14:paraId="2902B292" w14:textId="77777777" w:rsidR="00F515CB" w:rsidRPr="000665B0" w:rsidRDefault="00F515CB" w:rsidP="00F515CB">
      <w:r w:rsidRPr="000665B0">
        <w:t xml:space="preserve">The Quick Strike Tool is an optional tool that is installed on permissible FRUs only. </w:t>
      </w:r>
    </w:p>
    <w:p w14:paraId="67894961" w14:textId="22855B04" w:rsidR="00F515CB" w:rsidRPr="000665B0" w:rsidRDefault="00F515CB" w:rsidP="00AC2F7D">
      <w:pPr>
        <w:pStyle w:val="BodyText"/>
        <w:tabs>
          <w:tab w:val="left" w:pos="720"/>
        </w:tabs>
        <w:spacing w:after="120"/>
        <w:rPr>
          <w:szCs w:val="24"/>
        </w:rPr>
      </w:pPr>
      <w:r w:rsidRPr="000665B0">
        <w:rPr>
          <w:szCs w:val="24"/>
        </w:rPr>
        <w:t xml:space="preserve">The </w:t>
      </w:r>
      <w:r w:rsidRPr="000665B0">
        <w:t xml:space="preserve">Quick Strike (QS) Tool </w:t>
      </w:r>
      <w:r w:rsidR="000E46CF" w:rsidRPr="000665B0">
        <w:rPr>
          <w:szCs w:val="24"/>
        </w:rPr>
        <w:t>is used</w:t>
      </w:r>
      <w:r w:rsidRPr="000665B0">
        <w:rPr>
          <w:szCs w:val="24"/>
        </w:rPr>
        <w:t xml:space="preserve"> </w:t>
      </w:r>
      <w:r w:rsidRPr="000665B0">
        <w:t>to quickly create an executable strike package</w:t>
      </w:r>
      <w:r w:rsidR="000E46CF" w:rsidRPr="000665B0">
        <w:rPr>
          <w:szCs w:val="24"/>
        </w:rPr>
        <w:t xml:space="preserve"> by streamlining the process for</w:t>
      </w:r>
      <w:r w:rsidRPr="000665B0">
        <w:rPr>
          <w:szCs w:val="24"/>
        </w:rPr>
        <w:t xml:space="preserve"> target input, planning functions, and review and distribution. </w:t>
      </w:r>
    </w:p>
    <w:p w14:paraId="18D0ECE0" w14:textId="7BA4B614" w:rsidR="00F515CB" w:rsidRPr="000665B0" w:rsidRDefault="00F515CB" w:rsidP="00F515CB">
      <w:pPr>
        <w:pStyle w:val="BodyText"/>
        <w:tabs>
          <w:tab w:val="left" w:pos="720"/>
        </w:tabs>
        <w:spacing w:after="120"/>
      </w:pPr>
      <w:r w:rsidRPr="000665B0">
        <w:t xml:space="preserve">The tool’s list view displays a list of all the Quick Strikes contained in the database and provides a single location to create, display, and manage the Quick Strikes. The configurable list view contains the Strike Option’s ID, Title, Class, Owner, Last Modified information, etc. The column’s configuration and sorting can be </w:t>
      </w:r>
      <w:r w:rsidR="00704164" w:rsidRPr="000665B0">
        <w:t>customized,</w:t>
      </w:r>
      <w:r w:rsidRPr="000665B0">
        <w:t xml:space="preserve"> and the list view allows the operator to quickly view and search for Quick Strikes. </w:t>
      </w:r>
    </w:p>
    <w:p w14:paraId="221C10AA" w14:textId="6CDE5A71" w:rsidR="00F515CB" w:rsidRPr="000665B0" w:rsidRDefault="00F515CB" w:rsidP="00F515CB">
      <w:pPr>
        <w:pStyle w:val="BodyText"/>
        <w:tabs>
          <w:tab w:val="left" w:pos="720"/>
        </w:tabs>
        <w:spacing w:after="120"/>
      </w:pPr>
      <w:r w:rsidRPr="000665B0">
        <w:t xml:space="preserve">As in other list views, </w:t>
      </w:r>
      <w:r w:rsidR="00AB79FF" w:rsidRPr="000665B0">
        <w:t>items can be selected to</w:t>
      </w:r>
      <w:r w:rsidR="00AB79FF" w:rsidRPr="000665B0" w:rsidDel="00AB79FF">
        <w:t xml:space="preserve"> </w:t>
      </w:r>
      <w:r w:rsidR="00431FD9" w:rsidRPr="000665B0">
        <w:t xml:space="preserve">Display Textually (see </w:t>
      </w:r>
      <w:hyperlink w:anchor="_5.2.1.2.4__Display_1" w:history="1">
        <w:r w:rsidR="00431FD9" w:rsidRPr="000665B0">
          <w:rPr>
            <w:rStyle w:val="Hyperlink"/>
          </w:rPr>
          <w:t>Section 5.2.1.2.4</w:t>
        </w:r>
      </w:hyperlink>
      <w:r w:rsidR="00431FD9" w:rsidRPr="000665B0">
        <w:rPr>
          <w:rStyle w:val="Hyperlink"/>
        </w:rPr>
        <w:t>)</w:t>
      </w:r>
      <w:r w:rsidR="00431FD9" w:rsidRPr="000665B0">
        <w:t xml:space="preserve"> or Display in Excel (see </w:t>
      </w:r>
      <w:hyperlink w:anchor="_5.2.1.2.1__Display_1" w:history="1">
        <w:r w:rsidR="00431FD9" w:rsidRPr="000665B0">
          <w:rPr>
            <w:rStyle w:val="Hyperlink"/>
          </w:rPr>
          <w:t>Section 5.2.1.2.1</w:t>
        </w:r>
      </w:hyperlink>
      <w:r w:rsidR="00431FD9" w:rsidRPr="000665B0">
        <w:t>).</w:t>
      </w:r>
    </w:p>
    <w:p w14:paraId="29B80195" w14:textId="77777777" w:rsidR="00F515CB" w:rsidRPr="000665B0" w:rsidRDefault="00F515CB" w:rsidP="00F515CB">
      <w:pPr>
        <w:tabs>
          <w:tab w:val="left" w:pos="720"/>
        </w:tabs>
      </w:pPr>
      <w:r w:rsidRPr="000665B0">
        <w:t>To view the Quick Strike Tool:</w:t>
      </w:r>
    </w:p>
    <w:p w14:paraId="132170F9" w14:textId="4D994B4C" w:rsidR="00F515CB" w:rsidRPr="000665B0" w:rsidRDefault="00F515CB" w:rsidP="00F515CB">
      <w:pPr>
        <w:tabs>
          <w:tab w:val="left" w:pos="720"/>
        </w:tabs>
        <w:ind w:left="360"/>
      </w:pPr>
      <w:r w:rsidRPr="000665B0">
        <w:t xml:space="preserve">From the </w:t>
      </w:r>
      <w:r w:rsidRPr="000665B0">
        <w:rPr>
          <w:b/>
        </w:rPr>
        <w:t>Go</w:t>
      </w:r>
      <w:r w:rsidRPr="000665B0">
        <w:t xml:space="preserve"> menu select </w:t>
      </w:r>
      <w:r w:rsidRPr="000665B0">
        <w:rPr>
          <w:b/>
        </w:rPr>
        <w:t>Quick Strike</w:t>
      </w:r>
      <w:r w:rsidR="000E46CF" w:rsidRPr="000665B0">
        <w:t xml:space="preserve"> (which appears in the </w:t>
      </w:r>
      <w:r w:rsidR="000E46CF" w:rsidRPr="000665B0">
        <w:rPr>
          <w:b/>
        </w:rPr>
        <w:t>Go</w:t>
      </w:r>
      <w:r w:rsidR="000E46CF" w:rsidRPr="000665B0">
        <w:t xml:space="preserve"> menu only when installed).</w:t>
      </w:r>
      <w:r w:rsidR="00A51E70" w:rsidRPr="000665B0">
        <w:t xml:space="preserve"> </w:t>
      </w:r>
    </w:p>
    <w:p w14:paraId="04F7AAA5" w14:textId="25B56F33" w:rsidR="00F515CB" w:rsidRPr="000665B0" w:rsidRDefault="00B57878" w:rsidP="00F515CB">
      <w:pPr>
        <w:pStyle w:val="BodyText"/>
        <w:tabs>
          <w:tab w:val="left" w:pos="720"/>
        </w:tabs>
        <w:spacing w:after="120"/>
        <w:jc w:val="center"/>
      </w:pPr>
      <w:r w:rsidRPr="000665B0">
        <w:rPr>
          <w:noProof/>
        </w:rPr>
        <w:drawing>
          <wp:inline distT="0" distB="0" distL="0" distR="0" wp14:anchorId="4D1491D7" wp14:editId="5CD0D8BF">
            <wp:extent cx="4983480" cy="1709928"/>
            <wp:effectExtent l="0" t="0" r="0" b="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709928"/>
                    </a:xfrm>
                    <a:prstGeom prst="rect">
                      <a:avLst/>
                    </a:prstGeom>
                  </pic:spPr>
                </pic:pic>
              </a:graphicData>
            </a:graphic>
          </wp:inline>
        </w:drawing>
      </w:r>
    </w:p>
    <w:p w14:paraId="2C5A3989" w14:textId="77777777" w:rsidR="00F515CB" w:rsidRPr="000665B0" w:rsidRDefault="00F515CB" w:rsidP="00F515CB">
      <w:pPr>
        <w:pStyle w:val="BodyText"/>
        <w:tabs>
          <w:tab w:val="left" w:pos="720"/>
        </w:tabs>
        <w:spacing w:after="120"/>
        <w:rPr>
          <w:b/>
          <w:i/>
        </w:rPr>
      </w:pPr>
      <w:r w:rsidRPr="000665B0">
        <w:rPr>
          <w:b/>
          <w:i/>
        </w:rPr>
        <w:t>Quick Strike List View</w:t>
      </w:r>
    </w:p>
    <w:p w14:paraId="1C5DFC16" w14:textId="77777777" w:rsidR="00F515CB" w:rsidRPr="000665B0" w:rsidRDefault="00F515CB" w:rsidP="006D5A65">
      <w:pPr>
        <w:pStyle w:val="Heading1"/>
      </w:pPr>
      <w:r w:rsidRPr="000665B0">
        <w:t>Columns</w:t>
      </w:r>
    </w:p>
    <w:p w14:paraId="5C9C9E20" w14:textId="77777777" w:rsidR="00F515CB" w:rsidRPr="000665B0" w:rsidRDefault="00F515CB" w:rsidP="006D5A65">
      <w:pPr>
        <w:pStyle w:val="Heading2"/>
      </w:pPr>
      <w:r w:rsidRPr="000665B0">
        <w:t>Option ID – The identifier of the Strike Option/Package.</w:t>
      </w:r>
    </w:p>
    <w:p w14:paraId="7F6B0C0F" w14:textId="26B30952" w:rsidR="00F515CB" w:rsidRPr="000665B0" w:rsidRDefault="00F515CB" w:rsidP="006D5A65">
      <w:pPr>
        <w:pStyle w:val="Heading2"/>
      </w:pPr>
      <w:r w:rsidRPr="000665B0">
        <w:t>Title – The Quick Strike’s title (up to 40 alphanumeric and special or space characters).</w:t>
      </w:r>
    </w:p>
    <w:p w14:paraId="48BAA4DE" w14:textId="659F8CC3" w:rsidR="00F515CB" w:rsidRPr="000665B0" w:rsidRDefault="00F515CB" w:rsidP="006D5A65">
      <w:pPr>
        <w:pStyle w:val="Heading2"/>
      </w:pPr>
      <w:r w:rsidRPr="000665B0">
        <w:t>Use State – Current use state of the Strike Option/Package.</w:t>
      </w:r>
      <w:r w:rsidR="00BE1FA8" w:rsidRPr="000665B0">
        <w:t xml:space="preserve"> Use State only applies to Package.</w:t>
      </w:r>
      <w:r w:rsidR="000E0CB3" w:rsidRPr="000665B0">
        <w:t xml:space="preserve"> Possible Use States include Cancel, Null, and Execute.</w:t>
      </w:r>
    </w:p>
    <w:p w14:paraId="618921D4" w14:textId="77777777" w:rsidR="00BE1FA8" w:rsidRPr="000665B0" w:rsidRDefault="00BE1FA8" w:rsidP="006D5A65">
      <w:pPr>
        <w:pStyle w:val="Heading3"/>
      </w:pPr>
      <w:r w:rsidRPr="000665B0">
        <w:lastRenderedPageBreak/>
        <w:t>Holdfire – Hold fire the Strike.</w:t>
      </w:r>
    </w:p>
    <w:p w14:paraId="64E3A658" w14:textId="77777777" w:rsidR="00BE1FA8" w:rsidRPr="000665B0" w:rsidRDefault="00BE1FA8" w:rsidP="006D5A65">
      <w:pPr>
        <w:pStyle w:val="Heading3"/>
      </w:pPr>
      <w:r w:rsidRPr="000665B0">
        <w:t>Execute – Execute the Strike.</w:t>
      </w:r>
    </w:p>
    <w:p w14:paraId="0C716021" w14:textId="77777777" w:rsidR="00BE1FA8" w:rsidRPr="000665B0" w:rsidRDefault="00BE1FA8" w:rsidP="006D5A65">
      <w:pPr>
        <w:pStyle w:val="Heading3"/>
      </w:pPr>
      <w:r w:rsidRPr="000665B0">
        <w:t>Cancel – Cancel the Strike.</w:t>
      </w:r>
    </w:p>
    <w:p w14:paraId="74818383" w14:textId="77777777" w:rsidR="00BE1FA8" w:rsidRPr="000665B0" w:rsidRDefault="00BE1FA8" w:rsidP="006D5A65">
      <w:pPr>
        <w:pStyle w:val="Heading3"/>
      </w:pPr>
      <w:r w:rsidRPr="000665B0">
        <w:t>Null – Initial state of Option. Initial state of Strike Option. Not a TTWCS acceptable use state for Strike Package.</w:t>
      </w:r>
    </w:p>
    <w:p w14:paraId="3B53B795" w14:textId="328763E0" w:rsidR="00F515CB" w:rsidRPr="000665B0" w:rsidRDefault="00F515CB" w:rsidP="006D5A65">
      <w:pPr>
        <w:pStyle w:val="Heading2"/>
      </w:pPr>
      <w:r w:rsidRPr="000665B0">
        <w:t xml:space="preserve">Execute State – </w:t>
      </w:r>
      <w:r w:rsidR="00BE1FA8" w:rsidRPr="000665B0">
        <w:t>Execute state of Option</w:t>
      </w:r>
      <w:r w:rsidRPr="000665B0">
        <w:t>.</w:t>
      </w:r>
    </w:p>
    <w:p w14:paraId="15B6AE4A" w14:textId="476EB487" w:rsidR="00F515CB" w:rsidRPr="000665B0" w:rsidRDefault="00BE1FA8" w:rsidP="006D5A65">
      <w:pPr>
        <w:pStyle w:val="Heading3"/>
      </w:pPr>
      <w:r w:rsidRPr="000665B0">
        <w:t>Undefined</w:t>
      </w:r>
      <w:r w:rsidR="00F515CB" w:rsidRPr="000665B0">
        <w:t xml:space="preserve"> – Option </w:t>
      </w:r>
      <w:r w:rsidRPr="000665B0">
        <w:t>has not been executed</w:t>
      </w:r>
      <w:r w:rsidR="00F515CB" w:rsidRPr="000665B0">
        <w:t>.</w:t>
      </w:r>
    </w:p>
    <w:p w14:paraId="1C491A96" w14:textId="34E80BC1" w:rsidR="00F515CB" w:rsidRPr="000665B0" w:rsidRDefault="00F515CB" w:rsidP="006D5A65">
      <w:pPr>
        <w:pStyle w:val="Heading3"/>
      </w:pPr>
      <w:r w:rsidRPr="000665B0">
        <w:t>Active – Option is currently executing</w:t>
      </w:r>
      <w:r w:rsidR="00BE1FA8" w:rsidRPr="000665B0">
        <w:t xml:space="preserve"> or has been executed at le</w:t>
      </w:r>
      <w:r w:rsidR="000E0CB3" w:rsidRPr="000665B0">
        <w:t>a</w:t>
      </w:r>
      <w:r w:rsidR="00BE1FA8" w:rsidRPr="000665B0">
        <w:t>st once</w:t>
      </w:r>
      <w:r w:rsidRPr="000665B0">
        <w:t>.</w:t>
      </w:r>
    </w:p>
    <w:p w14:paraId="3B8DADD5" w14:textId="77777777" w:rsidR="00F515CB" w:rsidRPr="000665B0" w:rsidRDefault="00F515CB" w:rsidP="006D5A65">
      <w:pPr>
        <w:pStyle w:val="Heading3"/>
      </w:pPr>
      <w:r w:rsidRPr="000665B0">
        <w:t>Complete – Option has completed execution.</w:t>
      </w:r>
    </w:p>
    <w:p w14:paraId="455286D7" w14:textId="77777777" w:rsidR="00F515CB" w:rsidRPr="000665B0" w:rsidRDefault="00F515CB" w:rsidP="006D5A65">
      <w:pPr>
        <w:pStyle w:val="Heading2"/>
      </w:pPr>
      <w:r w:rsidRPr="000665B0">
        <w:t>Type – Type of Option.</w:t>
      </w:r>
    </w:p>
    <w:p w14:paraId="0A0BC45E" w14:textId="77777777" w:rsidR="00F515CB" w:rsidRPr="000665B0" w:rsidRDefault="00F515CB" w:rsidP="006D5A65">
      <w:pPr>
        <w:pStyle w:val="Heading3"/>
      </w:pPr>
      <w:r w:rsidRPr="000665B0">
        <w:t>Package – The Strike is a Package type. The missile sequence numbers are unique to the originating Node. Distributable to TTWCS.</w:t>
      </w:r>
    </w:p>
    <w:p w14:paraId="007910F6" w14:textId="78EA069D" w:rsidR="00F515CB" w:rsidRPr="000665B0" w:rsidRDefault="00F515CB" w:rsidP="006D5A65">
      <w:pPr>
        <w:pStyle w:val="Heading3"/>
      </w:pPr>
      <w:r w:rsidRPr="000665B0">
        <w:t xml:space="preserve">Option – The Strike is an Option type. The missile sequence numbers may not be </w:t>
      </w:r>
      <w:r w:rsidR="003B7B52" w:rsidRPr="000665B0">
        <w:t>unique,</w:t>
      </w:r>
      <w:r w:rsidRPr="000665B0">
        <w:t xml:space="preserve"> and this Strike is not distributable to TTWCS.</w:t>
      </w:r>
    </w:p>
    <w:p w14:paraId="0569874C" w14:textId="4314D751" w:rsidR="00F515CB" w:rsidRPr="000665B0" w:rsidRDefault="00F515CB" w:rsidP="006D5A65">
      <w:pPr>
        <w:pStyle w:val="Heading2"/>
      </w:pPr>
      <w:r w:rsidRPr="000665B0">
        <w:t xml:space="preserve">Rev – Indicates the Package Revision. Revision is only applicable to Packages and to TTWCS. Also, Revision </w:t>
      </w:r>
      <w:r w:rsidR="002F51FD" w:rsidRPr="000665B0">
        <w:t>is</w:t>
      </w:r>
      <w:r w:rsidRPr="000665B0">
        <w:t xml:space="preserve"> incremented once the Strike Package has been distributed. Only modifications to Packages that involve the FRUs’ taskings, missile timing, or the overall strike timing can bump Revision. MDS looks at </w:t>
      </w:r>
      <w:r w:rsidRPr="000665B0">
        <w:rPr>
          <w:i/>
        </w:rPr>
        <w:t>Modified A</w:t>
      </w:r>
      <w:r w:rsidRPr="000665B0">
        <w:t xml:space="preserve">t instead of </w:t>
      </w:r>
      <w:r w:rsidRPr="000665B0">
        <w:rPr>
          <w:i/>
        </w:rPr>
        <w:t>Revision</w:t>
      </w:r>
      <w:r w:rsidRPr="000665B0">
        <w:t xml:space="preserve">. </w:t>
      </w:r>
    </w:p>
    <w:p w14:paraId="3C780F81" w14:textId="77777777" w:rsidR="00F515CB" w:rsidRPr="000665B0" w:rsidRDefault="00F515CB" w:rsidP="006D5A65">
      <w:pPr>
        <w:pStyle w:val="Heading2"/>
      </w:pPr>
      <w:r w:rsidRPr="000665B0">
        <w:t>M Rev – Minor revision maintains the number of times a strike package has been changed between successive distribution.</w:t>
      </w:r>
    </w:p>
    <w:p w14:paraId="64F797BC" w14:textId="77777777" w:rsidR="00F515CB" w:rsidRPr="000665B0" w:rsidRDefault="00F515CB" w:rsidP="006D5A65">
      <w:pPr>
        <w:pStyle w:val="Heading2"/>
      </w:pPr>
      <w:r w:rsidRPr="000665B0">
        <w:t>Last Mod DTG – The DTG of the last modification to the Strike Option/Package.</w:t>
      </w:r>
    </w:p>
    <w:p w14:paraId="0984F944" w14:textId="77777777" w:rsidR="00F515CB" w:rsidRPr="000665B0" w:rsidRDefault="00F515CB" w:rsidP="006D5A65">
      <w:pPr>
        <w:pStyle w:val="Heading2"/>
      </w:pPr>
      <w:r w:rsidRPr="000665B0">
        <w:t>Last Mod By – The user name of the last person who modified the Strike Option/Package.</w:t>
      </w:r>
    </w:p>
    <w:p w14:paraId="4D5B63BE" w14:textId="32A24336" w:rsidR="00F515CB" w:rsidRPr="000665B0" w:rsidRDefault="00F515CB" w:rsidP="006D5A65">
      <w:pPr>
        <w:pStyle w:val="Heading2"/>
      </w:pPr>
      <w:r w:rsidRPr="000665B0">
        <w:t xml:space="preserve">Owner – </w:t>
      </w:r>
      <w:r w:rsidR="000E46CF" w:rsidRPr="000665B0">
        <w:t>Owner Node of this Option</w:t>
      </w:r>
      <w:r w:rsidRPr="000665B0">
        <w:t>.</w:t>
      </w:r>
    </w:p>
    <w:p w14:paraId="460E5926" w14:textId="30E7CE86" w:rsidR="00F515CB" w:rsidRPr="000665B0" w:rsidRDefault="00F515CB" w:rsidP="006D5A65">
      <w:pPr>
        <w:pStyle w:val="Heading2"/>
      </w:pPr>
      <w:r w:rsidRPr="000665B0">
        <w:t>C</w:t>
      </w:r>
      <w:r w:rsidR="00410668">
        <w:t xml:space="preserve">lass </w:t>
      </w:r>
      <w:r w:rsidR="006461DB">
        <w:t xml:space="preserve">Lvl </w:t>
      </w:r>
      <w:r w:rsidRPr="000665B0">
        <w:t xml:space="preserve">– </w:t>
      </w:r>
      <w:r w:rsidR="006461DB">
        <w:t>Indicates the classification level</w:t>
      </w:r>
      <w:r w:rsidRPr="000665B0">
        <w:t>.</w:t>
      </w:r>
    </w:p>
    <w:p w14:paraId="2F7EDA93" w14:textId="77777777" w:rsidR="00F515CB" w:rsidRPr="000665B0" w:rsidRDefault="00F515CB" w:rsidP="006D5A65">
      <w:pPr>
        <w:pStyle w:val="Heading2"/>
      </w:pPr>
      <w:r w:rsidRPr="000665B0">
        <w:lastRenderedPageBreak/>
        <w:t>Execution Time – Indicates the Strike Execution Time of the Strike Option, which represents the earliest time at which the Strike can begin.</w:t>
      </w:r>
    </w:p>
    <w:p w14:paraId="30941617" w14:textId="77777777" w:rsidR="00F515CB" w:rsidRPr="000665B0" w:rsidRDefault="00F515CB" w:rsidP="006D5A65">
      <w:pPr>
        <w:pStyle w:val="Heading2"/>
      </w:pPr>
      <w:r w:rsidRPr="000665B0">
        <w:t>Earliest Launch – Time of launch for missile(s) in the strike with the earliest launch.</w:t>
      </w:r>
    </w:p>
    <w:p w14:paraId="3C203E48" w14:textId="77777777" w:rsidR="00F515CB" w:rsidRPr="000665B0" w:rsidRDefault="00F515CB" w:rsidP="006D5A65">
      <w:pPr>
        <w:pStyle w:val="Heading2"/>
      </w:pPr>
      <w:r w:rsidRPr="000665B0">
        <w:t>Latest Target – Time on target for missile(s) in the strike that have the last impact.</w:t>
      </w:r>
    </w:p>
    <w:p w14:paraId="1564FE63" w14:textId="2D60646B" w:rsidR="00F05AB4" w:rsidRPr="000665B0" w:rsidRDefault="00F515CB" w:rsidP="006D5A65">
      <w:pPr>
        <w:pStyle w:val="Heading2"/>
      </w:pPr>
      <w:r w:rsidRPr="000665B0">
        <w:t>ACA Pending – An X indicates that the</w:t>
      </w:r>
      <w:r w:rsidR="00DD7617" w:rsidRPr="000665B0">
        <w:t>re are changes related to the ACA reservations that have occurred since the last transmitted ACA Filter Message to the NSP. The X does not necessarily mean that a new Filter Message needs to be sent (i.e., not sending an updated Filter Message will not affect the strike)</w:t>
      </w:r>
      <w:r w:rsidRPr="000665B0">
        <w:t xml:space="preserve">. </w:t>
      </w:r>
      <w:r w:rsidR="00151225" w:rsidRPr="000665B0">
        <w:t xml:space="preserve">See </w:t>
      </w:r>
      <w:hyperlink w:anchor="_ACA__Pending" w:history="1">
        <w:r w:rsidR="00A54F60" w:rsidRPr="000665B0">
          <w:rPr>
            <w:rStyle w:val="Hyperlink"/>
          </w:rPr>
          <w:t xml:space="preserve">Section </w:t>
        </w:r>
        <w:r w:rsidR="004231CC">
          <w:rPr>
            <w:rStyle w:val="Hyperlink"/>
          </w:rPr>
          <w:t>5.35</w:t>
        </w:r>
        <w:r w:rsidR="00A54F60" w:rsidRPr="000665B0">
          <w:rPr>
            <w:rStyle w:val="Hyperlink"/>
          </w:rPr>
          <w:t>.3.1.7</w:t>
        </w:r>
        <w:r w:rsidR="00151225" w:rsidRPr="000665B0">
          <w:rPr>
            <w:rStyle w:val="Hyperlink"/>
          </w:rPr>
          <w:t>.2.3</w:t>
        </w:r>
      </w:hyperlink>
      <w:r w:rsidR="00151225" w:rsidRPr="000665B0">
        <w:t xml:space="preserve"> for more information.</w:t>
      </w:r>
    </w:p>
    <w:p w14:paraId="0B1EC13C" w14:textId="64D4755E" w:rsidR="00D07BC6" w:rsidRPr="000665B0" w:rsidRDefault="00D07BC6" w:rsidP="006D5A65">
      <w:pPr>
        <w:pStyle w:val="Heading3"/>
      </w:pPr>
      <w:r w:rsidRPr="000665B0">
        <w:t xml:space="preserve">OWRs being received by the SMD could potentially cause </w:t>
      </w:r>
      <w:r w:rsidR="00151225" w:rsidRPr="000665B0">
        <w:t xml:space="preserve">ACA </w:t>
      </w:r>
      <w:r w:rsidRPr="000665B0">
        <w:t>missiles to shift outside of the strike window. In this case, an ACA Pending flag is set (an X appears in the column) even though the operator has not modified the option.</w:t>
      </w:r>
    </w:p>
    <w:p w14:paraId="3987F384" w14:textId="1FD24E0C" w:rsidR="00F515CB" w:rsidRPr="000665B0" w:rsidRDefault="00F515CB" w:rsidP="006D5A65">
      <w:pPr>
        <w:pStyle w:val="Heading2"/>
      </w:pPr>
      <w:r w:rsidRPr="000665B0">
        <w:t>Build State – The status of the Quick Strike build</w:t>
      </w:r>
      <w:r w:rsidR="000E0CB3" w:rsidRPr="000665B0">
        <w:t xml:space="preserve"> (see </w:t>
      </w:r>
      <w:hyperlink w:anchor="_Build" w:history="1">
        <w:r w:rsidR="000E0CB3" w:rsidRPr="000665B0">
          <w:rPr>
            <w:rStyle w:val="Hyperlink"/>
          </w:rPr>
          <w:t xml:space="preserve">Section </w:t>
        </w:r>
        <w:r w:rsidR="004231CC">
          <w:rPr>
            <w:rStyle w:val="Hyperlink"/>
          </w:rPr>
          <w:t>5.36</w:t>
        </w:r>
        <w:r w:rsidR="000E0CB3" w:rsidRPr="000665B0">
          <w:rPr>
            <w:rStyle w:val="Hyperlink"/>
          </w:rPr>
          <w:t>.2.1</w:t>
        </w:r>
      </w:hyperlink>
      <w:r w:rsidR="000E0CB3" w:rsidRPr="000665B0">
        <w:t>)</w:t>
      </w:r>
      <w:r w:rsidRPr="000665B0">
        <w:t>.</w:t>
      </w:r>
    </w:p>
    <w:p w14:paraId="0AEF44C6" w14:textId="172124E5" w:rsidR="00B57878" w:rsidRPr="000665B0" w:rsidRDefault="00B57878" w:rsidP="006D5A65">
      <w:pPr>
        <w:pStyle w:val="Heading3"/>
      </w:pPr>
      <w:r w:rsidRPr="000665B0">
        <w:t>Creating</w:t>
      </w:r>
      <w:r w:rsidR="00F515CB" w:rsidRPr="000665B0">
        <w:t xml:space="preserve"> – The Quick Strike has been initiated</w:t>
      </w:r>
      <w:r w:rsidR="000E46CF" w:rsidRPr="000665B0">
        <w:t>,</w:t>
      </w:r>
      <w:r w:rsidRPr="000665B0">
        <w:t xml:space="preserve"> and:</w:t>
      </w:r>
    </w:p>
    <w:p w14:paraId="01DEE496" w14:textId="4D5C0DCE" w:rsidR="00B57878" w:rsidRPr="000665B0" w:rsidRDefault="00B57878" w:rsidP="006D5A65">
      <w:pPr>
        <w:pStyle w:val="Heading4"/>
      </w:pPr>
      <w:r w:rsidRPr="000665B0">
        <w:t>is missing required data,</w:t>
      </w:r>
    </w:p>
    <w:p w14:paraId="6D912208" w14:textId="73D379A0" w:rsidR="000E46CF" w:rsidRPr="000665B0" w:rsidRDefault="000E46CF" w:rsidP="00413A90">
      <w:pPr>
        <w:pStyle w:val="BodyText"/>
        <w:spacing w:after="120"/>
        <w:ind w:left="1440"/>
      </w:pPr>
      <w:r w:rsidRPr="000665B0">
        <w:t>or</w:t>
      </w:r>
    </w:p>
    <w:p w14:paraId="2F95EE57" w14:textId="0D7FE2A9" w:rsidR="00F515CB" w:rsidRPr="000665B0" w:rsidRDefault="00F515CB" w:rsidP="006D5A65">
      <w:pPr>
        <w:pStyle w:val="Heading4"/>
      </w:pPr>
      <w:r w:rsidRPr="000665B0">
        <w:t>there are not enough missiles in the FRU inventory to meet the number of missiles required</w:t>
      </w:r>
      <w:r w:rsidR="00B57878" w:rsidRPr="000665B0">
        <w:t>,</w:t>
      </w:r>
    </w:p>
    <w:p w14:paraId="12EDDE8C" w14:textId="4A7F583B" w:rsidR="000E46CF" w:rsidRPr="000665B0" w:rsidRDefault="000E46CF" w:rsidP="00413A90">
      <w:pPr>
        <w:pStyle w:val="BodyText"/>
        <w:spacing w:after="120"/>
        <w:ind w:left="1440"/>
      </w:pPr>
      <w:r w:rsidRPr="000665B0">
        <w:t>or</w:t>
      </w:r>
    </w:p>
    <w:p w14:paraId="25E53BDA" w14:textId="44CCF0F2" w:rsidR="00F515CB" w:rsidRPr="000665B0" w:rsidRDefault="00B57878" w:rsidP="006D5A65">
      <w:pPr>
        <w:pStyle w:val="Heading4"/>
      </w:pPr>
      <w:r w:rsidRPr="000665B0">
        <w:t>is ready to build (</w:t>
      </w:r>
      <w:r w:rsidR="00F515CB" w:rsidRPr="000665B0">
        <w:t xml:space="preserve">all required </w:t>
      </w:r>
      <w:r w:rsidR="00203D20" w:rsidRPr="000665B0">
        <w:t>data has been entered</w:t>
      </w:r>
      <w:r w:rsidR="00F515CB" w:rsidRPr="000665B0">
        <w:t>, and there are enough missiles in the FRU inventory to meet the number of missiles required</w:t>
      </w:r>
      <w:r w:rsidRPr="000665B0">
        <w:t>)</w:t>
      </w:r>
      <w:r w:rsidR="00F515CB" w:rsidRPr="000665B0">
        <w:t>.</w:t>
      </w:r>
    </w:p>
    <w:p w14:paraId="6635CF2B" w14:textId="77777777" w:rsidR="00F515CB" w:rsidRPr="000665B0" w:rsidRDefault="00F515CB" w:rsidP="006D5A65">
      <w:pPr>
        <w:pStyle w:val="Heading3"/>
      </w:pPr>
      <w:r w:rsidRPr="000665B0">
        <w:t>Completed – The Quick Strike build completed successfully.</w:t>
      </w:r>
    </w:p>
    <w:p w14:paraId="39598E92" w14:textId="77777777" w:rsidR="00F515CB" w:rsidRPr="000665B0" w:rsidRDefault="00F515CB" w:rsidP="006D5A65">
      <w:pPr>
        <w:pStyle w:val="Heading3"/>
      </w:pPr>
      <w:r w:rsidRPr="000665B0">
        <w:t>Failed – The Quick Strike failed to build.</w:t>
      </w:r>
    </w:p>
    <w:p w14:paraId="3BBF4ABC" w14:textId="77777777" w:rsidR="00F515CB" w:rsidRPr="000665B0" w:rsidRDefault="00F515CB" w:rsidP="006D5A65">
      <w:pPr>
        <w:pStyle w:val="Heading2"/>
      </w:pPr>
      <w:r w:rsidRPr="000665B0">
        <w:t>Class – Tactical or Training.</w:t>
      </w:r>
    </w:p>
    <w:p w14:paraId="34A2E404" w14:textId="77777777" w:rsidR="00F515CB" w:rsidRPr="000665B0" w:rsidRDefault="00F515CB" w:rsidP="006D5A65">
      <w:pPr>
        <w:pStyle w:val="Heading2"/>
      </w:pPr>
      <w:r w:rsidRPr="000665B0">
        <w:lastRenderedPageBreak/>
        <w:t>LMO Tasking Start – Earliest time for which LMO or ghost assignments can have as launch time.</w:t>
      </w:r>
    </w:p>
    <w:p w14:paraId="68123F7F" w14:textId="77777777" w:rsidR="00F515CB" w:rsidRPr="000665B0" w:rsidRDefault="00F515CB" w:rsidP="006D5A65">
      <w:pPr>
        <w:pStyle w:val="Heading2"/>
      </w:pPr>
      <w:r w:rsidRPr="000665B0">
        <w:t>LMO Tasking End – Latest time for which LMO or ghost assignments can have as time on target.</w:t>
      </w:r>
    </w:p>
    <w:p w14:paraId="1F1AE75F" w14:textId="77777777" w:rsidR="00F515CB" w:rsidRPr="000665B0" w:rsidRDefault="00F515CB" w:rsidP="006D5A65">
      <w:pPr>
        <w:pStyle w:val="Heading1"/>
      </w:pPr>
      <w:r w:rsidRPr="000665B0">
        <w:t>Context Menu</w:t>
      </w:r>
    </w:p>
    <w:p w14:paraId="05380DF7" w14:textId="3A75AE89" w:rsidR="00B55EE2" w:rsidRPr="000665B0" w:rsidRDefault="00B55EE2" w:rsidP="006D5A65">
      <w:pPr>
        <w:pStyle w:val="Heading2"/>
      </w:pPr>
      <w:r w:rsidRPr="000665B0">
        <w:rPr>
          <w:rFonts w:eastAsia="Arial Unicode MS"/>
        </w:rPr>
        <w:t xml:space="preserve">New – </w:t>
      </w:r>
      <w:r w:rsidRPr="000665B0">
        <w:t>Invokes the Tactical or Training Quick Strike window.</w:t>
      </w:r>
    </w:p>
    <w:p w14:paraId="662AE121" w14:textId="527C680A" w:rsidR="00F515CB" w:rsidRPr="000665B0" w:rsidRDefault="00F515CB" w:rsidP="006D5A65">
      <w:pPr>
        <w:pStyle w:val="Heading2"/>
      </w:pPr>
      <w:r w:rsidRPr="000665B0">
        <w:t>Display</w:t>
      </w:r>
    </w:p>
    <w:p w14:paraId="160BA2FB" w14:textId="77777777" w:rsidR="00F515CB" w:rsidRPr="000665B0" w:rsidRDefault="00F515CB" w:rsidP="006D5A65">
      <w:pPr>
        <w:pStyle w:val="Heading3"/>
      </w:pPr>
      <w:r w:rsidRPr="000665B0">
        <w:t>Textually – Displays the textual view of the selected Quick Strike(s).</w:t>
      </w:r>
    </w:p>
    <w:p w14:paraId="5778318D" w14:textId="77777777" w:rsidR="00F515CB" w:rsidRPr="000665B0" w:rsidRDefault="00F515CB" w:rsidP="006D5A65">
      <w:pPr>
        <w:pStyle w:val="Heading3"/>
      </w:pPr>
      <w:r w:rsidRPr="000665B0">
        <w:t>In Excel – Creates an Excel document containing the selected Quick Strike’s information.</w:t>
      </w:r>
    </w:p>
    <w:p w14:paraId="3911DB2B" w14:textId="0C1F34F4" w:rsidR="00F515CB" w:rsidRPr="000665B0" w:rsidRDefault="00F515CB" w:rsidP="006D5A65">
      <w:pPr>
        <w:pStyle w:val="Heading2"/>
      </w:pPr>
      <w:r w:rsidRPr="000665B0">
        <w:t xml:space="preserve">Delete – Deletes the selected Quick Strike(s) (see </w:t>
      </w:r>
      <w:hyperlink w:anchor="_Delete" w:history="1">
        <w:r w:rsidRPr="000665B0">
          <w:rPr>
            <w:rStyle w:val="Hyperlink"/>
            <w:szCs w:val="24"/>
          </w:rPr>
          <w:t xml:space="preserve">Section </w:t>
        </w:r>
        <w:r w:rsidR="004231CC">
          <w:rPr>
            <w:rStyle w:val="Hyperlink"/>
            <w:szCs w:val="24"/>
          </w:rPr>
          <w:t>5.36</w:t>
        </w:r>
        <w:r w:rsidRPr="000665B0">
          <w:rPr>
            <w:rStyle w:val="Hyperlink"/>
            <w:szCs w:val="24"/>
          </w:rPr>
          <w:t>.3</w:t>
        </w:r>
      </w:hyperlink>
      <w:r w:rsidRPr="000665B0">
        <w:t>).</w:t>
      </w:r>
    </w:p>
    <w:p w14:paraId="5A82EF58" w14:textId="77777777" w:rsidR="004A30DE" w:rsidRPr="000665B0" w:rsidRDefault="004A30DE" w:rsidP="004A30DE">
      <w:pPr>
        <w:pStyle w:val="Heading3"/>
        <w:rPr>
          <w:szCs w:val="24"/>
        </w:rPr>
      </w:pPr>
      <w:bookmarkStart w:id="6879" w:name="_Toc214283593"/>
      <w:r w:rsidRPr="000665B0">
        <w:t>Install</w:t>
      </w:r>
      <w:r w:rsidRPr="000665B0">
        <w:rPr>
          <w:szCs w:val="24"/>
        </w:rPr>
        <w:t xml:space="preserve"> the Quick Strike Tool</w:t>
      </w:r>
      <w:bookmarkEnd w:id="6879"/>
    </w:p>
    <w:p w14:paraId="6C24F4EF" w14:textId="29319332" w:rsidR="004A30DE" w:rsidRPr="000665B0" w:rsidRDefault="004A30DE" w:rsidP="004A30DE">
      <w:r w:rsidRPr="000665B0">
        <w:t xml:space="preserve">The Quick Strike Tool is an optional tool that is installed as a Dynamic-Link Library (DLL) application file using the Plugin Tool (see </w:t>
      </w:r>
      <w:hyperlink w:anchor="_Plugin__Tool" w:history="1">
        <w:r w:rsidRPr="000665B0">
          <w:rPr>
            <w:rStyle w:val="Hyperlink"/>
          </w:rPr>
          <w:t>Section 5.2.5.2</w:t>
        </w:r>
      </w:hyperlink>
      <w:r w:rsidRPr="000665B0">
        <w:t xml:space="preserve">) on permissible FRUs only. </w:t>
      </w:r>
    </w:p>
    <w:p w14:paraId="4606879E" w14:textId="77777777" w:rsidR="00F515CB" w:rsidRPr="000665B0" w:rsidRDefault="00F515CB" w:rsidP="004A30DE">
      <w:pPr>
        <w:pStyle w:val="Heading3"/>
      </w:pPr>
      <w:bookmarkStart w:id="6880" w:name="_Toc214283594"/>
      <w:r w:rsidRPr="000665B0">
        <w:t>Create New Quick Strike</w:t>
      </w:r>
      <w:bookmarkEnd w:id="6880"/>
      <w:r w:rsidRPr="000665B0">
        <w:t xml:space="preserve"> </w:t>
      </w:r>
    </w:p>
    <w:p w14:paraId="038D9ADC" w14:textId="6B22889C" w:rsidR="00F515CB" w:rsidRPr="000665B0" w:rsidRDefault="00F515CB">
      <w:r w:rsidRPr="000665B0">
        <w:t>The Quick Strike Tool is used to quickly create an executable strike package. When the Quick Strike Tool is launched, it automatically creates a Strike Folder and associated Strike Option</w:t>
      </w:r>
      <w:r w:rsidR="000E0CB3" w:rsidRPr="000665B0">
        <w:t xml:space="preserve">. The </w:t>
      </w:r>
      <w:r w:rsidR="000E0CB3" w:rsidRPr="000665B0">
        <w:rPr>
          <w:b/>
        </w:rPr>
        <w:t>Build</w:t>
      </w:r>
      <w:r w:rsidR="000E0CB3" w:rsidRPr="000665B0">
        <w:t xml:space="preserve"> function (see </w:t>
      </w:r>
      <w:hyperlink w:anchor="_Build" w:history="1">
        <w:r w:rsidR="000E0CB3" w:rsidRPr="000665B0">
          <w:rPr>
            <w:rStyle w:val="Hyperlink"/>
          </w:rPr>
          <w:t xml:space="preserve">Section </w:t>
        </w:r>
        <w:r w:rsidR="004231CC">
          <w:rPr>
            <w:rStyle w:val="Hyperlink"/>
          </w:rPr>
          <w:t>5.36</w:t>
        </w:r>
        <w:r w:rsidR="000E0CB3" w:rsidRPr="000665B0">
          <w:rPr>
            <w:rStyle w:val="Hyperlink"/>
          </w:rPr>
          <w:t>.2.1</w:t>
        </w:r>
      </w:hyperlink>
      <w:r w:rsidR="000E0CB3" w:rsidRPr="000665B0">
        <w:t>) initiates an</w:t>
      </w:r>
      <w:r w:rsidRPr="000665B0">
        <w:t xml:space="preserve"> Attack Plan TMPR</w:t>
      </w:r>
      <w:r w:rsidR="000E0CB3" w:rsidRPr="000665B0">
        <w:t xml:space="preserve">. The Attack Plan TMPR serves as the mission planning request to create the mission(s) for the Attack Plan, by tasking TPS to auto-generate this group of missions (see </w:t>
      </w:r>
      <w:hyperlink w:anchor="_Attack_Plan_TMPR" w:history="1">
        <w:r w:rsidR="000E0CB3" w:rsidRPr="000665B0">
          <w:rPr>
            <w:rStyle w:val="Hyperlink"/>
          </w:rPr>
          <w:t xml:space="preserve">Section </w:t>
        </w:r>
        <w:r w:rsidR="004231CC">
          <w:rPr>
            <w:rStyle w:val="Hyperlink"/>
          </w:rPr>
          <w:t>5.31</w:t>
        </w:r>
        <w:r w:rsidR="000E0CB3" w:rsidRPr="000665B0">
          <w:rPr>
            <w:rStyle w:val="Hyperlink"/>
          </w:rPr>
          <w:t>.3</w:t>
        </w:r>
      </w:hyperlink>
      <w:r w:rsidR="000E0CB3" w:rsidRPr="000665B0">
        <w:t>).</w:t>
      </w:r>
      <w:r w:rsidRPr="000665B0">
        <w:t xml:space="preserve"> </w:t>
      </w:r>
    </w:p>
    <w:p w14:paraId="6A7A90F5" w14:textId="450C9DDC" w:rsidR="00F515CB" w:rsidRPr="000665B0" w:rsidRDefault="00F515CB" w:rsidP="00F515CB">
      <w:r w:rsidRPr="000665B0">
        <w:t xml:space="preserve">As data is entered into the </w:t>
      </w:r>
      <w:r w:rsidR="00B57878" w:rsidRPr="000665B0">
        <w:rPr>
          <w:i/>
        </w:rPr>
        <w:t>Quick Strike</w:t>
      </w:r>
      <w:r w:rsidR="00B57878" w:rsidRPr="000665B0">
        <w:t xml:space="preserve"> </w:t>
      </w:r>
      <w:r w:rsidRPr="000665B0">
        <w:t xml:space="preserve">window, the QS is automatically </w:t>
      </w:r>
      <w:r w:rsidR="00704164" w:rsidRPr="000665B0">
        <w:t>saved,</w:t>
      </w:r>
      <w:r w:rsidRPr="000665B0">
        <w:t xml:space="preserve"> and every selection/entry is recorded in the </w:t>
      </w:r>
      <w:r w:rsidRPr="000665B0">
        <w:rPr>
          <w:b/>
        </w:rPr>
        <w:t>Status</w:t>
      </w:r>
      <w:r w:rsidRPr="000665B0">
        <w:t xml:space="preserve"> pane of the </w:t>
      </w:r>
      <w:r w:rsidRPr="000665B0">
        <w:rPr>
          <w:i/>
        </w:rPr>
        <w:t>Quick Strike</w:t>
      </w:r>
      <w:r w:rsidRPr="000665B0">
        <w:t xml:space="preserve"> window. The QS data is also automatically saved if the </w:t>
      </w:r>
      <w:r w:rsidRPr="000665B0">
        <w:rPr>
          <w:i/>
        </w:rPr>
        <w:t>Quick Strike</w:t>
      </w:r>
      <w:r w:rsidRPr="000665B0">
        <w:t xml:space="preserve"> window is closed before initiating the </w:t>
      </w:r>
      <w:r w:rsidRPr="000665B0">
        <w:rPr>
          <w:b/>
        </w:rPr>
        <w:t>Build</w:t>
      </w:r>
      <w:r w:rsidRPr="000665B0">
        <w:t xml:space="preserve"> function.</w:t>
      </w:r>
      <w:r w:rsidR="00203D20" w:rsidRPr="000665B0">
        <w:t xml:space="preserve"> Additionally, the </w:t>
      </w:r>
      <w:r w:rsidR="00203D20" w:rsidRPr="000665B0">
        <w:rPr>
          <w:b/>
        </w:rPr>
        <w:t>Build State</w:t>
      </w:r>
      <w:r w:rsidR="00203D20" w:rsidRPr="000665B0">
        <w:t xml:space="preserve"> of the QS is automatically updated in the </w:t>
      </w:r>
      <w:r w:rsidR="00203D20" w:rsidRPr="000665B0">
        <w:rPr>
          <w:b/>
        </w:rPr>
        <w:t>Title</w:t>
      </w:r>
      <w:r w:rsidR="00203D20" w:rsidRPr="000665B0">
        <w:t xml:space="preserve"> pane of the </w:t>
      </w:r>
      <w:r w:rsidR="00203D20" w:rsidRPr="000665B0">
        <w:rPr>
          <w:i/>
        </w:rPr>
        <w:t>Quick Strike</w:t>
      </w:r>
      <w:r w:rsidR="00203D20" w:rsidRPr="000665B0">
        <w:t xml:space="preserve"> window.</w:t>
      </w:r>
    </w:p>
    <w:p w14:paraId="7B17F931" w14:textId="6D7E40EB" w:rsidR="00F515CB" w:rsidRPr="000665B0" w:rsidRDefault="00F515CB" w:rsidP="00F515CB">
      <w:r w:rsidRPr="000665B0">
        <w:t xml:space="preserve">Once data entry is complete, the </w:t>
      </w:r>
      <w:r w:rsidRPr="000665B0">
        <w:rPr>
          <w:b/>
        </w:rPr>
        <w:t>Build</w:t>
      </w:r>
      <w:r w:rsidRPr="000665B0">
        <w:t xml:space="preserve"> function initiates the automated processes of building an executable Strike Package (see </w:t>
      </w:r>
      <w:hyperlink w:anchor="_Build" w:history="1">
        <w:r w:rsidRPr="000665B0">
          <w:rPr>
            <w:rStyle w:val="Hyperlink"/>
          </w:rPr>
          <w:t xml:space="preserve">Section </w:t>
        </w:r>
        <w:r w:rsidR="004231CC">
          <w:rPr>
            <w:rStyle w:val="Hyperlink"/>
          </w:rPr>
          <w:t>5.36</w:t>
        </w:r>
        <w:r w:rsidRPr="000665B0">
          <w:rPr>
            <w:rStyle w:val="Hyperlink"/>
          </w:rPr>
          <w:t>.2.1</w:t>
        </w:r>
      </w:hyperlink>
      <w:r w:rsidRPr="000665B0">
        <w:t xml:space="preserve">). </w:t>
      </w:r>
    </w:p>
    <w:p w14:paraId="61BFC61C" w14:textId="77777777" w:rsidR="00F515CB" w:rsidRPr="000665B0" w:rsidRDefault="00F515CB" w:rsidP="00F515CB">
      <w:pPr>
        <w:tabs>
          <w:tab w:val="left" w:pos="720"/>
        </w:tabs>
      </w:pPr>
      <w:r w:rsidRPr="000665B0">
        <w:t>To create a new Quick Strike:</w:t>
      </w:r>
    </w:p>
    <w:p w14:paraId="151FFD03" w14:textId="77777777" w:rsidR="00F515CB" w:rsidRPr="000665B0" w:rsidRDefault="00F515CB" w:rsidP="006D5A65">
      <w:pPr>
        <w:pStyle w:val="Heading1"/>
      </w:pPr>
      <w:r w:rsidRPr="000665B0">
        <w:t>Navigate to the Quick Strike Tool.</w:t>
      </w:r>
    </w:p>
    <w:p w14:paraId="073A1198" w14:textId="22CC4CFF" w:rsidR="00F515CB" w:rsidRPr="000665B0" w:rsidRDefault="00F515CB" w:rsidP="006D5A65">
      <w:pPr>
        <w:pStyle w:val="Heading1"/>
      </w:pPr>
      <w:r w:rsidRPr="000665B0">
        <w:t xml:space="preserve">From the File menu select </w:t>
      </w:r>
      <w:r w:rsidRPr="000665B0">
        <w:rPr>
          <w:bCs/>
        </w:rPr>
        <w:t xml:space="preserve">New </w:t>
      </w:r>
      <w:r w:rsidRPr="000665B0">
        <w:sym w:font="Wingdings 3" w:char="F07D"/>
      </w:r>
      <w:r w:rsidR="00B55EE2" w:rsidRPr="000665B0">
        <w:t>,</w:t>
      </w:r>
      <w:r w:rsidRPr="000665B0">
        <w:rPr>
          <w:bCs/>
        </w:rPr>
        <w:t xml:space="preserve"> </w:t>
      </w:r>
      <w:r w:rsidR="00B55EE2" w:rsidRPr="000665B0">
        <w:t xml:space="preserve">click the </w:t>
      </w:r>
      <w:r w:rsidR="00B55EE2" w:rsidRPr="000665B0">
        <w:sym w:font="Wingdings 3" w:char="F080"/>
      </w:r>
      <w:r w:rsidR="00B55EE2" w:rsidRPr="000665B0">
        <w:t xml:space="preserve"> button to the right of the </w:t>
      </w:r>
      <w:r w:rsidR="00B55EE2" w:rsidRPr="000665B0">
        <w:rPr>
          <w:bCs/>
        </w:rPr>
        <w:t>New</w:t>
      </w:r>
      <w:r w:rsidR="00B55EE2" w:rsidRPr="000665B0">
        <w:t xml:space="preserve"> icon on the </w:t>
      </w:r>
      <w:r w:rsidR="00B55EE2" w:rsidRPr="000665B0">
        <w:rPr>
          <w:bCs/>
        </w:rPr>
        <w:t>Tool Bar</w:t>
      </w:r>
      <w:r w:rsidR="00B55EE2" w:rsidRPr="000665B0">
        <w:rPr>
          <w:szCs w:val="24"/>
        </w:rPr>
        <w:t xml:space="preserve">, or </w:t>
      </w:r>
      <w:r w:rsidR="00B55EE2" w:rsidRPr="000665B0">
        <w:rPr>
          <w:noProof/>
          <w:szCs w:val="24"/>
        </w:rPr>
        <w:t>invoke the context menu (right-click the mouse) and select New…</w:t>
      </w:r>
      <w:r w:rsidR="00B55EE2" w:rsidRPr="000665B0">
        <w:rPr>
          <w:noProof/>
        </w:rPr>
        <w:t xml:space="preserve">, and </w:t>
      </w:r>
      <w:r w:rsidR="00B55EE2" w:rsidRPr="000665B0">
        <w:t xml:space="preserve">select </w:t>
      </w:r>
      <w:r w:rsidRPr="000665B0">
        <w:t xml:space="preserve">Tactical or Training. A new </w:t>
      </w:r>
      <w:r w:rsidRPr="000665B0">
        <w:rPr>
          <w:i/>
        </w:rPr>
        <w:t>Tactical/Training Quick</w:t>
      </w:r>
      <w:r w:rsidRPr="000665B0">
        <w:t xml:space="preserve"> </w:t>
      </w:r>
      <w:r w:rsidRPr="000665B0">
        <w:rPr>
          <w:i/>
        </w:rPr>
        <w:t xml:space="preserve">Strike </w:t>
      </w:r>
      <w:r w:rsidRPr="000665B0">
        <w:rPr>
          <w:i/>
        </w:rPr>
        <w:lastRenderedPageBreak/>
        <w:t xml:space="preserve">xxxxx-xxxxx-xxxxx </w:t>
      </w:r>
      <w:r w:rsidRPr="000665B0">
        <w:t>window is displayed. The Quick Strike is displayed in the Quick Strike Tool list view as well as in the Strike Folders Tool list view.</w:t>
      </w:r>
    </w:p>
    <w:p w14:paraId="59C19BDB" w14:textId="53CF2B6E" w:rsidR="00F515CB" w:rsidRPr="000665B0" w:rsidRDefault="00870270" w:rsidP="00F515CB">
      <w:pPr>
        <w:tabs>
          <w:tab w:val="left" w:pos="720"/>
        </w:tabs>
        <w:jc w:val="center"/>
      </w:pPr>
      <w:r w:rsidRPr="000665B0">
        <w:rPr>
          <w:noProof/>
        </w:rPr>
        <w:drawing>
          <wp:inline distT="0" distB="0" distL="0" distR="0" wp14:anchorId="6961F2C6" wp14:editId="7566C0D4">
            <wp:extent cx="4114800" cy="3008376"/>
            <wp:effectExtent l="0" t="0" r="0" b="0"/>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114800" cy="3008376"/>
                    </a:xfrm>
                    <a:prstGeom prst="rect">
                      <a:avLst/>
                    </a:prstGeom>
                    <a:noFill/>
                  </pic:spPr>
                </pic:pic>
              </a:graphicData>
            </a:graphic>
          </wp:inline>
        </w:drawing>
      </w:r>
    </w:p>
    <w:p w14:paraId="7384FDC4" w14:textId="105F3DAB" w:rsidR="00F515CB" w:rsidRPr="000665B0" w:rsidRDefault="00F515CB" w:rsidP="00AC2F7D">
      <w:pPr>
        <w:pStyle w:val="Number0205"/>
        <w:tabs>
          <w:tab w:val="left" w:pos="720"/>
        </w:tabs>
        <w:ind w:left="720" w:firstLine="0"/>
      </w:pPr>
      <w:r w:rsidRPr="000665B0">
        <w:t xml:space="preserve">The </w:t>
      </w:r>
      <w:r w:rsidRPr="000665B0">
        <w:rPr>
          <w:i/>
        </w:rPr>
        <w:t>Quick Strike</w:t>
      </w:r>
      <w:r w:rsidRPr="000665B0">
        <w:t xml:space="preserve"> window </w:t>
      </w:r>
      <w:r w:rsidRPr="000665B0">
        <w:rPr>
          <w:noProof/>
        </w:rPr>
        <w:t xml:space="preserve">is comprised of several sections – </w:t>
      </w:r>
      <w:r w:rsidR="00203D20" w:rsidRPr="000665B0">
        <w:rPr>
          <w:noProof/>
        </w:rPr>
        <w:t xml:space="preserve">Title and Build State, </w:t>
      </w:r>
      <w:r w:rsidRPr="000665B0">
        <w:rPr>
          <w:noProof/>
        </w:rPr>
        <w:t xml:space="preserve">Target Info, Target Attack Requirements, Strike Information, Quick Strike Status, Build Completion Time, Quick Strike Control buttons, Geo Object Manager (GOM), and the </w:t>
      </w:r>
      <w:r w:rsidRPr="000665B0">
        <w:rPr>
          <w:b/>
          <w:noProof/>
        </w:rPr>
        <w:t>Geo</w:t>
      </w:r>
      <w:r w:rsidRPr="000665B0">
        <w:rPr>
          <w:noProof/>
        </w:rPr>
        <w:t xml:space="preserve"> pane. </w:t>
      </w:r>
      <w:r w:rsidRPr="000665B0">
        <w:t xml:space="preserve">The </w:t>
      </w:r>
      <w:r w:rsidRPr="000665B0">
        <w:rPr>
          <w:b/>
        </w:rPr>
        <w:t>Geo</w:t>
      </w:r>
      <w:r w:rsidRPr="000665B0">
        <w:t xml:space="preserve"> pane displays strike items geographically on the far right side and behaves in the same manner as the Geo Display tool (see </w:t>
      </w:r>
      <w:hyperlink w:anchor="_5.30__GEO" w:history="1">
        <w:r w:rsidR="004B5B37" w:rsidRPr="000665B0">
          <w:rPr>
            <w:rStyle w:val="Hyperlink"/>
          </w:rPr>
          <w:t xml:space="preserve">Section </w:t>
        </w:r>
        <w:r w:rsidR="004231CC">
          <w:rPr>
            <w:rStyle w:val="Hyperlink"/>
          </w:rPr>
          <w:t>5.26</w:t>
        </w:r>
      </w:hyperlink>
      <w:r w:rsidRPr="000665B0">
        <w:t xml:space="preserve">). The strike items displayed in the Geo display are also displayed hierarchically in a tree list view to the left of the Geo display, in the </w:t>
      </w:r>
      <w:r w:rsidRPr="000665B0">
        <w:rPr>
          <w:b/>
        </w:rPr>
        <w:t>Geo Object Manager</w:t>
      </w:r>
      <w:r w:rsidRPr="000665B0">
        <w:t xml:space="preserve"> (GOM) pane. To show the Geo Object Manager, select </w:t>
      </w:r>
      <w:r w:rsidRPr="000665B0">
        <w:rPr>
          <w:b/>
        </w:rPr>
        <w:t>Display Geo Object Manager</w:t>
      </w:r>
      <w:r w:rsidRPr="000665B0">
        <w:t xml:space="preserve"> from the </w:t>
      </w:r>
      <w:r w:rsidR="000E46CF" w:rsidRPr="000665B0">
        <w:rPr>
          <w:b/>
        </w:rPr>
        <w:t>Geo</w:t>
      </w:r>
      <w:r w:rsidRPr="000665B0">
        <w:t xml:space="preserve"> menu or click the </w:t>
      </w:r>
      <w:r w:rsidRPr="000665B0">
        <w:rPr>
          <w:b/>
        </w:rPr>
        <w:t>Display</w:t>
      </w:r>
      <w:r w:rsidRPr="000665B0">
        <w:t xml:space="preserve"> </w:t>
      </w:r>
      <w:r w:rsidRPr="000665B0">
        <w:rPr>
          <w:b/>
        </w:rPr>
        <w:t>Geo Object Manager</w:t>
      </w:r>
      <w:r w:rsidRPr="000665B0">
        <w:t xml:space="preserve"> button </w:t>
      </w:r>
      <w:r w:rsidRPr="000665B0">
        <w:rPr>
          <w:noProof/>
          <w:position w:val="-2"/>
        </w:rPr>
        <w:drawing>
          <wp:inline distT="0" distB="0" distL="0" distR="0" wp14:anchorId="7E53F659" wp14:editId="761EA219">
            <wp:extent cx="158750" cy="158750"/>
            <wp:effectExtent l="0" t="0" r="0" b="0"/>
            <wp:docPr id="1643" name="Picture 1643" descr="Object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Object Manager Ico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on the toolbar</w:t>
      </w:r>
      <w:r w:rsidRPr="000665B0">
        <w:rPr>
          <w:noProof/>
        </w:rPr>
        <w:t xml:space="preserve">. </w:t>
      </w:r>
      <w:r w:rsidRPr="000665B0">
        <w:t xml:space="preserve">To show the Toolbar, select </w:t>
      </w:r>
      <w:r w:rsidRPr="000665B0">
        <w:rPr>
          <w:b/>
        </w:rPr>
        <w:t>Geo Toolbar</w:t>
      </w:r>
      <w:r w:rsidRPr="000665B0">
        <w:t xml:space="preserve"> from the </w:t>
      </w:r>
      <w:r w:rsidRPr="000665B0">
        <w:rPr>
          <w:b/>
        </w:rPr>
        <w:t>Geo</w:t>
      </w:r>
      <w:r w:rsidRPr="000665B0">
        <w:t xml:space="preserve"> menu.</w:t>
      </w:r>
    </w:p>
    <w:p w14:paraId="500846E8" w14:textId="77777777" w:rsidR="00F515CB" w:rsidRPr="000665B0" w:rsidRDefault="00F515CB" w:rsidP="006D5A65">
      <w:pPr>
        <w:pStyle w:val="Heading1"/>
      </w:pPr>
      <w:r w:rsidRPr="000665B0">
        <w:t>Quick Strikes are defaulted to System High classification values. If classification caveats or markings are required for QS entries that are not covered by System High classification, QS should not be utilized as QS Classification parameters cannot be edited.</w:t>
      </w:r>
    </w:p>
    <w:p w14:paraId="6895121D" w14:textId="77777777" w:rsidR="00F515CB" w:rsidRPr="000665B0" w:rsidRDefault="00F515CB" w:rsidP="006D5A65">
      <w:pPr>
        <w:pStyle w:val="Heading1"/>
      </w:pPr>
      <w:r w:rsidRPr="000665B0">
        <w:t>Shareability markings, if enabled at the time the QS is created, populates the resultant Strike products with the default Shareability values as defined for the current user. However, the QS window does not display these markings.</w:t>
      </w:r>
    </w:p>
    <w:p w14:paraId="39E4C897" w14:textId="574E5E73" w:rsidR="00F515CB" w:rsidRPr="000665B0" w:rsidRDefault="00F515CB" w:rsidP="006D5A65">
      <w:pPr>
        <w:pStyle w:val="Heading1"/>
      </w:pPr>
      <w:r w:rsidRPr="000665B0">
        <w:t xml:space="preserve">Required fields are denoted by the * and/or yellow background and the user is unable to proceed without </w:t>
      </w:r>
      <w:r w:rsidRPr="000665B0">
        <w:lastRenderedPageBreak/>
        <w:t xml:space="preserve">updating these fields. For further information on mandatory fields see </w:t>
      </w:r>
      <w:hyperlink w:anchor="_5.2.7__Editing" w:history="1">
        <w:r w:rsidRPr="000665B0">
          <w:rPr>
            <w:rStyle w:val="Hyperlink"/>
          </w:rPr>
          <w:t>Section 5.2.8</w:t>
        </w:r>
      </w:hyperlink>
      <w:r w:rsidRPr="000665B0">
        <w:t>.</w:t>
      </w:r>
    </w:p>
    <w:p w14:paraId="18F00B78" w14:textId="02429CD3" w:rsidR="00F515CB" w:rsidRPr="000665B0" w:rsidRDefault="00F515CB" w:rsidP="006D5A65">
      <w:pPr>
        <w:pStyle w:val="Heading1"/>
      </w:pPr>
      <w:r w:rsidRPr="000665B0">
        <w:t xml:space="preserve">If desired, enter a new Quick Strike Title (up to 40 alphanumeric and special or space characters). Default value is Quick Strike #n where </w:t>
      </w:r>
      <w:r w:rsidRPr="000665B0">
        <w:rPr>
          <w:i/>
        </w:rPr>
        <w:t>n</w:t>
      </w:r>
      <w:r w:rsidRPr="000665B0">
        <w:t xml:space="preserve"> starts at 1 and </w:t>
      </w:r>
      <w:r w:rsidR="00203D20" w:rsidRPr="000665B0">
        <w:t>additional titles are assigned a one-up counter.</w:t>
      </w:r>
    </w:p>
    <w:p w14:paraId="4BF4C06D" w14:textId="77777777" w:rsidR="00F515CB" w:rsidRPr="000665B0" w:rsidRDefault="00F515CB" w:rsidP="006D5A65">
      <w:pPr>
        <w:pStyle w:val="Heading1"/>
      </w:pPr>
      <w:r w:rsidRPr="000665B0">
        <w:t>In the Target Info pane,</w:t>
      </w:r>
      <w:r w:rsidRPr="000665B0">
        <w:rPr>
          <w:bCs/>
        </w:rPr>
        <w:t xml:space="preserve"> enter/select target information </w:t>
      </w:r>
      <w:r w:rsidRPr="000665B0">
        <w:t>using one of two methods:</w:t>
      </w:r>
    </w:p>
    <w:p w14:paraId="0786FA88" w14:textId="77777777" w:rsidR="00F515CB" w:rsidRPr="000665B0" w:rsidRDefault="00F515CB" w:rsidP="006D5A65">
      <w:pPr>
        <w:pStyle w:val="Heading2"/>
      </w:pPr>
      <w:r w:rsidRPr="000665B0">
        <w:t xml:space="preserve">Click the Target </w:t>
      </w:r>
      <w:r w:rsidRPr="000665B0">
        <w:rPr>
          <w:noProof/>
          <w:position w:val="-4"/>
        </w:rPr>
        <w:drawing>
          <wp:inline distT="0" distB="0" distL="0" distR="0" wp14:anchorId="103D9D55" wp14:editId="26C99049">
            <wp:extent cx="161925" cy="161925"/>
            <wp:effectExtent l="19050" t="0" r="9525" b="0"/>
            <wp:docPr id="1646" name="Picture 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cstate="print"/>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0665B0">
        <w:t xml:space="preserve"> icon to select an existing target.</w:t>
      </w:r>
    </w:p>
    <w:p w14:paraId="6045DA38" w14:textId="77777777" w:rsidR="00F515CB" w:rsidRPr="000665B0" w:rsidRDefault="00F515CB" w:rsidP="006D5A65">
      <w:pPr>
        <w:pStyle w:val="Heading2"/>
      </w:pPr>
      <w:r w:rsidRPr="000665B0">
        <w:t xml:space="preserve">The </w:t>
      </w:r>
      <w:r w:rsidRPr="000665B0">
        <w:rPr>
          <w:i/>
        </w:rPr>
        <w:t>Targets</w:t>
      </w:r>
      <w:r w:rsidRPr="000665B0">
        <w:t xml:space="preserve"> window is displayed. Select an existing target and click OK.</w:t>
      </w:r>
    </w:p>
    <w:p w14:paraId="72D173A0" w14:textId="77777777" w:rsidR="00F515CB" w:rsidRPr="000665B0" w:rsidRDefault="00F515CB" w:rsidP="00AC2F7D">
      <w:pPr>
        <w:pStyle w:val="Number0205"/>
        <w:tabs>
          <w:tab w:val="left" w:pos="720"/>
        </w:tabs>
        <w:ind w:firstLine="0"/>
      </w:pPr>
      <w:r w:rsidRPr="000665B0">
        <w:t>or</w:t>
      </w:r>
    </w:p>
    <w:p w14:paraId="684DC6CC" w14:textId="77777777" w:rsidR="00F515CB" w:rsidRPr="000665B0" w:rsidRDefault="00F515CB" w:rsidP="006D5A65">
      <w:pPr>
        <w:pStyle w:val="Heading2"/>
      </w:pPr>
      <w:r w:rsidRPr="000665B0">
        <w:t>Enter the following target data:</w:t>
      </w:r>
    </w:p>
    <w:p w14:paraId="0AD05BC0" w14:textId="77777777" w:rsidR="00F515CB" w:rsidRPr="000665B0" w:rsidRDefault="00F515CB" w:rsidP="006D5A65">
      <w:pPr>
        <w:pStyle w:val="Heading3"/>
      </w:pPr>
      <w:r w:rsidRPr="000665B0">
        <w:t>Latitude – The target latitude.</w:t>
      </w:r>
    </w:p>
    <w:p w14:paraId="765C8DD8" w14:textId="77777777" w:rsidR="00F515CB" w:rsidRPr="000665B0" w:rsidRDefault="00F515CB" w:rsidP="006D5A65">
      <w:pPr>
        <w:pStyle w:val="Heading3"/>
      </w:pPr>
      <w:r w:rsidRPr="000665B0">
        <w:t>Longitude – The target longitude.</w:t>
      </w:r>
    </w:p>
    <w:p w14:paraId="57BA810B" w14:textId="77777777" w:rsidR="00F515CB" w:rsidRPr="000665B0" w:rsidRDefault="00F515CB" w:rsidP="006D5A65">
      <w:pPr>
        <w:pStyle w:val="Heading3"/>
      </w:pPr>
      <w:r w:rsidRPr="000665B0">
        <w:t>Elevation – The target elevation.</w:t>
      </w:r>
    </w:p>
    <w:p w14:paraId="28F55A4A" w14:textId="698E2C3B" w:rsidR="00F515CB" w:rsidRPr="000665B0" w:rsidRDefault="00F515CB" w:rsidP="006D5A65">
      <w:pPr>
        <w:pStyle w:val="Heading3"/>
      </w:pPr>
      <w:r w:rsidRPr="000665B0">
        <w:t>Elevation Datum – The target elevation datum (default is Feet</w:t>
      </w:r>
      <w:r w:rsidR="002913C3" w:rsidRPr="000665B0">
        <w:t xml:space="preserve"> </w:t>
      </w:r>
      <w:r w:rsidRPr="000665B0">
        <w:t>in MSL).</w:t>
      </w:r>
    </w:p>
    <w:p w14:paraId="679593CF" w14:textId="77777777" w:rsidR="00F515CB" w:rsidRPr="000665B0" w:rsidRDefault="00F515CB" w:rsidP="006D5A65">
      <w:pPr>
        <w:pStyle w:val="Heading2"/>
      </w:pPr>
      <w:r w:rsidRPr="000665B0">
        <w:t>When the target information has been entered, a target icon is displayed on the Geo Display. If the target data was manually entered, the target is saved into the MDS Target database.</w:t>
      </w:r>
    </w:p>
    <w:p w14:paraId="70545E9D" w14:textId="7DB7E1D5" w:rsidR="00F515CB" w:rsidRPr="000665B0" w:rsidRDefault="00F515CB" w:rsidP="006D5A65">
      <w:pPr>
        <w:pStyle w:val="Heading1"/>
      </w:pPr>
      <w:r w:rsidRPr="000665B0">
        <w:t>In the Target Info pane,</w:t>
      </w:r>
      <w:r w:rsidRPr="000665B0">
        <w:rPr>
          <w:bCs/>
        </w:rPr>
        <w:t xml:space="preserve"> s</w:t>
      </w:r>
      <w:r w:rsidRPr="000665B0">
        <w:t>elect the Analysis Day Type (default is Hot</w:t>
      </w:r>
      <w:r w:rsidR="001772B0" w:rsidRPr="000665B0">
        <w:t xml:space="preserve"> +15</w:t>
      </w:r>
      <w:r w:rsidRPr="000665B0">
        <w:t>).</w:t>
      </w:r>
    </w:p>
    <w:p w14:paraId="6FBE94E2" w14:textId="77777777" w:rsidR="00F515CB" w:rsidRPr="000665B0" w:rsidRDefault="00F515CB" w:rsidP="006D5A65">
      <w:pPr>
        <w:pStyle w:val="Heading1"/>
      </w:pPr>
      <w:r w:rsidRPr="000665B0">
        <w:t>Select a TAR Type from the pulldown menu (default is blank). The pulldown menu is populated with the TAR Type descriptions that are present in the system at the time of the QS creation.</w:t>
      </w:r>
    </w:p>
    <w:p w14:paraId="7D629902" w14:textId="1010DF43" w:rsidR="00F515CB" w:rsidRPr="000665B0" w:rsidRDefault="00F515CB" w:rsidP="00AC2F7D">
      <w:pPr>
        <w:pStyle w:val="Number0205"/>
        <w:tabs>
          <w:tab w:val="left" w:pos="720"/>
        </w:tabs>
        <w:ind w:left="720" w:firstLine="0"/>
      </w:pPr>
      <w:r w:rsidRPr="000665B0">
        <w:t xml:space="preserve">If an existing target with a defined TAR Type was previously selected, the </w:t>
      </w:r>
      <w:r w:rsidRPr="000665B0">
        <w:rPr>
          <w:b/>
        </w:rPr>
        <w:t>TAR Type</w:t>
      </w:r>
      <w:r w:rsidRPr="000665B0">
        <w:t xml:space="preserve"> field populates with that data, provided that the TAR Type is present in the current TAR file. If the TAR Type for the </w:t>
      </w:r>
      <w:r w:rsidR="00704164" w:rsidRPr="000665B0">
        <w:t>previously selected</w:t>
      </w:r>
      <w:r w:rsidRPr="000665B0">
        <w:t xml:space="preserve"> target is not present in the current TAR file, the TAR Type must be selected from the pulldown menu.</w:t>
      </w:r>
    </w:p>
    <w:p w14:paraId="4A94EC1E" w14:textId="7251B4C0" w:rsidR="00F515CB" w:rsidRPr="000665B0" w:rsidRDefault="00F515CB" w:rsidP="00AC2F7D">
      <w:pPr>
        <w:pStyle w:val="Number0205"/>
        <w:tabs>
          <w:tab w:val="left" w:pos="720"/>
        </w:tabs>
        <w:ind w:left="720" w:firstLine="0"/>
      </w:pPr>
      <w:r w:rsidRPr="000665B0">
        <w:t xml:space="preserve">Review the </w:t>
      </w:r>
      <w:r w:rsidRPr="000665B0">
        <w:rPr>
          <w:b/>
        </w:rPr>
        <w:t xml:space="preserve">TOT </w:t>
      </w:r>
      <w:r w:rsidRPr="000665B0">
        <w:t xml:space="preserve">(default is current time plus three hours). To modify the </w:t>
      </w:r>
      <w:r w:rsidR="00704164" w:rsidRPr="000665B0">
        <w:rPr>
          <w:b/>
        </w:rPr>
        <w:t>TOT,</w:t>
      </w:r>
      <w:r w:rsidRPr="000665B0">
        <w:t xml:space="preserve"> click the calendar icon </w:t>
      </w:r>
      <w:r w:rsidRPr="000665B0">
        <w:rPr>
          <w:noProof/>
        </w:rPr>
        <w:drawing>
          <wp:inline distT="0" distB="0" distL="0" distR="0" wp14:anchorId="1DB10229" wp14:editId="2AAC96DE">
            <wp:extent cx="224790" cy="140970"/>
            <wp:effectExtent l="0" t="0" r="3810" b="0"/>
            <wp:docPr id="1659" name="Picture 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24790" cy="140970"/>
                    </a:xfrm>
                    <a:prstGeom prst="rect">
                      <a:avLst/>
                    </a:prstGeom>
                    <a:noFill/>
                    <a:ln>
                      <a:noFill/>
                    </a:ln>
                  </pic:spPr>
                </pic:pic>
              </a:graphicData>
            </a:graphic>
          </wp:inline>
        </w:drawing>
      </w:r>
      <w:r w:rsidRPr="000665B0">
        <w:t xml:space="preserve"> and select desired date.</w:t>
      </w:r>
    </w:p>
    <w:p w14:paraId="4E33279E" w14:textId="782636A9" w:rsidR="00F515CB" w:rsidRPr="000665B0" w:rsidRDefault="00F515CB" w:rsidP="00AC2F7D">
      <w:pPr>
        <w:pStyle w:val="Number0205"/>
        <w:tabs>
          <w:tab w:val="left" w:pos="720"/>
        </w:tabs>
        <w:ind w:left="720" w:firstLine="0"/>
      </w:pPr>
      <w:r w:rsidRPr="000665B0">
        <w:t xml:space="preserve">Selecting the TAR Type populates the </w:t>
      </w:r>
      <w:r w:rsidRPr="000665B0">
        <w:rPr>
          <w:b/>
        </w:rPr>
        <w:t>Target Attack Requirements</w:t>
      </w:r>
      <w:r w:rsidRPr="000665B0">
        <w:t xml:space="preserve"> pane; those values cannot be edited.</w:t>
      </w:r>
      <w:r w:rsidR="001772B0" w:rsidRPr="000665B0">
        <w:t xml:space="preserve"> (For more information about the fields in the </w:t>
      </w:r>
      <w:r w:rsidR="001772B0" w:rsidRPr="000665B0">
        <w:rPr>
          <w:b/>
        </w:rPr>
        <w:t>Target Attack Requirements</w:t>
      </w:r>
      <w:r w:rsidR="001772B0" w:rsidRPr="000665B0">
        <w:t xml:space="preserve"> pane, see </w:t>
      </w:r>
      <w:hyperlink w:anchor="_Attack_Plan_Tasking" w:history="1">
        <w:r w:rsidR="001772B0" w:rsidRPr="000665B0">
          <w:rPr>
            <w:rStyle w:val="Hyperlink"/>
          </w:rPr>
          <w:t xml:space="preserve">Section </w:t>
        </w:r>
        <w:r w:rsidR="004231CC">
          <w:rPr>
            <w:rStyle w:val="Hyperlink"/>
          </w:rPr>
          <w:t>5.31</w:t>
        </w:r>
        <w:r w:rsidR="001772B0" w:rsidRPr="000665B0">
          <w:rPr>
            <w:rStyle w:val="Hyperlink"/>
          </w:rPr>
          <w:t>.3.1</w:t>
        </w:r>
      </w:hyperlink>
      <w:r w:rsidR="001772B0" w:rsidRPr="000665B0">
        <w:t>.)</w:t>
      </w:r>
    </w:p>
    <w:p w14:paraId="1B83C7BF" w14:textId="286E24E4" w:rsidR="00F515CB" w:rsidRPr="000665B0" w:rsidRDefault="007C4E14" w:rsidP="00AC2F7D">
      <w:pPr>
        <w:pStyle w:val="Number0205"/>
        <w:ind w:left="0" w:firstLine="0"/>
        <w:jc w:val="center"/>
      </w:pPr>
      <w:r w:rsidRPr="000665B0">
        <w:rPr>
          <w:noProof/>
        </w:rPr>
        <w:lastRenderedPageBreak/>
        <w:drawing>
          <wp:inline distT="0" distB="0" distL="0" distR="0" wp14:anchorId="72974A78" wp14:editId="416FAB76">
            <wp:extent cx="5424960" cy="1104900"/>
            <wp:effectExtent l="0" t="0" r="0" b="0"/>
            <wp:docPr id="2135" name="Picture 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5426948" cy="1105305"/>
                    </a:xfrm>
                    <a:prstGeom prst="rect">
                      <a:avLst/>
                    </a:prstGeom>
                  </pic:spPr>
                </pic:pic>
              </a:graphicData>
            </a:graphic>
          </wp:inline>
        </w:drawing>
      </w:r>
    </w:p>
    <w:p w14:paraId="29929AB8" w14:textId="77777777" w:rsidR="00F515CB" w:rsidRPr="000665B0" w:rsidRDefault="00F515CB" w:rsidP="006D5A65">
      <w:pPr>
        <w:pStyle w:val="Heading1"/>
      </w:pPr>
      <w:r w:rsidRPr="000665B0">
        <w:rPr>
          <w:bCs/>
        </w:rPr>
        <w:t xml:space="preserve">In the </w:t>
      </w:r>
      <w:r w:rsidRPr="000665B0">
        <w:t>Strike Info pane, e</w:t>
      </w:r>
      <w:r w:rsidRPr="000665B0">
        <w:rPr>
          <w:bCs/>
        </w:rPr>
        <w:t xml:space="preserve">nter/select FPPWP information </w:t>
      </w:r>
      <w:r w:rsidRPr="000665B0">
        <w:t>using one of these methods:</w:t>
      </w:r>
    </w:p>
    <w:p w14:paraId="78463E63" w14:textId="77777777" w:rsidR="00F515CB" w:rsidRPr="000665B0" w:rsidRDefault="00F515CB" w:rsidP="006D5A65">
      <w:pPr>
        <w:pStyle w:val="Heading2"/>
      </w:pPr>
      <w:r w:rsidRPr="000665B0">
        <w:t>Select an existing ACMS library from the ACMS Lib field. The Geo Display displays all ACMSs in the selected library. If the library contains one FPPWP, it populates the FPPWP field. If the library contains multiple FPPWPs, they are available in the FPPWP pulldown menu.</w:t>
      </w:r>
    </w:p>
    <w:p w14:paraId="39D448FC" w14:textId="77777777" w:rsidR="00F515CB" w:rsidRPr="000665B0" w:rsidRDefault="00F515CB" w:rsidP="00AC2F7D">
      <w:pPr>
        <w:pStyle w:val="Number0205"/>
        <w:tabs>
          <w:tab w:val="left" w:pos="720"/>
        </w:tabs>
        <w:ind w:left="720" w:firstLine="0"/>
      </w:pPr>
      <w:r w:rsidRPr="000665B0">
        <w:t>or</w:t>
      </w:r>
    </w:p>
    <w:p w14:paraId="2000D07A" w14:textId="77777777" w:rsidR="00F515CB" w:rsidRPr="000665B0" w:rsidRDefault="00F515CB" w:rsidP="006D5A65">
      <w:pPr>
        <w:pStyle w:val="Heading2"/>
      </w:pPr>
      <w:r w:rsidRPr="000665B0">
        <w:t>If an ACMS library is not used, select a FPPWP from the FPPWP pulldown menu, which is populated with all of the FPPWPs in the ACMS database.</w:t>
      </w:r>
    </w:p>
    <w:p w14:paraId="5A4AA57F" w14:textId="77777777" w:rsidR="00F515CB" w:rsidRPr="000665B0" w:rsidRDefault="00F515CB" w:rsidP="00AC2F7D">
      <w:pPr>
        <w:pStyle w:val="Number0205"/>
        <w:tabs>
          <w:tab w:val="left" w:pos="720"/>
        </w:tabs>
        <w:ind w:left="720" w:firstLine="0"/>
      </w:pPr>
      <w:r w:rsidRPr="000665B0">
        <w:t>or</w:t>
      </w:r>
    </w:p>
    <w:p w14:paraId="7CBBD66B" w14:textId="7BA56A54" w:rsidR="00F515CB" w:rsidRPr="000665B0" w:rsidRDefault="00F515CB" w:rsidP="006D5A65">
      <w:pPr>
        <w:pStyle w:val="Heading2"/>
      </w:pPr>
      <w:r w:rsidRPr="000665B0">
        <w:t>Create a new FPPWP</w:t>
      </w:r>
      <w:r w:rsidR="001772B0" w:rsidRPr="000665B0">
        <w:t xml:space="preserve"> from the Geo display</w:t>
      </w:r>
      <w:r w:rsidRPr="000665B0">
        <w:t xml:space="preserve">. Click the </w:t>
      </w:r>
      <w:r w:rsidRPr="000665B0">
        <w:rPr>
          <w:noProof/>
          <w:position w:val="-6"/>
        </w:rPr>
        <w:drawing>
          <wp:inline distT="0" distB="0" distL="0" distR="0" wp14:anchorId="5C161B9F" wp14:editId="572E8165">
            <wp:extent cx="182880" cy="182880"/>
            <wp:effectExtent l="0" t="0" r="7620" b="762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82880" cy="182880"/>
                    </a:xfrm>
                    <a:prstGeom prst="rect">
                      <a:avLst/>
                    </a:prstGeom>
                    <a:noFill/>
                    <a:ln w="9525">
                      <a:noFill/>
                      <a:miter lim="800000"/>
                      <a:headEnd/>
                      <a:tailEnd/>
                    </a:ln>
                  </pic:spPr>
                </pic:pic>
              </a:graphicData>
            </a:graphic>
          </wp:inline>
        </w:drawing>
      </w:r>
      <w:r w:rsidRPr="000665B0">
        <w:t xml:space="preserve"> icon</w:t>
      </w:r>
      <w:r w:rsidR="001772B0" w:rsidRPr="000665B0">
        <w:t xml:space="preserve"> (Select FPPWP from Geo)</w:t>
      </w:r>
      <w:r w:rsidRPr="000665B0">
        <w:t xml:space="preserve"> to activate the Tool menu on the Geo display. Only the FPPWP </w:t>
      </w:r>
      <w:r w:rsidRPr="000665B0">
        <w:rPr>
          <w:noProof/>
          <w:position w:val="-2"/>
        </w:rPr>
        <w:drawing>
          <wp:inline distT="0" distB="0" distL="0" distR="0" wp14:anchorId="2E26E957" wp14:editId="25D28CCB">
            <wp:extent cx="137160" cy="146304"/>
            <wp:effectExtent l="0" t="0" r="0" b="635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37160" cy="146304"/>
                    </a:xfrm>
                    <a:prstGeom prst="rect">
                      <a:avLst/>
                    </a:prstGeom>
                  </pic:spPr>
                </pic:pic>
              </a:graphicData>
            </a:graphic>
          </wp:inline>
        </w:drawing>
      </w:r>
      <w:r w:rsidRPr="000665B0">
        <w:t xml:space="preserve"> tool is enabled; create a new FPPWP (see </w:t>
      </w:r>
      <w:hyperlink w:anchor="_5.33.1__Create" w:history="1">
        <w:r w:rsidRPr="000665B0">
          <w:rPr>
            <w:rStyle w:val="Hyperlink"/>
          </w:rPr>
          <w:t xml:space="preserve">Section </w:t>
        </w:r>
        <w:r w:rsidR="004231CC">
          <w:rPr>
            <w:rStyle w:val="Hyperlink"/>
          </w:rPr>
          <w:t>5.29</w:t>
        </w:r>
        <w:r w:rsidRPr="000665B0">
          <w:rPr>
            <w:rStyle w:val="Hyperlink"/>
          </w:rPr>
          <w:t>.1</w:t>
        </w:r>
      </w:hyperlink>
      <w:r w:rsidRPr="000665B0">
        <w:t xml:space="preserve"> for more information). </w:t>
      </w:r>
    </w:p>
    <w:p w14:paraId="4D1DCC8B" w14:textId="77777777" w:rsidR="00F515CB" w:rsidRPr="000665B0" w:rsidRDefault="00F515CB" w:rsidP="00AC2F7D">
      <w:pPr>
        <w:pStyle w:val="Number0205"/>
        <w:tabs>
          <w:tab w:val="left" w:pos="720"/>
        </w:tabs>
        <w:ind w:left="0" w:firstLine="0"/>
        <w:jc w:val="center"/>
      </w:pPr>
      <w:r w:rsidRPr="000665B0">
        <w:rPr>
          <w:noProof/>
        </w:rPr>
        <w:drawing>
          <wp:inline distT="0" distB="0" distL="0" distR="0" wp14:anchorId="19700796" wp14:editId="774D23D3">
            <wp:extent cx="1555750" cy="3200400"/>
            <wp:effectExtent l="0" t="0" r="0"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558500" cy="3206058"/>
                    </a:xfrm>
                    <a:prstGeom prst="rect">
                      <a:avLst/>
                    </a:prstGeom>
                  </pic:spPr>
                </pic:pic>
              </a:graphicData>
            </a:graphic>
          </wp:inline>
        </w:drawing>
      </w:r>
    </w:p>
    <w:p w14:paraId="0B3CCC23" w14:textId="77777777" w:rsidR="00F515CB" w:rsidRPr="000665B0" w:rsidRDefault="00F515CB" w:rsidP="00AC2F7D">
      <w:pPr>
        <w:pStyle w:val="Number0205"/>
        <w:tabs>
          <w:tab w:val="left" w:pos="720"/>
        </w:tabs>
        <w:ind w:firstLine="0"/>
      </w:pPr>
      <w:r w:rsidRPr="000665B0">
        <w:lastRenderedPageBreak/>
        <w:t xml:space="preserve">When the new FPPWP is saved, it populates the </w:t>
      </w:r>
      <w:r w:rsidRPr="000665B0">
        <w:rPr>
          <w:b/>
        </w:rPr>
        <w:t>FPPWP</w:t>
      </w:r>
      <w:r w:rsidRPr="000665B0">
        <w:t xml:space="preserve"> field.</w:t>
      </w:r>
    </w:p>
    <w:p w14:paraId="367013D0" w14:textId="65CF5B97" w:rsidR="00F515CB" w:rsidRPr="000665B0" w:rsidRDefault="00F515CB" w:rsidP="006D5A65">
      <w:pPr>
        <w:pStyle w:val="Heading1"/>
      </w:pPr>
      <w:r w:rsidRPr="000665B0">
        <w:t xml:space="preserve">In the Strike Info pane, select the desired FRU from the list of all </w:t>
      </w:r>
      <w:r w:rsidR="00A10C7E" w:rsidRPr="000665B0">
        <w:t xml:space="preserve">TTWCS </w:t>
      </w:r>
      <w:r w:rsidRPr="000665B0">
        <w:t>nodes (default is collocated own node TTWCS). FRUs are displayed by trigraph (if applicable) and then by Platform ID. Changing the FRU updates the Avl. 109E’s field, based on the FRU’s inventory and QS type (Tactical or Training). The Strike Option’s Arsenal is also updated to reflect one and only one shooter.</w:t>
      </w:r>
    </w:p>
    <w:p w14:paraId="04B4D5C7" w14:textId="77777777" w:rsidR="00F515CB" w:rsidRPr="000665B0" w:rsidRDefault="00F515CB" w:rsidP="00AC2F7D">
      <w:pPr>
        <w:pStyle w:val="Number0205"/>
        <w:tabs>
          <w:tab w:val="left" w:pos="720"/>
        </w:tabs>
        <w:ind w:left="720" w:firstLine="0"/>
        <w:rPr>
          <w:bCs/>
        </w:rPr>
      </w:pPr>
      <w:r w:rsidRPr="000665B0">
        <w:rPr>
          <w:bCs/>
        </w:rPr>
        <w:t>The QS consists of the Own Node with both the TTWCS and MDS nodes with the following roles:</w:t>
      </w:r>
    </w:p>
    <w:p w14:paraId="2879E426" w14:textId="245F851B" w:rsidR="00F515CB" w:rsidRPr="000665B0" w:rsidRDefault="00F515CB" w:rsidP="006D5A65">
      <w:pPr>
        <w:pStyle w:val="Heading1"/>
      </w:pPr>
      <w:r w:rsidRPr="000665B0">
        <w:t>MDS node: TSC, LAC, MC.</w:t>
      </w:r>
    </w:p>
    <w:p w14:paraId="673249C3" w14:textId="77777777" w:rsidR="00F515CB" w:rsidRPr="000665B0" w:rsidRDefault="00F515CB" w:rsidP="006D5A65">
      <w:pPr>
        <w:pStyle w:val="Heading1"/>
      </w:pPr>
      <w:r w:rsidRPr="000665B0">
        <w:t>TTWCS node: FRU, MC.</w:t>
      </w:r>
    </w:p>
    <w:p w14:paraId="0F44B461" w14:textId="3B79FFE7" w:rsidR="00F515CB" w:rsidRPr="000665B0" w:rsidRDefault="00F515CB" w:rsidP="006D5A65">
      <w:pPr>
        <w:pStyle w:val="Heading1"/>
      </w:pPr>
      <w:r w:rsidRPr="000665B0">
        <w:rPr>
          <w:bCs/>
        </w:rPr>
        <w:t xml:space="preserve">In the </w:t>
      </w:r>
      <w:r w:rsidRPr="000665B0">
        <w:t xml:space="preserve">Strike Info pane, </w:t>
      </w:r>
      <w:r w:rsidRPr="000665B0">
        <w:rPr>
          <w:bCs/>
        </w:rPr>
        <w:t>select</w:t>
      </w:r>
      <w:r w:rsidR="00DC4F40" w:rsidRPr="000665B0">
        <w:rPr>
          <w:bCs/>
        </w:rPr>
        <w:t xml:space="preserve"> the</w:t>
      </w:r>
      <w:r w:rsidRPr="000665B0">
        <w:rPr>
          <w:bCs/>
        </w:rPr>
        <w:t xml:space="preserve"> </w:t>
      </w:r>
      <w:r w:rsidRPr="000665B0">
        <w:t xml:space="preserve">AGR-4 Required </w:t>
      </w:r>
      <w:r w:rsidR="00DC4F40" w:rsidRPr="000665B0">
        <w:t xml:space="preserve">checkbox </w:t>
      </w:r>
      <w:r w:rsidRPr="000665B0">
        <w:t>if</w:t>
      </w:r>
      <w:r w:rsidRPr="000665B0">
        <w:rPr>
          <w:color w:val="000000"/>
        </w:rPr>
        <w:t xml:space="preserve"> AGR-4 or above is required.</w:t>
      </w:r>
    </w:p>
    <w:p w14:paraId="59C8AE5A" w14:textId="437976A7" w:rsidR="00F515CB" w:rsidRPr="000665B0" w:rsidRDefault="00F515CB" w:rsidP="006D5A65">
      <w:pPr>
        <w:pStyle w:val="Heading1"/>
      </w:pPr>
      <w:r w:rsidRPr="000665B0">
        <w:rPr>
          <w:bCs/>
        </w:rPr>
        <w:t xml:space="preserve">In the </w:t>
      </w:r>
      <w:r w:rsidRPr="000665B0">
        <w:t xml:space="preserve">Strike Info pane, </w:t>
      </w:r>
      <w:r w:rsidRPr="000665B0">
        <w:rPr>
          <w:bCs/>
        </w:rPr>
        <w:t>select</w:t>
      </w:r>
      <w:r w:rsidR="00DC4F40" w:rsidRPr="000665B0">
        <w:rPr>
          <w:bCs/>
        </w:rPr>
        <w:t xml:space="preserve"> the</w:t>
      </w:r>
      <w:r w:rsidRPr="000665B0">
        <w:rPr>
          <w:bCs/>
        </w:rPr>
        <w:t xml:space="preserve"> </w:t>
      </w:r>
      <w:r w:rsidRPr="000665B0">
        <w:t xml:space="preserve">Comms Enabled </w:t>
      </w:r>
      <w:r w:rsidR="00DC4F40" w:rsidRPr="000665B0">
        <w:t xml:space="preserve">checkbox </w:t>
      </w:r>
      <w:r w:rsidRPr="000665B0">
        <w:t>if</w:t>
      </w:r>
      <w:r w:rsidRPr="000665B0">
        <w:rPr>
          <w:color w:val="000000"/>
        </w:rPr>
        <w:t xml:space="preserve"> </w:t>
      </w:r>
      <w:r w:rsidRPr="000665B0">
        <w:t>comms-enabled missile assignments are desired. The OP Area, TSN Strategy, and NSP fields are displayed.</w:t>
      </w:r>
    </w:p>
    <w:p w14:paraId="02D5869E" w14:textId="6C6B0B8D" w:rsidR="00F515CB" w:rsidRPr="000665B0" w:rsidRDefault="002A59BE" w:rsidP="00AC2F7D">
      <w:pPr>
        <w:pStyle w:val="Number0205"/>
        <w:ind w:left="0" w:firstLine="0"/>
        <w:jc w:val="center"/>
      </w:pPr>
      <w:r w:rsidRPr="000665B0">
        <w:rPr>
          <w:noProof/>
        </w:rPr>
        <w:drawing>
          <wp:inline distT="0" distB="0" distL="0" distR="0" wp14:anchorId="26427994" wp14:editId="1EB792D8">
            <wp:extent cx="4983480" cy="548640"/>
            <wp:effectExtent l="0" t="0" r="0" b="0"/>
            <wp:docPr id="986"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548640"/>
                    </a:xfrm>
                    <a:prstGeom prst="rect">
                      <a:avLst/>
                    </a:prstGeom>
                    <a:noFill/>
                  </pic:spPr>
                </pic:pic>
              </a:graphicData>
            </a:graphic>
          </wp:inline>
        </w:drawing>
      </w:r>
    </w:p>
    <w:p w14:paraId="549A1FA8" w14:textId="11586D02" w:rsidR="00F515CB" w:rsidRPr="000665B0" w:rsidRDefault="00F515CB" w:rsidP="006D5A65">
      <w:pPr>
        <w:pStyle w:val="Heading2"/>
      </w:pPr>
      <w:r w:rsidRPr="000665B0">
        <w:t xml:space="preserve">Select an OP Area </w:t>
      </w:r>
      <w:r w:rsidR="00C51F22" w:rsidRPr="000665B0">
        <w:t xml:space="preserve">that contains the operational area of the strike </w:t>
      </w:r>
      <w:r w:rsidRPr="000665B0">
        <w:t>from the pulldown menu.</w:t>
      </w:r>
      <w:r w:rsidR="00A9625C" w:rsidRPr="000665B0">
        <w:t xml:space="preserve"> If an ACMS library that contains an OP Area is used, the OP Area pull down menu is populated with that OP Area(s). If no ACMS library is used, the OP Area pull down menu is populated with OP Areas from the ACMS database.</w:t>
      </w:r>
    </w:p>
    <w:p w14:paraId="37BD5C15" w14:textId="77777777" w:rsidR="00F515CB" w:rsidRPr="000665B0" w:rsidRDefault="00F515CB" w:rsidP="006D5A65">
      <w:pPr>
        <w:pStyle w:val="Heading2"/>
      </w:pPr>
      <w:r w:rsidRPr="000665B0">
        <w:t xml:space="preserve">Select a TSN Strategy (default is DAMA First) </w:t>
      </w:r>
      <w:r w:rsidRPr="000665B0">
        <w:rPr>
          <w:szCs w:val="24"/>
        </w:rPr>
        <w:t xml:space="preserve">to specify the missile assignment strategy that indicates how the ACA or DAMA capable missiles are to be assigned. </w:t>
      </w:r>
      <w:r w:rsidRPr="000665B0">
        <w:rPr>
          <w:bCs/>
        </w:rPr>
        <w:t>Changing the TSN Strategy updates the Avl. 109E’s field, based on the FRU’s inventory and QS type (Tactical or Training).</w:t>
      </w:r>
    </w:p>
    <w:p w14:paraId="76825942" w14:textId="77777777" w:rsidR="00F515CB" w:rsidRPr="000665B0" w:rsidRDefault="00F515CB" w:rsidP="006D5A65">
      <w:pPr>
        <w:pStyle w:val="Heading1"/>
      </w:pPr>
      <w:r w:rsidRPr="000665B0">
        <w:lastRenderedPageBreak/>
        <w:t>ACA First – Specifies that an assignment can be either the ACA or DAMA network capable missile, but the preference is to assign ACA capable missile, if available.</w:t>
      </w:r>
    </w:p>
    <w:p w14:paraId="01A72BB2" w14:textId="77777777" w:rsidR="00F515CB" w:rsidRPr="000665B0" w:rsidRDefault="00F515CB" w:rsidP="006D5A65">
      <w:pPr>
        <w:pStyle w:val="Heading1"/>
      </w:pPr>
      <w:r w:rsidRPr="000665B0">
        <w:rPr>
          <w:bCs/>
        </w:rPr>
        <w:t>DAMA</w:t>
      </w:r>
      <w:r w:rsidRPr="000665B0">
        <w:t xml:space="preserve"> First – Specifies that an assignment can be either the ACA or DAMA network capable missile, but the preference is to assign DAMA capable missile, if available.</w:t>
      </w:r>
    </w:p>
    <w:p w14:paraId="054402BE" w14:textId="77777777" w:rsidR="00F515CB" w:rsidRPr="000665B0" w:rsidRDefault="00F515CB" w:rsidP="006D5A65">
      <w:pPr>
        <w:pStyle w:val="Heading1"/>
      </w:pPr>
      <w:r w:rsidRPr="000665B0">
        <w:t xml:space="preserve">ACA Only – Specifies that only ACA-capable missiles be assigned. </w:t>
      </w:r>
    </w:p>
    <w:p w14:paraId="1D29D38C" w14:textId="77777777" w:rsidR="00F515CB" w:rsidRPr="000665B0" w:rsidRDefault="00F515CB" w:rsidP="006D5A65">
      <w:pPr>
        <w:pStyle w:val="Heading1"/>
      </w:pPr>
      <w:r w:rsidRPr="000665B0">
        <w:rPr>
          <w:rFonts w:eastAsia="Calibri"/>
        </w:rPr>
        <w:t xml:space="preserve">DAMA Only – </w:t>
      </w:r>
      <w:r w:rsidRPr="000665B0">
        <w:t>Specifies that only DAMA-capable missiles be assigned.</w:t>
      </w:r>
    </w:p>
    <w:p w14:paraId="757B0662" w14:textId="17164728" w:rsidR="00F515CB" w:rsidRPr="000665B0" w:rsidRDefault="00F515CB" w:rsidP="006D5A65">
      <w:pPr>
        <w:pStyle w:val="Heading2"/>
      </w:pPr>
      <w:r w:rsidRPr="000665B0">
        <w:t xml:space="preserve">Select an NSP </w:t>
      </w:r>
      <w:r w:rsidR="00C51F22" w:rsidRPr="000665B0">
        <w:t xml:space="preserve">for the AOR associated with the strike </w:t>
      </w:r>
      <w:r w:rsidRPr="000665B0">
        <w:t xml:space="preserve">from the NSP field. </w:t>
      </w:r>
      <w:r w:rsidRPr="000665B0">
        <w:rPr>
          <w:bCs/>
        </w:rPr>
        <w:t>The Strike Option’s Arsenal is updated.</w:t>
      </w:r>
    </w:p>
    <w:p w14:paraId="0BB0D32B" w14:textId="77777777" w:rsidR="00F515CB" w:rsidRPr="000665B0" w:rsidRDefault="00F515CB" w:rsidP="00AC2F7D">
      <w:pPr>
        <w:pStyle w:val="Heading4"/>
      </w:pPr>
      <w:bookmarkStart w:id="6881" w:name="_Build"/>
      <w:bookmarkEnd w:id="6881"/>
      <w:r w:rsidRPr="000665B0">
        <w:t>Build</w:t>
      </w:r>
    </w:p>
    <w:p w14:paraId="19A1CBF3" w14:textId="77777777" w:rsidR="00F515CB" w:rsidRPr="000665B0" w:rsidRDefault="00F515CB" w:rsidP="00AC2F7D">
      <w:r w:rsidRPr="000665B0">
        <w:t xml:space="preserve">Once data entry is complete, the </w:t>
      </w:r>
      <w:r w:rsidRPr="000665B0">
        <w:rPr>
          <w:b/>
        </w:rPr>
        <w:t>Build</w:t>
      </w:r>
      <w:r w:rsidRPr="000665B0">
        <w:t xml:space="preserve"> function initiates the automated process of building an executable Strike Package. The </w:t>
      </w:r>
      <w:r w:rsidRPr="000665B0">
        <w:rPr>
          <w:b/>
        </w:rPr>
        <w:t>Build</w:t>
      </w:r>
      <w:r w:rsidRPr="000665B0">
        <w:t xml:space="preserve"> button is enabled only when all required fields are completed, and only if there are enough missiles in the FRU inventory to meet the number of missiles required, as derived from the TAR Type. </w:t>
      </w:r>
    </w:p>
    <w:p w14:paraId="6F19ED03" w14:textId="2F151CFB" w:rsidR="00F515CB" w:rsidRPr="000665B0" w:rsidRDefault="00F515CB" w:rsidP="00BD4482">
      <w:pPr>
        <w:keepNext/>
        <w:rPr>
          <w:szCs w:val="24"/>
        </w:rPr>
      </w:pPr>
      <w:r w:rsidRPr="000665B0">
        <w:rPr>
          <w:szCs w:val="24"/>
        </w:rPr>
        <w:t xml:space="preserve">The Build process performs the following steps: </w:t>
      </w:r>
    </w:p>
    <w:p w14:paraId="50A66DB9" w14:textId="77777777" w:rsidR="00F515CB" w:rsidRPr="000665B0" w:rsidRDefault="00F515CB" w:rsidP="006D5A65">
      <w:pPr>
        <w:pStyle w:val="Heading1"/>
      </w:pPr>
      <w:r w:rsidRPr="000665B0">
        <w:t xml:space="preserve">Finalizes and submits the Attack Plan TMPR to the embedded TPS to create the requested Mission(s). </w:t>
      </w:r>
    </w:p>
    <w:p w14:paraId="09A39C2D" w14:textId="10AD248C" w:rsidR="00000323" w:rsidRPr="000665B0" w:rsidRDefault="00A53266" w:rsidP="006D5A65">
      <w:pPr>
        <w:pStyle w:val="Heading1"/>
      </w:pPr>
      <w:r w:rsidRPr="000665B0">
        <w:t>When</w:t>
      </w:r>
      <w:r w:rsidR="00000323" w:rsidRPr="000665B0">
        <w:t xml:space="preserve"> the Attack Plan TMPR is successful</w:t>
      </w:r>
      <w:r w:rsidRPr="000665B0">
        <w:t>ly created</w:t>
      </w:r>
      <w:r w:rsidR="00000323" w:rsidRPr="000665B0">
        <w:t xml:space="preserve">, the mission is returned and is displayed in the Missions list view. </w:t>
      </w:r>
    </w:p>
    <w:p w14:paraId="1BCC1FC3" w14:textId="77777777" w:rsidR="00F515CB" w:rsidRPr="000665B0" w:rsidRDefault="00F515CB" w:rsidP="006D5A65">
      <w:pPr>
        <w:pStyle w:val="Heading1"/>
      </w:pPr>
      <w:r w:rsidRPr="000665B0">
        <w:t>Following the return of the requested Missions, the system automatically sets the Missiles Required for each reservation, prior to invoking Auto PM3 with the following guidelines:</w:t>
      </w:r>
    </w:p>
    <w:p w14:paraId="00EB2F3F" w14:textId="77777777" w:rsidR="00F515CB" w:rsidRPr="000665B0" w:rsidRDefault="00F515CB" w:rsidP="006D5A65">
      <w:pPr>
        <w:pStyle w:val="Heading2"/>
      </w:pPr>
      <w:r w:rsidRPr="000665B0">
        <w:t xml:space="preserve">1 Primary Missile for each reservation with the TSN Assignment Strategy as DAMA First (unless an alternate TSN Assignment Strategy was selected). </w:t>
      </w:r>
    </w:p>
    <w:p w14:paraId="5980283A" w14:textId="77777777" w:rsidR="00F515CB" w:rsidRPr="000665B0" w:rsidRDefault="00F515CB" w:rsidP="006D5A65">
      <w:pPr>
        <w:pStyle w:val="Heading2"/>
        <w:rPr>
          <w:szCs w:val="24"/>
        </w:rPr>
      </w:pPr>
      <w:r w:rsidRPr="000665B0">
        <w:t>No Auto Ready Spare (ARS), Ready Spare (RS), Backup (B), or Backup Pool (P) missiles are assigned.</w:t>
      </w:r>
    </w:p>
    <w:p w14:paraId="24941696" w14:textId="4F5CE5CA" w:rsidR="00F515CB" w:rsidRPr="000665B0" w:rsidRDefault="00F515CB" w:rsidP="006D5A65">
      <w:pPr>
        <w:pStyle w:val="Heading1"/>
      </w:pPr>
      <w:r w:rsidRPr="000665B0">
        <w:t xml:space="preserve">Runs Auto PM3 to assign </w:t>
      </w:r>
      <w:r w:rsidR="00475986" w:rsidRPr="000665B0">
        <w:t>one</w:t>
      </w:r>
      <w:r w:rsidRPr="000665B0">
        <w:t xml:space="preserve"> missile reservation to each Mission.</w:t>
      </w:r>
    </w:p>
    <w:p w14:paraId="60332B71" w14:textId="79FBD875" w:rsidR="00F515CB" w:rsidRPr="000665B0" w:rsidRDefault="00F515CB" w:rsidP="006D5A65">
      <w:pPr>
        <w:pStyle w:val="Heading1"/>
      </w:pPr>
      <w:r w:rsidRPr="000665B0">
        <w:t>Turn the QS Strike Option into a Package</w:t>
      </w:r>
      <w:r w:rsidR="000E46CF" w:rsidRPr="000665B0">
        <w:t>,</w:t>
      </w:r>
      <w:r w:rsidRPr="000665B0">
        <w:t xml:space="preserve"> </w:t>
      </w:r>
      <w:r w:rsidR="00851539" w:rsidRPr="000665B0">
        <w:t>which is displayed in the Strike Execution list view.</w:t>
      </w:r>
    </w:p>
    <w:p w14:paraId="26167BAC" w14:textId="14FCE9D8" w:rsidR="00F515CB" w:rsidRPr="000665B0" w:rsidRDefault="00F515CB" w:rsidP="006D5A65">
      <w:pPr>
        <w:pStyle w:val="Heading1"/>
      </w:pPr>
      <w:r w:rsidRPr="000665B0">
        <w:t>Disables the Build button and enables the</w:t>
      </w:r>
      <w:r w:rsidR="000003BC" w:rsidRPr="000665B0">
        <w:t xml:space="preserve"> </w:t>
      </w:r>
      <w:r w:rsidR="00BA3F93" w:rsidRPr="000665B0">
        <w:t xml:space="preserve">Review, </w:t>
      </w:r>
      <w:r w:rsidRPr="000665B0">
        <w:t xml:space="preserve">Rehearse, Execute, and Send to TTWCS buttons. </w:t>
      </w:r>
    </w:p>
    <w:p w14:paraId="4793455C" w14:textId="77777777" w:rsidR="00F515CB" w:rsidRPr="000665B0" w:rsidRDefault="00F515CB" w:rsidP="00AC2F7D">
      <w:pPr>
        <w:pStyle w:val="BodyText"/>
        <w:tabs>
          <w:tab w:val="left" w:pos="720"/>
        </w:tabs>
        <w:spacing w:after="120"/>
      </w:pPr>
      <w:r w:rsidRPr="000665B0">
        <w:rPr>
          <w:szCs w:val="24"/>
        </w:rPr>
        <w:t>To Build the Quick Strike:</w:t>
      </w:r>
    </w:p>
    <w:p w14:paraId="77D8A605" w14:textId="106A11F6" w:rsidR="00F515CB" w:rsidRPr="000665B0" w:rsidRDefault="007C4E14" w:rsidP="006D5A65">
      <w:pPr>
        <w:pStyle w:val="Heading1"/>
      </w:pPr>
      <w:r w:rsidRPr="000665B0">
        <w:lastRenderedPageBreak/>
        <w:t xml:space="preserve">Ensure that data entry is complete. </w:t>
      </w:r>
      <w:r w:rsidR="00F515CB" w:rsidRPr="000665B0">
        <w:t>Click the Build button.</w:t>
      </w:r>
    </w:p>
    <w:p w14:paraId="4D661895" w14:textId="61A7005B" w:rsidR="00F515CB" w:rsidRPr="000665B0" w:rsidRDefault="002A59BE" w:rsidP="00AC2F7D">
      <w:pPr>
        <w:pStyle w:val="Number0205"/>
        <w:tabs>
          <w:tab w:val="left" w:pos="720"/>
        </w:tabs>
        <w:ind w:left="0" w:firstLine="0"/>
        <w:jc w:val="center"/>
        <w:rPr>
          <w:szCs w:val="24"/>
        </w:rPr>
      </w:pPr>
      <w:r w:rsidRPr="000665B0">
        <w:rPr>
          <w:noProof/>
        </w:rPr>
        <w:drawing>
          <wp:inline distT="0" distB="0" distL="0" distR="0" wp14:anchorId="7B322CA3" wp14:editId="7AE916AC">
            <wp:extent cx="4114800" cy="3035808"/>
            <wp:effectExtent l="0" t="0" r="0" b="0"/>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114800" cy="3035808"/>
                    </a:xfrm>
                    <a:prstGeom prst="rect">
                      <a:avLst/>
                    </a:prstGeom>
                    <a:noFill/>
                  </pic:spPr>
                </pic:pic>
              </a:graphicData>
            </a:graphic>
          </wp:inline>
        </w:drawing>
      </w:r>
      <w:r w:rsidR="00203D20" w:rsidRPr="000665B0">
        <w:rPr>
          <w:noProof/>
        </w:rPr>
        <w:t xml:space="preserve"> </w:t>
      </w:r>
    </w:p>
    <w:p w14:paraId="60C9F540" w14:textId="77777777" w:rsidR="00F515CB" w:rsidRPr="000665B0" w:rsidRDefault="00F515CB" w:rsidP="006D5A65">
      <w:pPr>
        <w:pStyle w:val="Heading1"/>
      </w:pPr>
      <w:r w:rsidRPr="000665B0">
        <w:t xml:space="preserve">The Status pane displays each step of the build process and the Approximate Time Until Completion timer displays the estimated time until the build process is complete. </w:t>
      </w:r>
    </w:p>
    <w:p w14:paraId="3ED29262" w14:textId="5EC57EB2" w:rsidR="00F515CB" w:rsidRPr="000665B0" w:rsidRDefault="002A59BE" w:rsidP="00AC2F7D">
      <w:pPr>
        <w:jc w:val="center"/>
        <w:rPr>
          <w:szCs w:val="24"/>
        </w:rPr>
      </w:pPr>
      <w:r w:rsidRPr="000665B0">
        <w:rPr>
          <w:noProof/>
        </w:rPr>
        <w:drawing>
          <wp:inline distT="0" distB="0" distL="0" distR="0" wp14:anchorId="2E6C0E20" wp14:editId="77793A93">
            <wp:extent cx="4114800" cy="297180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114800" cy="2971800"/>
                    </a:xfrm>
                    <a:prstGeom prst="rect">
                      <a:avLst/>
                    </a:prstGeom>
                    <a:noFill/>
                  </pic:spPr>
                </pic:pic>
              </a:graphicData>
            </a:graphic>
          </wp:inline>
        </w:drawing>
      </w:r>
      <w:r w:rsidR="00203D20" w:rsidRPr="000665B0">
        <w:rPr>
          <w:noProof/>
        </w:rPr>
        <w:t xml:space="preserve"> </w:t>
      </w:r>
    </w:p>
    <w:p w14:paraId="2F46964A" w14:textId="0DE6E07B" w:rsidR="00F515CB" w:rsidRPr="000665B0" w:rsidRDefault="00F515CB" w:rsidP="006D5A65">
      <w:pPr>
        <w:pStyle w:val="Heading1"/>
      </w:pPr>
      <w:r w:rsidRPr="000665B0">
        <w:t>When the Build is successfully completed, the Approximate Time Until Completion timer displays 00:00, the Status pane notes that the Strike Option has been turned into a Package</w:t>
      </w:r>
      <w:r w:rsidR="00203D20" w:rsidRPr="000665B0">
        <w:t>, and the Build State indicates Completed</w:t>
      </w:r>
      <w:r w:rsidRPr="000665B0">
        <w:t xml:space="preserve">. </w:t>
      </w:r>
      <w:r w:rsidR="00203D20" w:rsidRPr="000665B0">
        <w:t xml:space="preserve">The </w:t>
      </w:r>
      <w:r w:rsidR="00BF0580" w:rsidRPr="000665B0">
        <w:t>mission</w:t>
      </w:r>
      <w:r w:rsidR="00B82817" w:rsidRPr="000665B0">
        <w:t>(s)</w:t>
      </w:r>
      <w:r w:rsidR="00203D20" w:rsidRPr="000665B0">
        <w:t xml:space="preserve"> is displayed in the Geo pane. </w:t>
      </w:r>
      <w:r w:rsidRPr="000665B0">
        <w:t xml:space="preserve">The Quick Strike is </w:t>
      </w:r>
      <w:r w:rsidR="00203D20" w:rsidRPr="000665B0">
        <w:t xml:space="preserve">also </w:t>
      </w:r>
      <w:r w:rsidRPr="000665B0">
        <w:t xml:space="preserve">displayed in the Strike Execution list view and the Attack Plan TMPR is </w:t>
      </w:r>
      <w:r w:rsidRPr="000665B0">
        <w:lastRenderedPageBreak/>
        <w:t xml:space="preserve">displayed in the TMPRs list view. The Build button </w:t>
      </w:r>
      <w:r w:rsidR="00203D20" w:rsidRPr="000665B0">
        <w:t>becomes</w:t>
      </w:r>
      <w:r w:rsidRPr="000665B0">
        <w:t xml:space="preserve"> disabled</w:t>
      </w:r>
      <w:r w:rsidR="00203D20" w:rsidRPr="000665B0">
        <w:t xml:space="preserve"> and</w:t>
      </w:r>
      <w:r w:rsidRPr="000665B0">
        <w:t xml:space="preserve"> the </w:t>
      </w:r>
      <w:r w:rsidR="00BA3F93" w:rsidRPr="000665B0">
        <w:t xml:space="preserve">Review, </w:t>
      </w:r>
      <w:r w:rsidRPr="000665B0">
        <w:t xml:space="preserve">Rehearse, Execute, and Send to TTWCS buttons </w:t>
      </w:r>
      <w:r w:rsidR="000E46CF" w:rsidRPr="000665B0">
        <w:t>are</w:t>
      </w:r>
      <w:r w:rsidRPr="000665B0">
        <w:t xml:space="preserve"> enabled. </w:t>
      </w:r>
    </w:p>
    <w:p w14:paraId="420062CF" w14:textId="599A521F" w:rsidR="00F515CB" w:rsidRPr="000665B0" w:rsidRDefault="002A59BE" w:rsidP="00AC2F7D">
      <w:pPr>
        <w:pStyle w:val="Number0205"/>
        <w:tabs>
          <w:tab w:val="left" w:pos="720"/>
        </w:tabs>
        <w:ind w:left="0" w:firstLine="0"/>
        <w:jc w:val="center"/>
        <w:rPr>
          <w:szCs w:val="24"/>
        </w:rPr>
      </w:pPr>
      <w:r w:rsidRPr="000665B0">
        <w:rPr>
          <w:noProof/>
        </w:rPr>
        <w:drawing>
          <wp:inline distT="0" distB="0" distL="0" distR="0" wp14:anchorId="0700C9BF" wp14:editId="55C641BB">
            <wp:extent cx="4114800" cy="2971800"/>
            <wp:effectExtent l="0" t="0" r="0" b="0"/>
            <wp:docPr id="979"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114800" cy="2971800"/>
                    </a:xfrm>
                    <a:prstGeom prst="rect">
                      <a:avLst/>
                    </a:prstGeom>
                    <a:noFill/>
                  </pic:spPr>
                </pic:pic>
              </a:graphicData>
            </a:graphic>
          </wp:inline>
        </w:drawing>
      </w:r>
      <w:r w:rsidR="00203D20" w:rsidRPr="000665B0">
        <w:rPr>
          <w:noProof/>
        </w:rPr>
        <w:t xml:space="preserve"> </w:t>
      </w:r>
    </w:p>
    <w:p w14:paraId="23DB7572" w14:textId="77777777" w:rsidR="00F515CB" w:rsidRPr="000665B0" w:rsidRDefault="00F515CB" w:rsidP="006D5A65">
      <w:pPr>
        <w:pStyle w:val="Heading1"/>
        <w:rPr>
          <w:szCs w:val="24"/>
        </w:rPr>
      </w:pPr>
      <w:r w:rsidRPr="000665B0">
        <w:t>If the Build is not successful, the following occurs:</w:t>
      </w:r>
    </w:p>
    <w:p w14:paraId="35354C83" w14:textId="77777777" w:rsidR="00F515CB" w:rsidRPr="000665B0" w:rsidRDefault="00F515CB" w:rsidP="006D5A65">
      <w:pPr>
        <w:pStyle w:val="Heading2"/>
      </w:pPr>
      <w:r w:rsidRPr="000665B0">
        <w:rPr>
          <w:szCs w:val="24"/>
        </w:rPr>
        <w:t xml:space="preserve">The Approximate Time Until Completion timer </w:t>
      </w:r>
      <w:r w:rsidRPr="000665B0">
        <w:t xml:space="preserve">stops at the time of the failure, and changes the timer color from green to red. </w:t>
      </w:r>
    </w:p>
    <w:p w14:paraId="58C51CF9" w14:textId="77777777" w:rsidR="00F515CB" w:rsidRPr="000665B0" w:rsidRDefault="00F515CB" w:rsidP="006D5A65">
      <w:pPr>
        <w:pStyle w:val="Heading2"/>
      </w:pPr>
      <w:r w:rsidRPr="000665B0">
        <w:rPr>
          <w:szCs w:val="24"/>
        </w:rPr>
        <w:t xml:space="preserve">The Status pane </w:t>
      </w:r>
      <w:r w:rsidRPr="000665B0">
        <w:t xml:space="preserve">displays an error message that details the cause of the failure. </w:t>
      </w:r>
    </w:p>
    <w:p w14:paraId="310B895A" w14:textId="16F296E6" w:rsidR="00B253FD" w:rsidRPr="000665B0" w:rsidRDefault="00B253FD" w:rsidP="006D5A65">
      <w:pPr>
        <w:pStyle w:val="Heading2"/>
      </w:pPr>
      <w:r w:rsidRPr="000665B0">
        <w:t>The Build State indicates Failed.</w:t>
      </w:r>
    </w:p>
    <w:p w14:paraId="1CF55F11" w14:textId="6F693377" w:rsidR="00F515CB" w:rsidRPr="000665B0" w:rsidRDefault="00F515CB" w:rsidP="006D5A65">
      <w:pPr>
        <w:pStyle w:val="Heading2"/>
      </w:pPr>
      <w:r w:rsidRPr="000665B0">
        <w:t xml:space="preserve">The Build button </w:t>
      </w:r>
      <w:r w:rsidR="00203D20" w:rsidRPr="000665B0">
        <w:t>becomes</w:t>
      </w:r>
      <w:r w:rsidRPr="000665B0">
        <w:t xml:space="preserve"> disabled.</w:t>
      </w:r>
    </w:p>
    <w:p w14:paraId="08270325" w14:textId="674E274E" w:rsidR="00410B3E" w:rsidRPr="000665B0" w:rsidRDefault="00410B3E" w:rsidP="00AC2F7D">
      <w:pPr>
        <w:pStyle w:val="BodyText"/>
        <w:spacing w:after="120"/>
        <w:jc w:val="center"/>
      </w:pPr>
      <w:r w:rsidRPr="000665B0">
        <w:rPr>
          <w:noProof/>
        </w:rPr>
        <w:drawing>
          <wp:inline distT="0" distB="0" distL="0" distR="0" wp14:anchorId="58A66806" wp14:editId="2EA452A6">
            <wp:extent cx="2867025" cy="1274233"/>
            <wp:effectExtent l="0" t="0" r="0" b="0"/>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880262" cy="1280116"/>
                    </a:xfrm>
                    <a:prstGeom prst="rect">
                      <a:avLst/>
                    </a:prstGeom>
                    <a:noFill/>
                  </pic:spPr>
                </pic:pic>
              </a:graphicData>
            </a:graphic>
          </wp:inline>
        </w:drawing>
      </w:r>
    </w:p>
    <w:p w14:paraId="55C8C150" w14:textId="7576A309" w:rsidR="00B253FD" w:rsidRPr="000665B0" w:rsidRDefault="00B253FD" w:rsidP="006D5A65">
      <w:pPr>
        <w:pStyle w:val="Heading1"/>
      </w:pPr>
      <w:r w:rsidRPr="000665B0">
        <w:t>To recover from a failed Quick Strike build, correct the cause of the failure and reinitiate a new Quick Strike.</w:t>
      </w:r>
    </w:p>
    <w:p w14:paraId="63597652" w14:textId="13CAB84E" w:rsidR="00671F0D" w:rsidRPr="000665B0" w:rsidRDefault="00671F0D" w:rsidP="006D5A65">
      <w:pPr>
        <w:pStyle w:val="Heading1"/>
      </w:pPr>
      <w:r w:rsidRPr="000665B0">
        <w:t xml:space="preserve">In certain scenarios, the Build process will fail to create any missions. The TMPR state will be Infeasible and will contain an error message stating that TPS was unable to create the </w:t>
      </w:r>
      <w:r w:rsidRPr="000665B0">
        <w:lastRenderedPageBreak/>
        <w:t>Aimpoint with the given data. This may occur when selecting an existing BE/OSuffix/Aimpoint target in the Quick Strike, but that same target has already been used in a previous Attack Plan TMPR. To recover, reinitiate a new Quick Strike and select a TTN target.</w:t>
      </w:r>
    </w:p>
    <w:p w14:paraId="780DCFC0" w14:textId="28D65843" w:rsidR="00F515CB" w:rsidRPr="000665B0" w:rsidRDefault="00F515CB" w:rsidP="00AC2F7D">
      <w:pPr>
        <w:pStyle w:val="Heading4"/>
      </w:pPr>
      <w:bookmarkStart w:id="6882" w:name="_Hlk42680463"/>
      <w:r w:rsidRPr="000665B0">
        <w:t>Review</w:t>
      </w:r>
    </w:p>
    <w:p w14:paraId="44E7F2CF" w14:textId="179C2D1C" w:rsidR="00F515CB" w:rsidRDefault="00BA3F93" w:rsidP="00AC2F7D">
      <w:r w:rsidRPr="000665B0">
        <w:t xml:space="preserve">The </w:t>
      </w:r>
      <w:r w:rsidRPr="000665B0">
        <w:rPr>
          <w:b/>
        </w:rPr>
        <w:t xml:space="preserve">Review </w:t>
      </w:r>
      <w:r w:rsidRPr="000665B0">
        <w:t xml:space="preserve">button is enabled only after the QS is successfully built. </w:t>
      </w:r>
      <w:r w:rsidR="00F515CB" w:rsidRPr="000665B0">
        <w:t xml:space="preserve">If desired, click the </w:t>
      </w:r>
      <w:r w:rsidR="00F515CB" w:rsidRPr="000665B0">
        <w:rPr>
          <w:b/>
        </w:rPr>
        <w:t>Review</w:t>
      </w:r>
      <w:r w:rsidR="00F515CB" w:rsidRPr="000665B0">
        <w:t xml:space="preserve"> button to display and review the auto-generated Attack Plan TMPR in read-only format. Reviewing the TMPR may be used to determine the status of the eTPS mission creation, including any eTPS error reporting.</w:t>
      </w:r>
    </w:p>
    <w:p w14:paraId="115AC4FF" w14:textId="637B647E" w:rsidR="00F515CB" w:rsidRPr="000665B0" w:rsidRDefault="002B0E17" w:rsidP="003260B4">
      <w:pPr>
        <w:jc w:val="center"/>
      </w:pPr>
      <w:r w:rsidRPr="002B0E17">
        <w:rPr>
          <w:noProof/>
        </w:rPr>
        <w:drawing>
          <wp:inline distT="0" distB="0" distL="0" distR="0" wp14:anchorId="61CF5ECA" wp14:editId="29C202C1">
            <wp:extent cx="2568627" cy="3133725"/>
            <wp:effectExtent l="0" t="0" r="0" b="0"/>
            <wp:docPr id="199" name="Picture 3" descr="Graphical user interface, application&#10;&#10;Description automatically generated">
              <a:extLst xmlns:a="http://schemas.openxmlformats.org/drawingml/2006/main">
                <a:ext uri="{FF2B5EF4-FFF2-40B4-BE49-F238E27FC236}">
                  <a16:creationId xmlns:a16="http://schemas.microsoft.com/office/drawing/2014/main" id="{D21496D0-E957-45CA-9558-990B0E9AFB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3" descr="Graphical user interface, application&#10;&#10;Description automatically generated">
                      <a:extLst>
                        <a:ext uri="{FF2B5EF4-FFF2-40B4-BE49-F238E27FC236}">
                          <a16:creationId xmlns:a16="http://schemas.microsoft.com/office/drawing/2014/main" id="{D21496D0-E957-45CA-9558-990B0E9AFB8A}"/>
                        </a:ext>
                      </a:extLst>
                    </pic:cNvPr>
                    <pic:cNvPicPr>
                      <a:picLocks noChangeAspect="1"/>
                    </pic:cNvPicPr>
                  </pic:nvPicPr>
                  <pic:blipFill>
                    <a:blip/>
                    <a:stretch>
                      <a:fillRect/>
                    </a:stretch>
                  </pic:blipFill>
                  <pic:spPr>
                    <a:xfrm>
                      <a:off x="0" y="0"/>
                      <a:ext cx="2602001" cy="3174441"/>
                    </a:xfrm>
                    <a:prstGeom prst="rect">
                      <a:avLst/>
                    </a:prstGeom>
                  </pic:spPr>
                </pic:pic>
              </a:graphicData>
            </a:graphic>
          </wp:inline>
        </w:drawing>
      </w:r>
    </w:p>
    <w:bookmarkEnd w:id="6882"/>
    <w:p w14:paraId="62441D49" w14:textId="77777777" w:rsidR="00F515CB" w:rsidRPr="000665B0" w:rsidRDefault="00F515CB" w:rsidP="00F515CB">
      <w:pPr>
        <w:pStyle w:val="Heading4"/>
      </w:pPr>
      <w:r w:rsidRPr="000665B0">
        <w:t>Rehearse/Execute</w:t>
      </w:r>
    </w:p>
    <w:p w14:paraId="6A2471A1" w14:textId="501D13CB" w:rsidR="00F515CB" w:rsidRPr="000665B0" w:rsidRDefault="00F515CB" w:rsidP="00AC2F7D">
      <w:r w:rsidRPr="000665B0">
        <w:t xml:space="preserve">The </w:t>
      </w:r>
      <w:r w:rsidRPr="000665B0">
        <w:rPr>
          <w:b/>
        </w:rPr>
        <w:t xml:space="preserve">Rehearse </w:t>
      </w:r>
      <w:r w:rsidRPr="000665B0">
        <w:t>and</w:t>
      </w:r>
      <w:r w:rsidRPr="000665B0">
        <w:rPr>
          <w:b/>
        </w:rPr>
        <w:t xml:space="preserve"> Execute</w:t>
      </w:r>
      <w:r w:rsidRPr="000665B0">
        <w:t xml:space="preserve"> buttons are enabled only after the QS is successfully built. The </w:t>
      </w:r>
      <w:r w:rsidRPr="000665B0">
        <w:rPr>
          <w:b/>
        </w:rPr>
        <w:t>Rehearse</w:t>
      </w:r>
      <w:r w:rsidRPr="000665B0">
        <w:t xml:space="preserve"> button commences strike rehearsal and launches the SMD</w:t>
      </w:r>
      <w:r w:rsidR="005559D0" w:rsidRPr="000665B0">
        <w:t xml:space="preserve"> (see </w:t>
      </w:r>
      <w:hyperlink w:anchor="_Activate__a" w:history="1">
        <w:r w:rsidR="005559D0" w:rsidRPr="000665B0">
          <w:rPr>
            <w:rStyle w:val="Hyperlink"/>
          </w:rPr>
          <w:t xml:space="preserve">Section </w:t>
        </w:r>
        <w:r w:rsidR="004231CC">
          <w:rPr>
            <w:rStyle w:val="Hyperlink"/>
          </w:rPr>
          <w:t>5.35</w:t>
        </w:r>
        <w:r w:rsidR="005559D0" w:rsidRPr="000665B0">
          <w:rPr>
            <w:rStyle w:val="Hyperlink"/>
          </w:rPr>
          <w:t>.3</w:t>
        </w:r>
      </w:hyperlink>
      <w:r w:rsidR="00750E0A">
        <w:t xml:space="preserve">) </w:t>
      </w:r>
      <w:r w:rsidRPr="000665B0">
        <w:t xml:space="preserve">and TSRT (see </w:t>
      </w:r>
      <w:hyperlink w:anchor="_TSRT__SCENARIO" w:history="1">
        <w:r w:rsidR="005559D0" w:rsidRPr="000665B0">
          <w:rPr>
            <w:rStyle w:val="Hyperlink"/>
          </w:rPr>
          <w:t xml:space="preserve">Section </w:t>
        </w:r>
        <w:r w:rsidR="004231CC">
          <w:rPr>
            <w:rStyle w:val="Hyperlink"/>
          </w:rPr>
          <w:t>5.37</w:t>
        </w:r>
      </w:hyperlink>
      <w:r w:rsidRPr="000665B0">
        <w:t xml:space="preserve">). The </w:t>
      </w:r>
      <w:r w:rsidRPr="000665B0">
        <w:rPr>
          <w:b/>
        </w:rPr>
        <w:t>Execute</w:t>
      </w:r>
      <w:r w:rsidRPr="000665B0">
        <w:t xml:space="preserve"> button commences execution and launches the SMD (see </w:t>
      </w:r>
      <w:hyperlink w:anchor="_Activate__a" w:history="1">
        <w:r w:rsidR="00E036B6" w:rsidRPr="000665B0">
          <w:rPr>
            <w:rStyle w:val="Hyperlink"/>
          </w:rPr>
          <w:t xml:space="preserve">Section </w:t>
        </w:r>
        <w:r w:rsidR="004231CC">
          <w:rPr>
            <w:rStyle w:val="Hyperlink"/>
          </w:rPr>
          <w:t>5.35</w:t>
        </w:r>
        <w:r w:rsidR="00A75F67" w:rsidRPr="000665B0">
          <w:rPr>
            <w:rStyle w:val="Hyperlink"/>
          </w:rPr>
          <w:t>.3</w:t>
        </w:r>
      </w:hyperlink>
      <w:r w:rsidRPr="000665B0">
        <w:t>).</w:t>
      </w:r>
      <w:r w:rsidR="00B253FD" w:rsidRPr="000665B0">
        <w:t xml:space="preserve"> Similar to activating a SEF, Pre-Strike Analysis automatically run</w:t>
      </w:r>
      <w:r w:rsidR="000003BC" w:rsidRPr="000665B0">
        <w:t>s</w:t>
      </w:r>
      <w:r w:rsidR="00B253FD" w:rsidRPr="000665B0">
        <w:t xml:space="preserve"> in the background (see </w:t>
      </w:r>
      <w:hyperlink w:anchor="_Activate__a" w:history="1">
        <w:r w:rsidR="00E036B6" w:rsidRPr="000665B0">
          <w:rPr>
            <w:rStyle w:val="Hyperlink"/>
          </w:rPr>
          <w:t xml:space="preserve">Section </w:t>
        </w:r>
        <w:r w:rsidR="004231CC">
          <w:rPr>
            <w:rStyle w:val="Hyperlink"/>
          </w:rPr>
          <w:t>5.35</w:t>
        </w:r>
        <w:r w:rsidR="00B253FD" w:rsidRPr="000665B0">
          <w:rPr>
            <w:rStyle w:val="Hyperlink"/>
          </w:rPr>
          <w:t>.3</w:t>
        </w:r>
      </w:hyperlink>
      <w:r w:rsidR="00B253FD" w:rsidRPr="000665B0">
        <w:t>).</w:t>
      </w:r>
    </w:p>
    <w:p w14:paraId="13280DD9" w14:textId="77777777" w:rsidR="00F515CB" w:rsidRPr="000665B0" w:rsidRDefault="00F515CB" w:rsidP="00F515CB">
      <w:pPr>
        <w:pStyle w:val="Heading4"/>
      </w:pPr>
      <w:r w:rsidRPr="000665B0">
        <w:t>Send to TTWCS</w:t>
      </w:r>
    </w:p>
    <w:p w14:paraId="02A807F1" w14:textId="77777777" w:rsidR="00F515CB" w:rsidRPr="000665B0" w:rsidRDefault="00F515CB" w:rsidP="00F515CB">
      <w:pPr>
        <w:rPr>
          <w:szCs w:val="24"/>
        </w:rPr>
      </w:pPr>
      <w:r w:rsidRPr="000665B0">
        <w:t xml:space="preserve">The </w:t>
      </w:r>
      <w:r w:rsidRPr="000665B0">
        <w:rPr>
          <w:b/>
        </w:rPr>
        <w:t>Send to TTWCS</w:t>
      </w:r>
      <w:r w:rsidRPr="000665B0">
        <w:t xml:space="preserve"> button is enabled only after the QS is successfully built. The </w:t>
      </w:r>
      <w:r w:rsidRPr="000665B0">
        <w:rPr>
          <w:b/>
        </w:rPr>
        <w:t>Send to TTWCS</w:t>
      </w:r>
      <w:r w:rsidRPr="000665B0">
        <w:t xml:space="preserve"> button </w:t>
      </w:r>
      <w:r w:rsidRPr="000665B0">
        <w:rPr>
          <w:szCs w:val="24"/>
        </w:rPr>
        <w:t xml:space="preserve">performs the following steps: </w:t>
      </w:r>
    </w:p>
    <w:p w14:paraId="03454E52" w14:textId="32B1B7CA" w:rsidR="00F515CB" w:rsidRPr="000665B0" w:rsidRDefault="00F515CB" w:rsidP="006D5A65">
      <w:pPr>
        <w:pStyle w:val="Heading1"/>
      </w:pPr>
      <w:r w:rsidRPr="000665B0">
        <w:lastRenderedPageBreak/>
        <w:t xml:space="preserve">Automatically </w:t>
      </w:r>
      <w:r w:rsidR="00E5758C" w:rsidRPr="000665B0">
        <w:t>sends the strike</w:t>
      </w:r>
      <w:r w:rsidRPr="000665B0">
        <w:t xml:space="preserve"> DDO addressed to the FRU’s TTWCS, corresponding to the Platform of the FRU in the Quick Strike.</w:t>
      </w:r>
    </w:p>
    <w:p w14:paraId="72584B82" w14:textId="5A29D0D8" w:rsidR="00E5758C" w:rsidRPr="000665B0" w:rsidRDefault="00E5758C" w:rsidP="006D5A65">
      <w:pPr>
        <w:pStyle w:val="Heading1"/>
      </w:pPr>
      <w:r w:rsidRPr="000665B0">
        <w:t xml:space="preserve">Updates the Outgoing DDOs tool list view to record transmission of the DDO to the FRU’s TTWCS. </w:t>
      </w:r>
    </w:p>
    <w:p w14:paraId="141E5E61" w14:textId="0BA7D22A" w:rsidR="00F515CB" w:rsidRPr="000665B0" w:rsidRDefault="00F515CB" w:rsidP="006D5A65">
      <w:pPr>
        <w:pStyle w:val="Heading1"/>
      </w:pPr>
      <w:r w:rsidRPr="000665B0">
        <w:t xml:space="preserve">Performs TTWCS evaluation and displays errors </w:t>
      </w:r>
      <w:r w:rsidR="003F23B5" w:rsidRPr="000665B0">
        <w:t>(</w:t>
      </w:r>
      <w:r w:rsidRPr="000665B0">
        <w:t>if present</w:t>
      </w:r>
      <w:r w:rsidR="003F23B5" w:rsidRPr="000665B0">
        <w:t>)</w:t>
      </w:r>
      <w:r w:rsidR="00E5758C" w:rsidRPr="000665B0">
        <w:t xml:space="preserve"> in the Outgoing DDOs tool or Strike Folder’s Distribution Dashboard</w:t>
      </w:r>
      <w:r w:rsidRPr="000665B0">
        <w:t xml:space="preserve">, similar to sending a Strike Option (see </w:t>
      </w:r>
      <w:hyperlink w:anchor="_5.37.10__Send" w:history="1">
        <w:r w:rsidR="009326FE" w:rsidRPr="000665B0">
          <w:rPr>
            <w:rStyle w:val="Hyperlink"/>
            <w:szCs w:val="24"/>
          </w:rPr>
          <w:t xml:space="preserve">Section </w:t>
        </w:r>
        <w:r w:rsidR="004231CC">
          <w:rPr>
            <w:rStyle w:val="Hyperlink"/>
            <w:szCs w:val="24"/>
          </w:rPr>
          <w:t>5.34</w:t>
        </w:r>
        <w:r w:rsidRPr="000665B0">
          <w:rPr>
            <w:rStyle w:val="Hyperlink"/>
            <w:szCs w:val="24"/>
          </w:rPr>
          <w:t>.11</w:t>
        </w:r>
      </w:hyperlink>
      <w:r w:rsidRPr="000665B0">
        <w:t>). If the evaluation passes, the following is sent to TTWCS:</w:t>
      </w:r>
    </w:p>
    <w:p w14:paraId="6C1774F0" w14:textId="77777777" w:rsidR="00F515CB" w:rsidRPr="000665B0" w:rsidRDefault="00F515CB" w:rsidP="006D5A65">
      <w:pPr>
        <w:pStyle w:val="Heading2"/>
      </w:pPr>
      <w:r w:rsidRPr="000665B0">
        <w:t>Strike Package</w:t>
      </w:r>
    </w:p>
    <w:p w14:paraId="5AEE10B1" w14:textId="77777777" w:rsidR="00F515CB" w:rsidRPr="000665B0" w:rsidRDefault="00F515CB" w:rsidP="006D5A65">
      <w:pPr>
        <w:pStyle w:val="Heading2"/>
      </w:pPr>
      <w:r w:rsidRPr="000665B0">
        <w:t>Assignment missions (includes DSMACs, TERCOMs, Targets)</w:t>
      </w:r>
    </w:p>
    <w:p w14:paraId="7A034784" w14:textId="4390186B" w:rsidR="00F515CB" w:rsidRPr="000665B0" w:rsidRDefault="00F515CB" w:rsidP="006D5A65">
      <w:pPr>
        <w:pStyle w:val="Heading2"/>
      </w:pPr>
      <w:r w:rsidRPr="000665B0">
        <w:t xml:space="preserve">ACMS that can be sent to TTWCS (Prohibited Area, Operational Area, Loiter Area, </w:t>
      </w:r>
      <w:r w:rsidR="00A3422F" w:rsidRPr="000665B0">
        <w:t xml:space="preserve">POB, </w:t>
      </w:r>
      <w:r w:rsidRPr="000665B0">
        <w:t xml:space="preserve">Flight Corridor, Launch Area, and FPPWP). Loiter Area </w:t>
      </w:r>
      <w:r w:rsidR="00A3422F" w:rsidRPr="000665B0">
        <w:t xml:space="preserve">and POB </w:t>
      </w:r>
      <w:r w:rsidRPr="000665B0">
        <w:t xml:space="preserve">ACMSs cannot be sent to eTPS for Attack Plan </w:t>
      </w:r>
      <w:r w:rsidR="00704164" w:rsidRPr="000665B0">
        <w:t>TMPRs,</w:t>
      </w:r>
      <w:r w:rsidRPr="000665B0">
        <w:t xml:space="preserve"> but they will be sent via the Strike Option if they are included in an ACMS Library.</w:t>
      </w:r>
    </w:p>
    <w:p w14:paraId="6ADB7E66" w14:textId="77777777" w:rsidR="00F515CB" w:rsidRPr="000665B0" w:rsidRDefault="00F515CB" w:rsidP="006D5A65">
      <w:pPr>
        <w:pStyle w:val="Heading1"/>
      </w:pPr>
      <w:r w:rsidRPr="000665B0">
        <w:t>Updates the Quick Strike Status pane with acknowledgement of the send.</w:t>
      </w:r>
    </w:p>
    <w:p w14:paraId="5A971300" w14:textId="77777777" w:rsidR="00A3422F" w:rsidRPr="000665B0" w:rsidRDefault="00F515CB" w:rsidP="00AC2F7D">
      <w:r w:rsidRPr="000665B0">
        <w:rPr>
          <w:szCs w:val="24"/>
        </w:rPr>
        <w:t>The DDO may be viewed in the Outgoing DDOs Tool.</w:t>
      </w:r>
      <w:r w:rsidRPr="000665B0">
        <w:t xml:space="preserve"> </w:t>
      </w:r>
    </w:p>
    <w:p w14:paraId="018CFB2E" w14:textId="70C0D032" w:rsidR="00F515CB" w:rsidRPr="000665B0" w:rsidRDefault="00A3422F" w:rsidP="00AC2F7D">
      <w:r w:rsidRPr="000665B0">
        <w:rPr>
          <w:snapToGrid w:val="0"/>
        </w:rPr>
        <w:t>Attack Plan TMPRs distributed to a pre-6.0 system will NOT be processed by the receiving MDS.</w:t>
      </w:r>
    </w:p>
    <w:p w14:paraId="188CCB63" w14:textId="77777777" w:rsidR="00F515CB" w:rsidRPr="000665B0" w:rsidRDefault="00F515CB" w:rsidP="003467FD">
      <w:pPr>
        <w:pStyle w:val="Heading3"/>
      </w:pPr>
      <w:bookmarkStart w:id="6883" w:name="_Delete"/>
      <w:bookmarkStart w:id="6884" w:name="_Toc214283595"/>
      <w:bookmarkEnd w:id="6883"/>
      <w:r w:rsidRPr="000665B0">
        <w:t>Delete</w:t>
      </w:r>
      <w:bookmarkEnd w:id="6884"/>
      <w:r w:rsidRPr="000665B0">
        <w:t xml:space="preserve"> </w:t>
      </w:r>
    </w:p>
    <w:p w14:paraId="6C6346DE" w14:textId="7DD622DD" w:rsidR="00F515CB" w:rsidRPr="000665B0" w:rsidRDefault="00F02F03" w:rsidP="00F515CB">
      <w:pPr>
        <w:keepNext/>
        <w:tabs>
          <w:tab w:val="left" w:pos="720"/>
        </w:tabs>
        <w:rPr>
          <w:noProof/>
        </w:rPr>
      </w:pPr>
      <w:r w:rsidRPr="000665B0">
        <w:t>See</w:t>
      </w:r>
      <w:r w:rsidR="00F515CB" w:rsidRPr="000665B0">
        <w:t xml:space="preserve"> </w:t>
      </w:r>
      <w:hyperlink w:anchor="_5.2.1.6__Delete" w:history="1">
        <w:r w:rsidR="00F515CB" w:rsidRPr="000665B0">
          <w:rPr>
            <w:rStyle w:val="Hyperlink"/>
          </w:rPr>
          <w:t>Section 5.2.1.6</w:t>
        </w:r>
      </w:hyperlink>
      <w:r w:rsidR="00F515CB" w:rsidRPr="000665B0">
        <w:t>. A Quick Strike can’t be deleted if any of the Strike Options contained in the folder are currently being executed on the local TED.</w:t>
      </w:r>
      <w:r w:rsidR="00F515CB" w:rsidRPr="000665B0">
        <w:rPr>
          <w:noProof/>
        </w:rPr>
        <w:t xml:space="preserve"> </w:t>
      </w:r>
    </w:p>
    <w:p w14:paraId="37A296F1" w14:textId="12E717A3" w:rsidR="00F515CB" w:rsidRPr="000665B0" w:rsidRDefault="008467E0" w:rsidP="00F515CB">
      <w:pPr>
        <w:tabs>
          <w:tab w:val="left" w:pos="720"/>
        </w:tabs>
        <w:jc w:val="center"/>
      </w:pPr>
      <w:r w:rsidRPr="000665B0">
        <w:rPr>
          <w:noProof/>
        </w:rPr>
        <w:drawing>
          <wp:inline distT="0" distB="0" distL="0" distR="0" wp14:anchorId="2FD2B9F0" wp14:editId="215F8540">
            <wp:extent cx="2971800" cy="1133856"/>
            <wp:effectExtent l="0" t="0" r="0" b="0"/>
            <wp:docPr id="1955" name="Picture 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971800" cy="1133856"/>
                    </a:xfrm>
                    <a:prstGeom prst="rect">
                      <a:avLst/>
                    </a:prstGeom>
                  </pic:spPr>
                </pic:pic>
              </a:graphicData>
            </a:graphic>
          </wp:inline>
        </w:drawing>
      </w:r>
    </w:p>
    <w:p w14:paraId="73856727" w14:textId="5AACA3BD" w:rsidR="00F515CB" w:rsidRPr="000665B0" w:rsidRDefault="00DC4F40" w:rsidP="00AC2F7D">
      <w:pPr>
        <w:keepNext/>
        <w:tabs>
          <w:tab w:val="left" w:pos="720"/>
        </w:tabs>
      </w:pPr>
      <w:r w:rsidRPr="000665B0">
        <w:lastRenderedPageBreak/>
        <w:t>Quick Strikes that are deleted in the Quick Strike Tool are also deleted from the Strike Folders Tool and Strike Execution (if applicable). Similarly, Quick Strikes that are deleted in the Strike Folders Tool are also deleted from the Quick Strike Tool.</w:t>
      </w:r>
    </w:p>
    <w:p w14:paraId="5FD32792" w14:textId="77777777" w:rsidR="00F515CB" w:rsidRPr="000665B0" w:rsidRDefault="00F515CB" w:rsidP="00F515CB">
      <w:pPr>
        <w:tabs>
          <w:tab w:val="left" w:pos="720"/>
        </w:tabs>
        <w:jc w:val="center"/>
      </w:pPr>
      <w:r w:rsidRPr="000665B0">
        <w:rPr>
          <w:noProof/>
        </w:rPr>
        <w:drawing>
          <wp:inline distT="0" distB="0" distL="0" distR="0" wp14:anchorId="4ABD14B7" wp14:editId="51674FF7">
            <wp:extent cx="2971800" cy="1271016"/>
            <wp:effectExtent l="0" t="0" r="0" b="0"/>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971800" cy="1271016"/>
                    </a:xfrm>
                    <a:prstGeom prst="rect">
                      <a:avLst/>
                    </a:prstGeom>
                  </pic:spPr>
                </pic:pic>
              </a:graphicData>
            </a:graphic>
          </wp:inline>
        </w:drawing>
      </w:r>
    </w:p>
    <w:p w14:paraId="42A1F52A" w14:textId="77777777" w:rsidR="00F515CB" w:rsidRPr="000665B0" w:rsidRDefault="00F515CB" w:rsidP="004A30DE">
      <w:pPr>
        <w:pStyle w:val="Heading3"/>
      </w:pPr>
      <w:bookmarkStart w:id="6885" w:name="_Toc214283596"/>
      <w:r w:rsidRPr="000665B0">
        <w:t>Receive File</w:t>
      </w:r>
      <w:bookmarkEnd w:id="6885"/>
      <w:r w:rsidRPr="000665B0">
        <w:t xml:space="preserve"> </w:t>
      </w:r>
    </w:p>
    <w:p w14:paraId="5A472007" w14:textId="122B0C37" w:rsidR="00F515CB" w:rsidRPr="000665B0" w:rsidRDefault="00F02F03" w:rsidP="00F515CB">
      <w:pPr>
        <w:tabs>
          <w:tab w:val="left" w:pos="720"/>
        </w:tabs>
      </w:pPr>
      <w:r w:rsidRPr="000665B0">
        <w:t>See</w:t>
      </w:r>
      <w:r w:rsidR="00F515CB" w:rsidRPr="000665B0">
        <w:t xml:space="preserve"> </w:t>
      </w:r>
      <w:hyperlink w:anchor="_Receive_File" w:history="1">
        <w:r w:rsidR="00F515CB" w:rsidRPr="000665B0">
          <w:rPr>
            <w:color w:val="0000FF"/>
            <w:u w:val="single"/>
          </w:rPr>
          <w:t>Section 5.2.1.7</w:t>
        </w:r>
      </w:hyperlink>
      <w:r w:rsidR="00F515CB" w:rsidRPr="000665B0">
        <w:t>.</w:t>
      </w:r>
    </w:p>
    <w:p w14:paraId="75A4893A" w14:textId="77777777" w:rsidR="00F515CB" w:rsidRPr="000665B0" w:rsidRDefault="00F515CB" w:rsidP="00F515CB">
      <w:pPr>
        <w:pStyle w:val="Heading3"/>
      </w:pPr>
      <w:bookmarkStart w:id="6886" w:name="_Toc214283597"/>
      <w:r w:rsidRPr="000665B0">
        <w:t>Select All</w:t>
      </w:r>
      <w:bookmarkEnd w:id="6886"/>
    </w:p>
    <w:p w14:paraId="44316A5C" w14:textId="10AC0AB3" w:rsidR="00F515CB" w:rsidRPr="000665B0" w:rsidRDefault="00F02F03" w:rsidP="00F515CB">
      <w:pPr>
        <w:spacing w:after="0"/>
      </w:pPr>
      <w:r w:rsidRPr="000665B0">
        <w:t>See</w:t>
      </w:r>
      <w:r w:rsidR="00F515CB" w:rsidRPr="000665B0">
        <w:t xml:space="preserve"> </w:t>
      </w:r>
      <w:hyperlink w:anchor="_Select_All" w:history="1">
        <w:r w:rsidR="00F515CB" w:rsidRPr="000665B0">
          <w:rPr>
            <w:rStyle w:val="Hyperlink"/>
          </w:rPr>
          <w:t>Section 5.2.2.1</w:t>
        </w:r>
      </w:hyperlink>
      <w:r w:rsidR="00F515CB" w:rsidRPr="000665B0">
        <w:t>.</w:t>
      </w:r>
    </w:p>
    <w:p w14:paraId="36CA21AA" w14:textId="77777777" w:rsidR="00F515CB" w:rsidRPr="000665B0" w:rsidRDefault="00F515CB" w:rsidP="00F515CB">
      <w:pPr>
        <w:pStyle w:val="Heading3"/>
      </w:pPr>
      <w:bookmarkStart w:id="6887" w:name="_Toc214283598"/>
      <w:r w:rsidRPr="000665B0">
        <w:t>Properties</w:t>
      </w:r>
      <w:bookmarkEnd w:id="6887"/>
    </w:p>
    <w:p w14:paraId="037A5339" w14:textId="68EF3659" w:rsidR="00F515CB" w:rsidRPr="000665B0" w:rsidRDefault="00F02F03" w:rsidP="00F515CB">
      <w:pPr>
        <w:tabs>
          <w:tab w:val="left" w:pos="720"/>
        </w:tabs>
      </w:pPr>
      <w:r w:rsidRPr="000665B0">
        <w:t>See</w:t>
      </w:r>
      <w:r w:rsidR="00F515CB" w:rsidRPr="000665B0">
        <w:t xml:space="preserve"> </w:t>
      </w:r>
      <w:hyperlink w:anchor="_Properties" w:history="1">
        <w:r w:rsidR="00A75813" w:rsidRPr="000665B0">
          <w:rPr>
            <w:rStyle w:val="Hyperlink"/>
          </w:rPr>
          <w:t>Section 5.2.3.5</w:t>
        </w:r>
      </w:hyperlink>
      <w:r w:rsidR="00F515CB" w:rsidRPr="000665B0">
        <w:t>.</w:t>
      </w:r>
    </w:p>
    <w:p w14:paraId="1CF8988C" w14:textId="77777777" w:rsidR="000E46CF" w:rsidRPr="000665B0" w:rsidRDefault="000E46CF" w:rsidP="000E46CF">
      <w:pPr>
        <w:pStyle w:val="Heading3"/>
      </w:pPr>
      <w:bookmarkStart w:id="6888" w:name="_Toc214283599"/>
      <w:r w:rsidRPr="000665B0">
        <w:t>Sort</w:t>
      </w:r>
      <w:bookmarkEnd w:id="6888"/>
    </w:p>
    <w:p w14:paraId="2F02E42F" w14:textId="2493640A" w:rsidR="000E46CF" w:rsidRPr="000665B0" w:rsidRDefault="00F02F03" w:rsidP="000E46CF">
      <w:pPr>
        <w:tabs>
          <w:tab w:val="left" w:pos="720"/>
        </w:tabs>
      </w:pPr>
      <w:r w:rsidRPr="000665B0">
        <w:t>See</w:t>
      </w:r>
      <w:r w:rsidR="000E46CF" w:rsidRPr="000665B0">
        <w:t xml:space="preserve"> </w:t>
      </w:r>
      <w:hyperlink w:anchor="_5.2.3.4.1__Sort" w:history="1">
        <w:r w:rsidR="00A75813" w:rsidRPr="000665B0">
          <w:rPr>
            <w:color w:val="0000FF"/>
            <w:u w:val="single"/>
          </w:rPr>
          <w:t>Section 5.2.3.5</w:t>
        </w:r>
        <w:r w:rsidR="000E46CF" w:rsidRPr="000665B0">
          <w:rPr>
            <w:color w:val="0000FF"/>
            <w:u w:val="single"/>
          </w:rPr>
          <w:t>.1</w:t>
        </w:r>
      </w:hyperlink>
      <w:r w:rsidR="000E46CF" w:rsidRPr="000665B0">
        <w:t>.</w:t>
      </w:r>
    </w:p>
    <w:p w14:paraId="06D76ABB" w14:textId="77777777" w:rsidR="00F515CB" w:rsidRPr="000665B0" w:rsidRDefault="00F515CB" w:rsidP="00F515CB">
      <w:pPr>
        <w:pStyle w:val="Heading3"/>
      </w:pPr>
      <w:bookmarkStart w:id="6889" w:name="_Find_1"/>
      <w:bookmarkStart w:id="6890" w:name="_Toc214283600"/>
      <w:bookmarkEnd w:id="6889"/>
      <w:r w:rsidRPr="000665B0">
        <w:t>Find</w:t>
      </w:r>
      <w:bookmarkEnd w:id="6890"/>
    </w:p>
    <w:p w14:paraId="1126442E" w14:textId="32080FF0" w:rsidR="00F515CB" w:rsidRPr="000665B0" w:rsidRDefault="00F02F03" w:rsidP="00F515CB">
      <w:pPr>
        <w:spacing w:after="0"/>
      </w:pPr>
      <w:r w:rsidRPr="000665B0">
        <w:t>See</w:t>
      </w:r>
      <w:r w:rsidR="00F515CB" w:rsidRPr="000665B0">
        <w:t xml:space="preserve"> </w:t>
      </w:r>
      <w:hyperlink w:anchor="_5.2.5.1__Find_1" w:history="1">
        <w:r w:rsidR="00F515CB" w:rsidRPr="000665B0">
          <w:rPr>
            <w:rStyle w:val="Hyperlink"/>
          </w:rPr>
          <w:t>Section 5.2.5.1</w:t>
        </w:r>
      </w:hyperlink>
      <w:r w:rsidR="00F515CB" w:rsidRPr="000665B0">
        <w:t>.</w:t>
      </w:r>
    </w:p>
    <w:p w14:paraId="04124DB0" w14:textId="77777777" w:rsidR="00F515CB" w:rsidRPr="000665B0" w:rsidRDefault="00F515CB" w:rsidP="00F515CB">
      <w:pPr>
        <w:pStyle w:val="Heading3"/>
      </w:pPr>
      <w:bookmarkStart w:id="6891" w:name="_Toc214283601"/>
      <w:r w:rsidRPr="000665B0">
        <w:t>Plugin Tool</w:t>
      </w:r>
      <w:bookmarkEnd w:id="6891"/>
    </w:p>
    <w:p w14:paraId="6755677A" w14:textId="23459F9C" w:rsidR="00ED7A0A" w:rsidRPr="000665B0" w:rsidRDefault="00F02F03" w:rsidP="003260B4">
      <w:pPr>
        <w:pStyle w:val="number020500"/>
        <w:ind w:left="0" w:firstLine="0"/>
      </w:pPr>
      <w:r w:rsidRPr="000665B0">
        <w:t>See</w:t>
      </w:r>
      <w:r w:rsidR="00F515CB" w:rsidRPr="000665B0">
        <w:t xml:space="preserve"> </w:t>
      </w:r>
      <w:hyperlink w:anchor="_Plugin__Tool" w:history="1">
        <w:r w:rsidR="00F515CB" w:rsidRPr="000665B0">
          <w:rPr>
            <w:rStyle w:val="Hyperlink"/>
          </w:rPr>
          <w:t>Section 5.2.5.2</w:t>
        </w:r>
      </w:hyperlink>
      <w:r w:rsidR="00F515CB" w:rsidRPr="000665B0">
        <w:t>.</w:t>
      </w:r>
    </w:p>
    <w:p w14:paraId="526F9B3F" w14:textId="77777777" w:rsidR="00ED7A0A" w:rsidRPr="000665B0" w:rsidRDefault="00ED7A0A" w:rsidP="00ED7A0A">
      <w:pPr>
        <w:pStyle w:val="BodyText"/>
        <w:spacing w:after="120"/>
      </w:pPr>
    </w:p>
    <w:p w14:paraId="62FD7B1F" w14:textId="77777777" w:rsidR="00A316EA" w:rsidRDefault="00A316EA" w:rsidP="00ED7A0A">
      <w:pPr>
        <w:pStyle w:val="BodyText"/>
        <w:spacing w:after="120"/>
      </w:pPr>
      <w:r>
        <w:br w:type="page"/>
      </w:r>
      <w:bookmarkStart w:id="6892" w:name="_TSRT__SCENARIO"/>
      <w:bookmarkStart w:id="6893" w:name="_TSRT_SCENARIO_DIRECTOR"/>
      <w:bookmarkStart w:id="6894" w:name="_Toc214283602"/>
      <w:bookmarkStart w:id="6895" w:name="_Hlk37253824"/>
      <w:bookmarkEnd w:id="6892"/>
      <w:bookmarkEnd w:id="6893"/>
      <w:r w:rsidR="00B35EE5" w:rsidRPr="000665B0">
        <w:lastRenderedPageBreak/>
        <w:t>TSRT SCENARIO DIRECTOR</w:t>
      </w:r>
      <w:bookmarkEnd w:id="6868"/>
      <w:bookmarkEnd w:id="6869"/>
      <w:bookmarkEnd w:id="6870"/>
      <w:bookmarkEnd w:id="6871"/>
      <w:bookmarkEnd w:id="6872"/>
      <w:bookmarkEnd w:id="6894"/>
    </w:p>
    <w:p w14:paraId="45DC8088" w14:textId="553953A5" w:rsidR="002335B0" w:rsidRPr="000665B0" w:rsidRDefault="007D190E" w:rsidP="002335B0">
      <w:bookmarkStart w:id="6896" w:name="_5.39.1__Strike_Rehearsal_Options"/>
      <w:bookmarkStart w:id="6897" w:name="_Toc101923352"/>
      <w:bookmarkStart w:id="6898" w:name="_Toc112733804"/>
      <w:bookmarkEnd w:id="6896"/>
      <w:r w:rsidRPr="000665B0">
        <w:t xml:space="preserve">The Scenario Director is the main TSRT command window </w:t>
      </w:r>
      <w:r w:rsidR="00800E90" w:rsidRPr="000665B0">
        <w:t xml:space="preserve">that is automatically opened </w:t>
      </w:r>
      <w:r w:rsidRPr="000665B0">
        <w:t>during strike rehearsal. A rehearsal of a strike option allows the strike planner to examine how the strike will execute, to insert complications into the rehearsal, and to exercise the Strike team in casualty response.</w:t>
      </w:r>
    </w:p>
    <w:p w14:paraId="373BC31D" w14:textId="0F31F071" w:rsidR="00B07C34" w:rsidRPr="000665B0" w:rsidRDefault="00B07C34" w:rsidP="002335B0">
      <w:r w:rsidRPr="000665B0">
        <w:t xml:space="preserve">For information on how to configure TSRT, see </w:t>
      </w:r>
      <w:hyperlink w:anchor="_APPENDIX_S_" w:history="1">
        <w:r w:rsidR="003E57B7" w:rsidRPr="000665B0">
          <w:rPr>
            <w:rStyle w:val="Hyperlink"/>
          </w:rPr>
          <w:t>Appendix R</w:t>
        </w:r>
      </w:hyperlink>
      <w:r w:rsidRPr="000665B0">
        <w:t>.</w:t>
      </w:r>
    </w:p>
    <w:p w14:paraId="0AB903FC" w14:textId="77777777" w:rsidR="002335B0" w:rsidRPr="000665B0" w:rsidRDefault="002335B0" w:rsidP="002335B0">
      <w:r w:rsidRPr="000665B0">
        <w:t>The Scenario Director is a configurable collection of windows. Each window displays a specific aspect of the running rehearsal. The windows are:</w:t>
      </w:r>
    </w:p>
    <w:p w14:paraId="76DA82DB" w14:textId="35E0A787" w:rsidR="002335B0" w:rsidRPr="000665B0" w:rsidRDefault="007D190E" w:rsidP="006D5A65">
      <w:pPr>
        <w:pStyle w:val="Heading1"/>
      </w:pPr>
      <w:bookmarkStart w:id="6899" w:name="VCR_Controls"/>
      <w:bookmarkEnd w:id="6899"/>
      <w:r w:rsidRPr="000665B0">
        <w:t xml:space="preserve">TSRT </w:t>
      </w:r>
      <w:r w:rsidR="00026307" w:rsidRPr="000665B0">
        <w:t xml:space="preserve">Time </w:t>
      </w:r>
      <w:r w:rsidR="002335B0" w:rsidRPr="000665B0">
        <w:t xml:space="preserve">Controls – </w:t>
      </w:r>
      <w:r w:rsidR="002E13EF" w:rsidRPr="000665B0">
        <w:t xml:space="preserve">Provides a mechanism to control the clock when running in a sim-clock mode. The operator can pause or </w:t>
      </w:r>
      <w:r w:rsidR="00974F53" w:rsidRPr="000665B0">
        <w:t xml:space="preserve">run </w:t>
      </w:r>
      <w:r w:rsidR="002E13EF" w:rsidRPr="000665B0">
        <w:t xml:space="preserve">a rehearsal, set the desired run-rate, and run to a specific time in the rehearsal. See </w:t>
      </w:r>
      <w:hyperlink w:anchor="_TSRT_Time_Controls" w:history="1">
        <w:r w:rsidR="002E13EF" w:rsidRPr="000665B0">
          <w:rPr>
            <w:rStyle w:val="Hyperlink"/>
          </w:rPr>
          <w:t xml:space="preserve">Section </w:t>
        </w:r>
        <w:r w:rsidR="004231CC">
          <w:rPr>
            <w:rStyle w:val="Hyperlink"/>
          </w:rPr>
          <w:t>5.37</w:t>
        </w:r>
        <w:r w:rsidR="002E13EF" w:rsidRPr="000665B0">
          <w:rPr>
            <w:rStyle w:val="Hyperlink"/>
          </w:rPr>
          <w:t>.2</w:t>
        </w:r>
      </w:hyperlink>
      <w:r w:rsidR="002E13EF" w:rsidRPr="000665B0">
        <w:t>.</w:t>
      </w:r>
    </w:p>
    <w:p w14:paraId="37DB011F" w14:textId="209415E1" w:rsidR="002335B0" w:rsidRPr="000665B0" w:rsidRDefault="002335B0" w:rsidP="006D5A65">
      <w:pPr>
        <w:pStyle w:val="Heading1"/>
      </w:pPr>
      <w:r w:rsidRPr="000665B0">
        <w:t xml:space="preserve">TSRT Gantt – </w:t>
      </w:r>
      <w:r w:rsidR="002E13EF" w:rsidRPr="000665B0">
        <w:t xml:space="preserve">Provides a chart identifying event times for a rehearsal. See </w:t>
      </w:r>
      <w:hyperlink w:anchor="_5.39.1__Gantt" w:history="1">
        <w:r w:rsidR="002E13EF" w:rsidRPr="000665B0">
          <w:rPr>
            <w:rStyle w:val="Hyperlink"/>
          </w:rPr>
          <w:t>Section</w:t>
        </w:r>
        <w:r w:rsidR="007645FA" w:rsidRPr="000665B0">
          <w:rPr>
            <w:rStyle w:val="Hyperlink"/>
          </w:rPr>
          <w:t xml:space="preserve"> </w:t>
        </w:r>
        <w:r w:rsidR="004231CC">
          <w:rPr>
            <w:rStyle w:val="Hyperlink"/>
          </w:rPr>
          <w:t>5.37</w:t>
        </w:r>
        <w:r w:rsidR="002E13EF" w:rsidRPr="000665B0">
          <w:rPr>
            <w:rStyle w:val="Hyperlink"/>
          </w:rPr>
          <w:t>.1</w:t>
        </w:r>
      </w:hyperlink>
      <w:r w:rsidR="002E13EF" w:rsidRPr="000665B0">
        <w:t>.</w:t>
      </w:r>
    </w:p>
    <w:p w14:paraId="67C6DBF3" w14:textId="74DB0625" w:rsidR="002E13EF" w:rsidRPr="000665B0" w:rsidRDefault="002E13EF" w:rsidP="006D5A65">
      <w:pPr>
        <w:pStyle w:val="Heading1"/>
      </w:pPr>
      <w:r w:rsidRPr="000665B0">
        <w:t xml:space="preserve">TSRT Geo – Provides a map view of the elements in a rehearsal. See </w:t>
      </w:r>
      <w:hyperlink w:anchor="_5.39.3__TSRT" w:history="1">
        <w:r w:rsidRPr="000665B0">
          <w:rPr>
            <w:rStyle w:val="Hyperlink"/>
          </w:rPr>
          <w:t xml:space="preserve">Section </w:t>
        </w:r>
        <w:r w:rsidR="004231CC">
          <w:rPr>
            <w:rStyle w:val="Hyperlink"/>
          </w:rPr>
          <w:t>5.37</w:t>
        </w:r>
        <w:r w:rsidRPr="000665B0">
          <w:rPr>
            <w:rStyle w:val="Hyperlink"/>
          </w:rPr>
          <w:t>.3</w:t>
        </w:r>
      </w:hyperlink>
      <w:r w:rsidRPr="000665B0">
        <w:t>.</w:t>
      </w:r>
    </w:p>
    <w:p w14:paraId="52F0E360" w14:textId="1DF84B8E" w:rsidR="002E13EF" w:rsidRPr="000665B0" w:rsidRDefault="002E13EF" w:rsidP="006D5A65">
      <w:pPr>
        <w:pStyle w:val="Heading1"/>
      </w:pPr>
      <w:r w:rsidRPr="000665B0">
        <w:t xml:space="preserve">FRU Status – Shows the status of all FRUs involved in the rehearsal. See </w:t>
      </w:r>
      <w:hyperlink w:anchor="_FRU_Status_1" w:history="1">
        <w:r w:rsidRPr="000665B0">
          <w:rPr>
            <w:rStyle w:val="Hyperlink"/>
          </w:rPr>
          <w:t xml:space="preserve">Section </w:t>
        </w:r>
        <w:r w:rsidR="004231CC">
          <w:rPr>
            <w:rStyle w:val="Hyperlink"/>
          </w:rPr>
          <w:t>5.37</w:t>
        </w:r>
        <w:r w:rsidRPr="000665B0">
          <w:rPr>
            <w:rStyle w:val="Hyperlink"/>
          </w:rPr>
          <w:t>.4</w:t>
        </w:r>
      </w:hyperlink>
      <w:r w:rsidRPr="000665B0">
        <w:t>.</w:t>
      </w:r>
    </w:p>
    <w:p w14:paraId="7E4FBB81" w14:textId="4F17DCAE" w:rsidR="002E13EF" w:rsidRPr="000665B0" w:rsidRDefault="002E13EF" w:rsidP="006D5A65">
      <w:pPr>
        <w:pStyle w:val="Heading1"/>
      </w:pPr>
      <w:r w:rsidRPr="000665B0">
        <w:t xml:space="preserve">Missile Status – Shows the status of all missiles involved in the rehearsal. See </w:t>
      </w:r>
      <w:hyperlink w:anchor="_Missile_Status_1" w:history="1">
        <w:r w:rsidRPr="000665B0">
          <w:rPr>
            <w:rStyle w:val="Hyperlink"/>
          </w:rPr>
          <w:t>Section</w:t>
        </w:r>
        <w:r w:rsidR="007645FA" w:rsidRPr="000665B0">
          <w:rPr>
            <w:rStyle w:val="Hyperlink"/>
          </w:rPr>
          <w:t xml:space="preserve"> </w:t>
        </w:r>
        <w:r w:rsidR="004231CC">
          <w:rPr>
            <w:rStyle w:val="Hyperlink"/>
          </w:rPr>
          <w:t>5.37</w:t>
        </w:r>
        <w:r w:rsidRPr="000665B0">
          <w:rPr>
            <w:rStyle w:val="Hyperlink"/>
          </w:rPr>
          <w:t>.5</w:t>
        </w:r>
      </w:hyperlink>
      <w:r w:rsidRPr="000665B0">
        <w:t>.</w:t>
      </w:r>
    </w:p>
    <w:p w14:paraId="53D937B4" w14:textId="1C90E1FD" w:rsidR="002E13EF" w:rsidRPr="000665B0" w:rsidRDefault="002E13EF" w:rsidP="006D5A65">
      <w:pPr>
        <w:pStyle w:val="Heading1"/>
      </w:pPr>
      <w:r w:rsidRPr="000665B0">
        <w:t xml:space="preserve">Complications – Shows all complications that are applied to all entities (FRUs, missiles, TSN, and Legacy </w:t>
      </w:r>
      <w:r w:rsidR="006D3FE3" w:rsidRPr="000665B0">
        <w:t>[</w:t>
      </w:r>
      <w:r w:rsidRPr="000665B0">
        <w:t>OTH</w:t>
      </w:r>
      <w:r w:rsidR="006D3FE3" w:rsidRPr="000665B0">
        <w:t xml:space="preserve">] </w:t>
      </w:r>
      <w:r w:rsidRPr="000665B0">
        <w:t xml:space="preserve">Comms) involved in the rehearsal. From here, the operator can edit or delete any complication in the scenario. See </w:t>
      </w:r>
      <w:hyperlink w:anchor="_5.39.6__Complications_1" w:history="1">
        <w:r w:rsidRPr="000665B0">
          <w:rPr>
            <w:rStyle w:val="Hyperlink"/>
          </w:rPr>
          <w:t xml:space="preserve">Section </w:t>
        </w:r>
        <w:r w:rsidR="004231CC">
          <w:rPr>
            <w:rStyle w:val="Hyperlink"/>
          </w:rPr>
          <w:t>5.37</w:t>
        </w:r>
        <w:r w:rsidRPr="000665B0">
          <w:rPr>
            <w:rStyle w:val="Hyperlink"/>
          </w:rPr>
          <w:t>.6</w:t>
        </w:r>
      </w:hyperlink>
      <w:r w:rsidRPr="000665B0">
        <w:t>.</w:t>
      </w:r>
    </w:p>
    <w:p w14:paraId="4F3AC756" w14:textId="45CC558E" w:rsidR="002E13EF" w:rsidRPr="000665B0" w:rsidRDefault="002E13EF" w:rsidP="006D5A65">
      <w:pPr>
        <w:pStyle w:val="Heading1"/>
      </w:pPr>
      <w:r w:rsidRPr="000665B0">
        <w:t xml:space="preserve">Missile Log </w:t>
      </w:r>
      <w:r w:rsidR="006D3FE3" w:rsidRPr="000665B0">
        <w:t>–</w:t>
      </w:r>
      <w:r w:rsidRPr="000665B0">
        <w:t xml:space="preserve"> Shows missile activity information for each missile in the rehearsal. See </w:t>
      </w:r>
      <w:hyperlink w:anchor="_5.39.7__Missile" w:history="1">
        <w:r w:rsidRPr="000665B0">
          <w:rPr>
            <w:rStyle w:val="Hyperlink"/>
          </w:rPr>
          <w:t xml:space="preserve">Section </w:t>
        </w:r>
        <w:r w:rsidR="004231CC">
          <w:rPr>
            <w:rStyle w:val="Hyperlink"/>
          </w:rPr>
          <w:t>5.37</w:t>
        </w:r>
        <w:r w:rsidRPr="000665B0">
          <w:rPr>
            <w:rStyle w:val="Hyperlink"/>
          </w:rPr>
          <w:t>.7</w:t>
        </w:r>
      </w:hyperlink>
      <w:r w:rsidRPr="000665B0">
        <w:t>.</w:t>
      </w:r>
    </w:p>
    <w:p w14:paraId="1CFE0B02" w14:textId="1AB59FFB" w:rsidR="002E13EF" w:rsidRPr="000665B0" w:rsidRDefault="002E13EF" w:rsidP="006D5A65">
      <w:pPr>
        <w:pStyle w:val="Heading1"/>
      </w:pPr>
      <w:r w:rsidRPr="000665B0">
        <w:t xml:space="preserve">FRU Log – Shows FRU activity information for each FRU in the rehearsal. See </w:t>
      </w:r>
      <w:hyperlink w:anchor="_5.39.8__FRU" w:history="1">
        <w:r w:rsidRPr="000665B0">
          <w:rPr>
            <w:rStyle w:val="Hyperlink"/>
          </w:rPr>
          <w:t>Section</w:t>
        </w:r>
        <w:r w:rsidR="007645FA" w:rsidRPr="000665B0">
          <w:rPr>
            <w:rStyle w:val="Hyperlink"/>
          </w:rPr>
          <w:t xml:space="preserve"> </w:t>
        </w:r>
        <w:r w:rsidR="004231CC">
          <w:rPr>
            <w:rStyle w:val="Hyperlink"/>
          </w:rPr>
          <w:t>5.37</w:t>
        </w:r>
        <w:r w:rsidRPr="000665B0">
          <w:rPr>
            <w:rStyle w:val="Hyperlink"/>
          </w:rPr>
          <w:t>.8</w:t>
        </w:r>
      </w:hyperlink>
      <w:r w:rsidRPr="000665B0">
        <w:t>.</w:t>
      </w:r>
    </w:p>
    <w:p w14:paraId="58F8FA41" w14:textId="23CB91C2" w:rsidR="002E13EF" w:rsidRPr="000665B0" w:rsidRDefault="002E13EF" w:rsidP="006D5A65">
      <w:pPr>
        <w:pStyle w:val="Heading1"/>
      </w:pPr>
      <w:r w:rsidRPr="000665B0">
        <w:t xml:space="preserve">H&amp;S Log – Shows Health and Status messages that have been transmitted during the rehearsal. From here, the operator can display a Health and Status message textually. See </w:t>
      </w:r>
      <w:hyperlink w:anchor="_5.39.9__Health" w:history="1">
        <w:r w:rsidRPr="000665B0">
          <w:rPr>
            <w:rStyle w:val="Hyperlink"/>
          </w:rPr>
          <w:t xml:space="preserve">Section </w:t>
        </w:r>
        <w:r w:rsidR="004231CC">
          <w:rPr>
            <w:rStyle w:val="Hyperlink"/>
          </w:rPr>
          <w:t>5.37</w:t>
        </w:r>
        <w:r w:rsidRPr="000665B0">
          <w:rPr>
            <w:rStyle w:val="Hyperlink"/>
          </w:rPr>
          <w:t>.9</w:t>
        </w:r>
      </w:hyperlink>
      <w:r w:rsidRPr="000665B0">
        <w:t>.</w:t>
      </w:r>
    </w:p>
    <w:p w14:paraId="62A58819" w14:textId="4499DCFB" w:rsidR="002E13EF" w:rsidRPr="000665B0" w:rsidRDefault="002E13EF" w:rsidP="006D5A65">
      <w:pPr>
        <w:pStyle w:val="Heading1"/>
      </w:pPr>
      <w:r w:rsidRPr="000665B0">
        <w:t xml:space="preserve">In-Flight Mission Modification Message (IMMM Log) – Shows IMMM messages that have been transmitted during the </w:t>
      </w:r>
      <w:r w:rsidRPr="000665B0">
        <w:lastRenderedPageBreak/>
        <w:t xml:space="preserve">rehearsal. From here, the operator can display an IMMM message textually. See </w:t>
      </w:r>
      <w:hyperlink w:anchor="_IMMM_Log_1" w:history="1">
        <w:r w:rsidR="00552D44" w:rsidRPr="000665B0">
          <w:rPr>
            <w:rStyle w:val="Hyperlink"/>
          </w:rPr>
          <w:t xml:space="preserve">Section </w:t>
        </w:r>
        <w:r w:rsidR="004231CC">
          <w:rPr>
            <w:rStyle w:val="Hyperlink"/>
          </w:rPr>
          <w:t>5.37</w:t>
        </w:r>
        <w:r w:rsidR="00552D44" w:rsidRPr="000665B0">
          <w:rPr>
            <w:rStyle w:val="Hyperlink"/>
          </w:rPr>
          <w:t>.</w:t>
        </w:r>
        <w:r w:rsidR="00DF62F5">
          <w:rPr>
            <w:rStyle w:val="Hyperlink"/>
          </w:rPr>
          <w:t>10</w:t>
        </w:r>
      </w:hyperlink>
      <w:r w:rsidRPr="000665B0">
        <w:t>.</w:t>
      </w:r>
    </w:p>
    <w:p w14:paraId="036303EC" w14:textId="1063C495" w:rsidR="002E13EF" w:rsidRPr="000665B0" w:rsidRDefault="002E13EF" w:rsidP="006D5A65">
      <w:pPr>
        <w:pStyle w:val="Heading1"/>
      </w:pPr>
      <w:r w:rsidRPr="000665B0">
        <w:t xml:space="preserve">Ping Log – Shows Ping messages that have been transmitted during the rehearsal. See </w:t>
      </w:r>
      <w:hyperlink w:anchor="_5.39.11__Ping_1" w:history="1">
        <w:r w:rsidR="00552D44" w:rsidRPr="000665B0">
          <w:rPr>
            <w:rStyle w:val="Hyperlink"/>
          </w:rPr>
          <w:t xml:space="preserve">Section </w:t>
        </w:r>
        <w:r w:rsidR="004231CC">
          <w:rPr>
            <w:rStyle w:val="Hyperlink"/>
          </w:rPr>
          <w:t>5.37</w:t>
        </w:r>
        <w:r w:rsidR="002B3AC2">
          <w:rPr>
            <w:rStyle w:val="Hyperlink"/>
          </w:rPr>
          <w:t>.</w:t>
        </w:r>
        <w:r w:rsidR="00552D44" w:rsidRPr="000665B0">
          <w:rPr>
            <w:rStyle w:val="Hyperlink"/>
          </w:rPr>
          <w:t>11</w:t>
        </w:r>
      </w:hyperlink>
      <w:r w:rsidRPr="000665B0">
        <w:t>.</w:t>
      </w:r>
    </w:p>
    <w:p w14:paraId="3ADD62F6" w14:textId="6C2438A6" w:rsidR="00451F70" w:rsidRPr="000665B0" w:rsidRDefault="00451F70" w:rsidP="006D5A65">
      <w:pPr>
        <w:pStyle w:val="Heading1"/>
      </w:pPr>
      <w:r w:rsidRPr="000665B0">
        <w:t xml:space="preserve">ACA Log – </w:t>
      </w:r>
      <w:r w:rsidRPr="000665B0">
        <w:rPr>
          <w:bCs/>
        </w:rPr>
        <w:t xml:space="preserve">Shows </w:t>
      </w:r>
      <w:r w:rsidRPr="000665B0">
        <w:t xml:space="preserve">messages associated with the ACA Filter Message, Response Message, and receipt acknowledgments sent between NSP and TWS. See </w:t>
      </w:r>
      <w:hyperlink w:anchor="_ACA_Log" w:history="1">
        <w:r w:rsidRPr="000665B0">
          <w:rPr>
            <w:rStyle w:val="Hyperlink"/>
          </w:rPr>
          <w:t xml:space="preserve">Section </w:t>
        </w:r>
        <w:r w:rsidR="004231CC">
          <w:rPr>
            <w:rStyle w:val="Hyperlink"/>
          </w:rPr>
          <w:t>5.37</w:t>
        </w:r>
        <w:r w:rsidR="002A4B19" w:rsidRPr="000665B0">
          <w:rPr>
            <w:rStyle w:val="Hyperlink"/>
          </w:rPr>
          <w:t>.12</w:t>
        </w:r>
      </w:hyperlink>
      <w:r w:rsidRPr="000665B0">
        <w:t>.</w:t>
      </w:r>
    </w:p>
    <w:p w14:paraId="089A2A3D" w14:textId="053B215B" w:rsidR="002E13EF" w:rsidRPr="000665B0" w:rsidRDefault="002E13EF" w:rsidP="006D5A65">
      <w:pPr>
        <w:pStyle w:val="Heading1"/>
      </w:pPr>
      <w:r w:rsidRPr="000665B0">
        <w:t xml:space="preserve">FDU Log – Shows FDU messages (e.g., SPEOs and LERs) that have been transmitted during the rehearsal. See </w:t>
      </w:r>
      <w:hyperlink w:anchor="_5.39.12__FDU" w:history="1">
        <w:r w:rsidR="002A4B19" w:rsidRPr="000665B0">
          <w:rPr>
            <w:rStyle w:val="Hyperlink"/>
          </w:rPr>
          <w:t xml:space="preserve">Section </w:t>
        </w:r>
        <w:r w:rsidR="004231CC">
          <w:rPr>
            <w:rStyle w:val="Hyperlink"/>
          </w:rPr>
          <w:t>5.37</w:t>
        </w:r>
        <w:r w:rsidR="002A4B19" w:rsidRPr="000665B0">
          <w:rPr>
            <w:rStyle w:val="Hyperlink"/>
          </w:rPr>
          <w:t>.13</w:t>
        </w:r>
      </w:hyperlink>
      <w:r w:rsidRPr="000665B0">
        <w:t>.</w:t>
      </w:r>
    </w:p>
    <w:p w14:paraId="1D530DCD" w14:textId="7181E61A" w:rsidR="002335B0" w:rsidRPr="000665B0" w:rsidRDefault="002335B0" w:rsidP="002335B0">
      <w:r w:rsidRPr="000665B0">
        <w:t xml:space="preserve">The Gantt and Geo are document windows. The rest are dockable windows. For a full description of document and dockable windows, see </w:t>
      </w:r>
      <w:hyperlink w:anchor="_5.38.12__Dockable_Windows" w:history="1">
        <w:r w:rsidR="00E036B6" w:rsidRPr="000665B0">
          <w:rPr>
            <w:rStyle w:val="Hyperlink"/>
          </w:rPr>
          <w:t xml:space="preserve">Section </w:t>
        </w:r>
        <w:r w:rsidR="004231CC">
          <w:rPr>
            <w:rStyle w:val="Hyperlink"/>
          </w:rPr>
          <w:t>5.35</w:t>
        </w:r>
        <w:r w:rsidR="00346105" w:rsidRPr="000665B0">
          <w:rPr>
            <w:rStyle w:val="Hyperlink"/>
          </w:rPr>
          <w:t>.14</w:t>
        </w:r>
      </w:hyperlink>
      <w:r w:rsidRPr="000665B0">
        <w:t xml:space="preserve">. Each window can be turned on or off independently. The operator can configure the Scenario Director to his or her own view preference. These view preferences can be stored and recalled using profiles. For more information on Profiles, see </w:t>
      </w:r>
      <w:hyperlink w:anchor="_5.38.12.5_Profiles" w:history="1">
        <w:r w:rsidR="00E036B6" w:rsidRPr="000665B0">
          <w:rPr>
            <w:rStyle w:val="Hyperlink"/>
          </w:rPr>
          <w:t xml:space="preserve">Section </w:t>
        </w:r>
        <w:r w:rsidR="004231CC">
          <w:rPr>
            <w:rStyle w:val="Hyperlink"/>
          </w:rPr>
          <w:t>5.35</w:t>
        </w:r>
        <w:r w:rsidRPr="000665B0">
          <w:rPr>
            <w:rStyle w:val="Hyperlink"/>
          </w:rPr>
          <w:t>.</w:t>
        </w:r>
        <w:r w:rsidR="00346105" w:rsidRPr="000665B0">
          <w:rPr>
            <w:rStyle w:val="Hyperlink"/>
          </w:rPr>
          <w:t>14</w:t>
        </w:r>
        <w:r w:rsidRPr="000665B0">
          <w:rPr>
            <w:rStyle w:val="Hyperlink"/>
          </w:rPr>
          <w:t>.5</w:t>
        </w:r>
      </w:hyperlink>
      <w:r w:rsidRPr="000665B0">
        <w:t>.</w:t>
      </w:r>
    </w:p>
    <w:p w14:paraId="748D7C32" w14:textId="5894705E" w:rsidR="000F3283" w:rsidRPr="000665B0" w:rsidRDefault="000F3283" w:rsidP="002335B0">
      <w:r w:rsidRPr="000665B0">
        <w:t>This is a sample of the Scenario Director. The main window is the Gantt chart. All the other windows are dockable windows.</w:t>
      </w:r>
    </w:p>
    <w:p w14:paraId="1B32F991" w14:textId="77777777" w:rsidR="002A6AA5" w:rsidRDefault="006C6630" w:rsidP="002335B0">
      <w:pPr>
        <w:spacing w:after="240"/>
        <w:jc w:val="center"/>
        <w:rPr>
          <w:noProof/>
        </w:rPr>
      </w:pPr>
      <w:r w:rsidRPr="004E184C">
        <w:rPr>
          <w:noProof/>
        </w:rPr>
        <w:drawing>
          <wp:inline distT="0" distB="0" distL="0" distR="0" wp14:anchorId="08F0408C" wp14:editId="1A0FD2BB">
            <wp:extent cx="4983480" cy="2295144"/>
            <wp:effectExtent l="0" t="0" r="0" b="0"/>
            <wp:docPr id="378047983" name="Picture 1"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47983" name="Picture 1" descr="Chart&#10;&#10;Description automatically generated with low confidence"/>
                    <pic:cNvPicPr/>
                  </pic:nvPicPr>
                  <pic:blipFill>
                    <a:blip/>
                    <a:stretch>
                      <a:fillRect/>
                    </a:stretch>
                  </pic:blipFill>
                  <pic:spPr>
                    <a:xfrm>
                      <a:off x="0" y="0"/>
                      <a:ext cx="4983480" cy="2295144"/>
                    </a:xfrm>
                    <a:prstGeom prst="rect">
                      <a:avLst/>
                    </a:prstGeom>
                  </pic:spPr>
                </pic:pic>
              </a:graphicData>
            </a:graphic>
          </wp:inline>
        </w:drawing>
      </w:r>
    </w:p>
    <w:p w14:paraId="111393C0" w14:textId="77777777" w:rsidR="002335B0" w:rsidRPr="000665B0" w:rsidRDefault="002335B0" w:rsidP="002335B0">
      <w:pPr>
        <w:pStyle w:val="PlainText"/>
        <w:rPr>
          <w:rFonts w:ascii="Times New Roman" w:hAnsi="Times New Roman"/>
          <w:b/>
        </w:rPr>
      </w:pPr>
      <w:r w:rsidRPr="000665B0">
        <w:rPr>
          <w:rFonts w:ascii="Times New Roman" w:hAnsi="Times New Roman"/>
          <w:b/>
        </w:rPr>
        <w:t>Menu:</w:t>
      </w:r>
    </w:p>
    <w:p w14:paraId="3717E59F" w14:textId="77777777" w:rsidR="002335B0" w:rsidRPr="000665B0" w:rsidRDefault="002335B0" w:rsidP="006D5A65">
      <w:pPr>
        <w:pStyle w:val="Heading1"/>
      </w:pPr>
      <w:r w:rsidRPr="000665B0">
        <w:t>File</w:t>
      </w:r>
    </w:p>
    <w:p w14:paraId="2AD0D96F" w14:textId="402B4BBD" w:rsidR="007D190E" w:rsidRPr="000665B0" w:rsidRDefault="007D190E" w:rsidP="006D5A65">
      <w:pPr>
        <w:pStyle w:val="Heading1"/>
        <w:rPr>
          <w:bCs/>
        </w:rPr>
      </w:pPr>
      <w:bookmarkStart w:id="6900" w:name="Save_To_Original"/>
      <w:bookmarkStart w:id="6901" w:name="_Hlk103172884"/>
      <w:bookmarkEnd w:id="6900"/>
      <w:r w:rsidRPr="000665B0">
        <w:t xml:space="preserve">Save To Original Scenario </w:t>
      </w:r>
      <w:r w:rsidR="006D3FE3" w:rsidRPr="000665B0">
        <w:t>–</w:t>
      </w:r>
      <w:r w:rsidRPr="000665B0">
        <w:t xml:space="preserve"> TSRT allows saving of complications for reuse in the future. However, the Strike Execution tool clones execution folders for each rehearsal in order to keep the data produced easily distinguishable. This means if TSRT is to reuse complications, they must be applied to the original scenario, not </w:t>
      </w:r>
      <w:r w:rsidR="00724983" w:rsidRPr="000665B0">
        <w:t>the clone</w:t>
      </w:r>
      <w:r w:rsidR="00CF78A5" w:rsidRPr="000665B0">
        <w:t>.</w:t>
      </w:r>
      <w:r w:rsidRPr="000665B0">
        <w:t xml:space="preserve"> This menu item will persist any changes made to the scenario during the rehearsal in the database, which will automatically be applied the next time the original execution folder is rehearsed. In order to load this scenario on a future rehearsal, you must edit the “TSRT Setup” and specify which </w:t>
      </w:r>
      <w:r w:rsidRPr="000665B0">
        <w:lastRenderedPageBreak/>
        <w:t xml:space="preserve">saved scenario to use on the next (and all future) rehearsals. This can be </w:t>
      </w:r>
      <w:r w:rsidR="005F71AE" w:rsidRPr="000665B0">
        <w:t>done using</w:t>
      </w:r>
      <w:r w:rsidRPr="000665B0">
        <w:t xml:space="preserve"> the Edit menu of the Strike Execution Folder textual display.</w:t>
      </w:r>
    </w:p>
    <w:bookmarkEnd w:id="6901"/>
    <w:p w14:paraId="2932348B" w14:textId="6ABCBD98" w:rsidR="007D190E" w:rsidRPr="000665B0" w:rsidRDefault="007D190E" w:rsidP="006D5A65">
      <w:pPr>
        <w:pStyle w:val="Heading1"/>
        <w:rPr>
          <w:bCs/>
        </w:rPr>
      </w:pPr>
      <w:r w:rsidRPr="000665B0">
        <w:t>Save Scenario As – Save the complications that are part of the currently running rehearsal as a new scenario that will be applied to the original execution folder and not the c</w:t>
      </w:r>
      <w:r w:rsidR="008C0D57" w:rsidRPr="000665B0">
        <w:t xml:space="preserve">lone that is being rehearsed. </w:t>
      </w:r>
      <w:r w:rsidRPr="000665B0">
        <w:t xml:space="preserve">In order to load this scenario on a future rehearsal, you must edit the “TSRT Setup” on the original execution folder and specify which saved scenario to use on the next (and all future) rehearsals. This can be </w:t>
      </w:r>
      <w:r w:rsidR="005F71AE" w:rsidRPr="000665B0">
        <w:t>done using</w:t>
      </w:r>
      <w:r w:rsidRPr="000665B0">
        <w:t xml:space="preserve"> the Edit menu of the Strike Execution Folder textual display.</w:t>
      </w:r>
    </w:p>
    <w:p w14:paraId="06167B56" w14:textId="12269839" w:rsidR="00FC2CF1" w:rsidRPr="000665B0" w:rsidRDefault="00FC2CF1" w:rsidP="006D5A65">
      <w:pPr>
        <w:pStyle w:val="Heading1"/>
      </w:pPr>
      <w:r w:rsidRPr="000665B0">
        <w:t xml:space="preserve">Simulate Live Participants Only – Puts </w:t>
      </w:r>
      <w:r w:rsidR="00FD0223" w:rsidRPr="000665B0">
        <w:t xml:space="preserve">the second </w:t>
      </w:r>
      <w:r w:rsidRPr="000665B0">
        <w:t xml:space="preserve">TSRT into a special mode in which it simulates only those FRUs designated as live for the execution folder. This mode is used when running a second TSRT to simulate live FRUs. </w:t>
      </w:r>
      <w:r w:rsidRPr="000665B0">
        <w:rPr>
          <w:rFonts w:cstheme="minorHAnsi"/>
        </w:rPr>
        <w:t>The “SimLive” mode greatly simplifies TSRT setup for live FRU simulation. When selected, this menu choice causes the strike execution folder to be re-loaded, ignoring all FRUs designated as simulated and simulating all FRUs designated as live. In addition, Comms for all simulated missiles will be disabled while running in SimLive mode, eliminating the previous need to enter TSN Comms complications against all of the missiles.</w:t>
      </w:r>
      <w:r w:rsidRPr="000665B0">
        <w:t xml:space="preserve"> When this mode is in effect, the fact is clearly indicated by adding “SIMLIVE” to the window title, and objectives of messages sent by simulated live FRUs will include “SimLive” in the objective text.</w:t>
      </w:r>
      <w:r w:rsidRPr="000665B0">
        <w:rPr>
          <w:rFonts w:cstheme="minorHAnsi"/>
        </w:rPr>
        <w:t xml:space="preserve"> </w:t>
      </w:r>
      <w:r w:rsidRPr="000665B0">
        <w:t>This menu option is not available if no FRUs have been designated as live for the strike folder.</w:t>
      </w:r>
      <w:r w:rsidR="00A84349" w:rsidRPr="000665B0">
        <w:t xml:space="preserve"> For more information about the differences between Live, Sim, and Real FRUs, see </w:t>
      </w:r>
      <w:hyperlink w:anchor="_Live_FRU_vs." w:history="1">
        <w:r w:rsidR="00A84349" w:rsidRPr="000665B0">
          <w:rPr>
            <w:rStyle w:val="Hyperlink"/>
            <w:bCs/>
          </w:rPr>
          <w:t xml:space="preserve">Section </w:t>
        </w:r>
        <w:r w:rsidR="004231CC">
          <w:rPr>
            <w:rStyle w:val="Hyperlink"/>
            <w:bCs/>
          </w:rPr>
          <w:t>5.37</w:t>
        </w:r>
        <w:r w:rsidR="00A84349" w:rsidRPr="000665B0">
          <w:rPr>
            <w:rStyle w:val="Hyperlink"/>
            <w:bCs/>
          </w:rPr>
          <w:t>.</w:t>
        </w:r>
        <w:r w:rsidR="00EF1CAE" w:rsidRPr="000665B0">
          <w:rPr>
            <w:rStyle w:val="Hyperlink"/>
            <w:bCs/>
          </w:rPr>
          <w:t>16</w:t>
        </w:r>
        <w:r w:rsidR="00A84349" w:rsidRPr="000665B0">
          <w:rPr>
            <w:rStyle w:val="Hyperlink"/>
            <w:bCs/>
          </w:rPr>
          <w:t>.1</w:t>
        </w:r>
      </w:hyperlink>
      <w:r w:rsidR="00A84349" w:rsidRPr="000665B0">
        <w:t>.</w:t>
      </w:r>
    </w:p>
    <w:p w14:paraId="2786469E" w14:textId="77777777" w:rsidR="007D190E" w:rsidRPr="000665B0" w:rsidRDefault="007D190E" w:rsidP="006D5A65">
      <w:pPr>
        <w:pStyle w:val="Heading1"/>
      </w:pPr>
      <w:r w:rsidRPr="000665B0">
        <w:t>Unload Rehearsal – Unload the rehearsal and close the Scenario Director.</w:t>
      </w:r>
    </w:p>
    <w:p w14:paraId="654FF3F6" w14:textId="77777777" w:rsidR="007D190E" w:rsidRPr="000665B0" w:rsidRDefault="007D190E" w:rsidP="006D5A65">
      <w:pPr>
        <w:pStyle w:val="Heading1"/>
      </w:pPr>
      <w:r w:rsidRPr="000665B0">
        <w:t>Close – Close the Scenario Director and have the option to leave the rehearsal still running in the background.</w:t>
      </w:r>
    </w:p>
    <w:p w14:paraId="474F1908" w14:textId="77777777" w:rsidR="002335B0" w:rsidRPr="000665B0" w:rsidRDefault="002335B0" w:rsidP="006D5A65">
      <w:pPr>
        <w:pStyle w:val="Heading1"/>
      </w:pPr>
      <w:r w:rsidRPr="000665B0">
        <w:t>View</w:t>
      </w:r>
    </w:p>
    <w:p w14:paraId="40801AA1" w14:textId="77777777" w:rsidR="002335B0" w:rsidRPr="000665B0" w:rsidRDefault="002335B0" w:rsidP="006D5A65">
      <w:pPr>
        <w:pStyle w:val="Heading1"/>
      </w:pPr>
      <w:r w:rsidRPr="000665B0">
        <w:t>Profiles</w:t>
      </w:r>
    </w:p>
    <w:p w14:paraId="0D8A5A59" w14:textId="381A50A4" w:rsidR="002335B0" w:rsidRPr="000665B0" w:rsidRDefault="002335B0" w:rsidP="006D5A65">
      <w:pPr>
        <w:pStyle w:val="Heading2"/>
      </w:pPr>
      <w:r w:rsidRPr="000665B0">
        <w:t xml:space="preserve">Save Profile – Save the current </w:t>
      </w:r>
      <w:hyperlink w:anchor="_5.38.14.5.2_Save_a_Profile" w:history="1">
        <w:r w:rsidRPr="000665B0">
          <w:t>profile</w:t>
        </w:r>
      </w:hyperlink>
      <w:r w:rsidRPr="000665B0">
        <w:t xml:space="preserve"> using the current configuration</w:t>
      </w:r>
      <w:r w:rsidR="007D5292" w:rsidRPr="000665B0">
        <w:t xml:space="preserve"> (see </w:t>
      </w:r>
      <w:hyperlink w:anchor="_Edit_a_Profile" w:history="1">
        <w:r w:rsidR="007D5292" w:rsidRPr="000665B0">
          <w:rPr>
            <w:rStyle w:val="Hyperlink"/>
            <w:bCs/>
          </w:rPr>
          <w:t xml:space="preserve">Section </w:t>
        </w:r>
        <w:r w:rsidR="004231CC">
          <w:rPr>
            <w:rStyle w:val="Hyperlink"/>
            <w:bCs/>
          </w:rPr>
          <w:t>5.35</w:t>
        </w:r>
        <w:r w:rsidR="007D5292" w:rsidRPr="000665B0">
          <w:rPr>
            <w:rStyle w:val="Hyperlink"/>
            <w:bCs/>
          </w:rPr>
          <w:t>.14.5.2</w:t>
        </w:r>
      </w:hyperlink>
      <w:r w:rsidR="007D5292" w:rsidRPr="000665B0">
        <w:t>)</w:t>
      </w:r>
      <w:r w:rsidRPr="000665B0">
        <w:t>.</w:t>
      </w:r>
    </w:p>
    <w:p w14:paraId="0FB8C33B" w14:textId="2BD66EFF" w:rsidR="002335B0" w:rsidRPr="000665B0" w:rsidRDefault="002335B0" w:rsidP="006D5A65">
      <w:pPr>
        <w:pStyle w:val="Heading2"/>
      </w:pPr>
      <w:r w:rsidRPr="000665B0">
        <w:t xml:space="preserve">Save Profile As – Save the current configuration as a new </w:t>
      </w:r>
      <w:r w:rsidR="007D5292" w:rsidRPr="000665B0">
        <w:t xml:space="preserve">profile (see </w:t>
      </w:r>
      <w:hyperlink w:anchor="_Save_a_New" w:history="1">
        <w:r w:rsidR="007D5292" w:rsidRPr="000665B0">
          <w:rPr>
            <w:rStyle w:val="Hyperlink"/>
            <w:bCs/>
          </w:rPr>
          <w:t xml:space="preserve">Section </w:t>
        </w:r>
        <w:r w:rsidR="004231CC">
          <w:rPr>
            <w:rStyle w:val="Hyperlink"/>
            <w:bCs/>
          </w:rPr>
          <w:t>5.35</w:t>
        </w:r>
        <w:r w:rsidR="007D5292" w:rsidRPr="000665B0">
          <w:rPr>
            <w:rStyle w:val="Hyperlink"/>
            <w:bCs/>
          </w:rPr>
          <w:t>.14.5.1</w:t>
        </w:r>
      </w:hyperlink>
      <w:r w:rsidR="00637C51" w:rsidRPr="000665B0">
        <w:t>)</w:t>
      </w:r>
      <w:r w:rsidRPr="000665B0">
        <w:t>.</w:t>
      </w:r>
    </w:p>
    <w:p w14:paraId="3E265911" w14:textId="5E17028F" w:rsidR="002335B0" w:rsidRPr="000665B0" w:rsidRDefault="002335B0" w:rsidP="006D5A65">
      <w:pPr>
        <w:pStyle w:val="Heading2"/>
      </w:pPr>
      <w:r w:rsidRPr="000665B0">
        <w:t xml:space="preserve">Remove Profile – Remove a saved </w:t>
      </w:r>
      <w:r w:rsidR="007D5292" w:rsidRPr="000665B0">
        <w:t xml:space="preserve">profile (see </w:t>
      </w:r>
      <w:hyperlink w:anchor="_Remove_a_Profile" w:history="1">
        <w:r w:rsidR="007D5292" w:rsidRPr="000665B0">
          <w:rPr>
            <w:rStyle w:val="Hyperlink"/>
            <w:bCs/>
          </w:rPr>
          <w:t xml:space="preserve">Section </w:t>
        </w:r>
        <w:r w:rsidR="004231CC">
          <w:rPr>
            <w:rStyle w:val="Hyperlink"/>
            <w:bCs/>
          </w:rPr>
          <w:t>5.35</w:t>
        </w:r>
        <w:r w:rsidR="007D5292" w:rsidRPr="000665B0">
          <w:rPr>
            <w:rStyle w:val="Hyperlink"/>
            <w:bCs/>
          </w:rPr>
          <w:t>.14.5.3</w:t>
        </w:r>
      </w:hyperlink>
      <w:r w:rsidR="007D5292" w:rsidRPr="000665B0">
        <w:t>)</w:t>
      </w:r>
      <w:r w:rsidRPr="000665B0">
        <w:t>.</w:t>
      </w:r>
    </w:p>
    <w:p w14:paraId="6033C893" w14:textId="77777777" w:rsidR="007A568E" w:rsidRPr="000665B0" w:rsidRDefault="007A568E" w:rsidP="006D5A65">
      <w:pPr>
        <w:pStyle w:val="Heading2"/>
      </w:pPr>
      <w:r w:rsidRPr="000665B0">
        <w:lastRenderedPageBreak/>
        <w:t>Restore Defaults – Restores the default SMD configuration.</w:t>
      </w:r>
    </w:p>
    <w:p w14:paraId="3DA2A2B8" w14:textId="6F6AE0CB" w:rsidR="007A568E" w:rsidRPr="000665B0" w:rsidRDefault="007A568E" w:rsidP="006D5A65">
      <w:pPr>
        <w:pStyle w:val="Heading2"/>
      </w:pPr>
      <w:r w:rsidRPr="000665B0">
        <w:t>*Auto-Save* - The default</w:t>
      </w:r>
      <w:r w:rsidR="0001432A">
        <w:t xml:space="preserve"> is the</w:t>
      </w:r>
      <w:r w:rsidRPr="000665B0">
        <w:t xml:space="preserve"> “no profile” setting, in which any changes are automatically saved as the current configuration without prompting.</w:t>
      </w:r>
    </w:p>
    <w:p w14:paraId="2349353A" w14:textId="40BF8605" w:rsidR="002335B0" w:rsidRPr="000665B0" w:rsidRDefault="00026307" w:rsidP="006D5A65">
      <w:pPr>
        <w:pStyle w:val="Heading1"/>
        <w:rPr>
          <w:bCs/>
        </w:rPr>
      </w:pPr>
      <w:r w:rsidRPr="000665B0">
        <w:rPr>
          <w:bCs/>
        </w:rPr>
        <w:t xml:space="preserve">Time </w:t>
      </w:r>
      <w:r w:rsidR="002335B0" w:rsidRPr="000665B0">
        <w:rPr>
          <w:bCs/>
        </w:rPr>
        <w:t xml:space="preserve">Controls – Enable/Disable the </w:t>
      </w:r>
      <w:hyperlink w:anchor="_5.39.2__TSRT" w:history="1">
        <w:r w:rsidRPr="000665B0">
          <w:t>Time Controls</w:t>
        </w:r>
      </w:hyperlink>
      <w:r w:rsidR="007D5292" w:rsidRPr="000665B0">
        <w:t xml:space="preserve"> (see </w:t>
      </w:r>
      <w:hyperlink w:anchor="_TSRT_Time_Controls" w:history="1">
        <w:r w:rsidR="007D5292" w:rsidRPr="000665B0">
          <w:rPr>
            <w:rStyle w:val="Hyperlink"/>
            <w:bCs/>
          </w:rPr>
          <w:t xml:space="preserve">Section </w:t>
        </w:r>
        <w:r w:rsidR="004231CC">
          <w:rPr>
            <w:rStyle w:val="Hyperlink"/>
            <w:bCs/>
          </w:rPr>
          <w:t>5.37</w:t>
        </w:r>
        <w:r w:rsidR="007D5292" w:rsidRPr="000665B0">
          <w:rPr>
            <w:rStyle w:val="Hyperlink"/>
            <w:bCs/>
          </w:rPr>
          <w:t>.2</w:t>
        </w:r>
      </w:hyperlink>
      <w:r w:rsidR="00637C51" w:rsidRPr="000665B0">
        <w:rPr>
          <w:bCs/>
        </w:rPr>
        <w:t>)</w:t>
      </w:r>
      <w:r w:rsidR="002335B0" w:rsidRPr="000665B0">
        <w:rPr>
          <w:bCs/>
        </w:rPr>
        <w:t>.</w:t>
      </w:r>
    </w:p>
    <w:p w14:paraId="4A8BB761" w14:textId="2B73BA30" w:rsidR="002335B0" w:rsidRPr="000665B0" w:rsidRDefault="002335B0" w:rsidP="006D5A65">
      <w:pPr>
        <w:pStyle w:val="Heading1"/>
        <w:rPr>
          <w:bCs/>
        </w:rPr>
      </w:pPr>
      <w:r w:rsidRPr="000665B0">
        <w:rPr>
          <w:bCs/>
        </w:rPr>
        <w:t xml:space="preserve">TSRT Gantt – Enable/Disable the </w:t>
      </w:r>
      <w:r w:rsidR="007D5292" w:rsidRPr="000665B0">
        <w:t xml:space="preserve">Gantt Chart (see </w:t>
      </w:r>
      <w:hyperlink w:anchor="_Gantt__Chart/Icon" w:history="1">
        <w:r w:rsidR="007D5292" w:rsidRPr="000665B0">
          <w:rPr>
            <w:rStyle w:val="Hyperlink"/>
            <w:bCs/>
          </w:rPr>
          <w:t xml:space="preserve">Section </w:t>
        </w:r>
        <w:r w:rsidR="004231CC">
          <w:rPr>
            <w:rStyle w:val="Hyperlink"/>
            <w:bCs/>
          </w:rPr>
          <w:t>5.37</w:t>
        </w:r>
        <w:r w:rsidR="007D5292" w:rsidRPr="000665B0">
          <w:rPr>
            <w:rStyle w:val="Hyperlink"/>
            <w:bCs/>
          </w:rPr>
          <w:t>.1</w:t>
        </w:r>
      </w:hyperlink>
      <w:r w:rsidR="007D5292" w:rsidRPr="000665B0">
        <w:rPr>
          <w:bCs/>
        </w:rPr>
        <w:t>)</w:t>
      </w:r>
      <w:r w:rsidRPr="000665B0">
        <w:rPr>
          <w:bCs/>
        </w:rPr>
        <w:t>.</w:t>
      </w:r>
    </w:p>
    <w:p w14:paraId="6D06DEC0" w14:textId="3A007A37" w:rsidR="002335B0" w:rsidRPr="000665B0" w:rsidRDefault="002335B0" w:rsidP="006D5A65">
      <w:pPr>
        <w:pStyle w:val="Heading1"/>
      </w:pPr>
      <w:r w:rsidRPr="000665B0">
        <w:t xml:space="preserve">TSRT Geo – Enable/Disable the </w:t>
      </w:r>
      <w:r w:rsidR="007D5292" w:rsidRPr="000665B0">
        <w:t xml:space="preserve">Geo Display (see </w:t>
      </w:r>
      <w:hyperlink w:anchor="_TSRT_Geo" w:history="1">
        <w:r w:rsidR="007D5292" w:rsidRPr="000665B0">
          <w:rPr>
            <w:rStyle w:val="Hyperlink"/>
            <w:bCs/>
          </w:rPr>
          <w:t xml:space="preserve">Section </w:t>
        </w:r>
        <w:r w:rsidR="004231CC">
          <w:rPr>
            <w:rStyle w:val="Hyperlink"/>
            <w:bCs/>
          </w:rPr>
          <w:t>5.37</w:t>
        </w:r>
        <w:r w:rsidR="007D5292" w:rsidRPr="000665B0">
          <w:rPr>
            <w:rStyle w:val="Hyperlink"/>
            <w:bCs/>
          </w:rPr>
          <w:t>.3</w:t>
        </w:r>
      </w:hyperlink>
      <w:r w:rsidR="007D5292" w:rsidRPr="000665B0">
        <w:t>)</w:t>
      </w:r>
      <w:r w:rsidRPr="000665B0">
        <w:t>.</w:t>
      </w:r>
    </w:p>
    <w:p w14:paraId="3B9C55C6" w14:textId="7B7E084E" w:rsidR="002335B0" w:rsidRPr="000665B0" w:rsidRDefault="002335B0" w:rsidP="006D5A65">
      <w:pPr>
        <w:pStyle w:val="Heading1"/>
      </w:pPr>
      <w:r w:rsidRPr="000665B0">
        <w:t xml:space="preserve">FRU Status – Enable/Disable the </w:t>
      </w:r>
      <w:r w:rsidR="007D5292" w:rsidRPr="000665B0">
        <w:t xml:space="preserve">FRU Status window (see </w:t>
      </w:r>
      <w:hyperlink w:anchor="_FRU_Status_1" w:history="1">
        <w:r w:rsidR="007D5292" w:rsidRPr="000665B0">
          <w:rPr>
            <w:rStyle w:val="Hyperlink"/>
            <w:bCs/>
          </w:rPr>
          <w:t xml:space="preserve">Section </w:t>
        </w:r>
        <w:r w:rsidR="004231CC">
          <w:rPr>
            <w:rStyle w:val="Hyperlink"/>
            <w:bCs/>
          </w:rPr>
          <w:t>5.37</w:t>
        </w:r>
        <w:r w:rsidR="007D5292" w:rsidRPr="000665B0">
          <w:rPr>
            <w:rStyle w:val="Hyperlink"/>
            <w:bCs/>
          </w:rPr>
          <w:t>.4</w:t>
        </w:r>
      </w:hyperlink>
      <w:r w:rsidR="007D5292" w:rsidRPr="000665B0">
        <w:t>)</w:t>
      </w:r>
      <w:r w:rsidRPr="000665B0">
        <w:t>.</w:t>
      </w:r>
    </w:p>
    <w:p w14:paraId="779367AA" w14:textId="1754F50A" w:rsidR="002335B0" w:rsidRPr="000665B0" w:rsidRDefault="002335B0" w:rsidP="006D5A65">
      <w:pPr>
        <w:pStyle w:val="Heading1"/>
      </w:pPr>
      <w:r w:rsidRPr="000665B0">
        <w:t xml:space="preserve">Missile Status – Enable/Disable the </w:t>
      </w:r>
      <w:r w:rsidR="007D5292" w:rsidRPr="000665B0">
        <w:t xml:space="preserve">Missile Status window (see </w:t>
      </w:r>
      <w:hyperlink w:anchor="_Missile_Status_1" w:history="1">
        <w:r w:rsidR="007D5292" w:rsidRPr="000665B0">
          <w:rPr>
            <w:rStyle w:val="Hyperlink"/>
            <w:bCs/>
          </w:rPr>
          <w:t xml:space="preserve">Section </w:t>
        </w:r>
        <w:r w:rsidR="004231CC">
          <w:rPr>
            <w:rStyle w:val="Hyperlink"/>
            <w:bCs/>
          </w:rPr>
          <w:t>5.37</w:t>
        </w:r>
        <w:r w:rsidR="007D5292" w:rsidRPr="000665B0">
          <w:rPr>
            <w:rStyle w:val="Hyperlink"/>
            <w:bCs/>
          </w:rPr>
          <w:t>.5</w:t>
        </w:r>
      </w:hyperlink>
      <w:r w:rsidR="007D5292" w:rsidRPr="000665B0">
        <w:t>)</w:t>
      </w:r>
      <w:r w:rsidRPr="000665B0">
        <w:t>.</w:t>
      </w:r>
    </w:p>
    <w:p w14:paraId="6CFCE3AF" w14:textId="5F4454A5" w:rsidR="002335B0" w:rsidRPr="000665B0" w:rsidRDefault="002335B0" w:rsidP="006D5A65">
      <w:pPr>
        <w:pStyle w:val="Heading1"/>
        <w:rPr>
          <w:bCs/>
        </w:rPr>
      </w:pPr>
      <w:r w:rsidRPr="000665B0">
        <w:rPr>
          <w:bCs/>
        </w:rPr>
        <w:t xml:space="preserve">Complications – Enable/Disable the </w:t>
      </w:r>
      <w:r w:rsidR="007D5292" w:rsidRPr="000665B0">
        <w:t xml:space="preserve">Complications window (see </w:t>
      </w:r>
      <w:hyperlink w:anchor="_5.39.6__Complications_1" w:history="1">
        <w:r w:rsidR="007D5292" w:rsidRPr="000665B0">
          <w:rPr>
            <w:rStyle w:val="Hyperlink"/>
            <w:bCs/>
          </w:rPr>
          <w:t xml:space="preserve">Section </w:t>
        </w:r>
        <w:r w:rsidR="004231CC">
          <w:rPr>
            <w:rStyle w:val="Hyperlink"/>
            <w:bCs/>
          </w:rPr>
          <w:t>5.37</w:t>
        </w:r>
        <w:r w:rsidR="007D5292" w:rsidRPr="000665B0">
          <w:rPr>
            <w:rStyle w:val="Hyperlink"/>
            <w:bCs/>
          </w:rPr>
          <w:t>.6</w:t>
        </w:r>
      </w:hyperlink>
      <w:r w:rsidR="007D5292" w:rsidRPr="000665B0">
        <w:rPr>
          <w:bCs/>
        </w:rPr>
        <w:t>)</w:t>
      </w:r>
      <w:r w:rsidRPr="000665B0">
        <w:rPr>
          <w:bCs/>
        </w:rPr>
        <w:t>.</w:t>
      </w:r>
    </w:p>
    <w:p w14:paraId="3CB7A563" w14:textId="79E21C12" w:rsidR="002335B0" w:rsidRPr="000665B0" w:rsidRDefault="002335B0" w:rsidP="006D5A65">
      <w:pPr>
        <w:pStyle w:val="Heading1"/>
        <w:rPr>
          <w:bCs/>
        </w:rPr>
      </w:pPr>
      <w:r w:rsidRPr="000665B0">
        <w:rPr>
          <w:bCs/>
        </w:rPr>
        <w:t xml:space="preserve">Missile Log – Enable/Disable the </w:t>
      </w:r>
      <w:r w:rsidR="007D5292" w:rsidRPr="000665B0">
        <w:t xml:space="preserve">Missile Log window (see </w:t>
      </w:r>
      <w:hyperlink w:anchor="_Missile_Log" w:history="1">
        <w:r w:rsidR="007D5292" w:rsidRPr="000665B0">
          <w:rPr>
            <w:rStyle w:val="Hyperlink"/>
            <w:bCs/>
          </w:rPr>
          <w:t xml:space="preserve">Section </w:t>
        </w:r>
        <w:r w:rsidR="004231CC">
          <w:rPr>
            <w:rStyle w:val="Hyperlink"/>
            <w:bCs/>
          </w:rPr>
          <w:t>5.37</w:t>
        </w:r>
        <w:r w:rsidR="007D5292" w:rsidRPr="000665B0">
          <w:rPr>
            <w:rStyle w:val="Hyperlink"/>
            <w:bCs/>
          </w:rPr>
          <w:t>.7</w:t>
        </w:r>
      </w:hyperlink>
      <w:r w:rsidR="007D5292" w:rsidRPr="000665B0">
        <w:rPr>
          <w:bCs/>
        </w:rPr>
        <w:t>)</w:t>
      </w:r>
      <w:r w:rsidRPr="000665B0">
        <w:rPr>
          <w:bCs/>
        </w:rPr>
        <w:t>.</w:t>
      </w:r>
    </w:p>
    <w:p w14:paraId="6C50A7B2" w14:textId="47E1E330" w:rsidR="002335B0" w:rsidRPr="000665B0" w:rsidRDefault="002335B0" w:rsidP="006D5A65">
      <w:pPr>
        <w:pStyle w:val="Heading1"/>
      </w:pPr>
      <w:r w:rsidRPr="000665B0">
        <w:t xml:space="preserve">FRU Log – Enable/Disable the </w:t>
      </w:r>
      <w:r w:rsidR="007D5292" w:rsidRPr="000665B0">
        <w:t>FRU Log</w:t>
      </w:r>
      <w:r w:rsidRPr="000665B0">
        <w:t xml:space="preserve"> window</w:t>
      </w:r>
      <w:r w:rsidR="007D5292" w:rsidRPr="000665B0">
        <w:t xml:space="preserve"> (see </w:t>
      </w:r>
      <w:hyperlink w:anchor="_5.39.8__FRU_Log" w:history="1">
        <w:r w:rsidR="007D5292" w:rsidRPr="000665B0">
          <w:rPr>
            <w:rStyle w:val="Hyperlink"/>
            <w:bCs/>
          </w:rPr>
          <w:t xml:space="preserve">Section </w:t>
        </w:r>
        <w:r w:rsidR="004231CC">
          <w:rPr>
            <w:rStyle w:val="Hyperlink"/>
            <w:bCs/>
          </w:rPr>
          <w:t>5.37</w:t>
        </w:r>
        <w:r w:rsidR="007D5292" w:rsidRPr="000665B0">
          <w:rPr>
            <w:rStyle w:val="Hyperlink"/>
            <w:bCs/>
          </w:rPr>
          <w:t>.8</w:t>
        </w:r>
      </w:hyperlink>
      <w:r w:rsidR="007D5292" w:rsidRPr="000665B0">
        <w:t>)</w:t>
      </w:r>
      <w:r w:rsidRPr="000665B0">
        <w:t>.</w:t>
      </w:r>
    </w:p>
    <w:p w14:paraId="6D3E449B" w14:textId="7EF9182F" w:rsidR="002335B0" w:rsidRPr="000665B0" w:rsidRDefault="002335B0" w:rsidP="006D5A65">
      <w:pPr>
        <w:pStyle w:val="Heading1"/>
      </w:pPr>
      <w:r w:rsidRPr="000665B0">
        <w:t xml:space="preserve">H&amp;S Log – Enable/Disable the </w:t>
      </w:r>
      <w:r w:rsidR="007D5292" w:rsidRPr="000665B0">
        <w:t>Health and Status Log</w:t>
      </w:r>
      <w:r w:rsidRPr="000665B0">
        <w:t xml:space="preserve"> window</w:t>
      </w:r>
      <w:r w:rsidR="007D5292" w:rsidRPr="000665B0">
        <w:t xml:space="preserve"> (see </w:t>
      </w:r>
      <w:hyperlink w:anchor="_Health_and_Status" w:history="1">
        <w:r w:rsidR="007D5292" w:rsidRPr="000665B0">
          <w:rPr>
            <w:rStyle w:val="Hyperlink"/>
            <w:bCs/>
          </w:rPr>
          <w:t xml:space="preserve">Section </w:t>
        </w:r>
        <w:r w:rsidR="004231CC">
          <w:rPr>
            <w:rStyle w:val="Hyperlink"/>
            <w:bCs/>
          </w:rPr>
          <w:t>5.37</w:t>
        </w:r>
        <w:r w:rsidR="007D5292" w:rsidRPr="000665B0">
          <w:rPr>
            <w:rStyle w:val="Hyperlink"/>
            <w:bCs/>
          </w:rPr>
          <w:t>.9</w:t>
        </w:r>
      </w:hyperlink>
      <w:r w:rsidR="007D5292" w:rsidRPr="000665B0">
        <w:t>)</w:t>
      </w:r>
      <w:r w:rsidRPr="000665B0">
        <w:t>.</w:t>
      </w:r>
    </w:p>
    <w:p w14:paraId="08DAF2B6" w14:textId="694DA38F" w:rsidR="002335B0" w:rsidRPr="000665B0" w:rsidRDefault="002335B0" w:rsidP="006D5A65">
      <w:pPr>
        <w:pStyle w:val="Heading1"/>
      </w:pPr>
      <w:r w:rsidRPr="000665B0">
        <w:t xml:space="preserve">IMMM Log – Enable/Disable the </w:t>
      </w:r>
      <w:r w:rsidR="0044503D" w:rsidRPr="000665B0">
        <w:t>IMMM Log</w:t>
      </w:r>
      <w:r w:rsidRPr="000665B0">
        <w:t xml:space="preserve"> window</w:t>
      </w:r>
      <w:r w:rsidR="0044503D" w:rsidRPr="000665B0">
        <w:t xml:space="preserve"> (see </w:t>
      </w:r>
      <w:hyperlink w:anchor="_IMMM_Log_1" w:history="1">
        <w:r w:rsidR="00FE44A6" w:rsidRPr="00DF62F5">
          <w:rPr>
            <w:rStyle w:val="Hyperlink"/>
          </w:rPr>
          <w:t xml:space="preserve">Section </w:t>
        </w:r>
        <w:r w:rsidR="004231CC">
          <w:rPr>
            <w:rStyle w:val="Hyperlink"/>
          </w:rPr>
          <w:t>5.37</w:t>
        </w:r>
        <w:r w:rsidR="00FE44A6" w:rsidRPr="00DF62F5">
          <w:rPr>
            <w:rStyle w:val="Hyperlink"/>
          </w:rPr>
          <w:t>.</w:t>
        </w:r>
        <w:r w:rsidR="00DF62F5" w:rsidRPr="00DF62F5">
          <w:rPr>
            <w:rStyle w:val="Hyperlink"/>
          </w:rPr>
          <w:t>10</w:t>
        </w:r>
      </w:hyperlink>
      <w:r w:rsidR="0044503D" w:rsidRPr="000665B0">
        <w:t>)</w:t>
      </w:r>
      <w:r w:rsidRPr="000665B0">
        <w:t>.</w:t>
      </w:r>
    </w:p>
    <w:p w14:paraId="529DE218" w14:textId="2B2129C9" w:rsidR="002335B0" w:rsidRPr="000665B0" w:rsidRDefault="002335B0" w:rsidP="006D5A65">
      <w:pPr>
        <w:pStyle w:val="Heading1"/>
      </w:pPr>
      <w:r w:rsidRPr="000665B0">
        <w:t xml:space="preserve">Ping Log – Enable/Disable the </w:t>
      </w:r>
      <w:r w:rsidR="0044503D" w:rsidRPr="000665B0">
        <w:t>Ping Log</w:t>
      </w:r>
      <w:r w:rsidRPr="000665B0">
        <w:t xml:space="preserve"> window</w:t>
      </w:r>
      <w:r w:rsidR="0044503D" w:rsidRPr="000665B0">
        <w:t xml:space="preserve"> (see </w:t>
      </w:r>
      <w:hyperlink w:anchor="_Ping_Log" w:history="1">
        <w:r w:rsidR="0044503D" w:rsidRPr="000665B0">
          <w:rPr>
            <w:rStyle w:val="Hyperlink"/>
            <w:bCs/>
          </w:rPr>
          <w:t xml:space="preserve">Section </w:t>
        </w:r>
        <w:r w:rsidR="004231CC">
          <w:rPr>
            <w:rStyle w:val="Hyperlink"/>
            <w:bCs/>
          </w:rPr>
          <w:t>5.37</w:t>
        </w:r>
        <w:r w:rsidR="0044503D" w:rsidRPr="000665B0">
          <w:rPr>
            <w:rStyle w:val="Hyperlink"/>
            <w:bCs/>
          </w:rPr>
          <w:t>.11</w:t>
        </w:r>
      </w:hyperlink>
      <w:r w:rsidR="0044503D" w:rsidRPr="000665B0">
        <w:t>)</w:t>
      </w:r>
      <w:r w:rsidRPr="000665B0">
        <w:t>.</w:t>
      </w:r>
    </w:p>
    <w:p w14:paraId="3F70EFE2" w14:textId="49CE33C2" w:rsidR="00FD0C6A" w:rsidRPr="000665B0" w:rsidRDefault="00FD0C6A" w:rsidP="006D5A65">
      <w:pPr>
        <w:pStyle w:val="Heading1"/>
      </w:pPr>
      <w:r w:rsidRPr="000665B0">
        <w:t xml:space="preserve">ACA Log – Enable/Disable the </w:t>
      </w:r>
      <w:r w:rsidR="0044503D" w:rsidRPr="000665B0">
        <w:t>ACA Log</w:t>
      </w:r>
      <w:r w:rsidRPr="000665B0">
        <w:t xml:space="preserve"> window</w:t>
      </w:r>
      <w:r w:rsidR="0044503D" w:rsidRPr="000665B0">
        <w:t xml:space="preserve"> (see </w:t>
      </w:r>
      <w:hyperlink w:anchor="_ACA_Log" w:history="1">
        <w:r w:rsidR="0044503D" w:rsidRPr="000665B0">
          <w:rPr>
            <w:rStyle w:val="Hyperlink"/>
            <w:bCs/>
          </w:rPr>
          <w:t xml:space="preserve">Section </w:t>
        </w:r>
        <w:r w:rsidR="004231CC">
          <w:rPr>
            <w:rStyle w:val="Hyperlink"/>
            <w:bCs/>
          </w:rPr>
          <w:t>5.37</w:t>
        </w:r>
        <w:r w:rsidR="0044503D" w:rsidRPr="000665B0">
          <w:rPr>
            <w:rStyle w:val="Hyperlink"/>
            <w:bCs/>
          </w:rPr>
          <w:t>.12</w:t>
        </w:r>
      </w:hyperlink>
      <w:r w:rsidR="0044503D" w:rsidRPr="000665B0">
        <w:t>)</w:t>
      </w:r>
      <w:r w:rsidRPr="000665B0">
        <w:t>.</w:t>
      </w:r>
    </w:p>
    <w:p w14:paraId="0DF7927B" w14:textId="6DA69F12" w:rsidR="002335B0" w:rsidRPr="000665B0" w:rsidRDefault="002335B0" w:rsidP="006D5A65">
      <w:pPr>
        <w:pStyle w:val="Heading1"/>
      </w:pPr>
      <w:r w:rsidRPr="000665B0">
        <w:t xml:space="preserve">FDU Log – Enable/Disable the </w:t>
      </w:r>
      <w:r w:rsidR="0044503D" w:rsidRPr="000665B0">
        <w:t>FDU Log</w:t>
      </w:r>
      <w:r w:rsidRPr="000665B0">
        <w:t xml:space="preserve"> window</w:t>
      </w:r>
      <w:r w:rsidR="0044503D" w:rsidRPr="000665B0">
        <w:t xml:space="preserve"> (see </w:t>
      </w:r>
      <w:hyperlink w:anchor="_FDU_Log" w:history="1">
        <w:r w:rsidR="0044503D" w:rsidRPr="000665B0">
          <w:rPr>
            <w:rStyle w:val="Hyperlink"/>
            <w:bCs/>
          </w:rPr>
          <w:t xml:space="preserve">Section </w:t>
        </w:r>
        <w:r w:rsidR="004231CC">
          <w:rPr>
            <w:rStyle w:val="Hyperlink"/>
            <w:bCs/>
          </w:rPr>
          <w:t>5.37</w:t>
        </w:r>
        <w:r w:rsidR="0044503D" w:rsidRPr="000665B0">
          <w:rPr>
            <w:rStyle w:val="Hyperlink"/>
            <w:bCs/>
          </w:rPr>
          <w:t>.13</w:t>
        </w:r>
      </w:hyperlink>
      <w:r w:rsidR="0044503D" w:rsidRPr="000665B0">
        <w:t>)</w:t>
      </w:r>
      <w:r w:rsidRPr="000665B0">
        <w:t>.</w:t>
      </w:r>
    </w:p>
    <w:p w14:paraId="6DBB3167" w14:textId="77777777" w:rsidR="002335B0" w:rsidRPr="000665B0" w:rsidRDefault="002335B0" w:rsidP="006D5A65">
      <w:pPr>
        <w:pStyle w:val="Heading1"/>
      </w:pPr>
      <w:r w:rsidRPr="000665B0">
        <w:t>Actions</w:t>
      </w:r>
    </w:p>
    <w:p w14:paraId="41632984" w14:textId="77777777" w:rsidR="002335B0" w:rsidRPr="000665B0" w:rsidRDefault="002335B0" w:rsidP="006D5A65">
      <w:pPr>
        <w:pStyle w:val="Heading1"/>
      </w:pPr>
      <w:r w:rsidRPr="000665B0">
        <w:t>Release</w:t>
      </w:r>
    </w:p>
    <w:p w14:paraId="143C726A" w14:textId="77777777" w:rsidR="007D190E" w:rsidRPr="000665B0" w:rsidRDefault="007D190E" w:rsidP="006D5A65">
      <w:pPr>
        <w:pStyle w:val="Heading2"/>
      </w:pPr>
      <w:r w:rsidRPr="000665B0">
        <w:t xml:space="preserve">Backup Missiles… </w:t>
      </w:r>
      <w:r w:rsidR="00FC2CF1" w:rsidRPr="000665B0">
        <w:t>–</w:t>
      </w:r>
      <w:r w:rsidRPr="000665B0">
        <w:t xml:space="preserve"> Show</w:t>
      </w:r>
      <w:r w:rsidR="00FC2CF1" w:rsidRPr="000665B0">
        <w:t>s</w:t>
      </w:r>
      <w:r w:rsidRPr="000665B0">
        <w:t xml:space="preserve"> a list of potential backup missiles to release.</w:t>
      </w:r>
    </w:p>
    <w:p w14:paraId="6DFE0E98" w14:textId="0A05A5A7" w:rsidR="007D190E" w:rsidRPr="000665B0" w:rsidRDefault="007D190E" w:rsidP="006D5A65">
      <w:pPr>
        <w:pStyle w:val="Heading2"/>
      </w:pPr>
      <w:r w:rsidRPr="000665B0">
        <w:t xml:space="preserve">Backup Pool Missiles… </w:t>
      </w:r>
      <w:r w:rsidR="00FC2CF1" w:rsidRPr="000665B0">
        <w:t>–</w:t>
      </w:r>
      <w:r w:rsidRPr="000665B0">
        <w:t xml:space="preserve"> Allows the user to task a backup pool missile by selecting a mission, timing, and which FRU to launch it. The mission selection can be done either by selecting an existing missile sequence number or a manually-input </w:t>
      </w:r>
      <w:r w:rsidR="003B7091">
        <w:t>M</w:t>
      </w:r>
      <w:r w:rsidRPr="000665B0">
        <w:t xml:space="preserve">ission ID and outcome. The backup pool missile can be launched as soon as possible or at a scheduled time in the </w:t>
      </w:r>
      <w:r w:rsidR="00A80491" w:rsidRPr="000665B0">
        <w:t>future.</w:t>
      </w:r>
    </w:p>
    <w:p w14:paraId="4682BF00" w14:textId="77777777" w:rsidR="007D190E" w:rsidRPr="000665B0" w:rsidRDefault="007D190E" w:rsidP="006D5A65">
      <w:pPr>
        <w:pStyle w:val="Heading1"/>
      </w:pPr>
      <w:r w:rsidRPr="000665B0">
        <w:lastRenderedPageBreak/>
        <w:t>Request all FRUs to Prepare and Send</w:t>
      </w:r>
    </w:p>
    <w:p w14:paraId="20E63E7D" w14:textId="77777777" w:rsidR="00FC2CF1" w:rsidRPr="000665B0" w:rsidRDefault="00FC2CF1" w:rsidP="006D5A65">
      <w:pPr>
        <w:pStyle w:val="Heading2"/>
      </w:pPr>
      <w:r w:rsidRPr="000665B0">
        <w:t>SPEOs</w:t>
      </w:r>
    </w:p>
    <w:p w14:paraId="3BF812EF" w14:textId="77777777" w:rsidR="00FC2CF1" w:rsidRPr="000665B0" w:rsidRDefault="00FC2CF1" w:rsidP="006D5A65">
      <w:pPr>
        <w:pStyle w:val="Heading3"/>
        <w:rPr>
          <w:bCs/>
        </w:rPr>
      </w:pPr>
      <w:r w:rsidRPr="000665B0">
        <w:rPr>
          <w:bCs/>
        </w:rPr>
        <w:t xml:space="preserve">All strikes (or a specific strike) – </w:t>
      </w:r>
      <w:r w:rsidRPr="000665B0">
        <w:t xml:space="preserve">The TSRT operator may request strike exceptions (SPEOs) at any time. The request is sent out immediately, but each simulated FRU will wait before answering the request to simulate realistic delays. If the operator selects </w:t>
      </w:r>
      <w:r w:rsidRPr="000665B0">
        <w:rPr>
          <w:i/>
        </w:rPr>
        <w:t>All Strikes</w:t>
      </w:r>
      <w:r w:rsidRPr="000665B0">
        <w:t>, one SPEO will be issued from each TTWCS FRU for each strike. If an individual strike is chosen, one SPEO will be issued from each TTWCS FRU in that specific strike.</w:t>
      </w:r>
    </w:p>
    <w:p w14:paraId="36FB2647" w14:textId="77777777" w:rsidR="00FC2CF1" w:rsidRPr="000665B0" w:rsidRDefault="00FC2CF1" w:rsidP="006D5A65">
      <w:pPr>
        <w:pStyle w:val="Heading2"/>
      </w:pPr>
      <w:r w:rsidRPr="000665B0">
        <w:t>Planned OWRs</w:t>
      </w:r>
    </w:p>
    <w:p w14:paraId="5BF84842" w14:textId="77777777" w:rsidR="00FC2CF1" w:rsidRPr="000665B0" w:rsidRDefault="00FC2CF1" w:rsidP="006D5A65">
      <w:pPr>
        <w:pStyle w:val="Heading3"/>
        <w:rPr>
          <w:bCs/>
        </w:rPr>
      </w:pPr>
      <w:r w:rsidRPr="000665B0">
        <w:rPr>
          <w:bCs/>
        </w:rPr>
        <w:t xml:space="preserve">All strikes (or a specific strike) – </w:t>
      </w:r>
      <w:r w:rsidRPr="000665B0">
        <w:t xml:space="preserve">The TSRT operator may request planned overwater routes (OWRs) at any time. The request is sent out immediately, but each simulated FRU will wait before answering the request to simulate realistic delays. If the operator selects </w:t>
      </w:r>
      <w:r w:rsidRPr="000665B0">
        <w:rPr>
          <w:i/>
        </w:rPr>
        <w:t>All Strikes</w:t>
      </w:r>
      <w:r w:rsidRPr="000665B0">
        <w:t>, one OWR will be issued from each TTWCS FRU for each of its primary engagements. If an individual strike is chosen, one OWR will be issued from each TTWCS FRU for each of its primary engagements in that specific strike.</w:t>
      </w:r>
    </w:p>
    <w:p w14:paraId="5EF8FD57" w14:textId="77777777" w:rsidR="007D190E" w:rsidRPr="000665B0" w:rsidRDefault="007D190E" w:rsidP="006D5A65">
      <w:pPr>
        <w:pStyle w:val="Heading2"/>
      </w:pPr>
      <w:r w:rsidRPr="000665B0">
        <w:t>Firing Reports</w:t>
      </w:r>
    </w:p>
    <w:p w14:paraId="111BEBFE" w14:textId="77777777" w:rsidR="007D190E" w:rsidRPr="000665B0" w:rsidRDefault="007A2967" w:rsidP="006D5A65">
      <w:pPr>
        <w:pStyle w:val="Heading3"/>
        <w:rPr>
          <w:bCs/>
        </w:rPr>
      </w:pPr>
      <w:r w:rsidRPr="000665B0">
        <w:rPr>
          <w:bCs/>
        </w:rPr>
        <w:t xml:space="preserve">All strikes (or a specific strike) </w:t>
      </w:r>
      <w:r w:rsidR="00FC2CF1" w:rsidRPr="000665B0">
        <w:rPr>
          <w:bCs/>
        </w:rPr>
        <w:t>–</w:t>
      </w:r>
      <w:r w:rsidRPr="000665B0">
        <w:rPr>
          <w:bCs/>
        </w:rPr>
        <w:t xml:space="preserve"> </w:t>
      </w:r>
      <w:r w:rsidRPr="000665B0">
        <w:t xml:space="preserve">The </w:t>
      </w:r>
      <w:r w:rsidR="00370B34" w:rsidRPr="000665B0">
        <w:t>TSRT operator</w:t>
      </w:r>
      <w:r w:rsidR="00370B34" w:rsidRPr="000665B0" w:rsidDel="00370B34">
        <w:t xml:space="preserve"> </w:t>
      </w:r>
      <w:r w:rsidRPr="000665B0">
        <w:t xml:space="preserve">may request a firing report (PLRO for TTWCS FRUs) at any time. The request </w:t>
      </w:r>
      <w:r w:rsidR="00370B34" w:rsidRPr="000665B0">
        <w:t>is</w:t>
      </w:r>
      <w:r w:rsidRPr="000665B0">
        <w:t xml:space="preserve"> sent out immediately</w:t>
      </w:r>
      <w:r w:rsidR="00370B34" w:rsidRPr="000665B0">
        <w:t>,</w:t>
      </w:r>
      <w:r w:rsidRPr="000665B0">
        <w:t xml:space="preserve"> </w:t>
      </w:r>
      <w:r w:rsidR="00370B34" w:rsidRPr="000665B0">
        <w:t>but</w:t>
      </w:r>
      <w:r w:rsidRPr="000665B0">
        <w:t xml:space="preserve"> each FRU will wait before </w:t>
      </w:r>
      <w:r w:rsidR="00370B34" w:rsidRPr="000665B0">
        <w:t xml:space="preserve">answering </w:t>
      </w:r>
      <w:r w:rsidRPr="000665B0">
        <w:t xml:space="preserve">the request to simulate realistic delays. If the </w:t>
      </w:r>
      <w:r w:rsidR="00370B34" w:rsidRPr="000665B0">
        <w:t xml:space="preserve">operator </w:t>
      </w:r>
      <w:r w:rsidRPr="000665B0">
        <w:t xml:space="preserve">selects </w:t>
      </w:r>
      <w:r w:rsidRPr="000665B0">
        <w:rPr>
          <w:i/>
        </w:rPr>
        <w:t>All Strikes</w:t>
      </w:r>
      <w:r w:rsidRPr="000665B0">
        <w:t>, one PLRO will be issued from each TTWCS FRU in each strike. If an individual strike is chosen, one PLRO will be issued from each TTWCS FRU in that specific strike.</w:t>
      </w:r>
    </w:p>
    <w:p w14:paraId="77392CA3" w14:textId="77777777" w:rsidR="007D190E" w:rsidRPr="000665B0" w:rsidRDefault="007A2967" w:rsidP="006D5A65">
      <w:pPr>
        <w:pStyle w:val="Heading2"/>
        <w:rPr>
          <w:bCs/>
        </w:rPr>
      </w:pPr>
      <w:r w:rsidRPr="000665B0">
        <w:rPr>
          <w:bCs/>
        </w:rPr>
        <w:t xml:space="preserve">Inventory Reports </w:t>
      </w:r>
      <w:r w:rsidR="00FC2CF1" w:rsidRPr="000665B0">
        <w:rPr>
          <w:bCs/>
        </w:rPr>
        <w:t>–</w:t>
      </w:r>
      <w:r w:rsidRPr="000665B0">
        <w:rPr>
          <w:bCs/>
        </w:rPr>
        <w:t xml:space="preserve"> </w:t>
      </w:r>
      <w:r w:rsidRPr="000665B0">
        <w:t xml:space="preserve">The </w:t>
      </w:r>
      <w:r w:rsidR="00370B34" w:rsidRPr="000665B0">
        <w:t>TSRT operator</w:t>
      </w:r>
      <w:r w:rsidR="00370B34" w:rsidRPr="000665B0" w:rsidDel="00370B34">
        <w:t xml:space="preserve"> </w:t>
      </w:r>
      <w:r w:rsidRPr="000665B0">
        <w:t xml:space="preserve">may request an inventory report (MLOSRF-T for TTWCS FRUs) at any time. The request </w:t>
      </w:r>
      <w:r w:rsidR="00370B34" w:rsidRPr="000665B0">
        <w:t>is</w:t>
      </w:r>
      <w:r w:rsidRPr="000665B0">
        <w:t xml:space="preserve"> sent out immediately</w:t>
      </w:r>
      <w:r w:rsidR="00370B34" w:rsidRPr="000665B0">
        <w:t>,</w:t>
      </w:r>
      <w:r w:rsidRPr="000665B0">
        <w:t xml:space="preserve"> </w:t>
      </w:r>
      <w:r w:rsidR="00370B34" w:rsidRPr="000665B0">
        <w:t>but each</w:t>
      </w:r>
      <w:r w:rsidRPr="000665B0">
        <w:t xml:space="preserve"> FRU will wait before </w:t>
      </w:r>
      <w:r w:rsidR="00370B34" w:rsidRPr="000665B0">
        <w:t xml:space="preserve">answering </w:t>
      </w:r>
      <w:r w:rsidRPr="000665B0">
        <w:t>the request to simulate realistic delays.</w:t>
      </w:r>
    </w:p>
    <w:p w14:paraId="67726059" w14:textId="77777777" w:rsidR="007D190E" w:rsidRPr="000665B0" w:rsidRDefault="007D190E" w:rsidP="006D5A65">
      <w:pPr>
        <w:pStyle w:val="Heading1"/>
      </w:pPr>
      <w:r w:rsidRPr="000665B0">
        <w:t xml:space="preserve">Power Down Missiles </w:t>
      </w:r>
    </w:p>
    <w:p w14:paraId="29E72F58" w14:textId="223160C9" w:rsidR="007D190E" w:rsidRPr="000665B0" w:rsidRDefault="007D190E" w:rsidP="006D5A65">
      <w:pPr>
        <w:pStyle w:val="Heading2"/>
      </w:pPr>
      <w:r w:rsidRPr="000665B0">
        <w:t>All Strikes (or a specific strike) – Power down either missiles involved in all strikes, or else missiles that are part of the selected specific strike.</w:t>
      </w:r>
    </w:p>
    <w:p w14:paraId="5B5AD02A" w14:textId="39818B60" w:rsidR="000618C2" w:rsidRPr="000665B0" w:rsidRDefault="000618C2" w:rsidP="006D5A65">
      <w:pPr>
        <w:pStyle w:val="Heading1"/>
        <w:rPr>
          <w:bCs/>
        </w:rPr>
      </w:pPr>
      <w:r w:rsidRPr="000665B0">
        <w:rPr>
          <w:bCs/>
        </w:rPr>
        <w:lastRenderedPageBreak/>
        <w:t xml:space="preserve">Tactical Data Generator Simulations – Shows a list of </w:t>
      </w:r>
      <w:r w:rsidRPr="000665B0">
        <w:t>simulations for selection to generate track data for rehearsal.</w:t>
      </w:r>
    </w:p>
    <w:p w14:paraId="251003DC" w14:textId="77777777" w:rsidR="002335B0" w:rsidRPr="000665B0" w:rsidRDefault="002335B0" w:rsidP="006D5A65">
      <w:pPr>
        <w:pStyle w:val="Heading1"/>
      </w:pPr>
      <w:r w:rsidRPr="000665B0">
        <w:t>Gantt (only available if Gantt Chart is shown)</w:t>
      </w:r>
    </w:p>
    <w:p w14:paraId="7270CDEF" w14:textId="77777777" w:rsidR="002335B0" w:rsidRPr="000665B0" w:rsidRDefault="002335B0" w:rsidP="006D5A65">
      <w:pPr>
        <w:pStyle w:val="Heading1"/>
      </w:pPr>
      <w:r w:rsidRPr="000665B0">
        <w:t>Zoom In – Expand the workload and Gantt chart. Can also use F2 keystroke.</w:t>
      </w:r>
    </w:p>
    <w:p w14:paraId="6C9940CF" w14:textId="77777777" w:rsidR="002335B0" w:rsidRPr="000665B0" w:rsidRDefault="002335B0" w:rsidP="006D5A65">
      <w:pPr>
        <w:pStyle w:val="Heading1"/>
      </w:pPr>
      <w:r w:rsidRPr="000665B0">
        <w:t>Zoom Out – Shrink the workload and Gantt chart. Can also use F3 keystroke.</w:t>
      </w:r>
    </w:p>
    <w:p w14:paraId="4E58301F" w14:textId="77777777" w:rsidR="002335B0" w:rsidRPr="000665B0" w:rsidRDefault="002335B0" w:rsidP="006D5A65">
      <w:pPr>
        <w:pStyle w:val="Heading1"/>
      </w:pPr>
      <w:r w:rsidRPr="000665B0">
        <w:t>Workload Panel – Show/Hide the Gantt FRU Workload Panel.</w:t>
      </w:r>
    </w:p>
    <w:p w14:paraId="283AF6E5" w14:textId="77777777" w:rsidR="002335B0" w:rsidRPr="000665B0" w:rsidRDefault="002335B0" w:rsidP="006D5A65">
      <w:pPr>
        <w:pStyle w:val="Heading1"/>
      </w:pPr>
      <w:r w:rsidRPr="000665B0">
        <w:t>Gantt Toolbar – Show/Hide the Gantt toolbar.</w:t>
      </w:r>
    </w:p>
    <w:p w14:paraId="791E7CAA" w14:textId="77777777" w:rsidR="007D190E" w:rsidRPr="000665B0" w:rsidRDefault="007D190E" w:rsidP="006D5A65">
      <w:pPr>
        <w:pStyle w:val="Heading1"/>
      </w:pPr>
      <w:r w:rsidRPr="000665B0">
        <w:t>BLK III Missiles – Makes BLK III missiles visible or hidden.</w:t>
      </w:r>
      <w:r w:rsidR="00F303DA" w:rsidRPr="000665B0">
        <w:t xml:space="preserve"> </w:t>
      </w:r>
      <w:r w:rsidRPr="000665B0">
        <w:t>BLK III missiles cannot send Health and Status messages or receive IMMM messages.</w:t>
      </w:r>
    </w:p>
    <w:p w14:paraId="21A17EEB" w14:textId="77777777" w:rsidR="007D190E" w:rsidRPr="000665B0" w:rsidRDefault="004C34C6" w:rsidP="006D5A65">
      <w:pPr>
        <w:pStyle w:val="Heading1"/>
      </w:pPr>
      <w:r w:rsidRPr="000665B0">
        <w:t>109E</w:t>
      </w:r>
      <w:r w:rsidR="007D190E" w:rsidRPr="000665B0">
        <w:t xml:space="preserve"> Missiles with Comms Disabled – Makes </w:t>
      </w:r>
      <w:r w:rsidRPr="000665B0">
        <w:t>109E</w:t>
      </w:r>
      <w:r w:rsidR="007D190E" w:rsidRPr="000665B0">
        <w:t xml:space="preserve"> missiles with Comms disabled visible or hidden. </w:t>
      </w:r>
      <w:r w:rsidRPr="000665B0">
        <w:t>109E</w:t>
      </w:r>
      <w:r w:rsidR="007D190E" w:rsidRPr="000665B0">
        <w:t xml:space="preserve"> missiles with Comms </w:t>
      </w:r>
      <w:r w:rsidR="007D190E" w:rsidRPr="000665B0">
        <w:lastRenderedPageBreak/>
        <w:t>disabled cannot send Health and Status messages or receive IMMM messages.</w:t>
      </w:r>
    </w:p>
    <w:p w14:paraId="4B8ECC45" w14:textId="77777777" w:rsidR="007A2967" w:rsidRPr="000665B0" w:rsidRDefault="007A2967" w:rsidP="006D5A65">
      <w:pPr>
        <w:pStyle w:val="Heading1"/>
      </w:pPr>
      <w:r w:rsidRPr="000665B0">
        <w:t>Spare Missiles – Makes spare missiles visible or hidden.</w:t>
      </w:r>
    </w:p>
    <w:p w14:paraId="403F572C" w14:textId="77777777" w:rsidR="007A2967" w:rsidRPr="000665B0" w:rsidRDefault="007A2967" w:rsidP="006D5A65">
      <w:pPr>
        <w:pStyle w:val="Heading1"/>
      </w:pPr>
      <w:r w:rsidRPr="000665B0">
        <w:t>Backup Missiles – Makes backup missiles visible or hidden.</w:t>
      </w:r>
    </w:p>
    <w:p w14:paraId="5900003C" w14:textId="77777777" w:rsidR="007A2967" w:rsidRPr="000665B0" w:rsidRDefault="007A2967" w:rsidP="006D5A65">
      <w:pPr>
        <w:pStyle w:val="Heading1"/>
      </w:pPr>
      <w:r w:rsidRPr="000665B0">
        <w:t>Backup Pool Missiles – Makes backup pool missiles visible or hidden.</w:t>
      </w:r>
    </w:p>
    <w:p w14:paraId="7015E20C" w14:textId="77777777" w:rsidR="002335B0" w:rsidRPr="000665B0" w:rsidRDefault="002335B0" w:rsidP="006D5A65">
      <w:pPr>
        <w:pStyle w:val="Heading1"/>
      </w:pPr>
      <w:r w:rsidRPr="000665B0">
        <w:t>TSN</w:t>
      </w:r>
      <w:r w:rsidR="005F71AE" w:rsidRPr="000665B0">
        <w:t xml:space="preserve"> Comms</w:t>
      </w:r>
      <w:r w:rsidRPr="000665B0">
        <w:t xml:space="preserve"> – Show/Hide the TSN Gantt line item.</w:t>
      </w:r>
    </w:p>
    <w:p w14:paraId="128DE7EA" w14:textId="77777777" w:rsidR="002335B0" w:rsidRPr="000665B0" w:rsidRDefault="005F71AE" w:rsidP="006D5A65">
      <w:pPr>
        <w:pStyle w:val="Heading1"/>
      </w:pPr>
      <w:r w:rsidRPr="000665B0">
        <w:t>DDO</w:t>
      </w:r>
      <w:r w:rsidR="002335B0" w:rsidRPr="000665B0">
        <w:t xml:space="preserve"> Comms – Show/Hide the </w:t>
      </w:r>
      <w:r w:rsidRPr="000665B0">
        <w:t>DDO Processor</w:t>
      </w:r>
      <w:r w:rsidR="002335B0" w:rsidRPr="000665B0">
        <w:t xml:space="preserve"> Gantt line item.</w:t>
      </w:r>
    </w:p>
    <w:p w14:paraId="6906B1BB" w14:textId="77777777" w:rsidR="002335B0" w:rsidRPr="000665B0" w:rsidRDefault="002335B0" w:rsidP="006D5A65">
      <w:pPr>
        <w:pStyle w:val="Heading1"/>
      </w:pPr>
      <w:r w:rsidRPr="000665B0">
        <w:t>Auto Scroll – Enable Gantt Chart Auto Scroll.</w:t>
      </w:r>
    </w:p>
    <w:p w14:paraId="40DD35D7" w14:textId="77777777" w:rsidR="002335B0" w:rsidRPr="000665B0" w:rsidRDefault="002335B0" w:rsidP="006D5A65">
      <w:pPr>
        <w:pStyle w:val="Heading1"/>
      </w:pPr>
      <w:r w:rsidRPr="000665B0">
        <w:t>Geo (only available if Geo Display is shown)</w:t>
      </w:r>
    </w:p>
    <w:p w14:paraId="016749F5" w14:textId="77777777" w:rsidR="002335B0" w:rsidRPr="000665B0" w:rsidRDefault="002335B0" w:rsidP="006D5A65">
      <w:pPr>
        <w:pStyle w:val="Heading1"/>
      </w:pPr>
      <w:r w:rsidRPr="000665B0">
        <w:t>Zoom In – Zoom In.</w:t>
      </w:r>
    </w:p>
    <w:p w14:paraId="728CEF1A" w14:textId="77777777" w:rsidR="002335B0" w:rsidRPr="000665B0" w:rsidRDefault="002335B0" w:rsidP="006D5A65">
      <w:pPr>
        <w:pStyle w:val="Heading1"/>
      </w:pPr>
      <w:r w:rsidRPr="000665B0">
        <w:t>Zoom Out – Zoom Out.</w:t>
      </w:r>
    </w:p>
    <w:p w14:paraId="23BDB401" w14:textId="77777777" w:rsidR="002335B0" w:rsidRPr="000665B0" w:rsidRDefault="002335B0" w:rsidP="006D5A65">
      <w:pPr>
        <w:pStyle w:val="Heading1"/>
      </w:pPr>
      <w:r w:rsidRPr="000665B0">
        <w:t>Lock G</w:t>
      </w:r>
      <w:r w:rsidR="007D190E" w:rsidRPr="000665B0">
        <w:t>eo</w:t>
      </w:r>
      <w:r w:rsidRPr="000665B0">
        <w:t xml:space="preserve"> – Lock the Geo.</w:t>
      </w:r>
    </w:p>
    <w:p w14:paraId="3FAF5D9C" w14:textId="77777777" w:rsidR="002335B0" w:rsidRPr="000665B0" w:rsidRDefault="002335B0" w:rsidP="006D5A65">
      <w:pPr>
        <w:pStyle w:val="Heading1"/>
      </w:pPr>
      <w:r w:rsidRPr="000665B0">
        <w:t>Range and Bearing – Activate the Range and Bearing tool.</w:t>
      </w:r>
    </w:p>
    <w:p w14:paraId="45A6FBF1" w14:textId="77777777" w:rsidR="005F71AE" w:rsidRPr="000665B0" w:rsidRDefault="005F71AE" w:rsidP="006D5A65">
      <w:pPr>
        <w:pStyle w:val="Heading1"/>
      </w:pPr>
      <w:r w:rsidRPr="000665B0">
        <w:t>Hide All Labels – Prevents object labels (FRU trigraphs, route point numbers, ACMS names) from being displayed.</w:t>
      </w:r>
    </w:p>
    <w:p w14:paraId="321C3753" w14:textId="77777777" w:rsidR="005F71AE" w:rsidRPr="000665B0" w:rsidRDefault="005F71AE" w:rsidP="006D5A65">
      <w:pPr>
        <w:pStyle w:val="Heading1"/>
      </w:pPr>
      <w:r w:rsidRPr="000665B0">
        <w:t>Close All Note Windows – Removes all note windows from the display.</w:t>
      </w:r>
    </w:p>
    <w:p w14:paraId="7F833EC5" w14:textId="77777777" w:rsidR="002335B0" w:rsidRPr="000665B0" w:rsidRDefault="002335B0" w:rsidP="006D5A65">
      <w:pPr>
        <w:pStyle w:val="Heading1"/>
      </w:pPr>
      <w:r w:rsidRPr="000665B0">
        <w:t>Display Geo Object Manager – Show/Hide the Geo Object Manager.</w:t>
      </w:r>
    </w:p>
    <w:p w14:paraId="690C00AD" w14:textId="77777777" w:rsidR="002335B0" w:rsidRPr="000665B0" w:rsidRDefault="002335B0" w:rsidP="006D5A65">
      <w:pPr>
        <w:pStyle w:val="Heading1"/>
      </w:pPr>
      <w:r w:rsidRPr="000665B0">
        <w:t>Display Digital Maps – Show/Hide digital maps.</w:t>
      </w:r>
    </w:p>
    <w:p w14:paraId="0C82E975" w14:textId="77777777" w:rsidR="005F71AE" w:rsidRPr="000665B0" w:rsidRDefault="005F71AE" w:rsidP="006D5A65">
      <w:pPr>
        <w:pStyle w:val="Heading1"/>
      </w:pPr>
      <w:r w:rsidRPr="000665B0">
        <w:t>Geo Toolbar – Show/Hide the Geo toolbar.</w:t>
      </w:r>
    </w:p>
    <w:p w14:paraId="1542E39B" w14:textId="77777777" w:rsidR="002335B0" w:rsidRPr="000665B0" w:rsidRDefault="002335B0" w:rsidP="006D5A65">
      <w:pPr>
        <w:pStyle w:val="Heading1"/>
      </w:pPr>
      <w:r w:rsidRPr="000665B0">
        <w:t xml:space="preserve">Add ACMS… </w:t>
      </w:r>
      <w:r w:rsidR="00C9647A" w:rsidRPr="000665B0">
        <w:t>–</w:t>
      </w:r>
      <w:r w:rsidRPr="000665B0">
        <w:t xml:space="preserve"> Show a list of ACMSs that can be added to the Geo display.</w:t>
      </w:r>
    </w:p>
    <w:p w14:paraId="42226A54" w14:textId="77777777" w:rsidR="002335B0" w:rsidRPr="000665B0" w:rsidRDefault="002335B0" w:rsidP="006D5A65">
      <w:pPr>
        <w:pStyle w:val="Heading1"/>
      </w:pPr>
      <w:r w:rsidRPr="000665B0">
        <w:t xml:space="preserve">Add Overlay… </w:t>
      </w:r>
      <w:r w:rsidR="00C9647A" w:rsidRPr="000665B0">
        <w:t xml:space="preserve">– </w:t>
      </w:r>
      <w:r w:rsidRPr="000665B0">
        <w:t>Show a list of overlays that can be added to the Geo display.</w:t>
      </w:r>
    </w:p>
    <w:p w14:paraId="3D55FB1F" w14:textId="77777777" w:rsidR="002335B0" w:rsidRDefault="002335B0" w:rsidP="006D5A65">
      <w:pPr>
        <w:pStyle w:val="Heading1"/>
      </w:pPr>
      <w:r w:rsidRPr="000665B0">
        <w:t>Properties – Show the Geo properties.</w:t>
      </w:r>
    </w:p>
    <w:p w14:paraId="268FAF9A" w14:textId="77777777" w:rsidR="002335B0" w:rsidRPr="000665B0" w:rsidRDefault="002335B0" w:rsidP="006D5A65">
      <w:pPr>
        <w:pStyle w:val="Heading1"/>
      </w:pPr>
      <w:r w:rsidRPr="000665B0">
        <w:t>Help</w:t>
      </w:r>
    </w:p>
    <w:p w14:paraId="71506A87" w14:textId="77777777" w:rsidR="002335B0" w:rsidRPr="000665B0" w:rsidRDefault="002335B0" w:rsidP="006D5A65">
      <w:pPr>
        <w:pStyle w:val="Heading1"/>
      </w:pPr>
      <w:r w:rsidRPr="000665B0">
        <w:t>Scenario Director Help – Help about the Scenario Director.</w:t>
      </w:r>
    </w:p>
    <w:p w14:paraId="3513B71A" w14:textId="69499644" w:rsidR="00CD2871" w:rsidRPr="000665B0" w:rsidRDefault="00CD2871" w:rsidP="00B35EE5">
      <w:pPr>
        <w:pStyle w:val="Heading3"/>
      </w:pPr>
      <w:bookmarkStart w:id="6902" w:name="_5.39.1__Gantt_Chart"/>
      <w:bookmarkStart w:id="6903" w:name="_5.39.1__Gantt"/>
      <w:bookmarkStart w:id="6904" w:name="_Gantt__Chart/Icon"/>
      <w:bookmarkStart w:id="6905" w:name="_Toc289328953"/>
      <w:bookmarkStart w:id="6906" w:name="_Toc312332098"/>
      <w:bookmarkStart w:id="6907" w:name="_Toc214283603"/>
      <w:bookmarkStart w:id="6908" w:name="_Hlk54355667"/>
      <w:bookmarkStart w:id="6909" w:name="_Toc96170333"/>
      <w:bookmarkStart w:id="6910" w:name="_Toc96234378"/>
      <w:bookmarkStart w:id="6911" w:name="_Toc112733815"/>
      <w:bookmarkEnd w:id="6873"/>
      <w:bookmarkEnd w:id="6874"/>
      <w:bookmarkEnd w:id="6897"/>
      <w:bookmarkEnd w:id="6898"/>
      <w:bookmarkEnd w:id="6902"/>
      <w:bookmarkEnd w:id="6903"/>
      <w:bookmarkEnd w:id="6904"/>
      <w:r w:rsidRPr="000665B0">
        <w:t>Gantt Chart</w:t>
      </w:r>
      <w:bookmarkEnd w:id="6905"/>
      <w:bookmarkEnd w:id="6906"/>
      <w:r w:rsidR="004A3C95" w:rsidRPr="000665B0">
        <w:t>/Icon Definitions</w:t>
      </w:r>
      <w:bookmarkEnd w:id="6907"/>
    </w:p>
    <w:p w14:paraId="5064363D" w14:textId="15B0B6E9" w:rsidR="007D190E" w:rsidRPr="000665B0" w:rsidRDefault="007D190E" w:rsidP="007D190E">
      <w:r w:rsidRPr="000665B0">
        <w:t xml:space="preserve">The Gantt chart shows the missiles </w:t>
      </w:r>
      <w:r w:rsidR="00B729C8" w:rsidRPr="000665B0">
        <w:t>‘</w:t>
      </w:r>
      <w:r w:rsidRPr="000665B0">
        <w:t xml:space="preserve">messages and platforms’ engagements from a timing perspective. The Gantt chart window consists of the Workload Panel, the Option/FRU/Missile list, and the Gantt chart itself. The Workload Panel shows a FRU’s workload as a function of time. The Option/FRU/Missile List shows the options, FRUs, and missiles participating in this rehearsal. The current rehearsal time is shown in the lower </w:t>
      </w:r>
      <w:r w:rsidR="00A80491" w:rsidRPr="000665B0">
        <w:t>left-hand</w:t>
      </w:r>
      <w:r w:rsidRPr="000665B0">
        <w:t xml:space="preserve"> corner of the Scenario Director and is also as well as indicated by the red progression line across the Gantt chart. The Gantt chart window can be hidden by going to the </w:t>
      </w:r>
      <w:r w:rsidRPr="000665B0">
        <w:rPr>
          <w:b/>
        </w:rPr>
        <w:t>View</w:t>
      </w:r>
      <w:r w:rsidRPr="000665B0">
        <w:t xml:space="preserve"> menu and deselecting the Gantt menu item.</w:t>
      </w:r>
    </w:p>
    <w:p w14:paraId="2F819B2D" w14:textId="77777777" w:rsidR="00CD2871" w:rsidRPr="000665B0" w:rsidRDefault="00CD2871" w:rsidP="00CD2871">
      <w:pPr>
        <w:rPr>
          <w:b/>
        </w:rPr>
      </w:pPr>
      <w:r w:rsidRPr="000665B0">
        <w:rPr>
          <w:b/>
        </w:rPr>
        <w:t>Tool Bar:</w:t>
      </w:r>
    </w:p>
    <w:p w14:paraId="1A2ADF19" w14:textId="77777777" w:rsidR="007D190E" w:rsidRPr="000665B0" w:rsidRDefault="009A1FDF" w:rsidP="006D5A65">
      <w:pPr>
        <w:pStyle w:val="Heading1"/>
      </w:pPr>
      <w:r w:rsidRPr="000665B0">
        <w:rPr>
          <w:noProof/>
        </w:rPr>
        <w:lastRenderedPageBreak/>
        <w:drawing>
          <wp:inline distT="0" distB="0" distL="0" distR="0" wp14:anchorId="5721317E" wp14:editId="0A2898C0">
            <wp:extent cx="182880" cy="228600"/>
            <wp:effectExtent l="0" t="0" r="0" b="0"/>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cstate="print"/>
                    <a:srcRect/>
                    <a:stretch>
                      <a:fillRect/>
                    </a:stretch>
                  </pic:blipFill>
                  <pic:spPr bwMode="auto">
                    <a:xfrm>
                      <a:off x="0" y="0"/>
                      <a:ext cx="182880" cy="228600"/>
                    </a:xfrm>
                    <a:prstGeom prst="rect">
                      <a:avLst/>
                    </a:prstGeom>
                    <a:noFill/>
                    <a:ln w="9525">
                      <a:noFill/>
                      <a:miter lim="800000"/>
                      <a:headEnd/>
                      <a:tailEnd/>
                    </a:ln>
                  </pic:spPr>
                </pic:pic>
              </a:graphicData>
            </a:graphic>
          </wp:inline>
        </w:drawing>
      </w:r>
      <w:r w:rsidR="007D190E" w:rsidRPr="000665B0">
        <w:t xml:space="preserve"> – Expand the FRU Workload Panel and Gantt chart. </w:t>
      </w:r>
    </w:p>
    <w:p w14:paraId="79BD7C13" w14:textId="77777777" w:rsidR="007D190E" w:rsidRPr="000665B0" w:rsidRDefault="009A1FDF" w:rsidP="006D5A65">
      <w:pPr>
        <w:pStyle w:val="Heading1"/>
      </w:pPr>
      <w:r w:rsidRPr="000665B0">
        <w:rPr>
          <w:noProof/>
        </w:rPr>
        <w:drawing>
          <wp:inline distT="0" distB="0" distL="0" distR="0" wp14:anchorId="28FF4ECA" wp14:editId="657E62F0">
            <wp:extent cx="209550" cy="228600"/>
            <wp:effectExtent l="19050" t="0" r="0" b="0"/>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007D190E" w:rsidRPr="000665B0">
        <w:t xml:space="preserve"> – Shrink the FRU Workload Panel and Gantt chart.</w:t>
      </w:r>
    </w:p>
    <w:p w14:paraId="754DD55E" w14:textId="43DA5222" w:rsidR="00CD2871" w:rsidRPr="000665B0" w:rsidRDefault="009A1FDF" w:rsidP="006D5A65">
      <w:pPr>
        <w:pStyle w:val="Heading1"/>
      </w:pPr>
      <w:r w:rsidRPr="000665B0">
        <w:rPr>
          <w:noProof/>
        </w:rPr>
        <w:drawing>
          <wp:inline distT="0" distB="0" distL="0" distR="0" wp14:anchorId="3CA67CEF" wp14:editId="303A5935">
            <wp:extent cx="476844" cy="213360"/>
            <wp:effectExtent l="0" t="0" r="0" b="0"/>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487678" cy="218208"/>
                    </a:xfrm>
                    <a:prstGeom prst="rect">
                      <a:avLst/>
                    </a:prstGeom>
                    <a:noFill/>
                    <a:ln>
                      <a:noFill/>
                    </a:ln>
                    <a:extLst>
                      <a:ext uri="{53640926-AAD7-44D8-BBD7-CCE9431645EC}">
                        <a14:shadowObscured xmlns:a14="http://schemas.microsoft.com/office/drawing/2010/main"/>
                      </a:ext>
                    </a:extLst>
                  </pic:spPr>
                </pic:pic>
              </a:graphicData>
            </a:graphic>
          </wp:inline>
        </w:drawing>
      </w:r>
      <w:r w:rsidR="00CD2871" w:rsidRPr="000665B0">
        <w:t xml:space="preserve"> – Changes the Missile Assignment List View grouping. Available Groupings are:</w:t>
      </w:r>
    </w:p>
    <w:p w14:paraId="45FF69B7" w14:textId="77777777" w:rsidR="00CD2871" w:rsidRPr="000665B0" w:rsidRDefault="00CD2871" w:rsidP="006D5A65">
      <w:pPr>
        <w:pStyle w:val="Heading1"/>
      </w:pPr>
      <w:r w:rsidRPr="000665B0">
        <w:t>Option, then Missile – Shows missile assignments grouped by Option.</w:t>
      </w:r>
    </w:p>
    <w:p w14:paraId="728760FA" w14:textId="77777777" w:rsidR="00CD2871" w:rsidRPr="000665B0" w:rsidRDefault="00CD2871" w:rsidP="006D5A65">
      <w:pPr>
        <w:pStyle w:val="Heading1"/>
      </w:pPr>
      <w:r w:rsidRPr="000665B0">
        <w:t>Option, then FRU, then Missile – Shows missile assignments grouped first by Option, then FRU.</w:t>
      </w:r>
    </w:p>
    <w:p w14:paraId="4EA04C4F" w14:textId="427A2916" w:rsidR="00CD2871" w:rsidRPr="000665B0" w:rsidRDefault="00CD2871" w:rsidP="006D5A65">
      <w:pPr>
        <w:pStyle w:val="Heading1"/>
      </w:pPr>
      <w:r w:rsidRPr="000665B0">
        <w:t xml:space="preserve">FRU, then Option, then Missile – Shows missile assignments grouped </w:t>
      </w:r>
      <w:r w:rsidR="004839F8" w:rsidRPr="000665B0">
        <w:t xml:space="preserve">first </w:t>
      </w:r>
      <w:r w:rsidRPr="000665B0">
        <w:t>by FRU, then Option.</w:t>
      </w:r>
    </w:p>
    <w:p w14:paraId="769C4558" w14:textId="77777777" w:rsidR="007D190E" w:rsidRPr="000665B0" w:rsidRDefault="007D190E" w:rsidP="006D5A65">
      <w:pPr>
        <w:pStyle w:val="Heading1"/>
      </w:pPr>
      <w:r w:rsidRPr="000665B0">
        <w:t>FRU, then Missile – Shows missile assignments grouped by FRU.</w:t>
      </w:r>
    </w:p>
    <w:p w14:paraId="39BD10B9" w14:textId="549F2364" w:rsidR="004839F8" w:rsidRPr="000665B0" w:rsidRDefault="007D190E" w:rsidP="006D5A65">
      <w:pPr>
        <w:pStyle w:val="Heading1"/>
      </w:pPr>
      <w:r w:rsidRPr="000665B0">
        <w:t>Missile – Shows only missile assignments without groupings.</w:t>
      </w:r>
      <w:r w:rsidR="004839F8" w:rsidRPr="000665B0">
        <w:t xml:space="preserve"> </w:t>
      </w:r>
    </w:p>
    <w:p w14:paraId="25375D21" w14:textId="77777777" w:rsidR="004839F8" w:rsidRPr="000665B0" w:rsidRDefault="004839F8" w:rsidP="006D5A65">
      <w:pPr>
        <w:pStyle w:val="Heading1"/>
      </w:pPr>
      <w:r w:rsidRPr="000665B0">
        <w:t>Maritime Target, then Missile – Shows missile assignments grouped by Maritime Target.</w:t>
      </w:r>
    </w:p>
    <w:p w14:paraId="57FC7F3F" w14:textId="77777777" w:rsidR="004839F8" w:rsidRPr="000665B0" w:rsidRDefault="004839F8" w:rsidP="006D5A65">
      <w:pPr>
        <w:pStyle w:val="Heading1"/>
      </w:pPr>
      <w:r w:rsidRPr="000665B0">
        <w:t>Maritime Target, then Group, then Missile – Shows missile assignments grouped first by Maritime Target, then Group.</w:t>
      </w:r>
    </w:p>
    <w:p w14:paraId="0CAA7FF0" w14:textId="77777777" w:rsidR="004839F8" w:rsidRPr="000665B0" w:rsidRDefault="004839F8" w:rsidP="006D5A65">
      <w:pPr>
        <w:pStyle w:val="Heading1"/>
      </w:pPr>
      <w:r w:rsidRPr="000665B0">
        <w:t>Maritime Target, then Option, then Missile – Shows missile assignments grouped first by Maritime Target, then Option.</w:t>
      </w:r>
    </w:p>
    <w:p w14:paraId="641D2838" w14:textId="7F4A0294" w:rsidR="007D190E" w:rsidRPr="000665B0" w:rsidRDefault="004839F8" w:rsidP="006D5A65">
      <w:pPr>
        <w:pStyle w:val="Heading1"/>
      </w:pPr>
      <w:r w:rsidRPr="000665B0">
        <w:t>TSN, then Maritime Target, then Missile – Shows missile assignments grouped first by TSN Type, then Maritime Target.</w:t>
      </w:r>
    </w:p>
    <w:p w14:paraId="4D9CD1DF" w14:textId="50C5FB9F" w:rsidR="007D190E" w:rsidRPr="000665B0" w:rsidRDefault="009A1FDF" w:rsidP="006D5A65">
      <w:pPr>
        <w:pStyle w:val="Heading1"/>
      </w:pPr>
      <w:r w:rsidRPr="000665B0">
        <w:rPr>
          <w:noProof/>
        </w:rPr>
        <w:drawing>
          <wp:inline distT="0" distB="0" distL="0" distR="0" wp14:anchorId="42789C3D" wp14:editId="7FE684FD">
            <wp:extent cx="1433180" cy="182880"/>
            <wp:effectExtent l="0" t="0" r="0" b="0"/>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85294" cy="189530"/>
                    </a:xfrm>
                    <a:prstGeom prst="rect">
                      <a:avLst/>
                    </a:prstGeom>
                    <a:noFill/>
                    <a:ln>
                      <a:noFill/>
                    </a:ln>
                    <a:extLst>
                      <a:ext uri="{53640926-AAD7-44D8-BBD7-CCE9431645EC}">
                        <a14:shadowObscured xmlns:a14="http://schemas.microsoft.com/office/drawing/2010/main"/>
                      </a:ext>
                    </a:extLst>
                  </pic:spPr>
                </pic:pic>
              </a:graphicData>
            </a:graphic>
          </wp:inline>
        </w:drawing>
      </w:r>
      <w:r w:rsidR="007D190E" w:rsidRPr="000665B0">
        <w:t xml:space="preserve"> – Orders the missiles</w:t>
      </w:r>
      <w:r w:rsidR="000C29D8" w:rsidRPr="000665B0">
        <w:t xml:space="preserve"> within the grouping selected,</w:t>
      </w:r>
      <w:r w:rsidR="007D190E" w:rsidRPr="000665B0">
        <w:t xml:space="preserve"> in ascending or descending order. Available order by fields are:</w:t>
      </w:r>
    </w:p>
    <w:p w14:paraId="142C3693" w14:textId="77777777" w:rsidR="007D190E" w:rsidRPr="000665B0" w:rsidRDefault="007D190E" w:rsidP="006D5A65">
      <w:pPr>
        <w:pStyle w:val="Heading1"/>
      </w:pPr>
      <w:r w:rsidRPr="000665B0">
        <w:t>MS# – Order missiles by MS#.</w:t>
      </w:r>
    </w:p>
    <w:p w14:paraId="7F3661B7" w14:textId="77777777" w:rsidR="00CD2871" w:rsidRPr="000665B0" w:rsidRDefault="00CD2871" w:rsidP="006D5A65">
      <w:pPr>
        <w:pStyle w:val="Heading1"/>
      </w:pPr>
      <w:r w:rsidRPr="000665B0">
        <w:t>TOL – Order by Time of Launch.</w:t>
      </w:r>
    </w:p>
    <w:p w14:paraId="644FB226" w14:textId="77777777" w:rsidR="007D190E" w:rsidRPr="000665B0" w:rsidRDefault="007D190E" w:rsidP="006D5A65">
      <w:pPr>
        <w:pStyle w:val="Heading1"/>
      </w:pPr>
      <w:r w:rsidRPr="000665B0">
        <w:t>FWP – Order missiles by time at First Waypoint.</w:t>
      </w:r>
    </w:p>
    <w:p w14:paraId="607241A1" w14:textId="77777777" w:rsidR="007D190E" w:rsidRPr="000665B0" w:rsidRDefault="007D190E" w:rsidP="006D5A65">
      <w:pPr>
        <w:pStyle w:val="Heading1"/>
      </w:pPr>
      <w:r w:rsidRPr="000665B0">
        <w:t>TGT – Order missiles by Target arrival time.</w:t>
      </w:r>
    </w:p>
    <w:p w14:paraId="1A4CB7EC" w14:textId="77777777" w:rsidR="00CD2871" w:rsidRPr="000665B0" w:rsidRDefault="00CD2871" w:rsidP="00CD2871">
      <w:pPr>
        <w:pStyle w:val="PlainText"/>
        <w:ind w:left="720"/>
        <w:rPr>
          <w:rFonts w:ascii="Times New Roman" w:hAnsi="Times New Roman"/>
        </w:rPr>
      </w:pPr>
      <w:r w:rsidRPr="000665B0">
        <w:rPr>
          <w:rFonts w:ascii="Times New Roman" w:hAnsi="Times New Roman"/>
        </w:rPr>
        <w:t xml:space="preserve">Ordering of missiles apply only within their group view. </w:t>
      </w:r>
    </w:p>
    <w:p w14:paraId="0C38AAEF" w14:textId="77777777" w:rsidR="00CD2871" w:rsidRPr="000665B0" w:rsidRDefault="00CD2871" w:rsidP="00F26AD4">
      <w:pPr>
        <w:keepNext/>
        <w:rPr>
          <w:b/>
        </w:rPr>
      </w:pPr>
      <w:r w:rsidRPr="000665B0">
        <w:rPr>
          <w:b/>
        </w:rPr>
        <w:t>The Workload Panel</w:t>
      </w:r>
    </w:p>
    <w:p w14:paraId="75025043" w14:textId="77777777" w:rsidR="00CD2871" w:rsidRPr="000665B0" w:rsidRDefault="005F71AE" w:rsidP="00CD2871">
      <w:pPr>
        <w:jc w:val="center"/>
      </w:pPr>
      <w:r w:rsidRPr="000665B0">
        <w:rPr>
          <w:noProof/>
        </w:rPr>
        <w:drawing>
          <wp:inline distT="0" distB="0" distL="0" distR="0" wp14:anchorId="55CA919A" wp14:editId="5740A520">
            <wp:extent cx="4986528" cy="892422"/>
            <wp:effectExtent l="0" t="0" r="508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39.1A alternate.png"/>
                    <pic:cNvPicPr/>
                  </pic:nvPicPr>
                  <pic:blipFill>
                    <a:blip>
                      <a:extLst>
                        <a:ext uri="{28A0092B-C50C-407E-A947-70E740481C1C}">
                          <a14:useLocalDpi xmlns:a14="http://schemas.microsoft.com/office/drawing/2010/main"/>
                        </a:ext>
                      </a:extLst>
                    </a:blip>
                    <a:stretch>
                      <a:fillRect/>
                    </a:stretch>
                  </pic:blipFill>
                  <pic:spPr>
                    <a:xfrm>
                      <a:off x="0" y="0"/>
                      <a:ext cx="4991685" cy="893345"/>
                    </a:xfrm>
                    <a:prstGeom prst="rect">
                      <a:avLst/>
                    </a:prstGeom>
                  </pic:spPr>
                </pic:pic>
              </a:graphicData>
            </a:graphic>
          </wp:inline>
        </w:drawing>
      </w:r>
    </w:p>
    <w:p w14:paraId="74CE1871" w14:textId="77777777" w:rsidR="005F71AE" w:rsidRPr="000665B0" w:rsidRDefault="005F71AE" w:rsidP="005F71AE">
      <w:r w:rsidRPr="000665B0">
        <w:t xml:space="preserve">The top of the panel displays the time in hours and minutes. The main portion of the panel depicts the level of activity for each FRU. The level of activity for a FRU is determined by taking into account events such as powering missiles on, planning overwater routes, sending messages, launching missiles, and any complications it is being subjected to. A specific FRU’s workload </w:t>
      </w:r>
      <w:r w:rsidR="00BA5239" w:rsidRPr="000665B0">
        <w:t>is displayed</w:t>
      </w:r>
      <w:r w:rsidRPr="000665B0">
        <w:t xml:space="preserve"> in blue when the FRU is selected from the Gantt chart’s Missile Assignments List.</w:t>
      </w:r>
    </w:p>
    <w:p w14:paraId="218C9BDE" w14:textId="77777777" w:rsidR="00CD2871" w:rsidRPr="000665B0" w:rsidRDefault="00CD2871" w:rsidP="00F75F3C">
      <w:pPr>
        <w:keepNext/>
        <w:rPr>
          <w:b/>
        </w:rPr>
      </w:pPr>
      <w:r w:rsidRPr="000665B0">
        <w:rPr>
          <w:b/>
        </w:rPr>
        <w:lastRenderedPageBreak/>
        <w:t>Missile Assignments List</w:t>
      </w:r>
    </w:p>
    <w:p w14:paraId="2A444E05" w14:textId="77777777" w:rsidR="00DC3A52" w:rsidRPr="000665B0" w:rsidRDefault="00DC3A52" w:rsidP="00DC3A52">
      <w:r w:rsidRPr="000665B0">
        <w:t>This list shows the missiles grouped as specified by the “Group By” drop-down box in the toolbar. The sorting order of the missiles displayed can be changed by using the “Order Missiles within Grouping by” drop-down box in the toolbar.</w:t>
      </w:r>
    </w:p>
    <w:p w14:paraId="1971DC67" w14:textId="54F35FED" w:rsidR="00DC3A52" w:rsidRPr="000665B0" w:rsidRDefault="00714C80" w:rsidP="00DC3A52">
      <w:pPr>
        <w:jc w:val="center"/>
      </w:pPr>
      <w:r w:rsidRPr="000665B0">
        <w:rPr>
          <w:noProof/>
        </w:rPr>
        <w:drawing>
          <wp:inline distT="0" distB="0" distL="0" distR="0" wp14:anchorId="54912C9D" wp14:editId="039857F5">
            <wp:extent cx="1722328" cy="3771900"/>
            <wp:effectExtent l="0" t="0" r="0" b="0"/>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729250" cy="3787059"/>
                    </a:xfrm>
                    <a:prstGeom prst="rect">
                      <a:avLst/>
                    </a:prstGeom>
                  </pic:spPr>
                </pic:pic>
              </a:graphicData>
            </a:graphic>
          </wp:inline>
        </w:drawing>
      </w:r>
    </w:p>
    <w:p w14:paraId="4FE071E1" w14:textId="480385F2" w:rsidR="00DC3A52" w:rsidRPr="000665B0" w:rsidRDefault="0062424B" w:rsidP="00DC3A52">
      <w:r w:rsidRPr="000665B0">
        <w:t xml:space="preserve">A </w:t>
      </w:r>
      <w:r w:rsidR="00DC3A52" w:rsidRPr="000665B0">
        <w:t xml:space="preserve">TSN </w:t>
      </w:r>
      <w:r w:rsidRPr="000665B0">
        <w:t xml:space="preserve">comms </w:t>
      </w:r>
      <w:r w:rsidR="00DC3A52" w:rsidRPr="000665B0">
        <w:t xml:space="preserve">line is indicated by the </w:t>
      </w:r>
      <w:r w:rsidR="009A1FDF" w:rsidRPr="000665B0">
        <w:rPr>
          <w:noProof/>
        </w:rPr>
        <w:drawing>
          <wp:inline distT="0" distB="0" distL="0" distR="0" wp14:anchorId="4A2B8582" wp14:editId="02ADA4B9">
            <wp:extent cx="180975" cy="142875"/>
            <wp:effectExtent l="19050" t="0" r="9525" b="0"/>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cstate="print"/>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00DC3A52" w:rsidRPr="000665B0">
        <w:t xml:space="preserve"> icon</w:t>
      </w:r>
      <w:r w:rsidR="00F34058" w:rsidRPr="000665B0">
        <w:t>, followed by the TSN Type</w:t>
      </w:r>
      <w:r w:rsidR="00DC3A52" w:rsidRPr="000665B0">
        <w:t>.</w:t>
      </w:r>
    </w:p>
    <w:p w14:paraId="707DA5C5" w14:textId="77777777" w:rsidR="00C9647A" w:rsidRPr="000665B0" w:rsidRDefault="00DC3A52" w:rsidP="00DC3A52">
      <w:r w:rsidRPr="000665B0">
        <w:t xml:space="preserve">The </w:t>
      </w:r>
      <w:r w:rsidR="005F71AE" w:rsidRPr="000665B0">
        <w:t>DDO Processor</w:t>
      </w:r>
      <w:r w:rsidRPr="000665B0">
        <w:t xml:space="preserve"> line is indicated by the </w:t>
      </w:r>
      <w:r w:rsidR="009A1FDF" w:rsidRPr="000665B0">
        <w:rPr>
          <w:noProof/>
        </w:rPr>
        <w:drawing>
          <wp:inline distT="0" distB="0" distL="0" distR="0" wp14:anchorId="5A94EE2D" wp14:editId="1E820B32">
            <wp:extent cx="161925" cy="171450"/>
            <wp:effectExtent l="19050" t="0" r="9525" b="0"/>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cstate="print"/>
                    <a:srcRect/>
                    <a:stretch>
                      <a:fillRect/>
                    </a:stretch>
                  </pic:blipFill>
                  <pic:spPr bwMode="auto">
                    <a:xfrm>
                      <a:off x="0" y="0"/>
                      <a:ext cx="161925" cy="171450"/>
                    </a:xfrm>
                    <a:prstGeom prst="rect">
                      <a:avLst/>
                    </a:prstGeom>
                    <a:noFill/>
                    <a:ln w="9525">
                      <a:noFill/>
                      <a:miter lim="800000"/>
                      <a:headEnd/>
                      <a:tailEnd/>
                    </a:ln>
                  </pic:spPr>
                </pic:pic>
              </a:graphicData>
            </a:graphic>
          </wp:inline>
        </w:drawing>
      </w:r>
      <w:r w:rsidRPr="000665B0">
        <w:t xml:space="preserve"> </w:t>
      </w:r>
      <w:r w:rsidR="001E3B29" w:rsidRPr="000665B0">
        <w:t xml:space="preserve">icon. </w:t>
      </w:r>
    </w:p>
    <w:p w14:paraId="1F4D5906" w14:textId="77777777" w:rsidR="00CD2871" w:rsidRPr="000665B0" w:rsidRDefault="001E3B29" w:rsidP="00DC3A52">
      <w:r w:rsidRPr="000665B0">
        <w:t>An</w:t>
      </w:r>
      <w:r w:rsidR="00CD2871" w:rsidRPr="000665B0">
        <w:t xml:space="preserve"> option is indicated by the </w:t>
      </w:r>
      <w:r w:rsidR="009A1FDF" w:rsidRPr="000665B0">
        <w:rPr>
          <w:noProof/>
        </w:rPr>
        <w:drawing>
          <wp:inline distT="0" distB="0" distL="0" distR="0" wp14:anchorId="7DF43548" wp14:editId="1CAD0D3C">
            <wp:extent cx="200025" cy="180975"/>
            <wp:effectExtent l="19050" t="0" r="9525" b="0"/>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r w:rsidR="00CD2871" w:rsidRPr="000665B0">
        <w:t xml:space="preserve"> icon, followed by the Option ID.</w:t>
      </w:r>
    </w:p>
    <w:p w14:paraId="755D08BA" w14:textId="06E1DF4D" w:rsidR="00CD2871" w:rsidRPr="000665B0" w:rsidRDefault="00CD2871" w:rsidP="00CD2871">
      <w:r w:rsidRPr="000665B0">
        <w:t xml:space="preserve">A FRU is indicated by the </w:t>
      </w:r>
      <w:r w:rsidR="009A1FDF" w:rsidRPr="000665B0">
        <w:rPr>
          <w:noProof/>
        </w:rPr>
        <w:drawing>
          <wp:inline distT="0" distB="0" distL="0" distR="0" wp14:anchorId="35E176DD" wp14:editId="2599BB60">
            <wp:extent cx="161925" cy="180975"/>
            <wp:effectExtent l="19050" t="0" r="9525" b="0"/>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cstate="print"/>
                    <a:srcRect/>
                    <a:stretch>
                      <a:fillRect/>
                    </a:stretch>
                  </pic:blipFill>
                  <pic:spPr bwMode="auto">
                    <a:xfrm>
                      <a:off x="0" y="0"/>
                      <a:ext cx="161925" cy="180975"/>
                    </a:xfrm>
                    <a:prstGeom prst="rect">
                      <a:avLst/>
                    </a:prstGeom>
                    <a:noFill/>
                    <a:ln w="9525">
                      <a:noFill/>
                      <a:miter lim="800000"/>
                      <a:headEnd/>
                      <a:tailEnd/>
                    </a:ln>
                  </pic:spPr>
                </pic:pic>
              </a:graphicData>
            </a:graphic>
          </wp:inline>
        </w:drawing>
      </w:r>
      <w:r w:rsidRPr="000665B0">
        <w:t xml:space="preserve"> icon</w:t>
      </w:r>
      <w:r w:rsidR="00820752">
        <w:t xml:space="preserve"> for</w:t>
      </w:r>
      <w:r w:rsidR="002C22FA">
        <w:t xml:space="preserve"> a</w:t>
      </w:r>
      <w:r w:rsidR="00820752">
        <w:t xml:space="preserve"> Navy FRU or </w:t>
      </w:r>
      <w:r w:rsidR="002C22FA">
        <w:t>by the</w:t>
      </w:r>
      <w:r w:rsidR="002C22FA">
        <w:rPr>
          <w:noProof/>
        </w:rPr>
        <w:drawing>
          <wp:inline distT="0" distB="0" distL="0" distR="0" wp14:anchorId="08A3F8B5" wp14:editId="1588E756">
            <wp:extent cx="248989" cy="198120"/>
            <wp:effectExtent l="0" t="0" r="0" b="0"/>
            <wp:docPr id="448" name="Picture 448" descr="A picture containing farm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picture containing farm machin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253432" cy="201655"/>
                    </a:xfrm>
                    <a:prstGeom prst="rect">
                      <a:avLst/>
                    </a:prstGeom>
                  </pic:spPr>
                </pic:pic>
              </a:graphicData>
            </a:graphic>
          </wp:inline>
        </w:drawing>
      </w:r>
      <w:r w:rsidR="00820752">
        <w:t xml:space="preserve">icon for </w:t>
      </w:r>
      <w:r w:rsidR="002C22FA">
        <w:t xml:space="preserve">an </w:t>
      </w:r>
      <w:r w:rsidR="00820752">
        <w:t xml:space="preserve">Army </w:t>
      </w:r>
      <w:r w:rsidR="00430DEF">
        <w:t xml:space="preserve">BOC </w:t>
      </w:r>
      <w:r w:rsidR="00820752">
        <w:t>FRU</w:t>
      </w:r>
      <w:r w:rsidRPr="000665B0">
        <w:t xml:space="preserve">, </w:t>
      </w:r>
      <w:r w:rsidR="009C7C63">
        <w:t xml:space="preserve">or a Marines’ LRF FRU </w:t>
      </w:r>
      <w:r w:rsidRPr="000665B0">
        <w:t>followed by the Trigraph and the FRU ID in parenthesis.</w:t>
      </w:r>
    </w:p>
    <w:p w14:paraId="0D24C7B3" w14:textId="4BE1085D" w:rsidR="00DC3A52" w:rsidRPr="000665B0" w:rsidRDefault="00DC3A52" w:rsidP="00DC3A52">
      <w:r w:rsidRPr="000665B0">
        <w:t xml:space="preserve">A Missile is indicated by the </w:t>
      </w:r>
      <w:r w:rsidR="009A1FDF" w:rsidRPr="000665B0">
        <w:rPr>
          <w:noProof/>
        </w:rPr>
        <w:drawing>
          <wp:inline distT="0" distB="0" distL="0" distR="0" wp14:anchorId="15B62978" wp14:editId="0861A109">
            <wp:extent cx="180975" cy="171450"/>
            <wp:effectExtent l="19050" t="0" r="9525" b="0"/>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Pr="000665B0">
        <w:t xml:space="preserve"> icon, followed by the missile sequence number, </w:t>
      </w:r>
      <w:r w:rsidR="003B7091">
        <w:t>M</w:t>
      </w:r>
      <w:r w:rsidRPr="000665B0">
        <w:t>ission ID, outcome, and missile variant.</w:t>
      </w:r>
    </w:p>
    <w:p w14:paraId="570DE8E1" w14:textId="77777777" w:rsidR="00CD2871" w:rsidRPr="000665B0" w:rsidRDefault="00CD2871" w:rsidP="00CD2871">
      <w:r w:rsidRPr="000665B0">
        <w:t>The background colors of these icons will change when the status changes. The following is a description of each icon.</w:t>
      </w:r>
    </w:p>
    <w:p w14:paraId="4BABEB2F" w14:textId="77777777" w:rsidR="00CD2871" w:rsidRPr="000665B0" w:rsidRDefault="00CD2871" w:rsidP="006D5A65">
      <w:pPr>
        <w:pStyle w:val="Heading1"/>
      </w:pPr>
      <w:r w:rsidRPr="000665B0">
        <w:t>Missile icon</w:t>
      </w:r>
    </w:p>
    <w:p w14:paraId="1D6A560C" w14:textId="77777777" w:rsidR="00CD2871" w:rsidRPr="000665B0" w:rsidRDefault="009A1FDF" w:rsidP="00CD2871">
      <w:pPr>
        <w:ind w:left="720"/>
      </w:pPr>
      <w:r w:rsidRPr="000665B0">
        <w:rPr>
          <w:rFonts w:ascii="Symbol" w:hAnsi="Symbol"/>
          <w:noProof/>
        </w:rPr>
        <w:drawing>
          <wp:inline distT="0" distB="0" distL="0" distR="0" wp14:anchorId="246B91D7" wp14:editId="4DC6A817">
            <wp:extent cx="190500" cy="190500"/>
            <wp:effectExtent l="19050" t="0" r="0" b="0"/>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CD2871" w:rsidRPr="000665B0">
        <w:rPr>
          <w:rFonts w:ascii="Symbol" w:hAnsi="Symbol"/>
        </w:rPr>
        <w:t></w:t>
      </w:r>
      <w:r w:rsidR="00CD2871" w:rsidRPr="000665B0">
        <w:t>White – Missile is in the initial default state of a missile.</w:t>
      </w:r>
    </w:p>
    <w:p w14:paraId="1373DA63" w14:textId="77777777" w:rsidR="00CD2871" w:rsidRPr="000665B0" w:rsidRDefault="009A1FDF" w:rsidP="00CD2871">
      <w:pPr>
        <w:ind w:left="720"/>
      </w:pPr>
      <w:r w:rsidRPr="000665B0">
        <w:rPr>
          <w:noProof/>
        </w:rPr>
        <w:drawing>
          <wp:inline distT="0" distB="0" distL="0" distR="0" wp14:anchorId="592B6307" wp14:editId="7082FA3A">
            <wp:extent cx="200025" cy="190500"/>
            <wp:effectExtent l="19050" t="0" r="9525" b="0"/>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cstate="print"/>
                    <a:srcRect/>
                    <a:stretch>
                      <a:fillRect/>
                    </a:stretch>
                  </pic:blipFill>
                  <pic:spPr bwMode="auto">
                    <a:xfrm>
                      <a:off x="0" y="0"/>
                      <a:ext cx="200025" cy="190500"/>
                    </a:xfrm>
                    <a:prstGeom prst="rect">
                      <a:avLst/>
                    </a:prstGeom>
                    <a:noFill/>
                    <a:ln w="9525">
                      <a:noFill/>
                      <a:miter lim="800000"/>
                      <a:headEnd/>
                      <a:tailEnd/>
                    </a:ln>
                  </pic:spPr>
                </pic:pic>
              </a:graphicData>
            </a:graphic>
          </wp:inline>
        </w:drawing>
      </w:r>
      <w:r w:rsidR="00CD2871" w:rsidRPr="000665B0">
        <w:t xml:space="preserve"> Orange – Missile is subjected to a complication.</w:t>
      </w:r>
    </w:p>
    <w:p w14:paraId="5E8DBB24" w14:textId="77777777" w:rsidR="00CD2871" w:rsidRPr="000665B0" w:rsidRDefault="009A1FDF" w:rsidP="00CD2871">
      <w:pPr>
        <w:ind w:left="720"/>
      </w:pPr>
      <w:r w:rsidRPr="000665B0">
        <w:rPr>
          <w:noProof/>
        </w:rPr>
        <w:drawing>
          <wp:inline distT="0" distB="0" distL="0" distR="0" wp14:anchorId="6BC6787B" wp14:editId="3808F8CD">
            <wp:extent cx="200025" cy="200025"/>
            <wp:effectExtent l="19050" t="0" r="9525" b="0"/>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cstate="print"/>
                    <a:srcRect/>
                    <a:stretch>
                      <a:fillRect/>
                    </a:stretch>
                  </pic:blipFill>
                  <pic:spPr bwMode="auto">
                    <a:xfrm>
                      <a:off x="0" y="0"/>
                      <a:ext cx="200025" cy="200025"/>
                    </a:xfrm>
                    <a:prstGeom prst="rect">
                      <a:avLst/>
                    </a:prstGeom>
                    <a:noFill/>
                    <a:ln w="9525">
                      <a:noFill/>
                      <a:miter lim="800000"/>
                      <a:headEnd/>
                      <a:tailEnd/>
                    </a:ln>
                  </pic:spPr>
                </pic:pic>
              </a:graphicData>
            </a:graphic>
          </wp:inline>
        </w:drawing>
      </w:r>
      <w:r w:rsidR="00CD2871" w:rsidRPr="000665B0">
        <w:t xml:space="preserve"> Red – Failed missile.</w:t>
      </w:r>
    </w:p>
    <w:p w14:paraId="7E51303D" w14:textId="77777777" w:rsidR="00CD2871" w:rsidRPr="000665B0" w:rsidRDefault="00CD2871" w:rsidP="006D5A65">
      <w:pPr>
        <w:pStyle w:val="Heading1"/>
      </w:pPr>
      <w:r w:rsidRPr="000665B0">
        <w:lastRenderedPageBreak/>
        <w:t>FRU icon</w:t>
      </w:r>
    </w:p>
    <w:p w14:paraId="0BB47E0A" w14:textId="77777777" w:rsidR="00CD2871" w:rsidRPr="000665B0" w:rsidRDefault="009A1FDF" w:rsidP="00CD2871">
      <w:pPr>
        <w:ind w:left="720"/>
      </w:pPr>
      <w:r w:rsidRPr="000665B0">
        <w:rPr>
          <w:noProof/>
        </w:rPr>
        <w:drawing>
          <wp:inline distT="0" distB="0" distL="0" distR="0" wp14:anchorId="4B3D9C86" wp14:editId="15AAA889">
            <wp:extent cx="171450" cy="228600"/>
            <wp:effectExtent l="19050" t="0" r="0" b="0"/>
            <wp:docPr id="863"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cstate="print"/>
                    <a:srcRect/>
                    <a:stretch>
                      <a:fillRect/>
                    </a:stretch>
                  </pic:blipFill>
                  <pic:spPr bwMode="auto">
                    <a:xfrm>
                      <a:off x="0" y="0"/>
                      <a:ext cx="171450" cy="228600"/>
                    </a:xfrm>
                    <a:prstGeom prst="rect">
                      <a:avLst/>
                    </a:prstGeom>
                    <a:noFill/>
                    <a:ln w="9525">
                      <a:noFill/>
                      <a:miter lim="800000"/>
                      <a:headEnd/>
                      <a:tailEnd/>
                    </a:ln>
                  </pic:spPr>
                </pic:pic>
              </a:graphicData>
            </a:graphic>
          </wp:inline>
        </w:drawing>
      </w:r>
      <w:r w:rsidR="00CD2871" w:rsidRPr="000665B0">
        <w:t xml:space="preserve"> White – Platform is in an unknown state. This is the initial default state of a platform.</w:t>
      </w:r>
    </w:p>
    <w:p w14:paraId="2653EC13" w14:textId="4604866B" w:rsidR="00CD2871" w:rsidRDefault="00714E1E" w:rsidP="00CD2871">
      <w:pPr>
        <w:ind w:left="720"/>
      </w:pPr>
      <w:r>
        <w:rPr>
          <w:noProof/>
        </w:rPr>
        <w:drawing>
          <wp:inline distT="0" distB="0" distL="0" distR="0" wp14:anchorId="496F98E4" wp14:editId="14C0DDAA">
            <wp:extent cx="182880" cy="182880"/>
            <wp:effectExtent l="0" t="0" r="0" b="0"/>
            <wp:docPr id="1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82880" cy="182880"/>
                    </a:xfrm>
                    <a:prstGeom prst="rect">
                      <a:avLst/>
                    </a:prstGeom>
                    <a:noFill/>
                    <a:ln>
                      <a:noFill/>
                    </a:ln>
                  </pic:spPr>
                </pic:pic>
              </a:graphicData>
            </a:graphic>
          </wp:inline>
        </w:drawing>
      </w:r>
      <w:r w:rsidR="00CD2871" w:rsidRPr="000665B0">
        <w:t xml:space="preserve"> Orange – FRU is subjected to a complication.</w:t>
      </w:r>
    </w:p>
    <w:p w14:paraId="57F4F359" w14:textId="2A250E90" w:rsidR="00430DEF" w:rsidRPr="000665B0" w:rsidRDefault="00430DEF" w:rsidP="00CD2871">
      <w:pPr>
        <w:ind w:left="720"/>
      </w:pPr>
      <w:r w:rsidRPr="00430DEF">
        <w:rPr>
          <w:b/>
          <w:bCs/>
        </w:rPr>
        <w:t>Note</w:t>
      </w:r>
      <w:r>
        <w:t xml:space="preserve">: The FRU icon background color applies to both the Navy FRU icon and the Army BOC FRU icon. </w:t>
      </w:r>
    </w:p>
    <w:p w14:paraId="7C944F58" w14:textId="77777777" w:rsidR="00CD2871" w:rsidRPr="000665B0" w:rsidRDefault="00CD2871" w:rsidP="006D5A65">
      <w:pPr>
        <w:pStyle w:val="Heading1"/>
      </w:pPr>
      <w:r w:rsidRPr="000665B0">
        <w:t>Option icon</w:t>
      </w:r>
    </w:p>
    <w:p w14:paraId="60B4D6E2" w14:textId="77777777" w:rsidR="00DC3A52" w:rsidRPr="000665B0" w:rsidRDefault="009A1FDF" w:rsidP="00DC3A52">
      <w:pPr>
        <w:ind w:left="720"/>
      </w:pPr>
      <w:r w:rsidRPr="000665B0">
        <w:rPr>
          <w:noProof/>
        </w:rPr>
        <w:drawing>
          <wp:inline distT="0" distB="0" distL="0" distR="0" wp14:anchorId="0B97BE1E" wp14:editId="57654A48">
            <wp:extent cx="209550" cy="228600"/>
            <wp:effectExtent l="19050" t="0" r="0" b="0"/>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00DC3A52" w:rsidRPr="000665B0">
        <w:t xml:space="preserve"> White – Option icons are always white.</w:t>
      </w:r>
    </w:p>
    <w:p w14:paraId="14A475F2" w14:textId="46B9F3F4" w:rsidR="00DC3A52" w:rsidRPr="000665B0" w:rsidRDefault="00DC3A52" w:rsidP="006D5A65">
      <w:pPr>
        <w:pStyle w:val="Heading1"/>
      </w:pPr>
      <w:r w:rsidRPr="000665B0">
        <w:t xml:space="preserve">Missiles have context menus associated with them. </w:t>
      </w:r>
      <w:r w:rsidR="00D71804" w:rsidRPr="000665B0">
        <w:t>Right-click</w:t>
      </w:r>
      <w:r w:rsidRPr="000665B0">
        <w:t xml:space="preserve"> on the missile to bring up the context menu.</w:t>
      </w:r>
    </w:p>
    <w:p w14:paraId="044D703A" w14:textId="4AF213D6" w:rsidR="00DC3A52" w:rsidRPr="000665B0" w:rsidRDefault="00DC3A52" w:rsidP="006D5A65">
      <w:pPr>
        <w:pStyle w:val="Heading2"/>
      </w:pPr>
      <w:r w:rsidRPr="000665B0">
        <w:t xml:space="preserve">Launch Primary Now </w:t>
      </w:r>
      <w:r w:rsidR="004F08A3" w:rsidRPr="000665B0">
        <w:t xml:space="preserve">(Primary Missile Only) </w:t>
      </w:r>
      <w:r w:rsidRPr="000665B0">
        <w:t xml:space="preserve">– </w:t>
      </w:r>
      <w:r w:rsidR="004F08A3" w:rsidRPr="000665B0">
        <w:t>Causes the prompt launch of a simulated primary missile, whether from a simulated or live FRU</w:t>
      </w:r>
      <w:r w:rsidRPr="000665B0">
        <w:t>.</w:t>
      </w:r>
    </w:p>
    <w:p w14:paraId="29D71419" w14:textId="600D0B37" w:rsidR="00DC3A52" w:rsidRPr="000665B0" w:rsidRDefault="00DC3A52" w:rsidP="006D5A65">
      <w:pPr>
        <w:pStyle w:val="Heading2"/>
      </w:pPr>
      <w:r w:rsidRPr="000665B0">
        <w:t xml:space="preserve">Launch Backup Now </w:t>
      </w:r>
      <w:r w:rsidR="004F08A3" w:rsidRPr="000665B0">
        <w:t xml:space="preserve">(Backup Missile Only) </w:t>
      </w:r>
      <w:r w:rsidRPr="000665B0">
        <w:t xml:space="preserve">– </w:t>
      </w:r>
      <w:r w:rsidR="004F08A3" w:rsidRPr="000665B0">
        <w:t>Causes the prompt launch of a simulated backup missile, whether from a simulated or live FRU.</w:t>
      </w:r>
    </w:p>
    <w:p w14:paraId="3B2AD14F" w14:textId="57FD5586" w:rsidR="00DC3A52" w:rsidRPr="000665B0" w:rsidRDefault="00DC3A52" w:rsidP="006D5A65">
      <w:pPr>
        <w:pStyle w:val="Heading2"/>
      </w:pPr>
      <w:r w:rsidRPr="000665B0">
        <w:t xml:space="preserve">Fail Missile Now – </w:t>
      </w:r>
      <w:r w:rsidR="004F08A3" w:rsidRPr="000665B0">
        <w:t>Causes the prompt failure of</w:t>
      </w:r>
      <w:r w:rsidRPr="000665B0">
        <w:t xml:space="preserve"> a </w:t>
      </w:r>
      <w:r w:rsidR="002D2AE3" w:rsidRPr="000665B0">
        <w:t xml:space="preserve">simulated </w:t>
      </w:r>
      <w:r w:rsidRPr="000665B0">
        <w:t xml:space="preserve">missile that TSRT no longer needed to model. The missile can </w:t>
      </w:r>
      <w:r w:rsidR="00045D16" w:rsidRPr="000665B0">
        <w:t xml:space="preserve">be </w:t>
      </w:r>
      <w:r w:rsidRPr="000665B0">
        <w:t xml:space="preserve">failed at </w:t>
      </w:r>
      <w:r w:rsidR="00BA5239" w:rsidRPr="000665B0">
        <w:t>any time</w:t>
      </w:r>
      <w:r w:rsidRPr="000665B0">
        <w:t xml:space="preserve"> prior to target.</w:t>
      </w:r>
    </w:p>
    <w:p w14:paraId="74AC8F73" w14:textId="34E1239C" w:rsidR="00DC3A52" w:rsidRPr="000665B0" w:rsidRDefault="00DC3A52" w:rsidP="006D5A65">
      <w:pPr>
        <w:pStyle w:val="Heading2"/>
      </w:pPr>
      <w:r w:rsidRPr="000665B0">
        <w:t xml:space="preserve">Display Overwater Route – Display the selected </w:t>
      </w:r>
      <w:r w:rsidR="002D2AE3" w:rsidRPr="000665B0">
        <w:t xml:space="preserve">simulated </w:t>
      </w:r>
      <w:r w:rsidRPr="000665B0">
        <w:t>missile’s over water route and the rest of the mission route on the TSRT Geo display.</w:t>
      </w:r>
    </w:p>
    <w:p w14:paraId="1B08211F" w14:textId="6D752187" w:rsidR="00DC3A52" w:rsidRPr="000665B0" w:rsidRDefault="00DC3A52" w:rsidP="004E7DCC">
      <w:pPr>
        <w:keepNext/>
      </w:pPr>
      <w:r w:rsidRPr="000665B0">
        <w:t xml:space="preserve">FRUs have context menus associated with them. </w:t>
      </w:r>
      <w:r w:rsidR="00D71804" w:rsidRPr="000665B0">
        <w:t>Right-click</w:t>
      </w:r>
      <w:r w:rsidRPr="000665B0">
        <w:t xml:space="preserve"> on the FRU to bring up the context menu. Note that none of the options in the context menu will be enabled if the FRU is set up to be a LIVE FRU.</w:t>
      </w:r>
    </w:p>
    <w:p w14:paraId="21EB5CEF" w14:textId="77777777" w:rsidR="00105ADA" w:rsidRPr="000665B0" w:rsidRDefault="00105ADA" w:rsidP="006D5A65">
      <w:pPr>
        <w:pStyle w:val="Heading1"/>
      </w:pPr>
      <w:r w:rsidRPr="000665B0">
        <w:t>Missile</w:t>
      </w:r>
      <w:r w:rsidR="00BE1959" w:rsidRPr="000665B0">
        <w:t>s</w:t>
      </w:r>
    </w:p>
    <w:p w14:paraId="5D58F8EA" w14:textId="5DBEAC51" w:rsidR="00105ADA" w:rsidRPr="000665B0" w:rsidRDefault="00105ADA" w:rsidP="006D5A65">
      <w:pPr>
        <w:pStyle w:val="Heading2"/>
      </w:pPr>
      <w:r w:rsidRPr="000665B0">
        <w:t xml:space="preserve">Externally Simulated – </w:t>
      </w:r>
      <w:r w:rsidRPr="000665B0">
        <w:rPr>
          <w:noProof/>
        </w:rPr>
        <w:t>All comms will be disabled for all the missiles to be launched by the selected FRU. This has no effect if the missiles have already been launched.</w:t>
      </w:r>
    </w:p>
    <w:p w14:paraId="39521CC6" w14:textId="76E59031" w:rsidR="00105ADA" w:rsidRPr="000665B0" w:rsidRDefault="00105ADA" w:rsidP="006D5A65">
      <w:pPr>
        <w:pStyle w:val="Heading2"/>
      </w:pPr>
      <w:r w:rsidRPr="000665B0">
        <w:t xml:space="preserve">Simulated by TSRT – </w:t>
      </w:r>
      <w:r w:rsidRPr="000665B0">
        <w:rPr>
          <w:noProof/>
        </w:rPr>
        <w:t>All comms will be enabled for all the missiles to be launched by the selected FRU (if comms were previously disabled by setting it to Externally Simulated). This has no effect if the missiles have already been launched.</w:t>
      </w:r>
    </w:p>
    <w:p w14:paraId="1E26A3C2" w14:textId="77777777" w:rsidR="00DC3A52" w:rsidRPr="000665B0" w:rsidRDefault="00DC3A52" w:rsidP="006D5A65">
      <w:pPr>
        <w:pStyle w:val="Heading1"/>
      </w:pPr>
      <w:r w:rsidRPr="000665B0">
        <w:lastRenderedPageBreak/>
        <w:t>Send</w:t>
      </w:r>
    </w:p>
    <w:p w14:paraId="4B651C6C" w14:textId="77777777" w:rsidR="00DC3A52" w:rsidRPr="000665B0" w:rsidRDefault="00DC3A52" w:rsidP="006D5A65">
      <w:pPr>
        <w:pStyle w:val="Heading2"/>
      </w:pPr>
      <w:r w:rsidRPr="000665B0">
        <w:t xml:space="preserve">Ping (Enabled if the weapon control system is a TTWCS post version 4) – </w:t>
      </w:r>
      <w:r w:rsidR="005F71AE" w:rsidRPr="000665B0">
        <w:t>Sends a TSN Ping message from the simulated FRU to the TSRT’s TED node.</w:t>
      </w:r>
    </w:p>
    <w:p w14:paraId="6465C105" w14:textId="77777777" w:rsidR="00A84349" w:rsidRPr="000665B0" w:rsidRDefault="00A84349" w:rsidP="006D5A65">
      <w:pPr>
        <w:pStyle w:val="Heading2"/>
      </w:pPr>
      <w:r w:rsidRPr="000665B0">
        <w:t xml:space="preserve">SPEOs – Requests one or more strike exceptions (SPEOs) for the selected simulated FRU(s). </w:t>
      </w:r>
    </w:p>
    <w:p w14:paraId="2EAAC737" w14:textId="525B174F" w:rsidR="00A84349" w:rsidRPr="000665B0" w:rsidRDefault="00A84349" w:rsidP="006D5A65">
      <w:pPr>
        <w:pStyle w:val="Heading2"/>
      </w:pPr>
      <w:r w:rsidRPr="000665B0">
        <w:t xml:space="preserve">All Strikes – Requests SPEOs for every strike for which </w:t>
      </w:r>
      <w:r w:rsidR="001D1A03" w:rsidRPr="000665B0">
        <w:t xml:space="preserve">the selected </w:t>
      </w:r>
      <w:r w:rsidRPr="000665B0">
        <w:t>simulated FRU is a part of the arsenal.</w:t>
      </w:r>
    </w:p>
    <w:p w14:paraId="68A9601F" w14:textId="77777777" w:rsidR="00A84349" w:rsidRPr="000665B0" w:rsidRDefault="00A84349" w:rsidP="006D5A65">
      <w:pPr>
        <w:pStyle w:val="Heading2"/>
      </w:pPr>
      <w:r w:rsidRPr="000665B0">
        <w:t>Specific Strike – Requests a SPEO from the selected FRU for a specific strike.</w:t>
      </w:r>
    </w:p>
    <w:p w14:paraId="44D9689E" w14:textId="77777777" w:rsidR="00A84349" w:rsidRPr="000665B0" w:rsidRDefault="00A84349" w:rsidP="006D5A65">
      <w:pPr>
        <w:pStyle w:val="Heading2"/>
      </w:pPr>
      <w:r w:rsidRPr="000665B0">
        <w:t>Planned OWRs – Requests one or more planned overwater routes (OWRs) for the selected simulated FRU(s). When multiple FRUs are selected, requests are generated for each selected FRU.</w:t>
      </w:r>
    </w:p>
    <w:p w14:paraId="638F49B1" w14:textId="0B9A1C1A" w:rsidR="00A84349" w:rsidRPr="000665B0" w:rsidRDefault="00A84349" w:rsidP="006D5A65">
      <w:pPr>
        <w:pStyle w:val="Heading2"/>
      </w:pPr>
      <w:r w:rsidRPr="000665B0">
        <w:t xml:space="preserve">All Strikes – Requests planned OWRs for every strike for which </w:t>
      </w:r>
      <w:r w:rsidR="001D1A03" w:rsidRPr="000665B0">
        <w:t xml:space="preserve">the selected </w:t>
      </w:r>
      <w:r w:rsidRPr="000665B0">
        <w:t>simulated FRU is a part of the arsenal.</w:t>
      </w:r>
    </w:p>
    <w:p w14:paraId="5F268915" w14:textId="68F4BD88" w:rsidR="00A84349" w:rsidRPr="000665B0" w:rsidRDefault="00A84349" w:rsidP="006D5A65">
      <w:pPr>
        <w:pStyle w:val="Heading2"/>
      </w:pPr>
      <w:r w:rsidRPr="000665B0">
        <w:t>Specific Strike – Requests planned OWRs from the selected FRU for a specific strike.</w:t>
      </w:r>
    </w:p>
    <w:p w14:paraId="01003800" w14:textId="77777777" w:rsidR="00DC3A52" w:rsidRPr="000665B0" w:rsidRDefault="00DC3A52" w:rsidP="006D5A65">
      <w:pPr>
        <w:pStyle w:val="Heading2"/>
      </w:pPr>
      <w:r w:rsidRPr="000665B0">
        <w:t>Firing Reports Immediately (Enabled if the weapon control system is a TTWCS and the operator has chosen to check inventory on FRUs</w:t>
      </w:r>
      <w:r w:rsidR="00243CC3" w:rsidRPr="000665B0">
        <w:t xml:space="preserve"> and</w:t>
      </w:r>
      <w:r w:rsidRPr="000665B0">
        <w:t xml:space="preserve"> has chosen to simulate FRU messages in the TSRT options</w:t>
      </w:r>
      <w:r w:rsidR="00133339" w:rsidRPr="000665B0">
        <w:t>.</w:t>
      </w:r>
      <w:r w:rsidRPr="000665B0">
        <w:t>)</w:t>
      </w:r>
    </w:p>
    <w:p w14:paraId="00710689" w14:textId="77777777" w:rsidR="00DC3A52" w:rsidRPr="000665B0" w:rsidRDefault="00DC3A52" w:rsidP="006D5A65">
      <w:pPr>
        <w:pStyle w:val="Heading2"/>
      </w:pPr>
      <w:r w:rsidRPr="000665B0">
        <w:t xml:space="preserve">All Strikes – </w:t>
      </w:r>
      <w:r w:rsidR="005F71AE" w:rsidRPr="000665B0">
        <w:t>Requests a firing report from the selected FRU for all strikes in the rehearsal</w:t>
      </w:r>
      <w:r w:rsidRPr="000665B0">
        <w:t>.</w:t>
      </w:r>
    </w:p>
    <w:p w14:paraId="0B146188" w14:textId="77777777" w:rsidR="00DC3A52" w:rsidRPr="000665B0" w:rsidRDefault="00DC3A52" w:rsidP="006D5A65">
      <w:pPr>
        <w:pStyle w:val="Heading2"/>
      </w:pPr>
      <w:r w:rsidRPr="000665B0">
        <w:t xml:space="preserve">Specific Strike – </w:t>
      </w:r>
      <w:r w:rsidR="005F71AE" w:rsidRPr="000665B0">
        <w:t>Requests a firing report from the selected FRU for a specific strike</w:t>
      </w:r>
      <w:r w:rsidRPr="000665B0">
        <w:t>.</w:t>
      </w:r>
    </w:p>
    <w:p w14:paraId="27EE6061" w14:textId="77777777" w:rsidR="00DC3A52" w:rsidRPr="000665B0" w:rsidRDefault="00DC3A52" w:rsidP="006D5A65">
      <w:pPr>
        <w:pStyle w:val="Heading2"/>
      </w:pPr>
      <w:r w:rsidRPr="000665B0">
        <w:t xml:space="preserve">Inventory Report Immediately (Enabled if the weapon control system is a TTWCS and the operator has chosen to check inventory on FRUs </w:t>
      </w:r>
      <w:r w:rsidR="00243CC3" w:rsidRPr="000665B0">
        <w:t xml:space="preserve">and </w:t>
      </w:r>
      <w:r w:rsidRPr="000665B0">
        <w:t xml:space="preserve">has chosen to simulate FRU messages in the TSRT options) – </w:t>
      </w:r>
      <w:r w:rsidR="005F71AE" w:rsidRPr="000665B0">
        <w:t>Requests an inventory report from the selected FRU</w:t>
      </w:r>
      <w:r w:rsidRPr="000665B0">
        <w:t>.</w:t>
      </w:r>
    </w:p>
    <w:p w14:paraId="7EF43CC0" w14:textId="77777777" w:rsidR="00DC3A52" w:rsidRPr="000665B0" w:rsidRDefault="00DC3A52" w:rsidP="006D5A65">
      <w:pPr>
        <w:pStyle w:val="Heading1"/>
      </w:pPr>
      <w:r w:rsidRPr="000665B0">
        <w:lastRenderedPageBreak/>
        <w:t>View P</w:t>
      </w:r>
      <w:r w:rsidR="005F71AE" w:rsidRPr="000665B0">
        <w:t>M3</w:t>
      </w:r>
      <w:r w:rsidRPr="000665B0">
        <w:t xml:space="preserve"> (Enabled if the operator has chosen to check missile inventory on FRUs and chosen to simulate FRU messages in the TSRT options</w:t>
      </w:r>
      <w:r w:rsidR="00133339" w:rsidRPr="000665B0">
        <w:t>.</w:t>
      </w:r>
      <w:r w:rsidRPr="000665B0">
        <w:t>)</w:t>
      </w:r>
    </w:p>
    <w:p w14:paraId="7ACB9ED6" w14:textId="77777777" w:rsidR="00CD2871" w:rsidRPr="000665B0" w:rsidRDefault="00CD2871" w:rsidP="006D5A65">
      <w:pPr>
        <w:pStyle w:val="Heading2"/>
      </w:pPr>
      <w:r w:rsidRPr="000665B0">
        <w:t>Textual – Displays PM</w:t>
      </w:r>
      <w:r w:rsidR="006D44A9" w:rsidRPr="000665B0">
        <w:t>3</w:t>
      </w:r>
      <w:r w:rsidRPr="000665B0">
        <w:t xml:space="preserve"> information textually.</w:t>
      </w:r>
    </w:p>
    <w:p w14:paraId="70997924" w14:textId="77777777" w:rsidR="00CD2871" w:rsidRPr="000665B0" w:rsidRDefault="00CD2871" w:rsidP="006D5A65">
      <w:pPr>
        <w:pStyle w:val="Heading2"/>
      </w:pPr>
      <w:r w:rsidRPr="000665B0">
        <w:t>Graphical – Displays P</w:t>
      </w:r>
      <w:r w:rsidR="004E283F" w:rsidRPr="000665B0">
        <w:t>M3</w:t>
      </w:r>
      <w:r w:rsidRPr="000665B0">
        <w:t xml:space="preserve"> information graphically.</w:t>
      </w:r>
    </w:p>
    <w:p w14:paraId="29AD0FAA" w14:textId="4CDB4C7B" w:rsidR="005745A4" w:rsidRPr="005745A4" w:rsidRDefault="00CD2871" w:rsidP="005745A4">
      <w:pPr>
        <w:keepNext/>
        <w:jc w:val="center"/>
        <w:rPr>
          <w:b/>
        </w:rPr>
      </w:pPr>
      <w:r w:rsidRPr="000665B0">
        <w:rPr>
          <w:b/>
        </w:rPr>
        <w:t>Gantt Chart</w:t>
      </w:r>
    </w:p>
    <w:p w14:paraId="3F6532DA" w14:textId="36B06F5D" w:rsidR="0014184A" w:rsidRPr="00791B1F" w:rsidRDefault="0014184A" w:rsidP="0014184A">
      <w:pPr>
        <w:jc w:val="center"/>
        <w:rPr>
          <w:rFonts w:ascii="Courier New" w:hAnsi="Courier New"/>
        </w:rPr>
      </w:pPr>
      <w:r w:rsidRPr="00224058">
        <w:rPr>
          <w:rFonts w:ascii="Courier New" w:hAnsi="Courier New"/>
          <w:noProof/>
        </w:rPr>
        <w:drawing>
          <wp:inline distT="0" distB="0" distL="0" distR="0" wp14:anchorId="285CB0AF" wp14:editId="21032055">
            <wp:extent cx="4982462" cy="1081378"/>
            <wp:effectExtent l="0" t="0" r="0" b="0"/>
            <wp:docPr id="46365184"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5184" name="Picture 1" descr="Table&#10;&#10;Description automatically generated"/>
                    <pic:cNvPicPr/>
                  </pic:nvPicPr>
                  <pic:blipFill rotWithShape="1">
                    <a:blip/>
                    <a:srcRect b="13025"/>
                    <a:stretch/>
                  </pic:blipFill>
                  <pic:spPr bwMode="auto">
                    <a:xfrm>
                      <a:off x="0" y="0"/>
                      <a:ext cx="4983480" cy="1081599"/>
                    </a:xfrm>
                    <a:prstGeom prst="rect">
                      <a:avLst/>
                    </a:prstGeom>
                    <a:ln>
                      <a:noFill/>
                    </a:ln>
                    <a:extLst>
                      <a:ext uri="{53640926-AAD7-44D8-BBD7-CCE9431645EC}">
                        <a14:shadowObscured xmlns:a14="http://schemas.microsoft.com/office/drawing/2010/main"/>
                      </a:ext>
                    </a:extLst>
                  </pic:spPr>
                </pic:pic>
              </a:graphicData>
            </a:graphic>
          </wp:inline>
        </w:drawing>
      </w:r>
    </w:p>
    <w:p w14:paraId="27D8E214" w14:textId="77777777" w:rsidR="00CD2871" w:rsidRPr="000665B0" w:rsidRDefault="009A1FDF" w:rsidP="001F4B14">
      <w:pPr>
        <w:pStyle w:val="PlainText"/>
        <w:spacing w:after="240"/>
        <w:jc w:val="center"/>
      </w:pPr>
      <w:r w:rsidRPr="000665B0">
        <w:rPr>
          <w:noProof/>
        </w:rPr>
        <w:drawing>
          <wp:inline distT="0" distB="0" distL="0" distR="0" wp14:anchorId="63DF8DA3" wp14:editId="12498C1F">
            <wp:extent cx="3286125" cy="1447800"/>
            <wp:effectExtent l="19050" t="0" r="9525" b="0"/>
            <wp:docPr id="866" name="Picture 8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66"/>
                    <pic:cNvPicPr preferRelativeResize="0">
                      <a:picLocks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3286125" cy="1447800"/>
                    </a:xfrm>
                    <a:prstGeom prst="rect">
                      <a:avLst/>
                    </a:prstGeom>
                    <a:noFill/>
                    <a:ln w="9525">
                      <a:noFill/>
                      <a:miter lim="800000"/>
                      <a:headEnd/>
                      <a:tailEnd/>
                    </a:ln>
                  </pic:spPr>
                </pic:pic>
              </a:graphicData>
            </a:graphic>
          </wp:inline>
        </w:drawing>
      </w:r>
    </w:p>
    <w:p w14:paraId="4665F055" w14:textId="629DECC7" w:rsidR="00DC3A52" w:rsidRPr="000665B0" w:rsidRDefault="00DC3A52" w:rsidP="00DC3A52">
      <w:bookmarkStart w:id="6912" w:name="_5.39.2__VCR_Controls"/>
      <w:bookmarkEnd w:id="6912"/>
      <w:r w:rsidRPr="000665B0">
        <w:t xml:space="preserve">Each row of the Gantt chart corresponds to a missile, FRU, Option, TSN, or </w:t>
      </w:r>
      <w:r w:rsidR="00067852" w:rsidRPr="000665B0">
        <w:t>DDO</w:t>
      </w:r>
      <w:r w:rsidRPr="000665B0">
        <w:t xml:space="preserve"> </w:t>
      </w:r>
      <w:r w:rsidR="004C43B1" w:rsidRPr="000665B0">
        <w:t xml:space="preserve">Processor </w:t>
      </w:r>
      <w:r w:rsidRPr="000665B0">
        <w:t>component in the Missile Assignments List. Below is a description of the icons that can appear.</w:t>
      </w:r>
    </w:p>
    <w:p w14:paraId="4FC1C944" w14:textId="77777777" w:rsidR="005F71AE" w:rsidRPr="000665B0" w:rsidRDefault="009A1FDF" w:rsidP="006D5A65">
      <w:pPr>
        <w:pStyle w:val="Heading1"/>
      </w:pPr>
      <w:r w:rsidRPr="000665B0">
        <w:rPr>
          <w:noProof/>
        </w:rPr>
        <w:drawing>
          <wp:inline distT="0" distB="0" distL="0" distR="0" wp14:anchorId="2A9135F0" wp14:editId="1FCF0644">
            <wp:extent cx="180975" cy="171450"/>
            <wp:effectExtent l="19050" t="0" r="9525" b="0"/>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00417BB7" w:rsidRPr="000665B0">
        <w:t xml:space="preserve"> – </w:t>
      </w:r>
      <w:r w:rsidR="00DC3A52" w:rsidRPr="000665B0">
        <w:t>First missile power-on time for an Option.</w:t>
      </w:r>
      <w:r w:rsidR="005F71AE" w:rsidRPr="000665B0">
        <w:t xml:space="preserve"> </w:t>
      </w:r>
    </w:p>
    <w:p w14:paraId="58530E1E" w14:textId="77777777" w:rsidR="005F71AE" w:rsidRPr="000665B0" w:rsidRDefault="005F71AE" w:rsidP="006D5A65">
      <w:pPr>
        <w:pStyle w:val="Heading1"/>
      </w:pPr>
      <w:r w:rsidRPr="000665B0">
        <w:rPr>
          <w:noProof/>
        </w:rPr>
        <w:drawing>
          <wp:inline distT="0" distB="0" distL="0" distR="0" wp14:anchorId="64301C84" wp14:editId="24C2EE8A">
            <wp:extent cx="201168" cy="201168"/>
            <wp:effectExtent l="0" t="0" r="8890" b="8890"/>
            <wp:docPr id="1289" name="Pictur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lePower.ico"/>
                    <pic:cNvPicPr/>
                  </pic:nvPicPr>
                  <pic:blipFill>
                    <a:blip>
                      <a:extLst>
                        <a:ext uri="{28A0092B-C50C-407E-A947-70E740481C1C}">
                          <a14:useLocalDpi xmlns:a14="http://schemas.microsoft.com/office/drawing/2010/main"/>
                        </a:ext>
                      </a:extLst>
                    </a:blip>
                    <a:stretch>
                      <a:fillRect/>
                    </a:stretch>
                  </pic:blipFill>
                  <pic:spPr>
                    <a:xfrm>
                      <a:off x="0" y="0"/>
                      <a:ext cx="201168" cy="201168"/>
                    </a:xfrm>
                    <a:prstGeom prst="rect">
                      <a:avLst/>
                    </a:prstGeom>
                  </pic:spPr>
                </pic:pic>
              </a:graphicData>
            </a:graphic>
          </wp:inline>
        </w:drawing>
      </w:r>
      <w:r w:rsidRPr="000665B0">
        <w:t xml:space="preserve"> – </w:t>
      </w:r>
      <w:r w:rsidR="00A4024F" w:rsidRPr="000665B0">
        <w:t>M</w:t>
      </w:r>
      <w:r w:rsidRPr="000665B0">
        <w:t>issile power-on time for a FRU.</w:t>
      </w:r>
    </w:p>
    <w:p w14:paraId="05517BA1" w14:textId="77777777" w:rsidR="005F71AE" w:rsidRPr="000665B0" w:rsidRDefault="005F71AE" w:rsidP="006D5A65">
      <w:pPr>
        <w:pStyle w:val="Heading1"/>
      </w:pPr>
      <w:r w:rsidRPr="000665B0">
        <w:rPr>
          <w:noProof/>
        </w:rPr>
        <w:drawing>
          <wp:inline distT="0" distB="0" distL="0" distR="0" wp14:anchorId="6545DDE7" wp14:editId="445EC27B">
            <wp:extent cx="180975" cy="180975"/>
            <wp:effectExtent l="19050" t="0" r="9525" b="0"/>
            <wp:docPr id="1291" name="Pictur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cstate="print"/>
                    <a:srcRect/>
                    <a:stretch>
                      <a:fillRect/>
                    </a:stretch>
                  </pic:blipFill>
                  <pic:spPr bwMode="auto">
                    <a:xfrm>
                      <a:off x="0" y="0"/>
                      <a:ext cx="180975" cy="180975"/>
                    </a:xfrm>
                    <a:prstGeom prst="rect">
                      <a:avLst/>
                    </a:prstGeom>
                    <a:noFill/>
                    <a:ln w="9525">
                      <a:noFill/>
                      <a:miter lim="800000"/>
                      <a:headEnd/>
                      <a:tailEnd/>
                    </a:ln>
                  </pic:spPr>
                </pic:pic>
              </a:graphicData>
            </a:graphic>
          </wp:inline>
        </w:drawing>
      </w:r>
      <w:r w:rsidRPr="000665B0">
        <w:t xml:space="preserve"> – Last missile TOT for an Option or FRU.</w:t>
      </w:r>
    </w:p>
    <w:p w14:paraId="22008417" w14:textId="77777777" w:rsidR="005F71AE" w:rsidRPr="000665B0" w:rsidRDefault="005F71AE" w:rsidP="006D5A65">
      <w:pPr>
        <w:pStyle w:val="Heading1"/>
      </w:pPr>
      <w:r w:rsidRPr="000665B0">
        <w:rPr>
          <w:noProof/>
        </w:rPr>
        <w:drawing>
          <wp:inline distT="0" distB="0" distL="0" distR="0" wp14:anchorId="0257C12E" wp14:editId="7B9AA2AD">
            <wp:extent cx="201168" cy="201168"/>
            <wp:effectExtent l="0" t="0" r="8890" b="8890"/>
            <wp:docPr id="1295" name="Picture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le_32.ico"/>
                    <pic:cNvPicPr/>
                  </pic:nvPicPr>
                  <pic:blipFill>
                    <a:blip>
                      <a:extLst>
                        <a:ext uri="{28A0092B-C50C-407E-A947-70E740481C1C}">
                          <a14:useLocalDpi xmlns:a14="http://schemas.microsoft.com/office/drawing/2010/main"/>
                        </a:ext>
                      </a:extLst>
                    </a:blip>
                    <a:stretch>
                      <a:fillRect/>
                    </a:stretch>
                  </pic:blipFill>
                  <pic:spPr>
                    <a:xfrm>
                      <a:off x="0" y="0"/>
                      <a:ext cx="201168" cy="201168"/>
                    </a:xfrm>
                    <a:prstGeom prst="rect">
                      <a:avLst/>
                    </a:prstGeom>
                  </pic:spPr>
                </pic:pic>
              </a:graphicData>
            </a:graphic>
          </wp:inline>
        </w:drawing>
      </w:r>
      <w:r w:rsidRPr="000665B0">
        <w:t xml:space="preserve"> – Launch time for a FRU.</w:t>
      </w:r>
    </w:p>
    <w:p w14:paraId="08D82D77" w14:textId="77777777" w:rsidR="005F71AE" w:rsidRPr="000665B0" w:rsidRDefault="005F71AE" w:rsidP="006D5A65">
      <w:pPr>
        <w:pStyle w:val="Heading1"/>
      </w:pPr>
      <w:r w:rsidRPr="000665B0">
        <w:rPr>
          <w:noProof/>
        </w:rPr>
        <w:drawing>
          <wp:inline distT="0" distB="0" distL="0" distR="0" wp14:anchorId="765FC40D" wp14:editId="52F12B92">
            <wp:extent cx="180975" cy="161925"/>
            <wp:effectExtent l="19050" t="0" r="9525" b="0"/>
            <wp:docPr id="1299" name="Picture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cstate="print"/>
                    <a:srcRect/>
                    <a:stretch>
                      <a:fillRect/>
                    </a:stretch>
                  </pic:blipFill>
                  <pic:spPr bwMode="auto">
                    <a:xfrm>
                      <a:off x="0" y="0"/>
                      <a:ext cx="180975" cy="161925"/>
                    </a:xfrm>
                    <a:prstGeom prst="rect">
                      <a:avLst/>
                    </a:prstGeom>
                    <a:noFill/>
                    <a:ln w="9525">
                      <a:noFill/>
                      <a:miter lim="800000"/>
                      <a:headEnd/>
                      <a:tailEnd/>
                    </a:ln>
                  </pic:spPr>
                </pic:pic>
              </a:graphicData>
            </a:graphic>
          </wp:inline>
        </w:drawing>
      </w:r>
      <w:r w:rsidRPr="000665B0">
        <w:t xml:space="preserve"> – Launch time for a primary missile.</w:t>
      </w:r>
    </w:p>
    <w:p w14:paraId="6854F02A" w14:textId="77777777" w:rsidR="005F71AE" w:rsidRPr="000665B0" w:rsidRDefault="005F71AE" w:rsidP="006D5A65">
      <w:pPr>
        <w:pStyle w:val="Heading1"/>
      </w:pPr>
      <w:r w:rsidRPr="000665B0">
        <w:rPr>
          <w:noProof/>
        </w:rPr>
        <w:drawing>
          <wp:inline distT="0" distB="0" distL="0" distR="0" wp14:anchorId="09215BD4" wp14:editId="5FCC9B0C">
            <wp:extent cx="161925" cy="180975"/>
            <wp:effectExtent l="19050" t="0" r="9525" b="0"/>
            <wp:docPr id="1306" name="Picture 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cstate="print"/>
                    <a:srcRect/>
                    <a:stretch>
                      <a:fillRect/>
                    </a:stretch>
                  </pic:blipFill>
                  <pic:spPr bwMode="auto">
                    <a:xfrm>
                      <a:off x="0" y="0"/>
                      <a:ext cx="161925" cy="180975"/>
                    </a:xfrm>
                    <a:prstGeom prst="rect">
                      <a:avLst/>
                    </a:prstGeom>
                    <a:noFill/>
                    <a:ln w="9525">
                      <a:noFill/>
                      <a:miter lim="800000"/>
                      <a:headEnd/>
                      <a:tailEnd/>
                    </a:ln>
                  </pic:spPr>
                </pic:pic>
              </a:graphicData>
            </a:graphic>
          </wp:inline>
        </w:drawing>
      </w:r>
      <w:r w:rsidRPr="000665B0">
        <w:t xml:space="preserve"> – Launch time for a non-primary missile (Use for reference).</w:t>
      </w:r>
    </w:p>
    <w:p w14:paraId="1D8E7578" w14:textId="77777777" w:rsidR="00DC3A52" w:rsidRPr="000665B0" w:rsidRDefault="005F71AE" w:rsidP="006D5A65">
      <w:pPr>
        <w:pStyle w:val="Heading1"/>
      </w:pPr>
      <w:r w:rsidRPr="000665B0">
        <w:rPr>
          <w:noProof/>
        </w:rPr>
        <w:drawing>
          <wp:inline distT="0" distB="0" distL="0" distR="0" wp14:anchorId="4764FCB1" wp14:editId="083EEA45">
            <wp:extent cx="161925" cy="161925"/>
            <wp:effectExtent l="19050" t="0" r="9525" b="0"/>
            <wp:docPr id="1307"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cstate="print"/>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0665B0">
        <w:t xml:space="preserve"> – Target time for a missile.</w:t>
      </w:r>
    </w:p>
    <w:p w14:paraId="7D3D39E2" w14:textId="1706696C" w:rsidR="00DC3A52" w:rsidRPr="000665B0" w:rsidRDefault="00345997" w:rsidP="006D5A65">
      <w:pPr>
        <w:pStyle w:val="Heading1"/>
      </w:pPr>
      <w:r>
        <w:rPr>
          <w:noProof/>
        </w:rPr>
        <w:drawing>
          <wp:inline distT="0" distB="0" distL="0" distR="0" wp14:anchorId="0B17CABC" wp14:editId="5010291F">
            <wp:extent cx="152400" cy="152400"/>
            <wp:effectExtent l="0" t="0" r="0" b="0"/>
            <wp:docPr id="378876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17BB7" w:rsidRPr="000665B0">
        <w:t xml:space="preserve"> – </w:t>
      </w:r>
      <w:r w:rsidR="00DC3A52" w:rsidRPr="000665B0">
        <w:t xml:space="preserve">First Pre-planned waypoint. </w:t>
      </w:r>
    </w:p>
    <w:p w14:paraId="30E28345" w14:textId="2B683A9A" w:rsidR="006E1783" w:rsidRPr="000665B0" w:rsidRDefault="009A1FDF" w:rsidP="006D5A65">
      <w:pPr>
        <w:pStyle w:val="Heading1"/>
      </w:pPr>
      <w:r w:rsidRPr="000665B0">
        <w:rPr>
          <w:noProof/>
        </w:rPr>
        <w:drawing>
          <wp:inline distT="0" distB="0" distL="0" distR="0" wp14:anchorId="271C233C" wp14:editId="7D808BDC">
            <wp:extent cx="142875" cy="152400"/>
            <wp:effectExtent l="19050" t="0" r="9525" b="0"/>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00417BB7" w:rsidRPr="000665B0">
        <w:t xml:space="preserve"> – </w:t>
      </w:r>
      <w:r w:rsidR="00CA1435" w:rsidRPr="000665B0">
        <w:t>R</w:t>
      </w:r>
      <w:r w:rsidR="00B8345F" w:rsidRPr="000665B0">
        <w:t>epresent</w:t>
      </w:r>
      <w:r w:rsidR="00CA1435" w:rsidRPr="000665B0">
        <w:t>s</w:t>
      </w:r>
      <w:r w:rsidR="00B8345F" w:rsidRPr="000665B0">
        <w:t xml:space="preserve"> a </w:t>
      </w:r>
      <w:r w:rsidR="00DF35BA" w:rsidRPr="000665B0">
        <w:t xml:space="preserve">timing point. Unless an OWR changes the timing, this </w:t>
      </w:r>
      <w:r w:rsidR="00B8345F" w:rsidRPr="000665B0">
        <w:t>is displayed</w:t>
      </w:r>
      <w:r w:rsidR="00DF35BA" w:rsidRPr="000665B0">
        <w:t xml:space="preserve"> over the Launch point for a TOL missile, </w:t>
      </w:r>
      <w:r w:rsidR="00DF35BA" w:rsidRPr="000665B0">
        <w:lastRenderedPageBreak/>
        <w:t>the First Pre-Planned waypoint for a FWP missile, and the Target point for a TOT missile.</w:t>
      </w:r>
    </w:p>
    <w:p w14:paraId="7CD2C4C1" w14:textId="77777777" w:rsidR="00DC3A52" w:rsidRPr="000665B0" w:rsidRDefault="009A1FDF" w:rsidP="006D5A65">
      <w:pPr>
        <w:pStyle w:val="Heading1"/>
      </w:pPr>
      <w:r w:rsidRPr="000665B0">
        <w:rPr>
          <w:noProof/>
        </w:rPr>
        <w:drawing>
          <wp:inline distT="0" distB="0" distL="0" distR="0" wp14:anchorId="478279AC" wp14:editId="738293F9">
            <wp:extent cx="800100" cy="161925"/>
            <wp:effectExtent l="19050" t="0" r="0" b="0"/>
            <wp:docPr id="874"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cstate="print"/>
                    <a:srcRect/>
                    <a:stretch>
                      <a:fillRect/>
                    </a:stretch>
                  </pic:blipFill>
                  <pic:spPr bwMode="auto">
                    <a:xfrm>
                      <a:off x="0" y="0"/>
                      <a:ext cx="800100" cy="161925"/>
                    </a:xfrm>
                    <a:prstGeom prst="rect">
                      <a:avLst/>
                    </a:prstGeom>
                    <a:noFill/>
                    <a:ln w="9525">
                      <a:noFill/>
                      <a:miter lim="800000"/>
                      <a:headEnd/>
                      <a:tailEnd/>
                    </a:ln>
                  </pic:spPr>
                </pic:pic>
              </a:graphicData>
            </a:graphic>
          </wp:inline>
        </w:drawing>
      </w:r>
      <w:r w:rsidR="00417BB7" w:rsidRPr="000665B0">
        <w:t xml:space="preserve"> – </w:t>
      </w:r>
      <w:r w:rsidR="00DC3A52" w:rsidRPr="000665B0">
        <w:t>Complication.</w:t>
      </w:r>
    </w:p>
    <w:p w14:paraId="3CD32663" w14:textId="77777777" w:rsidR="00DC3A52" w:rsidRPr="000665B0" w:rsidRDefault="009A1FDF" w:rsidP="006D5A65">
      <w:pPr>
        <w:pStyle w:val="Heading1"/>
      </w:pPr>
      <w:r w:rsidRPr="000665B0">
        <w:rPr>
          <w:noProof/>
        </w:rPr>
        <w:drawing>
          <wp:inline distT="0" distB="0" distL="0" distR="0" wp14:anchorId="7373A526" wp14:editId="3693A003">
            <wp:extent cx="180975" cy="133350"/>
            <wp:effectExtent l="19050" t="0" r="9525" b="0"/>
            <wp:docPr id="875"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cstate="print"/>
                    <a:srcRect/>
                    <a:stretch>
                      <a:fillRect/>
                    </a:stretch>
                  </pic:blipFill>
                  <pic:spPr bwMode="auto">
                    <a:xfrm>
                      <a:off x="0" y="0"/>
                      <a:ext cx="180975" cy="133350"/>
                    </a:xfrm>
                    <a:prstGeom prst="rect">
                      <a:avLst/>
                    </a:prstGeom>
                    <a:noFill/>
                    <a:ln w="9525">
                      <a:noFill/>
                      <a:miter lim="800000"/>
                      <a:headEnd/>
                      <a:tailEnd/>
                    </a:ln>
                  </pic:spPr>
                </pic:pic>
              </a:graphicData>
            </a:graphic>
          </wp:inline>
        </w:drawing>
      </w:r>
      <w:r w:rsidR="00417BB7" w:rsidRPr="000665B0">
        <w:t xml:space="preserve"> – </w:t>
      </w:r>
      <w:r w:rsidR="00DC3A52" w:rsidRPr="000665B0">
        <w:t xml:space="preserve">Planned Health &amp; Status message. </w:t>
      </w:r>
    </w:p>
    <w:p w14:paraId="0B746AA0" w14:textId="77777777" w:rsidR="00DC3A52" w:rsidRPr="000665B0" w:rsidRDefault="009A1FDF" w:rsidP="006D5A65">
      <w:pPr>
        <w:pStyle w:val="Heading1"/>
      </w:pPr>
      <w:r w:rsidRPr="000665B0">
        <w:rPr>
          <w:noProof/>
        </w:rPr>
        <w:drawing>
          <wp:inline distT="0" distB="0" distL="0" distR="0" wp14:anchorId="1B68DC6C" wp14:editId="20DCDAC7">
            <wp:extent cx="180975" cy="171450"/>
            <wp:effectExtent l="19050" t="0" r="9525" b="0"/>
            <wp:docPr id="877"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00417BB7" w:rsidRPr="000665B0">
        <w:t xml:space="preserve"> – </w:t>
      </w:r>
      <w:r w:rsidR="00DC3A52" w:rsidRPr="000665B0">
        <w:t>Planned BDI Health &amp; Status message.</w:t>
      </w:r>
    </w:p>
    <w:p w14:paraId="0C2B3A9E" w14:textId="77777777" w:rsidR="00DC3A52" w:rsidRPr="000665B0" w:rsidRDefault="009A1FDF" w:rsidP="006D5A65">
      <w:pPr>
        <w:pStyle w:val="Heading1"/>
      </w:pPr>
      <w:r w:rsidRPr="000665B0">
        <w:rPr>
          <w:noProof/>
        </w:rPr>
        <w:drawing>
          <wp:inline distT="0" distB="0" distL="0" distR="0" wp14:anchorId="53C1B8F7" wp14:editId="49E1D02B">
            <wp:extent cx="161925" cy="161925"/>
            <wp:effectExtent l="19050" t="0" r="9525" b="0"/>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cstate="print"/>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00417BB7" w:rsidRPr="000665B0">
        <w:t xml:space="preserve"> – </w:t>
      </w:r>
      <w:r w:rsidR="00DC3A52" w:rsidRPr="000665B0">
        <w:t>Received Pre-planned Outcome IMMM message.</w:t>
      </w:r>
    </w:p>
    <w:p w14:paraId="7174859B" w14:textId="77777777" w:rsidR="00DC3A52" w:rsidRPr="000665B0" w:rsidRDefault="009A1FDF" w:rsidP="006D5A65">
      <w:pPr>
        <w:pStyle w:val="Heading1"/>
      </w:pPr>
      <w:r w:rsidRPr="000665B0">
        <w:rPr>
          <w:noProof/>
        </w:rPr>
        <w:drawing>
          <wp:inline distT="0" distB="0" distL="0" distR="0" wp14:anchorId="76FBE5CC" wp14:editId="38ABBDB1">
            <wp:extent cx="171450" cy="180975"/>
            <wp:effectExtent l="19050" t="0" r="0" b="0"/>
            <wp:docPr id="879"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cstate="print"/>
                    <a:srcRect/>
                    <a:stretch>
                      <a:fillRect/>
                    </a:stretch>
                  </pic:blipFill>
                  <pic:spPr bwMode="auto">
                    <a:xfrm>
                      <a:off x="0" y="0"/>
                      <a:ext cx="171450" cy="180975"/>
                    </a:xfrm>
                    <a:prstGeom prst="rect">
                      <a:avLst/>
                    </a:prstGeom>
                    <a:noFill/>
                    <a:ln w="9525">
                      <a:noFill/>
                      <a:miter lim="800000"/>
                      <a:headEnd/>
                      <a:tailEnd/>
                    </a:ln>
                  </pic:spPr>
                </pic:pic>
              </a:graphicData>
            </a:graphic>
          </wp:inline>
        </w:drawing>
      </w:r>
      <w:r w:rsidR="00417BB7" w:rsidRPr="000665B0">
        <w:t xml:space="preserve"> – </w:t>
      </w:r>
      <w:r w:rsidR="00DC3A52" w:rsidRPr="000665B0">
        <w:t>Received Pre-planned Outcome IMMM message dropped due to a complication.</w:t>
      </w:r>
    </w:p>
    <w:p w14:paraId="1E366CB8" w14:textId="77777777" w:rsidR="00DC3A52" w:rsidRPr="000665B0" w:rsidRDefault="009A1FDF" w:rsidP="006D5A65">
      <w:pPr>
        <w:pStyle w:val="Heading1"/>
      </w:pPr>
      <w:r w:rsidRPr="000665B0">
        <w:rPr>
          <w:noProof/>
        </w:rPr>
        <w:drawing>
          <wp:inline distT="0" distB="0" distL="0" distR="0" wp14:anchorId="2F990F6F" wp14:editId="1DF1F0E4">
            <wp:extent cx="161925" cy="171450"/>
            <wp:effectExtent l="19050" t="0" r="9525" b="0"/>
            <wp:docPr id="880"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cstate="print"/>
                    <a:srcRect/>
                    <a:stretch>
                      <a:fillRect/>
                    </a:stretch>
                  </pic:blipFill>
                  <pic:spPr bwMode="auto">
                    <a:xfrm>
                      <a:off x="0" y="0"/>
                      <a:ext cx="161925" cy="171450"/>
                    </a:xfrm>
                    <a:prstGeom prst="rect">
                      <a:avLst/>
                    </a:prstGeom>
                    <a:noFill/>
                    <a:ln w="9525">
                      <a:noFill/>
                      <a:miter lim="800000"/>
                      <a:headEnd/>
                      <a:tailEnd/>
                    </a:ln>
                  </pic:spPr>
                </pic:pic>
              </a:graphicData>
            </a:graphic>
          </wp:inline>
        </w:drawing>
      </w:r>
      <w:r w:rsidR="00417BB7" w:rsidRPr="000665B0">
        <w:t xml:space="preserve"> – </w:t>
      </w:r>
      <w:r w:rsidR="00DC3A52" w:rsidRPr="000665B0">
        <w:t>Received Aimpoint Update IMMM message.</w:t>
      </w:r>
    </w:p>
    <w:p w14:paraId="28F5876B" w14:textId="77777777" w:rsidR="00DC3A52" w:rsidRPr="000665B0" w:rsidRDefault="009A1FDF" w:rsidP="006D5A65">
      <w:pPr>
        <w:pStyle w:val="Heading1"/>
      </w:pPr>
      <w:r w:rsidRPr="000665B0">
        <w:rPr>
          <w:noProof/>
        </w:rPr>
        <w:drawing>
          <wp:inline distT="0" distB="0" distL="0" distR="0" wp14:anchorId="65B30CF4" wp14:editId="2104DA56">
            <wp:extent cx="161925" cy="171450"/>
            <wp:effectExtent l="19050" t="0" r="9525" b="0"/>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cstate="print"/>
                    <a:srcRect/>
                    <a:stretch>
                      <a:fillRect/>
                    </a:stretch>
                  </pic:blipFill>
                  <pic:spPr bwMode="auto">
                    <a:xfrm>
                      <a:off x="0" y="0"/>
                      <a:ext cx="161925" cy="171450"/>
                    </a:xfrm>
                    <a:prstGeom prst="rect">
                      <a:avLst/>
                    </a:prstGeom>
                    <a:noFill/>
                    <a:ln w="9525">
                      <a:noFill/>
                      <a:miter lim="800000"/>
                      <a:headEnd/>
                      <a:tailEnd/>
                    </a:ln>
                  </pic:spPr>
                </pic:pic>
              </a:graphicData>
            </a:graphic>
          </wp:inline>
        </w:drawing>
      </w:r>
      <w:r w:rsidR="00417BB7" w:rsidRPr="000665B0">
        <w:t xml:space="preserve"> – </w:t>
      </w:r>
      <w:r w:rsidR="00DC3A52" w:rsidRPr="000665B0">
        <w:t>Received Aimpoint Update IMMM message dropped due to a complication.</w:t>
      </w:r>
    </w:p>
    <w:p w14:paraId="6E58CCAA" w14:textId="77777777" w:rsidR="00DC3A52" w:rsidRPr="000665B0" w:rsidRDefault="009A1FDF" w:rsidP="006D5A65">
      <w:pPr>
        <w:pStyle w:val="Heading1"/>
      </w:pPr>
      <w:r w:rsidRPr="000665B0">
        <w:rPr>
          <w:noProof/>
        </w:rPr>
        <w:drawing>
          <wp:inline distT="0" distB="0" distL="0" distR="0" wp14:anchorId="5238EC15" wp14:editId="6CC5CF79">
            <wp:extent cx="161925" cy="171450"/>
            <wp:effectExtent l="19050" t="0" r="9525" b="0"/>
            <wp:docPr id="882"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cstate="print"/>
                    <a:srcRect/>
                    <a:stretch>
                      <a:fillRect/>
                    </a:stretch>
                  </pic:blipFill>
                  <pic:spPr bwMode="auto">
                    <a:xfrm>
                      <a:off x="0" y="0"/>
                      <a:ext cx="161925" cy="171450"/>
                    </a:xfrm>
                    <a:prstGeom prst="rect">
                      <a:avLst/>
                    </a:prstGeom>
                    <a:noFill/>
                    <a:ln w="9525">
                      <a:noFill/>
                      <a:miter lim="800000"/>
                      <a:headEnd/>
                      <a:tailEnd/>
                    </a:ln>
                  </pic:spPr>
                </pic:pic>
              </a:graphicData>
            </a:graphic>
          </wp:inline>
        </w:drawing>
      </w:r>
      <w:r w:rsidR="00417BB7" w:rsidRPr="000665B0">
        <w:t xml:space="preserve"> – </w:t>
      </w:r>
      <w:r w:rsidR="00DC3A52" w:rsidRPr="000665B0">
        <w:t>Received Retarget IMMM message.</w:t>
      </w:r>
    </w:p>
    <w:p w14:paraId="5FB089D2" w14:textId="77777777" w:rsidR="00DC3A52" w:rsidRPr="000665B0" w:rsidRDefault="009A1FDF" w:rsidP="006D5A65">
      <w:pPr>
        <w:pStyle w:val="Heading1"/>
      </w:pPr>
      <w:r w:rsidRPr="000665B0">
        <w:rPr>
          <w:noProof/>
        </w:rPr>
        <w:drawing>
          <wp:inline distT="0" distB="0" distL="0" distR="0" wp14:anchorId="7BB539BB" wp14:editId="7274C6F9">
            <wp:extent cx="171450" cy="180975"/>
            <wp:effectExtent l="19050" t="0" r="0" b="0"/>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cstate="print"/>
                    <a:srcRect/>
                    <a:stretch>
                      <a:fillRect/>
                    </a:stretch>
                  </pic:blipFill>
                  <pic:spPr bwMode="auto">
                    <a:xfrm>
                      <a:off x="0" y="0"/>
                      <a:ext cx="171450" cy="180975"/>
                    </a:xfrm>
                    <a:prstGeom prst="rect">
                      <a:avLst/>
                    </a:prstGeom>
                    <a:noFill/>
                    <a:ln w="9525">
                      <a:noFill/>
                      <a:miter lim="800000"/>
                      <a:headEnd/>
                      <a:tailEnd/>
                    </a:ln>
                  </pic:spPr>
                </pic:pic>
              </a:graphicData>
            </a:graphic>
          </wp:inline>
        </w:drawing>
      </w:r>
      <w:r w:rsidR="00417BB7" w:rsidRPr="000665B0">
        <w:t xml:space="preserve"> – </w:t>
      </w:r>
      <w:r w:rsidR="00DC3A52" w:rsidRPr="000665B0">
        <w:t>Received Retarget IMMM message dropped due to a complication.</w:t>
      </w:r>
    </w:p>
    <w:p w14:paraId="12A42511" w14:textId="77777777" w:rsidR="00DC3A52" w:rsidRPr="000665B0" w:rsidRDefault="009A1FDF" w:rsidP="006D5A65">
      <w:pPr>
        <w:pStyle w:val="Heading1"/>
      </w:pPr>
      <w:r w:rsidRPr="000665B0">
        <w:rPr>
          <w:noProof/>
        </w:rPr>
        <w:drawing>
          <wp:inline distT="0" distB="0" distL="0" distR="0" wp14:anchorId="05022B08" wp14:editId="3F398D06">
            <wp:extent cx="180975" cy="171450"/>
            <wp:effectExtent l="19050" t="0" r="9525" b="0"/>
            <wp:docPr id="884"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00417BB7" w:rsidRPr="000665B0">
        <w:t xml:space="preserve"> – </w:t>
      </w:r>
      <w:r w:rsidR="00DC3A52" w:rsidRPr="000665B0">
        <w:t>Received Scheduled Health &amp; Status TSN message.</w:t>
      </w:r>
    </w:p>
    <w:p w14:paraId="3E2EC69B" w14:textId="77777777" w:rsidR="00DC3A52" w:rsidRPr="000665B0" w:rsidRDefault="009A1FDF" w:rsidP="006D5A65">
      <w:pPr>
        <w:pStyle w:val="Heading1"/>
      </w:pPr>
      <w:r w:rsidRPr="000665B0">
        <w:rPr>
          <w:noProof/>
        </w:rPr>
        <w:drawing>
          <wp:inline distT="0" distB="0" distL="0" distR="0" wp14:anchorId="1DE40516" wp14:editId="4FA3D1AB">
            <wp:extent cx="171450" cy="161925"/>
            <wp:effectExtent l="19050" t="0" r="0" b="0"/>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cstate="print"/>
                    <a:srcRect/>
                    <a:stretch>
                      <a:fillRect/>
                    </a:stretch>
                  </pic:blipFill>
                  <pic:spPr bwMode="auto">
                    <a:xfrm>
                      <a:off x="0" y="0"/>
                      <a:ext cx="171450" cy="161925"/>
                    </a:xfrm>
                    <a:prstGeom prst="rect">
                      <a:avLst/>
                    </a:prstGeom>
                    <a:noFill/>
                    <a:ln w="9525">
                      <a:noFill/>
                      <a:miter lim="800000"/>
                      <a:headEnd/>
                      <a:tailEnd/>
                    </a:ln>
                  </pic:spPr>
                </pic:pic>
              </a:graphicData>
            </a:graphic>
          </wp:inline>
        </w:drawing>
      </w:r>
      <w:r w:rsidR="00417BB7" w:rsidRPr="000665B0">
        <w:t xml:space="preserve"> – </w:t>
      </w:r>
      <w:r w:rsidR="00DC3A52" w:rsidRPr="000665B0">
        <w:t>Received Scheduled Health &amp; Status TSN message dropped due to a complication.</w:t>
      </w:r>
    </w:p>
    <w:p w14:paraId="23860273" w14:textId="77777777" w:rsidR="00DC3A52" w:rsidRPr="000665B0" w:rsidRDefault="009A1FDF" w:rsidP="006D5A65">
      <w:pPr>
        <w:pStyle w:val="Heading1"/>
      </w:pPr>
      <w:r w:rsidRPr="000665B0">
        <w:rPr>
          <w:noProof/>
        </w:rPr>
        <w:drawing>
          <wp:inline distT="0" distB="0" distL="0" distR="0" wp14:anchorId="5AAF5B32" wp14:editId="144A7159">
            <wp:extent cx="161925" cy="161925"/>
            <wp:effectExtent l="19050" t="0" r="9525" b="0"/>
            <wp:docPr id="8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cstate="print"/>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00417BB7" w:rsidRPr="000665B0">
        <w:t xml:space="preserve"> – </w:t>
      </w:r>
      <w:r w:rsidR="00DC3A52" w:rsidRPr="000665B0">
        <w:t>Received Event Health &amp; Status TSN message.</w:t>
      </w:r>
    </w:p>
    <w:p w14:paraId="6718BCF5" w14:textId="77777777" w:rsidR="00DC3A52" w:rsidRPr="000665B0" w:rsidRDefault="009A1FDF" w:rsidP="006D5A65">
      <w:pPr>
        <w:pStyle w:val="Heading1"/>
      </w:pPr>
      <w:r w:rsidRPr="000665B0">
        <w:rPr>
          <w:noProof/>
        </w:rPr>
        <w:drawing>
          <wp:inline distT="0" distB="0" distL="0" distR="0" wp14:anchorId="06EB1131" wp14:editId="02FF3E93">
            <wp:extent cx="161925" cy="171450"/>
            <wp:effectExtent l="19050" t="0" r="9525" b="0"/>
            <wp:docPr id="887"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cstate="print"/>
                    <a:srcRect/>
                    <a:stretch>
                      <a:fillRect/>
                    </a:stretch>
                  </pic:blipFill>
                  <pic:spPr bwMode="auto">
                    <a:xfrm>
                      <a:off x="0" y="0"/>
                      <a:ext cx="161925" cy="171450"/>
                    </a:xfrm>
                    <a:prstGeom prst="rect">
                      <a:avLst/>
                    </a:prstGeom>
                    <a:noFill/>
                    <a:ln w="9525">
                      <a:noFill/>
                      <a:miter lim="800000"/>
                      <a:headEnd/>
                      <a:tailEnd/>
                    </a:ln>
                  </pic:spPr>
                </pic:pic>
              </a:graphicData>
            </a:graphic>
          </wp:inline>
        </w:drawing>
      </w:r>
      <w:r w:rsidR="00417BB7" w:rsidRPr="000665B0">
        <w:t xml:space="preserve"> – </w:t>
      </w:r>
      <w:r w:rsidR="00DC3A52" w:rsidRPr="000665B0">
        <w:t>Received Event Health &amp; Status TSN message dropped due to a complication.</w:t>
      </w:r>
    </w:p>
    <w:p w14:paraId="3B15F246" w14:textId="77777777" w:rsidR="00DC3A52" w:rsidRPr="000665B0" w:rsidRDefault="009A1FDF" w:rsidP="006D5A65">
      <w:pPr>
        <w:pStyle w:val="Heading1"/>
      </w:pPr>
      <w:r w:rsidRPr="000665B0">
        <w:rPr>
          <w:noProof/>
        </w:rPr>
        <w:drawing>
          <wp:inline distT="0" distB="0" distL="0" distR="0" wp14:anchorId="5838234F" wp14:editId="7CAF7266">
            <wp:extent cx="200025" cy="171450"/>
            <wp:effectExtent l="19050" t="0" r="9525" b="0"/>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cstate="print"/>
                    <a:srcRect/>
                    <a:stretch>
                      <a:fillRect/>
                    </a:stretch>
                  </pic:blipFill>
                  <pic:spPr bwMode="auto">
                    <a:xfrm>
                      <a:off x="0" y="0"/>
                      <a:ext cx="200025" cy="171450"/>
                    </a:xfrm>
                    <a:prstGeom prst="rect">
                      <a:avLst/>
                    </a:prstGeom>
                    <a:noFill/>
                    <a:ln w="9525">
                      <a:noFill/>
                      <a:miter lim="800000"/>
                      <a:headEnd/>
                      <a:tailEnd/>
                    </a:ln>
                  </pic:spPr>
                </pic:pic>
              </a:graphicData>
            </a:graphic>
          </wp:inline>
        </w:drawing>
      </w:r>
      <w:r w:rsidR="00417BB7" w:rsidRPr="000665B0">
        <w:t xml:space="preserve"> – </w:t>
      </w:r>
      <w:r w:rsidR="00DC3A52" w:rsidRPr="000665B0">
        <w:t>Received IMMM Acknowledgement message.</w:t>
      </w:r>
    </w:p>
    <w:p w14:paraId="53FC3727" w14:textId="77777777" w:rsidR="00DC3A52" w:rsidRPr="000665B0" w:rsidRDefault="009A1FDF" w:rsidP="006D5A65">
      <w:pPr>
        <w:pStyle w:val="Heading1"/>
      </w:pPr>
      <w:r w:rsidRPr="000665B0">
        <w:rPr>
          <w:noProof/>
        </w:rPr>
        <w:drawing>
          <wp:inline distT="0" distB="0" distL="0" distR="0" wp14:anchorId="71C4B80D" wp14:editId="22D5B473">
            <wp:extent cx="190500" cy="161925"/>
            <wp:effectExtent l="19050" t="0" r="0" b="0"/>
            <wp:docPr id="891"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cstate="print"/>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00417BB7" w:rsidRPr="000665B0">
        <w:t xml:space="preserve"> – </w:t>
      </w:r>
      <w:r w:rsidR="00DC3A52" w:rsidRPr="000665B0">
        <w:t>Ping message</w:t>
      </w:r>
      <w:r w:rsidR="00B729C8" w:rsidRPr="000665B0">
        <w:t>.</w:t>
      </w:r>
    </w:p>
    <w:p w14:paraId="0DDCB733" w14:textId="0291B7E8" w:rsidR="00DC3A52" w:rsidRPr="000665B0" w:rsidRDefault="009A1FDF" w:rsidP="006D5A65">
      <w:pPr>
        <w:pStyle w:val="Heading1"/>
      </w:pPr>
      <w:r w:rsidRPr="000665B0">
        <w:rPr>
          <w:noProof/>
        </w:rPr>
        <w:drawing>
          <wp:inline distT="0" distB="0" distL="0" distR="0" wp14:anchorId="7B785EA4" wp14:editId="53D3A2A0">
            <wp:extent cx="171450" cy="180975"/>
            <wp:effectExtent l="19050" t="0" r="0" b="0"/>
            <wp:docPr id="892"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cstate="print"/>
                    <a:srcRect/>
                    <a:stretch>
                      <a:fillRect/>
                    </a:stretch>
                  </pic:blipFill>
                  <pic:spPr bwMode="auto">
                    <a:xfrm>
                      <a:off x="0" y="0"/>
                      <a:ext cx="171450" cy="180975"/>
                    </a:xfrm>
                    <a:prstGeom prst="rect">
                      <a:avLst/>
                    </a:prstGeom>
                    <a:noFill/>
                    <a:ln w="9525">
                      <a:noFill/>
                      <a:miter lim="800000"/>
                      <a:headEnd/>
                      <a:tailEnd/>
                    </a:ln>
                  </pic:spPr>
                </pic:pic>
              </a:graphicData>
            </a:graphic>
          </wp:inline>
        </w:drawing>
      </w:r>
      <w:r w:rsidR="00417BB7" w:rsidRPr="000665B0">
        <w:t xml:space="preserve"> – </w:t>
      </w:r>
      <w:r w:rsidR="00DC3A52" w:rsidRPr="000665B0">
        <w:t>Scheduled FDU (</w:t>
      </w:r>
      <w:r w:rsidR="003509EA" w:rsidRPr="000665B0">
        <w:t xml:space="preserve">e.g., </w:t>
      </w:r>
      <w:r w:rsidR="00DC3A52" w:rsidRPr="000665B0">
        <w:t>SPEO, OWR, LER) message.</w:t>
      </w:r>
    </w:p>
    <w:p w14:paraId="676CE5CF" w14:textId="77777777" w:rsidR="00DC3A52" w:rsidRPr="000665B0" w:rsidRDefault="009A1FDF" w:rsidP="006D5A65">
      <w:pPr>
        <w:pStyle w:val="Heading1"/>
      </w:pPr>
      <w:r w:rsidRPr="000665B0">
        <w:rPr>
          <w:noProof/>
        </w:rPr>
        <w:drawing>
          <wp:inline distT="0" distB="0" distL="0" distR="0" wp14:anchorId="7912C770" wp14:editId="607A026E">
            <wp:extent cx="190500" cy="190500"/>
            <wp:effectExtent l="19050" t="0" r="0" b="0"/>
            <wp:docPr id="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417BB7" w:rsidRPr="000665B0">
        <w:t xml:space="preserve"> – </w:t>
      </w:r>
      <w:r w:rsidR="00DC3A52" w:rsidRPr="000665B0">
        <w:t>AUR message suppression enabled.</w:t>
      </w:r>
    </w:p>
    <w:p w14:paraId="57B91E93" w14:textId="77777777" w:rsidR="00054590" w:rsidRPr="000665B0" w:rsidRDefault="009A1FDF" w:rsidP="006D5A65">
      <w:pPr>
        <w:pStyle w:val="Heading1"/>
      </w:pPr>
      <w:r w:rsidRPr="000665B0">
        <w:rPr>
          <w:noProof/>
        </w:rPr>
        <w:drawing>
          <wp:inline distT="0" distB="0" distL="0" distR="0" wp14:anchorId="43BC21C8" wp14:editId="2368DE1C">
            <wp:extent cx="228600" cy="209550"/>
            <wp:effectExtent l="19050" t="0" r="0" b="0"/>
            <wp:docPr id="894" name="Picture 894" descr="missile_c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missile_crash"/>
                    <pic:cNvPicPr>
                      <a:picLocks noChangeAspect="1" noChangeArrowheads="1"/>
                    </pic:cNvPicPr>
                  </pic:nvPicPr>
                  <pic:blipFill>
                    <a:blip cstate="print"/>
                    <a:srcRect/>
                    <a:stretch>
                      <a:fillRect/>
                    </a:stretch>
                  </pic:blipFill>
                  <pic:spPr bwMode="auto">
                    <a:xfrm>
                      <a:off x="0" y="0"/>
                      <a:ext cx="228600" cy="209550"/>
                    </a:xfrm>
                    <a:prstGeom prst="rect">
                      <a:avLst/>
                    </a:prstGeom>
                    <a:noFill/>
                    <a:ln w="9525">
                      <a:noFill/>
                      <a:miter lim="800000"/>
                      <a:headEnd/>
                      <a:tailEnd/>
                    </a:ln>
                  </pic:spPr>
                </pic:pic>
              </a:graphicData>
            </a:graphic>
          </wp:inline>
        </w:drawing>
      </w:r>
      <w:r w:rsidR="00417BB7" w:rsidRPr="000665B0">
        <w:t xml:space="preserve"> – </w:t>
      </w:r>
      <w:r w:rsidR="00054590" w:rsidRPr="000665B0">
        <w:t>Fail Missile Now indicator. Indicates at what time a fail now was requested.</w:t>
      </w:r>
    </w:p>
    <w:p w14:paraId="73D6C836" w14:textId="6AB90FF2" w:rsidR="00417BB7" w:rsidRPr="000665B0" w:rsidRDefault="00FD6949" w:rsidP="006D5A65">
      <w:pPr>
        <w:pStyle w:val="Heading1"/>
      </w:pPr>
      <w:r w:rsidRPr="000665B0">
        <w:rPr>
          <w:noProof/>
        </w:rPr>
        <w:drawing>
          <wp:inline distT="0" distB="0" distL="0" distR="0" wp14:anchorId="091D9398" wp14:editId="4EB3E344">
            <wp:extent cx="152400" cy="1524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417BB7" w:rsidRPr="000665B0">
        <w:t xml:space="preserve"> – </w:t>
      </w:r>
      <w:r w:rsidRPr="000665B0">
        <w:t>Marks the time that TSRT simulates the final launch review for a primary missile being shot by a simulated FRU.</w:t>
      </w:r>
    </w:p>
    <w:p w14:paraId="58A5B58B" w14:textId="7D628FAA" w:rsidR="00AC6A42" w:rsidRPr="000665B0" w:rsidRDefault="00AC6A42" w:rsidP="00AC6A42">
      <w:r w:rsidRPr="000665B0">
        <w:t xml:space="preserve">Actions that change the timing of events on the Gantt chart will cause the icons on the Gantt chart to </w:t>
      </w:r>
      <w:r w:rsidR="00522659" w:rsidRPr="000665B0">
        <w:t xml:space="preserve">automatically </w:t>
      </w:r>
      <w:r w:rsidRPr="000665B0">
        <w:t xml:space="preserve">update to reflect the revised times. In certain cases, some icons </w:t>
      </w:r>
      <w:r w:rsidRPr="000665B0">
        <w:rPr>
          <w:i/>
        </w:rPr>
        <w:t>may fail to update</w:t>
      </w:r>
      <w:r w:rsidRPr="000665B0">
        <w:t xml:space="preserve"> and will remain at their original time (see </w:t>
      </w:r>
      <w:hyperlink w:anchor="_5.39.2__TSRT" w:history="1">
        <w:r w:rsidRPr="000665B0">
          <w:rPr>
            <w:rStyle w:val="Hyperlink"/>
          </w:rPr>
          <w:t xml:space="preserve">Section </w:t>
        </w:r>
        <w:r w:rsidR="004231CC">
          <w:rPr>
            <w:rStyle w:val="Hyperlink"/>
          </w:rPr>
          <w:t>5.37</w:t>
        </w:r>
        <w:r w:rsidRPr="000665B0">
          <w:rPr>
            <w:rStyle w:val="Hyperlink"/>
          </w:rPr>
          <w:t>.1.1</w:t>
        </w:r>
      </w:hyperlink>
      <w:r w:rsidRPr="000665B0">
        <w:t xml:space="preserve">). </w:t>
      </w:r>
    </w:p>
    <w:p w14:paraId="11CBC584" w14:textId="77777777" w:rsidR="00DC3A52" w:rsidRPr="000665B0" w:rsidRDefault="00DC3A52" w:rsidP="00DC3A52">
      <w:r w:rsidRPr="000665B0">
        <w:t xml:space="preserve">Only </w:t>
      </w:r>
      <w:r w:rsidR="004C34C6" w:rsidRPr="000665B0">
        <w:t>109E</w:t>
      </w:r>
      <w:r w:rsidRPr="000665B0">
        <w:t xml:space="preserve"> missiles with Comms enabled will receive TSN messages.</w:t>
      </w:r>
    </w:p>
    <w:p w14:paraId="51652335" w14:textId="77777777" w:rsidR="00DC3A52" w:rsidRPr="000665B0" w:rsidRDefault="00DC3A52" w:rsidP="001A0CBD">
      <w:pPr>
        <w:pStyle w:val="PlainText"/>
        <w:pBdr>
          <w:top w:val="single" w:sz="12" w:space="1" w:color="auto"/>
          <w:left w:val="single" w:sz="12" w:space="4" w:color="auto"/>
          <w:bottom w:val="single" w:sz="12" w:space="1" w:color="auto"/>
          <w:right w:val="single" w:sz="12" w:space="4" w:color="auto"/>
        </w:pBdr>
        <w:shd w:val="clear" w:color="auto" w:fill="D9D9D9"/>
        <w:spacing w:after="0"/>
        <w:jc w:val="center"/>
        <w:rPr>
          <w:rFonts w:ascii="Times New Roman" w:hAnsi="Times New Roman"/>
          <w:b/>
        </w:rPr>
      </w:pPr>
      <w:r w:rsidRPr="000665B0">
        <w:rPr>
          <w:rFonts w:ascii="Times New Roman" w:hAnsi="Times New Roman"/>
          <w:b/>
        </w:rPr>
        <w:t>Note:</w:t>
      </w:r>
    </w:p>
    <w:p w14:paraId="30048252" w14:textId="77777777" w:rsidR="00DC3A52" w:rsidRPr="000665B0" w:rsidRDefault="00DC3A52" w:rsidP="00FF6C44">
      <w:pPr>
        <w:pStyle w:val="PlainText"/>
        <w:pBdr>
          <w:top w:val="single" w:sz="12" w:space="1" w:color="auto"/>
          <w:left w:val="single" w:sz="12" w:space="4" w:color="auto"/>
          <w:bottom w:val="single" w:sz="12" w:space="1" w:color="auto"/>
          <w:right w:val="single" w:sz="12" w:space="4" w:color="auto"/>
        </w:pBdr>
        <w:shd w:val="clear" w:color="auto" w:fill="D9D9D9"/>
        <w:spacing w:after="0"/>
        <w:jc w:val="center"/>
        <w:rPr>
          <w:rFonts w:ascii="Times New Roman" w:hAnsi="Times New Roman"/>
          <w:b/>
        </w:rPr>
      </w:pPr>
      <w:r w:rsidRPr="000665B0">
        <w:rPr>
          <w:rFonts w:ascii="Times New Roman" w:hAnsi="Times New Roman"/>
          <w:b/>
        </w:rPr>
        <w:t>TSN messages that fail due to a complication are dropped.</w:t>
      </w:r>
    </w:p>
    <w:p w14:paraId="38084401" w14:textId="77777777" w:rsidR="00FF6C44" w:rsidRPr="000665B0" w:rsidRDefault="00FF6C44" w:rsidP="00CB3E29">
      <w:pPr>
        <w:spacing w:after="0"/>
      </w:pPr>
    </w:p>
    <w:p w14:paraId="3025A764" w14:textId="589CF1B2" w:rsidR="00FF6C44" w:rsidRPr="000665B0" w:rsidRDefault="009A1FDF" w:rsidP="003F63CF">
      <w:pPr>
        <w:pBdr>
          <w:top w:val="single" w:sz="12" w:space="1" w:color="auto"/>
          <w:left w:val="single" w:sz="12" w:space="4" w:color="auto"/>
          <w:bottom w:val="single" w:sz="12" w:space="1" w:color="auto"/>
          <w:right w:val="single" w:sz="12" w:space="4" w:color="auto"/>
        </w:pBdr>
        <w:shd w:val="clear" w:color="auto" w:fill="F3F3F3"/>
        <w:spacing w:after="0"/>
        <w:rPr>
          <w:b/>
        </w:rPr>
      </w:pPr>
      <w:r w:rsidRPr="000665B0">
        <w:rPr>
          <w:rFonts w:ascii="Arial" w:hAnsi="Arial" w:cs="Arial"/>
          <w:noProof/>
          <w:sz w:val="20"/>
        </w:rPr>
        <w:drawing>
          <wp:inline distT="0" distB="0" distL="0" distR="0" wp14:anchorId="6622989E" wp14:editId="5845DB56">
            <wp:extent cx="352425" cy="381000"/>
            <wp:effectExtent l="0" t="0" r="9525" b="0"/>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FF6C44" w:rsidRPr="000665B0">
        <w:rPr>
          <w:b/>
        </w:rPr>
        <w:t xml:space="preserve">TIP: When TOL timing is used for missiles in a strike, TSRT may not send H&amp;S data when expected on TTWCS and when compared with the MDS </w:t>
      </w:r>
      <w:r w:rsidR="00222732" w:rsidRPr="000665B0">
        <w:rPr>
          <w:b/>
        </w:rPr>
        <w:t>Gantt</w:t>
      </w:r>
      <w:r w:rsidR="00FF6C44" w:rsidRPr="000665B0">
        <w:rPr>
          <w:b/>
        </w:rPr>
        <w:t>.</w:t>
      </w:r>
    </w:p>
    <w:p w14:paraId="38A4249B" w14:textId="77777777" w:rsidR="001D1ED5" w:rsidRPr="000665B0" w:rsidRDefault="001D1ED5" w:rsidP="001D1ED5">
      <w:pPr>
        <w:pStyle w:val="Heading4"/>
      </w:pPr>
      <w:bookmarkStart w:id="6913" w:name="_5.39.2__TSRT"/>
      <w:bookmarkStart w:id="6914" w:name="_Toc289328954"/>
      <w:bookmarkStart w:id="6915" w:name="_Toc312332099"/>
      <w:bookmarkEnd w:id="6913"/>
      <w:r w:rsidRPr="000665B0">
        <w:lastRenderedPageBreak/>
        <w:t>Gantt Chart Icon Anomalies</w:t>
      </w:r>
    </w:p>
    <w:p w14:paraId="0C1D2D79" w14:textId="59529190" w:rsidR="001D1ED5" w:rsidRPr="000665B0" w:rsidRDefault="001D1ED5" w:rsidP="001D1ED5">
      <w:r w:rsidRPr="000665B0">
        <w:t>When an action (e.g.</w:t>
      </w:r>
      <w:r w:rsidR="007A66EC" w:rsidRPr="000665B0">
        <w:t>,</w:t>
      </w:r>
      <w:r w:rsidR="008D2BC2" w:rsidRPr="000665B0">
        <w:t xml:space="preserve"> </w:t>
      </w:r>
      <w:r w:rsidRPr="000665B0">
        <w:t xml:space="preserve">spare missile launch) causes a change to a missile’s timing, the icons on the Gantt chart </w:t>
      </w:r>
      <w:r w:rsidR="00F9417A" w:rsidRPr="000665B0">
        <w:t>are</w:t>
      </w:r>
      <w:r w:rsidR="008D2BC2" w:rsidRPr="000665B0">
        <w:t xml:space="preserve"> </w:t>
      </w:r>
      <w:r w:rsidR="00522659" w:rsidRPr="000665B0">
        <w:t>automatically update</w:t>
      </w:r>
      <w:r w:rsidR="00F9417A" w:rsidRPr="000665B0">
        <w:t>d</w:t>
      </w:r>
      <w:r w:rsidR="00522659" w:rsidRPr="000665B0">
        <w:t xml:space="preserve"> </w:t>
      </w:r>
      <w:r w:rsidRPr="000665B0">
        <w:t>to reflect the missile’s revised launch time and target time. However, other icons (e.g.</w:t>
      </w:r>
      <w:r w:rsidR="007A66EC" w:rsidRPr="000665B0">
        <w:t>,</w:t>
      </w:r>
      <w:r w:rsidRPr="000665B0">
        <w:t xml:space="preserve"> H&amp;S icons) along the missile enroute bar </w:t>
      </w:r>
      <w:r w:rsidRPr="000665B0">
        <w:rPr>
          <w:i/>
        </w:rPr>
        <w:t>may fail to update</w:t>
      </w:r>
      <w:r w:rsidRPr="000665B0">
        <w:t xml:space="preserve"> and will remain at their original time. In the case of H&amp;S icons, the H&amp;S messages will be sent at the time indicated on the Gantt, which will not correlate to the missile’s revised timing. </w:t>
      </w:r>
    </w:p>
    <w:p w14:paraId="5666224B" w14:textId="5B835281" w:rsidR="001D1ED5" w:rsidRPr="000665B0" w:rsidRDefault="001D1ED5" w:rsidP="001D1ED5">
      <w:r w:rsidRPr="000665B0">
        <w:t xml:space="preserve">Visually, the icons that fail to update will look out-of-place because they </w:t>
      </w:r>
      <w:r w:rsidR="008D2BC2" w:rsidRPr="000665B0">
        <w:t>may</w:t>
      </w:r>
      <w:r w:rsidRPr="000665B0">
        <w:t xml:space="preserve"> appear outside of the span between the Launch point icon and the Target point icon.</w:t>
      </w:r>
    </w:p>
    <w:p w14:paraId="2F9376AE" w14:textId="09F21E2F" w:rsidR="00CD2871" w:rsidRPr="000665B0" w:rsidRDefault="00913053" w:rsidP="00AB658B">
      <w:pPr>
        <w:pStyle w:val="Heading3"/>
      </w:pPr>
      <w:bookmarkStart w:id="6916" w:name="_TSRT_Time_Controls"/>
      <w:bookmarkStart w:id="6917" w:name="_Toc214283604"/>
      <w:bookmarkEnd w:id="6908"/>
      <w:bookmarkEnd w:id="6916"/>
      <w:r w:rsidRPr="000665B0">
        <w:t xml:space="preserve">TSRT </w:t>
      </w:r>
      <w:r w:rsidR="00026307" w:rsidRPr="000665B0">
        <w:t xml:space="preserve">Time </w:t>
      </w:r>
      <w:r w:rsidR="00CD2871" w:rsidRPr="000665B0">
        <w:t>Controls</w:t>
      </w:r>
      <w:bookmarkEnd w:id="6914"/>
      <w:bookmarkEnd w:id="6915"/>
      <w:bookmarkEnd w:id="6917"/>
    </w:p>
    <w:p w14:paraId="7E94CDF0" w14:textId="6D1D3AEE" w:rsidR="00CD2871" w:rsidRPr="000665B0" w:rsidRDefault="00026307" w:rsidP="00CD2871">
      <w:pPr>
        <w:jc w:val="center"/>
      </w:pPr>
      <w:r w:rsidRPr="000665B0">
        <w:rPr>
          <w:noProof/>
        </w:rPr>
        <w:drawing>
          <wp:inline distT="0" distB="0" distL="0" distR="0" wp14:anchorId="69BD78F8" wp14:editId="60B799C0">
            <wp:extent cx="4983480" cy="932688"/>
            <wp:effectExtent l="0" t="0" r="0" b="0"/>
            <wp:docPr id="1931" name="Picture 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932688"/>
                    </a:xfrm>
                    <a:prstGeom prst="rect">
                      <a:avLst/>
                    </a:prstGeom>
                  </pic:spPr>
                </pic:pic>
              </a:graphicData>
            </a:graphic>
          </wp:inline>
        </w:drawing>
      </w:r>
    </w:p>
    <w:p w14:paraId="2DAD7D0E" w14:textId="56AF2EC2" w:rsidR="00CD2871" w:rsidRPr="000665B0" w:rsidRDefault="00CD2871" w:rsidP="00CD2871">
      <w:r w:rsidRPr="000665B0">
        <w:t xml:space="preserve">Once the strike has been loaded and the Scenario Director is automatically opened, the operator will be able to begin running the rehearsal by using the </w:t>
      </w:r>
      <w:r w:rsidR="00745DA2" w:rsidRPr="000665B0">
        <w:t xml:space="preserve">TSRT </w:t>
      </w:r>
      <w:r w:rsidR="00026307" w:rsidRPr="000665B0">
        <w:t xml:space="preserve">Time </w:t>
      </w:r>
      <w:r w:rsidR="00745DA2" w:rsidRPr="000665B0">
        <w:t>Controls</w:t>
      </w:r>
      <w:r w:rsidRPr="000665B0">
        <w:t xml:space="preserve">. If a real-time clock is being used, the controls will be </w:t>
      </w:r>
      <w:r w:rsidR="0017480E" w:rsidRPr="000665B0">
        <w:t>disabled,</w:t>
      </w:r>
      <w:r w:rsidRPr="000665B0">
        <w:t xml:space="preserve"> and the rehearsal will begin automatically. If a real-time rehearsal is started mid- or post-strike, there will be a delay while TSRT brings its internal state up to the current real time.</w:t>
      </w:r>
    </w:p>
    <w:p w14:paraId="73A34824" w14:textId="7F82142D" w:rsidR="00DC3A52" w:rsidRPr="000665B0" w:rsidRDefault="005B3651" w:rsidP="00A0163E">
      <w:pPr>
        <w:pBdr>
          <w:top w:val="single" w:sz="12" w:space="1" w:color="auto"/>
          <w:left w:val="single" w:sz="12" w:space="4" w:color="auto"/>
          <w:bottom w:val="single" w:sz="12" w:space="1" w:color="auto"/>
          <w:right w:val="single" w:sz="12" w:space="4" w:color="auto"/>
        </w:pBdr>
        <w:shd w:val="clear" w:color="auto" w:fill="D9D9D9"/>
        <w:ind w:left="86" w:right="86"/>
        <w:jc w:val="center"/>
        <w:rPr>
          <w:b/>
        </w:rPr>
      </w:pPr>
      <w:r w:rsidRPr="000665B0">
        <w:rPr>
          <w:b/>
        </w:rPr>
        <w:t>Note</w:t>
      </w:r>
      <w:r w:rsidR="00DC3A52" w:rsidRPr="000665B0">
        <w:rPr>
          <w:b/>
        </w:rPr>
        <w:t>:</w:t>
      </w:r>
      <w:r w:rsidR="005463E9" w:rsidRPr="000665B0">
        <w:rPr>
          <w:b/>
        </w:rPr>
        <w:br/>
      </w:r>
      <w:r w:rsidR="00DC3A52" w:rsidRPr="000665B0">
        <w:rPr>
          <w:b/>
        </w:rPr>
        <w:t xml:space="preserve">The strike is not completed until the </w:t>
      </w:r>
      <w:r w:rsidR="000B6F1A">
        <w:rPr>
          <w:b/>
        </w:rPr>
        <w:t>TSC</w:t>
      </w:r>
      <w:r w:rsidR="000B6F1A" w:rsidRPr="000665B0">
        <w:rPr>
          <w:b/>
        </w:rPr>
        <w:t xml:space="preserve"> </w:t>
      </w:r>
      <w:r w:rsidR="00DC3A52" w:rsidRPr="000665B0">
        <w:rPr>
          <w:b/>
        </w:rPr>
        <w:t xml:space="preserve">declares it to be over. The rehearsal end time is used solely for the progress bars and sliders on the various windows on the Scenario </w:t>
      </w:r>
      <w:r w:rsidR="0017480E" w:rsidRPr="000665B0">
        <w:rPr>
          <w:b/>
        </w:rPr>
        <w:t>Director and</w:t>
      </w:r>
      <w:r w:rsidR="00DC3A52" w:rsidRPr="000665B0">
        <w:rPr>
          <w:b/>
        </w:rPr>
        <w:t xml:space="preserve"> is only an estimate.</w:t>
      </w:r>
    </w:p>
    <w:p w14:paraId="5A1386E9" w14:textId="73D94384" w:rsidR="00CD2871" w:rsidRPr="000665B0" w:rsidRDefault="00CD2871" w:rsidP="00CD2871">
      <w:r w:rsidRPr="000665B0">
        <w:t xml:space="preserve">The </w:t>
      </w:r>
      <w:r w:rsidR="00FD0C6A" w:rsidRPr="000665B0">
        <w:rPr>
          <w:b/>
        </w:rPr>
        <w:t>Pause/Run</w:t>
      </w:r>
      <w:r w:rsidRPr="000665B0">
        <w:t xml:space="preserve"> feature allows the user to control the strike rehearsal by controlling the clock and consists of the following:</w:t>
      </w:r>
    </w:p>
    <w:p w14:paraId="3A2B7FF9" w14:textId="71001483" w:rsidR="00CD2871" w:rsidRPr="000665B0" w:rsidRDefault="00CD2871" w:rsidP="006D5A65">
      <w:pPr>
        <w:pStyle w:val="Heading1"/>
      </w:pPr>
      <w:r w:rsidRPr="000665B0">
        <w:t xml:space="preserve">Pause Button </w:t>
      </w:r>
      <w:r w:rsidR="00FD0C6A" w:rsidRPr="000665B0">
        <w:rPr>
          <w:noProof/>
          <w:position w:val="-6"/>
        </w:rPr>
        <w:drawing>
          <wp:inline distT="0" distB="0" distL="0" distR="0" wp14:anchorId="0558B94C" wp14:editId="3F10ED50">
            <wp:extent cx="182880" cy="228600"/>
            <wp:effectExtent l="0" t="0" r="7620" b="0"/>
            <wp:docPr id="1439" name="Picture 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 cy="228600"/>
                    </a:xfrm>
                    <a:prstGeom prst="rect">
                      <a:avLst/>
                    </a:prstGeom>
                  </pic:spPr>
                </pic:pic>
              </a:graphicData>
            </a:graphic>
          </wp:inline>
        </w:drawing>
      </w:r>
      <w:r w:rsidRPr="000665B0">
        <w:t xml:space="preserve"> – This button temporarily stops the rehearsal so that the user can examine data, set test parameters, etc. while the simulated clock has been stopped.</w:t>
      </w:r>
    </w:p>
    <w:p w14:paraId="31D93971" w14:textId="01B9AEC1" w:rsidR="00CD2871" w:rsidRPr="000665B0" w:rsidRDefault="00FD0C6A" w:rsidP="006D5A65">
      <w:pPr>
        <w:pStyle w:val="Heading1"/>
      </w:pPr>
      <w:r w:rsidRPr="000665B0">
        <w:t xml:space="preserve">Run </w:t>
      </w:r>
      <w:r w:rsidR="00CD2871" w:rsidRPr="000665B0">
        <w:t xml:space="preserve">Button </w:t>
      </w:r>
      <w:r w:rsidRPr="000665B0">
        <w:rPr>
          <w:noProof/>
          <w:position w:val="-6"/>
        </w:rPr>
        <w:drawing>
          <wp:inline distT="0" distB="0" distL="0" distR="0" wp14:anchorId="3F67C91A" wp14:editId="296DED40">
            <wp:extent cx="173736" cy="21945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73736" cy="219456"/>
                    </a:xfrm>
                    <a:prstGeom prst="rect">
                      <a:avLst/>
                    </a:prstGeom>
                  </pic:spPr>
                </pic:pic>
              </a:graphicData>
            </a:graphic>
          </wp:inline>
        </w:drawing>
      </w:r>
      <w:r w:rsidR="00CD2871" w:rsidRPr="000665B0">
        <w:t xml:space="preserve"> – This button starts the simulated clock, thus starting (or resuming) the rehearsal and can be selected any time the clock has been stopped, (e.g., at the beginning of a rehearsal, after pausing the rehearsal, or after a Run To</w:t>
      </w:r>
      <w:r w:rsidRPr="000665B0">
        <w:t>/Jump To</w:t>
      </w:r>
      <w:r w:rsidR="00CD2871" w:rsidRPr="000665B0">
        <w:t xml:space="preserve"> request has completed).</w:t>
      </w:r>
    </w:p>
    <w:p w14:paraId="757D708D" w14:textId="1148FDE7" w:rsidR="00DC3A52" w:rsidRPr="000665B0" w:rsidRDefault="00DC3A52" w:rsidP="00DC3A52">
      <w:r w:rsidRPr="000665B0">
        <w:t xml:space="preserve">The </w:t>
      </w:r>
      <w:r w:rsidRPr="000665B0">
        <w:rPr>
          <w:b/>
        </w:rPr>
        <w:t>Desired Run Rate</w:t>
      </w:r>
      <w:r w:rsidRPr="000665B0">
        <w:t xml:space="preserve"> feature allows the user to rehearse the strike rehearsal faster than real-time. The desired run rate is the desired number of simulated seconds that TSRT processes within each real second. TSRT monitors the simulation, so if TSRT cannot keep</w:t>
      </w:r>
      <w:r w:rsidR="003C7D09" w:rsidRPr="000665B0">
        <w:t xml:space="preserve"> </w:t>
      </w:r>
      <w:r w:rsidRPr="000665B0">
        <w:t>up, the Run Rate will be decreased. The run rate cannot be adjusted during a real-time strike rehearsal.</w:t>
      </w:r>
      <w:r w:rsidR="009E1FD5">
        <w:t xml:space="preserve"> (See TIP below for problems that may occur).</w:t>
      </w:r>
    </w:p>
    <w:p w14:paraId="6853BC85" w14:textId="4B71E459" w:rsidR="00CD2871" w:rsidRPr="000665B0" w:rsidRDefault="00FD0C6A" w:rsidP="00CD2871">
      <w:pPr>
        <w:jc w:val="center"/>
      </w:pPr>
      <w:r w:rsidRPr="000665B0">
        <w:rPr>
          <w:noProof/>
        </w:rPr>
        <w:lastRenderedPageBreak/>
        <w:drawing>
          <wp:inline distT="0" distB="0" distL="0" distR="0" wp14:anchorId="06027FDF" wp14:editId="5162EEF9">
            <wp:extent cx="1828800" cy="106070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060704"/>
                    </a:xfrm>
                    <a:prstGeom prst="rect">
                      <a:avLst/>
                    </a:prstGeom>
                  </pic:spPr>
                </pic:pic>
              </a:graphicData>
            </a:graphic>
          </wp:inline>
        </w:drawing>
      </w:r>
    </w:p>
    <w:p w14:paraId="6F741859" w14:textId="77777777" w:rsidR="00CD2871" w:rsidRPr="000665B0" w:rsidRDefault="00CD2871" w:rsidP="006D5A65">
      <w:pPr>
        <w:pStyle w:val="Heading1"/>
      </w:pPr>
      <w:r w:rsidRPr="000665B0">
        <w:t xml:space="preserve">Track Bar – Slide the track bar to the right to increase or left to decrease the number of simulated seconds for each real second. The </w:t>
      </w:r>
      <w:r w:rsidRPr="000665B0">
        <w:rPr>
          <w:bCs/>
        </w:rPr>
        <w:t>Ticks per second</w:t>
      </w:r>
      <w:r w:rsidRPr="000665B0">
        <w:t xml:space="preserve"> will reflect the changes made within the Track Bar.</w:t>
      </w:r>
    </w:p>
    <w:p w14:paraId="53D70CF6" w14:textId="77777777" w:rsidR="00CD2871" w:rsidRPr="000665B0" w:rsidRDefault="00CD2871" w:rsidP="006D5A65">
      <w:pPr>
        <w:pStyle w:val="Heading1"/>
      </w:pPr>
      <w:r w:rsidRPr="000665B0">
        <w:t>Ticks per second – Shows the number of simulated seconds for each real second. The Track Bar will reflect changes made to this field.</w:t>
      </w:r>
    </w:p>
    <w:p w14:paraId="7C19124E" w14:textId="410E469D" w:rsidR="00CD2871" w:rsidRPr="000665B0" w:rsidRDefault="00CD2871" w:rsidP="00CD2871">
      <w:r w:rsidRPr="000665B0">
        <w:t xml:space="preserve">The </w:t>
      </w:r>
      <w:r w:rsidRPr="000665B0">
        <w:rPr>
          <w:b/>
        </w:rPr>
        <w:t>Run To</w:t>
      </w:r>
      <w:r w:rsidR="00FD0C6A" w:rsidRPr="000665B0">
        <w:rPr>
          <w:b/>
        </w:rPr>
        <w:t>/Jump To</w:t>
      </w:r>
      <w:r w:rsidRPr="000665B0">
        <w:t xml:space="preserve"> feature allows the user to </w:t>
      </w:r>
      <w:r w:rsidRPr="000665B0">
        <w:rPr>
          <w:b/>
        </w:rPr>
        <w:t>fast forward</w:t>
      </w:r>
      <w:r w:rsidRPr="000665B0">
        <w:t xml:space="preserve"> to </w:t>
      </w:r>
      <w:r w:rsidR="00FD0C6A" w:rsidRPr="000665B0">
        <w:t xml:space="preserve">or </w:t>
      </w:r>
      <w:r w:rsidR="00FD0C6A" w:rsidRPr="000665B0">
        <w:rPr>
          <w:b/>
        </w:rPr>
        <w:t xml:space="preserve">jump to </w:t>
      </w:r>
      <w:r w:rsidRPr="000665B0">
        <w:t xml:space="preserve">a particular time in the strike rehearsal. The rehearsal actually </w:t>
      </w:r>
      <w:r w:rsidR="0017480E" w:rsidRPr="000665B0">
        <w:t>runs,</w:t>
      </w:r>
      <w:r w:rsidRPr="000665B0">
        <w:t xml:space="preserve"> and all events occur. </w:t>
      </w:r>
      <w:r w:rsidR="009E1FD5">
        <w:t>(See TIP below for problems that may occur).</w:t>
      </w:r>
    </w:p>
    <w:p w14:paraId="68E02B7A" w14:textId="42037171" w:rsidR="00CD2871" w:rsidRPr="000665B0" w:rsidRDefault="00FD0C6A" w:rsidP="00CD2871">
      <w:pPr>
        <w:jc w:val="center"/>
      </w:pPr>
      <w:r w:rsidRPr="000665B0">
        <w:rPr>
          <w:noProof/>
        </w:rPr>
        <w:drawing>
          <wp:inline distT="0" distB="0" distL="0" distR="0" wp14:anchorId="3786C75E" wp14:editId="57409F2E">
            <wp:extent cx="3657600" cy="1014984"/>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1014984"/>
                    </a:xfrm>
                    <a:prstGeom prst="rect">
                      <a:avLst/>
                    </a:prstGeom>
                  </pic:spPr>
                </pic:pic>
              </a:graphicData>
            </a:graphic>
          </wp:inline>
        </w:drawing>
      </w:r>
    </w:p>
    <w:p w14:paraId="7AF0CBF2" w14:textId="5458C2B4" w:rsidR="00CD2871" w:rsidRPr="000665B0" w:rsidRDefault="00CD2871" w:rsidP="006D5A65">
      <w:pPr>
        <w:pStyle w:val="Heading1"/>
      </w:pPr>
      <w:r w:rsidRPr="000665B0">
        <w:t>Track Bar – Slide the track bar to the right to Run To</w:t>
      </w:r>
      <w:r w:rsidR="00FD0C6A" w:rsidRPr="000665B0">
        <w:t xml:space="preserve"> or Jump To</w:t>
      </w:r>
      <w:r w:rsidRPr="000665B0">
        <w:t xml:space="preserve"> a simulated time further in the future. </w:t>
      </w:r>
      <w:r w:rsidR="00A83C34" w:rsidRPr="000665B0">
        <w:t xml:space="preserve">The desired time must be at least 1 minute in the future. </w:t>
      </w:r>
      <w:r w:rsidRPr="000665B0">
        <w:t xml:space="preserve">The progress bar reflects the current simulated time in the rehearsal. Any changes made to the Track Bar will be reflected in the </w:t>
      </w:r>
      <w:r w:rsidR="00A83C34" w:rsidRPr="000665B0">
        <w:t>Start</w:t>
      </w:r>
      <w:r w:rsidRPr="000665B0">
        <w:t xml:space="preserve"> Time and Hours and Minutes fields.</w:t>
      </w:r>
    </w:p>
    <w:p w14:paraId="02CD00F3" w14:textId="09CC21D6" w:rsidR="00CD2871" w:rsidRPr="000665B0" w:rsidRDefault="00CD2871" w:rsidP="006D5A65">
      <w:pPr>
        <w:pStyle w:val="Heading1"/>
      </w:pPr>
      <w:r w:rsidRPr="000665B0">
        <w:t xml:space="preserve">Run To Time – </w:t>
      </w:r>
      <w:r w:rsidR="007943DE" w:rsidRPr="000665B0">
        <w:t>F</w:t>
      </w:r>
      <w:r w:rsidR="00FD0C6A" w:rsidRPr="000665B0">
        <w:t>ast forward to the desired time</w:t>
      </w:r>
      <w:r w:rsidRPr="000665B0">
        <w:t xml:space="preserve">. </w:t>
      </w:r>
      <w:r w:rsidR="007943DE" w:rsidRPr="000665B0">
        <w:t xml:space="preserve">The fast forward </w:t>
      </w:r>
      <w:r w:rsidR="00A83C34" w:rsidRPr="000665B0">
        <w:t>proceeds at the maximum</w:t>
      </w:r>
      <w:r w:rsidR="007943DE" w:rsidRPr="000665B0">
        <w:t xml:space="preserve"> </w:t>
      </w:r>
      <w:r w:rsidR="00EB28B7" w:rsidRPr="000665B0">
        <w:t xml:space="preserve">Desired </w:t>
      </w:r>
      <w:r w:rsidR="007943DE" w:rsidRPr="000665B0">
        <w:t>Run Rate</w:t>
      </w:r>
      <w:r w:rsidR="00A83C34" w:rsidRPr="000665B0">
        <w:t>, but the Run Rate can be changed during the rehearsal.</w:t>
      </w:r>
      <w:r w:rsidRPr="000665B0">
        <w:t xml:space="preserve"> </w:t>
      </w:r>
    </w:p>
    <w:p w14:paraId="2BB0355D" w14:textId="4238F5ED" w:rsidR="00FD0C6A" w:rsidRPr="000665B0" w:rsidRDefault="00FD0C6A" w:rsidP="006D5A65">
      <w:pPr>
        <w:pStyle w:val="Heading1"/>
      </w:pPr>
      <w:r w:rsidRPr="000665B0">
        <w:t xml:space="preserve">Jump To Time – </w:t>
      </w:r>
      <w:r w:rsidR="007943DE" w:rsidRPr="000665B0">
        <w:t>I</w:t>
      </w:r>
      <w:r w:rsidR="00745DA2" w:rsidRPr="000665B0">
        <w:t>nstantly</w:t>
      </w:r>
      <w:r w:rsidRPr="000665B0">
        <w:t xml:space="preserve"> jump to the desired time. </w:t>
      </w:r>
    </w:p>
    <w:p w14:paraId="032E997E" w14:textId="7DC6AFAD" w:rsidR="00E01DBA" w:rsidRPr="000665B0" w:rsidRDefault="00CD2871" w:rsidP="006D5A65">
      <w:pPr>
        <w:pStyle w:val="Heading1"/>
      </w:pPr>
      <w:r w:rsidRPr="000665B0">
        <w:t>Pause When Reached</w:t>
      </w:r>
      <w:r w:rsidR="00FD0C6A" w:rsidRPr="000665B0">
        <w:t xml:space="preserve"> </w:t>
      </w:r>
      <w:r w:rsidRPr="000665B0">
        <w:t>– Check this box if the rehearsal should pause when the Run To</w:t>
      </w:r>
      <w:r w:rsidR="00E01DBA" w:rsidRPr="000665B0">
        <w:t xml:space="preserve"> Time or J</w:t>
      </w:r>
      <w:r w:rsidR="00FD0C6A" w:rsidRPr="000665B0">
        <w:t>ump To</w:t>
      </w:r>
      <w:r w:rsidRPr="000665B0">
        <w:t xml:space="preserve"> </w:t>
      </w:r>
      <w:r w:rsidR="00E01DBA" w:rsidRPr="000665B0">
        <w:t xml:space="preserve">Time </w:t>
      </w:r>
      <w:r w:rsidRPr="000665B0">
        <w:t>has been reached. If unchecked</w:t>
      </w:r>
      <w:r w:rsidR="00E01DBA" w:rsidRPr="000665B0">
        <w:t>:</w:t>
      </w:r>
    </w:p>
    <w:p w14:paraId="3AC1B7E2" w14:textId="6786BBB5" w:rsidR="00E01DBA" w:rsidRPr="000665B0" w:rsidRDefault="00CD2871" w:rsidP="006D5A65">
      <w:pPr>
        <w:pStyle w:val="Heading2"/>
      </w:pPr>
      <w:r w:rsidRPr="000665B0">
        <w:t xml:space="preserve">the rehearsal </w:t>
      </w:r>
      <w:r w:rsidR="00E01DBA" w:rsidRPr="000665B0">
        <w:t xml:space="preserve">resumes </w:t>
      </w:r>
      <w:r w:rsidRPr="000665B0">
        <w:t xml:space="preserve">a “1x” speed </w:t>
      </w:r>
      <w:r w:rsidR="00E01DBA" w:rsidRPr="000665B0">
        <w:t xml:space="preserve">after </w:t>
      </w:r>
      <w:r w:rsidRPr="000665B0">
        <w:t xml:space="preserve">reaching the specified Run To </w:t>
      </w:r>
      <w:r w:rsidR="00E01DBA" w:rsidRPr="000665B0">
        <w:t>Time</w:t>
      </w:r>
      <w:r w:rsidRPr="000665B0">
        <w:t>.</w:t>
      </w:r>
      <w:r w:rsidR="00E01DBA" w:rsidRPr="000665B0">
        <w:t xml:space="preserve"> </w:t>
      </w:r>
    </w:p>
    <w:p w14:paraId="0DAA0B79" w14:textId="34B83304" w:rsidR="00CD2871" w:rsidRPr="000665B0" w:rsidRDefault="00E01DBA" w:rsidP="006D5A65">
      <w:pPr>
        <w:pStyle w:val="Heading2"/>
      </w:pPr>
      <w:r w:rsidRPr="000665B0">
        <w:t>the rehearsal continues at the specified Run Rate speed after reaching the specified Jump To Time.</w:t>
      </w:r>
    </w:p>
    <w:p w14:paraId="4F86E658" w14:textId="36DBFE40" w:rsidR="00CD2871" w:rsidRPr="000665B0" w:rsidRDefault="00CD2871" w:rsidP="006D5A65">
      <w:pPr>
        <w:pStyle w:val="Heading1"/>
      </w:pPr>
      <w:r w:rsidRPr="000665B0">
        <w:t>Hours – Number of hours from the rehearsal start until the rehearsal Run To</w:t>
      </w:r>
      <w:r w:rsidR="00FD0C6A" w:rsidRPr="000665B0">
        <w:t>/Jump To</w:t>
      </w:r>
      <w:r w:rsidRPr="000665B0">
        <w:t xml:space="preserve"> time is reached. Any changes to this </w:t>
      </w:r>
      <w:r w:rsidRPr="000665B0">
        <w:lastRenderedPageBreak/>
        <w:t xml:space="preserve">field will be reflected in the Track Bar and the </w:t>
      </w:r>
      <w:r w:rsidR="00A83C34" w:rsidRPr="000665B0">
        <w:t>Start</w:t>
      </w:r>
      <w:r w:rsidRPr="000665B0">
        <w:t xml:space="preserve"> Time</w:t>
      </w:r>
      <w:r w:rsidR="00A83C34" w:rsidRPr="000665B0">
        <w:t xml:space="preserve"> field</w:t>
      </w:r>
      <w:r w:rsidRPr="000665B0">
        <w:t>.</w:t>
      </w:r>
    </w:p>
    <w:p w14:paraId="053F9018" w14:textId="30B59B84" w:rsidR="00CD2871" w:rsidRPr="000665B0" w:rsidRDefault="00CD2871" w:rsidP="006D5A65">
      <w:pPr>
        <w:pStyle w:val="Heading1"/>
      </w:pPr>
      <w:r w:rsidRPr="000665B0">
        <w:t>Minutes – Number of minutes from the rehearsal start until the rehearsal Run To</w:t>
      </w:r>
      <w:r w:rsidR="00FD0C6A" w:rsidRPr="000665B0">
        <w:t>/Jump To</w:t>
      </w:r>
      <w:r w:rsidRPr="000665B0">
        <w:t xml:space="preserve"> time is reached. Any changes to this field will be reflected in the Track Bar and the </w:t>
      </w:r>
      <w:r w:rsidR="00A83C34" w:rsidRPr="000665B0">
        <w:t>Start</w:t>
      </w:r>
      <w:r w:rsidRPr="000665B0">
        <w:t xml:space="preserve"> Time</w:t>
      </w:r>
      <w:r w:rsidR="00A83C34" w:rsidRPr="000665B0">
        <w:t xml:space="preserve"> field</w:t>
      </w:r>
      <w:r w:rsidRPr="000665B0">
        <w:t>.</w:t>
      </w:r>
    </w:p>
    <w:p w14:paraId="72879F30" w14:textId="17764086" w:rsidR="00CD2871" w:rsidRPr="000665B0" w:rsidRDefault="00CD2871" w:rsidP="006D5A65">
      <w:pPr>
        <w:pStyle w:val="Heading1"/>
      </w:pPr>
      <w:r w:rsidRPr="000665B0">
        <w:t xml:space="preserve">Cancel </w:t>
      </w:r>
      <w:r w:rsidR="00FD0C6A" w:rsidRPr="000665B0">
        <w:t>Run To</w:t>
      </w:r>
      <w:r w:rsidRPr="000665B0">
        <w:t xml:space="preserve"> –</w:t>
      </w:r>
      <w:r w:rsidR="00FD0C6A" w:rsidRPr="000665B0">
        <w:t xml:space="preserve"> </w:t>
      </w:r>
      <w:r w:rsidRPr="000665B0">
        <w:t>Once in Run To</w:t>
      </w:r>
      <w:r w:rsidR="00FD0C6A" w:rsidRPr="000665B0">
        <w:t xml:space="preserve"> Time</w:t>
      </w:r>
      <w:r w:rsidRPr="000665B0">
        <w:t xml:space="preserve"> Mode</w:t>
      </w:r>
      <w:r w:rsidR="00745DA2" w:rsidRPr="000665B0">
        <w:t xml:space="preserve"> (fast forward)</w:t>
      </w:r>
      <w:r w:rsidRPr="000665B0">
        <w:t xml:space="preserve">, </w:t>
      </w:r>
      <w:r w:rsidR="001E7D56" w:rsidRPr="000665B0">
        <w:t>click</w:t>
      </w:r>
      <w:r w:rsidRPr="000665B0">
        <w:t xml:space="preserve"> the Cancel</w:t>
      </w:r>
      <w:r w:rsidR="00FD0C6A" w:rsidRPr="000665B0">
        <w:t xml:space="preserve"> Run To</w:t>
      </w:r>
      <w:r w:rsidRPr="000665B0">
        <w:t xml:space="preserve"> button to stop the Run To Mode and pause the rehearsal.</w:t>
      </w:r>
    </w:p>
    <w:p w14:paraId="57F2F6A9" w14:textId="77777777" w:rsidR="005600D0" w:rsidRPr="000665B0" w:rsidRDefault="005600D0" w:rsidP="005600D0">
      <w:pPr>
        <w:spacing w:after="0" w:line="0" w:lineRule="atLeast"/>
        <w:ind w:left="720"/>
      </w:pPr>
    </w:p>
    <w:p w14:paraId="23CD6C91" w14:textId="77777777" w:rsidR="0082545C" w:rsidRDefault="005600D0" w:rsidP="0082545C">
      <w:pPr>
        <w:keepNext/>
        <w:keepLines/>
        <w:pBdr>
          <w:top w:val="single" w:sz="12" w:space="1" w:color="auto"/>
          <w:left w:val="single" w:sz="12" w:space="4" w:color="auto"/>
          <w:bottom w:val="single" w:sz="12" w:space="1" w:color="auto"/>
          <w:right w:val="single" w:sz="12" w:space="4" w:color="auto"/>
        </w:pBdr>
        <w:shd w:val="clear" w:color="auto" w:fill="F3F3F3"/>
        <w:spacing w:after="0"/>
        <w:rPr>
          <w:b/>
        </w:rPr>
      </w:pPr>
      <w:r w:rsidRPr="000665B0">
        <w:rPr>
          <w:noProof/>
        </w:rPr>
        <w:drawing>
          <wp:inline distT="0" distB="0" distL="0" distR="0" wp14:anchorId="3E53E013" wp14:editId="32C80FAC">
            <wp:extent cx="352425" cy="381000"/>
            <wp:effectExtent l="0" t="0" r="9525"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bookmarkStart w:id="6918" w:name="Section_5_39_2_Tip"/>
      <w:bookmarkEnd w:id="6918"/>
      <w:r w:rsidRPr="000665B0">
        <w:rPr>
          <w:b/>
        </w:rPr>
        <w:t>TIP: Exercise care when using the Run To</w:t>
      </w:r>
      <w:r w:rsidR="00D916B0" w:rsidRPr="000665B0">
        <w:rPr>
          <w:b/>
        </w:rPr>
        <w:t>/Jump To</w:t>
      </w:r>
      <w:r w:rsidRPr="000665B0">
        <w:rPr>
          <w:b/>
        </w:rPr>
        <w:t xml:space="preserve"> Time feature or when setting the Desired Run Rate above One</w:t>
      </w:r>
      <w:r w:rsidR="007A2F6E" w:rsidRPr="000665B0">
        <w:rPr>
          <w:b/>
        </w:rPr>
        <w:t xml:space="preserve"> (1)</w:t>
      </w:r>
      <w:r w:rsidRPr="000665B0">
        <w:rPr>
          <w:b/>
        </w:rPr>
        <w:t>. If the execution folder contains a significant number of missiles (</w:t>
      </w:r>
      <w:r w:rsidR="003509EA" w:rsidRPr="000665B0">
        <w:rPr>
          <w:b/>
        </w:rPr>
        <w:t xml:space="preserve">e.g., </w:t>
      </w:r>
      <w:r w:rsidRPr="000665B0">
        <w:rPr>
          <w:b/>
        </w:rPr>
        <w:t>40 or more), accelerating the events for sending and processing messages beyond the rates required to support actual tactical operations can overwhelm both the TED host and the MDS user interface, causing</w:t>
      </w:r>
      <w:r w:rsidR="0082545C">
        <w:rPr>
          <w:b/>
        </w:rPr>
        <w:t xml:space="preserve"> problems such as:</w:t>
      </w:r>
      <w:r w:rsidR="0082545C">
        <w:rPr>
          <w:b/>
        </w:rPr>
        <w:br/>
        <w:t xml:space="preserve">* </w:t>
      </w:r>
      <w:r w:rsidR="0082545C" w:rsidRPr="00F72E99">
        <w:rPr>
          <w:b/>
        </w:rPr>
        <w:t>Error updating missile to current time</w:t>
      </w:r>
    </w:p>
    <w:p w14:paraId="1ACAB312" w14:textId="77777777" w:rsidR="0082545C" w:rsidRDefault="0082545C" w:rsidP="0082545C">
      <w:pPr>
        <w:keepNext/>
        <w:keepLines/>
        <w:pBdr>
          <w:top w:val="single" w:sz="12" w:space="1" w:color="auto"/>
          <w:left w:val="single" w:sz="12" w:space="4" w:color="auto"/>
          <w:bottom w:val="single" w:sz="12" w:space="1" w:color="auto"/>
          <w:right w:val="single" w:sz="12" w:space="4" w:color="auto"/>
        </w:pBdr>
        <w:shd w:val="clear" w:color="auto" w:fill="F3F3F3"/>
        <w:spacing w:after="0"/>
        <w:rPr>
          <w:b/>
        </w:rPr>
      </w:pPr>
      <w:r>
        <w:rPr>
          <w:b/>
        </w:rPr>
        <w:t>* MST Terminal/BDI H&amp;S contains incorrect data and/or issues false errors/warnings</w:t>
      </w:r>
    </w:p>
    <w:p w14:paraId="6D447C73" w14:textId="77777777" w:rsidR="0082545C" w:rsidRDefault="0082545C" w:rsidP="0082545C">
      <w:pPr>
        <w:keepNext/>
        <w:keepLines/>
        <w:pBdr>
          <w:top w:val="single" w:sz="12" w:space="1" w:color="auto"/>
          <w:left w:val="single" w:sz="12" w:space="4" w:color="auto"/>
          <w:bottom w:val="single" w:sz="12" w:space="1" w:color="auto"/>
          <w:right w:val="single" w:sz="12" w:space="4" w:color="auto"/>
        </w:pBdr>
        <w:shd w:val="clear" w:color="auto" w:fill="F3F3F3"/>
        <w:spacing w:after="0"/>
        <w:rPr>
          <w:b/>
        </w:rPr>
      </w:pPr>
      <w:r>
        <w:rPr>
          <w:b/>
        </w:rPr>
        <w:t>* MST IMMMs data and transmission</w:t>
      </w:r>
    </w:p>
    <w:p w14:paraId="33032722" w14:textId="6E53AD84" w:rsidR="0082545C" w:rsidRPr="000665B0" w:rsidRDefault="0082545C" w:rsidP="0043211C">
      <w:pPr>
        <w:keepNext/>
        <w:keepLines/>
        <w:pBdr>
          <w:top w:val="single" w:sz="12" w:space="1" w:color="auto"/>
          <w:left w:val="single" w:sz="12" w:space="4" w:color="auto"/>
          <w:bottom w:val="single" w:sz="12" w:space="1" w:color="auto"/>
          <w:right w:val="single" w:sz="12" w:space="4" w:color="auto"/>
        </w:pBdr>
        <w:shd w:val="clear" w:color="auto" w:fill="F3F3F3"/>
        <w:spacing w:after="0"/>
        <w:rPr>
          <w:b/>
        </w:rPr>
      </w:pPr>
      <w:r>
        <w:rPr>
          <w:b/>
        </w:rPr>
        <w:t xml:space="preserve">* MST Missile Target acquisition </w:t>
      </w:r>
      <w:r>
        <w:rPr>
          <w:b/>
        </w:rPr>
        <w:br/>
        <w:t xml:space="preserve">* </w:t>
      </w:r>
      <w:r w:rsidR="005600D0" w:rsidRPr="000665B0">
        <w:rPr>
          <w:b/>
        </w:rPr>
        <w:t>the interface to appear to hang</w:t>
      </w:r>
      <w:r>
        <w:rPr>
          <w:b/>
        </w:rPr>
        <w:br/>
        <w:t xml:space="preserve">* </w:t>
      </w:r>
      <w:r w:rsidR="005600D0" w:rsidRPr="000665B0">
        <w:rPr>
          <w:b/>
        </w:rPr>
        <w:t>or, in extreme cases, terminate MDS.</w:t>
      </w:r>
    </w:p>
    <w:p w14:paraId="65D16C0F" w14:textId="15B50414" w:rsidR="005600D0" w:rsidRPr="000665B0" w:rsidRDefault="005600D0" w:rsidP="00611E21">
      <w:pPr>
        <w:keepNext/>
        <w:keepLines/>
        <w:pBdr>
          <w:top w:val="single" w:sz="12" w:space="1" w:color="auto"/>
          <w:left w:val="single" w:sz="12" w:space="4" w:color="auto"/>
          <w:bottom w:val="single" w:sz="12" w:space="1" w:color="auto"/>
          <w:right w:val="single" w:sz="12" w:space="4" w:color="auto"/>
        </w:pBdr>
        <w:shd w:val="clear" w:color="auto" w:fill="F3F3F3"/>
        <w:spacing w:after="0"/>
        <w:rPr>
          <w:b/>
        </w:rPr>
      </w:pPr>
      <w:r w:rsidRPr="000665B0">
        <w:rPr>
          <w:b/>
        </w:rPr>
        <w:t>To avoid this problem, run TSRT at real time or more gently accelerated simulated time during portions of the rehearsal</w:t>
      </w:r>
      <w:r w:rsidR="0082545C">
        <w:rPr>
          <w:b/>
        </w:rPr>
        <w:t xml:space="preserve"> (recommend nothing higher than 10)</w:t>
      </w:r>
      <w:r w:rsidRPr="000665B0">
        <w:rPr>
          <w:b/>
        </w:rPr>
        <w:t xml:space="preserve"> where a high rate of message traffic may be expected (such as when planned OWRs or LERs will be sent). It may also help to </w:t>
      </w:r>
      <w:r w:rsidR="00611E21" w:rsidRPr="000665B0">
        <w:rPr>
          <w:b/>
        </w:rPr>
        <w:t>hide</w:t>
      </w:r>
      <w:r w:rsidRPr="000665B0">
        <w:rPr>
          <w:b/>
        </w:rPr>
        <w:t xml:space="preserve"> the TSRT Gantt Chart (see </w:t>
      </w:r>
      <w:hyperlink w:anchor="_5.39.1__Gantt_Chart" w:history="1">
        <w:r w:rsidR="00611E21" w:rsidRPr="000665B0">
          <w:rPr>
            <w:rStyle w:val="Hyperlink"/>
            <w:b/>
          </w:rPr>
          <w:t>S</w:t>
        </w:r>
        <w:r w:rsidRPr="000665B0">
          <w:rPr>
            <w:rStyle w:val="Hyperlink"/>
            <w:b/>
          </w:rPr>
          <w:t xml:space="preserve">ection </w:t>
        </w:r>
        <w:r w:rsidR="004231CC">
          <w:rPr>
            <w:rStyle w:val="Hyperlink"/>
            <w:b/>
          </w:rPr>
          <w:t>5.37</w:t>
        </w:r>
        <w:r w:rsidR="00611E21" w:rsidRPr="000665B0">
          <w:rPr>
            <w:rStyle w:val="Hyperlink"/>
            <w:b/>
          </w:rPr>
          <w:t>.1</w:t>
        </w:r>
      </w:hyperlink>
      <w:r w:rsidRPr="000665B0">
        <w:rPr>
          <w:b/>
        </w:rPr>
        <w:t>), the TSRT FDU log, and/or the MDS DDO logs during these periods of high message traffic rates.</w:t>
      </w:r>
    </w:p>
    <w:p w14:paraId="2E2B5BF5" w14:textId="4C970813" w:rsidR="00CD2871" w:rsidRPr="000665B0" w:rsidRDefault="00CD2871" w:rsidP="00B35EE5">
      <w:pPr>
        <w:pStyle w:val="Heading3"/>
      </w:pPr>
      <w:bookmarkStart w:id="6919" w:name="_5.39.3__TSRT_Geo"/>
      <w:bookmarkStart w:id="6920" w:name="_5.39.3__TSRT"/>
      <w:bookmarkStart w:id="6921" w:name="_TSRT_Geo"/>
      <w:bookmarkStart w:id="6922" w:name="_Toc289328955"/>
      <w:bookmarkStart w:id="6923" w:name="_Toc312332100"/>
      <w:bookmarkStart w:id="6924" w:name="_Toc214283605"/>
      <w:bookmarkEnd w:id="6919"/>
      <w:bookmarkEnd w:id="6920"/>
      <w:bookmarkEnd w:id="6921"/>
      <w:r w:rsidRPr="000665B0">
        <w:t>TSRT Geo</w:t>
      </w:r>
      <w:bookmarkEnd w:id="6922"/>
      <w:bookmarkEnd w:id="6923"/>
      <w:bookmarkEnd w:id="6924"/>
    </w:p>
    <w:p w14:paraId="50739E0B" w14:textId="71E99B56" w:rsidR="00CD2871" w:rsidRPr="000665B0" w:rsidRDefault="00CD2871" w:rsidP="00AD150B">
      <w:r w:rsidRPr="000665B0">
        <w:t xml:space="preserve">The </w:t>
      </w:r>
      <w:r w:rsidRPr="000665B0">
        <w:rPr>
          <w:b/>
        </w:rPr>
        <w:t>Geographic Display</w:t>
      </w:r>
      <w:r w:rsidRPr="000665B0">
        <w:t xml:space="preserve"> is used to present the current status of a rehearsal in a spatial representation. For information on the Geographic Display functions see </w:t>
      </w:r>
      <w:hyperlink w:anchor="_5.30__GEO" w:history="1">
        <w:r w:rsidR="004B5B37" w:rsidRPr="000665B0">
          <w:rPr>
            <w:rStyle w:val="Hyperlink"/>
          </w:rPr>
          <w:t xml:space="preserve">Section </w:t>
        </w:r>
        <w:r w:rsidR="004231CC">
          <w:rPr>
            <w:rStyle w:val="Hyperlink"/>
          </w:rPr>
          <w:t>5.26</w:t>
        </w:r>
      </w:hyperlink>
      <w:r w:rsidRPr="000665B0">
        <w:t>.</w:t>
      </w:r>
    </w:p>
    <w:p w14:paraId="7E82F63E" w14:textId="6CC8EB72" w:rsidR="00BE1959" w:rsidRPr="000665B0" w:rsidRDefault="00BE1959" w:rsidP="00BE1959">
      <w:r w:rsidRPr="000665B0">
        <w:t xml:space="preserve">FRUs have context menus associated with them. </w:t>
      </w:r>
      <w:r w:rsidR="00D71804" w:rsidRPr="000665B0">
        <w:t>Right-click</w:t>
      </w:r>
      <w:r w:rsidRPr="000665B0">
        <w:t xml:space="preserve"> on the FRU to bring up the context menu. Note that none of the options in the context menu will be enabled if the FRU is set up to be a LIVE FRU.</w:t>
      </w:r>
    </w:p>
    <w:p w14:paraId="012D9819" w14:textId="55C98B57" w:rsidR="00BE1959" w:rsidRPr="000665B0" w:rsidRDefault="00BE1959" w:rsidP="006D5A65">
      <w:pPr>
        <w:pStyle w:val="Heading1"/>
      </w:pPr>
      <w:r w:rsidRPr="000665B0">
        <w:lastRenderedPageBreak/>
        <w:t xml:space="preserve">Complications (see </w:t>
      </w:r>
      <w:hyperlink w:anchor="_5.39.13__Complications" w:history="1">
        <w:r w:rsidR="002A4B19" w:rsidRPr="000665B0">
          <w:rPr>
            <w:rStyle w:val="Hyperlink"/>
          </w:rPr>
          <w:t xml:space="preserve">Section </w:t>
        </w:r>
        <w:r w:rsidR="004231CC">
          <w:rPr>
            <w:rStyle w:val="Hyperlink"/>
          </w:rPr>
          <w:t>5.37</w:t>
        </w:r>
        <w:r w:rsidR="002A4B19" w:rsidRPr="000665B0">
          <w:rPr>
            <w:rStyle w:val="Hyperlink"/>
          </w:rPr>
          <w:t>.14</w:t>
        </w:r>
      </w:hyperlink>
      <w:r w:rsidRPr="000665B0">
        <w:t>).</w:t>
      </w:r>
    </w:p>
    <w:p w14:paraId="4D309607" w14:textId="25E6AEAB" w:rsidR="00BE1959" w:rsidRPr="000665B0" w:rsidRDefault="00BE1959" w:rsidP="006D5A65">
      <w:pPr>
        <w:pStyle w:val="Heading1"/>
      </w:pPr>
      <w:r w:rsidRPr="000665B0">
        <w:t xml:space="preserve">Missiles (see </w:t>
      </w:r>
      <w:hyperlink w:anchor="_5.39.4.2__Set" w:history="1">
        <w:r w:rsidRPr="000665B0">
          <w:rPr>
            <w:rStyle w:val="Hyperlink"/>
          </w:rPr>
          <w:t xml:space="preserve">Section </w:t>
        </w:r>
        <w:r w:rsidR="004231CC">
          <w:rPr>
            <w:rStyle w:val="Hyperlink"/>
          </w:rPr>
          <w:t>5.37</w:t>
        </w:r>
        <w:r w:rsidRPr="000665B0">
          <w:rPr>
            <w:rStyle w:val="Hyperlink"/>
          </w:rPr>
          <w:t>.4.2</w:t>
        </w:r>
      </w:hyperlink>
      <w:r w:rsidRPr="000665B0">
        <w:t>)</w:t>
      </w:r>
    </w:p>
    <w:p w14:paraId="5BF8650E" w14:textId="0C80528A" w:rsidR="00BE1959" w:rsidRPr="000665B0" w:rsidRDefault="00BE1959" w:rsidP="006D5A65">
      <w:pPr>
        <w:pStyle w:val="Heading1"/>
      </w:pPr>
      <w:r w:rsidRPr="000665B0">
        <w:t>Send</w:t>
      </w:r>
      <w:r w:rsidR="00E902A1" w:rsidRPr="000665B0">
        <w:t xml:space="preserve"> (see </w:t>
      </w:r>
      <w:hyperlink w:anchor="_5_.39.4.3_" w:history="1">
        <w:r w:rsidR="00E902A1" w:rsidRPr="000665B0">
          <w:rPr>
            <w:rStyle w:val="Hyperlink"/>
          </w:rPr>
          <w:t xml:space="preserve">Section </w:t>
        </w:r>
        <w:r w:rsidR="004231CC">
          <w:rPr>
            <w:rStyle w:val="Hyperlink"/>
          </w:rPr>
          <w:t>5.37</w:t>
        </w:r>
        <w:r w:rsidR="00E902A1" w:rsidRPr="000665B0">
          <w:rPr>
            <w:rStyle w:val="Hyperlink"/>
          </w:rPr>
          <w:t>.4.3</w:t>
        </w:r>
      </w:hyperlink>
      <w:r w:rsidR="00E902A1" w:rsidRPr="000665B0">
        <w:t>)</w:t>
      </w:r>
    </w:p>
    <w:p w14:paraId="6349BF92" w14:textId="27845F5F" w:rsidR="00BE1959" w:rsidRPr="000665B0" w:rsidRDefault="00BE1959" w:rsidP="006D5A65">
      <w:pPr>
        <w:pStyle w:val="Heading1"/>
      </w:pPr>
      <w:r w:rsidRPr="000665B0">
        <w:t>View PM3</w:t>
      </w:r>
      <w:r w:rsidR="00E902A1" w:rsidRPr="000665B0">
        <w:t xml:space="preserve"> (see </w:t>
      </w:r>
      <w:hyperlink w:anchor="_5.39.4.4__View" w:history="1">
        <w:r w:rsidR="00E902A1" w:rsidRPr="000665B0">
          <w:rPr>
            <w:rStyle w:val="Hyperlink"/>
          </w:rPr>
          <w:t xml:space="preserve">Section </w:t>
        </w:r>
        <w:r w:rsidR="004231CC">
          <w:rPr>
            <w:rStyle w:val="Hyperlink"/>
          </w:rPr>
          <w:t>5.37</w:t>
        </w:r>
        <w:r w:rsidR="00E902A1" w:rsidRPr="000665B0">
          <w:rPr>
            <w:rStyle w:val="Hyperlink"/>
          </w:rPr>
          <w:t>.4.4</w:t>
        </w:r>
      </w:hyperlink>
      <w:r w:rsidR="00E902A1" w:rsidRPr="000665B0">
        <w:t>)</w:t>
      </w:r>
    </w:p>
    <w:p w14:paraId="1F473D0D" w14:textId="77777777" w:rsidR="00BE1959" w:rsidRPr="000665B0" w:rsidRDefault="00BE1959" w:rsidP="006D5A65">
      <w:pPr>
        <w:pStyle w:val="Heading1"/>
      </w:pPr>
      <w:r w:rsidRPr="000665B0">
        <w:t>Show FRU</w:t>
      </w:r>
    </w:p>
    <w:p w14:paraId="0AFDDC9D" w14:textId="77777777" w:rsidR="00BE1959" w:rsidRPr="000665B0" w:rsidRDefault="00BE1959" w:rsidP="006D5A65">
      <w:pPr>
        <w:pStyle w:val="Heading1"/>
      </w:pPr>
      <w:r w:rsidRPr="000665B0">
        <w:t>Show FRU Note</w:t>
      </w:r>
    </w:p>
    <w:p w14:paraId="4805320D" w14:textId="77777777" w:rsidR="00BE1959" w:rsidRPr="000665B0" w:rsidRDefault="00BE1959" w:rsidP="006D5A65">
      <w:pPr>
        <w:pStyle w:val="Heading1"/>
      </w:pPr>
      <w:r w:rsidRPr="000665B0">
        <w:t xml:space="preserve">Bring to </w:t>
      </w:r>
      <w:r w:rsidR="00E902A1" w:rsidRPr="000665B0">
        <w:t>F</w:t>
      </w:r>
      <w:r w:rsidRPr="000665B0">
        <w:t>ront</w:t>
      </w:r>
    </w:p>
    <w:p w14:paraId="0A5DED59" w14:textId="77777777" w:rsidR="00BE1959" w:rsidRPr="000665B0" w:rsidRDefault="00BE1959" w:rsidP="006D5A65">
      <w:pPr>
        <w:pStyle w:val="Heading1"/>
      </w:pPr>
      <w:r w:rsidRPr="000665B0">
        <w:t>Restore Normal Precedence</w:t>
      </w:r>
    </w:p>
    <w:p w14:paraId="506733E4" w14:textId="77777777" w:rsidR="00BE1959" w:rsidRPr="000665B0" w:rsidRDefault="00BE1959" w:rsidP="006D5A65">
      <w:pPr>
        <w:pStyle w:val="Heading1"/>
      </w:pPr>
      <w:r w:rsidRPr="000665B0">
        <w:t>Push to Back</w:t>
      </w:r>
    </w:p>
    <w:p w14:paraId="223E9363" w14:textId="77777777" w:rsidR="00AD150B" w:rsidRPr="000665B0" w:rsidRDefault="009A1FDF" w:rsidP="00681095">
      <w:pPr>
        <w:keepLines/>
        <w:pBdr>
          <w:top w:val="single" w:sz="12" w:space="1" w:color="auto"/>
          <w:left w:val="single" w:sz="12" w:space="4" w:color="auto"/>
          <w:bottom w:val="single" w:sz="12" w:space="1" w:color="auto"/>
          <w:right w:val="single" w:sz="12" w:space="4" w:color="auto"/>
        </w:pBdr>
        <w:shd w:val="clear" w:color="auto" w:fill="F3F3F3"/>
        <w:spacing w:after="0"/>
        <w:rPr>
          <w:b/>
        </w:rPr>
      </w:pPr>
      <w:bookmarkStart w:id="6925" w:name="_5.39.4__FRU_Status"/>
      <w:bookmarkStart w:id="6926" w:name="_5.39.4__FRU"/>
      <w:bookmarkEnd w:id="6925"/>
      <w:bookmarkEnd w:id="6926"/>
      <w:r w:rsidRPr="000665B0">
        <w:rPr>
          <w:rFonts w:ascii="Arial" w:hAnsi="Arial" w:cs="Arial"/>
          <w:noProof/>
          <w:sz w:val="20"/>
        </w:rPr>
        <w:drawing>
          <wp:inline distT="0" distB="0" distL="0" distR="0" wp14:anchorId="400DF9FF" wp14:editId="733C9489">
            <wp:extent cx="352425" cy="381000"/>
            <wp:effectExtent l="0" t="0" r="9525"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cstate="print">
                      <a:clrChange>
                        <a:clrFrom>
                          <a:srgbClr val="FFFFFF"/>
                        </a:clrFrom>
                        <a:clrTo>
                          <a:srgbClr val="FFFFFF">
                            <a:alpha val="0"/>
                          </a:srgbClr>
                        </a:clrTo>
                      </a:clrChange>
                    </a:blip>
                    <a:srcRect/>
                    <a:stretch>
                      <a:fillRect/>
                    </a:stretch>
                  </pic:blipFill>
                  <pic:spPr bwMode="auto">
                    <a:xfrm>
                      <a:off x="0" y="0"/>
                      <a:ext cx="352425" cy="381000"/>
                    </a:xfrm>
                    <a:prstGeom prst="rect">
                      <a:avLst/>
                    </a:prstGeom>
                    <a:noFill/>
                    <a:ln w="9525">
                      <a:noFill/>
                      <a:miter lim="800000"/>
                      <a:headEnd/>
                      <a:tailEnd/>
                    </a:ln>
                  </pic:spPr>
                </pic:pic>
              </a:graphicData>
            </a:graphic>
          </wp:inline>
        </w:drawing>
      </w:r>
      <w:r w:rsidR="00AD150B" w:rsidRPr="000665B0">
        <w:rPr>
          <w:b/>
        </w:rPr>
        <w:t>TIP: When using the TSRT Geo, the most critical rehearsal entities are drawn in a separate layer above the normal geographic display, so that they are always visible. This is why they appear “above” normal display objects, even when those normal display objects are “brought to the front.”</w:t>
      </w:r>
    </w:p>
    <w:p w14:paraId="76EFC173" w14:textId="5C920C5E" w:rsidR="00CA1238" w:rsidRDefault="00CA1238" w:rsidP="00CA1238">
      <w:pPr>
        <w:pStyle w:val="Heading4"/>
      </w:pPr>
      <w:bookmarkStart w:id="6927" w:name="_5.39.4__FRU_1"/>
      <w:bookmarkStart w:id="6928" w:name="_FRU_Status"/>
      <w:bookmarkStart w:id="6929" w:name="_Toc289328956"/>
      <w:bookmarkStart w:id="6930" w:name="_Toc312332101"/>
      <w:bookmarkEnd w:id="6927"/>
      <w:bookmarkEnd w:id="6928"/>
      <w:r>
        <w:t>Maritime Capabilities</w:t>
      </w:r>
    </w:p>
    <w:p w14:paraId="69B7D22C" w14:textId="77777777" w:rsidR="00B52B18" w:rsidRPr="007E54B1" w:rsidRDefault="00B52B18" w:rsidP="00B52B18">
      <w:r w:rsidRPr="007E54B1">
        <w:t xml:space="preserve">TSRT has the ability </w:t>
      </w:r>
      <w:r>
        <w:t xml:space="preserve">to initiate several maritime related capabilities from the TSRT Geo on behalf of a simulated FRU, as well as to impact the behavior of the simulated MSTMs. </w:t>
      </w:r>
    </w:p>
    <w:p w14:paraId="66DD56BB" w14:textId="283EE830" w:rsidR="00CA1238" w:rsidRDefault="00CA1238" w:rsidP="00CA1238">
      <w:pPr>
        <w:pStyle w:val="Heading5"/>
      </w:pPr>
      <w:r w:rsidRPr="00CA1238">
        <w:t>Set Target</w:t>
      </w:r>
    </w:p>
    <w:p w14:paraId="0D7F9E8A" w14:textId="57A8386C" w:rsidR="00B52B18" w:rsidRDefault="00B52B18" w:rsidP="00B52B18">
      <w:r w:rsidRPr="007E54B1">
        <w:t xml:space="preserve">To </w:t>
      </w:r>
      <w:r>
        <w:t>set</w:t>
      </w:r>
      <w:r w:rsidRPr="007E54B1">
        <w:t xml:space="preserve"> a track as a target on TSRT, </w:t>
      </w:r>
      <w:r>
        <w:t xml:space="preserve">the system must first contain </w:t>
      </w:r>
      <w:r w:rsidRPr="007E54B1">
        <w:t xml:space="preserve">tracks that have solutions </w:t>
      </w:r>
      <w:r>
        <w:t>aligned with the TSRT rehearsal clock, and that are displayed on the TSRT Geo</w:t>
      </w:r>
      <w:r w:rsidRPr="007E54B1">
        <w:t xml:space="preserve">. </w:t>
      </w:r>
      <w:r>
        <w:t xml:space="preserve">Then the desired track can be </w:t>
      </w:r>
      <w:r w:rsidR="0017480E">
        <w:t>selected,</w:t>
      </w:r>
      <w:r>
        <w:t xml:space="preserve"> and the context menu invoked.</w:t>
      </w:r>
      <w:r w:rsidRPr="007E54B1">
        <w:t xml:space="preserve"> </w:t>
      </w:r>
      <w:r>
        <w:t>Selecting the</w:t>
      </w:r>
      <w:r w:rsidRPr="007E54B1">
        <w:t xml:space="preserve"> </w:t>
      </w:r>
      <w:r w:rsidRPr="00B52B18">
        <w:rPr>
          <w:b/>
          <w:bCs/>
        </w:rPr>
        <w:t>Set Target</w:t>
      </w:r>
      <w:r w:rsidRPr="007E54B1">
        <w:t xml:space="preserve"> option</w:t>
      </w:r>
      <w:r>
        <w:t xml:space="preserve"> </w:t>
      </w:r>
      <w:r w:rsidRPr="007E54B1">
        <w:t xml:space="preserve">will </w:t>
      </w:r>
      <w:r>
        <w:t xml:space="preserve">display a sub-menu that allows for a </w:t>
      </w:r>
      <w:r w:rsidRPr="00B52B18">
        <w:rPr>
          <w:b/>
          <w:bCs/>
        </w:rPr>
        <w:t>New Target ID</w:t>
      </w:r>
      <w:r>
        <w:t xml:space="preserve">, or any existing </w:t>
      </w:r>
      <w:r w:rsidRPr="00B52B18">
        <w:rPr>
          <w:b/>
          <w:bCs/>
        </w:rPr>
        <w:t>Target IDs</w:t>
      </w:r>
      <w:r>
        <w:t>, to be associated with the selected track</w:t>
      </w:r>
      <w:r w:rsidRPr="007E54B1">
        <w:t>.</w:t>
      </w:r>
      <w:r>
        <w:t xml:space="preserve"> If the </w:t>
      </w:r>
      <w:r w:rsidRPr="00B52B18">
        <w:rPr>
          <w:b/>
          <w:bCs/>
        </w:rPr>
        <w:t>New Target</w:t>
      </w:r>
      <w:r>
        <w:t xml:space="preserve"> sub-menu option is selected, TSRT will assign the selected track to the next available </w:t>
      </w:r>
      <w:r w:rsidRPr="00B52B18">
        <w:rPr>
          <w:b/>
          <w:bCs/>
        </w:rPr>
        <w:t>Target ID</w:t>
      </w:r>
      <w:r>
        <w:t xml:space="preserve"> using a one-up counter which starts at 1 and resets for each new rehearsal. </w:t>
      </w:r>
      <w:r w:rsidR="007C146B">
        <w:t>Prior to creating a Maritime Engagement (see</w:t>
      </w:r>
      <w:r w:rsidR="006D4832">
        <w:t xml:space="preserve"> </w:t>
      </w:r>
      <w:hyperlink w:anchor="_TSRT_Maritime_Engagement" w:history="1">
        <w:r w:rsidR="006D4832" w:rsidRPr="006D4832">
          <w:rPr>
            <w:rStyle w:val="Hyperlink"/>
          </w:rPr>
          <w:t xml:space="preserve">Section </w:t>
        </w:r>
        <w:r w:rsidR="004231CC">
          <w:rPr>
            <w:rStyle w:val="Hyperlink"/>
          </w:rPr>
          <w:t>5.37</w:t>
        </w:r>
        <w:r w:rsidR="006D4832" w:rsidRPr="006D4832">
          <w:rPr>
            <w:rStyle w:val="Hyperlink"/>
          </w:rPr>
          <w:t>.3.1.2</w:t>
        </w:r>
      </w:hyperlink>
      <w:r w:rsidR="007C146B">
        <w:t>), i</w:t>
      </w:r>
      <w:r>
        <w:t xml:space="preserve">f an existing </w:t>
      </w:r>
      <w:r w:rsidRPr="00B52B18">
        <w:rPr>
          <w:b/>
          <w:bCs/>
        </w:rPr>
        <w:t>Target ID</w:t>
      </w:r>
      <w:r>
        <w:t xml:space="preserve"> sub-menu option is chosen, the selected track will become that </w:t>
      </w:r>
      <w:r w:rsidRPr="00B52B18">
        <w:rPr>
          <w:b/>
          <w:bCs/>
        </w:rPr>
        <w:t>Target ID</w:t>
      </w:r>
      <w:r>
        <w:t xml:space="preserve">, and the track that was previously associated with that </w:t>
      </w:r>
      <w:r w:rsidRPr="00B52B18">
        <w:rPr>
          <w:b/>
          <w:bCs/>
        </w:rPr>
        <w:t>Target ID</w:t>
      </w:r>
      <w:r>
        <w:t xml:space="preserve"> will no longer have that association.</w:t>
      </w:r>
      <w:r w:rsidR="007C146B">
        <w:t xml:space="preserve"> After creating a Maritime Engagement (see </w:t>
      </w:r>
      <w:hyperlink w:anchor="_TSRT_Maritime_Engagement" w:history="1">
        <w:r w:rsidR="007C146B" w:rsidRPr="006D4832">
          <w:rPr>
            <w:rStyle w:val="Hyperlink"/>
          </w:rPr>
          <w:t xml:space="preserve">Section </w:t>
        </w:r>
        <w:r w:rsidR="004231CC">
          <w:rPr>
            <w:rStyle w:val="Hyperlink"/>
          </w:rPr>
          <w:t>5.37</w:t>
        </w:r>
        <w:r w:rsidR="007C146B" w:rsidRPr="006D4832">
          <w:rPr>
            <w:rStyle w:val="Hyperlink"/>
          </w:rPr>
          <w:t>.3.1.</w:t>
        </w:r>
        <w:r w:rsidR="006D4832" w:rsidRPr="006D4832">
          <w:rPr>
            <w:rStyle w:val="Hyperlink"/>
          </w:rPr>
          <w:t>2</w:t>
        </w:r>
      </w:hyperlink>
      <w:r w:rsidR="007C146B">
        <w:t xml:space="preserve">) for an existing </w:t>
      </w:r>
      <w:r w:rsidR="007C146B" w:rsidRPr="00C36B36">
        <w:rPr>
          <w:b/>
          <w:bCs/>
        </w:rPr>
        <w:t>Target ID</w:t>
      </w:r>
      <w:r w:rsidR="007C146B">
        <w:t xml:space="preserve">, that </w:t>
      </w:r>
      <w:r w:rsidR="007C146B" w:rsidRPr="00C36B36">
        <w:rPr>
          <w:b/>
          <w:bCs/>
        </w:rPr>
        <w:t>Target ID</w:t>
      </w:r>
      <w:r w:rsidR="007C146B">
        <w:t xml:space="preserve"> cannot be associated to a different track.</w:t>
      </w:r>
    </w:p>
    <w:p w14:paraId="022C43CB" w14:textId="6A0B0BBB" w:rsidR="00D50D25" w:rsidRDefault="00B52B18" w:rsidP="003260B4">
      <w:pPr>
        <w:jc w:val="center"/>
      </w:pPr>
      <w:r>
        <w:rPr>
          <w:noProof/>
        </w:rPr>
        <w:lastRenderedPageBreak/>
        <w:drawing>
          <wp:inline distT="0" distB="0" distL="0" distR="0" wp14:anchorId="482F5EBD" wp14:editId="7D835F59">
            <wp:extent cx="4983480" cy="2432304"/>
            <wp:effectExtent l="0" t="0" r="0" b="0"/>
            <wp:docPr id="2183" name="Picture 218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 name="Picture 2183" descr="A picture containing 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983480" cy="2432304"/>
                    </a:xfrm>
                    <a:prstGeom prst="rect">
                      <a:avLst/>
                    </a:prstGeom>
                  </pic:spPr>
                </pic:pic>
              </a:graphicData>
            </a:graphic>
          </wp:inline>
        </w:drawing>
      </w:r>
    </w:p>
    <w:p w14:paraId="2DD8EAB3" w14:textId="77777777" w:rsidR="003260B4" w:rsidRDefault="003260B4" w:rsidP="003260B4">
      <w:pPr>
        <w:jc w:val="center"/>
      </w:pPr>
    </w:p>
    <w:p w14:paraId="3B2A66C2" w14:textId="77777777" w:rsidR="00B52B18" w:rsidRDefault="00B52B18" w:rsidP="001F4B14">
      <w:pPr>
        <w:jc w:val="center"/>
      </w:pPr>
      <w:r>
        <w:rPr>
          <w:noProof/>
        </w:rPr>
        <w:drawing>
          <wp:inline distT="0" distB="0" distL="0" distR="0" wp14:anchorId="5B9B9C89" wp14:editId="7274F426">
            <wp:extent cx="4983480" cy="2423160"/>
            <wp:effectExtent l="0" t="0" r="0" b="0"/>
            <wp:docPr id="2184" name="Picture 2184"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 name="Picture 2184" descr="Chart&#10;&#10;Description automatically generated with low confidence"/>
                    <pic:cNvPicPr/>
                  </pic:nvPicPr>
                  <pic:blipFill>
                    <a:blip cstate="screen">
                      <a:extLst>
                        <a:ext uri="{28A0092B-C50C-407E-A947-70E740481C1C}">
                          <a14:useLocalDpi xmlns:a14="http://schemas.microsoft.com/office/drawing/2010/main"/>
                        </a:ext>
                      </a:extLst>
                    </a:blip>
                    <a:stretch>
                      <a:fillRect/>
                    </a:stretch>
                  </pic:blipFill>
                  <pic:spPr>
                    <a:xfrm>
                      <a:off x="0" y="0"/>
                      <a:ext cx="4983480" cy="2423160"/>
                    </a:xfrm>
                    <a:prstGeom prst="rect">
                      <a:avLst/>
                    </a:prstGeom>
                  </pic:spPr>
                </pic:pic>
              </a:graphicData>
            </a:graphic>
          </wp:inline>
        </w:drawing>
      </w:r>
    </w:p>
    <w:p w14:paraId="1EE51C76" w14:textId="57E05082" w:rsidR="00B52B18" w:rsidRPr="00FF7A24" w:rsidRDefault="00B52B18" w:rsidP="00B52B18">
      <w:r>
        <w:t xml:space="preserve">When a track is set as a target, a red box with a </w:t>
      </w:r>
      <w:r w:rsidRPr="00B52B18">
        <w:rPr>
          <w:b/>
          <w:bCs/>
        </w:rPr>
        <w:t>T</w:t>
      </w:r>
      <w:r>
        <w:rPr>
          <w:b/>
          <w:bCs/>
        </w:rPr>
        <w:t>x</w:t>
      </w:r>
      <w:r w:rsidRPr="00B52B18">
        <w:t xml:space="preserve"> </w:t>
      </w:r>
      <w:r>
        <w:t xml:space="preserve">label, where </w:t>
      </w:r>
      <w:r w:rsidRPr="00B52B18">
        <w:rPr>
          <w:b/>
          <w:bCs/>
        </w:rPr>
        <w:t>x</w:t>
      </w:r>
      <w:r>
        <w:t xml:space="preserve"> is the </w:t>
      </w:r>
      <w:r w:rsidRPr="00B52B18">
        <w:rPr>
          <w:b/>
          <w:bCs/>
        </w:rPr>
        <w:t>Target ID</w:t>
      </w:r>
      <w:r>
        <w:t xml:space="preserve">, is displayed around the track on the Geo display. Additionally, when set as a target, a track is set as a </w:t>
      </w:r>
      <w:r w:rsidRPr="00B52B18">
        <w:rPr>
          <w:b/>
          <w:bCs/>
        </w:rPr>
        <w:t xml:space="preserve">Track of </w:t>
      </w:r>
      <w:r w:rsidR="00986E97" w:rsidRPr="00B52B18">
        <w:rPr>
          <w:b/>
          <w:bCs/>
        </w:rPr>
        <w:t>Interest</w:t>
      </w:r>
      <w:r w:rsidR="00986E97">
        <w:t xml:space="preserve"> and</w:t>
      </w:r>
      <w:r>
        <w:t xml:space="preserve"> therefore is displayed on the </w:t>
      </w:r>
      <w:r w:rsidRPr="00B52B18">
        <w:rPr>
          <w:b/>
          <w:bCs/>
        </w:rPr>
        <w:t>TSRT GOM</w:t>
      </w:r>
      <w:r>
        <w:t xml:space="preserve"> under the </w:t>
      </w:r>
      <w:r w:rsidRPr="00B52B18">
        <w:rPr>
          <w:b/>
          <w:bCs/>
        </w:rPr>
        <w:t>Track of Interest</w:t>
      </w:r>
      <w:r>
        <w:t xml:space="preserve"> node. To distinguish the target track from other </w:t>
      </w:r>
      <w:r w:rsidRPr="00B52B18">
        <w:rPr>
          <w:b/>
          <w:bCs/>
        </w:rPr>
        <w:t>Tracks of Interest</w:t>
      </w:r>
      <w:r>
        <w:t xml:space="preserve"> on the GOM, the target track is displayed with a red highlight and the track label is appended with (Tx), where x is the </w:t>
      </w:r>
      <w:r w:rsidRPr="00B52B18">
        <w:rPr>
          <w:b/>
          <w:bCs/>
        </w:rPr>
        <w:t>Target ID</w:t>
      </w:r>
      <w:r>
        <w:t xml:space="preserve">. </w:t>
      </w:r>
    </w:p>
    <w:p w14:paraId="5681AF4F" w14:textId="77777777" w:rsidR="00B52B18" w:rsidRPr="00FF7A24" w:rsidRDefault="00B52B18" w:rsidP="001F4B14">
      <w:pPr>
        <w:jc w:val="center"/>
      </w:pPr>
      <w:r>
        <w:rPr>
          <w:noProof/>
        </w:rPr>
        <w:lastRenderedPageBreak/>
        <w:drawing>
          <wp:inline distT="0" distB="0" distL="0" distR="0" wp14:anchorId="1F685B4F" wp14:editId="59FF6717">
            <wp:extent cx="4983480" cy="2423160"/>
            <wp:effectExtent l="0" t="0" r="0" b="0"/>
            <wp:docPr id="2249" name="Picture 22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 name="Picture 2249" descr="Chart&#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983480" cy="2423160"/>
                    </a:xfrm>
                    <a:prstGeom prst="rect">
                      <a:avLst/>
                    </a:prstGeom>
                  </pic:spPr>
                </pic:pic>
              </a:graphicData>
            </a:graphic>
          </wp:inline>
        </w:drawing>
      </w:r>
    </w:p>
    <w:p w14:paraId="74813302" w14:textId="78000A95" w:rsidR="00CA1238" w:rsidRDefault="00CA1238" w:rsidP="00CA1238">
      <w:pPr>
        <w:pStyle w:val="Heading5"/>
      </w:pPr>
      <w:bookmarkStart w:id="6931" w:name="_TSRT_Maritime_Engagement"/>
      <w:bookmarkEnd w:id="6931"/>
      <w:r>
        <w:t>TSRT Maritime Engagement Dialog</w:t>
      </w:r>
    </w:p>
    <w:p w14:paraId="1581BBF7" w14:textId="22805B10" w:rsidR="004C5041" w:rsidRDefault="004C5041" w:rsidP="004C5041">
      <w:r>
        <w:t xml:space="preserve">After a track has been designated as a target, a new context menu is displayed </w:t>
      </w:r>
      <w:r w:rsidR="00E559B1">
        <w:t xml:space="preserve">on that track </w:t>
      </w:r>
      <w:r>
        <w:t xml:space="preserve">to </w:t>
      </w:r>
      <w:r w:rsidRPr="00E559B1">
        <w:rPr>
          <w:b/>
          <w:bCs/>
        </w:rPr>
        <w:t>Create an MST Engagement</w:t>
      </w:r>
      <w:r>
        <w:t>, with a sub-menu to select the desired simulated FRU to use to create the engagement. The sub-menu lists all maritime capable (TTWCS SW version 5.6.1+) simulated FRUs currently participating in the rehearsal.</w:t>
      </w:r>
    </w:p>
    <w:p w14:paraId="0F9A4A00" w14:textId="77777777" w:rsidR="004C5041" w:rsidRDefault="004C5041" w:rsidP="001F4B14">
      <w:pPr>
        <w:jc w:val="center"/>
      </w:pPr>
      <w:r>
        <w:rPr>
          <w:noProof/>
        </w:rPr>
        <w:drawing>
          <wp:inline distT="0" distB="0" distL="0" distR="0" wp14:anchorId="776BB494" wp14:editId="42B1128B">
            <wp:extent cx="4983480" cy="2825496"/>
            <wp:effectExtent l="0" t="0" r="0" b="0"/>
            <wp:docPr id="2255" name="Picture 225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 name="Picture 2255" descr="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983480" cy="2825496"/>
                    </a:xfrm>
                    <a:prstGeom prst="rect">
                      <a:avLst/>
                    </a:prstGeom>
                  </pic:spPr>
                </pic:pic>
              </a:graphicData>
            </a:graphic>
          </wp:inline>
        </w:drawing>
      </w:r>
    </w:p>
    <w:p w14:paraId="2D15AE94" w14:textId="77777777" w:rsidR="004C5041" w:rsidRPr="00941BED" w:rsidRDefault="004C5041" w:rsidP="004C5041">
      <w:r>
        <w:t xml:space="preserve">After the desired FRU option is selected, the </w:t>
      </w:r>
      <w:r w:rsidRPr="00E559B1">
        <w:rPr>
          <w:b/>
          <w:bCs/>
        </w:rPr>
        <w:t>TSRT Maritime Engagement</w:t>
      </w:r>
      <w:r>
        <w:t xml:space="preserve"> dialog is displayed.</w:t>
      </w:r>
    </w:p>
    <w:p w14:paraId="33D72FAB" w14:textId="77777777" w:rsidR="004C5041" w:rsidRDefault="004C5041" w:rsidP="004C5041">
      <w:pPr>
        <w:jc w:val="center"/>
      </w:pPr>
      <w:r>
        <w:rPr>
          <w:noProof/>
        </w:rPr>
        <w:lastRenderedPageBreak/>
        <w:drawing>
          <wp:inline distT="0" distB="0" distL="0" distR="0" wp14:anchorId="3FC30F61" wp14:editId="767C157E">
            <wp:extent cx="4114800" cy="3328416"/>
            <wp:effectExtent l="0" t="0" r="0" b="5715"/>
            <wp:docPr id="2257" name="Picture 225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 name="Picture 2257"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4114800" cy="3328416"/>
                    </a:xfrm>
                    <a:prstGeom prst="rect">
                      <a:avLst/>
                    </a:prstGeom>
                  </pic:spPr>
                </pic:pic>
              </a:graphicData>
            </a:graphic>
          </wp:inline>
        </w:drawing>
      </w:r>
    </w:p>
    <w:p w14:paraId="614C8D09" w14:textId="47784039" w:rsidR="004C5041" w:rsidRDefault="004C5041" w:rsidP="004C5041">
      <w:r>
        <w:t>This dialog is used to define the available SEP parameters on behalf of the simulated FRU. Below is a summary of what each field means and how it can be set</w:t>
      </w:r>
      <w:r w:rsidR="00E559B1">
        <w:t>:</w:t>
      </w:r>
    </w:p>
    <w:p w14:paraId="26D141EA" w14:textId="77777777" w:rsidR="004C5041" w:rsidRDefault="004C5041" w:rsidP="00E559B1">
      <w:pPr>
        <w:keepNext/>
        <w:spacing w:before="240"/>
      </w:pPr>
      <w:r w:rsidRPr="00941BED">
        <w:rPr>
          <w:b/>
        </w:rPr>
        <w:t>Primary Target Class</w:t>
      </w:r>
      <w:r>
        <w:t xml:space="preserve">: </w:t>
      </w:r>
    </w:p>
    <w:p w14:paraId="44DA7C9C" w14:textId="7D7C1E0C" w:rsidR="004C5041" w:rsidRDefault="00E559B1" w:rsidP="006D5A65">
      <w:pPr>
        <w:pStyle w:val="Heading1"/>
      </w:pPr>
      <w:r>
        <w:t>This is a r</w:t>
      </w:r>
      <w:r w:rsidR="004C5041" w:rsidRPr="00941BED">
        <w:t>equired field</w:t>
      </w:r>
      <w:r>
        <w:t>.</w:t>
      </w:r>
    </w:p>
    <w:p w14:paraId="0CEB34E8" w14:textId="3A6EC782" w:rsidR="004C5041" w:rsidRDefault="004C5041" w:rsidP="006D5A65">
      <w:pPr>
        <w:pStyle w:val="Heading1"/>
      </w:pPr>
      <w:r>
        <w:t>The drop down contains a list of the target classes contained in the TCIL that can be used within the engagement</w:t>
      </w:r>
      <w:r w:rsidR="00E559B1">
        <w:t>.</w:t>
      </w:r>
    </w:p>
    <w:p w14:paraId="36595FA7" w14:textId="2E5BAF5F" w:rsidR="004C5041" w:rsidRDefault="004C5041" w:rsidP="006D5A65">
      <w:pPr>
        <w:pStyle w:val="Heading1"/>
      </w:pPr>
      <w:r>
        <w:t xml:space="preserve">Defaults to blank unless the target track’s target class was defined prior to invoking the Maritime Engagement dialog. In that case, the Primary Target Class field defaults to the defined target class as long </w:t>
      </w:r>
      <w:r w:rsidR="0017480E">
        <w:t>as</w:t>
      </w:r>
      <w:r>
        <w:t xml:space="preserve"> it is contained in the TCIL.</w:t>
      </w:r>
    </w:p>
    <w:p w14:paraId="20C75483" w14:textId="77777777" w:rsidR="004C5041" w:rsidRDefault="004C5041" w:rsidP="004C5041">
      <w:pPr>
        <w:jc w:val="center"/>
        <w:rPr>
          <w:szCs w:val="24"/>
        </w:rPr>
      </w:pPr>
      <w:r>
        <w:rPr>
          <w:noProof/>
          <w:szCs w:val="24"/>
        </w:rPr>
        <w:drawing>
          <wp:inline distT="0" distB="0" distL="0" distR="0" wp14:anchorId="48FCC2C8" wp14:editId="2E827965">
            <wp:extent cx="2286000" cy="1207008"/>
            <wp:effectExtent l="0" t="0" r="0" b="0"/>
            <wp:docPr id="2258" name="Picture 225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 name="Picture 2258" descr="Graphical user interface, text&#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2286000" cy="1207008"/>
                    </a:xfrm>
                    <a:prstGeom prst="rect">
                      <a:avLst/>
                    </a:prstGeom>
                  </pic:spPr>
                </pic:pic>
              </a:graphicData>
            </a:graphic>
          </wp:inline>
        </w:drawing>
      </w:r>
    </w:p>
    <w:p w14:paraId="551F0544" w14:textId="77777777" w:rsidR="004C5041" w:rsidRPr="00E559B1" w:rsidRDefault="004C5041" w:rsidP="00E559B1">
      <w:pPr>
        <w:keepNext/>
        <w:spacing w:before="240"/>
        <w:rPr>
          <w:b/>
        </w:rPr>
      </w:pPr>
      <w:r w:rsidRPr="00E559B1">
        <w:rPr>
          <w:b/>
        </w:rPr>
        <w:lastRenderedPageBreak/>
        <w:t>Secondary Target Class:</w:t>
      </w:r>
    </w:p>
    <w:p w14:paraId="2219F6BE" w14:textId="76AC977E" w:rsidR="004C5041" w:rsidRDefault="00E559B1" w:rsidP="006D5A65">
      <w:pPr>
        <w:pStyle w:val="Heading1"/>
      </w:pPr>
      <w:r>
        <w:t>This is a r</w:t>
      </w:r>
      <w:r w:rsidRPr="00941BED">
        <w:t>equired field</w:t>
      </w:r>
      <w:r>
        <w:t>.</w:t>
      </w:r>
    </w:p>
    <w:p w14:paraId="591BA639" w14:textId="18FC9C63" w:rsidR="004C5041" w:rsidRDefault="004C5041" w:rsidP="006D5A65">
      <w:pPr>
        <w:pStyle w:val="Heading1"/>
      </w:pPr>
      <w:r>
        <w:t>The drop down contains a list of the target classes contained in the TCIL that can be used within the engagement</w:t>
      </w:r>
      <w:r w:rsidR="00E559B1">
        <w:t>.</w:t>
      </w:r>
    </w:p>
    <w:p w14:paraId="58F9D6EB" w14:textId="2A412717" w:rsidR="004C5041" w:rsidRPr="00E559B1" w:rsidRDefault="004C5041" w:rsidP="006D5A65">
      <w:pPr>
        <w:pStyle w:val="Heading1"/>
      </w:pPr>
      <w:r>
        <w:t>Defaults to blank</w:t>
      </w:r>
      <w:r w:rsidR="00E559B1">
        <w:t>.</w:t>
      </w:r>
    </w:p>
    <w:p w14:paraId="03B6DB21" w14:textId="77777777" w:rsidR="004C5041" w:rsidRPr="00E559B1" w:rsidRDefault="004C5041" w:rsidP="00E559B1">
      <w:pPr>
        <w:keepNext/>
        <w:spacing w:before="240"/>
        <w:rPr>
          <w:b/>
        </w:rPr>
      </w:pPr>
      <w:r w:rsidRPr="00E559B1">
        <w:rPr>
          <w:b/>
        </w:rPr>
        <w:t>Tertiary Target Class:</w:t>
      </w:r>
    </w:p>
    <w:p w14:paraId="190127BB" w14:textId="3EB52C9D" w:rsidR="004C5041" w:rsidRDefault="00E559B1" w:rsidP="006D5A65">
      <w:pPr>
        <w:pStyle w:val="Heading1"/>
      </w:pPr>
      <w:r>
        <w:t>This is an o</w:t>
      </w:r>
      <w:r w:rsidR="004C5041">
        <w:t>ptional</w:t>
      </w:r>
      <w:r w:rsidR="004C5041" w:rsidRPr="00941BED">
        <w:t xml:space="preserve"> field</w:t>
      </w:r>
      <w:r>
        <w:t>.</w:t>
      </w:r>
    </w:p>
    <w:p w14:paraId="5C5DE0E3" w14:textId="75AA54DC" w:rsidR="004C5041" w:rsidRDefault="004C5041" w:rsidP="006D5A65">
      <w:pPr>
        <w:pStyle w:val="Heading1"/>
      </w:pPr>
      <w:r w:rsidRPr="00941BED">
        <w:t>The drop down contains a list of the target classes contained in the TCIL that can be used within the engagement</w:t>
      </w:r>
      <w:r w:rsidR="00E559B1">
        <w:t>.</w:t>
      </w:r>
    </w:p>
    <w:p w14:paraId="37E576BC" w14:textId="66CB0B2A" w:rsidR="00B13037" w:rsidRPr="00D21DA9" w:rsidRDefault="004C5041" w:rsidP="006D5A65">
      <w:pPr>
        <w:pStyle w:val="Heading1"/>
      </w:pPr>
      <w:r>
        <w:t>Defaults to blank</w:t>
      </w:r>
      <w:r w:rsidR="00E559B1">
        <w:t>.</w:t>
      </w:r>
    </w:p>
    <w:p w14:paraId="7908E2A2" w14:textId="1ED4BB02" w:rsidR="00B13037" w:rsidRPr="00B85C69" w:rsidRDefault="00B13037" w:rsidP="0064295B">
      <w:pPr>
        <w:pBdr>
          <w:top w:val="single" w:sz="12" w:space="1" w:color="auto"/>
          <w:left w:val="single" w:sz="12" w:space="4" w:color="auto"/>
          <w:bottom w:val="single" w:sz="12" w:space="1" w:color="auto"/>
          <w:right w:val="single" w:sz="12" w:space="4" w:color="auto"/>
        </w:pBdr>
        <w:shd w:val="clear" w:color="auto" w:fill="D9D9D9"/>
        <w:spacing w:before="120" w:after="0" w:line="240" w:lineRule="auto"/>
        <w:jc w:val="center"/>
        <w:rPr>
          <w:rFonts w:eastAsiaTheme="minorHAnsi"/>
          <w:b/>
          <w:kern w:val="2"/>
          <w:szCs w:val="24"/>
          <w14:ligatures w14:val="standardContextual"/>
        </w:rPr>
      </w:pPr>
      <w:r>
        <w:rPr>
          <w:b/>
        </w:rPr>
        <w:t>N</w:t>
      </w:r>
      <w:r w:rsidR="00630DAF">
        <w:rPr>
          <w:b/>
        </w:rPr>
        <w:t>ote</w:t>
      </w:r>
      <w:r>
        <w:rPr>
          <w:b/>
        </w:rPr>
        <w:t>:</w:t>
      </w:r>
      <w:r w:rsidRPr="00B85C69">
        <w:rPr>
          <w:b/>
        </w:rPr>
        <w:br/>
      </w:r>
      <w:r>
        <w:rPr>
          <w:b/>
        </w:rPr>
        <w:t>When the first engagement for a target is created, the class selections from the dialog are saved into the system as “Preferred Classes”. This is to ensure that the correct target class names are retrieved for the appropriate views in case they share the same index with other target classes in the FRU’s TCIL. This selection is maintained until TSRT halts the rehearsal.</w:t>
      </w:r>
    </w:p>
    <w:p w14:paraId="64EB66F9" w14:textId="77777777" w:rsidR="00B13037" w:rsidRPr="00CA321B" w:rsidRDefault="00B13037" w:rsidP="00B13037">
      <w:pPr>
        <w:spacing w:after="0" w:line="240" w:lineRule="auto"/>
        <w:rPr>
          <w:rFonts w:eastAsia="Calibri"/>
        </w:rPr>
      </w:pPr>
    </w:p>
    <w:p w14:paraId="1A5C50C7" w14:textId="5A2C78AA" w:rsidR="00B13037" w:rsidRPr="00B13037" w:rsidRDefault="00B13037" w:rsidP="0064295B">
      <w:pPr>
        <w:pBdr>
          <w:top w:val="single" w:sz="12" w:space="1" w:color="auto"/>
          <w:left w:val="single" w:sz="12" w:space="4" w:color="auto"/>
          <w:bottom w:val="single" w:sz="12" w:space="1" w:color="auto"/>
          <w:right w:val="single" w:sz="12" w:space="4" w:color="auto"/>
        </w:pBdr>
        <w:shd w:val="clear" w:color="auto" w:fill="D9D9D9"/>
        <w:jc w:val="center"/>
        <w:rPr>
          <w:b/>
        </w:rPr>
      </w:pPr>
      <w:r>
        <w:rPr>
          <w:b/>
        </w:rPr>
        <w:t>N</w:t>
      </w:r>
      <w:r w:rsidR="00630DAF">
        <w:rPr>
          <w:b/>
        </w:rPr>
        <w:t>ote</w:t>
      </w:r>
      <w:r>
        <w:rPr>
          <w:b/>
        </w:rPr>
        <w:t>:</w:t>
      </w:r>
      <w:r w:rsidRPr="00127B7F">
        <w:rPr>
          <w:b/>
        </w:rPr>
        <w:br/>
      </w:r>
      <w:r>
        <w:rPr>
          <w:b/>
        </w:rPr>
        <w:t>If multiple engagements are created on a single target (same Target ID) with multiple FRUs, and the FRUs have different TCILs (unique target class names), only the first engagement’s “Preferred Classes” can be displayed. All other engagements will not be able to display their own “Preferred Classes”.</w:t>
      </w:r>
    </w:p>
    <w:p w14:paraId="11FD0020" w14:textId="77777777" w:rsidR="004C5041" w:rsidRPr="00E559B1" w:rsidRDefault="004C5041" w:rsidP="00E559B1">
      <w:pPr>
        <w:keepNext/>
        <w:spacing w:before="240"/>
        <w:rPr>
          <w:b/>
        </w:rPr>
      </w:pPr>
      <w:r w:rsidRPr="00E559B1">
        <w:rPr>
          <w:b/>
        </w:rPr>
        <w:t>Max Speed:</w:t>
      </w:r>
    </w:p>
    <w:p w14:paraId="31FA7D14" w14:textId="4DEF87BB" w:rsidR="004C5041" w:rsidRPr="00941BED" w:rsidRDefault="004C5041" w:rsidP="006D5A65">
      <w:pPr>
        <w:pStyle w:val="Heading1"/>
      </w:pPr>
      <w:r w:rsidRPr="00941BED">
        <w:t>Read only field</w:t>
      </w:r>
      <w:r w:rsidR="0074101C">
        <w:t>.</w:t>
      </w:r>
    </w:p>
    <w:p w14:paraId="719D3D9B" w14:textId="77777777" w:rsidR="004C5041" w:rsidRDefault="004C5041" w:rsidP="006D5A65">
      <w:pPr>
        <w:pStyle w:val="Heading1"/>
      </w:pPr>
      <w:r w:rsidRPr="00941BED">
        <w:t>Once the Primary Target Class field is populated, this field becomes populated with the TCIL max speed value for the selected target class.</w:t>
      </w:r>
    </w:p>
    <w:p w14:paraId="24BF91C9" w14:textId="77777777" w:rsidR="004C5041" w:rsidRPr="00E559B1" w:rsidRDefault="004C5041" w:rsidP="00E559B1">
      <w:pPr>
        <w:keepNext/>
        <w:spacing w:before="240"/>
        <w:rPr>
          <w:b/>
        </w:rPr>
      </w:pPr>
      <w:r w:rsidRPr="00E559B1">
        <w:rPr>
          <w:b/>
        </w:rPr>
        <w:t>TDA Scenario:</w:t>
      </w:r>
    </w:p>
    <w:p w14:paraId="7B3AA6C7" w14:textId="77777777" w:rsidR="0074101C" w:rsidRDefault="0074101C" w:rsidP="006D5A65">
      <w:pPr>
        <w:pStyle w:val="Heading1"/>
      </w:pPr>
      <w:r>
        <w:t>This is a r</w:t>
      </w:r>
      <w:r w:rsidRPr="00941BED">
        <w:t>equired field</w:t>
      </w:r>
      <w:r>
        <w:t>.</w:t>
      </w:r>
    </w:p>
    <w:p w14:paraId="4F0A7D62" w14:textId="77777777" w:rsidR="004C5041" w:rsidRDefault="004C5041" w:rsidP="006D5A65">
      <w:pPr>
        <w:pStyle w:val="Heading1"/>
      </w:pPr>
      <w:r>
        <w:t>This field is disabled until the Primary Target Class is populated. Once that field is populated, the TDA Scenario drop-down is enabled and contains a list of the TDA scenarios for the selected primary target class.</w:t>
      </w:r>
    </w:p>
    <w:p w14:paraId="6078EE05" w14:textId="77777777" w:rsidR="004C5041" w:rsidRDefault="004C5041" w:rsidP="006D5A65">
      <w:pPr>
        <w:pStyle w:val="Heading1"/>
      </w:pPr>
      <w:r>
        <w:t>Defaults to blank</w:t>
      </w:r>
    </w:p>
    <w:p w14:paraId="1A50125B" w14:textId="77777777" w:rsidR="004C5041" w:rsidRDefault="004C5041" w:rsidP="004C5041">
      <w:pPr>
        <w:jc w:val="center"/>
        <w:rPr>
          <w:szCs w:val="24"/>
        </w:rPr>
      </w:pPr>
      <w:r>
        <w:rPr>
          <w:noProof/>
          <w:szCs w:val="24"/>
        </w:rPr>
        <w:drawing>
          <wp:inline distT="0" distB="0" distL="0" distR="0" wp14:anchorId="7BE77D0C" wp14:editId="1EA69EB7">
            <wp:extent cx="2286000" cy="768096"/>
            <wp:effectExtent l="0" t="0" r="0" b="0"/>
            <wp:docPr id="2261" name="Picture 226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 name="Picture 2261" descr="Graphical user interface, text,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286000" cy="768096"/>
                    </a:xfrm>
                    <a:prstGeom prst="rect">
                      <a:avLst/>
                    </a:prstGeom>
                  </pic:spPr>
                </pic:pic>
              </a:graphicData>
            </a:graphic>
          </wp:inline>
        </w:drawing>
      </w:r>
    </w:p>
    <w:p w14:paraId="127EC3D9" w14:textId="77777777" w:rsidR="004C5041" w:rsidRPr="00E559B1" w:rsidRDefault="004C5041" w:rsidP="00E559B1">
      <w:pPr>
        <w:keepNext/>
        <w:spacing w:before="240"/>
        <w:rPr>
          <w:b/>
        </w:rPr>
      </w:pPr>
      <w:r w:rsidRPr="00E559B1">
        <w:rPr>
          <w:b/>
        </w:rPr>
        <w:lastRenderedPageBreak/>
        <w:t>Number of Missiles:</w:t>
      </w:r>
    </w:p>
    <w:p w14:paraId="242C112F" w14:textId="4E60474F" w:rsidR="004C5041" w:rsidRDefault="004C5041" w:rsidP="006D5A65">
      <w:pPr>
        <w:pStyle w:val="Heading1"/>
      </w:pPr>
      <w:r>
        <w:t>Read only field</w:t>
      </w:r>
      <w:r w:rsidR="0074101C">
        <w:t>.</w:t>
      </w:r>
    </w:p>
    <w:p w14:paraId="499BF823" w14:textId="571BEBCA" w:rsidR="004C5041" w:rsidRDefault="004C5041" w:rsidP="006D5A65">
      <w:pPr>
        <w:pStyle w:val="Heading1"/>
      </w:pPr>
      <w:r>
        <w:t>Once the TDA Scenario field is populated, this field is populated with the number of missiles associated with that selected scenario in the TDA</w:t>
      </w:r>
      <w:r w:rsidR="0074101C">
        <w:t>.</w:t>
      </w:r>
    </w:p>
    <w:p w14:paraId="1B901537" w14:textId="77777777" w:rsidR="004C5041" w:rsidRPr="00E559B1" w:rsidRDefault="004C5041" w:rsidP="00E559B1">
      <w:pPr>
        <w:keepNext/>
        <w:spacing w:before="240"/>
        <w:rPr>
          <w:b/>
        </w:rPr>
      </w:pPr>
      <w:r w:rsidRPr="00E559B1">
        <w:rPr>
          <w:b/>
        </w:rPr>
        <w:t>GHP Distance from FOC:</w:t>
      </w:r>
    </w:p>
    <w:p w14:paraId="018A9F7F" w14:textId="65318484" w:rsidR="004C5041" w:rsidRDefault="004C5041" w:rsidP="006D5A65">
      <w:pPr>
        <w:pStyle w:val="Heading1"/>
      </w:pPr>
      <w:r>
        <w:t>Read only field</w:t>
      </w:r>
      <w:r w:rsidR="0074101C">
        <w:t>.</w:t>
      </w:r>
    </w:p>
    <w:p w14:paraId="3E158DAC" w14:textId="77777777" w:rsidR="004C5041" w:rsidRDefault="004C5041" w:rsidP="006D5A65">
      <w:pPr>
        <w:pStyle w:val="Heading1"/>
      </w:pPr>
      <w:r>
        <w:t>Once the Primary Target Class field is populated, this field is populated with the TCIL WEZ (Weapon Engagement Zone) distance for the selected target class.</w:t>
      </w:r>
    </w:p>
    <w:p w14:paraId="109B0EA2" w14:textId="77777777" w:rsidR="004C5041" w:rsidRPr="00E559B1" w:rsidRDefault="004C5041" w:rsidP="00E559B1">
      <w:pPr>
        <w:keepNext/>
        <w:spacing w:before="240"/>
        <w:rPr>
          <w:b/>
        </w:rPr>
      </w:pPr>
      <w:r w:rsidRPr="00E559B1">
        <w:rPr>
          <w:b/>
        </w:rPr>
        <w:t>Loiter:</w:t>
      </w:r>
    </w:p>
    <w:p w14:paraId="278D21A3" w14:textId="778EF611" w:rsidR="004C5041" w:rsidRDefault="0074101C" w:rsidP="006D5A65">
      <w:pPr>
        <w:pStyle w:val="Heading1"/>
      </w:pPr>
      <w:r>
        <w:t>This is an o</w:t>
      </w:r>
      <w:r w:rsidR="004C5041">
        <w:t>ptional field</w:t>
      </w:r>
      <w:r>
        <w:t>.</w:t>
      </w:r>
    </w:p>
    <w:p w14:paraId="6C503A50" w14:textId="03C6C782" w:rsidR="004C5041" w:rsidRDefault="004C5041" w:rsidP="006D5A65">
      <w:pPr>
        <w:pStyle w:val="Heading1"/>
      </w:pPr>
      <w:r>
        <w:t>Checkbox to determine if the FCS (Fire Control Solution) created for the engagement should include a loiter</w:t>
      </w:r>
      <w:r w:rsidR="0074101C">
        <w:t>.</w:t>
      </w:r>
    </w:p>
    <w:p w14:paraId="5CD9EF92" w14:textId="1239C5E1" w:rsidR="004C5041" w:rsidRDefault="004E7017" w:rsidP="006D5A65">
      <w:pPr>
        <w:pStyle w:val="Heading1"/>
      </w:pPr>
      <w:r>
        <w:t>Defaults</w:t>
      </w:r>
      <w:r w:rsidR="004C5041">
        <w:t xml:space="preserve"> to unselected</w:t>
      </w:r>
      <w:r w:rsidR="0074101C">
        <w:t>.</w:t>
      </w:r>
    </w:p>
    <w:p w14:paraId="3BB2C584" w14:textId="77777777" w:rsidR="004C5041" w:rsidRPr="00E559B1" w:rsidRDefault="004C5041" w:rsidP="00E559B1">
      <w:pPr>
        <w:keepNext/>
        <w:spacing w:before="240"/>
        <w:rPr>
          <w:b/>
        </w:rPr>
      </w:pPr>
      <w:r w:rsidRPr="00E559B1">
        <w:rPr>
          <w:b/>
        </w:rPr>
        <w:t xml:space="preserve">Enable Comms: </w:t>
      </w:r>
    </w:p>
    <w:p w14:paraId="60A488D2" w14:textId="77777777" w:rsidR="0074101C" w:rsidRDefault="0074101C" w:rsidP="006D5A65">
      <w:pPr>
        <w:pStyle w:val="Heading1"/>
      </w:pPr>
      <w:r>
        <w:t>This is an optional field.</w:t>
      </w:r>
    </w:p>
    <w:p w14:paraId="213B4421" w14:textId="77777777" w:rsidR="004C5041" w:rsidRDefault="004C5041" w:rsidP="006D5A65">
      <w:pPr>
        <w:pStyle w:val="Heading1"/>
      </w:pPr>
      <w:r>
        <w:t>Checkbox to determine if comms should be enabled for the engagement.</w:t>
      </w:r>
    </w:p>
    <w:p w14:paraId="79B17988" w14:textId="5ED949A8" w:rsidR="004C5041" w:rsidRDefault="004C5041" w:rsidP="006D5A65">
      <w:pPr>
        <w:pStyle w:val="Heading1"/>
      </w:pPr>
      <w:r>
        <w:t>Defaults to selected</w:t>
      </w:r>
      <w:r w:rsidR="0074101C">
        <w:t>.</w:t>
      </w:r>
    </w:p>
    <w:p w14:paraId="41A2AFA9" w14:textId="77777777" w:rsidR="004C5041" w:rsidRPr="00E559B1" w:rsidRDefault="004C5041" w:rsidP="00E559B1">
      <w:pPr>
        <w:keepNext/>
        <w:spacing w:before="240"/>
        <w:rPr>
          <w:b/>
        </w:rPr>
      </w:pPr>
      <w:r w:rsidRPr="00E559B1">
        <w:rPr>
          <w:b/>
        </w:rPr>
        <w:t xml:space="preserve">Scheduled H&amp;S: </w:t>
      </w:r>
    </w:p>
    <w:p w14:paraId="1C84970D" w14:textId="77777777" w:rsidR="0074101C" w:rsidRDefault="0074101C" w:rsidP="006D5A65">
      <w:pPr>
        <w:pStyle w:val="Heading1"/>
      </w:pPr>
      <w:r>
        <w:t>This is an optional field.</w:t>
      </w:r>
    </w:p>
    <w:p w14:paraId="58F21F8F" w14:textId="77777777" w:rsidR="004C5041" w:rsidRDefault="004C5041" w:rsidP="006D5A65">
      <w:pPr>
        <w:pStyle w:val="Heading1"/>
      </w:pPr>
      <w:r>
        <w:t>Checkbox to determine if Scheduled H&amp;S messages should be included in the engagement, and at what interval.</w:t>
      </w:r>
    </w:p>
    <w:p w14:paraId="5BB1A889" w14:textId="57581906" w:rsidR="004C5041" w:rsidRDefault="004C5041" w:rsidP="006D5A65">
      <w:pPr>
        <w:pStyle w:val="Heading1"/>
      </w:pPr>
      <w:r>
        <w:t>Defaults to unselected</w:t>
      </w:r>
      <w:r w:rsidR="0074101C">
        <w:t>.</w:t>
      </w:r>
    </w:p>
    <w:p w14:paraId="499B65B6" w14:textId="58FFDDFA" w:rsidR="004C5041" w:rsidRDefault="004C5041" w:rsidP="006D5A65">
      <w:pPr>
        <w:pStyle w:val="Heading1"/>
      </w:pPr>
      <w:r>
        <w:t>Checkbox is only enabled if the Enable Comms checkbox is selected</w:t>
      </w:r>
      <w:r w:rsidR="0074101C">
        <w:t>.</w:t>
      </w:r>
    </w:p>
    <w:p w14:paraId="6999DE11" w14:textId="1B97099D" w:rsidR="004C5041" w:rsidRDefault="004C5041" w:rsidP="006D5A65">
      <w:pPr>
        <w:pStyle w:val="Heading1"/>
      </w:pPr>
      <w:r>
        <w:t>Interval field is only editable when the Checkbox is selected</w:t>
      </w:r>
      <w:r w:rsidR="0074101C">
        <w:t>.</w:t>
      </w:r>
    </w:p>
    <w:p w14:paraId="60CBE11A" w14:textId="77777777" w:rsidR="004C5041" w:rsidRPr="00E559B1" w:rsidRDefault="004C5041" w:rsidP="00E559B1">
      <w:pPr>
        <w:keepNext/>
        <w:spacing w:before="240"/>
        <w:rPr>
          <w:b/>
        </w:rPr>
      </w:pPr>
      <w:r w:rsidRPr="00E559B1">
        <w:rPr>
          <w:b/>
        </w:rPr>
        <w:t>Case:</w:t>
      </w:r>
    </w:p>
    <w:p w14:paraId="643F8C18" w14:textId="77777777" w:rsidR="0074101C" w:rsidRDefault="0074101C" w:rsidP="006D5A65">
      <w:pPr>
        <w:pStyle w:val="Heading1"/>
      </w:pPr>
      <w:r>
        <w:t>This is a r</w:t>
      </w:r>
      <w:r w:rsidRPr="00941BED">
        <w:t>equired field</w:t>
      </w:r>
      <w:r>
        <w:t>.</w:t>
      </w:r>
    </w:p>
    <w:p w14:paraId="530DB34A" w14:textId="7BF5624E" w:rsidR="004C5041" w:rsidRPr="007E54B1" w:rsidRDefault="004C5041" w:rsidP="006D5A65">
      <w:pPr>
        <w:pStyle w:val="Heading1"/>
      </w:pPr>
      <w:r>
        <w:t>Drop-down contains three options, which represent the different maritime use cases</w:t>
      </w:r>
      <w:r w:rsidR="0074101C">
        <w:t>:</w:t>
      </w:r>
    </w:p>
    <w:p w14:paraId="4FA41073" w14:textId="225F6160" w:rsidR="004C5041" w:rsidRPr="007E54B1" w:rsidRDefault="004C5041" w:rsidP="006D5A65">
      <w:pPr>
        <w:pStyle w:val="Heading2"/>
      </w:pPr>
      <w:r w:rsidRPr="0074101C">
        <w:rPr>
          <w:bCs/>
        </w:rPr>
        <w:t>Full SEP</w:t>
      </w:r>
      <w:r w:rsidRPr="007E54B1">
        <w:t xml:space="preserve"> </w:t>
      </w:r>
      <w:r w:rsidR="000712FD">
        <w:t>–</w:t>
      </w:r>
      <w:r w:rsidRPr="007E54B1">
        <w:t xml:space="preserve"> TSRT will </w:t>
      </w:r>
      <w:r>
        <w:t>transmit the SEP in its entirety, as well as transmit LERs/OWRs on behalf of the simulated FRU</w:t>
      </w:r>
      <w:r w:rsidR="0074101C">
        <w:t>.</w:t>
      </w:r>
    </w:p>
    <w:p w14:paraId="6417DB33" w14:textId="00712FFC" w:rsidR="004C5041" w:rsidRPr="007E54B1" w:rsidRDefault="004C5041" w:rsidP="006D5A65">
      <w:pPr>
        <w:pStyle w:val="Heading2"/>
      </w:pPr>
      <w:r w:rsidRPr="0074101C">
        <w:rPr>
          <w:bCs/>
        </w:rPr>
        <w:t>Elevated Posture SEP</w:t>
      </w:r>
      <w:r>
        <w:t xml:space="preserve"> –</w:t>
      </w:r>
      <w:r w:rsidRPr="007E54B1">
        <w:t xml:space="preserve"> </w:t>
      </w:r>
      <w:r>
        <w:t xml:space="preserve">Meant to simulate the subsurface FRU case where the FRU position data within the SEP message is stripped out by the enclave guard. In this case, </w:t>
      </w:r>
      <w:r w:rsidRPr="007E54B1">
        <w:lastRenderedPageBreak/>
        <w:t xml:space="preserve">TSRT will </w:t>
      </w:r>
      <w:r>
        <w:t>transmit the SEP with all of the launch position fields, launch heading field, and OWR information stripped out of the message. Additionally, TSRT will not send LERs/OWRs on behalf of the simulated FRU</w:t>
      </w:r>
      <w:r w:rsidR="0074101C">
        <w:t>.</w:t>
      </w:r>
    </w:p>
    <w:p w14:paraId="0241220D" w14:textId="0E638CF5" w:rsidR="004C5041" w:rsidRDefault="004C5041" w:rsidP="006D5A65">
      <w:pPr>
        <w:pStyle w:val="Heading2"/>
      </w:pPr>
      <w:r w:rsidRPr="0074101C">
        <w:rPr>
          <w:bCs/>
        </w:rPr>
        <w:t>No SEP</w:t>
      </w:r>
      <w:r>
        <w:t xml:space="preserve"> </w:t>
      </w:r>
      <w:r w:rsidR="000712FD">
        <w:t>–</w:t>
      </w:r>
      <w:r>
        <w:t xml:space="preserve"> TSRT will build the </w:t>
      </w:r>
      <w:r w:rsidR="0017480E">
        <w:t>SEP but</w:t>
      </w:r>
      <w:r>
        <w:t xml:space="preserve"> will not transmit the message to anyone. TSRT will also not send LERs/OWRs or automated filter messages on behalf of the simulated FRU</w:t>
      </w:r>
      <w:r w:rsidRPr="007E54B1">
        <w:t>.</w:t>
      </w:r>
    </w:p>
    <w:p w14:paraId="17C3FD21" w14:textId="77777777" w:rsidR="004C5041" w:rsidRPr="001D309A" w:rsidRDefault="004C5041" w:rsidP="004C5041">
      <w:pPr>
        <w:jc w:val="center"/>
        <w:rPr>
          <w:szCs w:val="24"/>
        </w:rPr>
      </w:pPr>
      <w:r>
        <w:rPr>
          <w:noProof/>
          <w:szCs w:val="24"/>
        </w:rPr>
        <w:drawing>
          <wp:inline distT="0" distB="0" distL="0" distR="0" wp14:anchorId="14DA66CE" wp14:editId="48A04584">
            <wp:extent cx="2286000" cy="667512"/>
            <wp:effectExtent l="0" t="0" r="0" b="0"/>
            <wp:docPr id="2263" name="Picture 2263"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 name="Picture 2263" descr="Graphical user interface, text, application, Word&#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286000" cy="667512"/>
                    </a:xfrm>
                    <a:prstGeom prst="rect">
                      <a:avLst/>
                    </a:prstGeom>
                  </pic:spPr>
                </pic:pic>
              </a:graphicData>
            </a:graphic>
          </wp:inline>
        </w:drawing>
      </w:r>
    </w:p>
    <w:p w14:paraId="54D29B81" w14:textId="52D7FDF8" w:rsidR="004C5041" w:rsidRDefault="004C5041" w:rsidP="006D5A65">
      <w:pPr>
        <w:pStyle w:val="Heading1"/>
      </w:pPr>
      <w:r>
        <w:t>Defaults to Full SEP option</w:t>
      </w:r>
      <w:r w:rsidR="0074101C">
        <w:t>.</w:t>
      </w:r>
    </w:p>
    <w:p w14:paraId="2EA47D67" w14:textId="77777777" w:rsidR="004C5041" w:rsidRPr="007E54B1" w:rsidRDefault="004C5041" w:rsidP="006D5A65">
      <w:pPr>
        <w:pStyle w:val="Heading1"/>
      </w:pPr>
      <w:r>
        <w:t>The note to the right of the field updates based on the selected option to give insight as to what each case means.</w:t>
      </w:r>
    </w:p>
    <w:p w14:paraId="55A90379" w14:textId="591D91C0" w:rsidR="00CD2871" w:rsidRPr="000665B0" w:rsidRDefault="00CD2871" w:rsidP="00B35EE5">
      <w:pPr>
        <w:pStyle w:val="Heading3"/>
      </w:pPr>
      <w:bookmarkStart w:id="6932" w:name="_FRU_Status_1"/>
      <w:bookmarkStart w:id="6933" w:name="_Toc214283606"/>
      <w:bookmarkEnd w:id="6932"/>
      <w:r w:rsidRPr="000665B0">
        <w:t>FRU Status</w:t>
      </w:r>
      <w:bookmarkEnd w:id="6929"/>
      <w:bookmarkEnd w:id="6930"/>
      <w:bookmarkEnd w:id="6933"/>
    </w:p>
    <w:p w14:paraId="4FF70FE0" w14:textId="26E05C64" w:rsidR="009F1274" w:rsidRPr="000665B0" w:rsidRDefault="00DC3A52" w:rsidP="00DC3A52">
      <w:r w:rsidRPr="000665B0">
        <w:t>The FRU Status Window displays a list of all the FRUs in the scenario. From the FRU summary list</w:t>
      </w:r>
      <w:r w:rsidR="00706D78" w:rsidRPr="000665B0">
        <w:t>’s context menu</w:t>
      </w:r>
      <w:r w:rsidRPr="000665B0">
        <w:t>, a user can</w:t>
      </w:r>
      <w:r w:rsidR="009F1274" w:rsidRPr="000665B0">
        <w:t>:</w:t>
      </w:r>
    </w:p>
    <w:p w14:paraId="5428D2D3" w14:textId="1035A963" w:rsidR="009F1274" w:rsidRPr="000665B0" w:rsidRDefault="009F1274" w:rsidP="006D5A65">
      <w:pPr>
        <w:pStyle w:val="Heading1"/>
      </w:pPr>
      <w:r w:rsidRPr="000665B0">
        <w:t>S</w:t>
      </w:r>
      <w:r w:rsidR="00DC3A52" w:rsidRPr="000665B0">
        <w:t>et up complications for a specific FRU</w:t>
      </w:r>
      <w:r w:rsidR="00C67048" w:rsidRPr="000665B0">
        <w:t xml:space="preserve"> (see </w:t>
      </w:r>
      <w:hyperlink w:anchor="_Complications" w:history="1">
        <w:r w:rsidR="00C67048" w:rsidRPr="000665B0">
          <w:rPr>
            <w:rStyle w:val="Hyperlink"/>
          </w:rPr>
          <w:t xml:space="preserve">Section </w:t>
        </w:r>
        <w:r w:rsidR="004231CC">
          <w:rPr>
            <w:rStyle w:val="Hyperlink"/>
          </w:rPr>
          <w:t>5.37</w:t>
        </w:r>
        <w:r w:rsidR="00C67048" w:rsidRPr="000665B0">
          <w:rPr>
            <w:rStyle w:val="Hyperlink"/>
          </w:rPr>
          <w:t>.4.1</w:t>
        </w:r>
      </w:hyperlink>
      <w:r w:rsidR="00C67048" w:rsidRPr="000665B0">
        <w:t>)</w:t>
      </w:r>
      <w:r w:rsidRPr="000665B0">
        <w:t>.</w:t>
      </w:r>
      <w:r w:rsidR="00DC3A52" w:rsidRPr="000665B0">
        <w:t xml:space="preserve"> </w:t>
      </w:r>
    </w:p>
    <w:p w14:paraId="3D2CC94F" w14:textId="7C2F9621" w:rsidR="009F1274" w:rsidRPr="000665B0" w:rsidRDefault="009F1274" w:rsidP="006D5A65">
      <w:pPr>
        <w:pStyle w:val="Heading1"/>
      </w:pPr>
      <w:r w:rsidRPr="000665B0">
        <w:t>Set the FRU</w:t>
      </w:r>
      <w:r w:rsidR="008B2AC4" w:rsidRPr="000665B0">
        <w:t>’s</w:t>
      </w:r>
      <w:r w:rsidR="00BE1959" w:rsidRPr="000665B0">
        <w:t xml:space="preserve"> missiles</w:t>
      </w:r>
      <w:r w:rsidRPr="000665B0">
        <w:t xml:space="preserve"> as Externally Simulated or Simulated by TSRT</w:t>
      </w:r>
      <w:r w:rsidR="00C67048" w:rsidRPr="000665B0">
        <w:t xml:space="preserve"> (see </w:t>
      </w:r>
      <w:hyperlink w:anchor="_Missiles" w:history="1">
        <w:r w:rsidR="00C67048" w:rsidRPr="000665B0">
          <w:rPr>
            <w:rStyle w:val="Hyperlink"/>
          </w:rPr>
          <w:t xml:space="preserve">Section </w:t>
        </w:r>
        <w:r w:rsidR="004231CC">
          <w:rPr>
            <w:rStyle w:val="Hyperlink"/>
          </w:rPr>
          <w:t>5.37</w:t>
        </w:r>
        <w:r w:rsidR="00C67048" w:rsidRPr="000665B0">
          <w:rPr>
            <w:rStyle w:val="Hyperlink"/>
          </w:rPr>
          <w:t>.4.2</w:t>
        </w:r>
      </w:hyperlink>
      <w:r w:rsidR="00C67048" w:rsidRPr="000665B0">
        <w:t>)</w:t>
      </w:r>
      <w:r w:rsidRPr="000665B0">
        <w:t>.</w:t>
      </w:r>
    </w:p>
    <w:p w14:paraId="7A33C1AC" w14:textId="272CDEB9" w:rsidR="009F1274" w:rsidRPr="000665B0" w:rsidRDefault="009F1274" w:rsidP="006D5A65">
      <w:pPr>
        <w:pStyle w:val="Heading1"/>
      </w:pPr>
      <w:r w:rsidRPr="000665B0">
        <w:t>S</w:t>
      </w:r>
      <w:r w:rsidR="00DC3A52" w:rsidRPr="000665B0">
        <w:t xml:space="preserve">end Ping messages, </w:t>
      </w:r>
      <w:r w:rsidR="00D1070E" w:rsidRPr="000665B0">
        <w:t xml:space="preserve">SPEOs, OWRs, </w:t>
      </w:r>
      <w:r w:rsidR="00DC3A52" w:rsidRPr="000665B0">
        <w:t>firing reports, and inventory reports</w:t>
      </w:r>
      <w:r w:rsidR="00C67048" w:rsidRPr="000665B0">
        <w:t xml:space="preserve"> (see </w:t>
      </w:r>
      <w:hyperlink w:anchor="_5_.39.4.3_" w:history="1">
        <w:r w:rsidR="00C67048" w:rsidRPr="000665B0">
          <w:rPr>
            <w:rStyle w:val="Hyperlink"/>
          </w:rPr>
          <w:t xml:space="preserve">Section </w:t>
        </w:r>
        <w:r w:rsidR="004231CC">
          <w:rPr>
            <w:rStyle w:val="Hyperlink"/>
          </w:rPr>
          <w:t>5.37</w:t>
        </w:r>
        <w:r w:rsidR="00C67048" w:rsidRPr="000665B0">
          <w:rPr>
            <w:rStyle w:val="Hyperlink"/>
          </w:rPr>
          <w:t>.4.3</w:t>
        </w:r>
      </w:hyperlink>
      <w:r w:rsidR="00C67048" w:rsidRPr="000665B0">
        <w:t>)</w:t>
      </w:r>
      <w:r w:rsidRPr="000665B0">
        <w:t>.</w:t>
      </w:r>
    </w:p>
    <w:p w14:paraId="2E99EBDB" w14:textId="7FAD9655" w:rsidR="009F1274" w:rsidRPr="000665B0" w:rsidRDefault="009F1274" w:rsidP="006D5A65">
      <w:pPr>
        <w:pStyle w:val="Heading1"/>
      </w:pPr>
      <w:r w:rsidRPr="000665B0">
        <w:t>V</w:t>
      </w:r>
      <w:r w:rsidR="00DC3A52" w:rsidRPr="000665B0">
        <w:t>iew PM</w:t>
      </w:r>
      <w:r w:rsidR="00DC3A52" w:rsidRPr="000665B0">
        <w:rPr>
          <w:szCs w:val="24"/>
        </w:rPr>
        <w:t>3</w:t>
      </w:r>
      <w:r w:rsidR="003C7D09" w:rsidRPr="000665B0">
        <w:t xml:space="preserve"> information</w:t>
      </w:r>
      <w:r w:rsidR="00C67048" w:rsidRPr="000665B0">
        <w:t xml:space="preserve"> (see </w:t>
      </w:r>
      <w:hyperlink w:anchor="_View_PM3" w:history="1">
        <w:r w:rsidR="00C67048" w:rsidRPr="000665B0">
          <w:rPr>
            <w:rStyle w:val="Hyperlink"/>
          </w:rPr>
          <w:t xml:space="preserve">Section </w:t>
        </w:r>
        <w:r w:rsidR="004231CC">
          <w:rPr>
            <w:rStyle w:val="Hyperlink"/>
          </w:rPr>
          <w:t>5.37</w:t>
        </w:r>
        <w:r w:rsidR="00C67048" w:rsidRPr="000665B0">
          <w:rPr>
            <w:rStyle w:val="Hyperlink"/>
          </w:rPr>
          <w:t>.4.4</w:t>
        </w:r>
      </w:hyperlink>
      <w:r w:rsidR="00C67048" w:rsidRPr="000665B0">
        <w:t>)</w:t>
      </w:r>
      <w:r w:rsidRPr="000665B0">
        <w:t xml:space="preserve">. </w:t>
      </w:r>
    </w:p>
    <w:p w14:paraId="61F9FA83" w14:textId="77777777" w:rsidR="00DC3A52" w:rsidRPr="000665B0" w:rsidRDefault="00DC3A52" w:rsidP="009F1274">
      <w:r w:rsidRPr="000665B0">
        <w:t>Note that none of the options in the context menu will be enabled if the FRU is set up to be a LIVE FRU.</w:t>
      </w:r>
    </w:p>
    <w:p w14:paraId="4E0C5825" w14:textId="17B3EB6E" w:rsidR="00CD2871" w:rsidRPr="000665B0" w:rsidRDefault="00714C80" w:rsidP="00CD2871">
      <w:pPr>
        <w:jc w:val="center"/>
      </w:pPr>
      <w:r w:rsidRPr="000665B0">
        <w:rPr>
          <w:noProof/>
        </w:rPr>
        <w:drawing>
          <wp:inline distT="0" distB="0" distL="0" distR="0" wp14:anchorId="43A65CE3" wp14:editId="51E81318">
            <wp:extent cx="4983480" cy="521208"/>
            <wp:effectExtent l="0" t="0" r="0" b="0"/>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521208"/>
                    </a:xfrm>
                    <a:prstGeom prst="rect">
                      <a:avLst/>
                    </a:prstGeom>
                  </pic:spPr>
                </pic:pic>
              </a:graphicData>
            </a:graphic>
          </wp:inline>
        </w:drawing>
      </w:r>
    </w:p>
    <w:p w14:paraId="4A9E5424" w14:textId="44F4EBDA" w:rsidR="00CD2871" w:rsidRPr="000665B0" w:rsidRDefault="00CD2871" w:rsidP="00B35EE5">
      <w:pPr>
        <w:pStyle w:val="Heading4"/>
      </w:pPr>
      <w:bookmarkStart w:id="6934" w:name="_Complications"/>
      <w:bookmarkStart w:id="6935" w:name="_Toc134585752"/>
      <w:bookmarkStart w:id="6936" w:name="_Toc289328957"/>
      <w:bookmarkEnd w:id="6934"/>
      <w:r w:rsidRPr="000665B0">
        <w:t>Complications</w:t>
      </w:r>
      <w:bookmarkEnd w:id="6935"/>
      <w:bookmarkEnd w:id="6936"/>
    </w:p>
    <w:p w14:paraId="370EB49B" w14:textId="1852116D" w:rsidR="00CD2871" w:rsidRPr="000665B0" w:rsidRDefault="00DC3A52" w:rsidP="00595CE0">
      <w:pPr>
        <w:spacing w:after="0"/>
      </w:pPr>
      <w:r w:rsidRPr="000665B0">
        <w:t xml:space="preserve">From the </w:t>
      </w:r>
      <w:r w:rsidRPr="000665B0">
        <w:rPr>
          <w:i/>
        </w:rPr>
        <w:t>FRU Status</w:t>
      </w:r>
      <w:r w:rsidRPr="000665B0">
        <w:t xml:space="preserve"> window, highlight the desired FRU, invoke the context menu (</w:t>
      </w:r>
      <w:r w:rsidR="00D71804" w:rsidRPr="000665B0">
        <w:t>right-click</w:t>
      </w:r>
      <w:r w:rsidRPr="000665B0">
        <w:t xml:space="preserve"> the mouse) and select </w:t>
      </w:r>
      <w:r w:rsidRPr="000665B0">
        <w:rPr>
          <w:b/>
        </w:rPr>
        <w:t>Complications…</w:t>
      </w:r>
      <w:r w:rsidR="00DC5DE2" w:rsidRPr="000665B0">
        <w:rPr>
          <w:b/>
        </w:rPr>
        <w:t xml:space="preserve"> </w:t>
      </w:r>
      <w:r w:rsidRPr="000665B0">
        <w:t>(or just double-click on the FRU). For more information on FRU Complications see</w:t>
      </w:r>
      <w:r w:rsidR="00B574A8" w:rsidRPr="000665B0">
        <w:t xml:space="preserve"> </w:t>
      </w:r>
      <w:hyperlink w:anchor="_FRU_Complications_1" w:history="1">
        <w:r w:rsidR="00B574A8" w:rsidRPr="000665B0">
          <w:rPr>
            <w:rStyle w:val="Hyperlink"/>
          </w:rPr>
          <w:t xml:space="preserve">Section </w:t>
        </w:r>
        <w:r w:rsidR="004231CC">
          <w:rPr>
            <w:rStyle w:val="Hyperlink"/>
          </w:rPr>
          <w:t>5.37</w:t>
        </w:r>
        <w:r w:rsidR="00B574A8" w:rsidRPr="000665B0">
          <w:rPr>
            <w:rStyle w:val="Hyperlink"/>
          </w:rPr>
          <w:t>.14.</w:t>
        </w:r>
        <w:r w:rsidR="00D46E30" w:rsidRPr="000665B0">
          <w:rPr>
            <w:rStyle w:val="Hyperlink"/>
          </w:rPr>
          <w:t>6</w:t>
        </w:r>
      </w:hyperlink>
      <w:r w:rsidR="00B574A8" w:rsidRPr="000665B0">
        <w:t>.</w:t>
      </w:r>
    </w:p>
    <w:p w14:paraId="4A337BBE" w14:textId="0308F6D8" w:rsidR="009F1274" w:rsidRPr="000665B0" w:rsidRDefault="00E902A1" w:rsidP="001E137B">
      <w:pPr>
        <w:pStyle w:val="Heading4"/>
      </w:pPr>
      <w:bookmarkStart w:id="6937" w:name="_5.39.4.2__Set"/>
      <w:bookmarkStart w:id="6938" w:name="_Missiles"/>
      <w:bookmarkStart w:id="6939" w:name="_Toc134585753"/>
      <w:bookmarkStart w:id="6940" w:name="_Toc289328958"/>
      <w:bookmarkEnd w:id="6937"/>
      <w:bookmarkEnd w:id="6938"/>
      <w:r w:rsidRPr="000665B0">
        <w:t>Missiles</w:t>
      </w:r>
    </w:p>
    <w:p w14:paraId="341F1545" w14:textId="77777777" w:rsidR="000D2195" w:rsidRPr="000665B0" w:rsidRDefault="000D2195" w:rsidP="00A0163E">
      <w:r w:rsidRPr="000665B0">
        <w:t>To set the FRU</w:t>
      </w:r>
      <w:r w:rsidR="00E902A1" w:rsidRPr="000665B0">
        <w:t>’s</w:t>
      </w:r>
      <w:r w:rsidRPr="000665B0">
        <w:t xml:space="preserve"> </w:t>
      </w:r>
      <w:r w:rsidR="00BE1959" w:rsidRPr="000665B0">
        <w:t>m</w:t>
      </w:r>
      <w:r w:rsidR="00AC4CED" w:rsidRPr="000665B0">
        <w:t xml:space="preserve">issiles </w:t>
      </w:r>
      <w:r w:rsidRPr="000665B0">
        <w:t>as Externally Simulated or Simulated by TSRT:</w:t>
      </w:r>
    </w:p>
    <w:p w14:paraId="277FCB77" w14:textId="696A08CE" w:rsidR="000D2195" w:rsidRPr="000665B0" w:rsidRDefault="000D2195" w:rsidP="006D5A65">
      <w:pPr>
        <w:pStyle w:val="Heading1"/>
      </w:pPr>
      <w:r w:rsidRPr="000665B0">
        <w:lastRenderedPageBreak/>
        <w:t xml:space="preserve">From the </w:t>
      </w:r>
      <w:r w:rsidRPr="000665B0">
        <w:rPr>
          <w:i/>
        </w:rPr>
        <w:t>FRU Status</w:t>
      </w:r>
      <w:r w:rsidRPr="000665B0">
        <w:t xml:space="preserve"> window</w:t>
      </w:r>
      <w:r w:rsidR="00BE1959" w:rsidRPr="000665B0">
        <w:t>, the TSRT Geo, or the TSRT Gantt</w:t>
      </w:r>
      <w:r w:rsidRPr="000665B0">
        <w:t>, highlight the desired FRU, invoke the context menu (</w:t>
      </w:r>
      <w:r w:rsidR="00D71804" w:rsidRPr="000665B0">
        <w:t>right-click</w:t>
      </w:r>
      <w:r w:rsidRPr="000665B0">
        <w:t xml:space="preserve"> the mouse) and select</w:t>
      </w:r>
      <w:r w:rsidR="00BE1959" w:rsidRPr="000665B0">
        <w:t xml:space="preserve"> Missiles </w:t>
      </w:r>
      <w:r w:rsidR="00BE1959" w:rsidRPr="000665B0">
        <w:sym w:font="Wingdings 3" w:char="F07D"/>
      </w:r>
      <w:r w:rsidRPr="000665B0">
        <w:t>:</w:t>
      </w:r>
    </w:p>
    <w:p w14:paraId="6CAD4E13" w14:textId="5FD98FCD" w:rsidR="000D2195" w:rsidRPr="000665B0" w:rsidRDefault="000D2195" w:rsidP="006D5A65">
      <w:pPr>
        <w:pStyle w:val="Heading1"/>
      </w:pPr>
      <w:r w:rsidRPr="000665B0">
        <w:t xml:space="preserve">Externally Simulated – </w:t>
      </w:r>
      <w:r w:rsidR="00105ADA" w:rsidRPr="000665B0">
        <w:rPr>
          <w:noProof/>
        </w:rPr>
        <w:t xml:space="preserve">All comms will be disabled for all </w:t>
      </w:r>
      <w:r w:rsidR="00234598" w:rsidRPr="000665B0">
        <w:rPr>
          <w:noProof/>
        </w:rPr>
        <w:t xml:space="preserve">of </w:t>
      </w:r>
      <w:r w:rsidR="00105ADA" w:rsidRPr="000665B0">
        <w:rPr>
          <w:noProof/>
        </w:rPr>
        <w:t>the missiles to be launched by the selected FRU. This has no effect if the missiles have already been launched.</w:t>
      </w:r>
    </w:p>
    <w:p w14:paraId="4F99116F" w14:textId="77777777" w:rsidR="000D2195" w:rsidRPr="000665B0" w:rsidRDefault="000D2195" w:rsidP="000D2195">
      <w:pPr>
        <w:ind w:left="720"/>
      </w:pPr>
      <w:r w:rsidRPr="000665B0">
        <w:t>or</w:t>
      </w:r>
    </w:p>
    <w:p w14:paraId="3E3EA3C5" w14:textId="386E89CF" w:rsidR="000D2195" w:rsidRPr="000665B0" w:rsidRDefault="000D2195" w:rsidP="006D5A65">
      <w:pPr>
        <w:pStyle w:val="Heading1"/>
      </w:pPr>
      <w:r w:rsidRPr="000665B0">
        <w:t xml:space="preserve">Simulated by TSRT – </w:t>
      </w:r>
      <w:r w:rsidR="00105ADA" w:rsidRPr="000665B0">
        <w:rPr>
          <w:noProof/>
        </w:rPr>
        <w:t xml:space="preserve">All comms will be enabled for all </w:t>
      </w:r>
      <w:r w:rsidR="00234598" w:rsidRPr="000665B0">
        <w:rPr>
          <w:noProof/>
        </w:rPr>
        <w:t xml:space="preserve">of </w:t>
      </w:r>
      <w:r w:rsidR="00105ADA" w:rsidRPr="000665B0">
        <w:rPr>
          <w:noProof/>
        </w:rPr>
        <w:t>the missiles to be launched by the selected FRU (if comms were previously disabled by setting it to Externally Simulated). This has no effect if the missiles have already been launched.</w:t>
      </w:r>
    </w:p>
    <w:p w14:paraId="041D8B3F" w14:textId="09F27E7C" w:rsidR="00CD2871" w:rsidRPr="000665B0" w:rsidRDefault="00CD2871" w:rsidP="00B35EE5">
      <w:pPr>
        <w:pStyle w:val="Heading4"/>
      </w:pPr>
      <w:bookmarkStart w:id="6941" w:name="_5_.39.4.3_"/>
      <w:bookmarkEnd w:id="6941"/>
      <w:r w:rsidRPr="000665B0">
        <w:t>Send</w:t>
      </w:r>
      <w:bookmarkEnd w:id="6939"/>
      <w:bookmarkEnd w:id="6940"/>
    </w:p>
    <w:p w14:paraId="7C7398B8" w14:textId="137A544D" w:rsidR="00CD2871" w:rsidRPr="000665B0" w:rsidRDefault="00CD2871" w:rsidP="00CD2871">
      <w:pPr>
        <w:spacing w:after="0"/>
      </w:pPr>
      <w:r w:rsidRPr="000665B0">
        <w:t xml:space="preserve">Send allows the user to send a ping, </w:t>
      </w:r>
      <w:r w:rsidR="009F1274" w:rsidRPr="000665B0">
        <w:t xml:space="preserve">SPEO, planned OWR, </w:t>
      </w:r>
      <w:r w:rsidRPr="000665B0">
        <w:t>firing report, inventory report</w:t>
      </w:r>
      <w:r w:rsidR="00861A24">
        <w:t>, or an ACA Filter Message</w:t>
      </w:r>
      <w:r w:rsidRPr="000665B0">
        <w:t xml:space="preserve"> from the specified FRU.</w:t>
      </w:r>
    </w:p>
    <w:p w14:paraId="79B6CAD1" w14:textId="132D998A" w:rsidR="00CD2871" w:rsidRPr="000665B0" w:rsidRDefault="00CD2871" w:rsidP="00427C63">
      <w:pPr>
        <w:pStyle w:val="Heading5"/>
      </w:pPr>
      <w:bookmarkStart w:id="6942" w:name="_Toc134585754"/>
      <w:bookmarkStart w:id="6943" w:name="_Toc289328959"/>
      <w:r w:rsidRPr="000665B0">
        <w:t>Ping</w:t>
      </w:r>
      <w:bookmarkEnd w:id="6942"/>
      <w:bookmarkEnd w:id="6943"/>
    </w:p>
    <w:p w14:paraId="748FBD6B" w14:textId="631DF4D1" w:rsidR="00CD2871" w:rsidRDefault="00CD2871" w:rsidP="00595CE0">
      <w:r w:rsidRPr="000665B0">
        <w:t>To send a</w:t>
      </w:r>
      <w:r w:rsidR="008C6ACD">
        <w:t>n ACA</w:t>
      </w:r>
      <w:r w:rsidRPr="000665B0">
        <w:t xml:space="preserve"> ping from a specific FRU, </w:t>
      </w:r>
      <w:r w:rsidR="00D71804" w:rsidRPr="000665B0">
        <w:t>right-click</w:t>
      </w:r>
      <w:r w:rsidRPr="000665B0">
        <w:t xml:space="preserve"> on it and choose </w:t>
      </w:r>
      <w:r w:rsidRPr="000665B0">
        <w:rPr>
          <w:b/>
        </w:rPr>
        <w:t xml:space="preserve">Send </w:t>
      </w:r>
      <w:r w:rsidR="00A05D58" w:rsidRPr="000665B0">
        <w:rPr>
          <w:b/>
        </w:rPr>
        <w:sym w:font="Wingdings" w:char="F0E0"/>
      </w:r>
      <w:r w:rsidRPr="000665B0">
        <w:rPr>
          <w:b/>
        </w:rPr>
        <w:t xml:space="preserve"> Ping</w:t>
      </w:r>
      <w:r w:rsidR="008C6ACD">
        <w:rPr>
          <w:b/>
        </w:rPr>
        <w:t xml:space="preserve"> </w:t>
      </w:r>
      <w:r w:rsidR="008C6ACD" w:rsidRPr="000665B0">
        <w:rPr>
          <w:b/>
        </w:rPr>
        <w:sym w:font="Wingdings" w:char="F0E0"/>
      </w:r>
      <w:r w:rsidR="008C6ACD">
        <w:rPr>
          <w:b/>
        </w:rPr>
        <w:t xml:space="preserve"> ACA</w:t>
      </w:r>
      <w:r w:rsidRPr="000665B0">
        <w:t>.</w:t>
      </w:r>
    </w:p>
    <w:p w14:paraId="081497C7" w14:textId="41312FED" w:rsidR="008C6ACD" w:rsidRPr="000665B0" w:rsidRDefault="008C6ACD" w:rsidP="001F4B14">
      <w:pPr>
        <w:rPr>
          <w:bCs/>
        </w:rPr>
      </w:pPr>
      <w:r w:rsidRPr="000665B0">
        <w:t>To send a</w:t>
      </w:r>
      <w:r>
        <w:t xml:space="preserve"> DAMA</w:t>
      </w:r>
      <w:r w:rsidRPr="000665B0">
        <w:t xml:space="preserve"> ping from a specific FRU, right-click on it and choose </w:t>
      </w:r>
      <w:r w:rsidRPr="000665B0">
        <w:rPr>
          <w:b/>
        </w:rPr>
        <w:t xml:space="preserve">Send </w:t>
      </w:r>
      <w:r w:rsidRPr="000665B0">
        <w:rPr>
          <w:b/>
        </w:rPr>
        <w:sym w:font="Wingdings" w:char="F0E0"/>
      </w:r>
      <w:r w:rsidRPr="000665B0">
        <w:rPr>
          <w:b/>
        </w:rPr>
        <w:t xml:space="preserve"> Ping</w:t>
      </w:r>
      <w:r w:rsidRPr="000665B0">
        <w:rPr>
          <w:b/>
        </w:rPr>
        <w:sym w:font="Wingdings" w:char="F0E0"/>
      </w:r>
      <w:r w:rsidRPr="000665B0">
        <w:rPr>
          <w:b/>
        </w:rPr>
        <w:t xml:space="preserve"> </w:t>
      </w:r>
      <w:r>
        <w:rPr>
          <w:b/>
        </w:rPr>
        <w:t>DAMA</w:t>
      </w:r>
      <w:r w:rsidRPr="000665B0">
        <w:t>.</w:t>
      </w:r>
    </w:p>
    <w:p w14:paraId="496297B3" w14:textId="1C234462" w:rsidR="00CD2871" w:rsidRPr="000665B0" w:rsidRDefault="000C3BF5" w:rsidP="00FF6C44">
      <w:r w:rsidRPr="000665B0">
        <w:t xml:space="preserve">Sending a ping sends a message from the specific FRU to test communications with the TSRT’s TED. If the FRU receives a </w:t>
      </w:r>
      <w:r w:rsidR="00595CE0" w:rsidRPr="000665B0">
        <w:t>response,</w:t>
      </w:r>
      <w:r w:rsidRPr="000665B0">
        <w:t xml:space="preserve"> then TSRT knows that communication between the TED and the FRU is good</w:t>
      </w:r>
      <w:r w:rsidR="00FF6C44" w:rsidRPr="000665B0">
        <w:t>.</w:t>
      </w:r>
      <w:r w:rsidR="00451F70" w:rsidRPr="000665B0">
        <w:t xml:space="preserve"> When a ping is sent to a TTWCS V5.6 or above, two pings are actually sent: one for DAMA, and one for ACA.</w:t>
      </w:r>
    </w:p>
    <w:p w14:paraId="436B990B" w14:textId="77777777" w:rsidR="008C6ACD" w:rsidRPr="000665B0" w:rsidRDefault="00D1070E" w:rsidP="008C6ACD">
      <w:bookmarkStart w:id="6944" w:name="_Toc134585755"/>
      <w:r w:rsidRPr="000665B0">
        <w:t>When multiple FRUs are selected, this menu choice is disabled.</w:t>
      </w:r>
      <w:r w:rsidR="008C6ACD">
        <w:t xml:space="preserve"> For FRUs that are not ACA capable, the ACA menu choice is disabled.</w:t>
      </w:r>
    </w:p>
    <w:p w14:paraId="6C28AB26" w14:textId="239AC6B6" w:rsidR="00FF6C44" w:rsidRPr="000665B0" w:rsidRDefault="000C3BF5" w:rsidP="00FF6C44">
      <w:pPr>
        <w:spacing w:after="0"/>
      </w:pPr>
      <w:r w:rsidRPr="000665B0">
        <w:t xml:space="preserve">TSRT originated PINGs are addressed to the TSRT’s TED only. If other MDSs in the </w:t>
      </w:r>
      <w:r w:rsidR="00EA51F4" w:rsidRPr="000665B0">
        <w:t>Task O</w:t>
      </w:r>
      <w:r w:rsidRPr="000665B0">
        <w:t>rg</w:t>
      </w:r>
      <w:r w:rsidR="00EA51F4" w:rsidRPr="000665B0">
        <w:t>anization</w:t>
      </w:r>
      <w:r w:rsidRPr="000665B0">
        <w:t xml:space="preserve"> show a failed PING, disregard the failure</w:t>
      </w:r>
      <w:r w:rsidR="00FF6C44" w:rsidRPr="000665B0">
        <w:rPr>
          <w:rStyle w:val="bodycopy"/>
        </w:rPr>
        <w:t>.</w:t>
      </w:r>
    </w:p>
    <w:p w14:paraId="6F3AB07C" w14:textId="5767EFB7" w:rsidR="00B749E5" w:rsidRPr="000665B0" w:rsidRDefault="00B749E5" w:rsidP="00E7111D">
      <w:pPr>
        <w:pStyle w:val="Heading5"/>
      </w:pPr>
      <w:bookmarkStart w:id="6945" w:name="_Toc289328960"/>
      <w:r w:rsidRPr="000665B0">
        <w:t>SPEOs</w:t>
      </w:r>
    </w:p>
    <w:p w14:paraId="3991839A" w14:textId="460F5A37" w:rsidR="00B749E5" w:rsidRPr="000665B0" w:rsidRDefault="00B749E5" w:rsidP="001F4B14">
      <w:r w:rsidRPr="000665B0">
        <w:t xml:space="preserve">To send SPEOs from a specific FRU, </w:t>
      </w:r>
      <w:r w:rsidR="00D71804" w:rsidRPr="000665B0">
        <w:t>right-click</w:t>
      </w:r>
      <w:r w:rsidRPr="000665B0">
        <w:t xml:space="preserve"> on it and choose </w:t>
      </w:r>
      <w:r w:rsidRPr="000665B0">
        <w:rPr>
          <w:b/>
        </w:rPr>
        <w:t xml:space="preserve">Send </w:t>
      </w:r>
      <w:r w:rsidRPr="000665B0">
        <w:rPr>
          <w:b/>
        </w:rPr>
        <w:sym w:font="Wingdings" w:char="F0E0"/>
      </w:r>
      <w:r w:rsidRPr="000665B0">
        <w:rPr>
          <w:b/>
        </w:rPr>
        <w:t xml:space="preserve"> SPEOs </w:t>
      </w:r>
      <w:r w:rsidRPr="000665B0">
        <w:rPr>
          <w:b/>
        </w:rPr>
        <w:sym w:font="Wingdings" w:char="F0E0"/>
      </w:r>
      <w:r w:rsidRPr="000665B0">
        <w:rPr>
          <w:b/>
        </w:rPr>
        <w:t xml:space="preserve"> (All Strikes or a specific strike)</w:t>
      </w:r>
      <w:r w:rsidRPr="000665B0">
        <w:t>.</w:t>
      </w:r>
    </w:p>
    <w:p w14:paraId="1E727CD8" w14:textId="77777777" w:rsidR="00B749E5" w:rsidRPr="000665B0" w:rsidRDefault="00B749E5" w:rsidP="00B749E5">
      <w:pPr>
        <w:spacing w:after="0"/>
      </w:pPr>
      <w:r w:rsidRPr="000665B0">
        <w:t xml:space="preserve">This option sends one or more strike exceptions (SPEOs) on behalf of the selected simulated FRU(s). If the user selects </w:t>
      </w:r>
      <w:r w:rsidRPr="000665B0">
        <w:rPr>
          <w:i/>
        </w:rPr>
        <w:t>All Strikes</w:t>
      </w:r>
      <w:r w:rsidRPr="000665B0">
        <w:t>, separate SPEOs will be generated for every strike for which that simulated FRU is part of the arsenal. If a specific strike is chosen, the simulated FRU will issue one SPEO for that specific strike. If multiple FRUs are selected, SPEOs will be issued on behalf of each of the selected simulated FRUs. SPEOs are not sent for FRUs designated as live.</w:t>
      </w:r>
    </w:p>
    <w:p w14:paraId="1CF7504E" w14:textId="77777777" w:rsidR="00DD1878" w:rsidRDefault="00DD1878" w:rsidP="00DD1878">
      <w:pPr>
        <w:pStyle w:val="Heading5"/>
      </w:pPr>
      <w:r>
        <w:lastRenderedPageBreak/>
        <w:t>SEP Use State Changes</w:t>
      </w:r>
    </w:p>
    <w:p w14:paraId="56D07FE0" w14:textId="77777777" w:rsidR="00DD1878" w:rsidRDefault="00DD1878" w:rsidP="001F4B14">
      <w:pPr>
        <w:jc w:val="center"/>
      </w:pPr>
      <w:r w:rsidRPr="001E5294">
        <w:rPr>
          <w:noProof/>
        </w:rPr>
        <w:drawing>
          <wp:inline distT="0" distB="0" distL="0" distR="0" wp14:anchorId="1355A767" wp14:editId="2E2C41DF">
            <wp:extent cx="4890099" cy="1516380"/>
            <wp:effectExtent l="0" t="0" r="0" b="0"/>
            <wp:docPr id="2266" name="Picture 226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 name="Picture 2266" descr="Graphical user interface, application&#10;&#10;Description automatically generated"/>
                    <pic:cNvPicPr/>
                  </pic:nvPicPr>
                  <pic:blipFill>
                    <a:blip/>
                    <a:stretch>
                      <a:fillRect/>
                    </a:stretch>
                  </pic:blipFill>
                  <pic:spPr>
                    <a:xfrm>
                      <a:off x="0" y="0"/>
                      <a:ext cx="4938194" cy="1531294"/>
                    </a:xfrm>
                    <a:prstGeom prst="rect">
                      <a:avLst/>
                    </a:prstGeom>
                  </pic:spPr>
                </pic:pic>
              </a:graphicData>
            </a:graphic>
          </wp:inline>
        </w:drawing>
      </w:r>
    </w:p>
    <w:p w14:paraId="18108C12" w14:textId="45745161" w:rsidR="00D50D25" w:rsidRDefault="00DD1878" w:rsidP="00DD1878">
      <w:r>
        <w:t>A SEP Use State Change can only be sent by MST capable FRUs. The context menu will only list SEPs who’s missiles haven't been launched with only the permissible use states.</w:t>
      </w:r>
    </w:p>
    <w:tbl>
      <w:tblPr>
        <w:tblStyle w:val="TableGrid"/>
        <w:tblW w:w="0" w:type="auto"/>
        <w:jc w:val="center"/>
        <w:tblLook w:val="04A0" w:firstRow="1" w:lastRow="0" w:firstColumn="1" w:lastColumn="0" w:noHBand="0" w:noVBand="1"/>
      </w:tblPr>
      <w:tblGrid>
        <w:gridCol w:w="2515"/>
        <w:gridCol w:w="3600"/>
      </w:tblGrid>
      <w:tr w:rsidR="00DD1878" w:rsidRPr="00DD1878" w14:paraId="24115809" w14:textId="77777777" w:rsidTr="00DD1878">
        <w:trPr>
          <w:jc w:val="center"/>
        </w:trPr>
        <w:tc>
          <w:tcPr>
            <w:tcW w:w="2515" w:type="dxa"/>
            <w:shd w:val="clear" w:color="auto" w:fill="D9D9D9" w:themeFill="background1" w:themeFillShade="D9"/>
          </w:tcPr>
          <w:p w14:paraId="7EBF2502" w14:textId="48590BA0" w:rsidR="00DD1878" w:rsidRPr="00DD1878" w:rsidRDefault="00DD1878" w:rsidP="00DD1878">
            <w:pPr>
              <w:spacing w:before="60" w:after="60" w:line="240" w:lineRule="auto"/>
              <w:rPr>
                <w:b/>
                <w:bCs/>
              </w:rPr>
            </w:pPr>
            <w:r w:rsidRPr="00DD1878">
              <w:rPr>
                <w:b/>
                <w:bCs/>
              </w:rPr>
              <w:t>Current State</w:t>
            </w:r>
          </w:p>
        </w:tc>
        <w:tc>
          <w:tcPr>
            <w:tcW w:w="3600" w:type="dxa"/>
            <w:shd w:val="clear" w:color="auto" w:fill="D9D9D9" w:themeFill="background1" w:themeFillShade="D9"/>
          </w:tcPr>
          <w:p w14:paraId="05FBB311" w14:textId="792E8ACE" w:rsidR="00DD1878" w:rsidRPr="00DD1878" w:rsidRDefault="00DD1878" w:rsidP="00DD1878">
            <w:pPr>
              <w:spacing w:before="60" w:after="60" w:line="240" w:lineRule="auto"/>
              <w:rPr>
                <w:b/>
                <w:bCs/>
              </w:rPr>
            </w:pPr>
            <w:r w:rsidRPr="00DD1878">
              <w:rPr>
                <w:b/>
                <w:bCs/>
              </w:rPr>
              <w:t>Permissible Use State Changes</w:t>
            </w:r>
          </w:p>
        </w:tc>
      </w:tr>
      <w:tr w:rsidR="00DD1878" w14:paraId="1683C3E8" w14:textId="77777777" w:rsidTr="00DD1878">
        <w:trPr>
          <w:jc w:val="center"/>
        </w:trPr>
        <w:tc>
          <w:tcPr>
            <w:tcW w:w="2515" w:type="dxa"/>
          </w:tcPr>
          <w:p w14:paraId="486B2856" w14:textId="5A383A05" w:rsidR="00DD1878" w:rsidRDefault="00DD1878" w:rsidP="00DD1878">
            <w:pPr>
              <w:spacing w:before="60" w:after="60" w:line="240" w:lineRule="auto"/>
            </w:pPr>
            <w:r>
              <w:t>Execute</w:t>
            </w:r>
          </w:p>
        </w:tc>
        <w:tc>
          <w:tcPr>
            <w:tcW w:w="3600" w:type="dxa"/>
          </w:tcPr>
          <w:p w14:paraId="51F747A1" w14:textId="61DC24EB" w:rsidR="00DD1878" w:rsidRDefault="00DD1878" w:rsidP="00DD1878">
            <w:pPr>
              <w:spacing w:before="60" w:after="60" w:line="240" w:lineRule="auto"/>
            </w:pPr>
            <w:r>
              <w:t>Holdfire, Cancel</w:t>
            </w:r>
          </w:p>
        </w:tc>
      </w:tr>
      <w:tr w:rsidR="00DD1878" w14:paraId="0E7BC264" w14:textId="77777777" w:rsidTr="00DD1878">
        <w:trPr>
          <w:jc w:val="center"/>
        </w:trPr>
        <w:tc>
          <w:tcPr>
            <w:tcW w:w="2515" w:type="dxa"/>
          </w:tcPr>
          <w:p w14:paraId="57FF5BA5" w14:textId="4BE53A5C" w:rsidR="00DD1878" w:rsidRDefault="00DD1878" w:rsidP="00DD1878">
            <w:pPr>
              <w:spacing w:before="60" w:after="60" w:line="240" w:lineRule="auto"/>
            </w:pPr>
            <w:r>
              <w:t>Holdfire</w:t>
            </w:r>
          </w:p>
        </w:tc>
        <w:tc>
          <w:tcPr>
            <w:tcW w:w="3600" w:type="dxa"/>
          </w:tcPr>
          <w:p w14:paraId="7A6BA3E7" w14:textId="3FEDFB28" w:rsidR="00DD1878" w:rsidRDefault="00DD1878" w:rsidP="00DD1878">
            <w:pPr>
              <w:spacing w:before="60" w:after="60" w:line="240" w:lineRule="auto"/>
            </w:pPr>
            <w:r>
              <w:t>Execute, Cancel</w:t>
            </w:r>
          </w:p>
        </w:tc>
      </w:tr>
    </w:tbl>
    <w:p w14:paraId="39A57DF6" w14:textId="0E95B0F8" w:rsidR="00DD1878" w:rsidRDefault="00DD1878" w:rsidP="006D5A65">
      <w:pPr>
        <w:pStyle w:val="Heading1"/>
      </w:pPr>
      <w:r w:rsidRPr="00D61E4C">
        <w:t xml:space="preserve">Once in the Use State of </w:t>
      </w:r>
      <w:r w:rsidRPr="00DD1878">
        <w:rPr>
          <w:bCs/>
        </w:rPr>
        <w:t>Cancel</w:t>
      </w:r>
      <w:r w:rsidRPr="00D61E4C">
        <w:t xml:space="preserve">, </w:t>
      </w:r>
      <w:r>
        <w:t>it cannot be changed.</w:t>
      </w:r>
    </w:p>
    <w:p w14:paraId="1CDE0995" w14:textId="77777777" w:rsidR="00DD1878" w:rsidRDefault="00DD1878" w:rsidP="006D5A65">
      <w:pPr>
        <w:pStyle w:val="Heading1"/>
      </w:pPr>
      <w:r>
        <w:t>Changing the Use State of the SEP before the original SEP has been distributed will cause the updated SEP with the new use state to be sent out instead of the original SEP.</w:t>
      </w:r>
    </w:p>
    <w:p w14:paraId="0D2249FC" w14:textId="77777777" w:rsidR="00DD1878" w:rsidRPr="00D61E4C" w:rsidRDefault="00DD1878" w:rsidP="006D5A65">
      <w:pPr>
        <w:pStyle w:val="Heading1"/>
      </w:pPr>
      <w:r>
        <w:t xml:space="preserve">Changing the Use State of the SEP from a </w:t>
      </w:r>
      <w:r w:rsidRPr="00DD1878">
        <w:rPr>
          <w:bCs/>
        </w:rPr>
        <w:t>Holdfire</w:t>
      </w:r>
      <w:r>
        <w:t xml:space="preserve"> state after the time of launch, will result in none of the missiles being launched.</w:t>
      </w:r>
    </w:p>
    <w:p w14:paraId="292C3267" w14:textId="49641C3E" w:rsidR="00B749E5" w:rsidRPr="000665B0" w:rsidRDefault="00B749E5" w:rsidP="00E7111D">
      <w:pPr>
        <w:pStyle w:val="Heading5"/>
      </w:pPr>
      <w:r w:rsidRPr="000665B0">
        <w:t>Planned OWRs</w:t>
      </w:r>
    </w:p>
    <w:p w14:paraId="1F965B48" w14:textId="125A5C78" w:rsidR="00B749E5" w:rsidRPr="000665B0" w:rsidRDefault="00B749E5" w:rsidP="001F4B14">
      <w:r w:rsidRPr="000665B0">
        <w:t xml:space="preserve">To send </w:t>
      </w:r>
      <w:r w:rsidR="00B10E93" w:rsidRPr="000665B0">
        <w:t xml:space="preserve">Planned </w:t>
      </w:r>
      <w:r w:rsidRPr="000665B0">
        <w:t xml:space="preserve">OWRs from a specific FRU, </w:t>
      </w:r>
      <w:r w:rsidR="00D71804" w:rsidRPr="000665B0">
        <w:t>right-click</w:t>
      </w:r>
      <w:r w:rsidRPr="000665B0">
        <w:t xml:space="preserve"> on it and choose </w:t>
      </w:r>
      <w:r w:rsidRPr="000665B0">
        <w:rPr>
          <w:b/>
        </w:rPr>
        <w:t xml:space="preserve">Send </w:t>
      </w:r>
      <w:r w:rsidRPr="000665B0">
        <w:rPr>
          <w:b/>
        </w:rPr>
        <w:sym w:font="Wingdings" w:char="F0E0"/>
      </w:r>
      <w:r w:rsidRPr="000665B0">
        <w:rPr>
          <w:b/>
        </w:rPr>
        <w:t xml:space="preserve"> Planned OWRs </w:t>
      </w:r>
      <w:r w:rsidRPr="000665B0">
        <w:rPr>
          <w:b/>
        </w:rPr>
        <w:sym w:font="Wingdings" w:char="F0E0"/>
      </w:r>
      <w:r w:rsidRPr="000665B0">
        <w:rPr>
          <w:b/>
        </w:rPr>
        <w:t xml:space="preserve"> (All Strikes or a specific strike)</w:t>
      </w:r>
      <w:r w:rsidRPr="000665B0">
        <w:t>.</w:t>
      </w:r>
    </w:p>
    <w:p w14:paraId="6638A608" w14:textId="77777777" w:rsidR="00B749E5" w:rsidRPr="000665B0" w:rsidRDefault="00B749E5" w:rsidP="00B10E93">
      <w:r w:rsidRPr="000665B0">
        <w:t xml:space="preserve">This option sends one or more planned overwater routes (OWRs) on behalf of the selected simulated FRU(s). If the user selects </w:t>
      </w:r>
      <w:r w:rsidRPr="000665B0">
        <w:rPr>
          <w:i/>
        </w:rPr>
        <w:t>All Strikes</w:t>
      </w:r>
      <w:r w:rsidRPr="000665B0">
        <w:t>, separate OWRs will be generated for every strike for which that simulated FRU is part of the arsenal. If a specific strike is chosen, the simulated FRU will issue one or more OWRs for its primary engagements in that specific strike. If multiple FRUs are selected, OWRs will be issued on behalf of each of the selected simulated FRUs. OWRs are not sent for FRUs designated as live.</w:t>
      </w:r>
    </w:p>
    <w:p w14:paraId="264668AF" w14:textId="209C4B6B" w:rsidR="00CD2871" w:rsidRPr="000665B0" w:rsidRDefault="00CD2871" w:rsidP="00F26AD4">
      <w:pPr>
        <w:pStyle w:val="Heading5"/>
      </w:pPr>
      <w:r w:rsidRPr="000665B0">
        <w:t>Firing Reports</w:t>
      </w:r>
      <w:bookmarkEnd w:id="6944"/>
      <w:bookmarkEnd w:id="6945"/>
    </w:p>
    <w:p w14:paraId="762ACB00" w14:textId="49A809B2" w:rsidR="00CD2871" w:rsidRPr="000665B0" w:rsidRDefault="00CD2871" w:rsidP="001F4B14">
      <w:r w:rsidRPr="000665B0">
        <w:t xml:space="preserve">To send a firing report from a specific FRU, </w:t>
      </w:r>
      <w:r w:rsidR="00D71804" w:rsidRPr="000665B0">
        <w:t>right-click</w:t>
      </w:r>
      <w:r w:rsidRPr="000665B0">
        <w:t xml:space="preserve"> on it and choose </w:t>
      </w:r>
      <w:r w:rsidRPr="000665B0">
        <w:rPr>
          <w:b/>
        </w:rPr>
        <w:t xml:space="preserve">Send </w:t>
      </w:r>
      <w:r w:rsidR="00A05D58" w:rsidRPr="000665B0">
        <w:rPr>
          <w:b/>
        </w:rPr>
        <w:sym w:font="Wingdings" w:char="F0E0"/>
      </w:r>
      <w:r w:rsidRPr="000665B0">
        <w:rPr>
          <w:b/>
        </w:rPr>
        <w:t xml:space="preserve"> Firing Reports Immediately </w:t>
      </w:r>
      <w:r w:rsidR="00A05D58" w:rsidRPr="000665B0">
        <w:rPr>
          <w:b/>
        </w:rPr>
        <w:sym w:font="Wingdings" w:char="F0E0"/>
      </w:r>
      <w:r w:rsidRPr="000665B0">
        <w:rPr>
          <w:b/>
        </w:rPr>
        <w:t xml:space="preserve"> (All Strikes or a specific strike)</w:t>
      </w:r>
      <w:r w:rsidRPr="000665B0">
        <w:t>.</w:t>
      </w:r>
    </w:p>
    <w:p w14:paraId="62BABF80" w14:textId="77777777" w:rsidR="00CD2871" w:rsidRPr="000665B0" w:rsidRDefault="00CD2871" w:rsidP="00CD2871">
      <w:pPr>
        <w:spacing w:after="0"/>
      </w:pPr>
      <w:r w:rsidRPr="000665B0">
        <w:t xml:space="preserve">This option sends a firing report </w:t>
      </w:r>
      <w:r w:rsidR="00200EF7" w:rsidRPr="000665B0">
        <w:t>(PLRO) on behalf of the selected simulated FRU(s)</w:t>
      </w:r>
      <w:r w:rsidRPr="000665B0">
        <w:t xml:space="preserve">. If the user selects </w:t>
      </w:r>
      <w:r w:rsidRPr="000665B0">
        <w:rPr>
          <w:i/>
        </w:rPr>
        <w:t>All Strikes</w:t>
      </w:r>
      <w:r w:rsidRPr="000665B0">
        <w:t xml:space="preserve">, a separate firing report will be generated for every strike </w:t>
      </w:r>
      <w:r w:rsidR="00200EF7" w:rsidRPr="000665B0">
        <w:t xml:space="preserve">for </w:t>
      </w:r>
      <w:r w:rsidRPr="000665B0">
        <w:t xml:space="preserve">which that FRU is part of the arsenal. If a specific strike is chosen, the </w:t>
      </w:r>
      <w:r w:rsidR="00200EF7" w:rsidRPr="000665B0">
        <w:t xml:space="preserve">simulated </w:t>
      </w:r>
      <w:r w:rsidRPr="000665B0">
        <w:t xml:space="preserve">FRU will issue one firing report for that specific strike. </w:t>
      </w:r>
      <w:r w:rsidR="00200EF7" w:rsidRPr="000665B0">
        <w:t>If multiple FRUs are selected, PLROs will be issued on behalf of each of the selected simulated FRUs. PLROs are not sent for FRUs designated as live.</w:t>
      </w:r>
      <w:r w:rsidRPr="000665B0">
        <w:t xml:space="preserve"> </w:t>
      </w:r>
    </w:p>
    <w:p w14:paraId="31517F1F" w14:textId="270619FF" w:rsidR="00CD2871" w:rsidRPr="000665B0" w:rsidRDefault="00CD2871" w:rsidP="00BD4482">
      <w:pPr>
        <w:pStyle w:val="Heading5"/>
      </w:pPr>
      <w:bookmarkStart w:id="6946" w:name="_Toc134585756"/>
      <w:bookmarkStart w:id="6947" w:name="_Toc289328961"/>
      <w:r w:rsidRPr="000665B0">
        <w:lastRenderedPageBreak/>
        <w:t>Inventory Report</w:t>
      </w:r>
      <w:bookmarkEnd w:id="6946"/>
      <w:bookmarkEnd w:id="6947"/>
    </w:p>
    <w:p w14:paraId="1E869823" w14:textId="73DC6409" w:rsidR="00CD2871" w:rsidRPr="000665B0" w:rsidRDefault="00CD2871" w:rsidP="001F4B14">
      <w:r w:rsidRPr="000665B0">
        <w:t xml:space="preserve">To send an inventory report from a specific FRU, </w:t>
      </w:r>
      <w:r w:rsidR="00D71804" w:rsidRPr="000665B0">
        <w:t>right-click</w:t>
      </w:r>
      <w:r w:rsidRPr="000665B0">
        <w:t xml:space="preserve"> on it and choose </w:t>
      </w:r>
      <w:r w:rsidRPr="000665B0">
        <w:rPr>
          <w:b/>
        </w:rPr>
        <w:t xml:space="preserve">Send </w:t>
      </w:r>
      <w:r w:rsidR="00A05D58" w:rsidRPr="000665B0">
        <w:rPr>
          <w:b/>
        </w:rPr>
        <w:sym w:font="Wingdings" w:char="F0E0"/>
      </w:r>
      <w:r w:rsidRPr="000665B0">
        <w:rPr>
          <w:b/>
        </w:rPr>
        <w:t xml:space="preserve"> Inventory Report Immediately</w:t>
      </w:r>
      <w:r w:rsidRPr="000665B0">
        <w:t>.</w:t>
      </w:r>
    </w:p>
    <w:p w14:paraId="2C874252" w14:textId="4AC7BB27" w:rsidR="00CD2871" w:rsidRDefault="00DC3A52" w:rsidP="0036130B">
      <w:pPr>
        <w:spacing w:after="0"/>
      </w:pPr>
      <w:r w:rsidRPr="000665B0">
        <w:t xml:space="preserve">This option sends an inventory report </w:t>
      </w:r>
      <w:r w:rsidR="00820D82" w:rsidRPr="000665B0">
        <w:t>(MLOSRF-T) on behalf of the selected simulated FRU(s)</w:t>
      </w:r>
      <w:r w:rsidRPr="000665B0">
        <w:t xml:space="preserve">. This option will only be enabled if the operator has chosen to check inventory on FRUs and chosen to simulate FRU messages in the TSRT options. </w:t>
      </w:r>
      <w:r w:rsidR="00820D82" w:rsidRPr="000665B0">
        <w:t>If multiple FRUs are selected, MLOSRF-Ts will be issued on behalf of each of the selected simulated FRUs. MLOSRF-Ts are not sent for FRUs designated as live.</w:t>
      </w:r>
    </w:p>
    <w:p w14:paraId="20693EBE" w14:textId="77777777" w:rsidR="00DA447D" w:rsidRDefault="00DA447D" w:rsidP="00DA447D">
      <w:pPr>
        <w:pStyle w:val="Heading5"/>
      </w:pPr>
      <w:r>
        <w:t>MST Command</w:t>
      </w:r>
    </w:p>
    <w:p w14:paraId="0098D27F" w14:textId="77777777" w:rsidR="00DA447D" w:rsidRDefault="00DA447D" w:rsidP="00DA447D">
      <w:r>
        <w:t xml:space="preserve">When a FRU is in control of the engagements it has created, the MST Command option is enabled in the Send sub-menu. </w:t>
      </w:r>
    </w:p>
    <w:p w14:paraId="01D012F4" w14:textId="77777777" w:rsidR="00DA447D" w:rsidRDefault="00DA447D" w:rsidP="00DA447D">
      <w:pPr>
        <w:jc w:val="center"/>
      </w:pPr>
      <w:r>
        <w:rPr>
          <w:noProof/>
        </w:rPr>
        <w:drawing>
          <wp:inline distT="0" distB="0" distL="0" distR="0" wp14:anchorId="4C17ED45" wp14:editId="562A91A1">
            <wp:extent cx="4114800" cy="1856232"/>
            <wp:effectExtent l="0" t="0" r="0" b="0"/>
            <wp:docPr id="360" name="Picture 36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Picture 360"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4114800" cy="1856232"/>
                    </a:xfrm>
                    <a:prstGeom prst="rect">
                      <a:avLst/>
                    </a:prstGeom>
                  </pic:spPr>
                </pic:pic>
              </a:graphicData>
            </a:graphic>
          </wp:inline>
        </w:drawing>
      </w:r>
    </w:p>
    <w:p w14:paraId="44668A2E" w14:textId="361F505C" w:rsidR="00DA447D" w:rsidRDefault="00DA447D" w:rsidP="000712FD">
      <w:r>
        <w:t xml:space="preserve">Selecting the </w:t>
      </w:r>
      <w:r w:rsidRPr="00DA447D">
        <w:rPr>
          <w:b/>
          <w:bCs/>
        </w:rPr>
        <w:t>Send -&gt; MST Command</w:t>
      </w:r>
      <w:r>
        <w:t xml:space="preserve"> option invokes the MST Send dialog. </w:t>
      </w:r>
    </w:p>
    <w:p w14:paraId="2CCFE8E8" w14:textId="4BAD2E8A" w:rsidR="00DA447D" w:rsidRPr="00434563" w:rsidRDefault="00DA447D" w:rsidP="00DA447D">
      <w:pPr>
        <w:spacing w:line="240" w:lineRule="auto"/>
        <w:rPr>
          <w:szCs w:val="24"/>
        </w:rPr>
      </w:pPr>
      <w:r>
        <w:t xml:space="preserve">From this dialog, </w:t>
      </w:r>
      <w:r w:rsidRPr="00434563">
        <w:rPr>
          <w:szCs w:val="24"/>
        </w:rPr>
        <w:t>TSRT</w:t>
      </w:r>
      <w:r>
        <w:rPr>
          <w:szCs w:val="24"/>
        </w:rPr>
        <w:t xml:space="preserve"> has</w:t>
      </w:r>
      <w:r w:rsidRPr="00434563">
        <w:rPr>
          <w:szCs w:val="24"/>
        </w:rPr>
        <w:t xml:space="preserve"> the ability to send the following </w:t>
      </w:r>
      <w:r>
        <w:rPr>
          <w:szCs w:val="24"/>
        </w:rPr>
        <w:t>IMMMs</w:t>
      </w:r>
      <w:r w:rsidRPr="00434563">
        <w:rPr>
          <w:szCs w:val="24"/>
        </w:rPr>
        <w:t xml:space="preserve"> on behalf of a simulated FRU: </w:t>
      </w:r>
    </w:p>
    <w:p w14:paraId="3F26D483" w14:textId="44D43A65" w:rsidR="00DA447D" w:rsidRPr="00434563" w:rsidRDefault="00DA447D" w:rsidP="006D5A65">
      <w:pPr>
        <w:pStyle w:val="Heading1"/>
      </w:pPr>
      <w:r w:rsidRPr="00DA447D">
        <w:rPr>
          <w:bCs/>
        </w:rPr>
        <w:lastRenderedPageBreak/>
        <w:t>Request Status</w:t>
      </w:r>
      <w:r w:rsidRPr="00434563">
        <w:t xml:space="preserve"> (Missile, Group, Target)</w:t>
      </w:r>
      <w:r>
        <w:t xml:space="preserve"> </w:t>
      </w:r>
      <w:r w:rsidR="000712FD">
        <w:t>–</w:t>
      </w:r>
      <w:r w:rsidRPr="00434563">
        <w:t xml:space="preserve"> This will result in an </w:t>
      </w:r>
      <w:r>
        <w:t xml:space="preserve">MST </w:t>
      </w:r>
      <w:r w:rsidRPr="00434563">
        <w:t>IMMM being sent to the missile</w:t>
      </w:r>
      <w:r>
        <w:t>(s) with a request for a H&amp;S message at the selected level</w:t>
      </w:r>
      <w:r w:rsidRPr="00434563">
        <w:t xml:space="preserve">. </w:t>
      </w:r>
    </w:p>
    <w:p w14:paraId="4FB38353" w14:textId="1CD10EAF" w:rsidR="00DA447D" w:rsidRPr="00434563" w:rsidRDefault="00DA447D" w:rsidP="006D5A65">
      <w:pPr>
        <w:pStyle w:val="Heading1"/>
      </w:pPr>
      <w:r w:rsidRPr="00DA447D">
        <w:rPr>
          <w:bCs/>
        </w:rPr>
        <w:t>Change Enablements</w:t>
      </w:r>
      <w:r w:rsidRPr="00434563">
        <w:t xml:space="preserve"> (Missile, Group, Target) </w:t>
      </w:r>
      <w:r w:rsidR="000712FD">
        <w:t>–</w:t>
      </w:r>
      <w:r w:rsidRPr="00434563">
        <w:t xml:space="preserve"> This will result in an </w:t>
      </w:r>
      <w:r>
        <w:t xml:space="preserve">MST </w:t>
      </w:r>
      <w:r w:rsidRPr="00434563">
        <w:t>IMMM being sent to the missile</w:t>
      </w:r>
      <w:r>
        <w:t>(s) with the selected comms enablement state at the selected level</w:t>
      </w:r>
      <w:r w:rsidRPr="00434563">
        <w:t xml:space="preserve">. </w:t>
      </w:r>
    </w:p>
    <w:p w14:paraId="34C1E9E9" w14:textId="1B2D08D2" w:rsidR="00DA447D" w:rsidRDefault="00DA447D" w:rsidP="006D5A65">
      <w:pPr>
        <w:pStyle w:val="Heading1"/>
      </w:pPr>
      <w:r w:rsidRPr="00DA447D">
        <w:rPr>
          <w:bCs/>
        </w:rPr>
        <w:t>Divert</w:t>
      </w:r>
      <w:r w:rsidRPr="00434563">
        <w:t xml:space="preserve"> (Missile</w:t>
      </w:r>
      <w:r>
        <w:t xml:space="preserve">, Group, Target) </w:t>
      </w:r>
      <w:r w:rsidR="000712FD">
        <w:t>–</w:t>
      </w:r>
      <w:r>
        <w:t xml:space="preserve"> This will result in an</w:t>
      </w:r>
      <w:r w:rsidRPr="00434563">
        <w:t xml:space="preserve"> </w:t>
      </w:r>
      <w:r>
        <w:t xml:space="preserve">Aimpoint Update </w:t>
      </w:r>
      <w:r w:rsidRPr="00434563">
        <w:t>IMMM</w:t>
      </w:r>
      <w:r>
        <w:t xml:space="preserve"> being sent to each</w:t>
      </w:r>
      <w:r w:rsidRPr="00434563">
        <w:t xml:space="preserve"> missile</w:t>
      </w:r>
      <w:r>
        <w:t xml:space="preserve"> in the selected level with a command to divert to the entered location.</w:t>
      </w:r>
      <w:r w:rsidRPr="00434563">
        <w:t xml:space="preserve"> </w:t>
      </w:r>
    </w:p>
    <w:p w14:paraId="7B66F34A" w14:textId="29B83170" w:rsidR="00DA447D" w:rsidRPr="00093F9C" w:rsidRDefault="00DA447D" w:rsidP="006D5A65">
      <w:pPr>
        <w:pStyle w:val="Heading1"/>
      </w:pPr>
      <w:r w:rsidRPr="00DA447D">
        <w:rPr>
          <w:bCs/>
        </w:rPr>
        <w:t>Abort</w:t>
      </w:r>
      <w:r w:rsidRPr="00434563">
        <w:t xml:space="preserve"> (Missile, Group, Target) </w:t>
      </w:r>
      <w:r w:rsidR="000712FD">
        <w:t>–</w:t>
      </w:r>
      <w:r w:rsidRPr="00434563">
        <w:t xml:space="preserve"> This will result in an </w:t>
      </w:r>
      <w:r>
        <w:t>MST</w:t>
      </w:r>
      <w:r w:rsidRPr="00434563">
        <w:t xml:space="preserve"> IMMM being sent to the missil</w:t>
      </w:r>
      <w:r>
        <w:t>e(s) with the command to abort at the selected level.</w:t>
      </w:r>
    </w:p>
    <w:p w14:paraId="37A74D0D" w14:textId="5F83A72D" w:rsidR="00DA447D" w:rsidRPr="00EE573A" w:rsidRDefault="007C146B" w:rsidP="00DA447D">
      <w:pPr>
        <w:jc w:val="center"/>
      </w:pPr>
      <w:r w:rsidRPr="007C146B">
        <w:rPr>
          <w:noProof/>
        </w:rPr>
        <w:t xml:space="preserve"> </w:t>
      </w:r>
      <w:r>
        <w:rPr>
          <w:noProof/>
        </w:rPr>
        <w:drawing>
          <wp:inline distT="0" distB="0" distL="0" distR="0" wp14:anchorId="6A346D52" wp14:editId="53B38D33">
            <wp:extent cx="4114800" cy="3118104"/>
            <wp:effectExtent l="0" t="0" r="0" b="0"/>
            <wp:docPr id="3851907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9071" name="Picture 1" descr="Graphical user interface, application&#10;&#10;Description automatically generated"/>
                    <pic:cNvPicPr>
                      <a:picLocks noChangeAspect="1"/>
                    </pic:cNvPicPr>
                  </pic:nvPicPr>
                  <pic:blipFill>
                    <a:blip/>
                    <a:stretch>
                      <a:fillRect/>
                    </a:stretch>
                  </pic:blipFill>
                  <pic:spPr>
                    <a:xfrm>
                      <a:off x="0" y="0"/>
                      <a:ext cx="4114800" cy="3118104"/>
                    </a:xfrm>
                    <a:prstGeom prst="rect">
                      <a:avLst/>
                    </a:prstGeom>
                  </pic:spPr>
                </pic:pic>
              </a:graphicData>
            </a:graphic>
          </wp:inline>
        </w:drawing>
      </w:r>
    </w:p>
    <w:p w14:paraId="4A721D52" w14:textId="16FC35B6" w:rsidR="00DA447D" w:rsidRDefault="00DA447D" w:rsidP="00DA447D">
      <w:r>
        <w:t>The dialog status banner at the top of the Send Dialog updates with the latest information as the command data is selected. When the dialog banner is yellow, additional information is required before the command can be sent. When the dialog is green, all of the necessary information has been selected, and the Send/Next button should become enabled.</w:t>
      </w:r>
    </w:p>
    <w:p w14:paraId="16DBB64C" w14:textId="100331FB" w:rsidR="00DA447D" w:rsidRDefault="00DA447D" w:rsidP="00DA447D">
      <w:r>
        <w:t xml:space="preserve">Selecting any command other than Request Status will result in a checkbox being displayed on the MST Send Dialog to Request Immediate H&amp;S Acknowledgement. This checkbox is selected by </w:t>
      </w:r>
      <w:r w:rsidR="00595CE0">
        <w:t>default and</w:t>
      </w:r>
      <w:r>
        <w:t xml:space="preserve"> will add a Request Status command to any other command that is selected.</w:t>
      </w:r>
    </w:p>
    <w:p w14:paraId="0990D876" w14:textId="4F219DCE" w:rsidR="007C146B" w:rsidRDefault="007C146B" w:rsidP="007C146B">
      <w:pPr>
        <w:jc w:val="center"/>
      </w:pPr>
      <w:r w:rsidRPr="007C146B">
        <w:rPr>
          <w:noProof/>
        </w:rPr>
        <w:lastRenderedPageBreak/>
        <w:t xml:space="preserve"> </w:t>
      </w:r>
      <w:r>
        <w:rPr>
          <w:noProof/>
        </w:rPr>
        <w:drawing>
          <wp:inline distT="0" distB="0" distL="0" distR="0" wp14:anchorId="5FB18AD5" wp14:editId="7DE89761">
            <wp:extent cx="4114800" cy="3108960"/>
            <wp:effectExtent l="0" t="0" r="0" b="0"/>
            <wp:docPr id="211610490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04909" name="Picture 1" descr="Graphical user interface, application&#10;&#10;Description automatically generated"/>
                    <pic:cNvPicPr>
                      <a:picLocks noChangeAspect="1"/>
                    </pic:cNvPicPr>
                  </pic:nvPicPr>
                  <pic:blipFill>
                    <a:blip/>
                    <a:stretch>
                      <a:fillRect/>
                    </a:stretch>
                  </pic:blipFill>
                  <pic:spPr>
                    <a:xfrm>
                      <a:off x="0" y="0"/>
                      <a:ext cx="4114800" cy="3108960"/>
                    </a:xfrm>
                    <a:prstGeom prst="rect">
                      <a:avLst/>
                    </a:prstGeom>
                  </pic:spPr>
                </pic:pic>
              </a:graphicData>
            </a:graphic>
          </wp:inline>
        </w:drawing>
      </w:r>
    </w:p>
    <w:p w14:paraId="795C502D" w14:textId="77777777" w:rsidR="00DA447D" w:rsidRDefault="00DA447D" w:rsidP="00DA447D">
      <w:r>
        <w:t xml:space="preserve">The </w:t>
      </w:r>
      <w:r w:rsidRPr="00DA447D">
        <w:rPr>
          <w:b/>
          <w:bCs/>
        </w:rPr>
        <w:t>Request Status</w:t>
      </w:r>
      <w:r>
        <w:t xml:space="preserve"> and </w:t>
      </w:r>
      <w:r w:rsidRPr="00DA447D">
        <w:rPr>
          <w:b/>
          <w:bCs/>
        </w:rPr>
        <w:t>Abort</w:t>
      </w:r>
      <w:r>
        <w:t xml:space="preserve"> command workflows require no additional information other than the </w:t>
      </w:r>
      <w:r w:rsidRPr="00DA447D">
        <w:rPr>
          <w:b/>
          <w:bCs/>
        </w:rPr>
        <w:t>Category</w:t>
      </w:r>
      <w:r>
        <w:t xml:space="preserve"> and </w:t>
      </w:r>
      <w:r w:rsidRPr="00DA447D">
        <w:rPr>
          <w:b/>
          <w:bCs/>
        </w:rPr>
        <w:t>Target/Group</w:t>
      </w:r>
      <w:r>
        <w:t xml:space="preserve"> or </w:t>
      </w:r>
      <w:r w:rsidRPr="00DA447D">
        <w:rPr>
          <w:b/>
          <w:bCs/>
        </w:rPr>
        <w:t>Missiles</w:t>
      </w:r>
      <w:r>
        <w:t xml:space="preserve"> selection within the MST Send Dialog. Therefore, when the necessary information is selected, the left button on the bottom of the dialog becomes enabled and says “Send.” Selecting </w:t>
      </w:r>
      <w:r w:rsidRPr="00DA447D">
        <w:rPr>
          <w:b/>
          <w:bCs/>
        </w:rPr>
        <w:t>Send</w:t>
      </w:r>
      <w:r>
        <w:t xml:space="preserve"> results in the MST IMMM being transmitted by the TSRT Sim FRU. </w:t>
      </w:r>
    </w:p>
    <w:p w14:paraId="657CCCE6" w14:textId="63A44DEF" w:rsidR="00DA447D" w:rsidRDefault="00DA447D" w:rsidP="00DA447D">
      <w:r>
        <w:t xml:space="preserve">The </w:t>
      </w:r>
      <w:r w:rsidRPr="00DA447D">
        <w:rPr>
          <w:b/>
          <w:bCs/>
        </w:rPr>
        <w:t>Change Enablements</w:t>
      </w:r>
      <w:r w:rsidR="007C146B">
        <w:t xml:space="preserve"> and</w:t>
      </w:r>
      <w:r>
        <w:t xml:space="preserve"> </w:t>
      </w:r>
      <w:r w:rsidRPr="00DA447D">
        <w:rPr>
          <w:b/>
          <w:bCs/>
        </w:rPr>
        <w:t>Divert</w:t>
      </w:r>
      <w:r>
        <w:t xml:space="preserve"> command workflows all require additional information outside of the MST Send Dialog in order to populate the IMMM, so when the </w:t>
      </w:r>
      <w:r w:rsidRPr="00DA447D">
        <w:rPr>
          <w:b/>
          <w:bCs/>
        </w:rPr>
        <w:t>Category</w:t>
      </w:r>
      <w:r>
        <w:t xml:space="preserve"> and </w:t>
      </w:r>
      <w:r w:rsidRPr="00DA447D">
        <w:rPr>
          <w:b/>
          <w:bCs/>
        </w:rPr>
        <w:t>Target/Group</w:t>
      </w:r>
      <w:r>
        <w:t xml:space="preserve"> or </w:t>
      </w:r>
      <w:r w:rsidRPr="00DA447D">
        <w:rPr>
          <w:b/>
          <w:bCs/>
        </w:rPr>
        <w:t>Missiles</w:t>
      </w:r>
      <w:r>
        <w:t xml:space="preserve"> data is selected, the left button becomes enabled and says “Next.”</w:t>
      </w:r>
    </w:p>
    <w:p w14:paraId="0A5BF01A" w14:textId="21AAFC7C" w:rsidR="007C146B" w:rsidRDefault="007C146B" w:rsidP="007C146B">
      <w:pPr>
        <w:jc w:val="center"/>
      </w:pPr>
      <w:r w:rsidRPr="007C146B">
        <w:rPr>
          <w:noProof/>
        </w:rPr>
        <w:t xml:space="preserve"> </w:t>
      </w:r>
      <w:r>
        <w:rPr>
          <w:noProof/>
        </w:rPr>
        <w:drawing>
          <wp:inline distT="0" distB="0" distL="0" distR="0" wp14:anchorId="6FE03560" wp14:editId="163F7F31">
            <wp:extent cx="4114800" cy="3099816"/>
            <wp:effectExtent l="0" t="0" r="0" b="0"/>
            <wp:docPr id="748179468"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9468" name="Picture 1" descr="Graphical user interface&#10;&#10;Description automatically generated"/>
                    <pic:cNvPicPr>
                      <a:picLocks noChangeAspect="1"/>
                    </pic:cNvPicPr>
                  </pic:nvPicPr>
                  <pic:blipFill>
                    <a:blip/>
                    <a:stretch>
                      <a:fillRect/>
                    </a:stretch>
                  </pic:blipFill>
                  <pic:spPr>
                    <a:xfrm>
                      <a:off x="0" y="0"/>
                      <a:ext cx="4114800" cy="3099816"/>
                    </a:xfrm>
                    <a:prstGeom prst="rect">
                      <a:avLst/>
                    </a:prstGeom>
                  </pic:spPr>
                </pic:pic>
              </a:graphicData>
            </a:graphic>
          </wp:inline>
        </w:drawing>
      </w:r>
    </w:p>
    <w:p w14:paraId="0B7998DC" w14:textId="77777777" w:rsidR="00DA447D" w:rsidRDefault="00DA447D" w:rsidP="00DA447D">
      <w:r>
        <w:lastRenderedPageBreak/>
        <w:t xml:space="preserve">Selecting the </w:t>
      </w:r>
      <w:r w:rsidRPr="00DA447D">
        <w:rPr>
          <w:b/>
          <w:bCs/>
        </w:rPr>
        <w:t>Next</w:t>
      </w:r>
      <w:r>
        <w:t xml:space="preserve"> button in each case brings up a new dialog with the remaining fields necessary to send the IMMM.</w:t>
      </w:r>
    </w:p>
    <w:p w14:paraId="73ED78E5" w14:textId="77777777" w:rsidR="00DA447D" w:rsidRPr="00DA447D" w:rsidRDefault="00DA447D" w:rsidP="00A0163E">
      <w:pPr>
        <w:jc w:val="center"/>
        <w:rPr>
          <w:b/>
          <w:bCs/>
        </w:rPr>
      </w:pPr>
      <w:r w:rsidRPr="00DA447D">
        <w:rPr>
          <w:b/>
          <w:bCs/>
        </w:rPr>
        <w:t>Change Enablements:</w:t>
      </w:r>
    </w:p>
    <w:p w14:paraId="7843D0F7" w14:textId="77777777" w:rsidR="00DA447D" w:rsidRDefault="00DA447D" w:rsidP="001F4B14">
      <w:pPr>
        <w:jc w:val="center"/>
      </w:pPr>
      <w:r>
        <w:rPr>
          <w:noProof/>
        </w:rPr>
        <w:drawing>
          <wp:inline distT="0" distB="0" distL="0" distR="0" wp14:anchorId="5A95460F" wp14:editId="18B61C5B">
            <wp:extent cx="4114800" cy="1243584"/>
            <wp:effectExtent l="0" t="0" r="0" b="0"/>
            <wp:docPr id="1418" name="Picture 141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 name="Picture 1418" descr="Graphical user interface, application, Word&#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114800" cy="1243584"/>
                    </a:xfrm>
                    <a:prstGeom prst="rect">
                      <a:avLst/>
                    </a:prstGeom>
                  </pic:spPr>
                </pic:pic>
              </a:graphicData>
            </a:graphic>
          </wp:inline>
        </w:drawing>
      </w:r>
    </w:p>
    <w:p w14:paraId="5CB48399" w14:textId="65C2718B" w:rsidR="00DA447D" w:rsidRDefault="00DA447D" w:rsidP="00DA447D">
      <w:r>
        <w:t xml:space="preserve">The additional </w:t>
      </w:r>
      <w:r w:rsidRPr="00DA447D">
        <w:rPr>
          <w:b/>
          <w:bCs/>
        </w:rPr>
        <w:t>Change Enablements</w:t>
      </w:r>
      <w:r>
        <w:t xml:space="preserve"> dialog displays all of the relevant comms options for an MSTM. The selected state on this dialog will overwrite the previous missile comms state. Once the desired options are selected, selecting </w:t>
      </w:r>
      <w:r w:rsidRPr="00DA447D">
        <w:rPr>
          <w:b/>
          <w:bCs/>
        </w:rPr>
        <w:t>Send</w:t>
      </w:r>
      <w:r>
        <w:t xml:space="preserve"> will </w:t>
      </w:r>
      <w:r w:rsidR="00FA3672">
        <w:t>transmit</w:t>
      </w:r>
      <w:r>
        <w:t xml:space="preserve"> the IMMM. Selecting </w:t>
      </w:r>
      <w:r w:rsidRPr="00DA447D">
        <w:rPr>
          <w:b/>
          <w:bCs/>
        </w:rPr>
        <w:t>Cancel</w:t>
      </w:r>
      <w:r>
        <w:t xml:space="preserve"> will close the dialog and not send an IMMM.</w:t>
      </w:r>
    </w:p>
    <w:p w14:paraId="1331DA3C" w14:textId="77777777" w:rsidR="00DA447D" w:rsidRPr="00DA447D" w:rsidRDefault="00DA447D" w:rsidP="00126378">
      <w:pPr>
        <w:keepNext/>
        <w:jc w:val="center"/>
        <w:rPr>
          <w:b/>
          <w:bCs/>
        </w:rPr>
      </w:pPr>
      <w:r w:rsidRPr="00DA447D">
        <w:rPr>
          <w:b/>
          <w:bCs/>
        </w:rPr>
        <w:t>Divert:</w:t>
      </w:r>
    </w:p>
    <w:p w14:paraId="7A8DF4F4" w14:textId="77777777" w:rsidR="00DA447D" w:rsidRDefault="00DA447D" w:rsidP="00DA447D">
      <w:pPr>
        <w:jc w:val="center"/>
      </w:pPr>
      <w:r>
        <w:rPr>
          <w:noProof/>
        </w:rPr>
        <w:drawing>
          <wp:inline distT="0" distB="0" distL="0" distR="0" wp14:anchorId="3B70F074" wp14:editId="5F99FB53">
            <wp:extent cx="2743200" cy="1938528"/>
            <wp:effectExtent l="0" t="0" r="0" b="5080"/>
            <wp:docPr id="383" name="Picture 38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Picture 383" descr="Graphical user interface&#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743200" cy="1938528"/>
                    </a:xfrm>
                    <a:prstGeom prst="rect">
                      <a:avLst/>
                    </a:prstGeom>
                  </pic:spPr>
                </pic:pic>
              </a:graphicData>
            </a:graphic>
          </wp:inline>
        </w:drawing>
      </w:r>
    </w:p>
    <w:p w14:paraId="32FB2795" w14:textId="199F3E0D" w:rsidR="00DA447D" w:rsidRDefault="00DA447D" w:rsidP="00DA447D">
      <w:r>
        <w:t xml:space="preserve">The additional </w:t>
      </w:r>
      <w:r w:rsidRPr="00DA447D">
        <w:rPr>
          <w:b/>
          <w:bCs/>
        </w:rPr>
        <w:t>Divert</w:t>
      </w:r>
      <w:r>
        <w:t xml:space="preserve"> dialog allows the operator to select the divert position. The </w:t>
      </w:r>
      <w:r w:rsidR="002D6D50" w:rsidRPr="002D6D50">
        <w:rPr>
          <w:b/>
          <w:bCs/>
        </w:rPr>
        <w:t>Latitude</w:t>
      </w:r>
      <w:r w:rsidR="002D6D50">
        <w:t xml:space="preserve"> </w:t>
      </w:r>
      <w:r>
        <w:t xml:space="preserve">and </w:t>
      </w:r>
      <w:r w:rsidR="002D6D50" w:rsidRPr="002D6D50">
        <w:rPr>
          <w:b/>
          <w:bCs/>
        </w:rPr>
        <w:t>Longitude</w:t>
      </w:r>
      <w:r w:rsidR="002D6D50">
        <w:t xml:space="preserve"> </w:t>
      </w:r>
      <w:r>
        <w:t xml:space="preserve">fields can be manually populated, or the </w:t>
      </w:r>
      <w:r w:rsidRPr="002D6D50">
        <w:rPr>
          <w:b/>
          <w:bCs/>
        </w:rPr>
        <w:t>Select From Map</w:t>
      </w:r>
      <w:r>
        <w:t xml:space="preserve"> button can be selected, which allows the TSRT operator to use the cursor to select a position on the TSRT Geo, and that selected position will be populated in the </w:t>
      </w:r>
      <w:r w:rsidRPr="002D6D50">
        <w:rPr>
          <w:b/>
          <w:bCs/>
        </w:rPr>
        <w:t>Latitude/Longitude</w:t>
      </w:r>
      <w:r>
        <w:t xml:space="preserve"> fields. Selecting the </w:t>
      </w:r>
      <w:r w:rsidRPr="002D6D50">
        <w:rPr>
          <w:b/>
          <w:bCs/>
        </w:rPr>
        <w:t>Send</w:t>
      </w:r>
      <w:r>
        <w:t xml:space="preserve"> button sends the IMMM. Selecting the </w:t>
      </w:r>
      <w:r w:rsidRPr="002D6D50">
        <w:rPr>
          <w:b/>
          <w:bCs/>
        </w:rPr>
        <w:t>Cancel</w:t>
      </w:r>
      <w:r>
        <w:t xml:space="preserve"> button closes the dialog with no IMMM sent.</w:t>
      </w:r>
    </w:p>
    <w:p w14:paraId="6B63A9EC" w14:textId="20B69D71" w:rsidR="00861A24" w:rsidRDefault="00861A24" w:rsidP="00861A24">
      <w:pPr>
        <w:pStyle w:val="Heading5"/>
      </w:pPr>
      <w:r>
        <w:lastRenderedPageBreak/>
        <w:t>Filter Message</w:t>
      </w:r>
    </w:p>
    <w:p w14:paraId="72582CBF" w14:textId="148E7528" w:rsidR="00861A24" w:rsidRDefault="00861A24" w:rsidP="006D5A65">
      <w:pPr>
        <w:pStyle w:val="Heading1"/>
      </w:pPr>
      <w:r w:rsidRPr="000665B0">
        <w:t xml:space="preserve">To send </w:t>
      </w:r>
      <w:r>
        <w:t>a Filter Message</w:t>
      </w:r>
      <w:r w:rsidRPr="000665B0">
        <w:t xml:space="preserve"> from a specific FRU, right-click on it and choose Send </w:t>
      </w:r>
      <w:r w:rsidRPr="000665B0">
        <w:sym w:font="Wingdings" w:char="F0E0"/>
      </w:r>
      <w:r w:rsidRPr="000665B0">
        <w:t xml:space="preserve"> </w:t>
      </w:r>
      <w:r>
        <w:t xml:space="preserve">Filter Message </w:t>
      </w:r>
      <w:r w:rsidRPr="000665B0">
        <w:sym w:font="Wingdings" w:char="F0E0"/>
      </w:r>
      <w:r>
        <w:t xml:space="preserve"> </w:t>
      </w:r>
      <w:r w:rsidR="00744D80">
        <w:t xml:space="preserve">72-Hour, 5-Hour </w:t>
      </w:r>
      <w:r w:rsidR="00744D80" w:rsidRPr="000665B0">
        <w:sym w:font="Wingdings" w:char="F0E0"/>
      </w:r>
      <w:r w:rsidR="00744D80">
        <w:t xml:space="preserve"> [Message ID], </w:t>
      </w:r>
      <w:r w:rsidR="00744D80" w:rsidRPr="002D0FBD">
        <w:t>or</w:t>
      </w:r>
      <w:r w:rsidR="00744D80">
        <w:t xml:space="preserve"> Cancel</w:t>
      </w:r>
      <w:r w:rsidRPr="000665B0">
        <w:t>.</w:t>
      </w:r>
      <w:r w:rsidR="002D0FBD">
        <w:t xml:space="preserve"> </w:t>
      </w:r>
    </w:p>
    <w:p w14:paraId="38313179" w14:textId="2657F5C0" w:rsidR="002D0FBD" w:rsidRPr="000665B0" w:rsidRDefault="002D0FBD" w:rsidP="006D5A65">
      <w:pPr>
        <w:pStyle w:val="Heading1"/>
      </w:pPr>
      <w:r w:rsidRPr="00CE63D3">
        <w:t xml:space="preserve">The </w:t>
      </w:r>
      <w:r w:rsidRPr="00CE63D3">
        <w:rPr>
          <w:i/>
        </w:rPr>
        <w:t>ACA Filter Message</w:t>
      </w:r>
      <w:r w:rsidRPr="00CE63D3">
        <w:t xml:space="preserve"> window is displayed. For information about</w:t>
      </w:r>
      <w:r>
        <w:t xml:space="preserve"> populating</w:t>
      </w:r>
      <w:r w:rsidRPr="00CE63D3">
        <w:t xml:space="preserve"> the fields and sending the filter message, see</w:t>
      </w:r>
      <w:hyperlink w:anchor="_Filter_Messages_Tab" w:history="1">
        <w:r w:rsidRPr="00EA7FAB">
          <w:rPr>
            <w:rStyle w:val="Hyperlink"/>
            <w:bCs/>
          </w:rPr>
          <w:t xml:space="preserve"> Section </w:t>
        </w:r>
        <w:r w:rsidR="004231CC">
          <w:rPr>
            <w:rStyle w:val="Hyperlink"/>
            <w:bCs/>
          </w:rPr>
          <w:t>5.34</w:t>
        </w:r>
        <w:r w:rsidRPr="00EA7FAB">
          <w:rPr>
            <w:rStyle w:val="Hyperlink"/>
            <w:bCs/>
          </w:rPr>
          <w:t>.7.1.9</w:t>
        </w:r>
      </w:hyperlink>
      <w:r w:rsidRPr="00CE63D3">
        <w:t>.</w:t>
      </w:r>
    </w:p>
    <w:p w14:paraId="5C0801D4" w14:textId="36EB0F80" w:rsidR="00CD2871" w:rsidRPr="000665B0" w:rsidRDefault="00CD2871" w:rsidP="00B35EE5">
      <w:pPr>
        <w:pStyle w:val="Heading4"/>
      </w:pPr>
      <w:bookmarkStart w:id="6948" w:name="_5.39.4.4__View"/>
      <w:bookmarkStart w:id="6949" w:name="_View_PM3"/>
      <w:bookmarkStart w:id="6950" w:name="_Toc289328962"/>
      <w:bookmarkEnd w:id="6948"/>
      <w:bookmarkEnd w:id="6949"/>
      <w:r w:rsidRPr="000665B0">
        <w:t>View PM3</w:t>
      </w:r>
      <w:bookmarkEnd w:id="6950"/>
    </w:p>
    <w:p w14:paraId="3A3B0B24" w14:textId="5FB6FFF1" w:rsidR="00CD2871" w:rsidRPr="000665B0" w:rsidRDefault="00DC3A52" w:rsidP="00CD2871">
      <w:r w:rsidRPr="000665B0">
        <w:t>Allows the user to view P</w:t>
      </w:r>
      <w:r w:rsidR="00BA5239" w:rsidRPr="000665B0">
        <w:t>M3</w:t>
      </w:r>
      <w:r w:rsidRPr="000665B0">
        <w:t xml:space="preserve"> information, both textually and graphically. From the </w:t>
      </w:r>
      <w:r w:rsidRPr="000665B0">
        <w:rPr>
          <w:b/>
        </w:rPr>
        <w:t>FRU Status</w:t>
      </w:r>
      <w:r w:rsidRPr="000665B0">
        <w:t xml:space="preserve"> pane</w:t>
      </w:r>
      <w:r w:rsidR="00893656" w:rsidRPr="000665B0">
        <w:t xml:space="preserve">, </w:t>
      </w:r>
      <w:r w:rsidRPr="000665B0">
        <w:t>the Tree View on the Gantt chart,</w:t>
      </w:r>
      <w:r w:rsidR="006636EC" w:rsidRPr="000665B0">
        <w:t xml:space="preserve"> the </w:t>
      </w:r>
      <w:r w:rsidR="006636EC" w:rsidRPr="000665B0">
        <w:rPr>
          <w:b/>
        </w:rPr>
        <w:t>TSRT Geo</w:t>
      </w:r>
      <w:r w:rsidR="006636EC" w:rsidRPr="000665B0">
        <w:t xml:space="preserve"> pane, or the </w:t>
      </w:r>
      <w:r w:rsidR="006636EC" w:rsidRPr="000665B0">
        <w:rPr>
          <w:b/>
        </w:rPr>
        <w:t>TSRT Geo Object Manager</w:t>
      </w:r>
      <w:r w:rsidR="006636EC" w:rsidRPr="000665B0">
        <w:t xml:space="preserve"> pane,</w:t>
      </w:r>
      <w:r w:rsidRPr="000665B0">
        <w:t xml:space="preserve"> select the desired FRU, invoke the context menu (</w:t>
      </w:r>
      <w:r w:rsidR="00D71804" w:rsidRPr="000665B0">
        <w:t>right-click</w:t>
      </w:r>
      <w:r w:rsidRPr="000665B0">
        <w:t xml:space="preserve"> the mouse) and select </w:t>
      </w:r>
      <w:r w:rsidRPr="000665B0">
        <w:rPr>
          <w:b/>
        </w:rPr>
        <w:t>View PM3</w:t>
      </w:r>
      <w:r w:rsidR="00CE4F0C" w:rsidRPr="000665B0">
        <w:t xml:space="preserve"> </w:t>
      </w:r>
      <w:bookmarkStart w:id="6951" w:name="_Hlk65842606"/>
      <w:r w:rsidR="00CE4F0C" w:rsidRPr="000665B0">
        <w:rPr>
          <w:b/>
        </w:rPr>
        <w:sym w:font="Wingdings" w:char="F0E0"/>
      </w:r>
      <w:r w:rsidR="00CE4F0C" w:rsidRPr="000665B0">
        <w:rPr>
          <w:b/>
          <w:bCs/>
        </w:rPr>
        <w:t xml:space="preserve"> Textual</w:t>
      </w:r>
      <w:r w:rsidR="00CE4F0C" w:rsidRPr="000665B0">
        <w:rPr>
          <w:bCs/>
        </w:rPr>
        <w:t xml:space="preserve"> or </w:t>
      </w:r>
      <w:r w:rsidR="00CE4F0C" w:rsidRPr="000665B0">
        <w:rPr>
          <w:b/>
          <w:bCs/>
        </w:rPr>
        <w:t>Graphical</w:t>
      </w:r>
      <w:bookmarkEnd w:id="6951"/>
      <w:r w:rsidRPr="000665B0">
        <w:t>. Examples of both are shown below</w:t>
      </w:r>
      <w:r w:rsidR="00E005F5" w:rsidRPr="000665B0">
        <w:t>.</w:t>
      </w:r>
    </w:p>
    <w:p w14:paraId="062737DA" w14:textId="0A85A256" w:rsidR="00CD2871" w:rsidRPr="000665B0" w:rsidRDefault="006E2D14" w:rsidP="0013210C">
      <w:pPr>
        <w:spacing w:before="120"/>
        <w:jc w:val="center"/>
      </w:pPr>
      <w:r w:rsidRPr="000665B0">
        <w:rPr>
          <w:noProof/>
        </w:rPr>
        <w:drawing>
          <wp:inline distT="0" distB="0" distL="0" distR="0" wp14:anchorId="17E890D5" wp14:editId="5EA9BD85">
            <wp:extent cx="4154520" cy="2343150"/>
            <wp:effectExtent l="0" t="0" r="0" b="0"/>
            <wp:docPr id="2117" name="Picture 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68439" cy="2351000"/>
                    </a:xfrm>
                    <a:prstGeom prst="rect">
                      <a:avLst/>
                    </a:prstGeom>
                  </pic:spPr>
                </pic:pic>
              </a:graphicData>
            </a:graphic>
          </wp:inline>
        </w:drawing>
      </w:r>
    </w:p>
    <w:p w14:paraId="4F6E9590" w14:textId="76B0E6A9" w:rsidR="006E2D14" w:rsidRPr="000665B0" w:rsidRDefault="006E2D14" w:rsidP="0013210C">
      <w:pPr>
        <w:spacing w:before="120"/>
        <w:jc w:val="center"/>
      </w:pPr>
      <w:r w:rsidRPr="000665B0">
        <w:rPr>
          <w:noProof/>
        </w:rPr>
        <w:drawing>
          <wp:inline distT="0" distB="0" distL="0" distR="0" wp14:anchorId="59C9FB25" wp14:editId="6EDF92CD">
            <wp:extent cx="3028950" cy="2877503"/>
            <wp:effectExtent l="0" t="0" r="0" b="0"/>
            <wp:docPr id="2105" name="Picture 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031069" cy="2879516"/>
                    </a:xfrm>
                    <a:prstGeom prst="rect">
                      <a:avLst/>
                    </a:prstGeom>
                  </pic:spPr>
                </pic:pic>
              </a:graphicData>
            </a:graphic>
          </wp:inline>
        </w:drawing>
      </w:r>
    </w:p>
    <w:p w14:paraId="7B8DE5A4" w14:textId="7B7C41A8" w:rsidR="00E005F5" w:rsidRPr="000665B0" w:rsidRDefault="00E005F5" w:rsidP="00E005F5">
      <w:r w:rsidRPr="000665B0">
        <w:lastRenderedPageBreak/>
        <w:t xml:space="preserve">For missile IDs that contain the 4-character missile type (see </w:t>
      </w:r>
      <w:hyperlink w:anchor="_4_-Character_Missile" w:history="1">
        <w:r w:rsidRPr="000665B0">
          <w:rPr>
            <w:rStyle w:val="Hyperlink"/>
          </w:rPr>
          <w:t>Section 5.</w:t>
        </w:r>
        <w:r w:rsidR="008C72D0">
          <w:rPr>
            <w:rStyle w:val="Hyperlink"/>
          </w:rPr>
          <w:t>1</w:t>
        </w:r>
        <w:r w:rsidR="00531FC9">
          <w:rPr>
            <w:rStyle w:val="Hyperlink"/>
          </w:rPr>
          <w:t>4</w:t>
        </w:r>
        <w:r w:rsidRPr="000665B0">
          <w:rPr>
            <w:rStyle w:val="Hyperlink"/>
          </w:rPr>
          <w:t>.1</w:t>
        </w:r>
      </w:hyperlink>
      <w:r w:rsidRPr="000665B0">
        <w:t xml:space="preserve">), hover the mouse over the specific missile ID to display a </w:t>
      </w:r>
      <w:r w:rsidR="0087541B">
        <w:t>tooltip</w:t>
      </w:r>
      <w:r w:rsidRPr="000665B0">
        <w:t xml:space="preserve"> with additional information about the missile.</w:t>
      </w:r>
    </w:p>
    <w:p w14:paraId="29965C85" w14:textId="43B1724B" w:rsidR="00CD2871" w:rsidRPr="000665B0" w:rsidRDefault="006E2D14" w:rsidP="00CD2871">
      <w:pPr>
        <w:jc w:val="center"/>
      </w:pPr>
      <w:r w:rsidRPr="000665B0">
        <w:rPr>
          <w:noProof/>
        </w:rPr>
        <w:drawing>
          <wp:inline distT="0" distB="0" distL="0" distR="0" wp14:anchorId="694640FC" wp14:editId="42D0F662">
            <wp:extent cx="3133725" cy="868490"/>
            <wp:effectExtent l="0" t="0" r="0" b="0"/>
            <wp:docPr id="2108" name="Picture 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39783" cy="870169"/>
                    </a:xfrm>
                    <a:prstGeom prst="rect">
                      <a:avLst/>
                    </a:prstGeom>
                  </pic:spPr>
                </pic:pic>
              </a:graphicData>
            </a:graphic>
          </wp:inline>
        </w:drawing>
      </w:r>
    </w:p>
    <w:p w14:paraId="3C3978D0" w14:textId="296E6C88" w:rsidR="00100DA3" w:rsidRDefault="00100DA3" w:rsidP="00100DA3">
      <w:bookmarkStart w:id="6952" w:name="_5.39.5__Missile_Status"/>
      <w:bookmarkStart w:id="6953" w:name="_5.39.5__Missile"/>
      <w:bookmarkStart w:id="6954" w:name="_Missile_Status"/>
      <w:bookmarkStart w:id="6955" w:name="_Toc289328963"/>
      <w:bookmarkStart w:id="6956" w:name="_Toc312332102"/>
      <w:bookmarkEnd w:id="6952"/>
      <w:bookmarkEnd w:id="6953"/>
      <w:bookmarkEnd w:id="6954"/>
      <w:r>
        <w:t>A new type of FRU known as Battery Operation Center (BOC), which launches Tomahawk missiles from the ground, will have a uniquely different missile inventory configuration as shown below.</w:t>
      </w:r>
    </w:p>
    <w:p w14:paraId="0C465EF9" w14:textId="5317EDD0" w:rsidR="00430DEF" w:rsidRDefault="00430DEF" w:rsidP="00430DEF">
      <w:pPr>
        <w:jc w:val="center"/>
      </w:pPr>
      <w:r>
        <w:rPr>
          <w:noProof/>
        </w:rPr>
        <w:drawing>
          <wp:inline distT="0" distB="0" distL="0" distR="0" wp14:anchorId="2114ABC4" wp14:editId="4CE756AC">
            <wp:extent cx="3151079" cy="3067050"/>
            <wp:effectExtent l="0" t="0" r="0" b="0"/>
            <wp:docPr id="451" name="Picture 45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451"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157692" cy="3073487"/>
                    </a:xfrm>
                    <a:prstGeom prst="rect">
                      <a:avLst/>
                    </a:prstGeom>
                  </pic:spPr>
                </pic:pic>
              </a:graphicData>
            </a:graphic>
          </wp:inline>
        </w:drawing>
      </w:r>
    </w:p>
    <w:p w14:paraId="5B8F869F" w14:textId="5D4E1F36" w:rsidR="009C7C63" w:rsidRDefault="009C7C63" w:rsidP="009C7C63">
      <w:r>
        <w:t>Another new type of FRU known as Long Range Fire (LRF), which launches Tomahawk missiles from the ground by up to 16 one-missile launchers, will have a missile inventory configuration using one cell per module of Navy's configuration to represent one-missile launcher as shown below.</w:t>
      </w:r>
    </w:p>
    <w:p w14:paraId="3C4E2E97" w14:textId="4A933F2C" w:rsidR="009C7C63" w:rsidRPr="000665B0" w:rsidRDefault="000D5AC6" w:rsidP="00430DEF">
      <w:pPr>
        <w:jc w:val="center"/>
      </w:pPr>
      <w:r>
        <w:rPr>
          <w:noProof/>
        </w:rPr>
        <w:lastRenderedPageBreak/>
        <w:drawing>
          <wp:inline distT="0" distB="0" distL="0" distR="0" wp14:anchorId="0DEB5401" wp14:editId="6FE49093">
            <wp:extent cx="3962400" cy="3293518"/>
            <wp:effectExtent l="0" t="0" r="0" b="0"/>
            <wp:docPr id="2272" name="Picture 227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 name="Picture 2272"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962400" cy="3293518"/>
                    </a:xfrm>
                    <a:prstGeom prst="rect">
                      <a:avLst/>
                    </a:prstGeom>
                  </pic:spPr>
                </pic:pic>
              </a:graphicData>
            </a:graphic>
          </wp:inline>
        </w:drawing>
      </w:r>
    </w:p>
    <w:p w14:paraId="226040B8" w14:textId="77777777" w:rsidR="002D6D50" w:rsidRDefault="002D6D50" w:rsidP="002D6D50">
      <w:pPr>
        <w:pStyle w:val="Heading4"/>
      </w:pPr>
      <w:r>
        <w:t>Assume/Release MST Control</w:t>
      </w:r>
    </w:p>
    <w:p w14:paraId="198971AF" w14:textId="77777777" w:rsidR="00EA613D" w:rsidRDefault="002D6D50" w:rsidP="002D6D50">
      <w:r>
        <w:t xml:space="preserve">Allows the user to change the control state of all maritime engagements created by the selected FRU. If the FRU is currently in control of the engagements it has created, the option will say </w:t>
      </w:r>
      <w:r w:rsidRPr="002D6D50">
        <w:rPr>
          <w:b/>
          <w:bCs/>
        </w:rPr>
        <w:t>Release MST Control</w:t>
      </w:r>
      <w:r>
        <w:t xml:space="preserve">. Selecting this option will release control for all engagements created by that FRU. If the FRU is currently not in control of the engagements it has created, the option will say </w:t>
      </w:r>
      <w:r w:rsidRPr="002D6D50">
        <w:rPr>
          <w:b/>
          <w:bCs/>
        </w:rPr>
        <w:t>Assume MST Control</w:t>
      </w:r>
      <w:r>
        <w:t xml:space="preserve">. Selecting this option will assume control for all engagements created that FRU. </w:t>
      </w:r>
    </w:p>
    <w:p w14:paraId="619F92FB" w14:textId="57F26663" w:rsidR="002D6D50" w:rsidRDefault="00EA613D" w:rsidP="002D6D50">
      <w:r>
        <w:t xml:space="preserve">Note: </w:t>
      </w:r>
      <w:r w:rsidR="002D6D50">
        <w:t xml:space="preserve">When the FRU is in control of the engagements, TSRT will </w:t>
      </w:r>
      <w:r>
        <w:t xml:space="preserve">not </w:t>
      </w:r>
      <w:r w:rsidR="002D6D50">
        <w:t>send target state MST IMMMs automatically when new target track updates are received.</w:t>
      </w:r>
      <w:r>
        <w:t xml:space="preserve"> TSRT does not have the capability to enable or disable sending automatic </w:t>
      </w:r>
      <w:r w:rsidRPr="00C36B36">
        <w:rPr>
          <w:b/>
          <w:bCs/>
        </w:rPr>
        <w:t>Target State Updates.</w:t>
      </w:r>
    </w:p>
    <w:p w14:paraId="5FE974C7" w14:textId="77777777" w:rsidR="002D6D50" w:rsidRDefault="002D6D50" w:rsidP="001F4B14">
      <w:pPr>
        <w:jc w:val="center"/>
      </w:pPr>
      <w:r>
        <w:rPr>
          <w:noProof/>
        </w:rPr>
        <w:drawing>
          <wp:inline distT="0" distB="0" distL="0" distR="0" wp14:anchorId="6ED2A822" wp14:editId="5D50A0B4">
            <wp:extent cx="4983480" cy="1225296"/>
            <wp:effectExtent l="0" t="0" r="0" b="0"/>
            <wp:docPr id="1393" name="Picture 139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 name="Picture 1393" descr="Graphical user interface, website&#10;&#10;Description automatically generated"/>
                    <pic:cNvPicPr/>
                  </pic:nvPicPr>
                  <pic:blipFill>
                    <a:blip/>
                    <a:stretch>
                      <a:fillRect/>
                    </a:stretch>
                  </pic:blipFill>
                  <pic:spPr>
                    <a:xfrm>
                      <a:off x="0" y="0"/>
                      <a:ext cx="4983480" cy="1225296"/>
                    </a:xfrm>
                    <a:prstGeom prst="rect">
                      <a:avLst/>
                    </a:prstGeom>
                  </pic:spPr>
                </pic:pic>
              </a:graphicData>
            </a:graphic>
          </wp:inline>
        </w:drawing>
      </w:r>
    </w:p>
    <w:p w14:paraId="1A31DD79" w14:textId="77777777" w:rsidR="002D6D50" w:rsidRDefault="002D6D50" w:rsidP="002D6D50">
      <w:pPr>
        <w:spacing w:before="240"/>
      </w:pPr>
      <w:r>
        <w:t xml:space="preserve">The FRU MST control state is also displayed in the </w:t>
      </w:r>
      <w:r w:rsidRPr="002D6D50">
        <w:rPr>
          <w:b/>
          <w:bCs/>
        </w:rPr>
        <w:t>MST Controller</w:t>
      </w:r>
      <w:r>
        <w:t xml:space="preserve"> column on the </w:t>
      </w:r>
      <w:r w:rsidRPr="002D6D50">
        <w:rPr>
          <w:b/>
          <w:bCs/>
        </w:rPr>
        <w:t>FRU Status</w:t>
      </w:r>
      <w:r>
        <w:t xml:space="preserve"> pane. An “X” indicates that the FRU is in control of all of the MST engagements it has created. No “X” indicates that the FRU is not in control of any of the MST engagements it has created.</w:t>
      </w:r>
    </w:p>
    <w:p w14:paraId="4DEDB21B" w14:textId="77777777" w:rsidR="002D6D50" w:rsidRDefault="002D6D50" w:rsidP="001F4B14">
      <w:pPr>
        <w:jc w:val="center"/>
      </w:pPr>
      <w:r w:rsidRPr="007B0480">
        <w:rPr>
          <w:noProof/>
        </w:rPr>
        <w:lastRenderedPageBreak/>
        <w:drawing>
          <wp:inline distT="0" distB="0" distL="0" distR="0" wp14:anchorId="01E39710" wp14:editId="1FA2922D">
            <wp:extent cx="4983480" cy="1399032"/>
            <wp:effectExtent l="0" t="0" r="0" b="0"/>
            <wp:docPr id="1386" name="Picture 138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 name="Picture 1386" descr="Graphical user interface, text, application&#10;&#10;Description automatically generated"/>
                    <pic:cNvPicPr/>
                  </pic:nvPicPr>
                  <pic:blipFill>
                    <a:blip/>
                    <a:stretch>
                      <a:fillRect/>
                    </a:stretch>
                  </pic:blipFill>
                  <pic:spPr>
                    <a:xfrm>
                      <a:off x="0" y="0"/>
                      <a:ext cx="4983480" cy="1399032"/>
                    </a:xfrm>
                    <a:prstGeom prst="rect">
                      <a:avLst/>
                    </a:prstGeom>
                  </pic:spPr>
                </pic:pic>
              </a:graphicData>
            </a:graphic>
          </wp:inline>
        </w:drawing>
      </w:r>
    </w:p>
    <w:p w14:paraId="2C3A7F0A" w14:textId="745943FB" w:rsidR="004754D8" w:rsidRDefault="004754D8" w:rsidP="004754D8">
      <w:pPr>
        <w:pStyle w:val="Heading4"/>
      </w:pPr>
      <w:r w:rsidRPr="00D6345B">
        <w:t>TSRT Sim FRU Filter Messages</w:t>
      </w:r>
    </w:p>
    <w:p w14:paraId="5B285F06" w14:textId="4FA1AED3" w:rsidR="004754D8" w:rsidRDefault="004754D8" w:rsidP="004754D8">
      <w:r w:rsidRPr="00C90089">
        <w:t xml:space="preserve">The Filter Message is the ACA Control message subtype used to coordinate ACA services for a geographic area and time period in support of a strike package. </w:t>
      </w:r>
      <w:r>
        <w:t xml:space="preserve">See </w:t>
      </w:r>
      <w:hyperlink w:anchor="_Send_an_ACA" w:history="1">
        <w:r w:rsidRPr="004754D8">
          <w:rPr>
            <w:rStyle w:val="Hyperlink"/>
          </w:rPr>
          <w:t xml:space="preserve">Section </w:t>
        </w:r>
        <w:r w:rsidR="004231CC">
          <w:rPr>
            <w:rStyle w:val="Hyperlink"/>
          </w:rPr>
          <w:t>5.34</w:t>
        </w:r>
        <w:r w:rsidRPr="004754D8">
          <w:rPr>
            <w:rStyle w:val="Hyperlink"/>
          </w:rPr>
          <w:t>.7.1.9.1</w:t>
        </w:r>
      </w:hyperlink>
      <w:r>
        <w:t xml:space="preserve"> for more information on filter messages and the relevant workflows for Land Attack strikes. For Maritime, the FRU has a greater involvement in the filter message workflows, so TSRT was updated to be able to send filter messages on behalf of a simulated FRU. While the filter message use states are the same between Land Attack and Maritime engagements, the meanings are different. See the table below for information on what the use states mean for maritime, as well as what capabilities and limitations TSRT has when sending a filter message with that use state. </w:t>
      </w:r>
    </w:p>
    <w:tbl>
      <w:tblPr>
        <w:tblW w:w="5000" w:type="pct"/>
        <w:tblLayout w:type="fixed"/>
        <w:tblLook w:val="04A0" w:firstRow="1" w:lastRow="0" w:firstColumn="1" w:lastColumn="0" w:noHBand="0" w:noVBand="1"/>
      </w:tblPr>
      <w:tblGrid>
        <w:gridCol w:w="1805"/>
        <w:gridCol w:w="1509"/>
        <w:gridCol w:w="1509"/>
        <w:gridCol w:w="1509"/>
        <w:gridCol w:w="1509"/>
        <w:gridCol w:w="1509"/>
      </w:tblGrid>
      <w:tr w:rsidR="004754D8" w:rsidRPr="002331B0" w14:paraId="72CA1246" w14:textId="77777777" w:rsidTr="00A0163E">
        <w:trPr>
          <w:trHeight w:val="300"/>
          <w:tblHeader/>
        </w:trPr>
        <w:tc>
          <w:tcPr>
            <w:tcW w:w="96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6D25274" w14:textId="77777777" w:rsidR="004754D8" w:rsidRPr="002331B0" w:rsidRDefault="004754D8" w:rsidP="002331B0">
            <w:pPr>
              <w:keepNext/>
              <w:spacing w:after="0" w:line="240" w:lineRule="auto"/>
              <w:rPr>
                <w:rFonts w:ascii="Arial" w:hAnsi="Arial" w:cs="Arial"/>
                <w:color w:val="000000"/>
                <w:sz w:val="22"/>
                <w:szCs w:val="22"/>
              </w:rPr>
            </w:pPr>
            <w:r w:rsidRPr="002331B0">
              <w:rPr>
                <w:rFonts w:ascii="Arial" w:hAnsi="Arial" w:cs="Arial"/>
                <w:color w:val="000000"/>
                <w:sz w:val="22"/>
                <w:szCs w:val="22"/>
              </w:rPr>
              <w:t> </w:t>
            </w:r>
          </w:p>
        </w:tc>
        <w:tc>
          <w:tcPr>
            <w:tcW w:w="4035" w:type="pct"/>
            <w:gridSpan w:val="5"/>
            <w:tcBorders>
              <w:top w:val="single" w:sz="4" w:space="0" w:color="auto"/>
              <w:left w:val="nil"/>
              <w:bottom w:val="single" w:sz="4" w:space="0" w:color="auto"/>
              <w:right w:val="single" w:sz="4" w:space="0" w:color="auto"/>
            </w:tcBorders>
            <w:shd w:val="clear" w:color="000000" w:fill="D9D9D9"/>
            <w:vAlign w:val="center"/>
            <w:hideMark/>
          </w:tcPr>
          <w:p w14:paraId="3DB20DD9" w14:textId="77777777" w:rsidR="004754D8" w:rsidRPr="002331B0" w:rsidRDefault="004754D8" w:rsidP="002331B0">
            <w:pPr>
              <w:keepNext/>
              <w:spacing w:after="0" w:line="240" w:lineRule="auto"/>
              <w:jc w:val="center"/>
              <w:rPr>
                <w:rFonts w:ascii="Arial" w:hAnsi="Arial" w:cs="Arial"/>
                <w:b/>
                <w:bCs/>
                <w:color w:val="000000"/>
                <w:sz w:val="22"/>
                <w:szCs w:val="22"/>
              </w:rPr>
            </w:pPr>
            <w:r w:rsidRPr="002331B0">
              <w:rPr>
                <w:rFonts w:ascii="Arial" w:hAnsi="Arial" w:cs="Arial"/>
                <w:b/>
                <w:bCs/>
                <w:color w:val="000000"/>
                <w:sz w:val="22"/>
                <w:szCs w:val="22"/>
              </w:rPr>
              <w:t>Use State</w:t>
            </w:r>
          </w:p>
        </w:tc>
      </w:tr>
      <w:tr w:rsidR="002331B0" w:rsidRPr="002331B0" w14:paraId="783615F0" w14:textId="77777777" w:rsidTr="002331B0">
        <w:trPr>
          <w:trHeight w:val="300"/>
          <w:tblHeader/>
        </w:trPr>
        <w:tc>
          <w:tcPr>
            <w:tcW w:w="965" w:type="pct"/>
            <w:tcBorders>
              <w:top w:val="nil"/>
              <w:left w:val="single" w:sz="4" w:space="0" w:color="auto"/>
              <w:bottom w:val="single" w:sz="4" w:space="0" w:color="auto"/>
              <w:right w:val="single" w:sz="4" w:space="0" w:color="auto"/>
            </w:tcBorders>
            <w:shd w:val="clear" w:color="000000" w:fill="D9D9D9"/>
            <w:noWrap/>
            <w:vAlign w:val="center"/>
            <w:hideMark/>
          </w:tcPr>
          <w:p w14:paraId="4D2BFC78" w14:textId="77777777" w:rsidR="004754D8" w:rsidRPr="002331B0" w:rsidRDefault="004754D8" w:rsidP="002331B0">
            <w:pPr>
              <w:keepNext/>
              <w:spacing w:after="0" w:line="240" w:lineRule="auto"/>
              <w:rPr>
                <w:rFonts w:ascii="Arial" w:hAnsi="Arial" w:cs="Arial"/>
                <w:b/>
                <w:bCs/>
                <w:color w:val="000000"/>
                <w:sz w:val="22"/>
                <w:szCs w:val="22"/>
              </w:rPr>
            </w:pPr>
            <w:r w:rsidRPr="002331B0">
              <w:rPr>
                <w:rFonts w:ascii="Arial" w:hAnsi="Arial" w:cs="Arial"/>
                <w:b/>
                <w:bCs/>
                <w:color w:val="000000"/>
                <w:sz w:val="22"/>
                <w:szCs w:val="22"/>
              </w:rPr>
              <w:t>Details</w:t>
            </w:r>
          </w:p>
        </w:tc>
        <w:tc>
          <w:tcPr>
            <w:tcW w:w="807" w:type="pct"/>
            <w:tcBorders>
              <w:top w:val="nil"/>
              <w:left w:val="nil"/>
              <w:bottom w:val="single" w:sz="4" w:space="0" w:color="auto"/>
              <w:right w:val="single" w:sz="4" w:space="0" w:color="auto"/>
            </w:tcBorders>
            <w:shd w:val="clear" w:color="000000" w:fill="D9D9D9"/>
            <w:vAlign w:val="center"/>
            <w:hideMark/>
          </w:tcPr>
          <w:p w14:paraId="2B8156F2" w14:textId="77777777" w:rsidR="004754D8" w:rsidRPr="002331B0" w:rsidRDefault="004754D8" w:rsidP="002331B0">
            <w:pPr>
              <w:keepNext/>
              <w:spacing w:after="0" w:line="240" w:lineRule="auto"/>
              <w:rPr>
                <w:rFonts w:ascii="Arial" w:hAnsi="Arial" w:cs="Arial"/>
                <w:b/>
                <w:bCs/>
                <w:color w:val="000000"/>
                <w:sz w:val="22"/>
                <w:szCs w:val="22"/>
              </w:rPr>
            </w:pPr>
            <w:r w:rsidRPr="002331B0">
              <w:rPr>
                <w:rFonts w:ascii="Arial" w:hAnsi="Arial" w:cs="Arial"/>
                <w:b/>
                <w:bCs/>
                <w:color w:val="000000"/>
                <w:sz w:val="22"/>
                <w:szCs w:val="22"/>
              </w:rPr>
              <w:t>72-hour</w:t>
            </w:r>
          </w:p>
        </w:tc>
        <w:tc>
          <w:tcPr>
            <w:tcW w:w="807" w:type="pct"/>
            <w:tcBorders>
              <w:top w:val="nil"/>
              <w:left w:val="nil"/>
              <w:bottom w:val="single" w:sz="4" w:space="0" w:color="auto"/>
              <w:right w:val="single" w:sz="4" w:space="0" w:color="auto"/>
            </w:tcBorders>
            <w:shd w:val="clear" w:color="000000" w:fill="D9D9D9"/>
            <w:vAlign w:val="center"/>
            <w:hideMark/>
          </w:tcPr>
          <w:p w14:paraId="1BF1431B" w14:textId="77777777" w:rsidR="004754D8" w:rsidRPr="002331B0" w:rsidRDefault="004754D8" w:rsidP="002331B0">
            <w:pPr>
              <w:keepNext/>
              <w:spacing w:after="0" w:line="240" w:lineRule="auto"/>
              <w:rPr>
                <w:rFonts w:ascii="Arial" w:hAnsi="Arial" w:cs="Arial"/>
                <w:b/>
                <w:bCs/>
                <w:color w:val="000000"/>
                <w:sz w:val="22"/>
                <w:szCs w:val="22"/>
              </w:rPr>
            </w:pPr>
            <w:r w:rsidRPr="002331B0">
              <w:rPr>
                <w:rFonts w:ascii="Arial" w:hAnsi="Arial" w:cs="Arial"/>
                <w:b/>
                <w:bCs/>
                <w:color w:val="000000"/>
                <w:sz w:val="22"/>
                <w:szCs w:val="22"/>
              </w:rPr>
              <w:t>5-hour</w:t>
            </w:r>
          </w:p>
        </w:tc>
        <w:tc>
          <w:tcPr>
            <w:tcW w:w="807" w:type="pct"/>
            <w:tcBorders>
              <w:top w:val="nil"/>
              <w:left w:val="nil"/>
              <w:bottom w:val="single" w:sz="4" w:space="0" w:color="auto"/>
              <w:right w:val="single" w:sz="4" w:space="0" w:color="auto"/>
            </w:tcBorders>
            <w:shd w:val="clear" w:color="000000" w:fill="D9D9D9"/>
            <w:vAlign w:val="center"/>
            <w:hideMark/>
          </w:tcPr>
          <w:p w14:paraId="11A81756" w14:textId="77777777" w:rsidR="004754D8" w:rsidRPr="002331B0" w:rsidRDefault="004754D8" w:rsidP="002331B0">
            <w:pPr>
              <w:keepNext/>
              <w:spacing w:after="0" w:line="240" w:lineRule="auto"/>
              <w:rPr>
                <w:rFonts w:ascii="Arial" w:hAnsi="Arial" w:cs="Arial"/>
                <w:b/>
                <w:bCs/>
                <w:color w:val="000000"/>
                <w:sz w:val="22"/>
                <w:szCs w:val="22"/>
              </w:rPr>
            </w:pPr>
            <w:r w:rsidRPr="002331B0">
              <w:rPr>
                <w:rFonts w:ascii="Arial" w:hAnsi="Arial" w:cs="Arial"/>
                <w:b/>
                <w:bCs/>
                <w:color w:val="000000"/>
                <w:sz w:val="22"/>
                <w:szCs w:val="22"/>
              </w:rPr>
              <w:t>Execute</w:t>
            </w:r>
          </w:p>
        </w:tc>
        <w:tc>
          <w:tcPr>
            <w:tcW w:w="807" w:type="pct"/>
            <w:tcBorders>
              <w:top w:val="nil"/>
              <w:left w:val="nil"/>
              <w:bottom w:val="single" w:sz="4" w:space="0" w:color="auto"/>
              <w:right w:val="single" w:sz="4" w:space="0" w:color="auto"/>
            </w:tcBorders>
            <w:shd w:val="clear" w:color="000000" w:fill="D9D9D9"/>
            <w:vAlign w:val="center"/>
            <w:hideMark/>
          </w:tcPr>
          <w:p w14:paraId="7893FE61" w14:textId="77777777" w:rsidR="004754D8" w:rsidRPr="002331B0" w:rsidRDefault="004754D8" w:rsidP="002331B0">
            <w:pPr>
              <w:keepNext/>
              <w:spacing w:after="0" w:line="240" w:lineRule="auto"/>
              <w:rPr>
                <w:rFonts w:ascii="Arial" w:hAnsi="Arial" w:cs="Arial"/>
                <w:b/>
                <w:bCs/>
                <w:color w:val="000000"/>
                <w:sz w:val="22"/>
                <w:szCs w:val="22"/>
              </w:rPr>
            </w:pPr>
            <w:r w:rsidRPr="002331B0">
              <w:rPr>
                <w:rFonts w:ascii="Arial" w:hAnsi="Arial" w:cs="Arial"/>
                <w:b/>
                <w:bCs/>
                <w:color w:val="000000"/>
                <w:sz w:val="22"/>
                <w:szCs w:val="22"/>
              </w:rPr>
              <w:t>Complete</w:t>
            </w:r>
          </w:p>
        </w:tc>
        <w:tc>
          <w:tcPr>
            <w:tcW w:w="807" w:type="pct"/>
            <w:tcBorders>
              <w:top w:val="nil"/>
              <w:left w:val="nil"/>
              <w:bottom w:val="single" w:sz="4" w:space="0" w:color="auto"/>
              <w:right w:val="single" w:sz="4" w:space="0" w:color="auto"/>
            </w:tcBorders>
            <w:shd w:val="clear" w:color="000000" w:fill="D9D9D9"/>
            <w:vAlign w:val="center"/>
            <w:hideMark/>
          </w:tcPr>
          <w:p w14:paraId="6092BBA8" w14:textId="77777777" w:rsidR="004754D8" w:rsidRPr="002331B0" w:rsidRDefault="004754D8" w:rsidP="002331B0">
            <w:pPr>
              <w:keepNext/>
              <w:spacing w:after="0" w:line="240" w:lineRule="auto"/>
              <w:rPr>
                <w:rFonts w:ascii="Arial" w:hAnsi="Arial" w:cs="Arial"/>
                <w:b/>
                <w:bCs/>
                <w:color w:val="000000"/>
                <w:sz w:val="22"/>
                <w:szCs w:val="22"/>
              </w:rPr>
            </w:pPr>
            <w:r w:rsidRPr="002331B0">
              <w:rPr>
                <w:rFonts w:ascii="Arial" w:hAnsi="Arial" w:cs="Arial"/>
                <w:b/>
                <w:bCs/>
                <w:color w:val="000000"/>
                <w:sz w:val="22"/>
                <w:szCs w:val="22"/>
              </w:rPr>
              <w:t>Cancel</w:t>
            </w:r>
          </w:p>
        </w:tc>
      </w:tr>
      <w:tr w:rsidR="002331B0" w:rsidRPr="002331B0" w14:paraId="0108145E" w14:textId="77777777" w:rsidTr="002331B0">
        <w:trPr>
          <w:trHeight w:val="2700"/>
        </w:trPr>
        <w:tc>
          <w:tcPr>
            <w:tcW w:w="965" w:type="pct"/>
            <w:tcBorders>
              <w:top w:val="nil"/>
              <w:left w:val="single" w:sz="4" w:space="0" w:color="auto"/>
              <w:bottom w:val="single" w:sz="4" w:space="0" w:color="auto"/>
              <w:right w:val="single" w:sz="4" w:space="0" w:color="auto"/>
            </w:tcBorders>
            <w:noWrap/>
            <w:hideMark/>
          </w:tcPr>
          <w:p w14:paraId="4DF48655" w14:textId="77777777" w:rsidR="004754D8" w:rsidRPr="002331B0" w:rsidRDefault="004754D8" w:rsidP="002331B0">
            <w:pPr>
              <w:spacing w:after="0" w:line="240" w:lineRule="auto"/>
              <w:rPr>
                <w:rFonts w:ascii="Arial" w:hAnsi="Arial" w:cs="Arial"/>
                <w:b/>
                <w:bCs/>
                <w:color w:val="000000"/>
                <w:sz w:val="22"/>
                <w:szCs w:val="22"/>
              </w:rPr>
            </w:pPr>
            <w:r w:rsidRPr="002331B0">
              <w:rPr>
                <w:rFonts w:ascii="Arial" w:hAnsi="Arial" w:cs="Arial"/>
                <w:b/>
                <w:bCs/>
                <w:color w:val="000000"/>
                <w:sz w:val="22"/>
                <w:szCs w:val="22"/>
              </w:rPr>
              <w:t>Meaning</w:t>
            </w:r>
          </w:p>
        </w:tc>
        <w:tc>
          <w:tcPr>
            <w:tcW w:w="807" w:type="pct"/>
            <w:tcBorders>
              <w:top w:val="nil"/>
              <w:left w:val="nil"/>
              <w:bottom w:val="single" w:sz="4" w:space="0" w:color="auto"/>
              <w:right w:val="single" w:sz="4" w:space="0" w:color="auto"/>
            </w:tcBorders>
            <w:hideMark/>
          </w:tcPr>
          <w:p w14:paraId="38D24551"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Applied to an advance coordination Filter message for an MST surface engagement. This use state is not associated to any SEP data.</w:t>
            </w:r>
          </w:p>
        </w:tc>
        <w:tc>
          <w:tcPr>
            <w:tcW w:w="807" w:type="pct"/>
            <w:tcBorders>
              <w:top w:val="nil"/>
              <w:left w:val="nil"/>
              <w:bottom w:val="single" w:sz="4" w:space="0" w:color="auto"/>
              <w:right w:val="single" w:sz="4" w:space="0" w:color="auto"/>
            </w:tcBorders>
            <w:hideMark/>
          </w:tcPr>
          <w:p w14:paraId="75BA177A"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Applied to a Filter message for an MST surface engagement that is sent based on SEP data when a Cover Order is given.</w:t>
            </w:r>
          </w:p>
        </w:tc>
        <w:tc>
          <w:tcPr>
            <w:tcW w:w="807" w:type="pct"/>
            <w:tcBorders>
              <w:top w:val="nil"/>
              <w:left w:val="nil"/>
              <w:bottom w:val="single" w:sz="4" w:space="0" w:color="auto"/>
              <w:right w:val="single" w:sz="4" w:space="0" w:color="auto"/>
            </w:tcBorders>
            <w:hideMark/>
          </w:tcPr>
          <w:p w14:paraId="7F23A877"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Applied to a Filter message generated based on SEP data and transmitted when a Take Order is given. It notifies the ACA Operator and the Mission Support capability that the SEP has reached its execution window and missile launch is imminent.</w:t>
            </w:r>
          </w:p>
        </w:tc>
        <w:tc>
          <w:tcPr>
            <w:tcW w:w="807" w:type="pct"/>
            <w:tcBorders>
              <w:top w:val="nil"/>
              <w:left w:val="nil"/>
              <w:bottom w:val="single" w:sz="4" w:space="0" w:color="auto"/>
              <w:right w:val="single" w:sz="4" w:space="0" w:color="auto"/>
            </w:tcBorders>
            <w:hideMark/>
          </w:tcPr>
          <w:p w14:paraId="1602D4E5"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This use state reports the status of the SEP as complete and needs no further support from the ACA.</w:t>
            </w:r>
          </w:p>
        </w:tc>
        <w:tc>
          <w:tcPr>
            <w:tcW w:w="807" w:type="pct"/>
            <w:tcBorders>
              <w:top w:val="nil"/>
              <w:left w:val="nil"/>
              <w:bottom w:val="single" w:sz="4" w:space="0" w:color="auto"/>
              <w:right w:val="single" w:sz="4" w:space="0" w:color="auto"/>
            </w:tcBorders>
            <w:hideMark/>
          </w:tcPr>
          <w:p w14:paraId="05AE0BD1" w14:textId="6F8ACEF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 xml:space="preserve">Applied to a Filter message revision sent when the requested support from the ACA is no longer required. Cancel filter messages can be sent after an Advanced Coordination message has been sent or prior to first missile </w:t>
            </w:r>
            <w:r w:rsidR="00FA3672" w:rsidRPr="002331B0">
              <w:rPr>
                <w:rFonts w:ascii="Arial" w:hAnsi="Arial" w:cs="Arial"/>
                <w:color w:val="000000"/>
                <w:sz w:val="20"/>
              </w:rPr>
              <w:t>launch</w:t>
            </w:r>
            <w:r w:rsidRPr="002331B0">
              <w:rPr>
                <w:rFonts w:ascii="Arial" w:hAnsi="Arial" w:cs="Arial"/>
                <w:color w:val="000000"/>
                <w:sz w:val="20"/>
              </w:rPr>
              <w:t xml:space="preserve"> after 5-hour/Execute Filter messages.</w:t>
            </w:r>
          </w:p>
        </w:tc>
      </w:tr>
      <w:tr w:rsidR="002331B0" w:rsidRPr="002331B0" w14:paraId="51CD21AC" w14:textId="77777777" w:rsidTr="002331B0">
        <w:trPr>
          <w:trHeight w:val="300"/>
        </w:trPr>
        <w:tc>
          <w:tcPr>
            <w:tcW w:w="965" w:type="pct"/>
            <w:tcBorders>
              <w:top w:val="nil"/>
              <w:left w:val="single" w:sz="4" w:space="0" w:color="auto"/>
              <w:bottom w:val="single" w:sz="4" w:space="0" w:color="auto"/>
              <w:right w:val="single" w:sz="4" w:space="0" w:color="auto"/>
            </w:tcBorders>
            <w:noWrap/>
            <w:hideMark/>
          </w:tcPr>
          <w:p w14:paraId="2E01F98B" w14:textId="77777777" w:rsidR="004754D8" w:rsidRPr="002331B0" w:rsidRDefault="004754D8" w:rsidP="002331B0">
            <w:pPr>
              <w:spacing w:after="0" w:line="240" w:lineRule="auto"/>
              <w:rPr>
                <w:rFonts w:ascii="Arial" w:hAnsi="Arial" w:cs="Arial"/>
                <w:b/>
                <w:bCs/>
                <w:color w:val="000000"/>
                <w:sz w:val="22"/>
                <w:szCs w:val="22"/>
              </w:rPr>
            </w:pPr>
            <w:r w:rsidRPr="002331B0">
              <w:rPr>
                <w:rFonts w:ascii="Arial" w:hAnsi="Arial" w:cs="Arial"/>
                <w:b/>
                <w:bCs/>
                <w:color w:val="000000"/>
                <w:sz w:val="22"/>
                <w:szCs w:val="22"/>
              </w:rPr>
              <w:t>Transmission Type</w:t>
            </w:r>
          </w:p>
        </w:tc>
        <w:tc>
          <w:tcPr>
            <w:tcW w:w="807" w:type="pct"/>
            <w:tcBorders>
              <w:top w:val="nil"/>
              <w:left w:val="nil"/>
              <w:bottom w:val="single" w:sz="4" w:space="0" w:color="auto"/>
              <w:right w:val="single" w:sz="4" w:space="0" w:color="auto"/>
            </w:tcBorders>
            <w:hideMark/>
          </w:tcPr>
          <w:p w14:paraId="1CCF2776"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Manual</w:t>
            </w:r>
          </w:p>
        </w:tc>
        <w:tc>
          <w:tcPr>
            <w:tcW w:w="807" w:type="pct"/>
            <w:tcBorders>
              <w:top w:val="nil"/>
              <w:left w:val="nil"/>
              <w:bottom w:val="single" w:sz="4" w:space="0" w:color="auto"/>
              <w:right w:val="single" w:sz="4" w:space="0" w:color="auto"/>
            </w:tcBorders>
            <w:hideMark/>
          </w:tcPr>
          <w:p w14:paraId="5229904D"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Manual</w:t>
            </w:r>
          </w:p>
        </w:tc>
        <w:tc>
          <w:tcPr>
            <w:tcW w:w="807" w:type="pct"/>
            <w:tcBorders>
              <w:top w:val="nil"/>
              <w:left w:val="nil"/>
              <w:bottom w:val="single" w:sz="4" w:space="0" w:color="auto"/>
              <w:right w:val="single" w:sz="4" w:space="0" w:color="auto"/>
            </w:tcBorders>
            <w:hideMark/>
          </w:tcPr>
          <w:p w14:paraId="1F91C589"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Automatic</w:t>
            </w:r>
          </w:p>
        </w:tc>
        <w:tc>
          <w:tcPr>
            <w:tcW w:w="807" w:type="pct"/>
            <w:tcBorders>
              <w:top w:val="nil"/>
              <w:left w:val="nil"/>
              <w:bottom w:val="single" w:sz="4" w:space="0" w:color="auto"/>
              <w:right w:val="single" w:sz="4" w:space="0" w:color="auto"/>
            </w:tcBorders>
            <w:hideMark/>
          </w:tcPr>
          <w:p w14:paraId="3653D59D"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Automatic</w:t>
            </w:r>
          </w:p>
        </w:tc>
        <w:tc>
          <w:tcPr>
            <w:tcW w:w="807" w:type="pct"/>
            <w:tcBorders>
              <w:top w:val="nil"/>
              <w:left w:val="nil"/>
              <w:bottom w:val="single" w:sz="4" w:space="0" w:color="auto"/>
              <w:right w:val="single" w:sz="4" w:space="0" w:color="auto"/>
            </w:tcBorders>
            <w:hideMark/>
          </w:tcPr>
          <w:p w14:paraId="4936AE65"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Manual</w:t>
            </w:r>
          </w:p>
        </w:tc>
      </w:tr>
      <w:tr w:rsidR="002331B0" w:rsidRPr="002331B0" w14:paraId="78E85ECE" w14:textId="77777777" w:rsidTr="002331B0">
        <w:trPr>
          <w:trHeight w:val="2700"/>
        </w:trPr>
        <w:tc>
          <w:tcPr>
            <w:tcW w:w="965" w:type="pct"/>
            <w:tcBorders>
              <w:top w:val="nil"/>
              <w:left w:val="single" w:sz="4" w:space="0" w:color="auto"/>
              <w:bottom w:val="single" w:sz="4" w:space="0" w:color="auto"/>
              <w:right w:val="single" w:sz="4" w:space="0" w:color="auto"/>
            </w:tcBorders>
            <w:noWrap/>
            <w:hideMark/>
          </w:tcPr>
          <w:p w14:paraId="45919A2D" w14:textId="3B32C208" w:rsidR="004754D8" w:rsidRPr="002331B0" w:rsidRDefault="00FA3672" w:rsidP="002331B0">
            <w:pPr>
              <w:spacing w:after="0" w:line="240" w:lineRule="auto"/>
              <w:rPr>
                <w:rFonts w:ascii="Arial" w:hAnsi="Arial" w:cs="Arial"/>
                <w:b/>
                <w:bCs/>
                <w:color w:val="000000"/>
                <w:sz w:val="22"/>
                <w:szCs w:val="22"/>
              </w:rPr>
            </w:pPr>
            <w:r w:rsidRPr="002331B0">
              <w:rPr>
                <w:rFonts w:ascii="Arial" w:hAnsi="Arial" w:cs="Arial"/>
                <w:b/>
                <w:bCs/>
                <w:color w:val="000000"/>
                <w:sz w:val="22"/>
                <w:szCs w:val="22"/>
              </w:rPr>
              <w:lastRenderedPageBreak/>
              <w:t>Transmission</w:t>
            </w:r>
            <w:r w:rsidR="004754D8" w:rsidRPr="002331B0">
              <w:rPr>
                <w:rFonts w:ascii="Arial" w:hAnsi="Arial" w:cs="Arial"/>
                <w:b/>
                <w:bCs/>
                <w:color w:val="000000"/>
                <w:sz w:val="22"/>
                <w:szCs w:val="22"/>
              </w:rPr>
              <w:t xml:space="preserve"> Details</w:t>
            </w:r>
          </w:p>
        </w:tc>
        <w:tc>
          <w:tcPr>
            <w:tcW w:w="807" w:type="pct"/>
            <w:tcBorders>
              <w:top w:val="nil"/>
              <w:left w:val="nil"/>
              <w:bottom w:val="single" w:sz="4" w:space="0" w:color="auto"/>
              <w:right w:val="single" w:sz="4" w:space="0" w:color="auto"/>
            </w:tcBorders>
            <w:hideMark/>
          </w:tcPr>
          <w:p w14:paraId="7DD49041"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Can be created/transmitted by TSRT operator at any time</w:t>
            </w:r>
          </w:p>
        </w:tc>
        <w:tc>
          <w:tcPr>
            <w:tcW w:w="807" w:type="pct"/>
            <w:tcBorders>
              <w:top w:val="nil"/>
              <w:left w:val="nil"/>
              <w:bottom w:val="single" w:sz="4" w:space="0" w:color="auto"/>
              <w:right w:val="single" w:sz="4" w:space="0" w:color="auto"/>
            </w:tcBorders>
            <w:hideMark/>
          </w:tcPr>
          <w:p w14:paraId="5EAEFAA2"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 xml:space="preserve">Can be created/transmitted by TSRT operator for a SEP before SEP created, or before first missile launch. </w:t>
            </w:r>
          </w:p>
        </w:tc>
        <w:tc>
          <w:tcPr>
            <w:tcW w:w="807" w:type="pct"/>
            <w:tcBorders>
              <w:top w:val="nil"/>
              <w:left w:val="nil"/>
              <w:bottom w:val="single" w:sz="4" w:space="0" w:color="auto"/>
              <w:right w:val="single" w:sz="4" w:space="0" w:color="auto"/>
            </w:tcBorders>
            <w:hideMark/>
          </w:tcPr>
          <w:p w14:paraId="79D1FDC7"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Transmitted at the time the SEP message is transmitted if TSRT Sim FRU is missile controller of the SEP, the SEP case is Full SEP or EP SEP, and the SEP is Comms Enabled.</w:t>
            </w:r>
          </w:p>
        </w:tc>
        <w:tc>
          <w:tcPr>
            <w:tcW w:w="807" w:type="pct"/>
            <w:tcBorders>
              <w:top w:val="nil"/>
              <w:left w:val="nil"/>
              <w:bottom w:val="single" w:sz="4" w:space="0" w:color="auto"/>
              <w:right w:val="single" w:sz="4" w:space="0" w:color="auto"/>
            </w:tcBorders>
            <w:hideMark/>
          </w:tcPr>
          <w:p w14:paraId="0801AED6"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Transmitted when all missiles have reached end of flight if TSRT Sim FRU is missile controller, the SEP case is Full SEP or EP SEP, and Comms Enabled for the SEP.</w:t>
            </w:r>
          </w:p>
        </w:tc>
        <w:tc>
          <w:tcPr>
            <w:tcW w:w="807" w:type="pct"/>
            <w:tcBorders>
              <w:top w:val="nil"/>
              <w:left w:val="nil"/>
              <w:bottom w:val="single" w:sz="4" w:space="0" w:color="auto"/>
              <w:right w:val="single" w:sz="4" w:space="0" w:color="auto"/>
            </w:tcBorders>
            <w:hideMark/>
          </w:tcPr>
          <w:p w14:paraId="28875D29" w14:textId="77777777" w:rsidR="002331B0" w:rsidRDefault="004754D8" w:rsidP="002331B0">
            <w:pPr>
              <w:spacing w:after="0" w:line="240" w:lineRule="auto"/>
              <w:rPr>
                <w:rFonts w:ascii="Arial" w:hAnsi="Arial" w:cs="Arial"/>
                <w:color w:val="000000"/>
                <w:sz w:val="20"/>
              </w:rPr>
            </w:pPr>
            <w:r w:rsidRPr="002331B0">
              <w:rPr>
                <w:rFonts w:ascii="Arial" w:hAnsi="Arial" w:cs="Arial"/>
                <w:color w:val="000000"/>
                <w:sz w:val="20"/>
              </w:rPr>
              <w:t>Can be manually sent in response to an advance coordination Filter message at any time.</w:t>
            </w:r>
          </w:p>
          <w:p w14:paraId="439CFED1" w14:textId="6C0DC436" w:rsidR="004754D8" w:rsidRPr="002331B0" w:rsidRDefault="004754D8" w:rsidP="002331B0">
            <w:pPr>
              <w:spacing w:before="120" w:after="0" w:line="240" w:lineRule="auto"/>
              <w:rPr>
                <w:rFonts w:ascii="Arial" w:hAnsi="Arial" w:cs="Arial"/>
                <w:color w:val="000000"/>
                <w:sz w:val="20"/>
              </w:rPr>
            </w:pPr>
            <w:r w:rsidRPr="002331B0">
              <w:rPr>
                <w:rFonts w:ascii="Arial" w:hAnsi="Arial" w:cs="Arial"/>
                <w:color w:val="000000"/>
                <w:sz w:val="20"/>
              </w:rPr>
              <w:t>Can be manually sent in response to a 5-hour or Execute Filter message at any time prior to first missile launch.</w:t>
            </w:r>
          </w:p>
        </w:tc>
      </w:tr>
      <w:tr w:rsidR="002331B0" w:rsidRPr="002331B0" w14:paraId="4E4BC5BC" w14:textId="77777777" w:rsidTr="002331B0">
        <w:trPr>
          <w:trHeight w:val="1500"/>
        </w:trPr>
        <w:tc>
          <w:tcPr>
            <w:tcW w:w="965" w:type="pct"/>
            <w:tcBorders>
              <w:top w:val="nil"/>
              <w:left w:val="single" w:sz="4" w:space="0" w:color="auto"/>
              <w:bottom w:val="single" w:sz="4" w:space="0" w:color="auto"/>
              <w:right w:val="single" w:sz="4" w:space="0" w:color="auto"/>
            </w:tcBorders>
            <w:noWrap/>
            <w:hideMark/>
          </w:tcPr>
          <w:p w14:paraId="0589FE99" w14:textId="77777777" w:rsidR="004754D8" w:rsidRPr="002331B0" w:rsidRDefault="004754D8" w:rsidP="002331B0">
            <w:pPr>
              <w:spacing w:after="0" w:line="240" w:lineRule="auto"/>
              <w:rPr>
                <w:rFonts w:ascii="Arial" w:hAnsi="Arial" w:cs="Arial"/>
                <w:b/>
                <w:bCs/>
                <w:color w:val="000000"/>
                <w:sz w:val="22"/>
                <w:szCs w:val="22"/>
              </w:rPr>
            </w:pPr>
            <w:r w:rsidRPr="002331B0">
              <w:rPr>
                <w:rFonts w:ascii="Arial" w:hAnsi="Arial" w:cs="Arial"/>
                <w:b/>
                <w:bCs/>
                <w:color w:val="000000"/>
                <w:sz w:val="22"/>
                <w:szCs w:val="22"/>
              </w:rPr>
              <w:t>Required Fields</w:t>
            </w:r>
          </w:p>
        </w:tc>
        <w:tc>
          <w:tcPr>
            <w:tcW w:w="807" w:type="pct"/>
            <w:tcBorders>
              <w:top w:val="nil"/>
              <w:left w:val="nil"/>
              <w:bottom w:val="single" w:sz="4" w:space="0" w:color="auto"/>
              <w:right w:val="single" w:sz="4" w:space="0" w:color="auto"/>
            </w:tcBorders>
            <w:hideMark/>
          </w:tcPr>
          <w:p w14:paraId="19F8ED81"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Start Time</w:t>
            </w:r>
            <w:r w:rsidRPr="002331B0">
              <w:rPr>
                <w:rFonts w:ascii="Arial" w:hAnsi="Arial" w:cs="Arial"/>
                <w:color w:val="000000"/>
                <w:sz w:val="20"/>
              </w:rPr>
              <w:br/>
              <w:t>End Time</w:t>
            </w:r>
            <w:r w:rsidRPr="002331B0">
              <w:rPr>
                <w:rFonts w:ascii="Arial" w:hAnsi="Arial" w:cs="Arial"/>
                <w:color w:val="000000"/>
                <w:sz w:val="20"/>
              </w:rPr>
              <w:br/>
              <w:t>Manually Defined POB</w:t>
            </w:r>
          </w:p>
        </w:tc>
        <w:tc>
          <w:tcPr>
            <w:tcW w:w="807" w:type="pct"/>
            <w:tcBorders>
              <w:top w:val="nil"/>
              <w:left w:val="nil"/>
              <w:bottom w:val="single" w:sz="4" w:space="0" w:color="auto"/>
              <w:right w:val="single" w:sz="4" w:space="0" w:color="auto"/>
            </w:tcBorders>
            <w:hideMark/>
          </w:tcPr>
          <w:p w14:paraId="7DBC30FF"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Start Time</w:t>
            </w:r>
            <w:r w:rsidRPr="002331B0">
              <w:rPr>
                <w:rFonts w:ascii="Arial" w:hAnsi="Arial" w:cs="Arial"/>
                <w:color w:val="000000"/>
                <w:sz w:val="20"/>
              </w:rPr>
              <w:br/>
              <w:t>End Time</w:t>
            </w:r>
            <w:r w:rsidRPr="002331B0">
              <w:rPr>
                <w:rFonts w:ascii="Arial" w:hAnsi="Arial" w:cs="Arial"/>
                <w:color w:val="000000"/>
                <w:sz w:val="20"/>
              </w:rPr>
              <w:br/>
              <w:t>Manually Defined POB</w:t>
            </w:r>
          </w:p>
        </w:tc>
        <w:tc>
          <w:tcPr>
            <w:tcW w:w="807" w:type="pct"/>
            <w:tcBorders>
              <w:top w:val="nil"/>
              <w:left w:val="nil"/>
              <w:bottom w:val="single" w:sz="4" w:space="0" w:color="auto"/>
              <w:right w:val="single" w:sz="4" w:space="0" w:color="auto"/>
            </w:tcBorders>
            <w:hideMark/>
          </w:tcPr>
          <w:p w14:paraId="37B09D40"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All required fields populated automatically based on SEP details</w:t>
            </w:r>
          </w:p>
        </w:tc>
        <w:tc>
          <w:tcPr>
            <w:tcW w:w="807" w:type="pct"/>
            <w:tcBorders>
              <w:top w:val="nil"/>
              <w:left w:val="nil"/>
              <w:bottom w:val="single" w:sz="4" w:space="0" w:color="auto"/>
              <w:right w:val="single" w:sz="4" w:space="0" w:color="auto"/>
            </w:tcBorders>
            <w:hideMark/>
          </w:tcPr>
          <w:p w14:paraId="0D8D6869"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All required fields populated automatically</w:t>
            </w:r>
            <w:r w:rsidRPr="002331B0">
              <w:rPr>
                <w:rFonts w:ascii="Arial" w:hAnsi="Arial" w:cs="Arial"/>
                <w:color w:val="000000"/>
                <w:sz w:val="20"/>
              </w:rPr>
              <w:br/>
              <w:t>POB defined based on SEP</w:t>
            </w:r>
          </w:p>
        </w:tc>
        <w:tc>
          <w:tcPr>
            <w:tcW w:w="807" w:type="pct"/>
            <w:tcBorders>
              <w:top w:val="nil"/>
              <w:left w:val="nil"/>
              <w:bottom w:val="single" w:sz="4" w:space="0" w:color="auto"/>
              <w:right w:val="single" w:sz="4" w:space="0" w:color="auto"/>
            </w:tcBorders>
            <w:hideMark/>
          </w:tcPr>
          <w:p w14:paraId="04EB348D"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N/A</w:t>
            </w:r>
          </w:p>
        </w:tc>
      </w:tr>
      <w:tr w:rsidR="002331B0" w:rsidRPr="002331B0" w14:paraId="33E5BA1E" w14:textId="77777777" w:rsidTr="002331B0">
        <w:trPr>
          <w:trHeight w:val="1200"/>
        </w:trPr>
        <w:tc>
          <w:tcPr>
            <w:tcW w:w="965" w:type="pct"/>
            <w:tcBorders>
              <w:top w:val="nil"/>
              <w:left w:val="single" w:sz="4" w:space="0" w:color="auto"/>
              <w:bottom w:val="single" w:sz="4" w:space="0" w:color="auto"/>
              <w:right w:val="single" w:sz="4" w:space="0" w:color="auto"/>
            </w:tcBorders>
            <w:noWrap/>
            <w:hideMark/>
          </w:tcPr>
          <w:p w14:paraId="4BEDA632" w14:textId="77777777" w:rsidR="004754D8" w:rsidRPr="002331B0" w:rsidRDefault="004754D8" w:rsidP="002331B0">
            <w:pPr>
              <w:spacing w:after="0" w:line="240" w:lineRule="auto"/>
              <w:rPr>
                <w:rFonts w:ascii="Arial" w:hAnsi="Arial" w:cs="Arial"/>
                <w:b/>
                <w:bCs/>
                <w:color w:val="000000"/>
                <w:sz w:val="22"/>
                <w:szCs w:val="22"/>
              </w:rPr>
            </w:pPr>
            <w:r w:rsidRPr="002331B0">
              <w:rPr>
                <w:rFonts w:ascii="Arial" w:hAnsi="Arial" w:cs="Arial"/>
                <w:b/>
                <w:bCs/>
                <w:color w:val="000000"/>
                <w:sz w:val="22"/>
                <w:szCs w:val="22"/>
              </w:rPr>
              <w:t>Limitations</w:t>
            </w:r>
          </w:p>
        </w:tc>
        <w:tc>
          <w:tcPr>
            <w:tcW w:w="807" w:type="pct"/>
            <w:tcBorders>
              <w:top w:val="nil"/>
              <w:left w:val="nil"/>
              <w:bottom w:val="single" w:sz="4" w:space="0" w:color="auto"/>
              <w:right w:val="single" w:sz="4" w:space="0" w:color="auto"/>
            </w:tcBorders>
            <w:hideMark/>
          </w:tcPr>
          <w:p w14:paraId="770DB164"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N/A</w:t>
            </w:r>
          </w:p>
        </w:tc>
        <w:tc>
          <w:tcPr>
            <w:tcW w:w="807" w:type="pct"/>
            <w:tcBorders>
              <w:top w:val="nil"/>
              <w:left w:val="nil"/>
              <w:bottom w:val="single" w:sz="4" w:space="0" w:color="auto"/>
              <w:right w:val="single" w:sz="4" w:space="0" w:color="auto"/>
            </w:tcBorders>
            <w:hideMark/>
          </w:tcPr>
          <w:p w14:paraId="635B3260"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Cannot populate with SEP details (MSIDs) or based on SEP details (POB)</w:t>
            </w:r>
          </w:p>
        </w:tc>
        <w:tc>
          <w:tcPr>
            <w:tcW w:w="807" w:type="pct"/>
            <w:tcBorders>
              <w:top w:val="nil"/>
              <w:left w:val="nil"/>
              <w:bottom w:val="single" w:sz="4" w:space="0" w:color="auto"/>
              <w:right w:val="single" w:sz="4" w:space="0" w:color="auto"/>
            </w:tcBorders>
            <w:hideMark/>
          </w:tcPr>
          <w:p w14:paraId="3CA88031"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Cannot populate Crypto keys, Frequency Lookups, or Power Level fields</w:t>
            </w:r>
          </w:p>
        </w:tc>
        <w:tc>
          <w:tcPr>
            <w:tcW w:w="807" w:type="pct"/>
            <w:tcBorders>
              <w:top w:val="nil"/>
              <w:left w:val="nil"/>
              <w:bottom w:val="single" w:sz="4" w:space="0" w:color="auto"/>
              <w:right w:val="single" w:sz="4" w:space="0" w:color="auto"/>
            </w:tcBorders>
            <w:hideMark/>
          </w:tcPr>
          <w:p w14:paraId="274AA02F"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N/A</w:t>
            </w:r>
          </w:p>
        </w:tc>
        <w:tc>
          <w:tcPr>
            <w:tcW w:w="807" w:type="pct"/>
            <w:tcBorders>
              <w:top w:val="nil"/>
              <w:left w:val="nil"/>
              <w:bottom w:val="single" w:sz="4" w:space="0" w:color="auto"/>
              <w:right w:val="single" w:sz="4" w:space="0" w:color="auto"/>
            </w:tcBorders>
            <w:hideMark/>
          </w:tcPr>
          <w:p w14:paraId="74EFF061" w14:textId="77777777" w:rsidR="004754D8" w:rsidRPr="002331B0" w:rsidRDefault="004754D8" w:rsidP="002331B0">
            <w:pPr>
              <w:spacing w:after="0" w:line="240" w:lineRule="auto"/>
              <w:rPr>
                <w:rFonts w:ascii="Arial" w:hAnsi="Arial" w:cs="Arial"/>
                <w:color w:val="000000"/>
                <w:sz w:val="20"/>
              </w:rPr>
            </w:pPr>
            <w:r w:rsidRPr="002331B0">
              <w:rPr>
                <w:rFonts w:ascii="Arial" w:hAnsi="Arial" w:cs="Arial"/>
                <w:color w:val="000000"/>
                <w:sz w:val="20"/>
              </w:rPr>
              <w:t>N/A</w:t>
            </w:r>
          </w:p>
        </w:tc>
      </w:tr>
    </w:tbl>
    <w:p w14:paraId="0868283F" w14:textId="5E6D4C36" w:rsidR="00CD2871" w:rsidRPr="000665B0" w:rsidRDefault="00CD2871" w:rsidP="00B35EE5">
      <w:pPr>
        <w:pStyle w:val="Heading3"/>
      </w:pPr>
      <w:bookmarkStart w:id="6957" w:name="_Missile_Status_1"/>
      <w:bookmarkStart w:id="6958" w:name="_Toc214283607"/>
      <w:bookmarkEnd w:id="6957"/>
      <w:r w:rsidRPr="000665B0">
        <w:t>Missile Status</w:t>
      </w:r>
      <w:bookmarkEnd w:id="6955"/>
      <w:bookmarkEnd w:id="6956"/>
      <w:bookmarkEnd w:id="6958"/>
    </w:p>
    <w:p w14:paraId="1EDCA8C5" w14:textId="2A514A12" w:rsidR="00CD2871" w:rsidRPr="000665B0" w:rsidRDefault="00DC3A52" w:rsidP="00CD2871">
      <w:r w:rsidRPr="000665B0">
        <w:t>The Missile Status Window shows a list of all the Missiles in the rehearsal. From the missile summary list, a user can set up complications for a specific missile</w:t>
      </w:r>
      <w:r w:rsidR="00824735" w:rsidRPr="000665B0">
        <w:t xml:space="preserve"> or for multiple missiles</w:t>
      </w:r>
      <w:r w:rsidRPr="000665B0">
        <w:t>, launch a primary or</w:t>
      </w:r>
      <w:r w:rsidRPr="000665B0" w:rsidDel="00A95883">
        <w:t xml:space="preserve"> </w:t>
      </w:r>
      <w:r w:rsidRPr="000665B0">
        <w:t>backup missile, fail a missile, and view the overwater route for a specific missile.</w:t>
      </w:r>
      <w:r w:rsidR="00100DA3">
        <w:t xml:space="preserve"> A new column “Launch Type” with possible values “Ground” or “Sea” has been added to missile status to indicate if the missile is assigned to a mission that was planned for ground launch or sea launch.</w:t>
      </w:r>
    </w:p>
    <w:p w14:paraId="124343AB" w14:textId="097A71CE" w:rsidR="004E283F" w:rsidRPr="000665B0" w:rsidRDefault="00E13531" w:rsidP="004E283F">
      <w:pPr>
        <w:jc w:val="center"/>
        <w:rPr>
          <w:b/>
        </w:rPr>
      </w:pPr>
      <w:r w:rsidRPr="000665B0">
        <w:rPr>
          <w:noProof/>
        </w:rPr>
        <w:drawing>
          <wp:inline distT="0" distB="0" distL="0" distR="0" wp14:anchorId="6F6E5673" wp14:editId="4DAF0953">
            <wp:extent cx="4983480" cy="731520"/>
            <wp:effectExtent l="0" t="0" r="0" b="0"/>
            <wp:docPr id="2078" name="Picture 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731520"/>
                    </a:xfrm>
                    <a:prstGeom prst="rect">
                      <a:avLst/>
                    </a:prstGeom>
                  </pic:spPr>
                </pic:pic>
              </a:graphicData>
            </a:graphic>
          </wp:inline>
        </w:drawing>
      </w:r>
      <w:r w:rsidRPr="000665B0">
        <w:rPr>
          <w:noProof/>
        </w:rPr>
        <w:t xml:space="preserve"> </w:t>
      </w:r>
      <w:bookmarkStart w:id="6959" w:name="_5.39.4.2.1.1__Complications"/>
      <w:bookmarkStart w:id="6960" w:name="_Toc134585749"/>
      <w:bookmarkEnd w:id="6959"/>
    </w:p>
    <w:p w14:paraId="3987B024" w14:textId="77777777" w:rsidR="00EE382D" w:rsidRPr="000665B0" w:rsidRDefault="00EE382D" w:rsidP="00E7111D">
      <w:pPr>
        <w:keepNext/>
        <w:rPr>
          <w:b/>
        </w:rPr>
      </w:pPr>
      <w:r w:rsidRPr="000665B0">
        <w:rPr>
          <w:b/>
        </w:rPr>
        <w:lastRenderedPageBreak/>
        <w:t>Missile Mode</w:t>
      </w:r>
    </w:p>
    <w:p w14:paraId="257D37B0" w14:textId="77777777" w:rsidR="00EE382D" w:rsidRPr="000665B0" w:rsidRDefault="00EE382D" w:rsidP="00E7111D">
      <w:pPr>
        <w:pStyle w:val="number020500"/>
        <w:keepNext/>
        <w:ind w:left="720"/>
      </w:pPr>
      <w:r w:rsidRPr="000665B0">
        <w:t>1.</w:t>
      </w:r>
      <w:r w:rsidRPr="000665B0">
        <w:tab/>
        <w:t xml:space="preserve">The </w:t>
      </w:r>
      <w:r w:rsidRPr="000665B0">
        <w:rPr>
          <w:b/>
        </w:rPr>
        <w:t>Mode</w:t>
      </w:r>
      <w:r w:rsidRPr="000665B0">
        <w:t xml:space="preserve"> column displayed on the </w:t>
      </w:r>
      <w:r w:rsidRPr="000665B0">
        <w:rPr>
          <w:i/>
        </w:rPr>
        <w:t>Missile(s) Summary</w:t>
      </w:r>
      <w:r w:rsidRPr="000665B0">
        <w:t xml:space="preserve"> window describes the current flight status of a missile.</w:t>
      </w:r>
      <w:r w:rsidR="00F303DA" w:rsidRPr="000665B0">
        <w:t xml:space="preserve"> </w:t>
      </w:r>
      <w:r w:rsidRPr="000665B0">
        <w:t>The possible modes of a missile are:</w:t>
      </w:r>
    </w:p>
    <w:p w14:paraId="4FCE0FE9" w14:textId="77777777" w:rsidR="00EE382D" w:rsidRPr="000665B0" w:rsidRDefault="00EE382D" w:rsidP="006D5A65">
      <w:pPr>
        <w:pStyle w:val="Heading1"/>
      </w:pPr>
      <w:r w:rsidRPr="000665B0">
        <w:t>Off – The missile has not yet begun spinning up.</w:t>
      </w:r>
    </w:p>
    <w:p w14:paraId="2F454798" w14:textId="77777777" w:rsidR="00EE382D" w:rsidRPr="000665B0" w:rsidRDefault="00DC3A52" w:rsidP="006D5A65">
      <w:pPr>
        <w:pStyle w:val="Heading1"/>
      </w:pPr>
      <w:r w:rsidRPr="000665B0">
        <w:t>Nonoperational – The missile’s launch was unsuccessful, possibly due to a complication to fail the missile’s launch.</w:t>
      </w:r>
    </w:p>
    <w:p w14:paraId="0FD865EB" w14:textId="77777777" w:rsidR="00EE382D" w:rsidRPr="000665B0" w:rsidRDefault="00EE382D" w:rsidP="006D5A65">
      <w:pPr>
        <w:pStyle w:val="Heading1"/>
      </w:pPr>
      <w:r w:rsidRPr="000665B0">
        <w:t>Aligning – The missile has begun spinning up.</w:t>
      </w:r>
    </w:p>
    <w:p w14:paraId="7BCA97B9" w14:textId="77777777" w:rsidR="00EE382D" w:rsidRPr="000665B0" w:rsidRDefault="00EE382D" w:rsidP="006D5A65">
      <w:pPr>
        <w:pStyle w:val="Heading1"/>
      </w:pPr>
      <w:r w:rsidRPr="000665B0">
        <w:t>Aligned – The missile has finished spinning up.</w:t>
      </w:r>
    </w:p>
    <w:p w14:paraId="262B8C9E" w14:textId="77777777" w:rsidR="00EE382D" w:rsidRPr="000665B0" w:rsidRDefault="00EE382D" w:rsidP="006D5A65">
      <w:pPr>
        <w:pStyle w:val="Heading1"/>
      </w:pPr>
      <w:r w:rsidRPr="000665B0">
        <w:t>Boosting – The missile has launched and has not yet transitioned to cruise.</w:t>
      </w:r>
    </w:p>
    <w:p w14:paraId="6FBE5F57" w14:textId="77777777" w:rsidR="00EE382D" w:rsidRPr="000665B0" w:rsidRDefault="00EE382D" w:rsidP="006D5A65">
      <w:pPr>
        <w:pStyle w:val="Heading1"/>
      </w:pPr>
      <w:r w:rsidRPr="000665B0">
        <w:t>Cruising – The missile has transitioned to cruise.</w:t>
      </w:r>
    </w:p>
    <w:p w14:paraId="755C738E" w14:textId="77777777" w:rsidR="00EE382D" w:rsidRPr="000665B0" w:rsidRDefault="00EE382D" w:rsidP="006D5A65">
      <w:pPr>
        <w:pStyle w:val="Heading1"/>
      </w:pPr>
      <w:r w:rsidRPr="000665B0">
        <w:t>At Target – The missile has successfully reached its target.</w:t>
      </w:r>
    </w:p>
    <w:p w14:paraId="76C9FE9A" w14:textId="77777777" w:rsidR="00EE382D" w:rsidRPr="000665B0" w:rsidRDefault="00EE382D" w:rsidP="006D5A65">
      <w:pPr>
        <w:pStyle w:val="Heading1"/>
      </w:pPr>
      <w:r w:rsidRPr="000665B0">
        <w:t>Failed – The missile was not launched, possibly due to the distance to FPPWP being greater than MAXSOR, or else a module fault.</w:t>
      </w:r>
    </w:p>
    <w:p w14:paraId="3E394910" w14:textId="77777777" w:rsidR="00EE382D" w:rsidRPr="000665B0" w:rsidRDefault="00EE382D" w:rsidP="006D5A65">
      <w:pPr>
        <w:pStyle w:val="Heading1"/>
      </w:pPr>
      <w:r w:rsidRPr="000665B0">
        <w:t>Crashed – The missile has crashed before reaching its target, possibly due to running out of fuel.</w:t>
      </w:r>
    </w:p>
    <w:p w14:paraId="36B4D30A" w14:textId="65A11D82" w:rsidR="00EE382D" w:rsidRPr="000665B0" w:rsidRDefault="00EE382D" w:rsidP="006D5A65">
      <w:pPr>
        <w:pStyle w:val="Heading1"/>
      </w:pPr>
      <w:r w:rsidRPr="000665B0">
        <w:t xml:space="preserve">Undetermined – TSRT has received conflicting information and is not able to continue modeling this missile. </w:t>
      </w:r>
      <w:r w:rsidR="00C224DC" w:rsidRPr="000665B0">
        <w:t>Therefore,</w:t>
      </w:r>
      <w:r w:rsidRPr="000665B0">
        <w:t xml:space="preserve"> the missile will quit updating any information such as position, altitude, etc.</w:t>
      </w:r>
      <w:r w:rsidR="000C3BF5" w:rsidRPr="000665B0">
        <w:t xml:space="preserve"> This is the usual mode for an engagement that cannot be executed (see the Rejected column for the reason).</w:t>
      </w:r>
    </w:p>
    <w:p w14:paraId="5210F382" w14:textId="72BE71A9" w:rsidR="00833FC9" w:rsidRPr="000665B0" w:rsidRDefault="00833FC9" w:rsidP="00B35EE5">
      <w:pPr>
        <w:pStyle w:val="Heading4"/>
      </w:pPr>
      <w:bookmarkStart w:id="6961" w:name="_5.39.6__Complications"/>
      <w:bookmarkStart w:id="6962" w:name="_Toc289328964"/>
      <w:bookmarkStart w:id="6963" w:name="_Toc134585763"/>
      <w:bookmarkEnd w:id="6960"/>
      <w:bookmarkEnd w:id="6961"/>
      <w:r w:rsidRPr="000665B0">
        <w:t>Missile Context Menu</w:t>
      </w:r>
      <w:bookmarkEnd w:id="6962"/>
    </w:p>
    <w:p w14:paraId="6F5AAA00" w14:textId="4BA3F0BE" w:rsidR="00833FC9" w:rsidRPr="000665B0" w:rsidRDefault="000C3BF5" w:rsidP="006D5A65">
      <w:pPr>
        <w:pStyle w:val="Heading1"/>
      </w:pPr>
      <w:r w:rsidRPr="000665B0">
        <w:rPr>
          <w:szCs w:val="24"/>
        </w:rPr>
        <w:t xml:space="preserve">Complications… </w:t>
      </w:r>
      <w:r w:rsidRPr="000665B0">
        <w:t>–</w:t>
      </w:r>
      <w:r w:rsidRPr="000665B0">
        <w:rPr>
          <w:szCs w:val="24"/>
        </w:rPr>
        <w:t xml:space="preserve"> Allows a user to add a complication for </w:t>
      </w:r>
      <w:r w:rsidR="00824735" w:rsidRPr="000665B0">
        <w:rPr>
          <w:szCs w:val="24"/>
        </w:rPr>
        <w:t xml:space="preserve">a single </w:t>
      </w:r>
      <w:r w:rsidRPr="000665B0">
        <w:rPr>
          <w:szCs w:val="24"/>
        </w:rPr>
        <w:t>missile</w:t>
      </w:r>
      <w:r w:rsidR="00824735" w:rsidRPr="000665B0">
        <w:rPr>
          <w:szCs w:val="24"/>
        </w:rPr>
        <w:t xml:space="preserve"> or for multiple missiles</w:t>
      </w:r>
      <w:r w:rsidRPr="000665B0">
        <w:rPr>
          <w:szCs w:val="24"/>
        </w:rPr>
        <w:t>.</w:t>
      </w:r>
      <w:r w:rsidR="00833FC9" w:rsidRPr="000665B0">
        <w:t xml:space="preserve"> For more information on Missile Complications see </w:t>
      </w:r>
      <w:hyperlink w:anchor="_Missile_Complications" w:history="1">
        <w:r w:rsidR="00D46E30" w:rsidRPr="000665B0">
          <w:rPr>
            <w:rStyle w:val="Hyperlink"/>
          </w:rPr>
          <w:t xml:space="preserve">Section </w:t>
        </w:r>
        <w:r w:rsidR="004231CC">
          <w:rPr>
            <w:rStyle w:val="Hyperlink"/>
          </w:rPr>
          <w:t>5.37</w:t>
        </w:r>
        <w:r w:rsidR="00D46E30" w:rsidRPr="000665B0">
          <w:rPr>
            <w:rStyle w:val="Hyperlink"/>
          </w:rPr>
          <w:t>.14.7</w:t>
        </w:r>
      </w:hyperlink>
      <w:r w:rsidR="00833FC9" w:rsidRPr="000665B0">
        <w:t>.</w:t>
      </w:r>
    </w:p>
    <w:p w14:paraId="0438B1CC" w14:textId="16C26F86" w:rsidR="00833FC9" w:rsidRPr="000665B0" w:rsidRDefault="00833FC9" w:rsidP="006D5A65">
      <w:pPr>
        <w:pStyle w:val="Heading1"/>
      </w:pPr>
      <w:r w:rsidRPr="000665B0">
        <w:t xml:space="preserve">Launch Primary Now – </w:t>
      </w:r>
      <w:r w:rsidR="004F08A3" w:rsidRPr="000665B0">
        <w:t>(Primary Missile Only) – Causes the prompt launch of a simulated primary missile, whether from a simulated or live FRU.</w:t>
      </w:r>
    </w:p>
    <w:p w14:paraId="0E0992E3" w14:textId="3C3D2DBD" w:rsidR="00833FC9" w:rsidRPr="000665B0" w:rsidRDefault="00833FC9" w:rsidP="006D5A65">
      <w:pPr>
        <w:pStyle w:val="Heading1"/>
      </w:pPr>
      <w:r w:rsidRPr="000665B0">
        <w:t xml:space="preserve">Launch Backup Now – </w:t>
      </w:r>
      <w:r w:rsidR="004F08A3" w:rsidRPr="000665B0">
        <w:t>(Backup Missile Only) – Causes the prompt launch of a simulated backup missile, whether from a simulated or live FRU.</w:t>
      </w:r>
    </w:p>
    <w:p w14:paraId="2054D5A6" w14:textId="19F8EACB" w:rsidR="00833FC9" w:rsidRPr="000665B0" w:rsidRDefault="00833FC9" w:rsidP="006D5A65">
      <w:pPr>
        <w:pStyle w:val="Heading1"/>
      </w:pPr>
      <w:r w:rsidRPr="000665B0">
        <w:t xml:space="preserve">Fail Missile Now – </w:t>
      </w:r>
      <w:r w:rsidR="004F08A3" w:rsidRPr="000665B0">
        <w:t>Causes the prompt failure of</w:t>
      </w:r>
      <w:r w:rsidRPr="000665B0">
        <w:t xml:space="preserve"> a </w:t>
      </w:r>
      <w:r w:rsidR="00E7491E" w:rsidRPr="000665B0">
        <w:t xml:space="preserve">simulated </w:t>
      </w:r>
      <w:r w:rsidRPr="000665B0">
        <w:t>missile that TSRT no longer needed to model.</w:t>
      </w:r>
      <w:r w:rsidR="00F303DA" w:rsidRPr="000665B0">
        <w:t xml:space="preserve"> </w:t>
      </w:r>
      <w:r w:rsidRPr="000665B0">
        <w:t xml:space="preserve">The missile can </w:t>
      </w:r>
      <w:r w:rsidR="008D69A9" w:rsidRPr="000665B0">
        <w:t xml:space="preserve">be </w:t>
      </w:r>
      <w:r w:rsidRPr="000665B0">
        <w:t xml:space="preserve">failed at </w:t>
      </w:r>
      <w:r w:rsidR="00BA5239" w:rsidRPr="000665B0">
        <w:t>any time</w:t>
      </w:r>
      <w:r w:rsidRPr="000665B0">
        <w:t xml:space="preserve"> prior to target.</w:t>
      </w:r>
      <w:r w:rsidR="00706942" w:rsidRPr="000665B0">
        <w:t xml:space="preserve"> Primary missile failure complications that are initiated in TSRT may cause TSRT to automatically launch a spare missile (see </w:t>
      </w:r>
      <w:hyperlink w:anchor="_Spare_Missiles" w:history="1">
        <w:r w:rsidR="00706942" w:rsidRPr="000665B0">
          <w:rPr>
            <w:rStyle w:val="Hyperlink"/>
          </w:rPr>
          <w:t xml:space="preserve">Section </w:t>
        </w:r>
        <w:r w:rsidR="004231CC">
          <w:rPr>
            <w:rStyle w:val="Hyperlink"/>
          </w:rPr>
          <w:t>5.37</w:t>
        </w:r>
        <w:r w:rsidR="00706942" w:rsidRPr="000665B0">
          <w:rPr>
            <w:rStyle w:val="Hyperlink"/>
          </w:rPr>
          <w:t>.</w:t>
        </w:r>
        <w:r w:rsidR="00EF1CAE" w:rsidRPr="000665B0">
          <w:rPr>
            <w:rStyle w:val="Hyperlink"/>
          </w:rPr>
          <w:t>16</w:t>
        </w:r>
        <w:r w:rsidR="00706942" w:rsidRPr="000665B0">
          <w:rPr>
            <w:rStyle w:val="Hyperlink"/>
          </w:rPr>
          <w:t>.3</w:t>
        </w:r>
      </w:hyperlink>
      <w:r w:rsidR="00706942" w:rsidRPr="000665B0">
        <w:t xml:space="preserve">). </w:t>
      </w:r>
    </w:p>
    <w:p w14:paraId="2DB27E6D" w14:textId="77777777" w:rsidR="00965AB6" w:rsidRPr="000665B0" w:rsidRDefault="00833FC9" w:rsidP="006D5A65">
      <w:pPr>
        <w:pStyle w:val="Heading1"/>
      </w:pPr>
      <w:r w:rsidRPr="000665B0">
        <w:t xml:space="preserve">Display </w:t>
      </w:r>
    </w:p>
    <w:p w14:paraId="71950A35" w14:textId="009E98DA" w:rsidR="00833FC9" w:rsidRPr="000665B0" w:rsidRDefault="00833FC9" w:rsidP="006D5A65">
      <w:pPr>
        <w:pStyle w:val="Heading2"/>
      </w:pPr>
      <w:r w:rsidRPr="000665B0">
        <w:t xml:space="preserve">Overwater Route – Display the selected </w:t>
      </w:r>
      <w:r w:rsidR="00E7491E" w:rsidRPr="000665B0">
        <w:t xml:space="preserve">simulated </w:t>
      </w:r>
      <w:r w:rsidRPr="000665B0">
        <w:t xml:space="preserve">missile’s over water route </w:t>
      </w:r>
      <w:r w:rsidR="00E7491E" w:rsidRPr="000665B0">
        <w:t xml:space="preserve">and the rest of the mission route </w:t>
      </w:r>
      <w:r w:rsidRPr="000665B0">
        <w:t>on the TSRT Geo display.</w:t>
      </w:r>
    </w:p>
    <w:p w14:paraId="0B228721" w14:textId="2D1707F6" w:rsidR="00965AB6" w:rsidRPr="000665B0" w:rsidRDefault="00965AB6" w:rsidP="006D5A65">
      <w:pPr>
        <w:pStyle w:val="Heading2"/>
      </w:pPr>
      <w:r w:rsidRPr="000665B0">
        <w:lastRenderedPageBreak/>
        <w:t>In Excel – Display the selected missile’s summary in Excel.</w:t>
      </w:r>
    </w:p>
    <w:p w14:paraId="7DB58956" w14:textId="2211AF2D" w:rsidR="00CD2871" w:rsidRPr="000665B0" w:rsidRDefault="00CD2871" w:rsidP="00B35EE5">
      <w:pPr>
        <w:pStyle w:val="Heading3"/>
      </w:pPr>
      <w:bookmarkStart w:id="6964" w:name="_5.39.6__Complications_1"/>
      <w:bookmarkStart w:id="6965" w:name="_Toc289328965"/>
      <w:bookmarkStart w:id="6966" w:name="_Toc312332103"/>
      <w:bookmarkStart w:id="6967" w:name="_Toc214283608"/>
      <w:bookmarkEnd w:id="6964"/>
      <w:r w:rsidRPr="000665B0">
        <w:t>Complications</w:t>
      </w:r>
      <w:bookmarkEnd w:id="6963"/>
      <w:bookmarkEnd w:id="6965"/>
      <w:bookmarkEnd w:id="6966"/>
      <w:bookmarkEnd w:id="6967"/>
    </w:p>
    <w:p w14:paraId="3862B2A3" w14:textId="3C477400" w:rsidR="00CD2871" w:rsidRPr="000665B0" w:rsidRDefault="00CD2871" w:rsidP="00CD2871">
      <w:r w:rsidRPr="000665B0">
        <w:t>The scenario complications list displays all complications subjected to all actors (FRUs, missiles, TSN</w:t>
      </w:r>
      <w:r w:rsidR="004C43B1" w:rsidRPr="000665B0">
        <w:t>,</w:t>
      </w:r>
      <w:r w:rsidRPr="000665B0">
        <w:t xml:space="preserve"> and </w:t>
      </w:r>
      <w:r w:rsidR="00067852" w:rsidRPr="000665B0">
        <w:t>DDO</w:t>
      </w:r>
      <w:r w:rsidRPr="000665B0">
        <w:t xml:space="preserve"> Comms) present in a scenario. </w:t>
      </w:r>
      <w:r w:rsidR="00833FC9" w:rsidRPr="000665B0">
        <w:t>From the context menu, t</w:t>
      </w:r>
      <w:r w:rsidRPr="000665B0">
        <w:t xml:space="preserve">he user may delete or change the state of any complication from this list, as well as open an individual complication to make modifications to it via the TSRT complication editor (see </w:t>
      </w:r>
      <w:hyperlink w:anchor="_5.39.13__Complications" w:history="1">
        <w:r w:rsidR="002A4B19" w:rsidRPr="000665B0">
          <w:rPr>
            <w:rStyle w:val="Hyperlink"/>
          </w:rPr>
          <w:t xml:space="preserve">Section </w:t>
        </w:r>
        <w:r w:rsidR="004231CC">
          <w:rPr>
            <w:rStyle w:val="Hyperlink"/>
          </w:rPr>
          <w:t>5.37</w:t>
        </w:r>
        <w:r w:rsidR="002A4B19" w:rsidRPr="000665B0">
          <w:rPr>
            <w:rStyle w:val="Hyperlink"/>
          </w:rPr>
          <w:t>.14</w:t>
        </w:r>
      </w:hyperlink>
      <w:r w:rsidRPr="000665B0">
        <w:t>). In addition, the list can be sorted, printed and searched.</w:t>
      </w:r>
      <w:r w:rsidR="00582CE6" w:rsidRPr="000665B0">
        <w:t xml:space="preserve"> Primary missile failure complications that are initiated in TSRT may cause TSRT to automatically launch a spare missile (see </w:t>
      </w:r>
      <w:hyperlink w:anchor="_Spare_Missiles" w:history="1">
        <w:r w:rsidR="00582CE6" w:rsidRPr="000665B0">
          <w:rPr>
            <w:rStyle w:val="Hyperlink"/>
          </w:rPr>
          <w:t xml:space="preserve">Section </w:t>
        </w:r>
        <w:r w:rsidR="004231CC">
          <w:rPr>
            <w:rStyle w:val="Hyperlink"/>
          </w:rPr>
          <w:t>5.37</w:t>
        </w:r>
        <w:r w:rsidR="00582CE6" w:rsidRPr="000665B0">
          <w:rPr>
            <w:rStyle w:val="Hyperlink"/>
          </w:rPr>
          <w:t>.</w:t>
        </w:r>
        <w:r w:rsidR="00EF1CAE" w:rsidRPr="000665B0">
          <w:rPr>
            <w:rStyle w:val="Hyperlink"/>
          </w:rPr>
          <w:t>16</w:t>
        </w:r>
        <w:r w:rsidR="00582CE6" w:rsidRPr="000665B0">
          <w:rPr>
            <w:rStyle w:val="Hyperlink"/>
          </w:rPr>
          <w:t>.3</w:t>
        </w:r>
      </w:hyperlink>
      <w:r w:rsidR="00582CE6" w:rsidRPr="000665B0">
        <w:t xml:space="preserve">). </w:t>
      </w:r>
    </w:p>
    <w:p w14:paraId="3D6BDD93" w14:textId="422049D5" w:rsidR="00CD2871" w:rsidRPr="000665B0" w:rsidRDefault="008E0F2F" w:rsidP="00CD2871">
      <w:pPr>
        <w:spacing w:after="240"/>
        <w:jc w:val="center"/>
      </w:pPr>
      <w:r w:rsidRPr="000665B0">
        <w:rPr>
          <w:noProof/>
        </w:rPr>
        <w:drawing>
          <wp:inline distT="0" distB="0" distL="0" distR="0" wp14:anchorId="27147115" wp14:editId="1FF44966">
            <wp:extent cx="4983480" cy="1435608"/>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1435608"/>
                    </a:xfrm>
                    <a:prstGeom prst="rect">
                      <a:avLst/>
                    </a:prstGeom>
                  </pic:spPr>
                </pic:pic>
              </a:graphicData>
            </a:graphic>
          </wp:inline>
        </w:drawing>
      </w:r>
    </w:p>
    <w:p w14:paraId="6E201961" w14:textId="77777777" w:rsidR="00CD2871" w:rsidRPr="000665B0" w:rsidRDefault="00CD2871" w:rsidP="00045D16">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607A9B4B" w14:textId="77777777" w:rsidR="00CD2871" w:rsidRPr="000665B0" w:rsidRDefault="00CD2871" w:rsidP="001A0CBD">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Complication times in the scenario may be shifted whenever a strike in the rehearsal is revised. Each missile’s complications will be shifted by the amount of time that its First Waypoint Time is shifted by the strike revision. All other complications will be shifted by the amount of time that the overall earliest launch time for the entire rehearsal is shifted by the strike revision.</w:t>
      </w:r>
    </w:p>
    <w:p w14:paraId="5AA46C3A" w14:textId="1B7A18FB" w:rsidR="00CD2871" w:rsidRPr="000665B0" w:rsidRDefault="00CD2871" w:rsidP="00B35EE5">
      <w:pPr>
        <w:pStyle w:val="Heading3"/>
      </w:pPr>
      <w:bookmarkStart w:id="6968" w:name="_5.39.7__Missile_Log"/>
      <w:bookmarkStart w:id="6969" w:name="_5.39.7__Missile"/>
      <w:bookmarkStart w:id="6970" w:name="_Missile_Log"/>
      <w:bookmarkStart w:id="6971" w:name="_Toc289328966"/>
      <w:bookmarkStart w:id="6972" w:name="_Toc312332104"/>
      <w:bookmarkStart w:id="6973" w:name="_Toc214283609"/>
      <w:bookmarkEnd w:id="6968"/>
      <w:bookmarkEnd w:id="6969"/>
      <w:bookmarkEnd w:id="6970"/>
      <w:r w:rsidRPr="000665B0">
        <w:t>Missile Log</w:t>
      </w:r>
      <w:bookmarkEnd w:id="6971"/>
      <w:bookmarkEnd w:id="6972"/>
      <w:bookmarkEnd w:id="6973"/>
    </w:p>
    <w:p w14:paraId="70D8E10F" w14:textId="77777777" w:rsidR="00CD2871" w:rsidRPr="000665B0" w:rsidRDefault="00CD2871" w:rsidP="00CD2871">
      <w:r w:rsidRPr="000665B0">
        <w:t>The missile activity log depicts events that occur on each missile involved in a strike rehearsal. Some examples of activities that are logged are power on/off, arrival at DSMAC, and launch attempts. Each logged activity contains the date and time of occurrence, the associated missile, the FRU that either has or will launch the missile, the strike option ID, the activity category, a detailed description, and the current location of the missile.</w:t>
      </w:r>
    </w:p>
    <w:p w14:paraId="4B3EDD2E" w14:textId="77777777" w:rsidR="00CD2871" w:rsidRPr="000665B0" w:rsidRDefault="000C3BF5" w:rsidP="00CD2871">
      <w:pPr>
        <w:jc w:val="center"/>
      </w:pPr>
      <w:r w:rsidRPr="000665B0">
        <w:rPr>
          <w:noProof/>
        </w:rPr>
        <w:lastRenderedPageBreak/>
        <w:drawing>
          <wp:inline distT="0" distB="0" distL="0" distR="0" wp14:anchorId="6F879323" wp14:editId="0AC88A86">
            <wp:extent cx="4983480" cy="33558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39.7.png"/>
                    <pic:cNvPicPr/>
                  </pic:nvPicPr>
                  <pic:blipFill>
                    <a:blip>
                      <a:extLst>
                        <a:ext uri="{28A0092B-C50C-407E-A947-70E740481C1C}">
                          <a14:useLocalDpi xmlns:a14="http://schemas.microsoft.com/office/drawing/2010/main"/>
                        </a:ext>
                      </a:extLst>
                    </a:blip>
                    <a:stretch>
                      <a:fillRect/>
                    </a:stretch>
                  </pic:blipFill>
                  <pic:spPr>
                    <a:xfrm>
                      <a:off x="0" y="0"/>
                      <a:ext cx="4983480" cy="3355848"/>
                    </a:xfrm>
                    <a:prstGeom prst="rect">
                      <a:avLst/>
                    </a:prstGeom>
                  </pic:spPr>
                </pic:pic>
              </a:graphicData>
            </a:graphic>
          </wp:inline>
        </w:drawing>
      </w:r>
    </w:p>
    <w:p w14:paraId="45B81ABB" w14:textId="361D2189" w:rsidR="00CD2871" w:rsidRPr="000665B0" w:rsidRDefault="00CD2871" w:rsidP="00B35EE5">
      <w:pPr>
        <w:pStyle w:val="Heading3"/>
      </w:pPr>
      <w:bookmarkStart w:id="6974" w:name="_5.39.8__FRU_Log"/>
      <w:bookmarkStart w:id="6975" w:name="_5.39.8__FRU"/>
      <w:bookmarkStart w:id="6976" w:name="_FRU_Log"/>
      <w:bookmarkStart w:id="6977" w:name="_Toc289328967"/>
      <w:bookmarkStart w:id="6978" w:name="_Toc312332105"/>
      <w:bookmarkStart w:id="6979" w:name="_Toc214283610"/>
      <w:bookmarkEnd w:id="6974"/>
      <w:bookmarkEnd w:id="6975"/>
      <w:bookmarkEnd w:id="6976"/>
      <w:r w:rsidRPr="000665B0">
        <w:t>FRU Log</w:t>
      </w:r>
      <w:bookmarkEnd w:id="6977"/>
      <w:bookmarkEnd w:id="6978"/>
      <w:bookmarkEnd w:id="6979"/>
    </w:p>
    <w:p w14:paraId="42E65CCA" w14:textId="77777777" w:rsidR="00CD2871" w:rsidRPr="000665B0" w:rsidRDefault="00833FC9" w:rsidP="00CD2871">
      <w:r w:rsidRPr="000665B0">
        <w:t>The FRU activity log depicts events that occur on each FRU involved in a strike rehearsal. Some examples of activities that are logged are sent Legacy (OTH) messages (SPEO, LER, PLRO, etc.), beginning and ending complications, and missile launch attempts. Each logged activity contains the date and time of occurrence, the associated FRU, the missile that the FRU either has or will launch (if applicable), the strike option ID (if applicable), the activity category, a detailed description, and the current location of the FRU.</w:t>
      </w:r>
    </w:p>
    <w:p w14:paraId="1A827798" w14:textId="2F54C1E6" w:rsidR="00CD2871" w:rsidRPr="000665B0" w:rsidRDefault="00E13531" w:rsidP="00CD2871">
      <w:pPr>
        <w:jc w:val="center"/>
        <w:rPr>
          <w:b/>
        </w:rPr>
      </w:pPr>
      <w:r w:rsidRPr="000665B0">
        <w:rPr>
          <w:noProof/>
        </w:rPr>
        <w:drawing>
          <wp:inline distT="0" distB="0" distL="0" distR="0" wp14:anchorId="00920AB6" wp14:editId="7C4766FB">
            <wp:extent cx="4983480" cy="658368"/>
            <wp:effectExtent l="0" t="0" r="0" b="0"/>
            <wp:docPr id="2111" name="Picture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658368"/>
                    </a:xfrm>
                    <a:prstGeom prst="rect">
                      <a:avLst/>
                    </a:prstGeom>
                  </pic:spPr>
                </pic:pic>
              </a:graphicData>
            </a:graphic>
          </wp:inline>
        </w:drawing>
      </w:r>
    </w:p>
    <w:p w14:paraId="1A32BD44" w14:textId="169C6222" w:rsidR="00CD2871" w:rsidRPr="000665B0" w:rsidRDefault="00CD2871" w:rsidP="008B02D9">
      <w:pPr>
        <w:pStyle w:val="Heading3"/>
      </w:pPr>
      <w:bookmarkStart w:id="6980" w:name="_5.39.9__Health_and_Status_Log"/>
      <w:bookmarkStart w:id="6981" w:name="_5.39.9__Health"/>
      <w:bookmarkStart w:id="6982" w:name="_Health_and_Status"/>
      <w:bookmarkStart w:id="6983" w:name="_Health__and"/>
      <w:bookmarkStart w:id="6984" w:name="_Toc289328968"/>
      <w:bookmarkStart w:id="6985" w:name="_Toc312332106"/>
      <w:bookmarkStart w:id="6986" w:name="_Toc214283611"/>
      <w:bookmarkStart w:id="6987" w:name="_Hlk141442209"/>
      <w:bookmarkStart w:id="6988" w:name="_Hlk70433155"/>
      <w:bookmarkEnd w:id="6980"/>
      <w:bookmarkEnd w:id="6981"/>
      <w:bookmarkEnd w:id="6982"/>
      <w:bookmarkEnd w:id="6983"/>
      <w:r w:rsidRPr="000665B0">
        <w:t>Health and Status Log</w:t>
      </w:r>
      <w:bookmarkEnd w:id="6984"/>
      <w:bookmarkEnd w:id="6985"/>
      <w:bookmarkEnd w:id="6986"/>
    </w:p>
    <w:p w14:paraId="27939247" w14:textId="77777777" w:rsidR="00CD2871" w:rsidRPr="000665B0" w:rsidRDefault="00CD2871" w:rsidP="00CD2871">
      <w:pPr>
        <w:pStyle w:val="BodyTextIndent2"/>
        <w:spacing w:line="240" w:lineRule="auto"/>
        <w:ind w:left="0"/>
      </w:pPr>
      <w:r w:rsidRPr="000665B0">
        <w:t xml:space="preserve">The H&amp;S message is a detailed message sent by the missile over the TSN to reflect the health and status of the missile. </w:t>
      </w:r>
    </w:p>
    <w:p w14:paraId="635F6696" w14:textId="4C726298" w:rsidR="00CD2871" w:rsidRPr="000665B0" w:rsidRDefault="00552F30" w:rsidP="00FB4545">
      <w:pPr>
        <w:jc w:val="center"/>
      </w:pPr>
      <w:r w:rsidRPr="000665B0">
        <w:rPr>
          <w:noProof/>
        </w:rPr>
        <w:drawing>
          <wp:inline distT="0" distB="0" distL="0" distR="0" wp14:anchorId="5B3D3417" wp14:editId="3E957F40">
            <wp:extent cx="4983480" cy="1078992"/>
            <wp:effectExtent l="0" t="0" r="0" b="0"/>
            <wp:docPr id="2254" name="Picture 2254"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 name="Picture 2254" descr="Graphical user interface, text, application&#10;&#10;AI-generated content may be incorrect."/>
                    <pic:cNvPicPr>
                      <a:picLocks noChangeAspect="1" noChangeArrowheads="1"/>
                    </pic:cNvPicPr>
                  </pic:nvPicPr>
                  <pic:blipFill>
                    <a:blip r:link="rId34" cstate="screen">
                      <a:extLst>
                        <a:ext uri="{28A0092B-C50C-407E-A947-70E740481C1C}">
                          <a14:useLocalDpi xmlns:a14="http://schemas.microsoft.com/office/drawing/2010/main"/>
                        </a:ext>
                      </a:extLst>
                    </a:blip>
                    <a:srcRect/>
                    <a:stretch>
                      <a:fillRect/>
                    </a:stretch>
                  </pic:blipFill>
                  <pic:spPr bwMode="auto">
                    <a:xfrm>
                      <a:off x="0" y="0"/>
                      <a:ext cx="4983480" cy="1078992"/>
                    </a:xfrm>
                    <a:prstGeom prst="rect">
                      <a:avLst/>
                    </a:prstGeom>
                    <a:noFill/>
                    <a:ln>
                      <a:noFill/>
                    </a:ln>
                  </pic:spPr>
                </pic:pic>
              </a:graphicData>
            </a:graphic>
          </wp:inline>
        </w:drawing>
      </w:r>
    </w:p>
    <w:p w14:paraId="53DFB918" w14:textId="48CCADED" w:rsidR="00DE0F55" w:rsidRPr="000665B0" w:rsidRDefault="00DE0F55" w:rsidP="00CD2871">
      <w:pPr>
        <w:jc w:val="center"/>
      </w:pPr>
      <w:r w:rsidRPr="000665B0">
        <w:rPr>
          <w:noProof/>
        </w:rPr>
        <w:lastRenderedPageBreak/>
        <w:drawing>
          <wp:inline distT="0" distB="0" distL="0" distR="0" wp14:anchorId="6F393FA0" wp14:editId="297EE45D">
            <wp:extent cx="4983480" cy="1115568"/>
            <wp:effectExtent l="0" t="0" r="0" b="0"/>
            <wp:docPr id="2252" name="Picture 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115568"/>
                    </a:xfrm>
                    <a:prstGeom prst="rect">
                      <a:avLst/>
                    </a:prstGeom>
                  </pic:spPr>
                </pic:pic>
              </a:graphicData>
            </a:graphic>
          </wp:inline>
        </w:drawing>
      </w:r>
    </w:p>
    <w:p w14:paraId="5DEF7C8E" w14:textId="3ADF7B6F" w:rsidR="00CD2871" w:rsidRPr="000665B0" w:rsidRDefault="00CD2871" w:rsidP="001F4B14">
      <w:pPr>
        <w:pStyle w:val="BodyTextIndent2"/>
        <w:spacing w:line="240" w:lineRule="auto"/>
        <w:ind w:left="0"/>
        <w:jc w:val="both"/>
      </w:pPr>
      <w:r w:rsidRPr="000665B0">
        <w:t xml:space="preserve">There are several different kinds of </w:t>
      </w:r>
      <w:r w:rsidR="005C6061" w:rsidRPr="000665B0">
        <w:t>Message Types</w:t>
      </w:r>
      <w:r w:rsidRPr="000665B0">
        <w:t>:</w:t>
      </w:r>
    </w:p>
    <w:p w14:paraId="7BF1CF1E" w14:textId="50B0CFFE" w:rsidR="00DE0F55" w:rsidRPr="000665B0" w:rsidRDefault="00833FC9" w:rsidP="006D5A65">
      <w:pPr>
        <w:pStyle w:val="Heading1"/>
      </w:pPr>
      <w:r w:rsidRPr="000665B0">
        <w:t xml:space="preserve">Event </w:t>
      </w:r>
      <w:r w:rsidR="005C6061" w:rsidRPr="000665B0">
        <w:t>H&amp;S</w:t>
      </w:r>
      <w:r w:rsidRPr="000665B0">
        <w:t xml:space="preserve">– Something has happened that tells the missile to report the event. Example: </w:t>
      </w:r>
    </w:p>
    <w:p w14:paraId="40C7A663" w14:textId="10964085" w:rsidR="00991AD1" w:rsidRDefault="00833FC9" w:rsidP="006D5A65">
      <w:pPr>
        <w:pStyle w:val="Heading2"/>
      </w:pPr>
      <w:r w:rsidRPr="000665B0">
        <w:t>Radar Altimeter BIT Failure</w:t>
      </w:r>
      <w:r w:rsidR="00C53738" w:rsidRPr="000665B0">
        <w:t>.</w:t>
      </w:r>
    </w:p>
    <w:p w14:paraId="40891D79" w14:textId="06F634FD" w:rsidR="00933202" w:rsidRPr="000665B0" w:rsidRDefault="00C909C4" w:rsidP="00991AD1">
      <w:pPr>
        <w:pStyle w:val="BodyTextIndent2"/>
        <w:spacing w:line="240" w:lineRule="auto"/>
        <w:ind w:left="0"/>
        <w:jc w:val="center"/>
      </w:pPr>
      <w:r>
        <w:rPr>
          <w:noProof/>
        </w:rPr>
        <w:drawing>
          <wp:inline distT="0" distB="0" distL="0" distR="0" wp14:anchorId="2E5B8EA6" wp14:editId="61AC06B8">
            <wp:extent cx="3200400" cy="3950208"/>
            <wp:effectExtent l="0" t="0" r="0" b="0"/>
            <wp:docPr id="898250127"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50127" name="Picture 1" descr="A picture containing graphical user interface&#10;&#10;Description automatically generated"/>
                    <pic:cNvPicPr>
                      <a:picLocks noChangeAspect="1"/>
                    </pic:cNvPicPr>
                  </pic:nvPicPr>
                  <pic:blipFill>
                    <a:blip>
                      <a:extLst>
                        <a:ext uri="{28A0092B-C50C-407E-A947-70E740481C1C}">
                          <a14:useLocalDpi xmlns:a14="http://schemas.microsoft.com/office/drawing/2010/main" val="0"/>
                        </a:ext>
                      </a:extLst>
                    </a:blip>
                    <a:srcRect/>
                    <a:stretch>
                      <a:fillRect/>
                    </a:stretch>
                  </pic:blipFill>
                  <pic:spPr bwMode="auto">
                    <a:xfrm>
                      <a:off x="0" y="0"/>
                      <a:ext cx="3200400" cy="3950208"/>
                    </a:xfrm>
                    <a:prstGeom prst="rect">
                      <a:avLst/>
                    </a:prstGeom>
                    <a:noFill/>
                    <a:ln>
                      <a:noFill/>
                    </a:ln>
                  </pic:spPr>
                </pic:pic>
              </a:graphicData>
            </a:graphic>
          </wp:inline>
        </w:drawing>
      </w:r>
    </w:p>
    <w:p w14:paraId="1D114859" w14:textId="55C4170F" w:rsidR="00CD2871" w:rsidRPr="000665B0" w:rsidRDefault="00CD2871" w:rsidP="006D5A65">
      <w:pPr>
        <w:pStyle w:val="Heading1"/>
      </w:pPr>
      <w:r w:rsidRPr="000665B0">
        <w:t xml:space="preserve">Scheduled </w:t>
      </w:r>
      <w:r w:rsidR="005C6061" w:rsidRPr="000665B0">
        <w:t xml:space="preserve">H&amp;S </w:t>
      </w:r>
      <w:r w:rsidRPr="000665B0">
        <w:t>– The MDS user has preplanned/scheduled them. If the missile is launched significantly late, they will not occur (geographically) where expected.</w:t>
      </w:r>
    </w:p>
    <w:p w14:paraId="4C74CD3B" w14:textId="1C83B658" w:rsidR="00991AD1" w:rsidRDefault="00991AD1" w:rsidP="00991AD1">
      <w:pPr>
        <w:pStyle w:val="BodyTextIndent2"/>
        <w:spacing w:line="240" w:lineRule="auto"/>
        <w:ind w:left="0"/>
        <w:jc w:val="center"/>
      </w:pPr>
    </w:p>
    <w:p w14:paraId="4632167D" w14:textId="4DBD82EB" w:rsidR="00933202" w:rsidRPr="000665B0" w:rsidRDefault="00933202" w:rsidP="00991AD1">
      <w:pPr>
        <w:pStyle w:val="BodyTextIndent2"/>
        <w:spacing w:line="240" w:lineRule="auto"/>
        <w:ind w:left="0"/>
        <w:jc w:val="center"/>
      </w:pPr>
      <w:r>
        <w:rPr>
          <w:noProof/>
        </w:rPr>
        <w:lastRenderedPageBreak/>
        <w:drawing>
          <wp:inline distT="0" distB="0" distL="0" distR="0" wp14:anchorId="7A544DAE" wp14:editId="0205B4AA">
            <wp:extent cx="2743200" cy="3584448"/>
            <wp:effectExtent l="0" t="0" r="0" b="0"/>
            <wp:docPr id="747" name="Picture 74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with medium confidence"/>
                    <pic:cNvPicPr/>
                  </pic:nvPicPr>
                  <pic:blipFill>
                    <a:blip>
                      <a:extLst>
                        <a:ext uri="{28A0092B-C50C-407E-A947-70E740481C1C}">
                          <a14:useLocalDpi xmlns:a14="http://schemas.microsoft.com/office/drawing/2010/main" val="0"/>
                        </a:ext>
                      </a:extLst>
                    </a:blip>
                    <a:stretch>
                      <a:fillRect/>
                    </a:stretch>
                  </pic:blipFill>
                  <pic:spPr>
                    <a:xfrm>
                      <a:off x="0" y="0"/>
                      <a:ext cx="2743200" cy="3584448"/>
                    </a:xfrm>
                    <a:prstGeom prst="rect">
                      <a:avLst/>
                    </a:prstGeom>
                  </pic:spPr>
                </pic:pic>
              </a:graphicData>
            </a:graphic>
          </wp:inline>
        </w:drawing>
      </w:r>
    </w:p>
    <w:p w14:paraId="3B11363B" w14:textId="761D9FCE" w:rsidR="00CD2871" w:rsidRPr="000665B0" w:rsidRDefault="00CD2871" w:rsidP="006D5A65">
      <w:pPr>
        <w:pStyle w:val="Heading1"/>
      </w:pPr>
      <w:r w:rsidRPr="000665B0">
        <w:t xml:space="preserve">BDI </w:t>
      </w:r>
      <w:r w:rsidR="005C6061" w:rsidRPr="000665B0">
        <w:t xml:space="preserve">H&amp;S </w:t>
      </w:r>
      <w:r w:rsidRPr="000665B0">
        <w:t>– Sent prior to the missile hitting the target with estimates of accuracy at the target.</w:t>
      </w:r>
    </w:p>
    <w:p w14:paraId="2194D6FE" w14:textId="6CEFED90" w:rsidR="00933202" w:rsidRPr="000665B0" w:rsidRDefault="00933202" w:rsidP="00991AD1">
      <w:pPr>
        <w:pStyle w:val="BodyTextIndent2"/>
        <w:spacing w:line="240" w:lineRule="auto"/>
        <w:ind w:left="0"/>
        <w:jc w:val="center"/>
      </w:pPr>
      <w:r>
        <w:rPr>
          <w:noProof/>
        </w:rPr>
        <w:drawing>
          <wp:inline distT="0" distB="0" distL="0" distR="0" wp14:anchorId="4B79A51F" wp14:editId="2FF07FC7">
            <wp:extent cx="2743200" cy="3575304"/>
            <wp:effectExtent l="0" t="0" r="0" b="6350"/>
            <wp:docPr id="753" name="Picture 753"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with low confidence"/>
                    <pic:cNvPicPr/>
                  </pic:nvPicPr>
                  <pic:blipFill>
                    <a:blip>
                      <a:extLst>
                        <a:ext uri="{28A0092B-C50C-407E-A947-70E740481C1C}">
                          <a14:useLocalDpi xmlns:a14="http://schemas.microsoft.com/office/drawing/2010/main" val="0"/>
                        </a:ext>
                      </a:extLst>
                    </a:blip>
                    <a:stretch>
                      <a:fillRect/>
                    </a:stretch>
                  </pic:blipFill>
                  <pic:spPr>
                    <a:xfrm>
                      <a:off x="0" y="0"/>
                      <a:ext cx="2743200" cy="3575304"/>
                    </a:xfrm>
                    <a:prstGeom prst="rect">
                      <a:avLst/>
                    </a:prstGeom>
                  </pic:spPr>
                </pic:pic>
              </a:graphicData>
            </a:graphic>
          </wp:inline>
        </w:drawing>
      </w:r>
    </w:p>
    <w:p w14:paraId="272E54B0" w14:textId="38B4B747" w:rsidR="00892647" w:rsidRPr="000665B0" w:rsidRDefault="00CD2871" w:rsidP="006D5A65">
      <w:pPr>
        <w:pStyle w:val="Heading1"/>
      </w:pPr>
      <w:r w:rsidRPr="000665B0">
        <w:lastRenderedPageBreak/>
        <w:t xml:space="preserve">Immediate Acknowledgement </w:t>
      </w:r>
      <w:r w:rsidR="005C6061" w:rsidRPr="000665B0">
        <w:t xml:space="preserve">H&amp;S </w:t>
      </w:r>
      <w:r w:rsidRPr="000665B0">
        <w:t>– MDS sends an IMMM message to the missile and requests an H&amp;S message.</w:t>
      </w:r>
      <w:r w:rsidR="00892647" w:rsidRPr="000665B0">
        <w:t xml:space="preserve"> </w:t>
      </w:r>
    </w:p>
    <w:p w14:paraId="12A1A239" w14:textId="6F84E71D" w:rsidR="00933202" w:rsidRPr="000665B0" w:rsidRDefault="00933202" w:rsidP="00991AD1">
      <w:pPr>
        <w:pStyle w:val="BodyTextIndent2"/>
        <w:spacing w:line="240" w:lineRule="auto"/>
        <w:ind w:left="0"/>
        <w:jc w:val="center"/>
      </w:pPr>
      <w:r>
        <w:rPr>
          <w:noProof/>
        </w:rPr>
        <w:drawing>
          <wp:inline distT="0" distB="0" distL="0" distR="0" wp14:anchorId="58A34516" wp14:editId="55271E93">
            <wp:extent cx="3200400" cy="4169664"/>
            <wp:effectExtent l="0" t="0" r="0" b="0"/>
            <wp:docPr id="780" name="Picture 78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3200400" cy="4169664"/>
                    </a:xfrm>
                    <a:prstGeom prst="rect">
                      <a:avLst/>
                    </a:prstGeom>
                  </pic:spPr>
                </pic:pic>
              </a:graphicData>
            </a:graphic>
          </wp:inline>
        </w:drawing>
      </w:r>
    </w:p>
    <w:p w14:paraId="5E759735" w14:textId="75C0CA50" w:rsidR="005C6061" w:rsidRPr="000665B0" w:rsidRDefault="005C6061" w:rsidP="006D5A65">
      <w:pPr>
        <w:pStyle w:val="Heading1"/>
      </w:pPr>
      <w:r w:rsidRPr="000665B0">
        <w:t xml:space="preserve">MST H&amp;S –A detailed message sent by the missile over the TSN to reflect the health and status of the missile in a Maritime Strike. See </w:t>
      </w:r>
      <w:hyperlink w:anchor="_Maritime_Health_and" w:history="1">
        <w:r w:rsidRPr="000665B0">
          <w:rPr>
            <w:rStyle w:val="Hyperlink"/>
          </w:rPr>
          <w:t xml:space="preserve">Section </w:t>
        </w:r>
        <w:r w:rsidR="004231CC">
          <w:rPr>
            <w:rStyle w:val="Hyperlink"/>
          </w:rPr>
          <w:t>5.37</w:t>
        </w:r>
        <w:r w:rsidRPr="000665B0">
          <w:rPr>
            <w:rStyle w:val="Hyperlink"/>
          </w:rPr>
          <w:t>.9.2</w:t>
        </w:r>
      </w:hyperlink>
      <w:r w:rsidRPr="000665B0">
        <w:t>.</w:t>
      </w:r>
    </w:p>
    <w:p w14:paraId="24DA93A5" w14:textId="705ED756" w:rsidR="00906651" w:rsidRPr="000665B0" w:rsidRDefault="00906651" w:rsidP="00906651">
      <w:pPr>
        <w:pStyle w:val="BodyTextIndent2"/>
        <w:spacing w:line="240" w:lineRule="auto"/>
        <w:ind w:left="0"/>
        <w:jc w:val="center"/>
      </w:pPr>
      <w:r w:rsidRPr="000665B0">
        <w:rPr>
          <w:noProof/>
        </w:rPr>
        <w:drawing>
          <wp:inline distT="0" distB="0" distL="0" distR="0" wp14:anchorId="0177F981" wp14:editId="61DD6870">
            <wp:extent cx="2286000" cy="25786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286000" cy="2578608"/>
                    </a:xfrm>
                    <a:prstGeom prst="rect">
                      <a:avLst/>
                    </a:prstGeom>
                  </pic:spPr>
                </pic:pic>
              </a:graphicData>
            </a:graphic>
          </wp:inline>
        </w:drawing>
      </w:r>
    </w:p>
    <w:p w14:paraId="54D9E477" w14:textId="05AF9BAB" w:rsidR="00CD2871" w:rsidRPr="000665B0" w:rsidRDefault="00CD2871" w:rsidP="00B35EE5">
      <w:pPr>
        <w:pStyle w:val="Heading4"/>
      </w:pPr>
      <w:bookmarkStart w:id="6989" w:name="_Display_Textually_2"/>
      <w:bookmarkStart w:id="6990" w:name="_Toc134585781"/>
      <w:bookmarkStart w:id="6991" w:name="_Toc289328969"/>
      <w:bookmarkEnd w:id="6989"/>
      <w:r w:rsidRPr="000665B0">
        <w:lastRenderedPageBreak/>
        <w:t>Display Textually</w:t>
      </w:r>
      <w:bookmarkEnd w:id="6990"/>
      <w:bookmarkEnd w:id="6991"/>
      <w:r w:rsidR="004619DB">
        <w:t xml:space="preserve"> (Land Attack H&amp;S Message)</w:t>
      </w:r>
    </w:p>
    <w:p w14:paraId="461E8145" w14:textId="259323F9" w:rsidR="00CD2871" w:rsidRPr="000665B0" w:rsidRDefault="00CD2871" w:rsidP="00CD2871">
      <w:r w:rsidRPr="000665B0">
        <w:t>To display a</w:t>
      </w:r>
      <w:r w:rsidR="008927D7" w:rsidRPr="000665B0">
        <w:t>n</w:t>
      </w:r>
      <w:r w:rsidRPr="000665B0">
        <w:t xml:space="preserve"> H&amp;S message textually see </w:t>
      </w:r>
      <w:hyperlink w:anchor="_5.2.1.2.4__Display_1" w:history="1">
        <w:r w:rsidRPr="000665B0">
          <w:rPr>
            <w:rStyle w:val="Hyperlink"/>
          </w:rPr>
          <w:t>Section 5.2.1.2.4</w:t>
        </w:r>
      </w:hyperlink>
      <w:r w:rsidRPr="000665B0">
        <w:t>.</w:t>
      </w:r>
    </w:p>
    <w:p w14:paraId="4017AE94" w14:textId="3FBA08C7" w:rsidR="00B6075E" w:rsidRPr="00D06BB8" w:rsidRDefault="00CA3ED1" w:rsidP="006D5A65">
      <w:pPr>
        <w:pStyle w:val="Heading1"/>
        <w:rPr>
          <w:bCs/>
        </w:rPr>
      </w:pPr>
      <w:r w:rsidRPr="00D06BB8">
        <w:rPr>
          <w:rStyle w:val="cf01"/>
          <w:rFonts w:ascii="Times New Roman" w:hAnsi="Times New Roman" w:cs="Times New Roman"/>
          <w:sz w:val="24"/>
          <w:szCs w:val="24"/>
        </w:rPr>
        <w:t xml:space="preserve">The H&amp;S message textual display contains the relevant information about an H&amp;S message and detailed information which is for informational purposes only. </w:t>
      </w:r>
      <w:r w:rsidR="00C2165B" w:rsidRPr="00D06BB8">
        <w:t>The H&amp;S message textual display</w:t>
      </w:r>
      <w:r w:rsidR="00CD2871" w:rsidRPr="00D06BB8">
        <w:t xml:space="preserve"> contains the following fields:</w:t>
      </w:r>
      <w:bookmarkStart w:id="6992" w:name="_Hlk141440389"/>
      <w:r w:rsidR="00B6075E" w:rsidRPr="00D06BB8">
        <w:rPr>
          <w:bCs/>
        </w:rPr>
        <w:t xml:space="preserve"> </w:t>
      </w:r>
    </w:p>
    <w:p w14:paraId="20A85939" w14:textId="001EFE8A" w:rsidR="00B6075E" w:rsidRPr="00D06BB8" w:rsidRDefault="00B6075E" w:rsidP="006D5A65">
      <w:pPr>
        <w:pStyle w:val="Heading1"/>
      </w:pPr>
      <w:r w:rsidRPr="00D06BB8">
        <w:t>EVENT INFO (Event H&amp;S Messages Only):</w:t>
      </w:r>
    </w:p>
    <w:p w14:paraId="7573B2F3" w14:textId="77777777" w:rsidR="00B6075E" w:rsidRPr="00D06BB8" w:rsidRDefault="00B6075E" w:rsidP="006D5A65">
      <w:pPr>
        <w:pStyle w:val="Heading2"/>
      </w:pPr>
      <w:r w:rsidRPr="00D06BB8">
        <w:rPr>
          <w:bCs/>
        </w:rPr>
        <w:t>Enroute Events</w:t>
      </w:r>
      <w:r w:rsidRPr="00D06BB8">
        <w:t xml:space="preserve"> – List of events reported.</w:t>
      </w:r>
    </w:p>
    <w:p w14:paraId="72A50CE9" w14:textId="77777777" w:rsidR="00B6075E" w:rsidRPr="00D06BB8" w:rsidRDefault="00B6075E" w:rsidP="006D5A65">
      <w:pPr>
        <w:pStyle w:val="Heading3"/>
      </w:pPr>
      <w:r w:rsidRPr="00D06BB8">
        <w:t>Cruise Transition</w:t>
      </w:r>
    </w:p>
    <w:p w14:paraId="40ED3191" w14:textId="77777777" w:rsidR="00B6075E" w:rsidRPr="00D06BB8" w:rsidRDefault="00B6075E" w:rsidP="006D5A65">
      <w:pPr>
        <w:pStyle w:val="Heading3"/>
      </w:pPr>
      <w:r w:rsidRPr="00D06BB8">
        <w:t>Planned Turn Complete</w:t>
      </w:r>
    </w:p>
    <w:p w14:paraId="6693694E" w14:textId="77777777" w:rsidR="00B6075E" w:rsidRPr="00D06BB8" w:rsidRDefault="00B6075E" w:rsidP="006D5A65">
      <w:pPr>
        <w:pStyle w:val="Heading3"/>
      </w:pPr>
      <w:r w:rsidRPr="00D06BB8">
        <w:t>Branch Change</w:t>
      </w:r>
    </w:p>
    <w:p w14:paraId="403BC92D" w14:textId="77777777" w:rsidR="00B6075E" w:rsidRPr="00D06BB8" w:rsidRDefault="00B6075E" w:rsidP="006D5A65">
      <w:pPr>
        <w:pStyle w:val="Heading3"/>
      </w:pPr>
      <w:r w:rsidRPr="00D06BB8">
        <w:t>GPS High Power Ceased</w:t>
      </w:r>
    </w:p>
    <w:p w14:paraId="50A19625" w14:textId="77777777" w:rsidR="00B6075E" w:rsidRPr="00D06BB8" w:rsidRDefault="00B6075E" w:rsidP="006D5A65">
      <w:pPr>
        <w:pStyle w:val="Heading2"/>
      </w:pPr>
      <w:r w:rsidRPr="00D06BB8">
        <w:t>Problems / BIT Test Failures Reportable – Possible colors are Red (failure reported) or White (no failure reported):</w:t>
      </w:r>
    </w:p>
    <w:p w14:paraId="6209D844" w14:textId="77777777" w:rsidR="00B6075E" w:rsidRPr="00D06BB8" w:rsidRDefault="00B6075E" w:rsidP="006D5A65">
      <w:pPr>
        <w:pStyle w:val="Heading3"/>
      </w:pPr>
      <w:r w:rsidRPr="00D06BB8">
        <w:t>Invalid Branch Change/Retarget</w:t>
      </w:r>
    </w:p>
    <w:p w14:paraId="2EBA85D7" w14:textId="77777777" w:rsidR="00B6075E" w:rsidRPr="00D06BB8" w:rsidRDefault="00B6075E" w:rsidP="006D5A65">
      <w:pPr>
        <w:pStyle w:val="Heading3"/>
      </w:pPr>
      <w:r w:rsidRPr="00D06BB8">
        <w:t>PST Failure</w:t>
      </w:r>
    </w:p>
    <w:p w14:paraId="44AD5A7A" w14:textId="77777777" w:rsidR="00B6075E" w:rsidRPr="00D06BB8" w:rsidRDefault="00B6075E" w:rsidP="006D5A65">
      <w:pPr>
        <w:pStyle w:val="Heading3"/>
      </w:pPr>
      <w:r w:rsidRPr="00D06BB8">
        <w:t>AGR</w:t>
      </w:r>
    </w:p>
    <w:p w14:paraId="4974DE33" w14:textId="77777777" w:rsidR="00B6075E" w:rsidRPr="00D06BB8" w:rsidRDefault="00B6075E" w:rsidP="006D5A65">
      <w:pPr>
        <w:pStyle w:val="Heading3"/>
      </w:pPr>
      <w:r w:rsidRPr="00D06BB8">
        <w:t>Radar Altimeter</w:t>
      </w:r>
    </w:p>
    <w:p w14:paraId="237D293D" w14:textId="77777777" w:rsidR="00B6075E" w:rsidRPr="00D06BB8" w:rsidRDefault="00B6075E" w:rsidP="006D5A65">
      <w:pPr>
        <w:pStyle w:val="Heading3"/>
      </w:pPr>
      <w:r w:rsidRPr="00D06BB8">
        <w:t>Guidance Processor</w:t>
      </w:r>
    </w:p>
    <w:p w14:paraId="13A3D36B" w14:textId="77777777" w:rsidR="00B6075E" w:rsidRPr="00D06BB8" w:rsidRDefault="00B6075E" w:rsidP="006D5A65">
      <w:pPr>
        <w:pStyle w:val="Heading3"/>
      </w:pPr>
      <w:r w:rsidRPr="00D06BB8">
        <w:t>Air Data Module</w:t>
      </w:r>
    </w:p>
    <w:p w14:paraId="0EF26393" w14:textId="77777777" w:rsidR="00B6075E" w:rsidRPr="00B72516" w:rsidRDefault="00B6075E" w:rsidP="006D5A65">
      <w:pPr>
        <w:pStyle w:val="Heading3"/>
      </w:pPr>
      <w:r w:rsidRPr="00D06BB8">
        <w:t>IMU</w:t>
      </w:r>
    </w:p>
    <w:p w14:paraId="36EA7869" w14:textId="0C3DF9F1" w:rsidR="00BE2D5F" w:rsidRPr="00B72516" w:rsidRDefault="00BE2D5F" w:rsidP="006D5A65">
      <w:pPr>
        <w:pStyle w:val="Heading3"/>
      </w:pPr>
      <w:r w:rsidRPr="00B72516">
        <w:t>JMEWS Fuze Fail (109M Only)</w:t>
      </w:r>
    </w:p>
    <w:p w14:paraId="5C1A28BD" w14:textId="77777777" w:rsidR="00BE2D5F" w:rsidRPr="00BB4EBE" w:rsidRDefault="00BE2D5F" w:rsidP="00BE2D5F">
      <w:pPr>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BB4EBE">
        <w:rPr>
          <w:b/>
          <w:szCs w:val="24"/>
        </w:rPr>
        <w:t>Note:</w:t>
      </w:r>
    </w:p>
    <w:p w14:paraId="7B90DB74" w14:textId="1B6E0574" w:rsidR="00532D3F" w:rsidRPr="003260B4" w:rsidRDefault="00BE2D5F" w:rsidP="003260B4">
      <w:pPr>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BB4EBE">
        <w:rPr>
          <w:b/>
          <w:bCs/>
          <w:szCs w:val="24"/>
        </w:rPr>
        <w:t>TSRT can monitor the JMEWS Fuze Fail problem but can’t simulate it in TMPC 7.0.3.</w:t>
      </w:r>
    </w:p>
    <w:p w14:paraId="03E2BE9F" w14:textId="58F64A65" w:rsidR="00B6075E" w:rsidRPr="00D06BB8" w:rsidRDefault="00B6075E" w:rsidP="006D5A65">
      <w:pPr>
        <w:pStyle w:val="Heading1"/>
      </w:pPr>
      <w:r w:rsidRPr="00D06BB8">
        <w:rPr>
          <w:bCs/>
        </w:rPr>
        <w:t xml:space="preserve">GPS Condition – </w:t>
      </w:r>
      <w:r w:rsidRPr="00D06BB8">
        <w:t>When the received H&amp;S message reports the following checked fields are occurring, the GPS Condition is as listed below:</w:t>
      </w:r>
    </w:p>
    <w:tbl>
      <w:tblPr>
        <w:tblStyle w:val="TableGrid"/>
        <w:tblW w:w="0" w:type="auto"/>
        <w:tblInd w:w="715" w:type="dxa"/>
        <w:tblLook w:val="04A0" w:firstRow="1" w:lastRow="0" w:firstColumn="1" w:lastColumn="0" w:noHBand="0" w:noVBand="1"/>
      </w:tblPr>
      <w:tblGrid>
        <w:gridCol w:w="1980"/>
        <w:gridCol w:w="2970"/>
        <w:gridCol w:w="1890"/>
        <w:gridCol w:w="1795"/>
      </w:tblGrid>
      <w:tr w:rsidR="00B6075E" w:rsidRPr="00B6075E" w14:paraId="0CB24C67" w14:textId="77777777" w:rsidTr="00CA3ED1">
        <w:tc>
          <w:tcPr>
            <w:tcW w:w="1980" w:type="dxa"/>
            <w:vAlign w:val="center"/>
          </w:tcPr>
          <w:p w14:paraId="2CB7806D" w14:textId="77777777" w:rsidR="00B6075E" w:rsidRPr="00AE091D" w:rsidRDefault="00B6075E" w:rsidP="00CA3ED1">
            <w:pPr>
              <w:rPr>
                <w:szCs w:val="24"/>
              </w:rPr>
            </w:pPr>
            <w:r w:rsidRPr="00AE091D">
              <w:rPr>
                <w:szCs w:val="24"/>
              </w:rPr>
              <w:t>AGR BIT Failure</w:t>
            </w:r>
          </w:p>
        </w:tc>
        <w:tc>
          <w:tcPr>
            <w:tcW w:w="2970" w:type="dxa"/>
            <w:vAlign w:val="center"/>
          </w:tcPr>
          <w:p w14:paraId="16C6A4F3" w14:textId="77777777" w:rsidR="00B6075E" w:rsidRPr="00AE091D" w:rsidRDefault="00B6075E" w:rsidP="00CA3ED1">
            <w:pPr>
              <w:rPr>
                <w:szCs w:val="24"/>
              </w:rPr>
            </w:pPr>
            <w:r w:rsidRPr="00AE091D">
              <w:rPr>
                <w:szCs w:val="24"/>
              </w:rPr>
              <w:t>GPS Not Providing Updates</w:t>
            </w:r>
          </w:p>
        </w:tc>
        <w:tc>
          <w:tcPr>
            <w:tcW w:w="1890" w:type="dxa"/>
            <w:vAlign w:val="center"/>
          </w:tcPr>
          <w:p w14:paraId="5DB2BF77" w14:textId="77777777" w:rsidR="00B6075E" w:rsidRPr="00AE091D" w:rsidRDefault="00B6075E" w:rsidP="00CA3ED1">
            <w:pPr>
              <w:rPr>
                <w:szCs w:val="24"/>
              </w:rPr>
            </w:pPr>
            <w:r w:rsidRPr="00AE091D">
              <w:rPr>
                <w:szCs w:val="24"/>
              </w:rPr>
              <w:t>GPS High Power</w:t>
            </w:r>
          </w:p>
        </w:tc>
        <w:tc>
          <w:tcPr>
            <w:tcW w:w="1795" w:type="dxa"/>
            <w:vAlign w:val="center"/>
          </w:tcPr>
          <w:p w14:paraId="2D68131F" w14:textId="77777777" w:rsidR="00B6075E" w:rsidRPr="00AE091D" w:rsidRDefault="00B6075E" w:rsidP="00CA3ED1">
            <w:pPr>
              <w:rPr>
                <w:b/>
                <w:bCs/>
                <w:szCs w:val="24"/>
              </w:rPr>
            </w:pPr>
            <w:r w:rsidRPr="00AE091D">
              <w:rPr>
                <w:b/>
                <w:bCs/>
                <w:szCs w:val="24"/>
              </w:rPr>
              <w:t>GPS Condition</w:t>
            </w:r>
          </w:p>
        </w:tc>
      </w:tr>
      <w:tr w:rsidR="00B6075E" w:rsidRPr="00B6075E" w14:paraId="202ACE0A" w14:textId="77777777" w:rsidTr="00CA3ED1">
        <w:tc>
          <w:tcPr>
            <w:tcW w:w="1980" w:type="dxa"/>
            <w:vAlign w:val="center"/>
          </w:tcPr>
          <w:p w14:paraId="2F29D17A" w14:textId="77777777" w:rsidR="00B6075E" w:rsidRPr="00AE091D" w:rsidRDefault="00B6075E" w:rsidP="00CA3ED1">
            <w:pPr>
              <w:jc w:val="center"/>
              <w:rPr>
                <w:szCs w:val="24"/>
              </w:rPr>
            </w:pPr>
          </w:p>
        </w:tc>
        <w:tc>
          <w:tcPr>
            <w:tcW w:w="2970" w:type="dxa"/>
            <w:vAlign w:val="center"/>
          </w:tcPr>
          <w:p w14:paraId="725608CA" w14:textId="77777777" w:rsidR="00B6075E" w:rsidRPr="00AE091D" w:rsidRDefault="00B6075E" w:rsidP="00CA3ED1">
            <w:pPr>
              <w:jc w:val="center"/>
              <w:rPr>
                <w:szCs w:val="24"/>
              </w:rPr>
            </w:pPr>
          </w:p>
        </w:tc>
        <w:tc>
          <w:tcPr>
            <w:tcW w:w="1890" w:type="dxa"/>
            <w:vAlign w:val="center"/>
          </w:tcPr>
          <w:p w14:paraId="699C148F" w14:textId="77777777" w:rsidR="00B6075E" w:rsidRPr="00AE091D" w:rsidRDefault="00B6075E" w:rsidP="00CA3ED1">
            <w:pPr>
              <w:jc w:val="center"/>
              <w:rPr>
                <w:szCs w:val="24"/>
              </w:rPr>
            </w:pPr>
          </w:p>
        </w:tc>
        <w:tc>
          <w:tcPr>
            <w:tcW w:w="1795" w:type="dxa"/>
            <w:vAlign w:val="center"/>
          </w:tcPr>
          <w:p w14:paraId="23CD9070" w14:textId="77777777" w:rsidR="00B6075E" w:rsidRPr="00AE091D" w:rsidRDefault="00B6075E" w:rsidP="00CA3ED1">
            <w:pPr>
              <w:rPr>
                <w:szCs w:val="24"/>
              </w:rPr>
            </w:pPr>
            <w:r w:rsidRPr="00AE091D">
              <w:rPr>
                <w:szCs w:val="24"/>
              </w:rPr>
              <w:t xml:space="preserve">Good </w:t>
            </w:r>
            <w:r w:rsidRPr="00AE091D">
              <w:rPr>
                <w:noProof/>
                <w:szCs w:val="24"/>
              </w:rPr>
              <w:drawing>
                <wp:inline distT="0" distB="0" distL="0" distR="0" wp14:anchorId="4DAB4E53" wp14:editId="3FE8ACBB">
                  <wp:extent cx="352425" cy="266700"/>
                  <wp:effectExtent l="0" t="0" r="9525"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52425" cy="266700"/>
                          </a:xfrm>
                          <a:prstGeom prst="rect">
                            <a:avLst/>
                          </a:prstGeom>
                        </pic:spPr>
                      </pic:pic>
                    </a:graphicData>
                  </a:graphic>
                </wp:inline>
              </w:drawing>
            </w:r>
            <w:r w:rsidRPr="00AE091D">
              <w:rPr>
                <w:szCs w:val="24"/>
              </w:rPr>
              <w:t xml:space="preserve"> (green)</w:t>
            </w:r>
          </w:p>
        </w:tc>
      </w:tr>
      <w:tr w:rsidR="00B6075E" w:rsidRPr="00B6075E" w14:paraId="1372588D" w14:textId="77777777" w:rsidTr="00CA3ED1">
        <w:tc>
          <w:tcPr>
            <w:tcW w:w="1980" w:type="dxa"/>
            <w:vAlign w:val="center"/>
          </w:tcPr>
          <w:p w14:paraId="252F15B3" w14:textId="77777777" w:rsidR="00B6075E" w:rsidRPr="00AE091D" w:rsidRDefault="00B6075E" w:rsidP="00CA3ED1">
            <w:pPr>
              <w:jc w:val="center"/>
              <w:rPr>
                <w:szCs w:val="24"/>
              </w:rPr>
            </w:pPr>
          </w:p>
        </w:tc>
        <w:tc>
          <w:tcPr>
            <w:tcW w:w="2970" w:type="dxa"/>
            <w:vAlign w:val="center"/>
          </w:tcPr>
          <w:p w14:paraId="1A60331F" w14:textId="77777777" w:rsidR="00B6075E" w:rsidRPr="00AE091D" w:rsidRDefault="00B6075E" w:rsidP="00CA3ED1">
            <w:pPr>
              <w:jc w:val="center"/>
              <w:rPr>
                <w:szCs w:val="24"/>
              </w:rPr>
            </w:pPr>
          </w:p>
        </w:tc>
        <w:tc>
          <w:tcPr>
            <w:tcW w:w="1890" w:type="dxa"/>
            <w:vAlign w:val="center"/>
          </w:tcPr>
          <w:p w14:paraId="7795DD7D" w14:textId="77777777" w:rsidR="00B6075E" w:rsidRPr="00AE091D" w:rsidRDefault="00B6075E" w:rsidP="00CA3ED1">
            <w:pPr>
              <w:jc w:val="center"/>
              <w:rPr>
                <w:szCs w:val="24"/>
              </w:rPr>
            </w:pPr>
            <w:r w:rsidRPr="00AE091D">
              <w:rPr>
                <w:noProof/>
                <w:szCs w:val="24"/>
              </w:rPr>
              <w:drawing>
                <wp:inline distT="0" distB="0" distL="0" distR="0" wp14:anchorId="5C374EF5" wp14:editId="50DD02B7">
                  <wp:extent cx="200025" cy="200025"/>
                  <wp:effectExtent l="0" t="0" r="9525" b="9525"/>
                  <wp:docPr id="1024" name="Graphic 1024"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1795" w:type="dxa"/>
            <w:vAlign w:val="center"/>
          </w:tcPr>
          <w:p w14:paraId="4B5EEB36" w14:textId="77777777" w:rsidR="00B6075E" w:rsidRPr="00AE091D" w:rsidRDefault="00B6075E" w:rsidP="00CA3ED1">
            <w:pPr>
              <w:rPr>
                <w:szCs w:val="24"/>
              </w:rPr>
            </w:pPr>
            <w:r w:rsidRPr="00AE091D">
              <w:rPr>
                <w:szCs w:val="24"/>
              </w:rPr>
              <w:t xml:space="preserve">Warning </w:t>
            </w:r>
            <w:r w:rsidRPr="00AE091D">
              <w:rPr>
                <w:noProof/>
                <w:szCs w:val="24"/>
              </w:rPr>
              <w:drawing>
                <wp:inline distT="0" distB="0" distL="0" distR="0" wp14:anchorId="49BE0E08" wp14:editId="1B2D23CC">
                  <wp:extent cx="371475" cy="266700"/>
                  <wp:effectExtent l="0" t="0" r="9525"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71475" cy="266700"/>
                          </a:xfrm>
                          <a:prstGeom prst="rect">
                            <a:avLst/>
                          </a:prstGeom>
                        </pic:spPr>
                      </pic:pic>
                    </a:graphicData>
                  </a:graphic>
                </wp:inline>
              </w:drawing>
            </w:r>
            <w:r w:rsidRPr="00AE091D">
              <w:rPr>
                <w:szCs w:val="24"/>
              </w:rPr>
              <w:t xml:space="preserve"> (yellow)</w:t>
            </w:r>
          </w:p>
        </w:tc>
      </w:tr>
      <w:tr w:rsidR="00B6075E" w:rsidRPr="00B6075E" w14:paraId="40F09738" w14:textId="77777777" w:rsidTr="00CA3ED1">
        <w:tc>
          <w:tcPr>
            <w:tcW w:w="1980" w:type="dxa"/>
            <w:vAlign w:val="center"/>
          </w:tcPr>
          <w:p w14:paraId="24BBDC36" w14:textId="77777777" w:rsidR="00B6075E" w:rsidRPr="00AE091D" w:rsidRDefault="00B6075E" w:rsidP="00CA3ED1">
            <w:pPr>
              <w:jc w:val="center"/>
              <w:rPr>
                <w:szCs w:val="24"/>
              </w:rPr>
            </w:pPr>
          </w:p>
        </w:tc>
        <w:tc>
          <w:tcPr>
            <w:tcW w:w="2970" w:type="dxa"/>
            <w:vAlign w:val="center"/>
          </w:tcPr>
          <w:p w14:paraId="55FBC5ED" w14:textId="77777777" w:rsidR="00B6075E" w:rsidRPr="00AE091D" w:rsidRDefault="00B6075E" w:rsidP="00CA3ED1">
            <w:pPr>
              <w:jc w:val="center"/>
              <w:rPr>
                <w:szCs w:val="24"/>
              </w:rPr>
            </w:pPr>
            <w:r w:rsidRPr="00AE091D">
              <w:rPr>
                <w:noProof/>
                <w:szCs w:val="24"/>
              </w:rPr>
              <w:drawing>
                <wp:inline distT="0" distB="0" distL="0" distR="0" wp14:anchorId="2DC30940" wp14:editId="2E46A24F">
                  <wp:extent cx="200025" cy="200025"/>
                  <wp:effectExtent l="0" t="0" r="9525" b="9525"/>
                  <wp:docPr id="1028" name="Graphic 1028"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1890" w:type="dxa"/>
            <w:vAlign w:val="center"/>
          </w:tcPr>
          <w:p w14:paraId="36E50BC9" w14:textId="77777777" w:rsidR="00B6075E" w:rsidRPr="00AE091D" w:rsidRDefault="00B6075E" w:rsidP="00CA3ED1">
            <w:pPr>
              <w:jc w:val="center"/>
              <w:rPr>
                <w:szCs w:val="24"/>
              </w:rPr>
            </w:pPr>
          </w:p>
        </w:tc>
        <w:tc>
          <w:tcPr>
            <w:tcW w:w="1795" w:type="dxa"/>
            <w:vMerge w:val="restart"/>
            <w:vAlign w:val="center"/>
          </w:tcPr>
          <w:p w14:paraId="0C01ED13" w14:textId="77777777" w:rsidR="00B6075E" w:rsidRPr="00AE091D" w:rsidRDefault="00B6075E" w:rsidP="00CA3ED1">
            <w:pPr>
              <w:rPr>
                <w:szCs w:val="24"/>
              </w:rPr>
            </w:pPr>
            <w:r w:rsidRPr="00AE091D">
              <w:rPr>
                <w:szCs w:val="24"/>
              </w:rPr>
              <w:t xml:space="preserve">Critical  </w:t>
            </w:r>
            <w:r w:rsidRPr="00AE091D">
              <w:rPr>
                <w:noProof/>
                <w:szCs w:val="24"/>
              </w:rPr>
              <w:drawing>
                <wp:inline distT="0" distB="0" distL="0" distR="0" wp14:anchorId="66CD842B" wp14:editId="75544CCB">
                  <wp:extent cx="323850" cy="285750"/>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23850" cy="285750"/>
                          </a:xfrm>
                          <a:prstGeom prst="rect">
                            <a:avLst/>
                          </a:prstGeom>
                        </pic:spPr>
                      </pic:pic>
                    </a:graphicData>
                  </a:graphic>
                </wp:inline>
              </w:drawing>
            </w:r>
            <w:r w:rsidRPr="00AE091D">
              <w:rPr>
                <w:szCs w:val="24"/>
              </w:rPr>
              <w:t xml:space="preserve"> (red)</w:t>
            </w:r>
          </w:p>
        </w:tc>
      </w:tr>
      <w:tr w:rsidR="00B6075E" w:rsidRPr="00B6075E" w14:paraId="4B06E67D" w14:textId="77777777" w:rsidTr="00CA3ED1">
        <w:tc>
          <w:tcPr>
            <w:tcW w:w="1980" w:type="dxa"/>
            <w:vAlign w:val="center"/>
          </w:tcPr>
          <w:p w14:paraId="68E6045A" w14:textId="77777777" w:rsidR="00B6075E" w:rsidRPr="00AE091D" w:rsidRDefault="00B6075E" w:rsidP="00CA3ED1">
            <w:pPr>
              <w:jc w:val="center"/>
              <w:rPr>
                <w:szCs w:val="24"/>
              </w:rPr>
            </w:pPr>
          </w:p>
        </w:tc>
        <w:tc>
          <w:tcPr>
            <w:tcW w:w="2970" w:type="dxa"/>
            <w:vAlign w:val="center"/>
          </w:tcPr>
          <w:p w14:paraId="5B41D5B3" w14:textId="77777777" w:rsidR="00B6075E" w:rsidRPr="00AE091D" w:rsidRDefault="00B6075E" w:rsidP="00CA3ED1">
            <w:pPr>
              <w:jc w:val="center"/>
              <w:rPr>
                <w:szCs w:val="24"/>
              </w:rPr>
            </w:pPr>
            <w:r w:rsidRPr="00AE091D">
              <w:rPr>
                <w:noProof/>
                <w:szCs w:val="24"/>
              </w:rPr>
              <w:drawing>
                <wp:inline distT="0" distB="0" distL="0" distR="0" wp14:anchorId="3E130C85" wp14:editId="7BD41F0F">
                  <wp:extent cx="200025" cy="200025"/>
                  <wp:effectExtent l="0" t="0" r="9525" b="9525"/>
                  <wp:docPr id="1030" name="Graphic 1030"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1890" w:type="dxa"/>
            <w:vAlign w:val="center"/>
          </w:tcPr>
          <w:p w14:paraId="07B0082D" w14:textId="77777777" w:rsidR="00B6075E" w:rsidRPr="00AE091D" w:rsidRDefault="00B6075E" w:rsidP="00CA3ED1">
            <w:pPr>
              <w:jc w:val="center"/>
              <w:rPr>
                <w:szCs w:val="24"/>
              </w:rPr>
            </w:pPr>
            <w:r w:rsidRPr="00AE091D">
              <w:rPr>
                <w:noProof/>
                <w:szCs w:val="24"/>
              </w:rPr>
              <w:drawing>
                <wp:inline distT="0" distB="0" distL="0" distR="0" wp14:anchorId="13B86D00" wp14:editId="253A57DE">
                  <wp:extent cx="200025" cy="200025"/>
                  <wp:effectExtent l="0" t="0" r="9525" b="9525"/>
                  <wp:docPr id="1031" name="Graphic 1031"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1795" w:type="dxa"/>
            <w:vMerge/>
          </w:tcPr>
          <w:p w14:paraId="07365927" w14:textId="77777777" w:rsidR="00B6075E" w:rsidRPr="00AE091D" w:rsidRDefault="00B6075E" w:rsidP="00CA3ED1">
            <w:pPr>
              <w:rPr>
                <w:szCs w:val="24"/>
              </w:rPr>
            </w:pPr>
          </w:p>
        </w:tc>
      </w:tr>
      <w:tr w:rsidR="00B6075E" w:rsidRPr="00B6075E" w14:paraId="04017C77" w14:textId="77777777" w:rsidTr="00CA3ED1">
        <w:tc>
          <w:tcPr>
            <w:tcW w:w="1980" w:type="dxa"/>
            <w:vAlign w:val="center"/>
          </w:tcPr>
          <w:p w14:paraId="62C52186" w14:textId="77777777" w:rsidR="00B6075E" w:rsidRPr="00AE091D" w:rsidRDefault="00B6075E" w:rsidP="00CA3ED1">
            <w:pPr>
              <w:jc w:val="center"/>
              <w:rPr>
                <w:noProof/>
                <w:szCs w:val="24"/>
              </w:rPr>
            </w:pPr>
            <w:r w:rsidRPr="00AE091D">
              <w:rPr>
                <w:noProof/>
                <w:szCs w:val="24"/>
              </w:rPr>
              <w:drawing>
                <wp:inline distT="0" distB="0" distL="0" distR="0" wp14:anchorId="4A49A256" wp14:editId="05E58A0C">
                  <wp:extent cx="200025" cy="200025"/>
                  <wp:effectExtent l="0" t="0" r="9525" b="9525"/>
                  <wp:docPr id="1034" name="Graphic 1034"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2970" w:type="dxa"/>
            <w:vAlign w:val="center"/>
          </w:tcPr>
          <w:p w14:paraId="3FA402E6" w14:textId="77777777" w:rsidR="00B6075E" w:rsidRPr="00AE091D" w:rsidRDefault="00B6075E" w:rsidP="00CA3ED1">
            <w:pPr>
              <w:jc w:val="center"/>
              <w:rPr>
                <w:szCs w:val="24"/>
              </w:rPr>
            </w:pPr>
          </w:p>
        </w:tc>
        <w:tc>
          <w:tcPr>
            <w:tcW w:w="1890" w:type="dxa"/>
            <w:vAlign w:val="center"/>
          </w:tcPr>
          <w:p w14:paraId="120FF6A4" w14:textId="77777777" w:rsidR="00B6075E" w:rsidRPr="00AE091D" w:rsidRDefault="00B6075E" w:rsidP="00CA3ED1">
            <w:pPr>
              <w:jc w:val="center"/>
              <w:rPr>
                <w:szCs w:val="24"/>
              </w:rPr>
            </w:pPr>
          </w:p>
        </w:tc>
        <w:tc>
          <w:tcPr>
            <w:tcW w:w="1795" w:type="dxa"/>
            <w:vMerge/>
          </w:tcPr>
          <w:p w14:paraId="0975B731" w14:textId="77777777" w:rsidR="00B6075E" w:rsidRPr="00AE091D" w:rsidRDefault="00B6075E" w:rsidP="00CA3ED1">
            <w:pPr>
              <w:rPr>
                <w:szCs w:val="24"/>
              </w:rPr>
            </w:pPr>
          </w:p>
        </w:tc>
      </w:tr>
      <w:tr w:rsidR="00B6075E" w:rsidRPr="00B6075E" w14:paraId="704F2BFD" w14:textId="77777777" w:rsidTr="00CA3ED1">
        <w:tc>
          <w:tcPr>
            <w:tcW w:w="1980" w:type="dxa"/>
            <w:vAlign w:val="center"/>
          </w:tcPr>
          <w:p w14:paraId="48109468" w14:textId="77777777" w:rsidR="00B6075E" w:rsidRPr="00AE091D" w:rsidRDefault="00B6075E" w:rsidP="00CA3ED1">
            <w:pPr>
              <w:jc w:val="center"/>
              <w:rPr>
                <w:szCs w:val="24"/>
              </w:rPr>
            </w:pPr>
            <w:r w:rsidRPr="00AE091D">
              <w:rPr>
                <w:noProof/>
                <w:szCs w:val="24"/>
              </w:rPr>
              <w:drawing>
                <wp:inline distT="0" distB="0" distL="0" distR="0" wp14:anchorId="51EDA8CD" wp14:editId="2571B463">
                  <wp:extent cx="200025" cy="200025"/>
                  <wp:effectExtent l="0" t="0" r="9525" b="9525"/>
                  <wp:docPr id="1035" name="Graphic 1035"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2970" w:type="dxa"/>
            <w:vAlign w:val="center"/>
          </w:tcPr>
          <w:p w14:paraId="3F1A35F2" w14:textId="77777777" w:rsidR="00B6075E" w:rsidRPr="00AE091D" w:rsidRDefault="00B6075E" w:rsidP="00CA3ED1">
            <w:pPr>
              <w:jc w:val="center"/>
              <w:rPr>
                <w:szCs w:val="24"/>
              </w:rPr>
            </w:pPr>
          </w:p>
        </w:tc>
        <w:tc>
          <w:tcPr>
            <w:tcW w:w="1890" w:type="dxa"/>
            <w:vAlign w:val="center"/>
          </w:tcPr>
          <w:p w14:paraId="6B94486C" w14:textId="77777777" w:rsidR="00B6075E" w:rsidRPr="00AE091D" w:rsidRDefault="00B6075E" w:rsidP="00CA3ED1">
            <w:pPr>
              <w:jc w:val="center"/>
              <w:rPr>
                <w:szCs w:val="24"/>
              </w:rPr>
            </w:pPr>
            <w:r w:rsidRPr="00AE091D">
              <w:rPr>
                <w:noProof/>
                <w:szCs w:val="24"/>
              </w:rPr>
              <w:drawing>
                <wp:inline distT="0" distB="0" distL="0" distR="0" wp14:anchorId="162213BB" wp14:editId="345BB7A3">
                  <wp:extent cx="200025" cy="200025"/>
                  <wp:effectExtent l="0" t="0" r="9525" b="9525"/>
                  <wp:docPr id="1037" name="Graphic 1037"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1795" w:type="dxa"/>
            <w:vMerge/>
          </w:tcPr>
          <w:p w14:paraId="32AB4A53" w14:textId="77777777" w:rsidR="00B6075E" w:rsidRPr="00AE091D" w:rsidRDefault="00B6075E" w:rsidP="00CA3ED1">
            <w:pPr>
              <w:rPr>
                <w:szCs w:val="24"/>
              </w:rPr>
            </w:pPr>
          </w:p>
        </w:tc>
      </w:tr>
      <w:tr w:rsidR="00B6075E" w:rsidRPr="00B6075E" w14:paraId="6632D78E" w14:textId="77777777" w:rsidTr="00CA3ED1">
        <w:tc>
          <w:tcPr>
            <w:tcW w:w="1980" w:type="dxa"/>
            <w:vAlign w:val="center"/>
          </w:tcPr>
          <w:p w14:paraId="285780F2" w14:textId="77777777" w:rsidR="00B6075E" w:rsidRPr="00AE091D" w:rsidRDefault="00B6075E" w:rsidP="00CA3ED1">
            <w:pPr>
              <w:jc w:val="center"/>
              <w:rPr>
                <w:szCs w:val="24"/>
              </w:rPr>
            </w:pPr>
            <w:r w:rsidRPr="00AE091D">
              <w:rPr>
                <w:noProof/>
                <w:szCs w:val="24"/>
              </w:rPr>
              <w:drawing>
                <wp:inline distT="0" distB="0" distL="0" distR="0" wp14:anchorId="3DA0C5BA" wp14:editId="5BCE3E6B">
                  <wp:extent cx="200025" cy="200025"/>
                  <wp:effectExtent l="0" t="0" r="9525" b="9525"/>
                  <wp:docPr id="1038" name="Graphic 1038"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2970" w:type="dxa"/>
            <w:vAlign w:val="center"/>
          </w:tcPr>
          <w:p w14:paraId="3FFA9D74" w14:textId="77777777" w:rsidR="00B6075E" w:rsidRPr="00AE091D" w:rsidRDefault="00B6075E" w:rsidP="00CA3ED1">
            <w:pPr>
              <w:jc w:val="center"/>
              <w:rPr>
                <w:szCs w:val="24"/>
              </w:rPr>
            </w:pPr>
            <w:r w:rsidRPr="00AE091D">
              <w:rPr>
                <w:noProof/>
                <w:szCs w:val="24"/>
              </w:rPr>
              <w:drawing>
                <wp:inline distT="0" distB="0" distL="0" distR="0" wp14:anchorId="123D8483" wp14:editId="5D114FCF">
                  <wp:extent cx="200025" cy="200025"/>
                  <wp:effectExtent l="0" t="0" r="9525" b="9525"/>
                  <wp:docPr id="1046" name="Graphic 1046"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1890" w:type="dxa"/>
            <w:vAlign w:val="center"/>
          </w:tcPr>
          <w:p w14:paraId="0C77474E" w14:textId="77777777" w:rsidR="00B6075E" w:rsidRPr="00AE091D" w:rsidRDefault="00B6075E" w:rsidP="00CA3ED1">
            <w:pPr>
              <w:jc w:val="center"/>
              <w:rPr>
                <w:szCs w:val="24"/>
              </w:rPr>
            </w:pPr>
          </w:p>
        </w:tc>
        <w:tc>
          <w:tcPr>
            <w:tcW w:w="1795" w:type="dxa"/>
            <w:vMerge/>
          </w:tcPr>
          <w:p w14:paraId="56F73ED8" w14:textId="77777777" w:rsidR="00B6075E" w:rsidRPr="00AE091D" w:rsidRDefault="00B6075E" w:rsidP="00CA3ED1">
            <w:pPr>
              <w:rPr>
                <w:szCs w:val="24"/>
              </w:rPr>
            </w:pPr>
          </w:p>
        </w:tc>
      </w:tr>
      <w:tr w:rsidR="00B6075E" w:rsidRPr="00B6075E" w14:paraId="75683B9C" w14:textId="77777777" w:rsidTr="00CA3ED1">
        <w:tc>
          <w:tcPr>
            <w:tcW w:w="1980" w:type="dxa"/>
            <w:vAlign w:val="center"/>
          </w:tcPr>
          <w:p w14:paraId="478462CA" w14:textId="77777777" w:rsidR="00B6075E" w:rsidRPr="00AE091D" w:rsidRDefault="00B6075E" w:rsidP="00CA3ED1">
            <w:pPr>
              <w:jc w:val="center"/>
              <w:rPr>
                <w:szCs w:val="24"/>
              </w:rPr>
            </w:pPr>
            <w:r w:rsidRPr="00AE091D">
              <w:rPr>
                <w:noProof/>
                <w:szCs w:val="24"/>
              </w:rPr>
              <w:drawing>
                <wp:inline distT="0" distB="0" distL="0" distR="0" wp14:anchorId="7C2F9734" wp14:editId="48C8B262">
                  <wp:extent cx="200025" cy="200025"/>
                  <wp:effectExtent l="0" t="0" r="9525" b="9525"/>
                  <wp:docPr id="1050" name="Graphic 1050"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2970" w:type="dxa"/>
            <w:vAlign w:val="center"/>
          </w:tcPr>
          <w:p w14:paraId="3CCEB10E" w14:textId="77777777" w:rsidR="00B6075E" w:rsidRPr="00AE091D" w:rsidRDefault="00B6075E" w:rsidP="00CA3ED1">
            <w:pPr>
              <w:jc w:val="center"/>
              <w:rPr>
                <w:szCs w:val="24"/>
              </w:rPr>
            </w:pPr>
            <w:r w:rsidRPr="00AE091D">
              <w:rPr>
                <w:noProof/>
                <w:szCs w:val="24"/>
              </w:rPr>
              <w:drawing>
                <wp:inline distT="0" distB="0" distL="0" distR="0" wp14:anchorId="56702341" wp14:editId="270563A9">
                  <wp:extent cx="200025" cy="200025"/>
                  <wp:effectExtent l="0" t="0" r="9525" b="9525"/>
                  <wp:docPr id="1053" name="Graphic 1053"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1890" w:type="dxa"/>
            <w:vAlign w:val="center"/>
          </w:tcPr>
          <w:p w14:paraId="606B3F79" w14:textId="77777777" w:rsidR="00B6075E" w:rsidRPr="00AE091D" w:rsidRDefault="00B6075E" w:rsidP="00CA3ED1">
            <w:pPr>
              <w:jc w:val="center"/>
              <w:rPr>
                <w:szCs w:val="24"/>
              </w:rPr>
            </w:pPr>
            <w:r w:rsidRPr="00AE091D">
              <w:rPr>
                <w:noProof/>
                <w:szCs w:val="24"/>
              </w:rPr>
              <w:drawing>
                <wp:inline distT="0" distB="0" distL="0" distR="0" wp14:anchorId="14CD0537" wp14:editId="184DD903">
                  <wp:extent cx="200025" cy="200025"/>
                  <wp:effectExtent l="0" t="0" r="9525" b="9525"/>
                  <wp:docPr id="1054" name="Graphic 1054"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heckmark outline"/>
                          <pic:cNvPicPr/>
                        </pic:nvPicPr>
                        <pic:blipFill>
                          <a:blip cstate="print">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p>
        </w:tc>
        <w:tc>
          <w:tcPr>
            <w:tcW w:w="1795" w:type="dxa"/>
            <w:vMerge/>
          </w:tcPr>
          <w:p w14:paraId="0D6EF98D" w14:textId="77777777" w:rsidR="00B6075E" w:rsidRPr="00AE091D" w:rsidRDefault="00B6075E" w:rsidP="00CA3ED1">
            <w:pPr>
              <w:rPr>
                <w:szCs w:val="24"/>
              </w:rPr>
            </w:pPr>
          </w:p>
        </w:tc>
      </w:tr>
    </w:tbl>
    <w:p w14:paraId="02F6CE20" w14:textId="77777777" w:rsidR="00B6075E" w:rsidRPr="00D06BB8" w:rsidRDefault="00B6075E" w:rsidP="006D5A65">
      <w:pPr>
        <w:pStyle w:val="Heading1"/>
        <w:rPr>
          <w:bCs/>
        </w:rPr>
      </w:pPr>
      <w:r w:rsidRPr="00D06BB8">
        <w:rPr>
          <w:bCs/>
        </w:rPr>
        <w:t xml:space="preserve">RECOMMENDED ACTION (Event H&amp;S Messages Only) -- </w:t>
      </w:r>
      <w:r w:rsidRPr="00D06BB8">
        <w:t>Actionable suggestions depending on the Problems or BIT Test Failures reported. Associated text is pulled from a local configuration file.</w:t>
      </w:r>
    </w:p>
    <w:p w14:paraId="514E5DB7" w14:textId="77777777" w:rsidR="00B6075E" w:rsidRPr="00B6075E" w:rsidRDefault="00B6075E" w:rsidP="006D5A65">
      <w:pPr>
        <w:pStyle w:val="Heading2"/>
      </w:pPr>
      <w:r w:rsidRPr="00B6075E">
        <w:t>If, for any reason, the config file is missing, MDS will create a new one based on built-in defaults.</w:t>
      </w:r>
    </w:p>
    <w:p w14:paraId="466E293F" w14:textId="77777777" w:rsidR="00B6075E" w:rsidRPr="00B6075E" w:rsidRDefault="00B6075E" w:rsidP="006D5A65">
      <w:pPr>
        <w:pStyle w:val="Heading2"/>
      </w:pPr>
      <w:r w:rsidRPr="00B6075E">
        <w:t>If multiple problems/BIT Test Failures are being reported, the suggestion reported will be based on the event with the highest severity (severity 1 is highest).</w:t>
      </w:r>
    </w:p>
    <w:p w14:paraId="0B3138B8" w14:textId="77777777" w:rsidR="00B6075E" w:rsidRPr="00B6075E" w:rsidRDefault="00B6075E" w:rsidP="006D5A65">
      <w:pPr>
        <w:pStyle w:val="Heading2"/>
      </w:pPr>
      <w:r w:rsidRPr="00B6075E">
        <w:t>The default Recommended Aid file is as follows:</w:t>
      </w:r>
    </w:p>
    <w:tbl>
      <w:tblPr>
        <w:tblW w:w="9165" w:type="dxa"/>
        <w:tblInd w:w="7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4"/>
        <w:gridCol w:w="1030"/>
        <w:gridCol w:w="5461"/>
      </w:tblGrid>
      <w:tr w:rsidR="00B6075E" w:rsidRPr="00FF3AD8" w14:paraId="6D57EFB2" w14:textId="77777777" w:rsidTr="00406862">
        <w:trPr>
          <w:cantSplit/>
          <w:trHeight w:val="300"/>
          <w:tblHeader/>
        </w:trPr>
        <w:tc>
          <w:tcPr>
            <w:tcW w:w="2674"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7A59B4B8" w14:textId="77777777" w:rsidR="00B6075E" w:rsidRPr="0001776F" w:rsidRDefault="00B6075E" w:rsidP="00D06C3E">
            <w:pPr>
              <w:spacing w:before="60" w:after="60" w:line="240" w:lineRule="auto"/>
              <w:ind w:left="115"/>
              <w:textAlignment w:val="baseline"/>
              <w:rPr>
                <w:rFonts w:eastAsia="Times New Roman"/>
                <w:b/>
                <w:bCs/>
                <w:szCs w:val="24"/>
              </w:rPr>
            </w:pPr>
            <w:r w:rsidRPr="0001776F">
              <w:rPr>
                <w:rFonts w:eastAsia="Times New Roman"/>
                <w:b/>
                <w:bCs/>
                <w:szCs w:val="24"/>
              </w:rPr>
              <w:t>Event </w:t>
            </w:r>
          </w:p>
        </w:tc>
        <w:tc>
          <w:tcPr>
            <w:tcW w:w="103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5E76FACA" w14:textId="77777777" w:rsidR="00B6075E" w:rsidRPr="0001776F" w:rsidRDefault="00B6075E" w:rsidP="00D06C3E">
            <w:pPr>
              <w:spacing w:before="60" w:after="60" w:line="240" w:lineRule="auto"/>
              <w:ind w:left="115"/>
              <w:textAlignment w:val="baseline"/>
              <w:rPr>
                <w:rFonts w:eastAsia="Times New Roman"/>
                <w:b/>
                <w:bCs/>
                <w:szCs w:val="24"/>
              </w:rPr>
            </w:pPr>
            <w:r w:rsidRPr="0001776F">
              <w:rPr>
                <w:rFonts w:eastAsia="Times New Roman"/>
                <w:b/>
                <w:bCs/>
                <w:szCs w:val="24"/>
              </w:rPr>
              <w:t>Severity </w:t>
            </w:r>
          </w:p>
        </w:tc>
        <w:tc>
          <w:tcPr>
            <w:tcW w:w="5461"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58012A5" w14:textId="77777777" w:rsidR="00B6075E" w:rsidRPr="0001776F" w:rsidRDefault="00B6075E" w:rsidP="00D06C3E">
            <w:pPr>
              <w:spacing w:before="60" w:after="60" w:line="240" w:lineRule="auto"/>
              <w:ind w:left="115"/>
              <w:textAlignment w:val="baseline"/>
              <w:rPr>
                <w:rFonts w:eastAsia="Times New Roman"/>
                <w:b/>
                <w:bCs/>
                <w:szCs w:val="24"/>
              </w:rPr>
            </w:pPr>
            <w:r w:rsidRPr="0001776F">
              <w:rPr>
                <w:rFonts w:eastAsia="Times New Roman"/>
                <w:b/>
                <w:bCs/>
                <w:szCs w:val="24"/>
              </w:rPr>
              <w:t>Course of Action </w:t>
            </w:r>
          </w:p>
        </w:tc>
      </w:tr>
      <w:tr w:rsidR="00B6075E" w:rsidRPr="00FF3AD8" w14:paraId="38211D17" w14:textId="77777777" w:rsidTr="00406862">
        <w:trPr>
          <w:cantSplit/>
          <w:trHeight w:val="300"/>
        </w:trPr>
        <w:tc>
          <w:tcPr>
            <w:tcW w:w="2674" w:type="dxa"/>
            <w:tcBorders>
              <w:top w:val="single" w:sz="6" w:space="0" w:color="auto"/>
              <w:left w:val="single" w:sz="6" w:space="0" w:color="auto"/>
              <w:bottom w:val="single" w:sz="6" w:space="0" w:color="auto"/>
              <w:right w:val="single" w:sz="6" w:space="0" w:color="auto"/>
            </w:tcBorders>
            <w:vAlign w:val="center"/>
            <w:hideMark/>
          </w:tcPr>
          <w:p w14:paraId="619382DD"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AGR </w:t>
            </w:r>
          </w:p>
        </w:tc>
        <w:tc>
          <w:tcPr>
            <w:tcW w:w="1030" w:type="dxa"/>
            <w:tcBorders>
              <w:top w:val="single" w:sz="6" w:space="0" w:color="auto"/>
              <w:left w:val="single" w:sz="6" w:space="0" w:color="auto"/>
              <w:bottom w:val="single" w:sz="6" w:space="0" w:color="auto"/>
              <w:right w:val="single" w:sz="6" w:space="0" w:color="auto"/>
            </w:tcBorders>
            <w:vAlign w:val="center"/>
            <w:hideMark/>
          </w:tcPr>
          <w:p w14:paraId="73103438"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1 </w:t>
            </w:r>
          </w:p>
        </w:tc>
        <w:tc>
          <w:tcPr>
            <w:tcW w:w="5461" w:type="dxa"/>
            <w:tcBorders>
              <w:top w:val="single" w:sz="6" w:space="0" w:color="auto"/>
              <w:left w:val="single" w:sz="6" w:space="0" w:color="auto"/>
              <w:bottom w:val="single" w:sz="6" w:space="0" w:color="auto"/>
              <w:right w:val="single" w:sz="6" w:space="0" w:color="auto"/>
            </w:tcBorders>
            <w:vAlign w:val="center"/>
            <w:hideMark/>
          </w:tcPr>
          <w:p w14:paraId="4FB043AD"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Monitor RPU trend with additional H&amp;S (time permitting). Mission failure likely if RPU increases, report possible mission failure (uncovered target) to tasking authority and coordinate potential recovery options. </w:t>
            </w:r>
          </w:p>
        </w:tc>
      </w:tr>
      <w:tr w:rsidR="00B6075E" w:rsidRPr="00FF3AD8" w14:paraId="1F48A070" w14:textId="77777777" w:rsidTr="00406862">
        <w:trPr>
          <w:cantSplit/>
          <w:trHeight w:val="300"/>
        </w:trPr>
        <w:tc>
          <w:tcPr>
            <w:tcW w:w="2674" w:type="dxa"/>
            <w:tcBorders>
              <w:top w:val="single" w:sz="6" w:space="0" w:color="auto"/>
              <w:left w:val="single" w:sz="6" w:space="0" w:color="auto"/>
              <w:bottom w:val="single" w:sz="6" w:space="0" w:color="auto"/>
              <w:right w:val="single" w:sz="6" w:space="0" w:color="auto"/>
            </w:tcBorders>
            <w:vAlign w:val="center"/>
            <w:hideMark/>
          </w:tcPr>
          <w:p w14:paraId="6965BBA4"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Air Data Module </w:t>
            </w:r>
          </w:p>
        </w:tc>
        <w:tc>
          <w:tcPr>
            <w:tcW w:w="1030" w:type="dxa"/>
            <w:tcBorders>
              <w:top w:val="single" w:sz="6" w:space="0" w:color="auto"/>
              <w:left w:val="single" w:sz="6" w:space="0" w:color="auto"/>
              <w:bottom w:val="single" w:sz="6" w:space="0" w:color="auto"/>
              <w:right w:val="single" w:sz="6" w:space="0" w:color="auto"/>
            </w:tcBorders>
            <w:vAlign w:val="center"/>
            <w:hideMark/>
          </w:tcPr>
          <w:p w14:paraId="7EDC7CEF"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1 </w:t>
            </w:r>
          </w:p>
        </w:tc>
        <w:tc>
          <w:tcPr>
            <w:tcW w:w="5461" w:type="dxa"/>
            <w:tcBorders>
              <w:top w:val="single" w:sz="6" w:space="0" w:color="auto"/>
              <w:left w:val="single" w:sz="6" w:space="0" w:color="auto"/>
              <w:bottom w:val="single" w:sz="6" w:space="0" w:color="auto"/>
              <w:right w:val="single" w:sz="6" w:space="0" w:color="auto"/>
            </w:tcBorders>
            <w:vAlign w:val="center"/>
            <w:hideMark/>
          </w:tcPr>
          <w:p w14:paraId="6BB1CE6A"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Monitor RPU trend with additional H&amp;S (time permitting). Mission failure likely if RPU increases, report possible mission failure (uncovered target) to tasking authority and coordinate potential recovery options. </w:t>
            </w:r>
          </w:p>
        </w:tc>
      </w:tr>
      <w:tr w:rsidR="00B6075E" w:rsidRPr="00FF3AD8" w14:paraId="0E8011EF" w14:textId="77777777" w:rsidTr="00406862">
        <w:trPr>
          <w:cantSplit/>
          <w:trHeight w:val="300"/>
        </w:trPr>
        <w:tc>
          <w:tcPr>
            <w:tcW w:w="2674" w:type="dxa"/>
            <w:tcBorders>
              <w:top w:val="single" w:sz="6" w:space="0" w:color="auto"/>
              <w:left w:val="single" w:sz="6" w:space="0" w:color="auto"/>
              <w:bottom w:val="single" w:sz="6" w:space="0" w:color="auto"/>
              <w:right w:val="single" w:sz="6" w:space="0" w:color="auto"/>
            </w:tcBorders>
            <w:vAlign w:val="center"/>
            <w:hideMark/>
          </w:tcPr>
          <w:p w14:paraId="403F99C4"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GPS High Power </w:t>
            </w:r>
          </w:p>
        </w:tc>
        <w:tc>
          <w:tcPr>
            <w:tcW w:w="1030" w:type="dxa"/>
            <w:tcBorders>
              <w:top w:val="single" w:sz="6" w:space="0" w:color="auto"/>
              <w:left w:val="single" w:sz="6" w:space="0" w:color="auto"/>
              <w:bottom w:val="single" w:sz="6" w:space="0" w:color="auto"/>
              <w:right w:val="single" w:sz="6" w:space="0" w:color="auto"/>
            </w:tcBorders>
            <w:vAlign w:val="center"/>
            <w:hideMark/>
          </w:tcPr>
          <w:p w14:paraId="62FACD11"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1 </w:t>
            </w:r>
          </w:p>
        </w:tc>
        <w:tc>
          <w:tcPr>
            <w:tcW w:w="5461" w:type="dxa"/>
            <w:tcBorders>
              <w:top w:val="single" w:sz="6" w:space="0" w:color="auto"/>
              <w:left w:val="single" w:sz="6" w:space="0" w:color="auto"/>
              <w:bottom w:val="single" w:sz="6" w:space="0" w:color="auto"/>
              <w:right w:val="single" w:sz="6" w:space="0" w:color="auto"/>
            </w:tcBorders>
            <w:vAlign w:val="center"/>
            <w:hideMark/>
          </w:tcPr>
          <w:p w14:paraId="4A99EF59"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Monitor RPU trend with additional H&amp;S (time permitting). Mission failure likely if RPU increases, report possible mission failure (uncovered target) to tasking authority and coordinate potential recovery options. </w:t>
            </w:r>
          </w:p>
        </w:tc>
      </w:tr>
      <w:tr w:rsidR="00B6075E" w:rsidRPr="00FF3AD8" w14:paraId="2D635550" w14:textId="77777777" w:rsidTr="00406862">
        <w:trPr>
          <w:cantSplit/>
          <w:trHeight w:val="300"/>
        </w:trPr>
        <w:tc>
          <w:tcPr>
            <w:tcW w:w="2674" w:type="dxa"/>
            <w:tcBorders>
              <w:top w:val="single" w:sz="6" w:space="0" w:color="auto"/>
              <w:left w:val="single" w:sz="6" w:space="0" w:color="auto"/>
              <w:bottom w:val="single" w:sz="6" w:space="0" w:color="auto"/>
              <w:right w:val="single" w:sz="6" w:space="0" w:color="auto"/>
            </w:tcBorders>
            <w:vAlign w:val="center"/>
            <w:hideMark/>
          </w:tcPr>
          <w:p w14:paraId="623CC72D"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GPS Not Providing Updates </w:t>
            </w:r>
          </w:p>
        </w:tc>
        <w:tc>
          <w:tcPr>
            <w:tcW w:w="1030" w:type="dxa"/>
            <w:tcBorders>
              <w:top w:val="single" w:sz="6" w:space="0" w:color="auto"/>
              <w:left w:val="single" w:sz="6" w:space="0" w:color="auto"/>
              <w:bottom w:val="single" w:sz="6" w:space="0" w:color="auto"/>
              <w:right w:val="single" w:sz="6" w:space="0" w:color="auto"/>
            </w:tcBorders>
            <w:vAlign w:val="center"/>
            <w:hideMark/>
          </w:tcPr>
          <w:p w14:paraId="50B202E1"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1 </w:t>
            </w:r>
          </w:p>
        </w:tc>
        <w:tc>
          <w:tcPr>
            <w:tcW w:w="5461" w:type="dxa"/>
            <w:tcBorders>
              <w:top w:val="single" w:sz="6" w:space="0" w:color="auto"/>
              <w:left w:val="single" w:sz="6" w:space="0" w:color="auto"/>
              <w:bottom w:val="single" w:sz="6" w:space="0" w:color="auto"/>
              <w:right w:val="single" w:sz="6" w:space="0" w:color="auto"/>
            </w:tcBorders>
            <w:vAlign w:val="center"/>
            <w:hideMark/>
          </w:tcPr>
          <w:p w14:paraId="58256367"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Monitor RPU trend with additional H&amp;S (time permitting). Mission failure likely if RPU increases, report possible mission failure (uncovered target) to tasking authority and coordinate potential recovery options. </w:t>
            </w:r>
          </w:p>
        </w:tc>
      </w:tr>
      <w:tr w:rsidR="00B6075E" w:rsidRPr="00FF3AD8" w14:paraId="3D02B945" w14:textId="77777777" w:rsidTr="00406862">
        <w:trPr>
          <w:cantSplit/>
          <w:trHeight w:val="300"/>
        </w:trPr>
        <w:tc>
          <w:tcPr>
            <w:tcW w:w="2674" w:type="dxa"/>
            <w:tcBorders>
              <w:top w:val="single" w:sz="6" w:space="0" w:color="auto"/>
              <w:left w:val="single" w:sz="6" w:space="0" w:color="auto"/>
              <w:bottom w:val="single" w:sz="6" w:space="0" w:color="auto"/>
              <w:right w:val="single" w:sz="6" w:space="0" w:color="auto"/>
            </w:tcBorders>
            <w:vAlign w:val="center"/>
            <w:hideMark/>
          </w:tcPr>
          <w:p w14:paraId="56CCB14F"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lastRenderedPageBreak/>
              <w:t>Guidance Processor </w:t>
            </w:r>
          </w:p>
        </w:tc>
        <w:tc>
          <w:tcPr>
            <w:tcW w:w="1030" w:type="dxa"/>
            <w:tcBorders>
              <w:top w:val="single" w:sz="6" w:space="0" w:color="auto"/>
              <w:left w:val="single" w:sz="6" w:space="0" w:color="auto"/>
              <w:bottom w:val="single" w:sz="6" w:space="0" w:color="auto"/>
              <w:right w:val="single" w:sz="6" w:space="0" w:color="auto"/>
            </w:tcBorders>
            <w:vAlign w:val="center"/>
            <w:hideMark/>
          </w:tcPr>
          <w:p w14:paraId="05BAF5F9"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1 </w:t>
            </w:r>
          </w:p>
        </w:tc>
        <w:tc>
          <w:tcPr>
            <w:tcW w:w="5461" w:type="dxa"/>
            <w:tcBorders>
              <w:top w:val="single" w:sz="6" w:space="0" w:color="auto"/>
              <w:left w:val="single" w:sz="6" w:space="0" w:color="auto"/>
              <w:bottom w:val="single" w:sz="6" w:space="0" w:color="auto"/>
              <w:right w:val="single" w:sz="6" w:space="0" w:color="auto"/>
            </w:tcBorders>
            <w:vAlign w:val="center"/>
            <w:hideMark/>
          </w:tcPr>
          <w:p w14:paraId="707B15DD"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Monitor RPU trend with additional H&amp;S (time permitting). Mission failure likely if RPU increases, report possible mission failure (uncovered target) to tasking authority and coordinate potential recovery options. </w:t>
            </w:r>
          </w:p>
        </w:tc>
      </w:tr>
      <w:tr w:rsidR="00B6075E" w:rsidRPr="00FF3AD8" w14:paraId="4A981B1F" w14:textId="77777777" w:rsidTr="00406862">
        <w:trPr>
          <w:cantSplit/>
          <w:trHeight w:val="300"/>
        </w:trPr>
        <w:tc>
          <w:tcPr>
            <w:tcW w:w="2674" w:type="dxa"/>
            <w:tcBorders>
              <w:top w:val="single" w:sz="6" w:space="0" w:color="auto"/>
              <w:left w:val="single" w:sz="6" w:space="0" w:color="auto"/>
              <w:bottom w:val="single" w:sz="6" w:space="0" w:color="auto"/>
              <w:right w:val="single" w:sz="6" w:space="0" w:color="auto"/>
            </w:tcBorders>
            <w:vAlign w:val="center"/>
            <w:hideMark/>
          </w:tcPr>
          <w:p w14:paraId="2C8A5AD1"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IMU </w:t>
            </w:r>
          </w:p>
        </w:tc>
        <w:tc>
          <w:tcPr>
            <w:tcW w:w="1030" w:type="dxa"/>
            <w:tcBorders>
              <w:top w:val="single" w:sz="6" w:space="0" w:color="auto"/>
              <w:left w:val="single" w:sz="6" w:space="0" w:color="auto"/>
              <w:bottom w:val="single" w:sz="6" w:space="0" w:color="auto"/>
              <w:right w:val="single" w:sz="6" w:space="0" w:color="auto"/>
            </w:tcBorders>
            <w:vAlign w:val="center"/>
            <w:hideMark/>
          </w:tcPr>
          <w:p w14:paraId="52CADA18"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1 </w:t>
            </w:r>
          </w:p>
        </w:tc>
        <w:tc>
          <w:tcPr>
            <w:tcW w:w="5461" w:type="dxa"/>
            <w:tcBorders>
              <w:top w:val="single" w:sz="6" w:space="0" w:color="auto"/>
              <w:left w:val="single" w:sz="6" w:space="0" w:color="auto"/>
              <w:bottom w:val="single" w:sz="6" w:space="0" w:color="auto"/>
              <w:right w:val="single" w:sz="6" w:space="0" w:color="auto"/>
            </w:tcBorders>
            <w:vAlign w:val="center"/>
            <w:hideMark/>
          </w:tcPr>
          <w:p w14:paraId="4B1DA036"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Monitor RPU trend with additional H&amp;S (time permitting). Mission failure likely if RPU increases, report possible mission failure (uncovered target) to tasking authority and coordinate potential recovery options. </w:t>
            </w:r>
          </w:p>
        </w:tc>
      </w:tr>
      <w:tr w:rsidR="00B6075E" w:rsidRPr="00FF3AD8" w14:paraId="6DAD28D1" w14:textId="77777777" w:rsidTr="00406862">
        <w:trPr>
          <w:cantSplit/>
          <w:trHeight w:val="300"/>
        </w:trPr>
        <w:tc>
          <w:tcPr>
            <w:tcW w:w="2674" w:type="dxa"/>
            <w:tcBorders>
              <w:top w:val="single" w:sz="6" w:space="0" w:color="auto"/>
              <w:left w:val="single" w:sz="6" w:space="0" w:color="auto"/>
              <w:bottom w:val="single" w:sz="6" w:space="0" w:color="auto"/>
              <w:right w:val="single" w:sz="6" w:space="0" w:color="auto"/>
            </w:tcBorders>
            <w:vAlign w:val="center"/>
            <w:hideMark/>
          </w:tcPr>
          <w:p w14:paraId="4855567E"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Invalid Branch Change </w:t>
            </w:r>
          </w:p>
        </w:tc>
        <w:tc>
          <w:tcPr>
            <w:tcW w:w="1030" w:type="dxa"/>
            <w:tcBorders>
              <w:top w:val="single" w:sz="6" w:space="0" w:color="auto"/>
              <w:left w:val="single" w:sz="6" w:space="0" w:color="auto"/>
              <w:bottom w:val="single" w:sz="6" w:space="0" w:color="auto"/>
              <w:right w:val="single" w:sz="6" w:space="0" w:color="auto"/>
            </w:tcBorders>
            <w:vAlign w:val="center"/>
            <w:hideMark/>
          </w:tcPr>
          <w:p w14:paraId="0CE3FEA3"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3 </w:t>
            </w:r>
          </w:p>
        </w:tc>
        <w:tc>
          <w:tcPr>
            <w:tcW w:w="5461" w:type="dxa"/>
            <w:tcBorders>
              <w:top w:val="single" w:sz="6" w:space="0" w:color="auto"/>
              <w:left w:val="single" w:sz="6" w:space="0" w:color="auto"/>
              <w:bottom w:val="single" w:sz="6" w:space="0" w:color="auto"/>
              <w:right w:val="single" w:sz="6" w:space="0" w:color="auto"/>
            </w:tcBorders>
            <w:vAlign w:val="center"/>
            <w:hideMark/>
          </w:tcPr>
          <w:p w14:paraId="21AC650B" w14:textId="70F5EE53"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Time permitting, regenerate and send new redirection segment. </w:t>
            </w:r>
            <w:r w:rsidRPr="00A0163E">
              <w:rPr>
                <w:rFonts w:eastAsia="Times New Roman"/>
                <w:color w:val="000000"/>
                <w:sz w:val="20"/>
              </w:rPr>
              <w:br/>
              <w:t xml:space="preserve">Consider optional redirection </w:t>
            </w:r>
            <w:r w:rsidR="00E46D1E" w:rsidRPr="00A0163E">
              <w:rPr>
                <w:rFonts w:eastAsia="Times New Roman"/>
                <w:color w:val="000000"/>
                <w:sz w:val="20"/>
              </w:rPr>
              <w:t>candidates or</w:t>
            </w:r>
            <w:r w:rsidRPr="00A0163E">
              <w:rPr>
                <w:rFonts w:eastAsia="Times New Roman"/>
                <w:color w:val="000000"/>
                <w:sz w:val="20"/>
              </w:rPr>
              <w:t xml:space="preserve"> report possible mission failure (uncovered target) to tasking authority and coordinate potential recovery actions. </w:t>
            </w:r>
          </w:p>
        </w:tc>
      </w:tr>
      <w:tr w:rsidR="00B6075E" w:rsidRPr="00FF3AD8" w14:paraId="182BACD2" w14:textId="77777777" w:rsidTr="00406862">
        <w:trPr>
          <w:cantSplit/>
          <w:trHeight w:val="300"/>
        </w:trPr>
        <w:tc>
          <w:tcPr>
            <w:tcW w:w="2674" w:type="dxa"/>
            <w:tcBorders>
              <w:top w:val="single" w:sz="6" w:space="0" w:color="auto"/>
              <w:left w:val="single" w:sz="6" w:space="0" w:color="auto"/>
              <w:bottom w:val="single" w:sz="6" w:space="0" w:color="auto"/>
              <w:right w:val="single" w:sz="6" w:space="0" w:color="auto"/>
            </w:tcBorders>
            <w:vAlign w:val="center"/>
            <w:hideMark/>
          </w:tcPr>
          <w:p w14:paraId="2703C141"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PST Failure </w:t>
            </w:r>
          </w:p>
        </w:tc>
        <w:tc>
          <w:tcPr>
            <w:tcW w:w="1030" w:type="dxa"/>
            <w:tcBorders>
              <w:top w:val="single" w:sz="6" w:space="0" w:color="auto"/>
              <w:left w:val="single" w:sz="6" w:space="0" w:color="auto"/>
              <w:bottom w:val="single" w:sz="6" w:space="0" w:color="auto"/>
              <w:right w:val="single" w:sz="6" w:space="0" w:color="auto"/>
            </w:tcBorders>
            <w:vAlign w:val="center"/>
            <w:hideMark/>
          </w:tcPr>
          <w:p w14:paraId="5619A0AC"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2 </w:t>
            </w:r>
          </w:p>
        </w:tc>
        <w:tc>
          <w:tcPr>
            <w:tcW w:w="5461" w:type="dxa"/>
            <w:tcBorders>
              <w:top w:val="single" w:sz="6" w:space="0" w:color="auto"/>
              <w:left w:val="single" w:sz="6" w:space="0" w:color="auto"/>
              <w:bottom w:val="single" w:sz="6" w:space="0" w:color="auto"/>
              <w:right w:val="single" w:sz="6" w:space="0" w:color="auto"/>
            </w:tcBorders>
            <w:vAlign w:val="center"/>
            <w:hideMark/>
          </w:tcPr>
          <w:p w14:paraId="3035B9F5"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Prior to FPPWP, missile failure; report uncovered target. If post FPPWP, monitor RPU trend with additional H&amp;S (time permitting). Mission failure likely if RPU increases, report possible mission failure (uncovered target) to tasking authority and coordinate potential recovery options. </w:t>
            </w:r>
          </w:p>
        </w:tc>
      </w:tr>
      <w:tr w:rsidR="00B6075E" w:rsidRPr="00FF3AD8" w14:paraId="39D1BECC" w14:textId="77777777" w:rsidTr="00406862">
        <w:trPr>
          <w:cantSplit/>
          <w:trHeight w:val="300"/>
        </w:trPr>
        <w:tc>
          <w:tcPr>
            <w:tcW w:w="2674" w:type="dxa"/>
            <w:tcBorders>
              <w:top w:val="single" w:sz="6" w:space="0" w:color="auto"/>
              <w:left w:val="single" w:sz="6" w:space="0" w:color="auto"/>
              <w:bottom w:val="single" w:sz="6" w:space="0" w:color="auto"/>
              <w:right w:val="single" w:sz="6" w:space="0" w:color="auto"/>
            </w:tcBorders>
            <w:vAlign w:val="center"/>
            <w:hideMark/>
          </w:tcPr>
          <w:p w14:paraId="5E91AC55"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Radar Altimeter </w:t>
            </w:r>
          </w:p>
        </w:tc>
        <w:tc>
          <w:tcPr>
            <w:tcW w:w="1030" w:type="dxa"/>
            <w:tcBorders>
              <w:top w:val="single" w:sz="6" w:space="0" w:color="auto"/>
              <w:left w:val="single" w:sz="6" w:space="0" w:color="auto"/>
              <w:bottom w:val="single" w:sz="6" w:space="0" w:color="auto"/>
              <w:right w:val="single" w:sz="6" w:space="0" w:color="auto"/>
            </w:tcBorders>
            <w:vAlign w:val="center"/>
            <w:hideMark/>
          </w:tcPr>
          <w:p w14:paraId="158D33FD"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1 </w:t>
            </w:r>
          </w:p>
        </w:tc>
        <w:tc>
          <w:tcPr>
            <w:tcW w:w="5461" w:type="dxa"/>
            <w:tcBorders>
              <w:top w:val="single" w:sz="6" w:space="0" w:color="auto"/>
              <w:left w:val="single" w:sz="6" w:space="0" w:color="auto"/>
              <w:bottom w:val="single" w:sz="6" w:space="0" w:color="auto"/>
              <w:right w:val="single" w:sz="6" w:space="0" w:color="auto"/>
            </w:tcBorders>
            <w:vAlign w:val="center"/>
            <w:hideMark/>
          </w:tcPr>
          <w:p w14:paraId="65103518" w14:textId="77777777" w:rsidR="00B6075E" w:rsidRPr="00A0163E" w:rsidRDefault="00B6075E" w:rsidP="00D06C3E">
            <w:pPr>
              <w:spacing w:before="60" w:after="60" w:line="240" w:lineRule="auto"/>
              <w:ind w:left="115"/>
              <w:textAlignment w:val="baseline"/>
              <w:rPr>
                <w:rFonts w:eastAsia="Times New Roman"/>
                <w:sz w:val="20"/>
              </w:rPr>
            </w:pPr>
            <w:r w:rsidRPr="00A0163E">
              <w:rPr>
                <w:rFonts w:eastAsia="Times New Roman"/>
                <w:color w:val="000000"/>
                <w:sz w:val="20"/>
              </w:rPr>
              <w:t>Monitor RPU trend with additional H&amp;S (time permitting). Mission failure likely if RPU increases, report possible mission failure (uncovered target) to tasking authority and coordinate potential recovery options. </w:t>
            </w:r>
          </w:p>
        </w:tc>
      </w:tr>
      <w:tr w:rsidR="00A74052" w:rsidRPr="00FF3AD8" w14:paraId="6B8F5166" w14:textId="77777777" w:rsidTr="00406862">
        <w:trPr>
          <w:cantSplit/>
          <w:trHeight w:val="300"/>
        </w:trPr>
        <w:tc>
          <w:tcPr>
            <w:tcW w:w="2674" w:type="dxa"/>
            <w:tcBorders>
              <w:top w:val="single" w:sz="6" w:space="0" w:color="auto"/>
              <w:left w:val="single" w:sz="6" w:space="0" w:color="auto"/>
              <w:bottom w:val="single" w:sz="6" w:space="0" w:color="auto"/>
              <w:right w:val="single" w:sz="6" w:space="0" w:color="auto"/>
            </w:tcBorders>
            <w:vAlign w:val="center"/>
          </w:tcPr>
          <w:p w14:paraId="491D7CB0" w14:textId="0B45133F" w:rsidR="00A74052" w:rsidRPr="00A0163E" w:rsidRDefault="00A74052" w:rsidP="00A0163E">
            <w:pPr>
              <w:keepNext/>
              <w:keepLines/>
              <w:spacing w:before="60" w:after="60" w:line="240" w:lineRule="auto"/>
              <w:ind w:left="115"/>
              <w:textAlignment w:val="baseline"/>
              <w:rPr>
                <w:rFonts w:eastAsia="Times New Roman"/>
                <w:color w:val="000000"/>
                <w:sz w:val="20"/>
              </w:rPr>
            </w:pPr>
            <w:r w:rsidRPr="00A0163E">
              <w:rPr>
                <w:rFonts w:eastAsia="Times New Roman"/>
                <w:color w:val="000000"/>
                <w:sz w:val="20"/>
              </w:rPr>
              <w:t>JMEWS Fuze Fail (109M only)</w:t>
            </w:r>
          </w:p>
        </w:tc>
        <w:tc>
          <w:tcPr>
            <w:tcW w:w="1030" w:type="dxa"/>
            <w:tcBorders>
              <w:top w:val="single" w:sz="6" w:space="0" w:color="auto"/>
              <w:left w:val="single" w:sz="6" w:space="0" w:color="auto"/>
              <w:bottom w:val="single" w:sz="6" w:space="0" w:color="auto"/>
              <w:right w:val="single" w:sz="6" w:space="0" w:color="auto"/>
            </w:tcBorders>
            <w:vAlign w:val="center"/>
          </w:tcPr>
          <w:p w14:paraId="0B454854" w14:textId="74000584" w:rsidR="00A74052" w:rsidRPr="00A0163E" w:rsidRDefault="00A74052" w:rsidP="00A0163E">
            <w:pPr>
              <w:keepNext/>
              <w:keepLines/>
              <w:spacing w:before="60" w:after="60" w:line="240" w:lineRule="auto"/>
              <w:ind w:left="115"/>
              <w:textAlignment w:val="baseline"/>
              <w:rPr>
                <w:rFonts w:eastAsia="Times New Roman"/>
                <w:color w:val="000000"/>
                <w:sz w:val="20"/>
              </w:rPr>
            </w:pPr>
            <w:r w:rsidRPr="00A0163E">
              <w:rPr>
                <w:rFonts w:eastAsia="Times New Roman"/>
                <w:color w:val="000000"/>
                <w:sz w:val="20"/>
              </w:rPr>
              <w:t>4</w:t>
            </w:r>
          </w:p>
        </w:tc>
        <w:tc>
          <w:tcPr>
            <w:tcW w:w="5461" w:type="dxa"/>
            <w:tcBorders>
              <w:top w:val="single" w:sz="6" w:space="0" w:color="auto"/>
              <w:left w:val="single" w:sz="6" w:space="0" w:color="auto"/>
              <w:bottom w:val="single" w:sz="6" w:space="0" w:color="auto"/>
              <w:right w:val="single" w:sz="6" w:space="0" w:color="auto"/>
            </w:tcBorders>
            <w:vAlign w:val="center"/>
          </w:tcPr>
          <w:p w14:paraId="7BF47090" w14:textId="3FE08A8B" w:rsidR="00A74052" w:rsidRPr="00A0163E" w:rsidRDefault="00A74052" w:rsidP="00A0163E">
            <w:pPr>
              <w:keepNext/>
              <w:keepLines/>
              <w:spacing w:before="60" w:after="60" w:line="240" w:lineRule="auto"/>
              <w:ind w:left="115"/>
              <w:textAlignment w:val="baseline"/>
              <w:rPr>
                <w:rFonts w:eastAsia="Times New Roman"/>
                <w:color w:val="000000"/>
                <w:sz w:val="20"/>
              </w:rPr>
            </w:pPr>
            <w:r w:rsidRPr="00A0163E">
              <w:rPr>
                <w:rFonts w:eastAsia="Times New Roman"/>
                <w:sz w:val="20"/>
              </w:rPr>
              <w:t>Missile unlikely to achieve target damage effects. Report probable mission failure (uncovered target) to tasking authority and coordinate potential recovery options. Consider redirecting affected missile to a ground dump point.”</w:t>
            </w:r>
          </w:p>
        </w:tc>
      </w:tr>
    </w:tbl>
    <w:p w14:paraId="3E917339" w14:textId="77777777" w:rsidR="00B6075E" w:rsidRPr="00D06BB8" w:rsidRDefault="00B6075E" w:rsidP="006D5A65">
      <w:pPr>
        <w:pStyle w:val="Heading1"/>
      </w:pPr>
      <w:r w:rsidRPr="00D06BB8">
        <w:t>ENROUTE INFO:</w:t>
      </w:r>
    </w:p>
    <w:p w14:paraId="6CFE26C0" w14:textId="343F5E48" w:rsidR="00B6075E" w:rsidRPr="00D06BB8" w:rsidRDefault="00B6075E" w:rsidP="006D5A65">
      <w:pPr>
        <w:pStyle w:val="Heading2"/>
      </w:pPr>
      <w:r w:rsidRPr="00D06BB8">
        <w:t xml:space="preserve">Branch ID </w:t>
      </w:r>
      <w:r w:rsidR="00FF3AD8" w:rsidRPr="00D06BB8">
        <w:t>–</w:t>
      </w:r>
      <w:r w:rsidRPr="00D06BB8">
        <w:t xml:space="preserve"> Branch IDs are a numbering scheme used for the Primary Route (which is always Branch ID 0) and each of the Flex Routes in a 109E mission. Due to the manner in which retarget segments of the mission are constructed, stored, and executed by the missile, the missile will not update the Branch ID until the missile is actually on the new mission branch (has departed the previous branch).</w:t>
      </w:r>
    </w:p>
    <w:p w14:paraId="6D2173CE" w14:textId="77777777" w:rsidR="00B6075E" w:rsidRPr="00D06BB8" w:rsidRDefault="00B6075E" w:rsidP="006D5A65">
      <w:pPr>
        <w:pStyle w:val="Heading2"/>
      </w:pPr>
      <w:r w:rsidRPr="00D06BB8">
        <w:t>Mission ID – Self-explanatory.</w:t>
      </w:r>
    </w:p>
    <w:p w14:paraId="3764A0F2" w14:textId="77777777" w:rsidR="00B6075E" w:rsidRPr="00D06BB8" w:rsidRDefault="00B6075E" w:rsidP="006D5A65">
      <w:pPr>
        <w:pStyle w:val="Heading2"/>
      </w:pPr>
      <w:r w:rsidRPr="00D06BB8">
        <w:t xml:space="preserve">Fuel Used </w:t>
      </w:r>
      <w:r w:rsidRPr="00D06BB8">
        <w:rPr>
          <w:bCs/>
        </w:rPr>
        <w:t>(range 0 – 2000 pounds)</w:t>
      </w:r>
      <w:r w:rsidRPr="00D06BB8">
        <w:t xml:space="preserve"> – The amount of fuel the missile has used.</w:t>
      </w:r>
    </w:p>
    <w:p w14:paraId="2A7F282D" w14:textId="77777777" w:rsidR="00B6075E" w:rsidRPr="00D06BB8" w:rsidRDefault="00B6075E" w:rsidP="006D5A65">
      <w:pPr>
        <w:pStyle w:val="Heading2"/>
      </w:pPr>
      <w:r w:rsidRPr="00D06BB8">
        <w:t>Nominal Range Remaining (nm) – How much further the missile can travel.</w:t>
      </w:r>
    </w:p>
    <w:p w14:paraId="6B350C07" w14:textId="77777777" w:rsidR="00B6075E" w:rsidRPr="00D06BB8" w:rsidRDefault="00B6075E" w:rsidP="006D5A65">
      <w:pPr>
        <w:pStyle w:val="Heading2"/>
      </w:pPr>
      <w:r w:rsidRPr="00D06BB8">
        <w:t>Last Action Point Passed – Index of last action point passed, or zero if none.</w:t>
      </w:r>
    </w:p>
    <w:p w14:paraId="6D1B65E5" w14:textId="77777777" w:rsidR="00B6075E" w:rsidRPr="00D06BB8" w:rsidRDefault="00B6075E" w:rsidP="006D5A65">
      <w:pPr>
        <w:pStyle w:val="Heading2"/>
      </w:pPr>
      <w:r w:rsidRPr="00D06BB8">
        <w:lastRenderedPageBreak/>
        <w:t>Radial Point Uncertainty (range 0-2000 ft) – Probable missile position error, expressed as a radius in a sphere.</w:t>
      </w:r>
    </w:p>
    <w:p w14:paraId="4F20FE0C" w14:textId="77777777" w:rsidR="00B6075E" w:rsidRPr="00D06BB8" w:rsidRDefault="00B6075E" w:rsidP="006D5A65">
      <w:pPr>
        <w:pStyle w:val="Heading1"/>
      </w:pPr>
      <w:r w:rsidRPr="00D06BB8">
        <w:t>TARGET INFO:</w:t>
      </w:r>
    </w:p>
    <w:p w14:paraId="3FBEF5F0" w14:textId="77777777" w:rsidR="00B6075E" w:rsidRPr="00D06BB8" w:rsidRDefault="00B6075E" w:rsidP="006D5A65">
      <w:pPr>
        <w:pStyle w:val="Heading2"/>
      </w:pPr>
      <w:r w:rsidRPr="00D06BB8">
        <w:t>BE – Basic Encyclopedia Number. ID for Target.</w:t>
      </w:r>
    </w:p>
    <w:p w14:paraId="1BEDE164" w14:textId="77777777" w:rsidR="00B6075E" w:rsidRPr="00D06BB8" w:rsidRDefault="00B6075E" w:rsidP="006D5A65">
      <w:pPr>
        <w:pStyle w:val="Heading2"/>
      </w:pPr>
      <w:r w:rsidRPr="00D06BB8">
        <w:t>JDPI – Joint Designated Point of Impact Identifier. ID for Target.</w:t>
      </w:r>
    </w:p>
    <w:p w14:paraId="0FEC6DB5" w14:textId="77777777" w:rsidR="00B6075E" w:rsidRPr="00D06BB8" w:rsidRDefault="00B6075E" w:rsidP="006D5A65">
      <w:pPr>
        <w:pStyle w:val="Heading2"/>
      </w:pPr>
      <w:r w:rsidRPr="00D06BB8">
        <w:t>TTN – Tactical Target Number. ID for Target.</w:t>
      </w:r>
    </w:p>
    <w:p w14:paraId="7C396AF4" w14:textId="77777777" w:rsidR="00B6075E" w:rsidRPr="00D06BB8" w:rsidRDefault="00B6075E" w:rsidP="006D5A65">
      <w:pPr>
        <w:pStyle w:val="Heading2"/>
      </w:pPr>
      <w:r w:rsidRPr="00D06BB8">
        <w:t>Aimpoint – Used in conjunction with BE to identify the point desired for intended interaction of the warhead with a target element.</w:t>
      </w:r>
    </w:p>
    <w:p w14:paraId="41C9074E" w14:textId="77777777" w:rsidR="00B6075E" w:rsidRPr="00D06BB8" w:rsidRDefault="00B6075E" w:rsidP="006D5A65">
      <w:pPr>
        <w:pStyle w:val="Heading2"/>
      </w:pPr>
      <w:r w:rsidRPr="00D06BB8">
        <w:t>Current TGT Latitude/Longitude – Current</w:t>
      </w:r>
      <w:r w:rsidRPr="00D06BB8">
        <w:rPr>
          <w:lang w:val="fr-FR"/>
        </w:rPr>
        <w:t xml:space="preserve"> target latitude/longitude.</w:t>
      </w:r>
    </w:p>
    <w:p w14:paraId="582A0E21" w14:textId="77777777" w:rsidR="00B6075E" w:rsidRPr="00D06BB8" w:rsidRDefault="00B6075E" w:rsidP="006D5A65">
      <w:pPr>
        <w:pStyle w:val="Heading2"/>
      </w:pPr>
      <w:r w:rsidRPr="00D06BB8">
        <w:t>BDI H&amp;S Checkbox – Indicates if the missile will send a BDI H&amp;S.</w:t>
      </w:r>
    </w:p>
    <w:p w14:paraId="606CFD2D" w14:textId="7E10B144" w:rsidR="00B6075E" w:rsidRPr="00D06BB8" w:rsidRDefault="00B6075E" w:rsidP="006D5A65">
      <w:pPr>
        <w:pStyle w:val="Heading2"/>
      </w:pPr>
      <w:r w:rsidRPr="00D06BB8">
        <w:rPr>
          <w:bCs/>
        </w:rPr>
        <w:t>Circular Error Probable (ft) (BDI H&amp;S Message Only)</w:t>
      </w:r>
      <w:r w:rsidRPr="00D06BB8">
        <w:t xml:space="preserve"> – Identifies the radius of a circle that the missile should arrive in 50% of the time.</w:t>
      </w:r>
    </w:p>
    <w:p w14:paraId="5039847C" w14:textId="77777777" w:rsidR="00B6075E" w:rsidRDefault="00B6075E" w:rsidP="00B6075E">
      <w:pPr>
        <w:pStyle w:val="BodyTextIndent2"/>
        <w:spacing w:line="240" w:lineRule="auto"/>
        <w:ind w:left="0"/>
      </w:pPr>
      <w:r w:rsidRPr="00331D4F">
        <w:t xml:space="preserve">The “Raw Data” button in each H&amp;S opens a detailed message which reflects the health and status of the missile. The Raw Data </w:t>
      </w:r>
      <w:r>
        <w:t xml:space="preserve">information </w:t>
      </w:r>
      <w:r w:rsidRPr="00331D4F">
        <w:t>is of minimal operational use</w:t>
      </w:r>
      <w:r>
        <w:t xml:space="preserve"> and should be used for informational purposes only. </w:t>
      </w:r>
    </w:p>
    <w:bookmarkEnd w:id="6992"/>
    <w:p w14:paraId="499C5A6B" w14:textId="2AF10E8A" w:rsidR="00B6075E" w:rsidRDefault="00BE2D5F" w:rsidP="001F4B14">
      <w:pPr>
        <w:pStyle w:val="BodyTextIndent2"/>
        <w:spacing w:line="240" w:lineRule="auto"/>
        <w:ind w:left="0"/>
        <w:jc w:val="center"/>
        <w:rPr>
          <w:noProof/>
        </w:rPr>
      </w:pPr>
      <w:r w:rsidRPr="00BB4EBE">
        <w:rPr>
          <w:b/>
          <w:bCs/>
          <w:noProof/>
          <w:color w:val="FF0000"/>
        </w:rPr>
        <w:drawing>
          <wp:inline distT="0" distB="0" distL="0" distR="0" wp14:anchorId="1039F732" wp14:editId="1E3609DC">
            <wp:extent cx="4572000" cy="2825021"/>
            <wp:effectExtent l="0" t="0" r="0" b="0"/>
            <wp:docPr id="50040337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03376" name="Picture 6" descr="Graphical user interface, application&#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583103" cy="2831881"/>
                    </a:xfrm>
                    <a:prstGeom prst="rect">
                      <a:avLst/>
                    </a:prstGeom>
                    <a:noFill/>
                    <a:ln>
                      <a:noFill/>
                    </a:ln>
                  </pic:spPr>
                </pic:pic>
              </a:graphicData>
            </a:graphic>
          </wp:inline>
        </w:drawing>
      </w:r>
    </w:p>
    <w:p w14:paraId="3861D2A2" w14:textId="38CDD4F1" w:rsidR="008766E0" w:rsidRPr="000665B0" w:rsidRDefault="00B6075E" w:rsidP="006D5A65">
      <w:pPr>
        <w:pStyle w:val="Heading1"/>
      </w:pPr>
      <w:r>
        <w:lastRenderedPageBreak/>
        <w:t xml:space="preserve">The Raw Data Button for </w:t>
      </w:r>
      <w:r w:rsidRPr="00AC0373">
        <w:t>H&amp;S</w:t>
      </w:r>
      <w:r>
        <w:t xml:space="preserve"> messages contains the following fields: </w:t>
      </w:r>
      <w:bookmarkStart w:id="6993" w:name="_5.39.10__IMMM_Log"/>
      <w:bookmarkStart w:id="6994" w:name="_5.39.10__IMMM"/>
      <w:bookmarkEnd w:id="6993"/>
      <w:bookmarkEnd w:id="6994"/>
      <w:r w:rsidR="008766E0" w:rsidRPr="000665B0">
        <w:t>Missile Data:</w:t>
      </w:r>
    </w:p>
    <w:p w14:paraId="1BDA5616" w14:textId="77777777" w:rsidR="008766E0" w:rsidRPr="000665B0" w:rsidRDefault="008766E0" w:rsidP="006D5A65">
      <w:pPr>
        <w:pStyle w:val="Heading1"/>
      </w:pPr>
      <w:r w:rsidRPr="000665B0">
        <w:t>Missile Subscriber ID (range 1 – 65535) – Used to identify which missile authored this message.</w:t>
      </w:r>
    </w:p>
    <w:p w14:paraId="22255D8A" w14:textId="25C4C7C9" w:rsidR="008766E0" w:rsidRPr="000665B0" w:rsidRDefault="008766E0" w:rsidP="006D5A65">
      <w:pPr>
        <w:pStyle w:val="Heading1"/>
      </w:pPr>
      <w:r w:rsidRPr="000665B0">
        <w:t xml:space="preserve">Missile Sequence Number (4 digits) – This is not part of the H&amp;S message </w:t>
      </w:r>
      <w:r w:rsidR="00E46D1E" w:rsidRPr="000665B0">
        <w:t>itself but</w:t>
      </w:r>
      <w:r w:rsidRPr="000665B0">
        <w:t xml:space="preserve"> is derived by using the missile subscriber ID from the message in context with strikes currently in rehearsal.</w:t>
      </w:r>
    </w:p>
    <w:p w14:paraId="0E823EEB" w14:textId="77777777" w:rsidR="008766E0" w:rsidRPr="000665B0" w:rsidRDefault="008766E0" w:rsidP="006D5A65">
      <w:pPr>
        <w:pStyle w:val="Heading1"/>
      </w:pPr>
      <w:r w:rsidRPr="000665B0">
        <w:t>Data Valid Time – GMT time tag for message parameters.</w:t>
      </w:r>
    </w:p>
    <w:p w14:paraId="35B4714C" w14:textId="77777777" w:rsidR="008766E0" w:rsidRPr="000665B0" w:rsidRDefault="008766E0" w:rsidP="006D5A65">
      <w:pPr>
        <w:pStyle w:val="Heading1"/>
      </w:pPr>
      <w:r w:rsidRPr="000665B0">
        <w:t>Last IMMM Received (range 001 – 255) – The Message Sequence Number from the last IMMM message successfully received by the missile.</w:t>
      </w:r>
    </w:p>
    <w:p w14:paraId="666B45BA" w14:textId="77777777" w:rsidR="008766E0" w:rsidRPr="000665B0" w:rsidRDefault="008766E0" w:rsidP="006D5A65">
      <w:pPr>
        <w:pStyle w:val="Heading1"/>
        <w:rPr>
          <w:lang w:val="fr-FR"/>
        </w:rPr>
      </w:pPr>
      <w:r w:rsidRPr="000665B0">
        <w:rPr>
          <w:lang w:val="fr-FR"/>
        </w:rPr>
        <w:t>Missile Latitude/Longitude –</w:t>
      </w:r>
      <w:r w:rsidRPr="000665B0">
        <w:t xml:space="preserve"> Current</w:t>
      </w:r>
      <w:r w:rsidRPr="000665B0">
        <w:rPr>
          <w:lang w:val="fr-FR"/>
        </w:rPr>
        <w:t xml:space="preserve"> missile Latitude/Longitude.</w:t>
      </w:r>
    </w:p>
    <w:p w14:paraId="3C5ED799" w14:textId="77777777" w:rsidR="008766E0" w:rsidRPr="000665B0" w:rsidRDefault="008766E0" w:rsidP="006D5A65">
      <w:pPr>
        <w:pStyle w:val="Heading1"/>
      </w:pPr>
      <w:r w:rsidRPr="000665B0">
        <w:t>Missile Heading – Current missile heading in degrees true.</w:t>
      </w:r>
    </w:p>
    <w:p w14:paraId="1D81D90F" w14:textId="77777777" w:rsidR="008766E0" w:rsidRPr="000665B0" w:rsidRDefault="008766E0" w:rsidP="006D5A65">
      <w:pPr>
        <w:pStyle w:val="Heading1"/>
      </w:pPr>
      <w:r w:rsidRPr="000665B0">
        <w:t>Fuel Used (range 0 – 2000 pounds) – The amount of fuel the missile has used.</w:t>
      </w:r>
    </w:p>
    <w:p w14:paraId="1970CB13" w14:textId="77777777" w:rsidR="00290219" w:rsidRPr="000665B0" w:rsidRDefault="00290219" w:rsidP="006D5A65">
      <w:pPr>
        <w:pStyle w:val="Heading1"/>
      </w:pPr>
      <w:r w:rsidRPr="000665B0">
        <w:t>Last Action Point Passed – Index of last action point passed, or zero if none.</w:t>
      </w:r>
    </w:p>
    <w:p w14:paraId="172B5B57" w14:textId="77777777" w:rsidR="008766E0" w:rsidRPr="000665B0" w:rsidRDefault="008766E0" w:rsidP="006D5A65">
      <w:pPr>
        <w:pStyle w:val="Heading1"/>
      </w:pPr>
      <w:r w:rsidRPr="000665B0">
        <w:t>Message Data:</w:t>
      </w:r>
    </w:p>
    <w:p w14:paraId="755BDE5C" w14:textId="77777777" w:rsidR="008766E0" w:rsidRPr="000665B0" w:rsidRDefault="008766E0" w:rsidP="006D5A65">
      <w:pPr>
        <w:pStyle w:val="Heading1"/>
      </w:pPr>
      <w:r w:rsidRPr="000665B0">
        <w:t>Message Sequence Number (range 001 – 255) – Incremental count of messages issued by the missile, starting with 001.</w:t>
      </w:r>
    </w:p>
    <w:p w14:paraId="606E73BE" w14:textId="046252D0" w:rsidR="008766E0" w:rsidRPr="000665B0" w:rsidRDefault="008766E0" w:rsidP="006D5A65">
      <w:pPr>
        <w:pStyle w:val="Heading1"/>
      </w:pPr>
      <w:r w:rsidRPr="000665B0">
        <w:t xml:space="preserve">Message Type – Scheduled H&amp;S, Event H&amp;S, Immediate Acknowledgement H&amp;S, </w:t>
      </w:r>
      <w:r w:rsidR="00432B59" w:rsidRPr="000665B0">
        <w:t xml:space="preserve">or </w:t>
      </w:r>
      <w:r w:rsidRPr="000665B0">
        <w:t>BDI H&amp;S. (In the actual message data, the message type is indicated by</w:t>
      </w:r>
      <w:r w:rsidR="007C463E" w:rsidRPr="000665B0">
        <w:t xml:space="preserve"> an integer in the range of 1–</w:t>
      </w:r>
      <w:r w:rsidRPr="000665B0">
        <w:t>15.)</w:t>
      </w:r>
    </w:p>
    <w:p w14:paraId="085B37D6" w14:textId="77777777" w:rsidR="008766E0" w:rsidRPr="000665B0" w:rsidRDefault="008766E0" w:rsidP="006D5A65">
      <w:pPr>
        <w:pStyle w:val="Heading1"/>
      </w:pPr>
      <w:r w:rsidRPr="000665B0">
        <w:t>SOM Header Type (Tactical or Training) – The header type used for this message.</w:t>
      </w:r>
    </w:p>
    <w:p w14:paraId="2E79D13A" w14:textId="77777777" w:rsidR="008766E0" w:rsidRPr="000665B0" w:rsidRDefault="008766E0" w:rsidP="006D5A65">
      <w:pPr>
        <w:pStyle w:val="Heading1"/>
      </w:pPr>
      <w:r w:rsidRPr="000665B0">
        <w:t>CRC-16 Value (Hex) – The Cyclic Redundancy Check (CRC) value calculated for this message. This is used to verify that the message is sent without any data loss.</w:t>
      </w:r>
    </w:p>
    <w:p w14:paraId="125C78A9" w14:textId="77777777" w:rsidR="00290219" w:rsidRPr="000665B0" w:rsidRDefault="00290219" w:rsidP="006D5A65">
      <w:pPr>
        <w:pStyle w:val="Heading1"/>
      </w:pPr>
      <w:r w:rsidRPr="000665B0">
        <w:t>CRC-16 State – Pass/Fail indication for CRC-16 message data integrity verification.</w:t>
      </w:r>
    </w:p>
    <w:p w14:paraId="008DB607" w14:textId="77777777" w:rsidR="008766E0" w:rsidRPr="000665B0" w:rsidRDefault="008766E0" w:rsidP="006D5A65">
      <w:pPr>
        <w:pStyle w:val="Heading1"/>
      </w:pPr>
      <w:r w:rsidRPr="000665B0">
        <w:t>Target Data:</w:t>
      </w:r>
    </w:p>
    <w:p w14:paraId="578CDAB9" w14:textId="77777777" w:rsidR="008766E0" w:rsidRPr="000665B0" w:rsidRDefault="008766E0" w:rsidP="006D5A65">
      <w:pPr>
        <w:pStyle w:val="Heading1"/>
      </w:pPr>
      <w:r w:rsidRPr="000665B0">
        <w:t>Mission ID – Self-explanatory.</w:t>
      </w:r>
    </w:p>
    <w:p w14:paraId="51AFBD2E" w14:textId="77777777" w:rsidR="008766E0" w:rsidRPr="000665B0" w:rsidRDefault="008766E0" w:rsidP="006D5A65">
      <w:pPr>
        <w:pStyle w:val="Heading1"/>
      </w:pPr>
      <w:r w:rsidRPr="000665B0">
        <w:t xml:space="preserve">Branch ID – </w:t>
      </w:r>
      <w:r w:rsidR="0015035F" w:rsidRPr="000665B0">
        <w:t xml:space="preserve">Branch IDs are a numbering scheme used for the Primary Route (which is always Branch ID 0) and each of the Flex Routes in a 109E mission. Due to the manner in which retarget segments of the mission are constructed, stored, and executed by the missile, the missile will not update the </w:t>
      </w:r>
      <w:r w:rsidR="0015035F" w:rsidRPr="000665B0">
        <w:lastRenderedPageBreak/>
        <w:t xml:space="preserve">Branch ID until the missile is actually on the new mission branch (has departed the </w:t>
      </w:r>
      <w:r w:rsidR="00B668CF" w:rsidRPr="000665B0">
        <w:t xml:space="preserve">previous </w:t>
      </w:r>
      <w:r w:rsidR="0015035F" w:rsidRPr="000665B0">
        <w:t>branch).</w:t>
      </w:r>
    </w:p>
    <w:p w14:paraId="5DF96813" w14:textId="77777777" w:rsidR="008766E0" w:rsidRPr="000665B0" w:rsidRDefault="008766E0" w:rsidP="006D5A65">
      <w:pPr>
        <w:pStyle w:val="Heading1"/>
      </w:pPr>
      <w:r w:rsidRPr="000665B0">
        <w:t>Target Latitude/Longitude – Latitude/Longitude of current aimpoint.</w:t>
      </w:r>
    </w:p>
    <w:p w14:paraId="441A7CFD" w14:textId="77777777" w:rsidR="003E55AE" w:rsidRPr="000665B0" w:rsidRDefault="003E55AE" w:rsidP="006D5A65">
      <w:pPr>
        <w:pStyle w:val="Heading1"/>
      </w:pPr>
      <w:r w:rsidRPr="000665B0">
        <w:t>Target Position Check – Pass/Fail indication of whether reported aimpoint location matches most recently commanded aimpoint location.</w:t>
      </w:r>
    </w:p>
    <w:p w14:paraId="4739D8D1" w14:textId="77777777" w:rsidR="008766E0" w:rsidRPr="000665B0" w:rsidRDefault="008766E0" w:rsidP="006D5A65">
      <w:pPr>
        <w:pStyle w:val="Heading1"/>
      </w:pPr>
      <w:r w:rsidRPr="000665B0">
        <w:t>Navigation Data:</w:t>
      </w:r>
    </w:p>
    <w:p w14:paraId="113F9AC7" w14:textId="77777777" w:rsidR="008766E0" w:rsidRPr="000665B0" w:rsidRDefault="008766E0" w:rsidP="006D5A65">
      <w:pPr>
        <w:pStyle w:val="Heading1"/>
      </w:pPr>
      <w:r w:rsidRPr="000665B0">
        <w:t>Radial Position Uncertainty (range 0 – 2000 feet) – Indicates the accuracy of the missile’s current navigation solution.</w:t>
      </w:r>
    </w:p>
    <w:p w14:paraId="50217765" w14:textId="77777777" w:rsidR="008766E0" w:rsidRPr="000665B0" w:rsidRDefault="008766E0" w:rsidP="006D5A65">
      <w:pPr>
        <w:pStyle w:val="Heading1"/>
      </w:pPr>
      <w:r w:rsidRPr="000665B0">
        <w:t>Downtrack Offset (range 0 – 31) – Offset from map center in fractions of frame width (units of width/32).</w:t>
      </w:r>
    </w:p>
    <w:p w14:paraId="2EEE32E3" w14:textId="77777777" w:rsidR="008766E0" w:rsidRPr="000665B0" w:rsidRDefault="008766E0" w:rsidP="006D5A65">
      <w:pPr>
        <w:pStyle w:val="Heading1"/>
      </w:pPr>
      <w:r w:rsidRPr="000665B0">
        <w:t>Crosstrack Offset (range 0 – 31) – Offset from map center in fractions of frame width (units of width/32).</w:t>
      </w:r>
    </w:p>
    <w:p w14:paraId="0322F61A" w14:textId="77777777" w:rsidR="008766E0" w:rsidRPr="000665B0" w:rsidRDefault="008766E0" w:rsidP="006D5A65">
      <w:pPr>
        <w:pStyle w:val="Heading1"/>
      </w:pPr>
      <w:r w:rsidRPr="000665B0">
        <w:t>DSMAC Position Update Used – Indicates whether or not the DSMAC position was used for a navigation update.</w:t>
      </w:r>
    </w:p>
    <w:p w14:paraId="6F47E96E" w14:textId="77777777" w:rsidR="008766E0" w:rsidRPr="000665B0" w:rsidRDefault="001E3B29" w:rsidP="006D5A65">
      <w:pPr>
        <w:pStyle w:val="Heading1"/>
      </w:pPr>
      <w:r w:rsidRPr="000665B0">
        <w:t>Radio communication</w:t>
      </w:r>
      <w:r w:rsidR="008766E0" w:rsidRPr="000665B0">
        <w:t xml:space="preserve"> Data:</w:t>
      </w:r>
    </w:p>
    <w:p w14:paraId="34D324B0" w14:textId="77777777" w:rsidR="008766E0" w:rsidRPr="000665B0" w:rsidRDefault="008766E0" w:rsidP="006D5A65">
      <w:pPr>
        <w:pStyle w:val="Heading1"/>
      </w:pPr>
      <w:r w:rsidRPr="000665B0">
        <w:t>Peak to Sidelobe Ratio (range 0 – 7) – Each number is mapped to a range of values as follows:</w:t>
      </w:r>
    </w:p>
    <w:p w14:paraId="23334AEE" w14:textId="77777777" w:rsidR="008766E0" w:rsidRPr="000665B0" w:rsidRDefault="008766E0" w:rsidP="006D5A65">
      <w:pPr>
        <w:pStyle w:val="Heading1"/>
      </w:pPr>
      <w:r w:rsidRPr="000665B0">
        <w:t>0 maps to &lt; 4.0</w:t>
      </w:r>
    </w:p>
    <w:p w14:paraId="01CE61E2" w14:textId="77777777" w:rsidR="008766E0" w:rsidRPr="000665B0" w:rsidRDefault="008766E0" w:rsidP="006D5A65">
      <w:pPr>
        <w:pStyle w:val="Heading1"/>
      </w:pPr>
      <w:r w:rsidRPr="000665B0">
        <w:t>1 maps to 4.0 – &lt; 4.5</w:t>
      </w:r>
    </w:p>
    <w:p w14:paraId="658DD146" w14:textId="77777777" w:rsidR="008766E0" w:rsidRPr="000665B0" w:rsidRDefault="008766E0" w:rsidP="006D5A65">
      <w:pPr>
        <w:pStyle w:val="Heading1"/>
      </w:pPr>
      <w:r w:rsidRPr="000665B0">
        <w:t>2 maps to 4.5 – &lt; 5.0</w:t>
      </w:r>
    </w:p>
    <w:p w14:paraId="0CA250CA" w14:textId="77777777" w:rsidR="008766E0" w:rsidRPr="000665B0" w:rsidRDefault="008766E0" w:rsidP="006D5A65">
      <w:pPr>
        <w:pStyle w:val="Heading1"/>
      </w:pPr>
      <w:r w:rsidRPr="000665B0">
        <w:t>3 maps to 5.0 – &lt; 5.6</w:t>
      </w:r>
    </w:p>
    <w:p w14:paraId="4A01FE25" w14:textId="77777777" w:rsidR="008766E0" w:rsidRPr="000665B0" w:rsidRDefault="008766E0" w:rsidP="006D5A65">
      <w:pPr>
        <w:pStyle w:val="Heading1"/>
      </w:pPr>
      <w:r w:rsidRPr="000665B0">
        <w:t>4 maps to 5.6 – &lt; 6.3</w:t>
      </w:r>
    </w:p>
    <w:p w14:paraId="497FA416" w14:textId="77777777" w:rsidR="008766E0" w:rsidRPr="000665B0" w:rsidRDefault="008766E0" w:rsidP="006D5A65">
      <w:pPr>
        <w:pStyle w:val="Heading1"/>
      </w:pPr>
      <w:r w:rsidRPr="000665B0">
        <w:t>5 maps to 6.3 – &lt; 7.1</w:t>
      </w:r>
    </w:p>
    <w:p w14:paraId="40C6C73E" w14:textId="77777777" w:rsidR="008766E0" w:rsidRPr="000665B0" w:rsidRDefault="008766E0" w:rsidP="006D5A65">
      <w:pPr>
        <w:pStyle w:val="Heading1"/>
      </w:pPr>
      <w:r w:rsidRPr="000665B0">
        <w:t>6 maps to 7.1 – &lt; 8.0</w:t>
      </w:r>
    </w:p>
    <w:p w14:paraId="24D67AE7" w14:textId="77777777" w:rsidR="008766E0" w:rsidRPr="000665B0" w:rsidRDefault="008766E0" w:rsidP="006D5A65">
      <w:pPr>
        <w:pStyle w:val="Heading1"/>
      </w:pPr>
      <w:r w:rsidRPr="000665B0">
        <w:t>7 maps to ≥ 8.0</w:t>
      </w:r>
    </w:p>
    <w:p w14:paraId="5335C08A" w14:textId="77777777" w:rsidR="008766E0" w:rsidRPr="000665B0" w:rsidRDefault="008766E0" w:rsidP="006D5A65">
      <w:pPr>
        <w:pStyle w:val="Heading1"/>
      </w:pPr>
      <w:r w:rsidRPr="000665B0">
        <w:t>Delta Peak to Sidelobe Ratio (range 0 – 7) – Each number is mapped to a range of values as follows:</w:t>
      </w:r>
    </w:p>
    <w:p w14:paraId="5028590E" w14:textId="77777777" w:rsidR="008766E0" w:rsidRPr="000665B0" w:rsidRDefault="008766E0" w:rsidP="006D5A65">
      <w:pPr>
        <w:pStyle w:val="Heading1"/>
      </w:pPr>
      <w:r w:rsidRPr="000665B0">
        <w:t>0 maps to &lt; 0.25</w:t>
      </w:r>
    </w:p>
    <w:p w14:paraId="36ED4FA5" w14:textId="77777777" w:rsidR="008766E0" w:rsidRPr="000665B0" w:rsidRDefault="008766E0" w:rsidP="006D5A65">
      <w:pPr>
        <w:pStyle w:val="Heading1"/>
      </w:pPr>
      <w:r w:rsidRPr="000665B0">
        <w:t>1 maps to 0.25 – &lt; 0.40</w:t>
      </w:r>
    </w:p>
    <w:p w14:paraId="49153373" w14:textId="77777777" w:rsidR="008766E0" w:rsidRPr="000665B0" w:rsidRDefault="008766E0" w:rsidP="006D5A65">
      <w:pPr>
        <w:pStyle w:val="Heading1"/>
      </w:pPr>
      <w:r w:rsidRPr="000665B0">
        <w:t>2 maps to 0.40 – &lt; 0.55</w:t>
      </w:r>
    </w:p>
    <w:p w14:paraId="4D6399B2" w14:textId="77777777" w:rsidR="008766E0" w:rsidRPr="000665B0" w:rsidRDefault="008766E0" w:rsidP="006D5A65">
      <w:pPr>
        <w:pStyle w:val="Heading1"/>
      </w:pPr>
      <w:r w:rsidRPr="000665B0">
        <w:t>3 maps to 0.55 – &lt; 0.75</w:t>
      </w:r>
    </w:p>
    <w:p w14:paraId="010C101E" w14:textId="77777777" w:rsidR="008766E0" w:rsidRPr="000665B0" w:rsidRDefault="008766E0" w:rsidP="006D5A65">
      <w:pPr>
        <w:pStyle w:val="Heading1"/>
      </w:pPr>
      <w:r w:rsidRPr="000665B0">
        <w:t>4 maps to 0.75 – &lt; 1.00</w:t>
      </w:r>
    </w:p>
    <w:p w14:paraId="46D30931" w14:textId="77777777" w:rsidR="008766E0" w:rsidRPr="000665B0" w:rsidRDefault="008766E0" w:rsidP="006D5A65">
      <w:pPr>
        <w:pStyle w:val="Heading1"/>
      </w:pPr>
      <w:r w:rsidRPr="000665B0">
        <w:t>5 maps to 1.00 – &lt; 1.25</w:t>
      </w:r>
    </w:p>
    <w:p w14:paraId="291482C8" w14:textId="77777777" w:rsidR="008766E0" w:rsidRPr="000665B0" w:rsidRDefault="008766E0" w:rsidP="006D5A65">
      <w:pPr>
        <w:pStyle w:val="Heading1"/>
      </w:pPr>
      <w:r w:rsidRPr="000665B0">
        <w:t>6 maps to 1.25 – &lt; 1.5</w:t>
      </w:r>
    </w:p>
    <w:p w14:paraId="12E9F9C4" w14:textId="77777777" w:rsidR="008766E0" w:rsidRPr="000665B0" w:rsidRDefault="008766E0" w:rsidP="006D5A65">
      <w:pPr>
        <w:pStyle w:val="Heading1"/>
      </w:pPr>
      <w:r w:rsidRPr="000665B0">
        <w:t>7 maps to ≥ 1.5</w:t>
      </w:r>
    </w:p>
    <w:p w14:paraId="351F9624" w14:textId="77777777" w:rsidR="008766E0" w:rsidRPr="000665B0" w:rsidRDefault="008766E0" w:rsidP="006D5A65">
      <w:pPr>
        <w:pStyle w:val="Heading1"/>
      </w:pPr>
      <w:r w:rsidRPr="000665B0">
        <w:t>Fraction of Single Surface Peaks (range 0 – 3) – Each number is mapped to a range of values as follows:</w:t>
      </w:r>
    </w:p>
    <w:p w14:paraId="17CFB6ED" w14:textId="77777777" w:rsidR="008766E0" w:rsidRPr="000665B0" w:rsidRDefault="008766E0" w:rsidP="006D5A65">
      <w:pPr>
        <w:pStyle w:val="Heading1"/>
      </w:pPr>
      <w:r w:rsidRPr="000665B0">
        <w:t>0 maps to 0 – 0.25</w:t>
      </w:r>
    </w:p>
    <w:p w14:paraId="16A95F64" w14:textId="77777777" w:rsidR="008766E0" w:rsidRPr="000665B0" w:rsidRDefault="008766E0" w:rsidP="006D5A65">
      <w:pPr>
        <w:pStyle w:val="Heading1"/>
      </w:pPr>
      <w:r w:rsidRPr="000665B0">
        <w:t>1 maps to 0.25 – 0.5</w:t>
      </w:r>
    </w:p>
    <w:p w14:paraId="7ABD4921" w14:textId="77777777" w:rsidR="008766E0" w:rsidRPr="000665B0" w:rsidRDefault="008766E0" w:rsidP="006D5A65">
      <w:pPr>
        <w:pStyle w:val="Heading1"/>
      </w:pPr>
      <w:r w:rsidRPr="000665B0">
        <w:t>2 maps to 0.5 – 0.75</w:t>
      </w:r>
    </w:p>
    <w:p w14:paraId="4AAB73F8" w14:textId="77777777" w:rsidR="008766E0" w:rsidRPr="000665B0" w:rsidRDefault="008766E0" w:rsidP="006D5A65">
      <w:pPr>
        <w:pStyle w:val="Heading1"/>
      </w:pPr>
      <w:r w:rsidRPr="000665B0">
        <w:t>3 maps to 0.75 – 1</w:t>
      </w:r>
    </w:p>
    <w:p w14:paraId="2E8CCA09" w14:textId="77777777" w:rsidR="008766E0" w:rsidRPr="000665B0" w:rsidRDefault="008766E0" w:rsidP="006D5A65">
      <w:pPr>
        <w:pStyle w:val="Heading1"/>
      </w:pPr>
      <w:r w:rsidRPr="000665B0">
        <w:t>Missile Reporting State (3 subgroups)</w:t>
      </w:r>
    </w:p>
    <w:p w14:paraId="6A2F860C" w14:textId="77777777" w:rsidR="008766E0" w:rsidRPr="000665B0" w:rsidRDefault="008766E0" w:rsidP="006D5A65">
      <w:pPr>
        <w:pStyle w:val="Heading1"/>
      </w:pPr>
      <w:r w:rsidRPr="000665B0">
        <w:t>Enablements:</w:t>
      </w:r>
    </w:p>
    <w:p w14:paraId="3C365ED7" w14:textId="77777777" w:rsidR="008766E0" w:rsidRPr="000665B0" w:rsidRDefault="008766E0" w:rsidP="006D5A65">
      <w:pPr>
        <w:pStyle w:val="Heading1"/>
      </w:pPr>
      <w:r w:rsidRPr="000665B0">
        <w:t>Scheduled H&amp;S</w:t>
      </w:r>
    </w:p>
    <w:p w14:paraId="0CE127D7" w14:textId="77777777" w:rsidR="008766E0" w:rsidRPr="000665B0" w:rsidRDefault="008766E0" w:rsidP="006D5A65">
      <w:pPr>
        <w:pStyle w:val="Heading1"/>
      </w:pPr>
      <w:r w:rsidRPr="000665B0">
        <w:lastRenderedPageBreak/>
        <w:t>Event H&amp;S</w:t>
      </w:r>
    </w:p>
    <w:p w14:paraId="34C20C64" w14:textId="77777777" w:rsidR="008766E0" w:rsidRPr="000665B0" w:rsidRDefault="008766E0" w:rsidP="006D5A65">
      <w:pPr>
        <w:pStyle w:val="Heading1"/>
      </w:pPr>
      <w:r w:rsidRPr="000665B0">
        <w:t>BDI</w:t>
      </w:r>
    </w:p>
    <w:p w14:paraId="13623564" w14:textId="77777777" w:rsidR="008766E0" w:rsidRPr="000665B0" w:rsidRDefault="008766E0" w:rsidP="006D5A65">
      <w:pPr>
        <w:pStyle w:val="Heading1"/>
      </w:pPr>
      <w:r w:rsidRPr="000665B0">
        <w:t>Event Reporting:</w:t>
      </w:r>
    </w:p>
    <w:p w14:paraId="39A707BC" w14:textId="77777777" w:rsidR="008766E0" w:rsidRPr="000665B0" w:rsidRDefault="008766E0" w:rsidP="006D5A65">
      <w:pPr>
        <w:pStyle w:val="Heading1"/>
      </w:pPr>
      <w:r w:rsidRPr="000665B0">
        <w:t>Cruise Transition</w:t>
      </w:r>
    </w:p>
    <w:p w14:paraId="57E078EF" w14:textId="77777777" w:rsidR="008766E0" w:rsidRPr="000665B0" w:rsidRDefault="008766E0" w:rsidP="006D5A65">
      <w:pPr>
        <w:pStyle w:val="Heading1"/>
      </w:pPr>
      <w:r w:rsidRPr="000665B0">
        <w:t>Planned Turn Complete</w:t>
      </w:r>
    </w:p>
    <w:p w14:paraId="598C4728" w14:textId="77777777" w:rsidR="008766E0" w:rsidRPr="000665B0" w:rsidRDefault="008766E0" w:rsidP="006D5A65">
      <w:pPr>
        <w:pStyle w:val="Heading1"/>
      </w:pPr>
      <w:r w:rsidRPr="000665B0">
        <w:t>Branch Change</w:t>
      </w:r>
    </w:p>
    <w:p w14:paraId="7592BDAB" w14:textId="1A76F722" w:rsidR="008766E0" w:rsidRPr="000665B0" w:rsidRDefault="005C71B9" w:rsidP="006D5A65">
      <w:pPr>
        <w:pStyle w:val="Heading1"/>
      </w:pPr>
      <w:r w:rsidRPr="000665B0">
        <w:t>GPS High Power Ceased</w:t>
      </w:r>
    </w:p>
    <w:p w14:paraId="198337CB" w14:textId="77777777" w:rsidR="008766E0" w:rsidRPr="000665B0" w:rsidRDefault="008766E0" w:rsidP="006D5A65">
      <w:pPr>
        <w:pStyle w:val="Heading1"/>
      </w:pPr>
      <w:r w:rsidRPr="000665B0">
        <w:t>Problems:</w:t>
      </w:r>
    </w:p>
    <w:p w14:paraId="5A002529" w14:textId="60F39A15" w:rsidR="008766E0" w:rsidRPr="000665B0" w:rsidRDefault="008766E0" w:rsidP="006D5A65">
      <w:pPr>
        <w:pStyle w:val="Heading1"/>
      </w:pPr>
      <w:r w:rsidRPr="000665B0">
        <w:t xml:space="preserve">GPS </w:t>
      </w:r>
      <w:r w:rsidR="005C71B9" w:rsidRPr="000665B0">
        <w:t>High Power</w:t>
      </w:r>
    </w:p>
    <w:p w14:paraId="25645290" w14:textId="28ADB617" w:rsidR="005C71B9" w:rsidRPr="000665B0" w:rsidRDefault="005C71B9" w:rsidP="006D5A65">
      <w:pPr>
        <w:pStyle w:val="Heading1"/>
      </w:pPr>
      <w:r w:rsidRPr="000665B0">
        <w:t>GPS Not Providing Updates</w:t>
      </w:r>
    </w:p>
    <w:p w14:paraId="529E7B7F" w14:textId="77777777" w:rsidR="008766E0" w:rsidRPr="000665B0" w:rsidRDefault="008766E0" w:rsidP="006D5A65">
      <w:pPr>
        <w:pStyle w:val="Heading1"/>
      </w:pPr>
      <w:r w:rsidRPr="000665B0">
        <w:t>Invalid Branch Change/Retarget</w:t>
      </w:r>
    </w:p>
    <w:p w14:paraId="24F49CAB" w14:textId="77777777" w:rsidR="008766E0" w:rsidRPr="000665B0" w:rsidRDefault="008766E0" w:rsidP="006D5A65">
      <w:pPr>
        <w:pStyle w:val="Heading1"/>
      </w:pPr>
      <w:r w:rsidRPr="000665B0">
        <w:t>PST Failure</w:t>
      </w:r>
    </w:p>
    <w:p w14:paraId="572B0451" w14:textId="77777777" w:rsidR="008766E0" w:rsidRPr="000665B0" w:rsidRDefault="008766E0" w:rsidP="006D5A65">
      <w:pPr>
        <w:pStyle w:val="Heading1"/>
      </w:pPr>
      <w:r w:rsidRPr="000665B0">
        <w:t xml:space="preserve">BIT Test Failures: – Each of these indicates whether or not the given Built-In Test has failed: </w:t>
      </w:r>
    </w:p>
    <w:p w14:paraId="28517A1C" w14:textId="6BBD5574" w:rsidR="008766E0" w:rsidRPr="000665B0" w:rsidRDefault="008E0F2F" w:rsidP="006D5A65">
      <w:pPr>
        <w:pStyle w:val="Heading1"/>
      </w:pPr>
      <w:r w:rsidRPr="000665B0">
        <w:t xml:space="preserve">Guidance </w:t>
      </w:r>
      <w:r w:rsidR="008766E0" w:rsidRPr="000665B0">
        <w:t>Processor</w:t>
      </w:r>
    </w:p>
    <w:p w14:paraId="58C6401D" w14:textId="77777777" w:rsidR="008766E0" w:rsidRPr="000665B0" w:rsidRDefault="008766E0" w:rsidP="006D5A65">
      <w:pPr>
        <w:pStyle w:val="Heading1"/>
      </w:pPr>
      <w:r w:rsidRPr="000665B0">
        <w:t>AGR</w:t>
      </w:r>
    </w:p>
    <w:p w14:paraId="48967E5D" w14:textId="77777777" w:rsidR="008766E0" w:rsidRPr="000665B0" w:rsidRDefault="008766E0" w:rsidP="006D5A65">
      <w:pPr>
        <w:pStyle w:val="Heading1"/>
      </w:pPr>
      <w:r w:rsidRPr="000665B0">
        <w:t>IMU</w:t>
      </w:r>
    </w:p>
    <w:p w14:paraId="080768C2" w14:textId="77777777" w:rsidR="008766E0" w:rsidRPr="000665B0" w:rsidRDefault="008766E0" w:rsidP="006D5A65">
      <w:pPr>
        <w:pStyle w:val="Heading1"/>
      </w:pPr>
      <w:r w:rsidRPr="000665B0">
        <w:t>Air Data Module</w:t>
      </w:r>
    </w:p>
    <w:p w14:paraId="68F40693" w14:textId="5984449E" w:rsidR="008E0F2F" w:rsidRPr="000665B0" w:rsidRDefault="008E0F2F" w:rsidP="006D5A65">
      <w:pPr>
        <w:pStyle w:val="Heading1"/>
      </w:pPr>
      <w:r w:rsidRPr="000665B0">
        <w:t>Radar Altimeter</w:t>
      </w:r>
    </w:p>
    <w:p w14:paraId="1F4A97EC" w14:textId="77777777" w:rsidR="008766E0" w:rsidRPr="000665B0" w:rsidRDefault="008766E0" w:rsidP="006D5A65">
      <w:pPr>
        <w:pStyle w:val="Heading1"/>
      </w:pPr>
      <w:r w:rsidRPr="000665B0">
        <w:t>BDI Data (BDI H&amp;S messages textual display only):</w:t>
      </w:r>
    </w:p>
    <w:p w14:paraId="0BB2EA1E" w14:textId="77777777" w:rsidR="008766E0" w:rsidRPr="000665B0" w:rsidRDefault="008766E0" w:rsidP="006D5A65">
      <w:pPr>
        <w:pStyle w:val="Heading1"/>
      </w:pPr>
      <w:r w:rsidRPr="000665B0">
        <w:t xml:space="preserve">Circular Error Probable (range 0 – 2000 feet) – Identifies the radius of a circle that the missile should arrive in 50% of the time. </w:t>
      </w:r>
    </w:p>
    <w:p w14:paraId="69CC28E8" w14:textId="77777777" w:rsidR="008766E0" w:rsidRPr="000665B0" w:rsidRDefault="008766E0" w:rsidP="006D5A65">
      <w:pPr>
        <w:pStyle w:val="Heading1"/>
      </w:pPr>
      <w:r w:rsidRPr="000665B0">
        <w:t>CEP Calculation Range (range 0 – 60000 feet) – The slant range from the missile to the target/aimpoint at which the Circular Error Probable value was estimated.</w:t>
      </w:r>
    </w:p>
    <w:p w14:paraId="221457EF" w14:textId="5ED54D10" w:rsidR="005C6061" w:rsidRPr="000665B0" w:rsidRDefault="005C6061" w:rsidP="005C6061">
      <w:pPr>
        <w:pStyle w:val="Heading4"/>
      </w:pPr>
      <w:bookmarkStart w:id="6995" w:name="_5.39.10__IMMM_1"/>
      <w:bookmarkStart w:id="6996" w:name="_IMMM_Log"/>
      <w:bookmarkStart w:id="6997" w:name="_Maritime_Health_and"/>
      <w:bookmarkStart w:id="6998" w:name="_Maritime_Strike_Health"/>
      <w:bookmarkStart w:id="6999" w:name="_Hlk74575195"/>
      <w:bookmarkStart w:id="7000" w:name="_Toc289328970"/>
      <w:bookmarkStart w:id="7001" w:name="_Toc312332107"/>
      <w:bookmarkEnd w:id="6987"/>
      <w:bookmarkEnd w:id="6995"/>
      <w:bookmarkEnd w:id="6996"/>
      <w:bookmarkEnd w:id="6997"/>
      <w:bookmarkEnd w:id="6998"/>
      <w:r w:rsidRPr="000665B0">
        <w:t xml:space="preserve">Maritime </w:t>
      </w:r>
      <w:r w:rsidR="00DE0F55" w:rsidRPr="000665B0">
        <w:t xml:space="preserve">Strike </w:t>
      </w:r>
      <w:r w:rsidRPr="000665B0">
        <w:t>Health and Status Messages</w:t>
      </w:r>
    </w:p>
    <w:p w14:paraId="659A4948" w14:textId="4358CD9E" w:rsidR="005C6061" w:rsidRPr="000665B0" w:rsidRDefault="005C6061" w:rsidP="005C6061">
      <w:r w:rsidRPr="000665B0">
        <w:t xml:space="preserve">The MST H&amp;S message is a detailed message sent by the missile over the TSN to reflect the health and status of the missile in a Maritime Strike. </w:t>
      </w:r>
    </w:p>
    <w:p w14:paraId="6C106705" w14:textId="2D7A2947" w:rsidR="005C6061" w:rsidRPr="000665B0" w:rsidRDefault="005C6061" w:rsidP="005C6061">
      <w:pPr>
        <w:jc w:val="center"/>
      </w:pPr>
      <w:r w:rsidRPr="000665B0">
        <w:rPr>
          <w:noProof/>
        </w:rPr>
        <w:drawing>
          <wp:inline distT="0" distB="0" distL="0" distR="0" wp14:anchorId="4489F264" wp14:editId="79DCA3F0">
            <wp:extent cx="4983480" cy="1115568"/>
            <wp:effectExtent l="0" t="0" r="0" b="0"/>
            <wp:docPr id="2250" name="Picture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115568"/>
                    </a:xfrm>
                    <a:prstGeom prst="rect">
                      <a:avLst/>
                    </a:prstGeom>
                  </pic:spPr>
                </pic:pic>
              </a:graphicData>
            </a:graphic>
          </wp:inline>
        </w:drawing>
      </w:r>
    </w:p>
    <w:p w14:paraId="692EAC42" w14:textId="2FA8CA47" w:rsidR="00817E8E" w:rsidRPr="000665B0" w:rsidRDefault="00817E8E" w:rsidP="00817E8E">
      <w:r w:rsidRPr="000665B0">
        <w:t>The MST H&amp;S can be transmitted based on scheduled H&amp;S messages or due to an Event:</w:t>
      </w:r>
    </w:p>
    <w:p w14:paraId="428E53B9" w14:textId="13355247" w:rsidR="00817E8E" w:rsidRPr="000665B0" w:rsidRDefault="00817E8E" w:rsidP="006D5A65">
      <w:pPr>
        <w:pStyle w:val="Heading1"/>
      </w:pPr>
      <w:r w:rsidRPr="000665B0">
        <w:lastRenderedPageBreak/>
        <w:t xml:space="preserve">Scheduled H&amp;S – The MDS user has preplanned/scheduled them. If the missile is launched significantly late, </w:t>
      </w:r>
      <w:r w:rsidR="00417356" w:rsidRPr="000665B0">
        <w:t>messages</w:t>
      </w:r>
      <w:r w:rsidRPr="000665B0">
        <w:t xml:space="preserve"> will not occur (geographically) where expected.</w:t>
      </w:r>
    </w:p>
    <w:p w14:paraId="26FFA757" w14:textId="55A1B1A2" w:rsidR="00817E8E" w:rsidRPr="000665B0" w:rsidRDefault="00817E8E" w:rsidP="006D5A65">
      <w:pPr>
        <w:pStyle w:val="Heading1"/>
      </w:pPr>
      <w:r w:rsidRPr="000665B0">
        <w:t>Event H&amp;S – Something has happened that tells the missile to report the event. Examples:</w:t>
      </w:r>
    </w:p>
    <w:p w14:paraId="38C38C59" w14:textId="44BFD4E3" w:rsidR="00817E8E" w:rsidRPr="000665B0" w:rsidRDefault="00817E8E" w:rsidP="006D5A65">
      <w:pPr>
        <w:pStyle w:val="Heading1"/>
      </w:pPr>
      <w:r w:rsidRPr="000665B0">
        <w:t>Terminal H</w:t>
      </w:r>
      <w:r w:rsidR="00376494" w:rsidRPr="000665B0">
        <w:t>&amp;</w:t>
      </w:r>
      <w:r w:rsidRPr="000665B0">
        <w:t>S</w:t>
      </w:r>
      <w:r w:rsidR="00376494" w:rsidRPr="000665B0">
        <w:t xml:space="preserve"> (if Terminal H&amp;S Enabled is checked)</w:t>
      </w:r>
    </w:p>
    <w:p w14:paraId="40EC00B5" w14:textId="273C587F" w:rsidR="00817E8E" w:rsidRPr="000665B0" w:rsidRDefault="00817E8E" w:rsidP="006D5A65">
      <w:pPr>
        <w:pStyle w:val="Heading1"/>
      </w:pPr>
      <w:r w:rsidRPr="000665B0">
        <w:t>Cruise Transition</w:t>
      </w:r>
    </w:p>
    <w:p w14:paraId="38E3F972" w14:textId="322A78A7" w:rsidR="00817E8E" w:rsidRPr="000665B0" w:rsidRDefault="00817E8E" w:rsidP="006D5A65">
      <w:pPr>
        <w:pStyle w:val="Heading1"/>
      </w:pPr>
      <w:r w:rsidRPr="000665B0">
        <w:t>GPS High Power Ceased</w:t>
      </w:r>
    </w:p>
    <w:p w14:paraId="74E17BCB" w14:textId="3489A2A6" w:rsidR="000C682D" w:rsidRPr="000665B0" w:rsidRDefault="00817E8E" w:rsidP="006D5A65">
      <w:pPr>
        <w:pStyle w:val="Heading1"/>
      </w:pPr>
      <w:r w:rsidRPr="000665B0">
        <w:t>Intercept State Changed</w:t>
      </w:r>
      <w:r w:rsidR="000C682D" w:rsidRPr="000665B0">
        <w:t>.</w:t>
      </w:r>
    </w:p>
    <w:p w14:paraId="23F3E970" w14:textId="207C4D4F" w:rsidR="00817E8E" w:rsidRDefault="00D7668F" w:rsidP="000C682D">
      <w:pPr>
        <w:jc w:val="center"/>
      </w:pPr>
      <w:r w:rsidRPr="000665B0">
        <w:rPr>
          <w:noProof/>
        </w:rPr>
        <w:drawing>
          <wp:inline distT="0" distB="0" distL="0" distR="0" wp14:anchorId="11AB8536" wp14:editId="09E0B765">
            <wp:extent cx="4114800" cy="4645152"/>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4645152"/>
                    </a:xfrm>
                    <a:prstGeom prst="rect">
                      <a:avLst/>
                    </a:prstGeom>
                  </pic:spPr>
                </pic:pic>
              </a:graphicData>
            </a:graphic>
          </wp:inline>
        </w:drawing>
      </w:r>
    </w:p>
    <w:p w14:paraId="7D55E41E" w14:textId="09313793" w:rsidR="00C0082E" w:rsidRPr="001B52C1" w:rsidRDefault="00C0082E" w:rsidP="0001776F">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r w:rsidRPr="001B52C1">
        <w:rPr>
          <w:rFonts w:ascii="Times New Roman" w:hAnsi="Times New Roman"/>
          <w:b/>
          <w:bCs/>
          <w:sz w:val="24"/>
          <w:szCs w:val="24"/>
        </w:rPr>
        <w:t>Note</w:t>
      </w:r>
      <w:r w:rsidR="001B52C1" w:rsidRPr="001B52C1">
        <w:rPr>
          <w:rFonts w:ascii="Times New Roman" w:hAnsi="Times New Roman"/>
          <w:b/>
          <w:bCs/>
          <w:sz w:val="24"/>
          <w:szCs w:val="24"/>
        </w:rPr>
        <w:t>:</w:t>
      </w:r>
    </w:p>
    <w:p w14:paraId="631D6096" w14:textId="0E869B88" w:rsidR="00C0082E" w:rsidRPr="001F4B14" w:rsidRDefault="00C0082E" w:rsidP="0001776F">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r w:rsidRPr="001F4B14">
        <w:rPr>
          <w:rFonts w:ascii="Times New Roman" w:hAnsi="Times New Roman"/>
          <w:b/>
          <w:bCs/>
          <w:sz w:val="24"/>
          <w:szCs w:val="24"/>
        </w:rPr>
        <w:t xml:space="preserve">Any MST H&amp;S sent prior to FPPWP will have a bogus Time to Intercept value which </w:t>
      </w:r>
      <w:r w:rsidRPr="001B52C1">
        <w:rPr>
          <w:rFonts w:ascii="Times New Roman" w:hAnsi="Times New Roman"/>
          <w:b/>
          <w:bCs/>
          <w:sz w:val="24"/>
          <w:szCs w:val="24"/>
        </w:rPr>
        <w:t>should be ignored</w:t>
      </w:r>
      <w:r w:rsidRPr="001F4B14">
        <w:rPr>
          <w:rFonts w:ascii="Times New Roman" w:hAnsi="Times New Roman"/>
          <w:b/>
          <w:bCs/>
          <w:sz w:val="24"/>
          <w:szCs w:val="24"/>
        </w:rPr>
        <w:t>.</w:t>
      </w:r>
    </w:p>
    <w:p w14:paraId="790F46E9" w14:textId="77777777" w:rsidR="00C0082E" w:rsidRPr="001F4B14" w:rsidRDefault="00C0082E" w:rsidP="0001776F">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p>
    <w:p w14:paraId="5A20527A" w14:textId="77777777" w:rsidR="00C0082E" w:rsidRPr="001F4B14" w:rsidRDefault="00C0082E" w:rsidP="0001776F">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r w:rsidRPr="001F4B14">
        <w:rPr>
          <w:rFonts w:ascii="Times New Roman" w:hAnsi="Times New Roman"/>
          <w:b/>
          <w:bCs/>
          <w:sz w:val="24"/>
          <w:szCs w:val="24"/>
        </w:rPr>
        <w:t>Any MST H&amp;S sent at or after FPPWP will report the correct Time to Intercept.</w:t>
      </w:r>
    </w:p>
    <w:p w14:paraId="2508F9A6" w14:textId="77777777" w:rsidR="00C0082E" w:rsidRPr="00C0082E" w:rsidRDefault="00C0082E" w:rsidP="0001776F">
      <w:pPr>
        <w:spacing w:after="0"/>
        <w:rPr>
          <w:szCs w:val="24"/>
        </w:rPr>
      </w:pPr>
    </w:p>
    <w:p w14:paraId="645E1B49" w14:textId="402DB5CE" w:rsidR="00C0082E" w:rsidRPr="001B52C1" w:rsidRDefault="00C0082E" w:rsidP="0001776F">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r w:rsidRPr="001B52C1">
        <w:rPr>
          <w:rFonts w:ascii="Times New Roman" w:hAnsi="Times New Roman"/>
          <w:b/>
          <w:bCs/>
          <w:sz w:val="24"/>
          <w:szCs w:val="24"/>
        </w:rPr>
        <w:t>Note</w:t>
      </w:r>
      <w:r w:rsidR="001B52C1" w:rsidRPr="001B52C1">
        <w:rPr>
          <w:rFonts w:ascii="Times New Roman" w:hAnsi="Times New Roman"/>
          <w:b/>
          <w:bCs/>
          <w:sz w:val="24"/>
          <w:szCs w:val="24"/>
        </w:rPr>
        <w:t>:</w:t>
      </w:r>
    </w:p>
    <w:p w14:paraId="6B4D44E6" w14:textId="6B46205E" w:rsidR="00C0082E" w:rsidRPr="00532D3F" w:rsidRDefault="00C0082E" w:rsidP="0001776F">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r w:rsidRPr="001F4B14">
        <w:rPr>
          <w:rFonts w:ascii="Times New Roman" w:hAnsi="Times New Roman"/>
          <w:b/>
          <w:bCs/>
          <w:sz w:val="24"/>
          <w:szCs w:val="24"/>
        </w:rPr>
        <w:t>The Time to Intercept, Intercept Latitude and Longitude correspond to the GHP prior to GHP.</w:t>
      </w:r>
    </w:p>
    <w:p w14:paraId="6B70EEA9" w14:textId="5B94A06A" w:rsidR="005C6061" w:rsidRPr="000665B0" w:rsidRDefault="005C6061" w:rsidP="00A0163E">
      <w:pPr>
        <w:pStyle w:val="Heading5"/>
        <w:keepLines/>
      </w:pPr>
      <w:bookmarkStart w:id="7002" w:name="_Display_Textually_(MST_1"/>
      <w:bookmarkEnd w:id="7002"/>
      <w:r w:rsidRPr="000665B0">
        <w:lastRenderedPageBreak/>
        <w:t>Display</w:t>
      </w:r>
      <w:r w:rsidR="00DE0F55" w:rsidRPr="000665B0">
        <w:t xml:space="preserve"> </w:t>
      </w:r>
      <w:r w:rsidRPr="000665B0">
        <w:t>Textually</w:t>
      </w:r>
      <w:r w:rsidR="00DE0F55" w:rsidRPr="000665B0">
        <w:t xml:space="preserve"> (MST H&amp;S Message)</w:t>
      </w:r>
    </w:p>
    <w:p w14:paraId="2B6D6F84" w14:textId="2A2AC05B" w:rsidR="005C6061" w:rsidRPr="000665B0" w:rsidRDefault="005C6061" w:rsidP="00A0163E">
      <w:pPr>
        <w:keepNext/>
        <w:keepLines/>
      </w:pPr>
      <w:r w:rsidRPr="000665B0">
        <w:t xml:space="preserve">To display an H&amp;S message textually see </w:t>
      </w:r>
      <w:hyperlink w:anchor="_5.2.1.2.4__Display_1" w:history="1">
        <w:r w:rsidRPr="000665B0">
          <w:rPr>
            <w:rStyle w:val="Hyperlink"/>
          </w:rPr>
          <w:t>Section 5.2.1.2.4</w:t>
        </w:r>
      </w:hyperlink>
      <w:r w:rsidRPr="000665B0">
        <w:t>.</w:t>
      </w:r>
    </w:p>
    <w:p w14:paraId="205BD82C" w14:textId="77777777" w:rsidR="005C6061" w:rsidRPr="000665B0" w:rsidRDefault="005C6061" w:rsidP="005C6061">
      <w:r w:rsidRPr="000665B0">
        <w:t>The H&amp;S message textual display contains the detailed information about an H&amp;S message and is for informational purposes only. Each message contains the following fields:</w:t>
      </w:r>
    </w:p>
    <w:p w14:paraId="7E80D2D1" w14:textId="77777777" w:rsidR="005C6061" w:rsidRPr="000665B0" w:rsidRDefault="005C6061" w:rsidP="006D5A65">
      <w:pPr>
        <w:pStyle w:val="Heading1"/>
      </w:pPr>
      <w:r w:rsidRPr="000665B0">
        <w:t>Missile Data:</w:t>
      </w:r>
    </w:p>
    <w:p w14:paraId="2F249D07" w14:textId="77777777" w:rsidR="005C6061" w:rsidRPr="000665B0" w:rsidRDefault="005C6061" w:rsidP="006D5A65">
      <w:pPr>
        <w:pStyle w:val="Heading1"/>
      </w:pPr>
      <w:r w:rsidRPr="000665B0">
        <w:t>Missile Subscriber ID (range 1 – 65535) – Used to identify which missile authored this message.</w:t>
      </w:r>
    </w:p>
    <w:p w14:paraId="2AA8EE2F" w14:textId="34A46A8A" w:rsidR="005C6061" w:rsidRPr="000665B0" w:rsidRDefault="005C6061" w:rsidP="006D5A65">
      <w:pPr>
        <w:pStyle w:val="Heading1"/>
      </w:pPr>
      <w:r w:rsidRPr="000665B0">
        <w:t xml:space="preserve">Missile Sequence Number (5 digits) – This is not part of the H&amp;S message </w:t>
      </w:r>
      <w:r w:rsidR="00E46D1E" w:rsidRPr="000665B0">
        <w:t>itself but</w:t>
      </w:r>
      <w:r w:rsidRPr="000665B0">
        <w:t xml:space="preserve"> is derived by using the missile </w:t>
      </w:r>
      <w:r w:rsidRPr="000665B0">
        <w:lastRenderedPageBreak/>
        <w:t>subscriber ID from the message in context with strikes currently in rehearsal.</w:t>
      </w:r>
    </w:p>
    <w:p w14:paraId="2DC65658" w14:textId="77777777" w:rsidR="005C6061" w:rsidRPr="000665B0" w:rsidRDefault="005C6061" w:rsidP="006D5A65">
      <w:pPr>
        <w:pStyle w:val="Heading1"/>
      </w:pPr>
      <w:r w:rsidRPr="000665B0">
        <w:t>Data Valid Time – GMT time tag for message parameters.</w:t>
      </w:r>
    </w:p>
    <w:p w14:paraId="2CEB3C92" w14:textId="77777777" w:rsidR="005C6061" w:rsidRPr="000665B0" w:rsidRDefault="005C6061" w:rsidP="006D5A65">
      <w:pPr>
        <w:pStyle w:val="Heading1"/>
      </w:pPr>
      <w:r w:rsidRPr="000665B0">
        <w:t>Last IMMM Received (range 001 – 255) – The Message Sequence Number from the last IMMM message successfully received by the missile.</w:t>
      </w:r>
    </w:p>
    <w:p w14:paraId="577F7545" w14:textId="77777777" w:rsidR="005C6061" w:rsidRPr="000665B0" w:rsidRDefault="005C6061" w:rsidP="006D5A65">
      <w:pPr>
        <w:pStyle w:val="Heading1"/>
        <w:rPr>
          <w:lang w:val="fr-FR"/>
        </w:rPr>
      </w:pPr>
      <w:r w:rsidRPr="000665B0">
        <w:rPr>
          <w:lang w:val="fr-FR"/>
        </w:rPr>
        <w:t>Missile Latitude/Longitude –</w:t>
      </w:r>
      <w:r w:rsidRPr="000665B0">
        <w:t xml:space="preserve"> Current</w:t>
      </w:r>
      <w:r w:rsidRPr="000665B0">
        <w:rPr>
          <w:lang w:val="fr-FR"/>
        </w:rPr>
        <w:t xml:space="preserve"> missile Latitude/Longitude.</w:t>
      </w:r>
    </w:p>
    <w:p w14:paraId="4FC2B5CD" w14:textId="7BA9DA77" w:rsidR="005C6061" w:rsidRPr="000665B0" w:rsidRDefault="005C6061" w:rsidP="006D5A65">
      <w:pPr>
        <w:pStyle w:val="Heading1"/>
      </w:pPr>
      <w:r w:rsidRPr="000665B0">
        <w:t>Fuel Used</w:t>
      </w:r>
      <w:r w:rsidR="00DE0F55" w:rsidRPr="000665B0">
        <w:t xml:space="preserve"> (lb)</w:t>
      </w:r>
      <w:r w:rsidRPr="000665B0">
        <w:t xml:space="preserve"> (range 0 – 2000 pounds) – The amount of fuel the missile has used.</w:t>
      </w:r>
    </w:p>
    <w:p w14:paraId="7BC55C3A" w14:textId="77777777" w:rsidR="005C6061" w:rsidRPr="000665B0" w:rsidRDefault="005C6061" w:rsidP="006D5A65">
      <w:pPr>
        <w:pStyle w:val="Heading1"/>
      </w:pPr>
      <w:r w:rsidRPr="000665B0">
        <w:t>Message Data:</w:t>
      </w:r>
    </w:p>
    <w:p w14:paraId="5D700658" w14:textId="2ADE7A49" w:rsidR="005C6061" w:rsidRPr="000665B0" w:rsidRDefault="005C6061" w:rsidP="006D5A65">
      <w:pPr>
        <w:pStyle w:val="Heading1"/>
      </w:pPr>
      <w:r w:rsidRPr="000665B0">
        <w:t>Message Seq</w:t>
      </w:r>
      <w:r w:rsidR="00DE0F55" w:rsidRPr="000665B0">
        <w:t>.</w:t>
      </w:r>
      <w:r w:rsidRPr="000665B0">
        <w:t xml:space="preserve"> Number (range 001 – 255) – Incremental count of messages issued by the missile, starting with 001.</w:t>
      </w:r>
    </w:p>
    <w:p w14:paraId="2DB03FC0" w14:textId="3AE035F3" w:rsidR="005C6061" w:rsidRPr="00B17338" w:rsidRDefault="005C6061" w:rsidP="006D5A65">
      <w:pPr>
        <w:pStyle w:val="Heading1"/>
        <w:rPr>
          <w:lang w:val="da-DK"/>
        </w:rPr>
      </w:pPr>
      <w:r w:rsidRPr="00B17338">
        <w:rPr>
          <w:lang w:val="da-DK"/>
        </w:rPr>
        <w:t>Message Type –</w:t>
      </w:r>
      <w:r w:rsidR="00264AAA" w:rsidRPr="00B17338">
        <w:rPr>
          <w:lang w:val="da-DK"/>
        </w:rPr>
        <w:t xml:space="preserve"> </w:t>
      </w:r>
      <w:r w:rsidR="00DE0F55" w:rsidRPr="00B17338">
        <w:rPr>
          <w:lang w:val="da-DK"/>
        </w:rPr>
        <w:t>MST H&amp;S</w:t>
      </w:r>
      <w:r w:rsidRPr="00B17338">
        <w:rPr>
          <w:lang w:val="da-DK"/>
        </w:rPr>
        <w:t xml:space="preserve">. </w:t>
      </w:r>
    </w:p>
    <w:p w14:paraId="5D8A8429" w14:textId="77777777" w:rsidR="005C6061" w:rsidRPr="000665B0" w:rsidRDefault="005C6061" w:rsidP="006D5A65">
      <w:pPr>
        <w:pStyle w:val="Heading1"/>
      </w:pPr>
      <w:r w:rsidRPr="000665B0">
        <w:t>SOM Header Type (Tactical or Training) – The header type used for this message.</w:t>
      </w:r>
    </w:p>
    <w:p w14:paraId="25FD09D0" w14:textId="77777777" w:rsidR="005C6061" w:rsidRPr="000665B0" w:rsidRDefault="005C6061" w:rsidP="006D5A65">
      <w:pPr>
        <w:pStyle w:val="Heading1"/>
      </w:pPr>
      <w:r w:rsidRPr="000665B0">
        <w:t>CRC-16 Value (Hex) – The Cyclic Redundancy Check (CRC) value calculated for this message. This is used to verify that the message is sent without any data loss.</w:t>
      </w:r>
    </w:p>
    <w:p w14:paraId="776E4022" w14:textId="77777777" w:rsidR="005C6061" w:rsidRPr="000665B0" w:rsidRDefault="005C6061" w:rsidP="006D5A65">
      <w:pPr>
        <w:pStyle w:val="Heading1"/>
      </w:pPr>
      <w:r w:rsidRPr="000665B0">
        <w:t>CRC-16 State – Pass/Fail indication for CRC-16 message data integrity verification.</w:t>
      </w:r>
    </w:p>
    <w:p w14:paraId="5B9F54CE" w14:textId="77777777" w:rsidR="005C6061" w:rsidRPr="000665B0" w:rsidRDefault="005C6061" w:rsidP="006D5A65">
      <w:pPr>
        <w:pStyle w:val="Heading1"/>
      </w:pPr>
      <w:r w:rsidRPr="000665B0">
        <w:t>Navigation Data:</w:t>
      </w:r>
    </w:p>
    <w:p w14:paraId="0A8557CD" w14:textId="325486EC" w:rsidR="005C6061" w:rsidRPr="000665B0" w:rsidRDefault="005C6061" w:rsidP="006D5A65">
      <w:pPr>
        <w:pStyle w:val="Heading1"/>
      </w:pPr>
      <w:r w:rsidRPr="000665B0">
        <w:t>Radial Position Uncertainty</w:t>
      </w:r>
      <w:r w:rsidR="00DE0F55" w:rsidRPr="000665B0">
        <w:t xml:space="preserve"> (ft)</w:t>
      </w:r>
      <w:r w:rsidRPr="000665B0">
        <w:t xml:space="preserve"> (range 0 – 2000 feet) – Indicates the accuracy of the missile’s current navigation solution.</w:t>
      </w:r>
    </w:p>
    <w:p w14:paraId="0BE1A621" w14:textId="77777777" w:rsidR="005C6061" w:rsidRPr="000665B0" w:rsidRDefault="005C6061" w:rsidP="006D5A65">
      <w:pPr>
        <w:pStyle w:val="Heading1"/>
      </w:pPr>
      <w:r w:rsidRPr="000665B0">
        <w:t>Target Data:</w:t>
      </w:r>
    </w:p>
    <w:p w14:paraId="6AAEFC61" w14:textId="4C8EEAAD" w:rsidR="005C6061" w:rsidRPr="000665B0" w:rsidRDefault="005C6061" w:rsidP="006D5A65">
      <w:pPr>
        <w:pStyle w:val="Heading1"/>
      </w:pPr>
      <w:r w:rsidRPr="000665B0">
        <w:t>Target Comms ID – I</w:t>
      </w:r>
      <w:r w:rsidR="00560875" w:rsidRPr="000665B0">
        <w:t>D</w:t>
      </w:r>
      <w:r w:rsidRPr="000665B0">
        <w:t xml:space="preserve"> of the </w:t>
      </w:r>
      <w:r w:rsidR="00560875" w:rsidRPr="000665B0">
        <w:t>t</w:t>
      </w:r>
      <w:r w:rsidRPr="000665B0">
        <w:t xml:space="preserve">argeted </w:t>
      </w:r>
      <w:r w:rsidR="00560875" w:rsidRPr="000665B0">
        <w:t>s</w:t>
      </w:r>
      <w:r w:rsidRPr="000665B0">
        <w:t>hip.</w:t>
      </w:r>
    </w:p>
    <w:p w14:paraId="5614FE83" w14:textId="5F04D4E0" w:rsidR="005C6061" w:rsidRPr="000665B0" w:rsidRDefault="005C6061" w:rsidP="006D5A65">
      <w:pPr>
        <w:pStyle w:val="Heading1"/>
      </w:pPr>
      <w:r w:rsidRPr="000665B0">
        <w:t xml:space="preserve">Time to Intercept – Estimated </w:t>
      </w:r>
      <w:r w:rsidR="00560875" w:rsidRPr="000665B0">
        <w:t>t</w:t>
      </w:r>
      <w:r w:rsidRPr="000665B0">
        <w:t xml:space="preserve">ime </w:t>
      </w:r>
      <w:r w:rsidR="00570338">
        <w:t>to intercept</w:t>
      </w:r>
      <w:r w:rsidRPr="000665B0">
        <w:t xml:space="preserve"> in hour:min:sec format. </w:t>
      </w:r>
    </w:p>
    <w:p w14:paraId="7E74C94B" w14:textId="23CF1A29" w:rsidR="005C6061" w:rsidRPr="000665B0" w:rsidRDefault="005C6061" w:rsidP="006D5A65">
      <w:pPr>
        <w:pStyle w:val="Heading1"/>
      </w:pPr>
      <w:r w:rsidRPr="000665B0">
        <w:t>Intercept Latitude</w:t>
      </w:r>
      <w:r w:rsidR="00560875" w:rsidRPr="000665B0">
        <w:t xml:space="preserve"> </w:t>
      </w:r>
      <w:r w:rsidRPr="000665B0">
        <w:t>– Latitude of target.</w:t>
      </w:r>
    </w:p>
    <w:p w14:paraId="615B3D0D" w14:textId="77777777" w:rsidR="005C6061" w:rsidRPr="000665B0" w:rsidRDefault="005C6061" w:rsidP="006D5A65">
      <w:pPr>
        <w:pStyle w:val="Heading1"/>
      </w:pPr>
      <w:r w:rsidRPr="000665B0">
        <w:t>Intercept Longitude –Longitude of target.</w:t>
      </w:r>
    </w:p>
    <w:p w14:paraId="044210D7" w14:textId="7E2AE636" w:rsidR="005C6061" w:rsidRPr="000665B0" w:rsidRDefault="005C6061" w:rsidP="006D5A65">
      <w:pPr>
        <w:pStyle w:val="Heading1"/>
      </w:pPr>
      <w:r w:rsidRPr="000665B0">
        <w:t xml:space="preserve">Intercept State – State of the missile at </w:t>
      </w:r>
      <w:r w:rsidR="00560875" w:rsidRPr="000665B0">
        <w:t xml:space="preserve">the </w:t>
      </w:r>
      <w:r w:rsidRPr="000665B0">
        <w:t xml:space="preserve">time </w:t>
      </w:r>
      <w:r w:rsidR="00560875" w:rsidRPr="000665B0">
        <w:t>the</w:t>
      </w:r>
      <w:r w:rsidRPr="000665B0">
        <w:t xml:space="preserve"> MST H&amp;S </w:t>
      </w:r>
      <w:r w:rsidR="00560875" w:rsidRPr="000665B0">
        <w:t>was s</w:t>
      </w:r>
      <w:r w:rsidRPr="000665B0">
        <w:t xml:space="preserve">ent. Possible </w:t>
      </w:r>
      <w:r w:rsidR="00560875" w:rsidRPr="000665B0">
        <w:t>states include</w:t>
      </w:r>
      <w:r w:rsidRPr="000665B0">
        <w:t>:</w:t>
      </w:r>
    </w:p>
    <w:p w14:paraId="758CB7E8" w14:textId="3C4D0B78" w:rsidR="005C6061" w:rsidRPr="000665B0" w:rsidRDefault="005C6061" w:rsidP="006D5A65">
      <w:pPr>
        <w:pStyle w:val="Heading1"/>
      </w:pPr>
      <w:bookmarkStart w:id="7003" w:name="_Hlk70491840"/>
      <w:r w:rsidRPr="000665B0">
        <w:t>On Preplanned Route (Prior to or at GHP</w:t>
      </w:r>
      <w:r w:rsidR="00560875" w:rsidRPr="000665B0">
        <w:t xml:space="preserve"> [Guidance </w:t>
      </w:r>
      <w:r w:rsidR="003C5F60">
        <w:t>Handover</w:t>
      </w:r>
      <w:r w:rsidR="003C5F60" w:rsidRPr="000665B0" w:rsidDel="003C5F60">
        <w:t xml:space="preserve"> </w:t>
      </w:r>
      <w:r w:rsidR="00560875" w:rsidRPr="000665B0">
        <w:t>Point]</w:t>
      </w:r>
      <w:r w:rsidRPr="000665B0">
        <w:t>)</w:t>
      </w:r>
    </w:p>
    <w:p w14:paraId="32783B24" w14:textId="77777777" w:rsidR="005C6061" w:rsidRPr="000665B0" w:rsidRDefault="005C6061" w:rsidP="006D5A65">
      <w:pPr>
        <w:pStyle w:val="Heading1"/>
      </w:pPr>
      <w:r w:rsidRPr="000665B0">
        <w:t>Target Miss</w:t>
      </w:r>
    </w:p>
    <w:p w14:paraId="4981914B" w14:textId="77777777" w:rsidR="005C6061" w:rsidRPr="000665B0" w:rsidRDefault="005C6061" w:rsidP="006D5A65">
      <w:pPr>
        <w:pStyle w:val="Heading1"/>
      </w:pPr>
      <w:r w:rsidRPr="000665B0">
        <w:t>On Aimpoint Update (Divert)</w:t>
      </w:r>
    </w:p>
    <w:p w14:paraId="0AAFD373" w14:textId="77777777" w:rsidR="005C6061" w:rsidRPr="000665B0" w:rsidRDefault="005C6061" w:rsidP="006D5A65">
      <w:pPr>
        <w:pStyle w:val="Heading1"/>
      </w:pPr>
      <w:r w:rsidRPr="000665B0">
        <w:t>Abort</w:t>
      </w:r>
    </w:p>
    <w:p w14:paraId="164F9728" w14:textId="77777777" w:rsidR="005C6061" w:rsidRPr="000665B0" w:rsidRDefault="005C6061" w:rsidP="006D5A65">
      <w:pPr>
        <w:pStyle w:val="Heading1"/>
      </w:pPr>
      <w:r w:rsidRPr="000665B0">
        <w:t>Departed Preplanned Route (Past GHP)</w:t>
      </w:r>
    </w:p>
    <w:p w14:paraId="06668BBD" w14:textId="77777777" w:rsidR="005C6061" w:rsidRPr="000665B0" w:rsidRDefault="005C6061" w:rsidP="006D5A65">
      <w:pPr>
        <w:pStyle w:val="Heading1"/>
      </w:pPr>
      <w:r w:rsidRPr="000665B0">
        <w:t>Engaging Primary Target Class</w:t>
      </w:r>
    </w:p>
    <w:p w14:paraId="270B7999" w14:textId="77777777" w:rsidR="005C6061" w:rsidRPr="000665B0" w:rsidRDefault="005C6061" w:rsidP="006D5A65">
      <w:pPr>
        <w:pStyle w:val="Heading1"/>
      </w:pPr>
      <w:r w:rsidRPr="000665B0">
        <w:t>Engaging Secondary Target Class</w:t>
      </w:r>
    </w:p>
    <w:p w14:paraId="7E44B54D" w14:textId="77777777" w:rsidR="005C6061" w:rsidRPr="000665B0" w:rsidRDefault="005C6061" w:rsidP="006D5A65">
      <w:pPr>
        <w:pStyle w:val="Heading1"/>
      </w:pPr>
      <w:r w:rsidRPr="000665B0">
        <w:t>Engaging Tertiary Target Class</w:t>
      </w:r>
    </w:p>
    <w:bookmarkEnd w:id="7003"/>
    <w:p w14:paraId="7D5AEE21" w14:textId="6FAB11CA" w:rsidR="005C6061" w:rsidRPr="000665B0" w:rsidRDefault="005C6061" w:rsidP="006D5A65">
      <w:pPr>
        <w:pStyle w:val="Heading1"/>
      </w:pPr>
      <w:r w:rsidRPr="000665B0">
        <w:t>On Preplanned Route (Past GHP)</w:t>
      </w:r>
    </w:p>
    <w:p w14:paraId="246E6652" w14:textId="1ACAB37F" w:rsidR="005C6061" w:rsidRPr="000665B0" w:rsidRDefault="005C6061" w:rsidP="006D5A65">
      <w:pPr>
        <w:pStyle w:val="Heading1"/>
      </w:pPr>
      <w:r w:rsidRPr="000665B0">
        <w:t>On Preplanned Route (In Loiter)</w:t>
      </w:r>
    </w:p>
    <w:p w14:paraId="3A5814DB" w14:textId="77777777" w:rsidR="005C6061" w:rsidRPr="000665B0" w:rsidRDefault="005C6061" w:rsidP="006D5A65">
      <w:pPr>
        <w:pStyle w:val="Heading1"/>
      </w:pPr>
      <w:bookmarkStart w:id="7004" w:name="_Hlk74147255"/>
      <w:r w:rsidRPr="000665B0">
        <w:t>Primary Target Class – The Primary Target Class for the missile to engage.</w:t>
      </w:r>
    </w:p>
    <w:p w14:paraId="6024F0D2" w14:textId="77777777" w:rsidR="005C6061" w:rsidRPr="000665B0" w:rsidRDefault="005C6061" w:rsidP="006D5A65">
      <w:pPr>
        <w:pStyle w:val="Heading1"/>
      </w:pPr>
      <w:r w:rsidRPr="000665B0">
        <w:lastRenderedPageBreak/>
        <w:t>Secondary Target Class – The Secondary Target Class for the missile to engage.</w:t>
      </w:r>
    </w:p>
    <w:p w14:paraId="04378B46" w14:textId="77777777" w:rsidR="005C6061" w:rsidRPr="000665B0" w:rsidRDefault="005C6061" w:rsidP="006D5A65">
      <w:pPr>
        <w:pStyle w:val="Heading1"/>
      </w:pPr>
      <w:r w:rsidRPr="000665B0">
        <w:t>Tertiary Target Class – The Third Target Class for the missile to engage (optional).</w:t>
      </w:r>
    </w:p>
    <w:bookmarkEnd w:id="7004"/>
    <w:p w14:paraId="61E6ADE1" w14:textId="27A1C0BE" w:rsidR="005C6061" w:rsidRPr="000665B0" w:rsidRDefault="005C6061" w:rsidP="006D5A65">
      <w:pPr>
        <w:pStyle w:val="Heading1"/>
      </w:pPr>
      <w:r w:rsidRPr="000665B0">
        <w:t xml:space="preserve">Seeker Acquisition State – State of missile Seeker Acquisition. Possible </w:t>
      </w:r>
      <w:r w:rsidR="00560875" w:rsidRPr="000665B0">
        <w:t>states include:</w:t>
      </w:r>
    </w:p>
    <w:p w14:paraId="69A98C71" w14:textId="3635CEFD" w:rsidR="005C6061" w:rsidRPr="000665B0" w:rsidRDefault="005C6061" w:rsidP="006D5A65">
      <w:pPr>
        <w:pStyle w:val="Heading1"/>
      </w:pPr>
      <w:r w:rsidRPr="000665B0">
        <w:t>Not Acquired – Target not a</w:t>
      </w:r>
      <w:r w:rsidR="00371A2B" w:rsidRPr="000665B0">
        <w:t>c</w:t>
      </w:r>
      <w:r w:rsidRPr="000665B0">
        <w:t>quired</w:t>
      </w:r>
      <w:r w:rsidR="00E578BA">
        <w:t>.</w:t>
      </w:r>
    </w:p>
    <w:p w14:paraId="287DC6FC" w14:textId="22980DA5" w:rsidR="005C6061" w:rsidRPr="000665B0" w:rsidRDefault="005C6061" w:rsidP="006D5A65">
      <w:pPr>
        <w:pStyle w:val="Heading1"/>
      </w:pPr>
      <w:r w:rsidRPr="000665B0">
        <w:t xml:space="preserve">Passive Acquired </w:t>
      </w:r>
      <w:r w:rsidR="00382ED9" w:rsidRPr="000665B0">
        <w:t>–</w:t>
      </w:r>
      <w:r w:rsidRPr="000665B0">
        <w:t xml:space="preserve"> Target </w:t>
      </w:r>
      <w:r w:rsidR="0001412A" w:rsidRPr="000665B0">
        <w:t>acquired</w:t>
      </w:r>
      <w:r w:rsidRPr="000665B0">
        <w:t xml:space="preserve"> with passive </w:t>
      </w:r>
      <w:r w:rsidR="00E01247" w:rsidRPr="000665B0">
        <w:t>seeker.</w:t>
      </w:r>
    </w:p>
    <w:p w14:paraId="5C798C24" w14:textId="4DF0F6DF" w:rsidR="005C6061" w:rsidRPr="000665B0" w:rsidRDefault="005C6061" w:rsidP="006D5A65">
      <w:pPr>
        <w:pStyle w:val="Heading1"/>
      </w:pPr>
      <w:r w:rsidRPr="000665B0">
        <w:t xml:space="preserve">Active Acquired </w:t>
      </w:r>
      <w:r w:rsidR="00382ED9" w:rsidRPr="000665B0">
        <w:t>–</w:t>
      </w:r>
      <w:r w:rsidRPr="000665B0">
        <w:t xml:space="preserve"> Target </w:t>
      </w:r>
      <w:r w:rsidR="0001412A" w:rsidRPr="000665B0">
        <w:t>acquired</w:t>
      </w:r>
      <w:r w:rsidRPr="000665B0">
        <w:t xml:space="preserve"> with active seeker</w:t>
      </w:r>
      <w:r w:rsidR="008056A6" w:rsidRPr="000665B0">
        <w:t>.</w:t>
      </w:r>
    </w:p>
    <w:p w14:paraId="3E022050" w14:textId="1027F89C" w:rsidR="005C6061" w:rsidRPr="000665B0" w:rsidRDefault="005C6061" w:rsidP="006D5A65">
      <w:pPr>
        <w:pStyle w:val="Heading1"/>
      </w:pPr>
      <w:r w:rsidRPr="000665B0">
        <w:t xml:space="preserve">FOC Radius – The radius </w:t>
      </w:r>
      <w:r w:rsidR="00382ED9" w:rsidRPr="000665B0">
        <w:t>(</w:t>
      </w:r>
      <w:r w:rsidRPr="000665B0">
        <w:t>in nautical miles</w:t>
      </w:r>
      <w:r w:rsidR="00382ED9" w:rsidRPr="000665B0">
        <w:t>)</w:t>
      </w:r>
      <w:r w:rsidRPr="000665B0">
        <w:t xml:space="preserve"> of the </w:t>
      </w:r>
      <w:r w:rsidR="00382ED9" w:rsidRPr="000665B0">
        <w:t>F</w:t>
      </w:r>
      <w:r w:rsidRPr="000665B0">
        <w:t xml:space="preserve">arthest </w:t>
      </w:r>
      <w:r w:rsidR="00382ED9" w:rsidRPr="000665B0">
        <w:t>O</w:t>
      </w:r>
      <w:r w:rsidRPr="000665B0">
        <w:t xml:space="preserve">n </w:t>
      </w:r>
      <w:r w:rsidR="00382ED9" w:rsidRPr="000665B0">
        <w:t>C</w:t>
      </w:r>
      <w:r w:rsidRPr="000665B0">
        <w:t>ircle around the target</w:t>
      </w:r>
      <w:r w:rsidR="00382ED9" w:rsidRPr="000665B0">
        <w:t>.</w:t>
      </w:r>
    </w:p>
    <w:p w14:paraId="729E71BB" w14:textId="0BD831F9" w:rsidR="005C6061" w:rsidRPr="000665B0" w:rsidRDefault="005C6061" w:rsidP="006D5A65">
      <w:pPr>
        <w:pStyle w:val="Heading1"/>
      </w:pPr>
      <w:r w:rsidRPr="000665B0">
        <w:t>SEP Target Data Valid Time – GMT time tag of the SEP</w:t>
      </w:r>
      <w:r w:rsidR="00417356" w:rsidRPr="000665B0">
        <w:t xml:space="preserve"> (Strike Execution Package)</w:t>
      </w:r>
      <w:r w:rsidRPr="000665B0">
        <w:t xml:space="preserve">. </w:t>
      </w:r>
    </w:p>
    <w:p w14:paraId="437DF683" w14:textId="2A13BA16" w:rsidR="005C6061" w:rsidRPr="000665B0" w:rsidRDefault="005C6061" w:rsidP="006D5A65">
      <w:pPr>
        <w:pStyle w:val="Heading1"/>
      </w:pPr>
      <w:r w:rsidRPr="000665B0">
        <w:t xml:space="preserve">SEP Target Latitude – Latitude of target at the time the SEP </w:t>
      </w:r>
      <w:r w:rsidR="00382ED9" w:rsidRPr="000665B0">
        <w:t xml:space="preserve">was </w:t>
      </w:r>
      <w:r w:rsidRPr="000665B0">
        <w:t>created.</w:t>
      </w:r>
    </w:p>
    <w:p w14:paraId="5266E8DD" w14:textId="35AFDBEC" w:rsidR="005C6061" w:rsidRDefault="005C6061" w:rsidP="006D5A65">
      <w:pPr>
        <w:pStyle w:val="Heading1"/>
      </w:pPr>
      <w:r w:rsidRPr="000665B0">
        <w:t xml:space="preserve">SEP Target Longitude – Longitude of target at the time the SEP </w:t>
      </w:r>
      <w:r w:rsidR="00382ED9" w:rsidRPr="000665B0">
        <w:t xml:space="preserve">was </w:t>
      </w:r>
      <w:r w:rsidRPr="000665B0">
        <w:t>created.</w:t>
      </w:r>
    </w:p>
    <w:p w14:paraId="41061135" w14:textId="0E6AC3A1" w:rsidR="000E2804" w:rsidRPr="00A0163E" w:rsidRDefault="000E2804" w:rsidP="00A0163E">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D9D9D9" w:themeFill="background1" w:themeFillShade="D9"/>
        <w:ind w:left="360"/>
        <w:jc w:val="center"/>
        <w:rPr>
          <w:rFonts w:eastAsia="Times New Roman"/>
          <w:b/>
          <w:bCs/>
          <w:color w:val="000000"/>
          <w:szCs w:val="24"/>
        </w:rPr>
      </w:pPr>
      <w:r w:rsidRPr="00A0163E">
        <w:rPr>
          <w:rFonts w:eastAsia="Times New Roman"/>
          <w:b/>
          <w:bCs/>
          <w:color w:val="000000"/>
          <w:szCs w:val="24"/>
        </w:rPr>
        <w:t>N</w:t>
      </w:r>
      <w:r>
        <w:rPr>
          <w:rFonts w:eastAsia="Times New Roman"/>
          <w:b/>
          <w:bCs/>
          <w:color w:val="000000"/>
          <w:szCs w:val="24"/>
        </w:rPr>
        <w:t>ote</w:t>
      </w:r>
      <w:r w:rsidRPr="00A0163E">
        <w:rPr>
          <w:rFonts w:eastAsia="Times New Roman"/>
          <w:b/>
          <w:bCs/>
          <w:color w:val="000000"/>
          <w:szCs w:val="24"/>
        </w:rPr>
        <w:t>:</w:t>
      </w:r>
      <w:r w:rsidRPr="00A0163E">
        <w:rPr>
          <w:rFonts w:eastAsia="Times New Roman"/>
          <w:b/>
          <w:bCs/>
          <w:color w:val="000000"/>
          <w:szCs w:val="24"/>
        </w:rPr>
        <w:br/>
        <w:t xml:space="preserve">For SEP Target Latitude/Longitude: The data has a low resolution and can be up to 7 seconds off from the original (e.g., 60 Deg may show up as 59 </w:t>
      </w:r>
      <w:r w:rsidR="002359C6">
        <w:rPr>
          <w:rFonts w:eastAsia="Times New Roman"/>
          <w:b/>
          <w:bCs/>
          <w:color w:val="000000"/>
          <w:szCs w:val="24"/>
        </w:rPr>
        <w:t>D</w:t>
      </w:r>
      <w:r w:rsidRPr="00A0163E">
        <w:rPr>
          <w:rFonts w:eastAsia="Times New Roman"/>
          <w:b/>
          <w:bCs/>
          <w:color w:val="000000"/>
          <w:szCs w:val="24"/>
        </w:rPr>
        <w:t>eg 59 min 53 sec or 60 Deg 0 min 7 sec).</w:t>
      </w:r>
    </w:p>
    <w:p w14:paraId="510047FE" w14:textId="6386D180" w:rsidR="005C6061" w:rsidRPr="000665B0" w:rsidRDefault="005C6061" w:rsidP="006D5A65">
      <w:pPr>
        <w:pStyle w:val="Heading1"/>
      </w:pPr>
      <w:bookmarkStart w:id="7005" w:name="_Hlk71203357"/>
      <w:r w:rsidRPr="000665B0">
        <w:lastRenderedPageBreak/>
        <w:t xml:space="preserve">Event Reporting (3 </w:t>
      </w:r>
      <w:r w:rsidR="00417356" w:rsidRPr="000665B0">
        <w:t>s</w:t>
      </w:r>
      <w:r w:rsidRPr="000665B0">
        <w:t>ubgroups)</w:t>
      </w:r>
    </w:p>
    <w:p w14:paraId="12D6AFB9" w14:textId="6F32363E" w:rsidR="005C6061" w:rsidRPr="000665B0" w:rsidRDefault="005C6061" w:rsidP="006D5A65">
      <w:pPr>
        <w:pStyle w:val="Heading1"/>
      </w:pPr>
      <w:r w:rsidRPr="000665B0">
        <w:t>Scheduled H</w:t>
      </w:r>
      <w:r w:rsidR="00C54D61" w:rsidRPr="000665B0">
        <w:t>&amp;</w:t>
      </w:r>
      <w:r w:rsidRPr="000665B0">
        <w:t xml:space="preserve">S Enabled – </w:t>
      </w:r>
      <w:r w:rsidR="00417356" w:rsidRPr="000665B0">
        <w:t xml:space="preserve">When checked, indicates that </w:t>
      </w:r>
      <w:r w:rsidRPr="000665B0">
        <w:t xml:space="preserve">Scheduled H&amp;S </w:t>
      </w:r>
      <w:r w:rsidR="00417356" w:rsidRPr="000665B0">
        <w:t xml:space="preserve">messages </w:t>
      </w:r>
      <w:r w:rsidRPr="000665B0">
        <w:t>will be sent</w:t>
      </w:r>
      <w:r w:rsidR="00417356" w:rsidRPr="000665B0">
        <w:t>.</w:t>
      </w:r>
    </w:p>
    <w:p w14:paraId="511FF485" w14:textId="7457CD00" w:rsidR="005C6061" w:rsidRPr="000665B0" w:rsidRDefault="005C6061" w:rsidP="006D5A65">
      <w:pPr>
        <w:pStyle w:val="Heading1"/>
      </w:pPr>
      <w:r w:rsidRPr="000665B0">
        <w:t>Terminal H</w:t>
      </w:r>
      <w:r w:rsidR="00C54D61" w:rsidRPr="000665B0">
        <w:t>&amp;</w:t>
      </w:r>
      <w:r w:rsidRPr="000665B0">
        <w:t xml:space="preserve">S Enabled – </w:t>
      </w:r>
      <w:r w:rsidR="00417356" w:rsidRPr="000665B0">
        <w:t xml:space="preserve">When checked, indicates that </w:t>
      </w:r>
      <w:r w:rsidRPr="000665B0">
        <w:t xml:space="preserve">Terminal H&amp;S </w:t>
      </w:r>
      <w:r w:rsidR="00417356" w:rsidRPr="000665B0">
        <w:t xml:space="preserve">messages </w:t>
      </w:r>
      <w:r w:rsidRPr="000665B0">
        <w:t>will be sent</w:t>
      </w:r>
      <w:r w:rsidR="00417356" w:rsidRPr="000665B0">
        <w:t>.</w:t>
      </w:r>
    </w:p>
    <w:p w14:paraId="51F46184" w14:textId="77777777" w:rsidR="005C6061" w:rsidRPr="000665B0" w:rsidRDefault="005C6061" w:rsidP="006D5A65">
      <w:pPr>
        <w:pStyle w:val="Heading1"/>
      </w:pPr>
      <w:r w:rsidRPr="000665B0">
        <w:t>Events:</w:t>
      </w:r>
    </w:p>
    <w:p w14:paraId="274DDE92" w14:textId="77777777" w:rsidR="005C6061" w:rsidRPr="000665B0" w:rsidRDefault="005C6061" w:rsidP="006D5A65">
      <w:pPr>
        <w:pStyle w:val="Heading1"/>
      </w:pPr>
      <w:r w:rsidRPr="000665B0">
        <w:t>Cruise Transition</w:t>
      </w:r>
    </w:p>
    <w:p w14:paraId="716043CE" w14:textId="77777777" w:rsidR="005C6061" w:rsidRPr="000665B0" w:rsidRDefault="005C6061" w:rsidP="006D5A65">
      <w:pPr>
        <w:pStyle w:val="Heading1"/>
      </w:pPr>
      <w:r w:rsidRPr="000665B0">
        <w:t>GPS High Power Ceased</w:t>
      </w:r>
    </w:p>
    <w:p w14:paraId="15161B97" w14:textId="77777777" w:rsidR="005C6061" w:rsidRPr="000665B0" w:rsidRDefault="005C6061" w:rsidP="006D5A65">
      <w:pPr>
        <w:pStyle w:val="Heading1"/>
      </w:pPr>
      <w:r w:rsidRPr="000665B0">
        <w:t>Intercept State Changed</w:t>
      </w:r>
    </w:p>
    <w:p w14:paraId="0C2D3D1C" w14:textId="1980DEB6" w:rsidR="005C6061" w:rsidRPr="000665B0" w:rsidRDefault="005C6061" w:rsidP="006D5A65">
      <w:pPr>
        <w:pStyle w:val="Heading1"/>
      </w:pPr>
      <w:r w:rsidRPr="000665B0">
        <w:t>Terminal H</w:t>
      </w:r>
      <w:r w:rsidR="005961FE" w:rsidRPr="000665B0">
        <w:t>&amp;</w:t>
      </w:r>
      <w:r w:rsidRPr="000665B0">
        <w:t>S</w:t>
      </w:r>
    </w:p>
    <w:p w14:paraId="3E8E1910" w14:textId="77777777" w:rsidR="005C6061" w:rsidRPr="000665B0" w:rsidRDefault="005C6061" w:rsidP="006D5A65">
      <w:pPr>
        <w:pStyle w:val="Heading1"/>
      </w:pPr>
      <w:r w:rsidRPr="000665B0">
        <w:t>Problems:</w:t>
      </w:r>
    </w:p>
    <w:p w14:paraId="6C6455FF" w14:textId="77777777" w:rsidR="005C6061" w:rsidRPr="000665B0" w:rsidRDefault="005C6061" w:rsidP="006D5A65">
      <w:pPr>
        <w:pStyle w:val="Heading1"/>
      </w:pPr>
      <w:r w:rsidRPr="000665B0">
        <w:t>GPS High Power</w:t>
      </w:r>
    </w:p>
    <w:p w14:paraId="60441A03" w14:textId="77777777" w:rsidR="005C6061" w:rsidRPr="000665B0" w:rsidRDefault="005C6061" w:rsidP="006D5A65">
      <w:pPr>
        <w:pStyle w:val="Heading1"/>
      </w:pPr>
      <w:r w:rsidRPr="000665B0">
        <w:t>GPS Not Providing Updates</w:t>
      </w:r>
    </w:p>
    <w:p w14:paraId="2FA6C107" w14:textId="7FECB056" w:rsidR="005C6061" w:rsidRPr="000665B0" w:rsidRDefault="005C6061" w:rsidP="006D5A65">
      <w:pPr>
        <w:pStyle w:val="Heading1"/>
      </w:pPr>
      <w:r w:rsidRPr="000665B0">
        <w:t>Invalid Outcome</w:t>
      </w:r>
    </w:p>
    <w:p w14:paraId="2B47FE83" w14:textId="4141FA28" w:rsidR="005C6061" w:rsidRPr="000665B0" w:rsidRDefault="005C6061" w:rsidP="006D5A65">
      <w:pPr>
        <w:pStyle w:val="Heading1"/>
      </w:pPr>
      <w:r w:rsidRPr="000665B0">
        <w:t>B</w:t>
      </w:r>
      <w:r w:rsidR="00934D48" w:rsidRPr="000665B0">
        <w:t>IT</w:t>
      </w:r>
      <w:r w:rsidR="00B82085" w:rsidRPr="000665B0">
        <w:t xml:space="preserve"> </w:t>
      </w:r>
      <w:r w:rsidRPr="000665B0">
        <w:t>Failures:</w:t>
      </w:r>
    </w:p>
    <w:p w14:paraId="03FBC0AF" w14:textId="77777777" w:rsidR="005C6061" w:rsidRPr="000665B0" w:rsidRDefault="005C6061" w:rsidP="006D5A65">
      <w:pPr>
        <w:pStyle w:val="Heading1"/>
      </w:pPr>
      <w:r w:rsidRPr="000665B0">
        <w:t>AGR</w:t>
      </w:r>
    </w:p>
    <w:p w14:paraId="6C1BABEC" w14:textId="77777777" w:rsidR="005C6061" w:rsidRPr="000665B0" w:rsidRDefault="005C6061" w:rsidP="006D5A65">
      <w:pPr>
        <w:pStyle w:val="Heading1"/>
      </w:pPr>
      <w:r w:rsidRPr="000665B0">
        <w:t>IMU</w:t>
      </w:r>
    </w:p>
    <w:p w14:paraId="7C9F7F55" w14:textId="77777777" w:rsidR="005C6061" w:rsidRPr="000665B0" w:rsidRDefault="005C6061" w:rsidP="006D5A65">
      <w:pPr>
        <w:pStyle w:val="Heading1"/>
      </w:pPr>
      <w:r w:rsidRPr="000665B0">
        <w:t>PST</w:t>
      </w:r>
    </w:p>
    <w:p w14:paraId="0DE4D0CD" w14:textId="77777777" w:rsidR="005C6061" w:rsidRPr="000665B0" w:rsidRDefault="005C6061" w:rsidP="006D5A65">
      <w:pPr>
        <w:pStyle w:val="Heading1"/>
      </w:pPr>
      <w:r w:rsidRPr="000665B0">
        <w:t>Seeker</w:t>
      </w:r>
    </w:p>
    <w:p w14:paraId="1E2AF1C3" w14:textId="77777777" w:rsidR="005C6061" w:rsidRPr="000665B0" w:rsidRDefault="005C6061" w:rsidP="006D5A65">
      <w:pPr>
        <w:pStyle w:val="Heading1"/>
      </w:pPr>
      <w:r w:rsidRPr="000665B0">
        <w:t>Air Data Module</w:t>
      </w:r>
    </w:p>
    <w:p w14:paraId="70897C89" w14:textId="77777777" w:rsidR="005C6061" w:rsidRPr="000665B0" w:rsidRDefault="005C6061" w:rsidP="006D5A65">
      <w:pPr>
        <w:pStyle w:val="Heading1"/>
      </w:pPr>
      <w:r w:rsidRPr="000665B0">
        <w:t>Guidance Processor</w:t>
      </w:r>
    </w:p>
    <w:p w14:paraId="657B8489" w14:textId="77777777" w:rsidR="005C6061" w:rsidRPr="000665B0" w:rsidRDefault="005C6061" w:rsidP="006D5A65">
      <w:pPr>
        <w:pStyle w:val="Heading1"/>
      </w:pPr>
      <w:r w:rsidRPr="000665B0">
        <w:t>Radar Altimeter</w:t>
      </w:r>
    </w:p>
    <w:p w14:paraId="4E9863D8" w14:textId="77777777" w:rsidR="005C6061" w:rsidRPr="000665B0" w:rsidRDefault="005C6061" w:rsidP="006D5A65">
      <w:pPr>
        <w:pStyle w:val="Heading1"/>
      </w:pPr>
      <w:r w:rsidRPr="000665B0">
        <w:t>Active Seeker</w:t>
      </w:r>
    </w:p>
    <w:p w14:paraId="28296830" w14:textId="105D8E8E" w:rsidR="00FF4A5F" w:rsidRDefault="005C6061" w:rsidP="006D5A65">
      <w:pPr>
        <w:pStyle w:val="Heading1"/>
      </w:pPr>
      <w:r w:rsidRPr="000665B0">
        <w:t>Passive Seeker</w:t>
      </w:r>
    </w:p>
    <w:p w14:paraId="7092A325" w14:textId="05930E4B" w:rsidR="00FF4A5F" w:rsidRPr="00BA09AE" w:rsidRDefault="00FF4A5F" w:rsidP="00FF042B">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r w:rsidRPr="00BA09AE">
        <w:rPr>
          <w:rFonts w:ascii="Times New Roman" w:hAnsi="Times New Roman"/>
          <w:b/>
          <w:bCs/>
          <w:sz w:val="24"/>
          <w:szCs w:val="24"/>
        </w:rPr>
        <w:t>Note:</w:t>
      </w:r>
    </w:p>
    <w:p w14:paraId="4489BAA0" w14:textId="0E26EE0E" w:rsidR="00FF4A5F" w:rsidRPr="001F4B14" w:rsidRDefault="00FF4A5F" w:rsidP="00BB4EBE">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r w:rsidRPr="001F4B14">
        <w:rPr>
          <w:rFonts w:ascii="Times New Roman" w:hAnsi="Times New Roman"/>
          <w:b/>
          <w:bCs/>
          <w:sz w:val="24"/>
          <w:szCs w:val="24"/>
        </w:rPr>
        <w:t xml:space="preserve">Any MST H&amp;S sent prior to FPPWP will have a bogus Time to Intercept value which </w:t>
      </w:r>
      <w:r w:rsidRPr="00BA09AE">
        <w:rPr>
          <w:rFonts w:ascii="Times New Roman" w:hAnsi="Times New Roman"/>
          <w:b/>
          <w:bCs/>
          <w:sz w:val="24"/>
          <w:szCs w:val="24"/>
        </w:rPr>
        <w:t>should be ignored</w:t>
      </w:r>
      <w:r w:rsidRPr="001F4B14">
        <w:rPr>
          <w:rFonts w:ascii="Times New Roman" w:hAnsi="Times New Roman"/>
          <w:b/>
          <w:bCs/>
          <w:sz w:val="24"/>
          <w:szCs w:val="24"/>
        </w:rPr>
        <w:t>.</w:t>
      </w:r>
    </w:p>
    <w:p w14:paraId="72C97373" w14:textId="77777777" w:rsidR="00FF4A5F" w:rsidRPr="001F4B14" w:rsidRDefault="00FF4A5F" w:rsidP="00BB4EBE">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p>
    <w:p w14:paraId="355EEF20" w14:textId="77777777" w:rsidR="00FF4A5F" w:rsidRPr="001F4B14" w:rsidRDefault="00FF4A5F" w:rsidP="00BB4EBE">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r w:rsidRPr="001F4B14">
        <w:rPr>
          <w:rFonts w:ascii="Times New Roman" w:hAnsi="Times New Roman"/>
          <w:b/>
          <w:bCs/>
          <w:sz w:val="24"/>
          <w:szCs w:val="24"/>
        </w:rPr>
        <w:t>Any MST H&amp;S sent at or after FPPWP will report the correct Time to Intercept.</w:t>
      </w:r>
    </w:p>
    <w:p w14:paraId="16086B48" w14:textId="77777777" w:rsidR="00FF4A5F" w:rsidRPr="00FF4A5F" w:rsidRDefault="00FF4A5F" w:rsidP="00532D3F">
      <w:pPr>
        <w:spacing w:after="0"/>
        <w:rPr>
          <w:szCs w:val="24"/>
        </w:rPr>
      </w:pPr>
    </w:p>
    <w:p w14:paraId="5C0855AA" w14:textId="4CD1848C" w:rsidR="00FF4A5F" w:rsidRPr="00BA09AE" w:rsidRDefault="00FF4A5F" w:rsidP="00BB4EBE">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r w:rsidRPr="00BA09AE">
        <w:rPr>
          <w:rFonts w:ascii="Times New Roman" w:hAnsi="Times New Roman"/>
          <w:b/>
          <w:bCs/>
          <w:sz w:val="24"/>
          <w:szCs w:val="24"/>
        </w:rPr>
        <w:t>Note:</w:t>
      </w:r>
    </w:p>
    <w:p w14:paraId="473B3AC6" w14:textId="576786AA" w:rsidR="005C6061" w:rsidRPr="001F4B14" w:rsidRDefault="00FF4A5F" w:rsidP="00BB4EBE">
      <w:pPr>
        <w:pStyle w:val="ListParagraph"/>
        <w:pBdr>
          <w:top w:val="single" w:sz="12" w:space="1" w:color="auto"/>
          <w:left w:val="single" w:sz="12" w:space="4" w:color="auto"/>
          <w:bottom w:val="single" w:sz="12" w:space="1" w:color="auto"/>
          <w:right w:val="single" w:sz="12" w:space="4" w:color="auto"/>
        </w:pBdr>
        <w:shd w:val="clear" w:color="auto" w:fill="D9D9D9"/>
        <w:ind w:left="0"/>
        <w:jc w:val="center"/>
        <w:rPr>
          <w:rFonts w:ascii="Times New Roman" w:hAnsi="Times New Roman"/>
          <w:b/>
          <w:bCs/>
          <w:sz w:val="24"/>
          <w:szCs w:val="24"/>
        </w:rPr>
      </w:pPr>
      <w:r w:rsidRPr="001F4B14">
        <w:rPr>
          <w:rFonts w:ascii="Times New Roman" w:hAnsi="Times New Roman"/>
          <w:b/>
          <w:bCs/>
          <w:sz w:val="24"/>
          <w:szCs w:val="24"/>
        </w:rPr>
        <w:t>The Time to Intercept, Intercept Latitude and Longitude correspond to the GHP prior to GHP.</w:t>
      </w:r>
    </w:p>
    <w:p w14:paraId="281D28B1" w14:textId="77777777" w:rsidR="00880B74" w:rsidRDefault="00880B74" w:rsidP="00880B74">
      <w:pPr>
        <w:pStyle w:val="Heading4"/>
      </w:pPr>
      <w:bookmarkStart w:id="7006" w:name="_IMMM__Log"/>
      <w:bookmarkStart w:id="7007" w:name="_Hlk71622544"/>
      <w:bookmarkEnd w:id="6988"/>
      <w:bookmarkEnd w:id="6999"/>
      <w:bookmarkEnd w:id="7005"/>
      <w:bookmarkEnd w:id="7006"/>
      <w:r>
        <w:t>Print Health and Status Message</w:t>
      </w:r>
    </w:p>
    <w:p w14:paraId="2A65D7C6" w14:textId="32E03BE9" w:rsidR="00880B74" w:rsidRPr="000665B0" w:rsidRDefault="00880B74" w:rsidP="00D06BB8">
      <w:r>
        <w:t xml:space="preserve">Any H&amp;S message may be printed by selecting the </w:t>
      </w:r>
      <w:r w:rsidRPr="00D06BB8">
        <w:rPr>
          <w:b/>
          <w:bCs/>
        </w:rPr>
        <w:t>File</w:t>
      </w:r>
      <w:r>
        <w:t xml:space="preserve"> menu item on the top left-hand-corner and selecting Print. This will open a Word document version of the H&amp;S message. Land Attack H&amp;S messages may print the Raw Data information by opening the </w:t>
      </w:r>
      <w:r w:rsidRPr="00D06BB8">
        <w:rPr>
          <w:b/>
          <w:bCs/>
          <w:i/>
          <w:iCs/>
        </w:rPr>
        <w:t>Raw Data</w:t>
      </w:r>
      <w:r>
        <w:t xml:space="preserve"> tab prior to selecting Print.</w:t>
      </w:r>
    </w:p>
    <w:p w14:paraId="584A4C55" w14:textId="4EBF75BB" w:rsidR="00CD2871" w:rsidRPr="000665B0" w:rsidRDefault="00CD2871" w:rsidP="00B35EE5">
      <w:pPr>
        <w:pStyle w:val="Heading3"/>
      </w:pPr>
      <w:bookmarkStart w:id="7008" w:name="_IMMM_Log_1"/>
      <w:bookmarkStart w:id="7009" w:name="_Toc214283612"/>
      <w:bookmarkEnd w:id="7008"/>
      <w:r w:rsidRPr="000665B0">
        <w:t>IMMM Log</w:t>
      </w:r>
      <w:bookmarkEnd w:id="7000"/>
      <w:bookmarkEnd w:id="7001"/>
      <w:bookmarkEnd w:id="7009"/>
    </w:p>
    <w:p w14:paraId="355F42FA" w14:textId="77777777" w:rsidR="00CD2871" w:rsidRPr="000665B0" w:rsidRDefault="00CD2871" w:rsidP="00CD2871">
      <w:pPr>
        <w:pStyle w:val="BodyTextIndent2"/>
        <w:spacing w:line="240" w:lineRule="auto"/>
        <w:ind w:left="0"/>
      </w:pPr>
      <w:r w:rsidRPr="000665B0">
        <w:t xml:space="preserve">An IMMM is a control message sent from MDS or TTWCS to a </w:t>
      </w:r>
      <w:r w:rsidR="001C6D19" w:rsidRPr="000665B0">
        <w:t>109E</w:t>
      </w:r>
      <w:r w:rsidRPr="000665B0">
        <w:t xml:space="preserve"> missile in flight updating certain missile information data elements, thereby enabling or disabling select missile </w:t>
      </w:r>
      <w:r w:rsidRPr="000665B0">
        <w:lastRenderedPageBreak/>
        <w:t xml:space="preserve">communications, querying missile status, commanding the missile to an alternate preplanned </w:t>
      </w:r>
      <w:r w:rsidR="008927D7" w:rsidRPr="000665B0">
        <w:t>outcome</w:t>
      </w:r>
      <w:r w:rsidRPr="000665B0">
        <w:t xml:space="preserve"> or to a new target entirely. The TSRT IMMM Log holds a listing of all IMMM messages that have been received by TSRT and, when possible, processed by the appropriate missile in the currently loaded strike rehearsal.</w:t>
      </w:r>
    </w:p>
    <w:p w14:paraId="49A1C577" w14:textId="5E213115" w:rsidR="008C3773" w:rsidRPr="000665B0" w:rsidRDefault="008C3773" w:rsidP="002E3F92">
      <w:pPr>
        <w:jc w:val="center"/>
      </w:pPr>
      <w:r w:rsidRPr="000665B0">
        <w:rPr>
          <w:rFonts w:ascii="Calibri" w:hAnsi="Calibri" w:cs="Calibri"/>
          <w:noProof/>
          <w:sz w:val="22"/>
          <w:szCs w:val="22"/>
        </w:rPr>
        <w:drawing>
          <wp:inline distT="0" distB="0" distL="0" distR="0" wp14:anchorId="3A64DE14" wp14:editId="26974745">
            <wp:extent cx="4983480" cy="1024128"/>
            <wp:effectExtent l="0" t="0" r="0" b="0"/>
            <wp:docPr id="2247" name="Picture 2247" descr="Machine generated alternative text:&#10;IMMM Log (4) &#10;Message Type &#10;MST IMMM &#10;MST IMMM &#10;MST IMMM &#10;MST IMMM &#10;MST IMMM &#10;MST IMMM &#10;Status &#10;Transmitted &#10;Received &#10;Transmtted &#10;Received &#10;Transmitted &#10;Subscriber ID &#10;Msg Seq &#10;Branch ID &#10;Waypoints &#10;T &#10;at-get ID &#10;Data Valid Time &#10;195527 &#10;195527 &#10;200527 &#10;200527 &#10;20 1027 &#10;20 1027 &#10;Target Lat &#10;32%34N &#10;32%34N &#10;32-57-37N &#10;32-57-37N &#10;32-5&amp;OSN &#10;32-5&amp;OSN &#10;Target Lon &#10;11&amp;2315 &#10;11&amp;2315 &#10;11&amp;27-36 &#10;11&amp;27-36 &#10;11&amp;29-48 &#10;11&amp;29-48 &#10;TGT Elevation &#10;SOM Header Type &#10;Training &#10;Training &#10;Training &#10;Training &#10;Creation &#10;2120102 &#10;212010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chine generated alternative text:&#10;IMMM Log (4) &#10;Message Type &#10;MST IMMM &#10;MST IMMM &#10;MST IMMM &#10;MST IMMM &#10;MST IMMM &#10;MST IMMM &#10;Status &#10;Transmitted &#10;Received &#10;Transmtted &#10;Received &#10;Transmitted &#10;Subscriber ID &#10;Msg Seq &#10;Branch ID &#10;Waypoints &#10;T &#10;at-get ID &#10;Data Valid Time &#10;195527 &#10;195527 &#10;200527 &#10;200527 &#10;20 1027 &#10;20 1027 &#10;Target Lat &#10;32%34N &#10;32%34N &#10;32-57-37N &#10;32-57-37N &#10;32-5&amp;OSN &#10;32-5&amp;OSN &#10;Target Lon &#10;11&amp;2315 &#10;11&amp;2315 &#10;11&amp;27-36 &#10;11&amp;27-36 &#10;11&amp;29-48 &#10;11&amp;29-48 &#10;TGT Elevation &#10;SOM Header Type &#10;Training &#10;Training &#10;Training &#10;Training &#10;Creation &#10;2120102 &#10;2120103 "/>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1024128"/>
                    </a:xfrm>
                    <a:prstGeom prst="rect">
                      <a:avLst/>
                    </a:prstGeom>
                    <a:noFill/>
                    <a:ln>
                      <a:noFill/>
                    </a:ln>
                  </pic:spPr>
                </pic:pic>
              </a:graphicData>
            </a:graphic>
          </wp:inline>
        </w:drawing>
      </w:r>
    </w:p>
    <w:p w14:paraId="6EFCF99D" w14:textId="2BF2D4DC" w:rsidR="00CD2871" w:rsidRPr="000665B0" w:rsidRDefault="00CD2871" w:rsidP="00CD2871">
      <w:pPr>
        <w:pStyle w:val="BodyTextIndent2"/>
        <w:spacing w:line="240" w:lineRule="auto"/>
        <w:ind w:left="0"/>
      </w:pPr>
      <w:r w:rsidRPr="000665B0">
        <w:t xml:space="preserve">There are </w:t>
      </w:r>
      <w:r w:rsidR="008C3773" w:rsidRPr="000665B0">
        <w:t xml:space="preserve">several </w:t>
      </w:r>
      <w:r w:rsidRPr="000665B0">
        <w:t>different kinds of TSRT IMMM messages:</w:t>
      </w:r>
    </w:p>
    <w:p w14:paraId="7A00F531" w14:textId="66FFFD71" w:rsidR="00CD2871" w:rsidRPr="000665B0" w:rsidRDefault="00833FC9" w:rsidP="006D5A65">
      <w:pPr>
        <w:pStyle w:val="Heading1"/>
      </w:pPr>
      <w:r w:rsidRPr="000665B0">
        <w:t>Pre-Planned Outcome (PPO) – The PPO IMMM is used to switch the missile to an alternate preplanned mission outcome. The PPO IMMM is also used to adjust Comms settings once the missile is in flight and/or to demand an immediate acknowledgement from the missile.</w:t>
      </w:r>
    </w:p>
    <w:p w14:paraId="05AACA9F" w14:textId="5CC837F7" w:rsidR="00706D78" w:rsidRPr="000665B0" w:rsidRDefault="00706D78" w:rsidP="00706D78">
      <w:pPr>
        <w:pStyle w:val="BodyTextIndent2"/>
        <w:spacing w:line="240" w:lineRule="auto"/>
        <w:ind w:left="0"/>
        <w:jc w:val="center"/>
      </w:pPr>
      <w:r w:rsidRPr="000665B0">
        <w:rPr>
          <w:noProof/>
        </w:rPr>
        <w:drawing>
          <wp:inline distT="0" distB="0" distL="0" distR="0" wp14:anchorId="0817E59C" wp14:editId="13BA8406">
            <wp:extent cx="2959163" cy="170688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962579" cy="1708850"/>
                    </a:xfrm>
                    <a:prstGeom prst="rect">
                      <a:avLst/>
                    </a:prstGeom>
                  </pic:spPr>
                </pic:pic>
              </a:graphicData>
            </a:graphic>
          </wp:inline>
        </w:drawing>
      </w:r>
    </w:p>
    <w:p w14:paraId="11CB4E11" w14:textId="6A9433C9" w:rsidR="00CD2871" w:rsidRPr="000665B0" w:rsidRDefault="00CD2871" w:rsidP="006D5A65">
      <w:pPr>
        <w:pStyle w:val="Heading1"/>
      </w:pPr>
      <w:r w:rsidRPr="000665B0">
        <w:t xml:space="preserve">Aimpoint Update (AU) – The AU IMMM is used to specify a new target coordinate to the missile, and a minimum safe altitude for the missile to fly enroute. The exact path the missile will follow is determined mostly on the time-of-receipt of the </w:t>
      </w:r>
      <w:r w:rsidRPr="000665B0">
        <w:lastRenderedPageBreak/>
        <w:t>IMMM. The AU can also specify new Comms settings and demand an immediate acknowledgement.</w:t>
      </w:r>
    </w:p>
    <w:p w14:paraId="52939BA8" w14:textId="28DED620" w:rsidR="00706D78" w:rsidRPr="000665B0" w:rsidRDefault="00706D78" w:rsidP="00706D78">
      <w:pPr>
        <w:pStyle w:val="BodyTextIndent2"/>
        <w:spacing w:line="240" w:lineRule="auto"/>
        <w:ind w:left="0"/>
        <w:jc w:val="center"/>
      </w:pPr>
      <w:r w:rsidRPr="000665B0">
        <w:rPr>
          <w:noProof/>
        </w:rPr>
        <w:drawing>
          <wp:inline distT="0" distB="0" distL="0" distR="0" wp14:anchorId="07C95335" wp14:editId="750018F3">
            <wp:extent cx="3074791" cy="2522220"/>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084134" cy="2529884"/>
                    </a:xfrm>
                    <a:prstGeom prst="rect">
                      <a:avLst/>
                    </a:prstGeom>
                  </pic:spPr>
                </pic:pic>
              </a:graphicData>
            </a:graphic>
          </wp:inline>
        </w:drawing>
      </w:r>
    </w:p>
    <w:p w14:paraId="3F7E9FFE" w14:textId="7AE9D98E" w:rsidR="00CD2871" w:rsidRPr="000665B0" w:rsidRDefault="00CD2871" w:rsidP="006D5A65">
      <w:pPr>
        <w:pStyle w:val="Heading1"/>
      </w:pPr>
      <w:r w:rsidRPr="000665B0">
        <w:t>Retarget (RTGT) – The RTGT IMMM is used to specify a new target coordinate AND the path the missile will follow to get there. This removes much of the ambiguity of the AU IMMM. The RTGT can also specify new Comms settings and demand an immediate acknowledgement.</w:t>
      </w:r>
      <w:r w:rsidR="009D5AF4" w:rsidRPr="000665B0">
        <w:t xml:space="preserve"> </w:t>
      </w:r>
    </w:p>
    <w:p w14:paraId="4B0F896C" w14:textId="48D2AB6A" w:rsidR="008C3773" w:rsidRPr="000665B0" w:rsidRDefault="008C3773" w:rsidP="006D5A65">
      <w:pPr>
        <w:pStyle w:val="Heading1"/>
      </w:pPr>
      <w:r w:rsidRPr="000665B0">
        <w:t>MST IMMM –</w:t>
      </w:r>
      <w:r w:rsidR="00D6504D" w:rsidRPr="000665B0">
        <w:t xml:space="preserve"> </w:t>
      </w:r>
      <w:r w:rsidRPr="000665B0">
        <w:t xml:space="preserve">An MST IMMM is a control message sent from MDS or TTWCS to a MSTM missile in flight updating certain missile information data elements, thereby enabling or disabling select missile communications, querying missile status, </w:t>
      </w:r>
      <w:r w:rsidRPr="000665B0">
        <w:lastRenderedPageBreak/>
        <w:t xml:space="preserve">commanding the missile to an alternate preplanned outcome or to a new target entirely. See </w:t>
      </w:r>
      <w:hyperlink w:anchor="_Maritime__Strike" w:history="1">
        <w:r w:rsidRPr="000665B0">
          <w:rPr>
            <w:rStyle w:val="Hyperlink"/>
          </w:rPr>
          <w:t xml:space="preserve">Section </w:t>
        </w:r>
        <w:r w:rsidR="004231CC">
          <w:rPr>
            <w:rStyle w:val="Hyperlink"/>
          </w:rPr>
          <w:t>5.37</w:t>
        </w:r>
        <w:r w:rsidRPr="000665B0">
          <w:rPr>
            <w:rStyle w:val="Hyperlink"/>
          </w:rPr>
          <w:t>.10.2</w:t>
        </w:r>
      </w:hyperlink>
      <w:r w:rsidRPr="000665B0">
        <w:t>.</w:t>
      </w:r>
    </w:p>
    <w:p w14:paraId="6753F1A9" w14:textId="09538584" w:rsidR="00BB0B5B" w:rsidRPr="000665B0" w:rsidRDefault="00F656B9" w:rsidP="00FF042B">
      <w:pPr>
        <w:pStyle w:val="BodyTextIndent2"/>
        <w:spacing w:before="120" w:line="240" w:lineRule="auto"/>
        <w:ind w:left="0"/>
        <w:jc w:val="center"/>
      </w:pPr>
      <w:r>
        <w:rPr>
          <w:noProof/>
        </w:rPr>
        <w:drawing>
          <wp:inline distT="0" distB="0" distL="0" distR="0" wp14:anchorId="75309680" wp14:editId="3C88E9DE">
            <wp:extent cx="4069772" cy="3581400"/>
            <wp:effectExtent l="0" t="0" r="0" b="0"/>
            <wp:docPr id="676854649" name="Picture 3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54649" name="Picture 37" descr="A picture containing graphical user interface&#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4079860" cy="3590278"/>
                    </a:xfrm>
                    <a:prstGeom prst="rect">
                      <a:avLst/>
                    </a:prstGeom>
                  </pic:spPr>
                </pic:pic>
              </a:graphicData>
            </a:graphic>
          </wp:inline>
        </w:drawing>
      </w:r>
    </w:p>
    <w:p w14:paraId="6C58DBEB" w14:textId="03CE1570" w:rsidR="00CD2871" w:rsidRPr="000665B0" w:rsidRDefault="00CD2871" w:rsidP="000A7370">
      <w:pPr>
        <w:pStyle w:val="Heading4"/>
      </w:pPr>
      <w:bookmarkStart w:id="7010" w:name="_Display_Textually_3"/>
      <w:bookmarkStart w:id="7011" w:name="_Toc289328971"/>
      <w:bookmarkStart w:id="7012" w:name="_Toc134585790"/>
      <w:bookmarkEnd w:id="7010"/>
      <w:r w:rsidRPr="000665B0">
        <w:t>Display Textually</w:t>
      </w:r>
      <w:bookmarkEnd w:id="7011"/>
    </w:p>
    <w:bookmarkEnd w:id="7012"/>
    <w:p w14:paraId="27F9A5D5" w14:textId="0316D723" w:rsidR="00CD2871" w:rsidRPr="000665B0" w:rsidRDefault="00CD2871" w:rsidP="00CD2871">
      <w:r w:rsidRPr="000665B0">
        <w:t xml:space="preserve">To display a TSRT IMMM message textually see </w:t>
      </w:r>
      <w:hyperlink w:anchor="_5.2.1.2.4__Display_1" w:history="1">
        <w:r w:rsidRPr="000665B0">
          <w:rPr>
            <w:rStyle w:val="Hyperlink"/>
          </w:rPr>
          <w:t>Section 5.2.1.2.4</w:t>
        </w:r>
      </w:hyperlink>
      <w:r w:rsidRPr="000665B0">
        <w:t>.</w:t>
      </w:r>
    </w:p>
    <w:p w14:paraId="2F5BAB21" w14:textId="77777777" w:rsidR="00CD2871" w:rsidRPr="000665B0" w:rsidRDefault="00CD2871" w:rsidP="00CD2871">
      <w:r w:rsidRPr="000665B0">
        <w:t>The TSRT IMMM message textual display contains the detailed information about a TSRT IMMM message and is for informational purposes only. Each message contains the following fields:</w:t>
      </w:r>
    </w:p>
    <w:p w14:paraId="6AC0E727" w14:textId="77777777" w:rsidR="00661565" w:rsidRPr="000665B0" w:rsidRDefault="00661565" w:rsidP="006D5A65">
      <w:pPr>
        <w:pStyle w:val="Heading1"/>
      </w:pPr>
      <w:bookmarkStart w:id="7013" w:name="_5.39.11__Ping_Log"/>
      <w:bookmarkStart w:id="7014" w:name="_5.39.11__Ping"/>
      <w:bookmarkEnd w:id="7013"/>
      <w:bookmarkEnd w:id="7014"/>
      <w:r w:rsidRPr="000665B0">
        <w:t>Missile Data:</w:t>
      </w:r>
    </w:p>
    <w:p w14:paraId="0570BF07" w14:textId="77777777" w:rsidR="00661565" w:rsidRPr="000665B0" w:rsidRDefault="00661565" w:rsidP="006D5A65">
      <w:pPr>
        <w:pStyle w:val="Heading1"/>
      </w:pPr>
      <w:r w:rsidRPr="000665B0">
        <w:t>Missile Subscriber ID (range 1 – 65535) – Used to identify the intended recipient of this message.</w:t>
      </w:r>
    </w:p>
    <w:p w14:paraId="515D2CAF" w14:textId="3E5040CB" w:rsidR="00661565" w:rsidRPr="000665B0" w:rsidRDefault="00661565" w:rsidP="006D5A65">
      <w:pPr>
        <w:pStyle w:val="Heading1"/>
      </w:pPr>
      <w:r w:rsidRPr="000665B0">
        <w:t xml:space="preserve">Missile Sequence Number (4 digits) – This is not part of the IMMM message </w:t>
      </w:r>
      <w:r w:rsidR="00E01247" w:rsidRPr="000665B0">
        <w:t>itself but</w:t>
      </w:r>
      <w:r w:rsidRPr="000665B0">
        <w:t xml:space="preserve"> is derived by using the missile </w:t>
      </w:r>
      <w:r w:rsidRPr="000665B0">
        <w:lastRenderedPageBreak/>
        <w:t>subscriber ID from the message within the context of strikes currently in rehearsal.</w:t>
      </w:r>
    </w:p>
    <w:p w14:paraId="7E8817CD" w14:textId="77777777" w:rsidR="00661565" w:rsidRPr="000665B0" w:rsidRDefault="00661565" w:rsidP="006D5A65">
      <w:pPr>
        <w:pStyle w:val="Heading1"/>
      </w:pPr>
      <w:r w:rsidRPr="000665B0">
        <w:t>Message Data:</w:t>
      </w:r>
    </w:p>
    <w:p w14:paraId="460618B2" w14:textId="77777777" w:rsidR="00661565" w:rsidRPr="000665B0" w:rsidRDefault="00661565" w:rsidP="006D5A65">
      <w:pPr>
        <w:pStyle w:val="Heading1"/>
      </w:pPr>
      <w:r w:rsidRPr="000665B0">
        <w:t>Message Sequence Number (range 001 – 255) – Incremental count of messages issued by the Strike Controller.</w:t>
      </w:r>
    </w:p>
    <w:p w14:paraId="72EE3D00" w14:textId="4DBBBC23" w:rsidR="00661565" w:rsidRPr="000665B0" w:rsidRDefault="00661565" w:rsidP="006D5A65">
      <w:pPr>
        <w:pStyle w:val="Heading1"/>
      </w:pPr>
      <w:r w:rsidRPr="000665B0">
        <w:t>Message Type – Preplanned Outcome, Aimpoint Update, Retarget</w:t>
      </w:r>
      <w:r w:rsidR="00773892" w:rsidRPr="000665B0">
        <w:t xml:space="preserve">, or MST IMMM (see </w:t>
      </w:r>
      <w:hyperlink w:anchor="_Maritime__Strike" w:history="1">
        <w:r w:rsidR="00773892" w:rsidRPr="000665B0">
          <w:rPr>
            <w:rStyle w:val="Hyperlink"/>
          </w:rPr>
          <w:t xml:space="preserve">Section </w:t>
        </w:r>
        <w:r w:rsidR="004231CC">
          <w:rPr>
            <w:rStyle w:val="Hyperlink"/>
          </w:rPr>
          <w:t>5.37</w:t>
        </w:r>
        <w:r w:rsidR="00773892" w:rsidRPr="000665B0">
          <w:rPr>
            <w:rStyle w:val="Hyperlink"/>
          </w:rPr>
          <w:t>.10.2</w:t>
        </w:r>
      </w:hyperlink>
      <w:r w:rsidR="00773892" w:rsidRPr="000665B0">
        <w:t>)</w:t>
      </w:r>
      <w:r w:rsidRPr="000665B0">
        <w:t>.</w:t>
      </w:r>
    </w:p>
    <w:p w14:paraId="38A72F1F" w14:textId="77777777" w:rsidR="00661565" w:rsidRPr="000665B0" w:rsidRDefault="00661565" w:rsidP="006D5A65">
      <w:pPr>
        <w:pStyle w:val="Heading1"/>
      </w:pPr>
      <w:r w:rsidRPr="000665B0">
        <w:t>SOM Header Type (Tactical or Training) – The header type used for this message.</w:t>
      </w:r>
    </w:p>
    <w:p w14:paraId="00C79780" w14:textId="27D27B06" w:rsidR="00661565" w:rsidRPr="000665B0" w:rsidRDefault="00661565" w:rsidP="006D5A65">
      <w:pPr>
        <w:pStyle w:val="Heading1"/>
      </w:pPr>
      <w:r w:rsidRPr="000665B0">
        <w:t xml:space="preserve">Message Status – The current status of the message (In Network, Received, Sent, </w:t>
      </w:r>
      <w:r w:rsidR="00BA5239" w:rsidRPr="000665B0">
        <w:t>etc.</w:t>
      </w:r>
      <w:r w:rsidRPr="000665B0">
        <w:t xml:space="preserve">). This is not part of the IMMM </w:t>
      </w:r>
      <w:r w:rsidR="00E01247" w:rsidRPr="000665B0">
        <w:t>itself but</w:t>
      </w:r>
      <w:r w:rsidRPr="000665B0">
        <w:t xml:space="preserve"> is derived elsewhere in the IMMM Log and reported here.</w:t>
      </w:r>
    </w:p>
    <w:p w14:paraId="040BB7CF" w14:textId="77777777" w:rsidR="00661565" w:rsidRPr="000665B0" w:rsidRDefault="00661565" w:rsidP="006D5A65">
      <w:pPr>
        <w:pStyle w:val="Heading1"/>
      </w:pPr>
      <w:r w:rsidRPr="000665B0">
        <w:t>CRC-16 Value – The hexadecimal value generated by running the CRC-16 algorithm over all data elements of the message.</w:t>
      </w:r>
    </w:p>
    <w:p w14:paraId="50973D6B" w14:textId="77777777" w:rsidR="00661565" w:rsidRPr="000665B0" w:rsidRDefault="00661565" w:rsidP="006D5A65">
      <w:pPr>
        <w:pStyle w:val="Heading1"/>
      </w:pPr>
      <w:r w:rsidRPr="000665B0">
        <w:t>CRC-16 State (Pass or Fail) – Indicates whether the CRC-16 value is valid or not.</w:t>
      </w:r>
    </w:p>
    <w:p w14:paraId="551C0034" w14:textId="77777777" w:rsidR="00661565" w:rsidRPr="000665B0" w:rsidRDefault="00661565" w:rsidP="006D5A65">
      <w:pPr>
        <w:pStyle w:val="Heading1"/>
      </w:pPr>
      <w:r w:rsidRPr="000665B0">
        <w:t>Target Data:</w:t>
      </w:r>
    </w:p>
    <w:p w14:paraId="2E40ACAC" w14:textId="77777777" w:rsidR="00661565" w:rsidRPr="000665B0" w:rsidRDefault="00661565" w:rsidP="006D5A65">
      <w:pPr>
        <w:pStyle w:val="Heading1"/>
      </w:pPr>
      <w:r w:rsidRPr="000665B0">
        <w:t xml:space="preserve">Branch ID – </w:t>
      </w:r>
      <w:r w:rsidR="0015035F" w:rsidRPr="000665B0">
        <w:t xml:space="preserve">Branch IDs are a numbering scheme used for the Primary Route (which is always Branch ID 0) and each of the Flex Routes in a 109E mission. Due to the manner in which retarget segments of the mission are constructed, stored, and executed by the missile, the missile will not update the </w:t>
      </w:r>
      <w:r w:rsidR="0015035F" w:rsidRPr="000665B0">
        <w:lastRenderedPageBreak/>
        <w:t xml:space="preserve">Branch ID until the missile is actually on the new mission branch (has departed the </w:t>
      </w:r>
      <w:r w:rsidR="00F120CB" w:rsidRPr="000665B0">
        <w:t xml:space="preserve">previous </w:t>
      </w:r>
      <w:r w:rsidR="0015035F" w:rsidRPr="000665B0">
        <w:t>branch).</w:t>
      </w:r>
    </w:p>
    <w:p w14:paraId="022D1DE7" w14:textId="77777777" w:rsidR="00661565" w:rsidRPr="000665B0" w:rsidRDefault="00661565" w:rsidP="006D5A65">
      <w:pPr>
        <w:pStyle w:val="Heading1"/>
      </w:pPr>
      <w:r w:rsidRPr="000665B0">
        <w:t>Target Latitude/Longitude – Latitude/Longitude of the new aimpoint (if changed).</w:t>
      </w:r>
    </w:p>
    <w:p w14:paraId="17E0CB1C" w14:textId="77777777" w:rsidR="00661565" w:rsidRPr="000665B0" w:rsidRDefault="00661565" w:rsidP="006D5A65">
      <w:pPr>
        <w:pStyle w:val="Heading1"/>
      </w:pPr>
      <w:r w:rsidRPr="000665B0">
        <w:t>Target Elevation – The elevation of the target in feet Above Ground Level (ft AGL).</w:t>
      </w:r>
    </w:p>
    <w:p w14:paraId="25DCC0C0" w14:textId="77777777" w:rsidR="00661565" w:rsidRPr="000665B0" w:rsidRDefault="00661565" w:rsidP="006D5A65">
      <w:pPr>
        <w:pStyle w:val="Heading1"/>
      </w:pPr>
      <w:r w:rsidRPr="000665B0">
        <w:t>Impact Angle – The angle of impact.</w:t>
      </w:r>
    </w:p>
    <w:p w14:paraId="20DB4C7C" w14:textId="77777777" w:rsidR="00661565" w:rsidRPr="000665B0" w:rsidRDefault="00661565" w:rsidP="006D5A65">
      <w:pPr>
        <w:pStyle w:val="Heading1"/>
      </w:pPr>
      <w:r w:rsidRPr="000665B0">
        <w:t xml:space="preserve">Warhead Control – </w:t>
      </w:r>
      <w:r w:rsidR="008D1FAA" w:rsidRPr="000665B0">
        <w:t>See</w:t>
      </w:r>
      <w:r w:rsidRPr="000665B0">
        <w:t xml:space="preserve"> IDS-8 for definition.</w:t>
      </w:r>
    </w:p>
    <w:p w14:paraId="1811F682" w14:textId="77777777" w:rsidR="00661565" w:rsidRPr="000665B0" w:rsidRDefault="00661565" w:rsidP="006D5A65">
      <w:pPr>
        <w:pStyle w:val="Heading1"/>
      </w:pPr>
      <w:r w:rsidRPr="000665B0">
        <w:t xml:space="preserve">Missile Reporting State </w:t>
      </w:r>
    </w:p>
    <w:p w14:paraId="042A9B51" w14:textId="77777777" w:rsidR="00661565" w:rsidRPr="000665B0" w:rsidRDefault="00661565" w:rsidP="006D5A65">
      <w:pPr>
        <w:pStyle w:val="Heading1"/>
      </w:pPr>
      <w:r w:rsidRPr="000665B0">
        <w:t>Enablements:</w:t>
      </w:r>
    </w:p>
    <w:p w14:paraId="71952DD7" w14:textId="77777777" w:rsidR="00661565" w:rsidRPr="000665B0" w:rsidRDefault="00661565" w:rsidP="006D5A65">
      <w:pPr>
        <w:pStyle w:val="Heading1"/>
      </w:pPr>
      <w:r w:rsidRPr="000665B0">
        <w:t>Scheduled H&amp;S – Indicates whether the missile will transmit H&amp;S messages at a scheduled time.</w:t>
      </w:r>
    </w:p>
    <w:p w14:paraId="030C92E3" w14:textId="77777777" w:rsidR="00661565" w:rsidRPr="000665B0" w:rsidRDefault="00661565" w:rsidP="006D5A65">
      <w:pPr>
        <w:pStyle w:val="Heading1"/>
      </w:pPr>
      <w:r w:rsidRPr="000665B0">
        <w:t>Event H&amp;S – Indicates whether the missile will transmit Event H&amp;S messages in accordance with initialization parameters.</w:t>
      </w:r>
    </w:p>
    <w:p w14:paraId="146BB2A8" w14:textId="77777777" w:rsidR="00661565" w:rsidRPr="000665B0" w:rsidRDefault="00661565" w:rsidP="006D5A65">
      <w:pPr>
        <w:pStyle w:val="Heading1"/>
      </w:pPr>
      <w:r w:rsidRPr="000665B0">
        <w:t>BDI – Indicates whether the missile will transmit a BDI message.</w:t>
      </w:r>
    </w:p>
    <w:p w14:paraId="02B1A69D" w14:textId="77777777" w:rsidR="00661565" w:rsidRPr="000665B0" w:rsidRDefault="00661565" w:rsidP="006D5A65">
      <w:pPr>
        <w:pStyle w:val="Heading1"/>
      </w:pPr>
      <w:r w:rsidRPr="000665B0">
        <w:t>Acknowledgements:</w:t>
      </w:r>
    </w:p>
    <w:p w14:paraId="74517567" w14:textId="77777777" w:rsidR="00661565" w:rsidRPr="000665B0" w:rsidRDefault="00661565" w:rsidP="006D5A65">
      <w:pPr>
        <w:pStyle w:val="Heading1"/>
      </w:pPr>
      <w:r w:rsidRPr="000665B0">
        <w:t>Immediate H&amp;S Required – Indicates that the missile will transmit an acknowledgement to the message in the form of an H&amp;S message.</w:t>
      </w:r>
    </w:p>
    <w:p w14:paraId="7411DC3D" w14:textId="77777777" w:rsidR="00661565" w:rsidRPr="000665B0" w:rsidRDefault="00661565" w:rsidP="006D5A65">
      <w:pPr>
        <w:pStyle w:val="Heading1"/>
      </w:pPr>
      <w:r w:rsidRPr="000665B0">
        <w:t>Trajectory Segment Data (IMMM Aimpoint Update/Retarget):</w:t>
      </w:r>
    </w:p>
    <w:p w14:paraId="6C3B0F9C" w14:textId="4A367C51" w:rsidR="00661565" w:rsidRPr="000665B0" w:rsidRDefault="00661565" w:rsidP="006D5A65">
      <w:pPr>
        <w:pStyle w:val="Heading1"/>
      </w:pPr>
      <w:r w:rsidRPr="000665B0">
        <w:t xml:space="preserve">Inertial Altitude Command – Reported in feet </w:t>
      </w:r>
      <w:r w:rsidR="0024677C" w:rsidRPr="000665B0">
        <w:t>HAE</w:t>
      </w:r>
      <w:r w:rsidRPr="000665B0">
        <w:t>.</w:t>
      </w:r>
    </w:p>
    <w:p w14:paraId="30D2D2D4" w14:textId="77777777" w:rsidR="00661565" w:rsidRPr="000665B0" w:rsidRDefault="00661565" w:rsidP="006D5A65">
      <w:pPr>
        <w:pStyle w:val="Heading1"/>
      </w:pPr>
      <w:r w:rsidRPr="000665B0">
        <w:t>Clearance Command – Reported in feet AGL.</w:t>
      </w:r>
    </w:p>
    <w:p w14:paraId="22EECBEF" w14:textId="77777777" w:rsidR="00661565" w:rsidRPr="000665B0" w:rsidRDefault="00661565" w:rsidP="006D5A65">
      <w:pPr>
        <w:pStyle w:val="Heading1"/>
      </w:pPr>
      <w:r w:rsidRPr="000665B0">
        <w:t>Dive Rate Command – Reported in feet per second (ft/sec).</w:t>
      </w:r>
    </w:p>
    <w:p w14:paraId="3E125D27" w14:textId="77777777" w:rsidR="00661565" w:rsidRPr="000665B0" w:rsidRDefault="00661565" w:rsidP="006D5A65">
      <w:pPr>
        <w:pStyle w:val="Heading1"/>
      </w:pPr>
      <w:r w:rsidRPr="000665B0">
        <w:t>Mach Command – Value between the range of .45 - .9945.</w:t>
      </w:r>
    </w:p>
    <w:p w14:paraId="618C6606" w14:textId="77777777" w:rsidR="00661565" w:rsidRPr="000665B0" w:rsidRDefault="00661565" w:rsidP="006D5A65">
      <w:pPr>
        <w:pStyle w:val="Heading1"/>
      </w:pPr>
      <w:r w:rsidRPr="000665B0">
        <w:t xml:space="preserve">Segment Logic Choice – </w:t>
      </w:r>
      <w:r w:rsidR="008D1FAA" w:rsidRPr="000665B0">
        <w:t xml:space="preserve">See </w:t>
      </w:r>
      <w:r w:rsidRPr="000665B0">
        <w:t>IDS-8 for definition.</w:t>
      </w:r>
    </w:p>
    <w:p w14:paraId="6232F19C" w14:textId="77777777" w:rsidR="00661565" w:rsidRPr="000665B0" w:rsidRDefault="00661565" w:rsidP="006D5A65">
      <w:pPr>
        <w:pStyle w:val="Heading1"/>
      </w:pPr>
      <w:r w:rsidRPr="000665B0">
        <w:t>Waypoint Command Data (IMMM Retarget):</w:t>
      </w:r>
    </w:p>
    <w:p w14:paraId="576BCA0F" w14:textId="77777777" w:rsidR="00661565" w:rsidRPr="000665B0" w:rsidRDefault="00661565" w:rsidP="006D5A65">
      <w:pPr>
        <w:pStyle w:val="Heading1"/>
      </w:pPr>
      <w:r w:rsidRPr="000665B0">
        <w:t>Departure Point Index – The point on the mission at which the new mission segment data is attached.</w:t>
      </w:r>
    </w:p>
    <w:p w14:paraId="5D3379DD" w14:textId="77777777" w:rsidR="00661565" w:rsidRPr="000665B0" w:rsidRDefault="00661565" w:rsidP="006D5A65">
      <w:pPr>
        <w:pStyle w:val="Heading1"/>
      </w:pPr>
      <w:r w:rsidRPr="000665B0">
        <w:t>Waypoint Index Count – The number of waypoints in the (Retarget) IMMM.</w:t>
      </w:r>
    </w:p>
    <w:p w14:paraId="1AD6FA04" w14:textId="5DB11A82" w:rsidR="00661565" w:rsidRPr="000665B0" w:rsidRDefault="00661565" w:rsidP="006D5A65">
      <w:pPr>
        <w:pStyle w:val="Heading1"/>
      </w:pPr>
      <w:r w:rsidRPr="000665B0">
        <w:t>Latitude/Longitude – The location of the waypoint.</w:t>
      </w:r>
    </w:p>
    <w:p w14:paraId="6E52CD35" w14:textId="30034D73" w:rsidR="000A7370" w:rsidRPr="000665B0" w:rsidRDefault="000A7370" w:rsidP="000A7370">
      <w:pPr>
        <w:pStyle w:val="Heading4"/>
      </w:pPr>
      <w:bookmarkStart w:id="7015" w:name="_Maritime__Strike"/>
      <w:bookmarkStart w:id="7016" w:name="_Maritime_Strike_IMMMs"/>
      <w:bookmarkStart w:id="7017" w:name="_Hlk71621501"/>
      <w:bookmarkEnd w:id="7015"/>
      <w:bookmarkEnd w:id="7016"/>
      <w:r w:rsidRPr="000665B0">
        <w:t>Maritime Strike IMMMs</w:t>
      </w:r>
    </w:p>
    <w:p w14:paraId="2F62C72F" w14:textId="607BA7AE" w:rsidR="00EF265A" w:rsidRPr="000665B0" w:rsidRDefault="00EF265A" w:rsidP="00EF265A">
      <w:pPr>
        <w:pStyle w:val="BodyTextIndent2"/>
        <w:spacing w:line="240" w:lineRule="auto"/>
        <w:ind w:left="0"/>
      </w:pPr>
      <w:r w:rsidRPr="000665B0">
        <w:t>An MST IMMM is a control message sent from MDS or TTWCS to a MSTM missile in</w:t>
      </w:r>
      <w:r w:rsidR="00BE05A6" w:rsidRPr="000665B0">
        <w:t xml:space="preserve"> </w:t>
      </w:r>
      <w:r w:rsidRPr="000665B0">
        <w:t xml:space="preserve">flight </w:t>
      </w:r>
      <w:r w:rsidR="004B2E1A" w:rsidRPr="000665B0">
        <w:t>to update</w:t>
      </w:r>
      <w:r w:rsidRPr="000665B0">
        <w:t xml:space="preserve"> certain missile information data elements, thereby enabling or disabling select missile communications, querying missile status, </w:t>
      </w:r>
      <w:r w:rsidR="00F20304" w:rsidRPr="000665B0">
        <w:t>or directing</w:t>
      </w:r>
      <w:r w:rsidRPr="000665B0">
        <w:t xml:space="preserve"> the missile to an alternate preplanned </w:t>
      </w:r>
      <w:r w:rsidR="00F20304" w:rsidRPr="000665B0">
        <w:t>target</w:t>
      </w:r>
      <w:r w:rsidRPr="000665B0">
        <w:t xml:space="preserve"> or to a new target entirely. The TSRT IMMM Log holds a listing of all MST IMMM messages that have been received by TSRT and, when possible, processed by the appropriate missile in the currently loaded strike rehearsal.</w:t>
      </w:r>
    </w:p>
    <w:p w14:paraId="7B801B28" w14:textId="77777777" w:rsidR="00EF265A" w:rsidRPr="000665B0" w:rsidRDefault="00EF265A" w:rsidP="00BE05A6">
      <w:pPr>
        <w:jc w:val="center"/>
      </w:pPr>
      <w:r w:rsidRPr="000665B0">
        <w:rPr>
          <w:noProof/>
        </w:rPr>
        <w:lastRenderedPageBreak/>
        <w:drawing>
          <wp:inline distT="0" distB="0" distL="0" distR="0" wp14:anchorId="4AA9EA0B" wp14:editId="08B81FA2">
            <wp:extent cx="4983480" cy="1024128"/>
            <wp:effectExtent l="0" t="0" r="0" b="0"/>
            <wp:docPr id="2251" name="Picture 2251" descr="Machine generated alternative text:&#10;IMMM Log (4) &#10;Message Type &#10;MST IMMM &#10;MST IMMM &#10;MST IMMM &#10;MST IMMM &#10;MST IMMM &#10;MST IMMM &#10;Status &#10;Transmitted &#10;Received &#10;Transmtted &#10;Received &#10;Transmitted &#10;Subscriber ID &#10;Msg Seq &#10;Branch ID &#10;Waypoints &#10;T &#10;at-get ID &#10;Data Valid Time &#10;195527 &#10;195527 &#10;200527 &#10;200527 &#10;20 1027 &#10;20 1027 &#10;Target Lat &#10;32%34N &#10;32%34N &#10;32-57-37N &#10;32-57-37N &#10;32-5&amp;OSN &#10;32-5&amp;OSN &#10;Target Lon &#10;11&amp;2315 &#10;11&amp;2315 &#10;11&amp;27-36 &#10;11&amp;27-36 &#10;11&amp;29-48 &#10;11&amp;29-48 &#10;TGT Elevation &#10;SOM Header Type &#10;Training &#10;Training &#10;Training &#10;Training &#10;Creation &#10;2120102 &#10;212010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chine generated alternative text:&#10;IMMM Log (4) &#10;Message Type &#10;MST IMMM &#10;MST IMMM &#10;MST IMMM &#10;MST IMMM &#10;MST IMMM &#10;MST IMMM &#10;Status &#10;Transmitted &#10;Received &#10;Transmtted &#10;Received &#10;Transmitted &#10;Subscriber ID &#10;Msg Seq &#10;Branch ID &#10;Waypoints &#10;T &#10;at-get ID &#10;Data Valid Time &#10;195527 &#10;195527 &#10;200527 &#10;200527 &#10;20 1027 &#10;20 1027 &#10;Target Lat &#10;32%34N &#10;32%34N &#10;32-57-37N &#10;32-57-37N &#10;32-5&amp;OSN &#10;32-5&amp;OSN &#10;Target Lon &#10;11&amp;2315 &#10;11&amp;2315 &#10;11&amp;27-36 &#10;11&amp;27-36 &#10;11&amp;29-48 &#10;11&amp;29-48 &#10;TGT Elevation &#10;SOM Header Type &#10;Training &#10;Training &#10;Training &#10;Training &#10;Creation &#10;2120102 &#10;2120103 "/>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983480" cy="1024128"/>
                    </a:xfrm>
                    <a:prstGeom prst="rect">
                      <a:avLst/>
                    </a:prstGeom>
                    <a:noFill/>
                    <a:ln>
                      <a:noFill/>
                    </a:ln>
                  </pic:spPr>
                </pic:pic>
              </a:graphicData>
            </a:graphic>
          </wp:inline>
        </w:drawing>
      </w:r>
    </w:p>
    <w:p w14:paraId="58A1335F" w14:textId="085497CB" w:rsidR="00A47B3E" w:rsidRPr="000665B0" w:rsidRDefault="00EF265A" w:rsidP="00EF265A">
      <w:pPr>
        <w:pStyle w:val="BodyTextIndent2"/>
        <w:spacing w:line="240" w:lineRule="auto"/>
        <w:ind w:left="0"/>
      </w:pPr>
      <w:r w:rsidRPr="000665B0">
        <w:t xml:space="preserve">There are different textual layouts of MST IMMM messages depending on their intended receiver level </w:t>
      </w:r>
      <w:r w:rsidR="00C26339" w:rsidRPr="000665B0">
        <w:t>(</w:t>
      </w:r>
      <w:r w:rsidRPr="000665B0">
        <w:t xml:space="preserve">Missile, Group, and Target </w:t>
      </w:r>
      <w:r w:rsidR="00C26339" w:rsidRPr="000665B0">
        <w:t xml:space="preserve">command </w:t>
      </w:r>
      <w:r w:rsidRPr="000665B0">
        <w:t>level</w:t>
      </w:r>
      <w:r w:rsidR="00C26339" w:rsidRPr="000665B0">
        <w:t>).</w:t>
      </w:r>
      <w:r w:rsidRPr="000665B0">
        <w:t xml:space="preserve"> </w:t>
      </w:r>
      <w:r w:rsidR="00C26339" w:rsidRPr="000665B0">
        <w:t xml:space="preserve">The textual views of the </w:t>
      </w:r>
      <w:r w:rsidRPr="000665B0">
        <w:t xml:space="preserve">MST IMMMs </w:t>
      </w:r>
      <w:r w:rsidR="00C26339" w:rsidRPr="000665B0">
        <w:t>contain some information that is common to all command levels, as well as information that is unique to only certain command levels</w:t>
      </w:r>
      <w:r w:rsidR="00321773" w:rsidRPr="000665B0">
        <w:t xml:space="preserve"> (see </w:t>
      </w:r>
      <w:hyperlink w:anchor="_Display_Textually_(MST" w:history="1">
        <w:r w:rsidR="00321773" w:rsidRPr="000665B0">
          <w:rPr>
            <w:rStyle w:val="Hyperlink"/>
          </w:rPr>
          <w:t xml:space="preserve">Section </w:t>
        </w:r>
        <w:r w:rsidR="004231CC">
          <w:rPr>
            <w:rStyle w:val="Hyperlink"/>
          </w:rPr>
          <w:t>5.37</w:t>
        </w:r>
        <w:r w:rsidR="00321773" w:rsidRPr="000665B0">
          <w:rPr>
            <w:rStyle w:val="Hyperlink"/>
          </w:rPr>
          <w:t>.10.2.1</w:t>
        </w:r>
      </w:hyperlink>
      <w:r w:rsidR="00321773" w:rsidRPr="000665B0">
        <w:t>)</w:t>
      </w:r>
      <w:r w:rsidRPr="000665B0">
        <w:t xml:space="preserve">. </w:t>
      </w:r>
      <w:r w:rsidR="00BE05A6" w:rsidRPr="000665B0">
        <w:t>T</w:t>
      </w:r>
      <w:r w:rsidRPr="000665B0">
        <w:t xml:space="preserve">he </w:t>
      </w:r>
      <w:r w:rsidR="00BE05A6" w:rsidRPr="000665B0">
        <w:rPr>
          <w:b/>
        </w:rPr>
        <w:t>E</w:t>
      </w:r>
      <w:r w:rsidRPr="000665B0">
        <w:rPr>
          <w:b/>
        </w:rPr>
        <w:t>nablements</w:t>
      </w:r>
      <w:r w:rsidRPr="000665B0">
        <w:t xml:space="preserve"> </w:t>
      </w:r>
      <w:r w:rsidR="00BE05A6" w:rsidRPr="000665B0">
        <w:t>pane</w:t>
      </w:r>
      <w:r w:rsidRPr="000665B0">
        <w:t xml:space="preserve"> is shown</w:t>
      </w:r>
      <w:r w:rsidR="00BE05A6" w:rsidRPr="000665B0">
        <w:t xml:space="preserve"> only if there are changes to the enablements</w:t>
      </w:r>
      <w:r w:rsidR="00C26339" w:rsidRPr="000665B0">
        <w:t xml:space="preserve"> and</w:t>
      </w:r>
      <w:r w:rsidR="00A47B3E" w:rsidRPr="000665B0">
        <w:t xml:space="preserve"> contains the same information for the Missile, Group, and Target </w:t>
      </w:r>
      <w:r w:rsidR="00C26339" w:rsidRPr="000665B0">
        <w:t xml:space="preserve">command </w:t>
      </w:r>
      <w:r w:rsidR="00A47B3E" w:rsidRPr="000665B0">
        <w:t>level IMMMs</w:t>
      </w:r>
      <w:r w:rsidR="00C26339" w:rsidRPr="000665B0">
        <w:t>.</w:t>
      </w:r>
      <w:r w:rsidRPr="000665B0">
        <w:t xml:space="preserve"> </w:t>
      </w:r>
      <w:r w:rsidR="00027504" w:rsidRPr="000665B0">
        <w:t xml:space="preserve">When the </w:t>
      </w:r>
      <w:r w:rsidR="00027504" w:rsidRPr="000665B0">
        <w:rPr>
          <w:b/>
        </w:rPr>
        <w:t>Enablements</w:t>
      </w:r>
      <w:r w:rsidR="00027504" w:rsidRPr="000665B0">
        <w:t xml:space="preserve"> pane is shown, the </w:t>
      </w:r>
      <w:r w:rsidR="00027504" w:rsidRPr="000665B0">
        <w:rPr>
          <w:b/>
        </w:rPr>
        <w:t>Modify Event Reporting</w:t>
      </w:r>
      <w:r w:rsidR="00027504" w:rsidRPr="000665B0">
        <w:t xml:space="preserve"> checkbox is selected in the </w:t>
      </w:r>
      <w:r w:rsidR="00027504" w:rsidRPr="000665B0">
        <w:rPr>
          <w:b/>
        </w:rPr>
        <w:t>Missile Command</w:t>
      </w:r>
      <w:r w:rsidR="00027504" w:rsidRPr="000665B0">
        <w:t xml:space="preserve"> pane.</w:t>
      </w:r>
    </w:p>
    <w:p w14:paraId="1F845656" w14:textId="304F8410" w:rsidR="00A47B3E" w:rsidRPr="000665B0" w:rsidRDefault="0089506C" w:rsidP="00FF042B">
      <w:pPr>
        <w:pStyle w:val="BodyTextIndent2"/>
        <w:spacing w:before="120" w:line="240" w:lineRule="auto"/>
        <w:ind w:left="0"/>
        <w:jc w:val="center"/>
      </w:pPr>
      <w:r w:rsidRPr="000665B0">
        <w:rPr>
          <w:noProof/>
        </w:rPr>
        <w:drawing>
          <wp:inline distT="0" distB="0" distL="0" distR="0" wp14:anchorId="54E0E2FB" wp14:editId="7175460D">
            <wp:extent cx="4983480" cy="17099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1709928"/>
                    </a:xfrm>
                    <a:prstGeom prst="rect">
                      <a:avLst/>
                    </a:prstGeom>
                  </pic:spPr>
                </pic:pic>
              </a:graphicData>
            </a:graphic>
          </wp:inline>
        </w:drawing>
      </w:r>
    </w:p>
    <w:p w14:paraId="2BC2D35D" w14:textId="12F16E28" w:rsidR="00EF265A" w:rsidRPr="000665B0" w:rsidRDefault="00EF265A" w:rsidP="006D5A65">
      <w:pPr>
        <w:pStyle w:val="Heading1"/>
      </w:pPr>
      <w:r w:rsidRPr="000665B0">
        <w:t xml:space="preserve">Missile </w:t>
      </w:r>
      <w:r w:rsidR="00C26339" w:rsidRPr="000665B0">
        <w:t>Command</w:t>
      </w:r>
      <w:r w:rsidR="00653A30" w:rsidRPr="000665B0">
        <w:t xml:space="preserve"> </w:t>
      </w:r>
      <w:r w:rsidRPr="000665B0">
        <w:t>– A</w:t>
      </w:r>
      <w:r w:rsidR="00BE05A6" w:rsidRPr="000665B0">
        <w:t>n</w:t>
      </w:r>
      <w:r w:rsidRPr="000665B0">
        <w:t xml:space="preserve"> MST IMMM command directed at a single </w:t>
      </w:r>
      <w:r w:rsidR="00BE05A6" w:rsidRPr="000665B0">
        <w:t>mi</w:t>
      </w:r>
      <w:r w:rsidRPr="000665B0">
        <w:t>ssile.</w:t>
      </w:r>
    </w:p>
    <w:p w14:paraId="139AA075" w14:textId="01129111" w:rsidR="00EF265A" w:rsidRPr="000665B0" w:rsidRDefault="003868B5" w:rsidP="00FF042B">
      <w:pPr>
        <w:spacing w:before="120"/>
        <w:jc w:val="center"/>
      </w:pPr>
      <w:r>
        <w:rPr>
          <w:noProof/>
        </w:rPr>
        <w:drawing>
          <wp:inline distT="0" distB="0" distL="0" distR="0" wp14:anchorId="4AAD6750" wp14:editId="30508822">
            <wp:extent cx="4983480" cy="3035808"/>
            <wp:effectExtent l="0" t="0" r="0" b="0"/>
            <wp:docPr id="1378276547"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76547" name="Picture 1" descr="Graphical user interface, text, application, email&#10;&#10;Description automatically generated"/>
                    <pic:cNvPicPr/>
                  </pic:nvPicPr>
                  <pic:blipFill>
                    <a:blip/>
                    <a:stretch>
                      <a:fillRect/>
                    </a:stretch>
                  </pic:blipFill>
                  <pic:spPr>
                    <a:xfrm>
                      <a:off x="0" y="0"/>
                      <a:ext cx="4983480" cy="3035808"/>
                    </a:xfrm>
                    <a:prstGeom prst="rect">
                      <a:avLst/>
                    </a:prstGeom>
                  </pic:spPr>
                </pic:pic>
              </a:graphicData>
            </a:graphic>
          </wp:inline>
        </w:drawing>
      </w:r>
    </w:p>
    <w:p w14:paraId="1F9772E9" w14:textId="52CC9540" w:rsidR="00EF265A" w:rsidRPr="000665B0" w:rsidRDefault="00EF265A" w:rsidP="006D5A65">
      <w:pPr>
        <w:pStyle w:val="Heading1"/>
      </w:pPr>
      <w:r w:rsidRPr="000665B0">
        <w:lastRenderedPageBreak/>
        <w:t xml:space="preserve">Group </w:t>
      </w:r>
      <w:r w:rsidR="00C26339" w:rsidRPr="000665B0">
        <w:t>Command</w:t>
      </w:r>
      <w:r w:rsidR="00653A30" w:rsidRPr="000665B0">
        <w:t xml:space="preserve"> </w:t>
      </w:r>
      <w:r w:rsidRPr="000665B0">
        <w:t>– A</w:t>
      </w:r>
      <w:r w:rsidR="00746FF2" w:rsidRPr="000665B0">
        <w:t>n</w:t>
      </w:r>
      <w:r w:rsidRPr="000665B0">
        <w:t xml:space="preserve"> MST IMMM command directed at </w:t>
      </w:r>
      <w:r w:rsidR="00746FF2" w:rsidRPr="000665B0">
        <w:t>m</w:t>
      </w:r>
      <w:r w:rsidRPr="000665B0">
        <w:t>issile</w:t>
      </w:r>
      <w:r w:rsidR="009C4BC0" w:rsidRPr="000665B0">
        <w:t>s with the same Group Comms ID</w:t>
      </w:r>
      <w:r w:rsidRPr="000665B0">
        <w:t>.</w:t>
      </w:r>
    </w:p>
    <w:p w14:paraId="39686D7A" w14:textId="6C3DB046" w:rsidR="00EF265A" w:rsidRPr="000665B0" w:rsidRDefault="003868B5" w:rsidP="00746FF2">
      <w:pPr>
        <w:jc w:val="center"/>
      </w:pPr>
      <w:r>
        <w:rPr>
          <w:noProof/>
        </w:rPr>
        <w:drawing>
          <wp:inline distT="0" distB="0" distL="0" distR="0" wp14:anchorId="753CDCE1" wp14:editId="3FF8C4DB">
            <wp:extent cx="4983480" cy="3035808"/>
            <wp:effectExtent l="0" t="0" r="0" b="0"/>
            <wp:docPr id="1912198732"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98732" name="Picture 1" descr="Graphical user interface, text, application, email&#10;&#10;Description automatically generated"/>
                    <pic:cNvPicPr/>
                  </pic:nvPicPr>
                  <pic:blipFill>
                    <a:blip/>
                    <a:stretch>
                      <a:fillRect/>
                    </a:stretch>
                  </pic:blipFill>
                  <pic:spPr>
                    <a:xfrm>
                      <a:off x="0" y="0"/>
                      <a:ext cx="4983480" cy="3035808"/>
                    </a:xfrm>
                    <a:prstGeom prst="rect">
                      <a:avLst/>
                    </a:prstGeom>
                  </pic:spPr>
                </pic:pic>
              </a:graphicData>
            </a:graphic>
          </wp:inline>
        </w:drawing>
      </w:r>
    </w:p>
    <w:p w14:paraId="07DFC205" w14:textId="022025AF" w:rsidR="00EF265A" w:rsidRDefault="00EF265A" w:rsidP="006D5A65">
      <w:pPr>
        <w:pStyle w:val="Heading1"/>
      </w:pPr>
      <w:r w:rsidRPr="000665B0">
        <w:t xml:space="preserve">Target </w:t>
      </w:r>
      <w:r w:rsidR="00C26339" w:rsidRPr="000665B0">
        <w:t>Command</w:t>
      </w:r>
      <w:r w:rsidR="00653A30" w:rsidRPr="000665B0">
        <w:t xml:space="preserve"> </w:t>
      </w:r>
      <w:r w:rsidRPr="000665B0">
        <w:t>– A</w:t>
      </w:r>
      <w:r w:rsidR="00746FF2" w:rsidRPr="000665B0">
        <w:t>n</w:t>
      </w:r>
      <w:r w:rsidRPr="000665B0">
        <w:t xml:space="preserve"> MST IMMM command directed at </w:t>
      </w:r>
      <w:r w:rsidR="00746FF2" w:rsidRPr="000665B0">
        <w:t>m</w:t>
      </w:r>
      <w:r w:rsidRPr="000665B0">
        <w:t>issile</w:t>
      </w:r>
      <w:r w:rsidR="008914EC" w:rsidRPr="000665B0">
        <w:t>s with the same Target Comms ID</w:t>
      </w:r>
      <w:r w:rsidRPr="000665B0">
        <w:t>.</w:t>
      </w:r>
    </w:p>
    <w:p w14:paraId="3CFA0FD8" w14:textId="43AC736D" w:rsidR="000A72D3" w:rsidRPr="000665B0" w:rsidRDefault="003868B5" w:rsidP="00FF042B">
      <w:pPr>
        <w:pStyle w:val="BodyTextIndent2"/>
        <w:spacing w:line="240" w:lineRule="auto"/>
        <w:ind w:left="0"/>
        <w:jc w:val="center"/>
      </w:pPr>
      <w:r>
        <w:rPr>
          <w:noProof/>
        </w:rPr>
        <w:drawing>
          <wp:inline distT="0" distB="0" distL="0" distR="0" wp14:anchorId="3B348C62" wp14:editId="28E4FBCA">
            <wp:extent cx="4983480" cy="2496312"/>
            <wp:effectExtent l="0" t="0" r="0" b="0"/>
            <wp:docPr id="54274666"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4666" name="Picture 1" descr="Graphical user interface, text&#10;&#10;Description automatically generated"/>
                    <pic:cNvPicPr/>
                  </pic:nvPicPr>
                  <pic:blipFill>
                    <a:blip/>
                    <a:stretch>
                      <a:fillRect/>
                    </a:stretch>
                  </pic:blipFill>
                  <pic:spPr>
                    <a:xfrm>
                      <a:off x="0" y="0"/>
                      <a:ext cx="4983480" cy="2496312"/>
                    </a:xfrm>
                    <a:prstGeom prst="rect">
                      <a:avLst/>
                    </a:prstGeom>
                  </pic:spPr>
                </pic:pic>
              </a:graphicData>
            </a:graphic>
          </wp:inline>
        </w:drawing>
      </w:r>
    </w:p>
    <w:p w14:paraId="32258B5E" w14:textId="41437E94" w:rsidR="000A7370" w:rsidRPr="000665B0" w:rsidRDefault="000A7370" w:rsidP="000A7370">
      <w:pPr>
        <w:pStyle w:val="Heading5"/>
      </w:pPr>
      <w:bookmarkStart w:id="7018" w:name="_Display_Textually_(MST"/>
      <w:bookmarkEnd w:id="7018"/>
      <w:r w:rsidRPr="000665B0">
        <w:t>Display Textually (MST IMMM)</w:t>
      </w:r>
    </w:p>
    <w:p w14:paraId="390CAF94" w14:textId="08252409" w:rsidR="00EF265A" w:rsidRPr="000665B0" w:rsidRDefault="00EF265A" w:rsidP="00EF265A">
      <w:r w:rsidRPr="000665B0">
        <w:t xml:space="preserve">To display a MST IMMM message textually see </w:t>
      </w:r>
      <w:hyperlink w:anchor="_5.2.1.2.4__Display_1" w:history="1">
        <w:r w:rsidRPr="000665B0">
          <w:rPr>
            <w:rStyle w:val="Hyperlink"/>
          </w:rPr>
          <w:t>Section 5.2.1.2.4</w:t>
        </w:r>
      </w:hyperlink>
      <w:r w:rsidRPr="000665B0">
        <w:t>.</w:t>
      </w:r>
    </w:p>
    <w:p w14:paraId="36B89882" w14:textId="3A0E88FF" w:rsidR="00EF265A" w:rsidRDefault="00EF265A" w:rsidP="00EF265A">
      <w:r w:rsidRPr="000665B0">
        <w:t>The MST IMMM message textual display contains the detailed information about a</w:t>
      </w:r>
      <w:r w:rsidR="00321773" w:rsidRPr="000665B0">
        <w:t>n</w:t>
      </w:r>
      <w:r w:rsidRPr="000665B0">
        <w:t xml:space="preserve"> MST IMMM message and is for informational purposes only. Each message contains the following fields:</w:t>
      </w:r>
    </w:p>
    <w:p w14:paraId="1FC886B4" w14:textId="49D50559" w:rsidR="00CE2734" w:rsidRPr="00BB4EBE" w:rsidRDefault="000F3E2B" w:rsidP="00BB4EBE">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line="240" w:lineRule="auto"/>
        <w:jc w:val="center"/>
        <w:rPr>
          <w:b/>
          <w:bCs/>
        </w:rPr>
      </w:pPr>
      <w:r>
        <w:rPr>
          <w:b/>
          <w:bCs/>
        </w:rPr>
        <w:t>Note</w:t>
      </w:r>
      <w:r w:rsidR="00CE2734" w:rsidRPr="00BB4EBE">
        <w:rPr>
          <w:b/>
          <w:bCs/>
        </w:rPr>
        <w:t>:</w:t>
      </w:r>
    </w:p>
    <w:p w14:paraId="532CC9DA" w14:textId="340DB6F0" w:rsidR="00CE2734" w:rsidRPr="00BB4EBE" w:rsidRDefault="00CE2734" w:rsidP="00862111">
      <w:pPr>
        <w:pBdr>
          <w:top w:val="single" w:sz="12" w:space="1" w:color="auto"/>
          <w:left w:val="single" w:sz="12" w:space="4" w:color="auto"/>
          <w:bottom w:val="single" w:sz="12" w:space="1" w:color="auto"/>
          <w:right w:val="single" w:sz="12" w:space="4" w:color="auto"/>
        </w:pBdr>
        <w:shd w:val="clear" w:color="auto" w:fill="D9D9D9" w:themeFill="background1" w:themeFillShade="D9"/>
        <w:spacing w:line="240" w:lineRule="auto"/>
        <w:jc w:val="center"/>
        <w:rPr>
          <w:b/>
          <w:bCs/>
        </w:rPr>
      </w:pPr>
      <w:r w:rsidRPr="00BB4EBE">
        <w:rPr>
          <w:b/>
          <w:bCs/>
        </w:rPr>
        <w:lastRenderedPageBreak/>
        <w:t>Target Data will not be displayed if Target State IMMM</w:t>
      </w:r>
      <w:r w:rsidR="00F656B9">
        <w:rPr>
          <w:b/>
          <w:bCs/>
        </w:rPr>
        <w:t xml:space="preserve"> </w:t>
      </w:r>
      <w:r w:rsidR="000D3A14">
        <w:rPr>
          <w:b/>
          <w:bCs/>
        </w:rPr>
        <w:t xml:space="preserve">is </w:t>
      </w:r>
      <w:r w:rsidRPr="00BB4EBE">
        <w:rPr>
          <w:b/>
          <w:bCs/>
        </w:rPr>
        <w:t xml:space="preserve">disabled (See </w:t>
      </w:r>
      <w:hyperlink w:anchor="_Target_State_UpdatesIMMM" w:history="1">
        <w:r w:rsidRPr="00CE2734">
          <w:rPr>
            <w:rStyle w:val="Hyperlink"/>
            <w:b/>
            <w:bCs/>
          </w:rPr>
          <w:t xml:space="preserve">Section </w:t>
        </w:r>
        <w:r w:rsidR="004231CC">
          <w:rPr>
            <w:rStyle w:val="Hyperlink"/>
            <w:b/>
            <w:bCs/>
          </w:rPr>
          <w:t>5.35</w:t>
        </w:r>
        <w:r w:rsidRPr="00BB4EBE">
          <w:rPr>
            <w:rStyle w:val="Hyperlink"/>
            <w:b/>
            <w:bCs/>
          </w:rPr>
          <w:t>.3</w:t>
        </w:r>
        <w:r w:rsidRPr="00CE2734">
          <w:rPr>
            <w:rStyle w:val="Hyperlink"/>
            <w:b/>
            <w:bCs/>
          </w:rPr>
          <w:t>.1</w:t>
        </w:r>
        <w:r w:rsidRPr="00BB4EBE">
          <w:rPr>
            <w:rStyle w:val="Hyperlink"/>
            <w:b/>
            <w:bCs/>
          </w:rPr>
          <w:t>.</w:t>
        </w:r>
        <w:r w:rsidR="00F656B9">
          <w:rPr>
            <w:rStyle w:val="Hyperlink"/>
            <w:b/>
            <w:bCs/>
          </w:rPr>
          <w:t>3.2</w:t>
        </w:r>
        <w:r w:rsidRPr="00BB4EBE">
          <w:rPr>
            <w:rStyle w:val="Hyperlink"/>
            <w:b/>
            <w:bCs/>
          </w:rPr>
          <w:t>.5</w:t>
        </w:r>
      </w:hyperlink>
      <w:r w:rsidRPr="00BB4EBE">
        <w:rPr>
          <w:b/>
          <w:bCs/>
        </w:rPr>
        <w:t>).</w:t>
      </w:r>
    </w:p>
    <w:p w14:paraId="1973EF8A" w14:textId="77777777" w:rsidR="00532D3F" w:rsidRDefault="00CE2734" w:rsidP="00FF042B">
      <w:pPr>
        <w:spacing w:before="120"/>
        <w:jc w:val="center"/>
        <w:rPr>
          <w:b/>
        </w:rPr>
      </w:pPr>
      <w:r>
        <w:rPr>
          <w:noProof/>
        </w:rPr>
        <w:drawing>
          <wp:inline distT="0" distB="0" distL="0" distR="0" wp14:anchorId="3149996F" wp14:editId="59818C6B">
            <wp:extent cx="3657600" cy="2404872"/>
            <wp:effectExtent l="0" t="0" r="0" b="0"/>
            <wp:docPr id="618947885" name="Picture 61894788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47885" name="Picture 618947885" descr="Graphical user interface, text, application&#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3657600" cy="2404872"/>
                    </a:xfrm>
                    <a:prstGeom prst="rect">
                      <a:avLst/>
                    </a:prstGeom>
                  </pic:spPr>
                </pic:pic>
              </a:graphicData>
            </a:graphic>
          </wp:inline>
        </w:drawing>
      </w:r>
    </w:p>
    <w:p w14:paraId="2DC36B1D" w14:textId="60CFA82F" w:rsidR="00CE2734" w:rsidRDefault="003D4D31" w:rsidP="00FF042B">
      <w:pPr>
        <w:spacing w:before="120"/>
        <w:jc w:val="center"/>
        <w:rPr>
          <w:b/>
        </w:rPr>
      </w:pPr>
      <w:r>
        <w:rPr>
          <w:b/>
          <w:noProof/>
        </w:rPr>
        <w:drawing>
          <wp:inline distT="0" distB="0" distL="0" distR="0" wp14:anchorId="4942E747" wp14:editId="4E7B7FFD">
            <wp:extent cx="4983480" cy="2459736"/>
            <wp:effectExtent l="0" t="0" r="0" b="0"/>
            <wp:docPr id="818476810" name="Picture 3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6810" name="Picture 39" descr="Graphical user interface, text&#10;&#10;Description automatically generated"/>
                    <pic:cNvPicPr/>
                  </pic:nvPicPr>
                  <pic:blipFill>
                    <a:blip>
                      <a:extLst>
                        <a:ext uri="{28A0092B-C50C-407E-A947-70E740481C1C}">
                          <a14:useLocalDpi xmlns:a14="http://schemas.microsoft.com/office/drawing/2010/main" val="0"/>
                        </a:ext>
                      </a:extLst>
                    </a:blip>
                    <a:stretch>
                      <a:fillRect/>
                    </a:stretch>
                  </pic:blipFill>
                  <pic:spPr>
                    <a:xfrm>
                      <a:off x="0" y="0"/>
                      <a:ext cx="4983480" cy="2459736"/>
                    </a:xfrm>
                    <a:prstGeom prst="rect">
                      <a:avLst/>
                    </a:prstGeom>
                  </pic:spPr>
                </pic:pic>
              </a:graphicData>
            </a:graphic>
          </wp:inline>
        </w:drawing>
      </w:r>
    </w:p>
    <w:p w14:paraId="67DBCAA2" w14:textId="0C40D1F5" w:rsidR="00EF265A" w:rsidRPr="000665B0" w:rsidRDefault="00EF265A" w:rsidP="006D5A65">
      <w:pPr>
        <w:pStyle w:val="Heading1"/>
      </w:pPr>
      <w:r w:rsidRPr="000665B0">
        <w:t>Target Data:</w:t>
      </w:r>
    </w:p>
    <w:p w14:paraId="75F992F2" w14:textId="24CA964F" w:rsidR="00EF265A" w:rsidRPr="000665B0" w:rsidRDefault="00EF265A" w:rsidP="006D5A65">
      <w:pPr>
        <w:pStyle w:val="Heading1"/>
      </w:pPr>
      <w:r w:rsidRPr="000665B0">
        <w:t>Target Data Valid</w:t>
      </w:r>
      <w:r w:rsidR="00A47094" w:rsidRPr="000665B0">
        <w:t xml:space="preserve"> </w:t>
      </w:r>
      <w:r w:rsidR="00264AAA" w:rsidRPr="000665B0">
        <w:t xml:space="preserve">Time </w:t>
      </w:r>
      <w:r w:rsidRPr="000665B0">
        <w:t xml:space="preserve">– Data </w:t>
      </w:r>
      <w:r w:rsidR="00B8758F" w:rsidRPr="000665B0">
        <w:t>v</w:t>
      </w:r>
      <w:r w:rsidRPr="000665B0">
        <w:t xml:space="preserve">alid </w:t>
      </w:r>
      <w:r w:rsidR="00B8758F" w:rsidRPr="000665B0">
        <w:t>t</w:t>
      </w:r>
      <w:r w:rsidRPr="000665B0">
        <w:t xml:space="preserve">ime of the </w:t>
      </w:r>
      <w:r w:rsidR="00264AAA" w:rsidRPr="000665B0">
        <w:t>t</w:t>
      </w:r>
      <w:r w:rsidRPr="000665B0">
        <w:t xml:space="preserve">rack </w:t>
      </w:r>
      <w:r w:rsidR="00264AAA" w:rsidRPr="000665B0">
        <w:t>u</w:t>
      </w:r>
      <w:r w:rsidRPr="000665B0">
        <w:t xml:space="preserve">pdate. </w:t>
      </w:r>
      <w:r w:rsidR="00576D22" w:rsidRPr="00576D22">
        <w:t>(Variable of 16 seconds, relative to the Message Data Valid time, specified to the nearest second).</w:t>
      </w:r>
    </w:p>
    <w:p w14:paraId="028755EA" w14:textId="77777777" w:rsidR="00EF265A" w:rsidRPr="000665B0" w:rsidRDefault="00EF265A" w:rsidP="006D5A65">
      <w:pPr>
        <w:pStyle w:val="Heading1"/>
      </w:pPr>
      <w:r w:rsidRPr="000665B0">
        <w:t>Target Latitude – Latitude of target.</w:t>
      </w:r>
    </w:p>
    <w:p w14:paraId="1CF79933" w14:textId="77777777" w:rsidR="00EF265A" w:rsidRPr="000665B0" w:rsidRDefault="00EF265A" w:rsidP="006D5A65">
      <w:pPr>
        <w:pStyle w:val="Heading1"/>
      </w:pPr>
      <w:r w:rsidRPr="000665B0">
        <w:t>Target Longitude – Longitude of target.</w:t>
      </w:r>
    </w:p>
    <w:p w14:paraId="61BCECEE" w14:textId="01CFC9DE" w:rsidR="00EF265A" w:rsidRPr="000665B0" w:rsidRDefault="00EF265A" w:rsidP="006D5A65">
      <w:pPr>
        <w:pStyle w:val="Heading1"/>
      </w:pPr>
      <w:r w:rsidRPr="000665B0">
        <w:t>Target Speed – Speed</w:t>
      </w:r>
      <w:r w:rsidR="00264AAA" w:rsidRPr="000665B0">
        <w:t xml:space="preserve"> (in knots)</w:t>
      </w:r>
      <w:r w:rsidRPr="000665B0">
        <w:t xml:space="preserve"> of target.</w:t>
      </w:r>
    </w:p>
    <w:p w14:paraId="27DA482B" w14:textId="41151065" w:rsidR="00EF265A" w:rsidRPr="000665B0" w:rsidRDefault="00EF265A" w:rsidP="006D5A65">
      <w:pPr>
        <w:pStyle w:val="Heading1"/>
      </w:pPr>
      <w:r w:rsidRPr="000665B0">
        <w:t xml:space="preserve">Target Course – Bearing </w:t>
      </w:r>
      <w:r w:rsidR="00264AAA" w:rsidRPr="000665B0">
        <w:t xml:space="preserve">(in degrees) </w:t>
      </w:r>
      <w:r w:rsidRPr="000665B0">
        <w:t>of target.</w:t>
      </w:r>
    </w:p>
    <w:p w14:paraId="7C0F6E10" w14:textId="7EDB6049" w:rsidR="00EF265A" w:rsidRPr="000665B0" w:rsidRDefault="00EF265A" w:rsidP="006D5A65">
      <w:pPr>
        <w:pStyle w:val="Heading1"/>
      </w:pPr>
      <w:r w:rsidRPr="000665B0">
        <w:t xml:space="preserve">AOU Major Axis – Length </w:t>
      </w:r>
      <w:r w:rsidR="00264AAA" w:rsidRPr="000665B0">
        <w:t xml:space="preserve">(in nautical miles) </w:t>
      </w:r>
      <w:r w:rsidRPr="000665B0">
        <w:t>of the Major axis of the Area of Uncertainty.</w:t>
      </w:r>
      <w:r w:rsidR="003D4D31">
        <w:t xml:space="preserve"> For data received from IBS and JREAP-C, the length is modified to reflect a 90% AOU size (See </w:t>
      </w:r>
      <w:hyperlink w:anchor="_Target_State_UpdatesIMMM" w:history="1">
        <w:r w:rsidR="003D4D31" w:rsidRPr="003D4D31">
          <w:rPr>
            <w:rStyle w:val="Hyperlink"/>
          </w:rPr>
          <w:t xml:space="preserve">Section </w:t>
        </w:r>
        <w:r w:rsidR="004231CC">
          <w:rPr>
            <w:rStyle w:val="Hyperlink"/>
          </w:rPr>
          <w:t>5.35</w:t>
        </w:r>
        <w:r w:rsidR="003D4D31" w:rsidRPr="003D4D31">
          <w:rPr>
            <w:rStyle w:val="Hyperlink"/>
          </w:rPr>
          <w:t>.3.1.3.2.5</w:t>
        </w:r>
      </w:hyperlink>
      <w:r w:rsidR="003D4D31">
        <w:t>).</w:t>
      </w:r>
    </w:p>
    <w:p w14:paraId="76FE50D9" w14:textId="311D5502" w:rsidR="00EF265A" w:rsidRPr="000665B0" w:rsidRDefault="00EF265A" w:rsidP="006D5A65">
      <w:pPr>
        <w:pStyle w:val="Heading1"/>
      </w:pPr>
      <w:r w:rsidRPr="000665B0">
        <w:t>AOU Minor Axis – Length</w:t>
      </w:r>
      <w:r w:rsidR="00264AAA" w:rsidRPr="000665B0">
        <w:t xml:space="preserve"> (in nautical miles)</w:t>
      </w:r>
      <w:r w:rsidRPr="000665B0">
        <w:t xml:space="preserve"> of the Minor axis of the Area of Uncertainty.</w:t>
      </w:r>
      <w:r w:rsidR="003D4D31">
        <w:t xml:space="preserve"> For data received from IBS and </w:t>
      </w:r>
      <w:r w:rsidR="003D4D31">
        <w:lastRenderedPageBreak/>
        <w:t xml:space="preserve">JREAP-C, the length is modified to reflect a 90% AOU size (See </w:t>
      </w:r>
      <w:hyperlink w:anchor="_Target_State_UpdatesIMMM" w:history="1">
        <w:r w:rsidR="003D4D31" w:rsidRPr="003D4D31">
          <w:rPr>
            <w:rStyle w:val="Hyperlink"/>
          </w:rPr>
          <w:t xml:space="preserve">Section </w:t>
        </w:r>
        <w:r w:rsidR="004231CC">
          <w:rPr>
            <w:rStyle w:val="Hyperlink"/>
          </w:rPr>
          <w:t>5.35</w:t>
        </w:r>
        <w:r w:rsidR="003D4D31" w:rsidRPr="003D4D31">
          <w:rPr>
            <w:rStyle w:val="Hyperlink"/>
          </w:rPr>
          <w:t>.3.1.3.2.5).</w:t>
        </w:r>
      </w:hyperlink>
    </w:p>
    <w:p w14:paraId="15708A8C" w14:textId="1560A7FD" w:rsidR="00EF265A" w:rsidRPr="000665B0" w:rsidRDefault="00EF265A" w:rsidP="006D5A65">
      <w:pPr>
        <w:pStyle w:val="Heading1"/>
      </w:pPr>
      <w:r w:rsidRPr="000665B0">
        <w:t>AOU Orientation – Orientation</w:t>
      </w:r>
      <w:r w:rsidR="00264AAA" w:rsidRPr="000665B0">
        <w:t xml:space="preserve"> (in degrees)</w:t>
      </w:r>
      <w:r w:rsidRPr="000665B0">
        <w:t xml:space="preserve"> of the Major </w:t>
      </w:r>
      <w:r w:rsidR="00A47094" w:rsidRPr="000665B0">
        <w:t>a</w:t>
      </w:r>
      <w:r w:rsidRPr="000665B0">
        <w:t>xis</w:t>
      </w:r>
      <w:r w:rsidR="00A47094" w:rsidRPr="000665B0">
        <w:t xml:space="preserve"> of the Area of Uncertainty</w:t>
      </w:r>
      <w:r w:rsidR="00264AAA" w:rsidRPr="000665B0">
        <w:t xml:space="preserve"> in degrees</w:t>
      </w:r>
      <w:r w:rsidRPr="000665B0">
        <w:t xml:space="preserve">. </w:t>
      </w:r>
    </w:p>
    <w:p w14:paraId="197FDE20" w14:textId="77777777" w:rsidR="00EF265A" w:rsidRPr="000665B0" w:rsidRDefault="00EF265A" w:rsidP="006D5A65">
      <w:pPr>
        <w:pStyle w:val="Heading1"/>
      </w:pPr>
      <w:r w:rsidRPr="000665B0">
        <w:t>Message Data:</w:t>
      </w:r>
    </w:p>
    <w:p w14:paraId="59792D1E" w14:textId="6A962A79" w:rsidR="00EF265A" w:rsidRPr="000665B0" w:rsidRDefault="00EF265A" w:rsidP="006D5A65">
      <w:pPr>
        <w:pStyle w:val="Heading1"/>
      </w:pPr>
      <w:r w:rsidRPr="000665B0">
        <w:t>Message Seq</w:t>
      </w:r>
      <w:r w:rsidR="00264AAA" w:rsidRPr="000665B0">
        <w:t>.</w:t>
      </w:r>
      <w:r w:rsidRPr="000665B0">
        <w:t xml:space="preserve"> Number (range 001 – 255) – Incremental count of messages issued by the missile, starting with 001.</w:t>
      </w:r>
    </w:p>
    <w:p w14:paraId="18C4BA48" w14:textId="1DE85660" w:rsidR="00EF265A" w:rsidRPr="000665B0" w:rsidRDefault="00EF265A" w:rsidP="006D5A65">
      <w:pPr>
        <w:pStyle w:val="Heading1"/>
      </w:pPr>
      <w:r w:rsidRPr="000665B0">
        <w:t>Message Type – MST IMMM</w:t>
      </w:r>
      <w:r w:rsidR="00264AAA" w:rsidRPr="000665B0">
        <w:t>.</w:t>
      </w:r>
    </w:p>
    <w:p w14:paraId="4E2B2297" w14:textId="1C15E3A9" w:rsidR="00EF265A" w:rsidRPr="000665B0" w:rsidRDefault="00EF265A" w:rsidP="006D5A65">
      <w:pPr>
        <w:pStyle w:val="Heading1"/>
      </w:pPr>
      <w:r w:rsidRPr="000665B0">
        <w:t xml:space="preserve">Message Status – </w:t>
      </w:r>
      <w:r w:rsidR="00D10DB1" w:rsidRPr="000665B0">
        <w:t>The current status of the message</w:t>
      </w:r>
      <w:r w:rsidRPr="000665B0">
        <w:t xml:space="preserve">. Possible </w:t>
      </w:r>
      <w:r w:rsidR="00264AAA" w:rsidRPr="000665B0">
        <w:t>status v</w:t>
      </w:r>
      <w:r w:rsidRPr="000665B0">
        <w:t>alues</w:t>
      </w:r>
      <w:r w:rsidR="00264AAA" w:rsidRPr="000665B0">
        <w:t xml:space="preserve"> include</w:t>
      </w:r>
      <w:r w:rsidRPr="000665B0">
        <w:t>:</w:t>
      </w:r>
    </w:p>
    <w:p w14:paraId="67DACACD" w14:textId="77777777" w:rsidR="00EF265A" w:rsidRPr="000665B0" w:rsidRDefault="00EF265A" w:rsidP="006D5A65">
      <w:pPr>
        <w:pStyle w:val="Heading1"/>
      </w:pPr>
      <w:r w:rsidRPr="000665B0">
        <w:t>Received</w:t>
      </w:r>
    </w:p>
    <w:p w14:paraId="4FA31368" w14:textId="254A80C1" w:rsidR="00EF265A" w:rsidRPr="000665B0" w:rsidRDefault="00EF265A" w:rsidP="006D5A65">
      <w:pPr>
        <w:pStyle w:val="Heading1"/>
      </w:pPr>
      <w:r w:rsidRPr="000665B0">
        <w:t>Error</w:t>
      </w:r>
      <w:r w:rsidR="009651B0">
        <w:t xml:space="preserve"> </w:t>
      </w:r>
    </w:p>
    <w:p w14:paraId="3E2C5D11" w14:textId="77777777" w:rsidR="00EF265A" w:rsidRPr="000665B0" w:rsidRDefault="00EF265A" w:rsidP="006D5A65">
      <w:pPr>
        <w:pStyle w:val="Heading1"/>
      </w:pPr>
      <w:r w:rsidRPr="000665B0">
        <w:t>Waiting</w:t>
      </w:r>
    </w:p>
    <w:p w14:paraId="46FB1850" w14:textId="77777777" w:rsidR="00EF265A" w:rsidRPr="000665B0" w:rsidRDefault="00EF265A" w:rsidP="006D5A65">
      <w:pPr>
        <w:pStyle w:val="Heading1"/>
      </w:pPr>
      <w:r w:rsidRPr="000665B0">
        <w:t>Expired</w:t>
      </w:r>
    </w:p>
    <w:p w14:paraId="25671625" w14:textId="77777777" w:rsidR="00EF265A" w:rsidRPr="000665B0" w:rsidRDefault="00EF265A" w:rsidP="006D5A65">
      <w:pPr>
        <w:pStyle w:val="Heading1"/>
      </w:pPr>
      <w:r w:rsidRPr="000665B0">
        <w:t>Skipped</w:t>
      </w:r>
    </w:p>
    <w:p w14:paraId="7EC9593D" w14:textId="77777777" w:rsidR="00EF265A" w:rsidRPr="000665B0" w:rsidRDefault="00EF265A" w:rsidP="006D5A65">
      <w:pPr>
        <w:pStyle w:val="Heading1"/>
      </w:pPr>
      <w:r w:rsidRPr="000665B0">
        <w:t>Editing</w:t>
      </w:r>
    </w:p>
    <w:p w14:paraId="0D716429" w14:textId="77777777" w:rsidR="00EF265A" w:rsidRPr="000665B0" w:rsidRDefault="00EF265A" w:rsidP="006D5A65">
      <w:pPr>
        <w:pStyle w:val="Heading1"/>
      </w:pPr>
      <w:r w:rsidRPr="000665B0">
        <w:t>Hold</w:t>
      </w:r>
    </w:p>
    <w:p w14:paraId="521C3B0E" w14:textId="77777777" w:rsidR="00EF265A" w:rsidRPr="000665B0" w:rsidRDefault="00EF265A" w:rsidP="006D5A65">
      <w:pPr>
        <w:pStyle w:val="Heading1"/>
      </w:pPr>
      <w:r w:rsidRPr="000665B0">
        <w:t>Pending</w:t>
      </w:r>
    </w:p>
    <w:p w14:paraId="201270D7" w14:textId="77777777" w:rsidR="00EF265A" w:rsidRPr="000665B0" w:rsidRDefault="00EF265A" w:rsidP="006D5A65">
      <w:pPr>
        <w:pStyle w:val="Heading1"/>
      </w:pPr>
      <w:r w:rsidRPr="000665B0">
        <w:t>Transmitted</w:t>
      </w:r>
    </w:p>
    <w:p w14:paraId="7E7F9908" w14:textId="6D54D68A" w:rsidR="00EF265A" w:rsidRPr="000665B0" w:rsidRDefault="00EF265A" w:rsidP="006D5A65">
      <w:pPr>
        <w:pStyle w:val="Heading1"/>
      </w:pPr>
      <w:r w:rsidRPr="000665B0">
        <w:t>Deleted</w:t>
      </w:r>
    </w:p>
    <w:p w14:paraId="001EB934" w14:textId="57392EFB" w:rsidR="00EF265A" w:rsidRPr="000665B0" w:rsidRDefault="00D10DB1" w:rsidP="006D5A65">
      <w:pPr>
        <w:pStyle w:val="Heading1"/>
      </w:pPr>
      <w:r w:rsidRPr="000665B0">
        <w:t xml:space="preserve">Missile </w:t>
      </w:r>
      <w:r w:rsidR="00EF265A" w:rsidRPr="000665B0">
        <w:t>Comman</w:t>
      </w:r>
      <w:r w:rsidRPr="000665B0">
        <w:t>d, Group Command</w:t>
      </w:r>
      <w:r w:rsidRPr="000665B0">
        <w:rPr>
          <w:bCs/>
        </w:rPr>
        <w:t>,</w:t>
      </w:r>
      <w:r w:rsidR="00A47B3E" w:rsidRPr="000665B0">
        <w:rPr>
          <w:bCs/>
        </w:rPr>
        <w:t xml:space="preserve"> and</w:t>
      </w:r>
      <w:r w:rsidRPr="000665B0">
        <w:t xml:space="preserve"> Target Command:</w:t>
      </w:r>
    </w:p>
    <w:p w14:paraId="3CD5DED2" w14:textId="01E25003" w:rsidR="00A47B3E" w:rsidRPr="000665B0" w:rsidRDefault="00A47B3E" w:rsidP="006D5A65">
      <w:pPr>
        <w:pStyle w:val="Heading1"/>
      </w:pPr>
      <w:r w:rsidRPr="000665B0">
        <w:t>Missile Subscriber ID (Missile Command only), (range 1 – 65535) – Used to identify which missile authored this message.</w:t>
      </w:r>
    </w:p>
    <w:p w14:paraId="5CDC48B6" w14:textId="2D509DB7" w:rsidR="00942BC2" w:rsidRPr="000665B0" w:rsidRDefault="00942BC2" w:rsidP="006D5A65">
      <w:pPr>
        <w:pStyle w:val="Heading1"/>
      </w:pPr>
      <w:r w:rsidRPr="000665B0">
        <w:t>Group Comms ID (Group Command only) – ID of a target for a group of missiles from the same FRU.</w:t>
      </w:r>
    </w:p>
    <w:p w14:paraId="62243AAF" w14:textId="368BE6FB" w:rsidR="00942BC2" w:rsidRPr="000665B0" w:rsidRDefault="00942BC2" w:rsidP="006D5A65">
      <w:pPr>
        <w:pStyle w:val="Heading1"/>
      </w:pPr>
      <w:r w:rsidRPr="000665B0">
        <w:t>Target Comms ID (Target Command only) – ID of a target for missiles from multiple FRUs.</w:t>
      </w:r>
    </w:p>
    <w:p w14:paraId="11DEBA30" w14:textId="6DE6191F" w:rsidR="00EF265A" w:rsidRPr="000665B0" w:rsidRDefault="00EF265A" w:rsidP="006D5A65">
      <w:pPr>
        <w:pStyle w:val="Heading1"/>
      </w:pPr>
      <w:r w:rsidRPr="000665B0">
        <w:t>Request H</w:t>
      </w:r>
      <w:r w:rsidR="009A5D5C" w:rsidRPr="000665B0">
        <w:t>&amp;</w:t>
      </w:r>
      <w:r w:rsidRPr="000665B0">
        <w:t xml:space="preserve">S – </w:t>
      </w:r>
      <w:r w:rsidR="00B8758F" w:rsidRPr="000665B0">
        <w:t>When checked, indicates r</w:t>
      </w:r>
      <w:r w:rsidRPr="000665B0">
        <w:t xml:space="preserve">equesting Health </w:t>
      </w:r>
      <w:r w:rsidR="00B8758F" w:rsidRPr="000665B0">
        <w:t>&amp;</w:t>
      </w:r>
      <w:r w:rsidRPr="000665B0">
        <w:t xml:space="preserve"> Status.</w:t>
      </w:r>
    </w:p>
    <w:p w14:paraId="21292F8E" w14:textId="4F62F2DA" w:rsidR="00EF265A" w:rsidRPr="000665B0" w:rsidRDefault="00EF265A" w:rsidP="006D5A65">
      <w:pPr>
        <w:pStyle w:val="Heading1"/>
      </w:pPr>
      <w:r w:rsidRPr="000665B0">
        <w:t xml:space="preserve">Modify Event Reporting – </w:t>
      </w:r>
      <w:r w:rsidR="00B8758F" w:rsidRPr="000665B0">
        <w:t>When checked, i</w:t>
      </w:r>
      <w:r w:rsidRPr="000665B0">
        <w:t xml:space="preserve">ndicates </w:t>
      </w:r>
      <w:r w:rsidR="00B8758F" w:rsidRPr="000665B0">
        <w:t xml:space="preserve">that </w:t>
      </w:r>
      <w:r w:rsidRPr="000665B0">
        <w:t>enablements are being set.</w:t>
      </w:r>
    </w:p>
    <w:p w14:paraId="05A956DB" w14:textId="387C34E8" w:rsidR="00EF265A" w:rsidRPr="000665B0" w:rsidRDefault="00EF265A" w:rsidP="006D5A65">
      <w:pPr>
        <w:pStyle w:val="Heading1"/>
      </w:pPr>
      <w:r w:rsidRPr="000665B0">
        <w:t xml:space="preserve">Abort – </w:t>
      </w:r>
      <w:r w:rsidR="00B8758F" w:rsidRPr="000665B0">
        <w:t xml:space="preserve">When checked, indicates that the </w:t>
      </w:r>
      <w:r w:rsidRPr="000665B0">
        <w:t>Abort command</w:t>
      </w:r>
      <w:r w:rsidR="00B8758F" w:rsidRPr="000665B0">
        <w:t xml:space="preserve"> is being sent</w:t>
      </w:r>
      <w:r w:rsidRPr="000665B0">
        <w:t>.</w:t>
      </w:r>
    </w:p>
    <w:p w14:paraId="4C75CA4D" w14:textId="77777777" w:rsidR="00EF265A" w:rsidRPr="000665B0" w:rsidRDefault="00EF265A" w:rsidP="006D5A65">
      <w:pPr>
        <w:pStyle w:val="Heading1"/>
      </w:pPr>
      <w:r w:rsidRPr="000665B0">
        <w:t>Enablements (3 subgroups)</w:t>
      </w:r>
    </w:p>
    <w:p w14:paraId="5DDED565" w14:textId="77C1B872" w:rsidR="00EF265A" w:rsidRPr="000665B0" w:rsidRDefault="00EF265A" w:rsidP="006D5A65">
      <w:pPr>
        <w:pStyle w:val="Heading1"/>
      </w:pPr>
      <w:r w:rsidRPr="000665B0">
        <w:t>Scheduled H</w:t>
      </w:r>
      <w:r w:rsidR="00500CFA" w:rsidRPr="000665B0">
        <w:t>&amp;</w:t>
      </w:r>
      <w:r w:rsidRPr="000665B0">
        <w:t xml:space="preserve">S Enabled – </w:t>
      </w:r>
      <w:r w:rsidR="00B8758F" w:rsidRPr="000665B0">
        <w:t>When checked, indicates that Scheduled H&amp;S messages will be sent.</w:t>
      </w:r>
    </w:p>
    <w:p w14:paraId="48AD7356" w14:textId="77777777" w:rsidR="00EF265A" w:rsidRPr="000665B0" w:rsidRDefault="00EF265A" w:rsidP="006D5A65">
      <w:pPr>
        <w:pStyle w:val="Heading1"/>
      </w:pPr>
      <w:r w:rsidRPr="000665B0">
        <w:t>Events:</w:t>
      </w:r>
    </w:p>
    <w:p w14:paraId="412E7672" w14:textId="77777777" w:rsidR="00EF265A" w:rsidRPr="000665B0" w:rsidRDefault="00EF265A" w:rsidP="006D5A65">
      <w:pPr>
        <w:pStyle w:val="Heading1"/>
      </w:pPr>
      <w:r w:rsidRPr="000665B0">
        <w:t>Cruise Transition</w:t>
      </w:r>
    </w:p>
    <w:p w14:paraId="2E82C2D7" w14:textId="77777777" w:rsidR="00EF265A" w:rsidRPr="000665B0" w:rsidRDefault="00EF265A" w:rsidP="006D5A65">
      <w:pPr>
        <w:pStyle w:val="Heading1"/>
      </w:pPr>
      <w:r w:rsidRPr="000665B0">
        <w:t>GPS High Power Ceased</w:t>
      </w:r>
    </w:p>
    <w:p w14:paraId="69797A42" w14:textId="77777777" w:rsidR="00EF265A" w:rsidRPr="000665B0" w:rsidRDefault="00EF265A" w:rsidP="006D5A65">
      <w:pPr>
        <w:pStyle w:val="Heading1"/>
      </w:pPr>
      <w:r w:rsidRPr="000665B0">
        <w:t>Intercept State Changed</w:t>
      </w:r>
    </w:p>
    <w:p w14:paraId="7454331B" w14:textId="19C0B5BE" w:rsidR="00EF265A" w:rsidRPr="000665B0" w:rsidRDefault="00EF265A" w:rsidP="006D5A65">
      <w:pPr>
        <w:pStyle w:val="Heading1"/>
      </w:pPr>
      <w:r w:rsidRPr="000665B0">
        <w:t>Terminal H</w:t>
      </w:r>
      <w:r w:rsidR="00500CFA" w:rsidRPr="000665B0">
        <w:t>&amp;</w:t>
      </w:r>
      <w:r w:rsidRPr="000665B0">
        <w:t>S</w:t>
      </w:r>
    </w:p>
    <w:p w14:paraId="5D3979AF" w14:textId="77777777" w:rsidR="00EF265A" w:rsidRPr="000665B0" w:rsidRDefault="00EF265A" w:rsidP="006D5A65">
      <w:pPr>
        <w:pStyle w:val="Heading1"/>
      </w:pPr>
      <w:r w:rsidRPr="000665B0">
        <w:t>Problems:</w:t>
      </w:r>
    </w:p>
    <w:p w14:paraId="00FE178E" w14:textId="77777777" w:rsidR="00EF265A" w:rsidRPr="000665B0" w:rsidRDefault="00EF265A" w:rsidP="006D5A65">
      <w:pPr>
        <w:pStyle w:val="Heading1"/>
      </w:pPr>
      <w:r w:rsidRPr="000665B0">
        <w:t>GPS High Power</w:t>
      </w:r>
    </w:p>
    <w:p w14:paraId="2EDA420F" w14:textId="77777777" w:rsidR="00EF265A" w:rsidRPr="000665B0" w:rsidRDefault="00EF265A" w:rsidP="006D5A65">
      <w:pPr>
        <w:pStyle w:val="Heading1"/>
      </w:pPr>
      <w:r w:rsidRPr="000665B0">
        <w:t>GPS Not Providing Updates</w:t>
      </w:r>
    </w:p>
    <w:p w14:paraId="0624F805" w14:textId="77777777" w:rsidR="00EF265A" w:rsidRPr="000665B0" w:rsidRDefault="00EF265A" w:rsidP="006D5A65">
      <w:pPr>
        <w:pStyle w:val="Heading1"/>
      </w:pPr>
      <w:r w:rsidRPr="000665B0">
        <w:t>Invalid Outcome</w:t>
      </w:r>
    </w:p>
    <w:p w14:paraId="534B8A21" w14:textId="6E2378BD" w:rsidR="00EF265A" w:rsidRPr="000665B0" w:rsidRDefault="00EF265A" w:rsidP="006D5A65">
      <w:pPr>
        <w:pStyle w:val="Heading1"/>
      </w:pPr>
      <w:r w:rsidRPr="000665B0">
        <w:t>B</w:t>
      </w:r>
      <w:r w:rsidR="00B8758F" w:rsidRPr="000665B0">
        <w:t>IT</w:t>
      </w:r>
      <w:r w:rsidRPr="000665B0">
        <w:t xml:space="preserve"> Failures:</w:t>
      </w:r>
    </w:p>
    <w:p w14:paraId="13FEFFED" w14:textId="77777777" w:rsidR="00EF265A" w:rsidRPr="000665B0" w:rsidRDefault="00EF265A" w:rsidP="006D5A65">
      <w:pPr>
        <w:pStyle w:val="Heading1"/>
      </w:pPr>
      <w:r w:rsidRPr="000665B0">
        <w:lastRenderedPageBreak/>
        <w:t>AGR</w:t>
      </w:r>
    </w:p>
    <w:p w14:paraId="38ACE07E" w14:textId="77777777" w:rsidR="00EF265A" w:rsidRPr="000665B0" w:rsidRDefault="00EF265A" w:rsidP="006D5A65">
      <w:pPr>
        <w:pStyle w:val="Heading1"/>
      </w:pPr>
      <w:r w:rsidRPr="000665B0">
        <w:t>IMU</w:t>
      </w:r>
    </w:p>
    <w:p w14:paraId="5B2D20DB" w14:textId="77777777" w:rsidR="00EF265A" w:rsidRPr="000665B0" w:rsidRDefault="00EF265A" w:rsidP="006D5A65">
      <w:pPr>
        <w:pStyle w:val="Heading1"/>
      </w:pPr>
      <w:r w:rsidRPr="000665B0">
        <w:t>PST</w:t>
      </w:r>
    </w:p>
    <w:p w14:paraId="6D525EA7" w14:textId="77777777" w:rsidR="00EF265A" w:rsidRPr="000665B0" w:rsidRDefault="00EF265A" w:rsidP="006D5A65">
      <w:pPr>
        <w:pStyle w:val="Heading1"/>
      </w:pPr>
      <w:r w:rsidRPr="000665B0">
        <w:t>Seeker</w:t>
      </w:r>
    </w:p>
    <w:p w14:paraId="0C06187E" w14:textId="77777777" w:rsidR="00EF265A" w:rsidRPr="000665B0" w:rsidRDefault="00EF265A" w:rsidP="006D5A65">
      <w:pPr>
        <w:pStyle w:val="Heading1"/>
      </w:pPr>
      <w:r w:rsidRPr="000665B0">
        <w:t>Air Data Module</w:t>
      </w:r>
    </w:p>
    <w:p w14:paraId="60E65BEF" w14:textId="77777777" w:rsidR="00EF265A" w:rsidRPr="000665B0" w:rsidRDefault="00EF265A" w:rsidP="006D5A65">
      <w:pPr>
        <w:pStyle w:val="Heading1"/>
      </w:pPr>
      <w:r w:rsidRPr="000665B0">
        <w:t>Guidance Processor</w:t>
      </w:r>
    </w:p>
    <w:p w14:paraId="0061C894" w14:textId="77777777" w:rsidR="00EF265A" w:rsidRPr="000665B0" w:rsidRDefault="00EF265A" w:rsidP="006D5A65">
      <w:pPr>
        <w:pStyle w:val="Heading1"/>
      </w:pPr>
      <w:r w:rsidRPr="000665B0">
        <w:t>Radar Altimeter</w:t>
      </w:r>
    </w:p>
    <w:p w14:paraId="4442200E" w14:textId="7FB792F5" w:rsidR="00CD2871" w:rsidRPr="000665B0" w:rsidRDefault="00CD2871" w:rsidP="00B35EE5">
      <w:pPr>
        <w:pStyle w:val="Heading3"/>
      </w:pPr>
      <w:bookmarkStart w:id="7019" w:name="_5.39.11__Ping_1"/>
      <w:bookmarkStart w:id="7020" w:name="_Ping_Log"/>
      <w:bookmarkStart w:id="7021" w:name="_Toc289328972"/>
      <w:bookmarkStart w:id="7022" w:name="_Toc312332108"/>
      <w:bookmarkStart w:id="7023" w:name="_Toc214283613"/>
      <w:bookmarkEnd w:id="7007"/>
      <w:bookmarkEnd w:id="7017"/>
      <w:bookmarkEnd w:id="7019"/>
      <w:bookmarkEnd w:id="7020"/>
      <w:r w:rsidRPr="000665B0">
        <w:t>Ping Log</w:t>
      </w:r>
      <w:bookmarkEnd w:id="7021"/>
      <w:bookmarkEnd w:id="7022"/>
      <w:bookmarkEnd w:id="7023"/>
    </w:p>
    <w:p w14:paraId="37D48032" w14:textId="6740DAF0" w:rsidR="00CD2871" w:rsidRPr="000665B0" w:rsidRDefault="00CD2871" w:rsidP="00CD2871">
      <w:r w:rsidRPr="000665B0">
        <w:t xml:space="preserve">The PING messages are TSN messages sent from MDS to FRU (i.e., TTWCS version 5 or 6), FRU to MDS, or MDS to MDS. There are three subtypes of PING </w:t>
      </w:r>
      <w:r w:rsidR="00121946" w:rsidRPr="000665B0">
        <w:t>messages:</w:t>
      </w:r>
      <w:r w:rsidRPr="000665B0">
        <w:t xml:space="preserve"> PING, PING Response, and PING Verification.</w:t>
      </w:r>
      <w:r w:rsidR="00030658" w:rsidRPr="000665B0">
        <w:t xml:space="preserve"> </w:t>
      </w:r>
    </w:p>
    <w:p w14:paraId="6E46C019" w14:textId="77777777" w:rsidR="00CD2871" w:rsidRPr="000665B0" w:rsidRDefault="00A4024F" w:rsidP="00CD2871">
      <w:pPr>
        <w:jc w:val="center"/>
      </w:pPr>
      <w:r w:rsidRPr="000665B0">
        <w:rPr>
          <w:noProof/>
        </w:rPr>
        <w:drawing>
          <wp:inline distT="0" distB="0" distL="0" distR="0" wp14:anchorId="66E6BDCC" wp14:editId="61F42488">
            <wp:extent cx="4983480" cy="868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39.11.png"/>
                    <pic:cNvPicPr/>
                  </pic:nvPicPr>
                  <pic:blipFill>
                    <a:blip cstate="screen">
                      <a:extLst>
                        <a:ext uri="{28A0092B-C50C-407E-A947-70E740481C1C}">
                          <a14:useLocalDpi xmlns:a14="http://schemas.microsoft.com/office/drawing/2010/main"/>
                        </a:ext>
                      </a:extLst>
                    </a:blip>
                    <a:stretch>
                      <a:fillRect/>
                    </a:stretch>
                  </pic:blipFill>
                  <pic:spPr>
                    <a:xfrm>
                      <a:off x="0" y="0"/>
                      <a:ext cx="4983480" cy="868680"/>
                    </a:xfrm>
                    <a:prstGeom prst="rect">
                      <a:avLst/>
                    </a:prstGeom>
                  </pic:spPr>
                </pic:pic>
              </a:graphicData>
            </a:graphic>
          </wp:inline>
        </w:drawing>
      </w:r>
    </w:p>
    <w:p w14:paraId="1DCA98B2" w14:textId="7331DEB3" w:rsidR="00030658" w:rsidRPr="000665B0" w:rsidRDefault="00030658" w:rsidP="00F26AD4">
      <w:r w:rsidRPr="000665B0">
        <w:t>When a ping is sent to a TTWCS V5.6 or above, two pings are actually sent: one for DAMA, and one for ACA.</w:t>
      </w:r>
    </w:p>
    <w:p w14:paraId="0050A64E" w14:textId="3108B64F" w:rsidR="00030658" w:rsidRPr="000665B0" w:rsidRDefault="00030658" w:rsidP="00CD2871">
      <w:pPr>
        <w:jc w:val="center"/>
      </w:pPr>
      <w:r w:rsidRPr="000665B0">
        <w:rPr>
          <w:noProof/>
        </w:rPr>
        <w:drawing>
          <wp:inline distT="0" distB="0" distL="0" distR="0" wp14:anchorId="3646C27A" wp14:editId="3C2280A0">
            <wp:extent cx="4980298" cy="715618"/>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b="9988"/>
                    <a:stretch/>
                  </pic:blipFill>
                  <pic:spPr bwMode="auto">
                    <a:xfrm>
                      <a:off x="0" y="0"/>
                      <a:ext cx="4983480" cy="716075"/>
                    </a:xfrm>
                    <a:prstGeom prst="rect">
                      <a:avLst/>
                    </a:prstGeom>
                    <a:ln>
                      <a:noFill/>
                    </a:ln>
                    <a:extLst>
                      <a:ext uri="{53640926-AAD7-44D8-BBD7-CCE9431645EC}">
                        <a14:shadowObscured xmlns:a14="http://schemas.microsoft.com/office/drawing/2010/main"/>
                      </a:ext>
                    </a:extLst>
                  </pic:spPr>
                </pic:pic>
              </a:graphicData>
            </a:graphic>
          </wp:inline>
        </w:drawing>
      </w:r>
    </w:p>
    <w:p w14:paraId="2B44794B" w14:textId="77777777" w:rsidR="00CD2871" w:rsidRPr="000665B0" w:rsidRDefault="00BA744F" w:rsidP="00CD2871">
      <w:r w:rsidRPr="000665B0">
        <w:t>The Ping Log allows the user to see which PING messages have been sent and received by TSRT emulated FRUs. This list does not contain a Textual View. The TSRT Ping Log is a read-only list view.</w:t>
      </w:r>
    </w:p>
    <w:p w14:paraId="7CEDEF9C" w14:textId="77777777" w:rsidR="00CD2871" w:rsidRPr="000665B0" w:rsidRDefault="00CD2871" w:rsidP="00FD0AC4">
      <w:pPr>
        <w:spacing w:after="0"/>
      </w:pPr>
      <w:r w:rsidRPr="000665B0">
        <w:t>When TSRT sends or receives a PING message on behalf of an FRU, the message will be shown on this list.</w:t>
      </w:r>
    </w:p>
    <w:p w14:paraId="2EB2D1EC" w14:textId="422D9C72" w:rsidR="00093026" w:rsidRPr="000665B0" w:rsidRDefault="00093026" w:rsidP="00F26AD4">
      <w:pPr>
        <w:pStyle w:val="Heading3"/>
      </w:pPr>
      <w:bookmarkStart w:id="7024" w:name="_ACA_Log"/>
      <w:bookmarkStart w:id="7025" w:name="_Toc214283614"/>
      <w:bookmarkEnd w:id="7024"/>
      <w:r w:rsidRPr="000665B0">
        <w:t>ACA Log</w:t>
      </w:r>
      <w:bookmarkEnd w:id="7025"/>
    </w:p>
    <w:p w14:paraId="143343A5" w14:textId="00E6AA6F" w:rsidR="00093026" w:rsidRPr="000665B0" w:rsidRDefault="00093026" w:rsidP="00093026">
      <w:r w:rsidRPr="000665B0">
        <w:t xml:space="preserve">The ACA Log allows the user to see the message traffic associated with the </w:t>
      </w:r>
      <w:r w:rsidR="00180BE7" w:rsidRPr="000665B0">
        <w:t xml:space="preserve">ACA </w:t>
      </w:r>
      <w:r w:rsidRPr="000665B0">
        <w:t>Filter Message, Response Message, and receipt acknowledgments sent between NSP and TWS. It shows the DTG when a message associated with a strike option and filter number has been received or transmitted.</w:t>
      </w:r>
      <w:r w:rsidR="00223BC8" w:rsidRPr="000665B0">
        <w:t xml:space="preserve"> </w:t>
      </w:r>
      <w:r w:rsidR="006113D1" w:rsidRPr="000665B0">
        <w:t>A</w:t>
      </w:r>
      <w:r w:rsidR="00223BC8" w:rsidRPr="000665B0">
        <w:t xml:space="preserve"> Filter Response message</w:t>
      </w:r>
      <w:r w:rsidR="00FD64B9" w:rsidRPr="000665B0">
        <w:t xml:space="preserve"> sent</w:t>
      </w:r>
      <w:r w:rsidR="00223BC8" w:rsidRPr="000665B0">
        <w:t xml:space="preserve"> </w:t>
      </w:r>
      <w:r w:rsidR="00FD64B9" w:rsidRPr="000665B0">
        <w:t xml:space="preserve">from the NSP </w:t>
      </w:r>
      <w:r w:rsidR="00223BC8" w:rsidRPr="000665B0">
        <w:t xml:space="preserve">may also be simulated </w:t>
      </w:r>
      <w:r w:rsidR="006113D1" w:rsidRPr="000665B0">
        <w:t xml:space="preserve">from the ACA Log, provided that TSRT has not already sent a response message </w:t>
      </w:r>
      <w:r w:rsidR="00223BC8" w:rsidRPr="000665B0">
        <w:t xml:space="preserve">(see </w:t>
      </w:r>
      <w:hyperlink w:anchor="_NSP__Complications" w:history="1">
        <w:r w:rsidR="00223BC8" w:rsidRPr="000665B0">
          <w:rPr>
            <w:rStyle w:val="Hyperlink"/>
          </w:rPr>
          <w:t xml:space="preserve">Section </w:t>
        </w:r>
        <w:r w:rsidR="004231CC">
          <w:rPr>
            <w:rStyle w:val="Hyperlink"/>
          </w:rPr>
          <w:t>5.37</w:t>
        </w:r>
        <w:r w:rsidR="00223BC8" w:rsidRPr="000665B0">
          <w:rPr>
            <w:rStyle w:val="Hyperlink"/>
          </w:rPr>
          <w:t>.14.5</w:t>
        </w:r>
      </w:hyperlink>
      <w:r w:rsidR="00223BC8" w:rsidRPr="000665B0">
        <w:t>).</w:t>
      </w:r>
    </w:p>
    <w:p w14:paraId="1D2C2900" w14:textId="384D0710" w:rsidR="00093026" w:rsidRPr="000665B0" w:rsidRDefault="00093026" w:rsidP="00F26AD4">
      <w:pPr>
        <w:jc w:val="center"/>
      </w:pPr>
      <w:r w:rsidRPr="000665B0">
        <w:rPr>
          <w:noProof/>
        </w:rPr>
        <w:drawing>
          <wp:inline distT="0" distB="0" distL="0" distR="0" wp14:anchorId="3B882148" wp14:editId="27BF28A7">
            <wp:extent cx="4170627" cy="800760"/>
            <wp:effectExtent l="0" t="0" r="0" b="0"/>
            <wp:docPr id="1641" name="Picture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200716" cy="806537"/>
                    </a:xfrm>
                    <a:prstGeom prst="rect">
                      <a:avLst/>
                    </a:prstGeom>
                  </pic:spPr>
                </pic:pic>
              </a:graphicData>
            </a:graphic>
          </wp:inline>
        </w:drawing>
      </w:r>
    </w:p>
    <w:p w14:paraId="4F0E2ACF" w14:textId="0484BE72" w:rsidR="00CD2871" w:rsidRPr="000665B0" w:rsidRDefault="00CD2871" w:rsidP="00B35EE5">
      <w:pPr>
        <w:pStyle w:val="Heading3"/>
      </w:pPr>
      <w:bookmarkStart w:id="7026" w:name="_5.39.12__FDU_Log"/>
      <w:bookmarkStart w:id="7027" w:name="_5.39.12__FDU"/>
      <w:bookmarkStart w:id="7028" w:name="_FDU_Log"/>
      <w:bookmarkStart w:id="7029" w:name="_Toc289328973"/>
      <w:bookmarkStart w:id="7030" w:name="_Toc312332109"/>
      <w:bookmarkStart w:id="7031" w:name="_Toc214283615"/>
      <w:bookmarkEnd w:id="7026"/>
      <w:bookmarkEnd w:id="7027"/>
      <w:bookmarkEnd w:id="7028"/>
      <w:r w:rsidRPr="000665B0">
        <w:lastRenderedPageBreak/>
        <w:t>FDU Log</w:t>
      </w:r>
      <w:bookmarkEnd w:id="7029"/>
      <w:bookmarkEnd w:id="7030"/>
      <w:bookmarkEnd w:id="7031"/>
    </w:p>
    <w:p w14:paraId="6D8D19D8" w14:textId="77777777" w:rsidR="00CD2871" w:rsidRPr="000665B0" w:rsidRDefault="00BA744F" w:rsidP="00CD2871">
      <w:r w:rsidRPr="000665B0">
        <w:t>The FDU messages are a detailed message sent from MDS to MDS or MDS to a FRU (i.e., TTWCS, etc.</w:t>
      </w:r>
      <w:r w:rsidR="00A23FEE" w:rsidRPr="000665B0">
        <w:t>)</w:t>
      </w:r>
      <w:r w:rsidRPr="000665B0">
        <w:t xml:space="preserve"> Some examples of FDU messages are MLOSRF-T, SPEO, and PLRO.</w:t>
      </w:r>
    </w:p>
    <w:p w14:paraId="59255AB8" w14:textId="77777777" w:rsidR="00CD2871" w:rsidRPr="000665B0" w:rsidRDefault="00A4024F" w:rsidP="00CD2871">
      <w:pPr>
        <w:jc w:val="center"/>
      </w:pPr>
      <w:r w:rsidRPr="000665B0">
        <w:rPr>
          <w:noProof/>
        </w:rPr>
        <w:drawing>
          <wp:inline distT="0" distB="0" distL="0" distR="0" wp14:anchorId="18A5853D" wp14:editId="503C536A">
            <wp:extent cx="4722747" cy="10658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39.12.png"/>
                    <pic:cNvPicPr/>
                  </pic:nvPicPr>
                  <pic:blipFill>
                    <a:blip cstate="screen">
                      <a:extLst>
                        <a:ext uri="{28A0092B-C50C-407E-A947-70E740481C1C}">
                          <a14:useLocalDpi xmlns:a14="http://schemas.microsoft.com/office/drawing/2010/main"/>
                        </a:ext>
                      </a:extLst>
                    </a:blip>
                    <a:stretch>
                      <a:fillRect/>
                    </a:stretch>
                  </pic:blipFill>
                  <pic:spPr>
                    <a:xfrm>
                      <a:off x="0" y="0"/>
                      <a:ext cx="4794275" cy="1082011"/>
                    </a:xfrm>
                    <a:prstGeom prst="rect">
                      <a:avLst/>
                    </a:prstGeom>
                  </pic:spPr>
                </pic:pic>
              </a:graphicData>
            </a:graphic>
          </wp:inline>
        </w:drawing>
      </w:r>
    </w:p>
    <w:p w14:paraId="09162A60" w14:textId="42493671" w:rsidR="00CD2871" w:rsidRPr="000665B0" w:rsidRDefault="00CD2871" w:rsidP="00CD2871">
      <w:r w:rsidRPr="000665B0">
        <w:t>The FDU Log allows the user to see what messages have been sent and received by TSRT. This list does not contain a Textual View. If the user wants to see the contents of a message</w:t>
      </w:r>
      <w:r w:rsidR="00030658" w:rsidRPr="000665B0">
        <w:t>,</w:t>
      </w:r>
      <w:r w:rsidRPr="000665B0">
        <w:t xml:space="preserve"> go to the </w:t>
      </w:r>
      <w:r w:rsidRPr="000665B0">
        <w:rPr>
          <w:b/>
          <w:bCs/>
        </w:rPr>
        <w:t>Incoming DDOs</w:t>
      </w:r>
      <w:r w:rsidRPr="000665B0">
        <w:t xml:space="preserve"> Tool for more information about what was in the actual message. The TSRT FDU Log is a read-only list view.</w:t>
      </w:r>
    </w:p>
    <w:p w14:paraId="32645D13" w14:textId="77777777" w:rsidR="00CD2871" w:rsidRPr="000665B0" w:rsidRDefault="00CD2871" w:rsidP="00282578">
      <w:pPr>
        <w:spacing w:after="0"/>
      </w:pPr>
      <w:r w:rsidRPr="000665B0">
        <w:t>When TSRT or MDS sends an FDU to the other, the message will be shown on this list.</w:t>
      </w:r>
    </w:p>
    <w:p w14:paraId="4F535E38" w14:textId="738ABDBA" w:rsidR="00282578" w:rsidRPr="000665B0" w:rsidRDefault="00282578" w:rsidP="00B35EE5">
      <w:pPr>
        <w:pStyle w:val="Heading3"/>
      </w:pPr>
      <w:bookmarkStart w:id="7032" w:name="_5.39.13__Complications"/>
      <w:bookmarkStart w:id="7033" w:name="_Toc289328974"/>
      <w:bookmarkStart w:id="7034" w:name="_Toc312332110"/>
      <w:bookmarkStart w:id="7035" w:name="_Toc214283616"/>
      <w:bookmarkStart w:id="7036" w:name="_Hlk43303482"/>
      <w:bookmarkEnd w:id="7032"/>
      <w:r w:rsidRPr="000665B0">
        <w:t>Complications</w:t>
      </w:r>
      <w:bookmarkEnd w:id="7033"/>
      <w:bookmarkEnd w:id="7034"/>
      <w:bookmarkEnd w:id="7035"/>
    </w:p>
    <w:p w14:paraId="4C526CA6" w14:textId="654C46E6" w:rsidR="00282578" w:rsidRPr="000665B0" w:rsidRDefault="00282578" w:rsidP="00282578">
      <w:r w:rsidRPr="000665B0">
        <w:t xml:space="preserve">The TSRT complication editor is not a tool of its own. TSRT complications are viewed and edited either on the TSRT Gantt, or in a separate window on a per-actor (missile, FRU, etc.) basis. </w:t>
      </w:r>
    </w:p>
    <w:p w14:paraId="111F0223" w14:textId="77777777" w:rsidR="00282578" w:rsidRPr="000665B0" w:rsidRDefault="00282578" w:rsidP="00282578">
      <w:r w:rsidRPr="000665B0">
        <w:t>The complication editor can be launched anywhere you can right-click on a missile or FRU in TSRT. For example, you can add complications from the following places:</w:t>
      </w:r>
    </w:p>
    <w:p w14:paraId="6DA1A66B" w14:textId="2878E958" w:rsidR="00282578" w:rsidRPr="000665B0" w:rsidRDefault="00282578" w:rsidP="006D5A65">
      <w:pPr>
        <w:pStyle w:val="Heading1"/>
      </w:pPr>
      <w:r w:rsidRPr="000665B0">
        <w:t>The TSRT Gantt chart (</w:t>
      </w:r>
      <w:r w:rsidR="00C23C8A" w:rsidRPr="000665B0">
        <w:t xml:space="preserve">see </w:t>
      </w:r>
      <w:hyperlink w:anchor="_5.39.1__Gantt_Chart" w:history="1">
        <w:r w:rsidRPr="000665B0">
          <w:rPr>
            <w:rStyle w:val="Hyperlink"/>
          </w:rPr>
          <w:t xml:space="preserve">Section </w:t>
        </w:r>
        <w:r w:rsidR="004231CC">
          <w:rPr>
            <w:rStyle w:val="Hyperlink"/>
          </w:rPr>
          <w:t>5.37</w:t>
        </w:r>
        <w:r w:rsidRPr="000665B0">
          <w:rPr>
            <w:rStyle w:val="Hyperlink"/>
          </w:rPr>
          <w:t>.1</w:t>
        </w:r>
      </w:hyperlink>
      <w:r w:rsidRPr="000665B0">
        <w:t xml:space="preserve">) </w:t>
      </w:r>
    </w:p>
    <w:p w14:paraId="6D7A4F6E" w14:textId="2E467259" w:rsidR="00282578" w:rsidRPr="000665B0" w:rsidRDefault="00282578" w:rsidP="006D5A65">
      <w:pPr>
        <w:pStyle w:val="Heading1"/>
      </w:pPr>
      <w:r w:rsidRPr="000665B0">
        <w:t>The Geo display (the FRU and Missile icons themselves) (</w:t>
      </w:r>
      <w:r w:rsidR="00C23C8A" w:rsidRPr="000665B0">
        <w:t xml:space="preserve">see </w:t>
      </w:r>
      <w:hyperlink w:anchor="_5.39.3__TSRT_Geo" w:history="1">
        <w:r w:rsidRPr="000665B0">
          <w:rPr>
            <w:rStyle w:val="Hyperlink"/>
          </w:rPr>
          <w:t xml:space="preserve">Section </w:t>
        </w:r>
        <w:r w:rsidR="004231CC">
          <w:rPr>
            <w:rStyle w:val="Hyperlink"/>
          </w:rPr>
          <w:t>5.37</w:t>
        </w:r>
        <w:r w:rsidRPr="000665B0">
          <w:rPr>
            <w:rStyle w:val="Hyperlink"/>
          </w:rPr>
          <w:t>.3</w:t>
        </w:r>
      </w:hyperlink>
      <w:r w:rsidRPr="000665B0">
        <w:t>)</w:t>
      </w:r>
    </w:p>
    <w:p w14:paraId="084612D8" w14:textId="77777777" w:rsidR="00282578" w:rsidRPr="000665B0" w:rsidRDefault="00282578" w:rsidP="006D5A65">
      <w:pPr>
        <w:pStyle w:val="Heading1"/>
      </w:pPr>
      <w:r w:rsidRPr="000665B0">
        <w:t>The Geo display’s tree-view (a.k.a. the “Geo Object Manager”).</w:t>
      </w:r>
    </w:p>
    <w:p w14:paraId="034DA0E5" w14:textId="3BA941BC" w:rsidR="00282578" w:rsidRPr="000665B0" w:rsidRDefault="00282578" w:rsidP="006D5A65">
      <w:pPr>
        <w:pStyle w:val="Heading1"/>
      </w:pPr>
      <w:r w:rsidRPr="000665B0">
        <w:t>The Missile Status View (</w:t>
      </w:r>
      <w:r w:rsidR="00C23C8A" w:rsidRPr="000665B0">
        <w:t xml:space="preserve">see </w:t>
      </w:r>
      <w:hyperlink w:anchor="_Missile_Status_1" w:history="1">
        <w:r w:rsidRPr="000665B0">
          <w:rPr>
            <w:rStyle w:val="Hyperlink"/>
          </w:rPr>
          <w:t xml:space="preserve">Section </w:t>
        </w:r>
        <w:r w:rsidR="004231CC">
          <w:rPr>
            <w:rStyle w:val="Hyperlink"/>
          </w:rPr>
          <w:t>5.37</w:t>
        </w:r>
        <w:r w:rsidRPr="000665B0">
          <w:rPr>
            <w:rStyle w:val="Hyperlink"/>
          </w:rPr>
          <w:t>.5</w:t>
        </w:r>
      </w:hyperlink>
      <w:r w:rsidRPr="000665B0">
        <w:t>).</w:t>
      </w:r>
    </w:p>
    <w:p w14:paraId="319D397F" w14:textId="5BF4E4EE" w:rsidR="00166DDC" w:rsidRPr="000665B0" w:rsidRDefault="00282578" w:rsidP="006D5A65">
      <w:pPr>
        <w:pStyle w:val="Heading1"/>
      </w:pPr>
      <w:r w:rsidRPr="000665B0">
        <w:t>The FRU Status View (</w:t>
      </w:r>
      <w:r w:rsidR="00C23C8A" w:rsidRPr="000665B0">
        <w:t xml:space="preserve">see </w:t>
      </w:r>
      <w:hyperlink w:anchor="_FRU_Status_1" w:history="1">
        <w:r w:rsidRPr="00EA7FAB">
          <w:rPr>
            <w:rStyle w:val="Hyperlink"/>
          </w:rPr>
          <w:t xml:space="preserve">Section </w:t>
        </w:r>
        <w:r w:rsidR="004231CC">
          <w:rPr>
            <w:rStyle w:val="Hyperlink"/>
          </w:rPr>
          <w:t>5.37</w:t>
        </w:r>
        <w:r w:rsidRPr="00EA7FAB">
          <w:rPr>
            <w:rStyle w:val="Hyperlink"/>
          </w:rPr>
          <w:t>.4)</w:t>
        </w:r>
      </w:hyperlink>
      <w:r w:rsidRPr="000665B0">
        <w:t>.</w:t>
      </w:r>
    </w:p>
    <w:p w14:paraId="076CBDBC" w14:textId="71B784CC" w:rsidR="00C111DB" w:rsidRPr="000665B0" w:rsidRDefault="00C111DB" w:rsidP="00BD4482">
      <w:r w:rsidRPr="000665B0">
        <w:t xml:space="preserve">If multiple FRUs are selected in the </w:t>
      </w:r>
      <w:r w:rsidRPr="000665B0">
        <w:rPr>
          <w:b/>
        </w:rPr>
        <w:t>FRU Status</w:t>
      </w:r>
      <w:r w:rsidRPr="000665B0">
        <w:t xml:space="preserve"> pane, one </w:t>
      </w:r>
      <w:r w:rsidRPr="000665B0">
        <w:rPr>
          <w:i/>
        </w:rPr>
        <w:t>Complication</w:t>
      </w:r>
      <w:r w:rsidRPr="000665B0">
        <w:t xml:space="preserve"> window is opened for each FRU. If multiple missiles are selected in the </w:t>
      </w:r>
      <w:r w:rsidRPr="000665B0">
        <w:rPr>
          <w:b/>
        </w:rPr>
        <w:t>Missile Status</w:t>
      </w:r>
      <w:r w:rsidRPr="000665B0">
        <w:t xml:space="preserve"> pane, one </w:t>
      </w:r>
      <w:r w:rsidRPr="000665B0">
        <w:rPr>
          <w:i/>
        </w:rPr>
        <w:t>Complication</w:t>
      </w:r>
      <w:r w:rsidRPr="000665B0">
        <w:t xml:space="preserve"> window is opened for all missiles, which allows for the quick creation of one complication for multiple missiles.</w:t>
      </w:r>
    </w:p>
    <w:p w14:paraId="0B6BEC73" w14:textId="4EA5F2CD" w:rsidR="00282578" w:rsidRPr="000665B0" w:rsidRDefault="00282578" w:rsidP="00282578">
      <w:r w:rsidRPr="000665B0">
        <w:t xml:space="preserve">The TSRT Gantt chart shows all the scheduled complications for each entity (missile, FRU, etc.) in the rehearsal. A complication is denoted on the Gantt chart by an orange bar. Any entity that is subjected to a complication will appear with an orange icon on the Gantt chart’s Missile Assignment List. A complication’s start or end time (if any) can be modified from the Gantt chart by simply dragging and dropping the end symbols of the orange bar to the specified location. </w:t>
      </w:r>
    </w:p>
    <w:p w14:paraId="597D5BF5" w14:textId="77777777" w:rsidR="002A6AA5" w:rsidRDefault="0085419F" w:rsidP="00282578">
      <w:pPr>
        <w:jc w:val="center"/>
        <w:rPr>
          <w:noProof/>
        </w:rPr>
      </w:pPr>
      <w:r w:rsidRPr="006A0C92">
        <w:rPr>
          <w:noProof/>
        </w:rPr>
        <w:lastRenderedPageBreak/>
        <w:drawing>
          <wp:inline distT="0" distB="0" distL="0" distR="0" wp14:anchorId="3EC60A1E" wp14:editId="6DF3E83C">
            <wp:extent cx="4572000" cy="3227832"/>
            <wp:effectExtent l="0" t="0" r="0" b="0"/>
            <wp:docPr id="898896661"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96661" name="Picture 1" descr="Graphical user interface, application, table&#10;&#10;Description automatically generated"/>
                    <pic:cNvPicPr/>
                  </pic:nvPicPr>
                  <pic:blipFill>
                    <a:blip/>
                    <a:stretch>
                      <a:fillRect/>
                    </a:stretch>
                  </pic:blipFill>
                  <pic:spPr>
                    <a:xfrm>
                      <a:off x="0" y="0"/>
                      <a:ext cx="4572000" cy="3227832"/>
                    </a:xfrm>
                    <a:prstGeom prst="rect">
                      <a:avLst/>
                    </a:prstGeom>
                  </pic:spPr>
                </pic:pic>
              </a:graphicData>
            </a:graphic>
          </wp:inline>
        </w:drawing>
      </w:r>
    </w:p>
    <w:p w14:paraId="1DD92044" w14:textId="4470F085" w:rsidR="00282578" w:rsidRPr="000665B0" w:rsidRDefault="00282578" w:rsidP="00282578">
      <w:r w:rsidRPr="000665B0">
        <w:t xml:space="preserve">Below is a sample of the complication editor for a surface FRU that is opened from the </w:t>
      </w:r>
      <w:r w:rsidRPr="000665B0">
        <w:rPr>
          <w:b/>
        </w:rPr>
        <w:t xml:space="preserve">FRU </w:t>
      </w:r>
      <w:r w:rsidR="00C23C8A" w:rsidRPr="000665B0">
        <w:rPr>
          <w:b/>
        </w:rPr>
        <w:t>Status</w:t>
      </w:r>
      <w:r w:rsidR="00C23C8A" w:rsidRPr="000665B0">
        <w:t xml:space="preserve"> </w:t>
      </w:r>
      <w:r w:rsidR="004C525A" w:rsidRPr="000665B0">
        <w:t>pane</w:t>
      </w:r>
      <w:r w:rsidRPr="000665B0">
        <w:t>. Note that if the editor were opened from the Gantt chart, the start and end times would not be editable directly from the editor, as the operator would be expected to adjust the times on the Gantt chart itself:</w:t>
      </w:r>
    </w:p>
    <w:p w14:paraId="2DB7811C" w14:textId="741A3C93" w:rsidR="00282578" w:rsidRPr="000665B0" w:rsidRDefault="00190C8D" w:rsidP="00282578">
      <w:pPr>
        <w:jc w:val="center"/>
      </w:pPr>
      <w:r w:rsidRPr="000665B0">
        <w:rPr>
          <w:noProof/>
        </w:rPr>
        <w:drawing>
          <wp:inline distT="0" distB="0" distL="0" distR="0" wp14:anchorId="3B3FF9D9" wp14:editId="41213969">
            <wp:extent cx="4572000" cy="1874520"/>
            <wp:effectExtent l="0" t="0" r="0" b="0"/>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1874520"/>
                    </a:xfrm>
                    <a:prstGeom prst="rect">
                      <a:avLst/>
                    </a:prstGeom>
                  </pic:spPr>
                </pic:pic>
              </a:graphicData>
            </a:graphic>
          </wp:inline>
        </w:drawing>
      </w:r>
    </w:p>
    <w:p w14:paraId="73E0CFAF" w14:textId="77777777" w:rsidR="00282578" w:rsidRPr="000665B0" w:rsidRDefault="00282578" w:rsidP="006D5A65">
      <w:pPr>
        <w:pStyle w:val="Heading1"/>
      </w:pPr>
      <w:r w:rsidRPr="000665B0">
        <w:t xml:space="preserve">Complications are unclassified. There is no data on the complication editor that is sensitive. (It is recommended that </w:t>
      </w:r>
      <w:r w:rsidRPr="000665B0">
        <w:lastRenderedPageBreak/>
        <w:t>the per-complication annotations not contain any sensitive data.)</w:t>
      </w:r>
    </w:p>
    <w:p w14:paraId="128C557A" w14:textId="3E1C1921" w:rsidR="00282578" w:rsidRPr="000665B0" w:rsidRDefault="00282578" w:rsidP="006D5A65">
      <w:pPr>
        <w:pStyle w:val="Heading1"/>
      </w:pPr>
      <w:r w:rsidRPr="000665B0">
        <w:t xml:space="preserve">A </w:t>
      </w:r>
      <w:r w:rsidR="00C93DB4" w:rsidRPr="000665B0">
        <w:t>timeline</w:t>
      </w:r>
      <w:r w:rsidRPr="000665B0">
        <w:t xml:space="preserve"> for the complication appears on the Gantt chart. This help</w:t>
      </w:r>
      <w:r w:rsidR="00180BE7" w:rsidRPr="000665B0">
        <w:t>s</w:t>
      </w:r>
      <w:r w:rsidRPr="000665B0">
        <w:t xml:space="preserve"> the operator to identify complications whose start times are in the past.</w:t>
      </w:r>
    </w:p>
    <w:p w14:paraId="2CB7E830" w14:textId="77777777" w:rsidR="00282578" w:rsidRPr="000665B0" w:rsidRDefault="00282578" w:rsidP="006D5A65">
      <w:pPr>
        <w:pStyle w:val="Heading1"/>
      </w:pPr>
      <w:bookmarkStart w:id="7037" w:name="_Hlk103173151"/>
      <w:r w:rsidRPr="000665B0">
        <w:t xml:space="preserve">Complications cannot be scheduled in the past (you must schedule them in the future). </w:t>
      </w:r>
    </w:p>
    <w:p w14:paraId="26533C20" w14:textId="363A2968" w:rsidR="00282578" w:rsidRPr="000665B0" w:rsidRDefault="00282578" w:rsidP="006D5A65">
      <w:pPr>
        <w:pStyle w:val="Heading1"/>
      </w:pPr>
      <w:r w:rsidRPr="000665B0">
        <w:t>Even if TSRT allowed for “history</w:t>
      </w:r>
      <w:r w:rsidR="00AA56E8">
        <w:t>”</w:t>
      </w:r>
      <w:r w:rsidRPr="000665B0">
        <w:t xml:space="preserve"> to be changed</w:t>
      </w:r>
      <w:r w:rsidR="00F17A3E" w:rsidRPr="000665B0">
        <w:t>,</w:t>
      </w:r>
      <w:r w:rsidRPr="000665B0">
        <w:t xml:space="preserve"> other machines and persons involved with the rehearsal could not be easily notified of the change(s) to history.</w:t>
      </w:r>
    </w:p>
    <w:bookmarkEnd w:id="7037"/>
    <w:p w14:paraId="6236646D" w14:textId="77777777" w:rsidR="00C9647A" w:rsidRPr="000665B0" w:rsidRDefault="00C9647A" w:rsidP="006D5A65">
      <w:pPr>
        <w:pStyle w:val="Heading1"/>
      </w:pPr>
      <w:r w:rsidRPr="000665B0">
        <w:t xml:space="preserve">Once they have started, complications </w:t>
      </w:r>
      <w:r w:rsidR="00BA5239" w:rsidRPr="000665B0">
        <w:t>cannot</w:t>
      </w:r>
      <w:r w:rsidRPr="000665B0">
        <w:t xml:space="preserve"> be removed nor edited. (Again, changing history is not allowed.)</w:t>
      </w:r>
    </w:p>
    <w:p w14:paraId="5BB78A67" w14:textId="77777777" w:rsidR="00282578" w:rsidRPr="000665B0" w:rsidRDefault="00282578" w:rsidP="006D5A65">
      <w:pPr>
        <w:pStyle w:val="Heading1"/>
      </w:pPr>
      <w:r w:rsidRPr="000665B0">
        <w:t>Complications can be enabled and disabled. This allows for an instructor (or test conductor) to disable planned complications on exam day, while leaving them intact in the scenario.</w:t>
      </w:r>
    </w:p>
    <w:p w14:paraId="2B458555" w14:textId="77777777" w:rsidR="00282578" w:rsidRPr="000665B0" w:rsidRDefault="00282578" w:rsidP="006D5A65">
      <w:pPr>
        <w:pStyle w:val="Heading1"/>
      </w:pPr>
      <w:r w:rsidRPr="000665B0">
        <w:t xml:space="preserve">Complications do not explain exactly what went wrong or why. They are kept deliberately vague to allow the trainer/testers flexibility. </w:t>
      </w:r>
    </w:p>
    <w:p w14:paraId="2518E7A5" w14:textId="77196DE8" w:rsidR="00282578" w:rsidRPr="000665B0" w:rsidRDefault="00282578" w:rsidP="006D5A65">
      <w:pPr>
        <w:pStyle w:val="Heading1"/>
      </w:pPr>
      <w:r w:rsidRPr="000665B0">
        <w:t xml:space="preserve">Example: The “Fail </w:t>
      </w:r>
      <w:r w:rsidR="00C9647A" w:rsidRPr="000665B0">
        <w:t xml:space="preserve">DDO </w:t>
      </w:r>
      <w:r w:rsidR="00484A77" w:rsidRPr="000665B0">
        <w:t>Comms</w:t>
      </w:r>
      <w:r w:rsidRPr="000665B0">
        <w:t xml:space="preserve">” </w:t>
      </w:r>
      <w:r w:rsidR="00D71759" w:rsidRPr="000665B0">
        <w:t xml:space="preserve">FRU </w:t>
      </w:r>
      <w:r w:rsidRPr="000665B0">
        <w:t>complication doesn’t specify why those messages are failing to reach (or leave) the FRU. Is it antenna trouble? Bad wiring? Crypto problems? Network trouble ashore? The trainer may specify any such supporting information for the benefit of the MDS operator, but TSRT behaves no differently. The messages are simply not delivered until the complication ends.</w:t>
      </w:r>
    </w:p>
    <w:p w14:paraId="477B6FA5" w14:textId="1419099C" w:rsidR="00282578" w:rsidRPr="000665B0" w:rsidRDefault="00282578" w:rsidP="00B35EE5">
      <w:pPr>
        <w:pStyle w:val="Heading4"/>
      </w:pPr>
      <w:bookmarkStart w:id="7038" w:name="_5.39.13.1__Creating"/>
      <w:bookmarkStart w:id="7039" w:name="_Creating_a_New"/>
      <w:bookmarkStart w:id="7040" w:name="_Toc289328975"/>
      <w:bookmarkEnd w:id="7038"/>
      <w:bookmarkEnd w:id="7039"/>
      <w:r w:rsidRPr="000665B0">
        <w:t>Creating a New Complication</w:t>
      </w:r>
      <w:bookmarkEnd w:id="7040"/>
    </w:p>
    <w:p w14:paraId="6576EA73" w14:textId="406C1E1E" w:rsidR="00282578" w:rsidRPr="000665B0" w:rsidRDefault="00282578" w:rsidP="00282578">
      <w:r w:rsidRPr="000665B0">
        <w:t xml:space="preserve">Complications can be added in two ways. The first way is to right-click on an item on the Gantt chart and select </w:t>
      </w:r>
      <w:r w:rsidRPr="000665B0">
        <w:rPr>
          <w:b/>
        </w:rPr>
        <w:t>Add &lt;entity type&gt; Complication</w:t>
      </w:r>
      <w:r w:rsidRPr="000665B0">
        <w:t xml:space="preserve">. The second way </w:t>
      </w:r>
      <w:r w:rsidR="000A67DE" w:rsidRPr="000665B0">
        <w:t xml:space="preserve">(does not apply to TSN Complications) </w:t>
      </w:r>
      <w:r w:rsidRPr="000665B0">
        <w:t xml:space="preserve">is to right-click on </w:t>
      </w:r>
      <w:r w:rsidR="001D1A03" w:rsidRPr="000665B0">
        <w:t xml:space="preserve">one or more </w:t>
      </w:r>
      <w:r w:rsidRPr="000665B0">
        <w:t>item</w:t>
      </w:r>
      <w:r w:rsidR="001D1A03" w:rsidRPr="000665B0">
        <w:t>s</w:t>
      </w:r>
      <w:r w:rsidRPr="000665B0">
        <w:t xml:space="preserve"> in either the </w:t>
      </w:r>
      <w:r w:rsidRPr="000665B0">
        <w:rPr>
          <w:b/>
        </w:rPr>
        <w:t>FRU</w:t>
      </w:r>
      <w:r w:rsidR="000A67DE" w:rsidRPr="000665B0">
        <w:rPr>
          <w:b/>
        </w:rPr>
        <w:t xml:space="preserve"> Status</w:t>
      </w:r>
      <w:r w:rsidRPr="000665B0">
        <w:t xml:space="preserve"> or </w:t>
      </w:r>
      <w:r w:rsidR="000A67DE" w:rsidRPr="000665B0">
        <w:rPr>
          <w:b/>
        </w:rPr>
        <w:t xml:space="preserve">Missile Status </w:t>
      </w:r>
      <w:r w:rsidR="00D31FDA" w:rsidRPr="000665B0">
        <w:rPr>
          <w:bCs/>
        </w:rPr>
        <w:t>pane</w:t>
      </w:r>
      <w:r w:rsidR="00D31FDA" w:rsidRPr="000665B0">
        <w:t xml:space="preserve"> and</w:t>
      </w:r>
      <w:r w:rsidRPr="000665B0">
        <w:t xml:space="preserve"> select </w:t>
      </w:r>
      <w:r w:rsidRPr="000665B0">
        <w:rPr>
          <w:b/>
        </w:rPr>
        <w:t xml:space="preserve">Complications… </w:t>
      </w:r>
      <w:r w:rsidRPr="000665B0">
        <w:t>(or double-click on the item).</w:t>
      </w:r>
      <w:r w:rsidR="00C111DB" w:rsidRPr="000665B0">
        <w:t xml:space="preserve"> If multiple FRUs are selected in the </w:t>
      </w:r>
      <w:r w:rsidR="00C111DB" w:rsidRPr="000665B0">
        <w:rPr>
          <w:b/>
        </w:rPr>
        <w:t>FRU Status</w:t>
      </w:r>
      <w:r w:rsidR="00C111DB" w:rsidRPr="000665B0">
        <w:t xml:space="preserve"> pane, one </w:t>
      </w:r>
      <w:r w:rsidR="00C111DB" w:rsidRPr="000665B0">
        <w:rPr>
          <w:i/>
        </w:rPr>
        <w:t>Complication</w:t>
      </w:r>
      <w:r w:rsidR="00C111DB" w:rsidRPr="000665B0">
        <w:t xml:space="preserve"> window is opened for each FRU. If multiple missiles are selected in the </w:t>
      </w:r>
      <w:r w:rsidR="00C111DB" w:rsidRPr="000665B0">
        <w:rPr>
          <w:b/>
        </w:rPr>
        <w:t>Missile Status</w:t>
      </w:r>
      <w:r w:rsidR="00C111DB" w:rsidRPr="000665B0">
        <w:t xml:space="preserve"> pane, one </w:t>
      </w:r>
      <w:r w:rsidR="00C111DB" w:rsidRPr="000665B0">
        <w:rPr>
          <w:i/>
        </w:rPr>
        <w:t>Complication</w:t>
      </w:r>
      <w:r w:rsidR="00C111DB" w:rsidRPr="000665B0">
        <w:t xml:space="preserve"> window is opened for all missiles, which allows for the quick creation of one complication for multiple missiles.</w:t>
      </w:r>
    </w:p>
    <w:p w14:paraId="1E0D31FE" w14:textId="0ECC2E8E" w:rsidR="00282578" w:rsidRPr="000665B0" w:rsidRDefault="00C111DB" w:rsidP="006D5A65">
      <w:pPr>
        <w:pStyle w:val="Heading1"/>
      </w:pPr>
      <w:r w:rsidRPr="000665B0">
        <w:t xml:space="preserve">From the </w:t>
      </w:r>
      <w:r w:rsidRPr="000665B0">
        <w:rPr>
          <w:i/>
        </w:rPr>
        <w:t>Complication</w:t>
      </w:r>
      <w:r w:rsidRPr="000665B0">
        <w:t xml:space="preserve"> window, </w:t>
      </w:r>
      <w:r w:rsidR="00EA5478" w:rsidRPr="000665B0">
        <w:t xml:space="preserve">select </w:t>
      </w:r>
      <w:r w:rsidR="00282578" w:rsidRPr="000665B0">
        <w:t xml:space="preserve">the type of complication </w:t>
      </w:r>
      <w:r w:rsidR="00EA5478" w:rsidRPr="000665B0">
        <w:t xml:space="preserve">from the Variety of complication field’s </w:t>
      </w:r>
      <w:r w:rsidR="00D31FDA" w:rsidRPr="000665B0">
        <w:t>pull-down</w:t>
      </w:r>
      <w:r w:rsidR="00EA5478" w:rsidRPr="000665B0">
        <w:t xml:space="preserve"> menu</w:t>
      </w:r>
      <w:r w:rsidR="00282578" w:rsidRPr="000665B0">
        <w:t>.</w:t>
      </w:r>
    </w:p>
    <w:p w14:paraId="7B43AC8B" w14:textId="77777777" w:rsidR="00282578" w:rsidRPr="000665B0" w:rsidRDefault="00282578" w:rsidP="006D5A65">
      <w:pPr>
        <w:pStyle w:val="Heading1"/>
      </w:pPr>
      <w:r w:rsidRPr="000665B0">
        <w:t>Select Apply Immediately if it is desired to have the complication start immediately.</w:t>
      </w:r>
    </w:p>
    <w:p w14:paraId="1B3890C3" w14:textId="77777777" w:rsidR="00074C0D" w:rsidRDefault="00074C0D" w:rsidP="006D5A65">
      <w:pPr>
        <w:pStyle w:val="Heading2"/>
      </w:pPr>
      <w:r>
        <w:t>When you apply a new complication immediately, the complication is applied as soon as possible with a time delay. This ensures the start of the complication is not placed in the past where it will not be acted on.</w:t>
      </w:r>
    </w:p>
    <w:p w14:paraId="6E3F5771" w14:textId="77777777" w:rsidR="00282578" w:rsidRPr="000665B0" w:rsidRDefault="00282578" w:rsidP="006D5A65">
      <w:pPr>
        <w:pStyle w:val="Heading1"/>
      </w:pPr>
      <w:r w:rsidRPr="000665B0">
        <w:lastRenderedPageBreak/>
        <w:t>Choose the start time of the complication (if not applying the complication immediately and not creating the complication from the Gantt chart). You cannot schedule a complication to occur in the past, so the start time must be in the future.</w:t>
      </w:r>
    </w:p>
    <w:p w14:paraId="0F0A6923" w14:textId="77777777" w:rsidR="00282578" w:rsidRPr="000665B0" w:rsidRDefault="00282578" w:rsidP="006D5A65">
      <w:pPr>
        <w:pStyle w:val="Heading2"/>
      </w:pPr>
      <w:r w:rsidRPr="000665B0">
        <w:t>Some complications have a required end time associated. If the chosen complication requires an end time, set it now. The end time cannot be before the start time.</w:t>
      </w:r>
    </w:p>
    <w:p w14:paraId="1D702A86" w14:textId="77777777" w:rsidR="00282578" w:rsidRPr="000665B0" w:rsidRDefault="00282578" w:rsidP="006D5A65">
      <w:pPr>
        <w:pStyle w:val="Heading1"/>
      </w:pPr>
      <w:r w:rsidRPr="000665B0">
        <w:t>Optional: You may annotate the complication at this time.</w:t>
      </w:r>
    </w:p>
    <w:p w14:paraId="731C231B" w14:textId="4A22C644" w:rsidR="00282578" w:rsidRPr="000665B0" w:rsidRDefault="00282578" w:rsidP="006D5A65">
      <w:pPr>
        <w:pStyle w:val="Heading1"/>
      </w:pPr>
      <w:r w:rsidRPr="000665B0">
        <w:t xml:space="preserve">Click the OK button to save the new complication and close the complication </w:t>
      </w:r>
      <w:r w:rsidR="00C93DB4" w:rsidRPr="000665B0">
        <w:t>editor or</w:t>
      </w:r>
      <w:r w:rsidRPr="000665B0">
        <w:t xml:space="preserve"> click the Cancel button to abandon this new complication.</w:t>
      </w:r>
    </w:p>
    <w:p w14:paraId="197BA724" w14:textId="77777777" w:rsidR="00282578" w:rsidRPr="000665B0" w:rsidRDefault="00282578" w:rsidP="001E6ED9">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37C7CBF2" w14:textId="77777777" w:rsidR="00282578" w:rsidRPr="000665B0" w:rsidRDefault="00282578" w:rsidP="001E6ED9">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The trick to creating a new complication can be remembered with the following sequence: “Who? What? When?”</w:t>
      </w:r>
    </w:p>
    <w:p w14:paraId="06E7E1C7" w14:textId="1F9267B0" w:rsidR="00282578" w:rsidRPr="000665B0" w:rsidRDefault="00282578" w:rsidP="00B35EE5">
      <w:pPr>
        <w:pStyle w:val="Heading4"/>
      </w:pPr>
      <w:bookmarkStart w:id="7041" w:name="_5.39.13.2__Modifying"/>
      <w:bookmarkStart w:id="7042" w:name="_Toc289328976"/>
      <w:bookmarkEnd w:id="7041"/>
      <w:r w:rsidRPr="000665B0">
        <w:t xml:space="preserve">Modifying an </w:t>
      </w:r>
      <w:r w:rsidR="00A4024F" w:rsidRPr="000665B0">
        <w:t xml:space="preserve">Existing </w:t>
      </w:r>
      <w:r w:rsidRPr="000665B0">
        <w:t>Complication</w:t>
      </w:r>
      <w:bookmarkEnd w:id="7042"/>
    </w:p>
    <w:p w14:paraId="08CD4120" w14:textId="7B6C0A33" w:rsidR="00282578" w:rsidRPr="000665B0" w:rsidRDefault="000A67DE" w:rsidP="004E7DCC">
      <w:r w:rsidRPr="000665B0">
        <w:t xml:space="preserve">Complications can be edited in two ways. The first way is to right-click on an item on the Gantt chart and select </w:t>
      </w:r>
      <w:r w:rsidRPr="000665B0">
        <w:rPr>
          <w:b/>
        </w:rPr>
        <w:t>Edit &lt;entity type&gt; Complication</w:t>
      </w:r>
      <w:r w:rsidRPr="000665B0">
        <w:t xml:space="preserve">. The second way is to double-click on one item in the </w:t>
      </w:r>
      <w:r w:rsidRPr="000665B0">
        <w:rPr>
          <w:b/>
        </w:rPr>
        <w:t>Complications</w:t>
      </w:r>
      <w:r w:rsidRPr="000665B0">
        <w:t xml:space="preserve"> pane (only one complication may be edited at a time)</w:t>
      </w:r>
      <w:r w:rsidR="00282578" w:rsidRPr="000665B0">
        <w:t>.</w:t>
      </w:r>
    </w:p>
    <w:p w14:paraId="45481415" w14:textId="23DA1E3C" w:rsidR="00282578" w:rsidRPr="000665B0" w:rsidRDefault="000A67DE" w:rsidP="006D5A65">
      <w:pPr>
        <w:pStyle w:val="Heading1"/>
      </w:pPr>
      <w:r w:rsidRPr="000665B0">
        <w:t xml:space="preserve">The parameters that can be edited vary depending on the type of complication, but generally include </w:t>
      </w:r>
      <w:r w:rsidR="00282578" w:rsidRPr="000665B0">
        <w:t xml:space="preserve">the start time, annotation, and end time. </w:t>
      </w:r>
    </w:p>
    <w:p w14:paraId="793750F4" w14:textId="77777777" w:rsidR="00282578" w:rsidRPr="000665B0" w:rsidRDefault="00282578" w:rsidP="006D5A65">
      <w:pPr>
        <w:pStyle w:val="Heading2"/>
      </w:pPr>
      <w:r w:rsidRPr="000665B0">
        <w:t>A complication cannot be edited once the complication has begun.</w:t>
      </w:r>
    </w:p>
    <w:p w14:paraId="5A298CFC" w14:textId="3FA270AE" w:rsidR="00282578" w:rsidRPr="000665B0" w:rsidRDefault="00282578" w:rsidP="006D5A65">
      <w:pPr>
        <w:pStyle w:val="Heading2"/>
      </w:pPr>
      <w:r w:rsidRPr="000665B0">
        <w:t xml:space="preserve">The complication times </w:t>
      </w:r>
      <w:r w:rsidR="000A67DE" w:rsidRPr="000665B0">
        <w:t xml:space="preserve">are </w:t>
      </w:r>
      <w:r w:rsidRPr="000665B0">
        <w:t>not visible if invoking the complication editor from the Gantt chart.</w:t>
      </w:r>
    </w:p>
    <w:p w14:paraId="07129291" w14:textId="232730A5" w:rsidR="00282578" w:rsidRPr="000665B0" w:rsidRDefault="00282578" w:rsidP="006D5A65">
      <w:pPr>
        <w:pStyle w:val="Heading2"/>
      </w:pPr>
      <w:r w:rsidRPr="000665B0">
        <w:t xml:space="preserve">Click the OK button to save this complication if editing the complication from the editor and not modifying the times directly from the Gantt </w:t>
      </w:r>
      <w:r w:rsidR="00986E97" w:rsidRPr="000665B0">
        <w:t>chart or</w:t>
      </w:r>
      <w:r w:rsidRPr="000665B0">
        <w:t xml:space="preserve"> click the Cancel button to abandon this modified complication.</w:t>
      </w:r>
    </w:p>
    <w:p w14:paraId="6E8D712E" w14:textId="77777777" w:rsidR="00282578" w:rsidRPr="000665B0" w:rsidRDefault="00282578" w:rsidP="00282578">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433BEDDE" w14:textId="77777777" w:rsidR="00282578" w:rsidRPr="000665B0" w:rsidRDefault="00282578" w:rsidP="00282578">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Complication start and end times for unstarted complications will be automatically shifted upon receipt of an Electronic Strike Package (ESP) revision during the rehearsal. Each missile’s complications will be shifted by the amount of time that its first waypoint time is shifted. All other complications will be shifted by the amount of time that the overall earliest launch time for the entire rehearsal is shifted.</w:t>
      </w:r>
    </w:p>
    <w:p w14:paraId="6D2136BC" w14:textId="4EA07F63" w:rsidR="00282578" w:rsidRPr="000665B0" w:rsidRDefault="00282578" w:rsidP="00B35EE5">
      <w:pPr>
        <w:pStyle w:val="Heading4"/>
      </w:pPr>
      <w:bookmarkStart w:id="7043" w:name="_Toc159315634"/>
      <w:bookmarkStart w:id="7044" w:name="_Toc289328977"/>
      <w:r w:rsidRPr="000665B0">
        <w:lastRenderedPageBreak/>
        <w:t>Enabling/Disabling an Existing Complication</w:t>
      </w:r>
      <w:bookmarkEnd w:id="7043"/>
      <w:bookmarkEnd w:id="7044"/>
    </w:p>
    <w:p w14:paraId="2E3DC960" w14:textId="55C9A84A" w:rsidR="00282578" w:rsidRPr="000665B0" w:rsidRDefault="00282578" w:rsidP="006D5A65">
      <w:pPr>
        <w:pStyle w:val="Heading1"/>
      </w:pPr>
      <w:r w:rsidRPr="000665B0">
        <w:t xml:space="preserve">From the Scenario Director, navigate to the </w:t>
      </w:r>
      <w:r w:rsidR="000A67DE" w:rsidRPr="000665B0">
        <w:t>C</w:t>
      </w:r>
      <w:r w:rsidRPr="000665B0">
        <w:t>omplications</w:t>
      </w:r>
      <w:r w:rsidR="000A67DE" w:rsidRPr="000665B0">
        <w:t xml:space="preserve"> pane</w:t>
      </w:r>
      <w:r w:rsidRPr="000665B0">
        <w:t>.</w:t>
      </w:r>
    </w:p>
    <w:p w14:paraId="1363441D" w14:textId="77777777" w:rsidR="00282578" w:rsidRPr="000665B0" w:rsidRDefault="00282578" w:rsidP="006D5A65">
      <w:pPr>
        <w:pStyle w:val="Heading1"/>
      </w:pPr>
      <w:r w:rsidRPr="000665B0">
        <w:t xml:space="preserve">Right-click the existing complication from the list view, then select State </w:t>
      </w:r>
      <w:r w:rsidR="00A05D58" w:rsidRPr="000665B0">
        <w:sym w:font="Wingdings" w:char="F0E0"/>
      </w:r>
      <w:r w:rsidRPr="000665B0">
        <w:t xml:space="preserve"> Enable or State </w:t>
      </w:r>
      <w:r w:rsidR="00A05D58" w:rsidRPr="000665B0">
        <w:sym w:font="Wingdings" w:char="F0E0"/>
      </w:r>
      <w:r w:rsidRPr="000665B0">
        <w:t xml:space="preserve"> Disable. The state change occurs immediately.</w:t>
      </w:r>
    </w:p>
    <w:p w14:paraId="6238D703" w14:textId="77777777" w:rsidR="00282578" w:rsidRPr="000665B0" w:rsidRDefault="00282578" w:rsidP="00282578">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399D7D0F" w14:textId="7A91717E" w:rsidR="00282578" w:rsidRPr="000665B0" w:rsidRDefault="00282578" w:rsidP="00282578">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A complication can always be </w:t>
      </w:r>
      <w:r w:rsidR="00C93DB4" w:rsidRPr="000665B0">
        <w:rPr>
          <w:b/>
        </w:rPr>
        <w:t>disabled but</w:t>
      </w:r>
      <w:r w:rsidRPr="000665B0">
        <w:rPr>
          <w:b/>
        </w:rPr>
        <w:t xml:space="preserve"> cannot be enabled after its start time has passed.</w:t>
      </w:r>
    </w:p>
    <w:p w14:paraId="69D382A9" w14:textId="7E43D87F" w:rsidR="00282578" w:rsidRPr="000665B0" w:rsidRDefault="00282578" w:rsidP="00B35EE5">
      <w:pPr>
        <w:pStyle w:val="Heading4"/>
      </w:pPr>
      <w:bookmarkStart w:id="7045" w:name="_Toc289328978"/>
      <w:r w:rsidRPr="000665B0">
        <w:t>Deleting an Existing Complication</w:t>
      </w:r>
      <w:bookmarkEnd w:id="7045"/>
    </w:p>
    <w:p w14:paraId="724881E8" w14:textId="77777777" w:rsidR="00282578" w:rsidRPr="000665B0" w:rsidRDefault="00282578" w:rsidP="00282578">
      <w:r w:rsidRPr="000665B0">
        <w:t>There are two ways in which a complication can be deleted. The first way this can be done is from the TSRT Gantt chart:</w:t>
      </w:r>
    </w:p>
    <w:p w14:paraId="62AC8C6D" w14:textId="77777777" w:rsidR="00282578" w:rsidRPr="000665B0" w:rsidRDefault="00282578" w:rsidP="00BA5239">
      <w:pPr>
        <w:ind w:left="720"/>
      </w:pPr>
      <w:r w:rsidRPr="000665B0">
        <w:t xml:space="preserve">Right-click on a complication bar and select </w:t>
      </w:r>
      <w:r w:rsidRPr="000665B0">
        <w:rPr>
          <w:b/>
        </w:rPr>
        <w:t xml:space="preserve">Remove </w:t>
      </w:r>
      <w:r w:rsidR="00A05D58" w:rsidRPr="000665B0">
        <w:rPr>
          <w:b/>
        </w:rPr>
        <w:sym w:font="Wingdings" w:char="F0E0"/>
      </w:r>
      <w:r w:rsidRPr="000665B0">
        <w:rPr>
          <w:b/>
        </w:rPr>
        <w:t xml:space="preserve"> &lt;complication type&gt; Complication</w:t>
      </w:r>
      <w:r w:rsidRPr="000665B0">
        <w:t>.</w:t>
      </w:r>
    </w:p>
    <w:p w14:paraId="10942836" w14:textId="3E8FACFF" w:rsidR="00282578" w:rsidRPr="000665B0" w:rsidRDefault="00282578" w:rsidP="00282578">
      <w:r w:rsidRPr="000665B0">
        <w:t>The second way this can be done is from the list of all complications that is displayed on the Scenario Director</w:t>
      </w:r>
      <w:r w:rsidR="000A67DE" w:rsidRPr="000665B0">
        <w:t xml:space="preserve">’s </w:t>
      </w:r>
      <w:r w:rsidR="000A67DE" w:rsidRPr="000665B0">
        <w:rPr>
          <w:b/>
        </w:rPr>
        <w:t>Complications</w:t>
      </w:r>
      <w:r w:rsidR="000A67DE" w:rsidRPr="000665B0">
        <w:t xml:space="preserve"> pane</w:t>
      </w:r>
      <w:r w:rsidRPr="000665B0">
        <w:t>:</w:t>
      </w:r>
    </w:p>
    <w:p w14:paraId="1ED767B3" w14:textId="77777777" w:rsidR="00282578" w:rsidRPr="000665B0" w:rsidRDefault="00282578" w:rsidP="00BA5239">
      <w:pPr>
        <w:ind w:left="720"/>
      </w:pPr>
      <w:r w:rsidRPr="000665B0">
        <w:t xml:space="preserve">Right-click the existing complication from the list view and select </w:t>
      </w:r>
      <w:r w:rsidRPr="000665B0">
        <w:rPr>
          <w:b/>
        </w:rPr>
        <w:t>Delete</w:t>
      </w:r>
      <w:r w:rsidRPr="000665B0">
        <w:t>. The deletion will occur immediately.</w:t>
      </w:r>
    </w:p>
    <w:p w14:paraId="48B20DD3" w14:textId="77777777" w:rsidR="00282578" w:rsidRPr="000665B0" w:rsidRDefault="00282578" w:rsidP="00282578">
      <w:pPr>
        <w:spacing w:after="0"/>
      </w:pPr>
      <w:r w:rsidRPr="000665B0">
        <w:t xml:space="preserve">If the complication is editable, you may delete it. The deletion will occur immediately. A complication </w:t>
      </w:r>
      <w:r w:rsidR="00BA5239" w:rsidRPr="000665B0">
        <w:t>cannot</w:t>
      </w:r>
      <w:r w:rsidRPr="000665B0">
        <w:t xml:space="preserve"> be deleted once the complication has begun.</w:t>
      </w:r>
    </w:p>
    <w:p w14:paraId="5FAEC0A4" w14:textId="77777777" w:rsidR="00AE7C08" w:rsidRPr="000665B0" w:rsidRDefault="00AE7C08" w:rsidP="00B35EE5">
      <w:pPr>
        <w:pStyle w:val="Heading4"/>
      </w:pPr>
      <w:bookmarkStart w:id="7046" w:name="_FRU__Complications"/>
      <w:bookmarkStart w:id="7047" w:name="_FRU_Complications"/>
      <w:bookmarkStart w:id="7048" w:name="_NSP__Complications"/>
      <w:bookmarkStart w:id="7049" w:name="_Toc289328979"/>
      <w:bookmarkEnd w:id="7046"/>
      <w:bookmarkEnd w:id="7047"/>
      <w:bookmarkEnd w:id="7048"/>
      <w:r w:rsidRPr="000665B0">
        <w:t>NSP Complications</w:t>
      </w:r>
    </w:p>
    <w:p w14:paraId="165FE353" w14:textId="4A9DB723" w:rsidR="00223BC8" w:rsidRPr="000665B0" w:rsidRDefault="00223BC8" w:rsidP="00014A83">
      <w:r w:rsidRPr="000665B0">
        <w:t>A Filter Response message</w:t>
      </w:r>
      <w:r w:rsidR="00FD64B9" w:rsidRPr="000665B0">
        <w:t xml:space="preserve"> sent from the NSP</w:t>
      </w:r>
      <w:r w:rsidRPr="000665B0">
        <w:t xml:space="preserve"> may also be simulated from the ACA Log (see </w:t>
      </w:r>
      <w:hyperlink w:anchor="_ACA_Log" w:history="1">
        <w:r w:rsidRPr="000665B0">
          <w:rPr>
            <w:rStyle w:val="Hyperlink"/>
          </w:rPr>
          <w:t xml:space="preserve">Section </w:t>
        </w:r>
        <w:r w:rsidR="004231CC">
          <w:rPr>
            <w:rStyle w:val="Hyperlink"/>
          </w:rPr>
          <w:t>5.37</w:t>
        </w:r>
        <w:r w:rsidRPr="000665B0">
          <w:rPr>
            <w:rStyle w:val="Hyperlink"/>
          </w:rPr>
          <w:t>.12</w:t>
        </w:r>
      </w:hyperlink>
      <w:r w:rsidRPr="000665B0">
        <w:t>)</w:t>
      </w:r>
      <w:r w:rsidR="00014A83" w:rsidRPr="000665B0">
        <w:t>, provided that TSRT has not already sent a response message</w:t>
      </w:r>
      <w:r w:rsidRPr="000665B0">
        <w:t xml:space="preserve">. </w:t>
      </w:r>
    </w:p>
    <w:p w14:paraId="6E9F0C02" w14:textId="77777777" w:rsidR="00014A83" w:rsidRPr="000665B0" w:rsidRDefault="00223BC8" w:rsidP="00014A83">
      <w:r w:rsidRPr="000665B0">
        <w:t>To send a Filter Response message</w:t>
      </w:r>
      <w:r w:rsidR="00FD64B9" w:rsidRPr="000665B0">
        <w:t xml:space="preserve"> from the NSP</w:t>
      </w:r>
      <w:r w:rsidRPr="000665B0">
        <w:t>,</w:t>
      </w:r>
      <w:r w:rsidR="00014A83" w:rsidRPr="000665B0">
        <w:t xml:space="preserve"> the following conditions must be met:</w:t>
      </w:r>
    </w:p>
    <w:p w14:paraId="577A977E" w14:textId="3D8B20FB" w:rsidR="00014A83" w:rsidRPr="000665B0" w:rsidRDefault="00014A83" w:rsidP="006D5A65">
      <w:pPr>
        <w:pStyle w:val="Heading1"/>
      </w:pPr>
      <w:r w:rsidRPr="000665B0">
        <w:t>The Filter Message’s Message State must be Received.</w:t>
      </w:r>
    </w:p>
    <w:p w14:paraId="1D7D117B" w14:textId="692631D0" w:rsidR="00014A83" w:rsidRPr="000665B0" w:rsidRDefault="00223BC8" w:rsidP="006D5A65">
      <w:pPr>
        <w:pStyle w:val="Heading1"/>
        <w:rPr>
          <w:szCs w:val="24"/>
        </w:rPr>
      </w:pPr>
      <w:r w:rsidRPr="000665B0">
        <w:t>TSRT must be configured to</w:t>
      </w:r>
      <w:r w:rsidRPr="000665B0">
        <w:rPr>
          <w:szCs w:val="24"/>
        </w:rPr>
        <w:t xml:space="preserve"> simulate the ACA Ground Segment. See</w:t>
      </w:r>
      <w:r w:rsidRPr="000665B0">
        <w:t xml:space="preserve"> Appendix R, </w:t>
      </w:r>
      <w:hyperlink w:anchor="Scenario_Selection" w:history="1">
        <w:r w:rsidR="009D4646" w:rsidRPr="000665B0">
          <w:rPr>
            <w:rStyle w:val="Hyperlink"/>
          </w:rPr>
          <w:t>Section R.3.2.2.1</w:t>
        </w:r>
      </w:hyperlink>
      <w:r w:rsidR="009D4646" w:rsidRPr="000665B0">
        <w:t xml:space="preserve"> and </w:t>
      </w:r>
      <w:hyperlink w:anchor="Simulate_ACA_Ground_Segment" w:history="1">
        <w:r w:rsidRPr="000665B0">
          <w:rPr>
            <w:rStyle w:val="Hyperlink"/>
          </w:rPr>
          <w:t>Section R.</w:t>
        </w:r>
        <w:r w:rsidRPr="000665B0">
          <w:rPr>
            <w:rStyle w:val="Hyperlink"/>
            <w:szCs w:val="24"/>
          </w:rPr>
          <w:t>3.2.2.3</w:t>
        </w:r>
      </w:hyperlink>
      <w:r w:rsidRPr="000665B0">
        <w:rPr>
          <w:szCs w:val="24"/>
        </w:rPr>
        <w:t xml:space="preserve">. </w:t>
      </w:r>
    </w:p>
    <w:p w14:paraId="66072144" w14:textId="57FDD1AB" w:rsidR="00AE7C08" w:rsidRPr="000665B0" w:rsidRDefault="00223BC8" w:rsidP="006D5A65">
      <w:pPr>
        <w:pStyle w:val="Heading1"/>
      </w:pPr>
      <w:r w:rsidRPr="000665B0">
        <w:t>The Nominal Time and Allowable Variation</w:t>
      </w:r>
      <w:r w:rsidR="009D4646" w:rsidRPr="000665B0">
        <w:t xml:space="preserve"> for the NSP Acknowledgement</w:t>
      </w:r>
      <w:r w:rsidRPr="000665B0">
        <w:t xml:space="preserve"> must also be configured. </w:t>
      </w:r>
      <w:r w:rsidR="001A5A83" w:rsidRPr="000665B0">
        <w:t xml:space="preserve">See Appendix R, </w:t>
      </w:r>
      <w:hyperlink w:anchor="_S-2.4__TSRT" w:history="1">
        <w:r w:rsidR="001A5A83" w:rsidRPr="000665B0">
          <w:rPr>
            <w:rStyle w:val="Hyperlink"/>
          </w:rPr>
          <w:t>Section R.2.4</w:t>
        </w:r>
      </w:hyperlink>
      <w:r w:rsidR="001A5A83" w:rsidRPr="000665B0">
        <w:t xml:space="preserve">. </w:t>
      </w:r>
      <w:r w:rsidRPr="000665B0">
        <w:t xml:space="preserve">The </w:t>
      </w:r>
      <w:r w:rsidR="00014A83" w:rsidRPr="000665B0">
        <w:t xml:space="preserve">Filter Response message </w:t>
      </w:r>
      <w:r w:rsidR="00B25842" w:rsidRPr="000665B0">
        <w:t>may</w:t>
      </w:r>
      <w:r w:rsidR="00014A83" w:rsidRPr="000665B0">
        <w:t xml:space="preserve"> be sent</w:t>
      </w:r>
      <w:r w:rsidRPr="000665B0">
        <w:t xml:space="preserve"> between the Nominal Time </w:t>
      </w:r>
      <w:r w:rsidR="00B25842" w:rsidRPr="000665B0">
        <w:t>plus/minus the</w:t>
      </w:r>
      <w:r w:rsidRPr="000665B0">
        <w:t xml:space="preserve"> </w:t>
      </w:r>
      <w:r w:rsidR="00B25842" w:rsidRPr="000665B0">
        <w:t>Allowable</w:t>
      </w:r>
      <w:r w:rsidRPr="000665B0">
        <w:t xml:space="preserve"> Variation. </w:t>
      </w:r>
      <w:r w:rsidR="00B25842" w:rsidRPr="000665B0">
        <w:t xml:space="preserve">For example, the default Nominal Time is 300 seconds (5 minutes) with an allowable variation of 120 seconds (2 minutes). This </w:t>
      </w:r>
      <w:r w:rsidR="002A1E8F" w:rsidRPr="000665B0">
        <w:t>results in</w:t>
      </w:r>
      <w:r w:rsidR="00B25842" w:rsidRPr="000665B0">
        <w:t xml:space="preserve"> a 3–7 minute window in which the </w:t>
      </w:r>
      <w:r w:rsidR="009D4646" w:rsidRPr="000665B0">
        <w:t xml:space="preserve">Filter </w:t>
      </w:r>
      <w:r w:rsidR="00B25842" w:rsidRPr="000665B0">
        <w:t>Response message can be sent. The Nominal Time and Allowable Variation can be changed before initiating a rehearsal.</w:t>
      </w:r>
    </w:p>
    <w:p w14:paraId="146B8EC2" w14:textId="654482FB" w:rsidR="00223BC8" w:rsidRPr="000665B0" w:rsidRDefault="001A5A83" w:rsidP="00014A83">
      <w:r w:rsidRPr="000665B0">
        <w:t>To send a Filter Response message from the NSP via TSRT:</w:t>
      </w:r>
    </w:p>
    <w:p w14:paraId="5D8AEDB4" w14:textId="186CA962" w:rsidR="001A5A83" w:rsidRPr="000665B0" w:rsidRDefault="001A5A83" w:rsidP="006D5A65">
      <w:pPr>
        <w:pStyle w:val="Heading1"/>
      </w:pPr>
      <w:r w:rsidRPr="000665B0">
        <w:lastRenderedPageBreak/>
        <w:t xml:space="preserve">Navigate to the ACA Log (see </w:t>
      </w:r>
      <w:hyperlink w:anchor="_ACA_Log" w:history="1">
        <w:r w:rsidRPr="000665B0">
          <w:rPr>
            <w:rStyle w:val="Hyperlink"/>
          </w:rPr>
          <w:t xml:space="preserve">Section </w:t>
        </w:r>
        <w:r w:rsidR="004231CC">
          <w:rPr>
            <w:rStyle w:val="Hyperlink"/>
          </w:rPr>
          <w:t>5.37</w:t>
        </w:r>
        <w:r w:rsidRPr="000665B0">
          <w:rPr>
            <w:rStyle w:val="Hyperlink"/>
          </w:rPr>
          <w:t>.12</w:t>
        </w:r>
      </w:hyperlink>
      <w:r w:rsidRPr="000665B0">
        <w:t xml:space="preserve">) and ensure that the previous </w:t>
      </w:r>
      <w:r w:rsidR="00C5530C" w:rsidRPr="000665B0">
        <w:t>conditions</w:t>
      </w:r>
      <w:r w:rsidRPr="000665B0">
        <w:t xml:space="preserve"> have been met.</w:t>
      </w:r>
    </w:p>
    <w:p w14:paraId="22777D4B" w14:textId="4E4E344D" w:rsidR="00537483" w:rsidRPr="000665B0" w:rsidRDefault="001A5A83" w:rsidP="006D5A65">
      <w:pPr>
        <w:pStyle w:val="Heading1"/>
      </w:pPr>
      <w:r w:rsidRPr="000665B0">
        <w:t>Select the desire</w:t>
      </w:r>
      <w:r w:rsidR="00537483" w:rsidRPr="000665B0">
        <w:t>d Filter Message in the ACA Log and invoke the context menu.</w:t>
      </w:r>
    </w:p>
    <w:p w14:paraId="5D0E5839" w14:textId="16003D9E" w:rsidR="00537483" w:rsidRPr="000665B0" w:rsidRDefault="00537483" w:rsidP="006D5A65">
      <w:pPr>
        <w:pStyle w:val="Heading1"/>
      </w:pPr>
      <w:r w:rsidRPr="000665B0">
        <w:t>Select Send Filter Response Message.</w:t>
      </w:r>
    </w:p>
    <w:p w14:paraId="5A7796A6" w14:textId="106FA591" w:rsidR="00537483" w:rsidRPr="000665B0" w:rsidRDefault="00552F30" w:rsidP="004E7DCC">
      <w:pPr>
        <w:pStyle w:val="Number0205"/>
        <w:ind w:left="0" w:firstLine="0"/>
        <w:jc w:val="center"/>
      </w:pPr>
      <w:r w:rsidRPr="000665B0">
        <w:rPr>
          <w:noProof/>
        </w:rPr>
        <w:drawing>
          <wp:inline distT="0" distB="0" distL="0" distR="0" wp14:anchorId="262F660C" wp14:editId="036AA0F2">
            <wp:extent cx="4983480" cy="1435608"/>
            <wp:effectExtent l="0" t="0" r="0" b="0"/>
            <wp:docPr id="1398" name="Picture 1398" descr="cid:image004.png@01D56257.8F9F0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4.png@01D56257.8F9F0D60"/>
                    <pic:cNvPicPr>
                      <a:picLocks noChangeAspect="1" noChangeArrowheads="1"/>
                    </pic:cNvPicPr>
                  </pic:nvPicPr>
                  <pic:blipFill>
                    <a:blip r:link="rId35" cstate="screen">
                      <a:extLst>
                        <a:ext uri="{28A0092B-C50C-407E-A947-70E740481C1C}">
                          <a14:useLocalDpi xmlns:a14="http://schemas.microsoft.com/office/drawing/2010/main"/>
                        </a:ext>
                      </a:extLst>
                    </a:blip>
                    <a:srcRect/>
                    <a:stretch>
                      <a:fillRect/>
                    </a:stretch>
                  </pic:blipFill>
                  <pic:spPr bwMode="auto">
                    <a:xfrm>
                      <a:off x="0" y="0"/>
                      <a:ext cx="4983480" cy="1435608"/>
                    </a:xfrm>
                    <a:prstGeom prst="rect">
                      <a:avLst/>
                    </a:prstGeom>
                    <a:noFill/>
                    <a:ln>
                      <a:noFill/>
                    </a:ln>
                  </pic:spPr>
                </pic:pic>
              </a:graphicData>
            </a:graphic>
          </wp:inline>
        </w:drawing>
      </w:r>
    </w:p>
    <w:p w14:paraId="40216B5F" w14:textId="64D1D02A" w:rsidR="00537483" w:rsidRPr="000665B0" w:rsidRDefault="00537483" w:rsidP="006D5A65">
      <w:pPr>
        <w:pStyle w:val="Heading1"/>
      </w:pPr>
      <w:r w:rsidRPr="000665B0">
        <w:t>The ACA Filter Response Message window is displayed.</w:t>
      </w:r>
    </w:p>
    <w:p w14:paraId="50E26480" w14:textId="257AFA53" w:rsidR="00537483" w:rsidRPr="000665B0" w:rsidRDefault="00537483" w:rsidP="006D5A65">
      <w:pPr>
        <w:pStyle w:val="Heading1"/>
      </w:pPr>
      <w:r w:rsidRPr="000665B0">
        <w:t>From the Response Type pull down menu, select either WILCO or Exceptions</w:t>
      </w:r>
      <w:r w:rsidR="009D4646" w:rsidRPr="000665B0">
        <w:t xml:space="preserve"> (default)</w:t>
      </w:r>
      <w:r w:rsidRPr="000665B0">
        <w:t xml:space="preserve">. </w:t>
      </w:r>
    </w:p>
    <w:p w14:paraId="68481C55" w14:textId="7978169B" w:rsidR="00C77E31" w:rsidRPr="000665B0" w:rsidRDefault="00552F30" w:rsidP="004E7DCC">
      <w:pPr>
        <w:pStyle w:val="Number0205"/>
        <w:ind w:left="0" w:firstLine="0"/>
        <w:jc w:val="center"/>
      </w:pPr>
      <w:r w:rsidRPr="000665B0">
        <w:rPr>
          <w:noProof/>
        </w:rPr>
        <w:drawing>
          <wp:inline distT="0" distB="0" distL="0" distR="0" wp14:anchorId="0F08348B" wp14:editId="48D47244">
            <wp:extent cx="4983480" cy="2624328"/>
            <wp:effectExtent l="0" t="0" r="0" b="0"/>
            <wp:docPr id="1399" name="Picture 1399" descr="cid:image007.jpg@01D56259.43C60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7.jpg@01D56259.43C60540"/>
                    <pic:cNvPicPr>
                      <a:picLocks noChangeAspect="1" noChangeArrowheads="1"/>
                    </pic:cNvPicPr>
                  </pic:nvPicPr>
                  <pic:blipFill>
                    <a:blip r:link="rId36" cstate="screen">
                      <a:extLst>
                        <a:ext uri="{28A0092B-C50C-407E-A947-70E740481C1C}">
                          <a14:useLocalDpi xmlns:a14="http://schemas.microsoft.com/office/drawing/2010/main"/>
                        </a:ext>
                      </a:extLst>
                    </a:blip>
                    <a:srcRect/>
                    <a:stretch>
                      <a:fillRect/>
                    </a:stretch>
                  </pic:blipFill>
                  <pic:spPr bwMode="auto">
                    <a:xfrm>
                      <a:off x="0" y="0"/>
                      <a:ext cx="4983480" cy="2624328"/>
                    </a:xfrm>
                    <a:prstGeom prst="rect">
                      <a:avLst/>
                    </a:prstGeom>
                    <a:noFill/>
                    <a:ln>
                      <a:noFill/>
                    </a:ln>
                  </pic:spPr>
                </pic:pic>
              </a:graphicData>
            </a:graphic>
          </wp:inline>
        </w:drawing>
      </w:r>
    </w:p>
    <w:p w14:paraId="108F009D" w14:textId="77777777" w:rsidR="009D4646" w:rsidRPr="000665B0" w:rsidRDefault="00537483" w:rsidP="006D5A65">
      <w:pPr>
        <w:pStyle w:val="Heading1"/>
      </w:pPr>
      <w:r w:rsidRPr="000665B0">
        <w:lastRenderedPageBreak/>
        <w:t>If WILCO is selected</w:t>
      </w:r>
      <w:r w:rsidR="009D4646" w:rsidRPr="000665B0">
        <w:t xml:space="preserve">: </w:t>
      </w:r>
    </w:p>
    <w:p w14:paraId="7B194966" w14:textId="5917527D" w:rsidR="00537483" w:rsidRPr="000665B0" w:rsidRDefault="009D4646" w:rsidP="006D5A65">
      <w:pPr>
        <w:pStyle w:val="Heading3"/>
      </w:pPr>
      <w:r w:rsidRPr="000665B0">
        <w:t xml:space="preserve">From the File menu select Send or click the Send </w:t>
      </w:r>
      <w:r w:rsidRPr="000665B0">
        <w:rPr>
          <w:noProof/>
        </w:rPr>
        <w:drawing>
          <wp:inline distT="0" distB="0" distL="0" distR="0" wp14:anchorId="0DE7538E" wp14:editId="7E7D23A2">
            <wp:extent cx="152400" cy="152400"/>
            <wp:effectExtent l="0" t="0" r="0" b="0"/>
            <wp:docPr id="1413" name="Picture 1413"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p>
    <w:p w14:paraId="7BD3DA52" w14:textId="2235D82D" w:rsidR="00537483" w:rsidRPr="000665B0" w:rsidRDefault="00537483" w:rsidP="006D5A65">
      <w:pPr>
        <w:pStyle w:val="Heading1"/>
      </w:pPr>
      <w:r w:rsidRPr="000665B0">
        <w:t>If Exceptions is selected</w:t>
      </w:r>
      <w:r w:rsidR="009D4646" w:rsidRPr="000665B0">
        <w:t>:</w:t>
      </w:r>
      <w:r w:rsidR="00D339ED" w:rsidRPr="000665B0">
        <w:t xml:space="preserve"> </w:t>
      </w:r>
    </w:p>
    <w:p w14:paraId="4829824B" w14:textId="259AE035" w:rsidR="0013558E" w:rsidRPr="000665B0" w:rsidRDefault="0013558E" w:rsidP="006D5A65">
      <w:pPr>
        <w:pStyle w:val="Heading1"/>
      </w:pPr>
      <w:r w:rsidRPr="000665B0">
        <w:t>If desired, enter information about the Exception in the Free Text field (up to 40 alphanumeric characters)</w:t>
      </w:r>
      <w:r w:rsidR="00721D9C" w:rsidRPr="000665B0">
        <w:t>.</w:t>
      </w:r>
    </w:p>
    <w:p w14:paraId="5AA67B6D" w14:textId="3FD9E93A" w:rsidR="00721D9C" w:rsidRPr="000665B0" w:rsidRDefault="00721D9C" w:rsidP="006D5A65">
      <w:pPr>
        <w:pStyle w:val="Heading1"/>
      </w:pPr>
      <w:r w:rsidRPr="000665B0">
        <w:t xml:space="preserve">From the File menu select Send or click the Send </w:t>
      </w:r>
      <w:r w:rsidRPr="000665B0">
        <w:rPr>
          <w:noProof/>
        </w:rPr>
        <w:drawing>
          <wp:inline distT="0" distB="0" distL="0" distR="0" wp14:anchorId="25D52DBD" wp14:editId="7E487310">
            <wp:extent cx="152400" cy="152400"/>
            <wp:effectExtent l="0" t="0" r="0" b="0"/>
            <wp:docPr id="1422" name="Picture 1422"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toolbar.</w:t>
      </w:r>
    </w:p>
    <w:p w14:paraId="71C942A6" w14:textId="4E214877" w:rsidR="00282578" w:rsidRPr="000665B0" w:rsidRDefault="00282578" w:rsidP="00B35EE5">
      <w:pPr>
        <w:pStyle w:val="Heading4"/>
      </w:pPr>
      <w:bookmarkStart w:id="7050" w:name="_FRU_Complications_1"/>
      <w:bookmarkEnd w:id="7050"/>
      <w:r w:rsidRPr="000665B0">
        <w:t>FRU Complications</w:t>
      </w:r>
      <w:bookmarkEnd w:id="7049"/>
    </w:p>
    <w:p w14:paraId="510EC2D4" w14:textId="05960D3B" w:rsidR="00282578" w:rsidRPr="000665B0" w:rsidRDefault="00282578" w:rsidP="00282578">
      <w:r w:rsidRPr="000665B0">
        <w:t xml:space="preserve">Firing units which are simulated by TSRT in this rehearsal can have complications defined. Live Firing units participating in this rehearsal cannot have complications defined via TSRT, though there is some fault planning capability provided by CTN. </w:t>
      </w:r>
      <w:r w:rsidR="001D1A03" w:rsidRPr="000665B0">
        <w:t xml:space="preserve">FRU complications can be added to a single FRU or to multiple FRUs (see </w:t>
      </w:r>
      <w:hyperlink w:anchor="_Creating_a_New" w:history="1">
        <w:r w:rsidR="001D1A03" w:rsidRPr="000665B0">
          <w:rPr>
            <w:rStyle w:val="Hyperlink"/>
          </w:rPr>
          <w:t xml:space="preserve">Section </w:t>
        </w:r>
        <w:r w:rsidR="004231CC">
          <w:rPr>
            <w:rStyle w:val="Hyperlink"/>
          </w:rPr>
          <w:t>5.37</w:t>
        </w:r>
        <w:r w:rsidR="001D1A03" w:rsidRPr="000665B0">
          <w:rPr>
            <w:rStyle w:val="Hyperlink"/>
          </w:rPr>
          <w:t>.14.1</w:t>
        </w:r>
      </w:hyperlink>
      <w:r w:rsidR="001D1A03" w:rsidRPr="000665B0">
        <w:t>).</w:t>
      </w:r>
    </w:p>
    <w:p w14:paraId="3E5527D7" w14:textId="77777777" w:rsidR="00282578" w:rsidRPr="000665B0" w:rsidRDefault="00282578" w:rsidP="006D5A65">
      <w:pPr>
        <w:pStyle w:val="Heading1"/>
      </w:pPr>
      <w:r w:rsidRPr="000665B0">
        <w:t>Fail Next Missile Launch – This will cause the next missile to attempt launch (after the specified complication start-time) to fail.</w:t>
      </w:r>
    </w:p>
    <w:p w14:paraId="211084B5" w14:textId="0BA4A02D" w:rsidR="00192D64" w:rsidRPr="000665B0" w:rsidRDefault="00192D64" w:rsidP="006D5A65">
      <w:pPr>
        <w:pStyle w:val="Heading1"/>
      </w:pPr>
      <w:r w:rsidRPr="000665B0">
        <w:t xml:space="preserve">Fail TSN ACA Comms – For TTWCS FRUs, this will cause the sending/receiving of TSN pings </w:t>
      </w:r>
      <w:r w:rsidR="00D71759" w:rsidRPr="000665B0">
        <w:t xml:space="preserve">or messages </w:t>
      </w:r>
      <w:r w:rsidRPr="000665B0">
        <w:t>on the ACA network to fail during the given time span.</w:t>
      </w:r>
    </w:p>
    <w:p w14:paraId="11BFD3AC" w14:textId="45A1A5E7" w:rsidR="00192D64" w:rsidRPr="000665B0" w:rsidRDefault="00192D64" w:rsidP="006D5A65">
      <w:pPr>
        <w:pStyle w:val="Heading1"/>
      </w:pPr>
      <w:r w:rsidRPr="000665B0">
        <w:t xml:space="preserve">Fail TSN DAMA Comms – For TTWCS FRUs, this will cause the sending/receiving of TSN pings </w:t>
      </w:r>
      <w:r w:rsidR="00D71759" w:rsidRPr="000665B0">
        <w:t xml:space="preserve">or messages </w:t>
      </w:r>
      <w:r w:rsidRPr="000665B0">
        <w:t>on the DAMA network to fail during the given time span.</w:t>
      </w:r>
    </w:p>
    <w:p w14:paraId="07281EA4" w14:textId="77777777" w:rsidR="00192D64" w:rsidRPr="000665B0" w:rsidRDefault="00192D64" w:rsidP="006D5A65">
      <w:pPr>
        <w:pStyle w:val="Heading1"/>
      </w:pPr>
      <w:r w:rsidRPr="000665B0">
        <w:t>Fail DDO Comms – For TTWCS FRUs, this will cause sent SPEOs, OWRs, LERs, PLROs, MLOSRF-Ts and received ESPs, and SEMs to be buffered during the given time span. When the complication ends, all buffered messages will be sent or received.</w:t>
      </w:r>
    </w:p>
    <w:p w14:paraId="136679F5" w14:textId="259A47E8" w:rsidR="00282578" w:rsidRPr="000665B0" w:rsidRDefault="00282578" w:rsidP="006D5A65">
      <w:pPr>
        <w:pStyle w:val="Heading1"/>
      </w:pPr>
      <w:r w:rsidRPr="000665B0">
        <w:t xml:space="preserve">Fail ALL Comms – Combines the “Fail TSN </w:t>
      </w:r>
      <w:r w:rsidR="00192D64" w:rsidRPr="000665B0">
        <w:t xml:space="preserve">(ACA or </w:t>
      </w:r>
      <w:r w:rsidR="005F397B" w:rsidRPr="000665B0">
        <w:t>DAMA</w:t>
      </w:r>
      <w:r w:rsidR="00192D64" w:rsidRPr="000665B0">
        <w:t>)</w:t>
      </w:r>
      <w:r w:rsidR="005F397B" w:rsidRPr="000665B0">
        <w:t xml:space="preserve"> </w:t>
      </w:r>
      <w:r w:rsidRPr="000665B0">
        <w:t xml:space="preserve">Comms” and “Fail </w:t>
      </w:r>
      <w:r w:rsidR="005F397B" w:rsidRPr="000665B0">
        <w:t>DDO</w:t>
      </w:r>
      <w:r w:rsidRPr="000665B0">
        <w:t xml:space="preserve"> Comms” complications.</w:t>
      </w:r>
    </w:p>
    <w:p w14:paraId="7F55F849" w14:textId="5AE870D3" w:rsidR="00282578" w:rsidRPr="000665B0" w:rsidRDefault="00282578" w:rsidP="006D5A65">
      <w:pPr>
        <w:pStyle w:val="Heading1"/>
      </w:pPr>
      <w:r w:rsidRPr="000665B0">
        <w:t xml:space="preserve">Fail </w:t>
      </w:r>
      <w:r w:rsidR="00874828" w:rsidRPr="000665B0">
        <w:t xml:space="preserve">Half Module </w:t>
      </w:r>
      <w:r w:rsidRPr="000665B0">
        <w:t>– For surface FRUs</w:t>
      </w:r>
      <w:r w:rsidR="00D92854" w:rsidRPr="000665B0">
        <w:t xml:space="preserve"> (except </w:t>
      </w:r>
      <w:r w:rsidR="002C0686" w:rsidRPr="000665B0">
        <w:t>DDG-1000</w:t>
      </w:r>
      <w:r w:rsidR="00D92854" w:rsidRPr="000665B0">
        <w:t>)</w:t>
      </w:r>
      <w:r w:rsidRPr="000665B0">
        <w:t>, allows any specified half</w:t>
      </w:r>
      <w:r w:rsidR="00E51F1D" w:rsidRPr="000665B0">
        <w:t xml:space="preserve"> </w:t>
      </w:r>
      <w:r w:rsidRPr="000665B0">
        <w:t>module(s) to be failed for a given time span.</w:t>
      </w:r>
      <w:r w:rsidR="00874828" w:rsidRPr="000665B0">
        <w:t xml:space="preserve"> See Note below.</w:t>
      </w:r>
    </w:p>
    <w:p w14:paraId="3EEF5A57" w14:textId="34551593" w:rsidR="00C01B83" w:rsidRPr="000665B0" w:rsidRDefault="00C01B83" w:rsidP="00C01B83">
      <w:pPr>
        <w:jc w:val="center"/>
        <w:rPr>
          <w:szCs w:val="24"/>
        </w:rPr>
      </w:pPr>
      <w:r w:rsidRPr="000665B0">
        <w:rPr>
          <w:noProof/>
        </w:rPr>
        <w:drawing>
          <wp:inline distT="0" distB="0" distL="0" distR="0" wp14:anchorId="12B92F84" wp14:editId="4F0F187A">
            <wp:extent cx="3657600" cy="1499616"/>
            <wp:effectExtent l="0" t="0" r="0" b="5715"/>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657600" cy="1499616"/>
                    </a:xfrm>
                    <a:prstGeom prst="rect">
                      <a:avLst/>
                    </a:prstGeom>
                  </pic:spPr>
                </pic:pic>
              </a:graphicData>
            </a:graphic>
          </wp:inline>
        </w:drawing>
      </w:r>
    </w:p>
    <w:p w14:paraId="319351C9" w14:textId="1CFE198C" w:rsidR="007B241F" w:rsidRPr="000665B0" w:rsidRDefault="00D6276F" w:rsidP="00F30233">
      <w:pPr>
        <w:ind w:left="720"/>
      </w:pPr>
      <w:r w:rsidRPr="000665B0">
        <w:t>Select the desired half</w:t>
      </w:r>
      <w:r w:rsidR="00E51F1D" w:rsidRPr="000665B0">
        <w:t xml:space="preserve"> </w:t>
      </w:r>
      <w:r w:rsidRPr="000665B0">
        <w:t>module(s) as follows</w:t>
      </w:r>
      <w:r w:rsidR="00CE0EC4" w:rsidRPr="000665B0">
        <w:t>:</w:t>
      </w:r>
    </w:p>
    <w:p w14:paraId="6DA58093" w14:textId="01E254D6" w:rsidR="007B241F" w:rsidRPr="000665B0" w:rsidRDefault="00CE0EC4" w:rsidP="006D5A65">
      <w:pPr>
        <w:pStyle w:val="Heading1"/>
      </w:pPr>
      <w:r w:rsidRPr="000665B0">
        <w:lastRenderedPageBreak/>
        <w:t>A – Aft</w:t>
      </w:r>
      <w:r w:rsidR="001E0167" w:rsidRPr="000665B0">
        <w:t>.</w:t>
      </w:r>
    </w:p>
    <w:p w14:paraId="69CABEFA" w14:textId="62DD3C54" w:rsidR="007B241F" w:rsidRPr="000665B0" w:rsidRDefault="00CE0EC4" w:rsidP="006D5A65">
      <w:pPr>
        <w:pStyle w:val="Heading1"/>
      </w:pPr>
      <w:r w:rsidRPr="000665B0">
        <w:t>F – Forward</w:t>
      </w:r>
      <w:r w:rsidR="001E0167" w:rsidRPr="000665B0">
        <w:t>.</w:t>
      </w:r>
    </w:p>
    <w:p w14:paraId="09B96720" w14:textId="227A2BED" w:rsidR="007B241F" w:rsidRPr="000665B0" w:rsidRDefault="00CE0EC4" w:rsidP="006D5A65">
      <w:pPr>
        <w:pStyle w:val="Heading1"/>
      </w:pPr>
      <w:r w:rsidRPr="000665B0">
        <w:t xml:space="preserve">[1] </w:t>
      </w:r>
      <w:r w:rsidR="00B02381" w:rsidRPr="000665B0">
        <w:t>–</w:t>
      </w:r>
      <w:r w:rsidRPr="000665B0">
        <w:t xml:space="preserve"> [8] </w:t>
      </w:r>
      <w:r w:rsidR="007B241F" w:rsidRPr="000665B0">
        <w:t>–</w:t>
      </w:r>
      <w:r w:rsidRPr="000665B0">
        <w:t xml:space="preserve"> </w:t>
      </w:r>
      <w:r w:rsidR="00D6276F" w:rsidRPr="000665B0">
        <w:t xml:space="preserve">Module </w:t>
      </w:r>
      <w:r w:rsidR="007B241F" w:rsidRPr="000665B0">
        <w:t>n</w:t>
      </w:r>
      <w:r w:rsidR="00D6276F" w:rsidRPr="000665B0">
        <w:t>umber</w:t>
      </w:r>
      <w:r w:rsidR="001E0167" w:rsidRPr="000665B0">
        <w:t>.</w:t>
      </w:r>
    </w:p>
    <w:p w14:paraId="456818DC" w14:textId="7AB2C04C" w:rsidR="007B241F" w:rsidRPr="000665B0" w:rsidRDefault="00CE0EC4" w:rsidP="006D5A65">
      <w:pPr>
        <w:pStyle w:val="Heading1"/>
      </w:pPr>
      <w:r w:rsidRPr="000665B0">
        <w:t>High – The half</w:t>
      </w:r>
      <w:r w:rsidR="00E51F1D" w:rsidRPr="000665B0">
        <w:t xml:space="preserve"> </w:t>
      </w:r>
      <w:r w:rsidRPr="000665B0">
        <w:t>module containing cells 5-8</w:t>
      </w:r>
      <w:r w:rsidR="001E0167" w:rsidRPr="000665B0">
        <w:t>.</w:t>
      </w:r>
    </w:p>
    <w:p w14:paraId="3F296E3C" w14:textId="200F1185" w:rsidR="00CE0EC4" w:rsidRPr="000665B0" w:rsidRDefault="00CE0EC4" w:rsidP="006D5A65">
      <w:pPr>
        <w:pStyle w:val="Heading1"/>
      </w:pPr>
      <w:r w:rsidRPr="000665B0">
        <w:t>Low – The half</w:t>
      </w:r>
      <w:r w:rsidR="00E51F1D" w:rsidRPr="000665B0">
        <w:t xml:space="preserve"> </w:t>
      </w:r>
      <w:r w:rsidRPr="000665B0">
        <w:t>module containing cells 1-</w:t>
      </w:r>
      <w:r w:rsidR="00D6276F" w:rsidRPr="000665B0">
        <w:t>4</w:t>
      </w:r>
      <w:r w:rsidRPr="000665B0">
        <w:t>.</w:t>
      </w:r>
    </w:p>
    <w:p w14:paraId="61E4ACA0" w14:textId="61039F75" w:rsidR="008D69A9" w:rsidRPr="000665B0" w:rsidRDefault="008D69A9" w:rsidP="006D5A65">
      <w:pPr>
        <w:pStyle w:val="Heading1"/>
      </w:pPr>
      <w:r w:rsidRPr="000665B0">
        <w:t xml:space="preserve">Fail Module – For </w:t>
      </w:r>
      <w:r w:rsidR="002C0686" w:rsidRPr="000665B0">
        <w:t>DDG-1000</w:t>
      </w:r>
      <w:r w:rsidRPr="000665B0">
        <w:t xml:space="preserve"> FRUs, allows any specified module(s) to be failed for a given time span.</w:t>
      </w:r>
      <w:r w:rsidR="00874828" w:rsidRPr="000665B0">
        <w:t xml:space="preserve"> See Note below.</w:t>
      </w:r>
    </w:p>
    <w:p w14:paraId="2023110B" w14:textId="731AF96B" w:rsidR="00282578" w:rsidRPr="000665B0" w:rsidRDefault="00282578" w:rsidP="006D5A65">
      <w:pPr>
        <w:pStyle w:val="Heading1"/>
      </w:pPr>
      <w:r w:rsidRPr="000665B0">
        <w:t>Fail TTL – For submarine FRUs, allows any specified torpedo tube(s) to be failed for a given time span.</w:t>
      </w:r>
      <w:r w:rsidR="00874828" w:rsidRPr="000665B0">
        <w:t xml:space="preserve"> See Note below.</w:t>
      </w:r>
    </w:p>
    <w:p w14:paraId="7C5184AC" w14:textId="5530CDDB" w:rsidR="00282578" w:rsidRPr="000665B0" w:rsidRDefault="00282578" w:rsidP="006D5A65">
      <w:pPr>
        <w:pStyle w:val="Heading1"/>
      </w:pPr>
      <w:r w:rsidRPr="000665B0">
        <w:t>Fail CLS – For submarine FRUs, allows any specified vertical launch tube(s) to be failed for a given time span.</w:t>
      </w:r>
      <w:r w:rsidR="00874828" w:rsidRPr="000665B0">
        <w:t xml:space="preserve"> See Note below.</w:t>
      </w:r>
    </w:p>
    <w:p w14:paraId="5E5BA4BB" w14:textId="23F7FE1A" w:rsidR="00282578" w:rsidRPr="000665B0" w:rsidRDefault="00282578" w:rsidP="006D5A65">
      <w:pPr>
        <w:pStyle w:val="Heading1"/>
      </w:pPr>
      <w:r w:rsidRPr="000665B0">
        <w:t>Fail MAC – For submarine FRUs, allows any specified MAC(s) to be failed for a given time span.</w:t>
      </w:r>
      <w:r w:rsidR="00C846A0" w:rsidRPr="000665B0">
        <w:t xml:space="preserve"> For Block V Virginia Payload Module (VPM) submarine FRUs, allows any specified Vertical Payload Tube (05, 06, 07, 08, 09, or 10) to be failed for a given time span.</w:t>
      </w:r>
      <w:r w:rsidR="00874828" w:rsidRPr="000665B0">
        <w:t xml:space="preserve"> See Note below.</w:t>
      </w:r>
    </w:p>
    <w:p w14:paraId="568055B3" w14:textId="77777777" w:rsidR="00874828" w:rsidRPr="000665B0" w:rsidRDefault="00874828" w:rsidP="00C01B83">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6ACE72AC" w14:textId="77777777" w:rsidR="001B0F9F" w:rsidRPr="000665B0" w:rsidRDefault="00874828" w:rsidP="00874828">
      <w:pPr>
        <w:pBdr>
          <w:top w:val="single" w:sz="12" w:space="1" w:color="auto"/>
          <w:left w:val="single" w:sz="12" w:space="4" w:color="auto"/>
          <w:bottom w:val="single" w:sz="12" w:space="1" w:color="auto"/>
          <w:right w:val="single" w:sz="12" w:space="4" w:color="auto"/>
        </w:pBdr>
        <w:shd w:val="clear" w:color="auto" w:fill="D9D9D9"/>
        <w:spacing w:after="0"/>
        <w:jc w:val="center"/>
        <w:rPr>
          <w:b/>
          <w:bCs/>
          <w:szCs w:val="24"/>
        </w:rPr>
      </w:pPr>
      <w:r w:rsidRPr="000665B0">
        <w:rPr>
          <w:b/>
          <w:bCs/>
          <w:szCs w:val="24"/>
        </w:rPr>
        <w:t xml:space="preserve">TSRT does not provide module fault information in SPEOs. For this reason, the SPEO </w:t>
      </w:r>
      <w:r w:rsidR="004C525A" w:rsidRPr="000665B0">
        <w:rPr>
          <w:b/>
          <w:bCs/>
          <w:szCs w:val="24"/>
        </w:rPr>
        <w:t>does</w:t>
      </w:r>
      <w:r w:rsidRPr="000665B0">
        <w:rPr>
          <w:b/>
          <w:bCs/>
          <w:szCs w:val="24"/>
        </w:rPr>
        <w:t xml:space="preserve"> not show an exception as a result of this complication. </w:t>
      </w:r>
    </w:p>
    <w:p w14:paraId="16D40C02" w14:textId="0AFF199F" w:rsidR="00874828" w:rsidRPr="000665B0" w:rsidRDefault="00E77BD0" w:rsidP="001F4B14">
      <w:pPr>
        <w:pBdr>
          <w:top w:val="single" w:sz="12" w:space="1" w:color="auto"/>
          <w:left w:val="single" w:sz="12" w:space="4" w:color="auto"/>
          <w:bottom w:val="single" w:sz="12" w:space="1" w:color="auto"/>
          <w:right w:val="single" w:sz="12" w:space="4" w:color="auto"/>
        </w:pBdr>
        <w:shd w:val="clear" w:color="auto" w:fill="D9D9D9"/>
        <w:jc w:val="center"/>
        <w:rPr>
          <w:b/>
          <w:szCs w:val="24"/>
        </w:rPr>
      </w:pPr>
      <w:r w:rsidRPr="000665B0">
        <w:rPr>
          <w:b/>
          <w:bCs/>
          <w:szCs w:val="24"/>
        </w:rPr>
        <w:t>However</w:t>
      </w:r>
      <w:r w:rsidR="00874828" w:rsidRPr="000665B0">
        <w:rPr>
          <w:b/>
          <w:bCs/>
          <w:szCs w:val="24"/>
        </w:rPr>
        <w:t xml:space="preserve">, the </w:t>
      </w:r>
      <w:r w:rsidR="000B6F1A">
        <w:rPr>
          <w:b/>
          <w:bCs/>
          <w:szCs w:val="24"/>
        </w:rPr>
        <w:t>TSC</w:t>
      </w:r>
      <w:r w:rsidR="002C268F">
        <w:rPr>
          <w:b/>
          <w:bCs/>
          <w:szCs w:val="24"/>
        </w:rPr>
        <w:t xml:space="preserve"> </w:t>
      </w:r>
      <w:r w:rsidR="00874828" w:rsidRPr="000665B0">
        <w:rPr>
          <w:b/>
          <w:bCs/>
          <w:szCs w:val="24"/>
        </w:rPr>
        <w:t xml:space="preserve">will not receive an LER at the </w:t>
      </w:r>
      <w:r w:rsidR="001B0F9F" w:rsidRPr="000665B0">
        <w:rPr>
          <w:b/>
          <w:bCs/>
          <w:szCs w:val="24"/>
        </w:rPr>
        <w:t xml:space="preserve">TOL for this TSRT complication. The </w:t>
      </w:r>
      <w:r w:rsidR="000B6F1A">
        <w:rPr>
          <w:b/>
          <w:bCs/>
          <w:szCs w:val="24"/>
        </w:rPr>
        <w:t>TSC</w:t>
      </w:r>
      <w:r w:rsidR="000B6F1A" w:rsidRPr="000665B0">
        <w:rPr>
          <w:b/>
          <w:bCs/>
          <w:szCs w:val="24"/>
        </w:rPr>
        <w:t xml:space="preserve"> </w:t>
      </w:r>
      <w:r w:rsidR="001B0F9F" w:rsidRPr="000665B0">
        <w:rPr>
          <w:b/>
          <w:bCs/>
          <w:szCs w:val="24"/>
        </w:rPr>
        <w:t>won’t know why an LER was not received.</w:t>
      </w:r>
      <w:r w:rsidR="00874828" w:rsidRPr="000665B0">
        <w:rPr>
          <w:b/>
          <w:bCs/>
          <w:szCs w:val="24"/>
        </w:rPr>
        <w:t xml:space="preserve"> </w:t>
      </w:r>
      <w:r w:rsidR="001B0F9F" w:rsidRPr="000665B0">
        <w:rPr>
          <w:b/>
          <w:bCs/>
          <w:szCs w:val="24"/>
        </w:rPr>
        <w:t>T</w:t>
      </w:r>
      <w:r w:rsidR="00874828" w:rsidRPr="000665B0">
        <w:rPr>
          <w:b/>
          <w:bCs/>
          <w:szCs w:val="24"/>
        </w:rPr>
        <w:t xml:space="preserve">he failure to receive the LER </w:t>
      </w:r>
      <w:r w:rsidR="003233F7" w:rsidRPr="000665B0">
        <w:rPr>
          <w:b/>
          <w:bCs/>
          <w:szCs w:val="24"/>
        </w:rPr>
        <w:t>is</w:t>
      </w:r>
      <w:r w:rsidR="00874828" w:rsidRPr="000665B0">
        <w:rPr>
          <w:b/>
          <w:bCs/>
          <w:szCs w:val="24"/>
        </w:rPr>
        <w:t xml:space="preserve"> listed in the SMD’s </w:t>
      </w:r>
      <w:r w:rsidR="00874828" w:rsidRPr="000665B0">
        <w:rPr>
          <w:b/>
          <w:bCs/>
          <w:i/>
          <w:szCs w:val="24"/>
        </w:rPr>
        <w:t>Event Log</w:t>
      </w:r>
      <w:r w:rsidR="00874828" w:rsidRPr="000665B0">
        <w:rPr>
          <w:b/>
          <w:bCs/>
          <w:szCs w:val="24"/>
        </w:rPr>
        <w:t xml:space="preserve"> (see </w:t>
      </w:r>
      <w:hyperlink w:anchor="_Events_List_View_2" w:history="1">
        <w:r w:rsidR="00593DA3" w:rsidRPr="000665B0">
          <w:rPr>
            <w:rStyle w:val="Hyperlink"/>
            <w:b/>
          </w:rPr>
          <w:t xml:space="preserve">Section </w:t>
        </w:r>
        <w:r w:rsidR="004231CC">
          <w:rPr>
            <w:rStyle w:val="Hyperlink"/>
            <w:b/>
          </w:rPr>
          <w:t>5.35</w:t>
        </w:r>
        <w:r w:rsidR="00593DA3" w:rsidRPr="000665B0">
          <w:rPr>
            <w:rStyle w:val="Hyperlink"/>
            <w:b/>
          </w:rPr>
          <w:t>.3.1.4</w:t>
        </w:r>
      </w:hyperlink>
      <w:r w:rsidR="00874828" w:rsidRPr="000665B0">
        <w:rPr>
          <w:b/>
          <w:bCs/>
          <w:szCs w:val="24"/>
        </w:rPr>
        <w:t xml:space="preserve">). Navigate to TSRTs’ </w:t>
      </w:r>
      <w:r w:rsidR="00874828" w:rsidRPr="000665B0">
        <w:rPr>
          <w:b/>
          <w:bCs/>
          <w:i/>
          <w:szCs w:val="24"/>
        </w:rPr>
        <w:t>FRU Log</w:t>
      </w:r>
      <w:r w:rsidR="00874828" w:rsidRPr="000665B0">
        <w:rPr>
          <w:b/>
          <w:bCs/>
          <w:szCs w:val="24"/>
        </w:rPr>
        <w:t xml:space="preserve"> (see </w:t>
      </w:r>
      <w:hyperlink w:anchor="_FRU_Log" w:history="1">
        <w:r w:rsidR="00874828" w:rsidRPr="000665B0">
          <w:rPr>
            <w:rStyle w:val="Hyperlink"/>
            <w:b/>
            <w:bCs/>
            <w:szCs w:val="24"/>
          </w:rPr>
          <w:t xml:space="preserve">Section </w:t>
        </w:r>
        <w:r w:rsidR="004231CC">
          <w:rPr>
            <w:rStyle w:val="Hyperlink"/>
            <w:b/>
            <w:bCs/>
            <w:szCs w:val="24"/>
          </w:rPr>
          <w:t>5.37</w:t>
        </w:r>
        <w:r w:rsidR="00874828" w:rsidRPr="000665B0">
          <w:rPr>
            <w:rStyle w:val="Hyperlink"/>
            <w:b/>
            <w:bCs/>
            <w:szCs w:val="24"/>
          </w:rPr>
          <w:t>.8</w:t>
        </w:r>
      </w:hyperlink>
      <w:r w:rsidR="00874828" w:rsidRPr="000665B0">
        <w:rPr>
          <w:b/>
          <w:bCs/>
          <w:szCs w:val="24"/>
        </w:rPr>
        <w:t>)</w:t>
      </w:r>
      <w:r w:rsidR="003B7DA2" w:rsidRPr="000665B0">
        <w:rPr>
          <w:b/>
          <w:bCs/>
          <w:szCs w:val="24"/>
        </w:rPr>
        <w:t>,</w:t>
      </w:r>
      <w:r w:rsidR="00874828" w:rsidRPr="000665B0">
        <w:rPr>
          <w:b/>
          <w:bCs/>
          <w:szCs w:val="24"/>
        </w:rPr>
        <w:t xml:space="preserve"> which display</w:t>
      </w:r>
      <w:r w:rsidR="003233F7" w:rsidRPr="000665B0">
        <w:rPr>
          <w:b/>
          <w:bCs/>
          <w:szCs w:val="24"/>
        </w:rPr>
        <w:t>s</w:t>
      </w:r>
      <w:r w:rsidR="00874828" w:rsidRPr="000665B0">
        <w:rPr>
          <w:b/>
          <w:bCs/>
          <w:szCs w:val="24"/>
        </w:rPr>
        <w:t xml:space="preserve"> a log entry indicating that the missile was not launched due to a fault </w:t>
      </w:r>
      <w:r w:rsidR="003B7DA2" w:rsidRPr="000665B0">
        <w:rPr>
          <w:b/>
          <w:bCs/>
          <w:szCs w:val="24"/>
        </w:rPr>
        <w:t>(</w:t>
      </w:r>
      <w:r w:rsidR="00B162E1" w:rsidRPr="000665B0">
        <w:rPr>
          <w:b/>
          <w:bCs/>
          <w:szCs w:val="24"/>
        </w:rPr>
        <w:t>as a</w:t>
      </w:r>
      <w:r w:rsidR="00874828" w:rsidRPr="000665B0">
        <w:rPr>
          <w:b/>
          <w:bCs/>
          <w:szCs w:val="24"/>
        </w:rPr>
        <w:t xml:space="preserve"> result of </w:t>
      </w:r>
      <w:r w:rsidR="003233F7" w:rsidRPr="000665B0">
        <w:rPr>
          <w:b/>
          <w:bCs/>
          <w:szCs w:val="24"/>
        </w:rPr>
        <w:t>the selected</w:t>
      </w:r>
      <w:r w:rsidR="00874828" w:rsidRPr="000665B0">
        <w:rPr>
          <w:b/>
          <w:bCs/>
          <w:szCs w:val="24"/>
        </w:rPr>
        <w:t xml:space="preserve"> </w:t>
      </w:r>
      <w:r w:rsidR="003233F7" w:rsidRPr="000665B0">
        <w:rPr>
          <w:b/>
          <w:bCs/>
          <w:szCs w:val="24"/>
        </w:rPr>
        <w:t>TSRT</w:t>
      </w:r>
      <w:r w:rsidR="00874828" w:rsidRPr="000665B0">
        <w:rPr>
          <w:b/>
          <w:bCs/>
          <w:szCs w:val="24"/>
        </w:rPr>
        <w:t xml:space="preserve"> complication</w:t>
      </w:r>
      <w:r w:rsidR="003B7DA2" w:rsidRPr="000665B0">
        <w:rPr>
          <w:b/>
          <w:bCs/>
          <w:szCs w:val="24"/>
        </w:rPr>
        <w:t>)</w:t>
      </w:r>
      <w:r w:rsidR="00874828" w:rsidRPr="000665B0">
        <w:rPr>
          <w:b/>
          <w:bCs/>
          <w:szCs w:val="24"/>
        </w:rPr>
        <w:t>.</w:t>
      </w:r>
    </w:p>
    <w:p w14:paraId="7CCB89A6" w14:textId="77777777" w:rsidR="00282578" w:rsidRPr="000665B0" w:rsidRDefault="00282578" w:rsidP="006D5A65">
      <w:pPr>
        <w:pStyle w:val="Heading1"/>
      </w:pPr>
      <w:r w:rsidRPr="000665B0">
        <w:t>Fail To Launch Remaining Missiles – This will cause all future missile launches attempted (after the specified complication start time) to fail.</w:t>
      </w:r>
    </w:p>
    <w:p w14:paraId="276C9ED7" w14:textId="2AC5550B" w:rsidR="00282578" w:rsidRPr="000665B0" w:rsidRDefault="00282578" w:rsidP="006D5A65">
      <w:pPr>
        <w:pStyle w:val="Heading1"/>
      </w:pPr>
      <w:r w:rsidRPr="000665B0">
        <w:t xml:space="preserve">Launch All Missiles Early/Late </w:t>
      </w:r>
      <w:r w:rsidR="004C43B1" w:rsidRPr="000665B0">
        <w:t xml:space="preserve">– </w:t>
      </w:r>
      <w:r w:rsidRPr="000665B0">
        <w:t>This complication will affect all missiles on the selected FRU that are scheduled to launch between a specified start time and end time. All missiles within the selected timeframe will have their launch times rescheduled as specified in a range from 5 minutes earlier to 10 minutes later. If a missile’s scheduled launch time occurs outside the specified timeframe the complication will have no effect on that missile. If multiple complications to launch a missile early or late are in effect at the missile’s scheduled launch time, the time shifts will be added to each other to determine the total time shift.</w:t>
      </w:r>
    </w:p>
    <w:p w14:paraId="17AC9FE6" w14:textId="77777777" w:rsidR="0028219F" w:rsidRPr="00042123" w:rsidRDefault="0028219F" w:rsidP="006D5A65">
      <w:pPr>
        <w:pStyle w:val="Heading1"/>
      </w:pPr>
      <w:bookmarkStart w:id="7051" w:name="_Missile_Complications"/>
      <w:bookmarkStart w:id="7052" w:name="_Missile__Complications"/>
      <w:bookmarkStart w:id="7053" w:name="_Toc289328980"/>
      <w:bookmarkEnd w:id="7051"/>
      <w:bookmarkEnd w:id="7052"/>
      <w:r w:rsidRPr="00042123">
        <w:t xml:space="preserve">Fail Track data – </w:t>
      </w:r>
      <w:r w:rsidRPr="00192D64">
        <w:t xml:space="preserve">For </w:t>
      </w:r>
      <w:r>
        <w:t>maritime strikes</w:t>
      </w:r>
      <w:r w:rsidRPr="00192D64">
        <w:t xml:space="preserve">, </w:t>
      </w:r>
      <w:r>
        <w:t xml:space="preserve">simulates a failure of the track data stream for the duration of the complication, which prevents transmission by the sim-FRU of target state </w:t>
      </w:r>
      <w:r>
        <w:lastRenderedPageBreak/>
        <w:t>MST IMMMs</w:t>
      </w:r>
      <w:r w:rsidRPr="00192D64">
        <w:t xml:space="preserve"> </w:t>
      </w:r>
      <w:r>
        <w:t>that would normally be triggered by the availability of new track data.</w:t>
      </w:r>
    </w:p>
    <w:p w14:paraId="0D166990" w14:textId="16509676" w:rsidR="00282578" w:rsidRPr="000665B0" w:rsidRDefault="00282578" w:rsidP="00B35EE5">
      <w:pPr>
        <w:pStyle w:val="Heading4"/>
      </w:pPr>
      <w:bookmarkStart w:id="7054" w:name="_Missile_Complications_1"/>
      <w:bookmarkEnd w:id="7054"/>
      <w:r w:rsidRPr="000665B0">
        <w:t>Missile Complications</w:t>
      </w:r>
      <w:bookmarkEnd w:id="7053"/>
    </w:p>
    <w:p w14:paraId="39BD21EE" w14:textId="0471F812" w:rsidR="001D1A03" w:rsidRPr="000665B0" w:rsidRDefault="001D1A03" w:rsidP="00282578">
      <w:pPr>
        <w:autoSpaceDE w:val="0"/>
        <w:autoSpaceDN w:val="0"/>
        <w:adjustRightInd w:val="0"/>
        <w:spacing w:line="240" w:lineRule="auto"/>
      </w:pPr>
      <w:r w:rsidRPr="000665B0">
        <w:t xml:space="preserve">Missile complications can be added to a single missile or to multiple missiles (see </w:t>
      </w:r>
      <w:hyperlink w:anchor="_Creating_a_New" w:history="1">
        <w:r w:rsidRPr="000665B0">
          <w:rPr>
            <w:rStyle w:val="Hyperlink"/>
          </w:rPr>
          <w:t xml:space="preserve">Section </w:t>
        </w:r>
        <w:r w:rsidR="004231CC">
          <w:rPr>
            <w:rStyle w:val="Hyperlink"/>
          </w:rPr>
          <w:t>5.37</w:t>
        </w:r>
        <w:r w:rsidRPr="000665B0">
          <w:rPr>
            <w:rStyle w:val="Hyperlink"/>
          </w:rPr>
          <w:t>.14.1</w:t>
        </w:r>
      </w:hyperlink>
      <w:r w:rsidRPr="000665B0">
        <w:t>).</w:t>
      </w:r>
      <w:r w:rsidR="00582CE6" w:rsidRPr="000665B0">
        <w:t xml:space="preserve"> Primary missile failure complications that are initiated in TSRT may cause TSRT to automatically launch a spare missile (see </w:t>
      </w:r>
      <w:hyperlink w:anchor="_Spare_Missiles" w:history="1">
        <w:r w:rsidR="00582CE6" w:rsidRPr="000665B0">
          <w:rPr>
            <w:rStyle w:val="Hyperlink"/>
          </w:rPr>
          <w:t xml:space="preserve">Section </w:t>
        </w:r>
        <w:r w:rsidR="004231CC">
          <w:rPr>
            <w:rStyle w:val="Hyperlink"/>
          </w:rPr>
          <w:t>5.37</w:t>
        </w:r>
        <w:r w:rsidR="00582CE6" w:rsidRPr="000665B0">
          <w:rPr>
            <w:rStyle w:val="Hyperlink"/>
          </w:rPr>
          <w:t>.</w:t>
        </w:r>
        <w:r w:rsidR="00EF1CAE" w:rsidRPr="000665B0">
          <w:rPr>
            <w:rStyle w:val="Hyperlink"/>
          </w:rPr>
          <w:t>16</w:t>
        </w:r>
        <w:r w:rsidR="00582CE6" w:rsidRPr="000665B0">
          <w:rPr>
            <w:rStyle w:val="Hyperlink"/>
          </w:rPr>
          <w:t>.3</w:t>
        </w:r>
      </w:hyperlink>
      <w:r w:rsidR="00582CE6" w:rsidRPr="000665B0">
        <w:t xml:space="preserve">). </w:t>
      </w:r>
    </w:p>
    <w:p w14:paraId="2FDC696B" w14:textId="27CB79A9" w:rsidR="00282578" w:rsidRPr="000665B0" w:rsidRDefault="00282578" w:rsidP="00282578">
      <w:pPr>
        <w:autoSpaceDE w:val="0"/>
        <w:autoSpaceDN w:val="0"/>
        <w:adjustRightInd w:val="0"/>
        <w:spacing w:line="240" w:lineRule="auto"/>
        <w:rPr>
          <w:b/>
          <w:szCs w:val="24"/>
        </w:rPr>
      </w:pPr>
      <w:r w:rsidRPr="000665B0">
        <w:rPr>
          <w:b/>
          <w:szCs w:val="24"/>
        </w:rPr>
        <w:t xml:space="preserve">Complications exclusive to </w:t>
      </w:r>
      <w:r w:rsidR="001C6D19" w:rsidRPr="000665B0">
        <w:rPr>
          <w:b/>
          <w:szCs w:val="24"/>
        </w:rPr>
        <w:t>109E</w:t>
      </w:r>
      <w:r w:rsidRPr="000665B0">
        <w:rPr>
          <w:b/>
          <w:szCs w:val="24"/>
        </w:rPr>
        <w:t xml:space="preserve"> missiles:</w:t>
      </w:r>
    </w:p>
    <w:p w14:paraId="35C4F8E0" w14:textId="77777777" w:rsidR="00282578" w:rsidRPr="000665B0" w:rsidRDefault="00282578" w:rsidP="006D5A65">
      <w:pPr>
        <w:pStyle w:val="Heading1"/>
      </w:pPr>
      <w:r w:rsidRPr="000665B0">
        <w:t>SDLT Loss – Causes the missile not to hear any IMMMs sent during the specified time span, and to fail to send any H&amp;S messages in the given time span.</w:t>
      </w:r>
    </w:p>
    <w:p w14:paraId="608C7C65" w14:textId="77777777" w:rsidR="00282578" w:rsidRPr="000665B0" w:rsidRDefault="00282578" w:rsidP="006D5A65">
      <w:pPr>
        <w:pStyle w:val="Heading1"/>
      </w:pPr>
      <w:r w:rsidRPr="000665B0">
        <w:t>Fail Next Health and Status Message – Causes the missile to fail to send the next health and status message, regardless of message type.</w:t>
      </w:r>
    </w:p>
    <w:p w14:paraId="088D126D" w14:textId="77777777" w:rsidR="00282578" w:rsidRPr="000665B0" w:rsidRDefault="00282578" w:rsidP="006D5A65">
      <w:pPr>
        <w:pStyle w:val="Heading1"/>
      </w:pPr>
      <w:r w:rsidRPr="000665B0">
        <w:t>Fail Transition to Cruise Event – Causes the missile to fail to send the transition to cruise event H&amp;S message (provided that event is after the complication start-time, and the cruise-transition event was enabled).</w:t>
      </w:r>
    </w:p>
    <w:p w14:paraId="27088A02" w14:textId="77777777" w:rsidR="00282578" w:rsidRPr="000665B0" w:rsidRDefault="00282578" w:rsidP="006D5A65">
      <w:pPr>
        <w:pStyle w:val="Heading1"/>
      </w:pPr>
      <w:r w:rsidRPr="000665B0">
        <w:t>Fail Next Branch Change Event – Causes the missile to fail to send the next branch-change event H&amp;S message (if any, and if configured to send branch change messages).</w:t>
      </w:r>
    </w:p>
    <w:p w14:paraId="0DA3413A" w14:textId="77777777" w:rsidR="00282578" w:rsidRPr="000665B0" w:rsidRDefault="00282578" w:rsidP="006D5A65">
      <w:pPr>
        <w:pStyle w:val="Heading1"/>
      </w:pPr>
      <w:r w:rsidRPr="000665B0">
        <w:t>Fail Next DSMAC Scene Passed Event – Causes the missile to fail to send the next DSMAC scene passed event H&amp;S message (if any, and if configured to send DSMAC scene passed event messages).</w:t>
      </w:r>
    </w:p>
    <w:p w14:paraId="4B0A0105" w14:textId="77777777" w:rsidR="00282578" w:rsidRPr="000665B0" w:rsidRDefault="00282578" w:rsidP="006D5A65">
      <w:pPr>
        <w:pStyle w:val="Heading1"/>
      </w:pPr>
      <w:r w:rsidRPr="000665B0">
        <w:t>Fail Next Planned Turn Complete Event – Causes the missile to fail to send the next planned turn complete event H&amp;S message</w:t>
      </w:r>
      <w:r w:rsidR="00F303DA" w:rsidRPr="000665B0">
        <w:t xml:space="preserve"> </w:t>
      </w:r>
      <w:r w:rsidRPr="000665B0">
        <w:t>(if any, and if configured to send planned turn complete event messages).</w:t>
      </w:r>
    </w:p>
    <w:p w14:paraId="59D60A6F" w14:textId="77777777" w:rsidR="00282578" w:rsidRPr="000665B0" w:rsidRDefault="00282578" w:rsidP="006D5A65">
      <w:pPr>
        <w:pStyle w:val="Heading1"/>
      </w:pPr>
      <w:r w:rsidRPr="000665B0">
        <w:t>Fail Next IMMM Ack – Causes the missile to fail to send the ACK to the next H&amp;S requesting one. The missile does respond to the remaining IMMM directives.</w:t>
      </w:r>
    </w:p>
    <w:p w14:paraId="035B3A91" w14:textId="77777777" w:rsidR="00282578" w:rsidRPr="000665B0" w:rsidRDefault="00282578" w:rsidP="006D5A65">
      <w:pPr>
        <w:pStyle w:val="Heading1"/>
      </w:pPr>
      <w:r w:rsidRPr="000665B0">
        <w:t xml:space="preserve">Report High Radial Position Uncertainty – During the time span specified any H&amp;S messages will report worse than </w:t>
      </w:r>
      <w:r w:rsidRPr="000665B0">
        <w:lastRenderedPageBreak/>
        <w:t xml:space="preserve">expected uncertainty. It may or may not be easily </w:t>
      </w:r>
      <w:r w:rsidR="00BA5239" w:rsidRPr="000665B0">
        <w:t>discernible</w:t>
      </w:r>
      <w:r w:rsidRPr="000665B0">
        <w:t xml:space="preserve"> by the MDS/TTWCS user.</w:t>
      </w:r>
    </w:p>
    <w:p w14:paraId="55F88FBE" w14:textId="77777777" w:rsidR="00931FBF" w:rsidRPr="000665B0" w:rsidRDefault="00931FBF" w:rsidP="006D5A65">
      <w:pPr>
        <w:pStyle w:val="Heading1"/>
        <w:rPr>
          <w:szCs w:val="24"/>
        </w:rPr>
      </w:pPr>
      <w:r w:rsidRPr="000665B0">
        <w:rPr>
          <w:szCs w:val="24"/>
        </w:rPr>
        <w:t xml:space="preserve">GPS High Power – </w:t>
      </w:r>
      <w:r w:rsidRPr="000665B0">
        <w:t>During the time span specified, any H&amp;S messages will report that high power was detected in one or more GPS bands, which may indicate jamming.</w:t>
      </w:r>
    </w:p>
    <w:p w14:paraId="04698C22" w14:textId="66C7B5E8" w:rsidR="001E21F9" w:rsidRPr="000665B0" w:rsidRDefault="001E21F9" w:rsidP="006D5A65">
      <w:pPr>
        <w:pStyle w:val="Heading1"/>
        <w:rPr>
          <w:szCs w:val="24"/>
        </w:rPr>
      </w:pPr>
      <w:r w:rsidRPr="000665B0">
        <w:rPr>
          <w:szCs w:val="24"/>
        </w:rPr>
        <w:t xml:space="preserve">GPS Not Providing Updates – </w:t>
      </w:r>
      <w:r w:rsidRPr="000665B0">
        <w:t>During the time span specified, any H&amp;S messages will report that the missile has detected insufficient GPS updates.</w:t>
      </w:r>
    </w:p>
    <w:p w14:paraId="5DE271EA" w14:textId="3BAF414B" w:rsidR="00282578" w:rsidRPr="000665B0" w:rsidRDefault="00282578" w:rsidP="006D5A65">
      <w:pPr>
        <w:pStyle w:val="Heading1"/>
      </w:pPr>
      <w:r w:rsidRPr="000665B0">
        <w:t>Bad CRC Value – All H&amp;S broadcast in the specified time span will have a mistake in the CRC attached to the message, causing MDS/TTWCS to flag the message(s) as invalid.</w:t>
      </w:r>
    </w:p>
    <w:p w14:paraId="53390269" w14:textId="77777777" w:rsidR="00282578" w:rsidRPr="000665B0" w:rsidRDefault="00282578" w:rsidP="006D5A65">
      <w:pPr>
        <w:pStyle w:val="Heading1"/>
      </w:pPr>
      <w:r w:rsidRPr="000665B0">
        <w:t xml:space="preserve">Report High CEP Value in BDI – If this complication is scheduled to begin before the BDI is reached, the missile will report higher than expected CEP, assuming BDI was enabled, SDLT was enabled (and still functional), etc. It may or may not be easily </w:t>
      </w:r>
      <w:r w:rsidR="00BA5239" w:rsidRPr="000665B0">
        <w:t>discernible</w:t>
      </w:r>
      <w:r w:rsidRPr="000665B0">
        <w:t xml:space="preserve"> by the MDS/TTWCS user.</w:t>
      </w:r>
    </w:p>
    <w:p w14:paraId="6EC5140D" w14:textId="77777777" w:rsidR="0028219F" w:rsidRDefault="0028219F" w:rsidP="0028219F">
      <w:pPr>
        <w:autoSpaceDE w:val="0"/>
        <w:autoSpaceDN w:val="0"/>
        <w:adjustRightInd w:val="0"/>
        <w:rPr>
          <w:b/>
          <w:szCs w:val="24"/>
        </w:rPr>
      </w:pPr>
      <w:r w:rsidRPr="004C124A">
        <w:rPr>
          <w:b/>
          <w:szCs w:val="24"/>
        </w:rPr>
        <w:t xml:space="preserve">Complications exclusive to 109E </w:t>
      </w:r>
      <w:r>
        <w:rPr>
          <w:b/>
          <w:szCs w:val="24"/>
        </w:rPr>
        <w:t xml:space="preserve">MST </w:t>
      </w:r>
      <w:r w:rsidRPr="004C124A">
        <w:rPr>
          <w:b/>
          <w:szCs w:val="24"/>
        </w:rPr>
        <w:t>missiles:</w:t>
      </w:r>
    </w:p>
    <w:p w14:paraId="199F3AD3" w14:textId="4709C4C7" w:rsidR="0028219F" w:rsidRDefault="0028219F" w:rsidP="006D5A65">
      <w:pPr>
        <w:pStyle w:val="Heading1"/>
      </w:pPr>
      <w:r w:rsidRPr="00923DC4">
        <w:t>Fail Seeker BIT</w:t>
      </w:r>
      <w:r>
        <w:t xml:space="preserve"> – </w:t>
      </w:r>
      <w:r w:rsidRPr="001E5531">
        <w:t xml:space="preserve">Causes the missile </w:t>
      </w:r>
      <w:r>
        <w:t>to fail the built-in test of its seeker processor, triggering (if missile reporting of seeker failure is enabled) an H&amp;S message reporting the failure. Has no effect on missile flight; just triggers the reporting message (if enabled)</w:t>
      </w:r>
      <w:r w:rsidRPr="001E21F9">
        <w:t>.</w:t>
      </w:r>
      <w:r>
        <w:t xml:space="preserve"> </w:t>
      </w:r>
    </w:p>
    <w:p w14:paraId="0CA06D1F" w14:textId="38BBDA4C" w:rsidR="0028219F" w:rsidRDefault="0028219F" w:rsidP="006D5A65">
      <w:pPr>
        <w:pStyle w:val="Heading1"/>
      </w:pPr>
      <w:r w:rsidRPr="00923DC4">
        <w:t>Fail Active Seeker BIT</w:t>
      </w:r>
      <w:r>
        <w:t xml:space="preserve"> </w:t>
      </w:r>
      <w:r w:rsidR="000655FC">
        <w:t>–</w:t>
      </w:r>
      <w:r>
        <w:t xml:space="preserve"> </w:t>
      </w:r>
      <w:r w:rsidRPr="001E5531">
        <w:t xml:space="preserve">Causes the missile </w:t>
      </w:r>
      <w:r>
        <w:t>to fail the built-in test of its active seeker, triggering (if missile reporting of seeker failure is enabled) an H&amp;S message reporting the failure. Has no effect on missile flight</w:t>
      </w:r>
      <w:r w:rsidR="00865AE2">
        <w:t xml:space="preserve">, </w:t>
      </w:r>
      <w:r>
        <w:t>just triggers the reporting message (if enabled)</w:t>
      </w:r>
      <w:r w:rsidRPr="001E21F9">
        <w:t>.</w:t>
      </w:r>
      <w:r>
        <w:t xml:space="preserve"> </w:t>
      </w:r>
    </w:p>
    <w:p w14:paraId="01870825" w14:textId="261B9278" w:rsidR="0028219F" w:rsidRDefault="0028219F" w:rsidP="006D5A65">
      <w:pPr>
        <w:pStyle w:val="Heading1"/>
      </w:pPr>
      <w:r w:rsidRPr="00923DC4">
        <w:t>Fail Passive Seeker BIT</w:t>
      </w:r>
      <w:r>
        <w:t xml:space="preserve"> </w:t>
      </w:r>
      <w:r w:rsidR="000655FC">
        <w:t>–</w:t>
      </w:r>
      <w:r>
        <w:t xml:space="preserve"> </w:t>
      </w:r>
      <w:r w:rsidRPr="001E5531">
        <w:t xml:space="preserve">Causes the missile </w:t>
      </w:r>
      <w:r>
        <w:t>to fail the built-in test of its passive seeker, triggering (if missile reporting of seeker failure is enabled) an H&amp;S message reporting the failure. Has no effect on missile flight; just triggers the reporting message (if enabled)</w:t>
      </w:r>
      <w:r w:rsidRPr="001E21F9">
        <w:t>.</w:t>
      </w:r>
      <w:r>
        <w:t xml:space="preserve"> </w:t>
      </w:r>
    </w:p>
    <w:p w14:paraId="34502AAA" w14:textId="0ACECEBA" w:rsidR="0028219F" w:rsidRPr="00271BC5" w:rsidRDefault="0028219F" w:rsidP="006D5A65">
      <w:pPr>
        <w:pStyle w:val="Heading1"/>
      </w:pPr>
      <w:r w:rsidRPr="00923DC4">
        <w:t>Fail Passive Seeker Acquisition</w:t>
      </w:r>
      <w:r>
        <w:t xml:space="preserve"> </w:t>
      </w:r>
      <w:r w:rsidR="000655FC">
        <w:t>–</w:t>
      </w:r>
      <w:r>
        <w:t xml:space="preserve"> </w:t>
      </w:r>
      <w:r w:rsidRPr="001E21F9">
        <w:t>Causes the missile</w:t>
      </w:r>
      <w:r>
        <w:t>’s passive seeker</w:t>
      </w:r>
      <w:r w:rsidRPr="001E21F9">
        <w:t xml:space="preserve"> to fail to </w:t>
      </w:r>
      <w:r>
        <w:t>acquire any target tracks while the complication is active. Under most conditions (see classified appendix), prevents the missile from departing from its pre-planned route toward a target until at least the end of the complication.</w:t>
      </w:r>
      <w:r w:rsidRPr="00271BC5">
        <w:t xml:space="preserve"> </w:t>
      </w:r>
    </w:p>
    <w:p w14:paraId="02819095" w14:textId="3ADD73D6" w:rsidR="0028219F" w:rsidRDefault="0028219F" w:rsidP="006D5A65">
      <w:pPr>
        <w:pStyle w:val="Heading1"/>
      </w:pPr>
      <w:r w:rsidRPr="00923DC4">
        <w:t>Fail Active Seeker Acquisition</w:t>
      </w:r>
      <w:r>
        <w:t xml:space="preserve"> </w:t>
      </w:r>
      <w:r w:rsidR="000655FC">
        <w:t>–</w:t>
      </w:r>
      <w:r>
        <w:t xml:space="preserve"> </w:t>
      </w:r>
      <w:r w:rsidRPr="001E21F9">
        <w:t>Causes the missile</w:t>
      </w:r>
      <w:r>
        <w:t>’s active seeker</w:t>
      </w:r>
      <w:r w:rsidRPr="001E21F9">
        <w:t xml:space="preserve"> to fail to </w:t>
      </w:r>
      <w:r>
        <w:t>acquire any target tracks while the complication is active. Under most conditions (see classified appendix), prevents the missile from engaging with a target until at least the end of the complication</w:t>
      </w:r>
      <w:r w:rsidRPr="001E21F9">
        <w:t>.</w:t>
      </w:r>
    </w:p>
    <w:p w14:paraId="3F94546C" w14:textId="5CB1B068" w:rsidR="0028219F" w:rsidRPr="001E21F9" w:rsidRDefault="0028219F" w:rsidP="006D5A65">
      <w:pPr>
        <w:pStyle w:val="Heading1"/>
      </w:pPr>
      <w:r w:rsidRPr="00923DC4">
        <w:t>Fail All Seeker Acquisition</w:t>
      </w:r>
      <w:r>
        <w:t xml:space="preserve"> </w:t>
      </w:r>
      <w:r w:rsidR="000655FC">
        <w:t>–</w:t>
      </w:r>
      <w:r>
        <w:t xml:space="preserve"> Combination of Fail Passive Seeker Acquisition and Fail Active Seeker Acquisition that does </w:t>
      </w:r>
      <w:r>
        <w:lastRenderedPageBreak/>
        <w:t xml:space="preserve">not end. Under most conditions (see classified appendix) causes the missile to fail to detect any target tracks and to proceed to the end of its pre-planned route. </w:t>
      </w:r>
    </w:p>
    <w:p w14:paraId="20EC043B" w14:textId="191B9429" w:rsidR="00A74052" w:rsidRPr="00A0163E" w:rsidRDefault="0028219F" w:rsidP="006D5A65">
      <w:pPr>
        <w:pStyle w:val="Heading1"/>
      </w:pPr>
      <w:r w:rsidRPr="00C67370">
        <w:t xml:space="preserve">Miss Target – </w:t>
      </w:r>
      <w:r>
        <w:t>Causes the missile, after engaging a target track, to miss its target. If either intercept state reporting or terminal H&amp;S reporting is enabled, a terminal H&amp;S message will be transmitted by the missile with an intercept state of Target Miss.</w:t>
      </w:r>
    </w:p>
    <w:p w14:paraId="714EE43B" w14:textId="06986F21" w:rsidR="00A74052" w:rsidRPr="00A0163E" w:rsidRDefault="00A74052" w:rsidP="00A0163E">
      <w:pPr>
        <w:keepNext/>
        <w:autoSpaceDE w:val="0"/>
        <w:autoSpaceDN w:val="0"/>
        <w:adjustRightInd w:val="0"/>
        <w:spacing w:before="240" w:line="240" w:lineRule="auto"/>
        <w:rPr>
          <w:szCs w:val="24"/>
        </w:rPr>
      </w:pPr>
      <w:r w:rsidRPr="00A74052">
        <w:rPr>
          <w:b/>
          <w:szCs w:val="24"/>
        </w:rPr>
        <w:t>Complications exclusive to 109M missiles:</w:t>
      </w:r>
    </w:p>
    <w:p w14:paraId="7A96A4D0" w14:textId="77777777" w:rsidR="00A74052" w:rsidRPr="00BD3AC1" w:rsidRDefault="00A74052" w:rsidP="006D5A65">
      <w:pPr>
        <w:pStyle w:val="Heading1"/>
      </w:pPr>
      <w:r>
        <w:t>JMEWS Fuze Fail – Causes the fuze to fail for a JMEWS missile, resulting in diminished likelihood of missile achieving target damage effects. TSRT does not model resultant changes to target damage effects.</w:t>
      </w:r>
    </w:p>
    <w:p w14:paraId="4D1E5F45" w14:textId="77777777" w:rsidR="00282578" w:rsidRPr="000665B0" w:rsidRDefault="00282578" w:rsidP="0028219F">
      <w:pPr>
        <w:keepNext/>
        <w:autoSpaceDE w:val="0"/>
        <w:autoSpaceDN w:val="0"/>
        <w:adjustRightInd w:val="0"/>
        <w:spacing w:before="240" w:line="240" w:lineRule="auto"/>
        <w:rPr>
          <w:b/>
          <w:szCs w:val="24"/>
        </w:rPr>
      </w:pPr>
      <w:r w:rsidRPr="000665B0">
        <w:rPr>
          <w:b/>
          <w:szCs w:val="24"/>
        </w:rPr>
        <w:t xml:space="preserve">Common Missile Complications (Apply to Block III or </w:t>
      </w:r>
      <w:r w:rsidR="001C6D19" w:rsidRPr="000665B0">
        <w:rPr>
          <w:b/>
          <w:szCs w:val="24"/>
        </w:rPr>
        <w:t>109E</w:t>
      </w:r>
      <w:r w:rsidRPr="000665B0">
        <w:rPr>
          <w:b/>
          <w:szCs w:val="24"/>
        </w:rPr>
        <w:t>)</w:t>
      </w:r>
    </w:p>
    <w:p w14:paraId="2139ADD7" w14:textId="6F5C3E97" w:rsidR="00282578" w:rsidRPr="000665B0" w:rsidRDefault="00931FBF" w:rsidP="006D5A65">
      <w:pPr>
        <w:pStyle w:val="Heading1"/>
      </w:pPr>
      <w:r w:rsidRPr="000665B0">
        <w:t xml:space="preserve">Guidance </w:t>
      </w:r>
      <w:r w:rsidR="00282578" w:rsidRPr="000665B0">
        <w:t xml:space="preserve">Processor BIT – Causes trouble in the </w:t>
      </w:r>
      <w:r w:rsidRPr="000665B0">
        <w:t>Guidance P</w:t>
      </w:r>
      <w:r w:rsidR="00282578" w:rsidRPr="000665B0">
        <w:t xml:space="preserve">rocessor for the given time span. A </w:t>
      </w:r>
      <w:r w:rsidR="001C6D19" w:rsidRPr="000665B0">
        <w:t>109E</w:t>
      </w:r>
      <w:r w:rsidR="00282578" w:rsidRPr="000665B0">
        <w:t xml:space="preserve"> missile may try to report this error, but a Block III cannot. Regardless of missile baseline, TSRT does not model the missile divergence from the preplanned route.</w:t>
      </w:r>
    </w:p>
    <w:p w14:paraId="3CCEC76E" w14:textId="77777777" w:rsidR="00282578" w:rsidRPr="000665B0" w:rsidRDefault="00282578" w:rsidP="006D5A65">
      <w:pPr>
        <w:pStyle w:val="Heading1"/>
      </w:pPr>
      <w:r w:rsidRPr="000665B0">
        <w:t xml:space="preserve">Fail AGR BIT – Causes trouble in the AGR </w:t>
      </w:r>
      <w:r w:rsidR="00601929" w:rsidRPr="000665B0">
        <w:t xml:space="preserve">(GPS receiver) </w:t>
      </w:r>
      <w:r w:rsidRPr="000665B0">
        <w:t xml:space="preserve">for the given time span. A </w:t>
      </w:r>
      <w:r w:rsidR="001C6D19" w:rsidRPr="000665B0">
        <w:t>109E</w:t>
      </w:r>
      <w:r w:rsidRPr="000665B0">
        <w:t xml:space="preserve"> missile may try to report this error, but a Block III cannot. Regardless of missile baseline, TSRT does not model the missile divergence from the preplanned route.</w:t>
      </w:r>
    </w:p>
    <w:p w14:paraId="63C594E2" w14:textId="77777777" w:rsidR="00282578" w:rsidRPr="000665B0" w:rsidRDefault="00282578" w:rsidP="006D5A65">
      <w:pPr>
        <w:pStyle w:val="Heading1"/>
      </w:pPr>
      <w:r w:rsidRPr="000665B0">
        <w:t xml:space="preserve">Fail IMU BIT – Causes trouble in the IMU processor for the given time span. A </w:t>
      </w:r>
      <w:r w:rsidR="001C6D19" w:rsidRPr="000665B0">
        <w:t>109E</w:t>
      </w:r>
      <w:r w:rsidRPr="000665B0">
        <w:t xml:space="preserve"> missile may try to report this error, but a Block III cannot. Regardless of missile baseline, TSRT does not model the missile divergence from the preplanned route.</w:t>
      </w:r>
    </w:p>
    <w:p w14:paraId="2DED9EB5" w14:textId="77777777" w:rsidR="00282578" w:rsidRPr="000665B0" w:rsidRDefault="00282578" w:rsidP="006D5A65">
      <w:pPr>
        <w:pStyle w:val="Heading1"/>
      </w:pPr>
      <w:r w:rsidRPr="000665B0">
        <w:t xml:space="preserve">Fail Radar Altimeter BIT – Causes trouble in the Radar Altimeter for the given time span. A </w:t>
      </w:r>
      <w:r w:rsidR="001C6D19" w:rsidRPr="000665B0">
        <w:t>109E</w:t>
      </w:r>
      <w:r w:rsidRPr="000665B0">
        <w:t xml:space="preserve"> missile may try to report this error, but a Block III cannot. Regardless of missile baseline, TSRT does not model the missile divergence from the preplanned route.</w:t>
      </w:r>
    </w:p>
    <w:p w14:paraId="0FEE6238" w14:textId="77777777" w:rsidR="00282578" w:rsidRPr="000665B0" w:rsidRDefault="00282578" w:rsidP="006D5A65">
      <w:pPr>
        <w:pStyle w:val="Heading1"/>
      </w:pPr>
      <w:r w:rsidRPr="000665B0">
        <w:t xml:space="preserve">Fail Air Data Module BIT – Causes trouble in the Air Data Module for the given time span. A </w:t>
      </w:r>
      <w:r w:rsidR="001C6D19" w:rsidRPr="000665B0">
        <w:t>109E</w:t>
      </w:r>
      <w:r w:rsidRPr="000665B0">
        <w:t xml:space="preserve"> missile may try to report this error, but a Block III cannot. Regardless of missile baseline, TSRT does not model the missile divergence from the preplanned route.</w:t>
      </w:r>
    </w:p>
    <w:p w14:paraId="32994D64" w14:textId="612F5EB4" w:rsidR="00282578" w:rsidRPr="000665B0" w:rsidRDefault="00282578" w:rsidP="006D5A65">
      <w:pPr>
        <w:pStyle w:val="Heading1"/>
      </w:pPr>
      <w:r w:rsidRPr="000665B0">
        <w:t>Fail Transition To Cruise (Observed) – If the start time of this complication is before the booster-drop, the missile will fail to transition to cruise, and the launching FRU will notice. This may trigger the launching of a spare missile</w:t>
      </w:r>
      <w:r w:rsidR="00874C5C" w:rsidRPr="000665B0">
        <w:t xml:space="preserve"> (see </w:t>
      </w:r>
      <w:hyperlink w:anchor="_Spare_Missiles" w:history="1">
        <w:r w:rsidR="00874C5C" w:rsidRPr="000665B0">
          <w:rPr>
            <w:rStyle w:val="Hyperlink"/>
            <w:szCs w:val="24"/>
          </w:rPr>
          <w:t xml:space="preserve">Section </w:t>
        </w:r>
        <w:r w:rsidR="004231CC">
          <w:rPr>
            <w:rStyle w:val="Hyperlink"/>
            <w:szCs w:val="24"/>
          </w:rPr>
          <w:lastRenderedPageBreak/>
          <w:t>5.37</w:t>
        </w:r>
        <w:r w:rsidR="00874C5C" w:rsidRPr="000665B0">
          <w:rPr>
            <w:rStyle w:val="Hyperlink"/>
            <w:szCs w:val="24"/>
          </w:rPr>
          <w:t>.</w:t>
        </w:r>
        <w:r w:rsidR="00EF1CAE" w:rsidRPr="000665B0">
          <w:rPr>
            <w:rStyle w:val="Hyperlink"/>
            <w:szCs w:val="24"/>
          </w:rPr>
          <w:t>16</w:t>
        </w:r>
        <w:r w:rsidR="00874C5C" w:rsidRPr="000665B0">
          <w:rPr>
            <w:rStyle w:val="Hyperlink"/>
            <w:szCs w:val="24"/>
          </w:rPr>
          <w:t>.3</w:t>
        </w:r>
      </w:hyperlink>
      <w:r w:rsidR="00874C5C" w:rsidRPr="000665B0">
        <w:t>)</w:t>
      </w:r>
      <w:r w:rsidRPr="000665B0">
        <w:t xml:space="preserve"> and the appropriate reporting in LER, PLROs, MLOSRF-Ts, etc. </w:t>
      </w:r>
    </w:p>
    <w:p w14:paraId="3E3AD0AB" w14:textId="55D26406" w:rsidR="00282578" w:rsidRPr="000665B0" w:rsidRDefault="00282578" w:rsidP="006D5A65">
      <w:pPr>
        <w:pStyle w:val="Heading1"/>
      </w:pPr>
      <w:r w:rsidRPr="000665B0">
        <w:t xml:space="preserve">Fail Transition To Cruise (Unobserved) – If the start time of this complication is before the booster-drop, the missile will fail to transition to cruise, and the launching FRU will </w:t>
      </w:r>
      <w:r w:rsidRPr="000665B0">
        <w:rPr>
          <w:u w:val="single"/>
        </w:rPr>
        <w:t>fail to notice</w:t>
      </w:r>
      <w:r w:rsidRPr="000665B0">
        <w:t>.</w:t>
      </w:r>
      <w:r w:rsidR="00F303DA" w:rsidRPr="000665B0">
        <w:t xml:space="preserve"> </w:t>
      </w:r>
      <w:r w:rsidRPr="000665B0">
        <w:t xml:space="preserve">The FRU will not report the failure in LER, PLROs, </w:t>
      </w:r>
      <w:r w:rsidR="001E21F9" w:rsidRPr="000665B0">
        <w:br/>
      </w:r>
      <w:r w:rsidRPr="000665B0">
        <w:t>MLOSRF-Ts, etc.</w:t>
      </w:r>
    </w:p>
    <w:p w14:paraId="7163F3B4" w14:textId="77777777" w:rsidR="00282578" w:rsidRPr="000665B0" w:rsidRDefault="00282578" w:rsidP="006D5A65">
      <w:pPr>
        <w:pStyle w:val="Heading1"/>
      </w:pPr>
      <w:r w:rsidRPr="000665B0">
        <w:t>High Fuel Usage – During the time span specified the missile will use 1% more fuel than normal.</w:t>
      </w:r>
      <w:r w:rsidR="00F303DA" w:rsidRPr="000665B0">
        <w:t xml:space="preserve"> </w:t>
      </w:r>
      <w:r w:rsidRPr="000665B0">
        <w:t xml:space="preserve">If the missile runs out of fuel TSRT will crash the missile. </w:t>
      </w:r>
    </w:p>
    <w:p w14:paraId="22893A73" w14:textId="77777777" w:rsidR="00282578" w:rsidRPr="000665B0" w:rsidRDefault="00282578" w:rsidP="006D5A65">
      <w:pPr>
        <w:pStyle w:val="Heading1"/>
      </w:pPr>
      <w:bookmarkStart w:id="7055" w:name="_Hlk103173346"/>
      <w:r w:rsidRPr="000665B0">
        <w:t>Kill Missile Anytime In Flight – Causes the missile to crash at its current location at the specified complication start time. There is no time for H&amp;S messages to be sent or IMMMs to be answered so there is no</w:t>
      </w:r>
      <w:r w:rsidRPr="000665B0" w:rsidDel="00EB1F8B">
        <w:t xml:space="preserve"> </w:t>
      </w:r>
      <w:r w:rsidRPr="000665B0">
        <w:t xml:space="preserve">Block III or IV difference in this behavior. At this point, TSRT displays indicate the missile as crashed, but MDS/TTWCS may still show it enroute to target. </w:t>
      </w:r>
    </w:p>
    <w:p w14:paraId="05942393" w14:textId="457B051C" w:rsidR="00282578" w:rsidRPr="000665B0" w:rsidRDefault="00282578" w:rsidP="006D5A65">
      <w:pPr>
        <w:pStyle w:val="Heading2"/>
      </w:pPr>
      <w:r w:rsidRPr="000665B0">
        <w:t>If a BIT failure is meant to degrade mission achievability in the rehearsal, and not just scare the operator</w:t>
      </w:r>
      <w:r w:rsidR="00F17A3E" w:rsidRPr="000665B0">
        <w:t>,</w:t>
      </w:r>
      <w:r w:rsidRPr="000665B0">
        <w:t xml:space="preserve"> such a BIT failure should be followed by a “Kill Missile Anytime In Flight” complication.</w:t>
      </w:r>
    </w:p>
    <w:bookmarkEnd w:id="7055"/>
    <w:p w14:paraId="1F25710E" w14:textId="4BFFEC63" w:rsidR="00282578" w:rsidRPr="000665B0" w:rsidRDefault="00282578" w:rsidP="006D5A65">
      <w:pPr>
        <w:pStyle w:val="Heading1"/>
      </w:pPr>
      <w:r w:rsidRPr="000665B0">
        <w:t>Fail Missile At Launch – If the complication start time is set for before missile launch is attempted the missile will fail to launch, and, if appropriate the FRU will attempt to launch a spare</w:t>
      </w:r>
      <w:r w:rsidR="00874C5C" w:rsidRPr="000665B0">
        <w:t xml:space="preserve"> (see </w:t>
      </w:r>
      <w:hyperlink w:anchor="_Spare_Missiles" w:history="1">
        <w:r w:rsidR="00874C5C" w:rsidRPr="000665B0">
          <w:rPr>
            <w:rStyle w:val="Hyperlink"/>
            <w:szCs w:val="24"/>
          </w:rPr>
          <w:t xml:space="preserve">Section </w:t>
        </w:r>
        <w:r w:rsidR="004231CC">
          <w:rPr>
            <w:rStyle w:val="Hyperlink"/>
            <w:szCs w:val="24"/>
          </w:rPr>
          <w:t>5.37</w:t>
        </w:r>
        <w:r w:rsidR="00874C5C" w:rsidRPr="000665B0">
          <w:rPr>
            <w:rStyle w:val="Hyperlink"/>
            <w:szCs w:val="24"/>
          </w:rPr>
          <w:t>.</w:t>
        </w:r>
        <w:r w:rsidR="00EF1CAE" w:rsidRPr="000665B0">
          <w:rPr>
            <w:rStyle w:val="Hyperlink"/>
            <w:szCs w:val="24"/>
          </w:rPr>
          <w:t>16</w:t>
        </w:r>
        <w:r w:rsidR="00874C5C" w:rsidRPr="000665B0">
          <w:rPr>
            <w:rStyle w:val="Hyperlink"/>
            <w:szCs w:val="24"/>
          </w:rPr>
          <w:t>.3</w:t>
        </w:r>
      </w:hyperlink>
      <w:r w:rsidR="00874C5C" w:rsidRPr="000665B0">
        <w:t>)</w:t>
      </w:r>
      <w:r w:rsidRPr="000665B0">
        <w:t>. If the start time is after</w:t>
      </w:r>
      <w:r w:rsidR="00A4024F" w:rsidRPr="000665B0">
        <w:t xml:space="preserve"> the</w:t>
      </w:r>
      <w:r w:rsidRPr="000665B0">
        <w:t xml:space="preserve"> launch attempt, this complication has no effect.</w:t>
      </w:r>
    </w:p>
    <w:p w14:paraId="7A6EF7D4" w14:textId="77777777" w:rsidR="00282578" w:rsidRPr="000665B0" w:rsidRDefault="00282578" w:rsidP="006D5A65">
      <w:pPr>
        <w:pStyle w:val="Heading1"/>
      </w:pPr>
      <w:r w:rsidRPr="000665B0">
        <w:t xml:space="preserve">Fail PST – </w:t>
      </w:r>
      <w:r w:rsidR="00A4024F" w:rsidRPr="000665B0">
        <w:t>This complication puts the missile into a degraded state beginning at the complication start time. It will take the next available PST divert route, if any</w:t>
      </w:r>
      <w:r w:rsidRPr="000665B0">
        <w:t xml:space="preserve">. A </w:t>
      </w:r>
      <w:r w:rsidR="001C6D19" w:rsidRPr="000665B0">
        <w:t>109E</w:t>
      </w:r>
      <w:r w:rsidRPr="000665B0">
        <w:t xml:space="preserve"> missile may report the failure, if so configured, but a Block III cannot. Regardless of missile baseline, TSRT does not model the missile divergence from the preplanned route.</w:t>
      </w:r>
    </w:p>
    <w:p w14:paraId="0E2686BD" w14:textId="77777777" w:rsidR="00282578" w:rsidRPr="000665B0" w:rsidRDefault="00282578" w:rsidP="006D5A65">
      <w:pPr>
        <w:pStyle w:val="Heading1"/>
      </w:pPr>
      <w:r w:rsidRPr="000665B0">
        <w:t>Launch Selected Missile Early/Late – If the complication start time is set before the missile’s scheduled launch time the missile’s scheduled launch time will be rescheduled as specified in a range from 5 minutes earlier to 10 minutes later.</w:t>
      </w:r>
      <w:r w:rsidR="00F303DA" w:rsidRPr="000665B0">
        <w:t xml:space="preserve"> </w:t>
      </w:r>
      <w:r w:rsidRPr="000665B0">
        <w:t>If the complication start time is scheduled later than the missile’s scheduled launch time the complication will have no effect. If multiple complications to launch a missile early or late are in effect at the missile’s scheduled launch time, the time shifts will be added to each other to determine the total time shift.</w:t>
      </w:r>
    </w:p>
    <w:p w14:paraId="5126FFC9" w14:textId="05677A36" w:rsidR="00F113AB" w:rsidRPr="000665B0" w:rsidRDefault="00F113AB" w:rsidP="00BD4482">
      <w:pPr>
        <w:pStyle w:val="Heading4"/>
      </w:pPr>
      <w:bookmarkStart w:id="7056" w:name="_TSN_Complications"/>
      <w:bookmarkEnd w:id="7056"/>
      <w:r w:rsidRPr="000665B0">
        <w:t>TSN Complications</w:t>
      </w:r>
    </w:p>
    <w:p w14:paraId="2836DF37" w14:textId="76C1E525" w:rsidR="00F113AB" w:rsidRPr="000665B0" w:rsidRDefault="00F113AB" w:rsidP="00F113AB">
      <w:r w:rsidRPr="000665B0">
        <w:t>System-wide complications for TSN comms may be created.</w:t>
      </w:r>
    </w:p>
    <w:p w14:paraId="5C1E1A5E" w14:textId="77777777" w:rsidR="00F113AB" w:rsidRPr="000665B0" w:rsidRDefault="00F113AB" w:rsidP="006D5A65">
      <w:pPr>
        <w:pStyle w:val="Heading2"/>
      </w:pPr>
      <w:r w:rsidRPr="000665B0">
        <w:lastRenderedPageBreak/>
        <w:t>Navigate to the Scenario Director.</w:t>
      </w:r>
    </w:p>
    <w:p w14:paraId="09E67CBE" w14:textId="77777777" w:rsidR="00F113AB" w:rsidRPr="000665B0" w:rsidRDefault="00F113AB" w:rsidP="006D5A65">
      <w:pPr>
        <w:pStyle w:val="Heading2"/>
      </w:pPr>
      <w:r w:rsidRPr="000665B0">
        <w:t>Ensure that the Gantt chart is visible.</w:t>
      </w:r>
    </w:p>
    <w:p w14:paraId="6A4C2A69" w14:textId="29AA1E45" w:rsidR="00F113AB" w:rsidRPr="000665B0" w:rsidRDefault="00F113AB" w:rsidP="006D5A65">
      <w:pPr>
        <w:pStyle w:val="Heading2"/>
      </w:pPr>
      <w:r w:rsidRPr="000665B0">
        <w:t xml:space="preserve">From the Gantt menu, ensure that the TSN </w:t>
      </w:r>
      <w:r w:rsidR="004C1898" w:rsidRPr="000665B0">
        <w:t>Comms</w:t>
      </w:r>
      <w:r w:rsidRPr="000665B0">
        <w:t xml:space="preserve"> menu item </w:t>
      </w:r>
      <w:r w:rsidR="004C1898" w:rsidRPr="000665B0">
        <w:t>is</w:t>
      </w:r>
      <w:r w:rsidRPr="000665B0">
        <w:t xml:space="preserve"> checked.</w:t>
      </w:r>
    </w:p>
    <w:p w14:paraId="0703F07D" w14:textId="77777777" w:rsidR="00F113AB" w:rsidRPr="000665B0" w:rsidRDefault="00F113AB" w:rsidP="006D5A65">
      <w:pPr>
        <w:pStyle w:val="Heading2"/>
      </w:pPr>
      <w:r w:rsidRPr="000665B0">
        <w:t>For TSN ACA: Right-click on the TSN ACA Gantt line and select Add TSN ACA Complication.</w:t>
      </w:r>
    </w:p>
    <w:p w14:paraId="3D2DA5EE" w14:textId="77777777" w:rsidR="00F113AB" w:rsidRPr="000665B0" w:rsidRDefault="00F113AB" w:rsidP="00F113AB">
      <w:pPr>
        <w:pStyle w:val="number020500"/>
        <w:ind w:left="0" w:firstLine="0"/>
        <w:jc w:val="center"/>
      </w:pPr>
      <w:r w:rsidRPr="000665B0">
        <w:rPr>
          <w:noProof/>
        </w:rPr>
        <w:drawing>
          <wp:inline distT="0" distB="0" distL="0" distR="0" wp14:anchorId="32AD0926" wp14:editId="574CB662">
            <wp:extent cx="4114800" cy="512064"/>
            <wp:effectExtent l="0" t="0" r="0" b="0"/>
            <wp:docPr id="1417" name="Picture 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512064"/>
                    </a:xfrm>
                    <a:prstGeom prst="rect">
                      <a:avLst/>
                    </a:prstGeom>
                  </pic:spPr>
                </pic:pic>
              </a:graphicData>
            </a:graphic>
          </wp:inline>
        </w:drawing>
      </w:r>
    </w:p>
    <w:p w14:paraId="1B436FFC" w14:textId="77777777" w:rsidR="00F113AB" w:rsidRPr="000665B0" w:rsidRDefault="00F113AB" w:rsidP="006D5A65">
      <w:pPr>
        <w:pStyle w:val="Heading1"/>
      </w:pPr>
      <w:r w:rsidRPr="000665B0">
        <w:t xml:space="preserve">The </w:t>
      </w:r>
      <w:r w:rsidRPr="000665B0">
        <w:rPr>
          <w:i/>
        </w:rPr>
        <w:t>Complication for TSN ACA</w:t>
      </w:r>
      <w:r w:rsidRPr="000665B0">
        <w:t xml:space="preserve"> window is displayed.</w:t>
      </w:r>
    </w:p>
    <w:p w14:paraId="052BC5D5" w14:textId="77777777" w:rsidR="00F113AB" w:rsidRPr="000665B0" w:rsidRDefault="00F113AB" w:rsidP="00F113AB">
      <w:pPr>
        <w:jc w:val="center"/>
      </w:pPr>
      <w:r w:rsidRPr="000665B0">
        <w:rPr>
          <w:noProof/>
        </w:rPr>
        <w:drawing>
          <wp:inline distT="0" distB="0" distL="0" distR="0" wp14:anchorId="707B4D54" wp14:editId="6A7129C8">
            <wp:extent cx="4114800" cy="1005840"/>
            <wp:effectExtent l="0" t="0" r="0" b="3810"/>
            <wp:docPr id="1409" name="Picture 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1005840"/>
                    </a:xfrm>
                    <a:prstGeom prst="rect">
                      <a:avLst/>
                    </a:prstGeom>
                  </pic:spPr>
                </pic:pic>
              </a:graphicData>
            </a:graphic>
          </wp:inline>
        </w:drawing>
      </w:r>
    </w:p>
    <w:p w14:paraId="7B512117" w14:textId="15A66132" w:rsidR="00F113AB" w:rsidRPr="000665B0" w:rsidRDefault="00F113AB" w:rsidP="00A0163E">
      <w:pPr>
        <w:ind w:left="1080"/>
      </w:pPr>
      <w:r w:rsidRPr="000665B0">
        <w:t>Select one of the following from the pulldown menu.</w:t>
      </w:r>
    </w:p>
    <w:p w14:paraId="726F6FB4" w14:textId="38ACE1D0" w:rsidR="00F113AB" w:rsidRPr="000665B0" w:rsidRDefault="00F113AB" w:rsidP="006D5A65">
      <w:pPr>
        <w:pStyle w:val="Heading1"/>
      </w:pPr>
      <w:r w:rsidRPr="000665B0">
        <w:t xml:space="preserve">Fail TSN Comms – Causes all TSN messages to be dropped </w:t>
      </w:r>
      <w:r w:rsidR="00C11FE8" w:rsidRPr="000665B0">
        <w:t xml:space="preserve">within the entire POB </w:t>
      </w:r>
      <w:r w:rsidRPr="000665B0">
        <w:t>during the given time span.</w:t>
      </w:r>
    </w:p>
    <w:p w14:paraId="381D5270" w14:textId="42F2FD67" w:rsidR="00F113AB" w:rsidRPr="000665B0" w:rsidRDefault="00F113AB" w:rsidP="006D5A65">
      <w:pPr>
        <w:pStyle w:val="Heading1"/>
      </w:pPr>
      <w:r w:rsidRPr="000665B0">
        <w:t xml:space="preserve">Delay All TSN Messages – Causes all TSN messages to be delayed </w:t>
      </w:r>
      <w:r w:rsidR="00C11FE8" w:rsidRPr="000665B0">
        <w:t xml:space="preserve">within the entire POB </w:t>
      </w:r>
      <w:r w:rsidRPr="000665B0">
        <w:t xml:space="preserve">by a specified amount of time (0–2 minutes). This delay is in addition to any TSN lag specified on the Strike Rehearsal Options window’s </w:t>
      </w:r>
      <w:r w:rsidRPr="000665B0">
        <w:rPr>
          <w:i/>
        </w:rPr>
        <w:t>Comms Configuration</w:t>
      </w:r>
      <w:r w:rsidRPr="000665B0">
        <w:t xml:space="preserve"> tab (see </w:t>
      </w:r>
      <w:hyperlink w:anchor="_Strike_Rehearsal_Options" w:history="1">
        <w:r w:rsidRPr="000665B0">
          <w:rPr>
            <w:rStyle w:val="Hyperlink"/>
            <w:rFonts w:ascii="Times New Roman" w:hAnsi="Times New Roman"/>
            <w:szCs w:val="24"/>
          </w:rPr>
          <w:t xml:space="preserve">Section </w:t>
        </w:r>
        <w:r w:rsidR="004231CC">
          <w:rPr>
            <w:rStyle w:val="Hyperlink"/>
            <w:rFonts w:ascii="Times New Roman" w:hAnsi="Times New Roman"/>
            <w:szCs w:val="24"/>
          </w:rPr>
          <w:t>5.38</w:t>
        </w:r>
        <w:r w:rsidRPr="000665B0">
          <w:rPr>
            <w:rStyle w:val="Hyperlink"/>
            <w:rFonts w:ascii="Times New Roman" w:hAnsi="Times New Roman"/>
            <w:szCs w:val="24"/>
          </w:rPr>
          <w:t>.1</w:t>
        </w:r>
      </w:hyperlink>
      <w:r w:rsidRPr="000665B0">
        <w:t>). If overlapping Delay All TSN Messages complications are in effect, the longest delay is used. The delays from the overlapping complications are not added to one another.</w:t>
      </w:r>
    </w:p>
    <w:p w14:paraId="57F06AE1" w14:textId="5CE0B192" w:rsidR="00F113AB" w:rsidRPr="000665B0" w:rsidRDefault="00F113AB" w:rsidP="006D5A65">
      <w:pPr>
        <w:pStyle w:val="Heading1"/>
      </w:pPr>
      <w:r w:rsidRPr="000665B0">
        <w:t xml:space="preserve">Fail TSN Comms in Area – </w:t>
      </w:r>
      <w:r w:rsidR="00185616" w:rsidRPr="000665B0">
        <w:t>Fails all TSN messages when missiles enter the user-defined geographical area (Set Area button)</w:t>
      </w:r>
      <w:r w:rsidR="00C11FE8" w:rsidRPr="000665B0">
        <w:t xml:space="preserve"> that is contained within the POB</w:t>
      </w:r>
      <w:r w:rsidR="00185616" w:rsidRPr="000665B0">
        <w:t>.</w:t>
      </w:r>
    </w:p>
    <w:p w14:paraId="212E5D27" w14:textId="5F7A2302" w:rsidR="00E819B9" w:rsidRPr="000665B0" w:rsidRDefault="005451E0" w:rsidP="006D5A65">
      <w:pPr>
        <w:pStyle w:val="Heading1"/>
      </w:pPr>
      <w:r w:rsidRPr="000665B0">
        <w:t xml:space="preserve">The TSN ACA complication causes a Comms blackout period that is shown on the SMD’s network panel (see </w:t>
      </w:r>
      <w:hyperlink w:anchor="_TSN_Comms_Blackout" w:history="1">
        <w:r w:rsidR="00E036B6" w:rsidRPr="000665B0">
          <w:rPr>
            <w:rStyle w:val="Hyperlink"/>
            <w:rFonts w:ascii="Times New Roman" w:hAnsi="Times New Roman"/>
            <w:szCs w:val="24"/>
          </w:rPr>
          <w:t xml:space="preserve">Section </w:t>
        </w:r>
        <w:r w:rsidR="004231CC">
          <w:rPr>
            <w:rStyle w:val="Hyperlink"/>
            <w:rFonts w:ascii="Times New Roman" w:hAnsi="Times New Roman"/>
            <w:szCs w:val="24"/>
          </w:rPr>
          <w:t>5.35</w:t>
        </w:r>
        <w:r w:rsidRPr="000665B0">
          <w:rPr>
            <w:rStyle w:val="Hyperlink"/>
            <w:rFonts w:ascii="Times New Roman" w:hAnsi="Times New Roman"/>
            <w:szCs w:val="24"/>
          </w:rPr>
          <w:t>.3.1.1.1.2</w:t>
        </w:r>
      </w:hyperlink>
      <w:r w:rsidRPr="000665B0">
        <w:t>).</w:t>
      </w:r>
    </w:p>
    <w:p w14:paraId="3D410B8F" w14:textId="0485FDC7" w:rsidR="00F113AB" w:rsidRPr="000665B0" w:rsidRDefault="00F113AB" w:rsidP="006D5A65">
      <w:pPr>
        <w:pStyle w:val="Heading2"/>
      </w:pPr>
      <w:r w:rsidRPr="000665B0">
        <w:t xml:space="preserve">For TSN DAMA: Right-click on the TSN </w:t>
      </w:r>
      <w:r w:rsidR="00050AE2" w:rsidRPr="000665B0">
        <w:t>DAMA</w:t>
      </w:r>
      <w:r w:rsidRPr="000665B0">
        <w:t xml:space="preserve"> Gantt line and select Add TSN DAMA Complication.</w:t>
      </w:r>
    </w:p>
    <w:p w14:paraId="03655448" w14:textId="77777777" w:rsidR="00F113AB" w:rsidRPr="000665B0" w:rsidRDefault="00F113AB" w:rsidP="00F113AB">
      <w:pPr>
        <w:pStyle w:val="number020500"/>
        <w:ind w:left="0" w:firstLine="0"/>
        <w:jc w:val="center"/>
      </w:pPr>
      <w:r w:rsidRPr="000665B0">
        <w:rPr>
          <w:noProof/>
        </w:rPr>
        <w:drawing>
          <wp:inline distT="0" distB="0" distL="0" distR="0" wp14:anchorId="09AE4B0C" wp14:editId="7A1F1B0F">
            <wp:extent cx="4114800" cy="49377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l="1188"/>
                    <a:stretch/>
                  </pic:blipFill>
                  <pic:spPr bwMode="auto">
                    <a:xfrm>
                      <a:off x="0" y="0"/>
                      <a:ext cx="4114800" cy="493776"/>
                    </a:xfrm>
                    <a:prstGeom prst="rect">
                      <a:avLst/>
                    </a:prstGeom>
                    <a:ln>
                      <a:noFill/>
                    </a:ln>
                    <a:extLst>
                      <a:ext uri="{53640926-AAD7-44D8-BBD7-CCE9431645EC}">
                        <a14:shadowObscured xmlns:a14="http://schemas.microsoft.com/office/drawing/2010/main"/>
                      </a:ext>
                    </a:extLst>
                  </pic:spPr>
                </pic:pic>
              </a:graphicData>
            </a:graphic>
          </wp:inline>
        </w:drawing>
      </w:r>
    </w:p>
    <w:p w14:paraId="615EEDC6" w14:textId="77777777" w:rsidR="00F113AB" w:rsidRPr="000665B0" w:rsidRDefault="00F113AB" w:rsidP="006D5A65">
      <w:pPr>
        <w:pStyle w:val="Heading1"/>
      </w:pPr>
      <w:r w:rsidRPr="000665B0">
        <w:lastRenderedPageBreak/>
        <w:t xml:space="preserve">The </w:t>
      </w:r>
      <w:r w:rsidRPr="000665B0">
        <w:rPr>
          <w:i/>
        </w:rPr>
        <w:t>Complication for TSN DAMA</w:t>
      </w:r>
      <w:r w:rsidRPr="000665B0">
        <w:t xml:space="preserve"> window is displayed.</w:t>
      </w:r>
    </w:p>
    <w:p w14:paraId="11D4B7CC" w14:textId="77777777" w:rsidR="00F113AB" w:rsidRPr="000665B0" w:rsidRDefault="00F113AB" w:rsidP="00F113AB">
      <w:pPr>
        <w:jc w:val="center"/>
      </w:pPr>
      <w:r w:rsidRPr="000665B0">
        <w:rPr>
          <w:noProof/>
        </w:rPr>
        <w:drawing>
          <wp:inline distT="0" distB="0" distL="0" distR="0" wp14:anchorId="53B67B93" wp14:editId="14D1F32F">
            <wp:extent cx="4114800" cy="1014984"/>
            <wp:effectExtent l="0" t="0" r="0" b="0"/>
            <wp:docPr id="1412" name="Picture 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1014984"/>
                    </a:xfrm>
                    <a:prstGeom prst="rect">
                      <a:avLst/>
                    </a:prstGeom>
                  </pic:spPr>
                </pic:pic>
              </a:graphicData>
            </a:graphic>
          </wp:inline>
        </w:drawing>
      </w:r>
    </w:p>
    <w:p w14:paraId="289BD20C" w14:textId="136941EB" w:rsidR="00F113AB" w:rsidRPr="000665B0" w:rsidRDefault="00F113AB" w:rsidP="00A0163E">
      <w:pPr>
        <w:ind w:left="1080"/>
      </w:pPr>
      <w:r w:rsidRPr="000665B0">
        <w:t xml:space="preserve">Select one of the following from the pulldown menu. </w:t>
      </w:r>
    </w:p>
    <w:p w14:paraId="7CD5CE07" w14:textId="6CD2ECC4" w:rsidR="00F113AB" w:rsidRPr="000665B0" w:rsidRDefault="00F113AB" w:rsidP="006D5A65">
      <w:pPr>
        <w:pStyle w:val="Heading1"/>
      </w:pPr>
      <w:r w:rsidRPr="000665B0">
        <w:t>Fail TSN Comms – Causes all TSN messages to be dropped</w:t>
      </w:r>
      <w:r w:rsidR="00C11FE8" w:rsidRPr="000665B0">
        <w:t xml:space="preserve"> within the entire POB</w:t>
      </w:r>
      <w:r w:rsidRPr="000665B0">
        <w:t xml:space="preserve"> during the given time span.</w:t>
      </w:r>
    </w:p>
    <w:p w14:paraId="314DE12C" w14:textId="26C7A19F" w:rsidR="00F113AB" w:rsidRPr="000665B0" w:rsidRDefault="00F113AB" w:rsidP="006D5A65">
      <w:pPr>
        <w:pStyle w:val="Heading1"/>
      </w:pPr>
      <w:r w:rsidRPr="000665B0">
        <w:t>Delay All TSN Messages – Causes all TSN messages to be delayed</w:t>
      </w:r>
      <w:r w:rsidR="00C11FE8" w:rsidRPr="000665B0">
        <w:t xml:space="preserve"> within the entire POB</w:t>
      </w:r>
      <w:r w:rsidRPr="000665B0">
        <w:t xml:space="preserve"> by a specified amount of time (0–2 minutes). This delay is in addition to any TSN lag specified on the Strike Rehearsal Options window’s </w:t>
      </w:r>
      <w:r w:rsidRPr="000665B0">
        <w:rPr>
          <w:i/>
        </w:rPr>
        <w:t>Comms Configuration</w:t>
      </w:r>
      <w:r w:rsidRPr="000665B0">
        <w:t xml:space="preserve"> tab (see </w:t>
      </w:r>
      <w:hyperlink w:anchor="_Strike_Rehearsal_Options" w:history="1">
        <w:r w:rsidRPr="000665B0">
          <w:rPr>
            <w:rStyle w:val="Hyperlink"/>
          </w:rPr>
          <w:t xml:space="preserve">Section </w:t>
        </w:r>
        <w:r w:rsidR="004231CC">
          <w:rPr>
            <w:rStyle w:val="Hyperlink"/>
          </w:rPr>
          <w:t>5.38</w:t>
        </w:r>
        <w:r w:rsidRPr="000665B0">
          <w:rPr>
            <w:rStyle w:val="Hyperlink"/>
          </w:rPr>
          <w:t>.1</w:t>
        </w:r>
      </w:hyperlink>
      <w:r w:rsidRPr="000665B0">
        <w:t>). If overlapping Delay All TSN Messages complications are in effect, the longest delay is used. The delays from the overlapping complications are not added to one another.</w:t>
      </w:r>
    </w:p>
    <w:p w14:paraId="13C42DED" w14:textId="4613B993" w:rsidR="00F113AB" w:rsidRPr="000665B0" w:rsidRDefault="00F113AB" w:rsidP="006D5A65">
      <w:pPr>
        <w:pStyle w:val="Heading1"/>
      </w:pPr>
      <w:r w:rsidRPr="000665B0">
        <w:t xml:space="preserve">Fail TSN Comms in Area – </w:t>
      </w:r>
      <w:r w:rsidR="00185616" w:rsidRPr="000665B0">
        <w:t>Fails all TSN messages when missiles enter the user-defined geographical area (Set Area button)</w:t>
      </w:r>
      <w:r w:rsidR="00C11FE8" w:rsidRPr="000665B0">
        <w:t xml:space="preserve"> that is contained within the POB</w:t>
      </w:r>
      <w:r w:rsidR="00185616" w:rsidRPr="000665B0">
        <w:t>.</w:t>
      </w:r>
    </w:p>
    <w:p w14:paraId="730E4484" w14:textId="6DC81FA3" w:rsidR="00F113AB" w:rsidRPr="000665B0" w:rsidRDefault="00F113AB" w:rsidP="00A0163E">
      <w:pPr>
        <w:pStyle w:val="Heading4"/>
      </w:pPr>
      <w:r w:rsidRPr="000665B0">
        <w:t>Legacy Comms (DDO Processor) Complications</w:t>
      </w:r>
    </w:p>
    <w:p w14:paraId="59C1EF4A" w14:textId="499B172C" w:rsidR="00F113AB" w:rsidRPr="000665B0" w:rsidRDefault="00F113AB" w:rsidP="00F113AB">
      <w:r w:rsidRPr="000665B0">
        <w:t xml:space="preserve">System-wide complications for </w:t>
      </w:r>
      <w:r w:rsidR="004C1898" w:rsidRPr="000665B0">
        <w:t>legacy comms (</w:t>
      </w:r>
      <w:r w:rsidRPr="000665B0">
        <w:t>DDO Processor</w:t>
      </w:r>
      <w:r w:rsidR="004C1898" w:rsidRPr="000665B0">
        <w:t>)</w:t>
      </w:r>
      <w:r w:rsidRPr="000665B0">
        <w:t xml:space="preserve"> may be created.</w:t>
      </w:r>
    </w:p>
    <w:p w14:paraId="0005DF73" w14:textId="55902A84" w:rsidR="00F113AB" w:rsidRPr="000665B0" w:rsidRDefault="00F113AB" w:rsidP="006D5A65">
      <w:pPr>
        <w:pStyle w:val="Heading1"/>
      </w:pPr>
      <w:r w:rsidRPr="000665B0">
        <w:t>Navigate to the Scenario Director.</w:t>
      </w:r>
    </w:p>
    <w:p w14:paraId="7C59F206" w14:textId="77777777" w:rsidR="00F113AB" w:rsidRPr="000665B0" w:rsidRDefault="00F113AB" w:rsidP="006D5A65">
      <w:pPr>
        <w:pStyle w:val="Heading1"/>
      </w:pPr>
      <w:r w:rsidRPr="000665B0">
        <w:t>Ensure that the Gantt chart is visible.</w:t>
      </w:r>
    </w:p>
    <w:p w14:paraId="21A6D9AD" w14:textId="6E9417C5" w:rsidR="00F113AB" w:rsidRPr="000665B0" w:rsidRDefault="00F113AB" w:rsidP="006D5A65">
      <w:pPr>
        <w:pStyle w:val="Heading1"/>
      </w:pPr>
      <w:r w:rsidRPr="000665B0">
        <w:t xml:space="preserve">From the Gantt menu, ensure that the </w:t>
      </w:r>
      <w:r w:rsidR="00050AE2" w:rsidRPr="000665B0">
        <w:t xml:space="preserve">DDO </w:t>
      </w:r>
      <w:r w:rsidR="00185616" w:rsidRPr="000665B0">
        <w:t>Comms</w:t>
      </w:r>
      <w:r w:rsidR="00050AE2" w:rsidRPr="000665B0">
        <w:t xml:space="preserve"> menu item</w:t>
      </w:r>
      <w:r w:rsidRPr="000665B0">
        <w:t xml:space="preserve"> </w:t>
      </w:r>
      <w:r w:rsidR="00050AE2" w:rsidRPr="000665B0">
        <w:t>is</w:t>
      </w:r>
      <w:r w:rsidRPr="000665B0">
        <w:t xml:space="preserve"> checked.</w:t>
      </w:r>
    </w:p>
    <w:p w14:paraId="6A3288A9" w14:textId="1A0DCC69" w:rsidR="00F113AB" w:rsidRPr="000665B0" w:rsidRDefault="00F113AB" w:rsidP="006D5A65">
      <w:pPr>
        <w:pStyle w:val="Heading1"/>
      </w:pPr>
      <w:r w:rsidRPr="000665B0">
        <w:t>Right-click on the DDO Processor Gantt line and select Add DDO Processor Complication.</w:t>
      </w:r>
    </w:p>
    <w:p w14:paraId="2FB1A917" w14:textId="77777777" w:rsidR="00F113AB" w:rsidRPr="000665B0" w:rsidRDefault="00F113AB" w:rsidP="00F113AB">
      <w:pPr>
        <w:pStyle w:val="number020500"/>
        <w:ind w:left="0" w:firstLine="0"/>
        <w:jc w:val="center"/>
      </w:pPr>
      <w:r w:rsidRPr="000665B0">
        <w:rPr>
          <w:noProof/>
        </w:rPr>
        <w:drawing>
          <wp:inline distT="0" distB="0" distL="0" distR="0" wp14:anchorId="6A3D50E2" wp14:editId="737728A4">
            <wp:extent cx="4114800" cy="48463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4114800" cy="484632"/>
                    </a:xfrm>
                    <a:prstGeom prst="rect">
                      <a:avLst/>
                    </a:prstGeom>
                    <a:ln>
                      <a:noFill/>
                    </a:ln>
                    <a:extLst>
                      <a:ext uri="{53640926-AAD7-44D8-BBD7-CCE9431645EC}">
                        <a14:shadowObscured xmlns:a14="http://schemas.microsoft.com/office/drawing/2010/main"/>
                      </a:ext>
                    </a:extLst>
                  </pic:spPr>
                </pic:pic>
              </a:graphicData>
            </a:graphic>
          </wp:inline>
        </w:drawing>
      </w:r>
    </w:p>
    <w:p w14:paraId="4DB0AE32" w14:textId="77777777" w:rsidR="00F113AB" w:rsidRPr="000665B0" w:rsidRDefault="00F113AB" w:rsidP="006D5A65">
      <w:pPr>
        <w:pStyle w:val="Heading1"/>
      </w:pPr>
      <w:r w:rsidRPr="000665B0">
        <w:t xml:space="preserve">The Complication for DDO Processor window is displayed. </w:t>
      </w:r>
    </w:p>
    <w:p w14:paraId="0E17A203" w14:textId="77777777" w:rsidR="00F113AB" w:rsidRPr="000665B0" w:rsidRDefault="00F113AB" w:rsidP="00F113AB">
      <w:pPr>
        <w:jc w:val="center"/>
      </w:pPr>
      <w:r w:rsidRPr="000665B0">
        <w:rPr>
          <w:noProof/>
        </w:rPr>
        <w:drawing>
          <wp:inline distT="0" distB="0" distL="0" distR="0" wp14:anchorId="4DF67BA1" wp14:editId="3D5F084D">
            <wp:extent cx="4114800" cy="1005840"/>
            <wp:effectExtent l="0" t="0" r="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1005840"/>
                    </a:xfrm>
                    <a:prstGeom prst="rect">
                      <a:avLst/>
                    </a:prstGeom>
                  </pic:spPr>
                </pic:pic>
              </a:graphicData>
            </a:graphic>
          </wp:inline>
        </w:drawing>
      </w:r>
    </w:p>
    <w:p w14:paraId="455E9D36" w14:textId="325819DC" w:rsidR="00F113AB" w:rsidRPr="000665B0" w:rsidRDefault="00F113AB" w:rsidP="00BD4482">
      <w:pPr>
        <w:ind w:left="1080"/>
      </w:pPr>
      <w:r w:rsidRPr="000665B0">
        <w:t xml:space="preserve">Select </w:t>
      </w:r>
      <w:r w:rsidRPr="000665B0">
        <w:rPr>
          <w:b/>
        </w:rPr>
        <w:t>Fail DDO Processing</w:t>
      </w:r>
      <w:r w:rsidRPr="000665B0">
        <w:t xml:space="preserve"> from the pulldown menu and click </w:t>
      </w:r>
      <w:r w:rsidRPr="000665B0">
        <w:rPr>
          <w:b/>
        </w:rPr>
        <w:t>OK</w:t>
      </w:r>
      <w:r w:rsidRPr="000665B0">
        <w:t xml:space="preserve">. This causes all DDO (FDU) messages to be buffered for the given time span, </w:t>
      </w:r>
      <w:r w:rsidR="000D2FE6" w:rsidRPr="000665B0">
        <w:t>simulating</w:t>
      </w:r>
      <w:r w:rsidRPr="000665B0">
        <w:t xml:space="preserve"> buffering by </w:t>
      </w:r>
      <w:r w:rsidRPr="000665B0">
        <w:lastRenderedPageBreak/>
        <w:t>a TCIP with a failed connection. When the complication ends, all buffered messages will be sent.</w:t>
      </w:r>
    </w:p>
    <w:p w14:paraId="24FD86C4" w14:textId="4BE1BB97" w:rsidR="00EF1CAE" w:rsidRPr="000665B0" w:rsidRDefault="00EF1CAE" w:rsidP="00E532FB">
      <w:pPr>
        <w:pStyle w:val="Heading3"/>
      </w:pPr>
      <w:bookmarkStart w:id="7057" w:name="_Toc507688971"/>
      <w:bookmarkStart w:id="7058" w:name="_Toc507688972"/>
      <w:bookmarkStart w:id="7059" w:name="_Toc507688973"/>
      <w:bookmarkStart w:id="7060" w:name="_Toc507688974"/>
      <w:bookmarkStart w:id="7061" w:name="_Toc507688975"/>
      <w:bookmarkStart w:id="7062" w:name="_Toc214283617"/>
      <w:bookmarkStart w:id="7063" w:name="_Toc289328983"/>
      <w:bookmarkStart w:id="7064" w:name="_Toc312332111"/>
      <w:bookmarkEnd w:id="7036"/>
      <w:bookmarkEnd w:id="7057"/>
      <w:bookmarkEnd w:id="7058"/>
      <w:bookmarkEnd w:id="7059"/>
      <w:bookmarkEnd w:id="7060"/>
      <w:bookmarkEnd w:id="7061"/>
      <w:r w:rsidRPr="000665B0">
        <w:t>Tactical Data Generator</w:t>
      </w:r>
      <w:bookmarkEnd w:id="7062"/>
    </w:p>
    <w:p w14:paraId="4B26B088" w14:textId="3FD92A73" w:rsidR="001C574D" w:rsidRPr="000665B0" w:rsidRDefault="001C574D" w:rsidP="001C574D">
      <w:pPr>
        <w:rPr>
          <w:bCs/>
        </w:rPr>
      </w:pPr>
      <w:r w:rsidRPr="000665B0">
        <w:t>The Tactical Data Generator (TDG) allows selection of a simulation to generate track data for rehearsal.</w:t>
      </w:r>
      <w:r w:rsidRPr="000665B0">
        <w:rPr>
          <w:bCs/>
        </w:rPr>
        <w:t xml:space="preserve"> </w:t>
      </w:r>
    </w:p>
    <w:p w14:paraId="093E58D2" w14:textId="3C1B33AB" w:rsidR="001C574D" w:rsidRPr="000665B0" w:rsidRDefault="001C574D" w:rsidP="006D5A65">
      <w:pPr>
        <w:pStyle w:val="Heading1"/>
      </w:pPr>
      <w:r w:rsidRPr="000665B0">
        <w:t xml:space="preserve">From the Actions menu, select Tactical Data Generator Simulations. The </w:t>
      </w:r>
      <w:r w:rsidRPr="000665B0">
        <w:rPr>
          <w:i/>
        </w:rPr>
        <w:t xml:space="preserve">TDG Simulations View </w:t>
      </w:r>
      <w:r w:rsidRPr="000665B0">
        <w:t>window is displayed.</w:t>
      </w:r>
    </w:p>
    <w:p w14:paraId="264F22EE" w14:textId="037BCD82" w:rsidR="001C574D" w:rsidRPr="000665B0" w:rsidRDefault="005140E4" w:rsidP="001C574D">
      <w:pPr>
        <w:jc w:val="center"/>
      </w:pPr>
      <w:r w:rsidRPr="000665B0">
        <w:rPr>
          <w:noProof/>
        </w:rPr>
        <w:drawing>
          <wp:inline distT="0" distB="0" distL="0" distR="0" wp14:anchorId="58570DB6" wp14:editId="34C01A9F">
            <wp:extent cx="3093442" cy="2247900"/>
            <wp:effectExtent l="0" t="0" r="0" b="0"/>
            <wp:docPr id="2309" name="Picture 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101237" cy="2253564"/>
                    </a:xfrm>
                    <a:prstGeom prst="rect">
                      <a:avLst/>
                    </a:prstGeom>
                  </pic:spPr>
                </pic:pic>
              </a:graphicData>
            </a:graphic>
          </wp:inline>
        </w:drawing>
      </w:r>
    </w:p>
    <w:p w14:paraId="42E9607A" w14:textId="7B5A9E40" w:rsidR="001C574D" w:rsidRPr="000665B0" w:rsidRDefault="001C574D" w:rsidP="006D5A65">
      <w:pPr>
        <w:pStyle w:val="Heading1"/>
      </w:pPr>
      <w:r w:rsidRPr="000665B0">
        <w:t xml:space="preserve">Select a single simulation to be used to generate the track data. </w:t>
      </w:r>
      <w:r w:rsidR="005140E4" w:rsidRPr="000665B0">
        <w:t>The Execute Simulation button is enabled.</w:t>
      </w:r>
    </w:p>
    <w:p w14:paraId="711ED398" w14:textId="236B53CA" w:rsidR="001C574D" w:rsidRPr="000665B0" w:rsidRDefault="001C574D" w:rsidP="006D5A65">
      <w:pPr>
        <w:pStyle w:val="Heading1"/>
      </w:pPr>
      <w:r w:rsidRPr="000665B0">
        <w:t>If desired, select the Send tracks to a remote server checkbox. (If not selected, the local IP address of the TSRT Scenario Director machine is used.)</w:t>
      </w:r>
    </w:p>
    <w:p w14:paraId="17D03B65" w14:textId="021A91A5" w:rsidR="001C574D" w:rsidRPr="000665B0" w:rsidRDefault="001C574D" w:rsidP="006D5A65">
      <w:pPr>
        <w:pStyle w:val="Heading1"/>
      </w:pPr>
      <w:r w:rsidRPr="000665B0">
        <w:t xml:space="preserve">The IP Address field is </w:t>
      </w:r>
      <w:r w:rsidR="005140E4" w:rsidRPr="000665B0">
        <w:t>displayed and is a required field (as denoted by the * and/or yellow background)</w:t>
      </w:r>
      <w:r w:rsidRPr="000665B0">
        <w:t xml:space="preserve">. </w:t>
      </w:r>
      <w:r w:rsidR="005140E4" w:rsidRPr="000665B0">
        <w:t>E</w:t>
      </w:r>
      <w:r w:rsidRPr="000665B0">
        <w:t>nter the target IP address of the ISAT installation of the executing TED node.</w:t>
      </w:r>
    </w:p>
    <w:p w14:paraId="6B97FB21" w14:textId="3778B473" w:rsidR="001C574D" w:rsidRPr="000665B0" w:rsidRDefault="001C574D" w:rsidP="006D5A65">
      <w:pPr>
        <w:pStyle w:val="Heading1"/>
      </w:pPr>
      <w:r w:rsidRPr="000665B0">
        <w:t>Click Execute Simulation.</w:t>
      </w:r>
    </w:p>
    <w:p w14:paraId="7E53411C" w14:textId="4A99066A" w:rsidR="00282578" w:rsidRPr="000665B0" w:rsidRDefault="00282578" w:rsidP="001C574D">
      <w:pPr>
        <w:pStyle w:val="Heading3"/>
      </w:pPr>
      <w:bookmarkStart w:id="7065" w:name="_Toc214283618"/>
      <w:r w:rsidRPr="000665B0">
        <w:t xml:space="preserve">Miscellaneous TSRT </w:t>
      </w:r>
      <w:bookmarkEnd w:id="7063"/>
      <w:bookmarkEnd w:id="7064"/>
      <w:r w:rsidR="00C9647A" w:rsidRPr="000665B0">
        <w:t>Topics</w:t>
      </w:r>
      <w:bookmarkEnd w:id="7065"/>
    </w:p>
    <w:p w14:paraId="5AF5C123" w14:textId="2BEDE303" w:rsidR="00282578" w:rsidRPr="000665B0" w:rsidRDefault="00282578" w:rsidP="00E532FB">
      <w:pPr>
        <w:pStyle w:val="Heading4"/>
      </w:pPr>
      <w:bookmarkStart w:id="7066" w:name="_Live_FRU_vs."/>
      <w:bookmarkStart w:id="7067" w:name="_Toc289328984"/>
      <w:bookmarkEnd w:id="7066"/>
      <w:r w:rsidRPr="000665B0">
        <w:t xml:space="preserve">Live FRU </w:t>
      </w:r>
      <w:r w:rsidR="00BA5239" w:rsidRPr="000665B0">
        <w:t>vs.</w:t>
      </w:r>
      <w:r w:rsidRPr="000665B0">
        <w:t xml:space="preserve"> Sim FRU </w:t>
      </w:r>
      <w:r w:rsidR="00BA5239" w:rsidRPr="000665B0">
        <w:t>vs.</w:t>
      </w:r>
      <w:r w:rsidRPr="000665B0">
        <w:t xml:space="preserve"> Real FRU</w:t>
      </w:r>
      <w:bookmarkEnd w:id="7067"/>
    </w:p>
    <w:p w14:paraId="20FF4032" w14:textId="77777777" w:rsidR="00282578" w:rsidRPr="000665B0" w:rsidRDefault="00282578" w:rsidP="00E532FB">
      <w:pPr>
        <w:keepNext/>
      </w:pPr>
      <w:r w:rsidRPr="000665B0">
        <w:t>When using TSRT, there are 3 different types of FRUs</w:t>
      </w:r>
      <w:r w:rsidR="00F37F8B" w:rsidRPr="000665B0">
        <w:t>:</w:t>
      </w:r>
    </w:p>
    <w:p w14:paraId="7B4E87E4" w14:textId="77777777" w:rsidR="00282578" w:rsidRPr="000665B0" w:rsidRDefault="00282578" w:rsidP="006D5A65">
      <w:pPr>
        <w:pStyle w:val="Heading1"/>
      </w:pPr>
      <w:r w:rsidRPr="000665B0">
        <w:t>Sim FRU:</w:t>
      </w:r>
      <w:r w:rsidR="00F303DA" w:rsidRPr="000665B0">
        <w:t xml:space="preserve"> </w:t>
      </w:r>
      <w:r w:rsidRPr="000665B0">
        <w:t>This is a FRU that is entirely simulated by TSRT. TSRT simulates the weapon control system, missiles, and all messages coming from the weapon control system and missiles.</w:t>
      </w:r>
    </w:p>
    <w:p w14:paraId="0EC02BD8" w14:textId="77777777" w:rsidR="00282578" w:rsidRPr="000665B0" w:rsidRDefault="00282578" w:rsidP="006D5A65">
      <w:pPr>
        <w:pStyle w:val="Heading1"/>
      </w:pPr>
      <w:r w:rsidRPr="000665B0">
        <w:t>Real FRU:</w:t>
      </w:r>
      <w:r w:rsidR="00F303DA" w:rsidRPr="000665B0">
        <w:t xml:space="preserve"> </w:t>
      </w:r>
      <w:r w:rsidRPr="000665B0">
        <w:t>This is a physical ship floating in the water with real missiles.</w:t>
      </w:r>
    </w:p>
    <w:p w14:paraId="7D5EB43D" w14:textId="5085C500" w:rsidR="00282578" w:rsidRPr="000665B0" w:rsidRDefault="00282578" w:rsidP="006D5A65">
      <w:pPr>
        <w:pStyle w:val="Heading1"/>
      </w:pPr>
      <w:r w:rsidRPr="000665B0">
        <w:t>Live FRU:</w:t>
      </w:r>
      <w:r w:rsidR="00F303DA" w:rsidRPr="000665B0">
        <w:t xml:space="preserve"> </w:t>
      </w:r>
      <w:r w:rsidRPr="000665B0">
        <w:t xml:space="preserve">This is a FRU that is partially simulated by TSRT. A Real FRU is in the water with a weapon control system on </w:t>
      </w:r>
      <w:r w:rsidRPr="000665B0">
        <w:lastRenderedPageBreak/>
        <w:t>board. The weapon control system is responsible for generating all outgoing messages and receiving all incoming messages. The Live FRU in TSRT will launch simulated missiles. TSRT will simulate all messages coming from the missile (</w:t>
      </w:r>
      <w:r w:rsidR="00A84349" w:rsidRPr="000665B0">
        <w:t>109E</w:t>
      </w:r>
      <w:r w:rsidRPr="000665B0">
        <w:t xml:space="preserve"> Comms Enabled Only). The TSRT Live FRU will receive messages generated on the Real FRU and will make adjustments to the strike being rehearsed based on these messages. For example: If the Real FRU sends an LER indicating that a missile has launched, the Live FRU will launch the simulated missile at the time specified in the LER. Another example: If the Real FRU sends a SPEO indicating that Missile Sequence Number 2 can’t be launched, the TSRT Live FRU will not launch Missile Sequence Number 2.</w:t>
      </w:r>
    </w:p>
    <w:p w14:paraId="35357FE6" w14:textId="77777777" w:rsidR="002A0022" w:rsidRPr="000665B0" w:rsidRDefault="002A0022" w:rsidP="002A0022">
      <w:r w:rsidRPr="000665B0">
        <w:t>When in SimLive mode, all FRUs are Sim FRUs and there are no Live FRUs, because all of the FRUs designated as live for the execution folder are modeled as Sim FRUs and none of the FRUs designated as simulated for the execution folder are modeled at all.</w:t>
      </w:r>
    </w:p>
    <w:p w14:paraId="60785838" w14:textId="602AB8D6" w:rsidR="00967C91" w:rsidRPr="000665B0" w:rsidRDefault="00967C91" w:rsidP="00967C91">
      <w:pPr>
        <w:pStyle w:val="Heading4"/>
      </w:pPr>
      <w:r w:rsidRPr="000665B0">
        <w:t>Built-In Test Failure Complications and Missile Behavior</w:t>
      </w:r>
    </w:p>
    <w:p w14:paraId="03DD48FE" w14:textId="77777777" w:rsidR="00F537B8" w:rsidRPr="000665B0" w:rsidRDefault="00F537B8" w:rsidP="00A0163E">
      <w:pPr>
        <w:pBdr>
          <w:top w:val="single" w:sz="12" w:space="1" w:color="auto"/>
          <w:left w:val="single" w:sz="12" w:space="4" w:color="auto"/>
          <w:bottom w:val="single" w:sz="12" w:space="1" w:color="auto"/>
          <w:right w:val="single" w:sz="12" w:space="4" w:color="auto"/>
        </w:pBdr>
        <w:shd w:val="clear" w:color="auto" w:fill="D9D9D9"/>
        <w:spacing w:after="60"/>
        <w:jc w:val="center"/>
        <w:rPr>
          <w:b/>
        </w:rPr>
      </w:pPr>
      <w:r w:rsidRPr="000665B0">
        <w:rPr>
          <w:b/>
        </w:rPr>
        <w:t xml:space="preserve">Note: </w:t>
      </w:r>
      <w:r w:rsidR="0009743D" w:rsidRPr="000665B0">
        <w:rPr>
          <w:b/>
        </w:rPr>
        <w:br/>
      </w:r>
      <w:r w:rsidRPr="000665B0">
        <w:rPr>
          <w:b/>
        </w:rPr>
        <w:t>TSRT does not model the behavior of a missile going off-course due to a system failure reported in the BIT fields of an H&amp;S message.</w:t>
      </w:r>
    </w:p>
    <w:p w14:paraId="5B45FA49" w14:textId="77777777" w:rsidR="00F537B8" w:rsidRPr="000665B0" w:rsidRDefault="00F537B8" w:rsidP="006D5A65">
      <w:pPr>
        <w:pStyle w:val="Heading1"/>
      </w:pPr>
      <w:r w:rsidRPr="000665B0">
        <w:t xml:space="preserve">The TSRT operator (i.e.: trainer) can inject these BIT failures to trigger (test and evaluate) the SMD display in MDS and the operators running the MDS. However, the TSRT missile model will continue to fly on-course. </w:t>
      </w:r>
    </w:p>
    <w:p w14:paraId="269F9D56" w14:textId="77777777" w:rsidR="00F537B8" w:rsidRPr="000665B0" w:rsidRDefault="00F537B8" w:rsidP="006D5A65">
      <w:pPr>
        <w:pStyle w:val="Heading1"/>
      </w:pPr>
      <w:r w:rsidRPr="000665B0">
        <w:t xml:space="preserve">The trainer may decide whether a BIT failure </w:t>
      </w:r>
      <w:r w:rsidR="00447976" w:rsidRPr="000665B0">
        <w:t xml:space="preserve">would </w:t>
      </w:r>
      <w:r w:rsidRPr="000665B0">
        <w:t>cause a missile to crash; and if so, schedule a “kill missile</w:t>
      </w:r>
      <w:r w:rsidR="00447976" w:rsidRPr="000665B0">
        <w:t xml:space="preserve"> anytime in flight</w:t>
      </w:r>
      <w:r w:rsidRPr="000665B0">
        <w:t xml:space="preserve">” </w:t>
      </w:r>
      <w:r w:rsidR="00447976" w:rsidRPr="000665B0">
        <w:t xml:space="preserve">complication </w:t>
      </w:r>
      <w:r w:rsidRPr="000665B0">
        <w:t xml:space="preserve">a few minutes after the BIT failure. </w:t>
      </w:r>
    </w:p>
    <w:p w14:paraId="5463A569" w14:textId="77777777" w:rsidR="00F537B8" w:rsidRPr="000665B0" w:rsidRDefault="00A4024F" w:rsidP="006D5A65">
      <w:pPr>
        <w:pStyle w:val="Heading1"/>
      </w:pPr>
      <w:r w:rsidRPr="000665B0">
        <w:t>There is no middle-ground for a missile that has a BIT failure but doesn’t crash immediately, thus continuing off-course</w:t>
      </w:r>
      <w:r w:rsidR="00F537B8" w:rsidRPr="000665B0">
        <w:t>.</w:t>
      </w:r>
    </w:p>
    <w:p w14:paraId="0DCD9DB1" w14:textId="19B26244" w:rsidR="00F537B8" w:rsidRPr="000665B0" w:rsidRDefault="00F537B8" w:rsidP="00F537B8">
      <w:pPr>
        <w:rPr>
          <w:szCs w:val="24"/>
        </w:rPr>
      </w:pPr>
      <w:r w:rsidRPr="000665B0">
        <w:rPr>
          <w:b/>
          <w:szCs w:val="24"/>
        </w:rPr>
        <w:t>Background:</w:t>
      </w:r>
      <w:r w:rsidR="009651B0">
        <w:rPr>
          <w:szCs w:val="24"/>
        </w:rPr>
        <w:t xml:space="preserve"> </w:t>
      </w:r>
      <w:r w:rsidRPr="000665B0">
        <w:rPr>
          <w:szCs w:val="24"/>
        </w:rPr>
        <w:t xml:space="preserve">TSRT developers were interested in modeling the missile such that it would “wander” off-course in response to various systems failures. However, at that time (2002), it was unclear which BIT failures would guarantee a deviation off mission, and which failures merely suggested the possibility of going off mission. It was also unclear how great a deviation from the preplanned route would be typical. Further, there were concerns about the impacts of the various navigation modes (DSMAC, TERCOM, GPS, Post-DSMAC, etc.) on these </w:t>
      </w:r>
      <w:r w:rsidR="00865AE2" w:rsidRPr="000665B0">
        <w:rPr>
          <w:szCs w:val="24"/>
        </w:rPr>
        <w:t>deviations,</w:t>
      </w:r>
      <w:r w:rsidRPr="000665B0">
        <w:rPr>
          <w:szCs w:val="24"/>
        </w:rPr>
        <w:t xml:space="preserve"> and the impacts of various combinations of BIT failures at key milestones in the flight.</w:t>
      </w:r>
    </w:p>
    <w:p w14:paraId="24273C09" w14:textId="6B707735" w:rsidR="00F537B8" w:rsidRPr="000665B0" w:rsidRDefault="00F537B8" w:rsidP="006D5A65">
      <w:pPr>
        <w:pStyle w:val="Heading1"/>
      </w:pPr>
      <w:r w:rsidRPr="000665B0">
        <w:t xml:space="preserve">Since TSRT is not a certified TLAM simulator, such precision was out of </w:t>
      </w:r>
      <w:r w:rsidR="00865AE2" w:rsidRPr="000665B0">
        <w:t>reach,</w:t>
      </w:r>
      <w:r w:rsidRPr="000665B0">
        <w:t xml:space="preserve"> and outside the scope of the requirements at the time.</w:t>
      </w:r>
    </w:p>
    <w:p w14:paraId="1036E99B" w14:textId="77777777" w:rsidR="00F537B8" w:rsidRPr="000665B0" w:rsidRDefault="00A4024F" w:rsidP="00A0163E">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r w:rsidR="005F7F59" w:rsidRPr="000665B0">
        <w:rPr>
          <w:b/>
        </w:rPr>
        <w:t>:</w:t>
      </w:r>
      <w:r w:rsidR="005F7F59" w:rsidRPr="000665B0">
        <w:rPr>
          <w:b/>
        </w:rPr>
        <w:br/>
      </w:r>
      <w:r w:rsidRPr="000665B0">
        <w:rPr>
          <w:b/>
        </w:rPr>
        <w:t xml:space="preserve">Even if TSRT modeled a failing missile more precisely; there would be an equivalent problem within the SMD in MDS. The geo display on the SMD would continue to show the </w:t>
      </w:r>
      <w:r w:rsidRPr="000665B0">
        <w:rPr>
          <w:b/>
        </w:rPr>
        <w:lastRenderedPageBreak/>
        <w:t>missile on (or very near) the preplanned “stick-route” even if the missile had reported going off-course. The only indication would be that the H&amp;S for the failing missile would not appear near the “stick-route”. This fact could be easily lost in the clutter of a geo display, or at low zoom levels.</w:t>
      </w:r>
    </w:p>
    <w:p w14:paraId="25ACABF6" w14:textId="6201E645" w:rsidR="00282578" w:rsidRPr="000665B0" w:rsidRDefault="00282578" w:rsidP="00B35EE5">
      <w:pPr>
        <w:pStyle w:val="Heading4"/>
      </w:pPr>
      <w:bookmarkStart w:id="7068" w:name="_Spare_Missiles"/>
      <w:bookmarkStart w:id="7069" w:name="_Toc289328985"/>
      <w:bookmarkStart w:id="7070" w:name="_Hlk44420318"/>
      <w:bookmarkEnd w:id="7068"/>
      <w:r w:rsidRPr="000665B0">
        <w:t>Spare Missiles</w:t>
      </w:r>
      <w:bookmarkEnd w:id="7069"/>
    </w:p>
    <w:p w14:paraId="6C4DCF3C" w14:textId="549A2869" w:rsidR="00282578" w:rsidRPr="000665B0" w:rsidRDefault="00282578" w:rsidP="006D5A65">
      <w:pPr>
        <w:pStyle w:val="Heading1"/>
        <w:rPr>
          <w:color w:val="000080"/>
        </w:rPr>
      </w:pPr>
      <w:r w:rsidRPr="000665B0">
        <w:t xml:space="preserve">In MDS and TSRT there are 2 designations for spare </w:t>
      </w:r>
      <w:r w:rsidR="00865AE2" w:rsidRPr="000665B0">
        <w:t>missiles:</w:t>
      </w:r>
      <w:r w:rsidRPr="000665B0">
        <w:t xml:space="preserve"> Auto Ready Spare (ARS) and Ready Spare (RS). TSRT treats them very similarly. When a primary missile fails, the spare is used in its place.</w:t>
      </w:r>
    </w:p>
    <w:p w14:paraId="00142CF5" w14:textId="77777777" w:rsidR="00282578" w:rsidRPr="000665B0" w:rsidRDefault="00282578" w:rsidP="006D5A65">
      <w:pPr>
        <w:pStyle w:val="Heading1"/>
      </w:pPr>
      <w:r w:rsidRPr="000665B0">
        <w:t>There is a 1 to 0/1 relationship between P and ARS. There is an N to 0/1 relationship between P and RS.</w:t>
      </w:r>
      <w:r w:rsidR="00F303DA" w:rsidRPr="000665B0">
        <w:t xml:space="preserve"> </w:t>
      </w:r>
      <w:r w:rsidRPr="000665B0">
        <w:t>RS are per ASN. There can be multiple Ps assigned to 1 ASN.</w:t>
      </w:r>
    </w:p>
    <w:p w14:paraId="210D65BC" w14:textId="3DEE5CC2" w:rsidR="00282578" w:rsidRPr="000665B0" w:rsidRDefault="00282578" w:rsidP="006D5A65">
      <w:pPr>
        <w:pStyle w:val="Heading1"/>
      </w:pPr>
      <w:r w:rsidRPr="000665B0">
        <w:t xml:space="preserve">An Electronic Strike Package (ESP) for a TTWCS does not differentiate between RS and ARS, it only has RS. When MDS prepares the ESP all RS and ARSs are designated as RS. When TSRT starts a rehearsal, TSRT will label tasking as ARS but once TSRT receives an ESP, all ARS </w:t>
      </w:r>
      <w:r w:rsidR="0032409B" w:rsidRPr="000665B0">
        <w:t>t</w:t>
      </w:r>
      <w:r w:rsidRPr="000665B0">
        <w:t>asking will be changed to RS.</w:t>
      </w:r>
    </w:p>
    <w:p w14:paraId="1A048FA7" w14:textId="177A1B13" w:rsidR="00282578" w:rsidRPr="000665B0" w:rsidRDefault="00282578" w:rsidP="006D5A65">
      <w:pPr>
        <w:pStyle w:val="Heading1"/>
        <w:rPr>
          <w:color w:val="000080"/>
        </w:rPr>
      </w:pPr>
      <w:r w:rsidRPr="000665B0">
        <w:t>Launch Failure: If a “Fail missile at launch” complication is applied, when it comes time to launch the primary missile, TSRT will fail the launch. If an ARS exists, TSRT will launch the ARS 1 second after the primary missile was supposed to launch. If a</w:t>
      </w:r>
      <w:r w:rsidR="007316F4" w:rsidRPr="000665B0">
        <w:t>n</w:t>
      </w:r>
      <w:r w:rsidRPr="000665B0">
        <w:t xml:space="preserve"> RS exists</w:t>
      </w:r>
      <w:r w:rsidR="000A0B4A" w:rsidRPr="000665B0">
        <w:t>,</w:t>
      </w:r>
      <w:r w:rsidRPr="000665B0">
        <w:t xml:space="preserve"> TSRT will launch the RS 90 seconds after the primary missile was supposed to launch. The longer delay is to simulate the required approval to launch. </w:t>
      </w:r>
    </w:p>
    <w:p w14:paraId="3C07BD2E" w14:textId="2466D159" w:rsidR="00282578" w:rsidRPr="000665B0" w:rsidRDefault="00282578" w:rsidP="006D5A65">
      <w:pPr>
        <w:pStyle w:val="Heading1"/>
      </w:pPr>
      <w:r w:rsidRPr="000665B0">
        <w:t>Failed Transition To Cruise (Observed)</w:t>
      </w:r>
      <w:r w:rsidR="00231120" w:rsidRPr="000665B0">
        <w:t>:</w:t>
      </w:r>
      <w:r w:rsidRPr="000665B0">
        <w:t xml:space="preserve"> If a “Fail Transition to Cruise (Observed)” complication is applied to a missile, the missile will crash right after launch. If a</w:t>
      </w:r>
      <w:r w:rsidR="000A0B4A" w:rsidRPr="000665B0">
        <w:t>n</w:t>
      </w:r>
      <w:r w:rsidRPr="000665B0">
        <w:t xml:space="preserve"> RS exists, TSRT will attempt to launch the RS. This functionality is only present for missiles launched from a Sim FRU. If the FRU is a Live FRU, TSRT will not launch the RS after this complication.</w:t>
      </w:r>
    </w:p>
    <w:p w14:paraId="729D2C8D" w14:textId="027C41CC" w:rsidR="00DF3AF2" w:rsidRPr="000665B0" w:rsidRDefault="00282578" w:rsidP="006D5A65">
      <w:pPr>
        <w:pStyle w:val="Heading1"/>
        <w:rPr>
          <w:bCs/>
        </w:rPr>
      </w:pPr>
      <w:r w:rsidRPr="000665B0">
        <w:t xml:space="preserve">Failed Transition to Cruise (Unobserved): If a “Fail Transition to Cruise (Unobserved)” complication is applied to a missile, </w:t>
      </w:r>
      <w:r w:rsidRPr="000665B0">
        <w:lastRenderedPageBreak/>
        <w:t>the missile will crash right after launch. No spare missiles will be automatically launched by TSRT.</w:t>
      </w:r>
    </w:p>
    <w:p w14:paraId="73F4D971" w14:textId="5721E847" w:rsidR="001D1ED5" w:rsidRPr="000665B0" w:rsidRDefault="001D1ED5" w:rsidP="006D5A65">
      <w:pPr>
        <w:pStyle w:val="Heading1"/>
        <w:rPr>
          <w:bCs/>
          <w:szCs w:val="24"/>
        </w:rPr>
      </w:pPr>
      <w:r w:rsidRPr="000665B0">
        <w:t xml:space="preserve">Spare missile launches may cause unexpected behavior by some of the icons on the Gantt chart (see </w:t>
      </w:r>
      <w:hyperlink w:anchor="_5.39.2__TSRT" w:history="1">
        <w:r w:rsidRPr="000665B0">
          <w:rPr>
            <w:rStyle w:val="Hyperlink"/>
          </w:rPr>
          <w:t xml:space="preserve">Section </w:t>
        </w:r>
        <w:r w:rsidR="004231CC">
          <w:rPr>
            <w:rStyle w:val="Hyperlink"/>
          </w:rPr>
          <w:t>5.37</w:t>
        </w:r>
        <w:r w:rsidRPr="000665B0">
          <w:rPr>
            <w:rStyle w:val="Hyperlink"/>
          </w:rPr>
          <w:t>.1.1</w:t>
        </w:r>
      </w:hyperlink>
      <w:r w:rsidRPr="000665B0">
        <w:t xml:space="preserve">). </w:t>
      </w:r>
    </w:p>
    <w:p w14:paraId="39275487" w14:textId="7DEBE0EB" w:rsidR="00282578" w:rsidRPr="000665B0" w:rsidRDefault="00282578" w:rsidP="00B35EE5">
      <w:pPr>
        <w:pStyle w:val="Heading4"/>
      </w:pPr>
      <w:bookmarkStart w:id="7071" w:name="_Toc289328986"/>
      <w:bookmarkEnd w:id="7070"/>
      <w:r w:rsidRPr="000665B0">
        <w:t xml:space="preserve">TSRT </w:t>
      </w:r>
      <w:r w:rsidR="00A92B8D" w:rsidRPr="000665B0">
        <w:t>D</w:t>
      </w:r>
      <w:r w:rsidRPr="000665B0">
        <w:t>elays</w:t>
      </w:r>
      <w:bookmarkEnd w:id="7071"/>
    </w:p>
    <w:p w14:paraId="34E290B7" w14:textId="390D1D3C" w:rsidR="00282578" w:rsidRPr="000665B0" w:rsidRDefault="00282578" w:rsidP="006D5A65">
      <w:pPr>
        <w:pStyle w:val="Heading1"/>
      </w:pPr>
      <w:r w:rsidRPr="000665B0">
        <w:t xml:space="preserve">After ESP receipt, delay to send SPEO </w:t>
      </w:r>
      <w:r w:rsidR="00E07E96" w:rsidRPr="000665B0">
        <w:t xml:space="preserve">– </w:t>
      </w:r>
      <w:r w:rsidRPr="000665B0">
        <w:t xml:space="preserve">7½ </w:t>
      </w:r>
      <w:r w:rsidR="00865AE2" w:rsidRPr="000665B0">
        <w:t>minutes.</w:t>
      </w:r>
      <w:r w:rsidRPr="000665B0">
        <w:t xml:space="preserve"> </w:t>
      </w:r>
    </w:p>
    <w:p w14:paraId="72D695DE" w14:textId="47275F83" w:rsidR="00282578" w:rsidRPr="000665B0" w:rsidRDefault="00282578" w:rsidP="006D5A65">
      <w:pPr>
        <w:pStyle w:val="Heading1"/>
      </w:pPr>
      <w:r w:rsidRPr="000665B0">
        <w:t xml:space="preserve">After ESP receipt, delay to send OWRs </w:t>
      </w:r>
      <w:r w:rsidR="00E07E96" w:rsidRPr="000665B0">
        <w:t>–</w:t>
      </w:r>
      <w:r w:rsidRPr="000665B0">
        <w:t xml:space="preserve"> 12½ </w:t>
      </w:r>
      <w:r w:rsidR="00865AE2" w:rsidRPr="000665B0">
        <w:t>minutes.</w:t>
      </w:r>
    </w:p>
    <w:p w14:paraId="2D405A3D" w14:textId="720D17F1" w:rsidR="00282578" w:rsidRPr="000665B0" w:rsidRDefault="00282578" w:rsidP="006D5A65">
      <w:pPr>
        <w:pStyle w:val="Heading1"/>
      </w:pPr>
      <w:r w:rsidRPr="000665B0">
        <w:t xml:space="preserve">Time Wasting Waypoints in P/ARS missiles OWRs </w:t>
      </w:r>
      <w:r w:rsidR="00E07E96" w:rsidRPr="000665B0">
        <w:t>–</w:t>
      </w:r>
      <w:r w:rsidRPr="000665B0">
        <w:t xml:space="preserve"> 5 minutes</w:t>
      </w:r>
      <w:r w:rsidR="00865AE2">
        <w:t>.</w:t>
      </w:r>
    </w:p>
    <w:p w14:paraId="18D2A1EA" w14:textId="46B793E7" w:rsidR="00282578" w:rsidRPr="000665B0" w:rsidRDefault="00282578" w:rsidP="006D5A65">
      <w:pPr>
        <w:pStyle w:val="Heading1"/>
      </w:pPr>
      <w:r w:rsidRPr="000665B0">
        <w:t xml:space="preserve">Time Wasting Waypoints in RS missiles OWRs </w:t>
      </w:r>
      <w:r w:rsidR="00E07E96" w:rsidRPr="000665B0">
        <w:t>–</w:t>
      </w:r>
      <w:r w:rsidRPr="000665B0">
        <w:t xml:space="preserve"> 3 minutes</w:t>
      </w:r>
      <w:r w:rsidR="00865AE2">
        <w:t>.</w:t>
      </w:r>
    </w:p>
    <w:p w14:paraId="639A59FC" w14:textId="5F200698" w:rsidR="00282578" w:rsidRPr="000665B0" w:rsidRDefault="00282578" w:rsidP="006D5A65">
      <w:pPr>
        <w:pStyle w:val="Heading1"/>
      </w:pPr>
      <w:r w:rsidRPr="000665B0">
        <w:t xml:space="preserve">Time Wasting Waypoints in B/BP missiles OWRs </w:t>
      </w:r>
      <w:r w:rsidR="00E07E96" w:rsidRPr="000665B0">
        <w:t>–</w:t>
      </w:r>
      <w:r w:rsidRPr="000665B0">
        <w:t xml:space="preserve"> 0 minutes/Not-Applicable</w:t>
      </w:r>
      <w:r w:rsidR="00865AE2">
        <w:t>.</w:t>
      </w:r>
    </w:p>
    <w:p w14:paraId="337AF96E" w14:textId="3F67E58E" w:rsidR="00282578" w:rsidRPr="000665B0" w:rsidRDefault="00282578" w:rsidP="006D5A65">
      <w:pPr>
        <w:pStyle w:val="Heading1"/>
      </w:pPr>
      <w:r w:rsidRPr="000665B0">
        <w:t>After successful primary launch, move RS,</w:t>
      </w:r>
      <w:r w:rsidR="00F37F8B" w:rsidRPr="000665B0">
        <w:t xml:space="preserve"> </w:t>
      </w:r>
      <w:r w:rsidRPr="000665B0">
        <w:t>ARS,</w:t>
      </w:r>
      <w:r w:rsidR="00F37F8B" w:rsidRPr="000665B0">
        <w:t xml:space="preserve"> </w:t>
      </w:r>
      <w:r w:rsidRPr="000665B0">
        <w:t xml:space="preserve">B to the pool </w:t>
      </w:r>
      <w:r w:rsidR="00E07E96" w:rsidRPr="000665B0">
        <w:t>–</w:t>
      </w:r>
      <w:r w:rsidR="00F303DA" w:rsidRPr="000665B0">
        <w:t xml:space="preserve"> </w:t>
      </w:r>
      <w:r w:rsidRPr="000665B0">
        <w:t>10 minutes</w:t>
      </w:r>
      <w:r w:rsidR="00865AE2">
        <w:t>.</w:t>
      </w:r>
    </w:p>
    <w:p w14:paraId="0FBFC57C" w14:textId="76103D47" w:rsidR="00282578" w:rsidRPr="000665B0" w:rsidRDefault="00282578" w:rsidP="006D5A65">
      <w:pPr>
        <w:pStyle w:val="Heading1"/>
      </w:pPr>
      <w:r w:rsidRPr="000665B0">
        <w:t xml:space="preserve">After failed primary launch, delay before ARS launches </w:t>
      </w:r>
      <w:r w:rsidR="00E07E96" w:rsidRPr="000665B0">
        <w:t>–</w:t>
      </w:r>
      <w:r w:rsidRPr="000665B0">
        <w:t xml:space="preserve"> 1 second</w:t>
      </w:r>
      <w:r w:rsidR="00865AE2">
        <w:t>.</w:t>
      </w:r>
    </w:p>
    <w:p w14:paraId="4B07D554" w14:textId="423FBEF2" w:rsidR="00282578" w:rsidRPr="000665B0" w:rsidRDefault="00282578" w:rsidP="006D5A65">
      <w:pPr>
        <w:pStyle w:val="Heading1"/>
      </w:pPr>
      <w:r w:rsidRPr="000665B0">
        <w:t xml:space="preserve">After an OBSERVED failed cruise transition, delay before RS launches </w:t>
      </w:r>
      <w:r w:rsidR="00E07E96" w:rsidRPr="000665B0">
        <w:t>–</w:t>
      </w:r>
      <w:r w:rsidRPr="000665B0">
        <w:t xml:space="preserve"> 1½ minutes</w:t>
      </w:r>
      <w:r w:rsidR="00865AE2">
        <w:t>.</w:t>
      </w:r>
    </w:p>
    <w:p w14:paraId="068FC299" w14:textId="17BA0967" w:rsidR="00282578" w:rsidRPr="000665B0" w:rsidRDefault="00282578" w:rsidP="006D5A65">
      <w:pPr>
        <w:pStyle w:val="Heading1"/>
      </w:pPr>
      <w:r w:rsidRPr="000665B0">
        <w:t xml:space="preserve">After launch attempt (success/failure), delay to send LER </w:t>
      </w:r>
      <w:r w:rsidR="00E07E96" w:rsidRPr="000665B0">
        <w:t>–</w:t>
      </w:r>
      <w:r w:rsidRPr="000665B0">
        <w:t xml:space="preserve"> 10 seconds</w:t>
      </w:r>
      <w:r w:rsidR="00865AE2">
        <w:t>.</w:t>
      </w:r>
    </w:p>
    <w:p w14:paraId="54291B35" w14:textId="3ABE076D" w:rsidR="00282578" w:rsidRPr="000665B0" w:rsidRDefault="00282578" w:rsidP="006D5A65">
      <w:pPr>
        <w:pStyle w:val="Heading1"/>
      </w:pPr>
      <w:r w:rsidRPr="000665B0">
        <w:t xml:space="preserve">Upon request for PLRO, delay to send </w:t>
      </w:r>
      <w:r w:rsidR="00E07E96" w:rsidRPr="000665B0">
        <w:t>–</w:t>
      </w:r>
      <w:r w:rsidRPr="000665B0">
        <w:t xml:space="preserve"> 10 minutes</w:t>
      </w:r>
      <w:r w:rsidR="00865AE2">
        <w:t>.</w:t>
      </w:r>
    </w:p>
    <w:p w14:paraId="48059FDD" w14:textId="4F6E07C7" w:rsidR="00282578" w:rsidRPr="000665B0" w:rsidRDefault="00282578" w:rsidP="006D5A65">
      <w:pPr>
        <w:pStyle w:val="Heading1"/>
      </w:pPr>
      <w:r w:rsidRPr="000665B0">
        <w:t xml:space="preserve">Upon request for MLOSRF-T, delay to send </w:t>
      </w:r>
      <w:r w:rsidR="00E07E96" w:rsidRPr="000665B0">
        <w:t>–</w:t>
      </w:r>
      <w:r w:rsidRPr="000665B0">
        <w:t xml:space="preserve"> 15 minutes</w:t>
      </w:r>
      <w:r w:rsidR="000502A9" w:rsidRPr="000665B0">
        <w:t>.</w:t>
      </w:r>
    </w:p>
    <w:p w14:paraId="4B2D388E" w14:textId="05C7AE2B" w:rsidR="009747AE" w:rsidRPr="000665B0" w:rsidRDefault="009747AE" w:rsidP="009747AE">
      <w:pPr>
        <w:pStyle w:val="Heading4"/>
      </w:pPr>
      <w:bookmarkStart w:id="7072" w:name="_TSRT__May"/>
      <w:bookmarkStart w:id="7073" w:name="_Hlk60726327"/>
      <w:bookmarkEnd w:id="7072"/>
      <w:r w:rsidRPr="000665B0">
        <w:t xml:space="preserve">TSRT May </w:t>
      </w:r>
      <w:r w:rsidR="004D45D3" w:rsidRPr="000665B0">
        <w:t>Generate</w:t>
      </w:r>
      <w:r w:rsidR="0031046C" w:rsidRPr="000665B0">
        <w:t xml:space="preserve"> </w:t>
      </w:r>
      <w:r w:rsidRPr="000665B0">
        <w:t>Duplicate LPMP Mission IDs</w:t>
      </w:r>
    </w:p>
    <w:p w14:paraId="13D094EC" w14:textId="1B77E648" w:rsidR="009747AE" w:rsidRPr="000665B0" w:rsidRDefault="009747AE" w:rsidP="009747AE">
      <w:r w:rsidRPr="000665B0">
        <w:t xml:space="preserve">In certain </w:t>
      </w:r>
      <w:r w:rsidR="009E2579" w:rsidRPr="000665B0">
        <w:t xml:space="preserve">rehearsal </w:t>
      </w:r>
      <w:r w:rsidRPr="000665B0">
        <w:t xml:space="preserve">scenarios, it is possible that TSRT may </w:t>
      </w:r>
      <w:r w:rsidR="009E2579" w:rsidRPr="000665B0">
        <w:t xml:space="preserve">create and </w:t>
      </w:r>
      <w:r w:rsidRPr="000665B0">
        <w:t>send LPMP mission</w:t>
      </w:r>
      <w:r w:rsidR="004678CD" w:rsidRPr="000665B0">
        <w:t>s</w:t>
      </w:r>
      <w:r w:rsidR="004609A9" w:rsidRPr="000665B0">
        <w:t xml:space="preserve"> with </w:t>
      </w:r>
      <w:r w:rsidRPr="000665B0">
        <w:t>ID</w:t>
      </w:r>
      <w:r w:rsidR="004678CD" w:rsidRPr="000665B0">
        <w:t>s</w:t>
      </w:r>
      <w:r w:rsidR="004D45D3" w:rsidRPr="000665B0">
        <w:t xml:space="preserve"> that already exist</w:t>
      </w:r>
      <w:r w:rsidR="00776DFC" w:rsidRPr="000665B0">
        <w:t xml:space="preserve"> in the Strike DB</w:t>
      </w:r>
      <w:r w:rsidRPr="000665B0">
        <w:t xml:space="preserve">. </w:t>
      </w:r>
      <w:r w:rsidR="005A0962" w:rsidRPr="000665B0">
        <w:t>When</w:t>
      </w:r>
      <w:r w:rsidRPr="000665B0">
        <w:t xml:space="preserve"> a</w:t>
      </w:r>
      <w:r w:rsidR="00D04A54" w:rsidRPr="000665B0">
        <w:t>n</w:t>
      </w:r>
      <w:r w:rsidRPr="000665B0">
        <w:t xml:space="preserve"> </w:t>
      </w:r>
      <w:r w:rsidR="004D45D3" w:rsidRPr="000665B0">
        <w:t xml:space="preserve">incoming </w:t>
      </w:r>
      <w:r w:rsidR="009E2579" w:rsidRPr="000665B0">
        <w:t>LPMP mission</w:t>
      </w:r>
      <w:r w:rsidR="00D04A54" w:rsidRPr="000665B0">
        <w:t xml:space="preserve"> with a</w:t>
      </w:r>
      <w:r w:rsidR="004D45D3" w:rsidRPr="000665B0">
        <w:t>n ID that matches an existing</w:t>
      </w:r>
      <w:r w:rsidRPr="000665B0">
        <w:t xml:space="preserve"> ID is received, TED </w:t>
      </w:r>
      <w:r w:rsidR="004D45D3" w:rsidRPr="000665B0">
        <w:t xml:space="preserve">compares the contents of the incoming mission with the contents of the existing mission. If the contents of the missions do not match, TED will </w:t>
      </w:r>
      <w:r w:rsidRPr="000665B0">
        <w:t xml:space="preserve">reject the duplicate ID and drop the </w:t>
      </w:r>
      <w:r w:rsidR="004D45D3" w:rsidRPr="000665B0">
        <w:t xml:space="preserve">incoming </w:t>
      </w:r>
      <w:r w:rsidRPr="000665B0">
        <w:t>mission.</w:t>
      </w:r>
    </w:p>
    <w:p w14:paraId="2FF16F71" w14:textId="4B6EF219" w:rsidR="001E0ABE" w:rsidRPr="000665B0" w:rsidRDefault="001E0ABE" w:rsidP="009747AE">
      <w:r w:rsidRPr="000665B0">
        <w:t xml:space="preserve">The duplicate LPMP </w:t>
      </w:r>
      <w:r w:rsidR="003B7091">
        <w:t>M</w:t>
      </w:r>
      <w:r w:rsidRPr="000665B0">
        <w:t xml:space="preserve">ission IDs may be </w:t>
      </w:r>
      <w:r w:rsidR="00E66916" w:rsidRPr="000665B0">
        <w:t xml:space="preserve">generated and </w:t>
      </w:r>
      <w:r w:rsidRPr="000665B0">
        <w:t xml:space="preserve">sent when multiple TEDs/TSRTs are used to represent the same FRU during rehearsal. For example: </w:t>
      </w:r>
      <w:r w:rsidRPr="000665B0">
        <w:rPr>
          <w:color w:val="222222"/>
          <w:szCs w:val="24"/>
        </w:rPr>
        <w:t xml:space="preserve">A remote TSRT sends an LPMP mission with ID 432 001 65535 (where </w:t>
      </w:r>
      <w:r w:rsidRPr="000665B0">
        <w:rPr>
          <w:i/>
          <w:color w:val="222222"/>
          <w:szCs w:val="24"/>
        </w:rPr>
        <w:t>432 001</w:t>
      </w:r>
      <w:r w:rsidRPr="000665B0">
        <w:rPr>
          <w:color w:val="222222"/>
          <w:szCs w:val="24"/>
        </w:rPr>
        <w:t xml:space="preserve"> =</w:t>
      </w:r>
      <w:r w:rsidR="009651B0">
        <w:rPr>
          <w:color w:val="222222"/>
          <w:szCs w:val="24"/>
        </w:rPr>
        <w:t xml:space="preserve"> </w:t>
      </w:r>
      <w:r w:rsidRPr="000665B0">
        <w:rPr>
          <w:color w:val="222222"/>
          <w:szCs w:val="24"/>
        </w:rPr>
        <w:t xml:space="preserve">FRU ID and </w:t>
      </w:r>
      <w:r w:rsidRPr="000665B0">
        <w:rPr>
          <w:i/>
          <w:color w:val="222222"/>
          <w:szCs w:val="24"/>
        </w:rPr>
        <w:t>65535</w:t>
      </w:r>
      <w:r w:rsidRPr="000665B0">
        <w:rPr>
          <w:color w:val="222222"/>
          <w:szCs w:val="24"/>
        </w:rPr>
        <w:t xml:space="preserve"> = ID number). At another time, a strike is rehearsed using a local TSRT on behalf of the same FRU. Because each TSRT maintains its own index counter for the 5-digit ID number, this local TSRT may also</w:t>
      </w:r>
      <w:r w:rsidR="002D6A54" w:rsidRPr="000665B0">
        <w:rPr>
          <w:color w:val="222222"/>
          <w:szCs w:val="24"/>
        </w:rPr>
        <w:t xml:space="preserve"> generate and</w:t>
      </w:r>
      <w:r w:rsidRPr="000665B0">
        <w:rPr>
          <w:color w:val="222222"/>
          <w:szCs w:val="24"/>
        </w:rPr>
        <w:t xml:space="preserve"> send an LPMP mission with the same ID 432 001 65535. </w:t>
      </w:r>
      <w:r w:rsidRPr="000665B0">
        <w:t>Since the Strike DB already contains this LPMP mission ID from the first rehearsal, the second mission is rejected as a duplicate and the mission is dropped.</w:t>
      </w:r>
    </w:p>
    <w:p w14:paraId="72385940" w14:textId="1C54548B" w:rsidR="005A0962" w:rsidRPr="000665B0" w:rsidRDefault="005A0962" w:rsidP="005A0962">
      <w:r w:rsidRPr="000665B0">
        <w:t xml:space="preserve">Duplicate </w:t>
      </w:r>
      <w:r w:rsidR="0031046C" w:rsidRPr="000665B0">
        <w:t xml:space="preserve">LPMP mission </w:t>
      </w:r>
      <w:r w:rsidRPr="000665B0">
        <w:t xml:space="preserve">IDs may also occur if a new TSRT DB is loaded (which causes the LPMP </w:t>
      </w:r>
      <w:r w:rsidR="009E2579" w:rsidRPr="000665B0">
        <w:t xml:space="preserve">mission </w:t>
      </w:r>
      <w:r w:rsidRPr="000665B0">
        <w:t xml:space="preserve">ID counter to start anew), but a new Strike DB is not loaded (which keeps all existing LPMP </w:t>
      </w:r>
      <w:r w:rsidR="009E2579" w:rsidRPr="000665B0">
        <w:t xml:space="preserve">mission </w:t>
      </w:r>
      <w:r w:rsidRPr="000665B0">
        <w:t>IDs).</w:t>
      </w:r>
      <w:r w:rsidR="009651B0">
        <w:t xml:space="preserve"> </w:t>
      </w:r>
    </w:p>
    <w:p w14:paraId="0D2A16B7" w14:textId="6A7BFA2E" w:rsidR="00360D74" w:rsidRPr="000665B0" w:rsidRDefault="00360D74" w:rsidP="008B56A5">
      <w:pPr>
        <w:keepNext/>
      </w:pPr>
      <w:r w:rsidRPr="000665B0">
        <w:lastRenderedPageBreak/>
        <w:t xml:space="preserve">To avoid </w:t>
      </w:r>
      <w:r w:rsidR="009E2579" w:rsidRPr="000665B0">
        <w:t xml:space="preserve">dropping missions due to </w:t>
      </w:r>
      <w:r w:rsidRPr="000665B0">
        <w:t xml:space="preserve">duplicate LPMP </w:t>
      </w:r>
      <w:r w:rsidR="009E2579" w:rsidRPr="000665B0">
        <w:t>m</w:t>
      </w:r>
      <w:r w:rsidRPr="000665B0">
        <w:t>ission IDs during training and/or test setup:</w:t>
      </w:r>
    </w:p>
    <w:p w14:paraId="1BA520B8" w14:textId="77777777" w:rsidR="001E0ABE" w:rsidRPr="000665B0" w:rsidRDefault="001E0ABE" w:rsidP="006D5A65">
      <w:pPr>
        <w:pStyle w:val="Heading1"/>
      </w:pPr>
      <w:r w:rsidRPr="000665B0">
        <w:t>On each TED, use different FRUs when performing local vs. remote TSRT strikes in order to avoid multiple TEDs/TSRTs sending LPMPs on behalf of the same FRU.</w:t>
      </w:r>
    </w:p>
    <w:p w14:paraId="66266192" w14:textId="74064641" w:rsidR="006F5927" w:rsidRPr="000665B0" w:rsidRDefault="006F5927" w:rsidP="006D5A65">
      <w:pPr>
        <w:pStyle w:val="Heading1"/>
      </w:pPr>
      <w:r w:rsidRPr="000665B0">
        <w:t xml:space="preserve">For strike rehearsal, it is recommended to delete all strike options or folders that contain LPMP missions once that strike object is no longer in use, in order to remove the LPMP mission IDs stored in the system. </w:t>
      </w:r>
    </w:p>
    <w:p w14:paraId="471D9B18" w14:textId="77777777" w:rsidR="006F5927" w:rsidRPr="000665B0" w:rsidRDefault="006F5927" w:rsidP="006D5A65">
      <w:pPr>
        <w:pStyle w:val="Heading1"/>
      </w:pPr>
      <w:r w:rsidRPr="000665B0">
        <w:t>For Land Attack: if the strike option is complex or if it is anticipated that there are strike options that may be reused, save a copy of the strike folder prior to deletion. This retains all LMO tasking without the LPMPs.</w:t>
      </w:r>
    </w:p>
    <w:p w14:paraId="697A127A" w14:textId="32E2EFFD" w:rsidR="006F5927" w:rsidRDefault="006F5927" w:rsidP="006D5A65">
      <w:pPr>
        <w:pStyle w:val="Heading1"/>
      </w:pPr>
      <w:r w:rsidRPr="000665B0">
        <w:t>For MST strike objects: deletion can be done once the engagement is complete as LPMP missions are only used for the current engagement for which they are created.</w:t>
      </w:r>
    </w:p>
    <w:p w14:paraId="46E6A8B9" w14:textId="2C91613C" w:rsidR="00BE2D5F" w:rsidRDefault="00BE2D5F" w:rsidP="00BE2D5F">
      <w:pPr>
        <w:pStyle w:val="Heading4"/>
      </w:pPr>
      <w:r>
        <w:t>109M Taskings in TMPC 7.0.3</w:t>
      </w:r>
    </w:p>
    <w:p w14:paraId="37DB5373" w14:textId="0135FE2E" w:rsidR="00BE2D5F" w:rsidRDefault="00BE2D5F" w:rsidP="00BB4EBE">
      <w:r>
        <w:t>TSRT will not simulate 109M taskings in TMPC 7.0.3. This includes 109M assignments, 109M Full and CFF LMOs.</w:t>
      </w:r>
    </w:p>
    <w:p w14:paraId="5649EECD" w14:textId="77777777" w:rsidR="002735B6" w:rsidRPr="002735B6" w:rsidRDefault="002735B6" w:rsidP="0043211C">
      <w:pPr>
        <w:pStyle w:val="Heading4"/>
      </w:pPr>
      <w:bookmarkStart w:id="7074" w:name="_Hlk188510892"/>
      <w:r w:rsidRPr="002735B6">
        <w:rPr>
          <w:iCs/>
        </w:rPr>
        <w:t>TSRT Operation with Live TTWCS</w:t>
      </w:r>
      <w:bookmarkEnd w:id="7074"/>
    </w:p>
    <w:p w14:paraId="3B7B2505" w14:textId="77777777" w:rsidR="0043211C" w:rsidRDefault="002735B6" w:rsidP="002735B6">
      <w:bookmarkStart w:id="7075" w:name="_Hlk188510900"/>
      <w:r w:rsidRPr="00124F9B">
        <w:t xml:space="preserve">SPEOs sent from a live TTWCS where the operator has selected </w:t>
      </w:r>
      <w:r w:rsidRPr="00124F9B">
        <w:rPr>
          <w:i/>
          <w:iCs/>
        </w:rPr>
        <w:t>Cell Preselect: Auto</w:t>
      </w:r>
      <w:r w:rsidRPr="00124F9B">
        <w:t xml:space="preserve"> causes TSRT to erroneously reject missile assignments. Cell preselect is not an error and subsequent OWRs will clear the TSRT Reject status. Condition may be due to TTWCS using the SPEO category, “</w:t>
      </w:r>
      <w:r w:rsidRPr="00124F9B">
        <w:rPr>
          <w:i/>
          <w:iCs/>
        </w:rPr>
        <w:t>Other</w:t>
      </w:r>
      <w:r w:rsidRPr="00124F9B">
        <w:t>”.</w:t>
      </w:r>
    </w:p>
    <w:p w14:paraId="783FE5A1" w14:textId="654C4EE2" w:rsidR="002735B6" w:rsidRPr="002735B6" w:rsidRDefault="002735B6" w:rsidP="002735B6">
      <w:r>
        <w:t>A p</w:t>
      </w:r>
      <w:r w:rsidRPr="00124F9B">
        <w:t xml:space="preserve">ossible correction is for </w:t>
      </w:r>
      <w:r>
        <w:t xml:space="preserve">the </w:t>
      </w:r>
      <w:r w:rsidRPr="00124F9B">
        <w:t xml:space="preserve">TTWCS operator to set </w:t>
      </w:r>
      <w:r w:rsidRPr="00124F9B">
        <w:rPr>
          <w:i/>
          <w:iCs/>
        </w:rPr>
        <w:t>Cell Preselect: Manual</w:t>
      </w:r>
      <w:r w:rsidRPr="00124F9B">
        <w:t>.</w:t>
      </w:r>
      <w:r>
        <w:t xml:space="preserve"> </w:t>
      </w:r>
      <w:r w:rsidRPr="00F14689">
        <w:t>Once cell selection is completed by the operator, the message is cleared.</w:t>
      </w:r>
      <w:bookmarkEnd w:id="7075"/>
    </w:p>
    <w:p w14:paraId="1AD2B26F" w14:textId="33AE9901" w:rsidR="00AC647F" w:rsidRPr="000665B0" w:rsidRDefault="00AC647F" w:rsidP="00B35EE5">
      <w:pPr>
        <w:pStyle w:val="Heading3"/>
      </w:pPr>
      <w:bookmarkStart w:id="7076" w:name="_Toc289328987"/>
      <w:bookmarkStart w:id="7077" w:name="_Toc312332112"/>
      <w:bookmarkStart w:id="7078" w:name="_Toc214283619"/>
      <w:bookmarkEnd w:id="7073"/>
      <w:r w:rsidRPr="000665B0">
        <w:t>Print All</w:t>
      </w:r>
      <w:bookmarkEnd w:id="7076"/>
      <w:bookmarkEnd w:id="7077"/>
      <w:bookmarkEnd w:id="7078"/>
    </w:p>
    <w:p w14:paraId="20141B4D" w14:textId="7D27BB39" w:rsidR="00AC647F" w:rsidRPr="000665B0" w:rsidRDefault="00F02F03" w:rsidP="00AC647F">
      <w:pPr>
        <w:spacing w:after="0"/>
      </w:pPr>
      <w:r w:rsidRPr="000665B0">
        <w:t>See</w:t>
      </w:r>
      <w:r w:rsidR="00AC647F" w:rsidRPr="000665B0">
        <w:t xml:space="preserve"> </w:t>
      </w:r>
      <w:hyperlink w:anchor="_5.2.1.5__Print" w:history="1">
        <w:r w:rsidR="00AC647F" w:rsidRPr="000665B0">
          <w:rPr>
            <w:rStyle w:val="Hyperlink"/>
          </w:rPr>
          <w:t>Section 5.2.1.5</w:t>
        </w:r>
      </w:hyperlink>
      <w:r w:rsidR="00AC647F" w:rsidRPr="000665B0">
        <w:t>.</w:t>
      </w:r>
    </w:p>
    <w:p w14:paraId="3E681DAF" w14:textId="4C30877D" w:rsidR="00AC647F" w:rsidRPr="000665B0" w:rsidRDefault="00AC647F" w:rsidP="00B35EE5">
      <w:pPr>
        <w:pStyle w:val="Heading3"/>
      </w:pPr>
      <w:bookmarkStart w:id="7079" w:name="_Toc289328988"/>
      <w:bookmarkStart w:id="7080" w:name="_Toc312332113"/>
      <w:bookmarkStart w:id="7081" w:name="_Toc214283620"/>
      <w:r w:rsidRPr="000665B0">
        <w:t>Sort</w:t>
      </w:r>
      <w:bookmarkEnd w:id="7079"/>
      <w:bookmarkEnd w:id="7080"/>
      <w:bookmarkEnd w:id="7081"/>
    </w:p>
    <w:p w14:paraId="3B478BB4" w14:textId="400DD06E" w:rsidR="00AC647F" w:rsidRPr="000665B0" w:rsidRDefault="00F02F03" w:rsidP="00AC647F">
      <w:pPr>
        <w:spacing w:after="0"/>
      </w:pPr>
      <w:r w:rsidRPr="000665B0">
        <w:t>See</w:t>
      </w:r>
      <w:r w:rsidR="00AC647F" w:rsidRPr="000665B0">
        <w:t xml:space="preserve"> </w:t>
      </w:r>
      <w:hyperlink w:anchor="_5.2.3.4.1__Sort" w:history="1">
        <w:r w:rsidR="00A75813" w:rsidRPr="000665B0">
          <w:rPr>
            <w:rStyle w:val="Hyperlink"/>
          </w:rPr>
          <w:t>Section 5.2.3.5</w:t>
        </w:r>
        <w:r w:rsidR="00CD3C6D" w:rsidRPr="000665B0">
          <w:rPr>
            <w:rStyle w:val="Hyperlink"/>
          </w:rPr>
          <w:t>.1</w:t>
        </w:r>
      </w:hyperlink>
      <w:r w:rsidR="00AC647F" w:rsidRPr="000665B0">
        <w:t>.</w:t>
      </w:r>
    </w:p>
    <w:p w14:paraId="42C75D05" w14:textId="7CCAB53A" w:rsidR="00AC647F" w:rsidRPr="000665B0" w:rsidRDefault="00AC647F" w:rsidP="00B35EE5">
      <w:pPr>
        <w:pStyle w:val="Heading3"/>
      </w:pPr>
      <w:bookmarkStart w:id="7082" w:name="_Toc289328989"/>
      <w:bookmarkStart w:id="7083" w:name="_Toc312332114"/>
      <w:bookmarkStart w:id="7084" w:name="_Toc214283621"/>
      <w:r w:rsidRPr="000665B0">
        <w:t>Find</w:t>
      </w:r>
      <w:bookmarkEnd w:id="7082"/>
      <w:bookmarkEnd w:id="7083"/>
      <w:bookmarkEnd w:id="7084"/>
    </w:p>
    <w:p w14:paraId="7548607B" w14:textId="7C94BE3F" w:rsidR="00AC647F" w:rsidRPr="000665B0" w:rsidRDefault="00F02F03" w:rsidP="00AC647F">
      <w:pPr>
        <w:spacing w:after="0"/>
      </w:pPr>
      <w:r w:rsidRPr="000665B0">
        <w:t>See</w:t>
      </w:r>
      <w:r w:rsidR="00AC647F" w:rsidRPr="000665B0">
        <w:t xml:space="preserve"> </w:t>
      </w:r>
      <w:hyperlink w:anchor="_5.2.5.1__Find_1" w:history="1">
        <w:r w:rsidR="00AC647F" w:rsidRPr="000665B0">
          <w:rPr>
            <w:rStyle w:val="Hyperlink"/>
          </w:rPr>
          <w:t>Section 5.2.5.1</w:t>
        </w:r>
      </w:hyperlink>
      <w:r w:rsidR="00AC647F" w:rsidRPr="000665B0">
        <w:t>.</w:t>
      </w:r>
    </w:p>
    <w:p w14:paraId="34115A08" w14:textId="77777777" w:rsidR="00800E90" w:rsidRPr="000665B0" w:rsidRDefault="00800E90" w:rsidP="00800E90">
      <w:pPr>
        <w:pStyle w:val="Heading3"/>
      </w:pPr>
      <w:bookmarkStart w:id="7085" w:name="_Toc214283622"/>
      <w:r w:rsidRPr="000665B0">
        <w:t>Plugin Tool</w:t>
      </w:r>
      <w:bookmarkEnd w:id="7085"/>
    </w:p>
    <w:p w14:paraId="18B7BC33" w14:textId="27941B8E" w:rsidR="00800E90" w:rsidRPr="000665B0" w:rsidRDefault="00F02F03" w:rsidP="00800E90">
      <w:pPr>
        <w:pStyle w:val="Bullet"/>
        <w:spacing w:after="0" w:line="240" w:lineRule="auto"/>
      </w:pPr>
      <w:r w:rsidRPr="000665B0">
        <w:t>See</w:t>
      </w:r>
      <w:r w:rsidR="00800E90" w:rsidRPr="000665B0">
        <w:t xml:space="preserve"> </w:t>
      </w:r>
      <w:hyperlink w:anchor="_Plugin__Tool" w:history="1">
        <w:r w:rsidR="00800E90" w:rsidRPr="000665B0">
          <w:rPr>
            <w:rStyle w:val="Hyperlink"/>
          </w:rPr>
          <w:t>Section 5.2.5.2</w:t>
        </w:r>
      </w:hyperlink>
      <w:r w:rsidR="00800E90" w:rsidRPr="000665B0">
        <w:t>.</w:t>
      </w:r>
    </w:p>
    <w:p w14:paraId="74AA3C73" w14:textId="079764B7" w:rsidR="00AC647F" w:rsidRPr="000665B0" w:rsidRDefault="00AC647F" w:rsidP="00B35EE5">
      <w:pPr>
        <w:pStyle w:val="Heading3"/>
      </w:pPr>
      <w:bookmarkStart w:id="7086" w:name="_Toc514253770"/>
      <w:bookmarkStart w:id="7087" w:name="_Toc289328990"/>
      <w:bookmarkStart w:id="7088" w:name="_Toc312332115"/>
      <w:bookmarkStart w:id="7089" w:name="_Toc214283623"/>
      <w:bookmarkEnd w:id="7086"/>
      <w:r w:rsidRPr="000665B0">
        <w:lastRenderedPageBreak/>
        <w:t>Select All</w:t>
      </w:r>
      <w:bookmarkEnd w:id="7087"/>
      <w:bookmarkEnd w:id="7088"/>
      <w:bookmarkEnd w:id="7089"/>
    </w:p>
    <w:p w14:paraId="41DE0C07" w14:textId="1681E434" w:rsidR="00AC647F" w:rsidRPr="000665B0" w:rsidRDefault="00F02F03" w:rsidP="00AC647F">
      <w:pPr>
        <w:spacing w:after="0"/>
      </w:pPr>
      <w:r w:rsidRPr="000665B0">
        <w:t>See</w:t>
      </w:r>
      <w:r w:rsidR="00AC647F" w:rsidRPr="000665B0">
        <w:t xml:space="preserve"> </w:t>
      </w:r>
      <w:hyperlink w:anchor="_5.2.2.1__Select_1" w:history="1">
        <w:r w:rsidR="00AC647F" w:rsidRPr="000665B0">
          <w:rPr>
            <w:rStyle w:val="Hyperlink"/>
          </w:rPr>
          <w:t>Section 5.2.2.1</w:t>
        </w:r>
      </w:hyperlink>
      <w:r w:rsidR="00927BB3" w:rsidRPr="000665B0">
        <w:rPr>
          <w:rStyle w:val="Hyperlink"/>
        </w:rPr>
        <w:t>.</w:t>
      </w:r>
    </w:p>
    <w:p w14:paraId="7E8032F1" w14:textId="77777777" w:rsidR="003D785E" w:rsidRPr="000665B0" w:rsidRDefault="003D785E" w:rsidP="00CB0557">
      <w:pPr>
        <w:pStyle w:val="number020500"/>
        <w:ind w:left="720"/>
      </w:pPr>
    </w:p>
    <w:p w14:paraId="31693299" w14:textId="77777777" w:rsidR="00A316EA" w:rsidRDefault="00A316EA" w:rsidP="005059FD">
      <w:pPr>
        <w:pStyle w:val="BodyText"/>
        <w:spacing w:after="120"/>
      </w:pPr>
      <w:r>
        <w:br w:type="page"/>
      </w:r>
      <w:bookmarkStart w:id="7090" w:name="_5.40__TSRT"/>
      <w:bookmarkStart w:id="7091" w:name="_TSRT_ACTIVITY_TOOL"/>
      <w:bookmarkStart w:id="7092" w:name="_Toc289328991"/>
      <w:bookmarkStart w:id="7093" w:name="_Toc312332116"/>
      <w:bookmarkStart w:id="7094" w:name="_Toc214283624"/>
      <w:bookmarkStart w:id="7095" w:name="_Hlk55993859"/>
      <w:bookmarkEnd w:id="6895"/>
      <w:bookmarkEnd w:id="7090"/>
      <w:bookmarkEnd w:id="7091"/>
      <w:r w:rsidR="00B35EE5" w:rsidRPr="000665B0">
        <w:lastRenderedPageBreak/>
        <w:t xml:space="preserve">TSRT </w:t>
      </w:r>
      <w:bookmarkEnd w:id="6909"/>
      <w:bookmarkEnd w:id="6910"/>
      <w:bookmarkEnd w:id="6911"/>
      <w:r w:rsidR="00B35EE5" w:rsidRPr="000665B0">
        <w:t>ACTIVITY TOOL</w:t>
      </w:r>
      <w:bookmarkEnd w:id="7092"/>
      <w:bookmarkEnd w:id="7093"/>
      <w:bookmarkEnd w:id="7094"/>
    </w:p>
    <w:p w14:paraId="29E88DBF" w14:textId="77777777" w:rsidR="00220C83" w:rsidRPr="000665B0" w:rsidRDefault="00220C83" w:rsidP="00220C83">
      <w:bookmarkStart w:id="7096" w:name="_Toc96170334"/>
      <w:bookmarkStart w:id="7097" w:name="_Toc96234379"/>
      <w:bookmarkStart w:id="7098" w:name="_Toc112733816"/>
      <w:r w:rsidRPr="000665B0">
        <w:t>The TSRT Activity Tool allows the operator to view log data of past rehearsal runs for reconstruction purposes. This tool also allows the operator to manually order TSRT to load an execution folder.</w:t>
      </w:r>
    </w:p>
    <w:p w14:paraId="5992A0B1" w14:textId="77777777" w:rsidR="00220C83" w:rsidRPr="000665B0" w:rsidRDefault="00220C83" w:rsidP="00220C83">
      <w:r w:rsidRPr="000665B0">
        <w:t>To view the TSRT Activity Tool:</w:t>
      </w:r>
    </w:p>
    <w:p w14:paraId="692B8B01" w14:textId="77777777" w:rsidR="00220C83" w:rsidRPr="000665B0" w:rsidRDefault="00220C83" w:rsidP="002A2805">
      <w:pPr>
        <w:ind w:left="360"/>
      </w:pPr>
      <w:r w:rsidRPr="000665B0">
        <w:t xml:space="preserve">From the </w:t>
      </w:r>
      <w:r w:rsidRPr="000665B0">
        <w:rPr>
          <w:b/>
        </w:rPr>
        <w:t>G</w:t>
      </w:r>
      <w:r w:rsidR="008E5B98" w:rsidRPr="000665B0">
        <w:rPr>
          <w:b/>
        </w:rPr>
        <w:t>o</w:t>
      </w:r>
      <w:r w:rsidRPr="000665B0">
        <w:t xml:space="preserve"> menu select </w:t>
      </w:r>
      <w:r w:rsidRPr="000665B0">
        <w:rPr>
          <w:b/>
        </w:rPr>
        <w:t>TSRT Activity</w:t>
      </w:r>
      <w:r w:rsidRPr="000665B0">
        <w:t>.</w:t>
      </w:r>
    </w:p>
    <w:p w14:paraId="468083FF" w14:textId="6A3C2239" w:rsidR="00220C83" w:rsidRPr="000665B0" w:rsidRDefault="00573753" w:rsidP="00C805DD">
      <w:pPr>
        <w:jc w:val="center"/>
      </w:pPr>
      <w:r w:rsidRPr="000665B0">
        <w:rPr>
          <w:noProof/>
        </w:rPr>
        <w:drawing>
          <wp:inline distT="0" distB="0" distL="0" distR="0" wp14:anchorId="5ED71908" wp14:editId="6B8C6757">
            <wp:extent cx="4983480" cy="2587752"/>
            <wp:effectExtent l="0" t="0" r="0" b="0"/>
            <wp:docPr id="1234" name="Picture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2587752"/>
                    </a:xfrm>
                    <a:prstGeom prst="rect">
                      <a:avLst/>
                    </a:prstGeom>
                  </pic:spPr>
                </pic:pic>
              </a:graphicData>
            </a:graphic>
          </wp:inline>
        </w:drawing>
      </w:r>
      <w:r w:rsidR="009651B0">
        <w:rPr>
          <w:noProof/>
        </w:rPr>
        <w:t xml:space="preserve"> </w:t>
      </w:r>
    </w:p>
    <w:p w14:paraId="4B54B749" w14:textId="44A80D68" w:rsidR="00220C83" w:rsidRPr="000665B0" w:rsidRDefault="00220C83" w:rsidP="00D356F6">
      <w:pPr>
        <w:spacing w:after="0"/>
      </w:pPr>
      <w:r w:rsidRPr="000665B0">
        <w:t xml:space="preserve">The TSRT Activity Tool displays a list of all previously run rehearsals. All log data accessed from this tool is read-only. </w:t>
      </w:r>
      <w:r w:rsidR="00042B1C" w:rsidRPr="000665B0">
        <w:rPr>
          <w:szCs w:val="24"/>
        </w:rPr>
        <w:t xml:space="preserve">A rehearsal that is shown </w:t>
      </w:r>
      <w:r w:rsidR="00042B1C" w:rsidRPr="000665B0">
        <w:rPr>
          <w:b/>
          <w:bCs/>
          <w:szCs w:val="24"/>
        </w:rPr>
        <w:t>bolded</w:t>
      </w:r>
      <w:r w:rsidR="00042B1C" w:rsidRPr="000665B0">
        <w:rPr>
          <w:szCs w:val="24"/>
        </w:rPr>
        <w:t xml:space="preserve"> indicates that the strike is still loaded. </w:t>
      </w:r>
      <w:r w:rsidRPr="000665B0">
        <w:t xml:space="preserve">When an execution folder is deleted from the </w:t>
      </w:r>
      <w:r w:rsidRPr="000665B0">
        <w:rPr>
          <w:b/>
        </w:rPr>
        <w:t>Strike Execution Tool</w:t>
      </w:r>
      <w:r w:rsidRPr="000665B0">
        <w:t xml:space="preserve">, all </w:t>
      </w:r>
      <w:r w:rsidR="00C805DD" w:rsidRPr="000665B0">
        <w:t xml:space="preserve">rehearsal </w:t>
      </w:r>
      <w:r w:rsidRPr="000665B0">
        <w:t xml:space="preserve">data </w:t>
      </w:r>
      <w:r w:rsidR="00C805DD" w:rsidRPr="000665B0">
        <w:t>that corresponds to the</w:t>
      </w:r>
      <w:r w:rsidRPr="000665B0">
        <w:t xml:space="preserve"> deleted execution folder</w:t>
      </w:r>
      <w:r w:rsidR="00C805DD" w:rsidRPr="000665B0">
        <w:t>,</w:t>
      </w:r>
      <w:r w:rsidRPr="000665B0">
        <w:t xml:space="preserve"> </w:t>
      </w:r>
      <w:r w:rsidR="00C805DD" w:rsidRPr="000665B0">
        <w:t xml:space="preserve">is </w:t>
      </w:r>
      <w:r w:rsidRPr="000665B0">
        <w:t>also deleted.</w:t>
      </w:r>
      <w:r w:rsidR="008E5B98" w:rsidRPr="000665B0">
        <w:t xml:space="preserve"> </w:t>
      </w:r>
    </w:p>
    <w:p w14:paraId="0C0849B5" w14:textId="4EE738AB" w:rsidR="005D1A26" w:rsidRPr="000665B0" w:rsidRDefault="00220C83" w:rsidP="00B35EE5">
      <w:pPr>
        <w:pStyle w:val="Heading3"/>
      </w:pPr>
      <w:bookmarkStart w:id="7099" w:name="_5.40.1__Strike_Rehearsal_Options"/>
      <w:bookmarkStart w:id="7100" w:name="_5.40.1__Strike"/>
      <w:bookmarkStart w:id="7101" w:name="_Strike_Rehearsal_Options"/>
      <w:bookmarkStart w:id="7102" w:name="_Toc289328992"/>
      <w:bookmarkStart w:id="7103" w:name="_Toc312332117"/>
      <w:bookmarkStart w:id="7104" w:name="_Toc214283625"/>
      <w:bookmarkEnd w:id="7096"/>
      <w:bookmarkEnd w:id="7097"/>
      <w:bookmarkEnd w:id="7098"/>
      <w:bookmarkEnd w:id="7099"/>
      <w:bookmarkEnd w:id="7100"/>
      <w:bookmarkEnd w:id="7101"/>
      <w:r w:rsidRPr="000665B0">
        <w:t>Strike Rehearsal Options</w:t>
      </w:r>
      <w:bookmarkEnd w:id="7102"/>
      <w:bookmarkEnd w:id="7103"/>
      <w:bookmarkEnd w:id="7104"/>
    </w:p>
    <w:p w14:paraId="35006498" w14:textId="77777777" w:rsidR="00220C83" w:rsidRPr="000665B0" w:rsidRDefault="00220C83" w:rsidP="00220C83">
      <w:bookmarkStart w:id="7105" w:name="_Toc96170335"/>
      <w:bookmarkStart w:id="7106" w:name="_Toc96234380"/>
      <w:bookmarkStart w:id="7107" w:name="_Toc112733817"/>
      <w:r w:rsidRPr="000665B0">
        <w:t xml:space="preserve">The </w:t>
      </w:r>
      <w:r w:rsidRPr="000665B0">
        <w:rPr>
          <w:i/>
        </w:rPr>
        <w:t>Strike Rehearsal Options</w:t>
      </w:r>
      <w:r w:rsidRPr="000665B0">
        <w:t xml:space="preserve"> window allows the user to customize TSRT settings for Comms Configuration, the Geographic Display, and Live FRU. </w:t>
      </w:r>
    </w:p>
    <w:p w14:paraId="6B1FEBC4" w14:textId="77777777" w:rsidR="00220C83" w:rsidRPr="000665B0" w:rsidRDefault="005B3651" w:rsidP="001A0CBD">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r w:rsidR="00220C83" w:rsidRPr="000665B0">
        <w:rPr>
          <w:b/>
        </w:rPr>
        <w:t>:</w:t>
      </w:r>
    </w:p>
    <w:p w14:paraId="42A4A228" w14:textId="31E5190F" w:rsidR="00220C83" w:rsidRPr="000665B0" w:rsidRDefault="00220C83" w:rsidP="001A0CBD">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szCs w:val="24"/>
        </w:rPr>
        <w:t xml:space="preserve">Once a rehearsal has been started, </w:t>
      </w:r>
      <w:r w:rsidR="00FA3D01" w:rsidRPr="000665B0">
        <w:rPr>
          <w:b/>
          <w:szCs w:val="24"/>
        </w:rPr>
        <w:t xml:space="preserve">the </w:t>
      </w:r>
      <w:r w:rsidRPr="000665B0">
        <w:rPr>
          <w:b/>
          <w:szCs w:val="24"/>
        </w:rPr>
        <w:t>Comms Configuration</w:t>
      </w:r>
      <w:r w:rsidR="0004144B" w:rsidRPr="000665B0">
        <w:rPr>
          <w:b/>
          <w:szCs w:val="24"/>
        </w:rPr>
        <w:t>,</w:t>
      </w:r>
      <w:r w:rsidRPr="000665B0">
        <w:rPr>
          <w:b/>
          <w:szCs w:val="24"/>
        </w:rPr>
        <w:t xml:space="preserve"> Live FRU</w:t>
      </w:r>
      <w:r w:rsidR="0004144B" w:rsidRPr="000665B0">
        <w:rPr>
          <w:b/>
          <w:szCs w:val="24"/>
        </w:rPr>
        <w:t>, and Response Times</w:t>
      </w:r>
      <w:r w:rsidRPr="000665B0">
        <w:rPr>
          <w:b/>
          <w:szCs w:val="24"/>
        </w:rPr>
        <w:t xml:space="preserve"> settings cannot be modified.</w:t>
      </w:r>
    </w:p>
    <w:p w14:paraId="40EDBE5C" w14:textId="77777777" w:rsidR="00220C83" w:rsidRPr="000665B0" w:rsidRDefault="00220C83" w:rsidP="006D5A65">
      <w:pPr>
        <w:pStyle w:val="Heading1"/>
      </w:pPr>
      <w:r w:rsidRPr="000665B0">
        <w:lastRenderedPageBreak/>
        <w:t>Navigate to the TSRT Activity Tool.</w:t>
      </w:r>
    </w:p>
    <w:p w14:paraId="7BACA37D" w14:textId="77777777" w:rsidR="00524D9A" w:rsidRPr="000665B0" w:rsidRDefault="00220C83" w:rsidP="006D5A65">
      <w:pPr>
        <w:pStyle w:val="Heading1"/>
      </w:pPr>
      <w:r w:rsidRPr="000665B0">
        <w:t>From the View menu</w:t>
      </w:r>
      <w:r w:rsidR="00524D9A" w:rsidRPr="000665B0">
        <w:t>,</w:t>
      </w:r>
      <w:r w:rsidRPr="000665B0">
        <w:t xml:space="preserve"> select Properties.</w:t>
      </w:r>
      <w:r w:rsidR="00524D9A" w:rsidRPr="000665B0">
        <w:t xml:space="preserve"> The </w:t>
      </w:r>
      <w:r w:rsidR="00524D9A" w:rsidRPr="000665B0">
        <w:rPr>
          <w:i/>
        </w:rPr>
        <w:t>TSRT Activities Properties</w:t>
      </w:r>
      <w:r w:rsidR="00524D9A" w:rsidRPr="000665B0">
        <w:t xml:space="preserve"> window is displayed.</w:t>
      </w:r>
    </w:p>
    <w:p w14:paraId="2908EAF9" w14:textId="3CF0CE7D" w:rsidR="00EF5B42" w:rsidRPr="000665B0" w:rsidRDefault="00C805DD" w:rsidP="00EF5B42">
      <w:pPr>
        <w:pStyle w:val="Number0205"/>
        <w:ind w:left="0" w:firstLine="0"/>
        <w:jc w:val="center"/>
      </w:pPr>
      <w:r w:rsidRPr="000665B0">
        <w:rPr>
          <w:noProof/>
        </w:rPr>
        <w:drawing>
          <wp:inline distT="0" distB="0" distL="0" distR="0" wp14:anchorId="29FF96D8" wp14:editId="275A274A">
            <wp:extent cx="2743200" cy="1444752"/>
            <wp:effectExtent l="0" t="0" r="0" b="3175"/>
            <wp:docPr id="1934" name="Picture 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1444752"/>
                    </a:xfrm>
                    <a:prstGeom prst="rect">
                      <a:avLst/>
                    </a:prstGeom>
                  </pic:spPr>
                </pic:pic>
              </a:graphicData>
            </a:graphic>
          </wp:inline>
        </w:drawing>
      </w:r>
    </w:p>
    <w:p w14:paraId="562B0FF9" w14:textId="77777777" w:rsidR="00220C83" w:rsidRPr="000665B0" w:rsidRDefault="00524D9A" w:rsidP="006D5A65">
      <w:pPr>
        <w:pStyle w:val="Heading1"/>
      </w:pPr>
      <w:r w:rsidRPr="000665B0">
        <w:t>Click the Strike Rehearsal… button.</w:t>
      </w:r>
      <w:r w:rsidR="00220C83" w:rsidRPr="000665B0">
        <w:t xml:space="preserve"> The </w:t>
      </w:r>
      <w:r w:rsidR="00220C83" w:rsidRPr="000665B0">
        <w:rPr>
          <w:i/>
        </w:rPr>
        <w:t>Strike Rehearsal Options</w:t>
      </w:r>
      <w:r w:rsidR="00220C83" w:rsidRPr="000665B0">
        <w:t xml:space="preserve"> window </w:t>
      </w:r>
      <w:r w:rsidR="00490447" w:rsidRPr="000665B0">
        <w:t>is</w:t>
      </w:r>
      <w:r w:rsidR="00220C83" w:rsidRPr="000665B0">
        <w:t xml:space="preserve"> displayed.</w:t>
      </w:r>
    </w:p>
    <w:p w14:paraId="4D10A22A" w14:textId="7D2E6B19" w:rsidR="00220C83" w:rsidRPr="000665B0" w:rsidRDefault="00C805DD" w:rsidP="00220C83">
      <w:pPr>
        <w:spacing w:after="240"/>
        <w:jc w:val="center"/>
      </w:pPr>
      <w:r w:rsidRPr="000665B0">
        <w:rPr>
          <w:noProof/>
        </w:rPr>
        <w:drawing>
          <wp:inline distT="0" distB="0" distL="0" distR="0" wp14:anchorId="23709ED5" wp14:editId="0FE59973">
            <wp:extent cx="2743200" cy="3648456"/>
            <wp:effectExtent l="0" t="0" r="0" b="0"/>
            <wp:docPr id="1945" name="Picture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3648456"/>
                    </a:xfrm>
                    <a:prstGeom prst="rect">
                      <a:avLst/>
                    </a:prstGeom>
                  </pic:spPr>
                </pic:pic>
              </a:graphicData>
            </a:graphic>
          </wp:inline>
        </w:drawing>
      </w:r>
    </w:p>
    <w:p w14:paraId="122A15E1" w14:textId="3D6A64EC" w:rsidR="007B0F18" w:rsidRPr="000665B0" w:rsidRDefault="00192B75" w:rsidP="006D5A65">
      <w:pPr>
        <w:pStyle w:val="Heading1"/>
      </w:pPr>
      <w:r w:rsidRPr="000665B0">
        <w:t xml:space="preserve">The </w:t>
      </w:r>
      <w:r w:rsidRPr="000665B0">
        <w:rPr>
          <w:bCs/>
          <w:i/>
          <w:iCs/>
        </w:rPr>
        <w:t>Comm</w:t>
      </w:r>
      <w:r w:rsidR="000629B8" w:rsidRPr="000665B0">
        <w:rPr>
          <w:bCs/>
          <w:i/>
          <w:iCs/>
        </w:rPr>
        <w:t>unications</w:t>
      </w:r>
      <w:r w:rsidRPr="000665B0">
        <w:t xml:space="preserve"> Tab – </w:t>
      </w:r>
      <w:r w:rsidR="005742B3" w:rsidRPr="000665B0">
        <w:t>Informs the user whether a real or simulated TCIP is being used. TSRT will simulate a TCIP if its TED distribution service does not have access to a real TCIP.</w:t>
      </w:r>
      <w:r w:rsidR="00D9663D" w:rsidRPr="000665B0">
        <w:t xml:space="preserve"> (This is based on the TCIP IP address that is set in the TED Distribution Service’s </w:t>
      </w:r>
      <w:r w:rsidR="00D9663D" w:rsidRPr="000665B0">
        <w:rPr>
          <w:i/>
        </w:rPr>
        <w:t>TDM Communication Properties</w:t>
      </w:r>
      <w:r w:rsidR="00D9663D" w:rsidRPr="000665B0">
        <w:t xml:space="preserve"> window </w:t>
      </w:r>
      <w:r w:rsidR="006B4683">
        <w:t>(</w:t>
      </w:r>
      <w:r w:rsidR="00D9663D" w:rsidRPr="000665B0">
        <w:t xml:space="preserve">see </w:t>
      </w:r>
      <w:hyperlink w:anchor="_5.3.1__Configuring" w:history="1">
        <w:r w:rsidR="00D9663D" w:rsidRPr="000665B0">
          <w:rPr>
            <w:rStyle w:val="Hyperlink"/>
          </w:rPr>
          <w:t>Section 5.3.1</w:t>
        </w:r>
      </w:hyperlink>
      <w:r w:rsidR="00EF325C">
        <w:t>).</w:t>
      </w:r>
      <w:r w:rsidR="00D9663D" w:rsidRPr="000665B0">
        <w:t xml:space="preserve"> If the TCIP IP address that is specified for </w:t>
      </w:r>
      <w:r w:rsidR="00D67D33" w:rsidRPr="000665B0">
        <w:t xml:space="preserve">Distribution Service </w:t>
      </w:r>
      <w:r w:rsidR="00D9663D" w:rsidRPr="000665B0">
        <w:t>is that of the machine hosting the TSRT user interface, TSRT will simulate a TCIP</w:t>
      </w:r>
      <w:r w:rsidR="00F45558">
        <w:t>,</w:t>
      </w:r>
      <w:r w:rsidR="00F45558" w:rsidRPr="000665B0">
        <w:t xml:space="preserve"> </w:t>
      </w:r>
      <w:r w:rsidR="00D9663D" w:rsidRPr="000665B0">
        <w:t>otherwise TSRT will assume that a real TCIP is available.)</w:t>
      </w:r>
      <w:r w:rsidR="005742B3" w:rsidRPr="000665B0">
        <w:t xml:space="preserve"> On the </w:t>
      </w:r>
      <w:r w:rsidR="005742B3" w:rsidRPr="000665B0">
        <w:rPr>
          <w:bCs/>
          <w:i/>
          <w:iCs/>
        </w:rPr>
        <w:t>Comm</w:t>
      </w:r>
      <w:r w:rsidR="00A964F0" w:rsidRPr="000665B0">
        <w:rPr>
          <w:bCs/>
          <w:i/>
          <w:iCs/>
        </w:rPr>
        <w:t>unication</w:t>
      </w:r>
      <w:r w:rsidR="005742B3" w:rsidRPr="000665B0">
        <w:rPr>
          <w:bCs/>
          <w:i/>
          <w:iCs/>
        </w:rPr>
        <w:t xml:space="preserve">s </w:t>
      </w:r>
      <w:r w:rsidR="005742B3" w:rsidRPr="000665B0">
        <w:t xml:space="preserve">tab, the user can select what the lag time will be for message </w:t>
      </w:r>
      <w:r w:rsidR="005742B3" w:rsidRPr="000665B0">
        <w:lastRenderedPageBreak/>
        <w:t>deliveries. If the “Real TCIP” is using live satellite resources, then a lag of zero seconds is recommended. If the “Real TCIP” is using a satellite simulator or other substitute, a lag time of about 1 minute is recommended.</w:t>
      </w:r>
      <w:r w:rsidR="007B0F18" w:rsidRPr="000665B0">
        <w:t xml:space="preserve"> </w:t>
      </w:r>
    </w:p>
    <w:p w14:paraId="73960C70" w14:textId="6AA413AD" w:rsidR="00192B75" w:rsidRPr="000665B0" w:rsidRDefault="00192B75" w:rsidP="00192B75">
      <w:pPr>
        <w:pStyle w:val="number02051"/>
        <w:ind w:left="720" w:firstLine="0"/>
      </w:pPr>
      <w:r w:rsidRPr="000665B0">
        <w:t xml:space="preserve">Also on the </w:t>
      </w:r>
      <w:r w:rsidRPr="000665B0">
        <w:rPr>
          <w:b/>
          <w:bCs/>
          <w:i/>
          <w:iCs/>
        </w:rPr>
        <w:t>Comm</w:t>
      </w:r>
      <w:r w:rsidR="00A964F0" w:rsidRPr="000665B0">
        <w:rPr>
          <w:b/>
          <w:bCs/>
          <w:i/>
          <w:iCs/>
        </w:rPr>
        <w:t>unication</w:t>
      </w:r>
      <w:r w:rsidRPr="000665B0">
        <w:rPr>
          <w:b/>
          <w:bCs/>
          <w:i/>
          <w:iCs/>
        </w:rPr>
        <w:t xml:space="preserve">s </w:t>
      </w:r>
      <w:r w:rsidRPr="000665B0">
        <w:t xml:space="preserve">tab, the TSN </w:t>
      </w:r>
      <w:r w:rsidR="00FA3D01" w:rsidRPr="000665B0">
        <w:t>modems available for TSRT to use during its simulation activities</w:t>
      </w:r>
      <w:r w:rsidRPr="000665B0">
        <w:t xml:space="preserve"> can be </w:t>
      </w:r>
      <w:r w:rsidR="00FA3D01" w:rsidRPr="000665B0">
        <w:t xml:space="preserve">viewed and/or </w:t>
      </w:r>
      <w:r w:rsidRPr="000665B0">
        <w:t xml:space="preserve">configured. When TSRT is simulating the TCIP, the user can choose how many modems TSRT should simulate. When using a real TCIP, </w:t>
      </w:r>
      <w:r w:rsidR="00FA3D01" w:rsidRPr="000665B0">
        <w:t xml:space="preserve">modem(s) shown are those connected to the TED. Note that the modem used by TED and MDS during strike execution (on port 9601) is not shown because it is not available for TSRT to use. See Appendix </w:t>
      </w:r>
      <w:r w:rsidR="003E57B7" w:rsidRPr="000665B0">
        <w:t>R</w:t>
      </w:r>
      <w:r w:rsidR="00FA3D01" w:rsidRPr="000665B0">
        <w:t xml:space="preserve">, </w:t>
      </w:r>
      <w:hyperlink w:anchor="_S-2.1__TSRT" w:history="1">
        <w:r w:rsidR="00FA3D01" w:rsidRPr="000665B0">
          <w:rPr>
            <w:rStyle w:val="Hyperlink"/>
          </w:rPr>
          <w:t xml:space="preserve">Section </w:t>
        </w:r>
        <w:r w:rsidR="003E57B7" w:rsidRPr="000665B0">
          <w:rPr>
            <w:rStyle w:val="Hyperlink"/>
          </w:rPr>
          <w:t>R</w:t>
        </w:r>
        <w:r w:rsidR="00D230CE" w:rsidRPr="000665B0">
          <w:rPr>
            <w:rStyle w:val="Hyperlink"/>
          </w:rPr>
          <w:t>.</w:t>
        </w:r>
        <w:r w:rsidR="00FA3D01" w:rsidRPr="000665B0">
          <w:rPr>
            <w:rStyle w:val="Hyperlink"/>
          </w:rPr>
          <w:t>2.1</w:t>
        </w:r>
      </w:hyperlink>
      <w:r w:rsidR="00FA3D01" w:rsidRPr="000665B0">
        <w:t>.</w:t>
      </w:r>
    </w:p>
    <w:p w14:paraId="5E680B43" w14:textId="442782DA" w:rsidR="001B46AC" w:rsidRPr="000665B0" w:rsidRDefault="001B46AC" w:rsidP="006D5A65">
      <w:pPr>
        <w:pStyle w:val="Heading1"/>
      </w:pPr>
      <w:r w:rsidRPr="000665B0">
        <w:rPr>
          <w:bCs/>
          <w:iCs/>
        </w:rPr>
        <w:t xml:space="preserve">The </w:t>
      </w:r>
      <w:r w:rsidRPr="000665B0">
        <w:rPr>
          <w:i/>
        </w:rPr>
        <w:t>Geographic Display</w:t>
      </w:r>
      <w:r w:rsidRPr="000665B0">
        <w:t xml:space="preserve"> Tab – Allows the user to choose which items will be displayed and control </w:t>
      </w:r>
      <w:r w:rsidR="00A02147" w:rsidRPr="000665B0">
        <w:t xml:space="preserve">how and </w:t>
      </w:r>
      <w:r w:rsidRPr="000665B0">
        <w:t>when to display them on the geographic display. For example, the user can select to display H&amp;S messages after transmission only or always. (‘Always’ means that each future H&amp;S message is placed on the Geo at an estimated location when the missile's route is displayed.)</w:t>
      </w:r>
      <w:r w:rsidR="00A02147" w:rsidRPr="000665B0">
        <w:t xml:space="preserve"> </w:t>
      </w:r>
      <w:r w:rsidR="00A02147" w:rsidRPr="000665B0">
        <w:rPr>
          <w:szCs w:val="24"/>
        </w:rPr>
        <w:t xml:space="preserve">See </w:t>
      </w:r>
      <w:r w:rsidR="00A02147" w:rsidRPr="000665B0">
        <w:t xml:space="preserve">Appendix </w:t>
      </w:r>
      <w:r w:rsidR="003E57B7" w:rsidRPr="000665B0">
        <w:t>R</w:t>
      </w:r>
      <w:r w:rsidR="00A02147" w:rsidRPr="000665B0">
        <w:t xml:space="preserve">, </w:t>
      </w:r>
      <w:hyperlink w:anchor="_S-2.2__TSRT" w:history="1">
        <w:r w:rsidR="00A02147" w:rsidRPr="000665B0">
          <w:rPr>
            <w:rStyle w:val="Hyperlink"/>
          </w:rPr>
          <w:t xml:space="preserve">Section </w:t>
        </w:r>
        <w:r w:rsidR="003E57B7" w:rsidRPr="000665B0">
          <w:rPr>
            <w:rStyle w:val="Hyperlink"/>
          </w:rPr>
          <w:t>R</w:t>
        </w:r>
        <w:r w:rsidR="00D230CE" w:rsidRPr="000665B0">
          <w:rPr>
            <w:rStyle w:val="Hyperlink"/>
          </w:rPr>
          <w:t>.</w:t>
        </w:r>
        <w:r w:rsidR="00A02147" w:rsidRPr="000665B0">
          <w:rPr>
            <w:rStyle w:val="Hyperlink"/>
          </w:rPr>
          <w:t>2.2</w:t>
        </w:r>
      </w:hyperlink>
      <w:r w:rsidR="00A02147" w:rsidRPr="000665B0">
        <w:rPr>
          <w:szCs w:val="24"/>
        </w:rPr>
        <w:t>.</w:t>
      </w:r>
    </w:p>
    <w:p w14:paraId="5884FCCE" w14:textId="65B3EC34" w:rsidR="00220C83" w:rsidRPr="000665B0" w:rsidRDefault="00220C83" w:rsidP="006D5A65">
      <w:pPr>
        <w:pStyle w:val="Heading1"/>
      </w:pPr>
      <w:r w:rsidRPr="000665B0">
        <w:t xml:space="preserve">The </w:t>
      </w:r>
      <w:r w:rsidRPr="000665B0">
        <w:rPr>
          <w:i/>
        </w:rPr>
        <w:t>Live FRU</w:t>
      </w:r>
      <w:r w:rsidRPr="000665B0">
        <w:t xml:space="preserve"> Tab – Allows for customization of the launch behavior when TSRT is waiting for an LER </w:t>
      </w:r>
      <w:r w:rsidR="00A02147" w:rsidRPr="000665B0">
        <w:t xml:space="preserve">from </w:t>
      </w:r>
      <w:r w:rsidRPr="000665B0">
        <w:t>a live TTWCS participant.</w:t>
      </w:r>
      <w:r w:rsidR="00A02147" w:rsidRPr="000665B0">
        <w:t xml:space="preserve"> </w:t>
      </w:r>
      <w:r w:rsidR="00A02147" w:rsidRPr="000665B0">
        <w:rPr>
          <w:szCs w:val="24"/>
        </w:rPr>
        <w:t xml:space="preserve">See </w:t>
      </w:r>
      <w:r w:rsidR="00A02147" w:rsidRPr="000665B0">
        <w:t xml:space="preserve">Appendix </w:t>
      </w:r>
      <w:r w:rsidR="003E57B7" w:rsidRPr="000665B0">
        <w:t>R</w:t>
      </w:r>
      <w:r w:rsidR="00A02147" w:rsidRPr="000665B0">
        <w:t xml:space="preserve">, </w:t>
      </w:r>
      <w:hyperlink w:anchor="_S-2.3__TSRT" w:history="1">
        <w:r w:rsidR="00A02147" w:rsidRPr="000665B0">
          <w:rPr>
            <w:rStyle w:val="Hyperlink"/>
          </w:rPr>
          <w:t xml:space="preserve">Section </w:t>
        </w:r>
        <w:r w:rsidR="003E57B7" w:rsidRPr="000665B0">
          <w:rPr>
            <w:rStyle w:val="Hyperlink"/>
          </w:rPr>
          <w:t>R</w:t>
        </w:r>
        <w:r w:rsidR="00D230CE" w:rsidRPr="000665B0">
          <w:rPr>
            <w:rStyle w:val="Hyperlink"/>
          </w:rPr>
          <w:t>.</w:t>
        </w:r>
        <w:r w:rsidR="00A02147" w:rsidRPr="000665B0">
          <w:rPr>
            <w:rStyle w:val="Hyperlink"/>
          </w:rPr>
          <w:t>2.3</w:t>
        </w:r>
      </w:hyperlink>
      <w:r w:rsidR="00A02147" w:rsidRPr="000665B0">
        <w:rPr>
          <w:szCs w:val="24"/>
        </w:rPr>
        <w:t>.</w:t>
      </w:r>
      <w:r w:rsidR="00D9663D" w:rsidRPr="000665B0">
        <w:rPr>
          <w:szCs w:val="24"/>
        </w:rPr>
        <w:t xml:space="preserve"> Current fleet practice is to not send LERs when a launch fails. To properly emulate fleet practice, the control should be set to assume that launches </w:t>
      </w:r>
      <w:r w:rsidR="00F37F8B" w:rsidRPr="000665B0">
        <w:rPr>
          <w:szCs w:val="24"/>
        </w:rPr>
        <w:t xml:space="preserve">have </w:t>
      </w:r>
      <w:r w:rsidR="00D9663D" w:rsidRPr="000665B0">
        <w:rPr>
          <w:szCs w:val="24"/>
        </w:rPr>
        <w:t>failed if an LER is not received.</w:t>
      </w:r>
    </w:p>
    <w:p w14:paraId="00E34128" w14:textId="4638AF54" w:rsidR="000629B8" w:rsidRPr="000665B0" w:rsidRDefault="000629B8" w:rsidP="006D5A65">
      <w:pPr>
        <w:pStyle w:val="Heading1"/>
      </w:pPr>
      <w:r w:rsidRPr="000665B0">
        <w:t xml:space="preserve">The </w:t>
      </w:r>
      <w:r w:rsidRPr="000665B0">
        <w:rPr>
          <w:i/>
        </w:rPr>
        <w:t>Response Times</w:t>
      </w:r>
      <w:r w:rsidRPr="000665B0">
        <w:t xml:space="preserve"> Tab – Allows for customization of response times and </w:t>
      </w:r>
      <w:r w:rsidR="0004144B" w:rsidRPr="000665B0">
        <w:t xml:space="preserve">an </w:t>
      </w:r>
      <w:r w:rsidRPr="000665B0">
        <w:t xml:space="preserve">allowable variation </w:t>
      </w:r>
      <w:r w:rsidR="0004144B" w:rsidRPr="000665B0">
        <w:t xml:space="preserve">using integer values in seconds </w:t>
      </w:r>
      <w:r w:rsidRPr="000665B0">
        <w:t xml:space="preserve">for the following. </w:t>
      </w:r>
      <w:r w:rsidRPr="000665B0">
        <w:rPr>
          <w:szCs w:val="24"/>
        </w:rPr>
        <w:t xml:space="preserve">See </w:t>
      </w:r>
      <w:r w:rsidRPr="000665B0">
        <w:t xml:space="preserve">Appendix </w:t>
      </w:r>
      <w:r w:rsidR="003E57B7" w:rsidRPr="000665B0">
        <w:t>R</w:t>
      </w:r>
      <w:r w:rsidRPr="000665B0">
        <w:t xml:space="preserve">, </w:t>
      </w:r>
      <w:hyperlink w:anchor="_S-2.4__TSRT" w:history="1">
        <w:r w:rsidRPr="000665B0">
          <w:rPr>
            <w:rStyle w:val="Hyperlink"/>
          </w:rPr>
          <w:t xml:space="preserve">Section </w:t>
        </w:r>
        <w:r w:rsidR="003E57B7" w:rsidRPr="000665B0">
          <w:rPr>
            <w:rStyle w:val="Hyperlink"/>
          </w:rPr>
          <w:t>R</w:t>
        </w:r>
        <w:r w:rsidR="00D230CE" w:rsidRPr="000665B0">
          <w:rPr>
            <w:rStyle w:val="Hyperlink"/>
          </w:rPr>
          <w:t>.</w:t>
        </w:r>
        <w:r w:rsidRPr="000665B0">
          <w:rPr>
            <w:rStyle w:val="Hyperlink"/>
          </w:rPr>
          <w:t>2.</w:t>
        </w:r>
        <w:r w:rsidR="00AB4958" w:rsidRPr="000665B0">
          <w:rPr>
            <w:rStyle w:val="Hyperlink"/>
          </w:rPr>
          <w:t>4</w:t>
        </w:r>
      </w:hyperlink>
      <w:r w:rsidRPr="000665B0">
        <w:rPr>
          <w:szCs w:val="24"/>
        </w:rPr>
        <w:t xml:space="preserve">. </w:t>
      </w:r>
    </w:p>
    <w:p w14:paraId="29475899" w14:textId="77777777" w:rsidR="000629B8" w:rsidRPr="000665B0" w:rsidRDefault="000629B8" w:rsidP="006D5A65">
      <w:pPr>
        <w:pStyle w:val="Heading1"/>
      </w:pPr>
      <w:r w:rsidRPr="000665B0">
        <w:t>Sending a SPEO after receiving an ESP.</w:t>
      </w:r>
    </w:p>
    <w:p w14:paraId="311EC0D9" w14:textId="77777777" w:rsidR="000629B8" w:rsidRPr="000665B0" w:rsidRDefault="000629B8" w:rsidP="006D5A65">
      <w:pPr>
        <w:pStyle w:val="Heading1"/>
      </w:pPr>
      <w:r w:rsidRPr="000665B0">
        <w:t>Sending an OWR after receiving an ESP.</w:t>
      </w:r>
    </w:p>
    <w:p w14:paraId="03D90CF4" w14:textId="77777777" w:rsidR="000629B8" w:rsidRDefault="000629B8" w:rsidP="006D5A65">
      <w:pPr>
        <w:pStyle w:val="Heading1"/>
      </w:pPr>
      <w:r w:rsidRPr="000665B0">
        <w:t>Sending a LER after successful missile launch.</w:t>
      </w:r>
    </w:p>
    <w:p w14:paraId="7B7CD1F6" w14:textId="3D5AA15A" w:rsidR="0041482B" w:rsidRPr="000665B0" w:rsidRDefault="0041482B" w:rsidP="006D5A65">
      <w:pPr>
        <w:pStyle w:val="Heading1"/>
      </w:pPr>
      <w:r w:rsidRPr="00001464">
        <w:t>Move RS, ARS, B to Pool after Launch</w:t>
      </w:r>
      <w:r w:rsidR="004C248C">
        <w:t>.</w:t>
      </w:r>
    </w:p>
    <w:p w14:paraId="38D2ACBE" w14:textId="77777777" w:rsidR="000629B8" w:rsidRPr="000665B0" w:rsidRDefault="000629B8" w:rsidP="006D5A65">
      <w:pPr>
        <w:pStyle w:val="Heading1"/>
      </w:pPr>
      <w:r w:rsidRPr="000665B0">
        <w:t>Sending a post-launch report after receiving a request.</w:t>
      </w:r>
    </w:p>
    <w:p w14:paraId="0539CAC8" w14:textId="77777777" w:rsidR="000629B8" w:rsidRPr="000665B0" w:rsidRDefault="000629B8" w:rsidP="006D5A65">
      <w:pPr>
        <w:pStyle w:val="Heading1"/>
      </w:pPr>
      <w:r w:rsidRPr="000665B0">
        <w:t>Sending a missile inventory report after receiving a request.</w:t>
      </w:r>
    </w:p>
    <w:p w14:paraId="15251D0C" w14:textId="77777777" w:rsidR="000629B8" w:rsidRPr="000665B0" w:rsidRDefault="000629B8" w:rsidP="006D5A65">
      <w:pPr>
        <w:pStyle w:val="Heading1"/>
      </w:pPr>
      <w:r w:rsidRPr="000665B0">
        <w:t>Launching a backup missile after receiving a SEM.</w:t>
      </w:r>
    </w:p>
    <w:p w14:paraId="09356E48" w14:textId="28E1B0FC" w:rsidR="0041482B" w:rsidRDefault="0004144B" w:rsidP="006D5A65">
      <w:pPr>
        <w:pStyle w:val="Heading1"/>
      </w:pPr>
      <w:r w:rsidRPr="00B17338">
        <w:rPr>
          <w:lang w:val="da-DK"/>
        </w:rPr>
        <w:t>Sending an NSP Filter Message.</w:t>
      </w:r>
      <w:r w:rsidR="00862111" w:rsidRPr="00B17338">
        <w:rPr>
          <w:lang w:val="da-DK"/>
        </w:rPr>
        <w:t xml:space="preserve"> </w:t>
      </w:r>
      <w:r w:rsidRPr="0041482B">
        <w:t>Sending an NSP Acknowledgement ACA in response to receiving an NSP Filter Message.</w:t>
      </w:r>
      <w:r w:rsidR="0041482B" w:rsidRPr="0041482B">
        <w:rPr>
          <w:szCs w:val="24"/>
        </w:rPr>
        <w:t xml:space="preserve"> </w:t>
      </w:r>
    </w:p>
    <w:p w14:paraId="4F8CFE9A" w14:textId="6409E0A2" w:rsidR="0041482B" w:rsidRDefault="0041482B" w:rsidP="0041482B">
      <w:pPr>
        <w:rPr>
          <w:rFonts w:eastAsia="Calibri"/>
        </w:rPr>
      </w:pPr>
      <w:r w:rsidRPr="0041482B">
        <w:rPr>
          <w:szCs w:val="24"/>
        </w:rPr>
        <w:t xml:space="preserve">The messages may be sent between the Nominal Time plus/minus the Allowable Variation. For example, if the Nominal Time is 300 seconds (5 minutes) with an allowable variation of 120 seconds (2 minutes), this results in a 3–7 minute window in which the message can be sent. The Nominal Time and Allowable Variation can be changed before initiating a rehearsal. </w:t>
      </w:r>
      <w:r w:rsidRPr="0041482B">
        <w:rPr>
          <w:rFonts w:eastAsia="Calibri"/>
        </w:rPr>
        <w:t xml:space="preserve">The settings are retained on a per-user basis. Each user’s set of response times is saved when the </w:t>
      </w:r>
      <w:r w:rsidRPr="0041482B">
        <w:rPr>
          <w:rFonts w:eastAsia="Calibri"/>
          <w:b/>
        </w:rPr>
        <w:t>OK</w:t>
      </w:r>
      <w:r w:rsidRPr="0041482B">
        <w:rPr>
          <w:rFonts w:eastAsia="Calibri"/>
        </w:rPr>
        <w:t xml:space="preserve"> button is clicked. When the </w:t>
      </w:r>
      <w:r w:rsidRPr="0041482B">
        <w:rPr>
          <w:rFonts w:eastAsia="Calibri"/>
          <w:i/>
        </w:rPr>
        <w:t>Strike Rehearsal Options</w:t>
      </w:r>
      <w:r w:rsidRPr="0041482B">
        <w:rPr>
          <w:rFonts w:eastAsia="Calibri"/>
        </w:rPr>
        <w:t xml:space="preserve"> window, </w:t>
      </w:r>
      <w:r w:rsidRPr="0041482B">
        <w:rPr>
          <w:rFonts w:eastAsia="Calibri"/>
          <w:b/>
        </w:rPr>
        <w:t>Response Times</w:t>
      </w:r>
      <w:r w:rsidRPr="0041482B">
        <w:rPr>
          <w:rFonts w:eastAsia="Calibri"/>
        </w:rPr>
        <w:t xml:space="preserve"> tab is opened in the future, the user’s previous settings are automatically loaded.</w:t>
      </w:r>
    </w:p>
    <w:p w14:paraId="2ED117AE" w14:textId="1856E974" w:rsidR="0041482B" w:rsidRPr="00BB4EBE" w:rsidRDefault="0041482B" w:rsidP="00BB4EBE">
      <w:pPr>
        <w:jc w:val="center"/>
        <w:rPr>
          <w:rFonts w:eastAsia="Calibri"/>
        </w:rPr>
      </w:pPr>
      <w:r>
        <w:rPr>
          <w:noProof/>
        </w:rPr>
        <w:lastRenderedPageBreak/>
        <w:drawing>
          <wp:inline distT="0" distB="0" distL="0" distR="0" wp14:anchorId="5946CA0D" wp14:editId="77CD81EC">
            <wp:extent cx="2743200" cy="3666744"/>
            <wp:effectExtent l="0" t="0" r="0" b="0"/>
            <wp:docPr id="604540437" name="Picture 6045404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40437" name="Picture 604540437" descr="Graphical user interface, application&#10;&#10;Description automatically generated"/>
                    <pic:cNvPicPr/>
                  </pic:nvPicPr>
                  <pic:blipFill>
                    <a:blip/>
                    <a:stretch>
                      <a:fillRect/>
                    </a:stretch>
                  </pic:blipFill>
                  <pic:spPr>
                    <a:xfrm>
                      <a:off x="0" y="0"/>
                      <a:ext cx="2743200" cy="3666744"/>
                    </a:xfrm>
                    <a:prstGeom prst="rect">
                      <a:avLst/>
                    </a:prstGeom>
                  </pic:spPr>
                </pic:pic>
              </a:graphicData>
            </a:graphic>
          </wp:inline>
        </w:drawing>
      </w:r>
    </w:p>
    <w:p w14:paraId="4BD8064A" w14:textId="305D477E" w:rsidR="005D1A26" w:rsidRPr="000665B0" w:rsidRDefault="00220C83" w:rsidP="000629B8">
      <w:pPr>
        <w:pStyle w:val="Heading3"/>
        <w:keepLines/>
      </w:pPr>
      <w:bookmarkStart w:id="7108" w:name="_5.40.2__Rehearsing"/>
      <w:bookmarkStart w:id="7109" w:name="_Rehearsing_a_Strike"/>
      <w:bookmarkStart w:id="7110" w:name="Rehearsing_a_Strike"/>
      <w:bookmarkStart w:id="7111" w:name="_Toc289328993"/>
      <w:bookmarkStart w:id="7112" w:name="_Toc312332118"/>
      <w:bookmarkStart w:id="7113" w:name="_Toc214283626"/>
      <w:bookmarkEnd w:id="7105"/>
      <w:bookmarkEnd w:id="7106"/>
      <w:bookmarkEnd w:id="7107"/>
      <w:bookmarkEnd w:id="7108"/>
      <w:bookmarkEnd w:id="7109"/>
      <w:r w:rsidRPr="000665B0">
        <w:t>Rehearsing a Strike</w:t>
      </w:r>
      <w:bookmarkEnd w:id="7110"/>
      <w:bookmarkEnd w:id="7111"/>
      <w:bookmarkEnd w:id="7112"/>
      <w:bookmarkEnd w:id="7113"/>
    </w:p>
    <w:p w14:paraId="39760FD0" w14:textId="77777777" w:rsidR="00220C83" w:rsidRPr="000665B0" w:rsidRDefault="005B3651" w:rsidP="00A0163E">
      <w:pPr>
        <w:pBdr>
          <w:top w:val="single" w:sz="12" w:space="1" w:color="auto"/>
          <w:left w:val="single" w:sz="12" w:space="4" w:color="auto"/>
          <w:bottom w:val="single" w:sz="12" w:space="1" w:color="auto"/>
          <w:right w:val="single" w:sz="12" w:space="4" w:color="auto"/>
        </w:pBdr>
        <w:shd w:val="clear" w:color="auto" w:fill="D9D9D9"/>
        <w:spacing w:after="0"/>
        <w:jc w:val="center"/>
        <w:rPr>
          <w:b/>
        </w:rPr>
      </w:pPr>
      <w:bookmarkStart w:id="7114" w:name="_Toc96170336"/>
      <w:bookmarkStart w:id="7115" w:name="_Toc96234381"/>
      <w:bookmarkStart w:id="7116" w:name="_Toc112733818"/>
      <w:r w:rsidRPr="000665B0">
        <w:rPr>
          <w:b/>
        </w:rPr>
        <w:t>Note</w:t>
      </w:r>
      <w:r w:rsidR="00220C83" w:rsidRPr="000665B0">
        <w:rPr>
          <w:b/>
        </w:rPr>
        <w:t xml:space="preserve">: </w:t>
      </w:r>
    </w:p>
    <w:p w14:paraId="01496A9E" w14:textId="21D39DE0" w:rsidR="00220C83" w:rsidRPr="000665B0" w:rsidRDefault="005742B3" w:rsidP="00A0163E">
      <w:pPr>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This procedure loads a rehearsal and displays the Scenario Director. It does not cause the MDS Strike Management Display (SMD) to be shown. To start both an SMD and the Scenario Director, initiate rehearsal from the MDS Strike Execution tool instead (</w:t>
      </w:r>
      <w:r w:rsidR="00D304FD" w:rsidRPr="000665B0">
        <w:rPr>
          <w:b/>
        </w:rPr>
        <w:t xml:space="preserve">see </w:t>
      </w:r>
      <w:hyperlink w:anchor="_5.38__STRIKE" w:history="1">
        <w:r w:rsidR="00E036B6" w:rsidRPr="000665B0">
          <w:rPr>
            <w:rStyle w:val="Hyperlink"/>
            <w:b/>
          </w:rPr>
          <w:t xml:space="preserve">Section </w:t>
        </w:r>
        <w:r w:rsidR="004231CC">
          <w:rPr>
            <w:rStyle w:val="Hyperlink"/>
            <w:b/>
          </w:rPr>
          <w:t>5.35</w:t>
        </w:r>
      </w:hyperlink>
      <w:r w:rsidRPr="000665B0">
        <w:rPr>
          <w:b/>
        </w:rPr>
        <w:t xml:space="preserve">). Doing so orders TSRT to rehearse the SAME Strike Execution folder as the SMD. It also allows a common clock to be </w:t>
      </w:r>
      <w:r w:rsidR="00986E97" w:rsidRPr="000665B0">
        <w:rPr>
          <w:b/>
        </w:rPr>
        <w:t>shared,</w:t>
      </w:r>
      <w:r w:rsidRPr="000665B0">
        <w:rPr>
          <w:b/>
        </w:rPr>
        <w:t xml:space="preserve"> which is necessary for the fast forward features in TSRT to work properly. The following procedure is for manually ordering TSRT to load an execution folder</w:t>
      </w:r>
      <w:r w:rsidR="001C43DC" w:rsidRPr="000665B0">
        <w:rPr>
          <w:b/>
        </w:rPr>
        <w:t>.</w:t>
      </w:r>
    </w:p>
    <w:p w14:paraId="788BF0E2" w14:textId="77777777" w:rsidR="00220C83" w:rsidRPr="000665B0" w:rsidRDefault="00220C83" w:rsidP="006D5A65">
      <w:pPr>
        <w:pStyle w:val="Heading1"/>
      </w:pPr>
      <w:r w:rsidRPr="000665B0">
        <w:t>Navigate to the TSRT Activity Tool.</w:t>
      </w:r>
    </w:p>
    <w:p w14:paraId="2BA504DE" w14:textId="77777777" w:rsidR="00220C83" w:rsidRPr="000665B0" w:rsidRDefault="00220C83" w:rsidP="006D5A65">
      <w:pPr>
        <w:pStyle w:val="Heading1"/>
      </w:pPr>
      <w:r w:rsidRPr="000665B0">
        <w:t xml:space="preserve">From the File menu select Open Strike Execution Folder…. The </w:t>
      </w:r>
      <w:r w:rsidRPr="000665B0">
        <w:rPr>
          <w:i/>
        </w:rPr>
        <w:t xml:space="preserve">Choose a strike execution folder to rehearse </w:t>
      </w:r>
      <w:r w:rsidRPr="000665B0">
        <w:t>window will be displayed.</w:t>
      </w:r>
    </w:p>
    <w:p w14:paraId="74B873EA" w14:textId="62E7C67E" w:rsidR="00220C83" w:rsidRPr="000665B0" w:rsidRDefault="00494124" w:rsidP="00220C83">
      <w:pPr>
        <w:jc w:val="center"/>
      </w:pPr>
      <w:r w:rsidRPr="000665B0">
        <w:rPr>
          <w:noProof/>
        </w:rPr>
        <w:drawing>
          <wp:inline distT="0" distB="0" distL="0" distR="0" wp14:anchorId="470E43BB" wp14:editId="4E449400">
            <wp:extent cx="4335780" cy="1591111"/>
            <wp:effectExtent l="0" t="0" r="0" b="0"/>
            <wp:docPr id="1168" name="Picture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350281" cy="1596432"/>
                    </a:xfrm>
                    <a:prstGeom prst="rect">
                      <a:avLst/>
                    </a:prstGeom>
                  </pic:spPr>
                </pic:pic>
              </a:graphicData>
            </a:graphic>
          </wp:inline>
        </w:drawing>
      </w:r>
    </w:p>
    <w:p w14:paraId="6343CBD8" w14:textId="77777777" w:rsidR="00220C83" w:rsidRPr="000665B0" w:rsidRDefault="00220C83" w:rsidP="006D5A65">
      <w:pPr>
        <w:pStyle w:val="Heading1"/>
      </w:pPr>
      <w:r w:rsidRPr="000665B0">
        <w:lastRenderedPageBreak/>
        <w:t>Highlight the appropriate Strike Execution Folder and click the OK button.</w:t>
      </w:r>
    </w:p>
    <w:p w14:paraId="3AF016C7" w14:textId="59CF2A3C" w:rsidR="001B46AC" w:rsidRPr="000665B0" w:rsidRDefault="001B46AC" w:rsidP="001B46AC">
      <w:pPr>
        <w:spacing w:after="0"/>
      </w:pPr>
      <w:r w:rsidRPr="000665B0">
        <w:t xml:space="preserve">Once the strike has been loaded the TSRT Scenario Director will be opened </w:t>
      </w:r>
      <w:r w:rsidR="00F45558" w:rsidRPr="000665B0">
        <w:t>automatically,</w:t>
      </w:r>
      <w:r w:rsidRPr="000665B0">
        <w:t xml:space="preserve"> and the operator will be able to start the rehearsal.</w:t>
      </w:r>
    </w:p>
    <w:p w14:paraId="27A6AD0E" w14:textId="6359D538" w:rsidR="00220C83" w:rsidRPr="000665B0" w:rsidRDefault="00220C83" w:rsidP="00B35EE5">
      <w:pPr>
        <w:pStyle w:val="Heading3"/>
      </w:pPr>
      <w:bookmarkStart w:id="7117" w:name="_Toc289328994"/>
      <w:bookmarkStart w:id="7118" w:name="_Toc312332119"/>
      <w:bookmarkStart w:id="7119" w:name="_Toc214283627"/>
      <w:r w:rsidRPr="000665B0">
        <w:t>Scenario Menu Features</w:t>
      </w:r>
      <w:bookmarkEnd w:id="7117"/>
      <w:bookmarkEnd w:id="7118"/>
      <w:bookmarkEnd w:id="7119"/>
    </w:p>
    <w:p w14:paraId="4049C6FB" w14:textId="77777777" w:rsidR="001B46AC" w:rsidRPr="000665B0" w:rsidRDefault="001B46AC" w:rsidP="001B46AC">
      <w:pPr>
        <w:pStyle w:val="Normal1"/>
        <w:spacing w:before="0" w:beforeAutospacing="0" w:after="0" w:afterAutospacing="0"/>
      </w:pPr>
      <w:bookmarkStart w:id="7120" w:name="_5.39.4.1__Strike"/>
      <w:bookmarkStart w:id="7121" w:name="_5.39.4.1__Strike_Status"/>
      <w:bookmarkStart w:id="7122" w:name="_5.39.4.2__Strike_Status"/>
      <w:bookmarkStart w:id="7123" w:name="_Toc118269414"/>
      <w:bookmarkStart w:id="7124" w:name="_Toc134585746"/>
      <w:bookmarkEnd w:id="7120"/>
      <w:bookmarkEnd w:id="7121"/>
      <w:bookmarkEnd w:id="7122"/>
      <w:r w:rsidRPr="000665B0">
        <w:t>A scenario is a collection of TSRT complications that is associated with an execution folder. The Scenario menu allows the user to create and modify scenarios and to view comms status information.</w:t>
      </w:r>
    </w:p>
    <w:p w14:paraId="69635D4E" w14:textId="1050D988" w:rsidR="00220C83" w:rsidRPr="000665B0" w:rsidRDefault="00220C83" w:rsidP="00B35EE5">
      <w:pPr>
        <w:pStyle w:val="Heading4"/>
      </w:pPr>
      <w:bookmarkStart w:id="7125" w:name="_Toc289328995"/>
      <w:r w:rsidRPr="000665B0">
        <w:t>Editor</w:t>
      </w:r>
      <w:bookmarkEnd w:id="7123"/>
      <w:bookmarkEnd w:id="7124"/>
      <w:bookmarkEnd w:id="7125"/>
    </w:p>
    <w:p w14:paraId="23FF562D" w14:textId="77777777" w:rsidR="001B46AC" w:rsidRPr="000665B0" w:rsidRDefault="001B46AC" w:rsidP="001B46AC">
      <w:r w:rsidRPr="000665B0">
        <w:t xml:space="preserve">The Scenario Editor allows the user to script the complications for a Strike Execution Folder. </w:t>
      </w:r>
    </w:p>
    <w:p w14:paraId="1599B1D9" w14:textId="77777777" w:rsidR="006B4411" w:rsidRPr="000665B0" w:rsidRDefault="006B4411" w:rsidP="006D5A65">
      <w:pPr>
        <w:pStyle w:val="Heading1"/>
      </w:pPr>
      <w:r w:rsidRPr="000665B0">
        <w:t xml:space="preserve">From the Go menu select TSRT Activity. </w:t>
      </w:r>
    </w:p>
    <w:p w14:paraId="44489FD5" w14:textId="77777777" w:rsidR="00220C83" w:rsidRPr="000665B0" w:rsidRDefault="00220C83" w:rsidP="006D5A65">
      <w:pPr>
        <w:pStyle w:val="Heading1"/>
      </w:pPr>
      <w:r w:rsidRPr="000665B0">
        <w:t xml:space="preserve">From the </w:t>
      </w:r>
      <w:r w:rsidRPr="000665B0">
        <w:rPr>
          <w:bCs/>
        </w:rPr>
        <w:t>Scenario</w:t>
      </w:r>
      <w:r w:rsidRPr="000665B0">
        <w:t xml:space="preserve"> menu select </w:t>
      </w:r>
      <w:r w:rsidRPr="000665B0">
        <w:rPr>
          <w:bCs/>
        </w:rPr>
        <w:t>Editor…</w:t>
      </w:r>
      <w:r w:rsidRPr="000665B0">
        <w:t xml:space="preserve">. The </w:t>
      </w:r>
      <w:r w:rsidRPr="000665B0">
        <w:rPr>
          <w:i/>
          <w:iCs/>
        </w:rPr>
        <w:t>Scenario Editor</w:t>
      </w:r>
      <w:r w:rsidRPr="000665B0">
        <w:t xml:space="preserve"> window </w:t>
      </w:r>
      <w:r w:rsidR="0098676D" w:rsidRPr="000665B0">
        <w:t>is</w:t>
      </w:r>
      <w:r w:rsidRPr="000665B0">
        <w:t xml:space="preserve"> displayed.</w:t>
      </w:r>
    </w:p>
    <w:p w14:paraId="31288B97" w14:textId="70B6BEBD" w:rsidR="00220C83" w:rsidRPr="000665B0" w:rsidRDefault="00494124" w:rsidP="00220C83">
      <w:pPr>
        <w:jc w:val="center"/>
      </w:pPr>
      <w:r w:rsidRPr="000665B0">
        <w:rPr>
          <w:noProof/>
        </w:rPr>
        <w:drawing>
          <wp:inline distT="0" distB="0" distL="0" distR="0" wp14:anchorId="1AA5C5C9" wp14:editId="0B8A76DA">
            <wp:extent cx="3657600" cy="1490472"/>
            <wp:effectExtent l="0" t="0" r="0" b="0"/>
            <wp:docPr id="1182"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1490472"/>
                    </a:xfrm>
                    <a:prstGeom prst="rect">
                      <a:avLst/>
                    </a:prstGeom>
                  </pic:spPr>
                </pic:pic>
              </a:graphicData>
            </a:graphic>
          </wp:inline>
        </w:drawing>
      </w:r>
    </w:p>
    <w:p w14:paraId="7B7FF831" w14:textId="77777777" w:rsidR="00220C83" w:rsidRPr="000665B0" w:rsidRDefault="00220C83" w:rsidP="00220C83">
      <w:r w:rsidRPr="000665B0">
        <w:t xml:space="preserve">To select </w:t>
      </w:r>
      <w:r w:rsidR="00FF709B" w:rsidRPr="000665B0">
        <w:t xml:space="preserve">the </w:t>
      </w:r>
      <w:r w:rsidRPr="000665B0">
        <w:t xml:space="preserve">execution folder to </w:t>
      </w:r>
      <w:r w:rsidR="0098676D" w:rsidRPr="000665B0">
        <w:t xml:space="preserve">create </w:t>
      </w:r>
      <w:r w:rsidR="00FF709B" w:rsidRPr="000665B0">
        <w:t xml:space="preserve">or </w:t>
      </w:r>
      <w:r w:rsidR="0098676D" w:rsidRPr="000665B0">
        <w:t>modify</w:t>
      </w:r>
      <w:r w:rsidRPr="000665B0">
        <w:t xml:space="preserve"> a scenario:</w:t>
      </w:r>
    </w:p>
    <w:p w14:paraId="776175EB" w14:textId="77777777" w:rsidR="00220C83" w:rsidRPr="000665B0" w:rsidRDefault="00220C83" w:rsidP="006D5A65">
      <w:pPr>
        <w:pStyle w:val="Heading1"/>
      </w:pPr>
      <w:r w:rsidRPr="000665B0">
        <w:t>From the File menu select Open Execution Folder….</w:t>
      </w:r>
    </w:p>
    <w:p w14:paraId="70F5BDF7" w14:textId="77777777" w:rsidR="00220C83" w:rsidRPr="000665B0" w:rsidRDefault="00220C83" w:rsidP="00220C83">
      <w:pPr>
        <w:ind w:left="360"/>
      </w:pPr>
      <w:r w:rsidRPr="000665B0">
        <w:t>or</w:t>
      </w:r>
    </w:p>
    <w:p w14:paraId="1E85A7D7" w14:textId="77777777" w:rsidR="00220C83" w:rsidRPr="000665B0" w:rsidRDefault="00220C83" w:rsidP="006D5A65">
      <w:pPr>
        <w:pStyle w:val="Heading1"/>
      </w:pPr>
      <w:r w:rsidRPr="000665B0">
        <w:t xml:space="preserve">Click the </w:t>
      </w:r>
      <w:r w:rsidRPr="000665B0">
        <w:rPr>
          <w:bCs/>
        </w:rPr>
        <w:t xml:space="preserve">Open Execution Folder </w:t>
      </w:r>
      <w:r w:rsidR="009A1FDF" w:rsidRPr="000665B0">
        <w:rPr>
          <w:bCs/>
          <w:noProof/>
        </w:rPr>
        <w:drawing>
          <wp:inline distT="0" distB="0" distL="0" distR="0" wp14:anchorId="475740A3" wp14:editId="7957901E">
            <wp:extent cx="228600" cy="219075"/>
            <wp:effectExtent l="19050" t="0" r="0" b="0"/>
            <wp:docPr id="927" name="Picture 927"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image002"/>
                    <pic:cNvPicPr>
                      <a:picLocks noChangeAspect="1" noChangeArrowheads="1"/>
                    </pic:cNvPicPr>
                  </pic:nvPicPr>
                  <pic:blipFill>
                    <a:blip cstate="print"/>
                    <a:srcRect/>
                    <a:stretch>
                      <a:fillRect/>
                    </a:stretch>
                  </pic:blipFill>
                  <pic:spPr bwMode="auto">
                    <a:xfrm>
                      <a:off x="0" y="0"/>
                      <a:ext cx="228600" cy="219075"/>
                    </a:xfrm>
                    <a:prstGeom prst="rect">
                      <a:avLst/>
                    </a:prstGeom>
                    <a:noFill/>
                    <a:ln w="9525">
                      <a:noFill/>
                      <a:miter lim="800000"/>
                      <a:headEnd/>
                      <a:tailEnd/>
                    </a:ln>
                  </pic:spPr>
                </pic:pic>
              </a:graphicData>
            </a:graphic>
          </wp:inline>
        </w:drawing>
      </w:r>
      <w:r w:rsidRPr="000665B0">
        <w:rPr>
          <w:bCs/>
        </w:rPr>
        <w:t xml:space="preserve"> </w:t>
      </w:r>
      <w:r w:rsidRPr="000665B0">
        <w:t xml:space="preserve">icon on the toolbar. The </w:t>
      </w:r>
      <w:r w:rsidRPr="000665B0">
        <w:rPr>
          <w:i/>
          <w:iCs/>
        </w:rPr>
        <w:t>Pick Execution Folder and Scenario</w:t>
      </w:r>
      <w:r w:rsidRPr="000665B0">
        <w:t xml:space="preserve"> window </w:t>
      </w:r>
      <w:r w:rsidR="0098676D" w:rsidRPr="000665B0">
        <w:t>is</w:t>
      </w:r>
      <w:r w:rsidRPr="000665B0">
        <w:t xml:space="preserve"> displayed, </w:t>
      </w:r>
      <w:r w:rsidRPr="000665B0">
        <w:lastRenderedPageBreak/>
        <w:t xml:space="preserve">allowing the user to select </w:t>
      </w:r>
      <w:r w:rsidR="00FF709B" w:rsidRPr="000665B0">
        <w:t xml:space="preserve">the </w:t>
      </w:r>
      <w:r w:rsidRPr="000665B0">
        <w:t xml:space="preserve">execution folder </w:t>
      </w:r>
      <w:r w:rsidR="006B4411" w:rsidRPr="000665B0">
        <w:t xml:space="preserve">for creating </w:t>
      </w:r>
      <w:r w:rsidRPr="000665B0">
        <w:t xml:space="preserve">or </w:t>
      </w:r>
      <w:r w:rsidR="0098676D" w:rsidRPr="000665B0">
        <w:t xml:space="preserve">modifying </w:t>
      </w:r>
      <w:r w:rsidRPr="000665B0">
        <w:t>a scenario.</w:t>
      </w:r>
    </w:p>
    <w:p w14:paraId="0884A75E" w14:textId="2DC0593D" w:rsidR="00220C83" w:rsidRPr="000665B0" w:rsidRDefault="00494124" w:rsidP="00220C83">
      <w:pPr>
        <w:jc w:val="center"/>
      </w:pPr>
      <w:r w:rsidRPr="000665B0">
        <w:rPr>
          <w:noProof/>
        </w:rPr>
        <w:drawing>
          <wp:inline distT="0" distB="0" distL="0" distR="0" wp14:anchorId="7058D438" wp14:editId="37888DE0">
            <wp:extent cx="4352117" cy="2164080"/>
            <wp:effectExtent l="0" t="0" r="0" b="0"/>
            <wp:docPr id="1230" name="Picture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381211" cy="2178547"/>
                    </a:xfrm>
                    <a:prstGeom prst="rect">
                      <a:avLst/>
                    </a:prstGeom>
                  </pic:spPr>
                </pic:pic>
              </a:graphicData>
            </a:graphic>
          </wp:inline>
        </w:drawing>
      </w:r>
      <w:r w:rsidRPr="000665B0">
        <w:rPr>
          <w:noProof/>
        </w:rPr>
        <w:t xml:space="preserve"> </w:t>
      </w:r>
    </w:p>
    <w:p w14:paraId="641586D4" w14:textId="77777777" w:rsidR="006B4411" w:rsidRPr="000665B0" w:rsidRDefault="005D48EE" w:rsidP="006D5A65">
      <w:pPr>
        <w:pStyle w:val="Heading1"/>
      </w:pPr>
      <w:r w:rsidRPr="000665B0">
        <w:t xml:space="preserve">In </w:t>
      </w:r>
      <w:r w:rsidR="00220C83" w:rsidRPr="000665B0">
        <w:t xml:space="preserve">the </w:t>
      </w:r>
      <w:r w:rsidR="00220C83" w:rsidRPr="000665B0">
        <w:rPr>
          <w:i/>
          <w:iCs/>
        </w:rPr>
        <w:t>Pick Execution Folder and Scenario</w:t>
      </w:r>
      <w:r w:rsidR="00220C83" w:rsidRPr="000665B0">
        <w:t xml:space="preserve"> window, </w:t>
      </w:r>
      <w:r w:rsidR="008764CF" w:rsidRPr="000665B0">
        <w:t xml:space="preserve">click on </w:t>
      </w:r>
      <w:r w:rsidR="00220C83" w:rsidRPr="000665B0">
        <w:t>the desired execution folder</w:t>
      </w:r>
      <w:r w:rsidR="006B4411" w:rsidRPr="000665B0">
        <w:t>.</w:t>
      </w:r>
      <w:r w:rsidR="00220C83" w:rsidRPr="000665B0">
        <w:t xml:space="preserve"> </w:t>
      </w:r>
    </w:p>
    <w:p w14:paraId="28E2705F" w14:textId="77777777" w:rsidR="006B4411" w:rsidRPr="000665B0" w:rsidRDefault="006B4411" w:rsidP="006D5A65">
      <w:pPr>
        <w:pStyle w:val="Heading1"/>
      </w:pPr>
      <w:r w:rsidRPr="000665B0">
        <w:t>S</w:t>
      </w:r>
      <w:r w:rsidR="00544A81" w:rsidRPr="000665B0">
        <w:t xml:space="preserve">elect the New radio button </w:t>
      </w:r>
      <w:r w:rsidR="00220C83" w:rsidRPr="000665B0">
        <w:t xml:space="preserve">to </w:t>
      </w:r>
      <w:r w:rsidR="0098676D" w:rsidRPr="000665B0">
        <w:t xml:space="preserve">create </w:t>
      </w:r>
      <w:r w:rsidR="00220C83" w:rsidRPr="000665B0">
        <w:t>a new scenario</w:t>
      </w:r>
      <w:r w:rsidR="008B43D5" w:rsidRPr="000665B0">
        <w:t>.</w:t>
      </w:r>
      <w:r w:rsidR="00220C83" w:rsidRPr="000665B0">
        <w:t xml:space="preserve"> </w:t>
      </w:r>
    </w:p>
    <w:p w14:paraId="11FDC1EF" w14:textId="77777777" w:rsidR="006B4411" w:rsidRPr="000665B0" w:rsidRDefault="00220C83" w:rsidP="00964F34">
      <w:pPr>
        <w:pStyle w:val="number02050"/>
        <w:ind w:left="720" w:firstLine="0"/>
      </w:pPr>
      <w:r w:rsidRPr="000665B0">
        <w:t xml:space="preserve">or </w:t>
      </w:r>
    </w:p>
    <w:p w14:paraId="4F05A3FF" w14:textId="7B94344F" w:rsidR="00220C83" w:rsidRPr="000665B0" w:rsidRDefault="006B4411" w:rsidP="006D5A65">
      <w:pPr>
        <w:pStyle w:val="Heading1"/>
      </w:pPr>
      <w:r w:rsidRPr="000665B0">
        <w:t xml:space="preserve">Select the Existing radio button to select </w:t>
      </w:r>
      <w:r w:rsidR="00220C83" w:rsidRPr="000665B0">
        <w:t xml:space="preserve">an existing scenario to </w:t>
      </w:r>
      <w:r w:rsidR="0098676D" w:rsidRPr="000665B0">
        <w:t>modify</w:t>
      </w:r>
      <w:r w:rsidR="00220C83" w:rsidRPr="000665B0">
        <w:t xml:space="preserve">. </w:t>
      </w:r>
      <w:r w:rsidRPr="000665B0">
        <w:t xml:space="preserve">Select the desired scenario from the </w:t>
      </w:r>
      <w:r w:rsidR="00F45558" w:rsidRPr="000665B0">
        <w:t>pull-down</w:t>
      </w:r>
      <w:r w:rsidRPr="000665B0">
        <w:t xml:space="preserve"> menu.</w:t>
      </w:r>
    </w:p>
    <w:p w14:paraId="267153FE" w14:textId="1A08069A" w:rsidR="00220C83" w:rsidRPr="000665B0" w:rsidRDefault="00220C83" w:rsidP="006D5A65">
      <w:pPr>
        <w:pStyle w:val="Heading1"/>
      </w:pPr>
      <w:r w:rsidRPr="000665B0">
        <w:t xml:space="preserve">Click the </w:t>
      </w:r>
      <w:r w:rsidRPr="000665B0">
        <w:rPr>
          <w:bCs/>
        </w:rPr>
        <w:t>OK</w:t>
      </w:r>
      <w:r w:rsidRPr="000665B0">
        <w:t xml:space="preserve"> button. The </w:t>
      </w:r>
      <w:r w:rsidRPr="000665B0">
        <w:rPr>
          <w:i/>
          <w:iCs/>
        </w:rPr>
        <w:t xml:space="preserve">Scenario Editor for </w:t>
      </w:r>
      <w:r w:rsidR="00C722B4" w:rsidRPr="000665B0">
        <w:rPr>
          <w:i/>
          <w:iCs/>
        </w:rPr>
        <w:t xml:space="preserve">new </w:t>
      </w:r>
      <w:r w:rsidRPr="000665B0">
        <w:rPr>
          <w:i/>
          <w:iCs/>
        </w:rPr>
        <w:t xml:space="preserve">Scenario in Execution Folder </w:t>
      </w:r>
      <w:r w:rsidR="00C722B4" w:rsidRPr="000665B0">
        <w:rPr>
          <w:i/>
          <w:iCs/>
        </w:rPr>
        <w:t>xxxxx-</w:t>
      </w:r>
      <w:r w:rsidRPr="000665B0">
        <w:rPr>
          <w:i/>
          <w:iCs/>
        </w:rPr>
        <w:t>xxxxx</w:t>
      </w:r>
      <w:r w:rsidRPr="000665B0">
        <w:rPr>
          <w:iCs/>
        </w:rPr>
        <w:t xml:space="preserve"> </w:t>
      </w:r>
      <w:r w:rsidR="00F5521D" w:rsidRPr="000665B0">
        <w:rPr>
          <w:iCs/>
        </w:rPr>
        <w:t xml:space="preserve">window </w:t>
      </w:r>
      <w:r w:rsidR="0098676D" w:rsidRPr="000665B0">
        <w:t>is</w:t>
      </w:r>
      <w:r w:rsidRPr="000665B0">
        <w:t xml:space="preserve"> displayed </w:t>
      </w:r>
      <w:r w:rsidR="000A6DE3" w:rsidRPr="000665B0">
        <w:t>and its tabs are populated with the entities (FRUs, Missiles, Comms</w:t>
      </w:r>
      <w:r w:rsidR="00C805DD" w:rsidRPr="000665B0">
        <w:t>, and Areas</w:t>
      </w:r>
      <w:r w:rsidR="000A6DE3" w:rsidRPr="000665B0">
        <w:t>) participating in the strike</w:t>
      </w:r>
      <w:r w:rsidRPr="000665B0">
        <w:t>.</w:t>
      </w:r>
      <w:r w:rsidR="005D48EE" w:rsidRPr="000665B0">
        <w:t xml:space="preserve"> (The window name varies depending on whether a new or existing scenario was selected in the previous step.)</w:t>
      </w:r>
    </w:p>
    <w:p w14:paraId="64AFEF65" w14:textId="40F20B27" w:rsidR="00220C83" w:rsidRPr="000665B0" w:rsidRDefault="00494124" w:rsidP="00220C83">
      <w:pPr>
        <w:jc w:val="center"/>
      </w:pPr>
      <w:r w:rsidRPr="000665B0">
        <w:rPr>
          <w:noProof/>
        </w:rPr>
        <w:drawing>
          <wp:inline distT="0" distB="0" distL="0" distR="0" wp14:anchorId="6EA85C3B" wp14:editId="09B520CC">
            <wp:extent cx="3657600" cy="1746504"/>
            <wp:effectExtent l="0" t="0" r="0" b="6350"/>
            <wp:docPr id="1214" name="Picture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1746504"/>
                    </a:xfrm>
                    <a:prstGeom prst="rect">
                      <a:avLst/>
                    </a:prstGeom>
                  </pic:spPr>
                </pic:pic>
              </a:graphicData>
            </a:graphic>
          </wp:inline>
        </w:drawing>
      </w:r>
    </w:p>
    <w:p w14:paraId="4C7FD167" w14:textId="572A0CD3" w:rsidR="00220C83" w:rsidRPr="000665B0" w:rsidRDefault="00F82F8F" w:rsidP="006D5A65">
      <w:pPr>
        <w:pStyle w:val="Heading1"/>
      </w:pPr>
      <w:r w:rsidRPr="000665B0">
        <w:t>New complications</w:t>
      </w:r>
      <w:r w:rsidR="001C4B04" w:rsidRPr="000665B0">
        <w:t xml:space="preserve"> can be created </w:t>
      </w:r>
      <w:r w:rsidR="001B46AC" w:rsidRPr="000665B0">
        <w:t xml:space="preserve">by </w:t>
      </w:r>
      <w:r w:rsidR="001C4B04" w:rsidRPr="000665B0">
        <w:t xml:space="preserve">selecting the tab for the appropriate </w:t>
      </w:r>
      <w:r w:rsidR="00C722B4" w:rsidRPr="000665B0">
        <w:t>entity (</w:t>
      </w:r>
      <w:r w:rsidR="00C722B4" w:rsidRPr="000665B0">
        <w:rPr>
          <w:i/>
        </w:rPr>
        <w:t>FRU</w:t>
      </w:r>
      <w:r w:rsidR="00C722B4" w:rsidRPr="000665B0">
        <w:t xml:space="preserve">, </w:t>
      </w:r>
      <w:r w:rsidR="00C722B4" w:rsidRPr="000665B0">
        <w:rPr>
          <w:i/>
        </w:rPr>
        <w:t>Missile</w:t>
      </w:r>
      <w:r w:rsidR="00C722B4" w:rsidRPr="000665B0">
        <w:t>,</w:t>
      </w:r>
      <w:r w:rsidR="00494124" w:rsidRPr="000665B0">
        <w:t xml:space="preserve"> </w:t>
      </w:r>
      <w:r w:rsidR="00C805DD" w:rsidRPr="000665B0">
        <w:rPr>
          <w:i/>
        </w:rPr>
        <w:t>Comms</w:t>
      </w:r>
      <w:r w:rsidR="00F113AB" w:rsidRPr="000665B0">
        <w:t xml:space="preserve">, or </w:t>
      </w:r>
      <w:r w:rsidR="00F113AB" w:rsidRPr="000665B0">
        <w:rPr>
          <w:i/>
        </w:rPr>
        <w:t>Area</w:t>
      </w:r>
      <w:r w:rsidR="00791379" w:rsidRPr="000665B0">
        <w:rPr>
          <w:i/>
        </w:rPr>
        <w:t>s</w:t>
      </w:r>
      <w:r w:rsidR="00F113AB" w:rsidRPr="000665B0">
        <w:t xml:space="preserve"> </w:t>
      </w:r>
      <w:r w:rsidR="006B4683">
        <w:t>(</w:t>
      </w:r>
      <w:r w:rsidR="00F113AB" w:rsidRPr="000665B0">
        <w:t xml:space="preserve">see </w:t>
      </w:r>
      <w:hyperlink w:anchor="_Create_or_Edit_1" w:history="1">
        <w:r w:rsidR="00F113AB" w:rsidRPr="000665B0">
          <w:rPr>
            <w:rStyle w:val="Hyperlink"/>
          </w:rPr>
          <w:t xml:space="preserve">Section </w:t>
        </w:r>
        <w:r w:rsidR="004231CC">
          <w:rPr>
            <w:rStyle w:val="Hyperlink"/>
          </w:rPr>
          <w:t>5.38</w:t>
        </w:r>
        <w:r w:rsidR="00F113AB" w:rsidRPr="000665B0">
          <w:rPr>
            <w:rStyle w:val="Hyperlink"/>
          </w:rPr>
          <w:t>.3.1.1</w:t>
        </w:r>
      </w:hyperlink>
      <w:r w:rsidR="006B4683">
        <w:t>)</w:t>
      </w:r>
      <w:r w:rsidR="006B4683" w:rsidRPr="000665B0">
        <w:t xml:space="preserve">), </w:t>
      </w:r>
      <w:r w:rsidR="001C4B04" w:rsidRPr="000665B0">
        <w:t xml:space="preserve">by </w:t>
      </w:r>
      <w:r w:rsidR="000A6DE3" w:rsidRPr="000665B0">
        <w:t xml:space="preserve">selecting </w:t>
      </w:r>
      <w:r w:rsidR="001C4B04" w:rsidRPr="000665B0">
        <w:t xml:space="preserve">the required </w:t>
      </w:r>
      <w:r w:rsidR="00C722B4" w:rsidRPr="000665B0">
        <w:t>entity</w:t>
      </w:r>
      <w:r w:rsidR="00395AC6" w:rsidRPr="000665B0">
        <w:t xml:space="preserve">’s </w:t>
      </w:r>
      <w:r w:rsidR="000A6DE3" w:rsidRPr="000665B0">
        <w:t>name</w:t>
      </w:r>
      <w:r w:rsidR="001C4B04" w:rsidRPr="000665B0">
        <w:t>, invoking the context menu</w:t>
      </w:r>
      <w:r w:rsidR="000A6DE3" w:rsidRPr="000665B0">
        <w:t xml:space="preserve"> </w:t>
      </w:r>
      <w:r w:rsidR="001C4B04" w:rsidRPr="000665B0">
        <w:t>(</w:t>
      </w:r>
      <w:r w:rsidR="00D71804" w:rsidRPr="000665B0">
        <w:t>right-click</w:t>
      </w:r>
      <w:r w:rsidR="001C4B04" w:rsidRPr="000665B0">
        <w:t xml:space="preserve"> the mouse)</w:t>
      </w:r>
      <w:r w:rsidR="00F5521D" w:rsidRPr="000665B0">
        <w:t>,</w:t>
      </w:r>
      <w:r w:rsidR="001C4B04" w:rsidRPr="000665B0">
        <w:t xml:space="preserve"> and selecting </w:t>
      </w:r>
      <w:r w:rsidR="001C4B04" w:rsidRPr="000665B0">
        <w:rPr>
          <w:bCs/>
        </w:rPr>
        <w:t>Complications…</w:t>
      </w:r>
      <w:r w:rsidR="007A1E4C" w:rsidRPr="000665B0">
        <w:rPr>
          <w:bCs/>
        </w:rPr>
        <w:t xml:space="preserve">, </w:t>
      </w:r>
      <w:r w:rsidR="001C4B04" w:rsidRPr="000665B0">
        <w:rPr>
          <w:bCs/>
        </w:rPr>
        <w:t xml:space="preserve">or by double-clicking on the </w:t>
      </w:r>
      <w:r w:rsidR="00C722B4" w:rsidRPr="000665B0">
        <w:rPr>
          <w:bCs/>
        </w:rPr>
        <w:t>entity</w:t>
      </w:r>
      <w:r w:rsidR="00395AC6" w:rsidRPr="000665B0">
        <w:rPr>
          <w:bCs/>
        </w:rPr>
        <w:t xml:space="preserve">’s </w:t>
      </w:r>
      <w:r w:rsidR="000A6DE3" w:rsidRPr="000665B0">
        <w:rPr>
          <w:bCs/>
        </w:rPr>
        <w:t>name</w:t>
      </w:r>
      <w:r w:rsidR="001C4B04" w:rsidRPr="000665B0">
        <w:t xml:space="preserve">. The </w:t>
      </w:r>
      <w:r w:rsidR="001C4B04" w:rsidRPr="000665B0">
        <w:rPr>
          <w:i/>
          <w:iCs/>
        </w:rPr>
        <w:t>Complication</w:t>
      </w:r>
      <w:r w:rsidR="00E07257" w:rsidRPr="000665B0">
        <w:rPr>
          <w:i/>
          <w:iCs/>
        </w:rPr>
        <w:t xml:space="preserve"> for </w:t>
      </w:r>
      <w:r w:rsidR="0032279F" w:rsidRPr="000665B0">
        <w:rPr>
          <w:i/>
          <w:iCs/>
        </w:rPr>
        <w:t>XXXXX</w:t>
      </w:r>
      <w:r w:rsidR="001C4B04" w:rsidRPr="000665B0">
        <w:t xml:space="preserve"> window for the </w:t>
      </w:r>
      <w:r w:rsidR="001C4B04" w:rsidRPr="000665B0">
        <w:lastRenderedPageBreak/>
        <w:t xml:space="preserve">selected </w:t>
      </w:r>
      <w:r w:rsidR="00C722B4" w:rsidRPr="000665B0">
        <w:t xml:space="preserve">entity </w:t>
      </w:r>
      <w:r w:rsidRPr="000665B0">
        <w:t>is</w:t>
      </w:r>
      <w:r w:rsidR="001C4B04" w:rsidRPr="000665B0">
        <w:t xml:space="preserve"> displayed. For information on creating</w:t>
      </w:r>
      <w:r w:rsidRPr="000665B0">
        <w:t xml:space="preserve"> new</w:t>
      </w:r>
      <w:r w:rsidR="001C4B04" w:rsidRPr="000665B0">
        <w:t xml:space="preserve"> </w:t>
      </w:r>
      <w:r w:rsidR="000A6DE3" w:rsidRPr="000665B0">
        <w:t xml:space="preserve">complications </w:t>
      </w:r>
      <w:r w:rsidR="001C4B04" w:rsidRPr="000665B0">
        <w:t xml:space="preserve">see </w:t>
      </w:r>
      <w:hyperlink w:anchor="_5.39.13.1__Creating" w:history="1">
        <w:r w:rsidR="00220C83" w:rsidRPr="000665B0">
          <w:rPr>
            <w:rStyle w:val="Hyperlink"/>
          </w:rPr>
          <w:t xml:space="preserve">Section </w:t>
        </w:r>
        <w:r w:rsidR="004231CC">
          <w:rPr>
            <w:rStyle w:val="Hyperlink"/>
          </w:rPr>
          <w:t>5.37</w:t>
        </w:r>
        <w:r w:rsidR="006E219C" w:rsidRPr="000665B0">
          <w:rPr>
            <w:rStyle w:val="Hyperlink"/>
          </w:rPr>
          <w:t>.</w:t>
        </w:r>
        <w:r w:rsidR="002A4B19" w:rsidRPr="000665B0">
          <w:rPr>
            <w:rStyle w:val="Hyperlink"/>
          </w:rPr>
          <w:t>14</w:t>
        </w:r>
        <w:r w:rsidR="006E219C" w:rsidRPr="000665B0">
          <w:rPr>
            <w:rStyle w:val="Hyperlink"/>
          </w:rPr>
          <w:t>.1</w:t>
        </w:r>
      </w:hyperlink>
      <w:r w:rsidR="00220C83" w:rsidRPr="000665B0">
        <w:t>.</w:t>
      </w:r>
    </w:p>
    <w:p w14:paraId="5E9142D8" w14:textId="1956EEF7" w:rsidR="00220C83" w:rsidRPr="000665B0" w:rsidRDefault="00494124" w:rsidP="00D356F6">
      <w:pPr>
        <w:jc w:val="center"/>
      </w:pPr>
      <w:r w:rsidRPr="000665B0">
        <w:rPr>
          <w:noProof/>
        </w:rPr>
        <w:drawing>
          <wp:inline distT="0" distB="0" distL="0" distR="0" wp14:anchorId="62310F65" wp14:editId="38660407">
            <wp:extent cx="4572000" cy="1124712"/>
            <wp:effectExtent l="0" t="0" r="0" b="0"/>
            <wp:docPr id="1215" name="Picture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1124712"/>
                    </a:xfrm>
                    <a:prstGeom prst="rect">
                      <a:avLst/>
                    </a:prstGeom>
                  </pic:spPr>
                </pic:pic>
              </a:graphicData>
            </a:graphic>
          </wp:inline>
        </w:drawing>
      </w:r>
    </w:p>
    <w:p w14:paraId="05BE3DED" w14:textId="16BC4A88" w:rsidR="006C4EAF" w:rsidRPr="000665B0" w:rsidRDefault="000A6DE3" w:rsidP="006D5A65">
      <w:pPr>
        <w:pStyle w:val="Heading2"/>
      </w:pPr>
      <w:r w:rsidRPr="000665B0">
        <w:t xml:space="preserve">Choose the </w:t>
      </w:r>
      <w:r w:rsidR="008B43D5" w:rsidRPr="000665B0">
        <w:t>Variety</w:t>
      </w:r>
      <w:r w:rsidRPr="000665B0">
        <w:t xml:space="preserve"> of complication from the </w:t>
      </w:r>
      <w:r w:rsidR="00636741" w:rsidRPr="000665B0">
        <w:t>drop-down</w:t>
      </w:r>
      <w:r w:rsidRPr="000665B0">
        <w:t xml:space="preserve"> list and </w:t>
      </w:r>
      <w:r w:rsidR="00F82F8F" w:rsidRPr="000665B0">
        <w:t>enter</w:t>
      </w:r>
      <w:r w:rsidRPr="000665B0">
        <w:t xml:space="preserve"> the </w:t>
      </w:r>
      <w:r w:rsidR="00080A0B" w:rsidRPr="000665B0">
        <w:t xml:space="preserve">remaining </w:t>
      </w:r>
      <w:r w:rsidRPr="000665B0">
        <w:t>complication parameters as needed. C</w:t>
      </w:r>
      <w:r w:rsidR="00F82F8F" w:rsidRPr="000665B0">
        <w:t>lick</w:t>
      </w:r>
      <w:r w:rsidR="006C4EAF" w:rsidRPr="000665B0">
        <w:t xml:space="preserve"> OK to </w:t>
      </w:r>
      <w:r w:rsidR="00107EDB" w:rsidRPr="000665B0">
        <w:t>confirm</w:t>
      </w:r>
      <w:r w:rsidR="006C4EAF" w:rsidRPr="000665B0">
        <w:t xml:space="preserve"> the </w:t>
      </w:r>
      <w:r w:rsidR="00C722B4" w:rsidRPr="000665B0">
        <w:t xml:space="preserve">new </w:t>
      </w:r>
      <w:r w:rsidR="006C4EAF" w:rsidRPr="000665B0">
        <w:t xml:space="preserve">complication or Cancel to </w:t>
      </w:r>
      <w:r w:rsidR="007B480D" w:rsidRPr="000665B0">
        <w:t>abandon</w:t>
      </w:r>
      <w:r w:rsidR="006C4EAF" w:rsidRPr="000665B0">
        <w:t xml:space="preserve"> the process.</w:t>
      </w:r>
    </w:p>
    <w:p w14:paraId="6E5A5E53" w14:textId="030DB66A" w:rsidR="000A6DE3" w:rsidRPr="000665B0" w:rsidRDefault="00F82F8F" w:rsidP="006D5A65">
      <w:pPr>
        <w:pStyle w:val="Heading1"/>
      </w:pPr>
      <w:r w:rsidRPr="000665B0">
        <w:t>Existing c</w:t>
      </w:r>
      <w:r w:rsidR="000A6DE3" w:rsidRPr="000665B0">
        <w:t xml:space="preserve">omplications can be modified by </w:t>
      </w:r>
      <w:r w:rsidR="00E60FA2" w:rsidRPr="000665B0">
        <w:t xml:space="preserve">selecting the View </w:t>
      </w:r>
      <w:r w:rsidR="00E60FA2" w:rsidRPr="000665B0">
        <w:sym w:font="Wingdings" w:char="F0E0"/>
      </w:r>
      <w:r w:rsidR="000A6DE3" w:rsidRPr="000665B0">
        <w:t xml:space="preserve"> Scenario Complications</w:t>
      </w:r>
      <w:r w:rsidR="00F5521D" w:rsidRPr="000665B0">
        <w:t>…</w:t>
      </w:r>
      <w:r w:rsidR="000A6DE3" w:rsidRPr="000665B0">
        <w:t xml:space="preserve"> menu. The </w:t>
      </w:r>
      <w:r w:rsidR="000A6DE3" w:rsidRPr="000665B0">
        <w:rPr>
          <w:i/>
        </w:rPr>
        <w:t>Scenario Complications for Execution Folder XXXXX</w:t>
      </w:r>
      <w:r w:rsidR="000A6DE3" w:rsidRPr="000665B0">
        <w:t xml:space="preserve"> window is displayed.</w:t>
      </w:r>
      <w:r w:rsidRPr="000665B0">
        <w:t xml:space="preserve"> For information on modifying complications, see </w:t>
      </w:r>
      <w:hyperlink w:anchor="_5.39.13.2__Modifying" w:history="1">
        <w:r w:rsidRPr="000665B0">
          <w:rPr>
            <w:rStyle w:val="Hyperlink"/>
            <w:szCs w:val="24"/>
          </w:rPr>
          <w:t xml:space="preserve">Section </w:t>
        </w:r>
        <w:r w:rsidR="004231CC">
          <w:rPr>
            <w:rStyle w:val="Hyperlink"/>
            <w:szCs w:val="24"/>
          </w:rPr>
          <w:t>5.37</w:t>
        </w:r>
        <w:r w:rsidRPr="000665B0">
          <w:rPr>
            <w:rStyle w:val="Hyperlink"/>
            <w:szCs w:val="24"/>
          </w:rPr>
          <w:t>.</w:t>
        </w:r>
        <w:r w:rsidR="002A4B19" w:rsidRPr="000665B0">
          <w:rPr>
            <w:rStyle w:val="Hyperlink"/>
            <w:szCs w:val="24"/>
          </w:rPr>
          <w:t>14</w:t>
        </w:r>
        <w:r w:rsidRPr="000665B0">
          <w:rPr>
            <w:rStyle w:val="Hyperlink"/>
            <w:szCs w:val="24"/>
          </w:rPr>
          <w:t>.2</w:t>
        </w:r>
      </w:hyperlink>
      <w:r w:rsidRPr="000665B0">
        <w:t>.</w:t>
      </w:r>
    </w:p>
    <w:p w14:paraId="1BE17CF5" w14:textId="371A4183" w:rsidR="000A6DE3" w:rsidRPr="000665B0" w:rsidRDefault="00494124" w:rsidP="003E4548">
      <w:pPr>
        <w:jc w:val="center"/>
      </w:pPr>
      <w:r w:rsidRPr="000665B0">
        <w:rPr>
          <w:noProof/>
        </w:rPr>
        <w:drawing>
          <wp:inline distT="0" distB="0" distL="0" distR="0" wp14:anchorId="27D81CA0" wp14:editId="5FEB0729">
            <wp:extent cx="4572000" cy="1362456"/>
            <wp:effectExtent l="0" t="0" r="0" b="0"/>
            <wp:docPr id="1216" name="Picture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1362456"/>
                    </a:xfrm>
                    <a:prstGeom prst="rect">
                      <a:avLst/>
                    </a:prstGeom>
                  </pic:spPr>
                </pic:pic>
              </a:graphicData>
            </a:graphic>
          </wp:inline>
        </w:drawing>
      </w:r>
    </w:p>
    <w:p w14:paraId="34837E93" w14:textId="77777777" w:rsidR="000A6DE3" w:rsidRPr="000665B0" w:rsidRDefault="000A6DE3" w:rsidP="006D5A65">
      <w:pPr>
        <w:pStyle w:val="Heading2"/>
      </w:pPr>
      <w:r w:rsidRPr="000665B0">
        <w:t>In the list of complications, select the complication to be modified.</w:t>
      </w:r>
    </w:p>
    <w:p w14:paraId="339B9064" w14:textId="135ED9FE" w:rsidR="000A6DE3" w:rsidRPr="000665B0" w:rsidRDefault="000A6DE3" w:rsidP="006D5A65">
      <w:pPr>
        <w:pStyle w:val="Heading2"/>
      </w:pPr>
      <w:r w:rsidRPr="000665B0">
        <w:t>Invoke the context menu (</w:t>
      </w:r>
      <w:r w:rsidR="00D71804" w:rsidRPr="000665B0">
        <w:t>right-click</w:t>
      </w:r>
      <w:r w:rsidRPr="000665B0">
        <w:t xml:space="preserve"> </w:t>
      </w:r>
      <w:r w:rsidR="00033029" w:rsidRPr="000665B0">
        <w:t>the mouse</w:t>
      </w:r>
      <w:r w:rsidRPr="000665B0">
        <w:t xml:space="preserve">) and select Display Textually. The </w:t>
      </w:r>
      <w:r w:rsidRPr="000665B0">
        <w:rPr>
          <w:i/>
        </w:rPr>
        <w:t>Complication for XXXXX</w:t>
      </w:r>
      <w:r w:rsidRPr="000665B0">
        <w:t xml:space="preserve"> window </w:t>
      </w:r>
      <w:r w:rsidR="007B480D" w:rsidRPr="000665B0">
        <w:t>is</w:t>
      </w:r>
      <w:r w:rsidRPr="000665B0">
        <w:t xml:space="preserve"> displayed (as in step 5 above).</w:t>
      </w:r>
    </w:p>
    <w:p w14:paraId="71FF0EA3" w14:textId="19796C96" w:rsidR="000A6DE3" w:rsidRPr="000665B0" w:rsidRDefault="000A6DE3" w:rsidP="006D5A65">
      <w:pPr>
        <w:pStyle w:val="Heading2"/>
      </w:pPr>
      <w:r w:rsidRPr="000665B0">
        <w:t>Edit the complication parameters</w:t>
      </w:r>
      <w:r w:rsidR="009454BC" w:rsidRPr="000665B0">
        <w:t xml:space="preserve"> as needed. Click</w:t>
      </w:r>
      <w:r w:rsidRPr="000665B0">
        <w:t xml:space="preserve"> OK</w:t>
      </w:r>
      <w:r w:rsidR="007B480D" w:rsidRPr="000665B0">
        <w:t xml:space="preserve"> to confirm the modifications </w:t>
      </w:r>
      <w:r w:rsidRPr="000665B0">
        <w:t xml:space="preserve">or Cancel to abandon </w:t>
      </w:r>
      <w:r w:rsidR="007B731A" w:rsidRPr="000665B0">
        <w:t>the process</w:t>
      </w:r>
      <w:r w:rsidRPr="000665B0">
        <w:t xml:space="preserve">. </w:t>
      </w:r>
    </w:p>
    <w:p w14:paraId="60E179E6" w14:textId="77777777" w:rsidR="0032279F" w:rsidRPr="000665B0" w:rsidRDefault="00220C83" w:rsidP="006D5A65">
      <w:pPr>
        <w:pStyle w:val="Heading1"/>
      </w:pPr>
      <w:r w:rsidRPr="000665B0">
        <w:t>Once all changes have been made</w:t>
      </w:r>
      <w:r w:rsidR="00FF709B" w:rsidRPr="000665B0">
        <w:t>,</w:t>
      </w:r>
      <w:r w:rsidRPr="000665B0">
        <w:t xml:space="preserve"> the user can save the scenario</w:t>
      </w:r>
      <w:r w:rsidR="009F5DA1" w:rsidRPr="000665B0">
        <w:t xml:space="preserve"> in the </w:t>
      </w:r>
      <w:r w:rsidR="009F5DA1" w:rsidRPr="000665B0">
        <w:rPr>
          <w:i/>
        </w:rPr>
        <w:t>Scenario Editor</w:t>
      </w:r>
      <w:r w:rsidR="009F5DA1" w:rsidRPr="000665B0">
        <w:t xml:space="preserve"> window</w:t>
      </w:r>
      <w:r w:rsidR="0032279F" w:rsidRPr="000665B0">
        <w:t xml:space="preserve"> with the following options</w:t>
      </w:r>
      <w:r w:rsidR="00544A81" w:rsidRPr="000665B0">
        <w:t>:</w:t>
      </w:r>
    </w:p>
    <w:p w14:paraId="450E61F8" w14:textId="77777777" w:rsidR="0032279F" w:rsidRPr="000665B0" w:rsidRDefault="008E5B82" w:rsidP="006D5A65">
      <w:pPr>
        <w:pStyle w:val="Heading1"/>
      </w:pPr>
      <w:r w:rsidRPr="000665B0">
        <w:t>To s</w:t>
      </w:r>
      <w:r w:rsidR="00544A81" w:rsidRPr="000665B0">
        <w:t>ave a</w:t>
      </w:r>
      <w:r w:rsidR="0032279F" w:rsidRPr="000665B0">
        <w:t xml:space="preserve"> </w:t>
      </w:r>
      <w:r w:rsidR="00220C83" w:rsidRPr="000665B0">
        <w:t>scenario</w:t>
      </w:r>
      <w:r w:rsidR="00241CEF" w:rsidRPr="000665B0">
        <w:t xml:space="preserve"> </w:t>
      </w:r>
      <w:r w:rsidR="000C199B" w:rsidRPr="000665B0">
        <w:t>for</w:t>
      </w:r>
      <w:r w:rsidR="00220C83" w:rsidRPr="000665B0">
        <w:t xml:space="preserve"> the execution folder </w:t>
      </w:r>
      <w:r w:rsidR="000C199B" w:rsidRPr="000665B0">
        <w:t xml:space="preserve">for which the scenario was defined (chosen in Step 3 above), </w:t>
      </w:r>
      <w:r w:rsidRPr="000665B0">
        <w:rPr>
          <w:szCs w:val="24"/>
        </w:rPr>
        <w:t xml:space="preserve">click on the Save </w:t>
      </w:r>
      <w:r w:rsidRPr="000665B0">
        <w:rPr>
          <w:rFonts w:ascii="Wingdings" w:hAnsi="Wingdings" w:cs="Wingdings"/>
          <w:szCs w:val="24"/>
        </w:rPr>
        <w:t></w:t>
      </w:r>
      <w:r w:rsidRPr="000665B0">
        <w:rPr>
          <w:szCs w:val="24"/>
        </w:rPr>
        <w:t xml:space="preserve"> icon or select the </w:t>
      </w:r>
      <w:r w:rsidRPr="000665B0">
        <w:rPr>
          <w:bCs/>
          <w:szCs w:val="24"/>
        </w:rPr>
        <w:t>Save</w:t>
      </w:r>
      <w:r w:rsidRPr="000665B0">
        <w:rPr>
          <w:szCs w:val="24"/>
        </w:rPr>
        <w:t xml:space="preserve"> option from the </w:t>
      </w:r>
      <w:r w:rsidRPr="000665B0">
        <w:rPr>
          <w:bCs/>
          <w:szCs w:val="24"/>
        </w:rPr>
        <w:t>File</w:t>
      </w:r>
      <w:r w:rsidRPr="000665B0">
        <w:rPr>
          <w:szCs w:val="24"/>
        </w:rPr>
        <w:t xml:space="preserve"> pull down menu.</w:t>
      </w:r>
      <w:r w:rsidR="00220C83" w:rsidRPr="000665B0">
        <w:t xml:space="preserve"> </w:t>
      </w:r>
    </w:p>
    <w:p w14:paraId="53D132C5" w14:textId="77777777" w:rsidR="008E5B82" w:rsidRPr="000665B0" w:rsidRDefault="008E5B82" w:rsidP="00E7111D">
      <w:pPr>
        <w:ind w:left="720"/>
      </w:pPr>
      <w:r w:rsidRPr="000665B0">
        <w:t>or</w:t>
      </w:r>
    </w:p>
    <w:p w14:paraId="1B959AF1" w14:textId="02926AB0" w:rsidR="00220C83" w:rsidRPr="000665B0" w:rsidRDefault="00241CEF" w:rsidP="006D5A65">
      <w:pPr>
        <w:pStyle w:val="Heading1"/>
      </w:pPr>
      <w:r w:rsidRPr="000665B0">
        <w:lastRenderedPageBreak/>
        <w:t>If the execution folder for which the scenario was defined is a rehearsal copy, the scenario can alternatively be saved for the original execution folder</w:t>
      </w:r>
      <w:r w:rsidR="00220C83" w:rsidRPr="000665B0">
        <w:t xml:space="preserve"> by selecting </w:t>
      </w:r>
      <w:r w:rsidR="00EE3893" w:rsidRPr="000665B0">
        <w:br/>
      </w:r>
      <w:r w:rsidR="00220C83" w:rsidRPr="000665B0">
        <w:rPr>
          <w:bCs/>
        </w:rPr>
        <w:t xml:space="preserve">File </w:t>
      </w:r>
      <w:r w:rsidR="00A05D58" w:rsidRPr="000665B0">
        <w:sym w:font="Wingdings" w:char="F0E0"/>
      </w:r>
      <w:r w:rsidR="00220C83" w:rsidRPr="000665B0">
        <w:rPr>
          <w:bCs/>
        </w:rPr>
        <w:t xml:space="preserve"> Save to Original</w:t>
      </w:r>
      <w:r w:rsidR="00220C83" w:rsidRPr="000665B0">
        <w:t xml:space="preserve">. </w:t>
      </w:r>
      <w:r w:rsidR="00642BE1" w:rsidRPr="000665B0">
        <w:t>See</w:t>
      </w:r>
      <w:r w:rsidR="00726A8D" w:rsidRPr="000665B0">
        <w:t xml:space="preserve"> </w:t>
      </w:r>
      <w:hyperlink w:anchor="_TSRT__SCENARIO" w:history="1">
        <w:r w:rsidR="00726A8D" w:rsidRPr="000665B0">
          <w:rPr>
            <w:rStyle w:val="Hyperlink"/>
          </w:rPr>
          <w:t xml:space="preserve">Section </w:t>
        </w:r>
        <w:r w:rsidR="004231CC">
          <w:rPr>
            <w:rStyle w:val="Hyperlink"/>
          </w:rPr>
          <w:t>5.37</w:t>
        </w:r>
      </w:hyperlink>
      <w:r w:rsidR="00726A8D" w:rsidRPr="000665B0">
        <w:t xml:space="preserve"> at “Save to Original Scenario”</w:t>
      </w:r>
      <w:r w:rsidR="00642BE1" w:rsidRPr="000665B0">
        <w:t xml:space="preserve"> f</w:t>
      </w:r>
      <w:r w:rsidR="00220C83" w:rsidRPr="000665B0">
        <w:t>or more information.</w:t>
      </w:r>
    </w:p>
    <w:p w14:paraId="5565CE31" w14:textId="77777777" w:rsidR="008E5B82" w:rsidRPr="000665B0" w:rsidRDefault="008E5B82" w:rsidP="00E7111D">
      <w:pPr>
        <w:ind w:left="720"/>
      </w:pPr>
      <w:r w:rsidRPr="000665B0">
        <w:t>or</w:t>
      </w:r>
    </w:p>
    <w:p w14:paraId="3DA401F2" w14:textId="77777777" w:rsidR="008E5B82" w:rsidRPr="000665B0" w:rsidRDefault="008E5B82" w:rsidP="006D5A65">
      <w:pPr>
        <w:pStyle w:val="Heading1"/>
      </w:pPr>
      <w:r w:rsidRPr="000665B0">
        <w:t xml:space="preserve">If an existing </w:t>
      </w:r>
      <w:r w:rsidR="00FF709B" w:rsidRPr="000665B0">
        <w:t>complication</w:t>
      </w:r>
      <w:r w:rsidRPr="000665B0">
        <w:t xml:space="preserve"> was </w:t>
      </w:r>
      <w:r w:rsidR="00FF709B" w:rsidRPr="000665B0">
        <w:t>modified</w:t>
      </w:r>
      <w:r w:rsidRPr="000665B0">
        <w:t xml:space="preserve">, the Save options may be unavailable (grayed out). In this case, add and then remove a new complication. </w:t>
      </w:r>
      <w:r w:rsidRPr="000665B0">
        <w:rPr>
          <w:szCs w:val="24"/>
        </w:rPr>
        <w:t xml:space="preserve">Click on the Save </w:t>
      </w:r>
      <w:r w:rsidRPr="000665B0">
        <w:rPr>
          <w:rFonts w:ascii="Wingdings" w:hAnsi="Wingdings" w:cs="Wingdings"/>
          <w:szCs w:val="24"/>
        </w:rPr>
        <w:t></w:t>
      </w:r>
      <w:r w:rsidRPr="000665B0">
        <w:rPr>
          <w:szCs w:val="24"/>
        </w:rPr>
        <w:t xml:space="preserve"> icon or select the </w:t>
      </w:r>
      <w:r w:rsidRPr="000665B0">
        <w:rPr>
          <w:bCs/>
          <w:szCs w:val="24"/>
        </w:rPr>
        <w:t>Save</w:t>
      </w:r>
      <w:r w:rsidRPr="000665B0">
        <w:rPr>
          <w:szCs w:val="24"/>
        </w:rPr>
        <w:t xml:space="preserve"> option from the </w:t>
      </w:r>
      <w:r w:rsidRPr="000665B0">
        <w:rPr>
          <w:bCs/>
          <w:szCs w:val="24"/>
        </w:rPr>
        <w:t>File</w:t>
      </w:r>
      <w:r w:rsidRPr="000665B0">
        <w:rPr>
          <w:szCs w:val="24"/>
        </w:rPr>
        <w:t xml:space="preserve"> pull down menu.</w:t>
      </w:r>
    </w:p>
    <w:p w14:paraId="075C11B6" w14:textId="72203474" w:rsidR="00BC1ED4" w:rsidRPr="000665B0" w:rsidRDefault="00BC1ED4" w:rsidP="006D5A65">
      <w:pPr>
        <w:pStyle w:val="Heading1"/>
      </w:pPr>
      <w:r w:rsidRPr="000665B0">
        <w:t xml:space="preserve">Enter a name into the </w:t>
      </w:r>
      <w:r w:rsidRPr="000665B0">
        <w:rPr>
          <w:i/>
        </w:rPr>
        <w:t>Save Scenario</w:t>
      </w:r>
      <w:r w:rsidRPr="000665B0">
        <w:t xml:space="preserve"> window and click OK.</w:t>
      </w:r>
    </w:p>
    <w:p w14:paraId="489DA866" w14:textId="3949AAAC" w:rsidR="00500E14" w:rsidRPr="000665B0" w:rsidRDefault="00500E14" w:rsidP="00500E14">
      <w:pPr>
        <w:pStyle w:val="Heading5"/>
      </w:pPr>
      <w:bookmarkStart w:id="7126" w:name="_Create_or_Edit_1"/>
      <w:bookmarkEnd w:id="7126"/>
      <w:r w:rsidRPr="000665B0">
        <w:t>Create or Edit an Area</w:t>
      </w:r>
    </w:p>
    <w:p w14:paraId="63523981" w14:textId="77777777" w:rsidR="00500E14" w:rsidRPr="000665B0" w:rsidRDefault="00500E14" w:rsidP="00500E14">
      <w:r w:rsidRPr="000665B0">
        <w:t xml:space="preserve">The </w:t>
      </w:r>
      <w:r w:rsidRPr="000665B0">
        <w:rPr>
          <w:i/>
        </w:rPr>
        <w:t>Area Textual View</w:t>
      </w:r>
      <w:r w:rsidRPr="000665B0">
        <w:t xml:space="preserve"> allows the user to specify an area that applies different kinds of complications to either Missiles or FRUs that enter the area, each with its own characteristic radius of effect. The most common use of areas is specified by the </w:t>
      </w:r>
      <w:r w:rsidRPr="000665B0">
        <w:rPr>
          <w:b/>
        </w:rPr>
        <w:t>Jamming</w:t>
      </w:r>
      <w:r w:rsidRPr="000665B0">
        <w:t xml:space="preserve"> area type, which is used to produce GPS jamming effects, but areas can be used to produce a variety of other effects, in which case the </w:t>
      </w:r>
      <w:r w:rsidRPr="000665B0">
        <w:rPr>
          <w:b/>
        </w:rPr>
        <w:t>Mixed Use</w:t>
      </w:r>
      <w:r w:rsidRPr="000665B0">
        <w:t xml:space="preserve"> area type is specified. Each effect belongs to an area, and an area with no effects does nothing. </w:t>
      </w:r>
    </w:p>
    <w:p w14:paraId="6474EBA5" w14:textId="6C8A9471" w:rsidR="00500E14" w:rsidRPr="000665B0" w:rsidRDefault="00500E14" w:rsidP="00500E14">
      <w:r w:rsidRPr="000665B0">
        <w:t xml:space="preserve">To create an </w:t>
      </w:r>
      <w:r w:rsidR="00E1676B" w:rsidRPr="000665B0">
        <w:t>a</w:t>
      </w:r>
      <w:r w:rsidRPr="000665B0">
        <w:t>rea:</w:t>
      </w:r>
    </w:p>
    <w:p w14:paraId="194F83B0" w14:textId="74B4D8D0" w:rsidR="00500E14" w:rsidRPr="000665B0" w:rsidRDefault="00500E14" w:rsidP="006D5A65">
      <w:pPr>
        <w:pStyle w:val="Heading1"/>
      </w:pPr>
      <w:r w:rsidRPr="000665B0">
        <w:t xml:space="preserve">From the </w:t>
      </w:r>
      <w:r w:rsidR="00BC1ED4" w:rsidRPr="000665B0">
        <w:t xml:space="preserve">Scenario Editor for </w:t>
      </w:r>
      <w:r w:rsidR="00494124" w:rsidRPr="000665B0">
        <w:t xml:space="preserve">new Scenario in Execution Folder xxxxx-xxxxx or </w:t>
      </w:r>
      <w:r w:rsidR="00494124" w:rsidRPr="000665B0">
        <w:rPr>
          <w:szCs w:val="24"/>
        </w:rPr>
        <w:t>Scenario</w:t>
      </w:r>
      <w:r w:rsidR="00BC1ED4" w:rsidRPr="000665B0">
        <w:rPr>
          <w:szCs w:val="24"/>
        </w:rPr>
        <w:t xml:space="preserve"> Editor</w:t>
      </w:r>
      <w:r w:rsidR="00494124" w:rsidRPr="000665B0">
        <w:rPr>
          <w:szCs w:val="24"/>
        </w:rPr>
        <w:t xml:space="preserve"> </w:t>
      </w:r>
      <w:r w:rsidR="00BC1ED4" w:rsidRPr="000665B0">
        <w:t>for Scenario [scenario name]</w:t>
      </w:r>
      <w:r w:rsidR="00494124" w:rsidRPr="000665B0">
        <w:rPr>
          <w:szCs w:val="24"/>
        </w:rPr>
        <w:t xml:space="preserve"> </w:t>
      </w:r>
      <w:r w:rsidR="00BC1ED4" w:rsidRPr="000665B0">
        <w:rPr>
          <w:szCs w:val="24"/>
        </w:rPr>
        <w:t>in</w:t>
      </w:r>
      <w:r w:rsidR="00494124" w:rsidRPr="000665B0">
        <w:rPr>
          <w:szCs w:val="24"/>
        </w:rPr>
        <w:t xml:space="preserve"> Execution Folder </w:t>
      </w:r>
      <w:r w:rsidR="00BC1ED4" w:rsidRPr="000665B0">
        <w:t>xxxxx-xxxxx</w:t>
      </w:r>
      <w:r w:rsidR="00BC1ED4" w:rsidRPr="000665B0">
        <w:rPr>
          <w:szCs w:val="24"/>
        </w:rPr>
        <w:t xml:space="preserve"> </w:t>
      </w:r>
      <w:r w:rsidR="00494124" w:rsidRPr="000665B0">
        <w:rPr>
          <w:szCs w:val="24"/>
        </w:rPr>
        <w:t>window,</w:t>
      </w:r>
      <w:r w:rsidR="00494124" w:rsidRPr="000665B0">
        <w:t xml:space="preserve"> select </w:t>
      </w:r>
      <w:r w:rsidRPr="000665B0">
        <w:t>the Areas Tab.</w:t>
      </w:r>
    </w:p>
    <w:p w14:paraId="1A7BADA3" w14:textId="58EE9740" w:rsidR="00500E14" w:rsidRPr="000665B0" w:rsidRDefault="00BC1ED4" w:rsidP="00CC5CE9">
      <w:pPr>
        <w:pStyle w:val="number02050"/>
        <w:ind w:left="0" w:firstLine="0"/>
        <w:jc w:val="center"/>
      </w:pPr>
      <w:r w:rsidRPr="000665B0">
        <w:rPr>
          <w:noProof/>
        </w:rPr>
        <w:drawing>
          <wp:inline distT="0" distB="0" distL="0" distR="0" wp14:anchorId="7093E235" wp14:editId="11942023">
            <wp:extent cx="4114800" cy="1993392"/>
            <wp:effectExtent l="0" t="0" r="0" b="0"/>
            <wp:docPr id="1212" name="Picture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1993392"/>
                    </a:xfrm>
                    <a:prstGeom prst="rect">
                      <a:avLst/>
                    </a:prstGeom>
                  </pic:spPr>
                </pic:pic>
              </a:graphicData>
            </a:graphic>
          </wp:inline>
        </w:drawing>
      </w:r>
    </w:p>
    <w:p w14:paraId="15C1109F" w14:textId="27091D22" w:rsidR="00500E14" w:rsidRPr="000665B0" w:rsidRDefault="00500E14" w:rsidP="006D5A65">
      <w:pPr>
        <w:pStyle w:val="Heading1"/>
      </w:pPr>
      <w:r w:rsidRPr="000665B0">
        <w:lastRenderedPageBreak/>
        <w:t>Invoke the context menu (</w:t>
      </w:r>
      <w:r w:rsidR="00D71804" w:rsidRPr="000665B0">
        <w:t>right-click</w:t>
      </w:r>
      <w:r w:rsidRPr="000665B0">
        <w:t xml:space="preserve"> the mouse) and select New…The </w:t>
      </w:r>
      <w:r w:rsidRPr="000665B0">
        <w:rPr>
          <w:i/>
        </w:rPr>
        <w:t>Area Textual View</w:t>
      </w:r>
      <w:r w:rsidRPr="000665B0">
        <w:t xml:space="preserve"> window is displayed.</w:t>
      </w:r>
    </w:p>
    <w:p w14:paraId="2AA76567" w14:textId="542D5D79" w:rsidR="00500E14" w:rsidRPr="000665B0" w:rsidRDefault="00494124" w:rsidP="00CC5CE9">
      <w:pPr>
        <w:pStyle w:val="number02050"/>
        <w:ind w:left="0" w:firstLine="0"/>
        <w:jc w:val="center"/>
      </w:pPr>
      <w:r w:rsidRPr="000665B0">
        <w:rPr>
          <w:noProof/>
        </w:rPr>
        <w:drawing>
          <wp:inline distT="0" distB="0" distL="0" distR="0" wp14:anchorId="5F72B5F4" wp14:editId="2435A0C9">
            <wp:extent cx="4114800" cy="2304288"/>
            <wp:effectExtent l="0" t="0" r="0" b="1270"/>
            <wp:docPr id="1220" name="Picture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304288"/>
                    </a:xfrm>
                    <a:prstGeom prst="rect">
                      <a:avLst/>
                    </a:prstGeom>
                  </pic:spPr>
                </pic:pic>
              </a:graphicData>
            </a:graphic>
          </wp:inline>
        </w:drawing>
      </w:r>
      <w:r w:rsidRPr="000665B0">
        <w:rPr>
          <w:noProof/>
        </w:rPr>
        <w:t xml:space="preserve"> </w:t>
      </w:r>
    </w:p>
    <w:p w14:paraId="72E9D863" w14:textId="77777777" w:rsidR="00500E14" w:rsidRPr="000665B0" w:rsidRDefault="00500E14" w:rsidP="006D5A65">
      <w:pPr>
        <w:pStyle w:val="Heading1"/>
      </w:pPr>
      <w:r w:rsidRPr="000665B0">
        <w:t>Enter or select the following information:</w:t>
      </w:r>
    </w:p>
    <w:p w14:paraId="101F421B" w14:textId="57514516" w:rsidR="00500E14" w:rsidRPr="000665B0" w:rsidRDefault="00500E14" w:rsidP="006D5A65">
      <w:pPr>
        <w:pStyle w:val="Heading1"/>
      </w:pPr>
      <w:r w:rsidRPr="000665B0">
        <w:t xml:space="preserve">Type of Area: – Specifies the kinds of effects that are produced by the area. Available selections are Jamming (default) and Mixed Use. Select Jamming to produce GPS jamming effects. Select Mixed Use to produce a variety of other effects. </w:t>
      </w:r>
    </w:p>
    <w:p w14:paraId="1A37CE44" w14:textId="77777777" w:rsidR="00500E14" w:rsidRPr="000665B0" w:rsidRDefault="00500E14" w:rsidP="006D5A65">
      <w:pPr>
        <w:pStyle w:val="Heading1"/>
      </w:pPr>
      <w:r w:rsidRPr="000665B0">
        <w:t>Area Name – Defines the name of the area referenced. Valid values are up to 50 alphanumeric characters and spaces.</w:t>
      </w:r>
    </w:p>
    <w:p w14:paraId="69F0D2FA" w14:textId="286CD2F8" w:rsidR="00500E14" w:rsidRPr="000665B0" w:rsidRDefault="00500E14" w:rsidP="006D5A65">
      <w:pPr>
        <w:pStyle w:val="Heading1"/>
      </w:pPr>
      <w:r w:rsidRPr="000665B0">
        <w:t xml:space="preserve">Enabled – </w:t>
      </w:r>
      <w:r w:rsidR="00E1676B" w:rsidRPr="000665B0">
        <w:t>When checked, indicates that</w:t>
      </w:r>
      <w:r w:rsidRPr="000665B0">
        <w:t xml:space="preserve"> the area is enabled. Disabled areas affect no actors. </w:t>
      </w:r>
    </w:p>
    <w:p w14:paraId="56DABD93" w14:textId="304A8131" w:rsidR="00500E14" w:rsidRPr="000665B0" w:rsidRDefault="00500E14" w:rsidP="006D5A65">
      <w:pPr>
        <w:pStyle w:val="Heading1"/>
      </w:pPr>
      <w:r w:rsidRPr="000665B0">
        <w:t>Location pane:</w:t>
      </w:r>
    </w:p>
    <w:p w14:paraId="20A79ACE" w14:textId="77777777" w:rsidR="00500E14" w:rsidRPr="000665B0" w:rsidRDefault="00500E14" w:rsidP="006D5A65">
      <w:pPr>
        <w:pStyle w:val="Heading2"/>
      </w:pPr>
      <w:r w:rsidRPr="000665B0">
        <w:t xml:space="preserve">Latitude – Latitude of the geographic center of the area in radians. </w:t>
      </w:r>
    </w:p>
    <w:p w14:paraId="58EA819D" w14:textId="77777777" w:rsidR="00500E14" w:rsidRPr="000665B0" w:rsidRDefault="00500E14" w:rsidP="006D5A65">
      <w:pPr>
        <w:pStyle w:val="Heading2"/>
      </w:pPr>
      <w:r w:rsidRPr="000665B0">
        <w:t xml:space="preserve">Longitude – Longitude of the geographic center of the area in radians. </w:t>
      </w:r>
    </w:p>
    <w:p w14:paraId="377B4764" w14:textId="03995159" w:rsidR="00500E14" w:rsidRPr="000665B0" w:rsidRDefault="00500E14" w:rsidP="006D5A65">
      <w:pPr>
        <w:pStyle w:val="Heading2"/>
      </w:pPr>
      <w:r w:rsidRPr="000665B0">
        <w:t xml:space="preserve">Select from Geo – Opens the </w:t>
      </w:r>
      <w:r w:rsidRPr="000665B0">
        <w:rPr>
          <w:i/>
        </w:rPr>
        <w:t>Geo Display – MDS Toolbox</w:t>
      </w:r>
      <w:r w:rsidRPr="000665B0">
        <w:t xml:space="preserve"> window where a geographic center of the area is selected, which then auto-populates the Latitude and Longitude fields in the </w:t>
      </w:r>
      <w:r w:rsidRPr="000665B0">
        <w:rPr>
          <w:i/>
        </w:rPr>
        <w:t>Area Textual View</w:t>
      </w:r>
      <w:r w:rsidRPr="000665B0">
        <w:t xml:space="preserve"> window. </w:t>
      </w:r>
    </w:p>
    <w:p w14:paraId="0F6E9BA0" w14:textId="41D1AFA4" w:rsidR="00500E14" w:rsidRPr="000665B0" w:rsidRDefault="00500E14" w:rsidP="006D5A65">
      <w:pPr>
        <w:pStyle w:val="Heading2"/>
      </w:pPr>
      <w:r w:rsidRPr="000665B0">
        <w:t>Elevation – Elevation of the geographic center of the area, specified in Feet (default) or Meters. Elevation reference selections are Mean Sea Level (MSL) (default), Above Ground Level (AGL), and Height Above Ellipsoid (HAE).</w:t>
      </w:r>
    </w:p>
    <w:p w14:paraId="215509DE" w14:textId="77777777" w:rsidR="00500E14" w:rsidRPr="000665B0" w:rsidRDefault="00500E14" w:rsidP="006D5A65">
      <w:pPr>
        <w:pStyle w:val="Heading1"/>
      </w:pPr>
      <w:r w:rsidRPr="000665B0">
        <w:lastRenderedPageBreak/>
        <w:t xml:space="preserve">Free Text Annotation – Describes the area. </w:t>
      </w:r>
    </w:p>
    <w:p w14:paraId="56683ABA" w14:textId="77777777" w:rsidR="00500E14" w:rsidRPr="000665B0" w:rsidRDefault="00500E14" w:rsidP="006D5A65">
      <w:pPr>
        <w:pStyle w:val="Heading1"/>
      </w:pPr>
      <w:r w:rsidRPr="000665B0">
        <w:t xml:space="preserve">Extra Data – Defines additional information required for TSRT to accurately simulate the area. </w:t>
      </w:r>
    </w:p>
    <w:p w14:paraId="46417434" w14:textId="754158BE" w:rsidR="00500E14" w:rsidRPr="000665B0" w:rsidRDefault="00500E14" w:rsidP="006D5A65">
      <w:pPr>
        <w:pStyle w:val="Heading1"/>
      </w:pPr>
      <w:r w:rsidRPr="000665B0">
        <w:t xml:space="preserve">To create (or edit) an effect for the area, see </w:t>
      </w:r>
      <w:hyperlink w:anchor="_Create_or_Edit" w:history="1">
        <w:r w:rsidRPr="000665B0">
          <w:rPr>
            <w:rStyle w:val="Hyperlink"/>
          </w:rPr>
          <w:t xml:space="preserve">Section </w:t>
        </w:r>
        <w:r w:rsidR="004231CC">
          <w:rPr>
            <w:rStyle w:val="Hyperlink"/>
          </w:rPr>
          <w:t>5.38</w:t>
        </w:r>
        <w:r w:rsidRPr="000665B0">
          <w:rPr>
            <w:rStyle w:val="Hyperlink"/>
          </w:rPr>
          <w:t>.3.1.1</w:t>
        </w:r>
      </w:hyperlink>
      <w:r w:rsidRPr="000665B0">
        <w:t>.</w:t>
      </w:r>
    </w:p>
    <w:p w14:paraId="77A1CA6F" w14:textId="577D5939" w:rsidR="00500E14" w:rsidRPr="000665B0" w:rsidRDefault="00500E14" w:rsidP="006D5A65">
      <w:pPr>
        <w:pStyle w:val="Heading1"/>
      </w:pPr>
      <w:r w:rsidRPr="000665B0">
        <w:t xml:space="preserve">Click OK to submit the </w:t>
      </w:r>
      <w:r w:rsidR="00E1676B" w:rsidRPr="000665B0">
        <w:t>a</w:t>
      </w:r>
      <w:r w:rsidRPr="000665B0">
        <w:t>rea.</w:t>
      </w:r>
    </w:p>
    <w:p w14:paraId="14DFEE80" w14:textId="77777777" w:rsidR="00500E14" w:rsidRPr="000665B0" w:rsidRDefault="00500E14" w:rsidP="00500E14">
      <w:pPr>
        <w:rPr>
          <w:szCs w:val="24"/>
        </w:rPr>
      </w:pPr>
      <w:r w:rsidRPr="000665B0">
        <w:rPr>
          <w:szCs w:val="24"/>
        </w:rPr>
        <w:t xml:space="preserve">To edit an area: </w:t>
      </w:r>
    </w:p>
    <w:p w14:paraId="6DCD66CF" w14:textId="37036604" w:rsidR="00500E14" w:rsidRPr="000665B0" w:rsidRDefault="00500E14" w:rsidP="006D5A65">
      <w:pPr>
        <w:pStyle w:val="Heading1"/>
      </w:pPr>
      <w:r w:rsidRPr="000665B0">
        <w:t xml:space="preserve">Select an </w:t>
      </w:r>
      <w:r w:rsidR="00E1676B" w:rsidRPr="000665B0">
        <w:t>area in</w:t>
      </w:r>
      <w:r w:rsidRPr="000665B0">
        <w:t xml:space="preserve"> the list on the </w:t>
      </w:r>
      <w:r w:rsidRPr="000665B0">
        <w:rPr>
          <w:i/>
        </w:rPr>
        <w:t>Areas</w:t>
      </w:r>
      <w:r w:rsidRPr="000665B0">
        <w:t xml:space="preserve"> tab of the </w:t>
      </w:r>
      <w:r w:rsidRPr="000665B0">
        <w:rPr>
          <w:i/>
        </w:rPr>
        <w:t>Scenario Editor</w:t>
      </w:r>
      <w:r w:rsidRPr="000665B0">
        <w:t xml:space="preserve"> window.</w:t>
      </w:r>
    </w:p>
    <w:p w14:paraId="7BEE09E2" w14:textId="508408F1" w:rsidR="00500E14" w:rsidRPr="000665B0" w:rsidRDefault="00D71804" w:rsidP="006D5A65">
      <w:pPr>
        <w:pStyle w:val="Heading1"/>
      </w:pPr>
      <w:r w:rsidRPr="000665B0">
        <w:t>Right-click</w:t>
      </w:r>
      <w:r w:rsidR="00500E14" w:rsidRPr="000665B0">
        <w:t xml:space="preserve"> and </w:t>
      </w:r>
      <w:r w:rsidR="00E1676B" w:rsidRPr="000665B0">
        <w:t>select</w:t>
      </w:r>
      <w:r w:rsidR="00500E14" w:rsidRPr="000665B0">
        <w:t xml:space="preserve"> Edit</w:t>
      </w:r>
      <w:r w:rsidR="00E1676B" w:rsidRPr="000665B0">
        <w:t xml:space="preserve"> from the context menu. </w:t>
      </w:r>
      <w:r w:rsidR="00500E14" w:rsidRPr="000665B0">
        <w:t xml:space="preserve">The </w:t>
      </w:r>
      <w:r w:rsidR="00500E14" w:rsidRPr="000665B0">
        <w:rPr>
          <w:i/>
        </w:rPr>
        <w:t>Area Textual View</w:t>
      </w:r>
      <w:r w:rsidR="00500E14" w:rsidRPr="000665B0">
        <w:t xml:space="preserve"> window is </w:t>
      </w:r>
      <w:r w:rsidR="00636741" w:rsidRPr="000665B0">
        <w:t>displayed,</w:t>
      </w:r>
      <w:r w:rsidR="00500E14" w:rsidRPr="000665B0">
        <w:t xml:space="preserve"> and the </w:t>
      </w:r>
      <w:r w:rsidR="00E1676B" w:rsidRPr="000665B0">
        <w:t>area is</w:t>
      </w:r>
      <w:r w:rsidR="00500E14" w:rsidRPr="000665B0">
        <w:t xml:space="preserve"> editable. </w:t>
      </w:r>
    </w:p>
    <w:p w14:paraId="2FFF4BB5" w14:textId="77777777" w:rsidR="00500E14" w:rsidRPr="000665B0" w:rsidRDefault="00500E14" w:rsidP="00500E14">
      <w:pPr>
        <w:rPr>
          <w:szCs w:val="24"/>
        </w:rPr>
      </w:pPr>
      <w:r w:rsidRPr="000665B0">
        <w:rPr>
          <w:szCs w:val="24"/>
        </w:rPr>
        <w:t>To remove an area:</w:t>
      </w:r>
    </w:p>
    <w:p w14:paraId="70082ACE" w14:textId="542BE219" w:rsidR="00500E14" w:rsidRPr="000665B0" w:rsidRDefault="00500E14" w:rsidP="006D5A65">
      <w:pPr>
        <w:pStyle w:val="Heading1"/>
      </w:pPr>
      <w:r w:rsidRPr="000665B0">
        <w:t xml:space="preserve">Select an area in the list on the </w:t>
      </w:r>
      <w:r w:rsidRPr="000665B0">
        <w:rPr>
          <w:i/>
        </w:rPr>
        <w:t>Areas</w:t>
      </w:r>
      <w:r w:rsidRPr="000665B0">
        <w:t xml:space="preserve"> tab of the </w:t>
      </w:r>
      <w:r w:rsidRPr="000665B0">
        <w:rPr>
          <w:i/>
        </w:rPr>
        <w:t>Scenario Editor</w:t>
      </w:r>
      <w:r w:rsidRPr="000665B0">
        <w:t xml:space="preserve"> window.</w:t>
      </w:r>
    </w:p>
    <w:p w14:paraId="045F08B1" w14:textId="56D7AAAC" w:rsidR="00500E14" w:rsidRPr="000665B0" w:rsidRDefault="00D71804" w:rsidP="006D5A65">
      <w:pPr>
        <w:pStyle w:val="Heading1"/>
      </w:pPr>
      <w:r w:rsidRPr="000665B0">
        <w:t>Right-click</w:t>
      </w:r>
      <w:r w:rsidR="00500E14" w:rsidRPr="000665B0">
        <w:t xml:space="preserve"> and select Remove from the context menu.</w:t>
      </w:r>
    </w:p>
    <w:p w14:paraId="1DC1B2AE" w14:textId="3D98D3DA" w:rsidR="00500E14" w:rsidRPr="000665B0" w:rsidRDefault="00500E14" w:rsidP="00A0163E">
      <w:pPr>
        <w:pStyle w:val="Heading6"/>
        <w:keepNext w:val="0"/>
      </w:pPr>
      <w:bookmarkStart w:id="7127" w:name="_Create_or_Edit"/>
      <w:bookmarkEnd w:id="7127"/>
      <w:r w:rsidRPr="000665B0">
        <w:t>Create or Edit an Effect for an Area</w:t>
      </w:r>
    </w:p>
    <w:p w14:paraId="2AF08358" w14:textId="0E6C2711" w:rsidR="00500E14" w:rsidRPr="000665B0" w:rsidRDefault="00500E14" w:rsidP="00500E14">
      <w:r w:rsidRPr="000665B0">
        <w:t xml:space="preserve">The </w:t>
      </w:r>
      <w:r w:rsidRPr="000665B0">
        <w:rPr>
          <w:b/>
          <w:i/>
        </w:rPr>
        <w:t>Effects</w:t>
      </w:r>
      <w:r w:rsidRPr="000665B0">
        <w:t xml:space="preserve"> pane of the </w:t>
      </w:r>
      <w:r w:rsidRPr="000665B0">
        <w:rPr>
          <w:i/>
        </w:rPr>
        <w:t xml:space="preserve">Area Textual View </w:t>
      </w:r>
      <w:r w:rsidRPr="000665B0">
        <w:t xml:space="preserve">window allows the user to create or edit an effect for a specific area. </w:t>
      </w:r>
    </w:p>
    <w:p w14:paraId="67EBA168" w14:textId="6BAA6FCC" w:rsidR="00500E14" w:rsidRPr="000665B0" w:rsidRDefault="00500E14" w:rsidP="00500E14">
      <w:pPr>
        <w:rPr>
          <w:b/>
          <w:i/>
        </w:rPr>
      </w:pPr>
      <w:r w:rsidRPr="000665B0">
        <w:rPr>
          <w:b/>
          <w:i/>
        </w:rPr>
        <w:t xml:space="preserve">Effects </w:t>
      </w:r>
      <w:r w:rsidR="002275D0" w:rsidRPr="000665B0">
        <w:rPr>
          <w:b/>
          <w:i/>
        </w:rPr>
        <w:t xml:space="preserve">Pane </w:t>
      </w:r>
      <w:r w:rsidRPr="000665B0">
        <w:rPr>
          <w:b/>
          <w:i/>
        </w:rPr>
        <w:t>List View</w:t>
      </w:r>
    </w:p>
    <w:p w14:paraId="2854C215" w14:textId="77777777" w:rsidR="002275D0" w:rsidRPr="000665B0" w:rsidRDefault="002275D0" w:rsidP="006D5A65">
      <w:pPr>
        <w:pStyle w:val="Heading1"/>
      </w:pPr>
      <w:r w:rsidRPr="000665B0">
        <w:t>Columns</w:t>
      </w:r>
    </w:p>
    <w:p w14:paraId="559BF5D6" w14:textId="03332E5C" w:rsidR="00500E14" w:rsidRPr="000665B0" w:rsidRDefault="00500E14" w:rsidP="006D5A65">
      <w:pPr>
        <w:pStyle w:val="Heading1"/>
      </w:pPr>
      <w:r w:rsidRPr="000665B0">
        <w:t xml:space="preserve">Affects – The type of actor affected by the effect, either </w:t>
      </w:r>
      <w:r w:rsidR="002275D0" w:rsidRPr="000665B0">
        <w:t>m</w:t>
      </w:r>
      <w:r w:rsidRPr="000665B0">
        <w:t>issile or FRU.</w:t>
      </w:r>
    </w:p>
    <w:p w14:paraId="5B32F186" w14:textId="3433D902" w:rsidR="00500E14" w:rsidRPr="000665B0" w:rsidRDefault="00500E14" w:rsidP="006D5A65">
      <w:pPr>
        <w:pStyle w:val="Heading1"/>
      </w:pPr>
      <w:r w:rsidRPr="000665B0">
        <w:t xml:space="preserve">Effect – The type of effect produced. This is a </w:t>
      </w:r>
      <w:r w:rsidR="002275D0" w:rsidRPr="000665B0">
        <w:t>c</w:t>
      </w:r>
      <w:r w:rsidRPr="000665B0">
        <w:t>omplication appropriate to the type of actor (</w:t>
      </w:r>
      <w:r w:rsidR="00961D1C" w:rsidRPr="000665B0">
        <w:t xml:space="preserve">for Missile Complications see </w:t>
      </w:r>
      <w:hyperlink w:anchor="_Missile_Complications_1" w:history="1">
        <w:r w:rsidR="00D46E30" w:rsidRPr="00EA7FAB">
          <w:rPr>
            <w:rStyle w:val="Hyperlink"/>
          </w:rPr>
          <w:t xml:space="preserve">Section </w:t>
        </w:r>
        <w:r w:rsidR="004231CC">
          <w:rPr>
            <w:rStyle w:val="Hyperlink"/>
          </w:rPr>
          <w:t>5.37</w:t>
        </w:r>
        <w:r w:rsidR="00D46E30" w:rsidRPr="00EA7FAB">
          <w:rPr>
            <w:rStyle w:val="Hyperlink"/>
          </w:rPr>
          <w:t xml:space="preserve">.14.7 </w:t>
        </w:r>
      </w:hyperlink>
      <w:r w:rsidR="00961D1C" w:rsidRPr="000665B0">
        <w:t xml:space="preserve">and for FRU Complications see </w:t>
      </w:r>
      <w:hyperlink w:anchor="_FRU_Complications_1" w:history="1">
        <w:r w:rsidR="00961D1C" w:rsidRPr="000665B0">
          <w:rPr>
            <w:rStyle w:val="Hyperlink"/>
          </w:rPr>
          <w:t xml:space="preserve">Section </w:t>
        </w:r>
        <w:r w:rsidR="004231CC">
          <w:rPr>
            <w:rStyle w:val="Hyperlink"/>
          </w:rPr>
          <w:t>5.37</w:t>
        </w:r>
        <w:r w:rsidR="00961D1C" w:rsidRPr="000665B0">
          <w:rPr>
            <w:rStyle w:val="Hyperlink"/>
          </w:rPr>
          <w:t>.</w:t>
        </w:r>
        <w:r w:rsidR="002A4B19" w:rsidRPr="000665B0">
          <w:rPr>
            <w:rStyle w:val="Hyperlink"/>
          </w:rPr>
          <w:t>14</w:t>
        </w:r>
        <w:r w:rsidR="00961D1C" w:rsidRPr="000665B0">
          <w:rPr>
            <w:rStyle w:val="Hyperlink"/>
          </w:rPr>
          <w:t>.</w:t>
        </w:r>
        <w:r w:rsidR="00D46E30" w:rsidRPr="000665B0">
          <w:rPr>
            <w:rStyle w:val="Hyperlink"/>
          </w:rPr>
          <w:t>6</w:t>
        </w:r>
      </w:hyperlink>
      <w:r w:rsidRPr="000665B0">
        <w:t>).</w:t>
      </w:r>
    </w:p>
    <w:p w14:paraId="4C689944" w14:textId="12385FC0" w:rsidR="00500E14" w:rsidRPr="000665B0" w:rsidRDefault="00500E14" w:rsidP="006D5A65">
      <w:pPr>
        <w:pStyle w:val="Heading1"/>
      </w:pPr>
      <w:r w:rsidRPr="000665B0">
        <w:t>Subtype – Subtype of effect; usually further qualifies which actors are</w:t>
      </w:r>
      <w:r w:rsidR="002275D0" w:rsidRPr="000665B0">
        <w:t xml:space="preserve"> affected by the complication. </w:t>
      </w:r>
      <w:r w:rsidRPr="000665B0">
        <w:t xml:space="preserve">For example, a GPS High Power Complication that affects only missiles with AGR version 3 or lower is indicated by the AGR-3 subtype. Not applicable to most </w:t>
      </w:r>
      <w:r w:rsidR="00E1676B" w:rsidRPr="000665B0">
        <w:t>e</w:t>
      </w:r>
      <w:r w:rsidRPr="000665B0">
        <w:t>ffect types.</w:t>
      </w:r>
    </w:p>
    <w:p w14:paraId="63CC9BA5" w14:textId="77777777" w:rsidR="00500E14" w:rsidRPr="000665B0" w:rsidRDefault="00500E14" w:rsidP="006D5A65">
      <w:pPr>
        <w:pStyle w:val="Heading1"/>
      </w:pPr>
      <w:r w:rsidRPr="000665B0">
        <w:t>Radius (NM) – Radius of the effect in nautical miles.</w:t>
      </w:r>
    </w:p>
    <w:p w14:paraId="3B7BEFE5" w14:textId="35CCB35F" w:rsidR="00500E14" w:rsidRPr="000665B0" w:rsidRDefault="00500E14" w:rsidP="006D5A65">
      <w:pPr>
        <w:pStyle w:val="Heading1"/>
      </w:pPr>
      <w:r w:rsidRPr="000665B0">
        <w:t xml:space="preserve">Status – </w:t>
      </w:r>
      <w:r w:rsidR="002275D0" w:rsidRPr="000665B0">
        <w:t>Indicates w</w:t>
      </w:r>
      <w:r w:rsidRPr="000665B0">
        <w:t>hether the effect is enabled</w:t>
      </w:r>
      <w:r w:rsidR="002275D0" w:rsidRPr="000665B0">
        <w:t xml:space="preserve"> or disabled</w:t>
      </w:r>
      <w:r w:rsidRPr="000665B0">
        <w:t>. Disabled effects affect no actors.</w:t>
      </w:r>
    </w:p>
    <w:p w14:paraId="1CAEEDB3" w14:textId="74B5C400" w:rsidR="00500E14" w:rsidRPr="000665B0" w:rsidRDefault="00500E14" w:rsidP="006D5A65">
      <w:pPr>
        <w:pStyle w:val="Heading1"/>
      </w:pPr>
      <w:r w:rsidRPr="000665B0">
        <w:t xml:space="preserve">Text – </w:t>
      </w:r>
      <w:r w:rsidR="002275D0" w:rsidRPr="000665B0">
        <w:t xml:space="preserve">Describes the </w:t>
      </w:r>
      <w:r w:rsidRPr="000665B0">
        <w:t>effect.</w:t>
      </w:r>
    </w:p>
    <w:p w14:paraId="7DE1A6C5" w14:textId="6584C6D0" w:rsidR="00500E14" w:rsidRPr="000665B0" w:rsidRDefault="00500E14" w:rsidP="00500E14">
      <w:r w:rsidRPr="000665B0">
        <w:t>To create a</w:t>
      </w:r>
      <w:r w:rsidR="002275D0" w:rsidRPr="000665B0">
        <w:t xml:space="preserve"> </w:t>
      </w:r>
      <w:r w:rsidRPr="000665B0">
        <w:t>n</w:t>
      </w:r>
      <w:r w:rsidR="002275D0" w:rsidRPr="000665B0">
        <w:t>ew</w:t>
      </w:r>
      <w:r w:rsidRPr="000665B0">
        <w:t xml:space="preserve"> effect:</w:t>
      </w:r>
    </w:p>
    <w:p w14:paraId="54C7BCFD" w14:textId="71C35B4E" w:rsidR="00500E14" w:rsidRPr="000665B0" w:rsidRDefault="00500E14" w:rsidP="006D5A65">
      <w:pPr>
        <w:pStyle w:val="Heading1"/>
      </w:pPr>
      <w:r w:rsidRPr="000665B0">
        <w:lastRenderedPageBreak/>
        <w:t>I</w:t>
      </w:r>
      <w:r w:rsidR="002275D0" w:rsidRPr="000665B0">
        <w:t xml:space="preserve">n the Effects pane of the </w:t>
      </w:r>
      <w:r w:rsidR="002275D0" w:rsidRPr="000665B0">
        <w:rPr>
          <w:i/>
        </w:rPr>
        <w:t>Area Textual View</w:t>
      </w:r>
      <w:r w:rsidR="002275D0" w:rsidRPr="000665B0">
        <w:t xml:space="preserve"> window, i</w:t>
      </w:r>
      <w:r w:rsidRPr="000665B0">
        <w:t>nvoke the context menu (</w:t>
      </w:r>
      <w:r w:rsidR="00D71804" w:rsidRPr="000665B0">
        <w:t>right-click</w:t>
      </w:r>
      <w:r w:rsidRPr="000665B0">
        <w:t xml:space="preserve"> the mouse) and select New</w:t>
      </w:r>
      <w:r w:rsidR="002275D0" w:rsidRPr="000665B0">
        <w:t xml:space="preserve">. </w:t>
      </w:r>
      <w:r w:rsidRPr="000665B0">
        <w:t xml:space="preserve">The </w:t>
      </w:r>
      <w:r w:rsidRPr="000665B0">
        <w:rPr>
          <w:i/>
        </w:rPr>
        <w:t xml:space="preserve">Area Effect Textual View </w:t>
      </w:r>
      <w:r w:rsidRPr="000665B0">
        <w:t>window is displayed.</w:t>
      </w:r>
    </w:p>
    <w:p w14:paraId="0DAA25A2" w14:textId="6B67C205" w:rsidR="00500E14" w:rsidRPr="000665B0" w:rsidRDefault="00494124" w:rsidP="00CC5CE9">
      <w:pPr>
        <w:pStyle w:val="number02050"/>
        <w:ind w:left="0" w:firstLine="0"/>
        <w:jc w:val="center"/>
      </w:pPr>
      <w:r w:rsidRPr="000665B0">
        <w:rPr>
          <w:noProof/>
        </w:rPr>
        <w:drawing>
          <wp:inline distT="0" distB="0" distL="0" distR="0" wp14:anchorId="25FA7FE0" wp14:editId="26BBEC69">
            <wp:extent cx="3558540" cy="1771362"/>
            <wp:effectExtent l="0" t="0" r="0" b="0"/>
            <wp:docPr id="1224" name="Picture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583484" cy="1783778"/>
                    </a:xfrm>
                    <a:prstGeom prst="rect">
                      <a:avLst/>
                    </a:prstGeom>
                  </pic:spPr>
                </pic:pic>
              </a:graphicData>
            </a:graphic>
          </wp:inline>
        </w:drawing>
      </w:r>
      <w:r w:rsidRPr="000665B0">
        <w:rPr>
          <w:noProof/>
        </w:rPr>
        <w:t xml:space="preserve"> </w:t>
      </w:r>
    </w:p>
    <w:p w14:paraId="537264A8" w14:textId="77777777" w:rsidR="00500E14" w:rsidRPr="000665B0" w:rsidRDefault="00500E14" w:rsidP="006D5A65">
      <w:pPr>
        <w:pStyle w:val="Heading1"/>
      </w:pPr>
      <w:r w:rsidRPr="000665B0">
        <w:t>Enter or select the following information:</w:t>
      </w:r>
    </w:p>
    <w:p w14:paraId="668C72B2" w14:textId="6F4B632B" w:rsidR="00500E14" w:rsidRPr="000665B0" w:rsidRDefault="00500E14" w:rsidP="006D5A65">
      <w:pPr>
        <w:pStyle w:val="Heading1"/>
      </w:pPr>
      <w:r w:rsidRPr="000665B0">
        <w:t xml:space="preserve">Type Affected by Area – Defines the type of actor affected by the effect. Available selections are Missile </w:t>
      </w:r>
      <w:r w:rsidR="00E1676B" w:rsidRPr="000665B0">
        <w:t xml:space="preserve">(default) </w:t>
      </w:r>
      <w:r w:rsidRPr="000665B0">
        <w:t xml:space="preserve">and FRU. </w:t>
      </w:r>
    </w:p>
    <w:p w14:paraId="3519058F" w14:textId="1537B23F" w:rsidR="00500E14" w:rsidRPr="000665B0" w:rsidRDefault="00500E14" w:rsidP="006D5A65">
      <w:pPr>
        <w:pStyle w:val="Heading1"/>
      </w:pPr>
      <w:r w:rsidRPr="000665B0">
        <w:t>Type of Effect – Defines the Complication, which is based on the Type Affected by Area</w:t>
      </w:r>
      <w:r w:rsidR="00E1676B" w:rsidRPr="000665B0">
        <w:t xml:space="preserve"> selection (f</w:t>
      </w:r>
      <w:r w:rsidRPr="000665B0">
        <w:t xml:space="preserve">or Missile Complications see </w:t>
      </w:r>
      <w:hyperlink w:anchor="_Missile__Complications" w:history="1">
        <w:r w:rsidR="00D46E30" w:rsidRPr="000665B0">
          <w:rPr>
            <w:rStyle w:val="Hyperlink"/>
          </w:rPr>
          <w:t xml:space="preserve">Section </w:t>
        </w:r>
        <w:r w:rsidR="004231CC">
          <w:rPr>
            <w:rStyle w:val="Hyperlink"/>
          </w:rPr>
          <w:t>5.37</w:t>
        </w:r>
        <w:r w:rsidR="00D46E30" w:rsidRPr="000665B0">
          <w:rPr>
            <w:rStyle w:val="Hyperlink"/>
          </w:rPr>
          <w:t>.14.7</w:t>
        </w:r>
      </w:hyperlink>
      <w:r w:rsidR="00D46E30" w:rsidRPr="000665B0">
        <w:t xml:space="preserve"> </w:t>
      </w:r>
      <w:r w:rsidRPr="000665B0">
        <w:t xml:space="preserve">and for FRU Complications see </w:t>
      </w:r>
      <w:hyperlink w:anchor="_FRU_Complications_1" w:history="1">
        <w:r w:rsidRPr="000665B0">
          <w:rPr>
            <w:rStyle w:val="Hyperlink"/>
          </w:rPr>
          <w:t xml:space="preserve">Section </w:t>
        </w:r>
        <w:r w:rsidR="004231CC">
          <w:rPr>
            <w:rStyle w:val="Hyperlink"/>
          </w:rPr>
          <w:t>5.37</w:t>
        </w:r>
        <w:r w:rsidRPr="000665B0">
          <w:rPr>
            <w:rStyle w:val="Hyperlink"/>
          </w:rPr>
          <w:t>.</w:t>
        </w:r>
        <w:r w:rsidR="002A4B19" w:rsidRPr="000665B0">
          <w:rPr>
            <w:rStyle w:val="Hyperlink"/>
          </w:rPr>
          <w:t>14</w:t>
        </w:r>
        <w:r w:rsidRPr="000665B0">
          <w:rPr>
            <w:rStyle w:val="Hyperlink"/>
          </w:rPr>
          <w:t>.</w:t>
        </w:r>
        <w:r w:rsidR="00D46E30" w:rsidRPr="000665B0">
          <w:rPr>
            <w:rStyle w:val="Hyperlink"/>
          </w:rPr>
          <w:t>6</w:t>
        </w:r>
      </w:hyperlink>
      <w:r w:rsidR="00E1676B" w:rsidRPr="000665B0">
        <w:t>)</w:t>
      </w:r>
      <w:r w:rsidRPr="000665B0">
        <w:t>.</w:t>
      </w:r>
    </w:p>
    <w:p w14:paraId="1BF71232" w14:textId="11A28D67" w:rsidR="00500E14" w:rsidRPr="000665B0" w:rsidRDefault="00500E14" w:rsidP="006D5A65">
      <w:pPr>
        <w:pStyle w:val="Heading1"/>
      </w:pPr>
      <w:r w:rsidRPr="000665B0">
        <w:t xml:space="preserve">Subtype of Effect </w:t>
      </w:r>
      <w:r w:rsidR="00791379" w:rsidRPr="000665B0">
        <w:t xml:space="preserve">(Missile only) </w:t>
      </w:r>
      <w:r w:rsidRPr="000665B0">
        <w:t>–Subtype of effect; usually further qualifies which actors are</w:t>
      </w:r>
      <w:r w:rsidR="00E1676B" w:rsidRPr="000665B0">
        <w:t xml:space="preserve"> affected by the complication. </w:t>
      </w:r>
      <w:r w:rsidRPr="000665B0">
        <w:t xml:space="preserve">For example, a GPS High Power Complication that affects only missiles with AGR version 3 or lower is indicated by the AGR-3 subtype. Not applicable to most </w:t>
      </w:r>
      <w:r w:rsidR="00E1676B" w:rsidRPr="000665B0">
        <w:t>e</w:t>
      </w:r>
      <w:r w:rsidRPr="000665B0">
        <w:t xml:space="preserve">ffect types. </w:t>
      </w:r>
    </w:p>
    <w:p w14:paraId="7081DA6F" w14:textId="4EBFB27B" w:rsidR="00500E14" w:rsidRPr="000665B0" w:rsidRDefault="00500E14" w:rsidP="006D5A65">
      <w:pPr>
        <w:pStyle w:val="Heading1"/>
      </w:pPr>
      <w:r w:rsidRPr="000665B0">
        <w:t xml:space="preserve">Radius of Effect – Radius (from the center of its area) within which the effect will </w:t>
      </w:r>
      <w:r w:rsidR="00E1676B" w:rsidRPr="000665B0">
        <w:t xml:space="preserve">be applied, in nautical miles. </w:t>
      </w:r>
      <w:r w:rsidRPr="000665B0">
        <w:t>Must be greater than zero.</w:t>
      </w:r>
    </w:p>
    <w:p w14:paraId="40A5BF19" w14:textId="1FF9DAB9" w:rsidR="00500E14" w:rsidRPr="000665B0" w:rsidRDefault="00500E14" w:rsidP="006D5A65">
      <w:pPr>
        <w:pStyle w:val="Heading1"/>
      </w:pPr>
      <w:r w:rsidRPr="000665B0">
        <w:t xml:space="preserve">Enabled – </w:t>
      </w:r>
      <w:r w:rsidR="00E1676B" w:rsidRPr="000665B0">
        <w:t xml:space="preserve">When checked, indicates that the </w:t>
      </w:r>
      <w:r w:rsidRPr="000665B0">
        <w:t>effect is enabled. Disabled effects affect no actors.</w:t>
      </w:r>
      <w:r w:rsidR="009651B0">
        <w:t xml:space="preserve"> </w:t>
      </w:r>
    </w:p>
    <w:p w14:paraId="31A0F5C7" w14:textId="77777777" w:rsidR="00500E14" w:rsidRPr="000665B0" w:rsidRDefault="00500E14" w:rsidP="006D5A65">
      <w:pPr>
        <w:pStyle w:val="Heading1"/>
      </w:pPr>
      <w:r w:rsidRPr="000665B0">
        <w:t xml:space="preserve">Free Text Annotation – Describes the effect. </w:t>
      </w:r>
    </w:p>
    <w:p w14:paraId="0701A904" w14:textId="77777777" w:rsidR="00500E14" w:rsidRPr="000665B0" w:rsidRDefault="00500E14" w:rsidP="006D5A65">
      <w:pPr>
        <w:pStyle w:val="Heading1"/>
      </w:pPr>
      <w:r w:rsidRPr="000665B0">
        <w:t>Extra Data – Defines additional information required for TSRT to accurately simulate the effect.</w:t>
      </w:r>
    </w:p>
    <w:p w14:paraId="3834D695" w14:textId="629DA52D" w:rsidR="00500E14" w:rsidRPr="000665B0" w:rsidRDefault="00500E14" w:rsidP="006D5A65">
      <w:pPr>
        <w:pStyle w:val="Heading1"/>
      </w:pPr>
      <w:r w:rsidRPr="000665B0">
        <w:t xml:space="preserve">Click OK to submit the </w:t>
      </w:r>
      <w:r w:rsidR="00E1676B" w:rsidRPr="000665B0">
        <w:t>e</w:t>
      </w:r>
      <w:r w:rsidRPr="000665B0">
        <w:t>ffect.</w:t>
      </w:r>
    </w:p>
    <w:p w14:paraId="5E18F21C" w14:textId="77777777" w:rsidR="00500E14" w:rsidRPr="000665B0" w:rsidRDefault="00500E14" w:rsidP="00500E14">
      <w:pPr>
        <w:rPr>
          <w:szCs w:val="24"/>
        </w:rPr>
      </w:pPr>
      <w:r w:rsidRPr="000665B0">
        <w:rPr>
          <w:szCs w:val="24"/>
        </w:rPr>
        <w:t xml:space="preserve">To edit an effect: </w:t>
      </w:r>
    </w:p>
    <w:p w14:paraId="7E0D1028" w14:textId="4E75EE83" w:rsidR="00500E14" w:rsidRPr="000665B0" w:rsidRDefault="00500E14" w:rsidP="006D5A65">
      <w:pPr>
        <w:pStyle w:val="Heading1"/>
      </w:pPr>
      <w:r w:rsidRPr="000665B0">
        <w:t>Select an</w:t>
      </w:r>
      <w:r w:rsidR="00E1676B" w:rsidRPr="000665B0">
        <w:t xml:space="preserve"> effect</w:t>
      </w:r>
      <w:r w:rsidRPr="000665B0">
        <w:t xml:space="preserve"> in the list o</w:t>
      </w:r>
      <w:r w:rsidR="00287435" w:rsidRPr="000665B0">
        <w:t>f</w:t>
      </w:r>
      <w:r w:rsidRPr="000665B0">
        <w:t xml:space="preserve"> the </w:t>
      </w:r>
      <w:r w:rsidRPr="000665B0">
        <w:rPr>
          <w:i/>
        </w:rPr>
        <w:t>Area Textual View</w:t>
      </w:r>
      <w:r w:rsidRPr="000665B0">
        <w:t xml:space="preserve"> window.</w:t>
      </w:r>
    </w:p>
    <w:p w14:paraId="5631D5A0" w14:textId="7457DA1B" w:rsidR="00500E14" w:rsidRPr="000665B0" w:rsidRDefault="00D71804" w:rsidP="006D5A65">
      <w:pPr>
        <w:pStyle w:val="Heading1"/>
      </w:pPr>
      <w:r w:rsidRPr="000665B0">
        <w:t>Right-click</w:t>
      </w:r>
      <w:r w:rsidR="00500E14" w:rsidRPr="000665B0">
        <w:t xml:space="preserve"> and </w:t>
      </w:r>
      <w:r w:rsidR="00E1676B" w:rsidRPr="000665B0">
        <w:t>select</w:t>
      </w:r>
      <w:r w:rsidR="00500E14" w:rsidRPr="000665B0">
        <w:t xml:space="preserve"> Edit from the context menu</w:t>
      </w:r>
      <w:r w:rsidR="00E1676B" w:rsidRPr="000665B0">
        <w:t xml:space="preserve">. </w:t>
      </w:r>
      <w:r w:rsidR="00500E14" w:rsidRPr="000665B0">
        <w:t xml:space="preserve">The </w:t>
      </w:r>
      <w:r w:rsidR="00500E14" w:rsidRPr="000665B0">
        <w:rPr>
          <w:i/>
        </w:rPr>
        <w:t>Area Effect Textual View</w:t>
      </w:r>
      <w:r w:rsidR="00500E14" w:rsidRPr="000665B0">
        <w:t xml:space="preserve"> window is </w:t>
      </w:r>
      <w:r w:rsidR="00636741" w:rsidRPr="000665B0">
        <w:t>displayed,</w:t>
      </w:r>
      <w:r w:rsidR="00500E14" w:rsidRPr="000665B0">
        <w:t xml:space="preserve"> and the </w:t>
      </w:r>
      <w:r w:rsidR="00E1676B" w:rsidRPr="000665B0">
        <w:t xml:space="preserve">effect is </w:t>
      </w:r>
      <w:r w:rsidR="00500E14" w:rsidRPr="000665B0">
        <w:t xml:space="preserve">editable. </w:t>
      </w:r>
    </w:p>
    <w:p w14:paraId="415061D1" w14:textId="77777777" w:rsidR="00500E14" w:rsidRPr="000665B0" w:rsidRDefault="00500E14" w:rsidP="00500E14">
      <w:pPr>
        <w:rPr>
          <w:szCs w:val="24"/>
        </w:rPr>
      </w:pPr>
      <w:r w:rsidRPr="000665B0">
        <w:rPr>
          <w:szCs w:val="24"/>
        </w:rPr>
        <w:t>To remove an effect:</w:t>
      </w:r>
    </w:p>
    <w:p w14:paraId="43C57055" w14:textId="067C32FC" w:rsidR="00500E14" w:rsidRPr="000665B0" w:rsidRDefault="00E1676B" w:rsidP="006D5A65">
      <w:pPr>
        <w:pStyle w:val="Heading1"/>
      </w:pPr>
      <w:r w:rsidRPr="000665B0">
        <w:lastRenderedPageBreak/>
        <w:t>Select an effect in the list o</w:t>
      </w:r>
      <w:r w:rsidR="00287435" w:rsidRPr="000665B0">
        <w:t>f</w:t>
      </w:r>
      <w:r w:rsidRPr="000665B0">
        <w:t xml:space="preserve"> the </w:t>
      </w:r>
      <w:r w:rsidRPr="000665B0">
        <w:rPr>
          <w:i/>
        </w:rPr>
        <w:t>Area Textual View</w:t>
      </w:r>
      <w:r w:rsidRPr="000665B0">
        <w:t xml:space="preserve"> window</w:t>
      </w:r>
      <w:r w:rsidR="00500E14" w:rsidRPr="000665B0">
        <w:t>.</w:t>
      </w:r>
    </w:p>
    <w:p w14:paraId="08734BD1" w14:textId="0057453C" w:rsidR="00500E14" w:rsidRPr="000665B0" w:rsidRDefault="00D71804" w:rsidP="006D5A65">
      <w:pPr>
        <w:pStyle w:val="Heading1"/>
      </w:pPr>
      <w:r w:rsidRPr="000665B0">
        <w:t>Right-click</w:t>
      </w:r>
      <w:r w:rsidR="00500E14" w:rsidRPr="000665B0">
        <w:t xml:space="preserve"> and </w:t>
      </w:r>
      <w:r w:rsidR="00E1676B" w:rsidRPr="000665B0">
        <w:t>select</w:t>
      </w:r>
      <w:r w:rsidR="00500E14" w:rsidRPr="000665B0">
        <w:t xml:space="preserve"> Remove from the context menu. </w:t>
      </w:r>
    </w:p>
    <w:p w14:paraId="4A3049B9" w14:textId="6AEB0B8D" w:rsidR="00500E14" w:rsidRPr="000665B0" w:rsidRDefault="00500E14" w:rsidP="00500E14">
      <w:pPr>
        <w:pStyle w:val="Heading5"/>
      </w:pPr>
      <w:r w:rsidRPr="000665B0">
        <w:t>Application of Areas and Effects</w:t>
      </w:r>
    </w:p>
    <w:p w14:paraId="3714FF6B" w14:textId="77777777" w:rsidR="00F016AA" w:rsidRPr="000665B0" w:rsidRDefault="00500E14" w:rsidP="00E74C23">
      <w:r w:rsidRPr="000665B0">
        <w:t xml:space="preserve">The most common </w:t>
      </w:r>
      <w:r w:rsidR="00F016AA" w:rsidRPr="000665B0">
        <w:t>type</w:t>
      </w:r>
      <w:r w:rsidRPr="000665B0">
        <w:t xml:space="preserve"> of area is the </w:t>
      </w:r>
      <w:r w:rsidRPr="000665B0">
        <w:rPr>
          <w:b/>
        </w:rPr>
        <w:t xml:space="preserve">Jamming </w:t>
      </w:r>
      <w:r w:rsidRPr="000665B0">
        <w:t xml:space="preserve">area type, which is used to produce GPS jamming effects, but areas can be used to produce a variety of other effects, in which case the </w:t>
      </w:r>
      <w:r w:rsidRPr="000665B0">
        <w:rPr>
          <w:b/>
        </w:rPr>
        <w:t>Mixed Use</w:t>
      </w:r>
      <w:r w:rsidRPr="000665B0">
        <w:t xml:space="preserve"> area type is specified. </w:t>
      </w:r>
    </w:p>
    <w:p w14:paraId="7297807E" w14:textId="068B3C92" w:rsidR="00F016AA" w:rsidRPr="000665B0" w:rsidRDefault="00F016AA">
      <w:r w:rsidRPr="000665B0">
        <w:t>A</w:t>
      </w:r>
      <w:r w:rsidR="00500E14" w:rsidRPr="000665B0">
        <w:t xml:space="preserve">n example of a </w:t>
      </w:r>
      <w:r w:rsidR="00500E14" w:rsidRPr="000665B0">
        <w:rPr>
          <w:b/>
        </w:rPr>
        <w:t>Mixed Use</w:t>
      </w:r>
      <w:r w:rsidR="00500E14" w:rsidRPr="000665B0">
        <w:t xml:space="preserve"> area type</w:t>
      </w:r>
      <w:r w:rsidRPr="000665B0">
        <w:t xml:space="preserve"> of the (entirely fictional) </w:t>
      </w:r>
      <w:r w:rsidR="00494124" w:rsidRPr="000665B0">
        <w:t>Mojave</w:t>
      </w:r>
      <w:r w:rsidRPr="000665B0">
        <w:t xml:space="preserve"> anti-air (AA) site is shown below with the following specifications:</w:t>
      </w:r>
    </w:p>
    <w:p w14:paraId="6D94B031" w14:textId="269F5F2B" w:rsidR="00F016AA" w:rsidRPr="000665B0" w:rsidRDefault="00F016AA" w:rsidP="006D5A65">
      <w:pPr>
        <w:pStyle w:val="Heading1"/>
      </w:pPr>
      <w:r w:rsidRPr="000665B0">
        <w:t>T</w:t>
      </w:r>
      <w:r w:rsidR="00500E14" w:rsidRPr="000665B0">
        <w:t xml:space="preserve">he </w:t>
      </w:r>
      <w:r w:rsidR="00494124" w:rsidRPr="000665B0">
        <w:t>Mojave</w:t>
      </w:r>
      <w:r w:rsidRPr="000665B0">
        <w:t xml:space="preserve"> </w:t>
      </w:r>
      <w:r w:rsidR="00500E14" w:rsidRPr="000665B0">
        <w:t xml:space="preserve">AA site has both a GPS jammer and </w:t>
      </w:r>
      <w:r w:rsidRPr="000665B0">
        <w:t xml:space="preserve">radar-guided weaponry with </w:t>
      </w:r>
      <w:r w:rsidR="00500E14" w:rsidRPr="000665B0">
        <w:t>the ability to shoot down Tomahawks</w:t>
      </w:r>
      <w:r w:rsidRPr="000665B0">
        <w:t xml:space="preserve"> at a range of 20 NM</w:t>
      </w:r>
      <w:r w:rsidR="00500E14" w:rsidRPr="000665B0">
        <w:t xml:space="preserve">. </w:t>
      </w:r>
    </w:p>
    <w:p w14:paraId="1B2301BC" w14:textId="69572A27" w:rsidR="00F016AA" w:rsidRPr="000665B0" w:rsidRDefault="00500E14" w:rsidP="006D5A65">
      <w:pPr>
        <w:pStyle w:val="Heading1"/>
      </w:pPr>
      <w:r w:rsidRPr="000665B0">
        <w:t xml:space="preserve">The jammer can jam AGR-3 GPS receivers at a range of 35 </w:t>
      </w:r>
      <w:r w:rsidR="00636741" w:rsidRPr="000665B0">
        <w:t>NM but</w:t>
      </w:r>
      <w:r w:rsidRPr="000665B0">
        <w:t xml:space="preserve"> is also strong enough to overcome AGR-4 GPS receivers at the sm</w:t>
      </w:r>
      <w:r w:rsidR="00F016AA" w:rsidRPr="000665B0">
        <w:t>aller range of 10 NM.</w:t>
      </w:r>
    </w:p>
    <w:p w14:paraId="599AAAFB" w14:textId="4B12BBF4" w:rsidR="00500E14" w:rsidRPr="000665B0" w:rsidRDefault="00494124" w:rsidP="00BE255F">
      <w:pPr>
        <w:spacing w:before="120"/>
        <w:jc w:val="center"/>
      </w:pPr>
      <w:r w:rsidRPr="000665B0">
        <w:rPr>
          <w:noProof/>
        </w:rPr>
        <w:drawing>
          <wp:inline distT="0" distB="0" distL="0" distR="0" wp14:anchorId="3A4C59D8" wp14:editId="2CE018F8">
            <wp:extent cx="4983480" cy="2788920"/>
            <wp:effectExtent l="0" t="0" r="0" b="0"/>
            <wp:docPr id="1231" name="Picture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2788920"/>
                    </a:xfrm>
                    <a:prstGeom prst="rect">
                      <a:avLst/>
                    </a:prstGeom>
                  </pic:spPr>
                </pic:pic>
              </a:graphicData>
            </a:graphic>
          </wp:inline>
        </w:drawing>
      </w:r>
      <w:r w:rsidRPr="000665B0">
        <w:rPr>
          <w:noProof/>
        </w:rPr>
        <w:t xml:space="preserve"> </w:t>
      </w:r>
    </w:p>
    <w:p w14:paraId="1D9E4803" w14:textId="0D0036A6" w:rsidR="00500E14" w:rsidRPr="000665B0" w:rsidRDefault="00500E14" w:rsidP="00500E14">
      <w:r w:rsidRPr="000665B0">
        <w:t xml:space="preserve">During a strike rehearsal, when an actor (Missile or FRU) that can be affected by an effect comes within the radius of the effect, the appropriate complication is created and applied to the actor. This causes a complication for the actor to appear on the </w:t>
      </w:r>
      <w:r w:rsidRPr="000665B0">
        <w:rPr>
          <w:i/>
        </w:rPr>
        <w:t>TSRT Gantt</w:t>
      </w:r>
      <w:r w:rsidRPr="000665B0">
        <w:t xml:space="preserve"> chart and the </w:t>
      </w:r>
      <w:r w:rsidRPr="000665B0">
        <w:rPr>
          <w:b/>
        </w:rPr>
        <w:t>Complications</w:t>
      </w:r>
      <w:r w:rsidRPr="000665B0">
        <w:t xml:space="preserve"> pane of the </w:t>
      </w:r>
      <w:r w:rsidRPr="000665B0">
        <w:rPr>
          <w:i/>
        </w:rPr>
        <w:t>TSRT Scenario Director</w:t>
      </w:r>
      <w:r w:rsidR="00F016AA" w:rsidRPr="000665B0">
        <w:t xml:space="preserve">. </w:t>
      </w:r>
      <w:r w:rsidRPr="000665B0">
        <w:t>If the actor is a comms-enabled missile, subsequent Health and Status messages may report the condition.</w:t>
      </w:r>
    </w:p>
    <w:p w14:paraId="0E628214" w14:textId="32CC0116" w:rsidR="00500E14" w:rsidRPr="000665B0" w:rsidRDefault="00500E14" w:rsidP="00CC5CE9">
      <w:r w:rsidRPr="000665B0">
        <w:t xml:space="preserve">Likewise, when an actor travels beyond the radius of the effect, the complication for that actor is ended, causing the complication for the actor to have an end time on the on the </w:t>
      </w:r>
      <w:r w:rsidRPr="000665B0">
        <w:rPr>
          <w:i/>
        </w:rPr>
        <w:t>TSRT Gantt</w:t>
      </w:r>
      <w:r w:rsidRPr="000665B0">
        <w:t xml:space="preserve"> chart and the </w:t>
      </w:r>
      <w:r w:rsidRPr="000665B0">
        <w:rPr>
          <w:b/>
        </w:rPr>
        <w:t>Complications</w:t>
      </w:r>
      <w:r w:rsidRPr="000665B0">
        <w:t xml:space="preserve"> pane of the </w:t>
      </w:r>
      <w:r w:rsidRPr="000665B0">
        <w:rPr>
          <w:i/>
        </w:rPr>
        <w:t>TSRT Scenario Director</w:t>
      </w:r>
      <w:r w:rsidR="00F016AA" w:rsidRPr="000665B0">
        <w:t xml:space="preserve">. </w:t>
      </w:r>
      <w:r w:rsidRPr="000665B0">
        <w:t xml:space="preserve">If the actor is a comms-enabled missile, subsequent Health and Status Log messages will no longer report the condition. For more about Complications see </w:t>
      </w:r>
      <w:hyperlink w:anchor="_5.39.13__Complications" w:history="1">
        <w:r w:rsidR="002A4B19" w:rsidRPr="000665B0">
          <w:rPr>
            <w:rStyle w:val="Hyperlink"/>
          </w:rPr>
          <w:t xml:space="preserve">Section </w:t>
        </w:r>
        <w:r w:rsidR="004231CC">
          <w:rPr>
            <w:rStyle w:val="Hyperlink"/>
          </w:rPr>
          <w:t>5.37</w:t>
        </w:r>
        <w:r w:rsidR="002A4B19" w:rsidRPr="000665B0">
          <w:rPr>
            <w:rStyle w:val="Hyperlink"/>
          </w:rPr>
          <w:t>.14</w:t>
        </w:r>
      </w:hyperlink>
      <w:r w:rsidRPr="000665B0">
        <w:t>. For more information about the TSRT Gantt</w:t>
      </w:r>
      <w:r w:rsidR="00F016AA" w:rsidRPr="000665B0">
        <w:t xml:space="preserve"> chart,</w:t>
      </w:r>
      <w:r w:rsidRPr="000665B0">
        <w:t xml:space="preserve"> see </w:t>
      </w:r>
      <w:hyperlink w:anchor="_5.39.1__Gantt_Chart" w:history="1">
        <w:r w:rsidRPr="000665B0">
          <w:rPr>
            <w:rStyle w:val="Hyperlink"/>
          </w:rPr>
          <w:t xml:space="preserve">Section </w:t>
        </w:r>
        <w:r w:rsidR="004231CC">
          <w:rPr>
            <w:rStyle w:val="Hyperlink"/>
          </w:rPr>
          <w:t>5.37</w:t>
        </w:r>
        <w:r w:rsidRPr="000665B0">
          <w:rPr>
            <w:rStyle w:val="Hyperlink"/>
          </w:rPr>
          <w:t>.1</w:t>
        </w:r>
      </w:hyperlink>
      <w:r w:rsidRPr="000665B0">
        <w:t xml:space="preserve">. For more information </w:t>
      </w:r>
      <w:r w:rsidR="00F016AA" w:rsidRPr="000665B0">
        <w:t>about</w:t>
      </w:r>
      <w:r w:rsidRPr="000665B0">
        <w:t xml:space="preserve"> H&amp;S messages</w:t>
      </w:r>
      <w:r w:rsidR="00F016AA" w:rsidRPr="000665B0">
        <w:t>,</w:t>
      </w:r>
      <w:r w:rsidRPr="000665B0">
        <w:t xml:space="preserve"> see </w:t>
      </w:r>
      <w:hyperlink w:anchor="_5.39.9__Health_and_Status_Log" w:history="1">
        <w:r w:rsidRPr="000665B0">
          <w:rPr>
            <w:rStyle w:val="Hyperlink"/>
          </w:rPr>
          <w:t xml:space="preserve">Section </w:t>
        </w:r>
        <w:r w:rsidR="004231CC">
          <w:rPr>
            <w:rStyle w:val="Hyperlink"/>
          </w:rPr>
          <w:t>5.37</w:t>
        </w:r>
        <w:r w:rsidRPr="000665B0">
          <w:rPr>
            <w:rStyle w:val="Hyperlink"/>
          </w:rPr>
          <w:t>.9</w:t>
        </w:r>
      </w:hyperlink>
      <w:r w:rsidRPr="000665B0">
        <w:t>.</w:t>
      </w:r>
    </w:p>
    <w:p w14:paraId="57EB7A14" w14:textId="4994F26A" w:rsidR="00220C83" w:rsidRPr="000665B0" w:rsidRDefault="00D71C71" w:rsidP="009163E5">
      <w:pPr>
        <w:pStyle w:val="Heading5"/>
      </w:pPr>
      <w:bookmarkStart w:id="7128" w:name="_Toc289328996"/>
      <w:r w:rsidRPr="000665B0">
        <w:lastRenderedPageBreak/>
        <w:t>Sen</w:t>
      </w:r>
      <w:r w:rsidR="00220C83" w:rsidRPr="000665B0">
        <w:t>d and Receive Scenarios</w:t>
      </w:r>
      <w:bookmarkEnd w:id="7128"/>
    </w:p>
    <w:p w14:paraId="7FB730F2" w14:textId="77777777" w:rsidR="001B46AC" w:rsidRPr="000665B0" w:rsidRDefault="001B46AC" w:rsidP="001B46AC">
      <w:r w:rsidRPr="000665B0">
        <w:t>The Send and Receive Scenarios feature allows the user to write a scenario to media send it to another MDS.</w:t>
      </w:r>
    </w:p>
    <w:p w14:paraId="31DDB265" w14:textId="77777777" w:rsidR="0055469E" w:rsidRPr="000665B0" w:rsidRDefault="0055469E" w:rsidP="0055469E">
      <w:r w:rsidRPr="000665B0">
        <w:t>To write a scenario to media:</w:t>
      </w:r>
    </w:p>
    <w:p w14:paraId="2111978C" w14:textId="77777777" w:rsidR="00220C83" w:rsidRPr="000665B0" w:rsidRDefault="00220C83" w:rsidP="006D5A65">
      <w:pPr>
        <w:pStyle w:val="Heading1"/>
      </w:pPr>
      <w:r w:rsidRPr="000665B0">
        <w:t>Navigate to the Scenario Editor.</w:t>
      </w:r>
    </w:p>
    <w:p w14:paraId="3AEF9AF2" w14:textId="77777777" w:rsidR="00220C83" w:rsidRPr="000665B0" w:rsidRDefault="00220C83" w:rsidP="006D5A65">
      <w:pPr>
        <w:pStyle w:val="Heading1"/>
      </w:pPr>
      <w:r w:rsidRPr="000665B0">
        <w:t>From the File menu select Open Execution Folder…</w:t>
      </w:r>
      <w:r w:rsidR="00052375" w:rsidRPr="000665B0">
        <w:t>.</w:t>
      </w:r>
    </w:p>
    <w:p w14:paraId="1517FB87" w14:textId="77777777" w:rsidR="00220C83" w:rsidRPr="000665B0" w:rsidRDefault="00220C83" w:rsidP="006D5A65">
      <w:pPr>
        <w:pStyle w:val="Heading1"/>
      </w:pPr>
      <w:r w:rsidRPr="000665B0">
        <w:t>Select an Execution Folder and existing Scenario.</w:t>
      </w:r>
    </w:p>
    <w:p w14:paraId="541913B4" w14:textId="77777777" w:rsidR="00220C83" w:rsidRPr="000665B0" w:rsidRDefault="00220C83" w:rsidP="006D5A65">
      <w:pPr>
        <w:pStyle w:val="Heading1"/>
      </w:pPr>
      <w:r w:rsidRPr="000665B0">
        <w:t>Click the OK button.</w:t>
      </w:r>
    </w:p>
    <w:p w14:paraId="6115B9EE" w14:textId="207B96F2" w:rsidR="00220C83" w:rsidRPr="000665B0" w:rsidRDefault="001C4B04" w:rsidP="006D5A65">
      <w:pPr>
        <w:pStyle w:val="Heading1"/>
      </w:pPr>
      <w:r w:rsidRPr="000665B0">
        <w:t>From the File menu select Write to Media</w:t>
      </w:r>
      <w:r w:rsidR="000826C9" w:rsidRPr="000665B0">
        <w:t>… or</w:t>
      </w:r>
      <w:r w:rsidRPr="000665B0">
        <w:t xml:space="preserve"> click on the Write to Media tool bar icon.</w:t>
      </w:r>
      <w:r w:rsidR="00D67A05" w:rsidRPr="000665B0" w:rsidDel="00D67A05">
        <w:t xml:space="preserve"> </w:t>
      </w:r>
    </w:p>
    <w:p w14:paraId="198ABBA0" w14:textId="77777777" w:rsidR="0055469E" w:rsidRPr="000665B0" w:rsidRDefault="0055469E" w:rsidP="006D5A65">
      <w:pPr>
        <w:pStyle w:val="Heading1"/>
      </w:pPr>
      <w:r w:rsidRPr="000665B0">
        <w:t>Select the folder where the scenario should be saved.</w:t>
      </w:r>
    </w:p>
    <w:p w14:paraId="7A4CACA2" w14:textId="77777777" w:rsidR="0055469E" w:rsidRPr="000665B0" w:rsidRDefault="0055469E" w:rsidP="006D5A65">
      <w:pPr>
        <w:pStyle w:val="Heading1"/>
      </w:pPr>
      <w:r w:rsidRPr="000665B0">
        <w:t>Click the OK button.</w:t>
      </w:r>
    </w:p>
    <w:p w14:paraId="6A87B5F0" w14:textId="77777777" w:rsidR="0055469E" w:rsidRPr="000665B0" w:rsidRDefault="0055469E" w:rsidP="0055469E">
      <w:r w:rsidRPr="000665B0">
        <w:t>A scenario can only be written to media if the scenario has already been saved to the database and there are no pending changes to be saved in the editor.</w:t>
      </w:r>
    </w:p>
    <w:p w14:paraId="735BB863" w14:textId="77777777" w:rsidR="0055469E" w:rsidRPr="000665B0" w:rsidRDefault="0055469E" w:rsidP="0055469E">
      <w:r w:rsidRPr="000665B0">
        <w:t>To send a scenario to another MDS node:</w:t>
      </w:r>
    </w:p>
    <w:p w14:paraId="20BDA601" w14:textId="405A97B5" w:rsidR="0055469E" w:rsidRPr="000665B0" w:rsidRDefault="0055469E" w:rsidP="006D5A65">
      <w:pPr>
        <w:pStyle w:val="Heading1"/>
      </w:pPr>
      <w:r w:rsidRPr="000665B0">
        <w:t xml:space="preserve">Create a new DDO </w:t>
      </w:r>
      <w:r w:rsidR="00636741" w:rsidRPr="000665B0">
        <w:t>template.</w:t>
      </w:r>
    </w:p>
    <w:p w14:paraId="2696278B" w14:textId="77777777" w:rsidR="0055469E" w:rsidRPr="000665B0" w:rsidRDefault="0055469E" w:rsidP="006D5A65">
      <w:pPr>
        <w:pStyle w:val="Heading1"/>
      </w:pPr>
      <w:r w:rsidRPr="000665B0">
        <w:t>Add the scenario to the generic files tab.</w:t>
      </w:r>
    </w:p>
    <w:p w14:paraId="6977B54B" w14:textId="6E7AD3C4" w:rsidR="0055469E" w:rsidRPr="000665B0" w:rsidRDefault="0055469E" w:rsidP="006D5A65">
      <w:pPr>
        <w:pStyle w:val="Heading1"/>
      </w:pPr>
      <w:r w:rsidRPr="000665B0">
        <w:t xml:space="preserve">Add the parent strike option to the </w:t>
      </w:r>
      <w:r w:rsidR="002C1550" w:rsidRPr="000665B0">
        <w:t>DDO.</w:t>
      </w:r>
      <w:r w:rsidRPr="000665B0">
        <w:t xml:space="preserve"> </w:t>
      </w:r>
    </w:p>
    <w:p w14:paraId="3072E81F" w14:textId="77777777" w:rsidR="00220C83" w:rsidRPr="000665B0" w:rsidRDefault="00220C83" w:rsidP="00220C83">
      <w:r w:rsidRPr="000665B0">
        <w:t>Scenarios are received by following the steps below:</w:t>
      </w:r>
    </w:p>
    <w:p w14:paraId="433FB9FD" w14:textId="77777777" w:rsidR="00220C83" w:rsidRPr="000665B0" w:rsidRDefault="00220C83" w:rsidP="006D5A65">
      <w:pPr>
        <w:pStyle w:val="Heading1"/>
      </w:pPr>
      <w:r w:rsidRPr="000665B0">
        <w:t>From the MDS File menu select Receive File…</w:t>
      </w:r>
      <w:r w:rsidR="00A23FEE" w:rsidRPr="000665B0">
        <w:t>.</w:t>
      </w:r>
    </w:p>
    <w:p w14:paraId="7ECEF8BF" w14:textId="77777777" w:rsidR="00220C83" w:rsidRPr="000665B0" w:rsidRDefault="00220C83" w:rsidP="006D5A65">
      <w:pPr>
        <w:pStyle w:val="Heading1"/>
      </w:pPr>
      <w:r w:rsidRPr="000665B0">
        <w:t>Navigate to the scenario file that has been written to media and click Open.</w:t>
      </w:r>
    </w:p>
    <w:p w14:paraId="6529AF6B" w14:textId="11CE49EF" w:rsidR="00D67A05" w:rsidRPr="000665B0" w:rsidRDefault="00C717AB" w:rsidP="006D5A65">
      <w:pPr>
        <w:pStyle w:val="Heading1"/>
      </w:pPr>
      <w:r w:rsidRPr="000665B0">
        <w:t>Navigate</w:t>
      </w:r>
      <w:r w:rsidR="00D67A05" w:rsidRPr="000665B0">
        <w:t xml:space="preserve"> to the Incoming DDO</w:t>
      </w:r>
      <w:r w:rsidR="00726A8D" w:rsidRPr="000665B0">
        <w:t>s</w:t>
      </w:r>
      <w:r w:rsidR="00D67A05" w:rsidRPr="000665B0">
        <w:t xml:space="preserve"> tool (</w:t>
      </w:r>
      <w:r w:rsidR="00D40354" w:rsidRPr="000665B0">
        <w:t xml:space="preserve">see </w:t>
      </w:r>
      <w:hyperlink w:anchor="_5.22__INCOMING_DDO_TOOL" w:history="1">
        <w:r w:rsidR="00BA593F" w:rsidRPr="000665B0">
          <w:rPr>
            <w:rStyle w:val="Hyperlink"/>
          </w:rPr>
          <w:t xml:space="preserve">Section </w:t>
        </w:r>
        <w:r w:rsidR="004231CC">
          <w:rPr>
            <w:rStyle w:val="Hyperlink"/>
          </w:rPr>
          <w:t>5.18</w:t>
        </w:r>
      </w:hyperlink>
      <w:r w:rsidR="00D67A05" w:rsidRPr="000665B0">
        <w:t>) and select the DDO created by the file receipt (“Incoming DDO created from File Received”).</w:t>
      </w:r>
    </w:p>
    <w:p w14:paraId="0B3B9BC7" w14:textId="5952B67B" w:rsidR="00220C83" w:rsidRPr="000665B0" w:rsidRDefault="00D67A05" w:rsidP="006D5A65">
      <w:pPr>
        <w:pStyle w:val="Heading1"/>
      </w:pPr>
      <w:r w:rsidRPr="000665B0">
        <w:t>Invoke the context menu (</w:t>
      </w:r>
      <w:r w:rsidR="00D71804" w:rsidRPr="000665B0">
        <w:t>right-click</w:t>
      </w:r>
      <w:r w:rsidRPr="000665B0">
        <w:t xml:space="preserve"> the mouse) and select Process. Confirm processing in the ensuing </w:t>
      </w:r>
      <w:r w:rsidR="00C717AB" w:rsidRPr="000665B0">
        <w:t>window</w:t>
      </w:r>
      <w:r w:rsidRPr="000665B0">
        <w:t xml:space="preserve"> by clicking Yes.</w:t>
      </w:r>
    </w:p>
    <w:p w14:paraId="08D3D718" w14:textId="08B5F80C" w:rsidR="00220C83" w:rsidRPr="000665B0" w:rsidRDefault="00220C83" w:rsidP="00B35EE5">
      <w:pPr>
        <w:pStyle w:val="Heading4"/>
      </w:pPr>
      <w:bookmarkStart w:id="7129" w:name="_Toc289328997"/>
      <w:r w:rsidRPr="000665B0">
        <w:t>Modem Summary</w:t>
      </w:r>
      <w:bookmarkEnd w:id="7129"/>
    </w:p>
    <w:p w14:paraId="41EF773B" w14:textId="77777777" w:rsidR="001C4B04" w:rsidRPr="000665B0" w:rsidRDefault="00D9663D" w:rsidP="001C4B04">
      <w:r w:rsidRPr="000665B0">
        <w:t>When multiple TSN modems are being used, t</w:t>
      </w:r>
      <w:r w:rsidR="001C4B04" w:rsidRPr="000665B0">
        <w:t xml:space="preserve">he Modem Summary View shows the status of </w:t>
      </w:r>
      <w:r w:rsidRPr="000665B0">
        <w:t xml:space="preserve">the </w:t>
      </w:r>
      <w:r w:rsidR="001C4B04" w:rsidRPr="000665B0">
        <w:t>TSN modems.</w:t>
      </w:r>
    </w:p>
    <w:p w14:paraId="1ABDDF2A" w14:textId="77777777" w:rsidR="001C4B04" w:rsidRPr="000665B0" w:rsidRDefault="001C4B04" w:rsidP="006D5A65">
      <w:pPr>
        <w:pStyle w:val="Heading1"/>
      </w:pPr>
      <w:r w:rsidRPr="000665B0">
        <w:t>Navigate to the TSRT Activity tool.</w:t>
      </w:r>
    </w:p>
    <w:p w14:paraId="012701BD" w14:textId="77777777" w:rsidR="001C4B04" w:rsidRPr="000665B0" w:rsidRDefault="001C4B04" w:rsidP="006D5A65">
      <w:pPr>
        <w:pStyle w:val="Heading1"/>
      </w:pPr>
      <w:r w:rsidRPr="000665B0">
        <w:t xml:space="preserve">From the Scenario menu, select Comms Status </w:t>
      </w:r>
      <w:r w:rsidR="00A05D58" w:rsidRPr="000665B0">
        <w:sym w:font="Wingdings" w:char="F0E0"/>
      </w:r>
      <w:r w:rsidRPr="000665B0">
        <w:t xml:space="preserve"> Modem Summary…</w:t>
      </w:r>
      <w:r w:rsidR="00A23FEE" w:rsidRPr="000665B0">
        <w:t>.</w:t>
      </w:r>
    </w:p>
    <w:p w14:paraId="507A5AF8" w14:textId="77777777" w:rsidR="00220C83" w:rsidRPr="000665B0" w:rsidRDefault="00220C83" w:rsidP="00220C83">
      <w:r w:rsidRPr="000665B0">
        <w:t xml:space="preserve">When multiple modems are employed to saturate the TSN, TSRT is required to derive modem status from the messages sent </w:t>
      </w:r>
      <w:r w:rsidR="00642BE1" w:rsidRPr="000665B0">
        <w:t>and</w:t>
      </w:r>
      <w:r w:rsidRPr="000665B0">
        <w:t xml:space="preserve"> received through each modem utilized by TSRT. This window shows the derived status of each physical modem.</w:t>
      </w:r>
    </w:p>
    <w:p w14:paraId="0100B57D" w14:textId="4B143CF7" w:rsidR="00220C83" w:rsidRPr="000665B0" w:rsidRDefault="00220C83" w:rsidP="00220C83">
      <w:bookmarkStart w:id="7130" w:name="_Hlk103174266"/>
      <w:r w:rsidRPr="000665B0">
        <w:lastRenderedPageBreak/>
        <w:t>A test ping can be sent from this window (</w:t>
      </w:r>
      <w:r w:rsidRPr="000665B0">
        <w:rPr>
          <w:b/>
        </w:rPr>
        <w:t xml:space="preserve">File </w:t>
      </w:r>
      <w:r w:rsidR="00A05D58" w:rsidRPr="000665B0">
        <w:rPr>
          <w:b/>
        </w:rPr>
        <w:sym w:font="Wingdings" w:char="F0E0"/>
      </w:r>
      <w:r w:rsidRPr="000665B0">
        <w:rPr>
          <w:b/>
        </w:rPr>
        <w:t xml:space="preserve"> Initiate Test</w:t>
      </w:r>
      <w:r w:rsidRPr="000665B0">
        <w:t xml:space="preserve">). This should be received by the other </w:t>
      </w:r>
      <w:r w:rsidR="00986E97" w:rsidRPr="000665B0">
        <w:t>modems and</w:t>
      </w:r>
      <w:r w:rsidRPr="000665B0">
        <w:t xml:space="preserve"> thus prove the “health” of those modems empirically. Modem status is also derived from the messages observed to have been sent and received through those modems.</w:t>
      </w:r>
    </w:p>
    <w:bookmarkEnd w:id="7130"/>
    <w:p w14:paraId="133F2FBD" w14:textId="28C1567C" w:rsidR="00220C83" w:rsidRPr="000665B0" w:rsidRDefault="00F779C6" w:rsidP="00220C83">
      <w:pPr>
        <w:jc w:val="center"/>
      </w:pPr>
      <w:r w:rsidRPr="000665B0">
        <w:rPr>
          <w:noProof/>
        </w:rPr>
        <w:drawing>
          <wp:inline distT="0" distB="0" distL="0" distR="0" wp14:anchorId="6592DAD7" wp14:editId="2A4ADEA3">
            <wp:extent cx="4983480" cy="1709928"/>
            <wp:effectExtent l="0" t="0" r="0" b="0"/>
            <wp:docPr id="1248" name="Picture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1709928"/>
                    </a:xfrm>
                    <a:prstGeom prst="rect">
                      <a:avLst/>
                    </a:prstGeom>
                  </pic:spPr>
                </pic:pic>
              </a:graphicData>
            </a:graphic>
          </wp:inline>
        </w:drawing>
      </w:r>
    </w:p>
    <w:p w14:paraId="7A172965" w14:textId="791AFE4F" w:rsidR="00220C83" w:rsidRPr="000665B0" w:rsidRDefault="00220C83" w:rsidP="00220C83">
      <w:r w:rsidRPr="000665B0">
        <w:t>In a single modem environment (as is typical), TSRT will not hear its own messages (or the test ping</w:t>
      </w:r>
      <w:r w:rsidR="00636741" w:rsidRPr="000665B0">
        <w:t>) and</w:t>
      </w:r>
      <w:r w:rsidRPr="000665B0">
        <w:t xml:space="preserve"> has little information to determine if the sole modem is functional. </w:t>
      </w:r>
    </w:p>
    <w:p w14:paraId="659BF4D3" w14:textId="1C1F9A88" w:rsidR="00220C83" w:rsidRPr="000665B0" w:rsidRDefault="00220C83" w:rsidP="00220C83">
      <w:r w:rsidRPr="000665B0">
        <w:t>Port 9602 is used by TSRT</w:t>
      </w:r>
      <w:r w:rsidR="00F779C6" w:rsidRPr="000665B0">
        <w:t xml:space="preserve"> for the DAMA TSN network while </w:t>
      </w:r>
      <w:r w:rsidR="009D5D64" w:rsidRPr="000665B0">
        <w:t>p</w:t>
      </w:r>
      <w:r w:rsidR="00F779C6" w:rsidRPr="000665B0">
        <w:t>ort 9610 is used by TSRT for the ACA TSN network</w:t>
      </w:r>
      <w:r w:rsidRPr="000665B0">
        <w:t xml:space="preserve"> during strike rehearsal. Ports 9603-</w:t>
      </w:r>
      <w:r w:rsidR="00F779C6" w:rsidRPr="000665B0">
        <w:t xml:space="preserve">9608 </w:t>
      </w:r>
      <w:r w:rsidRPr="000665B0">
        <w:t>are used by TSRT when multiple modems are available (whether local or distant).</w:t>
      </w:r>
    </w:p>
    <w:p w14:paraId="2B0C1EE4" w14:textId="47F99C55" w:rsidR="00220C83" w:rsidRPr="000665B0" w:rsidRDefault="00220C83" w:rsidP="00B35EE5">
      <w:pPr>
        <w:pStyle w:val="Heading4"/>
      </w:pPr>
      <w:bookmarkStart w:id="7131" w:name="_Toc289328998"/>
      <w:r w:rsidRPr="000665B0">
        <w:t>TSNIF Summary</w:t>
      </w:r>
      <w:bookmarkEnd w:id="7131"/>
    </w:p>
    <w:p w14:paraId="4DBD4C97" w14:textId="77777777" w:rsidR="009D5D64" w:rsidRPr="000665B0" w:rsidRDefault="009D5D64" w:rsidP="00220C83">
      <w:pPr>
        <w:jc w:val="center"/>
      </w:pPr>
      <w:r w:rsidRPr="000665B0">
        <w:rPr>
          <w:noProof/>
        </w:rPr>
        <w:drawing>
          <wp:inline distT="0" distB="0" distL="0" distR="0" wp14:anchorId="2B2A4817" wp14:editId="49ED222A">
            <wp:extent cx="4983480" cy="1508760"/>
            <wp:effectExtent l="0" t="0" r="0" b="0"/>
            <wp:docPr id="1249" name="Picture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1508760"/>
                    </a:xfrm>
                    <a:prstGeom prst="rect">
                      <a:avLst/>
                    </a:prstGeom>
                  </pic:spPr>
                </pic:pic>
              </a:graphicData>
            </a:graphic>
          </wp:inline>
        </w:drawing>
      </w:r>
    </w:p>
    <w:p w14:paraId="0B09DB4F" w14:textId="037811D3" w:rsidR="00220C83" w:rsidRPr="000665B0" w:rsidRDefault="009D5D64" w:rsidP="00220C83">
      <w:pPr>
        <w:jc w:val="center"/>
      </w:pPr>
      <w:r w:rsidRPr="000665B0">
        <w:rPr>
          <w:noProof/>
        </w:rPr>
        <w:drawing>
          <wp:inline distT="0" distB="0" distL="0" distR="0" wp14:anchorId="46639BDF" wp14:editId="7E9EDC4E">
            <wp:extent cx="4983480" cy="1773936"/>
            <wp:effectExtent l="0" t="0" r="0" b="0"/>
            <wp:docPr id="1250"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1773936"/>
                    </a:xfrm>
                    <a:prstGeom prst="rect">
                      <a:avLst/>
                    </a:prstGeom>
                  </pic:spPr>
                </pic:pic>
              </a:graphicData>
            </a:graphic>
          </wp:inline>
        </w:drawing>
      </w:r>
    </w:p>
    <w:p w14:paraId="142F2E4F" w14:textId="7952AE86" w:rsidR="00220C83" w:rsidRPr="000665B0" w:rsidRDefault="00220C83" w:rsidP="00220C83">
      <w:r w:rsidRPr="000665B0">
        <w:t xml:space="preserve">The </w:t>
      </w:r>
      <w:r w:rsidRPr="000665B0">
        <w:rPr>
          <w:i/>
        </w:rPr>
        <w:t>simulated TSNIF status summary</w:t>
      </w:r>
      <w:r w:rsidRPr="000665B0">
        <w:t xml:space="preserve"> window (above</w:t>
      </w:r>
      <w:r w:rsidR="009D5D64" w:rsidRPr="000665B0">
        <w:t xml:space="preserve"> for DAMA and ACA</w:t>
      </w:r>
      <w:r w:rsidRPr="000665B0">
        <w:t xml:space="preserve">) is meant to provide similar functionality to what the status window in a “true” TCIP would provide (below). </w:t>
      </w:r>
      <w:r w:rsidR="00C717AB" w:rsidRPr="000665B0">
        <w:t xml:space="preserve">This window applies only when a real TCIP TSNIF is </w:t>
      </w:r>
      <w:r w:rsidR="00C717AB" w:rsidRPr="000665B0">
        <w:rPr>
          <w:b/>
        </w:rPr>
        <w:t>not</w:t>
      </w:r>
      <w:r w:rsidR="00C717AB" w:rsidRPr="000665B0">
        <w:t xml:space="preserve"> used for communications.</w:t>
      </w:r>
    </w:p>
    <w:p w14:paraId="7110408C" w14:textId="77777777" w:rsidR="001E6607" w:rsidRPr="000665B0" w:rsidRDefault="001E6607" w:rsidP="006D5A65">
      <w:pPr>
        <w:pStyle w:val="Heading1"/>
      </w:pPr>
      <w:r w:rsidRPr="000665B0">
        <w:lastRenderedPageBreak/>
        <w:t>Navigate to the TSRT Activity tool.</w:t>
      </w:r>
    </w:p>
    <w:p w14:paraId="17892F60" w14:textId="5FF2404E" w:rsidR="001E6607" w:rsidRPr="000665B0" w:rsidRDefault="001E6607" w:rsidP="006D5A65">
      <w:pPr>
        <w:pStyle w:val="Heading1"/>
      </w:pPr>
      <w:r w:rsidRPr="000665B0">
        <w:t xml:space="preserve">From the Scenario menu, select Comms Status </w:t>
      </w:r>
      <w:r w:rsidR="00A05D58" w:rsidRPr="000665B0">
        <w:sym w:font="Wingdings" w:char="F0E0"/>
      </w:r>
      <w:r w:rsidRPr="000665B0">
        <w:t xml:space="preserve"> TSNIF </w:t>
      </w:r>
      <w:r w:rsidR="008C2050" w:rsidRPr="000665B0">
        <w:t xml:space="preserve">ACA </w:t>
      </w:r>
      <w:r w:rsidRPr="000665B0">
        <w:t>Summary…</w:t>
      </w:r>
      <w:r w:rsidR="008C2050" w:rsidRPr="000665B0">
        <w:t xml:space="preserve"> or TSNIF DAMA Summary…</w:t>
      </w:r>
      <w:r w:rsidR="00A23FEE" w:rsidRPr="000665B0">
        <w:t>.</w:t>
      </w:r>
    </w:p>
    <w:p w14:paraId="04EB3ABD" w14:textId="77777777" w:rsidR="00220C83" w:rsidRPr="000665B0" w:rsidRDefault="00220C83" w:rsidP="00220C83">
      <w:r w:rsidRPr="000665B0">
        <w:t xml:space="preserve">The </w:t>
      </w:r>
      <w:r w:rsidRPr="000665B0">
        <w:rPr>
          <w:b/>
        </w:rPr>
        <w:t>IP Address</w:t>
      </w:r>
      <w:r w:rsidRPr="000665B0">
        <w:t xml:space="preserve"> column corresponds to the </w:t>
      </w:r>
      <w:r w:rsidRPr="000665B0">
        <w:rPr>
          <w:b/>
        </w:rPr>
        <w:t>Interface</w:t>
      </w:r>
      <w:r w:rsidRPr="000665B0">
        <w:t xml:space="preserve"> column on the true TSNIF’s display. The </w:t>
      </w:r>
      <w:r w:rsidRPr="000665B0">
        <w:rPr>
          <w:b/>
        </w:rPr>
        <w:t>Server Port</w:t>
      </w:r>
      <w:r w:rsidRPr="000665B0">
        <w:t xml:space="preserve">, </w:t>
      </w:r>
      <w:r w:rsidRPr="000665B0">
        <w:rPr>
          <w:b/>
        </w:rPr>
        <w:t>Last Sent</w:t>
      </w:r>
      <w:r w:rsidRPr="000665B0">
        <w:t xml:space="preserve">, and </w:t>
      </w:r>
      <w:r w:rsidRPr="000665B0">
        <w:rPr>
          <w:b/>
        </w:rPr>
        <w:t>Last Received</w:t>
      </w:r>
      <w:r w:rsidRPr="000665B0">
        <w:t xml:space="preserve"> correspond to the </w:t>
      </w:r>
      <w:r w:rsidRPr="000665B0">
        <w:rPr>
          <w:b/>
        </w:rPr>
        <w:t>Port</w:t>
      </w:r>
      <w:r w:rsidRPr="000665B0">
        <w:t xml:space="preserve">, </w:t>
      </w:r>
      <w:r w:rsidRPr="000665B0">
        <w:rPr>
          <w:b/>
        </w:rPr>
        <w:t>Last Rcv</w:t>
      </w:r>
      <w:r w:rsidRPr="000665B0">
        <w:t xml:space="preserve">, and </w:t>
      </w:r>
      <w:r w:rsidRPr="000665B0">
        <w:rPr>
          <w:b/>
        </w:rPr>
        <w:t>Last Xmit</w:t>
      </w:r>
      <w:r w:rsidRPr="000665B0">
        <w:t xml:space="preserve"> columns. </w:t>
      </w:r>
    </w:p>
    <w:p w14:paraId="4F39155D" w14:textId="77777777" w:rsidR="00220C83" w:rsidRPr="000665B0" w:rsidRDefault="00220C83" w:rsidP="00220C83">
      <w:r w:rsidRPr="000665B0">
        <w:t xml:space="preserve">There is no </w:t>
      </w:r>
      <w:r w:rsidRPr="000665B0">
        <w:rPr>
          <w:b/>
        </w:rPr>
        <w:t>Status</w:t>
      </w:r>
      <w:r w:rsidRPr="000665B0">
        <w:t xml:space="preserve"> column on the simulated TSNIF, because the TSRT user is not allowed to enable/disable simulated TSNIF interfaces. There is no </w:t>
      </w:r>
      <w:r w:rsidRPr="000665B0">
        <w:rPr>
          <w:b/>
        </w:rPr>
        <w:t>Messages</w:t>
      </w:r>
      <w:r w:rsidRPr="000665B0">
        <w:t xml:space="preserve"> column on the simulated TSNIF because it does not buffer TSN messages.</w:t>
      </w:r>
    </w:p>
    <w:p w14:paraId="716A0966" w14:textId="52B1AB9E" w:rsidR="00220C83" w:rsidRPr="000665B0" w:rsidRDefault="00C717AB" w:rsidP="006679E9">
      <w:r w:rsidRPr="000665B0">
        <w:t xml:space="preserve">Port 9601 is used by the TED Distribution Service for messages to and from the SMD (Strike Management Display) </w:t>
      </w:r>
      <w:r w:rsidR="009D5D64" w:rsidRPr="000665B0">
        <w:t xml:space="preserve">for the DAMA TSN network </w:t>
      </w:r>
      <w:r w:rsidRPr="000665B0">
        <w:t xml:space="preserve">during strike rehearsal/execution. Port 9602 is used by the TED Distribution Service for </w:t>
      </w:r>
      <w:r w:rsidR="009D5D64" w:rsidRPr="000665B0">
        <w:t xml:space="preserve">the DAMA TSN network </w:t>
      </w:r>
      <w:r w:rsidRPr="000665B0">
        <w:t xml:space="preserve">messages to and from TSRT during strike rehearsal. </w:t>
      </w:r>
      <w:r w:rsidR="009D5D64" w:rsidRPr="000665B0">
        <w:t xml:space="preserve">Correspondingly, ports 9609 and 9610 are used for the ACA TSN network. </w:t>
      </w:r>
      <w:r w:rsidRPr="000665B0">
        <w:t>Ports 9603-</w:t>
      </w:r>
      <w:r w:rsidR="009D5D64" w:rsidRPr="000665B0">
        <w:t xml:space="preserve">9608 </w:t>
      </w:r>
      <w:r w:rsidRPr="000665B0">
        <w:t>may be used when multiple modems are available (whether local or distant).</w:t>
      </w:r>
    </w:p>
    <w:p w14:paraId="0BF774C9" w14:textId="4DEF36A7" w:rsidR="00220C83" w:rsidRPr="000665B0" w:rsidRDefault="00220C83" w:rsidP="00B35EE5">
      <w:pPr>
        <w:pStyle w:val="Heading4"/>
      </w:pPr>
      <w:bookmarkStart w:id="7132" w:name="_Toc289328999"/>
      <w:r w:rsidRPr="000665B0">
        <w:t>LINT Client Summary</w:t>
      </w:r>
      <w:bookmarkEnd w:id="7132"/>
    </w:p>
    <w:p w14:paraId="2F47F7B2" w14:textId="0511AF15" w:rsidR="00220C83" w:rsidRPr="000665B0" w:rsidRDefault="009D5D64" w:rsidP="00220C83">
      <w:pPr>
        <w:jc w:val="center"/>
      </w:pPr>
      <w:r w:rsidRPr="000665B0">
        <w:rPr>
          <w:noProof/>
        </w:rPr>
        <w:drawing>
          <wp:inline distT="0" distB="0" distL="0" distR="0" wp14:anchorId="72A4805B" wp14:editId="5E1BA4E5">
            <wp:extent cx="4983480" cy="1380744"/>
            <wp:effectExtent l="0" t="0" r="0" b="0"/>
            <wp:docPr id="1251" name="Picture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1380744"/>
                    </a:xfrm>
                    <a:prstGeom prst="rect">
                      <a:avLst/>
                    </a:prstGeom>
                  </pic:spPr>
                </pic:pic>
              </a:graphicData>
            </a:graphic>
          </wp:inline>
        </w:drawing>
      </w:r>
    </w:p>
    <w:p w14:paraId="76F635BC" w14:textId="77777777" w:rsidR="00220C83" w:rsidRPr="000665B0" w:rsidRDefault="00220C83" w:rsidP="00220C83">
      <w:r w:rsidRPr="000665B0">
        <w:t xml:space="preserve">The </w:t>
      </w:r>
      <w:r w:rsidRPr="000665B0">
        <w:rPr>
          <w:i/>
        </w:rPr>
        <w:t>simulated LINT status summary</w:t>
      </w:r>
      <w:r w:rsidRPr="000665B0">
        <w:t xml:space="preserve"> window (above) is meant to provide similar functionality to what the status window in a “true” TCIP would provide (below). </w:t>
      </w:r>
      <w:r w:rsidR="00C717AB" w:rsidRPr="000665B0">
        <w:t xml:space="preserve">This window applies only when a real TCIP LINT is </w:t>
      </w:r>
      <w:r w:rsidR="00C717AB" w:rsidRPr="000665B0">
        <w:rPr>
          <w:b/>
        </w:rPr>
        <w:t>not</w:t>
      </w:r>
      <w:r w:rsidR="00C717AB" w:rsidRPr="000665B0">
        <w:t xml:space="preserve"> used for communications.</w:t>
      </w:r>
    </w:p>
    <w:p w14:paraId="5E7877D6" w14:textId="77777777" w:rsidR="001E6607" w:rsidRPr="000665B0" w:rsidRDefault="001E6607" w:rsidP="006D5A65">
      <w:pPr>
        <w:pStyle w:val="Heading1"/>
      </w:pPr>
      <w:r w:rsidRPr="000665B0">
        <w:t>Navigate to the TSRT Activity tool.</w:t>
      </w:r>
    </w:p>
    <w:p w14:paraId="4E9A4766" w14:textId="12767493" w:rsidR="001E6607" w:rsidRPr="000665B0" w:rsidRDefault="001E6607" w:rsidP="006D5A65">
      <w:pPr>
        <w:pStyle w:val="Heading1"/>
      </w:pPr>
      <w:r w:rsidRPr="000665B0">
        <w:t xml:space="preserve">From the Scenario menu, select Comms Status </w:t>
      </w:r>
      <w:r w:rsidR="00A05D58" w:rsidRPr="000665B0">
        <w:sym w:font="Wingdings" w:char="F0E0"/>
      </w:r>
      <w:r w:rsidRPr="000665B0">
        <w:t xml:space="preserve"> LINT </w:t>
      </w:r>
      <w:r w:rsidR="008C2050" w:rsidRPr="000665B0">
        <w:t xml:space="preserve">client </w:t>
      </w:r>
      <w:r w:rsidRPr="000665B0">
        <w:t>Summary…</w:t>
      </w:r>
      <w:r w:rsidR="00A23FEE" w:rsidRPr="000665B0">
        <w:t>.</w:t>
      </w:r>
    </w:p>
    <w:p w14:paraId="0FB1FB29" w14:textId="77777777" w:rsidR="00220C83" w:rsidRPr="000665B0" w:rsidRDefault="00220C83" w:rsidP="00220C83">
      <w:r w:rsidRPr="000665B0">
        <w:t>Th</w:t>
      </w:r>
      <w:r w:rsidR="00563F68" w:rsidRPr="000665B0">
        <w:t xml:space="preserve">e </w:t>
      </w:r>
      <w:r w:rsidRPr="000665B0">
        <w:rPr>
          <w:b/>
        </w:rPr>
        <w:t>IP Address</w:t>
      </w:r>
      <w:r w:rsidR="00563F68" w:rsidRPr="000665B0">
        <w:t xml:space="preserve"> column corresponds to the </w:t>
      </w:r>
      <w:r w:rsidRPr="000665B0">
        <w:rPr>
          <w:b/>
        </w:rPr>
        <w:t>Destination</w:t>
      </w:r>
      <w:r w:rsidRPr="000665B0">
        <w:t xml:space="preserve"> column o</w:t>
      </w:r>
      <w:r w:rsidR="00563F68" w:rsidRPr="000665B0">
        <w:t xml:space="preserve">n the true LINT’s display. The </w:t>
      </w:r>
      <w:r w:rsidRPr="000665B0">
        <w:rPr>
          <w:b/>
        </w:rPr>
        <w:t>Server Port</w:t>
      </w:r>
      <w:r w:rsidR="00563F68" w:rsidRPr="000665B0">
        <w:t xml:space="preserve">, </w:t>
      </w:r>
      <w:r w:rsidRPr="000665B0">
        <w:rPr>
          <w:b/>
        </w:rPr>
        <w:t>Last Sent</w:t>
      </w:r>
      <w:r w:rsidR="00563F68" w:rsidRPr="000665B0">
        <w:t xml:space="preserve">, and </w:t>
      </w:r>
      <w:r w:rsidRPr="000665B0">
        <w:rPr>
          <w:b/>
        </w:rPr>
        <w:t>Last Received</w:t>
      </w:r>
      <w:r w:rsidR="00563F68" w:rsidRPr="000665B0">
        <w:t xml:space="preserve"> correspond to the </w:t>
      </w:r>
      <w:r w:rsidRPr="000665B0">
        <w:rPr>
          <w:b/>
        </w:rPr>
        <w:t>Port</w:t>
      </w:r>
      <w:r w:rsidR="00563F68" w:rsidRPr="000665B0">
        <w:t xml:space="preserve">, </w:t>
      </w:r>
      <w:r w:rsidRPr="000665B0">
        <w:rPr>
          <w:b/>
        </w:rPr>
        <w:t>Last Rcv</w:t>
      </w:r>
      <w:r w:rsidR="00563F68" w:rsidRPr="000665B0">
        <w:t>, and Last Xmit</w:t>
      </w:r>
      <w:r w:rsidRPr="000665B0">
        <w:t xml:space="preserve"> columns. </w:t>
      </w:r>
    </w:p>
    <w:p w14:paraId="39FD04F9" w14:textId="77777777" w:rsidR="00220C83" w:rsidRPr="000665B0" w:rsidRDefault="00563F68" w:rsidP="00220C83">
      <w:r w:rsidRPr="000665B0">
        <w:t xml:space="preserve">There is no </w:t>
      </w:r>
      <w:r w:rsidR="00220C83" w:rsidRPr="000665B0">
        <w:rPr>
          <w:b/>
        </w:rPr>
        <w:t>Status</w:t>
      </w:r>
      <w:r w:rsidR="00220C83" w:rsidRPr="000665B0">
        <w:t xml:space="preserve"> column on the simulated LINT, because the TSRT user is not allowed to enable/disable simul</w:t>
      </w:r>
      <w:r w:rsidRPr="000665B0">
        <w:t xml:space="preserve">ated LINT clients. There is no </w:t>
      </w:r>
      <w:r w:rsidR="00220C83" w:rsidRPr="000665B0">
        <w:rPr>
          <w:b/>
        </w:rPr>
        <w:t>Messages</w:t>
      </w:r>
      <w:r w:rsidR="00220C83" w:rsidRPr="000665B0">
        <w:t xml:space="preserve"> column on the simulated LINT because it does not buffer messages. </w:t>
      </w:r>
    </w:p>
    <w:p w14:paraId="3AB49D53" w14:textId="77777777" w:rsidR="00220C83" w:rsidRPr="000665B0" w:rsidRDefault="00220C83" w:rsidP="00220C83">
      <w:r w:rsidRPr="000665B0">
        <w:t xml:space="preserve">Port 9500 is used by </w:t>
      </w:r>
      <w:r w:rsidR="00C717AB" w:rsidRPr="000665B0">
        <w:t xml:space="preserve">the TED Distribution Service </w:t>
      </w:r>
      <w:r w:rsidRPr="000665B0">
        <w:t>to pass messages to LINT for delivery.</w:t>
      </w:r>
    </w:p>
    <w:p w14:paraId="3E043CF7" w14:textId="77777777" w:rsidR="00220C83" w:rsidRPr="000665B0" w:rsidRDefault="009A1FDF" w:rsidP="00220C83">
      <w:pPr>
        <w:spacing w:after="240"/>
        <w:jc w:val="center"/>
      </w:pPr>
      <w:r w:rsidRPr="000665B0">
        <w:rPr>
          <w:noProof/>
        </w:rPr>
        <w:lastRenderedPageBreak/>
        <w:drawing>
          <wp:inline distT="0" distB="0" distL="0" distR="0" wp14:anchorId="39F47A49" wp14:editId="0346896F">
            <wp:extent cx="2743200" cy="1600200"/>
            <wp:effectExtent l="0" t="0" r="0" b="0"/>
            <wp:docPr id="937" name="Picture 937" descr="lintStatu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lintStatus2"/>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43200" cy="1600200"/>
                    </a:xfrm>
                    <a:prstGeom prst="rect">
                      <a:avLst/>
                    </a:prstGeom>
                    <a:noFill/>
                    <a:ln w="9525">
                      <a:noFill/>
                      <a:miter lim="800000"/>
                      <a:headEnd/>
                      <a:tailEnd/>
                    </a:ln>
                  </pic:spPr>
                </pic:pic>
              </a:graphicData>
            </a:graphic>
          </wp:inline>
        </w:drawing>
      </w:r>
    </w:p>
    <w:p w14:paraId="72CF2EF2" w14:textId="6D109356" w:rsidR="00220C83" w:rsidRPr="000665B0" w:rsidRDefault="00220C83" w:rsidP="00B35EE5">
      <w:pPr>
        <w:pStyle w:val="Heading4"/>
      </w:pPr>
      <w:bookmarkStart w:id="7133" w:name="_Toc289329000"/>
      <w:r w:rsidRPr="000665B0">
        <w:t>Unload Rehearsal</w:t>
      </w:r>
      <w:bookmarkEnd w:id="7133"/>
    </w:p>
    <w:p w14:paraId="1148EBBC" w14:textId="77777777" w:rsidR="00220C83" w:rsidRPr="000665B0" w:rsidRDefault="00220C83" w:rsidP="00220C83">
      <w:r w:rsidRPr="000665B0">
        <w:t xml:space="preserve">The Unload Rehearsal feature removes a rehearsal from memory and performs necessary clean up, including the closing of the Scenario Director. </w:t>
      </w:r>
      <w:r w:rsidR="00C717AB" w:rsidRPr="000665B0">
        <w:t>Note that mere completion of a strike does not trigger a complete clean up, allowing the user to review the logs if desired.</w:t>
      </w:r>
    </w:p>
    <w:p w14:paraId="35883B7A" w14:textId="77777777" w:rsidR="00220C83" w:rsidRPr="000665B0" w:rsidRDefault="00220C83" w:rsidP="00D86797">
      <w:pPr>
        <w:keepNext/>
      </w:pPr>
      <w:r w:rsidRPr="000665B0">
        <w:rPr>
          <w:bCs/>
        </w:rPr>
        <w:t>To unload a strike rehearsal:</w:t>
      </w:r>
    </w:p>
    <w:p w14:paraId="465E894B" w14:textId="77777777" w:rsidR="00220C83" w:rsidRPr="000665B0" w:rsidRDefault="00220C83" w:rsidP="006D5A65">
      <w:pPr>
        <w:pStyle w:val="Heading1"/>
      </w:pPr>
      <w:r w:rsidRPr="000665B0">
        <w:t>Navigate to the TSRT Activity Tool.</w:t>
      </w:r>
    </w:p>
    <w:p w14:paraId="33C5D126" w14:textId="77777777" w:rsidR="00220C83" w:rsidRPr="000665B0" w:rsidRDefault="00220C83" w:rsidP="006D5A65">
      <w:pPr>
        <w:pStyle w:val="Heading1"/>
      </w:pPr>
      <w:r w:rsidRPr="000665B0">
        <w:t xml:space="preserve">From the File menu select Unload Rehearsal. </w:t>
      </w:r>
    </w:p>
    <w:p w14:paraId="46F55C8C" w14:textId="2FF12EF2" w:rsidR="001E6607" w:rsidRPr="000665B0" w:rsidRDefault="001E6607" w:rsidP="00B35EE5">
      <w:pPr>
        <w:pStyle w:val="Heading4"/>
      </w:pPr>
      <w:bookmarkStart w:id="7134" w:name="_Toc289329001"/>
      <w:r w:rsidRPr="000665B0">
        <w:t>Join Rehearsal</w:t>
      </w:r>
      <w:bookmarkEnd w:id="7134"/>
    </w:p>
    <w:p w14:paraId="4DEC341C" w14:textId="77777777" w:rsidR="00946128" w:rsidRPr="000665B0" w:rsidRDefault="00946128" w:rsidP="00946128">
      <w:pPr>
        <w:spacing w:line="240" w:lineRule="auto"/>
        <w:rPr>
          <w:szCs w:val="24"/>
        </w:rPr>
      </w:pPr>
      <w:r w:rsidRPr="000665B0">
        <w:rPr>
          <w:szCs w:val="24"/>
        </w:rPr>
        <w:t>The Join Rehearsal feature loads the selected strike rehearsal. This feature is used when the TSRT Scenario Director is closed in the middle of a real-time rehearsal and the user wants to resume or “join” that rehearsal.</w:t>
      </w:r>
    </w:p>
    <w:p w14:paraId="7997FA6C" w14:textId="77777777" w:rsidR="00946128" w:rsidRPr="000665B0" w:rsidRDefault="00946128" w:rsidP="00946128">
      <w:pPr>
        <w:spacing w:line="240" w:lineRule="auto"/>
        <w:rPr>
          <w:szCs w:val="24"/>
        </w:rPr>
      </w:pPr>
      <w:r w:rsidRPr="000665B0">
        <w:rPr>
          <w:szCs w:val="24"/>
        </w:rPr>
        <w:t>When joining a rehearsal:</w:t>
      </w:r>
    </w:p>
    <w:p w14:paraId="566F02C9" w14:textId="77777777" w:rsidR="00946128" w:rsidRPr="000665B0" w:rsidRDefault="00946128" w:rsidP="006D5A65">
      <w:pPr>
        <w:pStyle w:val="Heading1"/>
      </w:pPr>
      <w:r w:rsidRPr="000665B0">
        <w:t>All IMMM messages received while the selected rehearsal was running will be processed again during catch up mode. Note: TSRT does not determine if the IMMM messages were processed successfully.</w:t>
      </w:r>
    </w:p>
    <w:p w14:paraId="7BCAB51A" w14:textId="77777777" w:rsidR="00946128" w:rsidRPr="000665B0" w:rsidRDefault="00946128" w:rsidP="006D5A65">
      <w:pPr>
        <w:pStyle w:val="Heading1"/>
      </w:pPr>
      <w:r w:rsidRPr="000665B0">
        <w:t>If there is an associated scenario, any complications will be applied during catch up mode.</w:t>
      </w:r>
    </w:p>
    <w:p w14:paraId="2A92AFB7" w14:textId="77777777" w:rsidR="00946128" w:rsidRPr="000665B0" w:rsidRDefault="00946128" w:rsidP="006D5A65">
      <w:pPr>
        <w:pStyle w:val="Heading1"/>
      </w:pPr>
      <w:r w:rsidRPr="000665B0">
        <w:t>A copy of the FRU Missile inventory is saved at the beginning of each rehearsal. When a rehearsal is resumed, the copy of the missile inventory will be used.</w:t>
      </w:r>
    </w:p>
    <w:p w14:paraId="586BD054" w14:textId="77777777" w:rsidR="00946128" w:rsidRPr="000665B0" w:rsidRDefault="00946128" w:rsidP="006D5A65">
      <w:pPr>
        <w:pStyle w:val="Heading1"/>
      </w:pPr>
      <w:r w:rsidRPr="000665B0">
        <w:t>Entries from the TSRT activity log are used to recreate certain details about the rehearsal when resuming a rehearsal.</w:t>
      </w:r>
      <w:r w:rsidR="00F303DA" w:rsidRPr="000665B0">
        <w:t xml:space="preserve"> </w:t>
      </w:r>
      <w:r w:rsidRPr="000665B0">
        <w:t xml:space="preserve">It should be noted that not all of the entries in </w:t>
      </w:r>
      <w:r w:rsidRPr="000665B0">
        <w:lastRenderedPageBreak/>
        <w:t>the activity log can be used when resuming.</w:t>
      </w:r>
      <w:r w:rsidR="00F303DA" w:rsidRPr="000665B0">
        <w:t xml:space="preserve"> </w:t>
      </w:r>
      <w:r w:rsidRPr="000665B0">
        <w:t>Currently the cell allocation and missile launch activities are used.</w:t>
      </w:r>
    </w:p>
    <w:p w14:paraId="3B23FFFB" w14:textId="77777777" w:rsidR="00946128" w:rsidRPr="000665B0" w:rsidRDefault="00946128" w:rsidP="00CC5CE9">
      <w:pPr>
        <w:keepNext/>
      </w:pPr>
      <w:r w:rsidRPr="000665B0">
        <w:rPr>
          <w:bCs/>
        </w:rPr>
        <w:t>To join a strike rehearsal:</w:t>
      </w:r>
    </w:p>
    <w:p w14:paraId="6F201560" w14:textId="77777777" w:rsidR="00946128" w:rsidRPr="000665B0" w:rsidRDefault="00946128" w:rsidP="006D5A65">
      <w:pPr>
        <w:pStyle w:val="Heading1"/>
      </w:pPr>
      <w:r w:rsidRPr="000665B0">
        <w:t>Navigate to the TSRT Activity Tool.</w:t>
      </w:r>
    </w:p>
    <w:p w14:paraId="3CE0F1DF" w14:textId="77777777" w:rsidR="00946128" w:rsidRPr="000665B0" w:rsidRDefault="00946128" w:rsidP="006D5A65">
      <w:pPr>
        <w:pStyle w:val="Heading1"/>
      </w:pPr>
      <w:r w:rsidRPr="000665B0">
        <w:t>Select the activity/rehearsal to join.</w:t>
      </w:r>
    </w:p>
    <w:p w14:paraId="1CABC45E" w14:textId="77777777" w:rsidR="00946128" w:rsidRPr="000665B0" w:rsidRDefault="00946128" w:rsidP="006D5A65">
      <w:pPr>
        <w:pStyle w:val="Heading1"/>
      </w:pPr>
      <w:r w:rsidRPr="000665B0">
        <w:t>From the File menu, select Join Rehearsal.</w:t>
      </w:r>
    </w:p>
    <w:p w14:paraId="04990126" w14:textId="77777777" w:rsidR="00946128" w:rsidRPr="000665B0" w:rsidRDefault="00946128" w:rsidP="00946128">
      <w:pPr>
        <w:pStyle w:val="Number0205"/>
        <w:ind w:left="360"/>
      </w:pPr>
      <w:r w:rsidRPr="000665B0">
        <w:t>Limitations:</w:t>
      </w:r>
    </w:p>
    <w:p w14:paraId="7CCDCEB7" w14:textId="77777777" w:rsidR="00946128" w:rsidRPr="000665B0" w:rsidRDefault="00946128" w:rsidP="006D5A65">
      <w:pPr>
        <w:pStyle w:val="Heading1"/>
      </w:pPr>
      <w:r w:rsidRPr="000665B0">
        <w:t xml:space="preserve">Complications created during a rehearsal are not saved and </w:t>
      </w:r>
      <w:r w:rsidR="00563F68" w:rsidRPr="000665B0">
        <w:t>cannot</w:t>
      </w:r>
      <w:r w:rsidRPr="000665B0">
        <w:t xml:space="preserve"> be recreated when resuming a rehearsal. As noted above, complications that are saved as part of a scenario are used when resuming a rehearsal</w:t>
      </w:r>
      <w:r w:rsidR="00D9663D" w:rsidRPr="000665B0">
        <w:t>.</w:t>
      </w:r>
    </w:p>
    <w:p w14:paraId="7E80405B" w14:textId="77777777" w:rsidR="00946128" w:rsidRPr="000665B0" w:rsidRDefault="00946128" w:rsidP="006D5A65">
      <w:pPr>
        <w:pStyle w:val="Heading1"/>
      </w:pPr>
      <w:r w:rsidRPr="000665B0">
        <w:t>User</w:t>
      </w:r>
      <w:r w:rsidR="00C717AB" w:rsidRPr="000665B0">
        <w:t xml:space="preserve">-initiated </w:t>
      </w:r>
      <w:r w:rsidRPr="000665B0">
        <w:t>events such as “Power Down Missiles</w:t>
      </w:r>
      <w:r w:rsidR="00231120" w:rsidRPr="000665B0">
        <w:t>,</w:t>
      </w:r>
      <w:r w:rsidRPr="000665B0">
        <w:t>” “Release Backup” and “Release Backup Pool” are not saved. These events are not recreated in the resumed rehearsal.</w:t>
      </w:r>
    </w:p>
    <w:p w14:paraId="1931E942" w14:textId="0F8F7D3D" w:rsidR="00946128" w:rsidRPr="000665B0" w:rsidRDefault="00946128" w:rsidP="006D5A65">
      <w:pPr>
        <w:pStyle w:val="Heading1"/>
      </w:pPr>
      <w:r w:rsidRPr="000665B0">
        <w:t xml:space="preserve">When rehearsing a strike, TSRT relies on data from the </w:t>
      </w:r>
      <w:r w:rsidR="00C717AB" w:rsidRPr="000665B0">
        <w:t xml:space="preserve">TED </w:t>
      </w:r>
      <w:r w:rsidRPr="000665B0">
        <w:t>database</w:t>
      </w:r>
      <w:r w:rsidR="00C717AB" w:rsidRPr="000665B0">
        <w:t>s</w:t>
      </w:r>
      <w:r w:rsidRPr="000665B0">
        <w:t xml:space="preserve"> (</w:t>
      </w:r>
      <w:r w:rsidR="003509EA" w:rsidRPr="000665B0">
        <w:t xml:space="preserve">i.e., </w:t>
      </w:r>
      <w:r w:rsidRPr="000665B0">
        <w:t>Missions, ACMSs, etc</w:t>
      </w:r>
      <w:r w:rsidR="00C717AB" w:rsidRPr="000665B0">
        <w:t>.</w:t>
      </w:r>
      <w:r w:rsidRPr="000665B0">
        <w:t xml:space="preserve">). If any of this data changes between the time the rehearsal is started and the time it is resumed, TSRT will be </w:t>
      </w:r>
      <w:r w:rsidR="0055469E" w:rsidRPr="000665B0">
        <w:t>un</w:t>
      </w:r>
      <w:r w:rsidRPr="000665B0">
        <w:t>able to accurately recreate the strike picture.</w:t>
      </w:r>
    </w:p>
    <w:p w14:paraId="2ACE48BE" w14:textId="52A2D88C" w:rsidR="00220C83" w:rsidRPr="000665B0" w:rsidRDefault="00220C83" w:rsidP="00A0163E">
      <w:pPr>
        <w:pStyle w:val="Heading4"/>
        <w:keepNext w:val="0"/>
      </w:pPr>
      <w:bookmarkStart w:id="7135" w:name="_Toc289329002"/>
      <w:r w:rsidRPr="000665B0">
        <w:t>Scenario Director</w:t>
      </w:r>
      <w:bookmarkEnd w:id="7135"/>
    </w:p>
    <w:p w14:paraId="46C96A9A" w14:textId="71097427" w:rsidR="00220C83" w:rsidRPr="000665B0" w:rsidRDefault="0055469E" w:rsidP="00220C83">
      <w:r w:rsidRPr="000665B0">
        <w:t xml:space="preserve">For a complete description of the Scenario Director see </w:t>
      </w:r>
      <w:hyperlink w:anchor="_TSRT__SCENARIO" w:history="1">
        <w:r w:rsidR="005559D0" w:rsidRPr="000665B0">
          <w:rPr>
            <w:rStyle w:val="Hyperlink"/>
          </w:rPr>
          <w:t xml:space="preserve">Section </w:t>
        </w:r>
        <w:r w:rsidR="004231CC">
          <w:rPr>
            <w:rStyle w:val="Hyperlink"/>
          </w:rPr>
          <w:t>5.37</w:t>
        </w:r>
      </w:hyperlink>
      <w:r w:rsidRPr="000665B0">
        <w:t xml:space="preserve">. </w:t>
      </w:r>
      <w:r w:rsidR="00220C83" w:rsidRPr="000665B0">
        <w:t>The Scenario Director feature opens the Scenario Director form. The form will be opened automatically when a rehearsal has been loaded, but this feature will allow multiple instances of the form to be opened at the same time, or to</w:t>
      </w:r>
      <w:r w:rsidR="00C717AB" w:rsidRPr="000665B0">
        <w:t xml:space="preserve"> </w:t>
      </w:r>
      <w:r w:rsidR="00563F68" w:rsidRPr="000665B0">
        <w:t>be re</w:t>
      </w:r>
      <w:r w:rsidR="00220C83" w:rsidRPr="000665B0">
        <w:t>-open</w:t>
      </w:r>
      <w:r w:rsidR="00C717AB" w:rsidRPr="000665B0">
        <w:t>ed</w:t>
      </w:r>
      <w:r w:rsidR="00220C83" w:rsidRPr="000665B0">
        <w:t xml:space="preserve"> if it was closed during a running rehearsal.</w:t>
      </w:r>
    </w:p>
    <w:p w14:paraId="380B7E06" w14:textId="77777777" w:rsidR="00220C83" w:rsidRPr="000665B0" w:rsidRDefault="00220C83" w:rsidP="00220C83">
      <w:r w:rsidRPr="000665B0">
        <w:t>To launch the Scenario Director:</w:t>
      </w:r>
    </w:p>
    <w:p w14:paraId="2BEE6B1F" w14:textId="77777777" w:rsidR="00220C83" w:rsidRPr="000665B0" w:rsidRDefault="00220C83" w:rsidP="006D5A65">
      <w:pPr>
        <w:pStyle w:val="Heading1"/>
      </w:pPr>
      <w:r w:rsidRPr="000665B0">
        <w:t>Navigate to the TSRT Activity Tool.</w:t>
      </w:r>
    </w:p>
    <w:p w14:paraId="74904DEA" w14:textId="77777777" w:rsidR="00220C83" w:rsidRPr="000665B0" w:rsidRDefault="00220C83" w:rsidP="006D5A65">
      <w:pPr>
        <w:pStyle w:val="Heading1"/>
      </w:pPr>
      <w:r w:rsidRPr="000665B0">
        <w:t xml:space="preserve">From the File menu select Scenario Director. </w:t>
      </w:r>
    </w:p>
    <w:p w14:paraId="5F09F90D" w14:textId="0855B36B" w:rsidR="00220C83" w:rsidRPr="000665B0" w:rsidRDefault="00220C83" w:rsidP="00B35EE5">
      <w:pPr>
        <w:pStyle w:val="Heading3"/>
      </w:pPr>
      <w:bookmarkStart w:id="7136" w:name="_Toc289329003"/>
      <w:bookmarkStart w:id="7137" w:name="_Toc312332120"/>
      <w:bookmarkStart w:id="7138" w:name="_Toc214283628"/>
      <w:r w:rsidRPr="000665B0">
        <w:t>TSRT Historical View</w:t>
      </w:r>
      <w:bookmarkEnd w:id="7136"/>
      <w:bookmarkEnd w:id="7137"/>
      <w:bookmarkEnd w:id="7138"/>
    </w:p>
    <w:p w14:paraId="1CA4490F" w14:textId="77777777" w:rsidR="00220C83" w:rsidRPr="000665B0" w:rsidRDefault="00220C83" w:rsidP="002B1BE3">
      <w:pPr>
        <w:pStyle w:val="Number0205"/>
        <w:ind w:left="0" w:firstLine="0"/>
      </w:pPr>
      <w:r w:rsidRPr="000665B0">
        <w:t xml:space="preserve">The TSRT Historical View feature allows the operator to view log data from previous rehearsal runs for reconstruction purposes. From here, the user can view FRU, </w:t>
      </w:r>
      <w:r w:rsidR="004948FB" w:rsidRPr="000665B0">
        <w:t>M</w:t>
      </w:r>
      <w:r w:rsidRPr="000665B0">
        <w:t>issile, FDU, Health and Status, IMMM, and Ping log data.</w:t>
      </w:r>
    </w:p>
    <w:p w14:paraId="6593760D" w14:textId="77777777" w:rsidR="00220C83" w:rsidRPr="000665B0" w:rsidRDefault="00220C83" w:rsidP="002B1BE3">
      <w:pPr>
        <w:pStyle w:val="Number0205"/>
        <w:ind w:left="0" w:firstLine="0"/>
      </w:pPr>
      <w:r w:rsidRPr="000665B0">
        <w:t>To open the TSRT Historical View:</w:t>
      </w:r>
    </w:p>
    <w:p w14:paraId="6524B400" w14:textId="77777777" w:rsidR="00220C83" w:rsidRPr="000665B0" w:rsidRDefault="00220C83" w:rsidP="006D5A65">
      <w:pPr>
        <w:pStyle w:val="Heading1"/>
      </w:pPr>
      <w:r w:rsidRPr="000665B0">
        <w:lastRenderedPageBreak/>
        <w:t>Navigate to the TSRT Activity Tool.</w:t>
      </w:r>
    </w:p>
    <w:p w14:paraId="4C1A57B0" w14:textId="77777777" w:rsidR="00220C83" w:rsidRPr="000665B0" w:rsidRDefault="00220C83" w:rsidP="006D5A65">
      <w:pPr>
        <w:pStyle w:val="Heading1"/>
      </w:pPr>
      <w:r w:rsidRPr="000665B0">
        <w:t xml:space="preserve">Right-click on an item </w:t>
      </w:r>
      <w:r w:rsidR="00C717AB" w:rsidRPr="000665B0">
        <w:t xml:space="preserve">in </w:t>
      </w:r>
      <w:r w:rsidRPr="000665B0">
        <w:t xml:space="preserve">the list of previously run rehearsals and select Display </w:t>
      </w:r>
      <w:r w:rsidR="00A05D58" w:rsidRPr="000665B0">
        <w:sym w:font="Wingdings" w:char="F0E0"/>
      </w:r>
      <w:r w:rsidRPr="000665B0">
        <w:t xml:space="preserve"> Textually</w:t>
      </w:r>
      <w:r w:rsidR="004948FB" w:rsidRPr="000665B0">
        <w:t xml:space="preserve"> (or double-click on the item)</w:t>
      </w:r>
      <w:r w:rsidRPr="000665B0">
        <w:t>.</w:t>
      </w:r>
    </w:p>
    <w:p w14:paraId="29A2E629" w14:textId="45F0679E" w:rsidR="00220C83" w:rsidRPr="000665B0" w:rsidRDefault="00BD442E" w:rsidP="00220C83">
      <w:pPr>
        <w:spacing w:after="0"/>
        <w:jc w:val="center"/>
      </w:pPr>
      <w:r w:rsidRPr="000665B0">
        <w:rPr>
          <w:noProof/>
        </w:rPr>
        <w:drawing>
          <wp:inline distT="0" distB="0" distL="0" distR="0" wp14:anchorId="4305969A" wp14:editId="27E5E360">
            <wp:extent cx="3101396" cy="2225040"/>
            <wp:effectExtent l="0" t="0" r="0" b="0"/>
            <wp:docPr id="943"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39394" cy="2252301"/>
                    </a:xfrm>
                    <a:prstGeom prst="rect">
                      <a:avLst/>
                    </a:prstGeom>
                  </pic:spPr>
                </pic:pic>
              </a:graphicData>
            </a:graphic>
          </wp:inline>
        </w:drawing>
      </w:r>
    </w:p>
    <w:p w14:paraId="696489F6" w14:textId="5AD0BCD4" w:rsidR="005D1A26" w:rsidRPr="000665B0" w:rsidRDefault="00277DCD" w:rsidP="00B35EE5">
      <w:pPr>
        <w:pStyle w:val="Heading3"/>
      </w:pPr>
      <w:bookmarkStart w:id="7139" w:name="_Toc289329004"/>
      <w:bookmarkStart w:id="7140" w:name="_Toc312332121"/>
      <w:bookmarkStart w:id="7141" w:name="_Toc214283629"/>
      <w:r w:rsidRPr="000665B0">
        <w:t>Display All in Excel</w:t>
      </w:r>
      <w:bookmarkEnd w:id="7114"/>
      <w:bookmarkEnd w:id="7115"/>
      <w:bookmarkEnd w:id="7116"/>
      <w:bookmarkEnd w:id="7139"/>
      <w:bookmarkEnd w:id="7140"/>
      <w:bookmarkEnd w:id="7141"/>
    </w:p>
    <w:p w14:paraId="510D7EC1" w14:textId="044757EF" w:rsidR="005D1A26" w:rsidRPr="000665B0" w:rsidRDefault="00F02F03" w:rsidP="00E300C3">
      <w:pPr>
        <w:spacing w:after="0"/>
      </w:pPr>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0DC48A88" w14:textId="1B7F9783" w:rsidR="005D1A26" w:rsidRPr="000665B0" w:rsidRDefault="008B09BD" w:rsidP="00563F68">
      <w:pPr>
        <w:pStyle w:val="Heading3"/>
      </w:pPr>
      <w:bookmarkStart w:id="7142" w:name="_Toc214283630"/>
      <w:r w:rsidRPr="000665B0">
        <w:t>Receive File</w:t>
      </w:r>
      <w:bookmarkEnd w:id="7142"/>
    </w:p>
    <w:p w14:paraId="480343C5" w14:textId="20EA6F00" w:rsidR="005D1A26" w:rsidRPr="000665B0" w:rsidRDefault="00F02F03" w:rsidP="00E300C3">
      <w:pPr>
        <w:spacing w:after="0"/>
      </w:pPr>
      <w:r w:rsidRPr="000665B0">
        <w:t>See</w:t>
      </w:r>
      <w:r w:rsidR="008B09BD" w:rsidRPr="000665B0">
        <w:t xml:space="preserve"> </w:t>
      </w:r>
      <w:hyperlink w:anchor="_Receive_File" w:history="1">
        <w:r w:rsidR="008B09BD" w:rsidRPr="000665B0">
          <w:rPr>
            <w:color w:val="0000FF"/>
            <w:u w:val="single"/>
          </w:rPr>
          <w:t>Section 5.2.1.7</w:t>
        </w:r>
      </w:hyperlink>
      <w:r w:rsidR="005D1A26" w:rsidRPr="000665B0">
        <w:t>.</w:t>
      </w:r>
    </w:p>
    <w:p w14:paraId="404BB788" w14:textId="1C30C7D5" w:rsidR="005D1A26" w:rsidRPr="000665B0" w:rsidRDefault="005D1A26" w:rsidP="00B35EE5">
      <w:pPr>
        <w:pStyle w:val="Heading3"/>
      </w:pPr>
      <w:bookmarkStart w:id="7143" w:name="_Toc96170338"/>
      <w:bookmarkStart w:id="7144" w:name="_Toc96234383"/>
      <w:bookmarkStart w:id="7145" w:name="_Toc112733820"/>
      <w:bookmarkStart w:id="7146" w:name="_Toc289329006"/>
      <w:bookmarkStart w:id="7147" w:name="_Toc312332123"/>
      <w:bookmarkStart w:id="7148" w:name="_Toc214283631"/>
      <w:r w:rsidRPr="000665B0">
        <w:t>Properties</w:t>
      </w:r>
      <w:bookmarkEnd w:id="7143"/>
      <w:bookmarkEnd w:id="7144"/>
      <w:bookmarkEnd w:id="7145"/>
      <w:bookmarkEnd w:id="7146"/>
      <w:bookmarkEnd w:id="7147"/>
      <w:bookmarkEnd w:id="7148"/>
    </w:p>
    <w:p w14:paraId="33CCA384" w14:textId="0E43E8A4" w:rsidR="005D1A26" w:rsidRPr="000665B0" w:rsidRDefault="00F02F03" w:rsidP="00E300C3">
      <w:pPr>
        <w:pStyle w:val="BodyText"/>
        <w:spacing w:after="120"/>
      </w:pPr>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4CA9C0E4" w14:textId="0B067486" w:rsidR="005D1A26" w:rsidRPr="000665B0" w:rsidRDefault="005D1A26" w:rsidP="00B35EE5">
      <w:pPr>
        <w:pStyle w:val="Heading3"/>
      </w:pPr>
      <w:bookmarkStart w:id="7149" w:name="_Toc96170339"/>
      <w:bookmarkStart w:id="7150" w:name="_Toc96234384"/>
      <w:bookmarkStart w:id="7151" w:name="_Toc112733821"/>
      <w:bookmarkStart w:id="7152" w:name="_Toc289329007"/>
      <w:bookmarkStart w:id="7153" w:name="_Toc312332124"/>
      <w:bookmarkStart w:id="7154" w:name="_Toc214283632"/>
      <w:r w:rsidRPr="000665B0">
        <w:t>Sort</w:t>
      </w:r>
      <w:bookmarkEnd w:id="7149"/>
      <w:bookmarkEnd w:id="7150"/>
      <w:bookmarkEnd w:id="7151"/>
      <w:bookmarkEnd w:id="7152"/>
      <w:bookmarkEnd w:id="7153"/>
      <w:bookmarkEnd w:id="7154"/>
      <w:r w:rsidRPr="000665B0">
        <w:t xml:space="preserve"> </w:t>
      </w:r>
    </w:p>
    <w:p w14:paraId="2759BEAD" w14:textId="70C21AF7" w:rsidR="005D1A26" w:rsidRPr="000665B0" w:rsidRDefault="00F02F03" w:rsidP="00E300C3">
      <w:pPr>
        <w:spacing w:after="0"/>
      </w:pPr>
      <w:r w:rsidRPr="000665B0">
        <w:t>See</w:t>
      </w:r>
      <w:r w:rsidR="005D1A26" w:rsidRPr="000665B0">
        <w:t xml:space="preserve"> </w:t>
      </w:r>
      <w:hyperlink w:anchor="_5.2.3.4.1__Sort" w:history="1">
        <w:r w:rsidR="00A75813" w:rsidRPr="000665B0">
          <w:rPr>
            <w:rStyle w:val="Hyperlink"/>
          </w:rPr>
          <w:t>Section 5.2.3.5</w:t>
        </w:r>
        <w:r w:rsidR="00CD3C6D" w:rsidRPr="000665B0">
          <w:rPr>
            <w:rStyle w:val="Hyperlink"/>
          </w:rPr>
          <w:t>.1</w:t>
        </w:r>
      </w:hyperlink>
      <w:r w:rsidR="005D1A26" w:rsidRPr="000665B0">
        <w:t>.</w:t>
      </w:r>
    </w:p>
    <w:p w14:paraId="38F4B024" w14:textId="74A5ECD8" w:rsidR="005D1A26" w:rsidRPr="000665B0" w:rsidRDefault="005D1A26" w:rsidP="00B35EE5">
      <w:pPr>
        <w:pStyle w:val="Heading3"/>
      </w:pPr>
      <w:bookmarkStart w:id="7155" w:name="_Toc96170340"/>
      <w:bookmarkStart w:id="7156" w:name="_Toc96234385"/>
      <w:bookmarkStart w:id="7157" w:name="_Toc112733822"/>
      <w:bookmarkStart w:id="7158" w:name="_Toc289329008"/>
      <w:bookmarkStart w:id="7159" w:name="_Toc312332125"/>
      <w:bookmarkStart w:id="7160" w:name="_Toc214283633"/>
      <w:r w:rsidRPr="000665B0">
        <w:t>Find</w:t>
      </w:r>
      <w:bookmarkEnd w:id="7155"/>
      <w:bookmarkEnd w:id="7156"/>
      <w:bookmarkEnd w:id="7157"/>
      <w:bookmarkEnd w:id="7158"/>
      <w:bookmarkEnd w:id="7159"/>
      <w:bookmarkEnd w:id="7160"/>
    </w:p>
    <w:p w14:paraId="1E161EE3" w14:textId="24ED3D92" w:rsidR="005D1A26" w:rsidRPr="000665B0" w:rsidRDefault="00F02F03" w:rsidP="00E300C3">
      <w:pPr>
        <w:spacing w:after="0"/>
      </w:pPr>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51AB9AB8" w14:textId="58977B5B" w:rsidR="005D1A26" w:rsidRPr="000665B0" w:rsidRDefault="008B09BD" w:rsidP="00B35EE5">
      <w:pPr>
        <w:pStyle w:val="Heading3"/>
      </w:pPr>
      <w:bookmarkStart w:id="7161" w:name="_Toc214283634"/>
      <w:r w:rsidRPr="000665B0">
        <w:t>Plugin Tool</w:t>
      </w:r>
      <w:bookmarkEnd w:id="7161"/>
    </w:p>
    <w:p w14:paraId="3F5B5DC9" w14:textId="41B3CE94" w:rsidR="005D1A26" w:rsidRPr="000665B0" w:rsidRDefault="00F02F03" w:rsidP="00E300C3">
      <w:pPr>
        <w:spacing w:after="0"/>
      </w:pPr>
      <w:r w:rsidRPr="000665B0">
        <w:t>See</w:t>
      </w:r>
      <w:r w:rsidR="008B09BD" w:rsidRPr="000665B0">
        <w:t xml:space="preserve"> </w:t>
      </w:r>
      <w:hyperlink w:anchor="_Plugin__Tool" w:history="1">
        <w:r w:rsidR="008B09BD" w:rsidRPr="000665B0">
          <w:rPr>
            <w:rStyle w:val="Hyperlink"/>
          </w:rPr>
          <w:t>Section 5.2.5.2</w:t>
        </w:r>
      </w:hyperlink>
      <w:r w:rsidR="005D1A26" w:rsidRPr="000665B0">
        <w:t>.</w:t>
      </w:r>
    </w:p>
    <w:p w14:paraId="2F29B2CD" w14:textId="77777777" w:rsidR="005D1A26" w:rsidRPr="000665B0" w:rsidRDefault="005D1A26" w:rsidP="00E300C3">
      <w:pPr>
        <w:pStyle w:val="BodyText"/>
        <w:spacing w:after="120"/>
      </w:pPr>
    </w:p>
    <w:p w14:paraId="2BC6E55C" w14:textId="77777777" w:rsidR="00A316EA" w:rsidRDefault="00A316EA" w:rsidP="00E300C3">
      <w:pPr>
        <w:pStyle w:val="BodyText"/>
        <w:spacing w:after="120"/>
      </w:pPr>
      <w:r>
        <w:br w:type="page"/>
      </w:r>
      <w:bookmarkStart w:id="7162" w:name="_5.41__TSRT_IMMM_LOG"/>
      <w:bookmarkStart w:id="7163" w:name="_5.44_TSRT_Complications"/>
      <w:bookmarkStart w:id="7164" w:name="_5.44__TSRT_Complications"/>
      <w:bookmarkStart w:id="7165" w:name="_5.41__TSRT_Complications"/>
      <w:bookmarkStart w:id="7166" w:name="_Toc96170359"/>
      <w:bookmarkStart w:id="7167" w:name="_Toc96234404"/>
      <w:bookmarkStart w:id="7168" w:name="_Toc112733860"/>
      <w:bookmarkStart w:id="7169" w:name="_Toc289329010"/>
      <w:bookmarkStart w:id="7170" w:name="_Toc312332127"/>
      <w:bookmarkStart w:id="7171" w:name="_Toc214283635"/>
      <w:bookmarkEnd w:id="7095"/>
      <w:bookmarkEnd w:id="7162"/>
      <w:bookmarkEnd w:id="7163"/>
      <w:bookmarkEnd w:id="7164"/>
      <w:bookmarkEnd w:id="7165"/>
      <w:r w:rsidR="005D1A26" w:rsidRPr="000665B0">
        <w:lastRenderedPageBreak/>
        <w:t>CRYPTO TOOL</w:t>
      </w:r>
      <w:bookmarkEnd w:id="7166"/>
      <w:bookmarkEnd w:id="7167"/>
      <w:bookmarkEnd w:id="7168"/>
      <w:bookmarkEnd w:id="7169"/>
      <w:bookmarkEnd w:id="7170"/>
      <w:bookmarkEnd w:id="7171"/>
    </w:p>
    <w:p w14:paraId="1089BCA1" w14:textId="5488D27B" w:rsidR="00A41E22" w:rsidRPr="000665B0" w:rsidRDefault="003B19EA" w:rsidP="003B19EA">
      <w:pPr>
        <w:rPr>
          <w:snapToGrid w:val="0"/>
        </w:rPr>
      </w:pPr>
      <w:bookmarkStart w:id="7172" w:name="_Toc289329011"/>
      <w:bookmarkStart w:id="7173" w:name="_Toc312332128"/>
      <w:r w:rsidRPr="000665B0">
        <w:rPr>
          <w:snapToGrid w:val="0"/>
        </w:rPr>
        <w:t xml:space="preserve">The Crypto Tool displays a list of all </w:t>
      </w:r>
      <w:r w:rsidRPr="000665B0">
        <w:t xml:space="preserve">Communications Security </w:t>
      </w:r>
      <w:r w:rsidRPr="000665B0">
        <w:rPr>
          <w:snapToGrid w:val="0"/>
        </w:rPr>
        <w:t>(</w:t>
      </w:r>
      <w:r w:rsidRPr="000665B0">
        <w:rPr>
          <w:b/>
          <w:snapToGrid w:val="0"/>
        </w:rPr>
        <w:t>COMSEC</w:t>
      </w:r>
      <w:r w:rsidRPr="000665B0">
        <w:rPr>
          <w:snapToGrid w:val="0"/>
        </w:rPr>
        <w:t xml:space="preserve">) Key and </w:t>
      </w:r>
      <w:r w:rsidRPr="000665B0">
        <w:t xml:space="preserve">Transmission Security </w:t>
      </w:r>
      <w:r w:rsidRPr="000665B0">
        <w:rPr>
          <w:snapToGrid w:val="0"/>
        </w:rPr>
        <w:t>(</w:t>
      </w:r>
      <w:r w:rsidRPr="000665B0">
        <w:rPr>
          <w:b/>
          <w:snapToGrid w:val="0"/>
        </w:rPr>
        <w:t>TRANSEC</w:t>
      </w:r>
      <w:r w:rsidRPr="000665B0">
        <w:rPr>
          <w:snapToGrid w:val="0"/>
        </w:rPr>
        <w:t>) Key information in the database. The Crypto Tool does not store the actual keys to be loaded onto the missile.</w:t>
      </w:r>
      <w:r w:rsidR="00A41E22" w:rsidRPr="000665B0">
        <w:rPr>
          <w:snapToGrid w:val="0"/>
        </w:rPr>
        <w:t xml:space="preserve"> Crypto keys must be created using the Crypto </w:t>
      </w:r>
      <w:r w:rsidR="001838D2" w:rsidRPr="000665B0">
        <w:rPr>
          <w:snapToGrid w:val="0"/>
        </w:rPr>
        <w:t>T</w:t>
      </w:r>
      <w:r w:rsidR="00A41E22" w:rsidRPr="000665B0">
        <w:rPr>
          <w:snapToGrid w:val="0"/>
        </w:rPr>
        <w:t>ool to populate pulldown menus where a crypto must be selected.</w:t>
      </w:r>
      <w:r w:rsidRPr="000665B0">
        <w:rPr>
          <w:snapToGrid w:val="0"/>
        </w:rPr>
        <w:t xml:space="preserve"> </w:t>
      </w:r>
    </w:p>
    <w:p w14:paraId="62DAEC24" w14:textId="26F29ACA" w:rsidR="003B19EA" w:rsidRPr="000665B0" w:rsidRDefault="003B19EA" w:rsidP="003B19EA">
      <w:pPr>
        <w:rPr>
          <w:snapToGrid w:val="0"/>
        </w:rPr>
      </w:pPr>
      <w:r w:rsidRPr="000665B0">
        <w:rPr>
          <w:snapToGrid w:val="0"/>
        </w:rPr>
        <w:t xml:space="preserve">The </w:t>
      </w:r>
      <w:r w:rsidR="00A41E22" w:rsidRPr="000665B0">
        <w:rPr>
          <w:snapToGrid w:val="0"/>
        </w:rPr>
        <w:t xml:space="preserve">DAMA </w:t>
      </w:r>
      <w:r w:rsidRPr="000665B0">
        <w:rPr>
          <w:snapToGrid w:val="0"/>
        </w:rPr>
        <w:t>COMSEC keys are for the Tomahawk Strike Network (</w:t>
      </w:r>
      <w:r w:rsidRPr="000665B0">
        <w:rPr>
          <w:b/>
          <w:snapToGrid w:val="0"/>
        </w:rPr>
        <w:t>TSN</w:t>
      </w:r>
      <w:r w:rsidRPr="000665B0">
        <w:rPr>
          <w:snapToGrid w:val="0"/>
        </w:rPr>
        <w:t xml:space="preserve">) KG84A and the TRANSEC keys are for the TSN MD1324. </w:t>
      </w:r>
      <w:r w:rsidR="00790CFE" w:rsidRPr="000665B0">
        <w:rPr>
          <w:snapToGrid w:val="0"/>
        </w:rPr>
        <w:t xml:space="preserve">The </w:t>
      </w:r>
      <w:r w:rsidR="00A41E22" w:rsidRPr="000665B0">
        <w:rPr>
          <w:snapToGrid w:val="0"/>
        </w:rPr>
        <w:t xml:space="preserve">ACA COMSEC keys consist of </w:t>
      </w:r>
      <w:r w:rsidR="00790CFE" w:rsidRPr="000665B0">
        <w:rPr>
          <w:snapToGrid w:val="0"/>
        </w:rPr>
        <w:t xml:space="preserve">two transmit types and two receive types, for a total of four </w:t>
      </w:r>
      <w:r w:rsidR="00A41E22" w:rsidRPr="000665B0">
        <w:rPr>
          <w:snapToGrid w:val="0"/>
        </w:rPr>
        <w:t>subtype</w:t>
      </w:r>
      <w:r w:rsidR="00440CE0" w:rsidRPr="000665B0">
        <w:rPr>
          <w:snapToGrid w:val="0"/>
        </w:rPr>
        <w:t>s</w:t>
      </w:r>
      <w:r w:rsidR="00790CFE" w:rsidRPr="000665B0">
        <w:rPr>
          <w:snapToGrid w:val="0"/>
        </w:rPr>
        <w:t>,</w:t>
      </w:r>
      <w:r w:rsidR="00A41E22" w:rsidRPr="000665B0">
        <w:rPr>
          <w:snapToGrid w:val="0"/>
        </w:rPr>
        <w:t xml:space="preserve"> to populate pulldown menus with only the matching subtype. </w:t>
      </w:r>
      <w:r w:rsidR="00790CFE" w:rsidRPr="000665B0">
        <w:rPr>
          <w:snapToGrid w:val="0"/>
        </w:rPr>
        <w:t xml:space="preserve">The TRANSEC key is essentially used in the same manner for both ACA </w:t>
      </w:r>
      <w:r w:rsidR="00E45C85" w:rsidRPr="000665B0">
        <w:rPr>
          <w:snapToGrid w:val="0"/>
        </w:rPr>
        <w:t>and</w:t>
      </w:r>
      <w:r w:rsidR="00790CFE" w:rsidRPr="000665B0">
        <w:rPr>
          <w:snapToGrid w:val="0"/>
        </w:rPr>
        <w:t xml:space="preserve"> DAMA</w:t>
      </w:r>
      <w:r w:rsidR="00E45C85" w:rsidRPr="000665B0">
        <w:rPr>
          <w:snapToGrid w:val="0"/>
        </w:rPr>
        <w:t xml:space="preserve"> TSN types</w:t>
      </w:r>
      <w:r w:rsidR="00790CFE" w:rsidRPr="000665B0">
        <w:rPr>
          <w:snapToGrid w:val="0"/>
        </w:rPr>
        <w:t xml:space="preserve">. </w:t>
      </w:r>
      <w:r w:rsidRPr="000665B0">
        <w:rPr>
          <w:snapToGrid w:val="0"/>
        </w:rPr>
        <w:t xml:space="preserve">The Crypto Tool manages the </w:t>
      </w:r>
      <w:r w:rsidR="00A41E22" w:rsidRPr="000665B0">
        <w:rPr>
          <w:snapToGrid w:val="0"/>
        </w:rPr>
        <w:t xml:space="preserve">TSN network type, </w:t>
      </w:r>
      <w:r w:rsidRPr="000665B0">
        <w:rPr>
          <w:snapToGrid w:val="0"/>
        </w:rPr>
        <w:t>short title, edition, and segment key information about which keys were loaded into the missile Crypto devices by the Communications Officer.</w:t>
      </w:r>
    </w:p>
    <w:p w14:paraId="03A1FE25" w14:textId="6EFF98E7" w:rsidR="003B19EA" w:rsidRPr="000665B0" w:rsidRDefault="003B19EA" w:rsidP="003B19EA">
      <w:pPr>
        <w:rPr>
          <w:snapToGrid w:val="0"/>
        </w:rPr>
      </w:pPr>
      <w:r w:rsidRPr="000665B0">
        <w:rPr>
          <w:snapToGrid w:val="0"/>
        </w:rPr>
        <w:t xml:space="preserve">A Crypto key </w:t>
      </w:r>
      <w:r w:rsidR="00A41E22" w:rsidRPr="000665B0">
        <w:rPr>
          <w:snapToGrid w:val="0"/>
        </w:rPr>
        <w:t xml:space="preserve">must be specified as </w:t>
      </w:r>
      <w:r w:rsidRPr="000665B0">
        <w:rPr>
          <w:snapToGrid w:val="0"/>
        </w:rPr>
        <w:t xml:space="preserve">either </w:t>
      </w:r>
      <w:r w:rsidR="00A41E22" w:rsidRPr="000665B0">
        <w:rPr>
          <w:snapToGrid w:val="0"/>
        </w:rPr>
        <w:t>DAMA</w:t>
      </w:r>
      <w:r w:rsidR="00A36FDC" w:rsidRPr="000665B0">
        <w:rPr>
          <w:snapToGrid w:val="0"/>
        </w:rPr>
        <w:t xml:space="preserve"> COMSEC,</w:t>
      </w:r>
      <w:r w:rsidR="00A41E22" w:rsidRPr="000665B0">
        <w:rPr>
          <w:snapToGrid w:val="0"/>
        </w:rPr>
        <w:t xml:space="preserve"> ACA</w:t>
      </w:r>
      <w:r w:rsidR="00A36FDC" w:rsidRPr="000665B0">
        <w:rPr>
          <w:snapToGrid w:val="0"/>
        </w:rPr>
        <w:t xml:space="preserve"> COMSEC</w:t>
      </w:r>
      <w:r w:rsidR="00790CFE" w:rsidRPr="000665B0">
        <w:rPr>
          <w:snapToGrid w:val="0"/>
        </w:rPr>
        <w:t xml:space="preserve"> (with subtype)</w:t>
      </w:r>
      <w:r w:rsidR="00A41E22" w:rsidRPr="000665B0">
        <w:rPr>
          <w:snapToGrid w:val="0"/>
        </w:rPr>
        <w:t xml:space="preserve">, </w:t>
      </w:r>
      <w:r w:rsidRPr="000665B0">
        <w:rPr>
          <w:snapToGrid w:val="0"/>
        </w:rPr>
        <w:t>or TRANSEC</w:t>
      </w:r>
      <w:r w:rsidR="00A41E22" w:rsidRPr="000665B0">
        <w:rPr>
          <w:snapToGrid w:val="0"/>
        </w:rPr>
        <w:t>. E</w:t>
      </w:r>
      <w:r w:rsidRPr="000665B0">
        <w:rPr>
          <w:snapToGrid w:val="0"/>
        </w:rPr>
        <w:t xml:space="preserve">ach </w:t>
      </w:r>
      <w:r w:rsidR="00440CE0" w:rsidRPr="000665B0">
        <w:rPr>
          <w:snapToGrid w:val="0"/>
        </w:rPr>
        <w:t xml:space="preserve">Crypto </w:t>
      </w:r>
      <w:r w:rsidRPr="000665B0">
        <w:rPr>
          <w:snapToGrid w:val="0"/>
        </w:rPr>
        <w:t>key is uniquely identified by the Short Title. For TRANSEC keys, the Geographic Area and Key Location Address (KLAD) per segment must be specified</w:t>
      </w:r>
      <w:r w:rsidR="005E3593" w:rsidRPr="000665B0">
        <w:rPr>
          <w:snapToGrid w:val="0"/>
        </w:rPr>
        <w:t xml:space="preserve">. </w:t>
      </w:r>
      <w:r w:rsidRPr="000665B0">
        <w:rPr>
          <w:snapToGrid w:val="0"/>
        </w:rPr>
        <w:t xml:space="preserve">The edition and segment of a Crypto key is dependent on when the missile is in flight. </w:t>
      </w:r>
    </w:p>
    <w:p w14:paraId="789F757B" w14:textId="3B8FBBEE" w:rsidR="003B19EA" w:rsidRPr="000665B0" w:rsidRDefault="003B19EA" w:rsidP="003B19EA">
      <w:pPr>
        <w:rPr>
          <w:snapToGrid w:val="0"/>
        </w:rPr>
      </w:pPr>
      <w:r w:rsidRPr="000665B0">
        <w:rPr>
          <w:snapToGrid w:val="0"/>
        </w:rPr>
        <w:t xml:space="preserve">As part of Strike planning, the </w:t>
      </w:r>
      <w:r w:rsidR="00A41E22" w:rsidRPr="000665B0">
        <w:rPr>
          <w:snapToGrid w:val="0"/>
        </w:rPr>
        <w:t xml:space="preserve">DAMA/ACA </w:t>
      </w:r>
      <w:r w:rsidRPr="000665B0">
        <w:rPr>
          <w:snapToGrid w:val="0"/>
        </w:rPr>
        <w:t xml:space="preserve">COMSEC and TRANSEC keys need to be specified in order for the missile to communicate through the TSN. A Crypto key is used in the </w:t>
      </w:r>
      <w:r w:rsidRPr="000665B0">
        <w:rPr>
          <w:b/>
          <w:i/>
          <w:snapToGrid w:val="0"/>
        </w:rPr>
        <w:t>TSN Comms</w:t>
      </w:r>
      <w:r w:rsidRPr="000665B0">
        <w:rPr>
          <w:snapToGrid w:val="0"/>
        </w:rPr>
        <w:t xml:space="preserve"> tab of the Strike Option form. An edition and segment of a Crypto key must be defined for when a missile is in flight to enable TSN Comms. The edition and segment times must encompass the entire strike duration. The operator can plot the date/times when an edition/segment for a short title is valid. When the ESP is sent, it will determine the appropriate edition and segment of the key to use depending on the in-flight time. Crypto keys are required when the Strike involves TTWCS FRUs. MDS has to specify the keys in the ESPs for TTWCS</w:t>
      </w:r>
      <w:r w:rsidR="00A41E22" w:rsidRPr="000665B0">
        <w:rPr>
          <w:snapToGrid w:val="0"/>
        </w:rPr>
        <w:t xml:space="preserve"> (ACA capability requires TTWCS 5.6 or above)</w:t>
      </w:r>
      <w:r w:rsidRPr="000665B0">
        <w:rPr>
          <w:snapToGrid w:val="0"/>
        </w:rPr>
        <w:t>.</w:t>
      </w:r>
    </w:p>
    <w:p w14:paraId="186AD7B0" w14:textId="6677D5F2" w:rsidR="003B19EA" w:rsidRPr="000665B0" w:rsidRDefault="003B19EA" w:rsidP="003B19EA">
      <w:r w:rsidRPr="000665B0">
        <w:rPr>
          <w:snapToGrid w:val="0"/>
        </w:rPr>
        <w:t>For TRANSEC keys, the Geographic Area and KLAD</w:t>
      </w:r>
      <w:r w:rsidR="00A41E22" w:rsidRPr="000665B0">
        <w:rPr>
          <w:snapToGrid w:val="0"/>
        </w:rPr>
        <w:t xml:space="preserve"> </w:t>
      </w:r>
      <w:r w:rsidRPr="000665B0">
        <w:rPr>
          <w:snapToGrid w:val="0"/>
        </w:rPr>
        <w:t xml:space="preserve">must be specified. </w:t>
      </w:r>
      <w:r w:rsidRPr="000665B0">
        <w:t xml:space="preserve">KLADs are a binary rotation based on the satellite footprint or geographic area (CONUS, IO, LANT and PAC). The KLAD may need to be manually modified in the case of a supersession or compromise. </w:t>
      </w:r>
    </w:p>
    <w:p w14:paraId="55E132E8" w14:textId="77777777" w:rsidR="003B19EA" w:rsidRPr="000665B0" w:rsidRDefault="003B19EA" w:rsidP="003B19EA">
      <w:r w:rsidRPr="000665B0">
        <w:t>CONUS and IO geographic areas have KLAD values of either 0 or 1.</w:t>
      </w:r>
    </w:p>
    <w:p w14:paraId="3B6AE26C" w14:textId="77777777" w:rsidR="003B19EA" w:rsidRPr="000665B0" w:rsidRDefault="003B19EA" w:rsidP="003B19EA">
      <w:r w:rsidRPr="000665B0">
        <w:t>LANT and PAC geographic areas have KLAD values of either 2 or 3.</w:t>
      </w:r>
    </w:p>
    <w:p w14:paraId="0E7D118B" w14:textId="77777777" w:rsidR="003B19EA" w:rsidRPr="000665B0" w:rsidRDefault="003B19EA" w:rsidP="00A0163E">
      <w:r w:rsidRPr="000665B0">
        <w:t xml:space="preserve">To display the Crypto </w:t>
      </w:r>
      <w:r w:rsidRPr="000665B0">
        <w:rPr>
          <w:snapToGrid w:val="0"/>
        </w:rPr>
        <w:t>List</w:t>
      </w:r>
      <w:r w:rsidRPr="000665B0">
        <w:t>:</w:t>
      </w:r>
    </w:p>
    <w:p w14:paraId="6F16BFD5" w14:textId="77777777" w:rsidR="003B19EA" w:rsidRPr="000665B0" w:rsidRDefault="003B19EA" w:rsidP="00A0163E">
      <w:pPr>
        <w:pStyle w:val="Number0205"/>
        <w:ind w:left="360" w:firstLine="0"/>
      </w:pPr>
      <w:r w:rsidRPr="000665B0">
        <w:t xml:space="preserve">From the </w:t>
      </w:r>
      <w:r w:rsidRPr="000665B0">
        <w:rPr>
          <w:b/>
        </w:rPr>
        <w:t>Go</w:t>
      </w:r>
      <w:r w:rsidRPr="000665B0">
        <w:t xml:space="preserve"> menu select </w:t>
      </w:r>
      <w:r w:rsidRPr="000665B0">
        <w:rPr>
          <w:b/>
          <w:bCs/>
        </w:rPr>
        <w:t>Crypto</w:t>
      </w:r>
      <w:r w:rsidRPr="000665B0">
        <w:t>.</w:t>
      </w:r>
    </w:p>
    <w:p w14:paraId="56CA5360" w14:textId="1E57A50B" w:rsidR="003B19EA" w:rsidRPr="000665B0" w:rsidRDefault="00A36FDC" w:rsidP="00446685">
      <w:pPr>
        <w:pStyle w:val="Number0205"/>
        <w:ind w:left="0" w:firstLine="0"/>
        <w:jc w:val="center"/>
      </w:pPr>
      <w:r w:rsidRPr="000665B0">
        <w:rPr>
          <w:noProof/>
        </w:rPr>
        <w:drawing>
          <wp:inline distT="0" distB="0" distL="0" distR="0" wp14:anchorId="2B619C6D" wp14:editId="1CA9C3E5">
            <wp:extent cx="3978243" cy="1562100"/>
            <wp:effectExtent l="0" t="0" r="0" b="0"/>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018202" cy="1577790"/>
                    </a:xfrm>
                    <a:prstGeom prst="rect">
                      <a:avLst/>
                    </a:prstGeom>
                  </pic:spPr>
                </pic:pic>
              </a:graphicData>
            </a:graphic>
          </wp:inline>
        </w:drawing>
      </w:r>
    </w:p>
    <w:p w14:paraId="2AED739A" w14:textId="77777777" w:rsidR="003B19EA" w:rsidRPr="000665B0" w:rsidRDefault="003B19EA" w:rsidP="00F26AD4">
      <w:pPr>
        <w:rPr>
          <w:b/>
          <w:i/>
        </w:rPr>
      </w:pPr>
      <w:r w:rsidRPr="000665B0">
        <w:rPr>
          <w:b/>
          <w:i/>
        </w:rPr>
        <w:lastRenderedPageBreak/>
        <w:t>Crypto List View</w:t>
      </w:r>
    </w:p>
    <w:p w14:paraId="727899BC" w14:textId="77777777" w:rsidR="003B19EA" w:rsidRPr="000665B0" w:rsidRDefault="003B19EA" w:rsidP="006D5A65">
      <w:pPr>
        <w:pStyle w:val="Heading1"/>
      </w:pPr>
      <w:r w:rsidRPr="000665B0">
        <w:t>Columns</w:t>
      </w:r>
    </w:p>
    <w:p w14:paraId="17AEA361" w14:textId="5B3F14CE" w:rsidR="003B19EA" w:rsidRPr="000665B0" w:rsidRDefault="003B19EA" w:rsidP="006D5A65">
      <w:pPr>
        <w:pStyle w:val="Heading1"/>
      </w:pPr>
      <w:r w:rsidRPr="000665B0">
        <w:t>Short Title – The short title of the Crypto key which is a unique identifier</w:t>
      </w:r>
      <w:r w:rsidR="0047580A" w:rsidRPr="000665B0">
        <w:t xml:space="preserve"> (1-</w:t>
      </w:r>
      <w:r w:rsidR="00AA74A8" w:rsidRPr="000665B0">
        <w:t>2</w:t>
      </w:r>
      <w:r w:rsidR="00090C2C" w:rsidRPr="000665B0">
        <w:t>4</w:t>
      </w:r>
      <w:r w:rsidR="0047580A" w:rsidRPr="000665B0">
        <w:t xml:space="preserve"> alphanumeric characters</w:t>
      </w:r>
      <w:r w:rsidR="00A41E22" w:rsidRPr="000665B0">
        <w:t xml:space="preserve"> and/or spaces</w:t>
      </w:r>
      <w:r w:rsidR="0047580A" w:rsidRPr="000665B0">
        <w:t>)</w:t>
      </w:r>
      <w:r w:rsidRPr="000665B0">
        <w:t xml:space="preserve">. </w:t>
      </w:r>
    </w:p>
    <w:p w14:paraId="21BE913D" w14:textId="77777777" w:rsidR="003B19EA" w:rsidRPr="000665B0" w:rsidRDefault="003B19EA" w:rsidP="006D5A65">
      <w:pPr>
        <w:pStyle w:val="Heading1"/>
      </w:pPr>
      <w:r w:rsidRPr="000665B0">
        <w:t>Type – The type of the Crypto key (COMSEC or TRANSEC).</w:t>
      </w:r>
    </w:p>
    <w:p w14:paraId="0BD48863" w14:textId="236361B4" w:rsidR="003D4A95" w:rsidRPr="000665B0" w:rsidRDefault="003D4A95" w:rsidP="006D5A65">
      <w:pPr>
        <w:pStyle w:val="Heading1"/>
      </w:pPr>
      <w:r w:rsidRPr="000665B0">
        <w:t>TSN – TSN type (DAMA</w:t>
      </w:r>
      <w:r w:rsidR="00790CFE" w:rsidRPr="000665B0">
        <w:t xml:space="preserve">, </w:t>
      </w:r>
      <w:r w:rsidRPr="000665B0">
        <w:t>ACA</w:t>
      </w:r>
      <w:r w:rsidR="00790CFE" w:rsidRPr="000665B0">
        <w:t>, or blank</w:t>
      </w:r>
      <w:r w:rsidRPr="000665B0">
        <w:t>) for 109E missiles</w:t>
      </w:r>
      <w:r w:rsidR="00790CFE" w:rsidRPr="000665B0">
        <w:t>. A blank (no entry) indicates TRANSEC, which has dual use and is not categorized into either TSN type</w:t>
      </w:r>
      <w:r w:rsidR="00A36FDC" w:rsidRPr="000665B0">
        <w:t>.</w:t>
      </w:r>
    </w:p>
    <w:p w14:paraId="1279AE87" w14:textId="3FBCB19A" w:rsidR="003D4A95" w:rsidRPr="000665B0" w:rsidRDefault="003D4A95" w:rsidP="006D5A65">
      <w:pPr>
        <w:pStyle w:val="Heading1"/>
      </w:pPr>
      <w:r w:rsidRPr="000665B0">
        <w:t xml:space="preserve">Subtype – </w:t>
      </w:r>
      <w:r w:rsidR="001D6966" w:rsidRPr="000665B0">
        <w:t xml:space="preserve">The subtype of </w:t>
      </w:r>
      <w:r w:rsidR="00987B70" w:rsidRPr="000665B0">
        <w:t>an</w:t>
      </w:r>
      <w:r w:rsidR="001D6966" w:rsidRPr="000665B0">
        <w:t xml:space="preserve"> ACA strike Crypto</w:t>
      </w:r>
      <w:r w:rsidR="00A41E22" w:rsidRPr="000665B0">
        <w:t xml:space="preserve">: </w:t>
      </w:r>
      <w:r w:rsidR="00672BBD" w:rsidRPr="000665B0">
        <w:t xml:space="preserve">ACA </w:t>
      </w:r>
      <w:r w:rsidR="001D6966" w:rsidRPr="000665B0">
        <w:t xml:space="preserve">Receive KEK, </w:t>
      </w:r>
      <w:r w:rsidR="00672BBD" w:rsidRPr="000665B0">
        <w:t xml:space="preserve">ACA </w:t>
      </w:r>
      <w:r w:rsidR="001D6966" w:rsidRPr="000665B0">
        <w:t>Transmit KEK,</w:t>
      </w:r>
      <w:r w:rsidR="00672BBD" w:rsidRPr="000665B0">
        <w:t xml:space="preserve"> ACA </w:t>
      </w:r>
      <w:r w:rsidR="001D6966" w:rsidRPr="000665B0">
        <w:t xml:space="preserve">Receive TEK, </w:t>
      </w:r>
      <w:r w:rsidR="00A36FDC" w:rsidRPr="000665B0">
        <w:t xml:space="preserve">or </w:t>
      </w:r>
      <w:r w:rsidR="00672BBD" w:rsidRPr="000665B0">
        <w:t xml:space="preserve">ACA </w:t>
      </w:r>
      <w:r w:rsidR="001D6966" w:rsidRPr="000665B0">
        <w:t>Transmit TEK.</w:t>
      </w:r>
    </w:p>
    <w:p w14:paraId="26D69233" w14:textId="77777777" w:rsidR="003B19EA" w:rsidRPr="000665B0" w:rsidRDefault="003B19EA" w:rsidP="006D5A65">
      <w:pPr>
        <w:pStyle w:val="Heading1"/>
      </w:pPr>
      <w:r w:rsidRPr="000665B0">
        <w:t>Last Mod DTG – The DTG when the Crypto key was last modified.</w:t>
      </w:r>
    </w:p>
    <w:p w14:paraId="10B37B7B" w14:textId="77777777" w:rsidR="003B19EA" w:rsidRPr="000665B0" w:rsidRDefault="003B19EA" w:rsidP="006D5A65">
      <w:pPr>
        <w:pStyle w:val="Heading1"/>
      </w:pPr>
      <w:r w:rsidRPr="000665B0">
        <w:t>Geo Area – The geographic region that the TRANSEC Crypto key covers.</w:t>
      </w:r>
    </w:p>
    <w:p w14:paraId="5094E610" w14:textId="77777777" w:rsidR="003B19EA" w:rsidRPr="000665B0" w:rsidRDefault="003B19EA" w:rsidP="006D5A65">
      <w:pPr>
        <w:pStyle w:val="Heading1"/>
      </w:pPr>
      <w:r w:rsidRPr="000665B0">
        <w:t>Classification – The classification of the Crypto key.</w:t>
      </w:r>
    </w:p>
    <w:p w14:paraId="7B4ADF7B" w14:textId="77777777" w:rsidR="003B19EA" w:rsidRPr="000665B0" w:rsidRDefault="003B19EA" w:rsidP="006D5A65">
      <w:pPr>
        <w:pStyle w:val="Heading1"/>
      </w:pPr>
      <w:r w:rsidRPr="000665B0">
        <w:t>Start DTG – The start DTG of the time span that the Crypto key covers.</w:t>
      </w:r>
    </w:p>
    <w:p w14:paraId="026C7290" w14:textId="77777777" w:rsidR="003B19EA" w:rsidRPr="000665B0" w:rsidRDefault="003B19EA" w:rsidP="006D5A65">
      <w:pPr>
        <w:pStyle w:val="Heading1"/>
      </w:pPr>
      <w:r w:rsidRPr="000665B0">
        <w:t xml:space="preserve">End DTG – The end DTG of the time span that the Crypto key covers. </w:t>
      </w:r>
    </w:p>
    <w:p w14:paraId="1573C1FA" w14:textId="77777777" w:rsidR="003B19EA" w:rsidRPr="000665B0" w:rsidRDefault="003B19EA" w:rsidP="006D5A65">
      <w:pPr>
        <w:pStyle w:val="Heading1"/>
      </w:pPr>
      <w:r w:rsidRPr="000665B0">
        <w:t>Notes – The free text notes for the Crypto key.</w:t>
      </w:r>
    </w:p>
    <w:p w14:paraId="14E54820" w14:textId="5FB4AE72" w:rsidR="00776531" w:rsidRPr="000665B0" w:rsidRDefault="00776531" w:rsidP="00A11549">
      <w:pPr>
        <w:pStyle w:val="Heading3"/>
      </w:pPr>
      <w:bookmarkStart w:id="7174" w:name="_Create_New_Crypto"/>
      <w:bookmarkStart w:id="7175" w:name="_Toc214283636"/>
      <w:bookmarkEnd w:id="7174"/>
      <w:r w:rsidRPr="000665B0">
        <w:t>Create</w:t>
      </w:r>
      <w:r w:rsidR="00771480" w:rsidRPr="000665B0">
        <w:t xml:space="preserve"> New Crypto </w:t>
      </w:r>
      <w:r w:rsidRPr="000665B0">
        <w:t>Key</w:t>
      </w:r>
      <w:bookmarkEnd w:id="7172"/>
      <w:bookmarkEnd w:id="7173"/>
      <w:bookmarkEnd w:id="7175"/>
    </w:p>
    <w:p w14:paraId="3B0CB5DD" w14:textId="77777777" w:rsidR="003B19EA" w:rsidRPr="000665B0" w:rsidRDefault="003B19EA" w:rsidP="00A0163E">
      <w:bookmarkStart w:id="7176" w:name="_Toc96170360"/>
      <w:bookmarkStart w:id="7177" w:name="_Toc96234405"/>
      <w:bookmarkStart w:id="7178" w:name="_Toc112733861"/>
      <w:bookmarkStart w:id="7179" w:name="_Toc289329012"/>
      <w:bookmarkStart w:id="7180" w:name="_Toc312332129"/>
      <w:r w:rsidRPr="000665B0">
        <w:t>To create a new Crypto key:</w:t>
      </w:r>
    </w:p>
    <w:p w14:paraId="31037CCC" w14:textId="7EB63C36" w:rsidR="007E601C" w:rsidRPr="000665B0" w:rsidRDefault="003B19EA" w:rsidP="006D5A65">
      <w:pPr>
        <w:pStyle w:val="Heading1"/>
      </w:pPr>
      <w:r w:rsidRPr="000665B0">
        <w:t xml:space="preserve">From the </w:t>
      </w:r>
      <w:r w:rsidRPr="000665B0">
        <w:rPr>
          <w:bCs/>
        </w:rPr>
        <w:t xml:space="preserve">File </w:t>
      </w:r>
      <w:r w:rsidRPr="000665B0">
        <w:t xml:space="preserve">menu select </w:t>
      </w:r>
      <w:r w:rsidRPr="000665B0">
        <w:rPr>
          <w:bCs/>
        </w:rPr>
        <w:t xml:space="preserve">New </w:t>
      </w:r>
      <w:r w:rsidRPr="000665B0">
        <w:rPr>
          <w:rFonts w:ascii="Wingdings 3" w:hAnsi="Wingdings 3"/>
        </w:rPr>
        <w:t></w:t>
      </w:r>
      <w:r w:rsidR="004928AF" w:rsidRPr="000665B0">
        <w:t xml:space="preserve">, </w:t>
      </w:r>
      <w:r w:rsidRPr="000665B0">
        <w:t xml:space="preserve">click the </w:t>
      </w:r>
      <w:r w:rsidRPr="000665B0">
        <w:rPr>
          <w:bCs/>
        </w:rPr>
        <w:t>New</w:t>
      </w:r>
      <w:r w:rsidRPr="000665B0">
        <w:t xml:space="preserve"> </w:t>
      </w:r>
      <w:r w:rsidRPr="000665B0">
        <w:rPr>
          <w:noProof/>
        </w:rPr>
        <w:drawing>
          <wp:inline distT="0" distB="0" distL="0" distR="0" wp14:anchorId="6FE87D6B" wp14:editId="45207140">
            <wp:extent cx="152400" cy="152400"/>
            <wp:effectExtent l="0" t="0" r="0" b="0"/>
            <wp:docPr id="255" name="Picture 255" descr="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w:t>
      </w:r>
      <w:r w:rsidRPr="000665B0">
        <w:rPr>
          <w:bCs/>
        </w:rPr>
        <w:t>Tool Bar</w:t>
      </w:r>
      <w:r w:rsidR="004928AF" w:rsidRPr="000665B0">
        <w:rPr>
          <w:szCs w:val="24"/>
        </w:rPr>
        <w:t xml:space="preserve">, or </w:t>
      </w:r>
      <w:r w:rsidR="004928AF" w:rsidRPr="000665B0">
        <w:rPr>
          <w:noProof/>
          <w:szCs w:val="24"/>
        </w:rPr>
        <w:t>invoke the context menu (right-click the mouse) and select New…</w:t>
      </w:r>
      <w:r w:rsidR="001F55E6" w:rsidRPr="000665B0">
        <w:rPr>
          <w:bCs/>
        </w:rPr>
        <w:t xml:space="preserve">, then </w:t>
      </w:r>
      <w:r w:rsidR="001F55E6" w:rsidRPr="000665B0">
        <w:t xml:space="preserve">select either </w:t>
      </w:r>
      <w:r w:rsidR="00A36FDC" w:rsidRPr="000665B0">
        <w:t>DAMA COMSEC, ACA COMCSEC</w:t>
      </w:r>
      <w:r w:rsidR="005F50E3" w:rsidRPr="000665B0">
        <w:t xml:space="preserve"> </w:t>
      </w:r>
      <w:r w:rsidR="00A36FDC" w:rsidRPr="000665B0">
        <w:rPr>
          <w:rFonts w:ascii="Wingdings 3" w:hAnsi="Wingdings 3"/>
        </w:rPr>
        <w:t></w:t>
      </w:r>
      <w:r w:rsidR="005F50E3" w:rsidRPr="000665B0">
        <w:t xml:space="preserve"> [subtype]</w:t>
      </w:r>
      <w:r w:rsidR="00A36FDC" w:rsidRPr="000665B0">
        <w:t xml:space="preserve">, or TRANSEC. </w:t>
      </w:r>
    </w:p>
    <w:p w14:paraId="7A83E097" w14:textId="55046796" w:rsidR="007E601C" w:rsidRPr="000665B0" w:rsidRDefault="007E601C" w:rsidP="00A0163E">
      <w:pPr>
        <w:tabs>
          <w:tab w:val="left" w:pos="5850"/>
        </w:tabs>
        <w:spacing w:after="60"/>
        <w:ind w:left="360"/>
      </w:pPr>
      <w:r w:rsidRPr="000665B0">
        <w:rPr>
          <w:b/>
          <w:bCs/>
        </w:rPr>
        <w:t xml:space="preserve">File </w:t>
      </w:r>
      <w:r w:rsidRPr="000665B0">
        <w:sym w:font="Wingdings" w:char="F0E0"/>
      </w:r>
      <w:r w:rsidRPr="000665B0">
        <w:t xml:space="preserve"> </w:t>
      </w:r>
      <w:r w:rsidRPr="000665B0">
        <w:rPr>
          <w:b/>
          <w:bCs/>
        </w:rPr>
        <w:t xml:space="preserve">New </w:t>
      </w:r>
      <w:r w:rsidRPr="000665B0">
        <w:rPr>
          <w:rFonts w:ascii="Wingdings 3" w:hAnsi="Wingdings 3"/>
        </w:rPr>
        <w:t></w:t>
      </w:r>
      <w:r w:rsidRPr="000665B0">
        <w:tab/>
      </w:r>
      <w:r w:rsidRPr="000665B0">
        <w:rPr>
          <w:b/>
          <w:bCs/>
        </w:rPr>
        <w:t>New</w:t>
      </w:r>
      <w:r w:rsidRPr="000665B0">
        <w:t xml:space="preserve"> </w:t>
      </w:r>
      <w:r w:rsidRPr="000665B0">
        <w:rPr>
          <w:noProof/>
        </w:rPr>
        <w:drawing>
          <wp:inline distT="0" distB="0" distL="0" distR="0" wp14:anchorId="6C648A21" wp14:editId="6813FC23">
            <wp:extent cx="152400" cy="152400"/>
            <wp:effectExtent l="0" t="0" r="0" b="0"/>
            <wp:docPr id="222" name="Picture 222" descr="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w:t>
      </w:r>
      <w:r w:rsidRPr="000665B0">
        <w:rPr>
          <w:b/>
          <w:bCs/>
        </w:rPr>
        <w:t>Tool Bar</w:t>
      </w:r>
    </w:p>
    <w:p w14:paraId="433EAB8E" w14:textId="5A544965" w:rsidR="001F55E6" w:rsidRPr="000665B0" w:rsidRDefault="009651B0" w:rsidP="001F4B14">
      <w:pPr>
        <w:pStyle w:val="ListParagraph"/>
        <w:tabs>
          <w:tab w:val="left" w:pos="5940"/>
        </w:tabs>
        <w:spacing w:after="120"/>
        <w:ind w:left="0"/>
        <w:jc w:val="center"/>
      </w:pPr>
      <w:r w:rsidRPr="000665B0">
        <w:rPr>
          <w:noProof/>
        </w:rPr>
        <w:drawing>
          <wp:inline distT="0" distB="0" distL="0" distR="0" wp14:anchorId="184170BF" wp14:editId="7999E0D1">
            <wp:extent cx="3546505" cy="1172915"/>
            <wp:effectExtent l="0" t="0" r="0" b="8255"/>
            <wp:docPr id="2197" name="Picture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586229" cy="1186053"/>
                    </a:xfrm>
                    <a:prstGeom prst="rect">
                      <a:avLst/>
                    </a:prstGeom>
                  </pic:spPr>
                </pic:pic>
              </a:graphicData>
            </a:graphic>
          </wp:inline>
        </w:drawing>
      </w:r>
      <w:r w:rsidR="00594DB0">
        <w:t xml:space="preserve">  </w:t>
      </w:r>
      <w:r w:rsidR="007E601C" w:rsidRPr="000665B0">
        <w:rPr>
          <w:noProof/>
        </w:rPr>
        <w:drawing>
          <wp:inline distT="0" distB="0" distL="0" distR="0" wp14:anchorId="38972B40" wp14:editId="45B5AD42">
            <wp:extent cx="2093720" cy="1171270"/>
            <wp:effectExtent l="0" t="0" r="1905" b="0"/>
            <wp:docPr id="2092" name="Picture 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14270" cy="1182766"/>
                    </a:xfrm>
                    <a:prstGeom prst="rect">
                      <a:avLst/>
                    </a:prstGeom>
                  </pic:spPr>
                </pic:pic>
              </a:graphicData>
            </a:graphic>
          </wp:inline>
        </w:drawing>
      </w:r>
    </w:p>
    <w:p w14:paraId="0DE3FB81" w14:textId="4F4621F4" w:rsidR="001F55E6" w:rsidRPr="000665B0" w:rsidRDefault="001F55E6" w:rsidP="006D5A65">
      <w:pPr>
        <w:pStyle w:val="Heading1"/>
      </w:pPr>
      <w:r w:rsidRPr="000665B0">
        <w:lastRenderedPageBreak/>
        <w:t>When DAMA</w:t>
      </w:r>
      <w:r w:rsidR="00A36FDC" w:rsidRPr="000665B0">
        <w:t xml:space="preserve"> COMSEC</w:t>
      </w:r>
      <w:r w:rsidRPr="000665B0">
        <w:t xml:space="preserve"> is selected, </w:t>
      </w:r>
      <w:r w:rsidR="00A36FDC" w:rsidRPr="000665B0">
        <w:t>the</w:t>
      </w:r>
      <w:r w:rsidR="003B19EA" w:rsidRPr="000665B0">
        <w:t xml:space="preserve"> </w:t>
      </w:r>
      <w:r w:rsidR="003B19EA" w:rsidRPr="000665B0">
        <w:rPr>
          <w:i/>
        </w:rPr>
        <w:t xml:space="preserve">Crypto COMSEC </w:t>
      </w:r>
      <w:r w:rsidRPr="000665B0">
        <w:rPr>
          <w:i/>
        </w:rPr>
        <w:t xml:space="preserve">DAMA </w:t>
      </w:r>
      <w:r w:rsidR="003B19EA" w:rsidRPr="000665B0">
        <w:rPr>
          <w:i/>
        </w:rPr>
        <w:t>Key</w:t>
      </w:r>
      <w:r w:rsidR="003B19EA" w:rsidRPr="000665B0">
        <w:t xml:space="preserve"> window is displayed. </w:t>
      </w:r>
    </w:p>
    <w:p w14:paraId="62663145" w14:textId="4A110B23" w:rsidR="00672BBD" w:rsidRPr="000665B0" w:rsidRDefault="007E601C" w:rsidP="001F4B14">
      <w:pPr>
        <w:tabs>
          <w:tab w:val="left" w:pos="5940"/>
        </w:tabs>
        <w:jc w:val="center"/>
      </w:pPr>
      <w:r w:rsidRPr="000665B0">
        <w:rPr>
          <w:noProof/>
        </w:rPr>
        <w:drawing>
          <wp:inline distT="0" distB="0" distL="0" distR="0" wp14:anchorId="090757D8" wp14:editId="3E1CD2FA">
            <wp:extent cx="3359785" cy="2368649"/>
            <wp:effectExtent l="0" t="0" r="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366649" cy="2373488"/>
                    </a:xfrm>
                    <a:prstGeom prst="rect">
                      <a:avLst/>
                    </a:prstGeom>
                  </pic:spPr>
                </pic:pic>
              </a:graphicData>
            </a:graphic>
          </wp:inline>
        </w:drawing>
      </w:r>
    </w:p>
    <w:p w14:paraId="7870F6FE" w14:textId="77777777" w:rsidR="008406BC" w:rsidRPr="000665B0" w:rsidRDefault="00672BBD" w:rsidP="006D5A65">
      <w:pPr>
        <w:pStyle w:val="Heading1"/>
      </w:pPr>
      <w:r w:rsidRPr="000665B0">
        <w:t>When ACA</w:t>
      </w:r>
      <w:r w:rsidR="00A36FDC" w:rsidRPr="000665B0">
        <w:t xml:space="preserve"> COMSEC</w:t>
      </w:r>
      <w:r w:rsidRPr="000665B0">
        <w:t xml:space="preserve"> is selected, select the desired subtype.</w:t>
      </w:r>
    </w:p>
    <w:p w14:paraId="43BB71CB" w14:textId="3D490EF9" w:rsidR="00672BBD" w:rsidRPr="000665B0" w:rsidRDefault="00672BBD" w:rsidP="00A0163E">
      <w:pPr>
        <w:ind w:left="1080"/>
      </w:pPr>
      <w:r w:rsidRPr="000665B0">
        <w:t xml:space="preserve">The </w:t>
      </w:r>
      <w:r w:rsidRPr="000665B0">
        <w:rPr>
          <w:i/>
        </w:rPr>
        <w:t>Crypto COMSEC ACA Key</w:t>
      </w:r>
      <w:r w:rsidRPr="000665B0">
        <w:t xml:space="preserve"> window is displayed</w:t>
      </w:r>
      <w:r w:rsidR="00A10FC0" w:rsidRPr="000665B0">
        <w:t xml:space="preserve"> (</w:t>
      </w:r>
      <w:r w:rsidR="00A36FDC" w:rsidRPr="000665B0">
        <w:t>with the selected</w:t>
      </w:r>
      <w:r w:rsidR="00A10FC0" w:rsidRPr="000665B0">
        <w:t xml:space="preserve"> subtype)</w:t>
      </w:r>
      <w:r w:rsidRPr="000665B0">
        <w:t>.</w:t>
      </w:r>
    </w:p>
    <w:p w14:paraId="7480C3CF" w14:textId="6E22B692" w:rsidR="00A36FDC" w:rsidRPr="000665B0" w:rsidRDefault="007E601C" w:rsidP="00F26AD4">
      <w:pPr>
        <w:jc w:val="center"/>
      </w:pPr>
      <w:r w:rsidRPr="000665B0">
        <w:rPr>
          <w:noProof/>
        </w:rPr>
        <w:drawing>
          <wp:inline distT="0" distB="0" distL="0" distR="0" wp14:anchorId="5B8ECEFF" wp14:editId="55391610">
            <wp:extent cx="3383063" cy="2385060"/>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398304" cy="2395805"/>
                    </a:xfrm>
                    <a:prstGeom prst="rect">
                      <a:avLst/>
                    </a:prstGeom>
                  </pic:spPr>
                </pic:pic>
              </a:graphicData>
            </a:graphic>
          </wp:inline>
        </w:drawing>
      </w:r>
    </w:p>
    <w:p w14:paraId="3CC946B5" w14:textId="77777777" w:rsidR="00A36FDC" w:rsidRPr="000665B0" w:rsidRDefault="00A36FDC" w:rsidP="006D5A65">
      <w:pPr>
        <w:pStyle w:val="Heading1"/>
      </w:pPr>
      <w:r w:rsidRPr="000665B0">
        <w:lastRenderedPageBreak/>
        <w:t xml:space="preserve">When TRANSEC is selected, the </w:t>
      </w:r>
      <w:r w:rsidRPr="000665B0">
        <w:rPr>
          <w:i/>
        </w:rPr>
        <w:t>Crypto TRANSEC Key</w:t>
      </w:r>
      <w:r w:rsidRPr="000665B0">
        <w:t xml:space="preserve"> window is displayed.</w:t>
      </w:r>
    </w:p>
    <w:p w14:paraId="14B76EC0" w14:textId="44C301A4" w:rsidR="003B19EA" w:rsidRPr="000665B0" w:rsidRDefault="007E601C">
      <w:pPr>
        <w:jc w:val="center"/>
      </w:pPr>
      <w:r w:rsidRPr="000665B0">
        <w:rPr>
          <w:noProof/>
        </w:rPr>
        <w:drawing>
          <wp:inline distT="0" distB="0" distL="0" distR="0" wp14:anchorId="642137C1" wp14:editId="6F3FD867">
            <wp:extent cx="3350639" cy="2362200"/>
            <wp:effectExtent l="0" t="0" r="0" b="0"/>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361929" cy="2370160"/>
                    </a:xfrm>
                    <a:prstGeom prst="rect">
                      <a:avLst/>
                    </a:prstGeom>
                  </pic:spPr>
                </pic:pic>
              </a:graphicData>
            </a:graphic>
          </wp:inline>
        </w:drawing>
      </w:r>
    </w:p>
    <w:p w14:paraId="5C208734" w14:textId="331B9E9C" w:rsidR="003B19EA" w:rsidRPr="000665B0" w:rsidRDefault="003B19EA" w:rsidP="006D5A65">
      <w:pPr>
        <w:pStyle w:val="Heading2"/>
      </w:pPr>
      <w:r w:rsidRPr="000665B0">
        <w:t xml:space="preserve">If it is required to change the classification of the new message, click the </w:t>
      </w:r>
      <w:r w:rsidRPr="000665B0">
        <w:rPr>
          <w:bCs/>
        </w:rPr>
        <w:t>EDIT</w:t>
      </w:r>
      <w:r w:rsidRPr="000665B0">
        <w:t xml:space="preserve"> </w:t>
      </w:r>
      <w:r w:rsidR="00544BD6" w:rsidRPr="000665B0">
        <w:t>button,</w:t>
      </w:r>
      <w:r w:rsidRPr="000665B0">
        <w:t xml:space="preserve"> and select the classification from the drop-down menu of the </w:t>
      </w:r>
      <w:r w:rsidRPr="000665B0">
        <w:rPr>
          <w:i/>
        </w:rPr>
        <w:t>Edit Classification</w:t>
      </w:r>
      <w:r w:rsidRPr="000665B0">
        <w:t xml:space="preserve"> window. For information on editing the classification see </w:t>
      </w:r>
      <w:hyperlink w:anchor="_5.2.7__Edit" w:history="1">
        <w:r w:rsidRPr="000665B0">
          <w:rPr>
            <w:rStyle w:val="Hyperlink"/>
          </w:rPr>
          <w:t>Section 5.2.7</w:t>
        </w:r>
      </w:hyperlink>
      <w:r w:rsidR="00335EE7" w:rsidRPr="000665B0">
        <w:rPr>
          <w:rStyle w:val="Hyperlink"/>
          <w:u w:val="none"/>
        </w:rPr>
        <w:t>.</w:t>
      </w:r>
    </w:p>
    <w:p w14:paraId="1D9ADB09" w14:textId="3ACDDAB5" w:rsidR="002E4E43" w:rsidRPr="000665B0" w:rsidRDefault="003B19EA" w:rsidP="006D5A65">
      <w:pPr>
        <w:pStyle w:val="Heading2"/>
      </w:pPr>
      <w:r w:rsidRPr="000665B0">
        <w:t>Enter the Short Title that uniquely identifies the Crypto Key</w:t>
      </w:r>
      <w:r w:rsidR="001F47FE" w:rsidRPr="000665B0">
        <w:t xml:space="preserve"> </w:t>
      </w:r>
      <w:r w:rsidR="0047580A" w:rsidRPr="000665B0">
        <w:t>(</w:t>
      </w:r>
      <w:r w:rsidR="001F47FE" w:rsidRPr="000665B0">
        <w:t>1-2</w:t>
      </w:r>
      <w:r w:rsidR="00090C2C" w:rsidRPr="000665B0">
        <w:t>4</w:t>
      </w:r>
      <w:r w:rsidR="001F47FE" w:rsidRPr="000665B0">
        <w:t xml:space="preserve"> alphanumeric </w:t>
      </w:r>
      <w:r w:rsidR="008627D7" w:rsidRPr="000665B0">
        <w:t xml:space="preserve">characters </w:t>
      </w:r>
      <w:r w:rsidR="00A41E22" w:rsidRPr="000665B0">
        <w:t>and/or spaces</w:t>
      </w:r>
      <w:r w:rsidR="008627D7" w:rsidRPr="000665B0">
        <w:t xml:space="preserve">; no </w:t>
      </w:r>
      <w:r w:rsidR="001F47FE" w:rsidRPr="000665B0">
        <w:t>special characters)</w:t>
      </w:r>
      <w:r w:rsidRPr="000665B0">
        <w:t xml:space="preserve">. This is a required field (as denoted by the * and/or yellow background) </w:t>
      </w:r>
      <w:r w:rsidR="00BC30AF" w:rsidRPr="000665B0">
        <w:t>and the user</w:t>
      </w:r>
      <w:r w:rsidRPr="000665B0">
        <w:t xml:space="preserve"> is unable to proceed without updating this field. For further information on mandatory fields see </w:t>
      </w:r>
      <w:hyperlink w:anchor="_5.2.8__Editing" w:history="1">
        <w:r w:rsidRPr="000665B0">
          <w:rPr>
            <w:rStyle w:val="Hyperlink"/>
          </w:rPr>
          <w:t>Section 5.2.8</w:t>
        </w:r>
      </w:hyperlink>
      <w:r w:rsidRPr="000665B0">
        <w:t>.</w:t>
      </w:r>
    </w:p>
    <w:p w14:paraId="66EFAC5B" w14:textId="31C42851" w:rsidR="003B19EA" w:rsidRPr="000665B0" w:rsidRDefault="002E4E43" w:rsidP="00F26AD4">
      <w:pPr>
        <w:pStyle w:val="Number0205"/>
        <w:ind w:left="720" w:firstLine="0"/>
      </w:pPr>
      <w:r w:rsidRPr="000665B0">
        <w:t xml:space="preserve">If an error message is received while processing Crypto data sent from legacy MDS 5.x systems, it is likely due to a violation in the type of characters within the Crypto key’s short title. Short titles in legacy systems allow special characters, while 6.0 (and above) systems do not allow special characters. See </w:t>
      </w:r>
      <w:hyperlink w:anchor="_Installing_/Processing_Data" w:history="1">
        <w:r w:rsidRPr="000665B0">
          <w:rPr>
            <w:rStyle w:val="Hyperlink"/>
          </w:rPr>
          <w:t xml:space="preserve">Section </w:t>
        </w:r>
        <w:r w:rsidR="004231CC">
          <w:rPr>
            <w:rStyle w:val="Hyperlink"/>
          </w:rPr>
          <w:t>5.18</w:t>
        </w:r>
        <w:r w:rsidRPr="000665B0">
          <w:rPr>
            <w:rStyle w:val="Hyperlink"/>
          </w:rPr>
          <w:t>.1.</w:t>
        </w:r>
        <w:r w:rsidR="00D93FA7" w:rsidRPr="000665B0">
          <w:rPr>
            <w:rStyle w:val="Hyperlink"/>
          </w:rPr>
          <w:t>2</w:t>
        </w:r>
      </w:hyperlink>
      <w:r w:rsidRPr="000665B0">
        <w:t>.</w:t>
      </w:r>
    </w:p>
    <w:p w14:paraId="3237CF35" w14:textId="77777777" w:rsidR="00B053C4" w:rsidRPr="000665B0" w:rsidRDefault="00B053C4" w:rsidP="006D5A65">
      <w:pPr>
        <w:pStyle w:val="Heading2"/>
      </w:pPr>
      <w:r w:rsidRPr="000665B0">
        <w:t>Enter any optional notes in the Notes field (up to 512 characters).</w:t>
      </w:r>
    </w:p>
    <w:p w14:paraId="2937A2C9" w14:textId="05C1A950" w:rsidR="007E601C" w:rsidRPr="000665B0" w:rsidRDefault="007E601C" w:rsidP="006D5A65">
      <w:pPr>
        <w:pStyle w:val="Heading2"/>
      </w:pPr>
      <w:r w:rsidRPr="000665B0">
        <w:t xml:space="preserve">When the new Crypto is ACA or DAMA COMSEC: </w:t>
      </w:r>
    </w:p>
    <w:p w14:paraId="09DD2EFE" w14:textId="0553392C" w:rsidR="007E601C" w:rsidRPr="000665B0" w:rsidRDefault="007E601C" w:rsidP="006D5A65">
      <w:pPr>
        <w:pStyle w:val="Heading1"/>
      </w:pPr>
      <w:r w:rsidRPr="000665B0">
        <w:lastRenderedPageBreak/>
        <w:t>Invoke the context menu (right</w:t>
      </w:r>
      <w:r w:rsidR="003F15E2" w:rsidRPr="000665B0">
        <w:t>-</w:t>
      </w:r>
      <w:r w:rsidRPr="000665B0">
        <w:t>click the mouse) in the blank area of the Edition/Segment pane</w:t>
      </w:r>
      <w:r w:rsidR="005311E3" w:rsidRPr="000665B0">
        <w:t xml:space="preserve"> and</w:t>
      </w:r>
      <w:r w:rsidRPr="000665B0">
        <w:t xml:space="preserve"> select Add </w:t>
      </w:r>
      <w:r w:rsidRPr="000665B0">
        <w:rPr>
          <w:rFonts w:ascii="Wingdings 3" w:hAnsi="Wingdings 3"/>
        </w:rPr>
        <w:t></w:t>
      </w:r>
      <w:r w:rsidRPr="000665B0">
        <w:t xml:space="preserve"> Edition. The </w:t>
      </w:r>
      <w:r w:rsidRPr="000665B0">
        <w:rPr>
          <w:i/>
        </w:rPr>
        <w:t>Add Edition</w:t>
      </w:r>
      <w:r w:rsidRPr="000665B0">
        <w:t xml:space="preserve"> window is displayed.</w:t>
      </w:r>
    </w:p>
    <w:p w14:paraId="056089B6" w14:textId="62FD8A69" w:rsidR="007E601C" w:rsidRPr="000665B0" w:rsidRDefault="007E601C" w:rsidP="00446685">
      <w:pPr>
        <w:pStyle w:val="Number0205"/>
        <w:tabs>
          <w:tab w:val="left" w:pos="4770"/>
        </w:tabs>
        <w:ind w:left="0" w:firstLine="0"/>
        <w:jc w:val="center"/>
      </w:pPr>
      <w:r w:rsidRPr="000665B0">
        <w:rPr>
          <w:noProof/>
        </w:rPr>
        <w:drawing>
          <wp:inline distT="0" distB="0" distL="0" distR="0" wp14:anchorId="3910C3D9" wp14:editId="436A0D6A">
            <wp:extent cx="2743200" cy="2377440"/>
            <wp:effectExtent l="0" t="0" r="0" b="381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2377440"/>
                    </a:xfrm>
                    <a:prstGeom prst="rect">
                      <a:avLst/>
                    </a:prstGeom>
                  </pic:spPr>
                </pic:pic>
              </a:graphicData>
            </a:graphic>
          </wp:inline>
        </w:drawing>
      </w:r>
    </w:p>
    <w:p w14:paraId="67EC578A" w14:textId="71395227" w:rsidR="007E601C" w:rsidRPr="000665B0" w:rsidRDefault="007E601C" w:rsidP="006D5A65">
      <w:pPr>
        <w:pStyle w:val="Heading1"/>
      </w:pPr>
      <w:r w:rsidRPr="000665B0">
        <w:t xml:space="preserve">The starting edition, starting segment, number of segments per edition, a starting date, and the time span of each segment can be selected/entered. </w:t>
      </w:r>
    </w:p>
    <w:p w14:paraId="4D8E4A1A" w14:textId="77777777" w:rsidR="006D0A8B" w:rsidRPr="000665B0" w:rsidRDefault="007E601C" w:rsidP="006D5A65">
      <w:pPr>
        <w:pStyle w:val="Heading1"/>
      </w:pPr>
      <w:r w:rsidRPr="000665B0">
        <w:t>Click OK.</w:t>
      </w:r>
      <w:r w:rsidR="006D0A8B" w:rsidRPr="000665B0">
        <w:rPr>
          <w:rFonts w:eastAsia="Calibri"/>
        </w:rPr>
        <w:t xml:space="preserve"> </w:t>
      </w:r>
    </w:p>
    <w:p w14:paraId="70E7260B" w14:textId="0AF94901" w:rsidR="007E601C" w:rsidRPr="000665B0" w:rsidRDefault="006D0A8B" w:rsidP="006D5A65">
      <w:pPr>
        <w:pStyle w:val="Heading1"/>
      </w:pPr>
      <w:r w:rsidRPr="000665B0">
        <w:t xml:space="preserve">Click the Save icon on the </w:t>
      </w:r>
      <w:r w:rsidR="00544BD6" w:rsidRPr="000665B0">
        <w:t>toolbar or</w:t>
      </w:r>
      <w:r w:rsidRPr="000665B0">
        <w:t xml:space="preserve"> select File </w:t>
      </w:r>
      <w:r w:rsidRPr="000665B0">
        <w:sym w:font="Wingdings" w:char="F0E0"/>
      </w:r>
      <w:r w:rsidRPr="000665B0">
        <w:t xml:space="preserve"> Save from the menu.</w:t>
      </w:r>
      <w:r w:rsidRPr="000665B0" w:rsidDel="00330965">
        <w:rPr>
          <w:noProof/>
        </w:rPr>
        <w:t xml:space="preserve"> </w:t>
      </w:r>
    </w:p>
    <w:p w14:paraId="13B4106E" w14:textId="63250BD1" w:rsidR="003B19EA" w:rsidRPr="000665B0" w:rsidRDefault="003B19EA" w:rsidP="006D5A65">
      <w:pPr>
        <w:pStyle w:val="Heading2"/>
      </w:pPr>
      <w:r w:rsidRPr="000665B0">
        <w:t xml:space="preserve">When the </w:t>
      </w:r>
      <w:r w:rsidR="00B053C4" w:rsidRPr="000665B0">
        <w:t>new Crypto</w:t>
      </w:r>
      <w:r w:rsidRPr="000665B0">
        <w:t xml:space="preserve"> is TRANSEC, then a Geographic Area is required (as denoted by the * and/or yellow background) </w:t>
      </w:r>
      <w:r w:rsidR="00BC30AF" w:rsidRPr="000665B0">
        <w:t>and the user</w:t>
      </w:r>
      <w:r w:rsidRPr="000665B0">
        <w:t xml:space="preserve"> is unable to proceed without updating this field. For further information on mandatory fields see </w:t>
      </w:r>
      <w:hyperlink w:anchor="_5.2.7__Editing" w:history="1">
        <w:r w:rsidRPr="000665B0">
          <w:rPr>
            <w:rStyle w:val="Hyperlink"/>
          </w:rPr>
          <w:t>Section 5.2.8</w:t>
        </w:r>
      </w:hyperlink>
      <w:r w:rsidRPr="000665B0">
        <w:t xml:space="preserve">. Use the </w:t>
      </w:r>
      <w:r w:rsidRPr="000665B0">
        <w:sym w:font="Wingdings 3" w:char="F080"/>
      </w:r>
      <w:r w:rsidRPr="000665B0">
        <w:t xml:space="preserve"> button to select a Geographic Area. Available geographic areas are:</w:t>
      </w:r>
    </w:p>
    <w:p w14:paraId="7DE6F89D" w14:textId="77777777" w:rsidR="003B19EA" w:rsidRPr="000665B0" w:rsidRDefault="003B19EA" w:rsidP="006D5A65">
      <w:pPr>
        <w:pStyle w:val="Heading2"/>
      </w:pPr>
      <w:r w:rsidRPr="000665B0">
        <w:t>PAC (Pacific)</w:t>
      </w:r>
    </w:p>
    <w:p w14:paraId="20DCA921" w14:textId="77777777" w:rsidR="003B19EA" w:rsidRPr="000665B0" w:rsidRDefault="003B19EA" w:rsidP="006D5A65">
      <w:pPr>
        <w:pStyle w:val="Heading2"/>
      </w:pPr>
      <w:r w:rsidRPr="000665B0">
        <w:t>LANT (Atlantic)</w:t>
      </w:r>
    </w:p>
    <w:p w14:paraId="4C5127D6" w14:textId="77777777" w:rsidR="003B19EA" w:rsidRPr="000665B0" w:rsidRDefault="003B19EA" w:rsidP="006D5A65">
      <w:pPr>
        <w:pStyle w:val="Heading2"/>
      </w:pPr>
      <w:r w:rsidRPr="000665B0">
        <w:t>CONUS (Continental US)</w:t>
      </w:r>
    </w:p>
    <w:p w14:paraId="60721634" w14:textId="77777777" w:rsidR="003B19EA" w:rsidRPr="000665B0" w:rsidRDefault="003B19EA" w:rsidP="006D5A65">
      <w:pPr>
        <w:pStyle w:val="Heading2"/>
      </w:pPr>
      <w:r w:rsidRPr="000665B0">
        <w:t>IO (Indian Ocean)</w:t>
      </w:r>
    </w:p>
    <w:p w14:paraId="64DF3768" w14:textId="64C4F020" w:rsidR="003B19EA" w:rsidRPr="000665B0" w:rsidRDefault="00B053C4" w:rsidP="006D5A65">
      <w:pPr>
        <w:pStyle w:val="Heading1"/>
      </w:pPr>
      <w:r w:rsidRPr="000665B0">
        <w:t xml:space="preserve">Once </w:t>
      </w:r>
      <w:r w:rsidR="003B19EA" w:rsidRPr="000665B0">
        <w:t>a Geographic Area has been selected</w:t>
      </w:r>
      <w:r w:rsidRPr="000665B0">
        <w:t>, the lower Edition/Segment/KLAD pane is enabled</w:t>
      </w:r>
      <w:r w:rsidR="003B19EA" w:rsidRPr="000665B0">
        <w:t xml:space="preserve">. </w:t>
      </w:r>
      <w:r w:rsidR="007E601C" w:rsidRPr="000665B0">
        <w:t>Invoke the context menu (right</w:t>
      </w:r>
      <w:r w:rsidR="003F15E2" w:rsidRPr="000665B0">
        <w:t>-</w:t>
      </w:r>
      <w:r w:rsidR="007E601C" w:rsidRPr="000665B0">
        <w:t xml:space="preserve">click the mouse) in the blank area of the </w:t>
      </w:r>
      <w:r w:rsidR="007E601C" w:rsidRPr="000665B0">
        <w:lastRenderedPageBreak/>
        <w:t>Edition/Segment/KLAD pane</w:t>
      </w:r>
      <w:r w:rsidR="005311E3" w:rsidRPr="000665B0">
        <w:t xml:space="preserve"> and select Add </w:t>
      </w:r>
      <w:r w:rsidR="005311E3" w:rsidRPr="000665B0">
        <w:rPr>
          <w:rFonts w:ascii="Wingdings 3" w:hAnsi="Wingdings 3"/>
        </w:rPr>
        <w:t></w:t>
      </w:r>
      <w:r w:rsidR="005311E3" w:rsidRPr="000665B0">
        <w:t xml:space="preserve"> Edition</w:t>
      </w:r>
      <w:r w:rsidR="003B19EA" w:rsidRPr="000665B0">
        <w:t xml:space="preserve">. The </w:t>
      </w:r>
      <w:r w:rsidR="00EA695B" w:rsidRPr="000665B0">
        <w:rPr>
          <w:i/>
        </w:rPr>
        <w:t>Add Edition</w:t>
      </w:r>
      <w:r w:rsidR="003B19EA" w:rsidRPr="000665B0">
        <w:t xml:space="preserve"> window is displayed.</w:t>
      </w:r>
    </w:p>
    <w:p w14:paraId="625D837F" w14:textId="63805CDF" w:rsidR="003B19EA" w:rsidRPr="000665B0" w:rsidRDefault="00EA695B" w:rsidP="00446685">
      <w:pPr>
        <w:pStyle w:val="Number0205"/>
        <w:tabs>
          <w:tab w:val="left" w:pos="4770"/>
        </w:tabs>
        <w:ind w:left="0" w:firstLine="0"/>
        <w:jc w:val="center"/>
      </w:pPr>
      <w:r w:rsidRPr="000665B0">
        <w:rPr>
          <w:noProof/>
        </w:rPr>
        <w:drawing>
          <wp:inline distT="0" distB="0" distL="0" distR="0" wp14:anchorId="71A82D9B" wp14:editId="0765821E">
            <wp:extent cx="2612571" cy="2264228"/>
            <wp:effectExtent l="0" t="0" r="0"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625179" cy="2275155"/>
                    </a:xfrm>
                    <a:prstGeom prst="rect">
                      <a:avLst/>
                    </a:prstGeom>
                  </pic:spPr>
                </pic:pic>
              </a:graphicData>
            </a:graphic>
          </wp:inline>
        </w:drawing>
      </w:r>
    </w:p>
    <w:p w14:paraId="6F34B03A" w14:textId="316A40B9" w:rsidR="00B053C4" w:rsidRPr="000665B0" w:rsidRDefault="00267EA0" w:rsidP="006D5A65">
      <w:pPr>
        <w:pStyle w:val="Heading1"/>
      </w:pPr>
      <w:r w:rsidRPr="000665B0">
        <w:t>T</w:t>
      </w:r>
      <w:r w:rsidR="003B19EA" w:rsidRPr="000665B0">
        <w:t xml:space="preserve">he starting edition, starting segment, </w:t>
      </w:r>
      <w:r w:rsidR="00B053C4" w:rsidRPr="000665B0">
        <w:t xml:space="preserve">starting KLAD, </w:t>
      </w:r>
      <w:r w:rsidR="003B19EA" w:rsidRPr="000665B0">
        <w:t>number of segments per edition, a starting date, and the time span of each segment can be selected</w:t>
      </w:r>
      <w:r w:rsidRPr="000665B0">
        <w:t>/entered</w:t>
      </w:r>
      <w:r w:rsidR="003B19EA" w:rsidRPr="000665B0">
        <w:t xml:space="preserve">. </w:t>
      </w:r>
      <w:r w:rsidR="00B053C4" w:rsidRPr="000665B0">
        <w:t>T</w:t>
      </w:r>
      <w:r w:rsidR="003B19EA" w:rsidRPr="000665B0">
        <w:t xml:space="preserve">he starting KLAD choices are based on the geographic area. Each segment’s KLAD values will alternate based on the starting KLAD value selected. </w:t>
      </w:r>
    </w:p>
    <w:p w14:paraId="2F05DDC4" w14:textId="5441C5DC" w:rsidR="00B053C4" w:rsidRPr="000665B0" w:rsidRDefault="003B19EA" w:rsidP="006D5A65">
      <w:pPr>
        <w:pStyle w:val="Heading2"/>
      </w:pPr>
      <w:r w:rsidRPr="000665B0">
        <w:t>CONUS and IO geographic areas have KLAD values of either 0 or 1.</w:t>
      </w:r>
    </w:p>
    <w:p w14:paraId="59518C06" w14:textId="53599715" w:rsidR="003B19EA" w:rsidRPr="000665B0" w:rsidRDefault="003B19EA" w:rsidP="006D5A65">
      <w:pPr>
        <w:pStyle w:val="Heading2"/>
      </w:pPr>
      <w:r w:rsidRPr="000665B0">
        <w:t>LANT and PAC geographic areas have KLAD values of either 2 or 3.</w:t>
      </w:r>
    </w:p>
    <w:p w14:paraId="40BC7264" w14:textId="77DE5089" w:rsidR="00B053C4" w:rsidRPr="000665B0" w:rsidRDefault="00B053C4" w:rsidP="006D5A65">
      <w:pPr>
        <w:pStyle w:val="Heading1"/>
      </w:pPr>
      <w:r w:rsidRPr="000665B0">
        <w:t>Click OK.</w:t>
      </w:r>
    </w:p>
    <w:p w14:paraId="54ACB0C6" w14:textId="1872539A" w:rsidR="006D0A8B" w:rsidRPr="000665B0" w:rsidRDefault="006D0A8B" w:rsidP="006D5A65">
      <w:pPr>
        <w:pStyle w:val="Heading1"/>
      </w:pPr>
      <w:r w:rsidRPr="000665B0">
        <w:t xml:space="preserve">Click the Save icon on the </w:t>
      </w:r>
      <w:r w:rsidR="00544BD6" w:rsidRPr="000665B0">
        <w:t>toolbar or</w:t>
      </w:r>
      <w:r w:rsidRPr="000665B0">
        <w:t xml:space="preserve"> select File </w:t>
      </w:r>
      <w:r w:rsidRPr="000665B0">
        <w:sym w:font="Wingdings" w:char="F0E0"/>
      </w:r>
      <w:r w:rsidRPr="000665B0">
        <w:t xml:space="preserve"> Save from the menu.</w:t>
      </w:r>
      <w:r w:rsidRPr="000665B0" w:rsidDel="00330965">
        <w:rPr>
          <w:noProof/>
        </w:rPr>
        <w:t xml:space="preserve"> </w:t>
      </w:r>
    </w:p>
    <w:p w14:paraId="67163E7E" w14:textId="7AFF0F75" w:rsidR="00236228" w:rsidRPr="000665B0" w:rsidRDefault="003B19EA" w:rsidP="006D5A65">
      <w:pPr>
        <w:pStyle w:val="Heading2"/>
      </w:pPr>
      <w:r w:rsidRPr="000665B0">
        <w:t>To add an edition to a</w:t>
      </w:r>
      <w:r w:rsidR="00D9704E" w:rsidRPr="000665B0">
        <w:t>ny</w:t>
      </w:r>
      <w:r w:rsidRPr="000665B0">
        <w:t xml:space="preserve"> </w:t>
      </w:r>
      <w:r w:rsidR="00EA695B" w:rsidRPr="000665B0">
        <w:t xml:space="preserve">existing </w:t>
      </w:r>
      <w:r w:rsidRPr="000665B0">
        <w:t xml:space="preserve">Crypto Key, </w:t>
      </w:r>
      <w:r w:rsidR="006D0A8B" w:rsidRPr="000665B0">
        <w:t>display the Crypto key textually from the list view. I</w:t>
      </w:r>
      <w:r w:rsidRPr="000665B0">
        <w:t>nvoke the context menu (</w:t>
      </w:r>
      <w:r w:rsidR="00FA44BC" w:rsidRPr="000665B0">
        <w:t>right</w:t>
      </w:r>
      <w:r w:rsidR="003F15E2" w:rsidRPr="000665B0">
        <w:t>-</w:t>
      </w:r>
      <w:r w:rsidR="00FA44BC" w:rsidRPr="000665B0">
        <w:t>click</w:t>
      </w:r>
      <w:r w:rsidRPr="000665B0">
        <w:t xml:space="preserve"> the mouse</w:t>
      </w:r>
      <w:r w:rsidR="00330965" w:rsidRPr="000665B0">
        <w:t>)</w:t>
      </w:r>
      <w:r w:rsidRPr="000665B0">
        <w:t xml:space="preserve"> in</w:t>
      </w:r>
      <w:r w:rsidR="007E601C" w:rsidRPr="000665B0">
        <w:t xml:space="preserve"> the blank area of</w:t>
      </w:r>
      <w:r w:rsidRPr="000665B0">
        <w:t xml:space="preserve"> the Edition/Segment</w:t>
      </w:r>
      <w:r w:rsidR="00330965" w:rsidRPr="000665B0">
        <w:t>/</w:t>
      </w:r>
      <w:r w:rsidR="006D0A8B" w:rsidRPr="000665B0">
        <w:t>[</w:t>
      </w:r>
      <w:r w:rsidR="00330965" w:rsidRPr="000665B0">
        <w:t>KLAD</w:t>
      </w:r>
      <w:r w:rsidR="006D0A8B" w:rsidRPr="000665B0">
        <w:t>]</w:t>
      </w:r>
      <w:r w:rsidRPr="000665B0">
        <w:t xml:space="preserve"> </w:t>
      </w:r>
      <w:r w:rsidR="00544BD6" w:rsidRPr="000665B0">
        <w:t>pane and</w:t>
      </w:r>
      <w:r w:rsidRPr="000665B0">
        <w:t xml:space="preserve"> select Add </w:t>
      </w:r>
      <w:r w:rsidRPr="000665B0">
        <w:rPr>
          <w:rFonts w:ascii="Wingdings 3" w:hAnsi="Wingdings 3"/>
        </w:rPr>
        <w:t></w:t>
      </w:r>
      <w:r w:rsidRPr="000665B0">
        <w:t xml:space="preserve"> Edition. The </w:t>
      </w:r>
      <w:r w:rsidRPr="000665B0">
        <w:rPr>
          <w:i/>
        </w:rPr>
        <w:t>Add Edition</w:t>
      </w:r>
      <w:r w:rsidRPr="000665B0">
        <w:t xml:space="preserve"> window is displayed. </w:t>
      </w:r>
      <w:r w:rsidR="007E601C" w:rsidRPr="000665B0">
        <w:t>T</w:t>
      </w:r>
      <w:r w:rsidRPr="000665B0">
        <w:t xml:space="preserve">he </w:t>
      </w:r>
      <w:r w:rsidR="007E601C" w:rsidRPr="000665B0">
        <w:t xml:space="preserve">starting edition, </w:t>
      </w:r>
      <w:r w:rsidRPr="000665B0">
        <w:t>starting segment, number of segments per edition, starting KLAD (if TRANSEC), a starting date, and the time span of each segment can be selected</w:t>
      </w:r>
      <w:r w:rsidR="006D0A8B" w:rsidRPr="000665B0">
        <w:t>/entered</w:t>
      </w:r>
      <w:r w:rsidRPr="000665B0">
        <w:t xml:space="preserve">. </w:t>
      </w:r>
    </w:p>
    <w:p w14:paraId="2D8E72EE" w14:textId="750B6017" w:rsidR="00A70671" w:rsidRPr="000665B0" w:rsidRDefault="00434201" w:rsidP="00434201">
      <w:pPr>
        <w:pStyle w:val="Number0205"/>
        <w:keepNext/>
        <w:tabs>
          <w:tab w:val="left" w:pos="450"/>
          <w:tab w:val="left" w:pos="5400"/>
        </w:tabs>
        <w:spacing w:after="60"/>
        <w:ind w:left="180" w:firstLine="0"/>
        <w:rPr>
          <w:b/>
        </w:rPr>
      </w:pPr>
      <w:r>
        <w:rPr>
          <w:b/>
        </w:rPr>
        <w:lastRenderedPageBreak/>
        <w:tab/>
      </w:r>
      <w:r w:rsidR="00330965" w:rsidRPr="000665B0">
        <w:rPr>
          <w:b/>
        </w:rPr>
        <w:t xml:space="preserve">ACA or </w:t>
      </w:r>
      <w:r w:rsidR="003F385D" w:rsidRPr="000665B0">
        <w:rPr>
          <w:b/>
        </w:rPr>
        <w:t xml:space="preserve">DAMA </w:t>
      </w:r>
      <w:r w:rsidR="00330965" w:rsidRPr="000665B0">
        <w:rPr>
          <w:b/>
        </w:rPr>
        <w:t xml:space="preserve">COMSEC </w:t>
      </w:r>
      <w:r w:rsidR="00A70671" w:rsidRPr="000665B0">
        <w:rPr>
          <w:b/>
        </w:rPr>
        <w:t>Add Edition</w:t>
      </w:r>
      <w:r w:rsidR="003F385D" w:rsidRPr="000665B0">
        <w:rPr>
          <w:b/>
        </w:rPr>
        <w:t xml:space="preserve"> </w:t>
      </w:r>
      <w:r w:rsidR="003F385D" w:rsidRPr="000665B0">
        <w:rPr>
          <w:b/>
        </w:rPr>
        <w:tab/>
      </w:r>
      <w:r w:rsidR="00330965" w:rsidRPr="000665B0">
        <w:rPr>
          <w:b/>
        </w:rPr>
        <w:t xml:space="preserve"> </w:t>
      </w:r>
      <w:r w:rsidR="003F385D" w:rsidRPr="000665B0">
        <w:rPr>
          <w:b/>
        </w:rPr>
        <w:t xml:space="preserve">TRANSEC </w:t>
      </w:r>
      <w:r w:rsidR="00A70671" w:rsidRPr="000665B0">
        <w:rPr>
          <w:b/>
        </w:rPr>
        <w:t>Add Edition</w:t>
      </w:r>
    </w:p>
    <w:p w14:paraId="75664CD5" w14:textId="5D4224BE" w:rsidR="006D0A8B" w:rsidRPr="000665B0" w:rsidRDefault="00330965" w:rsidP="00F26AD4">
      <w:pPr>
        <w:pStyle w:val="Number0205"/>
        <w:ind w:left="0" w:firstLine="0"/>
        <w:jc w:val="center"/>
        <w:rPr>
          <w:noProof/>
        </w:rPr>
      </w:pPr>
      <w:r w:rsidRPr="000665B0">
        <w:rPr>
          <w:noProof/>
        </w:rPr>
        <w:drawing>
          <wp:inline distT="0" distB="0" distL="0" distR="0" wp14:anchorId="0BF305E5" wp14:editId="0EA990CF">
            <wp:extent cx="2286000" cy="1984248"/>
            <wp:effectExtent l="0" t="0" r="0" b="0"/>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984248"/>
                    </a:xfrm>
                    <a:prstGeom prst="rect">
                      <a:avLst/>
                    </a:prstGeom>
                  </pic:spPr>
                </pic:pic>
              </a:graphicData>
            </a:graphic>
          </wp:inline>
        </w:drawing>
      </w:r>
      <w:r w:rsidR="00434201">
        <w:rPr>
          <w:noProof/>
        </w:rPr>
        <w:tab/>
      </w:r>
      <w:r w:rsidR="00574768">
        <w:rPr>
          <w:noProof/>
        </w:rPr>
        <w:t xml:space="preserve"> </w:t>
      </w:r>
      <w:r w:rsidRPr="000665B0">
        <w:rPr>
          <w:noProof/>
        </w:rPr>
        <w:drawing>
          <wp:inline distT="0" distB="0" distL="0" distR="0" wp14:anchorId="0DDEFF52" wp14:editId="72757A69">
            <wp:extent cx="2286000" cy="1984248"/>
            <wp:effectExtent l="0" t="0" r="0" b="0"/>
            <wp:docPr id="2120" name="Pictur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1984248"/>
                    </a:xfrm>
                    <a:prstGeom prst="rect">
                      <a:avLst/>
                    </a:prstGeom>
                  </pic:spPr>
                </pic:pic>
              </a:graphicData>
            </a:graphic>
          </wp:inline>
        </w:drawing>
      </w:r>
    </w:p>
    <w:p w14:paraId="4CC4626A" w14:textId="77777777" w:rsidR="006D0A8B" w:rsidRPr="000665B0" w:rsidRDefault="006D0A8B" w:rsidP="006D5A65">
      <w:pPr>
        <w:pStyle w:val="Heading1"/>
      </w:pPr>
      <w:r w:rsidRPr="000665B0">
        <w:t xml:space="preserve">Click OK. </w:t>
      </w:r>
    </w:p>
    <w:p w14:paraId="43D53324" w14:textId="0C60DC20" w:rsidR="003B19EA" w:rsidRPr="000665B0" w:rsidRDefault="006D0A8B" w:rsidP="006D5A65">
      <w:pPr>
        <w:pStyle w:val="Heading1"/>
      </w:pPr>
      <w:r w:rsidRPr="000665B0">
        <w:t xml:space="preserve">Click the Save icon on the </w:t>
      </w:r>
      <w:r w:rsidR="00574768" w:rsidRPr="000665B0">
        <w:t>toolbar or</w:t>
      </w:r>
      <w:r w:rsidRPr="000665B0">
        <w:t xml:space="preserve"> select File </w:t>
      </w:r>
      <w:r w:rsidRPr="000665B0">
        <w:sym w:font="Wingdings" w:char="F0E0"/>
      </w:r>
      <w:r w:rsidRPr="000665B0">
        <w:t xml:space="preserve"> Save from the menu.</w:t>
      </w:r>
      <w:r w:rsidRPr="000665B0" w:rsidDel="00330965">
        <w:rPr>
          <w:noProof/>
        </w:rPr>
        <w:t xml:space="preserve"> </w:t>
      </w:r>
    </w:p>
    <w:p w14:paraId="6517D50D" w14:textId="3C6EFC05" w:rsidR="003B19EA" w:rsidRPr="000665B0" w:rsidRDefault="003B19EA" w:rsidP="006D5A65">
      <w:pPr>
        <w:pStyle w:val="Heading2"/>
      </w:pPr>
      <w:r w:rsidRPr="000665B0">
        <w:t>To add a segment to an edition, select an existing edition in the Edition/Segment</w:t>
      </w:r>
      <w:r w:rsidR="006A44F2" w:rsidRPr="000665B0">
        <w:t>/</w:t>
      </w:r>
      <w:r w:rsidR="0002717C" w:rsidRPr="000665B0">
        <w:t>[</w:t>
      </w:r>
      <w:r w:rsidR="006A44F2" w:rsidRPr="000665B0">
        <w:t>KLAD</w:t>
      </w:r>
      <w:r w:rsidR="0002717C" w:rsidRPr="000665B0">
        <w:t>]</w:t>
      </w:r>
      <w:r w:rsidRPr="000665B0">
        <w:t xml:space="preserve"> </w:t>
      </w:r>
      <w:r w:rsidR="006A44F2" w:rsidRPr="000665B0">
        <w:t>pane</w:t>
      </w:r>
      <w:r w:rsidRPr="000665B0">
        <w:t xml:space="preserve">, invoke the context menu and select Add </w:t>
      </w:r>
      <w:r w:rsidRPr="000665B0">
        <w:rPr>
          <w:rFonts w:ascii="Wingdings 3" w:hAnsi="Wingdings 3"/>
        </w:rPr>
        <w:t></w:t>
      </w:r>
      <w:r w:rsidRPr="000665B0">
        <w:t xml:space="preserve"> Segment…. The </w:t>
      </w:r>
      <w:r w:rsidRPr="000665B0">
        <w:rPr>
          <w:i/>
        </w:rPr>
        <w:t xml:space="preserve">Add Segment </w:t>
      </w:r>
      <w:r w:rsidRPr="000665B0">
        <w:t>window is displayed. The edition and starting DTG is already populated. Enter a segment number and an ending DTG</w:t>
      </w:r>
      <w:r w:rsidR="00A10FC0" w:rsidRPr="000665B0">
        <w:t>, then c</w:t>
      </w:r>
      <w:r w:rsidRPr="000665B0">
        <w:t>lick OK. Expand/contract each edition to show/hide its segments by clicking the + or – symbol to the left of each edition</w:t>
      </w:r>
      <w:r w:rsidR="006A44F2" w:rsidRPr="000665B0">
        <w:t xml:space="preserve"> in the </w:t>
      </w:r>
      <w:r w:rsidR="006A44F2" w:rsidRPr="000665B0">
        <w:rPr>
          <w:i/>
        </w:rPr>
        <w:t>Crypto</w:t>
      </w:r>
      <w:r w:rsidR="006A44F2" w:rsidRPr="000665B0">
        <w:t xml:space="preserve"> window</w:t>
      </w:r>
      <w:r w:rsidRPr="000665B0">
        <w:t>.</w:t>
      </w:r>
    </w:p>
    <w:p w14:paraId="5E553FEB" w14:textId="1B633F61" w:rsidR="003B19EA" w:rsidRPr="000665B0" w:rsidRDefault="006A44F2" w:rsidP="00C63237">
      <w:pPr>
        <w:pStyle w:val="Number0205"/>
        <w:ind w:left="0" w:firstLine="0"/>
        <w:jc w:val="center"/>
      </w:pPr>
      <w:r w:rsidRPr="000665B0">
        <w:rPr>
          <w:noProof/>
        </w:rPr>
        <w:drawing>
          <wp:inline distT="0" distB="0" distL="0" distR="0" wp14:anchorId="36D6D1CD" wp14:editId="7DA4F7B7">
            <wp:extent cx="1828800" cy="1554480"/>
            <wp:effectExtent l="0" t="0" r="0" b="0"/>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554480"/>
                    </a:xfrm>
                    <a:prstGeom prst="rect">
                      <a:avLst/>
                    </a:prstGeom>
                  </pic:spPr>
                </pic:pic>
              </a:graphicData>
            </a:graphic>
          </wp:inline>
        </w:drawing>
      </w:r>
    </w:p>
    <w:p w14:paraId="0781FF4E" w14:textId="5B571A0A" w:rsidR="003B19EA" w:rsidRPr="000665B0" w:rsidRDefault="003B19EA" w:rsidP="006E1D1B">
      <w:pPr>
        <w:pBdr>
          <w:top w:val="single" w:sz="12" w:space="1" w:color="auto"/>
          <w:left w:val="single" w:sz="12" w:space="4" w:color="auto"/>
          <w:bottom w:val="single" w:sz="12" w:space="1" w:color="auto"/>
          <w:right w:val="single" w:sz="12" w:space="4" w:color="auto"/>
        </w:pBdr>
        <w:shd w:val="clear" w:color="auto" w:fill="D9D9D9"/>
        <w:ind w:left="90" w:right="90"/>
        <w:jc w:val="center"/>
        <w:rPr>
          <w:b/>
        </w:rPr>
      </w:pPr>
      <w:r w:rsidRPr="000665B0">
        <w:rPr>
          <w:b/>
        </w:rPr>
        <w:t>Note:</w:t>
      </w:r>
      <w:r w:rsidRPr="000665B0">
        <w:rPr>
          <w:b/>
        </w:rPr>
        <w:br/>
        <w:t xml:space="preserve">Segments are added to the end of an edition. If there are no time slots available (i.e., another edition immediately follows the current edition), then the Add Segment menu </w:t>
      </w:r>
      <w:r w:rsidR="00A10FC0" w:rsidRPr="000665B0">
        <w:rPr>
          <w:b/>
        </w:rPr>
        <w:t>is</w:t>
      </w:r>
      <w:r w:rsidRPr="000665B0">
        <w:rPr>
          <w:b/>
        </w:rPr>
        <w:t xml:space="preserve"> not available.</w:t>
      </w:r>
    </w:p>
    <w:p w14:paraId="212BFA27" w14:textId="7AE97404" w:rsidR="003B19EA" w:rsidRPr="000665B0" w:rsidRDefault="00A10FC0" w:rsidP="006D5A65">
      <w:pPr>
        <w:pStyle w:val="Heading2"/>
      </w:pPr>
      <w:r w:rsidRPr="000665B0">
        <w:t xml:space="preserve">Click the Save </w:t>
      </w:r>
      <w:r w:rsidR="006A44F2" w:rsidRPr="000665B0">
        <w:t xml:space="preserve">icon </w:t>
      </w:r>
      <w:r w:rsidRPr="000665B0">
        <w:t xml:space="preserve">on the </w:t>
      </w:r>
      <w:r w:rsidR="00544BD6" w:rsidRPr="000665B0">
        <w:t>toolbar or</w:t>
      </w:r>
      <w:r w:rsidRPr="000665B0">
        <w:t xml:space="preserve"> select File </w:t>
      </w:r>
      <w:r w:rsidRPr="000665B0">
        <w:sym w:font="Wingdings" w:char="F0E0"/>
      </w:r>
      <w:r w:rsidRPr="000665B0">
        <w:t xml:space="preserve"> Save from the menu</w:t>
      </w:r>
      <w:r w:rsidR="003B19EA" w:rsidRPr="000665B0">
        <w:t>.</w:t>
      </w:r>
    </w:p>
    <w:p w14:paraId="2F286117" w14:textId="77777777" w:rsidR="003B19EA" w:rsidRPr="000665B0" w:rsidRDefault="003B19EA" w:rsidP="003B19EA">
      <w:pPr>
        <w:rPr>
          <w:b/>
        </w:rPr>
      </w:pPr>
      <w:r w:rsidRPr="000665B0">
        <w:rPr>
          <w:b/>
        </w:rPr>
        <w:t>View Time Gaps</w:t>
      </w:r>
    </w:p>
    <w:p w14:paraId="3B218EAA" w14:textId="45E326F9" w:rsidR="003B19EA" w:rsidRPr="000665B0" w:rsidRDefault="003B19EA" w:rsidP="003B19EA">
      <w:r w:rsidRPr="000665B0">
        <w:t>To view gaps in the times</w:t>
      </w:r>
      <w:r w:rsidR="00AA08CF" w:rsidRPr="000665B0">
        <w:t>, display the Crypto textually and</w:t>
      </w:r>
      <w:r w:rsidRPr="000665B0">
        <w:t xml:space="preserve"> from the </w:t>
      </w:r>
      <w:r w:rsidRPr="000665B0">
        <w:rPr>
          <w:b/>
        </w:rPr>
        <w:t>View</w:t>
      </w:r>
      <w:r w:rsidRPr="000665B0">
        <w:t xml:space="preserve"> menu, select </w:t>
      </w:r>
      <w:r w:rsidRPr="000665B0">
        <w:rPr>
          <w:b/>
        </w:rPr>
        <w:t>Show Time Gaps</w:t>
      </w:r>
      <w:r w:rsidRPr="000665B0">
        <w:t xml:space="preserve">. </w:t>
      </w:r>
      <w:r w:rsidR="00AA08CF" w:rsidRPr="000665B0">
        <w:t>(</w:t>
      </w:r>
      <w:r w:rsidR="00AA08CF" w:rsidRPr="000665B0">
        <w:rPr>
          <w:b/>
        </w:rPr>
        <w:t>Show Time Gaps</w:t>
      </w:r>
      <w:r w:rsidR="00AA08CF" w:rsidRPr="000665B0">
        <w:t xml:space="preserve"> </w:t>
      </w:r>
      <w:r w:rsidR="005261D5" w:rsidRPr="000665B0">
        <w:t>is a toggle</w:t>
      </w:r>
      <w:r w:rsidR="00AA08CF" w:rsidRPr="000665B0">
        <w:t xml:space="preserve"> off/on</w:t>
      </w:r>
      <w:r w:rsidR="005261D5" w:rsidRPr="000665B0">
        <w:t xml:space="preserve"> menu item</w:t>
      </w:r>
      <w:r w:rsidR="00AA08CF" w:rsidRPr="000665B0">
        <w:t xml:space="preserve">.) </w:t>
      </w:r>
      <w:r w:rsidRPr="000665B0">
        <w:t xml:space="preserve">The time gaps are shown at the </w:t>
      </w:r>
      <w:r w:rsidRPr="000665B0">
        <w:lastRenderedPageBreak/>
        <w:t>bottom of the list view. These are gaps in time that have not been assigned a segment/edition. Gaps are usually created when a segment or edition is deleted.</w:t>
      </w:r>
    </w:p>
    <w:p w14:paraId="26CFD80B" w14:textId="514B5A05" w:rsidR="00434201" w:rsidRPr="00BE255F" w:rsidRDefault="00AA08CF" w:rsidP="00BE255F">
      <w:pPr>
        <w:spacing w:before="120"/>
        <w:jc w:val="center"/>
      </w:pPr>
      <w:r w:rsidRPr="000665B0">
        <w:rPr>
          <w:noProof/>
        </w:rPr>
        <w:drawing>
          <wp:inline distT="0" distB="0" distL="0" distR="0" wp14:anchorId="1593305B" wp14:editId="0185D16D">
            <wp:extent cx="3657600" cy="2578608"/>
            <wp:effectExtent l="0" t="0" r="0" b="0"/>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657600" cy="2578608"/>
                    </a:xfrm>
                    <a:prstGeom prst="rect">
                      <a:avLst/>
                    </a:prstGeom>
                  </pic:spPr>
                </pic:pic>
              </a:graphicData>
            </a:graphic>
          </wp:inline>
        </w:drawing>
      </w:r>
    </w:p>
    <w:p w14:paraId="4DD56126" w14:textId="34EA97D7" w:rsidR="003B19EA" w:rsidRPr="000665B0" w:rsidRDefault="003B19EA" w:rsidP="00A0163E">
      <w:pPr>
        <w:rPr>
          <w:b/>
        </w:rPr>
      </w:pPr>
      <w:r w:rsidRPr="000665B0">
        <w:rPr>
          <w:b/>
        </w:rPr>
        <w:t>Modify a Crypto Key</w:t>
      </w:r>
    </w:p>
    <w:p w14:paraId="0DFCD862" w14:textId="25A5E98A" w:rsidR="003B19EA" w:rsidRPr="000665B0" w:rsidRDefault="003B19EA" w:rsidP="006D5A65">
      <w:pPr>
        <w:pStyle w:val="Heading1"/>
      </w:pPr>
      <w:r w:rsidRPr="000665B0">
        <w:t>To copy an edition, click on the edition to copy and select Copy from the context menu (</w:t>
      </w:r>
      <w:r w:rsidR="00FA44BC" w:rsidRPr="000665B0">
        <w:t>right</w:t>
      </w:r>
      <w:r w:rsidR="003F15E2" w:rsidRPr="000665B0">
        <w:t>-</w:t>
      </w:r>
      <w:r w:rsidR="00FA44BC" w:rsidRPr="000665B0">
        <w:t>click</w:t>
      </w:r>
      <w:r w:rsidRPr="000665B0">
        <w:t xml:space="preserve"> the mouse). The next alphabetically available edition </w:t>
      </w:r>
      <w:r w:rsidR="005261D5" w:rsidRPr="000665B0">
        <w:t>is</w:t>
      </w:r>
      <w:r w:rsidRPr="000665B0">
        <w:t xml:space="preserve"> added to the end of the list. This new edition will have the same number of segments and the same time frame as the edition that it copied from. The start time for this edition will be the next available time. </w:t>
      </w:r>
    </w:p>
    <w:p w14:paraId="3805D875" w14:textId="77777777" w:rsidR="003B19EA" w:rsidRPr="000665B0" w:rsidRDefault="003B19EA" w:rsidP="006D5A65">
      <w:pPr>
        <w:pStyle w:val="Heading1"/>
      </w:pPr>
      <w:r w:rsidRPr="000665B0">
        <w:t>To delete an edition, click on the edition and select Delete from the context menu. Deleting an edition will leave a time gap in the Crypto Key.</w:t>
      </w:r>
    </w:p>
    <w:p w14:paraId="534DC477" w14:textId="45F127F3" w:rsidR="003B19EA" w:rsidRPr="000665B0" w:rsidRDefault="003B19EA" w:rsidP="006D5A65">
      <w:pPr>
        <w:pStyle w:val="Heading1"/>
      </w:pPr>
      <w:r w:rsidRPr="000665B0">
        <w:t>To delete a segment, click on the segment and select Delete from the context menu. Deleting a segment will leave a time gap in the Crypto Key.</w:t>
      </w:r>
      <w:r w:rsidR="009651B0">
        <w:t xml:space="preserve"> </w:t>
      </w:r>
    </w:p>
    <w:p w14:paraId="6976D967" w14:textId="77777777" w:rsidR="003B19EA" w:rsidRPr="000665B0" w:rsidRDefault="003B19EA" w:rsidP="006E1D1B">
      <w:pPr>
        <w:pBdr>
          <w:top w:val="single" w:sz="12" w:space="1" w:color="auto"/>
          <w:left w:val="single" w:sz="12" w:space="4" w:color="auto"/>
          <w:bottom w:val="single" w:sz="12" w:space="1" w:color="auto"/>
          <w:right w:val="single" w:sz="12" w:space="4" w:color="auto"/>
        </w:pBdr>
        <w:shd w:val="clear" w:color="auto" w:fill="D9D9D9"/>
        <w:ind w:left="90" w:right="90"/>
        <w:jc w:val="center"/>
        <w:rPr>
          <w:b/>
        </w:rPr>
      </w:pPr>
      <w:r w:rsidRPr="000665B0">
        <w:rPr>
          <w:b/>
        </w:rPr>
        <w:t>Note:</w:t>
      </w:r>
      <w:r w:rsidRPr="000665B0">
        <w:rPr>
          <w:b/>
        </w:rPr>
        <w:br/>
        <w:t>Only the last segment of an edition can be deleted.</w:t>
      </w:r>
    </w:p>
    <w:p w14:paraId="0F7F2BE6" w14:textId="573F9500" w:rsidR="003B19EA" w:rsidRPr="000665B0" w:rsidRDefault="003B19EA" w:rsidP="006D5A65">
      <w:pPr>
        <w:pStyle w:val="Heading1"/>
      </w:pPr>
      <w:r w:rsidRPr="000665B0">
        <w:t xml:space="preserve">To edit a segment, </w:t>
      </w:r>
      <w:r w:rsidR="004F4A9E" w:rsidRPr="000665B0">
        <w:t xml:space="preserve">select </w:t>
      </w:r>
      <w:r w:rsidRPr="000665B0">
        <w:t>the segment</w:t>
      </w:r>
      <w:r w:rsidR="004F4A9E" w:rsidRPr="000665B0">
        <w:t>, invoke the context menu</w:t>
      </w:r>
      <w:r w:rsidRPr="000665B0">
        <w:t xml:space="preserve"> and select Edit</w:t>
      </w:r>
      <w:r w:rsidR="004F4A9E" w:rsidRPr="000665B0">
        <w:t xml:space="preserve">. </w:t>
      </w:r>
      <w:r w:rsidRPr="000665B0">
        <w:t xml:space="preserve">The </w:t>
      </w:r>
      <w:r w:rsidRPr="000665B0">
        <w:rPr>
          <w:i/>
        </w:rPr>
        <w:t xml:space="preserve">Edit a Segment </w:t>
      </w:r>
      <w:r w:rsidRPr="000665B0">
        <w:t>window is displayed</w:t>
      </w:r>
      <w:r w:rsidR="0000297E" w:rsidRPr="000665B0">
        <w:t>, which</w:t>
      </w:r>
      <w:r w:rsidRPr="000665B0">
        <w:t xml:space="preserve"> is similar to the </w:t>
      </w:r>
      <w:r w:rsidRPr="000665B0">
        <w:rPr>
          <w:i/>
        </w:rPr>
        <w:t>Add Segment</w:t>
      </w:r>
      <w:r w:rsidRPr="000665B0">
        <w:t xml:space="preserve"> window. Make the changes and click OK.</w:t>
      </w:r>
    </w:p>
    <w:p w14:paraId="1CC3C41D" w14:textId="12035A8E" w:rsidR="003B19EA" w:rsidRPr="000665B0" w:rsidRDefault="003B19EA" w:rsidP="006E1D1B">
      <w:pPr>
        <w:pBdr>
          <w:top w:val="single" w:sz="12" w:space="1" w:color="auto"/>
          <w:left w:val="single" w:sz="12" w:space="4" w:color="auto"/>
          <w:bottom w:val="single" w:sz="12" w:space="1" w:color="auto"/>
          <w:right w:val="single" w:sz="12" w:space="4" w:color="auto"/>
        </w:pBdr>
        <w:shd w:val="clear" w:color="auto" w:fill="D9D9D9"/>
        <w:ind w:left="90" w:right="90"/>
        <w:jc w:val="center"/>
        <w:rPr>
          <w:b/>
        </w:rPr>
      </w:pPr>
      <w:r w:rsidRPr="000665B0">
        <w:rPr>
          <w:b/>
        </w:rPr>
        <w:t>Note:</w:t>
      </w:r>
      <w:r w:rsidRPr="000665B0">
        <w:rPr>
          <w:b/>
        </w:rPr>
        <w:br/>
        <w:t>Only a segment with available time slots after it can be edited. For example, the last segment of the last edition; or the segment before a time gap.</w:t>
      </w:r>
    </w:p>
    <w:p w14:paraId="1D4750CC" w14:textId="0272F2A3" w:rsidR="003B19EA" w:rsidRPr="000665B0" w:rsidRDefault="003B19EA" w:rsidP="006D5A65">
      <w:pPr>
        <w:pStyle w:val="Heading1"/>
      </w:pPr>
      <w:r w:rsidRPr="000665B0">
        <w:lastRenderedPageBreak/>
        <w:t xml:space="preserve">To toggle a </w:t>
      </w:r>
      <w:r w:rsidR="004F4A9E" w:rsidRPr="000665B0">
        <w:t xml:space="preserve">TRANSEC </w:t>
      </w:r>
      <w:r w:rsidRPr="000665B0">
        <w:t>segment’s KLAD value, click on the segment and select Toggle KLAD from the context menu. The KLAD value change</w:t>
      </w:r>
      <w:r w:rsidR="005261D5" w:rsidRPr="000665B0">
        <w:t>s</w:t>
      </w:r>
      <w:r w:rsidRPr="000665B0">
        <w:t xml:space="preserve"> to the next value in the binary rotation.</w:t>
      </w:r>
    </w:p>
    <w:p w14:paraId="53F367CB" w14:textId="5139DAE1" w:rsidR="003B19EA" w:rsidRPr="000665B0" w:rsidRDefault="003B19EA" w:rsidP="006D5A65">
      <w:pPr>
        <w:pStyle w:val="Heading1"/>
      </w:pPr>
      <w:r w:rsidRPr="000665B0">
        <w:t xml:space="preserve">To re-sequence a </w:t>
      </w:r>
      <w:r w:rsidR="004F4A9E" w:rsidRPr="000665B0">
        <w:t xml:space="preserve">TRANSEC </w:t>
      </w:r>
      <w:r w:rsidRPr="000665B0">
        <w:t xml:space="preserve">segment’s KLAD value, click on the segment and select Re-sequence KLAD from the context menu. The KLAD values for the selected item and all subsequent items in the list </w:t>
      </w:r>
      <w:r w:rsidR="005261D5" w:rsidRPr="000665B0">
        <w:t>are</w:t>
      </w:r>
      <w:r w:rsidRPr="000665B0">
        <w:t xml:space="preserve"> updated with alternating values of the binary rotation. The updated values are sorted by time.</w:t>
      </w:r>
    </w:p>
    <w:p w14:paraId="3BE1ADBD" w14:textId="77777777" w:rsidR="003B19EA" w:rsidRPr="000665B0" w:rsidRDefault="003B19EA" w:rsidP="003B19EA">
      <w:pPr>
        <w:rPr>
          <w:b/>
        </w:rPr>
      </w:pPr>
      <w:r w:rsidRPr="000665B0">
        <w:rPr>
          <w:b/>
        </w:rPr>
        <w:t>Compromised Edition/Segment</w:t>
      </w:r>
    </w:p>
    <w:p w14:paraId="5BD30114" w14:textId="6914A6BA" w:rsidR="003B19EA" w:rsidRPr="000665B0" w:rsidRDefault="003B19EA" w:rsidP="003B19EA">
      <w:r w:rsidRPr="000665B0">
        <w:t xml:space="preserve">The Communications Officer onboard will determine if the Crypto key has been compromised. To set an edition or segment as compromised, select the edition or segment, </w:t>
      </w:r>
      <w:r w:rsidR="004F4A9E" w:rsidRPr="000665B0">
        <w:t>invoke</w:t>
      </w:r>
      <w:r w:rsidRPr="000665B0">
        <w:t xml:space="preserve"> the context </w:t>
      </w:r>
      <w:r w:rsidR="00544BD6" w:rsidRPr="000665B0">
        <w:t>menu,</w:t>
      </w:r>
      <w:r w:rsidRPr="000665B0">
        <w:t xml:space="preserve"> and select </w:t>
      </w:r>
      <w:r w:rsidRPr="000665B0">
        <w:rPr>
          <w:b/>
        </w:rPr>
        <w:t>Compromised</w:t>
      </w:r>
      <w:r w:rsidRPr="000665B0">
        <w:t>. When an edition or segment is compromised, it will be deleted, and subsequent editions/segments will have their times moved up to fill the compromised edition/segment. Compromising an edition or segment does not create time gaps.</w:t>
      </w:r>
    </w:p>
    <w:p w14:paraId="48DD38CD" w14:textId="77777777" w:rsidR="003B19EA" w:rsidRPr="000665B0" w:rsidRDefault="003B19EA" w:rsidP="006E1D1B">
      <w:pPr>
        <w:pBdr>
          <w:top w:val="single" w:sz="12" w:space="1" w:color="auto"/>
          <w:left w:val="single" w:sz="12" w:space="4" w:color="auto"/>
          <w:bottom w:val="single" w:sz="12" w:space="1" w:color="auto"/>
          <w:right w:val="single" w:sz="12" w:space="4" w:color="auto"/>
        </w:pBdr>
        <w:shd w:val="clear" w:color="auto" w:fill="D9D9D9"/>
        <w:spacing w:after="0"/>
        <w:ind w:left="90" w:right="90"/>
        <w:jc w:val="center"/>
        <w:rPr>
          <w:b/>
        </w:rPr>
      </w:pPr>
      <w:r w:rsidRPr="000665B0">
        <w:rPr>
          <w:b/>
        </w:rPr>
        <w:t>Note:</w:t>
      </w:r>
      <w:r w:rsidRPr="000665B0">
        <w:rPr>
          <w:b/>
        </w:rPr>
        <w:br/>
        <w:t>When an edition or segment is set as compromised, the operator is prompted whether to save changes when the Crypto Key window is closed.</w:t>
      </w:r>
    </w:p>
    <w:p w14:paraId="69D8F6D3" w14:textId="0FDE3258" w:rsidR="005D1A26" w:rsidRPr="000665B0" w:rsidRDefault="005D1A26" w:rsidP="00B35EE5">
      <w:pPr>
        <w:pStyle w:val="Heading3"/>
      </w:pPr>
      <w:bookmarkStart w:id="7181" w:name="_Toc214283637"/>
      <w:r w:rsidRPr="000665B0">
        <w:t>Display Crypto(s) Textually</w:t>
      </w:r>
      <w:bookmarkEnd w:id="7176"/>
      <w:bookmarkEnd w:id="7177"/>
      <w:bookmarkEnd w:id="7178"/>
      <w:bookmarkEnd w:id="7179"/>
      <w:bookmarkEnd w:id="7180"/>
      <w:bookmarkEnd w:id="7181"/>
    </w:p>
    <w:p w14:paraId="4381DB23" w14:textId="77777777" w:rsidR="00335EE7" w:rsidRPr="000665B0" w:rsidRDefault="00335EE7" w:rsidP="00335EE7">
      <w:bookmarkStart w:id="7182" w:name="_Toc96170361"/>
      <w:bookmarkStart w:id="7183" w:name="_Toc96234406"/>
      <w:bookmarkStart w:id="7184" w:name="_Toc112733862"/>
      <w:bookmarkStart w:id="7185" w:name="_Toc289329013"/>
      <w:bookmarkStart w:id="7186" w:name="_Toc312332130"/>
      <w:r w:rsidRPr="000665B0">
        <w:t>This function invokes the Crypto Textual View and displays the selected Crypto(s).</w:t>
      </w:r>
    </w:p>
    <w:p w14:paraId="67C0A96D" w14:textId="77777777" w:rsidR="00335EE7" w:rsidRPr="000665B0" w:rsidRDefault="00335EE7" w:rsidP="006D5A65">
      <w:pPr>
        <w:pStyle w:val="Heading1"/>
      </w:pPr>
      <w:r w:rsidRPr="000665B0">
        <w:t xml:space="preserve">Navigate to the Crypto Tool and select the desired Crypto(s). </w:t>
      </w:r>
    </w:p>
    <w:p w14:paraId="6530A106" w14:textId="5AD2A14B" w:rsidR="00335EE7" w:rsidRPr="000665B0" w:rsidRDefault="00335EE7" w:rsidP="006D5A65">
      <w:pPr>
        <w:pStyle w:val="Heading1"/>
      </w:pPr>
      <w:r w:rsidRPr="000665B0">
        <w:t xml:space="preserve">From the File menu select Display </w:t>
      </w:r>
      <w:r w:rsidR="00AA74A8" w:rsidRPr="000665B0">
        <w:rPr>
          <w:rFonts w:ascii="Wingdings 3" w:hAnsi="Wingdings 3"/>
        </w:rPr>
        <w:t></w:t>
      </w:r>
      <w:r w:rsidRPr="000665B0">
        <w:t xml:space="preserve"> Textually or invoke the context menu (</w:t>
      </w:r>
      <w:r w:rsidR="00D71804" w:rsidRPr="000665B0">
        <w:t>right-click</w:t>
      </w:r>
      <w:r w:rsidRPr="000665B0">
        <w:t xml:space="preserve"> the mouse) and select Display </w:t>
      </w:r>
      <w:r w:rsidR="00AA74A8" w:rsidRPr="000665B0">
        <w:rPr>
          <w:rFonts w:ascii="Wingdings 3" w:hAnsi="Wingdings 3"/>
        </w:rPr>
        <w:t></w:t>
      </w:r>
      <w:r w:rsidRPr="000665B0">
        <w:t xml:space="preserve"> </w:t>
      </w:r>
      <w:r w:rsidR="00544BD6" w:rsidRPr="000665B0">
        <w:t>Textually or</w:t>
      </w:r>
      <w:r w:rsidRPr="000665B0">
        <w:t xml:space="preserve"> click the Display Textually </w:t>
      </w:r>
      <w:r w:rsidRPr="000665B0">
        <w:rPr>
          <w:noProof/>
        </w:rPr>
        <w:drawing>
          <wp:inline distT="0" distB="0" distL="0" distR="0" wp14:anchorId="1242F9D5" wp14:editId="2E770F10">
            <wp:extent cx="152400" cy="152400"/>
            <wp:effectExtent l="0" t="0" r="0" b="0"/>
            <wp:docPr id="259" name="Picture 259" descr="Description: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Description: open"/>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Tool Bar. </w:t>
      </w:r>
      <w:r w:rsidR="00434487" w:rsidRPr="000665B0">
        <w:t>Alternatively,</w:t>
      </w:r>
      <w:r w:rsidRPr="000665B0">
        <w:t xml:space="preserve"> double-click on a</w:t>
      </w:r>
      <w:r w:rsidR="00FA44BC" w:rsidRPr="000665B0">
        <w:t>n item</w:t>
      </w:r>
      <w:r w:rsidRPr="000665B0">
        <w:t xml:space="preserve"> to display textually.</w:t>
      </w:r>
    </w:p>
    <w:p w14:paraId="1DDE6211" w14:textId="352AA7CB" w:rsidR="005261D5" w:rsidRPr="000665B0" w:rsidRDefault="005261D5" w:rsidP="00126378">
      <w:pPr>
        <w:jc w:val="center"/>
        <w:rPr>
          <w:b/>
        </w:rPr>
      </w:pPr>
      <w:r w:rsidRPr="000665B0">
        <w:rPr>
          <w:b/>
        </w:rPr>
        <w:t>ACA COMSEC Crypto Textual Display</w:t>
      </w:r>
      <w:r w:rsidR="00CF5271" w:rsidRPr="000665B0">
        <w:rPr>
          <w:b/>
        </w:rPr>
        <w:t>:</w:t>
      </w:r>
    </w:p>
    <w:p w14:paraId="7764F6B8" w14:textId="698EFCBA" w:rsidR="005261D5" w:rsidRPr="000665B0" w:rsidRDefault="00EB0464" w:rsidP="00C63237">
      <w:pPr>
        <w:jc w:val="center"/>
        <w:rPr>
          <w:b/>
        </w:rPr>
      </w:pPr>
      <w:r w:rsidRPr="000665B0">
        <w:rPr>
          <w:noProof/>
        </w:rPr>
        <w:lastRenderedPageBreak/>
        <w:drawing>
          <wp:inline distT="0" distB="0" distL="0" distR="0" wp14:anchorId="611311D6" wp14:editId="037CB478">
            <wp:extent cx="4114800" cy="2898648"/>
            <wp:effectExtent l="0" t="0" r="0" b="0"/>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898648"/>
                    </a:xfrm>
                    <a:prstGeom prst="rect">
                      <a:avLst/>
                    </a:prstGeom>
                  </pic:spPr>
                </pic:pic>
              </a:graphicData>
            </a:graphic>
          </wp:inline>
        </w:drawing>
      </w:r>
    </w:p>
    <w:p w14:paraId="159E48A3" w14:textId="623728FD" w:rsidR="00335EE7" w:rsidRPr="000665B0" w:rsidRDefault="00434487" w:rsidP="00126378">
      <w:pPr>
        <w:keepNext/>
        <w:jc w:val="center"/>
        <w:rPr>
          <w:b/>
        </w:rPr>
      </w:pPr>
      <w:r w:rsidRPr="000665B0">
        <w:rPr>
          <w:b/>
        </w:rPr>
        <w:t xml:space="preserve">DAMA </w:t>
      </w:r>
      <w:r w:rsidR="00335EE7" w:rsidRPr="000665B0">
        <w:rPr>
          <w:b/>
        </w:rPr>
        <w:t>COMSEC Crypto Textual Display</w:t>
      </w:r>
      <w:r w:rsidR="00CF5271" w:rsidRPr="000665B0">
        <w:rPr>
          <w:b/>
        </w:rPr>
        <w:t>:</w:t>
      </w:r>
    </w:p>
    <w:p w14:paraId="74554671" w14:textId="748BDC16" w:rsidR="00335EE7" w:rsidRPr="000665B0" w:rsidRDefault="00434487" w:rsidP="00335EE7">
      <w:pPr>
        <w:jc w:val="center"/>
        <w:rPr>
          <w:b/>
        </w:rPr>
      </w:pPr>
      <w:r w:rsidRPr="000665B0">
        <w:rPr>
          <w:noProof/>
        </w:rPr>
        <w:drawing>
          <wp:inline distT="0" distB="0" distL="0" distR="0" wp14:anchorId="6A6D39B8" wp14:editId="2D103A6E">
            <wp:extent cx="4114800" cy="2907792"/>
            <wp:effectExtent l="0" t="0" r="0" b="0"/>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907792"/>
                    </a:xfrm>
                    <a:prstGeom prst="rect">
                      <a:avLst/>
                    </a:prstGeom>
                  </pic:spPr>
                </pic:pic>
              </a:graphicData>
            </a:graphic>
          </wp:inline>
        </w:drawing>
      </w:r>
    </w:p>
    <w:p w14:paraId="067C43DB" w14:textId="082C62D4" w:rsidR="00335EE7" w:rsidRPr="000665B0" w:rsidRDefault="00335EE7" w:rsidP="00A0163E">
      <w:pPr>
        <w:jc w:val="center"/>
        <w:rPr>
          <w:b/>
        </w:rPr>
      </w:pPr>
      <w:r w:rsidRPr="000665B0">
        <w:rPr>
          <w:b/>
        </w:rPr>
        <w:t>TRANSEC Crypto Textual Display</w:t>
      </w:r>
      <w:r w:rsidR="00CF5271" w:rsidRPr="000665B0">
        <w:rPr>
          <w:b/>
        </w:rPr>
        <w:t>:</w:t>
      </w:r>
    </w:p>
    <w:p w14:paraId="6843E420" w14:textId="058DBB46" w:rsidR="00335EE7" w:rsidRPr="000665B0" w:rsidRDefault="00EB0464" w:rsidP="00335EE7">
      <w:pPr>
        <w:jc w:val="center"/>
      </w:pPr>
      <w:r w:rsidRPr="000665B0">
        <w:rPr>
          <w:noProof/>
        </w:rPr>
        <w:lastRenderedPageBreak/>
        <w:drawing>
          <wp:inline distT="0" distB="0" distL="0" distR="0" wp14:anchorId="7D3CA375" wp14:editId="1C4848EF">
            <wp:extent cx="3703320" cy="2608783"/>
            <wp:effectExtent l="0" t="0" r="0" b="0"/>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717522" cy="2618788"/>
                    </a:xfrm>
                    <a:prstGeom prst="rect">
                      <a:avLst/>
                    </a:prstGeom>
                  </pic:spPr>
                </pic:pic>
              </a:graphicData>
            </a:graphic>
          </wp:inline>
        </w:drawing>
      </w:r>
    </w:p>
    <w:p w14:paraId="0F9388FA" w14:textId="7AA04DF5" w:rsidR="005D1A26" w:rsidRPr="000665B0" w:rsidRDefault="005D1A26" w:rsidP="00B35EE5">
      <w:pPr>
        <w:pStyle w:val="Heading3"/>
      </w:pPr>
      <w:bookmarkStart w:id="7187" w:name="_Toc214283638"/>
      <w:r w:rsidRPr="000665B0">
        <w:t>Delete Crypto(s)</w:t>
      </w:r>
      <w:bookmarkEnd w:id="7182"/>
      <w:bookmarkEnd w:id="7183"/>
      <w:bookmarkEnd w:id="7184"/>
      <w:bookmarkEnd w:id="7185"/>
      <w:bookmarkEnd w:id="7186"/>
      <w:bookmarkEnd w:id="7187"/>
      <w:r w:rsidRPr="000665B0">
        <w:t xml:space="preserve"> </w:t>
      </w:r>
    </w:p>
    <w:p w14:paraId="29FAA122" w14:textId="46DCDFCA" w:rsidR="00335EE7" w:rsidRPr="000665B0" w:rsidRDefault="00335EE7" w:rsidP="00335EE7">
      <w:bookmarkStart w:id="7188" w:name="_Toc96170362"/>
      <w:bookmarkStart w:id="7189" w:name="_Toc96234407"/>
      <w:bookmarkStart w:id="7190" w:name="_Toc112733863"/>
      <w:bookmarkStart w:id="7191" w:name="_Toc289329014"/>
      <w:bookmarkStart w:id="7192" w:name="_Toc312332131"/>
      <w:r w:rsidRPr="000665B0">
        <w:t>When Cryptos in the List View are no longer needed, they can be deleted from the list. Cryptos that are referenced elsewhere in the system can be deleted after the referenced item is deleted</w:t>
      </w:r>
      <w:r w:rsidR="00AE08C3" w:rsidRPr="000665B0">
        <w:t>, but</w:t>
      </w:r>
      <w:r w:rsidRPr="000665B0">
        <w:t xml:space="preserve"> </w:t>
      </w:r>
      <w:r w:rsidR="00AE08C3" w:rsidRPr="000665B0">
        <w:t xml:space="preserve">Cryptos cannot be deleted if they are specified for use in the System Preferences of Strike Properties (see </w:t>
      </w:r>
      <w:hyperlink w:anchor="_TSN__Comms" w:history="1">
        <w:r w:rsidR="009326FE" w:rsidRPr="000665B0">
          <w:rPr>
            <w:rStyle w:val="Hyperlink"/>
          </w:rPr>
          <w:t xml:space="preserve">Section </w:t>
        </w:r>
        <w:r w:rsidR="004231CC">
          <w:rPr>
            <w:rStyle w:val="Hyperlink"/>
          </w:rPr>
          <w:t>5.34</w:t>
        </w:r>
        <w:r w:rsidR="00AE08C3" w:rsidRPr="000665B0">
          <w:rPr>
            <w:rStyle w:val="Hyperlink"/>
          </w:rPr>
          <w:t>.1.1.4.1.2</w:t>
        </w:r>
      </w:hyperlink>
      <w:r w:rsidR="00AE08C3" w:rsidRPr="000665B0">
        <w:t xml:space="preserve"> and</w:t>
      </w:r>
      <w:r w:rsidR="00DF2ADA" w:rsidRPr="000665B0">
        <w:t xml:space="preserve"> see</w:t>
      </w:r>
      <w:r w:rsidR="00AE08C3" w:rsidRPr="000665B0">
        <w:t xml:space="preserve"> </w:t>
      </w:r>
      <w:hyperlink w:anchor="_TSN_Comms_Tab_1" w:history="1">
        <w:r w:rsidR="009326FE" w:rsidRPr="000665B0">
          <w:rPr>
            <w:rStyle w:val="Hyperlink"/>
          </w:rPr>
          <w:t xml:space="preserve">Section </w:t>
        </w:r>
        <w:r w:rsidR="004231CC">
          <w:rPr>
            <w:rStyle w:val="Hyperlink"/>
          </w:rPr>
          <w:t>5.34</w:t>
        </w:r>
        <w:r w:rsidR="00AE08C3" w:rsidRPr="000665B0">
          <w:rPr>
            <w:rStyle w:val="Hyperlink"/>
          </w:rPr>
          <w:t>.1.1.4.2.2</w:t>
        </w:r>
      </w:hyperlink>
      <w:r w:rsidR="00AE08C3" w:rsidRPr="000665B0">
        <w:t>).</w:t>
      </w:r>
    </w:p>
    <w:p w14:paraId="0F0465AE" w14:textId="773C414C" w:rsidR="00335EE7" w:rsidRPr="000665B0" w:rsidRDefault="00335EE7" w:rsidP="00335EE7">
      <w:pPr>
        <w:pStyle w:val="Number0205"/>
        <w:ind w:left="0" w:firstLine="0"/>
      </w:pPr>
      <w:r w:rsidRPr="000665B0">
        <w:t xml:space="preserve">To delete Cryptos from the List View see </w:t>
      </w:r>
      <w:hyperlink w:anchor="_5.2.1.6__Delete" w:history="1">
        <w:r w:rsidRPr="000665B0">
          <w:rPr>
            <w:rStyle w:val="Hyperlink"/>
          </w:rPr>
          <w:t>Section 5.2.1.6</w:t>
        </w:r>
      </w:hyperlink>
      <w:r w:rsidRPr="000665B0">
        <w:t xml:space="preserve">. </w:t>
      </w:r>
    </w:p>
    <w:p w14:paraId="36BD6CE6" w14:textId="28067FC4" w:rsidR="00335EE7" w:rsidRPr="000665B0" w:rsidRDefault="00335EE7" w:rsidP="00335EE7">
      <w:pPr>
        <w:pStyle w:val="Number0205"/>
        <w:spacing w:after="0"/>
        <w:ind w:left="0" w:firstLine="0"/>
      </w:pPr>
      <w:r w:rsidRPr="000665B0">
        <w:t xml:space="preserve">If the Crypto is referenced, a window with the referenced items will appear see </w:t>
      </w:r>
      <w:hyperlink w:anchor="_5.2.1.2.3__Display_1" w:history="1">
        <w:r w:rsidRPr="000665B0">
          <w:rPr>
            <w:rStyle w:val="Hyperlink"/>
          </w:rPr>
          <w:t>Section 5.2.1.2.3</w:t>
        </w:r>
      </w:hyperlink>
      <w:r w:rsidRPr="000665B0">
        <w:t xml:space="preserve"> for details.</w:t>
      </w:r>
    </w:p>
    <w:p w14:paraId="1C077F3C" w14:textId="26FF6E4E" w:rsidR="005D1A26" w:rsidRPr="000665B0" w:rsidRDefault="005D1A26" w:rsidP="00B35EE5">
      <w:pPr>
        <w:pStyle w:val="Heading3"/>
      </w:pPr>
      <w:bookmarkStart w:id="7193" w:name="_Toc214283639"/>
      <w:r w:rsidRPr="000665B0">
        <w:t>Send Crypto(s)</w:t>
      </w:r>
      <w:bookmarkEnd w:id="7188"/>
      <w:bookmarkEnd w:id="7189"/>
      <w:bookmarkEnd w:id="7190"/>
      <w:bookmarkEnd w:id="7191"/>
      <w:bookmarkEnd w:id="7192"/>
      <w:bookmarkEnd w:id="7193"/>
    </w:p>
    <w:p w14:paraId="66A8E5CE" w14:textId="35D21986" w:rsidR="00335EE7" w:rsidRPr="000665B0" w:rsidRDefault="00335EE7" w:rsidP="00335EE7">
      <w:pPr>
        <w:rPr>
          <w:snapToGrid w:val="0"/>
        </w:rPr>
      </w:pPr>
      <w:bookmarkStart w:id="7194" w:name="_Toc96170363"/>
      <w:bookmarkStart w:id="7195" w:name="_Toc96234408"/>
      <w:bookmarkStart w:id="7196" w:name="_Toc112733864"/>
      <w:bookmarkStart w:id="7197" w:name="_Toc289329015"/>
      <w:bookmarkStart w:id="7198" w:name="_Toc312332132"/>
      <w:r w:rsidRPr="000665B0">
        <w:rPr>
          <w:snapToGrid w:val="0"/>
        </w:rPr>
        <w:t xml:space="preserve">The </w:t>
      </w:r>
      <w:r w:rsidRPr="000665B0">
        <w:rPr>
          <w:b/>
          <w:snapToGrid w:val="0"/>
        </w:rPr>
        <w:t>Send</w:t>
      </w:r>
      <w:r w:rsidRPr="000665B0">
        <w:rPr>
          <w:snapToGrid w:val="0"/>
        </w:rPr>
        <w:t xml:space="preserve"> option adds the selected Crypto to a DDO template for further distribution. See </w:t>
      </w:r>
      <w:hyperlink w:anchor="_5.20__DDO_TEMPLATES_TOOL" w:history="1">
        <w:r w:rsidR="00DE0842" w:rsidRPr="000665B0">
          <w:rPr>
            <w:rStyle w:val="Hyperlink"/>
            <w:snapToGrid w:val="0"/>
          </w:rPr>
          <w:t xml:space="preserve">Section </w:t>
        </w:r>
        <w:r w:rsidR="004231CC">
          <w:rPr>
            <w:rStyle w:val="Hyperlink"/>
            <w:snapToGrid w:val="0"/>
          </w:rPr>
          <w:t>5.16</w:t>
        </w:r>
      </w:hyperlink>
      <w:r w:rsidR="00DE0842" w:rsidRPr="000665B0">
        <w:rPr>
          <w:snapToGrid w:val="0"/>
        </w:rPr>
        <w:t xml:space="preserve"> </w:t>
      </w:r>
      <w:r w:rsidRPr="000665B0">
        <w:rPr>
          <w:snapToGrid w:val="0"/>
        </w:rPr>
        <w:t xml:space="preserve">for more details on DDO Templates. </w:t>
      </w:r>
    </w:p>
    <w:p w14:paraId="7884F4D6" w14:textId="02426F7A" w:rsidR="005D1A26" w:rsidRPr="000665B0" w:rsidRDefault="005D1A26" w:rsidP="00B35EE5">
      <w:pPr>
        <w:pStyle w:val="Heading3"/>
      </w:pPr>
      <w:bookmarkStart w:id="7199" w:name="_Toc214283640"/>
      <w:r w:rsidRPr="000665B0">
        <w:t>Find</w:t>
      </w:r>
      <w:bookmarkEnd w:id="7194"/>
      <w:bookmarkEnd w:id="7195"/>
      <w:bookmarkEnd w:id="7196"/>
      <w:bookmarkEnd w:id="7197"/>
      <w:bookmarkEnd w:id="7198"/>
      <w:bookmarkEnd w:id="7199"/>
    </w:p>
    <w:p w14:paraId="1FB1B041" w14:textId="5FA7AD8C" w:rsidR="005D1A26" w:rsidRPr="000665B0" w:rsidRDefault="00F02F03" w:rsidP="00E300C3">
      <w:pPr>
        <w:spacing w:after="0"/>
      </w:pPr>
      <w:r w:rsidRPr="000665B0">
        <w:t>See</w:t>
      </w:r>
      <w:r w:rsidR="005D1A26" w:rsidRPr="000665B0">
        <w:t xml:space="preserve"> </w:t>
      </w:r>
      <w:hyperlink w:anchor="_5.2.5.1__Find_1" w:history="1">
        <w:r w:rsidR="005D1A26" w:rsidRPr="000665B0">
          <w:rPr>
            <w:rStyle w:val="Hyperlink"/>
          </w:rPr>
          <w:t>Section 5.2.5.1</w:t>
        </w:r>
      </w:hyperlink>
      <w:r w:rsidR="005D1A26" w:rsidRPr="000665B0">
        <w:t>.</w:t>
      </w:r>
    </w:p>
    <w:p w14:paraId="346B109F" w14:textId="77777777" w:rsidR="00721F24" w:rsidRPr="000665B0" w:rsidRDefault="00721F24" w:rsidP="00721F24">
      <w:pPr>
        <w:pStyle w:val="Heading3"/>
      </w:pPr>
      <w:bookmarkStart w:id="7200" w:name="_Toc214283641"/>
      <w:r w:rsidRPr="000665B0">
        <w:t>Plugin Tool</w:t>
      </w:r>
      <w:bookmarkEnd w:id="7200"/>
    </w:p>
    <w:p w14:paraId="3DAD177E" w14:textId="752113FF" w:rsidR="00721F24" w:rsidRPr="000665B0" w:rsidRDefault="00F02F03" w:rsidP="00E300C3">
      <w:pPr>
        <w:spacing w:after="0"/>
      </w:pPr>
      <w:r w:rsidRPr="000665B0">
        <w:t>See</w:t>
      </w:r>
      <w:r w:rsidR="00721F24" w:rsidRPr="000665B0">
        <w:t xml:space="preserve"> </w:t>
      </w:r>
      <w:hyperlink w:anchor="_Plugin__Tool" w:history="1">
        <w:r w:rsidR="00721F24" w:rsidRPr="000665B0">
          <w:rPr>
            <w:rStyle w:val="Hyperlink"/>
          </w:rPr>
          <w:t>Section 5.2.5.2</w:t>
        </w:r>
      </w:hyperlink>
      <w:r w:rsidR="00721F24" w:rsidRPr="000665B0">
        <w:t>.</w:t>
      </w:r>
    </w:p>
    <w:p w14:paraId="7EC3607C" w14:textId="7D07BDE3" w:rsidR="005D1A26" w:rsidRPr="000665B0" w:rsidRDefault="005D1A26" w:rsidP="00B35EE5">
      <w:pPr>
        <w:pStyle w:val="Heading3"/>
      </w:pPr>
      <w:bookmarkStart w:id="7201" w:name="_Toc96170364"/>
      <w:bookmarkStart w:id="7202" w:name="_Toc96234409"/>
      <w:bookmarkStart w:id="7203" w:name="_Toc112733865"/>
      <w:bookmarkStart w:id="7204" w:name="_Toc289329016"/>
      <w:bookmarkStart w:id="7205" w:name="_Toc312332133"/>
      <w:bookmarkStart w:id="7206" w:name="_Toc214283642"/>
      <w:r w:rsidRPr="000665B0">
        <w:t>Properties</w:t>
      </w:r>
      <w:bookmarkEnd w:id="7201"/>
      <w:bookmarkEnd w:id="7202"/>
      <w:bookmarkEnd w:id="7203"/>
      <w:bookmarkEnd w:id="7204"/>
      <w:bookmarkEnd w:id="7205"/>
      <w:bookmarkEnd w:id="7206"/>
    </w:p>
    <w:p w14:paraId="28598210" w14:textId="2565F74E" w:rsidR="005D1A26" w:rsidRPr="000665B0" w:rsidRDefault="00F02F03" w:rsidP="00E300C3">
      <w:pPr>
        <w:spacing w:after="0"/>
      </w:pPr>
      <w:r w:rsidRPr="000665B0">
        <w:t>See</w:t>
      </w:r>
      <w:r w:rsidR="005D1A26" w:rsidRPr="000665B0">
        <w:t xml:space="preserve"> </w:t>
      </w:r>
      <w:hyperlink w:anchor="_5.2.3.4__Properties" w:history="1">
        <w:r w:rsidR="00A75813" w:rsidRPr="000665B0">
          <w:rPr>
            <w:rStyle w:val="Hyperlink"/>
          </w:rPr>
          <w:t>Section 5.2.3.5</w:t>
        </w:r>
      </w:hyperlink>
      <w:r w:rsidR="005D1A26" w:rsidRPr="000665B0">
        <w:t>.</w:t>
      </w:r>
    </w:p>
    <w:p w14:paraId="0CDF73F6" w14:textId="3BC718B7" w:rsidR="005D1A26" w:rsidRPr="000665B0" w:rsidRDefault="005D1A26" w:rsidP="00B35EE5">
      <w:pPr>
        <w:pStyle w:val="Heading3"/>
      </w:pPr>
      <w:bookmarkStart w:id="7207" w:name="_Toc96170365"/>
      <w:bookmarkStart w:id="7208" w:name="_Toc96234410"/>
      <w:bookmarkStart w:id="7209" w:name="_Toc112733866"/>
      <w:bookmarkStart w:id="7210" w:name="_Toc289329017"/>
      <w:bookmarkStart w:id="7211" w:name="_Toc312332134"/>
      <w:bookmarkStart w:id="7212" w:name="_Toc214283643"/>
      <w:r w:rsidRPr="000665B0">
        <w:t>Sort</w:t>
      </w:r>
      <w:bookmarkEnd w:id="7207"/>
      <w:bookmarkEnd w:id="7208"/>
      <w:bookmarkEnd w:id="7209"/>
      <w:bookmarkEnd w:id="7210"/>
      <w:bookmarkEnd w:id="7211"/>
      <w:bookmarkEnd w:id="7212"/>
      <w:r w:rsidRPr="000665B0">
        <w:t xml:space="preserve"> </w:t>
      </w:r>
    </w:p>
    <w:p w14:paraId="7370572A" w14:textId="0370D1B5" w:rsidR="005D1A26" w:rsidRPr="000665B0" w:rsidRDefault="00F02F03" w:rsidP="00E300C3">
      <w:pPr>
        <w:spacing w:after="0"/>
      </w:pPr>
      <w:r w:rsidRPr="000665B0">
        <w:t>See</w:t>
      </w:r>
      <w:r w:rsidR="005D1A26" w:rsidRPr="000665B0">
        <w:t xml:space="preserve"> </w:t>
      </w:r>
      <w:hyperlink w:anchor="_5.2.3.4.1__Sort" w:history="1">
        <w:r w:rsidR="00A75813" w:rsidRPr="000665B0">
          <w:rPr>
            <w:rStyle w:val="Hyperlink"/>
          </w:rPr>
          <w:t>Section 5.2.3.5</w:t>
        </w:r>
        <w:r w:rsidR="00CD3C6D" w:rsidRPr="000665B0">
          <w:rPr>
            <w:rStyle w:val="Hyperlink"/>
          </w:rPr>
          <w:t>.1</w:t>
        </w:r>
      </w:hyperlink>
      <w:r w:rsidR="005D1A26" w:rsidRPr="000665B0">
        <w:t>.</w:t>
      </w:r>
    </w:p>
    <w:p w14:paraId="37CCEC4E" w14:textId="6042A29E" w:rsidR="005D1A26" w:rsidRPr="000665B0" w:rsidRDefault="00277DCD" w:rsidP="00B35EE5">
      <w:pPr>
        <w:pStyle w:val="Heading3"/>
      </w:pPr>
      <w:bookmarkStart w:id="7213" w:name="_Toc96170366"/>
      <w:bookmarkStart w:id="7214" w:name="_Toc96234411"/>
      <w:bookmarkStart w:id="7215" w:name="_Toc112733867"/>
      <w:bookmarkStart w:id="7216" w:name="_Toc289329018"/>
      <w:bookmarkStart w:id="7217" w:name="_Toc312332135"/>
      <w:bookmarkStart w:id="7218" w:name="_Toc214283644"/>
      <w:r w:rsidRPr="000665B0">
        <w:lastRenderedPageBreak/>
        <w:t>Print All</w:t>
      </w:r>
      <w:bookmarkEnd w:id="7213"/>
      <w:bookmarkEnd w:id="7214"/>
      <w:bookmarkEnd w:id="7215"/>
      <w:bookmarkEnd w:id="7216"/>
      <w:bookmarkEnd w:id="7217"/>
      <w:bookmarkEnd w:id="7218"/>
    </w:p>
    <w:p w14:paraId="4B924487" w14:textId="4DDD5352" w:rsidR="005D1A26" w:rsidRPr="000665B0" w:rsidRDefault="00F02F03" w:rsidP="00E300C3">
      <w:pPr>
        <w:spacing w:after="0"/>
      </w:pPr>
      <w:r w:rsidRPr="000665B0">
        <w:t>See</w:t>
      </w:r>
      <w:r w:rsidR="005D1A26" w:rsidRPr="000665B0">
        <w:t xml:space="preserve"> </w:t>
      </w:r>
      <w:hyperlink w:anchor="_5.2.1.5__Print" w:history="1">
        <w:r w:rsidR="00B9720D" w:rsidRPr="000665B0">
          <w:rPr>
            <w:rStyle w:val="Hyperlink"/>
          </w:rPr>
          <w:t>Section 5.2.1.5</w:t>
        </w:r>
      </w:hyperlink>
      <w:r w:rsidR="005D1A26" w:rsidRPr="000665B0">
        <w:t>.</w:t>
      </w:r>
    </w:p>
    <w:p w14:paraId="455BC0DD" w14:textId="68526633" w:rsidR="005D1A26" w:rsidRPr="000665B0" w:rsidRDefault="005D1A26" w:rsidP="00B35EE5">
      <w:pPr>
        <w:pStyle w:val="Heading3"/>
      </w:pPr>
      <w:bookmarkStart w:id="7219" w:name="_Toc96170367"/>
      <w:bookmarkStart w:id="7220" w:name="_Toc96234412"/>
      <w:bookmarkStart w:id="7221" w:name="_Toc112733868"/>
      <w:bookmarkStart w:id="7222" w:name="_Toc289329019"/>
      <w:bookmarkStart w:id="7223" w:name="_Toc312332136"/>
      <w:bookmarkStart w:id="7224" w:name="_Toc214283645"/>
      <w:r w:rsidRPr="000665B0">
        <w:t>Display References</w:t>
      </w:r>
      <w:bookmarkEnd w:id="7219"/>
      <w:bookmarkEnd w:id="7220"/>
      <w:bookmarkEnd w:id="7221"/>
      <w:bookmarkEnd w:id="7222"/>
      <w:bookmarkEnd w:id="7223"/>
      <w:bookmarkEnd w:id="7224"/>
    </w:p>
    <w:p w14:paraId="6C02C59C" w14:textId="274054BC" w:rsidR="005D1A26" w:rsidRPr="000665B0" w:rsidRDefault="00F02F03" w:rsidP="00E300C3">
      <w:pPr>
        <w:spacing w:after="0"/>
      </w:pPr>
      <w:r w:rsidRPr="000665B0">
        <w:t>See</w:t>
      </w:r>
      <w:r w:rsidR="005D1A26" w:rsidRPr="000665B0">
        <w:t xml:space="preserve"> </w:t>
      </w:r>
      <w:hyperlink w:anchor="_5.2.1.2.3__Display_1" w:history="1">
        <w:r w:rsidR="005D1A26" w:rsidRPr="000665B0">
          <w:rPr>
            <w:rStyle w:val="Hyperlink"/>
          </w:rPr>
          <w:t>Section 5.2.1.2.3</w:t>
        </w:r>
      </w:hyperlink>
      <w:r w:rsidR="005D1A26" w:rsidRPr="000665B0">
        <w:t>.</w:t>
      </w:r>
    </w:p>
    <w:p w14:paraId="4163DE05" w14:textId="498A8B70" w:rsidR="005D1A26" w:rsidRPr="000665B0" w:rsidRDefault="00277DCD" w:rsidP="00B35EE5">
      <w:pPr>
        <w:pStyle w:val="Heading3"/>
      </w:pPr>
      <w:bookmarkStart w:id="7225" w:name="_Toc96170368"/>
      <w:bookmarkStart w:id="7226" w:name="_Toc96234413"/>
      <w:bookmarkStart w:id="7227" w:name="_Toc112733869"/>
      <w:bookmarkStart w:id="7228" w:name="_Toc289329020"/>
      <w:bookmarkStart w:id="7229" w:name="_Toc312332137"/>
      <w:bookmarkStart w:id="7230" w:name="_Toc214283646"/>
      <w:r w:rsidRPr="000665B0">
        <w:t>Display All in Excel</w:t>
      </w:r>
      <w:bookmarkEnd w:id="7225"/>
      <w:bookmarkEnd w:id="7226"/>
      <w:bookmarkEnd w:id="7227"/>
      <w:bookmarkEnd w:id="7228"/>
      <w:bookmarkEnd w:id="7229"/>
      <w:bookmarkEnd w:id="7230"/>
    </w:p>
    <w:p w14:paraId="2F493278" w14:textId="0AB99A05" w:rsidR="005D1A26" w:rsidRPr="000665B0" w:rsidRDefault="00F02F03" w:rsidP="00E300C3">
      <w:pPr>
        <w:spacing w:after="0"/>
      </w:pPr>
      <w:r w:rsidRPr="000665B0">
        <w:t>See</w:t>
      </w:r>
      <w:r w:rsidR="005D1A26" w:rsidRPr="000665B0">
        <w:t xml:space="preserve"> </w:t>
      </w:r>
      <w:hyperlink w:anchor="_5.2.1.2.1__Display_1" w:history="1">
        <w:r w:rsidR="005D1A26" w:rsidRPr="000665B0">
          <w:rPr>
            <w:rStyle w:val="Hyperlink"/>
          </w:rPr>
          <w:t>Section 5.2.1.2.1</w:t>
        </w:r>
      </w:hyperlink>
      <w:r w:rsidR="005D1A26" w:rsidRPr="000665B0">
        <w:t>.</w:t>
      </w:r>
    </w:p>
    <w:p w14:paraId="2621F877" w14:textId="0443B6DC" w:rsidR="005D1A26" w:rsidRPr="000665B0" w:rsidRDefault="005D1A26" w:rsidP="00B35EE5">
      <w:pPr>
        <w:pStyle w:val="Heading3"/>
      </w:pPr>
      <w:bookmarkStart w:id="7231" w:name="_Toc96170369"/>
      <w:bookmarkStart w:id="7232" w:name="_Toc96234414"/>
      <w:bookmarkStart w:id="7233" w:name="_Toc112733870"/>
      <w:bookmarkStart w:id="7234" w:name="_Toc289329021"/>
      <w:bookmarkStart w:id="7235" w:name="_Toc312332138"/>
      <w:bookmarkStart w:id="7236" w:name="_Toc214283647"/>
      <w:r w:rsidRPr="000665B0">
        <w:t>Select All</w:t>
      </w:r>
      <w:bookmarkEnd w:id="7231"/>
      <w:bookmarkEnd w:id="7232"/>
      <w:bookmarkEnd w:id="7233"/>
      <w:bookmarkEnd w:id="7234"/>
      <w:bookmarkEnd w:id="7235"/>
      <w:bookmarkEnd w:id="7236"/>
    </w:p>
    <w:p w14:paraId="0045C307" w14:textId="4858CA52" w:rsidR="00771480" w:rsidRPr="000665B0" w:rsidRDefault="00F02F03" w:rsidP="00E300C3">
      <w:pPr>
        <w:spacing w:after="0"/>
        <w:rPr>
          <w:rStyle w:val="Hyperlink"/>
        </w:rPr>
      </w:pPr>
      <w:r w:rsidRPr="000665B0">
        <w:t>See</w:t>
      </w:r>
      <w:r w:rsidR="005D1A26" w:rsidRPr="000665B0">
        <w:t xml:space="preserve"> </w:t>
      </w:r>
      <w:hyperlink w:anchor="_5.2.2.1__Select_1" w:history="1">
        <w:r w:rsidR="005D1A26" w:rsidRPr="000665B0">
          <w:rPr>
            <w:rStyle w:val="Hyperlink"/>
          </w:rPr>
          <w:t>Section 5.2.2.1</w:t>
        </w:r>
      </w:hyperlink>
      <w:r w:rsidR="00771480" w:rsidRPr="000665B0">
        <w:rPr>
          <w:rStyle w:val="Hyperlink"/>
        </w:rPr>
        <w:t>.</w:t>
      </w:r>
    </w:p>
    <w:p w14:paraId="0F579633" w14:textId="7661C6BA" w:rsidR="00771480" w:rsidRPr="000665B0" w:rsidRDefault="00771480" w:rsidP="00090C2C">
      <w:pPr>
        <w:pStyle w:val="Heading3"/>
      </w:pPr>
      <w:bookmarkStart w:id="7237" w:name="_Toc214283648"/>
      <w:r w:rsidRPr="000665B0">
        <w:t>Receive File</w:t>
      </w:r>
      <w:bookmarkEnd w:id="7237"/>
    </w:p>
    <w:p w14:paraId="2E29CDEA" w14:textId="3F991FED" w:rsidR="00771480" w:rsidRPr="000665B0" w:rsidRDefault="00F02F03" w:rsidP="00771480">
      <w:pPr>
        <w:spacing w:after="0"/>
      </w:pPr>
      <w:r w:rsidRPr="000665B0">
        <w:t>See</w:t>
      </w:r>
      <w:r w:rsidR="00771480" w:rsidRPr="000665B0">
        <w:t xml:space="preserve"> </w:t>
      </w:r>
      <w:hyperlink w:anchor="_5.2.1.7__Receive" w:history="1">
        <w:r w:rsidR="00771480" w:rsidRPr="000665B0">
          <w:rPr>
            <w:color w:val="0000FF"/>
            <w:u w:val="single"/>
          </w:rPr>
          <w:t>Section 5.2.1.7</w:t>
        </w:r>
      </w:hyperlink>
      <w:r w:rsidR="00771480" w:rsidRPr="000665B0">
        <w:t>.</w:t>
      </w:r>
    </w:p>
    <w:p w14:paraId="0DB4A352" w14:textId="77777777" w:rsidR="00A316EA" w:rsidRDefault="00A23FEE" w:rsidP="00E300C3">
      <w:pPr>
        <w:spacing w:after="0"/>
      </w:pPr>
      <w:r w:rsidRPr="000665B0">
        <w:t>.</w:t>
      </w:r>
      <w:r w:rsidR="00A316EA">
        <w:br w:type="page"/>
      </w:r>
      <w:bookmarkStart w:id="7238" w:name="_5.43.2_Set_Distribution"/>
      <w:bookmarkStart w:id="7239" w:name="_5.42.2__Set"/>
      <w:bookmarkStart w:id="7240" w:name="_5.42.2__Set_1"/>
      <w:bookmarkStart w:id="7241" w:name="_5.43.3_Distribute_CMDO"/>
      <w:bookmarkStart w:id="7242" w:name="_5.43.3__Distribute"/>
      <w:bookmarkStart w:id="7243" w:name="_5.42.3__Distribute"/>
      <w:bookmarkStart w:id="7244" w:name="_5.43__TED"/>
      <w:bookmarkStart w:id="7245" w:name="_Toc289329048"/>
      <w:bookmarkStart w:id="7246" w:name="_Toc312332165"/>
      <w:bookmarkStart w:id="7247" w:name="_Toc214283649"/>
      <w:bookmarkEnd w:id="7238"/>
      <w:bookmarkEnd w:id="7239"/>
      <w:bookmarkEnd w:id="7240"/>
      <w:bookmarkEnd w:id="7241"/>
      <w:bookmarkEnd w:id="7242"/>
      <w:bookmarkEnd w:id="7243"/>
      <w:bookmarkEnd w:id="7244"/>
      <w:r w:rsidR="00B35EE5" w:rsidRPr="000665B0">
        <w:lastRenderedPageBreak/>
        <w:t>AIRSPACE MANAGEMENT TOOL</w:t>
      </w:r>
      <w:bookmarkEnd w:id="7245"/>
      <w:bookmarkEnd w:id="7246"/>
      <w:bookmarkEnd w:id="7247"/>
    </w:p>
    <w:p w14:paraId="100EE43A" w14:textId="19E84A41" w:rsidR="00CC0B80" w:rsidRPr="000665B0" w:rsidRDefault="00CC0B80" w:rsidP="00CC0B80">
      <w:r w:rsidRPr="000665B0">
        <w:t xml:space="preserve">The Airspace Management Tool helps manage the airspaces used in military operations. The airspaces may include air routes, base defense zones, coordinating measures/lines, drop zones, pickup points, restricted areas, etc. ACOs contain the detail orders that define the structure and the effective time of the airspaces. The operational airspaces may be revised by creating a new ACO revision that includes the added, updated, and deleted airspaces. These ACOs may only contain the revision changes, therefore an ACO may not necessarily contain all of the airspaces used in an operation. In order to obtain all of the airspaces, the airspaces in the ACO revisions must be applied and compiled in the order that the ACOs were created. The management of these ACO revisions is handled by an Air Plan. An Air Plan provides the user with the ability to prioritize the ACO revisions, generate the resultant airspace structures, filter out unwanted airspaces, quickly identify the airspace information, and generate the ACMSs for the airspaces. Once the ACMSs/ACMS Libraries are created for the airspaces, they can be used in the </w:t>
      </w:r>
      <w:r w:rsidR="003D6207" w:rsidRPr="000665B0">
        <w:t xml:space="preserve">TMPC </w:t>
      </w:r>
      <w:r w:rsidRPr="000665B0">
        <w:t>systems. This tool can be used to assist the airspace manager in processing and displaying ACOs, creating and displaying Air Plans, and determining and creating ACMSs.</w:t>
      </w:r>
    </w:p>
    <w:p w14:paraId="26563E05" w14:textId="77777777" w:rsidR="00CC0B80" w:rsidRPr="000665B0" w:rsidRDefault="00CC0B80" w:rsidP="00CC0B80">
      <w:r w:rsidRPr="000665B0">
        <w:t xml:space="preserve">The </w:t>
      </w:r>
      <w:r w:rsidRPr="000665B0">
        <w:rPr>
          <w:i/>
        </w:rPr>
        <w:t>Airspace Management Tool</w:t>
      </w:r>
      <w:r w:rsidRPr="000665B0">
        <w:t xml:space="preserve"> window consists of two sections, the ACO list view (top pane) and the Air Plans list view (bottom pane). </w:t>
      </w:r>
    </w:p>
    <w:p w14:paraId="5595FB17" w14:textId="77777777" w:rsidR="00CC0B80" w:rsidRPr="000665B0" w:rsidRDefault="00CC0B80" w:rsidP="00CC0B80">
      <w:r w:rsidRPr="000665B0">
        <w:t>To display the Airspace Management Tool:</w:t>
      </w:r>
    </w:p>
    <w:p w14:paraId="75CE80D0" w14:textId="77777777" w:rsidR="00CC0B80" w:rsidRPr="000665B0" w:rsidRDefault="00CC0B80" w:rsidP="00CC0B80">
      <w:pPr>
        <w:ind w:left="360"/>
      </w:pPr>
      <w:r w:rsidRPr="000665B0">
        <w:t xml:space="preserve">From the </w:t>
      </w:r>
      <w:r w:rsidRPr="000665B0">
        <w:rPr>
          <w:b/>
        </w:rPr>
        <w:t>Go</w:t>
      </w:r>
      <w:r w:rsidRPr="000665B0">
        <w:t xml:space="preserve"> menu select </w:t>
      </w:r>
      <w:r w:rsidRPr="000665B0">
        <w:rPr>
          <w:b/>
        </w:rPr>
        <w:t>Airspace Management</w:t>
      </w:r>
      <w:r w:rsidRPr="000665B0">
        <w:t>.</w:t>
      </w:r>
    </w:p>
    <w:p w14:paraId="0E309524" w14:textId="05C7BA3B" w:rsidR="00CC0B80" w:rsidRPr="000665B0" w:rsidRDefault="0059150E" w:rsidP="00CC0B80">
      <w:pPr>
        <w:jc w:val="center"/>
      </w:pPr>
      <w:r w:rsidRPr="000665B0">
        <w:rPr>
          <w:noProof/>
        </w:rPr>
        <w:drawing>
          <wp:inline distT="0" distB="0" distL="0" distR="0" wp14:anchorId="4ACE3CC1" wp14:editId="5861C01A">
            <wp:extent cx="4983480" cy="1837944"/>
            <wp:effectExtent l="0" t="0" r="0" b="0"/>
            <wp:docPr id="1259"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837944"/>
                    </a:xfrm>
                    <a:prstGeom prst="rect">
                      <a:avLst/>
                    </a:prstGeom>
                  </pic:spPr>
                </pic:pic>
              </a:graphicData>
            </a:graphic>
          </wp:inline>
        </w:drawing>
      </w:r>
    </w:p>
    <w:p w14:paraId="78D63701" w14:textId="77777777" w:rsidR="00CC0B80" w:rsidRPr="000665B0" w:rsidRDefault="00CC0B80" w:rsidP="00CC0B80">
      <w:r w:rsidRPr="000665B0">
        <w:t>To convert ACOs to ACMSs/ACMS Library:</w:t>
      </w:r>
    </w:p>
    <w:p w14:paraId="4D0912A8" w14:textId="65373EAC" w:rsidR="00CC0B80" w:rsidRPr="000665B0" w:rsidRDefault="00CC0B80" w:rsidP="006D5A65">
      <w:pPr>
        <w:pStyle w:val="Heading1"/>
      </w:pPr>
      <w:r w:rsidRPr="000665B0">
        <w:t>From the ACO list view, select the relevant ACO(s). F</w:t>
      </w:r>
      <w:r w:rsidRPr="000665B0">
        <w:rPr>
          <w:noProof/>
        </w:rPr>
        <w:t xml:space="preserve">rom the File menu, or invoke the context menu (right-click the mouse), select New Air Plan, or </w:t>
      </w:r>
      <w:r w:rsidR="007A75CC" w:rsidRPr="000665B0">
        <w:rPr>
          <w:noProof/>
        </w:rPr>
        <w:t xml:space="preserve">click </w:t>
      </w:r>
      <w:r w:rsidRPr="000665B0">
        <w:rPr>
          <w:noProof/>
        </w:rPr>
        <w:t xml:space="preserve">the New </w:t>
      </w:r>
      <w:r w:rsidRPr="000665B0">
        <w:sym w:font="Webdings" w:char="F09D"/>
      </w:r>
      <w:r w:rsidRPr="000665B0">
        <w:t xml:space="preserve"> </w:t>
      </w:r>
      <w:r w:rsidRPr="000665B0">
        <w:rPr>
          <w:noProof/>
        </w:rPr>
        <w:t xml:space="preserve">icon on the toolbar. A New </w:t>
      </w:r>
      <w:r w:rsidRPr="000665B0">
        <w:rPr>
          <w:i/>
          <w:noProof/>
        </w:rPr>
        <w:t xml:space="preserve">Air Plan </w:t>
      </w:r>
      <w:r w:rsidRPr="000665B0">
        <w:rPr>
          <w:noProof/>
        </w:rPr>
        <w:t>window is displayed</w:t>
      </w:r>
      <w:r w:rsidRPr="000665B0">
        <w:t>.</w:t>
      </w:r>
    </w:p>
    <w:p w14:paraId="701D8315" w14:textId="476A74D0" w:rsidR="00CC0B80" w:rsidRPr="000665B0" w:rsidRDefault="00CC0B80" w:rsidP="006D5A65">
      <w:pPr>
        <w:pStyle w:val="Heading1"/>
      </w:pPr>
      <w:r w:rsidRPr="000665B0">
        <w:t>In the New</w:t>
      </w:r>
      <w:r w:rsidRPr="000665B0">
        <w:rPr>
          <w:i/>
        </w:rPr>
        <w:t xml:space="preserve"> Air Plan</w:t>
      </w:r>
      <w:r w:rsidRPr="000665B0">
        <w:t xml:space="preserve"> window, enter a unique Air Plan Name. The name must contain 1 to 30 alpha-numeric characters, with no spaces or special characters. This is a required field (as denoted by the * and/or yellow background) </w:t>
      </w:r>
      <w:r w:rsidR="00551B8E" w:rsidRPr="000665B0">
        <w:t>and the user</w:t>
      </w:r>
      <w:r w:rsidRPr="000665B0">
        <w:t xml:space="preserve"> is </w:t>
      </w:r>
      <w:r w:rsidRPr="000665B0">
        <w:lastRenderedPageBreak/>
        <w:t xml:space="preserve">unable to proceed without updating this field. For further information on mandatory fields see </w:t>
      </w:r>
      <w:hyperlink w:anchor="_5.2.7__Editing" w:history="1">
        <w:r w:rsidRPr="000665B0">
          <w:rPr>
            <w:rStyle w:val="Hyperlink"/>
          </w:rPr>
          <w:t>Section 5.2.8</w:t>
        </w:r>
      </w:hyperlink>
      <w:r w:rsidRPr="000665B0">
        <w:rPr>
          <w:rStyle w:val="Hyperlink"/>
        </w:rPr>
        <w:t>.</w:t>
      </w:r>
    </w:p>
    <w:p w14:paraId="373AA47B" w14:textId="77777777" w:rsidR="00CC0B80" w:rsidRPr="000665B0" w:rsidRDefault="00CC0B80" w:rsidP="006D5A65">
      <w:pPr>
        <w:pStyle w:val="Heading1"/>
      </w:pPr>
      <w:r w:rsidRPr="000665B0">
        <w:t>Confirm or change the ACO(s)’ Process Order (not required if there is only one ACO). See below for changing the Process Order when there are multiple ACOs.</w:t>
      </w:r>
    </w:p>
    <w:p w14:paraId="5FC4D33B" w14:textId="77777777" w:rsidR="00CC0B80" w:rsidRPr="000665B0" w:rsidRDefault="00CC0B80" w:rsidP="006D5A65">
      <w:pPr>
        <w:pStyle w:val="Heading1"/>
      </w:pPr>
      <w:r w:rsidRPr="000665B0">
        <w:t>Complete the ACO(s)’ Start and Stop Times (month/year). See below under Edit/Times.</w:t>
      </w:r>
    </w:p>
    <w:p w14:paraId="1CE86264" w14:textId="62E1BA6C" w:rsidR="00CC0B80" w:rsidRPr="000665B0" w:rsidRDefault="00CC0B80" w:rsidP="006D5A65">
      <w:pPr>
        <w:pStyle w:val="Heading1"/>
      </w:pPr>
      <w:r w:rsidRPr="000665B0">
        <w:t xml:space="preserve">Click the Save </w:t>
      </w:r>
      <w:r w:rsidRPr="000665B0">
        <w:rPr>
          <w:noProof/>
        </w:rPr>
        <w:drawing>
          <wp:inline distT="0" distB="0" distL="0" distR="0" wp14:anchorId="311E67D2" wp14:editId="7681C152">
            <wp:extent cx="152400" cy="152400"/>
            <wp:effectExtent l="0" t="0" r="0" b="0"/>
            <wp:docPr id="374" name="Picture 374" descr="Description: save%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Description: save%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on the </w:t>
      </w:r>
      <w:r w:rsidR="00544BD6" w:rsidRPr="000665B0">
        <w:t>toolbar or</w:t>
      </w:r>
      <w:r w:rsidRPr="000665B0">
        <w:t xml:space="preserve"> select the Save option from the File pull down menu to save the Air Plan.</w:t>
      </w:r>
    </w:p>
    <w:p w14:paraId="1A1355A5" w14:textId="77777777" w:rsidR="00CC0B80" w:rsidRPr="000665B0" w:rsidRDefault="00CC0B80" w:rsidP="006D5A65">
      <w:pPr>
        <w:pStyle w:val="Heading1"/>
      </w:pPr>
      <w:r w:rsidRPr="000665B0">
        <w:t xml:space="preserve">Click the Process Air Plan icon </w:t>
      </w:r>
      <w:r w:rsidRPr="000665B0">
        <w:rPr>
          <w:noProof/>
        </w:rPr>
        <w:drawing>
          <wp:inline distT="0" distB="0" distL="0" distR="0" wp14:anchorId="6AE2656A" wp14:editId="0A5992D1">
            <wp:extent cx="171450" cy="171450"/>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71450" cy="171450"/>
                    </a:xfrm>
                    <a:prstGeom prst="rect">
                      <a:avLst/>
                    </a:prstGeom>
                    <a:noFill/>
                    <a:ln>
                      <a:noFill/>
                    </a:ln>
                  </pic:spPr>
                </pic:pic>
              </a:graphicData>
            </a:graphic>
          </wp:inline>
        </w:drawing>
      </w:r>
      <w:r w:rsidRPr="000665B0">
        <w:t xml:space="preserve"> to generate the ACMs.</w:t>
      </w:r>
    </w:p>
    <w:p w14:paraId="72C96112" w14:textId="77777777" w:rsidR="00CC0B80" w:rsidRPr="000665B0" w:rsidRDefault="00CC0B80" w:rsidP="006D5A65">
      <w:pPr>
        <w:pStyle w:val="Heading1"/>
      </w:pPr>
      <w:r w:rsidRPr="000665B0">
        <w:t xml:space="preserve">Hide the ACMs that are unsupported or undesired (right-click </w:t>
      </w:r>
      <w:r w:rsidRPr="000665B0">
        <w:rPr>
          <w:rFonts w:cs="Arial"/>
          <w:sz w:val="20"/>
        </w:rPr>
        <w:sym w:font="Wingdings" w:char="F0E0"/>
      </w:r>
      <w:r w:rsidRPr="000665B0">
        <w:rPr>
          <w:rFonts w:cs="Arial"/>
          <w:sz w:val="20"/>
        </w:rPr>
        <w:t xml:space="preserve"> </w:t>
      </w:r>
      <w:r w:rsidRPr="000665B0">
        <w:t>hide).</w:t>
      </w:r>
    </w:p>
    <w:p w14:paraId="329DF058" w14:textId="5CA587FA" w:rsidR="00CC0B80" w:rsidRPr="000665B0" w:rsidRDefault="00CC0B80" w:rsidP="006D5A65">
      <w:pPr>
        <w:pStyle w:val="Heading1"/>
      </w:pPr>
      <w:r w:rsidRPr="000665B0">
        <w:t xml:space="preserve">From the ACM list view, </w:t>
      </w:r>
      <w:r w:rsidR="00FB055D" w:rsidRPr="000665B0">
        <w:t xml:space="preserve">select </w:t>
      </w:r>
      <w:r w:rsidRPr="000665B0">
        <w:t xml:space="preserve">Create ACMS for all of the ACMs (right-click </w:t>
      </w:r>
      <w:r w:rsidRPr="000665B0">
        <w:rPr>
          <w:rFonts w:cs="Arial"/>
          <w:sz w:val="20"/>
        </w:rPr>
        <w:sym w:font="Wingdings" w:char="F0E0"/>
      </w:r>
      <w:r w:rsidRPr="000665B0">
        <w:rPr>
          <w:rFonts w:cs="Arial"/>
          <w:sz w:val="20"/>
        </w:rPr>
        <w:t xml:space="preserve"> </w:t>
      </w:r>
      <w:r w:rsidRPr="000665B0">
        <w:t>Create ACMS).</w:t>
      </w:r>
    </w:p>
    <w:p w14:paraId="701A1CBC" w14:textId="77777777" w:rsidR="00CC0B80" w:rsidRPr="000665B0" w:rsidRDefault="00CC0B80" w:rsidP="006D5A65">
      <w:pPr>
        <w:pStyle w:val="Heading1"/>
      </w:pPr>
      <w:r w:rsidRPr="000665B0">
        <w:t>Save the Air Plan.</w:t>
      </w:r>
    </w:p>
    <w:p w14:paraId="34CD3E0D" w14:textId="77777777" w:rsidR="00CC0B80" w:rsidRPr="000665B0" w:rsidRDefault="00CC0B80" w:rsidP="006D5A65">
      <w:pPr>
        <w:pStyle w:val="Heading1"/>
      </w:pPr>
      <w:r w:rsidRPr="000665B0">
        <w:t xml:space="preserve">Click the Generate ACMS Library icon </w:t>
      </w:r>
      <w:r w:rsidRPr="000665B0">
        <w:rPr>
          <w:noProof/>
        </w:rPr>
        <w:drawing>
          <wp:inline distT="0" distB="0" distL="0" distR="0" wp14:anchorId="2962006B" wp14:editId="2FB6CDF5">
            <wp:extent cx="171450" cy="171450"/>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71450" cy="171450"/>
                    </a:xfrm>
                    <a:prstGeom prst="rect">
                      <a:avLst/>
                    </a:prstGeom>
                    <a:noFill/>
                    <a:ln>
                      <a:noFill/>
                    </a:ln>
                  </pic:spPr>
                </pic:pic>
              </a:graphicData>
            </a:graphic>
          </wp:inline>
        </w:drawing>
      </w:r>
      <w:r w:rsidRPr="000665B0">
        <w:rPr>
          <w:noProof/>
        </w:rPr>
        <w:t xml:space="preserve"> </w:t>
      </w:r>
      <w:r w:rsidRPr="000665B0">
        <w:t>to bring up a new ACMS Library that contains all of the ACMSs that the Air Plan references. Save the ACMS Library.</w:t>
      </w:r>
    </w:p>
    <w:p w14:paraId="40D245F9" w14:textId="77777777" w:rsidR="00CC0B80" w:rsidRPr="000665B0" w:rsidRDefault="00CC0B80" w:rsidP="00CC0B80">
      <w:r w:rsidRPr="000665B0">
        <w:t>Alternatively, a quick method exists to convert an ACO to an ACMS(s):</w:t>
      </w:r>
    </w:p>
    <w:p w14:paraId="5DD345B6" w14:textId="77777777" w:rsidR="00CC0B80" w:rsidRPr="000665B0" w:rsidRDefault="00CC0B80" w:rsidP="006D5A65">
      <w:pPr>
        <w:pStyle w:val="Heading1"/>
      </w:pPr>
      <w:r w:rsidRPr="000665B0">
        <w:lastRenderedPageBreak/>
        <w:t>From the ACO list view, select the relevant ACO. I</w:t>
      </w:r>
      <w:r w:rsidRPr="000665B0">
        <w:rPr>
          <w:noProof/>
        </w:rPr>
        <w:t xml:space="preserve">nvoke the context menu (right-click the mouse), and select Create ACMS(s). A </w:t>
      </w:r>
      <w:r w:rsidRPr="000665B0">
        <w:rPr>
          <w:i/>
          <w:noProof/>
        </w:rPr>
        <w:t xml:space="preserve">Set Date for XXXX </w:t>
      </w:r>
      <w:r w:rsidRPr="000665B0">
        <w:rPr>
          <w:noProof/>
        </w:rPr>
        <w:t>window is displayed</w:t>
      </w:r>
      <w:r w:rsidRPr="000665B0">
        <w:t>.</w:t>
      </w:r>
    </w:p>
    <w:p w14:paraId="0D26324F" w14:textId="6DFE311B" w:rsidR="00CC0B80" w:rsidRPr="000665B0" w:rsidRDefault="00CC0B80" w:rsidP="006D5A65">
      <w:pPr>
        <w:pStyle w:val="Heading1"/>
      </w:pPr>
      <w:r w:rsidRPr="000665B0">
        <w:t>Complete the Start and Stop Times (month/year)</w:t>
      </w:r>
      <w:r w:rsidR="004E237F" w:rsidRPr="000665B0">
        <w:t xml:space="preserve"> and click OK</w:t>
      </w:r>
      <w:r w:rsidRPr="000665B0">
        <w:t xml:space="preserve">. A </w:t>
      </w:r>
      <w:r w:rsidRPr="000665B0">
        <w:rPr>
          <w:i/>
        </w:rPr>
        <w:t>Create ACMS(s): XXXX</w:t>
      </w:r>
      <w:r w:rsidRPr="000665B0">
        <w:t xml:space="preserve"> window is displayed which is divided into two panes:</w:t>
      </w:r>
    </w:p>
    <w:p w14:paraId="0D64B65A" w14:textId="77777777" w:rsidR="00CC0B80" w:rsidRPr="000665B0" w:rsidRDefault="00CC0B80" w:rsidP="006D5A65">
      <w:pPr>
        <w:pStyle w:val="Heading1"/>
      </w:pPr>
      <w:r w:rsidRPr="000665B0">
        <w:t>The Airspace Control Means pane lists ACM(s) and their details.</w:t>
      </w:r>
    </w:p>
    <w:p w14:paraId="6BB45044" w14:textId="0FF0DD47" w:rsidR="00CC0B80" w:rsidRPr="000665B0" w:rsidRDefault="00CC0B80" w:rsidP="006D5A65">
      <w:pPr>
        <w:pStyle w:val="Heading1"/>
      </w:pPr>
      <w:r w:rsidRPr="000665B0">
        <w:t xml:space="preserve">The </w:t>
      </w:r>
      <w:r w:rsidRPr="000665B0">
        <w:rPr>
          <w:i/>
        </w:rPr>
        <w:t>USMTF Data</w:t>
      </w:r>
      <w:r w:rsidRPr="000665B0">
        <w:t xml:space="preserve"> pane displays the raw USMTF message, which allows the user to view the original message.</w:t>
      </w:r>
      <w:r w:rsidR="009651B0">
        <w:t xml:space="preserve"> </w:t>
      </w:r>
    </w:p>
    <w:p w14:paraId="7F783C08" w14:textId="4C1E511F" w:rsidR="00CC0B80" w:rsidRPr="000665B0" w:rsidRDefault="00B506FA" w:rsidP="00CC0B80">
      <w:pPr>
        <w:jc w:val="center"/>
        <w:rPr>
          <w:noProof/>
        </w:rPr>
      </w:pPr>
      <w:r w:rsidRPr="000665B0">
        <w:rPr>
          <w:noProof/>
        </w:rPr>
        <w:drawing>
          <wp:inline distT="0" distB="0" distL="0" distR="0" wp14:anchorId="2A8AE3E2" wp14:editId="196F7E98">
            <wp:extent cx="3746789" cy="3638550"/>
            <wp:effectExtent l="0" t="0" r="0" b="0"/>
            <wp:docPr id="1235" name="Picture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769534" cy="3660638"/>
                    </a:xfrm>
                    <a:prstGeom prst="rect">
                      <a:avLst/>
                    </a:prstGeom>
                  </pic:spPr>
                </pic:pic>
              </a:graphicData>
            </a:graphic>
          </wp:inline>
        </w:drawing>
      </w:r>
    </w:p>
    <w:p w14:paraId="42A3FE82" w14:textId="77777777" w:rsidR="00CC0B80" w:rsidRPr="000665B0" w:rsidRDefault="00CC0B80" w:rsidP="006D5A65">
      <w:pPr>
        <w:pStyle w:val="Heading1"/>
        <w:rPr>
          <w:noProof/>
        </w:rPr>
      </w:pPr>
      <w:r w:rsidRPr="000665B0">
        <w:t xml:space="preserve">The ACMS(s) default to ACMS Type Prohibited Area. These are displayed in the Pre-Processed ACMs tab of the Airspace Control Means pane. ACMS(s) previously designated as Flight Corridor are displayed in the Review ACMs tab of the Airspace Control Means pane. The operator can change the ACMS Type </w:t>
      </w:r>
      <w:r w:rsidRPr="000665B0">
        <w:lastRenderedPageBreak/>
        <w:t xml:space="preserve">between Flight Corridor and Prohibited Area by clicking the Toggle icon </w:t>
      </w:r>
      <w:r w:rsidRPr="000665B0">
        <w:rPr>
          <w:noProof/>
          <w:position w:val="-8"/>
        </w:rPr>
        <w:drawing>
          <wp:inline distT="0" distB="0" distL="0" distR="0" wp14:anchorId="784D10FC" wp14:editId="3F919613">
            <wp:extent cx="190500" cy="200025"/>
            <wp:effectExtent l="0" t="0" r="0" b="9525"/>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90500" cy="200025"/>
                    </a:xfrm>
                    <a:prstGeom prst="rect">
                      <a:avLst/>
                    </a:prstGeom>
                    <a:noFill/>
                    <a:ln>
                      <a:noFill/>
                    </a:ln>
                  </pic:spPr>
                </pic:pic>
              </a:graphicData>
            </a:graphic>
          </wp:inline>
        </w:drawing>
      </w:r>
      <w:r w:rsidRPr="000665B0">
        <w:rPr>
          <w:noProof/>
        </w:rPr>
        <w:t xml:space="preserve"> in the Tool Bar.</w:t>
      </w:r>
    </w:p>
    <w:p w14:paraId="2867A7F4" w14:textId="1935EE99" w:rsidR="00CC0B80" w:rsidRPr="000665B0" w:rsidRDefault="00CC0B80" w:rsidP="006D5A65">
      <w:pPr>
        <w:pStyle w:val="Heading1"/>
      </w:pPr>
      <w:r w:rsidRPr="000665B0">
        <w:t xml:space="preserve">Click the Process ACO into ACMS(s) icon </w:t>
      </w:r>
      <w:r w:rsidRPr="000665B0">
        <w:rPr>
          <w:noProof/>
        </w:rPr>
        <w:drawing>
          <wp:inline distT="0" distB="0" distL="0" distR="0" wp14:anchorId="4F371A90" wp14:editId="1002E0FB">
            <wp:extent cx="171450" cy="171450"/>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71450" cy="171450"/>
                    </a:xfrm>
                    <a:prstGeom prst="rect">
                      <a:avLst/>
                    </a:prstGeom>
                    <a:noFill/>
                    <a:ln>
                      <a:noFill/>
                    </a:ln>
                  </pic:spPr>
                </pic:pic>
              </a:graphicData>
            </a:graphic>
          </wp:inline>
        </w:drawing>
      </w:r>
      <w:r w:rsidRPr="000665B0">
        <w:t xml:space="preserve"> to generate the ACMS(s). The ACMS(s) </w:t>
      </w:r>
      <w:r w:rsidR="00AA74A8" w:rsidRPr="000665B0">
        <w:t>is now</w:t>
      </w:r>
      <w:r w:rsidRPr="000665B0">
        <w:t xml:space="preserve"> listed in the ACMS Tool.</w:t>
      </w:r>
    </w:p>
    <w:p w14:paraId="2BA3169B" w14:textId="47E34ADB" w:rsidR="00CC0B80" w:rsidRPr="000665B0" w:rsidRDefault="00CC0B80" w:rsidP="0019287B">
      <w:pPr>
        <w:pStyle w:val="Heading3"/>
      </w:pPr>
      <w:bookmarkStart w:id="7248" w:name="_Toc159315680"/>
      <w:bookmarkStart w:id="7249" w:name="_Toc214283650"/>
      <w:r w:rsidRPr="000665B0">
        <w:t>Airspace Management Menu Options/Tool Bar Buttons</w:t>
      </w:r>
      <w:bookmarkEnd w:id="7248"/>
      <w:bookmarkEnd w:id="7249"/>
    </w:p>
    <w:p w14:paraId="2AA6FF6B" w14:textId="0C888005" w:rsidR="00CC0B80" w:rsidRPr="000665B0" w:rsidRDefault="0059150E" w:rsidP="00CC0B80">
      <w:pPr>
        <w:jc w:val="center"/>
      </w:pPr>
      <w:r w:rsidRPr="000665B0">
        <w:rPr>
          <w:noProof/>
        </w:rPr>
        <w:drawing>
          <wp:inline distT="0" distB="0" distL="0" distR="0" wp14:anchorId="67A50924" wp14:editId="09B9D662">
            <wp:extent cx="4892040" cy="1810512"/>
            <wp:effectExtent l="0" t="0" r="0" b="0"/>
            <wp:docPr id="1261"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892040" cy="1810512"/>
                    </a:xfrm>
                    <a:prstGeom prst="rect">
                      <a:avLst/>
                    </a:prstGeom>
                  </pic:spPr>
                </pic:pic>
              </a:graphicData>
            </a:graphic>
          </wp:inline>
        </w:drawing>
      </w:r>
    </w:p>
    <w:p w14:paraId="63A16DCE" w14:textId="77777777" w:rsidR="00CC0B80" w:rsidRPr="000665B0" w:rsidRDefault="00CC0B80" w:rsidP="00124640">
      <w:pPr>
        <w:spacing w:after="0" w:line="240" w:lineRule="auto"/>
      </w:pPr>
      <w:r w:rsidRPr="000665B0">
        <w:t xml:space="preserve">The </w:t>
      </w:r>
      <w:r w:rsidRPr="000665B0">
        <w:rPr>
          <w:b/>
          <w:bCs/>
        </w:rPr>
        <w:t>File</w:t>
      </w:r>
      <w:r w:rsidRPr="000665B0">
        <w:t xml:space="preserve"> menu options available for the Airspace Management Tool depend on which pane (Airspace Control Orders or Air Plans) and entries within that pane are being used. The menu items for each section are detailed below (ACO List View and Air Plans List View).</w:t>
      </w:r>
    </w:p>
    <w:p w14:paraId="42FE720B" w14:textId="3EC55EE9" w:rsidR="00CC0B80" w:rsidRPr="000665B0" w:rsidRDefault="00CC0B80" w:rsidP="0019287B">
      <w:pPr>
        <w:pStyle w:val="Heading3"/>
      </w:pPr>
      <w:bookmarkStart w:id="7250" w:name="_Toc159315681"/>
      <w:bookmarkStart w:id="7251" w:name="_Toc214283651"/>
      <w:r w:rsidRPr="000665B0">
        <w:t>Airspace Control Orders (ACOs)</w:t>
      </w:r>
      <w:bookmarkEnd w:id="7250"/>
      <w:bookmarkEnd w:id="7251"/>
    </w:p>
    <w:p w14:paraId="3669F3A7" w14:textId="77777777" w:rsidR="00CC0B80" w:rsidRPr="000665B0" w:rsidRDefault="00CC0B80" w:rsidP="00CC0B80">
      <w:r w:rsidRPr="000665B0">
        <w:t>ACOs are USMTF-formatted messages that are used to provide airspace management. An ACO provides the effective time of activation and the structure of the airspace to be used. The ACO’s structure may be defined as polyline, polyarc, radarc, track, polygon, circle, corridor, point, or orbit. MDS supports the USMTF 2000 specification with extended field formats in GeodeticDatum [2-25 ANBS] and AcmStatus [3-6 A] to allow for USMTF 2003 messages.</w:t>
      </w:r>
    </w:p>
    <w:p w14:paraId="19B5177A" w14:textId="77777777" w:rsidR="00CC0B80" w:rsidRPr="000665B0" w:rsidRDefault="00CC0B80" w:rsidP="00CC0B80">
      <w:r w:rsidRPr="000665B0">
        <w:t>Each of the ACO structures is defined as an Airspace Control Mean (</w:t>
      </w:r>
      <w:r w:rsidRPr="000665B0">
        <w:rPr>
          <w:b/>
        </w:rPr>
        <w:t>ACM</w:t>
      </w:r>
      <w:r w:rsidRPr="000665B0">
        <w:t>) object. These ACMs specify the type of airspace control mean, shape, usages, position, vertical dimension, and effective date and time. The types of ACM are air defense area, air defense operations area, air traffic control airspace, restricted operations zone, special use airspace, air corridor/route, procedural, and reference point. The type of airspace shapes are polyline, polyarc, radarc, track, polygon, point circle, corridor, point, and orbit.</w:t>
      </w:r>
    </w:p>
    <w:p w14:paraId="53525393" w14:textId="2665A943" w:rsidR="00CC0B80" w:rsidRPr="000665B0" w:rsidRDefault="00CC0B80" w:rsidP="00CC0B80">
      <w:r w:rsidRPr="000665B0">
        <w:t xml:space="preserve">ACOs may only be processed through the </w:t>
      </w:r>
      <w:r w:rsidRPr="000665B0">
        <w:rPr>
          <w:b/>
        </w:rPr>
        <w:t>Receive File</w:t>
      </w:r>
      <w:r w:rsidRPr="000665B0">
        <w:t xml:space="preserve"> menu under the </w:t>
      </w:r>
      <w:r w:rsidRPr="000665B0">
        <w:rPr>
          <w:b/>
        </w:rPr>
        <w:t>File</w:t>
      </w:r>
      <w:r w:rsidRPr="000665B0">
        <w:t xml:space="preserve"> main menu.</w:t>
      </w:r>
      <w:r w:rsidR="009651B0">
        <w:t xml:space="preserve"> </w:t>
      </w:r>
    </w:p>
    <w:p w14:paraId="185D0758" w14:textId="1C438B89" w:rsidR="00CC0B80" w:rsidRPr="000665B0" w:rsidRDefault="00CC0B80" w:rsidP="00CC0B80">
      <w:pPr>
        <w:spacing w:after="0"/>
      </w:pPr>
      <w:r w:rsidRPr="000665B0">
        <w:t xml:space="preserve">The Qualified Classification applied to an ACO will come from the Classification in the JANAP header. </w:t>
      </w:r>
      <w:r w:rsidR="00C51615" w:rsidRPr="000665B0">
        <w:t xml:space="preserve">MDS will set the incoming DDO’s status to </w:t>
      </w:r>
      <w:r w:rsidR="00C51615" w:rsidRPr="000665B0">
        <w:rPr>
          <w:b/>
        </w:rPr>
        <w:t>Failed</w:t>
      </w:r>
      <w:r w:rsidR="00C51615" w:rsidRPr="000665B0">
        <w:t xml:space="preserve"> and the ACO will not be processed i</w:t>
      </w:r>
      <w:r w:rsidRPr="000665B0">
        <w:t>f the JANAP header is not found</w:t>
      </w:r>
      <w:r w:rsidR="00C51615" w:rsidRPr="000665B0">
        <w:t>, is found but does not include a Classification,</w:t>
      </w:r>
      <w:r w:rsidR="00167D50" w:rsidRPr="000665B0">
        <w:t xml:space="preserve"> or </w:t>
      </w:r>
      <w:r w:rsidRPr="000665B0">
        <w:t>the ACO message</w:t>
      </w:r>
      <w:r w:rsidR="00C51615" w:rsidRPr="000665B0">
        <w:t xml:space="preserve"> is improperly formatted.</w:t>
      </w:r>
    </w:p>
    <w:p w14:paraId="43EF85BF" w14:textId="417BAF1C" w:rsidR="00CC0B80" w:rsidRPr="000665B0" w:rsidRDefault="00CC0B80" w:rsidP="0019287B">
      <w:pPr>
        <w:pStyle w:val="Heading4"/>
      </w:pPr>
      <w:bookmarkStart w:id="7252" w:name="_Toc159315682"/>
      <w:r w:rsidRPr="000665B0">
        <w:lastRenderedPageBreak/>
        <w:t>ACO List View</w:t>
      </w:r>
      <w:bookmarkEnd w:id="7252"/>
    </w:p>
    <w:p w14:paraId="56EAD4DD" w14:textId="1E0FA9E0" w:rsidR="005B423D" w:rsidRPr="000665B0" w:rsidRDefault="00A7426A" w:rsidP="005B423D">
      <w:pPr>
        <w:jc w:val="center"/>
      </w:pPr>
      <w:r w:rsidRPr="000665B0">
        <w:rPr>
          <w:noProof/>
        </w:rPr>
        <w:drawing>
          <wp:inline distT="0" distB="0" distL="0" distR="0" wp14:anchorId="6DADCE99" wp14:editId="3728ADC8">
            <wp:extent cx="4983480" cy="1645920"/>
            <wp:effectExtent l="0" t="0" r="0" b="0"/>
            <wp:docPr id="126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645920"/>
                    </a:xfrm>
                    <a:prstGeom prst="rect">
                      <a:avLst/>
                    </a:prstGeom>
                  </pic:spPr>
                </pic:pic>
              </a:graphicData>
            </a:graphic>
          </wp:inline>
        </w:drawing>
      </w:r>
    </w:p>
    <w:p w14:paraId="76B4DFDC" w14:textId="3DC15B95" w:rsidR="00C0113E" w:rsidRPr="000665B0" w:rsidRDefault="00CC0B80" w:rsidP="00CC0B80">
      <w:pPr>
        <w:spacing w:line="240" w:lineRule="auto"/>
      </w:pPr>
      <w:r w:rsidRPr="000665B0">
        <w:t xml:space="preserve">The ACO List View is shown in the top pane of the </w:t>
      </w:r>
      <w:r w:rsidRPr="000665B0">
        <w:rPr>
          <w:i/>
        </w:rPr>
        <w:t>Airspace Management</w:t>
      </w:r>
      <w:r w:rsidRPr="000665B0">
        <w:t xml:space="preserve"> window. </w:t>
      </w:r>
    </w:p>
    <w:p w14:paraId="09F51262" w14:textId="6E9E0713" w:rsidR="00CC0B80" w:rsidRPr="000665B0" w:rsidRDefault="00C0113E" w:rsidP="006D5A65">
      <w:pPr>
        <w:pStyle w:val="Heading1"/>
      </w:pPr>
      <w:r w:rsidRPr="000665B0">
        <w:t>File</w:t>
      </w:r>
      <w:r w:rsidR="00CC0B80" w:rsidRPr="000665B0">
        <w:t xml:space="preserve"> </w:t>
      </w:r>
      <w:r w:rsidRPr="000665B0">
        <w:t xml:space="preserve">Menu </w:t>
      </w:r>
    </w:p>
    <w:p w14:paraId="19CEE2E4" w14:textId="73446950" w:rsidR="00CC0B80" w:rsidRPr="000665B0" w:rsidRDefault="00CC0B80" w:rsidP="006D5A65">
      <w:pPr>
        <w:pStyle w:val="Heading2"/>
      </w:pPr>
      <w:r w:rsidRPr="000665B0">
        <w:t xml:space="preserve">New Air Plan – </w:t>
      </w:r>
      <w:r w:rsidR="00C0113E" w:rsidRPr="000665B0">
        <w:t>Invokes</w:t>
      </w:r>
      <w:r w:rsidRPr="000665B0">
        <w:t xml:space="preserve"> a new </w:t>
      </w:r>
      <w:r w:rsidRPr="000665B0">
        <w:rPr>
          <w:i/>
        </w:rPr>
        <w:t>Air Plan</w:t>
      </w:r>
      <w:r w:rsidRPr="000665B0">
        <w:t xml:space="preserve"> </w:t>
      </w:r>
      <w:r w:rsidR="00C0113E" w:rsidRPr="000665B0">
        <w:t>window</w:t>
      </w:r>
      <w:r w:rsidRPr="000665B0">
        <w:t xml:space="preserve">. Any selected ACOs are added into the new Air Plan. </w:t>
      </w:r>
    </w:p>
    <w:p w14:paraId="30E2FB87" w14:textId="77777777" w:rsidR="00CC0B80" w:rsidRPr="000665B0" w:rsidRDefault="00CC0B80" w:rsidP="006D5A65">
      <w:pPr>
        <w:pStyle w:val="Heading2"/>
      </w:pPr>
      <w:r w:rsidRPr="000665B0">
        <w:t xml:space="preserve">Display </w:t>
      </w:r>
    </w:p>
    <w:p w14:paraId="0ED83473" w14:textId="03198F43" w:rsidR="00CC0B80" w:rsidRPr="000665B0" w:rsidRDefault="00CC0B80" w:rsidP="006D5A65">
      <w:pPr>
        <w:pStyle w:val="Heading3"/>
      </w:pPr>
      <w:r w:rsidRPr="000665B0">
        <w:t xml:space="preserve">Textually – </w:t>
      </w:r>
      <w:r w:rsidR="00C0113E" w:rsidRPr="000665B0">
        <w:t>D</w:t>
      </w:r>
      <w:r w:rsidRPr="000665B0">
        <w:t>isplay</w:t>
      </w:r>
      <w:r w:rsidR="00C0113E" w:rsidRPr="000665B0">
        <w:t>s the textual view</w:t>
      </w:r>
      <w:r w:rsidRPr="000665B0">
        <w:t xml:space="preserve"> of the selected ACO(s). </w:t>
      </w:r>
    </w:p>
    <w:p w14:paraId="1760E16B" w14:textId="3B054F96" w:rsidR="00CC0B80" w:rsidRPr="000665B0" w:rsidRDefault="00CC0B80" w:rsidP="006D5A65">
      <w:pPr>
        <w:pStyle w:val="Heading3"/>
      </w:pPr>
      <w:r w:rsidRPr="000665B0">
        <w:t xml:space="preserve">References – </w:t>
      </w:r>
      <w:r w:rsidR="00C0113E" w:rsidRPr="000665B0">
        <w:t>Displays</w:t>
      </w:r>
      <w:r w:rsidRPr="000665B0">
        <w:t xml:space="preserve"> the</w:t>
      </w:r>
      <w:r w:rsidR="00406E78" w:rsidRPr="000665B0">
        <w:t xml:space="preserve"> Air Plans referenced by the</w:t>
      </w:r>
      <w:r w:rsidRPr="000665B0">
        <w:t xml:space="preserve"> selected ACO(s). For more information on References, </w:t>
      </w:r>
      <w:r w:rsidR="000A7E71" w:rsidRPr="000665B0">
        <w:t>s</w:t>
      </w:r>
      <w:r w:rsidR="00F02F03" w:rsidRPr="000665B0">
        <w:t>ee</w:t>
      </w:r>
      <w:r w:rsidRPr="000665B0">
        <w:t xml:space="preserve"> </w:t>
      </w:r>
      <w:hyperlink w:anchor="_5.2.1.2.3__Display_1" w:history="1">
        <w:r w:rsidRPr="000665B0">
          <w:rPr>
            <w:rStyle w:val="Hyperlink"/>
          </w:rPr>
          <w:t>Section 5.2.1.2.3</w:t>
        </w:r>
      </w:hyperlink>
      <w:r w:rsidRPr="000665B0">
        <w:t xml:space="preserve">. </w:t>
      </w:r>
    </w:p>
    <w:p w14:paraId="7AB47DD7" w14:textId="64D6DBE2" w:rsidR="00CC0B80" w:rsidRPr="000665B0" w:rsidRDefault="00C0113E" w:rsidP="006D5A65">
      <w:pPr>
        <w:pStyle w:val="Heading3"/>
      </w:pPr>
      <w:r w:rsidRPr="000665B0">
        <w:t xml:space="preserve">All </w:t>
      </w:r>
      <w:r w:rsidR="00CC0B80" w:rsidRPr="000665B0">
        <w:t xml:space="preserve">in Excel – </w:t>
      </w:r>
      <w:r w:rsidR="00406E78" w:rsidRPr="000665B0">
        <w:t xml:space="preserve">Creates an Excel document containing </w:t>
      </w:r>
      <w:r w:rsidR="009E7F72" w:rsidRPr="000665B0">
        <w:t xml:space="preserve">information for </w:t>
      </w:r>
      <w:r w:rsidR="00406E78" w:rsidRPr="000665B0">
        <w:t>all of the ACOs</w:t>
      </w:r>
      <w:r w:rsidR="009E7F72" w:rsidRPr="000665B0">
        <w:t xml:space="preserve"> in the list view</w:t>
      </w:r>
      <w:r w:rsidR="00406E78" w:rsidRPr="000665B0">
        <w:t>.</w:t>
      </w:r>
    </w:p>
    <w:p w14:paraId="794C953E" w14:textId="21BE5AB9" w:rsidR="00CC0B80" w:rsidRPr="000665B0" w:rsidRDefault="00CC0B80" w:rsidP="006D5A65">
      <w:pPr>
        <w:pStyle w:val="Heading2"/>
      </w:pPr>
      <w:r w:rsidRPr="000665B0">
        <w:t xml:space="preserve">Print All… – </w:t>
      </w:r>
      <w:r w:rsidR="00406E78" w:rsidRPr="000665B0">
        <w:t xml:space="preserve">Creates </w:t>
      </w:r>
      <w:r w:rsidRPr="000665B0">
        <w:t>a Microsoft Word document populated with the selected items.</w:t>
      </w:r>
    </w:p>
    <w:p w14:paraId="0A065A59" w14:textId="1EAB3B15" w:rsidR="00CC0B80" w:rsidRPr="000665B0" w:rsidRDefault="00CC0B80" w:rsidP="006D5A65">
      <w:pPr>
        <w:pStyle w:val="Heading2"/>
      </w:pPr>
      <w:r w:rsidRPr="000665B0">
        <w:t xml:space="preserve">Delete – </w:t>
      </w:r>
      <w:r w:rsidR="00C0113E" w:rsidRPr="000665B0">
        <w:t>Deletes</w:t>
      </w:r>
      <w:r w:rsidRPr="000665B0">
        <w:t xml:space="preserve"> the selected ACO(s). A reference window will be displayed if any of the selected ACO</w:t>
      </w:r>
      <w:r w:rsidR="00B5060D" w:rsidRPr="000665B0">
        <w:t>(</w:t>
      </w:r>
      <w:r w:rsidRPr="000665B0">
        <w:t>s</w:t>
      </w:r>
      <w:r w:rsidR="00B5060D" w:rsidRPr="000665B0">
        <w:t>)</w:t>
      </w:r>
      <w:r w:rsidRPr="000665B0">
        <w:t xml:space="preserve"> are being referenced by any Air Plans. </w:t>
      </w:r>
    </w:p>
    <w:p w14:paraId="30C4AE52" w14:textId="6A9A05E4" w:rsidR="00CC0B80" w:rsidRPr="000665B0" w:rsidRDefault="00CC0B80" w:rsidP="006D5A65">
      <w:pPr>
        <w:pStyle w:val="Heading2"/>
      </w:pPr>
      <w:r w:rsidRPr="000665B0">
        <w:t xml:space="preserve">Receive File – </w:t>
      </w:r>
      <w:r w:rsidR="00F02F03" w:rsidRPr="000665B0">
        <w:t>See</w:t>
      </w:r>
      <w:r w:rsidRPr="000665B0">
        <w:t xml:space="preserve"> </w:t>
      </w:r>
      <w:hyperlink w:anchor="_5.2.1.7__Receive" w:history="1">
        <w:r w:rsidRPr="000665B0">
          <w:rPr>
            <w:rStyle w:val="Hyperlink"/>
          </w:rPr>
          <w:t>Section 5.2.1.7</w:t>
        </w:r>
      </w:hyperlink>
      <w:r w:rsidR="00F73A77" w:rsidRPr="000665B0">
        <w:t>.</w:t>
      </w:r>
      <w:r w:rsidRPr="000665B0">
        <w:t xml:space="preserve"> </w:t>
      </w:r>
    </w:p>
    <w:p w14:paraId="04605D27" w14:textId="2C8EF7FE" w:rsidR="00CC0B80" w:rsidRPr="000665B0" w:rsidRDefault="00CC0B80" w:rsidP="0019287B">
      <w:pPr>
        <w:pStyle w:val="Heading4"/>
      </w:pPr>
      <w:bookmarkStart w:id="7253" w:name="_Toc159315683"/>
      <w:r w:rsidRPr="000665B0">
        <w:t>Airspace Control Order (ACO) Textual Display:</w:t>
      </w:r>
      <w:bookmarkEnd w:id="7253"/>
    </w:p>
    <w:p w14:paraId="7FE26114" w14:textId="251B3939" w:rsidR="00CC0B80" w:rsidRPr="000665B0" w:rsidRDefault="00CC0B80" w:rsidP="00CC0B80">
      <w:r w:rsidRPr="000665B0">
        <w:t xml:space="preserve">The ACO textual display provides a detailed view of a USMTF ACO Message. This view parses the message and displays the message information, ACO, ACM, and the USMTF data. The ACM List View displays the parsed ACMs to add, delete, or update. The </w:t>
      </w:r>
      <w:r w:rsidRPr="000665B0">
        <w:rPr>
          <w:b/>
          <w:i/>
        </w:rPr>
        <w:t>Status</w:t>
      </w:r>
      <w:r w:rsidRPr="000665B0">
        <w:t xml:space="preserve"> column specifies the proposed change for the ACM item. The </w:t>
      </w:r>
      <w:r w:rsidRPr="000665B0">
        <w:rPr>
          <w:b/>
          <w:i/>
        </w:rPr>
        <w:t>ACMS</w:t>
      </w:r>
      <w:r w:rsidRPr="000665B0">
        <w:t xml:space="preserve"> column specifies the referencing ACMS that was created from the ACM information. The </w:t>
      </w:r>
      <w:r w:rsidRPr="000665B0">
        <w:rPr>
          <w:b/>
          <w:i/>
        </w:rPr>
        <w:t>USMTF Data</w:t>
      </w:r>
      <w:r w:rsidRPr="000665B0">
        <w:t xml:space="preserve"> pane displays the raw USMTF message, which allows the user to view the original message.</w:t>
      </w:r>
      <w:r w:rsidR="009651B0">
        <w:t xml:space="preserve"> </w:t>
      </w:r>
    </w:p>
    <w:p w14:paraId="2AB33A26" w14:textId="77777777" w:rsidR="00CC0B80" w:rsidRPr="000665B0" w:rsidRDefault="00CC0B80" w:rsidP="00CC0B80">
      <w:r w:rsidRPr="000665B0">
        <w:lastRenderedPageBreak/>
        <w:t>When an ACM item is selected from the ACM list view, the ACM item in the USMTF Data pane is automatically highlighted. This allows the user to quickly search for a specific ACM item in the ACO message.</w:t>
      </w:r>
    </w:p>
    <w:p w14:paraId="38CA7D47" w14:textId="77735212" w:rsidR="00CC0B80" w:rsidRPr="000665B0" w:rsidRDefault="00B506FA" w:rsidP="00CC0B80">
      <w:pPr>
        <w:jc w:val="center"/>
        <w:rPr>
          <w:b/>
        </w:rPr>
      </w:pPr>
      <w:r w:rsidRPr="000665B0">
        <w:rPr>
          <w:noProof/>
        </w:rPr>
        <w:drawing>
          <wp:inline distT="0" distB="0" distL="0" distR="0" wp14:anchorId="6073D9C0" wp14:editId="1C685A3B">
            <wp:extent cx="4114800" cy="5010912"/>
            <wp:effectExtent l="0" t="0" r="0" b="0"/>
            <wp:docPr id="1253" name="Picture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5010912"/>
                    </a:xfrm>
                    <a:prstGeom prst="rect">
                      <a:avLst/>
                    </a:prstGeom>
                  </pic:spPr>
                </pic:pic>
              </a:graphicData>
            </a:graphic>
          </wp:inline>
        </w:drawing>
      </w:r>
    </w:p>
    <w:p w14:paraId="4B34CC7B" w14:textId="0D22077F" w:rsidR="00CC0B80" w:rsidRPr="000665B0" w:rsidRDefault="00CC0B80" w:rsidP="0019287B">
      <w:pPr>
        <w:pStyle w:val="Heading3"/>
      </w:pPr>
      <w:bookmarkStart w:id="7254" w:name="_Toc159315684"/>
      <w:bookmarkStart w:id="7255" w:name="_Toc214283652"/>
      <w:r w:rsidRPr="000665B0">
        <w:t>Air Plans</w:t>
      </w:r>
      <w:bookmarkEnd w:id="7254"/>
      <w:bookmarkEnd w:id="7255"/>
    </w:p>
    <w:p w14:paraId="439573A9" w14:textId="77777777" w:rsidR="00CC0B80" w:rsidRPr="000665B0" w:rsidRDefault="00CC0B80" w:rsidP="00CC0B80">
      <w:pPr>
        <w:spacing w:after="0"/>
      </w:pPr>
      <w:r w:rsidRPr="000665B0">
        <w:t xml:space="preserve">Air Plans are tools to manage ACOs and ACMs so that they can be utilized by the </w:t>
      </w:r>
      <w:r w:rsidR="003D6207" w:rsidRPr="000665B0">
        <w:t xml:space="preserve">TMPC </w:t>
      </w:r>
      <w:r w:rsidRPr="000665B0">
        <w:t>systems. Air Plans can be used to easily handle ACO revision changes and create ACMSs/ACMS Library. Once the ACMSs and ACMS Libraries are created, they can be used by the Strike Tool to coordinate the airspace measures. Air Plans provide the capabilities to view the raw USMTF formatted ACO/ACM data, prioritize ACOs, process ACMs based on the prioritized ACOs, hide ACMs, generate ACMSs from ACMs, and generate an ACMS library containing all of the ACMSs from the Air Plan.</w:t>
      </w:r>
    </w:p>
    <w:p w14:paraId="5782E03A" w14:textId="115C1468" w:rsidR="00CC0B80" w:rsidRPr="000665B0" w:rsidRDefault="00CC0B80" w:rsidP="0019287B">
      <w:pPr>
        <w:pStyle w:val="Heading4"/>
      </w:pPr>
      <w:bookmarkStart w:id="7256" w:name="_Toc159315685"/>
      <w:r w:rsidRPr="000665B0">
        <w:lastRenderedPageBreak/>
        <w:t>Air Plans List View</w:t>
      </w:r>
      <w:bookmarkEnd w:id="7256"/>
    </w:p>
    <w:p w14:paraId="52E0F5FF" w14:textId="38D9984C" w:rsidR="00CC0B80" w:rsidRPr="000665B0" w:rsidRDefault="00A7426A" w:rsidP="00CC0B80">
      <w:pPr>
        <w:spacing w:after="240"/>
        <w:jc w:val="center"/>
      </w:pPr>
      <w:r w:rsidRPr="000665B0">
        <w:rPr>
          <w:noProof/>
        </w:rPr>
        <w:drawing>
          <wp:inline distT="0" distB="0" distL="0" distR="0" wp14:anchorId="13FE5D32" wp14:editId="333967AF">
            <wp:extent cx="4983480" cy="1956816"/>
            <wp:effectExtent l="0" t="0" r="0" b="0"/>
            <wp:docPr id="1266" name="Pictur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983480" cy="1956816"/>
                    </a:xfrm>
                    <a:prstGeom prst="rect">
                      <a:avLst/>
                    </a:prstGeom>
                  </pic:spPr>
                </pic:pic>
              </a:graphicData>
            </a:graphic>
          </wp:inline>
        </w:drawing>
      </w:r>
      <w:r w:rsidR="0059150E" w:rsidRPr="000665B0">
        <w:rPr>
          <w:noProof/>
        </w:rPr>
        <w:t xml:space="preserve"> </w:t>
      </w:r>
    </w:p>
    <w:p w14:paraId="75231316" w14:textId="77777777" w:rsidR="00C0113E" w:rsidRPr="000665B0" w:rsidRDefault="00CC0B80" w:rsidP="00CC0B80">
      <w:r w:rsidRPr="000665B0">
        <w:t xml:space="preserve">The Air Plans List View is shown in the bottom pane of the </w:t>
      </w:r>
      <w:r w:rsidRPr="000665B0">
        <w:rPr>
          <w:i/>
        </w:rPr>
        <w:t>Airspace Management</w:t>
      </w:r>
      <w:r w:rsidRPr="000665B0">
        <w:t xml:space="preserve"> window. </w:t>
      </w:r>
    </w:p>
    <w:p w14:paraId="1B4A2B2E" w14:textId="543818EB" w:rsidR="00CC0B80" w:rsidRPr="000665B0" w:rsidRDefault="00CC0B80" w:rsidP="006D5A65">
      <w:pPr>
        <w:pStyle w:val="Heading1"/>
      </w:pPr>
      <w:r w:rsidRPr="000665B0">
        <w:rPr>
          <w:bCs/>
        </w:rPr>
        <w:t>File</w:t>
      </w:r>
      <w:r w:rsidRPr="000665B0">
        <w:t xml:space="preserve"> </w:t>
      </w:r>
      <w:r w:rsidR="00C0113E" w:rsidRPr="000665B0">
        <w:t>Menu</w:t>
      </w:r>
    </w:p>
    <w:p w14:paraId="07673AA3" w14:textId="5418114B" w:rsidR="00CC0B80" w:rsidRPr="000665B0" w:rsidRDefault="00CC0B80" w:rsidP="006D5A65">
      <w:pPr>
        <w:pStyle w:val="Heading2"/>
      </w:pPr>
      <w:r w:rsidRPr="000665B0">
        <w:t xml:space="preserve">New Air Plan </w:t>
      </w:r>
      <w:r w:rsidR="009E7F72" w:rsidRPr="000665B0">
        <w:t>– Invokes</w:t>
      </w:r>
      <w:r w:rsidRPr="000665B0">
        <w:t xml:space="preserve"> a new </w:t>
      </w:r>
      <w:r w:rsidRPr="000665B0">
        <w:rPr>
          <w:i/>
        </w:rPr>
        <w:t>Air Plan</w:t>
      </w:r>
      <w:r w:rsidRPr="000665B0">
        <w:t xml:space="preserve"> </w:t>
      </w:r>
      <w:r w:rsidR="009E7F72" w:rsidRPr="000665B0">
        <w:t>window</w:t>
      </w:r>
      <w:r w:rsidRPr="000665B0">
        <w:t xml:space="preserve">. </w:t>
      </w:r>
      <w:r w:rsidR="00B5060D" w:rsidRPr="000665B0">
        <w:t>Any selected ACOs are added into the new Air Plan.</w:t>
      </w:r>
    </w:p>
    <w:p w14:paraId="1E41382A" w14:textId="77777777" w:rsidR="00CC0B80" w:rsidRPr="000665B0" w:rsidRDefault="00CC0B80" w:rsidP="006D5A65">
      <w:pPr>
        <w:pStyle w:val="Heading2"/>
      </w:pPr>
      <w:r w:rsidRPr="000665B0">
        <w:t xml:space="preserve">Display </w:t>
      </w:r>
    </w:p>
    <w:p w14:paraId="47145888" w14:textId="00E08F57" w:rsidR="00CC0B80" w:rsidRPr="000665B0" w:rsidRDefault="00CC0B80" w:rsidP="006D5A65">
      <w:pPr>
        <w:pStyle w:val="Heading3"/>
      </w:pPr>
      <w:r w:rsidRPr="000665B0">
        <w:t xml:space="preserve">Textually </w:t>
      </w:r>
      <w:r w:rsidR="009E7F72" w:rsidRPr="000665B0">
        <w:t xml:space="preserve">– Displays the </w:t>
      </w:r>
      <w:r w:rsidRPr="000665B0">
        <w:t xml:space="preserve">textual </w:t>
      </w:r>
      <w:r w:rsidR="009E7F72" w:rsidRPr="000665B0">
        <w:t xml:space="preserve">view </w:t>
      </w:r>
      <w:r w:rsidRPr="000665B0">
        <w:t xml:space="preserve">of the selected Air Plan(s) or ACO(s). </w:t>
      </w:r>
    </w:p>
    <w:p w14:paraId="729538DD" w14:textId="70AB63AE" w:rsidR="00CC0B80" w:rsidRPr="000665B0" w:rsidRDefault="00CC0B80" w:rsidP="006D5A65">
      <w:pPr>
        <w:pStyle w:val="Heading3"/>
      </w:pPr>
      <w:r w:rsidRPr="000665B0">
        <w:t xml:space="preserve">Geographically </w:t>
      </w:r>
      <w:r w:rsidR="009E7F72" w:rsidRPr="000665B0">
        <w:t xml:space="preserve">– (Air Plan only). Displays the selected Air Plan(s) geographically including the </w:t>
      </w:r>
      <w:r w:rsidRPr="000665B0">
        <w:t xml:space="preserve">Air Plan’s associated ACMSs. </w:t>
      </w:r>
    </w:p>
    <w:p w14:paraId="61B35FDB" w14:textId="5C03DD47" w:rsidR="00CC0B80" w:rsidRPr="000665B0" w:rsidRDefault="00CC0B80" w:rsidP="006D5A65">
      <w:pPr>
        <w:pStyle w:val="Heading3"/>
      </w:pPr>
      <w:r w:rsidRPr="000665B0">
        <w:t xml:space="preserve">All in Excel </w:t>
      </w:r>
      <w:r w:rsidR="009E7F72" w:rsidRPr="000665B0">
        <w:t>–</w:t>
      </w:r>
      <w:r w:rsidR="009651B0">
        <w:t xml:space="preserve"> </w:t>
      </w:r>
      <w:r w:rsidR="009E7F72" w:rsidRPr="000665B0">
        <w:t>Creates an Excel document containing information for all of the Air Plans in the list view</w:t>
      </w:r>
      <w:r w:rsidRPr="000665B0">
        <w:t>.</w:t>
      </w:r>
    </w:p>
    <w:p w14:paraId="39715237" w14:textId="416B40B1" w:rsidR="00CC0B80" w:rsidRPr="000665B0" w:rsidRDefault="00CC0B80" w:rsidP="006D5A65">
      <w:pPr>
        <w:pStyle w:val="Heading2"/>
      </w:pPr>
      <w:r w:rsidRPr="000665B0">
        <w:t xml:space="preserve">Print All… </w:t>
      </w:r>
      <w:r w:rsidR="009E7F72" w:rsidRPr="000665B0">
        <w:t>– C</w:t>
      </w:r>
      <w:r w:rsidRPr="000665B0">
        <w:t>reates a Microsoft Word document populated with the selected items.</w:t>
      </w:r>
    </w:p>
    <w:p w14:paraId="4B6BD2E9" w14:textId="4A9D9FD7" w:rsidR="00CC0B80" w:rsidRPr="000665B0" w:rsidRDefault="00CC0B80" w:rsidP="006D5A65">
      <w:pPr>
        <w:pStyle w:val="Heading2"/>
      </w:pPr>
      <w:r w:rsidRPr="000665B0">
        <w:t xml:space="preserve">Delete </w:t>
      </w:r>
      <w:r w:rsidR="009E7F72" w:rsidRPr="000665B0">
        <w:t>– Deletes</w:t>
      </w:r>
      <w:r w:rsidRPr="000665B0">
        <w:t xml:space="preserve"> the selected Air Plan(s).</w:t>
      </w:r>
    </w:p>
    <w:p w14:paraId="028700B3" w14:textId="1D3D6715" w:rsidR="00CC0B80" w:rsidRPr="000665B0" w:rsidRDefault="00CC0B80" w:rsidP="006D5A65">
      <w:pPr>
        <w:pStyle w:val="Heading2"/>
      </w:pPr>
      <w:r w:rsidRPr="000665B0">
        <w:t>Receive File</w:t>
      </w:r>
      <w:r w:rsidR="00B5060D" w:rsidRPr="000665B0">
        <w:t xml:space="preserve"> – </w:t>
      </w:r>
      <w:r w:rsidR="00F02F03" w:rsidRPr="000665B0">
        <w:t>See</w:t>
      </w:r>
      <w:r w:rsidRPr="000665B0">
        <w:t xml:space="preserve"> </w:t>
      </w:r>
      <w:hyperlink w:anchor="_5.2.1.7__Receive" w:history="1">
        <w:r w:rsidRPr="000665B0">
          <w:rPr>
            <w:rStyle w:val="Hyperlink"/>
          </w:rPr>
          <w:t>Section 5.2.1.7</w:t>
        </w:r>
      </w:hyperlink>
      <w:r w:rsidR="00B5060D" w:rsidRPr="000665B0">
        <w:t>.</w:t>
      </w:r>
      <w:r w:rsidRPr="000665B0">
        <w:t xml:space="preserve"> </w:t>
      </w:r>
    </w:p>
    <w:p w14:paraId="10329485" w14:textId="77777777" w:rsidR="00CC0B80" w:rsidRPr="000665B0" w:rsidRDefault="00CC0B80" w:rsidP="00CC0B80">
      <w:r w:rsidRPr="000665B0">
        <w:t>Each Air Plan can be expanded/contracted to show its ACOs by clicking the +/- to the left of the Air Plan name.</w:t>
      </w:r>
    </w:p>
    <w:p w14:paraId="7F785C5A" w14:textId="1FCECBF9" w:rsidR="00CC0B80" w:rsidRPr="000665B0" w:rsidRDefault="00CC0B80" w:rsidP="0019287B">
      <w:pPr>
        <w:pStyle w:val="Heading4"/>
      </w:pPr>
      <w:bookmarkStart w:id="7257" w:name="_Toc159315686"/>
      <w:r w:rsidRPr="000665B0">
        <w:t>Air Plans Textual Display</w:t>
      </w:r>
      <w:bookmarkEnd w:id="7257"/>
    </w:p>
    <w:p w14:paraId="477BD5B7" w14:textId="1B4CDE50" w:rsidR="00CC0B80" w:rsidRPr="000665B0" w:rsidRDefault="00CC0B80" w:rsidP="00CC0B80">
      <w:r w:rsidRPr="000665B0">
        <w:t xml:space="preserve">The Air Plan textual display manages the airspaces defined in the USMTF-formatted ACOs. Since TLAMs only affect a subset of the full ACO, Air Plans may be used to aid the Air Manager in the ACO translation to </w:t>
      </w:r>
      <w:r w:rsidR="003D6207" w:rsidRPr="000665B0">
        <w:t>TMPC</w:t>
      </w:r>
      <w:r w:rsidRPr="000665B0">
        <w:t xml:space="preserve"> air structures. An Air Plan consists of ACO groupings which together produce a resultant set of ACMs. These ACMs may then be filtered down to a </w:t>
      </w:r>
      <w:r w:rsidRPr="000665B0">
        <w:lastRenderedPageBreak/>
        <w:t>desired set that TLAMs must comply with. Once a manageable ACM set is obtained, ACMSs can then be generated from these ACMs. These ACMSs can then be used to support TPS and TTWCS.</w:t>
      </w:r>
      <w:r w:rsidR="009651B0">
        <w:t xml:space="preserve"> </w:t>
      </w:r>
    </w:p>
    <w:p w14:paraId="74C2B268" w14:textId="46236B03" w:rsidR="00CC0B80" w:rsidRPr="000665B0" w:rsidRDefault="0059150E" w:rsidP="00CC0B80">
      <w:pPr>
        <w:jc w:val="center"/>
      </w:pPr>
      <w:r w:rsidRPr="000665B0">
        <w:rPr>
          <w:noProof/>
        </w:rPr>
        <w:drawing>
          <wp:inline distT="0" distB="0" distL="0" distR="0" wp14:anchorId="3094902B" wp14:editId="0B2FB735">
            <wp:extent cx="4983480" cy="3520440"/>
            <wp:effectExtent l="0" t="0" r="0" b="0"/>
            <wp:docPr id="1271" name="Picture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3520440"/>
                    </a:xfrm>
                    <a:prstGeom prst="rect">
                      <a:avLst/>
                    </a:prstGeom>
                  </pic:spPr>
                </pic:pic>
              </a:graphicData>
            </a:graphic>
          </wp:inline>
        </w:drawing>
      </w:r>
    </w:p>
    <w:p w14:paraId="0BE6751E" w14:textId="77777777" w:rsidR="008F2BAE" w:rsidRPr="000665B0" w:rsidRDefault="00CC0B80" w:rsidP="00CC0B80">
      <w:pPr>
        <w:spacing w:line="240" w:lineRule="auto"/>
      </w:pPr>
      <w:r w:rsidRPr="000665B0">
        <w:t xml:space="preserve">To create a new Air Plan: </w:t>
      </w:r>
    </w:p>
    <w:p w14:paraId="04FCD02F" w14:textId="77777777" w:rsidR="008F2BAE" w:rsidRPr="000665B0" w:rsidRDefault="00CC0B80" w:rsidP="006D5A65">
      <w:pPr>
        <w:pStyle w:val="Heading2"/>
      </w:pPr>
      <w:r w:rsidRPr="000665B0">
        <w:t xml:space="preserve">From the ACO list view, select the relevant ACO(s). </w:t>
      </w:r>
    </w:p>
    <w:p w14:paraId="2D23923F" w14:textId="57CD1BD1" w:rsidR="008F2BAE" w:rsidRPr="000665B0" w:rsidRDefault="00CC0B80" w:rsidP="006D5A65">
      <w:pPr>
        <w:pStyle w:val="Heading2"/>
      </w:pPr>
      <w:r w:rsidRPr="000665B0">
        <w:t>F</w:t>
      </w:r>
      <w:r w:rsidRPr="000665B0">
        <w:rPr>
          <w:noProof/>
        </w:rPr>
        <w:t xml:space="preserve">rom the File menu, or invoke the context menu (right-click the mouse), select New Air Plan, or </w:t>
      </w:r>
      <w:r w:rsidR="007A75CC" w:rsidRPr="000665B0">
        <w:rPr>
          <w:noProof/>
        </w:rPr>
        <w:t xml:space="preserve">click </w:t>
      </w:r>
      <w:r w:rsidRPr="000665B0">
        <w:rPr>
          <w:noProof/>
        </w:rPr>
        <w:t xml:space="preserve">the New </w:t>
      </w:r>
      <w:r w:rsidRPr="000665B0">
        <w:sym w:font="Webdings" w:char="F09D"/>
      </w:r>
      <w:r w:rsidRPr="000665B0">
        <w:t xml:space="preserve"> </w:t>
      </w:r>
      <w:r w:rsidRPr="000665B0">
        <w:rPr>
          <w:noProof/>
        </w:rPr>
        <w:t xml:space="preserve">icon on the toolbar. A New </w:t>
      </w:r>
      <w:r w:rsidRPr="000665B0">
        <w:rPr>
          <w:i/>
          <w:noProof/>
        </w:rPr>
        <w:t xml:space="preserve">Air Plan </w:t>
      </w:r>
      <w:r w:rsidRPr="000665B0">
        <w:rPr>
          <w:noProof/>
        </w:rPr>
        <w:t>window is displayed</w:t>
      </w:r>
      <w:r w:rsidR="00A5590D" w:rsidRPr="000665B0">
        <w:t xml:space="preserve"> </w:t>
      </w:r>
      <w:r w:rsidR="00AA1461" w:rsidRPr="000665B0">
        <w:t>that contains</w:t>
      </w:r>
      <w:r w:rsidR="00A5590D" w:rsidRPr="000665B0">
        <w:t xml:space="preserve"> the selected ACOs.</w:t>
      </w:r>
      <w:r w:rsidRPr="000665B0">
        <w:t xml:space="preserve"> </w:t>
      </w:r>
    </w:p>
    <w:p w14:paraId="5D33A8CC" w14:textId="5EDC0BCB" w:rsidR="008F2BAE" w:rsidRPr="000665B0" w:rsidRDefault="00A5590D" w:rsidP="006D5A65">
      <w:pPr>
        <w:pStyle w:val="Heading2"/>
      </w:pPr>
      <w:r w:rsidRPr="000665B0">
        <w:t>To add additional ACOs, r</w:t>
      </w:r>
      <w:r w:rsidR="008F2BAE" w:rsidRPr="000665B0">
        <w:t xml:space="preserve">ight click in the Airspace Control Orders pane and select Add. The </w:t>
      </w:r>
      <w:r w:rsidR="008F2BAE" w:rsidRPr="000665B0">
        <w:rPr>
          <w:i/>
        </w:rPr>
        <w:t>ACOs</w:t>
      </w:r>
      <w:r w:rsidR="008F2BAE" w:rsidRPr="000665B0">
        <w:t xml:space="preserve"> window is displayed. Select the desired ACO(s) and click OK.</w:t>
      </w:r>
      <w:r w:rsidR="00FB2AFA" w:rsidRPr="000665B0">
        <w:t xml:space="preserve"> Alternatively, drag and drop ACOs from the ACO list view in the main Airspace Management Tool or from an ACO selection display into the new Air Plan.</w:t>
      </w:r>
    </w:p>
    <w:p w14:paraId="154861B3" w14:textId="68CCC645" w:rsidR="008F2BAE" w:rsidRPr="000665B0" w:rsidRDefault="00CC0B80" w:rsidP="006D5A65">
      <w:pPr>
        <w:pStyle w:val="Heading2"/>
      </w:pPr>
      <w:r w:rsidRPr="000665B0">
        <w:t xml:space="preserve">An ACO </w:t>
      </w:r>
      <w:r w:rsidRPr="000665B0">
        <w:rPr>
          <w:i/>
        </w:rPr>
        <w:t xml:space="preserve">USMTF </w:t>
      </w:r>
      <w:r w:rsidR="008F2BAE" w:rsidRPr="000665B0">
        <w:rPr>
          <w:i/>
        </w:rPr>
        <w:t>Data</w:t>
      </w:r>
      <w:r w:rsidR="008F2BAE" w:rsidRPr="000665B0">
        <w:t xml:space="preserve"> </w:t>
      </w:r>
      <w:r w:rsidRPr="000665B0">
        <w:t>tab is added to the bottom tab control for every ACO added. The ACO’s processing order</w:t>
      </w:r>
      <w:r w:rsidR="00FB2AFA" w:rsidRPr="000665B0">
        <w:t xml:space="preserve"> may be changed if desired</w:t>
      </w:r>
      <w:r w:rsidRPr="000665B0">
        <w:t xml:space="preserve">. </w:t>
      </w:r>
    </w:p>
    <w:p w14:paraId="06D182DB" w14:textId="42078BDC" w:rsidR="008F2BAE" w:rsidRPr="000665B0" w:rsidRDefault="008F2BAE" w:rsidP="00985D13">
      <w:pPr>
        <w:spacing w:line="240" w:lineRule="auto"/>
        <w:jc w:val="center"/>
      </w:pPr>
      <w:r w:rsidRPr="000665B0">
        <w:rPr>
          <w:noProof/>
        </w:rPr>
        <w:lastRenderedPageBreak/>
        <w:drawing>
          <wp:inline distT="0" distB="0" distL="0" distR="0" wp14:anchorId="368D4094" wp14:editId="5C625707">
            <wp:extent cx="4983480" cy="1453896"/>
            <wp:effectExtent l="0" t="0" r="0" b="0"/>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4983480" cy="1453896"/>
                    </a:xfrm>
                    <a:prstGeom prst="rect">
                      <a:avLst/>
                    </a:prstGeom>
                    <a:ln>
                      <a:noFill/>
                    </a:ln>
                    <a:extLst>
                      <a:ext uri="{53640926-AAD7-44D8-BBD7-CCE9431645EC}">
                        <a14:shadowObscured xmlns:a14="http://schemas.microsoft.com/office/drawing/2010/main"/>
                      </a:ext>
                    </a:extLst>
                  </pic:spPr>
                </pic:pic>
              </a:graphicData>
            </a:graphic>
          </wp:inline>
        </w:drawing>
      </w:r>
    </w:p>
    <w:p w14:paraId="6E01FBD8" w14:textId="787E2ABD" w:rsidR="00A5590D" w:rsidRPr="000665B0" w:rsidRDefault="00CC0B80" w:rsidP="006D5A65">
      <w:pPr>
        <w:pStyle w:val="Heading2"/>
      </w:pPr>
      <w:r w:rsidRPr="000665B0">
        <w:t xml:space="preserve"> </w:t>
      </w:r>
      <w:r w:rsidR="00A5590D" w:rsidRPr="000665B0">
        <w:t xml:space="preserve">When the </w:t>
      </w:r>
      <w:r w:rsidRPr="000665B0">
        <w:t>Process Air Plan button</w:t>
      </w:r>
      <w:r w:rsidR="0089350C" w:rsidRPr="000665B0">
        <w:t xml:space="preserve"> </w:t>
      </w:r>
      <w:r w:rsidR="0089350C" w:rsidRPr="000665B0">
        <w:rPr>
          <w:noProof/>
          <w:position w:val="-2"/>
        </w:rPr>
        <w:drawing>
          <wp:inline distT="0" distB="0" distL="0" distR="0" wp14:anchorId="4303919C" wp14:editId="7AF5E3FC">
            <wp:extent cx="138546" cy="143874"/>
            <wp:effectExtent l="0" t="0" r="0" b="8890"/>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1292" cy="146725"/>
                    </a:xfrm>
                    <a:prstGeom prst="rect">
                      <a:avLst/>
                    </a:prstGeom>
                    <a:ln>
                      <a:noFill/>
                    </a:ln>
                    <a:extLst>
                      <a:ext uri="{53640926-AAD7-44D8-BBD7-CCE9431645EC}">
                        <a14:shadowObscured xmlns:a14="http://schemas.microsoft.com/office/drawing/2010/main"/>
                      </a:ext>
                    </a:extLst>
                  </pic:spPr>
                </pic:pic>
              </a:graphicData>
            </a:graphic>
          </wp:inline>
        </w:drawing>
      </w:r>
      <w:r w:rsidR="00A5590D" w:rsidRPr="000665B0">
        <w:t xml:space="preserve"> is clicked</w:t>
      </w:r>
      <w:r w:rsidRPr="000665B0">
        <w:t xml:space="preserve">, the ACM data for each of the ACOs is dynamically decoded and merged into the current set of ACMs. </w:t>
      </w:r>
    </w:p>
    <w:p w14:paraId="4851FFA2" w14:textId="1D97CB10" w:rsidR="00A5590D" w:rsidRPr="000665B0" w:rsidRDefault="00CC0B80" w:rsidP="006D5A65">
      <w:pPr>
        <w:pStyle w:val="Heading1"/>
      </w:pPr>
      <w:r w:rsidRPr="000665B0">
        <w:t xml:space="preserve">The enablement of the </w:t>
      </w:r>
      <w:r w:rsidR="00A5590D" w:rsidRPr="000665B0">
        <w:t xml:space="preserve">Process </w:t>
      </w:r>
      <w:r w:rsidRPr="000665B0">
        <w:t xml:space="preserve">button is dependent on whether there are pending saves instead of pending changes. Enabling the </w:t>
      </w:r>
      <w:r w:rsidR="00FF1887" w:rsidRPr="000665B0">
        <w:t xml:space="preserve">Process </w:t>
      </w:r>
      <w:r w:rsidRPr="000665B0">
        <w:t>button when there are no pending saves guarantee</w:t>
      </w:r>
      <w:r w:rsidR="00FF1887" w:rsidRPr="000665B0">
        <w:t>s</w:t>
      </w:r>
      <w:r w:rsidRPr="000665B0">
        <w:t xml:space="preserve"> that the Air Plan has valid data and has been successfully saved (the Air Plan must contain at least one ACO and those ACO[s] must have valid Start and Stop times). </w:t>
      </w:r>
    </w:p>
    <w:p w14:paraId="3BCC26B0" w14:textId="77777777" w:rsidR="00A5590D" w:rsidRPr="000665B0" w:rsidRDefault="00CC0B80" w:rsidP="006D5A65">
      <w:pPr>
        <w:pStyle w:val="Heading2"/>
      </w:pPr>
      <w:r w:rsidRPr="000665B0">
        <w:t xml:space="preserve">Upon completion of the Air Plan processing, the ACM list view will be populated with the resultant ACM set. For each ACM in the list view, the ACMS database will be searched to dynamically populate the ACMS Name data that was created from the exact ACM. Any differences between comparing the ACM and the referencing ACM stored with the ACMS will be treated as different ACMs. </w:t>
      </w:r>
    </w:p>
    <w:p w14:paraId="6C433351" w14:textId="219A75F0" w:rsidR="00CC0B80" w:rsidRPr="000665B0" w:rsidRDefault="00A5590D" w:rsidP="006D5A65">
      <w:pPr>
        <w:pStyle w:val="Heading2"/>
      </w:pPr>
      <w:r w:rsidRPr="000665B0">
        <w:t>Enter an</w:t>
      </w:r>
      <w:r w:rsidR="00CC0B80" w:rsidRPr="000665B0">
        <w:t xml:space="preserve"> Air Plan </w:t>
      </w:r>
      <w:r w:rsidRPr="000665B0">
        <w:t xml:space="preserve">name that is </w:t>
      </w:r>
      <w:r w:rsidR="00CC0B80" w:rsidRPr="000665B0">
        <w:t>a unique name across all Air Plans in MDS. The name must contain 1 to 30 alphanumeric characters, with no spaces or special characters.</w:t>
      </w:r>
      <w:r w:rsidRPr="000665B0">
        <w:t xml:space="preserve"> The name cannot be changed once an Air Plan has been saved.</w:t>
      </w:r>
    </w:p>
    <w:p w14:paraId="341DBEE3" w14:textId="7F2DB718" w:rsidR="00A5590D" w:rsidRPr="000665B0" w:rsidRDefault="00A5590D" w:rsidP="006D5A65">
      <w:pPr>
        <w:pStyle w:val="Heading2"/>
      </w:pPr>
      <w:r w:rsidRPr="000665B0">
        <w:t xml:space="preserve">Click on the Save </w:t>
      </w:r>
      <w:r w:rsidRPr="000665B0">
        <w:rPr>
          <w:rFonts w:ascii="Wingdings" w:hAnsi="Wingdings"/>
        </w:rPr>
        <w:t></w:t>
      </w:r>
      <w:r w:rsidRPr="000665B0">
        <w:t xml:space="preserve"> icon or select the </w:t>
      </w:r>
      <w:r w:rsidRPr="000665B0">
        <w:rPr>
          <w:bCs/>
        </w:rPr>
        <w:t>Save</w:t>
      </w:r>
      <w:r w:rsidRPr="000665B0">
        <w:t xml:space="preserve"> option from the </w:t>
      </w:r>
      <w:r w:rsidRPr="000665B0">
        <w:rPr>
          <w:bCs/>
        </w:rPr>
        <w:t>File</w:t>
      </w:r>
      <w:r w:rsidRPr="000665B0">
        <w:t xml:space="preserve"> pull down menu.</w:t>
      </w:r>
    </w:p>
    <w:p w14:paraId="6914AE39" w14:textId="77777777" w:rsidR="00CC0B80" w:rsidRPr="000665B0" w:rsidRDefault="00CC0B80" w:rsidP="006D5A65">
      <w:pPr>
        <w:pStyle w:val="Heading2"/>
      </w:pPr>
      <w:r w:rsidRPr="000665B0">
        <w:t>Air Plan Tool Bar:</w:t>
      </w:r>
    </w:p>
    <w:p w14:paraId="596CAE07" w14:textId="79647DF3" w:rsidR="00CC0B80" w:rsidRPr="000665B0" w:rsidRDefault="0059150E" w:rsidP="00CC0B80">
      <w:pPr>
        <w:jc w:val="center"/>
      </w:pPr>
      <w:r w:rsidRPr="000665B0">
        <w:rPr>
          <w:noProof/>
        </w:rPr>
        <w:drawing>
          <wp:inline distT="0" distB="0" distL="0" distR="0" wp14:anchorId="4F6CA24B" wp14:editId="159AE972">
            <wp:extent cx="1190625" cy="266700"/>
            <wp:effectExtent l="0" t="0" r="9525" b="0"/>
            <wp:docPr id="1272"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190625" cy="266700"/>
                    </a:xfrm>
                    <a:prstGeom prst="rect">
                      <a:avLst/>
                    </a:prstGeom>
                  </pic:spPr>
                </pic:pic>
              </a:graphicData>
            </a:graphic>
          </wp:inline>
        </w:drawing>
      </w:r>
    </w:p>
    <w:p w14:paraId="395D1CE8" w14:textId="27EE5761" w:rsidR="00CC0B80" w:rsidRPr="000665B0" w:rsidRDefault="00CC0B80" w:rsidP="006D5A65">
      <w:pPr>
        <w:pStyle w:val="Heading1"/>
      </w:pPr>
      <w:r w:rsidRPr="000665B0">
        <w:t xml:space="preserve">Display Geographically – </w:t>
      </w:r>
      <w:r w:rsidR="00B5060D" w:rsidRPr="000665B0">
        <w:t>Invokes</w:t>
      </w:r>
      <w:r w:rsidRPr="000665B0">
        <w:t xml:space="preserve"> the Geo Display </w:t>
      </w:r>
      <w:r w:rsidR="00B5060D" w:rsidRPr="000665B0">
        <w:t xml:space="preserve">tool </w:t>
      </w:r>
      <w:r w:rsidRPr="000665B0">
        <w:t>and displays all the ACMS(s) that reference the Air Plan’s ACM(s) (not including the hidden ACM[s]). This button is enabled when the Air Plan has already been saved and when there are no modifications.</w:t>
      </w:r>
    </w:p>
    <w:p w14:paraId="442ACC5E" w14:textId="7D9AE4C0" w:rsidR="00CC0B80" w:rsidRPr="000665B0" w:rsidRDefault="00CC0B80" w:rsidP="006D5A65">
      <w:pPr>
        <w:pStyle w:val="Heading1"/>
      </w:pPr>
      <w:r w:rsidRPr="000665B0">
        <w:t>Save –</w:t>
      </w:r>
      <w:r w:rsidR="00B5060D" w:rsidRPr="000665B0">
        <w:t>V</w:t>
      </w:r>
      <w:r w:rsidRPr="000665B0">
        <w:t xml:space="preserve">alidates and then saves the Air Plan to the database. If there are validation problems, an error pane is added to </w:t>
      </w:r>
      <w:r w:rsidRPr="000665B0">
        <w:lastRenderedPageBreak/>
        <w:t>the bottom of the display and the save is cancelled. These errors must be corrected before the Air Plan can be saved. In order to pass validation, the Air Plan name must be unique, the Air Plan must contain at least one ACO, and the month and year of each ACO’s start and stop times must be specified. Received ACO(s)’ Start and Stop times often contain the day, hours, and minutes, so the month and year must be specified before the Air Plan can be saved. The Save button is enabled when the Air Plan has pending changes. These changes are ACO process order, ACO Start/Stop time, ACO added/removed, ACM hidden/unhidden, and ACM processed/re-processed.</w:t>
      </w:r>
    </w:p>
    <w:p w14:paraId="38EF150E" w14:textId="3E0EFF89" w:rsidR="00CC0B80" w:rsidRPr="000665B0" w:rsidRDefault="00CC0B80" w:rsidP="006D5A65">
      <w:pPr>
        <w:pStyle w:val="Heading1"/>
      </w:pPr>
      <w:r w:rsidRPr="000665B0">
        <w:t xml:space="preserve">Print – </w:t>
      </w:r>
      <w:r w:rsidR="00B5060D" w:rsidRPr="000665B0">
        <w:t>Invokes</w:t>
      </w:r>
      <w:r w:rsidRPr="000665B0">
        <w:t xml:space="preserve"> a print property’s </w:t>
      </w:r>
      <w:r w:rsidR="00B5060D" w:rsidRPr="000665B0">
        <w:t xml:space="preserve">window </w:t>
      </w:r>
      <w:r w:rsidRPr="000665B0">
        <w:t>to print the Air Plan.</w:t>
      </w:r>
    </w:p>
    <w:p w14:paraId="47078AEF" w14:textId="606DED74" w:rsidR="00CC0B80" w:rsidRPr="000665B0" w:rsidRDefault="00CC0B80" w:rsidP="006D5A65">
      <w:pPr>
        <w:pStyle w:val="Heading1"/>
      </w:pPr>
      <w:r w:rsidRPr="000665B0">
        <w:t xml:space="preserve">Process Air Plan – </w:t>
      </w:r>
      <w:r w:rsidR="00B5060D" w:rsidRPr="000665B0">
        <w:t xml:space="preserve">Processes </w:t>
      </w:r>
      <w:r w:rsidRPr="000665B0">
        <w:t xml:space="preserve">all of the ACO(s) based on their process order and populates the resulting ACM(s). Any ACM(s) that were previously hidden will remain hidden. This button is enabled when the Air Plan has already been saved and when there are no modifications (no pending save). </w:t>
      </w:r>
    </w:p>
    <w:p w14:paraId="0769CC4B" w14:textId="77777777" w:rsidR="00CC0B80" w:rsidRPr="000665B0" w:rsidRDefault="00CC0B80" w:rsidP="00AE1E80">
      <w:pPr>
        <w:spacing w:line="240" w:lineRule="auto"/>
        <w:ind w:left="1080"/>
      </w:pPr>
      <w:r w:rsidRPr="000665B0">
        <w:t>When the process button is selected, MDS performs the following steps:</w:t>
      </w:r>
    </w:p>
    <w:p w14:paraId="00CF0815" w14:textId="77777777" w:rsidR="00CC0B80" w:rsidRPr="000665B0" w:rsidRDefault="00CC0B80" w:rsidP="006D5A65">
      <w:pPr>
        <w:pStyle w:val="Heading5"/>
      </w:pPr>
      <w:r w:rsidRPr="000665B0">
        <w:t>Gets the collection of ACMs that are currently hidden so that they remain hidden when the new set of ACMs are generated.</w:t>
      </w:r>
    </w:p>
    <w:p w14:paraId="2175AEE6" w14:textId="77777777" w:rsidR="00CC0B80" w:rsidRPr="000665B0" w:rsidRDefault="00CC0B80" w:rsidP="006D5A65">
      <w:pPr>
        <w:pStyle w:val="Heading5"/>
      </w:pPr>
      <w:r w:rsidRPr="000665B0">
        <w:t>Decodes each of the ACOs based on its process order.</w:t>
      </w:r>
    </w:p>
    <w:p w14:paraId="3AC379E9" w14:textId="77777777" w:rsidR="00CC0B80" w:rsidRPr="000665B0" w:rsidRDefault="00CC0B80" w:rsidP="006D5A65">
      <w:pPr>
        <w:pStyle w:val="Heading3"/>
      </w:pPr>
      <w:r w:rsidRPr="000665B0">
        <w:t>Gets the set of ACMs to add, update, or delete from the ACO.</w:t>
      </w:r>
    </w:p>
    <w:p w14:paraId="7828A224" w14:textId="77777777" w:rsidR="00CC0B80" w:rsidRPr="000665B0" w:rsidRDefault="00CC0B80" w:rsidP="006D5A65">
      <w:pPr>
        <w:pStyle w:val="Heading5"/>
      </w:pPr>
      <w:r w:rsidRPr="000665B0">
        <w:t>Merges each of the ACO(s)’ ACMs to the resulting ACMs collection.</w:t>
      </w:r>
    </w:p>
    <w:p w14:paraId="49E133F7" w14:textId="77777777" w:rsidR="00CC0B80" w:rsidRPr="000665B0" w:rsidRDefault="00CC0B80" w:rsidP="006D5A65">
      <w:pPr>
        <w:pStyle w:val="Heading3"/>
      </w:pPr>
      <w:r w:rsidRPr="000665B0">
        <w:t>Deletes any specified ACMs in the current ACO from the resulting ACMs collection.</w:t>
      </w:r>
    </w:p>
    <w:p w14:paraId="5F93725B" w14:textId="77777777" w:rsidR="00CC0B80" w:rsidRPr="000665B0" w:rsidRDefault="00CC0B80" w:rsidP="006D5A65">
      <w:pPr>
        <w:pStyle w:val="Heading5"/>
      </w:pPr>
      <w:r w:rsidRPr="000665B0">
        <w:t>Compiles all the ACM Identifiers to delete.</w:t>
      </w:r>
    </w:p>
    <w:p w14:paraId="3696EEEA" w14:textId="77777777" w:rsidR="00CC0B80" w:rsidRPr="000665B0" w:rsidRDefault="00CC0B80" w:rsidP="006D5A65">
      <w:pPr>
        <w:pStyle w:val="Heading5"/>
      </w:pPr>
      <w:r w:rsidRPr="000665B0">
        <w:t>Expands all Identifiers with the RANG field descriptor.</w:t>
      </w:r>
    </w:p>
    <w:p w14:paraId="57586963" w14:textId="08B9B60D" w:rsidR="00CC0B80" w:rsidRPr="000665B0" w:rsidRDefault="00CC0B80" w:rsidP="006D5A65">
      <w:pPr>
        <w:pStyle w:val="Heading1"/>
      </w:pPr>
      <w:r w:rsidRPr="000665B0">
        <w:t xml:space="preserve">When splitting the range Identifiers, assumes that the alpha –character prefix (if any) will be the same in both the low and high ranges. </w:t>
      </w:r>
      <w:r w:rsidR="003509EA" w:rsidRPr="000665B0">
        <w:t xml:space="preserve">i.e., </w:t>
      </w:r>
      <w:r w:rsidRPr="000665B0">
        <w:t xml:space="preserve">A1-A3 (A1, A2, A3), or 1-3 (1, 2, 3). For other range </w:t>
      </w:r>
      <w:r w:rsidRPr="000665B0">
        <w:lastRenderedPageBreak/>
        <w:t xml:space="preserve">identifiers patterns, these range identifier patterns are </w:t>
      </w:r>
      <w:r w:rsidR="00544BD6" w:rsidRPr="000665B0">
        <w:t>unknown,</w:t>
      </w:r>
      <w:r w:rsidRPr="000665B0">
        <w:t xml:space="preserve"> and the range identifiers will not be expanded.</w:t>
      </w:r>
      <w:r w:rsidR="009651B0">
        <w:t xml:space="preserve"> </w:t>
      </w:r>
    </w:p>
    <w:p w14:paraId="75CFE7C2" w14:textId="77777777" w:rsidR="00CC0B80" w:rsidRPr="000665B0" w:rsidRDefault="00CC0B80" w:rsidP="006D5A65">
      <w:pPr>
        <w:pStyle w:val="Heading1"/>
      </w:pPr>
      <w:r w:rsidRPr="000665B0">
        <w:t>Appends the DESIG designator to each of the expanded Identifiers. i.e., RANG:A1-A3 (DESIG:A1, DESIG:A2, DESIG:A3).</w:t>
      </w:r>
    </w:p>
    <w:p w14:paraId="43FAF3CA" w14:textId="77777777" w:rsidR="00CC0B80" w:rsidRPr="000665B0" w:rsidRDefault="00CC0B80" w:rsidP="006D5A65">
      <w:pPr>
        <w:pStyle w:val="Heading1"/>
      </w:pPr>
      <w:r w:rsidRPr="000665B0">
        <w:t>Adds the newly formatted Identifier to the list of ACM Identifiers to delete.</w:t>
      </w:r>
    </w:p>
    <w:p w14:paraId="0D675F08" w14:textId="77777777" w:rsidR="00CC0B80" w:rsidRPr="000665B0" w:rsidRDefault="00CC0B80" w:rsidP="006D5A65">
      <w:pPr>
        <w:pStyle w:val="Heading3"/>
      </w:pPr>
      <w:r w:rsidRPr="000665B0">
        <w:t>Adds or updates any specified ACMs in the current ACO to the resulting ACMs collection.</w:t>
      </w:r>
    </w:p>
    <w:p w14:paraId="51B576CB" w14:textId="77777777" w:rsidR="00CC0B80" w:rsidRPr="000665B0" w:rsidRDefault="00CC0B80" w:rsidP="006D5A65">
      <w:pPr>
        <w:pStyle w:val="Heading1"/>
      </w:pPr>
      <w:r w:rsidRPr="000665B0">
        <w:t>Adds the ACM to the resulting collection if it does not already exist.</w:t>
      </w:r>
    </w:p>
    <w:p w14:paraId="399B2F20" w14:textId="77777777" w:rsidR="00CC0B80" w:rsidRPr="000665B0" w:rsidRDefault="00CC0B80" w:rsidP="006D5A65">
      <w:pPr>
        <w:pStyle w:val="Heading1"/>
      </w:pPr>
      <w:r w:rsidRPr="000665B0">
        <w:t>Replaces the ACM in the resulting collection if the ACM already exists in the collection.</w:t>
      </w:r>
    </w:p>
    <w:p w14:paraId="116BAF40" w14:textId="77777777" w:rsidR="00CC0B80" w:rsidRPr="000665B0" w:rsidRDefault="00CC0B80" w:rsidP="006D5A65">
      <w:pPr>
        <w:pStyle w:val="Heading5"/>
      </w:pPr>
      <w:r w:rsidRPr="000665B0">
        <w:t>Once all of the ACO(s) have been processed, removes all the initially hidden ACMs from the resulting ACMs collection.</w:t>
      </w:r>
    </w:p>
    <w:p w14:paraId="6B2EEECF" w14:textId="743B6E4D" w:rsidR="00CC0B80" w:rsidRPr="000665B0" w:rsidRDefault="00CC0B80" w:rsidP="006D5A65">
      <w:pPr>
        <w:pStyle w:val="Heading1"/>
      </w:pPr>
      <w:r w:rsidRPr="000665B0">
        <w:t xml:space="preserve">Generate ACMS Library – </w:t>
      </w:r>
      <w:r w:rsidR="00B5060D" w:rsidRPr="000665B0">
        <w:t>G</w:t>
      </w:r>
      <w:r w:rsidRPr="000665B0">
        <w:t>enerates an ACMS Library based on the ACMS(s) that references the Air Plan’s ACM(s). This button is enabled when the Air Plan has already been saved and when there are no pending modifications.</w:t>
      </w:r>
    </w:p>
    <w:p w14:paraId="028C5CC3" w14:textId="5EC4671A" w:rsidR="00CC0B80" w:rsidRPr="000665B0" w:rsidRDefault="00CC0B80" w:rsidP="00A0163E">
      <w:pPr>
        <w:rPr>
          <w:b/>
        </w:rPr>
      </w:pPr>
      <w:r w:rsidRPr="000665B0">
        <w:rPr>
          <w:b/>
        </w:rPr>
        <w:t>Airspace Control Orders</w:t>
      </w:r>
      <w:r w:rsidR="00013540" w:rsidRPr="000665B0">
        <w:t xml:space="preserve"> pane</w:t>
      </w:r>
      <w:r w:rsidRPr="000665B0">
        <w:rPr>
          <w:b/>
        </w:rPr>
        <w:t>:</w:t>
      </w:r>
    </w:p>
    <w:p w14:paraId="5DCF4522" w14:textId="1041BDBA" w:rsidR="00CC0B80" w:rsidRPr="000665B0" w:rsidRDefault="0059150E" w:rsidP="00CC0B80">
      <w:pPr>
        <w:jc w:val="center"/>
      </w:pPr>
      <w:r w:rsidRPr="000665B0">
        <w:rPr>
          <w:noProof/>
        </w:rPr>
        <w:drawing>
          <wp:inline distT="0" distB="0" distL="0" distR="0" wp14:anchorId="6FE01C8B" wp14:editId="70BD061A">
            <wp:extent cx="4983480" cy="603504"/>
            <wp:effectExtent l="0" t="0" r="0" b="0"/>
            <wp:docPr id="1275" name="Pictur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603504"/>
                    </a:xfrm>
                    <a:prstGeom prst="rect">
                      <a:avLst/>
                    </a:prstGeom>
                  </pic:spPr>
                </pic:pic>
              </a:graphicData>
            </a:graphic>
          </wp:inline>
        </w:drawing>
      </w:r>
      <w:r w:rsidRPr="000665B0">
        <w:rPr>
          <w:noProof/>
        </w:rPr>
        <w:t xml:space="preserve"> </w:t>
      </w:r>
    </w:p>
    <w:p w14:paraId="739C0E34" w14:textId="77777777" w:rsidR="00CC0B80" w:rsidRPr="000665B0" w:rsidRDefault="00CC0B80" w:rsidP="00CC0B80">
      <w:r w:rsidRPr="000665B0">
        <w:t>The ACOs list view consists of ACO(s) managed by the Air Plan. New or updated versions of ACO(s) may be added to change the Air Plan.</w:t>
      </w:r>
    </w:p>
    <w:p w14:paraId="44D9E477" w14:textId="77777777" w:rsidR="00CC0B80" w:rsidRPr="000665B0" w:rsidRDefault="00CC0B80" w:rsidP="00CC0B80">
      <w:r w:rsidRPr="000665B0">
        <w:t xml:space="preserve">Each ACO is automatically given a process order when it is initially added. The process order may be edited from the context menu (right-click the mouse) </w:t>
      </w:r>
      <w:r w:rsidRPr="000665B0">
        <w:rPr>
          <w:b/>
        </w:rPr>
        <w:t xml:space="preserve">Edit </w:t>
      </w:r>
      <w:r w:rsidRPr="000665B0">
        <w:rPr>
          <w:rFonts w:ascii="Arial" w:hAnsi="Arial" w:cs="Arial"/>
          <w:sz w:val="20"/>
        </w:rPr>
        <w:sym w:font="Wingdings" w:char="F0E0"/>
      </w:r>
      <w:r w:rsidRPr="000665B0">
        <w:rPr>
          <w:rFonts w:ascii="Arial" w:hAnsi="Arial" w:cs="Arial"/>
          <w:sz w:val="20"/>
        </w:rPr>
        <w:t xml:space="preserve"> </w:t>
      </w:r>
      <w:r w:rsidRPr="000665B0">
        <w:rPr>
          <w:b/>
        </w:rPr>
        <w:t>Process Order</w:t>
      </w:r>
      <w:r w:rsidRPr="000665B0">
        <w:t>. Process orders are automatically reordered when ACO(s) are removed.</w:t>
      </w:r>
    </w:p>
    <w:p w14:paraId="761E8191" w14:textId="19A0DD70" w:rsidR="00CC0B80" w:rsidRPr="000665B0" w:rsidRDefault="00E966BF" w:rsidP="006D5A65">
      <w:pPr>
        <w:pStyle w:val="Heading1"/>
      </w:pPr>
      <w:r w:rsidRPr="000665B0">
        <w:t xml:space="preserve">Airspace Control Orders </w:t>
      </w:r>
      <w:r w:rsidR="00CC0B80" w:rsidRPr="000665B0">
        <w:t>Context Menu</w:t>
      </w:r>
    </w:p>
    <w:p w14:paraId="217B7A58" w14:textId="4CFBF9C1" w:rsidR="00CC0B80" w:rsidRPr="000665B0" w:rsidRDefault="00CC0B80" w:rsidP="006D5A65">
      <w:pPr>
        <w:pStyle w:val="Heading2"/>
      </w:pPr>
      <w:r w:rsidRPr="000665B0">
        <w:t xml:space="preserve">New Air Plan – </w:t>
      </w:r>
      <w:r w:rsidR="00B5060D" w:rsidRPr="000665B0">
        <w:t>Invokes</w:t>
      </w:r>
      <w:r w:rsidRPr="000665B0">
        <w:t xml:space="preserve"> a new </w:t>
      </w:r>
      <w:r w:rsidRPr="000665B0">
        <w:rPr>
          <w:i/>
        </w:rPr>
        <w:t>Air Plan</w:t>
      </w:r>
      <w:r w:rsidRPr="000665B0">
        <w:t xml:space="preserve"> window</w:t>
      </w:r>
      <w:r w:rsidR="00B5060D" w:rsidRPr="000665B0">
        <w:t xml:space="preserve">. Any </w:t>
      </w:r>
      <w:r w:rsidRPr="000665B0">
        <w:t>selected ACOs</w:t>
      </w:r>
      <w:r w:rsidR="00B5060D" w:rsidRPr="000665B0">
        <w:t xml:space="preserve"> are added into the new Air Plan</w:t>
      </w:r>
      <w:r w:rsidRPr="000665B0">
        <w:t>.</w:t>
      </w:r>
    </w:p>
    <w:p w14:paraId="191156A4" w14:textId="79A94F1B" w:rsidR="00CC0B80" w:rsidRPr="000665B0" w:rsidRDefault="00CC0B80" w:rsidP="006D5A65">
      <w:pPr>
        <w:pStyle w:val="Heading2"/>
      </w:pPr>
      <w:r w:rsidRPr="000665B0">
        <w:t xml:space="preserve">Add… – </w:t>
      </w:r>
      <w:r w:rsidR="00B5060D" w:rsidRPr="000665B0">
        <w:t>Invokes</w:t>
      </w:r>
      <w:r w:rsidRPr="000665B0">
        <w:t xml:space="preserve"> an </w:t>
      </w:r>
      <w:r w:rsidRPr="000665B0">
        <w:rPr>
          <w:i/>
        </w:rPr>
        <w:t>ACOs</w:t>
      </w:r>
      <w:r w:rsidRPr="000665B0">
        <w:t xml:space="preserve"> window to select and add ACO(s) to the Air Plan.</w:t>
      </w:r>
    </w:p>
    <w:p w14:paraId="49358ECB" w14:textId="77777777" w:rsidR="00CC0B80" w:rsidRPr="000665B0" w:rsidRDefault="00CC0B80" w:rsidP="006D5A65">
      <w:pPr>
        <w:pStyle w:val="Heading2"/>
      </w:pPr>
      <w:r w:rsidRPr="000665B0">
        <w:t>Display</w:t>
      </w:r>
    </w:p>
    <w:p w14:paraId="26B3EAF3" w14:textId="6AD928DA" w:rsidR="00CC0B80" w:rsidRPr="000665B0" w:rsidRDefault="00CC0B80" w:rsidP="006D5A65">
      <w:pPr>
        <w:pStyle w:val="Heading3"/>
      </w:pPr>
      <w:r w:rsidRPr="000665B0">
        <w:lastRenderedPageBreak/>
        <w:t xml:space="preserve">Textually – </w:t>
      </w:r>
      <w:r w:rsidR="00B5060D" w:rsidRPr="000665B0">
        <w:t xml:space="preserve">Displays the </w:t>
      </w:r>
      <w:r w:rsidRPr="000665B0">
        <w:t xml:space="preserve">textual </w:t>
      </w:r>
      <w:r w:rsidR="00B5060D" w:rsidRPr="000665B0">
        <w:t xml:space="preserve">view </w:t>
      </w:r>
      <w:r w:rsidRPr="000665B0">
        <w:t>of the selected ACO(s).</w:t>
      </w:r>
    </w:p>
    <w:p w14:paraId="5F4920A7" w14:textId="7131E479" w:rsidR="00CC0B80" w:rsidRPr="000665B0" w:rsidRDefault="00CC0B80" w:rsidP="006D5A65">
      <w:pPr>
        <w:pStyle w:val="Heading3"/>
      </w:pPr>
      <w:r w:rsidRPr="000665B0">
        <w:t xml:space="preserve">References – </w:t>
      </w:r>
      <w:r w:rsidR="00954356" w:rsidRPr="000665B0">
        <w:t>Displays the Air Plans</w:t>
      </w:r>
      <w:r w:rsidRPr="000665B0">
        <w:t xml:space="preserve"> reference</w:t>
      </w:r>
      <w:r w:rsidR="00954356" w:rsidRPr="000665B0">
        <w:t>d by</w:t>
      </w:r>
      <w:r w:rsidRPr="000665B0">
        <w:t xml:space="preserve"> the selected ACO(s). For more information on </w:t>
      </w:r>
      <w:r w:rsidRPr="000665B0">
        <w:rPr>
          <w:bCs/>
        </w:rPr>
        <w:t>References</w:t>
      </w:r>
      <w:r w:rsidRPr="000665B0">
        <w:t xml:space="preserve">, </w:t>
      </w:r>
      <w:r w:rsidR="000A7E71" w:rsidRPr="000665B0">
        <w:t>s</w:t>
      </w:r>
      <w:r w:rsidR="00F02F03" w:rsidRPr="000665B0">
        <w:t>ee</w:t>
      </w:r>
      <w:r w:rsidRPr="000665B0">
        <w:t xml:space="preserve"> </w:t>
      </w:r>
      <w:hyperlink w:anchor="_5.2.1.2.3__Display_1" w:history="1">
        <w:r w:rsidRPr="000665B0">
          <w:rPr>
            <w:rStyle w:val="Hyperlink"/>
          </w:rPr>
          <w:t>Section 5.2.1.2.3</w:t>
        </w:r>
      </w:hyperlink>
      <w:r w:rsidRPr="000665B0">
        <w:t>.</w:t>
      </w:r>
    </w:p>
    <w:p w14:paraId="13767F3C" w14:textId="676140EC" w:rsidR="00CC0B80" w:rsidRPr="000665B0" w:rsidRDefault="00CC0B80" w:rsidP="006D5A65">
      <w:pPr>
        <w:pStyle w:val="Heading3"/>
      </w:pPr>
      <w:r w:rsidRPr="000665B0">
        <w:t xml:space="preserve">In Excel – </w:t>
      </w:r>
      <w:r w:rsidR="00E966BF" w:rsidRPr="000665B0">
        <w:t xml:space="preserve">Creates </w:t>
      </w:r>
      <w:r w:rsidRPr="000665B0">
        <w:t>a</w:t>
      </w:r>
      <w:r w:rsidR="00E966BF" w:rsidRPr="000665B0">
        <w:t>n</w:t>
      </w:r>
      <w:r w:rsidRPr="000665B0">
        <w:t xml:space="preserve"> Excel </w:t>
      </w:r>
      <w:r w:rsidR="00E966BF" w:rsidRPr="000665B0">
        <w:t>document containing</w:t>
      </w:r>
      <w:r w:rsidRPr="000665B0">
        <w:t xml:space="preserve"> the selected item</w:t>
      </w:r>
      <w:r w:rsidR="00E966BF" w:rsidRPr="000665B0">
        <w:t>’</w:t>
      </w:r>
      <w:r w:rsidRPr="000665B0">
        <w:t>s</w:t>
      </w:r>
      <w:r w:rsidR="00E966BF" w:rsidRPr="000665B0">
        <w:t xml:space="preserve"> information</w:t>
      </w:r>
      <w:r w:rsidRPr="000665B0">
        <w:t>.</w:t>
      </w:r>
    </w:p>
    <w:p w14:paraId="43FBEF19" w14:textId="65FC4D2C" w:rsidR="00CC0B80" w:rsidRPr="000665B0" w:rsidRDefault="00CC0B80" w:rsidP="006D5A65">
      <w:pPr>
        <w:pStyle w:val="Heading2"/>
      </w:pPr>
      <w:r w:rsidRPr="000665B0">
        <w:t>Edit</w:t>
      </w:r>
    </w:p>
    <w:p w14:paraId="331064CE" w14:textId="6737DA3F" w:rsidR="00CC0B80" w:rsidRPr="000665B0" w:rsidRDefault="00CC0B80" w:rsidP="006D5A65">
      <w:pPr>
        <w:pStyle w:val="Heading3"/>
      </w:pPr>
      <w:r w:rsidRPr="000665B0">
        <w:t xml:space="preserve">Process Order – </w:t>
      </w:r>
      <w:r w:rsidR="00E966BF" w:rsidRPr="000665B0">
        <w:t>Invokes</w:t>
      </w:r>
      <w:r w:rsidRPr="000665B0">
        <w:t xml:space="preserve"> the </w:t>
      </w:r>
      <w:r w:rsidRPr="000665B0">
        <w:rPr>
          <w:i/>
        </w:rPr>
        <w:t>Process Order</w:t>
      </w:r>
      <w:r w:rsidRPr="000665B0">
        <w:t xml:space="preserve"> window to change the selected ACO’s process order. The process order may only be edited one ACO at a time. The </w:t>
      </w:r>
      <w:r w:rsidR="00E966BF" w:rsidRPr="000665B0">
        <w:t xml:space="preserve">Process Order </w:t>
      </w:r>
      <w:r w:rsidRPr="000665B0">
        <w:t>function is not enabled in Air Plans with only one ACO.</w:t>
      </w:r>
    </w:p>
    <w:p w14:paraId="16F7FAB2" w14:textId="2A4EEDCE" w:rsidR="00CC0B80" w:rsidRPr="000665B0" w:rsidRDefault="0059150E" w:rsidP="00CC0B80">
      <w:pPr>
        <w:spacing w:line="240" w:lineRule="auto"/>
        <w:ind w:left="360"/>
        <w:jc w:val="center"/>
      </w:pPr>
      <w:r w:rsidRPr="000665B0">
        <w:rPr>
          <w:noProof/>
        </w:rPr>
        <w:drawing>
          <wp:inline distT="0" distB="0" distL="0" distR="0" wp14:anchorId="38A0500A" wp14:editId="7E8190A3">
            <wp:extent cx="1828800" cy="1179576"/>
            <wp:effectExtent l="0" t="0" r="0" b="0"/>
            <wp:docPr id="1279" name="Pictur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179576"/>
                    </a:xfrm>
                    <a:prstGeom prst="rect">
                      <a:avLst/>
                    </a:prstGeom>
                  </pic:spPr>
                </pic:pic>
              </a:graphicData>
            </a:graphic>
          </wp:inline>
        </w:drawing>
      </w:r>
    </w:p>
    <w:p w14:paraId="4259398F" w14:textId="2D46E6F8" w:rsidR="00CC0B80" w:rsidRPr="000665B0" w:rsidRDefault="00CC0B80" w:rsidP="006D5A65">
      <w:pPr>
        <w:pStyle w:val="Heading3"/>
      </w:pPr>
      <w:r w:rsidRPr="000665B0">
        <w:t xml:space="preserve">Times – </w:t>
      </w:r>
      <w:r w:rsidR="00E966BF" w:rsidRPr="000665B0">
        <w:t>Invokes</w:t>
      </w:r>
      <w:r w:rsidRPr="000665B0">
        <w:t xml:space="preserve"> the </w:t>
      </w:r>
      <w:r w:rsidRPr="000665B0">
        <w:rPr>
          <w:i/>
        </w:rPr>
        <w:t>Set Month and Year</w:t>
      </w:r>
      <w:r w:rsidRPr="000665B0">
        <w:t xml:space="preserve"> window to edit the selected ACO(s)’ Start and Stop Times. Only ACO(s) without a predefined month and/or year in the USMTF data need to be updated.</w:t>
      </w:r>
    </w:p>
    <w:p w14:paraId="7401F3F2" w14:textId="57020B08" w:rsidR="00CC0B80" w:rsidRPr="000665B0" w:rsidRDefault="0059150E" w:rsidP="00CC0B80">
      <w:pPr>
        <w:spacing w:line="240" w:lineRule="auto"/>
        <w:ind w:left="360"/>
        <w:jc w:val="center"/>
      </w:pPr>
      <w:r w:rsidRPr="000665B0">
        <w:rPr>
          <w:noProof/>
        </w:rPr>
        <w:drawing>
          <wp:inline distT="0" distB="0" distL="0" distR="0" wp14:anchorId="19DDA445" wp14:editId="671DD36B">
            <wp:extent cx="1828800" cy="1545336"/>
            <wp:effectExtent l="0" t="0" r="0" b="0"/>
            <wp:docPr id="1280"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1545336"/>
                    </a:xfrm>
                    <a:prstGeom prst="rect">
                      <a:avLst/>
                    </a:prstGeom>
                  </pic:spPr>
                </pic:pic>
              </a:graphicData>
            </a:graphic>
          </wp:inline>
        </w:drawing>
      </w:r>
    </w:p>
    <w:p w14:paraId="09F87252" w14:textId="5CEA3716" w:rsidR="00CC0B80" w:rsidRPr="000665B0" w:rsidRDefault="00CC0B80" w:rsidP="006D5A65">
      <w:pPr>
        <w:pStyle w:val="Heading1"/>
      </w:pPr>
      <w:r w:rsidRPr="000665B0">
        <w:t xml:space="preserve">Print… </w:t>
      </w:r>
      <w:r w:rsidR="00F779C6" w:rsidRPr="000665B0">
        <w:t xml:space="preserve">– </w:t>
      </w:r>
      <w:r w:rsidR="00E966BF" w:rsidRPr="000665B0">
        <w:t>Invokes</w:t>
      </w:r>
      <w:r w:rsidRPr="000665B0">
        <w:t xml:space="preserve"> a print</w:t>
      </w:r>
      <w:r w:rsidR="00E966BF" w:rsidRPr="000665B0">
        <w:t xml:space="preserve"> property’s</w:t>
      </w:r>
      <w:r w:rsidRPr="000665B0">
        <w:t xml:space="preserve"> </w:t>
      </w:r>
      <w:r w:rsidR="00E966BF" w:rsidRPr="000665B0">
        <w:t xml:space="preserve">window </w:t>
      </w:r>
      <w:r w:rsidRPr="000665B0">
        <w:t>to print the selected ACO(s).</w:t>
      </w:r>
    </w:p>
    <w:p w14:paraId="1B465A61" w14:textId="2985F6C1" w:rsidR="00CC0B80" w:rsidRPr="000665B0" w:rsidRDefault="00CC0B80" w:rsidP="006D5A65">
      <w:pPr>
        <w:pStyle w:val="Heading1"/>
      </w:pPr>
      <w:r w:rsidRPr="000665B0">
        <w:t xml:space="preserve">Remove – </w:t>
      </w:r>
      <w:r w:rsidR="00E966BF" w:rsidRPr="000665B0">
        <w:t xml:space="preserve">Removes </w:t>
      </w:r>
      <w:r w:rsidRPr="000665B0">
        <w:t xml:space="preserve">the selected ACO(s) from the </w:t>
      </w:r>
      <w:r w:rsidR="00E966BF" w:rsidRPr="000665B0">
        <w:t>list view</w:t>
      </w:r>
      <w:r w:rsidRPr="000665B0">
        <w:t>.</w:t>
      </w:r>
    </w:p>
    <w:p w14:paraId="7506039E" w14:textId="4231F435" w:rsidR="00CC0B80" w:rsidRPr="000665B0" w:rsidRDefault="00CC0B80" w:rsidP="00CC0B80">
      <w:pPr>
        <w:rPr>
          <w:b/>
        </w:rPr>
      </w:pPr>
      <w:r w:rsidRPr="000665B0">
        <w:rPr>
          <w:b/>
        </w:rPr>
        <w:t>Airspace Control Means</w:t>
      </w:r>
      <w:r w:rsidR="00013540" w:rsidRPr="000665B0">
        <w:rPr>
          <w:b/>
        </w:rPr>
        <w:t xml:space="preserve"> </w:t>
      </w:r>
      <w:r w:rsidR="00013540" w:rsidRPr="000665B0">
        <w:t>pane</w:t>
      </w:r>
      <w:r w:rsidRPr="000665B0">
        <w:rPr>
          <w:b/>
        </w:rPr>
        <w:t>:</w:t>
      </w:r>
    </w:p>
    <w:p w14:paraId="02C5B013" w14:textId="33C5EBE9" w:rsidR="00CC0B80" w:rsidRPr="000665B0" w:rsidRDefault="0059150E" w:rsidP="00CC0B80">
      <w:pPr>
        <w:jc w:val="center"/>
      </w:pPr>
      <w:r w:rsidRPr="000665B0">
        <w:rPr>
          <w:noProof/>
        </w:rPr>
        <w:drawing>
          <wp:inline distT="0" distB="0" distL="0" distR="0" wp14:anchorId="38FDF49A" wp14:editId="1EFC6DAC">
            <wp:extent cx="4983480" cy="658368"/>
            <wp:effectExtent l="0" t="0" r="0" b="0"/>
            <wp:docPr id="1281"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658368"/>
                    </a:xfrm>
                    <a:prstGeom prst="rect">
                      <a:avLst/>
                    </a:prstGeom>
                  </pic:spPr>
                </pic:pic>
              </a:graphicData>
            </a:graphic>
          </wp:inline>
        </w:drawing>
      </w:r>
    </w:p>
    <w:p w14:paraId="75007D20" w14:textId="77777777" w:rsidR="00CC0B80" w:rsidRPr="000665B0" w:rsidRDefault="00CC0B80" w:rsidP="00CC0B80">
      <w:r w:rsidRPr="000665B0">
        <w:t xml:space="preserve">The ACMs list view consists of ACM(s) resulting from the processing of the ACO(s). ACM(s) can be hidden to filter out the unsupported or undesired ACM(s). When ACM(s) are hidden, they </w:t>
      </w:r>
      <w:r w:rsidRPr="000665B0">
        <w:lastRenderedPageBreak/>
        <w:t>are removed from the ACMs list view and added to the Hidden list view. The ACMs list view provides the capability to create an ACMS from a selected ACM.</w:t>
      </w:r>
    </w:p>
    <w:p w14:paraId="2ECD259F" w14:textId="77777777" w:rsidR="00CC0B80" w:rsidRPr="000665B0" w:rsidRDefault="00CC0B80" w:rsidP="00CC0B80">
      <w:r w:rsidRPr="000665B0">
        <w:t>An ACM may be defined for multiple time frames. In this case, there are fields in the ACM list view that will have multiple values. For these fields, the values for these fields will be merged. An example would be if an ACM has multiple APERIOD lines, then all the APERIOD field values with the same reference number will belong to the same set.</w:t>
      </w:r>
    </w:p>
    <w:p w14:paraId="0F290C06" w14:textId="77777777" w:rsidR="00CC0B80" w:rsidRPr="000665B0" w:rsidRDefault="00CC0B80" w:rsidP="006D5A65">
      <w:pPr>
        <w:pStyle w:val="Heading1"/>
      </w:pPr>
      <w:r w:rsidRPr="000665B0">
        <w:t>APERIOD/DISCRETE/010101ZJAN/020101ZJAN//.</w:t>
      </w:r>
    </w:p>
    <w:p w14:paraId="34BEEBB1" w14:textId="77777777" w:rsidR="00CC0B80" w:rsidRPr="000665B0" w:rsidRDefault="00CC0B80" w:rsidP="006D5A65">
      <w:pPr>
        <w:pStyle w:val="Heading1"/>
      </w:pPr>
      <w:r w:rsidRPr="000665B0">
        <w:t>APERIOD/DISCRETE/010101ZFEB/020101ZFEB//.</w:t>
      </w:r>
    </w:p>
    <w:p w14:paraId="1B64B0E8" w14:textId="2CA9BD7F" w:rsidR="00CC0B80" w:rsidRPr="000665B0" w:rsidRDefault="00CC0B80" w:rsidP="006D5A65">
      <w:pPr>
        <w:pStyle w:val="Heading1"/>
      </w:pPr>
      <w:r w:rsidRPr="000665B0">
        <w:t>The combined value for the Time Mode would be: “1: DISCRETE, 2:</w:t>
      </w:r>
      <w:r w:rsidR="00544BD6">
        <w:t xml:space="preserve"> </w:t>
      </w:r>
      <w:r w:rsidRPr="000665B0">
        <w:t>DISCRETE”.</w:t>
      </w:r>
    </w:p>
    <w:p w14:paraId="00E37253" w14:textId="77777777" w:rsidR="00CC0B80" w:rsidRPr="000665B0" w:rsidRDefault="00CC0B80" w:rsidP="006D5A65">
      <w:pPr>
        <w:pStyle w:val="Heading1"/>
      </w:pPr>
      <w:r w:rsidRPr="000665B0">
        <w:t>The combined value for the Start Time would be: “1: 010101ZJAN, 2: 010101ZFEB”.</w:t>
      </w:r>
    </w:p>
    <w:p w14:paraId="30A59CEA" w14:textId="77777777" w:rsidR="00CC0B80" w:rsidRPr="000665B0" w:rsidRDefault="00CC0B80" w:rsidP="006D5A65">
      <w:pPr>
        <w:pStyle w:val="Heading1"/>
      </w:pPr>
      <w:r w:rsidRPr="000665B0">
        <w:t>The combined value for the Stop Time would be: “1: 020101ZJAN, 2: 020101ZFEB”.</w:t>
      </w:r>
    </w:p>
    <w:p w14:paraId="5C8190C7" w14:textId="02EB195E" w:rsidR="00CC0B80" w:rsidRPr="000665B0" w:rsidRDefault="00CC0B80" w:rsidP="006D5A65">
      <w:pPr>
        <w:pStyle w:val="Heading1"/>
      </w:pPr>
      <w:r w:rsidRPr="000665B0">
        <w:t>Airspace Control Means Context Menu</w:t>
      </w:r>
    </w:p>
    <w:p w14:paraId="0A4AED4C" w14:textId="77777777" w:rsidR="00CC0B80" w:rsidRPr="000665B0" w:rsidRDefault="00CC0B80" w:rsidP="006D5A65">
      <w:pPr>
        <w:pStyle w:val="Heading1"/>
        <w:rPr>
          <w:szCs w:val="24"/>
        </w:rPr>
      </w:pPr>
      <w:r w:rsidRPr="000665B0">
        <w:t>Create ACMS</w:t>
      </w:r>
    </w:p>
    <w:p w14:paraId="777E4390" w14:textId="77777777" w:rsidR="00CC0B80" w:rsidRPr="000665B0" w:rsidRDefault="00CC0B80" w:rsidP="006D5A65">
      <w:pPr>
        <w:pStyle w:val="Heading2"/>
      </w:pPr>
      <w:r w:rsidRPr="000665B0">
        <w:t>Flight Corridor – Enabled if and only if all of the selected ACMs do not already have an associated ACMS and if all of the selected ACMs are of shape TRACK or CORRIDOR.</w:t>
      </w:r>
    </w:p>
    <w:p w14:paraId="41F2EC0A" w14:textId="77777777" w:rsidR="00CC0B80" w:rsidRPr="000665B0" w:rsidRDefault="00CC0B80" w:rsidP="006D5A65">
      <w:pPr>
        <w:pStyle w:val="Heading2"/>
      </w:pPr>
      <w:r w:rsidRPr="000665B0">
        <w:t>Prohibited Area – Enabled if and only if all of the selected ACMs do not have already an associated ACMS.</w:t>
      </w:r>
    </w:p>
    <w:p w14:paraId="1F5617DF" w14:textId="77777777" w:rsidR="00CC0B80" w:rsidRPr="000665B0" w:rsidRDefault="00CC0B80" w:rsidP="006D5A65">
      <w:pPr>
        <w:pStyle w:val="Heading3"/>
      </w:pPr>
      <w:r w:rsidRPr="000665B0">
        <w:t>The ACM’s GENTEXT will be translated to the ACMS’s Description.</w:t>
      </w:r>
    </w:p>
    <w:p w14:paraId="44DE907E" w14:textId="77777777" w:rsidR="00CC0B80" w:rsidRPr="000665B0" w:rsidRDefault="00CC0B80" w:rsidP="006D5A65">
      <w:pPr>
        <w:pStyle w:val="Heading3"/>
      </w:pPr>
      <w:r w:rsidRPr="000665B0">
        <w:t>The ACM’s APERIOD Start and Stop times will be translated to the ACMS’ effective period(s). Neither APERIODS designated as INTERVAL nor APERIODS for which the end date contains an end qualifier other than “UFN” will be used to generate ACMS effective periods. Only APERIODS designated as DISCRETE for which the end date is either a DTG or “UFN” will be translated into ACMS effective periods. If the ACM’s APERIOD start and stop times do not contain a year value, the ACO’s Start and Stop years will be assumed to apply.</w:t>
      </w:r>
    </w:p>
    <w:p w14:paraId="2959FA61" w14:textId="5789CB04" w:rsidR="00CC0B80" w:rsidRPr="000665B0" w:rsidRDefault="00CC0B80" w:rsidP="006D5A65">
      <w:pPr>
        <w:pStyle w:val="Heading3"/>
      </w:pPr>
      <w:r w:rsidRPr="000665B0">
        <w:t xml:space="preserve">The ACM’s vertical dimension will be translated to the ACMS’ elevations if the altitudes are of the same reference type (mixed elevation reference types will not be translated). ACM altitudes have the reference types MSL, AGL, or FL. But ACMS altitudes only have MSL or AGL reference types. </w:t>
      </w:r>
      <w:r w:rsidR="00F21F19">
        <w:t>T</w:t>
      </w:r>
      <w:r w:rsidR="00F21F19" w:rsidRPr="000665B0">
        <w:t xml:space="preserve">he </w:t>
      </w:r>
      <w:r w:rsidRPr="000665B0">
        <w:t xml:space="preserve">ACM’s altitudes that are referenced by FL will be converted to MSL by the following conversion formula: </w:t>
      </w:r>
      <w:r w:rsidRPr="000665B0">
        <w:br/>
        <w:t>FL * 100 = MSL. (If the converted MSL value is less than the minimum elevation value, then the minimum elevation value will be used. If the converted MSL value is greater than the maximum elevation value, then the maximum elevation value will be used.)</w:t>
      </w:r>
    </w:p>
    <w:p w14:paraId="7BE73573" w14:textId="77777777" w:rsidR="00CC0B80" w:rsidRPr="000665B0" w:rsidRDefault="00CC0B80" w:rsidP="00A0163E">
      <w:pPr>
        <w:pageBreakBefore/>
        <w:rPr>
          <w:szCs w:val="24"/>
        </w:rPr>
      </w:pPr>
      <w:r w:rsidRPr="000665B0">
        <w:rPr>
          <w:szCs w:val="24"/>
        </w:rPr>
        <w:lastRenderedPageBreak/>
        <w:t>The following table details the expected results when creating an ACMS from an ACM:</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9"/>
        <w:gridCol w:w="1348"/>
        <w:gridCol w:w="1849"/>
        <w:gridCol w:w="3472"/>
      </w:tblGrid>
      <w:tr w:rsidR="00CC0B80" w:rsidRPr="000665B0" w14:paraId="608FB104" w14:textId="77777777" w:rsidTr="0055373F">
        <w:trPr>
          <w:tblHeader/>
          <w:jc w:val="center"/>
        </w:trPr>
        <w:tc>
          <w:tcPr>
            <w:tcW w:w="2079" w:type="dxa"/>
            <w:shd w:val="clear" w:color="auto" w:fill="D9D9D9" w:themeFill="background1" w:themeFillShade="D9"/>
          </w:tcPr>
          <w:p w14:paraId="6FFA714A" w14:textId="77777777" w:rsidR="00CC0B80" w:rsidRPr="000665B0" w:rsidRDefault="00CC0B80" w:rsidP="00C63237">
            <w:pPr>
              <w:spacing w:after="0"/>
              <w:jc w:val="center"/>
              <w:rPr>
                <w:rFonts w:ascii="Arial" w:hAnsi="Arial" w:cs="Arial"/>
                <w:b/>
                <w:bCs/>
                <w:sz w:val="22"/>
                <w:szCs w:val="22"/>
              </w:rPr>
            </w:pPr>
            <w:r w:rsidRPr="000665B0">
              <w:rPr>
                <w:rFonts w:ascii="Arial" w:hAnsi="Arial" w:cs="Arial"/>
                <w:b/>
                <w:bCs/>
                <w:sz w:val="22"/>
                <w:szCs w:val="22"/>
              </w:rPr>
              <w:t>ACM Shape</w:t>
            </w:r>
          </w:p>
        </w:tc>
        <w:tc>
          <w:tcPr>
            <w:tcW w:w="1348" w:type="dxa"/>
            <w:shd w:val="clear" w:color="auto" w:fill="D9D9D9" w:themeFill="background1" w:themeFillShade="D9"/>
          </w:tcPr>
          <w:p w14:paraId="75D90F1A" w14:textId="77777777" w:rsidR="00CC0B80" w:rsidRPr="000665B0" w:rsidRDefault="00CC0B80" w:rsidP="00C63237">
            <w:pPr>
              <w:spacing w:after="0"/>
              <w:jc w:val="center"/>
              <w:rPr>
                <w:rFonts w:ascii="Arial" w:hAnsi="Arial" w:cs="Arial"/>
                <w:b/>
                <w:bCs/>
                <w:sz w:val="22"/>
                <w:szCs w:val="22"/>
              </w:rPr>
            </w:pPr>
            <w:r w:rsidRPr="000665B0">
              <w:rPr>
                <w:rFonts w:ascii="Arial" w:hAnsi="Arial" w:cs="Arial"/>
                <w:b/>
                <w:bCs/>
                <w:sz w:val="22"/>
                <w:szCs w:val="22"/>
              </w:rPr>
              <w:t>ACMS Shape</w:t>
            </w:r>
          </w:p>
        </w:tc>
        <w:tc>
          <w:tcPr>
            <w:tcW w:w="1849" w:type="dxa"/>
            <w:shd w:val="clear" w:color="auto" w:fill="D9D9D9" w:themeFill="background1" w:themeFillShade="D9"/>
          </w:tcPr>
          <w:p w14:paraId="232555F4" w14:textId="77777777" w:rsidR="00CC0B80" w:rsidRPr="000665B0" w:rsidRDefault="00CC0B80" w:rsidP="00C63237">
            <w:pPr>
              <w:spacing w:after="0"/>
              <w:jc w:val="center"/>
              <w:rPr>
                <w:rFonts w:ascii="Arial" w:hAnsi="Arial" w:cs="Arial"/>
                <w:b/>
                <w:bCs/>
                <w:sz w:val="22"/>
                <w:szCs w:val="22"/>
              </w:rPr>
            </w:pPr>
            <w:r w:rsidRPr="000665B0">
              <w:rPr>
                <w:rFonts w:ascii="Arial" w:hAnsi="Arial" w:cs="Arial"/>
                <w:b/>
                <w:bCs/>
                <w:sz w:val="22"/>
                <w:szCs w:val="22"/>
              </w:rPr>
              <w:t>ACMS Type</w:t>
            </w:r>
          </w:p>
        </w:tc>
        <w:tc>
          <w:tcPr>
            <w:tcW w:w="3472" w:type="dxa"/>
            <w:shd w:val="clear" w:color="auto" w:fill="D9D9D9" w:themeFill="background1" w:themeFillShade="D9"/>
          </w:tcPr>
          <w:p w14:paraId="6A5F2EB4" w14:textId="77777777" w:rsidR="00CC0B80" w:rsidRPr="000665B0" w:rsidRDefault="00CC0B80" w:rsidP="00C63237">
            <w:pPr>
              <w:spacing w:after="0"/>
              <w:jc w:val="center"/>
              <w:rPr>
                <w:rFonts w:ascii="Arial" w:hAnsi="Arial" w:cs="Arial"/>
                <w:b/>
                <w:bCs/>
                <w:sz w:val="22"/>
                <w:szCs w:val="22"/>
              </w:rPr>
            </w:pPr>
            <w:r w:rsidRPr="000665B0">
              <w:rPr>
                <w:rFonts w:ascii="Arial" w:hAnsi="Arial" w:cs="Arial"/>
                <w:b/>
                <w:bCs/>
                <w:sz w:val="22"/>
                <w:szCs w:val="22"/>
              </w:rPr>
              <w:t>Notes</w:t>
            </w:r>
          </w:p>
        </w:tc>
      </w:tr>
      <w:tr w:rsidR="00CC0B80" w:rsidRPr="000665B0" w14:paraId="183C1BF3" w14:textId="77777777" w:rsidTr="006D2359">
        <w:trPr>
          <w:jc w:val="center"/>
        </w:trPr>
        <w:tc>
          <w:tcPr>
            <w:tcW w:w="2079" w:type="dxa"/>
          </w:tcPr>
          <w:p w14:paraId="0386C970" w14:textId="77777777" w:rsidR="00CC0B80" w:rsidRPr="000665B0" w:rsidRDefault="00CC0B80" w:rsidP="00631837">
            <w:pPr>
              <w:spacing w:after="0"/>
              <w:rPr>
                <w:rFonts w:ascii="Arial" w:hAnsi="Arial" w:cs="Arial"/>
                <w:sz w:val="20"/>
              </w:rPr>
            </w:pPr>
            <w:r w:rsidRPr="000665B0">
              <w:rPr>
                <w:rFonts w:ascii="Arial" w:hAnsi="Arial" w:cs="Arial"/>
                <w:sz w:val="20"/>
              </w:rPr>
              <w:t>CIRCLE</w:t>
            </w:r>
          </w:p>
        </w:tc>
        <w:tc>
          <w:tcPr>
            <w:tcW w:w="1348" w:type="dxa"/>
          </w:tcPr>
          <w:p w14:paraId="64EA7F23" w14:textId="77777777" w:rsidR="00CC0B80" w:rsidRPr="000665B0" w:rsidRDefault="00CC0B80" w:rsidP="00631837">
            <w:pPr>
              <w:spacing w:after="0"/>
              <w:rPr>
                <w:rFonts w:ascii="Arial" w:hAnsi="Arial" w:cs="Arial"/>
                <w:sz w:val="20"/>
              </w:rPr>
            </w:pPr>
            <w:r w:rsidRPr="000665B0">
              <w:rPr>
                <w:rFonts w:ascii="Arial" w:hAnsi="Arial" w:cs="Arial"/>
                <w:sz w:val="20"/>
              </w:rPr>
              <w:t>Polygon</w:t>
            </w:r>
          </w:p>
        </w:tc>
        <w:tc>
          <w:tcPr>
            <w:tcW w:w="1849" w:type="dxa"/>
          </w:tcPr>
          <w:p w14:paraId="131C5D6D" w14:textId="77777777" w:rsidR="00CC0B80" w:rsidRPr="000665B0" w:rsidRDefault="00CC0B80" w:rsidP="00631837">
            <w:pPr>
              <w:spacing w:after="0"/>
              <w:rPr>
                <w:rFonts w:ascii="Arial" w:hAnsi="Arial" w:cs="Arial"/>
                <w:sz w:val="20"/>
              </w:rPr>
            </w:pPr>
            <w:r w:rsidRPr="000665B0">
              <w:rPr>
                <w:rFonts w:ascii="Arial" w:hAnsi="Arial" w:cs="Arial"/>
                <w:sz w:val="20"/>
              </w:rPr>
              <w:t>Prohibited Area</w:t>
            </w:r>
          </w:p>
        </w:tc>
        <w:tc>
          <w:tcPr>
            <w:tcW w:w="3472" w:type="dxa"/>
          </w:tcPr>
          <w:p w14:paraId="4238CDCD" w14:textId="77777777" w:rsidR="00CC0B80" w:rsidRPr="000665B0" w:rsidRDefault="00CC0B80" w:rsidP="00631837">
            <w:pPr>
              <w:spacing w:after="0"/>
              <w:rPr>
                <w:rFonts w:ascii="Arial" w:hAnsi="Arial" w:cs="Arial"/>
                <w:sz w:val="20"/>
              </w:rPr>
            </w:pPr>
          </w:p>
        </w:tc>
      </w:tr>
      <w:tr w:rsidR="00CC0B80" w:rsidRPr="000665B0" w14:paraId="2E4F334C" w14:textId="77777777" w:rsidTr="006D2359">
        <w:trPr>
          <w:jc w:val="center"/>
        </w:trPr>
        <w:tc>
          <w:tcPr>
            <w:tcW w:w="2079" w:type="dxa"/>
          </w:tcPr>
          <w:p w14:paraId="5508F106" w14:textId="77777777" w:rsidR="00CC0B80" w:rsidRPr="000665B0" w:rsidRDefault="00CC0B80" w:rsidP="00631837">
            <w:pPr>
              <w:spacing w:after="0"/>
              <w:rPr>
                <w:rFonts w:ascii="Arial" w:hAnsi="Arial" w:cs="Arial"/>
                <w:sz w:val="20"/>
              </w:rPr>
            </w:pPr>
            <w:r w:rsidRPr="000665B0">
              <w:rPr>
                <w:rFonts w:ascii="Arial" w:hAnsi="Arial" w:cs="Arial"/>
                <w:sz w:val="20"/>
              </w:rPr>
              <w:t>CORRIDOR</w:t>
            </w:r>
          </w:p>
        </w:tc>
        <w:tc>
          <w:tcPr>
            <w:tcW w:w="1348" w:type="dxa"/>
          </w:tcPr>
          <w:p w14:paraId="5313526A" w14:textId="77777777" w:rsidR="00CC0B80" w:rsidRPr="000665B0" w:rsidRDefault="00CC0B80" w:rsidP="00631837">
            <w:pPr>
              <w:spacing w:after="0"/>
              <w:rPr>
                <w:rFonts w:ascii="Arial" w:hAnsi="Arial" w:cs="Arial"/>
                <w:sz w:val="20"/>
              </w:rPr>
            </w:pPr>
            <w:r w:rsidRPr="000665B0">
              <w:rPr>
                <w:rFonts w:ascii="Arial" w:hAnsi="Arial" w:cs="Arial"/>
                <w:sz w:val="20"/>
              </w:rPr>
              <w:t>Polygon</w:t>
            </w:r>
          </w:p>
        </w:tc>
        <w:tc>
          <w:tcPr>
            <w:tcW w:w="1849" w:type="dxa"/>
          </w:tcPr>
          <w:p w14:paraId="274D812E" w14:textId="77777777" w:rsidR="00CC0B80" w:rsidRPr="000665B0" w:rsidRDefault="00CC0B80" w:rsidP="00631837">
            <w:pPr>
              <w:spacing w:after="0"/>
              <w:rPr>
                <w:rFonts w:ascii="Arial" w:hAnsi="Arial" w:cs="Arial"/>
                <w:sz w:val="20"/>
              </w:rPr>
            </w:pPr>
            <w:r w:rsidRPr="000665B0">
              <w:rPr>
                <w:rFonts w:ascii="Arial" w:hAnsi="Arial" w:cs="Arial"/>
                <w:sz w:val="20"/>
              </w:rPr>
              <w:t>Prohibited Area or Flight Corridor</w:t>
            </w:r>
          </w:p>
        </w:tc>
        <w:tc>
          <w:tcPr>
            <w:tcW w:w="3472" w:type="dxa"/>
          </w:tcPr>
          <w:p w14:paraId="63617EED" w14:textId="77777777" w:rsidR="00CC0B80" w:rsidRPr="000665B0" w:rsidRDefault="00CC0B80" w:rsidP="00B124FB">
            <w:pPr>
              <w:spacing w:after="0"/>
              <w:rPr>
                <w:rFonts w:ascii="Arial" w:hAnsi="Arial" w:cs="Arial"/>
                <w:sz w:val="20"/>
              </w:rPr>
            </w:pPr>
            <w:r w:rsidRPr="000665B0">
              <w:rPr>
                <w:rFonts w:ascii="Arial" w:hAnsi="Arial" w:cs="Arial"/>
                <w:sz w:val="20"/>
              </w:rPr>
              <w:t xml:space="preserve">If flight corridor, entry\exit lines will be defaulted to cross point </w:t>
            </w:r>
            <w:r w:rsidR="00B124FB" w:rsidRPr="000665B0">
              <w:rPr>
                <w:rFonts w:ascii="Arial" w:hAnsi="Arial" w:cs="Arial"/>
                <w:sz w:val="20"/>
              </w:rPr>
              <w:t xml:space="preserve">vertices </w:t>
            </w:r>
            <w:r w:rsidRPr="000665B0">
              <w:rPr>
                <w:rFonts w:ascii="Arial" w:hAnsi="Arial" w:cs="Arial"/>
                <w:sz w:val="20"/>
              </w:rPr>
              <w:t>corresponding to first and last point of corridor.</w:t>
            </w:r>
          </w:p>
        </w:tc>
      </w:tr>
      <w:tr w:rsidR="00CC0B80" w:rsidRPr="000665B0" w14:paraId="320AEDE2" w14:textId="77777777" w:rsidTr="006D2359">
        <w:trPr>
          <w:jc w:val="center"/>
        </w:trPr>
        <w:tc>
          <w:tcPr>
            <w:tcW w:w="2079" w:type="dxa"/>
          </w:tcPr>
          <w:p w14:paraId="2F6FC559" w14:textId="77777777" w:rsidR="00CC0B80" w:rsidRPr="000665B0" w:rsidRDefault="00CC0B80" w:rsidP="00631837">
            <w:pPr>
              <w:spacing w:after="0"/>
              <w:rPr>
                <w:rFonts w:ascii="Arial" w:hAnsi="Arial" w:cs="Arial"/>
                <w:sz w:val="20"/>
              </w:rPr>
            </w:pPr>
            <w:r w:rsidRPr="000665B0">
              <w:rPr>
                <w:rFonts w:ascii="Arial" w:hAnsi="Arial" w:cs="Arial"/>
                <w:sz w:val="20"/>
              </w:rPr>
              <w:t>LINE</w:t>
            </w:r>
          </w:p>
        </w:tc>
        <w:tc>
          <w:tcPr>
            <w:tcW w:w="1348" w:type="dxa"/>
          </w:tcPr>
          <w:p w14:paraId="6DF2BFE5" w14:textId="77777777" w:rsidR="00CC0B80" w:rsidRPr="000665B0" w:rsidRDefault="00CC0B80" w:rsidP="00631837">
            <w:pPr>
              <w:spacing w:after="0"/>
              <w:rPr>
                <w:rFonts w:ascii="Arial" w:hAnsi="Arial" w:cs="Arial"/>
                <w:sz w:val="20"/>
              </w:rPr>
            </w:pPr>
            <w:r w:rsidRPr="000665B0">
              <w:rPr>
                <w:rFonts w:ascii="Arial" w:hAnsi="Arial" w:cs="Arial"/>
                <w:sz w:val="20"/>
              </w:rPr>
              <w:t>Polygon</w:t>
            </w:r>
          </w:p>
        </w:tc>
        <w:tc>
          <w:tcPr>
            <w:tcW w:w="1849" w:type="dxa"/>
          </w:tcPr>
          <w:p w14:paraId="14B8A8DC" w14:textId="77777777" w:rsidR="00CC0B80" w:rsidRPr="000665B0" w:rsidRDefault="00CC0B80" w:rsidP="00631837">
            <w:pPr>
              <w:spacing w:after="0"/>
              <w:rPr>
                <w:rFonts w:ascii="Arial" w:hAnsi="Arial" w:cs="Arial"/>
                <w:sz w:val="20"/>
              </w:rPr>
            </w:pPr>
            <w:r w:rsidRPr="000665B0">
              <w:rPr>
                <w:rFonts w:ascii="Arial" w:hAnsi="Arial" w:cs="Arial"/>
                <w:sz w:val="20"/>
              </w:rPr>
              <w:t>Prohibited Area</w:t>
            </w:r>
          </w:p>
        </w:tc>
        <w:tc>
          <w:tcPr>
            <w:tcW w:w="3472" w:type="dxa"/>
          </w:tcPr>
          <w:p w14:paraId="0B32AC5C" w14:textId="1E485610" w:rsidR="00CC0B80" w:rsidRPr="000665B0" w:rsidRDefault="00CC0B80" w:rsidP="00631837">
            <w:pPr>
              <w:spacing w:after="0"/>
              <w:rPr>
                <w:rFonts w:ascii="Arial" w:hAnsi="Arial" w:cs="Arial"/>
                <w:sz w:val="20"/>
              </w:rPr>
            </w:pPr>
            <w:r w:rsidRPr="000665B0">
              <w:rPr>
                <w:rFonts w:ascii="Arial" w:hAnsi="Arial" w:cs="Arial"/>
                <w:sz w:val="20"/>
              </w:rPr>
              <w:t>Converted to polygon with 0.1</w:t>
            </w:r>
            <w:r w:rsidR="00CF155F" w:rsidRPr="000665B0">
              <w:rPr>
                <w:rFonts w:ascii="Arial" w:hAnsi="Arial" w:cs="Arial"/>
                <w:sz w:val="20"/>
              </w:rPr>
              <w:t xml:space="preserve"> </w:t>
            </w:r>
            <w:r w:rsidRPr="000665B0">
              <w:rPr>
                <w:rFonts w:ascii="Arial" w:hAnsi="Arial" w:cs="Arial"/>
                <w:sz w:val="20"/>
              </w:rPr>
              <w:t>nm width.</w:t>
            </w:r>
          </w:p>
        </w:tc>
      </w:tr>
      <w:tr w:rsidR="00CC0B80" w:rsidRPr="000665B0" w14:paraId="3FE8DEB0" w14:textId="77777777" w:rsidTr="006D2359">
        <w:trPr>
          <w:jc w:val="center"/>
        </w:trPr>
        <w:tc>
          <w:tcPr>
            <w:tcW w:w="2079" w:type="dxa"/>
          </w:tcPr>
          <w:p w14:paraId="6854D43C" w14:textId="77777777" w:rsidR="00CC0B80" w:rsidRPr="000665B0" w:rsidRDefault="00CC0B80" w:rsidP="00631837">
            <w:pPr>
              <w:spacing w:after="0"/>
              <w:rPr>
                <w:rFonts w:ascii="Arial" w:hAnsi="Arial" w:cs="Arial"/>
                <w:sz w:val="20"/>
              </w:rPr>
            </w:pPr>
            <w:r w:rsidRPr="000665B0">
              <w:rPr>
                <w:rFonts w:ascii="Arial" w:hAnsi="Arial" w:cs="Arial"/>
                <w:sz w:val="20"/>
              </w:rPr>
              <w:t>ORBIT</w:t>
            </w:r>
          </w:p>
        </w:tc>
        <w:tc>
          <w:tcPr>
            <w:tcW w:w="1348" w:type="dxa"/>
          </w:tcPr>
          <w:p w14:paraId="195EF989" w14:textId="77777777" w:rsidR="00CC0B80" w:rsidRPr="000665B0" w:rsidRDefault="00CC0B80" w:rsidP="00631837">
            <w:pPr>
              <w:spacing w:after="0"/>
              <w:rPr>
                <w:rFonts w:ascii="Arial" w:hAnsi="Arial" w:cs="Arial"/>
                <w:sz w:val="20"/>
              </w:rPr>
            </w:pPr>
            <w:r w:rsidRPr="000665B0">
              <w:rPr>
                <w:rFonts w:ascii="Arial" w:hAnsi="Arial" w:cs="Arial"/>
                <w:sz w:val="20"/>
              </w:rPr>
              <w:t>Polygon</w:t>
            </w:r>
          </w:p>
        </w:tc>
        <w:tc>
          <w:tcPr>
            <w:tcW w:w="1849" w:type="dxa"/>
          </w:tcPr>
          <w:p w14:paraId="6B97BA49" w14:textId="77777777" w:rsidR="00CC0B80" w:rsidRPr="000665B0" w:rsidRDefault="00CC0B80" w:rsidP="00631837">
            <w:pPr>
              <w:spacing w:after="0"/>
              <w:rPr>
                <w:rFonts w:ascii="Arial" w:hAnsi="Arial" w:cs="Arial"/>
                <w:sz w:val="20"/>
              </w:rPr>
            </w:pPr>
            <w:r w:rsidRPr="000665B0">
              <w:rPr>
                <w:rFonts w:ascii="Arial" w:hAnsi="Arial" w:cs="Arial"/>
                <w:sz w:val="20"/>
              </w:rPr>
              <w:t>Prohibited Area</w:t>
            </w:r>
          </w:p>
        </w:tc>
        <w:tc>
          <w:tcPr>
            <w:tcW w:w="3472" w:type="dxa"/>
          </w:tcPr>
          <w:p w14:paraId="36D2613B" w14:textId="77777777" w:rsidR="00CC0B80" w:rsidRPr="000665B0" w:rsidRDefault="00CC0B80" w:rsidP="00631837">
            <w:pPr>
              <w:spacing w:after="0"/>
              <w:rPr>
                <w:rFonts w:ascii="Arial" w:hAnsi="Arial" w:cs="Arial"/>
                <w:sz w:val="20"/>
              </w:rPr>
            </w:pPr>
          </w:p>
        </w:tc>
      </w:tr>
      <w:tr w:rsidR="00CC0B80" w:rsidRPr="000665B0" w14:paraId="7D799744" w14:textId="77777777" w:rsidTr="006D2359">
        <w:trPr>
          <w:jc w:val="center"/>
        </w:trPr>
        <w:tc>
          <w:tcPr>
            <w:tcW w:w="2079" w:type="dxa"/>
          </w:tcPr>
          <w:p w14:paraId="63B3E000" w14:textId="77777777" w:rsidR="00CC0B80" w:rsidRPr="000665B0" w:rsidRDefault="00CC0B80" w:rsidP="00631837">
            <w:pPr>
              <w:spacing w:after="0"/>
              <w:rPr>
                <w:rFonts w:ascii="Arial" w:hAnsi="Arial" w:cs="Arial"/>
                <w:sz w:val="20"/>
              </w:rPr>
            </w:pPr>
            <w:r w:rsidRPr="000665B0">
              <w:rPr>
                <w:rFonts w:ascii="Arial" w:hAnsi="Arial" w:cs="Arial"/>
                <w:sz w:val="20"/>
              </w:rPr>
              <w:t>POINT</w:t>
            </w:r>
          </w:p>
        </w:tc>
        <w:tc>
          <w:tcPr>
            <w:tcW w:w="1348" w:type="dxa"/>
          </w:tcPr>
          <w:p w14:paraId="06A54695" w14:textId="77777777" w:rsidR="00CC0B80" w:rsidRPr="000665B0" w:rsidRDefault="00CC0B80" w:rsidP="00631837">
            <w:pPr>
              <w:spacing w:after="0"/>
              <w:rPr>
                <w:rFonts w:ascii="Arial" w:hAnsi="Arial" w:cs="Arial"/>
                <w:sz w:val="20"/>
              </w:rPr>
            </w:pPr>
            <w:r w:rsidRPr="000665B0">
              <w:rPr>
                <w:rFonts w:ascii="Arial" w:hAnsi="Arial" w:cs="Arial"/>
                <w:sz w:val="20"/>
              </w:rPr>
              <w:t>Polygon</w:t>
            </w:r>
          </w:p>
        </w:tc>
        <w:tc>
          <w:tcPr>
            <w:tcW w:w="1849" w:type="dxa"/>
          </w:tcPr>
          <w:p w14:paraId="0D9168CC" w14:textId="77777777" w:rsidR="00CC0B80" w:rsidRPr="000665B0" w:rsidRDefault="00CC0B80" w:rsidP="00631837">
            <w:pPr>
              <w:spacing w:after="0"/>
              <w:rPr>
                <w:rFonts w:ascii="Arial" w:hAnsi="Arial" w:cs="Arial"/>
                <w:sz w:val="20"/>
              </w:rPr>
            </w:pPr>
            <w:r w:rsidRPr="000665B0">
              <w:rPr>
                <w:rFonts w:ascii="Arial" w:hAnsi="Arial" w:cs="Arial"/>
                <w:sz w:val="20"/>
              </w:rPr>
              <w:t>Prohibited Area</w:t>
            </w:r>
          </w:p>
        </w:tc>
        <w:tc>
          <w:tcPr>
            <w:tcW w:w="3472" w:type="dxa"/>
          </w:tcPr>
          <w:p w14:paraId="1E6E0319" w14:textId="77777777" w:rsidR="00CC0B80" w:rsidRPr="000665B0" w:rsidRDefault="00CC0B80" w:rsidP="00631837">
            <w:pPr>
              <w:spacing w:after="0"/>
              <w:rPr>
                <w:rFonts w:ascii="Arial" w:hAnsi="Arial" w:cs="Arial"/>
                <w:sz w:val="20"/>
              </w:rPr>
            </w:pPr>
            <w:r w:rsidRPr="000665B0">
              <w:rPr>
                <w:rFonts w:ascii="Arial" w:hAnsi="Arial" w:cs="Arial"/>
                <w:sz w:val="20"/>
              </w:rPr>
              <w:t>Converted to 4 pt polygon, 0.1 nm diameter.</w:t>
            </w:r>
          </w:p>
        </w:tc>
      </w:tr>
      <w:tr w:rsidR="00CC0B80" w:rsidRPr="000665B0" w14:paraId="5A7D7679" w14:textId="77777777" w:rsidTr="006D2359">
        <w:trPr>
          <w:jc w:val="center"/>
        </w:trPr>
        <w:tc>
          <w:tcPr>
            <w:tcW w:w="2079" w:type="dxa"/>
          </w:tcPr>
          <w:p w14:paraId="3CAD0CF4" w14:textId="77777777" w:rsidR="00CC0B80" w:rsidRPr="000665B0" w:rsidRDefault="00CC0B80" w:rsidP="00631837">
            <w:pPr>
              <w:spacing w:after="0"/>
              <w:rPr>
                <w:rFonts w:ascii="Arial" w:hAnsi="Arial" w:cs="Arial"/>
                <w:sz w:val="20"/>
              </w:rPr>
            </w:pPr>
            <w:r w:rsidRPr="000665B0">
              <w:rPr>
                <w:rFonts w:ascii="Arial" w:hAnsi="Arial" w:cs="Arial"/>
                <w:sz w:val="20"/>
              </w:rPr>
              <w:t>POLYARC</w:t>
            </w:r>
          </w:p>
        </w:tc>
        <w:tc>
          <w:tcPr>
            <w:tcW w:w="1348" w:type="dxa"/>
          </w:tcPr>
          <w:p w14:paraId="55D6D337" w14:textId="77777777" w:rsidR="00CC0B80" w:rsidRPr="000665B0" w:rsidRDefault="00CC0B80" w:rsidP="00631837">
            <w:pPr>
              <w:spacing w:after="0"/>
              <w:rPr>
                <w:rFonts w:ascii="Arial" w:hAnsi="Arial" w:cs="Arial"/>
                <w:sz w:val="20"/>
              </w:rPr>
            </w:pPr>
            <w:r w:rsidRPr="000665B0">
              <w:rPr>
                <w:rFonts w:ascii="Arial" w:hAnsi="Arial" w:cs="Arial"/>
                <w:sz w:val="20"/>
              </w:rPr>
              <w:t>Polygon</w:t>
            </w:r>
          </w:p>
        </w:tc>
        <w:tc>
          <w:tcPr>
            <w:tcW w:w="1849" w:type="dxa"/>
          </w:tcPr>
          <w:p w14:paraId="2D71D85F" w14:textId="77777777" w:rsidR="00CC0B80" w:rsidRPr="000665B0" w:rsidRDefault="00CC0B80" w:rsidP="00631837">
            <w:pPr>
              <w:spacing w:after="0"/>
              <w:rPr>
                <w:rFonts w:ascii="Arial" w:hAnsi="Arial" w:cs="Arial"/>
                <w:sz w:val="20"/>
              </w:rPr>
            </w:pPr>
            <w:r w:rsidRPr="000665B0">
              <w:rPr>
                <w:rFonts w:ascii="Arial" w:hAnsi="Arial" w:cs="Arial"/>
                <w:sz w:val="20"/>
              </w:rPr>
              <w:t>Prohibited Area</w:t>
            </w:r>
          </w:p>
        </w:tc>
        <w:tc>
          <w:tcPr>
            <w:tcW w:w="3472" w:type="dxa"/>
          </w:tcPr>
          <w:p w14:paraId="038683DD" w14:textId="77777777" w:rsidR="00CC0B80" w:rsidRPr="000665B0" w:rsidRDefault="00CC0B80" w:rsidP="00631837">
            <w:pPr>
              <w:spacing w:after="0"/>
              <w:rPr>
                <w:rFonts w:ascii="Arial" w:hAnsi="Arial" w:cs="Arial"/>
                <w:sz w:val="20"/>
              </w:rPr>
            </w:pPr>
          </w:p>
        </w:tc>
      </w:tr>
      <w:tr w:rsidR="00CC0B80" w:rsidRPr="000665B0" w14:paraId="3508F990" w14:textId="77777777" w:rsidTr="006D2359">
        <w:trPr>
          <w:jc w:val="center"/>
        </w:trPr>
        <w:tc>
          <w:tcPr>
            <w:tcW w:w="2079" w:type="dxa"/>
          </w:tcPr>
          <w:p w14:paraId="1A36DAD9" w14:textId="77777777" w:rsidR="00CC0B80" w:rsidRPr="000665B0" w:rsidRDefault="00CC0B80" w:rsidP="00631837">
            <w:pPr>
              <w:spacing w:after="0"/>
              <w:rPr>
                <w:rFonts w:ascii="Arial" w:hAnsi="Arial" w:cs="Arial"/>
                <w:sz w:val="20"/>
              </w:rPr>
            </w:pPr>
            <w:r w:rsidRPr="000665B0">
              <w:rPr>
                <w:rFonts w:ascii="Arial" w:hAnsi="Arial" w:cs="Arial"/>
                <w:sz w:val="20"/>
              </w:rPr>
              <w:t>POLYGON</w:t>
            </w:r>
          </w:p>
        </w:tc>
        <w:tc>
          <w:tcPr>
            <w:tcW w:w="1348" w:type="dxa"/>
          </w:tcPr>
          <w:p w14:paraId="457676F8" w14:textId="77777777" w:rsidR="00CC0B80" w:rsidRPr="000665B0" w:rsidRDefault="00CC0B80" w:rsidP="00631837">
            <w:pPr>
              <w:spacing w:after="0"/>
              <w:rPr>
                <w:rFonts w:ascii="Arial" w:hAnsi="Arial" w:cs="Arial"/>
                <w:sz w:val="20"/>
              </w:rPr>
            </w:pPr>
            <w:r w:rsidRPr="000665B0">
              <w:rPr>
                <w:rFonts w:ascii="Arial" w:hAnsi="Arial" w:cs="Arial"/>
                <w:sz w:val="20"/>
              </w:rPr>
              <w:t>Polygon</w:t>
            </w:r>
          </w:p>
        </w:tc>
        <w:tc>
          <w:tcPr>
            <w:tcW w:w="1849" w:type="dxa"/>
          </w:tcPr>
          <w:p w14:paraId="6CBEF483" w14:textId="77777777" w:rsidR="00CC0B80" w:rsidRPr="000665B0" w:rsidRDefault="00CC0B80" w:rsidP="00631837">
            <w:pPr>
              <w:spacing w:after="0"/>
              <w:rPr>
                <w:rFonts w:ascii="Arial" w:hAnsi="Arial" w:cs="Arial"/>
                <w:sz w:val="20"/>
              </w:rPr>
            </w:pPr>
            <w:r w:rsidRPr="000665B0">
              <w:rPr>
                <w:rFonts w:ascii="Arial" w:hAnsi="Arial" w:cs="Arial"/>
                <w:sz w:val="20"/>
              </w:rPr>
              <w:t>Prohibited Area</w:t>
            </w:r>
          </w:p>
        </w:tc>
        <w:tc>
          <w:tcPr>
            <w:tcW w:w="3472" w:type="dxa"/>
          </w:tcPr>
          <w:p w14:paraId="74B73F6C" w14:textId="77777777" w:rsidR="00CC0B80" w:rsidRPr="000665B0" w:rsidRDefault="00CC0B80" w:rsidP="00631837">
            <w:pPr>
              <w:spacing w:after="0"/>
              <w:rPr>
                <w:rFonts w:ascii="Arial" w:hAnsi="Arial" w:cs="Arial"/>
                <w:sz w:val="20"/>
              </w:rPr>
            </w:pPr>
          </w:p>
        </w:tc>
      </w:tr>
      <w:tr w:rsidR="00CC0B80" w:rsidRPr="000665B0" w14:paraId="3A6E5920" w14:textId="77777777" w:rsidTr="006D2359">
        <w:trPr>
          <w:jc w:val="center"/>
        </w:trPr>
        <w:tc>
          <w:tcPr>
            <w:tcW w:w="2079" w:type="dxa"/>
          </w:tcPr>
          <w:p w14:paraId="345ACF5F" w14:textId="77777777" w:rsidR="00CC0B80" w:rsidRPr="000665B0" w:rsidRDefault="00CC0B80" w:rsidP="00631837">
            <w:pPr>
              <w:spacing w:after="0"/>
              <w:rPr>
                <w:rFonts w:ascii="Arial" w:hAnsi="Arial" w:cs="Arial"/>
                <w:sz w:val="20"/>
              </w:rPr>
            </w:pPr>
            <w:r w:rsidRPr="000665B0">
              <w:rPr>
                <w:rFonts w:ascii="Arial" w:hAnsi="Arial" w:cs="Arial"/>
                <w:sz w:val="20"/>
              </w:rPr>
              <w:t>RADARC</w:t>
            </w:r>
          </w:p>
        </w:tc>
        <w:tc>
          <w:tcPr>
            <w:tcW w:w="1348" w:type="dxa"/>
          </w:tcPr>
          <w:p w14:paraId="1AD242FC" w14:textId="77777777" w:rsidR="00CC0B80" w:rsidRPr="000665B0" w:rsidRDefault="00CC0B80" w:rsidP="00631837">
            <w:pPr>
              <w:spacing w:after="0"/>
              <w:rPr>
                <w:rFonts w:ascii="Arial" w:hAnsi="Arial" w:cs="Arial"/>
                <w:sz w:val="20"/>
              </w:rPr>
            </w:pPr>
            <w:r w:rsidRPr="000665B0">
              <w:rPr>
                <w:rFonts w:ascii="Arial" w:hAnsi="Arial" w:cs="Arial"/>
                <w:sz w:val="20"/>
              </w:rPr>
              <w:t>Polygon</w:t>
            </w:r>
          </w:p>
        </w:tc>
        <w:tc>
          <w:tcPr>
            <w:tcW w:w="1849" w:type="dxa"/>
          </w:tcPr>
          <w:p w14:paraId="0F607E5D" w14:textId="77777777" w:rsidR="00CC0B80" w:rsidRPr="000665B0" w:rsidRDefault="00CC0B80" w:rsidP="00631837">
            <w:pPr>
              <w:spacing w:after="0"/>
              <w:rPr>
                <w:rFonts w:ascii="Arial" w:hAnsi="Arial" w:cs="Arial"/>
                <w:sz w:val="20"/>
              </w:rPr>
            </w:pPr>
            <w:r w:rsidRPr="000665B0">
              <w:rPr>
                <w:rFonts w:ascii="Arial" w:hAnsi="Arial" w:cs="Arial"/>
                <w:sz w:val="20"/>
              </w:rPr>
              <w:t>Prohibited Area</w:t>
            </w:r>
          </w:p>
        </w:tc>
        <w:tc>
          <w:tcPr>
            <w:tcW w:w="3472" w:type="dxa"/>
          </w:tcPr>
          <w:p w14:paraId="03DC6DD6" w14:textId="77777777" w:rsidR="00CC0B80" w:rsidRPr="000665B0" w:rsidRDefault="00CC0B80" w:rsidP="00631837">
            <w:pPr>
              <w:spacing w:after="0"/>
              <w:rPr>
                <w:rFonts w:ascii="Arial" w:hAnsi="Arial" w:cs="Arial"/>
                <w:sz w:val="20"/>
              </w:rPr>
            </w:pPr>
          </w:p>
        </w:tc>
      </w:tr>
      <w:tr w:rsidR="00CC0B80" w:rsidRPr="000665B0" w14:paraId="09A08937" w14:textId="77777777" w:rsidTr="00A0163E">
        <w:trPr>
          <w:trHeight w:val="58"/>
          <w:jc w:val="center"/>
        </w:trPr>
        <w:tc>
          <w:tcPr>
            <w:tcW w:w="2079" w:type="dxa"/>
          </w:tcPr>
          <w:p w14:paraId="365DE4D0" w14:textId="77777777" w:rsidR="00CC0B80" w:rsidRPr="000665B0" w:rsidRDefault="00CC0B80" w:rsidP="00631837">
            <w:pPr>
              <w:spacing w:after="0"/>
              <w:rPr>
                <w:rFonts w:ascii="Arial" w:hAnsi="Arial" w:cs="Arial"/>
                <w:sz w:val="20"/>
              </w:rPr>
            </w:pPr>
            <w:r w:rsidRPr="000665B0">
              <w:rPr>
                <w:rFonts w:ascii="Arial" w:hAnsi="Arial" w:cs="Arial"/>
                <w:sz w:val="20"/>
              </w:rPr>
              <w:t>TRACK</w:t>
            </w:r>
          </w:p>
        </w:tc>
        <w:tc>
          <w:tcPr>
            <w:tcW w:w="1348" w:type="dxa"/>
          </w:tcPr>
          <w:p w14:paraId="4B1FBE47" w14:textId="77777777" w:rsidR="00CC0B80" w:rsidRPr="000665B0" w:rsidRDefault="00CC0B80" w:rsidP="00631837">
            <w:pPr>
              <w:spacing w:after="0"/>
              <w:rPr>
                <w:rFonts w:ascii="Arial" w:hAnsi="Arial" w:cs="Arial"/>
                <w:sz w:val="20"/>
              </w:rPr>
            </w:pPr>
            <w:r w:rsidRPr="000665B0">
              <w:rPr>
                <w:rFonts w:ascii="Arial" w:hAnsi="Arial" w:cs="Arial"/>
                <w:sz w:val="20"/>
              </w:rPr>
              <w:t>Polygon</w:t>
            </w:r>
          </w:p>
        </w:tc>
        <w:tc>
          <w:tcPr>
            <w:tcW w:w="1849" w:type="dxa"/>
          </w:tcPr>
          <w:p w14:paraId="1BD384E9" w14:textId="77777777" w:rsidR="00CC0B80" w:rsidRPr="000665B0" w:rsidRDefault="00CC0B80" w:rsidP="00631837">
            <w:pPr>
              <w:spacing w:after="0"/>
              <w:rPr>
                <w:rFonts w:ascii="Arial" w:hAnsi="Arial" w:cs="Arial"/>
                <w:sz w:val="20"/>
              </w:rPr>
            </w:pPr>
            <w:r w:rsidRPr="000665B0">
              <w:rPr>
                <w:rFonts w:ascii="Arial" w:hAnsi="Arial" w:cs="Arial"/>
                <w:sz w:val="20"/>
              </w:rPr>
              <w:t>Prohibited Area or Flight Corridor</w:t>
            </w:r>
          </w:p>
        </w:tc>
        <w:tc>
          <w:tcPr>
            <w:tcW w:w="3472" w:type="dxa"/>
          </w:tcPr>
          <w:p w14:paraId="1C9E8D54" w14:textId="77777777" w:rsidR="00CC0B80" w:rsidRPr="000665B0" w:rsidRDefault="00CC0B80" w:rsidP="00B124FB">
            <w:pPr>
              <w:spacing w:after="0"/>
              <w:rPr>
                <w:rFonts w:ascii="Arial" w:hAnsi="Arial" w:cs="Arial"/>
                <w:sz w:val="20"/>
              </w:rPr>
            </w:pPr>
            <w:r w:rsidRPr="000665B0">
              <w:rPr>
                <w:rFonts w:ascii="Arial" w:hAnsi="Arial" w:cs="Arial"/>
                <w:sz w:val="20"/>
              </w:rPr>
              <w:t xml:space="preserve">If this is a flight corridor, entry\exit lines will be defaulted to cross point. </w:t>
            </w:r>
            <w:r w:rsidR="00B124FB" w:rsidRPr="000665B0">
              <w:rPr>
                <w:rFonts w:ascii="Arial" w:hAnsi="Arial" w:cs="Arial"/>
                <w:sz w:val="20"/>
              </w:rPr>
              <w:t xml:space="preserve">Vertices </w:t>
            </w:r>
            <w:r w:rsidRPr="000665B0">
              <w:rPr>
                <w:rFonts w:ascii="Arial" w:hAnsi="Arial" w:cs="Arial"/>
                <w:sz w:val="20"/>
              </w:rPr>
              <w:t>correspond to first and last point of track.</w:t>
            </w:r>
          </w:p>
        </w:tc>
      </w:tr>
    </w:tbl>
    <w:p w14:paraId="6EBCB135" w14:textId="77777777" w:rsidR="00CC0B80" w:rsidRPr="000665B0" w:rsidRDefault="00CC0B80" w:rsidP="00A0163E">
      <w:pPr>
        <w:spacing w:before="120" w:line="240" w:lineRule="auto"/>
        <w:rPr>
          <w:b/>
          <w:szCs w:val="24"/>
        </w:rPr>
      </w:pPr>
      <w:r w:rsidRPr="000665B0">
        <w:rPr>
          <w:b/>
          <w:szCs w:val="24"/>
        </w:rPr>
        <w:t>Known behavior limitations: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6474"/>
      </w:tblGrid>
      <w:tr w:rsidR="00CC0B80" w:rsidRPr="000665B0" w14:paraId="65F945B1" w14:textId="77777777" w:rsidTr="0071377A">
        <w:trPr>
          <w:tblHeader/>
        </w:trPr>
        <w:tc>
          <w:tcPr>
            <w:tcW w:w="1538" w:type="pct"/>
            <w:shd w:val="clear" w:color="auto" w:fill="D9D9D9" w:themeFill="background1" w:themeFillShade="D9"/>
          </w:tcPr>
          <w:p w14:paraId="57E7413A" w14:textId="77777777" w:rsidR="00CC0B80" w:rsidRPr="000665B0" w:rsidRDefault="00CC0B80" w:rsidP="00A0163E">
            <w:pPr>
              <w:spacing w:before="60" w:after="60"/>
              <w:jc w:val="center"/>
              <w:rPr>
                <w:rFonts w:ascii="Arial" w:hAnsi="Arial" w:cs="Arial"/>
                <w:b/>
                <w:sz w:val="22"/>
                <w:szCs w:val="22"/>
              </w:rPr>
            </w:pPr>
            <w:r w:rsidRPr="000665B0">
              <w:rPr>
                <w:rFonts w:ascii="Arial" w:hAnsi="Arial" w:cs="Arial"/>
                <w:b/>
                <w:sz w:val="22"/>
                <w:szCs w:val="22"/>
              </w:rPr>
              <w:t>Shape</w:t>
            </w:r>
          </w:p>
        </w:tc>
        <w:tc>
          <w:tcPr>
            <w:tcW w:w="3462" w:type="pct"/>
            <w:shd w:val="clear" w:color="auto" w:fill="D9D9D9" w:themeFill="background1" w:themeFillShade="D9"/>
          </w:tcPr>
          <w:p w14:paraId="5DBE3B64" w14:textId="77777777" w:rsidR="00CC0B80" w:rsidRPr="000665B0" w:rsidRDefault="00CC0B80" w:rsidP="00A0163E">
            <w:pPr>
              <w:spacing w:before="60" w:after="60"/>
              <w:jc w:val="center"/>
              <w:rPr>
                <w:rFonts w:ascii="Arial" w:hAnsi="Arial" w:cs="Arial"/>
                <w:b/>
                <w:sz w:val="22"/>
                <w:szCs w:val="22"/>
              </w:rPr>
            </w:pPr>
            <w:r w:rsidRPr="000665B0">
              <w:rPr>
                <w:rFonts w:ascii="Arial" w:hAnsi="Arial" w:cs="Arial"/>
                <w:b/>
                <w:sz w:val="22"/>
                <w:szCs w:val="22"/>
              </w:rPr>
              <w:t>Known Limitation</w:t>
            </w:r>
          </w:p>
        </w:tc>
      </w:tr>
      <w:tr w:rsidR="00CC0B80" w:rsidRPr="000665B0" w14:paraId="2F9C5EDC" w14:textId="77777777" w:rsidTr="00A0163E">
        <w:trPr>
          <w:trHeight w:val="125"/>
        </w:trPr>
        <w:tc>
          <w:tcPr>
            <w:tcW w:w="1538" w:type="pct"/>
          </w:tcPr>
          <w:p w14:paraId="26F37364" w14:textId="77777777" w:rsidR="00CC0B80" w:rsidRPr="000665B0" w:rsidRDefault="00CC0B80" w:rsidP="00A0163E">
            <w:pPr>
              <w:spacing w:before="60" w:after="60"/>
              <w:rPr>
                <w:rFonts w:ascii="Arial" w:hAnsi="Arial" w:cs="Arial"/>
                <w:sz w:val="20"/>
              </w:rPr>
            </w:pPr>
            <w:r w:rsidRPr="000665B0">
              <w:rPr>
                <w:rFonts w:ascii="Arial" w:hAnsi="Arial" w:cs="Arial"/>
                <w:sz w:val="20"/>
              </w:rPr>
              <w:t>POLYARC</w:t>
            </w:r>
          </w:p>
        </w:tc>
        <w:tc>
          <w:tcPr>
            <w:tcW w:w="3462" w:type="pct"/>
            <w:vAlign w:val="bottom"/>
          </w:tcPr>
          <w:p w14:paraId="649E7FDE" w14:textId="77777777" w:rsidR="00CC0B80" w:rsidRPr="000665B0" w:rsidRDefault="00CC0B80" w:rsidP="00A0163E">
            <w:pPr>
              <w:spacing w:before="60" w:after="60"/>
              <w:rPr>
                <w:rFonts w:ascii="Arial" w:hAnsi="Arial" w:cs="Arial"/>
                <w:sz w:val="20"/>
              </w:rPr>
            </w:pPr>
            <w:r w:rsidRPr="000665B0">
              <w:rPr>
                <w:rFonts w:ascii="Arial" w:hAnsi="Arial" w:cs="Arial"/>
                <w:sz w:val="20"/>
              </w:rPr>
              <w:t>Conversion to an ACMS has not been implemented.</w:t>
            </w:r>
          </w:p>
        </w:tc>
      </w:tr>
      <w:tr w:rsidR="00CC0B80" w:rsidRPr="000665B0" w14:paraId="3A45FA87" w14:textId="77777777" w:rsidTr="00867F79">
        <w:tc>
          <w:tcPr>
            <w:tcW w:w="1538" w:type="pct"/>
          </w:tcPr>
          <w:p w14:paraId="1CEFF764" w14:textId="77777777" w:rsidR="00CC0B80" w:rsidRPr="000665B0" w:rsidRDefault="00CC0B80" w:rsidP="00BE255F">
            <w:pPr>
              <w:spacing w:before="60" w:after="60"/>
              <w:rPr>
                <w:rFonts w:ascii="Arial" w:hAnsi="Arial" w:cs="Arial"/>
                <w:sz w:val="20"/>
              </w:rPr>
            </w:pPr>
            <w:r w:rsidRPr="000665B0">
              <w:rPr>
                <w:rFonts w:ascii="Arial" w:hAnsi="Arial" w:cs="Arial"/>
                <w:sz w:val="20"/>
              </w:rPr>
              <w:t>TRACK</w:t>
            </w:r>
          </w:p>
        </w:tc>
        <w:tc>
          <w:tcPr>
            <w:tcW w:w="3462" w:type="pct"/>
            <w:vAlign w:val="bottom"/>
          </w:tcPr>
          <w:p w14:paraId="3CF26629" w14:textId="77777777" w:rsidR="00CC0B80" w:rsidRPr="000665B0" w:rsidRDefault="00CC0B80" w:rsidP="00BE255F">
            <w:pPr>
              <w:spacing w:before="60" w:after="60"/>
              <w:rPr>
                <w:rFonts w:ascii="Arial" w:hAnsi="Arial" w:cs="Arial"/>
                <w:sz w:val="20"/>
              </w:rPr>
            </w:pPr>
            <w:r w:rsidRPr="000665B0">
              <w:rPr>
                <w:rFonts w:ascii="Arial" w:hAnsi="Arial" w:cs="Arial"/>
                <w:sz w:val="20"/>
              </w:rPr>
              <w:t>The vertical dimensions at each leg are not converted. They are available for viewing via the ACMS Textual Display section ACM USMTF Data.</w:t>
            </w:r>
          </w:p>
        </w:tc>
      </w:tr>
      <w:tr w:rsidR="00CC0B80" w:rsidRPr="000665B0" w14:paraId="2D77E985" w14:textId="77777777" w:rsidTr="00867F79">
        <w:trPr>
          <w:cantSplit/>
        </w:trPr>
        <w:tc>
          <w:tcPr>
            <w:tcW w:w="1538" w:type="pct"/>
          </w:tcPr>
          <w:p w14:paraId="29A8D966" w14:textId="77777777" w:rsidR="00CC0B80" w:rsidRPr="000665B0" w:rsidRDefault="00CC0B80" w:rsidP="00BE255F">
            <w:pPr>
              <w:spacing w:before="60" w:after="60"/>
              <w:rPr>
                <w:rFonts w:ascii="Arial" w:hAnsi="Arial" w:cs="Arial"/>
                <w:sz w:val="20"/>
              </w:rPr>
            </w:pPr>
            <w:r w:rsidRPr="000665B0">
              <w:rPr>
                <w:rFonts w:ascii="Arial" w:hAnsi="Arial" w:cs="Arial"/>
                <w:sz w:val="20"/>
              </w:rPr>
              <w:t>CORRIDOR, LINE, TRACK</w:t>
            </w:r>
          </w:p>
        </w:tc>
        <w:tc>
          <w:tcPr>
            <w:tcW w:w="3462" w:type="pct"/>
            <w:vAlign w:val="bottom"/>
          </w:tcPr>
          <w:p w14:paraId="4DA8D50D" w14:textId="1797F7BF" w:rsidR="00CC0B80" w:rsidRPr="000665B0" w:rsidRDefault="00CC0B80" w:rsidP="00BE255F">
            <w:pPr>
              <w:spacing w:before="60" w:after="60"/>
              <w:rPr>
                <w:rFonts w:ascii="Arial" w:hAnsi="Arial" w:cs="Arial"/>
                <w:sz w:val="20"/>
              </w:rPr>
            </w:pPr>
            <w:r w:rsidRPr="000665B0">
              <w:rPr>
                <w:rFonts w:ascii="Arial" w:hAnsi="Arial" w:cs="Arial"/>
                <w:sz w:val="20"/>
              </w:rPr>
              <w:t>If converted to an ACMS of type Flight Corridor, the Entry Line will be defaulted to vertex #1, #2. The Exit Line #(nPts/2),</w:t>
            </w:r>
            <w:r w:rsidR="00F21F19">
              <w:rPr>
                <w:rFonts w:ascii="Arial" w:hAnsi="Arial" w:cs="Arial"/>
                <w:sz w:val="20"/>
              </w:rPr>
              <w:t xml:space="preserve"> </w:t>
            </w:r>
            <w:r w:rsidRPr="000665B0">
              <w:rPr>
                <w:rFonts w:ascii="Arial" w:hAnsi="Arial" w:cs="Arial"/>
                <w:sz w:val="20"/>
              </w:rPr>
              <w:t xml:space="preserve">#(nPts/2)+1. If there are more than 98 pts, then the Exit Line will be defaulted to 01,02. </w:t>
            </w:r>
          </w:p>
          <w:p w14:paraId="61023A00" w14:textId="77777777" w:rsidR="00CC0B80" w:rsidRPr="000665B0" w:rsidRDefault="00CC0B80" w:rsidP="00BE255F">
            <w:pPr>
              <w:spacing w:before="60" w:after="60"/>
              <w:rPr>
                <w:rFonts w:ascii="Arial" w:hAnsi="Arial" w:cs="Arial"/>
                <w:sz w:val="20"/>
              </w:rPr>
            </w:pPr>
            <w:r w:rsidRPr="000665B0">
              <w:rPr>
                <w:rFonts w:ascii="Arial" w:hAnsi="Arial" w:cs="Arial"/>
                <w:sz w:val="20"/>
              </w:rPr>
              <w:t>If the width is &lt; 0.1, then it will be reset to 0.1 so to create a valid polygon since ACMS do not support high precision data for lat\long.</w:t>
            </w:r>
          </w:p>
        </w:tc>
      </w:tr>
      <w:tr w:rsidR="00AC5CA0" w:rsidRPr="000665B0" w14:paraId="79BC18A9" w14:textId="77777777" w:rsidTr="00AC5CA0">
        <w:trPr>
          <w:cantSplit/>
        </w:trPr>
        <w:tc>
          <w:tcPr>
            <w:tcW w:w="1538" w:type="pct"/>
            <w:vAlign w:val="center"/>
          </w:tcPr>
          <w:p w14:paraId="6C464CC9" w14:textId="77777777" w:rsidR="00AC5CA0" w:rsidRPr="000665B0" w:rsidRDefault="00AC5CA0" w:rsidP="00BE255F">
            <w:pPr>
              <w:spacing w:before="60" w:after="60"/>
              <w:rPr>
                <w:rFonts w:ascii="Arial" w:hAnsi="Arial" w:cs="Arial"/>
                <w:sz w:val="20"/>
              </w:rPr>
            </w:pPr>
            <w:r w:rsidRPr="000665B0">
              <w:rPr>
                <w:rFonts w:ascii="Arial" w:hAnsi="Arial" w:cs="Arial"/>
                <w:sz w:val="20"/>
              </w:rPr>
              <w:t>POLYGON</w:t>
            </w:r>
          </w:p>
        </w:tc>
        <w:tc>
          <w:tcPr>
            <w:tcW w:w="3462" w:type="pct"/>
            <w:vAlign w:val="bottom"/>
          </w:tcPr>
          <w:p w14:paraId="5FFCA112" w14:textId="77777777" w:rsidR="00AC5CA0" w:rsidRPr="000665B0" w:rsidRDefault="00AC5CA0" w:rsidP="00BE255F">
            <w:pPr>
              <w:spacing w:before="60" w:after="60"/>
              <w:rPr>
                <w:rFonts w:ascii="Arial" w:hAnsi="Arial" w:cs="Arial"/>
                <w:sz w:val="20"/>
              </w:rPr>
            </w:pPr>
            <w:r w:rsidRPr="000665B0">
              <w:rPr>
                <w:rFonts w:ascii="Arial" w:hAnsi="Arial" w:cs="Arial"/>
                <w:sz w:val="20"/>
              </w:rPr>
              <w:t>An ACMS with more than 24 points that is generated from an ACO cannot be sent to a TTWCS.</w:t>
            </w:r>
          </w:p>
        </w:tc>
      </w:tr>
    </w:tbl>
    <w:p w14:paraId="400B0587" w14:textId="77777777" w:rsidR="00CC0B80" w:rsidRPr="000665B0" w:rsidRDefault="00CC0B80" w:rsidP="006D5A65">
      <w:pPr>
        <w:pStyle w:val="Heading1"/>
      </w:pPr>
      <w:r w:rsidRPr="000665B0">
        <w:lastRenderedPageBreak/>
        <w:t>Display</w:t>
      </w:r>
    </w:p>
    <w:p w14:paraId="01DFE8E2" w14:textId="64ACF371" w:rsidR="00CC0B80" w:rsidRPr="000665B0" w:rsidRDefault="00CC0B80" w:rsidP="006D5A65">
      <w:pPr>
        <w:pStyle w:val="Heading3"/>
      </w:pPr>
      <w:r w:rsidRPr="000665B0">
        <w:t xml:space="preserve">Textually – </w:t>
      </w:r>
      <w:r w:rsidR="00E966BF" w:rsidRPr="000665B0">
        <w:t>Displays</w:t>
      </w:r>
      <w:r w:rsidRPr="000665B0">
        <w:t xml:space="preserve"> the textual </w:t>
      </w:r>
      <w:r w:rsidR="00E966BF" w:rsidRPr="000665B0">
        <w:t xml:space="preserve">view </w:t>
      </w:r>
      <w:r w:rsidRPr="000665B0">
        <w:t xml:space="preserve">of the ACMS(s) that references the selected Air Plan’s ACM(s). This menu is enabled </w:t>
      </w:r>
      <w:r w:rsidR="00E966BF" w:rsidRPr="000665B0">
        <w:t xml:space="preserve">only </w:t>
      </w:r>
      <w:r w:rsidRPr="000665B0">
        <w:t>when the selected ACM(s) have ACMS references.</w:t>
      </w:r>
    </w:p>
    <w:p w14:paraId="05F5DB9B" w14:textId="670661CE" w:rsidR="00CC0B80" w:rsidRPr="000665B0" w:rsidRDefault="00CC0B80" w:rsidP="006D5A65">
      <w:pPr>
        <w:pStyle w:val="Heading3"/>
      </w:pPr>
      <w:r w:rsidRPr="000665B0">
        <w:t xml:space="preserve">Geographically – </w:t>
      </w:r>
      <w:r w:rsidR="00E966BF" w:rsidRPr="000665B0">
        <w:t>Invokes</w:t>
      </w:r>
      <w:r w:rsidRPr="000665B0">
        <w:t xml:space="preserve"> the Geo Display </w:t>
      </w:r>
      <w:r w:rsidR="00E966BF" w:rsidRPr="000665B0">
        <w:t xml:space="preserve">tool </w:t>
      </w:r>
      <w:r w:rsidRPr="000665B0">
        <w:t xml:space="preserve">and displays the ACMS(s) that reference the selected Air Plan’s ACM(s). This menu is enabled </w:t>
      </w:r>
      <w:r w:rsidR="00E966BF" w:rsidRPr="000665B0">
        <w:t xml:space="preserve">only </w:t>
      </w:r>
      <w:r w:rsidRPr="000665B0">
        <w:t>when the selected ACM(s) have ACMS references.</w:t>
      </w:r>
    </w:p>
    <w:p w14:paraId="43F670F3" w14:textId="71ACABDC" w:rsidR="00CC0B80" w:rsidRPr="000665B0" w:rsidRDefault="00CC0B80" w:rsidP="006D5A65">
      <w:pPr>
        <w:pStyle w:val="Heading3"/>
      </w:pPr>
      <w:r w:rsidRPr="000665B0">
        <w:t xml:space="preserve">In Excel – </w:t>
      </w:r>
      <w:r w:rsidR="00E966BF" w:rsidRPr="000665B0">
        <w:t xml:space="preserve">Creates </w:t>
      </w:r>
      <w:r w:rsidRPr="000665B0">
        <w:t xml:space="preserve">an Excel document </w:t>
      </w:r>
      <w:r w:rsidR="00E966BF" w:rsidRPr="000665B0">
        <w:t>containing</w:t>
      </w:r>
      <w:r w:rsidRPr="000665B0">
        <w:t xml:space="preserve"> the selected ACM(s)’ list view information. </w:t>
      </w:r>
    </w:p>
    <w:p w14:paraId="6057E81E" w14:textId="1B778E9E" w:rsidR="00CC0B80" w:rsidRPr="000665B0" w:rsidRDefault="00CC0B80" w:rsidP="006D5A65">
      <w:pPr>
        <w:pStyle w:val="Heading1"/>
      </w:pPr>
      <w:r w:rsidRPr="000665B0">
        <w:t xml:space="preserve">Print… – </w:t>
      </w:r>
      <w:r w:rsidR="00E966BF" w:rsidRPr="000665B0">
        <w:t>Invokes</w:t>
      </w:r>
      <w:r w:rsidRPr="000665B0">
        <w:t xml:space="preserve"> a print </w:t>
      </w:r>
      <w:r w:rsidR="00E966BF" w:rsidRPr="000665B0">
        <w:t xml:space="preserve">property’s window </w:t>
      </w:r>
      <w:r w:rsidRPr="000665B0">
        <w:t>to print the selected ACM(s).</w:t>
      </w:r>
    </w:p>
    <w:p w14:paraId="2770AD41" w14:textId="2811363E" w:rsidR="00CC0B80" w:rsidRPr="000665B0" w:rsidRDefault="00CC0B80" w:rsidP="006D5A65">
      <w:pPr>
        <w:pStyle w:val="Heading1"/>
      </w:pPr>
      <w:r w:rsidRPr="000665B0">
        <w:t xml:space="preserve">Hide – </w:t>
      </w:r>
      <w:r w:rsidR="00E966BF" w:rsidRPr="000665B0">
        <w:t xml:space="preserve">Hides </w:t>
      </w:r>
      <w:r w:rsidRPr="000665B0">
        <w:t xml:space="preserve">the selected ACM(s) from the </w:t>
      </w:r>
      <w:r w:rsidRPr="000665B0">
        <w:rPr>
          <w:i/>
        </w:rPr>
        <w:t>ACMs</w:t>
      </w:r>
      <w:r w:rsidR="00013540" w:rsidRPr="000665B0">
        <w:t xml:space="preserve"> tab’s</w:t>
      </w:r>
      <w:r w:rsidRPr="000665B0">
        <w:t xml:space="preserve"> list view and adds </w:t>
      </w:r>
      <w:r w:rsidR="00E966BF" w:rsidRPr="000665B0">
        <w:t xml:space="preserve">it </w:t>
      </w:r>
      <w:r w:rsidRPr="000665B0">
        <w:t xml:space="preserve">to the </w:t>
      </w:r>
      <w:r w:rsidRPr="000665B0">
        <w:rPr>
          <w:i/>
        </w:rPr>
        <w:t>Hidden</w:t>
      </w:r>
      <w:r w:rsidRPr="000665B0">
        <w:t xml:space="preserve"> </w:t>
      </w:r>
      <w:r w:rsidR="00E966BF" w:rsidRPr="000665B0">
        <w:t xml:space="preserve">tab’s </w:t>
      </w:r>
      <w:r w:rsidRPr="000665B0">
        <w:t>list view.</w:t>
      </w:r>
    </w:p>
    <w:p w14:paraId="28B34EBC" w14:textId="375AAC8F" w:rsidR="00CC0B80" w:rsidRPr="000665B0" w:rsidRDefault="00CC0B80" w:rsidP="006D5A65">
      <w:pPr>
        <w:pStyle w:val="Heading1"/>
      </w:pPr>
      <w:r w:rsidRPr="000665B0">
        <w:t>Hidden Airspace Control Means’ Context Menu</w:t>
      </w:r>
    </w:p>
    <w:p w14:paraId="17835928" w14:textId="77777777" w:rsidR="00CC0B80" w:rsidRPr="000665B0" w:rsidRDefault="00CC0B80" w:rsidP="006D5A65">
      <w:pPr>
        <w:pStyle w:val="Heading1"/>
      </w:pPr>
      <w:r w:rsidRPr="000665B0">
        <w:t>Display</w:t>
      </w:r>
    </w:p>
    <w:p w14:paraId="250012A0" w14:textId="70A5E813" w:rsidR="00CC0B80" w:rsidRPr="000665B0" w:rsidRDefault="00CC0B80" w:rsidP="006D5A65">
      <w:pPr>
        <w:pStyle w:val="Heading3"/>
      </w:pPr>
      <w:r w:rsidRPr="000665B0">
        <w:t xml:space="preserve">Textually – </w:t>
      </w:r>
      <w:r w:rsidR="00013540" w:rsidRPr="000665B0">
        <w:t>Displays</w:t>
      </w:r>
      <w:r w:rsidRPr="000665B0">
        <w:t xml:space="preserve"> the textual </w:t>
      </w:r>
      <w:r w:rsidR="00013540" w:rsidRPr="000665B0">
        <w:t xml:space="preserve">view </w:t>
      </w:r>
      <w:r w:rsidRPr="000665B0">
        <w:t xml:space="preserve">of the ACMS(s) that references the selected Air Plan’s ACM(s). This menu is enabled </w:t>
      </w:r>
      <w:r w:rsidR="00013540" w:rsidRPr="000665B0">
        <w:t xml:space="preserve">only </w:t>
      </w:r>
      <w:r w:rsidRPr="000665B0">
        <w:t>when the selected ACM(s) have ACMS references.</w:t>
      </w:r>
    </w:p>
    <w:p w14:paraId="0ED74C5C" w14:textId="60A4A082" w:rsidR="00CC0B80" w:rsidRPr="000665B0" w:rsidRDefault="00CC0B80" w:rsidP="006D5A65">
      <w:pPr>
        <w:pStyle w:val="Heading3"/>
      </w:pPr>
      <w:r w:rsidRPr="000665B0">
        <w:t xml:space="preserve">Geographically – </w:t>
      </w:r>
      <w:r w:rsidR="00013540" w:rsidRPr="000665B0">
        <w:t>Invokes</w:t>
      </w:r>
      <w:r w:rsidRPr="000665B0">
        <w:t xml:space="preserve"> the Geo Display </w:t>
      </w:r>
      <w:r w:rsidR="00013540" w:rsidRPr="000665B0">
        <w:t xml:space="preserve">tool </w:t>
      </w:r>
      <w:r w:rsidRPr="000665B0">
        <w:t xml:space="preserve">and displays the ACMS(s) that reference the selected Air Plan’s ACM(s). This menu is enabled </w:t>
      </w:r>
      <w:r w:rsidR="00013540" w:rsidRPr="000665B0">
        <w:t xml:space="preserve">only </w:t>
      </w:r>
      <w:r w:rsidRPr="000665B0">
        <w:t>when the selected ACM(s) have ACMS references.</w:t>
      </w:r>
    </w:p>
    <w:p w14:paraId="74991CCA" w14:textId="12208D0F" w:rsidR="00CC0B80" w:rsidRPr="000665B0" w:rsidRDefault="00CC0B80" w:rsidP="006D5A65">
      <w:pPr>
        <w:pStyle w:val="Heading3"/>
      </w:pPr>
      <w:r w:rsidRPr="000665B0">
        <w:t xml:space="preserve">In Excel – </w:t>
      </w:r>
      <w:r w:rsidR="00013540" w:rsidRPr="000665B0">
        <w:t xml:space="preserve">Creates </w:t>
      </w:r>
      <w:r w:rsidRPr="000665B0">
        <w:t xml:space="preserve">an Excel document </w:t>
      </w:r>
      <w:r w:rsidR="00013540" w:rsidRPr="000665B0">
        <w:t>containing</w:t>
      </w:r>
      <w:r w:rsidRPr="000665B0">
        <w:t xml:space="preserve"> the selected ACM(s)’ list view information. </w:t>
      </w:r>
    </w:p>
    <w:p w14:paraId="30F27A81" w14:textId="21D26B00" w:rsidR="00CC0B80" w:rsidRPr="000665B0" w:rsidRDefault="00CC0B80" w:rsidP="006D5A65">
      <w:pPr>
        <w:pStyle w:val="Heading1"/>
      </w:pPr>
      <w:r w:rsidRPr="000665B0">
        <w:t xml:space="preserve">Print… – </w:t>
      </w:r>
      <w:r w:rsidR="00013540" w:rsidRPr="000665B0">
        <w:t>Invokes</w:t>
      </w:r>
      <w:r w:rsidRPr="000665B0">
        <w:t xml:space="preserve"> a print </w:t>
      </w:r>
      <w:r w:rsidR="00013540" w:rsidRPr="000665B0">
        <w:t>prope</w:t>
      </w:r>
      <w:r w:rsidR="00FB3661" w:rsidRPr="000665B0">
        <w:t>r</w:t>
      </w:r>
      <w:r w:rsidR="00013540" w:rsidRPr="000665B0">
        <w:t xml:space="preserve">ty’s window </w:t>
      </w:r>
      <w:r w:rsidRPr="000665B0">
        <w:t>to print the selected ACM(s).</w:t>
      </w:r>
    </w:p>
    <w:p w14:paraId="615269EC" w14:textId="0F2F70BA" w:rsidR="00CC0B80" w:rsidRPr="000665B0" w:rsidRDefault="00CC0B80" w:rsidP="006D5A65">
      <w:pPr>
        <w:pStyle w:val="Heading1"/>
      </w:pPr>
      <w:r w:rsidRPr="000665B0">
        <w:t xml:space="preserve">Unhide – </w:t>
      </w:r>
      <w:r w:rsidR="008753BB" w:rsidRPr="000665B0">
        <w:t xml:space="preserve">Unhides </w:t>
      </w:r>
      <w:r w:rsidRPr="000665B0">
        <w:t xml:space="preserve">the selected ACM(s) from the </w:t>
      </w:r>
      <w:r w:rsidRPr="000665B0">
        <w:rPr>
          <w:i/>
        </w:rPr>
        <w:t>Hidden</w:t>
      </w:r>
      <w:r w:rsidR="008753BB" w:rsidRPr="000665B0">
        <w:t xml:space="preserve"> tab’s</w:t>
      </w:r>
      <w:r w:rsidRPr="000665B0">
        <w:t xml:space="preserve"> list view and adds </w:t>
      </w:r>
      <w:r w:rsidR="008753BB" w:rsidRPr="000665B0">
        <w:t xml:space="preserve">it </w:t>
      </w:r>
      <w:r w:rsidRPr="000665B0">
        <w:t xml:space="preserve">to the </w:t>
      </w:r>
      <w:r w:rsidRPr="000665B0">
        <w:rPr>
          <w:i/>
        </w:rPr>
        <w:t>ACMs</w:t>
      </w:r>
      <w:r w:rsidRPr="000665B0">
        <w:t xml:space="preserve"> </w:t>
      </w:r>
      <w:r w:rsidR="00013540" w:rsidRPr="000665B0">
        <w:t xml:space="preserve">tab’s </w:t>
      </w:r>
      <w:r w:rsidRPr="000665B0">
        <w:t>list view.</w:t>
      </w:r>
    </w:p>
    <w:p w14:paraId="31B67261" w14:textId="2A044260" w:rsidR="00CC0B80" w:rsidRPr="000665B0" w:rsidRDefault="00CC0B80" w:rsidP="00A66D4D">
      <w:pPr>
        <w:keepNext/>
        <w:rPr>
          <w:b/>
        </w:rPr>
      </w:pPr>
      <w:r w:rsidRPr="000665B0">
        <w:rPr>
          <w:b/>
        </w:rPr>
        <w:t>USMTF Data</w:t>
      </w:r>
      <w:r w:rsidR="00013540" w:rsidRPr="000665B0">
        <w:t xml:space="preserve"> pane</w:t>
      </w:r>
      <w:r w:rsidRPr="000665B0">
        <w:t>:</w:t>
      </w:r>
    </w:p>
    <w:p w14:paraId="3F4EBF71" w14:textId="66ECF6F1" w:rsidR="00CC0B80" w:rsidRPr="000665B0" w:rsidRDefault="0059150E" w:rsidP="00CC0B80">
      <w:pPr>
        <w:jc w:val="center"/>
      </w:pPr>
      <w:r w:rsidRPr="000665B0">
        <w:rPr>
          <w:noProof/>
        </w:rPr>
        <w:drawing>
          <wp:inline distT="0" distB="0" distL="0" distR="0" wp14:anchorId="73E487B8" wp14:editId="12520DDA">
            <wp:extent cx="4983480" cy="1453896"/>
            <wp:effectExtent l="0" t="0" r="0" b="0"/>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83480" cy="1453896"/>
                    </a:xfrm>
                    <a:prstGeom prst="rect">
                      <a:avLst/>
                    </a:prstGeom>
                  </pic:spPr>
                </pic:pic>
              </a:graphicData>
            </a:graphic>
          </wp:inline>
        </w:drawing>
      </w:r>
    </w:p>
    <w:p w14:paraId="4B132179" w14:textId="43C7BBCE" w:rsidR="00CC0B80" w:rsidRPr="000665B0" w:rsidRDefault="00CC0B80" w:rsidP="00CC0B80">
      <w:r w:rsidRPr="000665B0">
        <w:lastRenderedPageBreak/>
        <w:t xml:space="preserve">The </w:t>
      </w:r>
      <w:r w:rsidRPr="000665B0">
        <w:rPr>
          <w:b/>
          <w:i/>
        </w:rPr>
        <w:t>USMTF Data</w:t>
      </w:r>
      <w:r w:rsidRPr="000665B0">
        <w:t xml:space="preserve"> pane view displays the raw USMTF data for every ACO in the Air Plan. The ACO is identified in the tab page title as a concatenation of the ACO’s Area of Validity and Serial Number. This view allows the user to view the original ACO data while providing the convenience to quickly find the specific ACO/ACM item. Selecting an ACO from the ACO list view selects the appropriate ACO tab in the </w:t>
      </w:r>
      <w:r w:rsidRPr="000665B0">
        <w:rPr>
          <w:b/>
        </w:rPr>
        <w:t>USMTF Data</w:t>
      </w:r>
      <w:r w:rsidRPr="000665B0">
        <w:t xml:space="preserve"> pane. Selecting an ACM from one of the ACM list views also selects the appropriate ACO tab in the </w:t>
      </w:r>
      <w:r w:rsidRPr="000665B0">
        <w:rPr>
          <w:b/>
        </w:rPr>
        <w:t>USMTF Data</w:t>
      </w:r>
      <w:r w:rsidRPr="000665B0">
        <w:t xml:space="preserve"> pane. The ACM Identifier is also highlighted within the raw data.</w:t>
      </w:r>
    </w:p>
    <w:p w14:paraId="37F80D7A" w14:textId="77777777" w:rsidR="002C7AC7" w:rsidRPr="000665B0" w:rsidRDefault="002C7AC7" w:rsidP="00CC0B80"/>
    <w:p w14:paraId="65EA30E4" w14:textId="77777777" w:rsidR="00A316EA" w:rsidRDefault="00A316EA" w:rsidP="006966D9">
      <w:pPr>
        <w:pStyle w:val="Heading2"/>
      </w:pPr>
      <w:r>
        <w:br w:type="page"/>
      </w:r>
      <w:bookmarkStart w:id="7258" w:name="_5.46__Sound_"/>
      <w:bookmarkStart w:id="7259" w:name="_5.45__Sound"/>
      <w:bookmarkStart w:id="7260" w:name="_5.44__SOUND"/>
      <w:bookmarkStart w:id="7261" w:name="_Toc214283653"/>
      <w:bookmarkStart w:id="7262" w:name="_Toc289329056"/>
      <w:bookmarkStart w:id="7263" w:name="_Toc312332169"/>
      <w:bookmarkEnd w:id="7258"/>
      <w:bookmarkEnd w:id="7259"/>
      <w:bookmarkEnd w:id="7260"/>
      <w:r w:rsidR="003B4B4F">
        <w:lastRenderedPageBreak/>
        <w:t>TAWS</w:t>
      </w:r>
      <w:r w:rsidR="00E94103" w:rsidRPr="000665B0">
        <w:t xml:space="preserve"> TOOL</w:t>
      </w:r>
      <w:bookmarkEnd w:id="7261"/>
    </w:p>
    <w:p w14:paraId="56CEEF8C" w14:textId="58E03E35" w:rsidR="00E94103" w:rsidRPr="000665B0" w:rsidRDefault="00E94103" w:rsidP="00E94103">
      <w:r w:rsidRPr="000665B0">
        <w:t xml:space="preserve">The </w:t>
      </w:r>
      <w:r w:rsidR="003B4B4F">
        <w:t>TAWS</w:t>
      </w:r>
      <w:r w:rsidRPr="000665B0">
        <w:t xml:space="preserve"> Tool displays a list of all the </w:t>
      </w:r>
      <w:r w:rsidR="003B4B4F">
        <w:t>TAWS</w:t>
      </w:r>
      <w:r w:rsidRPr="000665B0">
        <w:t xml:space="preserve"> that are in TED. The </w:t>
      </w:r>
      <w:r w:rsidR="003B4B4F">
        <w:t>TAWS</w:t>
      </w:r>
      <w:r w:rsidRPr="000665B0">
        <w:t xml:space="preserve"> are objects that contain target and weapon solution data that is used for TLAM mission planning. The main objective of this tool is to aid the operator in selecting the </w:t>
      </w:r>
      <w:r w:rsidR="003B4B4F">
        <w:t>TAWS</w:t>
      </w:r>
      <w:r w:rsidRPr="000665B0">
        <w:t xml:space="preserve"> in order to create the requisite target data and the mission planning tasks. This tool provides a single location where the operator can display and manage </w:t>
      </w:r>
      <w:r w:rsidR="003B4B4F">
        <w:t>TAWS</w:t>
      </w:r>
      <w:r w:rsidRPr="000665B0">
        <w:t xml:space="preserve">. This tool also provides the ability to create pre-populated Targets and TMPRs with data from the desired </w:t>
      </w:r>
      <w:r w:rsidR="003B4B4F">
        <w:t>TAWS</w:t>
      </w:r>
      <w:r w:rsidRPr="000665B0">
        <w:t xml:space="preserve">. </w:t>
      </w:r>
    </w:p>
    <w:p w14:paraId="5BC8B316" w14:textId="2196805F" w:rsidR="00E94103" w:rsidRPr="000665B0" w:rsidRDefault="00E94103" w:rsidP="00E94103">
      <w:r w:rsidRPr="000665B0">
        <w:t xml:space="preserve">To display the </w:t>
      </w:r>
      <w:r w:rsidR="003B4B4F">
        <w:t>TAWS</w:t>
      </w:r>
      <w:r w:rsidRPr="000665B0">
        <w:t xml:space="preserve"> List View:</w:t>
      </w:r>
    </w:p>
    <w:p w14:paraId="3D8B3C0B" w14:textId="741C5529" w:rsidR="00E94103" w:rsidRPr="000665B0" w:rsidRDefault="00E94103" w:rsidP="00E94103">
      <w:pPr>
        <w:ind w:left="360"/>
      </w:pPr>
      <w:r w:rsidRPr="000665B0">
        <w:t xml:space="preserve">From the </w:t>
      </w:r>
      <w:r w:rsidRPr="000665B0">
        <w:rPr>
          <w:b/>
        </w:rPr>
        <w:t>Go</w:t>
      </w:r>
      <w:r w:rsidRPr="000665B0">
        <w:t xml:space="preserve"> menu select </w:t>
      </w:r>
      <w:r w:rsidR="003B4B4F">
        <w:rPr>
          <w:b/>
        </w:rPr>
        <w:t>TAWS</w:t>
      </w:r>
      <w:r w:rsidRPr="000665B0">
        <w:t>.</w:t>
      </w:r>
    </w:p>
    <w:p w14:paraId="218B3ECD" w14:textId="1AEACA6B" w:rsidR="00E94103" w:rsidRPr="000665B0" w:rsidRDefault="00522D2A" w:rsidP="00E94103">
      <w:pPr>
        <w:jc w:val="center"/>
      </w:pPr>
      <w:r>
        <w:rPr>
          <w:noProof/>
        </w:rPr>
        <w:drawing>
          <wp:inline distT="0" distB="0" distL="0" distR="0" wp14:anchorId="41AA5354" wp14:editId="47AC9C8F">
            <wp:extent cx="4914900" cy="2069432"/>
            <wp:effectExtent l="0" t="0" r="0" b="0"/>
            <wp:docPr id="1799182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922882" cy="2072793"/>
                    </a:xfrm>
                    <a:prstGeom prst="rect">
                      <a:avLst/>
                    </a:prstGeom>
                    <a:noFill/>
                    <a:ln>
                      <a:noFill/>
                    </a:ln>
                  </pic:spPr>
                </pic:pic>
              </a:graphicData>
            </a:graphic>
          </wp:inline>
        </w:drawing>
      </w:r>
    </w:p>
    <w:p w14:paraId="75F4F8EA" w14:textId="7DFBEAF8" w:rsidR="00E94103" w:rsidRPr="000665B0" w:rsidRDefault="00E75AC3" w:rsidP="00E94103">
      <w:r>
        <w:rPr>
          <w:b/>
          <w:i/>
        </w:rPr>
        <w:t>TAWS</w:t>
      </w:r>
      <w:r w:rsidR="00E94103" w:rsidRPr="000665B0">
        <w:rPr>
          <w:b/>
          <w:i/>
        </w:rPr>
        <w:t xml:space="preserve"> List View</w:t>
      </w:r>
    </w:p>
    <w:p w14:paraId="51FE1CEC" w14:textId="77777777" w:rsidR="00E94103" w:rsidRPr="000665B0" w:rsidRDefault="00E94103" w:rsidP="006D5A65">
      <w:pPr>
        <w:pStyle w:val="Heading1"/>
      </w:pPr>
      <w:r w:rsidRPr="000665B0">
        <w:t>Columns</w:t>
      </w:r>
    </w:p>
    <w:p w14:paraId="1CA86393" w14:textId="44722DA5" w:rsidR="00E94103" w:rsidRPr="000665B0" w:rsidRDefault="00E94103" w:rsidP="006D5A65">
      <w:pPr>
        <w:pStyle w:val="Heading2"/>
      </w:pPr>
      <w:r w:rsidRPr="000665B0">
        <w:t xml:space="preserve">Object ID – Unique ID of the </w:t>
      </w:r>
      <w:r w:rsidR="00E75AC3">
        <w:t>TAWS</w:t>
      </w:r>
    </w:p>
    <w:p w14:paraId="0300D014" w14:textId="77777777" w:rsidR="00E94103" w:rsidRPr="000665B0" w:rsidRDefault="00E94103" w:rsidP="006D5A65">
      <w:pPr>
        <w:pStyle w:val="Heading2"/>
      </w:pPr>
      <w:r w:rsidRPr="000665B0">
        <w:t xml:space="preserve">BE – Basic Encyclopedia; An identified installation of potential significance as objectives for attack. </w:t>
      </w:r>
    </w:p>
    <w:p w14:paraId="513B424B" w14:textId="77777777" w:rsidR="00E94103" w:rsidRPr="000665B0" w:rsidRDefault="00E94103" w:rsidP="006D5A65">
      <w:pPr>
        <w:pStyle w:val="Heading2"/>
      </w:pPr>
      <w:r w:rsidRPr="000665B0">
        <w:t>OSuffix – Five-character suffix which in conjunction with a BE, uniquely identifies a facility or demographic area.</w:t>
      </w:r>
    </w:p>
    <w:p w14:paraId="696B0579" w14:textId="77777777" w:rsidR="00E94103" w:rsidRPr="000665B0" w:rsidRDefault="00E94103" w:rsidP="006D5A65">
      <w:pPr>
        <w:pStyle w:val="Heading2"/>
      </w:pPr>
      <w:r w:rsidRPr="000665B0">
        <w:t>EQP ID – Equipment ID; Three-digit code identifying the equipment.</w:t>
      </w:r>
    </w:p>
    <w:p w14:paraId="49BDD5B6" w14:textId="77777777" w:rsidR="00E94103" w:rsidRPr="000665B0" w:rsidRDefault="00E94103" w:rsidP="006D5A65">
      <w:pPr>
        <w:pStyle w:val="Heading2"/>
      </w:pPr>
      <w:r w:rsidRPr="000665B0">
        <w:t>AP ID – Aimpoint ID; Two alphabetic characters which, in conjunction with the Installation BE number, are used to uniquely identify the point desired for intended interaction of the warhead with a target element.</w:t>
      </w:r>
    </w:p>
    <w:p w14:paraId="12BC9065" w14:textId="77777777" w:rsidR="00E94103" w:rsidRPr="000665B0" w:rsidRDefault="00E94103" w:rsidP="006D5A65">
      <w:pPr>
        <w:pStyle w:val="Heading2"/>
      </w:pPr>
      <w:r w:rsidRPr="000665B0">
        <w:t>JDPI – JDPI ID.</w:t>
      </w:r>
    </w:p>
    <w:p w14:paraId="66FC2E08" w14:textId="77777777" w:rsidR="00E94103" w:rsidRPr="000665B0" w:rsidRDefault="00E94103" w:rsidP="006D5A65">
      <w:pPr>
        <w:pStyle w:val="Heading2"/>
      </w:pPr>
      <w:r w:rsidRPr="000665B0">
        <w:t>TAWS Task ID – Unique ID of the TAWS Task.</w:t>
      </w:r>
    </w:p>
    <w:p w14:paraId="737EE3B6" w14:textId="77777777" w:rsidR="00E94103" w:rsidRPr="000665B0" w:rsidRDefault="00E94103" w:rsidP="006D5A65">
      <w:pPr>
        <w:pStyle w:val="Heading2"/>
      </w:pPr>
      <w:r w:rsidRPr="000665B0">
        <w:lastRenderedPageBreak/>
        <w:t>Weapon Name – Name of the weapon type.</w:t>
      </w:r>
    </w:p>
    <w:p w14:paraId="65F2B227" w14:textId="77777777" w:rsidR="00E94103" w:rsidRPr="000665B0" w:rsidRDefault="00E94103" w:rsidP="006D5A65">
      <w:pPr>
        <w:pStyle w:val="Heading2"/>
      </w:pPr>
      <w:r w:rsidRPr="000665B0">
        <w:t>Warhead Type – Warhead type.</w:t>
      </w:r>
    </w:p>
    <w:p w14:paraId="2AA977E2" w14:textId="77777777" w:rsidR="00E94103" w:rsidRPr="000665B0" w:rsidRDefault="00E94103" w:rsidP="006D5A65">
      <w:pPr>
        <w:pStyle w:val="Heading2"/>
      </w:pPr>
      <w:r w:rsidRPr="000665B0">
        <w:t>Terminal Maneuver – The specific attack maneuver defined for the primary route.</w:t>
      </w:r>
    </w:p>
    <w:p w14:paraId="4268DA4A" w14:textId="77777777" w:rsidR="00E94103" w:rsidRPr="000665B0" w:rsidRDefault="00E94103" w:rsidP="006D5A65">
      <w:pPr>
        <w:pStyle w:val="Heading2"/>
      </w:pPr>
      <w:r w:rsidRPr="000665B0">
        <w:t>Strike Type – The valid values are S or N which correspond to Strike and No Strike, respectively.</w:t>
      </w:r>
    </w:p>
    <w:p w14:paraId="4B8B23C5" w14:textId="77777777" w:rsidR="00E94103" w:rsidRPr="000665B0" w:rsidRDefault="00E94103" w:rsidP="006D5A65">
      <w:pPr>
        <w:pStyle w:val="Heading2"/>
      </w:pPr>
      <w:r w:rsidRPr="000665B0">
        <w:t>AP Impact Angle – Aimpoint impact angle.</w:t>
      </w:r>
    </w:p>
    <w:p w14:paraId="33E82312" w14:textId="77777777" w:rsidR="00E94103" w:rsidRPr="000665B0" w:rsidRDefault="00E94103" w:rsidP="006D5A65">
      <w:pPr>
        <w:pStyle w:val="Heading2"/>
      </w:pPr>
      <w:r w:rsidRPr="000665B0">
        <w:t>Damage Criteria – Damage criteria.</w:t>
      </w:r>
    </w:p>
    <w:p w14:paraId="6B962F98" w14:textId="77777777" w:rsidR="00E94103" w:rsidRPr="000665B0" w:rsidRDefault="00E94103" w:rsidP="006D5A65">
      <w:pPr>
        <w:pStyle w:val="Heading2"/>
      </w:pPr>
      <w:r w:rsidRPr="000665B0">
        <w:t>Case Number – Case number.</w:t>
      </w:r>
    </w:p>
    <w:p w14:paraId="7BACD40D" w14:textId="77777777" w:rsidR="00E94103" w:rsidRPr="000665B0" w:rsidRDefault="00E94103" w:rsidP="006D5A65">
      <w:pPr>
        <w:pStyle w:val="Heading2"/>
      </w:pPr>
      <w:r w:rsidRPr="000665B0">
        <w:t>Modified DTG – The last modified DTG.</w:t>
      </w:r>
    </w:p>
    <w:p w14:paraId="304FDE0D" w14:textId="77777777" w:rsidR="00E94103" w:rsidRPr="000665B0" w:rsidRDefault="00E94103" w:rsidP="006D5A65">
      <w:pPr>
        <w:pStyle w:val="Heading2"/>
      </w:pPr>
      <w:r w:rsidRPr="000665B0">
        <w:t>Fuze Setting – Fuze setting.</w:t>
      </w:r>
    </w:p>
    <w:p w14:paraId="03065EC9" w14:textId="77777777" w:rsidR="00E94103" w:rsidRPr="000665B0" w:rsidRDefault="00E94103" w:rsidP="006D5A65">
      <w:pPr>
        <w:pStyle w:val="Heading1"/>
      </w:pPr>
      <w:r w:rsidRPr="000665B0">
        <w:t>Context Menu</w:t>
      </w:r>
    </w:p>
    <w:p w14:paraId="266EF221" w14:textId="77777777" w:rsidR="00E94103" w:rsidRPr="000665B0" w:rsidRDefault="00E94103" w:rsidP="006D5A65">
      <w:pPr>
        <w:pStyle w:val="Heading2"/>
      </w:pPr>
      <w:r w:rsidRPr="000665B0">
        <w:t>Display</w:t>
      </w:r>
    </w:p>
    <w:p w14:paraId="094B9CCF" w14:textId="6B4DEF07" w:rsidR="00E94103" w:rsidRPr="000665B0" w:rsidRDefault="00E94103" w:rsidP="006D5A65">
      <w:pPr>
        <w:pStyle w:val="Heading3"/>
      </w:pPr>
      <w:r w:rsidRPr="000665B0">
        <w:t xml:space="preserve">Textually – Displays the selected </w:t>
      </w:r>
      <w:r w:rsidR="00E75AC3">
        <w:t>TAWS</w:t>
      </w:r>
      <w:r w:rsidRPr="000665B0">
        <w:t>(s) textually.</w:t>
      </w:r>
    </w:p>
    <w:p w14:paraId="34CB59E3" w14:textId="27D7C273" w:rsidR="00E94103" w:rsidRPr="000665B0" w:rsidRDefault="00E94103" w:rsidP="006D5A65">
      <w:pPr>
        <w:pStyle w:val="Heading3"/>
      </w:pPr>
      <w:r w:rsidRPr="000665B0">
        <w:t xml:space="preserve">In Excel – Displays the selected </w:t>
      </w:r>
      <w:r w:rsidR="00E75AC3">
        <w:t>TAWS</w:t>
      </w:r>
      <w:r w:rsidRPr="000665B0">
        <w:t>(s) in an Excel spreadsheet.</w:t>
      </w:r>
    </w:p>
    <w:p w14:paraId="78442524" w14:textId="224EE15B" w:rsidR="00E94103" w:rsidRPr="000665B0" w:rsidRDefault="00E94103" w:rsidP="006D5A65">
      <w:pPr>
        <w:pStyle w:val="Heading2"/>
      </w:pPr>
      <w:r w:rsidRPr="000665B0">
        <w:t xml:space="preserve">Create Target… – Brings up a pre-populated Target view containing the selected </w:t>
      </w:r>
      <w:r w:rsidR="00E75AC3">
        <w:t>TAWS</w:t>
      </w:r>
      <w:r w:rsidRPr="000665B0">
        <w:t xml:space="preserve">’s information. One Target view is displayed for each selected </w:t>
      </w:r>
      <w:r w:rsidR="00E75AC3">
        <w:t>TAWS</w:t>
      </w:r>
      <w:r w:rsidRPr="000665B0">
        <w:t xml:space="preserve">. This menu is only enabled when </w:t>
      </w:r>
      <w:r w:rsidR="003B4B4F">
        <w:t>TAWS</w:t>
      </w:r>
      <w:r w:rsidRPr="000665B0">
        <w:t xml:space="preserve"> with the Strike Type of “S” are selected. </w:t>
      </w:r>
    </w:p>
    <w:p w14:paraId="0C37A183" w14:textId="561BA8AB" w:rsidR="00E84CB7" w:rsidRPr="000665B0" w:rsidRDefault="00E84CB7" w:rsidP="006D5A65">
      <w:pPr>
        <w:pStyle w:val="Heading2"/>
      </w:pPr>
      <w:r w:rsidRPr="000665B0">
        <w:t xml:space="preserve">Create Attack Plan TMPR – Brings up a pre-populated Create Attack Plan TMPR view containing the selected </w:t>
      </w:r>
      <w:r w:rsidR="00E75AC3">
        <w:t>TAWS</w:t>
      </w:r>
      <w:r w:rsidRPr="000665B0">
        <w:t xml:space="preserve">’s information. One TMPR is displayed for each selected </w:t>
      </w:r>
      <w:r w:rsidR="00E75AC3">
        <w:t>TAWS</w:t>
      </w:r>
      <w:r w:rsidRPr="000665B0">
        <w:t xml:space="preserve">. This menu is only enabled when </w:t>
      </w:r>
      <w:r w:rsidR="003B4B4F">
        <w:t>TAWS</w:t>
      </w:r>
      <w:r w:rsidRPr="000665B0">
        <w:t xml:space="preserve"> with the Strike Type of “S” are selected.</w:t>
      </w:r>
    </w:p>
    <w:p w14:paraId="6951C173" w14:textId="22B9085B" w:rsidR="00E94103" w:rsidRPr="000665B0" w:rsidRDefault="00E94103" w:rsidP="006D5A65">
      <w:pPr>
        <w:pStyle w:val="Heading2"/>
      </w:pPr>
      <w:r w:rsidRPr="000665B0">
        <w:t xml:space="preserve">Create TMPR… – Brings up a pre-populated Create Mission TMPR view containing the selected </w:t>
      </w:r>
      <w:r w:rsidR="00E75AC3">
        <w:t>TAWS</w:t>
      </w:r>
      <w:r w:rsidRPr="000665B0">
        <w:t xml:space="preserve">’s information. One TMPR is displayed for each selected </w:t>
      </w:r>
      <w:r w:rsidR="00E75AC3">
        <w:t>TAWS</w:t>
      </w:r>
      <w:r w:rsidRPr="000665B0">
        <w:t xml:space="preserve">. This menu is only enabled when </w:t>
      </w:r>
      <w:r w:rsidR="003B4B4F">
        <w:t>TAWS</w:t>
      </w:r>
      <w:r w:rsidRPr="000665B0">
        <w:t xml:space="preserve"> with the Strike Type of “S” are selected.</w:t>
      </w:r>
    </w:p>
    <w:p w14:paraId="00773DDC" w14:textId="63A9AEC3" w:rsidR="00E94103" w:rsidRPr="000665B0" w:rsidRDefault="00E94103" w:rsidP="006D5A65">
      <w:pPr>
        <w:pStyle w:val="Heading2"/>
      </w:pPr>
      <w:r w:rsidRPr="000665B0">
        <w:rPr>
          <w:rFonts w:eastAsia="Arial Unicode MS"/>
        </w:rPr>
        <w:t xml:space="preserve">Create TED Library – </w:t>
      </w:r>
      <w:r w:rsidRPr="000665B0">
        <w:t xml:space="preserve">This type of library is able to accept different types of data instead of being restricted to </w:t>
      </w:r>
      <w:r w:rsidRPr="000665B0">
        <w:lastRenderedPageBreak/>
        <w:t xml:space="preserve">a single data type as in the other MDS Libraries. For information on creating a TED Library see </w:t>
      </w:r>
      <w:hyperlink w:anchor="_5.13.1.1__New" w:history="1">
        <w:r w:rsidRPr="000665B0">
          <w:rPr>
            <w:rStyle w:val="Hyperlink"/>
          </w:rPr>
          <w:t>Section 5.</w:t>
        </w:r>
        <w:r w:rsidR="00C77A5E" w:rsidRPr="000665B0">
          <w:rPr>
            <w:rStyle w:val="Hyperlink"/>
          </w:rPr>
          <w:t>12</w:t>
        </w:r>
        <w:r w:rsidRPr="000665B0">
          <w:rPr>
            <w:rStyle w:val="Hyperlink"/>
          </w:rPr>
          <w:t>.1.1</w:t>
        </w:r>
      </w:hyperlink>
      <w:r w:rsidRPr="000665B0">
        <w:t>.</w:t>
      </w:r>
    </w:p>
    <w:p w14:paraId="798CD5AB" w14:textId="2F825743" w:rsidR="00E94103" w:rsidRPr="000665B0" w:rsidRDefault="00E94103" w:rsidP="006D5A65">
      <w:pPr>
        <w:pStyle w:val="Heading2"/>
      </w:pPr>
      <w:r w:rsidRPr="000665B0">
        <w:t xml:space="preserve">Send… – Brings up DDO Template that includes the selected </w:t>
      </w:r>
      <w:r w:rsidR="00E75AC3">
        <w:t>TAWS</w:t>
      </w:r>
      <w:r w:rsidRPr="000665B0">
        <w:t>(s).</w:t>
      </w:r>
    </w:p>
    <w:p w14:paraId="2AEDFC88" w14:textId="365A74C4" w:rsidR="00E94103" w:rsidRPr="000665B0" w:rsidRDefault="00E94103" w:rsidP="006D5A65">
      <w:pPr>
        <w:pStyle w:val="Heading2"/>
      </w:pPr>
      <w:r w:rsidRPr="000665B0">
        <w:t xml:space="preserve">Print… – Prints the selected </w:t>
      </w:r>
      <w:r w:rsidR="00E75AC3">
        <w:t>TAWS</w:t>
      </w:r>
      <w:r w:rsidRPr="000665B0">
        <w:t>(s).</w:t>
      </w:r>
    </w:p>
    <w:p w14:paraId="06FDB2B8" w14:textId="473E4B5C" w:rsidR="00E94103" w:rsidRPr="000665B0" w:rsidRDefault="00E94103" w:rsidP="006D5A65">
      <w:pPr>
        <w:pStyle w:val="Heading2"/>
      </w:pPr>
      <w:r w:rsidRPr="000665B0">
        <w:t xml:space="preserve">Delete – Deletes the selected </w:t>
      </w:r>
      <w:r w:rsidR="00E75AC3">
        <w:t>TAWS</w:t>
      </w:r>
      <w:r w:rsidRPr="000665B0">
        <w:t>(s) from TED.</w:t>
      </w:r>
    </w:p>
    <w:p w14:paraId="4DBDF0FE" w14:textId="02B1B330" w:rsidR="00E94103" w:rsidRPr="000665B0" w:rsidRDefault="00E94103" w:rsidP="00E94103">
      <w:pPr>
        <w:pStyle w:val="Heading3"/>
      </w:pPr>
      <w:bookmarkStart w:id="7264" w:name="_Toc214283654"/>
      <w:r w:rsidRPr="000665B0">
        <w:t>Display Textually</w:t>
      </w:r>
      <w:bookmarkEnd w:id="7264"/>
    </w:p>
    <w:p w14:paraId="0AD32A4D" w14:textId="74472698" w:rsidR="00E94103" w:rsidRPr="000665B0" w:rsidRDefault="00E94103" w:rsidP="00E94103">
      <w:r w:rsidRPr="000665B0">
        <w:t xml:space="preserve">This function displays the individual </w:t>
      </w:r>
      <w:r w:rsidR="00E75AC3">
        <w:t>TAWS</w:t>
      </w:r>
      <w:r w:rsidRPr="000665B0">
        <w:t xml:space="preserve"> details and provides the capability to create a pre-populated Target and/or TMPR with the data from the displayed </w:t>
      </w:r>
      <w:r w:rsidR="00E75AC3">
        <w:t>TAWS</w:t>
      </w:r>
      <w:r w:rsidRPr="000665B0">
        <w:t xml:space="preserve">. These creation menus are only available for the </w:t>
      </w:r>
      <w:r w:rsidR="003B4B4F">
        <w:t>TAWS</w:t>
      </w:r>
      <w:r w:rsidRPr="000665B0">
        <w:t xml:space="preserve"> with the “S” (Strike) Strike Type.</w:t>
      </w:r>
    </w:p>
    <w:p w14:paraId="620A8045" w14:textId="06D68A33" w:rsidR="00E94103" w:rsidRPr="000665B0" w:rsidRDefault="00E94103" w:rsidP="00E94103">
      <w:r w:rsidRPr="000665B0">
        <w:t xml:space="preserve">The operator can choose to textually display multiple </w:t>
      </w:r>
      <w:r w:rsidR="003B4B4F">
        <w:t>TAWS</w:t>
      </w:r>
      <w:r w:rsidRPr="000665B0">
        <w:t xml:space="preserve"> simultaneously with each </w:t>
      </w:r>
      <w:r w:rsidR="00E75AC3">
        <w:t>TAWS</w:t>
      </w:r>
      <w:r w:rsidRPr="000665B0">
        <w:t xml:space="preserve"> opening in a separate window.</w:t>
      </w:r>
    </w:p>
    <w:p w14:paraId="47E7CF07" w14:textId="14CA3356" w:rsidR="00E94103" w:rsidRPr="000665B0" w:rsidRDefault="00E94103" w:rsidP="00F26AD4">
      <w:r w:rsidRPr="000665B0">
        <w:t xml:space="preserve">To display the </w:t>
      </w:r>
      <w:r w:rsidR="00E75AC3">
        <w:t>TAWS</w:t>
      </w:r>
      <w:r w:rsidRPr="000665B0">
        <w:t xml:space="preserve"> textually see </w:t>
      </w:r>
      <w:hyperlink w:anchor="_5.2.1.2.4__Display_1" w:history="1">
        <w:r w:rsidRPr="000665B0">
          <w:rPr>
            <w:color w:val="0000FF"/>
            <w:u w:val="single"/>
          </w:rPr>
          <w:t>Section 5.2.1.2.4</w:t>
        </w:r>
      </w:hyperlink>
      <w:r w:rsidRPr="000665B0">
        <w:t>.</w:t>
      </w:r>
    </w:p>
    <w:p w14:paraId="22FE11F7" w14:textId="3C643AE5" w:rsidR="00E94103" w:rsidRPr="000665B0" w:rsidRDefault="00522D2A" w:rsidP="00E94103">
      <w:pPr>
        <w:spacing w:after="0"/>
        <w:jc w:val="center"/>
      </w:pPr>
      <w:r>
        <w:rPr>
          <w:noProof/>
        </w:rPr>
        <w:drawing>
          <wp:inline distT="0" distB="0" distL="0" distR="0" wp14:anchorId="1CA5EF7E" wp14:editId="3BFBD87A">
            <wp:extent cx="5943600" cy="2232660"/>
            <wp:effectExtent l="0" t="0" r="0" b="0"/>
            <wp:docPr id="2025420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5943600" cy="2232660"/>
                    </a:xfrm>
                    <a:prstGeom prst="rect">
                      <a:avLst/>
                    </a:prstGeom>
                    <a:noFill/>
                    <a:ln>
                      <a:noFill/>
                    </a:ln>
                  </pic:spPr>
                </pic:pic>
              </a:graphicData>
            </a:graphic>
          </wp:inline>
        </w:drawing>
      </w:r>
    </w:p>
    <w:p w14:paraId="08040315" w14:textId="7633E8B0" w:rsidR="00E94103" w:rsidRPr="000665B0" w:rsidRDefault="00E94103" w:rsidP="00E94103">
      <w:pPr>
        <w:pStyle w:val="Heading3"/>
      </w:pPr>
      <w:bookmarkStart w:id="7265" w:name="_Toc214283655"/>
      <w:bookmarkStart w:id="7266" w:name="_Hlk140220051"/>
      <w:r w:rsidRPr="000665B0">
        <w:t>Create Target</w:t>
      </w:r>
      <w:bookmarkEnd w:id="7265"/>
    </w:p>
    <w:p w14:paraId="1CF6E1A5" w14:textId="31872B00" w:rsidR="00E94103" w:rsidRPr="000665B0" w:rsidRDefault="00E94103" w:rsidP="00E94103">
      <w:r w:rsidRPr="000665B0">
        <w:t xml:space="preserve">Brings up a Target display and populates the Target with the </w:t>
      </w:r>
      <w:r w:rsidR="00E75AC3">
        <w:t>TAWS</w:t>
      </w:r>
      <w:r w:rsidRPr="000665B0">
        <w:t>’s aimpoint information.</w:t>
      </w:r>
    </w:p>
    <w:p w14:paraId="463B4671" w14:textId="29895A92" w:rsidR="00E94103" w:rsidRPr="000665B0" w:rsidRDefault="00E94103" w:rsidP="00E94103">
      <w:bookmarkStart w:id="7267" w:name="_Hlk141273119"/>
      <w:r w:rsidRPr="000665B0">
        <w:t xml:space="preserve">To create a Target from a </w:t>
      </w:r>
      <w:r w:rsidR="00E75AC3">
        <w:t>TAWS</w:t>
      </w:r>
      <w:r w:rsidRPr="000665B0">
        <w:t>:</w:t>
      </w:r>
    </w:p>
    <w:p w14:paraId="6B0A2C2C" w14:textId="45450CDB" w:rsidR="00E94103" w:rsidRPr="000665B0" w:rsidRDefault="00E94103" w:rsidP="006D5A65">
      <w:pPr>
        <w:pStyle w:val="Heading1"/>
      </w:pPr>
      <w:r w:rsidRPr="000665B0">
        <w:t xml:space="preserve">From the </w:t>
      </w:r>
      <w:r w:rsidR="00E75AC3">
        <w:t>TAWS</w:t>
      </w:r>
      <w:r w:rsidRPr="000665B0">
        <w:t xml:space="preserve"> Tool, select the desired </w:t>
      </w:r>
      <w:r w:rsidR="00E75AC3">
        <w:t>TAWS</w:t>
      </w:r>
      <w:r w:rsidRPr="000665B0">
        <w:t>(s) that has a Strike Type of “S” (Strike). Select the Create Target… menu from either the context menu or the Tool’s File menu.</w:t>
      </w:r>
    </w:p>
    <w:p w14:paraId="004D8CFF" w14:textId="77777777" w:rsidR="00E94103" w:rsidRPr="000665B0" w:rsidRDefault="00E94103" w:rsidP="00E94103">
      <w:pPr>
        <w:ind w:left="360"/>
      </w:pPr>
      <w:r w:rsidRPr="000665B0">
        <w:t>or</w:t>
      </w:r>
    </w:p>
    <w:p w14:paraId="3A26D39A" w14:textId="11BA9627" w:rsidR="00E94103" w:rsidRPr="000665B0" w:rsidRDefault="00E94103" w:rsidP="006D5A65">
      <w:pPr>
        <w:pStyle w:val="Heading1"/>
      </w:pPr>
      <w:r w:rsidRPr="000665B0">
        <w:lastRenderedPageBreak/>
        <w:t xml:space="preserve">From the </w:t>
      </w:r>
      <w:r w:rsidR="00E75AC3">
        <w:t>TAWS</w:t>
      </w:r>
      <w:r w:rsidRPr="000665B0">
        <w:t xml:space="preserve"> textual display of a </w:t>
      </w:r>
      <w:r w:rsidR="00E75AC3">
        <w:t>TAWS</w:t>
      </w:r>
      <w:r w:rsidRPr="000665B0">
        <w:t xml:space="preserve"> that has a Strike Type of “S” (Strike), select the Create Target… menu from the File menu.</w:t>
      </w:r>
    </w:p>
    <w:p w14:paraId="7E9080ED" w14:textId="77777777" w:rsidR="00E94103" w:rsidRPr="000665B0" w:rsidRDefault="00E94103" w:rsidP="006D5A65">
      <w:pPr>
        <w:pStyle w:val="Heading1"/>
      </w:pPr>
      <w:r w:rsidRPr="000665B0">
        <w:t xml:space="preserve">The </w:t>
      </w:r>
      <w:r w:rsidRPr="000665B0">
        <w:rPr>
          <w:i/>
        </w:rPr>
        <w:t>Target ID</w:t>
      </w:r>
      <w:r w:rsidRPr="000665B0">
        <w:t xml:space="preserve"> window is displayed. </w:t>
      </w:r>
    </w:p>
    <w:p w14:paraId="3BBFE0F4" w14:textId="526E2213" w:rsidR="00D806CA" w:rsidRPr="000665B0" w:rsidRDefault="00D806CA" w:rsidP="00E94103">
      <w:pPr>
        <w:pStyle w:val="number020500"/>
        <w:ind w:left="0" w:firstLine="0"/>
        <w:jc w:val="center"/>
      </w:pPr>
      <w:r w:rsidRPr="008C2482">
        <w:rPr>
          <w:noProof/>
        </w:rPr>
        <w:drawing>
          <wp:inline distT="0" distB="0" distL="0" distR="0" wp14:anchorId="4E58D6C1" wp14:editId="65F0B209">
            <wp:extent cx="4572000" cy="3118104"/>
            <wp:effectExtent l="0" t="0" r="0" b="6350"/>
            <wp:docPr id="687" name="Picture 68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Picture 687" descr="Graphical user interface, application&#10;&#10;Description automatically generated"/>
                    <pic:cNvPicPr/>
                  </pic:nvPicPr>
                  <pic:blipFill>
                    <a:blip/>
                    <a:stretch>
                      <a:fillRect/>
                    </a:stretch>
                  </pic:blipFill>
                  <pic:spPr>
                    <a:xfrm>
                      <a:off x="0" y="0"/>
                      <a:ext cx="4572000" cy="3118104"/>
                    </a:xfrm>
                    <a:prstGeom prst="rect">
                      <a:avLst/>
                    </a:prstGeom>
                  </pic:spPr>
                </pic:pic>
              </a:graphicData>
            </a:graphic>
          </wp:inline>
        </w:drawing>
      </w:r>
    </w:p>
    <w:p w14:paraId="3D6D0DE9" w14:textId="6834E119" w:rsidR="00E94103" w:rsidRPr="000665B0" w:rsidRDefault="00E94103" w:rsidP="006D5A65">
      <w:pPr>
        <w:pStyle w:val="Heading1"/>
      </w:pPr>
      <w:r w:rsidRPr="000665B0">
        <w:t xml:space="preserve">After making any desired additions/changes to the target, click on the Save </w:t>
      </w:r>
      <w:r w:rsidRPr="000665B0">
        <w:rPr>
          <w:rFonts w:ascii="Wingdings" w:hAnsi="Wingdings"/>
        </w:rPr>
        <w:t></w:t>
      </w:r>
      <w:r w:rsidRPr="000665B0">
        <w:t xml:space="preserve"> icon </w:t>
      </w:r>
      <w:r w:rsidRPr="000665B0">
        <w:rPr>
          <w:szCs w:val="24"/>
        </w:rPr>
        <w:t xml:space="preserve">or select the </w:t>
      </w:r>
      <w:r w:rsidRPr="000665B0">
        <w:rPr>
          <w:bCs/>
          <w:szCs w:val="24"/>
        </w:rPr>
        <w:t>Save</w:t>
      </w:r>
      <w:r w:rsidRPr="000665B0">
        <w:rPr>
          <w:szCs w:val="24"/>
        </w:rPr>
        <w:t xml:space="preserve"> option from the </w:t>
      </w:r>
      <w:r w:rsidRPr="000665B0">
        <w:rPr>
          <w:bCs/>
          <w:szCs w:val="24"/>
        </w:rPr>
        <w:t>File</w:t>
      </w:r>
      <w:r w:rsidRPr="000665B0">
        <w:rPr>
          <w:szCs w:val="24"/>
        </w:rPr>
        <w:t xml:space="preserve"> pull down menu</w:t>
      </w:r>
      <w:r w:rsidRPr="000665B0">
        <w:t xml:space="preserve">. </w:t>
      </w:r>
      <w:r w:rsidR="00C00908" w:rsidRPr="000665B0">
        <w:t xml:space="preserve">For information about entering target information, see </w:t>
      </w:r>
      <w:hyperlink w:anchor="_Add_New_Target" w:history="1">
        <w:r w:rsidR="00C00908" w:rsidRPr="000665B0">
          <w:rPr>
            <w:rStyle w:val="Hyperlink"/>
          </w:rPr>
          <w:t xml:space="preserve">Section </w:t>
        </w:r>
        <w:r w:rsidR="004231CC">
          <w:rPr>
            <w:rStyle w:val="Hyperlink"/>
          </w:rPr>
          <w:t>5.28</w:t>
        </w:r>
        <w:r w:rsidR="00C00908" w:rsidRPr="000665B0">
          <w:rPr>
            <w:rStyle w:val="Hyperlink"/>
          </w:rPr>
          <w:t>.1</w:t>
        </w:r>
      </w:hyperlink>
      <w:r w:rsidR="00C00908" w:rsidRPr="000665B0">
        <w:t>.</w:t>
      </w:r>
    </w:p>
    <w:p w14:paraId="1BBB70AC" w14:textId="4072A73E" w:rsidR="00E94103" w:rsidRPr="000665B0" w:rsidRDefault="00E94103" w:rsidP="00E94103">
      <w:pPr>
        <w:pStyle w:val="Heading3"/>
      </w:pPr>
      <w:bookmarkStart w:id="7268" w:name="_Create_TMPR"/>
      <w:bookmarkStart w:id="7269" w:name="_Toc214283656"/>
      <w:bookmarkEnd w:id="7266"/>
      <w:bookmarkEnd w:id="7267"/>
      <w:bookmarkEnd w:id="7268"/>
      <w:r w:rsidRPr="000665B0">
        <w:t>Create TMPR</w:t>
      </w:r>
      <w:bookmarkEnd w:id="7269"/>
    </w:p>
    <w:p w14:paraId="00DE45D6" w14:textId="3E1F21D9" w:rsidR="00E94103" w:rsidRPr="000665B0" w:rsidRDefault="00E94103" w:rsidP="00E94103">
      <w:r w:rsidRPr="000665B0">
        <w:t xml:space="preserve">Brings up a Create Mission </w:t>
      </w:r>
      <w:r w:rsidR="00E84CB7" w:rsidRPr="000665B0">
        <w:t xml:space="preserve">or Attack Plan </w:t>
      </w:r>
      <w:r w:rsidRPr="000665B0">
        <w:t xml:space="preserve">TMPR display and populates the TMPR with the </w:t>
      </w:r>
      <w:r w:rsidR="00E75AC3">
        <w:t>TAWS</w:t>
      </w:r>
      <w:r w:rsidRPr="000665B0">
        <w:t>’s aimpoint information.</w:t>
      </w:r>
    </w:p>
    <w:p w14:paraId="6A29E3ED" w14:textId="4B6246D7" w:rsidR="00E94103" w:rsidRPr="000665B0" w:rsidRDefault="00E94103" w:rsidP="00E94103">
      <w:r w:rsidRPr="000665B0">
        <w:t xml:space="preserve">To create a TMPR from a </w:t>
      </w:r>
      <w:r w:rsidR="00E75AC3">
        <w:t>TAWS</w:t>
      </w:r>
      <w:r w:rsidRPr="000665B0">
        <w:t>:</w:t>
      </w:r>
    </w:p>
    <w:p w14:paraId="6419FC59" w14:textId="24998551" w:rsidR="00E94103" w:rsidRPr="000665B0" w:rsidRDefault="00E94103" w:rsidP="006D5A65">
      <w:pPr>
        <w:pStyle w:val="Heading1"/>
      </w:pPr>
      <w:r w:rsidRPr="000665B0">
        <w:t xml:space="preserve">From the </w:t>
      </w:r>
      <w:r w:rsidR="00E75AC3">
        <w:t>TAWS</w:t>
      </w:r>
      <w:r w:rsidRPr="000665B0">
        <w:t xml:space="preserve"> Tool, select the desired </w:t>
      </w:r>
      <w:r w:rsidR="00E75AC3">
        <w:t>TAWS</w:t>
      </w:r>
      <w:r w:rsidRPr="000665B0">
        <w:t>(s) that has a Strike Type of “S” (Strike). Select the Create TMPR… menu from either the context menu or the Tool’s File menu.</w:t>
      </w:r>
    </w:p>
    <w:p w14:paraId="53F2D44C" w14:textId="77777777" w:rsidR="00E94103" w:rsidRPr="000665B0" w:rsidRDefault="00E94103" w:rsidP="00E94103">
      <w:pPr>
        <w:ind w:left="360"/>
      </w:pPr>
      <w:r w:rsidRPr="000665B0">
        <w:t>or</w:t>
      </w:r>
    </w:p>
    <w:p w14:paraId="25C74C04" w14:textId="77597989" w:rsidR="00E94103" w:rsidRPr="000665B0" w:rsidRDefault="00E94103" w:rsidP="006D5A65">
      <w:pPr>
        <w:pStyle w:val="Heading1"/>
      </w:pPr>
      <w:r w:rsidRPr="000665B0">
        <w:t xml:space="preserve">From the </w:t>
      </w:r>
      <w:r w:rsidR="00E75AC3">
        <w:t>TAWS</w:t>
      </w:r>
      <w:r w:rsidRPr="000665B0">
        <w:t xml:space="preserve"> textual display of a </w:t>
      </w:r>
      <w:r w:rsidR="00E75AC3">
        <w:t>TAWS</w:t>
      </w:r>
      <w:r w:rsidRPr="000665B0">
        <w:t xml:space="preserve"> that has a Strike Type of “S” (Strike), select the Create TMPR… menu from the File menu.</w:t>
      </w:r>
    </w:p>
    <w:p w14:paraId="49BC04D7" w14:textId="1B503BF5" w:rsidR="003023EC" w:rsidRPr="000665B0" w:rsidRDefault="003023EC" w:rsidP="00172AD0">
      <w:pPr>
        <w:ind w:left="360"/>
      </w:pPr>
      <w:r w:rsidRPr="000665B0">
        <w:t>or</w:t>
      </w:r>
    </w:p>
    <w:p w14:paraId="4D128B1D" w14:textId="7ABD111A" w:rsidR="003023EC" w:rsidRPr="000665B0" w:rsidRDefault="003023EC" w:rsidP="006D5A65">
      <w:pPr>
        <w:pStyle w:val="Heading1"/>
      </w:pPr>
      <w:r w:rsidRPr="000665B0">
        <w:lastRenderedPageBreak/>
        <w:t xml:space="preserve">From the </w:t>
      </w:r>
      <w:r w:rsidR="00E75AC3">
        <w:t>TAWS</w:t>
      </w:r>
      <w:r w:rsidRPr="000665B0">
        <w:t xml:space="preserve"> Tool, select the desired </w:t>
      </w:r>
      <w:r w:rsidR="00E75AC3">
        <w:t>TAWS</w:t>
      </w:r>
      <w:r w:rsidRPr="000665B0">
        <w:t>(s) that has a Strike Type of “S” (Strike). Select the Create Attack Plan TMPR menu from the context menu.</w:t>
      </w:r>
    </w:p>
    <w:p w14:paraId="69BBF836" w14:textId="77777777" w:rsidR="00E94103" w:rsidRPr="000665B0" w:rsidRDefault="00E94103" w:rsidP="006D5A65">
      <w:pPr>
        <w:pStyle w:val="Heading1"/>
      </w:pPr>
      <w:r w:rsidRPr="000665B0">
        <w:t xml:space="preserve">The </w:t>
      </w:r>
      <w:r w:rsidRPr="000665B0">
        <w:rPr>
          <w:i/>
        </w:rPr>
        <w:t>TMPR</w:t>
      </w:r>
      <w:r w:rsidRPr="000665B0">
        <w:t xml:space="preserve"> window is displayed. </w:t>
      </w:r>
    </w:p>
    <w:p w14:paraId="3E9BE2BE" w14:textId="634D2BAF" w:rsidR="00257C59" w:rsidRPr="000665B0" w:rsidRDefault="008733B8" w:rsidP="00E94103">
      <w:pPr>
        <w:pStyle w:val="number020500"/>
        <w:ind w:left="0" w:firstLine="0"/>
        <w:jc w:val="center"/>
      </w:pPr>
      <w:r>
        <w:rPr>
          <w:noProof/>
        </w:rPr>
        <w:drawing>
          <wp:inline distT="0" distB="0" distL="0" distR="0" wp14:anchorId="4D03B578" wp14:editId="7880D3E2">
            <wp:extent cx="2826079" cy="2438400"/>
            <wp:effectExtent l="0" t="0" r="0" b="0"/>
            <wp:docPr id="1798781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2830746" cy="2442426"/>
                    </a:xfrm>
                    <a:prstGeom prst="rect">
                      <a:avLst/>
                    </a:prstGeom>
                    <a:noFill/>
                    <a:ln>
                      <a:noFill/>
                    </a:ln>
                  </pic:spPr>
                </pic:pic>
              </a:graphicData>
            </a:graphic>
          </wp:inline>
        </w:drawing>
      </w:r>
    </w:p>
    <w:p w14:paraId="79CCA1AF" w14:textId="77777777" w:rsidR="00E94103" w:rsidRPr="000665B0" w:rsidRDefault="00E94103" w:rsidP="006D5A65">
      <w:pPr>
        <w:pStyle w:val="Heading1"/>
      </w:pPr>
      <w:r w:rsidRPr="000665B0">
        <w:t xml:space="preserve">After making any desired additions/changes to the TMPR, click on the Save </w:t>
      </w:r>
      <w:r w:rsidRPr="000665B0">
        <w:rPr>
          <w:rFonts w:ascii="Wingdings" w:hAnsi="Wingdings"/>
        </w:rPr>
        <w:t></w:t>
      </w:r>
      <w:r w:rsidRPr="000665B0">
        <w:t xml:space="preserve"> icon </w:t>
      </w:r>
      <w:r w:rsidRPr="000665B0">
        <w:rPr>
          <w:szCs w:val="24"/>
        </w:rPr>
        <w:t xml:space="preserve">or select the </w:t>
      </w:r>
      <w:r w:rsidRPr="000665B0">
        <w:rPr>
          <w:bCs/>
          <w:szCs w:val="24"/>
        </w:rPr>
        <w:t>Save</w:t>
      </w:r>
      <w:r w:rsidRPr="000665B0">
        <w:rPr>
          <w:szCs w:val="24"/>
        </w:rPr>
        <w:t xml:space="preserve"> option from the </w:t>
      </w:r>
      <w:r w:rsidRPr="000665B0">
        <w:rPr>
          <w:bCs/>
          <w:szCs w:val="24"/>
        </w:rPr>
        <w:t>File</w:t>
      </w:r>
      <w:r w:rsidRPr="000665B0">
        <w:rPr>
          <w:szCs w:val="24"/>
        </w:rPr>
        <w:t xml:space="preserve"> pull down menu</w:t>
      </w:r>
      <w:r w:rsidRPr="000665B0">
        <w:t>.</w:t>
      </w:r>
    </w:p>
    <w:p w14:paraId="3A63BA26" w14:textId="0986D74F" w:rsidR="00E94103" w:rsidRPr="000665B0" w:rsidRDefault="00E94103" w:rsidP="00E94103">
      <w:pPr>
        <w:pStyle w:val="Heading3"/>
      </w:pPr>
      <w:bookmarkStart w:id="7270" w:name="_Toc214283657"/>
      <w:r w:rsidRPr="000665B0">
        <w:t>Create TED Library</w:t>
      </w:r>
      <w:bookmarkEnd w:id="7270"/>
    </w:p>
    <w:p w14:paraId="1EE91C26" w14:textId="254BA3A9" w:rsidR="00E94103" w:rsidRPr="000665B0" w:rsidRDefault="00E94103" w:rsidP="00E94103">
      <w:r w:rsidRPr="000665B0">
        <w:t xml:space="preserve">A TED Library can be created by manually selecting </w:t>
      </w:r>
      <w:r w:rsidR="003B4B4F">
        <w:t>TAWS</w:t>
      </w:r>
      <w:r w:rsidRPr="000665B0">
        <w:t xml:space="preserve"> from the </w:t>
      </w:r>
      <w:r w:rsidR="003B4B4F">
        <w:t>TAWS</w:t>
      </w:r>
      <w:r w:rsidRPr="000665B0">
        <w:t xml:space="preserve"> List View. This type of library is able to accept different types of data instead of being restricted to a single data type as in the other MDS Libraries. Its main function is to enable the operator to assemble all of the required data needed for automated distribution into one library. Only the Node that creates a TED Library can modify its contents. Nodes that receive a TED Library will have read-only permissions. For information on creating a TED Library see </w:t>
      </w:r>
      <w:hyperlink w:anchor="_5.13.1.1__New" w:history="1">
        <w:r w:rsidRPr="000665B0">
          <w:rPr>
            <w:rStyle w:val="Hyperlink"/>
          </w:rPr>
          <w:t>Section 5.</w:t>
        </w:r>
        <w:r w:rsidR="00C77A5E" w:rsidRPr="000665B0">
          <w:rPr>
            <w:rStyle w:val="Hyperlink"/>
          </w:rPr>
          <w:t>12</w:t>
        </w:r>
        <w:r w:rsidRPr="000665B0">
          <w:rPr>
            <w:rStyle w:val="Hyperlink"/>
          </w:rPr>
          <w:t>.1.1</w:t>
        </w:r>
      </w:hyperlink>
      <w:r w:rsidRPr="000665B0">
        <w:t>.</w:t>
      </w:r>
    </w:p>
    <w:p w14:paraId="6FE99732" w14:textId="14FEA6C0" w:rsidR="00E94103" w:rsidRPr="000665B0" w:rsidRDefault="00E94103" w:rsidP="00E94103">
      <w:pPr>
        <w:pStyle w:val="Heading3"/>
      </w:pPr>
      <w:bookmarkStart w:id="7271" w:name="_Toc214283658"/>
      <w:r w:rsidRPr="000665B0">
        <w:t>Display All in Excel</w:t>
      </w:r>
      <w:bookmarkEnd w:id="7271"/>
    </w:p>
    <w:p w14:paraId="6F5A5E9C" w14:textId="5E53AF5D" w:rsidR="00E94103" w:rsidRPr="000665B0" w:rsidRDefault="00F02F03" w:rsidP="00E94103">
      <w:r w:rsidRPr="000665B0">
        <w:t>See</w:t>
      </w:r>
      <w:r w:rsidR="00E94103" w:rsidRPr="000665B0">
        <w:t xml:space="preserve"> </w:t>
      </w:r>
      <w:hyperlink w:anchor="_5.2.1.2.1__Display_1" w:history="1">
        <w:r w:rsidR="00E94103" w:rsidRPr="000665B0">
          <w:rPr>
            <w:color w:val="0000FF"/>
            <w:u w:val="single"/>
          </w:rPr>
          <w:t>Section 5.2.1.2.1</w:t>
        </w:r>
      </w:hyperlink>
      <w:r w:rsidR="00E94103" w:rsidRPr="000665B0">
        <w:t>.</w:t>
      </w:r>
    </w:p>
    <w:p w14:paraId="78EC73D7" w14:textId="084FDE4F" w:rsidR="00E94103" w:rsidRPr="000665B0" w:rsidRDefault="00E94103" w:rsidP="00E94103">
      <w:pPr>
        <w:pStyle w:val="Heading3"/>
      </w:pPr>
      <w:bookmarkStart w:id="7272" w:name="_Toc214283659"/>
      <w:r w:rsidRPr="000665B0">
        <w:t>Send</w:t>
      </w:r>
      <w:bookmarkEnd w:id="7272"/>
    </w:p>
    <w:p w14:paraId="2224F1F9" w14:textId="5B9F3E1E" w:rsidR="00E94103" w:rsidRPr="000665B0" w:rsidRDefault="00F02F03" w:rsidP="00E94103">
      <w:r w:rsidRPr="000665B0">
        <w:t>See</w:t>
      </w:r>
      <w:r w:rsidR="00E94103" w:rsidRPr="000665B0">
        <w:t xml:space="preserve"> </w:t>
      </w:r>
      <w:hyperlink w:anchor="_5.2.1.4__Send_1" w:history="1">
        <w:r w:rsidR="00E94103" w:rsidRPr="000665B0">
          <w:rPr>
            <w:rStyle w:val="Hyperlink"/>
          </w:rPr>
          <w:t>Section 5.2.1.4</w:t>
        </w:r>
      </w:hyperlink>
      <w:r w:rsidR="00E94103" w:rsidRPr="000665B0">
        <w:t>.</w:t>
      </w:r>
    </w:p>
    <w:p w14:paraId="7E63A276" w14:textId="7B1025E8" w:rsidR="00E94103" w:rsidRPr="000665B0" w:rsidRDefault="00E94103" w:rsidP="00E94103">
      <w:pPr>
        <w:pStyle w:val="Heading3"/>
      </w:pPr>
      <w:bookmarkStart w:id="7273" w:name="_Toc214283660"/>
      <w:r w:rsidRPr="000665B0">
        <w:t>Print All</w:t>
      </w:r>
      <w:bookmarkEnd w:id="7273"/>
    </w:p>
    <w:p w14:paraId="4F5C943C" w14:textId="46C6C529" w:rsidR="00E94103" w:rsidRPr="000665B0" w:rsidRDefault="00F02F03" w:rsidP="00E94103">
      <w:pPr>
        <w:spacing w:after="0"/>
      </w:pPr>
      <w:r w:rsidRPr="000665B0">
        <w:t>See</w:t>
      </w:r>
      <w:r w:rsidR="00E94103" w:rsidRPr="000665B0">
        <w:t xml:space="preserve"> </w:t>
      </w:r>
      <w:hyperlink w:anchor="_5.2.1.5__Print" w:history="1">
        <w:r w:rsidR="00E94103" w:rsidRPr="000665B0">
          <w:rPr>
            <w:rStyle w:val="Hyperlink"/>
          </w:rPr>
          <w:t>Section 5.2.1.5</w:t>
        </w:r>
      </w:hyperlink>
      <w:r w:rsidR="00E94103" w:rsidRPr="000665B0">
        <w:t>.</w:t>
      </w:r>
    </w:p>
    <w:p w14:paraId="2DAF95F1" w14:textId="358B31BD" w:rsidR="00E94103" w:rsidRPr="000665B0" w:rsidRDefault="00E94103" w:rsidP="00E94103">
      <w:pPr>
        <w:pStyle w:val="Heading3"/>
      </w:pPr>
      <w:bookmarkStart w:id="7274" w:name="_Toc214283661"/>
      <w:r w:rsidRPr="000665B0">
        <w:t>Delete</w:t>
      </w:r>
      <w:bookmarkEnd w:id="7274"/>
      <w:r w:rsidRPr="000665B0">
        <w:t xml:space="preserve"> </w:t>
      </w:r>
    </w:p>
    <w:p w14:paraId="441817B7" w14:textId="0D7EC568" w:rsidR="00E94103" w:rsidRPr="000665B0" w:rsidRDefault="00F02F03" w:rsidP="00E94103">
      <w:pPr>
        <w:spacing w:after="0"/>
      </w:pPr>
      <w:r w:rsidRPr="000665B0">
        <w:t>See</w:t>
      </w:r>
      <w:r w:rsidR="00E94103" w:rsidRPr="000665B0">
        <w:t xml:space="preserve"> </w:t>
      </w:r>
      <w:hyperlink w:anchor="_5.2.1.6__Delete" w:history="1">
        <w:r w:rsidR="00E94103" w:rsidRPr="000665B0">
          <w:rPr>
            <w:rStyle w:val="Hyperlink"/>
          </w:rPr>
          <w:t>Section 5.2.1.6</w:t>
        </w:r>
      </w:hyperlink>
      <w:r w:rsidR="00E94103" w:rsidRPr="000665B0">
        <w:t>.</w:t>
      </w:r>
    </w:p>
    <w:p w14:paraId="6B52A729" w14:textId="37FFEE43" w:rsidR="00E94103" w:rsidRPr="000665B0" w:rsidRDefault="00E94103" w:rsidP="00E94103">
      <w:pPr>
        <w:pStyle w:val="Heading3"/>
      </w:pPr>
      <w:bookmarkStart w:id="7275" w:name="_Toc214283662"/>
      <w:r w:rsidRPr="000665B0">
        <w:lastRenderedPageBreak/>
        <w:t>Receive File</w:t>
      </w:r>
      <w:bookmarkEnd w:id="7275"/>
    </w:p>
    <w:p w14:paraId="5CE3CE5F" w14:textId="51F36A3C" w:rsidR="00E94103" w:rsidRPr="000665B0" w:rsidRDefault="00F02F03" w:rsidP="00E94103">
      <w:pPr>
        <w:spacing w:after="0"/>
      </w:pPr>
      <w:r w:rsidRPr="000665B0">
        <w:t>See</w:t>
      </w:r>
      <w:r w:rsidR="00E94103" w:rsidRPr="000665B0">
        <w:t xml:space="preserve"> </w:t>
      </w:r>
      <w:hyperlink w:anchor="_5.2.1.7__Receive" w:history="1">
        <w:r w:rsidR="00E94103" w:rsidRPr="000665B0">
          <w:rPr>
            <w:rStyle w:val="Hyperlink"/>
          </w:rPr>
          <w:t>Section 5.2.1.7</w:t>
        </w:r>
      </w:hyperlink>
      <w:r w:rsidR="00E94103" w:rsidRPr="000665B0">
        <w:t>.</w:t>
      </w:r>
    </w:p>
    <w:p w14:paraId="2A7103BB" w14:textId="63D059D3" w:rsidR="00E94103" w:rsidRPr="000665B0" w:rsidRDefault="00E94103" w:rsidP="00E94103">
      <w:pPr>
        <w:pStyle w:val="Heading3"/>
      </w:pPr>
      <w:bookmarkStart w:id="7276" w:name="_Toc214283663"/>
      <w:r w:rsidRPr="000665B0">
        <w:t>Find</w:t>
      </w:r>
      <w:bookmarkEnd w:id="7276"/>
    </w:p>
    <w:p w14:paraId="4CA8E204" w14:textId="5427CAD5" w:rsidR="00E94103" w:rsidRPr="000665B0" w:rsidRDefault="00F02F03" w:rsidP="00E94103">
      <w:pPr>
        <w:spacing w:after="0"/>
      </w:pPr>
      <w:r w:rsidRPr="000665B0">
        <w:t>See</w:t>
      </w:r>
      <w:r w:rsidR="00E94103" w:rsidRPr="000665B0">
        <w:t xml:space="preserve"> </w:t>
      </w:r>
      <w:hyperlink w:anchor="_5.2.5.1__Find_1" w:history="1">
        <w:r w:rsidR="00E94103" w:rsidRPr="000665B0">
          <w:rPr>
            <w:rStyle w:val="Hyperlink"/>
          </w:rPr>
          <w:t>Section 5.2.5.1</w:t>
        </w:r>
      </w:hyperlink>
      <w:r w:rsidR="00E94103" w:rsidRPr="000665B0">
        <w:t>.</w:t>
      </w:r>
    </w:p>
    <w:p w14:paraId="05F39F6E" w14:textId="4B12EF0F" w:rsidR="00E94103" w:rsidRPr="000665B0" w:rsidRDefault="00E94103" w:rsidP="00E94103">
      <w:pPr>
        <w:pStyle w:val="Heading3"/>
      </w:pPr>
      <w:bookmarkStart w:id="7277" w:name="_Toc214283664"/>
      <w:r w:rsidRPr="000665B0">
        <w:t>Select All</w:t>
      </w:r>
      <w:bookmarkEnd w:id="7277"/>
    </w:p>
    <w:p w14:paraId="6E37E89E" w14:textId="4BA858FB" w:rsidR="00E94103" w:rsidRPr="000665B0" w:rsidRDefault="00F02F03" w:rsidP="00E94103">
      <w:pPr>
        <w:spacing w:after="0"/>
      </w:pPr>
      <w:r w:rsidRPr="000665B0">
        <w:t>See</w:t>
      </w:r>
      <w:r w:rsidR="00E94103" w:rsidRPr="000665B0">
        <w:t xml:space="preserve"> </w:t>
      </w:r>
      <w:hyperlink w:anchor="_5.2.2.1__Select_1" w:history="1">
        <w:r w:rsidR="00E94103" w:rsidRPr="000665B0">
          <w:rPr>
            <w:rStyle w:val="Hyperlink"/>
          </w:rPr>
          <w:t>Section 5.2.2.1</w:t>
        </w:r>
      </w:hyperlink>
      <w:r w:rsidR="00E94103" w:rsidRPr="000665B0">
        <w:t>.</w:t>
      </w:r>
    </w:p>
    <w:p w14:paraId="71E3F54C" w14:textId="3069F282" w:rsidR="00E94103" w:rsidRPr="000665B0" w:rsidRDefault="00E94103" w:rsidP="00E94103">
      <w:pPr>
        <w:pStyle w:val="Heading3"/>
      </w:pPr>
      <w:bookmarkStart w:id="7278" w:name="_Toc214283665"/>
      <w:r w:rsidRPr="000665B0">
        <w:t>Properties</w:t>
      </w:r>
      <w:bookmarkEnd w:id="7278"/>
    </w:p>
    <w:p w14:paraId="51466735" w14:textId="5206ECCA" w:rsidR="00E94103" w:rsidRPr="000665B0" w:rsidRDefault="00F02F03" w:rsidP="00E94103">
      <w:pPr>
        <w:spacing w:after="0"/>
      </w:pPr>
      <w:r w:rsidRPr="000665B0">
        <w:t>See</w:t>
      </w:r>
      <w:r w:rsidR="00E94103" w:rsidRPr="000665B0">
        <w:t xml:space="preserve"> </w:t>
      </w:r>
      <w:hyperlink w:anchor="_5.2.3.4__Properties" w:history="1">
        <w:r w:rsidR="00A75813" w:rsidRPr="000665B0">
          <w:rPr>
            <w:rStyle w:val="Hyperlink"/>
          </w:rPr>
          <w:t>Section 5.2.3.5</w:t>
        </w:r>
      </w:hyperlink>
      <w:r w:rsidR="00E94103" w:rsidRPr="000665B0">
        <w:t>.</w:t>
      </w:r>
    </w:p>
    <w:p w14:paraId="14F24D2C" w14:textId="6B8939D1" w:rsidR="00E94103" w:rsidRPr="000665B0" w:rsidRDefault="00E94103" w:rsidP="00E94103">
      <w:pPr>
        <w:pStyle w:val="Heading3"/>
      </w:pPr>
      <w:bookmarkStart w:id="7279" w:name="_Toc214283666"/>
      <w:r w:rsidRPr="000665B0">
        <w:t>Sort</w:t>
      </w:r>
      <w:bookmarkEnd w:id="7279"/>
    </w:p>
    <w:p w14:paraId="2E87608F" w14:textId="7B7763AC" w:rsidR="00E94103" w:rsidRPr="000665B0" w:rsidRDefault="00F02F03" w:rsidP="00E94103">
      <w:pPr>
        <w:spacing w:after="0"/>
      </w:pPr>
      <w:r w:rsidRPr="000665B0">
        <w:t>See</w:t>
      </w:r>
      <w:r w:rsidR="00E94103" w:rsidRPr="000665B0">
        <w:t xml:space="preserve"> </w:t>
      </w:r>
      <w:hyperlink w:anchor="_5.2.3.4.1__Sort" w:history="1">
        <w:r w:rsidR="00A75813" w:rsidRPr="000665B0">
          <w:rPr>
            <w:rStyle w:val="Hyperlink"/>
          </w:rPr>
          <w:t>Section 5.2.3.5</w:t>
        </w:r>
        <w:r w:rsidR="00E94103" w:rsidRPr="000665B0">
          <w:rPr>
            <w:rStyle w:val="Hyperlink"/>
          </w:rPr>
          <w:t>.1</w:t>
        </w:r>
      </w:hyperlink>
      <w:r w:rsidR="00E94103" w:rsidRPr="000665B0">
        <w:t>.</w:t>
      </w:r>
    </w:p>
    <w:p w14:paraId="1A90240B" w14:textId="77777777" w:rsidR="00E94103" w:rsidRPr="000665B0" w:rsidRDefault="00E94103" w:rsidP="00E94103">
      <w:pPr>
        <w:spacing w:after="0"/>
      </w:pPr>
    </w:p>
    <w:p w14:paraId="3B245373" w14:textId="77777777" w:rsidR="00A316EA" w:rsidRDefault="00A316EA" w:rsidP="00E94103">
      <w:pPr>
        <w:spacing w:after="0"/>
      </w:pPr>
      <w:r>
        <w:br w:type="page"/>
      </w:r>
      <w:bookmarkStart w:id="7280" w:name="_5.44__SOUND_1"/>
      <w:bookmarkStart w:id="7281" w:name="_SOUND_AND_POP-UP"/>
      <w:bookmarkStart w:id="7282" w:name="_Toc214283667"/>
      <w:bookmarkEnd w:id="7280"/>
      <w:bookmarkEnd w:id="7281"/>
      <w:r w:rsidR="00B35EE5" w:rsidRPr="000665B0">
        <w:lastRenderedPageBreak/>
        <w:t>SOUND AND POP-UP NOTIFICATIONS</w:t>
      </w:r>
      <w:bookmarkEnd w:id="7262"/>
      <w:bookmarkEnd w:id="7263"/>
      <w:bookmarkEnd w:id="7282"/>
    </w:p>
    <w:p w14:paraId="18AA2869" w14:textId="221354F6" w:rsidR="00CC0B80" w:rsidRPr="000665B0" w:rsidRDefault="00CC0B80" w:rsidP="00CC0B80">
      <w:bookmarkStart w:id="7283" w:name="_Toc159315679"/>
      <w:bookmarkStart w:id="7284" w:name="_Toc289329058"/>
      <w:bookmarkStart w:id="7285" w:name="_Toc312332171"/>
      <w:r w:rsidRPr="000665B0">
        <w:t>Providing greater visual and audio cues for different events, the operator can be notified of incoming entries by either sound or pop-up notifications for certain MDS Tools.</w:t>
      </w:r>
      <w:r w:rsidR="009651B0">
        <w:t xml:space="preserve"> </w:t>
      </w:r>
    </w:p>
    <w:p w14:paraId="52DD0029" w14:textId="040D88C0" w:rsidR="00CC0B80" w:rsidRPr="000665B0" w:rsidRDefault="00CC0B80" w:rsidP="00CC0B80">
      <w:pPr>
        <w:spacing w:line="240" w:lineRule="auto"/>
      </w:pPr>
      <w:r w:rsidRPr="000665B0">
        <w:t>The current MDS Tools that have this capability are:</w:t>
      </w:r>
    </w:p>
    <w:p w14:paraId="035C11B2" w14:textId="1537C370" w:rsidR="00CC0B80" w:rsidRPr="000665B0" w:rsidRDefault="00CC0B80" w:rsidP="006D5A65">
      <w:pPr>
        <w:pStyle w:val="Heading1"/>
      </w:pPr>
      <w:hyperlink w:anchor="_5.28__ERROR" w:history="1">
        <w:r w:rsidRPr="000665B0">
          <w:t>Error Log Entries</w:t>
        </w:r>
      </w:hyperlink>
      <w:r w:rsidR="00140940" w:rsidRPr="000665B0">
        <w:t xml:space="preserve"> </w:t>
      </w:r>
      <w:r w:rsidR="00C526BF" w:rsidRPr="000665B0">
        <w:t xml:space="preserve">(see </w:t>
      </w:r>
      <w:hyperlink w:anchor="_5.28__ERROR" w:history="1">
        <w:r w:rsidR="00172865" w:rsidRPr="000665B0">
          <w:rPr>
            <w:rStyle w:val="Hyperlink"/>
          </w:rPr>
          <w:t xml:space="preserve">Section </w:t>
        </w:r>
        <w:r w:rsidR="004231CC">
          <w:rPr>
            <w:rStyle w:val="Hyperlink"/>
          </w:rPr>
          <w:t>5.24</w:t>
        </w:r>
      </w:hyperlink>
      <w:r w:rsidR="0085749F">
        <w:t>).</w:t>
      </w:r>
    </w:p>
    <w:p w14:paraId="7E1F833F" w14:textId="1751617A" w:rsidR="00CC0B80" w:rsidRPr="000665B0" w:rsidRDefault="00CC0B80" w:rsidP="006D5A65">
      <w:pPr>
        <w:pStyle w:val="Heading1"/>
      </w:pPr>
      <w:hyperlink w:anchor="_5.23__INCOMING" w:history="1">
        <w:r w:rsidRPr="000665B0">
          <w:t>Incoming DDOs</w:t>
        </w:r>
      </w:hyperlink>
      <w:r w:rsidR="00140940" w:rsidRPr="000665B0">
        <w:t xml:space="preserve"> </w:t>
      </w:r>
      <w:r w:rsidR="00C526BF" w:rsidRPr="000665B0">
        <w:t xml:space="preserve">(see </w:t>
      </w:r>
      <w:hyperlink w:anchor="_5.22__INCOMING_DDO_TOOL" w:history="1">
        <w:r w:rsidR="00BA593F" w:rsidRPr="000665B0">
          <w:rPr>
            <w:rStyle w:val="Hyperlink"/>
          </w:rPr>
          <w:t xml:space="preserve">Section </w:t>
        </w:r>
        <w:r w:rsidR="004231CC">
          <w:rPr>
            <w:rStyle w:val="Hyperlink"/>
          </w:rPr>
          <w:t>5.18</w:t>
        </w:r>
      </w:hyperlink>
      <w:r w:rsidR="0085749F">
        <w:t>).</w:t>
      </w:r>
    </w:p>
    <w:p w14:paraId="19FB00D3" w14:textId="28154B3B" w:rsidR="00CC0B80" w:rsidRPr="000665B0" w:rsidRDefault="00CC0B80" w:rsidP="006D5A65">
      <w:pPr>
        <w:pStyle w:val="Heading1"/>
      </w:pPr>
      <w:hyperlink w:anchor="_5.10__IQVC" w:history="1">
        <w:r w:rsidRPr="000665B0">
          <w:t>IQVC Error Log</w:t>
        </w:r>
      </w:hyperlink>
      <w:r w:rsidR="00140940" w:rsidRPr="000665B0">
        <w:t xml:space="preserve"> </w:t>
      </w:r>
      <w:r w:rsidR="00C526BF" w:rsidRPr="000665B0">
        <w:t xml:space="preserve">(see </w:t>
      </w:r>
      <w:hyperlink w:anchor="_5.10__IQVC" w:history="1">
        <w:r w:rsidR="005F0DD1" w:rsidRPr="000665B0">
          <w:rPr>
            <w:rStyle w:val="Hyperlink"/>
          </w:rPr>
          <w:t>Section 5.9</w:t>
        </w:r>
      </w:hyperlink>
      <w:r w:rsidR="0085749F">
        <w:t>).</w:t>
      </w:r>
    </w:p>
    <w:p w14:paraId="4D5B58B9" w14:textId="53F3DBF7" w:rsidR="00CC0B80" w:rsidRPr="000665B0" w:rsidRDefault="00CC0B80" w:rsidP="006D5A65">
      <w:pPr>
        <w:pStyle w:val="Heading1"/>
      </w:pPr>
      <w:hyperlink w:anchor="_5.6__MISSIONS" w:history="1">
        <w:r w:rsidRPr="000665B0">
          <w:t>Missions</w:t>
        </w:r>
      </w:hyperlink>
      <w:r w:rsidR="00140940" w:rsidRPr="000665B0">
        <w:t xml:space="preserve"> </w:t>
      </w:r>
      <w:r w:rsidR="00C526BF" w:rsidRPr="000665B0">
        <w:t xml:space="preserve">(see </w:t>
      </w:r>
      <w:hyperlink w:anchor="_5.6__MISSIONS" w:history="1">
        <w:r w:rsidR="00C526BF" w:rsidRPr="000665B0">
          <w:rPr>
            <w:rStyle w:val="Hyperlink"/>
          </w:rPr>
          <w:t>Section 5.5</w:t>
        </w:r>
      </w:hyperlink>
      <w:r w:rsidR="0085749F">
        <w:t>).</w:t>
      </w:r>
    </w:p>
    <w:p w14:paraId="51FDCC29" w14:textId="77777777" w:rsidR="00CC0B80" w:rsidRPr="000665B0" w:rsidRDefault="00CC0B80" w:rsidP="00CC0B80">
      <w:r w:rsidRPr="000665B0">
        <w:t>The sound notification provides an audio cue for a particular event by playing a user-selected sound.</w:t>
      </w:r>
    </w:p>
    <w:p w14:paraId="108E3017" w14:textId="77777777" w:rsidR="00CC0B80" w:rsidRPr="000665B0" w:rsidRDefault="00CC0B80" w:rsidP="00CC0B80">
      <w:r w:rsidRPr="000665B0">
        <w:t>The pop-up notification window (similar to the one below) provides a visual cue for a particular event by displaying this window in the lower right-hand corner of the screen. Two features of this window help aid the operator in accessing tools more quickly.</w:t>
      </w:r>
    </w:p>
    <w:p w14:paraId="39D7AB1D" w14:textId="77777777" w:rsidR="00CC0B80" w:rsidRPr="000665B0" w:rsidRDefault="00CC0B80" w:rsidP="00553AE1">
      <w:pPr>
        <w:spacing w:before="120" w:line="360" w:lineRule="auto"/>
        <w:jc w:val="center"/>
        <w:rPr>
          <w:noProof/>
        </w:rPr>
      </w:pPr>
      <w:r w:rsidRPr="000665B0">
        <w:rPr>
          <w:noProof/>
        </w:rPr>
        <w:drawing>
          <wp:inline distT="0" distB="0" distL="0" distR="0" wp14:anchorId="4A0B5294" wp14:editId="370C0DEE">
            <wp:extent cx="3154680" cy="74066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3154680" cy="740664"/>
                    </a:xfrm>
                    <a:prstGeom prst="rect">
                      <a:avLst/>
                    </a:prstGeom>
                    <a:noFill/>
                    <a:ln>
                      <a:noFill/>
                    </a:ln>
                  </pic:spPr>
                </pic:pic>
              </a:graphicData>
            </a:graphic>
          </wp:inline>
        </w:drawing>
      </w:r>
    </w:p>
    <w:p w14:paraId="21CC3953" w14:textId="77777777" w:rsidR="00CC0B80" w:rsidRPr="000665B0" w:rsidRDefault="00CC0B80" w:rsidP="00553AE1">
      <w:pPr>
        <w:spacing w:before="120"/>
      </w:pPr>
      <w:r w:rsidRPr="000665B0">
        <w:t>To access the MDS Tool related to the pop-up notification:</w:t>
      </w:r>
    </w:p>
    <w:p w14:paraId="32BFEB10" w14:textId="77777777" w:rsidR="00CC0B80" w:rsidRPr="000665B0" w:rsidRDefault="00CC0B80" w:rsidP="00611452">
      <w:pPr>
        <w:spacing w:line="240" w:lineRule="auto"/>
        <w:ind w:left="360"/>
      </w:pPr>
      <w:r w:rsidRPr="000665B0">
        <w:t>Click on the notification title.</w:t>
      </w:r>
    </w:p>
    <w:p w14:paraId="07A98A5A" w14:textId="77777777" w:rsidR="00CC0B80" w:rsidRPr="000665B0" w:rsidRDefault="00CC0B80" w:rsidP="00CC0B80">
      <w:r w:rsidRPr="000665B0">
        <w:t xml:space="preserve">To display the detailed information textually for the entry pertaining to the pop-up notification: </w:t>
      </w:r>
    </w:p>
    <w:p w14:paraId="0E2D4164" w14:textId="77777777" w:rsidR="00CC0B80" w:rsidRPr="000665B0" w:rsidRDefault="00CC0B80" w:rsidP="00CA5E26">
      <w:pPr>
        <w:ind w:left="360"/>
      </w:pPr>
      <w:r w:rsidRPr="000665B0">
        <w:t>Click on the notification message content.</w:t>
      </w:r>
    </w:p>
    <w:p w14:paraId="7932509F" w14:textId="77777777" w:rsidR="00611452" w:rsidRPr="000665B0" w:rsidRDefault="00611452" w:rsidP="00611452">
      <w:pPr>
        <w:spacing w:after="0" w:line="240" w:lineRule="auto"/>
      </w:pPr>
      <w:r w:rsidRPr="000665B0">
        <w:t xml:space="preserve">When MDS receives a large number of notifications within a short time, MDS automatically adds them to a queue in order to control the flow of notifications that are displayed. MDS will display no more than five notifications for a user-configurable time period (default is five seconds). </w:t>
      </w:r>
      <w:r w:rsidR="00D7685A" w:rsidRPr="000665B0">
        <w:t xml:space="preserve">After those notifications are displayed, MDS will wait until that time period is completed before it attempts to display another set of notifications to the operator. </w:t>
      </w:r>
      <w:r w:rsidRPr="000665B0">
        <w:t xml:space="preserve">When there are more than five notifications in the queue, only the first five notifications are displayed. </w:t>
      </w:r>
      <w:r w:rsidR="00E801CF" w:rsidRPr="000665B0">
        <w:t>By default, a</w:t>
      </w:r>
      <w:r w:rsidRPr="000665B0">
        <w:t xml:space="preserve">ny other notifications that have been queued up during that time interval will </w:t>
      </w:r>
      <w:r w:rsidR="00E801CF" w:rsidRPr="000665B0">
        <w:t xml:space="preserve">automatically </w:t>
      </w:r>
      <w:r w:rsidRPr="000665B0">
        <w:t>be purged from the queue</w:t>
      </w:r>
      <w:r w:rsidR="00E801CF" w:rsidRPr="000665B0">
        <w:t>. If desired, the</w:t>
      </w:r>
      <w:r w:rsidRPr="000665B0">
        <w:t xml:space="preserve"> operator </w:t>
      </w:r>
      <w:r w:rsidR="00E801CF" w:rsidRPr="000665B0">
        <w:t>can change the default so that</w:t>
      </w:r>
      <w:r w:rsidRPr="000665B0">
        <w:t xml:space="preserve"> </w:t>
      </w:r>
      <w:r w:rsidR="00E801CF" w:rsidRPr="000665B0">
        <w:t>MDS</w:t>
      </w:r>
      <w:r w:rsidRPr="000665B0">
        <w:t xml:space="preserve"> keep</w:t>
      </w:r>
      <w:r w:rsidR="00E801CF" w:rsidRPr="000665B0">
        <w:t>s</w:t>
      </w:r>
      <w:r w:rsidRPr="000665B0">
        <w:t xml:space="preserve"> the remaining notifications </w:t>
      </w:r>
      <w:r w:rsidR="00D25133" w:rsidRPr="000665B0">
        <w:t>to be</w:t>
      </w:r>
      <w:r w:rsidR="00E801CF" w:rsidRPr="000665B0">
        <w:t xml:space="preserve"> displayed</w:t>
      </w:r>
      <w:r w:rsidRPr="000665B0">
        <w:t xml:space="preserve"> at the next time interval. Any new incoming notifications </w:t>
      </w:r>
      <w:r w:rsidR="00E801CF" w:rsidRPr="000665B0">
        <w:t>are added to the buffer</w:t>
      </w:r>
      <w:r w:rsidRPr="000665B0">
        <w:t xml:space="preserve"> in the queue and will </w:t>
      </w:r>
      <w:r w:rsidR="00E801CF" w:rsidRPr="000665B0">
        <w:t>display in the order received</w:t>
      </w:r>
      <w:r w:rsidRPr="000665B0">
        <w:t>.</w:t>
      </w:r>
    </w:p>
    <w:p w14:paraId="1A4BE5EA" w14:textId="1A480CD2" w:rsidR="00CC0B80" w:rsidRPr="000665B0" w:rsidRDefault="00CC0B80" w:rsidP="00CC0B80">
      <w:pPr>
        <w:pStyle w:val="Heading3"/>
        <w:keepNext w:val="0"/>
      </w:pPr>
      <w:bookmarkStart w:id="7286" w:name="_5.49.1__Common_Notification_Propert"/>
      <w:bookmarkStart w:id="7287" w:name="_5.46.1__Common_Notification_Propert"/>
      <w:bookmarkStart w:id="7288" w:name="_5.45.1__Common"/>
      <w:bookmarkStart w:id="7289" w:name="_5.44.1__Common"/>
      <w:bookmarkStart w:id="7290" w:name="_Toc159315688"/>
      <w:bookmarkStart w:id="7291" w:name="_Toc214283668"/>
      <w:bookmarkEnd w:id="7286"/>
      <w:bookmarkEnd w:id="7287"/>
      <w:bookmarkEnd w:id="7288"/>
      <w:bookmarkEnd w:id="7289"/>
      <w:r w:rsidRPr="000665B0">
        <w:t>Common Notification Properties</w:t>
      </w:r>
      <w:bookmarkEnd w:id="7290"/>
      <w:bookmarkEnd w:id="7291"/>
    </w:p>
    <w:p w14:paraId="6CC0091D" w14:textId="77777777" w:rsidR="00CC0B80" w:rsidRPr="000665B0" w:rsidRDefault="00CC0B80" w:rsidP="00CC0B80">
      <w:r w:rsidRPr="000665B0">
        <w:t xml:space="preserve">Selecting </w:t>
      </w:r>
      <w:r w:rsidRPr="000665B0">
        <w:rPr>
          <w:b/>
          <w:bCs/>
        </w:rPr>
        <w:t xml:space="preserve">View </w:t>
      </w:r>
      <w:r w:rsidR="00A529D5" w:rsidRPr="000665B0">
        <w:rPr>
          <w:b/>
        </w:rPr>
        <w:sym w:font="Wingdings" w:char="F0E0"/>
      </w:r>
      <w:r w:rsidRPr="000665B0">
        <w:rPr>
          <w:b/>
          <w:bCs/>
        </w:rPr>
        <w:t xml:space="preserve"> Properties</w:t>
      </w:r>
      <w:r w:rsidRPr="000665B0">
        <w:t xml:space="preserve"> from any tool displays the current </w:t>
      </w:r>
      <w:r w:rsidRPr="000665B0">
        <w:rPr>
          <w:iCs/>
        </w:rPr>
        <w:t>tool’s</w:t>
      </w:r>
      <w:r w:rsidRPr="000665B0">
        <w:rPr>
          <w:i/>
          <w:iCs/>
        </w:rPr>
        <w:t xml:space="preserve"> Properties </w:t>
      </w:r>
      <w:r w:rsidRPr="000665B0">
        <w:t>dialog window.</w:t>
      </w:r>
    </w:p>
    <w:p w14:paraId="1E2A85D6" w14:textId="77777777" w:rsidR="00CC0B80" w:rsidRPr="000665B0" w:rsidRDefault="00CC0B80" w:rsidP="00CC0B80">
      <w:r w:rsidRPr="000665B0">
        <w:t xml:space="preserve">The </w:t>
      </w:r>
      <w:r w:rsidRPr="000665B0">
        <w:rPr>
          <w:i/>
        </w:rPr>
        <w:t>XXXX</w:t>
      </w:r>
      <w:r w:rsidRPr="000665B0">
        <w:t xml:space="preserve"> </w:t>
      </w:r>
      <w:r w:rsidRPr="000665B0">
        <w:rPr>
          <w:i/>
          <w:iCs/>
        </w:rPr>
        <w:t xml:space="preserve">Properties </w:t>
      </w:r>
      <w:r w:rsidRPr="000665B0">
        <w:t xml:space="preserve">dialog window </w:t>
      </w:r>
      <w:r w:rsidRPr="000665B0">
        <w:rPr>
          <w:snapToGrid w:val="0"/>
        </w:rPr>
        <w:t xml:space="preserve">allows the operator to customize the appearance of the chosen tool window by changing various aspects of it for the desired look. All changes are user-unique and are retained when logging off and back on. </w:t>
      </w:r>
      <w:r w:rsidRPr="000665B0">
        <w:t>This function also sorts the entries in the list using criteria chosen by the operator.</w:t>
      </w:r>
      <w:r w:rsidRPr="000665B0">
        <w:rPr>
          <w:snapToGrid w:val="0"/>
        </w:rPr>
        <w:t xml:space="preserve"> </w:t>
      </w:r>
    </w:p>
    <w:p w14:paraId="605D3696" w14:textId="77777777" w:rsidR="00CC0B80" w:rsidRPr="000665B0" w:rsidRDefault="00CC0B80" w:rsidP="00CC0B80">
      <w:pPr>
        <w:rPr>
          <w:snapToGrid w:val="0"/>
        </w:rPr>
      </w:pPr>
      <w:r w:rsidRPr="000665B0">
        <w:rPr>
          <w:snapToGrid w:val="0"/>
        </w:rPr>
        <w:lastRenderedPageBreak/>
        <w:t>To change the notification configuration (for the applicable tools listed above):</w:t>
      </w:r>
    </w:p>
    <w:p w14:paraId="7303FC25" w14:textId="77777777" w:rsidR="00CC0B80" w:rsidRPr="000665B0" w:rsidRDefault="00CC0B80" w:rsidP="006D5A65">
      <w:pPr>
        <w:pStyle w:val="Heading1"/>
      </w:pPr>
      <w:r w:rsidRPr="000665B0">
        <w:t xml:space="preserve">From the </w:t>
      </w:r>
      <w:r w:rsidRPr="000665B0">
        <w:rPr>
          <w:bCs/>
        </w:rPr>
        <w:t>View</w:t>
      </w:r>
      <w:r w:rsidRPr="000665B0">
        <w:t xml:space="preserve"> menu, select</w:t>
      </w:r>
      <w:r w:rsidRPr="000665B0">
        <w:rPr>
          <w:bCs/>
        </w:rPr>
        <w:t xml:space="preserve"> Properties</w:t>
      </w:r>
      <w:r w:rsidRPr="000665B0">
        <w:t>.</w:t>
      </w:r>
      <w:r w:rsidRPr="000665B0">
        <w:rPr>
          <w:bCs/>
        </w:rPr>
        <w:t xml:space="preserve"> </w:t>
      </w:r>
      <w:r w:rsidRPr="000665B0">
        <w:t xml:space="preserve">The </w:t>
      </w:r>
      <w:r w:rsidRPr="000665B0">
        <w:rPr>
          <w:i/>
        </w:rPr>
        <w:t>XXXX</w:t>
      </w:r>
      <w:r w:rsidRPr="000665B0">
        <w:t xml:space="preserve"> </w:t>
      </w:r>
      <w:r w:rsidRPr="000665B0">
        <w:rPr>
          <w:i/>
          <w:iCs/>
        </w:rPr>
        <w:t>Properties</w:t>
      </w:r>
      <w:r w:rsidRPr="000665B0">
        <w:t xml:space="preserve"> window (similar to the one below) is displayed.</w:t>
      </w:r>
    </w:p>
    <w:p w14:paraId="7AED079B" w14:textId="09A9C7A3" w:rsidR="00CC0B80" w:rsidRPr="000665B0" w:rsidRDefault="00352D54" w:rsidP="00446685">
      <w:pPr>
        <w:pStyle w:val="number020500"/>
        <w:ind w:left="0" w:firstLine="0"/>
        <w:jc w:val="center"/>
      </w:pPr>
      <w:r w:rsidRPr="000665B0">
        <w:rPr>
          <w:noProof/>
        </w:rPr>
        <w:drawing>
          <wp:inline distT="0" distB="0" distL="0" distR="0" wp14:anchorId="6A1F4546" wp14:editId="3C093036">
            <wp:extent cx="3154680" cy="1892808"/>
            <wp:effectExtent l="0" t="0" r="0" b="0"/>
            <wp:docPr id="11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1892808"/>
                    </a:xfrm>
                    <a:prstGeom prst="rect">
                      <a:avLst/>
                    </a:prstGeom>
                  </pic:spPr>
                </pic:pic>
              </a:graphicData>
            </a:graphic>
          </wp:inline>
        </w:drawing>
      </w:r>
    </w:p>
    <w:p w14:paraId="7249C25C" w14:textId="77777777" w:rsidR="00CC0B80" w:rsidRPr="000665B0" w:rsidRDefault="00CC0B80" w:rsidP="006D5A65">
      <w:pPr>
        <w:pStyle w:val="Heading1"/>
      </w:pPr>
      <w:r w:rsidRPr="000665B0">
        <w:t xml:space="preserve">Select the </w:t>
      </w:r>
      <w:r w:rsidRPr="000665B0">
        <w:rPr>
          <w:bCs/>
        </w:rPr>
        <w:t>Notification</w:t>
      </w:r>
      <w:r w:rsidRPr="000665B0">
        <w:t xml:space="preserve"> button from the </w:t>
      </w:r>
      <w:r w:rsidRPr="000665B0">
        <w:rPr>
          <w:bCs/>
          <w:iCs/>
        </w:rPr>
        <w:t>Available Properties</w:t>
      </w:r>
      <w:r w:rsidRPr="000665B0">
        <w:t xml:space="preserve"> panel. This displays the </w:t>
      </w:r>
      <w:r w:rsidRPr="000665B0">
        <w:rPr>
          <w:i/>
        </w:rPr>
        <w:t>XXXX Notification Properties</w:t>
      </w:r>
      <w:r w:rsidRPr="000665B0">
        <w:t xml:space="preserve"> window (similar to the one below) for the selected tool. </w:t>
      </w:r>
    </w:p>
    <w:p w14:paraId="12B249C5" w14:textId="515C7847" w:rsidR="00CC0B80" w:rsidRPr="000665B0" w:rsidRDefault="00352D54" w:rsidP="00446685">
      <w:pPr>
        <w:pStyle w:val="number020500"/>
        <w:ind w:left="0" w:firstLine="0"/>
        <w:jc w:val="center"/>
      </w:pPr>
      <w:r w:rsidRPr="000665B0">
        <w:rPr>
          <w:noProof/>
        </w:rPr>
        <w:drawing>
          <wp:inline distT="0" distB="0" distL="0" distR="0" wp14:anchorId="31424EB5" wp14:editId="799C2924">
            <wp:extent cx="3154680" cy="4114800"/>
            <wp:effectExtent l="0" t="0" r="0" b="0"/>
            <wp:docPr id="1217" name="Picture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3154680" cy="4114800"/>
                    </a:xfrm>
                    <a:prstGeom prst="rect">
                      <a:avLst/>
                    </a:prstGeom>
                  </pic:spPr>
                </pic:pic>
              </a:graphicData>
            </a:graphic>
          </wp:inline>
        </w:drawing>
      </w:r>
    </w:p>
    <w:p w14:paraId="5CC4D844" w14:textId="77777777" w:rsidR="00E801CF" w:rsidRPr="000665B0" w:rsidRDefault="00E801CF" w:rsidP="006D5A65">
      <w:pPr>
        <w:pStyle w:val="Heading1"/>
      </w:pPr>
      <w:r w:rsidRPr="000665B0">
        <w:t xml:space="preserve">In the Notification Queue Settings panel, </w:t>
      </w:r>
      <w:r w:rsidR="00511E09" w:rsidRPr="000665B0">
        <w:t>set the time interval for MDS to</w:t>
      </w:r>
      <w:r w:rsidRPr="000665B0">
        <w:t xml:space="preserve"> releas</w:t>
      </w:r>
      <w:r w:rsidR="00511E09" w:rsidRPr="000665B0">
        <w:t>e</w:t>
      </w:r>
      <w:r w:rsidRPr="000665B0">
        <w:t xml:space="preserve"> a group of notifications</w:t>
      </w:r>
      <w:r w:rsidR="00511E09" w:rsidRPr="000665B0">
        <w:t xml:space="preserve"> (default </w:t>
      </w:r>
      <w:r w:rsidR="00511E09" w:rsidRPr="000665B0">
        <w:lastRenderedPageBreak/>
        <w:t>is five seconds)</w:t>
      </w:r>
      <w:r w:rsidRPr="000665B0">
        <w:t>. The user can also select</w:t>
      </w:r>
      <w:r w:rsidR="00511E09" w:rsidRPr="000665B0">
        <w:t xml:space="preserve"> whether MDS purge</w:t>
      </w:r>
      <w:r w:rsidR="00D25133" w:rsidRPr="000665B0">
        <w:t>s</w:t>
      </w:r>
      <w:r w:rsidR="00511E09" w:rsidRPr="000665B0">
        <w:t xml:space="preserve"> any remaining notifications from the queue after displaying a group of notifications, by checking/un-checking the Purge extra notifications after notify checkbox.</w:t>
      </w:r>
    </w:p>
    <w:p w14:paraId="06A99068" w14:textId="637F213E" w:rsidR="00D7685A" w:rsidRPr="000665B0" w:rsidRDefault="00D7685A" w:rsidP="007239DA">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0" w:afterAutospacing="0"/>
        <w:ind w:left="90" w:right="90"/>
        <w:jc w:val="center"/>
        <w:rPr>
          <w:b/>
        </w:rPr>
      </w:pPr>
      <w:r w:rsidRPr="000665B0">
        <w:rPr>
          <w:b/>
        </w:rPr>
        <w:t>Note:</w:t>
      </w:r>
    </w:p>
    <w:p w14:paraId="3215A83E" w14:textId="0CA1ADAC" w:rsidR="00D7685A" w:rsidRPr="000665B0" w:rsidRDefault="00D7685A" w:rsidP="007239DA">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120" w:afterAutospacing="0" w:line="240" w:lineRule="atLeast"/>
        <w:ind w:left="90" w:right="90"/>
        <w:jc w:val="center"/>
        <w:rPr>
          <w:b/>
        </w:rPr>
      </w:pPr>
      <w:r w:rsidRPr="000665B0">
        <w:rPr>
          <w:b/>
        </w:rPr>
        <w:t>Notification Queue settings are global and apply to all MDS tools that</w:t>
      </w:r>
      <w:r w:rsidR="00434201">
        <w:rPr>
          <w:b/>
        </w:rPr>
        <w:br/>
      </w:r>
      <w:r w:rsidRPr="000665B0">
        <w:rPr>
          <w:b/>
        </w:rPr>
        <w:t>have this capability.</w:t>
      </w:r>
    </w:p>
    <w:p w14:paraId="03E430CA" w14:textId="77777777" w:rsidR="00CC0B80" w:rsidRPr="000665B0" w:rsidRDefault="00CC0B80" w:rsidP="006D5A65">
      <w:pPr>
        <w:pStyle w:val="Heading1"/>
      </w:pPr>
      <w:r w:rsidRPr="000665B0">
        <w:t xml:space="preserve">In the Notification Sound panel, the user may select whether or not to be notified of an event by sound by checking/un-checking the Play Sound checkbox. The user can also select what sound file to use to be notified of an event. This is done by clicking Browse and selecting the sound file, or by typing in the path of the sound file in the Path textbox. </w:t>
      </w:r>
    </w:p>
    <w:p w14:paraId="2D597272" w14:textId="5A15401F" w:rsidR="00CC0B80" w:rsidRPr="000665B0" w:rsidRDefault="00CC0B80" w:rsidP="00A0163E">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120" w:afterAutospacing="0" w:line="240" w:lineRule="atLeast"/>
        <w:ind w:left="86" w:right="86"/>
        <w:jc w:val="center"/>
        <w:rPr>
          <w:b/>
        </w:rPr>
      </w:pPr>
      <w:r w:rsidRPr="000665B0">
        <w:rPr>
          <w:b/>
        </w:rPr>
        <w:t>Note:</w:t>
      </w:r>
      <w:r w:rsidR="00352D54" w:rsidRPr="000665B0">
        <w:rPr>
          <w:b/>
        </w:rPr>
        <w:br/>
      </w:r>
      <w:r w:rsidRPr="000665B0">
        <w:rPr>
          <w:b/>
        </w:rPr>
        <w:t>The sound file must be a WAVE (.wav) file.</w:t>
      </w:r>
    </w:p>
    <w:p w14:paraId="5B883D61" w14:textId="77777777" w:rsidR="00CC0B80" w:rsidRPr="000665B0" w:rsidRDefault="00CC0B80" w:rsidP="006D5A65">
      <w:pPr>
        <w:pStyle w:val="Heading1"/>
      </w:pPr>
      <w:r w:rsidRPr="000665B0">
        <w:t xml:space="preserve">In the Notification Skin panel, the user may select whether or not to be notified of an event by a pop-up notification window by checking/un-checking the Show Notification checkbox. The user can also select what image file to use as a skin for the pop-up notification window. This is done by clicking Browse and selecting the image file, or by typing in the path of the image file in the Path textbox. </w:t>
      </w:r>
    </w:p>
    <w:p w14:paraId="14A79466" w14:textId="77777777" w:rsidR="00CC0B80" w:rsidRPr="000665B0" w:rsidRDefault="00CC0B80" w:rsidP="007239DA">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0" w:afterAutospacing="0"/>
        <w:ind w:left="90" w:right="90"/>
        <w:jc w:val="center"/>
        <w:rPr>
          <w:b/>
        </w:rPr>
      </w:pPr>
      <w:r w:rsidRPr="000665B0">
        <w:rPr>
          <w:b/>
        </w:rPr>
        <w:t>Note:</w:t>
      </w:r>
    </w:p>
    <w:p w14:paraId="7BF4BE94" w14:textId="77777777" w:rsidR="00CC0B80" w:rsidRPr="000665B0" w:rsidRDefault="00CC0B80" w:rsidP="007239DA">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120" w:afterAutospacing="0"/>
        <w:ind w:left="90" w:right="90"/>
        <w:jc w:val="center"/>
        <w:rPr>
          <w:b/>
        </w:rPr>
      </w:pPr>
      <w:r w:rsidRPr="000665B0">
        <w:rPr>
          <w:b/>
        </w:rPr>
        <w:t>The image file must be a Bitmap (.bmp), JPEG (.jpg), or GIF (.gif) file.</w:t>
      </w:r>
    </w:p>
    <w:p w14:paraId="77403670" w14:textId="77777777" w:rsidR="00CC0B80" w:rsidRPr="000665B0" w:rsidRDefault="00CC0B80" w:rsidP="006D5A65">
      <w:pPr>
        <w:pStyle w:val="Heading1"/>
      </w:pPr>
      <w:r w:rsidRPr="000665B0">
        <w:t>In the Options panel, the user may configure a number of options for pop-up notification windows by checking/un-checking the checkboxes for a particular option. The following options are configurable:</w:t>
      </w:r>
    </w:p>
    <w:p w14:paraId="75755E7F" w14:textId="77777777" w:rsidR="00CC0B80" w:rsidRPr="000665B0" w:rsidRDefault="00CC0B80" w:rsidP="006D5A65">
      <w:pPr>
        <w:pStyle w:val="Heading1"/>
      </w:pPr>
      <w:r w:rsidRPr="000665B0">
        <w:t>Title Clickable – Configures whether the title in the pop-up notification window is clickable. (Clicking on the title will access the tool corresponding to that pop-up notification window.)</w:t>
      </w:r>
    </w:p>
    <w:p w14:paraId="32B7190F" w14:textId="77777777" w:rsidR="00CC0B80" w:rsidRPr="000665B0" w:rsidRDefault="00CC0B80" w:rsidP="006D5A65">
      <w:pPr>
        <w:pStyle w:val="Heading1"/>
      </w:pPr>
      <w:r w:rsidRPr="000665B0">
        <w:t xml:space="preserve">Close Clickable – Configures whether the close button in the pop-up notification window is clickable. </w:t>
      </w:r>
    </w:p>
    <w:p w14:paraId="35493615" w14:textId="77777777" w:rsidR="00CC0B80" w:rsidRPr="000665B0" w:rsidRDefault="00CC0B80" w:rsidP="006D5A65">
      <w:pPr>
        <w:pStyle w:val="Heading1"/>
      </w:pPr>
      <w:r w:rsidRPr="000665B0">
        <w:t xml:space="preserve">Content Clickable – Configures whether the message content in the pop-up notification window is clickable. </w:t>
      </w:r>
      <w:r w:rsidRPr="000665B0">
        <w:lastRenderedPageBreak/>
        <w:t>(Clicking on the content will open the textual view corresponding to that particular pop-up notification window.)</w:t>
      </w:r>
    </w:p>
    <w:p w14:paraId="54AC911B" w14:textId="0C1B18FC" w:rsidR="00CC0B80" w:rsidRPr="000665B0" w:rsidRDefault="00CC0B80" w:rsidP="006D5A65">
      <w:pPr>
        <w:pStyle w:val="Heading1"/>
      </w:pPr>
      <w:r w:rsidRPr="000665B0">
        <w:t>Show Selection Rectangle – Configures whether the Selection Rectangle appears when the mouse pointer is over the message content.</w:t>
      </w:r>
    </w:p>
    <w:p w14:paraId="7B478B9A" w14:textId="77777777" w:rsidR="00CC0B80" w:rsidRPr="000665B0" w:rsidRDefault="00CC0B80" w:rsidP="006D5A65">
      <w:pPr>
        <w:pStyle w:val="Heading1"/>
      </w:pPr>
      <w:r w:rsidRPr="000665B0">
        <w:t>Keep visible when Mouse over window – Configures whether the pop-up notification window remains open as long as the mouse pointer is over the window, regardless of whether or not the Delay Staying period has elapsed.</w:t>
      </w:r>
    </w:p>
    <w:p w14:paraId="02C38823" w14:textId="77777777" w:rsidR="00CC0B80" w:rsidRPr="000665B0" w:rsidRDefault="00CC0B80" w:rsidP="006D5A65">
      <w:pPr>
        <w:pStyle w:val="Heading1"/>
      </w:pPr>
      <w:r w:rsidRPr="000665B0">
        <w:t>Re-show when Mouse over window when hiding – Configures whether the pop-up notification window will reappear when the mouse pointer is moved over the window while it is hiding.</w:t>
      </w:r>
    </w:p>
    <w:p w14:paraId="224A5D7D" w14:textId="77777777" w:rsidR="00CC0B80" w:rsidRPr="000665B0" w:rsidRDefault="00CC0B80" w:rsidP="006D5A65">
      <w:pPr>
        <w:pStyle w:val="Heading1"/>
      </w:pPr>
      <w:r w:rsidRPr="000665B0">
        <w:t>In the Animation Delays (ms) panel, the user can configure the time it takes for the pop-up notification window to appear, remain open, and disappear. The user can set these periods by entering the time in the appropriate field. The configurable time periods are:</w:t>
      </w:r>
    </w:p>
    <w:p w14:paraId="19F155CA" w14:textId="77777777" w:rsidR="00CC0B80" w:rsidRPr="000665B0" w:rsidRDefault="00CC0B80" w:rsidP="006D5A65">
      <w:pPr>
        <w:pStyle w:val="Heading1"/>
      </w:pPr>
      <w:r w:rsidRPr="000665B0">
        <w:t>Delay Showing – Sets the time it takes for the pop-up notification window to appear.</w:t>
      </w:r>
    </w:p>
    <w:p w14:paraId="5A74D48A" w14:textId="77777777" w:rsidR="00CC0B80" w:rsidRPr="000665B0" w:rsidRDefault="00CC0B80" w:rsidP="006D5A65">
      <w:pPr>
        <w:pStyle w:val="Heading1"/>
      </w:pPr>
      <w:r w:rsidRPr="000665B0">
        <w:t>Delay Staying – Sets the time it takes for the pop-up notification window to remain open.</w:t>
      </w:r>
    </w:p>
    <w:p w14:paraId="4F0A87C6" w14:textId="77777777" w:rsidR="00CC0B80" w:rsidRPr="000665B0" w:rsidRDefault="00CC0B80" w:rsidP="006D5A65">
      <w:pPr>
        <w:pStyle w:val="Heading1"/>
      </w:pPr>
      <w:r w:rsidRPr="000665B0">
        <w:t>Delay Hiding – Sets the time it takes for the pop-up notification window to disappear.</w:t>
      </w:r>
    </w:p>
    <w:p w14:paraId="5AD31E80" w14:textId="7C49C731" w:rsidR="00CC0B80" w:rsidRPr="000665B0" w:rsidRDefault="00CC0B80" w:rsidP="006679E9">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120" w:afterAutospacing="0" w:line="240" w:lineRule="atLeast"/>
        <w:ind w:left="86" w:right="86"/>
        <w:jc w:val="center"/>
        <w:rPr>
          <w:b/>
        </w:rPr>
      </w:pPr>
      <w:r w:rsidRPr="000665B0">
        <w:rPr>
          <w:b/>
        </w:rPr>
        <w:t>Note:</w:t>
      </w:r>
      <w:r w:rsidR="00352D54" w:rsidRPr="000665B0">
        <w:rPr>
          <w:b/>
        </w:rPr>
        <w:br/>
      </w:r>
      <w:r w:rsidRPr="000665B0">
        <w:rPr>
          <w:b/>
        </w:rPr>
        <w:t>The time is set in milliseconds. For example: To have the pop-up notification window remain open for 5 seconds, set “Delay Staying” to 5000.</w:t>
      </w:r>
    </w:p>
    <w:p w14:paraId="7045F41B" w14:textId="77777777" w:rsidR="00CC0B80" w:rsidRPr="000665B0" w:rsidRDefault="00CC0B80" w:rsidP="006D5A65">
      <w:pPr>
        <w:pStyle w:val="Heading1"/>
      </w:pPr>
      <w:r w:rsidRPr="000665B0">
        <w:t xml:space="preserve">If it becomes necessary to revert back to the original settings, click the </w:t>
      </w:r>
      <w:r w:rsidRPr="000665B0">
        <w:rPr>
          <w:bCs/>
        </w:rPr>
        <w:t>Restore Defaults</w:t>
      </w:r>
      <w:r w:rsidRPr="000665B0">
        <w:t xml:space="preserve"> button.</w:t>
      </w:r>
    </w:p>
    <w:p w14:paraId="46B2A752" w14:textId="77777777" w:rsidR="00CC0B80" w:rsidRDefault="00CC0B80" w:rsidP="006D5A65">
      <w:pPr>
        <w:pStyle w:val="Heading1"/>
      </w:pPr>
      <w:r w:rsidRPr="000665B0">
        <w:t xml:space="preserve">Click the </w:t>
      </w:r>
      <w:r w:rsidRPr="000665B0">
        <w:rPr>
          <w:bCs/>
        </w:rPr>
        <w:t>OK</w:t>
      </w:r>
      <w:r w:rsidRPr="000665B0">
        <w:t xml:space="preserve"> button when all selections have been completed.</w:t>
      </w:r>
    </w:p>
    <w:p w14:paraId="4EC9C3D6" w14:textId="77777777" w:rsidR="009F7E18" w:rsidRPr="000665B0" w:rsidRDefault="009F7E18" w:rsidP="007239DA">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0" w:afterAutospacing="0"/>
        <w:ind w:left="90" w:right="90"/>
        <w:jc w:val="center"/>
        <w:rPr>
          <w:b/>
        </w:rPr>
      </w:pPr>
      <w:r w:rsidRPr="000665B0">
        <w:rPr>
          <w:b/>
        </w:rPr>
        <w:t>Note:</w:t>
      </w:r>
    </w:p>
    <w:p w14:paraId="32154614" w14:textId="77777777" w:rsidR="00A316EA" w:rsidRDefault="00CC0B80" w:rsidP="007239DA">
      <w:pPr>
        <w:pBdr>
          <w:top w:val="single" w:sz="12" w:space="1" w:color="auto"/>
          <w:left w:val="single" w:sz="12" w:space="4" w:color="auto"/>
          <w:bottom w:val="single" w:sz="12" w:space="1" w:color="auto"/>
          <w:right w:val="single" w:sz="12" w:space="4" w:color="auto"/>
        </w:pBdr>
        <w:shd w:val="clear" w:color="auto" w:fill="D9D9D9"/>
        <w:ind w:left="90" w:right="90"/>
        <w:jc w:val="center"/>
        <w:rPr>
          <w:b/>
        </w:rPr>
      </w:pPr>
      <w:r w:rsidRPr="000665B0">
        <w:rPr>
          <w:b/>
        </w:rPr>
        <w:t xml:space="preserve">MDS icons such as Incoming DDOs, Error Logs, etc., may become hidden in the notification system task bar. From the Control Panel, select </w:t>
      </w:r>
      <w:r w:rsidRPr="000665B0">
        <w:rPr>
          <w:b/>
          <w:i/>
        </w:rPr>
        <w:t xml:space="preserve">Appearance and Personalization </w:t>
      </w:r>
      <w:r w:rsidRPr="000665B0">
        <w:rPr>
          <w:rFonts w:ascii="Arial" w:hAnsi="Arial" w:cs="Arial"/>
          <w:sz w:val="20"/>
        </w:rPr>
        <w:sym w:font="Wingdings" w:char="F0E0"/>
      </w:r>
      <w:r w:rsidRPr="000665B0">
        <w:rPr>
          <w:rFonts w:ascii="Arial" w:hAnsi="Arial" w:cs="Arial"/>
          <w:sz w:val="20"/>
        </w:rPr>
        <w:t xml:space="preserve"> </w:t>
      </w:r>
      <w:r w:rsidRPr="000665B0">
        <w:rPr>
          <w:b/>
          <w:i/>
        </w:rPr>
        <w:t xml:space="preserve">Taskbar and </w:t>
      </w:r>
      <w:r w:rsidR="00987CBA" w:rsidRPr="000665B0">
        <w:rPr>
          <w:b/>
          <w:i/>
        </w:rPr>
        <w:t>Navigation</w:t>
      </w:r>
      <w:r w:rsidRPr="000665B0">
        <w:rPr>
          <w:b/>
        </w:rPr>
        <w:t xml:space="preserve">. On the </w:t>
      </w:r>
      <w:r w:rsidRPr="000665B0">
        <w:rPr>
          <w:b/>
          <w:i/>
        </w:rPr>
        <w:t>Taskbar</w:t>
      </w:r>
      <w:r w:rsidR="00987CBA" w:rsidRPr="000665B0">
        <w:rPr>
          <w:b/>
          <w:i/>
        </w:rPr>
        <w:t xml:space="preserve"> and Navigation properties</w:t>
      </w:r>
      <w:r w:rsidRPr="000665B0">
        <w:rPr>
          <w:b/>
        </w:rPr>
        <w:t xml:space="preserve"> </w:t>
      </w:r>
      <w:r w:rsidR="00987CBA" w:rsidRPr="000665B0">
        <w:rPr>
          <w:b/>
        </w:rPr>
        <w:t>window</w:t>
      </w:r>
      <w:r w:rsidRPr="000665B0">
        <w:rPr>
          <w:b/>
        </w:rPr>
        <w:t xml:space="preserve">, click “Customize.” For the appropriate icon in the </w:t>
      </w:r>
      <w:r w:rsidRPr="000665B0">
        <w:rPr>
          <w:b/>
          <w:i/>
        </w:rPr>
        <w:t>Icons</w:t>
      </w:r>
      <w:r w:rsidRPr="000665B0">
        <w:rPr>
          <w:b/>
        </w:rPr>
        <w:t xml:space="preserve"> column, select either “Show icon and notifications” or “Only show notifications” from the drop-down menu in the </w:t>
      </w:r>
      <w:r w:rsidRPr="000665B0">
        <w:rPr>
          <w:b/>
          <w:i/>
        </w:rPr>
        <w:t>Behaviors</w:t>
      </w:r>
      <w:r w:rsidRPr="000665B0">
        <w:rPr>
          <w:b/>
        </w:rPr>
        <w:t xml:space="preserve"> column.</w:t>
      </w:r>
      <w:r w:rsidR="00A316EA">
        <w:br w:type="page"/>
      </w:r>
      <w:bookmarkStart w:id="7292" w:name="_5.46.2_Create_Target"/>
      <w:bookmarkStart w:id="7293" w:name="_5.46.3_Create_TMPR"/>
      <w:bookmarkStart w:id="7294" w:name="_section_6_geotrans"/>
      <w:bookmarkStart w:id="7295" w:name="_5.47__TED"/>
      <w:bookmarkStart w:id="7296" w:name="_5.47.1__Save"/>
      <w:bookmarkStart w:id="7297" w:name="_5.47.2__Save"/>
      <w:bookmarkStart w:id="7298" w:name="_5.47.2__Save_1"/>
      <w:bookmarkStart w:id="7299" w:name="_Display_Textually"/>
      <w:bookmarkStart w:id="7300" w:name="_section_6_geotrans_1"/>
      <w:bookmarkStart w:id="7301" w:name="_Toc160584805"/>
      <w:bookmarkStart w:id="7302" w:name="_Toc289329070"/>
      <w:bookmarkStart w:id="7303" w:name="_Toc312332183"/>
      <w:bookmarkStart w:id="7304" w:name="_Toc214283669"/>
      <w:bookmarkEnd w:id="7283"/>
      <w:bookmarkEnd w:id="7284"/>
      <w:bookmarkEnd w:id="7285"/>
      <w:bookmarkEnd w:id="7292"/>
      <w:bookmarkEnd w:id="7293"/>
      <w:bookmarkEnd w:id="7294"/>
      <w:bookmarkEnd w:id="7295"/>
      <w:bookmarkEnd w:id="7296"/>
      <w:bookmarkEnd w:id="7297"/>
      <w:bookmarkEnd w:id="7298"/>
      <w:bookmarkEnd w:id="7299"/>
      <w:bookmarkEnd w:id="7300"/>
      <w:r w:rsidR="009319FE" w:rsidRPr="000665B0">
        <w:lastRenderedPageBreak/>
        <w:t>GEOTRANS</w:t>
      </w:r>
      <w:bookmarkEnd w:id="7301"/>
      <w:bookmarkEnd w:id="7302"/>
      <w:bookmarkEnd w:id="7303"/>
      <w:bookmarkEnd w:id="7304"/>
    </w:p>
    <w:p w14:paraId="0951EF8D" w14:textId="444C4B77" w:rsidR="00BE5280" w:rsidRPr="000665B0" w:rsidRDefault="00B35EE5" w:rsidP="00C32ED9">
      <w:pPr>
        <w:pStyle w:val="Heading2"/>
        <w:spacing w:before="240"/>
      </w:pPr>
      <w:bookmarkStart w:id="7305" w:name="_Toc289329071"/>
      <w:bookmarkStart w:id="7306" w:name="_Toc312332184"/>
      <w:bookmarkStart w:id="7307" w:name="_Toc214283670"/>
      <w:r w:rsidRPr="000665B0">
        <w:t>GEOTRANS UTILITY</w:t>
      </w:r>
      <w:bookmarkEnd w:id="7305"/>
      <w:bookmarkEnd w:id="7306"/>
      <w:bookmarkEnd w:id="7307"/>
    </w:p>
    <w:p w14:paraId="275FA201" w14:textId="3AAA591A" w:rsidR="0022522C" w:rsidRPr="000665B0" w:rsidRDefault="0022522C" w:rsidP="0022522C">
      <w:r w:rsidRPr="000665B0">
        <w:t xml:space="preserve">The GeoTrans utility is provided by the United States National Geospatial-Intelligence Agency (NGA) to translate geo-coordinates from one reference system to another in order to facilitate working with other forces. Using this utility, the operator may readily convert latitude/longitude coordinates from MDS to coordinates in the Military Grid Reference System (MGRS) or Universal Transverse Mercator (UTM). Conversely, the operator may also convert coordinates in </w:t>
      </w:r>
      <w:r w:rsidR="003068A2" w:rsidRPr="000665B0">
        <w:t xml:space="preserve">MGRS </w:t>
      </w:r>
      <w:r w:rsidRPr="000665B0">
        <w:t>or UTM that are received from other forces into latitude/longitude coordinates for entry into the various geo-position dialogs of the MDS.</w:t>
      </w:r>
    </w:p>
    <w:p w14:paraId="1AD6D988" w14:textId="77777777" w:rsidR="00BE5280" w:rsidRPr="000665B0" w:rsidRDefault="002C0A3E" w:rsidP="0022522C">
      <w:pPr>
        <w:spacing w:after="0"/>
      </w:pPr>
      <w:r w:rsidRPr="000665B0">
        <w:t xml:space="preserve">To start </w:t>
      </w:r>
      <w:r w:rsidR="0022522C" w:rsidRPr="000665B0">
        <w:t>GeoTrans</w:t>
      </w:r>
      <w:r w:rsidRPr="000665B0">
        <w:t>,</w:t>
      </w:r>
      <w:r w:rsidR="0022522C" w:rsidRPr="000665B0">
        <w:t xml:space="preserve"> </w:t>
      </w:r>
      <w:r w:rsidRPr="000665B0">
        <w:rPr>
          <w:szCs w:val="24"/>
        </w:rPr>
        <w:t xml:space="preserve">right-click the </w:t>
      </w:r>
      <w:r w:rsidRPr="000665B0">
        <w:rPr>
          <w:noProof/>
          <w:position w:val="-4"/>
          <w:szCs w:val="24"/>
        </w:rPr>
        <w:drawing>
          <wp:inline distT="0" distB="0" distL="0" distR="0" wp14:anchorId="39306580" wp14:editId="10B2AF27">
            <wp:extent cx="182880" cy="178068"/>
            <wp:effectExtent l="0" t="0" r="762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0665B0">
        <w:rPr>
          <w:szCs w:val="24"/>
        </w:rPr>
        <w:t xml:space="preserve"> icon and select </w:t>
      </w:r>
      <w:r w:rsidRPr="000665B0">
        <w:rPr>
          <w:b/>
          <w:szCs w:val="24"/>
        </w:rPr>
        <w:t>Search</w:t>
      </w:r>
      <w:r w:rsidRPr="000665B0">
        <w:rPr>
          <w:szCs w:val="24"/>
        </w:rPr>
        <w:t xml:space="preserve"> from the pop-up menu. Type </w:t>
      </w:r>
      <w:r w:rsidRPr="000665B0">
        <w:rPr>
          <w:b/>
          <w:szCs w:val="24"/>
        </w:rPr>
        <w:t>Geo Trans</w:t>
      </w:r>
      <w:r w:rsidRPr="000665B0">
        <w:rPr>
          <w:szCs w:val="24"/>
        </w:rPr>
        <w:t xml:space="preserve"> </w:t>
      </w:r>
      <w:r w:rsidR="000C47D5" w:rsidRPr="000665B0">
        <w:rPr>
          <w:szCs w:val="24"/>
        </w:rPr>
        <w:t xml:space="preserve">(ensure that there is a space between </w:t>
      </w:r>
      <w:r w:rsidR="000C47D5" w:rsidRPr="000665B0">
        <w:rPr>
          <w:b/>
          <w:szCs w:val="24"/>
        </w:rPr>
        <w:t>Geo</w:t>
      </w:r>
      <w:r w:rsidR="000C47D5" w:rsidRPr="000665B0">
        <w:rPr>
          <w:szCs w:val="24"/>
        </w:rPr>
        <w:t xml:space="preserve"> and </w:t>
      </w:r>
      <w:r w:rsidR="000C47D5" w:rsidRPr="000665B0">
        <w:rPr>
          <w:b/>
          <w:szCs w:val="24"/>
        </w:rPr>
        <w:t>Trans</w:t>
      </w:r>
      <w:r w:rsidR="000C47D5" w:rsidRPr="000665B0">
        <w:rPr>
          <w:szCs w:val="24"/>
        </w:rPr>
        <w:t xml:space="preserve">) </w:t>
      </w:r>
      <w:r w:rsidRPr="000665B0">
        <w:rPr>
          <w:szCs w:val="24"/>
        </w:rPr>
        <w:t xml:space="preserve">in the </w:t>
      </w:r>
      <w:r w:rsidRPr="000665B0">
        <w:rPr>
          <w:b/>
          <w:szCs w:val="24"/>
        </w:rPr>
        <w:t>Search</w:t>
      </w:r>
      <w:r w:rsidRPr="000665B0">
        <w:rPr>
          <w:szCs w:val="24"/>
        </w:rPr>
        <w:t xml:space="preserve"> field, and then select </w:t>
      </w:r>
      <w:r w:rsidRPr="000665B0">
        <w:rPr>
          <w:b/>
          <w:szCs w:val="24"/>
        </w:rPr>
        <w:t>Geo Trans</w:t>
      </w:r>
      <w:r w:rsidRPr="000665B0">
        <w:rPr>
          <w:szCs w:val="24"/>
        </w:rPr>
        <w:t xml:space="preserve"> in the results list.</w:t>
      </w:r>
      <w:r w:rsidR="0022522C" w:rsidRPr="000665B0">
        <w:t xml:space="preserve"> Because it is furnished by the government and is not actually part of the MDS per se, GeoTrans operation is independent of MDS. It comes up in its own window and is not affected by user interaction with the MDS.</w:t>
      </w:r>
    </w:p>
    <w:p w14:paraId="425BD389" w14:textId="77777777" w:rsidR="00C77E9C" w:rsidRPr="000665B0" w:rsidRDefault="00C77E9C" w:rsidP="00C77E9C">
      <w:pPr>
        <w:pStyle w:val="Heading3"/>
      </w:pPr>
      <w:bookmarkStart w:id="7308" w:name="_Toc289329072"/>
      <w:bookmarkStart w:id="7309" w:name="_Toc312332185"/>
      <w:bookmarkStart w:id="7310" w:name="_Toc214283671"/>
      <w:bookmarkStart w:id="7311" w:name="_Toc289329075"/>
      <w:bookmarkStart w:id="7312" w:name="_Toc312332186"/>
      <w:r w:rsidRPr="000665B0">
        <w:t>MGRS Conversion</w:t>
      </w:r>
      <w:bookmarkEnd w:id="7308"/>
      <w:bookmarkEnd w:id="7309"/>
      <w:bookmarkEnd w:id="7310"/>
    </w:p>
    <w:p w14:paraId="57CF07AC" w14:textId="77777777" w:rsidR="00C77E9C" w:rsidRPr="000665B0" w:rsidRDefault="00C77E9C" w:rsidP="00C77E9C">
      <w:r w:rsidRPr="000665B0">
        <w:t xml:space="preserve">To use the GeoTrans for MGRS geo-coordinate translation, start the GeoTrans tool. In the reference system drop-down list in the upper panel, select </w:t>
      </w:r>
      <w:r w:rsidRPr="000665B0">
        <w:rPr>
          <w:b/>
        </w:rPr>
        <w:t>Military Grid Reference System (MGRS)</w:t>
      </w:r>
      <w:r w:rsidRPr="000665B0">
        <w:t xml:space="preserve">. Confirm that the corresponding drop-down list in the lower panel selects </w:t>
      </w:r>
      <w:r w:rsidRPr="000665B0">
        <w:rPr>
          <w:b/>
        </w:rPr>
        <w:t>Geodetic</w:t>
      </w:r>
      <w:r w:rsidRPr="000665B0">
        <w:t xml:space="preserve">, and that the </w:t>
      </w:r>
      <w:r w:rsidRPr="000665B0">
        <w:rPr>
          <w:b/>
        </w:rPr>
        <w:t>Datum</w:t>
      </w:r>
      <w:r w:rsidRPr="000665B0">
        <w:t xml:space="preserve"> in both panels is set to </w:t>
      </w:r>
      <w:r w:rsidRPr="000665B0">
        <w:rPr>
          <w:b/>
        </w:rPr>
        <w:t>WGE: World Geodetic System 1984</w:t>
      </w:r>
      <w:r w:rsidRPr="000665B0">
        <w:t>.</w:t>
      </w:r>
    </w:p>
    <w:p w14:paraId="3C662C00" w14:textId="12E952BE" w:rsidR="00C77E9C" w:rsidRPr="000665B0" w:rsidRDefault="00C77E9C" w:rsidP="00126378">
      <w:pPr>
        <w:jc w:val="center"/>
        <w:rPr>
          <w:b/>
        </w:rPr>
      </w:pPr>
      <w:r w:rsidRPr="000665B0">
        <w:rPr>
          <w:b/>
        </w:rPr>
        <w:t xml:space="preserve">GeoTrans </w:t>
      </w:r>
      <w:r w:rsidR="00490460" w:rsidRPr="000665B0">
        <w:rPr>
          <w:b/>
        </w:rPr>
        <w:t xml:space="preserve">Set Up </w:t>
      </w:r>
      <w:r w:rsidRPr="000665B0">
        <w:rPr>
          <w:b/>
        </w:rPr>
        <w:t>for MGRS to/from Geodetic (</w:t>
      </w:r>
      <w:r w:rsidR="00490460" w:rsidRPr="000665B0">
        <w:rPr>
          <w:b/>
        </w:rPr>
        <w:t>Latitude</w:t>
      </w:r>
      <w:r w:rsidRPr="000665B0">
        <w:rPr>
          <w:b/>
        </w:rPr>
        <w:t>/</w:t>
      </w:r>
      <w:r w:rsidR="00490460" w:rsidRPr="000665B0">
        <w:rPr>
          <w:b/>
        </w:rPr>
        <w:t>Longitude</w:t>
      </w:r>
      <w:r w:rsidRPr="000665B0">
        <w:rPr>
          <w:b/>
        </w:rPr>
        <w:t>)</w:t>
      </w:r>
      <w:r w:rsidR="009B366E" w:rsidRPr="000665B0">
        <w:rPr>
          <w:b/>
        </w:rPr>
        <w:t>:</w:t>
      </w:r>
    </w:p>
    <w:p w14:paraId="36B2BFA9" w14:textId="0C38A91A" w:rsidR="00C77E9C" w:rsidRPr="000665B0" w:rsidRDefault="001B34CB" w:rsidP="00C77E9C">
      <w:pPr>
        <w:jc w:val="center"/>
      </w:pPr>
      <w:bookmarkStart w:id="7313" w:name="_Toc289329073"/>
      <w:r w:rsidRPr="000665B0">
        <w:rPr>
          <w:noProof/>
        </w:rPr>
        <w:drawing>
          <wp:inline distT="0" distB="0" distL="0" distR="0" wp14:anchorId="0CB7D2E4" wp14:editId="75FB4025">
            <wp:extent cx="2286000" cy="3300984"/>
            <wp:effectExtent l="0" t="0" r="0" b="0"/>
            <wp:docPr id="1245" name="Picture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3300984"/>
                    </a:xfrm>
                    <a:prstGeom prst="rect">
                      <a:avLst/>
                    </a:prstGeom>
                  </pic:spPr>
                </pic:pic>
              </a:graphicData>
            </a:graphic>
          </wp:inline>
        </w:drawing>
      </w:r>
    </w:p>
    <w:p w14:paraId="026F9110" w14:textId="77777777" w:rsidR="00C77E9C" w:rsidRPr="000665B0" w:rsidRDefault="00C77E9C" w:rsidP="00C77E9C">
      <w:pPr>
        <w:pStyle w:val="Heading4"/>
      </w:pPr>
      <w:r w:rsidRPr="000665B0">
        <w:lastRenderedPageBreak/>
        <w:t>MGRS to Latitude/Longitude</w:t>
      </w:r>
      <w:bookmarkEnd w:id="7313"/>
    </w:p>
    <w:p w14:paraId="0D1CBE0D" w14:textId="6B1CA196" w:rsidR="00C77E9C" w:rsidRPr="000665B0" w:rsidRDefault="00C77E9C" w:rsidP="006D5A65">
      <w:pPr>
        <w:pStyle w:val="Heading1"/>
      </w:pPr>
      <w:r w:rsidRPr="000665B0">
        <w:t>Enter (or copy and paste) the MGRS coordinate into the box labeled Coordinate String in the upper panel.</w:t>
      </w:r>
    </w:p>
    <w:p w14:paraId="22B3A4C9" w14:textId="77777777" w:rsidR="00C77E9C" w:rsidRPr="000665B0" w:rsidRDefault="00C77E9C" w:rsidP="006D5A65">
      <w:pPr>
        <w:pStyle w:val="Heading1"/>
      </w:pPr>
      <w:r w:rsidRPr="000665B0">
        <w:t xml:space="preserve">Click on the green button labeled Convert Upper </w:t>
      </w:r>
      <w:r w:rsidRPr="000665B0">
        <w:sym w:font="Wingdings" w:char="F0E0"/>
      </w:r>
      <w:r w:rsidRPr="000665B0">
        <w:t xml:space="preserve"> Lower. The converted values appear in the lower panel in the boxes labeled Longitude and Latitude.</w:t>
      </w:r>
    </w:p>
    <w:p w14:paraId="60C575FF" w14:textId="223784CE" w:rsidR="00C77E9C" w:rsidRPr="000665B0" w:rsidRDefault="001B34CB" w:rsidP="006D5A65">
      <w:pPr>
        <w:pStyle w:val="Heading1"/>
      </w:pPr>
      <w:r w:rsidRPr="000665B0">
        <w:t xml:space="preserve">When copying </w:t>
      </w:r>
      <w:r w:rsidR="00C77E9C" w:rsidRPr="000665B0">
        <w:t>coordinates</w:t>
      </w:r>
      <w:r w:rsidRPr="000665B0">
        <w:t xml:space="preserve"> from GeoTrans and pasting</w:t>
      </w:r>
      <w:r w:rsidR="00C77E9C" w:rsidRPr="000665B0">
        <w:t xml:space="preserve"> </w:t>
      </w:r>
      <w:r w:rsidRPr="000665B0">
        <w:t xml:space="preserve">them </w:t>
      </w:r>
      <w:r w:rsidR="00C77E9C" w:rsidRPr="000665B0">
        <w:t xml:space="preserve">into MDS, type over the spaces between the numbers in the pasted values, changing the spaces to dashes. Using the above example, enter </w:t>
      </w:r>
      <w:r w:rsidRPr="000665B0">
        <w:t>36</w:t>
      </w:r>
      <w:r w:rsidR="00C77E9C" w:rsidRPr="000665B0">
        <w:t>-</w:t>
      </w:r>
      <w:r w:rsidRPr="000665B0">
        <w:t>02</w:t>
      </w:r>
      <w:r w:rsidR="00C77E9C" w:rsidRPr="000665B0">
        <w:t>-</w:t>
      </w:r>
      <w:r w:rsidRPr="000665B0">
        <w:t>11.8</w:t>
      </w:r>
      <w:r w:rsidR="00C77E9C" w:rsidRPr="000665B0">
        <w:t xml:space="preserve">N for latitude and </w:t>
      </w:r>
      <w:r w:rsidRPr="000665B0">
        <w:t>119</w:t>
      </w:r>
      <w:r w:rsidR="00C77E9C" w:rsidRPr="000665B0">
        <w:t>-</w:t>
      </w:r>
      <w:r w:rsidRPr="000665B0">
        <w:t>58</w:t>
      </w:r>
      <w:r w:rsidR="00C77E9C" w:rsidRPr="000665B0">
        <w:t>-</w:t>
      </w:r>
      <w:r w:rsidRPr="000665B0">
        <w:t>52.4W</w:t>
      </w:r>
      <w:r w:rsidR="00C77E9C" w:rsidRPr="000665B0">
        <w:t xml:space="preserve"> for longitude</w:t>
      </w:r>
      <w:r w:rsidRPr="000665B0">
        <w:t xml:space="preserve"> into MDS</w:t>
      </w:r>
      <w:r w:rsidR="00C77E9C" w:rsidRPr="000665B0">
        <w:t>. Please note that in GeoTrans, the first (leftmost) value is longitude, whereas in MDS the first (usually topmost) value is latitude.</w:t>
      </w:r>
    </w:p>
    <w:p w14:paraId="124C9111" w14:textId="77777777" w:rsidR="00C77E9C" w:rsidRPr="000665B0" w:rsidRDefault="00C77E9C" w:rsidP="00C77E9C">
      <w:pPr>
        <w:pStyle w:val="Heading4"/>
      </w:pPr>
      <w:bookmarkStart w:id="7314" w:name="_Toc289329074"/>
      <w:r w:rsidRPr="000665B0">
        <w:t>Latitude/Longitude to MGRS</w:t>
      </w:r>
      <w:bookmarkEnd w:id="7314"/>
    </w:p>
    <w:p w14:paraId="1E65F7AB" w14:textId="46EE9AB1" w:rsidR="00C77E9C" w:rsidRPr="000665B0" w:rsidRDefault="00C77E9C" w:rsidP="006D5A65">
      <w:pPr>
        <w:pStyle w:val="Heading1"/>
      </w:pPr>
      <w:r w:rsidRPr="000665B0">
        <w:t>Enter (or copy and paste) the longitude and latitude values into the boxes labeled Longitude and Latitude in the lower panel. Please note that in GeoTrans, the first (leftmost) value is longitude, whereas in MDS the first (usually topmost) value is latitude.</w:t>
      </w:r>
    </w:p>
    <w:p w14:paraId="48DB2154" w14:textId="414CB3FE" w:rsidR="00C77E9C" w:rsidRPr="000665B0" w:rsidRDefault="00C77E9C" w:rsidP="006D5A65">
      <w:pPr>
        <w:pStyle w:val="Heading1"/>
      </w:pPr>
      <w:r w:rsidRPr="000665B0">
        <w:t>If pasting coordinates</w:t>
      </w:r>
      <w:r w:rsidR="001B34CB" w:rsidRPr="000665B0">
        <w:t xml:space="preserve"> that have been copied</w:t>
      </w:r>
      <w:r w:rsidRPr="000665B0">
        <w:t xml:space="preserve"> from MDS (or another source with a different numeric separator than spaces), type over the dashes/separator between the numbers in the pasted values, changing the dashes/separator to spaces.</w:t>
      </w:r>
    </w:p>
    <w:p w14:paraId="199A74ED" w14:textId="77777777" w:rsidR="00C77E9C" w:rsidRPr="000665B0" w:rsidRDefault="00C77E9C" w:rsidP="006D5A65">
      <w:pPr>
        <w:pStyle w:val="Heading1"/>
      </w:pPr>
      <w:r w:rsidRPr="000665B0">
        <w:t xml:space="preserve">Click on the green button labeled Convert Lower </w:t>
      </w:r>
      <w:r w:rsidRPr="000665B0">
        <w:sym w:font="Wingdings" w:char="F0E0"/>
      </w:r>
      <w:r w:rsidRPr="000665B0">
        <w:t xml:space="preserve"> Upper. The converted value appears in the upper panel in the box labeled Coordinate String.</w:t>
      </w:r>
    </w:p>
    <w:p w14:paraId="37CB45B8" w14:textId="43EFA89D" w:rsidR="00BE5280" w:rsidRPr="000665B0" w:rsidRDefault="00BE5280" w:rsidP="00B35EE5">
      <w:pPr>
        <w:pStyle w:val="Heading3"/>
      </w:pPr>
      <w:bookmarkStart w:id="7315" w:name="_Toc481677674"/>
      <w:bookmarkStart w:id="7316" w:name="_Toc214283672"/>
      <w:bookmarkEnd w:id="7315"/>
      <w:r w:rsidRPr="000665B0">
        <w:t>UTM Conversion</w:t>
      </w:r>
      <w:bookmarkEnd w:id="7311"/>
      <w:bookmarkEnd w:id="7312"/>
      <w:bookmarkEnd w:id="7316"/>
    </w:p>
    <w:p w14:paraId="0C3E7332" w14:textId="77777777" w:rsidR="0022522C" w:rsidRPr="000665B0" w:rsidRDefault="0022522C" w:rsidP="0022522C">
      <w:r w:rsidRPr="000665B0">
        <w:t xml:space="preserve">To use the GeoTrans for UTM geo-coordinate translation, start the GeoTrans tool. In the reference system drop-down list in the upper panel, select </w:t>
      </w:r>
      <w:r w:rsidRPr="000665B0">
        <w:rPr>
          <w:b/>
        </w:rPr>
        <w:t>Universal Transverse Mercator (UTM)</w:t>
      </w:r>
      <w:r w:rsidRPr="000665B0">
        <w:t xml:space="preserve">. Confirm that the corresponding drop-down list in the lower panel selects </w:t>
      </w:r>
      <w:r w:rsidRPr="000665B0">
        <w:rPr>
          <w:b/>
        </w:rPr>
        <w:t>Geodetic</w:t>
      </w:r>
      <w:r w:rsidRPr="000665B0">
        <w:t xml:space="preserve">, and that the </w:t>
      </w:r>
      <w:r w:rsidRPr="000665B0">
        <w:rPr>
          <w:b/>
        </w:rPr>
        <w:t>Datum</w:t>
      </w:r>
      <w:r w:rsidRPr="000665B0">
        <w:t xml:space="preserve"> in both panels is set to </w:t>
      </w:r>
      <w:r w:rsidRPr="000665B0">
        <w:rPr>
          <w:b/>
        </w:rPr>
        <w:t>WGE: World Geodetic System 1984</w:t>
      </w:r>
      <w:r w:rsidRPr="000665B0">
        <w:t>.</w:t>
      </w:r>
    </w:p>
    <w:p w14:paraId="52D6065A" w14:textId="38B55473" w:rsidR="002C0A3E" w:rsidRPr="000665B0" w:rsidRDefault="002C0A3E" w:rsidP="00126378">
      <w:pPr>
        <w:keepNext/>
        <w:jc w:val="center"/>
        <w:rPr>
          <w:b/>
        </w:rPr>
      </w:pPr>
      <w:r w:rsidRPr="000665B0">
        <w:rPr>
          <w:b/>
        </w:rPr>
        <w:lastRenderedPageBreak/>
        <w:t xml:space="preserve">GeoTrans </w:t>
      </w:r>
      <w:r w:rsidR="00490460" w:rsidRPr="000665B0">
        <w:rPr>
          <w:b/>
        </w:rPr>
        <w:t xml:space="preserve">Set Up </w:t>
      </w:r>
      <w:r w:rsidRPr="000665B0">
        <w:rPr>
          <w:b/>
        </w:rPr>
        <w:t>for UTM to/from Geodetic (</w:t>
      </w:r>
      <w:r w:rsidR="00490460" w:rsidRPr="000665B0">
        <w:rPr>
          <w:b/>
        </w:rPr>
        <w:t>Latitude</w:t>
      </w:r>
      <w:r w:rsidRPr="000665B0">
        <w:rPr>
          <w:b/>
        </w:rPr>
        <w:t>/</w:t>
      </w:r>
      <w:r w:rsidR="00490460" w:rsidRPr="000665B0">
        <w:rPr>
          <w:b/>
        </w:rPr>
        <w:t>Longitude</w:t>
      </w:r>
      <w:r w:rsidRPr="000665B0">
        <w:rPr>
          <w:b/>
        </w:rPr>
        <w:t>)</w:t>
      </w:r>
      <w:r w:rsidR="009B366E" w:rsidRPr="000665B0">
        <w:rPr>
          <w:b/>
        </w:rPr>
        <w:t>:</w:t>
      </w:r>
    </w:p>
    <w:p w14:paraId="77BE8595" w14:textId="0D1A723D" w:rsidR="00A20D9E" w:rsidRPr="000665B0" w:rsidRDefault="001B34CB" w:rsidP="00E7111D">
      <w:pPr>
        <w:jc w:val="center"/>
      </w:pPr>
      <w:r w:rsidRPr="000665B0">
        <w:rPr>
          <w:noProof/>
        </w:rPr>
        <w:drawing>
          <wp:inline distT="0" distB="0" distL="0" distR="0" wp14:anchorId="74206C5F" wp14:editId="33311C54">
            <wp:extent cx="2286000" cy="3300984"/>
            <wp:effectExtent l="0" t="0" r="0" b="0"/>
            <wp:docPr id="1246" name="Picture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3300984"/>
                    </a:xfrm>
                    <a:prstGeom prst="rect">
                      <a:avLst/>
                    </a:prstGeom>
                  </pic:spPr>
                </pic:pic>
              </a:graphicData>
            </a:graphic>
          </wp:inline>
        </w:drawing>
      </w:r>
      <w:bookmarkStart w:id="7317" w:name="_Toc289329076"/>
    </w:p>
    <w:p w14:paraId="63178BA1" w14:textId="0F59AC39" w:rsidR="00BE5280" w:rsidRPr="000665B0" w:rsidRDefault="00BE5280" w:rsidP="00B35EE5">
      <w:pPr>
        <w:pStyle w:val="Heading4"/>
      </w:pPr>
      <w:r w:rsidRPr="000665B0">
        <w:t>UTM to Latitude/Longitude</w:t>
      </w:r>
      <w:bookmarkEnd w:id="7317"/>
    </w:p>
    <w:p w14:paraId="19548BEA" w14:textId="6DF00F01" w:rsidR="0022522C" w:rsidRPr="000665B0" w:rsidRDefault="0022522C" w:rsidP="0022522C">
      <w:r w:rsidRPr="000665B0">
        <w:t>As they appear in text, UTM coordinates are generally written as “</w:t>
      </w:r>
      <w:r w:rsidR="001B34CB" w:rsidRPr="000665B0">
        <w:t>11N 231396 3992122</w:t>
      </w:r>
      <w:r w:rsidRPr="000665B0">
        <w:t xml:space="preserve">” or </w:t>
      </w:r>
      <w:r w:rsidRPr="000665B0">
        <w:br/>
        <w:t>“</w:t>
      </w:r>
      <w:r w:rsidR="001B34CB" w:rsidRPr="000665B0">
        <w:t xml:space="preserve">11 </w:t>
      </w:r>
      <w:r w:rsidRPr="000665B0">
        <w:t xml:space="preserve">North </w:t>
      </w:r>
      <w:r w:rsidR="001B34CB" w:rsidRPr="000665B0">
        <w:t>231396</w:t>
      </w:r>
      <w:r w:rsidRPr="000665B0">
        <w:t xml:space="preserve"> </w:t>
      </w:r>
      <w:r w:rsidR="001B34CB" w:rsidRPr="000665B0">
        <w:t>3992122</w:t>
      </w:r>
      <w:r w:rsidRPr="000665B0">
        <w:t xml:space="preserve">.” The initial numeric is a </w:t>
      </w:r>
      <w:r w:rsidRPr="000665B0">
        <w:rPr>
          <w:i/>
        </w:rPr>
        <w:t>longitude zone</w:t>
      </w:r>
      <w:r w:rsidRPr="000665B0">
        <w:t xml:space="preserve">, a number from 1 to 60, which is followed by a </w:t>
      </w:r>
      <w:r w:rsidRPr="000665B0">
        <w:rPr>
          <w:i/>
        </w:rPr>
        <w:t>hemisphere indicator</w:t>
      </w:r>
      <w:r w:rsidRPr="000665B0">
        <w:t xml:space="preserve">, either “N” or “S” or the words “North” or “South.” Following this, separated by a space, is the </w:t>
      </w:r>
      <w:r w:rsidRPr="000665B0">
        <w:rPr>
          <w:i/>
        </w:rPr>
        <w:t>easting</w:t>
      </w:r>
      <w:r w:rsidRPr="000665B0">
        <w:t xml:space="preserve">, a number of meters. Last, separated by a space, is the </w:t>
      </w:r>
      <w:r w:rsidRPr="000665B0">
        <w:rPr>
          <w:i/>
        </w:rPr>
        <w:t>northing</w:t>
      </w:r>
      <w:r w:rsidRPr="000665B0">
        <w:t>, also a number of meters.</w:t>
      </w:r>
    </w:p>
    <w:p w14:paraId="5B883D1D" w14:textId="43204DC7" w:rsidR="00BE5280" w:rsidRPr="000665B0" w:rsidRDefault="0022522C" w:rsidP="0022522C">
      <w:r w:rsidRPr="000665B0">
        <w:t>Before beginning, ensure that the alphabetic portion of the UTM coordinates that have been received is a correct hemisphere indicator (“N” or “S”). If not, the correspondent that provided the coordinates is using a non-standard variant of UTM that combines UTM zones (“N” or “S”) with MGRS latitude bands (“A-Z”). In our example, this might be “</w:t>
      </w:r>
      <w:r w:rsidR="001B34CB" w:rsidRPr="000665B0">
        <w:t>11Q 231396 3992122</w:t>
      </w:r>
      <w:r w:rsidRPr="000665B0">
        <w:t>.” Use the following table to derive the correct hemisphere indicator for input into GeoTrans.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2527"/>
      </w:tblGrid>
      <w:tr w:rsidR="00BE5280" w:rsidRPr="000665B0" w14:paraId="6B6CCBC9" w14:textId="77777777" w:rsidTr="00C63237">
        <w:trPr>
          <w:jc w:val="center"/>
        </w:trPr>
        <w:tc>
          <w:tcPr>
            <w:tcW w:w="0" w:type="auto"/>
            <w:shd w:val="clear" w:color="auto" w:fill="D9D9D9" w:themeFill="background1" w:themeFillShade="D9"/>
          </w:tcPr>
          <w:p w14:paraId="149D68B7" w14:textId="77777777" w:rsidR="00BE5280" w:rsidRPr="000665B0" w:rsidRDefault="00BE5280" w:rsidP="00A0163E">
            <w:pPr>
              <w:spacing w:before="60" w:after="60"/>
              <w:jc w:val="center"/>
              <w:rPr>
                <w:rFonts w:ascii="Arial" w:hAnsi="Arial" w:cs="Arial"/>
                <w:b/>
                <w:sz w:val="22"/>
                <w:szCs w:val="22"/>
              </w:rPr>
            </w:pPr>
            <w:r w:rsidRPr="000665B0">
              <w:rPr>
                <w:rFonts w:ascii="Arial" w:hAnsi="Arial" w:cs="Arial"/>
                <w:b/>
                <w:sz w:val="22"/>
                <w:szCs w:val="22"/>
              </w:rPr>
              <w:t>UTM Hemisphere</w:t>
            </w:r>
          </w:p>
        </w:tc>
        <w:tc>
          <w:tcPr>
            <w:tcW w:w="0" w:type="auto"/>
            <w:shd w:val="clear" w:color="auto" w:fill="D9D9D9" w:themeFill="background1" w:themeFillShade="D9"/>
          </w:tcPr>
          <w:p w14:paraId="75C6EC86" w14:textId="77777777" w:rsidR="00BE5280" w:rsidRPr="000665B0" w:rsidRDefault="00BE5280" w:rsidP="00A0163E">
            <w:pPr>
              <w:spacing w:before="60" w:after="60"/>
              <w:jc w:val="center"/>
              <w:rPr>
                <w:rFonts w:ascii="Arial" w:hAnsi="Arial" w:cs="Arial"/>
                <w:b/>
                <w:sz w:val="22"/>
                <w:szCs w:val="22"/>
              </w:rPr>
            </w:pPr>
            <w:r w:rsidRPr="000665B0">
              <w:rPr>
                <w:rFonts w:ascii="Arial" w:hAnsi="Arial" w:cs="Arial"/>
                <w:b/>
                <w:sz w:val="22"/>
                <w:szCs w:val="22"/>
              </w:rPr>
              <w:t>MGRS Latitude Bands</w:t>
            </w:r>
          </w:p>
        </w:tc>
      </w:tr>
      <w:tr w:rsidR="00BE5280" w:rsidRPr="000665B0" w14:paraId="42C7DBFD" w14:textId="77777777" w:rsidTr="00DE2ABC">
        <w:trPr>
          <w:jc w:val="center"/>
        </w:trPr>
        <w:tc>
          <w:tcPr>
            <w:tcW w:w="0" w:type="auto"/>
          </w:tcPr>
          <w:p w14:paraId="47D2C8A4" w14:textId="77777777" w:rsidR="00BE5280" w:rsidRPr="000665B0" w:rsidRDefault="00BE5280" w:rsidP="00A0163E">
            <w:pPr>
              <w:spacing w:before="60" w:after="60"/>
              <w:jc w:val="center"/>
              <w:rPr>
                <w:rFonts w:ascii="Arial" w:hAnsi="Arial" w:cs="Arial"/>
                <w:sz w:val="20"/>
              </w:rPr>
            </w:pPr>
            <w:r w:rsidRPr="000665B0">
              <w:rPr>
                <w:rFonts w:ascii="Arial" w:hAnsi="Arial" w:cs="Arial"/>
                <w:sz w:val="20"/>
              </w:rPr>
              <w:t>S</w:t>
            </w:r>
          </w:p>
        </w:tc>
        <w:tc>
          <w:tcPr>
            <w:tcW w:w="0" w:type="auto"/>
          </w:tcPr>
          <w:p w14:paraId="7C6827B2" w14:textId="77777777" w:rsidR="00BE5280" w:rsidRPr="000665B0" w:rsidRDefault="00BE5280" w:rsidP="00A0163E">
            <w:pPr>
              <w:spacing w:before="60" w:after="60"/>
              <w:jc w:val="center"/>
              <w:rPr>
                <w:rFonts w:ascii="Arial" w:hAnsi="Arial" w:cs="Arial"/>
                <w:sz w:val="20"/>
              </w:rPr>
            </w:pPr>
            <w:r w:rsidRPr="000665B0">
              <w:rPr>
                <w:rFonts w:ascii="Arial" w:hAnsi="Arial" w:cs="Arial"/>
                <w:sz w:val="20"/>
              </w:rPr>
              <w:t>A-M but not I</w:t>
            </w:r>
          </w:p>
        </w:tc>
      </w:tr>
      <w:tr w:rsidR="00BE5280" w:rsidRPr="000665B0" w14:paraId="2AA5F1DF" w14:textId="77777777" w:rsidTr="00DE2ABC">
        <w:trPr>
          <w:jc w:val="center"/>
        </w:trPr>
        <w:tc>
          <w:tcPr>
            <w:tcW w:w="0" w:type="auto"/>
          </w:tcPr>
          <w:p w14:paraId="084F4A5C" w14:textId="77777777" w:rsidR="00BE5280" w:rsidRPr="000665B0" w:rsidRDefault="00BE5280" w:rsidP="00A0163E">
            <w:pPr>
              <w:spacing w:before="60" w:after="60"/>
              <w:jc w:val="center"/>
              <w:rPr>
                <w:rFonts w:ascii="Arial" w:hAnsi="Arial" w:cs="Arial"/>
                <w:sz w:val="20"/>
              </w:rPr>
            </w:pPr>
            <w:r w:rsidRPr="000665B0">
              <w:rPr>
                <w:rFonts w:ascii="Arial" w:hAnsi="Arial" w:cs="Arial"/>
                <w:sz w:val="20"/>
              </w:rPr>
              <w:t>N</w:t>
            </w:r>
          </w:p>
        </w:tc>
        <w:tc>
          <w:tcPr>
            <w:tcW w:w="0" w:type="auto"/>
          </w:tcPr>
          <w:p w14:paraId="64E46FE8" w14:textId="77777777" w:rsidR="00BE5280" w:rsidRPr="000665B0" w:rsidRDefault="00BE5280" w:rsidP="00A0163E">
            <w:pPr>
              <w:spacing w:before="60" w:after="60"/>
              <w:jc w:val="center"/>
              <w:rPr>
                <w:rFonts w:ascii="Arial" w:hAnsi="Arial" w:cs="Arial"/>
                <w:sz w:val="20"/>
              </w:rPr>
            </w:pPr>
            <w:r w:rsidRPr="000665B0">
              <w:rPr>
                <w:rFonts w:ascii="Arial" w:hAnsi="Arial" w:cs="Arial"/>
                <w:sz w:val="20"/>
              </w:rPr>
              <w:t>N-Z but not O</w:t>
            </w:r>
          </w:p>
        </w:tc>
      </w:tr>
    </w:tbl>
    <w:p w14:paraId="3B3CC2A4" w14:textId="36FC8369" w:rsidR="0022522C" w:rsidRPr="000665B0" w:rsidRDefault="0022522C" w:rsidP="0022522C">
      <w:pPr>
        <w:spacing w:before="120"/>
      </w:pPr>
      <w:r w:rsidRPr="000665B0">
        <w:t xml:space="preserve">Caution: If the correspondent is using a non-standard variant without the MDS operator’s knowledge, it is possible to inadvertently enter the incorrect hemisphere indicator into GeoTrans. As indicated in the table above, the MGRS latitude band “S” is in the northern hemisphere. If the received coordinates bear the letter “S,” it may appear that the UTM standard is being used (where “S” indicates the southern hemisphere), even though the MGRS band is actually being used (where “S” indicates the northern hemisphere). Misinterpretation of the MGRS latitude band “S” to indicate the southern hemisphere may cause entry of the wrong hemisphere in Step 2 </w:t>
      </w:r>
      <w:r w:rsidRPr="000665B0">
        <w:lastRenderedPageBreak/>
        <w:t>below. If possible, determine the correct hemisphere from context (</w:t>
      </w:r>
      <w:r w:rsidR="003509EA" w:rsidRPr="000665B0">
        <w:t xml:space="preserve">i.e., </w:t>
      </w:r>
      <w:r w:rsidRPr="000665B0">
        <w:t>the area of MDS operation) and if possible, verify the hemisphere with the source of the coordinates.</w:t>
      </w:r>
    </w:p>
    <w:p w14:paraId="2503E41F" w14:textId="77777777" w:rsidR="0022522C" w:rsidRPr="000665B0" w:rsidRDefault="0022522C" w:rsidP="006D5A65">
      <w:pPr>
        <w:pStyle w:val="Heading1"/>
      </w:pPr>
      <w:r w:rsidRPr="000665B0">
        <w:t xml:space="preserve">Enter (or copy and paste) the UTM longitude zone number into the box labeled Zone </w:t>
      </w:r>
      <w:r w:rsidRPr="000665B0">
        <w:br/>
        <w:t>(1-60) in the upper panel.</w:t>
      </w:r>
    </w:p>
    <w:p w14:paraId="21534B3C" w14:textId="77777777" w:rsidR="0022522C" w:rsidRPr="000665B0" w:rsidRDefault="0022522C" w:rsidP="006D5A65">
      <w:pPr>
        <w:pStyle w:val="Heading1"/>
      </w:pPr>
      <w:r w:rsidRPr="000665B0">
        <w:t>Select North (N) or South (S) hemisphere using the radio buttons in the Hemisphere box of the upper panel (note cautionary information above).</w:t>
      </w:r>
    </w:p>
    <w:p w14:paraId="137A0BB3" w14:textId="77777777" w:rsidR="0022522C" w:rsidRPr="000665B0" w:rsidRDefault="0022522C" w:rsidP="006D5A65">
      <w:pPr>
        <w:pStyle w:val="Heading1"/>
      </w:pPr>
      <w:r w:rsidRPr="000665B0">
        <w:t>Enter (or copy and paste) the easting and northing values into the boxes labeled Easting / X (m) and Northing / Y (m) in the upper panel.</w:t>
      </w:r>
    </w:p>
    <w:p w14:paraId="4C1F8FC5" w14:textId="77777777" w:rsidR="0022522C" w:rsidRPr="000665B0" w:rsidRDefault="0022522C" w:rsidP="006D5A65">
      <w:pPr>
        <w:pStyle w:val="Heading1"/>
      </w:pPr>
      <w:r w:rsidRPr="000665B0">
        <w:t xml:space="preserve">Click on the green button labeled Convert Upper </w:t>
      </w:r>
      <w:r w:rsidRPr="000665B0">
        <w:sym w:font="Wingdings" w:char="F0E0"/>
      </w:r>
      <w:r w:rsidRPr="000665B0">
        <w:t xml:space="preserve"> Lower. The converted values appear in the lower panel in the boxes labeled Longitude and Latitude.</w:t>
      </w:r>
    </w:p>
    <w:p w14:paraId="71DB45D1" w14:textId="50DD1167" w:rsidR="00BE5280" w:rsidRPr="000665B0" w:rsidRDefault="001B34CB" w:rsidP="006D5A65">
      <w:pPr>
        <w:pStyle w:val="Heading1"/>
      </w:pPr>
      <w:r w:rsidRPr="000665B0">
        <w:t xml:space="preserve">When copying </w:t>
      </w:r>
      <w:r w:rsidR="0022522C" w:rsidRPr="000665B0">
        <w:t>coordinates</w:t>
      </w:r>
      <w:r w:rsidRPr="000665B0">
        <w:t xml:space="preserve"> from GeoTrans and pasting them</w:t>
      </w:r>
      <w:r w:rsidR="0022522C" w:rsidRPr="000665B0">
        <w:t xml:space="preserve"> into MDS, type over the spaces between the numbers in the pasted values, changing the spaces to dashes. Using the above example, enter </w:t>
      </w:r>
      <w:r w:rsidRPr="000665B0">
        <w:t>36</w:t>
      </w:r>
      <w:r w:rsidR="0022522C" w:rsidRPr="000665B0">
        <w:t>-</w:t>
      </w:r>
      <w:r w:rsidRPr="000665B0">
        <w:t>02</w:t>
      </w:r>
      <w:r w:rsidR="0022522C" w:rsidRPr="000665B0">
        <w:t>-</w:t>
      </w:r>
      <w:r w:rsidRPr="000665B0">
        <w:t>11.8</w:t>
      </w:r>
      <w:r w:rsidR="0022522C" w:rsidRPr="000665B0">
        <w:t xml:space="preserve">N for latitude and </w:t>
      </w:r>
      <w:r w:rsidRPr="000665B0">
        <w:t>119</w:t>
      </w:r>
      <w:r w:rsidR="0022522C" w:rsidRPr="000665B0">
        <w:t>-</w:t>
      </w:r>
      <w:r w:rsidRPr="000665B0">
        <w:t>58</w:t>
      </w:r>
      <w:r w:rsidR="0022522C" w:rsidRPr="000665B0">
        <w:t>-</w:t>
      </w:r>
      <w:r w:rsidRPr="000665B0">
        <w:t>52.4W</w:t>
      </w:r>
      <w:r w:rsidR="0022522C" w:rsidRPr="000665B0">
        <w:t xml:space="preserve"> for longitude</w:t>
      </w:r>
      <w:r w:rsidRPr="000665B0">
        <w:t xml:space="preserve"> into MDS</w:t>
      </w:r>
      <w:r w:rsidR="0022522C" w:rsidRPr="000665B0">
        <w:t>. Please note that in GeoTrans, the first (leftmost) value is longitude, whereas in MDS the first (usually topmost) value is latitude.</w:t>
      </w:r>
    </w:p>
    <w:p w14:paraId="0412472F" w14:textId="2E69A118" w:rsidR="00BE5280" w:rsidRPr="000665B0" w:rsidRDefault="00BE5280" w:rsidP="00B35EE5">
      <w:pPr>
        <w:pStyle w:val="Heading4"/>
      </w:pPr>
      <w:bookmarkStart w:id="7318" w:name="_Toc289329077"/>
      <w:r w:rsidRPr="000665B0">
        <w:t>Latitude/Longitude to UTM</w:t>
      </w:r>
      <w:bookmarkEnd w:id="7318"/>
    </w:p>
    <w:p w14:paraId="4C418B0C" w14:textId="4BF16C11" w:rsidR="00BE5280" w:rsidRPr="000665B0" w:rsidRDefault="00BE5280" w:rsidP="006D5A65">
      <w:pPr>
        <w:pStyle w:val="Heading1"/>
      </w:pPr>
      <w:r w:rsidRPr="000665B0">
        <w:t>Enter (or copy and paste) the longitude and latitude values into the boxes labeled Longitude and Latitude in the lower panel. Please note that in GeoTrans, the first (leftmost) value is longitude, whereas in MDS the first (usually topmost) value is latitude.</w:t>
      </w:r>
    </w:p>
    <w:p w14:paraId="09803550" w14:textId="1084DF4A" w:rsidR="00F405DC" w:rsidRPr="000665B0" w:rsidRDefault="00F405DC" w:rsidP="006D5A65">
      <w:pPr>
        <w:pStyle w:val="Heading1"/>
      </w:pPr>
      <w:r w:rsidRPr="000665B0">
        <w:t xml:space="preserve">If pasting coordinates </w:t>
      </w:r>
      <w:r w:rsidR="001B34CB" w:rsidRPr="000665B0">
        <w:t xml:space="preserve">that have been copied </w:t>
      </w:r>
      <w:r w:rsidRPr="000665B0">
        <w:t>from MDS (or another source with a different numeric separator than spaces), type over the dashes/separator between the numbers in the pasted values, changing the dashes/separator to spaces.</w:t>
      </w:r>
    </w:p>
    <w:p w14:paraId="1689EB66" w14:textId="07CBA53E" w:rsidR="00BE5280" w:rsidRPr="000665B0" w:rsidRDefault="00F405DC" w:rsidP="006D5A65">
      <w:pPr>
        <w:pStyle w:val="Heading1"/>
      </w:pPr>
      <w:r w:rsidRPr="000665B0">
        <w:t xml:space="preserve">Click on the green button labeled Convert Lower </w:t>
      </w:r>
      <w:r w:rsidRPr="000665B0">
        <w:sym w:font="Wingdings" w:char="F0E0"/>
      </w:r>
      <w:r w:rsidRPr="000665B0">
        <w:t xml:space="preserve"> Upper. The converted values appear in the upper panel</w:t>
      </w:r>
      <w:r w:rsidR="003068A2" w:rsidRPr="000665B0">
        <w:t xml:space="preserve"> in the boxes labeled Zone (1-60), Hemisphere, Easting / X (m), and Northing / Y (m).</w:t>
      </w:r>
    </w:p>
    <w:p w14:paraId="44185769" w14:textId="28CB0E47" w:rsidR="00BE5280" w:rsidRPr="000665B0" w:rsidRDefault="00BE5280" w:rsidP="00B35EE5">
      <w:pPr>
        <w:pStyle w:val="Heading3"/>
      </w:pPr>
      <w:bookmarkStart w:id="7319" w:name="_Toc289329078"/>
      <w:bookmarkStart w:id="7320" w:name="_Toc312332187"/>
      <w:bookmarkStart w:id="7321" w:name="_Toc214283673"/>
      <w:r w:rsidRPr="000665B0">
        <w:t>Other GeoTrans Operations</w:t>
      </w:r>
      <w:bookmarkEnd w:id="7319"/>
      <w:bookmarkEnd w:id="7320"/>
      <w:bookmarkEnd w:id="7321"/>
    </w:p>
    <w:p w14:paraId="74DE2930" w14:textId="5D8B17DA" w:rsidR="0023308C" w:rsidRPr="000665B0" w:rsidRDefault="00BE5280" w:rsidP="000C120F">
      <w:r w:rsidRPr="000665B0">
        <w:t xml:space="preserve">For assistance in determining how to perform other operations using the GeoTrans utility, please consult the GeoTrans help, accessed by selecting </w:t>
      </w:r>
      <w:r w:rsidRPr="000665B0">
        <w:rPr>
          <w:b/>
        </w:rPr>
        <w:t xml:space="preserve">Help </w:t>
      </w:r>
      <w:r w:rsidR="005004C3" w:rsidRPr="000665B0">
        <w:rPr>
          <w:b/>
        </w:rPr>
        <w:sym w:font="Wingdings" w:char="F0E0"/>
      </w:r>
      <w:r w:rsidRPr="000665B0">
        <w:rPr>
          <w:b/>
        </w:rPr>
        <w:t xml:space="preserve"> Contents</w:t>
      </w:r>
      <w:r w:rsidRPr="000665B0">
        <w:t xml:space="preserve"> from the menu bar at the top </w:t>
      </w:r>
      <w:r w:rsidR="00F405DC" w:rsidRPr="000665B0">
        <w:t xml:space="preserve">of the </w:t>
      </w:r>
      <w:r w:rsidR="003068A2" w:rsidRPr="000665B0">
        <w:rPr>
          <w:i/>
        </w:rPr>
        <w:t xml:space="preserve">MSP </w:t>
      </w:r>
      <w:r w:rsidR="00F405DC" w:rsidRPr="000665B0">
        <w:rPr>
          <w:i/>
        </w:rPr>
        <w:t>GeoTrans</w:t>
      </w:r>
      <w:r w:rsidR="00F405DC" w:rsidRPr="000665B0">
        <w:t xml:space="preserve"> window</w:t>
      </w:r>
      <w:r w:rsidRPr="000665B0">
        <w:t>.</w:t>
      </w:r>
    </w:p>
    <w:p w14:paraId="6B00F535" w14:textId="77777777" w:rsidR="00576E7F" w:rsidRPr="000665B0" w:rsidRDefault="00576E7F" w:rsidP="000C120F"/>
    <w:p w14:paraId="752E4B26" w14:textId="77777777" w:rsidR="00A316EA" w:rsidRDefault="00A316EA" w:rsidP="00E300C3">
      <w:pPr>
        <w:pStyle w:val="BodyText"/>
        <w:spacing w:after="120"/>
      </w:pPr>
      <w:r>
        <w:lastRenderedPageBreak/>
        <w:br w:type="page"/>
      </w:r>
    </w:p>
    <w:p w14:paraId="0D823B2E" w14:textId="7A5998CE" w:rsidR="005D1A26" w:rsidRPr="000665B0" w:rsidRDefault="009319FE" w:rsidP="006D5A65">
      <w:pPr>
        <w:pStyle w:val="Heading1"/>
      </w:pPr>
      <w:bookmarkStart w:id="7322" w:name="_Appendix_A_Acronyms/Definitions"/>
      <w:bookmarkStart w:id="7323" w:name="Appendix_A"/>
      <w:bookmarkStart w:id="7324" w:name="_Toc96170370"/>
      <w:bookmarkStart w:id="7325" w:name="_Toc96234415"/>
      <w:bookmarkStart w:id="7326" w:name="_Toc112733871"/>
      <w:bookmarkStart w:id="7327" w:name="_Toc289329079"/>
      <w:bookmarkStart w:id="7328" w:name="_Toc312332188"/>
      <w:bookmarkStart w:id="7329" w:name="_Hlk59694585"/>
      <w:bookmarkEnd w:id="7322"/>
      <w:bookmarkEnd w:id="7323"/>
      <w:r w:rsidRPr="000665B0">
        <w:lastRenderedPageBreak/>
        <w:br/>
      </w:r>
      <w:bookmarkStart w:id="7330" w:name="_Toc214283674"/>
      <w:r w:rsidRPr="000665B0">
        <w:t>ACRONYMS/DEFINITIONS OF ACRONYMS</w:t>
      </w:r>
      <w:bookmarkEnd w:id="7324"/>
      <w:bookmarkEnd w:id="7325"/>
      <w:bookmarkEnd w:id="7326"/>
      <w:bookmarkEnd w:id="7327"/>
      <w:bookmarkEnd w:id="7328"/>
      <w:bookmarkEnd w:id="7330"/>
    </w:p>
    <w:p w14:paraId="77A4CAB3" w14:textId="77777777" w:rsidR="00A92F7C" w:rsidRPr="000665B0" w:rsidRDefault="00A92F7C" w:rsidP="00083213">
      <w:pPr>
        <w:ind w:left="2880" w:hanging="2880"/>
      </w:pPr>
      <w:bookmarkStart w:id="7331" w:name="_Appendix_B_GLOSSARY"/>
      <w:bookmarkEnd w:id="7331"/>
      <w:r w:rsidRPr="000665B0">
        <w:t>A2AD</w:t>
      </w:r>
      <w:r w:rsidRPr="000665B0">
        <w:tab/>
      </w:r>
      <w:r w:rsidRPr="000665B0">
        <w:rPr>
          <w:rFonts w:cs="Calibri"/>
          <w:szCs w:val="24"/>
        </w:rPr>
        <w:t>Anti-Access/Area Denial</w:t>
      </w:r>
      <w:r w:rsidRPr="000665B0">
        <w:t xml:space="preserve"> </w:t>
      </w:r>
    </w:p>
    <w:p w14:paraId="582505D6" w14:textId="08013CE0" w:rsidR="00402DF6" w:rsidRPr="000665B0" w:rsidRDefault="00402DF6" w:rsidP="00083213">
      <w:pPr>
        <w:ind w:left="2880" w:hanging="2880"/>
      </w:pPr>
      <w:r w:rsidRPr="000665B0">
        <w:t>A/ITO</w:t>
      </w:r>
      <w:r w:rsidRPr="000665B0">
        <w:tab/>
        <w:t>Air/Integrated Tasking Orders</w:t>
      </w:r>
    </w:p>
    <w:p w14:paraId="1F5DD071" w14:textId="77777777" w:rsidR="00402DF6" w:rsidRPr="000665B0" w:rsidRDefault="00402DF6" w:rsidP="00402DF6">
      <w:pPr>
        <w:ind w:left="2880" w:hanging="2880"/>
      </w:pPr>
      <w:r w:rsidRPr="000665B0">
        <w:t>A/N</w:t>
      </w:r>
      <w:r w:rsidRPr="000665B0">
        <w:tab/>
        <w:t>Alpha</w:t>
      </w:r>
      <w:r w:rsidR="00EB6E3F" w:rsidRPr="000665B0">
        <w:t>n</w:t>
      </w:r>
      <w:r w:rsidRPr="000665B0">
        <w:t>umeric</w:t>
      </w:r>
    </w:p>
    <w:p w14:paraId="6D122F87" w14:textId="77777777" w:rsidR="00D866A9" w:rsidRPr="000665B0" w:rsidRDefault="00D866A9" w:rsidP="00402DF6">
      <w:pPr>
        <w:ind w:left="2880" w:hanging="2880"/>
      </w:pPr>
      <w:r w:rsidRPr="000665B0">
        <w:tab/>
        <w:t>or</w:t>
      </w:r>
    </w:p>
    <w:p w14:paraId="6DB63BE3" w14:textId="77777777" w:rsidR="00074332" w:rsidRPr="000665B0" w:rsidRDefault="00074332" w:rsidP="00074332">
      <w:pPr>
        <w:ind w:left="2880" w:hanging="2880"/>
      </w:pPr>
      <w:r w:rsidRPr="000665B0">
        <w:tab/>
        <w:t>Army/Navy</w:t>
      </w:r>
    </w:p>
    <w:p w14:paraId="3EC50D1E" w14:textId="77777777" w:rsidR="00F016AA" w:rsidRPr="000665B0" w:rsidRDefault="00F016AA" w:rsidP="009D3D97">
      <w:pPr>
        <w:ind w:left="2880" w:hanging="2880"/>
      </w:pPr>
      <w:r w:rsidRPr="000665B0">
        <w:t>AA</w:t>
      </w:r>
      <w:r w:rsidRPr="000665B0">
        <w:tab/>
        <w:t>Anti-Air</w:t>
      </w:r>
    </w:p>
    <w:p w14:paraId="03245866" w14:textId="289520A6" w:rsidR="009D3D97" w:rsidRPr="000665B0" w:rsidRDefault="009D3D97" w:rsidP="009D3D97">
      <w:pPr>
        <w:ind w:left="2880" w:hanging="2880"/>
      </w:pPr>
      <w:r w:rsidRPr="000665B0">
        <w:t>AAA</w:t>
      </w:r>
      <w:r w:rsidRPr="000665B0">
        <w:tab/>
        <w:t>Anti-Aircraft Artillery</w:t>
      </w:r>
    </w:p>
    <w:p w14:paraId="245FE7F2" w14:textId="77777777" w:rsidR="009D3D97" w:rsidRPr="000665B0" w:rsidRDefault="009D3D97" w:rsidP="00402DF6">
      <w:pPr>
        <w:ind w:left="2880" w:hanging="2880"/>
      </w:pPr>
      <w:r w:rsidRPr="000665B0">
        <w:t>AAFS</w:t>
      </w:r>
      <w:r w:rsidRPr="000665B0">
        <w:tab/>
        <w:t>Activate Arabic Form Shaping</w:t>
      </w:r>
    </w:p>
    <w:p w14:paraId="77F68D06" w14:textId="77777777" w:rsidR="00E44C87" w:rsidRPr="000665B0" w:rsidRDefault="00E44C87" w:rsidP="00402DF6">
      <w:pPr>
        <w:pStyle w:val="Acronym"/>
        <w:spacing w:before="0" w:after="120"/>
        <w:rPr>
          <w:szCs w:val="24"/>
        </w:rPr>
      </w:pPr>
      <w:r w:rsidRPr="000665B0">
        <w:rPr>
          <w:szCs w:val="24"/>
        </w:rPr>
        <w:t>ACA</w:t>
      </w:r>
      <w:r w:rsidRPr="000665B0">
        <w:rPr>
          <w:szCs w:val="24"/>
        </w:rPr>
        <w:tab/>
        <w:t>Advanced Communication Architecture</w:t>
      </w:r>
    </w:p>
    <w:p w14:paraId="488D187D" w14:textId="77777777" w:rsidR="00402DF6" w:rsidRPr="000665B0" w:rsidRDefault="00402DF6" w:rsidP="00402DF6">
      <w:pPr>
        <w:pStyle w:val="Acronym"/>
        <w:spacing w:before="0" w:after="120"/>
        <w:rPr>
          <w:szCs w:val="24"/>
        </w:rPr>
      </w:pPr>
      <w:r w:rsidRPr="000665B0">
        <w:rPr>
          <w:szCs w:val="24"/>
        </w:rPr>
        <w:t>ACM</w:t>
      </w:r>
      <w:r w:rsidRPr="000665B0">
        <w:rPr>
          <w:szCs w:val="24"/>
        </w:rPr>
        <w:tab/>
        <w:t>Airspace Control Measure</w:t>
      </w:r>
    </w:p>
    <w:p w14:paraId="67F1503F" w14:textId="77777777" w:rsidR="0048586E" w:rsidRPr="000665B0" w:rsidRDefault="0048586E" w:rsidP="00402DF6">
      <w:pPr>
        <w:pStyle w:val="Acronym"/>
        <w:spacing w:before="0" w:after="120"/>
      </w:pPr>
      <w:r w:rsidRPr="000665B0">
        <w:t>ACMS</w:t>
      </w:r>
      <w:r w:rsidRPr="000665B0">
        <w:tab/>
        <w:t>Airspace Control Measures Structures</w:t>
      </w:r>
    </w:p>
    <w:p w14:paraId="2FA05CC0" w14:textId="77777777" w:rsidR="00402DF6" w:rsidRPr="000665B0" w:rsidRDefault="00402DF6" w:rsidP="00402DF6">
      <w:pPr>
        <w:pStyle w:val="Acronym"/>
        <w:spacing w:before="0" w:after="120"/>
        <w:rPr>
          <w:szCs w:val="24"/>
        </w:rPr>
      </w:pPr>
      <w:r w:rsidRPr="000665B0">
        <w:rPr>
          <w:szCs w:val="24"/>
        </w:rPr>
        <w:t>ACMS-D</w:t>
      </w:r>
      <w:r w:rsidRPr="000665B0">
        <w:rPr>
          <w:szCs w:val="24"/>
        </w:rPr>
        <w:tab/>
        <w:t>ACMS Delete</w:t>
      </w:r>
    </w:p>
    <w:p w14:paraId="11EA45F7" w14:textId="77777777" w:rsidR="00402DF6" w:rsidRPr="000665B0" w:rsidRDefault="00402DF6" w:rsidP="00402DF6">
      <w:pPr>
        <w:pStyle w:val="Acronym"/>
        <w:spacing w:before="0" w:after="120"/>
        <w:rPr>
          <w:szCs w:val="24"/>
        </w:rPr>
      </w:pPr>
      <w:r w:rsidRPr="000665B0">
        <w:rPr>
          <w:szCs w:val="24"/>
        </w:rPr>
        <w:t>ACMS-R</w:t>
      </w:r>
      <w:r w:rsidRPr="000665B0">
        <w:rPr>
          <w:szCs w:val="24"/>
        </w:rPr>
        <w:tab/>
        <w:t>ACMS Report</w:t>
      </w:r>
    </w:p>
    <w:p w14:paraId="638AC6B5" w14:textId="77777777" w:rsidR="00402DF6" w:rsidRDefault="00402DF6" w:rsidP="00402DF6">
      <w:pPr>
        <w:ind w:left="2880" w:hanging="2880"/>
      </w:pPr>
      <w:r w:rsidRPr="000665B0">
        <w:t>ACO</w:t>
      </w:r>
      <w:r w:rsidRPr="000665B0">
        <w:tab/>
        <w:t xml:space="preserve">Airspace Control Orders </w:t>
      </w:r>
    </w:p>
    <w:p w14:paraId="78AEC376" w14:textId="550ACD14" w:rsidR="008455BB" w:rsidRDefault="008455BB" w:rsidP="00402DF6">
      <w:pPr>
        <w:ind w:left="2880" w:hanging="2880"/>
      </w:pPr>
      <w:r>
        <w:t>ACP</w:t>
      </w:r>
      <w:r>
        <w:tab/>
        <w:t>Advanced Communications Package</w:t>
      </w:r>
    </w:p>
    <w:p w14:paraId="52765F38" w14:textId="57369976" w:rsidR="00D34CAC" w:rsidRPr="000665B0" w:rsidRDefault="00D34CAC" w:rsidP="00402DF6">
      <w:pPr>
        <w:ind w:left="2880" w:hanging="2880"/>
      </w:pPr>
      <w:r>
        <w:t>ACP2</w:t>
      </w:r>
      <w:r>
        <w:tab/>
        <w:t>Advanced Communications Package 2</w:t>
      </w:r>
    </w:p>
    <w:p w14:paraId="0943CB4F" w14:textId="26689260" w:rsidR="007564D4" w:rsidRPr="000665B0" w:rsidRDefault="007564D4" w:rsidP="00402DF6">
      <w:pPr>
        <w:ind w:left="2880" w:hanging="2880"/>
      </w:pPr>
      <w:r w:rsidRPr="000665B0">
        <w:t>AFD</w:t>
      </w:r>
      <w:r w:rsidRPr="000665B0">
        <w:tab/>
        <w:t>Assumed Friendly</w:t>
      </w:r>
    </w:p>
    <w:p w14:paraId="5AE5203E" w14:textId="77777777" w:rsidR="00452153" w:rsidRPr="000665B0" w:rsidRDefault="00452153" w:rsidP="00402DF6">
      <w:pPr>
        <w:ind w:left="2880" w:hanging="2880"/>
      </w:pPr>
      <w:r w:rsidRPr="000665B0">
        <w:t>AFS</w:t>
      </w:r>
      <w:r w:rsidRPr="000665B0">
        <w:tab/>
        <w:t>All Following Ships</w:t>
      </w:r>
    </w:p>
    <w:p w14:paraId="4FBE4196" w14:textId="2312DA8B" w:rsidR="00402DF6" w:rsidRPr="000665B0" w:rsidRDefault="00402DF6" w:rsidP="00402DF6">
      <w:pPr>
        <w:ind w:left="2880" w:hanging="2880"/>
      </w:pPr>
      <w:r w:rsidRPr="000665B0">
        <w:t>AGL</w:t>
      </w:r>
      <w:r w:rsidRPr="000665B0">
        <w:tab/>
        <w:t>Above Ground Level</w:t>
      </w:r>
    </w:p>
    <w:p w14:paraId="50E70004" w14:textId="77777777" w:rsidR="003C6AE5" w:rsidRPr="000665B0" w:rsidRDefault="003C6AE5" w:rsidP="00074332">
      <w:pPr>
        <w:ind w:left="2880" w:hanging="2880"/>
      </w:pPr>
      <w:r w:rsidRPr="000665B0">
        <w:t>AGR</w:t>
      </w:r>
      <w:r w:rsidRPr="000665B0">
        <w:tab/>
      </w:r>
      <w:r w:rsidR="00CA4323" w:rsidRPr="000665B0">
        <w:t>Anti-Jam GPS Receiver</w:t>
      </w:r>
    </w:p>
    <w:p w14:paraId="254746E5" w14:textId="46A9ABC9" w:rsidR="008679CF" w:rsidRPr="000665B0" w:rsidRDefault="008679CF" w:rsidP="00074332">
      <w:pPr>
        <w:ind w:left="2880" w:hanging="2880"/>
      </w:pPr>
      <w:r w:rsidRPr="000665B0">
        <w:t>AGR-3</w:t>
      </w:r>
      <w:r w:rsidRPr="000665B0">
        <w:tab/>
      </w:r>
      <w:r w:rsidR="000B465F" w:rsidRPr="000665B0">
        <w:t>Anti-Jam GPS Receiver Block III</w:t>
      </w:r>
    </w:p>
    <w:p w14:paraId="2E774651" w14:textId="4D17CE04" w:rsidR="002C32AA" w:rsidRPr="000665B0" w:rsidRDefault="002C32AA" w:rsidP="00074332">
      <w:pPr>
        <w:ind w:left="2880" w:hanging="2880"/>
      </w:pPr>
      <w:r w:rsidRPr="000665B0">
        <w:t>AGR-4</w:t>
      </w:r>
      <w:r w:rsidRPr="000665B0">
        <w:tab/>
        <w:t>Anti-Jam GPS Receiver Block IV</w:t>
      </w:r>
    </w:p>
    <w:p w14:paraId="1FAA7CE8" w14:textId="0D39DB31" w:rsidR="008679CF" w:rsidRPr="000665B0" w:rsidRDefault="008679CF" w:rsidP="00074332">
      <w:pPr>
        <w:ind w:left="2880" w:hanging="2880"/>
      </w:pPr>
      <w:r w:rsidRPr="000665B0">
        <w:t>AGR-5</w:t>
      </w:r>
      <w:r w:rsidRPr="000665B0">
        <w:tab/>
      </w:r>
      <w:r w:rsidR="000B465F" w:rsidRPr="000665B0">
        <w:t>Anti-Jam GPS Receiver Block V</w:t>
      </w:r>
    </w:p>
    <w:p w14:paraId="2BC372B7" w14:textId="77777777" w:rsidR="007564D4" w:rsidRPr="000665B0" w:rsidRDefault="007564D4" w:rsidP="00074332">
      <w:pPr>
        <w:ind w:left="2880" w:hanging="2880"/>
      </w:pPr>
      <w:r w:rsidRPr="000665B0">
        <w:t>AIR</w:t>
      </w:r>
      <w:r w:rsidRPr="000665B0">
        <w:tab/>
        <w:t>Aircraft</w:t>
      </w:r>
    </w:p>
    <w:p w14:paraId="48F88234" w14:textId="110945B2" w:rsidR="00074332" w:rsidRPr="000665B0" w:rsidRDefault="00074332" w:rsidP="00074332">
      <w:pPr>
        <w:ind w:left="2880" w:hanging="2880"/>
      </w:pPr>
      <w:r w:rsidRPr="000665B0">
        <w:t>ALAC</w:t>
      </w:r>
      <w:r w:rsidRPr="000665B0">
        <w:tab/>
        <w:t>Alternat</w:t>
      </w:r>
      <w:r w:rsidR="00EB6E3F" w:rsidRPr="000665B0">
        <w:t>e</w:t>
      </w:r>
      <w:r w:rsidR="00D00926" w:rsidRPr="000665B0">
        <w:t xml:space="preserve"> LAC</w:t>
      </w:r>
    </w:p>
    <w:p w14:paraId="5EE9CC43" w14:textId="77777777" w:rsidR="007564D4" w:rsidRPr="000665B0" w:rsidRDefault="007564D4" w:rsidP="00402DF6">
      <w:pPr>
        <w:ind w:left="2880" w:hanging="2880"/>
        <w:rPr>
          <w:bCs/>
        </w:rPr>
      </w:pPr>
      <w:r w:rsidRPr="000665B0">
        <w:rPr>
          <w:bCs/>
        </w:rPr>
        <w:t>AMBG</w:t>
      </w:r>
      <w:r w:rsidRPr="000665B0">
        <w:rPr>
          <w:bCs/>
        </w:rPr>
        <w:tab/>
        <w:t>Ambiguous</w:t>
      </w:r>
    </w:p>
    <w:p w14:paraId="00A7DC30" w14:textId="282CEF6C" w:rsidR="00402DF6" w:rsidRPr="000665B0" w:rsidRDefault="00402DF6" w:rsidP="00402DF6">
      <w:pPr>
        <w:ind w:left="2880" w:hanging="2880"/>
      </w:pPr>
      <w:r w:rsidRPr="000665B0">
        <w:rPr>
          <w:bCs/>
        </w:rPr>
        <w:t>AMDTO</w:t>
      </w:r>
      <w:r w:rsidRPr="000665B0">
        <w:rPr>
          <w:bCs/>
        </w:rPr>
        <w:tab/>
      </w:r>
      <w:r w:rsidRPr="000665B0">
        <w:t>Automated MDTO</w:t>
      </w:r>
    </w:p>
    <w:p w14:paraId="42B6C201" w14:textId="77777777" w:rsidR="00402DF6" w:rsidRPr="000665B0" w:rsidRDefault="00402DF6" w:rsidP="00402DF6">
      <w:pPr>
        <w:ind w:left="2880" w:hanging="2880"/>
      </w:pPr>
      <w:r w:rsidRPr="000665B0">
        <w:t>AOI</w:t>
      </w:r>
      <w:r w:rsidRPr="000665B0">
        <w:tab/>
        <w:t>Area of Interest</w:t>
      </w:r>
    </w:p>
    <w:p w14:paraId="68ABD949" w14:textId="6D35953A" w:rsidR="00FF01A6" w:rsidRPr="000665B0" w:rsidRDefault="00FF01A6" w:rsidP="00074332">
      <w:pPr>
        <w:ind w:left="2880" w:hanging="2880"/>
      </w:pPr>
      <w:r w:rsidRPr="000665B0">
        <w:t>AOR</w:t>
      </w:r>
      <w:r w:rsidRPr="000665B0">
        <w:tab/>
        <w:t>Area of Responsibility</w:t>
      </w:r>
    </w:p>
    <w:p w14:paraId="488E8509" w14:textId="10787B5B" w:rsidR="00CC19E4" w:rsidRPr="000665B0" w:rsidRDefault="00CC19E4" w:rsidP="00074332">
      <w:pPr>
        <w:ind w:left="2880" w:hanging="2880"/>
      </w:pPr>
      <w:r w:rsidRPr="000665B0">
        <w:t>AOU</w:t>
      </w:r>
      <w:r w:rsidRPr="000665B0">
        <w:tab/>
        <w:t>Area of Uncertainty</w:t>
      </w:r>
    </w:p>
    <w:p w14:paraId="783D6C6A" w14:textId="129A67D8" w:rsidR="002A3EF6" w:rsidRPr="000665B0" w:rsidRDefault="002A3EF6" w:rsidP="00074332">
      <w:pPr>
        <w:ind w:left="2880" w:hanging="2880"/>
      </w:pPr>
      <w:r w:rsidRPr="000665B0">
        <w:lastRenderedPageBreak/>
        <w:t>AP</w:t>
      </w:r>
      <w:r w:rsidRPr="000665B0">
        <w:tab/>
        <w:t>A</w:t>
      </w:r>
      <w:r w:rsidR="00284254" w:rsidRPr="000665B0">
        <w:t>ction P</w:t>
      </w:r>
      <w:r w:rsidRPr="000665B0">
        <w:t>oint</w:t>
      </w:r>
    </w:p>
    <w:p w14:paraId="677511D2" w14:textId="77777777" w:rsidR="002A3EF6" w:rsidRPr="000665B0" w:rsidRDefault="002A3EF6" w:rsidP="00074332">
      <w:pPr>
        <w:ind w:left="2880" w:hanging="2880"/>
      </w:pPr>
      <w:r w:rsidRPr="000665B0">
        <w:tab/>
        <w:t>or</w:t>
      </w:r>
    </w:p>
    <w:p w14:paraId="1139941C" w14:textId="77777777" w:rsidR="002A3EF6" w:rsidRPr="000665B0" w:rsidRDefault="002A3EF6" w:rsidP="00074332">
      <w:pPr>
        <w:ind w:left="2880" w:hanging="2880"/>
      </w:pPr>
      <w:r w:rsidRPr="000665B0">
        <w:tab/>
      </w:r>
      <w:r w:rsidR="00284254" w:rsidRPr="000665B0">
        <w:t>Aimp</w:t>
      </w:r>
      <w:r w:rsidRPr="000665B0">
        <w:t>oint</w:t>
      </w:r>
    </w:p>
    <w:p w14:paraId="3EC42BBE" w14:textId="1BEA8E71" w:rsidR="00DE3928" w:rsidRPr="000665B0" w:rsidRDefault="00DE3928" w:rsidP="00074332">
      <w:pPr>
        <w:ind w:left="2880" w:hanging="2880"/>
      </w:pPr>
      <w:r w:rsidRPr="000665B0">
        <w:tab/>
        <w:t>or</w:t>
      </w:r>
    </w:p>
    <w:p w14:paraId="7D17F591" w14:textId="712F38F9" w:rsidR="00DE3928" w:rsidRPr="000665B0" w:rsidRDefault="00DE3928" w:rsidP="00074332">
      <w:pPr>
        <w:ind w:left="2880" w:hanging="2880"/>
      </w:pPr>
      <w:r w:rsidRPr="000665B0">
        <w:tab/>
        <w:t>Attack Plan</w:t>
      </w:r>
    </w:p>
    <w:p w14:paraId="742FBF34" w14:textId="597D4143" w:rsidR="00475D59" w:rsidRPr="000665B0" w:rsidRDefault="00475D59" w:rsidP="00074332">
      <w:pPr>
        <w:ind w:left="2880" w:hanging="2880"/>
      </w:pPr>
      <w:r w:rsidRPr="000665B0">
        <w:t>APFC</w:t>
      </w:r>
      <w:r w:rsidRPr="000665B0">
        <w:tab/>
        <w:t>Algorithm Parameter File</w:t>
      </w:r>
    </w:p>
    <w:p w14:paraId="7ED597DE" w14:textId="53475FB7" w:rsidR="00FA579C" w:rsidRPr="000665B0" w:rsidRDefault="00FA579C" w:rsidP="00074332">
      <w:pPr>
        <w:ind w:left="2880" w:hanging="2880"/>
      </w:pPr>
      <w:r w:rsidRPr="000665B0">
        <w:t>APM</w:t>
      </w:r>
      <w:r w:rsidRPr="000665B0">
        <w:tab/>
        <w:t xml:space="preserve">Attack Plan Mission </w:t>
      </w:r>
    </w:p>
    <w:p w14:paraId="68F3C272" w14:textId="63302CBD" w:rsidR="00074332" w:rsidRPr="000665B0" w:rsidRDefault="00074332" w:rsidP="00074332">
      <w:pPr>
        <w:ind w:left="2880" w:hanging="2880"/>
      </w:pPr>
      <w:r w:rsidRPr="000665B0">
        <w:t>APO</w:t>
      </w:r>
      <w:r w:rsidRPr="000665B0">
        <w:tab/>
        <w:t>Alternat</w:t>
      </w:r>
      <w:r w:rsidR="00EB6E3F" w:rsidRPr="000665B0">
        <w:t>e</w:t>
      </w:r>
      <w:r w:rsidRPr="000665B0">
        <w:t xml:space="preserve"> Planning Organization</w:t>
      </w:r>
    </w:p>
    <w:p w14:paraId="122C3160" w14:textId="77777777" w:rsidR="006E133F" w:rsidRPr="000665B0" w:rsidRDefault="006E133F" w:rsidP="00402DF6">
      <w:pPr>
        <w:pStyle w:val="Acronym"/>
        <w:spacing w:before="0" w:after="120"/>
        <w:rPr>
          <w:szCs w:val="24"/>
        </w:rPr>
      </w:pPr>
      <w:r w:rsidRPr="000665B0">
        <w:rPr>
          <w:szCs w:val="24"/>
        </w:rPr>
        <w:t>APSN</w:t>
      </w:r>
      <w:r w:rsidRPr="000665B0">
        <w:rPr>
          <w:szCs w:val="24"/>
        </w:rPr>
        <w:tab/>
      </w:r>
      <w:r w:rsidRPr="000665B0">
        <w:t>Attack Plan Sequence Number</w:t>
      </w:r>
      <w:r w:rsidRPr="000665B0">
        <w:rPr>
          <w:szCs w:val="24"/>
        </w:rPr>
        <w:t xml:space="preserve"> </w:t>
      </w:r>
    </w:p>
    <w:p w14:paraId="6A778C2B" w14:textId="37A7FFB7" w:rsidR="00402DF6" w:rsidRPr="000665B0" w:rsidRDefault="00402DF6" w:rsidP="009D0EB3">
      <w:pPr>
        <w:pStyle w:val="Acronym"/>
        <w:spacing w:before="0" w:after="120"/>
        <w:rPr>
          <w:szCs w:val="24"/>
        </w:rPr>
      </w:pPr>
      <w:r w:rsidRPr="000665B0">
        <w:rPr>
          <w:szCs w:val="24"/>
        </w:rPr>
        <w:t>ARC</w:t>
      </w:r>
      <w:r w:rsidRPr="000665B0">
        <w:rPr>
          <w:szCs w:val="24"/>
        </w:rPr>
        <w:tab/>
        <w:t>Equal Arc-Second Raster Chart/Map</w:t>
      </w:r>
    </w:p>
    <w:p w14:paraId="07493806" w14:textId="77777777" w:rsidR="00D71E17" w:rsidRPr="000665B0" w:rsidRDefault="00D71E17" w:rsidP="00402DF6">
      <w:pPr>
        <w:ind w:left="2880" w:hanging="2880"/>
      </w:pPr>
      <w:r w:rsidRPr="000665B0">
        <w:t>ARS</w:t>
      </w:r>
      <w:r w:rsidRPr="000665B0">
        <w:tab/>
        <w:t>Auto Ready Spare</w:t>
      </w:r>
    </w:p>
    <w:p w14:paraId="1EF6EEF6" w14:textId="77777777" w:rsidR="00074332" w:rsidRPr="000665B0" w:rsidRDefault="00074332" w:rsidP="00402DF6">
      <w:pPr>
        <w:ind w:left="2880" w:hanging="2880"/>
      </w:pPr>
      <w:r w:rsidRPr="000665B0">
        <w:t>ASC</w:t>
      </w:r>
      <w:r w:rsidRPr="000665B0">
        <w:tab/>
      </w:r>
      <w:r w:rsidR="00761180" w:rsidRPr="000665B0">
        <w:t>Alternate Strike Controller</w:t>
      </w:r>
    </w:p>
    <w:p w14:paraId="023A105D" w14:textId="77777777" w:rsidR="00402DF6" w:rsidRPr="000665B0" w:rsidRDefault="00402DF6" w:rsidP="00402DF6">
      <w:pPr>
        <w:ind w:left="2880" w:hanging="2880"/>
      </w:pPr>
      <w:r w:rsidRPr="000665B0">
        <w:t>ASCII</w:t>
      </w:r>
      <w:r w:rsidRPr="000665B0">
        <w:tab/>
        <w:t>American Standard Code for Information Interchange</w:t>
      </w:r>
    </w:p>
    <w:p w14:paraId="08926DB8" w14:textId="77777777" w:rsidR="0039354C" w:rsidRPr="000665B0" w:rsidRDefault="0039354C" w:rsidP="00402DF6">
      <w:pPr>
        <w:ind w:left="2880" w:hanging="2880"/>
      </w:pPr>
      <w:r w:rsidRPr="000665B0">
        <w:t>ASDIR</w:t>
      </w:r>
      <w:r w:rsidRPr="000665B0">
        <w:tab/>
      </w:r>
      <w:r w:rsidR="00761180" w:rsidRPr="000665B0">
        <w:t>As Directed</w:t>
      </w:r>
    </w:p>
    <w:p w14:paraId="7487EC95" w14:textId="77777777" w:rsidR="0039354C" w:rsidRPr="000665B0" w:rsidRDefault="0039354C" w:rsidP="00402DF6">
      <w:pPr>
        <w:ind w:left="2880" w:hanging="2880"/>
      </w:pPr>
      <w:r w:rsidRPr="000665B0">
        <w:t>ASN</w:t>
      </w:r>
      <w:r w:rsidRPr="000665B0">
        <w:tab/>
      </w:r>
      <w:r w:rsidR="00CA4323" w:rsidRPr="000665B0">
        <w:t>Aimpoint Sequence Number</w:t>
      </w:r>
    </w:p>
    <w:p w14:paraId="1EB1C157" w14:textId="77777777" w:rsidR="00402DF6" w:rsidRPr="00C97B43" w:rsidRDefault="00402DF6" w:rsidP="00402DF6">
      <w:pPr>
        <w:ind w:left="2880" w:hanging="2880"/>
      </w:pPr>
      <w:r w:rsidRPr="00C97B43">
        <w:t>ASRP</w:t>
      </w:r>
      <w:r w:rsidRPr="00C97B43">
        <w:tab/>
        <w:t>ARC Standard Raster Product</w:t>
      </w:r>
    </w:p>
    <w:p w14:paraId="564B90B8" w14:textId="4B60E012" w:rsidR="000B6F1A" w:rsidRPr="00C97B43" w:rsidRDefault="009251DD" w:rsidP="00402DF6">
      <w:pPr>
        <w:ind w:left="2880" w:hanging="2880"/>
      </w:pPr>
      <w:r w:rsidRPr="00C97B43">
        <w:t>ASS</w:t>
      </w:r>
      <w:r w:rsidRPr="00C97B43">
        <w:tab/>
        <w:t>Activate Symmetric Swapping</w:t>
      </w:r>
    </w:p>
    <w:p w14:paraId="127113F5" w14:textId="4A3E0F25" w:rsidR="001A69D3" w:rsidRPr="00C97B43" w:rsidRDefault="001A69D3" w:rsidP="00402DF6">
      <w:pPr>
        <w:ind w:left="2880" w:hanging="2880"/>
      </w:pPr>
      <w:r w:rsidRPr="00C97B43">
        <w:t>ATSC</w:t>
      </w:r>
      <w:r w:rsidRPr="00C97B43">
        <w:tab/>
        <w:t>Alternate Tomahawk Strike Coordinator</w:t>
      </w:r>
    </w:p>
    <w:p w14:paraId="7DD8247A" w14:textId="77777777" w:rsidR="00402DF6" w:rsidRPr="000665B0" w:rsidRDefault="00402DF6" w:rsidP="00402DF6">
      <w:pPr>
        <w:ind w:left="2880" w:hanging="2880"/>
      </w:pPr>
      <w:r w:rsidRPr="00C97B43">
        <w:t>ATO</w:t>
      </w:r>
      <w:r w:rsidRPr="00C97B43">
        <w:tab/>
        <w:t>Air Tasking Order</w:t>
      </w:r>
    </w:p>
    <w:p w14:paraId="58146B63" w14:textId="77777777" w:rsidR="00402DF6" w:rsidRPr="000665B0" w:rsidRDefault="00402DF6" w:rsidP="00402DF6">
      <w:pPr>
        <w:pStyle w:val="Acronym"/>
        <w:spacing w:before="0" w:after="120"/>
        <w:rPr>
          <w:szCs w:val="24"/>
        </w:rPr>
      </w:pPr>
      <w:r w:rsidRPr="000665B0">
        <w:rPr>
          <w:szCs w:val="24"/>
        </w:rPr>
        <w:t>AU</w:t>
      </w:r>
      <w:r w:rsidRPr="000665B0">
        <w:rPr>
          <w:szCs w:val="24"/>
        </w:rPr>
        <w:tab/>
        <w:t>Aimpoint Update</w:t>
      </w:r>
    </w:p>
    <w:p w14:paraId="22689FD1" w14:textId="77777777" w:rsidR="00402DF6" w:rsidRPr="000665B0" w:rsidRDefault="00402DF6" w:rsidP="00402DF6">
      <w:pPr>
        <w:ind w:left="2880" w:hanging="2880"/>
      </w:pPr>
      <w:r w:rsidRPr="000665B0">
        <w:t>AUR</w:t>
      </w:r>
      <w:r w:rsidRPr="000665B0">
        <w:tab/>
        <w:t>All-Up</w:t>
      </w:r>
      <w:r w:rsidR="00836603" w:rsidRPr="000665B0">
        <w:t xml:space="preserve"> </w:t>
      </w:r>
      <w:r w:rsidRPr="000665B0">
        <w:t>Round</w:t>
      </w:r>
    </w:p>
    <w:p w14:paraId="22C7C927" w14:textId="77777777" w:rsidR="009353A3" w:rsidRPr="000665B0" w:rsidRDefault="009353A3" w:rsidP="00402DF6">
      <w:pPr>
        <w:ind w:left="2880" w:hanging="2880"/>
      </w:pPr>
      <w:r w:rsidRPr="000665B0">
        <w:t>AV</w:t>
      </w:r>
      <w:r w:rsidRPr="000665B0">
        <w:tab/>
        <w:t>AntiVirus</w:t>
      </w:r>
    </w:p>
    <w:p w14:paraId="657CA7CB" w14:textId="77777777" w:rsidR="00A0019E" w:rsidRPr="000665B0" w:rsidRDefault="00A0019E" w:rsidP="00402DF6">
      <w:pPr>
        <w:ind w:left="2880" w:hanging="2880"/>
      </w:pPr>
      <w:r w:rsidRPr="000665B0">
        <w:t>AVL</w:t>
      </w:r>
      <w:r w:rsidRPr="000665B0">
        <w:tab/>
      </w:r>
      <w:r w:rsidR="00EB6E3F" w:rsidRPr="000665B0">
        <w:t xml:space="preserve">Available </w:t>
      </w:r>
      <w:r w:rsidR="009C7E2B" w:rsidRPr="000665B0">
        <w:t>Missile</w:t>
      </w:r>
      <w:r w:rsidR="00EB6E3F" w:rsidRPr="000665B0">
        <w:t xml:space="preserve"> Count</w:t>
      </w:r>
    </w:p>
    <w:p w14:paraId="2B31D9D9" w14:textId="77777777" w:rsidR="00A077AB" w:rsidRPr="000665B0" w:rsidRDefault="00A077AB" w:rsidP="00402DF6">
      <w:pPr>
        <w:ind w:left="2880" w:hanging="2880"/>
      </w:pPr>
      <w:r w:rsidRPr="000665B0">
        <w:t>AWCS</w:t>
      </w:r>
      <w:r w:rsidRPr="000665B0">
        <w:tab/>
        <w:t>Attack Weapons Control System</w:t>
      </w:r>
    </w:p>
    <w:p w14:paraId="7A3E13A6" w14:textId="327F24C3" w:rsidR="00A0019E" w:rsidRPr="000665B0" w:rsidRDefault="00A0019E" w:rsidP="00402DF6">
      <w:pPr>
        <w:ind w:left="2880" w:hanging="2880"/>
      </w:pPr>
      <w:r w:rsidRPr="000665B0">
        <w:t>B</w:t>
      </w:r>
      <w:r w:rsidRPr="000665B0">
        <w:tab/>
      </w:r>
      <w:r w:rsidR="00EB6E3F" w:rsidRPr="000665B0">
        <w:t>Backup</w:t>
      </w:r>
    </w:p>
    <w:p w14:paraId="3A84BFA4" w14:textId="77777777" w:rsidR="00D71E17" w:rsidRPr="000665B0" w:rsidRDefault="00D71E17" w:rsidP="00402DF6">
      <w:pPr>
        <w:ind w:left="2880" w:hanging="2880"/>
      </w:pPr>
      <w:r w:rsidRPr="000665B0">
        <w:t>BAP</w:t>
      </w:r>
      <w:r w:rsidRPr="000665B0">
        <w:tab/>
        <w:t>Branch Action Point</w:t>
      </w:r>
    </w:p>
    <w:p w14:paraId="11B8C5A1" w14:textId="77777777" w:rsidR="007C1ACE" w:rsidRPr="000665B0" w:rsidRDefault="007C1ACE" w:rsidP="00C47042">
      <w:pPr>
        <w:ind w:left="2880" w:hanging="2880"/>
      </w:pPr>
      <w:r w:rsidRPr="000665B0">
        <w:t>BCP</w:t>
      </w:r>
      <w:r w:rsidRPr="000665B0">
        <w:tab/>
        <w:t>Bulk Copy Program</w:t>
      </w:r>
    </w:p>
    <w:p w14:paraId="78827D2A" w14:textId="77777777" w:rsidR="00C47042" w:rsidRPr="000665B0" w:rsidRDefault="00402DF6" w:rsidP="00C47042">
      <w:pPr>
        <w:ind w:left="2880" w:hanging="2880"/>
      </w:pPr>
      <w:r w:rsidRPr="000665B0">
        <w:t>BDA</w:t>
      </w:r>
      <w:r w:rsidRPr="000665B0">
        <w:tab/>
        <w:t>Battle Damage Assessment</w:t>
      </w:r>
    </w:p>
    <w:p w14:paraId="41089FA1" w14:textId="77777777" w:rsidR="00402DF6" w:rsidRPr="000665B0" w:rsidRDefault="00A209B7" w:rsidP="00C47042">
      <w:pPr>
        <w:ind w:left="2880" w:hanging="2880"/>
      </w:pPr>
      <w:r w:rsidRPr="000665B0">
        <w:t>BDI</w:t>
      </w:r>
      <w:r w:rsidR="00402DF6" w:rsidRPr="000665B0">
        <w:tab/>
        <w:t>Battle Damage Indication</w:t>
      </w:r>
    </w:p>
    <w:p w14:paraId="02E0C892" w14:textId="77777777" w:rsidR="00402DF6" w:rsidRPr="000665B0" w:rsidRDefault="00402DF6" w:rsidP="00402DF6">
      <w:pPr>
        <w:ind w:left="2880" w:hanging="2880"/>
      </w:pPr>
      <w:r w:rsidRPr="000665B0">
        <w:t>BE</w:t>
      </w:r>
      <w:r w:rsidRPr="000665B0">
        <w:tab/>
        <w:t>Basic Encyclopedia</w:t>
      </w:r>
    </w:p>
    <w:p w14:paraId="047B3DCB" w14:textId="77777777" w:rsidR="00651D01" w:rsidRPr="000665B0" w:rsidRDefault="00651D01" w:rsidP="00402DF6">
      <w:pPr>
        <w:ind w:left="2880" w:hanging="2880"/>
      </w:pPr>
      <w:r w:rsidRPr="000665B0">
        <w:t>BIT</w:t>
      </w:r>
      <w:r w:rsidR="00CA4323" w:rsidRPr="000665B0">
        <w:tab/>
        <w:t>Built-In Test</w:t>
      </w:r>
    </w:p>
    <w:p w14:paraId="06FE436F" w14:textId="59163287" w:rsidR="00A0019E" w:rsidRDefault="00A0019E" w:rsidP="00402DF6">
      <w:pPr>
        <w:ind w:left="2880" w:hanging="2880"/>
      </w:pPr>
      <w:r w:rsidRPr="000665B0">
        <w:t>BLK</w:t>
      </w:r>
      <w:r w:rsidRPr="000665B0">
        <w:tab/>
      </w:r>
      <w:r w:rsidR="00CA4323" w:rsidRPr="000665B0">
        <w:t>Block</w:t>
      </w:r>
    </w:p>
    <w:p w14:paraId="439D3F68" w14:textId="75F4548A" w:rsidR="000D5AC6" w:rsidRPr="000665B0" w:rsidRDefault="000D5AC6" w:rsidP="00402DF6">
      <w:pPr>
        <w:ind w:left="2880" w:hanging="2880"/>
      </w:pPr>
      <w:r>
        <w:lastRenderedPageBreak/>
        <w:t>BOC</w:t>
      </w:r>
      <w:r>
        <w:tab/>
        <w:t>Battery Operation Center</w:t>
      </w:r>
    </w:p>
    <w:p w14:paraId="002BF9F1" w14:textId="77777777" w:rsidR="00A0019E" w:rsidRPr="000665B0" w:rsidRDefault="00D71E17" w:rsidP="00402DF6">
      <w:pPr>
        <w:ind w:left="2880" w:hanging="2880"/>
      </w:pPr>
      <w:r w:rsidRPr="000665B0">
        <w:t>BP</w:t>
      </w:r>
      <w:r w:rsidRPr="000665B0">
        <w:tab/>
      </w:r>
      <w:r w:rsidR="00CA4323" w:rsidRPr="000665B0">
        <w:t>Back</w:t>
      </w:r>
      <w:r w:rsidR="00D00926" w:rsidRPr="000665B0">
        <w:t>up Pool</w:t>
      </w:r>
    </w:p>
    <w:p w14:paraId="32204EF2" w14:textId="77777777" w:rsidR="000C7A8D" w:rsidRPr="000665B0" w:rsidRDefault="000C7A8D" w:rsidP="00402DF6">
      <w:pPr>
        <w:ind w:left="2880" w:hanging="2880"/>
      </w:pPr>
      <w:r w:rsidRPr="000665B0">
        <w:t>BUP</w:t>
      </w:r>
      <w:r w:rsidRPr="000665B0">
        <w:tab/>
      </w:r>
      <w:r w:rsidR="00C4367F" w:rsidRPr="000665B0">
        <w:t>Backup Mission</w:t>
      </w:r>
    </w:p>
    <w:p w14:paraId="1C815CD4" w14:textId="77777777" w:rsidR="00402DF6" w:rsidRPr="000665B0" w:rsidRDefault="00402DF6" w:rsidP="00402DF6">
      <w:pPr>
        <w:ind w:left="2880" w:hanging="2880"/>
      </w:pPr>
      <w:r w:rsidRPr="000665B0">
        <w:t>C2</w:t>
      </w:r>
      <w:r w:rsidRPr="000665B0">
        <w:tab/>
        <w:t>Command and Control</w:t>
      </w:r>
    </w:p>
    <w:p w14:paraId="5C93068E" w14:textId="77777777" w:rsidR="00FC3AA0" w:rsidRPr="000665B0" w:rsidRDefault="00FC3AA0" w:rsidP="00FC3AA0">
      <w:pPr>
        <w:ind w:left="2880" w:hanging="2880"/>
      </w:pPr>
      <w:r w:rsidRPr="000665B0">
        <w:t>C7F</w:t>
      </w:r>
      <w:r w:rsidRPr="000665B0">
        <w:tab/>
        <w:t>Commander Seventh Fleet</w:t>
      </w:r>
    </w:p>
    <w:p w14:paraId="1DEA410A" w14:textId="77777777" w:rsidR="00074332" w:rsidRPr="000665B0" w:rsidRDefault="00074332" w:rsidP="00402DF6">
      <w:pPr>
        <w:ind w:left="2880" w:hanging="2880"/>
      </w:pPr>
      <w:r w:rsidRPr="000665B0">
        <w:t>CA</w:t>
      </w:r>
      <w:r w:rsidRPr="000665B0">
        <w:tab/>
        <w:t>Command Authority</w:t>
      </w:r>
    </w:p>
    <w:p w14:paraId="3ECDD355" w14:textId="77777777" w:rsidR="00402DF6" w:rsidRPr="000665B0" w:rsidRDefault="00402DF6" w:rsidP="00402DF6">
      <w:pPr>
        <w:ind w:left="2880" w:hanging="2880"/>
      </w:pPr>
      <w:r w:rsidRPr="000665B0">
        <w:t>CADRG</w:t>
      </w:r>
      <w:r w:rsidRPr="000665B0">
        <w:tab/>
        <w:t>Compressed ARC Digitized Raster Graphics</w:t>
      </w:r>
    </w:p>
    <w:p w14:paraId="79312E48" w14:textId="77777777" w:rsidR="00402DF6" w:rsidRPr="000665B0" w:rsidRDefault="00402DF6" w:rsidP="00402DF6">
      <w:pPr>
        <w:ind w:left="2880" w:hanging="2880"/>
      </w:pPr>
      <w:r w:rsidRPr="000665B0">
        <w:t>CALA</w:t>
      </w:r>
      <w:r w:rsidRPr="000665B0">
        <w:tab/>
        <w:t>Composite Allowable Launch Area</w:t>
      </w:r>
    </w:p>
    <w:p w14:paraId="1FBE4BB0" w14:textId="261AF913" w:rsidR="00475D59" w:rsidRPr="000665B0" w:rsidRDefault="00475D59" w:rsidP="00402DF6">
      <w:pPr>
        <w:ind w:left="2880" w:hanging="2880"/>
      </w:pPr>
      <w:r w:rsidRPr="000665B0">
        <w:t>CBPS</w:t>
      </w:r>
      <w:r w:rsidRPr="000665B0">
        <w:tab/>
        <w:t>Seeker Software Manifest Configuration</w:t>
      </w:r>
    </w:p>
    <w:p w14:paraId="6EC96827" w14:textId="02AC1C17" w:rsidR="00402DF6" w:rsidRPr="000665B0" w:rsidRDefault="00402DF6" w:rsidP="00402DF6">
      <w:pPr>
        <w:ind w:left="2880" w:hanging="2880"/>
      </w:pPr>
      <w:r w:rsidRPr="000665B0">
        <w:t>CCS</w:t>
      </w:r>
      <w:r w:rsidRPr="000665B0">
        <w:tab/>
        <w:t>Combat Control System</w:t>
      </w:r>
    </w:p>
    <w:p w14:paraId="3FADA4DE" w14:textId="77777777" w:rsidR="00E13BF8" w:rsidRPr="000665B0" w:rsidRDefault="00E13BF8" w:rsidP="00402DF6">
      <w:pPr>
        <w:ind w:left="2880" w:hanging="2880"/>
      </w:pPr>
      <w:r w:rsidRPr="000665B0">
        <w:t>CDRL</w:t>
      </w:r>
      <w:r w:rsidRPr="000665B0">
        <w:tab/>
        <w:t>Contract Data Requirements List</w:t>
      </w:r>
    </w:p>
    <w:p w14:paraId="039AA681" w14:textId="77777777" w:rsidR="00074332" w:rsidRPr="000665B0" w:rsidRDefault="00074332" w:rsidP="00402DF6">
      <w:pPr>
        <w:ind w:left="2880" w:hanging="2880"/>
      </w:pPr>
      <w:r w:rsidRPr="000665B0">
        <w:t>CE</w:t>
      </w:r>
      <w:r w:rsidRPr="000665B0">
        <w:tab/>
        <w:t xml:space="preserve">Circular Error </w:t>
      </w:r>
    </w:p>
    <w:p w14:paraId="5EF24BC6" w14:textId="77777777" w:rsidR="00EB6E3F" w:rsidRPr="000665B0" w:rsidRDefault="00EB6E3F" w:rsidP="00402DF6">
      <w:pPr>
        <w:ind w:left="2880" w:hanging="2880"/>
      </w:pPr>
      <w:r w:rsidRPr="000665B0">
        <w:tab/>
        <w:t>or</w:t>
      </w:r>
    </w:p>
    <w:p w14:paraId="1051CB84" w14:textId="77777777" w:rsidR="00EB6E3F" w:rsidRPr="000665B0" w:rsidRDefault="00EB6E3F" w:rsidP="00402DF6">
      <w:pPr>
        <w:ind w:left="2880" w:hanging="2880"/>
      </w:pPr>
      <w:r w:rsidRPr="000665B0">
        <w:tab/>
        <w:t>Cylindrical Equidistant</w:t>
      </w:r>
    </w:p>
    <w:p w14:paraId="2CF93F9A" w14:textId="77777777" w:rsidR="00402DF6" w:rsidRPr="000665B0" w:rsidRDefault="00402DF6" w:rsidP="00402DF6">
      <w:pPr>
        <w:ind w:left="2880" w:hanging="2880"/>
      </w:pPr>
      <w:r w:rsidRPr="000665B0">
        <w:t>CEP</w:t>
      </w:r>
      <w:r w:rsidRPr="000665B0">
        <w:tab/>
        <w:t>Circular Error Probable</w:t>
      </w:r>
    </w:p>
    <w:p w14:paraId="7109B6B5" w14:textId="77777777" w:rsidR="00402DF6" w:rsidRPr="000665B0" w:rsidRDefault="00402DF6" w:rsidP="00402DF6">
      <w:pPr>
        <w:ind w:left="2880" w:hanging="2880"/>
      </w:pPr>
      <w:r w:rsidRPr="000665B0">
        <w:t>CFF</w:t>
      </w:r>
      <w:r w:rsidRPr="000665B0">
        <w:tab/>
        <w:t>Call For Fire</w:t>
      </w:r>
    </w:p>
    <w:p w14:paraId="1CB32DB3" w14:textId="7409E5A5" w:rsidR="00402DF6" w:rsidRPr="000665B0" w:rsidRDefault="00402DF6" w:rsidP="00402DF6">
      <w:pPr>
        <w:ind w:left="2880" w:hanging="2880"/>
      </w:pPr>
      <w:r w:rsidRPr="000665B0">
        <w:t>CG</w:t>
      </w:r>
      <w:r w:rsidRPr="000665B0">
        <w:tab/>
      </w:r>
      <w:r w:rsidR="00A4483C" w:rsidRPr="000665B0">
        <w:t>Guided Missile</w:t>
      </w:r>
      <w:r w:rsidR="00FD00CA">
        <w:t xml:space="preserve"> Cruiser</w:t>
      </w:r>
      <w:r w:rsidR="00CB0FB8">
        <w:t>s</w:t>
      </w:r>
    </w:p>
    <w:p w14:paraId="20ECEDE4" w14:textId="77777777" w:rsidR="00A66906" w:rsidRPr="000665B0" w:rsidRDefault="00A66906" w:rsidP="00402DF6">
      <w:pPr>
        <w:ind w:left="2880" w:hanging="2880"/>
        <w:rPr>
          <w:szCs w:val="24"/>
        </w:rPr>
      </w:pPr>
      <w:r w:rsidRPr="000665B0">
        <w:rPr>
          <w:szCs w:val="24"/>
        </w:rPr>
        <w:t>CGS</w:t>
      </w:r>
      <w:r w:rsidRPr="000665B0">
        <w:rPr>
          <w:szCs w:val="24"/>
        </w:rPr>
        <w:tab/>
        <w:t>Common Geopositioning Services</w:t>
      </w:r>
    </w:p>
    <w:p w14:paraId="3C6F10B5" w14:textId="77777777" w:rsidR="00402DF6" w:rsidRPr="000665B0" w:rsidRDefault="00402DF6" w:rsidP="00402DF6">
      <w:pPr>
        <w:ind w:left="2880" w:hanging="2880"/>
      </w:pPr>
      <w:r w:rsidRPr="000665B0">
        <w:rPr>
          <w:szCs w:val="24"/>
        </w:rPr>
        <w:t>CIB</w:t>
      </w:r>
      <w:r w:rsidRPr="000665B0">
        <w:rPr>
          <w:szCs w:val="24"/>
        </w:rPr>
        <w:tab/>
        <w:t>Controlled Image Base</w:t>
      </w:r>
    </w:p>
    <w:p w14:paraId="0BE0B12B" w14:textId="77777777" w:rsidR="00402DF6" w:rsidRPr="000665B0" w:rsidRDefault="00402DF6" w:rsidP="00402DF6">
      <w:pPr>
        <w:ind w:left="2880" w:hanging="2880"/>
      </w:pPr>
      <w:r w:rsidRPr="000665B0">
        <w:t>CIC</w:t>
      </w:r>
      <w:r w:rsidRPr="000665B0">
        <w:tab/>
        <w:t>Combat Information Center</w:t>
      </w:r>
    </w:p>
    <w:p w14:paraId="45F9880D" w14:textId="77777777" w:rsidR="00651D01" w:rsidRPr="000665B0" w:rsidRDefault="00651D01" w:rsidP="00402DF6">
      <w:pPr>
        <w:ind w:left="2880" w:hanging="2880"/>
      </w:pPr>
      <w:r w:rsidRPr="000665B0">
        <w:t>CINC</w:t>
      </w:r>
      <w:r w:rsidR="00B17969" w:rsidRPr="000665B0">
        <w:tab/>
      </w:r>
      <w:r w:rsidR="00FC4845" w:rsidRPr="000665B0">
        <w:t>Commander in Chief</w:t>
      </w:r>
    </w:p>
    <w:p w14:paraId="10E534DD" w14:textId="77777777" w:rsidR="00402DF6" w:rsidRPr="000665B0" w:rsidRDefault="00402DF6" w:rsidP="00402DF6">
      <w:pPr>
        <w:ind w:left="2880" w:hanging="2880"/>
      </w:pPr>
      <w:r w:rsidRPr="000665B0">
        <w:t>CLS</w:t>
      </w:r>
      <w:r w:rsidRPr="000665B0">
        <w:tab/>
        <w:t>Capsule Launch System</w:t>
      </w:r>
    </w:p>
    <w:p w14:paraId="4429C978" w14:textId="77777777" w:rsidR="00074332" w:rsidRPr="000665B0" w:rsidRDefault="00074332" w:rsidP="00402DF6">
      <w:pPr>
        <w:ind w:left="2880" w:hanging="2880"/>
      </w:pPr>
      <w:r w:rsidRPr="000665B0">
        <w:t>CMARS</w:t>
      </w:r>
      <w:r w:rsidRPr="000665B0">
        <w:tab/>
        <w:t>Cruise Missile Autonomous Routing System</w:t>
      </w:r>
    </w:p>
    <w:p w14:paraId="1222C981" w14:textId="77777777" w:rsidR="00402DF6" w:rsidRPr="000665B0" w:rsidRDefault="00402DF6" w:rsidP="00402DF6">
      <w:pPr>
        <w:ind w:left="2880" w:hanging="2880"/>
      </w:pPr>
      <w:r w:rsidRPr="000665B0">
        <w:t>CMD</w:t>
      </w:r>
      <w:r w:rsidRPr="000665B0">
        <w:tab/>
        <w:t>Command</w:t>
      </w:r>
    </w:p>
    <w:p w14:paraId="5B990339" w14:textId="77777777" w:rsidR="00402DF6" w:rsidRPr="000665B0" w:rsidRDefault="00402DF6" w:rsidP="00402DF6">
      <w:pPr>
        <w:ind w:left="2880" w:hanging="2880"/>
      </w:pPr>
      <w:r w:rsidRPr="000665B0">
        <w:t>CMDO</w:t>
      </w:r>
      <w:r w:rsidRPr="000665B0">
        <w:tab/>
      </w:r>
      <w:r w:rsidRPr="000665B0">
        <w:rPr>
          <w:szCs w:val="24"/>
        </w:rPr>
        <w:t>Conventional Mission Distribution Order</w:t>
      </w:r>
    </w:p>
    <w:p w14:paraId="181D85BD" w14:textId="77777777" w:rsidR="00402DF6" w:rsidRPr="000665B0" w:rsidRDefault="00402DF6" w:rsidP="00402DF6">
      <w:pPr>
        <w:ind w:left="2880" w:hanging="2880"/>
      </w:pPr>
      <w:r w:rsidRPr="000665B0">
        <w:t>CMGS</w:t>
      </w:r>
      <w:r w:rsidRPr="000665B0">
        <w:tab/>
        <w:t>Cruise Missile Guidance System</w:t>
      </w:r>
    </w:p>
    <w:p w14:paraId="3FA069F1" w14:textId="77777777" w:rsidR="00402DF6" w:rsidRPr="000665B0" w:rsidRDefault="00402DF6" w:rsidP="00402DF6">
      <w:pPr>
        <w:ind w:left="2880" w:hanging="2880"/>
      </w:pPr>
      <w:r w:rsidRPr="000665B0">
        <w:t>CMSA</w:t>
      </w:r>
      <w:r w:rsidRPr="000665B0">
        <w:tab/>
        <w:t>Cruise Missile Support Activity</w:t>
      </w:r>
    </w:p>
    <w:p w14:paraId="0E9B0E93" w14:textId="7D0515A4" w:rsidR="00FC3AA0" w:rsidRPr="000665B0" w:rsidRDefault="00FC3AA0" w:rsidP="00FC3AA0">
      <w:pPr>
        <w:ind w:left="2880" w:hanging="2880"/>
      </w:pPr>
      <w:r w:rsidRPr="000665B0">
        <w:t>CMSA LANT</w:t>
      </w:r>
      <w:r w:rsidRPr="000665B0">
        <w:tab/>
        <w:t>CMSA Atlantic</w:t>
      </w:r>
    </w:p>
    <w:p w14:paraId="03AF8011" w14:textId="1EAEDF2A" w:rsidR="00FC3AA0" w:rsidRPr="000665B0" w:rsidRDefault="00FC3AA0" w:rsidP="00FC3AA0">
      <w:pPr>
        <w:ind w:left="2880" w:hanging="2880"/>
      </w:pPr>
      <w:r w:rsidRPr="000665B0">
        <w:t>CMSA PAC</w:t>
      </w:r>
      <w:r w:rsidRPr="000665B0">
        <w:tab/>
        <w:t>CMSA Pacific</w:t>
      </w:r>
    </w:p>
    <w:p w14:paraId="080D2AEE" w14:textId="7ED0BD40" w:rsidR="00402DF6" w:rsidRPr="000665B0" w:rsidRDefault="00402DF6" w:rsidP="00FC3AA0">
      <w:pPr>
        <w:ind w:left="2880" w:hanging="2880"/>
      </w:pPr>
      <w:r w:rsidRPr="000665B0">
        <w:t>COMMS</w:t>
      </w:r>
      <w:r w:rsidRPr="000665B0">
        <w:tab/>
        <w:t>Communications</w:t>
      </w:r>
    </w:p>
    <w:p w14:paraId="7C34A0E8" w14:textId="77777777" w:rsidR="00402DF6" w:rsidRPr="000665B0" w:rsidRDefault="00402DF6" w:rsidP="00402DF6">
      <w:pPr>
        <w:pStyle w:val="Acronym"/>
        <w:spacing w:before="0" w:after="120"/>
        <w:rPr>
          <w:szCs w:val="24"/>
        </w:rPr>
      </w:pPr>
      <w:r w:rsidRPr="000665B0">
        <w:rPr>
          <w:szCs w:val="24"/>
        </w:rPr>
        <w:t>COMSEC</w:t>
      </w:r>
      <w:r w:rsidRPr="000665B0">
        <w:rPr>
          <w:szCs w:val="24"/>
        </w:rPr>
        <w:tab/>
        <w:t>Communications Security</w:t>
      </w:r>
    </w:p>
    <w:p w14:paraId="0A0DEA2F" w14:textId="77777777" w:rsidR="00651D01" w:rsidRPr="000665B0" w:rsidRDefault="00651D01" w:rsidP="00402DF6">
      <w:pPr>
        <w:pStyle w:val="Acronym"/>
        <w:spacing w:before="0" w:after="120"/>
        <w:rPr>
          <w:szCs w:val="24"/>
        </w:rPr>
      </w:pPr>
      <w:r w:rsidRPr="000665B0">
        <w:rPr>
          <w:szCs w:val="24"/>
        </w:rPr>
        <w:t>CONUS</w:t>
      </w:r>
      <w:r w:rsidR="00CA4323" w:rsidRPr="000665B0">
        <w:rPr>
          <w:szCs w:val="24"/>
        </w:rPr>
        <w:tab/>
        <w:t>Continental United States</w:t>
      </w:r>
    </w:p>
    <w:p w14:paraId="1DDACDCC" w14:textId="77777777" w:rsidR="00402DF6" w:rsidRPr="000665B0" w:rsidRDefault="00402DF6" w:rsidP="00402DF6">
      <w:pPr>
        <w:ind w:left="2880" w:hanging="2880"/>
      </w:pPr>
      <w:r w:rsidRPr="000665B0">
        <w:lastRenderedPageBreak/>
        <w:t>COTS</w:t>
      </w:r>
      <w:r w:rsidRPr="000665B0">
        <w:tab/>
        <w:t>Commercial Off The Shelf</w:t>
      </w:r>
    </w:p>
    <w:p w14:paraId="6E15CB52" w14:textId="77777777" w:rsidR="006F7488" w:rsidRPr="000665B0" w:rsidRDefault="006F7488" w:rsidP="006F7488">
      <w:pPr>
        <w:ind w:left="2880" w:hanging="2880"/>
      </w:pPr>
      <w:r w:rsidRPr="000665B0">
        <w:t>COUNTRYDB</w:t>
      </w:r>
      <w:r w:rsidRPr="000665B0">
        <w:tab/>
        <w:t>Country Database</w:t>
      </w:r>
    </w:p>
    <w:p w14:paraId="2B4688A1" w14:textId="29CA8E86" w:rsidR="00475D59" w:rsidRPr="000665B0" w:rsidRDefault="00475D59" w:rsidP="00402DF6">
      <w:pPr>
        <w:pStyle w:val="Acronym"/>
        <w:spacing w:before="0" w:after="120"/>
        <w:rPr>
          <w:szCs w:val="24"/>
        </w:rPr>
      </w:pPr>
      <w:r w:rsidRPr="000665B0">
        <w:rPr>
          <w:szCs w:val="24"/>
        </w:rPr>
        <w:t>CPFW</w:t>
      </w:r>
      <w:r w:rsidRPr="000665B0">
        <w:rPr>
          <w:szCs w:val="24"/>
        </w:rPr>
        <w:tab/>
      </w:r>
      <w:r w:rsidRPr="000665B0">
        <w:t>Co-Processor Firmware</w:t>
      </w:r>
    </w:p>
    <w:p w14:paraId="350CECDF" w14:textId="615C416B" w:rsidR="00475D59" w:rsidRPr="000665B0" w:rsidRDefault="00475D59" w:rsidP="00402DF6">
      <w:pPr>
        <w:pStyle w:val="Acronym"/>
        <w:spacing w:before="0" w:after="120"/>
        <w:rPr>
          <w:szCs w:val="24"/>
        </w:rPr>
      </w:pPr>
      <w:r w:rsidRPr="000665B0">
        <w:rPr>
          <w:szCs w:val="24"/>
        </w:rPr>
        <w:t>CPTS</w:t>
      </w:r>
      <w:r w:rsidRPr="000665B0">
        <w:rPr>
          <w:szCs w:val="24"/>
        </w:rPr>
        <w:tab/>
      </w:r>
      <w:r w:rsidRPr="000665B0">
        <w:t>Seeker Future Capability Software</w:t>
      </w:r>
    </w:p>
    <w:p w14:paraId="5525FC2D" w14:textId="366E0043" w:rsidR="00402DF6" w:rsidRPr="000665B0" w:rsidRDefault="00402DF6" w:rsidP="00402DF6">
      <w:pPr>
        <w:pStyle w:val="Acronym"/>
        <w:spacing w:before="0" w:after="120"/>
        <w:rPr>
          <w:szCs w:val="24"/>
        </w:rPr>
      </w:pPr>
      <w:r w:rsidRPr="000665B0">
        <w:rPr>
          <w:szCs w:val="24"/>
        </w:rPr>
        <w:t>CRC</w:t>
      </w:r>
      <w:r w:rsidRPr="000665B0">
        <w:rPr>
          <w:szCs w:val="24"/>
        </w:rPr>
        <w:tab/>
        <w:t>Cyclic Redundancy Check</w:t>
      </w:r>
    </w:p>
    <w:p w14:paraId="2D484010" w14:textId="77777777" w:rsidR="00AB5AD5" w:rsidRPr="000665B0" w:rsidRDefault="00AB5AD5" w:rsidP="00AB5AD5">
      <w:pPr>
        <w:pStyle w:val="Acronym"/>
        <w:spacing w:before="0" w:after="120"/>
      </w:pPr>
      <w:r w:rsidRPr="000665B0">
        <w:rPr>
          <w:szCs w:val="24"/>
        </w:rPr>
        <w:t>CRD</w:t>
      </w:r>
      <w:r w:rsidRPr="000665B0">
        <w:rPr>
          <w:szCs w:val="24"/>
        </w:rPr>
        <w:tab/>
      </w:r>
      <w:r w:rsidRPr="000665B0">
        <w:t xml:space="preserve">Common Route Definition </w:t>
      </w:r>
    </w:p>
    <w:p w14:paraId="47CE6700" w14:textId="77777777" w:rsidR="00496A8E" w:rsidRPr="000665B0" w:rsidRDefault="00496A8E" w:rsidP="00AB5AD5">
      <w:pPr>
        <w:pStyle w:val="Acronym"/>
        <w:spacing w:before="0" w:after="120"/>
        <w:rPr>
          <w:szCs w:val="24"/>
        </w:rPr>
      </w:pPr>
      <w:r w:rsidRPr="000665B0">
        <w:rPr>
          <w:szCs w:val="24"/>
        </w:rPr>
        <w:t>CSG</w:t>
      </w:r>
      <w:r w:rsidRPr="000665B0">
        <w:rPr>
          <w:szCs w:val="24"/>
        </w:rPr>
        <w:tab/>
        <w:t>Carrier Strike Group</w:t>
      </w:r>
    </w:p>
    <w:p w14:paraId="47E6FEE6" w14:textId="7F61D351" w:rsidR="009F5697" w:rsidRPr="000665B0" w:rsidRDefault="009F5697" w:rsidP="00194F3C">
      <w:pPr>
        <w:pStyle w:val="Acronym"/>
        <w:spacing w:before="0" w:after="120"/>
        <w:rPr>
          <w:szCs w:val="24"/>
        </w:rPr>
      </w:pPr>
      <w:r w:rsidRPr="000665B0">
        <w:rPr>
          <w:szCs w:val="24"/>
        </w:rPr>
        <w:t>CST ID</w:t>
      </w:r>
      <w:r w:rsidRPr="000665B0">
        <w:rPr>
          <w:szCs w:val="24"/>
        </w:rPr>
        <w:tab/>
        <w:t>Console Selected Track Unique Identifier</w:t>
      </w:r>
    </w:p>
    <w:p w14:paraId="734FFBF7" w14:textId="511C5B4A" w:rsidR="009E67A1" w:rsidRPr="000665B0" w:rsidRDefault="009E67A1" w:rsidP="00194F3C">
      <w:pPr>
        <w:pStyle w:val="Acronym"/>
        <w:spacing w:before="0" w:after="120"/>
        <w:rPr>
          <w:szCs w:val="24"/>
        </w:rPr>
      </w:pPr>
      <w:r w:rsidRPr="000665B0">
        <w:rPr>
          <w:szCs w:val="24"/>
        </w:rPr>
        <w:t>CTN</w:t>
      </w:r>
      <w:r w:rsidRPr="000665B0">
        <w:rPr>
          <w:szCs w:val="24"/>
        </w:rPr>
        <w:tab/>
      </w:r>
      <w:r w:rsidR="00C4367F" w:rsidRPr="000665B0">
        <w:rPr>
          <w:szCs w:val="24"/>
        </w:rPr>
        <w:t>Certified Training Node</w:t>
      </w:r>
    </w:p>
    <w:p w14:paraId="5E821F26" w14:textId="77777777" w:rsidR="00402DF6" w:rsidRPr="000665B0" w:rsidRDefault="00402DF6" w:rsidP="00402DF6">
      <w:pPr>
        <w:ind w:left="2880" w:hanging="2880"/>
        <w:rPr>
          <w:szCs w:val="24"/>
        </w:rPr>
      </w:pPr>
      <w:r w:rsidRPr="000665B0">
        <w:t>CTOPS</w:t>
      </w:r>
      <w:r w:rsidRPr="000665B0">
        <w:tab/>
        <w:t xml:space="preserve">Cruise Missile </w:t>
      </w:r>
      <w:r w:rsidR="00B843DA" w:rsidRPr="000665B0">
        <w:t xml:space="preserve">Mission Planning </w:t>
      </w:r>
      <w:r w:rsidRPr="000665B0">
        <w:t xml:space="preserve">Training and </w:t>
      </w:r>
      <w:r w:rsidR="00B843DA" w:rsidRPr="000665B0">
        <w:t xml:space="preserve">Operating </w:t>
      </w:r>
      <w:r w:rsidRPr="000665B0">
        <w:t>Procedures Standardization</w:t>
      </w:r>
    </w:p>
    <w:p w14:paraId="40F1EEB7" w14:textId="77777777" w:rsidR="00521797" w:rsidRPr="000665B0" w:rsidRDefault="00521797" w:rsidP="00AB5AD5">
      <w:pPr>
        <w:ind w:left="2880" w:hanging="2880"/>
      </w:pPr>
      <w:r w:rsidRPr="000665B0">
        <w:t>DA</w:t>
      </w:r>
      <w:r w:rsidRPr="000665B0">
        <w:tab/>
        <w:t>Domain Application</w:t>
      </w:r>
    </w:p>
    <w:p w14:paraId="1C5FAA44" w14:textId="77777777" w:rsidR="00AB5AD5" w:rsidRPr="000665B0" w:rsidRDefault="00AB5AD5" w:rsidP="00AB5AD5">
      <w:pPr>
        <w:ind w:left="2880" w:hanging="2880"/>
        <w:rPr>
          <w:szCs w:val="24"/>
        </w:rPr>
      </w:pPr>
      <w:r w:rsidRPr="000665B0">
        <w:t>DAMA</w:t>
      </w:r>
      <w:r w:rsidRPr="000665B0">
        <w:tab/>
        <w:t>Demand Assigned Multiple Access</w:t>
      </w:r>
    </w:p>
    <w:p w14:paraId="1D13A6A2" w14:textId="77777777" w:rsidR="00651D01" w:rsidRPr="000665B0" w:rsidRDefault="00651D01" w:rsidP="00402DF6">
      <w:pPr>
        <w:ind w:left="2880" w:hanging="2880"/>
      </w:pPr>
      <w:r w:rsidRPr="000665B0">
        <w:t>DB</w:t>
      </w:r>
      <w:r w:rsidRPr="000665B0">
        <w:tab/>
        <w:t>Database</w:t>
      </w:r>
    </w:p>
    <w:p w14:paraId="23EA7856" w14:textId="77777777" w:rsidR="00402DF6" w:rsidRPr="000665B0" w:rsidRDefault="00402DF6" w:rsidP="00402DF6">
      <w:pPr>
        <w:ind w:left="2880" w:hanging="2880"/>
      </w:pPr>
      <w:r w:rsidRPr="000665B0">
        <w:t>DBRI</w:t>
      </w:r>
      <w:r w:rsidRPr="000665B0">
        <w:tab/>
        <w:t>Database Receipt and Incorporation</w:t>
      </w:r>
    </w:p>
    <w:p w14:paraId="75174BB6" w14:textId="77777777" w:rsidR="0062424B" w:rsidRPr="000665B0" w:rsidRDefault="0062424B" w:rsidP="0062424B">
      <w:pPr>
        <w:ind w:left="2880" w:hanging="2880"/>
      </w:pPr>
      <w:r w:rsidRPr="000665B0">
        <w:t>DCR</w:t>
      </w:r>
      <w:r w:rsidRPr="000665B0">
        <w:tab/>
        <w:t>Data Correction Report</w:t>
      </w:r>
    </w:p>
    <w:p w14:paraId="19C08878" w14:textId="390AB657" w:rsidR="00402DF6" w:rsidRPr="000665B0" w:rsidRDefault="00402DF6" w:rsidP="00402DF6">
      <w:pPr>
        <w:ind w:left="2880" w:hanging="2880"/>
      </w:pPr>
      <w:r w:rsidRPr="000665B0">
        <w:t>DDG</w:t>
      </w:r>
      <w:r w:rsidRPr="000665B0">
        <w:tab/>
      </w:r>
      <w:r w:rsidR="002C7717" w:rsidRPr="000665B0">
        <w:t>Guided-</w:t>
      </w:r>
      <w:r w:rsidRPr="000665B0">
        <w:t xml:space="preserve">Missile </w:t>
      </w:r>
      <w:r w:rsidR="002C7717" w:rsidRPr="000665B0">
        <w:t>Destroyer</w:t>
      </w:r>
    </w:p>
    <w:p w14:paraId="0A40271C" w14:textId="0C6DB05D" w:rsidR="00402DF6" w:rsidRPr="000665B0" w:rsidRDefault="00402DF6" w:rsidP="00402DF6">
      <w:pPr>
        <w:ind w:left="2880" w:hanging="2880"/>
        <w:rPr>
          <w:smallCaps/>
        </w:rPr>
      </w:pPr>
      <w:r w:rsidRPr="000665B0">
        <w:rPr>
          <w:smallCaps/>
        </w:rPr>
        <w:t>DDO</w:t>
      </w:r>
      <w:r w:rsidRPr="000665B0">
        <w:tab/>
      </w:r>
      <w:r w:rsidRPr="000665B0">
        <w:rPr>
          <w:szCs w:val="24"/>
        </w:rPr>
        <w:t>Data</w:t>
      </w:r>
      <w:r w:rsidRPr="000665B0">
        <w:rPr>
          <w:smallCaps/>
        </w:rPr>
        <w:t xml:space="preserve"> </w:t>
      </w:r>
      <w:r w:rsidRPr="000665B0">
        <w:t>Distribution</w:t>
      </w:r>
      <w:r w:rsidR="002C7717" w:rsidRPr="000665B0">
        <w:t xml:space="preserve"> Order</w:t>
      </w:r>
    </w:p>
    <w:p w14:paraId="5A290389" w14:textId="77777777" w:rsidR="00402DF6" w:rsidRPr="000665B0" w:rsidRDefault="00402DF6" w:rsidP="00402DF6">
      <w:pPr>
        <w:pStyle w:val="Acronym"/>
        <w:spacing w:before="0" w:after="120"/>
        <w:rPr>
          <w:szCs w:val="24"/>
        </w:rPr>
      </w:pPr>
      <w:r w:rsidRPr="000665B0">
        <w:rPr>
          <w:szCs w:val="24"/>
        </w:rPr>
        <w:t>DEM</w:t>
      </w:r>
      <w:r w:rsidRPr="000665B0">
        <w:rPr>
          <w:szCs w:val="24"/>
        </w:rPr>
        <w:tab/>
        <w:t>Digital Elevation Matrix</w:t>
      </w:r>
    </w:p>
    <w:p w14:paraId="75D4A855" w14:textId="77777777" w:rsidR="00560D5C" w:rsidRPr="000665B0" w:rsidRDefault="00560D5C" w:rsidP="00402DF6">
      <w:pPr>
        <w:ind w:left="2880" w:hanging="2880"/>
      </w:pPr>
      <w:r w:rsidRPr="000665B0">
        <w:t>DEP</w:t>
      </w:r>
      <w:r w:rsidRPr="000665B0">
        <w:tab/>
        <w:t>Deflection Error Probable</w:t>
      </w:r>
    </w:p>
    <w:p w14:paraId="3914CA58" w14:textId="7A4ABCB0" w:rsidR="00402DF6" w:rsidRPr="000665B0" w:rsidRDefault="00402DF6" w:rsidP="00402DF6">
      <w:pPr>
        <w:ind w:left="2880" w:hanging="2880"/>
      </w:pPr>
      <w:r w:rsidRPr="000665B0">
        <w:t>DFS</w:t>
      </w:r>
      <w:r w:rsidRPr="000665B0">
        <w:tab/>
        <w:t>DSMAC IIA Flight Software</w:t>
      </w:r>
    </w:p>
    <w:p w14:paraId="5862EB78" w14:textId="47CBD6FC" w:rsidR="00641B40" w:rsidRPr="000665B0" w:rsidRDefault="00641B40" w:rsidP="00402DF6">
      <w:pPr>
        <w:ind w:left="2880" w:hanging="2880"/>
      </w:pPr>
      <w:r w:rsidRPr="000665B0">
        <w:t>DLL</w:t>
      </w:r>
      <w:r w:rsidRPr="000665B0">
        <w:tab/>
        <w:t>Dynamic-Link Library</w:t>
      </w:r>
    </w:p>
    <w:p w14:paraId="53135DFD" w14:textId="77777777" w:rsidR="00402DF6" w:rsidRPr="000665B0" w:rsidRDefault="00402DF6" w:rsidP="00402DF6">
      <w:pPr>
        <w:ind w:left="2880" w:hanging="2880"/>
      </w:pPr>
      <w:r w:rsidRPr="000665B0">
        <w:t>DMPI</w:t>
      </w:r>
      <w:r w:rsidRPr="000665B0">
        <w:tab/>
      </w:r>
      <w:r w:rsidRPr="000665B0">
        <w:rPr>
          <w:szCs w:val="24"/>
        </w:rPr>
        <w:t>Designated or Desired Mean Point of Impact</w:t>
      </w:r>
      <w:r w:rsidR="003A5E76" w:rsidRPr="000665B0">
        <w:rPr>
          <w:szCs w:val="24"/>
        </w:rPr>
        <w:t xml:space="preserve"> (Obsolete)</w:t>
      </w:r>
    </w:p>
    <w:p w14:paraId="6E8911FF" w14:textId="77777777" w:rsidR="00074332" w:rsidRPr="000665B0" w:rsidRDefault="00074332" w:rsidP="00402DF6">
      <w:pPr>
        <w:ind w:left="2880" w:hanging="2880"/>
        <w:rPr>
          <w:szCs w:val="24"/>
        </w:rPr>
      </w:pPr>
      <w:r w:rsidRPr="000665B0">
        <w:t>DNC</w:t>
      </w:r>
      <w:r w:rsidRPr="000665B0">
        <w:tab/>
        <w:t>Digital Nautical Chart</w:t>
      </w:r>
    </w:p>
    <w:p w14:paraId="1B845C6C" w14:textId="74B5EAE4" w:rsidR="00651D01" w:rsidRPr="000665B0" w:rsidRDefault="00651D01" w:rsidP="00402DF6">
      <w:pPr>
        <w:pStyle w:val="Acronym"/>
        <w:spacing w:before="0" w:after="120"/>
        <w:rPr>
          <w:szCs w:val="24"/>
        </w:rPr>
      </w:pPr>
      <w:r w:rsidRPr="000665B0">
        <w:rPr>
          <w:szCs w:val="24"/>
        </w:rPr>
        <w:t>DoD</w:t>
      </w:r>
      <w:r w:rsidRPr="000665B0">
        <w:rPr>
          <w:szCs w:val="24"/>
        </w:rPr>
        <w:tab/>
        <w:t>Department of Defense</w:t>
      </w:r>
    </w:p>
    <w:p w14:paraId="02012ADD" w14:textId="1BB4301F" w:rsidR="00A4483C" w:rsidRPr="000665B0" w:rsidRDefault="00A4483C" w:rsidP="00402DF6">
      <w:pPr>
        <w:pStyle w:val="Acronym"/>
        <w:spacing w:before="0" w:after="120"/>
        <w:rPr>
          <w:szCs w:val="24"/>
        </w:rPr>
      </w:pPr>
      <w:r w:rsidRPr="000665B0">
        <w:rPr>
          <w:szCs w:val="24"/>
        </w:rPr>
        <w:t>DON</w:t>
      </w:r>
      <w:r w:rsidRPr="000665B0">
        <w:rPr>
          <w:szCs w:val="24"/>
        </w:rPr>
        <w:tab/>
        <w:t>Department of the Navy</w:t>
      </w:r>
    </w:p>
    <w:p w14:paraId="657522B9" w14:textId="77777777" w:rsidR="00402DF6" w:rsidRPr="000665B0" w:rsidRDefault="00402DF6" w:rsidP="00402DF6">
      <w:pPr>
        <w:ind w:left="2880" w:hanging="2880"/>
      </w:pPr>
      <w:r w:rsidRPr="000665B0">
        <w:t>DSMAC</w:t>
      </w:r>
      <w:r w:rsidRPr="000665B0">
        <w:tab/>
        <w:t>Digital Scene Matching Area Correlator</w:t>
      </w:r>
    </w:p>
    <w:p w14:paraId="59C208B1" w14:textId="77777777" w:rsidR="00DF6A66" w:rsidRPr="000665B0" w:rsidRDefault="00DF6A66" w:rsidP="000E7ADC">
      <w:pPr>
        <w:ind w:left="2880" w:hanging="2880"/>
      </w:pPr>
      <w:r w:rsidRPr="000665B0">
        <w:t>DSP</w:t>
      </w:r>
      <w:r w:rsidRPr="000665B0">
        <w:tab/>
        <w:t>Digital Signal Process</w:t>
      </w:r>
    </w:p>
    <w:p w14:paraId="03D46750" w14:textId="77777777" w:rsidR="00DF6A66" w:rsidRPr="000665B0" w:rsidRDefault="00DF6A66" w:rsidP="000E7ADC">
      <w:pPr>
        <w:ind w:left="2880"/>
      </w:pPr>
      <w:r w:rsidRPr="000665B0">
        <w:t>or</w:t>
      </w:r>
    </w:p>
    <w:p w14:paraId="068C28F4" w14:textId="77777777" w:rsidR="00DF6A66" w:rsidRPr="000665B0" w:rsidRDefault="00DF6A66" w:rsidP="00C0781E">
      <w:pPr>
        <w:pStyle w:val="Acronym"/>
        <w:spacing w:before="0" w:after="120"/>
        <w:rPr>
          <w:szCs w:val="24"/>
        </w:rPr>
      </w:pPr>
      <w:r w:rsidRPr="000665B0">
        <w:tab/>
        <w:t>Dispense</w:t>
      </w:r>
    </w:p>
    <w:p w14:paraId="4A0BD7A8" w14:textId="77777777" w:rsidR="00402DF6" w:rsidRPr="000665B0" w:rsidRDefault="00402DF6" w:rsidP="00402DF6">
      <w:pPr>
        <w:pStyle w:val="Acronym"/>
        <w:spacing w:before="0" w:after="120"/>
        <w:rPr>
          <w:szCs w:val="24"/>
        </w:rPr>
      </w:pPr>
      <w:r w:rsidRPr="000665B0">
        <w:rPr>
          <w:szCs w:val="24"/>
        </w:rPr>
        <w:t>DTA</w:t>
      </w:r>
      <w:r w:rsidRPr="000665B0">
        <w:rPr>
          <w:szCs w:val="24"/>
        </w:rPr>
        <w:tab/>
        <w:t>Destination Terminal Address</w:t>
      </w:r>
    </w:p>
    <w:p w14:paraId="435D18A7" w14:textId="77777777" w:rsidR="00402DF6" w:rsidRPr="000665B0" w:rsidRDefault="00402DF6" w:rsidP="00402DF6">
      <w:pPr>
        <w:pStyle w:val="Acronym"/>
        <w:spacing w:before="0" w:after="120"/>
        <w:rPr>
          <w:szCs w:val="24"/>
        </w:rPr>
      </w:pPr>
      <w:r w:rsidRPr="000665B0">
        <w:rPr>
          <w:szCs w:val="24"/>
        </w:rPr>
        <w:t>DTED</w:t>
      </w:r>
      <w:r w:rsidRPr="000665B0">
        <w:rPr>
          <w:szCs w:val="24"/>
        </w:rPr>
        <w:tab/>
        <w:t>Digital Terrain Elevation Data</w:t>
      </w:r>
    </w:p>
    <w:p w14:paraId="2081E76A" w14:textId="77777777" w:rsidR="00402DF6" w:rsidRPr="000665B0" w:rsidRDefault="00402DF6" w:rsidP="000A1EC0">
      <w:pPr>
        <w:pStyle w:val="Acronym"/>
        <w:spacing w:before="0" w:after="120"/>
      </w:pPr>
      <w:r w:rsidRPr="000665B0">
        <w:lastRenderedPageBreak/>
        <w:t>DTG</w:t>
      </w:r>
      <w:r w:rsidRPr="000665B0">
        <w:tab/>
        <w:t>Date Time Group</w:t>
      </w:r>
    </w:p>
    <w:p w14:paraId="32979404" w14:textId="77777777" w:rsidR="00914782" w:rsidRPr="000665B0" w:rsidRDefault="00914782" w:rsidP="00402DF6">
      <w:pPr>
        <w:pStyle w:val="Acronym"/>
        <w:spacing w:before="0" w:after="120"/>
        <w:rPr>
          <w:szCs w:val="24"/>
        </w:rPr>
      </w:pPr>
      <w:r w:rsidRPr="000665B0">
        <w:rPr>
          <w:szCs w:val="24"/>
        </w:rPr>
        <w:t>DTS</w:t>
      </w:r>
      <w:r w:rsidRPr="000665B0">
        <w:rPr>
          <w:szCs w:val="24"/>
        </w:rPr>
        <w:tab/>
        <w:t>Defense Tactical Solutions</w:t>
      </w:r>
    </w:p>
    <w:p w14:paraId="7C16345E" w14:textId="77777777" w:rsidR="00402DF6" w:rsidRPr="000665B0" w:rsidRDefault="00402DF6" w:rsidP="00402DF6">
      <w:pPr>
        <w:pStyle w:val="Acronym"/>
        <w:spacing w:before="0" w:after="120"/>
        <w:rPr>
          <w:szCs w:val="24"/>
        </w:rPr>
      </w:pPr>
      <w:r w:rsidRPr="000665B0">
        <w:rPr>
          <w:szCs w:val="24"/>
        </w:rPr>
        <w:t>DW</w:t>
      </w:r>
      <w:r w:rsidRPr="000665B0">
        <w:rPr>
          <w:szCs w:val="24"/>
        </w:rPr>
        <w:tab/>
        <w:t>Distribution Workspace</w:t>
      </w:r>
    </w:p>
    <w:p w14:paraId="3402901B" w14:textId="77777777" w:rsidR="00402DF6" w:rsidRPr="000665B0" w:rsidRDefault="00402DF6" w:rsidP="00402DF6">
      <w:pPr>
        <w:ind w:left="2880" w:hanging="2880"/>
      </w:pPr>
      <w:r w:rsidRPr="000665B0">
        <w:t>EEI</w:t>
      </w:r>
      <w:r w:rsidRPr="000665B0">
        <w:tab/>
        <w:t>Elements of Essential Information</w:t>
      </w:r>
    </w:p>
    <w:p w14:paraId="1880C22F" w14:textId="77777777" w:rsidR="00521797" w:rsidRPr="000665B0" w:rsidRDefault="00521797" w:rsidP="006F7488">
      <w:pPr>
        <w:ind w:left="2880" w:hanging="2880"/>
      </w:pPr>
      <w:r w:rsidRPr="000665B0">
        <w:t>EI</w:t>
      </w:r>
      <w:r w:rsidRPr="000665B0">
        <w:tab/>
        <w:t>Enterprise Infrastructure</w:t>
      </w:r>
    </w:p>
    <w:p w14:paraId="4787F25F" w14:textId="77777777" w:rsidR="00307DE7" w:rsidRPr="000665B0" w:rsidRDefault="00307DE7" w:rsidP="006F7488">
      <w:pPr>
        <w:ind w:left="2880" w:hanging="2880"/>
      </w:pPr>
      <w:r w:rsidRPr="000665B0">
        <w:t>ELINT</w:t>
      </w:r>
      <w:r w:rsidRPr="000665B0">
        <w:tab/>
        <w:t>Electronic Intelligence</w:t>
      </w:r>
    </w:p>
    <w:p w14:paraId="0582D489" w14:textId="0299DFBD" w:rsidR="00C80571" w:rsidRDefault="00C80571" w:rsidP="006F7488">
      <w:pPr>
        <w:ind w:left="2880" w:hanging="2880"/>
      </w:pPr>
      <w:r>
        <w:t>EMCON</w:t>
      </w:r>
      <w:r>
        <w:tab/>
        <w:t>Emissions Control</w:t>
      </w:r>
    </w:p>
    <w:p w14:paraId="2602C551" w14:textId="05E38C1C" w:rsidR="001024C9" w:rsidRPr="000665B0" w:rsidRDefault="001024C9" w:rsidP="006F7488">
      <w:pPr>
        <w:ind w:left="2880" w:hanging="2880"/>
      </w:pPr>
      <w:r w:rsidRPr="000665B0">
        <w:t>ENS</w:t>
      </w:r>
      <w:r w:rsidRPr="000665B0">
        <w:tab/>
        <w:t>Endpoint Security</w:t>
      </w:r>
    </w:p>
    <w:p w14:paraId="6AF69DD5" w14:textId="77777777" w:rsidR="00402DF6" w:rsidRPr="000665B0" w:rsidRDefault="00402DF6" w:rsidP="00402DF6">
      <w:pPr>
        <w:ind w:left="2880" w:hanging="2880"/>
      </w:pPr>
      <w:r w:rsidRPr="000665B0">
        <w:t>ESP</w:t>
      </w:r>
      <w:r w:rsidRPr="000665B0">
        <w:tab/>
        <w:t>Electronic Strike Package</w:t>
      </w:r>
    </w:p>
    <w:p w14:paraId="1211D38A" w14:textId="77777777" w:rsidR="00402DF6" w:rsidRPr="000665B0" w:rsidRDefault="00402DF6" w:rsidP="00402DF6">
      <w:pPr>
        <w:ind w:left="2880" w:hanging="2880"/>
      </w:pPr>
      <w:r w:rsidRPr="000665B0">
        <w:t>ETA</w:t>
      </w:r>
      <w:r w:rsidRPr="000665B0">
        <w:tab/>
        <w:t>Estimated Time of Arrival</w:t>
      </w:r>
    </w:p>
    <w:p w14:paraId="50ED22FC" w14:textId="77777777" w:rsidR="00074332" w:rsidRPr="000665B0" w:rsidRDefault="00074332" w:rsidP="00402DF6">
      <w:pPr>
        <w:ind w:left="2880" w:hanging="2880"/>
      </w:pPr>
      <w:r w:rsidRPr="000665B0">
        <w:t>ETE</w:t>
      </w:r>
      <w:r w:rsidRPr="000665B0">
        <w:tab/>
      </w:r>
      <w:r w:rsidR="00336888" w:rsidRPr="000665B0">
        <w:t>Estimated Time Enroute</w:t>
      </w:r>
    </w:p>
    <w:p w14:paraId="3463ECD2" w14:textId="77777777" w:rsidR="00360F6F" w:rsidRPr="000665B0" w:rsidRDefault="00360F6F" w:rsidP="00C0781E">
      <w:pPr>
        <w:ind w:left="2880" w:hanging="2880"/>
      </w:pPr>
      <w:r w:rsidRPr="000665B0">
        <w:t>ETEPP</w:t>
      </w:r>
      <w:r w:rsidRPr="000665B0">
        <w:tab/>
        <w:t>Electronic Tomahawk Employment Planning Package</w:t>
      </w:r>
    </w:p>
    <w:p w14:paraId="1D8888C4" w14:textId="02C57E34" w:rsidR="00FC3AA0" w:rsidRPr="000665B0" w:rsidRDefault="00FC3AA0" w:rsidP="00402DF6">
      <w:pPr>
        <w:ind w:left="2880" w:hanging="2880"/>
      </w:pPr>
      <w:r w:rsidRPr="000665B0">
        <w:t>eTPS</w:t>
      </w:r>
      <w:r w:rsidRPr="000665B0">
        <w:tab/>
        <w:t xml:space="preserve">Embedded Tomahawk Planning System </w:t>
      </w:r>
    </w:p>
    <w:p w14:paraId="5F54A59B" w14:textId="0473D4D9" w:rsidR="00475D59" w:rsidRPr="000665B0" w:rsidRDefault="00475D59" w:rsidP="00402DF6">
      <w:pPr>
        <w:ind w:left="2880" w:hanging="2880"/>
      </w:pPr>
      <w:r w:rsidRPr="000665B0">
        <w:t>EXFW</w:t>
      </w:r>
      <w:r w:rsidRPr="000665B0">
        <w:tab/>
        <w:t>Exciter Firmware</w:t>
      </w:r>
    </w:p>
    <w:p w14:paraId="788114DE" w14:textId="656E9B9C" w:rsidR="00CF194C" w:rsidRPr="000665B0" w:rsidRDefault="00CF194C" w:rsidP="00402DF6">
      <w:pPr>
        <w:ind w:left="2880" w:hanging="2880"/>
      </w:pPr>
      <w:r w:rsidRPr="000665B0">
        <w:t>FASO</w:t>
      </w:r>
      <w:r w:rsidRPr="000665B0">
        <w:tab/>
      </w:r>
      <w:r w:rsidR="00B843DA" w:rsidRPr="000665B0">
        <w:t>Firing Unit Assignment Summary Object</w:t>
      </w:r>
    </w:p>
    <w:p w14:paraId="0B0A8E06" w14:textId="77777777" w:rsidR="00402DF6" w:rsidRPr="000665B0" w:rsidRDefault="00402DF6" w:rsidP="00402DF6">
      <w:pPr>
        <w:ind w:left="2880" w:hanging="2880"/>
      </w:pPr>
      <w:r w:rsidRPr="000665B0">
        <w:t>FCS</w:t>
      </w:r>
      <w:r w:rsidRPr="000665B0">
        <w:tab/>
        <w:t>Fire Control System</w:t>
      </w:r>
    </w:p>
    <w:p w14:paraId="2EF73BF2" w14:textId="77777777" w:rsidR="00402DF6" w:rsidRPr="000665B0" w:rsidRDefault="00402DF6" w:rsidP="00402DF6">
      <w:pPr>
        <w:ind w:left="2880" w:hanging="2880"/>
      </w:pPr>
      <w:r w:rsidRPr="000665B0">
        <w:t>F</w:t>
      </w:r>
      <w:r w:rsidRPr="000665B0">
        <w:rPr>
          <w:szCs w:val="24"/>
        </w:rPr>
        <w:t>D</w:t>
      </w:r>
      <w:r w:rsidRPr="000665B0">
        <w:tab/>
        <w:t>Fractional Damage</w:t>
      </w:r>
    </w:p>
    <w:p w14:paraId="5DC37C7E" w14:textId="77777777" w:rsidR="00402DF6" w:rsidRPr="00B17338" w:rsidRDefault="00402DF6" w:rsidP="00402DF6">
      <w:pPr>
        <w:ind w:left="2880" w:hanging="2880"/>
        <w:rPr>
          <w:lang w:val="da-DK"/>
        </w:rPr>
      </w:pPr>
      <w:r w:rsidRPr="00B17338">
        <w:rPr>
          <w:lang w:val="da-DK"/>
        </w:rPr>
        <w:t>FDU</w:t>
      </w:r>
      <w:r w:rsidRPr="00B17338">
        <w:rPr>
          <w:lang w:val="da-DK"/>
        </w:rPr>
        <w:tab/>
        <w:t>File Data Update</w:t>
      </w:r>
    </w:p>
    <w:p w14:paraId="0D8B7F88" w14:textId="77777777" w:rsidR="007564D4" w:rsidRPr="00B17338" w:rsidRDefault="007564D4" w:rsidP="00402DF6">
      <w:pPr>
        <w:ind w:left="2880" w:hanging="2880"/>
        <w:rPr>
          <w:lang w:val="da-DK"/>
        </w:rPr>
      </w:pPr>
      <w:r w:rsidRPr="00B17338">
        <w:rPr>
          <w:lang w:val="da-DK"/>
        </w:rPr>
        <w:t>FKR</w:t>
      </w:r>
      <w:r w:rsidRPr="00B17338">
        <w:rPr>
          <w:lang w:val="da-DK"/>
        </w:rPr>
        <w:tab/>
        <w:t>Faker</w:t>
      </w:r>
    </w:p>
    <w:p w14:paraId="2F8BD5DA" w14:textId="64A0F2B2" w:rsidR="005849D5" w:rsidRPr="000665B0" w:rsidRDefault="005849D5" w:rsidP="00402DF6">
      <w:pPr>
        <w:ind w:left="2880" w:hanging="2880"/>
      </w:pPr>
      <w:r w:rsidRPr="000665B0">
        <w:t>FMS</w:t>
      </w:r>
      <w:r w:rsidRPr="000665B0">
        <w:tab/>
        <w:t>Foreign Military Sales</w:t>
      </w:r>
    </w:p>
    <w:p w14:paraId="6C943AE6" w14:textId="77777777" w:rsidR="00382ED9" w:rsidRPr="000665B0" w:rsidRDefault="00382ED9" w:rsidP="00402DF6">
      <w:pPr>
        <w:ind w:left="2880" w:hanging="2880"/>
      </w:pPr>
      <w:r w:rsidRPr="000665B0">
        <w:t>FOC</w:t>
      </w:r>
      <w:r w:rsidRPr="000665B0">
        <w:tab/>
        <w:t>Farthest On Circle</w:t>
      </w:r>
    </w:p>
    <w:p w14:paraId="2B21CE39" w14:textId="4C1FF2E9" w:rsidR="004242BF" w:rsidRPr="000665B0" w:rsidRDefault="004242BF" w:rsidP="00402DF6">
      <w:pPr>
        <w:ind w:left="2880" w:hanging="2880"/>
      </w:pPr>
      <w:r w:rsidRPr="000665B0">
        <w:t>FOTC</w:t>
      </w:r>
      <w:r w:rsidRPr="000665B0">
        <w:tab/>
        <w:t>Force Over the Horizon</w:t>
      </w:r>
    </w:p>
    <w:p w14:paraId="3458C75F" w14:textId="77777777" w:rsidR="00402DF6" w:rsidRPr="000665B0" w:rsidRDefault="00402DF6" w:rsidP="00402DF6">
      <w:pPr>
        <w:ind w:left="2880" w:hanging="2880"/>
      </w:pPr>
      <w:r w:rsidRPr="000665B0">
        <w:t>FPPWP</w:t>
      </w:r>
      <w:r w:rsidRPr="000665B0">
        <w:tab/>
        <w:t>First Pre-</w:t>
      </w:r>
      <w:r w:rsidR="00360F6F" w:rsidRPr="000665B0">
        <w:t>P</w:t>
      </w:r>
      <w:r w:rsidRPr="000665B0">
        <w:t>lanned Waypoint</w:t>
      </w:r>
    </w:p>
    <w:p w14:paraId="4CE55031" w14:textId="77777777" w:rsidR="00402DF6" w:rsidRPr="000665B0" w:rsidRDefault="00402DF6" w:rsidP="00402DF6">
      <w:pPr>
        <w:ind w:left="2880" w:hanging="2880"/>
      </w:pPr>
      <w:r w:rsidRPr="000665B0">
        <w:t>FRAGORD</w:t>
      </w:r>
      <w:r w:rsidRPr="000665B0">
        <w:tab/>
        <w:t>Fragmentary Military Order</w:t>
      </w:r>
    </w:p>
    <w:p w14:paraId="0C6495F6" w14:textId="77777777" w:rsidR="007564D4" w:rsidRPr="000665B0" w:rsidRDefault="007564D4" w:rsidP="00402DF6">
      <w:pPr>
        <w:ind w:left="2880" w:hanging="2880"/>
      </w:pPr>
      <w:r w:rsidRPr="000665B0">
        <w:t>FRD</w:t>
      </w:r>
      <w:r w:rsidRPr="000665B0">
        <w:tab/>
        <w:t>Friendly</w:t>
      </w:r>
    </w:p>
    <w:p w14:paraId="144248FC" w14:textId="73BF491B" w:rsidR="00402DF6" w:rsidRPr="000665B0" w:rsidRDefault="00402DF6" w:rsidP="00402DF6">
      <w:pPr>
        <w:ind w:left="2880" w:hanging="2880"/>
      </w:pPr>
      <w:r w:rsidRPr="000665B0">
        <w:t>FRU</w:t>
      </w:r>
      <w:r w:rsidRPr="000665B0">
        <w:tab/>
        <w:t>Firing Unit</w:t>
      </w:r>
    </w:p>
    <w:p w14:paraId="4DF6B593" w14:textId="77777777" w:rsidR="00CF194C" w:rsidRDefault="00CF194C" w:rsidP="00402DF6">
      <w:pPr>
        <w:ind w:left="2880" w:hanging="2880"/>
      </w:pPr>
      <w:r w:rsidRPr="000665B0">
        <w:t>FRUASN</w:t>
      </w:r>
      <w:r w:rsidRPr="000665B0">
        <w:tab/>
      </w:r>
      <w:r w:rsidR="00DC007B" w:rsidRPr="000665B0">
        <w:t>Firing Unit Assignment</w:t>
      </w:r>
    </w:p>
    <w:p w14:paraId="72FEF352" w14:textId="212AE848" w:rsidR="00B60C8A" w:rsidRPr="000665B0" w:rsidRDefault="00B60C8A" w:rsidP="00402DF6">
      <w:pPr>
        <w:ind w:left="2880" w:hanging="2880"/>
      </w:pPr>
      <w:r>
        <w:t>FTF</w:t>
      </w:r>
      <w:r>
        <w:tab/>
        <w:t>Follow-Through Fuze</w:t>
      </w:r>
    </w:p>
    <w:p w14:paraId="0CA0B3EE" w14:textId="769EFB1E" w:rsidR="00402DF6" w:rsidRPr="000665B0" w:rsidRDefault="00402DF6" w:rsidP="00402DF6">
      <w:pPr>
        <w:ind w:left="2880" w:hanging="2880"/>
      </w:pPr>
      <w:r w:rsidRPr="000665B0">
        <w:t>FWP</w:t>
      </w:r>
      <w:r w:rsidRPr="000665B0">
        <w:tab/>
        <w:t>First Waypoint Location</w:t>
      </w:r>
    </w:p>
    <w:p w14:paraId="0C2357AE" w14:textId="77777777" w:rsidR="00CF194C" w:rsidRPr="000665B0" w:rsidRDefault="00594BEB" w:rsidP="00402DF6">
      <w:pPr>
        <w:ind w:left="2880" w:hanging="2880"/>
      </w:pPr>
      <w:r w:rsidRPr="000665B0">
        <w:t>G</w:t>
      </w:r>
      <w:r w:rsidR="00CF194C" w:rsidRPr="000665B0">
        <w:tab/>
      </w:r>
      <w:r w:rsidR="000E7ADC" w:rsidRPr="000665B0">
        <w:t>Ghost</w:t>
      </w:r>
    </w:p>
    <w:p w14:paraId="42E753C0" w14:textId="4A345CC2" w:rsidR="00402DF6" w:rsidRPr="000665B0" w:rsidRDefault="00402DF6" w:rsidP="00402DF6">
      <w:pPr>
        <w:ind w:left="2880" w:hanging="2880"/>
      </w:pPr>
      <w:r w:rsidRPr="000665B0">
        <w:t>GCCS</w:t>
      </w:r>
      <w:r w:rsidRPr="000665B0">
        <w:tab/>
        <w:t>Global Command and Control System</w:t>
      </w:r>
    </w:p>
    <w:p w14:paraId="3F84C6AA" w14:textId="1139052F" w:rsidR="00846E66" w:rsidRPr="000665B0" w:rsidRDefault="00846E66" w:rsidP="00FC3AA0">
      <w:pPr>
        <w:ind w:left="2880" w:hanging="2880"/>
      </w:pPr>
      <w:r w:rsidRPr="000665B0">
        <w:t>GEC</w:t>
      </w:r>
      <w:r w:rsidRPr="000665B0">
        <w:tab/>
        <w:t>Geopolitical Entities and Codes</w:t>
      </w:r>
    </w:p>
    <w:p w14:paraId="63C64065" w14:textId="77777777" w:rsidR="00846E66" w:rsidRPr="000665B0" w:rsidRDefault="00846E66" w:rsidP="00402DF6">
      <w:pPr>
        <w:ind w:left="2880" w:hanging="2880"/>
      </w:pPr>
      <w:r w:rsidRPr="000665B0">
        <w:lastRenderedPageBreak/>
        <w:t>GENC</w:t>
      </w:r>
      <w:r w:rsidRPr="000665B0">
        <w:tab/>
        <w:t>Geopolitical Entities, Names, and Codes</w:t>
      </w:r>
    </w:p>
    <w:p w14:paraId="47A15E53" w14:textId="77777777" w:rsidR="004C368D" w:rsidRPr="000665B0" w:rsidRDefault="004C368D" w:rsidP="004C368D">
      <w:pPr>
        <w:ind w:left="2880" w:hanging="2880"/>
      </w:pPr>
      <w:r w:rsidRPr="000665B0">
        <w:t xml:space="preserve">GENC2 </w:t>
      </w:r>
      <w:r w:rsidRPr="000665B0">
        <w:tab/>
        <w:t>GENC 2-Character</w:t>
      </w:r>
    </w:p>
    <w:p w14:paraId="14AC64C1" w14:textId="77777777" w:rsidR="004C368D" w:rsidRPr="000665B0" w:rsidRDefault="004C368D" w:rsidP="004C368D">
      <w:pPr>
        <w:ind w:left="2880" w:hanging="2880"/>
      </w:pPr>
      <w:r w:rsidRPr="000665B0">
        <w:t>GENC3</w:t>
      </w:r>
      <w:r w:rsidRPr="000665B0">
        <w:tab/>
        <w:t>GENC 3-Character</w:t>
      </w:r>
    </w:p>
    <w:p w14:paraId="4726F5B4" w14:textId="77777777" w:rsidR="00402DF6" w:rsidRPr="000665B0" w:rsidRDefault="00402DF6" w:rsidP="00402DF6">
      <w:pPr>
        <w:ind w:left="2880" w:hanging="2880"/>
      </w:pPr>
      <w:r w:rsidRPr="000665B0">
        <w:t xml:space="preserve">GFS </w:t>
      </w:r>
      <w:r w:rsidRPr="000665B0">
        <w:tab/>
        <w:t>GPS Flight Software</w:t>
      </w:r>
    </w:p>
    <w:p w14:paraId="3EFC3732" w14:textId="1227405B" w:rsidR="00560875" w:rsidRPr="000665B0" w:rsidRDefault="00560875" w:rsidP="00402DF6">
      <w:pPr>
        <w:ind w:left="2880" w:hanging="2880"/>
      </w:pPr>
      <w:r w:rsidRPr="000665B0">
        <w:t>GHP</w:t>
      </w:r>
      <w:r w:rsidRPr="000665B0">
        <w:tab/>
        <w:t xml:space="preserve">Guidance </w:t>
      </w:r>
      <w:r w:rsidR="003C5F60">
        <w:t>Handover</w:t>
      </w:r>
      <w:r w:rsidR="003C5F60" w:rsidRPr="000665B0" w:rsidDel="003C5F60">
        <w:t xml:space="preserve"> </w:t>
      </w:r>
      <w:r w:rsidRPr="000665B0">
        <w:t>Point</w:t>
      </w:r>
    </w:p>
    <w:p w14:paraId="3CACDD26" w14:textId="09167E69" w:rsidR="00402DF6" w:rsidRPr="000665B0" w:rsidRDefault="00402DF6" w:rsidP="00402DF6">
      <w:pPr>
        <w:ind w:left="2880" w:hanging="2880"/>
      </w:pPr>
      <w:r w:rsidRPr="000665B0">
        <w:t>GIS</w:t>
      </w:r>
      <w:r w:rsidRPr="000665B0">
        <w:tab/>
        <w:t>Geographic Information System</w:t>
      </w:r>
    </w:p>
    <w:p w14:paraId="60829AED" w14:textId="44098220" w:rsidR="007943FD" w:rsidRPr="000665B0" w:rsidRDefault="007943FD" w:rsidP="00402DF6">
      <w:pPr>
        <w:ind w:left="2880" w:hanging="2880"/>
      </w:pPr>
      <w:r w:rsidRPr="000665B0">
        <w:t>GOM</w:t>
      </w:r>
      <w:r w:rsidRPr="000665B0">
        <w:tab/>
        <w:t>Geo Object Manager</w:t>
      </w:r>
    </w:p>
    <w:p w14:paraId="4EACBDB7" w14:textId="0D7E5EDA" w:rsidR="00402DF6" w:rsidRPr="000665B0" w:rsidRDefault="00402DF6" w:rsidP="00402DF6">
      <w:pPr>
        <w:ind w:left="2880" w:hanging="2880"/>
      </w:pPr>
      <w:r w:rsidRPr="000665B0">
        <w:t>GOTS</w:t>
      </w:r>
      <w:r w:rsidRPr="000665B0">
        <w:tab/>
        <w:t>Government Off The Shelf</w:t>
      </w:r>
    </w:p>
    <w:p w14:paraId="53F6F730" w14:textId="77777777" w:rsidR="00402DF6" w:rsidRPr="000665B0" w:rsidRDefault="00402DF6" w:rsidP="00402DF6">
      <w:pPr>
        <w:ind w:left="2880" w:hanging="2880"/>
      </w:pPr>
      <w:r w:rsidRPr="000665B0">
        <w:t>GPS</w:t>
      </w:r>
      <w:r w:rsidRPr="000665B0">
        <w:tab/>
        <w:t>Global Positioning System</w:t>
      </w:r>
    </w:p>
    <w:p w14:paraId="4475C0E2" w14:textId="77777777" w:rsidR="00360F6F" w:rsidRPr="000665B0" w:rsidRDefault="00360F6F" w:rsidP="00C0781E">
      <w:pPr>
        <w:ind w:left="2880" w:hanging="2880"/>
      </w:pPr>
      <w:r w:rsidRPr="000665B0">
        <w:t>GUI</w:t>
      </w:r>
      <w:r w:rsidRPr="000665B0">
        <w:tab/>
        <w:t>Graphical User Interface</w:t>
      </w:r>
    </w:p>
    <w:p w14:paraId="74756CC6" w14:textId="77777777" w:rsidR="00402DF6" w:rsidRPr="000665B0" w:rsidRDefault="00402DF6" w:rsidP="00402DF6">
      <w:pPr>
        <w:ind w:left="2880" w:hanging="2880"/>
      </w:pPr>
      <w:r w:rsidRPr="000665B0">
        <w:t>H&amp;S</w:t>
      </w:r>
      <w:r w:rsidRPr="000665B0">
        <w:tab/>
        <w:t>Health and Status</w:t>
      </w:r>
    </w:p>
    <w:p w14:paraId="57DADD7E" w14:textId="77777777" w:rsidR="0008103D" w:rsidRPr="000665B0" w:rsidRDefault="0008103D" w:rsidP="00402DF6">
      <w:pPr>
        <w:ind w:left="2880" w:hanging="2880"/>
      </w:pPr>
      <w:r w:rsidRPr="000665B0">
        <w:t>HAE</w:t>
      </w:r>
      <w:r w:rsidR="00DC007B" w:rsidRPr="000665B0">
        <w:tab/>
        <w:t>Height Above Ellipsoid</w:t>
      </w:r>
    </w:p>
    <w:p w14:paraId="02700477" w14:textId="77777777" w:rsidR="00402DF6" w:rsidRPr="000665B0" w:rsidRDefault="00402DF6" w:rsidP="00402DF6">
      <w:pPr>
        <w:ind w:left="2880" w:hanging="2880"/>
      </w:pPr>
      <w:r w:rsidRPr="000665B0">
        <w:t>HAM</w:t>
      </w:r>
      <w:r w:rsidRPr="000665B0">
        <w:tab/>
        <w:t>Horizontal Attack Maneuver</w:t>
      </w:r>
    </w:p>
    <w:p w14:paraId="1E680CF8" w14:textId="77777777" w:rsidR="009353A3" w:rsidRPr="000665B0" w:rsidRDefault="009353A3" w:rsidP="00402DF6">
      <w:pPr>
        <w:ind w:left="2880" w:hanging="2880"/>
      </w:pPr>
      <w:r w:rsidRPr="000665B0">
        <w:t>HBSS</w:t>
      </w:r>
      <w:r w:rsidRPr="000665B0">
        <w:tab/>
        <w:t xml:space="preserve">Host Based Security System </w:t>
      </w:r>
    </w:p>
    <w:p w14:paraId="7EDD0997" w14:textId="259F5AA0" w:rsidR="007564D4" w:rsidRPr="000665B0" w:rsidRDefault="007564D4" w:rsidP="00402DF6">
      <w:pPr>
        <w:ind w:left="2880" w:hanging="2880"/>
      </w:pPr>
      <w:r w:rsidRPr="000665B0">
        <w:t>HIT</w:t>
      </w:r>
      <w:r w:rsidRPr="000665B0">
        <w:tab/>
        <w:t>High-Interest Track</w:t>
      </w:r>
    </w:p>
    <w:p w14:paraId="18C6415E" w14:textId="3F9CD67B" w:rsidR="00F36F75" w:rsidRPr="000665B0" w:rsidRDefault="00F36F75" w:rsidP="00402DF6">
      <w:pPr>
        <w:ind w:left="2880" w:hanging="2880"/>
      </w:pPr>
      <w:r w:rsidRPr="000665B0">
        <w:t>HKLM</w:t>
      </w:r>
      <w:r w:rsidRPr="000665B0">
        <w:tab/>
      </w:r>
      <w:r w:rsidRPr="000665B0">
        <w:rPr>
          <w:szCs w:val="24"/>
        </w:rPr>
        <w:t>HKEY_LOCAL_MACHINE</w:t>
      </w:r>
      <w:r w:rsidRPr="000665B0">
        <w:t xml:space="preserve"> </w:t>
      </w:r>
    </w:p>
    <w:p w14:paraId="31B7DC1B" w14:textId="4834BF69" w:rsidR="007564D4" w:rsidRPr="000665B0" w:rsidRDefault="007564D4" w:rsidP="00402DF6">
      <w:pPr>
        <w:ind w:left="2880" w:hanging="2880"/>
      </w:pPr>
      <w:r w:rsidRPr="000665B0">
        <w:t>HOS</w:t>
      </w:r>
      <w:r w:rsidRPr="000665B0">
        <w:tab/>
        <w:t>Hostile</w:t>
      </w:r>
    </w:p>
    <w:p w14:paraId="252F7156" w14:textId="256BC02A" w:rsidR="00523D7A" w:rsidRPr="000665B0" w:rsidRDefault="00523D7A" w:rsidP="00402DF6">
      <w:pPr>
        <w:ind w:left="2880" w:hanging="2880"/>
      </w:pPr>
      <w:r w:rsidRPr="000665B0">
        <w:t>HRS</w:t>
      </w:r>
      <w:r w:rsidRPr="000665B0">
        <w:tab/>
        <w:t>Hours</w:t>
      </w:r>
    </w:p>
    <w:p w14:paraId="08C67145" w14:textId="7B772766" w:rsidR="00CF194C" w:rsidRPr="000665B0" w:rsidRDefault="00CF194C" w:rsidP="00402DF6">
      <w:pPr>
        <w:ind w:left="2880" w:hanging="2880"/>
      </w:pPr>
      <w:r w:rsidRPr="000665B0">
        <w:t>HTML</w:t>
      </w:r>
      <w:r w:rsidRPr="000665B0">
        <w:tab/>
      </w:r>
      <w:r w:rsidR="00B843DA" w:rsidRPr="000665B0">
        <w:t>HyperText Markup Language</w:t>
      </w:r>
    </w:p>
    <w:p w14:paraId="3FF4076F" w14:textId="77777777" w:rsidR="00390EFE" w:rsidRPr="000665B0" w:rsidRDefault="00390EFE" w:rsidP="00402DF6">
      <w:pPr>
        <w:ind w:left="2880" w:hanging="2880"/>
      </w:pPr>
      <w:r w:rsidRPr="000665B0">
        <w:t>HTTPS</w:t>
      </w:r>
      <w:r w:rsidRPr="000665B0">
        <w:tab/>
      </w:r>
      <w:r w:rsidRPr="000665B0">
        <w:rPr>
          <w:rFonts w:eastAsia="Calibri"/>
        </w:rPr>
        <w:t>Hypertext Transfer Protocol</w:t>
      </w:r>
      <w:r w:rsidRPr="000665B0">
        <w:t xml:space="preserve"> </w:t>
      </w:r>
      <w:r w:rsidR="0036123F" w:rsidRPr="000665B0">
        <w:t>Secure</w:t>
      </w:r>
    </w:p>
    <w:p w14:paraId="0FCDFCFA" w14:textId="77777777" w:rsidR="00402DF6" w:rsidRPr="000665B0" w:rsidRDefault="00402DF6" w:rsidP="00402DF6">
      <w:pPr>
        <w:ind w:left="2880" w:hanging="2880"/>
      </w:pPr>
      <w:r w:rsidRPr="000665B0">
        <w:t>I/O</w:t>
      </w:r>
      <w:r w:rsidRPr="000665B0">
        <w:tab/>
        <w:t>Input/Output</w:t>
      </w:r>
    </w:p>
    <w:p w14:paraId="6C6EB984" w14:textId="77777777" w:rsidR="001F3B10" w:rsidRPr="000665B0" w:rsidRDefault="001F3B10" w:rsidP="00402DF6">
      <w:pPr>
        <w:ind w:left="2880" w:hanging="2880"/>
      </w:pPr>
      <w:r w:rsidRPr="000665B0">
        <w:t>IA</w:t>
      </w:r>
      <w:r w:rsidRPr="000665B0">
        <w:tab/>
        <w:t>See TPS SUM</w:t>
      </w:r>
    </w:p>
    <w:p w14:paraId="6ECFEDB8" w14:textId="77777777" w:rsidR="007E093B" w:rsidRPr="000665B0" w:rsidRDefault="007E093B" w:rsidP="00402DF6">
      <w:pPr>
        <w:ind w:left="2880" w:hanging="2880"/>
      </w:pPr>
      <w:r w:rsidRPr="000665B0">
        <w:tab/>
        <w:t>or</w:t>
      </w:r>
    </w:p>
    <w:p w14:paraId="39DF93EB" w14:textId="77777777" w:rsidR="007E093B" w:rsidRPr="000665B0" w:rsidRDefault="007E093B" w:rsidP="00402DF6">
      <w:pPr>
        <w:ind w:left="2880" w:hanging="2880"/>
      </w:pPr>
      <w:r w:rsidRPr="000665B0">
        <w:tab/>
        <w:t>Information Assurance</w:t>
      </w:r>
    </w:p>
    <w:p w14:paraId="513A83C0" w14:textId="77777777" w:rsidR="009D3D97" w:rsidRPr="000665B0" w:rsidRDefault="009D3D97" w:rsidP="00402DF6">
      <w:pPr>
        <w:ind w:left="2880" w:hanging="2880"/>
      </w:pPr>
      <w:r w:rsidRPr="000665B0">
        <w:t>IAFS</w:t>
      </w:r>
      <w:r w:rsidRPr="000665B0">
        <w:tab/>
        <w:t>Inhibit Arabic Form Shaping</w:t>
      </w:r>
    </w:p>
    <w:p w14:paraId="5C22806F" w14:textId="77777777" w:rsidR="00074332" w:rsidRPr="000665B0" w:rsidRDefault="00074332" w:rsidP="00402DF6">
      <w:pPr>
        <w:ind w:left="2880" w:hanging="2880"/>
      </w:pPr>
      <w:r w:rsidRPr="000665B0">
        <w:t>IAVA</w:t>
      </w:r>
      <w:r w:rsidRPr="000665B0">
        <w:tab/>
      </w:r>
      <w:r w:rsidR="00AC1E9D" w:rsidRPr="000665B0">
        <w:rPr>
          <w:bCs/>
        </w:rPr>
        <w:t xml:space="preserve">Information Assurance Vulnerability </w:t>
      </w:r>
      <w:r w:rsidR="00AC1E9D" w:rsidRPr="000665B0">
        <w:t>Alerts</w:t>
      </w:r>
    </w:p>
    <w:p w14:paraId="32A603E2" w14:textId="1A70F75E" w:rsidR="00402DF6" w:rsidRPr="000665B0" w:rsidRDefault="00402DF6" w:rsidP="00402DF6">
      <w:pPr>
        <w:ind w:left="2880" w:hanging="2880"/>
      </w:pPr>
      <w:r w:rsidRPr="000665B0">
        <w:t>ID</w:t>
      </w:r>
      <w:r w:rsidRPr="000665B0">
        <w:tab/>
        <w:t>Identification</w:t>
      </w:r>
    </w:p>
    <w:p w14:paraId="25EFBB9C" w14:textId="77777777" w:rsidR="001F3B10" w:rsidRPr="000665B0" w:rsidRDefault="001F3B10" w:rsidP="00402DF6">
      <w:pPr>
        <w:ind w:left="2880" w:hanging="2880"/>
      </w:pPr>
      <w:r w:rsidRPr="000665B0">
        <w:t>IDBA</w:t>
      </w:r>
      <w:r w:rsidRPr="000665B0">
        <w:tab/>
      </w:r>
      <w:r w:rsidR="00464619" w:rsidRPr="000665B0">
        <w:t>Interactive Database Administration</w:t>
      </w:r>
    </w:p>
    <w:p w14:paraId="78FD2696" w14:textId="77777777" w:rsidR="00402DF6" w:rsidRPr="000665B0" w:rsidRDefault="00402DF6" w:rsidP="00402DF6">
      <w:pPr>
        <w:ind w:left="2880" w:hanging="2880"/>
      </w:pPr>
      <w:r w:rsidRPr="000665B0">
        <w:t>IDS-9</w:t>
      </w:r>
      <w:r w:rsidRPr="000665B0">
        <w:tab/>
        <w:t>Interface Design Specification-9</w:t>
      </w:r>
    </w:p>
    <w:p w14:paraId="22BE3D4F" w14:textId="77777777" w:rsidR="00074332" w:rsidRPr="000665B0" w:rsidRDefault="00074332" w:rsidP="00402DF6">
      <w:pPr>
        <w:ind w:left="2880" w:hanging="2880"/>
      </w:pPr>
      <w:r w:rsidRPr="000665B0">
        <w:t>IHO</w:t>
      </w:r>
      <w:r w:rsidRPr="000665B0">
        <w:tab/>
        <w:t>International Hydrographic Organization</w:t>
      </w:r>
    </w:p>
    <w:p w14:paraId="7742BA11" w14:textId="77777777" w:rsidR="005E116D" w:rsidRPr="000665B0" w:rsidRDefault="005E116D" w:rsidP="00402DF6">
      <w:pPr>
        <w:ind w:left="2880" w:hanging="2880"/>
      </w:pPr>
      <w:r w:rsidRPr="000665B0">
        <w:t>IIS</w:t>
      </w:r>
      <w:r w:rsidRPr="000665B0">
        <w:tab/>
      </w:r>
      <w:r w:rsidR="00DC007B" w:rsidRPr="000665B0">
        <w:t>Internet Information Services</w:t>
      </w:r>
    </w:p>
    <w:p w14:paraId="55E90B1F" w14:textId="77777777" w:rsidR="00402DF6" w:rsidRPr="000665B0" w:rsidRDefault="00402DF6" w:rsidP="00402DF6">
      <w:pPr>
        <w:ind w:left="2880" w:hanging="2880"/>
      </w:pPr>
      <w:r w:rsidRPr="000665B0">
        <w:t>IMMM</w:t>
      </w:r>
      <w:r w:rsidRPr="000665B0">
        <w:tab/>
        <w:t>In-Flight Mission Modification Message</w:t>
      </w:r>
    </w:p>
    <w:p w14:paraId="685C824B" w14:textId="77777777" w:rsidR="009B2A6A" w:rsidRPr="000665B0" w:rsidRDefault="009B2A6A" w:rsidP="00402DF6">
      <w:pPr>
        <w:ind w:left="2880" w:hanging="2880"/>
      </w:pPr>
      <w:r w:rsidRPr="000665B0">
        <w:lastRenderedPageBreak/>
        <w:t>IME</w:t>
      </w:r>
      <w:r w:rsidRPr="000665B0">
        <w:tab/>
        <w:t>Input Method Editor</w:t>
      </w:r>
    </w:p>
    <w:p w14:paraId="3FFF75E0" w14:textId="77777777" w:rsidR="003C6AE5" w:rsidRPr="000665B0" w:rsidRDefault="003C6AE5" w:rsidP="00402DF6">
      <w:pPr>
        <w:ind w:left="2880" w:hanging="2880"/>
      </w:pPr>
      <w:r w:rsidRPr="000665B0">
        <w:t>IMU</w:t>
      </w:r>
      <w:r w:rsidRPr="000665B0">
        <w:tab/>
      </w:r>
      <w:r w:rsidR="00B843DA" w:rsidRPr="000665B0">
        <w:t>Inertial Measuring Unit</w:t>
      </w:r>
    </w:p>
    <w:p w14:paraId="4659EB2A" w14:textId="77777777" w:rsidR="00C75898" w:rsidRPr="000665B0" w:rsidRDefault="00C75898" w:rsidP="00402DF6">
      <w:pPr>
        <w:ind w:left="2880" w:hanging="2880"/>
      </w:pPr>
      <w:r w:rsidRPr="000665B0">
        <w:t>INDIGO</w:t>
      </w:r>
      <w:r w:rsidRPr="000665B0">
        <w:tab/>
      </w:r>
      <w:r w:rsidR="00B843DA" w:rsidRPr="000665B0">
        <w:t>Maritime Unit TLAM Mission Order</w:t>
      </w:r>
    </w:p>
    <w:p w14:paraId="24B3D06D" w14:textId="77777777" w:rsidR="007A2631" w:rsidRPr="000665B0" w:rsidRDefault="007A2631" w:rsidP="00290A7F">
      <w:pPr>
        <w:keepNext/>
        <w:ind w:left="2880" w:hanging="2880"/>
      </w:pPr>
      <w:r w:rsidRPr="000665B0">
        <w:t>INS</w:t>
      </w:r>
      <w:r w:rsidRPr="000665B0">
        <w:tab/>
        <w:t xml:space="preserve">Inertial Navigation System </w:t>
      </w:r>
    </w:p>
    <w:p w14:paraId="029F8D78" w14:textId="214FACC8" w:rsidR="00651D01" w:rsidRPr="000665B0" w:rsidRDefault="00651D01" w:rsidP="00290A7F">
      <w:pPr>
        <w:keepNext/>
        <w:ind w:left="2880" w:hanging="2880"/>
      </w:pPr>
      <w:r w:rsidRPr="000665B0">
        <w:t>IO</w:t>
      </w:r>
      <w:r w:rsidRPr="000665B0">
        <w:tab/>
      </w:r>
      <w:r w:rsidR="00D723CA" w:rsidRPr="000665B0">
        <w:t>Indian Ocean</w:t>
      </w:r>
    </w:p>
    <w:p w14:paraId="3E02D497" w14:textId="77777777" w:rsidR="00336888" w:rsidRPr="000665B0" w:rsidRDefault="00336888" w:rsidP="00290A7F">
      <w:pPr>
        <w:keepNext/>
        <w:ind w:left="2880" w:hanging="2880"/>
      </w:pPr>
      <w:r w:rsidRPr="000665B0">
        <w:tab/>
        <w:t>or</w:t>
      </w:r>
    </w:p>
    <w:p w14:paraId="0DA26DD7" w14:textId="77777777" w:rsidR="00336888" w:rsidRPr="000665B0" w:rsidRDefault="00336888" w:rsidP="00290A7F">
      <w:pPr>
        <w:keepNext/>
        <w:ind w:left="2880" w:hanging="2880"/>
      </w:pPr>
      <w:r w:rsidRPr="000665B0">
        <w:tab/>
        <w:t>Input/Output</w:t>
      </w:r>
    </w:p>
    <w:p w14:paraId="2B5C9870" w14:textId="77777777" w:rsidR="00402DF6" w:rsidRPr="000665B0" w:rsidRDefault="00402DF6" w:rsidP="00402DF6">
      <w:pPr>
        <w:ind w:left="2880" w:hanging="2880"/>
      </w:pPr>
      <w:r w:rsidRPr="000665B0">
        <w:t>IP</w:t>
      </w:r>
      <w:r w:rsidRPr="000665B0">
        <w:tab/>
        <w:t>Internet Protoco</w:t>
      </w:r>
      <w:r w:rsidR="00336888" w:rsidRPr="000665B0">
        <w:t>l</w:t>
      </w:r>
    </w:p>
    <w:p w14:paraId="1A50D788" w14:textId="77777777" w:rsidR="00402DF6" w:rsidRPr="000665B0" w:rsidRDefault="00402DF6" w:rsidP="00402DF6">
      <w:pPr>
        <w:ind w:left="2880" w:hanging="2880"/>
      </w:pPr>
      <w:r w:rsidRPr="000665B0">
        <w:t>IQVC</w:t>
      </w:r>
      <w:r w:rsidRPr="000665B0">
        <w:tab/>
        <w:t>Independent Quality Verification Check</w:t>
      </w:r>
    </w:p>
    <w:p w14:paraId="2A6943E4" w14:textId="77777777" w:rsidR="000A1E20" w:rsidRPr="000665B0" w:rsidRDefault="000A1E20" w:rsidP="00402DF6">
      <w:pPr>
        <w:ind w:left="2880" w:hanging="2880"/>
      </w:pPr>
      <w:r w:rsidRPr="000665B0">
        <w:t>ISAT</w:t>
      </w:r>
      <w:r w:rsidR="00F965D8" w:rsidRPr="000665B0">
        <w:tab/>
        <w:t>Intelligence Situation Awareness Tool</w:t>
      </w:r>
    </w:p>
    <w:p w14:paraId="36FF7474" w14:textId="77777777" w:rsidR="00503AE4" w:rsidRPr="000665B0" w:rsidRDefault="00503AE4" w:rsidP="00402DF6">
      <w:pPr>
        <w:ind w:left="2880" w:hanging="2880"/>
      </w:pPr>
      <w:r w:rsidRPr="000665B0">
        <w:t>ISBS</w:t>
      </w:r>
      <w:r w:rsidRPr="000665B0">
        <w:tab/>
        <w:t xml:space="preserve">Integrated Single Box Solution </w:t>
      </w:r>
    </w:p>
    <w:p w14:paraId="235E403F" w14:textId="5B81AC8D" w:rsidR="00402DF6" w:rsidRPr="000665B0" w:rsidRDefault="00402DF6" w:rsidP="00402DF6">
      <w:pPr>
        <w:ind w:left="2880" w:hanging="2880"/>
      </w:pPr>
      <w:r w:rsidRPr="000665B0">
        <w:t>ISP</w:t>
      </w:r>
      <w:r w:rsidRPr="000665B0">
        <w:tab/>
        <w:t>Installation and Setup Procedures</w:t>
      </w:r>
    </w:p>
    <w:p w14:paraId="71D37020" w14:textId="77777777" w:rsidR="005849D5" w:rsidRPr="000665B0" w:rsidRDefault="005849D5" w:rsidP="00402DF6">
      <w:pPr>
        <w:ind w:left="2880" w:hanging="2880"/>
      </w:pPr>
      <w:r w:rsidRPr="000665B0">
        <w:t>ISR</w:t>
      </w:r>
      <w:r w:rsidRPr="000665B0">
        <w:tab/>
        <w:t>Intelligence, Surveillance, and Reconnaissance</w:t>
      </w:r>
    </w:p>
    <w:p w14:paraId="57816127" w14:textId="77777777" w:rsidR="009D3D97" w:rsidRPr="000665B0" w:rsidRDefault="009D3D97" w:rsidP="00402DF6">
      <w:pPr>
        <w:ind w:left="2880" w:hanging="2880"/>
      </w:pPr>
      <w:r w:rsidRPr="000665B0">
        <w:t>ISS</w:t>
      </w:r>
      <w:r w:rsidRPr="000665B0">
        <w:tab/>
        <w:t>Inhibit Symmetric Swapping</w:t>
      </w:r>
    </w:p>
    <w:p w14:paraId="1978F3CE" w14:textId="77777777" w:rsidR="00A66906" w:rsidRPr="000665B0" w:rsidRDefault="00A66906" w:rsidP="00402DF6">
      <w:pPr>
        <w:ind w:left="2880" w:hanging="2880"/>
      </w:pPr>
      <w:r w:rsidRPr="000665B0">
        <w:t>ISSE</w:t>
      </w:r>
      <w:r w:rsidRPr="000665B0">
        <w:tab/>
        <w:t>Information Support Server Environment</w:t>
      </w:r>
    </w:p>
    <w:p w14:paraId="502DE91F" w14:textId="77777777" w:rsidR="00402DF6" w:rsidRPr="000665B0" w:rsidRDefault="00402DF6" w:rsidP="00402DF6">
      <w:pPr>
        <w:ind w:left="2880" w:hanging="2880"/>
      </w:pPr>
      <w:r w:rsidRPr="000665B0">
        <w:t>ITCP</w:t>
      </w:r>
      <w:r w:rsidRPr="000665B0">
        <w:tab/>
        <w:t>Initial Timing Control Point</w:t>
      </w:r>
    </w:p>
    <w:p w14:paraId="39FD839E" w14:textId="77777777" w:rsidR="00074332" w:rsidRPr="000665B0" w:rsidRDefault="00074332" w:rsidP="00402DF6">
      <w:pPr>
        <w:ind w:left="2880" w:hanging="2880"/>
      </w:pPr>
      <w:r w:rsidRPr="000665B0">
        <w:t>JANAP</w:t>
      </w:r>
      <w:r w:rsidRPr="000665B0">
        <w:tab/>
        <w:t>Joint Army, Navy, Air Force Publication</w:t>
      </w:r>
    </w:p>
    <w:p w14:paraId="50C36BDE" w14:textId="77777777" w:rsidR="00402DF6" w:rsidRPr="000665B0" w:rsidRDefault="00402DF6" w:rsidP="00402DF6">
      <w:pPr>
        <w:pStyle w:val="Acronym"/>
        <w:spacing w:before="0" w:after="120"/>
      </w:pPr>
      <w:r w:rsidRPr="000665B0">
        <w:rPr>
          <w:szCs w:val="24"/>
        </w:rPr>
        <w:t>JDPI</w:t>
      </w:r>
      <w:r w:rsidRPr="000665B0">
        <w:rPr>
          <w:szCs w:val="24"/>
        </w:rPr>
        <w:tab/>
      </w:r>
      <w:r w:rsidRPr="000665B0">
        <w:t>Joint Desired Point of Impact</w:t>
      </w:r>
    </w:p>
    <w:p w14:paraId="5988A1A6" w14:textId="77777777" w:rsidR="000810A2" w:rsidRPr="000665B0" w:rsidRDefault="000810A2" w:rsidP="00402DF6">
      <w:pPr>
        <w:pStyle w:val="Acronym"/>
        <w:spacing w:before="0" w:after="120"/>
        <w:rPr>
          <w:szCs w:val="24"/>
        </w:rPr>
      </w:pPr>
      <w:r w:rsidRPr="000665B0">
        <w:rPr>
          <w:szCs w:val="24"/>
        </w:rPr>
        <w:t>JIPTL</w:t>
      </w:r>
      <w:r w:rsidRPr="000665B0">
        <w:rPr>
          <w:szCs w:val="24"/>
        </w:rPr>
        <w:tab/>
      </w:r>
      <w:r w:rsidRPr="000665B0">
        <w:t>Joint Integrated Prioritized Target List</w:t>
      </w:r>
    </w:p>
    <w:p w14:paraId="3750C5AF" w14:textId="77777777" w:rsidR="007564D4" w:rsidRPr="000665B0" w:rsidRDefault="007564D4" w:rsidP="00402DF6">
      <w:pPr>
        <w:pStyle w:val="Acronym"/>
        <w:spacing w:before="0" w:after="120"/>
        <w:rPr>
          <w:szCs w:val="24"/>
        </w:rPr>
      </w:pPr>
      <w:r w:rsidRPr="000665B0">
        <w:rPr>
          <w:szCs w:val="24"/>
        </w:rPr>
        <w:t>JKR</w:t>
      </w:r>
      <w:r w:rsidRPr="000665B0">
        <w:rPr>
          <w:szCs w:val="24"/>
        </w:rPr>
        <w:tab/>
        <w:t>Joker</w:t>
      </w:r>
    </w:p>
    <w:p w14:paraId="3761CCFB" w14:textId="0FD8F467" w:rsidR="008679CF" w:rsidRDefault="008679CF" w:rsidP="00402DF6">
      <w:pPr>
        <w:pStyle w:val="Acronym"/>
        <w:spacing w:before="0" w:after="120"/>
      </w:pPr>
      <w:r w:rsidRPr="000665B0">
        <w:rPr>
          <w:szCs w:val="24"/>
        </w:rPr>
        <w:t>JMEWS</w:t>
      </w:r>
      <w:r w:rsidRPr="000665B0">
        <w:rPr>
          <w:szCs w:val="24"/>
        </w:rPr>
        <w:tab/>
      </w:r>
      <w:r w:rsidRPr="000665B0">
        <w:t>Joint Multiple Effects Warhead System</w:t>
      </w:r>
    </w:p>
    <w:p w14:paraId="1124D210" w14:textId="6DB7DE74" w:rsidR="00963507" w:rsidRPr="000665B0" w:rsidRDefault="00963507" w:rsidP="00402DF6">
      <w:pPr>
        <w:pStyle w:val="Acronym"/>
        <w:spacing w:before="0" w:after="120"/>
      </w:pPr>
      <w:r>
        <w:t>JMS</w:t>
      </w:r>
      <w:r>
        <w:tab/>
        <w:t>Java Messaging Service</w:t>
      </w:r>
    </w:p>
    <w:p w14:paraId="69AE37BE" w14:textId="4A4D70DA" w:rsidR="00402DF6" w:rsidRPr="000665B0" w:rsidRDefault="00402DF6" w:rsidP="00402DF6">
      <w:pPr>
        <w:pStyle w:val="Acronym"/>
        <w:spacing w:before="0" w:after="120"/>
        <w:rPr>
          <w:szCs w:val="24"/>
        </w:rPr>
      </w:pPr>
      <w:r w:rsidRPr="000665B0">
        <w:rPr>
          <w:szCs w:val="24"/>
        </w:rPr>
        <w:t>JOTS</w:t>
      </w:r>
      <w:r w:rsidRPr="000665B0">
        <w:rPr>
          <w:szCs w:val="24"/>
        </w:rPr>
        <w:tab/>
        <w:t>Joint Operational Tactical System</w:t>
      </w:r>
    </w:p>
    <w:p w14:paraId="19F1682B" w14:textId="77777777" w:rsidR="00C5129B" w:rsidRPr="000665B0" w:rsidRDefault="00C5129B" w:rsidP="008D6601">
      <w:pPr>
        <w:pStyle w:val="Acronym"/>
        <w:spacing w:before="0" w:after="120"/>
        <w:rPr>
          <w:szCs w:val="24"/>
        </w:rPr>
      </w:pPr>
      <w:r w:rsidRPr="000665B0">
        <w:rPr>
          <w:szCs w:val="24"/>
        </w:rPr>
        <w:t>KEK</w:t>
      </w:r>
      <w:r w:rsidRPr="000665B0">
        <w:rPr>
          <w:szCs w:val="24"/>
        </w:rPr>
        <w:tab/>
        <w:t>Key Encryption Key</w:t>
      </w:r>
    </w:p>
    <w:p w14:paraId="3E22790D" w14:textId="5D3608E5" w:rsidR="008D6601" w:rsidRPr="000665B0" w:rsidRDefault="008D6601" w:rsidP="008D6601">
      <w:pPr>
        <w:pStyle w:val="Acronym"/>
        <w:spacing w:before="0" w:after="120"/>
        <w:rPr>
          <w:szCs w:val="24"/>
        </w:rPr>
      </w:pPr>
      <w:r w:rsidRPr="000665B0">
        <w:rPr>
          <w:szCs w:val="24"/>
        </w:rPr>
        <w:t>KLAD</w:t>
      </w:r>
      <w:r w:rsidRPr="000665B0">
        <w:rPr>
          <w:szCs w:val="24"/>
        </w:rPr>
        <w:tab/>
        <w:t>Key Location Address</w:t>
      </w:r>
    </w:p>
    <w:p w14:paraId="0E13CEFE" w14:textId="77777777" w:rsidR="00A4483C" w:rsidRPr="000665B0" w:rsidRDefault="00A4483C" w:rsidP="00402DF6">
      <w:pPr>
        <w:pStyle w:val="Acronym"/>
        <w:spacing w:before="0" w:after="120"/>
        <w:rPr>
          <w:szCs w:val="24"/>
        </w:rPr>
      </w:pPr>
      <w:r w:rsidRPr="000665B0">
        <w:rPr>
          <w:szCs w:val="24"/>
        </w:rPr>
        <w:t>KML</w:t>
      </w:r>
      <w:r w:rsidRPr="000665B0">
        <w:rPr>
          <w:szCs w:val="24"/>
        </w:rPr>
        <w:tab/>
        <w:t>Keyhole Markup Language</w:t>
      </w:r>
    </w:p>
    <w:p w14:paraId="4B8AB8F2" w14:textId="10DD1FA6" w:rsidR="007C4974" w:rsidRPr="000665B0" w:rsidRDefault="007C4974" w:rsidP="00402DF6">
      <w:pPr>
        <w:pStyle w:val="Acronym"/>
        <w:spacing w:before="0" w:after="120"/>
        <w:rPr>
          <w:szCs w:val="24"/>
        </w:rPr>
      </w:pPr>
      <w:r w:rsidRPr="000665B0">
        <w:rPr>
          <w:szCs w:val="24"/>
        </w:rPr>
        <w:t>KT</w:t>
      </w:r>
      <w:r w:rsidRPr="000665B0">
        <w:rPr>
          <w:szCs w:val="24"/>
        </w:rPr>
        <w:tab/>
        <w:t>Kilotons</w:t>
      </w:r>
    </w:p>
    <w:p w14:paraId="23E5F1DC" w14:textId="77777777" w:rsidR="00402DF6" w:rsidRPr="000665B0" w:rsidRDefault="00402DF6" w:rsidP="00402DF6">
      <w:pPr>
        <w:pStyle w:val="Acronym"/>
        <w:spacing w:before="0" w:after="120"/>
        <w:rPr>
          <w:szCs w:val="24"/>
        </w:rPr>
      </w:pPr>
      <w:r w:rsidRPr="000665B0">
        <w:rPr>
          <w:szCs w:val="24"/>
        </w:rPr>
        <w:t>LA</w:t>
      </w:r>
      <w:r w:rsidRPr="000665B0">
        <w:rPr>
          <w:szCs w:val="24"/>
        </w:rPr>
        <w:tab/>
      </w:r>
      <w:r w:rsidRPr="000665B0">
        <w:t>Launch Area</w:t>
      </w:r>
    </w:p>
    <w:p w14:paraId="477C4583" w14:textId="77777777" w:rsidR="00402DF6" w:rsidRPr="000665B0" w:rsidRDefault="00402DF6" w:rsidP="00402DF6">
      <w:pPr>
        <w:ind w:left="2880" w:hanging="2880"/>
      </w:pPr>
      <w:r w:rsidRPr="000665B0">
        <w:t>LAC</w:t>
      </w:r>
      <w:r w:rsidRPr="000665B0">
        <w:tab/>
        <w:t>Launch Area Coordinator</w:t>
      </w:r>
    </w:p>
    <w:p w14:paraId="05837C19" w14:textId="77777777" w:rsidR="00651D01" w:rsidRPr="000665B0" w:rsidRDefault="00651D01" w:rsidP="00402DF6">
      <w:pPr>
        <w:ind w:left="2880" w:hanging="2880"/>
      </w:pPr>
      <w:r w:rsidRPr="000665B0">
        <w:t>LANT</w:t>
      </w:r>
      <w:r w:rsidRPr="000665B0">
        <w:tab/>
      </w:r>
      <w:r w:rsidR="00761FD3" w:rsidRPr="000665B0">
        <w:t>Atlantic</w:t>
      </w:r>
    </w:p>
    <w:p w14:paraId="203C85D4" w14:textId="77777777" w:rsidR="00074332" w:rsidRPr="000665B0" w:rsidRDefault="00074332" w:rsidP="00402DF6">
      <w:pPr>
        <w:ind w:left="2880" w:hanging="2880"/>
      </w:pPr>
      <w:r w:rsidRPr="000665B0">
        <w:t>LE</w:t>
      </w:r>
      <w:r w:rsidRPr="000665B0">
        <w:tab/>
        <w:t>Linear Error</w:t>
      </w:r>
    </w:p>
    <w:p w14:paraId="4CE6D913" w14:textId="77777777" w:rsidR="00FB5398" w:rsidRPr="000665B0" w:rsidRDefault="00FB5398" w:rsidP="00402DF6">
      <w:pPr>
        <w:ind w:left="2880" w:hanging="2880"/>
      </w:pPr>
      <w:r w:rsidRPr="000665B0">
        <w:t>LCS</w:t>
      </w:r>
      <w:r w:rsidRPr="000665B0">
        <w:tab/>
      </w:r>
      <w:r w:rsidR="00DC007B" w:rsidRPr="000665B0">
        <w:t>Launch Control System</w:t>
      </w:r>
    </w:p>
    <w:p w14:paraId="4F229D8B" w14:textId="77777777" w:rsidR="00402DF6" w:rsidRPr="000665B0" w:rsidRDefault="00402DF6" w:rsidP="00402DF6">
      <w:pPr>
        <w:ind w:left="2880" w:hanging="2880"/>
      </w:pPr>
      <w:r w:rsidRPr="000665B0">
        <w:lastRenderedPageBreak/>
        <w:t>LER</w:t>
      </w:r>
      <w:r w:rsidRPr="000665B0">
        <w:tab/>
        <w:t xml:space="preserve">Launch </w:t>
      </w:r>
      <w:r w:rsidR="00F01AAF" w:rsidRPr="000665B0">
        <w:t xml:space="preserve">Event </w:t>
      </w:r>
      <w:r w:rsidRPr="000665B0">
        <w:t>Report</w:t>
      </w:r>
    </w:p>
    <w:p w14:paraId="7E02D00F" w14:textId="77777777" w:rsidR="009E67A1" w:rsidRPr="000665B0" w:rsidRDefault="009E67A1" w:rsidP="00402DF6">
      <w:pPr>
        <w:ind w:left="2880" w:hanging="2880"/>
      </w:pPr>
      <w:r w:rsidRPr="000665B0">
        <w:t>LIMDIS</w:t>
      </w:r>
      <w:r w:rsidRPr="000665B0">
        <w:tab/>
      </w:r>
      <w:r w:rsidR="00336888" w:rsidRPr="000665B0">
        <w:t>Limited Distribution</w:t>
      </w:r>
    </w:p>
    <w:p w14:paraId="4CF4C53C" w14:textId="77777777" w:rsidR="00074332" w:rsidRPr="000665B0" w:rsidRDefault="00074332" w:rsidP="00402DF6">
      <w:pPr>
        <w:ind w:left="2880" w:hanging="2880"/>
      </w:pPr>
      <w:r w:rsidRPr="000665B0">
        <w:t>LINT</w:t>
      </w:r>
      <w:r w:rsidRPr="000665B0">
        <w:tab/>
        <w:t xml:space="preserve">Legacy Interface Network </w:t>
      </w:r>
      <w:r w:rsidR="00DC7D18" w:rsidRPr="000665B0">
        <w:t>TMPC</w:t>
      </w:r>
    </w:p>
    <w:p w14:paraId="653F7D50" w14:textId="77777777" w:rsidR="00402DF6" w:rsidRPr="000665B0" w:rsidRDefault="00402DF6" w:rsidP="00402DF6">
      <w:pPr>
        <w:pStyle w:val="Acronym"/>
        <w:spacing w:before="0" w:after="120"/>
        <w:rPr>
          <w:szCs w:val="24"/>
        </w:rPr>
      </w:pPr>
      <w:r w:rsidRPr="000665B0">
        <w:rPr>
          <w:szCs w:val="24"/>
        </w:rPr>
        <w:t>LFS</w:t>
      </w:r>
      <w:r w:rsidRPr="000665B0">
        <w:rPr>
          <w:szCs w:val="24"/>
        </w:rPr>
        <w:tab/>
        <w:t>Launch Flight Software</w:t>
      </w:r>
    </w:p>
    <w:p w14:paraId="4FB76331" w14:textId="77777777" w:rsidR="007C4974" w:rsidRPr="000665B0" w:rsidRDefault="007C4974" w:rsidP="00402DF6">
      <w:pPr>
        <w:ind w:left="2880" w:hanging="2880"/>
      </w:pPr>
      <w:r w:rsidRPr="000665B0">
        <w:t>LMEWP</w:t>
      </w:r>
      <w:r w:rsidRPr="000665B0">
        <w:tab/>
        <w:t xml:space="preserve">Last Map Exit Waypoint </w:t>
      </w:r>
    </w:p>
    <w:p w14:paraId="496535AD" w14:textId="138C59C9" w:rsidR="00402DF6" w:rsidRPr="000665B0" w:rsidRDefault="00402DF6" w:rsidP="00402DF6">
      <w:pPr>
        <w:ind w:left="2880" w:hanging="2880"/>
      </w:pPr>
      <w:r w:rsidRPr="000665B0">
        <w:t>LMO</w:t>
      </w:r>
      <w:r w:rsidRPr="000665B0">
        <w:tab/>
        <w:t xml:space="preserve">LPMP Mission </w:t>
      </w:r>
      <w:r w:rsidR="005F6270">
        <w:t xml:space="preserve">Planning Request </w:t>
      </w:r>
      <w:r w:rsidRPr="000665B0">
        <w:t>Object</w:t>
      </w:r>
    </w:p>
    <w:p w14:paraId="6ED6B357" w14:textId="1AE39856" w:rsidR="007564D4" w:rsidRPr="000665B0" w:rsidRDefault="007564D4" w:rsidP="00402DF6">
      <w:pPr>
        <w:ind w:left="2880" w:hanging="2880"/>
      </w:pPr>
      <w:r w:rsidRPr="000665B0">
        <w:t>LND</w:t>
      </w:r>
      <w:r w:rsidRPr="000665B0">
        <w:tab/>
        <w:t>Land-Based Installation/Facility</w:t>
      </w:r>
    </w:p>
    <w:p w14:paraId="57E772E0" w14:textId="77777777" w:rsidR="004242BF" w:rsidRPr="000665B0" w:rsidRDefault="004242BF" w:rsidP="00402DF6">
      <w:pPr>
        <w:ind w:left="2880" w:hanging="2880"/>
      </w:pPr>
      <w:r w:rsidRPr="000665B0">
        <w:t>LOCL</w:t>
      </w:r>
      <w:r w:rsidRPr="000665B0">
        <w:tab/>
        <w:t>Local</w:t>
      </w:r>
    </w:p>
    <w:p w14:paraId="4AC916BF" w14:textId="45D35818" w:rsidR="00402DF6" w:rsidRPr="000665B0" w:rsidRDefault="00402DF6" w:rsidP="00402DF6">
      <w:pPr>
        <w:ind w:left="2880" w:hanging="2880"/>
      </w:pPr>
      <w:r w:rsidRPr="000665B0">
        <w:t>LPMP</w:t>
      </w:r>
      <w:r w:rsidRPr="000665B0">
        <w:tab/>
        <w:t>Launch Platform Mission Planning</w:t>
      </w:r>
    </w:p>
    <w:p w14:paraId="1F7A829E" w14:textId="095CE162" w:rsidR="009251DD" w:rsidRDefault="009251DD" w:rsidP="00402DF6">
      <w:pPr>
        <w:ind w:left="2880" w:hanging="2880"/>
      </w:pPr>
      <w:r w:rsidRPr="000665B0">
        <w:t>LRE</w:t>
      </w:r>
      <w:r w:rsidRPr="000665B0">
        <w:tab/>
        <w:t>Left-to-Right Embedding</w:t>
      </w:r>
    </w:p>
    <w:p w14:paraId="4B3F1849" w14:textId="07E30116" w:rsidR="000D5AC6" w:rsidRPr="000665B0" w:rsidRDefault="000D5AC6" w:rsidP="00402DF6">
      <w:pPr>
        <w:ind w:left="2880" w:hanging="2880"/>
      </w:pPr>
      <w:r>
        <w:t>LRF</w:t>
      </w:r>
      <w:r>
        <w:tab/>
        <w:t>Long Range Fire</w:t>
      </w:r>
    </w:p>
    <w:p w14:paraId="39F1AA16" w14:textId="77777777" w:rsidR="009251DD" w:rsidRPr="000665B0" w:rsidRDefault="009251DD" w:rsidP="00402DF6">
      <w:pPr>
        <w:ind w:left="2880" w:hanging="2880"/>
      </w:pPr>
      <w:r w:rsidRPr="000665B0">
        <w:t>LRM</w:t>
      </w:r>
      <w:r w:rsidRPr="000665B0">
        <w:tab/>
        <w:t>Left-to-Right Mark</w:t>
      </w:r>
    </w:p>
    <w:p w14:paraId="0716DACC" w14:textId="77777777" w:rsidR="009251DD" w:rsidRPr="000665B0" w:rsidRDefault="009251DD" w:rsidP="00402DF6">
      <w:pPr>
        <w:ind w:left="2880" w:hanging="2880"/>
      </w:pPr>
      <w:r w:rsidRPr="000665B0">
        <w:t>LRO</w:t>
      </w:r>
      <w:r w:rsidRPr="000665B0">
        <w:tab/>
        <w:t>Left-to-Right Override</w:t>
      </w:r>
    </w:p>
    <w:p w14:paraId="12D47E8E" w14:textId="77777777" w:rsidR="00402DF6" w:rsidRPr="000665B0" w:rsidRDefault="00402DF6" w:rsidP="00402DF6">
      <w:pPr>
        <w:ind w:left="2880" w:hanging="2880"/>
      </w:pPr>
      <w:r w:rsidRPr="000665B0">
        <w:t>LSP</w:t>
      </w:r>
      <w:r w:rsidRPr="000665B0">
        <w:tab/>
        <w:t>Launch Sequence Plan</w:t>
      </w:r>
    </w:p>
    <w:p w14:paraId="7D07DB22" w14:textId="77777777" w:rsidR="00B32AC5" w:rsidRPr="000665B0" w:rsidRDefault="00402DF6" w:rsidP="00B32AC5">
      <w:pPr>
        <w:ind w:left="2880" w:hanging="2880"/>
      </w:pPr>
      <w:r w:rsidRPr="000665B0">
        <w:t>M</w:t>
      </w:r>
      <w:r w:rsidR="00F953B9" w:rsidRPr="000665B0">
        <w:t>3</w:t>
      </w:r>
      <w:r w:rsidRPr="000665B0">
        <w:tab/>
        <w:t>Missile Mission Matching</w:t>
      </w:r>
    </w:p>
    <w:p w14:paraId="316EA77B" w14:textId="77777777" w:rsidR="00402DF6" w:rsidRPr="000665B0" w:rsidRDefault="00402DF6" w:rsidP="00AC3784">
      <w:pPr>
        <w:ind w:left="2880" w:hanging="2880"/>
      </w:pPr>
      <w:r w:rsidRPr="000665B0">
        <w:t>MAAP</w:t>
      </w:r>
      <w:r w:rsidRPr="000665B0">
        <w:tab/>
        <w:t>Master Air Attack Plan</w:t>
      </w:r>
    </w:p>
    <w:p w14:paraId="5019FBE0" w14:textId="770DE546" w:rsidR="00475D59" w:rsidRPr="000665B0" w:rsidRDefault="00475D59" w:rsidP="00402DF6">
      <w:pPr>
        <w:ind w:left="2880" w:hanging="2880"/>
      </w:pPr>
      <w:r w:rsidRPr="000665B0">
        <w:t>MABS</w:t>
      </w:r>
      <w:r w:rsidRPr="000665B0">
        <w:tab/>
        <w:t>Micro-Processor-A Base Software</w:t>
      </w:r>
    </w:p>
    <w:p w14:paraId="7D1BE489" w14:textId="6C6DEC95" w:rsidR="003C6AE5" w:rsidRPr="000665B0" w:rsidRDefault="003C6AE5" w:rsidP="00402DF6">
      <w:pPr>
        <w:ind w:left="2880" w:hanging="2880"/>
      </w:pPr>
      <w:r w:rsidRPr="000665B0">
        <w:t>MAC</w:t>
      </w:r>
      <w:r w:rsidRPr="000665B0">
        <w:tab/>
      </w:r>
      <w:r w:rsidR="00DC007B" w:rsidRPr="000665B0">
        <w:t>Multiple AUR Canister</w:t>
      </w:r>
    </w:p>
    <w:p w14:paraId="54026B66" w14:textId="53E22E28" w:rsidR="00475D59" w:rsidRPr="000665B0" w:rsidRDefault="00475D59" w:rsidP="00402DF6">
      <w:pPr>
        <w:ind w:left="2880" w:hanging="2880"/>
      </w:pPr>
      <w:r w:rsidRPr="000665B0">
        <w:t>MATS</w:t>
      </w:r>
      <w:r w:rsidRPr="000665B0">
        <w:tab/>
        <w:t>Micro-Processor-A Tactical Software</w:t>
      </w:r>
    </w:p>
    <w:p w14:paraId="5B87F51A" w14:textId="77777777" w:rsidR="00402DF6" w:rsidRPr="000665B0" w:rsidRDefault="00402DF6" w:rsidP="00402DF6">
      <w:pPr>
        <w:ind w:left="2880" w:hanging="2880"/>
      </w:pPr>
      <w:r w:rsidRPr="000665B0">
        <w:t>MAXSOR</w:t>
      </w:r>
      <w:r w:rsidRPr="000665B0">
        <w:tab/>
        <w:t>Maximum Stand-off Range</w:t>
      </w:r>
    </w:p>
    <w:p w14:paraId="71CB810B" w14:textId="024A1C12" w:rsidR="00475D59" w:rsidRPr="000665B0" w:rsidRDefault="00475D59" w:rsidP="00402DF6">
      <w:pPr>
        <w:ind w:left="2880" w:hanging="2880"/>
      </w:pPr>
      <w:r w:rsidRPr="000665B0">
        <w:t>MBBS</w:t>
      </w:r>
      <w:r w:rsidRPr="000665B0">
        <w:tab/>
        <w:t>Micro-Processor-B Base Software</w:t>
      </w:r>
    </w:p>
    <w:p w14:paraId="5794E20B" w14:textId="01ACFD35" w:rsidR="00475D59" w:rsidRPr="000665B0" w:rsidRDefault="00475D59" w:rsidP="00402DF6">
      <w:pPr>
        <w:ind w:left="2880" w:hanging="2880"/>
      </w:pPr>
      <w:r w:rsidRPr="000665B0">
        <w:t>MBTS</w:t>
      </w:r>
      <w:r w:rsidRPr="000665B0">
        <w:tab/>
        <w:t>Micro-Processor-B Tactical Software</w:t>
      </w:r>
    </w:p>
    <w:p w14:paraId="09D2C469" w14:textId="29E88075" w:rsidR="00074332" w:rsidRPr="000665B0" w:rsidRDefault="00074332" w:rsidP="00402DF6">
      <w:pPr>
        <w:ind w:left="2880" w:hanging="2880"/>
      </w:pPr>
      <w:r w:rsidRPr="000665B0">
        <w:t>MC</w:t>
      </w:r>
      <w:r w:rsidRPr="000665B0">
        <w:tab/>
        <w:t>Missile Controller</w:t>
      </w:r>
    </w:p>
    <w:p w14:paraId="75C59B13" w14:textId="77777777" w:rsidR="009E67A1" w:rsidRPr="000665B0" w:rsidRDefault="009E67A1" w:rsidP="00402DF6">
      <w:pPr>
        <w:ind w:left="2880" w:hanging="2880"/>
      </w:pPr>
      <w:r w:rsidRPr="000665B0">
        <w:t>MC1</w:t>
      </w:r>
      <w:r w:rsidRPr="000665B0">
        <w:tab/>
      </w:r>
      <w:r w:rsidR="00DC007B" w:rsidRPr="000665B0">
        <w:t>Missile Controller 1</w:t>
      </w:r>
    </w:p>
    <w:p w14:paraId="38DB2B2D" w14:textId="77777777" w:rsidR="009E67A1" w:rsidRPr="000665B0" w:rsidRDefault="009E67A1" w:rsidP="00402DF6">
      <w:pPr>
        <w:ind w:left="2880" w:hanging="2880"/>
      </w:pPr>
      <w:r w:rsidRPr="000665B0">
        <w:t>MC2</w:t>
      </w:r>
      <w:r w:rsidRPr="000665B0">
        <w:tab/>
      </w:r>
      <w:r w:rsidR="00DC007B" w:rsidRPr="000665B0">
        <w:t>Missile Controller 2</w:t>
      </w:r>
    </w:p>
    <w:p w14:paraId="1B1D970F" w14:textId="686001EF" w:rsidR="00B10A82" w:rsidRPr="000665B0" w:rsidRDefault="00B10A82" w:rsidP="00402DF6">
      <w:pPr>
        <w:pStyle w:val="Acronym"/>
        <w:spacing w:before="0" w:after="120"/>
        <w:rPr>
          <w:szCs w:val="24"/>
        </w:rPr>
      </w:pPr>
      <w:r w:rsidRPr="000665B0">
        <w:rPr>
          <w:szCs w:val="24"/>
        </w:rPr>
        <w:t>MCF</w:t>
      </w:r>
      <w:r w:rsidRPr="000665B0">
        <w:rPr>
          <w:szCs w:val="24"/>
        </w:rPr>
        <w:tab/>
        <w:t>MTIF Compatibility File</w:t>
      </w:r>
    </w:p>
    <w:p w14:paraId="62EEEE97" w14:textId="4A222621" w:rsidR="00402DF6" w:rsidRPr="000665B0" w:rsidRDefault="00402DF6" w:rsidP="00402DF6">
      <w:pPr>
        <w:pStyle w:val="Acronym"/>
        <w:spacing w:before="0" w:after="120"/>
        <w:rPr>
          <w:szCs w:val="24"/>
        </w:rPr>
      </w:pPr>
      <w:r w:rsidRPr="000665B0">
        <w:rPr>
          <w:szCs w:val="24"/>
        </w:rPr>
        <w:t>MDDB</w:t>
      </w:r>
      <w:r w:rsidRPr="000665B0">
        <w:rPr>
          <w:szCs w:val="24"/>
        </w:rPr>
        <w:tab/>
        <w:t>Mission Data Database</w:t>
      </w:r>
    </w:p>
    <w:p w14:paraId="0343F472" w14:textId="77777777" w:rsidR="00402DF6" w:rsidRPr="000665B0" w:rsidRDefault="00402DF6" w:rsidP="00402DF6">
      <w:pPr>
        <w:ind w:left="2880" w:hanging="2880"/>
      </w:pPr>
      <w:r w:rsidRPr="000665B0">
        <w:t>MDS</w:t>
      </w:r>
      <w:r w:rsidRPr="000665B0">
        <w:tab/>
        <w:t>Mission Distribution System</w:t>
      </w:r>
    </w:p>
    <w:p w14:paraId="610567DE" w14:textId="77777777" w:rsidR="00402DF6" w:rsidRPr="000665B0" w:rsidRDefault="00402DF6" w:rsidP="00402DF6">
      <w:pPr>
        <w:ind w:left="2880" w:hanging="2880"/>
      </w:pPr>
      <w:r w:rsidRPr="000665B0">
        <w:t>MDTO</w:t>
      </w:r>
      <w:r w:rsidRPr="000665B0">
        <w:tab/>
        <w:t>Mission Data Transmit Order</w:t>
      </w:r>
    </w:p>
    <w:p w14:paraId="276EA12B" w14:textId="77777777" w:rsidR="00402DF6" w:rsidRPr="000665B0" w:rsidRDefault="00402DF6" w:rsidP="00402DF6">
      <w:pPr>
        <w:ind w:left="2880" w:hanging="2880"/>
      </w:pPr>
      <w:r w:rsidRPr="000665B0">
        <w:t>MDU</w:t>
      </w:r>
      <w:r w:rsidRPr="000665B0">
        <w:tab/>
        <w:t>Mission Data Update</w:t>
      </w:r>
    </w:p>
    <w:p w14:paraId="0EBFF6C5" w14:textId="77777777" w:rsidR="00074332" w:rsidRPr="000665B0" w:rsidRDefault="00074332" w:rsidP="00402DF6">
      <w:pPr>
        <w:ind w:left="2880" w:hanging="2880"/>
      </w:pPr>
      <w:r w:rsidRPr="000665B0">
        <w:t>MGRS</w:t>
      </w:r>
      <w:r w:rsidRPr="000665B0">
        <w:tab/>
        <w:t>Military Grid Reference System</w:t>
      </w:r>
    </w:p>
    <w:p w14:paraId="1411DF9B" w14:textId="77777777" w:rsidR="00402DF6" w:rsidRPr="000665B0" w:rsidRDefault="00402DF6" w:rsidP="00402DF6">
      <w:pPr>
        <w:ind w:left="2880" w:hanging="2880"/>
      </w:pPr>
      <w:r w:rsidRPr="000665B0">
        <w:t>MGUARD</w:t>
      </w:r>
      <w:r w:rsidRPr="000665B0">
        <w:tab/>
        <w:t>Multi-Level Secure Guard</w:t>
      </w:r>
    </w:p>
    <w:p w14:paraId="0CBBE699" w14:textId="77777777" w:rsidR="00402DF6" w:rsidRPr="000665B0" w:rsidRDefault="00402DF6" w:rsidP="00402DF6">
      <w:pPr>
        <w:ind w:left="2880" w:hanging="2880"/>
      </w:pPr>
      <w:r w:rsidRPr="000665B0">
        <w:lastRenderedPageBreak/>
        <w:t>MIDB</w:t>
      </w:r>
      <w:r w:rsidRPr="000665B0">
        <w:tab/>
        <w:t>Modernized Integrated Database</w:t>
      </w:r>
    </w:p>
    <w:p w14:paraId="5D5B5D20" w14:textId="6C3CE982" w:rsidR="00523D7A" w:rsidRPr="000665B0" w:rsidRDefault="00523D7A" w:rsidP="00402DF6">
      <w:pPr>
        <w:ind w:left="2880" w:hanging="2880"/>
      </w:pPr>
      <w:r w:rsidRPr="000665B0">
        <w:t>MINS</w:t>
      </w:r>
      <w:r w:rsidRPr="000665B0">
        <w:tab/>
        <w:t>Minutes</w:t>
      </w:r>
    </w:p>
    <w:p w14:paraId="1F8A3248" w14:textId="63660F07" w:rsidR="00402DF6" w:rsidRPr="000665B0" w:rsidRDefault="00402DF6" w:rsidP="00402DF6">
      <w:pPr>
        <w:ind w:left="2880" w:hanging="2880"/>
      </w:pPr>
      <w:r w:rsidRPr="000665B0">
        <w:t>MINSOR</w:t>
      </w:r>
      <w:r w:rsidRPr="000665B0">
        <w:tab/>
        <w:t>Minimum Stand-</w:t>
      </w:r>
      <w:r w:rsidR="00AE44E8" w:rsidRPr="000665B0">
        <w:t>O</w:t>
      </w:r>
      <w:r w:rsidRPr="000665B0">
        <w:t>ff Range</w:t>
      </w:r>
    </w:p>
    <w:p w14:paraId="13B7BE90" w14:textId="77777777" w:rsidR="0068065E" w:rsidRPr="000665B0" w:rsidRDefault="0068065E" w:rsidP="0068065E">
      <w:pPr>
        <w:ind w:left="2880" w:hanging="2880"/>
      </w:pPr>
      <w:r w:rsidRPr="000665B0">
        <w:t>MIO</w:t>
      </w:r>
      <w:r w:rsidRPr="000665B0">
        <w:tab/>
      </w:r>
      <w:r w:rsidR="00DC007B" w:rsidRPr="000665B0">
        <w:t>Missile Initialization Object</w:t>
      </w:r>
    </w:p>
    <w:p w14:paraId="0B165BF4" w14:textId="77777777" w:rsidR="00402DF6" w:rsidRPr="000665B0" w:rsidRDefault="00402DF6" w:rsidP="00402DF6">
      <w:pPr>
        <w:ind w:left="2880" w:hanging="2880"/>
      </w:pPr>
      <w:r w:rsidRPr="000665B0">
        <w:t>MIS</w:t>
      </w:r>
      <w:r w:rsidR="00336888" w:rsidRPr="000665B0">
        <w:t>CODE</w:t>
      </w:r>
      <w:r w:rsidRPr="000665B0">
        <w:tab/>
        <w:t xml:space="preserve">Missile Identification System </w:t>
      </w:r>
      <w:r w:rsidR="00336888" w:rsidRPr="000665B0">
        <w:t>Code</w:t>
      </w:r>
    </w:p>
    <w:p w14:paraId="73D2579C" w14:textId="77777777" w:rsidR="00402DF6" w:rsidRPr="000665B0" w:rsidRDefault="00402DF6" w:rsidP="00402DF6">
      <w:pPr>
        <w:ind w:left="2880" w:hanging="2880"/>
      </w:pPr>
      <w:r w:rsidRPr="000665B0">
        <w:t>MLOSRF</w:t>
      </w:r>
      <w:r w:rsidRPr="000665B0">
        <w:tab/>
        <w:t>Missile Load-Out Situation Report File</w:t>
      </w:r>
    </w:p>
    <w:p w14:paraId="6777EFCF" w14:textId="77777777" w:rsidR="00922FC2" w:rsidRPr="000665B0" w:rsidRDefault="00922FC2" w:rsidP="00922FC2">
      <w:pPr>
        <w:ind w:left="2880" w:hanging="2880"/>
      </w:pPr>
      <w:r w:rsidRPr="000665B0">
        <w:t>MLOSRF-T</w:t>
      </w:r>
      <w:r w:rsidRPr="000665B0">
        <w:tab/>
        <w:t>Missile Load-Out Situation Report File, TTWC</w:t>
      </w:r>
      <w:r w:rsidR="00336888" w:rsidRPr="000665B0">
        <w:t>S</w:t>
      </w:r>
    </w:p>
    <w:p w14:paraId="7F37C704" w14:textId="77777777" w:rsidR="007C4974" w:rsidRPr="000665B0" w:rsidRDefault="007C4974" w:rsidP="00402DF6">
      <w:pPr>
        <w:ind w:left="2880" w:hanging="2880"/>
      </w:pPr>
      <w:r w:rsidRPr="000665B0">
        <w:t>MMDD</w:t>
      </w:r>
      <w:r w:rsidRPr="000665B0">
        <w:tab/>
        <w:t>Month/Day</w:t>
      </w:r>
    </w:p>
    <w:p w14:paraId="19DAD719" w14:textId="77777777" w:rsidR="00402DF6" w:rsidRPr="000665B0" w:rsidRDefault="00402DF6" w:rsidP="00402DF6">
      <w:pPr>
        <w:ind w:left="2880" w:hanging="2880"/>
      </w:pPr>
      <w:r w:rsidRPr="000665B0">
        <w:t>MML</w:t>
      </w:r>
      <w:r w:rsidRPr="000665B0">
        <w:tab/>
        <w:t>Master Mission Library</w:t>
      </w:r>
    </w:p>
    <w:p w14:paraId="7B7A8A42" w14:textId="5B460E33" w:rsidR="00F953B9" w:rsidRPr="000665B0" w:rsidRDefault="00F953B9" w:rsidP="00402DF6">
      <w:pPr>
        <w:ind w:left="2880" w:hanging="2880"/>
      </w:pPr>
      <w:r w:rsidRPr="000665B0">
        <w:t>MOM</w:t>
      </w:r>
      <w:r w:rsidRPr="000665B0">
        <w:tab/>
        <w:t>Multiple Outcome Mission</w:t>
      </w:r>
    </w:p>
    <w:p w14:paraId="4BDB20FB" w14:textId="30323F00" w:rsidR="00475D59" w:rsidRPr="000665B0" w:rsidRDefault="00475D59" w:rsidP="00402DF6">
      <w:pPr>
        <w:ind w:left="2880" w:hanging="2880"/>
      </w:pPr>
      <w:r w:rsidRPr="000665B0">
        <w:t>MPFW</w:t>
      </w:r>
      <w:r w:rsidRPr="000665B0">
        <w:tab/>
        <w:t>Micro-Processor Firmware</w:t>
      </w:r>
    </w:p>
    <w:p w14:paraId="2716FE50" w14:textId="7F5A722D" w:rsidR="00402DF6" w:rsidRPr="000665B0" w:rsidRDefault="00402DF6" w:rsidP="00402DF6">
      <w:pPr>
        <w:ind w:left="2880" w:hanging="2880"/>
      </w:pPr>
      <w:r w:rsidRPr="000665B0">
        <w:t>MPR</w:t>
      </w:r>
      <w:r w:rsidRPr="000665B0">
        <w:tab/>
        <w:t>Mission Planning Request</w:t>
      </w:r>
    </w:p>
    <w:p w14:paraId="3827121D" w14:textId="2ED303D6" w:rsidR="00C46D3E" w:rsidRPr="000665B0" w:rsidRDefault="00C46D3E" w:rsidP="00C46D3E">
      <w:pPr>
        <w:ind w:left="2880" w:hanging="2880"/>
      </w:pPr>
      <w:r w:rsidRPr="000665B0">
        <w:t>MS</w:t>
      </w:r>
      <w:r w:rsidRPr="000665B0">
        <w:tab/>
        <w:t>Missile Sequence</w:t>
      </w:r>
    </w:p>
    <w:p w14:paraId="4DEEAE36" w14:textId="77777777" w:rsidR="00402DF6" w:rsidRPr="000665B0" w:rsidRDefault="00402DF6" w:rsidP="00402DF6">
      <w:pPr>
        <w:ind w:left="2880" w:hanging="2880"/>
      </w:pPr>
      <w:r w:rsidRPr="000665B0">
        <w:t>MSL</w:t>
      </w:r>
      <w:r w:rsidRPr="000665B0">
        <w:tab/>
        <w:t xml:space="preserve">Mean Sea Level </w:t>
      </w:r>
    </w:p>
    <w:p w14:paraId="589E38FD" w14:textId="77777777" w:rsidR="00C46D3E" w:rsidRPr="000665B0" w:rsidRDefault="00402DF6" w:rsidP="00402DF6">
      <w:pPr>
        <w:ind w:left="2880" w:hanging="2880"/>
      </w:pPr>
      <w:r w:rsidRPr="000665B0">
        <w:tab/>
      </w:r>
      <w:r w:rsidR="00C46D3E" w:rsidRPr="000665B0">
        <w:t>or</w:t>
      </w:r>
    </w:p>
    <w:p w14:paraId="48FD26EA" w14:textId="77777777" w:rsidR="00402DF6" w:rsidRPr="000665B0" w:rsidRDefault="00402DF6" w:rsidP="00C46D3E">
      <w:pPr>
        <w:ind w:left="2880"/>
      </w:pPr>
      <w:r w:rsidRPr="000665B0">
        <w:t>Missile</w:t>
      </w:r>
    </w:p>
    <w:p w14:paraId="32CAB327" w14:textId="77777777" w:rsidR="005E116D" w:rsidRPr="000665B0" w:rsidRDefault="005E116D" w:rsidP="00402DF6">
      <w:pPr>
        <w:ind w:left="2880" w:hanging="2880"/>
      </w:pPr>
      <w:r w:rsidRPr="000665B0">
        <w:t>MSMQ</w:t>
      </w:r>
      <w:r w:rsidRPr="000665B0">
        <w:tab/>
        <w:t>Microsoft Message Queuing</w:t>
      </w:r>
    </w:p>
    <w:p w14:paraId="2547B856" w14:textId="77777777" w:rsidR="0039354C" w:rsidRPr="000665B0" w:rsidRDefault="0039354C" w:rsidP="00402DF6">
      <w:pPr>
        <w:ind w:left="2880" w:hanging="2880"/>
      </w:pPr>
      <w:r w:rsidRPr="000665B0">
        <w:t>MSN</w:t>
      </w:r>
      <w:r w:rsidRPr="000665B0">
        <w:tab/>
      </w:r>
      <w:r w:rsidR="00DC007B" w:rsidRPr="000665B0">
        <w:t>Mission Serial Number</w:t>
      </w:r>
    </w:p>
    <w:p w14:paraId="4B777490" w14:textId="77777777" w:rsidR="00D71E17" w:rsidRPr="000665B0" w:rsidRDefault="00D71E17" w:rsidP="00402DF6">
      <w:pPr>
        <w:ind w:left="2880" w:hanging="2880"/>
      </w:pPr>
      <w:r w:rsidRPr="000665B0">
        <w:t>MSNO</w:t>
      </w:r>
      <w:r w:rsidRPr="000665B0">
        <w:tab/>
      </w:r>
      <w:r w:rsidR="00DC007B" w:rsidRPr="000665B0">
        <w:t>Missile Sequence Number Object</w:t>
      </w:r>
    </w:p>
    <w:p w14:paraId="40BF906E" w14:textId="77777777" w:rsidR="00CF194C" w:rsidRPr="000665B0" w:rsidRDefault="00CF194C" w:rsidP="00402DF6">
      <w:pPr>
        <w:ind w:left="2880" w:hanging="2880"/>
      </w:pPr>
      <w:r w:rsidRPr="000665B0">
        <w:t>MSSN</w:t>
      </w:r>
      <w:r w:rsidRPr="000665B0">
        <w:tab/>
      </w:r>
      <w:r w:rsidR="00DC007B" w:rsidRPr="000665B0">
        <w:t>Mission</w:t>
      </w:r>
    </w:p>
    <w:p w14:paraId="594F2C09" w14:textId="77777777" w:rsidR="009E2579" w:rsidRPr="000665B0" w:rsidRDefault="009E2579" w:rsidP="00402DF6">
      <w:pPr>
        <w:ind w:left="2880" w:hanging="2880"/>
      </w:pPr>
      <w:r w:rsidRPr="000665B0">
        <w:t>MST</w:t>
      </w:r>
      <w:r w:rsidRPr="000665B0">
        <w:tab/>
        <w:t>Maritime Strike Tomahawk</w:t>
      </w:r>
    </w:p>
    <w:p w14:paraId="20271070" w14:textId="20EC3449" w:rsidR="007E4EDD" w:rsidRPr="000665B0" w:rsidRDefault="007E4EDD" w:rsidP="00402DF6">
      <w:pPr>
        <w:ind w:left="2880" w:hanging="2880"/>
      </w:pPr>
      <w:r w:rsidRPr="000665B0">
        <w:t>MSTM</w:t>
      </w:r>
      <w:r w:rsidRPr="000665B0">
        <w:tab/>
      </w:r>
      <w:r w:rsidR="009C0C0B" w:rsidRPr="000665B0">
        <w:t xml:space="preserve">Maritime Strike Tomahawk </w:t>
      </w:r>
      <w:r w:rsidRPr="000665B0">
        <w:t>Missile</w:t>
      </w:r>
    </w:p>
    <w:p w14:paraId="101496D1" w14:textId="235F7563" w:rsidR="00402DF6" w:rsidRPr="000665B0" w:rsidRDefault="00402DF6" w:rsidP="00402DF6">
      <w:pPr>
        <w:ind w:left="2880" w:hanging="2880"/>
      </w:pPr>
      <w:r w:rsidRPr="000665B0">
        <w:t>MTF</w:t>
      </w:r>
      <w:r w:rsidRPr="000665B0">
        <w:tab/>
        <w:t>Message Text Formats</w:t>
      </w:r>
    </w:p>
    <w:p w14:paraId="1BFCD280" w14:textId="77777777" w:rsidR="00B10A82" w:rsidRPr="000665B0" w:rsidRDefault="00B10A82" w:rsidP="00402DF6">
      <w:pPr>
        <w:ind w:left="2880" w:hanging="2880"/>
      </w:pPr>
      <w:r w:rsidRPr="000665B0">
        <w:t>MTIF</w:t>
      </w:r>
      <w:r w:rsidRPr="000665B0">
        <w:tab/>
        <w:t>Maritime Target Information File</w:t>
      </w:r>
    </w:p>
    <w:p w14:paraId="00EA9504" w14:textId="712B0F74" w:rsidR="005E6743" w:rsidRPr="000665B0" w:rsidRDefault="003F5FAA" w:rsidP="00402DF6">
      <w:pPr>
        <w:ind w:left="2880" w:hanging="2880"/>
        <w:rPr>
          <w:szCs w:val="24"/>
        </w:rPr>
      </w:pPr>
      <w:r w:rsidRPr="000665B0">
        <w:t>MTO</w:t>
      </w:r>
      <w:r w:rsidRPr="000665B0">
        <w:tab/>
      </w:r>
      <w:r w:rsidR="00AE44E8" w:rsidRPr="000665B0">
        <w:rPr>
          <w:szCs w:val="24"/>
        </w:rPr>
        <w:t>Mission Tasking Order</w:t>
      </w:r>
    </w:p>
    <w:p w14:paraId="426359B3" w14:textId="77777777" w:rsidR="005E6743" w:rsidRPr="000665B0" w:rsidRDefault="005E6743" w:rsidP="00402DF6">
      <w:pPr>
        <w:ind w:left="2880" w:hanging="2880"/>
      </w:pPr>
      <w:r w:rsidRPr="000665B0">
        <w:tab/>
        <w:t>or</w:t>
      </w:r>
    </w:p>
    <w:p w14:paraId="7874F80C" w14:textId="77777777" w:rsidR="003F5FAA" w:rsidRPr="000665B0" w:rsidRDefault="005E6743" w:rsidP="00402DF6">
      <w:pPr>
        <w:ind w:left="2880" w:hanging="2880"/>
      </w:pPr>
      <w:r w:rsidRPr="000665B0">
        <w:tab/>
        <w:t>Message to Observer</w:t>
      </w:r>
    </w:p>
    <w:p w14:paraId="1A6586B8" w14:textId="77777777" w:rsidR="009251DD" w:rsidRPr="000665B0" w:rsidRDefault="009251DD" w:rsidP="00402DF6">
      <w:pPr>
        <w:ind w:left="2880" w:hanging="2880"/>
      </w:pPr>
      <w:r w:rsidRPr="000665B0">
        <w:t>NADS</w:t>
      </w:r>
      <w:r w:rsidRPr="000665B0">
        <w:tab/>
        <w:t>National Digit Shapes Substitution</w:t>
      </w:r>
    </w:p>
    <w:p w14:paraId="43EDF3A5" w14:textId="77777777" w:rsidR="00402DF6" w:rsidRPr="000665B0" w:rsidRDefault="00402DF6" w:rsidP="00402DF6">
      <w:pPr>
        <w:ind w:left="2880" w:hanging="2880"/>
      </w:pPr>
      <w:r w:rsidRPr="000665B0">
        <w:t>NALC</w:t>
      </w:r>
      <w:r w:rsidRPr="000665B0">
        <w:tab/>
        <w:t>Naval Ammunition Logistics Code</w:t>
      </w:r>
    </w:p>
    <w:p w14:paraId="1AA8E0A1" w14:textId="77777777" w:rsidR="00402DF6" w:rsidRPr="000665B0" w:rsidRDefault="00402DF6" w:rsidP="00402DF6">
      <w:pPr>
        <w:pStyle w:val="Acronym"/>
        <w:spacing w:before="0" w:after="120"/>
        <w:rPr>
          <w:szCs w:val="24"/>
        </w:rPr>
      </w:pPr>
      <w:r w:rsidRPr="000665B0">
        <w:rPr>
          <w:szCs w:val="24"/>
        </w:rPr>
        <w:t>NAVFS</w:t>
      </w:r>
      <w:r w:rsidRPr="000665B0">
        <w:rPr>
          <w:szCs w:val="24"/>
        </w:rPr>
        <w:tab/>
        <w:t>Navigation Flight Software</w:t>
      </w:r>
    </w:p>
    <w:p w14:paraId="5BBE323D" w14:textId="77777777" w:rsidR="00102383" w:rsidRPr="000665B0" w:rsidRDefault="00102383" w:rsidP="00402DF6">
      <w:pPr>
        <w:pStyle w:val="Acronym"/>
        <w:spacing w:before="0" w:after="120"/>
        <w:rPr>
          <w:szCs w:val="24"/>
        </w:rPr>
      </w:pPr>
      <w:r w:rsidRPr="000665B0">
        <w:rPr>
          <w:szCs w:val="24"/>
        </w:rPr>
        <w:t>NCTAMS</w:t>
      </w:r>
      <w:r w:rsidRPr="000665B0">
        <w:rPr>
          <w:szCs w:val="24"/>
        </w:rPr>
        <w:tab/>
      </w:r>
      <w:r w:rsidR="00DC007B" w:rsidRPr="000665B0">
        <w:rPr>
          <w:szCs w:val="24"/>
        </w:rPr>
        <w:t>Naval Computer and Telecommunications Area Master Station</w:t>
      </w:r>
    </w:p>
    <w:p w14:paraId="6D1AEEF5" w14:textId="77777777" w:rsidR="007564D4" w:rsidRPr="000665B0" w:rsidRDefault="007564D4" w:rsidP="00402DF6">
      <w:pPr>
        <w:pStyle w:val="Acronym"/>
        <w:spacing w:before="0" w:after="120"/>
        <w:rPr>
          <w:szCs w:val="24"/>
        </w:rPr>
      </w:pPr>
      <w:r w:rsidRPr="000665B0">
        <w:rPr>
          <w:szCs w:val="24"/>
        </w:rPr>
        <w:t>NEU</w:t>
      </w:r>
      <w:r w:rsidRPr="000665B0">
        <w:rPr>
          <w:szCs w:val="24"/>
        </w:rPr>
        <w:tab/>
        <w:t>Neutral</w:t>
      </w:r>
    </w:p>
    <w:p w14:paraId="2A9A3F61" w14:textId="5F7D8317" w:rsidR="00402DF6" w:rsidRPr="000665B0" w:rsidRDefault="00402DF6" w:rsidP="00402DF6">
      <w:pPr>
        <w:pStyle w:val="Acronym"/>
        <w:spacing w:before="0" w:after="120"/>
        <w:rPr>
          <w:szCs w:val="24"/>
        </w:rPr>
      </w:pPr>
      <w:r w:rsidRPr="000665B0">
        <w:rPr>
          <w:szCs w:val="24"/>
        </w:rPr>
        <w:lastRenderedPageBreak/>
        <w:t>NGA</w:t>
      </w:r>
      <w:r w:rsidRPr="000665B0">
        <w:rPr>
          <w:szCs w:val="24"/>
        </w:rPr>
        <w:tab/>
        <w:t>National Geospatial-Intelligence Agency</w:t>
      </w:r>
    </w:p>
    <w:p w14:paraId="7A7E3152" w14:textId="77777777" w:rsidR="00402DF6" w:rsidRPr="000665B0" w:rsidRDefault="00402DF6" w:rsidP="00402DF6">
      <w:pPr>
        <w:pStyle w:val="Acronym"/>
        <w:spacing w:before="0" w:after="120"/>
        <w:rPr>
          <w:szCs w:val="24"/>
        </w:rPr>
      </w:pPr>
      <w:r w:rsidRPr="000665B0">
        <w:rPr>
          <w:szCs w:val="24"/>
        </w:rPr>
        <w:t>NIMA</w:t>
      </w:r>
      <w:r w:rsidRPr="000665B0">
        <w:rPr>
          <w:szCs w:val="24"/>
        </w:rPr>
        <w:tab/>
        <w:t>National Imagery and Mapping Agency</w:t>
      </w:r>
    </w:p>
    <w:p w14:paraId="563702C2" w14:textId="77777777" w:rsidR="00836603" w:rsidRPr="000665B0" w:rsidRDefault="00836603" w:rsidP="00836603">
      <w:pPr>
        <w:pStyle w:val="Acronym"/>
        <w:spacing w:before="0" w:after="120"/>
        <w:rPr>
          <w:szCs w:val="24"/>
        </w:rPr>
      </w:pPr>
      <w:r w:rsidRPr="000665B0">
        <w:rPr>
          <w:bCs/>
        </w:rPr>
        <w:t>NIPRNET</w:t>
      </w:r>
      <w:r w:rsidRPr="000665B0">
        <w:rPr>
          <w:bCs/>
        </w:rPr>
        <w:tab/>
        <w:t>Nonsecure Internet Protocol Router Network</w:t>
      </w:r>
      <w:r w:rsidRPr="000665B0">
        <w:rPr>
          <w:szCs w:val="24"/>
        </w:rPr>
        <w:t xml:space="preserve"> </w:t>
      </w:r>
    </w:p>
    <w:p w14:paraId="00B76F8B" w14:textId="77777777" w:rsidR="00FC3AA0" w:rsidRPr="000665B0" w:rsidRDefault="00FC3AA0" w:rsidP="00402DF6">
      <w:pPr>
        <w:pStyle w:val="Acronym"/>
        <w:spacing w:before="0" w:after="120"/>
      </w:pPr>
      <w:r w:rsidRPr="000665B0">
        <w:rPr>
          <w:szCs w:val="24"/>
        </w:rPr>
        <w:t>NIST</w:t>
      </w:r>
      <w:r w:rsidRPr="000665B0">
        <w:rPr>
          <w:szCs w:val="24"/>
        </w:rPr>
        <w:tab/>
      </w:r>
      <w:r w:rsidRPr="000665B0">
        <w:t xml:space="preserve">National Institute of Standards and Technology </w:t>
      </w:r>
    </w:p>
    <w:p w14:paraId="1771C2F1" w14:textId="183EE88A" w:rsidR="0070401D" w:rsidRPr="000665B0" w:rsidRDefault="0070401D" w:rsidP="00402DF6">
      <w:pPr>
        <w:pStyle w:val="Acronym"/>
        <w:spacing w:before="0" w:after="120"/>
        <w:rPr>
          <w:szCs w:val="24"/>
        </w:rPr>
      </w:pPr>
      <w:r w:rsidRPr="000665B0">
        <w:rPr>
          <w:szCs w:val="24"/>
        </w:rPr>
        <w:t>NLT</w:t>
      </w:r>
      <w:r w:rsidRPr="000665B0">
        <w:rPr>
          <w:szCs w:val="24"/>
        </w:rPr>
        <w:tab/>
      </w:r>
      <w:r w:rsidR="00DC007B" w:rsidRPr="000665B0">
        <w:rPr>
          <w:szCs w:val="24"/>
        </w:rPr>
        <w:t>No Later Than</w:t>
      </w:r>
    </w:p>
    <w:p w14:paraId="025051B3" w14:textId="77777777" w:rsidR="00F953B9" w:rsidRPr="000665B0" w:rsidRDefault="00F953B9" w:rsidP="00402DF6">
      <w:pPr>
        <w:pStyle w:val="Acronym"/>
        <w:spacing w:before="0" w:after="120"/>
      </w:pPr>
      <w:r w:rsidRPr="000665B0">
        <w:rPr>
          <w:szCs w:val="24"/>
        </w:rPr>
        <w:t>NM</w:t>
      </w:r>
      <w:r w:rsidRPr="000665B0">
        <w:rPr>
          <w:szCs w:val="24"/>
        </w:rPr>
        <w:tab/>
        <w:t>Nautical Miles</w:t>
      </w:r>
    </w:p>
    <w:p w14:paraId="5E5AF1B4" w14:textId="77777777" w:rsidR="00120F68" w:rsidRPr="000665B0" w:rsidRDefault="00120F68" w:rsidP="00402DF6">
      <w:pPr>
        <w:pStyle w:val="Acronym"/>
        <w:spacing w:before="0" w:after="120"/>
        <w:rPr>
          <w:szCs w:val="24"/>
        </w:rPr>
      </w:pPr>
      <w:r w:rsidRPr="000665B0">
        <w:rPr>
          <w:szCs w:val="24"/>
        </w:rPr>
        <w:t>NOB</w:t>
      </w:r>
      <w:r w:rsidRPr="000665B0">
        <w:rPr>
          <w:szCs w:val="24"/>
        </w:rPr>
        <w:tab/>
        <w:t>Navigation Object</w:t>
      </w:r>
    </w:p>
    <w:p w14:paraId="6CA923C9" w14:textId="77777777" w:rsidR="009251DD" w:rsidRPr="000665B0" w:rsidRDefault="009251DD" w:rsidP="00402DF6">
      <w:pPr>
        <w:pStyle w:val="Acronym"/>
        <w:spacing w:before="0" w:after="120"/>
        <w:rPr>
          <w:szCs w:val="24"/>
        </w:rPr>
      </w:pPr>
      <w:r w:rsidRPr="000665B0">
        <w:rPr>
          <w:szCs w:val="24"/>
        </w:rPr>
        <w:t>NODS</w:t>
      </w:r>
      <w:r w:rsidRPr="000665B0">
        <w:rPr>
          <w:szCs w:val="24"/>
        </w:rPr>
        <w:tab/>
        <w:t>Nominal (European) Digit Shapes</w:t>
      </w:r>
    </w:p>
    <w:p w14:paraId="4DB92732" w14:textId="00537A39" w:rsidR="004242BF" w:rsidRPr="000665B0" w:rsidRDefault="004242BF" w:rsidP="00402DF6">
      <w:pPr>
        <w:pStyle w:val="Acronym"/>
        <w:spacing w:before="0" w:after="120"/>
        <w:rPr>
          <w:szCs w:val="24"/>
        </w:rPr>
      </w:pPr>
      <w:r w:rsidRPr="000665B0">
        <w:rPr>
          <w:szCs w:val="24"/>
        </w:rPr>
        <w:t>NON AMB</w:t>
      </w:r>
      <w:r w:rsidRPr="000665B0">
        <w:rPr>
          <w:szCs w:val="24"/>
        </w:rPr>
        <w:tab/>
        <w:t>Non Ambiguous</w:t>
      </w:r>
    </w:p>
    <w:p w14:paraId="1D8498CD" w14:textId="1CCA60EF" w:rsidR="004242BF" w:rsidRPr="000665B0" w:rsidRDefault="004242BF" w:rsidP="00402DF6">
      <w:pPr>
        <w:pStyle w:val="Acronym"/>
        <w:spacing w:before="0" w:after="120"/>
        <w:rPr>
          <w:szCs w:val="24"/>
        </w:rPr>
      </w:pPr>
      <w:r w:rsidRPr="000665B0">
        <w:rPr>
          <w:szCs w:val="24"/>
        </w:rPr>
        <w:t>NON FOTC</w:t>
      </w:r>
      <w:r w:rsidRPr="000665B0">
        <w:rPr>
          <w:szCs w:val="24"/>
        </w:rPr>
        <w:tab/>
        <w:t>Non Force Over the Horizon</w:t>
      </w:r>
    </w:p>
    <w:p w14:paraId="66A3F1FE" w14:textId="3B4B2AE3" w:rsidR="00475D59" w:rsidRPr="000665B0" w:rsidRDefault="00475D59" w:rsidP="00402DF6">
      <w:pPr>
        <w:pStyle w:val="Acronym"/>
        <w:spacing w:before="0" w:after="120"/>
        <w:rPr>
          <w:szCs w:val="24"/>
        </w:rPr>
      </w:pPr>
      <w:r w:rsidRPr="000665B0">
        <w:rPr>
          <w:szCs w:val="24"/>
        </w:rPr>
        <w:t>NPBS</w:t>
      </w:r>
      <w:r w:rsidRPr="000665B0">
        <w:rPr>
          <w:szCs w:val="24"/>
        </w:rPr>
        <w:tab/>
      </w:r>
      <w:r w:rsidRPr="000665B0">
        <w:t>Navigation Processor Base Software</w:t>
      </w:r>
    </w:p>
    <w:p w14:paraId="361AC865" w14:textId="7E037BB9" w:rsidR="00475D59" w:rsidRPr="000665B0" w:rsidRDefault="00475D59" w:rsidP="00402DF6">
      <w:pPr>
        <w:pStyle w:val="Acronym"/>
        <w:spacing w:before="0" w:after="120"/>
        <w:rPr>
          <w:szCs w:val="24"/>
        </w:rPr>
      </w:pPr>
      <w:r w:rsidRPr="000665B0">
        <w:rPr>
          <w:szCs w:val="24"/>
        </w:rPr>
        <w:t>NPFW</w:t>
      </w:r>
      <w:r w:rsidRPr="000665B0">
        <w:rPr>
          <w:szCs w:val="24"/>
        </w:rPr>
        <w:tab/>
      </w:r>
      <w:r w:rsidRPr="000665B0">
        <w:t>Navigation Processor Firmware</w:t>
      </w:r>
    </w:p>
    <w:p w14:paraId="6D52518F" w14:textId="329C6D53" w:rsidR="00475D59" w:rsidRPr="000665B0" w:rsidRDefault="00475D59" w:rsidP="00402DF6">
      <w:pPr>
        <w:pStyle w:val="Acronym"/>
        <w:spacing w:before="0" w:after="120"/>
        <w:rPr>
          <w:szCs w:val="24"/>
        </w:rPr>
      </w:pPr>
      <w:r w:rsidRPr="000665B0">
        <w:rPr>
          <w:szCs w:val="24"/>
        </w:rPr>
        <w:t>NPTS</w:t>
      </w:r>
      <w:r w:rsidRPr="000665B0">
        <w:rPr>
          <w:szCs w:val="24"/>
        </w:rPr>
        <w:tab/>
      </w:r>
      <w:r w:rsidRPr="000665B0">
        <w:t>Navigation Processor Tactical Software</w:t>
      </w:r>
    </w:p>
    <w:p w14:paraId="2FCEB88D" w14:textId="28E4D1D3" w:rsidR="000A1E20" w:rsidRPr="000665B0" w:rsidRDefault="000A1E20" w:rsidP="00402DF6">
      <w:pPr>
        <w:pStyle w:val="Acronym"/>
        <w:spacing w:before="0" w:after="120"/>
        <w:rPr>
          <w:szCs w:val="24"/>
        </w:rPr>
      </w:pPr>
      <w:r w:rsidRPr="000665B0">
        <w:rPr>
          <w:szCs w:val="24"/>
        </w:rPr>
        <w:t>NSA</w:t>
      </w:r>
      <w:r w:rsidRPr="000665B0">
        <w:rPr>
          <w:szCs w:val="24"/>
        </w:rPr>
        <w:tab/>
      </w:r>
      <w:r w:rsidR="00F965D8" w:rsidRPr="000665B0">
        <w:rPr>
          <w:szCs w:val="24"/>
        </w:rPr>
        <w:t>National Security Agency</w:t>
      </w:r>
    </w:p>
    <w:p w14:paraId="288ACDAB" w14:textId="3A168D18" w:rsidR="007D30B5" w:rsidRPr="000665B0" w:rsidRDefault="007D30B5" w:rsidP="00402DF6">
      <w:pPr>
        <w:pStyle w:val="Acronym"/>
        <w:spacing w:before="0" w:after="120"/>
        <w:rPr>
          <w:szCs w:val="24"/>
        </w:rPr>
      </w:pPr>
      <w:r w:rsidRPr="000665B0">
        <w:rPr>
          <w:szCs w:val="24"/>
        </w:rPr>
        <w:t>NSP</w:t>
      </w:r>
      <w:r w:rsidRPr="000665B0">
        <w:rPr>
          <w:szCs w:val="24"/>
        </w:rPr>
        <w:tab/>
        <w:t>Network Service Provider</w:t>
      </w:r>
    </w:p>
    <w:p w14:paraId="0E2FAD49" w14:textId="012A511D" w:rsidR="007564D4" w:rsidRPr="000665B0" w:rsidRDefault="007564D4" w:rsidP="00402DF6">
      <w:pPr>
        <w:pStyle w:val="Acronym"/>
        <w:spacing w:before="0" w:after="120"/>
        <w:rPr>
          <w:szCs w:val="24"/>
        </w:rPr>
      </w:pPr>
      <w:r w:rsidRPr="000665B0">
        <w:rPr>
          <w:szCs w:val="24"/>
        </w:rPr>
        <w:tab/>
        <w:t>or</w:t>
      </w:r>
    </w:p>
    <w:p w14:paraId="337D4F9D" w14:textId="3B5AD8DF" w:rsidR="007564D4" w:rsidRPr="000665B0" w:rsidRDefault="007564D4" w:rsidP="00402DF6">
      <w:pPr>
        <w:pStyle w:val="Acronym"/>
        <w:spacing w:before="0" w:after="120"/>
        <w:rPr>
          <w:szCs w:val="24"/>
        </w:rPr>
      </w:pPr>
      <w:r w:rsidRPr="000665B0">
        <w:rPr>
          <w:szCs w:val="24"/>
        </w:rPr>
        <w:tab/>
        <w:t>Non-Suspected Carrier</w:t>
      </w:r>
    </w:p>
    <w:p w14:paraId="7000E7CB" w14:textId="77777777" w:rsidR="009625FE" w:rsidRPr="000665B0" w:rsidRDefault="009625FE" w:rsidP="00402DF6">
      <w:pPr>
        <w:pStyle w:val="Acronym"/>
        <w:spacing w:before="0" w:after="120"/>
        <w:rPr>
          <w:szCs w:val="24"/>
        </w:rPr>
      </w:pPr>
      <w:r w:rsidRPr="000665B0">
        <w:rPr>
          <w:szCs w:val="24"/>
        </w:rPr>
        <w:t>NTDS</w:t>
      </w:r>
      <w:r w:rsidRPr="000665B0">
        <w:rPr>
          <w:szCs w:val="24"/>
        </w:rPr>
        <w:tab/>
        <w:t>Naval Tactical Data System</w:t>
      </w:r>
    </w:p>
    <w:p w14:paraId="6DC94C4E" w14:textId="77777777" w:rsidR="0039354C" w:rsidRPr="000665B0" w:rsidRDefault="0039354C" w:rsidP="00402DF6">
      <w:pPr>
        <w:pStyle w:val="Acronym"/>
        <w:spacing w:before="0" w:after="120"/>
        <w:rPr>
          <w:szCs w:val="24"/>
        </w:rPr>
      </w:pPr>
      <w:r w:rsidRPr="000665B0">
        <w:rPr>
          <w:szCs w:val="24"/>
        </w:rPr>
        <w:t>NTTP</w:t>
      </w:r>
      <w:r w:rsidRPr="000665B0">
        <w:rPr>
          <w:szCs w:val="24"/>
        </w:rPr>
        <w:tab/>
      </w:r>
      <w:r w:rsidR="00A97276" w:rsidRPr="000665B0">
        <w:t>Navy Tactics, Techniques, and Procedures</w:t>
      </w:r>
    </w:p>
    <w:p w14:paraId="5E814C63" w14:textId="77777777" w:rsidR="00CF194C" w:rsidRPr="000665B0" w:rsidRDefault="00CF194C" w:rsidP="00A97276">
      <w:pPr>
        <w:pStyle w:val="Acronym"/>
        <w:spacing w:before="0" w:after="120"/>
      </w:pPr>
      <w:r w:rsidRPr="000665B0">
        <w:t>OBJ</w:t>
      </w:r>
      <w:r w:rsidRPr="000665B0">
        <w:tab/>
      </w:r>
      <w:r w:rsidR="007E29E2" w:rsidRPr="000665B0">
        <w:t>Objective</w:t>
      </w:r>
    </w:p>
    <w:p w14:paraId="215C5C24" w14:textId="77777777" w:rsidR="00402DF6" w:rsidRPr="000665B0" w:rsidRDefault="00402DF6" w:rsidP="00402DF6">
      <w:pPr>
        <w:ind w:left="2880" w:hanging="2880"/>
      </w:pPr>
      <w:r w:rsidRPr="000665B0">
        <w:t>OES</w:t>
      </w:r>
      <w:r w:rsidRPr="000665B0">
        <w:tab/>
        <w:t>Operational Embedded Software</w:t>
      </w:r>
    </w:p>
    <w:p w14:paraId="28008976" w14:textId="01010A60" w:rsidR="002E3693" w:rsidRDefault="002E3693" w:rsidP="002E3693">
      <w:pPr>
        <w:tabs>
          <w:tab w:val="left" w:pos="3084"/>
        </w:tabs>
        <w:ind w:left="2880" w:hanging="2880"/>
      </w:pPr>
      <w:r>
        <w:tab/>
        <w:t>or</w:t>
      </w:r>
    </w:p>
    <w:p w14:paraId="3859A5DB" w14:textId="633EEE5C" w:rsidR="002E3693" w:rsidRDefault="002E3693" w:rsidP="002E3693">
      <w:pPr>
        <w:tabs>
          <w:tab w:val="left" w:pos="3084"/>
        </w:tabs>
        <w:ind w:left="2880" w:hanging="2880"/>
      </w:pPr>
      <w:r>
        <w:tab/>
        <w:t>Operational Embedded System</w:t>
      </w:r>
    </w:p>
    <w:p w14:paraId="6F479350" w14:textId="70B9EE86" w:rsidR="00402DF6" w:rsidRPr="000665B0" w:rsidRDefault="00402DF6" w:rsidP="00402DF6">
      <w:pPr>
        <w:ind w:left="2880" w:hanging="2880"/>
      </w:pPr>
      <w:r w:rsidRPr="000665B0">
        <w:t>OFP</w:t>
      </w:r>
      <w:r w:rsidRPr="000665B0">
        <w:tab/>
        <w:t xml:space="preserve">Operational Flight Program </w:t>
      </w:r>
    </w:p>
    <w:p w14:paraId="27EB53C8" w14:textId="77777777" w:rsidR="00402DF6" w:rsidRPr="000665B0" w:rsidRDefault="00402DF6" w:rsidP="00402DF6">
      <w:pPr>
        <w:ind w:left="2880" w:hanging="2880"/>
      </w:pPr>
      <w:r w:rsidRPr="000665B0">
        <w:t>OFPCI</w:t>
      </w:r>
      <w:r w:rsidRPr="000665B0">
        <w:tab/>
        <w:t>Operational Flight Program Compatibility Indicator</w:t>
      </w:r>
    </w:p>
    <w:p w14:paraId="09F9F2E8" w14:textId="77777777" w:rsidR="00BE692D" w:rsidRPr="000665B0" w:rsidRDefault="00402DF6" w:rsidP="00BE692D">
      <w:pPr>
        <w:pStyle w:val="Acronym"/>
        <w:spacing w:before="0" w:after="120"/>
        <w:rPr>
          <w:szCs w:val="24"/>
        </w:rPr>
      </w:pPr>
      <w:r w:rsidRPr="000665B0">
        <w:rPr>
          <w:szCs w:val="24"/>
        </w:rPr>
        <w:t>OFS</w:t>
      </w:r>
      <w:r w:rsidRPr="000665B0">
        <w:rPr>
          <w:szCs w:val="24"/>
        </w:rPr>
        <w:tab/>
        <w:t>Operational Flight Softwar</w:t>
      </w:r>
      <w:r w:rsidR="00336888" w:rsidRPr="000665B0">
        <w:rPr>
          <w:szCs w:val="24"/>
        </w:rPr>
        <w:t>e</w:t>
      </w:r>
    </w:p>
    <w:p w14:paraId="54E85A30" w14:textId="77777777" w:rsidR="00CF194C" w:rsidRPr="000665B0" w:rsidRDefault="00CF194C" w:rsidP="00BE692D">
      <w:pPr>
        <w:pStyle w:val="Acronym"/>
        <w:spacing w:before="0" w:after="120"/>
      </w:pPr>
      <w:r w:rsidRPr="000665B0">
        <w:t>OPER</w:t>
      </w:r>
      <w:r w:rsidRPr="000665B0">
        <w:tab/>
      </w:r>
      <w:r w:rsidR="00C30B99" w:rsidRPr="000665B0">
        <w:t>Operation Identification Data</w:t>
      </w:r>
    </w:p>
    <w:p w14:paraId="70D8CE35" w14:textId="77777777" w:rsidR="00402DF6" w:rsidRPr="000665B0" w:rsidRDefault="00402DF6" w:rsidP="00BE692D">
      <w:pPr>
        <w:pStyle w:val="Acronym"/>
        <w:spacing w:before="0" w:after="120"/>
      </w:pPr>
      <w:r w:rsidRPr="000665B0">
        <w:t>OPLAN</w:t>
      </w:r>
      <w:r w:rsidRPr="000665B0">
        <w:tab/>
        <w:t xml:space="preserve">Operational Plan </w:t>
      </w:r>
    </w:p>
    <w:p w14:paraId="486BC13D" w14:textId="77777777" w:rsidR="00402DF6" w:rsidRPr="000665B0" w:rsidRDefault="00402DF6" w:rsidP="00402DF6">
      <w:pPr>
        <w:ind w:left="2880" w:hanging="2880"/>
      </w:pPr>
      <w:r w:rsidRPr="000665B0">
        <w:t>OPNOTE</w:t>
      </w:r>
      <w:r w:rsidRPr="000665B0">
        <w:tab/>
        <w:t>Operational Note</w:t>
      </w:r>
    </w:p>
    <w:p w14:paraId="68E10FE8" w14:textId="77777777" w:rsidR="00402DF6" w:rsidRPr="000665B0" w:rsidRDefault="00402DF6" w:rsidP="00402DF6">
      <w:pPr>
        <w:ind w:left="2880" w:hanging="2880"/>
      </w:pPr>
      <w:r w:rsidRPr="000665B0">
        <w:rPr>
          <w:bCs/>
        </w:rPr>
        <w:t>OTH</w:t>
      </w:r>
      <w:r w:rsidRPr="000665B0">
        <w:rPr>
          <w:bCs/>
        </w:rPr>
        <w:tab/>
        <w:t>Over</w:t>
      </w:r>
      <w:r w:rsidRPr="000665B0">
        <w:t>-The-Horizon</w:t>
      </w:r>
    </w:p>
    <w:p w14:paraId="1D2C33D1" w14:textId="77777777" w:rsidR="0057678C" w:rsidRPr="000665B0" w:rsidRDefault="0057678C" w:rsidP="00402DF6">
      <w:pPr>
        <w:ind w:left="2880" w:hanging="2880"/>
      </w:pPr>
      <w:r w:rsidRPr="000665B0">
        <w:t>OTH-GOLD</w:t>
      </w:r>
      <w:r w:rsidRPr="000665B0">
        <w:tab/>
      </w:r>
      <w:r w:rsidRPr="000665B0">
        <w:rPr>
          <w:bCs/>
        </w:rPr>
        <w:t>Over</w:t>
      </w:r>
      <w:r w:rsidRPr="000665B0">
        <w:t>-The-Horizon GOLD</w:t>
      </w:r>
    </w:p>
    <w:p w14:paraId="43CC880E" w14:textId="77777777" w:rsidR="00F953B9" w:rsidRPr="000665B0" w:rsidRDefault="00F953B9" w:rsidP="00402DF6">
      <w:pPr>
        <w:ind w:left="2880" w:hanging="2880"/>
      </w:pPr>
      <w:r w:rsidRPr="000665B0">
        <w:rPr>
          <w:bCs/>
        </w:rPr>
        <w:t>OTH</w:t>
      </w:r>
      <w:r w:rsidRPr="000665B0">
        <w:t>-T GOLD</w:t>
      </w:r>
      <w:r w:rsidRPr="000665B0">
        <w:tab/>
      </w:r>
      <w:r w:rsidRPr="000665B0">
        <w:rPr>
          <w:bCs/>
        </w:rPr>
        <w:t>Over</w:t>
      </w:r>
      <w:r w:rsidRPr="000665B0">
        <w:t>-The-Horizon Targeting GOLD (Message Format)</w:t>
      </w:r>
    </w:p>
    <w:p w14:paraId="188C6498" w14:textId="77777777" w:rsidR="00D71E17" w:rsidRPr="000665B0" w:rsidRDefault="00D71E17" w:rsidP="00402DF6">
      <w:pPr>
        <w:ind w:left="2880" w:hanging="2880"/>
      </w:pPr>
      <w:r w:rsidRPr="000665B0">
        <w:rPr>
          <w:bCs/>
        </w:rPr>
        <w:lastRenderedPageBreak/>
        <w:t>OWR</w:t>
      </w:r>
      <w:r w:rsidRPr="000665B0">
        <w:rPr>
          <w:bCs/>
        </w:rPr>
        <w:tab/>
        <w:t>Overwater Waypoint Route</w:t>
      </w:r>
    </w:p>
    <w:p w14:paraId="5CFBD716" w14:textId="77777777" w:rsidR="00CF194C" w:rsidRPr="000665B0" w:rsidRDefault="00CF194C" w:rsidP="00402DF6">
      <w:pPr>
        <w:ind w:left="2880" w:hanging="2880"/>
        <w:rPr>
          <w:bCs/>
        </w:rPr>
      </w:pPr>
      <w:r w:rsidRPr="000665B0">
        <w:rPr>
          <w:bCs/>
        </w:rPr>
        <w:t>P</w:t>
      </w:r>
      <w:r w:rsidRPr="000665B0">
        <w:rPr>
          <w:bCs/>
        </w:rPr>
        <w:tab/>
      </w:r>
      <w:r w:rsidR="000946B8" w:rsidRPr="000665B0">
        <w:rPr>
          <w:bCs/>
        </w:rPr>
        <w:t>Primary</w:t>
      </w:r>
    </w:p>
    <w:p w14:paraId="447745DA" w14:textId="77777777" w:rsidR="00651D01" w:rsidRPr="000665B0" w:rsidRDefault="00651D01" w:rsidP="00402DF6">
      <w:pPr>
        <w:ind w:left="2880" w:hanging="2880"/>
      </w:pPr>
      <w:r w:rsidRPr="000665B0">
        <w:t>PAC</w:t>
      </w:r>
      <w:r w:rsidRPr="000665B0">
        <w:tab/>
      </w:r>
      <w:r w:rsidR="00262AF1" w:rsidRPr="000665B0">
        <w:t>Pacific</w:t>
      </w:r>
    </w:p>
    <w:p w14:paraId="06AC6BCA" w14:textId="77777777" w:rsidR="00402DF6" w:rsidRPr="000665B0" w:rsidRDefault="00402DF6" w:rsidP="00AB5AD5">
      <w:pPr>
        <w:ind w:left="2880" w:hanging="2880"/>
      </w:pPr>
      <w:r w:rsidRPr="000665B0">
        <w:t>PC-MDS</w:t>
      </w:r>
      <w:r w:rsidRPr="000665B0">
        <w:tab/>
        <w:t>Personal Computer Mission Distribution System</w:t>
      </w:r>
    </w:p>
    <w:p w14:paraId="2D8CBC30" w14:textId="77777777" w:rsidR="001F37CB" w:rsidRPr="000665B0" w:rsidRDefault="001F37CB" w:rsidP="0048586E">
      <w:pPr>
        <w:ind w:left="2880" w:hanging="2880"/>
      </w:pPr>
      <w:r w:rsidRPr="000665B0">
        <w:t>PCC</w:t>
      </w:r>
      <w:r w:rsidRPr="000665B0">
        <w:tab/>
        <w:t xml:space="preserve">Primary Channel Controller </w:t>
      </w:r>
    </w:p>
    <w:p w14:paraId="1FAFE559" w14:textId="0B1C4B2E" w:rsidR="00B8183E" w:rsidRPr="000665B0" w:rsidRDefault="00B8183E" w:rsidP="0048586E">
      <w:pPr>
        <w:ind w:left="2880" w:hanging="2880"/>
      </w:pPr>
      <w:r w:rsidRPr="000665B0">
        <w:t>PCT ID</w:t>
      </w:r>
      <w:r w:rsidRPr="000665B0">
        <w:tab/>
        <w:t>Pattern Control Table Identification</w:t>
      </w:r>
    </w:p>
    <w:p w14:paraId="39FE4D51" w14:textId="77777777" w:rsidR="0048586E" w:rsidRPr="000665B0" w:rsidRDefault="0048586E" w:rsidP="0048586E">
      <w:pPr>
        <w:ind w:left="2880" w:hanging="2880"/>
      </w:pPr>
      <w:r w:rsidRPr="000665B0">
        <w:t>PCT</w:t>
      </w:r>
      <w:r w:rsidRPr="000665B0">
        <w:tab/>
        <w:t>Pattern Control Table</w:t>
      </w:r>
    </w:p>
    <w:p w14:paraId="6BE8E8ED" w14:textId="77777777" w:rsidR="00402DF6" w:rsidRPr="000665B0" w:rsidRDefault="00402DF6" w:rsidP="00402DF6">
      <w:pPr>
        <w:ind w:left="2880" w:hanging="2880"/>
      </w:pPr>
      <w:r w:rsidRPr="000665B0">
        <w:t>PCTRF</w:t>
      </w:r>
      <w:r w:rsidRPr="000665B0">
        <w:tab/>
        <w:t>Pattern Control Table Reference File</w:t>
      </w:r>
    </w:p>
    <w:p w14:paraId="613CB765" w14:textId="77777777" w:rsidR="009251DD" w:rsidRPr="000665B0" w:rsidRDefault="009251DD" w:rsidP="00402DF6">
      <w:pPr>
        <w:ind w:left="2880" w:hanging="2880"/>
      </w:pPr>
      <w:r w:rsidRPr="000665B0">
        <w:t>PDF</w:t>
      </w:r>
      <w:r w:rsidRPr="000665B0">
        <w:tab/>
        <w:t>Pop Directional Formatting</w:t>
      </w:r>
    </w:p>
    <w:p w14:paraId="2344F8AF" w14:textId="77777777" w:rsidR="00F953B9" w:rsidRPr="000665B0" w:rsidRDefault="00F953B9" w:rsidP="00BE692D">
      <w:pPr>
        <w:pStyle w:val="Acronym"/>
        <w:spacing w:before="0" w:after="120"/>
        <w:rPr>
          <w:szCs w:val="24"/>
        </w:rPr>
      </w:pPr>
      <w:r w:rsidRPr="000665B0">
        <w:rPr>
          <w:szCs w:val="24"/>
        </w:rPr>
        <w:t>PIM</w:t>
      </w:r>
      <w:r w:rsidRPr="000665B0">
        <w:rPr>
          <w:szCs w:val="24"/>
        </w:rPr>
        <w:tab/>
      </w:r>
      <w:r w:rsidR="0088223D" w:rsidRPr="000665B0">
        <w:rPr>
          <w:szCs w:val="24"/>
        </w:rPr>
        <w:t xml:space="preserve">Position and </w:t>
      </w:r>
      <w:r w:rsidR="003A0ED9" w:rsidRPr="000665B0">
        <w:rPr>
          <w:szCs w:val="24"/>
        </w:rPr>
        <w:t>Intended Movement</w:t>
      </w:r>
    </w:p>
    <w:p w14:paraId="28051C5B" w14:textId="77777777" w:rsidR="00354289" w:rsidRPr="000665B0" w:rsidRDefault="00354289" w:rsidP="00BE692D">
      <w:pPr>
        <w:pStyle w:val="Acronym"/>
        <w:spacing w:before="0" w:after="120"/>
      </w:pPr>
      <w:r w:rsidRPr="000665B0">
        <w:t>PIX</w:t>
      </w:r>
      <w:r w:rsidRPr="000665B0">
        <w:tab/>
        <w:t>Pixel</w:t>
      </w:r>
    </w:p>
    <w:p w14:paraId="671D8D2C" w14:textId="77777777" w:rsidR="00354289" w:rsidRPr="000665B0" w:rsidRDefault="00354289" w:rsidP="00BE692D">
      <w:pPr>
        <w:pStyle w:val="Acronym"/>
        <w:spacing w:before="0" w:after="120"/>
      </w:pPr>
      <w:r w:rsidRPr="000665B0">
        <w:t>PIXDB</w:t>
      </w:r>
      <w:r w:rsidRPr="000665B0">
        <w:tab/>
        <w:t>PIX Database</w:t>
      </w:r>
    </w:p>
    <w:p w14:paraId="73BDC113" w14:textId="77777777" w:rsidR="00521797" w:rsidRPr="000665B0" w:rsidRDefault="00521797" w:rsidP="00BE692D">
      <w:pPr>
        <w:pStyle w:val="Acronym"/>
        <w:spacing w:before="0" w:after="120"/>
      </w:pPr>
      <w:r w:rsidRPr="000665B0">
        <w:t>PL</w:t>
      </w:r>
      <w:r w:rsidRPr="000665B0">
        <w:tab/>
        <w:t>Presentation Layer</w:t>
      </w:r>
    </w:p>
    <w:p w14:paraId="3EFB4D25" w14:textId="77777777" w:rsidR="00402DF6" w:rsidRPr="000665B0" w:rsidRDefault="00402DF6" w:rsidP="00BE692D">
      <w:pPr>
        <w:pStyle w:val="Acronym"/>
        <w:spacing w:before="0" w:after="120"/>
      </w:pPr>
      <w:r w:rsidRPr="000665B0">
        <w:t>PLP</w:t>
      </w:r>
      <w:r w:rsidRPr="000665B0">
        <w:tab/>
        <w:t>Preferred Launch Position</w:t>
      </w:r>
    </w:p>
    <w:p w14:paraId="49CB55D0" w14:textId="77777777" w:rsidR="00402DF6" w:rsidRPr="000665B0" w:rsidRDefault="00402DF6" w:rsidP="00402DF6">
      <w:pPr>
        <w:ind w:left="2880" w:hanging="2880"/>
      </w:pPr>
      <w:r w:rsidRPr="000665B0">
        <w:t>PLR</w:t>
      </w:r>
      <w:r w:rsidRPr="000665B0">
        <w:tab/>
        <w:t>Post Launch Reports</w:t>
      </w:r>
      <w:r w:rsidR="00C75E81" w:rsidRPr="000665B0">
        <w:t xml:space="preserve"> (Obsolete)</w:t>
      </w:r>
    </w:p>
    <w:p w14:paraId="18A7F072" w14:textId="77777777" w:rsidR="00402DF6" w:rsidRPr="000665B0" w:rsidRDefault="00402DF6" w:rsidP="00402DF6">
      <w:pPr>
        <w:pStyle w:val="Acronym"/>
        <w:spacing w:before="0" w:after="120"/>
        <w:rPr>
          <w:szCs w:val="24"/>
        </w:rPr>
      </w:pPr>
      <w:r w:rsidRPr="000665B0">
        <w:rPr>
          <w:szCs w:val="24"/>
        </w:rPr>
        <w:t>PLRO</w:t>
      </w:r>
      <w:r w:rsidRPr="000665B0">
        <w:rPr>
          <w:szCs w:val="24"/>
        </w:rPr>
        <w:tab/>
        <w:t>Post Launch Report Object</w:t>
      </w:r>
      <w:r w:rsidR="00C75E81" w:rsidRPr="000665B0">
        <w:rPr>
          <w:szCs w:val="24"/>
        </w:rPr>
        <w:t xml:space="preserve"> (Obsolete)</w:t>
      </w:r>
    </w:p>
    <w:p w14:paraId="7DBFFDC2" w14:textId="77777777" w:rsidR="009E67A1" w:rsidRPr="000665B0" w:rsidRDefault="009E67A1" w:rsidP="00402DF6">
      <w:pPr>
        <w:pStyle w:val="Acronym"/>
        <w:spacing w:before="0" w:after="120"/>
        <w:rPr>
          <w:szCs w:val="24"/>
        </w:rPr>
      </w:pPr>
      <w:r w:rsidRPr="000665B0">
        <w:rPr>
          <w:szCs w:val="24"/>
        </w:rPr>
        <w:t>PM3</w:t>
      </w:r>
      <w:r w:rsidRPr="000665B0">
        <w:rPr>
          <w:szCs w:val="24"/>
        </w:rPr>
        <w:tab/>
      </w:r>
      <w:r w:rsidR="005862D0" w:rsidRPr="000665B0">
        <w:t>Platform Missile Mission Matching</w:t>
      </w:r>
    </w:p>
    <w:p w14:paraId="4976EC18" w14:textId="77777777" w:rsidR="00F965D8" w:rsidRPr="000665B0" w:rsidRDefault="00F965D8" w:rsidP="002C0963">
      <w:pPr>
        <w:pStyle w:val="Acronym"/>
        <w:spacing w:before="0" w:after="120"/>
        <w:rPr>
          <w:szCs w:val="24"/>
        </w:rPr>
      </w:pPr>
      <w:r w:rsidRPr="000665B0">
        <w:rPr>
          <w:szCs w:val="24"/>
        </w:rPr>
        <w:t>PMA-280</w:t>
      </w:r>
      <w:r w:rsidRPr="000665B0">
        <w:rPr>
          <w:szCs w:val="24"/>
        </w:rPr>
        <w:tab/>
        <w:t>Program Management Authority 280</w:t>
      </w:r>
    </w:p>
    <w:p w14:paraId="724C2EDB" w14:textId="77777777" w:rsidR="002C0963" w:rsidRPr="000665B0" w:rsidRDefault="002C0963" w:rsidP="002C0963">
      <w:pPr>
        <w:pStyle w:val="Acronym"/>
        <w:spacing w:before="0" w:after="120"/>
        <w:rPr>
          <w:szCs w:val="24"/>
        </w:rPr>
      </w:pPr>
      <w:r w:rsidRPr="000665B0">
        <w:rPr>
          <w:szCs w:val="24"/>
        </w:rPr>
        <w:t>PMA-281</w:t>
      </w:r>
      <w:r w:rsidRPr="000665B0">
        <w:rPr>
          <w:szCs w:val="24"/>
        </w:rPr>
        <w:tab/>
        <w:t>Program Management Authority 281</w:t>
      </w:r>
    </w:p>
    <w:p w14:paraId="6FAE751A" w14:textId="77777777" w:rsidR="00402DF6" w:rsidRPr="000665B0" w:rsidRDefault="00402DF6" w:rsidP="00402DF6">
      <w:pPr>
        <w:ind w:left="2880" w:hanging="2880"/>
      </w:pPr>
      <w:r w:rsidRPr="000665B0">
        <w:t>PML</w:t>
      </w:r>
      <w:r w:rsidRPr="000665B0">
        <w:tab/>
        <w:t>Platform’s Mission Library</w:t>
      </w:r>
    </w:p>
    <w:p w14:paraId="12CF55DE" w14:textId="77777777" w:rsidR="00453597" w:rsidRPr="000665B0" w:rsidRDefault="00402DF6" w:rsidP="00402DF6">
      <w:pPr>
        <w:ind w:left="2880" w:hanging="2880"/>
      </w:pPr>
      <w:r w:rsidRPr="000665B0">
        <w:t>PMO</w:t>
      </w:r>
      <w:r w:rsidRPr="000665B0">
        <w:tab/>
      </w:r>
      <w:r w:rsidR="00453597" w:rsidRPr="000665B0">
        <w:t>Probability of Map Overflight</w:t>
      </w:r>
    </w:p>
    <w:p w14:paraId="371DDD05" w14:textId="5B4E3CB8" w:rsidR="00453597" w:rsidRPr="000665B0" w:rsidRDefault="00453597" w:rsidP="00964F34">
      <w:pPr>
        <w:ind w:left="2880"/>
      </w:pPr>
      <w:r w:rsidRPr="000665B0">
        <w:t>or</w:t>
      </w:r>
    </w:p>
    <w:p w14:paraId="0FB4EB93" w14:textId="77777777" w:rsidR="00402DF6" w:rsidRPr="000665B0" w:rsidRDefault="00402DF6" w:rsidP="00964F34">
      <w:pPr>
        <w:ind w:left="2880"/>
      </w:pPr>
      <w:r w:rsidRPr="000665B0">
        <w:t>Probability of Missile Overflight</w:t>
      </w:r>
    </w:p>
    <w:p w14:paraId="42A929C5" w14:textId="2ED50499" w:rsidR="0024294A" w:rsidRDefault="0024294A" w:rsidP="00402DF6">
      <w:pPr>
        <w:ind w:left="2880" w:hanging="2880"/>
      </w:pPr>
      <w:r>
        <w:t>PMT</w:t>
      </w:r>
      <w:r>
        <w:tab/>
        <w:t>Platform Management Tool</w:t>
      </w:r>
    </w:p>
    <w:p w14:paraId="4DB0B3B0" w14:textId="2BA3B6D1" w:rsidR="007564D4" w:rsidRPr="000665B0" w:rsidRDefault="007564D4" w:rsidP="00402DF6">
      <w:pPr>
        <w:ind w:left="2880" w:hanging="2880"/>
      </w:pPr>
      <w:r w:rsidRPr="000665B0">
        <w:t>PND</w:t>
      </w:r>
      <w:r w:rsidRPr="000665B0">
        <w:tab/>
        <w:t>Pending</w:t>
      </w:r>
    </w:p>
    <w:p w14:paraId="2ABE2951" w14:textId="0162FDD6" w:rsidR="00F953B9" w:rsidRPr="000665B0" w:rsidRDefault="00F953B9" w:rsidP="00402DF6">
      <w:pPr>
        <w:ind w:left="2880" w:hanging="2880"/>
      </w:pPr>
      <w:r w:rsidRPr="000665B0">
        <w:t>PO</w:t>
      </w:r>
      <w:r w:rsidRPr="000665B0">
        <w:tab/>
        <w:t>Planning Organization</w:t>
      </w:r>
    </w:p>
    <w:p w14:paraId="5C43C3C5" w14:textId="77777777" w:rsidR="0009112A" w:rsidRPr="000665B0" w:rsidRDefault="0009112A" w:rsidP="00402DF6">
      <w:pPr>
        <w:ind w:left="2880" w:hanging="2880"/>
      </w:pPr>
      <w:r w:rsidRPr="000665B0">
        <w:t>POB</w:t>
      </w:r>
      <w:r w:rsidRPr="000665B0">
        <w:tab/>
        <w:t>Planned Outcomes Boundary</w:t>
      </w:r>
    </w:p>
    <w:p w14:paraId="2EBA3103" w14:textId="77777777" w:rsidR="00387E0F" w:rsidRPr="000665B0" w:rsidRDefault="00387E0F" w:rsidP="00402DF6">
      <w:pPr>
        <w:ind w:left="2880" w:hanging="2880"/>
      </w:pPr>
      <w:r w:rsidRPr="000665B0">
        <w:t>POC</w:t>
      </w:r>
      <w:r w:rsidRPr="000665B0">
        <w:tab/>
        <w:t>Point of Contact</w:t>
      </w:r>
    </w:p>
    <w:p w14:paraId="37F70EC4" w14:textId="77777777" w:rsidR="00402DF6" w:rsidRPr="000665B0" w:rsidRDefault="00402DF6" w:rsidP="00402DF6">
      <w:pPr>
        <w:ind w:left="2880" w:hanging="2880"/>
      </w:pPr>
      <w:r w:rsidRPr="000665B0">
        <w:t>PPO</w:t>
      </w:r>
      <w:r w:rsidRPr="000665B0">
        <w:tab/>
        <w:t>Pre-Planned Outcome</w:t>
      </w:r>
    </w:p>
    <w:p w14:paraId="1BFE4468" w14:textId="77777777" w:rsidR="0039354C" w:rsidRPr="000665B0" w:rsidRDefault="0039354C" w:rsidP="00402DF6">
      <w:pPr>
        <w:ind w:left="2880" w:hanging="2880"/>
      </w:pPr>
      <w:r w:rsidRPr="000665B0">
        <w:t>PRI</w:t>
      </w:r>
      <w:r w:rsidRPr="000665B0">
        <w:tab/>
      </w:r>
      <w:r w:rsidR="00C30B99" w:rsidRPr="000665B0">
        <w:t>Primary</w:t>
      </w:r>
    </w:p>
    <w:p w14:paraId="0492FD09" w14:textId="77777777" w:rsidR="0039354C" w:rsidRPr="000665B0" w:rsidRDefault="0039354C" w:rsidP="00402DF6">
      <w:pPr>
        <w:ind w:left="2880" w:hanging="2880"/>
      </w:pPr>
      <w:r w:rsidRPr="000665B0">
        <w:t>PRY</w:t>
      </w:r>
      <w:r w:rsidRPr="000665B0">
        <w:tab/>
      </w:r>
      <w:r w:rsidR="00761180" w:rsidRPr="000665B0">
        <w:t>Primary</w:t>
      </w:r>
    </w:p>
    <w:p w14:paraId="1601FF0A" w14:textId="77777777" w:rsidR="00402DF6" w:rsidRPr="000665B0" w:rsidRDefault="00402DF6" w:rsidP="00402DF6">
      <w:pPr>
        <w:ind w:left="2880" w:hanging="2880"/>
      </w:pPr>
      <w:r w:rsidRPr="000665B0">
        <w:t>PSOR</w:t>
      </w:r>
      <w:r w:rsidRPr="000665B0">
        <w:tab/>
        <w:t>Planned Stand-</w:t>
      </w:r>
      <w:r w:rsidR="00F91862" w:rsidRPr="000665B0">
        <w:t>O</w:t>
      </w:r>
      <w:r w:rsidRPr="000665B0">
        <w:t>ff Range</w:t>
      </w:r>
    </w:p>
    <w:p w14:paraId="65A1E205" w14:textId="77777777" w:rsidR="00402DF6" w:rsidRPr="000665B0" w:rsidRDefault="00402DF6" w:rsidP="00402DF6">
      <w:pPr>
        <w:ind w:left="2880" w:hanging="2880"/>
      </w:pPr>
      <w:r w:rsidRPr="000665B0">
        <w:lastRenderedPageBreak/>
        <w:t>PST</w:t>
      </w:r>
      <w:r w:rsidRPr="000665B0">
        <w:tab/>
        <w:t>Precision Strike Tomahawk</w:t>
      </w:r>
    </w:p>
    <w:p w14:paraId="3C43F1E4" w14:textId="77777777" w:rsidR="00560875" w:rsidRPr="000665B0" w:rsidRDefault="00560875" w:rsidP="00402DF6">
      <w:pPr>
        <w:ind w:left="2880" w:hanging="2880"/>
      </w:pPr>
      <w:r w:rsidRPr="000665B0">
        <w:t>PTNT</w:t>
      </w:r>
      <w:r w:rsidRPr="000665B0">
        <w:tab/>
        <w:t>Proceed To New Target</w:t>
      </w:r>
    </w:p>
    <w:p w14:paraId="0E68CD49" w14:textId="40A95C3A" w:rsidR="00402DF6" w:rsidRPr="000665B0" w:rsidRDefault="00402DF6" w:rsidP="00402DF6">
      <w:pPr>
        <w:ind w:left="2880" w:hanging="2880"/>
      </w:pPr>
      <w:r w:rsidRPr="000665B0">
        <w:t>P</w:t>
      </w:r>
      <w:r w:rsidRPr="000665B0">
        <w:rPr>
          <w:szCs w:val="24"/>
        </w:rPr>
        <w:t>TP</w:t>
      </w:r>
      <w:r w:rsidRPr="000665B0">
        <w:tab/>
        <w:t xml:space="preserve">Probability to Penetrate </w:t>
      </w:r>
    </w:p>
    <w:p w14:paraId="65981979" w14:textId="77777777" w:rsidR="006B1090" w:rsidRPr="000665B0" w:rsidRDefault="006B1090" w:rsidP="0057678C">
      <w:pPr>
        <w:ind w:left="2880"/>
      </w:pPr>
      <w:r w:rsidRPr="000665B0">
        <w:t>or</w:t>
      </w:r>
    </w:p>
    <w:p w14:paraId="17161A64" w14:textId="77777777" w:rsidR="006B1090" w:rsidRPr="000665B0" w:rsidRDefault="006B1090" w:rsidP="0057678C">
      <w:pPr>
        <w:ind w:left="2880" w:hanging="2880"/>
      </w:pPr>
      <w:r w:rsidRPr="000665B0">
        <w:tab/>
        <w:t>Point to Point</w:t>
      </w:r>
    </w:p>
    <w:p w14:paraId="45FF233A" w14:textId="350A0019" w:rsidR="00402DF6" w:rsidRPr="000665B0" w:rsidRDefault="00402DF6" w:rsidP="00402DF6">
      <w:pPr>
        <w:ind w:left="2880" w:hanging="2880"/>
      </w:pPr>
      <w:r w:rsidRPr="000665B0">
        <w:t>PWD</w:t>
      </w:r>
      <w:r w:rsidRPr="000665B0">
        <w:tab/>
        <w:t>Programmable Warhead Detonation</w:t>
      </w:r>
    </w:p>
    <w:p w14:paraId="67F74B0C" w14:textId="77777777" w:rsidR="00761180" w:rsidRPr="000665B0" w:rsidRDefault="00761180" w:rsidP="00402DF6">
      <w:pPr>
        <w:ind w:left="2880" w:hanging="2880"/>
      </w:pPr>
      <w:r w:rsidRPr="000665B0">
        <w:t>QA</w:t>
      </w:r>
      <w:r w:rsidRPr="000665B0">
        <w:tab/>
        <w:t>Quality Assurance</w:t>
      </w:r>
    </w:p>
    <w:p w14:paraId="05A1E0DF" w14:textId="2E3C84C8" w:rsidR="004907D4" w:rsidRPr="000665B0" w:rsidRDefault="004907D4" w:rsidP="00402DF6">
      <w:pPr>
        <w:ind w:left="2880" w:hanging="2880"/>
      </w:pPr>
      <w:r w:rsidRPr="000665B0">
        <w:t>QS</w:t>
      </w:r>
      <w:r w:rsidRPr="000665B0">
        <w:tab/>
        <w:t>Quick Strike</w:t>
      </w:r>
    </w:p>
    <w:p w14:paraId="1507098B" w14:textId="77777777" w:rsidR="00285BC7" w:rsidRPr="000665B0" w:rsidRDefault="00285BC7" w:rsidP="00402DF6">
      <w:pPr>
        <w:ind w:left="2880" w:hanging="2880"/>
      </w:pPr>
      <w:r w:rsidRPr="000665B0">
        <w:t>R</w:t>
      </w:r>
      <w:r w:rsidRPr="000665B0">
        <w:tab/>
        <w:t>Reviewer</w:t>
      </w:r>
    </w:p>
    <w:p w14:paraId="4A05C87A" w14:textId="77777777" w:rsidR="00402DF6" w:rsidRPr="000665B0" w:rsidRDefault="00402DF6" w:rsidP="00402DF6">
      <w:pPr>
        <w:ind w:left="2880" w:hanging="2880"/>
      </w:pPr>
      <w:r w:rsidRPr="000665B0">
        <w:t>R/UGM</w:t>
      </w:r>
      <w:r w:rsidRPr="000665B0">
        <w:tab/>
        <w:t>Surface/Submarine Guided Missile</w:t>
      </w:r>
    </w:p>
    <w:p w14:paraId="5AE8C5E3" w14:textId="57561795" w:rsidR="00CF194C" w:rsidRPr="000665B0" w:rsidRDefault="00CF194C" w:rsidP="00402DF6">
      <w:pPr>
        <w:ind w:left="2880" w:hanging="2880"/>
      </w:pPr>
      <w:r w:rsidRPr="000665B0">
        <w:t>REF</w:t>
      </w:r>
      <w:r w:rsidRPr="000665B0">
        <w:tab/>
      </w:r>
      <w:r w:rsidR="00C30B99" w:rsidRPr="000665B0">
        <w:t>Reference</w:t>
      </w:r>
    </w:p>
    <w:p w14:paraId="731D6045" w14:textId="7194E525" w:rsidR="00560D5C" w:rsidRPr="000665B0" w:rsidRDefault="00560D5C" w:rsidP="0062424B">
      <w:pPr>
        <w:ind w:left="2880" w:hanging="2880"/>
        <w:rPr>
          <w:bCs/>
        </w:rPr>
      </w:pPr>
      <w:r w:rsidRPr="000665B0">
        <w:rPr>
          <w:bCs/>
        </w:rPr>
        <w:t>REP</w:t>
      </w:r>
      <w:r w:rsidRPr="000665B0">
        <w:rPr>
          <w:bCs/>
        </w:rPr>
        <w:tab/>
        <w:t>Range Error Probable</w:t>
      </w:r>
    </w:p>
    <w:p w14:paraId="2EFC7FF0" w14:textId="49032ECD" w:rsidR="0062424B" w:rsidRPr="000665B0" w:rsidRDefault="0062424B" w:rsidP="0062424B">
      <w:pPr>
        <w:ind w:left="2880" w:hanging="2880"/>
        <w:rPr>
          <w:bCs/>
        </w:rPr>
      </w:pPr>
      <w:r w:rsidRPr="000665B0">
        <w:rPr>
          <w:bCs/>
        </w:rPr>
        <w:t>RESPROD</w:t>
      </w:r>
      <w:r w:rsidRPr="000665B0">
        <w:rPr>
          <w:bCs/>
        </w:rPr>
        <w:tab/>
        <w:t>Responsible Producers</w:t>
      </w:r>
    </w:p>
    <w:p w14:paraId="27C4F84D" w14:textId="77777777" w:rsidR="00402DF6" w:rsidRPr="000665B0" w:rsidRDefault="00402DF6" w:rsidP="00402DF6">
      <w:pPr>
        <w:ind w:left="2880" w:hanging="2880"/>
        <w:rPr>
          <w:bCs/>
        </w:rPr>
      </w:pPr>
      <w:r w:rsidRPr="000665B0">
        <w:rPr>
          <w:bCs/>
        </w:rPr>
        <w:t>RETEPP</w:t>
      </w:r>
      <w:r w:rsidRPr="000665B0">
        <w:rPr>
          <w:bCs/>
        </w:rPr>
        <w:tab/>
        <w:t>Replacement ETEPP</w:t>
      </w:r>
    </w:p>
    <w:p w14:paraId="2D25FD50" w14:textId="56E77D30" w:rsidR="00F47AD0" w:rsidRPr="000665B0" w:rsidRDefault="00F47AD0" w:rsidP="00402DF6">
      <w:pPr>
        <w:ind w:left="2880" w:hanging="2880"/>
        <w:rPr>
          <w:bCs/>
        </w:rPr>
      </w:pPr>
      <w:r w:rsidRPr="000665B0">
        <w:rPr>
          <w:bCs/>
        </w:rPr>
        <w:t>RFBI</w:t>
      </w:r>
      <w:r w:rsidRPr="000665B0">
        <w:rPr>
          <w:bCs/>
        </w:rPr>
        <w:tab/>
        <w:t>Radio Firmware Bus Interface</w:t>
      </w:r>
    </w:p>
    <w:p w14:paraId="4265C037" w14:textId="77777777" w:rsidR="00F47AD0" w:rsidRPr="000665B0" w:rsidRDefault="00F47AD0" w:rsidP="00402DF6">
      <w:pPr>
        <w:ind w:left="2880" w:hanging="2880"/>
        <w:rPr>
          <w:bCs/>
        </w:rPr>
      </w:pPr>
      <w:r w:rsidRPr="000665B0">
        <w:rPr>
          <w:bCs/>
        </w:rPr>
        <w:t>RFEN</w:t>
      </w:r>
      <w:r w:rsidRPr="000665B0">
        <w:rPr>
          <w:bCs/>
        </w:rPr>
        <w:tab/>
        <w:t xml:space="preserve">Radio Firmware Encryption </w:t>
      </w:r>
    </w:p>
    <w:p w14:paraId="31D6970C" w14:textId="548BCB75" w:rsidR="00F47AD0" w:rsidRPr="000665B0" w:rsidRDefault="00F47AD0" w:rsidP="00402DF6">
      <w:pPr>
        <w:ind w:left="2880" w:hanging="2880"/>
        <w:rPr>
          <w:bCs/>
        </w:rPr>
      </w:pPr>
      <w:r w:rsidRPr="000665B0">
        <w:rPr>
          <w:bCs/>
        </w:rPr>
        <w:t>RFRH</w:t>
      </w:r>
      <w:r w:rsidRPr="000665B0">
        <w:rPr>
          <w:bCs/>
        </w:rPr>
        <w:tab/>
        <w:t xml:space="preserve">Radio Firmware Receive High Band </w:t>
      </w:r>
    </w:p>
    <w:p w14:paraId="3853D71F" w14:textId="106D767D" w:rsidR="00F47AD0" w:rsidRPr="000665B0" w:rsidRDefault="00F47AD0" w:rsidP="00402DF6">
      <w:pPr>
        <w:ind w:left="2880" w:hanging="2880"/>
        <w:rPr>
          <w:bCs/>
        </w:rPr>
      </w:pPr>
      <w:r w:rsidRPr="000665B0">
        <w:rPr>
          <w:bCs/>
        </w:rPr>
        <w:t>RFRL</w:t>
      </w:r>
      <w:r w:rsidRPr="000665B0">
        <w:rPr>
          <w:bCs/>
        </w:rPr>
        <w:tab/>
        <w:t xml:space="preserve">Radio Firmware Receive Low Band </w:t>
      </w:r>
    </w:p>
    <w:p w14:paraId="2E23F1DC" w14:textId="21B22384" w:rsidR="00F47AD0" w:rsidRPr="000665B0" w:rsidRDefault="00137E89" w:rsidP="00402DF6">
      <w:pPr>
        <w:ind w:left="2880" w:hanging="2880"/>
        <w:rPr>
          <w:bCs/>
        </w:rPr>
      </w:pPr>
      <w:r w:rsidRPr="000665B0">
        <w:rPr>
          <w:bCs/>
        </w:rPr>
        <w:t>RFTX</w:t>
      </w:r>
      <w:r w:rsidR="00F47AD0" w:rsidRPr="000665B0">
        <w:rPr>
          <w:bCs/>
        </w:rPr>
        <w:tab/>
        <w:t xml:space="preserve">Radio Firmware Transmit </w:t>
      </w:r>
    </w:p>
    <w:p w14:paraId="4A765AD8" w14:textId="34025A91" w:rsidR="009251DD" w:rsidRPr="000665B0" w:rsidRDefault="009251DD" w:rsidP="00402DF6">
      <w:pPr>
        <w:ind w:left="2880" w:hanging="2880"/>
        <w:rPr>
          <w:bCs/>
        </w:rPr>
      </w:pPr>
      <w:r w:rsidRPr="000665B0">
        <w:rPr>
          <w:bCs/>
        </w:rPr>
        <w:t>RLE</w:t>
      </w:r>
      <w:r w:rsidRPr="000665B0">
        <w:rPr>
          <w:bCs/>
        </w:rPr>
        <w:tab/>
        <w:t>Right-to-Left Embedding</w:t>
      </w:r>
    </w:p>
    <w:p w14:paraId="3987E523" w14:textId="77777777" w:rsidR="009251DD" w:rsidRPr="000665B0" w:rsidRDefault="009251DD" w:rsidP="00402DF6">
      <w:pPr>
        <w:ind w:left="2880" w:hanging="2880"/>
        <w:rPr>
          <w:bCs/>
        </w:rPr>
      </w:pPr>
      <w:r w:rsidRPr="000665B0">
        <w:rPr>
          <w:bCs/>
        </w:rPr>
        <w:t>RLM</w:t>
      </w:r>
      <w:r w:rsidRPr="000665B0">
        <w:rPr>
          <w:bCs/>
        </w:rPr>
        <w:tab/>
        <w:t>Right-to-Left Mark</w:t>
      </w:r>
    </w:p>
    <w:p w14:paraId="2D6E534C" w14:textId="77777777" w:rsidR="009251DD" w:rsidRPr="000665B0" w:rsidRDefault="009251DD" w:rsidP="00402DF6">
      <w:pPr>
        <w:ind w:left="2880" w:hanging="2880"/>
        <w:rPr>
          <w:bCs/>
        </w:rPr>
      </w:pPr>
      <w:r w:rsidRPr="000665B0">
        <w:rPr>
          <w:bCs/>
        </w:rPr>
        <w:t>RLO</w:t>
      </w:r>
      <w:r w:rsidRPr="000665B0">
        <w:rPr>
          <w:bCs/>
        </w:rPr>
        <w:tab/>
        <w:t>Right-to-Left Override</w:t>
      </w:r>
    </w:p>
    <w:p w14:paraId="7C7E4D71" w14:textId="77777777" w:rsidR="00CF194C" w:rsidRPr="000665B0" w:rsidRDefault="00CF194C" w:rsidP="00402DF6">
      <w:pPr>
        <w:ind w:left="2880" w:hanging="2880"/>
        <w:rPr>
          <w:bCs/>
        </w:rPr>
      </w:pPr>
      <w:r w:rsidRPr="000665B0">
        <w:rPr>
          <w:bCs/>
        </w:rPr>
        <w:t>ROW</w:t>
      </w:r>
      <w:r w:rsidRPr="000665B0">
        <w:rPr>
          <w:bCs/>
        </w:rPr>
        <w:tab/>
        <w:t>Rest of World</w:t>
      </w:r>
    </w:p>
    <w:p w14:paraId="146DE928" w14:textId="77777777" w:rsidR="00354289" w:rsidRPr="000665B0" w:rsidRDefault="00354289" w:rsidP="00402DF6">
      <w:pPr>
        <w:ind w:left="2880" w:hanging="2880"/>
        <w:rPr>
          <w:bCs/>
        </w:rPr>
      </w:pPr>
      <w:r w:rsidRPr="000665B0">
        <w:rPr>
          <w:bCs/>
        </w:rPr>
        <w:t>RPF</w:t>
      </w:r>
      <w:r w:rsidRPr="000665B0">
        <w:rPr>
          <w:bCs/>
        </w:rPr>
        <w:tab/>
      </w:r>
      <w:r w:rsidR="00552DFA" w:rsidRPr="000665B0">
        <w:rPr>
          <w:bCs/>
        </w:rPr>
        <w:t>Raster Product Format</w:t>
      </w:r>
    </w:p>
    <w:p w14:paraId="3D66BB78" w14:textId="77777777" w:rsidR="00A66906" w:rsidRPr="000665B0" w:rsidRDefault="00A66906" w:rsidP="00402DF6">
      <w:pPr>
        <w:ind w:left="2880" w:hanging="2880"/>
        <w:rPr>
          <w:bCs/>
        </w:rPr>
      </w:pPr>
      <w:r w:rsidRPr="000665B0">
        <w:rPr>
          <w:bCs/>
        </w:rPr>
        <w:t>RPPM</w:t>
      </w:r>
      <w:r w:rsidRPr="000665B0">
        <w:rPr>
          <w:bCs/>
        </w:rPr>
        <w:tab/>
        <w:t>Rapid Precision</w:t>
      </w:r>
      <w:r w:rsidR="00425FCC" w:rsidRPr="000665B0">
        <w:rPr>
          <w:bCs/>
        </w:rPr>
        <w:t xml:space="preserve"> Point</w:t>
      </w:r>
      <w:r w:rsidRPr="000665B0">
        <w:rPr>
          <w:bCs/>
        </w:rPr>
        <w:t xml:space="preserve"> Measurement</w:t>
      </w:r>
    </w:p>
    <w:p w14:paraId="2932B932" w14:textId="77777777" w:rsidR="00D71E17" w:rsidRPr="000665B0" w:rsidRDefault="0057678C" w:rsidP="00402DF6">
      <w:pPr>
        <w:ind w:left="2880" w:hanging="2880"/>
        <w:rPr>
          <w:bCs/>
        </w:rPr>
      </w:pPr>
      <w:r w:rsidRPr="000665B0">
        <w:rPr>
          <w:bCs/>
        </w:rPr>
        <w:t>RS</w:t>
      </w:r>
      <w:r w:rsidRPr="000665B0">
        <w:rPr>
          <w:bCs/>
        </w:rPr>
        <w:tab/>
        <w:t>Ready Spare</w:t>
      </w:r>
    </w:p>
    <w:p w14:paraId="19F77B66" w14:textId="77777777" w:rsidR="009D3D97" w:rsidRPr="000665B0" w:rsidRDefault="009D3D97" w:rsidP="009D3D97">
      <w:pPr>
        <w:ind w:left="2880"/>
        <w:rPr>
          <w:bCs/>
        </w:rPr>
      </w:pPr>
      <w:r w:rsidRPr="000665B0">
        <w:rPr>
          <w:bCs/>
        </w:rPr>
        <w:t>or</w:t>
      </w:r>
    </w:p>
    <w:p w14:paraId="4645AF6D" w14:textId="77777777" w:rsidR="009D3D97" w:rsidRPr="000665B0" w:rsidRDefault="009D3D97" w:rsidP="009D3D97">
      <w:pPr>
        <w:ind w:left="2880"/>
        <w:rPr>
          <w:bCs/>
        </w:rPr>
      </w:pPr>
      <w:r w:rsidRPr="000665B0">
        <w:rPr>
          <w:bCs/>
        </w:rPr>
        <w:t>Record Separator</w:t>
      </w:r>
    </w:p>
    <w:p w14:paraId="5394DA05" w14:textId="77777777" w:rsidR="00F47AD0" w:rsidRPr="000665B0" w:rsidRDefault="00F47AD0" w:rsidP="00402DF6">
      <w:pPr>
        <w:ind w:left="2880" w:hanging="2880"/>
        <w:rPr>
          <w:bCs/>
        </w:rPr>
      </w:pPr>
      <w:r w:rsidRPr="000665B0">
        <w:rPr>
          <w:bCs/>
        </w:rPr>
        <w:t>RSAP</w:t>
      </w:r>
      <w:r w:rsidRPr="000665B0">
        <w:rPr>
          <w:bCs/>
        </w:rPr>
        <w:tab/>
        <w:t xml:space="preserve">Radio Software Application </w:t>
      </w:r>
    </w:p>
    <w:p w14:paraId="3545E589" w14:textId="107CDF4A" w:rsidR="00F47AD0" w:rsidRPr="000665B0" w:rsidRDefault="00F47AD0" w:rsidP="00402DF6">
      <w:pPr>
        <w:ind w:left="2880" w:hanging="2880"/>
        <w:rPr>
          <w:bCs/>
        </w:rPr>
      </w:pPr>
      <w:r w:rsidRPr="000665B0">
        <w:rPr>
          <w:bCs/>
        </w:rPr>
        <w:t>RSBL</w:t>
      </w:r>
      <w:r w:rsidRPr="000665B0">
        <w:rPr>
          <w:bCs/>
        </w:rPr>
        <w:tab/>
        <w:t xml:space="preserve">Radio Software Boot Loader </w:t>
      </w:r>
    </w:p>
    <w:p w14:paraId="734C647C" w14:textId="77777777" w:rsidR="00F47AD0" w:rsidRPr="000665B0" w:rsidRDefault="00F47AD0" w:rsidP="00402DF6">
      <w:pPr>
        <w:ind w:left="2880" w:hanging="2880"/>
        <w:rPr>
          <w:bCs/>
        </w:rPr>
      </w:pPr>
      <w:r w:rsidRPr="000665B0">
        <w:rPr>
          <w:bCs/>
        </w:rPr>
        <w:t>RSCL</w:t>
      </w:r>
      <w:r w:rsidRPr="000665B0">
        <w:rPr>
          <w:bCs/>
        </w:rPr>
        <w:tab/>
        <w:t xml:space="preserve">Radio Software Classified </w:t>
      </w:r>
    </w:p>
    <w:p w14:paraId="7A67CB5A" w14:textId="54B7E055" w:rsidR="00F953B9" w:rsidRPr="000665B0" w:rsidRDefault="00F953B9" w:rsidP="00402DF6">
      <w:pPr>
        <w:ind w:left="2880" w:hanging="2880"/>
      </w:pPr>
      <w:r w:rsidRPr="000665B0">
        <w:rPr>
          <w:bCs/>
        </w:rPr>
        <w:t>RSS</w:t>
      </w:r>
      <w:r w:rsidRPr="000665B0">
        <w:rPr>
          <w:bCs/>
        </w:rPr>
        <w:tab/>
        <w:t>Range Safety System</w:t>
      </w:r>
    </w:p>
    <w:p w14:paraId="7AF124F7" w14:textId="77777777" w:rsidR="00D71E17" w:rsidRPr="000665B0" w:rsidRDefault="00D71E17" w:rsidP="00402DF6">
      <w:pPr>
        <w:pStyle w:val="Acronym"/>
        <w:spacing w:before="0" w:after="120"/>
        <w:rPr>
          <w:szCs w:val="24"/>
        </w:rPr>
      </w:pPr>
      <w:r w:rsidRPr="000665B0">
        <w:rPr>
          <w:szCs w:val="24"/>
        </w:rPr>
        <w:lastRenderedPageBreak/>
        <w:t>RSV</w:t>
      </w:r>
      <w:r w:rsidRPr="000665B0">
        <w:rPr>
          <w:szCs w:val="24"/>
        </w:rPr>
        <w:tab/>
      </w:r>
      <w:r w:rsidR="00B23D2D" w:rsidRPr="000665B0">
        <w:rPr>
          <w:szCs w:val="24"/>
        </w:rPr>
        <w:t>Reservation Type</w:t>
      </w:r>
    </w:p>
    <w:p w14:paraId="10241FE1" w14:textId="2B21F31C" w:rsidR="00402DF6" w:rsidRDefault="00402DF6" w:rsidP="00402DF6">
      <w:pPr>
        <w:pStyle w:val="Acronym"/>
        <w:spacing w:before="0" w:after="120"/>
        <w:rPr>
          <w:szCs w:val="24"/>
        </w:rPr>
      </w:pPr>
      <w:r w:rsidRPr="000665B0">
        <w:rPr>
          <w:szCs w:val="24"/>
        </w:rPr>
        <w:t>RTGT</w:t>
      </w:r>
      <w:r w:rsidRPr="000665B0">
        <w:rPr>
          <w:szCs w:val="24"/>
        </w:rPr>
        <w:tab/>
        <w:t>Retarget</w:t>
      </w:r>
    </w:p>
    <w:p w14:paraId="507851BD" w14:textId="1F36AEB4" w:rsidR="00963507" w:rsidRPr="000665B0" w:rsidRDefault="00963507" w:rsidP="00402DF6">
      <w:pPr>
        <w:pStyle w:val="Acronym"/>
        <w:spacing w:before="0" w:after="120"/>
        <w:rPr>
          <w:szCs w:val="24"/>
        </w:rPr>
      </w:pPr>
      <w:r>
        <w:rPr>
          <w:szCs w:val="24"/>
        </w:rPr>
        <w:t>RTN</w:t>
      </w:r>
      <w:r>
        <w:rPr>
          <w:szCs w:val="24"/>
        </w:rPr>
        <w:tab/>
        <w:t>Received Track Number</w:t>
      </w:r>
    </w:p>
    <w:p w14:paraId="13710AA8" w14:textId="77777777" w:rsidR="00402DF6" w:rsidRPr="000665B0" w:rsidRDefault="00402DF6" w:rsidP="00402DF6">
      <w:pPr>
        <w:ind w:left="2880" w:hanging="2880"/>
      </w:pPr>
      <w:r w:rsidRPr="000665B0">
        <w:t>SATCOM</w:t>
      </w:r>
      <w:r w:rsidRPr="000665B0">
        <w:tab/>
        <w:t>Satellite Communication</w:t>
      </w:r>
      <w:r w:rsidR="0057678C" w:rsidRPr="000665B0">
        <w:t>s</w:t>
      </w:r>
    </w:p>
    <w:p w14:paraId="72B27F22" w14:textId="77777777" w:rsidR="00F953B9" w:rsidRPr="000665B0" w:rsidRDefault="00F953B9" w:rsidP="00402DF6">
      <w:pPr>
        <w:ind w:left="2880" w:hanging="2880"/>
      </w:pPr>
      <w:r w:rsidRPr="000665B0">
        <w:t>SC</w:t>
      </w:r>
      <w:r w:rsidRPr="000665B0">
        <w:tab/>
      </w:r>
      <w:r w:rsidR="00C30B99" w:rsidRPr="000665B0">
        <w:t>Strike Coordinator</w:t>
      </w:r>
    </w:p>
    <w:p w14:paraId="77143EE9" w14:textId="5B132DE5" w:rsidR="00B11927" w:rsidRPr="000665B0" w:rsidRDefault="00B11927" w:rsidP="00402DF6">
      <w:pPr>
        <w:ind w:left="2880" w:hanging="2880"/>
      </w:pPr>
      <w:r w:rsidRPr="000665B0">
        <w:t>SCG</w:t>
      </w:r>
      <w:r w:rsidRPr="000665B0">
        <w:tab/>
      </w:r>
      <w:r w:rsidRPr="000665B0">
        <w:rPr>
          <w:szCs w:val="24"/>
        </w:rPr>
        <w:t>Security Classification Guide</w:t>
      </w:r>
    </w:p>
    <w:p w14:paraId="44C42CB8" w14:textId="5EBE7557" w:rsidR="00A66906" w:rsidRDefault="00A66906" w:rsidP="00402DF6">
      <w:pPr>
        <w:ind w:left="2880" w:hanging="2880"/>
      </w:pPr>
      <w:r w:rsidRPr="000665B0">
        <w:t>SCI</w:t>
      </w:r>
      <w:r w:rsidRPr="000665B0">
        <w:tab/>
        <w:t>Sensitive Compartmented Information</w:t>
      </w:r>
    </w:p>
    <w:p w14:paraId="19EF6207" w14:textId="7477F668" w:rsidR="00B60C8A" w:rsidRPr="000665B0" w:rsidRDefault="00B60C8A" w:rsidP="00402DF6">
      <w:pPr>
        <w:ind w:left="2880" w:hanging="2880"/>
      </w:pPr>
      <w:r>
        <w:t>SCIM</w:t>
      </w:r>
      <w:r>
        <w:tab/>
        <w:t>Shaped Charge Initiation Module</w:t>
      </w:r>
    </w:p>
    <w:p w14:paraId="32076719" w14:textId="7A91B538" w:rsidR="006C19B1" w:rsidRDefault="006C19B1" w:rsidP="00402DF6">
      <w:pPr>
        <w:ind w:left="2880" w:hanging="2880"/>
      </w:pPr>
      <w:r>
        <w:t>SCNF</w:t>
      </w:r>
      <w:r>
        <w:tab/>
        <w:t>Ship Class Name File</w:t>
      </w:r>
    </w:p>
    <w:p w14:paraId="1A0C3E8A" w14:textId="73201D0D" w:rsidR="00E349B7" w:rsidRPr="000665B0" w:rsidRDefault="00E349B7" w:rsidP="00402DF6">
      <w:pPr>
        <w:ind w:left="2880" w:hanging="2880"/>
      </w:pPr>
      <w:r w:rsidRPr="000665B0">
        <w:t>SDF</w:t>
      </w:r>
      <w:r w:rsidRPr="000665B0">
        <w:tab/>
        <w:t>Seeker Data File</w:t>
      </w:r>
    </w:p>
    <w:p w14:paraId="26A7760D" w14:textId="1A395957" w:rsidR="00B10A82" w:rsidRPr="000665B0" w:rsidRDefault="00B10A82" w:rsidP="00402DF6">
      <w:pPr>
        <w:ind w:left="2880" w:hanging="2880"/>
      </w:pPr>
      <w:r w:rsidRPr="000665B0">
        <w:t>SDFA</w:t>
      </w:r>
      <w:r w:rsidRPr="000665B0">
        <w:tab/>
        <w:t>Seeker Data File – Active</w:t>
      </w:r>
    </w:p>
    <w:p w14:paraId="3341A049" w14:textId="4B1DD3A6" w:rsidR="00B10A82" w:rsidRPr="000665B0" w:rsidRDefault="00B10A82" w:rsidP="00402DF6">
      <w:pPr>
        <w:ind w:left="2880" w:hanging="2880"/>
      </w:pPr>
      <w:r w:rsidRPr="000665B0">
        <w:t>SDFP</w:t>
      </w:r>
      <w:r w:rsidRPr="000665B0">
        <w:tab/>
        <w:t>Seeker Data File – Passive</w:t>
      </w:r>
    </w:p>
    <w:p w14:paraId="34F461F1" w14:textId="3E453579" w:rsidR="00402DF6" w:rsidRPr="000665B0" w:rsidRDefault="00402DF6" w:rsidP="00402DF6">
      <w:pPr>
        <w:ind w:left="2880" w:hanging="2880"/>
      </w:pPr>
      <w:r w:rsidRPr="000665B0">
        <w:t>SDL</w:t>
      </w:r>
      <w:r w:rsidRPr="000665B0">
        <w:tab/>
      </w:r>
      <w:r w:rsidR="008F5C14" w:rsidRPr="000665B0">
        <w:t>Satellite Data Link</w:t>
      </w:r>
    </w:p>
    <w:p w14:paraId="1E5E1EE3" w14:textId="77777777" w:rsidR="0006602E" w:rsidRPr="000665B0" w:rsidRDefault="0006602E" w:rsidP="00402DF6">
      <w:pPr>
        <w:ind w:left="2880" w:hanging="2880"/>
      </w:pPr>
      <w:r w:rsidRPr="000665B0">
        <w:t>SDLT</w:t>
      </w:r>
      <w:r w:rsidRPr="000665B0">
        <w:tab/>
      </w:r>
      <w:r w:rsidR="00C30B99" w:rsidRPr="000665B0">
        <w:t>SDL Terminal</w:t>
      </w:r>
    </w:p>
    <w:p w14:paraId="1BD3B71E" w14:textId="77777777" w:rsidR="006F7488" w:rsidRPr="000665B0" w:rsidRDefault="006F7488" w:rsidP="006F7488">
      <w:pPr>
        <w:pStyle w:val="Acronym"/>
        <w:spacing w:before="0" w:after="120"/>
        <w:rPr>
          <w:szCs w:val="24"/>
        </w:rPr>
      </w:pPr>
      <w:r w:rsidRPr="000665B0">
        <w:rPr>
          <w:szCs w:val="24"/>
        </w:rPr>
        <w:t>SEF</w:t>
      </w:r>
      <w:r w:rsidRPr="000665B0">
        <w:rPr>
          <w:szCs w:val="24"/>
        </w:rPr>
        <w:tab/>
        <w:t>Strike Execution Folder</w:t>
      </w:r>
    </w:p>
    <w:p w14:paraId="2424CCC5" w14:textId="77777777" w:rsidR="00712CF8" w:rsidRPr="000665B0" w:rsidRDefault="00712CF8" w:rsidP="00402DF6">
      <w:pPr>
        <w:pStyle w:val="Acronym"/>
        <w:spacing w:before="0" w:after="120"/>
        <w:rPr>
          <w:szCs w:val="24"/>
        </w:rPr>
      </w:pPr>
      <w:r w:rsidRPr="000665B0">
        <w:rPr>
          <w:szCs w:val="24"/>
        </w:rPr>
        <w:t>SEM</w:t>
      </w:r>
      <w:r w:rsidRPr="000665B0">
        <w:rPr>
          <w:szCs w:val="24"/>
        </w:rPr>
        <w:tab/>
      </w:r>
      <w:r w:rsidR="00C30B99" w:rsidRPr="000665B0">
        <w:rPr>
          <w:szCs w:val="24"/>
        </w:rPr>
        <w:t>Secondary Execution Message</w:t>
      </w:r>
    </w:p>
    <w:p w14:paraId="2E8F6805" w14:textId="77777777" w:rsidR="00417356" w:rsidRPr="000665B0" w:rsidRDefault="00417356" w:rsidP="00402DF6">
      <w:pPr>
        <w:pStyle w:val="Acronym"/>
        <w:spacing w:before="0" w:after="120"/>
        <w:rPr>
          <w:szCs w:val="24"/>
        </w:rPr>
      </w:pPr>
      <w:r w:rsidRPr="000665B0">
        <w:rPr>
          <w:szCs w:val="24"/>
        </w:rPr>
        <w:t>SEP</w:t>
      </w:r>
      <w:r w:rsidRPr="000665B0">
        <w:rPr>
          <w:szCs w:val="24"/>
        </w:rPr>
        <w:tab/>
        <w:t>Strike Execution Package</w:t>
      </w:r>
    </w:p>
    <w:p w14:paraId="48F01B54" w14:textId="49B48CEE" w:rsidR="005E0D96" w:rsidRPr="000665B0" w:rsidRDefault="005E0D96" w:rsidP="00402DF6">
      <w:pPr>
        <w:pStyle w:val="Acronym"/>
        <w:spacing w:before="0" w:after="120"/>
        <w:rPr>
          <w:szCs w:val="24"/>
        </w:rPr>
      </w:pPr>
      <w:r w:rsidRPr="000665B0">
        <w:rPr>
          <w:szCs w:val="24"/>
        </w:rPr>
        <w:t>SET</w:t>
      </w:r>
      <w:r w:rsidRPr="000665B0">
        <w:rPr>
          <w:szCs w:val="24"/>
        </w:rPr>
        <w:tab/>
        <w:t>Strike Execution Time</w:t>
      </w:r>
    </w:p>
    <w:p w14:paraId="32D0775C" w14:textId="3E554FC4" w:rsidR="00402DF6" w:rsidRPr="000665B0" w:rsidRDefault="00402DF6" w:rsidP="00402DF6">
      <w:pPr>
        <w:pStyle w:val="Acronym"/>
        <w:spacing w:before="0" w:after="120"/>
        <w:rPr>
          <w:szCs w:val="24"/>
        </w:rPr>
      </w:pPr>
      <w:r w:rsidRPr="000665B0">
        <w:rPr>
          <w:szCs w:val="24"/>
        </w:rPr>
        <w:t>SFSC</w:t>
      </w:r>
      <w:r w:rsidRPr="000665B0">
        <w:rPr>
          <w:szCs w:val="24"/>
        </w:rPr>
        <w:tab/>
        <w:t>SDL Flight Software – Controller</w:t>
      </w:r>
    </w:p>
    <w:p w14:paraId="027FDD71" w14:textId="77777777" w:rsidR="00402DF6" w:rsidRPr="000665B0" w:rsidRDefault="00402DF6" w:rsidP="00402DF6">
      <w:pPr>
        <w:pStyle w:val="Acronym"/>
        <w:spacing w:before="0" w:after="120"/>
        <w:rPr>
          <w:szCs w:val="24"/>
        </w:rPr>
      </w:pPr>
      <w:r w:rsidRPr="000665B0">
        <w:rPr>
          <w:szCs w:val="24"/>
        </w:rPr>
        <w:t>SFSD</w:t>
      </w:r>
      <w:r w:rsidRPr="000665B0">
        <w:rPr>
          <w:szCs w:val="24"/>
        </w:rPr>
        <w:tab/>
        <w:t>SDL Flight Software – DSP</w:t>
      </w:r>
    </w:p>
    <w:p w14:paraId="7E5EE36E" w14:textId="77777777" w:rsidR="00402DF6" w:rsidRPr="000665B0" w:rsidRDefault="00402DF6" w:rsidP="00402DF6">
      <w:pPr>
        <w:pStyle w:val="Acronym"/>
        <w:spacing w:before="0" w:after="120"/>
        <w:rPr>
          <w:szCs w:val="24"/>
        </w:rPr>
      </w:pPr>
      <w:r w:rsidRPr="000665B0">
        <w:rPr>
          <w:szCs w:val="24"/>
        </w:rPr>
        <w:t>SFSO</w:t>
      </w:r>
      <w:r w:rsidRPr="000665B0">
        <w:rPr>
          <w:szCs w:val="24"/>
        </w:rPr>
        <w:tab/>
        <w:t>SDL Flight Software – Orderwire</w:t>
      </w:r>
    </w:p>
    <w:p w14:paraId="1947F9B0" w14:textId="77777777" w:rsidR="00402DF6" w:rsidRPr="000665B0" w:rsidRDefault="00402DF6" w:rsidP="00402DF6">
      <w:pPr>
        <w:ind w:left="2880" w:hanging="2880"/>
      </w:pPr>
      <w:r w:rsidRPr="000665B0">
        <w:t>SID</w:t>
      </w:r>
      <w:r w:rsidRPr="000665B0">
        <w:tab/>
        <w:t>Subscriber Identification</w:t>
      </w:r>
    </w:p>
    <w:p w14:paraId="79428FC1" w14:textId="77777777" w:rsidR="00AA2D52" w:rsidRPr="000665B0" w:rsidRDefault="00AA2D52" w:rsidP="00C0781E">
      <w:pPr>
        <w:ind w:left="2880" w:hanging="2880"/>
      </w:pPr>
      <w:r w:rsidRPr="000665B0">
        <w:t>SIPRNET</w:t>
      </w:r>
      <w:r w:rsidRPr="000665B0">
        <w:tab/>
        <w:t>Secret Internet Protocol Router Network</w:t>
      </w:r>
    </w:p>
    <w:p w14:paraId="0991CF82" w14:textId="77777777" w:rsidR="00F953B9" w:rsidRPr="000665B0" w:rsidRDefault="00F953B9" w:rsidP="00402DF6">
      <w:pPr>
        <w:ind w:left="2880" w:hanging="2880"/>
      </w:pPr>
      <w:r w:rsidRPr="000665B0">
        <w:t>SM</w:t>
      </w:r>
      <w:r w:rsidRPr="000665B0">
        <w:tab/>
        <w:t>Strike Monitor</w:t>
      </w:r>
    </w:p>
    <w:p w14:paraId="39D27363" w14:textId="0F9D770A" w:rsidR="00D20801" w:rsidRPr="000665B0" w:rsidRDefault="00D20801" w:rsidP="00402DF6">
      <w:pPr>
        <w:ind w:left="2880" w:hanging="2880"/>
      </w:pPr>
      <w:r w:rsidRPr="000665B0">
        <w:t>SMD</w:t>
      </w:r>
      <w:r w:rsidRPr="000665B0">
        <w:tab/>
        <w:t xml:space="preserve">Strike Management Display </w:t>
      </w:r>
    </w:p>
    <w:p w14:paraId="59A1698A" w14:textId="77777777" w:rsidR="004C188B" w:rsidRPr="000665B0" w:rsidRDefault="004C188B" w:rsidP="00402DF6">
      <w:pPr>
        <w:ind w:left="2880" w:hanging="2880"/>
      </w:pPr>
      <w:r w:rsidRPr="000665B0">
        <w:t>SMTP</w:t>
      </w:r>
      <w:r w:rsidRPr="000665B0">
        <w:tab/>
        <w:t>Simple Mail Transfer Protocol</w:t>
      </w:r>
    </w:p>
    <w:p w14:paraId="205AC567" w14:textId="77777777" w:rsidR="00521797" w:rsidRPr="000665B0" w:rsidRDefault="00521797" w:rsidP="00402DF6">
      <w:pPr>
        <w:ind w:left="2880" w:hanging="2880"/>
      </w:pPr>
      <w:r w:rsidRPr="000665B0">
        <w:t>SOA</w:t>
      </w:r>
      <w:r w:rsidRPr="000665B0">
        <w:tab/>
        <w:t>Service Oriented Architecture</w:t>
      </w:r>
    </w:p>
    <w:p w14:paraId="5553B3F8" w14:textId="77777777" w:rsidR="009625FE" w:rsidRPr="000665B0" w:rsidRDefault="009625FE" w:rsidP="00402DF6">
      <w:pPr>
        <w:ind w:left="2880" w:hanging="2880"/>
      </w:pPr>
      <w:r w:rsidRPr="000665B0">
        <w:t>SOM</w:t>
      </w:r>
      <w:r w:rsidRPr="000665B0">
        <w:tab/>
        <w:t>Start Of Message</w:t>
      </w:r>
    </w:p>
    <w:p w14:paraId="739AE242" w14:textId="170F3850" w:rsidR="007564D4" w:rsidRPr="000665B0" w:rsidRDefault="007564D4" w:rsidP="00402DF6">
      <w:pPr>
        <w:ind w:left="2880" w:hanging="2880"/>
      </w:pPr>
      <w:r w:rsidRPr="000665B0">
        <w:t>SPC</w:t>
      </w:r>
      <w:r w:rsidRPr="000665B0">
        <w:tab/>
        <w:t>Spacecraft</w:t>
      </w:r>
    </w:p>
    <w:p w14:paraId="6A65F746" w14:textId="21376E88" w:rsidR="00F06A26" w:rsidRPr="000665B0" w:rsidRDefault="00F06A26" w:rsidP="00F06A26">
      <w:pPr>
        <w:ind w:left="2880" w:hanging="2880"/>
      </w:pPr>
      <w:r w:rsidRPr="000665B0">
        <w:t>SPECAT</w:t>
      </w:r>
      <w:r w:rsidRPr="000665B0">
        <w:tab/>
      </w:r>
      <w:r w:rsidR="0057678C" w:rsidRPr="000665B0">
        <w:t>Special Category</w:t>
      </w:r>
    </w:p>
    <w:p w14:paraId="64CC2706" w14:textId="77777777" w:rsidR="00F06A26" w:rsidRPr="000665B0" w:rsidRDefault="00F06A26" w:rsidP="00F06A26">
      <w:pPr>
        <w:ind w:left="2880" w:hanging="2880"/>
      </w:pPr>
      <w:r w:rsidRPr="000665B0">
        <w:t>SPEO</w:t>
      </w:r>
      <w:r w:rsidRPr="000665B0">
        <w:tab/>
        <w:t>Strike Package Exception Object</w:t>
      </w:r>
    </w:p>
    <w:p w14:paraId="16773946" w14:textId="57150964" w:rsidR="00475D59" w:rsidRPr="000665B0" w:rsidRDefault="00475D59" w:rsidP="000A1EC0">
      <w:pPr>
        <w:ind w:left="2880" w:hanging="2880"/>
      </w:pPr>
      <w:r w:rsidRPr="000665B0">
        <w:t>SPFW</w:t>
      </w:r>
      <w:r w:rsidRPr="000665B0">
        <w:tab/>
        <w:t>Signal Processor Firmware</w:t>
      </w:r>
    </w:p>
    <w:p w14:paraId="0701EEEB" w14:textId="66E26630" w:rsidR="00A61EDA" w:rsidRPr="000665B0" w:rsidRDefault="00A61EDA" w:rsidP="000A1EC0">
      <w:pPr>
        <w:ind w:left="2880" w:hanging="2880"/>
      </w:pPr>
      <w:r w:rsidRPr="000665B0">
        <w:lastRenderedPageBreak/>
        <w:t>SQL</w:t>
      </w:r>
      <w:r w:rsidRPr="000665B0">
        <w:tab/>
      </w:r>
      <w:r w:rsidRPr="000665B0">
        <w:rPr>
          <w:bCs/>
          <w:color w:val="000000"/>
          <w:lang w:val="en"/>
        </w:rPr>
        <w:t>Structured Query Language</w:t>
      </w:r>
    </w:p>
    <w:p w14:paraId="18E1471E" w14:textId="77777777" w:rsidR="00402DF6" w:rsidRPr="000665B0" w:rsidRDefault="00402DF6" w:rsidP="00402DF6">
      <w:pPr>
        <w:ind w:left="2880" w:hanging="2880"/>
      </w:pPr>
      <w:r w:rsidRPr="000665B0">
        <w:t>SSA</w:t>
      </w:r>
      <w:r w:rsidRPr="000665B0">
        <w:tab/>
        <w:t>Software Support Activit</w:t>
      </w:r>
      <w:r w:rsidR="0057678C" w:rsidRPr="000665B0">
        <w:t>y</w:t>
      </w:r>
    </w:p>
    <w:p w14:paraId="15720552" w14:textId="77777777" w:rsidR="00402DF6" w:rsidRPr="000665B0" w:rsidRDefault="00402DF6" w:rsidP="00402DF6">
      <w:pPr>
        <w:ind w:left="2880" w:hanging="2880"/>
      </w:pPr>
      <w:r w:rsidRPr="000665B0">
        <w:t>SSFD</w:t>
      </w:r>
      <w:r w:rsidRPr="000665B0">
        <w:tab/>
        <w:t>Single Shot Fractional Damage</w:t>
      </w:r>
    </w:p>
    <w:p w14:paraId="5242CFD6" w14:textId="77777777" w:rsidR="00402DF6" w:rsidRPr="000665B0" w:rsidRDefault="00402DF6" w:rsidP="00402DF6">
      <w:pPr>
        <w:pStyle w:val="Acronym"/>
        <w:spacing w:before="0" w:after="120"/>
        <w:rPr>
          <w:szCs w:val="24"/>
        </w:rPr>
      </w:pPr>
      <w:r w:rsidRPr="000665B0">
        <w:rPr>
          <w:szCs w:val="24"/>
        </w:rPr>
        <w:t>SSGN</w:t>
      </w:r>
      <w:r w:rsidRPr="000665B0">
        <w:rPr>
          <w:szCs w:val="24"/>
        </w:rPr>
        <w:tab/>
        <w:t>Ship, Submersible Guided Missile, Nuclear</w:t>
      </w:r>
    </w:p>
    <w:p w14:paraId="682C35A8" w14:textId="77777777" w:rsidR="00402DF6" w:rsidRPr="000665B0" w:rsidRDefault="00402DF6" w:rsidP="00402DF6">
      <w:pPr>
        <w:ind w:left="2880" w:hanging="2880"/>
      </w:pPr>
      <w:r w:rsidRPr="000665B0">
        <w:t>SSN</w:t>
      </w:r>
      <w:r w:rsidRPr="000665B0">
        <w:tab/>
      </w:r>
      <w:r w:rsidR="00A42E9E" w:rsidRPr="000665B0">
        <w:t>Ship, Submersible Nuclear</w:t>
      </w:r>
    </w:p>
    <w:p w14:paraId="031363F9" w14:textId="77777777" w:rsidR="000A1E20" w:rsidRPr="000665B0" w:rsidRDefault="000A1E20" w:rsidP="00402DF6">
      <w:pPr>
        <w:ind w:left="2880" w:hanging="2880"/>
      </w:pPr>
      <w:r w:rsidRPr="000665B0">
        <w:t>SSO</w:t>
      </w:r>
      <w:r w:rsidRPr="000665B0">
        <w:tab/>
      </w:r>
      <w:r w:rsidR="00F965D8" w:rsidRPr="000665B0">
        <w:t>Special Security Officer Single Sign-On</w:t>
      </w:r>
    </w:p>
    <w:p w14:paraId="7F8DBAF6" w14:textId="3E713A93" w:rsidR="00354289" w:rsidRPr="000665B0" w:rsidRDefault="00402DF6" w:rsidP="00A4483C">
      <w:pPr>
        <w:ind w:left="2880" w:hanging="2880"/>
      </w:pPr>
      <w:r w:rsidRPr="000665B0">
        <w:t>SSP</w:t>
      </w:r>
      <w:r w:rsidRPr="000665B0">
        <w:rPr>
          <w:szCs w:val="24"/>
        </w:rPr>
        <w:t>D</w:t>
      </w:r>
      <w:r w:rsidRPr="000665B0">
        <w:tab/>
      </w:r>
      <w:r w:rsidR="008D7E93">
        <w:t>Single Shot Probability of Damage</w:t>
      </w:r>
    </w:p>
    <w:p w14:paraId="7B4A6DFE" w14:textId="77777777" w:rsidR="00453597" w:rsidRPr="000665B0" w:rsidRDefault="00453597" w:rsidP="00402DF6">
      <w:pPr>
        <w:ind w:left="2880" w:hanging="2880"/>
      </w:pPr>
      <w:r w:rsidRPr="000665B0">
        <w:t>SUB</w:t>
      </w:r>
      <w:r w:rsidRPr="000665B0">
        <w:tab/>
        <w:t>Submarine</w:t>
      </w:r>
    </w:p>
    <w:p w14:paraId="716AA893" w14:textId="77777777" w:rsidR="00402DF6" w:rsidRPr="000665B0" w:rsidRDefault="00402DF6" w:rsidP="00402DF6">
      <w:pPr>
        <w:ind w:left="2880" w:hanging="2880"/>
      </w:pPr>
      <w:r w:rsidRPr="000665B0">
        <w:t>SUM</w:t>
      </w:r>
      <w:r w:rsidRPr="000665B0">
        <w:tab/>
        <w:t>Software User’s Manual</w:t>
      </w:r>
    </w:p>
    <w:p w14:paraId="3059D092" w14:textId="77777777" w:rsidR="007564D4" w:rsidRPr="000665B0" w:rsidRDefault="00182B72" w:rsidP="00402DF6">
      <w:pPr>
        <w:ind w:left="2880" w:hanging="2880"/>
      </w:pPr>
      <w:r w:rsidRPr="000665B0">
        <w:t>SUR</w:t>
      </w:r>
      <w:r w:rsidRPr="000665B0">
        <w:tab/>
      </w:r>
      <w:r w:rsidR="007564D4" w:rsidRPr="000665B0">
        <w:t>Surface</w:t>
      </w:r>
    </w:p>
    <w:p w14:paraId="0F439C0A" w14:textId="17828469" w:rsidR="007564D4" w:rsidRPr="000665B0" w:rsidRDefault="007564D4" w:rsidP="00402DF6">
      <w:pPr>
        <w:ind w:left="2880" w:hanging="2880"/>
      </w:pPr>
      <w:r w:rsidRPr="000665B0">
        <w:tab/>
        <w:t>or</w:t>
      </w:r>
    </w:p>
    <w:p w14:paraId="0A160969" w14:textId="00A32EB6" w:rsidR="00182B72" w:rsidRPr="000665B0" w:rsidRDefault="007564D4" w:rsidP="007564D4">
      <w:pPr>
        <w:ind w:left="2880"/>
      </w:pPr>
      <w:r w:rsidRPr="000665B0">
        <w:t>All Surface Vessel</w:t>
      </w:r>
    </w:p>
    <w:p w14:paraId="73E8E20A" w14:textId="16E849D9" w:rsidR="007564D4" w:rsidRPr="000665B0" w:rsidRDefault="007564D4" w:rsidP="00402DF6">
      <w:pPr>
        <w:ind w:left="2880" w:hanging="2880"/>
      </w:pPr>
      <w:r w:rsidRPr="000665B0">
        <w:t>SUS</w:t>
      </w:r>
      <w:r w:rsidRPr="000665B0">
        <w:tab/>
        <w:t>Suspect</w:t>
      </w:r>
    </w:p>
    <w:p w14:paraId="6865B4B0" w14:textId="3960E77F" w:rsidR="007564D4" w:rsidRPr="000665B0" w:rsidRDefault="007564D4" w:rsidP="00402DF6">
      <w:pPr>
        <w:ind w:left="2880" w:hanging="2880"/>
      </w:pPr>
      <w:r w:rsidRPr="000665B0">
        <w:tab/>
        <w:t>or</w:t>
      </w:r>
    </w:p>
    <w:p w14:paraId="5E4B11EF" w14:textId="1D296128" w:rsidR="007564D4" w:rsidRPr="000665B0" w:rsidRDefault="007564D4" w:rsidP="00402DF6">
      <w:pPr>
        <w:ind w:left="2880" w:hanging="2880"/>
      </w:pPr>
      <w:r w:rsidRPr="000665B0">
        <w:tab/>
        <w:t>Suspected Carrier</w:t>
      </w:r>
    </w:p>
    <w:p w14:paraId="53386A88" w14:textId="47DC9264" w:rsidR="00797DEE" w:rsidRPr="00C97B43" w:rsidRDefault="00797DEE" w:rsidP="00402DF6">
      <w:pPr>
        <w:ind w:left="2880" w:hanging="2880"/>
      </w:pPr>
      <w:r w:rsidRPr="00C97B43">
        <w:t>T2D2</w:t>
      </w:r>
      <w:r w:rsidRPr="00C97B43">
        <w:tab/>
        <w:t>Tomahawk Technical Description Document</w:t>
      </w:r>
    </w:p>
    <w:p w14:paraId="4A6E98EC" w14:textId="568DC2B1" w:rsidR="00402DF6" w:rsidRPr="000665B0" w:rsidRDefault="00402DF6" w:rsidP="00402DF6">
      <w:pPr>
        <w:ind w:left="2880" w:hanging="2880"/>
      </w:pPr>
      <w:r w:rsidRPr="000665B0">
        <w:t>TACAIR</w:t>
      </w:r>
      <w:r w:rsidRPr="000665B0">
        <w:tab/>
        <w:t>Tactical Aircraft</w:t>
      </w:r>
    </w:p>
    <w:p w14:paraId="0FED6250" w14:textId="77777777" w:rsidR="005E116D" w:rsidRPr="000665B0" w:rsidRDefault="005E116D" w:rsidP="00402DF6">
      <w:pPr>
        <w:ind w:left="2880" w:hanging="2880"/>
      </w:pPr>
      <w:r w:rsidRPr="000665B0">
        <w:t>TACK</w:t>
      </w:r>
      <w:r w:rsidRPr="000665B0">
        <w:tab/>
      </w:r>
      <w:r w:rsidR="00DC7D18" w:rsidRPr="000665B0">
        <w:t>TMPC</w:t>
      </w:r>
      <w:r w:rsidRPr="000665B0">
        <w:t xml:space="preserve"> Acknowledgement</w:t>
      </w:r>
    </w:p>
    <w:p w14:paraId="3760CD95" w14:textId="77777777" w:rsidR="00C52E4C" w:rsidRPr="000665B0" w:rsidRDefault="00C52E4C" w:rsidP="00402DF6">
      <w:pPr>
        <w:ind w:left="2880" w:hanging="2880"/>
      </w:pPr>
      <w:r w:rsidRPr="000665B0">
        <w:t>TACT</w:t>
      </w:r>
      <w:r w:rsidRPr="000665B0">
        <w:tab/>
      </w:r>
      <w:r w:rsidR="00D812DC" w:rsidRPr="000665B0">
        <w:t>Tactical</w:t>
      </w:r>
    </w:p>
    <w:p w14:paraId="17BBA267" w14:textId="77777777" w:rsidR="00F71EE6" w:rsidRPr="000665B0" w:rsidRDefault="00F71EE6" w:rsidP="00402DF6">
      <w:pPr>
        <w:pStyle w:val="Acronym"/>
        <w:spacing w:before="0" w:after="120"/>
        <w:rPr>
          <w:szCs w:val="24"/>
        </w:rPr>
      </w:pPr>
      <w:r w:rsidRPr="000665B0">
        <w:rPr>
          <w:szCs w:val="24"/>
        </w:rPr>
        <w:t>TAF</w:t>
      </w:r>
      <w:r w:rsidRPr="000665B0">
        <w:rPr>
          <w:szCs w:val="24"/>
        </w:rPr>
        <w:tab/>
        <w:t>TTWCS Accountability File</w:t>
      </w:r>
    </w:p>
    <w:p w14:paraId="4A31353D" w14:textId="77777777" w:rsidR="00FA579C" w:rsidRPr="000665B0" w:rsidRDefault="00FA579C" w:rsidP="00402DF6">
      <w:pPr>
        <w:pStyle w:val="Acronym"/>
        <w:spacing w:before="0" w:after="120"/>
        <w:rPr>
          <w:szCs w:val="24"/>
        </w:rPr>
      </w:pPr>
      <w:r w:rsidRPr="000665B0">
        <w:rPr>
          <w:szCs w:val="24"/>
        </w:rPr>
        <w:t>TAR</w:t>
      </w:r>
      <w:r w:rsidRPr="000665B0">
        <w:rPr>
          <w:szCs w:val="24"/>
        </w:rPr>
        <w:tab/>
        <w:t>Target Attack Requirement</w:t>
      </w:r>
    </w:p>
    <w:p w14:paraId="06578190" w14:textId="5FCD2C4F" w:rsidR="00A4483C" w:rsidRPr="000665B0" w:rsidRDefault="005A33EB" w:rsidP="00F42D7E">
      <w:pPr>
        <w:pStyle w:val="Acronym"/>
        <w:spacing w:before="0" w:after="120"/>
        <w:rPr>
          <w:szCs w:val="24"/>
        </w:rPr>
      </w:pPr>
      <w:r w:rsidRPr="000665B0">
        <w:rPr>
          <w:szCs w:val="24"/>
        </w:rPr>
        <w:t>TAWS</w:t>
      </w:r>
      <w:r w:rsidRPr="000665B0">
        <w:rPr>
          <w:szCs w:val="24"/>
        </w:rPr>
        <w:tab/>
      </w:r>
      <w:r w:rsidR="00500AD9" w:rsidRPr="000665B0">
        <w:rPr>
          <w:szCs w:val="24"/>
        </w:rPr>
        <w:t>Target Aimpoint Weapon Solution</w:t>
      </w:r>
    </w:p>
    <w:p w14:paraId="28684E7A" w14:textId="069190DA" w:rsidR="00402DF6" w:rsidRPr="000665B0" w:rsidRDefault="00BA08D7" w:rsidP="00402DF6">
      <w:pPr>
        <w:pStyle w:val="Acronym"/>
        <w:spacing w:before="0" w:after="120"/>
        <w:rPr>
          <w:szCs w:val="24"/>
        </w:rPr>
      </w:pPr>
      <w:r w:rsidRPr="000665B0">
        <w:rPr>
          <w:szCs w:val="24"/>
        </w:rPr>
        <w:t>T</w:t>
      </w:r>
      <w:r>
        <w:rPr>
          <w:szCs w:val="24"/>
        </w:rPr>
        <w:t>GTDB</w:t>
      </w:r>
      <w:r w:rsidR="00402DF6" w:rsidRPr="000665B0">
        <w:rPr>
          <w:szCs w:val="24"/>
        </w:rPr>
        <w:tab/>
      </w:r>
      <w:r w:rsidR="00E75AC3">
        <w:rPr>
          <w:szCs w:val="24"/>
        </w:rPr>
        <w:t>TAWS</w:t>
      </w:r>
      <w:r w:rsidR="00402DF6" w:rsidRPr="000665B0">
        <w:rPr>
          <w:szCs w:val="24"/>
        </w:rPr>
        <w:t xml:space="preserve"> Database</w:t>
      </w:r>
    </w:p>
    <w:p w14:paraId="44976B59" w14:textId="77777777" w:rsidR="00402DF6" w:rsidRPr="000665B0" w:rsidRDefault="00402DF6" w:rsidP="00402DF6">
      <w:pPr>
        <w:ind w:left="2880" w:hanging="2880"/>
      </w:pPr>
      <w:r w:rsidRPr="000665B0">
        <w:t>TC2S</w:t>
      </w:r>
      <w:r w:rsidRPr="000665B0">
        <w:tab/>
        <w:t>Tomahawk Command and Control System</w:t>
      </w:r>
      <w:r w:rsidR="0036123F" w:rsidRPr="000665B0">
        <w:t xml:space="preserve"> (Obsolete)</w:t>
      </w:r>
    </w:p>
    <w:p w14:paraId="7FFE04AD" w14:textId="77777777" w:rsidR="00402DF6" w:rsidRPr="000665B0" w:rsidRDefault="00402DF6" w:rsidP="00402DF6">
      <w:pPr>
        <w:ind w:left="2880" w:hanging="2880"/>
      </w:pPr>
      <w:r w:rsidRPr="000665B0">
        <w:t>TCI</w:t>
      </w:r>
      <w:r w:rsidRPr="000665B0">
        <w:tab/>
        <w:t>Tomahawk Command Information</w:t>
      </w:r>
    </w:p>
    <w:p w14:paraId="4F066EC3" w14:textId="77777777" w:rsidR="0058621E" w:rsidRPr="000665B0" w:rsidRDefault="0058621E" w:rsidP="00402DF6">
      <w:pPr>
        <w:ind w:left="2880" w:hanging="2880"/>
      </w:pPr>
      <w:r w:rsidRPr="000665B0">
        <w:t>TCII</w:t>
      </w:r>
      <w:r w:rsidRPr="000665B0">
        <w:tab/>
        <w:t>TCI Infrastructure</w:t>
      </w:r>
    </w:p>
    <w:p w14:paraId="6B9B4279" w14:textId="77777777" w:rsidR="00B10A82" w:rsidRPr="000665B0" w:rsidRDefault="00B10A82" w:rsidP="00402DF6">
      <w:pPr>
        <w:ind w:left="2880" w:hanging="2880"/>
      </w:pPr>
      <w:r w:rsidRPr="000665B0">
        <w:t>TCIL</w:t>
      </w:r>
      <w:r w:rsidRPr="000665B0">
        <w:tab/>
        <w:t>Target Class Index List</w:t>
      </w:r>
    </w:p>
    <w:p w14:paraId="59485A3E" w14:textId="77777777" w:rsidR="00402DF6" w:rsidRPr="000665B0" w:rsidRDefault="00402DF6" w:rsidP="00F07B52">
      <w:pPr>
        <w:ind w:left="2880" w:hanging="2880"/>
      </w:pPr>
      <w:r w:rsidRPr="000665B0">
        <w:t>TCIDB</w:t>
      </w:r>
      <w:r w:rsidRPr="000665B0">
        <w:tab/>
      </w:r>
      <w:r w:rsidR="006F7488" w:rsidRPr="000665B0">
        <w:t>TCI</w:t>
      </w:r>
      <w:r w:rsidRPr="000665B0">
        <w:t xml:space="preserve"> </w:t>
      </w:r>
      <w:r w:rsidR="00A66906" w:rsidRPr="000665B0">
        <w:t>Database</w:t>
      </w:r>
    </w:p>
    <w:p w14:paraId="47BADCA8" w14:textId="77777777" w:rsidR="00402DF6" w:rsidRPr="000665B0" w:rsidRDefault="00402DF6" w:rsidP="00402DF6">
      <w:pPr>
        <w:ind w:left="2880" w:hanging="2880"/>
      </w:pPr>
      <w:r w:rsidRPr="000665B0">
        <w:t>TCIP</w:t>
      </w:r>
      <w:r w:rsidRPr="000665B0">
        <w:tab/>
        <w:t>TCOMMS Interface Processor</w:t>
      </w:r>
    </w:p>
    <w:p w14:paraId="66AFF497" w14:textId="77777777" w:rsidR="00BE692D" w:rsidRPr="000665B0" w:rsidRDefault="00402DF6" w:rsidP="00BE692D">
      <w:pPr>
        <w:ind w:left="2880" w:hanging="2880"/>
      </w:pPr>
      <w:r w:rsidRPr="000665B0">
        <w:t>TCOMMS</w:t>
      </w:r>
      <w:r w:rsidRPr="000665B0">
        <w:tab/>
      </w:r>
      <w:r w:rsidR="00DC7D18" w:rsidRPr="000665B0">
        <w:t>TMPC</w:t>
      </w:r>
      <w:r w:rsidRPr="000665B0">
        <w:t xml:space="preserve"> Communications System</w:t>
      </w:r>
    </w:p>
    <w:p w14:paraId="074743B6" w14:textId="77777777" w:rsidR="005B5F60" w:rsidRPr="000665B0" w:rsidRDefault="005B5F60" w:rsidP="00BE692D">
      <w:pPr>
        <w:ind w:left="2880" w:hanging="2880"/>
      </w:pPr>
      <w:r w:rsidRPr="000665B0">
        <w:t>TCP</w:t>
      </w:r>
      <w:r w:rsidRPr="000665B0">
        <w:tab/>
        <w:t xml:space="preserve">Transmission Control Protocol </w:t>
      </w:r>
    </w:p>
    <w:p w14:paraId="53FD6473" w14:textId="77777777" w:rsidR="00402DF6" w:rsidRDefault="00402DF6" w:rsidP="00BE692D">
      <w:pPr>
        <w:ind w:left="2880" w:hanging="2880"/>
      </w:pPr>
      <w:r w:rsidRPr="000665B0">
        <w:t>TCP/IP</w:t>
      </w:r>
      <w:r w:rsidRPr="000665B0">
        <w:tab/>
        <w:t xml:space="preserve">Transmission Control Protocol/Internet Protocol </w:t>
      </w:r>
    </w:p>
    <w:p w14:paraId="3E51F650" w14:textId="45F6BDF4" w:rsidR="003604C5" w:rsidRPr="000665B0" w:rsidRDefault="003604C5" w:rsidP="00BE692D">
      <w:pPr>
        <w:ind w:left="2880" w:hanging="2880"/>
      </w:pPr>
      <w:r>
        <w:lastRenderedPageBreak/>
        <w:t>TDA</w:t>
      </w:r>
      <w:r>
        <w:tab/>
        <w:t>Tactical Decision Aid</w:t>
      </w:r>
    </w:p>
    <w:p w14:paraId="4919A874" w14:textId="77777777" w:rsidR="001C574D" w:rsidRPr="000665B0" w:rsidRDefault="001C574D" w:rsidP="00402DF6">
      <w:pPr>
        <w:ind w:left="2880" w:hanging="2880"/>
      </w:pPr>
      <w:r w:rsidRPr="000665B0">
        <w:t>TDG</w:t>
      </w:r>
      <w:r w:rsidRPr="000665B0">
        <w:tab/>
        <w:t>Tactical Data Generator</w:t>
      </w:r>
    </w:p>
    <w:p w14:paraId="3B03669F" w14:textId="31815153" w:rsidR="00402DF6" w:rsidRPr="000665B0" w:rsidRDefault="00402DF6" w:rsidP="00402DF6">
      <w:pPr>
        <w:ind w:left="2880" w:hanging="2880"/>
      </w:pPr>
      <w:r w:rsidRPr="000665B0">
        <w:t>TDM</w:t>
      </w:r>
      <w:r w:rsidRPr="000665B0">
        <w:tab/>
        <w:t>TCI Distribution Manager</w:t>
      </w:r>
      <w:r w:rsidR="005079C3" w:rsidRPr="000665B0">
        <w:t xml:space="preserve"> (replaced by Distribution Service)</w:t>
      </w:r>
    </w:p>
    <w:p w14:paraId="0C84A93F" w14:textId="77777777" w:rsidR="00402DF6" w:rsidRPr="000665B0" w:rsidRDefault="00402DF6" w:rsidP="00402DF6">
      <w:pPr>
        <w:ind w:left="2880" w:hanging="2880"/>
      </w:pPr>
      <w:r w:rsidRPr="000665B0">
        <w:t>TDP</w:t>
      </w:r>
      <w:r w:rsidRPr="000665B0">
        <w:tab/>
        <w:t>Tactical Data Processor</w:t>
      </w:r>
    </w:p>
    <w:p w14:paraId="585D944D" w14:textId="77777777" w:rsidR="00712CF8" w:rsidRPr="000665B0" w:rsidRDefault="00712CF8" w:rsidP="00402DF6">
      <w:pPr>
        <w:ind w:left="2880" w:hanging="2880"/>
      </w:pPr>
      <w:r w:rsidRPr="000665B0">
        <w:t>TDSN</w:t>
      </w:r>
      <w:r w:rsidRPr="000665B0">
        <w:tab/>
      </w:r>
      <w:r w:rsidR="00626FF3" w:rsidRPr="000665B0">
        <w:t>Tasking Deviation Sequence Number</w:t>
      </w:r>
    </w:p>
    <w:p w14:paraId="190F3394" w14:textId="77777777" w:rsidR="00C52E4C" w:rsidRPr="000665B0" w:rsidRDefault="00C52E4C" w:rsidP="00402DF6">
      <w:pPr>
        <w:ind w:left="2880" w:hanging="2880"/>
      </w:pPr>
      <w:r w:rsidRPr="000665B0">
        <w:t>TEA</w:t>
      </w:r>
      <w:r w:rsidRPr="000665B0">
        <w:tab/>
      </w:r>
      <w:r w:rsidR="00C30B99" w:rsidRPr="000665B0">
        <w:t>Tomahawk Executive Agent</w:t>
      </w:r>
    </w:p>
    <w:p w14:paraId="773A73ED" w14:textId="77777777" w:rsidR="00402DF6" w:rsidRPr="000665B0" w:rsidRDefault="00402DF6" w:rsidP="00402DF6">
      <w:pPr>
        <w:pStyle w:val="Acronym"/>
        <w:spacing w:before="0" w:after="120"/>
        <w:rPr>
          <w:szCs w:val="24"/>
        </w:rPr>
      </w:pPr>
      <w:r w:rsidRPr="000665B0">
        <w:rPr>
          <w:szCs w:val="24"/>
        </w:rPr>
        <w:t>TED</w:t>
      </w:r>
      <w:r w:rsidRPr="000665B0">
        <w:rPr>
          <w:szCs w:val="24"/>
        </w:rPr>
        <w:tab/>
      </w:r>
      <w:r w:rsidR="00DC7D18" w:rsidRPr="000665B0">
        <w:t>TMPC</w:t>
      </w:r>
      <w:r w:rsidR="005D3064" w:rsidRPr="000665B0">
        <w:rPr>
          <w:szCs w:val="24"/>
        </w:rPr>
        <w:t xml:space="preserve"> </w:t>
      </w:r>
      <w:r w:rsidRPr="000665B0">
        <w:rPr>
          <w:szCs w:val="24"/>
        </w:rPr>
        <w:t>Enterprise Databases</w:t>
      </w:r>
    </w:p>
    <w:p w14:paraId="187E5006" w14:textId="77777777" w:rsidR="002D23BF" w:rsidRPr="000665B0" w:rsidRDefault="002D23BF" w:rsidP="00402DF6">
      <w:pPr>
        <w:pStyle w:val="Acronym"/>
        <w:spacing w:before="0" w:after="120"/>
        <w:rPr>
          <w:szCs w:val="24"/>
        </w:rPr>
      </w:pPr>
      <w:r w:rsidRPr="000665B0">
        <w:rPr>
          <w:szCs w:val="24"/>
        </w:rPr>
        <w:t>TEF</w:t>
      </w:r>
      <w:r w:rsidRPr="000665B0">
        <w:rPr>
          <w:szCs w:val="24"/>
        </w:rPr>
        <w:tab/>
        <w:t>TPS Export File</w:t>
      </w:r>
    </w:p>
    <w:p w14:paraId="0FCAF8FE" w14:textId="50540024" w:rsidR="00C5129B" w:rsidRPr="000665B0" w:rsidRDefault="00C5129B" w:rsidP="00402DF6">
      <w:pPr>
        <w:ind w:left="2880" w:hanging="2880"/>
        <w:rPr>
          <w:szCs w:val="24"/>
        </w:rPr>
      </w:pPr>
      <w:r w:rsidRPr="000665B0">
        <w:rPr>
          <w:szCs w:val="24"/>
        </w:rPr>
        <w:t>TEK</w:t>
      </w:r>
      <w:r w:rsidRPr="000665B0">
        <w:rPr>
          <w:szCs w:val="24"/>
        </w:rPr>
        <w:tab/>
        <w:t>Transmission Encryption Key</w:t>
      </w:r>
    </w:p>
    <w:p w14:paraId="21625430" w14:textId="2650D810" w:rsidR="00402DF6" w:rsidRPr="000665B0" w:rsidRDefault="00402DF6" w:rsidP="00402DF6">
      <w:pPr>
        <w:ind w:left="2880" w:hanging="2880"/>
      </w:pPr>
      <w:r w:rsidRPr="000665B0">
        <w:t>TERCOM</w:t>
      </w:r>
      <w:r w:rsidRPr="000665B0">
        <w:tab/>
        <w:t>Terrain Contour Matching</w:t>
      </w:r>
    </w:p>
    <w:p w14:paraId="54446CA9" w14:textId="77777777" w:rsidR="00354289" w:rsidRPr="000665B0" w:rsidRDefault="00354289" w:rsidP="00402DF6">
      <w:pPr>
        <w:ind w:left="2880" w:hanging="2880"/>
      </w:pPr>
      <w:r w:rsidRPr="000665B0">
        <w:t>TERF</w:t>
      </w:r>
      <w:r w:rsidRPr="000665B0">
        <w:tab/>
        <w:t>Terrain Features</w:t>
      </w:r>
    </w:p>
    <w:p w14:paraId="60096436" w14:textId="77777777" w:rsidR="00120F68" w:rsidRPr="000665B0" w:rsidRDefault="00120F68" w:rsidP="00402DF6">
      <w:pPr>
        <w:ind w:left="2880" w:hanging="2880"/>
      </w:pPr>
      <w:r w:rsidRPr="000665B0">
        <w:t>TERFDB</w:t>
      </w:r>
      <w:r w:rsidRPr="000665B0">
        <w:tab/>
      </w:r>
      <w:r w:rsidR="00354289" w:rsidRPr="000665B0">
        <w:t>TERF</w:t>
      </w:r>
      <w:r w:rsidRPr="000665B0">
        <w:t xml:space="preserve"> Database</w:t>
      </w:r>
    </w:p>
    <w:p w14:paraId="0B444850" w14:textId="7B1DEA20" w:rsidR="004242BF" w:rsidRPr="000665B0" w:rsidRDefault="004242BF" w:rsidP="00402DF6">
      <w:pPr>
        <w:ind w:left="2880" w:hanging="2880"/>
      </w:pPr>
      <w:r w:rsidRPr="000665B0">
        <w:t>TERM</w:t>
      </w:r>
      <w:r w:rsidRPr="000665B0">
        <w:tab/>
        <w:t>Terminal</w:t>
      </w:r>
    </w:p>
    <w:p w14:paraId="63565D22" w14:textId="6FA296DB" w:rsidR="00712CF8" w:rsidRPr="000665B0" w:rsidRDefault="00712CF8" w:rsidP="00402DF6">
      <w:pPr>
        <w:ind w:left="2880" w:hanging="2880"/>
      </w:pPr>
      <w:r w:rsidRPr="000665B0">
        <w:t>TGT</w:t>
      </w:r>
      <w:r w:rsidRPr="000665B0">
        <w:tab/>
        <w:t>Target</w:t>
      </w:r>
    </w:p>
    <w:p w14:paraId="4B824891" w14:textId="7D0D7CFA" w:rsidR="007564D4" w:rsidRPr="000665B0" w:rsidRDefault="007564D4" w:rsidP="00402DF6">
      <w:pPr>
        <w:ind w:left="2880" w:hanging="2880"/>
      </w:pPr>
      <w:r w:rsidRPr="000665B0">
        <w:tab/>
        <w:t>or</w:t>
      </w:r>
    </w:p>
    <w:p w14:paraId="52FBE947" w14:textId="15B16DC8" w:rsidR="007564D4" w:rsidRPr="000665B0" w:rsidRDefault="007564D4" w:rsidP="00402DF6">
      <w:pPr>
        <w:ind w:left="2880" w:hanging="2880"/>
      </w:pPr>
      <w:r w:rsidRPr="000665B0">
        <w:tab/>
        <w:t>Target Data Available</w:t>
      </w:r>
    </w:p>
    <w:p w14:paraId="033FC250" w14:textId="77777777" w:rsidR="00354289" w:rsidRPr="000665B0" w:rsidRDefault="00354289" w:rsidP="00402DF6">
      <w:pPr>
        <w:ind w:left="2880" w:hanging="2880"/>
      </w:pPr>
      <w:r w:rsidRPr="000665B0">
        <w:t>TGTDB</w:t>
      </w:r>
      <w:r w:rsidRPr="000665B0">
        <w:tab/>
        <w:t>Target Database</w:t>
      </w:r>
    </w:p>
    <w:p w14:paraId="400E2C30" w14:textId="77777777" w:rsidR="00220006" w:rsidRPr="000665B0" w:rsidRDefault="00220006" w:rsidP="00402DF6">
      <w:pPr>
        <w:ind w:left="2880" w:hanging="2880"/>
      </w:pPr>
      <w:r w:rsidRPr="000665B0">
        <w:t>THDB</w:t>
      </w:r>
      <w:r w:rsidRPr="000665B0">
        <w:tab/>
        <w:t>Threat Database</w:t>
      </w:r>
    </w:p>
    <w:p w14:paraId="7AC1FEF5" w14:textId="77777777" w:rsidR="00402DF6" w:rsidRPr="000665B0" w:rsidRDefault="00402DF6" w:rsidP="00402DF6">
      <w:pPr>
        <w:ind w:left="2880" w:hanging="2880"/>
      </w:pPr>
      <w:r w:rsidRPr="000665B0">
        <w:t>TIR</w:t>
      </w:r>
      <w:r w:rsidRPr="000665B0">
        <w:tab/>
        <w:t>TLAM Inventory Report</w:t>
      </w:r>
    </w:p>
    <w:p w14:paraId="7F5F05D2" w14:textId="77777777" w:rsidR="00402DF6" w:rsidRPr="000665B0" w:rsidRDefault="00402DF6" w:rsidP="00402DF6">
      <w:pPr>
        <w:ind w:left="2880" w:hanging="2880"/>
      </w:pPr>
      <w:r w:rsidRPr="000665B0">
        <w:t>TLAM</w:t>
      </w:r>
      <w:r w:rsidRPr="000665B0">
        <w:tab/>
        <w:t>Tomahawk Land Attack Missile</w:t>
      </w:r>
    </w:p>
    <w:p w14:paraId="3AE93AF5" w14:textId="0B41BF7E" w:rsidR="00ED69FA" w:rsidRPr="000665B0" w:rsidRDefault="00ED69FA" w:rsidP="00402DF6">
      <w:pPr>
        <w:ind w:left="2880" w:hanging="2880"/>
      </w:pPr>
      <w:r w:rsidRPr="000665B0">
        <w:t>TLD</w:t>
      </w:r>
      <w:r w:rsidRPr="000665B0">
        <w:tab/>
        <w:t>Target Line Designator</w:t>
      </w:r>
    </w:p>
    <w:p w14:paraId="7B6F3D33" w14:textId="20878D3A" w:rsidR="00521797" w:rsidRPr="000665B0" w:rsidRDefault="00521797" w:rsidP="00402DF6">
      <w:pPr>
        <w:ind w:left="2880" w:hanging="2880"/>
      </w:pPr>
      <w:r w:rsidRPr="000665B0">
        <w:t>TM</w:t>
      </w:r>
      <w:r w:rsidRPr="000665B0">
        <w:tab/>
        <w:t>Tasking Manager</w:t>
      </w:r>
    </w:p>
    <w:p w14:paraId="758BCDBA" w14:textId="77777777" w:rsidR="00402DF6" w:rsidRPr="000665B0" w:rsidRDefault="00402DF6" w:rsidP="00402DF6">
      <w:pPr>
        <w:ind w:left="2880" w:hanging="2880"/>
      </w:pPr>
      <w:r w:rsidRPr="000665B0">
        <w:t>TMPC</w:t>
      </w:r>
      <w:r w:rsidRPr="000665B0">
        <w:tab/>
        <w:t>Theater Mission Planning Center</w:t>
      </w:r>
    </w:p>
    <w:p w14:paraId="0F6050AF" w14:textId="77777777" w:rsidR="00402DF6" w:rsidRPr="000665B0" w:rsidRDefault="00402DF6" w:rsidP="00402DF6">
      <w:pPr>
        <w:ind w:left="2880" w:hanging="2880"/>
      </w:pPr>
      <w:r w:rsidRPr="000665B0">
        <w:t>TMPR</w:t>
      </w:r>
      <w:r w:rsidRPr="000665B0">
        <w:tab/>
      </w:r>
      <w:r w:rsidR="00DC7D18" w:rsidRPr="000665B0">
        <w:t>TMPC</w:t>
      </w:r>
      <w:r w:rsidRPr="000665B0">
        <w:t xml:space="preserve"> Mission Planning Request</w:t>
      </w:r>
    </w:p>
    <w:p w14:paraId="7D0403A4" w14:textId="4A0942B0" w:rsidR="00521797" w:rsidRPr="000665B0" w:rsidRDefault="00521797" w:rsidP="00402DF6">
      <w:pPr>
        <w:ind w:left="2880" w:hanging="2880"/>
      </w:pPr>
      <w:r w:rsidRPr="000665B0">
        <w:t>TMS</w:t>
      </w:r>
      <w:r w:rsidRPr="000665B0">
        <w:tab/>
        <w:t xml:space="preserve">Tasking Management </w:t>
      </w:r>
      <w:r w:rsidR="00374D47" w:rsidRPr="000665B0">
        <w:t>System</w:t>
      </w:r>
    </w:p>
    <w:p w14:paraId="65B03B9B" w14:textId="77777777" w:rsidR="00CA4323" w:rsidRPr="000665B0" w:rsidRDefault="00CA4323" w:rsidP="00402DF6">
      <w:pPr>
        <w:ind w:left="2880" w:hanging="2880"/>
      </w:pPr>
      <w:r w:rsidRPr="000665B0">
        <w:t>TNT</w:t>
      </w:r>
      <w:r w:rsidRPr="000665B0">
        <w:tab/>
      </w:r>
      <w:r w:rsidR="002E76E4" w:rsidRPr="000665B0">
        <w:rPr>
          <w:bCs/>
        </w:rPr>
        <w:t xml:space="preserve">Targeting </w:t>
      </w:r>
      <w:r w:rsidR="00236F6D" w:rsidRPr="000665B0">
        <w:rPr>
          <w:bCs/>
        </w:rPr>
        <w:t xml:space="preserve">and </w:t>
      </w:r>
      <w:r w:rsidR="002E76E4" w:rsidRPr="000665B0">
        <w:rPr>
          <w:bCs/>
        </w:rPr>
        <w:t>Navigation Toolset</w:t>
      </w:r>
    </w:p>
    <w:p w14:paraId="34EBA671" w14:textId="77777777" w:rsidR="00C52E4C" w:rsidRPr="000665B0" w:rsidRDefault="00C52E4C" w:rsidP="00402DF6">
      <w:pPr>
        <w:ind w:left="2880" w:hanging="2880"/>
      </w:pPr>
      <w:r w:rsidRPr="000665B0">
        <w:t>TO</w:t>
      </w:r>
      <w:r w:rsidRPr="000665B0">
        <w:tab/>
        <w:t>Tasking Organization</w:t>
      </w:r>
    </w:p>
    <w:p w14:paraId="4F5CFD90" w14:textId="77777777" w:rsidR="00402DF6" w:rsidRPr="000665B0" w:rsidRDefault="00402DF6" w:rsidP="00402DF6">
      <w:pPr>
        <w:ind w:left="2880" w:hanging="2880"/>
      </w:pPr>
      <w:r w:rsidRPr="000665B0">
        <w:t>TOA</w:t>
      </w:r>
      <w:r w:rsidRPr="000665B0">
        <w:tab/>
        <w:t>Time of Arrival</w:t>
      </w:r>
    </w:p>
    <w:p w14:paraId="3D786636" w14:textId="77777777" w:rsidR="00402DF6" w:rsidRPr="000665B0" w:rsidRDefault="00402DF6" w:rsidP="00402DF6">
      <w:pPr>
        <w:ind w:left="2880" w:hanging="2880"/>
      </w:pPr>
      <w:r w:rsidRPr="000665B0">
        <w:t>TOL</w:t>
      </w:r>
      <w:r w:rsidRPr="000665B0">
        <w:tab/>
        <w:t>Time of Launch</w:t>
      </w:r>
    </w:p>
    <w:p w14:paraId="4EF60AD8" w14:textId="77777777" w:rsidR="00652013" w:rsidRPr="000665B0" w:rsidRDefault="00652013" w:rsidP="00652013">
      <w:pPr>
        <w:pStyle w:val="Acronym"/>
        <w:spacing w:before="0" w:after="120"/>
        <w:rPr>
          <w:szCs w:val="24"/>
        </w:rPr>
      </w:pPr>
      <w:r w:rsidRPr="000665B0">
        <w:rPr>
          <w:szCs w:val="24"/>
        </w:rPr>
        <w:t>TOST</w:t>
      </w:r>
      <w:r w:rsidRPr="000665B0">
        <w:rPr>
          <w:szCs w:val="24"/>
        </w:rPr>
        <w:tab/>
      </w:r>
      <w:r w:rsidR="00AD24E2" w:rsidRPr="000665B0">
        <w:rPr>
          <w:szCs w:val="24"/>
        </w:rPr>
        <w:t xml:space="preserve">TMPC </w:t>
      </w:r>
      <w:r w:rsidRPr="000665B0">
        <w:rPr>
          <w:szCs w:val="24"/>
        </w:rPr>
        <w:t>Operations and Status Tool</w:t>
      </w:r>
      <w:r w:rsidR="00306E14" w:rsidRPr="000665B0">
        <w:rPr>
          <w:szCs w:val="24"/>
        </w:rPr>
        <w:t xml:space="preserve"> (Obsolete). See TM.</w:t>
      </w:r>
    </w:p>
    <w:p w14:paraId="4DAD601E" w14:textId="77777777" w:rsidR="00DA3DD1" w:rsidRPr="000665B0" w:rsidRDefault="00402DF6" w:rsidP="00DA3DD1">
      <w:pPr>
        <w:ind w:left="2880" w:hanging="2880"/>
      </w:pPr>
      <w:r w:rsidRPr="000665B0">
        <w:t>TOT</w:t>
      </w:r>
      <w:r w:rsidRPr="000665B0">
        <w:tab/>
        <w:t>Time on Target</w:t>
      </w:r>
    </w:p>
    <w:p w14:paraId="0F4D3FB6" w14:textId="77777777" w:rsidR="00402DF6" w:rsidRPr="000665B0" w:rsidRDefault="00402DF6" w:rsidP="00DA3DD1">
      <w:pPr>
        <w:ind w:left="2880" w:hanging="2880"/>
      </w:pPr>
      <w:r w:rsidRPr="000665B0">
        <w:t>TPS</w:t>
      </w:r>
      <w:r w:rsidRPr="000665B0">
        <w:tab/>
        <w:t>Tomahawk Planning System</w:t>
      </w:r>
    </w:p>
    <w:p w14:paraId="2191D04F" w14:textId="77777777" w:rsidR="00402DF6" w:rsidRPr="00C97B43" w:rsidRDefault="00402DF6" w:rsidP="00402DF6">
      <w:pPr>
        <w:pStyle w:val="Acronym"/>
        <w:spacing w:before="0" w:after="120"/>
        <w:rPr>
          <w:szCs w:val="24"/>
        </w:rPr>
      </w:pPr>
      <w:r w:rsidRPr="00C97B43">
        <w:rPr>
          <w:szCs w:val="24"/>
        </w:rPr>
        <w:lastRenderedPageBreak/>
        <w:t>TRANSEC</w:t>
      </w:r>
      <w:r w:rsidRPr="00C97B43">
        <w:rPr>
          <w:szCs w:val="24"/>
        </w:rPr>
        <w:tab/>
        <w:t>Transmission Security</w:t>
      </w:r>
    </w:p>
    <w:p w14:paraId="49832226" w14:textId="4A5B93C7" w:rsidR="00402DF6" w:rsidRDefault="00402DF6" w:rsidP="00402DF6">
      <w:pPr>
        <w:ind w:left="2880" w:hanging="2880"/>
      </w:pPr>
      <w:r w:rsidRPr="00C97B43">
        <w:t>TSC</w:t>
      </w:r>
      <w:r w:rsidRPr="00C97B43">
        <w:tab/>
        <w:t xml:space="preserve">Tomahawk Strike </w:t>
      </w:r>
      <w:r w:rsidR="00022A20" w:rsidRPr="00C97B43">
        <w:t>Coordinator</w:t>
      </w:r>
    </w:p>
    <w:p w14:paraId="4851B333" w14:textId="296B734C" w:rsidR="0003074C" w:rsidRPr="00C97B43" w:rsidRDefault="0003074C" w:rsidP="00402DF6">
      <w:pPr>
        <w:ind w:left="2880" w:hanging="2880"/>
      </w:pPr>
      <w:r>
        <w:t>TSD</w:t>
      </w:r>
      <w:r>
        <w:tab/>
        <w:t>TSRT Scenario Director</w:t>
      </w:r>
    </w:p>
    <w:p w14:paraId="46C1E964" w14:textId="77777777" w:rsidR="004F6AE2" w:rsidRPr="000665B0" w:rsidRDefault="004F6AE2" w:rsidP="004F6AE2">
      <w:pPr>
        <w:ind w:left="2880" w:hanging="2880"/>
      </w:pPr>
      <w:r w:rsidRPr="00C97B43">
        <w:t>TSMPC</w:t>
      </w:r>
      <w:r w:rsidRPr="00C97B43">
        <w:tab/>
        <w:t>Tomahawk Strike and</w:t>
      </w:r>
      <w:r w:rsidRPr="000665B0">
        <w:t xml:space="preserve"> Mission Planning </w:t>
      </w:r>
      <w:r w:rsidR="00F25965" w:rsidRPr="000665B0">
        <w:t>Cell</w:t>
      </w:r>
    </w:p>
    <w:p w14:paraId="18237626" w14:textId="77777777" w:rsidR="00402DF6" w:rsidRPr="000665B0" w:rsidRDefault="00402DF6" w:rsidP="00402DF6">
      <w:pPr>
        <w:ind w:left="2880" w:hanging="2880"/>
      </w:pPr>
      <w:r w:rsidRPr="000665B0">
        <w:t>TSN</w:t>
      </w:r>
      <w:r w:rsidRPr="000665B0">
        <w:tab/>
        <w:t>Tomahawk Strike Network</w:t>
      </w:r>
    </w:p>
    <w:p w14:paraId="1339DB7C" w14:textId="225926AB" w:rsidR="006B3590" w:rsidRPr="000665B0" w:rsidRDefault="006B3590" w:rsidP="00402DF6">
      <w:pPr>
        <w:ind w:left="2880" w:hanging="2880"/>
      </w:pPr>
      <w:r w:rsidRPr="000665B0">
        <w:t>TSN ACA</w:t>
      </w:r>
      <w:r w:rsidRPr="000665B0">
        <w:tab/>
        <w:t xml:space="preserve">Tomahawk Strike Network </w:t>
      </w:r>
      <w:r w:rsidRPr="000665B0">
        <w:rPr>
          <w:szCs w:val="24"/>
        </w:rPr>
        <w:t>Advanced Communication Architecture</w:t>
      </w:r>
    </w:p>
    <w:p w14:paraId="2DA5D9D9" w14:textId="43E40D85" w:rsidR="006B3590" w:rsidRPr="000665B0" w:rsidRDefault="006B3590" w:rsidP="00402DF6">
      <w:pPr>
        <w:ind w:left="2880" w:hanging="2880"/>
      </w:pPr>
      <w:r w:rsidRPr="000665B0">
        <w:t>TSN DAMA</w:t>
      </w:r>
      <w:r w:rsidRPr="000665B0">
        <w:tab/>
        <w:t>Tomahawk Strike Network Demand Assigned Multiple Access</w:t>
      </w:r>
    </w:p>
    <w:p w14:paraId="23785AF6" w14:textId="77777777" w:rsidR="00C52E4C" w:rsidRPr="000665B0" w:rsidRDefault="00C52E4C" w:rsidP="00402DF6">
      <w:pPr>
        <w:ind w:left="2880" w:hanging="2880"/>
      </w:pPr>
      <w:r w:rsidRPr="000665B0">
        <w:t>TSNIF</w:t>
      </w:r>
      <w:r w:rsidRPr="000665B0">
        <w:tab/>
        <w:t>Tomahawk Strike Network Interface</w:t>
      </w:r>
    </w:p>
    <w:p w14:paraId="5B4649F6" w14:textId="77777777" w:rsidR="00402DF6" w:rsidRPr="000665B0" w:rsidRDefault="00402DF6" w:rsidP="00402DF6">
      <w:pPr>
        <w:pStyle w:val="Acronym"/>
        <w:spacing w:before="0" w:after="120"/>
        <w:rPr>
          <w:szCs w:val="24"/>
        </w:rPr>
      </w:pPr>
      <w:r w:rsidRPr="000665B0">
        <w:rPr>
          <w:szCs w:val="24"/>
        </w:rPr>
        <w:t>TSRT</w:t>
      </w:r>
      <w:r w:rsidRPr="000665B0">
        <w:rPr>
          <w:szCs w:val="24"/>
        </w:rPr>
        <w:tab/>
      </w:r>
      <w:r w:rsidR="004176B0" w:rsidRPr="000665B0">
        <w:rPr>
          <w:szCs w:val="24"/>
        </w:rPr>
        <w:t>Tomahawk</w:t>
      </w:r>
      <w:r w:rsidRPr="000665B0">
        <w:rPr>
          <w:szCs w:val="24"/>
        </w:rPr>
        <w:t xml:space="preserve"> Strike Rehearsal Tool</w:t>
      </w:r>
    </w:p>
    <w:p w14:paraId="32903DDB" w14:textId="77777777" w:rsidR="00697624" w:rsidRPr="000665B0" w:rsidRDefault="00697624" w:rsidP="00402DF6">
      <w:pPr>
        <w:ind w:left="2880" w:hanging="2880"/>
      </w:pPr>
      <w:r w:rsidRPr="000665B0">
        <w:t>TST</w:t>
      </w:r>
      <w:r w:rsidRPr="000665B0">
        <w:tab/>
        <w:t>Test</w:t>
      </w:r>
    </w:p>
    <w:p w14:paraId="62A1CC14" w14:textId="77777777" w:rsidR="00402DF6" w:rsidRPr="000665B0" w:rsidRDefault="00402DF6" w:rsidP="00402DF6">
      <w:pPr>
        <w:ind w:left="2880" w:hanging="2880"/>
      </w:pPr>
      <w:r w:rsidRPr="000665B0">
        <w:t>TTL</w:t>
      </w:r>
      <w:r w:rsidRPr="000665B0">
        <w:tab/>
        <w:t>Torpedo Tube Launch</w:t>
      </w:r>
    </w:p>
    <w:p w14:paraId="741F0D14" w14:textId="77777777" w:rsidR="00521797" w:rsidRPr="000665B0" w:rsidRDefault="00521797" w:rsidP="00402DF6">
      <w:pPr>
        <w:ind w:left="2880" w:hanging="2880"/>
      </w:pPr>
      <w:r w:rsidRPr="000665B0">
        <w:t>TTM</w:t>
      </w:r>
      <w:r w:rsidRPr="000665B0">
        <w:tab/>
        <w:t>Tomahawk Tasking Manager</w:t>
      </w:r>
    </w:p>
    <w:p w14:paraId="6645B518" w14:textId="77777777" w:rsidR="00402DF6" w:rsidRPr="000665B0" w:rsidRDefault="00402DF6" w:rsidP="00402DF6">
      <w:pPr>
        <w:ind w:left="2880" w:hanging="2880"/>
      </w:pPr>
      <w:r w:rsidRPr="000665B0">
        <w:t>TTN</w:t>
      </w:r>
      <w:r w:rsidRPr="000665B0">
        <w:tab/>
      </w:r>
      <w:r w:rsidR="00FD6CCD" w:rsidRPr="000665B0">
        <w:t>Tactical Target Number</w:t>
      </w:r>
    </w:p>
    <w:p w14:paraId="1B414B3D" w14:textId="77777777" w:rsidR="00402DF6" w:rsidRPr="000665B0" w:rsidRDefault="00402DF6" w:rsidP="00402DF6">
      <w:pPr>
        <w:ind w:left="2880" w:hanging="2880"/>
      </w:pPr>
      <w:r w:rsidRPr="000665B0">
        <w:t>TTP</w:t>
      </w:r>
      <w:r w:rsidRPr="000665B0">
        <w:tab/>
        <w:t>Terminal Terrain Profile</w:t>
      </w:r>
    </w:p>
    <w:p w14:paraId="32F01DC1" w14:textId="77777777" w:rsidR="00402DF6" w:rsidRPr="000665B0" w:rsidRDefault="00402DF6" w:rsidP="00402DF6">
      <w:pPr>
        <w:ind w:left="2880" w:hanging="2880"/>
      </w:pPr>
      <w:r w:rsidRPr="000665B0">
        <w:t>TTWCS</w:t>
      </w:r>
      <w:r w:rsidRPr="000665B0">
        <w:tab/>
        <w:t>Tactical Tomahawk Weapon Control System</w:t>
      </w:r>
    </w:p>
    <w:p w14:paraId="40B2509A" w14:textId="77777777" w:rsidR="00712CF8" w:rsidRPr="000665B0" w:rsidRDefault="00712CF8" w:rsidP="00402DF6">
      <w:pPr>
        <w:ind w:left="2880" w:hanging="2880"/>
      </w:pPr>
      <w:r w:rsidRPr="000665B0">
        <w:t>TTWCS ESP</w:t>
      </w:r>
      <w:r w:rsidRPr="000665B0">
        <w:tab/>
      </w:r>
      <w:r w:rsidR="009D588A" w:rsidRPr="000665B0">
        <w:t>Tactical Tomaha</w:t>
      </w:r>
      <w:r w:rsidR="00263BC5" w:rsidRPr="000665B0">
        <w:t>w</w:t>
      </w:r>
      <w:r w:rsidR="009D588A" w:rsidRPr="000665B0">
        <w:t>k Weapon Control System E</w:t>
      </w:r>
      <w:r w:rsidR="00263BC5" w:rsidRPr="000665B0">
        <w:t>le</w:t>
      </w:r>
      <w:r w:rsidR="009D588A" w:rsidRPr="000665B0">
        <w:t>ctronic Strike Package</w:t>
      </w:r>
    </w:p>
    <w:p w14:paraId="13CAF578" w14:textId="77777777" w:rsidR="00402DF6" w:rsidRPr="000665B0" w:rsidRDefault="00402DF6" w:rsidP="00402DF6">
      <w:pPr>
        <w:ind w:left="2880" w:hanging="2880"/>
      </w:pPr>
      <w:r w:rsidRPr="000665B0">
        <w:t>TUM</w:t>
      </w:r>
      <w:r w:rsidRPr="000665B0">
        <w:tab/>
        <w:t>TCI Update Message</w:t>
      </w:r>
    </w:p>
    <w:p w14:paraId="33024AD4" w14:textId="77777777" w:rsidR="00402DF6" w:rsidRPr="000665B0" w:rsidRDefault="00402DF6" w:rsidP="00402DF6">
      <w:pPr>
        <w:ind w:left="2880" w:hanging="2880"/>
      </w:pPr>
      <w:r w:rsidRPr="000665B0">
        <w:t>TWS</w:t>
      </w:r>
      <w:r w:rsidRPr="000665B0">
        <w:tab/>
        <w:t>Tomahawk Weapon System</w:t>
      </w:r>
    </w:p>
    <w:p w14:paraId="79FD722A" w14:textId="77777777" w:rsidR="006A5D81" w:rsidRPr="000665B0" w:rsidRDefault="006A5D81" w:rsidP="00402DF6">
      <w:pPr>
        <w:ind w:left="2880" w:hanging="2880"/>
      </w:pPr>
      <w:r w:rsidRPr="000665B0">
        <w:t>UAC</w:t>
      </w:r>
      <w:r w:rsidRPr="000665B0">
        <w:tab/>
        <w:t>User Account Control</w:t>
      </w:r>
    </w:p>
    <w:p w14:paraId="0B11BC95" w14:textId="77777777" w:rsidR="00402DF6" w:rsidRPr="000665B0" w:rsidRDefault="00402DF6" w:rsidP="00402DF6">
      <w:pPr>
        <w:ind w:left="2880" w:hanging="2880"/>
      </w:pPr>
      <w:r w:rsidRPr="000665B0">
        <w:t>UER</w:t>
      </w:r>
      <w:r w:rsidRPr="000665B0">
        <w:tab/>
        <w:t>USN Exception Record</w:t>
      </w:r>
    </w:p>
    <w:p w14:paraId="427C5567" w14:textId="77777777" w:rsidR="00651D01" w:rsidRPr="000665B0" w:rsidRDefault="00651D01" w:rsidP="00402DF6">
      <w:pPr>
        <w:pStyle w:val="Acronym"/>
        <w:spacing w:before="0" w:after="120"/>
        <w:rPr>
          <w:szCs w:val="24"/>
        </w:rPr>
      </w:pPr>
      <w:r w:rsidRPr="000665B0">
        <w:rPr>
          <w:szCs w:val="24"/>
        </w:rPr>
        <w:t>UHF</w:t>
      </w:r>
      <w:r w:rsidRPr="000665B0">
        <w:rPr>
          <w:szCs w:val="24"/>
        </w:rPr>
        <w:tab/>
        <w:t>Ultra High Frequency</w:t>
      </w:r>
    </w:p>
    <w:p w14:paraId="36E52FE1" w14:textId="77777777" w:rsidR="00712CF8" w:rsidRPr="000665B0" w:rsidRDefault="00712CF8" w:rsidP="00402DF6">
      <w:pPr>
        <w:pStyle w:val="Acronym"/>
        <w:spacing w:before="0" w:after="120"/>
        <w:rPr>
          <w:szCs w:val="24"/>
        </w:rPr>
      </w:pPr>
      <w:r w:rsidRPr="000665B0">
        <w:rPr>
          <w:szCs w:val="24"/>
        </w:rPr>
        <w:t>UI</w:t>
      </w:r>
      <w:r w:rsidRPr="000665B0">
        <w:rPr>
          <w:szCs w:val="24"/>
        </w:rPr>
        <w:tab/>
      </w:r>
      <w:r w:rsidR="00D812DC" w:rsidRPr="000665B0">
        <w:rPr>
          <w:szCs w:val="24"/>
        </w:rPr>
        <w:t>User Interface</w:t>
      </w:r>
    </w:p>
    <w:p w14:paraId="116A8DF4" w14:textId="77777777" w:rsidR="00402DF6" w:rsidRPr="000665B0" w:rsidRDefault="00402DF6" w:rsidP="00402DF6">
      <w:pPr>
        <w:pStyle w:val="Acronym"/>
        <w:spacing w:before="0" w:after="120"/>
      </w:pPr>
      <w:r w:rsidRPr="000665B0">
        <w:rPr>
          <w:szCs w:val="24"/>
        </w:rPr>
        <w:t>UIC</w:t>
      </w:r>
      <w:r w:rsidRPr="000665B0">
        <w:rPr>
          <w:szCs w:val="24"/>
        </w:rPr>
        <w:tab/>
        <w:t xml:space="preserve">Unit Identification Code </w:t>
      </w:r>
    </w:p>
    <w:p w14:paraId="3FD47A7F" w14:textId="16629C85" w:rsidR="00C52E4C" w:rsidRPr="000665B0" w:rsidRDefault="00C52E4C" w:rsidP="00402DF6">
      <w:pPr>
        <w:pStyle w:val="Acronym"/>
        <w:spacing w:before="0" w:after="120"/>
        <w:rPr>
          <w:szCs w:val="24"/>
        </w:rPr>
      </w:pPr>
      <w:r w:rsidRPr="000665B0">
        <w:rPr>
          <w:szCs w:val="24"/>
        </w:rPr>
        <w:t>UID</w:t>
      </w:r>
      <w:r w:rsidRPr="000665B0">
        <w:rPr>
          <w:szCs w:val="24"/>
        </w:rPr>
        <w:tab/>
      </w:r>
      <w:r w:rsidR="00D812DC" w:rsidRPr="000665B0">
        <w:rPr>
          <w:szCs w:val="24"/>
        </w:rPr>
        <w:t>User Identification</w:t>
      </w:r>
    </w:p>
    <w:p w14:paraId="601B47CC" w14:textId="38CBC026" w:rsidR="005B2588" w:rsidRPr="000665B0" w:rsidRDefault="005B2588" w:rsidP="00402DF6">
      <w:pPr>
        <w:pStyle w:val="Acronym"/>
        <w:spacing w:before="0" w:after="120"/>
        <w:rPr>
          <w:szCs w:val="24"/>
        </w:rPr>
      </w:pPr>
      <w:r w:rsidRPr="000665B0">
        <w:rPr>
          <w:szCs w:val="24"/>
        </w:rPr>
        <w:tab/>
      </w:r>
      <w:r w:rsidR="00DB4790" w:rsidRPr="000665B0">
        <w:rPr>
          <w:szCs w:val="24"/>
        </w:rPr>
        <w:t>o</w:t>
      </w:r>
      <w:r w:rsidRPr="000665B0">
        <w:rPr>
          <w:szCs w:val="24"/>
        </w:rPr>
        <w:t>r</w:t>
      </w:r>
    </w:p>
    <w:p w14:paraId="7EA86159" w14:textId="3A0ABFD4" w:rsidR="005B2588" w:rsidRPr="000665B0" w:rsidRDefault="005B2588" w:rsidP="00402DF6">
      <w:pPr>
        <w:pStyle w:val="Acronym"/>
        <w:spacing w:before="0" w:after="120"/>
      </w:pPr>
      <w:r w:rsidRPr="000665B0">
        <w:rPr>
          <w:szCs w:val="24"/>
        </w:rPr>
        <w:tab/>
        <w:t>Unique Identification</w:t>
      </w:r>
    </w:p>
    <w:p w14:paraId="556C1E18" w14:textId="77777777" w:rsidR="00651D01" w:rsidRPr="000665B0" w:rsidRDefault="00651D01" w:rsidP="00402DF6">
      <w:pPr>
        <w:pStyle w:val="NormalWeb"/>
        <w:ind w:left="2880" w:hanging="2880"/>
      </w:pPr>
      <w:r w:rsidRPr="000665B0">
        <w:t>UK</w:t>
      </w:r>
      <w:r w:rsidRPr="000665B0">
        <w:tab/>
        <w:t>United Kingdom</w:t>
      </w:r>
    </w:p>
    <w:p w14:paraId="2E4199B4" w14:textId="77777777" w:rsidR="007564D4" w:rsidRPr="000665B0" w:rsidRDefault="007564D4" w:rsidP="00402DF6">
      <w:pPr>
        <w:pStyle w:val="NormalWeb"/>
        <w:ind w:left="2880" w:hanging="2880"/>
      </w:pPr>
      <w:r w:rsidRPr="000665B0">
        <w:t>UNK</w:t>
      </w:r>
      <w:r w:rsidRPr="000665B0">
        <w:tab/>
        <w:t>Unknown</w:t>
      </w:r>
    </w:p>
    <w:p w14:paraId="2FCB7542" w14:textId="4145CFCC" w:rsidR="009D3D97" w:rsidRPr="000665B0" w:rsidRDefault="009D3D97" w:rsidP="00402DF6">
      <w:pPr>
        <w:pStyle w:val="NormalWeb"/>
        <w:ind w:left="2880" w:hanging="2880"/>
      </w:pPr>
      <w:r w:rsidRPr="000665B0">
        <w:t>US</w:t>
      </w:r>
      <w:r w:rsidRPr="000665B0">
        <w:tab/>
        <w:t>United States</w:t>
      </w:r>
    </w:p>
    <w:p w14:paraId="2B5E2617" w14:textId="77777777" w:rsidR="009D3D97" w:rsidRPr="000665B0" w:rsidRDefault="009D3D97" w:rsidP="009D3D97">
      <w:pPr>
        <w:pStyle w:val="NormalWeb"/>
        <w:ind w:left="2880"/>
      </w:pPr>
      <w:r w:rsidRPr="000665B0">
        <w:t>or</w:t>
      </w:r>
    </w:p>
    <w:p w14:paraId="55E81446" w14:textId="77777777" w:rsidR="009D3D97" w:rsidRPr="000665B0" w:rsidRDefault="009D3D97" w:rsidP="009D3D97">
      <w:pPr>
        <w:pStyle w:val="NormalWeb"/>
        <w:ind w:left="2880"/>
      </w:pPr>
      <w:r w:rsidRPr="000665B0">
        <w:t>Unit Separator</w:t>
      </w:r>
    </w:p>
    <w:p w14:paraId="435EAC0E" w14:textId="77777777" w:rsidR="004C188B" w:rsidRPr="000665B0" w:rsidRDefault="004C188B" w:rsidP="00402DF6">
      <w:pPr>
        <w:pStyle w:val="NormalWeb"/>
        <w:ind w:left="2880" w:hanging="2880"/>
      </w:pPr>
      <w:r w:rsidRPr="000665B0">
        <w:lastRenderedPageBreak/>
        <w:t>USB</w:t>
      </w:r>
      <w:r w:rsidRPr="000665B0">
        <w:tab/>
        <w:t>Universal Serial Bus</w:t>
      </w:r>
    </w:p>
    <w:p w14:paraId="28F9595F" w14:textId="77777777" w:rsidR="00402DF6" w:rsidRPr="000665B0" w:rsidRDefault="00402DF6" w:rsidP="00BE692D">
      <w:pPr>
        <w:ind w:left="2880" w:hanging="2880"/>
        <w:rPr>
          <w:szCs w:val="24"/>
        </w:rPr>
      </w:pPr>
      <w:r w:rsidRPr="000665B0">
        <w:rPr>
          <w:szCs w:val="24"/>
        </w:rPr>
        <w:t>USMTF</w:t>
      </w:r>
      <w:r w:rsidRPr="000665B0">
        <w:rPr>
          <w:szCs w:val="24"/>
        </w:rPr>
        <w:tab/>
        <w:t>United States Message Text Format</w:t>
      </w:r>
    </w:p>
    <w:p w14:paraId="00E647B0" w14:textId="77777777" w:rsidR="00402DF6" w:rsidRPr="000665B0" w:rsidRDefault="00402DF6" w:rsidP="00402DF6">
      <w:pPr>
        <w:ind w:left="2880" w:hanging="2880"/>
      </w:pPr>
      <w:r w:rsidRPr="000665B0">
        <w:t>USN</w:t>
      </w:r>
      <w:r w:rsidRPr="000665B0">
        <w:tab/>
        <w:t>Update Sequence Number</w:t>
      </w:r>
    </w:p>
    <w:p w14:paraId="77396495" w14:textId="7B9C35FE" w:rsidR="00C52E4C" w:rsidRPr="000665B0" w:rsidRDefault="00C52E4C" w:rsidP="00402DF6">
      <w:pPr>
        <w:ind w:left="2880" w:hanging="2880"/>
      </w:pPr>
      <w:r w:rsidRPr="000665B0">
        <w:t>UTM</w:t>
      </w:r>
      <w:r w:rsidRPr="000665B0">
        <w:tab/>
        <w:t>Universal Transverse Mercator</w:t>
      </w:r>
    </w:p>
    <w:p w14:paraId="6FD48F57" w14:textId="77777777" w:rsidR="00402DF6" w:rsidRPr="000665B0" w:rsidRDefault="00402DF6" w:rsidP="00402DF6">
      <w:pPr>
        <w:ind w:left="2880" w:hanging="2880"/>
      </w:pPr>
      <w:r w:rsidRPr="000665B0">
        <w:t>VDA</w:t>
      </w:r>
      <w:r w:rsidRPr="000665B0">
        <w:tab/>
        <w:t>Variable Dive Angle</w:t>
      </w:r>
    </w:p>
    <w:p w14:paraId="488BF1B8" w14:textId="77777777" w:rsidR="00402DF6" w:rsidRPr="000665B0" w:rsidRDefault="00402DF6" w:rsidP="00402DF6">
      <w:pPr>
        <w:pStyle w:val="Acronym"/>
        <w:spacing w:before="0" w:after="120"/>
        <w:rPr>
          <w:szCs w:val="24"/>
        </w:rPr>
      </w:pPr>
      <w:r w:rsidRPr="000665B0">
        <w:rPr>
          <w:szCs w:val="24"/>
        </w:rPr>
        <w:t>VDM</w:t>
      </w:r>
      <w:r w:rsidRPr="000665B0">
        <w:rPr>
          <w:szCs w:val="24"/>
        </w:rPr>
        <w:tab/>
      </w:r>
      <w:r w:rsidR="0030606E" w:rsidRPr="000665B0">
        <w:rPr>
          <w:szCs w:val="24"/>
        </w:rPr>
        <w:t xml:space="preserve">Variable </w:t>
      </w:r>
      <w:r w:rsidRPr="000665B0">
        <w:rPr>
          <w:szCs w:val="24"/>
        </w:rPr>
        <w:t xml:space="preserve">Dive Maneuver </w:t>
      </w:r>
    </w:p>
    <w:p w14:paraId="3BC4F616" w14:textId="77777777" w:rsidR="00402DF6" w:rsidRPr="000665B0" w:rsidRDefault="00402DF6" w:rsidP="00402DF6">
      <w:pPr>
        <w:ind w:left="2880" w:hanging="2880"/>
      </w:pPr>
      <w:r w:rsidRPr="000665B0">
        <w:t>VFIL</w:t>
      </w:r>
      <w:r w:rsidRPr="000665B0">
        <w:tab/>
        <w:t>Valid Flight Software Identification List</w:t>
      </w:r>
    </w:p>
    <w:p w14:paraId="0C7DD5CD" w14:textId="77777777" w:rsidR="00B07AAB" w:rsidRPr="000665B0" w:rsidRDefault="00B07AAB" w:rsidP="00402DF6">
      <w:pPr>
        <w:pStyle w:val="Acronym"/>
        <w:spacing w:before="0" w:after="120"/>
        <w:rPr>
          <w:bCs/>
          <w:szCs w:val="24"/>
        </w:rPr>
      </w:pPr>
      <w:r w:rsidRPr="000665B0">
        <w:rPr>
          <w:bCs/>
          <w:szCs w:val="24"/>
        </w:rPr>
        <w:t>VFP</w:t>
      </w:r>
      <w:r w:rsidRPr="000665B0">
        <w:rPr>
          <w:bCs/>
          <w:szCs w:val="24"/>
        </w:rPr>
        <w:tab/>
        <w:t>Vertical Flight Profile</w:t>
      </w:r>
    </w:p>
    <w:p w14:paraId="0E218675" w14:textId="2CF6A0A6" w:rsidR="00402DF6" w:rsidRPr="000665B0" w:rsidRDefault="00402DF6" w:rsidP="00402DF6">
      <w:pPr>
        <w:pStyle w:val="Acronym"/>
        <w:spacing w:before="0" w:after="120"/>
        <w:rPr>
          <w:bCs/>
          <w:szCs w:val="24"/>
        </w:rPr>
      </w:pPr>
      <w:r w:rsidRPr="000665B0">
        <w:rPr>
          <w:bCs/>
          <w:szCs w:val="24"/>
        </w:rPr>
        <w:t>VLDB</w:t>
      </w:r>
      <w:r w:rsidRPr="000665B0">
        <w:rPr>
          <w:bCs/>
          <w:szCs w:val="24"/>
        </w:rPr>
        <w:tab/>
        <w:t>Valid List Database</w:t>
      </w:r>
    </w:p>
    <w:p w14:paraId="372FEF86" w14:textId="77777777" w:rsidR="00402DF6" w:rsidRPr="000665B0" w:rsidRDefault="00402DF6" w:rsidP="00402DF6">
      <w:pPr>
        <w:ind w:left="2880" w:hanging="2880"/>
      </w:pPr>
      <w:r w:rsidRPr="000665B0">
        <w:t>VLS</w:t>
      </w:r>
      <w:r w:rsidRPr="000665B0">
        <w:tab/>
        <w:t>Vertical Launching System</w:t>
      </w:r>
    </w:p>
    <w:p w14:paraId="4504CA49" w14:textId="77777777" w:rsidR="00C52E4C" w:rsidRPr="000665B0" w:rsidRDefault="00C52E4C" w:rsidP="00402DF6">
      <w:pPr>
        <w:ind w:left="2880" w:hanging="2880"/>
      </w:pPr>
      <w:r w:rsidRPr="000665B0">
        <w:t>VMAP</w:t>
      </w:r>
      <w:r w:rsidRPr="000665B0">
        <w:tab/>
      </w:r>
      <w:r w:rsidR="008711E0" w:rsidRPr="000665B0">
        <w:t>Vector Map</w:t>
      </w:r>
    </w:p>
    <w:p w14:paraId="63D12DDB" w14:textId="77777777" w:rsidR="00402DF6" w:rsidRPr="000665B0" w:rsidRDefault="00402DF6" w:rsidP="00402DF6">
      <w:pPr>
        <w:ind w:left="2880" w:hanging="2880"/>
      </w:pPr>
      <w:r w:rsidRPr="000665B0">
        <w:t>VMIL</w:t>
      </w:r>
      <w:r w:rsidRPr="000665B0">
        <w:tab/>
        <w:t>Valid Missile Identification List</w:t>
      </w:r>
    </w:p>
    <w:p w14:paraId="55B53D87" w14:textId="77777777" w:rsidR="00402DF6" w:rsidRPr="000665B0" w:rsidRDefault="00402DF6" w:rsidP="00402DF6">
      <w:pPr>
        <w:ind w:left="2880" w:hanging="2880"/>
      </w:pPr>
      <w:r w:rsidRPr="000665B0">
        <w:t>VPF</w:t>
      </w:r>
      <w:r w:rsidRPr="000665B0">
        <w:tab/>
        <w:t>Vector Product Format</w:t>
      </w:r>
    </w:p>
    <w:p w14:paraId="25063D0F" w14:textId="77777777" w:rsidR="00402DF6" w:rsidRPr="000665B0" w:rsidRDefault="00402DF6" w:rsidP="00402DF6">
      <w:pPr>
        <w:ind w:left="2880" w:hanging="2880"/>
      </w:pPr>
      <w:r w:rsidRPr="000665B0">
        <w:t>VPL</w:t>
      </w:r>
      <w:r w:rsidRPr="000665B0">
        <w:tab/>
        <w:t>Valid Platform List</w:t>
      </w:r>
    </w:p>
    <w:p w14:paraId="55C94AA7" w14:textId="77777777" w:rsidR="00452153" w:rsidRPr="000665B0" w:rsidRDefault="00452153" w:rsidP="00402DF6">
      <w:pPr>
        <w:ind w:left="2880" w:hanging="2880"/>
      </w:pPr>
      <w:r w:rsidRPr="000665B0">
        <w:t>VPM</w:t>
      </w:r>
      <w:r w:rsidRPr="000665B0">
        <w:tab/>
        <w:t>Virginia Payload Module</w:t>
      </w:r>
    </w:p>
    <w:p w14:paraId="2D63CFFF" w14:textId="2641DE4F" w:rsidR="00452153" w:rsidRPr="000665B0" w:rsidRDefault="00452153" w:rsidP="00402DF6">
      <w:pPr>
        <w:ind w:left="2880" w:hanging="2880"/>
      </w:pPr>
      <w:r w:rsidRPr="000665B0">
        <w:t>VPT</w:t>
      </w:r>
      <w:r w:rsidRPr="000665B0">
        <w:tab/>
        <w:t>Virginia Payload Tube</w:t>
      </w:r>
    </w:p>
    <w:p w14:paraId="5C027085" w14:textId="77777777" w:rsidR="00402DF6" w:rsidRPr="000665B0" w:rsidRDefault="00402DF6" w:rsidP="00402DF6">
      <w:pPr>
        <w:ind w:left="2880" w:hanging="2880"/>
      </w:pPr>
      <w:r w:rsidRPr="000665B0">
        <w:t>VUP</w:t>
      </w:r>
      <w:r w:rsidRPr="000665B0">
        <w:tab/>
        <w:t>Vertical Update Point</w:t>
      </w:r>
    </w:p>
    <w:p w14:paraId="64A38EEF" w14:textId="77777777" w:rsidR="00402DF6" w:rsidRPr="000665B0" w:rsidRDefault="00402DF6" w:rsidP="00402DF6">
      <w:pPr>
        <w:ind w:left="2880" w:hanging="2880"/>
      </w:pPr>
      <w:r w:rsidRPr="000665B0">
        <w:t>WCS</w:t>
      </w:r>
      <w:r w:rsidRPr="000665B0">
        <w:tab/>
        <w:t>Weapon Control System</w:t>
      </w:r>
    </w:p>
    <w:p w14:paraId="0F22268F" w14:textId="07A9B8E9" w:rsidR="00F4152E" w:rsidRPr="000665B0" w:rsidRDefault="00F4152E" w:rsidP="00402DF6">
      <w:pPr>
        <w:ind w:left="2880" w:hanging="2880"/>
      </w:pPr>
      <w:r w:rsidRPr="000665B0">
        <w:t>WDCEP</w:t>
      </w:r>
      <w:r w:rsidRPr="000665B0">
        <w:tab/>
        <w:t>Weapon Delivery Circular Error Probable</w:t>
      </w:r>
    </w:p>
    <w:p w14:paraId="71AF40E3" w14:textId="2C2E041B" w:rsidR="00651D01" w:rsidRPr="000665B0" w:rsidRDefault="00651D01" w:rsidP="00402DF6">
      <w:pPr>
        <w:ind w:left="2880" w:hanging="2880"/>
      </w:pPr>
      <w:r w:rsidRPr="000665B0">
        <w:t>WGS</w:t>
      </w:r>
      <w:r w:rsidRPr="000665B0">
        <w:tab/>
        <w:t>World Geodetic System</w:t>
      </w:r>
    </w:p>
    <w:p w14:paraId="6B592B0A" w14:textId="77777777" w:rsidR="00402DF6" w:rsidRPr="000665B0" w:rsidRDefault="00402DF6" w:rsidP="00402DF6">
      <w:pPr>
        <w:ind w:left="2880" w:hanging="2880"/>
      </w:pPr>
      <w:r w:rsidRPr="000665B0">
        <w:t>WPC</w:t>
      </w:r>
      <w:r w:rsidRPr="000665B0">
        <w:tab/>
        <w:t>Washington Planning Center</w:t>
      </w:r>
    </w:p>
    <w:p w14:paraId="62016BA7" w14:textId="77777777" w:rsidR="007564D4" w:rsidRPr="000665B0" w:rsidRDefault="007564D4" w:rsidP="00402DF6">
      <w:pPr>
        <w:ind w:left="2880" w:hanging="2880"/>
      </w:pPr>
      <w:r w:rsidRPr="000665B0">
        <w:t>WRN</w:t>
      </w:r>
      <w:r w:rsidRPr="000665B0">
        <w:tab/>
        <w:t>Threat Warning</w:t>
      </w:r>
    </w:p>
    <w:p w14:paraId="1EE5C12E" w14:textId="068972B0" w:rsidR="00506C50" w:rsidRPr="000665B0" w:rsidRDefault="00506C50" w:rsidP="00402DF6">
      <w:pPr>
        <w:ind w:left="2880" w:hanging="2880"/>
      </w:pPr>
      <w:r w:rsidRPr="000665B0">
        <w:t>WS</w:t>
      </w:r>
      <w:r w:rsidRPr="000665B0">
        <w:tab/>
        <w:t>Web Services</w:t>
      </w:r>
    </w:p>
    <w:p w14:paraId="56D51219" w14:textId="6F30C512" w:rsidR="00402DF6" w:rsidRPr="000665B0" w:rsidRDefault="00402DF6" w:rsidP="00402DF6">
      <w:pPr>
        <w:ind w:left="2880" w:hanging="2880"/>
      </w:pPr>
      <w:r w:rsidRPr="000665B0">
        <w:t>WVS</w:t>
      </w:r>
      <w:r w:rsidRPr="000665B0">
        <w:tab/>
        <w:t>World Vector Shoreline</w:t>
      </w:r>
    </w:p>
    <w:p w14:paraId="47241F79" w14:textId="77777777" w:rsidR="00402DF6" w:rsidRPr="000665B0" w:rsidRDefault="00402DF6" w:rsidP="00402DF6">
      <w:pPr>
        <w:ind w:left="2880" w:hanging="2880"/>
      </w:pPr>
      <w:r w:rsidRPr="000665B0">
        <w:t>XML</w:t>
      </w:r>
      <w:r w:rsidRPr="000665B0">
        <w:tab/>
        <w:t>Extensible Markup Language</w:t>
      </w:r>
    </w:p>
    <w:p w14:paraId="4FD84F5B" w14:textId="77777777" w:rsidR="00BE2CC2" w:rsidRPr="000665B0" w:rsidRDefault="00BE2CC2" w:rsidP="00402DF6">
      <w:pPr>
        <w:ind w:left="2880" w:hanging="2880"/>
      </w:pPr>
      <w:r w:rsidRPr="000665B0">
        <w:t>XPL</w:t>
      </w:r>
      <w:r w:rsidRPr="000665B0">
        <w:tab/>
        <w:t>Extended Platform List</w:t>
      </w:r>
    </w:p>
    <w:p w14:paraId="38692D33" w14:textId="77777777" w:rsidR="009251DD" w:rsidRPr="000665B0" w:rsidRDefault="009251DD" w:rsidP="00402DF6">
      <w:pPr>
        <w:ind w:left="2880" w:hanging="2880"/>
      </w:pPr>
      <w:r w:rsidRPr="000665B0">
        <w:t>ZWJ</w:t>
      </w:r>
      <w:r w:rsidRPr="000665B0">
        <w:tab/>
        <w:t>Zero Width Joiner</w:t>
      </w:r>
    </w:p>
    <w:p w14:paraId="23FCBC1D" w14:textId="77777777" w:rsidR="00A316EA" w:rsidRDefault="009251DD" w:rsidP="00402DF6">
      <w:pPr>
        <w:ind w:left="2880" w:hanging="2880"/>
      </w:pPr>
      <w:r w:rsidRPr="000665B0">
        <w:t>ZWNJ</w:t>
      </w:r>
      <w:r w:rsidRPr="000665B0">
        <w:tab/>
        <w:t>Zero Width Non-Joiner</w:t>
      </w:r>
      <w:r w:rsidR="00A316EA">
        <w:br w:type="page"/>
      </w:r>
    </w:p>
    <w:p w14:paraId="1BDCD7C5" w14:textId="63E0CA0B" w:rsidR="005D1A26" w:rsidRPr="000665B0" w:rsidRDefault="00C61E01" w:rsidP="003604C5">
      <w:pPr>
        <w:pStyle w:val="Appendix"/>
      </w:pPr>
      <w:bookmarkStart w:id="7332" w:name="_Appendix_B_GLOSSARY_1"/>
      <w:bookmarkStart w:id="7333" w:name="Appendix_B"/>
      <w:bookmarkStart w:id="7334" w:name="_Toc96170371"/>
      <w:bookmarkStart w:id="7335" w:name="_Toc96234416"/>
      <w:bookmarkStart w:id="7336" w:name="_Toc112733872"/>
      <w:bookmarkStart w:id="7337" w:name="_Toc289329080"/>
      <w:bookmarkStart w:id="7338" w:name="_Toc312332189"/>
      <w:bookmarkEnd w:id="7329"/>
      <w:bookmarkEnd w:id="7332"/>
      <w:bookmarkEnd w:id="7333"/>
      <w:r>
        <w:lastRenderedPageBreak/>
        <w:br/>
      </w:r>
      <w:bookmarkStart w:id="7339" w:name="_Toc214283675"/>
      <w:r w:rsidR="009319FE" w:rsidRPr="000665B0">
        <w:t>GLOSSARY</w:t>
      </w:r>
      <w:bookmarkEnd w:id="7334"/>
      <w:bookmarkEnd w:id="7335"/>
      <w:bookmarkEnd w:id="7336"/>
      <w:bookmarkEnd w:id="7337"/>
      <w:bookmarkEnd w:id="7338"/>
      <w:bookmarkEnd w:id="7339"/>
    </w:p>
    <w:p w14:paraId="024E5C5D" w14:textId="77777777" w:rsidR="00392127" w:rsidRPr="000665B0" w:rsidRDefault="00392127" w:rsidP="00392127">
      <w:pPr>
        <w:rPr>
          <w:b/>
          <w:bCs/>
        </w:rPr>
      </w:pPr>
      <w:bookmarkStart w:id="7340" w:name="_Appendix_C__Country_Codes__(SORTED_"/>
      <w:bookmarkEnd w:id="7340"/>
      <w:r w:rsidRPr="000665B0">
        <w:rPr>
          <w:b/>
          <w:bCs/>
        </w:rPr>
        <w:t>Aimpoint Description</w:t>
      </w:r>
      <w:r w:rsidRPr="000665B0">
        <w:t xml:space="preserve"> – This area generally provides specific information regarding the aimpoint and is free form text. For TLAM-C missions, there will be an Aimpoint Description for each aimpoint and/or recovery point. For TLAM-D missions, there can be multiple aimpoints per installation/facility for each Target Segment. For </w:t>
      </w:r>
      <w:r w:rsidR="00B376A1" w:rsidRPr="000665B0">
        <w:t>109E</w:t>
      </w:r>
      <w:r w:rsidRPr="000665B0">
        <w:t xml:space="preserve"> missions, there will be an Aimpoint Description for each aimpoint and/or recovery point in the mission. There may be a maximum of 16 aimpoints in a </w:t>
      </w:r>
      <w:r w:rsidR="00B376A1" w:rsidRPr="000665B0">
        <w:t>109E</w:t>
      </w:r>
      <w:r w:rsidRPr="000665B0">
        <w:t xml:space="preserve"> mission.</w:t>
      </w:r>
    </w:p>
    <w:p w14:paraId="133A0D51" w14:textId="77777777" w:rsidR="00392127" w:rsidRPr="000665B0" w:rsidRDefault="00392127" w:rsidP="00392127">
      <w:r w:rsidRPr="000665B0">
        <w:rPr>
          <w:b/>
          <w:bCs/>
        </w:rPr>
        <w:t>Alternate Aimpoint</w:t>
      </w:r>
      <w:r w:rsidRPr="000665B0">
        <w:t xml:space="preserve"> – A command that may be planned into a Tomahawk mission as a measure to lower the risk of collateral damage if the accuracy of the missile’s navigational solution is below the level of confidence required for the mission. </w:t>
      </w:r>
    </w:p>
    <w:p w14:paraId="351D9261" w14:textId="77777777" w:rsidR="00392127" w:rsidRDefault="00392127" w:rsidP="00392127">
      <w:r w:rsidRPr="000665B0">
        <w:rPr>
          <w:b/>
          <w:bCs/>
        </w:rPr>
        <w:t>Battle Damage Assessment (BDA) EEI Report</w:t>
      </w:r>
      <w:r w:rsidRPr="000665B0">
        <w:t xml:space="preserve"> – Identifies the elements to include in the exploitation report, if the mission is used.</w:t>
      </w:r>
    </w:p>
    <w:p w14:paraId="5CDEBE7F" w14:textId="75A28F6B" w:rsidR="0038181F" w:rsidRPr="000665B0" w:rsidRDefault="0038181F" w:rsidP="00392127">
      <w:r w:rsidRPr="00C36B36">
        <w:rPr>
          <w:b/>
          <w:bCs/>
        </w:rPr>
        <w:t>BDA Input Report</w:t>
      </w:r>
      <w:r>
        <w:t xml:space="preserve"> – Identifies and describes the statuses of all engaging missiles toward a specified target from the selected TLAM Strike Package(s). Does not include any backup missiles that have not launched or missiles without assigned tasking.</w:t>
      </w:r>
    </w:p>
    <w:p w14:paraId="4A855553" w14:textId="77777777" w:rsidR="00392127" w:rsidRPr="000665B0" w:rsidRDefault="00392127" w:rsidP="00392127">
      <w:r w:rsidRPr="000665B0">
        <w:rPr>
          <w:b/>
          <w:bCs/>
        </w:rPr>
        <w:t>BDA Sensor Requirements</w:t>
      </w:r>
      <w:r w:rsidRPr="000665B0">
        <w:t xml:space="preserve"> – Used to identify the desired sensors and collection parameters to support BDA, if the mission is selected.</w:t>
      </w:r>
    </w:p>
    <w:p w14:paraId="782732EE" w14:textId="77777777" w:rsidR="00392127" w:rsidRPr="000665B0" w:rsidRDefault="00392127" w:rsidP="00392127">
      <w:r w:rsidRPr="000665B0">
        <w:rPr>
          <w:b/>
          <w:bCs/>
        </w:rPr>
        <w:t>BDA Visible Damage</w:t>
      </w:r>
      <w:r w:rsidRPr="000665B0">
        <w:t xml:space="preserve"> – Identifies the expected visible clues that will indicate a successful single missile arrival.</w:t>
      </w:r>
    </w:p>
    <w:p w14:paraId="12D9D63D" w14:textId="77777777" w:rsidR="00392127" w:rsidRPr="000665B0" w:rsidRDefault="00392127" w:rsidP="00392127">
      <w:r w:rsidRPr="000665B0">
        <w:rPr>
          <w:b/>
        </w:rPr>
        <w:t>Ceiling greater than</w:t>
      </w:r>
      <w:r w:rsidRPr="000665B0">
        <w:t xml:space="preserve"> – Minimum feet above ground level that the missile should fly.</w:t>
      </w:r>
    </w:p>
    <w:p w14:paraId="7D7AB80D" w14:textId="77777777" w:rsidR="00392127" w:rsidRPr="000665B0" w:rsidRDefault="00392127" w:rsidP="00392127">
      <w:r w:rsidRPr="000665B0">
        <w:rPr>
          <w:b/>
          <w:bCs/>
        </w:rPr>
        <w:t>Collateral Damage Considerations</w:t>
      </w:r>
      <w:r w:rsidRPr="000665B0">
        <w:t xml:space="preserve"> – Provides guidance considerations with respect to the risk of collateral damage.</w:t>
      </w:r>
    </w:p>
    <w:p w14:paraId="67F3C72D" w14:textId="77777777" w:rsidR="00392127" w:rsidRPr="000665B0" w:rsidRDefault="00392127" w:rsidP="00392127">
      <w:pPr>
        <w:rPr>
          <w:b/>
        </w:rPr>
      </w:pPr>
      <w:r w:rsidRPr="000665B0">
        <w:rPr>
          <w:b/>
        </w:rPr>
        <w:t xml:space="preserve">Composite DSMAC Requirements </w:t>
      </w:r>
      <w:r w:rsidRPr="000665B0">
        <w:t>– This data provides the environmental conditions during which the DSMAC is at its most accurate visibility and apply to the TLAM-C and TLAM-D missions only.</w:t>
      </w:r>
    </w:p>
    <w:p w14:paraId="0E2CFE50" w14:textId="769F1BC7" w:rsidR="00392127" w:rsidRPr="000665B0" w:rsidRDefault="00392127" w:rsidP="00392127">
      <w:pPr>
        <w:rPr>
          <w:b/>
          <w:bCs/>
        </w:rPr>
      </w:pPr>
      <w:r w:rsidRPr="000665B0">
        <w:rPr>
          <w:b/>
          <w:bCs/>
        </w:rPr>
        <w:t>Countries OVFLN</w:t>
      </w:r>
      <w:r w:rsidR="00F303DA" w:rsidRPr="000665B0">
        <w:rPr>
          <w:b/>
          <w:bCs/>
        </w:rPr>
        <w:t xml:space="preserve"> </w:t>
      </w:r>
      <w:r w:rsidRPr="000665B0">
        <w:t xml:space="preserve">– This field applies to all TLAM variants and provides information regarding which countries the missile flies over. </w:t>
      </w:r>
      <w:r w:rsidR="00E16DAF" w:rsidRPr="000665B0">
        <w:t xml:space="preserve">For information about the selection and display of Country Codes and country names during system operation, see </w:t>
      </w:r>
      <w:hyperlink w:anchor="_Appendix_C__Country_Codes__(SORTED__1" w:history="1">
        <w:r w:rsidR="00E16DAF" w:rsidRPr="000665B0">
          <w:rPr>
            <w:rStyle w:val="Hyperlink"/>
          </w:rPr>
          <w:t>Appendix C</w:t>
        </w:r>
      </w:hyperlink>
      <w:r w:rsidR="00E16DAF" w:rsidRPr="000665B0">
        <w:t>.</w:t>
      </w:r>
      <w:r w:rsidR="00E16DAF" w:rsidRPr="000665B0" w:rsidDel="008E4635">
        <w:t xml:space="preserve"> </w:t>
      </w:r>
    </w:p>
    <w:p w14:paraId="6F250B4A" w14:textId="77777777" w:rsidR="00392127" w:rsidRPr="000665B0" w:rsidRDefault="00392127" w:rsidP="00392127">
      <w:r w:rsidRPr="000665B0">
        <w:rPr>
          <w:b/>
          <w:bCs/>
        </w:rPr>
        <w:t>Damage Objective</w:t>
      </w:r>
      <w:r w:rsidRPr="000665B0">
        <w:t xml:space="preserve"> – Used to describe the specific objective to be met by striking an aimpoint.</w:t>
      </w:r>
    </w:p>
    <w:p w14:paraId="7B2F19FA" w14:textId="3F5030C0" w:rsidR="00392127" w:rsidRPr="000665B0" w:rsidRDefault="00392127" w:rsidP="00392127">
      <w:pPr>
        <w:rPr>
          <w:b/>
        </w:rPr>
      </w:pPr>
      <w:r w:rsidRPr="000665B0">
        <w:rPr>
          <w:b/>
        </w:rPr>
        <w:t>Day Overflight Window Opens</w:t>
      </w:r>
      <w:r w:rsidRPr="000665B0">
        <w:t xml:space="preserve"> – The earliest time, in hours, after sunrise (in </w:t>
      </w:r>
      <w:r w:rsidR="00274DFF" w:rsidRPr="000665B0">
        <w:t>half-</w:t>
      </w:r>
      <w:r w:rsidRPr="000665B0">
        <w:t>hour increments) when a missile must pass the first DSMAC map in a Day use only or Day/Night Use mission. For Day/Night Use missions, the permissible window opens again at sunset at the first DSMAC map.</w:t>
      </w:r>
    </w:p>
    <w:p w14:paraId="59049503" w14:textId="026B04BA" w:rsidR="00392127" w:rsidRPr="000665B0" w:rsidRDefault="00392127" w:rsidP="00737C73">
      <w:pPr>
        <w:pageBreakBefore/>
        <w:rPr>
          <w:b/>
        </w:rPr>
      </w:pPr>
      <w:r w:rsidRPr="000665B0">
        <w:rPr>
          <w:b/>
        </w:rPr>
        <w:lastRenderedPageBreak/>
        <w:t>Day Overflight Window Closes</w:t>
      </w:r>
      <w:r w:rsidRPr="000665B0">
        <w:t xml:space="preserve"> – The latest time, in hours before sunset (in </w:t>
      </w:r>
      <w:r w:rsidR="00274DFF" w:rsidRPr="000665B0">
        <w:t>half-</w:t>
      </w:r>
      <w:r w:rsidRPr="000665B0">
        <w:t>hour increments) when a missile must pass the last DSMAC map in a Day use Only or Day/Night Use mission. For Day/Night Use missions, the permissible window opens again at sunset at the first DSMAC map.</w:t>
      </w:r>
    </w:p>
    <w:p w14:paraId="1FD58469" w14:textId="77777777" w:rsidR="00392127" w:rsidRPr="000665B0" w:rsidRDefault="00392127" w:rsidP="00392127">
      <w:r w:rsidRPr="000665B0">
        <w:rPr>
          <w:b/>
          <w:bCs/>
        </w:rPr>
        <w:t>Day Type</w:t>
      </w:r>
      <w:r w:rsidRPr="000665B0">
        <w:t xml:space="preserve"> – The type of conditions for which a Tomahawk mission was planned, primarily in terms of air temperature.</w:t>
      </w:r>
    </w:p>
    <w:p w14:paraId="5D456E55" w14:textId="77777777" w:rsidR="00392127" w:rsidRPr="000665B0" w:rsidRDefault="00392127" w:rsidP="00392127">
      <w:r w:rsidRPr="000665B0">
        <w:rPr>
          <w:b/>
          <w:bCs/>
        </w:rPr>
        <w:t>Divert Route</w:t>
      </w:r>
      <w:r w:rsidRPr="000665B0">
        <w:t xml:space="preserve"> – A command that may be incorporated into a Tomahawk mission plan as a means to lower the risk of collateral damage if the accuracy of the missile’s navigational solution falls below the level of confidence required for the mission.</w:t>
      </w:r>
    </w:p>
    <w:p w14:paraId="4BA6A9F1" w14:textId="77777777" w:rsidR="00392127" w:rsidRPr="000665B0" w:rsidRDefault="00392127" w:rsidP="00392127">
      <w:r w:rsidRPr="000665B0">
        <w:rPr>
          <w:b/>
          <w:bCs/>
        </w:rPr>
        <w:t>DSMAC Scene</w:t>
      </w:r>
      <w:r w:rsidRPr="000665B0">
        <w:t xml:space="preserve"> – The geographic area selected by the mission planner for generation of a DSMAC reference map to support navigational update by the missile.</w:t>
      </w:r>
    </w:p>
    <w:p w14:paraId="53D24E14" w14:textId="77777777" w:rsidR="00392127" w:rsidRPr="000665B0" w:rsidRDefault="00392127" w:rsidP="00392127">
      <w:r w:rsidRPr="000665B0">
        <w:rPr>
          <w:b/>
          <w:bCs/>
        </w:rPr>
        <w:t>Engagement Planning</w:t>
      </w:r>
      <w:r w:rsidRPr="000665B0">
        <w:t xml:space="preserve"> – The process and procedures performed by the FRU to build the overwater portion of a TLAM mission from the launch position to the FPPWP. Decisions for each plan include the time and direction of launch, launch position, altitude commands, waypoint employment, and quantity of ordnance.</w:t>
      </w:r>
    </w:p>
    <w:p w14:paraId="460A32B3" w14:textId="77777777" w:rsidR="00392127" w:rsidRPr="000665B0" w:rsidRDefault="00392127" w:rsidP="00392127">
      <w:pPr>
        <w:rPr>
          <w:b/>
        </w:rPr>
      </w:pPr>
      <w:r w:rsidRPr="000665B0">
        <w:rPr>
          <w:b/>
        </w:rPr>
        <w:t>Execution Strategy</w:t>
      </w:r>
      <w:r w:rsidRPr="000665B0">
        <w:t xml:space="preserve"> – This field describes the tasking commander’s execution plans.</w:t>
      </w:r>
    </w:p>
    <w:p w14:paraId="1047EA47" w14:textId="77777777" w:rsidR="00392127" w:rsidRPr="000665B0" w:rsidRDefault="00392127" w:rsidP="00392127">
      <w:pPr>
        <w:rPr>
          <w:b/>
          <w:bCs/>
        </w:rPr>
      </w:pPr>
      <w:r w:rsidRPr="000665B0">
        <w:rPr>
          <w:b/>
          <w:bCs/>
        </w:rPr>
        <w:t xml:space="preserve">Foreshore </w:t>
      </w:r>
      <w:r w:rsidR="00ED6646" w:rsidRPr="000665B0">
        <w:t>–</w:t>
      </w:r>
      <w:r w:rsidRPr="000665B0">
        <w:rPr>
          <w:b/>
          <w:bCs/>
        </w:rPr>
        <w:t xml:space="preserve"> </w:t>
      </w:r>
      <w:r w:rsidRPr="000665B0">
        <w:t xml:space="preserve">The portion of a </w:t>
      </w:r>
      <w:r w:rsidRPr="000665B0">
        <w:rPr>
          <w:iCs/>
        </w:rPr>
        <w:t>beach</w:t>
      </w:r>
      <w:r w:rsidRPr="000665B0">
        <w:rPr>
          <w:i/>
          <w:iCs/>
        </w:rPr>
        <w:t xml:space="preserve"> </w:t>
      </w:r>
      <w:r w:rsidRPr="000665B0">
        <w:t>that lies nearest to the sea, extending from the low-tide line to the high-tide line.</w:t>
      </w:r>
    </w:p>
    <w:p w14:paraId="31F352D3" w14:textId="77777777" w:rsidR="00392127" w:rsidRPr="000665B0" w:rsidRDefault="00392127" w:rsidP="00392127">
      <w:r w:rsidRPr="000665B0">
        <w:rPr>
          <w:b/>
          <w:bCs/>
        </w:rPr>
        <w:t>Forward Pass</w:t>
      </w:r>
      <w:r w:rsidRPr="000665B0">
        <w:t xml:space="preserve"> – The use of MDS nodes other than CMSAs to transmit CMSA mission data to firing units and MDS sites via MDU.</w:t>
      </w:r>
    </w:p>
    <w:p w14:paraId="5EBD48DC" w14:textId="77777777" w:rsidR="00392127" w:rsidRPr="000665B0" w:rsidRDefault="00392127" w:rsidP="00392127">
      <w:pPr>
        <w:rPr>
          <w:b/>
        </w:rPr>
      </w:pPr>
      <w:r w:rsidRPr="000665B0">
        <w:rPr>
          <w:b/>
        </w:rPr>
        <w:t xml:space="preserve">Fuze Setting – </w:t>
      </w:r>
      <w:r w:rsidRPr="000665B0">
        <w:t>Identifies the fuze setting that was planned for the mission. Fuze setting entries are either Short, Medium, or Long. The default settings are Long for Horizontal Attack Maneuver (</w:t>
      </w:r>
      <w:r w:rsidRPr="000665B0">
        <w:rPr>
          <w:b/>
        </w:rPr>
        <w:t>HAM</w:t>
      </w:r>
      <w:r w:rsidRPr="000665B0">
        <w:t>) and a Variable Dive Maneuver (</w:t>
      </w:r>
      <w:r w:rsidRPr="000665B0">
        <w:rPr>
          <w:b/>
        </w:rPr>
        <w:t>VDM</w:t>
      </w:r>
      <w:r w:rsidRPr="000665B0">
        <w:t>), and Medium for a Programmable Warhead Detonation (</w:t>
      </w:r>
      <w:r w:rsidRPr="000665B0">
        <w:rPr>
          <w:b/>
        </w:rPr>
        <w:t>PWD</w:t>
      </w:r>
      <w:r w:rsidRPr="000665B0">
        <w:t>).</w:t>
      </w:r>
      <w:r w:rsidRPr="000665B0">
        <w:rPr>
          <w:b/>
        </w:rPr>
        <w:t xml:space="preserve"> </w:t>
      </w:r>
    </w:p>
    <w:p w14:paraId="1EA10274" w14:textId="77777777" w:rsidR="00E6012E" w:rsidRPr="000665B0" w:rsidRDefault="00E6012E" w:rsidP="00392127">
      <w:r w:rsidRPr="000665B0">
        <w:rPr>
          <w:b/>
        </w:rPr>
        <w:t xml:space="preserve">Generic File – </w:t>
      </w:r>
      <w:r w:rsidRPr="000665B0">
        <w:t>A file of no specific type that can be sent and received via a DDO. A copy of the generic file is loaded from the sender’s file system and upon receipt\processing of the DDO, the copy of the generic file is saved onto the recipient’s file system.</w:t>
      </w:r>
    </w:p>
    <w:p w14:paraId="21E7F083" w14:textId="77777777" w:rsidR="00392127" w:rsidRPr="000665B0" w:rsidRDefault="00392127" w:rsidP="00392127">
      <w:r w:rsidRPr="000665B0">
        <w:rPr>
          <w:b/>
          <w:bCs/>
        </w:rPr>
        <w:t>GPS Almanac Data</w:t>
      </w:r>
      <w:r w:rsidRPr="000665B0">
        <w:t xml:space="preserve"> – Information on the location of GPS satellites to aid acquisition of satellite signals. It is provided by the launch platform FCS to the Block III TLAM.</w:t>
      </w:r>
    </w:p>
    <w:p w14:paraId="5A02994C" w14:textId="77777777" w:rsidR="00DC007B" w:rsidRPr="000665B0" w:rsidRDefault="00DC007B" w:rsidP="00392127">
      <w:r w:rsidRPr="000665B0">
        <w:rPr>
          <w:b/>
          <w:bCs/>
        </w:rPr>
        <w:t xml:space="preserve">GUARD – </w:t>
      </w:r>
      <w:r w:rsidRPr="000665B0">
        <w:t>Software that screens for sensitive material prior to transmission from higher classified machine to lower.</w:t>
      </w:r>
    </w:p>
    <w:p w14:paraId="30BFCBEE" w14:textId="77777777" w:rsidR="00392127" w:rsidRPr="000665B0" w:rsidRDefault="00392127" w:rsidP="00392127">
      <w:r w:rsidRPr="000665B0">
        <w:rPr>
          <w:b/>
          <w:bCs/>
        </w:rPr>
        <w:t>INDIGO</w:t>
      </w:r>
      <w:r w:rsidRPr="000665B0">
        <w:t xml:space="preserve"> – A message in USMTF format used to order the execution of conventional land attack cruise missile launches.</w:t>
      </w:r>
    </w:p>
    <w:p w14:paraId="48FF42B3" w14:textId="77777777" w:rsidR="00392127" w:rsidRPr="000665B0" w:rsidRDefault="00392127" w:rsidP="00392127">
      <w:r w:rsidRPr="000665B0">
        <w:rPr>
          <w:b/>
          <w:bCs/>
        </w:rPr>
        <w:t>Inertial Altitude</w:t>
      </w:r>
      <w:r w:rsidRPr="000665B0">
        <w:t xml:space="preserve"> – A default altitude programmed into a mission at the planning site in the event the missile’s radar altimeter fails. A TLAM will fly the inertial altitude command using the barometric altimeter.</w:t>
      </w:r>
    </w:p>
    <w:p w14:paraId="03AEB3AF" w14:textId="77777777" w:rsidR="00392127" w:rsidRPr="000665B0" w:rsidRDefault="00392127" w:rsidP="00392127">
      <w:r w:rsidRPr="000665B0">
        <w:rPr>
          <w:b/>
          <w:bCs/>
        </w:rPr>
        <w:t>Inhibit</w:t>
      </w:r>
      <w:r w:rsidRPr="000665B0">
        <w:t xml:space="preserve"> – The automatic prevention of an ordered action, such as assign waypoint, assign mission, and launch, while a condition exists that would cause missile or capsule design limits to be exceeded.</w:t>
      </w:r>
    </w:p>
    <w:p w14:paraId="602FEE34" w14:textId="77777777" w:rsidR="00392127" w:rsidRPr="000665B0" w:rsidRDefault="00392127" w:rsidP="00392127">
      <w:r w:rsidRPr="000665B0">
        <w:rPr>
          <w:b/>
          <w:bCs/>
        </w:rPr>
        <w:lastRenderedPageBreak/>
        <w:t>Installation Significance</w:t>
      </w:r>
      <w:r w:rsidRPr="000665B0">
        <w:t xml:space="preserve"> – Describes the importance of an installation.</w:t>
      </w:r>
    </w:p>
    <w:p w14:paraId="29D2327C" w14:textId="77777777" w:rsidR="00392127" w:rsidRPr="000665B0" w:rsidRDefault="00392127" w:rsidP="00392127">
      <w:pPr>
        <w:rPr>
          <w:b/>
          <w:bCs/>
        </w:rPr>
      </w:pPr>
      <w:r w:rsidRPr="000665B0">
        <w:rPr>
          <w:b/>
          <w:bCs/>
        </w:rPr>
        <w:t>Installation Name</w:t>
      </w:r>
      <w:r w:rsidRPr="000665B0">
        <w:t xml:space="preserve"> – There is one installation per target segment. It is the standard Modernized Integrated Database (</w:t>
      </w:r>
      <w:r w:rsidRPr="000665B0">
        <w:rPr>
          <w:b/>
        </w:rPr>
        <w:t>MIDB</w:t>
      </w:r>
      <w:r w:rsidRPr="000665B0">
        <w:t>) name used for the installations containing the Target Segment.</w:t>
      </w:r>
    </w:p>
    <w:p w14:paraId="7FE7809B" w14:textId="77777777" w:rsidR="00392127" w:rsidRPr="000665B0" w:rsidRDefault="00392127" w:rsidP="00392127">
      <w:r w:rsidRPr="000665B0">
        <w:rPr>
          <w:b/>
          <w:bCs/>
        </w:rPr>
        <w:t>Launcher Type</w:t>
      </w:r>
      <w:r w:rsidRPr="000665B0">
        <w:t xml:space="preserve"> – A mission TCI field that indicates the type of FRU for which a TLAM mission is planned</w:t>
      </w:r>
      <w:r w:rsidR="00ED6646" w:rsidRPr="000665B0">
        <w:t>:</w:t>
      </w:r>
      <w:r w:rsidRPr="000665B0">
        <w:t xml:space="preserve"> SUB (submarine), SURF (surface), or COMMON (both surf and sub). Although SUB and SURF are available options in various locations of MDS, only COMMON missions are developed today.</w:t>
      </w:r>
    </w:p>
    <w:p w14:paraId="6F3DB809" w14:textId="77777777" w:rsidR="00392127" w:rsidRPr="000665B0" w:rsidRDefault="00392127" w:rsidP="00392127">
      <w:r w:rsidRPr="000665B0">
        <w:rPr>
          <w:b/>
          <w:bCs/>
        </w:rPr>
        <w:t>Media Converter</w:t>
      </w:r>
      <w:r w:rsidRPr="000665B0">
        <w:t xml:space="preserve"> – Bridges the gap between various Ethernet types by converting the incoming electrical signal from one cable type and then transmits it over another cable type.</w:t>
      </w:r>
    </w:p>
    <w:p w14:paraId="2DCA29AE" w14:textId="77777777" w:rsidR="00392127" w:rsidRPr="000665B0" w:rsidRDefault="00392127" w:rsidP="00392127">
      <w:pPr>
        <w:rPr>
          <w:b/>
        </w:rPr>
      </w:pPr>
      <w:r w:rsidRPr="000665B0">
        <w:rPr>
          <w:b/>
        </w:rPr>
        <w:t>Minimum Visibility (Day)</w:t>
      </w:r>
      <w:r w:rsidRPr="000665B0">
        <w:t xml:space="preserve"> – For Day use only and Day/Night use Missions, the minimum acceptable ground level daylight visibility, in statute miles, in the DSMAC area for proper DSMAC sensor operation.</w:t>
      </w:r>
    </w:p>
    <w:p w14:paraId="3FADCE27" w14:textId="77777777" w:rsidR="00392127" w:rsidRPr="000665B0" w:rsidRDefault="00392127" w:rsidP="00392127">
      <w:pPr>
        <w:rPr>
          <w:b/>
        </w:rPr>
      </w:pPr>
      <w:r w:rsidRPr="000665B0">
        <w:rPr>
          <w:b/>
        </w:rPr>
        <w:t>Minimum Visibility (Night)</w:t>
      </w:r>
      <w:r w:rsidRPr="000665B0">
        <w:t xml:space="preserve"> – For Night use only and Day/Night use missions, the minimum acceptable ground level night visibility, in statute miles, in the DSMAC area or proper DSMAC sensor operation.</w:t>
      </w:r>
    </w:p>
    <w:p w14:paraId="09CA9520" w14:textId="77777777" w:rsidR="00392127" w:rsidRPr="000665B0" w:rsidRDefault="00392127" w:rsidP="00392127">
      <w:pPr>
        <w:rPr>
          <w:b/>
        </w:rPr>
      </w:pPr>
      <w:r w:rsidRPr="000665B0">
        <w:rPr>
          <w:b/>
        </w:rPr>
        <w:t xml:space="preserve">Missile List – </w:t>
      </w:r>
      <w:r w:rsidRPr="000665B0">
        <w:t>Lists available missiles onboard a platform.</w:t>
      </w:r>
    </w:p>
    <w:p w14:paraId="3BC78FC4" w14:textId="77777777" w:rsidR="00392127" w:rsidRPr="000665B0" w:rsidRDefault="00392127" w:rsidP="00392127">
      <w:r w:rsidRPr="000665B0">
        <w:rPr>
          <w:b/>
          <w:bCs/>
        </w:rPr>
        <w:t>Mission</w:t>
      </w:r>
      <w:r w:rsidRPr="000665B0">
        <w:t xml:space="preserve"> – The data elements that are assembled by the FCS to program a TLAM to attack a specific aimpoint. Mission data includes the aimpoint, warhead fuzing, allowable missile variants/sub-variants, terminal maneuver, navigational information, flight path and in-flight commands, and the launch basket.</w:t>
      </w:r>
    </w:p>
    <w:p w14:paraId="71E3334F" w14:textId="0E54A47E" w:rsidR="00392127" w:rsidRPr="000665B0" w:rsidRDefault="00392127" w:rsidP="00392127">
      <w:r w:rsidRPr="000665B0">
        <w:rPr>
          <w:b/>
          <w:bCs/>
        </w:rPr>
        <w:t>Mission Identification (ID)</w:t>
      </w:r>
      <w:r w:rsidRPr="000665B0">
        <w:t xml:space="preserve"> – </w:t>
      </w:r>
      <w:r w:rsidR="00ED6646" w:rsidRPr="000665B0">
        <w:t>The 11-</w:t>
      </w:r>
      <w:r w:rsidRPr="000665B0">
        <w:t xml:space="preserve">digit number of format </w:t>
      </w:r>
      <w:r w:rsidR="00AB7A58" w:rsidRPr="000665B0">
        <w:t>NNN</w:t>
      </w:r>
      <w:r w:rsidRPr="000665B0">
        <w:t xml:space="preserve"> </w:t>
      </w:r>
      <w:r w:rsidR="007A36BA">
        <w:t xml:space="preserve">nnn </w:t>
      </w:r>
      <w:r w:rsidRPr="000665B0">
        <w:t xml:space="preserve">nnnnn, where </w:t>
      </w:r>
      <w:r w:rsidR="00AB7A58" w:rsidRPr="000665B0">
        <w:t xml:space="preserve">NNN </w:t>
      </w:r>
      <w:r w:rsidRPr="000665B0">
        <w:t>identifies the location code where the mission was planned, and nnn nnnn</w:t>
      </w:r>
      <w:r w:rsidR="00AB7A58" w:rsidRPr="000665B0">
        <w:t>n</w:t>
      </w:r>
      <w:r w:rsidRPr="000665B0">
        <w:t xml:space="preserve"> is the sequential mission number for that planning site. Location codes are classified and are found in the IDS-9.</w:t>
      </w:r>
    </w:p>
    <w:p w14:paraId="34344720" w14:textId="68C1A953" w:rsidR="00392127" w:rsidRPr="000665B0" w:rsidRDefault="00392127" w:rsidP="00392127">
      <w:r w:rsidRPr="000665B0">
        <w:rPr>
          <w:b/>
          <w:bCs/>
        </w:rPr>
        <w:t>Mission ID Number</w:t>
      </w:r>
      <w:r w:rsidRPr="000665B0">
        <w:t xml:space="preserve"> – The 11-digit number specifying a unique mission to an aimpoint. The </w:t>
      </w:r>
      <w:r w:rsidR="003B7091">
        <w:t>M</w:t>
      </w:r>
      <w:r w:rsidRPr="000665B0">
        <w:t>ission ID can be cross-referenced to a Basic Encyclopedia (</w:t>
      </w:r>
      <w:r w:rsidRPr="000665B0">
        <w:rPr>
          <w:b/>
        </w:rPr>
        <w:t>BE</w:t>
      </w:r>
      <w:r w:rsidRPr="000665B0">
        <w:t xml:space="preserve">) number using the MDS. The </w:t>
      </w:r>
      <w:r w:rsidR="003B7091">
        <w:t>M</w:t>
      </w:r>
      <w:r w:rsidRPr="000665B0">
        <w:t xml:space="preserve">ission ID identifies the planning site that prepared the mission and the sequential mission number for that planning site. The INDIGO and LSP messages use the </w:t>
      </w:r>
      <w:r w:rsidR="003B7091">
        <w:t>M</w:t>
      </w:r>
      <w:r w:rsidRPr="000665B0">
        <w:t>ission ID to direct firing units in their strike preparation and execution because BE numbers and aimpoints often have more than one mission prepared against them.</w:t>
      </w:r>
    </w:p>
    <w:p w14:paraId="54995FFB" w14:textId="77777777" w:rsidR="00392127" w:rsidRPr="000665B0" w:rsidRDefault="00392127" w:rsidP="00392127">
      <w:pPr>
        <w:rPr>
          <w:b/>
        </w:rPr>
      </w:pPr>
      <w:r w:rsidRPr="000665B0">
        <w:rPr>
          <w:b/>
        </w:rPr>
        <w:t xml:space="preserve">Mission Library </w:t>
      </w:r>
      <w:r w:rsidRPr="000665B0">
        <w:t>– A subset of all the missions, created upon common criteria as necessary for a given operation.</w:t>
      </w:r>
    </w:p>
    <w:p w14:paraId="1B03F35B" w14:textId="77777777" w:rsidR="00392127" w:rsidRPr="000665B0" w:rsidRDefault="00392127" w:rsidP="00392127">
      <w:r w:rsidRPr="000665B0">
        <w:rPr>
          <w:b/>
          <w:bCs/>
        </w:rPr>
        <w:t>Mission Name</w:t>
      </w:r>
      <w:r w:rsidRPr="000665B0">
        <w:t xml:space="preserve"> – A 28-digit, A/N identification for a Tomahawk mission. The mission name contains the issuing command, launch platform type, launch area, installation BE and aimpoint or target segment, target country code, terminal maneuver, missile characteristics, day/night capability, snow tolerance, and planning version.</w:t>
      </w:r>
    </w:p>
    <w:p w14:paraId="019BB55E" w14:textId="77777777" w:rsidR="00265956" w:rsidRPr="000665B0" w:rsidRDefault="00265956" w:rsidP="00265956">
      <w:r w:rsidRPr="000665B0">
        <w:rPr>
          <w:b/>
          <w:bCs/>
        </w:rPr>
        <w:t>N</w:t>
      </w:r>
      <w:r w:rsidRPr="000665B0">
        <w:t xml:space="preserve"> – An indicator to identify if the mission is for a Point or an Area target. This flag has to be set to U in order for the Desired PD fields to be updated with the correct number of missiles.</w:t>
      </w:r>
    </w:p>
    <w:p w14:paraId="4D897951" w14:textId="77777777" w:rsidR="00392127" w:rsidRPr="000665B0" w:rsidRDefault="00392127" w:rsidP="00392127">
      <w:r w:rsidRPr="000665B0">
        <w:rPr>
          <w:b/>
          <w:bCs/>
        </w:rPr>
        <w:t>Operational Factors</w:t>
      </w:r>
      <w:r w:rsidRPr="000665B0">
        <w:t xml:space="preserve"> – A field in the mission information display on MDS that provides narrative notes describing important considerations in the use of the mission. Entries include estimates of probability of update, possible collateral damage to the target area, specific missile </w:t>
      </w:r>
      <w:r w:rsidRPr="000665B0">
        <w:lastRenderedPageBreak/>
        <w:t>characteristics required for the mission, and expected results of the mission. This data provides for notes on considerations affecting the use of a particular mission, such as an objective. Standard items include statements regarding the overall mission objective, a definition of success criteria, or identification of special mission requirements not covered by Missile Mission Matching (</w:t>
      </w:r>
      <w:r w:rsidR="00321179" w:rsidRPr="000665B0">
        <w:rPr>
          <w:b/>
        </w:rPr>
        <w:t>M3</w:t>
      </w:r>
      <w:r w:rsidRPr="000665B0">
        <w:rPr>
          <w:szCs w:val="24"/>
        </w:rPr>
        <w:t>)</w:t>
      </w:r>
      <w:r w:rsidRPr="000665B0">
        <w:t>. This field applies to all TLAM variants.</w:t>
      </w:r>
    </w:p>
    <w:p w14:paraId="2DFFEBAC" w14:textId="77777777" w:rsidR="00392127" w:rsidRPr="000665B0" w:rsidRDefault="00392127" w:rsidP="00392127">
      <w:r w:rsidRPr="000665B0">
        <w:rPr>
          <w:b/>
          <w:bCs/>
        </w:rPr>
        <w:t>OPLAN/Tasking</w:t>
      </w:r>
      <w:r w:rsidRPr="000665B0">
        <w:t xml:space="preserve"> – This data provides the source of the request for the mission and applies to all TLAM variants.</w:t>
      </w:r>
    </w:p>
    <w:p w14:paraId="4E010338" w14:textId="77777777" w:rsidR="00F91862" w:rsidRPr="000665B0" w:rsidRDefault="00F91862" w:rsidP="00321179">
      <w:pPr>
        <w:rPr>
          <w:b/>
          <w:bCs/>
        </w:rPr>
      </w:pPr>
      <w:r w:rsidRPr="000665B0">
        <w:rPr>
          <w:b/>
          <w:bCs/>
        </w:rPr>
        <w:t>OSuffix</w:t>
      </w:r>
      <w:r w:rsidRPr="000665B0">
        <w:rPr>
          <w:bCs/>
        </w:rPr>
        <w:t xml:space="preserve"> – </w:t>
      </w:r>
      <w:r w:rsidRPr="000665B0">
        <w:t>Five-character suffix which in conjunction with a BE, uniquely identifies a facility or demographic area.</w:t>
      </w:r>
    </w:p>
    <w:p w14:paraId="17E55E1A" w14:textId="77777777" w:rsidR="00321179" w:rsidRPr="000665B0" w:rsidRDefault="004B5D1D" w:rsidP="00321179">
      <w:pPr>
        <w:rPr>
          <w:color w:val="1F497D"/>
        </w:rPr>
      </w:pPr>
      <w:r w:rsidRPr="000665B0">
        <w:rPr>
          <w:b/>
          <w:bCs/>
        </w:rPr>
        <w:t xml:space="preserve">Preplanned Loiter Tactic – </w:t>
      </w:r>
      <w:r w:rsidR="00321179" w:rsidRPr="000665B0">
        <w:t>A Baseline IV strike planning tactic consisting of a sequence of route data located in a defined three-dimensional loiter volume and having an eventual route to a specific preplanned target. The loiter tactic is designed to keep an area or one or more targets at risk for a designated amount of time and may contain multiple flex branch points to multiple targets (in the sense of Multiple Outcome Missions [MOM]). The loiter tactic may or may not make use of the entire loiter area. It may be a repeating route pattern (with respect to the pattern shape), it may be a geographically fixed pattern, or it may be a roaming pattern.</w:t>
      </w:r>
    </w:p>
    <w:p w14:paraId="5557CE5B" w14:textId="77777777" w:rsidR="00392127" w:rsidRPr="000665B0" w:rsidRDefault="00392127" w:rsidP="00392127">
      <w:pPr>
        <w:rPr>
          <w:b/>
          <w:bCs/>
        </w:rPr>
      </w:pPr>
      <w:r w:rsidRPr="000665B0">
        <w:rPr>
          <w:b/>
          <w:bCs/>
        </w:rPr>
        <w:t xml:space="preserve">Single Shot Probability of Damage (SSPD) </w:t>
      </w:r>
      <w:r w:rsidRPr="000665B0">
        <w:t>– This is associated with a weapon target flag of Unitary (U).</w:t>
      </w:r>
    </w:p>
    <w:p w14:paraId="24945AC4" w14:textId="77777777" w:rsidR="00392127" w:rsidRPr="000665B0" w:rsidRDefault="00392127" w:rsidP="00392127">
      <w:pPr>
        <w:rPr>
          <w:b/>
          <w:bCs/>
        </w:rPr>
      </w:pPr>
      <w:r w:rsidRPr="000665B0">
        <w:rPr>
          <w:b/>
          <w:bCs/>
        </w:rPr>
        <w:t>Single Shot of Fractional Damage (SSFD)</w:t>
      </w:r>
      <w:r w:rsidRPr="000665B0">
        <w:t xml:space="preserve"> – For area targets, a probabilistic estimate of the fraction of the target that will be damaged by a single TLAM-C.</w:t>
      </w:r>
    </w:p>
    <w:p w14:paraId="6A6AE5A5" w14:textId="77777777" w:rsidR="00392127" w:rsidRPr="000665B0" w:rsidRDefault="00392127" w:rsidP="00392127">
      <w:pPr>
        <w:rPr>
          <w:b/>
        </w:rPr>
      </w:pPr>
      <w:r w:rsidRPr="000665B0">
        <w:rPr>
          <w:b/>
        </w:rPr>
        <w:t>Snow Statement</w:t>
      </w:r>
      <w:r w:rsidRPr="000665B0">
        <w:t xml:space="preserve"> – Identifies the snow conditions that the mission was planned for.</w:t>
      </w:r>
    </w:p>
    <w:p w14:paraId="21F8DFFB" w14:textId="77777777" w:rsidR="00392127" w:rsidRPr="000665B0" w:rsidRDefault="00392127" w:rsidP="00392127">
      <w:pPr>
        <w:rPr>
          <w:b/>
        </w:rPr>
      </w:pPr>
      <w:r w:rsidRPr="000665B0">
        <w:rPr>
          <w:b/>
        </w:rPr>
        <w:t>Special Requirements</w:t>
      </w:r>
      <w:r w:rsidRPr="000665B0">
        <w:t xml:space="preserve"> – Contains information to describe other special environmental circumstances that might influence employment of the mission. Example: To clarify mixed snow conditions. This field applies to all TLAM variants.</w:t>
      </w:r>
    </w:p>
    <w:p w14:paraId="63B56F62" w14:textId="77777777" w:rsidR="00392127" w:rsidRPr="000665B0" w:rsidRDefault="00392127" w:rsidP="00392127">
      <w:pPr>
        <w:rPr>
          <w:b/>
        </w:rPr>
      </w:pPr>
      <w:r w:rsidRPr="000665B0">
        <w:rPr>
          <w:b/>
        </w:rPr>
        <w:t xml:space="preserve">Standing OPTASK </w:t>
      </w:r>
      <w:r w:rsidRPr="000665B0">
        <w:t>– A standing order of operational tasking.</w:t>
      </w:r>
    </w:p>
    <w:p w14:paraId="427EDC37" w14:textId="77777777" w:rsidR="00392127" w:rsidRPr="000665B0" w:rsidRDefault="00392127" w:rsidP="00392127">
      <w:r w:rsidRPr="000665B0">
        <w:rPr>
          <w:b/>
          <w:bCs/>
        </w:rPr>
        <w:t>Strike Coordination Overlay</w:t>
      </w:r>
      <w:r w:rsidRPr="000665B0">
        <w:t xml:space="preserve"> – A graphic message that can be sent over Satellite Communications (</w:t>
      </w:r>
      <w:r w:rsidRPr="000665B0">
        <w:rPr>
          <w:b/>
        </w:rPr>
        <w:t>SATCOM</w:t>
      </w:r>
      <w:r w:rsidRPr="000665B0">
        <w:t xml:space="preserve">) showing a representation of a FRUs engagement plan. The strike coordination overlay shows the PLP, the </w:t>
      </w:r>
      <w:r w:rsidRPr="000665B0">
        <w:rPr>
          <w:szCs w:val="24"/>
        </w:rPr>
        <w:t>preferred launch time</w:t>
      </w:r>
      <w:r w:rsidRPr="000665B0">
        <w:t xml:space="preserve"> for the plan, the overwater waypoints, their arrival times and altitudes, the FPPWP, altitude, and TOA. It also identifies the FRU and the plan number.</w:t>
      </w:r>
    </w:p>
    <w:p w14:paraId="17D30D1D" w14:textId="77777777" w:rsidR="00392127" w:rsidRPr="000665B0" w:rsidRDefault="00392127" w:rsidP="00392127">
      <w:r w:rsidRPr="000665B0">
        <w:rPr>
          <w:b/>
          <w:bCs/>
        </w:rPr>
        <w:t>Strike Package</w:t>
      </w:r>
      <w:r w:rsidRPr="000665B0">
        <w:t xml:space="preserve"> – The generation of a plan for employing one or more strike and support assets against one or more targets. </w:t>
      </w:r>
    </w:p>
    <w:p w14:paraId="16AAD0ED" w14:textId="77777777" w:rsidR="00392127" w:rsidRPr="000665B0" w:rsidRDefault="00392127" w:rsidP="00392127">
      <w:r w:rsidRPr="000665B0">
        <w:rPr>
          <w:b/>
          <w:bCs/>
        </w:rPr>
        <w:t>Strike Planning</w:t>
      </w:r>
      <w:r w:rsidRPr="000665B0">
        <w:t xml:space="preserve"> –Strike planning includes decisions on which weapon systems to employ and coordination of timing, support, and proximity between TLAM with Tactical Aircraft (</w:t>
      </w:r>
      <w:r w:rsidRPr="000665B0">
        <w:rPr>
          <w:b/>
        </w:rPr>
        <w:t>TACAIR</w:t>
      </w:r>
      <w:r w:rsidRPr="000665B0">
        <w:t>).</w:t>
      </w:r>
    </w:p>
    <w:p w14:paraId="321DE133" w14:textId="77777777" w:rsidR="00392127" w:rsidRPr="000665B0" w:rsidRDefault="00392127" w:rsidP="00392127">
      <w:r w:rsidRPr="000665B0">
        <w:rPr>
          <w:b/>
        </w:rPr>
        <w:t>Strike Planning Folder</w:t>
      </w:r>
      <w:r w:rsidRPr="000665B0">
        <w:t xml:space="preserve"> – Contains all potential targets, missions, </w:t>
      </w:r>
      <w:r w:rsidR="001F061E" w:rsidRPr="000665B0">
        <w:t xml:space="preserve">Standalone MDS </w:t>
      </w:r>
      <w:r w:rsidRPr="000665B0">
        <w:t>nodes, and FRUs for a strike.</w:t>
      </w:r>
    </w:p>
    <w:p w14:paraId="3F5537D8" w14:textId="77777777" w:rsidR="00392127" w:rsidRPr="000665B0" w:rsidRDefault="00392127" w:rsidP="00392127">
      <w:pPr>
        <w:rPr>
          <w:b/>
          <w:bCs/>
        </w:rPr>
      </w:pPr>
      <w:r w:rsidRPr="000665B0">
        <w:rPr>
          <w:b/>
          <w:bCs/>
        </w:rPr>
        <w:t>Target Factors</w:t>
      </w:r>
      <w:r w:rsidRPr="000665B0">
        <w:t xml:space="preserve"> – Contains information/notes about the target, such as specific target objects and the expected results of a successful mission. This field applies to all TLAM variants.</w:t>
      </w:r>
    </w:p>
    <w:p w14:paraId="434C3CE6" w14:textId="77777777" w:rsidR="00392127" w:rsidRPr="000665B0" w:rsidRDefault="00392127" w:rsidP="00392127">
      <w:pPr>
        <w:rPr>
          <w:b/>
        </w:rPr>
      </w:pPr>
      <w:r w:rsidRPr="000665B0">
        <w:rPr>
          <w:b/>
        </w:rPr>
        <w:lastRenderedPageBreak/>
        <w:t>Temperature Critical Points</w:t>
      </w:r>
      <w:r w:rsidRPr="000665B0">
        <w:t xml:space="preserve"> – This data provides elevation and temperature data for specific latitudes and longitudes along the mission path. Up to 5 temperature critical points can be modified. This area applies to all TLAM variants.</w:t>
      </w:r>
    </w:p>
    <w:p w14:paraId="5EC91ED1" w14:textId="77777777" w:rsidR="00392127" w:rsidRPr="000665B0" w:rsidRDefault="00392127" w:rsidP="00392127">
      <w:r w:rsidRPr="000665B0">
        <w:rPr>
          <w:b/>
          <w:bCs/>
        </w:rPr>
        <w:t>Unitary Warhead</w:t>
      </w:r>
      <w:r w:rsidRPr="000665B0">
        <w:t xml:space="preserve"> – The conventional warhead delivered by a TLAM-C. A Block III TLAM-C carries a WDU-36B warhead. </w:t>
      </w:r>
    </w:p>
    <w:p w14:paraId="64B01AE7" w14:textId="77777777" w:rsidR="00392127" w:rsidRPr="000665B0" w:rsidRDefault="00392127" w:rsidP="00392127">
      <w:pPr>
        <w:rPr>
          <w:b/>
          <w:color w:val="000000"/>
        </w:rPr>
      </w:pPr>
      <w:r w:rsidRPr="000665B0">
        <w:rPr>
          <w:b/>
        </w:rPr>
        <w:t>Use From:/To:</w:t>
      </w:r>
      <w:r w:rsidRPr="000665B0">
        <w:t xml:space="preserve"> – Identifies the timeframe during the year when a particular mission may be used.</w:t>
      </w:r>
    </w:p>
    <w:p w14:paraId="53050E19" w14:textId="77777777" w:rsidR="00392127" w:rsidRPr="000665B0" w:rsidRDefault="00392127" w:rsidP="00392127">
      <w:r w:rsidRPr="000665B0">
        <w:rPr>
          <w:b/>
          <w:bCs/>
        </w:rPr>
        <w:t xml:space="preserve">Vehicle Name – </w:t>
      </w:r>
      <w:r w:rsidRPr="000665B0">
        <w:t xml:space="preserve">An eight-digit </w:t>
      </w:r>
      <w:r w:rsidR="00ED6646" w:rsidRPr="000665B0">
        <w:t>alphanumeric</w:t>
      </w:r>
      <w:r w:rsidRPr="000665B0">
        <w:t xml:space="preserve"> that defines the warhead, warhead type, and launcher required by the mission.</w:t>
      </w:r>
    </w:p>
    <w:p w14:paraId="03FAAA6E" w14:textId="61B936E6" w:rsidR="00392127" w:rsidRPr="000665B0" w:rsidRDefault="00392127" w:rsidP="00392127">
      <w:r w:rsidRPr="000665B0">
        <w:rPr>
          <w:b/>
          <w:bCs/>
        </w:rPr>
        <w:t>Verification Code/Number</w:t>
      </w:r>
      <w:r w:rsidRPr="000665B0">
        <w:t xml:space="preserve"> – A five-digit numerical code that is entered at the launch control console in response to a Mission data request order from the engagement planner. The verification code/number forms a matched set with the </w:t>
      </w:r>
      <w:r w:rsidR="003B7091">
        <w:t>M</w:t>
      </w:r>
      <w:r w:rsidRPr="000665B0">
        <w:t xml:space="preserve">ission ID number and the warhead type. </w:t>
      </w:r>
      <w:r w:rsidR="0036123F" w:rsidRPr="000665B0">
        <w:t>When an INDIGO is cre</w:t>
      </w:r>
      <w:r w:rsidR="005F29E7" w:rsidRPr="000665B0">
        <w:t xml:space="preserve">ated on MDS, Verification Code </w:t>
      </w:r>
      <w:r w:rsidR="0036123F" w:rsidRPr="000665B0">
        <w:t xml:space="preserve">leading </w:t>
      </w:r>
      <w:r w:rsidR="005F29E7" w:rsidRPr="000665B0">
        <w:t>zeros</w:t>
      </w:r>
      <w:r w:rsidR="0036123F" w:rsidRPr="000665B0">
        <w:t xml:space="preserve"> are not </w:t>
      </w:r>
      <w:r w:rsidR="00B705A7" w:rsidRPr="000665B0">
        <w:t>displayed,</w:t>
      </w:r>
      <w:r w:rsidR="0036123F" w:rsidRPr="000665B0">
        <w:t xml:space="preserve"> </w:t>
      </w:r>
      <w:r w:rsidR="003509EA" w:rsidRPr="000665B0">
        <w:t xml:space="preserve">e.g., </w:t>
      </w:r>
      <w:r w:rsidR="0036123F" w:rsidRPr="000665B0">
        <w:t xml:space="preserve">Verification Code </w:t>
      </w:r>
      <w:r w:rsidR="00D6380B" w:rsidRPr="000665B0">
        <w:t>“</w:t>
      </w:r>
      <w:r w:rsidR="0036123F" w:rsidRPr="000665B0">
        <w:t>00111</w:t>
      </w:r>
      <w:r w:rsidR="00D6380B" w:rsidRPr="000665B0">
        <w:t>”</w:t>
      </w:r>
      <w:r w:rsidR="0036123F" w:rsidRPr="000665B0">
        <w:t xml:space="preserve"> displays as </w:t>
      </w:r>
      <w:r w:rsidR="00D6380B" w:rsidRPr="000665B0">
        <w:t>“</w:t>
      </w:r>
      <w:r w:rsidR="0036123F" w:rsidRPr="000665B0">
        <w:t>111.</w:t>
      </w:r>
      <w:r w:rsidR="00D6380B" w:rsidRPr="000665B0">
        <w:t>”</w:t>
      </w:r>
    </w:p>
    <w:p w14:paraId="4268ED2A" w14:textId="77777777" w:rsidR="00392127" w:rsidRPr="000665B0" w:rsidRDefault="00392127" w:rsidP="00392127">
      <w:r w:rsidRPr="000665B0">
        <w:rPr>
          <w:b/>
          <w:bCs/>
        </w:rPr>
        <w:t xml:space="preserve">Waypoint </w:t>
      </w:r>
      <w:r w:rsidRPr="000665B0">
        <w:t>– A mission-planner designated location through which the missile is directed to fly during the overland phase enroute to the target. Overland waypoints are integral action points in the mission and cannot be changed without re-planning the mission.</w:t>
      </w:r>
    </w:p>
    <w:p w14:paraId="4E5F4EBB" w14:textId="77777777" w:rsidR="00392127" w:rsidRPr="000665B0" w:rsidRDefault="00392127" w:rsidP="00392127">
      <w:r w:rsidRPr="000665B0">
        <w:rPr>
          <w:b/>
        </w:rPr>
        <w:t xml:space="preserve">Weapon Allocation Guide </w:t>
      </w:r>
      <w:r w:rsidRPr="000665B0">
        <w:t>–</w:t>
      </w:r>
      <w:r w:rsidRPr="000665B0">
        <w:rPr>
          <w:b/>
        </w:rPr>
        <w:t xml:space="preserve"> </w:t>
      </w:r>
      <w:r w:rsidRPr="000665B0">
        <w:t xml:space="preserve">Contains Weapon-to-Target Allocation Guidance and originates from </w:t>
      </w:r>
      <w:r w:rsidR="00A42E9E" w:rsidRPr="000665B0">
        <w:t>TNT</w:t>
      </w:r>
      <w:r w:rsidRPr="000665B0">
        <w:t>, used by TPS and passed onto PC-MDS and MDS. It is a free text field with classification markings as appropriate.</w:t>
      </w:r>
    </w:p>
    <w:p w14:paraId="059458F9" w14:textId="77777777" w:rsidR="00576E7F" w:rsidRPr="000665B0" w:rsidRDefault="00576E7F" w:rsidP="00392127"/>
    <w:p w14:paraId="31C97C47" w14:textId="77777777" w:rsidR="00A316EA" w:rsidRDefault="00A316EA" w:rsidP="00392127">
      <w:r>
        <w:br w:type="page"/>
      </w:r>
    </w:p>
    <w:p w14:paraId="7D558719" w14:textId="54986989" w:rsidR="005D1A26" w:rsidRPr="000665B0" w:rsidRDefault="009319FE" w:rsidP="003604C5">
      <w:pPr>
        <w:pStyle w:val="Appendix"/>
      </w:pPr>
      <w:bookmarkStart w:id="7341" w:name="_Appendix_C__Country_Codes__(SORTED__1"/>
      <w:bookmarkStart w:id="7342" w:name="_Appendix_C_"/>
      <w:bookmarkStart w:id="7343" w:name="_Toc96170372"/>
      <w:bookmarkStart w:id="7344" w:name="_Toc96234417"/>
      <w:bookmarkStart w:id="7345" w:name="_Toc112733873"/>
      <w:bookmarkStart w:id="7346" w:name="_Toc289329081"/>
      <w:bookmarkStart w:id="7347" w:name="_Toc312332190"/>
      <w:bookmarkEnd w:id="7341"/>
      <w:bookmarkEnd w:id="7342"/>
      <w:r w:rsidRPr="000665B0">
        <w:lastRenderedPageBreak/>
        <w:br/>
      </w:r>
      <w:bookmarkStart w:id="7348" w:name="_Toc214283676"/>
      <w:r w:rsidRPr="000665B0">
        <w:t>COUNTRY CODE</w:t>
      </w:r>
      <w:r w:rsidR="00B13D81" w:rsidRPr="000665B0">
        <w:t xml:space="preserve"> FORMAT AND </w:t>
      </w:r>
      <w:r w:rsidR="00EC04E6" w:rsidRPr="000665B0">
        <w:t xml:space="preserve">COUNTRY </w:t>
      </w:r>
      <w:r w:rsidR="00B13D81" w:rsidRPr="000665B0">
        <w:t>SELECTION</w:t>
      </w:r>
      <w:r w:rsidR="00EC04E6" w:rsidRPr="000665B0">
        <w:t>/DISPLAY</w:t>
      </w:r>
      <w:bookmarkEnd w:id="7343"/>
      <w:bookmarkEnd w:id="7344"/>
      <w:bookmarkEnd w:id="7345"/>
      <w:bookmarkEnd w:id="7346"/>
      <w:bookmarkEnd w:id="7347"/>
      <w:bookmarkEnd w:id="7348"/>
    </w:p>
    <w:p w14:paraId="552CD406" w14:textId="75270656" w:rsidR="00030B7E" w:rsidRPr="000665B0" w:rsidRDefault="00030B7E" w:rsidP="00912CE8">
      <w:pPr>
        <w:pStyle w:val="Appendix2"/>
      </w:pPr>
      <w:bookmarkStart w:id="7349" w:name="_Toc214283677"/>
      <w:r w:rsidRPr="000665B0">
        <w:t>INTRODUCTION</w:t>
      </w:r>
      <w:bookmarkEnd w:id="7349"/>
    </w:p>
    <w:p w14:paraId="33CED374" w14:textId="77777777" w:rsidR="00030B7E" w:rsidRPr="000665B0" w:rsidRDefault="00030B7E" w:rsidP="00030B7E">
      <w:r w:rsidRPr="000665B0">
        <w:t xml:space="preserve">TMPC 5.0.2 implements several new aspects of the Country Code </w:t>
      </w:r>
      <w:r w:rsidR="00F23BCD" w:rsidRPr="000665B0">
        <w:t xml:space="preserve">Format as well as </w:t>
      </w:r>
      <w:r w:rsidR="008705E1" w:rsidRPr="000665B0">
        <w:t xml:space="preserve">updates to </w:t>
      </w:r>
      <w:r w:rsidR="00F23BCD" w:rsidRPr="000665B0">
        <w:t>the selection and display of Country Codes and country names</w:t>
      </w:r>
      <w:r w:rsidR="009A4EAB" w:rsidRPr="000665B0">
        <w:t xml:space="preserve">. </w:t>
      </w:r>
    </w:p>
    <w:p w14:paraId="2092EAD9" w14:textId="77777777" w:rsidR="00030B7E" w:rsidRPr="000665B0" w:rsidRDefault="00030B7E" w:rsidP="00030B7E">
      <w:r w:rsidRPr="000665B0">
        <w:t xml:space="preserve">The system no longer allows text entry of </w:t>
      </w:r>
      <w:r w:rsidR="009A3AB5" w:rsidRPr="000665B0">
        <w:t xml:space="preserve">a </w:t>
      </w:r>
      <w:r w:rsidR="00F23BCD" w:rsidRPr="000665B0">
        <w:t>C</w:t>
      </w:r>
      <w:r w:rsidRPr="000665B0">
        <w:t xml:space="preserve">ountry </w:t>
      </w:r>
      <w:r w:rsidR="00F23BCD" w:rsidRPr="000665B0">
        <w:t>C</w:t>
      </w:r>
      <w:r w:rsidRPr="000665B0">
        <w:t xml:space="preserve">ode; the </w:t>
      </w:r>
      <w:r w:rsidR="00F23BCD" w:rsidRPr="000665B0">
        <w:t>C</w:t>
      </w:r>
      <w:r w:rsidRPr="000665B0">
        <w:t xml:space="preserve">ountry </w:t>
      </w:r>
      <w:r w:rsidR="00F23BCD" w:rsidRPr="000665B0">
        <w:t>C</w:t>
      </w:r>
      <w:r w:rsidRPr="000665B0">
        <w:t xml:space="preserve">ode is selected from a </w:t>
      </w:r>
      <w:r w:rsidR="00EB2033" w:rsidRPr="000665B0">
        <w:t xml:space="preserve">pre-populated </w:t>
      </w:r>
      <w:r w:rsidRPr="000665B0">
        <w:t xml:space="preserve">menu. In addition to the </w:t>
      </w:r>
      <w:r w:rsidR="00F23BCD" w:rsidRPr="000665B0">
        <w:t>C</w:t>
      </w:r>
      <w:r w:rsidRPr="000665B0">
        <w:t xml:space="preserve">ountry </w:t>
      </w:r>
      <w:r w:rsidR="00F23BCD" w:rsidRPr="000665B0">
        <w:t>C</w:t>
      </w:r>
      <w:r w:rsidRPr="000665B0">
        <w:t>ode, the country name is also displayed in all menus and list views</w:t>
      </w:r>
      <w:r w:rsidR="008705E1" w:rsidRPr="000665B0">
        <w:t xml:space="preserve"> in the format of </w:t>
      </w:r>
      <w:r w:rsidR="008705E1" w:rsidRPr="000665B0">
        <w:rPr>
          <w:b/>
        </w:rPr>
        <w:t>[</w:t>
      </w:r>
      <w:r w:rsidR="00AC6819" w:rsidRPr="000665B0">
        <w:rPr>
          <w:b/>
        </w:rPr>
        <w:t>COUNTRY CODE</w:t>
      </w:r>
      <w:r w:rsidR="008705E1" w:rsidRPr="000665B0">
        <w:rPr>
          <w:b/>
        </w:rPr>
        <w:t>] - [</w:t>
      </w:r>
      <w:r w:rsidR="00AC6819" w:rsidRPr="000665B0">
        <w:rPr>
          <w:b/>
        </w:rPr>
        <w:t>COUNTRY NAME</w:t>
      </w:r>
      <w:r w:rsidR="008705E1" w:rsidRPr="000665B0">
        <w:rPr>
          <w:b/>
        </w:rPr>
        <w:t>]</w:t>
      </w:r>
      <w:r w:rsidRPr="000665B0">
        <w:rPr>
          <w:b/>
        </w:rPr>
        <w:t xml:space="preserve">. </w:t>
      </w:r>
    </w:p>
    <w:p w14:paraId="3F485B47" w14:textId="77777777" w:rsidR="0072617E" w:rsidRPr="000665B0" w:rsidRDefault="00030B7E" w:rsidP="00030B7E">
      <w:pPr>
        <w:rPr>
          <w:szCs w:val="24"/>
        </w:rPr>
      </w:pPr>
      <w:r w:rsidRPr="000665B0">
        <w:t xml:space="preserve">The </w:t>
      </w:r>
      <w:r w:rsidR="00F23BCD" w:rsidRPr="000665B0">
        <w:t>C</w:t>
      </w:r>
      <w:r w:rsidRPr="000665B0">
        <w:t xml:space="preserve">ountry </w:t>
      </w:r>
      <w:r w:rsidR="00F23BCD" w:rsidRPr="000665B0">
        <w:t>C</w:t>
      </w:r>
      <w:r w:rsidRPr="000665B0">
        <w:t xml:space="preserve">ode </w:t>
      </w:r>
      <w:r w:rsidR="00F23BCD" w:rsidRPr="000665B0">
        <w:t>F</w:t>
      </w:r>
      <w:r w:rsidRPr="000665B0">
        <w:t>ormat is displayed in the Geopolitical Entities, Names, and Codes (GENC) Standard.</w:t>
      </w:r>
      <w:r w:rsidRPr="000665B0">
        <w:rPr>
          <w:szCs w:val="24"/>
        </w:rPr>
        <w:t xml:space="preserve"> The </w:t>
      </w:r>
      <w:r w:rsidR="00DC7D18" w:rsidRPr="000665B0">
        <w:t>TMPC</w:t>
      </w:r>
      <w:r w:rsidRPr="000665B0">
        <w:rPr>
          <w:szCs w:val="24"/>
        </w:rPr>
        <w:t xml:space="preserve"> Database Utility is used to configure the </w:t>
      </w:r>
      <w:r w:rsidR="00F23BCD" w:rsidRPr="000665B0">
        <w:rPr>
          <w:szCs w:val="24"/>
        </w:rPr>
        <w:t>C</w:t>
      </w:r>
      <w:r w:rsidRPr="000665B0">
        <w:rPr>
          <w:szCs w:val="24"/>
        </w:rPr>
        <w:t xml:space="preserve">ountry </w:t>
      </w:r>
      <w:r w:rsidR="00F23BCD" w:rsidRPr="000665B0">
        <w:rPr>
          <w:szCs w:val="24"/>
        </w:rPr>
        <w:t>C</w:t>
      </w:r>
      <w:r w:rsidRPr="000665B0">
        <w:rPr>
          <w:szCs w:val="24"/>
        </w:rPr>
        <w:t xml:space="preserve">ode </w:t>
      </w:r>
      <w:r w:rsidR="00F23BCD" w:rsidRPr="000665B0">
        <w:rPr>
          <w:szCs w:val="24"/>
        </w:rPr>
        <w:t>F</w:t>
      </w:r>
      <w:r w:rsidRPr="000665B0">
        <w:rPr>
          <w:szCs w:val="24"/>
        </w:rPr>
        <w:t xml:space="preserve">ormat </w:t>
      </w:r>
      <w:r w:rsidR="009A4EAB" w:rsidRPr="000665B0">
        <w:rPr>
          <w:szCs w:val="24"/>
        </w:rPr>
        <w:t>to</w:t>
      </w:r>
      <w:r w:rsidRPr="000665B0">
        <w:rPr>
          <w:szCs w:val="24"/>
        </w:rPr>
        <w:t xml:space="preserve"> either</w:t>
      </w:r>
      <w:r w:rsidR="0072617E" w:rsidRPr="000665B0">
        <w:rPr>
          <w:szCs w:val="24"/>
        </w:rPr>
        <w:t>:</w:t>
      </w:r>
    </w:p>
    <w:p w14:paraId="55E28177" w14:textId="77777777" w:rsidR="0072617E" w:rsidRPr="000665B0" w:rsidRDefault="0072617E" w:rsidP="006D5A65">
      <w:pPr>
        <w:pStyle w:val="Heading1"/>
      </w:pPr>
      <w:r w:rsidRPr="000665B0">
        <w:t>GEC (Geopolitical Entities and Codes)</w:t>
      </w:r>
    </w:p>
    <w:p w14:paraId="6D8DA7CA" w14:textId="77777777" w:rsidR="0072617E" w:rsidRPr="000665B0" w:rsidRDefault="0072617E" w:rsidP="006D5A65">
      <w:pPr>
        <w:pStyle w:val="Heading1"/>
      </w:pPr>
      <w:r w:rsidRPr="000665B0">
        <w:t>GENC2 (GENC 2-Character) (Default)</w:t>
      </w:r>
    </w:p>
    <w:p w14:paraId="6E6AF05C" w14:textId="77777777" w:rsidR="0072617E" w:rsidRPr="000665B0" w:rsidRDefault="0072617E" w:rsidP="006D5A65">
      <w:pPr>
        <w:pStyle w:val="Heading1"/>
      </w:pPr>
      <w:r w:rsidRPr="000665B0">
        <w:t>GENC3 (GENC 3-Character)</w:t>
      </w:r>
    </w:p>
    <w:p w14:paraId="1793DC8E" w14:textId="5E12A6C5" w:rsidR="00030B7E" w:rsidRPr="000665B0" w:rsidRDefault="0072617E" w:rsidP="00030B7E">
      <w:pPr>
        <w:rPr>
          <w:szCs w:val="24"/>
        </w:rPr>
      </w:pPr>
      <w:r w:rsidRPr="000665B0">
        <w:rPr>
          <w:szCs w:val="24"/>
        </w:rPr>
        <w:t xml:space="preserve">For information </w:t>
      </w:r>
      <w:r w:rsidR="00F2187D" w:rsidRPr="000665B0">
        <w:rPr>
          <w:szCs w:val="24"/>
        </w:rPr>
        <w:t>about</w:t>
      </w:r>
      <w:r w:rsidRPr="000665B0">
        <w:rPr>
          <w:szCs w:val="24"/>
        </w:rPr>
        <w:t xml:space="preserve"> how to configure the </w:t>
      </w:r>
      <w:r w:rsidR="00CE357F" w:rsidRPr="000665B0">
        <w:rPr>
          <w:szCs w:val="24"/>
        </w:rPr>
        <w:t xml:space="preserve">database’s </w:t>
      </w:r>
      <w:r w:rsidRPr="000665B0">
        <w:rPr>
          <w:szCs w:val="24"/>
        </w:rPr>
        <w:t xml:space="preserve">Country Code </w:t>
      </w:r>
      <w:r w:rsidR="00194764" w:rsidRPr="000665B0">
        <w:rPr>
          <w:szCs w:val="24"/>
        </w:rPr>
        <w:t>F</w:t>
      </w:r>
      <w:r w:rsidRPr="000665B0">
        <w:rPr>
          <w:szCs w:val="24"/>
        </w:rPr>
        <w:t>ormat</w:t>
      </w:r>
      <w:r w:rsidR="00CE357F" w:rsidRPr="000665B0">
        <w:rPr>
          <w:szCs w:val="24"/>
        </w:rPr>
        <w:t xml:space="preserve"> default setting</w:t>
      </w:r>
      <w:r w:rsidR="00704A81" w:rsidRPr="000665B0">
        <w:rPr>
          <w:szCs w:val="24"/>
        </w:rPr>
        <w:t xml:space="preserve"> in the </w:t>
      </w:r>
      <w:r w:rsidR="00DC7D18" w:rsidRPr="000665B0">
        <w:t>TMPC</w:t>
      </w:r>
      <w:r w:rsidR="00704A81" w:rsidRPr="000665B0">
        <w:rPr>
          <w:szCs w:val="24"/>
        </w:rPr>
        <w:t xml:space="preserve"> Database Utility</w:t>
      </w:r>
      <w:r w:rsidRPr="000665B0">
        <w:rPr>
          <w:szCs w:val="24"/>
        </w:rPr>
        <w:t xml:space="preserve">, </w:t>
      </w:r>
      <w:r w:rsidR="00030B7E" w:rsidRPr="000665B0">
        <w:rPr>
          <w:szCs w:val="24"/>
        </w:rPr>
        <w:t xml:space="preserve">see </w:t>
      </w:r>
      <w:hyperlink w:anchor="_Set_Country_Code" w:history="1">
        <w:r w:rsidR="00B14F4A" w:rsidRPr="000665B0">
          <w:rPr>
            <w:rStyle w:val="Hyperlink"/>
            <w:szCs w:val="24"/>
          </w:rPr>
          <w:t>Section 4.5.2.1.6</w:t>
        </w:r>
      </w:hyperlink>
      <w:r w:rsidR="00030B7E" w:rsidRPr="000665B0">
        <w:rPr>
          <w:szCs w:val="24"/>
        </w:rPr>
        <w:t xml:space="preserve">. </w:t>
      </w:r>
      <w:r w:rsidR="00CE357F" w:rsidRPr="000665B0">
        <w:t xml:space="preserve">To change the Country Code Format to the operator’s individual preference, see </w:t>
      </w:r>
      <w:hyperlink w:anchor="_5.29.1__Set" w:history="1">
        <w:r w:rsidR="00CE357F" w:rsidRPr="000665B0">
          <w:rPr>
            <w:rStyle w:val="Hyperlink"/>
          </w:rPr>
          <w:t xml:space="preserve">Section </w:t>
        </w:r>
        <w:r w:rsidR="004231CC">
          <w:rPr>
            <w:rStyle w:val="Hyperlink"/>
          </w:rPr>
          <w:t>5.25</w:t>
        </w:r>
        <w:r w:rsidR="00CE357F" w:rsidRPr="000665B0">
          <w:rPr>
            <w:rStyle w:val="Hyperlink"/>
          </w:rPr>
          <w:t>.1</w:t>
        </w:r>
      </w:hyperlink>
      <w:r w:rsidR="00CE357F" w:rsidRPr="000665B0">
        <w:t>.</w:t>
      </w:r>
    </w:p>
    <w:p w14:paraId="1E80F30D" w14:textId="77777777" w:rsidR="00030B7E" w:rsidRPr="000665B0" w:rsidRDefault="00030B7E" w:rsidP="00030B7E">
      <w:r w:rsidRPr="000665B0">
        <w:rPr>
          <w:szCs w:val="24"/>
        </w:rPr>
        <w:t>The GE</w:t>
      </w:r>
      <w:r w:rsidR="009A4EAB" w:rsidRPr="000665B0">
        <w:rPr>
          <w:szCs w:val="24"/>
        </w:rPr>
        <w:t>N</w:t>
      </w:r>
      <w:r w:rsidRPr="000665B0">
        <w:rPr>
          <w:szCs w:val="24"/>
        </w:rPr>
        <w:t xml:space="preserve">C </w:t>
      </w:r>
      <w:r w:rsidR="00F23BCD" w:rsidRPr="000665B0">
        <w:rPr>
          <w:szCs w:val="24"/>
        </w:rPr>
        <w:t>C</w:t>
      </w:r>
      <w:r w:rsidRPr="000665B0">
        <w:rPr>
          <w:szCs w:val="24"/>
        </w:rPr>
        <w:t xml:space="preserve">ountry </w:t>
      </w:r>
      <w:r w:rsidR="00F23BCD" w:rsidRPr="000665B0">
        <w:rPr>
          <w:szCs w:val="24"/>
        </w:rPr>
        <w:t>C</w:t>
      </w:r>
      <w:r w:rsidRPr="000665B0">
        <w:rPr>
          <w:szCs w:val="24"/>
        </w:rPr>
        <w:t xml:space="preserve">odes are maintained on an external </w:t>
      </w:r>
      <w:r w:rsidR="0072617E" w:rsidRPr="000665B0">
        <w:rPr>
          <w:szCs w:val="24"/>
        </w:rPr>
        <w:t>database and are retrieved by calling a web service</w:t>
      </w:r>
      <w:r w:rsidRPr="000665B0">
        <w:rPr>
          <w:szCs w:val="24"/>
        </w:rPr>
        <w:t xml:space="preserve">. </w:t>
      </w:r>
      <w:r w:rsidR="0072617E" w:rsidRPr="000665B0">
        <w:rPr>
          <w:szCs w:val="24"/>
        </w:rPr>
        <w:t>These code</w:t>
      </w:r>
      <w:r w:rsidR="00E172DC" w:rsidRPr="000665B0">
        <w:rPr>
          <w:szCs w:val="24"/>
        </w:rPr>
        <w:t>s</w:t>
      </w:r>
      <w:r w:rsidR="0072617E" w:rsidRPr="000665B0">
        <w:rPr>
          <w:szCs w:val="24"/>
        </w:rPr>
        <w:t xml:space="preserve"> are then stored in a cache in MDS/</w:t>
      </w:r>
      <w:r w:rsidR="00306E14" w:rsidRPr="000665B0">
        <w:rPr>
          <w:szCs w:val="24"/>
        </w:rPr>
        <w:t>TM</w:t>
      </w:r>
      <w:r w:rsidR="0072617E" w:rsidRPr="000665B0">
        <w:rPr>
          <w:szCs w:val="24"/>
        </w:rPr>
        <w:t xml:space="preserve">. </w:t>
      </w:r>
      <w:r w:rsidRPr="000665B0">
        <w:t xml:space="preserve">Once the </w:t>
      </w:r>
      <w:r w:rsidR="00F23BCD" w:rsidRPr="000665B0">
        <w:t>C</w:t>
      </w:r>
      <w:r w:rsidRPr="000665B0">
        <w:t xml:space="preserve">ountry </w:t>
      </w:r>
      <w:r w:rsidR="00F23BCD" w:rsidRPr="000665B0">
        <w:t>C</w:t>
      </w:r>
      <w:r w:rsidRPr="000665B0">
        <w:t xml:space="preserve">ode </w:t>
      </w:r>
      <w:r w:rsidR="00F23BCD" w:rsidRPr="000665B0">
        <w:t>F</w:t>
      </w:r>
      <w:r w:rsidRPr="000665B0">
        <w:t xml:space="preserve">ormat is configured using the </w:t>
      </w:r>
      <w:r w:rsidR="00DC7D18" w:rsidRPr="000665B0">
        <w:t>TMPC</w:t>
      </w:r>
      <w:r w:rsidRPr="000665B0">
        <w:t xml:space="preserve"> Database Utility</w:t>
      </w:r>
      <w:r w:rsidR="00CE357F" w:rsidRPr="000665B0">
        <w:t xml:space="preserve"> (administrator) or the TED Utilities Tool (individual user)</w:t>
      </w:r>
      <w:r w:rsidRPr="000665B0">
        <w:t xml:space="preserve">, the system </w:t>
      </w:r>
      <w:r w:rsidR="0072617E" w:rsidRPr="000665B0">
        <w:t>displays the appropriate list from the cache</w:t>
      </w:r>
      <w:r w:rsidRPr="000665B0">
        <w:t>.</w:t>
      </w:r>
      <w:r w:rsidR="009A4EAB" w:rsidRPr="000665B0">
        <w:t xml:space="preserve"> </w:t>
      </w:r>
      <w:r w:rsidR="00CE357F" w:rsidRPr="000665B0">
        <w:t xml:space="preserve">The TED Utilities Tool setting overrides the database’s Country Code Format default setting. </w:t>
      </w:r>
      <w:r w:rsidR="009A4EAB" w:rsidRPr="000665B0">
        <w:t xml:space="preserve">This cache is used by the system to populate the </w:t>
      </w:r>
      <w:r w:rsidR="009A4EAB" w:rsidRPr="000665B0">
        <w:rPr>
          <w:b/>
        </w:rPr>
        <w:t>Country</w:t>
      </w:r>
      <w:r w:rsidR="009A4EAB" w:rsidRPr="000665B0">
        <w:t xml:space="preserve"> field menus and </w:t>
      </w:r>
      <w:r w:rsidR="0072617E" w:rsidRPr="000665B0">
        <w:rPr>
          <w:b/>
        </w:rPr>
        <w:t>Country</w:t>
      </w:r>
      <w:r w:rsidR="0072617E" w:rsidRPr="000665B0">
        <w:t xml:space="preserve"> </w:t>
      </w:r>
      <w:r w:rsidR="00EB2033" w:rsidRPr="000665B0">
        <w:t>list views</w:t>
      </w:r>
      <w:r w:rsidR="009A4EAB" w:rsidRPr="000665B0">
        <w:t>.</w:t>
      </w:r>
    </w:p>
    <w:p w14:paraId="53F90DCB" w14:textId="37729238" w:rsidR="00030B7E" w:rsidRPr="000665B0" w:rsidRDefault="00030B7E" w:rsidP="004E7017">
      <w:pPr>
        <w:pStyle w:val="Appendix3"/>
        <w:ind w:left="360"/>
      </w:pPr>
      <w:bookmarkStart w:id="7350" w:name="_Toc214283678"/>
      <w:r w:rsidRPr="000665B0">
        <w:t xml:space="preserve">Exceptions and Invalid Data </w:t>
      </w:r>
      <w:r w:rsidR="008C6178" w:rsidRPr="004E7017">
        <w:t>Selection</w:t>
      </w:r>
      <w:r w:rsidR="008C6178" w:rsidRPr="000665B0">
        <w:t xml:space="preserve"> </w:t>
      </w:r>
      <w:r w:rsidRPr="000665B0">
        <w:t>Scenarios</w:t>
      </w:r>
      <w:bookmarkEnd w:id="7350"/>
    </w:p>
    <w:p w14:paraId="1492F6F2" w14:textId="77777777" w:rsidR="00030B7E" w:rsidRPr="000665B0" w:rsidRDefault="00134F31" w:rsidP="00B13D81">
      <w:r w:rsidRPr="000665B0">
        <w:t>Certain conditions may generate the following</w:t>
      </w:r>
      <w:r w:rsidR="001905D3" w:rsidRPr="000665B0">
        <w:t xml:space="preserve"> displays</w:t>
      </w:r>
      <w:r w:rsidR="009A4EAB" w:rsidRPr="000665B0">
        <w:t xml:space="preserve"> in either the </w:t>
      </w:r>
      <w:r w:rsidR="009A4EAB" w:rsidRPr="000665B0">
        <w:rPr>
          <w:b/>
        </w:rPr>
        <w:t>Country</w:t>
      </w:r>
      <w:r w:rsidR="009A4EAB" w:rsidRPr="000665B0">
        <w:t xml:space="preserve"> field menu</w:t>
      </w:r>
      <w:r w:rsidR="001905D3" w:rsidRPr="000665B0">
        <w:t xml:space="preserve"> or list view</w:t>
      </w:r>
      <w:r w:rsidRPr="000665B0">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55"/>
        <w:gridCol w:w="3157"/>
        <w:gridCol w:w="2838"/>
      </w:tblGrid>
      <w:tr w:rsidR="000A47D1" w:rsidRPr="000665B0" w14:paraId="1A6EB1AC" w14:textId="77777777" w:rsidTr="00AD30C3">
        <w:trPr>
          <w:cantSplit/>
          <w:tblHeader/>
        </w:trPr>
        <w:tc>
          <w:tcPr>
            <w:tcW w:w="3438" w:type="dxa"/>
            <w:shd w:val="clear" w:color="auto" w:fill="D9D9D9" w:themeFill="background1" w:themeFillShade="D9"/>
            <w:vAlign w:val="center"/>
          </w:tcPr>
          <w:p w14:paraId="65185F5A" w14:textId="77777777" w:rsidR="00134F31" w:rsidRPr="000665B0" w:rsidRDefault="00134F31" w:rsidP="008C6178">
            <w:pPr>
              <w:spacing w:before="40" w:after="40" w:line="240" w:lineRule="auto"/>
              <w:jc w:val="center"/>
              <w:rPr>
                <w:b/>
                <w:szCs w:val="24"/>
              </w:rPr>
            </w:pPr>
            <w:r w:rsidRPr="000665B0">
              <w:rPr>
                <w:b/>
                <w:szCs w:val="24"/>
              </w:rPr>
              <w:t>Display</w:t>
            </w:r>
          </w:p>
        </w:tc>
        <w:tc>
          <w:tcPr>
            <w:tcW w:w="3240" w:type="dxa"/>
            <w:shd w:val="clear" w:color="auto" w:fill="D9D9D9" w:themeFill="background1" w:themeFillShade="D9"/>
          </w:tcPr>
          <w:p w14:paraId="730EFDCC" w14:textId="77777777" w:rsidR="00134F31" w:rsidRPr="000665B0" w:rsidRDefault="001905D3" w:rsidP="008C6178">
            <w:pPr>
              <w:spacing w:before="40" w:after="40" w:line="240" w:lineRule="auto"/>
              <w:jc w:val="center"/>
              <w:rPr>
                <w:b/>
                <w:szCs w:val="24"/>
              </w:rPr>
            </w:pPr>
            <w:r w:rsidRPr="000665B0">
              <w:rPr>
                <w:b/>
                <w:szCs w:val="24"/>
              </w:rPr>
              <w:t>Condition</w:t>
            </w:r>
          </w:p>
        </w:tc>
        <w:tc>
          <w:tcPr>
            <w:tcW w:w="2880" w:type="dxa"/>
            <w:shd w:val="clear" w:color="auto" w:fill="D9D9D9" w:themeFill="background1" w:themeFillShade="D9"/>
            <w:vAlign w:val="center"/>
          </w:tcPr>
          <w:p w14:paraId="212B6FDA" w14:textId="77777777" w:rsidR="00134F31" w:rsidRPr="000665B0" w:rsidRDefault="00134F31" w:rsidP="008C6178">
            <w:pPr>
              <w:spacing w:before="40" w:after="40" w:line="240" w:lineRule="auto"/>
              <w:jc w:val="center"/>
              <w:rPr>
                <w:b/>
                <w:szCs w:val="24"/>
              </w:rPr>
            </w:pPr>
            <w:r w:rsidRPr="000665B0">
              <w:rPr>
                <w:b/>
                <w:szCs w:val="24"/>
              </w:rPr>
              <w:t>Troubleshooting</w:t>
            </w:r>
          </w:p>
        </w:tc>
      </w:tr>
      <w:tr w:rsidR="000A47D1" w:rsidRPr="000665B0" w14:paraId="69AF901E" w14:textId="77777777" w:rsidTr="00AD30C3">
        <w:trPr>
          <w:cantSplit/>
        </w:trPr>
        <w:tc>
          <w:tcPr>
            <w:tcW w:w="3438" w:type="dxa"/>
          </w:tcPr>
          <w:p w14:paraId="23A2E529" w14:textId="77777777" w:rsidR="00134F31" w:rsidRPr="000665B0" w:rsidRDefault="00134F31" w:rsidP="00B13D81">
            <w:pPr>
              <w:spacing w:before="40" w:after="40" w:line="240" w:lineRule="auto"/>
              <w:rPr>
                <w:noProof/>
                <w:szCs w:val="24"/>
              </w:rPr>
            </w:pPr>
            <w:r w:rsidRPr="000665B0">
              <w:rPr>
                <w:b/>
                <w:noProof/>
                <w:szCs w:val="24"/>
              </w:rPr>
              <w:t xml:space="preserve">Cannot access external web service </w:t>
            </w:r>
            <w:r w:rsidRPr="000665B0">
              <w:rPr>
                <w:noProof/>
                <w:szCs w:val="24"/>
              </w:rPr>
              <w:t>(the error is also logged in the error log).</w:t>
            </w:r>
          </w:p>
        </w:tc>
        <w:tc>
          <w:tcPr>
            <w:tcW w:w="3240" w:type="dxa"/>
          </w:tcPr>
          <w:p w14:paraId="3B3E08EC" w14:textId="77777777" w:rsidR="00134F31" w:rsidRPr="000665B0" w:rsidRDefault="00134F31" w:rsidP="008C6178">
            <w:pPr>
              <w:spacing w:before="40" w:after="40" w:line="240" w:lineRule="auto"/>
              <w:ind w:hanging="29"/>
              <w:rPr>
                <w:szCs w:val="24"/>
              </w:rPr>
            </w:pPr>
            <w:r w:rsidRPr="000665B0">
              <w:rPr>
                <w:szCs w:val="24"/>
              </w:rPr>
              <w:t xml:space="preserve">Country Code cache cannot access external </w:t>
            </w:r>
            <w:r w:rsidR="003907FA" w:rsidRPr="000665B0">
              <w:rPr>
                <w:szCs w:val="24"/>
              </w:rPr>
              <w:t xml:space="preserve">the </w:t>
            </w:r>
            <w:r w:rsidRPr="000665B0">
              <w:rPr>
                <w:szCs w:val="24"/>
              </w:rPr>
              <w:t>web service</w:t>
            </w:r>
            <w:r w:rsidR="00EA2169" w:rsidRPr="000665B0">
              <w:rPr>
                <w:szCs w:val="24"/>
              </w:rPr>
              <w:t>.</w:t>
            </w:r>
          </w:p>
        </w:tc>
        <w:tc>
          <w:tcPr>
            <w:tcW w:w="2880" w:type="dxa"/>
          </w:tcPr>
          <w:p w14:paraId="55E913F5" w14:textId="77777777" w:rsidR="00134F31" w:rsidRPr="000665B0" w:rsidRDefault="00134F31" w:rsidP="008C6178">
            <w:pPr>
              <w:spacing w:before="40" w:after="40" w:line="240" w:lineRule="auto"/>
              <w:ind w:hanging="29"/>
              <w:rPr>
                <w:szCs w:val="24"/>
              </w:rPr>
            </w:pPr>
            <w:r w:rsidRPr="000665B0">
              <w:rPr>
                <w:szCs w:val="24"/>
              </w:rPr>
              <w:t>Contact system administrator.</w:t>
            </w:r>
          </w:p>
        </w:tc>
      </w:tr>
      <w:tr w:rsidR="000A47D1" w:rsidRPr="000665B0" w14:paraId="0C5DA19A" w14:textId="77777777" w:rsidTr="00AD30C3">
        <w:trPr>
          <w:cantSplit/>
        </w:trPr>
        <w:tc>
          <w:tcPr>
            <w:tcW w:w="3438" w:type="dxa"/>
          </w:tcPr>
          <w:p w14:paraId="0F38C13E" w14:textId="77777777" w:rsidR="007A64BE" w:rsidRPr="000665B0" w:rsidRDefault="007A64BE" w:rsidP="00B13D81">
            <w:pPr>
              <w:spacing w:before="40" w:after="40" w:line="240" w:lineRule="auto"/>
              <w:rPr>
                <w:b/>
                <w:noProof/>
                <w:szCs w:val="24"/>
              </w:rPr>
            </w:pPr>
            <w:r w:rsidRPr="000665B0">
              <w:rPr>
                <w:b/>
                <w:noProof/>
                <w:szCs w:val="24"/>
              </w:rPr>
              <w:t>[</w:t>
            </w:r>
            <w:r w:rsidR="00AC6819" w:rsidRPr="000665B0">
              <w:rPr>
                <w:b/>
                <w:noProof/>
                <w:szCs w:val="24"/>
              </w:rPr>
              <w:t>COUNTRY CODE</w:t>
            </w:r>
            <w:r w:rsidRPr="000665B0">
              <w:rPr>
                <w:b/>
                <w:noProof/>
                <w:szCs w:val="24"/>
              </w:rPr>
              <w:t xml:space="preserve">] </w:t>
            </w:r>
            <w:r w:rsidR="00B13D81" w:rsidRPr="000665B0">
              <w:rPr>
                <w:b/>
                <w:noProof/>
                <w:szCs w:val="24"/>
              </w:rPr>
              <w:t>-</w:t>
            </w:r>
            <w:r w:rsidRPr="000665B0">
              <w:rPr>
                <w:b/>
                <w:noProof/>
                <w:szCs w:val="24"/>
              </w:rPr>
              <w:t xml:space="preserve"> ERROR</w:t>
            </w:r>
          </w:p>
        </w:tc>
        <w:tc>
          <w:tcPr>
            <w:tcW w:w="3240" w:type="dxa"/>
          </w:tcPr>
          <w:p w14:paraId="0F5A220C" w14:textId="77777777" w:rsidR="007A64BE" w:rsidRPr="000665B0" w:rsidRDefault="007A64BE" w:rsidP="008705E1">
            <w:pPr>
              <w:spacing w:before="40" w:after="40" w:line="240" w:lineRule="auto"/>
              <w:ind w:hanging="29"/>
              <w:rPr>
                <w:szCs w:val="24"/>
              </w:rPr>
            </w:pPr>
            <w:r w:rsidRPr="000665B0">
              <w:rPr>
                <w:szCs w:val="24"/>
              </w:rPr>
              <w:t xml:space="preserve">User attempts to enter a Country Code despite previous notification that </w:t>
            </w:r>
            <w:r w:rsidR="00F23BCD" w:rsidRPr="000665B0">
              <w:rPr>
                <w:szCs w:val="24"/>
              </w:rPr>
              <w:t xml:space="preserve">the </w:t>
            </w:r>
            <w:r w:rsidRPr="000665B0">
              <w:rPr>
                <w:szCs w:val="24"/>
              </w:rPr>
              <w:t xml:space="preserve">Country Code cache cannot access </w:t>
            </w:r>
            <w:r w:rsidR="00F23BCD" w:rsidRPr="000665B0">
              <w:rPr>
                <w:szCs w:val="24"/>
              </w:rPr>
              <w:t xml:space="preserve">the </w:t>
            </w:r>
            <w:r w:rsidRPr="000665B0">
              <w:rPr>
                <w:szCs w:val="24"/>
              </w:rPr>
              <w:t>external web service.</w:t>
            </w:r>
          </w:p>
        </w:tc>
        <w:tc>
          <w:tcPr>
            <w:tcW w:w="2880" w:type="dxa"/>
          </w:tcPr>
          <w:p w14:paraId="0FD8D485" w14:textId="77777777" w:rsidR="007A64BE" w:rsidRPr="000665B0" w:rsidRDefault="007A64BE" w:rsidP="008C6178">
            <w:pPr>
              <w:spacing w:before="40" w:after="40" w:line="240" w:lineRule="auto"/>
              <w:ind w:hanging="29"/>
              <w:rPr>
                <w:szCs w:val="24"/>
              </w:rPr>
            </w:pPr>
            <w:r w:rsidRPr="000665B0">
              <w:rPr>
                <w:szCs w:val="24"/>
              </w:rPr>
              <w:t>Contact system administrator.</w:t>
            </w:r>
          </w:p>
        </w:tc>
      </w:tr>
      <w:tr w:rsidR="000A47D1" w:rsidRPr="000665B0" w14:paraId="1A3119A3" w14:textId="77777777" w:rsidTr="00AD30C3">
        <w:trPr>
          <w:cantSplit/>
        </w:trPr>
        <w:tc>
          <w:tcPr>
            <w:tcW w:w="3438" w:type="dxa"/>
          </w:tcPr>
          <w:p w14:paraId="7F0D35A8" w14:textId="77777777" w:rsidR="007A64BE" w:rsidRPr="000665B0" w:rsidRDefault="007A64BE" w:rsidP="00B13D81">
            <w:pPr>
              <w:spacing w:before="40" w:after="40" w:line="240" w:lineRule="auto"/>
              <w:rPr>
                <w:b/>
                <w:noProof/>
                <w:szCs w:val="24"/>
              </w:rPr>
            </w:pPr>
            <w:r w:rsidRPr="000665B0">
              <w:rPr>
                <w:b/>
                <w:noProof/>
                <w:szCs w:val="24"/>
              </w:rPr>
              <w:lastRenderedPageBreak/>
              <w:t xml:space="preserve">?? </w:t>
            </w:r>
            <w:r w:rsidR="00B13D81" w:rsidRPr="000665B0">
              <w:rPr>
                <w:b/>
                <w:noProof/>
                <w:szCs w:val="24"/>
              </w:rPr>
              <w:t>-</w:t>
            </w:r>
            <w:r w:rsidRPr="000665B0">
              <w:rPr>
                <w:b/>
                <w:noProof/>
                <w:szCs w:val="24"/>
              </w:rPr>
              <w:t xml:space="preserve"> [</w:t>
            </w:r>
            <w:r w:rsidR="00AC6819" w:rsidRPr="000665B0">
              <w:rPr>
                <w:b/>
                <w:noProof/>
                <w:szCs w:val="24"/>
              </w:rPr>
              <w:t>COUNTRY NAME</w:t>
            </w:r>
            <w:r w:rsidRPr="000665B0">
              <w:rPr>
                <w:b/>
                <w:noProof/>
                <w:szCs w:val="24"/>
              </w:rPr>
              <w:t>]</w:t>
            </w:r>
          </w:p>
        </w:tc>
        <w:tc>
          <w:tcPr>
            <w:tcW w:w="3240" w:type="dxa"/>
          </w:tcPr>
          <w:p w14:paraId="38D06E62" w14:textId="77777777" w:rsidR="007A64BE" w:rsidRPr="000665B0" w:rsidRDefault="007A64BE" w:rsidP="008705E1">
            <w:pPr>
              <w:spacing w:before="40" w:after="40" w:line="240" w:lineRule="auto"/>
              <w:ind w:hanging="29"/>
              <w:rPr>
                <w:szCs w:val="24"/>
              </w:rPr>
            </w:pPr>
            <w:r w:rsidRPr="000665B0">
              <w:rPr>
                <w:szCs w:val="24"/>
              </w:rPr>
              <w:t xml:space="preserve">The selected </w:t>
            </w:r>
            <w:r w:rsidR="008705E1" w:rsidRPr="000665B0">
              <w:rPr>
                <w:szCs w:val="24"/>
              </w:rPr>
              <w:t>Country Code F</w:t>
            </w:r>
            <w:r w:rsidRPr="000665B0">
              <w:rPr>
                <w:szCs w:val="24"/>
              </w:rPr>
              <w:t xml:space="preserve">ormat is GENC2 </w:t>
            </w:r>
            <w:r w:rsidR="008705E1" w:rsidRPr="000665B0">
              <w:rPr>
                <w:szCs w:val="24"/>
              </w:rPr>
              <w:t>but</w:t>
            </w:r>
            <w:r w:rsidRPr="000665B0">
              <w:rPr>
                <w:szCs w:val="24"/>
              </w:rPr>
              <w:t xml:space="preserve"> the GENC2 </w:t>
            </w:r>
            <w:r w:rsidR="007A7F22" w:rsidRPr="000665B0">
              <w:rPr>
                <w:szCs w:val="24"/>
              </w:rPr>
              <w:t>C</w:t>
            </w:r>
            <w:r w:rsidRPr="000665B0">
              <w:rPr>
                <w:szCs w:val="24"/>
              </w:rPr>
              <w:t xml:space="preserve">ountry Code is missing in </w:t>
            </w:r>
            <w:r w:rsidR="007A7F22" w:rsidRPr="000665B0">
              <w:rPr>
                <w:szCs w:val="24"/>
              </w:rPr>
              <w:t xml:space="preserve">the </w:t>
            </w:r>
            <w:r w:rsidRPr="000665B0">
              <w:rPr>
                <w:szCs w:val="24"/>
              </w:rPr>
              <w:t>Country Code cache.</w:t>
            </w:r>
          </w:p>
        </w:tc>
        <w:tc>
          <w:tcPr>
            <w:tcW w:w="2880" w:type="dxa"/>
          </w:tcPr>
          <w:p w14:paraId="2F278549" w14:textId="77777777" w:rsidR="007A64BE" w:rsidRPr="000665B0" w:rsidRDefault="007A64BE" w:rsidP="008C6178">
            <w:pPr>
              <w:spacing w:before="40" w:after="40" w:line="240" w:lineRule="auto"/>
              <w:ind w:hanging="29"/>
              <w:rPr>
                <w:szCs w:val="24"/>
              </w:rPr>
            </w:pPr>
            <w:r w:rsidRPr="000665B0">
              <w:rPr>
                <w:szCs w:val="24"/>
              </w:rPr>
              <w:t>For information only.</w:t>
            </w:r>
          </w:p>
        </w:tc>
      </w:tr>
      <w:tr w:rsidR="000A47D1" w:rsidRPr="000665B0" w14:paraId="657A4F65" w14:textId="77777777" w:rsidTr="00AD30C3">
        <w:trPr>
          <w:cantSplit/>
        </w:trPr>
        <w:tc>
          <w:tcPr>
            <w:tcW w:w="3438" w:type="dxa"/>
          </w:tcPr>
          <w:p w14:paraId="68B14D11" w14:textId="77777777" w:rsidR="007A64BE" w:rsidRPr="000665B0" w:rsidRDefault="007A64BE" w:rsidP="00B13D81">
            <w:pPr>
              <w:spacing w:before="40" w:after="40" w:line="240" w:lineRule="auto"/>
              <w:ind w:hanging="29"/>
              <w:rPr>
                <w:b/>
                <w:noProof/>
                <w:szCs w:val="24"/>
              </w:rPr>
            </w:pPr>
            <w:r w:rsidRPr="000665B0">
              <w:rPr>
                <w:b/>
                <w:noProof/>
                <w:szCs w:val="24"/>
              </w:rPr>
              <w:t xml:space="preserve">??? </w:t>
            </w:r>
            <w:r w:rsidR="00B13D81" w:rsidRPr="000665B0">
              <w:rPr>
                <w:b/>
                <w:noProof/>
                <w:szCs w:val="24"/>
              </w:rPr>
              <w:t>-</w:t>
            </w:r>
            <w:r w:rsidRPr="000665B0">
              <w:rPr>
                <w:b/>
                <w:noProof/>
                <w:szCs w:val="24"/>
              </w:rPr>
              <w:t xml:space="preserve"> [</w:t>
            </w:r>
            <w:r w:rsidR="00AC6819" w:rsidRPr="000665B0">
              <w:rPr>
                <w:b/>
                <w:noProof/>
                <w:szCs w:val="24"/>
              </w:rPr>
              <w:t>COUNTRY NAME</w:t>
            </w:r>
            <w:r w:rsidRPr="000665B0">
              <w:rPr>
                <w:b/>
                <w:noProof/>
                <w:szCs w:val="24"/>
              </w:rPr>
              <w:t>]</w:t>
            </w:r>
          </w:p>
        </w:tc>
        <w:tc>
          <w:tcPr>
            <w:tcW w:w="3240" w:type="dxa"/>
          </w:tcPr>
          <w:p w14:paraId="74E6709F" w14:textId="77777777" w:rsidR="007A64BE" w:rsidRPr="000665B0" w:rsidRDefault="008705E1" w:rsidP="008705E1">
            <w:pPr>
              <w:spacing w:before="40" w:after="40" w:line="240" w:lineRule="auto"/>
              <w:ind w:hanging="29"/>
              <w:rPr>
                <w:szCs w:val="24"/>
              </w:rPr>
            </w:pPr>
            <w:r w:rsidRPr="000665B0">
              <w:rPr>
                <w:szCs w:val="24"/>
              </w:rPr>
              <w:t>The selected Country Code F</w:t>
            </w:r>
            <w:r w:rsidR="007A64BE" w:rsidRPr="000665B0">
              <w:rPr>
                <w:szCs w:val="24"/>
              </w:rPr>
              <w:t xml:space="preserve">ormat is GENC3 </w:t>
            </w:r>
            <w:r w:rsidRPr="000665B0">
              <w:rPr>
                <w:szCs w:val="24"/>
              </w:rPr>
              <w:t>but</w:t>
            </w:r>
            <w:r w:rsidR="007A64BE" w:rsidRPr="000665B0">
              <w:rPr>
                <w:szCs w:val="24"/>
              </w:rPr>
              <w:t xml:space="preserve"> the GENC3 Country Code is missing in </w:t>
            </w:r>
            <w:r w:rsidR="007A7F22" w:rsidRPr="000665B0">
              <w:rPr>
                <w:szCs w:val="24"/>
              </w:rPr>
              <w:t xml:space="preserve">the </w:t>
            </w:r>
            <w:r w:rsidR="007A64BE" w:rsidRPr="000665B0">
              <w:rPr>
                <w:szCs w:val="24"/>
              </w:rPr>
              <w:t>Country Code cache</w:t>
            </w:r>
            <w:r w:rsidR="00F23BCD" w:rsidRPr="000665B0">
              <w:rPr>
                <w:szCs w:val="24"/>
              </w:rPr>
              <w:t>.</w:t>
            </w:r>
          </w:p>
        </w:tc>
        <w:tc>
          <w:tcPr>
            <w:tcW w:w="2880" w:type="dxa"/>
          </w:tcPr>
          <w:p w14:paraId="477B6FBC" w14:textId="77777777" w:rsidR="007A64BE" w:rsidRPr="000665B0" w:rsidRDefault="007A64BE" w:rsidP="008C6178">
            <w:pPr>
              <w:spacing w:before="40" w:after="40" w:line="240" w:lineRule="auto"/>
              <w:ind w:hanging="29"/>
              <w:rPr>
                <w:szCs w:val="24"/>
              </w:rPr>
            </w:pPr>
            <w:r w:rsidRPr="000665B0">
              <w:rPr>
                <w:szCs w:val="24"/>
              </w:rPr>
              <w:t>For information only.</w:t>
            </w:r>
          </w:p>
        </w:tc>
      </w:tr>
      <w:tr w:rsidR="000A47D1" w:rsidRPr="000665B0" w14:paraId="5346CB4D" w14:textId="77777777" w:rsidTr="00AD30C3">
        <w:trPr>
          <w:cantSplit/>
        </w:trPr>
        <w:tc>
          <w:tcPr>
            <w:tcW w:w="3438" w:type="dxa"/>
          </w:tcPr>
          <w:p w14:paraId="2044B634" w14:textId="77777777" w:rsidR="007A64BE" w:rsidRPr="000665B0" w:rsidRDefault="007A64BE" w:rsidP="00B13D81">
            <w:pPr>
              <w:spacing w:before="40" w:after="40" w:line="240" w:lineRule="auto"/>
              <w:rPr>
                <w:b/>
                <w:noProof/>
                <w:szCs w:val="24"/>
              </w:rPr>
            </w:pPr>
            <w:r w:rsidRPr="000665B0">
              <w:rPr>
                <w:b/>
                <w:noProof/>
                <w:szCs w:val="24"/>
              </w:rPr>
              <w:t>[</w:t>
            </w:r>
            <w:r w:rsidR="00AC6819" w:rsidRPr="000665B0">
              <w:rPr>
                <w:b/>
                <w:noProof/>
                <w:szCs w:val="24"/>
              </w:rPr>
              <w:t>COUNTRY CODE</w:t>
            </w:r>
            <w:r w:rsidRPr="000665B0">
              <w:rPr>
                <w:b/>
                <w:noProof/>
                <w:szCs w:val="24"/>
              </w:rPr>
              <w:t xml:space="preserve">] </w:t>
            </w:r>
            <w:r w:rsidR="00B13D81" w:rsidRPr="000665B0">
              <w:rPr>
                <w:b/>
                <w:noProof/>
                <w:szCs w:val="24"/>
              </w:rPr>
              <w:t>-</w:t>
            </w:r>
            <w:r w:rsidRPr="000665B0">
              <w:rPr>
                <w:b/>
                <w:noProof/>
                <w:szCs w:val="24"/>
              </w:rPr>
              <w:t xml:space="preserve"> UNKNOWN</w:t>
            </w:r>
          </w:p>
        </w:tc>
        <w:tc>
          <w:tcPr>
            <w:tcW w:w="3240" w:type="dxa"/>
          </w:tcPr>
          <w:p w14:paraId="070E9A92" w14:textId="77777777" w:rsidR="007A64BE" w:rsidRPr="000665B0" w:rsidRDefault="007A64BE" w:rsidP="008C6178">
            <w:pPr>
              <w:spacing w:before="40" w:after="40" w:line="240" w:lineRule="auto"/>
              <w:ind w:hanging="29"/>
              <w:rPr>
                <w:szCs w:val="24"/>
              </w:rPr>
            </w:pPr>
            <w:r w:rsidRPr="000665B0">
              <w:rPr>
                <w:szCs w:val="24"/>
              </w:rPr>
              <w:t xml:space="preserve">A valid Country Code is returned but the Country Name is missing in </w:t>
            </w:r>
            <w:r w:rsidR="007A7F22" w:rsidRPr="000665B0">
              <w:rPr>
                <w:szCs w:val="24"/>
              </w:rPr>
              <w:t xml:space="preserve">the </w:t>
            </w:r>
            <w:r w:rsidRPr="000665B0">
              <w:rPr>
                <w:szCs w:val="24"/>
              </w:rPr>
              <w:t>Country Code cache.</w:t>
            </w:r>
          </w:p>
        </w:tc>
        <w:tc>
          <w:tcPr>
            <w:tcW w:w="2880" w:type="dxa"/>
          </w:tcPr>
          <w:p w14:paraId="564C96EC" w14:textId="77777777" w:rsidR="007A64BE" w:rsidRPr="000665B0" w:rsidRDefault="007A64BE" w:rsidP="008C6178">
            <w:pPr>
              <w:spacing w:before="40" w:after="40" w:line="240" w:lineRule="auto"/>
              <w:ind w:hanging="29"/>
              <w:rPr>
                <w:szCs w:val="24"/>
              </w:rPr>
            </w:pPr>
            <w:r w:rsidRPr="000665B0">
              <w:rPr>
                <w:szCs w:val="24"/>
              </w:rPr>
              <w:t>For information only.</w:t>
            </w:r>
          </w:p>
        </w:tc>
      </w:tr>
      <w:tr w:rsidR="000A47D1" w:rsidRPr="000665B0" w14:paraId="5630A9B8" w14:textId="77777777" w:rsidTr="00AD30C3">
        <w:trPr>
          <w:cantSplit/>
        </w:trPr>
        <w:tc>
          <w:tcPr>
            <w:tcW w:w="3438" w:type="dxa"/>
          </w:tcPr>
          <w:p w14:paraId="5DF23491" w14:textId="77777777" w:rsidR="007A64BE" w:rsidRPr="000665B0" w:rsidRDefault="007A64BE" w:rsidP="00B13D81">
            <w:pPr>
              <w:spacing w:before="40" w:after="40" w:line="240" w:lineRule="auto"/>
              <w:rPr>
                <w:b/>
                <w:noProof/>
                <w:szCs w:val="24"/>
              </w:rPr>
            </w:pPr>
            <w:r w:rsidRPr="000665B0">
              <w:rPr>
                <w:b/>
                <w:noProof/>
                <w:szCs w:val="24"/>
              </w:rPr>
              <w:t>[</w:t>
            </w:r>
            <w:r w:rsidR="00AC6819" w:rsidRPr="000665B0">
              <w:rPr>
                <w:b/>
                <w:noProof/>
                <w:szCs w:val="24"/>
              </w:rPr>
              <w:t>COUNTRY CODE</w:t>
            </w:r>
            <w:r w:rsidRPr="000665B0">
              <w:rPr>
                <w:b/>
                <w:noProof/>
                <w:szCs w:val="24"/>
              </w:rPr>
              <w:t xml:space="preserve">] </w:t>
            </w:r>
            <w:r w:rsidR="00B13D81" w:rsidRPr="000665B0">
              <w:rPr>
                <w:b/>
                <w:noProof/>
                <w:szCs w:val="24"/>
              </w:rPr>
              <w:t>-</w:t>
            </w:r>
            <w:r w:rsidRPr="000665B0">
              <w:rPr>
                <w:b/>
                <w:noProof/>
                <w:szCs w:val="24"/>
              </w:rPr>
              <w:t xml:space="preserve"> INVALID</w:t>
            </w:r>
          </w:p>
        </w:tc>
        <w:tc>
          <w:tcPr>
            <w:tcW w:w="3240" w:type="dxa"/>
          </w:tcPr>
          <w:p w14:paraId="2FD79896" w14:textId="77777777" w:rsidR="007A64BE" w:rsidRPr="000665B0" w:rsidRDefault="007A64BE" w:rsidP="007A7F22">
            <w:pPr>
              <w:spacing w:before="40" w:after="40" w:line="240" w:lineRule="auto"/>
              <w:ind w:hanging="29"/>
              <w:rPr>
                <w:szCs w:val="24"/>
              </w:rPr>
            </w:pPr>
            <w:r w:rsidRPr="000665B0">
              <w:rPr>
                <w:szCs w:val="24"/>
              </w:rPr>
              <w:t>The Country Code does not exist in the cache.</w:t>
            </w:r>
          </w:p>
        </w:tc>
        <w:tc>
          <w:tcPr>
            <w:tcW w:w="2880" w:type="dxa"/>
          </w:tcPr>
          <w:p w14:paraId="7D057A45" w14:textId="3F3A7B8A" w:rsidR="007A64BE" w:rsidRPr="000665B0" w:rsidRDefault="00EE1656" w:rsidP="009B11F6">
            <w:pPr>
              <w:spacing w:before="40" w:after="40" w:line="240" w:lineRule="auto"/>
              <w:ind w:hanging="29"/>
              <w:rPr>
                <w:szCs w:val="24"/>
              </w:rPr>
            </w:pPr>
            <w:r w:rsidRPr="000665B0">
              <w:rPr>
                <w:szCs w:val="24"/>
              </w:rPr>
              <w:t>See</w:t>
            </w:r>
            <w:r w:rsidR="00B13D81" w:rsidRPr="000665B0">
              <w:rPr>
                <w:szCs w:val="24"/>
              </w:rPr>
              <w:t xml:space="preserve"> Appendix C,</w:t>
            </w:r>
            <w:r w:rsidRPr="000665B0">
              <w:rPr>
                <w:szCs w:val="24"/>
              </w:rPr>
              <w:t xml:space="preserve"> </w:t>
            </w:r>
            <w:hyperlink w:anchor="Backward_Compatibility_Country_Code_Inva" w:history="1">
              <w:r w:rsidRPr="000665B0">
                <w:rPr>
                  <w:rStyle w:val="Hyperlink"/>
                  <w:szCs w:val="24"/>
                </w:rPr>
                <w:t>Section C</w:t>
              </w:r>
              <w:r w:rsidR="009B11F6" w:rsidRPr="000665B0">
                <w:rPr>
                  <w:rStyle w:val="Hyperlink"/>
                  <w:szCs w:val="24"/>
                </w:rPr>
                <w:t>.</w:t>
              </w:r>
              <w:r w:rsidRPr="000665B0">
                <w:rPr>
                  <w:rStyle w:val="Hyperlink"/>
                  <w:szCs w:val="24"/>
                </w:rPr>
                <w:t>1.</w:t>
              </w:r>
              <w:r w:rsidR="008705E1" w:rsidRPr="000665B0">
                <w:rPr>
                  <w:rStyle w:val="Hyperlink"/>
                  <w:szCs w:val="24"/>
                </w:rPr>
                <w:t>1.1</w:t>
              </w:r>
            </w:hyperlink>
            <w:r w:rsidRPr="000665B0">
              <w:rPr>
                <w:szCs w:val="24"/>
              </w:rPr>
              <w:t>.</w:t>
            </w:r>
          </w:p>
        </w:tc>
      </w:tr>
    </w:tbl>
    <w:p w14:paraId="23EBCD0A" w14:textId="6CFF44D8" w:rsidR="00EE1656" w:rsidRPr="000665B0" w:rsidRDefault="00EE1656" w:rsidP="00155E82">
      <w:pPr>
        <w:pStyle w:val="Appendix4"/>
        <w:ind w:left="360"/>
      </w:pPr>
      <w:bookmarkStart w:id="7351" w:name="_C-1.2__Backward"/>
      <w:bookmarkStart w:id="7352" w:name="_C-1.1.1__Backward"/>
      <w:bookmarkStart w:id="7353" w:name="Backward_Compatibility_Country_Code_Inva"/>
      <w:bookmarkEnd w:id="7351"/>
      <w:bookmarkEnd w:id="7352"/>
      <w:r w:rsidRPr="000665B0">
        <w:t>Backward Compatibility/“</w:t>
      </w:r>
      <w:r w:rsidR="000B6947" w:rsidRPr="000665B0">
        <w:t>[</w:t>
      </w:r>
      <w:r w:rsidR="00AC6819" w:rsidRPr="000665B0">
        <w:t>COUNTRY CODE</w:t>
      </w:r>
      <w:r w:rsidR="000B6947" w:rsidRPr="000665B0">
        <w:t>]</w:t>
      </w:r>
      <w:r w:rsidRPr="000665B0">
        <w:t xml:space="preserve"> </w:t>
      </w:r>
      <w:r w:rsidR="000B6947" w:rsidRPr="000665B0">
        <w:t>-</w:t>
      </w:r>
      <w:r w:rsidRPr="000665B0">
        <w:t xml:space="preserve"> INVALID”</w:t>
      </w:r>
      <w:bookmarkEnd w:id="7353"/>
    </w:p>
    <w:p w14:paraId="2825C044" w14:textId="70BD6F9E" w:rsidR="00EE1656" w:rsidRPr="000665B0" w:rsidRDefault="00146018" w:rsidP="00EE1656">
      <w:bookmarkStart w:id="7354" w:name="_Hlk40958956"/>
      <w:r w:rsidRPr="000665B0">
        <w:t>When</w:t>
      </w:r>
      <w:r w:rsidR="00EE1656" w:rsidRPr="000665B0">
        <w:t xml:space="preserve"> a data record</w:t>
      </w:r>
      <w:r w:rsidRPr="000665B0">
        <w:t xml:space="preserve"> </w:t>
      </w:r>
      <w:r w:rsidR="00EE1656" w:rsidRPr="000665B0">
        <w:t xml:space="preserve">(such as an ACMS, Target, Threat, etc.) </w:t>
      </w:r>
      <w:r w:rsidR="008705E1" w:rsidRPr="000665B0">
        <w:t>that was created by</w:t>
      </w:r>
      <w:r w:rsidR="00EE1656" w:rsidRPr="000665B0">
        <w:t xml:space="preserve"> a pre-5.0.2 system</w:t>
      </w:r>
      <w:r w:rsidRPr="000665B0">
        <w:t xml:space="preserve"> is accessed</w:t>
      </w:r>
      <w:r w:rsidR="00EE1656" w:rsidRPr="000665B0">
        <w:t>,</w:t>
      </w:r>
      <w:r w:rsidR="00F25398" w:rsidRPr="000665B0">
        <w:t xml:space="preserve"> the </w:t>
      </w:r>
      <w:r w:rsidR="00F25398" w:rsidRPr="000665B0">
        <w:rPr>
          <w:b/>
        </w:rPr>
        <w:t>Country</w:t>
      </w:r>
      <w:r w:rsidR="00F25398" w:rsidRPr="000665B0">
        <w:t xml:space="preserve"> field in the menu </w:t>
      </w:r>
      <w:r w:rsidR="00334A7B" w:rsidRPr="000665B0">
        <w:t xml:space="preserve">(and in the </w:t>
      </w:r>
      <w:r w:rsidR="00F25398" w:rsidRPr="000665B0">
        <w:t>list view</w:t>
      </w:r>
      <w:r w:rsidR="00334A7B" w:rsidRPr="000665B0">
        <w:t xml:space="preserve"> </w:t>
      </w:r>
      <w:r w:rsidR="00334A7B" w:rsidRPr="000665B0">
        <w:rPr>
          <w:b/>
        </w:rPr>
        <w:t>Country</w:t>
      </w:r>
      <w:r w:rsidR="00334A7B" w:rsidRPr="000665B0">
        <w:t xml:space="preserve"> column)</w:t>
      </w:r>
      <w:r w:rsidR="00F25398" w:rsidRPr="000665B0">
        <w:t xml:space="preserve"> </w:t>
      </w:r>
      <w:r w:rsidR="00704A81" w:rsidRPr="000665B0">
        <w:t>may</w:t>
      </w:r>
      <w:r w:rsidR="00D4395F" w:rsidRPr="000665B0">
        <w:t xml:space="preserve"> </w:t>
      </w:r>
      <w:r w:rsidR="00F25398" w:rsidRPr="000665B0">
        <w:t xml:space="preserve">display </w:t>
      </w:r>
      <w:r w:rsidR="00B8407C" w:rsidRPr="000665B0">
        <w:rPr>
          <w:b/>
        </w:rPr>
        <w:t>[</w:t>
      </w:r>
      <w:r w:rsidR="00AC6819" w:rsidRPr="000665B0">
        <w:rPr>
          <w:b/>
        </w:rPr>
        <w:t>COUNTRY CODE</w:t>
      </w:r>
      <w:r w:rsidR="00B8407C" w:rsidRPr="000665B0">
        <w:rPr>
          <w:b/>
        </w:rPr>
        <w:t>]</w:t>
      </w:r>
      <w:r w:rsidR="00F25398" w:rsidRPr="000665B0">
        <w:rPr>
          <w:b/>
        </w:rPr>
        <w:t xml:space="preserve"> </w:t>
      </w:r>
      <w:r w:rsidR="00D4395F" w:rsidRPr="000665B0">
        <w:rPr>
          <w:b/>
        </w:rPr>
        <w:t>-</w:t>
      </w:r>
      <w:r w:rsidR="00F25398" w:rsidRPr="000665B0">
        <w:rPr>
          <w:b/>
        </w:rPr>
        <w:t xml:space="preserve"> INVALID</w:t>
      </w:r>
      <w:r w:rsidR="00F25398" w:rsidRPr="000665B0">
        <w:t xml:space="preserve">. </w:t>
      </w:r>
    </w:p>
    <w:bookmarkEnd w:id="7354"/>
    <w:p w14:paraId="4B4DBD0E" w14:textId="0B13BE5A" w:rsidR="00F25398" w:rsidRPr="000665B0" w:rsidRDefault="000C2628" w:rsidP="00F25398">
      <w:pPr>
        <w:jc w:val="center"/>
      </w:pPr>
      <w:r w:rsidRPr="000665B0">
        <w:rPr>
          <w:noProof/>
        </w:rPr>
        <w:drawing>
          <wp:inline distT="0" distB="0" distL="0" distR="0" wp14:anchorId="05CE54EE" wp14:editId="37D464DD">
            <wp:extent cx="4572000" cy="3090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3090672"/>
                    </a:xfrm>
                    <a:prstGeom prst="rect">
                      <a:avLst/>
                    </a:prstGeom>
                  </pic:spPr>
                </pic:pic>
              </a:graphicData>
            </a:graphic>
          </wp:inline>
        </w:drawing>
      </w:r>
    </w:p>
    <w:p w14:paraId="005A9F73" w14:textId="77777777" w:rsidR="00EE1656" w:rsidRPr="000665B0" w:rsidRDefault="00F25398" w:rsidP="00EE1656">
      <w:r w:rsidRPr="000665B0">
        <w:t xml:space="preserve">If the </w:t>
      </w:r>
      <w:r w:rsidRPr="000665B0">
        <w:rPr>
          <w:b/>
        </w:rPr>
        <w:t>Country</w:t>
      </w:r>
      <w:r w:rsidRPr="000665B0">
        <w:t xml:space="preserve"> is not a required field,</w:t>
      </w:r>
      <w:r w:rsidR="00B13D81" w:rsidRPr="000665B0">
        <w:t xml:space="preserve"> the </w:t>
      </w:r>
      <w:r w:rsidRPr="000665B0">
        <w:t>menu</w:t>
      </w:r>
      <w:r w:rsidR="00B8407C" w:rsidRPr="000665B0">
        <w:t xml:space="preserve"> </w:t>
      </w:r>
      <w:r w:rsidR="00EF1C9A" w:rsidRPr="000665B0">
        <w:t>displays</w:t>
      </w:r>
      <w:r w:rsidR="00526C02" w:rsidRPr="000665B0">
        <w:t xml:space="preserve"> </w:t>
      </w:r>
      <w:r w:rsidR="00B8407C" w:rsidRPr="000665B0">
        <w:t xml:space="preserve">a blank option, </w:t>
      </w:r>
      <w:r w:rsidR="00EF1C9A" w:rsidRPr="000665B0">
        <w:t>followed by</w:t>
      </w:r>
      <w:r w:rsidR="00B8407C" w:rsidRPr="000665B0">
        <w:t xml:space="preserve"> </w:t>
      </w:r>
      <w:r w:rsidR="00D4395F" w:rsidRPr="000665B0">
        <w:t>a valid</w:t>
      </w:r>
      <w:r w:rsidR="00B8407C" w:rsidRPr="000665B0">
        <w:t xml:space="preserve"> list of country codes and names that can be selected.</w:t>
      </w:r>
      <w:r w:rsidR="00F34D01" w:rsidRPr="000665B0">
        <w:t xml:space="preserve"> If the </w:t>
      </w:r>
      <w:r w:rsidR="00F34D01" w:rsidRPr="000665B0">
        <w:rPr>
          <w:b/>
        </w:rPr>
        <w:t>Country</w:t>
      </w:r>
      <w:r w:rsidR="00F34D01" w:rsidRPr="000665B0">
        <w:t xml:space="preserve"> is a required field, the blank option is not </w:t>
      </w:r>
      <w:r w:rsidR="00EF1C9A" w:rsidRPr="000665B0">
        <w:t>displayed</w:t>
      </w:r>
      <w:r w:rsidR="00F34D01" w:rsidRPr="000665B0">
        <w:t xml:space="preserve"> in the menu.</w:t>
      </w:r>
    </w:p>
    <w:p w14:paraId="2FA3BEB1" w14:textId="22838056" w:rsidR="00F25398" w:rsidRPr="000665B0" w:rsidRDefault="000C2628" w:rsidP="00B8407C">
      <w:pPr>
        <w:jc w:val="center"/>
      </w:pPr>
      <w:r w:rsidRPr="000665B0">
        <w:rPr>
          <w:noProof/>
        </w:rPr>
        <w:lastRenderedPageBreak/>
        <w:drawing>
          <wp:inline distT="0" distB="0" distL="0" distR="0" wp14:anchorId="6F97B0A6" wp14:editId="74923BDB">
            <wp:extent cx="4114800" cy="249631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14800" cy="2496312"/>
                    </a:xfrm>
                    <a:prstGeom prst="rect">
                      <a:avLst/>
                    </a:prstGeom>
                  </pic:spPr>
                </pic:pic>
              </a:graphicData>
            </a:graphic>
          </wp:inline>
        </w:drawing>
      </w:r>
    </w:p>
    <w:p w14:paraId="37D763D2" w14:textId="77777777" w:rsidR="00146018" w:rsidRPr="000665B0" w:rsidRDefault="00B8407C" w:rsidP="00EE1656">
      <w:r w:rsidRPr="000665B0">
        <w:t>The user can select either</w:t>
      </w:r>
      <w:r w:rsidR="00146018" w:rsidRPr="000665B0">
        <w:t>:</w:t>
      </w:r>
    </w:p>
    <w:p w14:paraId="5D1D3725" w14:textId="5C7681B6" w:rsidR="00146018" w:rsidRPr="000665B0" w:rsidRDefault="00B8407C" w:rsidP="006D5A65">
      <w:pPr>
        <w:pStyle w:val="Heading1"/>
      </w:pPr>
      <w:r w:rsidRPr="000665B0">
        <w:t>[</w:t>
      </w:r>
      <w:r w:rsidR="00AC6819" w:rsidRPr="000665B0">
        <w:t>COUNTRY CODE</w:t>
      </w:r>
      <w:r w:rsidRPr="000665B0">
        <w:t xml:space="preserve">] </w:t>
      </w:r>
      <w:r w:rsidR="00B13D81" w:rsidRPr="000665B0">
        <w:t>-</w:t>
      </w:r>
      <w:r w:rsidRPr="000665B0">
        <w:t xml:space="preserve"> INVALID</w:t>
      </w:r>
      <w:r w:rsidR="000C2628" w:rsidRPr="000665B0">
        <w:t xml:space="preserve"> (to reconfirm the existing selection)</w:t>
      </w:r>
    </w:p>
    <w:p w14:paraId="44D967B3" w14:textId="77777777" w:rsidR="00146018" w:rsidRPr="000665B0" w:rsidRDefault="00146018" w:rsidP="006D5A65">
      <w:pPr>
        <w:pStyle w:val="Heading1"/>
      </w:pPr>
      <w:r w:rsidRPr="000665B0">
        <w:t>T</w:t>
      </w:r>
      <w:r w:rsidR="00B8407C" w:rsidRPr="000665B0">
        <w:t>he blank option</w:t>
      </w:r>
      <w:r w:rsidR="00526C02" w:rsidRPr="000665B0">
        <w:t xml:space="preserve"> (if Country is not </w:t>
      </w:r>
      <w:r w:rsidR="00B13D81" w:rsidRPr="000665B0">
        <w:t xml:space="preserve">a </w:t>
      </w:r>
      <w:r w:rsidR="00526C02" w:rsidRPr="000665B0">
        <w:t>required</w:t>
      </w:r>
      <w:r w:rsidR="00B13D81" w:rsidRPr="000665B0">
        <w:t xml:space="preserve"> field</w:t>
      </w:r>
      <w:r w:rsidR="00526C02" w:rsidRPr="000665B0">
        <w:t>)</w:t>
      </w:r>
    </w:p>
    <w:p w14:paraId="636C0F06" w14:textId="77777777" w:rsidR="00146018" w:rsidRPr="000665B0" w:rsidRDefault="00B13D81" w:rsidP="006D5A65">
      <w:pPr>
        <w:pStyle w:val="Heading1"/>
      </w:pPr>
      <w:r w:rsidRPr="000665B0">
        <w:t xml:space="preserve">A valid </w:t>
      </w:r>
      <w:r w:rsidR="00B8407C" w:rsidRPr="000665B0">
        <w:t>[</w:t>
      </w:r>
      <w:r w:rsidR="00AC6819" w:rsidRPr="000665B0">
        <w:t>COUNTRY CODE</w:t>
      </w:r>
      <w:r w:rsidR="00B8407C" w:rsidRPr="000665B0">
        <w:t xml:space="preserve">] </w:t>
      </w:r>
      <w:r w:rsidRPr="000665B0">
        <w:t>-</w:t>
      </w:r>
      <w:r w:rsidR="00B8407C" w:rsidRPr="000665B0">
        <w:t xml:space="preserve"> [</w:t>
      </w:r>
      <w:r w:rsidR="00AC6819" w:rsidRPr="000665B0">
        <w:t>COUNTRY NAME</w:t>
      </w:r>
      <w:r w:rsidR="00B8407C" w:rsidRPr="000665B0">
        <w:t xml:space="preserve">]. </w:t>
      </w:r>
    </w:p>
    <w:p w14:paraId="037F6116" w14:textId="6F60A1D2" w:rsidR="00B8407C" w:rsidRPr="000665B0" w:rsidRDefault="00B8407C" w:rsidP="0055373F">
      <w:r w:rsidRPr="000665B0">
        <w:t xml:space="preserve">All three of these options </w:t>
      </w:r>
      <w:r w:rsidR="000C2628" w:rsidRPr="000665B0">
        <w:t>must be saved to retain the selection</w:t>
      </w:r>
      <w:r w:rsidRPr="000665B0">
        <w:t>.</w:t>
      </w:r>
    </w:p>
    <w:p w14:paraId="48BC2B02" w14:textId="4533C97D" w:rsidR="00B8407C" w:rsidRPr="000665B0" w:rsidRDefault="00B8407C" w:rsidP="00B8407C">
      <w:r w:rsidRPr="000665B0">
        <w:t xml:space="preserve">When the blank option or a valid </w:t>
      </w:r>
      <w:r w:rsidRPr="000665B0">
        <w:rPr>
          <w:b/>
        </w:rPr>
        <w:t>[</w:t>
      </w:r>
      <w:r w:rsidR="00AC6819" w:rsidRPr="000665B0">
        <w:rPr>
          <w:b/>
        </w:rPr>
        <w:t>COUNTRY CODE</w:t>
      </w:r>
      <w:r w:rsidRPr="000665B0">
        <w:rPr>
          <w:b/>
        </w:rPr>
        <w:t xml:space="preserve">] </w:t>
      </w:r>
      <w:r w:rsidR="00D4395F" w:rsidRPr="000665B0">
        <w:rPr>
          <w:b/>
        </w:rPr>
        <w:t>-</w:t>
      </w:r>
      <w:r w:rsidRPr="000665B0">
        <w:rPr>
          <w:b/>
        </w:rPr>
        <w:t xml:space="preserve"> [</w:t>
      </w:r>
      <w:r w:rsidR="00AC6819" w:rsidRPr="000665B0">
        <w:rPr>
          <w:b/>
        </w:rPr>
        <w:t>COUNTRY NAME</w:t>
      </w:r>
      <w:r w:rsidRPr="000665B0">
        <w:rPr>
          <w:b/>
        </w:rPr>
        <w:t>]</w:t>
      </w:r>
      <w:r w:rsidRPr="000665B0">
        <w:t xml:space="preserve"> is selected and </w:t>
      </w:r>
      <w:r w:rsidR="00146018" w:rsidRPr="000665B0">
        <w:t>the selection is saved</w:t>
      </w:r>
      <w:r w:rsidRPr="000665B0">
        <w:t xml:space="preserve">, the </w:t>
      </w:r>
      <w:r w:rsidRPr="000665B0">
        <w:rPr>
          <w:b/>
        </w:rPr>
        <w:t>[</w:t>
      </w:r>
      <w:r w:rsidR="00AC6819" w:rsidRPr="000665B0">
        <w:rPr>
          <w:b/>
        </w:rPr>
        <w:t>COUNTRY CODE</w:t>
      </w:r>
      <w:r w:rsidRPr="000665B0">
        <w:rPr>
          <w:b/>
        </w:rPr>
        <w:t xml:space="preserve">] </w:t>
      </w:r>
      <w:r w:rsidR="00B13D81" w:rsidRPr="000665B0">
        <w:rPr>
          <w:b/>
        </w:rPr>
        <w:t>-</w:t>
      </w:r>
      <w:r w:rsidRPr="000665B0">
        <w:rPr>
          <w:b/>
        </w:rPr>
        <w:t xml:space="preserve"> INVALID</w:t>
      </w:r>
      <w:r w:rsidRPr="000665B0">
        <w:t xml:space="preserve"> selection is </w:t>
      </w:r>
      <w:r w:rsidR="00526C02" w:rsidRPr="000665B0">
        <w:t>no longer displayed</w:t>
      </w:r>
      <w:r w:rsidR="00EB2033" w:rsidRPr="000665B0">
        <w:t xml:space="preserve"> in the </w:t>
      </w:r>
      <w:r w:rsidR="00B705A7" w:rsidRPr="000665B0">
        <w:t>pull-down</w:t>
      </w:r>
      <w:r w:rsidR="00CE357F" w:rsidRPr="000665B0">
        <w:t xml:space="preserve"> </w:t>
      </w:r>
      <w:r w:rsidR="00EB2033" w:rsidRPr="000665B0">
        <w:t>menu</w:t>
      </w:r>
      <w:r w:rsidR="00526C02" w:rsidRPr="000665B0">
        <w:t>.</w:t>
      </w:r>
      <w:r w:rsidR="0013452A" w:rsidRPr="000665B0">
        <w:t xml:space="preserve"> When a valid </w:t>
      </w:r>
      <w:r w:rsidR="0013452A" w:rsidRPr="000665B0">
        <w:rPr>
          <w:b/>
        </w:rPr>
        <w:t>[COUNTRY CODE] - [COUNTRY NAME]</w:t>
      </w:r>
      <w:r w:rsidR="0013452A" w:rsidRPr="000665B0">
        <w:t xml:space="preserve"> is selected and the selection is saved, the blank option is no longer displayed in the </w:t>
      </w:r>
      <w:r w:rsidR="00B705A7" w:rsidRPr="000665B0">
        <w:t>pull-down</w:t>
      </w:r>
      <w:r w:rsidR="0013452A" w:rsidRPr="000665B0">
        <w:t xml:space="preserve"> menu.</w:t>
      </w:r>
    </w:p>
    <w:p w14:paraId="75CAD765" w14:textId="5FD17BB6" w:rsidR="00B8407C" w:rsidRPr="000665B0" w:rsidRDefault="0013452A" w:rsidP="00B8407C">
      <w:pPr>
        <w:jc w:val="center"/>
      </w:pPr>
      <w:r w:rsidRPr="000665B0">
        <w:rPr>
          <w:noProof/>
        </w:rPr>
        <w:drawing>
          <wp:inline distT="0" distB="0" distL="0" distR="0" wp14:anchorId="34DE219F" wp14:editId="3C05EA4F">
            <wp:extent cx="4114800" cy="2350008"/>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350008"/>
                    </a:xfrm>
                    <a:prstGeom prst="rect">
                      <a:avLst/>
                    </a:prstGeom>
                  </pic:spPr>
                </pic:pic>
              </a:graphicData>
            </a:graphic>
          </wp:inline>
        </w:drawing>
      </w:r>
    </w:p>
    <w:p w14:paraId="01B63E92" w14:textId="77777777" w:rsidR="008A4FCD" w:rsidRPr="000665B0" w:rsidRDefault="008A4FCD" w:rsidP="00E300C3"/>
    <w:p w14:paraId="19B17E2C" w14:textId="77777777" w:rsidR="00A316EA" w:rsidRDefault="00A316EA" w:rsidP="00E300C3">
      <w:r>
        <w:br w:type="page"/>
      </w:r>
      <w:bookmarkStart w:id="7355" w:name="_Appendix_D__Country_Codes__(SORTED_"/>
      <w:bookmarkEnd w:id="7355"/>
    </w:p>
    <w:p w14:paraId="1C8541E7" w14:textId="1801124D" w:rsidR="005D1A26" w:rsidRPr="000665B0" w:rsidRDefault="009319FE" w:rsidP="003604C5">
      <w:pPr>
        <w:pStyle w:val="Appendix"/>
      </w:pPr>
      <w:bookmarkStart w:id="7356" w:name="_Appendix_D__DATA_SENT_FROM_PC-MDS"/>
      <w:bookmarkStart w:id="7357" w:name="_Appendix_D_"/>
      <w:bookmarkStart w:id="7358" w:name="_Toc96170373"/>
      <w:bookmarkStart w:id="7359" w:name="_Toc96234418"/>
      <w:bookmarkStart w:id="7360" w:name="_Toc112733874"/>
      <w:bookmarkStart w:id="7361" w:name="_Toc289329082"/>
      <w:bookmarkStart w:id="7362" w:name="_Toc312332191"/>
      <w:bookmarkStart w:id="7363" w:name="_Hlk60142456"/>
      <w:bookmarkEnd w:id="7356"/>
      <w:bookmarkEnd w:id="7357"/>
      <w:r w:rsidRPr="000665B0">
        <w:lastRenderedPageBreak/>
        <w:br/>
      </w:r>
      <w:bookmarkStart w:id="7364" w:name="_Appendix_E__DATA_SENT_FROM_PC-MDS"/>
      <w:bookmarkStart w:id="7365" w:name="_Appendix_E__DATA_SENT_FROM_PC-MDS_1"/>
      <w:bookmarkStart w:id="7366" w:name="_Toc214283679"/>
      <w:bookmarkEnd w:id="7364"/>
      <w:bookmarkEnd w:id="7365"/>
      <w:r w:rsidR="005D1A26" w:rsidRPr="000665B0">
        <w:t>DATA SENT FROM MDS</w:t>
      </w:r>
      <w:bookmarkEnd w:id="7358"/>
      <w:bookmarkEnd w:id="7359"/>
      <w:bookmarkEnd w:id="7360"/>
      <w:bookmarkEnd w:id="7361"/>
      <w:bookmarkEnd w:id="7362"/>
      <w:bookmarkEnd w:id="736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0"/>
        <w:gridCol w:w="1292"/>
        <w:gridCol w:w="638"/>
        <w:gridCol w:w="1205"/>
        <w:gridCol w:w="725"/>
        <w:gridCol w:w="1292"/>
        <w:gridCol w:w="638"/>
        <w:gridCol w:w="1215"/>
        <w:gridCol w:w="715"/>
      </w:tblGrid>
      <w:tr w:rsidR="00E614A0" w:rsidRPr="000665B0" w14:paraId="336439E7" w14:textId="77777777" w:rsidTr="00460A85">
        <w:trPr>
          <w:cantSplit/>
          <w:trHeight w:val="375"/>
          <w:tblHeader/>
          <w:jc w:val="center"/>
        </w:trPr>
        <w:tc>
          <w:tcPr>
            <w:tcW w:w="1630" w:type="dxa"/>
            <w:shd w:val="clear" w:color="auto" w:fill="D9D9D9" w:themeFill="background1" w:themeFillShade="D9"/>
            <w:noWrap/>
          </w:tcPr>
          <w:p w14:paraId="4936C49A" w14:textId="77777777" w:rsidR="000D2B9B" w:rsidRPr="000665B0" w:rsidRDefault="000D2B9B" w:rsidP="00A0163E">
            <w:pPr>
              <w:spacing w:before="40" w:after="40"/>
              <w:rPr>
                <w:rFonts w:ascii="Arial" w:hAnsi="Arial" w:cs="Arial"/>
                <w:sz w:val="18"/>
                <w:szCs w:val="18"/>
              </w:rPr>
            </w:pPr>
            <w:r w:rsidRPr="000665B0">
              <w:rPr>
                <w:rFonts w:ascii="Arial" w:hAnsi="Arial" w:cs="Arial"/>
                <w:sz w:val="18"/>
                <w:szCs w:val="18"/>
              </w:rPr>
              <w:t> </w:t>
            </w:r>
          </w:p>
        </w:tc>
        <w:tc>
          <w:tcPr>
            <w:tcW w:w="3860" w:type="dxa"/>
            <w:gridSpan w:val="4"/>
            <w:shd w:val="clear" w:color="auto" w:fill="D9D9D9" w:themeFill="background1" w:themeFillShade="D9"/>
            <w:noWrap/>
          </w:tcPr>
          <w:p w14:paraId="57EFC4EB" w14:textId="50C7022A" w:rsidR="000D2B9B" w:rsidRPr="000665B0" w:rsidRDefault="000D2B9B" w:rsidP="00A0163E">
            <w:pPr>
              <w:spacing w:before="40" w:after="40"/>
              <w:jc w:val="center"/>
              <w:rPr>
                <w:szCs w:val="24"/>
              </w:rPr>
            </w:pPr>
            <w:r w:rsidRPr="000665B0">
              <w:rPr>
                <w:b/>
                <w:bCs/>
                <w:szCs w:val="24"/>
              </w:rPr>
              <w:t>Media</w:t>
            </w:r>
          </w:p>
        </w:tc>
        <w:tc>
          <w:tcPr>
            <w:tcW w:w="3860" w:type="dxa"/>
            <w:gridSpan w:val="4"/>
            <w:shd w:val="clear" w:color="auto" w:fill="D9D9D9" w:themeFill="background1" w:themeFillShade="D9"/>
            <w:noWrap/>
          </w:tcPr>
          <w:p w14:paraId="7003F3CE" w14:textId="3D444C39" w:rsidR="000D2B9B" w:rsidRPr="000665B0" w:rsidRDefault="000D2B9B" w:rsidP="00A0163E">
            <w:pPr>
              <w:spacing w:before="40" w:after="40"/>
              <w:jc w:val="center"/>
              <w:rPr>
                <w:b/>
                <w:bCs/>
                <w:szCs w:val="24"/>
              </w:rPr>
            </w:pPr>
            <w:r w:rsidRPr="000665B0">
              <w:rPr>
                <w:b/>
                <w:bCs/>
                <w:szCs w:val="24"/>
              </w:rPr>
              <w:t>Comms</w:t>
            </w:r>
          </w:p>
        </w:tc>
      </w:tr>
      <w:tr w:rsidR="00E614A0" w:rsidRPr="000665B0" w14:paraId="0ECA2B03" w14:textId="77777777" w:rsidTr="00460A85">
        <w:trPr>
          <w:cantSplit/>
          <w:trHeight w:val="270"/>
          <w:tblHeader/>
          <w:jc w:val="center"/>
        </w:trPr>
        <w:tc>
          <w:tcPr>
            <w:tcW w:w="1630" w:type="dxa"/>
            <w:shd w:val="clear" w:color="auto" w:fill="D9D9D9" w:themeFill="background1" w:themeFillShade="D9"/>
            <w:noWrap/>
          </w:tcPr>
          <w:p w14:paraId="270E2544" w14:textId="77777777" w:rsidR="000D2B9B" w:rsidRPr="000665B0" w:rsidRDefault="000D2B9B" w:rsidP="00A0163E">
            <w:pPr>
              <w:spacing w:before="40" w:after="40"/>
              <w:rPr>
                <w:sz w:val="18"/>
                <w:szCs w:val="18"/>
              </w:rPr>
            </w:pPr>
            <w:r w:rsidRPr="000665B0">
              <w:rPr>
                <w:sz w:val="18"/>
                <w:szCs w:val="18"/>
              </w:rPr>
              <w:t> </w:t>
            </w:r>
          </w:p>
        </w:tc>
        <w:tc>
          <w:tcPr>
            <w:tcW w:w="1930" w:type="dxa"/>
            <w:gridSpan w:val="2"/>
            <w:shd w:val="clear" w:color="auto" w:fill="D9D9D9" w:themeFill="background1" w:themeFillShade="D9"/>
            <w:noWrap/>
          </w:tcPr>
          <w:p w14:paraId="345EA759" w14:textId="60D7719D" w:rsidR="000D2B9B" w:rsidRPr="000665B0" w:rsidRDefault="000D2B9B" w:rsidP="00A0163E">
            <w:pPr>
              <w:spacing w:before="40" w:after="40"/>
              <w:jc w:val="center"/>
              <w:rPr>
                <w:b/>
                <w:bCs/>
                <w:sz w:val="18"/>
                <w:szCs w:val="18"/>
              </w:rPr>
            </w:pPr>
            <w:r w:rsidRPr="000665B0">
              <w:rPr>
                <w:b/>
                <w:bCs/>
                <w:sz w:val="18"/>
                <w:szCs w:val="18"/>
              </w:rPr>
              <w:t>TED</w:t>
            </w:r>
          </w:p>
        </w:tc>
        <w:tc>
          <w:tcPr>
            <w:tcW w:w="1930" w:type="dxa"/>
            <w:gridSpan w:val="2"/>
            <w:shd w:val="clear" w:color="auto" w:fill="D9D9D9" w:themeFill="background1" w:themeFillShade="D9"/>
            <w:noWrap/>
          </w:tcPr>
          <w:p w14:paraId="123D8E22" w14:textId="77777777" w:rsidR="000D2B9B" w:rsidRPr="000665B0" w:rsidRDefault="000D2B9B" w:rsidP="00A0163E">
            <w:pPr>
              <w:spacing w:before="40" w:after="40"/>
              <w:jc w:val="center"/>
              <w:rPr>
                <w:b/>
                <w:bCs/>
                <w:sz w:val="18"/>
                <w:szCs w:val="18"/>
              </w:rPr>
            </w:pPr>
            <w:r w:rsidRPr="000665B0">
              <w:rPr>
                <w:b/>
                <w:bCs/>
                <w:sz w:val="18"/>
                <w:szCs w:val="18"/>
              </w:rPr>
              <w:t>TTWCS</w:t>
            </w:r>
          </w:p>
        </w:tc>
        <w:tc>
          <w:tcPr>
            <w:tcW w:w="1930" w:type="dxa"/>
            <w:gridSpan w:val="2"/>
            <w:shd w:val="clear" w:color="auto" w:fill="D9D9D9" w:themeFill="background1" w:themeFillShade="D9"/>
            <w:noWrap/>
          </w:tcPr>
          <w:p w14:paraId="5BBD9F4F" w14:textId="03956E99" w:rsidR="000D2B9B" w:rsidRPr="000665B0" w:rsidRDefault="000D2B9B" w:rsidP="00A0163E">
            <w:pPr>
              <w:spacing w:before="40" w:after="40"/>
              <w:jc w:val="center"/>
              <w:rPr>
                <w:b/>
                <w:bCs/>
                <w:sz w:val="18"/>
                <w:szCs w:val="18"/>
              </w:rPr>
            </w:pPr>
            <w:r w:rsidRPr="000665B0">
              <w:rPr>
                <w:b/>
                <w:bCs/>
                <w:sz w:val="18"/>
                <w:szCs w:val="18"/>
              </w:rPr>
              <w:t>TED</w:t>
            </w:r>
          </w:p>
        </w:tc>
        <w:tc>
          <w:tcPr>
            <w:tcW w:w="1930" w:type="dxa"/>
            <w:gridSpan w:val="2"/>
            <w:shd w:val="clear" w:color="auto" w:fill="D9D9D9" w:themeFill="background1" w:themeFillShade="D9"/>
            <w:noWrap/>
          </w:tcPr>
          <w:p w14:paraId="5443B9F6" w14:textId="77777777" w:rsidR="000D2B9B" w:rsidRPr="000665B0" w:rsidRDefault="000D2B9B" w:rsidP="00A0163E">
            <w:pPr>
              <w:spacing w:before="40" w:after="40"/>
              <w:jc w:val="center"/>
              <w:rPr>
                <w:b/>
                <w:bCs/>
                <w:sz w:val="18"/>
                <w:szCs w:val="18"/>
              </w:rPr>
            </w:pPr>
            <w:r w:rsidRPr="000665B0">
              <w:rPr>
                <w:b/>
                <w:bCs/>
                <w:sz w:val="18"/>
                <w:szCs w:val="18"/>
              </w:rPr>
              <w:t>TTWCS</w:t>
            </w:r>
          </w:p>
        </w:tc>
      </w:tr>
      <w:tr w:rsidR="00E614A0" w:rsidRPr="000665B0" w14:paraId="6C26AF36" w14:textId="77777777" w:rsidTr="00460A85">
        <w:trPr>
          <w:cantSplit/>
          <w:trHeight w:val="270"/>
          <w:jc w:val="center"/>
        </w:trPr>
        <w:tc>
          <w:tcPr>
            <w:tcW w:w="1630" w:type="dxa"/>
            <w:shd w:val="clear" w:color="auto" w:fill="D9D9D9" w:themeFill="background1" w:themeFillShade="D9"/>
            <w:noWrap/>
          </w:tcPr>
          <w:p w14:paraId="7CE0D6A5" w14:textId="77777777" w:rsidR="000D2B9B" w:rsidRPr="000665B0" w:rsidRDefault="000D2B9B" w:rsidP="00A0163E">
            <w:pPr>
              <w:spacing w:before="40" w:after="40"/>
              <w:rPr>
                <w:b/>
                <w:bCs/>
                <w:sz w:val="18"/>
                <w:szCs w:val="18"/>
              </w:rPr>
            </w:pPr>
            <w:r w:rsidRPr="000665B0">
              <w:rPr>
                <w:b/>
                <w:bCs/>
                <w:sz w:val="18"/>
                <w:szCs w:val="18"/>
              </w:rPr>
              <w:t>Distribution Lists</w:t>
            </w:r>
          </w:p>
        </w:tc>
        <w:tc>
          <w:tcPr>
            <w:tcW w:w="1292" w:type="dxa"/>
            <w:shd w:val="clear" w:color="auto" w:fill="D9D9D9" w:themeFill="background1" w:themeFillShade="D9"/>
            <w:noWrap/>
          </w:tcPr>
          <w:p w14:paraId="58977FDC" w14:textId="402DA52B" w:rsidR="000D2B9B" w:rsidRPr="000665B0" w:rsidRDefault="000D2B9B" w:rsidP="00A0163E">
            <w:pPr>
              <w:spacing w:before="40" w:after="40"/>
              <w:rPr>
                <w:b/>
                <w:bCs/>
                <w:sz w:val="18"/>
                <w:szCs w:val="18"/>
              </w:rPr>
            </w:pPr>
            <w:r w:rsidRPr="000665B0">
              <w:rPr>
                <w:b/>
                <w:bCs/>
                <w:sz w:val="18"/>
                <w:szCs w:val="18"/>
              </w:rPr>
              <w:t>Format</w:t>
            </w:r>
          </w:p>
        </w:tc>
        <w:tc>
          <w:tcPr>
            <w:tcW w:w="638" w:type="dxa"/>
            <w:shd w:val="clear" w:color="auto" w:fill="D9D9D9" w:themeFill="background1" w:themeFillShade="D9"/>
          </w:tcPr>
          <w:p w14:paraId="471107F1" w14:textId="652D4B49" w:rsidR="000D2B9B" w:rsidRPr="000665B0" w:rsidRDefault="00844912" w:rsidP="00A0163E">
            <w:pPr>
              <w:spacing w:before="40" w:after="40"/>
              <w:rPr>
                <w:b/>
                <w:bCs/>
                <w:sz w:val="18"/>
                <w:szCs w:val="18"/>
              </w:rPr>
            </w:pPr>
            <w:r w:rsidRPr="000665B0">
              <w:rPr>
                <w:b/>
                <w:bCs/>
                <w:sz w:val="18"/>
                <w:szCs w:val="18"/>
              </w:rPr>
              <w:t>7</w:t>
            </w:r>
            <w:r w:rsidR="000D2B9B" w:rsidRPr="000665B0">
              <w:rPr>
                <w:b/>
                <w:bCs/>
                <w:sz w:val="18"/>
                <w:szCs w:val="18"/>
              </w:rPr>
              <w:t>.x</w:t>
            </w:r>
          </w:p>
        </w:tc>
        <w:tc>
          <w:tcPr>
            <w:tcW w:w="1205" w:type="dxa"/>
            <w:shd w:val="clear" w:color="auto" w:fill="D9D9D9" w:themeFill="background1" w:themeFillShade="D9"/>
            <w:noWrap/>
          </w:tcPr>
          <w:p w14:paraId="59BF94FD" w14:textId="052038BF" w:rsidR="000D2B9B" w:rsidRPr="000665B0" w:rsidRDefault="000D2B9B" w:rsidP="00A0163E">
            <w:pPr>
              <w:spacing w:before="40" w:after="40"/>
              <w:rPr>
                <w:b/>
                <w:bCs/>
                <w:sz w:val="18"/>
                <w:szCs w:val="18"/>
              </w:rPr>
            </w:pPr>
            <w:r w:rsidRPr="000665B0">
              <w:rPr>
                <w:b/>
                <w:bCs/>
                <w:sz w:val="18"/>
                <w:szCs w:val="18"/>
              </w:rPr>
              <w:t>Format</w:t>
            </w:r>
          </w:p>
        </w:tc>
        <w:tc>
          <w:tcPr>
            <w:tcW w:w="725" w:type="dxa"/>
            <w:shd w:val="clear" w:color="auto" w:fill="D9D9D9" w:themeFill="background1" w:themeFillShade="D9"/>
          </w:tcPr>
          <w:p w14:paraId="25C38F65" w14:textId="32D9C952" w:rsidR="000D2B9B" w:rsidRPr="000665B0" w:rsidRDefault="000D2B9B" w:rsidP="00A0163E">
            <w:pPr>
              <w:spacing w:before="40" w:after="40"/>
              <w:rPr>
                <w:b/>
                <w:bCs/>
                <w:sz w:val="18"/>
                <w:szCs w:val="18"/>
              </w:rPr>
            </w:pPr>
            <w:r w:rsidRPr="000665B0">
              <w:rPr>
                <w:b/>
                <w:bCs/>
                <w:sz w:val="18"/>
                <w:szCs w:val="18"/>
              </w:rPr>
              <w:t>V5</w:t>
            </w:r>
            <w:r w:rsidR="00844912" w:rsidRPr="000665B0">
              <w:rPr>
                <w:b/>
                <w:bCs/>
                <w:sz w:val="18"/>
                <w:szCs w:val="18"/>
              </w:rPr>
              <w:t>.6.1</w:t>
            </w:r>
          </w:p>
        </w:tc>
        <w:tc>
          <w:tcPr>
            <w:tcW w:w="1292" w:type="dxa"/>
            <w:shd w:val="clear" w:color="auto" w:fill="D9D9D9" w:themeFill="background1" w:themeFillShade="D9"/>
            <w:noWrap/>
          </w:tcPr>
          <w:p w14:paraId="08B4D709" w14:textId="32263BC9" w:rsidR="000D2B9B" w:rsidRPr="000665B0" w:rsidRDefault="000D2B9B" w:rsidP="00A0163E">
            <w:pPr>
              <w:spacing w:before="40" w:after="40"/>
              <w:rPr>
                <w:b/>
                <w:bCs/>
                <w:sz w:val="18"/>
                <w:szCs w:val="18"/>
              </w:rPr>
            </w:pPr>
            <w:r w:rsidRPr="000665B0">
              <w:rPr>
                <w:b/>
                <w:bCs/>
                <w:sz w:val="18"/>
                <w:szCs w:val="18"/>
              </w:rPr>
              <w:t>Format</w:t>
            </w:r>
          </w:p>
        </w:tc>
        <w:tc>
          <w:tcPr>
            <w:tcW w:w="638" w:type="dxa"/>
            <w:shd w:val="clear" w:color="auto" w:fill="D9D9D9" w:themeFill="background1" w:themeFillShade="D9"/>
          </w:tcPr>
          <w:p w14:paraId="1CAA3216" w14:textId="15AE2B27" w:rsidR="000D2B9B" w:rsidRPr="000665B0" w:rsidRDefault="00844912" w:rsidP="00A0163E">
            <w:pPr>
              <w:spacing w:before="40" w:after="40"/>
              <w:rPr>
                <w:b/>
                <w:bCs/>
                <w:sz w:val="18"/>
                <w:szCs w:val="18"/>
              </w:rPr>
            </w:pPr>
            <w:r w:rsidRPr="000665B0">
              <w:rPr>
                <w:b/>
                <w:bCs/>
                <w:sz w:val="18"/>
                <w:szCs w:val="18"/>
              </w:rPr>
              <w:t>7</w:t>
            </w:r>
            <w:r w:rsidR="000D2B9B" w:rsidRPr="000665B0">
              <w:rPr>
                <w:b/>
                <w:bCs/>
                <w:sz w:val="18"/>
                <w:szCs w:val="18"/>
              </w:rPr>
              <w:t>.x</w:t>
            </w:r>
          </w:p>
        </w:tc>
        <w:tc>
          <w:tcPr>
            <w:tcW w:w="1215" w:type="dxa"/>
            <w:shd w:val="clear" w:color="auto" w:fill="D9D9D9" w:themeFill="background1" w:themeFillShade="D9"/>
            <w:noWrap/>
          </w:tcPr>
          <w:p w14:paraId="4B3BD9C0" w14:textId="7FD06DB3" w:rsidR="000D2B9B" w:rsidRPr="000665B0" w:rsidRDefault="000D2B9B" w:rsidP="00A0163E">
            <w:pPr>
              <w:spacing w:before="40" w:after="40"/>
              <w:rPr>
                <w:b/>
                <w:bCs/>
                <w:sz w:val="18"/>
                <w:szCs w:val="18"/>
              </w:rPr>
            </w:pPr>
            <w:r w:rsidRPr="000665B0">
              <w:rPr>
                <w:b/>
                <w:bCs/>
                <w:sz w:val="18"/>
                <w:szCs w:val="18"/>
              </w:rPr>
              <w:t>Format</w:t>
            </w:r>
          </w:p>
        </w:tc>
        <w:tc>
          <w:tcPr>
            <w:tcW w:w="715" w:type="dxa"/>
            <w:shd w:val="clear" w:color="auto" w:fill="D9D9D9" w:themeFill="background1" w:themeFillShade="D9"/>
          </w:tcPr>
          <w:p w14:paraId="521D7650" w14:textId="193545CF" w:rsidR="000D2B9B" w:rsidRPr="000665B0" w:rsidRDefault="000D2B9B" w:rsidP="00A0163E">
            <w:pPr>
              <w:spacing w:before="40" w:after="40"/>
              <w:rPr>
                <w:b/>
                <w:bCs/>
                <w:sz w:val="18"/>
                <w:szCs w:val="18"/>
              </w:rPr>
            </w:pPr>
            <w:r w:rsidRPr="000665B0">
              <w:rPr>
                <w:b/>
                <w:bCs/>
                <w:sz w:val="18"/>
                <w:szCs w:val="18"/>
              </w:rPr>
              <w:t>V5</w:t>
            </w:r>
            <w:r w:rsidR="00844912" w:rsidRPr="000665B0">
              <w:rPr>
                <w:b/>
                <w:bCs/>
                <w:sz w:val="18"/>
                <w:szCs w:val="18"/>
              </w:rPr>
              <w:t>.6.1</w:t>
            </w:r>
          </w:p>
        </w:tc>
      </w:tr>
      <w:tr w:rsidR="00D7559A" w:rsidRPr="000665B0" w14:paraId="6BA82383" w14:textId="77777777" w:rsidTr="00844912">
        <w:trPr>
          <w:cantSplit/>
          <w:trHeight w:val="270"/>
          <w:jc w:val="center"/>
        </w:trPr>
        <w:tc>
          <w:tcPr>
            <w:tcW w:w="1630" w:type="dxa"/>
            <w:noWrap/>
          </w:tcPr>
          <w:p w14:paraId="5237B170" w14:textId="77777777" w:rsidR="00D7559A" w:rsidRPr="000665B0" w:rsidRDefault="00D7559A" w:rsidP="00A0163E">
            <w:pPr>
              <w:spacing w:before="40" w:after="40"/>
              <w:rPr>
                <w:sz w:val="18"/>
                <w:szCs w:val="18"/>
              </w:rPr>
            </w:pPr>
            <w:r w:rsidRPr="000665B0">
              <w:rPr>
                <w:sz w:val="18"/>
                <w:szCs w:val="18"/>
              </w:rPr>
              <w:t>ACMS List</w:t>
            </w:r>
          </w:p>
        </w:tc>
        <w:tc>
          <w:tcPr>
            <w:tcW w:w="1292" w:type="dxa"/>
            <w:noWrap/>
          </w:tcPr>
          <w:p w14:paraId="3D9EE75C"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141E8DD0" w14:textId="77777777" w:rsidR="00D7559A" w:rsidRPr="000665B0" w:rsidRDefault="00D7559A" w:rsidP="00A0163E">
            <w:pPr>
              <w:spacing w:before="40" w:after="40"/>
              <w:rPr>
                <w:sz w:val="18"/>
                <w:szCs w:val="18"/>
              </w:rPr>
            </w:pPr>
            <w:r w:rsidRPr="000665B0">
              <w:rPr>
                <w:color w:val="000000"/>
                <w:sz w:val="18"/>
                <w:szCs w:val="18"/>
              </w:rPr>
              <w:t>NA</w:t>
            </w:r>
          </w:p>
        </w:tc>
        <w:tc>
          <w:tcPr>
            <w:tcW w:w="1205" w:type="dxa"/>
            <w:noWrap/>
          </w:tcPr>
          <w:p w14:paraId="733332C9" w14:textId="77777777" w:rsidR="00D7559A" w:rsidRPr="000665B0" w:rsidRDefault="00D7559A" w:rsidP="00A0163E">
            <w:pPr>
              <w:spacing w:before="40" w:after="40"/>
              <w:rPr>
                <w:sz w:val="18"/>
                <w:szCs w:val="18"/>
              </w:rPr>
            </w:pPr>
            <w:r w:rsidRPr="000665B0">
              <w:rPr>
                <w:sz w:val="18"/>
                <w:szCs w:val="18"/>
              </w:rPr>
              <w:t>Binary</w:t>
            </w:r>
          </w:p>
        </w:tc>
        <w:tc>
          <w:tcPr>
            <w:tcW w:w="725" w:type="dxa"/>
          </w:tcPr>
          <w:p w14:paraId="0E303B24"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6B5979C4" w14:textId="77777777" w:rsidR="00D7559A" w:rsidRPr="000665B0" w:rsidRDefault="00D7559A" w:rsidP="00A0163E">
            <w:pPr>
              <w:spacing w:before="40" w:after="40"/>
              <w:rPr>
                <w:sz w:val="18"/>
                <w:szCs w:val="18"/>
              </w:rPr>
            </w:pPr>
            <w:r w:rsidRPr="000665B0">
              <w:rPr>
                <w:sz w:val="18"/>
                <w:szCs w:val="18"/>
              </w:rPr>
              <w:t> </w:t>
            </w:r>
          </w:p>
        </w:tc>
        <w:tc>
          <w:tcPr>
            <w:tcW w:w="638" w:type="dxa"/>
          </w:tcPr>
          <w:p w14:paraId="62A13C0D" w14:textId="77777777" w:rsidR="00D7559A" w:rsidRPr="000665B0" w:rsidRDefault="00D7559A" w:rsidP="00A0163E">
            <w:pPr>
              <w:spacing w:before="40" w:after="40"/>
              <w:rPr>
                <w:sz w:val="18"/>
                <w:szCs w:val="18"/>
              </w:rPr>
            </w:pPr>
            <w:r w:rsidRPr="000665B0">
              <w:rPr>
                <w:color w:val="000000"/>
                <w:sz w:val="18"/>
                <w:szCs w:val="18"/>
              </w:rPr>
              <w:t>NA</w:t>
            </w:r>
          </w:p>
        </w:tc>
        <w:tc>
          <w:tcPr>
            <w:tcW w:w="1215" w:type="dxa"/>
            <w:noWrap/>
          </w:tcPr>
          <w:p w14:paraId="5E89B5A2" w14:textId="77777777" w:rsidR="00D7559A" w:rsidRPr="000665B0" w:rsidRDefault="00D7559A" w:rsidP="00A0163E">
            <w:pPr>
              <w:spacing w:before="40" w:after="40"/>
              <w:rPr>
                <w:sz w:val="18"/>
                <w:szCs w:val="18"/>
              </w:rPr>
            </w:pPr>
            <w:r w:rsidRPr="000665B0">
              <w:rPr>
                <w:sz w:val="18"/>
                <w:szCs w:val="18"/>
              </w:rPr>
              <w:t>FDU </w:t>
            </w:r>
          </w:p>
        </w:tc>
        <w:tc>
          <w:tcPr>
            <w:tcW w:w="715" w:type="dxa"/>
          </w:tcPr>
          <w:p w14:paraId="6409EBCE"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46DD69AC" w14:textId="77777777" w:rsidTr="00844912">
        <w:trPr>
          <w:cantSplit/>
          <w:trHeight w:val="270"/>
          <w:jc w:val="center"/>
        </w:trPr>
        <w:tc>
          <w:tcPr>
            <w:tcW w:w="1630" w:type="dxa"/>
            <w:noWrap/>
          </w:tcPr>
          <w:p w14:paraId="2C674516" w14:textId="75AE019B" w:rsidR="00D7559A" w:rsidRPr="000665B0" w:rsidRDefault="00D7559A" w:rsidP="00A0163E">
            <w:pPr>
              <w:spacing w:before="40" w:after="40"/>
              <w:rPr>
                <w:sz w:val="18"/>
                <w:szCs w:val="18"/>
              </w:rPr>
            </w:pPr>
            <w:r w:rsidRPr="000665B0">
              <w:rPr>
                <w:sz w:val="18"/>
                <w:szCs w:val="18"/>
              </w:rPr>
              <w:t>Flight Software List (VFIL)</w:t>
            </w:r>
          </w:p>
        </w:tc>
        <w:tc>
          <w:tcPr>
            <w:tcW w:w="1292" w:type="dxa"/>
            <w:noWrap/>
          </w:tcPr>
          <w:p w14:paraId="10D2376F"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BA55A04" w14:textId="77777777" w:rsidR="00D7559A" w:rsidRPr="000665B0" w:rsidRDefault="00D7559A" w:rsidP="00A0163E">
            <w:pPr>
              <w:spacing w:before="40" w:after="40"/>
              <w:rPr>
                <w:sz w:val="18"/>
                <w:szCs w:val="18"/>
              </w:rPr>
            </w:pPr>
            <w:r w:rsidRPr="000665B0">
              <w:rPr>
                <w:color w:val="000000"/>
                <w:sz w:val="18"/>
                <w:szCs w:val="18"/>
              </w:rPr>
              <w:t>NS</w:t>
            </w:r>
          </w:p>
        </w:tc>
        <w:tc>
          <w:tcPr>
            <w:tcW w:w="1205" w:type="dxa"/>
            <w:noWrap/>
          </w:tcPr>
          <w:p w14:paraId="417B2A3D"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2D103775" w14:textId="77777777" w:rsidR="00D7559A" w:rsidRPr="000665B0" w:rsidRDefault="00D7559A" w:rsidP="00A0163E">
            <w:pPr>
              <w:spacing w:before="40" w:after="40"/>
              <w:rPr>
                <w:sz w:val="18"/>
                <w:szCs w:val="18"/>
              </w:rPr>
            </w:pPr>
            <w:r w:rsidRPr="000665B0">
              <w:rPr>
                <w:sz w:val="18"/>
                <w:szCs w:val="18"/>
              </w:rPr>
              <w:t>X</w:t>
            </w:r>
          </w:p>
        </w:tc>
        <w:tc>
          <w:tcPr>
            <w:tcW w:w="1292" w:type="dxa"/>
            <w:noWrap/>
          </w:tcPr>
          <w:p w14:paraId="622C606A"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5B7BA556" w14:textId="77777777" w:rsidR="00D7559A" w:rsidRPr="000665B0" w:rsidRDefault="00D7559A" w:rsidP="00A0163E">
            <w:pPr>
              <w:spacing w:before="40" w:after="40"/>
              <w:rPr>
                <w:sz w:val="18"/>
                <w:szCs w:val="18"/>
              </w:rPr>
            </w:pPr>
            <w:r w:rsidRPr="000665B0">
              <w:rPr>
                <w:color w:val="000000"/>
                <w:sz w:val="18"/>
                <w:szCs w:val="18"/>
              </w:rPr>
              <w:t>NA</w:t>
            </w:r>
          </w:p>
        </w:tc>
        <w:tc>
          <w:tcPr>
            <w:tcW w:w="1215" w:type="dxa"/>
            <w:noWrap/>
          </w:tcPr>
          <w:p w14:paraId="3182C47C" w14:textId="77777777" w:rsidR="00D7559A" w:rsidRPr="000665B0" w:rsidRDefault="00D7559A" w:rsidP="00A0163E">
            <w:pPr>
              <w:spacing w:before="40" w:after="40"/>
              <w:rPr>
                <w:sz w:val="18"/>
                <w:szCs w:val="18"/>
              </w:rPr>
            </w:pPr>
            <w:r w:rsidRPr="000665B0">
              <w:rPr>
                <w:sz w:val="18"/>
                <w:szCs w:val="18"/>
              </w:rPr>
              <w:t>FDU</w:t>
            </w:r>
          </w:p>
        </w:tc>
        <w:tc>
          <w:tcPr>
            <w:tcW w:w="715" w:type="dxa"/>
          </w:tcPr>
          <w:p w14:paraId="00B8A6A3" w14:textId="77777777" w:rsidR="00D7559A" w:rsidRPr="000665B0" w:rsidRDefault="00D7559A" w:rsidP="00A0163E">
            <w:pPr>
              <w:spacing w:before="40" w:after="40"/>
              <w:rPr>
                <w:sz w:val="18"/>
                <w:szCs w:val="18"/>
              </w:rPr>
            </w:pPr>
            <w:r w:rsidRPr="000665B0">
              <w:rPr>
                <w:color w:val="000000"/>
                <w:sz w:val="18"/>
                <w:szCs w:val="18"/>
              </w:rPr>
              <w:t>NS</w:t>
            </w:r>
          </w:p>
        </w:tc>
      </w:tr>
      <w:tr w:rsidR="00D7559A" w:rsidRPr="000665B0" w14:paraId="2AB4C018" w14:textId="77777777" w:rsidTr="00844912">
        <w:trPr>
          <w:cantSplit/>
          <w:trHeight w:val="270"/>
          <w:jc w:val="center"/>
        </w:trPr>
        <w:tc>
          <w:tcPr>
            <w:tcW w:w="1630" w:type="dxa"/>
            <w:noWrap/>
          </w:tcPr>
          <w:p w14:paraId="372BB6A4" w14:textId="77777777" w:rsidR="00D7559A" w:rsidRPr="000665B0" w:rsidRDefault="00D7559A" w:rsidP="00A0163E">
            <w:pPr>
              <w:spacing w:before="40" w:after="40"/>
              <w:rPr>
                <w:sz w:val="18"/>
                <w:szCs w:val="18"/>
              </w:rPr>
            </w:pPr>
            <w:r w:rsidRPr="000665B0">
              <w:rPr>
                <w:sz w:val="18"/>
                <w:szCs w:val="18"/>
              </w:rPr>
              <w:t>Missile List (VMIL)</w:t>
            </w:r>
          </w:p>
        </w:tc>
        <w:tc>
          <w:tcPr>
            <w:tcW w:w="1292" w:type="dxa"/>
            <w:noWrap/>
          </w:tcPr>
          <w:p w14:paraId="230A77A3"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39C7BAF" w14:textId="77777777" w:rsidR="00D7559A" w:rsidRPr="000665B0" w:rsidRDefault="00D7559A" w:rsidP="00A0163E">
            <w:pPr>
              <w:spacing w:before="40" w:after="40"/>
              <w:rPr>
                <w:sz w:val="18"/>
                <w:szCs w:val="18"/>
              </w:rPr>
            </w:pPr>
            <w:r w:rsidRPr="000665B0">
              <w:rPr>
                <w:color w:val="000000"/>
                <w:sz w:val="18"/>
                <w:szCs w:val="18"/>
              </w:rPr>
              <w:t>NS</w:t>
            </w:r>
          </w:p>
        </w:tc>
        <w:tc>
          <w:tcPr>
            <w:tcW w:w="1205" w:type="dxa"/>
            <w:noWrap/>
          </w:tcPr>
          <w:p w14:paraId="0541CFC1"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48CBD729" w14:textId="77777777" w:rsidR="00D7559A" w:rsidRPr="000665B0" w:rsidRDefault="00D7559A" w:rsidP="00A0163E">
            <w:pPr>
              <w:spacing w:before="40" w:after="40"/>
              <w:rPr>
                <w:sz w:val="18"/>
                <w:szCs w:val="18"/>
              </w:rPr>
            </w:pPr>
            <w:r w:rsidRPr="000665B0">
              <w:rPr>
                <w:sz w:val="18"/>
                <w:szCs w:val="18"/>
              </w:rPr>
              <w:t>X</w:t>
            </w:r>
          </w:p>
        </w:tc>
        <w:tc>
          <w:tcPr>
            <w:tcW w:w="1292" w:type="dxa"/>
            <w:noWrap/>
          </w:tcPr>
          <w:p w14:paraId="4F0A14A3"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50C69BC3" w14:textId="77777777" w:rsidR="00D7559A" w:rsidRPr="000665B0" w:rsidRDefault="00D7559A" w:rsidP="00A0163E">
            <w:pPr>
              <w:spacing w:before="40" w:after="40"/>
              <w:rPr>
                <w:sz w:val="18"/>
                <w:szCs w:val="18"/>
              </w:rPr>
            </w:pPr>
            <w:r w:rsidRPr="000665B0">
              <w:rPr>
                <w:color w:val="000000"/>
                <w:sz w:val="18"/>
                <w:szCs w:val="18"/>
              </w:rPr>
              <w:t>NA</w:t>
            </w:r>
          </w:p>
        </w:tc>
        <w:tc>
          <w:tcPr>
            <w:tcW w:w="1215" w:type="dxa"/>
            <w:noWrap/>
          </w:tcPr>
          <w:p w14:paraId="6E526CEA" w14:textId="77777777" w:rsidR="00D7559A" w:rsidRPr="000665B0" w:rsidRDefault="00D7559A" w:rsidP="00A0163E">
            <w:pPr>
              <w:spacing w:before="40" w:after="40"/>
              <w:rPr>
                <w:sz w:val="18"/>
                <w:szCs w:val="18"/>
              </w:rPr>
            </w:pPr>
            <w:r w:rsidRPr="000665B0">
              <w:rPr>
                <w:sz w:val="18"/>
                <w:szCs w:val="18"/>
              </w:rPr>
              <w:t>FDU</w:t>
            </w:r>
          </w:p>
        </w:tc>
        <w:tc>
          <w:tcPr>
            <w:tcW w:w="715" w:type="dxa"/>
          </w:tcPr>
          <w:p w14:paraId="6B294E7B" w14:textId="77777777" w:rsidR="00D7559A" w:rsidRPr="000665B0" w:rsidRDefault="00D7559A" w:rsidP="00A0163E">
            <w:pPr>
              <w:spacing w:before="40" w:after="40"/>
              <w:rPr>
                <w:sz w:val="18"/>
                <w:szCs w:val="18"/>
              </w:rPr>
            </w:pPr>
            <w:r w:rsidRPr="000665B0">
              <w:rPr>
                <w:color w:val="000000"/>
                <w:sz w:val="18"/>
                <w:szCs w:val="18"/>
              </w:rPr>
              <w:t>NS</w:t>
            </w:r>
          </w:p>
        </w:tc>
      </w:tr>
      <w:tr w:rsidR="00D7559A" w:rsidRPr="000665B0" w14:paraId="0FAB5A94" w14:textId="77777777" w:rsidTr="00844912">
        <w:trPr>
          <w:cantSplit/>
          <w:trHeight w:val="270"/>
          <w:jc w:val="center"/>
        </w:trPr>
        <w:tc>
          <w:tcPr>
            <w:tcW w:w="1630" w:type="dxa"/>
            <w:noWrap/>
          </w:tcPr>
          <w:p w14:paraId="733A127C" w14:textId="77777777" w:rsidR="00D7559A" w:rsidRPr="000665B0" w:rsidRDefault="00D7559A" w:rsidP="00A0163E">
            <w:pPr>
              <w:spacing w:before="40" w:after="40"/>
              <w:rPr>
                <w:sz w:val="18"/>
                <w:szCs w:val="18"/>
              </w:rPr>
            </w:pPr>
            <w:r w:rsidRPr="000665B0">
              <w:rPr>
                <w:sz w:val="18"/>
                <w:szCs w:val="18"/>
              </w:rPr>
              <w:t>PCTRF</w:t>
            </w:r>
          </w:p>
        </w:tc>
        <w:tc>
          <w:tcPr>
            <w:tcW w:w="1292" w:type="dxa"/>
            <w:noWrap/>
          </w:tcPr>
          <w:p w14:paraId="15E420FA"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BD1C918" w14:textId="77777777" w:rsidR="00D7559A" w:rsidRPr="000665B0" w:rsidRDefault="00D7559A" w:rsidP="00A0163E">
            <w:pPr>
              <w:spacing w:before="40" w:after="40"/>
              <w:rPr>
                <w:sz w:val="18"/>
                <w:szCs w:val="18"/>
              </w:rPr>
            </w:pPr>
            <w:r w:rsidRPr="000665B0">
              <w:rPr>
                <w:color w:val="000000"/>
                <w:sz w:val="18"/>
                <w:szCs w:val="18"/>
              </w:rPr>
              <w:t>NS</w:t>
            </w:r>
          </w:p>
        </w:tc>
        <w:tc>
          <w:tcPr>
            <w:tcW w:w="1205" w:type="dxa"/>
            <w:noWrap/>
          </w:tcPr>
          <w:p w14:paraId="6A1C9959"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6633E071" w14:textId="77777777" w:rsidR="00D7559A" w:rsidRPr="000665B0" w:rsidRDefault="00D7559A" w:rsidP="00A0163E">
            <w:pPr>
              <w:spacing w:before="40" w:after="40"/>
              <w:rPr>
                <w:sz w:val="18"/>
                <w:szCs w:val="18"/>
              </w:rPr>
            </w:pPr>
            <w:r w:rsidRPr="000665B0">
              <w:rPr>
                <w:sz w:val="18"/>
                <w:szCs w:val="18"/>
              </w:rPr>
              <w:t>X</w:t>
            </w:r>
          </w:p>
        </w:tc>
        <w:tc>
          <w:tcPr>
            <w:tcW w:w="1292" w:type="dxa"/>
            <w:noWrap/>
          </w:tcPr>
          <w:p w14:paraId="6F364B94"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10FE68A0" w14:textId="77777777" w:rsidR="00D7559A" w:rsidRPr="000665B0" w:rsidRDefault="00D7559A" w:rsidP="00A0163E">
            <w:pPr>
              <w:spacing w:before="40" w:after="40"/>
              <w:rPr>
                <w:sz w:val="18"/>
                <w:szCs w:val="18"/>
              </w:rPr>
            </w:pPr>
            <w:r w:rsidRPr="000665B0">
              <w:rPr>
                <w:color w:val="000000"/>
                <w:sz w:val="18"/>
                <w:szCs w:val="18"/>
              </w:rPr>
              <w:t>NA</w:t>
            </w:r>
          </w:p>
        </w:tc>
        <w:tc>
          <w:tcPr>
            <w:tcW w:w="1215" w:type="dxa"/>
            <w:noWrap/>
          </w:tcPr>
          <w:p w14:paraId="0B007F58" w14:textId="77777777" w:rsidR="00D7559A" w:rsidRPr="000665B0" w:rsidRDefault="00D7559A" w:rsidP="00A0163E">
            <w:pPr>
              <w:spacing w:before="40" w:after="40"/>
              <w:rPr>
                <w:sz w:val="18"/>
                <w:szCs w:val="18"/>
              </w:rPr>
            </w:pPr>
            <w:r w:rsidRPr="000665B0">
              <w:rPr>
                <w:sz w:val="18"/>
                <w:szCs w:val="18"/>
              </w:rPr>
              <w:t>FDU</w:t>
            </w:r>
          </w:p>
        </w:tc>
        <w:tc>
          <w:tcPr>
            <w:tcW w:w="715" w:type="dxa"/>
          </w:tcPr>
          <w:p w14:paraId="2D2215CE" w14:textId="77777777" w:rsidR="00D7559A" w:rsidRPr="000665B0" w:rsidRDefault="00D7559A" w:rsidP="00A0163E">
            <w:pPr>
              <w:spacing w:before="40" w:after="40"/>
              <w:rPr>
                <w:sz w:val="18"/>
                <w:szCs w:val="18"/>
              </w:rPr>
            </w:pPr>
            <w:r w:rsidRPr="000665B0">
              <w:rPr>
                <w:color w:val="000000"/>
                <w:sz w:val="18"/>
                <w:szCs w:val="18"/>
              </w:rPr>
              <w:t>NS</w:t>
            </w:r>
          </w:p>
        </w:tc>
      </w:tr>
      <w:tr w:rsidR="00D7559A" w:rsidRPr="000665B0" w14:paraId="40B874E2" w14:textId="77777777" w:rsidTr="00844912">
        <w:trPr>
          <w:cantSplit/>
          <w:trHeight w:val="270"/>
          <w:jc w:val="center"/>
        </w:trPr>
        <w:tc>
          <w:tcPr>
            <w:tcW w:w="1630" w:type="dxa"/>
            <w:noWrap/>
          </w:tcPr>
          <w:p w14:paraId="3BBE91F8" w14:textId="77777777" w:rsidR="00D7559A" w:rsidRPr="000665B0" w:rsidRDefault="00D7559A" w:rsidP="00A0163E">
            <w:pPr>
              <w:spacing w:before="40" w:after="40"/>
              <w:rPr>
                <w:b/>
                <w:bCs/>
                <w:sz w:val="18"/>
                <w:szCs w:val="18"/>
              </w:rPr>
            </w:pPr>
            <w:r w:rsidRPr="000665B0">
              <w:rPr>
                <w:sz w:val="18"/>
                <w:szCs w:val="18"/>
              </w:rPr>
              <w:t>TAR List</w:t>
            </w:r>
          </w:p>
        </w:tc>
        <w:tc>
          <w:tcPr>
            <w:tcW w:w="1292" w:type="dxa"/>
            <w:noWrap/>
          </w:tcPr>
          <w:p w14:paraId="18F2A566" w14:textId="77777777" w:rsidR="00D7559A" w:rsidRPr="000665B0" w:rsidRDefault="00D7559A" w:rsidP="00A0163E">
            <w:pPr>
              <w:spacing w:before="40" w:after="40"/>
              <w:rPr>
                <w:b/>
                <w:bCs/>
                <w:sz w:val="18"/>
                <w:szCs w:val="18"/>
              </w:rPr>
            </w:pPr>
            <w:r w:rsidRPr="000665B0">
              <w:rPr>
                <w:sz w:val="18"/>
                <w:szCs w:val="18"/>
              </w:rPr>
              <w:t>XML</w:t>
            </w:r>
          </w:p>
        </w:tc>
        <w:tc>
          <w:tcPr>
            <w:tcW w:w="638" w:type="dxa"/>
          </w:tcPr>
          <w:p w14:paraId="2FBFE66A" w14:textId="77777777" w:rsidR="00D7559A" w:rsidRPr="000665B0" w:rsidRDefault="00D7559A" w:rsidP="00A0163E">
            <w:pPr>
              <w:spacing w:before="40" w:after="40"/>
              <w:rPr>
                <w:b/>
                <w:bCs/>
                <w:sz w:val="18"/>
                <w:szCs w:val="18"/>
              </w:rPr>
            </w:pPr>
            <w:r w:rsidRPr="000665B0">
              <w:rPr>
                <w:color w:val="000000"/>
                <w:sz w:val="18"/>
                <w:szCs w:val="18"/>
              </w:rPr>
              <w:t>NS</w:t>
            </w:r>
          </w:p>
        </w:tc>
        <w:tc>
          <w:tcPr>
            <w:tcW w:w="1205" w:type="dxa"/>
            <w:noWrap/>
          </w:tcPr>
          <w:p w14:paraId="6FF7385D" w14:textId="77777777" w:rsidR="00D7559A" w:rsidRPr="000665B0" w:rsidRDefault="00D7559A" w:rsidP="00A0163E">
            <w:pPr>
              <w:spacing w:before="40" w:after="40"/>
              <w:rPr>
                <w:b/>
                <w:bCs/>
                <w:sz w:val="18"/>
                <w:szCs w:val="18"/>
              </w:rPr>
            </w:pPr>
            <w:r w:rsidRPr="000665B0">
              <w:rPr>
                <w:sz w:val="18"/>
                <w:szCs w:val="18"/>
              </w:rPr>
              <w:t>TCIDB</w:t>
            </w:r>
          </w:p>
        </w:tc>
        <w:tc>
          <w:tcPr>
            <w:tcW w:w="725" w:type="dxa"/>
          </w:tcPr>
          <w:p w14:paraId="7A3A290A" w14:textId="77777777" w:rsidR="00D7559A" w:rsidRPr="000665B0" w:rsidRDefault="00D7559A" w:rsidP="00A0163E">
            <w:pPr>
              <w:spacing w:before="40" w:after="40"/>
              <w:rPr>
                <w:b/>
                <w:bCs/>
                <w:sz w:val="18"/>
                <w:szCs w:val="18"/>
              </w:rPr>
            </w:pPr>
            <w:r w:rsidRPr="000665B0">
              <w:rPr>
                <w:sz w:val="18"/>
                <w:szCs w:val="18"/>
              </w:rPr>
              <w:t>X</w:t>
            </w:r>
          </w:p>
        </w:tc>
        <w:tc>
          <w:tcPr>
            <w:tcW w:w="1292" w:type="dxa"/>
            <w:noWrap/>
          </w:tcPr>
          <w:p w14:paraId="24455C25" w14:textId="77777777" w:rsidR="00D7559A" w:rsidRPr="000665B0" w:rsidRDefault="00D7559A" w:rsidP="00A0163E">
            <w:pPr>
              <w:spacing w:before="40" w:after="40"/>
              <w:rPr>
                <w:b/>
                <w:bCs/>
                <w:sz w:val="18"/>
                <w:szCs w:val="18"/>
              </w:rPr>
            </w:pPr>
            <w:r w:rsidRPr="000665B0">
              <w:rPr>
                <w:sz w:val="18"/>
                <w:szCs w:val="18"/>
              </w:rPr>
              <w:t>XML</w:t>
            </w:r>
          </w:p>
        </w:tc>
        <w:tc>
          <w:tcPr>
            <w:tcW w:w="638" w:type="dxa"/>
          </w:tcPr>
          <w:p w14:paraId="13ECC67E" w14:textId="77777777" w:rsidR="00D7559A" w:rsidRPr="000665B0" w:rsidRDefault="00D7559A" w:rsidP="00A0163E">
            <w:pPr>
              <w:spacing w:before="40" w:after="40"/>
              <w:rPr>
                <w:b/>
                <w:bCs/>
                <w:sz w:val="18"/>
                <w:szCs w:val="18"/>
              </w:rPr>
            </w:pPr>
            <w:r w:rsidRPr="000665B0">
              <w:rPr>
                <w:color w:val="000000"/>
                <w:sz w:val="18"/>
                <w:szCs w:val="18"/>
              </w:rPr>
              <w:t>NA</w:t>
            </w:r>
          </w:p>
        </w:tc>
        <w:tc>
          <w:tcPr>
            <w:tcW w:w="1215" w:type="dxa"/>
            <w:noWrap/>
          </w:tcPr>
          <w:p w14:paraId="7D879B73" w14:textId="77777777" w:rsidR="00D7559A" w:rsidRPr="000665B0" w:rsidRDefault="00D7559A" w:rsidP="00A0163E">
            <w:pPr>
              <w:spacing w:before="40" w:after="40"/>
              <w:rPr>
                <w:b/>
                <w:bCs/>
                <w:sz w:val="18"/>
                <w:szCs w:val="18"/>
              </w:rPr>
            </w:pPr>
            <w:r w:rsidRPr="000665B0">
              <w:rPr>
                <w:sz w:val="18"/>
                <w:szCs w:val="18"/>
              </w:rPr>
              <w:t>FDU</w:t>
            </w:r>
          </w:p>
        </w:tc>
        <w:tc>
          <w:tcPr>
            <w:tcW w:w="715" w:type="dxa"/>
          </w:tcPr>
          <w:p w14:paraId="56637626" w14:textId="77777777" w:rsidR="00D7559A" w:rsidRPr="000665B0" w:rsidRDefault="00D7559A" w:rsidP="00A0163E">
            <w:pPr>
              <w:spacing w:before="40" w:after="40"/>
              <w:rPr>
                <w:b/>
                <w:bCs/>
                <w:sz w:val="18"/>
                <w:szCs w:val="18"/>
              </w:rPr>
            </w:pPr>
            <w:r w:rsidRPr="000665B0">
              <w:rPr>
                <w:color w:val="000000"/>
                <w:sz w:val="18"/>
                <w:szCs w:val="18"/>
              </w:rPr>
              <w:t>NS</w:t>
            </w:r>
          </w:p>
        </w:tc>
      </w:tr>
      <w:tr w:rsidR="00D7559A" w:rsidRPr="000665B0" w14:paraId="5FC0D282" w14:textId="77777777" w:rsidTr="00844912">
        <w:trPr>
          <w:cantSplit/>
          <w:trHeight w:val="270"/>
          <w:jc w:val="center"/>
        </w:trPr>
        <w:tc>
          <w:tcPr>
            <w:tcW w:w="1630" w:type="dxa"/>
            <w:noWrap/>
          </w:tcPr>
          <w:p w14:paraId="7F68DD36" w14:textId="77777777" w:rsidR="00D7559A" w:rsidRPr="000665B0" w:rsidRDefault="00D7559A" w:rsidP="00A0163E">
            <w:pPr>
              <w:spacing w:before="40" w:after="40"/>
              <w:rPr>
                <w:sz w:val="18"/>
                <w:szCs w:val="18"/>
              </w:rPr>
            </w:pPr>
            <w:r w:rsidRPr="000665B0">
              <w:rPr>
                <w:sz w:val="18"/>
                <w:szCs w:val="18"/>
              </w:rPr>
              <w:t>Valid OES List</w:t>
            </w:r>
          </w:p>
        </w:tc>
        <w:tc>
          <w:tcPr>
            <w:tcW w:w="1292" w:type="dxa"/>
            <w:noWrap/>
          </w:tcPr>
          <w:p w14:paraId="74FB5C05"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A06324F" w14:textId="77777777" w:rsidR="00D7559A" w:rsidRPr="000665B0" w:rsidRDefault="00D7559A" w:rsidP="00A0163E">
            <w:pPr>
              <w:spacing w:before="40" w:after="40"/>
              <w:rPr>
                <w:sz w:val="18"/>
                <w:szCs w:val="18"/>
              </w:rPr>
            </w:pPr>
            <w:r w:rsidRPr="000665B0">
              <w:rPr>
                <w:color w:val="000000"/>
                <w:sz w:val="18"/>
                <w:szCs w:val="18"/>
              </w:rPr>
              <w:t>NS</w:t>
            </w:r>
          </w:p>
        </w:tc>
        <w:tc>
          <w:tcPr>
            <w:tcW w:w="1205" w:type="dxa"/>
            <w:noWrap/>
          </w:tcPr>
          <w:p w14:paraId="0AC502B4"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43056C7C" w14:textId="77777777" w:rsidR="00D7559A" w:rsidRPr="000665B0" w:rsidRDefault="00D7559A" w:rsidP="00A0163E">
            <w:pPr>
              <w:spacing w:before="40" w:after="40"/>
              <w:rPr>
                <w:sz w:val="18"/>
                <w:szCs w:val="18"/>
              </w:rPr>
            </w:pPr>
            <w:r w:rsidRPr="000665B0">
              <w:rPr>
                <w:sz w:val="18"/>
                <w:szCs w:val="18"/>
              </w:rPr>
              <w:t>X</w:t>
            </w:r>
          </w:p>
        </w:tc>
        <w:tc>
          <w:tcPr>
            <w:tcW w:w="1292" w:type="dxa"/>
            <w:noWrap/>
          </w:tcPr>
          <w:p w14:paraId="421FBA9F"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56473CFA" w14:textId="77777777" w:rsidR="00D7559A" w:rsidRPr="000665B0" w:rsidRDefault="00D7559A" w:rsidP="00A0163E">
            <w:pPr>
              <w:spacing w:before="40" w:after="40"/>
              <w:rPr>
                <w:sz w:val="18"/>
                <w:szCs w:val="18"/>
              </w:rPr>
            </w:pPr>
            <w:r w:rsidRPr="000665B0">
              <w:rPr>
                <w:color w:val="000000"/>
                <w:sz w:val="18"/>
                <w:szCs w:val="18"/>
              </w:rPr>
              <w:t>NA</w:t>
            </w:r>
          </w:p>
        </w:tc>
        <w:tc>
          <w:tcPr>
            <w:tcW w:w="1215" w:type="dxa"/>
            <w:noWrap/>
          </w:tcPr>
          <w:p w14:paraId="05FB2D26" w14:textId="77777777" w:rsidR="00D7559A" w:rsidRPr="000665B0" w:rsidRDefault="00D7559A" w:rsidP="00A0163E">
            <w:pPr>
              <w:spacing w:before="40" w:after="40"/>
              <w:rPr>
                <w:sz w:val="18"/>
                <w:szCs w:val="18"/>
              </w:rPr>
            </w:pPr>
            <w:r w:rsidRPr="000665B0">
              <w:rPr>
                <w:sz w:val="18"/>
                <w:szCs w:val="18"/>
              </w:rPr>
              <w:t>FDU</w:t>
            </w:r>
          </w:p>
        </w:tc>
        <w:tc>
          <w:tcPr>
            <w:tcW w:w="715" w:type="dxa"/>
          </w:tcPr>
          <w:p w14:paraId="0FFFB49E" w14:textId="77777777" w:rsidR="00D7559A" w:rsidRPr="000665B0" w:rsidRDefault="00D7559A" w:rsidP="00A0163E">
            <w:pPr>
              <w:spacing w:before="40" w:after="40"/>
              <w:rPr>
                <w:sz w:val="18"/>
                <w:szCs w:val="18"/>
              </w:rPr>
            </w:pPr>
            <w:r w:rsidRPr="000665B0">
              <w:rPr>
                <w:color w:val="000000"/>
                <w:sz w:val="18"/>
                <w:szCs w:val="18"/>
              </w:rPr>
              <w:t>NS</w:t>
            </w:r>
          </w:p>
        </w:tc>
      </w:tr>
      <w:tr w:rsidR="00D7559A" w:rsidRPr="000665B0" w14:paraId="3FA5B50C" w14:textId="77777777" w:rsidTr="00844912">
        <w:trPr>
          <w:cantSplit/>
          <w:trHeight w:val="270"/>
          <w:jc w:val="center"/>
        </w:trPr>
        <w:tc>
          <w:tcPr>
            <w:tcW w:w="1630" w:type="dxa"/>
            <w:noWrap/>
          </w:tcPr>
          <w:p w14:paraId="0358BF83" w14:textId="77777777" w:rsidR="00D7559A" w:rsidRPr="000665B0" w:rsidRDefault="00D7559A" w:rsidP="00A0163E">
            <w:pPr>
              <w:spacing w:before="40" w:after="40"/>
              <w:rPr>
                <w:sz w:val="18"/>
                <w:szCs w:val="18"/>
              </w:rPr>
            </w:pPr>
            <w:r w:rsidRPr="000665B0">
              <w:rPr>
                <w:sz w:val="18"/>
                <w:szCs w:val="18"/>
              </w:rPr>
              <w:t>Valid Platform List</w:t>
            </w:r>
          </w:p>
        </w:tc>
        <w:tc>
          <w:tcPr>
            <w:tcW w:w="1292" w:type="dxa"/>
            <w:noWrap/>
          </w:tcPr>
          <w:p w14:paraId="7EB7C8D9"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BA118E0" w14:textId="77777777" w:rsidR="00D7559A" w:rsidRPr="000665B0" w:rsidRDefault="00D7559A" w:rsidP="00A0163E">
            <w:pPr>
              <w:spacing w:before="40" w:after="40"/>
              <w:rPr>
                <w:sz w:val="18"/>
                <w:szCs w:val="18"/>
              </w:rPr>
            </w:pPr>
            <w:r w:rsidRPr="000665B0">
              <w:rPr>
                <w:color w:val="000000"/>
                <w:sz w:val="18"/>
                <w:szCs w:val="18"/>
              </w:rPr>
              <w:t>NS</w:t>
            </w:r>
          </w:p>
        </w:tc>
        <w:tc>
          <w:tcPr>
            <w:tcW w:w="1205" w:type="dxa"/>
            <w:noWrap/>
          </w:tcPr>
          <w:p w14:paraId="1E4446E2"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3C60092B" w14:textId="77777777" w:rsidR="00D7559A" w:rsidRPr="000665B0" w:rsidRDefault="00D7559A" w:rsidP="00A0163E">
            <w:pPr>
              <w:spacing w:before="40" w:after="40"/>
              <w:rPr>
                <w:sz w:val="18"/>
                <w:szCs w:val="18"/>
              </w:rPr>
            </w:pPr>
            <w:r w:rsidRPr="000665B0">
              <w:rPr>
                <w:sz w:val="18"/>
                <w:szCs w:val="18"/>
              </w:rPr>
              <w:t>X</w:t>
            </w:r>
          </w:p>
        </w:tc>
        <w:tc>
          <w:tcPr>
            <w:tcW w:w="1292" w:type="dxa"/>
            <w:noWrap/>
          </w:tcPr>
          <w:p w14:paraId="4B4C91E2"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53856E15" w14:textId="77777777" w:rsidR="00D7559A" w:rsidRPr="000665B0" w:rsidRDefault="00D7559A" w:rsidP="00A0163E">
            <w:pPr>
              <w:spacing w:before="40" w:after="40"/>
              <w:rPr>
                <w:sz w:val="18"/>
                <w:szCs w:val="18"/>
              </w:rPr>
            </w:pPr>
            <w:r w:rsidRPr="000665B0">
              <w:rPr>
                <w:color w:val="000000"/>
                <w:sz w:val="18"/>
                <w:szCs w:val="18"/>
              </w:rPr>
              <w:t>NA</w:t>
            </w:r>
          </w:p>
        </w:tc>
        <w:tc>
          <w:tcPr>
            <w:tcW w:w="1215" w:type="dxa"/>
            <w:noWrap/>
          </w:tcPr>
          <w:p w14:paraId="40DCF372" w14:textId="77777777" w:rsidR="00D7559A" w:rsidRPr="000665B0" w:rsidRDefault="00D7559A" w:rsidP="00A0163E">
            <w:pPr>
              <w:spacing w:before="40" w:after="40"/>
              <w:rPr>
                <w:sz w:val="18"/>
                <w:szCs w:val="18"/>
              </w:rPr>
            </w:pPr>
            <w:r w:rsidRPr="000665B0">
              <w:rPr>
                <w:sz w:val="18"/>
                <w:szCs w:val="18"/>
              </w:rPr>
              <w:t>FDU</w:t>
            </w:r>
          </w:p>
        </w:tc>
        <w:tc>
          <w:tcPr>
            <w:tcW w:w="715" w:type="dxa"/>
          </w:tcPr>
          <w:p w14:paraId="777431C1" w14:textId="77777777" w:rsidR="00D7559A" w:rsidRPr="000665B0" w:rsidRDefault="00D7559A" w:rsidP="00A0163E">
            <w:pPr>
              <w:spacing w:before="40" w:after="40"/>
              <w:rPr>
                <w:sz w:val="18"/>
                <w:szCs w:val="18"/>
              </w:rPr>
            </w:pPr>
            <w:r w:rsidRPr="000665B0">
              <w:rPr>
                <w:color w:val="000000"/>
                <w:sz w:val="18"/>
                <w:szCs w:val="18"/>
              </w:rPr>
              <w:t>NS</w:t>
            </w:r>
          </w:p>
        </w:tc>
      </w:tr>
      <w:tr w:rsidR="00E614A0" w:rsidRPr="000665B0" w14:paraId="3204AE44" w14:textId="77777777" w:rsidTr="00460A85">
        <w:trPr>
          <w:cantSplit/>
          <w:trHeight w:val="270"/>
          <w:jc w:val="center"/>
        </w:trPr>
        <w:tc>
          <w:tcPr>
            <w:tcW w:w="1630" w:type="dxa"/>
            <w:shd w:val="clear" w:color="auto" w:fill="D9D9D9" w:themeFill="background1" w:themeFillShade="D9"/>
            <w:noWrap/>
          </w:tcPr>
          <w:p w14:paraId="3DC9702B" w14:textId="77777777" w:rsidR="000D2B9B" w:rsidRPr="000665B0" w:rsidRDefault="000D2B9B" w:rsidP="00A0163E">
            <w:pPr>
              <w:spacing w:before="40" w:after="40"/>
              <w:rPr>
                <w:b/>
                <w:bCs/>
                <w:sz w:val="18"/>
                <w:szCs w:val="18"/>
              </w:rPr>
            </w:pPr>
            <w:r w:rsidRPr="000665B0">
              <w:rPr>
                <w:b/>
                <w:bCs/>
                <w:sz w:val="18"/>
                <w:szCs w:val="18"/>
              </w:rPr>
              <w:t>Data </w:t>
            </w:r>
          </w:p>
        </w:tc>
        <w:tc>
          <w:tcPr>
            <w:tcW w:w="1292" w:type="dxa"/>
            <w:shd w:val="clear" w:color="auto" w:fill="D9D9D9" w:themeFill="background1" w:themeFillShade="D9"/>
            <w:noWrap/>
          </w:tcPr>
          <w:p w14:paraId="73E0E5BA" w14:textId="77777777" w:rsidR="000D2B9B" w:rsidRPr="000665B0" w:rsidRDefault="000D2B9B" w:rsidP="00A0163E">
            <w:pPr>
              <w:spacing w:before="40" w:after="40"/>
              <w:rPr>
                <w:b/>
                <w:bCs/>
                <w:sz w:val="18"/>
                <w:szCs w:val="18"/>
              </w:rPr>
            </w:pPr>
          </w:p>
        </w:tc>
        <w:tc>
          <w:tcPr>
            <w:tcW w:w="638" w:type="dxa"/>
            <w:shd w:val="clear" w:color="auto" w:fill="D9D9D9" w:themeFill="background1" w:themeFillShade="D9"/>
          </w:tcPr>
          <w:p w14:paraId="15DA150C" w14:textId="77777777" w:rsidR="000D2B9B" w:rsidRPr="000665B0" w:rsidRDefault="000D2B9B" w:rsidP="00A0163E">
            <w:pPr>
              <w:spacing w:before="40" w:after="40"/>
              <w:rPr>
                <w:b/>
                <w:bCs/>
                <w:sz w:val="18"/>
                <w:szCs w:val="18"/>
              </w:rPr>
            </w:pPr>
          </w:p>
        </w:tc>
        <w:tc>
          <w:tcPr>
            <w:tcW w:w="1205" w:type="dxa"/>
            <w:shd w:val="clear" w:color="auto" w:fill="D9D9D9" w:themeFill="background1" w:themeFillShade="D9"/>
            <w:noWrap/>
          </w:tcPr>
          <w:p w14:paraId="6BD57A1A" w14:textId="77777777" w:rsidR="000D2B9B" w:rsidRPr="000665B0" w:rsidRDefault="000D2B9B" w:rsidP="00A0163E">
            <w:pPr>
              <w:spacing w:before="40" w:after="40"/>
              <w:rPr>
                <w:b/>
                <w:bCs/>
                <w:sz w:val="18"/>
                <w:szCs w:val="18"/>
              </w:rPr>
            </w:pPr>
          </w:p>
        </w:tc>
        <w:tc>
          <w:tcPr>
            <w:tcW w:w="725" w:type="dxa"/>
            <w:shd w:val="clear" w:color="auto" w:fill="D9D9D9" w:themeFill="background1" w:themeFillShade="D9"/>
          </w:tcPr>
          <w:p w14:paraId="77BA1B06" w14:textId="77777777" w:rsidR="000D2B9B" w:rsidRPr="000665B0" w:rsidRDefault="000D2B9B" w:rsidP="00A0163E">
            <w:pPr>
              <w:spacing w:before="40" w:after="40"/>
              <w:rPr>
                <w:b/>
                <w:bCs/>
                <w:sz w:val="18"/>
                <w:szCs w:val="18"/>
              </w:rPr>
            </w:pPr>
          </w:p>
        </w:tc>
        <w:tc>
          <w:tcPr>
            <w:tcW w:w="1292" w:type="dxa"/>
            <w:shd w:val="clear" w:color="auto" w:fill="D9D9D9" w:themeFill="background1" w:themeFillShade="D9"/>
            <w:noWrap/>
          </w:tcPr>
          <w:p w14:paraId="50859E25" w14:textId="77777777" w:rsidR="000D2B9B" w:rsidRPr="000665B0" w:rsidRDefault="000D2B9B" w:rsidP="00A0163E">
            <w:pPr>
              <w:spacing w:before="40" w:after="40"/>
              <w:rPr>
                <w:b/>
                <w:bCs/>
                <w:sz w:val="18"/>
                <w:szCs w:val="18"/>
              </w:rPr>
            </w:pPr>
          </w:p>
        </w:tc>
        <w:tc>
          <w:tcPr>
            <w:tcW w:w="638" w:type="dxa"/>
            <w:shd w:val="clear" w:color="auto" w:fill="D9D9D9" w:themeFill="background1" w:themeFillShade="D9"/>
          </w:tcPr>
          <w:p w14:paraId="3110E25C" w14:textId="77777777" w:rsidR="000D2B9B" w:rsidRPr="000665B0" w:rsidRDefault="000D2B9B" w:rsidP="00A0163E">
            <w:pPr>
              <w:spacing w:before="40" w:after="40"/>
              <w:rPr>
                <w:b/>
                <w:bCs/>
                <w:sz w:val="18"/>
                <w:szCs w:val="18"/>
              </w:rPr>
            </w:pPr>
          </w:p>
        </w:tc>
        <w:tc>
          <w:tcPr>
            <w:tcW w:w="1215" w:type="dxa"/>
            <w:shd w:val="clear" w:color="auto" w:fill="D9D9D9" w:themeFill="background1" w:themeFillShade="D9"/>
            <w:noWrap/>
          </w:tcPr>
          <w:p w14:paraId="0187B6BC" w14:textId="77777777" w:rsidR="000D2B9B" w:rsidRPr="000665B0" w:rsidRDefault="000D2B9B" w:rsidP="00A0163E">
            <w:pPr>
              <w:spacing w:before="40" w:after="40"/>
              <w:rPr>
                <w:b/>
                <w:bCs/>
                <w:sz w:val="18"/>
                <w:szCs w:val="18"/>
              </w:rPr>
            </w:pPr>
          </w:p>
        </w:tc>
        <w:tc>
          <w:tcPr>
            <w:tcW w:w="715" w:type="dxa"/>
            <w:shd w:val="clear" w:color="auto" w:fill="D9D9D9" w:themeFill="background1" w:themeFillShade="D9"/>
          </w:tcPr>
          <w:p w14:paraId="4E79F288" w14:textId="77777777" w:rsidR="000D2B9B" w:rsidRPr="000665B0" w:rsidRDefault="000D2B9B" w:rsidP="00A0163E">
            <w:pPr>
              <w:spacing w:before="40" w:after="40"/>
              <w:rPr>
                <w:b/>
                <w:bCs/>
                <w:sz w:val="18"/>
                <w:szCs w:val="18"/>
              </w:rPr>
            </w:pPr>
          </w:p>
        </w:tc>
      </w:tr>
      <w:tr w:rsidR="00D7559A" w:rsidRPr="000665B0" w14:paraId="00BC0D6F" w14:textId="77777777" w:rsidTr="00844912">
        <w:trPr>
          <w:cantSplit/>
          <w:trHeight w:val="270"/>
          <w:jc w:val="center"/>
        </w:trPr>
        <w:tc>
          <w:tcPr>
            <w:tcW w:w="1630" w:type="dxa"/>
            <w:noWrap/>
          </w:tcPr>
          <w:p w14:paraId="56BDD55E" w14:textId="77777777" w:rsidR="00D7559A" w:rsidRPr="000665B0" w:rsidRDefault="00D7559A" w:rsidP="00A0163E">
            <w:pPr>
              <w:spacing w:before="40" w:after="40"/>
              <w:rPr>
                <w:sz w:val="18"/>
                <w:szCs w:val="18"/>
              </w:rPr>
            </w:pPr>
            <w:r w:rsidRPr="000665B0">
              <w:rPr>
                <w:sz w:val="18"/>
                <w:szCs w:val="18"/>
              </w:rPr>
              <w:t>ACMSs</w:t>
            </w:r>
          </w:p>
        </w:tc>
        <w:tc>
          <w:tcPr>
            <w:tcW w:w="1292" w:type="dxa"/>
            <w:noWrap/>
          </w:tcPr>
          <w:p w14:paraId="4BAF54BC"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2052851E"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18C99B0E"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094E22AF" w14:textId="77777777" w:rsidR="00D7559A" w:rsidRPr="000665B0" w:rsidRDefault="00D7559A" w:rsidP="00A0163E">
            <w:pPr>
              <w:spacing w:before="40" w:after="40"/>
              <w:rPr>
                <w:sz w:val="18"/>
                <w:szCs w:val="18"/>
              </w:rPr>
            </w:pPr>
            <w:r w:rsidRPr="000665B0">
              <w:rPr>
                <w:sz w:val="18"/>
                <w:szCs w:val="18"/>
              </w:rPr>
              <w:t>X</w:t>
            </w:r>
          </w:p>
        </w:tc>
        <w:tc>
          <w:tcPr>
            <w:tcW w:w="1292" w:type="dxa"/>
            <w:noWrap/>
          </w:tcPr>
          <w:p w14:paraId="159548B4"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1B12CC8D"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3B3E08AD" w14:textId="77777777" w:rsidR="00D7559A" w:rsidRPr="000665B0" w:rsidRDefault="00D7559A" w:rsidP="00A0163E">
            <w:pPr>
              <w:spacing w:before="40" w:after="40"/>
              <w:rPr>
                <w:sz w:val="18"/>
                <w:szCs w:val="18"/>
              </w:rPr>
            </w:pPr>
            <w:r w:rsidRPr="000665B0">
              <w:rPr>
                <w:sz w:val="18"/>
                <w:szCs w:val="18"/>
              </w:rPr>
              <w:t>FDU</w:t>
            </w:r>
          </w:p>
        </w:tc>
        <w:tc>
          <w:tcPr>
            <w:tcW w:w="715" w:type="dxa"/>
          </w:tcPr>
          <w:p w14:paraId="55DFAB50" w14:textId="77777777" w:rsidR="00D7559A" w:rsidRPr="000665B0" w:rsidRDefault="00D7559A" w:rsidP="00A0163E">
            <w:pPr>
              <w:spacing w:before="40" w:after="40"/>
              <w:rPr>
                <w:sz w:val="18"/>
                <w:szCs w:val="18"/>
              </w:rPr>
            </w:pPr>
            <w:r w:rsidRPr="000665B0">
              <w:rPr>
                <w:sz w:val="18"/>
                <w:szCs w:val="18"/>
              </w:rPr>
              <w:t>X</w:t>
            </w:r>
          </w:p>
        </w:tc>
      </w:tr>
      <w:tr w:rsidR="00D7559A" w:rsidRPr="000665B0" w14:paraId="27A6F0BF" w14:textId="77777777" w:rsidTr="00844912">
        <w:trPr>
          <w:cantSplit/>
          <w:trHeight w:val="270"/>
          <w:jc w:val="center"/>
        </w:trPr>
        <w:tc>
          <w:tcPr>
            <w:tcW w:w="1630" w:type="dxa"/>
            <w:noWrap/>
          </w:tcPr>
          <w:p w14:paraId="495C07FB" w14:textId="77777777" w:rsidR="00D7559A" w:rsidRPr="000665B0" w:rsidRDefault="00D7559A" w:rsidP="00A0163E">
            <w:pPr>
              <w:spacing w:before="40" w:after="40"/>
              <w:rPr>
                <w:sz w:val="18"/>
                <w:szCs w:val="18"/>
              </w:rPr>
            </w:pPr>
            <w:r w:rsidRPr="000665B0">
              <w:rPr>
                <w:sz w:val="18"/>
                <w:szCs w:val="18"/>
              </w:rPr>
              <w:t>Aimpoint Update</w:t>
            </w:r>
          </w:p>
        </w:tc>
        <w:tc>
          <w:tcPr>
            <w:tcW w:w="1292" w:type="dxa"/>
            <w:noWrap/>
          </w:tcPr>
          <w:p w14:paraId="6AAB0BE9"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3EF4EC3F"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5517F75D" w14:textId="77777777" w:rsidR="00D7559A" w:rsidRPr="000665B0" w:rsidRDefault="00D7559A" w:rsidP="00A0163E">
            <w:pPr>
              <w:spacing w:before="40" w:after="40"/>
              <w:rPr>
                <w:sz w:val="18"/>
                <w:szCs w:val="18"/>
              </w:rPr>
            </w:pPr>
          </w:p>
        </w:tc>
        <w:tc>
          <w:tcPr>
            <w:tcW w:w="725" w:type="dxa"/>
          </w:tcPr>
          <w:p w14:paraId="137999C2"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3B0C5B54"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641873AA"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191A2BE8" w14:textId="77777777" w:rsidR="00D7559A" w:rsidRPr="000665B0" w:rsidRDefault="00D7559A" w:rsidP="00A0163E">
            <w:pPr>
              <w:spacing w:before="40" w:after="40"/>
              <w:rPr>
                <w:sz w:val="18"/>
                <w:szCs w:val="18"/>
              </w:rPr>
            </w:pPr>
          </w:p>
        </w:tc>
        <w:tc>
          <w:tcPr>
            <w:tcW w:w="715" w:type="dxa"/>
          </w:tcPr>
          <w:p w14:paraId="1C133362"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6DE624D3" w14:textId="77777777" w:rsidTr="00844912">
        <w:trPr>
          <w:cantSplit/>
          <w:trHeight w:val="270"/>
          <w:jc w:val="center"/>
        </w:trPr>
        <w:tc>
          <w:tcPr>
            <w:tcW w:w="1630" w:type="dxa"/>
            <w:noWrap/>
          </w:tcPr>
          <w:p w14:paraId="4A6EA76D" w14:textId="77777777" w:rsidR="00D7559A" w:rsidRPr="000665B0" w:rsidRDefault="00D7559A" w:rsidP="00A0163E">
            <w:pPr>
              <w:spacing w:before="40" w:after="40"/>
              <w:rPr>
                <w:sz w:val="18"/>
                <w:szCs w:val="18"/>
              </w:rPr>
            </w:pPr>
            <w:r w:rsidRPr="000665B0">
              <w:rPr>
                <w:sz w:val="18"/>
                <w:szCs w:val="18"/>
              </w:rPr>
              <w:t>Crypto</w:t>
            </w:r>
          </w:p>
        </w:tc>
        <w:tc>
          <w:tcPr>
            <w:tcW w:w="1292" w:type="dxa"/>
            <w:noWrap/>
          </w:tcPr>
          <w:p w14:paraId="1219EAD9"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0753500A"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223254DE" w14:textId="77777777" w:rsidR="00D7559A" w:rsidRPr="000665B0" w:rsidRDefault="00D7559A" w:rsidP="00A0163E">
            <w:pPr>
              <w:spacing w:before="40" w:after="40"/>
              <w:rPr>
                <w:sz w:val="18"/>
                <w:szCs w:val="18"/>
              </w:rPr>
            </w:pPr>
            <w:r w:rsidRPr="000665B0">
              <w:rPr>
                <w:sz w:val="18"/>
                <w:szCs w:val="18"/>
              </w:rPr>
              <w:t> </w:t>
            </w:r>
          </w:p>
        </w:tc>
        <w:tc>
          <w:tcPr>
            <w:tcW w:w="725" w:type="dxa"/>
          </w:tcPr>
          <w:p w14:paraId="7FEE9C31"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7FEAF1F1"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7350AB5A"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78CA7ED3" w14:textId="77777777" w:rsidR="00D7559A" w:rsidRPr="000665B0" w:rsidRDefault="00D7559A" w:rsidP="00A0163E">
            <w:pPr>
              <w:spacing w:before="40" w:after="40"/>
              <w:rPr>
                <w:sz w:val="18"/>
                <w:szCs w:val="18"/>
              </w:rPr>
            </w:pPr>
            <w:r w:rsidRPr="000665B0">
              <w:rPr>
                <w:sz w:val="18"/>
                <w:szCs w:val="18"/>
              </w:rPr>
              <w:t> </w:t>
            </w:r>
          </w:p>
        </w:tc>
        <w:tc>
          <w:tcPr>
            <w:tcW w:w="715" w:type="dxa"/>
          </w:tcPr>
          <w:p w14:paraId="0B704A7C"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01734CEE" w14:textId="77777777" w:rsidTr="00844912">
        <w:trPr>
          <w:cantSplit/>
          <w:trHeight w:val="270"/>
          <w:jc w:val="center"/>
        </w:trPr>
        <w:tc>
          <w:tcPr>
            <w:tcW w:w="1630" w:type="dxa"/>
            <w:noWrap/>
          </w:tcPr>
          <w:p w14:paraId="311FB22E" w14:textId="77777777" w:rsidR="00D7559A" w:rsidRPr="000665B0" w:rsidRDefault="00D7559A" w:rsidP="00A0163E">
            <w:pPr>
              <w:spacing w:before="40" w:after="40"/>
              <w:rPr>
                <w:sz w:val="18"/>
                <w:szCs w:val="18"/>
              </w:rPr>
            </w:pPr>
            <w:r w:rsidRPr="000665B0">
              <w:rPr>
                <w:sz w:val="18"/>
                <w:szCs w:val="18"/>
              </w:rPr>
              <w:t>DDO Manifest</w:t>
            </w:r>
          </w:p>
        </w:tc>
        <w:tc>
          <w:tcPr>
            <w:tcW w:w="1292" w:type="dxa"/>
            <w:noWrap/>
          </w:tcPr>
          <w:p w14:paraId="28036E8C"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26B4B08D" w14:textId="77777777" w:rsidR="00D7559A" w:rsidRPr="000665B0" w:rsidRDefault="00D7559A" w:rsidP="00A0163E">
            <w:pPr>
              <w:spacing w:before="40" w:after="40"/>
              <w:rPr>
                <w:sz w:val="18"/>
                <w:szCs w:val="18"/>
              </w:rPr>
            </w:pPr>
            <w:r w:rsidRPr="000665B0">
              <w:rPr>
                <w:color w:val="000000"/>
                <w:sz w:val="18"/>
                <w:szCs w:val="18"/>
              </w:rPr>
              <w:t> </w:t>
            </w:r>
          </w:p>
        </w:tc>
        <w:tc>
          <w:tcPr>
            <w:tcW w:w="1205" w:type="dxa"/>
            <w:noWrap/>
          </w:tcPr>
          <w:p w14:paraId="7CE5D3D5" w14:textId="77777777" w:rsidR="00D7559A" w:rsidRPr="000665B0" w:rsidRDefault="00D7559A" w:rsidP="00A0163E">
            <w:pPr>
              <w:spacing w:before="40" w:after="40"/>
              <w:rPr>
                <w:sz w:val="18"/>
                <w:szCs w:val="18"/>
              </w:rPr>
            </w:pPr>
            <w:r w:rsidRPr="000665B0">
              <w:rPr>
                <w:sz w:val="18"/>
                <w:szCs w:val="18"/>
              </w:rPr>
              <w:t> </w:t>
            </w:r>
          </w:p>
        </w:tc>
        <w:tc>
          <w:tcPr>
            <w:tcW w:w="725" w:type="dxa"/>
          </w:tcPr>
          <w:p w14:paraId="17FC7E94"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4C90B255"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616340E" w14:textId="77777777" w:rsidR="00D7559A" w:rsidRPr="000665B0" w:rsidRDefault="00D7559A" w:rsidP="00A0163E">
            <w:pPr>
              <w:spacing w:before="40" w:after="40"/>
              <w:rPr>
                <w:sz w:val="18"/>
                <w:szCs w:val="18"/>
              </w:rPr>
            </w:pPr>
            <w:r w:rsidRPr="000665B0">
              <w:rPr>
                <w:color w:val="000000"/>
                <w:sz w:val="18"/>
                <w:szCs w:val="18"/>
              </w:rPr>
              <w:t> </w:t>
            </w:r>
          </w:p>
        </w:tc>
        <w:tc>
          <w:tcPr>
            <w:tcW w:w="1215" w:type="dxa"/>
            <w:noWrap/>
          </w:tcPr>
          <w:p w14:paraId="7CD7DA5E" w14:textId="77777777" w:rsidR="00D7559A" w:rsidRPr="000665B0" w:rsidRDefault="00D7559A" w:rsidP="00A0163E">
            <w:pPr>
              <w:spacing w:before="40" w:after="40"/>
              <w:rPr>
                <w:sz w:val="18"/>
                <w:szCs w:val="18"/>
              </w:rPr>
            </w:pPr>
            <w:r w:rsidRPr="000665B0">
              <w:rPr>
                <w:sz w:val="18"/>
                <w:szCs w:val="18"/>
              </w:rPr>
              <w:t> </w:t>
            </w:r>
          </w:p>
        </w:tc>
        <w:tc>
          <w:tcPr>
            <w:tcW w:w="715" w:type="dxa"/>
          </w:tcPr>
          <w:p w14:paraId="7FE14DD1"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44DFEC3B" w14:textId="77777777" w:rsidTr="00844912">
        <w:trPr>
          <w:cantSplit/>
          <w:trHeight w:val="270"/>
          <w:jc w:val="center"/>
        </w:trPr>
        <w:tc>
          <w:tcPr>
            <w:tcW w:w="1630" w:type="dxa"/>
            <w:noWrap/>
          </w:tcPr>
          <w:p w14:paraId="3F5AFFA2" w14:textId="77777777" w:rsidR="00D7559A" w:rsidRPr="000665B0" w:rsidRDefault="00D7559A" w:rsidP="00A0163E">
            <w:pPr>
              <w:spacing w:before="40" w:after="40"/>
              <w:rPr>
                <w:sz w:val="18"/>
                <w:szCs w:val="18"/>
              </w:rPr>
            </w:pPr>
            <w:r w:rsidRPr="000665B0">
              <w:rPr>
                <w:sz w:val="18"/>
                <w:szCs w:val="18"/>
              </w:rPr>
              <w:t>DSMACs</w:t>
            </w:r>
          </w:p>
        </w:tc>
        <w:tc>
          <w:tcPr>
            <w:tcW w:w="1292" w:type="dxa"/>
            <w:noWrap/>
          </w:tcPr>
          <w:p w14:paraId="210DB409" w14:textId="77777777" w:rsidR="00D7559A" w:rsidRPr="000665B0" w:rsidRDefault="00D7559A" w:rsidP="00A0163E">
            <w:pPr>
              <w:spacing w:before="40" w:after="40"/>
              <w:rPr>
                <w:sz w:val="18"/>
                <w:szCs w:val="18"/>
              </w:rPr>
            </w:pPr>
            <w:r w:rsidRPr="000665B0">
              <w:rPr>
                <w:sz w:val="18"/>
                <w:szCs w:val="18"/>
              </w:rPr>
              <w:t>Transfer File</w:t>
            </w:r>
          </w:p>
        </w:tc>
        <w:tc>
          <w:tcPr>
            <w:tcW w:w="638" w:type="dxa"/>
          </w:tcPr>
          <w:p w14:paraId="25C07578"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636738E9"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09FF24F4" w14:textId="77777777" w:rsidR="00D7559A" w:rsidRPr="000665B0" w:rsidRDefault="00D7559A" w:rsidP="00A0163E">
            <w:pPr>
              <w:spacing w:before="40" w:after="40"/>
              <w:rPr>
                <w:sz w:val="18"/>
                <w:szCs w:val="18"/>
              </w:rPr>
            </w:pPr>
          </w:p>
        </w:tc>
        <w:tc>
          <w:tcPr>
            <w:tcW w:w="1292" w:type="dxa"/>
            <w:noWrap/>
          </w:tcPr>
          <w:p w14:paraId="1C39641B" w14:textId="77777777" w:rsidR="00D7559A" w:rsidRPr="000665B0" w:rsidRDefault="00D7559A" w:rsidP="00A0163E">
            <w:pPr>
              <w:spacing w:before="40" w:after="40"/>
              <w:rPr>
                <w:sz w:val="18"/>
                <w:szCs w:val="18"/>
              </w:rPr>
            </w:pPr>
            <w:r w:rsidRPr="000665B0">
              <w:rPr>
                <w:sz w:val="18"/>
                <w:szCs w:val="18"/>
              </w:rPr>
              <w:t>MDU</w:t>
            </w:r>
          </w:p>
        </w:tc>
        <w:tc>
          <w:tcPr>
            <w:tcW w:w="638" w:type="dxa"/>
          </w:tcPr>
          <w:p w14:paraId="60C233E0"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154D10F0" w14:textId="77777777" w:rsidR="00D7559A" w:rsidRPr="000665B0" w:rsidRDefault="00D7559A" w:rsidP="00A0163E">
            <w:pPr>
              <w:spacing w:before="40" w:after="40"/>
              <w:rPr>
                <w:sz w:val="18"/>
                <w:szCs w:val="18"/>
              </w:rPr>
            </w:pPr>
            <w:r w:rsidRPr="000665B0">
              <w:rPr>
                <w:sz w:val="18"/>
                <w:szCs w:val="18"/>
              </w:rPr>
              <w:t>MDU</w:t>
            </w:r>
          </w:p>
        </w:tc>
        <w:tc>
          <w:tcPr>
            <w:tcW w:w="715" w:type="dxa"/>
          </w:tcPr>
          <w:p w14:paraId="488F84A1" w14:textId="77777777" w:rsidR="00D7559A" w:rsidRPr="000665B0" w:rsidRDefault="00D7559A" w:rsidP="00A0163E">
            <w:pPr>
              <w:spacing w:before="40" w:after="40"/>
              <w:rPr>
                <w:sz w:val="18"/>
                <w:szCs w:val="18"/>
              </w:rPr>
            </w:pPr>
          </w:p>
        </w:tc>
      </w:tr>
      <w:tr w:rsidR="00D7559A" w:rsidRPr="000665B0" w14:paraId="73447250" w14:textId="77777777" w:rsidTr="00844912">
        <w:trPr>
          <w:cantSplit/>
          <w:trHeight w:val="270"/>
          <w:jc w:val="center"/>
        </w:trPr>
        <w:tc>
          <w:tcPr>
            <w:tcW w:w="1630" w:type="dxa"/>
            <w:noWrap/>
          </w:tcPr>
          <w:p w14:paraId="5D7661CF" w14:textId="77777777" w:rsidR="00D7559A" w:rsidRPr="000665B0" w:rsidRDefault="00D7559A" w:rsidP="00A0163E">
            <w:pPr>
              <w:spacing w:before="40" w:after="40"/>
              <w:rPr>
                <w:sz w:val="18"/>
                <w:szCs w:val="18"/>
              </w:rPr>
            </w:pPr>
            <w:r w:rsidRPr="000665B0">
              <w:rPr>
                <w:sz w:val="18"/>
                <w:szCs w:val="18"/>
              </w:rPr>
              <w:t>Flight Software</w:t>
            </w:r>
          </w:p>
        </w:tc>
        <w:tc>
          <w:tcPr>
            <w:tcW w:w="1292" w:type="dxa"/>
            <w:noWrap/>
          </w:tcPr>
          <w:p w14:paraId="21931BE4" w14:textId="77777777" w:rsidR="00D7559A" w:rsidRPr="000665B0" w:rsidRDefault="00D7559A" w:rsidP="00A0163E">
            <w:pPr>
              <w:spacing w:before="40" w:after="40"/>
              <w:rPr>
                <w:sz w:val="18"/>
                <w:szCs w:val="18"/>
              </w:rPr>
            </w:pPr>
            <w:r w:rsidRPr="000665B0">
              <w:rPr>
                <w:sz w:val="18"/>
                <w:szCs w:val="18"/>
              </w:rPr>
              <w:t>Transfer File</w:t>
            </w:r>
          </w:p>
        </w:tc>
        <w:tc>
          <w:tcPr>
            <w:tcW w:w="638" w:type="dxa"/>
          </w:tcPr>
          <w:p w14:paraId="23A1BD91"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0EF21EF3"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7999F763" w14:textId="77777777" w:rsidR="00D7559A" w:rsidRPr="000665B0" w:rsidRDefault="00D7559A" w:rsidP="00A0163E">
            <w:pPr>
              <w:spacing w:before="40" w:after="40"/>
              <w:rPr>
                <w:sz w:val="18"/>
                <w:szCs w:val="18"/>
              </w:rPr>
            </w:pPr>
            <w:r w:rsidRPr="000665B0">
              <w:rPr>
                <w:sz w:val="18"/>
                <w:szCs w:val="18"/>
              </w:rPr>
              <w:t>X</w:t>
            </w:r>
          </w:p>
        </w:tc>
        <w:tc>
          <w:tcPr>
            <w:tcW w:w="1292" w:type="dxa"/>
            <w:noWrap/>
          </w:tcPr>
          <w:p w14:paraId="22B48A20" w14:textId="77777777" w:rsidR="00D7559A" w:rsidRPr="000665B0" w:rsidRDefault="00D7559A" w:rsidP="00A0163E">
            <w:pPr>
              <w:spacing w:before="40" w:after="40"/>
              <w:rPr>
                <w:sz w:val="18"/>
                <w:szCs w:val="18"/>
              </w:rPr>
            </w:pPr>
            <w:r w:rsidRPr="000665B0">
              <w:rPr>
                <w:sz w:val="18"/>
                <w:szCs w:val="18"/>
              </w:rPr>
              <w:t>FDU</w:t>
            </w:r>
          </w:p>
        </w:tc>
        <w:tc>
          <w:tcPr>
            <w:tcW w:w="638" w:type="dxa"/>
          </w:tcPr>
          <w:p w14:paraId="0323BC87"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0D0444CA" w14:textId="77777777" w:rsidR="00D7559A" w:rsidRPr="000665B0" w:rsidRDefault="00D7559A" w:rsidP="00A0163E">
            <w:pPr>
              <w:spacing w:before="40" w:after="40"/>
              <w:rPr>
                <w:sz w:val="18"/>
                <w:szCs w:val="18"/>
              </w:rPr>
            </w:pPr>
            <w:r w:rsidRPr="000665B0">
              <w:rPr>
                <w:sz w:val="18"/>
                <w:szCs w:val="18"/>
              </w:rPr>
              <w:t>FDU</w:t>
            </w:r>
          </w:p>
        </w:tc>
        <w:tc>
          <w:tcPr>
            <w:tcW w:w="715" w:type="dxa"/>
          </w:tcPr>
          <w:p w14:paraId="77CFA045" w14:textId="77777777" w:rsidR="00D7559A" w:rsidRPr="000665B0" w:rsidRDefault="00D7559A" w:rsidP="00A0163E">
            <w:pPr>
              <w:spacing w:before="40" w:after="40"/>
              <w:rPr>
                <w:sz w:val="18"/>
                <w:szCs w:val="18"/>
              </w:rPr>
            </w:pPr>
            <w:r w:rsidRPr="000665B0">
              <w:rPr>
                <w:sz w:val="18"/>
                <w:szCs w:val="18"/>
              </w:rPr>
              <w:t>X</w:t>
            </w:r>
          </w:p>
        </w:tc>
      </w:tr>
      <w:tr w:rsidR="00D7559A" w:rsidRPr="000665B0" w14:paraId="63899D59" w14:textId="77777777" w:rsidTr="00844912">
        <w:trPr>
          <w:cantSplit/>
          <w:trHeight w:val="270"/>
          <w:jc w:val="center"/>
        </w:trPr>
        <w:tc>
          <w:tcPr>
            <w:tcW w:w="1630" w:type="dxa"/>
            <w:noWrap/>
          </w:tcPr>
          <w:p w14:paraId="23E25057" w14:textId="77777777" w:rsidR="00D7559A" w:rsidRPr="000665B0" w:rsidRDefault="00D7559A" w:rsidP="00A0163E">
            <w:pPr>
              <w:spacing w:before="40" w:after="40"/>
              <w:rPr>
                <w:sz w:val="18"/>
                <w:szCs w:val="18"/>
              </w:rPr>
            </w:pPr>
            <w:r w:rsidRPr="000665B0">
              <w:rPr>
                <w:sz w:val="18"/>
                <w:szCs w:val="18"/>
              </w:rPr>
              <w:t>Generic Files</w:t>
            </w:r>
          </w:p>
        </w:tc>
        <w:tc>
          <w:tcPr>
            <w:tcW w:w="1292" w:type="dxa"/>
            <w:noWrap/>
          </w:tcPr>
          <w:p w14:paraId="3C30D506" w14:textId="77777777" w:rsidR="00D7559A" w:rsidRPr="000665B0" w:rsidRDefault="00D7559A" w:rsidP="00A0163E">
            <w:pPr>
              <w:spacing w:before="40" w:after="40"/>
              <w:rPr>
                <w:sz w:val="18"/>
                <w:szCs w:val="18"/>
              </w:rPr>
            </w:pPr>
            <w:r w:rsidRPr="000665B0">
              <w:rPr>
                <w:sz w:val="18"/>
                <w:szCs w:val="18"/>
              </w:rPr>
              <w:t xml:space="preserve">X </w:t>
            </w:r>
          </w:p>
        </w:tc>
        <w:tc>
          <w:tcPr>
            <w:tcW w:w="638" w:type="dxa"/>
          </w:tcPr>
          <w:p w14:paraId="38692298"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3460EBC6" w14:textId="75507C43" w:rsidR="00D7559A" w:rsidRPr="000665B0" w:rsidRDefault="00844912" w:rsidP="00A0163E">
            <w:pPr>
              <w:spacing w:before="40" w:after="40"/>
              <w:rPr>
                <w:sz w:val="18"/>
                <w:szCs w:val="18"/>
              </w:rPr>
            </w:pPr>
            <w:r w:rsidRPr="000665B0">
              <w:rPr>
                <w:sz w:val="18"/>
                <w:szCs w:val="18"/>
              </w:rPr>
              <w:t>TCIDB</w:t>
            </w:r>
          </w:p>
        </w:tc>
        <w:tc>
          <w:tcPr>
            <w:tcW w:w="725" w:type="dxa"/>
          </w:tcPr>
          <w:p w14:paraId="0541DA82" w14:textId="66135ECC" w:rsidR="00D7559A" w:rsidRPr="000665B0" w:rsidRDefault="00844912" w:rsidP="00A0163E">
            <w:pPr>
              <w:spacing w:before="40" w:after="40"/>
              <w:rPr>
                <w:sz w:val="18"/>
                <w:szCs w:val="18"/>
              </w:rPr>
            </w:pPr>
            <w:r w:rsidRPr="000665B0">
              <w:rPr>
                <w:sz w:val="18"/>
                <w:szCs w:val="18"/>
              </w:rPr>
              <w:t>X</w:t>
            </w:r>
          </w:p>
        </w:tc>
        <w:tc>
          <w:tcPr>
            <w:tcW w:w="1292" w:type="dxa"/>
            <w:noWrap/>
          </w:tcPr>
          <w:p w14:paraId="4A685CF5" w14:textId="77777777" w:rsidR="00D7559A" w:rsidRPr="000665B0" w:rsidRDefault="00D7559A" w:rsidP="00A0163E">
            <w:pPr>
              <w:spacing w:before="40" w:after="40"/>
              <w:rPr>
                <w:sz w:val="18"/>
                <w:szCs w:val="18"/>
              </w:rPr>
            </w:pPr>
            <w:r w:rsidRPr="000665B0">
              <w:rPr>
                <w:sz w:val="18"/>
                <w:szCs w:val="18"/>
              </w:rPr>
              <w:t xml:space="preserve">X </w:t>
            </w:r>
          </w:p>
        </w:tc>
        <w:tc>
          <w:tcPr>
            <w:tcW w:w="638" w:type="dxa"/>
          </w:tcPr>
          <w:p w14:paraId="20C2F188"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71B8AFAB" w14:textId="158D1A56" w:rsidR="00D7559A" w:rsidRPr="000665B0" w:rsidRDefault="00844912" w:rsidP="00A0163E">
            <w:pPr>
              <w:spacing w:before="40" w:after="40"/>
              <w:rPr>
                <w:sz w:val="18"/>
                <w:szCs w:val="18"/>
              </w:rPr>
            </w:pPr>
            <w:r w:rsidRPr="000665B0">
              <w:rPr>
                <w:sz w:val="18"/>
                <w:szCs w:val="18"/>
              </w:rPr>
              <w:t>FDU</w:t>
            </w:r>
          </w:p>
        </w:tc>
        <w:tc>
          <w:tcPr>
            <w:tcW w:w="715" w:type="dxa"/>
          </w:tcPr>
          <w:p w14:paraId="553814FA" w14:textId="0009623A" w:rsidR="00D7559A" w:rsidRPr="000665B0" w:rsidRDefault="00844912" w:rsidP="00A0163E">
            <w:pPr>
              <w:spacing w:before="40" w:after="40"/>
              <w:rPr>
                <w:sz w:val="18"/>
                <w:szCs w:val="18"/>
              </w:rPr>
            </w:pPr>
            <w:r w:rsidRPr="000665B0">
              <w:rPr>
                <w:color w:val="000000"/>
                <w:sz w:val="18"/>
                <w:szCs w:val="18"/>
              </w:rPr>
              <w:t>X</w:t>
            </w:r>
          </w:p>
        </w:tc>
      </w:tr>
      <w:tr w:rsidR="00D7559A" w:rsidRPr="000665B0" w14:paraId="1765F2E4" w14:textId="77777777" w:rsidTr="00844912">
        <w:trPr>
          <w:cantSplit/>
          <w:trHeight w:val="270"/>
          <w:jc w:val="center"/>
        </w:trPr>
        <w:tc>
          <w:tcPr>
            <w:tcW w:w="1630" w:type="dxa"/>
            <w:noWrap/>
          </w:tcPr>
          <w:p w14:paraId="31665A11" w14:textId="6A576A54" w:rsidR="00D7559A" w:rsidRPr="000665B0" w:rsidRDefault="00D7559A" w:rsidP="00A0163E">
            <w:pPr>
              <w:spacing w:before="40" w:after="40"/>
              <w:rPr>
                <w:sz w:val="18"/>
                <w:szCs w:val="18"/>
              </w:rPr>
            </w:pPr>
            <w:r w:rsidRPr="000665B0">
              <w:rPr>
                <w:sz w:val="18"/>
                <w:szCs w:val="18"/>
              </w:rPr>
              <w:t>GPS</w:t>
            </w:r>
          </w:p>
        </w:tc>
        <w:tc>
          <w:tcPr>
            <w:tcW w:w="1292" w:type="dxa"/>
            <w:noWrap/>
          </w:tcPr>
          <w:p w14:paraId="3E9A05E2"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35E0826C"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00F8427A" w14:textId="77777777" w:rsidR="00D7559A" w:rsidRPr="000665B0" w:rsidRDefault="00D7559A" w:rsidP="00A0163E">
            <w:pPr>
              <w:spacing w:before="40" w:after="40"/>
              <w:rPr>
                <w:sz w:val="18"/>
                <w:szCs w:val="18"/>
              </w:rPr>
            </w:pPr>
          </w:p>
        </w:tc>
        <w:tc>
          <w:tcPr>
            <w:tcW w:w="725" w:type="dxa"/>
          </w:tcPr>
          <w:p w14:paraId="4F1B029C"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5A3FEEAB"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61B3ECD0"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4E90C778" w14:textId="77777777" w:rsidR="00D7559A" w:rsidRPr="000665B0" w:rsidRDefault="00D7559A" w:rsidP="00A0163E">
            <w:pPr>
              <w:spacing w:before="40" w:after="40"/>
              <w:rPr>
                <w:sz w:val="18"/>
                <w:szCs w:val="18"/>
              </w:rPr>
            </w:pPr>
          </w:p>
        </w:tc>
        <w:tc>
          <w:tcPr>
            <w:tcW w:w="715" w:type="dxa"/>
          </w:tcPr>
          <w:p w14:paraId="2341339E"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06A5F8FD" w14:textId="77777777" w:rsidTr="00844912">
        <w:trPr>
          <w:cantSplit/>
          <w:trHeight w:val="270"/>
          <w:jc w:val="center"/>
        </w:trPr>
        <w:tc>
          <w:tcPr>
            <w:tcW w:w="1630" w:type="dxa"/>
            <w:noWrap/>
          </w:tcPr>
          <w:p w14:paraId="3D23DB09" w14:textId="77777777" w:rsidR="00D7559A" w:rsidRPr="000665B0" w:rsidRDefault="00D7559A" w:rsidP="00A0163E">
            <w:pPr>
              <w:spacing w:before="40" w:after="40"/>
              <w:rPr>
                <w:sz w:val="18"/>
                <w:szCs w:val="18"/>
              </w:rPr>
            </w:pPr>
            <w:r w:rsidRPr="000665B0">
              <w:rPr>
                <w:sz w:val="18"/>
                <w:szCs w:val="18"/>
              </w:rPr>
              <w:t>Library</w:t>
            </w:r>
          </w:p>
        </w:tc>
        <w:tc>
          <w:tcPr>
            <w:tcW w:w="1292" w:type="dxa"/>
            <w:noWrap/>
          </w:tcPr>
          <w:p w14:paraId="2396C9AE"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AC3D0C8"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752D67D0" w14:textId="77777777" w:rsidR="00D7559A" w:rsidRPr="000665B0" w:rsidRDefault="00D7559A" w:rsidP="00A0163E">
            <w:pPr>
              <w:spacing w:before="40" w:after="40"/>
              <w:rPr>
                <w:sz w:val="18"/>
                <w:szCs w:val="18"/>
              </w:rPr>
            </w:pPr>
            <w:r w:rsidRPr="000665B0">
              <w:rPr>
                <w:sz w:val="18"/>
                <w:szCs w:val="18"/>
              </w:rPr>
              <w:t> </w:t>
            </w:r>
          </w:p>
        </w:tc>
        <w:tc>
          <w:tcPr>
            <w:tcW w:w="725" w:type="dxa"/>
          </w:tcPr>
          <w:p w14:paraId="69F48AA0"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657703E6"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21DD7E5A"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4944F678" w14:textId="77777777" w:rsidR="00D7559A" w:rsidRPr="000665B0" w:rsidRDefault="00D7559A" w:rsidP="00A0163E">
            <w:pPr>
              <w:spacing w:before="40" w:after="40"/>
              <w:rPr>
                <w:sz w:val="18"/>
                <w:szCs w:val="18"/>
              </w:rPr>
            </w:pPr>
            <w:r w:rsidRPr="000665B0">
              <w:rPr>
                <w:sz w:val="18"/>
                <w:szCs w:val="18"/>
              </w:rPr>
              <w:t> </w:t>
            </w:r>
          </w:p>
        </w:tc>
        <w:tc>
          <w:tcPr>
            <w:tcW w:w="715" w:type="dxa"/>
          </w:tcPr>
          <w:p w14:paraId="75B04723"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1B3C660E" w14:textId="77777777" w:rsidTr="00844912">
        <w:trPr>
          <w:cantSplit/>
          <w:trHeight w:val="270"/>
          <w:jc w:val="center"/>
        </w:trPr>
        <w:tc>
          <w:tcPr>
            <w:tcW w:w="1630" w:type="dxa"/>
            <w:noWrap/>
          </w:tcPr>
          <w:p w14:paraId="284DAB59" w14:textId="77777777" w:rsidR="00D7559A" w:rsidRPr="000665B0" w:rsidRDefault="00D7559A" w:rsidP="00A0163E">
            <w:pPr>
              <w:spacing w:before="40" w:after="40"/>
              <w:rPr>
                <w:sz w:val="18"/>
                <w:szCs w:val="18"/>
              </w:rPr>
            </w:pPr>
            <w:r w:rsidRPr="000665B0">
              <w:rPr>
                <w:sz w:val="18"/>
                <w:szCs w:val="18"/>
              </w:rPr>
              <w:t>Missile Inventory</w:t>
            </w:r>
          </w:p>
        </w:tc>
        <w:tc>
          <w:tcPr>
            <w:tcW w:w="1292" w:type="dxa"/>
            <w:noWrap/>
          </w:tcPr>
          <w:p w14:paraId="46B339F7"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4C3A141"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400E235D" w14:textId="77777777" w:rsidR="00D7559A" w:rsidRPr="000665B0" w:rsidRDefault="00D7559A" w:rsidP="00A0163E">
            <w:pPr>
              <w:spacing w:before="40" w:after="40"/>
              <w:rPr>
                <w:sz w:val="18"/>
                <w:szCs w:val="18"/>
              </w:rPr>
            </w:pPr>
            <w:r w:rsidRPr="000665B0">
              <w:rPr>
                <w:sz w:val="18"/>
                <w:szCs w:val="18"/>
              </w:rPr>
              <w:t> </w:t>
            </w:r>
          </w:p>
        </w:tc>
        <w:tc>
          <w:tcPr>
            <w:tcW w:w="725" w:type="dxa"/>
          </w:tcPr>
          <w:p w14:paraId="796F7E13"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45449032"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725C9A37"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659517D4" w14:textId="77777777" w:rsidR="00D7559A" w:rsidRPr="000665B0" w:rsidRDefault="00D7559A" w:rsidP="00A0163E">
            <w:pPr>
              <w:spacing w:before="40" w:after="40"/>
              <w:rPr>
                <w:sz w:val="18"/>
                <w:szCs w:val="18"/>
              </w:rPr>
            </w:pPr>
            <w:r w:rsidRPr="000665B0">
              <w:rPr>
                <w:sz w:val="18"/>
                <w:szCs w:val="18"/>
              </w:rPr>
              <w:t> </w:t>
            </w:r>
          </w:p>
        </w:tc>
        <w:tc>
          <w:tcPr>
            <w:tcW w:w="715" w:type="dxa"/>
          </w:tcPr>
          <w:p w14:paraId="23C016EE"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64AEBC89" w14:textId="77777777" w:rsidTr="00844912">
        <w:trPr>
          <w:cantSplit/>
          <w:trHeight w:val="270"/>
          <w:jc w:val="center"/>
        </w:trPr>
        <w:tc>
          <w:tcPr>
            <w:tcW w:w="1630" w:type="dxa"/>
            <w:noWrap/>
          </w:tcPr>
          <w:p w14:paraId="7723E666" w14:textId="77777777" w:rsidR="00D7559A" w:rsidRPr="000665B0" w:rsidRDefault="00D7559A" w:rsidP="00A0163E">
            <w:pPr>
              <w:spacing w:before="40" w:after="40"/>
              <w:rPr>
                <w:sz w:val="18"/>
                <w:szCs w:val="18"/>
              </w:rPr>
            </w:pPr>
            <w:r w:rsidRPr="000665B0">
              <w:rPr>
                <w:sz w:val="18"/>
                <w:szCs w:val="18"/>
              </w:rPr>
              <w:t>Missions (MDF/C2)</w:t>
            </w:r>
          </w:p>
        </w:tc>
        <w:tc>
          <w:tcPr>
            <w:tcW w:w="1292" w:type="dxa"/>
            <w:noWrap/>
          </w:tcPr>
          <w:p w14:paraId="374AC38D" w14:textId="77777777" w:rsidR="00D7559A" w:rsidRPr="000665B0" w:rsidRDefault="00D7559A" w:rsidP="00A0163E">
            <w:pPr>
              <w:spacing w:before="40" w:after="40"/>
              <w:rPr>
                <w:sz w:val="18"/>
                <w:szCs w:val="18"/>
              </w:rPr>
            </w:pPr>
            <w:r w:rsidRPr="000665B0">
              <w:rPr>
                <w:sz w:val="18"/>
                <w:szCs w:val="18"/>
              </w:rPr>
              <w:t>Transfer File</w:t>
            </w:r>
          </w:p>
        </w:tc>
        <w:tc>
          <w:tcPr>
            <w:tcW w:w="638" w:type="dxa"/>
          </w:tcPr>
          <w:p w14:paraId="4A3CD2A9"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1A6A8074"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02CE9A91" w14:textId="77777777" w:rsidR="00D7559A" w:rsidRPr="000665B0" w:rsidRDefault="00D7559A" w:rsidP="00A0163E">
            <w:pPr>
              <w:spacing w:before="40" w:after="40"/>
              <w:rPr>
                <w:sz w:val="18"/>
                <w:szCs w:val="18"/>
              </w:rPr>
            </w:pPr>
          </w:p>
        </w:tc>
        <w:tc>
          <w:tcPr>
            <w:tcW w:w="1292" w:type="dxa"/>
            <w:noWrap/>
          </w:tcPr>
          <w:p w14:paraId="4B0C5789" w14:textId="77777777" w:rsidR="00D7559A" w:rsidRPr="000665B0" w:rsidRDefault="00D7559A" w:rsidP="00A0163E">
            <w:pPr>
              <w:spacing w:before="40" w:after="40"/>
              <w:rPr>
                <w:sz w:val="18"/>
                <w:szCs w:val="18"/>
              </w:rPr>
            </w:pPr>
            <w:r w:rsidRPr="000665B0">
              <w:rPr>
                <w:sz w:val="18"/>
                <w:szCs w:val="18"/>
              </w:rPr>
              <w:t>MDU</w:t>
            </w:r>
          </w:p>
        </w:tc>
        <w:tc>
          <w:tcPr>
            <w:tcW w:w="638" w:type="dxa"/>
          </w:tcPr>
          <w:p w14:paraId="3386F8B7"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5C005C12" w14:textId="77777777" w:rsidR="00D7559A" w:rsidRPr="000665B0" w:rsidRDefault="00D7559A" w:rsidP="00A0163E">
            <w:pPr>
              <w:spacing w:before="40" w:after="40"/>
              <w:rPr>
                <w:sz w:val="18"/>
                <w:szCs w:val="18"/>
              </w:rPr>
            </w:pPr>
            <w:r w:rsidRPr="000665B0">
              <w:rPr>
                <w:sz w:val="18"/>
                <w:szCs w:val="18"/>
              </w:rPr>
              <w:t>MDU</w:t>
            </w:r>
          </w:p>
        </w:tc>
        <w:tc>
          <w:tcPr>
            <w:tcW w:w="715" w:type="dxa"/>
          </w:tcPr>
          <w:p w14:paraId="14D90558" w14:textId="77777777" w:rsidR="00D7559A" w:rsidRPr="000665B0" w:rsidRDefault="00D7559A" w:rsidP="00A0163E">
            <w:pPr>
              <w:spacing w:before="40" w:after="40"/>
              <w:rPr>
                <w:sz w:val="18"/>
                <w:szCs w:val="18"/>
              </w:rPr>
            </w:pPr>
          </w:p>
        </w:tc>
      </w:tr>
      <w:tr w:rsidR="007E46EA" w:rsidRPr="000665B0" w14:paraId="240DD904" w14:textId="77777777" w:rsidTr="00844912">
        <w:trPr>
          <w:cantSplit/>
          <w:trHeight w:val="270"/>
          <w:jc w:val="center"/>
        </w:trPr>
        <w:tc>
          <w:tcPr>
            <w:tcW w:w="1630" w:type="dxa"/>
            <w:noWrap/>
          </w:tcPr>
          <w:p w14:paraId="111347E4" w14:textId="4A67A6A8" w:rsidR="007E46EA" w:rsidRPr="000665B0" w:rsidRDefault="007E46EA" w:rsidP="00A0163E">
            <w:pPr>
              <w:spacing w:before="40" w:after="40"/>
              <w:rPr>
                <w:sz w:val="18"/>
                <w:szCs w:val="18"/>
              </w:rPr>
            </w:pPr>
            <w:r w:rsidRPr="000665B0">
              <w:rPr>
                <w:sz w:val="18"/>
                <w:szCs w:val="18"/>
              </w:rPr>
              <w:t>MTIF Data Files</w:t>
            </w:r>
          </w:p>
        </w:tc>
        <w:tc>
          <w:tcPr>
            <w:tcW w:w="1292" w:type="dxa"/>
            <w:noWrap/>
          </w:tcPr>
          <w:p w14:paraId="2BB9A975" w14:textId="2A44CF82" w:rsidR="007E46EA" w:rsidRPr="000665B0" w:rsidRDefault="007E46EA" w:rsidP="00A0163E">
            <w:pPr>
              <w:spacing w:before="40" w:after="40"/>
              <w:rPr>
                <w:sz w:val="18"/>
                <w:szCs w:val="18"/>
              </w:rPr>
            </w:pPr>
            <w:r w:rsidRPr="000665B0">
              <w:rPr>
                <w:sz w:val="18"/>
                <w:szCs w:val="18"/>
              </w:rPr>
              <w:t>FDU</w:t>
            </w:r>
          </w:p>
        </w:tc>
        <w:tc>
          <w:tcPr>
            <w:tcW w:w="638" w:type="dxa"/>
          </w:tcPr>
          <w:p w14:paraId="0CA6A6C1" w14:textId="2CD970FD" w:rsidR="007E46EA" w:rsidRPr="000665B0" w:rsidRDefault="007E46EA" w:rsidP="00A0163E">
            <w:pPr>
              <w:spacing w:before="40" w:after="40"/>
              <w:rPr>
                <w:color w:val="000000"/>
                <w:sz w:val="18"/>
                <w:szCs w:val="18"/>
              </w:rPr>
            </w:pPr>
            <w:r w:rsidRPr="000665B0">
              <w:rPr>
                <w:color w:val="000000"/>
                <w:sz w:val="18"/>
                <w:szCs w:val="18"/>
              </w:rPr>
              <w:t>X</w:t>
            </w:r>
          </w:p>
        </w:tc>
        <w:tc>
          <w:tcPr>
            <w:tcW w:w="1205" w:type="dxa"/>
            <w:noWrap/>
          </w:tcPr>
          <w:p w14:paraId="7057E4E5" w14:textId="639C9EFE" w:rsidR="007E46EA" w:rsidRPr="000665B0" w:rsidRDefault="007E46EA" w:rsidP="00A0163E">
            <w:pPr>
              <w:spacing w:before="40" w:after="40"/>
              <w:rPr>
                <w:sz w:val="18"/>
                <w:szCs w:val="18"/>
              </w:rPr>
            </w:pPr>
            <w:r w:rsidRPr="000665B0">
              <w:rPr>
                <w:sz w:val="18"/>
                <w:szCs w:val="18"/>
              </w:rPr>
              <w:t>TCIDB</w:t>
            </w:r>
          </w:p>
        </w:tc>
        <w:tc>
          <w:tcPr>
            <w:tcW w:w="725" w:type="dxa"/>
          </w:tcPr>
          <w:p w14:paraId="76F51A87" w14:textId="715DD868" w:rsidR="007E46EA" w:rsidRPr="000665B0" w:rsidRDefault="007E46EA" w:rsidP="00A0163E">
            <w:pPr>
              <w:spacing w:before="40" w:after="40"/>
              <w:rPr>
                <w:sz w:val="18"/>
                <w:szCs w:val="18"/>
              </w:rPr>
            </w:pPr>
            <w:r w:rsidRPr="000665B0">
              <w:rPr>
                <w:sz w:val="18"/>
                <w:szCs w:val="18"/>
              </w:rPr>
              <w:t>X</w:t>
            </w:r>
          </w:p>
        </w:tc>
        <w:tc>
          <w:tcPr>
            <w:tcW w:w="1292" w:type="dxa"/>
            <w:noWrap/>
          </w:tcPr>
          <w:p w14:paraId="34079844" w14:textId="73891DF4" w:rsidR="007E46EA" w:rsidRPr="000665B0" w:rsidRDefault="007E46EA" w:rsidP="00A0163E">
            <w:pPr>
              <w:spacing w:before="40" w:after="40"/>
              <w:rPr>
                <w:sz w:val="18"/>
                <w:szCs w:val="18"/>
              </w:rPr>
            </w:pPr>
            <w:r w:rsidRPr="000665B0">
              <w:rPr>
                <w:sz w:val="18"/>
                <w:szCs w:val="18"/>
              </w:rPr>
              <w:t>FDU</w:t>
            </w:r>
          </w:p>
        </w:tc>
        <w:tc>
          <w:tcPr>
            <w:tcW w:w="638" w:type="dxa"/>
          </w:tcPr>
          <w:p w14:paraId="22693FD9" w14:textId="69F2F88F" w:rsidR="007E46EA" w:rsidRPr="000665B0" w:rsidRDefault="007E46EA" w:rsidP="00A0163E">
            <w:pPr>
              <w:spacing w:before="40" w:after="40"/>
              <w:rPr>
                <w:color w:val="000000"/>
                <w:sz w:val="18"/>
                <w:szCs w:val="18"/>
              </w:rPr>
            </w:pPr>
            <w:r w:rsidRPr="000665B0">
              <w:rPr>
                <w:color w:val="000000"/>
                <w:sz w:val="18"/>
                <w:szCs w:val="18"/>
              </w:rPr>
              <w:t>X</w:t>
            </w:r>
          </w:p>
        </w:tc>
        <w:tc>
          <w:tcPr>
            <w:tcW w:w="1215" w:type="dxa"/>
            <w:noWrap/>
          </w:tcPr>
          <w:p w14:paraId="3AC324D3" w14:textId="381D9483" w:rsidR="007E46EA" w:rsidRPr="000665B0" w:rsidRDefault="007E46EA" w:rsidP="00A0163E">
            <w:pPr>
              <w:spacing w:before="40" w:after="40"/>
              <w:rPr>
                <w:sz w:val="18"/>
                <w:szCs w:val="18"/>
              </w:rPr>
            </w:pPr>
            <w:r w:rsidRPr="000665B0">
              <w:rPr>
                <w:sz w:val="18"/>
                <w:szCs w:val="18"/>
              </w:rPr>
              <w:t>TCIDB</w:t>
            </w:r>
          </w:p>
        </w:tc>
        <w:tc>
          <w:tcPr>
            <w:tcW w:w="715" w:type="dxa"/>
          </w:tcPr>
          <w:p w14:paraId="6B6886F2" w14:textId="61D728CC" w:rsidR="007E46EA" w:rsidRPr="000665B0" w:rsidRDefault="007E46EA" w:rsidP="00A0163E">
            <w:pPr>
              <w:spacing w:before="40" w:after="40"/>
              <w:rPr>
                <w:sz w:val="18"/>
                <w:szCs w:val="18"/>
              </w:rPr>
            </w:pPr>
            <w:r w:rsidRPr="000665B0">
              <w:rPr>
                <w:sz w:val="18"/>
                <w:szCs w:val="18"/>
              </w:rPr>
              <w:t>X</w:t>
            </w:r>
          </w:p>
        </w:tc>
      </w:tr>
      <w:tr w:rsidR="00D7559A" w:rsidRPr="000665B0" w14:paraId="55A476BB" w14:textId="77777777" w:rsidTr="00844912">
        <w:trPr>
          <w:cantSplit/>
          <w:trHeight w:val="270"/>
          <w:jc w:val="center"/>
        </w:trPr>
        <w:tc>
          <w:tcPr>
            <w:tcW w:w="1630" w:type="dxa"/>
            <w:noWrap/>
          </w:tcPr>
          <w:p w14:paraId="1E83BD1F" w14:textId="77777777" w:rsidR="00D7559A" w:rsidRPr="000665B0" w:rsidRDefault="00D7559A" w:rsidP="00A0163E">
            <w:pPr>
              <w:spacing w:before="40" w:after="40"/>
              <w:rPr>
                <w:sz w:val="18"/>
                <w:szCs w:val="18"/>
              </w:rPr>
            </w:pPr>
            <w:r w:rsidRPr="000665B0">
              <w:rPr>
                <w:sz w:val="18"/>
                <w:szCs w:val="18"/>
              </w:rPr>
              <w:t>Node Inventory</w:t>
            </w:r>
          </w:p>
        </w:tc>
        <w:tc>
          <w:tcPr>
            <w:tcW w:w="1292" w:type="dxa"/>
            <w:noWrap/>
          </w:tcPr>
          <w:p w14:paraId="3EFB1093"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40B7A7BA" w14:textId="77777777" w:rsidR="00D7559A" w:rsidRPr="000665B0" w:rsidRDefault="00D7559A" w:rsidP="00A0163E">
            <w:pPr>
              <w:spacing w:before="40" w:after="40"/>
              <w:rPr>
                <w:sz w:val="18"/>
                <w:szCs w:val="18"/>
              </w:rPr>
            </w:pPr>
            <w:r w:rsidRPr="000665B0">
              <w:rPr>
                <w:sz w:val="18"/>
                <w:szCs w:val="18"/>
              </w:rPr>
              <w:t>X</w:t>
            </w:r>
          </w:p>
        </w:tc>
        <w:tc>
          <w:tcPr>
            <w:tcW w:w="1205" w:type="dxa"/>
            <w:noWrap/>
          </w:tcPr>
          <w:p w14:paraId="60AA599E" w14:textId="77777777" w:rsidR="00D7559A" w:rsidRPr="000665B0" w:rsidRDefault="00D7559A" w:rsidP="00A0163E">
            <w:pPr>
              <w:spacing w:before="40" w:after="40"/>
              <w:rPr>
                <w:sz w:val="18"/>
                <w:szCs w:val="18"/>
              </w:rPr>
            </w:pPr>
            <w:r w:rsidRPr="000665B0">
              <w:rPr>
                <w:sz w:val="18"/>
                <w:szCs w:val="18"/>
              </w:rPr>
              <w:t> </w:t>
            </w:r>
          </w:p>
        </w:tc>
        <w:tc>
          <w:tcPr>
            <w:tcW w:w="725" w:type="dxa"/>
          </w:tcPr>
          <w:p w14:paraId="023CF472"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777A580F"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2B911C75" w14:textId="77777777" w:rsidR="00D7559A" w:rsidRPr="000665B0" w:rsidRDefault="00D7559A" w:rsidP="00A0163E">
            <w:pPr>
              <w:spacing w:before="40" w:after="40"/>
              <w:rPr>
                <w:sz w:val="18"/>
                <w:szCs w:val="18"/>
              </w:rPr>
            </w:pPr>
            <w:r w:rsidRPr="000665B0">
              <w:rPr>
                <w:sz w:val="18"/>
                <w:szCs w:val="18"/>
              </w:rPr>
              <w:t>X</w:t>
            </w:r>
          </w:p>
        </w:tc>
        <w:tc>
          <w:tcPr>
            <w:tcW w:w="1215" w:type="dxa"/>
            <w:noWrap/>
          </w:tcPr>
          <w:p w14:paraId="78FD795C" w14:textId="77777777" w:rsidR="00D7559A" w:rsidRPr="000665B0" w:rsidRDefault="00D7559A" w:rsidP="00A0163E">
            <w:pPr>
              <w:spacing w:before="40" w:after="40"/>
              <w:rPr>
                <w:sz w:val="18"/>
                <w:szCs w:val="18"/>
              </w:rPr>
            </w:pPr>
            <w:r w:rsidRPr="000665B0">
              <w:rPr>
                <w:sz w:val="18"/>
                <w:szCs w:val="18"/>
              </w:rPr>
              <w:t> </w:t>
            </w:r>
          </w:p>
        </w:tc>
        <w:tc>
          <w:tcPr>
            <w:tcW w:w="715" w:type="dxa"/>
          </w:tcPr>
          <w:p w14:paraId="2F25BBDA"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78A5DB87" w14:textId="77777777" w:rsidTr="00844912">
        <w:trPr>
          <w:cantSplit/>
          <w:trHeight w:val="270"/>
          <w:jc w:val="center"/>
        </w:trPr>
        <w:tc>
          <w:tcPr>
            <w:tcW w:w="1630" w:type="dxa"/>
            <w:noWrap/>
          </w:tcPr>
          <w:p w14:paraId="216BCA4A" w14:textId="77777777" w:rsidR="00D7559A" w:rsidRPr="000665B0" w:rsidRDefault="00D7559A" w:rsidP="00A0163E">
            <w:pPr>
              <w:spacing w:before="40" w:after="40"/>
              <w:rPr>
                <w:sz w:val="18"/>
                <w:szCs w:val="18"/>
              </w:rPr>
            </w:pPr>
            <w:r w:rsidRPr="000665B0">
              <w:rPr>
                <w:sz w:val="18"/>
                <w:szCs w:val="18"/>
              </w:rPr>
              <w:t>OES Components</w:t>
            </w:r>
          </w:p>
        </w:tc>
        <w:tc>
          <w:tcPr>
            <w:tcW w:w="1292" w:type="dxa"/>
            <w:noWrap/>
          </w:tcPr>
          <w:p w14:paraId="3F3C3101" w14:textId="77777777" w:rsidR="00D7559A" w:rsidRPr="000665B0" w:rsidRDefault="00D7559A" w:rsidP="00A0163E">
            <w:pPr>
              <w:spacing w:before="40" w:after="40"/>
              <w:rPr>
                <w:sz w:val="18"/>
                <w:szCs w:val="18"/>
              </w:rPr>
            </w:pPr>
            <w:r w:rsidRPr="000665B0">
              <w:rPr>
                <w:sz w:val="18"/>
                <w:szCs w:val="18"/>
              </w:rPr>
              <w:t>Transfer File</w:t>
            </w:r>
          </w:p>
        </w:tc>
        <w:tc>
          <w:tcPr>
            <w:tcW w:w="638" w:type="dxa"/>
          </w:tcPr>
          <w:p w14:paraId="0330CF14"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0284F255"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415165F9" w14:textId="77777777" w:rsidR="00D7559A" w:rsidRPr="000665B0" w:rsidRDefault="00D7559A" w:rsidP="00A0163E">
            <w:pPr>
              <w:spacing w:before="40" w:after="40"/>
              <w:rPr>
                <w:sz w:val="18"/>
                <w:szCs w:val="18"/>
              </w:rPr>
            </w:pPr>
            <w:r w:rsidRPr="000665B0">
              <w:rPr>
                <w:sz w:val="18"/>
                <w:szCs w:val="18"/>
              </w:rPr>
              <w:t>X</w:t>
            </w:r>
          </w:p>
        </w:tc>
        <w:tc>
          <w:tcPr>
            <w:tcW w:w="1292" w:type="dxa"/>
            <w:noWrap/>
          </w:tcPr>
          <w:p w14:paraId="6AC1C9AE" w14:textId="77777777" w:rsidR="00D7559A" w:rsidRPr="000665B0" w:rsidRDefault="00D7559A" w:rsidP="00A0163E">
            <w:pPr>
              <w:spacing w:before="40" w:after="40"/>
              <w:rPr>
                <w:sz w:val="18"/>
                <w:szCs w:val="18"/>
              </w:rPr>
            </w:pPr>
            <w:r w:rsidRPr="000665B0">
              <w:rPr>
                <w:sz w:val="18"/>
                <w:szCs w:val="18"/>
              </w:rPr>
              <w:t>FDU</w:t>
            </w:r>
          </w:p>
        </w:tc>
        <w:tc>
          <w:tcPr>
            <w:tcW w:w="638" w:type="dxa"/>
          </w:tcPr>
          <w:p w14:paraId="276314AB"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1F1CB2A6" w14:textId="77777777" w:rsidR="00D7559A" w:rsidRPr="000665B0" w:rsidRDefault="00D7559A" w:rsidP="00A0163E">
            <w:pPr>
              <w:spacing w:before="40" w:after="40"/>
              <w:rPr>
                <w:sz w:val="18"/>
                <w:szCs w:val="18"/>
              </w:rPr>
            </w:pPr>
            <w:r w:rsidRPr="000665B0">
              <w:rPr>
                <w:sz w:val="18"/>
                <w:szCs w:val="18"/>
              </w:rPr>
              <w:t>FDU</w:t>
            </w:r>
          </w:p>
        </w:tc>
        <w:tc>
          <w:tcPr>
            <w:tcW w:w="715" w:type="dxa"/>
          </w:tcPr>
          <w:p w14:paraId="2AFE4B92" w14:textId="77777777" w:rsidR="00D7559A" w:rsidRPr="000665B0" w:rsidRDefault="00D7559A" w:rsidP="00A0163E">
            <w:pPr>
              <w:spacing w:before="40" w:after="40"/>
              <w:rPr>
                <w:sz w:val="18"/>
                <w:szCs w:val="18"/>
              </w:rPr>
            </w:pPr>
            <w:r w:rsidRPr="000665B0">
              <w:rPr>
                <w:sz w:val="18"/>
                <w:szCs w:val="18"/>
              </w:rPr>
              <w:t>X</w:t>
            </w:r>
          </w:p>
        </w:tc>
      </w:tr>
      <w:tr w:rsidR="00D7559A" w:rsidRPr="000665B0" w14:paraId="2DA3514E" w14:textId="77777777" w:rsidTr="00844912">
        <w:trPr>
          <w:cantSplit/>
          <w:trHeight w:val="270"/>
          <w:jc w:val="center"/>
        </w:trPr>
        <w:tc>
          <w:tcPr>
            <w:tcW w:w="1630" w:type="dxa"/>
            <w:noWrap/>
          </w:tcPr>
          <w:p w14:paraId="0DE3D2CA" w14:textId="77777777" w:rsidR="00D7559A" w:rsidRPr="000665B0" w:rsidRDefault="00D7559A" w:rsidP="00A0163E">
            <w:pPr>
              <w:spacing w:before="40" w:after="40"/>
              <w:rPr>
                <w:sz w:val="18"/>
                <w:szCs w:val="18"/>
              </w:rPr>
            </w:pPr>
            <w:r w:rsidRPr="000665B0">
              <w:rPr>
                <w:sz w:val="18"/>
                <w:szCs w:val="18"/>
              </w:rPr>
              <w:t>Overlay</w:t>
            </w:r>
          </w:p>
        </w:tc>
        <w:tc>
          <w:tcPr>
            <w:tcW w:w="1292" w:type="dxa"/>
            <w:noWrap/>
          </w:tcPr>
          <w:p w14:paraId="781A55E3"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255DE2BF"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1DD087D7" w14:textId="77777777" w:rsidR="00D7559A" w:rsidRPr="000665B0" w:rsidRDefault="00D7559A" w:rsidP="00A0163E">
            <w:pPr>
              <w:spacing w:before="40" w:after="40"/>
              <w:rPr>
                <w:sz w:val="18"/>
                <w:szCs w:val="18"/>
              </w:rPr>
            </w:pPr>
            <w:r w:rsidRPr="000665B0">
              <w:rPr>
                <w:sz w:val="18"/>
                <w:szCs w:val="18"/>
              </w:rPr>
              <w:t> </w:t>
            </w:r>
          </w:p>
        </w:tc>
        <w:tc>
          <w:tcPr>
            <w:tcW w:w="725" w:type="dxa"/>
          </w:tcPr>
          <w:p w14:paraId="63F7FD66" w14:textId="3697169F" w:rsidR="00D7559A" w:rsidRPr="000665B0" w:rsidRDefault="00D67220" w:rsidP="00A0163E">
            <w:pPr>
              <w:spacing w:before="40" w:after="40"/>
              <w:rPr>
                <w:sz w:val="18"/>
                <w:szCs w:val="18"/>
              </w:rPr>
            </w:pPr>
            <w:r w:rsidRPr="000665B0">
              <w:rPr>
                <w:sz w:val="18"/>
                <w:szCs w:val="18"/>
              </w:rPr>
              <w:t>NS</w:t>
            </w:r>
          </w:p>
        </w:tc>
        <w:tc>
          <w:tcPr>
            <w:tcW w:w="1292" w:type="dxa"/>
            <w:noWrap/>
          </w:tcPr>
          <w:p w14:paraId="3BC11808"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79C3CCE9"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6798F6F6" w14:textId="5D4BA023" w:rsidR="00D7559A" w:rsidRPr="000665B0" w:rsidRDefault="00D7559A" w:rsidP="00A0163E">
            <w:pPr>
              <w:spacing w:before="40" w:after="40"/>
              <w:rPr>
                <w:sz w:val="18"/>
                <w:szCs w:val="18"/>
              </w:rPr>
            </w:pPr>
          </w:p>
        </w:tc>
        <w:tc>
          <w:tcPr>
            <w:tcW w:w="715" w:type="dxa"/>
          </w:tcPr>
          <w:p w14:paraId="72471FFE" w14:textId="69D7330E" w:rsidR="00D7559A" w:rsidRPr="000665B0" w:rsidRDefault="0098308B" w:rsidP="00A0163E">
            <w:pPr>
              <w:spacing w:before="40" w:after="40"/>
              <w:rPr>
                <w:sz w:val="18"/>
                <w:szCs w:val="18"/>
              </w:rPr>
            </w:pPr>
            <w:r w:rsidRPr="000665B0">
              <w:rPr>
                <w:color w:val="000000"/>
                <w:sz w:val="18"/>
                <w:szCs w:val="18"/>
              </w:rPr>
              <w:t>N</w:t>
            </w:r>
            <w:r w:rsidR="00D67220" w:rsidRPr="000665B0">
              <w:rPr>
                <w:color w:val="000000"/>
                <w:sz w:val="18"/>
                <w:szCs w:val="18"/>
              </w:rPr>
              <w:t>S</w:t>
            </w:r>
            <w:r w:rsidR="00D7559A" w:rsidRPr="000665B0">
              <w:rPr>
                <w:color w:val="000000"/>
                <w:sz w:val="18"/>
                <w:szCs w:val="18"/>
              </w:rPr>
              <w:t> </w:t>
            </w:r>
          </w:p>
        </w:tc>
      </w:tr>
      <w:tr w:rsidR="00D7559A" w:rsidRPr="000665B0" w14:paraId="4A3C5C7C" w14:textId="77777777" w:rsidTr="00844912">
        <w:trPr>
          <w:cantSplit/>
          <w:trHeight w:val="270"/>
          <w:jc w:val="center"/>
        </w:trPr>
        <w:tc>
          <w:tcPr>
            <w:tcW w:w="1630" w:type="dxa"/>
            <w:noWrap/>
          </w:tcPr>
          <w:p w14:paraId="6D72E4E4" w14:textId="77777777" w:rsidR="00D7559A" w:rsidRPr="000665B0" w:rsidRDefault="00D7559A" w:rsidP="00A0163E">
            <w:pPr>
              <w:spacing w:before="40" w:after="40"/>
              <w:rPr>
                <w:sz w:val="18"/>
                <w:szCs w:val="18"/>
              </w:rPr>
            </w:pPr>
            <w:r w:rsidRPr="000665B0">
              <w:rPr>
                <w:sz w:val="18"/>
                <w:szCs w:val="18"/>
              </w:rPr>
              <w:t>PCTs (Individual)</w:t>
            </w:r>
          </w:p>
        </w:tc>
        <w:tc>
          <w:tcPr>
            <w:tcW w:w="1292" w:type="dxa"/>
            <w:noWrap/>
          </w:tcPr>
          <w:p w14:paraId="6BC3EA93"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560AEB08" w14:textId="77777777" w:rsidR="00D7559A" w:rsidRPr="000665B0" w:rsidRDefault="00D7559A" w:rsidP="00A0163E">
            <w:pPr>
              <w:spacing w:before="40" w:after="40"/>
              <w:rPr>
                <w:sz w:val="18"/>
                <w:szCs w:val="18"/>
              </w:rPr>
            </w:pPr>
            <w:r w:rsidRPr="000665B0">
              <w:rPr>
                <w:color w:val="000000"/>
                <w:sz w:val="18"/>
                <w:szCs w:val="18"/>
              </w:rPr>
              <w:t>NA</w:t>
            </w:r>
          </w:p>
        </w:tc>
        <w:tc>
          <w:tcPr>
            <w:tcW w:w="1205" w:type="dxa"/>
            <w:noWrap/>
          </w:tcPr>
          <w:p w14:paraId="7BE785D1"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7C05A30D" w14:textId="77777777" w:rsidR="00D7559A" w:rsidRPr="000665B0" w:rsidRDefault="00D7559A" w:rsidP="00A0163E">
            <w:pPr>
              <w:spacing w:before="40" w:after="40"/>
              <w:rPr>
                <w:sz w:val="18"/>
                <w:szCs w:val="18"/>
              </w:rPr>
            </w:pPr>
            <w:r w:rsidRPr="000665B0">
              <w:rPr>
                <w:sz w:val="18"/>
                <w:szCs w:val="18"/>
              </w:rPr>
              <w:t>X</w:t>
            </w:r>
          </w:p>
        </w:tc>
        <w:tc>
          <w:tcPr>
            <w:tcW w:w="1292" w:type="dxa"/>
            <w:noWrap/>
          </w:tcPr>
          <w:p w14:paraId="7F4D1AF0" w14:textId="77777777" w:rsidR="00D7559A" w:rsidRPr="000665B0" w:rsidRDefault="00D7559A" w:rsidP="00A0163E">
            <w:pPr>
              <w:spacing w:before="40" w:after="40"/>
              <w:rPr>
                <w:sz w:val="18"/>
                <w:szCs w:val="18"/>
              </w:rPr>
            </w:pPr>
            <w:r w:rsidRPr="000665B0">
              <w:rPr>
                <w:sz w:val="18"/>
                <w:szCs w:val="18"/>
              </w:rPr>
              <w:t> </w:t>
            </w:r>
          </w:p>
        </w:tc>
        <w:tc>
          <w:tcPr>
            <w:tcW w:w="638" w:type="dxa"/>
          </w:tcPr>
          <w:p w14:paraId="4C0F54B6" w14:textId="77777777" w:rsidR="00D7559A" w:rsidRPr="000665B0" w:rsidRDefault="00D7559A" w:rsidP="00A0163E">
            <w:pPr>
              <w:spacing w:before="40" w:after="40"/>
              <w:rPr>
                <w:sz w:val="18"/>
                <w:szCs w:val="18"/>
              </w:rPr>
            </w:pPr>
            <w:r w:rsidRPr="000665B0">
              <w:rPr>
                <w:color w:val="000000"/>
                <w:sz w:val="18"/>
                <w:szCs w:val="18"/>
              </w:rPr>
              <w:t>NA</w:t>
            </w:r>
          </w:p>
        </w:tc>
        <w:tc>
          <w:tcPr>
            <w:tcW w:w="1215" w:type="dxa"/>
            <w:noWrap/>
          </w:tcPr>
          <w:p w14:paraId="033196C6" w14:textId="77777777" w:rsidR="00D7559A" w:rsidRPr="000665B0" w:rsidRDefault="00D7559A" w:rsidP="00A0163E">
            <w:pPr>
              <w:spacing w:before="40" w:after="40"/>
              <w:rPr>
                <w:sz w:val="18"/>
                <w:szCs w:val="18"/>
              </w:rPr>
            </w:pPr>
            <w:r w:rsidRPr="000665B0">
              <w:rPr>
                <w:sz w:val="18"/>
                <w:szCs w:val="18"/>
              </w:rPr>
              <w:t>FDU</w:t>
            </w:r>
          </w:p>
        </w:tc>
        <w:tc>
          <w:tcPr>
            <w:tcW w:w="715" w:type="dxa"/>
          </w:tcPr>
          <w:p w14:paraId="2071D670" w14:textId="77777777" w:rsidR="00D7559A" w:rsidRPr="000665B0" w:rsidRDefault="00D7559A" w:rsidP="00A0163E">
            <w:pPr>
              <w:spacing w:before="40" w:after="40"/>
              <w:rPr>
                <w:sz w:val="18"/>
                <w:szCs w:val="18"/>
              </w:rPr>
            </w:pPr>
            <w:r w:rsidRPr="000665B0">
              <w:rPr>
                <w:sz w:val="18"/>
                <w:szCs w:val="18"/>
              </w:rPr>
              <w:t>X</w:t>
            </w:r>
          </w:p>
        </w:tc>
      </w:tr>
      <w:tr w:rsidR="00D7559A" w:rsidRPr="000665B0" w14:paraId="3289173C" w14:textId="77777777" w:rsidTr="00844912">
        <w:trPr>
          <w:cantSplit/>
          <w:trHeight w:val="270"/>
          <w:jc w:val="center"/>
        </w:trPr>
        <w:tc>
          <w:tcPr>
            <w:tcW w:w="1630" w:type="dxa"/>
            <w:noWrap/>
          </w:tcPr>
          <w:p w14:paraId="08B4CAB5" w14:textId="77777777" w:rsidR="00D7559A" w:rsidRPr="000665B0" w:rsidRDefault="00D7559A" w:rsidP="00A0163E">
            <w:pPr>
              <w:spacing w:before="40" w:after="40"/>
              <w:rPr>
                <w:sz w:val="18"/>
                <w:szCs w:val="18"/>
              </w:rPr>
            </w:pPr>
            <w:r w:rsidRPr="000665B0">
              <w:rPr>
                <w:sz w:val="18"/>
                <w:szCs w:val="18"/>
              </w:rPr>
              <w:t>Platform Information</w:t>
            </w:r>
          </w:p>
        </w:tc>
        <w:tc>
          <w:tcPr>
            <w:tcW w:w="1292" w:type="dxa"/>
            <w:noWrap/>
          </w:tcPr>
          <w:p w14:paraId="1AD12413"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461A7B8" w14:textId="77777777" w:rsidR="00D7559A" w:rsidRPr="000665B0" w:rsidRDefault="00D7559A" w:rsidP="00A0163E">
            <w:pPr>
              <w:spacing w:before="40" w:after="40"/>
              <w:rPr>
                <w:sz w:val="18"/>
                <w:szCs w:val="18"/>
              </w:rPr>
            </w:pPr>
            <w:r w:rsidRPr="000665B0">
              <w:rPr>
                <w:sz w:val="18"/>
                <w:szCs w:val="18"/>
              </w:rPr>
              <w:t>X</w:t>
            </w:r>
          </w:p>
        </w:tc>
        <w:tc>
          <w:tcPr>
            <w:tcW w:w="1205" w:type="dxa"/>
            <w:noWrap/>
          </w:tcPr>
          <w:p w14:paraId="116C2E3D" w14:textId="77777777" w:rsidR="00D7559A" w:rsidRPr="000665B0" w:rsidRDefault="00D7559A" w:rsidP="00A0163E">
            <w:pPr>
              <w:spacing w:before="40" w:after="40"/>
              <w:rPr>
                <w:sz w:val="18"/>
                <w:szCs w:val="18"/>
              </w:rPr>
            </w:pPr>
            <w:r w:rsidRPr="000665B0">
              <w:rPr>
                <w:sz w:val="18"/>
                <w:szCs w:val="18"/>
              </w:rPr>
              <w:t> </w:t>
            </w:r>
          </w:p>
        </w:tc>
        <w:tc>
          <w:tcPr>
            <w:tcW w:w="725" w:type="dxa"/>
          </w:tcPr>
          <w:p w14:paraId="7E369F51"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108AD95E"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39C1B734"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579E0760" w14:textId="77777777" w:rsidR="00D7559A" w:rsidRPr="000665B0" w:rsidRDefault="00D7559A" w:rsidP="00A0163E">
            <w:pPr>
              <w:spacing w:before="40" w:after="40"/>
              <w:rPr>
                <w:sz w:val="18"/>
                <w:szCs w:val="18"/>
              </w:rPr>
            </w:pPr>
            <w:r w:rsidRPr="000665B0">
              <w:rPr>
                <w:sz w:val="18"/>
                <w:szCs w:val="18"/>
              </w:rPr>
              <w:t> </w:t>
            </w:r>
          </w:p>
        </w:tc>
        <w:tc>
          <w:tcPr>
            <w:tcW w:w="715" w:type="dxa"/>
          </w:tcPr>
          <w:p w14:paraId="648DE4A2"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0543C9A3" w14:textId="77777777" w:rsidTr="00844912">
        <w:trPr>
          <w:cantSplit/>
          <w:trHeight w:val="270"/>
          <w:jc w:val="center"/>
        </w:trPr>
        <w:tc>
          <w:tcPr>
            <w:tcW w:w="1630" w:type="dxa"/>
            <w:noWrap/>
          </w:tcPr>
          <w:p w14:paraId="504D205A" w14:textId="77777777" w:rsidR="00D7559A" w:rsidRPr="000665B0" w:rsidRDefault="00D7559A" w:rsidP="00A0163E">
            <w:pPr>
              <w:spacing w:before="40" w:after="40"/>
              <w:rPr>
                <w:sz w:val="18"/>
                <w:szCs w:val="18"/>
              </w:rPr>
            </w:pPr>
            <w:r w:rsidRPr="000665B0">
              <w:rPr>
                <w:sz w:val="18"/>
                <w:szCs w:val="18"/>
              </w:rPr>
              <w:t>Queries</w:t>
            </w:r>
          </w:p>
        </w:tc>
        <w:tc>
          <w:tcPr>
            <w:tcW w:w="1292" w:type="dxa"/>
            <w:noWrap/>
          </w:tcPr>
          <w:p w14:paraId="39DF0871"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3C53B888"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72DB1F4E" w14:textId="77777777" w:rsidR="00D7559A" w:rsidRPr="000665B0" w:rsidRDefault="00D7559A" w:rsidP="00A0163E">
            <w:pPr>
              <w:spacing w:before="40" w:after="40"/>
              <w:rPr>
                <w:sz w:val="18"/>
                <w:szCs w:val="18"/>
              </w:rPr>
            </w:pPr>
            <w:r w:rsidRPr="000665B0">
              <w:rPr>
                <w:sz w:val="18"/>
                <w:szCs w:val="18"/>
              </w:rPr>
              <w:t> </w:t>
            </w:r>
          </w:p>
        </w:tc>
        <w:tc>
          <w:tcPr>
            <w:tcW w:w="725" w:type="dxa"/>
          </w:tcPr>
          <w:p w14:paraId="5B4CF4BC"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3255C4D0"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1F6C2459"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12BB3A6F" w14:textId="77777777" w:rsidR="00D7559A" w:rsidRPr="000665B0" w:rsidRDefault="00D7559A" w:rsidP="00A0163E">
            <w:pPr>
              <w:spacing w:before="40" w:after="40"/>
              <w:rPr>
                <w:sz w:val="18"/>
                <w:szCs w:val="18"/>
              </w:rPr>
            </w:pPr>
            <w:r w:rsidRPr="000665B0">
              <w:rPr>
                <w:sz w:val="18"/>
                <w:szCs w:val="18"/>
              </w:rPr>
              <w:t> </w:t>
            </w:r>
          </w:p>
        </w:tc>
        <w:tc>
          <w:tcPr>
            <w:tcW w:w="715" w:type="dxa"/>
          </w:tcPr>
          <w:p w14:paraId="33BD6E78"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1E0A0320" w14:textId="77777777" w:rsidTr="00844912">
        <w:trPr>
          <w:cantSplit/>
          <w:trHeight w:val="270"/>
          <w:jc w:val="center"/>
        </w:trPr>
        <w:tc>
          <w:tcPr>
            <w:tcW w:w="1630" w:type="dxa"/>
            <w:noWrap/>
          </w:tcPr>
          <w:p w14:paraId="149B361A" w14:textId="77777777" w:rsidR="00D7559A" w:rsidRPr="000665B0" w:rsidRDefault="00D7559A" w:rsidP="00A0163E">
            <w:pPr>
              <w:spacing w:before="40" w:after="40"/>
              <w:rPr>
                <w:sz w:val="18"/>
                <w:szCs w:val="18"/>
              </w:rPr>
            </w:pPr>
            <w:r w:rsidRPr="000665B0">
              <w:rPr>
                <w:sz w:val="18"/>
                <w:szCs w:val="18"/>
              </w:rPr>
              <w:t>Retarget</w:t>
            </w:r>
          </w:p>
        </w:tc>
        <w:tc>
          <w:tcPr>
            <w:tcW w:w="1292" w:type="dxa"/>
            <w:noWrap/>
          </w:tcPr>
          <w:p w14:paraId="21774CA7"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78C467E6"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21D2DC77" w14:textId="77777777" w:rsidR="00D7559A" w:rsidRPr="000665B0" w:rsidRDefault="00D7559A" w:rsidP="00A0163E">
            <w:pPr>
              <w:spacing w:before="40" w:after="40"/>
              <w:rPr>
                <w:sz w:val="18"/>
                <w:szCs w:val="18"/>
              </w:rPr>
            </w:pPr>
          </w:p>
        </w:tc>
        <w:tc>
          <w:tcPr>
            <w:tcW w:w="725" w:type="dxa"/>
          </w:tcPr>
          <w:p w14:paraId="31608917"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5F77F23F"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17955240"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56812249" w14:textId="77777777" w:rsidR="00D7559A" w:rsidRPr="000665B0" w:rsidRDefault="00D7559A" w:rsidP="00A0163E">
            <w:pPr>
              <w:spacing w:before="40" w:after="40"/>
              <w:rPr>
                <w:sz w:val="18"/>
                <w:szCs w:val="18"/>
              </w:rPr>
            </w:pPr>
          </w:p>
        </w:tc>
        <w:tc>
          <w:tcPr>
            <w:tcW w:w="715" w:type="dxa"/>
          </w:tcPr>
          <w:p w14:paraId="330D3DD6"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5941AAE8" w14:textId="77777777" w:rsidTr="00844912">
        <w:trPr>
          <w:cantSplit/>
          <w:trHeight w:val="270"/>
          <w:jc w:val="center"/>
        </w:trPr>
        <w:tc>
          <w:tcPr>
            <w:tcW w:w="1630" w:type="dxa"/>
            <w:noWrap/>
          </w:tcPr>
          <w:p w14:paraId="0126A7F0" w14:textId="394B3868" w:rsidR="00D7559A" w:rsidRPr="000665B0" w:rsidRDefault="00D7559A" w:rsidP="00A0163E">
            <w:pPr>
              <w:spacing w:before="40" w:after="40"/>
              <w:rPr>
                <w:sz w:val="18"/>
                <w:szCs w:val="18"/>
              </w:rPr>
            </w:pPr>
            <w:r w:rsidRPr="000665B0">
              <w:rPr>
                <w:sz w:val="18"/>
                <w:szCs w:val="18"/>
              </w:rPr>
              <w:t>Strike Execution Folder</w:t>
            </w:r>
          </w:p>
        </w:tc>
        <w:tc>
          <w:tcPr>
            <w:tcW w:w="1292" w:type="dxa"/>
            <w:noWrap/>
          </w:tcPr>
          <w:p w14:paraId="43055656"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3ECE0B44"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019315D6" w14:textId="77777777" w:rsidR="00D7559A" w:rsidRPr="000665B0" w:rsidRDefault="00D7559A" w:rsidP="00A0163E">
            <w:pPr>
              <w:spacing w:before="40" w:after="40"/>
              <w:rPr>
                <w:sz w:val="18"/>
                <w:szCs w:val="18"/>
              </w:rPr>
            </w:pPr>
            <w:r w:rsidRPr="000665B0">
              <w:rPr>
                <w:sz w:val="18"/>
                <w:szCs w:val="18"/>
              </w:rPr>
              <w:t> </w:t>
            </w:r>
          </w:p>
        </w:tc>
        <w:tc>
          <w:tcPr>
            <w:tcW w:w="725" w:type="dxa"/>
          </w:tcPr>
          <w:p w14:paraId="02B955F6"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1B238015"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3BF57012"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51D923D7" w14:textId="77777777" w:rsidR="00D7559A" w:rsidRPr="000665B0" w:rsidRDefault="00D7559A" w:rsidP="00A0163E">
            <w:pPr>
              <w:spacing w:before="40" w:after="40"/>
              <w:rPr>
                <w:sz w:val="18"/>
                <w:szCs w:val="18"/>
              </w:rPr>
            </w:pPr>
            <w:r w:rsidRPr="000665B0">
              <w:rPr>
                <w:sz w:val="18"/>
                <w:szCs w:val="18"/>
              </w:rPr>
              <w:t> </w:t>
            </w:r>
          </w:p>
        </w:tc>
        <w:tc>
          <w:tcPr>
            <w:tcW w:w="715" w:type="dxa"/>
          </w:tcPr>
          <w:p w14:paraId="1240C13B"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2C541C85" w14:textId="77777777" w:rsidTr="00844912">
        <w:trPr>
          <w:cantSplit/>
          <w:trHeight w:val="270"/>
          <w:jc w:val="center"/>
        </w:trPr>
        <w:tc>
          <w:tcPr>
            <w:tcW w:w="1630" w:type="dxa"/>
            <w:noWrap/>
          </w:tcPr>
          <w:p w14:paraId="47466225" w14:textId="77777777" w:rsidR="00D7559A" w:rsidRPr="000665B0" w:rsidRDefault="00D7559A" w:rsidP="00A0163E">
            <w:pPr>
              <w:spacing w:before="40" w:after="40"/>
              <w:rPr>
                <w:sz w:val="18"/>
                <w:szCs w:val="18"/>
              </w:rPr>
            </w:pPr>
            <w:r w:rsidRPr="000665B0">
              <w:rPr>
                <w:sz w:val="18"/>
                <w:szCs w:val="18"/>
              </w:rPr>
              <w:t>Strike Folder</w:t>
            </w:r>
          </w:p>
        </w:tc>
        <w:tc>
          <w:tcPr>
            <w:tcW w:w="1292" w:type="dxa"/>
            <w:noWrap/>
          </w:tcPr>
          <w:p w14:paraId="722FF370"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349B1343"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3C3EC9AE" w14:textId="77777777" w:rsidR="00D7559A" w:rsidRPr="000665B0" w:rsidRDefault="00D7559A" w:rsidP="00A0163E">
            <w:pPr>
              <w:spacing w:before="40" w:after="40"/>
              <w:rPr>
                <w:sz w:val="18"/>
                <w:szCs w:val="18"/>
              </w:rPr>
            </w:pPr>
            <w:r w:rsidRPr="000665B0">
              <w:rPr>
                <w:sz w:val="18"/>
                <w:szCs w:val="18"/>
              </w:rPr>
              <w:t> </w:t>
            </w:r>
          </w:p>
        </w:tc>
        <w:tc>
          <w:tcPr>
            <w:tcW w:w="725" w:type="dxa"/>
          </w:tcPr>
          <w:p w14:paraId="4FCBF7F8"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5EF4C42D"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F16DF71"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5B86DDDF" w14:textId="77777777" w:rsidR="00D7559A" w:rsidRPr="000665B0" w:rsidRDefault="00D7559A" w:rsidP="00A0163E">
            <w:pPr>
              <w:spacing w:before="40" w:after="40"/>
              <w:rPr>
                <w:sz w:val="18"/>
                <w:szCs w:val="18"/>
              </w:rPr>
            </w:pPr>
            <w:r w:rsidRPr="000665B0">
              <w:rPr>
                <w:sz w:val="18"/>
                <w:szCs w:val="18"/>
              </w:rPr>
              <w:t> </w:t>
            </w:r>
          </w:p>
        </w:tc>
        <w:tc>
          <w:tcPr>
            <w:tcW w:w="715" w:type="dxa"/>
          </w:tcPr>
          <w:p w14:paraId="5FFA9C89"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7D026118" w14:textId="77777777" w:rsidTr="00844912">
        <w:trPr>
          <w:cantSplit/>
          <w:trHeight w:val="270"/>
          <w:jc w:val="center"/>
        </w:trPr>
        <w:tc>
          <w:tcPr>
            <w:tcW w:w="1630" w:type="dxa"/>
            <w:noWrap/>
          </w:tcPr>
          <w:p w14:paraId="31D6F19C" w14:textId="15BFB185" w:rsidR="00D7559A" w:rsidRPr="000665B0" w:rsidRDefault="00D7559A" w:rsidP="00A0163E">
            <w:pPr>
              <w:spacing w:before="40" w:after="40"/>
              <w:rPr>
                <w:sz w:val="18"/>
                <w:szCs w:val="18"/>
              </w:rPr>
            </w:pPr>
            <w:r w:rsidRPr="000665B0">
              <w:rPr>
                <w:sz w:val="18"/>
                <w:szCs w:val="18"/>
              </w:rPr>
              <w:lastRenderedPageBreak/>
              <w:t>Strike Option/Package</w:t>
            </w:r>
          </w:p>
        </w:tc>
        <w:tc>
          <w:tcPr>
            <w:tcW w:w="1292" w:type="dxa"/>
            <w:noWrap/>
          </w:tcPr>
          <w:p w14:paraId="1DFFB89A"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7659B7FF"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6AF4997C" w14:textId="77777777" w:rsidR="00D7559A" w:rsidRPr="000665B0" w:rsidRDefault="00D7559A" w:rsidP="00A0163E">
            <w:pPr>
              <w:spacing w:before="40" w:after="40"/>
              <w:rPr>
                <w:sz w:val="18"/>
                <w:szCs w:val="18"/>
              </w:rPr>
            </w:pPr>
            <w:r w:rsidRPr="000665B0">
              <w:rPr>
                <w:sz w:val="18"/>
                <w:szCs w:val="18"/>
              </w:rPr>
              <w:t> </w:t>
            </w:r>
          </w:p>
        </w:tc>
        <w:tc>
          <w:tcPr>
            <w:tcW w:w="725" w:type="dxa"/>
          </w:tcPr>
          <w:p w14:paraId="44B120F5" w14:textId="77777777" w:rsidR="00D7559A" w:rsidRPr="000665B0" w:rsidRDefault="00D7559A" w:rsidP="00A0163E">
            <w:pPr>
              <w:spacing w:before="40" w:after="40"/>
              <w:rPr>
                <w:sz w:val="18"/>
                <w:szCs w:val="18"/>
              </w:rPr>
            </w:pPr>
          </w:p>
        </w:tc>
        <w:tc>
          <w:tcPr>
            <w:tcW w:w="1292" w:type="dxa"/>
            <w:noWrap/>
          </w:tcPr>
          <w:p w14:paraId="5A4A3B08"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CC78E8D"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3EB49F99" w14:textId="77777777" w:rsidR="00D7559A" w:rsidRPr="000665B0" w:rsidRDefault="00D7559A" w:rsidP="00A0163E">
            <w:pPr>
              <w:spacing w:before="40" w:after="40"/>
              <w:rPr>
                <w:sz w:val="18"/>
                <w:szCs w:val="18"/>
              </w:rPr>
            </w:pPr>
            <w:r w:rsidRPr="000665B0">
              <w:rPr>
                <w:sz w:val="18"/>
                <w:szCs w:val="18"/>
              </w:rPr>
              <w:t>ESP</w:t>
            </w:r>
          </w:p>
        </w:tc>
        <w:tc>
          <w:tcPr>
            <w:tcW w:w="715" w:type="dxa"/>
          </w:tcPr>
          <w:p w14:paraId="325B8B79" w14:textId="77777777" w:rsidR="00D7559A" w:rsidRPr="000665B0" w:rsidRDefault="00D7559A" w:rsidP="00A0163E">
            <w:pPr>
              <w:spacing w:before="40" w:after="40"/>
              <w:rPr>
                <w:sz w:val="18"/>
                <w:szCs w:val="18"/>
              </w:rPr>
            </w:pPr>
            <w:r w:rsidRPr="000665B0">
              <w:rPr>
                <w:sz w:val="18"/>
                <w:szCs w:val="18"/>
              </w:rPr>
              <w:t>X</w:t>
            </w:r>
          </w:p>
        </w:tc>
      </w:tr>
      <w:tr w:rsidR="00D7559A" w:rsidRPr="000665B0" w14:paraId="7F405D13" w14:textId="77777777" w:rsidTr="00844912">
        <w:trPr>
          <w:cantSplit/>
          <w:trHeight w:val="270"/>
          <w:jc w:val="center"/>
        </w:trPr>
        <w:tc>
          <w:tcPr>
            <w:tcW w:w="1630" w:type="dxa"/>
            <w:noWrap/>
          </w:tcPr>
          <w:p w14:paraId="791D0F7C" w14:textId="77777777" w:rsidR="00D7559A" w:rsidRPr="000665B0" w:rsidRDefault="00D7559A" w:rsidP="00A0163E">
            <w:pPr>
              <w:spacing w:before="40" w:after="40"/>
              <w:rPr>
                <w:sz w:val="18"/>
                <w:szCs w:val="18"/>
              </w:rPr>
            </w:pPr>
            <w:r w:rsidRPr="000665B0">
              <w:rPr>
                <w:sz w:val="18"/>
                <w:szCs w:val="18"/>
              </w:rPr>
              <w:t>Target</w:t>
            </w:r>
          </w:p>
        </w:tc>
        <w:tc>
          <w:tcPr>
            <w:tcW w:w="1292" w:type="dxa"/>
            <w:noWrap/>
          </w:tcPr>
          <w:p w14:paraId="6AE7FFB4"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1499FBD"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6081FF88" w14:textId="77777777" w:rsidR="00D7559A" w:rsidRPr="000665B0" w:rsidRDefault="00D7559A" w:rsidP="00A0163E">
            <w:pPr>
              <w:spacing w:before="40" w:after="40"/>
              <w:rPr>
                <w:sz w:val="18"/>
                <w:szCs w:val="18"/>
              </w:rPr>
            </w:pPr>
            <w:r w:rsidRPr="000665B0">
              <w:rPr>
                <w:sz w:val="18"/>
                <w:szCs w:val="18"/>
              </w:rPr>
              <w:t> </w:t>
            </w:r>
          </w:p>
        </w:tc>
        <w:tc>
          <w:tcPr>
            <w:tcW w:w="725" w:type="dxa"/>
          </w:tcPr>
          <w:p w14:paraId="7634F77E"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69079CF9"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641DF491"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6C3C3F08" w14:textId="77777777" w:rsidR="00D7559A" w:rsidRPr="000665B0" w:rsidRDefault="00D7559A" w:rsidP="00A0163E">
            <w:pPr>
              <w:spacing w:before="40" w:after="40"/>
              <w:rPr>
                <w:sz w:val="18"/>
                <w:szCs w:val="18"/>
              </w:rPr>
            </w:pPr>
            <w:r w:rsidRPr="000665B0">
              <w:rPr>
                <w:sz w:val="18"/>
                <w:szCs w:val="18"/>
              </w:rPr>
              <w:t> </w:t>
            </w:r>
          </w:p>
        </w:tc>
        <w:tc>
          <w:tcPr>
            <w:tcW w:w="715" w:type="dxa"/>
          </w:tcPr>
          <w:p w14:paraId="5E4B065F" w14:textId="77777777" w:rsidR="00D7559A" w:rsidRPr="000665B0" w:rsidRDefault="00D7559A" w:rsidP="00A0163E">
            <w:pPr>
              <w:spacing w:before="40" w:after="40"/>
              <w:rPr>
                <w:sz w:val="18"/>
                <w:szCs w:val="18"/>
              </w:rPr>
            </w:pPr>
            <w:r w:rsidRPr="000665B0">
              <w:rPr>
                <w:color w:val="000000"/>
                <w:sz w:val="18"/>
                <w:szCs w:val="18"/>
              </w:rPr>
              <w:t>NA</w:t>
            </w:r>
          </w:p>
        </w:tc>
      </w:tr>
      <w:tr w:rsidR="00B01E19" w:rsidRPr="000665B0" w14:paraId="365B465F" w14:textId="77777777" w:rsidTr="00182BD3">
        <w:trPr>
          <w:cantSplit/>
          <w:trHeight w:val="270"/>
          <w:jc w:val="center"/>
        </w:trPr>
        <w:tc>
          <w:tcPr>
            <w:tcW w:w="1630" w:type="dxa"/>
            <w:noWrap/>
          </w:tcPr>
          <w:p w14:paraId="6D1D4B8E" w14:textId="77777777" w:rsidR="00B01E19" w:rsidRPr="000665B0" w:rsidRDefault="00B01E19" w:rsidP="00A0163E">
            <w:pPr>
              <w:spacing w:before="40" w:after="40"/>
              <w:rPr>
                <w:sz w:val="18"/>
                <w:szCs w:val="18"/>
              </w:rPr>
            </w:pPr>
            <w:r w:rsidRPr="000665B0">
              <w:rPr>
                <w:sz w:val="18"/>
                <w:szCs w:val="18"/>
              </w:rPr>
              <w:t>Task Organization</w:t>
            </w:r>
          </w:p>
        </w:tc>
        <w:tc>
          <w:tcPr>
            <w:tcW w:w="1292" w:type="dxa"/>
            <w:noWrap/>
          </w:tcPr>
          <w:p w14:paraId="17E86BBE" w14:textId="77777777" w:rsidR="00B01E19" w:rsidRPr="000665B0" w:rsidRDefault="00B01E19" w:rsidP="00A0163E">
            <w:pPr>
              <w:spacing w:before="40" w:after="40"/>
              <w:rPr>
                <w:sz w:val="18"/>
                <w:szCs w:val="18"/>
              </w:rPr>
            </w:pPr>
            <w:r w:rsidRPr="000665B0">
              <w:rPr>
                <w:sz w:val="18"/>
                <w:szCs w:val="18"/>
              </w:rPr>
              <w:t>XML</w:t>
            </w:r>
          </w:p>
        </w:tc>
        <w:tc>
          <w:tcPr>
            <w:tcW w:w="638" w:type="dxa"/>
          </w:tcPr>
          <w:p w14:paraId="4A7A13E4" w14:textId="77777777" w:rsidR="00B01E19" w:rsidRPr="000665B0" w:rsidRDefault="00B01E19" w:rsidP="00A0163E">
            <w:pPr>
              <w:spacing w:before="40" w:after="40"/>
              <w:rPr>
                <w:sz w:val="18"/>
                <w:szCs w:val="18"/>
              </w:rPr>
            </w:pPr>
            <w:r w:rsidRPr="000665B0">
              <w:rPr>
                <w:color w:val="000000"/>
                <w:sz w:val="18"/>
                <w:szCs w:val="18"/>
              </w:rPr>
              <w:t>X</w:t>
            </w:r>
          </w:p>
        </w:tc>
        <w:tc>
          <w:tcPr>
            <w:tcW w:w="1205" w:type="dxa"/>
            <w:noWrap/>
          </w:tcPr>
          <w:p w14:paraId="4859F0B0" w14:textId="77777777" w:rsidR="00B01E19" w:rsidRPr="000665B0" w:rsidRDefault="00B01E19" w:rsidP="00A0163E">
            <w:pPr>
              <w:spacing w:before="40" w:after="40"/>
              <w:rPr>
                <w:sz w:val="18"/>
                <w:szCs w:val="18"/>
              </w:rPr>
            </w:pPr>
            <w:r w:rsidRPr="000665B0">
              <w:rPr>
                <w:sz w:val="18"/>
                <w:szCs w:val="18"/>
              </w:rPr>
              <w:t> </w:t>
            </w:r>
          </w:p>
        </w:tc>
        <w:tc>
          <w:tcPr>
            <w:tcW w:w="725" w:type="dxa"/>
          </w:tcPr>
          <w:p w14:paraId="3D736821" w14:textId="77777777" w:rsidR="00B01E19" w:rsidRPr="000665B0" w:rsidRDefault="00B01E19" w:rsidP="00A0163E">
            <w:pPr>
              <w:spacing w:before="40" w:after="40"/>
              <w:rPr>
                <w:sz w:val="18"/>
                <w:szCs w:val="18"/>
              </w:rPr>
            </w:pPr>
            <w:r w:rsidRPr="000665B0">
              <w:rPr>
                <w:sz w:val="18"/>
                <w:szCs w:val="18"/>
              </w:rPr>
              <w:t>NA</w:t>
            </w:r>
          </w:p>
        </w:tc>
        <w:tc>
          <w:tcPr>
            <w:tcW w:w="1292" w:type="dxa"/>
            <w:noWrap/>
          </w:tcPr>
          <w:p w14:paraId="0F6E8BD0" w14:textId="77777777" w:rsidR="00B01E19" w:rsidRPr="000665B0" w:rsidRDefault="00B01E19" w:rsidP="00A0163E">
            <w:pPr>
              <w:spacing w:before="40" w:after="40"/>
              <w:rPr>
                <w:sz w:val="18"/>
                <w:szCs w:val="18"/>
              </w:rPr>
            </w:pPr>
            <w:r w:rsidRPr="000665B0">
              <w:rPr>
                <w:sz w:val="18"/>
                <w:szCs w:val="18"/>
              </w:rPr>
              <w:t>XML</w:t>
            </w:r>
          </w:p>
        </w:tc>
        <w:tc>
          <w:tcPr>
            <w:tcW w:w="638" w:type="dxa"/>
          </w:tcPr>
          <w:p w14:paraId="1EF66B87" w14:textId="77777777" w:rsidR="00B01E19" w:rsidRPr="000665B0" w:rsidRDefault="00B01E19" w:rsidP="00A0163E">
            <w:pPr>
              <w:spacing w:before="40" w:after="40"/>
              <w:rPr>
                <w:sz w:val="18"/>
                <w:szCs w:val="18"/>
              </w:rPr>
            </w:pPr>
            <w:r w:rsidRPr="000665B0">
              <w:rPr>
                <w:color w:val="000000"/>
                <w:sz w:val="18"/>
                <w:szCs w:val="18"/>
              </w:rPr>
              <w:t>X</w:t>
            </w:r>
          </w:p>
        </w:tc>
        <w:tc>
          <w:tcPr>
            <w:tcW w:w="1215" w:type="dxa"/>
            <w:noWrap/>
          </w:tcPr>
          <w:p w14:paraId="6E87E006" w14:textId="77777777" w:rsidR="00B01E19" w:rsidRPr="000665B0" w:rsidRDefault="00B01E19" w:rsidP="00A0163E">
            <w:pPr>
              <w:spacing w:before="40" w:after="40"/>
              <w:rPr>
                <w:sz w:val="18"/>
                <w:szCs w:val="18"/>
              </w:rPr>
            </w:pPr>
            <w:r w:rsidRPr="000665B0">
              <w:rPr>
                <w:sz w:val="18"/>
                <w:szCs w:val="18"/>
              </w:rPr>
              <w:t> </w:t>
            </w:r>
          </w:p>
        </w:tc>
        <w:tc>
          <w:tcPr>
            <w:tcW w:w="715" w:type="dxa"/>
          </w:tcPr>
          <w:p w14:paraId="6DAA390B" w14:textId="77777777" w:rsidR="00B01E19" w:rsidRPr="000665B0" w:rsidRDefault="00B01E19" w:rsidP="00A0163E">
            <w:pPr>
              <w:spacing w:before="40" w:after="40"/>
              <w:rPr>
                <w:sz w:val="18"/>
                <w:szCs w:val="18"/>
              </w:rPr>
            </w:pPr>
            <w:r w:rsidRPr="000665B0">
              <w:rPr>
                <w:color w:val="000000"/>
                <w:sz w:val="18"/>
                <w:szCs w:val="18"/>
              </w:rPr>
              <w:t>NA</w:t>
            </w:r>
          </w:p>
        </w:tc>
      </w:tr>
      <w:tr w:rsidR="00D7559A" w:rsidRPr="000665B0" w14:paraId="21BE4BCD" w14:textId="77777777" w:rsidTr="00844912">
        <w:trPr>
          <w:cantSplit/>
          <w:trHeight w:val="270"/>
          <w:jc w:val="center"/>
        </w:trPr>
        <w:tc>
          <w:tcPr>
            <w:tcW w:w="1630" w:type="dxa"/>
            <w:noWrap/>
          </w:tcPr>
          <w:p w14:paraId="633F97B0" w14:textId="6AB5FD64" w:rsidR="00D7559A" w:rsidRPr="000665B0" w:rsidRDefault="00E75AC3" w:rsidP="00A0163E">
            <w:pPr>
              <w:spacing w:before="40" w:after="40"/>
              <w:rPr>
                <w:sz w:val="18"/>
                <w:szCs w:val="18"/>
              </w:rPr>
            </w:pPr>
            <w:r>
              <w:rPr>
                <w:sz w:val="18"/>
                <w:szCs w:val="18"/>
              </w:rPr>
              <w:t>TAWS</w:t>
            </w:r>
          </w:p>
        </w:tc>
        <w:tc>
          <w:tcPr>
            <w:tcW w:w="1292" w:type="dxa"/>
            <w:noWrap/>
          </w:tcPr>
          <w:p w14:paraId="19AB2976"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56624445"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12E1F1F2" w14:textId="77777777" w:rsidR="00D7559A" w:rsidRPr="000665B0" w:rsidRDefault="00D7559A" w:rsidP="00A0163E">
            <w:pPr>
              <w:spacing w:before="40" w:after="40"/>
              <w:rPr>
                <w:sz w:val="18"/>
                <w:szCs w:val="18"/>
              </w:rPr>
            </w:pPr>
          </w:p>
        </w:tc>
        <w:tc>
          <w:tcPr>
            <w:tcW w:w="725" w:type="dxa"/>
          </w:tcPr>
          <w:p w14:paraId="010B9374"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34248802"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78827769"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402BF5D0" w14:textId="77777777" w:rsidR="00D7559A" w:rsidRPr="000665B0" w:rsidRDefault="00D7559A" w:rsidP="00A0163E">
            <w:pPr>
              <w:spacing w:before="40" w:after="40"/>
              <w:rPr>
                <w:sz w:val="18"/>
                <w:szCs w:val="18"/>
              </w:rPr>
            </w:pPr>
          </w:p>
        </w:tc>
        <w:tc>
          <w:tcPr>
            <w:tcW w:w="715" w:type="dxa"/>
          </w:tcPr>
          <w:p w14:paraId="7181F5C4"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62D2F0CD" w14:textId="77777777" w:rsidTr="00844912">
        <w:trPr>
          <w:cantSplit/>
          <w:trHeight w:val="270"/>
          <w:jc w:val="center"/>
        </w:trPr>
        <w:tc>
          <w:tcPr>
            <w:tcW w:w="1630" w:type="dxa"/>
            <w:noWrap/>
          </w:tcPr>
          <w:p w14:paraId="1C6ECB05" w14:textId="77777777" w:rsidR="00D7559A" w:rsidRPr="000665B0" w:rsidRDefault="00D7559A" w:rsidP="00A0163E">
            <w:pPr>
              <w:spacing w:before="40" w:after="40"/>
              <w:rPr>
                <w:sz w:val="18"/>
                <w:szCs w:val="18"/>
              </w:rPr>
            </w:pPr>
            <w:r w:rsidRPr="000665B0">
              <w:rPr>
                <w:sz w:val="18"/>
                <w:szCs w:val="18"/>
              </w:rPr>
              <w:t>TEF</w:t>
            </w:r>
          </w:p>
        </w:tc>
        <w:tc>
          <w:tcPr>
            <w:tcW w:w="1292" w:type="dxa"/>
            <w:noWrap/>
          </w:tcPr>
          <w:p w14:paraId="616F4699"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04F435E0"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27C38122" w14:textId="77777777" w:rsidR="00D7559A" w:rsidRPr="000665B0" w:rsidRDefault="00D7559A" w:rsidP="00A0163E">
            <w:pPr>
              <w:spacing w:before="40" w:after="40"/>
              <w:rPr>
                <w:sz w:val="18"/>
                <w:szCs w:val="18"/>
              </w:rPr>
            </w:pPr>
            <w:r w:rsidRPr="000665B0">
              <w:rPr>
                <w:sz w:val="18"/>
                <w:szCs w:val="18"/>
              </w:rPr>
              <w:t> </w:t>
            </w:r>
          </w:p>
        </w:tc>
        <w:tc>
          <w:tcPr>
            <w:tcW w:w="725" w:type="dxa"/>
          </w:tcPr>
          <w:p w14:paraId="123DB605"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647C87ED"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18776C16"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387A4B6E" w14:textId="77777777" w:rsidR="00D7559A" w:rsidRPr="000665B0" w:rsidRDefault="00D7559A" w:rsidP="00A0163E">
            <w:pPr>
              <w:spacing w:before="40" w:after="40"/>
              <w:rPr>
                <w:sz w:val="18"/>
                <w:szCs w:val="18"/>
              </w:rPr>
            </w:pPr>
            <w:r w:rsidRPr="000665B0">
              <w:rPr>
                <w:sz w:val="18"/>
                <w:szCs w:val="18"/>
              </w:rPr>
              <w:t> </w:t>
            </w:r>
          </w:p>
        </w:tc>
        <w:tc>
          <w:tcPr>
            <w:tcW w:w="715" w:type="dxa"/>
          </w:tcPr>
          <w:p w14:paraId="46AC80B8"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2F617252" w14:textId="77777777" w:rsidTr="00844912">
        <w:trPr>
          <w:cantSplit/>
          <w:trHeight w:val="270"/>
          <w:jc w:val="center"/>
        </w:trPr>
        <w:tc>
          <w:tcPr>
            <w:tcW w:w="1630" w:type="dxa"/>
            <w:noWrap/>
          </w:tcPr>
          <w:p w14:paraId="516CE022" w14:textId="77777777" w:rsidR="00D7559A" w:rsidRPr="000665B0" w:rsidRDefault="00D7559A" w:rsidP="00A0163E">
            <w:pPr>
              <w:spacing w:before="40" w:after="40"/>
              <w:rPr>
                <w:sz w:val="18"/>
                <w:szCs w:val="18"/>
              </w:rPr>
            </w:pPr>
            <w:r w:rsidRPr="000665B0">
              <w:rPr>
                <w:sz w:val="18"/>
                <w:szCs w:val="18"/>
              </w:rPr>
              <w:t>TERCOMs</w:t>
            </w:r>
          </w:p>
        </w:tc>
        <w:tc>
          <w:tcPr>
            <w:tcW w:w="1292" w:type="dxa"/>
            <w:noWrap/>
          </w:tcPr>
          <w:p w14:paraId="58DF5543" w14:textId="77777777" w:rsidR="00D7559A" w:rsidRPr="000665B0" w:rsidRDefault="00D7559A" w:rsidP="00A0163E">
            <w:pPr>
              <w:spacing w:before="40" w:after="40"/>
              <w:rPr>
                <w:sz w:val="18"/>
                <w:szCs w:val="18"/>
              </w:rPr>
            </w:pPr>
            <w:r w:rsidRPr="000665B0">
              <w:rPr>
                <w:sz w:val="18"/>
                <w:szCs w:val="18"/>
              </w:rPr>
              <w:t>Transfer File</w:t>
            </w:r>
          </w:p>
        </w:tc>
        <w:tc>
          <w:tcPr>
            <w:tcW w:w="638" w:type="dxa"/>
          </w:tcPr>
          <w:p w14:paraId="0AD6CE2D"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6DB037DC" w14:textId="77777777" w:rsidR="00D7559A" w:rsidRPr="000665B0" w:rsidRDefault="00D7559A" w:rsidP="00A0163E">
            <w:pPr>
              <w:spacing w:before="40" w:after="40"/>
              <w:rPr>
                <w:sz w:val="18"/>
                <w:szCs w:val="18"/>
              </w:rPr>
            </w:pPr>
            <w:r w:rsidRPr="000665B0">
              <w:rPr>
                <w:sz w:val="18"/>
                <w:szCs w:val="18"/>
              </w:rPr>
              <w:t>TCIDB</w:t>
            </w:r>
          </w:p>
        </w:tc>
        <w:tc>
          <w:tcPr>
            <w:tcW w:w="725" w:type="dxa"/>
          </w:tcPr>
          <w:p w14:paraId="1C5BF6E0" w14:textId="77777777" w:rsidR="00D7559A" w:rsidRPr="000665B0" w:rsidRDefault="00D7559A" w:rsidP="00A0163E">
            <w:pPr>
              <w:spacing w:before="40" w:after="40"/>
              <w:rPr>
                <w:sz w:val="18"/>
                <w:szCs w:val="18"/>
              </w:rPr>
            </w:pPr>
          </w:p>
        </w:tc>
        <w:tc>
          <w:tcPr>
            <w:tcW w:w="1292" w:type="dxa"/>
            <w:noWrap/>
          </w:tcPr>
          <w:p w14:paraId="0F1A9DE9" w14:textId="77777777" w:rsidR="00D7559A" w:rsidRPr="000665B0" w:rsidRDefault="00D7559A" w:rsidP="00A0163E">
            <w:pPr>
              <w:spacing w:before="40" w:after="40"/>
              <w:rPr>
                <w:sz w:val="18"/>
                <w:szCs w:val="18"/>
              </w:rPr>
            </w:pPr>
            <w:r w:rsidRPr="000665B0">
              <w:rPr>
                <w:sz w:val="18"/>
                <w:szCs w:val="18"/>
              </w:rPr>
              <w:t>MDU</w:t>
            </w:r>
          </w:p>
        </w:tc>
        <w:tc>
          <w:tcPr>
            <w:tcW w:w="638" w:type="dxa"/>
          </w:tcPr>
          <w:p w14:paraId="0B289F68"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30780F41" w14:textId="77777777" w:rsidR="00D7559A" w:rsidRPr="000665B0" w:rsidRDefault="00D7559A" w:rsidP="00A0163E">
            <w:pPr>
              <w:spacing w:before="40" w:after="40"/>
              <w:rPr>
                <w:sz w:val="18"/>
                <w:szCs w:val="18"/>
              </w:rPr>
            </w:pPr>
            <w:r w:rsidRPr="000665B0">
              <w:rPr>
                <w:sz w:val="18"/>
                <w:szCs w:val="18"/>
              </w:rPr>
              <w:t>MDU</w:t>
            </w:r>
          </w:p>
        </w:tc>
        <w:tc>
          <w:tcPr>
            <w:tcW w:w="715" w:type="dxa"/>
          </w:tcPr>
          <w:p w14:paraId="08EE0C7B" w14:textId="77777777" w:rsidR="00D7559A" w:rsidRPr="000665B0" w:rsidRDefault="00D7559A" w:rsidP="00A0163E">
            <w:pPr>
              <w:spacing w:before="40" w:after="40"/>
              <w:rPr>
                <w:sz w:val="18"/>
                <w:szCs w:val="18"/>
              </w:rPr>
            </w:pPr>
          </w:p>
        </w:tc>
      </w:tr>
      <w:tr w:rsidR="00D7559A" w:rsidRPr="000665B0" w14:paraId="5C0805AE" w14:textId="77777777" w:rsidTr="00844912">
        <w:trPr>
          <w:cantSplit/>
          <w:trHeight w:val="270"/>
          <w:jc w:val="center"/>
        </w:trPr>
        <w:tc>
          <w:tcPr>
            <w:tcW w:w="1630" w:type="dxa"/>
            <w:noWrap/>
          </w:tcPr>
          <w:p w14:paraId="486B9100" w14:textId="77777777" w:rsidR="00D7559A" w:rsidRPr="000665B0" w:rsidRDefault="00D7559A" w:rsidP="00A0163E">
            <w:pPr>
              <w:spacing w:before="40" w:after="40"/>
              <w:rPr>
                <w:sz w:val="18"/>
                <w:szCs w:val="18"/>
              </w:rPr>
            </w:pPr>
            <w:r w:rsidRPr="000665B0">
              <w:rPr>
                <w:sz w:val="18"/>
                <w:szCs w:val="18"/>
              </w:rPr>
              <w:t>Threat</w:t>
            </w:r>
          </w:p>
        </w:tc>
        <w:tc>
          <w:tcPr>
            <w:tcW w:w="1292" w:type="dxa"/>
            <w:noWrap/>
          </w:tcPr>
          <w:p w14:paraId="61A68557"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4C563A5D"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2309E0DF" w14:textId="77777777" w:rsidR="00D7559A" w:rsidRPr="000665B0" w:rsidRDefault="00D7559A" w:rsidP="00A0163E">
            <w:pPr>
              <w:spacing w:before="40" w:after="40"/>
              <w:rPr>
                <w:sz w:val="18"/>
                <w:szCs w:val="18"/>
              </w:rPr>
            </w:pPr>
            <w:r w:rsidRPr="000665B0">
              <w:rPr>
                <w:sz w:val="18"/>
                <w:szCs w:val="18"/>
              </w:rPr>
              <w:t> </w:t>
            </w:r>
          </w:p>
        </w:tc>
        <w:tc>
          <w:tcPr>
            <w:tcW w:w="725" w:type="dxa"/>
          </w:tcPr>
          <w:p w14:paraId="4D0491BE"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435811D8"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24B173EC"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46B8E027" w14:textId="77777777" w:rsidR="00D7559A" w:rsidRPr="000665B0" w:rsidRDefault="00D7559A" w:rsidP="00A0163E">
            <w:pPr>
              <w:spacing w:before="40" w:after="40"/>
              <w:rPr>
                <w:sz w:val="18"/>
                <w:szCs w:val="18"/>
              </w:rPr>
            </w:pPr>
            <w:r w:rsidRPr="000665B0">
              <w:rPr>
                <w:sz w:val="18"/>
                <w:szCs w:val="18"/>
              </w:rPr>
              <w:t> </w:t>
            </w:r>
          </w:p>
        </w:tc>
        <w:tc>
          <w:tcPr>
            <w:tcW w:w="715" w:type="dxa"/>
          </w:tcPr>
          <w:p w14:paraId="3D7C1395" w14:textId="77777777" w:rsidR="00D7559A" w:rsidRPr="000665B0" w:rsidRDefault="00D7559A" w:rsidP="00A0163E">
            <w:pPr>
              <w:spacing w:before="40" w:after="40"/>
              <w:rPr>
                <w:sz w:val="18"/>
                <w:szCs w:val="18"/>
              </w:rPr>
            </w:pPr>
            <w:r w:rsidRPr="000665B0">
              <w:rPr>
                <w:color w:val="000000"/>
                <w:sz w:val="18"/>
                <w:szCs w:val="18"/>
              </w:rPr>
              <w:t>NA</w:t>
            </w:r>
          </w:p>
        </w:tc>
      </w:tr>
      <w:tr w:rsidR="00D7559A" w:rsidRPr="000665B0" w14:paraId="46305F4D" w14:textId="77777777" w:rsidTr="00844912">
        <w:trPr>
          <w:cantSplit/>
          <w:trHeight w:val="270"/>
          <w:jc w:val="center"/>
        </w:trPr>
        <w:tc>
          <w:tcPr>
            <w:tcW w:w="1630" w:type="dxa"/>
            <w:noWrap/>
          </w:tcPr>
          <w:p w14:paraId="3ACEDA26" w14:textId="7609F695" w:rsidR="00D7559A" w:rsidRPr="000665B0" w:rsidRDefault="00D7559A" w:rsidP="00A0163E">
            <w:pPr>
              <w:spacing w:before="40" w:after="40"/>
              <w:rPr>
                <w:sz w:val="18"/>
                <w:szCs w:val="18"/>
              </w:rPr>
            </w:pPr>
            <w:r w:rsidRPr="000665B0">
              <w:rPr>
                <w:sz w:val="18"/>
                <w:szCs w:val="18"/>
              </w:rPr>
              <w:t>TMPR</w:t>
            </w:r>
          </w:p>
        </w:tc>
        <w:tc>
          <w:tcPr>
            <w:tcW w:w="1292" w:type="dxa"/>
            <w:noWrap/>
          </w:tcPr>
          <w:p w14:paraId="2C93B9E6"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3A4F7B15" w14:textId="77777777" w:rsidR="00D7559A" w:rsidRPr="000665B0" w:rsidRDefault="00D7559A" w:rsidP="00A0163E">
            <w:pPr>
              <w:spacing w:before="40" w:after="40"/>
              <w:rPr>
                <w:sz w:val="18"/>
                <w:szCs w:val="18"/>
              </w:rPr>
            </w:pPr>
            <w:r w:rsidRPr="000665B0">
              <w:rPr>
                <w:color w:val="000000"/>
                <w:sz w:val="18"/>
                <w:szCs w:val="18"/>
              </w:rPr>
              <w:t>X</w:t>
            </w:r>
          </w:p>
        </w:tc>
        <w:tc>
          <w:tcPr>
            <w:tcW w:w="1205" w:type="dxa"/>
            <w:noWrap/>
          </w:tcPr>
          <w:p w14:paraId="163195E5" w14:textId="77777777" w:rsidR="00D7559A" w:rsidRPr="000665B0" w:rsidRDefault="00D7559A" w:rsidP="00A0163E">
            <w:pPr>
              <w:spacing w:before="40" w:after="40"/>
              <w:rPr>
                <w:sz w:val="18"/>
                <w:szCs w:val="18"/>
              </w:rPr>
            </w:pPr>
            <w:r w:rsidRPr="000665B0">
              <w:rPr>
                <w:sz w:val="18"/>
                <w:szCs w:val="18"/>
              </w:rPr>
              <w:t> </w:t>
            </w:r>
          </w:p>
        </w:tc>
        <w:tc>
          <w:tcPr>
            <w:tcW w:w="725" w:type="dxa"/>
          </w:tcPr>
          <w:p w14:paraId="07502DB0" w14:textId="77777777" w:rsidR="00D7559A" w:rsidRPr="000665B0" w:rsidRDefault="00D7559A" w:rsidP="00A0163E">
            <w:pPr>
              <w:spacing w:before="40" w:after="40"/>
              <w:rPr>
                <w:sz w:val="18"/>
                <w:szCs w:val="18"/>
              </w:rPr>
            </w:pPr>
            <w:r w:rsidRPr="000665B0">
              <w:rPr>
                <w:sz w:val="18"/>
                <w:szCs w:val="18"/>
              </w:rPr>
              <w:t>NA</w:t>
            </w:r>
          </w:p>
        </w:tc>
        <w:tc>
          <w:tcPr>
            <w:tcW w:w="1292" w:type="dxa"/>
            <w:noWrap/>
          </w:tcPr>
          <w:p w14:paraId="29F574F5"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4894A170" w14:textId="77777777" w:rsidR="00D7559A" w:rsidRPr="000665B0" w:rsidRDefault="00D7559A" w:rsidP="00A0163E">
            <w:pPr>
              <w:spacing w:before="40" w:after="40"/>
              <w:rPr>
                <w:sz w:val="18"/>
                <w:szCs w:val="18"/>
              </w:rPr>
            </w:pPr>
            <w:r w:rsidRPr="000665B0">
              <w:rPr>
                <w:color w:val="000000"/>
                <w:sz w:val="18"/>
                <w:szCs w:val="18"/>
              </w:rPr>
              <w:t>X</w:t>
            </w:r>
          </w:p>
        </w:tc>
        <w:tc>
          <w:tcPr>
            <w:tcW w:w="1215" w:type="dxa"/>
            <w:noWrap/>
          </w:tcPr>
          <w:p w14:paraId="090215A4" w14:textId="77777777" w:rsidR="00D7559A" w:rsidRPr="000665B0" w:rsidRDefault="00D7559A" w:rsidP="00A0163E">
            <w:pPr>
              <w:spacing w:before="40" w:after="40"/>
              <w:rPr>
                <w:sz w:val="18"/>
                <w:szCs w:val="18"/>
              </w:rPr>
            </w:pPr>
            <w:r w:rsidRPr="000665B0">
              <w:rPr>
                <w:sz w:val="18"/>
                <w:szCs w:val="18"/>
              </w:rPr>
              <w:t> </w:t>
            </w:r>
          </w:p>
        </w:tc>
        <w:tc>
          <w:tcPr>
            <w:tcW w:w="715" w:type="dxa"/>
          </w:tcPr>
          <w:p w14:paraId="3004E0CA" w14:textId="77777777" w:rsidR="00D7559A" w:rsidRPr="000665B0" w:rsidRDefault="00D7559A" w:rsidP="00A0163E">
            <w:pPr>
              <w:spacing w:before="40" w:after="40"/>
              <w:rPr>
                <w:sz w:val="18"/>
                <w:szCs w:val="18"/>
              </w:rPr>
            </w:pPr>
            <w:r w:rsidRPr="000665B0">
              <w:rPr>
                <w:color w:val="000000"/>
                <w:sz w:val="18"/>
                <w:szCs w:val="18"/>
              </w:rPr>
              <w:t>NA</w:t>
            </w:r>
          </w:p>
        </w:tc>
      </w:tr>
      <w:tr w:rsidR="00E614A0" w:rsidRPr="000665B0" w14:paraId="34C1A36D" w14:textId="77777777" w:rsidTr="00460A85">
        <w:trPr>
          <w:cantSplit/>
          <w:trHeight w:val="270"/>
          <w:jc w:val="center"/>
        </w:trPr>
        <w:tc>
          <w:tcPr>
            <w:tcW w:w="1630" w:type="dxa"/>
            <w:shd w:val="clear" w:color="auto" w:fill="D9D9D9" w:themeFill="background1" w:themeFillShade="D9"/>
            <w:noWrap/>
          </w:tcPr>
          <w:p w14:paraId="0E891E98" w14:textId="7745A5F7" w:rsidR="000D2B9B" w:rsidRPr="000665B0" w:rsidRDefault="000D2B9B" w:rsidP="00A0163E">
            <w:pPr>
              <w:keepNext/>
              <w:spacing w:before="40" w:after="40"/>
              <w:rPr>
                <w:sz w:val="18"/>
                <w:szCs w:val="18"/>
              </w:rPr>
            </w:pPr>
            <w:r w:rsidRPr="000665B0">
              <w:rPr>
                <w:b/>
                <w:bCs/>
                <w:sz w:val="18"/>
                <w:szCs w:val="18"/>
              </w:rPr>
              <w:t>Strike Execution Messages</w:t>
            </w:r>
            <w:r w:rsidRPr="000665B0">
              <w:rPr>
                <w:sz w:val="18"/>
                <w:szCs w:val="18"/>
              </w:rPr>
              <w:t> </w:t>
            </w:r>
          </w:p>
        </w:tc>
        <w:tc>
          <w:tcPr>
            <w:tcW w:w="1292" w:type="dxa"/>
            <w:shd w:val="clear" w:color="auto" w:fill="D9D9D9" w:themeFill="background1" w:themeFillShade="D9"/>
            <w:noWrap/>
          </w:tcPr>
          <w:p w14:paraId="3D675408" w14:textId="77777777" w:rsidR="000D2B9B" w:rsidRPr="000665B0" w:rsidRDefault="000D2B9B" w:rsidP="00A0163E">
            <w:pPr>
              <w:keepNext/>
              <w:spacing w:before="40" w:after="40"/>
              <w:rPr>
                <w:sz w:val="18"/>
                <w:szCs w:val="18"/>
              </w:rPr>
            </w:pPr>
          </w:p>
        </w:tc>
        <w:tc>
          <w:tcPr>
            <w:tcW w:w="638" w:type="dxa"/>
            <w:shd w:val="clear" w:color="auto" w:fill="D9D9D9" w:themeFill="background1" w:themeFillShade="D9"/>
          </w:tcPr>
          <w:p w14:paraId="400F9431" w14:textId="77777777" w:rsidR="000D2B9B" w:rsidRPr="000665B0" w:rsidRDefault="000D2B9B" w:rsidP="00A0163E">
            <w:pPr>
              <w:keepNext/>
              <w:spacing w:before="40" w:after="40"/>
              <w:rPr>
                <w:sz w:val="18"/>
                <w:szCs w:val="18"/>
              </w:rPr>
            </w:pPr>
          </w:p>
        </w:tc>
        <w:tc>
          <w:tcPr>
            <w:tcW w:w="1205" w:type="dxa"/>
            <w:shd w:val="clear" w:color="auto" w:fill="D9D9D9" w:themeFill="background1" w:themeFillShade="D9"/>
            <w:noWrap/>
          </w:tcPr>
          <w:p w14:paraId="2A123CD0" w14:textId="77777777" w:rsidR="000D2B9B" w:rsidRPr="000665B0" w:rsidRDefault="000D2B9B" w:rsidP="00A0163E">
            <w:pPr>
              <w:keepNext/>
              <w:spacing w:before="40" w:after="40"/>
              <w:rPr>
                <w:sz w:val="18"/>
                <w:szCs w:val="18"/>
              </w:rPr>
            </w:pPr>
          </w:p>
        </w:tc>
        <w:tc>
          <w:tcPr>
            <w:tcW w:w="725" w:type="dxa"/>
            <w:shd w:val="clear" w:color="auto" w:fill="D9D9D9" w:themeFill="background1" w:themeFillShade="D9"/>
          </w:tcPr>
          <w:p w14:paraId="18B3B0A9" w14:textId="77777777" w:rsidR="000D2B9B" w:rsidRPr="000665B0" w:rsidRDefault="000D2B9B" w:rsidP="00A0163E">
            <w:pPr>
              <w:keepNext/>
              <w:spacing w:before="40" w:after="40"/>
              <w:rPr>
                <w:color w:val="000000"/>
                <w:sz w:val="18"/>
                <w:szCs w:val="18"/>
              </w:rPr>
            </w:pPr>
          </w:p>
        </w:tc>
        <w:tc>
          <w:tcPr>
            <w:tcW w:w="1292" w:type="dxa"/>
            <w:shd w:val="clear" w:color="auto" w:fill="D9D9D9" w:themeFill="background1" w:themeFillShade="D9"/>
            <w:noWrap/>
          </w:tcPr>
          <w:p w14:paraId="17E8E201" w14:textId="77777777" w:rsidR="000D2B9B" w:rsidRPr="000665B0" w:rsidRDefault="000D2B9B" w:rsidP="00A0163E">
            <w:pPr>
              <w:keepNext/>
              <w:spacing w:before="40" w:after="40"/>
              <w:rPr>
                <w:sz w:val="18"/>
                <w:szCs w:val="18"/>
              </w:rPr>
            </w:pPr>
          </w:p>
        </w:tc>
        <w:tc>
          <w:tcPr>
            <w:tcW w:w="638" w:type="dxa"/>
            <w:shd w:val="clear" w:color="auto" w:fill="D9D9D9" w:themeFill="background1" w:themeFillShade="D9"/>
          </w:tcPr>
          <w:p w14:paraId="5C33109C" w14:textId="77777777" w:rsidR="000D2B9B" w:rsidRPr="000665B0" w:rsidRDefault="000D2B9B" w:rsidP="00A0163E">
            <w:pPr>
              <w:keepNext/>
              <w:spacing w:before="40" w:after="40"/>
              <w:rPr>
                <w:sz w:val="18"/>
                <w:szCs w:val="18"/>
              </w:rPr>
            </w:pPr>
          </w:p>
        </w:tc>
        <w:tc>
          <w:tcPr>
            <w:tcW w:w="1215" w:type="dxa"/>
            <w:shd w:val="clear" w:color="auto" w:fill="D9D9D9" w:themeFill="background1" w:themeFillShade="D9"/>
            <w:noWrap/>
          </w:tcPr>
          <w:p w14:paraId="61E391B2" w14:textId="77777777" w:rsidR="000D2B9B" w:rsidRPr="000665B0" w:rsidRDefault="000D2B9B" w:rsidP="00A0163E">
            <w:pPr>
              <w:keepNext/>
              <w:spacing w:before="40" w:after="40"/>
              <w:rPr>
                <w:sz w:val="18"/>
                <w:szCs w:val="18"/>
              </w:rPr>
            </w:pPr>
          </w:p>
        </w:tc>
        <w:tc>
          <w:tcPr>
            <w:tcW w:w="715" w:type="dxa"/>
            <w:shd w:val="clear" w:color="auto" w:fill="D9D9D9" w:themeFill="background1" w:themeFillShade="D9"/>
          </w:tcPr>
          <w:p w14:paraId="725944A9" w14:textId="77777777" w:rsidR="000D2B9B" w:rsidRPr="000665B0" w:rsidRDefault="000D2B9B" w:rsidP="00A0163E">
            <w:pPr>
              <w:keepNext/>
              <w:spacing w:before="40" w:after="40"/>
              <w:rPr>
                <w:sz w:val="18"/>
                <w:szCs w:val="18"/>
              </w:rPr>
            </w:pPr>
          </w:p>
        </w:tc>
      </w:tr>
      <w:tr w:rsidR="00D7559A" w:rsidRPr="000665B0" w14:paraId="33188B52" w14:textId="77777777" w:rsidTr="00844912">
        <w:trPr>
          <w:cantSplit/>
          <w:trHeight w:val="270"/>
          <w:jc w:val="center"/>
        </w:trPr>
        <w:tc>
          <w:tcPr>
            <w:tcW w:w="1630" w:type="dxa"/>
            <w:noWrap/>
          </w:tcPr>
          <w:p w14:paraId="4563ED3A" w14:textId="45FCEE0A" w:rsidR="00D7559A" w:rsidRPr="000665B0" w:rsidRDefault="00D7559A" w:rsidP="00A0163E">
            <w:pPr>
              <w:spacing w:before="40" w:after="40"/>
              <w:rPr>
                <w:sz w:val="18"/>
                <w:szCs w:val="18"/>
              </w:rPr>
            </w:pPr>
            <w:r w:rsidRPr="000665B0">
              <w:rPr>
                <w:sz w:val="18"/>
                <w:szCs w:val="18"/>
              </w:rPr>
              <w:t>Missile Status</w:t>
            </w:r>
          </w:p>
        </w:tc>
        <w:tc>
          <w:tcPr>
            <w:tcW w:w="1292" w:type="dxa"/>
            <w:noWrap/>
          </w:tcPr>
          <w:p w14:paraId="2590979F"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37158887" w14:textId="77777777" w:rsidR="00D7559A" w:rsidRPr="000665B0" w:rsidRDefault="00D7559A" w:rsidP="00A0163E">
            <w:pPr>
              <w:spacing w:before="40" w:after="40"/>
              <w:rPr>
                <w:sz w:val="18"/>
                <w:szCs w:val="18"/>
              </w:rPr>
            </w:pPr>
            <w:r w:rsidRPr="000665B0">
              <w:rPr>
                <w:sz w:val="18"/>
                <w:szCs w:val="18"/>
              </w:rPr>
              <w:t>NA</w:t>
            </w:r>
          </w:p>
        </w:tc>
        <w:tc>
          <w:tcPr>
            <w:tcW w:w="1205" w:type="dxa"/>
            <w:noWrap/>
          </w:tcPr>
          <w:p w14:paraId="50236DBF" w14:textId="77777777" w:rsidR="00D7559A" w:rsidRPr="000665B0" w:rsidRDefault="00D7559A" w:rsidP="00A0163E">
            <w:pPr>
              <w:spacing w:before="40" w:after="40"/>
              <w:rPr>
                <w:sz w:val="18"/>
                <w:szCs w:val="18"/>
              </w:rPr>
            </w:pPr>
          </w:p>
        </w:tc>
        <w:tc>
          <w:tcPr>
            <w:tcW w:w="725" w:type="dxa"/>
          </w:tcPr>
          <w:p w14:paraId="7A3615E5" w14:textId="77777777" w:rsidR="00D7559A" w:rsidRPr="000665B0" w:rsidRDefault="00D7559A" w:rsidP="00A0163E">
            <w:pPr>
              <w:spacing w:before="40" w:after="40"/>
              <w:rPr>
                <w:sz w:val="18"/>
                <w:szCs w:val="18"/>
              </w:rPr>
            </w:pPr>
            <w:r w:rsidRPr="000665B0">
              <w:rPr>
                <w:color w:val="000000"/>
                <w:sz w:val="18"/>
                <w:szCs w:val="18"/>
              </w:rPr>
              <w:t>NA</w:t>
            </w:r>
          </w:p>
        </w:tc>
        <w:tc>
          <w:tcPr>
            <w:tcW w:w="1292" w:type="dxa"/>
            <w:noWrap/>
          </w:tcPr>
          <w:p w14:paraId="07F2E669" w14:textId="77777777" w:rsidR="00D7559A" w:rsidRPr="000665B0" w:rsidRDefault="00D7559A" w:rsidP="00A0163E">
            <w:pPr>
              <w:spacing w:before="40" w:after="40"/>
              <w:rPr>
                <w:sz w:val="18"/>
                <w:szCs w:val="18"/>
              </w:rPr>
            </w:pPr>
            <w:r w:rsidRPr="000665B0">
              <w:rPr>
                <w:sz w:val="18"/>
                <w:szCs w:val="18"/>
              </w:rPr>
              <w:t>XML</w:t>
            </w:r>
          </w:p>
        </w:tc>
        <w:tc>
          <w:tcPr>
            <w:tcW w:w="638" w:type="dxa"/>
          </w:tcPr>
          <w:p w14:paraId="0C7DF322" w14:textId="77777777" w:rsidR="00D7559A" w:rsidRPr="000665B0" w:rsidRDefault="00D7559A" w:rsidP="00A0163E">
            <w:pPr>
              <w:spacing w:before="40" w:after="40"/>
              <w:rPr>
                <w:sz w:val="18"/>
                <w:szCs w:val="18"/>
              </w:rPr>
            </w:pPr>
            <w:r w:rsidRPr="000665B0">
              <w:rPr>
                <w:sz w:val="18"/>
                <w:szCs w:val="18"/>
              </w:rPr>
              <w:t>X</w:t>
            </w:r>
          </w:p>
        </w:tc>
        <w:tc>
          <w:tcPr>
            <w:tcW w:w="1215" w:type="dxa"/>
            <w:noWrap/>
          </w:tcPr>
          <w:p w14:paraId="56E5208A" w14:textId="77777777" w:rsidR="00D7559A" w:rsidRPr="000665B0" w:rsidRDefault="00D7559A" w:rsidP="00A0163E">
            <w:pPr>
              <w:spacing w:before="40" w:after="40"/>
              <w:rPr>
                <w:sz w:val="18"/>
                <w:szCs w:val="18"/>
              </w:rPr>
            </w:pPr>
          </w:p>
        </w:tc>
        <w:tc>
          <w:tcPr>
            <w:tcW w:w="715" w:type="dxa"/>
          </w:tcPr>
          <w:p w14:paraId="2F1E2906" w14:textId="77777777" w:rsidR="00D7559A" w:rsidRPr="000665B0" w:rsidRDefault="00D7559A" w:rsidP="00A0163E">
            <w:pPr>
              <w:spacing w:before="40" w:after="40"/>
              <w:rPr>
                <w:sz w:val="18"/>
                <w:szCs w:val="18"/>
              </w:rPr>
            </w:pPr>
            <w:r w:rsidRPr="000665B0">
              <w:rPr>
                <w:sz w:val="18"/>
                <w:szCs w:val="18"/>
              </w:rPr>
              <w:t>NA</w:t>
            </w:r>
          </w:p>
        </w:tc>
      </w:tr>
      <w:tr w:rsidR="00D7559A" w:rsidRPr="000665B0" w14:paraId="21BC22EF" w14:textId="77777777" w:rsidTr="00844912">
        <w:trPr>
          <w:cantSplit/>
          <w:trHeight w:val="270"/>
          <w:jc w:val="center"/>
        </w:trPr>
        <w:tc>
          <w:tcPr>
            <w:tcW w:w="1630" w:type="dxa"/>
            <w:noWrap/>
          </w:tcPr>
          <w:p w14:paraId="4FA58ED9" w14:textId="77777777" w:rsidR="00D7559A" w:rsidRPr="000665B0" w:rsidRDefault="00D7559A" w:rsidP="00A0163E">
            <w:pPr>
              <w:spacing w:before="40" w:after="40"/>
              <w:rPr>
                <w:sz w:val="18"/>
                <w:szCs w:val="18"/>
              </w:rPr>
            </w:pPr>
            <w:r w:rsidRPr="000665B0">
              <w:rPr>
                <w:sz w:val="18"/>
                <w:szCs w:val="18"/>
              </w:rPr>
              <w:t>Secondary Execution Message</w:t>
            </w:r>
          </w:p>
        </w:tc>
        <w:tc>
          <w:tcPr>
            <w:tcW w:w="1292" w:type="dxa"/>
            <w:noWrap/>
          </w:tcPr>
          <w:p w14:paraId="1D65EE4E"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6A73E726" w14:textId="77777777" w:rsidR="00D7559A" w:rsidRPr="000665B0" w:rsidRDefault="00D7559A" w:rsidP="00A0163E">
            <w:pPr>
              <w:spacing w:before="40" w:after="40"/>
              <w:rPr>
                <w:sz w:val="18"/>
                <w:szCs w:val="18"/>
              </w:rPr>
            </w:pPr>
            <w:r w:rsidRPr="000665B0">
              <w:rPr>
                <w:sz w:val="18"/>
                <w:szCs w:val="18"/>
              </w:rPr>
              <w:t>NA</w:t>
            </w:r>
          </w:p>
        </w:tc>
        <w:tc>
          <w:tcPr>
            <w:tcW w:w="1205" w:type="dxa"/>
            <w:noWrap/>
          </w:tcPr>
          <w:p w14:paraId="7B777B36" w14:textId="77777777" w:rsidR="00D7559A" w:rsidRPr="000665B0" w:rsidRDefault="00D7559A" w:rsidP="00A0163E">
            <w:pPr>
              <w:spacing w:before="40" w:after="40"/>
              <w:rPr>
                <w:sz w:val="18"/>
                <w:szCs w:val="18"/>
              </w:rPr>
            </w:pPr>
            <w:r w:rsidRPr="000665B0">
              <w:rPr>
                <w:sz w:val="18"/>
                <w:szCs w:val="18"/>
              </w:rPr>
              <w:t> </w:t>
            </w:r>
          </w:p>
        </w:tc>
        <w:tc>
          <w:tcPr>
            <w:tcW w:w="725" w:type="dxa"/>
          </w:tcPr>
          <w:p w14:paraId="31BEC1BA" w14:textId="77777777" w:rsidR="00D7559A" w:rsidRPr="000665B0" w:rsidRDefault="00D7559A" w:rsidP="00A0163E">
            <w:pPr>
              <w:spacing w:before="40" w:after="40"/>
              <w:rPr>
                <w:sz w:val="18"/>
                <w:szCs w:val="18"/>
              </w:rPr>
            </w:pPr>
            <w:r w:rsidRPr="000665B0">
              <w:rPr>
                <w:color w:val="000000"/>
                <w:sz w:val="18"/>
                <w:szCs w:val="18"/>
              </w:rPr>
              <w:t>NA</w:t>
            </w:r>
          </w:p>
        </w:tc>
        <w:tc>
          <w:tcPr>
            <w:tcW w:w="1292" w:type="dxa"/>
            <w:noWrap/>
          </w:tcPr>
          <w:p w14:paraId="7E1AC0D4"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6364710F" w14:textId="77777777" w:rsidR="00D7559A" w:rsidRPr="000665B0" w:rsidRDefault="00D7559A" w:rsidP="00A0163E">
            <w:pPr>
              <w:spacing w:before="40" w:after="40"/>
              <w:rPr>
                <w:sz w:val="18"/>
                <w:szCs w:val="18"/>
              </w:rPr>
            </w:pPr>
            <w:r w:rsidRPr="000665B0">
              <w:rPr>
                <w:sz w:val="18"/>
                <w:szCs w:val="18"/>
              </w:rPr>
              <w:t>NA</w:t>
            </w:r>
          </w:p>
        </w:tc>
        <w:tc>
          <w:tcPr>
            <w:tcW w:w="1215" w:type="dxa"/>
            <w:noWrap/>
          </w:tcPr>
          <w:p w14:paraId="1F5249F5" w14:textId="77777777" w:rsidR="00D7559A" w:rsidRPr="000665B0" w:rsidRDefault="00D7559A" w:rsidP="00A0163E">
            <w:pPr>
              <w:spacing w:before="40" w:after="40"/>
              <w:rPr>
                <w:sz w:val="18"/>
                <w:szCs w:val="18"/>
              </w:rPr>
            </w:pPr>
            <w:r w:rsidRPr="000665B0">
              <w:rPr>
                <w:sz w:val="18"/>
                <w:szCs w:val="18"/>
              </w:rPr>
              <w:t>SEM</w:t>
            </w:r>
          </w:p>
        </w:tc>
        <w:tc>
          <w:tcPr>
            <w:tcW w:w="715" w:type="dxa"/>
          </w:tcPr>
          <w:p w14:paraId="32EBF8FF" w14:textId="77777777" w:rsidR="00D7559A" w:rsidRPr="000665B0" w:rsidRDefault="00D7559A" w:rsidP="00A0163E">
            <w:pPr>
              <w:spacing w:before="40" w:after="40"/>
              <w:rPr>
                <w:sz w:val="18"/>
                <w:szCs w:val="18"/>
              </w:rPr>
            </w:pPr>
            <w:r w:rsidRPr="000665B0">
              <w:rPr>
                <w:sz w:val="18"/>
                <w:szCs w:val="18"/>
              </w:rPr>
              <w:t>X</w:t>
            </w:r>
          </w:p>
        </w:tc>
      </w:tr>
      <w:tr w:rsidR="00D7559A" w:rsidRPr="000665B0" w14:paraId="4A759082" w14:textId="77777777" w:rsidTr="00844912">
        <w:trPr>
          <w:cantSplit/>
          <w:trHeight w:val="270"/>
          <w:jc w:val="center"/>
        </w:trPr>
        <w:tc>
          <w:tcPr>
            <w:tcW w:w="1630" w:type="dxa"/>
            <w:noWrap/>
          </w:tcPr>
          <w:p w14:paraId="130D735B" w14:textId="77777777" w:rsidR="00D7559A" w:rsidRPr="000665B0" w:rsidRDefault="00D7559A" w:rsidP="00A0163E">
            <w:pPr>
              <w:spacing w:before="40" w:after="40"/>
              <w:rPr>
                <w:sz w:val="18"/>
                <w:szCs w:val="18"/>
              </w:rPr>
            </w:pPr>
            <w:r w:rsidRPr="000665B0">
              <w:rPr>
                <w:sz w:val="18"/>
                <w:szCs w:val="18"/>
              </w:rPr>
              <w:t>Strike State Change</w:t>
            </w:r>
          </w:p>
        </w:tc>
        <w:tc>
          <w:tcPr>
            <w:tcW w:w="1292" w:type="dxa"/>
            <w:noWrap/>
          </w:tcPr>
          <w:p w14:paraId="060F203C"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0D545DCA" w14:textId="77777777" w:rsidR="00D7559A" w:rsidRPr="000665B0" w:rsidRDefault="00D7559A" w:rsidP="00A0163E">
            <w:pPr>
              <w:spacing w:before="40" w:after="40"/>
              <w:rPr>
                <w:sz w:val="18"/>
                <w:szCs w:val="18"/>
              </w:rPr>
            </w:pPr>
            <w:r w:rsidRPr="000665B0">
              <w:rPr>
                <w:sz w:val="18"/>
                <w:szCs w:val="18"/>
              </w:rPr>
              <w:t>NA</w:t>
            </w:r>
          </w:p>
        </w:tc>
        <w:tc>
          <w:tcPr>
            <w:tcW w:w="1205" w:type="dxa"/>
            <w:noWrap/>
          </w:tcPr>
          <w:p w14:paraId="789EC680" w14:textId="77777777" w:rsidR="00D7559A" w:rsidRPr="000665B0" w:rsidRDefault="00D7559A" w:rsidP="00A0163E">
            <w:pPr>
              <w:spacing w:before="40" w:after="40"/>
              <w:rPr>
                <w:sz w:val="18"/>
                <w:szCs w:val="18"/>
              </w:rPr>
            </w:pPr>
            <w:r w:rsidRPr="000665B0">
              <w:rPr>
                <w:sz w:val="18"/>
                <w:szCs w:val="18"/>
              </w:rPr>
              <w:t> </w:t>
            </w:r>
          </w:p>
        </w:tc>
        <w:tc>
          <w:tcPr>
            <w:tcW w:w="725" w:type="dxa"/>
          </w:tcPr>
          <w:p w14:paraId="7E321E92" w14:textId="77777777" w:rsidR="00D7559A" w:rsidRPr="000665B0" w:rsidRDefault="00D7559A" w:rsidP="00A0163E">
            <w:pPr>
              <w:spacing w:before="40" w:after="40"/>
              <w:rPr>
                <w:sz w:val="18"/>
                <w:szCs w:val="18"/>
              </w:rPr>
            </w:pPr>
            <w:r w:rsidRPr="000665B0">
              <w:rPr>
                <w:color w:val="000000"/>
                <w:sz w:val="18"/>
                <w:szCs w:val="18"/>
              </w:rPr>
              <w:t>NA</w:t>
            </w:r>
          </w:p>
        </w:tc>
        <w:tc>
          <w:tcPr>
            <w:tcW w:w="1292" w:type="dxa"/>
            <w:noWrap/>
          </w:tcPr>
          <w:p w14:paraId="63CBD3D4"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1D8A518C" w14:textId="77777777" w:rsidR="00D7559A" w:rsidRPr="000665B0" w:rsidRDefault="00D7559A" w:rsidP="00A0163E">
            <w:pPr>
              <w:spacing w:before="40" w:after="40"/>
              <w:rPr>
                <w:sz w:val="18"/>
                <w:szCs w:val="18"/>
              </w:rPr>
            </w:pPr>
            <w:r w:rsidRPr="000665B0">
              <w:rPr>
                <w:sz w:val="18"/>
                <w:szCs w:val="18"/>
              </w:rPr>
              <w:t>NA</w:t>
            </w:r>
          </w:p>
        </w:tc>
        <w:tc>
          <w:tcPr>
            <w:tcW w:w="1215" w:type="dxa"/>
            <w:noWrap/>
          </w:tcPr>
          <w:p w14:paraId="5E67200E" w14:textId="77777777" w:rsidR="00D7559A" w:rsidRPr="000665B0" w:rsidRDefault="00D7559A" w:rsidP="00A0163E">
            <w:pPr>
              <w:spacing w:before="40" w:after="40"/>
              <w:rPr>
                <w:sz w:val="18"/>
                <w:szCs w:val="18"/>
              </w:rPr>
            </w:pPr>
            <w:r w:rsidRPr="000665B0">
              <w:rPr>
                <w:sz w:val="18"/>
                <w:szCs w:val="18"/>
              </w:rPr>
              <w:t>SPDT</w:t>
            </w:r>
          </w:p>
        </w:tc>
        <w:tc>
          <w:tcPr>
            <w:tcW w:w="715" w:type="dxa"/>
          </w:tcPr>
          <w:p w14:paraId="35459BC4" w14:textId="77777777" w:rsidR="00D7559A" w:rsidRPr="000665B0" w:rsidRDefault="00D7559A" w:rsidP="00A0163E">
            <w:pPr>
              <w:spacing w:before="40" w:after="40"/>
              <w:rPr>
                <w:sz w:val="18"/>
                <w:szCs w:val="18"/>
              </w:rPr>
            </w:pPr>
            <w:r w:rsidRPr="000665B0">
              <w:rPr>
                <w:sz w:val="18"/>
                <w:szCs w:val="18"/>
              </w:rPr>
              <w:t>X</w:t>
            </w:r>
          </w:p>
        </w:tc>
      </w:tr>
      <w:tr w:rsidR="00D7559A" w:rsidRPr="000665B0" w14:paraId="63419232" w14:textId="77777777" w:rsidTr="00844912">
        <w:trPr>
          <w:cantSplit/>
          <w:trHeight w:val="270"/>
          <w:jc w:val="center"/>
        </w:trPr>
        <w:tc>
          <w:tcPr>
            <w:tcW w:w="1630" w:type="dxa"/>
            <w:noWrap/>
          </w:tcPr>
          <w:p w14:paraId="1B35B10F" w14:textId="77777777" w:rsidR="00D7559A" w:rsidRPr="000665B0" w:rsidRDefault="00D7559A" w:rsidP="00A0163E">
            <w:pPr>
              <w:spacing w:before="40" w:after="40"/>
              <w:rPr>
                <w:sz w:val="18"/>
                <w:szCs w:val="18"/>
              </w:rPr>
            </w:pPr>
            <w:r w:rsidRPr="000665B0">
              <w:rPr>
                <w:sz w:val="18"/>
                <w:szCs w:val="18"/>
              </w:rPr>
              <w:t>Tactical Change LMO</w:t>
            </w:r>
          </w:p>
        </w:tc>
        <w:tc>
          <w:tcPr>
            <w:tcW w:w="1292" w:type="dxa"/>
            <w:noWrap/>
          </w:tcPr>
          <w:p w14:paraId="75D63A27"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3681E2BA" w14:textId="77777777" w:rsidR="00D7559A" w:rsidRPr="000665B0" w:rsidRDefault="00D7559A" w:rsidP="00A0163E">
            <w:pPr>
              <w:spacing w:before="40" w:after="40"/>
              <w:rPr>
                <w:sz w:val="18"/>
                <w:szCs w:val="18"/>
              </w:rPr>
            </w:pPr>
            <w:r w:rsidRPr="000665B0">
              <w:rPr>
                <w:sz w:val="18"/>
                <w:szCs w:val="18"/>
              </w:rPr>
              <w:t>NA</w:t>
            </w:r>
          </w:p>
        </w:tc>
        <w:tc>
          <w:tcPr>
            <w:tcW w:w="1205" w:type="dxa"/>
            <w:noWrap/>
          </w:tcPr>
          <w:p w14:paraId="2FE3DD73" w14:textId="77777777" w:rsidR="00D7559A" w:rsidRPr="000665B0" w:rsidRDefault="00D7559A" w:rsidP="00A0163E">
            <w:pPr>
              <w:spacing w:before="40" w:after="40"/>
              <w:rPr>
                <w:sz w:val="18"/>
                <w:szCs w:val="18"/>
              </w:rPr>
            </w:pPr>
            <w:r w:rsidRPr="000665B0">
              <w:rPr>
                <w:sz w:val="18"/>
                <w:szCs w:val="18"/>
              </w:rPr>
              <w:t> </w:t>
            </w:r>
          </w:p>
        </w:tc>
        <w:tc>
          <w:tcPr>
            <w:tcW w:w="725" w:type="dxa"/>
          </w:tcPr>
          <w:p w14:paraId="53B3637C" w14:textId="77777777" w:rsidR="00D7559A" w:rsidRPr="000665B0" w:rsidRDefault="00D7559A" w:rsidP="00A0163E">
            <w:pPr>
              <w:spacing w:before="40" w:after="40"/>
              <w:rPr>
                <w:sz w:val="18"/>
                <w:szCs w:val="18"/>
              </w:rPr>
            </w:pPr>
            <w:r w:rsidRPr="000665B0">
              <w:rPr>
                <w:color w:val="000000"/>
                <w:sz w:val="18"/>
                <w:szCs w:val="18"/>
              </w:rPr>
              <w:t>NA</w:t>
            </w:r>
          </w:p>
        </w:tc>
        <w:tc>
          <w:tcPr>
            <w:tcW w:w="1292" w:type="dxa"/>
            <w:noWrap/>
          </w:tcPr>
          <w:p w14:paraId="23FC7CAB" w14:textId="77777777" w:rsidR="00D7559A" w:rsidRPr="000665B0" w:rsidRDefault="00D7559A" w:rsidP="00A0163E">
            <w:pPr>
              <w:spacing w:before="40" w:after="40"/>
              <w:rPr>
                <w:sz w:val="18"/>
                <w:szCs w:val="18"/>
              </w:rPr>
            </w:pPr>
            <w:r w:rsidRPr="000665B0">
              <w:rPr>
                <w:sz w:val="18"/>
                <w:szCs w:val="18"/>
              </w:rPr>
              <w:t>Binary</w:t>
            </w:r>
          </w:p>
        </w:tc>
        <w:tc>
          <w:tcPr>
            <w:tcW w:w="638" w:type="dxa"/>
          </w:tcPr>
          <w:p w14:paraId="28475FD3" w14:textId="77777777" w:rsidR="00D7559A" w:rsidRPr="000665B0" w:rsidRDefault="00D7559A" w:rsidP="00A0163E">
            <w:pPr>
              <w:spacing w:before="40" w:after="40"/>
              <w:rPr>
                <w:sz w:val="18"/>
                <w:szCs w:val="18"/>
              </w:rPr>
            </w:pPr>
            <w:r w:rsidRPr="000665B0">
              <w:rPr>
                <w:sz w:val="18"/>
                <w:szCs w:val="18"/>
              </w:rPr>
              <w:t>NA</w:t>
            </w:r>
          </w:p>
        </w:tc>
        <w:tc>
          <w:tcPr>
            <w:tcW w:w="1215" w:type="dxa"/>
            <w:noWrap/>
          </w:tcPr>
          <w:p w14:paraId="5533E1DD" w14:textId="77777777" w:rsidR="00D7559A" w:rsidRPr="000665B0" w:rsidRDefault="00D7559A" w:rsidP="00A0163E">
            <w:pPr>
              <w:spacing w:before="40" w:after="40"/>
              <w:rPr>
                <w:sz w:val="18"/>
                <w:szCs w:val="18"/>
              </w:rPr>
            </w:pPr>
            <w:r w:rsidRPr="000665B0">
              <w:rPr>
                <w:sz w:val="18"/>
                <w:szCs w:val="18"/>
              </w:rPr>
              <w:t>FDU</w:t>
            </w:r>
          </w:p>
        </w:tc>
        <w:tc>
          <w:tcPr>
            <w:tcW w:w="715" w:type="dxa"/>
          </w:tcPr>
          <w:p w14:paraId="426CCEAD" w14:textId="77777777" w:rsidR="00D7559A" w:rsidRPr="000665B0" w:rsidRDefault="00D7559A" w:rsidP="00A0163E">
            <w:pPr>
              <w:spacing w:before="40" w:after="40"/>
              <w:rPr>
                <w:sz w:val="18"/>
                <w:szCs w:val="18"/>
              </w:rPr>
            </w:pPr>
            <w:r w:rsidRPr="000665B0">
              <w:rPr>
                <w:sz w:val="18"/>
                <w:szCs w:val="18"/>
              </w:rPr>
              <w:t>X</w:t>
            </w:r>
          </w:p>
        </w:tc>
      </w:tr>
    </w:tbl>
    <w:p w14:paraId="20CBAB37" w14:textId="77777777" w:rsidR="000D2B9B" w:rsidRPr="000665B0" w:rsidRDefault="000D2B9B" w:rsidP="00F97AEA">
      <w:pPr>
        <w:spacing w:before="40" w:after="40" w:line="240" w:lineRule="auto"/>
        <w:rPr>
          <w:sz w:val="16"/>
          <w:szCs w:val="16"/>
        </w:rPr>
      </w:pPr>
      <w:r w:rsidRPr="000665B0">
        <w:rPr>
          <w:sz w:val="16"/>
          <w:szCs w:val="16"/>
        </w:rPr>
        <w:t>X = Supported.</w:t>
      </w:r>
    </w:p>
    <w:p w14:paraId="407411BB" w14:textId="77777777" w:rsidR="000D2B9B" w:rsidRPr="000665B0" w:rsidRDefault="000D2B9B" w:rsidP="00F97AEA">
      <w:pPr>
        <w:spacing w:before="40" w:after="40" w:line="240" w:lineRule="auto"/>
        <w:rPr>
          <w:sz w:val="16"/>
          <w:szCs w:val="16"/>
        </w:rPr>
      </w:pPr>
      <w:r w:rsidRPr="000665B0">
        <w:rPr>
          <w:sz w:val="16"/>
          <w:szCs w:val="16"/>
        </w:rPr>
        <w:t>NS = Not Supported.</w:t>
      </w:r>
    </w:p>
    <w:p w14:paraId="236F3DDC" w14:textId="73C4E864" w:rsidR="00F7398A" w:rsidRPr="000665B0" w:rsidRDefault="000D2B9B" w:rsidP="00BD4482">
      <w:pPr>
        <w:spacing w:before="40" w:after="40" w:line="240" w:lineRule="auto"/>
        <w:rPr>
          <w:color w:val="000000"/>
          <w:sz w:val="16"/>
          <w:szCs w:val="16"/>
        </w:rPr>
      </w:pPr>
      <w:r w:rsidRPr="000665B0">
        <w:rPr>
          <w:sz w:val="16"/>
          <w:szCs w:val="16"/>
        </w:rPr>
        <w:t>NA = Not Applicable.</w:t>
      </w:r>
    </w:p>
    <w:p w14:paraId="09CD4956" w14:textId="77777777" w:rsidR="000D2B9B" w:rsidRPr="000665B0" w:rsidRDefault="000D2B9B" w:rsidP="000D2B9B">
      <w:pPr>
        <w:spacing w:after="0"/>
        <w:rPr>
          <w:sz w:val="18"/>
          <w:szCs w:val="18"/>
        </w:rPr>
      </w:pPr>
    </w:p>
    <w:p w14:paraId="4942114F" w14:textId="77777777" w:rsidR="00A316EA" w:rsidRDefault="00A316EA" w:rsidP="00EB4A7A">
      <w:r>
        <w:br w:type="page"/>
      </w:r>
      <w:bookmarkStart w:id="7367" w:name="_Appendix_F__DATA_Received_by_PC-MDS"/>
      <w:bookmarkEnd w:id="7367"/>
    </w:p>
    <w:p w14:paraId="6602F50E" w14:textId="649C3BE0" w:rsidR="005D1A26" w:rsidRPr="000665B0" w:rsidRDefault="009319FE" w:rsidP="003604C5">
      <w:pPr>
        <w:pStyle w:val="Appendix"/>
      </w:pPr>
      <w:bookmarkStart w:id="7368" w:name="_Appendix_F__DATA_Received_by_PC-MDS_1"/>
      <w:bookmarkStart w:id="7369" w:name="_Appendix_E__DATA_Received_by_PC-MDS"/>
      <w:bookmarkStart w:id="7370" w:name="_Appendix_E_"/>
      <w:bookmarkStart w:id="7371" w:name="_Toc96170374"/>
      <w:bookmarkStart w:id="7372" w:name="_Toc96234419"/>
      <w:bookmarkStart w:id="7373" w:name="_Toc112733875"/>
      <w:bookmarkStart w:id="7374" w:name="_Toc289329083"/>
      <w:bookmarkStart w:id="7375" w:name="_Toc312332192"/>
      <w:bookmarkStart w:id="7376" w:name="_Hlk60142524"/>
      <w:bookmarkEnd w:id="7363"/>
      <w:bookmarkEnd w:id="7368"/>
      <w:bookmarkEnd w:id="7369"/>
      <w:bookmarkEnd w:id="7370"/>
      <w:r w:rsidRPr="000665B0">
        <w:lastRenderedPageBreak/>
        <w:br/>
      </w:r>
      <w:bookmarkStart w:id="7377" w:name="_Toc214283680"/>
      <w:r w:rsidRPr="000665B0">
        <w:t>DATA RECEIVED BY MDS</w:t>
      </w:r>
      <w:bookmarkEnd w:id="7371"/>
      <w:bookmarkEnd w:id="7372"/>
      <w:bookmarkEnd w:id="7373"/>
      <w:bookmarkEnd w:id="7374"/>
      <w:bookmarkEnd w:id="7375"/>
      <w:bookmarkEnd w:id="7377"/>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67"/>
        <w:gridCol w:w="1026"/>
        <w:gridCol w:w="460"/>
        <w:gridCol w:w="876"/>
        <w:gridCol w:w="630"/>
        <w:gridCol w:w="743"/>
        <w:gridCol w:w="1025"/>
        <w:gridCol w:w="461"/>
        <w:gridCol w:w="867"/>
        <w:gridCol w:w="619"/>
        <w:gridCol w:w="867"/>
        <w:gridCol w:w="944"/>
      </w:tblGrid>
      <w:tr w:rsidR="00891BBF" w:rsidRPr="000665B0" w14:paraId="16DFA694" w14:textId="77777777" w:rsidTr="001F4B14">
        <w:trPr>
          <w:cantSplit/>
          <w:trHeight w:val="270"/>
          <w:tblHeader/>
        </w:trPr>
        <w:tc>
          <w:tcPr>
            <w:tcW w:w="1467" w:type="dxa"/>
            <w:shd w:val="clear" w:color="auto" w:fill="D9D9D9" w:themeFill="background1" w:themeFillShade="D9"/>
            <w:noWrap/>
          </w:tcPr>
          <w:p w14:paraId="1C9CFF6B" w14:textId="77777777" w:rsidR="00FD508F" w:rsidRPr="000665B0" w:rsidRDefault="00FD508F" w:rsidP="00114D78">
            <w:pPr>
              <w:spacing w:before="40" w:after="40" w:line="240" w:lineRule="auto"/>
              <w:rPr>
                <w:b/>
                <w:bCs/>
                <w:sz w:val="16"/>
                <w:szCs w:val="16"/>
              </w:rPr>
            </w:pPr>
          </w:p>
        </w:tc>
        <w:tc>
          <w:tcPr>
            <w:tcW w:w="3735" w:type="dxa"/>
            <w:gridSpan w:val="5"/>
            <w:shd w:val="clear" w:color="auto" w:fill="D9D9D9" w:themeFill="background1" w:themeFillShade="D9"/>
            <w:noWrap/>
          </w:tcPr>
          <w:p w14:paraId="20E3C526" w14:textId="6E1D9DF8" w:rsidR="00FD508F" w:rsidRPr="000665B0" w:rsidRDefault="00FD508F" w:rsidP="00BD4482">
            <w:pPr>
              <w:spacing w:before="40" w:after="40" w:line="240" w:lineRule="auto"/>
              <w:jc w:val="center"/>
              <w:rPr>
                <w:b/>
                <w:bCs/>
                <w:szCs w:val="24"/>
              </w:rPr>
            </w:pPr>
            <w:r w:rsidRPr="000665B0">
              <w:rPr>
                <w:b/>
                <w:bCs/>
                <w:szCs w:val="24"/>
              </w:rPr>
              <w:t>Media</w:t>
            </w:r>
          </w:p>
        </w:tc>
        <w:tc>
          <w:tcPr>
            <w:tcW w:w="4783" w:type="dxa"/>
            <w:gridSpan w:val="6"/>
            <w:shd w:val="clear" w:color="auto" w:fill="D9D9D9" w:themeFill="background1" w:themeFillShade="D9"/>
            <w:noWrap/>
          </w:tcPr>
          <w:p w14:paraId="5AC01B2E" w14:textId="60F2518E" w:rsidR="00FD508F" w:rsidRPr="000665B0" w:rsidRDefault="00FD508F" w:rsidP="00BD4482">
            <w:pPr>
              <w:spacing w:before="40" w:after="40" w:line="240" w:lineRule="auto"/>
              <w:jc w:val="center"/>
              <w:rPr>
                <w:b/>
                <w:bCs/>
                <w:szCs w:val="24"/>
              </w:rPr>
            </w:pPr>
            <w:r w:rsidRPr="000665B0">
              <w:rPr>
                <w:b/>
                <w:bCs/>
                <w:szCs w:val="24"/>
              </w:rPr>
              <w:t>Comms</w:t>
            </w:r>
          </w:p>
        </w:tc>
      </w:tr>
      <w:tr w:rsidR="00891BBF" w:rsidRPr="000665B0" w14:paraId="58D15CC4" w14:textId="77777777" w:rsidTr="001F4B14">
        <w:trPr>
          <w:cantSplit/>
          <w:trHeight w:val="270"/>
          <w:tblHeader/>
        </w:trPr>
        <w:tc>
          <w:tcPr>
            <w:tcW w:w="1467" w:type="dxa"/>
            <w:shd w:val="clear" w:color="auto" w:fill="D9D9D9" w:themeFill="background1" w:themeFillShade="D9"/>
            <w:noWrap/>
          </w:tcPr>
          <w:p w14:paraId="2BD365D6" w14:textId="77777777" w:rsidR="00FD508F" w:rsidRPr="000665B0" w:rsidRDefault="00FD508F" w:rsidP="00114D78">
            <w:pPr>
              <w:spacing w:before="40" w:after="40" w:line="240" w:lineRule="auto"/>
              <w:rPr>
                <w:b/>
                <w:bCs/>
                <w:sz w:val="16"/>
                <w:szCs w:val="16"/>
              </w:rPr>
            </w:pPr>
          </w:p>
        </w:tc>
        <w:tc>
          <w:tcPr>
            <w:tcW w:w="1486" w:type="dxa"/>
            <w:gridSpan w:val="2"/>
            <w:shd w:val="clear" w:color="auto" w:fill="D9D9D9" w:themeFill="background1" w:themeFillShade="D9"/>
            <w:noWrap/>
          </w:tcPr>
          <w:p w14:paraId="77585A89" w14:textId="05FE1E9C" w:rsidR="00FD508F" w:rsidRPr="000665B0" w:rsidRDefault="00FD508F" w:rsidP="00BD4482">
            <w:pPr>
              <w:spacing w:before="40" w:after="40" w:line="240" w:lineRule="auto"/>
              <w:jc w:val="center"/>
              <w:rPr>
                <w:b/>
                <w:bCs/>
                <w:sz w:val="16"/>
                <w:szCs w:val="16"/>
              </w:rPr>
            </w:pPr>
            <w:r w:rsidRPr="000665B0">
              <w:rPr>
                <w:b/>
                <w:bCs/>
                <w:sz w:val="16"/>
                <w:szCs w:val="16"/>
              </w:rPr>
              <w:t>TED</w:t>
            </w:r>
          </w:p>
        </w:tc>
        <w:tc>
          <w:tcPr>
            <w:tcW w:w="1506" w:type="dxa"/>
            <w:gridSpan w:val="2"/>
            <w:shd w:val="clear" w:color="auto" w:fill="D9D9D9" w:themeFill="background1" w:themeFillShade="D9"/>
            <w:noWrap/>
          </w:tcPr>
          <w:p w14:paraId="043B02CB" w14:textId="2691F64A" w:rsidR="00FD508F" w:rsidRPr="000665B0" w:rsidRDefault="00FD508F" w:rsidP="00BD4482">
            <w:pPr>
              <w:spacing w:before="40" w:after="40" w:line="240" w:lineRule="auto"/>
              <w:jc w:val="center"/>
              <w:rPr>
                <w:b/>
                <w:bCs/>
                <w:sz w:val="16"/>
                <w:szCs w:val="16"/>
              </w:rPr>
            </w:pPr>
            <w:r w:rsidRPr="000665B0">
              <w:rPr>
                <w:b/>
                <w:bCs/>
                <w:sz w:val="16"/>
                <w:szCs w:val="16"/>
              </w:rPr>
              <w:t>TTWCS</w:t>
            </w:r>
          </w:p>
        </w:tc>
        <w:tc>
          <w:tcPr>
            <w:tcW w:w="743" w:type="dxa"/>
            <w:shd w:val="clear" w:color="auto" w:fill="D9D9D9" w:themeFill="background1" w:themeFillShade="D9"/>
          </w:tcPr>
          <w:p w14:paraId="5B9A928C" w14:textId="48A236F8" w:rsidR="00FD508F" w:rsidRPr="000665B0" w:rsidRDefault="00FD508F" w:rsidP="00BD4482">
            <w:pPr>
              <w:spacing w:before="40" w:after="40" w:line="240" w:lineRule="auto"/>
              <w:jc w:val="center"/>
              <w:rPr>
                <w:b/>
                <w:bCs/>
                <w:sz w:val="16"/>
                <w:szCs w:val="16"/>
              </w:rPr>
            </w:pPr>
            <w:r w:rsidRPr="000665B0">
              <w:rPr>
                <w:b/>
                <w:bCs/>
                <w:sz w:val="16"/>
                <w:szCs w:val="16"/>
              </w:rPr>
              <w:t>Other</w:t>
            </w:r>
          </w:p>
        </w:tc>
        <w:tc>
          <w:tcPr>
            <w:tcW w:w="1486" w:type="dxa"/>
            <w:gridSpan w:val="2"/>
            <w:shd w:val="clear" w:color="auto" w:fill="D9D9D9" w:themeFill="background1" w:themeFillShade="D9"/>
            <w:noWrap/>
          </w:tcPr>
          <w:p w14:paraId="758BB9A0" w14:textId="7B54813D" w:rsidR="00FD508F" w:rsidRPr="000665B0" w:rsidRDefault="00FD508F" w:rsidP="00BD4482">
            <w:pPr>
              <w:spacing w:before="40" w:after="40" w:line="240" w:lineRule="auto"/>
              <w:jc w:val="center"/>
              <w:rPr>
                <w:b/>
                <w:bCs/>
                <w:sz w:val="16"/>
                <w:szCs w:val="16"/>
              </w:rPr>
            </w:pPr>
            <w:r w:rsidRPr="000665B0">
              <w:rPr>
                <w:b/>
                <w:bCs/>
                <w:sz w:val="16"/>
                <w:szCs w:val="16"/>
              </w:rPr>
              <w:t>TED</w:t>
            </w:r>
          </w:p>
        </w:tc>
        <w:tc>
          <w:tcPr>
            <w:tcW w:w="1486" w:type="dxa"/>
            <w:gridSpan w:val="2"/>
            <w:shd w:val="clear" w:color="auto" w:fill="D9D9D9" w:themeFill="background1" w:themeFillShade="D9"/>
            <w:noWrap/>
          </w:tcPr>
          <w:p w14:paraId="13AA106A" w14:textId="03870E5E" w:rsidR="00FD508F" w:rsidRPr="000665B0" w:rsidRDefault="00FD508F" w:rsidP="00BD4482">
            <w:pPr>
              <w:spacing w:before="40" w:after="40" w:line="240" w:lineRule="auto"/>
              <w:jc w:val="center"/>
              <w:rPr>
                <w:b/>
                <w:bCs/>
                <w:sz w:val="16"/>
                <w:szCs w:val="16"/>
              </w:rPr>
            </w:pPr>
            <w:r w:rsidRPr="000665B0">
              <w:rPr>
                <w:b/>
                <w:bCs/>
                <w:sz w:val="16"/>
                <w:szCs w:val="16"/>
              </w:rPr>
              <w:t>TTWCS</w:t>
            </w:r>
          </w:p>
        </w:tc>
        <w:tc>
          <w:tcPr>
            <w:tcW w:w="867" w:type="dxa"/>
            <w:shd w:val="clear" w:color="auto" w:fill="D9D9D9" w:themeFill="background1" w:themeFillShade="D9"/>
          </w:tcPr>
          <w:p w14:paraId="0CF5B076" w14:textId="6F3ED55B" w:rsidR="00FD508F" w:rsidRPr="000665B0" w:rsidRDefault="00FD508F" w:rsidP="00BD4482">
            <w:pPr>
              <w:spacing w:before="40" w:after="40" w:line="240" w:lineRule="auto"/>
              <w:jc w:val="center"/>
              <w:rPr>
                <w:b/>
                <w:bCs/>
                <w:sz w:val="16"/>
                <w:szCs w:val="16"/>
              </w:rPr>
            </w:pPr>
            <w:r w:rsidRPr="000665B0">
              <w:rPr>
                <w:b/>
                <w:bCs/>
                <w:sz w:val="16"/>
                <w:szCs w:val="16"/>
              </w:rPr>
              <w:t>Other</w:t>
            </w:r>
          </w:p>
        </w:tc>
        <w:tc>
          <w:tcPr>
            <w:tcW w:w="944" w:type="dxa"/>
            <w:shd w:val="clear" w:color="auto" w:fill="D9D9D9" w:themeFill="background1" w:themeFillShade="D9"/>
          </w:tcPr>
          <w:p w14:paraId="487F5AF6" w14:textId="588C0083" w:rsidR="00FD508F" w:rsidRPr="000665B0" w:rsidRDefault="00FD508F" w:rsidP="00BD4482">
            <w:pPr>
              <w:spacing w:before="40" w:after="40" w:line="240" w:lineRule="auto"/>
              <w:jc w:val="center"/>
              <w:rPr>
                <w:b/>
                <w:bCs/>
                <w:sz w:val="16"/>
                <w:szCs w:val="16"/>
              </w:rPr>
            </w:pPr>
            <w:r w:rsidRPr="000665B0">
              <w:rPr>
                <w:b/>
                <w:bCs/>
                <w:sz w:val="16"/>
                <w:szCs w:val="16"/>
              </w:rPr>
              <w:t>Handle Duplicate Data</w:t>
            </w:r>
          </w:p>
        </w:tc>
      </w:tr>
      <w:tr w:rsidR="00BD4482" w:rsidRPr="000665B0" w14:paraId="3B791E42" w14:textId="77777777" w:rsidTr="001F4B14">
        <w:trPr>
          <w:cantSplit/>
          <w:trHeight w:val="270"/>
        </w:trPr>
        <w:tc>
          <w:tcPr>
            <w:tcW w:w="1467" w:type="dxa"/>
            <w:shd w:val="clear" w:color="auto" w:fill="D9D9D9" w:themeFill="background1" w:themeFillShade="D9"/>
            <w:noWrap/>
          </w:tcPr>
          <w:p w14:paraId="31F1DF22" w14:textId="77777777" w:rsidR="00FD508F" w:rsidRPr="000665B0" w:rsidRDefault="00FD508F" w:rsidP="00114D78">
            <w:pPr>
              <w:spacing w:before="40" w:after="40" w:line="240" w:lineRule="auto"/>
              <w:rPr>
                <w:b/>
                <w:bCs/>
                <w:sz w:val="16"/>
                <w:szCs w:val="16"/>
              </w:rPr>
            </w:pPr>
            <w:r w:rsidRPr="000665B0">
              <w:rPr>
                <w:b/>
                <w:bCs/>
                <w:sz w:val="16"/>
                <w:szCs w:val="16"/>
              </w:rPr>
              <w:t>Distribution Lists</w:t>
            </w:r>
          </w:p>
        </w:tc>
        <w:tc>
          <w:tcPr>
            <w:tcW w:w="1026" w:type="dxa"/>
            <w:shd w:val="clear" w:color="auto" w:fill="D9D9D9" w:themeFill="background1" w:themeFillShade="D9"/>
            <w:noWrap/>
          </w:tcPr>
          <w:p w14:paraId="2709DAD1" w14:textId="0A843551" w:rsidR="00FD508F" w:rsidRPr="000665B0" w:rsidRDefault="00FD508F" w:rsidP="00114D78">
            <w:pPr>
              <w:spacing w:before="40" w:after="40" w:line="240" w:lineRule="auto"/>
              <w:rPr>
                <w:b/>
                <w:bCs/>
                <w:sz w:val="16"/>
                <w:szCs w:val="16"/>
              </w:rPr>
            </w:pPr>
            <w:r w:rsidRPr="000665B0">
              <w:rPr>
                <w:b/>
                <w:bCs/>
                <w:sz w:val="16"/>
                <w:szCs w:val="16"/>
              </w:rPr>
              <w:t>Format</w:t>
            </w:r>
          </w:p>
        </w:tc>
        <w:tc>
          <w:tcPr>
            <w:tcW w:w="460" w:type="dxa"/>
            <w:shd w:val="clear" w:color="auto" w:fill="D9D9D9" w:themeFill="background1" w:themeFillShade="D9"/>
          </w:tcPr>
          <w:p w14:paraId="401C57FF" w14:textId="030A0DFC" w:rsidR="00FD508F" w:rsidRPr="000665B0" w:rsidRDefault="00D07E00" w:rsidP="003B46C4">
            <w:pPr>
              <w:spacing w:before="40" w:after="40" w:line="240" w:lineRule="auto"/>
              <w:rPr>
                <w:b/>
                <w:bCs/>
                <w:sz w:val="16"/>
                <w:szCs w:val="16"/>
              </w:rPr>
            </w:pPr>
            <w:r w:rsidRPr="000665B0">
              <w:rPr>
                <w:b/>
                <w:bCs/>
                <w:sz w:val="16"/>
                <w:szCs w:val="16"/>
              </w:rPr>
              <w:t>7</w:t>
            </w:r>
            <w:r w:rsidR="00FD508F" w:rsidRPr="000665B0">
              <w:rPr>
                <w:b/>
                <w:bCs/>
                <w:sz w:val="16"/>
                <w:szCs w:val="16"/>
              </w:rPr>
              <w:t>.x</w:t>
            </w:r>
          </w:p>
        </w:tc>
        <w:tc>
          <w:tcPr>
            <w:tcW w:w="876" w:type="dxa"/>
            <w:shd w:val="clear" w:color="auto" w:fill="D9D9D9" w:themeFill="background1" w:themeFillShade="D9"/>
            <w:noWrap/>
          </w:tcPr>
          <w:p w14:paraId="3B62062F" w14:textId="0CFE0DB7" w:rsidR="00FD508F" w:rsidRPr="000665B0" w:rsidRDefault="00FD508F" w:rsidP="00114D78">
            <w:pPr>
              <w:spacing w:before="40" w:after="40" w:line="240" w:lineRule="auto"/>
              <w:rPr>
                <w:b/>
                <w:bCs/>
                <w:sz w:val="16"/>
                <w:szCs w:val="16"/>
              </w:rPr>
            </w:pPr>
            <w:r w:rsidRPr="000665B0">
              <w:rPr>
                <w:b/>
                <w:bCs/>
                <w:sz w:val="16"/>
                <w:szCs w:val="16"/>
              </w:rPr>
              <w:t>Format</w:t>
            </w:r>
          </w:p>
        </w:tc>
        <w:tc>
          <w:tcPr>
            <w:tcW w:w="630" w:type="dxa"/>
            <w:shd w:val="clear" w:color="auto" w:fill="D9D9D9" w:themeFill="background1" w:themeFillShade="D9"/>
          </w:tcPr>
          <w:p w14:paraId="3A9410D1" w14:textId="1CF4AD0A" w:rsidR="00FD508F" w:rsidRPr="000665B0" w:rsidRDefault="00FD508F" w:rsidP="00114D78">
            <w:pPr>
              <w:spacing w:before="40" w:after="40" w:line="240" w:lineRule="auto"/>
              <w:rPr>
                <w:b/>
                <w:bCs/>
                <w:sz w:val="16"/>
                <w:szCs w:val="16"/>
              </w:rPr>
            </w:pPr>
            <w:r w:rsidRPr="000665B0">
              <w:rPr>
                <w:b/>
                <w:bCs/>
                <w:sz w:val="16"/>
                <w:szCs w:val="16"/>
              </w:rPr>
              <w:t>V5</w:t>
            </w:r>
            <w:r w:rsidR="00D07E00" w:rsidRPr="000665B0">
              <w:rPr>
                <w:b/>
                <w:bCs/>
                <w:sz w:val="16"/>
                <w:szCs w:val="16"/>
              </w:rPr>
              <w:t>.6</w:t>
            </w:r>
            <w:r w:rsidR="00AA6156" w:rsidRPr="000665B0">
              <w:rPr>
                <w:b/>
                <w:bCs/>
                <w:sz w:val="16"/>
                <w:szCs w:val="16"/>
              </w:rPr>
              <w:t>.1</w:t>
            </w:r>
          </w:p>
        </w:tc>
        <w:tc>
          <w:tcPr>
            <w:tcW w:w="743" w:type="dxa"/>
            <w:shd w:val="clear" w:color="auto" w:fill="D9D9D9" w:themeFill="background1" w:themeFillShade="D9"/>
          </w:tcPr>
          <w:p w14:paraId="5C5DA47E" w14:textId="77777777" w:rsidR="00FD508F" w:rsidRPr="000665B0" w:rsidRDefault="00FD508F" w:rsidP="00114D78">
            <w:pPr>
              <w:spacing w:before="40" w:after="40" w:line="240" w:lineRule="auto"/>
              <w:rPr>
                <w:b/>
                <w:bCs/>
                <w:sz w:val="16"/>
                <w:szCs w:val="16"/>
              </w:rPr>
            </w:pPr>
          </w:p>
        </w:tc>
        <w:tc>
          <w:tcPr>
            <w:tcW w:w="1025" w:type="dxa"/>
            <w:shd w:val="clear" w:color="auto" w:fill="D9D9D9" w:themeFill="background1" w:themeFillShade="D9"/>
            <w:noWrap/>
          </w:tcPr>
          <w:p w14:paraId="0F7C5769" w14:textId="0960DC2F" w:rsidR="00FD508F" w:rsidRPr="000665B0" w:rsidRDefault="00FD508F" w:rsidP="00114D78">
            <w:pPr>
              <w:spacing w:before="40" w:after="40" w:line="240" w:lineRule="auto"/>
              <w:rPr>
                <w:b/>
                <w:bCs/>
                <w:sz w:val="16"/>
                <w:szCs w:val="16"/>
              </w:rPr>
            </w:pPr>
            <w:r w:rsidRPr="000665B0">
              <w:rPr>
                <w:b/>
                <w:bCs/>
                <w:sz w:val="16"/>
                <w:szCs w:val="16"/>
              </w:rPr>
              <w:t>Format</w:t>
            </w:r>
          </w:p>
        </w:tc>
        <w:tc>
          <w:tcPr>
            <w:tcW w:w="461" w:type="dxa"/>
            <w:shd w:val="clear" w:color="auto" w:fill="D9D9D9" w:themeFill="background1" w:themeFillShade="D9"/>
          </w:tcPr>
          <w:p w14:paraId="3031FE42" w14:textId="33C737E4" w:rsidR="00FD508F" w:rsidRPr="000665B0" w:rsidRDefault="00D07E00" w:rsidP="003B46C4">
            <w:pPr>
              <w:spacing w:before="40" w:after="40" w:line="240" w:lineRule="auto"/>
              <w:rPr>
                <w:b/>
                <w:bCs/>
                <w:sz w:val="16"/>
                <w:szCs w:val="16"/>
              </w:rPr>
            </w:pPr>
            <w:r w:rsidRPr="000665B0">
              <w:rPr>
                <w:b/>
                <w:bCs/>
                <w:sz w:val="16"/>
                <w:szCs w:val="16"/>
              </w:rPr>
              <w:t>7</w:t>
            </w:r>
            <w:r w:rsidR="00FD508F" w:rsidRPr="000665B0">
              <w:rPr>
                <w:b/>
                <w:bCs/>
                <w:sz w:val="16"/>
                <w:szCs w:val="16"/>
              </w:rPr>
              <w:t>.x</w:t>
            </w:r>
          </w:p>
        </w:tc>
        <w:tc>
          <w:tcPr>
            <w:tcW w:w="867" w:type="dxa"/>
            <w:shd w:val="clear" w:color="auto" w:fill="D9D9D9" w:themeFill="background1" w:themeFillShade="D9"/>
            <w:noWrap/>
          </w:tcPr>
          <w:p w14:paraId="133506C2" w14:textId="63EB9B1D" w:rsidR="00FD508F" w:rsidRPr="000665B0" w:rsidRDefault="00FD508F" w:rsidP="00114D78">
            <w:pPr>
              <w:spacing w:before="40" w:after="40" w:line="240" w:lineRule="auto"/>
              <w:rPr>
                <w:b/>
                <w:bCs/>
                <w:sz w:val="16"/>
                <w:szCs w:val="16"/>
              </w:rPr>
            </w:pPr>
            <w:r w:rsidRPr="000665B0">
              <w:rPr>
                <w:b/>
                <w:bCs/>
                <w:sz w:val="16"/>
                <w:szCs w:val="16"/>
              </w:rPr>
              <w:t>Format</w:t>
            </w:r>
          </w:p>
        </w:tc>
        <w:tc>
          <w:tcPr>
            <w:tcW w:w="619" w:type="dxa"/>
            <w:shd w:val="clear" w:color="auto" w:fill="D9D9D9" w:themeFill="background1" w:themeFillShade="D9"/>
          </w:tcPr>
          <w:p w14:paraId="7450F73F" w14:textId="72F8C99F" w:rsidR="00FD508F" w:rsidRPr="000665B0" w:rsidRDefault="00FD508F" w:rsidP="00114D78">
            <w:pPr>
              <w:spacing w:before="40" w:after="40" w:line="240" w:lineRule="auto"/>
              <w:rPr>
                <w:b/>
                <w:bCs/>
                <w:sz w:val="16"/>
                <w:szCs w:val="16"/>
              </w:rPr>
            </w:pPr>
            <w:r w:rsidRPr="000665B0">
              <w:rPr>
                <w:b/>
                <w:bCs/>
                <w:sz w:val="16"/>
                <w:szCs w:val="16"/>
              </w:rPr>
              <w:t>V5</w:t>
            </w:r>
            <w:r w:rsidR="00D07E00" w:rsidRPr="000665B0">
              <w:rPr>
                <w:b/>
                <w:bCs/>
                <w:sz w:val="16"/>
                <w:szCs w:val="16"/>
              </w:rPr>
              <w:t>.6</w:t>
            </w:r>
            <w:r w:rsidR="00AA6156" w:rsidRPr="000665B0">
              <w:rPr>
                <w:b/>
                <w:bCs/>
                <w:sz w:val="16"/>
                <w:szCs w:val="16"/>
              </w:rPr>
              <w:t>.1</w:t>
            </w:r>
          </w:p>
        </w:tc>
        <w:tc>
          <w:tcPr>
            <w:tcW w:w="867" w:type="dxa"/>
            <w:shd w:val="clear" w:color="auto" w:fill="D9D9D9" w:themeFill="background1" w:themeFillShade="D9"/>
          </w:tcPr>
          <w:p w14:paraId="6D982807" w14:textId="77777777" w:rsidR="00FD508F" w:rsidRPr="000665B0" w:rsidRDefault="00FD508F" w:rsidP="00114D78">
            <w:pPr>
              <w:spacing w:before="40" w:after="40" w:line="240" w:lineRule="auto"/>
              <w:rPr>
                <w:b/>
                <w:bCs/>
                <w:sz w:val="16"/>
                <w:szCs w:val="16"/>
              </w:rPr>
            </w:pPr>
          </w:p>
        </w:tc>
        <w:tc>
          <w:tcPr>
            <w:tcW w:w="944" w:type="dxa"/>
            <w:shd w:val="clear" w:color="auto" w:fill="D9D9D9" w:themeFill="background1" w:themeFillShade="D9"/>
          </w:tcPr>
          <w:p w14:paraId="01447CEC" w14:textId="77777777" w:rsidR="00FD508F" w:rsidRPr="000665B0" w:rsidRDefault="00FD508F" w:rsidP="00114D78">
            <w:pPr>
              <w:spacing w:before="40" w:after="40" w:line="240" w:lineRule="auto"/>
              <w:rPr>
                <w:b/>
                <w:bCs/>
                <w:sz w:val="16"/>
                <w:szCs w:val="16"/>
              </w:rPr>
            </w:pPr>
          </w:p>
        </w:tc>
      </w:tr>
      <w:tr w:rsidR="00D7559A" w:rsidRPr="000665B0" w14:paraId="06C3AF22" w14:textId="77777777" w:rsidTr="001F4B14">
        <w:trPr>
          <w:cantSplit/>
          <w:trHeight w:val="270"/>
        </w:trPr>
        <w:tc>
          <w:tcPr>
            <w:tcW w:w="1467" w:type="dxa"/>
            <w:noWrap/>
          </w:tcPr>
          <w:p w14:paraId="3F5E8264" w14:textId="77777777" w:rsidR="00D7559A" w:rsidRPr="000665B0" w:rsidRDefault="00D7559A" w:rsidP="006546B1">
            <w:pPr>
              <w:spacing w:before="40" w:after="40" w:line="240" w:lineRule="auto"/>
              <w:rPr>
                <w:sz w:val="16"/>
                <w:szCs w:val="16"/>
              </w:rPr>
            </w:pPr>
            <w:r w:rsidRPr="000665B0">
              <w:rPr>
                <w:color w:val="000000"/>
                <w:sz w:val="16"/>
                <w:szCs w:val="16"/>
              </w:rPr>
              <w:t>ACMS List</w:t>
            </w:r>
          </w:p>
        </w:tc>
        <w:tc>
          <w:tcPr>
            <w:tcW w:w="1026" w:type="dxa"/>
            <w:noWrap/>
          </w:tcPr>
          <w:p w14:paraId="27BD0754" w14:textId="77777777" w:rsidR="00D7559A" w:rsidRPr="000665B0" w:rsidRDefault="00D7559A" w:rsidP="006546B1">
            <w:pPr>
              <w:spacing w:before="40" w:after="40" w:line="240" w:lineRule="auto"/>
              <w:rPr>
                <w:sz w:val="16"/>
                <w:szCs w:val="16"/>
              </w:rPr>
            </w:pPr>
            <w:r w:rsidRPr="000665B0">
              <w:rPr>
                <w:color w:val="000000"/>
                <w:sz w:val="16"/>
                <w:szCs w:val="16"/>
              </w:rPr>
              <w:t> </w:t>
            </w:r>
          </w:p>
        </w:tc>
        <w:tc>
          <w:tcPr>
            <w:tcW w:w="460" w:type="dxa"/>
          </w:tcPr>
          <w:p w14:paraId="19CEE28E"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876" w:type="dxa"/>
            <w:noWrap/>
          </w:tcPr>
          <w:p w14:paraId="30D62E8A" w14:textId="77777777" w:rsidR="00D7559A" w:rsidRPr="000665B0" w:rsidRDefault="00D7559A" w:rsidP="006546B1">
            <w:pPr>
              <w:spacing w:before="40" w:after="40" w:line="240" w:lineRule="auto"/>
              <w:rPr>
                <w:sz w:val="16"/>
                <w:szCs w:val="16"/>
              </w:rPr>
            </w:pPr>
          </w:p>
        </w:tc>
        <w:tc>
          <w:tcPr>
            <w:tcW w:w="630" w:type="dxa"/>
          </w:tcPr>
          <w:p w14:paraId="23C42C84"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743" w:type="dxa"/>
          </w:tcPr>
          <w:p w14:paraId="37EC8943" w14:textId="77777777" w:rsidR="00D7559A" w:rsidRPr="000665B0" w:rsidRDefault="00D7559A" w:rsidP="006546B1">
            <w:pPr>
              <w:spacing w:before="40" w:after="40" w:line="240" w:lineRule="auto"/>
              <w:rPr>
                <w:sz w:val="16"/>
                <w:szCs w:val="16"/>
              </w:rPr>
            </w:pPr>
          </w:p>
        </w:tc>
        <w:tc>
          <w:tcPr>
            <w:tcW w:w="1025" w:type="dxa"/>
            <w:noWrap/>
          </w:tcPr>
          <w:p w14:paraId="085AA9DB" w14:textId="77777777" w:rsidR="00D7559A" w:rsidRPr="000665B0" w:rsidRDefault="00D7559A" w:rsidP="006546B1">
            <w:pPr>
              <w:spacing w:before="40" w:after="40" w:line="240" w:lineRule="auto"/>
              <w:rPr>
                <w:sz w:val="16"/>
                <w:szCs w:val="16"/>
              </w:rPr>
            </w:pPr>
            <w:r w:rsidRPr="000665B0">
              <w:rPr>
                <w:color w:val="000000"/>
                <w:sz w:val="16"/>
                <w:szCs w:val="16"/>
              </w:rPr>
              <w:t> </w:t>
            </w:r>
          </w:p>
        </w:tc>
        <w:tc>
          <w:tcPr>
            <w:tcW w:w="461" w:type="dxa"/>
          </w:tcPr>
          <w:p w14:paraId="1932FA39" w14:textId="77777777" w:rsidR="00D7559A" w:rsidRPr="000665B0" w:rsidRDefault="00D7559A" w:rsidP="006546B1">
            <w:pPr>
              <w:spacing w:before="40" w:after="40" w:line="240" w:lineRule="auto"/>
              <w:rPr>
                <w:sz w:val="16"/>
                <w:szCs w:val="16"/>
              </w:rPr>
            </w:pPr>
            <w:r w:rsidRPr="000665B0">
              <w:rPr>
                <w:color w:val="000000"/>
                <w:sz w:val="16"/>
                <w:szCs w:val="16"/>
              </w:rPr>
              <w:t>X</w:t>
            </w:r>
          </w:p>
        </w:tc>
        <w:tc>
          <w:tcPr>
            <w:tcW w:w="867" w:type="dxa"/>
            <w:noWrap/>
          </w:tcPr>
          <w:p w14:paraId="53B61102" w14:textId="77777777" w:rsidR="00D7559A" w:rsidRPr="000665B0" w:rsidRDefault="00D7559A" w:rsidP="006546B1">
            <w:pPr>
              <w:spacing w:before="40" w:after="40" w:line="240" w:lineRule="auto"/>
              <w:rPr>
                <w:sz w:val="16"/>
                <w:szCs w:val="16"/>
              </w:rPr>
            </w:pPr>
            <w:r w:rsidRPr="000665B0">
              <w:rPr>
                <w:color w:val="000000"/>
                <w:sz w:val="16"/>
                <w:szCs w:val="16"/>
              </w:rPr>
              <w:t>FDU</w:t>
            </w:r>
            <w:r w:rsidRPr="000665B0">
              <w:rPr>
                <w:color w:val="000000"/>
                <w:sz w:val="16"/>
                <w:szCs w:val="16"/>
              </w:rPr>
              <w:br/>
              <w:t>ACMS-R</w:t>
            </w:r>
          </w:p>
        </w:tc>
        <w:tc>
          <w:tcPr>
            <w:tcW w:w="619" w:type="dxa"/>
          </w:tcPr>
          <w:p w14:paraId="0AB74B54"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867" w:type="dxa"/>
          </w:tcPr>
          <w:p w14:paraId="34D18193" w14:textId="77777777" w:rsidR="00D7559A" w:rsidRPr="000665B0" w:rsidRDefault="00D7559A" w:rsidP="006546B1">
            <w:pPr>
              <w:spacing w:before="40" w:after="40" w:line="240" w:lineRule="auto"/>
              <w:rPr>
                <w:color w:val="000000"/>
                <w:sz w:val="16"/>
                <w:szCs w:val="16"/>
              </w:rPr>
            </w:pPr>
          </w:p>
        </w:tc>
        <w:tc>
          <w:tcPr>
            <w:tcW w:w="944" w:type="dxa"/>
          </w:tcPr>
          <w:p w14:paraId="6464B6BF" w14:textId="77777777" w:rsidR="00D7559A" w:rsidRPr="000665B0" w:rsidRDefault="00D7559A" w:rsidP="006546B1">
            <w:pPr>
              <w:spacing w:before="40" w:after="40" w:line="240" w:lineRule="auto"/>
              <w:rPr>
                <w:color w:val="000000"/>
                <w:sz w:val="16"/>
                <w:szCs w:val="16"/>
              </w:rPr>
            </w:pPr>
            <w:r w:rsidRPr="000665B0">
              <w:rPr>
                <w:color w:val="000000"/>
                <w:sz w:val="16"/>
                <w:szCs w:val="16"/>
              </w:rPr>
              <w:t>Always Replace</w:t>
            </w:r>
          </w:p>
        </w:tc>
      </w:tr>
      <w:tr w:rsidR="00D7559A" w:rsidRPr="000665B0" w14:paraId="1BC699DD" w14:textId="77777777" w:rsidTr="001F4B14">
        <w:trPr>
          <w:cantSplit/>
          <w:trHeight w:val="270"/>
        </w:trPr>
        <w:tc>
          <w:tcPr>
            <w:tcW w:w="1467" w:type="dxa"/>
            <w:noWrap/>
          </w:tcPr>
          <w:p w14:paraId="1C22547D" w14:textId="77777777" w:rsidR="00D7559A" w:rsidRPr="000665B0" w:rsidRDefault="00D7559A" w:rsidP="003605EB">
            <w:pPr>
              <w:spacing w:before="40" w:after="40" w:line="240" w:lineRule="auto"/>
              <w:rPr>
                <w:sz w:val="16"/>
                <w:szCs w:val="16"/>
              </w:rPr>
            </w:pPr>
            <w:r w:rsidRPr="000665B0">
              <w:rPr>
                <w:color w:val="000000"/>
                <w:sz w:val="16"/>
                <w:szCs w:val="16"/>
              </w:rPr>
              <w:t>Flight Software List (VFIL)</w:t>
            </w:r>
          </w:p>
        </w:tc>
        <w:tc>
          <w:tcPr>
            <w:tcW w:w="1026" w:type="dxa"/>
            <w:noWrap/>
          </w:tcPr>
          <w:p w14:paraId="6C100E88" w14:textId="77777777" w:rsidR="00D7559A" w:rsidRPr="000665B0" w:rsidRDefault="00D7559A" w:rsidP="006546B1">
            <w:pPr>
              <w:spacing w:before="40" w:after="40" w:line="240" w:lineRule="auto"/>
              <w:rPr>
                <w:sz w:val="16"/>
                <w:szCs w:val="16"/>
              </w:rPr>
            </w:pPr>
            <w:r w:rsidRPr="000665B0">
              <w:rPr>
                <w:color w:val="000000"/>
                <w:sz w:val="16"/>
                <w:szCs w:val="16"/>
              </w:rPr>
              <w:t>XML</w:t>
            </w:r>
          </w:p>
        </w:tc>
        <w:tc>
          <w:tcPr>
            <w:tcW w:w="460" w:type="dxa"/>
          </w:tcPr>
          <w:p w14:paraId="3F0A706A" w14:textId="77777777" w:rsidR="00D7559A" w:rsidRPr="000665B0" w:rsidRDefault="00D7559A" w:rsidP="006546B1">
            <w:pPr>
              <w:spacing w:before="40" w:after="40" w:line="240" w:lineRule="auto"/>
              <w:rPr>
                <w:sz w:val="16"/>
                <w:szCs w:val="16"/>
              </w:rPr>
            </w:pPr>
            <w:r w:rsidRPr="000665B0">
              <w:rPr>
                <w:color w:val="000000"/>
                <w:sz w:val="16"/>
                <w:szCs w:val="16"/>
              </w:rPr>
              <w:t>X</w:t>
            </w:r>
          </w:p>
        </w:tc>
        <w:tc>
          <w:tcPr>
            <w:tcW w:w="876" w:type="dxa"/>
            <w:noWrap/>
          </w:tcPr>
          <w:p w14:paraId="0E8779D6" w14:textId="77777777" w:rsidR="00D7559A" w:rsidRPr="000665B0" w:rsidRDefault="00D7559A" w:rsidP="006546B1">
            <w:pPr>
              <w:spacing w:before="40" w:after="40" w:line="240" w:lineRule="auto"/>
              <w:rPr>
                <w:sz w:val="16"/>
                <w:szCs w:val="16"/>
              </w:rPr>
            </w:pPr>
          </w:p>
        </w:tc>
        <w:tc>
          <w:tcPr>
            <w:tcW w:w="630" w:type="dxa"/>
          </w:tcPr>
          <w:p w14:paraId="7E59CCB9"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743" w:type="dxa"/>
          </w:tcPr>
          <w:p w14:paraId="560FC812" w14:textId="77777777" w:rsidR="00D7559A" w:rsidRPr="000665B0" w:rsidRDefault="00D7559A" w:rsidP="006546B1">
            <w:pPr>
              <w:spacing w:before="40" w:after="40" w:line="240" w:lineRule="auto"/>
              <w:rPr>
                <w:sz w:val="16"/>
                <w:szCs w:val="16"/>
              </w:rPr>
            </w:pPr>
          </w:p>
        </w:tc>
        <w:tc>
          <w:tcPr>
            <w:tcW w:w="1025" w:type="dxa"/>
            <w:noWrap/>
          </w:tcPr>
          <w:p w14:paraId="367B45EA" w14:textId="77777777" w:rsidR="00D7559A" w:rsidRPr="000665B0" w:rsidRDefault="00D7559A" w:rsidP="006546B1">
            <w:pPr>
              <w:spacing w:before="40" w:after="40" w:line="240" w:lineRule="auto"/>
              <w:rPr>
                <w:sz w:val="16"/>
                <w:szCs w:val="16"/>
              </w:rPr>
            </w:pPr>
            <w:r w:rsidRPr="000665B0">
              <w:rPr>
                <w:color w:val="000000"/>
                <w:sz w:val="16"/>
                <w:szCs w:val="16"/>
              </w:rPr>
              <w:t>XML</w:t>
            </w:r>
          </w:p>
        </w:tc>
        <w:tc>
          <w:tcPr>
            <w:tcW w:w="461" w:type="dxa"/>
          </w:tcPr>
          <w:p w14:paraId="3235E0A6"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867" w:type="dxa"/>
            <w:noWrap/>
          </w:tcPr>
          <w:p w14:paraId="57F81473" w14:textId="77777777" w:rsidR="00D7559A" w:rsidRPr="000665B0" w:rsidRDefault="00D7559A" w:rsidP="006546B1">
            <w:pPr>
              <w:spacing w:before="40" w:after="40" w:line="240" w:lineRule="auto"/>
              <w:rPr>
                <w:sz w:val="16"/>
                <w:szCs w:val="16"/>
              </w:rPr>
            </w:pPr>
            <w:r w:rsidRPr="000665B0">
              <w:rPr>
                <w:color w:val="000000"/>
                <w:sz w:val="16"/>
                <w:szCs w:val="16"/>
              </w:rPr>
              <w:t> </w:t>
            </w:r>
          </w:p>
        </w:tc>
        <w:tc>
          <w:tcPr>
            <w:tcW w:w="619" w:type="dxa"/>
          </w:tcPr>
          <w:p w14:paraId="633558F1"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867" w:type="dxa"/>
          </w:tcPr>
          <w:p w14:paraId="10A1F53D" w14:textId="77777777" w:rsidR="00D7559A" w:rsidRPr="000665B0" w:rsidRDefault="00D7559A" w:rsidP="006546B1">
            <w:pPr>
              <w:spacing w:before="40" w:after="40" w:line="240" w:lineRule="auto"/>
              <w:rPr>
                <w:color w:val="000000"/>
                <w:sz w:val="16"/>
                <w:szCs w:val="16"/>
              </w:rPr>
            </w:pPr>
          </w:p>
        </w:tc>
        <w:tc>
          <w:tcPr>
            <w:tcW w:w="944" w:type="dxa"/>
          </w:tcPr>
          <w:p w14:paraId="3049D6EA" w14:textId="77777777" w:rsidR="00D7559A" w:rsidRPr="000665B0" w:rsidRDefault="00D7559A" w:rsidP="006546B1">
            <w:pPr>
              <w:spacing w:before="40" w:after="40" w:line="240" w:lineRule="auto"/>
              <w:rPr>
                <w:color w:val="000000"/>
                <w:sz w:val="16"/>
                <w:szCs w:val="16"/>
              </w:rPr>
            </w:pPr>
            <w:r w:rsidRPr="000665B0">
              <w:rPr>
                <w:color w:val="000000"/>
                <w:sz w:val="16"/>
                <w:szCs w:val="16"/>
              </w:rPr>
              <w:t>Replace if Newer</w:t>
            </w:r>
          </w:p>
        </w:tc>
      </w:tr>
      <w:tr w:rsidR="00D7559A" w:rsidRPr="000665B0" w14:paraId="1C6B01EA" w14:textId="77777777" w:rsidTr="001F4B14">
        <w:trPr>
          <w:cantSplit/>
          <w:trHeight w:val="270"/>
        </w:trPr>
        <w:tc>
          <w:tcPr>
            <w:tcW w:w="1467" w:type="dxa"/>
            <w:noWrap/>
          </w:tcPr>
          <w:p w14:paraId="2D09785F" w14:textId="77777777" w:rsidR="00D7559A" w:rsidRPr="000665B0" w:rsidRDefault="00D7559A" w:rsidP="006546B1">
            <w:pPr>
              <w:spacing w:before="40" w:after="40" w:line="240" w:lineRule="auto"/>
              <w:rPr>
                <w:sz w:val="16"/>
                <w:szCs w:val="16"/>
              </w:rPr>
            </w:pPr>
            <w:r w:rsidRPr="000665B0">
              <w:rPr>
                <w:color w:val="000000"/>
                <w:sz w:val="16"/>
                <w:szCs w:val="16"/>
              </w:rPr>
              <w:t>Missile List (VMIL)</w:t>
            </w:r>
          </w:p>
        </w:tc>
        <w:tc>
          <w:tcPr>
            <w:tcW w:w="1026" w:type="dxa"/>
            <w:noWrap/>
          </w:tcPr>
          <w:p w14:paraId="5F5B9A1E" w14:textId="77777777" w:rsidR="00D7559A" w:rsidRPr="000665B0" w:rsidRDefault="00D7559A" w:rsidP="006546B1">
            <w:pPr>
              <w:spacing w:before="40" w:after="40" w:line="240" w:lineRule="auto"/>
              <w:rPr>
                <w:sz w:val="16"/>
                <w:szCs w:val="16"/>
              </w:rPr>
            </w:pPr>
            <w:r w:rsidRPr="000665B0">
              <w:rPr>
                <w:color w:val="000000"/>
                <w:sz w:val="16"/>
                <w:szCs w:val="16"/>
              </w:rPr>
              <w:t>XML</w:t>
            </w:r>
          </w:p>
        </w:tc>
        <w:tc>
          <w:tcPr>
            <w:tcW w:w="460" w:type="dxa"/>
          </w:tcPr>
          <w:p w14:paraId="58346749" w14:textId="77777777" w:rsidR="00D7559A" w:rsidRPr="000665B0" w:rsidRDefault="00D7559A" w:rsidP="006546B1">
            <w:pPr>
              <w:spacing w:before="40" w:after="40" w:line="240" w:lineRule="auto"/>
              <w:rPr>
                <w:sz w:val="16"/>
                <w:szCs w:val="16"/>
              </w:rPr>
            </w:pPr>
            <w:r w:rsidRPr="000665B0">
              <w:rPr>
                <w:color w:val="000000"/>
                <w:sz w:val="16"/>
                <w:szCs w:val="16"/>
              </w:rPr>
              <w:t>X</w:t>
            </w:r>
          </w:p>
        </w:tc>
        <w:tc>
          <w:tcPr>
            <w:tcW w:w="876" w:type="dxa"/>
            <w:noWrap/>
          </w:tcPr>
          <w:p w14:paraId="6D6B350E" w14:textId="77777777" w:rsidR="00D7559A" w:rsidRPr="000665B0" w:rsidRDefault="00D7559A" w:rsidP="006546B1">
            <w:pPr>
              <w:spacing w:before="40" w:after="40" w:line="240" w:lineRule="auto"/>
              <w:rPr>
                <w:sz w:val="16"/>
                <w:szCs w:val="16"/>
              </w:rPr>
            </w:pPr>
          </w:p>
        </w:tc>
        <w:tc>
          <w:tcPr>
            <w:tcW w:w="630" w:type="dxa"/>
          </w:tcPr>
          <w:p w14:paraId="44DF5C9C"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743" w:type="dxa"/>
          </w:tcPr>
          <w:p w14:paraId="47F0B6B2" w14:textId="77777777" w:rsidR="00D7559A" w:rsidRPr="000665B0" w:rsidRDefault="00D7559A" w:rsidP="006546B1">
            <w:pPr>
              <w:spacing w:before="40" w:after="40" w:line="240" w:lineRule="auto"/>
              <w:rPr>
                <w:sz w:val="16"/>
                <w:szCs w:val="16"/>
              </w:rPr>
            </w:pPr>
          </w:p>
        </w:tc>
        <w:tc>
          <w:tcPr>
            <w:tcW w:w="1025" w:type="dxa"/>
            <w:noWrap/>
          </w:tcPr>
          <w:p w14:paraId="789DA553" w14:textId="77777777" w:rsidR="00D7559A" w:rsidRPr="000665B0" w:rsidRDefault="00D7559A" w:rsidP="006546B1">
            <w:pPr>
              <w:spacing w:before="40" w:after="40" w:line="240" w:lineRule="auto"/>
              <w:rPr>
                <w:sz w:val="16"/>
                <w:szCs w:val="16"/>
              </w:rPr>
            </w:pPr>
            <w:r w:rsidRPr="000665B0">
              <w:rPr>
                <w:color w:val="000000"/>
                <w:sz w:val="16"/>
                <w:szCs w:val="16"/>
              </w:rPr>
              <w:t>XML</w:t>
            </w:r>
          </w:p>
        </w:tc>
        <w:tc>
          <w:tcPr>
            <w:tcW w:w="461" w:type="dxa"/>
          </w:tcPr>
          <w:p w14:paraId="52DC591D"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867" w:type="dxa"/>
            <w:noWrap/>
          </w:tcPr>
          <w:p w14:paraId="6A538007" w14:textId="77777777" w:rsidR="00D7559A" w:rsidRPr="000665B0" w:rsidRDefault="00D7559A" w:rsidP="006546B1">
            <w:pPr>
              <w:spacing w:before="40" w:after="40" w:line="240" w:lineRule="auto"/>
              <w:rPr>
                <w:sz w:val="16"/>
                <w:szCs w:val="16"/>
              </w:rPr>
            </w:pPr>
            <w:r w:rsidRPr="000665B0">
              <w:rPr>
                <w:color w:val="000000"/>
                <w:sz w:val="16"/>
                <w:szCs w:val="16"/>
              </w:rPr>
              <w:t> </w:t>
            </w:r>
          </w:p>
        </w:tc>
        <w:tc>
          <w:tcPr>
            <w:tcW w:w="619" w:type="dxa"/>
          </w:tcPr>
          <w:p w14:paraId="20638C39"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867" w:type="dxa"/>
          </w:tcPr>
          <w:p w14:paraId="26072DF7" w14:textId="77777777" w:rsidR="00D7559A" w:rsidRPr="000665B0" w:rsidRDefault="00D7559A" w:rsidP="006546B1">
            <w:pPr>
              <w:spacing w:before="40" w:after="40" w:line="240" w:lineRule="auto"/>
              <w:rPr>
                <w:color w:val="000000"/>
                <w:sz w:val="16"/>
                <w:szCs w:val="16"/>
              </w:rPr>
            </w:pPr>
          </w:p>
        </w:tc>
        <w:tc>
          <w:tcPr>
            <w:tcW w:w="944" w:type="dxa"/>
          </w:tcPr>
          <w:p w14:paraId="7C7B2C9A" w14:textId="77777777" w:rsidR="00D7559A" w:rsidRPr="000665B0" w:rsidRDefault="00D7559A" w:rsidP="006546B1">
            <w:pPr>
              <w:spacing w:before="40" w:after="40" w:line="240" w:lineRule="auto"/>
              <w:rPr>
                <w:color w:val="000000"/>
                <w:sz w:val="16"/>
                <w:szCs w:val="16"/>
              </w:rPr>
            </w:pPr>
            <w:r w:rsidRPr="000665B0">
              <w:rPr>
                <w:color w:val="000000"/>
                <w:sz w:val="16"/>
                <w:szCs w:val="16"/>
              </w:rPr>
              <w:t>Replace if Newer</w:t>
            </w:r>
          </w:p>
        </w:tc>
      </w:tr>
      <w:tr w:rsidR="00D7559A" w:rsidRPr="000665B0" w14:paraId="7BF46348" w14:textId="77777777" w:rsidTr="001F4B14">
        <w:trPr>
          <w:cantSplit/>
          <w:trHeight w:val="270"/>
        </w:trPr>
        <w:tc>
          <w:tcPr>
            <w:tcW w:w="1467" w:type="dxa"/>
            <w:noWrap/>
          </w:tcPr>
          <w:p w14:paraId="50352C1F" w14:textId="77777777" w:rsidR="00D7559A" w:rsidRPr="000665B0" w:rsidRDefault="00D7559A" w:rsidP="006546B1">
            <w:pPr>
              <w:spacing w:before="40" w:after="40" w:line="240" w:lineRule="auto"/>
              <w:rPr>
                <w:sz w:val="16"/>
                <w:szCs w:val="16"/>
              </w:rPr>
            </w:pPr>
            <w:r w:rsidRPr="000665B0">
              <w:rPr>
                <w:color w:val="000000"/>
                <w:sz w:val="16"/>
                <w:szCs w:val="16"/>
              </w:rPr>
              <w:t>PCTRF</w:t>
            </w:r>
          </w:p>
        </w:tc>
        <w:tc>
          <w:tcPr>
            <w:tcW w:w="1026" w:type="dxa"/>
            <w:noWrap/>
          </w:tcPr>
          <w:p w14:paraId="22EA915B" w14:textId="77777777" w:rsidR="00D7559A" w:rsidRPr="000665B0" w:rsidRDefault="00D7559A" w:rsidP="006546B1">
            <w:pPr>
              <w:spacing w:before="40" w:after="40" w:line="240" w:lineRule="auto"/>
              <w:rPr>
                <w:sz w:val="16"/>
                <w:szCs w:val="16"/>
              </w:rPr>
            </w:pPr>
            <w:r w:rsidRPr="000665B0">
              <w:rPr>
                <w:color w:val="000000"/>
                <w:sz w:val="16"/>
                <w:szCs w:val="16"/>
              </w:rPr>
              <w:t>XML</w:t>
            </w:r>
          </w:p>
        </w:tc>
        <w:tc>
          <w:tcPr>
            <w:tcW w:w="460" w:type="dxa"/>
          </w:tcPr>
          <w:p w14:paraId="1BD71FB6" w14:textId="77777777" w:rsidR="00D7559A" w:rsidRPr="000665B0" w:rsidRDefault="00D7559A" w:rsidP="006546B1">
            <w:pPr>
              <w:spacing w:before="40" w:after="40" w:line="240" w:lineRule="auto"/>
              <w:rPr>
                <w:sz w:val="16"/>
                <w:szCs w:val="16"/>
              </w:rPr>
            </w:pPr>
            <w:r w:rsidRPr="000665B0">
              <w:rPr>
                <w:color w:val="000000"/>
                <w:sz w:val="16"/>
                <w:szCs w:val="16"/>
              </w:rPr>
              <w:t>X</w:t>
            </w:r>
          </w:p>
        </w:tc>
        <w:tc>
          <w:tcPr>
            <w:tcW w:w="876" w:type="dxa"/>
            <w:noWrap/>
          </w:tcPr>
          <w:p w14:paraId="26E83FD1" w14:textId="77777777" w:rsidR="00D7559A" w:rsidRPr="000665B0" w:rsidRDefault="00D7559A" w:rsidP="006546B1">
            <w:pPr>
              <w:spacing w:before="40" w:after="40" w:line="240" w:lineRule="auto"/>
              <w:rPr>
                <w:sz w:val="16"/>
                <w:szCs w:val="16"/>
              </w:rPr>
            </w:pPr>
          </w:p>
        </w:tc>
        <w:tc>
          <w:tcPr>
            <w:tcW w:w="630" w:type="dxa"/>
          </w:tcPr>
          <w:p w14:paraId="36E4FF55"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743" w:type="dxa"/>
          </w:tcPr>
          <w:p w14:paraId="0A242185" w14:textId="77777777" w:rsidR="00D7559A" w:rsidRPr="000665B0" w:rsidRDefault="00D7559A" w:rsidP="006546B1">
            <w:pPr>
              <w:spacing w:before="40" w:after="40" w:line="240" w:lineRule="auto"/>
              <w:rPr>
                <w:sz w:val="16"/>
                <w:szCs w:val="16"/>
              </w:rPr>
            </w:pPr>
          </w:p>
        </w:tc>
        <w:tc>
          <w:tcPr>
            <w:tcW w:w="1025" w:type="dxa"/>
            <w:noWrap/>
          </w:tcPr>
          <w:p w14:paraId="2726A34A" w14:textId="77777777" w:rsidR="00D7559A" w:rsidRPr="000665B0" w:rsidRDefault="00D7559A" w:rsidP="006546B1">
            <w:pPr>
              <w:spacing w:before="40" w:after="40" w:line="240" w:lineRule="auto"/>
              <w:rPr>
                <w:sz w:val="16"/>
                <w:szCs w:val="16"/>
              </w:rPr>
            </w:pPr>
            <w:r w:rsidRPr="000665B0">
              <w:rPr>
                <w:color w:val="000000"/>
                <w:sz w:val="16"/>
                <w:szCs w:val="16"/>
              </w:rPr>
              <w:t>XML</w:t>
            </w:r>
          </w:p>
        </w:tc>
        <w:tc>
          <w:tcPr>
            <w:tcW w:w="461" w:type="dxa"/>
          </w:tcPr>
          <w:p w14:paraId="10531BA9"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867" w:type="dxa"/>
            <w:noWrap/>
          </w:tcPr>
          <w:p w14:paraId="5F58EAB3" w14:textId="77777777" w:rsidR="00D7559A" w:rsidRPr="000665B0" w:rsidRDefault="00D7559A" w:rsidP="006546B1">
            <w:pPr>
              <w:spacing w:before="40" w:after="40" w:line="240" w:lineRule="auto"/>
              <w:rPr>
                <w:sz w:val="16"/>
                <w:szCs w:val="16"/>
              </w:rPr>
            </w:pPr>
            <w:r w:rsidRPr="000665B0">
              <w:rPr>
                <w:color w:val="000000"/>
                <w:sz w:val="16"/>
                <w:szCs w:val="16"/>
              </w:rPr>
              <w:t> </w:t>
            </w:r>
          </w:p>
        </w:tc>
        <w:tc>
          <w:tcPr>
            <w:tcW w:w="619" w:type="dxa"/>
          </w:tcPr>
          <w:p w14:paraId="7130B9BA"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867" w:type="dxa"/>
          </w:tcPr>
          <w:p w14:paraId="75521991" w14:textId="77777777" w:rsidR="00D7559A" w:rsidRPr="000665B0" w:rsidRDefault="00D7559A" w:rsidP="006546B1">
            <w:pPr>
              <w:spacing w:before="40" w:after="40" w:line="240" w:lineRule="auto"/>
              <w:rPr>
                <w:color w:val="000000"/>
                <w:sz w:val="16"/>
                <w:szCs w:val="16"/>
              </w:rPr>
            </w:pPr>
          </w:p>
        </w:tc>
        <w:tc>
          <w:tcPr>
            <w:tcW w:w="944" w:type="dxa"/>
          </w:tcPr>
          <w:p w14:paraId="69ABB966" w14:textId="77777777" w:rsidR="00D7559A" w:rsidRPr="000665B0" w:rsidRDefault="00D7559A" w:rsidP="006546B1">
            <w:pPr>
              <w:spacing w:before="40" w:after="40" w:line="240" w:lineRule="auto"/>
              <w:rPr>
                <w:color w:val="000000"/>
                <w:sz w:val="16"/>
                <w:szCs w:val="16"/>
              </w:rPr>
            </w:pPr>
            <w:r w:rsidRPr="000665B0">
              <w:rPr>
                <w:color w:val="000000"/>
                <w:sz w:val="16"/>
                <w:szCs w:val="16"/>
              </w:rPr>
              <w:t>Replace if Newer</w:t>
            </w:r>
          </w:p>
        </w:tc>
      </w:tr>
      <w:tr w:rsidR="00D7559A" w:rsidRPr="000665B0" w14:paraId="5FA4A8E7" w14:textId="77777777" w:rsidTr="001F4B14">
        <w:trPr>
          <w:cantSplit/>
          <w:trHeight w:val="270"/>
        </w:trPr>
        <w:tc>
          <w:tcPr>
            <w:tcW w:w="1467" w:type="dxa"/>
            <w:noWrap/>
          </w:tcPr>
          <w:p w14:paraId="6991AA34" w14:textId="77777777" w:rsidR="00D7559A" w:rsidRPr="000665B0" w:rsidRDefault="00D7559A" w:rsidP="006E6218">
            <w:pPr>
              <w:spacing w:before="40" w:after="40" w:line="240" w:lineRule="auto"/>
              <w:rPr>
                <w:sz w:val="16"/>
                <w:szCs w:val="16"/>
              </w:rPr>
            </w:pPr>
            <w:r w:rsidRPr="000665B0">
              <w:rPr>
                <w:color w:val="000000"/>
                <w:sz w:val="16"/>
                <w:szCs w:val="16"/>
              </w:rPr>
              <w:t>TAR List</w:t>
            </w:r>
          </w:p>
        </w:tc>
        <w:tc>
          <w:tcPr>
            <w:tcW w:w="1026" w:type="dxa"/>
            <w:noWrap/>
          </w:tcPr>
          <w:p w14:paraId="143B8035" w14:textId="77777777" w:rsidR="00D7559A" w:rsidRPr="000665B0" w:rsidRDefault="00D7559A" w:rsidP="006E6218">
            <w:pPr>
              <w:spacing w:before="40" w:after="40" w:line="240" w:lineRule="auto"/>
              <w:rPr>
                <w:sz w:val="16"/>
                <w:szCs w:val="16"/>
              </w:rPr>
            </w:pPr>
            <w:r w:rsidRPr="000665B0">
              <w:rPr>
                <w:color w:val="000000"/>
                <w:sz w:val="16"/>
                <w:szCs w:val="16"/>
              </w:rPr>
              <w:t>XML</w:t>
            </w:r>
          </w:p>
        </w:tc>
        <w:tc>
          <w:tcPr>
            <w:tcW w:w="460" w:type="dxa"/>
          </w:tcPr>
          <w:p w14:paraId="49B239A2" w14:textId="77777777" w:rsidR="00D7559A" w:rsidRPr="000665B0" w:rsidRDefault="00D7559A" w:rsidP="006E6218">
            <w:pPr>
              <w:spacing w:before="40" w:after="40" w:line="240" w:lineRule="auto"/>
              <w:rPr>
                <w:sz w:val="16"/>
                <w:szCs w:val="16"/>
              </w:rPr>
            </w:pPr>
            <w:r w:rsidRPr="000665B0">
              <w:rPr>
                <w:color w:val="000000"/>
                <w:sz w:val="16"/>
                <w:szCs w:val="16"/>
              </w:rPr>
              <w:t>X</w:t>
            </w:r>
          </w:p>
        </w:tc>
        <w:tc>
          <w:tcPr>
            <w:tcW w:w="876" w:type="dxa"/>
            <w:noWrap/>
          </w:tcPr>
          <w:p w14:paraId="5559E786" w14:textId="77777777" w:rsidR="00D7559A" w:rsidRPr="000665B0" w:rsidRDefault="00D7559A" w:rsidP="006E6218">
            <w:pPr>
              <w:spacing w:before="40" w:after="40" w:line="240" w:lineRule="auto"/>
              <w:rPr>
                <w:sz w:val="16"/>
                <w:szCs w:val="16"/>
              </w:rPr>
            </w:pPr>
          </w:p>
        </w:tc>
        <w:tc>
          <w:tcPr>
            <w:tcW w:w="630" w:type="dxa"/>
          </w:tcPr>
          <w:p w14:paraId="7513DA31" w14:textId="77777777" w:rsidR="00D7559A" w:rsidRPr="000665B0" w:rsidRDefault="00D7559A" w:rsidP="006E6218">
            <w:pPr>
              <w:spacing w:before="40" w:after="40" w:line="240" w:lineRule="auto"/>
              <w:rPr>
                <w:sz w:val="16"/>
                <w:szCs w:val="16"/>
              </w:rPr>
            </w:pPr>
            <w:r w:rsidRPr="000665B0">
              <w:rPr>
                <w:color w:val="000000"/>
                <w:sz w:val="16"/>
                <w:szCs w:val="16"/>
              </w:rPr>
              <w:t>NA</w:t>
            </w:r>
          </w:p>
        </w:tc>
        <w:tc>
          <w:tcPr>
            <w:tcW w:w="743" w:type="dxa"/>
          </w:tcPr>
          <w:p w14:paraId="15A673D4" w14:textId="77777777" w:rsidR="00D7559A" w:rsidRPr="000665B0" w:rsidRDefault="00D7559A" w:rsidP="006E6218">
            <w:pPr>
              <w:spacing w:before="40" w:after="40" w:line="240" w:lineRule="auto"/>
              <w:rPr>
                <w:sz w:val="16"/>
                <w:szCs w:val="16"/>
              </w:rPr>
            </w:pPr>
          </w:p>
        </w:tc>
        <w:tc>
          <w:tcPr>
            <w:tcW w:w="1025" w:type="dxa"/>
            <w:noWrap/>
          </w:tcPr>
          <w:p w14:paraId="2DB64064" w14:textId="77777777" w:rsidR="00D7559A" w:rsidRPr="000665B0" w:rsidRDefault="00D7559A" w:rsidP="006E6218">
            <w:pPr>
              <w:spacing w:before="40" w:after="40" w:line="240" w:lineRule="auto"/>
              <w:rPr>
                <w:sz w:val="16"/>
                <w:szCs w:val="16"/>
              </w:rPr>
            </w:pPr>
            <w:r w:rsidRPr="000665B0">
              <w:rPr>
                <w:color w:val="000000"/>
                <w:sz w:val="16"/>
                <w:szCs w:val="16"/>
              </w:rPr>
              <w:t>XML</w:t>
            </w:r>
          </w:p>
        </w:tc>
        <w:tc>
          <w:tcPr>
            <w:tcW w:w="461" w:type="dxa"/>
          </w:tcPr>
          <w:p w14:paraId="43D114E5" w14:textId="77777777" w:rsidR="00D7559A" w:rsidRPr="000665B0" w:rsidRDefault="00D7559A" w:rsidP="006E6218">
            <w:pPr>
              <w:spacing w:before="40" w:after="40" w:line="240" w:lineRule="auto"/>
              <w:rPr>
                <w:sz w:val="16"/>
                <w:szCs w:val="16"/>
              </w:rPr>
            </w:pPr>
            <w:r w:rsidRPr="000665B0">
              <w:rPr>
                <w:color w:val="000000"/>
                <w:sz w:val="16"/>
                <w:szCs w:val="16"/>
              </w:rPr>
              <w:t>NA</w:t>
            </w:r>
          </w:p>
        </w:tc>
        <w:tc>
          <w:tcPr>
            <w:tcW w:w="867" w:type="dxa"/>
            <w:noWrap/>
          </w:tcPr>
          <w:p w14:paraId="471B637E" w14:textId="77777777" w:rsidR="00D7559A" w:rsidRPr="000665B0" w:rsidRDefault="00D7559A" w:rsidP="006E6218">
            <w:pPr>
              <w:spacing w:before="40" w:after="40" w:line="240" w:lineRule="auto"/>
              <w:rPr>
                <w:sz w:val="16"/>
                <w:szCs w:val="16"/>
              </w:rPr>
            </w:pPr>
            <w:r w:rsidRPr="000665B0">
              <w:rPr>
                <w:color w:val="000000"/>
                <w:sz w:val="16"/>
                <w:szCs w:val="16"/>
              </w:rPr>
              <w:t> </w:t>
            </w:r>
          </w:p>
        </w:tc>
        <w:tc>
          <w:tcPr>
            <w:tcW w:w="619" w:type="dxa"/>
          </w:tcPr>
          <w:p w14:paraId="00C4AB80" w14:textId="77777777" w:rsidR="00D7559A" w:rsidRPr="000665B0" w:rsidRDefault="00D7559A" w:rsidP="006E6218">
            <w:pPr>
              <w:spacing w:before="40" w:after="40" w:line="240" w:lineRule="auto"/>
              <w:rPr>
                <w:sz w:val="16"/>
                <w:szCs w:val="16"/>
              </w:rPr>
            </w:pPr>
            <w:r w:rsidRPr="000665B0">
              <w:rPr>
                <w:color w:val="000000"/>
                <w:sz w:val="16"/>
                <w:szCs w:val="16"/>
              </w:rPr>
              <w:t>NA</w:t>
            </w:r>
          </w:p>
        </w:tc>
        <w:tc>
          <w:tcPr>
            <w:tcW w:w="867" w:type="dxa"/>
          </w:tcPr>
          <w:p w14:paraId="13F3EEFF" w14:textId="77777777" w:rsidR="00D7559A" w:rsidRPr="000665B0" w:rsidRDefault="00D7559A" w:rsidP="006E6218">
            <w:pPr>
              <w:spacing w:before="40" w:after="40" w:line="240" w:lineRule="auto"/>
              <w:rPr>
                <w:color w:val="000000"/>
                <w:sz w:val="16"/>
                <w:szCs w:val="16"/>
              </w:rPr>
            </w:pPr>
          </w:p>
        </w:tc>
        <w:tc>
          <w:tcPr>
            <w:tcW w:w="944" w:type="dxa"/>
          </w:tcPr>
          <w:p w14:paraId="10246789" w14:textId="77777777" w:rsidR="00D7559A" w:rsidRPr="000665B0" w:rsidRDefault="00D7559A" w:rsidP="006E6218">
            <w:pPr>
              <w:spacing w:before="40" w:after="40" w:line="240" w:lineRule="auto"/>
              <w:rPr>
                <w:color w:val="000000"/>
                <w:sz w:val="16"/>
                <w:szCs w:val="16"/>
              </w:rPr>
            </w:pPr>
            <w:r w:rsidRPr="000665B0">
              <w:rPr>
                <w:color w:val="000000"/>
                <w:sz w:val="16"/>
                <w:szCs w:val="16"/>
              </w:rPr>
              <w:t>Replace if Newer</w:t>
            </w:r>
          </w:p>
        </w:tc>
      </w:tr>
      <w:tr w:rsidR="00D7559A" w:rsidRPr="000665B0" w14:paraId="23581E3E" w14:textId="77777777" w:rsidTr="001F4B14">
        <w:trPr>
          <w:cantSplit/>
          <w:trHeight w:val="270"/>
        </w:trPr>
        <w:tc>
          <w:tcPr>
            <w:tcW w:w="1467" w:type="dxa"/>
            <w:noWrap/>
          </w:tcPr>
          <w:p w14:paraId="4AF09BF8" w14:textId="77777777" w:rsidR="00D7559A" w:rsidRPr="000665B0" w:rsidRDefault="00D7559A" w:rsidP="006546B1">
            <w:pPr>
              <w:spacing w:before="40" w:after="40" w:line="240" w:lineRule="auto"/>
              <w:rPr>
                <w:sz w:val="16"/>
                <w:szCs w:val="16"/>
              </w:rPr>
            </w:pPr>
            <w:r w:rsidRPr="000665B0">
              <w:rPr>
                <w:color w:val="000000"/>
                <w:sz w:val="16"/>
                <w:szCs w:val="16"/>
              </w:rPr>
              <w:t>Valid OES List</w:t>
            </w:r>
          </w:p>
        </w:tc>
        <w:tc>
          <w:tcPr>
            <w:tcW w:w="1026" w:type="dxa"/>
            <w:noWrap/>
          </w:tcPr>
          <w:p w14:paraId="0B9C466C" w14:textId="77777777" w:rsidR="00D7559A" w:rsidRPr="000665B0" w:rsidRDefault="00D7559A" w:rsidP="006546B1">
            <w:pPr>
              <w:spacing w:before="40" w:after="40" w:line="240" w:lineRule="auto"/>
              <w:rPr>
                <w:sz w:val="16"/>
                <w:szCs w:val="16"/>
              </w:rPr>
            </w:pPr>
            <w:r w:rsidRPr="000665B0">
              <w:rPr>
                <w:color w:val="000000"/>
                <w:sz w:val="16"/>
                <w:szCs w:val="16"/>
              </w:rPr>
              <w:t>XML</w:t>
            </w:r>
          </w:p>
        </w:tc>
        <w:tc>
          <w:tcPr>
            <w:tcW w:w="460" w:type="dxa"/>
          </w:tcPr>
          <w:p w14:paraId="05466219" w14:textId="77777777" w:rsidR="00D7559A" w:rsidRPr="000665B0" w:rsidRDefault="00D7559A" w:rsidP="006546B1">
            <w:pPr>
              <w:spacing w:before="40" w:after="40" w:line="240" w:lineRule="auto"/>
              <w:rPr>
                <w:sz w:val="16"/>
                <w:szCs w:val="16"/>
              </w:rPr>
            </w:pPr>
            <w:r w:rsidRPr="000665B0">
              <w:rPr>
                <w:color w:val="000000"/>
                <w:sz w:val="16"/>
                <w:szCs w:val="16"/>
              </w:rPr>
              <w:t>X</w:t>
            </w:r>
          </w:p>
        </w:tc>
        <w:tc>
          <w:tcPr>
            <w:tcW w:w="876" w:type="dxa"/>
            <w:noWrap/>
          </w:tcPr>
          <w:p w14:paraId="782E09C8" w14:textId="77777777" w:rsidR="00D7559A" w:rsidRPr="000665B0" w:rsidRDefault="00D7559A" w:rsidP="006546B1">
            <w:pPr>
              <w:spacing w:before="40" w:after="40" w:line="240" w:lineRule="auto"/>
              <w:rPr>
                <w:sz w:val="16"/>
                <w:szCs w:val="16"/>
              </w:rPr>
            </w:pPr>
          </w:p>
        </w:tc>
        <w:tc>
          <w:tcPr>
            <w:tcW w:w="630" w:type="dxa"/>
          </w:tcPr>
          <w:p w14:paraId="193A4069"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743" w:type="dxa"/>
          </w:tcPr>
          <w:p w14:paraId="6AC5AE45" w14:textId="77777777" w:rsidR="00D7559A" w:rsidRPr="000665B0" w:rsidRDefault="00D7559A" w:rsidP="006546B1">
            <w:pPr>
              <w:spacing w:before="40" w:after="40" w:line="240" w:lineRule="auto"/>
              <w:rPr>
                <w:sz w:val="16"/>
                <w:szCs w:val="16"/>
              </w:rPr>
            </w:pPr>
          </w:p>
        </w:tc>
        <w:tc>
          <w:tcPr>
            <w:tcW w:w="1025" w:type="dxa"/>
            <w:noWrap/>
          </w:tcPr>
          <w:p w14:paraId="3CBB7AC3" w14:textId="77777777" w:rsidR="00D7559A" w:rsidRPr="000665B0" w:rsidRDefault="00D7559A" w:rsidP="006546B1">
            <w:pPr>
              <w:spacing w:before="40" w:after="40" w:line="240" w:lineRule="auto"/>
              <w:rPr>
                <w:sz w:val="16"/>
                <w:szCs w:val="16"/>
              </w:rPr>
            </w:pPr>
            <w:r w:rsidRPr="000665B0">
              <w:rPr>
                <w:color w:val="000000"/>
                <w:sz w:val="16"/>
                <w:szCs w:val="16"/>
              </w:rPr>
              <w:t>XML</w:t>
            </w:r>
          </w:p>
        </w:tc>
        <w:tc>
          <w:tcPr>
            <w:tcW w:w="461" w:type="dxa"/>
          </w:tcPr>
          <w:p w14:paraId="7F6161AE"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867" w:type="dxa"/>
            <w:noWrap/>
          </w:tcPr>
          <w:p w14:paraId="55ED3E0E" w14:textId="77777777" w:rsidR="00D7559A" w:rsidRPr="000665B0" w:rsidRDefault="00D7559A" w:rsidP="006546B1">
            <w:pPr>
              <w:spacing w:before="40" w:after="40" w:line="240" w:lineRule="auto"/>
              <w:rPr>
                <w:sz w:val="16"/>
                <w:szCs w:val="16"/>
              </w:rPr>
            </w:pPr>
            <w:r w:rsidRPr="000665B0">
              <w:rPr>
                <w:color w:val="000000"/>
                <w:sz w:val="16"/>
                <w:szCs w:val="16"/>
              </w:rPr>
              <w:t> </w:t>
            </w:r>
          </w:p>
        </w:tc>
        <w:tc>
          <w:tcPr>
            <w:tcW w:w="619" w:type="dxa"/>
          </w:tcPr>
          <w:p w14:paraId="09728405"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867" w:type="dxa"/>
          </w:tcPr>
          <w:p w14:paraId="093F5AA2" w14:textId="77777777" w:rsidR="00D7559A" w:rsidRPr="000665B0" w:rsidRDefault="00D7559A" w:rsidP="006546B1">
            <w:pPr>
              <w:spacing w:before="40" w:after="40" w:line="240" w:lineRule="auto"/>
              <w:rPr>
                <w:color w:val="000000"/>
                <w:sz w:val="16"/>
                <w:szCs w:val="16"/>
              </w:rPr>
            </w:pPr>
          </w:p>
        </w:tc>
        <w:tc>
          <w:tcPr>
            <w:tcW w:w="944" w:type="dxa"/>
          </w:tcPr>
          <w:p w14:paraId="5E84AFC6" w14:textId="77777777" w:rsidR="00D7559A" w:rsidRPr="000665B0" w:rsidRDefault="00D7559A" w:rsidP="006546B1">
            <w:pPr>
              <w:spacing w:before="40" w:after="40" w:line="240" w:lineRule="auto"/>
              <w:rPr>
                <w:color w:val="000000"/>
                <w:sz w:val="16"/>
                <w:szCs w:val="16"/>
              </w:rPr>
            </w:pPr>
            <w:r w:rsidRPr="000665B0">
              <w:rPr>
                <w:color w:val="000000"/>
                <w:sz w:val="16"/>
                <w:szCs w:val="16"/>
              </w:rPr>
              <w:t>Replace if Newer</w:t>
            </w:r>
          </w:p>
        </w:tc>
      </w:tr>
      <w:tr w:rsidR="00D7559A" w:rsidRPr="000665B0" w14:paraId="588CC20C" w14:textId="77777777" w:rsidTr="001F4B14">
        <w:trPr>
          <w:cantSplit/>
          <w:trHeight w:val="270"/>
        </w:trPr>
        <w:tc>
          <w:tcPr>
            <w:tcW w:w="1467" w:type="dxa"/>
            <w:noWrap/>
          </w:tcPr>
          <w:p w14:paraId="068CE5CD" w14:textId="77777777" w:rsidR="00D7559A" w:rsidRPr="000665B0" w:rsidRDefault="00D7559A" w:rsidP="006546B1">
            <w:pPr>
              <w:spacing w:before="40" w:after="40" w:line="240" w:lineRule="auto"/>
              <w:rPr>
                <w:sz w:val="16"/>
                <w:szCs w:val="16"/>
              </w:rPr>
            </w:pPr>
            <w:r w:rsidRPr="000665B0">
              <w:rPr>
                <w:color w:val="000000"/>
                <w:sz w:val="16"/>
                <w:szCs w:val="16"/>
              </w:rPr>
              <w:t>Valid Platform List</w:t>
            </w:r>
          </w:p>
        </w:tc>
        <w:tc>
          <w:tcPr>
            <w:tcW w:w="1026" w:type="dxa"/>
            <w:noWrap/>
          </w:tcPr>
          <w:p w14:paraId="6658A291" w14:textId="77777777" w:rsidR="00D7559A" w:rsidRPr="000665B0" w:rsidRDefault="00D7559A" w:rsidP="006546B1">
            <w:pPr>
              <w:spacing w:before="40" w:after="40" w:line="240" w:lineRule="auto"/>
              <w:rPr>
                <w:sz w:val="16"/>
                <w:szCs w:val="16"/>
              </w:rPr>
            </w:pPr>
            <w:r w:rsidRPr="000665B0">
              <w:rPr>
                <w:color w:val="000000"/>
                <w:sz w:val="16"/>
                <w:szCs w:val="16"/>
              </w:rPr>
              <w:t>XML</w:t>
            </w:r>
          </w:p>
        </w:tc>
        <w:tc>
          <w:tcPr>
            <w:tcW w:w="460" w:type="dxa"/>
          </w:tcPr>
          <w:p w14:paraId="71617E3F" w14:textId="77777777" w:rsidR="00D7559A" w:rsidRPr="000665B0" w:rsidRDefault="00D7559A" w:rsidP="006546B1">
            <w:pPr>
              <w:spacing w:before="40" w:after="40" w:line="240" w:lineRule="auto"/>
              <w:rPr>
                <w:sz w:val="16"/>
                <w:szCs w:val="16"/>
              </w:rPr>
            </w:pPr>
            <w:r w:rsidRPr="000665B0">
              <w:rPr>
                <w:color w:val="000000"/>
                <w:sz w:val="16"/>
                <w:szCs w:val="16"/>
              </w:rPr>
              <w:t>X</w:t>
            </w:r>
          </w:p>
        </w:tc>
        <w:tc>
          <w:tcPr>
            <w:tcW w:w="876" w:type="dxa"/>
            <w:noWrap/>
          </w:tcPr>
          <w:p w14:paraId="44353477" w14:textId="77777777" w:rsidR="00D7559A" w:rsidRPr="000665B0" w:rsidRDefault="00D7559A" w:rsidP="006546B1">
            <w:pPr>
              <w:spacing w:before="40" w:after="40" w:line="240" w:lineRule="auto"/>
              <w:rPr>
                <w:sz w:val="16"/>
                <w:szCs w:val="16"/>
              </w:rPr>
            </w:pPr>
          </w:p>
        </w:tc>
        <w:tc>
          <w:tcPr>
            <w:tcW w:w="630" w:type="dxa"/>
          </w:tcPr>
          <w:p w14:paraId="482AA38E"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743" w:type="dxa"/>
          </w:tcPr>
          <w:p w14:paraId="26D14EC3" w14:textId="77777777" w:rsidR="00D7559A" w:rsidRPr="000665B0" w:rsidRDefault="00D7559A" w:rsidP="006546B1">
            <w:pPr>
              <w:spacing w:before="40" w:after="40" w:line="240" w:lineRule="auto"/>
              <w:rPr>
                <w:sz w:val="16"/>
                <w:szCs w:val="16"/>
              </w:rPr>
            </w:pPr>
          </w:p>
        </w:tc>
        <w:tc>
          <w:tcPr>
            <w:tcW w:w="1025" w:type="dxa"/>
            <w:noWrap/>
          </w:tcPr>
          <w:p w14:paraId="46C74FF4" w14:textId="77777777" w:rsidR="00D7559A" w:rsidRPr="000665B0" w:rsidRDefault="00D7559A" w:rsidP="006546B1">
            <w:pPr>
              <w:spacing w:before="40" w:after="40" w:line="240" w:lineRule="auto"/>
              <w:rPr>
                <w:sz w:val="16"/>
                <w:szCs w:val="16"/>
              </w:rPr>
            </w:pPr>
            <w:r w:rsidRPr="000665B0">
              <w:rPr>
                <w:color w:val="000000"/>
                <w:sz w:val="16"/>
                <w:szCs w:val="16"/>
              </w:rPr>
              <w:t>XML</w:t>
            </w:r>
          </w:p>
        </w:tc>
        <w:tc>
          <w:tcPr>
            <w:tcW w:w="461" w:type="dxa"/>
          </w:tcPr>
          <w:p w14:paraId="6753178F" w14:textId="77777777" w:rsidR="00D7559A" w:rsidRPr="000665B0" w:rsidRDefault="00D7559A" w:rsidP="00203383">
            <w:pPr>
              <w:spacing w:before="40" w:after="40" w:line="240" w:lineRule="auto"/>
              <w:rPr>
                <w:sz w:val="16"/>
                <w:szCs w:val="16"/>
              </w:rPr>
            </w:pPr>
            <w:r w:rsidRPr="000665B0">
              <w:rPr>
                <w:color w:val="000000"/>
                <w:sz w:val="16"/>
                <w:szCs w:val="16"/>
              </w:rPr>
              <w:t>NA</w:t>
            </w:r>
          </w:p>
        </w:tc>
        <w:tc>
          <w:tcPr>
            <w:tcW w:w="867" w:type="dxa"/>
            <w:noWrap/>
          </w:tcPr>
          <w:p w14:paraId="79BBB392" w14:textId="77777777" w:rsidR="00D7559A" w:rsidRPr="000665B0" w:rsidRDefault="00D7559A" w:rsidP="006546B1">
            <w:pPr>
              <w:spacing w:before="40" w:after="40" w:line="240" w:lineRule="auto"/>
              <w:rPr>
                <w:sz w:val="16"/>
                <w:szCs w:val="16"/>
              </w:rPr>
            </w:pPr>
            <w:r w:rsidRPr="000665B0">
              <w:rPr>
                <w:color w:val="000000"/>
                <w:sz w:val="16"/>
                <w:szCs w:val="16"/>
              </w:rPr>
              <w:t> </w:t>
            </w:r>
          </w:p>
        </w:tc>
        <w:tc>
          <w:tcPr>
            <w:tcW w:w="619" w:type="dxa"/>
          </w:tcPr>
          <w:p w14:paraId="30E4D416" w14:textId="77777777" w:rsidR="00D7559A" w:rsidRPr="000665B0" w:rsidRDefault="00D7559A" w:rsidP="006546B1">
            <w:pPr>
              <w:spacing w:before="40" w:after="40" w:line="240" w:lineRule="auto"/>
              <w:rPr>
                <w:sz w:val="16"/>
                <w:szCs w:val="16"/>
              </w:rPr>
            </w:pPr>
            <w:r w:rsidRPr="000665B0">
              <w:rPr>
                <w:color w:val="000000"/>
                <w:sz w:val="16"/>
                <w:szCs w:val="16"/>
              </w:rPr>
              <w:t>NA</w:t>
            </w:r>
          </w:p>
        </w:tc>
        <w:tc>
          <w:tcPr>
            <w:tcW w:w="867" w:type="dxa"/>
          </w:tcPr>
          <w:p w14:paraId="55A92722" w14:textId="77777777" w:rsidR="00D7559A" w:rsidRPr="000665B0" w:rsidRDefault="00D7559A" w:rsidP="006546B1">
            <w:pPr>
              <w:spacing w:before="40" w:after="40" w:line="240" w:lineRule="auto"/>
              <w:rPr>
                <w:color w:val="000000"/>
                <w:sz w:val="16"/>
                <w:szCs w:val="16"/>
              </w:rPr>
            </w:pPr>
          </w:p>
        </w:tc>
        <w:tc>
          <w:tcPr>
            <w:tcW w:w="944" w:type="dxa"/>
          </w:tcPr>
          <w:p w14:paraId="554F26B5" w14:textId="77777777" w:rsidR="00D7559A" w:rsidRPr="000665B0" w:rsidRDefault="00D7559A" w:rsidP="006546B1">
            <w:pPr>
              <w:spacing w:before="40" w:after="40" w:line="240" w:lineRule="auto"/>
              <w:rPr>
                <w:color w:val="000000"/>
                <w:sz w:val="16"/>
                <w:szCs w:val="16"/>
              </w:rPr>
            </w:pPr>
            <w:r w:rsidRPr="000665B0">
              <w:rPr>
                <w:color w:val="000000"/>
                <w:sz w:val="16"/>
                <w:szCs w:val="16"/>
              </w:rPr>
              <w:t>Replace if Newer</w:t>
            </w:r>
          </w:p>
        </w:tc>
      </w:tr>
      <w:tr w:rsidR="00891BBF" w:rsidRPr="000665B0" w14:paraId="73AB3714" w14:textId="77777777" w:rsidTr="001F4B14">
        <w:trPr>
          <w:cantSplit/>
          <w:trHeight w:val="270"/>
        </w:trPr>
        <w:tc>
          <w:tcPr>
            <w:tcW w:w="1467" w:type="dxa"/>
            <w:shd w:val="clear" w:color="auto" w:fill="D9D9D9" w:themeFill="background1" w:themeFillShade="D9"/>
            <w:noWrap/>
          </w:tcPr>
          <w:p w14:paraId="23790035" w14:textId="77777777" w:rsidR="00FD508F" w:rsidRPr="000665B0" w:rsidRDefault="00FD508F" w:rsidP="00114D78">
            <w:pPr>
              <w:spacing w:before="40" w:after="40" w:line="240" w:lineRule="auto"/>
              <w:rPr>
                <w:b/>
                <w:bCs/>
                <w:sz w:val="16"/>
                <w:szCs w:val="16"/>
              </w:rPr>
            </w:pPr>
            <w:r w:rsidRPr="000665B0">
              <w:rPr>
                <w:b/>
                <w:bCs/>
                <w:sz w:val="16"/>
                <w:szCs w:val="16"/>
              </w:rPr>
              <w:t>Data </w:t>
            </w:r>
          </w:p>
        </w:tc>
        <w:tc>
          <w:tcPr>
            <w:tcW w:w="1026" w:type="dxa"/>
            <w:shd w:val="clear" w:color="auto" w:fill="D9D9D9" w:themeFill="background1" w:themeFillShade="D9"/>
            <w:noWrap/>
          </w:tcPr>
          <w:p w14:paraId="7409BE5A" w14:textId="77777777" w:rsidR="00FD508F" w:rsidRPr="000665B0" w:rsidRDefault="00FD508F" w:rsidP="00114D78">
            <w:pPr>
              <w:spacing w:before="40" w:after="40" w:line="240" w:lineRule="auto"/>
              <w:rPr>
                <w:rFonts w:ascii="Arial" w:hAnsi="Arial" w:cs="Arial"/>
                <w:b/>
                <w:bCs/>
                <w:sz w:val="16"/>
                <w:szCs w:val="16"/>
              </w:rPr>
            </w:pPr>
          </w:p>
        </w:tc>
        <w:tc>
          <w:tcPr>
            <w:tcW w:w="460" w:type="dxa"/>
            <w:shd w:val="clear" w:color="auto" w:fill="D9D9D9" w:themeFill="background1" w:themeFillShade="D9"/>
          </w:tcPr>
          <w:p w14:paraId="34D87F61" w14:textId="77777777" w:rsidR="00FD508F" w:rsidRPr="000665B0" w:rsidRDefault="00FD508F" w:rsidP="00114D78">
            <w:pPr>
              <w:spacing w:before="40" w:after="40" w:line="240" w:lineRule="auto"/>
              <w:rPr>
                <w:rFonts w:ascii="Arial" w:hAnsi="Arial" w:cs="Arial"/>
                <w:b/>
                <w:bCs/>
                <w:sz w:val="16"/>
                <w:szCs w:val="16"/>
              </w:rPr>
            </w:pPr>
          </w:p>
        </w:tc>
        <w:tc>
          <w:tcPr>
            <w:tcW w:w="876" w:type="dxa"/>
            <w:shd w:val="clear" w:color="auto" w:fill="D9D9D9" w:themeFill="background1" w:themeFillShade="D9"/>
            <w:noWrap/>
          </w:tcPr>
          <w:p w14:paraId="1523B09A" w14:textId="77777777" w:rsidR="00FD508F" w:rsidRPr="000665B0" w:rsidRDefault="00FD508F" w:rsidP="00114D78">
            <w:pPr>
              <w:spacing w:before="40" w:after="40" w:line="240" w:lineRule="auto"/>
              <w:rPr>
                <w:rFonts w:ascii="Arial" w:hAnsi="Arial" w:cs="Arial"/>
                <w:b/>
                <w:bCs/>
                <w:sz w:val="16"/>
                <w:szCs w:val="16"/>
              </w:rPr>
            </w:pPr>
          </w:p>
        </w:tc>
        <w:tc>
          <w:tcPr>
            <w:tcW w:w="630" w:type="dxa"/>
            <w:shd w:val="clear" w:color="auto" w:fill="D9D9D9" w:themeFill="background1" w:themeFillShade="D9"/>
          </w:tcPr>
          <w:p w14:paraId="153AC0B7" w14:textId="77777777" w:rsidR="00FD508F" w:rsidRPr="000665B0" w:rsidRDefault="00FD508F" w:rsidP="00114D78">
            <w:pPr>
              <w:spacing w:before="40" w:after="40" w:line="240" w:lineRule="auto"/>
              <w:rPr>
                <w:rFonts w:ascii="Arial" w:hAnsi="Arial" w:cs="Arial"/>
                <w:b/>
                <w:bCs/>
                <w:sz w:val="16"/>
                <w:szCs w:val="16"/>
              </w:rPr>
            </w:pPr>
          </w:p>
        </w:tc>
        <w:tc>
          <w:tcPr>
            <w:tcW w:w="743" w:type="dxa"/>
            <w:shd w:val="clear" w:color="auto" w:fill="D9D9D9" w:themeFill="background1" w:themeFillShade="D9"/>
          </w:tcPr>
          <w:p w14:paraId="769A09D9" w14:textId="77777777" w:rsidR="00FD508F" w:rsidRPr="000665B0" w:rsidRDefault="00FD508F" w:rsidP="00114D78">
            <w:pPr>
              <w:spacing w:before="40" w:after="40" w:line="240" w:lineRule="auto"/>
              <w:rPr>
                <w:rFonts w:ascii="Arial" w:hAnsi="Arial" w:cs="Arial"/>
                <w:b/>
                <w:bCs/>
                <w:sz w:val="16"/>
                <w:szCs w:val="16"/>
              </w:rPr>
            </w:pPr>
          </w:p>
        </w:tc>
        <w:tc>
          <w:tcPr>
            <w:tcW w:w="1025" w:type="dxa"/>
            <w:shd w:val="clear" w:color="auto" w:fill="D9D9D9" w:themeFill="background1" w:themeFillShade="D9"/>
            <w:noWrap/>
          </w:tcPr>
          <w:p w14:paraId="0E78D3A1" w14:textId="77777777" w:rsidR="00FD508F" w:rsidRPr="000665B0" w:rsidRDefault="00FD508F" w:rsidP="00114D78">
            <w:pPr>
              <w:spacing w:before="40" w:after="40" w:line="240" w:lineRule="auto"/>
              <w:rPr>
                <w:rFonts w:ascii="Arial" w:hAnsi="Arial" w:cs="Arial"/>
                <w:b/>
                <w:bCs/>
                <w:sz w:val="16"/>
                <w:szCs w:val="16"/>
              </w:rPr>
            </w:pPr>
          </w:p>
        </w:tc>
        <w:tc>
          <w:tcPr>
            <w:tcW w:w="461" w:type="dxa"/>
            <w:shd w:val="clear" w:color="auto" w:fill="D9D9D9" w:themeFill="background1" w:themeFillShade="D9"/>
          </w:tcPr>
          <w:p w14:paraId="4C5B7C76" w14:textId="77777777" w:rsidR="00FD508F" w:rsidRPr="000665B0" w:rsidRDefault="00FD508F" w:rsidP="00114D78">
            <w:pPr>
              <w:spacing w:before="40" w:after="40" w:line="240" w:lineRule="auto"/>
              <w:rPr>
                <w:rFonts w:ascii="Arial" w:hAnsi="Arial" w:cs="Arial"/>
                <w:b/>
                <w:bCs/>
                <w:sz w:val="16"/>
                <w:szCs w:val="16"/>
              </w:rPr>
            </w:pPr>
          </w:p>
        </w:tc>
        <w:tc>
          <w:tcPr>
            <w:tcW w:w="867" w:type="dxa"/>
            <w:shd w:val="clear" w:color="auto" w:fill="D9D9D9" w:themeFill="background1" w:themeFillShade="D9"/>
            <w:noWrap/>
          </w:tcPr>
          <w:p w14:paraId="0239B9A0" w14:textId="77777777" w:rsidR="00FD508F" w:rsidRPr="000665B0" w:rsidRDefault="00FD508F" w:rsidP="00114D78">
            <w:pPr>
              <w:spacing w:before="40" w:after="40" w:line="240" w:lineRule="auto"/>
              <w:rPr>
                <w:rFonts w:ascii="Arial" w:hAnsi="Arial" w:cs="Arial"/>
                <w:b/>
                <w:bCs/>
                <w:sz w:val="16"/>
                <w:szCs w:val="16"/>
              </w:rPr>
            </w:pPr>
          </w:p>
        </w:tc>
        <w:tc>
          <w:tcPr>
            <w:tcW w:w="619" w:type="dxa"/>
            <w:shd w:val="clear" w:color="auto" w:fill="D9D9D9" w:themeFill="background1" w:themeFillShade="D9"/>
          </w:tcPr>
          <w:p w14:paraId="7B92DE8D" w14:textId="77777777" w:rsidR="00FD508F" w:rsidRPr="000665B0" w:rsidRDefault="00FD508F" w:rsidP="00114D78">
            <w:pPr>
              <w:spacing w:before="40" w:after="40" w:line="240" w:lineRule="auto"/>
              <w:rPr>
                <w:rFonts w:ascii="Arial" w:hAnsi="Arial" w:cs="Arial"/>
                <w:b/>
                <w:bCs/>
                <w:sz w:val="16"/>
                <w:szCs w:val="16"/>
              </w:rPr>
            </w:pPr>
          </w:p>
        </w:tc>
        <w:tc>
          <w:tcPr>
            <w:tcW w:w="867" w:type="dxa"/>
            <w:shd w:val="clear" w:color="auto" w:fill="D9D9D9" w:themeFill="background1" w:themeFillShade="D9"/>
          </w:tcPr>
          <w:p w14:paraId="4F5E65D3" w14:textId="77777777" w:rsidR="00FD508F" w:rsidRPr="000665B0" w:rsidRDefault="00FD508F" w:rsidP="00114D78">
            <w:pPr>
              <w:spacing w:before="40" w:after="40" w:line="240" w:lineRule="auto"/>
              <w:rPr>
                <w:rFonts w:ascii="Arial" w:hAnsi="Arial" w:cs="Arial"/>
                <w:b/>
                <w:bCs/>
                <w:sz w:val="16"/>
                <w:szCs w:val="16"/>
              </w:rPr>
            </w:pPr>
          </w:p>
        </w:tc>
        <w:tc>
          <w:tcPr>
            <w:tcW w:w="944" w:type="dxa"/>
            <w:shd w:val="clear" w:color="auto" w:fill="D9D9D9" w:themeFill="background1" w:themeFillShade="D9"/>
          </w:tcPr>
          <w:p w14:paraId="73753CD2" w14:textId="77777777" w:rsidR="00FD508F" w:rsidRPr="000665B0" w:rsidRDefault="00FD508F" w:rsidP="00114D78">
            <w:pPr>
              <w:spacing w:before="40" w:after="40" w:line="240" w:lineRule="auto"/>
              <w:rPr>
                <w:rFonts w:ascii="Arial" w:hAnsi="Arial" w:cs="Arial"/>
                <w:b/>
                <w:bCs/>
                <w:sz w:val="16"/>
                <w:szCs w:val="16"/>
              </w:rPr>
            </w:pPr>
          </w:p>
        </w:tc>
      </w:tr>
      <w:tr w:rsidR="00891BBF" w:rsidRPr="000665B0" w14:paraId="627CF926" w14:textId="77777777" w:rsidTr="001F4B14">
        <w:trPr>
          <w:cantSplit/>
          <w:trHeight w:val="270"/>
        </w:trPr>
        <w:tc>
          <w:tcPr>
            <w:tcW w:w="1467" w:type="dxa"/>
            <w:noWrap/>
          </w:tcPr>
          <w:p w14:paraId="0A6CDE99" w14:textId="77777777" w:rsidR="00FD508F" w:rsidRPr="000665B0" w:rsidRDefault="00FD508F" w:rsidP="006546B1">
            <w:pPr>
              <w:spacing w:before="40" w:after="40" w:line="240" w:lineRule="auto"/>
              <w:rPr>
                <w:sz w:val="16"/>
                <w:szCs w:val="16"/>
              </w:rPr>
            </w:pPr>
            <w:r w:rsidRPr="000665B0">
              <w:rPr>
                <w:color w:val="000000"/>
                <w:sz w:val="16"/>
                <w:szCs w:val="16"/>
              </w:rPr>
              <w:t>ACMSs</w:t>
            </w:r>
          </w:p>
        </w:tc>
        <w:tc>
          <w:tcPr>
            <w:tcW w:w="1026" w:type="dxa"/>
            <w:noWrap/>
          </w:tcPr>
          <w:p w14:paraId="0DA44F74"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7388CDA2"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28A66DAE"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13CA7425"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76542164"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1491E920"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3CA92467"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00C8BEDB"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304E80EC"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6D3AEB83"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0869EB85"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26CFD28D" w14:textId="77777777" w:rsidTr="001F4B14">
        <w:trPr>
          <w:cantSplit/>
          <w:trHeight w:val="270"/>
        </w:trPr>
        <w:tc>
          <w:tcPr>
            <w:tcW w:w="1467" w:type="dxa"/>
            <w:noWrap/>
          </w:tcPr>
          <w:p w14:paraId="6F6F0A9B" w14:textId="77777777" w:rsidR="00FD508F" w:rsidRPr="000665B0" w:rsidRDefault="00FD508F" w:rsidP="006546B1">
            <w:pPr>
              <w:spacing w:before="40" w:after="40" w:line="240" w:lineRule="auto"/>
              <w:rPr>
                <w:sz w:val="16"/>
                <w:szCs w:val="16"/>
              </w:rPr>
            </w:pPr>
            <w:r w:rsidRPr="000665B0">
              <w:rPr>
                <w:color w:val="000000"/>
                <w:sz w:val="16"/>
                <w:szCs w:val="16"/>
              </w:rPr>
              <w:t>ACO</w:t>
            </w:r>
          </w:p>
        </w:tc>
        <w:tc>
          <w:tcPr>
            <w:tcW w:w="1026" w:type="dxa"/>
            <w:noWrap/>
          </w:tcPr>
          <w:p w14:paraId="11F6DA6B"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0" w:type="dxa"/>
          </w:tcPr>
          <w:p w14:paraId="4625E2F5"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022C8660"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012BCC86"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068CC646" w14:textId="77777777" w:rsidR="00FD508F" w:rsidRPr="000665B0" w:rsidRDefault="00FD508F" w:rsidP="006546B1">
            <w:pPr>
              <w:spacing w:before="40" w:after="40" w:line="240" w:lineRule="auto"/>
              <w:rPr>
                <w:sz w:val="16"/>
                <w:szCs w:val="16"/>
              </w:rPr>
            </w:pPr>
            <w:r w:rsidRPr="000665B0">
              <w:rPr>
                <w:color w:val="000000"/>
                <w:sz w:val="16"/>
                <w:szCs w:val="16"/>
              </w:rPr>
              <w:t>USMTF</w:t>
            </w:r>
          </w:p>
        </w:tc>
        <w:tc>
          <w:tcPr>
            <w:tcW w:w="1025" w:type="dxa"/>
            <w:noWrap/>
          </w:tcPr>
          <w:p w14:paraId="619F0D12"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2DC55ABC"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noWrap/>
          </w:tcPr>
          <w:p w14:paraId="56B385DF"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4023A849"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49F48ABD" w14:textId="77777777" w:rsidR="00FD508F" w:rsidRPr="000665B0" w:rsidRDefault="00FD508F" w:rsidP="006546B1">
            <w:pPr>
              <w:spacing w:before="40" w:after="40" w:line="240" w:lineRule="auto"/>
              <w:rPr>
                <w:color w:val="000000"/>
                <w:sz w:val="16"/>
                <w:szCs w:val="16"/>
              </w:rPr>
            </w:pPr>
            <w:r w:rsidRPr="000665B0">
              <w:rPr>
                <w:color w:val="000000"/>
                <w:sz w:val="16"/>
                <w:szCs w:val="16"/>
              </w:rPr>
              <w:t>USMTF</w:t>
            </w:r>
          </w:p>
        </w:tc>
        <w:tc>
          <w:tcPr>
            <w:tcW w:w="944" w:type="dxa"/>
          </w:tcPr>
          <w:p w14:paraId="457B5099"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Process</w:t>
            </w:r>
          </w:p>
        </w:tc>
      </w:tr>
      <w:tr w:rsidR="00891BBF" w:rsidRPr="000665B0" w14:paraId="4DC0B9C3" w14:textId="77777777" w:rsidTr="001F4B14">
        <w:trPr>
          <w:cantSplit/>
          <w:trHeight w:val="270"/>
        </w:trPr>
        <w:tc>
          <w:tcPr>
            <w:tcW w:w="1467" w:type="dxa"/>
            <w:noWrap/>
          </w:tcPr>
          <w:p w14:paraId="0DCD4451" w14:textId="77777777" w:rsidR="00FD508F" w:rsidRPr="000665B0" w:rsidRDefault="00FD508F" w:rsidP="006546B1">
            <w:pPr>
              <w:spacing w:before="40" w:after="40" w:line="240" w:lineRule="auto"/>
              <w:rPr>
                <w:sz w:val="16"/>
                <w:szCs w:val="16"/>
              </w:rPr>
            </w:pPr>
            <w:r w:rsidRPr="000665B0">
              <w:rPr>
                <w:color w:val="000000"/>
                <w:sz w:val="16"/>
                <w:szCs w:val="16"/>
              </w:rPr>
              <w:t>Aimpoint Update</w:t>
            </w:r>
          </w:p>
        </w:tc>
        <w:tc>
          <w:tcPr>
            <w:tcW w:w="1026" w:type="dxa"/>
            <w:noWrap/>
          </w:tcPr>
          <w:p w14:paraId="16C289C8"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0" w:type="dxa"/>
          </w:tcPr>
          <w:p w14:paraId="402C7388"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636AB712"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0FFE07C2"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4D57B982"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397490CF" w14:textId="77777777" w:rsidR="00FD508F" w:rsidRPr="000665B0" w:rsidRDefault="00FD508F" w:rsidP="006546B1">
            <w:pPr>
              <w:spacing w:before="40" w:after="40" w:line="240" w:lineRule="auto"/>
              <w:rPr>
                <w:sz w:val="16"/>
                <w:szCs w:val="16"/>
              </w:rPr>
            </w:pPr>
            <w:r w:rsidRPr="000665B0">
              <w:rPr>
                <w:color w:val="000000"/>
                <w:sz w:val="16"/>
                <w:szCs w:val="16"/>
              </w:rPr>
              <w:t>MDU</w:t>
            </w:r>
          </w:p>
        </w:tc>
        <w:tc>
          <w:tcPr>
            <w:tcW w:w="461" w:type="dxa"/>
          </w:tcPr>
          <w:p w14:paraId="47E43435"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4228682E"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233194CA"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2C1D8AE2"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0465BAED"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7B569471" w14:textId="77777777" w:rsidTr="001F4B14">
        <w:trPr>
          <w:cantSplit/>
          <w:trHeight w:val="270"/>
        </w:trPr>
        <w:tc>
          <w:tcPr>
            <w:tcW w:w="1467" w:type="dxa"/>
            <w:noWrap/>
          </w:tcPr>
          <w:p w14:paraId="75A3595C" w14:textId="77777777" w:rsidR="00FD508F" w:rsidRPr="000665B0" w:rsidRDefault="00FD508F" w:rsidP="006546B1">
            <w:pPr>
              <w:spacing w:before="40" w:after="40" w:line="240" w:lineRule="auto"/>
              <w:rPr>
                <w:sz w:val="16"/>
                <w:szCs w:val="16"/>
              </w:rPr>
            </w:pPr>
            <w:r w:rsidRPr="000665B0">
              <w:rPr>
                <w:color w:val="000000"/>
                <w:sz w:val="16"/>
                <w:szCs w:val="16"/>
              </w:rPr>
              <w:t>C2X</w:t>
            </w:r>
          </w:p>
        </w:tc>
        <w:tc>
          <w:tcPr>
            <w:tcW w:w="1026" w:type="dxa"/>
            <w:noWrap/>
          </w:tcPr>
          <w:p w14:paraId="16A8115D"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48AEE8D6"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720C349D"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594B677D"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0913BB8C"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550EA640"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2E0CCE87"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28BCC669"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6D1478D1"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2BFCE12F"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1F578358"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48C9F827" w14:textId="77777777" w:rsidTr="001F4B14">
        <w:trPr>
          <w:cantSplit/>
          <w:trHeight w:val="270"/>
        </w:trPr>
        <w:tc>
          <w:tcPr>
            <w:tcW w:w="1467" w:type="dxa"/>
            <w:noWrap/>
          </w:tcPr>
          <w:p w14:paraId="4389AC36" w14:textId="77777777" w:rsidR="00FD508F" w:rsidRPr="000665B0" w:rsidRDefault="00FD508F" w:rsidP="006546B1">
            <w:pPr>
              <w:spacing w:before="40" w:after="40" w:line="240" w:lineRule="auto"/>
              <w:rPr>
                <w:sz w:val="16"/>
                <w:szCs w:val="16"/>
              </w:rPr>
            </w:pPr>
            <w:r w:rsidRPr="000665B0">
              <w:rPr>
                <w:color w:val="000000"/>
                <w:sz w:val="16"/>
                <w:szCs w:val="16"/>
              </w:rPr>
              <w:t>Control Message</w:t>
            </w:r>
          </w:p>
        </w:tc>
        <w:tc>
          <w:tcPr>
            <w:tcW w:w="1026" w:type="dxa"/>
            <w:noWrap/>
          </w:tcPr>
          <w:p w14:paraId="13A06285"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0AF04610"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5FBC0948"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4BBCEA58"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206FA43C"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75FC4485"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69DDA164"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79F023F0"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0C9F9D4F"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4044BF37"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28686A7D"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Process</w:t>
            </w:r>
          </w:p>
        </w:tc>
      </w:tr>
      <w:tr w:rsidR="00891BBF" w:rsidRPr="000665B0" w14:paraId="14E4745A" w14:textId="77777777" w:rsidTr="001F4B14">
        <w:trPr>
          <w:cantSplit/>
          <w:trHeight w:val="270"/>
        </w:trPr>
        <w:tc>
          <w:tcPr>
            <w:tcW w:w="1467" w:type="dxa"/>
            <w:noWrap/>
          </w:tcPr>
          <w:p w14:paraId="0741D999" w14:textId="77777777" w:rsidR="00FD508F" w:rsidRPr="000665B0" w:rsidRDefault="00FD508F" w:rsidP="006546B1">
            <w:pPr>
              <w:spacing w:before="40" w:after="40" w:line="240" w:lineRule="auto"/>
              <w:rPr>
                <w:sz w:val="16"/>
                <w:szCs w:val="16"/>
              </w:rPr>
            </w:pPr>
            <w:r w:rsidRPr="000665B0">
              <w:rPr>
                <w:color w:val="000000"/>
                <w:sz w:val="16"/>
                <w:szCs w:val="16"/>
              </w:rPr>
              <w:t>Crypto</w:t>
            </w:r>
          </w:p>
        </w:tc>
        <w:tc>
          <w:tcPr>
            <w:tcW w:w="1026" w:type="dxa"/>
            <w:noWrap/>
          </w:tcPr>
          <w:p w14:paraId="04456581"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7553ABB3"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5940051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080FCD66"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450935A1"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0D5B4A8B"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02475CF0"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530E9D67"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72B9692C"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37E95334"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0D29BA80"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Replace</w:t>
            </w:r>
          </w:p>
        </w:tc>
      </w:tr>
      <w:tr w:rsidR="00891BBF" w:rsidRPr="000665B0" w14:paraId="5F025824" w14:textId="77777777" w:rsidTr="001F4B14">
        <w:trPr>
          <w:cantSplit/>
          <w:trHeight w:val="270"/>
        </w:trPr>
        <w:tc>
          <w:tcPr>
            <w:tcW w:w="1467" w:type="dxa"/>
            <w:noWrap/>
          </w:tcPr>
          <w:p w14:paraId="1B506ED9" w14:textId="77777777" w:rsidR="00FD508F" w:rsidRPr="000665B0" w:rsidRDefault="00FD508F" w:rsidP="006546B1">
            <w:pPr>
              <w:spacing w:before="40" w:after="40" w:line="240" w:lineRule="auto"/>
              <w:rPr>
                <w:sz w:val="16"/>
                <w:szCs w:val="16"/>
              </w:rPr>
            </w:pPr>
            <w:r w:rsidRPr="000665B0">
              <w:rPr>
                <w:color w:val="000000"/>
                <w:sz w:val="16"/>
                <w:szCs w:val="16"/>
              </w:rPr>
              <w:t>DDO Manifest</w:t>
            </w:r>
          </w:p>
        </w:tc>
        <w:tc>
          <w:tcPr>
            <w:tcW w:w="1026" w:type="dxa"/>
            <w:noWrap/>
          </w:tcPr>
          <w:p w14:paraId="77B93F9D"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18CA6080"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76" w:type="dxa"/>
            <w:noWrap/>
          </w:tcPr>
          <w:p w14:paraId="31F519DB"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22EDA653"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2376A708"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19F2A790"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0D1307FF"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67" w:type="dxa"/>
            <w:noWrap/>
          </w:tcPr>
          <w:p w14:paraId="15815E89"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1F1472EE"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02D349C3"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7EC17715"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7E93FB1A" w14:textId="77777777" w:rsidTr="001F4B14">
        <w:trPr>
          <w:cantSplit/>
          <w:trHeight w:val="270"/>
        </w:trPr>
        <w:tc>
          <w:tcPr>
            <w:tcW w:w="1467" w:type="dxa"/>
            <w:noWrap/>
          </w:tcPr>
          <w:p w14:paraId="77FC430D" w14:textId="77777777" w:rsidR="00FD508F" w:rsidRPr="000665B0" w:rsidRDefault="00FD508F" w:rsidP="006546B1">
            <w:pPr>
              <w:spacing w:before="40" w:after="40" w:line="240" w:lineRule="auto"/>
              <w:rPr>
                <w:sz w:val="16"/>
                <w:szCs w:val="16"/>
              </w:rPr>
            </w:pPr>
            <w:r w:rsidRPr="000665B0">
              <w:rPr>
                <w:color w:val="000000"/>
                <w:sz w:val="16"/>
                <w:szCs w:val="16"/>
              </w:rPr>
              <w:t>DSMACs</w:t>
            </w:r>
          </w:p>
        </w:tc>
        <w:tc>
          <w:tcPr>
            <w:tcW w:w="1026" w:type="dxa"/>
            <w:noWrap/>
          </w:tcPr>
          <w:p w14:paraId="23A55218" w14:textId="77777777" w:rsidR="00FD508F" w:rsidRPr="000665B0" w:rsidRDefault="00FD508F" w:rsidP="006546B1">
            <w:pPr>
              <w:spacing w:before="40" w:after="40" w:line="240" w:lineRule="auto"/>
              <w:rPr>
                <w:sz w:val="16"/>
                <w:szCs w:val="16"/>
              </w:rPr>
            </w:pPr>
            <w:r w:rsidRPr="000665B0">
              <w:rPr>
                <w:color w:val="000000"/>
                <w:sz w:val="16"/>
                <w:szCs w:val="16"/>
              </w:rPr>
              <w:t>MDU</w:t>
            </w:r>
          </w:p>
        </w:tc>
        <w:tc>
          <w:tcPr>
            <w:tcW w:w="460" w:type="dxa"/>
          </w:tcPr>
          <w:p w14:paraId="184B2CAD"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1BFDFB5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799FB767"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297EE16A"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039A5C34" w14:textId="77777777" w:rsidR="00FD508F" w:rsidRPr="000665B0" w:rsidRDefault="00FD508F" w:rsidP="006546B1">
            <w:pPr>
              <w:spacing w:before="40" w:after="40" w:line="240" w:lineRule="auto"/>
              <w:rPr>
                <w:sz w:val="16"/>
                <w:szCs w:val="16"/>
              </w:rPr>
            </w:pPr>
            <w:r w:rsidRPr="000665B0">
              <w:rPr>
                <w:color w:val="000000"/>
                <w:sz w:val="16"/>
                <w:szCs w:val="16"/>
              </w:rPr>
              <w:t>MDU</w:t>
            </w:r>
          </w:p>
        </w:tc>
        <w:tc>
          <w:tcPr>
            <w:tcW w:w="461" w:type="dxa"/>
          </w:tcPr>
          <w:p w14:paraId="53CFEF50"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44644376"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557CECE5"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330925D3"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00FCD56A"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2A1A7E60" w14:textId="77777777" w:rsidTr="001F4B14">
        <w:trPr>
          <w:cantSplit/>
          <w:trHeight w:val="270"/>
        </w:trPr>
        <w:tc>
          <w:tcPr>
            <w:tcW w:w="1467" w:type="dxa"/>
            <w:noWrap/>
          </w:tcPr>
          <w:p w14:paraId="0E150C1C" w14:textId="77777777" w:rsidR="00FD508F" w:rsidRPr="000665B0" w:rsidRDefault="00FD508F" w:rsidP="006546B1">
            <w:pPr>
              <w:spacing w:before="40" w:after="40" w:line="240" w:lineRule="auto"/>
              <w:rPr>
                <w:sz w:val="16"/>
                <w:szCs w:val="16"/>
              </w:rPr>
            </w:pPr>
            <w:r w:rsidRPr="000665B0">
              <w:rPr>
                <w:color w:val="000000"/>
                <w:sz w:val="16"/>
                <w:szCs w:val="16"/>
              </w:rPr>
              <w:t>Flight Software</w:t>
            </w:r>
          </w:p>
        </w:tc>
        <w:tc>
          <w:tcPr>
            <w:tcW w:w="1026" w:type="dxa"/>
            <w:noWrap/>
          </w:tcPr>
          <w:p w14:paraId="587E5055" w14:textId="77777777" w:rsidR="00FD508F" w:rsidRPr="000665B0" w:rsidRDefault="00FD508F" w:rsidP="006546B1">
            <w:pPr>
              <w:spacing w:before="40" w:after="40" w:line="240" w:lineRule="auto"/>
              <w:rPr>
                <w:sz w:val="16"/>
                <w:szCs w:val="16"/>
              </w:rPr>
            </w:pPr>
            <w:r w:rsidRPr="000665B0">
              <w:rPr>
                <w:color w:val="000000"/>
                <w:sz w:val="16"/>
                <w:szCs w:val="16"/>
              </w:rPr>
              <w:t>FDU</w:t>
            </w:r>
          </w:p>
        </w:tc>
        <w:tc>
          <w:tcPr>
            <w:tcW w:w="460" w:type="dxa"/>
          </w:tcPr>
          <w:p w14:paraId="00DCB5A2"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1E2D9B97"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56B6A10B"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2DCED624"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72F9FC64" w14:textId="77777777" w:rsidR="00FD508F" w:rsidRPr="000665B0" w:rsidRDefault="00FD508F" w:rsidP="006546B1">
            <w:pPr>
              <w:spacing w:before="40" w:after="40" w:line="240" w:lineRule="auto"/>
              <w:rPr>
                <w:sz w:val="16"/>
                <w:szCs w:val="16"/>
              </w:rPr>
            </w:pPr>
            <w:r w:rsidRPr="000665B0">
              <w:rPr>
                <w:color w:val="000000"/>
                <w:sz w:val="16"/>
                <w:szCs w:val="16"/>
              </w:rPr>
              <w:t>FDU</w:t>
            </w:r>
          </w:p>
        </w:tc>
        <w:tc>
          <w:tcPr>
            <w:tcW w:w="461" w:type="dxa"/>
          </w:tcPr>
          <w:p w14:paraId="7B5475F2"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454472B7"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6DF1BDCE"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4AE9E184"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097D61B8"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2C1F4AD1" w14:textId="77777777" w:rsidTr="001F4B14">
        <w:trPr>
          <w:cantSplit/>
          <w:trHeight w:val="270"/>
        </w:trPr>
        <w:tc>
          <w:tcPr>
            <w:tcW w:w="1467" w:type="dxa"/>
            <w:noWrap/>
          </w:tcPr>
          <w:p w14:paraId="556EFAFF" w14:textId="77777777" w:rsidR="00FD508F" w:rsidRPr="000665B0" w:rsidRDefault="00FD508F" w:rsidP="006546B1">
            <w:pPr>
              <w:spacing w:before="40" w:after="40" w:line="240" w:lineRule="auto"/>
              <w:rPr>
                <w:sz w:val="16"/>
                <w:szCs w:val="16"/>
              </w:rPr>
            </w:pPr>
            <w:r w:rsidRPr="000665B0">
              <w:rPr>
                <w:color w:val="000000"/>
                <w:sz w:val="16"/>
                <w:szCs w:val="16"/>
              </w:rPr>
              <w:t>Generic Files</w:t>
            </w:r>
          </w:p>
        </w:tc>
        <w:tc>
          <w:tcPr>
            <w:tcW w:w="1026" w:type="dxa"/>
            <w:noWrap/>
          </w:tcPr>
          <w:p w14:paraId="1D9FE57A" w14:textId="77777777" w:rsidR="00FD508F" w:rsidRPr="000665B0" w:rsidRDefault="00FD508F" w:rsidP="006546B1">
            <w:pPr>
              <w:spacing w:before="40" w:after="40" w:line="240" w:lineRule="auto"/>
              <w:rPr>
                <w:sz w:val="16"/>
                <w:szCs w:val="16"/>
              </w:rPr>
            </w:pPr>
            <w:r w:rsidRPr="000665B0">
              <w:rPr>
                <w:color w:val="000000"/>
                <w:sz w:val="16"/>
                <w:szCs w:val="16"/>
              </w:rPr>
              <w:t xml:space="preserve">X </w:t>
            </w:r>
          </w:p>
        </w:tc>
        <w:tc>
          <w:tcPr>
            <w:tcW w:w="460" w:type="dxa"/>
          </w:tcPr>
          <w:p w14:paraId="1A332ED2"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76" w:type="dxa"/>
            <w:noWrap/>
          </w:tcPr>
          <w:p w14:paraId="39B68018"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295CF110"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20646C6A"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479FEAEF" w14:textId="77777777" w:rsidR="00FD508F" w:rsidRPr="000665B0" w:rsidRDefault="00FD508F" w:rsidP="006546B1">
            <w:pPr>
              <w:spacing w:before="40" w:after="40" w:line="240" w:lineRule="auto"/>
              <w:rPr>
                <w:sz w:val="16"/>
                <w:szCs w:val="16"/>
              </w:rPr>
            </w:pPr>
            <w:r w:rsidRPr="000665B0">
              <w:rPr>
                <w:color w:val="000000"/>
                <w:sz w:val="16"/>
                <w:szCs w:val="16"/>
              </w:rPr>
              <w:t xml:space="preserve">X </w:t>
            </w:r>
          </w:p>
        </w:tc>
        <w:tc>
          <w:tcPr>
            <w:tcW w:w="461" w:type="dxa"/>
          </w:tcPr>
          <w:p w14:paraId="5D04B727"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4551890B"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6403474E"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093D1AA0"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08331E55"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r>
      <w:tr w:rsidR="00891BBF" w:rsidRPr="000665B0" w14:paraId="082CBED8" w14:textId="77777777" w:rsidTr="001F4B14">
        <w:trPr>
          <w:cantSplit/>
          <w:trHeight w:val="270"/>
        </w:trPr>
        <w:tc>
          <w:tcPr>
            <w:tcW w:w="1467" w:type="dxa"/>
            <w:noWrap/>
          </w:tcPr>
          <w:p w14:paraId="478606A5" w14:textId="6A7C59F7" w:rsidR="00FD508F" w:rsidRPr="000665B0" w:rsidRDefault="00FD508F" w:rsidP="00EE6021">
            <w:pPr>
              <w:spacing w:before="40" w:after="40" w:line="240" w:lineRule="auto"/>
              <w:rPr>
                <w:sz w:val="16"/>
                <w:szCs w:val="16"/>
              </w:rPr>
            </w:pPr>
            <w:r w:rsidRPr="000665B0">
              <w:rPr>
                <w:color w:val="000000"/>
                <w:sz w:val="16"/>
                <w:szCs w:val="16"/>
              </w:rPr>
              <w:t>GPS</w:t>
            </w:r>
          </w:p>
        </w:tc>
        <w:tc>
          <w:tcPr>
            <w:tcW w:w="1026" w:type="dxa"/>
            <w:noWrap/>
          </w:tcPr>
          <w:p w14:paraId="7BB9D628" w14:textId="77777777" w:rsidR="00FD508F" w:rsidRPr="000665B0" w:rsidRDefault="00FD508F" w:rsidP="006546B1">
            <w:pPr>
              <w:spacing w:before="40" w:after="40" w:line="240" w:lineRule="auto"/>
              <w:rPr>
                <w:sz w:val="16"/>
                <w:szCs w:val="16"/>
              </w:rPr>
            </w:pPr>
            <w:r w:rsidRPr="000665B0">
              <w:rPr>
                <w:color w:val="000000"/>
                <w:sz w:val="16"/>
                <w:szCs w:val="16"/>
              </w:rPr>
              <w:t>Binary</w:t>
            </w:r>
          </w:p>
        </w:tc>
        <w:tc>
          <w:tcPr>
            <w:tcW w:w="460" w:type="dxa"/>
          </w:tcPr>
          <w:p w14:paraId="2359C427"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79253B66"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2464A321"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7EB47599"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6C105CB9"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4AC22602"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466FA050"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4365EA2A"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73C743A4"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3E7ACD8F" w14:textId="77777777" w:rsidR="00FD508F" w:rsidRPr="000665B0" w:rsidRDefault="00FD508F" w:rsidP="006546B1">
            <w:pPr>
              <w:spacing w:before="40" w:after="40" w:line="240" w:lineRule="auto"/>
              <w:rPr>
                <w:color w:val="000000"/>
                <w:sz w:val="16"/>
                <w:szCs w:val="16"/>
              </w:rPr>
            </w:pPr>
            <w:r w:rsidRPr="000665B0">
              <w:rPr>
                <w:color w:val="000000"/>
                <w:sz w:val="16"/>
                <w:szCs w:val="16"/>
              </w:rPr>
              <w:t>Replace if Newer</w:t>
            </w:r>
          </w:p>
        </w:tc>
      </w:tr>
      <w:tr w:rsidR="00891BBF" w:rsidRPr="000665B0" w14:paraId="6A75C01C" w14:textId="77777777" w:rsidTr="001F4B14">
        <w:trPr>
          <w:cantSplit/>
          <w:trHeight w:val="270"/>
        </w:trPr>
        <w:tc>
          <w:tcPr>
            <w:tcW w:w="1467" w:type="dxa"/>
            <w:noWrap/>
          </w:tcPr>
          <w:p w14:paraId="36843E77" w14:textId="77777777" w:rsidR="00FD508F" w:rsidRPr="000665B0" w:rsidRDefault="00FD508F" w:rsidP="006546B1">
            <w:pPr>
              <w:spacing w:before="40" w:after="40" w:line="240" w:lineRule="auto"/>
              <w:rPr>
                <w:sz w:val="16"/>
                <w:szCs w:val="16"/>
              </w:rPr>
            </w:pPr>
            <w:r w:rsidRPr="000665B0">
              <w:rPr>
                <w:color w:val="000000"/>
                <w:sz w:val="16"/>
                <w:szCs w:val="16"/>
              </w:rPr>
              <w:t>JIPTL</w:t>
            </w:r>
          </w:p>
        </w:tc>
        <w:tc>
          <w:tcPr>
            <w:tcW w:w="1026" w:type="dxa"/>
            <w:noWrap/>
          </w:tcPr>
          <w:p w14:paraId="0A5D3A18" w14:textId="77777777" w:rsidR="00FD508F" w:rsidRPr="000665B0" w:rsidRDefault="00FD508F" w:rsidP="006546B1">
            <w:pPr>
              <w:spacing w:before="40" w:after="40" w:line="240" w:lineRule="auto"/>
              <w:rPr>
                <w:sz w:val="16"/>
                <w:szCs w:val="16"/>
              </w:rPr>
            </w:pPr>
            <w:r w:rsidRPr="000665B0">
              <w:rPr>
                <w:color w:val="000000"/>
                <w:sz w:val="16"/>
                <w:szCs w:val="16"/>
              </w:rPr>
              <w:t>Excel</w:t>
            </w:r>
          </w:p>
        </w:tc>
        <w:tc>
          <w:tcPr>
            <w:tcW w:w="460" w:type="dxa"/>
          </w:tcPr>
          <w:p w14:paraId="358A5C8C"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4E445289"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2E1F3E1E"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071057BC"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19027934"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0EF07252"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noWrap/>
          </w:tcPr>
          <w:p w14:paraId="7713BD3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4B4E8999"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784AFE0B"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7000D199"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6E444218" w14:textId="77777777" w:rsidTr="001F4B14">
        <w:trPr>
          <w:cantSplit/>
          <w:trHeight w:val="270"/>
        </w:trPr>
        <w:tc>
          <w:tcPr>
            <w:tcW w:w="1467" w:type="dxa"/>
            <w:noWrap/>
          </w:tcPr>
          <w:p w14:paraId="4257D0CE" w14:textId="77777777" w:rsidR="00FD508F" w:rsidRPr="000665B0" w:rsidRDefault="00FD508F" w:rsidP="006546B1">
            <w:pPr>
              <w:spacing w:before="40" w:after="40" w:line="240" w:lineRule="auto"/>
              <w:rPr>
                <w:sz w:val="16"/>
                <w:szCs w:val="16"/>
              </w:rPr>
            </w:pPr>
            <w:r w:rsidRPr="000665B0">
              <w:rPr>
                <w:color w:val="000000"/>
                <w:sz w:val="16"/>
                <w:szCs w:val="16"/>
              </w:rPr>
              <w:t>Launch Event Report</w:t>
            </w:r>
          </w:p>
        </w:tc>
        <w:tc>
          <w:tcPr>
            <w:tcW w:w="1026" w:type="dxa"/>
            <w:noWrap/>
          </w:tcPr>
          <w:p w14:paraId="3DF2587C" w14:textId="77777777" w:rsidR="00FD508F" w:rsidRPr="000665B0" w:rsidRDefault="00FD508F" w:rsidP="006546B1">
            <w:pPr>
              <w:spacing w:before="40" w:after="40" w:line="240" w:lineRule="auto"/>
              <w:rPr>
                <w:sz w:val="16"/>
                <w:szCs w:val="16"/>
              </w:rPr>
            </w:pPr>
            <w:r w:rsidRPr="000665B0">
              <w:rPr>
                <w:color w:val="000000"/>
                <w:sz w:val="16"/>
                <w:szCs w:val="16"/>
              </w:rPr>
              <w:t>Binary</w:t>
            </w:r>
          </w:p>
        </w:tc>
        <w:tc>
          <w:tcPr>
            <w:tcW w:w="460" w:type="dxa"/>
          </w:tcPr>
          <w:p w14:paraId="15396B3C"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0F2CE9C4"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4910C1CB"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1CA90D60"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1C72D892"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7CEB1175"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4B42214C" w14:textId="25DCF9E8" w:rsidR="00FD508F" w:rsidRPr="000665B0" w:rsidRDefault="00FD508F" w:rsidP="003605EB">
            <w:pPr>
              <w:spacing w:before="40" w:after="40" w:line="240" w:lineRule="auto"/>
              <w:rPr>
                <w:sz w:val="16"/>
                <w:szCs w:val="16"/>
              </w:rPr>
            </w:pPr>
            <w:r w:rsidRPr="000665B0">
              <w:rPr>
                <w:color w:val="000000"/>
                <w:sz w:val="16"/>
                <w:szCs w:val="16"/>
              </w:rPr>
              <w:t>FDU</w:t>
            </w:r>
            <w:r w:rsidR="00891BBF" w:rsidRPr="000665B0">
              <w:rPr>
                <w:color w:val="000000"/>
                <w:sz w:val="16"/>
                <w:szCs w:val="16"/>
              </w:rPr>
              <w:t xml:space="preserve"> </w:t>
            </w:r>
            <w:r w:rsidRPr="000665B0">
              <w:rPr>
                <w:color w:val="000000"/>
                <w:sz w:val="16"/>
                <w:szCs w:val="16"/>
              </w:rPr>
              <w:t>LER</w:t>
            </w:r>
          </w:p>
        </w:tc>
        <w:tc>
          <w:tcPr>
            <w:tcW w:w="619" w:type="dxa"/>
          </w:tcPr>
          <w:p w14:paraId="43044790"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67" w:type="dxa"/>
          </w:tcPr>
          <w:p w14:paraId="44E00B55"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621F8528"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Replace</w:t>
            </w:r>
          </w:p>
        </w:tc>
      </w:tr>
      <w:tr w:rsidR="00891BBF" w:rsidRPr="000665B0" w14:paraId="620397A7" w14:textId="77777777" w:rsidTr="001F4B14">
        <w:trPr>
          <w:cantSplit/>
          <w:trHeight w:val="270"/>
        </w:trPr>
        <w:tc>
          <w:tcPr>
            <w:tcW w:w="1467" w:type="dxa"/>
            <w:noWrap/>
          </w:tcPr>
          <w:p w14:paraId="4BA88881" w14:textId="77777777" w:rsidR="00FD508F" w:rsidRPr="000665B0" w:rsidRDefault="00FD508F" w:rsidP="006546B1">
            <w:pPr>
              <w:spacing w:before="40" w:after="40" w:line="240" w:lineRule="auto"/>
              <w:rPr>
                <w:sz w:val="16"/>
                <w:szCs w:val="16"/>
              </w:rPr>
            </w:pPr>
            <w:r w:rsidRPr="000665B0">
              <w:rPr>
                <w:color w:val="000000"/>
                <w:sz w:val="16"/>
                <w:szCs w:val="16"/>
              </w:rPr>
              <w:t>Library</w:t>
            </w:r>
          </w:p>
        </w:tc>
        <w:tc>
          <w:tcPr>
            <w:tcW w:w="1026" w:type="dxa"/>
            <w:noWrap/>
          </w:tcPr>
          <w:p w14:paraId="1B89AB63"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0B80A55F"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123C451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2D32F57F"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2CA184F3"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4B762BD4"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0F7C3DC8"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372A62EF"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702238AC"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4CEF024B"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0837DC1A"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3F97D2D4" w14:textId="77777777" w:rsidTr="001F4B14">
        <w:trPr>
          <w:cantSplit/>
          <w:trHeight w:val="270"/>
        </w:trPr>
        <w:tc>
          <w:tcPr>
            <w:tcW w:w="1467" w:type="dxa"/>
            <w:noWrap/>
          </w:tcPr>
          <w:p w14:paraId="3EDDC313" w14:textId="77777777" w:rsidR="00FD508F" w:rsidRPr="000665B0" w:rsidRDefault="00FD508F" w:rsidP="006546B1">
            <w:pPr>
              <w:spacing w:before="40" w:after="40" w:line="240" w:lineRule="auto"/>
              <w:rPr>
                <w:sz w:val="16"/>
                <w:szCs w:val="16"/>
              </w:rPr>
            </w:pPr>
            <w:r w:rsidRPr="000665B0">
              <w:rPr>
                <w:color w:val="000000"/>
                <w:sz w:val="16"/>
                <w:szCs w:val="16"/>
              </w:rPr>
              <w:t>LPMP Missions</w:t>
            </w:r>
          </w:p>
        </w:tc>
        <w:tc>
          <w:tcPr>
            <w:tcW w:w="1026" w:type="dxa"/>
            <w:noWrap/>
          </w:tcPr>
          <w:p w14:paraId="5C918ED6"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0" w:type="dxa"/>
          </w:tcPr>
          <w:p w14:paraId="572186E6"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76" w:type="dxa"/>
            <w:noWrap/>
          </w:tcPr>
          <w:p w14:paraId="2880AA1A"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6B0A69E8"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1891CA82"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2C1292F4"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5F9C572E"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noWrap/>
          </w:tcPr>
          <w:p w14:paraId="4AE41533" w14:textId="3F94398A" w:rsidR="00FD508F" w:rsidRPr="000665B0" w:rsidRDefault="00FD508F" w:rsidP="003605EB">
            <w:pPr>
              <w:spacing w:before="40" w:after="40" w:line="240" w:lineRule="auto"/>
              <w:rPr>
                <w:sz w:val="16"/>
                <w:szCs w:val="16"/>
              </w:rPr>
            </w:pPr>
            <w:r w:rsidRPr="000665B0">
              <w:rPr>
                <w:color w:val="000000"/>
                <w:sz w:val="16"/>
                <w:szCs w:val="16"/>
              </w:rPr>
              <w:t>FDU</w:t>
            </w:r>
            <w:r w:rsidR="00891BBF" w:rsidRPr="000665B0">
              <w:rPr>
                <w:color w:val="000000"/>
                <w:sz w:val="16"/>
                <w:szCs w:val="16"/>
              </w:rPr>
              <w:t xml:space="preserve"> </w:t>
            </w:r>
            <w:r w:rsidRPr="000665B0">
              <w:rPr>
                <w:color w:val="000000"/>
                <w:sz w:val="16"/>
                <w:szCs w:val="16"/>
              </w:rPr>
              <w:t>LPMP</w:t>
            </w:r>
          </w:p>
        </w:tc>
        <w:tc>
          <w:tcPr>
            <w:tcW w:w="619" w:type="dxa"/>
          </w:tcPr>
          <w:p w14:paraId="2B0E1AB9"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67" w:type="dxa"/>
          </w:tcPr>
          <w:p w14:paraId="2BF3DBDE"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45469390"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Replace</w:t>
            </w:r>
          </w:p>
        </w:tc>
      </w:tr>
      <w:tr w:rsidR="00891BBF" w:rsidRPr="000665B0" w14:paraId="7139DF34" w14:textId="77777777" w:rsidTr="001F4B14">
        <w:trPr>
          <w:cantSplit/>
          <w:trHeight w:val="270"/>
        </w:trPr>
        <w:tc>
          <w:tcPr>
            <w:tcW w:w="1467" w:type="dxa"/>
            <w:noWrap/>
          </w:tcPr>
          <w:p w14:paraId="3E7FEED9" w14:textId="77777777" w:rsidR="00FD508F" w:rsidRPr="000665B0" w:rsidRDefault="00FD508F" w:rsidP="006546B1">
            <w:pPr>
              <w:spacing w:before="40" w:after="40" w:line="240" w:lineRule="auto"/>
              <w:rPr>
                <w:sz w:val="16"/>
                <w:szCs w:val="16"/>
              </w:rPr>
            </w:pPr>
            <w:r w:rsidRPr="000665B0">
              <w:rPr>
                <w:color w:val="000000"/>
                <w:sz w:val="16"/>
                <w:szCs w:val="16"/>
              </w:rPr>
              <w:t>Missile Inventory</w:t>
            </w:r>
          </w:p>
        </w:tc>
        <w:tc>
          <w:tcPr>
            <w:tcW w:w="1026" w:type="dxa"/>
            <w:noWrap/>
          </w:tcPr>
          <w:p w14:paraId="4CFAE0E2"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4F922713"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4094D403"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28964445"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3F1FCDFB"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422DF5A4"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78357E26"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18E51AED" w14:textId="77777777" w:rsidR="00FD508F" w:rsidRPr="000665B0" w:rsidRDefault="00FD508F" w:rsidP="006546B1">
            <w:pPr>
              <w:spacing w:before="40" w:after="40" w:line="240" w:lineRule="auto"/>
              <w:rPr>
                <w:sz w:val="16"/>
                <w:szCs w:val="16"/>
              </w:rPr>
            </w:pPr>
            <w:r w:rsidRPr="000665B0">
              <w:rPr>
                <w:color w:val="000000"/>
                <w:sz w:val="16"/>
                <w:szCs w:val="16"/>
              </w:rPr>
              <w:t>FDU</w:t>
            </w:r>
            <w:r w:rsidRPr="000665B0">
              <w:rPr>
                <w:color w:val="000000"/>
                <w:sz w:val="16"/>
                <w:szCs w:val="16"/>
              </w:rPr>
              <w:br/>
            </w:r>
            <w:r w:rsidRPr="000665B0">
              <w:rPr>
                <w:color w:val="000000"/>
                <w:spacing w:val="-10"/>
                <w:sz w:val="16"/>
                <w:szCs w:val="16"/>
              </w:rPr>
              <w:t>MLOSRF-T</w:t>
            </w:r>
          </w:p>
        </w:tc>
        <w:tc>
          <w:tcPr>
            <w:tcW w:w="619" w:type="dxa"/>
          </w:tcPr>
          <w:p w14:paraId="2846C646"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tcPr>
          <w:p w14:paraId="6B5E6121"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1EC11B1D"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Replace</w:t>
            </w:r>
          </w:p>
        </w:tc>
      </w:tr>
      <w:tr w:rsidR="00D7559A" w:rsidRPr="000665B0" w14:paraId="02A43D6B" w14:textId="77777777" w:rsidTr="001F4B14">
        <w:trPr>
          <w:cantSplit/>
          <w:trHeight w:val="270"/>
        </w:trPr>
        <w:tc>
          <w:tcPr>
            <w:tcW w:w="1467" w:type="dxa"/>
            <w:tcBorders>
              <w:bottom w:val="single" w:sz="4" w:space="0" w:color="auto"/>
            </w:tcBorders>
            <w:noWrap/>
          </w:tcPr>
          <w:p w14:paraId="5B2950BA" w14:textId="73917DFA" w:rsidR="00D7559A" w:rsidRPr="000665B0" w:rsidRDefault="00D7559A" w:rsidP="00EE6021">
            <w:pPr>
              <w:spacing w:before="40" w:after="40" w:line="240" w:lineRule="auto"/>
              <w:rPr>
                <w:color w:val="000000"/>
                <w:sz w:val="16"/>
                <w:szCs w:val="16"/>
              </w:rPr>
            </w:pPr>
            <w:r w:rsidRPr="000665B0">
              <w:rPr>
                <w:color w:val="000000"/>
                <w:sz w:val="16"/>
                <w:szCs w:val="16"/>
              </w:rPr>
              <w:lastRenderedPageBreak/>
              <w:t>Missile</w:t>
            </w:r>
            <w:r w:rsidR="009651B0">
              <w:rPr>
                <w:color w:val="000000"/>
                <w:sz w:val="16"/>
                <w:szCs w:val="16"/>
              </w:rPr>
              <w:t xml:space="preserve"> </w:t>
            </w:r>
            <w:r w:rsidRPr="000665B0">
              <w:rPr>
                <w:color w:val="000000"/>
                <w:sz w:val="16"/>
                <w:szCs w:val="16"/>
              </w:rPr>
              <w:t>Status</w:t>
            </w:r>
          </w:p>
        </w:tc>
        <w:tc>
          <w:tcPr>
            <w:tcW w:w="1026" w:type="dxa"/>
            <w:tcBorders>
              <w:bottom w:val="single" w:sz="4" w:space="0" w:color="auto"/>
            </w:tcBorders>
            <w:noWrap/>
          </w:tcPr>
          <w:p w14:paraId="5B0ACC1B" w14:textId="77777777" w:rsidR="00D7559A" w:rsidRPr="000665B0" w:rsidRDefault="00D7559A" w:rsidP="00854964">
            <w:pPr>
              <w:spacing w:before="40" w:after="40" w:line="240" w:lineRule="auto"/>
              <w:rPr>
                <w:color w:val="000000"/>
                <w:sz w:val="16"/>
                <w:szCs w:val="16"/>
              </w:rPr>
            </w:pPr>
            <w:r w:rsidRPr="000665B0">
              <w:rPr>
                <w:color w:val="000000"/>
                <w:sz w:val="16"/>
                <w:szCs w:val="16"/>
              </w:rPr>
              <w:t>XML</w:t>
            </w:r>
          </w:p>
        </w:tc>
        <w:tc>
          <w:tcPr>
            <w:tcW w:w="460" w:type="dxa"/>
            <w:tcBorders>
              <w:bottom w:val="single" w:sz="4" w:space="0" w:color="auto"/>
            </w:tcBorders>
          </w:tcPr>
          <w:p w14:paraId="48450E29" w14:textId="77777777" w:rsidR="00D7559A" w:rsidRPr="000665B0" w:rsidRDefault="00D7559A" w:rsidP="00854964">
            <w:pPr>
              <w:spacing w:before="40" w:after="40" w:line="240" w:lineRule="auto"/>
              <w:rPr>
                <w:color w:val="000000"/>
                <w:sz w:val="16"/>
                <w:szCs w:val="16"/>
              </w:rPr>
            </w:pPr>
            <w:r w:rsidRPr="000665B0">
              <w:rPr>
                <w:color w:val="000000"/>
                <w:sz w:val="16"/>
                <w:szCs w:val="16"/>
              </w:rPr>
              <w:t>NA</w:t>
            </w:r>
          </w:p>
        </w:tc>
        <w:tc>
          <w:tcPr>
            <w:tcW w:w="876" w:type="dxa"/>
            <w:tcBorders>
              <w:bottom w:val="single" w:sz="4" w:space="0" w:color="auto"/>
            </w:tcBorders>
            <w:noWrap/>
          </w:tcPr>
          <w:p w14:paraId="1C3D1962" w14:textId="77777777" w:rsidR="00D7559A" w:rsidRPr="000665B0" w:rsidRDefault="00D7559A" w:rsidP="00854964">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6F0379F3" w14:textId="77777777" w:rsidR="00D7559A" w:rsidRPr="000665B0" w:rsidRDefault="00D7559A" w:rsidP="00854964">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736A45B4" w14:textId="77777777" w:rsidR="00D7559A" w:rsidRPr="000665B0" w:rsidRDefault="00D7559A" w:rsidP="00854964">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4F00EFEB" w14:textId="77777777" w:rsidR="00D7559A" w:rsidRPr="000665B0" w:rsidRDefault="00D7559A" w:rsidP="00854964">
            <w:pPr>
              <w:spacing w:before="40" w:after="40" w:line="240" w:lineRule="auto"/>
              <w:rPr>
                <w:color w:val="000000"/>
                <w:sz w:val="16"/>
                <w:szCs w:val="16"/>
              </w:rPr>
            </w:pPr>
            <w:r w:rsidRPr="000665B0">
              <w:rPr>
                <w:color w:val="000000"/>
                <w:sz w:val="16"/>
                <w:szCs w:val="16"/>
              </w:rPr>
              <w:t> </w:t>
            </w:r>
          </w:p>
        </w:tc>
        <w:tc>
          <w:tcPr>
            <w:tcW w:w="461" w:type="dxa"/>
            <w:tcBorders>
              <w:bottom w:val="single" w:sz="4" w:space="0" w:color="auto"/>
            </w:tcBorders>
          </w:tcPr>
          <w:p w14:paraId="7200E901" w14:textId="77777777" w:rsidR="00D7559A" w:rsidRPr="000665B0" w:rsidRDefault="00D7559A" w:rsidP="00854964">
            <w:pPr>
              <w:spacing w:before="40" w:after="40" w:line="240" w:lineRule="auto"/>
              <w:rPr>
                <w:color w:val="000000"/>
                <w:sz w:val="16"/>
                <w:szCs w:val="16"/>
              </w:rPr>
            </w:pPr>
            <w:r w:rsidRPr="000665B0">
              <w:rPr>
                <w:color w:val="000000"/>
                <w:sz w:val="16"/>
                <w:szCs w:val="16"/>
              </w:rPr>
              <w:t>X</w:t>
            </w:r>
          </w:p>
        </w:tc>
        <w:tc>
          <w:tcPr>
            <w:tcW w:w="867" w:type="dxa"/>
            <w:tcBorders>
              <w:bottom w:val="single" w:sz="4" w:space="0" w:color="auto"/>
            </w:tcBorders>
            <w:noWrap/>
          </w:tcPr>
          <w:p w14:paraId="27F7B504" w14:textId="77777777" w:rsidR="00D7559A" w:rsidRPr="000665B0" w:rsidRDefault="00D7559A" w:rsidP="00854964">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64E8126C" w14:textId="77777777" w:rsidR="00D7559A" w:rsidRPr="000665B0" w:rsidRDefault="00D7559A" w:rsidP="00854964">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3617AD60" w14:textId="77777777" w:rsidR="00D7559A" w:rsidRPr="000665B0" w:rsidRDefault="00D7559A" w:rsidP="00854964">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4563042E" w14:textId="77777777" w:rsidR="00D7559A" w:rsidRPr="000665B0" w:rsidRDefault="00D7559A" w:rsidP="00854964">
            <w:pPr>
              <w:spacing w:before="40" w:after="40" w:line="240" w:lineRule="auto"/>
              <w:rPr>
                <w:color w:val="000000"/>
                <w:sz w:val="16"/>
                <w:szCs w:val="16"/>
              </w:rPr>
            </w:pPr>
            <w:r w:rsidRPr="000665B0">
              <w:rPr>
                <w:color w:val="000000"/>
                <w:sz w:val="16"/>
                <w:szCs w:val="16"/>
              </w:rPr>
              <w:t>Always Drop</w:t>
            </w:r>
          </w:p>
        </w:tc>
      </w:tr>
      <w:tr w:rsidR="00891BBF" w:rsidRPr="000665B0" w14:paraId="744A7D2B" w14:textId="77777777" w:rsidTr="001F4B14">
        <w:trPr>
          <w:cantSplit/>
          <w:trHeight w:val="270"/>
        </w:trPr>
        <w:tc>
          <w:tcPr>
            <w:tcW w:w="1467" w:type="dxa"/>
            <w:noWrap/>
          </w:tcPr>
          <w:p w14:paraId="5434CC85" w14:textId="77777777" w:rsidR="00FD508F" w:rsidRPr="000665B0" w:rsidRDefault="00FD508F" w:rsidP="006546B1">
            <w:pPr>
              <w:spacing w:before="40" w:after="40" w:line="240" w:lineRule="auto"/>
              <w:rPr>
                <w:sz w:val="16"/>
                <w:szCs w:val="16"/>
              </w:rPr>
            </w:pPr>
            <w:r w:rsidRPr="000665B0">
              <w:rPr>
                <w:color w:val="000000"/>
                <w:sz w:val="16"/>
                <w:szCs w:val="16"/>
              </w:rPr>
              <w:t>Missions</w:t>
            </w:r>
          </w:p>
        </w:tc>
        <w:tc>
          <w:tcPr>
            <w:tcW w:w="1026" w:type="dxa"/>
            <w:noWrap/>
          </w:tcPr>
          <w:p w14:paraId="0896E343" w14:textId="77777777" w:rsidR="00FD508F" w:rsidRPr="000665B0" w:rsidRDefault="00FD508F" w:rsidP="006546B1">
            <w:pPr>
              <w:spacing w:before="40" w:after="40" w:line="240" w:lineRule="auto"/>
              <w:rPr>
                <w:sz w:val="16"/>
                <w:szCs w:val="16"/>
              </w:rPr>
            </w:pPr>
            <w:r w:rsidRPr="000665B0">
              <w:rPr>
                <w:color w:val="000000"/>
                <w:sz w:val="16"/>
                <w:szCs w:val="16"/>
              </w:rPr>
              <w:t>MDU</w:t>
            </w:r>
          </w:p>
        </w:tc>
        <w:tc>
          <w:tcPr>
            <w:tcW w:w="460" w:type="dxa"/>
          </w:tcPr>
          <w:p w14:paraId="1F9925C2"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28C32DF3"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62C692ED"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15FD21B0"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2B021BE1" w14:textId="77777777" w:rsidR="00FD508F" w:rsidRPr="000665B0" w:rsidRDefault="00FD508F" w:rsidP="006546B1">
            <w:pPr>
              <w:spacing w:before="40" w:after="40" w:line="240" w:lineRule="auto"/>
              <w:rPr>
                <w:sz w:val="16"/>
                <w:szCs w:val="16"/>
              </w:rPr>
            </w:pPr>
            <w:r w:rsidRPr="000665B0">
              <w:rPr>
                <w:color w:val="000000"/>
                <w:sz w:val="16"/>
                <w:szCs w:val="16"/>
              </w:rPr>
              <w:t>MDU</w:t>
            </w:r>
          </w:p>
        </w:tc>
        <w:tc>
          <w:tcPr>
            <w:tcW w:w="461" w:type="dxa"/>
          </w:tcPr>
          <w:p w14:paraId="0AF45065"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42044CB2"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39FF12B2"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0F8A9557"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528FDE28"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7E46EA" w:rsidRPr="000665B0" w14:paraId="569CD1E7" w14:textId="77777777" w:rsidTr="001F4B14">
        <w:trPr>
          <w:cantSplit/>
          <w:trHeight w:val="270"/>
        </w:trPr>
        <w:tc>
          <w:tcPr>
            <w:tcW w:w="1467" w:type="dxa"/>
            <w:noWrap/>
          </w:tcPr>
          <w:p w14:paraId="2395C130" w14:textId="2AFDA7B7" w:rsidR="007E46EA" w:rsidRPr="000665B0" w:rsidRDefault="007E46EA" w:rsidP="006546B1">
            <w:pPr>
              <w:spacing w:before="40" w:after="40" w:line="240" w:lineRule="auto"/>
              <w:rPr>
                <w:color w:val="000000"/>
                <w:sz w:val="16"/>
                <w:szCs w:val="16"/>
              </w:rPr>
            </w:pPr>
            <w:r w:rsidRPr="000665B0">
              <w:rPr>
                <w:color w:val="000000"/>
                <w:sz w:val="16"/>
                <w:szCs w:val="16"/>
              </w:rPr>
              <w:t>MTIF Data Files</w:t>
            </w:r>
          </w:p>
        </w:tc>
        <w:tc>
          <w:tcPr>
            <w:tcW w:w="1026" w:type="dxa"/>
            <w:noWrap/>
          </w:tcPr>
          <w:p w14:paraId="4321238E" w14:textId="0534890F" w:rsidR="007E46EA" w:rsidRPr="000665B0" w:rsidRDefault="007E46EA" w:rsidP="006546B1">
            <w:pPr>
              <w:spacing w:before="40" w:after="40" w:line="240" w:lineRule="auto"/>
              <w:rPr>
                <w:color w:val="000000"/>
                <w:sz w:val="16"/>
                <w:szCs w:val="16"/>
              </w:rPr>
            </w:pPr>
            <w:r w:rsidRPr="000665B0">
              <w:rPr>
                <w:color w:val="000000"/>
                <w:sz w:val="16"/>
                <w:szCs w:val="16"/>
              </w:rPr>
              <w:t>FDU</w:t>
            </w:r>
          </w:p>
        </w:tc>
        <w:tc>
          <w:tcPr>
            <w:tcW w:w="460" w:type="dxa"/>
          </w:tcPr>
          <w:p w14:paraId="695DE59C" w14:textId="4B7ABE71" w:rsidR="007E46EA" w:rsidRPr="000665B0" w:rsidRDefault="007E46EA" w:rsidP="006546B1">
            <w:pPr>
              <w:spacing w:before="40" w:after="40" w:line="240" w:lineRule="auto"/>
              <w:rPr>
                <w:color w:val="000000"/>
                <w:sz w:val="16"/>
                <w:szCs w:val="16"/>
              </w:rPr>
            </w:pPr>
            <w:r w:rsidRPr="000665B0">
              <w:rPr>
                <w:color w:val="000000"/>
                <w:sz w:val="16"/>
                <w:szCs w:val="16"/>
              </w:rPr>
              <w:t>X</w:t>
            </w:r>
          </w:p>
        </w:tc>
        <w:tc>
          <w:tcPr>
            <w:tcW w:w="876" w:type="dxa"/>
            <w:noWrap/>
          </w:tcPr>
          <w:p w14:paraId="523E8882" w14:textId="77777777" w:rsidR="007E46EA" w:rsidRPr="000665B0" w:rsidRDefault="007E46EA" w:rsidP="006546B1">
            <w:pPr>
              <w:spacing w:before="40" w:after="40" w:line="240" w:lineRule="auto"/>
              <w:rPr>
                <w:color w:val="000000"/>
                <w:sz w:val="16"/>
                <w:szCs w:val="16"/>
              </w:rPr>
            </w:pPr>
          </w:p>
        </w:tc>
        <w:tc>
          <w:tcPr>
            <w:tcW w:w="630" w:type="dxa"/>
          </w:tcPr>
          <w:p w14:paraId="4407C036" w14:textId="07B9EB73" w:rsidR="007E46EA" w:rsidRPr="000665B0" w:rsidRDefault="007E46EA" w:rsidP="006546B1">
            <w:pPr>
              <w:spacing w:before="40" w:after="40" w:line="240" w:lineRule="auto"/>
              <w:rPr>
                <w:color w:val="000000"/>
                <w:sz w:val="16"/>
                <w:szCs w:val="16"/>
              </w:rPr>
            </w:pPr>
            <w:r w:rsidRPr="000665B0">
              <w:rPr>
                <w:color w:val="000000"/>
                <w:sz w:val="16"/>
                <w:szCs w:val="16"/>
              </w:rPr>
              <w:t>NA</w:t>
            </w:r>
          </w:p>
        </w:tc>
        <w:tc>
          <w:tcPr>
            <w:tcW w:w="743" w:type="dxa"/>
          </w:tcPr>
          <w:p w14:paraId="7865C16A" w14:textId="77777777" w:rsidR="007E46EA" w:rsidRPr="000665B0" w:rsidRDefault="007E46EA" w:rsidP="006546B1">
            <w:pPr>
              <w:spacing w:before="40" w:after="40" w:line="240" w:lineRule="auto"/>
              <w:rPr>
                <w:color w:val="000000"/>
                <w:sz w:val="16"/>
                <w:szCs w:val="16"/>
              </w:rPr>
            </w:pPr>
          </w:p>
        </w:tc>
        <w:tc>
          <w:tcPr>
            <w:tcW w:w="1025" w:type="dxa"/>
            <w:noWrap/>
          </w:tcPr>
          <w:p w14:paraId="72B9EBA0" w14:textId="27E10447" w:rsidR="007E46EA" w:rsidRPr="000665B0" w:rsidRDefault="007E46EA" w:rsidP="006546B1">
            <w:pPr>
              <w:spacing w:before="40" w:after="40" w:line="240" w:lineRule="auto"/>
              <w:rPr>
                <w:color w:val="000000"/>
                <w:sz w:val="16"/>
                <w:szCs w:val="16"/>
              </w:rPr>
            </w:pPr>
            <w:r w:rsidRPr="000665B0">
              <w:rPr>
                <w:color w:val="000000"/>
                <w:sz w:val="16"/>
                <w:szCs w:val="16"/>
              </w:rPr>
              <w:t>FDU</w:t>
            </w:r>
          </w:p>
        </w:tc>
        <w:tc>
          <w:tcPr>
            <w:tcW w:w="461" w:type="dxa"/>
          </w:tcPr>
          <w:p w14:paraId="61915D86" w14:textId="7E6DF2D1" w:rsidR="007E46EA" w:rsidRPr="000665B0" w:rsidRDefault="007E46EA" w:rsidP="006546B1">
            <w:pPr>
              <w:spacing w:before="40" w:after="40" w:line="240" w:lineRule="auto"/>
              <w:rPr>
                <w:color w:val="000000"/>
                <w:sz w:val="16"/>
                <w:szCs w:val="16"/>
              </w:rPr>
            </w:pPr>
            <w:r w:rsidRPr="000665B0">
              <w:rPr>
                <w:color w:val="000000"/>
                <w:sz w:val="16"/>
                <w:szCs w:val="16"/>
              </w:rPr>
              <w:t>X</w:t>
            </w:r>
          </w:p>
        </w:tc>
        <w:tc>
          <w:tcPr>
            <w:tcW w:w="867" w:type="dxa"/>
            <w:noWrap/>
          </w:tcPr>
          <w:p w14:paraId="20BDB606" w14:textId="77777777" w:rsidR="007E46EA" w:rsidRPr="000665B0" w:rsidRDefault="007E46EA" w:rsidP="006546B1">
            <w:pPr>
              <w:spacing w:before="40" w:after="40" w:line="240" w:lineRule="auto"/>
              <w:rPr>
                <w:color w:val="000000"/>
                <w:sz w:val="16"/>
                <w:szCs w:val="16"/>
              </w:rPr>
            </w:pPr>
          </w:p>
        </w:tc>
        <w:tc>
          <w:tcPr>
            <w:tcW w:w="619" w:type="dxa"/>
          </w:tcPr>
          <w:p w14:paraId="28FCBD94" w14:textId="0E080C2F" w:rsidR="007E46EA" w:rsidRPr="000665B0" w:rsidRDefault="007E46EA" w:rsidP="006546B1">
            <w:pPr>
              <w:spacing w:before="40" w:after="40" w:line="240" w:lineRule="auto"/>
              <w:rPr>
                <w:color w:val="000000"/>
                <w:sz w:val="16"/>
                <w:szCs w:val="16"/>
              </w:rPr>
            </w:pPr>
            <w:r w:rsidRPr="000665B0">
              <w:rPr>
                <w:color w:val="000000"/>
                <w:sz w:val="16"/>
                <w:szCs w:val="16"/>
              </w:rPr>
              <w:t>NA</w:t>
            </w:r>
          </w:p>
        </w:tc>
        <w:tc>
          <w:tcPr>
            <w:tcW w:w="867" w:type="dxa"/>
          </w:tcPr>
          <w:p w14:paraId="03018F7E" w14:textId="77777777" w:rsidR="007E46EA" w:rsidRPr="000665B0" w:rsidRDefault="007E46EA" w:rsidP="006546B1">
            <w:pPr>
              <w:spacing w:before="40" w:after="40" w:line="240" w:lineRule="auto"/>
              <w:rPr>
                <w:color w:val="000000"/>
                <w:sz w:val="16"/>
                <w:szCs w:val="16"/>
              </w:rPr>
            </w:pPr>
          </w:p>
        </w:tc>
        <w:tc>
          <w:tcPr>
            <w:tcW w:w="944" w:type="dxa"/>
          </w:tcPr>
          <w:p w14:paraId="6DEA7524" w14:textId="77810083" w:rsidR="007E46EA" w:rsidRPr="000665B0" w:rsidRDefault="007E46EA" w:rsidP="006546B1">
            <w:pPr>
              <w:spacing w:before="40" w:after="40" w:line="240" w:lineRule="auto"/>
              <w:rPr>
                <w:color w:val="000000"/>
                <w:sz w:val="16"/>
                <w:szCs w:val="16"/>
              </w:rPr>
            </w:pPr>
            <w:r w:rsidRPr="000665B0">
              <w:rPr>
                <w:color w:val="000000"/>
                <w:sz w:val="16"/>
                <w:szCs w:val="16"/>
              </w:rPr>
              <w:t>Always Drop</w:t>
            </w:r>
          </w:p>
        </w:tc>
      </w:tr>
      <w:tr w:rsidR="00891BBF" w:rsidRPr="000665B0" w14:paraId="430366A4" w14:textId="77777777" w:rsidTr="001F4B14">
        <w:trPr>
          <w:cantSplit/>
          <w:trHeight w:val="270"/>
        </w:trPr>
        <w:tc>
          <w:tcPr>
            <w:tcW w:w="1467" w:type="dxa"/>
            <w:noWrap/>
          </w:tcPr>
          <w:p w14:paraId="6BB67AD9" w14:textId="77777777" w:rsidR="00FD508F" w:rsidRPr="000665B0" w:rsidRDefault="00FD508F" w:rsidP="006546B1">
            <w:pPr>
              <w:spacing w:before="40" w:after="40" w:line="240" w:lineRule="auto"/>
              <w:rPr>
                <w:sz w:val="16"/>
                <w:szCs w:val="16"/>
              </w:rPr>
            </w:pPr>
            <w:r w:rsidRPr="000665B0">
              <w:rPr>
                <w:color w:val="000000"/>
                <w:sz w:val="16"/>
                <w:szCs w:val="16"/>
              </w:rPr>
              <w:t xml:space="preserve">Node Inventory </w:t>
            </w:r>
          </w:p>
        </w:tc>
        <w:tc>
          <w:tcPr>
            <w:tcW w:w="1026" w:type="dxa"/>
            <w:noWrap/>
          </w:tcPr>
          <w:p w14:paraId="5293C979"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0AA4FD81"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231295DC"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1B0BD6BE"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1C4D2594"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56A750E4"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6BD72885"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356EA33D" w14:textId="527AFBA2" w:rsidR="00FD508F" w:rsidRPr="000665B0" w:rsidRDefault="00FD508F" w:rsidP="003605EB">
            <w:pPr>
              <w:spacing w:before="40" w:after="40" w:line="240" w:lineRule="auto"/>
              <w:rPr>
                <w:sz w:val="16"/>
                <w:szCs w:val="16"/>
              </w:rPr>
            </w:pPr>
            <w:r w:rsidRPr="000665B0">
              <w:rPr>
                <w:color w:val="000000"/>
                <w:sz w:val="16"/>
                <w:szCs w:val="16"/>
              </w:rPr>
              <w:t>FDU</w:t>
            </w:r>
            <w:r w:rsidR="00891BBF" w:rsidRPr="000665B0">
              <w:rPr>
                <w:color w:val="000000"/>
                <w:sz w:val="16"/>
                <w:szCs w:val="16"/>
              </w:rPr>
              <w:t xml:space="preserve"> </w:t>
            </w:r>
            <w:r w:rsidRPr="000665B0">
              <w:rPr>
                <w:color w:val="000000"/>
                <w:sz w:val="16"/>
                <w:szCs w:val="16"/>
              </w:rPr>
              <w:t>TAF</w:t>
            </w:r>
          </w:p>
        </w:tc>
        <w:tc>
          <w:tcPr>
            <w:tcW w:w="619" w:type="dxa"/>
          </w:tcPr>
          <w:p w14:paraId="7079208B"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tcPr>
          <w:p w14:paraId="64949D30"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345F31B9"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Replace</w:t>
            </w:r>
          </w:p>
        </w:tc>
      </w:tr>
      <w:tr w:rsidR="00891BBF" w:rsidRPr="000665B0" w14:paraId="528E77CD" w14:textId="77777777" w:rsidTr="001F4B14">
        <w:trPr>
          <w:cantSplit/>
          <w:trHeight w:val="270"/>
        </w:trPr>
        <w:tc>
          <w:tcPr>
            <w:tcW w:w="1467" w:type="dxa"/>
            <w:noWrap/>
          </w:tcPr>
          <w:p w14:paraId="748572A6" w14:textId="77777777" w:rsidR="00FD508F" w:rsidRPr="000665B0" w:rsidRDefault="00FD508F" w:rsidP="006546B1">
            <w:pPr>
              <w:spacing w:before="40" w:after="40" w:line="240" w:lineRule="auto"/>
              <w:rPr>
                <w:sz w:val="16"/>
                <w:szCs w:val="16"/>
              </w:rPr>
            </w:pPr>
            <w:r w:rsidRPr="000665B0">
              <w:rPr>
                <w:color w:val="000000"/>
                <w:sz w:val="16"/>
                <w:szCs w:val="16"/>
              </w:rPr>
              <w:t>OES Components</w:t>
            </w:r>
          </w:p>
        </w:tc>
        <w:tc>
          <w:tcPr>
            <w:tcW w:w="1026" w:type="dxa"/>
            <w:noWrap/>
          </w:tcPr>
          <w:p w14:paraId="3E8C38AD" w14:textId="77777777" w:rsidR="00FD508F" w:rsidRPr="000665B0" w:rsidRDefault="00FD508F" w:rsidP="006546B1">
            <w:pPr>
              <w:spacing w:before="40" w:after="40" w:line="240" w:lineRule="auto"/>
              <w:rPr>
                <w:sz w:val="16"/>
                <w:szCs w:val="16"/>
              </w:rPr>
            </w:pPr>
            <w:r w:rsidRPr="000665B0">
              <w:rPr>
                <w:color w:val="000000"/>
                <w:sz w:val="16"/>
                <w:szCs w:val="16"/>
              </w:rPr>
              <w:t>FDU</w:t>
            </w:r>
          </w:p>
        </w:tc>
        <w:tc>
          <w:tcPr>
            <w:tcW w:w="460" w:type="dxa"/>
          </w:tcPr>
          <w:p w14:paraId="24670DC1"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079A19C6"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3DDB8736"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0BF26487"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6D07594B" w14:textId="77777777" w:rsidR="00FD508F" w:rsidRPr="000665B0" w:rsidRDefault="00FD508F" w:rsidP="006546B1">
            <w:pPr>
              <w:spacing w:before="40" w:after="40" w:line="240" w:lineRule="auto"/>
              <w:rPr>
                <w:sz w:val="16"/>
                <w:szCs w:val="16"/>
              </w:rPr>
            </w:pPr>
            <w:r w:rsidRPr="000665B0">
              <w:rPr>
                <w:color w:val="000000"/>
                <w:sz w:val="16"/>
                <w:szCs w:val="16"/>
              </w:rPr>
              <w:t>FDU</w:t>
            </w:r>
          </w:p>
        </w:tc>
        <w:tc>
          <w:tcPr>
            <w:tcW w:w="461" w:type="dxa"/>
          </w:tcPr>
          <w:p w14:paraId="4DF992AC"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1D8D6D9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55B1B462"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52922C28"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4CB4E3A8"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6889D4A6" w14:textId="77777777" w:rsidTr="001F4B14">
        <w:trPr>
          <w:cantSplit/>
          <w:trHeight w:val="270"/>
        </w:trPr>
        <w:tc>
          <w:tcPr>
            <w:tcW w:w="1467" w:type="dxa"/>
            <w:noWrap/>
          </w:tcPr>
          <w:p w14:paraId="3E96D029" w14:textId="77777777" w:rsidR="00FD508F" w:rsidRPr="000665B0" w:rsidRDefault="00FD508F" w:rsidP="006546B1">
            <w:pPr>
              <w:spacing w:before="40" w:after="40" w:line="240" w:lineRule="auto"/>
              <w:rPr>
                <w:sz w:val="16"/>
                <w:szCs w:val="16"/>
              </w:rPr>
            </w:pPr>
            <w:r w:rsidRPr="000665B0">
              <w:rPr>
                <w:color w:val="000000"/>
                <w:sz w:val="16"/>
                <w:szCs w:val="16"/>
              </w:rPr>
              <w:t>Overlays</w:t>
            </w:r>
          </w:p>
        </w:tc>
        <w:tc>
          <w:tcPr>
            <w:tcW w:w="1026" w:type="dxa"/>
            <w:noWrap/>
          </w:tcPr>
          <w:p w14:paraId="3ABC82D2"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6CF38887"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33ED152F"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29527641"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43F92ECB" w14:textId="77777777" w:rsidR="00FD508F" w:rsidRPr="000665B0" w:rsidRDefault="00FD508F" w:rsidP="006546B1">
            <w:pPr>
              <w:spacing w:before="40" w:after="40" w:line="240" w:lineRule="auto"/>
              <w:rPr>
                <w:sz w:val="16"/>
                <w:szCs w:val="16"/>
              </w:rPr>
            </w:pPr>
            <w:r w:rsidRPr="000665B0">
              <w:rPr>
                <w:color w:val="000000"/>
                <w:sz w:val="16"/>
                <w:szCs w:val="16"/>
              </w:rPr>
              <w:t>OTH-GOLD</w:t>
            </w:r>
          </w:p>
        </w:tc>
        <w:tc>
          <w:tcPr>
            <w:tcW w:w="1025" w:type="dxa"/>
            <w:noWrap/>
          </w:tcPr>
          <w:p w14:paraId="4984F49E"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0CA92732"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5C3C32AC"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0C70D0D8"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77CA48DC" w14:textId="77777777" w:rsidR="00FD508F" w:rsidRPr="000665B0" w:rsidRDefault="00FD508F" w:rsidP="006546B1">
            <w:pPr>
              <w:spacing w:before="40" w:after="40" w:line="240" w:lineRule="auto"/>
              <w:rPr>
                <w:color w:val="000000"/>
                <w:sz w:val="16"/>
                <w:szCs w:val="16"/>
              </w:rPr>
            </w:pPr>
            <w:r w:rsidRPr="000665B0">
              <w:rPr>
                <w:color w:val="000000"/>
                <w:sz w:val="16"/>
                <w:szCs w:val="16"/>
              </w:rPr>
              <w:t>OTH-GOLD</w:t>
            </w:r>
          </w:p>
        </w:tc>
        <w:tc>
          <w:tcPr>
            <w:tcW w:w="944" w:type="dxa"/>
          </w:tcPr>
          <w:p w14:paraId="265A12A4"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062C06D1" w14:textId="77777777" w:rsidTr="001F4B14">
        <w:trPr>
          <w:cantSplit/>
          <w:trHeight w:val="270"/>
        </w:trPr>
        <w:tc>
          <w:tcPr>
            <w:tcW w:w="1467" w:type="dxa"/>
            <w:noWrap/>
          </w:tcPr>
          <w:p w14:paraId="0AAFD18E" w14:textId="77777777" w:rsidR="00FD508F" w:rsidRPr="000665B0" w:rsidRDefault="00FD508F" w:rsidP="006546B1">
            <w:pPr>
              <w:spacing w:before="40" w:after="40" w:line="240" w:lineRule="auto"/>
              <w:rPr>
                <w:sz w:val="16"/>
                <w:szCs w:val="16"/>
              </w:rPr>
            </w:pPr>
            <w:r w:rsidRPr="000665B0">
              <w:rPr>
                <w:color w:val="000000"/>
                <w:sz w:val="16"/>
                <w:szCs w:val="16"/>
              </w:rPr>
              <w:t>Overwater Routes</w:t>
            </w:r>
          </w:p>
        </w:tc>
        <w:tc>
          <w:tcPr>
            <w:tcW w:w="1026" w:type="dxa"/>
            <w:noWrap/>
          </w:tcPr>
          <w:p w14:paraId="1606E19F"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210A4A9C"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76" w:type="dxa"/>
            <w:noWrap/>
          </w:tcPr>
          <w:p w14:paraId="1329527A"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334DDA07"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2ADA0F5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0A8B03E1"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1220739B"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noWrap/>
          </w:tcPr>
          <w:p w14:paraId="4BE3BC61" w14:textId="531467BE" w:rsidR="00FD508F" w:rsidRPr="000665B0" w:rsidRDefault="00FD508F" w:rsidP="003605EB">
            <w:pPr>
              <w:spacing w:before="40" w:after="40" w:line="240" w:lineRule="auto"/>
              <w:rPr>
                <w:sz w:val="16"/>
                <w:szCs w:val="16"/>
              </w:rPr>
            </w:pPr>
            <w:r w:rsidRPr="000665B0">
              <w:rPr>
                <w:color w:val="000000"/>
                <w:sz w:val="16"/>
                <w:szCs w:val="16"/>
              </w:rPr>
              <w:t>FDU</w:t>
            </w:r>
            <w:r w:rsidR="00891BBF" w:rsidRPr="000665B0">
              <w:rPr>
                <w:color w:val="000000"/>
                <w:sz w:val="16"/>
                <w:szCs w:val="16"/>
              </w:rPr>
              <w:t xml:space="preserve"> </w:t>
            </w:r>
            <w:r w:rsidRPr="000665B0">
              <w:rPr>
                <w:color w:val="000000"/>
                <w:sz w:val="16"/>
                <w:szCs w:val="16"/>
              </w:rPr>
              <w:t>OWR</w:t>
            </w:r>
          </w:p>
        </w:tc>
        <w:tc>
          <w:tcPr>
            <w:tcW w:w="619" w:type="dxa"/>
          </w:tcPr>
          <w:p w14:paraId="7ABEA722"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67" w:type="dxa"/>
          </w:tcPr>
          <w:p w14:paraId="5304EDE0"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7F2694EB"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Replace</w:t>
            </w:r>
          </w:p>
        </w:tc>
      </w:tr>
      <w:tr w:rsidR="00891BBF" w:rsidRPr="000665B0" w14:paraId="3950637E" w14:textId="77777777" w:rsidTr="001F4B14">
        <w:trPr>
          <w:cantSplit/>
          <w:trHeight w:val="270"/>
        </w:trPr>
        <w:tc>
          <w:tcPr>
            <w:tcW w:w="1467" w:type="dxa"/>
            <w:noWrap/>
          </w:tcPr>
          <w:p w14:paraId="620E34C0" w14:textId="77777777" w:rsidR="00FD508F" w:rsidRPr="000665B0" w:rsidRDefault="00FD508F" w:rsidP="006546B1">
            <w:pPr>
              <w:spacing w:before="40" w:after="40" w:line="240" w:lineRule="auto"/>
              <w:rPr>
                <w:sz w:val="16"/>
                <w:szCs w:val="16"/>
              </w:rPr>
            </w:pPr>
            <w:r w:rsidRPr="000665B0">
              <w:rPr>
                <w:color w:val="000000"/>
                <w:sz w:val="16"/>
                <w:szCs w:val="16"/>
              </w:rPr>
              <w:t>PCTs (Individual)</w:t>
            </w:r>
          </w:p>
        </w:tc>
        <w:tc>
          <w:tcPr>
            <w:tcW w:w="1026" w:type="dxa"/>
            <w:noWrap/>
          </w:tcPr>
          <w:p w14:paraId="560A85C3"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0" w:type="dxa"/>
          </w:tcPr>
          <w:p w14:paraId="6CBA65C6"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76" w:type="dxa"/>
            <w:noWrap/>
          </w:tcPr>
          <w:p w14:paraId="2449DB9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4079A36B"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2FF0D74D"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45807C57"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6D2EE780"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noWrap/>
          </w:tcPr>
          <w:p w14:paraId="6D5BDEF8"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7885C35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67" w:type="dxa"/>
          </w:tcPr>
          <w:p w14:paraId="1C272DA9"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260F7035"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r>
      <w:tr w:rsidR="00891BBF" w:rsidRPr="000665B0" w14:paraId="7A4EC3A0" w14:textId="77777777" w:rsidTr="001F4B14">
        <w:trPr>
          <w:cantSplit/>
          <w:trHeight w:val="270"/>
        </w:trPr>
        <w:tc>
          <w:tcPr>
            <w:tcW w:w="1467" w:type="dxa"/>
            <w:noWrap/>
          </w:tcPr>
          <w:p w14:paraId="5C05A220" w14:textId="77777777" w:rsidR="00FD508F" w:rsidRPr="000665B0" w:rsidRDefault="00FD508F" w:rsidP="006546B1">
            <w:pPr>
              <w:spacing w:before="40" w:after="40" w:line="240" w:lineRule="auto"/>
              <w:rPr>
                <w:sz w:val="16"/>
                <w:szCs w:val="16"/>
              </w:rPr>
            </w:pPr>
            <w:r w:rsidRPr="000665B0">
              <w:rPr>
                <w:color w:val="000000"/>
                <w:sz w:val="16"/>
                <w:szCs w:val="16"/>
              </w:rPr>
              <w:t>Platform Information</w:t>
            </w:r>
          </w:p>
        </w:tc>
        <w:tc>
          <w:tcPr>
            <w:tcW w:w="1026" w:type="dxa"/>
            <w:noWrap/>
          </w:tcPr>
          <w:p w14:paraId="5F299F28"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5ACBB332"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33BF36B2"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49A21CEF"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481415A4"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458F0ABF"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1B9C16E2"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39D1C1C1"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3F02E7F9"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2E9F47F4"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2F9821A0"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Replace</w:t>
            </w:r>
          </w:p>
        </w:tc>
      </w:tr>
      <w:tr w:rsidR="00891BBF" w:rsidRPr="000665B0" w14:paraId="1FD2CAA7" w14:textId="77777777" w:rsidTr="001F4B14">
        <w:trPr>
          <w:cantSplit/>
          <w:trHeight w:val="270"/>
        </w:trPr>
        <w:tc>
          <w:tcPr>
            <w:tcW w:w="1467" w:type="dxa"/>
            <w:noWrap/>
          </w:tcPr>
          <w:p w14:paraId="3AB3BC6C" w14:textId="77777777" w:rsidR="00FD508F" w:rsidRPr="000665B0" w:rsidRDefault="00FD508F" w:rsidP="006546B1">
            <w:pPr>
              <w:spacing w:before="40" w:after="40" w:line="240" w:lineRule="auto"/>
              <w:rPr>
                <w:sz w:val="16"/>
                <w:szCs w:val="16"/>
              </w:rPr>
            </w:pPr>
            <w:r w:rsidRPr="000665B0">
              <w:rPr>
                <w:color w:val="000000"/>
                <w:sz w:val="16"/>
                <w:szCs w:val="16"/>
              </w:rPr>
              <w:t>Post Launch Report</w:t>
            </w:r>
          </w:p>
        </w:tc>
        <w:tc>
          <w:tcPr>
            <w:tcW w:w="1026" w:type="dxa"/>
            <w:noWrap/>
          </w:tcPr>
          <w:p w14:paraId="1C505946"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0" w:type="dxa"/>
          </w:tcPr>
          <w:p w14:paraId="517D8455"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61904853"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773384DF"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76BB9866"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15D265FC"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439F41CC"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176FB1FA" w14:textId="50DCC175" w:rsidR="00FD508F" w:rsidRPr="000665B0" w:rsidRDefault="00FD508F" w:rsidP="003605EB">
            <w:pPr>
              <w:spacing w:before="40" w:after="40" w:line="240" w:lineRule="auto"/>
              <w:rPr>
                <w:sz w:val="16"/>
                <w:szCs w:val="16"/>
              </w:rPr>
            </w:pPr>
            <w:r w:rsidRPr="000665B0">
              <w:rPr>
                <w:color w:val="000000"/>
                <w:sz w:val="16"/>
                <w:szCs w:val="16"/>
              </w:rPr>
              <w:t>FDU</w:t>
            </w:r>
            <w:r w:rsidR="00891BBF" w:rsidRPr="000665B0">
              <w:rPr>
                <w:color w:val="000000"/>
                <w:sz w:val="16"/>
                <w:szCs w:val="16"/>
              </w:rPr>
              <w:t xml:space="preserve"> </w:t>
            </w:r>
            <w:r w:rsidRPr="000665B0">
              <w:rPr>
                <w:color w:val="000000"/>
                <w:sz w:val="16"/>
                <w:szCs w:val="16"/>
              </w:rPr>
              <w:t>PLRO</w:t>
            </w:r>
          </w:p>
        </w:tc>
        <w:tc>
          <w:tcPr>
            <w:tcW w:w="619" w:type="dxa"/>
          </w:tcPr>
          <w:p w14:paraId="330B7978"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67" w:type="dxa"/>
          </w:tcPr>
          <w:p w14:paraId="0DE305F8"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5968AD72"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Replace</w:t>
            </w:r>
          </w:p>
        </w:tc>
      </w:tr>
      <w:tr w:rsidR="00891BBF" w:rsidRPr="000665B0" w14:paraId="630BBDD3" w14:textId="77777777" w:rsidTr="001F4B14">
        <w:trPr>
          <w:cantSplit/>
          <w:trHeight w:val="270"/>
        </w:trPr>
        <w:tc>
          <w:tcPr>
            <w:tcW w:w="1467" w:type="dxa"/>
            <w:noWrap/>
          </w:tcPr>
          <w:p w14:paraId="74B53325" w14:textId="77777777" w:rsidR="00FD508F" w:rsidRPr="000665B0" w:rsidRDefault="00FD508F" w:rsidP="006546B1">
            <w:pPr>
              <w:spacing w:before="40" w:after="40" w:line="240" w:lineRule="auto"/>
              <w:rPr>
                <w:sz w:val="16"/>
                <w:szCs w:val="16"/>
              </w:rPr>
            </w:pPr>
            <w:r w:rsidRPr="000665B0">
              <w:rPr>
                <w:color w:val="000000"/>
                <w:sz w:val="16"/>
                <w:szCs w:val="16"/>
              </w:rPr>
              <w:t>Queries</w:t>
            </w:r>
          </w:p>
        </w:tc>
        <w:tc>
          <w:tcPr>
            <w:tcW w:w="1026" w:type="dxa"/>
            <w:noWrap/>
          </w:tcPr>
          <w:p w14:paraId="66780168"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24DAF36F"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36CBDC14"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45C6BBD0"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1D565410"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13E3A4DC"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1F38447F"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759AC286"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4D257661"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555523B5"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3E47C98B"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6E7105AD" w14:textId="77777777" w:rsidTr="001F4B14">
        <w:trPr>
          <w:cantSplit/>
          <w:trHeight w:val="270"/>
        </w:trPr>
        <w:tc>
          <w:tcPr>
            <w:tcW w:w="1467" w:type="dxa"/>
            <w:noWrap/>
          </w:tcPr>
          <w:p w14:paraId="547E29CF" w14:textId="77777777" w:rsidR="00FD508F" w:rsidRPr="000665B0" w:rsidRDefault="00FD508F" w:rsidP="006546B1">
            <w:pPr>
              <w:spacing w:before="40" w:after="40" w:line="240" w:lineRule="auto"/>
              <w:rPr>
                <w:sz w:val="16"/>
                <w:szCs w:val="16"/>
              </w:rPr>
            </w:pPr>
            <w:r w:rsidRPr="000665B0">
              <w:rPr>
                <w:color w:val="000000"/>
                <w:sz w:val="16"/>
                <w:szCs w:val="16"/>
              </w:rPr>
              <w:t>Retarget Mission Data</w:t>
            </w:r>
          </w:p>
        </w:tc>
        <w:tc>
          <w:tcPr>
            <w:tcW w:w="1026" w:type="dxa"/>
            <w:noWrap/>
          </w:tcPr>
          <w:p w14:paraId="0716C218"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0" w:type="dxa"/>
          </w:tcPr>
          <w:p w14:paraId="0F20C8AC"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7944BA8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5CB4816B"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6994D28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0D5D26EA" w14:textId="77777777" w:rsidR="00FD508F" w:rsidRPr="000665B0" w:rsidRDefault="00FD508F" w:rsidP="006546B1">
            <w:pPr>
              <w:spacing w:before="40" w:after="40" w:line="240" w:lineRule="auto"/>
              <w:rPr>
                <w:sz w:val="16"/>
                <w:szCs w:val="16"/>
              </w:rPr>
            </w:pPr>
            <w:r w:rsidRPr="000665B0">
              <w:rPr>
                <w:color w:val="000000"/>
                <w:sz w:val="16"/>
                <w:szCs w:val="16"/>
              </w:rPr>
              <w:t>MDU</w:t>
            </w:r>
          </w:p>
        </w:tc>
        <w:tc>
          <w:tcPr>
            <w:tcW w:w="461" w:type="dxa"/>
          </w:tcPr>
          <w:p w14:paraId="49AA9661"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37B89E8C"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40A74291"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5F231E89"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61575552"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472AD17B" w14:textId="77777777" w:rsidTr="001F4B14">
        <w:trPr>
          <w:cantSplit/>
          <w:trHeight w:val="270"/>
        </w:trPr>
        <w:tc>
          <w:tcPr>
            <w:tcW w:w="1467" w:type="dxa"/>
            <w:noWrap/>
          </w:tcPr>
          <w:p w14:paraId="00F3A45B" w14:textId="77777777" w:rsidR="00FD508F" w:rsidRPr="000665B0" w:rsidRDefault="00FD508F" w:rsidP="006546B1">
            <w:pPr>
              <w:spacing w:before="40" w:after="40" w:line="240" w:lineRule="auto"/>
              <w:rPr>
                <w:sz w:val="16"/>
                <w:szCs w:val="16"/>
              </w:rPr>
            </w:pPr>
            <w:r w:rsidRPr="000665B0">
              <w:rPr>
                <w:color w:val="000000"/>
                <w:sz w:val="16"/>
                <w:szCs w:val="16"/>
              </w:rPr>
              <w:t>Scenario</w:t>
            </w:r>
          </w:p>
        </w:tc>
        <w:tc>
          <w:tcPr>
            <w:tcW w:w="1026" w:type="dxa"/>
            <w:noWrap/>
          </w:tcPr>
          <w:p w14:paraId="1DF4D6C1"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0" w:type="dxa"/>
          </w:tcPr>
          <w:p w14:paraId="54DF7D9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76" w:type="dxa"/>
            <w:noWrap/>
          </w:tcPr>
          <w:p w14:paraId="19225EEF"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56A0BC48"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1D5EE7D8"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5CF11AFD"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28A54DBA"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67" w:type="dxa"/>
            <w:noWrap/>
          </w:tcPr>
          <w:p w14:paraId="6A7EDDA2"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2009893D"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2651796C"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1EABFD8D"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0556D45B" w14:textId="77777777" w:rsidTr="001F4B14">
        <w:trPr>
          <w:cantSplit/>
          <w:trHeight w:val="270"/>
        </w:trPr>
        <w:tc>
          <w:tcPr>
            <w:tcW w:w="1467" w:type="dxa"/>
            <w:tcBorders>
              <w:bottom w:val="single" w:sz="4" w:space="0" w:color="auto"/>
            </w:tcBorders>
            <w:noWrap/>
          </w:tcPr>
          <w:p w14:paraId="50B32B8E" w14:textId="77777777" w:rsidR="00FD508F" w:rsidRPr="000665B0" w:rsidRDefault="00FD508F" w:rsidP="006546B1">
            <w:pPr>
              <w:spacing w:before="40" w:after="40" w:line="240" w:lineRule="auto"/>
              <w:rPr>
                <w:sz w:val="16"/>
                <w:szCs w:val="16"/>
              </w:rPr>
            </w:pPr>
            <w:r w:rsidRPr="000665B0">
              <w:rPr>
                <w:color w:val="000000"/>
                <w:sz w:val="16"/>
                <w:szCs w:val="16"/>
              </w:rPr>
              <w:t>Secondary Execution Message</w:t>
            </w:r>
          </w:p>
        </w:tc>
        <w:tc>
          <w:tcPr>
            <w:tcW w:w="1026" w:type="dxa"/>
            <w:tcBorders>
              <w:bottom w:val="single" w:sz="4" w:space="0" w:color="auto"/>
            </w:tcBorders>
            <w:noWrap/>
          </w:tcPr>
          <w:p w14:paraId="049AD88E"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0" w:type="dxa"/>
            <w:tcBorders>
              <w:bottom w:val="single" w:sz="4" w:space="0" w:color="auto"/>
            </w:tcBorders>
          </w:tcPr>
          <w:p w14:paraId="43727DA0"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tcBorders>
              <w:bottom w:val="single" w:sz="4" w:space="0" w:color="auto"/>
            </w:tcBorders>
            <w:noWrap/>
          </w:tcPr>
          <w:p w14:paraId="2F5C0705"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Borders>
              <w:bottom w:val="single" w:sz="4" w:space="0" w:color="auto"/>
            </w:tcBorders>
          </w:tcPr>
          <w:p w14:paraId="78862780"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Borders>
              <w:bottom w:val="single" w:sz="4" w:space="0" w:color="auto"/>
            </w:tcBorders>
          </w:tcPr>
          <w:p w14:paraId="113B1A97"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tcBorders>
              <w:bottom w:val="single" w:sz="4" w:space="0" w:color="auto"/>
            </w:tcBorders>
            <w:noWrap/>
          </w:tcPr>
          <w:p w14:paraId="2377CBE1"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Borders>
              <w:bottom w:val="single" w:sz="4" w:space="0" w:color="auto"/>
            </w:tcBorders>
          </w:tcPr>
          <w:p w14:paraId="45D540CE"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tcBorders>
              <w:bottom w:val="single" w:sz="4" w:space="0" w:color="auto"/>
            </w:tcBorders>
            <w:noWrap/>
          </w:tcPr>
          <w:p w14:paraId="7C54030D"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Borders>
              <w:bottom w:val="single" w:sz="4" w:space="0" w:color="auto"/>
            </w:tcBorders>
          </w:tcPr>
          <w:p w14:paraId="3E060BE0" w14:textId="77777777" w:rsidR="00FD508F" w:rsidRPr="000665B0" w:rsidRDefault="00FD508F" w:rsidP="006546B1">
            <w:pPr>
              <w:spacing w:before="40" w:after="40" w:line="240" w:lineRule="auto"/>
              <w:rPr>
                <w:sz w:val="16"/>
                <w:szCs w:val="16"/>
              </w:rPr>
            </w:pPr>
            <w:r w:rsidRPr="000665B0">
              <w:rPr>
                <w:color w:val="000000"/>
                <w:sz w:val="16"/>
                <w:szCs w:val="16"/>
              </w:rPr>
              <w:t>T</w:t>
            </w:r>
          </w:p>
        </w:tc>
        <w:tc>
          <w:tcPr>
            <w:tcW w:w="867" w:type="dxa"/>
            <w:tcBorders>
              <w:bottom w:val="single" w:sz="4" w:space="0" w:color="auto"/>
            </w:tcBorders>
          </w:tcPr>
          <w:p w14:paraId="526A2464"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4D02F3FB"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Process</w:t>
            </w:r>
          </w:p>
        </w:tc>
      </w:tr>
      <w:tr w:rsidR="00891BBF" w:rsidRPr="000665B0" w14:paraId="4E4DDB0F" w14:textId="77777777" w:rsidTr="001F4B14">
        <w:trPr>
          <w:cantSplit/>
          <w:trHeight w:val="270"/>
        </w:trPr>
        <w:tc>
          <w:tcPr>
            <w:tcW w:w="1467" w:type="dxa"/>
            <w:noWrap/>
          </w:tcPr>
          <w:p w14:paraId="6F1D574F" w14:textId="77777777" w:rsidR="00FD508F" w:rsidRPr="000665B0" w:rsidRDefault="00FD508F" w:rsidP="006546B1">
            <w:pPr>
              <w:spacing w:before="40" w:after="40" w:line="240" w:lineRule="auto"/>
              <w:rPr>
                <w:sz w:val="16"/>
                <w:szCs w:val="16"/>
              </w:rPr>
            </w:pPr>
            <w:r w:rsidRPr="000665B0">
              <w:rPr>
                <w:color w:val="000000"/>
                <w:sz w:val="16"/>
                <w:szCs w:val="16"/>
              </w:rPr>
              <w:t>Strike Deviation</w:t>
            </w:r>
          </w:p>
        </w:tc>
        <w:tc>
          <w:tcPr>
            <w:tcW w:w="1026" w:type="dxa"/>
            <w:noWrap/>
          </w:tcPr>
          <w:p w14:paraId="53AB7100"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0" w:type="dxa"/>
          </w:tcPr>
          <w:p w14:paraId="731AFE37"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659A94B8"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764834E0"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Pr>
          <w:p w14:paraId="1893321E"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61F66703"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44DACE2F"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2F9C8645" w14:textId="3FF692C0" w:rsidR="00FD508F" w:rsidRPr="000665B0" w:rsidRDefault="00FD508F" w:rsidP="003605EB">
            <w:pPr>
              <w:spacing w:before="40" w:after="40" w:line="240" w:lineRule="auto"/>
              <w:rPr>
                <w:sz w:val="16"/>
                <w:szCs w:val="16"/>
              </w:rPr>
            </w:pPr>
            <w:r w:rsidRPr="000665B0">
              <w:rPr>
                <w:color w:val="000000"/>
                <w:sz w:val="16"/>
                <w:szCs w:val="16"/>
              </w:rPr>
              <w:t>FDU</w:t>
            </w:r>
            <w:r w:rsidR="00891BBF" w:rsidRPr="000665B0">
              <w:rPr>
                <w:color w:val="000000"/>
                <w:sz w:val="16"/>
                <w:szCs w:val="16"/>
              </w:rPr>
              <w:t xml:space="preserve"> </w:t>
            </w:r>
            <w:r w:rsidRPr="000665B0">
              <w:rPr>
                <w:color w:val="000000"/>
                <w:sz w:val="16"/>
                <w:szCs w:val="16"/>
              </w:rPr>
              <w:t>SPEO</w:t>
            </w:r>
          </w:p>
        </w:tc>
        <w:tc>
          <w:tcPr>
            <w:tcW w:w="619" w:type="dxa"/>
          </w:tcPr>
          <w:p w14:paraId="22D7CF79"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67" w:type="dxa"/>
          </w:tcPr>
          <w:p w14:paraId="1C594C5D"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28D35418"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Replace</w:t>
            </w:r>
          </w:p>
        </w:tc>
      </w:tr>
      <w:tr w:rsidR="00891BBF" w:rsidRPr="000665B0" w14:paraId="25C20C80" w14:textId="77777777" w:rsidTr="001F4B14">
        <w:trPr>
          <w:cantSplit/>
          <w:trHeight w:val="270"/>
        </w:trPr>
        <w:tc>
          <w:tcPr>
            <w:tcW w:w="1467" w:type="dxa"/>
            <w:noWrap/>
          </w:tcPr>
          <w:p w14:paraId="1BD9AD16" w14:textId="2B1A161E" w:rsidR="00FD508F" w:rsidRPr="000665B0" w:rsidRDefault="00FD508F" w:rsidP="006546B1">
            <w:pPr>
              <w:spacing w:before="40" w:after="40" w:line="240" w:lineRule="auto"/>
              <w:rPr>
                <w:sz w:val="16"/>
                <w:szCs w:val="16"/>
              </w:rPr>
            </w:pPr>
            <w:r w:rsidRPr="000665B0">
              <w:rPr>
                <w:color w:val="000000"/>
                <w:sz w:val="16"/>
                <w:szCs w:val="16"/>
              </w:rPr>
              <w:t xml:space="preserve">Strike Execution </w:t>
            </w:r>
            <w:r w:rsidR="00E03E09" w:rsidRPr="000665B0">
              <w:rPr>
                <w:color w:val="000000"/>
                <w:sz w:val="16"/>
                <w:szCs w:val="16"/>
              </w:rPr>
              <w:br/>
            </w:r>
            <w:r w:rsidRPr="000665B0">
              <w:rPr>
                <w:color w:val="000000"/>
                <w:sz w:val="16"/>
                <w:szCs w:val="16"/>
              </w:rPr>
              <w:t>Folder</w:t>
            </w:r>
          </w:p>
        </w:tc>
        <w:tc>
          <w:tcPr>
            <w:tcW w:w="1026" w:type="dxa"/>
            <w:noWrap/>
          </w:tcPr>
          <w:p w14:paraId="08D1E848"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77C8C9FA"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363250BB"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434FD39A"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2A2BCE3B"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6D93669A"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4AD4127D"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647CB74D"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1F90EFBF"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70E2E37C"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4B3E07E7"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Replace</w:t>
            </w:r>
          </w:p>
        </w:tc>
      </w:tr>
      <w:tr w:rsidR="00891BBF" w:rsidRPr="000665B0" w14:paraId="06D8C8A1" w14:textId="77777777" w:rsidTr="001F4B14">
        <w:trPr>
          <w:cantSplit/>
          <w:trHeight w:val="270"/>
        </w:trPr>
        <w:tc>
          <w:tcPr>
            <w:tcW w:w="1467" w:type="dxa"/>
            <w:noWrap/>
          </w:tcPr>
          <w:p w14:paraId="20664D57" w14:textId="77777777" w:rsidR="00FD508F" w:rsidRPr="000665B0" w:rsidRDefault="00FD508F" w:rsidP="006546B1">
            <w:pPr>
              <w:spacing w:before="40" w:after="40" w:line="240" w:lineRule="auto"/>
              <w:rPr>
                <w:sz w:val="16"/>
                <w:szCs w:val="16"/>
              </w:rPr>
            </w:pPr>
            <w:r w:rsidRPr="000665B0">
              <w:rPr>
                <w:color w:val="000000"/>
                <w:sz w:val="16"/>
                <w:szCs w:val="16"/>
              </w:rPr>
              <w:t>Strike Folder</w:t>
            </w:r>
          </w:p>
        </w:tc>
        <w:tc>
          <w:tcPr>
            <w:tcW w:w="1026" w:type="dxa"/>
            <w:noWrap/>
          </w:tcPr>
          <w:p w14:paraId="0FB1B6FC"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2FC593C0"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31C8F472"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05568146"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66F0B334"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3B17C535"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19F54AA3"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2C493332"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0F3DC8D4"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0231A29B"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4537C04B" w14:textId="77777777" w:rsidR="00FD508F" w:rsidRPr="000665B0" w:rsidRDefault="00FD508F" w:rsidP="006546B1">
            <w:pPr>
              <w:spacing w:before="40" w:after="40" w:line="240" w:lineRule="auto"/>
              <w:rPr>
                <w:color w:val="000000"/>
                <w:sz w:val="16"/>
                <w:szCs w:val="16"/>
              </w:rPr>
            </w:pPr>
            <w:r w:rsidRPr="000665B0">
              <w:rPr>
                <w:color w:val="000000"/>
                <w:sz w:val="16"/>
                <w:szCs w:val="16"/>
              </w:rPr>
              <w:t>Replace if Newer and Some Other Conditions</w:t>
            </w:r>
          </w:p>
        </w:tc>
      </w:tr>
      <w:tr w:rsidR="00891BBF" w:rsidRPr="000665B0" w14:paraId="71745835" w14:textId="77777777" w:rsidTr="001F4B14">
        <w:trPr>
          <w:cantSplit/>
          <w:trHeight w:val="270"/>
        </w:trPr>
        <w:tc>
          <w:tcPr>
            <w:tcW w:w="1467" w:type="dxa"/>
            <w:noWrap/>
          </w:tcPr>
          <w:p w14:paraId="459588A0" w14:textId="22CF37F2" w:rsidR="00FD508F" w:rsidRPr="000665B0" w:rsidRDefault="00FD508F" w:rsidP="006546B1">
            <w:pPr>
              <w:spacing w:before="40" w:after="40" w:line="240" w:lineRule="auto"/>
              <w:rPr>
                <w:sz w:val="16"/>
                <w:szCs w:val="16"/>
              </w:rPr>
            </w:pPr>
            <w:r w:rsidRPr="000665B0">
              <w:rPr>
                <w:color w:val="000000"/>
                <w:sz w:val="16"/>
                <w:szCs w:val="16"/>
              </w:rPr>
              <w:t xml:space="preserve">Strike Option </w:t>
            </w:r>
            <w:r w:rsidR="00E03E09" w:rsidRPr="000665B0">
              <w:rPr>
                <w:color w:val="000000"/>
                <w:sz w:val="16"/>
                <w:szCs w:val="16"/>
              </w:rPr>
              <w:br/>
            </w:r>
            <w:r w:rsidRPr="000665B0">
              <w:rPr>
                <w:color w:val="000000"/>
                <w:sz w:val="16"/>
                <w:szCs w:val="16"/>
              </w:rPr>
              <w:t>Comments</w:t>
            </w:r>
          </w:p>
        </w:tc>
        <w:tc>
          <w:tcPr>
            <w:tcW w:w="1026" w:type="dxa"/>
            <w:noWrap/>
          </w:tcPr>
          <w:p w14:paraId="14A74E8D"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717D2454"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76" w:type="dxa"/>
            <w:noWrap/>
          </w:tcPr>
          <w:p w14:paraId="16CD11CA"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543027BB"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6F79ADF7"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2A13C389"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461" w:type="dxa"/>
          </w:tcPr>
          <w:p w14:paraId="53411A56"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867" w:type="dxa"/>
            <w:noWrap/>
          </w:tcPr>
          <w:p w14:paraId="1C1A0F88"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19" w:type="dxa"/>
          </w:tcPr>
          <w:p w14:paraId="2ED2A4BB"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867" w:type="dxa"/>
          </w:tcPr>
          <w:p w14:paraId="477D1114"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24051145"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r>
      <w:tr w:rsidR="00891BBF" w:rsidRPr="000665B0" w14:paraId="4CE30CBB" w14:textId="77777777" w:rsidTr="001F4B14">
        <w:trPr>
          <w:cantSplit/>
          <w:trHeight w:val="270"/>
        </w:trPr>
        <w:tc>
          <w:tcPr>
            <w:tcW w:w="1467" w:type="dxa"/>
            <w:noWrap/>
          </w:tcPr>
          <w:p w14:paraId="1768E8C9" w14:textId="77777777" w:rsidR="00FD508F" w:rsidRPr="000665B0" w:rsidRDefault="00FD508F" w:rsidP="006546B1">
            <w:pPr>
              <w:spacing w:before="40" w:after="40" w:line="240" w:lineRule="auto"/>
              <w:rPr>
                <w:sz w:val="16"/>
                <w:szCs w:val="16"/>
              </w:rPr>
            </w:pPr>
            <w:r w:rsidRPr="000665B0">
              <w:rPr>
                <w:color w:val="000000"/>
                <w:sz w:val="16"/>
                <w:szCs w:val="16"/>
              </w:rPr>
              <w:t>Strike Option/Package</w:t>
            </w:r>
          </w:p>
        </w:tc>
        <w:tc>
          <w:tcPr>
            <w:tcW w:w="1026" w:type="dxa"/>
            <w:noWrap/>
          </w:tcPr>
          <w:p w14:paraId="2EB7207E"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0" w:type="dxa"/>
          </w:tcPr>
          <w:p w14:paraId="42664176"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76" w:type="dxa"/>
            <w:noWrap/>
          </w:tcPr>
          <w:p w14:paraId="1EFA084E"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630" w:type="dxa"/>
          </w:tcPr>
          <w:p w14:paraId="791D56E6" w14:textId="77777777" w:rsidR="00FD508F" w:rsidRPr="000665B0" w:rsidRDefault="00FD508F" w:rsidP="006546B1">
            <w:pPr>
              <w:spacing w:before="40" w:after="40" w:line="240" w:lineRule="auto"/>
              <w:rPr>
                <w:sz w:val="16"/>
                <w:szCs w:val="16"/>
              </w:rPr>
            </w:pPr>
            <w:r w:rsidRPr="000665B0">
              <w:rPr>
                <w:color w:val="000000"/>
                <w:sz w:val="16"/>
                <w:szCs w:val="16"/>
              </w:rPr>
              <w:t>NA</w:t>
            </w:r>
          </w:p>
        </w:tc>
        <w:tc>
          <w:tcPr>
            <w:tcW w:w="743" w:type="dxa"/>
          </w:tcPr>
          <w:p w14:paraId="3B8E547D" w14:textId="77777777" w:rsidR="00FD508F" w:rsidRPr="000665B0" w:rsidRDefault="00FD508F" w:rsidP="006546B1">
            <w:pPr>
              <w:spacing w:before="40" w:after="40" w:line="240" w:lineRule="auto"/>
              <w:rPr>
                <w:sz w:val="16"/>
                <w:szCs w:val="16"/>
              </w:rPr>
            </w:pPr>
            <w:r w:rsidRPr="000665B0">
              <w:rPr>
                <w:color w:val="000000"/>
                <w:sz w:val="16"/>
                <w:szCs w:val="16"/>
              </w:rPr>
              <w:t> </w:t>
            </w:r>
          </w:p>
        </w:tc>
        <w:tc>
          <w:tcPr>
            <w:tcW w:w="1025" w:type="dxa"/>
            <w:noWrap/>
          </w:tcPr>
          <w:p w14:paraId="5E4C19D9" w14:textId="77777777" w:rsidR="00FD508F" w:rsidRPr="000665B0" w:rsidRDefault="00FD508F" w:rsidP="006546B1">
            <w:pPr>
              <w:spacing w:before="40" w:after="40" w:line="240" w:lineRule="auto"/>
              <w:rPr>
                <w:sz w:val="16"/>
                <w:szCs w:val="16"/>
              </w:rPr>
            </w:pPr>
            <w:r w:rsidRPr="000665B0">
              <w:rPr>
                <w:color w:val="000000"/>
                <w:sz w:val="16"/>
                <w:szCs w:val="16"/>
              </w:rPr>
              <w:t>XML</w:t>
            </w:r>
          </w:p>
        </w:tc>
        <w:tc>
          <w:tcPr>
            <w:tcW w:w="461" w:type="dxa"/>
          </w:tcPr>
          <w:p w14:paraId="28887CE4" w14:textId="77777777" w:rsidR="00FD508F" w:rsidRPr="000665B0" w:rsidRDefault="00FD508F" w:rsidP="006546B1">
            <w:pPr>
              <w:spacing w:before="40" w:after="40" w:line="240" w:lineRule="auto"/>
              <w:rPr>
                <w:sz w:val="16"/>
                <w:szCs w:val="16"/>
              </w:rPr>
            </w:pPr>
            <w:r w:rsidRPr="000665B0">
              <w:rPr>
                <w:color w:val="000000"/>
                <w:sz w:val="16"/>
                <w:szCs w:val="16"/>
              </w:rPr>
              <w:t>X</w:t>
            </w:r>
          </w:p>
        </w:tc>
        <w:tc>
          <w:tcPr>
            <w:tcW w:w="867" w:type="dxa"/>
            <w:noWrap/>
          </w:tcPr>
          <w:p w14:paraId="0B863B7A" w14:textId="7168A324" w:rsidR="00FD508F" w:rsidRPr="000665B0" w:rsidRDefault="00FD508F" w:rsidP="003605EB">
            <w:pPr>
              <w:spacing w:before="40" w:after="40" w:line="240" w:lineRule="auto"/>
              <w:rPr>
                <w:sz w:val="16"/>
                <w:szCs w:val="16"/>
              </w:rPr>
            </w:pPr>
            <w:r w:rsidRPr="000665B0">
              <w:rPr>
                <w:color w:val="000000"/>
                <w:sz w:val="16"/>
                <w:szCs w:val="16"/>
              </w:rPr>
              <w:t>FDU</w:t>
            </w:r>
            <w:r w:rsidR="00891BBF" w:rsidRPr="000665B0">
              <w:rPr>
                <w:color w:val="000000"/>
                <w:sz w:val="16"/>
                <w:szCs w:val="16"/>
              </w:rPr>
              <w:t xml:space="preserve"> </w:t>
            </w:r>
            <w:r w:rsidRPr="000665B0">
              <w:rPr>
                <w:color w:val="000000"/>
                <w:sz w:val="16"/>
                <w:szCs w:val="16"/>
              </w:rPr>
              <w:t>ESP</w:t>
            </w:r>
          </w:p>
        </w:tc>
        <w:tc>
          <w:tcPr>
            <w:tcW w:w="619" w:type="dxa"/>
          </w:tcPr>
          <w:p w14:paraId="37A466E7" w14:textId="77777777" w:rsidR="00FD508F" w:rsidRPr="000665B0" w:rsidRDefault="00FD508F" w:rsidP="006546B1">
            <w:pPr>
              <w:spacing w:before="40" w:after="40" w:line="240" w:lineRule="auto"/>
              <w:rPr>
                <w:sz w:val="16"/>
                <w:szCs w:val="16"/>
              </w:rPr>
            </w:pPr>
            <w:r w:rsidRPr="000665B0">
              <w:rPr>
                <w:color w:val="000000"/>
                <w:sz w:val="16"/>
                <w:szCs w:val="16"/>
              </w:rPr>
              <w:t>T</w:t>
            </w:r>
          </w:p>
        </w:tc>
        <w:tc>
          <w:tcPr>
            <w:tcW w:w="867" w:type="dxa"/>
          </w:tcPr>
          <w:p w14:paraId="4A76670A"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Pr>
          <w:p w14:paraId="3B5BD40F" w14:textId="77777777" w:rsidR="00FD508F" w:rsidRPr="000665B0" w:rsidRDefault="00FD508F" w:rsidP="006546B1">
            <w:pPr>
              <w:spacing w:before="40" w:after="40" w:line="240" w:lineRule="auto"/>
              <w:rPr>
                <w:color w:val="000000"/>
                <w:sz w:val="16"/>
                <w:szCs w:val="16"/>
              </w:rPr>
            </w:pPr>
            <w:r w:rsidRPr="000665B0">
              <w:rPr>
                <w:color w:val="000000"/>
                <w:sz w:val="16"/>
                <w:szCs w:val="16"/>
              </w:rPr>
              <w:t>Replace if Newer and Some Other Conditions</w:t>
            </w:r>
          </w:p>
        </w:tc>
      </w:tr>
      <w:tr w:rsidR="00891BBF" w:rsidRPr="000665B0" w14:paraId="4A2A571E" w14:textId="77777777" w:rsidTr="001F4B14">
        <w:trPr>
          <w:cantSplit/>
          <w:trHeight w:val="270"/>
        </w:trPr>
        <w:tc>
          <w:tcPr>
            <w:tcW w:w="1467" w:type="dxa"/>
            <w:tcBorders>
              <w:bottom w:val="single" w:sz="4" w:space="0" w:color="auto"/>
            </w:tcBorders>
            <w:noWrap/>
          </w:tcPr>
          <w:p w14:paraId="18167D4C" w14:textId="77777777" w:rsidR="00FD508F" w:rsidRPr="000665B0" w:rsidRDefault="00FD508F" w:rsidP="006546B1">
            <w:pPr>
              <w:spacing w:before="40" w:after="40" w:line="240" w:lineRule="auto"/>
              <w:rPr>
                <w:color w:val="000000"/>
                <w:sz w:val="16"/>
                <w:szCs w:val="16"/>
              </w:rPr>
            </w:pPr>
            <w:r w:rsidRPr="000665B0">
              <w:rPr>
                <w:color w:val="000000"/>
                <w:sz w:val="16"/>
                <w:szCs w:val="16"/>
              </w:rPr>
              <w:t>Target</w:t>
            </w:r>
          </w:p>
        </w:tc>
        <w:tc>
          <w:tcPr>
            <w:tcW w:w="1026" w:type="dxa"/>
            <w:tcBorders>
              <w:bottom w:val="single" w:sz="4" w:space="0" w:color="auto"/>
            </w:tcBorders>
            <w:noWrap/>
          </w:tcPr>
          <w:p w14:paraId="31D189D4" w14:textId="77777777" w:rsidR="00FD508F" w:rsidRPr="000665B0" w:rsidRDefault="00FD508F" w:rsidP="006546B1">
            <w:pPr>
              <w:spacing w:before="40" w:after="40" w:line="240" w:lineRule="auto"/>
              <w:rPr>
                <w:color w:val="000000"/>
                <w:sz w:val="16"/>
                <w:szCs w:val="16"/>
              </w:rPr>
            </w:pPr>
            <w:r w:rsidRPr="000665B0">
              <w:rPr>
                <w:color w:val="000000"/>
                <w:sz w:val="16"/>
                <w:szCs w:val="16"/>
              </w:rPr>
              <w:t>XML</w:t>
            </w:r>
          </w:p>
        </w:tc>
        <w:tc>
          <w:tcPr>
            <w:tcW w:w="460" w:type="dxa"/>
            <w:tcBorders>
              <w:bottom w:val="single" w:sz="4" w:space="0" w:color="auto"/>
            </w:tcBorders>
          </w:tcPr>
          <w:p w14:paraId="4EA14CDA"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76" w:type="dxa"/>
            <w:tcBorders>
              <w:bottom w:val="single" w:sz="4" w:space="0" w:color="auto"/>
            </w:tcBorders>
            <w:noWrap/>
          </w:tcPr>
          <w:p w14:paraId="4238A664"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125418A2"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459C4937"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17B193FB" w14:textId="77777777" w:rsidR="00FD508F" w:rsidRPr="000665B0" w:rsidRDefault="00FD508F" w:rsidP="006546B1">
            <w:pPr>
              <w:spacing w:before="40" w:after="40" w:line="240" w:lineRule="auto"/>
              <w:rPr>
                <w:color w:val="000000"/>
                <w:sz w:val="16"/>
                <w:szCs w:val="16"/>
              </w:rPr>
            </w:pPr>
            <w:r w:rsidRPr="000665B0">
              <w:rPr>
                <w:color w:val="000000"/>
                <w:sz w:val="16"/>
                <w:szCs w:val="16"/>
              </w:rPr>
              <w:t>XML</w:t>
            </w:r>
          </w:p>
        </w:tc>
        <w:tc>
          <w:tcPr>
            <w:tcW w:w="461" w:type="dxa"/>
            <w:tcBorders>
              <w:bottom w:val="single" w:sz="4" w:space="0" w:color="auto"/>
            </w:tcBorders>
          </w:tcPr>
          <w:p w14:paraId="1286C539"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67" w:type="dxa"/>
            <w:tcBorders>
              <w:bottom w:val="single" w:sz="4" w:space="0" w:color="auto"/>
            </w:tcBorders>
            <w:noWrap/>
          </w:tcPr>
          <w:p w14:paraId="231263C7"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138A8E9B"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0CAD23B6"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693FA859"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B01E19" w:rsidRPr="000665B0" w14:paraId="62CFF0B7" w14:textId="77777777" w:rsidTr="001F4B14">
        <w:trPr>
          <w:cantSplit/>
          <w:trHeight w:val="270"/>
        </w:trPr>
        <w:tc>
          <w:tcPr>
            <w:tcW w:w="1467" w:type="dxa"/>
            <w:tcBorders>
              <w:bottom w:val="single" w:sz="4" w:space="0" w:color="auto"/>
            </w:tcBorders>
            <w:noWrap/>
          </w:tcPr>
          <w:p w14:paraId="4B27A3FC" w14:textId="77777777" w:rsidR="00B01E19" w:rsidRPr="000665B0" w:rsidRDefault="00B01E19" w:rsidP="00182BD3">
            <w:pPr>
              <w:spacing w:before="40" w:after="40" w:line="240" w:lineRule="auto"/>
              <w:rPr>
                <w:sz w:val="16"/>
                <w:szCs w:val="16"/>
              </w:rPr>
            </w:pPr>
            <w:r w:rsidRPr="000665B0">
              <w:rPr>
                <w:color w:val="000000"/>
                <w:sz w:val="16"/>
                <w:szCs w:val="16"/>
              </w:rPr>
              <w:t>Task Organization</w:t>
            </w:r>
          </w:p>
        </w:tc>
        <w:tc>
          <w:tcPr>
            <w:tcW w:w="1026" w:type="dxa"/>
            <w:tcBorders>
              <w:bottom w:val="single" w:sz="4" w:space="0" w:color="auto"/>
            </w:tcBorders>
            <w:noWrap/>
          </w:tcPr>
          <w:p w14:paraId="4ACAE8B1" w14:textId="77777777" w:rsidR="00B01E19" w:rsidRPr="000665B0" w:rsidRDefault="00B01E19" w:rsidP="00182BD3">
            <w:pPr>
              <w:spacing w:before="40" w:after="40" w:line="240" w:lineRule="auto"/>
              <w:rPr>
                <w:sz w:val="16"/>
                <w:szCs w:val="16"/>
              </w:rPr>
            </w:pPr>
            <w:r w:rsidRPr="000665B0">
              <w:rPr>
                <w:color w:val="000000"/>
                <w:sz w:val="16"/>
                <w:szCs w:val="16"/>
              </w:rPr>
              <w:t>XML</w:t>
            </w:r>
          </w:p>
        </w:tc>
        <w:tc>
          <w:tcPr>
            <w:tcW w:w="460" w:type="dxa"/>
            <w:tcBorders>
              <w:bottom w:val="single" w:sz="4" w:space="0" w:color="auto"/>
            </w:tcBorders>
          </w:tcPr>
          <w:p w14:paraId="654DA896" w14:textId="77777777" w:rsidR="00B01E19" w:rsidRPr="000665B0" w:rsidRDefault="00B01E19" w:rsidP="00182BD3">
            <w:pPr>
              <w:spacing w:before="40" w:after="40" w:line="240" w:lineRule="auto"/>
              <w:rPr>
                <w:sz w:val="16"/>
                <w:szCs w:val="16"/>
              </w:rPr>
            </w:pPr>
            <w:r w:rsidRPr="000665B0">
              <w:rPr>
                <w:color w:val="000000"/>
                <w:sz w:val="16"/>
                <w:szCs w:val="16"/>
              </w:rPr>
              <w:t>X</w:t>
            </w:r>
          </w:p>
        </w:tc>
        <w:tc>
          <w:tcPr>
            <w:tcW w:w="876" w:type="dxa"/>
            <w:tcBorders>
              <w:bottom w:val="single" w:sz="4" w:space="0" w:color="auto"/>
            </w:tcBorders>
            <w:noWrap/>
          </w:tcPr>
          <w:p w14:paraId="6F497DF9" w14:textId="77777777" w:rsidR="00B01E19" w:rsidRPr="000665B0" w:rsidRDefault="00B01E19" w:rsidP="00182BD3">
            <w:pPr>
              <w:spacing w:before="40" w:after="40" w:line="240" w:lineRule="auto"/>
              <w:rPr>
                <w:sz w:val="16"/>
                <w:szCs w:val="16"/>
              </w:rPr>
            </w:pPr>
            <w:r w:rsidRPr="000665B0">
              <w:rPr>
                <w:color w:val="000000"/>
                <w:sz w:val="16"/>
                <w:szCs w:val="16"/>
              </w:rPr>
              <w:t> </w:t>
            </w:r>
          </w:p>
        </w:tc>
        <w:tc>
          <w:tcPr>
            <w:tcW w:w="630" w:type="dxa"/>
            <w:tcBorders>
              <w:bottom w:val="single" w:sz="4" w:space="0" w:color="auto"/>
            </w:tcBorders>
          </w:tcPr>
          <w:p w14:paraId="7172A07B" w14:textId="77777777" w:rsidR="00B01E19" w:rsidRPr="000665B0" w:rsidRDefault="00B01E19" w:rsidP="00182BD3">
            <w:pPr>
              <w:spacing w:before="40" w:after="40" w:line="240" w:lineRule="auto"/>
              <w:rPr>
                <w:sz w:val="16"/>
                <w:szCs w:val="16"/>
              </w:rPr>
            </w:pPr>
            <w:r w:rsidRPr="000665B0">
              <w:rPr>
                <w:color w:val="000000"/>
                <w:sz w:val="16"/>
                <w:szCs w:val="16"/>
              </w:rPr>
              <w:t>NA</w:t>
            </w:r>
          </w:p>
        </w:tc>
        <w:tc>
          <w:tcPr>
            <w:tcW w:w="743" w:type="dxa"/>
            <w:tcBorders>
              <w:bottom w:val="single" w:sz="4" w:space="0" w:color="auto"/>
            </w:tcBorders>
          </w:tcPr>
          <w:p w14:paraId="55838598" w14:textId="77777777" w:rsidR="00B01E19" w:rsidRPr="000665B0" w:rsidRDefault="00B01E19" w:rsidP="00182BD3">
            <w:pPr>
              <w:spacing w:before="40" w:after="40" w:line="240" w:lineRule="auto"/>
              <w:rPr>
                <w:sz w:val="16"/>
                <w:szCs w:val="16"/>
              </w:rPr>
            </w:pPr>
            <w:r w:rsidRPr="000665B0">
              <w:rPr>
                <w:color w:val="000000"/>
                <w:sz w:val="16"/>
                <w:szCs w:val="16"/>
              </w:rPr>
              <w:t> </w:t>
            </w:r>
          </w:p>
        </w:tc>
        <w:tc>
          <w:tcPr>
            <w:tcW w:w="1025" w:type="dxa"/>
            <w:tcBorders>
              <w:bottom w:val="single" w:sz="4" w:space="0" w:color="auto"/>
            </w:tcBorders>
            <w:noWrap/>
          </w:tcPr>
          <w:p w14:paraId="31A8FC40" w14:textId="77777777" w:rsidR="00B01E19" w:rsidRPr="000665B0" w:rsidRDefault="00B01E19" w:rsidP="00182BD3">
            <w:pPr>
              <w:spacing w:before="40" w:after="40" w:line="240" w:lineRule="auto"/>
              <w:rPr>
                <w:sz w:val="16"/>
                <w:szCs w:val="16"/>
              </w:rPr>
            </w:pPr>
            <w:r w:rsidRPr="000665B0">
              <w:rPr>
                <w:color w:val="000000"/>
                <w:sz w:val="16"/>
                <w:szCs w:val="16"/>
              </w:rPr>
              <w:t>XML</w:t>
            </w:r>
          </w:p>
        </w:tc>
        <w:tc>
          <w:tcPr>
            <w:tcW w:w="461" w:type="dxa"/>
            <w:tcBorders>
              <w:bottom w:val="single" w:sz="4" w:space="0" w:color="auto"/>
            </w:tcBorders>
          </w:tcPr>
          <w:p w14:paraId="3AE1E989" w14:textId="77777777" w:rsidR="00B01E19" w:rsidRPr="000665B0" w:rsidRDefault="00B01E19" w:rsidP="00182BD3">
            <w:pPr>
              <w:spacing w:before="40" w:after="40" w:line="240" w:lineRule="auto"/>
              <w:rPr>
                <w:sz w:val="16"/>
                <w:szCs w:val="16"/>
              </w:rPr>
            </w:pPr>
            <w:r w:rsidRPr="000665B0">
              <w:rPr>
                <w:color w:val="000000"/>
                <w:sz w:val="16"/>
                <w:szCs w:val="16"/>
              </w:rPr>
              <w:t>X</w:t>
            </w:r>
          </w:p>
        </w:tc>
        <w:tc>
          <w:tcPr>
            <w:tcW w:w="867" w:type="dxa"/>
            <w:tcBorders>
              <w:bottom w:val="single" w:sz="4" w:space="0" w:color="auto"/>
            </w:tcBorders>
            <w:noWrap/>
          </w:tcPr>
          <w:p w14:paraId="07C8EEC9" w14:textId="77777777" w:rsidR="00B01E19" w:rsidRPr="000665B0" w:rsidRDefault="00B01E19" w:rsidP="00182BD3">
            <w:pPr>
              <w:spacing w:before="40" w:after="40" w:line="240" w:lineRule="auto"/>
              <w:rPr>
                <w:sz w:val="16"/>
                <w:szCs w:val="16"/>
              </w:rPr>
            </w:pPr>
            <w:r w:rsidRPr="000665B0">
              <w:rPr>
                <w:color w:val="000000"/>
                <w:sz w:val="16"/>
                <w:szCs w:val="16"/>
              </w:rPr>
              <w:t> </w:t>
            </w:r>
          </w:p>
        </w:tc>
        <w:tc>
          <w:tcPr>
            <w:tcW w:w="619" w:type="dxa"/>
            <w:tcBorders>
              <w:bottom w:val="single" w:sz="4" w:space="0" w:color="auto"/>
            </w:tcBorders>
          </w:tcPr>
          <w:p w14:paraId="427D4978" w14:textId="77777777" w:rsidR="00B01E19" w:rsidRPr="000665B0" w:rsidRDefault="00B01E19" w:rsidP="00182BD3">
            <w:pPr>
              <w:spacing w:before="40" w:after="40" w:line="240" w:lineRule="auto"/>
              <w:rPr>
                <w:sz w:val="16"/>
                <w:szCs w:val="16"/>
              </w:rPr>
            </w:pPr>
            <w:r w:rsidRPr="000665B0">
              <w:rPr>
                <w:color w:val="000000"/>
                <w:sz w:val="16"/>
                <w:szCs w:val="16"/>
              </w:rPr>
              <w:t>NA</w:t>
            </w:r>
          </w:p>
        </w:tc>
        <w:tc>
          <w:tcPr>
            <w:tcW w:w="867" w:type="dxa"/>
            <w:tcBorders>
              <w:bottom w:val="single" w:sz="4" w:space="0" w:color="auto"/>
            </w:tcBorders>
          </w:tcPr>
          <w:p w14:paraId="5B786020" w14:textId="77777777" w:rsidR="00B01E19" w:rsidRPr="000665B0" w:rsidRDefault="00B01E19" w:rsidP="00182BD3">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340C9C2B" w14:textId="77777777" w:rsidR="00B01E19" w:rsidRPr="000665B0" w:rsidRDefault="00B01E19" w:rsidP="00182BD3">
            <w:pPr>
              <w:spacing w:before="40" w:after="40" w:line="240" w:lineRule="auto"/>
              <w:rPr>
                <w:color w:val="000000"/>
                <w:sz w:val="16"/>
                <w:szCs w:val="16"/>
              </w:rPr>
            </w:pPr>
            <w:r w:rsidRPr="000665B0">
              <w:rPr>
                <w:color w:val="000000"/>
                <w:sz w:val="16"/>
                <w:szCs w:val="16"/>
              </w:rPr>
              <w:t>Always Replace</w:t>
            </w:r>
          </w:p>
        </w:tc>
      </w:tr>
      <w:tr w:rsidR="00891BBF" w:rsidRPr="000665B0" w14:paraId="19BF8655" w14:textId="77777777" w:rsidTr="001F4B14">
        <w:trPr>
          <w:cantSplit/>
          <w:trHeight w:val="270"/>
        </w:trPr>
        <w:tc>
          <w:tcPr>
            <w:tcW w:w="1467" w:type="dxa"/>
            <w:tcBorders>
              <w:bottom w:val="single" w:sz="4" w:space="0" w:color="auto"/>
            </w:tcBorders>
            <w:noWrap/>
          </w:tcPr>
          <w:p w14:paraId="555CEC3E" w14:textId="77777777" w:rsidR="00FD508F" w:rsidRPr="000665B0" w:rsidRDefault="00FD508F" w:rsidP="006546B1">
            <w:pPr>
              <w:spacing w:before="40" w:after="40" w:line="240" w:lineRule="auto"/>
              <w:rPr>
                <w:color w:val="000000"/>
                <w:sz w:val="16"/>
                <w:szCs w:val="16"/>
              </w:rPr>
            </w:pPr>
            <w:r w:rsidRPr="000665B0">
              <w:rPr>
                <w:color w:val="000000"/>
                <w:sz w:val="16"/>
                <w:szCs w:val="16"/>
              </w:rPr>
              <w:t>Target Numbers List</w:t>
            </w:r>
          </w:p>
        </w:tc>
        <w:tc>
          <w:tcPr>
            <w:tcW w:w="1026" w:type="dxa"/>
            <w:tcBorders>
              <w:bottom w:val="single" w:sz="4" w:space="0" w:color="auto"/>
            </w:tcBorders>
            <w:noWrap/>
          </w:tcPr>
          <w:p w14:paraId="68DFF843" w14:textId="77777777" w:rsidR="00FD508F" w:rsidRPr="000665B0" w:rsidRDefault="00FD508F" w:rsidP="006546B1">
            <w:pPr>
              <w:spacing w:before="40" w:after="40" w:line="240" w:lineRule="auto"/>
              <w:rPr>
                <w:color w:val="000000"/>
                <w:sz w:val="16"/>
                <w:szCs w:val="16"/>
              </w:rPr>
            </w:pPr>
            <w:r w:rsidRPr="000665B0">
              <w:rPr>
                <w:color w:val="000000"/>
                <w:sz w:val="16"/>
                <w:szCs w:val="16"/>
              </w:rPr>
              <w:t>Excel</w:t>
            </w:r>
          </w:p>
        </w:tc>
        <w:tc>
          <w:tcPr>
            <w:tcW w:w="460" w:type="dxa"/>
            <w:tcBorders>
              <w:bottom w:val="single" w:sz="4" w:space="0" w:color="auto"/>
            </w:tcBorders>
          </w:tcPr>
          <w:p w14:paraId="73441833" w14:textId="77777777" w:rsidR="00FD508F" w:rsidRPr="000665B0" w:rsidRDefault="00FD508F" w:rsidP="006546B1">
            <w:pPr>
              <w:spacing w:before="40" w:after="40" w:line="240" w:lineRule="auto"/>
              <w:rPr>
                <w:color w:val="000000"/>
                <w:sz w:val="16"/>
                <w:szCs w:val="16"/>
              </w:rPr>
            </w:pPr>
            <w:r w:rsidRPr="000665B0">
              <w:rPr>
                <w:color w:val="000000"/>
                <w:sz w:val="16"/>
                <w:szCs w:val="16"/>
              </w:rPr>
              <w:t>NS</w:t>
            </w:r>
          </w:p>
        </w:tc>
        <w:tc>
          <w:tcPr>
            <w:tcW w:w="876" w:type="dxa"/>
            <w:tcBorders>
              <w:bottom w:val="single" w:sz="4" w:space="0" w:color="auto"/>
            </w:tcBorders>
            <w:noWrap/>
          </w:tcPr>
          <w:p w14:paraId="2E94361A"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06EC4456"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2692C282"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673CB06B"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461" w:type="dxa"/>
            <w:tcBorders>
              <w:bottom w:val="single" w:sz="4" w:space="0" w:color="auto"/>
            </w:tcBorders>
          </w:tcPr>
          <w:p w14:paraId="1E48E5BF" w14:textId="77777777" w:rsidR="00FD508F" w:rsidRPr="000665B0" w:rsidRDefault="00FD508F" w:rsidP="006546B1">
            <w:pPr>
              <w:spacing w:before="40" w:after="40" w:line="240" w:lineRule="auto"/>
              <w:rPr>
                <w:color w:val="000000"/>
                <w:sz w:val="16"/>
                <w:szCs w:val="16"/>
              </w:rPr>
            </w:pPr>
            <w:r w:rsidRPr="000665B0">
              <w:rPr>
                <w:color w:val="000000"/>
                <w:sz w:val="16"/>
                <w:szCs w:val="16"/>
              </w:rPr>
              <w:t>NS</w:t>
            </w:r>
          </w:p>
        </w:tc>
        <w:tc>
          <w:tcPr>
            <w:tcW w:w="867" w:type="dxa"/>
            <w:tcBorders>
              <w:bottom w:val="single" w:sz="4" w:space="0" w:color="auto"/>
            </w:tcBorders>
            <w:noWrap/>
          </w:tcPr>
          <w:p w14:paraId="0E396C01"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4BF11CBB"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6E947387"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5020EA0B"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Process</w:t>
            </w:r>
          </w:p>
        </w:tc>
      </w:tr>
      <w:tr w:rsidR="00891BBF" w:rsidRPr="000665B0" w14:paraId="4A0A428D" w14:textId="77777777" w:rsidTr="001F4B14">
        <w:trPr>
          <w:cantSplit/>
          <w:trHeight w:val="270"/>
        </w:trPr>
        <w:tc>
          <w:tcPr>
            <w:tcW w:w="1467" w:type="dxa"/>
            <w:tcBorders>
              <w:bottom w:val="single" w:sz="4" w:space="0" w:color="auto"/>
            </w:tcBorders>
            <w:noWrap/>
          </w:tcPr>
          <w:p w14:paraId="639138A7" w14:textId="62C6E72D" w:rsidR="00FD508F" w:rsidRPr="000665B0" w:rsidRDefault="00E75AC3" w:rsidP="006546B1">
            <w:pPr>
              <w:spacing w:before="40" w:after="40" w:line="240" w:lineRule="auto"/>
              <w:rPr>
                <w:color w:val="000000"/>
                <w:sz w:val="16"/>
                <w:szCs w:val="16"/>
              </w:rPr>
            </w:pPr>
            <w:r>
              <w:rPr>
                <w:color w:val="000000"/>
                <w:sz w:val="16"/>
                <w:szCs w:val="16"/>
              </w:rPr>
              <w:t>TAWS</w:t>
            </w:r>
          </w:p>
        </w:tc>
        <w:tc>
          <w:tcPr>
            <w:tcW w:w="1026" w:type="dxa"/>
            <w:tcBorders>
              <w:bottom w:val="single" w:sz="4" w:space="0" w:color="auto"/>
            </w:tcBorders>
            <w:noWrap/>
          </w:tcPr>
          <w:p w14:paraId="55374D56" w14:textId="77777777" w:rsidR="00FD508F" w:rsidRPr="000665B0" w:rsidRDefault="00FD508F" w:rsidP="006546B1">
            <w:pPr>
              <w:spacing w:before="40" w:after="40" w:line="240" w:lineRule="auto"/>
              <w:rPr>
                <w:color w:val="000000"/>
                <w:sz w:val="16"/>
                <w:szCs w:val="16"/>
              </w:rPr>
            </w:pPr>
            <w:r w:rsidRPr="000665B0">
              <w:rPr>
                <w:color w:val="000000"/>
                <w:sz w:val="16"/>
                <w:szCs w:val="16"/>
              </w:rPr>
              <w:t>XML</w:t>
            </w:r>
          </w:p>
        </w:tc>
        <w:tc>
          <w:tcPr>
            <w:tcW w:w="460" w:type="dxa"/>
            <w:tcBorders>
              <w:bottom w:val="single" w:sz="4" w:space="0" w:color="auto"/>
            </w:tcBorders>
          </w:tcPr>
          <w:p w14:paraId="459EC0F2"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76" w:type="dxa"/>
            <w:tcBorders>
              <w:bottom w:val="single" w:sz="4" w:space="0" w:color="auto"/>
            </w:tcBorders>
            <w:noWrap/>
          </w:tcPr>
          <w:p w14:paraId="646BFE82"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1E0F9F90"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7E865718"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02C838B8" w14:textId="77777777" w:rsidR="00FD508F" w:rsidRPr="000665B0" w:rsidRDefault="00FD508F" w:rsidP="006546B1">
            <w:pPr>
              <w:spacing w:before="40" w:after="40" w:line="240" w:lineRule="auto"/>
              <w:rPr>
                <w:color w:val="000000"/>
                <w:sz w:val="16"/>
                <w:szCs w:val="16"/>
              </w:rPr>
            </w:pPr>
            <w:r w:rsidRPr="000665B0">
              <w:rPr>
                <w:color w:val="000000"/>
                <w:sz w:val="16"/>
                <w:szCs w:val="16"/>
              </w:rPr>
              <w:t>XML</w:t>
            </w:r>
          </w:p>
        </w:tc>
        <w:tc>
          <w:tcPr>
            <w:tcW w:w="461" w:type="dxa"/>
            <w:tcBorders>
              <w:bottom w:val="single" w:sz="4" w:space="0" w:color="auto"/>
            </w:tcBorders>
          </w:tcPr>
          <w:p w14:paraId="5634AE34"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67" w:type="dxa"/>
            <w:tcBorders>
              <w:bottom w:val="single" w:sz="4" w:space="0" w:color="auto"/>
            </w:tcBorders>
            <w:noWrap/>
          </w:tcPr>
          <w:p w14:paraId="69852D14"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351F467C"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50448547"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6FB9E81B"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5DBEB378" w14:textId="77777777" w:rsidTr="001F4B14">
        <w:trPr>
          <w:cantSplit/>
          <w:trHeight w:val="270"/>
        </w:trPr>
        <w:tc>
          <w:tcPr>
            <w:tcW w:w="1467" w:type="dxa"/>
            <w:tcBorders>
              <w:bottom w:val="single" w:sz="4" w:space="0" w:color="auto"/>
            </w:tcBorders>
            <w:noWrap/>
          </w:tcPr>
          <w:p w14:paraId="06A8070C" w14:textId="77777777" w:rsidR="00FD508F" w:rsidRPr="000665B0" w:rsidRDefault="00FD508F" w:rsidP="006546B1">
            <w:pPr>
              <w:spacing w:before="40" w:after="40" w:line="240" w:lineRule="auto"/>
              <w:rPr>
                <w:color w:val="000000"/>
                <w:sz w:val="16"/>
                <w:szCs w:val="16"/>
              </w:rPr>
            </w:pPr>
            <w:r w:rsidRPr="000665B0">
              <w:rPr>
                <w:color w:val="000000"/>
                <w:sz w:val="16"/>
                <w:szCs w:val="16"/>
              </w:rPr>
              <w:t>TEF</w:t>
            </w:r>
          </w:p>
        </w:tc>
        <w:tc>
          <w:tcPr>
            <w:tcW w:w="1026" w:type="dxa"/>
            <w:tcBorders>
              <w:bottom w:val="single" w:sz="4" w:space="0" w:color="auto"/>
            </w:tcBorders>
            <w:noWrap/>
          </w:tcPr>
          <w:p w14:paraId="77231971" w14:textId="77777777" w:rsidR="00FD508F" w:rsidRPr="000665B0" w:rsidRDefault="00FD508F" w:rsidP="006546B1">
            <w:pPr>
              <w:spacing w:before="40" w:after="40" w:line="240" w:lineRule="auto"/>
              <w:rPr>
                <w:color w:val="000000"/>
                <w:sz w:val="16"/>
                <w:szCs w:val="16"/>
              </w:rPr>
            </w:pPr>
            <w:r w:rsidRPr="000665B0">
              <w:rPr>
                <w:color w:val="000000"/>
                <w:sz w:val="16"/>
                <w:szCs w:val="16"/>
              </w:rPr>
              <w:t>XML</w:t>
            </w:r>
          </w:p>
        </w:tc>
        <w:tc>
          <w:tcPr>
            <w:tcW w:w="460" w:type="dxa"/>
            <w:tcBorders>
              <w:bottom w:val="single" w:sz="4" w:space="0" w:color="auto"/>
            </w:tcBorders>
          </w:tcPr>
          <w:p w14:paraId="18940C33"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76" w:type="dxa"/>
            <w:tcBorders>
              <w:bottom w:val="single" w:sz="4" w:space="0" w:color="auto"/>
            </w:tcBorders>
            <w:noWrap/>
          </w:tcPr>
          <w:p w14:paraId="03D99932"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4DD6B841"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4726311E"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1F372C42" w14:textId="77777777" w:rsidR="00FD508F" w:rsidRPr="000665B0" w:rsidRDefault="00FD508F" w:rsidP="006546B1">
            <w:pPr>
              <w:spacing w:before="40" w:after="40" w:line="240" w:lineRule="auto"/>
              <w:rPr>
                <w:color w:val="000000"/>
                <w:sz w:val="16"/>
                <w:szCs w:val="16"/>
              </w:rPr>
            </w:pPr>
            <w:r w:rsidRPr="000665B0">
              <w:rPr>
                <w:color w:val="000000"/>
                <w:sz w:val="16"/>
                <w:szCs w:val="16"/>
              </w:rPr>
              <w:t>XML</w:t>
            </w:r>
          </w:p>
        </w:tc>
        <w:tc>
          <w:tcPr>
            <w:tcW w:w="461" w:type="dxa"/>
            <w:tcBorders>
              <w:bottom w:val="single" w:sz="4" w:space="0" w:color="auto"/>
            </w:tcBorders>
          </w:tcPr>
          <w:p w14:paraId="22A9AA15"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67" w:type="dxa"/>
            <w:tcBorders>
              <w:bottom w:val="single" w:sz="4" w:space="0" w:color="auto"/>
            </w:tcBorders>
            <w:noWrap/>
          </w:tcPr>
          <w:p w14:paraId="1D72E1EF"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5B525A1A"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13EF5D39"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60D81C33"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34C353D7" w14:textId="77777777" w:rsidTr="001F4B14">
        <w:trPr>
          <w:cantSplit/>
          <w:trHeight w:val="270"/>
        </w:trPr>
        <w:tc>
          <w:tcPr>
            <w:tcW w:w="1467" w:type="dxa"/>
            <w:tcBorders>
              <w:bottom w:val="single" w:sz="4" w:space="0" w:color="auto"/>
            </w:tcBorders>
            <w:noWrap/>
          </w:tcPr>
          <w:p w14:paraId="77F7EA24" w14:textId="77777777" w:rsidR="00FD508F" w:rsidRPr="000665B0" w:rsidRDefault="00FD508F" w:rsidP="006546B1">
            <w:pPr>
              <w:spacing w:before="40" w:after="40" w:line="240" w:lineRule="auto"/>
              <w:rPr>
                <w:color w:val="000000"/>
                <w:sz w:val="16"/>
                <w:szCs w:val="16"/>
              </w:rPr>
            </w:pPr>
            <w:r w:rsidRPr="000665B0">
              <w:rPr>
                <w:color w:val="000000"/>
                <w:sz w:val="16"/>
                <w:szCs w:val="16"/>
              </w:rPr>
              <w:lastRenderedPageBreak/>
              <w:t>TERCOMs</w:t>
            </w:r>
          </w:p>
        </w:tc>
        <w:tc>
          <w:tcPr>
            <w:tcW w:w="1026" w:type="dxa"/>
            <w:tcBorders>
              <w:bottom w:val="single" w:sz="4" w:space="0" w:color="auto"/>
            </w:tcBorders>
            <w:noWrap/>
          </w:tcPr>
          <w:p w14:paraId="7CDE6853" w14:textId="77777777" w:rsidR="00FD508F" w:rsidRPr="000665B0" w:rsidRDefault="00FD508F" w:rsidP="006546B1">
            <w:pPr>
              <w:spacing w:before="40" w:after="40" w:line="240" w:lineRule="auto"/>
              <w:rPr>
                <w:color w:val="000000"/>
                <w:sz w:val="16"/>
                <w:szCs w:val="16"/>
              </w:rPr>
            </w:pPr>
            <w:r w:rsidRPr="000665B0">
              <w:rPr>
                <w:color w:val="000000"/>
                <w:sz w:val="16"/>
                <w:szCs w:val="16"/>
              </w:rPr>
              <w:t>MDU</w:t>
            </w:r>
          </w:p>
        </w:tc>
        <w:tc>
          <w:tcPr>
            <w:tcW w:w="460" w:type="dxa"/>
            <w:tcBorders>
              <w:bottom w:val="single" w:sz="4" w:space="0" w:color="auto"/>
            </w:tcBorders>
          </w:tcPr>
          <w:p w14:paraId="7B554517"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76" w:type="dxa"/>
            <w:tcBorders>
              <w:bottom w:val="single" w:sz="4" w:space="0" w:color="auto"/>
            </w:tcBorders>
            <w:noWrap/>
          </w:tcPr>
          <w:p w14:paraId="24032CAF"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28D5F99C"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4B052DAA"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20B5B9DD" w14:textId="77777777" w:rsidR="00FD508F" w:rsidRPr="000665B0" w:rsidRDefault="00FD508F" w:rsidP="006546B1">
            <w:pPr>
              <w:spacing w:before="40" w:after="40" w:line="240" w:lineRule="auto"/>
              <w:rPr>
                <w:color w:val="000000"/>
                <w:sz w:val="16"/>
                <w:szCs w:val="16"/>
              </w:rPr>
            </w:pPr>
            <w:r w:rsidRPr="000665B0">
              <w:rPr>
                <w:color w:val="000000"/>
                <w:sz w:val="16"/>
                <w:szCs w:val="16"/>
              </w:rPr>
              <w:t>MDU</w:t>
            </w:r>
          </w:p>
        </w:tc>
        <w:tc>
          <w:tcPr>
            <w:tcW w:w="461" w:type="dxa"/>
            <w:tcBorders>
              <w:bottom w:val="single" w:sz="4" w:space="0" w:color="auto"/>
            </w:tcBorders>
          </w:tcPr>
          <w:p w14:paraId="76A8045C"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67" w:type="dxa"/>
            <w:tcBorders>
              <w:bottom w:val="single" w:sz="4" w:space="0" w:color="auto"/>
            </w:tcBorders>
            <w:noWrap/>
          </w:tcPr>
          <w:p w14:paraId="1E6F96A1"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39F26EAA"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59B2CB15"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3B25D0AD"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46CED9D4" w14:textId="77777777" w:rsidTr="001F4B14">
        <w:trPr>
          <w:cantSplit/>
          <w:trHeight w:val="270"/>
        </w:trPr>
        <w:tc>
          <w:tcPr>
            <w:tcW w:w="1467" w:type="dxa"/>
            <w:tcBorders>
              <w:bottom w:val="single" w:sz="4" w:space="0" w:color="auto"/>
            </w:tcBorders>
            <w:noWrap/>
          </w:tcPr>
          <w:p w14:paraId="44743486" w14:textId="77777777" w:rsidR="00FD508F" w:rsidRPr="000665B0" w:rsidRDefault="00FD508F" w:rsidP="006546B1">
            <w:pPr>
              <w:spacing w:before="40" w:after="40" w:line="240" w:lineRule="auto"/>
              <w:rPr>
                <w:color w:val="000000"/>
                <w:sz w:val="16"/>
                <w:szCs w:val="16"/>
              </w:rPr>
            </w:pPr>
            <w:r w:rsidRPr="000665B0">
              <w:rPr>
                <w:color w:val="000000"/>
                <w:sz w:val="16"/>
                <w:szCs w:val="16"/>
              </w:rPr>
              <w:t>Threat Report</w:t>
            </w:r>
          </w:p>
        </w:tc>
        <w:tc>
          <w:tcPr>
            <w:tcW w:w="1026" w:type="dxa"/>
            <w:tcBorders>
              <w:bottom w:val="single" w:sz="4" w:space="0" w:color="auto"/>
            </w:tcBorders>
            <w:noWrap/>
          </w:tcPr>
          <w:p w14:paraId="390FD538"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460" w:type="dxa"/>
            <w:tcBorders>
              <w:bottom w:val="single" w:sz="4" w:space="0" w:color="auto"/>
            </w:tcBorders>
          </w:tcPr>
          <w:p w14:paraId="2F738555"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876" w:type="dxa"/>
            <w:tcBorders>
              <w:bottom w:val="single" w:sz="4" w:space="0" w:color="auto"/>
            </w:tcBorders>
            <w:noWrap/>
          </w:tcPr>
          <w:p w14:paraId="064E8780"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0DB0F991"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07E7CE8D"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62EBB2CA"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461" w:type="dxa"/>
            <w:tcBorders>
              <w:bottom w:val="single" w:sz="4" w:space="0" w:color="auto"/>
            </w:tcBorders>
          </w:tcPr>
          <w:p w14:paraId="0736D8BC"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867" w:type="dxa"/>
            <w:tcBorders>
              <w:bottom w:val="single" w:sz="4" w:space="0" w:color="auto"/>
            </w:tcBorders>
            <w:noWrap/>
          </w:tcPr>
          <w:p w14:paraId="5BDE3EFE"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78238BAF"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60151E86"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2540ECF3"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r>
      <w:tr w:rsidR="00891BBF" w:rsidRPr="000665B0" w14:paraId="0817C1D2" w14:textId="77777777" w:rsidTr="001F4B14">
        <w:trPr>
          <w:cantSplit/>
          <w:trHeight w:val="270"/>
        </w:trPr>
        <w:tc>
          <w:tcPr>
            <w:tcW w:w="1467" w:type="dxa"/>
            <w:tcBorders>
              <w:bottom w:val="single" w:sz="4" w:space="0" w:color="auto"/>
            </w:tcBorders>
            <w:noWrap/>
          </w:tcPr>
          <w:p w14:paraId="088772A9" w14:textId="77777777" w:rsidR="00FD508F" w:rsidRPr="000665B0" w:rsidRDefault="00FD508F" w:rsidP="006546B1">
            <w:pPr>
              <w:spacing w:before="40" w:after="40" w:line="240" w:lineRule="auto"/>
              <w:rPr>
                <w:color w:val="000000"/>
                <w:sz w:val="16"/>
                <w:szCs w:val="16"/>
              </w:rPr>
            </w:pPr>
            <w:r w:rsidRPr="000665B0">
              <w:rPr>
                <w:color w:val="000000"/>
                <w:sz w:val="16"/>
                <w:szCs w:val="16"/>
              </w:rPr>
              <w:t>Threat Sites</w:t>
            </w:r>
          </w:p>
        </w:tc>
        <w:tc>
          <w:tcPr>
            <w:tcW w:w="1026" w:type="dxa"/>
            <w:tcBorders>
              <w:bottom w:val="single" w:sz="4" w:space="0" w:color="auto"/>
            </w:tcBorders>
            <w:noWrap/>
          </w:tcPr>
          <w:p w14:paraId="4F466C4D" w14:textId="77777777" w:rsidR="00FD508F" w:rsidRPr="000665B0" w:rsidRDefault="00FD508F" w:rsidP="006546B1">
            <w:pPr>
              <w:spacing w:before="40" w:after="40" w:line="240" w:lineRule="auto"/>
              <w:rPr>
                <w:color w:val="000000"/>
                <w:sz w:val="16"/>
                <w:szCs w:val="16"/>
              </w:rPr>
            </w:pPr>
            <w:r w:rsidRPr="000665B0">
              <w:rPr>
                <w:color w:val="000000"/>
                <w:sz w:val="16"/>
                <w:szCs w:val="16"/>
              </w:rPr>
              <w:t>XML</w:t>
            </w:r>
          </w:p>
        </w:tc>
        <w:tc>
          <w:tcPr>
            <w:tcW w:w="460" w:type="dxa"/>
            <w:tcBorders>
              <w:bottom w:val="single" w:sz="4" w:space="0" w:color="auto"/>
            </w:tcBorders>
          </w:tcPr>
          <w:p w14:paraId="5BB59492"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76" w:type="dxa"/>
            <w:tcBorders>
              <w:bottom w:val="single" w:sz="4" w:space="0" w:color="auto"/>
            </w:tcBorders>
            <w:noWrap/>
          </w:tcPr>
          <w:p w14:paraId="1D598B97"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0F4CDC40"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5B500C63"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28F82701" w14:textId="77777777" w:rsidR="00FD508F" w:rsidRPr="000665B0" w:rsidRDefault="00FD508F" w:rsidP="006546B1">
            <w:pPr>
              <w:spacing w:before="40" w:after="40" w:line="240" w:lineRule="auto"/>
              <w:rPr>
                <w:color w:val="000000"/>
                <w:sz w:val="16"/>
                <w:szCs w:val="16"/>
              </w:rPr>
            </w:pPr>
            <w:r w:rsidRPr="000665B0">
              <w:rPr>
                <w:color w:val="000000"/>
                <w:sz w:val="16"/>
                <w:szCs w:val="16"/>
              </w:rPr>
              <w:t>XML</w:t>
            </w:r>
          </w:p>
        </w:tc>
        <w:tc>
          <w:tcPr>
            <w:tcW w:w="461" w:type="dxa"/>
            <w:tcBorders>
              <w:bottom w:val="single" w:sz="4" w:space="0" w:color="auto"/>
            </w:tcBorders>
          </w:tcPr>
          <w:p w14:paraId="52FD2090"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67" w:type="dxa"/>
            <w:tcBorders>
              <w:bottom w:val="single" w:sz="4" w:space="0" w:color="auto"/>
            </w:tcBorders>
            <w:noWrap/>
          </w:tcPr>
          <w:p w14:paraId="7C3E2039"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766736D2"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72B79E1D"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0939C3C3"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1A415E38" w14:textId="77777777" w:rsidTr="001F4B14">
        <w:trPr>
          <w:cantSplit/>
          <w:trHeight w:val="270"/>
        </w:trPr>
        <w:tc>
          <w:tcPr>
            <w:tcW w:w="1467" w:type="dxa"/>
            <w:tcBorders>
              <w:bottom w:val="single" w:sz="4" w:space="0" w:color="auto"/>
            </w:tcBorders>
            <w:noWrap/>
          </w:tcPr>
          <w:p w14:paraId="12734EB0" w14:textId="77777777" w:rsidR="00FD508F" w:rsidRPr="000665B0" w:rsidRDefault="00FD508F" w:rsidP="006546B1">
            <w:pPr>
              <w:spacing w:before="40" w:after="40" w:line="240" w:lineRule="auto"/>
              <w:rPr>
                <w:color w:val="000000"/>
                <w:sz w:val="16"/>
                <w:szCs w:val="16"/>
              </w:rPr>
            </w:pPr>
            <w:r w:rsidRPr="000665B0">
              <w:rPr>
                <w:color w:val="000000"/>
                <w:sz w:val="16"/>
                <w:szCs w:val="16"/>
              </w:rPr>
              <w:t>Threat Updates</w:t>
            </w:r>
          </w:p>
        </w:tc>
        <w:tc>
          <w:tcPr>
            <w:tcW w:w="1026" w:type="dxa"/>
            <w:tcBorders>
              <w:bottom w:val="single" w:sz="4" w:space="0" w:color="auto"/>
            </w:tcBorders>
            <w:noWrap/>
          </w:tcPr>
          <w:p w14:paraId="6C9E6EA8" w14:textId="77777777" w:rsidR="00FD508F" w:rsidRPr="000665B0" w:rsidRDefault="00FD508F" w:rsidP="006546B1">
            <w:pPr>
              <w:spacing w:before="40" w:after="40" w:line="240" w:lineRule="auto"/>
              <w:rPr>
                <w:color w:val="000000"/>
                <w:sz w:val="16"/>
                <w:szCs w:val="16"/>
              </w:rPr>
            </w:pPr>
            <w:r w:rsidRPr="000665B0">
              <w:rPr>
                <w:color w:val="000000"/>
                <w:sz w:val="16"/>
                <w:szCs w:val="16"/>
              </w:rPr>
              <w:t>Zip</w:t>
            </w:r>
          </w:p>
        </w:tc>
        <w:tc>
          <w:tcPr>
            <w:tcW w:w="460" w:type="dxa"/>
            <w:tcBorders>
              <w:bottom w:val="single" w:sz="4" w:space="0" w:color="auto"/>
            </w:tcBorders>
          </w:tcPr>
          <w:p w14:paraId="15081021" w14:textId="77777777" w:rsidR="00FD508F" w:rsidRPr="000665B0" w:rsidRDefault="00FD508F" w:rsidP="006546B1">
            <w:pPr>
              <w:spacing w:before="40" w:after="40" w:line="240" w:lineRule="auto"/>
              <w:rPr>
                <w:color w:val="000000"/>
                <w:sz w:val="16"/>
                <w:szCs w:val="16"/>
              </w:rPr>
            </w:pPr>
            <w:r w:rsidRPr="000665B0">
              <w:rPr>
                <w:color w:val="000000"/>
                <w:sz w:val="16"/>
                <w:szCs w:val="16"/>
              </w:rPr>
              <w:t>NS</w:t>
            </w:r>
          </w:p>
        </w:tc>
        <w:tc>
          <w:tcPr>
            <w:tcW w:w="876" w:type="dxa"/>
            <w:tcBorders>
              <w:bottom w:val="single" w:sz="4" w:space="0" w:color="auto"/>
            </w:tcBorders>
            <w:noWrap/>
          </w:tcPr>
          <w:p w14:paraId="78DC08DC"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2C4CE838"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4F9EDC04"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1C6B54E1"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461" w:type="dxa"/>
            <w:tcBorders>
              <w:bottom w:val="single" w:sz="4" w:space="0" w:color="auto"/>
            </w:tcBorders>
          </w:tcPr>
          <w:p w14:paraId="5CA403E5" w14:textId="77777777" w:rsidR="00FD508F" w:rsidRPr="000665B0" w:rsidRDefault="00FD508F" w:rsidP="006546B1">
            <w:pPr>
              <w:spacing w:before="40" w:after="40" w:line="240" w:lineRule="auto"/>
              <w:rPr>
                <w:color w:val="000000"/>
                <w:sz w:val="16"/>
                <w:szCs w:val="16"/>
              </w:rPr>
            </w:pPr>
            <w:r w:rsidRPr="000665B0">
              <w:rPr>
                <w:color w:val="000000"/>
                <w:sz w:val="16"/>
                <w:szCs w:val="16"/>
              </w:rPr>
              <w:t>NS</w:t>
            </w:r>
          </w:p>
        </w:tc>
        <w:tc>
          <w:tcPr>
            <w:tcW w:w="867" w:type="dxa"/>
            <w:tcBorders>
              <w:bottom w:val="single" w:sz="4" w:space="0" w:color="auto"/>
            </w:tcBorders>
            <w:noWrap/>
          </w:tcPr>
          <w:p w14:paraId="0B1A23E2"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04DF57A4"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38243F3F"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619B34B1"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r>
      <w:tr w:rsidR="00891BBF" w:rsidRPr="000665B0" w14:paraId="3C5C077B" w14:textId="77777777" w:rsidTr="001F4B14">
        <w:trPr>
          <w:cantSplit/>
          <w:trHeight w:val="270"/>
        </w:trPr>
        <w:tc>
          <w:tcPr>
            <w:tcW w:w="1467" w:type="dxa"/>
            <w:tcBorders>
              <w:bottom w:val="single" w:sz="4" w:space="0" w:color="auto"/>
            </w:tcBorders>
            <w:noWrap/>
          </w:tcPr>
          <w:p w14:paraId="58C83DBE" w14:textId="77777777" w:rsidR="00FD508F" w:rsidRPr="000665B0" w:rsidRDefault="00FD508F" w:rsidP="006546B1">
            <w:pPr>
              <w:spacing w:before="40" w:after="40" w:line="240" w:lineRule="auto"/>
              <w:rPr>
                <w:color w:val="000000"/>
                <w:sz w:val="16"/>
                <w:szCs w:val="16"/>
              </w:rPr>
            </w:pPr>
            <w:r w:rsidRPr="000665B0">
              <w:rPr>
                <w:color w:val="000000"/>
                <w:sz w:val="16"/>
                <w:szCs w:val="16"/>
              </w:rPr>
              <w:t>TIR</w:t>
            </w:r>
          </w:p>
        </w:tc>
        <w:tc>
          <w:tcPr>
            <w:tcW w:w="1026" w:type="dxa"/>
            <w:tcBorders>
              <w:bottom w:val="single" w:sz="4" w:space="0" w:color="auto"/>
            </w:tcBorders>
            <w:noWrap/>
          </w:tcPr>
          <w:p w14:paraId="14F59318" w14:textId="77777777" w:rsidR="00FD508F" w:rsidRPr="000665B0" w:rsidRDefault="00FD508F" w:rsidP="006546B1">
            <w:pPr>
              <w:spacing w:before="40" w:after="40" w:line="240" w:lineRule="auto"/>
              <w:rPr>
                <w:color w:val="000000"/>
                <w:sz w:val="16"/>
                <w:szCs w:val="16"/>
              </w:rPr>
            </w:pPr>
            <w:r w:rsidRPr="000665B0">
              <w:rPr>
                <w:color w:val="000000"/>
                <w:sz w:val="16"/>
                <w:szCs w:val="16"/>
              </w:rPr>
              <w:t>ASCII</w:t>
            </w:r>
          </w:p>
        </w:tc>
        <w:tc>
          <w:tcPr>
            <w:tcW w:w="460" w:type="dxa"/>
            <w:tcBorders>
              <w:bottom w:val="single" w:sz="4" w:space="0" w:color="auto"/>
            </w:tcBorders>
          </w:tcPr>
          <w:p w14:paraId="2C18B6DE"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76" w:type="dxa"/>
            <w:tcBorders>
              <w:bottom w:val="single" w:sz="4" w:space="0" w:color="auto"/>
            </w:tcBorders>
            <w:noWrap/>
          </w:tcPr>
          <w:p w14:paraId="794D6DC5"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2A792584"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743" w:type="dxa"/>
            <w:tcBorders>
              <w:bottom w:val="single" w:sz="4" w:space="0" w:color="auto"/>
            </w:tcBorders>
          </w:tcPr>
          <w:p w14:paraId="7A0E5996"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138FB7F2"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461" w:type="dxa"/>
            <w:tcBorders>
              <w:bottom w:val="single" w:sz="4" w:space="0" w:color="auto"/>
            </w:tcBorders>
          </w:tcPr>
          <w:p w14:paraId="0B907A7C"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noWrap/>
          </w:tcPr>
          <w:p w14:paraId="6102DD94"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45FB6D74"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349484B2"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40B35F4E" w14:textId="77777777" w:rsidR="00FD508F" w:rsidRPr="000665B0" w:rsidRDefault="00FD508F" w:rsidP="006546B1">
            <w:pPr>
              <w:spacing w:before="40" w:after="40" w:line="240" w:lineRule="auto"/>
              <w:rPr>
                <w:color w:val="000000"/>
                <w:sz w:val="16"/>
                <w:szCs w:val="16"/>
              </w:rPr>
            </w:pPr>
            <w:r w:rsidRPr="000665B0">
              <w:rPr>
                <w:color w:val="000000"/>
                <w:sz w:val="16"/>
                <w:szCs w:val="16"/>
              </w:rPr>
              <w:t>Replace if Newer</w:t>
            </w:r>
          </w:p>
        </w:tc>
      </w:tr>
      <w:tr w:rsidR="00891BBF" w:rsidRPr="000665B0" w14:paraId="67829D39" w14:textId="77777777" w:rsidTr="001F4B14">
        <w:trPr>
          <w:cantSplit/>
          <w:trHeight w:val="270"/>
        </w:trPr>
        <w:tc>
          <w:tcPr>
            <w:tcW w:w="1467" w:type="dxa"/>
            <w:tcBorders>
              <w:bottom w:val="single" w:sz="4" w:space="0" w:color="auto"/>
            </w:tcBorders>
            <w:noWrap/>
          </w:tcPr>
          <w:p w14:paraId="3197D2D9" w14:textId="77777777" w:rsidR="00FD508F" w:rsidRPr="000665B0" w:rsidRDefault="00FD508F" w:rsidP="006546B1">
            <w:pPr>
              <w:spacing w:before="40" w:after="40" w:line="240" w:lineRule="auto"/>
              <w:rPr>
                <w:color w:val="000000"/>
                <w:sz w:val="16"/>
                <w:szCs w:val="16"/>
              </w:rPr>
            </w:pPr>
            <w:r w:rsidRPr="000665B0">
              <w:rPr>
                <w:color w:val="000000"/>
                <w:sz w:val="16"/>
                <w:szCs w:val="16"/>
              </w:rPr>
              <w:t>TMPRs</w:t>
            </w:r>
          </w:p>
        </w:tc>
        <w:tc>
          <w:tcPr>
            <w:tcW w:w="1026" w:type="dxa"/>
            <w:tcBorders>
              <w:bottom w:val="single" w:sz="4" w:space="0" w:color="auto"/>
            </w:tcBorders>
            <w:noWrap/>
          </w:tcPr>
          <w:p w14:paraId="2880AE84" w14:textId="77777777" w:rsidR="00FD508F" w:rsidRPr="000665B0" w:rsidRDefault="00FD508F" w:rsidP="006546B1">
            <w:pPr>
              <w:spacing w:before="40" w:after="40" w:line="240" w:lineRule="auto"/>
              <w:rPr>
                <w:color w:val="000000"/>
                <w:sz w:val="16"/>
                <w:szCs w:val="16"/>
              </w:rPr>
            </w:pPr>
            <w:r w:rsidRPr="000665B0">
              <w:rPr>
                <w:color w:val="000000"/>
                <w:sz w:val="16"/>
                <w:szCs w:val="16"/>
              </w:rPr>
              <w:t>XML</w:t>
            </w:r>
          </w:p>
        </w:tc>
        <w:tc>
          <w:tcPr>
            <w:tcW w:w="460" w:type="dxa"/>
            <w:tcBorders>
              <w:bottom w:val="single" w:sz="4" w:space="0" w:color="auto"/>
            </w:tcBorders>
          </w:tcPr>
          <w:p w14:paraId="6BB3D611"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76" w:type="dxa"/>
            <w:tcBorders>
              <w:bottom w:val="single" w:sz="4" w:space="0" w:color="auto"/>
            </w:tcBorders>
            <w:noWrap/>
          </w:tcPr>
          <w:p w14:paraId="3B7B56DA"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05BFB5DA"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2B3EEF17"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2867171B" w14:textId="77777777" w:rsidR="00FD508F" w:rsidRPr="000665B0" w:rsidRDefault="00FD508F" w:rsidP="006546B1">
            <w:pPr>
              <w:spacing w:before="40" w:after="40" w:line="240" w:lineRule="auto"/>
              <w:rPr>
                <w:color w:val="000000"/>
                <w:sz w:val="16"/>
                <w:szCs w:val="16"/>
              </w:rPr>
            </w:pPr>
            <w:r w:rsidRPr="000665B0">
              <w:rPr>
                <w:color w:val="000000"/>
                <w:sz w:val="16"/>
                <w:szCs w:val="16"/>
              </w:rPr>
              <w:t>XML</w:t>
            </w:r>
          </w:p>
        </w:tc>
        <w:tc>
          <w:tcPr>
            <w:tcW w:w="461" w:type="dxa"/>
            <w:tcBorders>
              <w:bottom w:val="single" w:sz="4" w:space="0" w:color="auto"/>
            </w:tcBorders>
          </w:tcPr>
          <w:p w14:paraId="15EE20CE"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67" w:type="dxa"/>
            <w:tcBorders>
              <w:bottom w:val="single" w:sz="4" w:space="0" w:color="auto"/>
            </w:tcBorders>
            <w:noWrap/>
          </w:tcPr>
          <w:p w14:paraId="5A9411AD"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7D7708AA"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6D6EF68D"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54F5747C"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r w:rsidR="00891BBF" w:rsidRPr="000665B0" w14:paraId="0B5166FE" w14:textId="77777777" w:rsidTr="001F4B14">
        <w:trPr>
          <w:cantSplit/>
          <w:trHeight w:val="270"/>
        </w:trPr>
        <w:tc>
          <w:tcPr>
            <w:tcW w:w="1467" w:type="dxa"/>
            <w:tcBorders>
              <w:bottom w:val="single" w:sz="4" w:space="0" w:color="auto"/>
            </w:tcBorders>
            <w:noWrap/>
          </w:tcPr>
          <w:p w14:paraId="18D68E4B" w14:textId="02A1F77D" w:rsidR="00FD508F" w:rsidRPr="000665B0" w:rsidRDefault="00FD508F" w:rsidP="006546B1">
            <w:pPr>
              <w:spacing w:before="40" w:after="40" w:line="240" w:lineRule="auto"/>
              <w:rPr>
                <w:color w:val="000000"/>
                <w:sz w:val="16"/>
                <w:szCs w:val="16"/>
              </w:rPr>
            </w:pPr>
            <w:r w:rsidRPr="000665B0">
              <w:rPr>
                <w:color w:val="000000"/>
                <w:sz w:val="16"/>
                <w:szCs w:val="16"/>
              </w:rPr>
              <w:t xml:space="preserve">TTWCS Strike </w:t>
            </w:r>
            <w:r w:rsidR="00E03E09" w:rsidRPr="000665B0">
              <w:rPr>
                <w:color w:val="000000"/>
                <w:sz w:val="16"/>
                <w:szCs w:val="16"/>
              </w:rPr>
              <w:br/>
            </w:r>
            <w:r w:rsidRPr="000665B0">
              <w:rPr>
                <w:color w:val="000000"/>
                <w:sz w:val="16"/>
                <w:szCs w:val="16"/>
              </w:rPr>
              <w:t>Package</w:t>
            </w:r>
          </w:p>
        </w:tc>
        <w:tc>
          <w:tcPr>
            <w:tcW w:w="1026" w:type="dxa"/>
            <w:tcBorders>
              <w:bottom w:val="single" w:sz="4" w:space="0" w:color="auto"/>
            </w:tcBorders>
            <w:noWrap/>
          </w:tcPr>
          <w:p w14:paraId="7A1D8D03" w14:textId="77777777" w:rsidR="00FD508F" w:rsidRPr="000665B0" w:rsidRDefault="00FD508F" w:rsidP="006546B1">
            <w:pPr>
              <w:spacing w:before="40" w:after="40" w:line="240" w:lineRule="auto"/>
              <w:rPr>
                <w:color w:val="000000"/>
                <w:sz w:val="16"/>
                <w:szCs w:val="16"/>
              </w:rPr>
            </w:pPr>
            <w:r w:rsidRPr="000665B0">
              <w:rPr>
                <w:color w:val="000000"/>
                <w:sz w:val="16"/>
                <w:szCs w:val="16"/>
              </w:rPr>
              <w:t>Binary</w:t>
            </w:r>
          </w:p>
        </w:tc>
        <w:tc>
          <w:tcPr>
            <w:tcW w:w="460" w:type="dxa"/>
            <w:tcBorders>
              <w:bottom w:val="single" w:sz="4" w:space="0" w:color="auto"/>
            </w:tcBorders>
          </w:tcPr>
          <w:p w14:paraId="5AB7AE04" w14:textId="77777777" w:rsidR="00FD508F" w:rsidRPr="000665B0" w:rsidRDefault="00FD508F" w:rsidP="006546B1">
            <w:pPr>
              <w:spacing w:before="40" w:after="40" w:line="240" w:lineRule="auto"/>
              <w:rPr>
                <w:color w:val="000000"/>
                <w:sz w:val="16"/>
                <w:szCs w:val="16"/>
              </w:rPr>
            </w:pPr>
            <w:r w:rsidRPr="000665B0">
              <w:rPr>
                <w:color w:val="000000"/>
                <w:sz w:val="16"/>
                <w:szCs w:val="16"/>
              </w:rPr>
              <w:t xml:space="preserve">NA </w:t>
            </w:r>
          </w:p>
        </w:tc>
        <w:tc>
          <w:tcPr>
            <w:tcW w:w="876" w:type="dxa"/>
            <w:tcBorders>
              <w:bottom w:val="single" w:sz="4" w:space="0" w:color="auto"/>
            </w:tcBorders>
            <w:noWrap/>
          </w:tcPr>
          <w:p w14:paraId="158C75FD"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48973982"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2A609503"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56415E0B"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461" w:type="dxa"/>
            <w:tcBorders>
              <w:bottom w:val="single" w:sz="4" w:space="0" w:color="auto"/>
            </w:tcBorders>
          </w:tcPr>
          <w:p w14:paraId="24C1B08D"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noWrap/>
          </w:tcPr>
          <w:p w14:paraId="2B4DE644" w14:textId="5647A2A6" w:rsidR="00FD508F" w:rsidRPr="000665B0" w:rsidRDefault="00FD508F" w:rsidP="003605EB">
            <w:pPr>
              <w:spacing w:before="40" w:after="40" w:line="240" w:lineRule="auto"/>
              <w:rPr>
                <w:color w:val="000000"/>
                <w:sz w:val="16"/>
                <w:szCs w:val="16"/>
              </w:rPr>
            </w:pPr>
            <w:r w:rsidRPr="000665B0">
              <w:rPr>
                <w:color w:val="000000"/>
                <w:sz w:val="16"/>
                <w:szCs w:val="16"/>
              </w:rPr>
              <w:t>FDU</w:t>
            </w:r>
            <w:r w:rsidR="00891BBF" w:rsidRPr="000665B0">
              <w:rPr>
                <w:color w:val="000000"/>
                <w:sz w:val="16"/>
                <w:szCs w:val="16"/>
              </w:rPr>
              <w:t xml:space="preserve"> </w:t>
            </w:r>
            <w:r w:rsidRPr="000665B0">
              <w:rPr>
                <w:color w:val="000000"/>
                <w:sz w:val="16"/>
                <w:szCs w:val="16"/>
              </w:rPr>
              <w:t>SPDT</w:t>
            </w:r>
          </w:p>
        </w:tc>
        <w:tc>
          <w:tcPr>
            <w:tcW w:w="619" w:type="dxa"/>
            <w:tcBorders>
              <w:bottom w:val="single" w:sz="4" w:space="0" w:color="auto"/>
            </w:tcBorders>
          </w:tcPr>
          <w:p w14:paraId="668775C6" w14:textId="77777777" w:rsidR="00FD508F" w:rsidRPr="000665B0" w:rsidRDefault="00FD508F" w:rsidP="006546B1">
            <w:pPr>
              <w:spacing w:before="40" w:after="40" w:line="240" w:lineRule="auto"/>
              <w:rPr>
                <w:color w:val="000000"/>
                <w:sz w:val="16"/>
                <w:szCs w:val="16"/>
              </w:rPr>
            </w:pPr>
            <w:r w:rsidRPr="000665B0">
              <w:rPr>
                <w:color w:val="000000"/>
                <w:sz w:val="16"/>
                <w:szCs w:val="16"/>
              </w:rPr>
              <w:t>T</w:t>
            </w:r>
          </w:p>
        </w:tc>
        <w:tc>
          <w:tcPr>
            <w:tcW w:w="867" w:type="dxa"/>
            <w:tcBorders>
              <w:bottom w:val="single" w:sz="4" w:space="0" w:color="auto"/>
            </w:tcBorders>
          </w:tcPr>
          <w:p w14:paraId="0A3F704F"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3EC449D6"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Replace</w:t>
            </w:r>
          </w:p>
        </w:tc>
      </w:tr>
      <w:tr w:rsidR="00891BBF" w:rsidRPr="000665B0" w14:paraId="5773E4D7" w14:textId="77777777" w:rsidTr="001F4B14">
        <w:trPr>
          <w:cantSplit/>
          <w:trHeight w:val="270"/>
        </w:trPr>
        <w:tc>
          <w:tcPr>
            <w:tcW w:w="1467" w:type="dxa"/>
            <w:tcBorders>
              <w:bottom w:val="single" w:sz="4" w:space="0" w:color="auto"/>
            </w:tcBorders>
            <w:noWrap/>
          </w:tcPr>
          <w:p w14:paraId="4CE8E65B" w14:textId="77777777" w:rsidR="00FD508F" w:rsidRPr="000665B0" w:rsidRDefault="00FD508F" w:rsidP="006546B1">
            <w:pPr>
              <w:spacing w:before="40" w:after="40" w:line="240" w:lineRule="auto"/>
              <w:rPr>
                <w:color w:val="000000"/>
                <w:sz w:val="16"/>
                <w:szCs w:val="16"/>
              </w:rPr>
            </w:pPr>
            <w:r w:rsidRPr="000665B0">
              <w:rPr>
                <w:color w:val="000000"/>
                <w:sz w:val="16"/>
                <w:szCs w:val="16"/>
              </w:rPr>
              <w:t>TUM</w:t>
            </w:r>
          </w:p>
        </w:tc>
        <w:tc>
          <w:tcPr>
            <w:tcW w:w="1026" w:type="dxa"/>
            <w:tcBorders>
              <w:bottom w:val="single" w:sz="4" w:space="0" w:color="auto"/>
            </w:tcBorders>
            <w:noWrap/>
          </w:tcPr>
          <w:p w14:paraId="1DDA00DC" w14:textId="77777777" w:rsidR="00FD508F" w:rsidRPr="000665B0" w:rsidRDefault="00FD508F" w:rsidP="006546B1">
            <w:pPr>
              <w:spacing w:before="40" w:after="40" w:line="240" w:lineRule="auto"/>
              <w:rPr>
                <w:color w:val="000000"/>
                <w:sz w:val="16"/>
                <w:szCs w:val="16"/>
              </w:rPr>
            </w:pPr>
            <w:r w:rsidRPr="000665B0">
              <w:rPr>
                <w:color w:val="000000"/>
                <w:sz w:val="16"/>
                <w:szCs w:val="16"/>
              </w:rPr>
              <w:t>Binary</w:t>
            </w:r>
          </w:p>
        </w:tc>
        <w:tc>
          <w:tcPr>
            <w:tcW w:w="460" w:type="dxa"/>
            <w:tcBorders>
              <w:bottom w:val="single" w:sz="4" w:space="0" w:color="auto"/>
            </w:tcBorders>
          </w:tcPr>
          <w:p w14:paraId="4F5FBC8E" w14:textId="77777777" w:rsidR="00FD508F" w:rsidRPr="000665B0" w:rsidRDefault="00FD508F" w:rsidP="006546B1">
            <w:pPr>
              <w:spacing w:before="40" w:after="40" w:line="240" w:lineRule="auto"/>
              <w:rPr>
                <w:color w:val="000000"/>
                <w:sz w:val="16"/>
                <w:szCs w:val="16"/>
              </w:rPr>
            </w:pPr>
            <w:r w:rsidRPr="000665B0">
              <w:rPr>
                <w:color w:val="000000"/>
                <w:sz w:val="16"/>
                <w:szCs w:val="16"/>
              </w:rPr>
              <w:t>X</w:t>
            </w:r>
          </w:p>
        </w:tc>
        <w:tc>
          <w:tcPr>
            <w:tcW w:w="876" w:type="dxa"/>
            <w:tcBorders>
              <w:bottom w:val="single" w:sz="4" w:space="0" w:color="auto"/>
            </w:tcBorders>
            <w:noWrap/>
          </w:tcPr>
          <w:p w14:paraId="4D9326EC"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30" w:type="dxa"/>
            <w:tcBorders>
              <w:bottom w:val="single" w:sz="4" w:space="0" w:color="auto"/>
            </w:tcBorders>
          </w:tcPr>
          <w:p w14:paraId="21490307"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743" w:type="dxa"/>
            <w:tcBorders>
              <w:bottom w:val="single" w:sz="4" w:space="0" w:color="auto"/>
            </w:tcBorders>
          </w:tcPr>
          <w:p w14:paraId="14FB8895"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1025" w:type="dxa"/>
            <w:tcBorders>
              <w:bottom w:val="single" w:sz="4" w:space="0" w:color="auto"/>
            </w:tcBorders>
            <w:noWrap/>
          </w:tcPr>
          <w:p w14:paraId="10B3662B"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461" w:type="dxa"/>
            <w:tcBorders>
              <w:bottom w:val="single" w:sz="4" w:space="0" w:color="auto"/>
            </w:tcBorders>
          </w:tcPr>
          <w:p w14:paraId="4D632F46"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noWrap/>
          </w:tcPr>
          <w:p w14:paraId="7A110813"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619" w:type="dxa"/>
            <w:tcBorders>
              <w:bottom w:val="single" w:sz="4" w:space="0" w:color="auto"/>
            </w:tcBorders>
          </w:tcPr>
          <w:p w14:paraId="7A6FC8E5" w14:textId="77777777" w:rsidR="00FD508F" w:rsidRPr="000665B0" w:rsidRDefault="00FD508F" w:rsidP="006546B1">
            <w:pPr>
              <w:spacing w:before="40" w:after="40" w:line="240" w:lineRule="auto"/>
              <w:rPr>
                <w:color w:val="000000"/>
                <w:sz w:val="16"/>
                <w:szCs w:val="16"/>
              </w:rPr>
            </w:pPr>
            <w:r w:rsidRPr="000665B0">
              <w:rPr>
                <w:color w:val="000000"/>
                <w:sz w:val="16"/>
                <w:szCs w:val="16"/>
              </w:rPr>
              <w:t>NA</w:t>
            </w:r>
          </w:p>
        </w:tc>
        <w:tc>
          <w:tcPr>
            <w:tcW w:w="867" w:type="dxa"/>
            <w:tcBorders>
              <w:bottom w:val="single" w:sz="4" w:space="0" w:color="auto"/>
            </w:tcBorders>
          </w:tcPr>
          <w:p w14:paraId="3BC3F7FA" w14:textId="77777777" w:rsidR="00FD508F" w:rsidRPr="000665B0" w:rsidRDefault="00FD508F" w:rsidP="006546B1">
            <w:pPr>
              <w:spacing w:before="40" w:after="40" w:line="240" w:lineRule="auto"/>
              <w:rPr>
                <w:color w:val="000000"/>
                <w:sz w:val="16"/>
                <w:szCs w:val="16"/>
              </w:rPr>
            </w:pPr>
            <w:r w:rsidRPr="000665B0">
              <w:rPr>
                <w:color w:val="000000"/>
                <w:sz w:val="16"/>
                <w:szCs w:val="16"/>
              </w:rPr>
              <w:t> </w:t>
            </w:r>
          </w:p>
        </w:tc>
        <w:tc>
          <w:tcPr>
            <w:tcW w:w="944" w:type="dxa"/>
            <w:tcBorders>
              <w:bottom w:val="single" w:sz="4" w:space="0" w:color="auto"/>
            </w:tcBorders>
          </w:tcPr>
          <w:p w14:paraId="680D0B35" w14:textId="77777777" w:rsidR="00FD508F" w:rsidRPr="000665B0" w:rsidRDefault="00FD508F" w:rsidP="006546B1">
            <w:pPr>
              <w:spacing w:before="40" w:after="40" w:line="240" w:lineRule="auto"/>
              <w:rPr>
                <w:color w:val="000000"/>
                <w:sz w:val="16"/>
                <w:szCs w:val="16"/>
              </w:rPr>
            </w:pPr>
            <w:r w:rsidRPr="000665B0">
              <w:rPr>
                <w:color w:val="000000"/>
                <w:sz w:val="16"/>
                <w:szCs w:val="16"/>
              </w:rPr>
              <w:t>Always Drop</w:t>
            </w:r>
          </w:p>
        </w:tc>
      </w:tr>
    </w:tbl>
    <w:p w14:paraId="1E528C98" w14:textId="77777777" w:rsidR="00E03E09" w:rsidRPr="000665B0" w:rsidRDefault="00E03E09" w:rsidP="00EE6021">
      <w:pPr>
        <w:spacing w:before="40" w:after="40" w:line="240" w:lineRule="auto"/>
        <w:ind w:left="-270"/>
        <w:rPr>
          <w:sz w:val="16"/>
          <w:szCs w:val="16"/>
        </w:rPr>
      </w:pPr>
      <w:r w:rsidRPr="000665B0">
        <w:rPr>
          <w:sz w:val="16"/>
          <w:szCs w:val="16"/>
        </w:rPr>
        <w:t>X = Supported.</w:t>
      </w:r>
    </w:p>
    <w:p w14:paraId="5FE86B39" w14:textId="77777777" w:rsidR="00E03E09" w:rsidRPr="000665B0" w:rsidRDefault="00E03E09" w:rsidP="00891BBF">
      <w:pPr>
        <w:spacing w:before="40" w:after="40" w:line="240" w:lineRule="auto"/>
        <w:ind w:left="-270"/>
        <w:rPr>
          <w:sz w:val="16"/>
          <w:szCs w:val="16"/>
        </w:rPr>
      </w:pPr>
      <w:r w:rsidRPr="000665B0">
        <w:rPr>
          <w:sz w:val="16"/>
          <w:szCs w:val="16"/>
        </w:rPr>
        <w:t>NS = Not Supported.</w:t>
      </w:r>
    </w:p>
    <w:p w14:paraId="726658E6" w14:textId="77777777" w:rsidR="00E03E09" w:rsidRPr="000665B0" w:rsidRDefault="00E03E09" w:rsidP="00891BBF">
      <w:pPr>
        <w:spacing w:before="40" w:after="40" w:line="240" w:lineRule="auto"/>
        <w:ind w:left="-270"/>
        <w:rPr>
          <w:sz w:val="16"/>
          <w:szCs w:val="16"/>
        </w:rPr>
      </w:pPr>
      <w:r w:rsidRPr="000665B0">
        <w:rPr>
          <w:sz w:val="16"/>
          <w:szCs w:val="16"/>
        </w:rPr>
        <w:t>NA = Not Applicable.</w:t>
      </w:r>
    </w:p>
    <w:p w14:paraId="51D4F60C" w14:textId="71F01A26" w:rsidR="00E03E09" w:rsidRPr="000665B0" w:rsidRDefault="00E03E09" w:rsidP="00891BBF">
      <w:pPr>
        <w:spacing w:before="40" w:after="40" w:line="240" w:lineRule="auto"/>
        <w:ind w:left="-270"/>
        <w:rPr>
          <w:color w:val="000000"/>
          <w:sz w:val="16"/>
          <w:szCs w:val="16"/>
        </w:rPr>
      </w:pPr>
      <w:r w:rsidRPr="000665B0">
        <w:rPr>
          <w:sz w:val="16"/>
          <w:szCs w:val="16"/>
        </w:rPr>
        <w:t>T = TSRT Only.</w:t>
      </w:r>
    </w:p>
    <w:p w14:paraId="41B16821" w14:textId="77777777" w:rsidR="005D1A26" w:rsidRPr="000665B0" w:rsidRDefault="005D1A26" w:rsidP="00E300C3"/>
    <w:p w14:paraId="069EEDCD" w14:textId="77777777" w:rsidR="00A316EA" w:rsidRDefault="00A316EA" w:rsidP="00E300C3">
      <w:r>
        <w:br w:type="page"/>
      </w:r>
      <w:bookmarkStart w:id="7378" w:name="_Appendix_G__COORDINATION_TEMPLATE_C"/>
      <w:bookmarkEnd w:id="7378"/>
    </w:p>
    <w:p w14:paraId="3F06CEF6" w14:textId="00FFAA87" w:rsidR="005D1A26" w:rsidRPr="000665B0" w:rsidRDefault="009319FE" w:rsidP="003604C5">
      <w:pPr>
        <w:pStyle w:val="Appendix"/>
      </w:pPr>
      <w:bookmarkStart w:id="7379" w:name="_Appendix_G__COORDINATION_TEMPLATE_C_1"/>
      <w:bookmarkStart w:id="7380" w:name="_Appendix_F__COORDINATION_TEMPLATE_C"/>
      <w:bookmarkStart w:id="7381" w:name="_Appendix_F_"/>
      <w:bookmarkStart w:id="7382" w:name="_Toc96170375"/>
      <w:bookmarkStart w:id="7383" w:name="_Toc96234420"/>
      <w:bookmarkStart w:id="7384" w:name="_Toc112733876"/>
      <w:bookmarkStart w:id="7385" w:name="_Toc289329084"/>
      <w:bookmarkStart w:id="7386" w:name="_Toc312332193"/>
      <w:bookmarkEnd w:id="7376"/>
      <w:bookmarkEnd w:id="7379"/>
      <w:bookmarkEnd w:id="7380"/>
      <w:bookmarkEnd w:id="7381"/>
      <w:r w:rsidRPr="000665B0">
        <w:rPr>
          <w:caps/>
        </w:rPr>
        <w:lastRenderedPageBreak/>
        <w:br/>
      </w:r>
      <w:bookmarkStart w:id="7387" w:name="_Toc214283681"/>
      <w:r w:rsidR="005D1A26" w:rsidRPr="000665B0">
        <w:t>COORDINATION TEMPLATE COMPATIBILITY MATRIX</w:t>
      </w:r>
      <w:bookmarkEnd w:id="7382"/>
      <w:bookmarkEnd w:id="7383"/>
      <w:bookmarkEnd w:id="7384"/>
      <w:bookmarkEnd w:id="7385"/>
      <w:bookmarkEnd w:id="7386"/>
      <w:bookmarkEnd w:id="7387"/>
    </w:p>
    <w:tbl>
      <w:tblPr>
        <w:tblW w:w="9375" w:type="dxa"/>
        <w:tblInd w:w="93" w:type="dxa"/>
        <w:tblLook w:val="0000" w:firstRow="0" w:lastRow="0" w:firstColumn="0" w:lastColumn="0" w:noHBand="0" w:noVBand="0"/>
      </w:tblPr>
      <w:tblGrid>
        <w:gridCol w:w="2355"/>
        <w:gridCol w:w="2340"/>
        <w:gridCol w:w="1260"/>
        <w:gridCol w:w="1620"/>
        <w:gridCol w:w="1800"/>
      </w:tblGrid>
      <w:tr w:rsidR="005D1A26" w:rsidRPr="000665B0" w14:paraId="739A23EB" w14:textId="77777777" w:rsidTr="00460A85">
        <w:trPr>
          <w:trHeight w:val="358"/>
        </w:trPr>
        <w:tc>
          <w:tcPr>
            <w:tcW w:w="2355" w:type="dxa"/>
            <w:tcBorders>
              <w:top w:val="single" w:sz="8" w:space="0" w:color="auto"/>
              <w:left w:val="single" w:sz="8" w:space="0" w:color="auto"/>
              <w:bottom w:val="single" w:sz="8" w:space="0" w:color="auto"/>
              <w:right w:val="nil"/>
            </w:tcBorders>
            <w:shd w:val="clear" w:color="auto" w:fill="D9D9D9" w:themeFill="background1" w:themeFillShade="D9"/>
            <w:noWrap/>
            <w:vAlign w:val="bottom"/>
          </w:tcPr>
          <w:p w14:paraId="033E984D" w14:textId="77777777" w:rsidR="005D1A26" w:rsidRPr="000665B0" w:rsidRDefault="005D1A26" w:rsidP="00E300C3">
            <w:pPr>
              <w:spacing w:after="0"/>
              <w:rPr>
                <w:rFonts w:ascii="Arial" w:hAnsi="Arial" w:cs="Arial"/>
                <w:b/>
                <w:bCs/>
                <w:sz w:val="18"/>
                <w:szCs w:val="18"/>
              </w:rPr>
            </w:pPr>
            <w:r w:rsidRPr="000665B0">
              <w:rPr>
                <w:rFonts w:ascii="Arial" w:hAnsi="Arial" w:cs="Arial"/>
                <w:b/>
                <w:bCs/>
                <w:sz w:val="18"/>
                <w:szCs w:val="18"/>
              </w:rPr>
              <w:t> </w:t>
            </w:r>
          </w:p>
        </w:tc>
        <w:tc>
          <w:tcPr>
            <w:tcW w:w="3600"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tcPr>
          <w:p w14:paraId="13657441" w14:textId="77777777" w:rsidR="005D1A26" w:rsidRPr="000665B0" w:rsidRDefault="005D1A26" w:rsidP="00E300C3">
            <w:pPr>
              <w:spacing w:before="240" w:after="240"/>
              <w:jc w:val="center"/>
              <w:rPr>
                <w:b/>
                <w:bCs/>
                <w:szCs w:val="24"/>
              </w:rPr>
            </w:pPr>
            <w:r w:rsidRPr="000665B0">
              <w:rPr>
                <w:b/>
                <w:bCs/>
                <w:szCs w:val="24"/>
              </w:rPr>
              <w:t>TTWCS </w:t>
            </w:r>
          </w:p>
        </w:tc>
        <w:tc>
          <w:tcPr>
            <w:tcW w:w="3420" w:type="dxa"/>
            <w:gridSpan w:val="2"/>
            <w:tcBorders>
              <w:top w:val="single" w:sz="8" w:space="0" w:color="auto"/>
              <w:left w:val="nil"/>
              <w:bottom w:val="single" w:sz="8" w:space="0" w:color="auto"/>
              <w:right w:val="single" w:sz="8" w:space="0" w:color="auto"/>
            </w:tcBorders>
            <w:shd w:val="clear" w:color="auto" w:fill="D9D9D9" w:themeFill="background1" w:themeFillShade="D9"/>
            <w:noWrap/>
            <w:vAlign w:val="bottom"/>
          </w:tcPr>
          <w:p w14:paraId="36299086" w14:textId="77777777" w:rsidR="005D1A26" w:rsidRPr="000665B0" w:rsidRDefault="00FD3FC3" w:rsidP="009B6AD0">
            <w:pPr>
              <w:spacing w:before="240" w:after="240"/>
              <w:jc w:val="center"/>
              <w:rPr>
                <w:b/>
                <w:bCs/>
                <w:szCs w:val="24"/>
              </w:rPr>
            </w:pPr>
            <w:r w:rsidRPr="000665B0">
              <w:rPr>
                <w:b/>
                <w:bCs/>
                <w:szCs w:val="24"/>
              </w:rPr>
              <w:t>TED</w:t>
            </w:r>
          </w:p>
        </w:tc>
      </w:tr>
      <w:tr w:rsidR="005D1A26" w:rsidRPr="000665B0" w14:paraId="696F53ED" w14:textId="77777777" w:rsidTr="00460A85">
        <w:trPr>
          <w:trHeight w:val="270"/>
        </w:trPr>
        <w:tc>
          <w:tcPr>
            <w:tcW w:w="2355" w:type="dxa"/>
            <w:tcBorders>
              <w:top w:val="nil"/>
              <w:left w:val="single" w:sz="8" w:space="0" w:color="auto"/>
              <w:bottom w:val="single" w:sz="8" w:space="0" w:color="auto"/>
              <w:right w:val="single" w:sz="8" w:space="0" w:color="auto"/>
            </w:tcBorders>
            <w:shd w:val="clear" w:color="auto" w:fill="D9D9D9" w:themeFill="background1" w:themeFillShade="D9"/>
            <w:noWrap/>
            <w:vAlign w:val="bottom"/>
          </w:tcPr>
          <w:p w14:paraId="7B60D3E5" w14:textId="77777777" w:rsidR="005D1A26" w:rsidRPr="000665B0" w:rsidRDefault="005D1A26" w:rsidP="00E300C3">
            <w:pPr>
              <w:spacing w:after="0"/>
              <w:rPr>
                <w:rFonts w:ascii="Arial" w:hAnsi="Arial" w:cs="Arial"/>
                <w:b/>
                <w:bCs/>
                <w:sz w:val="18"/>
                <w:szCs w:val="18"/>
              </w:rPr>
            </w:pPr>
            <w:r w:rsidRPr="000665B0">
              <w:rPr>
                <w:rFonts w:ascii="Arial" w:hAnsi="Arial" w:cs="Arial"/>
                <w:b/>
                <w:bCs/>
                <w:sz w:val="18"/>
                <w:szCs w:val="18"/>
              </w:rPr>
              <w:t> </w:t>
            </w:r>
          </w:p>
        </w:tc>
        <w:tc>
          <w:tcPr>
            <w:tcW w:w="2340" w:type="dxa"/>
            <w:tcBorders>
              <w:top w:val="nil"/>
              <w:left w:val="nil"/>
              <w:bottom w:val="single" w:sz="8" w:space="0" w:color="auto"/>
              <w:right w:val="single" w:sz="8" w:space="0" w:color="auto"/>
            </w:tcBorders>
            <w:shd w:val="clear" w:color="auto" w:fill="D9D9D9" w:themeFill="background1" w:themeFillShade="D9"/>
            <w:noWrap/>
            <w:vAlign w:val="bottom"/>
          </w:tcPr>
          <w:p w14:paraId="4CADFD30" w14:textId="03211545" w:rsidR="005D1A26" w:rsidRPr="000665B0" w:rsidRDefault="00FD3FC3" w:rsidP="005C3211">
            <w:pPr>
              <w:spacing w:after="0"/>
              <w:jc w:val="center"/>
              <w:rPr>
                <w:b/>
                <w:bCs/>
                <w:sz w:val="18"/>
                <w:szCs w:val="18"/>
              </w:rPr>
            </w:pPr>
            <w:r w:rsidRPr="000665B0">
              <w:rPr>
                <w:b/>
                <w:bCs/>
                <w:sz w:val="18"/>
                <w:szCs w:val="18"/>
              </w:rPr>
              <w:t>TED</w:t>
            </w:r>
            <w:r w:rsidR="009B6AD0" w:rsidRPr="000665B0">
              <w:rPr>
                <w:b/>
                <w:bCs/>
                <w:sz w:val="18"/>
                <w:szCs w:val="18"/>
              </w:rPr>
              <w:t xml:space="preserve"> </w:t>
            </w:r>
            <w:r w:rsidR="005D1A26" w:rsidRPr="000665B0">
              <w:rPr>
                <w:b/>
                <w:bCs/>
                <w:sz w:val="18"/>
                <w:szCs w:val="18"/>
              </w:rPr>
              <w:t>(</w:t>
            </w:r>
            <w:r w:rsidR="005079C3" w:rsidRPr="000665B0">
              <w:rPr>
                <w:b/>
                <w:sz w:val="18"/>
                <w:szCs w:val="18"/>
              </w:rPr>
              <w:t>Distribution Service</w:t>
            </w:r>
            <w:r w:rsidR="005D1A26" w:rsidRPr="000665B0">
              <w:rPr>
                <w:b/>
                <w:bCs/>
                <w:sz w:val="18"/>
                <w:szCs w:val="18"/>
              </w:rPr>
              <w:t>)</w:t>
            </w:r>
          </w:p>
          <w:p w14:paraId="49D70429" w14:textId="77777777" w:rsidR="005D1A26" w:rsidRPr="000665B0" w:rsidRDefault="005D1A26" w:rsidP="005C3211">
            <w:pPr>
              <w:spacing w:after="0"/>
              <w:jc w:val="center"/>
              <w:rPr>
                <w:b/>
                <w:bCs/>
                <w:sz w:val="18"/>
                <w:szCs w:val="18"/>
              </w:rPr>
            </w:pPr>
            <w:r w:rsidRPr="000665B0">
              <w:rPr>
                <w:b/>
                <w:bCs/>
                <w:sz w:val="18"/>
                <w:szCs w:val="18"/>
              </w:rPr>
              <w:t>Sends to TTWCS</w:t>
            </w:r>
          </w:p>
        </w:tc>
        <w:tc>
          <w:tcPr>
            <w:tcW w:w="1260" w:type="dxa"/>
            <w:tcBorders>
              <w:top w:val="nil"/>
              <w:left w:val="nil"/>
              <w:bottom w:val="single" w:sz="8" w:space="0" w:color="auto"/>
              <w:right w:val="single" w:sz="8" w:space="0" w:color="auto"/>
            </w:tcBorders>
            <w:shd w:val="clear" w:color="auto" w:fill="D9D9D9" w:themeFill="background1" w:themeFillShade="D9"/>
            <w:noWrap/>
            <w:vAlign w:val="bottom"/>
          </w:tcPr>
          <w:p w14:paraId="58C77E0C" w14:textId="77777777" w:rsidR="005D1A26" w:rsidRPr="000665B0" w:rsidRDefault="005D1A26" w:rsidP="00E300C3">
            <w:pPr>
              <w:spacing w:after="0"/>
              <w:jc w:val="center"/>
              <w:rPr>
                <w:b/>
                <w:bCs/>
                <w:sz w:val="18"/>
                <w:szCs w:val="18"/>
              </w:rPr>
            </w:pPr>
            <w:r w:rsidRPr="000665B0">
              <w:rPr>
                <w:b/>
                <w:bCs/>
                <w:sz w:val="18"/>
                <w:szCs w:val="18"/>
              </w:rPr>
              <w:t>TTWCS</w:t>
            </w:r>
          </w:p>
          <w:p w14:paraId="783B7470" w14:textId="77777777" w:rsidR="005D1A26" w:rsidRPr="000665B0" w:rsidRDefault="005D1A26" w:rsidP="00E300C3">
            <w:pPr>
              <w:spacing w:after="0"/>
              <w:jc w:val="center"/>
              <w:rPr>
                <w:b/>
                <w:bCs/>
                <w:sz w:val="18"/>
                <w:szCs w:val="18"/>
              </w:rPr>
            </w:pPr>
            <w:r w:rsidRPr="000665B0">
              <w:rPr>
                <w:b/>
                <w:bCs/>
                <w:sz w:val="18"/>
                <w:szCs w:val="18"/>
              </w:rPr>
              <w:t>Returns</w:t>
            </w:r>
          </w:p>
        </w:tc>
        <w:tc>
          <w:tcPr>
            <w:tcW w:w="1620" w:type="dxa"/>
            <w:tcBorders>
              <w:top w:val="nil"/>
              <w:left w:val="nil"/>
              <w:bottom w:val="single" w:sz="8" w:space="0" w:color="auto"/>
              <w:right w:val="single" w:sz="8" w:space="0" w:color="auto"/>
            </w:tcBorders>
            <w:shd w:val="clear" w:color="auto" w:fill="D9D9D9" w:themeFill="background1" w:themeFillShade="D9"/>
            <w:noWrap/>
            <w:vAlign w:val="bottom"/>
          </w:tcPr>
          <w:p w14:paraId="1BEEE3FA" w14:textId="77777777" w:rsidR="005D1A26" w:rsidRPr="000665B0" w:rsidRDefault="00FD3FC3" w:rsidP="00E300C3">
            <w:pPr>
              <w:spacing w:after="0"/>
              <w:jc w:val="center"/>
              <w:rPr>
                <w:b/>
                <w:bCs/>
                <w:sz w:val="18"/>
                <w:szCs w:val="18"/>
              </w:rPr>
            </w:pPr>
            <w:r w:rsidRPr="000665B0">
              <w:rPr>
                <w:b/>
                <w:bCs/>
                <w:sz w:val="18"/>
                <w:szCs w:val="18"/>
              </w:rPr>
              <w:t>TED</w:t>
            </w:r>
            <w:r w:rsidR="005D1A26" w:rsidRPr="000665B0">
              <w:rPr>
                <w:b/>
                <w:bCs/>
                <w:sz w:val="18"/>
                <w:szCs w:val="18"/>
              </w:rPr>
              <w:t xml:space="preserve"> (</w:t>
            </w:r>
            <w:r w:rsidR="005079C3" w:rsidRPr="000665B0">
              <w:rPr>
                <w:b/>
                <w:sz w:val="18"/>
                <w:szCs w:val="18"/>
              </w:rPr>
              <w:t>Distribution Service</w:t>
            </w:r>
            <w:r w:rsidR="005D1A26" w:rsidRPr="000665B0">
              <w:rPr>
                <w:b/>
                <w:bCs/>
                <w:sz w:val="18"/>
                <w:szCs w:val="18"/>
              </w:rPr>
              <w:t>)</w:t>
            </w:r>
          </w:p>
          <w:p w14:paraId="36ACA7E4" w14:textId="77777777" w:rsidR="005D1A26" w:rsidRPr="000665B0" w:rsidRDefault="005D1A26" w:rsidP="00E300C3">
            <w:pPr>
              <w:spacing w:after="0"/>
              <w:jc w:val="center"/>
              <w:rPr>
                <w:b/>
                <w:bCs/>
                <w:sz w:val="18"/>
                <w:szCs w:val="18"/>
              </w:rPr>
            </w:pPr>
            <w:r w:rsidRPr="000665B0">
              <w:rPr>
                <w:b/>
                <w:bCs/>
                <w:sz w:val="18"/>
                <w:szCs w:val="18"/>
              </w:rPr>
              <w:t>Sends to MDS</w:t>
            </w:r>
          </w:p>
        </w:tc>
        <w:tc>
          <w:tcPr>
            <w:tcW w:w="1800" w:type="dxa"/>
            <w:tcBorders>
              <w:top w:val="nil"/>
              <w:left w:val="nil"/>
              <w:bottom w:val="single" w:sz="8" w:space="0" w:color="auto"/>
              <w:right w:val="single" w:sz="8" w:space="0" w:color="auto"/>
            </w:tcBorders>
            <w:shd w:val="clear" w:color="auto" w:fill="D9D9D9" w:themeFill="background1" w:themeFillShade="D9"/>
            <w:noWrap/>
            <w:vAlign w:val="bottom"/>
          </w:tcPr>
          <w:p w14:paraId="725CB3EC" w14:textId="04F455D1" w:rsidR="005D1A26" w:rsidRPr="000665B0" w:rsidRDefault="00FD3FC3" w:rsidP="005C3211">
            <w:pPr>
              <w:spacing w:after="0"/>
              <w:jc w:val="center"/>
              <w:rPr>
                <w:b/>
                <w:bCs/>
                <w:sz w:val="18"/>
                <w:szCs w:val="18"/>
              </w:rPr>
            </w:pPr>
            <w:r w:rsidRPr="000665B0">
              <w:rPr>
                <w:b/>
                <w:bCs/>
                <w:sz w:val="18"/>
                <w:szCs w:val="18"/>
              </w:rPr>
              <w:t>TED</w:t>
            </w:r>
            <w:r w:rsidR="005C3211" w:rsidRPr="000665B0">
              <w:rPr>
                <w:b/>
                <w:bCs/>
                <w:sz w:val="18"/>
                <w:szCs w:val="18"/>
              </w:rPr>
              <w:t xml:space="preserve"> </w:t>
            </w:r>
            <w:r w:rsidR="005D1A26" w:rsidRPr="000665B0">
              <w:rPr>
                <w:b/>
                <w:bCs/>
                <w:sz w:val="18"/>
                <w:szCs w:val="18"/>
              </w:rPr>
              <w:t>Returns</w:t>
            </w:r>
          </w:p>
        </w:tc>
      </w:tr>
      <w:tr w:rsidR="005D1A26" w:rsidRPr="000665B0" w14:paraId="0D9EE0C6" w14:textId="77777777" w:rsidTr="00460A85">
        <w:trPr>
          <w:trHeight w:val="270"/>
        </w:trPr>
        <w:tc>
          <w:tcPr>
            <w:tcW w:w="2355" w:type="dxa"/>
            <w:tcBorders>
              <w:top w:val="nil"/>
              <w:left w:val="single" w:sz="8" w:space="0" w:color="auto"/>
              <w:bottom w:val="single" w:sz="8" w:space="0" w:color="auto"/>
              <w:right w:val="single" w:sz="8" w:space="0" w:color="auto"/>
            </w:tcBorders>
            <w:shd w:val="clear" w:color="auto" w:fill="D9D9D9" w:themeFill="background1" w:themeFillShade="D9"/>
            <w:noWrap/>
            <w:vAlign w:val="bottom"/>
          </w:tcPr>
          <w:p w14:paraId="6EF39A37" w14:textId="77777777" w:rsidR="005D1A26" w:rsidRPr="000665B0" w:rsidRDefault="005D1A26" w:rsidP="00E300C3">
            <w:pPr>
              <w:spacing w:after="0"/>
              <w:rPr>
                <w:b/>
                <w:bCs/>
                <w:sz w:val="18"/>
                <w:szCs w:val="18"/>
              </w:rPr>
            </w:pPr>
            <w:r w:rsidRPr="000665B0">
              <w:rPr>
                <w:b/>
                <w:bCs/>
                <w:sz w:val="18"/>
                <w:szCs w:val="18"/>
              </w:rPr>
              <w:t>Request Messages</w:t>
            </w:r>
          </w:p>
        </w:tc>
        <w:tc>
          <w:tcPr>
            <w:tcW w:w="2340" w:type="dxa"/>
            <w:tcBorders>
              <w:top w:val="nil"/>
              <w:left w:val="nil"/>
              <w:bottom w:val="single" w:sz="8" w:space="0" w:color="auto"/>
              <w:right w:val="single" w:sz="8" w:space="0" w:color="auto"/>
            </w:tcBorders>
            <w:shd w:val="clear" w:color="auto" w:fill="D9D9D9" w:themeFill="background1" w:themeFillShade="D9"/>
            <w:noWrap/>
            <w:vAlign w:val="bottom"/>
          </w:tcPr>
          <w:p w14:paraId="12701822" w14:textId="77777777" w:rsidR="005D1A26" w:rsidRPr="000665B0" w:rsidRDefault="005D1A26" w:rsidP="00E300C3">
            <w:pPr>
              <w:spacing w:after="0"/>
              <w:rPr>
                <w:b/>
                <w:bCs/>
                <w:sz w:val="18"/>
                <w:szCs w:val="18"/>
              </w:rPr>
            </w:pPr>
            <w:r w:rsidRPr="000665B0">
              <w:rPr>
                <w:b/>
                <w:bCs/>
                <w:sz w:val="18"/>
                <w:szCs w:val="18"/>
              </w:rPr>
              <w:t> </w:t>
            </w:r>
          </w:p>
        </w:tc>
        <w:tc>
          <w:tcPr>
            <w:tcW w:w="1260" w:type="dxa"/>
            <w:tcBorders>
              <w:top w:val="nil"/>
              <w:left w:val="nil"/>
              <w:bottom w:val="single" w:sz="8" w:space="0" w:color="auto"/>
              <w:right w:val="single" w:sz="8" w:space="0" w:color="auto"/>
            </w:tcBorders>
            <w:shd w:val="clear" w:color="auto" w:fill="D9D9D9" w:themeFill="background1" w:themeFillShade="D9"/>
            <w:noWrap/>
            <w:vAlign w:val="bottom"/>
          </w:tcPr>
          <w:p w14:paraId="715A9668" w14:textId="77777777" w:rsidR="005D1A26" w:rsidRPr="000665B0" w:rsidRDefault="005D1A26" w:rsidP="00E300C3">
            <w:pPr>
              <w:spacing w:after="0"/>
              <w:rPr>
                <w:b/>
                <w:bCs/>
                <w:sz w:val="18"/>
                <w:szCs w:val="18"/>
              </w:rPr>
            </w:pPr>
            <w:r w:rsidRPr="000665B0">
              <w:rPr>
                <w:b/>
                <w:bCs/>
                <w:sz w:val="18"/>
                <w:szCs w:val="18"/>
              </w:rPr>
              <w:t> </w:t>
            </w:r>
          </w:p>
        </w:tc>
        <w:tc>
          <w:tcPr>
            <w:tcW w:w="1620" w:type="dxa"/>
            <w:tcBorders>
              <w:top w:val="nil"/>
              <w:left w:val="nil"/>
              <w:bottom w:val="single" w:sz="8" w:space="0" w:color="auto"/>
              <w:right w:val="single" w:sz="8" w:space="0" w:color="auto"/>
            </w:tcBorders>
            <w:shd w:val="clear" w:color="auto" w:fill="D9D9D9" w:themeFill="background1" w:themeFillShade="D9"/>
            <w:noWrap/>
            <w:vAlign w:val="bottom"/>
          </w:tcPr>
          <w:p w14:paraId="3B490D9E" w14:textId="77777777" w:rsidR="005D1A26" w:rsidRPr="000665B0" w:rsidRDefault="005D1A26" w:rsidP="00E300C3">
            <w:pPr>
              <w:spacing w:after="0"/>
              <w:rPr>
                <w:b/>
                <w:bCs/>
                <w:sz w:val="18"/>
                <w:szCs w:val="18"/>
              </w:rPr>
            </w:pPr>
            <w:r w:rsidRPr="000665B0">
              <w:rPr>
                <w:b/>
                <w:bCs/>
                <w:sz w:val="18"/>
                <w:szCs w:val="18"/>
              </w:rPr>
              <w:t> </w:t>
            </w:r>
          </w:p>
        </w:tc>
        <w:tc>
          <w:tcPr>
            <w:tcW w:w="1800" w:type="dxa"/>
            <w:tcBorders>
              <w:top w:val="nil"/>
              <w:left w:val="nil"/>
              <w:bottom w:val="single" w:sz="8" w:space="0" w:color="auto"/>
              <w:right w:val="single" w:sz="8" w:space="0" w:color="auto"/>
            </w:tcBorders>
            <w:shd w:val="clear" w:color="auto" w:fill="D9D9D9" w:themeFill="background1" w:themeFillShade="D9"/>
            <w:noWrap/>
            <w:vAlign w:val="bottom"/>
          </w:tcPr>
          <w:p w14:paraId="7C9C275C" w14:textId="77777777" w:rsidR="005D1A26" w:rsidRPr="000665B0" w:rsidRDefault="005D1A26" w:rsidP="00E300C3">
            <w:pPr>
              <w:spacing w:after="0"/>
              <w:rPr>
                <w:b/>
                <w:bCs/>
                <w:sz w:val="18"/>
                <w:szCs w:val="18"/>
              </w:rPr>
            </w:pPr>
            <w:r w:rsidRPr="000665B0">
              <w:rPr>
                <w:b/>
                <w:bCs/>
                <w:sz w:val="18"/>
                <w:szCs w:val="18"/>
              </w:rPr>
              <w:t> </w:t>
            </w:r>
          </w:p>
        </w:tc>
      </w:tr>
      <w:tr w:rsidR="005D1A26" w:rsidRPr="000665B0" w14:paraId="668C88C0"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2321B238" w14:textId="77777777" w:rsidR="005D1A26" w:rsidRPr="000665B0" w:rsidRDefault="005D1A26" w:rsidP="00E300C3">
            <w:pPr>
              <w:spacing w:after="0"/>
              <w:rPr>
                <w:sz w:val="18"/>
                <w:szCs w:val="18"/>
              </w:rPr>
            </w:pPr>
            <w:r w:rsidRPr="000665B0">
              <w:rPr>
                <w:sz w:val="18"/>
                <w:szCs w:val="18"/>
              </w:rPr>
              <w:t>Missile Inventory</w:t>
            </w:r>
          </w:p>
        </w:tc>
        <w:tc>
          <w:tcPr>
            <w:tcW w:w="2340" w:type="dxa"/>
            <w:tcBorders>
              <w:top w:val="nil"/>
              <w:left w:val="nil"/>
              <w:bottom w:val="single" w:sz="8" w:space="0" w:color="auto"/>
              <w:right w:val="single" w:sz="8" w:space="0" w:color="auto"/>
            </w:tcBorders>
            <w:noWrap/>
            <w:vAlign w:val="bottom"/>
          </w:tcPr>
          <w:p w14:paraId="5EBEE137" w14:textId="77777777" w:rsidR="005D1A26" w:rsidRPr="000665B0" w:rsidRDefault="005D1A26" w:rsidP="00E300C3">
            <w:pPr>
              <w:spacing w:after="0"/>
              <w:rPr>
                <w:sz w:val="18"/>
                <w:szCs w:val="18"/>
              </w:rPr>
            </w:pPr>
            <w:r w:rsidRPr="000665B0">
              <w:rPr>
                <w:sz w:val="18"/>
                <w:szCs w:val="18"/>
              </w:rPr>
              <w:t>Status Request Message</w:t>
            </w:r>
          </w:p>
        </w:tc>
        <w:tc>
          <w:tcPr>
            <w:tcW w:w="1260" w:type="dxa"/>
            <w:tcBorders>
              <w:top w:val="nil"/>
              <w:left w:val="nil"/>
              <w:bottom w:val="single" w:sz="8" w:space="0" w:color="auto"/>
              <w:right w:val="single" w:sz="8" w:space="0" w:color="auto"/>
            </w:tcBorders>
            <w:noWrap/>
            <w:vAlign w:val="bottom"/>
          </w:tcPr>
          <w:p w14:paraId="5BD2D0C6" w14:textId="77777777" w:rsidR="005D1A26" w:rsidRPr="000665B0" w:rsidRDefault="005D1A26" w:rsidP="00E300C3">
            <w:pPr>
              <w:spacing w:after="0"/>
              <w:rPr>
                <w:sz w:val="18"/>
                <w:szCs w:val="18"/>
              </w:rPr>
            </w:pPr>
            <w:r w:rsidRPr="000665B0">
              <w:rPr>
                <w:sz w:val="18"/>
                <w:szCs w:val="18"/>
              </w:rPr>
              <w:t>MLOSRF-T</w:t>
            </w:r>
          </w:p>
        </w:tc>
        <w:tc>
          <w:tcPr>
            <w:tcW w:w="1620" w:type="dxa"/>
            <w:tcBorders>
              <w:top w:val="nil"/>
              <w:left w:val="nil"/>
              <w:bottom w:val="single" w:sz="8" w:space="0" w:color="auto"/>
              <w:right w:val="single" w:sz="8" w:space="0" w:color="auto"/>
            </w:tcBorders>
            <w:noWrap/>
            <w:vAlign w:val="bottom"/>
          </w:tcPr>
          <w:p w14:paraId="41A014F2" w14:textId="77777777" w:rsidR="005D1A26" w:rsidRPr="000665B0" w:rsidRDefault="005D1A26" w:rsidP="00E300C3">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355059A9" w14:textId="77777777" w:rsidR="005D1A26" w:rsidRPr="000665B0" w:rsidRDefault="005D1A26" w:rsidP="00E300C3">
            <w:pPr>
              <w:spacing w:after="0"/>
              <w:rPr>
                <w:sz w:val="18"/>
                <w:szCs w:val="18"/>
              </w:rPr>
            </w:pPr>
            <w:r w:rsidRPr="000665B0">
              <w:rPr>
                <w:sz w:val="18"/>
                <w:szCs w:val="18"/>
              </w:rPr>
              <w:t>DDO with Data</w:t>
            </w:r>
          </w:p>
        </w:tc>
      </w:tr>
      <w:tr w:rsidR="005D1A26" w:rsidRPr="000665B0" w14:paraId="2695CD8B"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38671E38" w14:textId="77777777" w:rsidR="005D1A26" w:rsidRPr="000665B0" w:rsidRDefault="005D1A26" w:rsidP="00E300C3">
            <w:pPr>
              <w:spacing w:after="0"/>
              <w:rPr>
                <w:sz w:val="18"/>
                <w:szCs w:val="18"/>
              </w:rPr>
            </w:pPr>
            <w:r w:rsidRPr="000665B0">
              <w:rPr>
                <w:sz w:val="18"/>
                <w:szCs w:val="18"/>
              </w:rPr>
              <w:t>Node Inventory</w:t>
            </w:r>
          </w:p>
        </w:tc>
        <w:tc>
          <w:tcPr>
            <w:tcW w:w="2340" w:type="dxa"/>
            <w:tcBorders>
              <w:top w:val="nil"/>
              <w:left w:val="nil"/>
              <w:bottom w:val="single" w:sz="8" w:space="0" w:color="auto"/>
              <w:right w:val="single" w:sz="8" w:space="0" w:color="auto"/>
            </w:tcBorders>
            <w:noWrap/>
            <w:vAlign w:val="bottom"/>
          </w:tcPr>
          <w:p w14:paraId="66FF1678" w14:textId="77777777" w:rsidR="005D1A26" w:rsidRPr="000665B0" w:rsidRDefault="005D1A26" w:rsidP="00E300C3">
            <w:pPr>
              <w:spacing w:after="0"/>
              <w:rPr>
                <w:sz w:val="18"/>
                <w:szCs w:val="18"/>
              </w:rPr>
            </w:pPr>
            <w:r w:rsidRPr="000665B0">
              <w:rPr>
                <w:sz w:val="18"/>
                <w:szCs w:val="18"/>
              </w:rPr>
              <w:t>Status Request Message</w:t>
            </w:r>
          </w:p>
        </w:tc>
        <w:tc>
          <w:tcPr>
            <w:tcW w:w="1260" w:type="dxa"/>
            <w:tcBorders>
              <w:top w:val="nil"/>
              <w:left w:val="nil"/>
              <w:bottom w:val="single" w:sz="8" w:space="0" w:color="auto"/>
              <w:right w:val="single" w:sz="8" w:space="0" w:color="auto"/>
            </w:tcBorders>
            <w:noWrap/>
            <w:vAlign w:val="bottom"/>
          </w:tcPr>
          <w:p w14:paraId="630DE869" w14:textId="77777777" w:rsidR="005D1A26" w:rsidRPr="000665B0" w:rsidRDefault="004963AE" w:rsidP="00E300C3">
            <w:pPr>
              <w:spacing w:after="0"/>
              <w:rPr>
                <w:sz w:val="18"/>
                <w:szCs w:val="18"/>
              </w:rPr>
            </w:pPr>
            <w:r w:rsidRPr="000665B0">
              <w:rPr>
                <w:sz w:val="18"/>
                <w:szCs w:val="18"/>
              </w:rPr>
              <w:t>TAF</w:t>
            </w:r>
          </w:p>
        </w:tc>
        <w:tc>
          <w:tcPr>
            <w:tcW w:w="1620" w:type="dxa"/>
            <w:tcBorders>
              <w:top w:val="nil"/>
              <w:left w:val="nil"/>
              <w:bottom w:val="single" w:sz="8" w:space="0" w:color="auto"/>
              <w:right w:val="single" w:sz="8" w:space="0" w:color="auto"/>
            </w:tcBorders>
            <w:noWrap/>
            <w:vAlign w:val="bottom"/>
          </w:tcPr>
          <w:p w14:paraId="2799F6C9" w14:textId="77777777" w:rsidR="005D1A26" w:rsidRPr="000665B0" w:rsidRDefault="005D1A26" w:rsidP="00E300C3">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589D5369" w14:textId="77777777" w:rsidR="005D1A26" w:rsidRPr="000665B0" w:rsidRDefault="005D1A26" w:rsidP="00E300C3">
            <w:pPr>
              <w:spacing w:after="0"/>
              <w:rPr>
                <w:sz w:val="18"/>
                <w:szCs w:val="18"/>
              </w:rPr>
            </w:pPr>
            <w:r w:rsidRPr="000665B0">
              <w:rPr>
                <w:sz w:val="18"/>
                <w:szCs w:val="18"/>
              </w:rPr>
              <w:t>DDO with Data</w:t>
            </w:r>
          </w:p>
        </w:tc>
      </w:tr>
      <w:tr w:rsidR="005D1A26" w:rsidRPr="000665B0" w14:paraId="59D51EFD"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5BFB24A3" w14:textId="77777777" w:rsidR="005D1A26" w:rsidRPr="000665B0" w:rsidRDefault="005D1A26" w:rsidP="00E300C3">
            <w:pPr>
              <w:spacing w:after="0"/>
              <w:rPr>
                <w:sz w:val="18"/>
                <w:szCs w:val="18"/>
              </w:rPr>
            </w:pPr>
            <w:r w:rsidRPr="000665B0">
              <w:rPr>
                <w:sz w:val="18"/>
                <w:szCs w:val="18"/>
              </w:rPr>
              <w:t>ACMS List</w:t>
            </w:r>
          </w:p>
        </w:tc>
        <w:tc>
          <w:tcPr>
            <w:tcW w:w="2340" w:type="dxa"/>
            <w:tcBorders>
              <w:top w:val="nil"/>
              <w:left w:val="nil"/>
              <w:bottom w:val="single" w:sz="8" w:space="0" w:color="auto"/>
              <w:right w:val="single" w:sz="8" w:space="0" w:color="auto"/>
            </w:tcBorders>
            <w:noWrap/>
            <w:vAlign w:val="bottom"/>
          </w:tcPr>
          <w:p w14:paraId="4CB96492" w14:textId="77777777" w:rsidR="005D1A26" w:rsidRPr="000665B0" w:rsidRDefault="005D1A26" w:rsidP="00E300C3">
            <w:pPr>
              <w:spacing w:after="0"/>
              <w:rPr>
                <w:sz w:val="18"/>
                <w:szCs w:val="18"/>
              </w:rPr>
            </w:pPr>
            <w:r w:rsidRPr="000665B0">
              <w:rPr>
                <w:sz w:val="18"/>
                <w:szCs w:val="18"/>
              </w:rPr>
              <w:t>Status Request Message</w:t>
            </w:r>
          </w:p>
        </w:tc>
        <w:tc>
          <w:tcPr>
            <w:tcW w:w="1260" w:type="dxa"/>
            <w:tcBorders>
              <w:top w:val="nil"/>
              <w:left w:val="nil"/>
              <w:bottom w:val="single" w:sz="8" w:space="0" w:color="auto"/>
              <w:right w:val="single" w:sz="8" w:space="0" w:color="auto"/>
            </w:tcBorders>
            <w:noWrap/>
            <w:vAlign w:val="bottom"/>
          </w:tcPr>
          <w:p w14:paraId="7F540954" w14:textId="77777777" w:rsidR="005D1A26" w:rsidRPr="000665B0" w:rsidRDefault="005D1A26" w:rsidP="00E300C3">
            <w:pPr>
              <w:spacing w:after="0"/>
              <w:rPr>
                <w:sz w:val="18"/>
                <w:szCs w:val="18"/>
              </w:rPr>
            </w:pPr>
            <w:r w:rsidRPr="000665B0">
              <w:rPr>
                <w:sz w:val="18"/>
                <w:szCs w:val="18"/>
              </w:rPr>
              <w:t>ACMS-R</w:t>
            </w:r>
          </w:p>
        </w:tc>
        <w:tc>
          <w:tcPr>
            <w:tcW w:w="1620" w:type="dxa"/>
            <w:tcBorders>
              <w:top w:val="nil"/>
              <w:left w:val="nil"/>
              <w:bottom w:val="single" w:sz="8" w:space="0" w:color="auto"/>
              <w:right w:val="single" w:sz="8" w:space="0" w:color="auto"/>
            </w:tcBorders>
            <w:noWrap/>
            <w:vAlign w:val="bottom"/>
          </w:tcPr>
          <w:p w14:paraId="55F6E8FB" w14:textId="77777777" w:rsidR="005D1A26" w:rsidRPr="000665B0" w:rsidRDefault="005D1A26" w:rsidP="00E300C3">
            <w:pPr>
              <w:spacing w:after="0"/>
              <w:rPr>
                <w:sz w:val="18"/>
                <w:szCs w:val="18"/>
              </w:rPr>
            </w:pPr>
            <w:r w:rsidRPr="000665B0">
              <w:rPr>
                <w:sz w:val="18"/>
                <w:szCs w:val="18"/>
              </w:rPr>
              <w:t>N/A</w:t>
            </w:r>
          </w:p>
        </w:tc>
        <w:tc>
          <w:tcPr>
            <w:tcW w:w="1800" w:type="dxa"/>
            <w:tcBorders>
              <w:top w:val="nil"/>
              <w:left w:val="nil"/>
              <w:bottom w:val="single" w:sz="8" w:space="0" w:color="auto"/>
              <w:right w:val="single" w:sz="8" w:space="0" w:color="auto"/>
            </w:tcBorders>
            <w:noWrap/>
            <w:vAlign w:val="bottom"/>
          </w:tcPr>
          <w:p w14:paraId="7C54BC9F" w14:textId="77777777" w:rsidR="005D1A26" w:rsidRPr="000665B0" w:rsidRDefault="005D1A26" w:rsidP="00E300C3">
            <w:pPr>
              <w:spacing w:after="0"/>
              <w:rPr>
                <w:sz w:val="18"/>
                <w:szCs w:val="18"/>
              </w:rPr>
            </w:pPr>
            <w:r w:rsidRPr="000665B0">
              <w:rPr>
                <w:sz w:val="18"/>
                <w:szCs w:val="18"/>
              </w:rPr>
              <w:t>N/A</w:t>
            </w:r>
          </w:p>
        </w:tc>
      </w:tr>
      <w:tr w:rsidR="005D1A26" w:rsidRPr="000665B0" w14:paraId="5BAD9B2C"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6012BA3B" w14:textId="77777777" w:rsidR="005D1A26" w:rsidRPr="000665B0" w:rsidRDefault="005D1A26" w:rsidP="00E300C3">
            <w:pPr>
              <w:spacing w:after="0"/>
              <w:rPr>
                <w:sz w:val="18"/>
                <w:szCs w:val="18"/>
              </w:rPr>
            </w:pPr>
            <w:r w:rsidRPr="000665B0">
              <w:rPr>
                <w:sz w:val="18"/>
                <w:szCs w:val="18"/>
              </w:rPr>
              <w:t>ACMS</w:t>
            </w:r>
          </w:p>
        </w:tc>
        <w:tc>
          <w:tcPr>
            <w:tcW w:w="2340" w:type="dxa"/>
            <w:tcBorders>
              <w:top w:val="nil"/>
              <w:left w:val="nil"/>
              <w:bottom w:val="single" w:sz="8" w:space="0" w:color="auto"/>
              <w:right w:val="single" w:sz="8" w:space="0" w:color="auto"/>
            </w:tcBorders>
            <w:noWrap/>
            <w:vAlign w:val="bottom"/>
          </w:tcPr>
          <w:p w14:paraId="497F5FF8" w14:textId="77777777" w:rsidR="005D1A26" w:rsidRPr="000665B0" w:rsidRDefault="005D1A26" w:rsidP="00E300C3">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36919492" w14:textId="77777777" w:rsidR="005D1A26" w:rsidRPr="000665B0" w:rsidRDefault="005D1A26" w:rsidP="00E300C3">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09FD78F6" w14:textId="77777777" w:rsidR="005D1A26" w:rsidRPr="000665B0" w:rsidRDefault="005D1A26" w:rsidP="00E300C3">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5C1639A0" w14:textId="77777777" w:rsidR="005D1A26" w:rsidRPr="000665B0" w:rsidRDefault="005D1A26" w:rsidP="00E300C3">
            <w:pPr>
              <w:spacing w:after="0"/>
              <w:rPr>
                <w:sz w:val="18"/>
                <w:szCs w:val="18"/>
              </w:rPr>
            </w:pPr>
            <w:r w:rsidRPr="000665B0">
              <w:rPr>
                <w:sz w:val="18"/>
                <w:szCs w:val="18"/>
              </w:rPr>
              <w:t>DDO with Data</w:t>
            </w:r>
          </w:p>
        </w:tc>
      </w:tr>
      <w:tr w:rsidR="005D1A26" w:rsidRPr="000665B0" w14:paraId="70137DE6"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2E26BDFA" w14:textId="77777777" w:rsidR="005D1A26" w:rsidRPr="000665B0" w:rsidRDefault="005D1A26" w:rsidP="00E300C3">
            <w:pPr>
              <w:spacing w:after="0"/>
              <w:rPr>
                <w:sz w:val="18"/>
                <w:szCs w:val="18"/>
              </w:rPr>
            </w:pPr>
            <w:r w:rsidRPr="000665B0">
              <w:rPr>
                <w:sz w:val="18"/>
                <w:szCs w:val="18"/>
              </w:rPr>
              <w:t>Mission</w:t>
            </w:r>
          </w:p>
        </w:tc>
        <w:tc>
          <w:tcPr>
            <w:tcW w:w="2340" w:type="dxa"/>
            <w:tcBorders>
              <w:top w:val="nil"/>
              <w:left w:val="nil"/>
              <w:bottom w:val="single" w:sz="8" w:space="0" w:color="auto"/>
              <w:right w:val="single" w:sz="8" w:space="0" w:color="auto"/>
            </w:tcBorders>
            <w:noWrap/>
            <w:vAlign w:val="bottom"/>
          </w:tcPr>
          <w:p w14:paraId="1F52F53E" w14:textId="77777777" w:rsidR="005D1A26" w:rsidRPr="000665B0" w:rsidRDefault="005D1A26" w:rsidP="00E300C3">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4C9701B2" w14:textId="77777777" w:rsidR="005D1A26" w:rsidRPr="000665B0" w:rsidRDefault="005D1A26" w:rsidP="00E300C3">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5828F004" w14:textId="77777777" w:rsidR="005D1A26" w:rsidRPr="000665B0" w:rsidRDefault="005D1A26" w:rsidP="00E300C3">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358CA7F0" w14:textId="77777777" w:rsidR="005D1A26" w:rsidRPr="000665B0" w:rsidRDefault="005D1A26" w:rsidP="00E300C3">
            <w:pPr>
              <w:spacing w:after="0"/>
              <w:rPr>
                <w:sz w:val="18"/>
                <w:szCs w:val="18"/>
              </w:rPr>
            </w:pPr>
            <w:r w:rsidRPr="000665B0">
              <w:rPr>
                <w:sz w:val="18"/>
                <w:szCs w:val="18"/>
              </w:rPr>
              <w:t>DDO with Data</w:t>
            </w:r>
          </w:p>
        </w:tc>
      </w:tr>
      <w:tr w:rsidR="005D1A26" w:rsidRPr="000665B0" w14:paraId="01CA702A"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36D1C6FC" w14:textId="77777777" w:rsidR="005D1A26" w:rsidRPr="000665B0" w:rsidRDefault="005D1A26" w:rsidP="00E300C3">
            <w:pPr>
              <w:spacing w:after="0"/>
              <w:rPr>
                <w:sz w:val="18"/>
                <w:szCs w:val="18"/>
              </w:rPr>
            </w:pPr>
            <w:r w:rsidRPr="000665B0">
              <w:rPr>
                <w:sz w:val="18"/>
                <w:szCs w:val="18"/>
              </w:rPr>
              <w:t>DSMAC</w:t>
            </w:r>
          </w:p>
        </w:tc>
        <w:tc>
          <w:tcPr>
            <w:tcW w:w="2340" w:type="dxa"/>
            <w:tcBorders>
              <w:top w:val="nil"/>
              <w:left w:val="nil"/>
              <w:bottom w:val="single" w:sz="8" w:space="0" w:color="auto"/>
              <w:right w:val="single" w:sz="8" w:space="0" w:color="auto"/>
            </w:tcBorders>
            <w:noWrap/>
            <w:vAlign w:val="bottom"/>
          </w:tcPr>
          <w:p w14:paraId="28CB70B7" w14:textId="77777777" w:rsidR="005D1A26" w:rsidRPr="000665B0" w:rsidRDefault="005D1A26" w:rsidP="00E300C3">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1FAFD4AE" w14:textId="77777777" w:rsidR="005D1A26" w:rsidRPr="000665B0" w:rsidRDefault="005D1A26" w:rsidP="00E300C3">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377ED387" w14:textId="77777777" w:rsidR="005D1A26" w:rsidRPr="000665B0" w:rsidRDefault="005D1A26" w:rsidP="00E300C3">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1785C45A" w14:textId="77777777" w:rsidR="005D1A26" w:rsidRPr="000665B0" w:rsidRDefault="005D1A26" w:rsidP="00E300C3">
            <w:pPr>
              <w:spacing w:after="0"/>
              <w:rPr>
                <w:sz w:val="18"/>
                <w:szCs w:val="18"/>
              </w:rPr>
            </w:pPr>
            <w:r w:rsidRPr="000665B0">
              <w:rPr>
                <w:sz w:val="18"/>
                <w:szCs w:val="18"/>
              </w:rPr>
              <w:t>DDO with Data</w:t>
            </w:r>
          </w:p>
        </w:tc>
      </w:tr>
      <w:tr w:rsidR="00DB2828" w:rsidRPr="000665B0" w14:paraId="138F4F66"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1D0260BF" w14:textId="32DA2822" w:rsidR="00DB2828" w:rsidRPr="000665B0" w:rsidRDefault="00DB2828" w:rsidP="00DB2828">
            <w:pPr>
              <w:spacing w:after="0"/>
              <w:rPr>
                <w:sz w:val="18"/>
                <w:szCs w:val="18"/>
              </w:rPr>
            </w:pPr>
            <w:r w:rsidRPr="000665B0">
              <w:rPr>
                <w:sz w:val="18"/>
                <w:szCs w:val="18"/>
              </w:rPr>
              <w:t>NOB DSMAC</w:t>
            </w:r>
          </w:p>
        </w:tc>
        <w:tc>
          <w:tcPr>
            <w:tcW w:w="2340" w:type="dxa"/>
            <w:tcBorders>
              <w:top w:val="nil"/>
              <w:left w:val="nil"/>
              <w:bottom w:val="single" w:sz="8" w:space="0" w:color="auto"/>
              <w:right w:val="single" w:sz="8" w:space="0" w:color="auto"/>
            </w:tcBorders>
            <w:noWrap/>
            <w:vAlign w:val="bottom"/>
          </w:tcPr>
          <w:p w14:paraId="7F46425E" w14:textId="764272D8"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456D1F30" w14:textId="6E3CC825"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065244D7" w14:textId="2CD72110"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1D279BC3" w14:textId="541C32C3" w:rsidR="00DB2828" w:rsidRPr="000665B0" w:rsidRDefault="00DB2828" w:rsidP="00DB2828">
            <w:pPr>
              <w:spacing w:after="0"/>
              <w:rPr>
                <w:sz w:val="18"/>
                <w:szCs w:val="18"/>
              </w:rPr>
            </w:pPr>
            <w:r w:rsidRPr="000665B0">
              <w:rPr>
                <w:sz w:val="18"/>
                <w:szCs w:val="18"/>
              </w:rPr>
              <w:t>DDO with Data</w:t>
            </w:r>
          </w:p>
        </w:tc>
      </w:tr>
      <w:tr w:rsidR="00DB2828" w:rsidRPr="000665B0" w14:paraId="6B8E5692"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66C9EC8E" w14:textId="58D43569" w:rsidR="00DB2828" w:rsidRPr="000665B0" w:rsidRDefault="00DB2828" w:rsidP="00DB2828">
            <w:pPr>
              <w:spacing w:after="0"/>
              <w:rPr>
                <w:sz w:val="18"/>
                <w:szCs w:val="18"/>
              </w:rPr>
            </w:pPr>
            <w:r w:rsidRPr="000665B0">
              <w:rPr>
                <w:sz w:val="18"/>
                <w:szCs w:val="18"/>
              </w:rPr>
              <w:t>NOB Omni DSMAC</w:t>
            </w:r>
          </w:p>
        </w:tc>
        <w:tc>
          <w:tcPr>
            <w:tcW w:w="2340" w:type="dxa"/>
            <w:tcBorders>
              <w:top w:val="nil"/>
              <w:left w:val="nil"/>
              <w:bottom w:val="single" w:sz="8" w:space="0" w:color="auto"/>
              <w:right w:val="single" w:sz="8" w:space="0" w:color="auto"/>
            </w:tcBorders>
            <w:noWrap/>
            <w:vAlign w:val="bottom"/>
          </w:tcPr>
          <w:p w14:paraId="6B84F1BA" w14:textId="6011DD6D"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663A6D38" w14:textId="28688819"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6A7CF8E6" w14:textId="4D39F754"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57657D8C" w14:textId="43D23FF6" w:rsidR="00DB2828" w:rsidRPr="000665B0" w:rsidRDefault="00DB2828" w:rsidP="00DB2828">
            <w:pPr>
              <w:spacing w:after="0"/>
              <w:rPr>
                <w:sz w:val="18"/>
                <w:szCs w:val="18"/>
              </w:rPr>
            </w:pPr>
            <w:r w:rsidRPr="000665B0">
              <w:rPr>
                <w:sz w:val="18"/>
                <w:szCs w:val="18"/>
              </w:rPr>
              <w:t>DDO with Data</w:t>
            </w:r>
          </w:p>
        </w:tc>
      </w:tr>
      <w:tr w:rsidR="00DB2828" w:rsidRPr="000665B0" w14:paraId="6C79EE46"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7778A7D1" w14:textId="73EC902A" w:rsidR="00DB2828" w:rsidRPr="000665B0" w:rsidRDefault="00DB2828" w:rsidP="00DB2828">
            <w:pPr>
              <w:spacing w:after="0"/>
              <w:rPr>
                <w:sz w:val="18"/>
                <w:szCs w:val="18"/>
              </w:rPr>
            </w:pPr>
            <w:r w:rsidRPr="000665B0">
              <w:rPr>
                <w:sz w:val="18"/>
                <w:szCs w:val="18"/>
              </w:rPr>
              <w:t>NOB Omni VUP</w:t>
            </w:r>
          </w:p>
        </w:tc>
        <w:tc>
          <w:tcPr>
            <w:tcW w:w="2340" w:type="dxa"/>
            <w:tcBorders>
              <w:top w:val="nil"/>
              <w:left w:val="nil"/>
              <w:bottom w:val="single" w:sz="8" w:space="0" w:color="auto"/>
              <w:right w:val="single" w:sz="8" w:space="0" w:color="auto"/>
            </w:tcBorders>
            <w:noWrap/>
            <w:vAlign w:val="bottom"/>
          </w:tcPr>
          <w:p w14:paraId="6ACAE3A6" w14:textId="55638641"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048C58B6" w14:textId="66225423"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1733E5E8" w14:textId="4E02AB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3D07BA11" w14:textId="5778CB85" w:rsidR="00DB2828" w:rsidRPr="000665B0" w:rsidRDefault="00DB2828" w:rsidP="00DB2828">
            <w:pPr>
              <w:spacing w:after="0"/>
              <w:rPr>
                <w:sz w:val="18"/>
                <w:szCs w:val="18"/>
              </w:rPr>
            </w:pPr>
            <w:r w:rsidRPr="000665B0">
              <w:rPr>
                <w:sz w:val="18"/>
                <w:szCs w:val="18"/>
              </w:rPr>
              <w:t>DDO with Data</w:t>
            </w:r>
          </w:p>
        </w:tc>
      </w:tr>
      <w:tr w:rsidR="00DB2828" w:rsidRPr="000665B0" w14:paraId="3A589EE7"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7D7D59DC" w14:textId="50249E9B" w:rsidR="00DB2828" w:rsidRPr="000665B0" w:rsidRDefault="00DB2828" w:rsidP="00DB2828">
            <w:pPr>
              <w:spacing w:after="0"/>
              <w:rPr>
                <w:sz w:val="18"/>
                <w:szCs w:val="18"/>
              </w:rPr>
            </w:pPr>
            <w:r w:rsidRPr="000665B0">
              <w:rPr>
                <w:sz w:val="18"/>
                <w:szCs w:val="18"/>
              </w:rPr>
              <w:t>NOB TERCOM</w:t>
            </w:r>
          </w:p>
        </w:tc>
        <w:tc>
          <w:tcPr>
            <w:tcW w:w="2340" w:type="dxa"/>
            <w:tcBorders>
              <w:top w:val="nil"/>
              <w:left w:val="nil"/>
              <w:bottom w:val="single" w:sz="8" w:space="0" w:color="auto"/>
              <w:right w:val="single" w:sz="8" w:space="0" w:color="auto"/>
            </w:tcBorders>
            <w:noWrap/>
            <w:vAlign w:val="bottom"/>
          </w:tcPr>
          <w:p w14:paraId="4CED51C5" w14:textId="27E592BA"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4766CE5A" w14:textId="2D3AAB0F"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4E074017" w14:textId="3EC12ED9"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073293B1" w14:textId="142F10DA" w:rsidR="00DB2828" w:rsidRPr="000665B0" w:rsidRDefault="00DB2828" w:rsidP="00DB2828">
            <w:pPr>
              <w:spacing w:after="0"/>
              <w:rPr>
                <w:sz w:val="18"/>
                <w:szCs w:val="18"/>
              </w:rPr>
            </w:pPr>
            <w:r w:rsidRPr="000665B0">
              <w:rPr>
                <w:sz w:val="18"/>
                <w:szCs w:val="18"/>
              </w:rPr>
              <w:t>DDO with Data</w:t>
            </w:r>
          </w:p>
        </w:tc>
      </w:tr>
      <w:tr w:rsidR="00DB2828" w:rsidRPr="000665B0" w14:paraId="4652D781"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4E3DA8F7" w14:textId="77777777" w:rsidR="00DB2828" w:rsidRPr="000665B0" w:rsidRDefault="00DB2828" w:rsidP="00DB2828">
            <w:pPr>
              <w:spacing w:after="0"/>
              <w:rPr>
                <w:sz w:val="18"/>
                <w:szCs w:val="18"/>
              </w:rPr>
            </w:pPr>
            <w:r w:rsidRPr="000665B0">
              <w:rPr>
                <w:sz w:val="18"/>
                <w:szCs w:val="18"/>
              </w:rPr>
              <w:t>TERCOM</w:t>
            </w:r>
          </w:p>
        </w:tc>
        <w:tc>
          <w:tcPr>
            <w:tcW w:w="2340" w:type="dxa"/>
            <w:tcBorders>
              <w:top w:val="nil"/>
              <w:left w:val="nil"/>
              <w:bottom w:val="single" w:sz="8" w:space="0" w:color="auto"/>
              <w:right w:val="single" w:sz="8" w:space="0" w:color="auto"/>
            </w:tcBorders>
            <w:noWrap/>
            <w:vAlign w:val="bottom"/>
          </w:tcPr>
          <w:p w14:paraId="2E87DDEE" w14:textId="77777777"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2D59C7E8"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6856DDF4"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678DCF33" w14:textId="77777777" w:rsidR="00DB2828" w:rsidRPr="000665B0" w:rsidRDefault="00DB2828" w:rsidP="00DB2828">
            <w:pPr>
              <w:spacing w:after="0"/>
              <w:rPr>
                <w:sz w:val="18"/>
                <w:szCs w:val="18"/>
              </w:rPr>
            </w:pPr>
            <w:r w:rsidRPr="000665B0">
              <w:rPr>
                <w:sz w:val="18"/>
                <w:szCs w:val="18"/>
              </w:rPr>
              <w:t>DDO with Data</w:t>
            </w:r>
          </w:p>
        </w:tc>
      </w:tr>
      <w:tr w:rsidR="00DB2828" w:rsidRPr="000665B0" w14:paraId="06B92932"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732252FE" w14:textId="77777777" w:rsidR="00DB2828" w:rsidRPr="000665B0" w:rsidRDefault="00DB2828" w:rsidP="00DB2828">
            <w:pPr>
              <w:spacing w:after="0"/>
              <w:rPr>
                <w:sz w:val="18"/>
                <w:szCs w:val="18"/>
              </w:rPr>
            </w:pPr>
            <w:r w:rsidRPr="000665B0">
              <w:rPr>
                <w:sz w:val="18"/>
                <w:szCs w:val="18"/>
              </w:rPr>
              <w:t>Strike Folder</w:t>
            </w:r>
          </w:p>
        </w:tc>
        <w:tc>
          <w:tcPr>
            <w:tcW w:w="2340" w:type="dxa"/>
            <w:tcBorders>
              <w:top w:val="nil"/>
              <w:left w:val="nil"/>
              <w:bottom w:val="single" w:sz="8" w:space="0" w:color="auto"/>
              <w:right w:val="single" w:sz="8" w:space="0" w:color="auto"/>
            </w:tcBorders>
            <w:noWrap/>
            <w:vAlign w:val="bottom"/>
          </w:tcPr>
          <w:p w14:paraId="06D6C008" w14:textId="77777777"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779199CA"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27C5E501"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6DEF0C56" w14:textId="77777777" w:rsidR="00DB2828" w:rsidRPr="000665B0" w:rsidRDefault="00DB2828" w:rsidP="00DB2828">
            <w:pPr>
              <w:spacing w:after="0"/>
              <w:rPr>
                <w:sz w:val="18"/>
                <w:szCs w:val="18"/>
              </w:rPr>
            </w:pPr>
            <w:r w:rsidRPr="000665B0">
              <w:rPr>
                <w:sz w:val="18"/>
                <w:szCs w:val="18"/>
              </w:rPr>
              <w:t>DDO with Data</w:t>
            </w:r>
          </w:p>
        </w:tc>
      </w:tr>
      <w:tr w:rsidR="00DB2828" w:rsidRPr="000665B0" w14:paraId="6D223E87"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086E10A6" w14:textId="77777777" w:rsidR="00DB2828" w:rsidRPr="000665B0" w:rsidRDefault="00DB2828" w:rsidP="00DB2828">
            <w:pPr>
              <w:spacing w:after="0"/>
              <w:rPr>
                <w:sz w:val="18"/>
                <w:szCs w:val="18"/>
              </w:rPr>
            </w:pPr>
            <w:r w:rsidRPr="000665B0">
              <w:rPr>
                <w:sz w:val="18"/>
                <w:szCs w:val="18"/>
              </w:rPr>
              <w:t>Strike Option</w:t>
            </w:r>
          </w:p>
        </w:tc>
        <w:tc>
          <w:tcPr>
            <w:tcW w:w="2340" w:type="dxa"/>
            <w:tcBorders>
              <w:top w:val="nil"/>
              <w:left w:val="nil"/>
              <w:bottom w:val="single" w:sz="8" w:space="0" w:color="auto"/>
              <w:right w:val="single" w:sz="8" w:space="0" w:color="auto"/>
            </w:tcBorders>
            <w:noWrap/>
            <w:vAlign w:val="bottom"/>
          </w:tcPr>
          <w:p w14:paraId="01816D9A" w14:textId="77777777"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5D565063"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5356BC95"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418D8488" w14:textId="77777777" w:rsidR="00DB2828" w:rsidRPr="000665B0" w:rsidRDefault="00DB2828" w:rsidP="00DB2828">
            <w:pPr>
              <w:spacing w:after="0"/>
              <w:rPr>
                <w:sz w:val="18"/>
                <w:szCs w:val="18"/>
              </w:rPr>
            </w:pPr>
            <w:r w:rsidRPr="000665B0">
              <w:rPr>
                <w:sz w:val="18"/>
                <w:szCs w:val="18"/>
              </w:rPr>
              <w:t>DDO with Data</w:t>
            </w:r>
          </w:p>
        </w:tc>
      </w:tr>
      <w:tr w:rsidR="00DB2828" w:rsidRPr="000665B0" w14:paraId="7C12A3A4"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55C5BB2D" w14:textId="604AFE90" w:rsidR="00DB2828" w:rsidRPr="000665B0" w:rsidRDefault="0098615F" w:rsidP="00DB2828">
            <w:pPr>
              <w:spacing w:after="0"/>
              <w:rPr>
                <w:sz w:val="18"/>
                <w:szCs w:val="18"/>
              </w:rPr>
            </w:pPr>
            <w:r w:rsidRPr="000665B0">
              <w:rPr>
                <w:sz w:val="18"/>
                <w:szCs w:val="18"/>
              </w:rPr>
              <w:t xml:space="preserve">Task </w:t>
            </w:r>
            <w:r w:rsidR="00DB2828" w:rsidRPr="000665B0">
              <w:rPr>
                <w:sz w:val="18"/>
                <w:szCs w:val="18"/>
              </w:rPr>
              <w:t>Organization</w:t>
            </w:r>
          </w:p>
        </w:tc>
        <w:tc>
          <w:tcPr>
            <w:tcW w:w="2340" w:type="dxa"/>
            <w:tcBorders>
              <w:top w:val="nil"/>
              <w:left w:val="nil"/>
              <w:bottom w:val="single" w:sz="8" w:space="0" w:color="auto"/>
              <w:right w:val="single" w:sz="8" w:space="0" w:color="auto"/>
            </w:tcBorders>
            <w:noWrap/>
            <w:vAlign w:val="bottom"/>
          </w:tcPr>
          <w:p w14:paraId="1DAA8A30" w14:textId="77777777"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328408F0"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0E57AD31"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549BE7A6" w14:textId="77777777" w:rsidR="00DB2828" w:rsidRPr="000665B0" w:rsidRDefault="00DB2828" w:rsidP="00DB2828">
            <w:pPr>
              <w:spacing w:after="0"/>
              <w:rPr>
                <w:sz w:val="18"/>
                <w:szCs w:val="18"/>
              </w:rPr>
            </w:pPr>
            <w:r w:rsidRPr="000665B0">
              <w:rPr>
                <w:sz w:val="18"/>
                <w:szCs w:val="18"/>
              </w:rPr>
              <w:t>DDO with Data</w:t>
            </w:r>
          </w:p>
        </w:tc>
      </w:tr>
      <w:tr w:rsidR="00DB2828" w:rsidRPr="000665B0" w14:paraId="2B00F487"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721CD0B2" w14:textId="0E2918B7" w:rsidR="00DB2828" w:rsidRPr="000665B0" w:rsidRDefault="00DB2828" w:rsidP="00DB2828">
            <w:pPr>
              <w:spacing w:after="0"/>
              <w:rPr>
                <w:sz w:val="18"/>
                <w:szCs w:val="18"/>
              </w:rPr>
            </w:pPr>
            <w:r w:rsidRPr="000665B0">
              <w:rPr>
                <w:sz w:val="18"/>
                <w:szCs w:val="18"/>
              </w:rPr>
              <w:t>Outgoing DDO</w:t>
            </w:r>
          </w:p>
        </w:tc>
        <w:tc>
          <w:tcPr>
            <w:tcW w:w="2340" w:type="dxa"/>
            <w:tcBorders>
              <w:top w:val="nil"/>
              <w:left w:val="nil"/>
              <w:bottom w:val="single" w:sz="8" w:space="0" w:color="auto"/>
              <w:right w:val="single" w:sz="8" w:space="0" w:color="auto"/>
            </w:tcBorders>
            <w:noWrap/>
            <w:vAlign w:val="bottom"/>
          </w:tcPr>
          <w:p w14:paraId="567F4243" w14:textId="77777777"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6B1DD915"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731DE52D"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5CEDD493" w14:textId="77777777" w:rsidR="00DB2828" w:rsidRPr="000665B0" w:rsidRDefault="00DB2828" w:rsidP="00DB2828">
            <w:pPr>
              <w:spacing w:after="0"/>
              <w:rPr>
                <w:sz w:val="18"/>
                <w:szCs w:val="18"/>
              </w:rPr>
            </w:pPr>
            <w:r w:rsidRPr="000665B0">
              <w:rPr>
                <w:sz w:val="18"/>
                <w:szCs w:val="18"/>
              </w:rPr>
              <w:t>DDO with Data</w:t>
            </w:r>
          </w:p>
        </w:tc>
      </w:tr>
      <w:tr w:rsidR="00DB2828" w:rsidRPr="000665B0" w14:paraId="2EEAEAF6" w14:textId="77777777" w:rsidTr="00460A85">
        <w:trPr>
          <w:trHeight w:val="270"/>
        </w:trPr>
        <w:tc>
          <w:tcPr>
            <w:tcW w:w="2355" w:type="dxa"/>
            <w:tcBorders>
              <w:top w:val="nil"/>
              <w:left w:val="single" w:sz="8" w:space="0" w:color="auto"/>
              <w:bottom w:val="single" w:sz="8" w:space="0" w:color="auto"/>
              <w:right w:val="single" w:sz="8" w:space="0" w:color="auto"/>
            </w:tcBorders>
            <w:shd w:val="clear" w:color="auto" w:fill="D9D9D9" w:themeFill="background1" w:themeFillShade="D9"/>
            <w:noWrap/>
            <w:vAlign w:val="bottom"/>
          </w:tcPr>
          <w:p w14:paraId="5EB1B2D0" w14:textId="77777777" w:rsidR="00DB2828" w:rsidRPr="000665B0" w:rsidRDefault="00DB2828" w:rsidP="00DB2828">
            <w:pPr>
              <w:spacing w:after="0"/>
              <w:rPr>
                <w:b/>
                <w:bCs/>
                <w:sz w:val="18"/>
                <w:szCs w:val="18"/>
              </w:rPr>
            </w:pPr>
            <w:r w:rsidRPr="000665B0">
              <w:rPr>
                <w:b/>
                <w:bCs/>
                <w:sz w:val="18"/>
                <w:szCs w:val="18"/>
              </w:rPr>
              <w:t>Delete Messages</w:t>
            </w:r>
          </w:p>
        </w:tc>
        <w:tc>
          <w:tcPr>
            <w:tcW w:w="2340" w:type="dxa"/>
            <w:tcBorders>
              <w:top w:val="nil"/>
              <w:left w:val="nil"/>
              <w:bottom w:val="single" w:sz="8" w:space="0" w:color="auto"/>
              <w:right w:val="single" w:sz="8" w:space="0" w:color="auto"/>
            </w:tcBorders>
            <w:shd w:val="clear" w:color="auto" w:fill="D9D9D9" w:themeFill="background1" w:themeFillShade="D9"/>
            <w:noWrap/>
            <w:vAlign w:val="bottom"/>
          </w:tcPr>
          <w:p w14:paraId="6225B23F" w14:textId="77777777" w:rsidR="00DB2828" w:rsidRPr="000665B0" w:rsidRDefault="00DB2828" w:rsidP="00DB2828">
            <w:pPr>
              <w:spacing w:after="0"/>
              <w:rPr>
                <w:sz w:val="18"/>
                <w:szCs w:val="18"/>
              </w:rPr>
            </w:pPr>
            <w:r w:rsidRPr="000665B0">
              <w:rPr>
                <w:sz w:val="18"/>
                <w:szCs w:val="18"/>
              </w:rPr>
              <w:t> </w:t>
            </w:r>
          </w:p>
        </w:tc>
        <w:tc>
          <w:tcPr>
            <w:tcW w:w="1260" w:type="dxa"/>
            <w:tcBorders>
              <w:top w:val="nil"/>
              <w:left w:val="nil"/>
              <w:bottom w:val="single" w:sz="8" w:space="0" w:color="auto"/>
              <w:right w:val="single" w:sz="8" w:space="0" w:color="auto"/>
            </w:tcBorders>
            <w:shd w:val="clear" w:color="auto" w:fill="D9D9D9" w:themeFill="background1" w:themeFillShade="D9"/>
            <w:noWrap/>
            <w:vAlign w:val="bottom"/>
          </w:tcPr>
          <w:p w14:paraId="5B340F2D" w14:textId="77777777" w:rsidR="00DB2828" w:rsidRPr="000665B0" w:rsidRDefault="00DB2828" w:rsidP="00DB2828">
            <w:pPr>
              <w:spacing w:after="0"/>
              <w:rPr>
                <w:sz w:val="18"/>
                <w:szCs w:val="18"/>
              </w:rPr>
            </w:pPr>
            <w:r w:rsidRPr="000665B0">
              <w:rPr>
                <w:sz w:val="18"/>
                <w:szCs w:val="18"/>
              </w:rPr>
              <w:t> </w:t>
            </w:r>
          </w:p>
        </w:tc>
        <w:tc>
          <w:tcPr>
            <w:tcW w:w="1620" w:type="dxa"/>
            <w:tcBorders>
              <w:top w:val="nil"/>
              <w:left w:val="nil"/>
              <w:bottom w:val="single" w:sz="8" w:space="0" w:color="auto"/>
              <w:right w:val="single" w:sz="8" w:space="0" w:color="auto"/>
            </w:tcBorders>
            <w:shd w:val="clear" w:color="auto" w:fill="D9D9D9" w:themeFill="background1" w:themeFillShade="D9"/>
            <w:noWrap/>
            <w:vAlign w:val="bottom"/>
          </w:tcPr>
          <w:p w14:paraId="77370796" w14:textId="77777777" w:rsidR="00DB2828" w:rsidRPr="000665B0" w:rsidRDefault="00DB2828" w:rsidP="00DB2828">
            <w:pPr>
              <w:spacing w:after="0"/>
              <w:rPr>
                <w:sz w:val="18"/>
                <w:szCs w:val="18"/>
              </w:rPr>
            </w:pPr>
            <w:r w:rsidRPr="000665B0">
              <w:rPr>
                <w:sz w:val="18"/>
                <w:szCs w:val="18"/>
              </w:rPr>
              <w:t> </w:t>
            </w:r>
          </w:p>
        </w:tc>
        <w:tc>
          <w:tcPr>
            <w:tcW w:w="1800" w:type="dxa"/>
            <w:tcBorders>
              <w:top w:val="nil"/>
              <w:left w:val="nil"/>
              <w:bottom w:val="single" w:sz="8" w:space="0" w:color="auto"/>
              <w:right w:val="single" w:sz="8" w:space="0" w:color="auto"/>
            </w:tcBorders>
            <w:shd w:val="clear" w:color="auto" w:fill="D9D9D9" w:themeFill="background1" w:themeFillShade="D9"/>
            <w:noWrap/>
            <w:vAlign w:val="bottom"/>
          </w:tcPr>
          <w:p w14:paraId="152B0852" w14:textId="77777777" w:rsidR="00DB2828" w:rsidRPr="000665B0" w:rsidRDefault="00DB2828" w:rsidP="00DB2828">
            <w:pPr>
              <w:spacing w:after="0"/>
              <w:rPr>
                <w:sz w:val="18"/>
                <w:szCs w:val="18"/>
              </w:rPr>
            </w:pPr>
            <w:r w:rsidRPr="000665B0">
              <w:rPr>
                <w:sz w:val="18"/>
                <w:szCs w:val="18"/>
              </w:rPr>
              <w:t> </w:t>
            </w:r>
          </w:p>
        </w:tc>
      </w:tr>
      <w:tr w:rsidR="00DB2828" w:rsidRPr="000665B0" w14:paraId="7187B79F"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0544A98D" w14:textId="77777777" w:rsidR="00DB2828" w:rsidRPr="000665B0" w:rsidRDefault="00DB2828" w:rsidP="00DB2828">
            <w:pPr>
              <w:spacing w:after="0"/>
              <w:rPr>
                <w:sz w:val="18"/>
                <w:szCs w:val="18"/>
              </w:rPr>
            </w:pPr>
            <w:r w:rsidRPr="000665B0">
              <w:rPr>
                <w:sz w:val="18"/>
                <w:szCs w:val="18"/>
              </w:rPr>
              <w:t>ACMS</w:t>
            </w:r>
          </w:p>
        </w:tc>
        <w:tc>
          <w:tcPr>
            <w:tcW w:w="2340" w:type="dxa"/>
            <w:tcBorders>
              <w:top w:val="nil"/>
              <w:left w:val="nil"/>
              <w:bottom w:val="single" w:sz="8" w:space="0" w:color="auto"/>
              <w:right w:val="single" w:sz="8" w:space="0" w:color="auto"/>
            </w:tcBorders>
            <w:noWrap/>
            <w:vAlign w:val="bottom"/>
          </w:tcPr>
          <w:p w14:paraId="362932F5" w14:textId="77777777" w:rsidR="00DB2828" w:rsidRPr="000665B0" w:rsidRDefault="00DB2828" w:rsidP="00DB2828">
            <w:pPr>
              <w:spacing w:after="0"/>
              <w:rPr>
                <w:sz w:val="18"/>
                <w:szCs w:val="18"/>
              </w:rPr>
            </w:pPr>
            <w:r w:rsidRPr="000665B0">
              <w:rPr>
                <w:sz w:val="18"/>
                <w:szCs w:val="18"/>
              </w:rPr>
              <w:t>ACMS-D</w:t>
            </w:r>
          </w:p>
        </w:tc>
        <w:tc>
          <w:tcPr>
            <w:tcW w:w="1260" w:type="dxa"/>
            <w:tcBorders>
              <w:top w:val="nil"/>
              <w:left w:val="nil"/>
              <w:bottom w:val="single" w:sz="8" w:space="0" w:color="auto"/>
              <w:right w:val="single" w:sz="8" w:space="0" w:color="auto"/>
            </w:tcBorders>
            <w:noWrap/>
            <w:vAlign w:val="bottom"/>
          </w:tcPr>
          <w:p w14:paraId="6594A556"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1297C743"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63C401D8" w14:textId="77777777" w:rsidR="00DB2828" w:rsidRPr="000665B0" w:rsidRDefault="00DB2828" w:rsidP="00DB2828">
            <w:pPr>
              <w:spacing w:after="0"/>
              <w:rPr>
                <w:sz w:val="18"/>
                <w:szCs w:val="18"/>
              </w:rPr>
            </w:pPr>
            <w:r w:rsidRPr="000665B0">
              <w:rPr>
                <w:sz w:val="18"/>
                <w:szCs w:val="18"/>
              </w:rPr>
              <w:t>N/A</w:t>
            </w:r>
          </w:p>
        </w:tc>
      </w:tr>
      <w:tr w:rsidR="00DB2828" w:rsidRPr="000665B0" w14:paraId="27D7E3FB"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7E9C4E23" w14:textId="77777777" w:rsidR="00DB2828" w:rsidRPr="000665B0" w:rsidRDefault="00DB2828" w:rsidP="00DB2828">
            <w:pPr>
              <w:spacing w:after="0"/>
              <w:rPr>
                <w:sz w:val="18"/>
                <w:szCs w:val="18"/>
              </w:rPr>
            </w:pPr>
            <w:r w:rsidRPr="000665B0">
              <w:rPr>
                <w:sz w:val="18"/>
                <w:szCs w:val="18"/>
              </w:rPr>
              <w:t>Mission</w:t>
            </w:r>
          </w:p>
        </w:tc>
        <w:tc>
          <w:tcPr>
            <w:tcW w:w="2340" w:type="dxa"/>
            <w:tcBorders>
              <w:top w:val="nil"/>
              <w:left w:val="nil"/>
              <w:bottom w:val="single" w:sz="8" w:space="0" w:color="auto"/>
              <w:right w:val="single" w:sz="8" w:space="0" w:color="auto"/>
            </w:tcBorders>
            <w:noWrap/>
            <w:vAlign w:val="bottom"/>
          </w:tcPr>
          <w:p w14:paraId="4D6E8CD3" w14:textId="77777777" w:rsidR="00DB2828" w:rsidRPr="000665B0" w:rsidRDefault="00DB2828" w:rsidP="00DB2828">
            <w:pPr>
              <w:spacing w:after="0"/>
              <w:rPr>
                <w:sz w:val="18"/>
                <w:szCs w:val="18"/>
              </w:rPr>
            </w:pPr>
            <w:r w:rsidRPr="000665B0">
              <w:rPr>
                <w:sz w:val="18"/>
                <w:szCs w:val="18"/>
              </w:rPr>
              <w:t>AMDTO-T</w:t>
            </w:r>
          </w:p>
        </w:tc>
        <w:tc>
          <w:tcPr>
            <w:tcW w:w="1260" w:type="dxa"/>
            <w:tcBorders>
              <w:top w:val="nil"/>
              <w:left w:val="nil"/>
              <w:bottom w:val="single" w:sz="8" w:space="0" w:color="auto"/>
              <w:right w:val="single" w:sz="8" w:space="0" w:color="auto"/>
            </w:tcBorders>
            <w:noWrap/>
            <w:vAlign w:val="bottom"/>
          </w:tcPr>
          <w:p w14:paraId="251D5B16"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723C2C10"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0973502F" w14:textId="77777777" w:rsidR="00DB2828" w:rsidRPr="000665B0" w:rsidRDefault="00DB2828" w:rsidP="00DB2828">
            <w:pPr>
              <w:spacing w:after="0"/>
              <w:rPr>
                <w:sz w:val="18"/>
                <w:szCs w:val="18"/>
              </w:rPr>
            </w:pPr>
            <w:r w:rsidRPr="000665B0">
              <w:rPr>
                <w:sz w:val="18"/>
                <w:szCs w:val="18"/>
              </w:rPr>
              <w:t>N/A</w:t>
            </w:r>
          </w:p>
        </w:tc>
      </w:tr>
      <w:tr w:rsidR="00DB2828" w:rsidRPr="000665B0" w14:paraId="15E03C68"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2051E3E9" w14:textId="77777777" w:rsidR="00DB2828" w:rsidRPr="000665B0" w:rsidRDefault="00DB2828" w:rsidP="00DB2828">
            <w:pPr>
              <w:spacing w:after="0"/>
              <w:rPr>
                <w:sz w:val="18"/>
                <w:szCs w:val="18"/>
              </w:rPr>
            </w:pPr>
            <w:r w:rsidRPr="000665B0">
              <w:rPr>
                <w:sz w:val="18"/>
                <w:szCs w:val="18"/>
              </w:rPr>
              <w:t>DSMAC</w:t>
            </w:r>
          </w:p>
        </w:tc>
        <w:tc>
          <w:tcPr>
            <w:tcW w:w="2340" w:type="dxa"/>
            <w:tcBorders>
              <w:top w:val="nil"/>
              <w:left w:val="nil"/>
              <w:bottom w:val="single" w:sz="8" w:space="0" w:color="auto"/>
              <w:right w:val="single" w:sz="8" w:space="0" w:color="auto"/>
            </w:tcBorders>
            <w:noWrap/>
            <w:vAlign w:val="bottom"/>
          </w:tcPr>
          <w:p w14:paraId="00A11F51" w14:textId="77777777" w:rsidR="00DB2828" w:rsidRPr="000665B0" w:rsidRDefault="00DB2828" w:rsidP="00DB2828">
            <w:pPr>
              <w:spacing w:after="0"/>
              <w:rPr>
                <w:sz w:val="18"/>
                <w:szCs w:val="18"/>
              </w:rPr>
            </w:pPr>
            <w:r w:rsidRPr="000665B0">
              <w:rPr>
                <w:sz w:val="18"/>
                <w:szCs w:val="18"/>
              </w:rPr>
              <w:t>AMDTO-T</w:t>
            </w:r>
          </w:p>
        </w:tc>
        <w:tc>
          <w:tcPr>
            <w:tcW w:w="1260" w:type="dxa"/>
            <w:tcBorders>
              <w:top w:val="nil"/>
              <w:left w:val="nil"/>
              <w:bottom w:val="single" w:sz="8" w:space="0" w:color="auto"/>
              <w:right w:val="single" w:sz="8" w:space="0" w:color="auto"/>
            </w:tcBorders>
            <w:noWrap/>
            <w:vAlign w:val="bottom"/>
          </w:tcPr>
          <w:p w14:paraId="403B0658"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336F4659"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4EEA843F" w14:textId="77777777" w:rsidR="00DB2828" w:rsidRPr="000665B0" w:rsidRDefault="00DB2828" w:rsidP="00DB2828">
            <w:pPr>
              <w:spacing w:after="0"/>
              <w:rPr>
                <w:sz w:val="18"/>
                <w:szCs w:val="18"/>
              </w:rPr>
            </w:pPr>
            <w:r w:rsidRPr="000665B0">
              <w:rPr>
                <w:sz w:val="18"/>
                <w:szCs w:val="18"/>
              </w:rPr>
              <w:t>N/A</w:t>
            </w:r>
          </w:p>
        </w:tc>
      </w:tr>
      <w:tr w:rsidR="00DB2828" w:rsidRPr="000665B0" w14:paraId="68CF039F"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567A1B40" w14:textId="77777777" w:rsidR="00DB2828" w:rsidRPr="000665B0" w:rsidRDefault="00DB2828" w:rsidP="00DB2828">
            <w:pPr>
              <w:spacing w:after="0"/>
              <w:rPr>
                <w:sz w:val="18"/>
                <w:szCs w:val="18"/>
              </w:rPr>
            </w:pPr>
            <w:r w:rsidRPr="000665B0">
              <w:rPr>
                <w:sz w:val="18"/>
                <w:szCs w:val="18"/>
              </w:rPr>
              <w:t>TERCOM</w:t>
            </w:r>
          </w:p>
        </w:tc>
        <w:tc>
          <w:tcPr>
            <w:tcW w:w="2340" w:type="dxa"/>
            <w:tcBorders>
              <w:top w:val="nil"/>
              <w:left w:val="nil"/>
              <w:bottom w:val="single" w:sz="8" w:space="0" w:color="auto"/>
              <w:right w:val="single" w:sz="8" w:space="0" w:color="auto"/>
            </w:tcBorders>
            <w:noWrap/>
            <w:vAlign w:val="bottom"/>
          </w:tcPr>
          <w:p w14:paraId="25744C4E" w14:textId="77777777" w:rsidR="00DB2828" w:rsidRPr="000665B0" w:rsidRDefault="00DB2828" w:rsidP="00DB2828">
            <w:pPr>
              <w:spacing w:after="0"/>
              <w:rPr>
                <w:sz w:val="18"/>
                <w:szCs w:val="18"/>
              </w:rPr>
            </w:pPr>
            <w:r w:rsidRPr="000665B0">
              <w:rPr>
                <w:sz w:val="18"/>
                <w:szCs w:val="18"/>
              </w:rPr>
              <w:t>AMDTO-T</w:t>
            </w:r>
          </w:p>
        </w:tc>
        <w:tc>
          <w:tcPr>
            <w:tcW w:w="1260" w:type="dxa"/>
            <w:tcBorders>
              <w:top w:val="nil"/>
              <w:left w:val="nil"/>
              <w:bottom w:val="single" w:sz="8" w:space="0" w:color="auto"/>
              <w:right w:val="single" w:sz="8" w:space="0" w:color="auto"/>
            </w:tcBorders>
            <w:noWrap/>
            <w:vAlign w:val="bottom"/>
          </w:tcPr>
          <w:p w14:paraId="79A00EF2"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0C6A461D"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64108519" w14:textId="77777777" w:rsidR="00DB2828" w:rsidRPr="000665B0" w:rsidRDefault="00DB2828" w:rsidP="00DB2828">
            <w:pPr>
              <w:spacing w:after="0"/>
              <w:rPr>
                <w:sz w:val="18"/>
                <w:szCs w:val="18"/>
              </w:rPr>
            </w:pPr>
            <w:r w:rsidRPr="000665B0">
              <w:rPr>
                <w:sz w:val="18"/>
                <w:szCs w:val="18"/>
              </w:rPr>
              <w:t>N/A</w:t>
            </w:r>
          </w:p>
        </w:tc>
      </w:tr>
      <w:tr w:rsidR="00DB2828" w:rsidRPr="000665B0" w14:paraId="2B7DF39D" w14:textId="77777777" w:rsidTr="00BD4482">
        <w:trPr>
          <w:trHeight w:val="270"/>
        </w:trPr>
        <w:tc>
          <w:tcPr>
            <w:tcW w:w="2355" w:type="dxa"/>
            <w:tcBorders>
              <w:top w:val="nil"/>
              <w:left w:val="single" w:sz="8" w:space="0" w:color="auto"/>
              <w:bottom w:val="single" w:sz="8" w:space="0" w:color="auto"/>
              <w:right w:val="single" w:sz="8" w:space="0" w:color="auto"/>
            </w:tcBorders>
            <w:noWrap/>
            <w:vAlign w:val="bottom"/>
          </w:tcPr>
          <w:p w14:paraId="19C74321" w14:textId="22A58979" w:rsidR="00DB2828" w:rsidRPr="000665B0" w:rsidRDefault="00DB2828" w:rsidP="00DB2828">
            <w:pPr>
              <w:spacing w:after="0"/>
              <w:rPr>
                <w:sz w:val="18"/>
                <w:szCs w:val="18"/>
              </w:rPr>
            </w:pPr>
            <w:r w:rsidRPr="000665B0">
              <w:rPr>
                <w:sz w:val="18"/>
                <w:szCs w:val="18"/>
              </w:rPr>
              <w:t>NOB DSMAC</w:t>
            </w:r>
          </w:p>
        </w:tc>
        <w:tc>
          <w:tcPr>
            <w:tcW w:w="2340" w:type="dxa"/>
            <w:tcBorders>
              <w:top w:val="nil"/>
              <w:left w:val="nil"/>
              <w:bottom w:val="single" w:sz="8" w:space="0" w:color="auto"/>
              <w:right w:val="single" w:sz="8" w:space="0" w:color="auto"/>
            </w:tcBorders>
            <w:noWrap/>
          </w:tcPr>
          <w:p w14:paraId="0C66FF77" w14:textId="4397B9C1"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66632DBA" w14:textId="2EBDEFF0"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05DE2CF0" w14:textId="47AAA753"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tcPr>
          <w:p w14:paraId="376EAA09" w14:textId="78E1EC85" w:rsidR="00DB2828" w:rsidRPr="000665B0" w:rsidRDefault="00DB2828" w:rsidP="00DB2828">
            <w:pPr>
              <w:spacing w:after="0"/>
              <w:rPr>
                <w:sz w:val="18"/>
                <w:szCs w:val="18"/>
              </w:rPr>
            </w:pPr>
            <w:r w:rsidRPr="000665B0">
              <w:rPr>
                <w:sz w:val="18"/>
                <w:szCs w:val="18"/>
              </w:rPr>
              <w:t>N/A</w:t>
            </w:r>
          </w:p>
        </w:tc>
      </w:tr>
      <w:tr w:rsidR="00DB2828" w:rsidRPr="000665B0" w14:paraId="4BF24092" w14:textId="77777777" w:rsidTr="00BD4482">
        <w:trPr>
          <w:trHeight w:val="270"/>
        </w:trPr>
        <w:tc>
          <w:tcPr>
            <w:tcW w:w="2355" w:type="dxa"/>
            <w:tcBorders>
              <w:top w:val="nil"/>
              <w:left w:val="single" w:sz="8" w:space="0" w:color="auto"/>
              <w:bottom w:val="single" w:sz="8" w:space="0" w:color="auto"/>
              <w:right w:val="single" w:sz="8" w:space="0" w:color="auto"/>
            </w:tcBorders>
            <w:noWrap/>
            <w:vAlign w:val="bottom"/>
          </w:tcPr>
          <w:p w14:paraId="34721739" w14:textId="0E3BB490" w:rsidR="00DB2828" w:rsidRPr="000665B0" w:rsidRDefault="00DB2828" w:rsidP="00DB2828">
            <w:pPr>
              <w:spacing w:after="0"/>
              <w:rPr>
                <w:sz w:val="18"/>
                <w:szCs w:val="18"/>
              </w:rPr>
            </w:pPr>
            <w:r w:rsidRPr="000665B0">
              <w:rPr>
                <w:sz w:val="18"/>
                <w:szCs w:val="18"/>
              </w:rPr>
              <w:t>NOB Omni DSMAC</w:t>
            </w:r>
          </w:p>
        </w:tc>
        <w:tc>
          <w:tcPr>
            <w:tcW w:w="2340" w:type="dxa"/>
            <w:tcBorders>
              <w:top w:val="nil"/>
              <w:left w:val="nil"/>
              <w:bottom w:val="single" w:sz="8" w:space="0" w:color="auto"/>
              <w:right w:val="single" w:sz="8" w:space="0" w:color="auto"/>
            </w:tcBorders>
            <w:noWrap/>
          </w:tcPr>
          <w:p w14:paraId="17F1B85B" w14:textId="238AB0BC"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2F3A3BF3" w14:textId="1AAAED86"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681A984A" w14:textId="2A66DD43"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tcPr>
          <w:p w14:paraId="5F5145DE" w14:textId="474313EE" w:rsidR="00DB2828" w:rsidRPr="000665B0" w:rsidRDefault="00DB2828" w:rsidP="00DB2828">
            <w:pPr>
              <w:spacing w:after="0"/>
              <w:rPr>
                <w:sz w:val="18"/>
                <w:szCs w:val="18"/>
              </w:rPr>
            </w:pPr>
            <w:r w:rsidRPr="000665B0">
              <w:rPr>
                <w:sz w:val="18"/>
                <w:szCs w:val="18"/>
              </w:rPr>
              <w:t>N/A</w:t>
            </w:r>
          </w:p>
        </w:tc>
      </w:tr>
      <w:tr w:rsidR="00DB2828" w:rsidRPr="000665B0" w14:paraId="3CE9B532" w14:textId="77777777" w:rsidTr="00BD4482">
        <w:trPr>
          <w:trHeight w:val="270"/>
        </w:trPr>
        <w:tc>
          <w:tcPr>
            <w:tcW w:w="2355" w:type="dxa"/>
            <w:tcBorders>
              <w:top w:val="nil"/>
              <w:left w:val="single" w:sz="8" w:space="0" w:color="auto"/>
              <w:bottom w:val="single" w:sz="8" w:space="0" w:color="auto"/>
              <w:right w:val="single" w:sz="8" w:space="0" w:color="auto"/>
            </w:tcBorders>
            <w:noWrap/>
            <w:vAlign w:val="bottom"/>
          </w:tcPr>
          <w:p w14:paraId="09BCEAF1" w14:textId="73605AF6" w:rsidR="00DB2828" w:rsidRPr="000665B0" w:rsidRDefault="00DB2828" w:rsidP="00DB2828">
            <w:pPr>
              <w:spacing w:after="0"/>
              <w:rPr>
                <w:sz w:val="18"/>
                <w:szCs w:val="18"/>
              </w:rPr>
            </w:pPr>
            <w:r w:rsidRPr="000665B0">
              <w:rPr>
                <w:sz w:val="18"/>
                <w:szCs w:val="18"/>
              </w:rPr>
              <w:t>NOB Omni VUP</w:t>
            </w:r>
          </w:p>
        </w:tc>
        <w:tc>
          <w:tcPr>
            <w:tcW w:w="2340" w:type="dxa"/>
            <w:tcBorders>
              <w:top w:val="nil"/>
              <w:left w:val="nil"/>
              <w:bottom w:val="single" w:sz="8" w:space="0" w:color="auto"/>
              <w:right w:val="single" w:sz="8" w:space="0" w:color="auto"/>
            </w:tcBorders>
            <w:noWrap/>
          </w:tcPr>
          <w:p w14:paraId="2F8DCADC" w14:textId="528E96D6"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6DAC334F" w14:textId="433D792B"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0239524B" w14:textId="285E2FE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tcPr>
          <w:p w14:paraId="6C16ACA2" w14:textId="40607D1F" w:rsidR="00DB2828" w:rsidRPr="000665B0" w:rsidRDefault="00DB2828" w:rsidP="00DB2828">
            <w:pPr>
              <w:spacing w:after="0"/>
              <w:rPr>
                <w:sz w:val="18"/>
                <w:szCs w:val="18"/>
              </w:rPr>
            </w:pPr>
            <w:r w:rsidRPr="000665B0">
              <w:rPr>
                <w:sz w:val="18"/>
                <w:szCs w:val="18"/>
              </w:rPr>
              <w:t>N/A</w:t>
            </w:r>
          </w:p>
        </w:tc>
      </w:tr>
      <w:tr w:rsidR="00DB2828" w:rsidRPr="000665B0" w14:paraId="04FDA3F3" w14:textId="77777777" w:rsidTr="00BD4482">
        <w:trPr>
          <w:trHeight w:val="270"/>
        </w:trPr>
        <w:tc>
          <w:tcPr>
            <w:tcW w:w="2355" w:type="dxa"/>
            <w:tcBorders>
              <w:top w:val="nil"/>
              <w:left w:val="single" w:sz="8" w:space="0" w:color="auto"/>
              <w:bottom w:val="single" w:sz="8" w:space="0" w:color="auto"/>
              <w:right w:val="single" w:sz="8" w:space="0" w:color="auto"/>
            </w:tcBorders>
            <w:noWrap/>
            <w:vAlign w:val="bottom"/>
          </w:tcPr>
          <w:p w14:paraId="4C33B4E4" w14:textId="50ACDDAF" w:rsidR="00DB2828" w:rsidRPr="000665B0" w:rsidRDefault="00DB2828" w:rsidP="00DB2828">
            <w:pPr>
              <w:spacing w:after="0"/>
              <w:rPr>
                <w:sz w:val="18"/>
                <w:szCs w:val="18"/>
              </w:rPr>
            </w:pPr>
            <w:r w:rsidRPr="000665B0">
              <w:rPr>
                <w:sz w:val="18"/>
                <w:szCs w:val="18"/>
              </w:rPr>
              <w:t>NOB TERCOM</w:t>
            </w:r>
          </w:p>
        </w:tc>
        <w:tc>
          <w:tcPr>
            <w:tcW w:w="2340" w:type="dxa"/>
            <w:tcBorders>
              <w:top w:val="nil"/>
              <w:left w:val="nil"/>
              <w:bottom w:val="single" w:sz="8" w:space="0" w:color="auto"/>
              <w:right w:val="single" w:sz="8" w:space="0" w:color="auto"/>
            </w:tcBorders>
            <w:noWrap/>
          </w:tcPr>
          <w:p w14:paraId="76AF6A3D" w14:textId="12C17119"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428B9714" w14:textId="221C7C7D"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002FA9EB" w14:textId="39E087ED"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tcPr>
          <w:p w14:paraId="3F965312" w14:textId="75CB51A2" w:rsidR="00DB2828" w:rsidRPr="000665B0" w:rsidRDefault="00DB2828" w:rsidP="00DB2828">
            <w:pPr>
              <w:spacing w:after="0"/>
              <w:rPr>
                <w:sz w:val="18"/>
                <w:szCs w:val="18"/>
              </w:rPr>
            </w:pPr>
            <w:r w:rsidRPr="000665B0">
              <w:rPr>
                <w:sz w:val="18"/>
                <w:szCs w:val="18"/>
              </w:rPr>
              <w:t>N/A</w:t>
            </w:r>
          </w:p>
        </w:tc>
      </w:tr>
      <w:tr w:rsidR="00DB2828" w:rsidRPr="000665B0" w14:paraId="06811546" w14:textId="77777777" w:rsidTr="00460A85">
        <w:trPr>
          <w:trHeight w:val="270"/>
        </w:trPr>
        <w:tc>
          <w:tcPr>
            <w:tcW w:w="2355" w:type="dxa"/>
            <w:tcBorders>
              <w:top w:val="nil"/>
              <w:left w:val="single" w:sz="8" w:space="0" w:color="auto"/>
              <w:bottom w:val="single" w:sz="8" w:space="0" w:color="auto"/>
              <w:right w:val="single" w:sz="8" w:space="0" w:color="auto"/>
            </w:tcBorders>
            <w:shd w:val="clear" w:color="auto" w:fill="D9D9D9" w:themeFill="background1" w:themeFillShade="D9"/>
            <w:noWrap/>
            <w:vAlign w:val="bottom"/>
          </w:tcPr>
          <w:p w14:paraId="68CAC80C" w14:textId="77777777" w:rsidR="00DB2828" w:rsidRPr="000665B0" w:rsidRDefault="00DB2828" w:rsidP="00DB2828">
            <w:pPr>
              <w:spacing w:after="0"/>
              <w:rPr>
                <w:b/>
                <w:bCs/>
                <w:sz w:val="18"/>
                <w:szCs w:val="18"/>
              </w:rPr>
            </w:pPr>
            <w:r w:rsidRPr="000665B0">
              <w:rPr>
                <w:b/>
                <w:bCs/>
                <w:sz w:val="18"/>
                <w:szCs w:val="18"/>
              </w:rPr>
              <w:t>Delete Messages</w:t>
            </w:r>
          </w:p>
        </w:tc>
        <w:tc>
          <w:tcPr>
            <w:tcW w:w="2340" w:type="dxa"/>
            <w:tcBorders>
              <w:top w:val="nil"/>
              <w:left w:val="nil"/>
              <w:bottom w:val="single" w:sz="8" w:space="0" w:color="auto"/>
              <w:right w:val="single" w:sz="8" w:space="0" w:color="auto"/>
            </w:tcBorders>
            <w:shd w:val="clear" w:color="auto" w:fill="D9D9D9" w:themeFill="background1" w:themeFillShade="D9"/>
            <w:noWrap/>
            <w:vAlign w:val="bottom"/>
          </w:tcPr>
          <w:p w14:paraId="466953AB" w14:textId="77777777" w:rsidR="00DB2828" w:rsidRPr="000665B0" w:rsidRDefault="00DB2828" w:rsidP="00DB2828">
            <w:pPr>
              <w:spacing w:after="0"/>
              <w:rPr>
                <w:sz w:val="18"/>
                <w:szCs w:val="18"/>
              </w:rPr>
            </w:pPr>
            <w:r w:rsidRPr="000665B0">
              <w:rPr>
                <w:sz w:val="18"/>
                <w:szCs w:val="18"/>
              </w:rPr>
              <w:t> </w:t>
            </w:r>
          </w:p>
        </w:tc>
        <w:tc>
          <w:tcPr>
            <w:tcW w:w="1260" w:type="dxa"/>
            <w:tcBorders>
              <w:top w:val="nil"/>
              <w:left w:val="nil"/>
              <w:bottom w:val="single" w:sz="8" w:space="0" w:color="auto"/>
              <w:right w:val="single" w:sz="8" w:space="0" w:color="auto"/>
            </w:tcBorders>
            <w:shd w:val="clear" w:color="auto" w:fill="D9D9D9" w:themeFill="background1" w:themeFillShade="D9"/>
            <w:noWrap/>
            <w:vAlign w:val="bottom"/>
          </w:tcPr>
          <w:p w14:paraId="51BBA2C2" w14:textId="77777777" w:rsidR="00DB2828" w:rsidRPr="000665B0" w:rsidRDefault="00DB2828" w:rsidP="00DB2828">
            <w:pPr>
              <w:spacing w:after="0"/>
              <w:rPr>
                <w:sz w:val="18"/>
                <w:szCs w:val="18"/>
              </w:rPr>
            </w:pPr>
            <w:r w:rsidRPr="000665B0">
              <w:rPr>
                <w:sz w:val="18"/>
                <w:szCs w:val="18"/>
              </w:rPr>
              <w:t> </w:t>
            </w:r>
          </w:p>
        </w:tc>
        <w:tc>
          <w:tcPr>
            <w:tcW w:w="1620" w:type="dxa"/>
            <w:tcBorders>
              <w:top w:val="nil"/>
              <w:left w:val="nil"/>
              <w:bottom w:val="single" w:sz="8" w:space="0" w:color="auto"/>
              <w:right w:val="single" w:sz="8" w:space="0" w:color="auto"/>
            </w:tcBorders>
            <w:shd w:val="clear" w:color="auto" w:fill="D9D9D9" w:themeFill="background1" w:themeFillShade="D9"/>
            <w:noWrap/>
            <w:vAlign w:val="bottom"/>
          </w:tcPr>
          <w:p w14:paraId="265FCBF0" w14:textId="77777777" w:rsidR="00DB2828" w:rsidRPr="000665B0" w:rsidRDefault="00DB2828" w:rsidP="00DB2828">
            <w:pPr>
              <w:spacing w:after="0"/>
              <w:rPr>
                <w:sz w:val="18"/>
                <w:szCs w:val="18"/>
              </w:rPr>
            </w:pPr>
            <w:r w:rsidRPr="000665B0">
              <w:rPr>
                <w:sz w:val="18"/>
                <w:szCs w:val="18"/>
              </w:rPr>
              <w:t> </w:t>
            </w:r>
          </w:p>
        </w:tc>
        <w:tc>
          <w:tcPr>
            <w:tcW w:w="1800" w:type="dxa"/>
            <w:tcBorders>
              <w:top w:val="nil"/>
              <w:left w:val="nil"/>
              <w:bottom w:val="single" w:sz="8" w:space="0" w:color="auto"/>
              <w:right w:val="single" w:sz="8" w:space="0" w:color="auto"/>
            </w:tcBorders>
            <w:shd w:val="clear" w:color="auto" w:fill="D9D9D9" w:themeFill="background1" w:themeFillShade="D9"/>
            <w:noWrap/>
            <w:vAlign w:val="bottom"/>
          </w:tcPr>
          <w:p w14:paraId="441F7966" w14:textId="77777777" w:rsidR="00DB2828" w:rsidRPr="000665B0" w:rsidRDefault="00DB2828" w:rsidP="00DB2828">
            <w:pPr>
              <w:spacing w:after="0"/>
              <w:rPr>
                <w:sz w:val="18"/>
                <w:szCs w:val="18"/>
              </w:rPr>
            </w:pPr>
            <w:r w:rsidRPr="000665B0">
              <w:rPr>
                <w:sz w:val="18"/>
                <w:szCs w:val="18"/>
              </w:rPr>
              <w:t> </w:t>
            </w:r>
          </w:p>
        </w:tc>
      </w:tr>
      <w:tr w:rsidR="00DB2828" w:rsidRPr="000665B0" w14:paraId="32419218"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2119E264" w14:textId="77777777" w:rsidR="00DB2828" w:rsidRPr="000665B0" w:rsidRDefault="00DB2828" w:rsidP="00DB2828">
            <w:pPr>
              <w:spacing w:after="0"/>
              <w:rPr>
                <w:sz w:val="18"/>
                <w:szCs w:val="18"/>
              </w:rPr>
            </w:pPr>
            <w:r w:rsidRPr="000665B0">
              <w:rPr>
                <w:sz w:val="18"/>
                <w:szCs w:val="18"/>
              </w:rPr>
              <w:t>Strike Folder</w:t>
            </w:r>
          </w:p>
        </w:tc>
        <w:tc>
          <w:tcPr>
            <w:tcW w:w="2340" w:type="dxa"/>
            <w:tcBorders>
              <w:top w:val="nil"/>
              <w:left w:val="nil"/>
              <w:bottom w:val="single" w:sz="8" w:space="0" w:color="auto"/>
              <w:right w:val="single" w:sz="8" w:space="0" w:color="auto"/>
            </w:tcBorders>
            <w:noWrap/>
            <w:vAlign w:val="bottom"/>
          </w:tcPr>
          <w:p w14:paraId="790EE680" w14:textId="77777777"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4BADA3FA"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5F7881D0"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2D18FA28" w14:textId="77777777" w:rsidR="00DB2828" w:rsidRPr="000665B0" w:rsidRDefault="00DB2828" w:rsidP="00DB2828">
            <w:pPr>
              <w:spacing w:after="0"/>
              <w:rPr>
                <w:sz w:val="18"/>
                <w:szCs w:val="18"/>
              </w:rPr>
            </w:pPr>
            <w:r w:rsidRPr="000665B0">
              <w:rPr>
                <w:sz w:val="18"/>
                <w:szCs w:val="18"/>
              </w:rPr>
              <w:t>N/A</w:t>
            </w:r>
          </w:p>
        </w:tc>
      </w:tr>
      <w:tr w:rsidR="00DB2828" w:rsidRPr="000665B0" w14:paraId="5FC1A97A"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188E7A16" w14:textId="77777777" w:rsidR="00DB2828" w:rsidRPr="000665B0" w:rsidRDefault="00DB2828" w:rsidP="00DB2828">
            <w:pPr>
              <w:spacing w:after="0"/>
              <w:rPr>
                <w:sz w:val="18"/>
                <w:szCs w:val="18"/>
              </w:rPr>
            </w:pPr>
            <w:r w:rsidRPr="000665B0">
              <w:rPr>
                <w:sz w:val="18"/>
                <w:szCs w:val="18"/>
              </w:rPr>
              <w:t>Strike Option</w:t>
            </w:r>
          </w:p>
        </w:tc>
        <w:tc>
          <w:tcPr>
            <w:tcW w:w="2340" w:type="dxa"/>
            <w:tcBorders>
              <w:top w:val="nil"/>
              <w:left w:val="nil"/>
              <w:bottom w:val="single" w:sz="8" w:space="0" w:color="auto"/>
              <w:right w:val="single" w:sz="8" w:space="0" w:color="auto"/>
            </w:tcBorders>
            <w:noWrap/>
            <w:vAlign w:val="bottom"/>
          </w:tcPr>
          <w:p w14:paraId="2CEE6FE4" w14:textId="77777777"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524745C2"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134C0BB4"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6769C544" w14:textId="77777777" w:rsidR="00DB2828" w:rsidRPr="000665B0" w:rsidRDefault="00DB2828" w:rsidP="00DB2828">
            <w:pPr>
              <w:spacing w:after="0"/>
              <w:rPr>
                <w:sz w:val="18"/>
                <w:szCs w:val="18"/>
              </w:rPr>
            </w:pPr>
            <w:r w:rsidRPr="000665B0">
              <w:rPr>
                <w:sz w:val="18"/>
                <w:szCs w:val="18"/>
              </w:rPr>
              <w:t>N/A</w:t>
            </w:r>
          </w:p>
        </w:tc>
      </w:tr>
      <w:tr w:rsidR="00DB2828" w:rsidRPr="000665B0" w14:paraId="5466C58C"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238F9D1E" w14:textId="3814C576" w:rsidR="00DB2828" w:rsidRPr="000665B0" w:rsidRDefault="0098615F" w:rsidP="00DB2828">
            <w:pPr>
              <w:spacing w:after="0"/>
              <w:rPr>
                <w:sz w:val="18"/>
                <w:szCs w:val="18"/>
              </w:rPr>
            </w:pPr>
            <w:r w:rsidRPr="000665B0">
              <w:rPr>
                <w:sz w:val="18"/>
                <w:szCs w:val="18"/>
              </w:rPr>
              <w:t xml:space="preserve">Task </w:t>
            </w:r>
            <w:r w:rsidR="00DB2828" w:rsidRPr="000665B0">
              <w:rPr>
                <w:sz w:val="18"/>
                <w:szCs w:val="18"/>
              </w:rPr>
              <w:t>Organization</w:t>
            </w:r>
          </w:p>
        </w:tc>
        <w:tc>
          <w:tcPr>
            <w:tcW w:w="2340" w:type="dxa"/>
            <w:tcBorders>
              <w:top w:val="nil"/>
              <w:left w:val="nil"/>
              <w:bottom w:val="single" w:sz="8" w:space="0" w:color="auto"/>
              <w:right w:val="single" w:sz="8" w:space="0" w:color="auto"/>
            </w:tcBorders>
            <w:noWrap/>
            <w:vAlign w:val="bottom"/>
          </w:tcPr>
          <w:p w14:paraId="578B3BAC" w14:textId="77777777"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137D2308"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42B5B2D0"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4F99A549" w14:textId="77777777" w:rsidR="00DB2828" w:rsidRPr="000665B0" w:rsidRDefault="00DB2828" w:rsidP="00DB2828">
            <w:pPr>
              <w:spacing w:after="0"/>
              <w:rPr>
                <w:sz w:val="18"/>
                <w:szCs w:val="18"/>
              </w:rPr>
            </w:pPr>
            <w:r w:rsidRPr="000665B0">
              <w:rPr>
                <w:sz w:val="18"/>
                <w:szCs w:val="18"/>
              </w:rPr>
              <w:t>N/A</w:t>
            </w:r>
          </w:p>
        </w:tc>
      </w:tr>
      <w:tr w:rsidR="00DB2828" w:rsidRPr="000665B0" w14:paraId="6BE8293C" w14:textId="77777777" w:rsidTr="00460A85">
        <w:trPr>
          <w:trHeight w:val="270"/>
        </w:trPr>
        <w:tc>
          <w:tcPr>
            <w:tcW w:w="2355" w:type="dxa"/>
            <w:tcBorders>
              <w:top w:val="nil"/>
              <w:left w:val="single" w:sz="8" w:space="0" w:color="auto"/>
              <w:bottom w:val="single" w:sz="8" w:space="0" w:color="auto"/>
              <w:right w:val="single" w:sz="8" w:space="0" w:color="auto"/>
            </w:tcBorders>
            <w:shd w:val="clear" w:color="auto" w:fill="D9D9D9" w:themeFill="background1" w:themeFillShade="D9"/>
            <w:noWrap/>
            <w:vAlign w:val="bottom"/>
          </w:tcPr>
          <w:p w14:paraId="05B57882" w14:textId="77777777" w:rsidR="00DB2828" w:rsidRPr="000665B0" w:rsidRDefault="00DB2828" w:rsidP="00DB2828">
            <w:pPr>
              <w:spacing w:after="0"/>
              <w:rPr>
                <w:b/>
                <w:bCs/>
                <w:sz w:val="18"/>
                <w:szCs w:val="18"/>
              </w:rPr>
            </w:pPr>
            <w:r w:rsidRPr="000665B0">
              <w:rPr>
                <w:b/>
                <w:bCs/>
                <w:sz w:val="18"/>
                <w:szCs w:val="18"/>
              </w:rPr>
              <w:t>Activate/Deactivate Messages</w:t>
            </w:r>
          </w:p>
        </w:tc>
        <w:tc>
          <w:tcPr>
            <w:tcW w:w="2340" w:type="dxa"/>
            <w:tcBorders>
              <w:top w:val="nil"/>
              <w:left w:val="nil"/>
              <w:bottom w:val="single" w:sz="8" w:space="0" w:color="auto"/>
              <w:right w:val="single" w:sz="8" w:space="0" w:color="auto"/>
            </w:tcBorders>
            <w:shd w:val="clear" w:color="auto" w:fill="D9D9D9" w:themeFill="background1" w:themeFillShade="D9"/>
            <w:noWrap/>
            <w:vAlign w:val="bottom"/>
          </w:tcPr>
          <w:p w14:paraId="1DDCD53E" w14:textId="77777777" w:rsidR="00DB2828" w:rsidRPr="000665B0" w:rsidRDefault="00DB2828" w:rsidP="00DB2828">
            <w:pPr>
              <w:spacing w:after="0"/>
              <w:rPr>
                <w:sz w:val="18"/>
                <w:szCs w:val="18"/>
              </w:rPr>
            </w:pPr>
            <w:r w:rsidRPr="000665B0">
              <w:rPr>
                <w:sz w:val="18"/>
                <w:szCs w:val="18"/>
              </w:rPr>
              <w:t> </w:t>
            </w:r>
          </w:p>
        </w:tc>
        <w:tc>
          <w:tcPr>
            <w:tcW w:w="1260" w:type="dxa"/>
            <w:tcBorders>
              <w:top w:val="nil"/>
              <w:left w:val="nil"/>
              <w:bottom w:val="single" w:sz="8" w:space="0" w:color="auto"/>
              <w:right w:val="single" w:sz="8" w:space="0" w:color="auto"/>
            </w:tcBorders>
            <w:shd w:val="clear" w:color="auto" w:fill="D9D9D9" w:themeFill="background1" w:themeFillShade="D9"/>
            <w:noWrap/>
            <w:vAlign w:val="bottom"/>
          </w:tcPr>
          <w:p w14:paraId="3BED5FF9" w14:textId="77777777" w:rsidR="00DB2828" w:rsidRPr="000665B0" w:rsidRDefault="00DB2828" w:rsidP="00DB2828">
            <w:pPr>
              <w:spacing w:after="0"/>
              <w:rPr>
                <w:sz w:val="18"/>
                <w:szCs w:val="18"/>
              </w:rPr>
            </w:pPr>
            <w:r w:rsidRPr="000665B0">
              <w:rPr>
                <w:sz w:val="18"/>
                <w:szCs w:val="18"/>
              </w:rPr>
              <w:t> </w:t>
            </w:r>
          </w:p>
        </w:tc>
        <w:tc>
          <w:tcPr>
            <w:tcW w:w="1620" w:type="dxa"/>
            <w:tcBorders>
              <w:top w:val="nil"/>
              <w:left w:val="nil"/>
              <w:bottom w:val="single" w:sz="8" w:space="0" w:color="auto"/>
              <w:right w:val="single" w:sz="8" w:space="0" w:color="auto"/>
            </w:tcBorders>
            <w:shd w:val="clear" w:color="auto" w:fill="D9D9D9" w:themeFill="background1" w:themeFillShade="D9"/>
            <w:noWrap/>
            <w:vAlign w:val="bottom"/>
          </w:tcPr>
          <w:p w14:paraId="1C87B2FE" w14:textId="77777777" w:rsidR="00DB2828" w:rsidRPr="000665B0" w:rsidRDefault="00DB2828" w:rsidP="00DB2828">
            <w:pPr>
              <w:spacing w:after="0"/>
              <w:rPr>
                <w:sz w:val="18"/>
                <w:szCs w:val="18"/>
              </w:rPr>
            </w:pPr>
            <w:r w:rsidRPr="000665B0">
              <w:rPr>
                <w:sz w:val="18"/>
                <w:szCs w:val="18"/>
              </w:rPr>
              <w:t> </w:t>
            </w:r>
          </w:p>
        </w:tc>
        <w:tc>
          <w:tcPr>
            <w:tcW w:w="1800" w:type="dxa"/>
            <w:tcBorders>
              <w:top w:val="nil"/>
              <w:left w:val="nil"/>
              <w:bottom w:val="single" w:sz="8" w:space="0" w:color="auto"/>
              <w:right w:val="single" w:sz="8" w:space="0" w:color="auto"/>
            </w:tcBorders>
            <w:shd w:val="clear" w:color="auto" w:fill="D9D9D9" w:themeFill="background1" w:themeFillShade="D9"/>
            <w:noWrap/>
            <w:vAlign w:val="bottom"/>
          </w:tcPr>
          <w:p w14:paraId="1CEA8474" w14:textId="77777777" w:rsidR="00DB2828" w:rsidRPr="000665B0" w:rsidRDefault="00DB2828" w:rsidP="00DB2828">
            <w:pPr>
              <w:spacing w:after="0"/>
              <w:rPr>
                <w:sz w:val="18"/>
                <w:szCs w:val="18"/>
              </w:rPr>
            </w:pPr>
            <w:r w:rsidRPr="000665B0">
              <w:rPr>
                <w:sz w:val="18"/>
                <w:szCs w:val="18"/>
              </w:rPr>
              <w:t> </w:t>
            </w:r>
          </w:p>
        </w:tc>
      </w:tr>
      <w:tr w:rsidR="00DB2828" w:rsidRPr="000665B0" w14:paraId="0899F9BB"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4482CD7F" w14:textId="77777777" w:rsidR="00DB2828" w:rsidRPr="000665B0" w:rsidRDefault="00DB2828" w:rsidP="00DB2828">
            <w:pPr>
              <w:spacing w:after="0"/>
              <w:rPr>
                <w:sz w:val="18"/>
                <w:szCs w:val="18"/>
              </w:rPr>
            </w:pPr>
            <w:r w:rsidRPr="000665B0">
              <w:rPr>
                <w:sz w:val="18"/>
                <w:szCs w:val="18"/>
              </w:rPr>
              <w:t>Missions</w:t>
            </w:r>
          </w:p>
        </w:tc>
        <w:tc>
          <w:tcPr>
            <w:tcW w:w="2340" w:type="dxa"/>
            <w:tcBorders>
              <w:top w:val="nil"/>
              <w:left w:val="nil"/>
              <w:bottom w:val="single" w:sz="8" w:space="0" w:color="auto"/>
              <w:right w:val="single" w:sz="8" w:space="0" w:color="auto"/>
            </w:tcBorders>
            <w:noWrap/>
            <w:vAlign w:val="bottom"/>
          </w:tcPr>
          <w:p w14:paraId="69124DC9" w14:textId="77777777" w:rsidR="00DB2828" w:rsidRPr="000665B0" w:rsidRDefault="00DB2828" w:rsidP="00DB2828">
            <w:pPr>
              <w:spacing w:after="0"/>
              <w:rPr>
                <w:sz w:val="18"/>
                <w:szCs w:val="18"/>
              </w:rPr>
            </w:pPr>
            <w:r w:rsidRPr="000665B0">
              <w:rPr>
                <w:sz w:val="18"/>
                <w:szCs w:val="18"/>
              </w:rPr>
              <w:t>N/A</w:t>
            </w:r>
          </w:p>
        </w:tc>
        <w:tc>
          <w:tcPr>
            <w:tcW w:w="1260" w:type="dxa"/>
            <w:tcBorders>
              <w:top w:val="nil"/>
              <w:left w:val="nil"/>
              <w:bottom w:val="single" w:sz="8" w:space="0" w:color="auto"/>
              <w:right w:val="single" w:sz="8" w:space="0" w:color="auto"/>
            </w:tcBorders>
            <w:noWrap/>
            <w:vAlign w:val="bottom"/>
          </w:tcPr>
          <w:p w14:paraId="7E3F1140" w14:textId="77777777" w:rsidR="00DB2828" w:rsidRPr="000665B0" w:rsidRDefault="00DB2828" w:rsidP="00DB2828">
            <w:pPr>
              <w:spacing w:after="0"/>
              <w:rPr>
                <w:sz w:val="18"/>
                <w:szCs w:val="18"/>
              </w:rPr>
            </w:pPr>
            <w:r w:rsidRPr="000665B0">
              <w:rPr>
                <w:sz w:val="18"/>
                <w:szCs w:val="18"/>
              </w:rPr>
              <w:t>N/A</w:t>
            </w:r>
          </w:p>
        </w:tc>
        <w:tc>
          <w:tcPr>
            <w:tcW w:w="1620" w:type="dxa"/>
            <w:tcBorders>
              <w:top w:val="nil"/>
              <w:left w:val="nil"/>
              <w:bottom w:val="single" w:sz="8" w:space="0" w:color="auto"/>
              <w:right w:val="single" w:sz="8" w:space="0" w:color="auto"/>
            </w:tcBorders>
            <w:noWrap/>
            <w:vAlign w:val="bottom"/>
          </w:tcPr>
          <w:p w14:paraId="5485C068" w14:textId="77777777" w:rsidR="00DB2828" w:rsidRPr="000665B0" w:rsidRDefault="00DB2828" w:rsidP="00DB2828">
            <w:pPr>
              <w:spacing w:after="0"/>
              <w:rPr>
                <w:sz w:val="18"/>
                <w:szCs w:val="18"/>
              </w:rPr>
            </w:pPr>
            <w:r w:rsidRPr="000665B0">
              <w:rPr>
                <w:sz w:val="18"/>
                <w:szCs w:val="18"/>
              </w:rPr>
              <w:t>DDO</w:t>
            </w:r>
          </w:p>
        </w:tc>
        <w:tc>
          <w:tcPr>
            <w:tcW w:w="1800" w:type="dxa"/>
            <w:tcBorders>
              <w:top w:val="nil"/>
              <w:left w:val="nil"/>
              <w:bottom w:val="single" w:sz="8" w:space="0" w:color="auto"/>
              <w:right w:val="single" w:sz="8" w:space="0" w:color="auto"/>
            </w:tcBorders>
            <w:noWrap/>
            <w:vAlign w:val="bottom"/>
          </w:tcPr>
          <w:p w14:paraId="2A332EDF" w14:textId="77777777" w:rsidR="00DB2828" w:rsidRPr="000665B0" w:rsidRDefault="00DB2828" w:rsidP="00DB2828">
            <w:pPr>
              <w:spacing w:after="0"/>
              <w:rPr>
                <w:sz w:val="18"/>
                <w:szCs w:val="18"/>
              </w:rPr>
            </w:pPr>
            <w:r w:rsidRPr="000665B0">
              <w:rPr>
                <w:sz w:val="18"/>
                <w:szCs w:val="18"/>
              </w:rPr>
              <w:t>N/A</w:t>
            </w:r>
          </w:p>
        </w:tc>
      </w:tr>
      <w:tr w:rsidR="00DB2828" w:rsidRPr="000665B0" w14:paraId="6B8E8042" w14:textId="77777777">
        <w:trPr>
          <w:trHeight w:val="270"/>
        </w:trPr>
        <w:tc>
          <w:tcPr>
            <w:tcW w:w="2355" w:type="dxa"/>
            <w:tcBorders>
              <w:top w:val="nil"/>
              <w:left w:val="single" w:sz="8" w:space="0" w:color="auto"/>
              <w:bottom w:val="single" w:sz="8" w:space="0" w:color="auto"/>
              <w:right w:val="single" w:sz="8" w:space="0" w:color="auto"/>
            </w:tcBorders>
            <w:noWrap/>
            <w:vAlign w:val="bottom"/>
          </w:tcPr>
          <w:p w14:paraId="3A812750" w14:textId="54DB61A1" w:rsidR="00DB2828" w:rsidRPr="000665B0" w:rsidRDefault="00DB2828" w:rsidP="00DB2828">
            <w:pPr>
              <w:spacing w:after="0"/>
              <w:rPr>
                <w:sz w:val="18"/>
                <w:szCs w:val="18"/>
              </w:rPr>
            </w:pPr>
            <w:r w:rsidRPr="000665B0">
              <w:rPr>
                <w:sz w:val="18"/>
                <w:szCs w:val="18"/>
              </w:rPr>
              <w:t>Mission Library</w:t>
            </w:r>
          </w:p>
        </w:tc>
        <w:tc>
          <w:tcPr>
            <w:tcW w:w="2340" w:type="dxa"/>
            <w:tcBorders>
              <w:top w:val="nil"/>
              <w:left w:val="nil"/>
              <w:bottom w:val="single" w:sz="8" w:space="0" w:color="auto"/>
              <w:right w:val="single" w:sz="8" w:space="0" w:color="auto"/>
            </w:tcBorders>
            <w:noWrap/>
            <w:vAlign w:val="bottom"/>
          </w:tcPr>
          <w:p w14:paraId="07CE055A" w14:textId="77777777" w:rsidR="00DB2828" w:rsidRPr="000665B0" w:rsidRDefault="00DB2828" w:rsidP="00DB2828">
            <w:pPr>
              <w:spacing w:after="0"/>
              <w:rPr>
                <w:sz w:val="18"/>
                <w:szCs w:val="18"/>
              </w:rPr>
            </w:pPr>
          </w:p>
        </w:tc>
        <w:tc>
          <w:tcPr>
            <w:tcW w:w="1260" w:type="dxa"/>
            <w:tcBorders>
              <w:top w:val="nil"/>
              <w:left w:val="nil"/>
              <w:bottom w:val="single" w:sz="8" w:space="0" w:color="auto"/>
              <w:right w:val="single" w:sz="8" w:space="0" w:color="auto"/>
            </w:tcBorders>
            <w:noWrap/>
            <w:vAlign w:val="bottom"/>
          </w:tcPr>
          <w:p w14:paraId="05B006A5" w14:textId="77777777" w:rsidR="00DB2828" w:rsidRPr="000665B0" w:rsidRDefault="00DB2828" w:rsidP="00DB2828">
            <w:pPr>
              <w:spacing w:after="0"/>
              <w:rPr>
                <w:sz w:val="18"/>
                <w:szCs w:val="18"/>
              </w:rPr>
            </w:pPr>
          </w:p>
        </w:tc>
        <w:tc>
          <w:tcPr>
            <w:tcW w:w="1620" w:type="dxa"/>
            <w:tcBorders>
              <w:top w:val="nil"/>
              <w:left w:val="nil"/>
              <w:bottom w:val="single" w:sz="8" w:space="0" w:color="auto"/>
              <w:right w:val="single" w:sz="8" w:space="0" w:color="auto"/>
            </w:tcBorders>
            <w:noWrap/>
            <w:vAlign w:val="bottom"/>
          </w:tcPr>
          <w:p w14:paraId="4CFB9D37" w14:textId="77777777" w:rsidR="00DB2828" w:rsidRPr="000665B0" w:rsidRDefault="00DB2828" w:rsidP="00DB2828">
            <w:pPr>
              <w:spacing w:after="0"/>
              <w:rPr>
                <w:sz w:val="18"/>
                <w:szCs w:val="18"/>
              </w:rPr>
            </w:pPr>
          </w:p>
        </w:tc>
        <w:tc>
          <w:tcPr>
            <w:tcW w:w="1800" w:type="dxa"/>
            <w:tcBorders>
              <w:top w:val="nil"/>
              <w:left w:val="nil"/>
              <w:bottom w:val="single" w:sz="8" w:space="0" w:color="auto"/>
              <w:right w:val="single" w:sz="8" w:space="0" w:color="auto"/>
            </w:tcBorders>
            <w:noWrap/>
            <w:vAlign w:val="bottom"/>
          </w:tcPr>
          <w:p w14:paraId="6BCB2670" w14:textId="77777777" w:rsidR="00DB2828" w:rsidRPr="000665B0" w:rsidRDefault="00DB2828" w:rsidP="00DB2828">
            <w:pPr>
              <w:spacing w:after="0"/>
              <w:rPr>
                <w:sz w:val="18"/>
                <w:szCs w:val="18"/>
              </w:rPr>
            </w:pPr>
          </w:p>
        </w:tc>
      </w:tr>
      <w:tr w:rsidR="00DB2828" w:rsidRPr="000665B0" w14:paraId="39733FAE" w14:textId="77777777">
        <w:trPr>
          <w:trHeight w:val="255"/>
        </w:trPr>
        <w:tc>
          <w:tcPr>
            <w:tcW w:w="9375" w:type="dxa"/>
            <w:gridSpan w:val="5"/>
            <w:tcBorders>
              <w:top w:val="nil"/>
              <w:left w:val="nil"/>
              <w:bottom w:val="nil"/>
              <w:right w:val="nil"/>
            </w:tcBorders>
            <w:noWrap/>
            <w:vAlign w:val="bottom"/>
          </w:tcPr>
          <w:p w14:paraId="160E30CF" w14:textId="77777777" w:rsidR="00DB2828" w:rsidRPr="000665B0" w:rsidRDefault="00DB2828" w:rsidP="001F4B14">
            <w:pPr>
              <w:spacing w:before="120" w:after="0"/>
              <w:rPr>
                <w:sz w:val="18"/>
                <w:szCs w:val="18"/>
              </w:rPr>
            </w:pPr>
            <w:r w:rsidRPr="000665B0">
              <w:rPr>
                <w:sz w:val="18"/>
                <w:szCs w:val="18"/>
              </w:rPr>
              <w:t>TED will send a Coordination DDO to Distribution Service. Distribution Service</w:t>
            </w:r>
            <w:r w:rsidRPr="000665B0" w:rsidDel="005079C3">
              <w:rPr>
                <w:sz w:val="18"/>
                <w:szCs w:val="18"/>
              </w:rPr>
              <w:t xml:space="preserve"> </w:t>
            </w:r>
            <w:r w:rsidRPr="000665B0">
              <w:rPr>
                <w:sz w:val="18"/>
                <w:szCs w:val="18"/>
              </w:rPr>
              <w:t>will then send the appropriate message depending on the destination.</w:t>
            </w:r>
          </w:p>
        </w:tc>
      </w:tr>
      <w:tr w:rsidR="00DB2828" w:rsidRPr="000665B0" w14:paraId="6ECB3223" w14:textId="77777777">
        <w:trPr>
          <w:trHeight w:val="255"/>
        </w:trPr>
        <w:tc>
          <w:tcPr>
            <w:tcW w:w="9375" w:type="dxa"/>
            <w:gridSpan w:val="5"/>
            <w:tcBorders>
              <w:top w:val="nil"/>
              <w:left w:val="nil"/>
              <w:bottom w:val="nil"/>
              <w:right w:val="nil"/>
            </w:tcBorders>
            <w:noWrap/>
            <w:vAlign w:val="bottom"/>
          </w:tcPr>
          <w:p w14:paraId="155EBED2" w14:textId="77777777" w:rsidR="00DB2828" w:rsidRPr="000665B0" w:rsidRDefault="00DB2828" w:rsidP="00DB2828">
            <w:pPr>
              <w:spacing w:after="0"/>
              <w:rPr>
                <w:sz w:val="18"/>
                <w:szCs w:val="18"/>
              </w:rPr>
            </w:pPr>
            <w:r w:rsidRPr="000665B0">
              <w:rPr>
                <w:sz w:val="18"/>
                <w:szCs w:val="18"/>
              </w:rPr>
              <w:lastRenderedPageBreak/>
              <w:t>A DDO must support ONLY one message type at a time.</w:t>
            </w:r>
          </w:p>
        </w:tc>
      </w:tr>
      <w:tr w:rsidR="00DB2828" w:rsidRPr="000665B0" w14:paraId="73B8654A" w14:textId="77777777">
        <w:trPr>
          <w:trHeight w:val="255"/>
        </w:trPr>
        <w:tc>
          <w:tcPr>
            <w:tcW w:w="9375" w:type="dxa"/>
            <w:gridSpan w:val="5"/>
            <w:tcBorders>
              <w:top w:val="nil"/>
              <w:left w:val="nil"/>
              <w:bottom w:val="nil"/>
              <w:right w:val="nil"/>
            </w:tcBorders>
            <w:noWrap/>
            <w:vAlign w:val="bottom"/>
          </w:tcPr>
          <w:p w14:paraId="6E06FA94" w14:textId="77777777" w:rsidR="00DB2828" w:rsidRPr="000665B0" w:rsidRDefault="00DB2828" w:rsidP="00DB2828">
            <w:pPr>
              <w:spacing w:after="0"/>
              <w:rPr>
                <w:sz w:val="18"/>
                <w:szCs w:val="18"/>
              </w:rPr>
            </w:pPr>
            <w:r w:rsidRPr="000665B0">
              <w:rPr>
                <w:sz w:val="18"/>
                <w:szCs w:val="18"/>
              </w:rPr>
              <w:t>In order to support this, a single Coordination Template may result in multiple DDOs being passed to Distribution Service.</w:t>
            </w:r>
          </w:p>
          <w:p w14:paraId="044F5D3B" w14:textId="49533F76" w:rsidR="00DB2828" w:rsidRPr="000665B0" w:rsidRDefault="00DB2828" w:rsidP="00DB2828">
            <w:pPr>
              <w:spacing w:after="0"/>
              <w:rPr>
                <w:sz w:val="18"/>
                <w:szCs w:val="18"/>
              </w:rPr>
            </w:pPr>
            <w:r w:rsidRPr="000665B0">
              <w:rPr>
                <w:sz w:val="18"/>
                <w:szCs w:val="18"/>
              </w:rPr>
              <w:t xml:space="preserve">Request Messages that include any of the following are only distributable between two 6.0 </w:t>
            </w:r>
            <w:r w:rsidR="005619C1" w:rsidRPr="000665B0">
              <w:rPr>
                <w:sz w:val="18"/>
                <w:szCs w:val="18"/>
              </w:rPr>
              <w:t xml:space="preserve">(and above) </w:t>
            </w:r>
            <w:r w:rsidRPr="000665B0">
              <w:rPr>
                <w:sz w:val="18"/>
                <w:szCs w:val="18"/>
              </w:rPr>
              <w:t>TEDs: NOB DSMAC, NOB Omni DSMAC, NOB Omni VUP, NOB TERCOM.</w:t>
            </w:r>
          </w:p>
        </w:tc>
      </w:tr>
    </w:tbl>
    <w:p w14:paraId="0C45146E" w14:textId="77777777" w:rsidR="00A316EA" w:rsidRDefault="00A316EA" w:rsidP="00E300C3">
      <w:r>
        <w:br w:type="page"/>
      </w:r>
      <w:bookmarkStart w:id="7388" w:name="_Appendix_H__Report_AND_query_item_d"/>
      <w:bookmarkEnd w:id="7388"/>
    </w:p>
    <w:p w14:paraId="627E75E5" w14:textId="0D8AFB16" w:rsidR="00414DC1" w:rsidRPr="000665B0" w:rsidRDefault="009319FE" w:rsidP="003604C5">
      <w:pPr>
        <w:pStyle w:val="Appendix"/>
      </w:pPr>
      <w:bookmarkStart w:id="7389" w:name="_Appendix_H_"/>
      <w:bookmarkStart w:id="7390" w:name="_Appendix_G__Report_AND_query_item_d"/>
      <w:bookmarkStart w:id="7391" w:name="_Appendix_G_"/>
      <w:bookmarkStart w:id="7392" w:name="_Toc38868734"/>
      <w:bookmarkStart w:id="7393" w:name="_Toc96170376"/>
      <w:bookmarkStart w:id="7394" w:name="_Toc96234421"/>
      <w:bookmarkStart w:id="7395" w:name="_Toc112733877"/>
      <w:bookmarkStart w:id="7396" w:name="_Toc289329085"/>
      <w:bookmarkStart w:id="7397" w:name="_Toc312332194"/>
      <w:bookmarkStart w:id="7398" w:name="_Hlk34995678"/>
      <w:bookmarkEnd w:id="7389"/>
      <w:bookmarkEnd w:id="7390"/>
      <w:bookmarkEnd w:id="7391"/>
      <w:r w:rsidRPr="000665B0">
        <w:lastRenderedPageBreak/>
        <w:br/>
      </w:r>
      <w:bookmarkStart w:id="7399" w:name="_Toc214283682"/>
      <w:r w:rsidRPr="000665B0">
        <w:t>QUERY ITEM DEFINITIONS</w:t>
      </w:r>
      <w:bookmarkEnd w:id="7392"/>
      <w:bookmarkEnd w:id="7393"/>
      <w:bookmarkEnd w:id="7394"/>
      <w:bookmarkEnd w:id="7395"/>
      <w:bookmarkEnd w:id="7396"/>
      <w:bookmarkEnd w:id="7397"/>
      <w:bookmarkEnd w:id="7399"/>
    </w:p>
    <w:p w14:paraId="1DCB5C50" w14:textId="0699C657" w:rsidR="00F175B7" w:rsidRPr="000665B0" w:rsidRDefault="00F175B7" w:rsidP="00F175B7">
      <w:r w:rsidRPr="000665B0">
        <w:t xml:space="preserve">This Appendix defines the search criteria utilized in the Queries Tool (see </w:t>
      </w:r>
      <w:hyperlink w:anchor="_QUERIES_TOOL" w:history="1">
        <w:r w:rsidR="005F0DD1" w:rsidRPr="000665B0">
          <w:rPr>
            <w:rStyle w:val="Hyperlink"/>
          </w:rPr>
          <w:t>Section 5.11</w:t>
        </w:r>
      </w:hyperlink>
      <w:r w:rsidRPr="000665B0">
        <w:t>). A query can be performed on a group of Missions, Targets, Strike Folders, Strike Options, or on ACMSs in the database or in a library. Once the type of query is selected, specific search elements can be selected to narrow the search criteria.</w:t>
      </w:r>
    </w:p>
    <w:p w14:paraId="13BF2253" w14:textId="77777777" w:rsidR="0093705A" w:rsidRPr="000665B0" w:rsidRDefault="0093705A" w:rsidP="004E7DCC">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0" w:afterAutospacing="0"/>
        <w:ind w:left="90" w:right="90"/>
        <w:jc w:val="center"/>
      </w:pPr>
      <w:r w:rsidRPr="000665B0">
        <w:rPr>
          <w:b/>
        </w:rPr>
        <w:t>Note:</w:t>
      </w:r>
    </w:p>
    <w:p w14:paraId="26948739" w14:textId="6997DE69" w:rsidR="0093705A" w:rsidRPr="000665B0" w:rsidRDefault="0093705A" w:rsidP="006679E9">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0" w:afterAutospacing="0"/>
        <w:ind w:left="90" w:right="90"/>
        <w:jc w:val="center"/>
        <w:rPr>
          <w:b/>
        </w:rPr>
      </w:pPr>
      <w:r w:rsidRPr="000665B0">
        <w:rPr>
          <w:b/>
        </w:rPr>
        <w:t xml:space="preserve">There is a limitation with the query behavior for numerical values that are stored in the database as floating-point </w:t>
      </w:r>
      <w:r w:rsidR="00832848" w:rsidRPr="000665B0">
        <w:rPr>
          <w:b/>
        </w:rPr>
        <w:t>numbers</w:t>
      </w:r>
      <w:r w:rsidRPr="000665B0">
        <w:rPr>
          <w:b/>
        </w:rPr>
        <w:t xml:space="preserve">. There may be </w:t>
      </w:r>
      <w:r w:rsidR="00D92587" w:rsidRPr="000665B0">
        <w:rPr>
          <w:b/>
        </w:rPr>
        <w:t xml:space="preserve">a </w:t>
      </w:r>
      <w:r w:rsidRPr="000665B0">
        <w:rPr>
          <w:b/>
        </w:rPr>
        <w:t>discrepanc</w:t>
      </w:r>
      <w:r w:rsidR="00D92587" w:rsidRPr="000665B0">
        <w:rPr>
          <w:b/>
        </w:rPr>
        <w:t>y</w:t>
      </w:r>
      <w:r w:rsidRPr="000665B0">
        <w:rPr>
          <w:b/>
        </w:rPr>
        <w:t xml:space="preserve"> between the value that is displayed textually vs. the value that is stored in the database. </w:t>
      </w:r>
    </w:p>
    <w:p w14:paraId="2B144A9C" w14:textId="77777777" w:rsidR="0093705A" w:rsidRPr="000665B0" w:rsidRDefault="0093705A" w:rsidP="006679E9">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0" w:afterAutospacing="0"/>
        <w:ind w:left="90" w:right="90"/>
        <w:jc w:val="center"/>
        <w:rPr>
          <w:b/>
        </w:rPr>
      </w:pPr>
    </w:p>
    <w:p w14:paraId="447EFF4A" w14:textId="77777777" w:rsidR="0093705A" w:rsidRPr="000665B0" w:rsidRDefault="0093705A" w:rsidP="006679E9">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0" w:afterAutospacing="0"/>
        <w:ind w:left="90" w:right="90"/>
        <w:jc w:val="center"/>
        <w:rPr>
          <w:b/>
        </w:rPr>
      </w:pPr>
      <w:r w:rsidRPr="000665B0">
        <w:rPr>
          <w:b/>
        </w:rPr>
        <w:t>For example, a value that is displayed textually as 20.0 may be stored in the database as 19.99999. In this case, entering a query low value of 20.0 will not detect the value stored as 19.99999, even though it is displayed textually as 20.0. This occurs because the displayed values are rounded, while the values in the database are not rounded.</w:t>
      </w:r>
    </w:p>
    <w:p w14:paraId="571491B3" w14:textId="77777777" w:rsidR="0093705A" w:rsidRPr="000665B0" w:rsidRDefault="0093705A" w:rsidP="006679E9">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0" w:afterAutospacing="0"/>
        <w:ind w:left="90" w:right="90"/>
        <w:jc w:val="center"/>
        <w:rPr>
          <w:b/>
        </w:rPr>
      </w:pPr>
    </w:p>
    <w:p w14:paraId="4B26555F" w14:textId="77777777" w:rsidR="0093705A" w:rsidRPr="000665B0" w:rsidRDefault="0093705A" w:rsidP="006679E9">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0" w:afterAutospacing="0"/>
        <w:ind w:left="90" w:right="90"/>
        <w:jc w:val="center"/>
        <w:rPr>
          <w:b/>
        </w:rPr>
      </w:pPr>
      <w:r w:rsidRPr="000665B0">
        <w:rPr>
          <w:b/>
        </w:rPr>
        <w:t xml:space="preserve">This can lead to query results that appear to be inaccurate because the query does not return “expected” results. </w:t>
      </w:r>
    </w:p>
    <w:p w14:paraId="18A5F315" w14:textId="77777777" w:rsidR="0093705A" w:rsidRPr="000665B0" w:rsidRDefault="0093705A" w:rsidP="006679E9">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0" w:afterAutospacing="0"/>
        <w:ind w:left="90" w:right="90"/>
        <w:jc w:val="center"/>
        <w:rPr>
          <w:b/>
        </w:rPr>
      </w:pPr>
    </w:p>
    <w:p w14:paraId="1EE3F725" w14:textId="4E01F832" w:rsidR="0093705A" w:rsidRPr="000665B0" w:rsidRDefault="005A51BE" w:rsidP="006679E9">
      <w:pPr>
        <w:pStyle w:val="number1"/>
        <w:pBdr>
          <w:top w:val="single" w:sz="12" w:space="1" w:color="auto"/>
          <w:left w:val="single" w:sz="12" w:space="4" w:color="auto"/>
          <w:bottom w:val="single" w:sz="12" w:space="1" w:color="auto"/>
          <w:right w:val="single" w:sz="12" w:space="4" w:color="auto"/>
        </w:pBdr>
        <w:shd w:val="clear" w:color="auto" w:fill="D9D9D9"/>
        <w:spacing w:before="0" w:beforeAutospacing="0" w:after="0" w:afterAutospacing="0"/>
        <w:ind w:left="90" w:right="90"/>
        <w:jc w:val="center"/>
      </w:pPr>
      <w:r w:rsidRPr="000665B0">
        <w:rPr>
          <w:b/>
        </w:rPr>
        <w:t>Q</w:t>
      </w:r>
      <w:r w:rsidR="0093705A" w:rsidRPr="000665B0">
        <w:rPr>
          <w:b/>
        </w:rPr>
        <w:t>uery elements that are affected by this limitation</w:t>
      </w:r>
      <w:r w:rsidR="00CA6C7B" w:rsidRPr="000665B0">
        <w:rPr>
          <w:b/>
        </w:rPr>
        <w:t xml:space="preserve">, due to the values stored as floating-point </w:t>
      </w:r>
      <w:r w:rsidR="00832848" w:rsidRPr="000665B0">
        <w:rPr>
          <w:b/>
        </w:rPr>
        <w:t>number</w:t>
      </w:r>
      <w:r w:rsidR="00CA6C7B" w:rsidRPr="000665B0">
        <w:rPr>
          <w:b/>
        </w:rPr>
        <w:t xml:space="preserve">s, </w:t>
      </w:r>
      <w:r w:rsidRPr="000665B0">
        <w:rPr>
          <w:b/>
        </w:rPr>
        <w:t xml:space="preserve">are identified in the “Definition and </w:t>
      </w:r>
      <w:r w:rsidR="00F175B7" w:rsidRPr="000665B0">
        <w:rPr>
          <w:b/>
        </w:rPr>
        <w:t>Query Details</w:t>
      </w:r>
      <w:r w:rsidRPr="000665B0">
        <w:rPr>
          <w:b/>
        </w:rPr>
        <w:t>” column in the table below</w:t>
      </w:r>
      <w:r w:rsidR="00CA6C7B" w:rsidRPr="000665B0">
        <w:rPr>
          <w:b/>
        </w:rPr>
        <w:t>.</w:t>
      </w:r>
    </w:p>
    <w:p w14:paraId="01970DC5" w14:textId="77777777" w:rsidR="00E104FD" w:rsidRPr="000665B0" w:rsidRDefault="00E104FD" w:rsidP="006F710C">
      <w:pPr>
        <w:pStyle w:val="Appendix2"/>
        <w:pageBreakBefore/>
      </w:pPr>
      <w:bookmarkStart w:id="7400" w:name="_Toc214283683"/>
      <w:r w:rsidRPr="000665B0">
        <w:lastRenderedPageBreak/>
        <w:t>QUERY ELEMENT DEFINITIONS</w:t>
      </w:r>
      <w:bookmarkEnd w:id="7400"/>
    </w:p>
    <w:p w14:paraId="1AF7F33E" w14:textId="095180AF" w:rsidR="00E104FD" w:rsidRPr="000665B0" w:rsidRDefault="00C2271B" w:rsidP="006D5A65">
      <w:pPr>
        <w:pStyle w:val="Heading3"/>
      </w:pPr>
      <w:bookmarkStart w:id="7401" w:name="_Toc214283684"/>
      <w:r w:rsidRPr="000665B0">
        <w:t>M</w:t>
      </w:r>
      <w:r w:rsidR="005E043D">
        <w:t>ission Query</w:t>
      </w:r>
      <w:bookmarkEnd w:id="7401"/>
    </w:p>
    <w:p w14:paraId="353B5F9A" w14:textId="77777777" w:rsidR="00E104FD" w:rsidRPr="000665B0" w:rsidRDefault="00E104FD" w:rsidP="006D5A65">
      <w:pPr>
        <w:pStyle w:val="Heading4"/>
      </w:pPr>
      <w:r w:rsidRPr="000665B0">
        <w:t>General Info Tab</w:t>
      </w:r>
    </w:p>
    <w:p w14:paraId="41CF6043" w14:textId="234813EE" w:rsidR="0053446F" w:rsidRDefault="00085AF0" w:rsidP="0055373F">
      <w:pPr>
        <w:jc w:val="center"/>
      </w:pPr>
      <w:r w:rsidRPr="005E7F72">
        <w:rPr>
          <w:noProof/>
        </w:rPr>
        <w:drawing>
          <wp:inline distT="0" distB="0" distL="0" distR="0" wp14:anchorId="678C5524" wp14:editId="2DC5C99B">
            <wp:extent cx="4224581" cy="4229100"/>
            <wp:effectExtent l="0" t="0" r="5080" b="0"/>
            <wp:docPr id="1628397679"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97679" name="Picture 1" descr="Graphical user interface, application, table&#10;&#10;Description automatically generated"/>
                    <pic:cNvPicPr/>
                  </pic:nvPicPr>
                  <pic:blipFill>
                    <a:blip/>
                    <a:stretch>
                      <a:fillRect/>
                    </a:stretch>
                  </pic:blipFill>
                  <pic:spPr>
                    <a:xfrm>
                      <a:off x="0" y="0"/>
                      <a:ext cx="4251722" cy="4256270"/>
                    </a:xfrm>
                    <a:prstGeom prst="rect">
                      <a:avLst/>
                    </a:prstGeom>
                  </pic:spPr>
                </pic:pic>
              </a:graphicData>
            </a:graphic>
          </wp:inline>
        </w:drawing>
      </w:r>
    </w:p>
    <w:p w14:paraId="49AB486F" w14:textId="77777777" w:rsidR="008C07A5" w:rsidRDefault="008C07A5" w:rsidP="0055373F">
      <w:pPr>
        <w:jc w:val="center"/>
      </w:pPr>
    </w:p>
    <w:tbl>
      <w:tblPr>
        <w:tblStyle w:val="TableGrid"/>
        <w:tblW w:w="0" w:type="auto"/>
        <w:tblLook w:val="04A0" w:firstRow="1" w:lastRow="0" w:firstColumn="1" w:lastColumn="0" w:noHBand="0" w:noVBand="1"/>
      </w:tblPr>
      <w:tblGrid>
        <w:gridCol w:w="1701"/>
        <w:gridCol w:w="1146"/>
        <w:gridCol w:w="6503"/>
      </w:tblGrid>
      <w:tr w:rsidR="005F26EF" w:rsidRPr="00C24B58" w14:paraId="441EA15F" w14:textId="77777777" w:rsidTr="0043211C">
        <w:trPr>
          <w:cantSplit/>
          <w:trHeight w:val="144"/>
          <w:tblHeader/>
        </w:trPr>
        <w:tc>
          <w:tcPr>
            <w:tcW w:w="1998" w:type="dxa"/>
            <w:shd w:val="clear" w:color="auto" w:fill="D9D9D9" w:themeFill="background1" w:themeFillShade="D9"/>
          </w:tcPr>
          <w:p w14:paraId="25E9CF9D" w14:textId="77777777" w:rsidR="005E043D" w:rsidRPr="00A0163E" w:rsidRDefault="005E043D" w:rsidP="005F26EF">
            <w:pPr>
              <w:pageBreakBefore/>
              <w:spacing w:before="40" w:after="40" w:line="240" w:lineRule="auto"/>
              <w:rPr>
                <w:b/>
                <w:sz w:val="20"/>
              </w:rPr>
            </w:pPr>
            <w:r w:rsidRPr="00A0163E">
              <w:rPr>
                <w:b/>
                <w:sz w:val="20"/>
              </w:rPr>
              <w:lastRenderedPageBreak/>
              <w:t>Query Button</w:t>
            </w:r>
          </w:p>
        </w:tc>
        <w:tc>
          <w:tcPr>
            <w:tcW w:w="1350" w:type="dxa"/>
            <w:shd w:val="clear" w:color="auto" w:fill="D9D9D9" w:themeFill="background1" w:themeFillShade="D9"/>
          </w:tcPr>
          <w:p w14:paraId="15CE8D49" w14:textId="77777777" w:rsidR="005E043D" w:rsidRPr="00A0163E" w:rsidRDefault="005E043D" w:rsidP="005F26EF">
            <w:pPr>
              <w:spacing w:before="40" w:after="40" w:line="240" w:lineRule="auto"/>
              <w:rPr>
                <w:b/>
                <w:sz w:val="20"/>
              </w:rPr>
            </w:pPr>
            <w:r w:rsidRPr="00A0163E">
              <w:rPr>
                <w:b/>
                <w:sz w:val="20"/>
              </w:rPr>
              <w:t>Variant</w:t>
            </w:r>
          </w:p>
        </w:tc>
        <w:tc>
          <w:tcPr>
            <w:tcW w:w="9720" w:type="dxa"/>
            <w:shd w:val="clear" w:color="auto" w:fill="D9D9D9" w:themeFill="background1" w:themeFillShade="D9"/>
          </w:tcPr>
          <w:p w14:paraId="300ED56E" w14:textId="77777777" w:rsidR="005E043D" w:rsidRPr="00A0163E" w:rsidRDefault="005E043D" w:rsidP="005F26EF">
            <w:pPr>
              <w:spacing w:before="40" w:after="40" w:line="240" w:lineRule="auto"/>
              <w:rPr>
                <w:b/>
                <w:sz w:val="20"/>
              </w:rPr>
            </w:pPr>
            <w:r w:rsidRPr="00A0163E">
              <w:rPr>
                <w:b/>
                <w:sz w:val="20"/>
              </w:rPr>
              <w:t>Definition and Query Details</w:t>
            </w:r>
          </w:p>
        </w:tc>
      </w:tr>
      <w:tr w:rsidR="005F26EF" w:rsidRPr="00C24B58" w14:paraId="612CED28" w14:textId="77777777" w:rsidTr="0043211C">
        <w:trPr>
          <w:cantSplit/>
          <w:trHeight w:val="144"/>
        </w:trPr>
        <w:tc>
          <w:tcPr>
            <w:tcW w:w="1998" w:type="dxa"/>
          </w:tcPr>
          <w:p w14:paraId="5B68C999" w14:textId="77777777" w:rsidR="00A845A2" w:rsidRPr="00A0163E" w:rsidRDefault="00A845A2" w:rsidP="005F26EF">
            <w:pPr>
              <w:spacing w:before="40" w:after="40" w:line="240" w:lineRule="auto"/>
              <w:rPr>
                <w:b/>
                <w:sz w:val="20"/>
              </w:rPr>
            </w:pPr>
            <w:r w:rsidRPr="00A0163E">
              <w:rPr>
                <w:sz w:val="20"/>
              </w:rPr>
              <w:t>Activation Status</w:t>
            </w:r>
          </w:p>
        </w:tc>
        <w:tc>
          <w:tcPr>
            <w:tcW w:w="1350" w:type="dxa"/>
          </w:tcPr>
          <w:p w14:paraId="5E0ACDB1" w14:textId="23BED6D5" w:rsidR="00085AF0"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5F81FAB5"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Indicates whether a mission is activated (</w:t>
            </w:r>
            <w:r w:rsidRPr="00A0163E">
              <w:rPr>
                <w:b/>
                <w:sz w:val="20"/>
              </w:rPr>
              <w:t>True</w:t>
            </w:r>
            <w:r w:rsidRPr="00A0163E">
              <w:rPr>
                <w:sz w:val="20"/>
              </w:rPr>
              <w:t>) or deactivated (</w:t>
            </w:r>
            <w:r w:rsidRPr="00A0163E">
              <w:rPr>
                <w:b/>
                <w:sz w:val="20"/>
              </w:rPr>
              <w:t>False</w:t>
            </w:r>
            <w:r w:rsidRPr="00A0163E">
              <w:rPr>
                <w:sz w:val="20"/>
              </w:rPr>
              <w:t>).</w:t>
            </w:r>
          </w:p>
          <w:p w14:paraId="187BD1D1"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Activation Status. </w:t>
            </w:r>
          </w:p>
        </w:tc>
      </w:tr>
      <w:tr w:rsidR="005F26EF" w:rsidRPr="00C24B58" w14:paraId="7307B6E8" w14:textId="77777777" w:rsidTr="0043211C">
        <w:trPr>
          <w:cantSplit/>
          <w:trHeight w:val="144"/>
        </w:trPr>
        <w:tc>
          <w:tcPr>
            <w:tcW w:w="1998" w:type="dxa"/>
          </w:tcPr>
          <w:p w14:paraId="1392F425" w14:textId="77777777" w:rsidR="00A845A2" w:rsidRPr="00A0163E" w:rsidRDefault="00A845A2" w:rsidP="005F26EF">
            <w:pPr>
              <w:spacing w:before="40" w:after="40" w:line="240" w:lineRule="auto"/>
              <w:rPr>
                <w:sz w:val="20"/>
              </w:rPr>
            </w:pPr>
            <w:r w:rsidRPr="00A0163E">
              <w:rPr>
                <w:sz w:val="20"/>
              </w:rPr>
              <w:t>Attack Plan ID</w:t>
            </w:r>
          </w:p>
        </w:tc>
        <w:tc>
          <w:tcPr>
            <w:tcW w:w="1350" w:type="dxa"/>
          </w:tcPr>
          <w:p w14:paraId="07ACF667" w14:textId="424DB675" w:rsidR="00A845A2" w:rsidRPr="00A0163E" w:rsidRDefault="00A845A2" w:rsidP="005F26EF">
            <w:pPr>
              <w:spacing w:before="40" w:after="40" w:line="240" w:lineRule="auto"/>
              <w:rPr>
                <w:sz w:val="20"/>
              </w:rPr>
            </w:pPr>
            <w:r w:rsidRPr="00A0163E">
              <w:rPr>
                <w:sz w:val="20"/>
              </w:rP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1175816C"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Missions will be associated with an Attack Plan identifier (ID), which is used to associate the resultant missions for coordinated execution in a strike. Valid value is free text up to 30 characters.</w:t>
            </w:r>
          </w:p>
          <w:p w14:paraId="63F2C1F5"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contain the specified Attack Plan ID (wildcard allowed).</w:t>
            </w:r>
          </w:p>
        </w:tc>
      </w:tr>
      <w:tr w:rsidR="005F26EF" w:rsidRPr="00C24B58" w14:paraId="3B9475DB" w14:textId="77777777" w:rsidTr="0043211C">
        <w:trPr>
          <w:cantSplit/>
          <w:trHeight w:val="144"/>
        </w:trPr>
        <w:tc>
          <w:tcPr>
            <w:tcW w:w="1998" w:type="dxa"/>
          </w:tcPr>
          <w:p w14:paraId="0A00D97F" w14:textId="77777777" w:rsidR="00A845A2" w:rsidRPr="00A0163E" w:rsidRDefault="00A845A2" w:rsidP="005F26EF">
            <w:pPr>
              <w:spacing w:before="40" w:after="40" w:line="240" w:lineRule="auto"/>
              <w:rPr>
                <w:sz w:val="20"/>
              </w:rPr>
            </w:pPr>
            <w:r w:rsidRPr="00A0163E">
              <w:rPr>
                <w:sz w:val="20"/>
              </w:rPr>
              <w:t>Classification</w:t>
            </w:r>
          </w:p>
        </w:tc>
        <w:tc>
          <w:tcPr>
            <w:tcW w:w="1350" w:type="dxa"/>
          </w:tcPr>
          <w:p w14:paraId="5DA49050" w14:textId="48E4D3DD"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0D41293A"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Security classification of the mission. Valid values are </w:t>
            </w:r>
            <w:r w:rsidRPr="00A0163E">
              <w:rPr>
                <w:b/>
                <w:sz w:val="20"/>
              </w:rPr>
              <w:t>Unclassified</w:t>
            </w:r>
            <w:r w:rsidRPr="00A0163E">
              <w:rPr>
                <w:sz w:val="20"/>
              </w:rPr>
              <w:t xml:space="preserve">, </w:t>
            </w:r>
            <w:r w:rsidRPr="00A0163E">
              <w:rPr>
                <w:b/>
                <w:sz w:val="20"/>
              </w:rPr>
              <w:t>Confidential</w:t>
            </w:r>
            <w:r w:rsidRPr="00A0163E">
              <w:rPr>
                <w:sz w:val="20"/>
              </w:rPr>
              <w:t xml:space="preserve">, </w:t>
            </w:r>
            <w:r w:rsidRPr="00A0163E">
              <w:rPr>
                <w:b/>
                <w:sz w:val="20"/>
              </w:rPr>
              <w:t>Secret</w:t>
            </w:r>
            <w:r w:rsidRPr="00A0163E">
              <w:rPr>
                <w:sz w:val="20"/>
              </w:rPr>
              <w:t xml:space="preserve">, or </w:t>
            </w:r>
            <w:r w:rsidRPr="00A0163E">
              <w:rPr>
                <w:b/>
                <w:sz w:val="20"/>
              </w:rPr>
              <w:t>Top Secret</w:t>
            </w:r>
            <w:r w:rsidRPr="00A0163E">
              <w:rPr>
                <w:sz w:val="20"/>
              </w:rPr>
              <w:t>.</w:t>
            </w:r>
          </w:p>
          <w:p w14:paraId="17D75995"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Classification. </w:t>
            </w:r>
          </w:p>
        </w:tc>
      </w:tr>
      <w:tr w:rsidR="005F26EF" w:rsidRPr="00C24B58" w14:paraId="14B277D8" w14:textId="77777777" w:rsidTr="0043211C">
        <w:trPr>
          <w:cantSplit/>
          <w:trHeight w:val="144"/>
        </w:trPr>
        <w:tc>
          <w:tcPr>
            <w:tcW w:w="1998" w:type="dxa"/>
          </w:tcPr>
          <w:p w14:paraId="497A2C66" w14:textId="77777777" w:rsidR="00A845A2" w:rsidRPr="00A0163E" w:rsidRDefault="00A845A2" w:rsidP="005F26EF">
            <w:pPr>
              <w:spacing w:before="40" w:after="40" w:line="240" w:lineRule="auto"/>
              <w:rPr>
                <w:sz w:val="20"/>
              </w:rPr>
            </w:pPr>
            <w:r w:rsidRPr="00A0163E">
              <w:rPr>
                <w:sz w:val="20"/>
              </w:rPr>
              <w:t>CMDO Distributed</w:t>
            </w:r>
          </w:p>
        </w:tc>
        <w:tc>
          <w:tcPr>
            <w:tcW w:w="1350" w:type="dxa"/>
          </w:tcPr>
          <w:p w14:paraId="6F0616B9" w14:textId="61CFDE2C"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57A2B6F5"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date the CMDO was distributed.</w:t>
            </w:r>
          </w:p>
          <w:p w14:paraId="1851C9AC"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in which the CMDO Distributed DTG falls within the low value and high value entered.</w:t>
            </w:r>
          </w:p>
        </w:tc>
      </w:tr>
      <w:tr w:rsidR="005F26EF" w:rsidRPr="00C24B58" w14:paraId="7F1C3281" w14:textId="77777777" w:rsidTr="0043211C">
        <w:trPr>
          <w:cantSplit/>
          <w:trHeight w:val="144"/>
        </w:trPr>
        <w:tc>
          <w:tcPr>
            <w:tcW w:w="1998" w:type="dxa"/>
          </w:tcPr>
          <w:p w14:paraId="1DAC6154" w14:textId="77777777" w:rsidR="00A845A2" w:rsidRPr="00A0163E" w:rsidRDefault="00A845A2" w:rsidP="005F26EF">
            <w:pPr>
              <w:spacing w:before="40" w:after="40" w:line="240" w:lineRule="auto"/>
              <w:rPr>
                <w:sz w:val="20"/>
              </w:rPr>
            </w:pPr>
            <w:r w:rsidRPr="00A0163E">
              <w:rPr>
                <w:sz w:val="20"/>
              </w:rPr>
              <w:t>CMDO ID</w:t>
            </w:r>
          </w:p>
        </w:tc>
        <w:tc>
          <w:tcPr>
            <w:tcW w:w="1350" w:type="dxa"/>
          </w:tcPr>
          <w:p w14:paraId="791E8E68" w14:textId="4B09F6CB"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AE7A92" w:rsidRPr="00A0163E">
              <w:rPr>
                <w:sz w:val="20"/>
              </w:rPr>
              <w:br/>
              <w:t>109M</w:t>
            </w:r>
          </w:p>
        </w:tc>
        <w:tc>
          <w:tcPr>
            <w:tcW w:w="9720" w:type="dxa"/>
          </w:tcPr>
          <w:p w14:paraId="244A2325"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unique numeric identifier for a CMDO. Valid format is nnn nnn nnnnn. </w:t>
            </w:r>
          </w:p>
          <w:p w14:paraId="4B33038E"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contain the specified CMDO ID (wildcard allowed).</w:t>
            </w:r>
          </w:p>
        </w:tc>
      </w:tr>
      <w:tr w:rsidR="005F26EF" w:rsidRPr="00C24B58" w14:paraId="6506528C" w14:textId="77777777" w:rsidTr="0043211C">
        <w:trPr>
          <w:cantSplit/>
          <w:trHeight w:val="144"/>
        </w:trPr>
        <w:tc>
          <w:tcPr>
            <w:tcW w:w="1998" w:type="dxa"/>
          </w:tcPr>
          <w:p w14:paraId="77CA697C" w14:textId="77777777" w:rsidR="00A845A2" w:rsidRPr="00A0163E" w:rsidRDefault="00A845A2" w:rsidP="005F26EF">
            <w:pPr>
              <w:spacing w:before="40" w:after="40" w:line="240" w:lineRule="auto"/>
              <w:rPr>
                <w:sz w:val="20"/>
              </w:rPr>
            </w:pPr>
            <w:r w:rsidRPr="00A0163E">
              <w:rPr>
                <w:sz w:val="20"/>
              </w:rPr>
              <w:t>CMDO Name</w:t>
            </w:r>
          </w:p>
        </w:tc>
        <w:tc>
          <w:tcPr>
            <w:tcW w:w="1350" w:type="dxa"/>
          </w:tcPr>
          <w:p w14:paraId="2B3DA62C" w14:textId="18247680"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771C9DA7"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name given to CMDO when it was created. Valid values are up to 60 alphanumeric characters.</w:t>
            </w:r>
          </w:p>
          <w:p w14:paraId="1FD90E4D"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contain the specified CMDO Name (wildcard allowed).</w:t>
            </w:r>
          </w:p>
        </w:tc>
      </w:tr>
      <w:tr w:rsidR="005F26EF" w:rsidRPr="00C24B58" w14:paraId="0FDE8798" w14:textId="77777777" w:rsidTr="0043211C">
        <w:trPr>
          <w:cantSplit/>
          <w:trHeight w:val="144"/>
        </w:trPr>
        <w:tc>
          <w:tcPr>
            <w:tcW w:w="1998" w:type="dxa"/>
          </w:tcPr>
          <w:p w14:paraId="3E99B600" w14:textId="77777777" w:rsidR="00A845A2" w:rsidRPr="00A0163E" w:rsidRDefault="00A845A2" w:rsidP="005F26EF">
            <w:pPr>
              <w:spacing w:before="40" w:after="40" w:line="240" w:lineRule="auto"/>
              <w:rPr>
                <w:sz w:val="20"/>
              </w:rPr>
            </w:pPr>
            <w:r w:rsidRPr="00A0163E">
              <w:rPr>
                <w:sz w:val="20"/>
              </w:rPr>
              <w:t>Codeword Text</w:t>
            </w:r>
          </w:p>
        </w:tc>
        <w:tc>
          <w:tcPr>
            <w:tcW w:w="1350" w:type="dxa"/>
          </w:tcPr>
          <w:p w14:paraId="29E8027B" w14:textId="6B561712"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44B3F26A"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40-character text field for a special access program identifier, exclusive of classification markings and handling instructions.</w:t>
            </w:r>
          </w:p>
          <w:p w14:paraId="46679C28"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specified Codeword Text (wildcard allowed).</w:t>
            </w:r>
          </w:p>
        </w:tc>
      </w:tr>
      <w:tr w:rsidR="005F26EF" w:rsidRPr="00C24B58" w14:paraId="385181EE" w14:textId="77777777" w:rsidTr="0043211C">
        <w:trPr>
          <w:cantSplit/>
          <w:trHeight w:val="144"/>
        </w:trPr>
        <w:tc>
          <w:tcPr>
            <w:tcW w:w="1998" w:type="dxa"/>
          </w:tcPr>
          <w:p w14:paraId="67049C9F" w14:textId="77777777" w:rsidR="00A845A2" w:rsidRPr="00A0163E" w:rsidRDefault="00A845A2" w:rsidP="005F26EF">
            <w:pPr>
              <w:spacing w:before="40" w:after="40" w:line="240" w:lineRule="auto"/>
              <w:rPr>
                <w:sz w:val="20"/>
              </w:rPr>
            </w:pPr>
            <w:r w:rsidRPr="00A0163E">
              <w:rPr>
                <w:sz w:val="20"/>
              </w:rPr>
              <w:t>Countries Overflown</w:t>
            </w:r>
          </w:p>
        </w:tc>
        <w:tc>
          <w:tcPr>
            <w:tcW w:w="1350" w:type="dxa"/>
          </w:tcPr>
          <w:p w14:paraId="36F967C3" w14:textId="0D67A1C1"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190E822D" w14:textId="3636CCBB" w:rsidR="00A845A2" w:rsidRPr="00A0163E" w:rsidRDefault="00A845A2" w:rsidP="005F26EF">
            <w:pPr>
              <w:spacing w:before="40" w:after="40" w:line="240" w:lineRule="auto"/>
              <w:rPr>
                <w:sz w:val="20"/>
              </w:rPr>
            </w:pPr>
            <w:r w:rsidRPr="00A0163E">
              <w:rPr>
                <w:b/>
                <w:sz w:val="20"/>
              </w:rPr>
              <w:t>Definition:</w:t>
            </w:r>
            <w:r w:rsidRPr="00A0163E">
              <w:rPr>
                <w:sz w:val="20"/>
              </w:rPr>
              <w:t xml:space="preserve"> Applies to all TLAM variants and provides information regarding which countries (select from a pull-down list of valid countries) the missile flies over. For information about the selection and display of Country Codes and country names during system operation, see </w:t>
            </w:r>
            <w:hyperlink w:anchor="_Appendix_C__Country_Codes__(SORTED__1" w:history="1">
              <w:r w:rsidRPr="00A0163E">
                <w:rPr>
                  <w:rStyle w:val="Hyperlink"/>
                  <w:sz w:val="20"/>
                </w:rPr>
                <w:t>Appendix C</w:t>
              </w:r>
            </w:hyperlink>
            <w:r w:rsidRPr="00A0163E">
              <w:rPr>
                <w:sz w:val="20"/>
              </w:rPr>
              <w:t>.</w:t>
            </w:r>
          </w:p>
          <w:p w14:paraId="5CA4C61F"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contain the specified countries.</w:t>
            </w:r>
          </w:p>
        </w:tc>
      </w:tr>
      <w:tr w:rsidR="005F26EF" w:rsidRPr="00C24B58" w14:paraId="2D95B611" w14:textId="77777777" w:rsidTr="0043211C">
        <w:trPr>
          <w:cantSplit/>
          <w:trHeight w:val="144"/>
        </w:trPr>
        <w:tc>
          <w:tcPr>
            <w:tcW w:w="1998" w:type="dxa"/>
          </w:tcPr>
          <w:p w14:paraId="29F26C2B" w14:textId="77777777" w:rsidR="00A845A2" w:rsidRPr="00A0163E" w:rsidRDefault="00A845A2" w:rsidP="005F26EF">
            <w:pPr>
              <w:spacing w:before="40" w:after="40" w:line="240" w:lineRule="auto"/>
              <w:rPr>
                <w:sz w:val="20"/>
              </w:rPr>
            </w:pPr>
            <w:r w:rsidRPr="00A0163E">
              <w:rPr>
                <w:sz w:val="20"/>
              </w:rPr>
              <w:lastRenderedPageBreak/>
              <w:t>Created DTG</w:t>
            </w:r>
          </w:p>
        </w:tc>
        <w:tc>
          <w:tcPr>
            <w:tcW w:w="1350" w:type="dxa"/>
          </w:tcPr>
          <w:p w14:paraId="542C65E4" w14:textId="0F2BE51F"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464DC57A"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date the mission was created.</w:t>
            </w:r>
          </w:p>
          <w:p w14:paraId="309DB782"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in which the Created DTG falls within the low value and high value entered. </w:t>
            </w:r>
          </w:p>
        </w:tc>
      </w:tr>
      <w:tr w:rsidR="005F26EF" w:rsidRPr="00C24B58" w14:paraId="2FCB6036" w14:textId="77777777" w:rsidTr="0043211C">
        <w:trPr>
          <w:cantSplit/>
          <w:trHeight w:val="144"/>
        </w:trPr>
        <w:tc>
          <w:tcPr>
            <w:tcW w:w="1998" w:type="dxa"/>
          </w:tcPr>
          <w:p w14:paraId="63767AB9" w14:textId="77777777" w:rsidR="00A845A2" w:rsidRPr="00A0163E" w:rsidRDefault="00A845A2" w:rsidP="005F26EF">
            <w:pPr>
              <w:spacing w:before="40" w:after="40" w:line="240" w:lineRule="auto"/>
              <w:rPr>
                <w:sz w:val="20"/>
              </w:rPr>
            </w:pPr>
            <w:r w:rsidRPr="00A0163E">
              <w:rPr>
                <w:sz w:val="20"/>
              </w:rPr>
              <w:t>Deactivation Reason</w:t>
            </w:r>
          </w:p>
        </w:tc>
        <w:tc>
          <w:tcPr>
            <w:tcW w:w="1350" w:type="dxa"/>
          </w:tcPr>
          <w:p w14:paraId="534EEF29" w14:textId="461EA396"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1639DD93"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Reason why a mission was deactivated. Usually obtained from the TUM. Missions deactivated are no longer valid and should not be taken into consideration.</w:t>
            </w:r>
          </w:p>
          <w:p w14:paraId="44F61689"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contain the search string anywhere within the Deactivation Reason (wildcard allowed).</w:t>
            </w:r>
          </w:p>
        </w:tc>
      </w:tr>
      <w:tr w:rsidR="005F26EF" w:rsidRPr="00C24B58" w14:paraId="52141FAD" w14:textId="77777777" w:rsidTr="0043211C">
        <w:trPr>
          <w:cantSplit/>
          <w:trHeight w:val="144"/>
        </w:trPr>
        <w:tc>
          <w:tcPr>
            <w:tcW w:w="1998" w:type="dxa"/>
          </w:tcPr>
          <w:p w14:paraId="2836B450" w14:textId="77777777" w:rsidR="00A845A2" w:rsidRPr="00A0163E" w:rsidRDefault="00A845A2" w:rsidP="005F26EF">
            <w:pPr>
              <w:spacing w:before="40" w:after="40" w:line="240" w:lineRule="auto"/>
              <w:rPr>
                <w:sz w:val="20"/>
              </w:rPr>
            </w:pPr>
            <w:r w:rsidRPr="00A0163E">
              <w:rPr>
                <w:sz w:val="20"/>
              </w:rPr>
              <w:t>Distributed</w:t>
            </w:r>
          </w:p>
        </w:tc>
        <w:tc>
          <w:tcPr>
            <w:tcW w:w="1350" w:type="dxa"/>
          </w:tcPr>
          <w:p w14:paraId="55B0197C" w14:textId="708278EC"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5FCE7B44"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Indicates whether a mission has been Distributed (</w:t>
            </w:r>
            <w:r w:rsidRPr="00A0163E">
              <w:rPr>
                <w:b/>
                <w:sz w:val="20"/>
              </w:rPr>
              <w:t>Yes</w:t>
            </w:r>
            <w:r w:rsidRPr="00A0163E">
              <w:rPr>
                <w:sz w:val="20"/>
              </w:rPr>
              <w:t>) or not (</w:t>
            </w:r>
            <w:r w:rsidRPr="00A0163E">
              <w:rPr>
                <w:b/>
                <w:sz w:val="20"/>
              </w:rPr>
              <w:t>No</w:t>
            </w:r>
            <w:r w:rsidRPr="00A0163E">
              <w:rPr>
                <w:sz w:val="20"/>
              </w:rPr>
              <w:t>).</w:t>
            </w:r>
          </w:p>
          <w:p w14:paraId="0F5BDC03"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Distributed statement.</w:t>
            </w:r>
          </w:p>
        </w:tc>
      </w:tr>
      <w:tr w:rsidR="005F26EF" w:rsidRPr="00C24B58" w14:paraId="42BB43B0" w14:textId="77777777" w:rsidTr="0043211C">
        <w:trPr>
          <w:cantSplit/>
          <w:trHeight w:val="144"/>
        </w:trPr>
        <w:tc>
          <w:tcPr>
            <w:tcW w:w="1998" w:type="dxa"/>
          </w:tcPr>
          <w:p w14:paraId="69101FB7" w14:textId="77777777" w:rsidR="00A845A2" w:rsidRPr="00A0163E" w:rsidRDefault="00A845A2" w:rsidP="005F26EF">
            <w:pPr>
              <w:spacing w:before="40" w:after="40" w:line="240" w:lineRule="auto"/>
              <w:rPr>
                <w:sz w:val="20"/>
              </w:rPr>
            </w:pPr>
            <w:r w:rsidRPr="00A0163E">
              <w:rPr>
                <w:sz w:val="20"/>
              </w:rPr>
              <w:t>Distribution Directive 1</w:t>
            </w:r>
          </w:p>
        </w:tc>
        <w:tc>
          <w:tcPr>
            <w:tcW w:w="1350" w:type="dxa"/>
          </w:tcPr>
          <w:p w14:paraId="2A9D9097" w14:textId="77777777" w:rsidR="00A845A2" w:rsidRPr="00A0163E" w:rsidRDefault="00A845A2" w:rsidP="005F26EF">
            <w:pPr>
              <w:spacing w:before="40" w:after="40" w:line="240" w:lineRule="auto"/>
              <w:rPr>
                <w:sz w:val="20"/>
              </w:rPr>
            </w:pPr>
            <w:r w:rsidRPr="00A0163E">
              <w:rPr>
                <w:sz w:val="20"/>
              </w:rPr>
              <w:t>109C</w:t>
            </w:r>
          </w:p>
          <w:p w14:paraId="79C0B3EA" w14:textId="77777777" w:rsidR="00A845A2" w:rsidRPr="00A0163E" w:rsidRDefault="00A845A2" w:rsidP="005F26EF">
            <w:pPr>
              <w:spacing w:before="40" w:after="40" w:line="240" w:lineRule="auto"/>
              <w:rPr>
                <w:sz w:val="20"/>
              </w:rPr>
            </w:pPr>
            <w:r w:rsidRPr="00A0163E">
              <w:rPr>
                <w:sz w:val="20"/>
              </w:rPr>
              <w:t>109D</w:t>
            </w:r>
          </w:p>
          <w:p w14:paraId="70C307A6" w14:textId="77777777" w:rsidR="00A845A2" w:rsidRPr="00A0163E" w:rsidRDefault="00A845A2" w:rsidP="005F26EF">
            <w:pPr>
              <w:spacing w:before="40" w:after="40" w:line="240" w:lineRule="auto"/>
              <w:rPr>
                <w:sz w:val="20"/>
              </w:rPr>
            </w:pPr>
            <w:r w:rsidRPr="00A0163E">
              <w:rPr>
                <w:sz w:val="20"/>
              </w:rPr>
              <w:t>109E</w:t>
            </w:r>
          </w:p>
          <w:p w14:paraId="05095E06" w14:textId="77777777" w:rsidR="00A845A2" w:rsidRPr="00A0163E" w:rsidRDefault="00A845A2" w:rsidP="005F26EF">
            <w:pPr>
              <w:spacing w:before="40" w:after="40" w:line="240" w:lineRule="auto"/>
              <w:rPr>
                <w:sz w:val="20"/>
              </w:rPr>
            </w:pPr>
            <w:r w:rsidRPr="00A0163E">
              <w:rPr>
                <w:sz w:val="20"/>
              </w:rPr>
              <w:t>109E ACP</w:t>
            </w:r>
          </w:p>
          <w:p w14:paraId="5368C340" w14:textId="6F336727"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75175B7E"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Free text field providing the directive for mission distribution.</w:t>
            </w:r>
          </w:p>
          <w:p w14:paraId="1C1DEA89"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specified Distribution Directive 1 text (wildcard allowed).</w:t>
            </w:r>
          </w:p>
        </w:tc>
      </w:tr>
      <w:tr w:rsidR="005F26EF" w:rsidRPr="00C24B58" w14:paraId="2B21B282" w14:textId="77777777" w:rsidTr="0043211C">
        <w:trPr>
          <w:cantSplit/>
          <w:trHeight w:val="144"/>
        </w:trPr>
        <w:tc>
          <w:tcPr>
            <w:tcW w:w="1998" w:type="dxa"/>
          </w:tcPr>
          <w:p w14:paraId="2520A070" w14:textId="77777777" w:rsidR="00A845A2" w:rsidRPr="00A0163E" w:rsidRDefault="00A845A2" w:rsidP="005F26EF">
            <w:pPr>
              <w:spacing w:before="40" w:after="40" w:line="240" w:lineRule="auto"/>
              <w:rPr>
                <w:sz w:val="20"/>
              </w:rPr>
            </w:pPr>
            <w:r w:rsidRPr="00A0163E">
              <w:rPr>
                <w:sz w:val="20"/>
              </w:rPr>
              <w:t>Distribution Directive 2</w:t>
            </w:r>
          </w:p>
        </w:tc>
        <w:tc>
          <w:tcPr>
            <w:tcW w:w="1350" w:type="dxa"/>
          </w:tcPr>
          <w:p w14:paraId="6FB7B8EF" w14:textId="77777777" w:rsidR="00A845A2" w:rsidRPr="00A0163E" w:rsidRDefault="00A845A2" w:rsidP="005F26EF">
            <w:pPr>
              <w:spacing w:before="40" w:after="40" w:line="240" w:lineRule="auto"/>
              <w:rPr>
                <w:sz w:val="20"/>
              </w:rPr>
            </w:pPr>
            <w:r w:rsidRPr="00A0163E">
              <w:rPr>
                <w:sz w:val="20"/>
              </w:rPr>
              <w:t>109C</w:t>
            </w:r>
          </w:p>
          <w:p w14:paraId="763E9744" w14:textId="77777777" w:rsidR="00A845A2" w:rsidRPr="00A0163E" w:rsidRDefault="00A845A2" w:rsidP="005F26EF">
            <w:pPr>
              <w:spacing w:before="40" w:after="40" w:line="240" w:lineRule="auto"/>
              <w:rPr>
                <w:sz w:val="20"/>
              </w:rPr>
            </w:pPr>
            <w:r w:rsidRPr="00A0163E">
              <w:rPr>
                <w:sz w:val="20"/>
              </w:rPr>
              <w:t>109D</w:t>
            </w:r>
          </w:p>
          <w:p w14:paraId="5A3E0203" w14:textId="77777777" w:rsidR="00A845A2" w:rsidRPr="00A0163E" w:rsidRDefault="00A845A2" w:rsidP="005F26EF">
            <w:pPr>
              <w:spacing w:before="40" w:after="40" w:line="240" w:lineRule="auto"/>
              <w:rPr>
                <w:sz w:val="20"/>
              </w:rPr>
            </w:pPr>
            <w:r w:rsidRPr="00A0163E">
              <w:rPr>
                <w:sz w:val="20"/>
              </w:rPr>
              <w:t>109E</w:t>
            </w:r>
          </w:p>
          <w:p w14:paraId="17E0261A" w14:textId="77777777" w:rsidR="00A845A2" w:rsidRPr="00A0163E" w:rsidRDefault="00A845A2" w:rsidP="005F26EF">
            <w:pPr>
              <w:spacing w:before="40" w:after="40" w:line="240" w:lineRule="auto"/>
              <w:rPr>
                <w:sz w:val="20"/>
              </w:rPr>
            </w:pPr>
            <w:r w:rsidRPr="00A0163E">
              <w:rPr>
                <w:sz w:val="20"/>
              </w:rPr>
              <w:t>109E ACP</w:t>
            </w:r>
          </w:p>
          <w:p w14:paraId="0D227456" w14:textId="60958B10"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7DD5C641"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Additional free text field providing the directive for mission distribution.</w:t>
            </w:r>
          </w:p>
          <w:p w14:paraId="0D23A29A"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specified Distribution Directive 2 text (wildcard allowed).</w:t>
            </w:r>
          </w:p>
        </w:tc>
      </w:tr>
      <w:tr w:rsidR="005F26EF" w:rsidRPr="00C24B58" w14:paraId="1C854CBC" w14:textId="77777777" w:rsidTr="0043211C">
        <w:trPr>
          <w:cantSplit/>
          <w:trHeight w:val="144"/>
        </w:trPr>
        <w:tc>
          <w:tcPr>
            <w:tcW w:w="1998" w:type="dxa"/>
          </w:tcPr>
          <w:p w14:paraId="46C9E06B" w14:textId="77777777" w:rsidR="00A845A2" w:rsidRPr="00A0163E" w:rsidRDefault="00A845A2" w:rsidP="005F26EF">
            <w:pPr>
              <w:spacing w:before="40" w:after="40" w:line="240" w:lineRule="auto"/>
              <w:rPr>
                <w:sz w:val="20"/>
              </w:rPr>
            </w:pPr>
            <w:r w:rsidRPr="00A0163E">
              <w:rPr>
                <w:sz w:val="20"/>
              </w:rPr>
              <w:t>DSMAC ID</w:t>
            </w:r>
          </w:p>
        </w:tc>
        <w:tc>
          <w:tcPr>
            <w:tcW w:w="1350" w:type="dxa"/>
          </w:tcPr>
          <w:p w14:paraId="49B355BE" w14:textId="2622C78F"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7FED30F0"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unique numeric identifier for a DSMAC map. Valid format is nnn nnn nnnnn.</w:t>
            </w:r>
          </w:p>
          <w:p w14:paraId="497B5C00"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specified DSMAC ID (wildcard allowed).</w:t>
            </w:r>
          </w:p>
        </w:tc>
      </w:tr>
      <w:tr w:rsidR="005F26EF" w:rsidRPr="00C24B58" w14:paraId="37E98C71" w14:textId="77777777" w:rsidTr="0043211C">
        <w:trPr>
          <w:cantSplit/>
          <w:trHeight w:val="144"/>
        </w:trPr>
        <w:tc>
          <w:tcPr>
            <w:tcW w:w="1998" w:type="dxa"/>
          </w:tcPr>
          <w:p w14:paraId="40DD8EE1" w14:textId="77777777" w:rsidR="00A845A2" w:rsidRPr="00A0163E" w:rsidRDefault="00A845A2" w:rsidP="005F26EF">
            <w:pPr>
              <w:spacing w:before="40" w:after="40" w:line="240" w:lineRule="auto"/>
              <w:rPr>
                <w:sz w:val="20"/>
              </w:rPr>
            </w:pPr>
            <w:r w:rsidRPr="00A0163E">
              <w:rPr>
                <w:sz w:val="20"/>
              </w:rPr>
              <w:t>DSMAC IIA Statement</w:t>
            </w:r>
          </w:p>
        </w:tc>
        <w:tc>
          <w:tcPr>
            <w:tcW w:w="1350" w:type="dxa"/>
          </w:tcPr>
          <w:p w14:paraId="0EBF2BA0" w14:textId="36489ECE"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56F96374"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Identifies whether DSMAC IIA updates are required. Valid values are</w:t>
            </w:r>
            <w:r w:rsidRPr="00A0163E">
              <w:rPr>
                <w:b/>
                <w:sz w:val="20"/>
              </w:rPr>
              <w:t xml:space="preserve"> DSMAC IIA Required </w:t>
            </w:r>
            <w:r w:rsidRPr="00A0163E">
              <w:rPr>
                <w:sz w:val="20"/>
              </w:rPr>
              <w:t>or</w:t>
            </w:r>
            <w:r w:rsidRPr="00A0163E">
              <w:rPr>
                <w:b/>
                <w:sz w:val="20"/>
              </w:rPr>
              <w:t xml:space="preserve"> DSMAC IIA Not Required</w:t>
            </w:r>
            <w:r w:rsidRPr="00A0163E">
              <w:rPr>
                <w:sz w:val="20"/>
              </w:rPr>
              <w:t>.</w:t>
            </w:r>
          </w:p>
          <w:p w14:paraId="38693A2C"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DSMAC IIA statement.</w:t>
            </w:r>
          </w:p>
        </w:tc>
      </w:tr>
      <w:tr w:rsidR="005F26EF" w:rsidRPr="00C24B58" w14:paraId="4FB40196" w14:textId="77777777" w:rsidTr="0043211C">
        <w:trPr>
          <w:cantSplit/>
          <w:trHeight w:val="144"/>
        </w:trPr>
        <w:tc>
          <w:tcPr>
            <w:tcW w:w="1998" w:type="dxa"/>
          </w:tcPr>
          <w:p w14:paraId="15BD9874" w14:textId="77777777" w:rsidR="00A845A2" w:rsidRPr="00A0163E" w:rsidRDefault="00A845A2" w:rsidP="005F26EF">
            <w:pPr>
              <w:spacing w:before="40" w:after="40" w:line="240" w:lineRule="auto"/>
              <w:rPr>
                <w:sz w:val="20"/>
              </w:rPr>
            </w:pPr>
            <w:r w:rsidRPr="00A0163E">
              <w:rPr>
                <w:sz w:val="20"/>
              </w:rPr>
              <w:t>DSMAC Location</w:t>
            </w:r>
          </w:p>
        </w:tc>
        <w:tc>
          <w:tcPr>
            <w:tcW w:w="1350" w:type="dxa"/>
          </w:tcPr>
          <w:p w14:paraId="258E65F8" w14:textId="72EA5FE6"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62EAAE0A"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latitude/longitude coordinate associated with the geodetic point where the first </w:t>
            </w:r>
            <w:r w:rsidRPr="00A0163E">
              <w:rPr>
                <w:sz w:val="20"/>
              </w:rPr>
              <w:br/>
              <w:t>DSMAC is located.</w:t>
            </w:r>
          </w:p>
          <w:p w14:paraId="60239264"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in which the DSMAC falls within the latitude/longitude values entered (or selected from the map). Affected by the floating-point number query limitation (see Note at the beginning of this Appendix).</w:t>
            </w:r>
          </w:p>
        </w:tc>
      </w:tr>
      <w:tr w:rsidR="005F26EF" w:rsidRPr="00C24B58" w14:paraId="188D23F0" w14:textId="77777777" w:rsidTr="0043211C">
        <w:trPr>
          <w:cantSplit/>
          <w:trHeight w:val="144"/>
        </w:trPr>
        <w:tc>
          <w:tcPr>
            <w:tcW w:w="1998" w:type="dxa"/>
          </w:tcPr>
          <w:p w14:paraId="47ADA99D" w14:textId="77777777" w:rsidR="00A845A2" w:rsidRPr="00A0163E" w:rsidRDefault="00A845A2" w:rsidP="005F26EF">
            <w:pPr>
              <w:spacing w:before="40" w:after="40" w:line="240" w:lineRule="auto"/>
              <w:rPr>
                <w:sz w:val="20"/>
              </w:rPr>
            </w:pPr>
            <w:r w:rsidRPr="00A0163E">
              <w:rPr>
                <w:sz w:val="20"/>
              </w:rPr>
              <w:lastRenderedPageBreak/>
              <w:t>DSMAC Type</w:t>
            </w:r>
          </w:p>
        </w:tc>
        <w:tc>
          <w:tcPr>
            <w:tcW w:w="1350" w:type="dxa"/>
          </w:tcPr>
          <w:p w14:paraId="6C50C8DE" w14:textId="77777777" w:rsidR="00A845A2" w:rsidRPr="00A0163E" w:rsidRDefault="00A845A2" w:rsidP="0043211C">
            <w:pPr>
              <w:spacing w:before="40" w:after="40" w:line="240" w:lineRule="auto"/>
              <w:rPr>
                <w:sz w:val="20"/>
              </w:rPr>
            </w:pPr>
            <w:r w:rsidRPr="00A0163E">
              <w:rPr>
                <w:sz w:val="20"/>
              </w:rPr>
              <w:t>109C</w:t>
            </w:r>
            <w:r w:rsidRPr="00A0163E">
              <w:rPr>
                <w:sz w:val="20"/>
              </w:rPr>
              <w:br/>
              <w:t>109D</w:t>
            </w:r>
            <w:r w:rsidRPr="00A0163E">
              <w:rPr>
                <w:sz w:val="20"/>
              </w:rPr>
              <w:br/>
              <w:t>109E</w:t>
            </w:r>
          </w:p>
          <w:p w14:paraId="7236EEDF" w14:textId="77777777" w:rsidR="00A845A2" w:rsidRPr="00A0163E" w:rsidRDefault="00A845A2" w:rsidP="0043211C">
            <w:pPr>
              <w:spacing w:before="40" w:after="40" w:line="240" w:lineRule="auto"/>
              <w:rPr>
                <w:sz w:val="20"/>
              </w:rPr>
            </w:pPr>
            <w:r w:rsidRPr="00A0163E">
              <w:rPr>
                <w:sz w:val="20"/>
              </w:rPr>
              <w:t>109E ACP</w:t>
            </w:r>
          </w:p>
          <w:p w14:paraId="4076D587" w14:textId="5B4D2C2D" w:rsidR="00A845A2" w:rsidRPr="00A0163E" w:rsidRDefault="00A845A2" w:rsidP="0043211C">
            <w:pPr>
              <w:spacing w:before="40" w:after="40" w:line="240" w:lineRule="auto"/>
              <w:rPr>
                <w:sz w:val="20"/>
              </w:rPr>
            </w:pPr>
            <w:r w:rsidRPr="00A0163E">
              <w:rPr>
                <w:sz w:val="20"/>
              </w:rPr>
              <w:t xml:space="preserve">MSTM </w:t>
            </w:r>
            <w:r w:rsidR="005F26EF" w:rsidRPr="00A0163E">
              <w:rPr>
                <w:sz w:val="20"/>
              </w:rPr>
              <w:br/>
            </w:r>
            <w:r w:rsidR="00085AF0" w:rsidRPr="00A0163E">
              <w:rPr>
                <w:sz w:val="20"/>
              </w:rPr>
              <w:t>109M</w:t>
            </w:r>
          </w:p>
        </w:tc>
        <w:tc>
          <w:tcPr>
            <w:tcW w:w="9720" w:type="dxa"/>
          </w:tcPr>
          <w:p w14:paraId="29EA60E7"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unique type for a DMSAC. Valid values are </w:t>
            </w:r>
            <w:r w:rsidRPr="00A0163E">
              <w:rPr>
                <w:b/>
                <w:bCs/>
                <w:sz w:val="20"/>
              </w:rPr>
              <w:t>DSMAC_IIA</w:t>
            </w:r>
            <w:r w:rsidRPr="00A0163E">
              <w:rPr>
                <w:sz w:val="20"/>
              </w:rPr>
              <w:t xml:space="preserve">, </w:t>
            </w:r>
            <w:r w:rsidRPr="00A0163E">
              <w:rPr>
                <w:b/>
                <w:bCs/>
                <w:sz w:val="20"/>
              </w:rPr>
              <w:t>DSMAC_IIA_VUP</w:t>
            </w:r>
            <w:r w:rsidRPr="00A0163E">
              <w:rPr>
                <w:sz w:val="20"/>
              </w:rPr>
              <w:t xml:space="preserve">, or </w:t>
            </w:r>
            <w:r w:rsidRPr="00A0163E">
              <w:rPr>
                <w:b/>
                <w:bCs/>
                <w:sz w:val="20"/>
              </w:rPr>
              <w:t>VUP</w:t>
            </w:r>
            <w:r w:rsidRPr="00A0163E">
              <w:rPr>
                <w:sz w:val="20"/>
              </w:rPr>
              <w:t>.</w:t>
            </w:r>
          </w:p>
          <w:p w14:paraId="1F9454FD"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specified DSMAC Type.</w:t>
            </w:r>
          </w:p>
        </w:tc>
      </w:tr>
      <w:tr w:rsidR="005F26EF" w:rsidRPr="00C24B58" w14:paraId="1CADDE5E" w14:textId="77777777" w:rsidTr="0043211C">
        <w:trPr>
          <w:cantSplit/>
          <w:trHeight w:val="144"/>
        </w:trPr>
        <w:tc>
          <w:tcPr>
            <w:tcW w:w="1998" w:type="dxa"/>
          </w:tcPr>
          <w:p w14:paraId="79A8603D" w14:textId="77777777" w:rsidR="00A845A2" w:rsidRPr="00A0163E" w:rsidRDefault="00A845A2" w:rsidP="005F26EF">
            <w:pPr>
              <w:spacing w:before="40" w:after="40" w:line="240" w:lineRule="auto"/>
              <w:rPr>
                <w:sz w:val="20"/>
              </w:rPr>
            </w:pPr>
            <w:r w:rsidRPr="00A0163E">
              <w:rPr>
                <w:sz w:val="20"/>
              </w:rPr>
              <w:t>Formal Approval Site</w:t>
            </w:r>
          </w:p>
        </w:tc>
        <w:tc>
          <w:tcPr>
            <w:tcW w:w="1350" w:type="dxa"/>
          </w:tcPr>
          <w:p w14:paraId="4B80EAE3" w14:textId="5F0F5B31"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2BBFE181"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unique identifier for a Formal Approval Site. Valid format is two alphabetic characters.</w:t>
            </w:r>
          </w:p>
          <w:p w14:paraId="7B3ADFEF"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specified Formal Approval Site (wildcard allowed).</w:t>
            </w:r>
          </w:p>
        </w:tc>
      </w:tr>
      <w:tr w:rsidR="005F26EF" w:rsidRPr="00C24B58" w14:paraId="03842BE4" w14:textId="77777777" w:rsidTr="0043211C">
        <w:trPr>
          <w:cantSplit/>
          <w:trHeight w:val="144"/>
        </w:trPr>
        <w:tc>
          <w:tcPr>
            <w:tcW w:w="1998" w:type="dxa"/>
          </w:tcPr>
          <w:p w14:paraId="55389071" w14:textId="77777777" w:rsidR="00A845A2" w:rsidRPr="00A0163E" w:rsidRDefault="00A845A2" w:rsidP="005F26EF">
            <w:pPr>
              <w:spacing w:before="40" w:after="40" w:line="240" w:lineRule="auto"/>
              <w:rPr>
                <w:sz w:val="20"/>
              </w:rPr>
            </w:pPr>
            <w:r w:rsidRPr="00A0163E">
              <w:rPr>
                <w:sz w:val="20"/>
              </w:rPr>
              <w:t>Formal MSN Reviewer</w:t>
            </w:r>
          </w:p>
        </w:tc>
        <w:tc>
          <w:tcPr>
            <w:tcW w:w="1350" w:type="dxa"/>
          </w:tcPr>
          <w:p w14:paraId="760A2626" w14:textId="0A858BBF"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7E667D9B"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Name of the formal reviewer of a planned mission.</w:t>
            </w:r>
          </w:p>
          <w:p w14:paraId="3CEDA29D"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that match the specified Formal MSN Reviewer (wildcard allowed). </w:t>
            </w:r>
          </w:p>
        </w:tc>
      </w:tr>
      <w:tr w:rsidR="005F26EF" w:rsidRPr="00C24B58" w14:paraId="10167D4F" w14:textId="77777777" w:rsidTr="0043211C">
        <w:trPr>
          <w:cantSplit/>
          <w:trHeight w:val="144"/>
        </w:trPr>
        <w:tc>
          <w:tcPr>
            <w:tcW w:w="1998" w:type="dxa"/>
          </w:tcPr>
          <w:p w14:paraId="00948EEB" w14:textId="77777777" w:rsidR="00A845A2" w:rsidRPr="00A0163E" w:rsidRDefault="00A845A2" w:rsidP="005F26EF">
            <w:pPr>
              <w:spacing w:before="40" w:after="40" w:line="240" w:lineRule="auto"/>
              <w:rPr>
                <w:sz w:val="20"/>
              </w:rPr>
            </w:pPr>
            <w:r w:rsidRPr="00A0163E">
              <w:rPr>
                <w:sz w:val="20"/>
              </w:rPr>
              <w:t>Fuze Setting</w:t>
            </w:r>
          </w:p>
        </w:tc>
        <w:tc>
          <w:tcPr>
            <w:tcW w:w="1350" w:type="dxa"/>
          </w:tcPr>
          <w:p w14:paraId="5E3B6C9D" w14:textId="37C90239"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28C2B96D" w14:textId="489D14C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time delay from the planned impact or PWD to detonation. Valid values are </w:t>
            </w:r>
            <w:r w:rsidR="00825B31" w:rsidRPr="00A0163E">
              <w:rPr>
                <w:sz w:val="20"/>
              </w:rPr>
              <w:t xml:space="preserve">as follows: </w:t>
            </w:r>
            <w:r w:rsidRPr="00A0163E">
              <w:rPr>
                <w:sz w:val="20"/>
              </w:rPr>
              <w:t>109C TACT and TEST missions</w:t>
            </w:r>
            <w:r w:rsidR="00825B31" w:rsidRPr="00A0163E">
              <w:rPr>
                <w:sz w:val="20"/>
              </w:rPr>
              <w:t xml:space="preserve"> allow </w:t>
            </w:r>
            <w:r w:rsidR="00825B31" w:rsidRPr="00A0163E">
              <w:rPr>
                <w:b/>
                <w:bCs/>
                <w:sz w:val="20"/>
              </w:rPr>
              <w:t>Short</w:t>
            </w:r>
            <w:r w:rsidR="00825B31" w:rsidRPr="00A0163E">
              <w:rPr>
                <w:sz w:val="20"/>
              </w:rPr>
              <w:t xml:space="preserve">, </w:t>
            </w:r>
            <w:r w:rsidR="00825B31" w:rsidRPr="00A0163E">
              <w:rPr>
                <w:b/>
                <w:bCs/>
                <w:sz w:val="20"/>
              </w:rPr>
              <w:t>Medium</w:t>
            </w:r>
            <w:r w:rsidR="00825B31" w:rsidRPr="00A0163E">
              <w:rPr>
                <w:sz w:val="20"/>
              </w:rPr>
              <w:t xml:space="preserve">, or </w:t>
            </w:r>
            <w:r w:rsidR="00825B31" w:rsidRPr="00A0163E">
              <w:rPr>
                <w:b/>
                <w:bCs/>
                <w:sz w:val="20"/>
              </w:rPr>
              <w:t>Long</w:t>
            </w:r>
            <w:r w:rsidR="00825B31" w:rsidRPr="00A0163E">
              <w:rPr>
                <w:sz w:val="20"/>
              </w:rPr>
              <w:t>;</w:t>
            </w:r>
            <w:r w:rsidRPr="00A0163E">
              <w:rPr>
                <w:sz w:val="20"/>
              </w:rPr>
              <w:t xml:space="preserve"> PWD missions</w:t>
            </w:r>
            <w:r w:rsidR="00825B31" w:rsidRPr="00A0163E">
              <w:rPr>
                <w:sz w:val="20"/>
              </w:rPr>
              <w:t xml:space="preserve"> allow </w:t>
            </w:r>
            <w:r w:rsidR="00825B31" w:rsidRPr="00A0163E">
              <w:rPr>
                <w:b/>
                <w:bCs/>
                <w:sz w:val="20"/>
              </w:rPr>
              <w:t>Medium</w:t>
            </w:r>
            <w:r w:rsidR="00825B31" w:rsidRPr="00A0163E">
              <w:rPr>
                <w:sz w:val="20"/>
              </w:rPr>
              <w:t xml:space="preserve">; 109M missions allow </w:t>
            </w:r>
            <w:r w:rsidR="00825B31" w:rsidRPr="00A0163E">
              <w:rPr>
                <w:b/>
                <w:bCs/>
                <w:sz w:val="20"/>
              </w:rPr>
              <w:t>Short</w:t>
            </w:r>
            <w:r w:rsidR="00825B31" w:rsidRPr="00A0163E">
              <w:rPr>
                <w:sz w:val="20"/>
              </w:rPr>
              <w:t xml:space="preserve">, </w:t>
            </w:r>
            <w:r w:rsidR="00825B31" w:rsidRPr="00A0163E">
              <w:rPr>
                <w:b/>
                <w:bCs/>
                <w:sz w:val="20"/>
              </w:rPr>
              <w:t>Medium</w:t>
            </w:r>
            <w:r w:rsidR="00825B31" w:rsidRPr="00A0163E">
              <w:rPr>
                <w:sz w:val="20"/>
              </w:rPr>
              <w:t xml:space="preserve">, </w:t>
            </w:r>
            <w:r w:rsidR="00825B31" w:rsidRPr="00A0163E">
              <w:rPr>
                <w:b/>
                <w:bCs/>
                <w:sz w:val="20"/>
              </w:rPr>
              <w:t>Long</w:t>
            </w:r>
            <w:r w:rsidR="00825B31" w:rsidRPr="00A0163E">
              <w:rPr>
                <w:sz w:val="20"/>
              </w:rPr>
              <w:t xml:space="preserve">, or </w:t>
            </w:r>
            <w:r w:rsidR="00825B31" w:rsidRPr="00A0163E">
              <w:rPr>
                <w:b/>
                <w:bCs/>
                <w:sz w:val="20"/>
              </w:rPr>
              <w:t>Custom</w:t>
            </w:r>
            <w:r w:rsidR="00825B31" w:rsidRPr="00A0163E">
              <w:rPr>
                <w:sz w:val="20"/>
              </w:rPr>
              <w:t>;</w:t>
            </w:r>
            <w:r w:rsidRPr="00A0163E">
              <w:rPr>
                <w:sz w:val="20"/>
              </w:rPr>
              <w:t xml:space="preserve"> or</w:t>
            </w:r>
            <w:r w:rsidR="00825B31" w:rsidRPr="00A0163E">
              <w:rPr>
                <w:sz w:val="20"/>
              </w:rPr>
              <w:t xml:space="preserve"> any mission allows</w:t>
            </w:r>
            <w:r w:rsidRPr="00A0163E">
              <w:rPr>
                <w:sz w:val="20"/>
              </w:rPr>
              <w:t xml:space="preserve"> </w:t>
            </w:r>
            <w:r w:rsidRPr="00A0163E">
              <w:rPr>
                <w:b/>
                <w:sz w:val="20"/>
              </w:rPr>
              <w:t>Undefined</w:t>
            </w:r>
            <w:r w:rsidRPr="00A0163E">
              <w:rPr>
                <w:sz w:val="20"/>
              </w:rPr>
              <w:t>.</w:t>
            </w:r>
          </w:p>
          <w:p w14:paraId="5150493D"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Fuze Setting.</w:t>
            </w:r>
          </w:p>
        </w:tc>
      </w:tr>
      <w:tr w:rsidR="005F26EF" w:rsidRPr="00C24B58" w14:paraId="560B5F1D" w14:textId="77777777" w:rsidTr="0043211C">
        <w:trPr>
          <w:cantSplit/>
          <w:trHeight w:val="144"/>
        </w:trPr>
        <w:tc>
          <w:tcPr>
            <w:tcW w:w="1998" w:type="dxa"/>
          </w:tcPr>
          <w:p w14:paraId="49D1F280" w14:textId="77777777" w:rsidR="00A845A2" w:rsidRPr="00A0163E" w:rsidRDefault="00A845A2" w:rsidP="005F26EF">
            <w:pPr>
              <w:spacing w:before="40" w:after="40" w:line="240" w:lineRule="auto"/>
              <w:rPr>
                <w:sz w:val="20"/>
              </w:rPr>
            </w:pPr>
            <w:r w:rsidRPr="00A0163E">
              <w:rPr>
                <w:sz w:val="20"/>
              </w:rPr>
              <w:t>GPS Statement</w:t>
            </w:r>
          </w:p>
        </w:tc>
        <w:tc>
          <w:tcPr>
            <w:tcW w:w="1350" w:type="dxa"/>
          </w:tcPr>
          <w:p w14:paraId="1650F830" w14:textId="0F024D98"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3B4DFB31" w14:textId="77777777" w:rsidR="00A845A2" w:rsidRPr="00A0163E" w:rsidRDefault="00A845A2" w:rsidP="005F26EF">
            <w:pPr>
              <w:spacing w:before="40" w:after="40" w:line="240" w:lineRule="auto"/>
              <w:rPr>
                <w:b/>
                <w:sz w:val="20"/>
              </w:rPr>
            </w:pPr>
            <w:r w:rsidRPr="00A0163E">
              <w:rPr>
                <w:b/>
                <w:sz w:val="20"/>
              </w:rPr>
              <w:t>Definition:</w:t>
            </w:r>
            <w:r w:rsidRPr="00A0163E">
              <w:rPr>
                <w:sz w:val="20"/>
              </w:rPr>
              <w:t xml:space="preserve"> Indicates the necessity for GPS updates. Valid values are</w:t>
            </w:r>
            <w:r w:rsidRPr="00A0163E">
              <w:rPr>
                <w:b/>
                <w:sz w:val="20"/>
              </w:rPr>
              <w:t xml:space="preserve"> GPS Required</w:t>
            </w:r>
            <w:r w:rsidRPr="00A0163E">
              <w:rPr>
                <w:sz w:val="20"/>
              </w:rPr>
              <w:t xml:space="preserve"> (essential for missile navigation),</w:t>
            </w:r>
            <w:r w:rsidRPr="00A0163E">
              <w:rPr>
                <w:b/>
                <w:sz w:val="20"/>
              </w:rPr>
              <w:t xml:space="preserve"> GPS Only</w:t>
            </w:r>
            <w:r w:rsidRPr="00A0163E">
              <w:rPr>
                <w:sz w:val="20"/>
              </w:rPr>
              <w:t xml:space="preserve"> (GPS is the only source of navigation update), or </w:t>
            </w:r>
            <w:r w:rsidRPr="00A0163E">
              <w:rPr>
                <w:b/>
                <w:sz w:val="20"/>
              </w:rPr>
              <w:t>GPS Not Essential</w:t>
            </w:r>
            <w:r w:rsidRPr="00A0163E">
              <w:rPr>
                <w:sz w:val="20"/>
              </w:rPr>
              <w:t xml:space="preserve"> (GPS is not required, but a missile uses GPS if it is available).</w:t>
            </w:r>
          </w:p>
          <w:p w14:paraId="39AA51A8"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GPS Statement.</w:t>
            </w:r>
          </w:p>
        </w:tc>
      </w:tr>
      <w:tr w:rsidR="005F26EF" w:rsidRPr="00C24B58" w14:paraId="78F9995E" w14:textId="77777777" w:rsidTr="0043211C">
        <w:trPr>
          <w:cantSplit/>
          <w:trHeight w:val="144"/>
        </w:trPr>
        <w:tc>
          <w:tcPr>
            <w:tcW w:w="1998" w:type="dxa"/>
          </w:tcPr>
          <w:p w14:paraId="0D4CC783" w14:textId="77777777" w:rsidR="00A845A2" w:rsidRPr="00A0163E" w:rsidRDefault="00A845A2" w:rsidP="005F26EF">
            <w:pPr>
              <w:spacing w:before="40" w:after="40" w:line="240" w:lineRule="auto"/>
              <w:rPr>
                <w:sz w:val="20"/>
              </w:rPr>
            </w:pPr>
            <w:r w:rsidRPr="00A0163E">
              <w:rPr>
                <w:sz w:val="20"/>
              </w:rPr>
              <w:t>Internal Hold</w:t>
            </w:r>
          </w:p>
        </w:tc>
        <w:tc>
          <w:tcPr>
            <w:tcW w:w="1350" w:type="dxa"/>
          </w:tcPr>
          <w:p w14:paraId="558E9640" w14:textId="052CCA90"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5A26EECA"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Indicates whether a mission has been placed on Internal Hold (</w:t>
            </w:r>
            <w:r w:rsidRPr="00A0163E">
              <w:rPr>
                <w:b/>
                <w:sz w:val="20"/>
              </w:rPr>
              <w:t>True</w:t>
            </w:r>
            <w:r w:rsidRPr="00A0163E">
              <w:rPr>
                <w:sz w:val="20"/>
              </w:rPr>
              <w:t>) or not (</w:t>
            </w:r>
            <w:r w:rsidRPr="00A0163E">
              <w:rPr>
                <w:b/>
                <w:sz w:val="20"/>
              </w:rPr>
              <w:t>False</w:t>
            </w:r>
            <w:r w:rsidRPr="00A0163E">
              <w:rPr>
                <w:sz w:val="20"/>
              </w:rPr>
              <w:t>). Internal Hold indicates that the mission will not be distributed.</w:t>
            </w:r>
          </w:p>
          <w:p w14:paraId="22A3978C"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Internal Hold statement.</w:t>
            </w:r>
            <w:r w:rsidRPr="00A0163E">
              <w:rPr>
                <w:b/>
                <w:sz w:val="20"/>
              </w:rPr>
              <w:t xml:space="preserve"> </w:t>
            </w:r>
          </w:p>
        </w:tc>
      </w:tr>
      <w:tr w:rsidR="005F26EF" w:rsidRPr="00C24B58" w14:paraId="512B2F99" w14:textId="77777777" w:rsidTr="0043211C">
        <w:trPr>
          <w:cantSplit/>
          <w:trHeight w:val="144"/>
        </w:trPr>
        <w:tc>
          <w:tcPr>
            <w:tcW w:w="1998" w:type="dxa"/>
          </w:tcPr>
          <w:p w14:paraId="1A7D9E3E" w14:textId="77777777" w:rsidR="00A845A2" w:rsidRPr="00A0163E" w:rsidRDefault="00A845A2" w:rsidP="005F26EF">
            <w:pPr>
              <w:spacing w:before="40" w:after="40" w:line="240" w:lineRule="auto"/>
              <w:rPr>
                <w:sz w:val="20"/>
              </w:rPr>
            </w:pPr>
            <w:r w:rsidRPr="00A0163E">
              <w:rPr>
                <w:sz w:val="20"/>
              </w:rPr>
              <w:t>Launcher Type</w:t>
            </w:r>
          </w:p>
        </w:tc>
        <w:tc>
          <w:tcPr>
            <w:tcW w:w="1350" w:type="dxa"/>
          </w:tcPr>
          <w:p w14:paraId="602C63FF" w14:textId="0A585B30"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220525AD" w14:textId="77777777" w:rsidR="00A845A2" w:rsidRPr="00A0163E" w:rsidRDefault="00A845A2" w:rsidP="005F26EF">
            <w:pPr>
              <w:spacing w:before="40" w:after="40" w:line="240" w:lineRule="auto"/>
              <w:rPr>
                <w:b/>
                <w:sz w:val="20"/>
              </w:rPr>
            </w:pPr>
            <w:r w:rsidRPr="00A0163E">
              <w:rPr>
                <w:b/>
                <w:sz w:val="20"/>
              </w:rPr>
              <w:t>Definition:</w:t>
            </w:r>
            <w:r w:rsidRPr="00A0163E">
              <w:rPr>
                <w:sz w:val="20"/>
              </w:rPr>
              <w:t xml:space="preserve"> Associated with all missions and indicates what type of platform can launch the mission. Only COMMON missions exist in today's operational environment (missions can be launched by both surface and subsurface platforms).</w:t>
            </w:r>
          </w:p>
          <w:p w14:paraId="3A8310E0"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COMMON Launcher Type.</w:t>
            </w:r>
          </w:p>
        </w:tc>
      </w:tr>
      <w:tr w:rsidR="005F26EF" w:rsidRPr="00C24B58" w14:paraId="0FCD45E2" w14:textId="77777777" w:rsidTr="0043211C">
        <w:trPr>
          <w:cantSplit/>
          <w:trHeight w:val="144"/>
        </w:trPr>
        <w:tc>
          <w:tcPr>
            <w:tcW w:w="1998" w:type="dxa"/>
          </w:tcPr>
          <w:p w14:paraId="00CDF2B4" w14:textId="77777777" w:rsidR="00A845A2" w:rsidRPr="00A0163E" w:rsidRDefault="00A845A2" w:rsidP="005F26EF">
            <w:pPr>
              <w:spacing w:before="40" w:after="40" w:line="240" w:lineRule="auto"/>
              <w:rPr>
                <w:sz w:val="20"/>
              </w:rPr>
            </w:pPr>
            <w:r w:rsidRPr="00A0163E">
              <w:rPr>
                <w:sz w:val="20"/>
              </w:rPr>
              <w:t>Missile</w:t>
            </w:r>
          </w:p>
        </w:tc>
        <w:tc>
          <w:tcPr>
            <w:tcW w:w="1350" w:type="dxa"/>
          </w:tcPr>
          <w:p w14:paraId="77E48900"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p>
          <w:p w14:paraId="1568CC40" w14:textId="12F0D8E3" w:rsidR="00A845A2" w:rsidRPr="00A0163E" w:rsidRDefault="00A845A2" w:rsidP="005F26EF">
            <w:pPr>
              <w:spacing w:before="40" w:after="40" w:line="240" w:lineRule="auto"/>
              <w:rPr>
                <w:sz w:val="20"/>
              </w:rPr>
            </w:pPr>
            <w:r w:rsidRPr="00A0163E">
              <w:rPr>
                <w:sz w:val="20"/>
              </w:rPr>
              <w:t>109E ACP</w:t>
            </w:r>
            <w:r w:rsidRPr="00A0163E">
              <w:rPr>
                <w:sz w:val="20"/>
              </w:rPr>
              <w:br/>
              <w:t>MSTM</w:t>
            </w:r>
            <w:r w:rsidR="005F26EF" w:rsidRPr="00A0163E">
              <w:rPr>
                <w:sz w:val="20"/>
              </w:rPr>
              <w:br/>
            </w:r>
            <w:r w:rsidR="00085AF0" w:rsidRPr="00A0163E">
              <w:rPr>
                <w:sz w:val="20"/>
              </w:rPr>
              <w:t>109M</w:t>
            </w:r>
          </w:p>
        </w:tc>
        <w:tc>
          <w:tcPr>
            <w:tcW w:w="9720" w:type="dxa"/>
          </w:tcPr>
          <w:p w14:paraId="70706D04" w14:textId="34980C85" w:rsidR="00A845A2" w:rsidRPr="00A0163E" w:rsidRDefault="00A845A2" w:rsidP="005F26EF">
            <w:pPr>
              <w:spacing w:before="40" w:after="40" w:line="240" w:lineRule="auto"/>
              <w:rPr>
                <w:b/>
                <w:sz w:val="20"/>
              </w:rPr>
            </w:pPr>
            <w:r w:rsidRPr="00A0163E">
              <w:rPr>
                <w:b/>
                <w:sz w:val="20"/>
              </w:rPr>
              <w:t>Definition:</w:t>
            </w:r>
            <w:r w:rsidRPr="00A0163E">
              <w:rPr>
                <w:sz w:val="20"/>
              </w:rPr>
              <w:t xml:space="preserve"> Identifies whether the mission is a </w:t>
            </w:r>
            <w:r w:rsidRPr="00A0163E">
              <w:rPr>
                <w:b/>
                <w:sz w:val="20"/>
              </w:rPr>
              <w:t>109C</w:t>
            </w:r>
            <w:r w:rsidRPr="00A0163E">
              <w:rPr>
                <w:sz w:val="20"/>
              </w:rPr>
              <w:t xml:space="preserve">, </w:t>
            </w:r>
            <w:r w:rsidRPr="00A0163E">
              <w:rPr>
                <w:b/>
                <w:sz w:val="20"/>
              </w:rPr>
              <w:t>109D</w:t>
            </w:r>
            <w:r w:rsidRPr="00A0163E">
              <w:rPr>
                <w:sz w:val="20"/>
              </w:rPr>
              <w:t xml:space="preserve">, </w:t>
            </w:r>
            <w:r w:rsidRPr="00A0163E">
              <w:rPr>
                <w:b/>
                <w:sz w:val="20"/>
              </w:rPr>
              <w:t>109E</w:t>
            </w:r>
            <w:r w:rsidRPr="00A0163E">
              <w:rPr>
                <w:sz w:val="20"/>
              </w:rPr>
              <w:t xml:space="preserve">, </w:t>
            </w:r>
            <w:r w:rsidRPr="00A0163E">
              <w:rPr>
                <w:b/>
                <w:bCs/>
                <w:sz w:val="20"/>
              </w:rPr>
              <w:t>109E ACP</w:t>
            </w:r>
            <w:r w:rsidRPr="00A0163E">
              <w:rPr>
                <w:sz w:val="20"/>
              </w:rPr>
              <w:t xml:space="preserve">, </w:t>
            </w:r>
            <w:r w:rsidRPr="00A0163E">
              <w:rPr>
                <w:b/>
                <w:sz w:val="20"/>
              </w:rPr>
              <w:t>MSTM</w:t>
            </w:r>
            <w:r w:rsidR="00825B31" w:rsidRPr="00A0163E">
              <w:rPr>
                <w:bCs/>
                <w:sz w:val="20"/>
              </w:rPr>
              <w:t>, or</w:t>
            </w:r>
            <w:r w:rsidR="00825B31" w:rsidRPr="00A0163E">
              <w:rPr>
                <w:b/>
                <w:sz w:val="20"/>
              </w:rPr>
              <w:t xml:space="preserve"> 109M</w:t>
            </w:r>
            <w:r w:rsidRPr="00A0163E">
              <w:rPr>
                <w:sz w:val="20"/>
              </w:rPr>
              <w:t xml:space="preserve">. </w:t>
            </w:r>
          </w:p>
          <w:p w14:paraId="24133461"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Variant. </w:t>
            </w:r>
          </w:p>
        </w:tc>
      </w:tr>
      <w:tr w:rsidR="005F26EF" w:rsidRPr="00C24B58" w14:paraId="1BCD4405" w14:textId="77777777" w:rsidTr="0043211C">
        <w:trPr>
          <w:cantSplit/>
          <w:trHeight w:val="144"/>
        </w:trPr>
        <w:tc>
          <w:tcPr>
            <w:tcW w:w="1998" w:type="dxa"/>
          </w:tcPr>
          <w:p w14:paraId="50FE9E02" w14:textId="77777777" w:rsidR="00A845A2" w:rsidRPr="00A0163E" w:rsidRDefault="00A845A2" w:rsidP="005F26EF">
            <w:pPr>
              <w:spacing w:before="40" w:after="40" w:line="240" w:lineRule="auto"/>
              <w:rPr>
                <w:sz w:val="20"/>
              </w:rPr>
            </w:pPr>
            <w:r w:rsidRPr="00A0163E">
              <w:rPr>
                <w:sz w:val="20"/>
              </w:rPr>
              <w:lastRenderedPageBreak/>
              <w:t>Missile ID</w:t>
            </w:r>
          </w:p>
        </w:tc>
        <w:tc>
          <w:tcPr>
            <w:tcW w:w="1350" w:type="dxa"/>
          </w:tcPr>
          <w:p w14:paraId="53008153" w14:textId="35DF8FE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556E3BBF"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Missile identifier that defines the configuration that is capable of flying the mission. Launch Platform fire control systems match this data with bit-patterns in the missile as part of the M3 process. Missile IDs are in Hexadecimal format and are either 12 or 19 characters in length.</w:t>
            </w:r>
          </w:p>
          <w:p w14:paraId="00F6EC20"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contain the specified Missile ID (wildcard allowed).</w:t>
            </w:r>
          </w:p>
        </w:tc>
      </w:tr>
      <w:tr w:rsidR="005F26EF" w:rsidRPr="00C24B58" w14:paraId="7939F510" w14:textId="77777777" w:rsidTr="0043211C">
        <w:trPr>
          <w:cantSplit/>
          <w:trHeight w:val="144"/>
        </w:trPr>
        <w:tc>
          <w:tcPr>
            <w:tcW w:w="1998" w:type="dxa"/>
          </w:tcPr>
          <w:p w14:paraId="2CB736BB" w14:textId="77777777" w:rsidR="00A845A2" w:rsidRPr="00A0163E" w:rsidRDefault="00A845A2" w:rsidP="005F26EF">
            <w:pPr>
              <w:spacing w:before="40" w:after="40" w:line="240" w:lineRule="auto"/>
              <w:rPr>
                <w:sz w:val="20"/>
              </w:rPr>
            </w:pPr>
            <w:r w:rsidRPr="00A0163E">
              <w:rPr>
                <w:sz w:val="20"/>
              </w:rPr>
              <w:t>Missile Statement</w:t>
            </w:r>
          </w:p>
        </w:tc>
        <w:tc>
          <w:tcPr>
            <w:tcW w:w="1350" w:type="dxa"/>
          </w:tcPr>
          <w:p w14:paraId="0BBB6AC8" w14:textId="4A97BAAB"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5F26EF" w:rsidRPr="00A0163E">
              <w:rPr>
                <w:sz w:val="20"/>
              </w:rPr>
              <w:br/>
            </w:r>
            <w:r w:rsidR="00085AF0" w:rsidRPr="00A0163E">
              <w:rPr>
                <w:sz w:val="20"/>
              </w:rPr>
              <w:t>109M</w:t>
            </w:r>
          </w:p>
        </w:tc>
        <w:tc>
          <w:tcPr>
            <w:tcW w:w="9720" w:type="dxa"/>
          </w:tcPr>
          <w:p w14:paraId="2FFC3763" w14:textId="41C252E0" w:rsidR="00A845A2" w:rsidRPr="00A0163E" w:rsidRDefault="00A845A2" w:rsidP="005F26EF">
            <w:pPr>
              <w:spacing w:before="40" w:after="40" w:line="240" w:lineRule="auto"/>
              <w:rPr>
                <w:b/>
                <w:sz w:val="20"/>
              </w:rPr>
            </w:pPr>
            <w:r w:rsidRPr="00A0163E">
              <w:rPr>
                <w:b/>
                <w:sz w:val="20"/>
              </w:rPr>
              <w:t>Definition:</w:t>
            </w:r>
            <w:r w:rsidRPr="00A0163E">
              <w:rPr>
                <w:sz w:val="20"/>
              </w:rPr>
              <w:t xml:space="preserve"> Identifies which type of missile can be used for a mission. Valid values are </w:t>
            </w:r>
            <w:r w:rsidRPr="00A0163E">
              <w:rPr>
                <w:b/>
                <w:sz w:val="20"/>
              </w:rPr>
              <w:t>Block III Required</w:t>
            </w:r>
            <w:r w:rsidRPr="00A0163E">
              <w:rPr>
                <w:sz w:val="20"/>
              </w:rPr>
              <w:t>,</w:t>
            </w:r>
            <w:r w:rsidRPr="00A0163E">
              <w:rPr>
                <w:b/>
                <w:sz w:val="20"/>
              </w:rPr>
              <w:t xml:space="preserve"> 109E Required</w:t>
            </w:r>
            <w:r w:rsidRPr="00A0163E">
              <w:rPr>
                <w:sz w:val="20"/>
              </w:rPr>
              <w:t>,</w:t>
            </w:r>
            <w:r w:rsidR="00825B31" w:rsidRPr="00A0163E">
              <w:rPr>
                <w:sz w:val="20"/>
              </w:rPr>
              <w:t xml:space="preserve"> </w:t>
            </w:r>
            <w:r w:rsidR="00825B31" w:rsidRPr="00A0163E">
              <w:rPr>
                <w:b/>
                <w:bCs/>
                <w:sz w:val="20"/>
              </w:rPr>
              <w:t>109M Required</w:t>
            </w:r>
            <w:r w:rsidR="00825B31" w:rsidRPr="00A0163E">
              <w:rPr>
                <w:sz w:val="20"/>
              </w:rPr>
              <w:t>,</w:t>
            </w:r>
            <w:r w:rsidRPr="00A0163E">
              <w:rPr>
                <w:sz w:val="20"/>
              </w:rPr>
              <w:t xml:space="preserve"> or </w:t>
            </w:r>
            <w:r w:rsidRPr="00A0163E">
              <w:rPr>
                <w:b/>
                <w:sz w:val="20"/>
              </w:rPr>
              <w:t>Undefined</w:t>
            </w:r>
            <w:r w:rsidRPr="00A0163E">
              <w:rPr>
                <w:sz w:val="20"/>
              </w:rPr>
              <w:t>.</w:t>
            </w:r>
          </w:p>
          <w:p w14:paraId="79E5A00C"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Missile Statement.</w:t>
            </w:r>
          </w:p>
        </w:tc>
      </w:tr>
      <w:tr w:rsidR="005F26EF" w:rsidRPr="00C24B58" w14:paraId="1AFA635A" w14:textId="77777777" w:rsidTr="0043211C">
        <w:trPr>
          <w:cantSplit/>
          <w:trHeight w:val="144"/>
        </w:trPr>
        <w:tc>
          <w:tcPr>
            <w:tcW w:w="1998" w:type="dxa"/>
          </w:tcPr>
          <w:p w14:paraId="3F7B636B" w14:textId="77777777" w:rsidR="00A845A2" w:rsidRPr="00A0163E" w:rsidRDefault="00A845A2" w:rsidP="005F26EF">
            <w:pPr>
              <w:spacing w:before="40" w:after="40" w:line="240" w:lineRule="auto"/>
              <w:rPr>
                <w:sz w:val="20"/>
              </w:rPr>
            </w:pPr>
            <w:r w:rsidRPr="00A0163E">
              <w:rPr>
                <w:sz w:val="20"/>
              </w:rPr>
              <w:t>Mission Class</w:t>
            </w:r>
          </w:p>
        </w:tc>
        <w:tc>
          <w:tcPr>
            <w:tcW w:w="1350" w:type="dxa"/>
          </w:tcPr>
          <w:p w14:paraId="7BA1DC67"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0B916823" w14:textId="5BE57240"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6454BEFC" w14:textId="77777777" w:rsidR="00A845A2" w:rsidRPr="00A0163E" w:rsidRDefault="00A845A2" w:rsidP="005F26EF">
            <w:pPr>
              <w:spacing w:before="40" w:after="40" w:line="240" w:lineRule="auto"/>
              <w:rPr>
                <w:b/>
                <w:sz w:val="20"/>
              </w:rPr>
            </w:pPr>
            <w:r w:rsidRPr="00A0163E">
              <w:rPr>
                <w:b/>
                <w:sz w:val="20"/>
              </w:rPr>
              <w:t>Definition:</w:t>
            </w:r>
            <w:r w:rsidRPr="00A0163E">
              <w:rPr>
                <w:sz w:val="20"/>
              </w:rPr>
              <w:t xml:space="preserve"> Refers to the type of mission that was planned. Valid values are </w:t>
            </w:r>
            <w:r w:rsidRPr="00A0163E">
              <w:rPr>
                <w:b/>
                <w:sz w:val="20"/>
              </w:rPr>
              <w:t>TAC</w:t>
            </w:r>
            <w:r w:rsidRPr="00A0163E">
              <w:rPr>
                <w:sz w:val="20"/>
              </w:rPr>
              <w:t xml:space="preserve"> (Tactical),</w:t>
            </w:r>
            <w:r w:rsidRPr="00A0163E">
              <w:rPr>
                <w:b/>
                <w:sz w:val="20"/>
              </w:rPr>
              <w:t xml:space="preserve"> TST</w:t>
            </w:r>
            <w:r w:rsidRPr="00A0163E">
              <w:rPr>
                <w:sz w:val="20"/>
              </w:rPr>
              <w:t xml:space="preserve"> (Test), or</w:t>
            </w:r>
            <w:r w:rsidRPr="00A0163E">
              <w:rPr>
                <w:b/>
                <w:sz w:val="20"/>
              </w:rPr>
              <w:t xml:space="preserve"> RSS</w:t>
            </w:r>
            <w:r w:rsidRPr="00A0163E">
              <w:rPr>
                <w:sz w:val="20"/>
              </w:rPr>
              <w:t xml:space="preserve"> (Range Safety System) (109E missiles only).</w:t>
            </w:r>
          </w:p>
          <w:p w14:paraId="222FB333"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Mission Class.</w:t>
            </w:r>
          </w:p>
        </w:tc>
      </w:tr>
      <w:tr w:rsidR="005F26EF" w:rsidRPr="00C24B58" w14:paraId="45AFA84D" w14:textId="77777777" w:rsidTr="0043211C">
        <w:trPr>
          <w:cantSplit/>
          <w:trHeight w:val="144"/>
        </w:trPr>
        <w:tc>
          <w:tcPr>
            <w:tcW w:w="1998" w:type="dxa"/>
          </w:tcPr>
          <w:p w14:paraId="12C2338A" w14:textId="77777777" w:rsidR="00A845A2" w:rsidRPr="00A0163E" w:rsidRDefault="00A845A2" w:rsidP="005F26EF">
            <w:pPr>
              <w:spacing w:before="40" w:after="40" w:line="240" w:lineRule="auto"/>
              <w:rPr>
                <w:sz w:val="20"/>
              </w:rPr>
            </w:pPr>
            <w:r w:rsidRPr="00A0163E">
              <w:rPr>
                <w:sz w:val="20"/>
              </w:rPr>
              <w:t>Mission ID</w:t>
            </w:r>
          </w:p>
        </w:tc>
        <w:tc>
          <w:tcPr>
            <w:tcW w:w="1350" w:type="dxa"/>
          </w:tcPr>
          <w:p w14:paraId="3F3FDF51"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10670A62" w14:textId="7ECDD201"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5C0610EA"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Eleven-digit number of format nnn nnn nnnnn, where nnn identifies the site where the mission was planned, and nnn nnnnn is the unique sequential mission number for that planning site.</w:t>
            </w:r>
          </w:p>
          <w:p w14:paraId="6FC3CD80"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missions that match the specified Mission ID (wildcard allowed).</w:t>
            </w:r>
          </w:p>
        </w:tc>
      </w:tr>
      <w:tr w:rsidR="005F26EF" w:rsidRPr="00C24B58" w14:paraId="6A658D5E" w14:textId="77777777" w:rsidTr="0043211C">
        <w:trPr>
          <w:cantSplit/>
          <w:trHeight w:val="144"/>
        </w:trPr>
        <w:tc>
          <w:tcPr>
            <w:tcW w:w="1998" w:type="dxa"/>
          </w:tcPr>
          <w:p w14:paraId="7ED87519" w14:textId="77777777" w:rsidR="00A845A2" w:rsidRPr="00A0163E" w:rsidRDefault="00A845A2" w:rsidP="005F26EF">
            <w:pPr>
              <w:spacing w:before="40" w:after="40" w:line="240" w:lineRule="auto"/>
              <w:rPr>
                <w:sz w:val="20"/>
              </w:rPr>
            </w:pPr>
            <w:r w:rsidRPr="00A0163E">
              <w:rPr>
                <w:sz w:val="20"/>
              </w:rPr>
              <w:t>Mission Name</w:t>
            </w:r>
          </w:p>
        </w:tc>
        <w:tc>
          <w:tcPr>
            <w:tcW w:w="1350" w:type="dxa"/>
          </w:tcPr>
          <w:p w14:paraId="51114C32"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1FA50DC8" w14:textId="5AFB867D"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1A0E6F8D"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28-character formal mission name identifier. Refer to the CTOPS manual for format.</w:t>
            </w:r>
          </w:p>
          <w:p w14:paraId="36DA290C"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contain the search string anywhere within the Mission Name (wildcard allowed).</w:t>
            </w:r>
          </w:p>
        </w:tc>
      </w:tr>
      <w:tr w:rsidR="005F26EF" w:rsidRPr="00C24B58" w14:paraId="77AFD4B4" w14:textId="77777777" w:rsidTr="0043211C">
        <w:trPr>
          <w:cantSplit/>
          <w:trHeight w:val="144"/>
        </w:trPr>
        <w:tc>
          <w:tcPr>
            <w:tcW w:w="1998" w:type="dxa"/>
          </w:tcPr>
          <w:p w14:paraId="54ED5173" w14:textId="77777777" w:rsidR="00A845A2" w:rsidRPr="00A0163E" w:rsidRDefault="00A845A2" w:rsidP="005F26EF">
            <w:pPr>
              <w:spacing w:before="40" w:after="40" w:line="240" w:lineRule="auto"/>
              <w:rPr>
                <w:sz w:val="20"/>
              </w:rPr>
            </w:pPr>
            <w:r w:rsidRPr="00A0163E">
              <w:rPr>
                <w:sz w:val="20"/>
              </w:rPr>
              <w:t>Mission Planner</w:t>
            </w:r>
          </w:p>
        </w:tc>
        <w:tc>
          <w:tcPr>
            <w:tcW w:w="1350" w:type="dxa"/>
          </w:tcPr>
          <w:p w14:paraId="2F5A7DBF"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3D96E17A" w14:textId="4F5421B6"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6054DE09"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Name of the mission planner.</w:t>
            </w:r>
          </w:p>
          <w:p w14:paraId="32D6DB82"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specified Mission Planner (wildcard allowed).</w:t>
            </w:r>
          </w:p>
        </w:tc>
      </w:tr>
      <w:tr w:rsidR="005F26EF" w:rsidRPr="00C24B58" w14:paraId="4526159C" w14:textId="77777777" w:rsidTr="0043211C">
        <w:trPr>
          <w:cantSplit/>
          <w:trHeight w:val="144"/>
        </w:trPr>
        <w:tc>
          <w:tcPr>
            <w:tcW w:w="1998" w:type="dxa"/>
          </w:tcPr>
          <w:p w14:paraId="2F7FEC5C" w14:textId="77777777" w:rsidR="00A845A2" w:rsidRPr="00A0163E" w:rsidRDefault="00A845A2" w:rsidP="005F26EF">
            <w:pPr>
              <w:spacing w:before="40" w:after="40" w:line="240" w:lineRule="auto"/>
              <w:rPr>
                <w:sz w:val="20"/>
              </w:rPr>
            </w:pPr>
            <w:r w:rsidRPr="00A0163E">
              <w:rPr>
                <w:sz w:val="20"/>
              </w:rPr>
              <w:t>Mission Version</w:t>
            </w:r>
          </w:p>
        </w:tc>
        <w:tc>
          <w:tcPr>
            <w:tcW w:w="1350" w:type="dxa"/>
          </w:tcPr>
          <w:p w14:paraId="599B5FB6"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38B39E3D" w14:textId="3A2AB3FF"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5DCA4AD2"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planning version of a particular mission within a revision cycle.</w:t>
            </w:r>
          </w:p>
          <w:p w14:paraId="34A55120"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in which the Mission Version falls within the low value and high value entered.</w:t>
            </w:r>
          </w:p>
        </w:tc>
      </w:tr>
      <w:tr w:rsidR="005F26EF" w:rsidRPr="00C24B58" w14:paraId="112B7C75" w14:textId="77777777" w:rsidTr="0043211C">
        <w:trPr>
          <w:cantSplit/>
          <w:trHeight w:val="144"/>
        </w:trPr>
        <w:tc>
          <w:tcPr>
            <w:tcW w:w="1998" w:type="dxa"/>
          </w:tcPr>
          <w:p w14:paraId="6117EB78" w14:textId="77777777" w:rsidR="00A845A2" w:rsidRPr="00A0163E" w:rsidRDefault="00A845A2" w:rsidP="005F26EF">
            <w:pPr>
              <w:spacing w:before="40" w:after="40" w:line="240" w:lineRule="auto"/>
              <w:rPr>
                <w:sz w:val="20"/>
              </w:rPr>
            </w:pPr>
            <w:r w:rsidRPr="00A0163E">
              <w:rPr>
                <w:sz w:val="20"/>
              </w:rPr>
              <w:t>Navigation Mode</w:t>
            </w:r>
          </w:p>
        </w:tc>
        <w:tc>
          <w:tcPr>
            <w:tcW w:w="1350" w:type="dxa"/>
          </w:tcPr>
          <w:p w14:paraId="6DB146B6" w14:textId="77777777" w:rsidR="00A845A2" w:rsidRPr="00A0163E" w:rsidRDefault="00A845A2" w:rsidP="005F26EF">
            <w:pPr>
              <w:spacing w:before="40" w:after="40" w:line="240" w:lineRule="auto"/>
              <w:rPr>
                <w:sz w:val="20"/>
              </w:rPr>
            </w:pPr>
            <w:r w:rsidRPr="00A0163E">
              <w:rPr>
                <w:sz w:val="20"/>
              </w:rPr>
              <w:t>109C</w:t>
            </w:r>
          </w:p>
          <w:p w14:paraId="44F2B871" w14:textId="77777777" w:rsidR="00A845A2" w:rsidRPr="00A0163E" w:rsidRDefault="00A845A2" w:rsidP="005F26EF">
            <w:pPr>
              <w:spacing w:before="40" w:after="40" w:line="240" w:lineRule="auto"/>
              <w:rPr>
                <w:sz w:val="20"/>
              </w:rPr>
            </w:pPr>
            <w:r w:rsidRPr="00A0163E">
              <w:rPr>
                <w:sz w:val="20"/>
              </w:rPr>
              <w:t>109D</w:t>
            </w:r>
          </w:p>
          <w:p w14:paraId="2E9A9880" w14:textId="77777777" w:rsidR="00A845A2" w:rsidRPr="00A0163E" w:rsidRDefault="00A845A2" w:rsidP="005F26EF">
            <w:pPr>
              <w:spacing w:before="40" w:after="40" w:line="240" w:lineRule="auto"/>
              <w:rPr>
                <w:sz w:val="20"/>
              </w:rPr>
            </w:pPr>
            <w:r w:rsidRPr="00A0163E">
              <w:rPr>
                <w:sz w:val="20"/>
              </w:rPr>
              <w:t>109E</w:t>
            </w:r>
          </w:p>
          <w:p w14:paraId="7BD92AFB" w14:textId="77777777" w:rsidR="00A845A2" w:rsidRPr="00A0163E" w:rsidRDefault="00A845A2" w:rsidP="005F26EF">
            <w:pPr>
              <w:spacing w:before="40" w:after="40" w:line="240" w:lineRule="auto"/>
              <w:rPr>
                <w:sz w:val="20"/>
              </w:rPr>
            </w:pPr>
            <w:r w:rsidRPr="00A0163E">
              <w:rPr>
                <w:sz w:val="20"/>
              </w:rPr>
              <w:t>109E ACP</w:t>
            </w:r>
          </w:p>
          <w:p w14:paraId="5552E022" w14:textId="2E914523"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676D696B" w14:textId="77777777" w:rsidR="00A845A2" w:rsidRPr="00A0163E" w:rsidRDefault="00A845A2" w:rsidP="005F26EF">
            <w:pPr>
              <w:spacing w:before="40" w:after="40" w:line="240" w:lineRule="auto"/>
              <w:rPr>
                <w:b/>
                <w:sz w:val="20"/>
              </w:rPr>
            </w:pPr>
            <w:r w:rsidRPr="00A0163E">
              <w:rPr>
                <w:b/>
                <w:sz w:val="20"/>
              </w:rPr>
              <w:t>Definition:</w:t>
            </w:r>
            <w:r w:rsidRPr="00A0163E">
              <w:rPr>
                <w:sz w:val="20"/>
              </w:rPr>
              <w:t xml:space="preserve"> </w:t>
            </w:r>
            <w:r w:rsidRPr="00A0163E">
              <w:rPr>
                <w:rFonts w:cs="Calibri"/>
                <w:sz w:val="20"/>
              </w:rPr>
              <w:t xml:space="preserve">The commanded navigation mode of the missile. </w:t>
            </w:r>
            <w:r w:rsidRPr="00A0163E">
              <w:rPr>
                <w:sz w:val="20"/>
              </w:rPr>
              <w:t xml:space="preserve">Valid values are </w:t>
            </w:r>
            <w:r w:rsidRPr="00A0163E">
              <w:rPr>
                <w:b/>
                <w:sz w:val="20"/>
              </w:rPr>
              <w:t>GPS Only (</w:t>
            </w:r>
            <w:r w:rsidRPr="00A0163E">
              <w:rPr>
                <w:sz w:val="20"/>
              </w:rPr>
              <w:t xml:space="preserve">GPS is required), </w:t>
            </w:r>
            <w:r w:rsidRPr="00A0163E">
              <w:rPr>
                <w:b/>
                <w:sz w:val="20"/>
              </w:rPr>
              <w:t xml:space="preserve">GPS/DSMAC </w:t>
            </w:r>
            <w:r w:rsidRPr="00A0163E">
              <w:rPr>
                <w:sz w:val="20"/>
              </w:rPr>
              <w:t xml:space="preserve">(GPS is required with DSMAC), </w:t>
            </w:r>
            <w:r w:rsidRPr="00A0163E">
              <w:rPr>
                <w:b/>
                <w:sz w:val="20"/>
              </w:rPr>
              <w:t>GPS/TERCOM/DSMAC (</w:t>
            </w:r>
            <w:r w:rsidRPr="00A0163E">
              <w:rPr>
                <w:sz w:val="20"/>
              </w:rPr>
              <w:t xml:space="preserve">GPS is not required; TERCOM and DSMAC are required), or </w:t>
            </w:r>
            <w:r w:rsidRPr="00A0163E">
              <w:rPr>
                <w:b/>
                <w:sz w:val="20"/>
              </w:rPr>
              <w:t>GPS/DSMAC/TERCOM Backup</w:t>
            </w:r>
            <w:r w:rsidRPr="00A0163E">
              <w:rPr>
                <w:sz w:val="20"/>
              </w:rPr>
              <w:t xml:space="preserve"> (GPS is required; TERCOM and DSMAC are not required).</w:t>
            </w:r>
          </w:p>
          <w:p w14:paraId="6B720B61"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Navigation Mode.</w:t>
            </w:r>
          </w:p>
        </w:tc>
      </w:tr>
      <w:tr w:rsidR="005F26EF" w:rsidRPr="00C24B58" w14:paraId="0212557A" w14:textId="77777777" w:rsidTr="0043211C">
        <w:trPr>
          <w:cantSplit/>
          <w:trHeight w:val="144"/>
        </w:trPr>
        <w:tc>
          <w:tcPr>
            <w:tcW w:w="1998" w:type="dxa"/>
          </w:tcPr>
          <w:p w14:paraId="4C523D7D" w14:textId="77777777" w:rsidR="00A845A2" w:rsidRPr="00A0163E" w:rsidRDefault="00A845A2" w:rsidP="005F26EF">
            <w:pPr>
              <w:spacing w:before="40" w:after="40" w:line="240" w:lineRule="auto"/>
              <w:rPr>
                <w:sz w:val="20"/>
              </w:rPr>
            </w:pPr>
            <w:r w:rsidRPr="00A0163E">
              <w:rPr>
                <w:sz w:val="20"/>
              </w:rPr>
              <w:lastRenderedPageBreak/>
              <w:t>Operational Factors</w:t>
            </w:r>
          </w:p>
        </w:tc>
        <w:tc>
          <w:tcPr>
            <w:tcW w:w="1350" w:type="dxa"/>
          </w:tcPr>
          <w:p w14:paraId="0A0DCBF7"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4E567741" w14:textId="774DCD11"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6629DF1D"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Notes on considerations affecting the use of a particular mission. Standard items include statements regarding the overall mission objective, a definition of success criteria, or identification of special mission requirements not covered by M3.</w:t>
            </w:r>
          </w:p>
          <w:p w14:paraId="6F6147F4"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 that contain the search string anywhere within the Operational Factors (wildcard allowed).</w:t>
            </w:r>
          </w:p>
        </w:tc>
      </w:tr>
      <w:tr w:rsidR="005F26EF" w:rsidRPr="00C24B58" w14:paraId="48E26746" w14:textId="77777777" w:rsidTr="0043211C">
        <w:trPr>
          <w:cantSplit/>
          <w:trHeight w:val="144"/>
        </w:trPr>
        <w:tc>
          <w:tcPr>
            <w:tcW w:w="1998" w:type="dxa"/>
          </w:tcPr>
          <w:p w14:paraId="1465EA49" w14:textId="77777777" w:rsidR="00A845A2" w:rsidRPr="00A0163E" w:rsidRDefault="00A845A2" w:rsidP="005F26EF">
            <w:pPr>
              <w:spacing w:before="40" w:after="40" w:line="240" w:lineRule="auto"/>
              <w:rPr>
                <w:sz w:val="20"/>
              </w:rPr>
            </w:pPr>
            <w:r w:rsidRPr="00A0163E">
              <w:rPr>
                <w:sz w:val="20"/>
              </w:rPr>
              <w:t>OPLAN Tasking</w:t>
            </w:r>
          </w:p>
        </w:tc>
        <w:tc>
          <w:tcPr>
            <w:tcW w:w="1350" w:type="dxa"/>
          </w:tcPr>
          <w:p w14:paraId="24D9B882"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4F88105E" w14:textId="14365A70"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31E8C861"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Identifies the source of the request for the mission.</w:t>
            </w:r>
          </w:p>
          <w:p w14:paraId="4A5C1019"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contain the search string anywhere within the OPLAN Tasking (wildcard allowed).</w:t>
            </w:r>
          </w:p>
        </w:tc>
      </w:tr>
      <w:tr w:rsidR="005F26EF" w:rsidRPr="00C24B58" w14:paraId="3E0283E5" w14:textId="77777777" w:rsidTr="0043211C">
        <w:trPr>
          <w:cantSplit/>
          <w:trHeight w:val="144"/>
        </w:trPr>
        <w:tc>
          <w:tcPr>
            <w:tcW w:w="1998" w:type="dxa"/>
          </w:tcPr>
          <w:p w14:paraId="30A0BA41" w14:textId="77777777" w:rsidR="00A845A2" w:rsidRPr="00A0163E" w:rsidRDefault="00A845A2" w:rsidP="005F26EF">
            <w:pPr>
              <w:spacing w:before="40" w:after="40" w:line="240" w:lineRule="auto"/>
              <w:rPr>
                <w:sz w:val="20"/>
              </w:rPr>
            </w:pPr>
            <w:r w:rsidRPr="00A0163E">
              <w:rPr>
                <w:sz w:val="20"/>
              </w:rPr>
              <w:t>Post DSMAC GPS</w:t>
            </w:r>
          </w:p>
        </w:tc>
        <w:tc>
          <w:tcPr>
            <w:tcW w:w="1350" w:type="dxa"/>
          </w:tcPr>
          <w:p w14:paraId="21161094"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6686C3BF" w14:textId="15E6809A"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5B106940"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A Block III missile improvement that performs positional updates by GPS after the last DSMAC map. Valid values are </w:t>
            </w:r>
            <w:r w:rsidRPr="00A0163E">
              <w:rPr>
                <w:b/>
                <w:sz w:val="20"/>
              </w:rPr>
              <w:t>True</w:t>
            </w:r>
            <w:r w:rsidRPr="00A0163E">
              <w:rPr>
                <w:sz w:val="20"/>
              </w:rPr>
              <w:t xml:space="preserve"> or </w:t>
            </w:r>
            <w:r w:rsidRPr="00A0163E">
              <w:rPr>
                <w:b/>
                <w:sz w:val="20"/>
              </w:rPr>
              <w:t>False</w:t>
            </w:r>
            <w:r w:rsidRPr="00A0163E">
              <w:rPr>
                <w:sz w:val="20"/>
              </w:rPr>
              <w:t>.</w:t>
            </w:r>
          </w:p>
          <w:p w14:paraId="1FA2A78D"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Post DSMAC GPS statement.</w:t>
            </w:r>
          </w:p>
        </w:tc>
      </w:tr>
      <w:tr w:rsidR="005F26EF" w:rsidRPr="00C24B58" w14:paraId="127142A6" w14:textId="77777777" w:rsidTr="0043211C">
        <w:trPr>
          <w:cantSplit/>
          <w:trHeight w:val="144"/>
        </w:trPr>
        <w:tc>
          <w:tcPr>
            <w:tcW w:w="1998" w:type="dxa"/>
          </w:tcPr>
          <w:p w14:paraId="018AC076" w14:textId="77777777" w:rsidR="00A845A2" w:rsidRPr="00A0163E" w:rsidRDefault="00A845A2" w:rsidP="005F26EF">
            <w:pPr>
              <w:spacing w:before="40" w:after="40" w:line="240" w:lineRule="auto"/>
              <w:rPr>
                <w:sz w:val="20"/>
              </w:rPr>
            </w:pPr>
            <w:r w:rsidRPr="00A0163E">
              <w:rPr>
                <w:sz w:val="20"/>
              </w:rPr>
              <w:t>PST Statement</w:t>
            </w:r>
          </w:p>
        </w:tc>
        <w:tc>
          <w:tcPr>
            <w:tcW w:w="1350" w:type="dxa"/>
          </w:tcPr>
          <w:p w14:paraId="4306214B"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5D381D73" w14:textId="5BD3EA9E"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4CCEBCF6" w14:textId="77777777" w:rsidR="00A845A2" w:rsidRPr="00A0163E" w:rsidRDefault="00A845A2" w:rsidP="005F26EF">
            <w:pPr>
              <w:spacing w:before="40" w:after="40" w:line="240" w:lineRule="auto"/>
              <w:rPr>
                <w:b/>
                <w:sz w:val="20"/>
              </w:rPr>
            </w:pPr>
            <w:r w:rsidRPr="00A0163E">
              <w:rPr>
                <w:b/>
                <w:sz w:val="20"/>
              </w:rPr>
              <w:t>Definition:</w:t>
            </w:r>
            <w:r w:rsidRPr="00A0163E">
              <w:rPr>
                <w:sz w:val="20"/>
              </w:rPr>
              <w:t xml:space="preserve"> Precision Strike Tomahawk refers to missions that are planned to reduce the probability of collateral damage during Tomahawk employment. Valid values are</w:t>
            </w:r>
            <w:r w:rsidRPr="00A0163E">
              <w:rPr>
                <w:b/>
                <w:sz w:val="20"/>
              </w:rPr>
              <w:t xml:space="preserve"> PST Not Applied</w:t>
            </w:r>
            <w:r w:rsidRPr="00A0163E">
              <w:rPr>
                <w:sz w:val="20"/>
              </w:rPr>
              <w:t xml:space="preserve"> or</w:t>
            </w:r>
            <w:r w:rsidRPr="00A0163E">
              <w:rPr>
                <w:b/>
                <w:sz w:val="20"/>
              </w:rPr>
              <w:t xml:space="preserve"> PST Applied</w:t>
            </w:r>
            <w:r w:rsidRPr="00A0163E">
              <w:rPr>
                <w:sz w:val="20"/>
              </w:rPr>
              <w:t>.</w:t>
            </w:r>
          </w:p>
          <w:p w14:paraId="323410B2"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PST Statement.</w:t>
            </w:r>
          </w:p>
        </w:tc>
      </w:tr>
      <w:tr w:rsidR="005F26EF" w:rsidRPr="00C24B58" w14:paraId="2D967FAF" w14:textId="77777777" w:rsidTr="0043211C">
        <w:trPr>
          <w:cantSplit/>
          <w:trHeight w:val="144"/>
        </w:trPr>
        <w:tc>
          <w:tcPr>
            <w:tcW w:w="1998" w:type="dxa"/>
          </w:tcPr>
          <w:p w14:paraId="1E16A6CF" w14:textId="77777777" w:rsidR="00A845A2" w:rsidRPr="00A0163E" w:rsidRDefault="00A845A2" w:rsidP="005F26EF">
            <w:pPr>
              <w:spacing w:before="40" w:after="40" w:line="240" w:lineRule="auto"/>
              <w:rPr>
                <w:sz w:val="20"/>
              </w:rPr>
            </w:pPr>
            <w:r w:rsidRPr="00A0163E">
              <w:rPr>
                <w:sz w:val="20"/>
              </w:rPr>
              <w:t>Revision Cycle</w:t>
            </w:r>
          </w:p>
        </w:tc>
        <w:tc>
          <w:tcPr>
            <w:tcW w:w="1350" w:type="dxa"/>
          </w:tcPr>
          <w:p w14:paraId="660A1822" w14:textId="77777777" w:rsidR="00A845A2" w:rsidRPr="00A0163E" w:rsidRDefault="00A845A2" w:rsidP="005F26EF">
            <w:pPr>
              <w:spacing w:before="40" w:after="40" w:line="240" w:lineRule="auto"/>
              <w:rPr>
                <w:sz w:val="20"/>
              </w:rPr>
            </w:pPr>
            <w:r w:rsidRPr="00A0163E">
              <w:rPr>
                <w:sz w:val="20"/>
              </w:rPr>
              <w:t>109C</w:t>
            </w:r>
          </w:p>
          <w:p w14:paraId="2C4CAE63" w14:textId="77777777" w:rsidR="00A845A2" w:rsidRPr="00A0163E" w:rsidRDefault="00A845A2" w:rsidP="005F26EF">
            <w:pPr>
              <w:spacing w:before="40" w:after="40" w:line="240" w:lineRule="auto"/>
              <w:rPr>
                <w:sz w:val="20"/>
              </w:rPr>
            </w:pPr>
            <w:r w:rsidRPr="00A0163E">
              <w:rPr>
                <w:sz w:val="20"/>
              </w:rPr>
              <w:t>109D</w:t>
            </w:r>
          </w:p>
          <w:p w14:paraId="14CAE43C" w14:textId="77777777" w:rsidR="00A845A2" w:rsidRPr="00A0163E" w:rsidRDefault="00A845A2" w:rsidP="005F26EF">
            <w:pPr>
              <w:spacing w:before="40" w:after="40" w:line="240" w:lineRule="auto"/>
              <w:rPr>
                <w:sz w:val="20"/>
              </w:rPr>
            </w:pPr>
            <w:r w:rsidRPr="00A0163E">
              <w:rPr>
                <w:sz w:val="20"/>
              </w:rPr>
              <w:t>109E</w:t>
            </w:r>
          </w:p>
          <w:p w14:paraId="46A28439" w14:textId="77777777" w:rsidR="00A845A2" w:rsidRPr="00A0163E" w:rsidRDefault="00A845A2" w:rsidP="005F26EF">
            <w:pPr>
              <w:spacing w:before="40" w:after="40" w:line="240" w:lineRule="auto"/>
              <w:rPr>
                <w:sz w:val="20"/>
              </w:rPr>
            </w:pPr>
            <w:r w:rsidRPr="00A0163E">
              <w:rPr>
                <w:sz w:val="20"/>
              </w:rPr>
              <w:t>109E ACP</w:t>
            </w:r>
          </w:p>
          <w:p w14:paraId="63B761E9" w14:textId="21CFB3B4"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0D34145E"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w:t>
            </w:r>
            <w:r w:rsidRPr="00A0163E">
              <w:rPr>
                <w:rFonts w:eastAsiaTheme="minorHAnsi"/>
                <w:sz w:val="20"/>
              </w:rPr>
              <w:t>Incremental count of the number of revisions applied to a mission</w:t>
            </w:r>
            <w:r w:rsidRPr="00A0163E">
              <w:rPr>
                <w:sz w:val="20"/>
              </w:rPr>
              <w:t>.</w:t>
            </w:r>
          </w:p>
          <w:p w14:paraId="21FE2321"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in which the Revision Cycle falls between the low value and high value entered.</w:t>
            </w:r>
          </w:p>
        </w:tc>
      </w:tr>
      <w:tr w:rsidR="005F26EF" w:rsidRPr="00C24B58" w14:paraId="228B8099" w14:textId="77777777" w:rsidTr="0043211C">
        <w:trPr>
          <w:cantSplit/>
          <w:trHeight w:val="144"/>
        </w:trPr>
        <w:tc>
          <w:tcPr>
            <w:tcW w:w="1998" w:type="dxa"/>
          </w:tcPr>
          <w:p w14:paraId="01AD1620" w14:textId="77777777" w:rsidR="00A845A2" w:rsidRPr="00A0163E" w:rsidRDefault="00A845A2" w:rsidP="005F26EF">
            <w:pPr>
              <w:spacing w:before="40" w:after="40" w:line="240" w:lineRule="auto"/>
              <w:rPr>
                <w:sz w:val="20"/>
              </w:rPr>
            </w:pPr>
            <w:r w:rsidRPr="00A0163E">
              <w:rPr>
                <w:sz w:val="20"/>
              </w:rPr>
              <w:t>Senior MSN Reviewer</w:t>
            </w:r>
          </w:p>
        </w:tc>
        <w:tc>
          <w:tcPr>
            <w:tcW w:w="1350" w:type="dxa"/>
          </w:tcPr>
          <w:p w14:paraId="683669EB" w14:textId="77777777" w:rsidR="00A845A2" w:rsidRPr="00A0163E" w:rsidRDefault="00A845A2" w:rsidP="005F26EF">
            <w:pPr>
              <w:spacing w:before="40" w:after="40" w:line="240" w:lineRule="auto"/>
              <w:rPr>
                <w:sz w:val="20"/>
              </w:rPr>
            </w:pPr>
            <w:r w:rsidRPr="00A0163E">
              <w:rPr>
                <w:sz w:val="20"/>
              </w:rPr>
              <w:t>109C</w:t>
            </w:r>
          </w:p>
          <w:p w14:paraId="0A8A413B" w14:textId="77777777" w:rsidR="00A845A2" w:rsidRPr="00A0163E" w:rsidRDefault="00A845A2" w:rsidP="005F26EF">
            <w:pPr>
              <w:spacing w:before="40" w:after="40" w:line="240" w:lineRule="auto"/>
              <w:rPr>
                <w:sz w:val="20"/>
              </w:rPr>
            </w:pPr>
            <w:r w:rsidRPr="00A0163E">
              <w:rPr>
                <w:sz w:val="20"/>
              </w:rPr>
              <w:t>109D</w:t>
            </w:r>
          </w:p>
          <w:p w14:paraId="74F52B47" w14:textId="77777777" w:rsidR="00A845A2" w:rsidRPr="00A0163E" w:rsidRDefault="00A845A2" w:rsidP="005F26EF">
            <w:pPr>
              <w:spacing w:before="40" w:after="40" w:line="240" w:lineRule="auto"/>
              <w:rPr>
                <w:sz w:val="20"/>
              </w:rPr>
            </w:pPr>
            <w:r w:rsidRPr="00A0163E">
              <w:rPr>
                <w:sz w:val="20"/>
              </w:rPr>
              <w:t>109E</w:t>
            </w:r>
          </w:p>
          <w:p w14:paraId="7C8A417E" w14:textId="77777777" w:rsidR="00A845A2" w:rsidRPr="00A0163E" w:rsidRDefault="00A845A2" w:rsidP="005F26EF">
            <w:pPr>
              <w:spacing w:before="40" w:after="40" w:line="240" w:lineRule="auto"/>
              <w:rPr>
                <w:sz w:val="20"/>
              </w:rPr>
            </w:pPr>
            <w:r w:rsidRPr="00A0163E">
              <w:rPr>
                <w:sz w:val="20"/>
              </w:rPr>
              <w:t>109E ACP</w:t>
            </w:r>
          </w:p>
          <w:p w14:paraId="5EFF84F8" w14:textId="773D8192" w:rsidR="005F26EF" w:rsidRPr="00A0163E" w:rsidRDefault="00A845A2" w:rsidP="005F26EF">
            <w:pPr>
              <w:spacing w:before="40" w:after="40" w:line="240" w:lineRule="auto"/>
              <w:rPr>
                <w:sz w:val="20"/>
              </w:rPr>
            </w:pPr>
            <w:r w:rsidRPr="00A0163E">
              <w:rPr>
                <w:sz w:val="20"/>
              </w:rPr>
              <w:t>MSTM</w:t>
            </w:r>
            <w:r w:rsidR="005F26EF" w:rsidRPr="00A0163E">
              <w:rPr>
                <w:sz w:val="20"/>
              </w:rPr>
              <w:br/>
              <w:t>109M</w:t>
            </w:r>
          </w:p>
        </w:tc>
        <w:tc>
          <w:tcPr>
            <w:tcW w:w="9720" w:type="dxa"/>
          </w:tcPr>
          <w:p w14:paraId="0B9D0439"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Name of the senior reviewer of a planned mission.</w:t>
            </w:r>
          </w:p>
          <w:p w14:paraId="21B7C84A"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that match the specified Senior MSN Reviewer (wildcard allowed).</w:t>
            </w:r>
          </w:p>
        </w:tc>
      </w:tr>
      <w:tr w:rsidR="005F26EF" w:rsidRPr="00C24B58" w14:paraId="6B917085" w14:textId="77777777" w:rsidTr="0043211C">
        <w:trPr>
          <w:cantSplit/>
          <w:trHeight w:val="144"/>
        </w:trPr>
        <w:tc>
          <w:tcPr>
            <w:tcW w:w="1998" w:type="dxa"/>
          </w:tcPr>
          <w:p w14:paraId="5CD12C85" w14:textId="77777777" w:rsidR="00A845A2" w:rsidRPr="00A0163E" w:rsidRDefault="00A845A2" w:rsidP="005F26EF">
            <w:pPr>
              <w:spacing w:before="40" w:after="40" w:line="240" w:lineRule="auto"/>
              <w:rPr>
                <w:sz w:val="20"/>
              </w:rPr>
            </w:pPr>
            <w:r w:rsidRPr="00A0163E">
              <w:rPr>
                <w:sz w:val="20"/>
              </w:rPr>
              <w:t>Tail # MSN</w:t>
            </w:r>
          </w:p>
        </w:tc>
        <w:tc>
          <w:tcPr>
            <w:tcW w:w="1350" w:type="dxa"/>
          </w:tcPr>
          <w:p w14:paraId="5FA5DA55" w14:textId="77777777" w:rsidR="00A845A2" w:rsidRPr="00A0163E" w:rsidRDefault="00A845A2" w:rsidP="005F26EF">
            <w:pPr>
              <w:spacing w:before="40" w:after="40" w:line="240" w:lineRule="auto"/>
              <w:rPr>
                <w:sz w:val="20"/>
              </w:rPr>
            </w:pPr>
            <w:r w:rsidRPr="00A0163E">
              <w:rPr>
                <w:sz w:val="20"/>
              </w:rPr>
              <w:t>109E</w:t>
            </w:r>
            <w:r w:rsidRPr="00A0163E">
              <w:rPr>
                <w:sz w:val="20"/>
              </w:rPr>
              <w:br/>
              <w:t>109E ACP</w:t>
            </w:r>
          </w:p>
          <w:p w14:paraId="78B5DDEB" w14:textId="6BDF69DD"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740F87EA"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Indicates whether a mission is a Tail # MSN (</w:t>
            </w:r>
            <w:r w:rsidRPr="00A0163E">
              <w:rPr>
                <w:b/>
                <w:sz w:val="20"/>
              </w:rPr>
              <w:t>True</w:t>
            </w:r>
            <w:r w:rsidRPr="00A0163E">
              <w:rPr>
                <w:sz w:val="20"/>
              </w:rPr>
              <w:t>) or not (</w:t>
            </w:r>
            <w:r w:rsidRPr="00A0163E">
              <w:rPr>
                <w:b/>
                <w:sz w:val="20"/>
              </w:rPr>
              <w:t>False</w:t>
            </w:r>
            <w:r w:rsidRPr="00A0163E">
              <w:rPr>
                <w:sz w:val="20"/>
              </w:rPr>
              <w:t>).</w:t>
            </w:r>
          </w:p>
          <w:p w14:paraId="12DE0C7A"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Tail # MSN statement.</w:t>
            </w:r>
          </w:p>
        </w:tc>
      </w:tr>
      <w:tr w:rsidR="005F26EF" w:rsidRPr="00C24B58" w14:paraId="1A160E24" w14:textId="77777777" w:rsidTr="0043211C">
        <w:trPr>
          <w:cantSplit/>
          <w:trHeight w:val="144"/>
        </w:trPr>
        <w:tc>
          <w:tcPr>
            <w:tcW w:w="1998" w:type="dxa"/>
          </w:tcPr>
          <w:p w14:paraId="4596941B" w14:textId="77777777" w:rsidR="00A845A2" w:rsidRPr="00A0163E" w:rsidRDefault="00A845A2" w:rsidP="005F26EF">
            <w:pPr>
              <w:spacing w:before="40" w:after="40" w:line="240" w:lineRule="auto"/>
              <w:rPr>
                <w:sz w:val="20"/>
              </w:rPr>
            </w:pPr>
            <w:r w:rsidRPr="00A0163E">
              <w:rPr>
                <w:sz w:val="20"/>
              </w:rPr>
              <w:t>TAR Type</w:t>
            </w:r>
          </w:p>
        </w:tc>
        <w:tc>
          <w:tcPr>
            <w:tcW w:w="1350" w:type="dxa"/>
          </w:tcPr>
          <w:p w14:paraId="3CBC97F7" w14:textId="77777777" w:rsidR="00A845A2" w:rsidRPr="00A0163E" w:rsidRDefault="00A845A2" w:rsidP="005F26EF">
            <w:pPr>
              <w:spacing w:before="40" w:after="40" w:line="240" w:lineRule="auto"/>
              <w:rPr>
                <w:sz w:val="20"/>
              </w:rPr>
            </w:pPr>
            <w:r w:rsidRPr="00A0163E">
              <w:rPr>
                <w:sz w:val="20"/>
              </w:rPr>
              <w:t>109E</w:t>
            </w:r>
            <w:r w:rsidRPr="00A0163E">
              <w:rPr>
                <w:sz w:val="20"/>
              </w:rPr>
              <w:br/>
              <w:t>109E ACP</w:t>
            </w:r>
          </w:p>
          <w:p w14:paraId="2A1EB580" w14:textId="3C2B5B81"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7725B003"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type of target from which the tasking constraints for the target attack requirements are based on.</w:t>
            </w:r>
          </w:p>
          <w:p w14:paraId="7BDE4BFC"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specified TAR type</w:t>
            </w:r>
            <w:r w:rsidRPr="00A0163E" w:rsidDel="00D60714">
              <w:rPr>
                <w:sz w:val="20"/>
              </w:rPr>
              <w:t xml:space="preserve"> </w:t>
            </w:r>
            <w:r w:rsidRPr="00A0163E">
              <w:rPr>
                <w:sz w:val="20"/>
              </w:rPr>
              <w:t>(wildcard allowed).</w:t>
            </w:r>
          </w:p>
        </w:tc>
      </w:tr>
      <w:tr w:rsidR="005F26EF" w:rsidRPr="00C24B58" w14:paraId="64ADA774" w14:textId="77777777" w:rsidTr="0043211C">
        <w:trPr>
          <w:cantSplit/>
          <w:trHeight w:val="144"/>
        </w:trPr>
        <w:tc>
          <w:tcPr>
            <w:tcW w:w="1998" w:type="dxa"/>
          </w:tcPr>
          <w:p w14:paraId="5B293DD7" w14:textId="77777777" w:rsidR="00A845A2" w:rsidRPr="00A0163E" w:rsidRDefault="00A845A2" w:rsidP="005F26EF">
            <w:pPr>
              <w:spacing w:before="40" w:after="40" w:line="240" w:lineRule="auto"/>
              <w:rPr>
                <w:sz w:val="20"/>
              </w:rPr>
            </w:pPr>
            <w:r w:rsidRPr="00A0163E">
              <w:rPr>
                <w:sz w:val="20"/>
              </w:rPr>
              <w:lastRenderedPageBreak/>
              <w:t>TERCOM ID</w:t>
            </w:r>
          </w:p>
        </w:tc>
        <w:tc>
          <w:tcPr>
            <w:tcW w:w="1350" w:type="dxa"/>
          </w:tcPr>
          <w:p w14:paraId="583634E0"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32975210" w14:textId="3FF49DDC"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7233FDBC"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unique number that identifies a TERCOM map. Valid format is nnn nnn nnnnn.</w:t>
            </w:r>
          </w:p>
          <w:p w14:paraId="4F9A11E7"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specified TERCOM ID (wildcard allowed).</w:t>
            </w:r>
          </w:p>
        </w:tc>
      </w:tr>
      <w:tr w:rsidR="005F26EF" w:rsidRPr="00C24B58" w14:paraId="19A714F5" w14:textId="77777777" w:rsidTr="0043211C">
        <w:trPr>
          <w:cantSplit/>
          <w:trHeight w:val="144"/>
        </w:trPr>
        <w:tc>
          <w:tcPr>
            <w:tcW w:w="1998" w:type="dxa"/>
          </w:tcPr>
          <w:p w14:paraId="74FDF37D" w14:textId="77777777" w:rsidR="00A845A2" w:rsidRPr="00A0163E" w:rsidRDefault="00A845A2" w:rsidP="005F26EF">
            <w:pPr>
              <w:spacing w:before="40" w:after="40" w:line="240" w:lineRule="auto"/>
              <w:rPr>
                <w:sz w:val="20"/>
              </w:rPr>
            </w:pPr>
            <w:r w:rsidRPr="00A0163E">
              <w:rPr>
                <w:sz w:val="20"/>
              </w:rPr>
              <w:t>TERCOM Location</w:t>
            </w:r>
          </w:p>
        </w:tc>
        <w:tc>
          <w:tcPr>
            <w:tcW w:w="1350" w:type="dxa"/>
          </w:tcPr>
          <w:p w14:paraId="4D730742"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50EA4AC3" w14:textId="08EEAD88"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4743083C"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latitude/longitude coordinate associated with the geodetic point where the first TERCOM is located.</w:t>
            </w:r>
          </w:p>
          <w:p w14:paraId="719FC720" w14:textId="77777777" w:rsidR="00A845A2" w:rsidRPr="00A0163E" w:rsidRDefault="00A845A2" w:rsidP="0043211C">
            <w:pPr>
              <w:spacing w:before="40" w:after="40"/>
              <w:rPr>
                <w:b/>
                <w:sz w:val="20"/>
              </w:rPr>
            </w:pPr>
            <w:r w:rsidRPr="00A0163E">
              <w:rPr>
                <w:b/>
                <w:sz w:val="20"/>
              </w:rPr>
              <w:t>Query:</w:t>
            </w:r>
            <w:r w:rsidRPr="00A0163E">
              <w:rPr>
                <w:sz w:val="20"/>
              </w:rPr>
              <w:t xml:space="preserve"> Searches for missions in which the TERCOM falls within the latitude/longitude values entered (or selected from the map). Affected by the floating-point number query limitation (see Note at the beginning of this Appendix).</w:t>
            </w:r>
          </w:p>
        </w:tc>
      </w:tr>
      <w:tr w:rsidR="005F26EF" w:rsidRPr="00C24B58" w14:paraId="479A44E6" w14:textId="77777777" w:rsidTr="0043211C">
        <w:trPr>
          <w:cantSplit/>
          <w:trHeight w:val="144"/>
        </w:trPr>
        <w:tc>
          <w:tcPr>
            <w:tcW w:w="1998" w:type="dxa"/>
          </w:tcPr>
          <w:p w14:paraId="39DBB812" w14:textId="77777777" w:rsidR="00A845A2" w:rsidRPr="00A0163E" w:rsidRDefault="00A845A2" w:rsidP="005F26EF">
            <w:pPr>
              <w:spacing w:before="40" w:after="40" w:line="240" w:lineRule="auto"/>
              <w:rPr>
                <w:sz w:val="20"/>
              </w:rPr>
            </w:pPr>
            <w:r w:rsidRPr="00A0163E">
              <w:rPr>
                <w:sz w:val="20"/>
              </w:rPr>
              <w:t>TMPR ID</w:t>
            </w:r>
          </w:p>
        </w:tc>
        <w:tc>
          <w:tcPr>
            <w:tcW w:w="1350" w:type="dxa"/>
          </w:tcPr>
          <w:p w14:paraId="3D3165CD"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2B1B4C74" w14:textId="7F2E08FD"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5150D5F5"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Eleven-digit numeric character unique identifier for a TMPR. The ID consists of the TMPR location code (first 3 characters), TMPR type (next 3 characters), and TMPR sequence number (last 5 characters). The TMPR ID may be zero-filled if the request for the mission was via verbal tasking instead of a TMPR.</w:t>
            </w:r>
          </w:p>
          <w:p w14:paraId="252CED59" w14:textId="77777777" w:rsidR="00A845A2" w:rsidRPr="00A0163E" w:rsidRDefault="00A845A2" w:rsidP="0043211C">
            <w:pPr>
              <w:spacing w:before="40" w:after="40"/>
              <w:rPr>
                <w:b/>
                <w:sz w:val="20"/>
              </w:rPr>
            </w:pPr>
            <w:r w:rsidRPr="00A0163E">
              <w:rPr>
                <w:b/>
                <w:sz w:val="20"/>
              </w:rPr>
              <w:t>Query:</w:t>
            </w:r>
            <w:r w:rsidRPr="00A0163E">
              <w:rPr>
                <w:sz w:val="20"/>
              </w:rPr>
              <w:t xml:space="preserve"> Searches for missions that contain the specified TMPR ID (wildcard allowed).</w:t>
            </w:r>
          </w:p>
        </w:tc>
      </w:tr>
      <w:tr w:rsidR="005F26EF" w:rsidRPr="00C24B58" w14:paraId="319524BD" w14:textId="77777777" w:rsidTr="0043211C">
        <w:trPr>
          <w:cantSplit/>
          <w:trHeight w:val="144"/>
        </w:trPr>
        <w:tc>
          <w:tcPr>
            <w:tcW w:w="1998" w:type="dxa"/>
          </w:tcPr>
          <w:p w14:paraId="04521608" w14:textId="77777777" w:rsidR="00A845A2" w:rsidRPr="00A0163E" w:rsidRDefault="00A845A2" w:rsidP="005F26EF">
            <w:pPr>
              <w:spacing w:before="40" w:after="40" w:line="240" w:lineRule="auto"/>
              <w:rPr>
                <w:sz w:val="20"/>
              </w:rPr>
            </w:pPr>
            <w:r w:rsidRPr="00A0163E">
              <w:rPr>
                <w:sz w:val="20"/>
              </w:rPr>
              <w:t>TOT Statement</w:t>
            </w:r>
          </w:p>
        </w:tc>
        <w:tc>
          <w:tcPr>
            <w:tcW w:w="1350" w:type="dxa"/>
          </w:tcPr>
          <w:p w14:paraId="5C23E8A7"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68A12DE6" w14:textId="36A56476"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0A6ACB97" w14:textId="77777777" w:rsidR="00A845A2" w:rsidRPr="00A0163E" w:rsidRDefault="00A845A2" w:rsidP="005F26EF">
            <w:pPr>
              <w:spacing w:before="40" w:after="40" w:line="240" w:lineRule="auto"/>
              <w:rPr>
                <w:b/>
                <w:sz w:val="20"/>
              </w:rPr>
            </w:pPr>
            <w:r w:rsidRPr="00A0163E">
              <w:rPr>
                <w:b/>
                <w:sz w:val="20"/>
              </w:rPr>
              <w:t>Definition:</w:t>
            </w:r>
            <w:r w:rsidRPr="00A0163E">
              <w:rPr>
                <w:sz w:val="20"/>
              </w:rPr>
              <w:t xml:space="preserve"> Identifies whether the mission was planned to use TOT. Valid values are</w:t>
            </w:r>
            <w:r w:rsidRPr="00A0163E">
              <w:rPr>
                <w:b/>
                <w:sz w:val="20"/>
              </w:rPr>
              <w:t xml:space="preserve"> TOT Not Assigned</w:t>
            </w:r>
            <w:r w:rsidRPr="00A0163E">
              <w:rPr>
                <w:sz w:val="20"/>
              </w:rPr>
              <w:t xml:space="preserve"> (Mission not planned for TOT), </w:t>
            </w:r>
            <w:r w:rsidRPr="00A0163E">
              <w:rPr>
                <w:b/>
                <w:sz w:val="20"/>
              </w:rPr>
              <w:t>TOT Assigned</w:t>
            </w:r>
            <w:r w:rsidRPr="00A0163E">
              <w:rPr>
                <w:sz w:val="20"/>
              </w:rPr>
              <w:t xml:space="preserve"> (TOT control is available [Block III only]),</w:t>
            </w:r>
            <w:r w:rsidRPr="00A0163E">
              <w:rPr>
                <w:b/>
                <w:sz w:val="20"/>
              </w:rPr>
              <w:t xml:space="preserve"> TOT with Tophat</w:t>
            </w:r>
            <w:r w:rsidRPr="00A0163E">
              <w:rPr>
                <w:sz w:val="20"/>
              </w:rPr>
              <w:t xml:space="preserve"> (TOT controls include a distance adjustment area [Block III only]).</w:t>
            </w:r>
          </w:p>
          <w:p w14:paraId="3E111D13" w14:textId="77777777" w:rsidR="00A845A2" w:rsidRPr="00A0163E" w:rsidRDefault="00A845A2" w:rsidP="005F26EF">
            <w:pPr>
              <w:spacing w:before="40" w:after="40" w:line="240" w:lineRule="auto"/>
              <w:rPr>
                <w:b/>
                <w:sz w:val="20"/>
              </w:rPr>
            </w:pPr>
            <w:r w:rsidRPr="00A0163E">
              <w:rPr>
                <w:b/>
                <w:sz w:val="20"/>
              </w:rPr>
              <w:t>Query:</w:t>
            </w:r>
            <w:r w:rsidRPr="00A0163E">
              <w:rPr>
                <w:sz w:val="20"/>
              </w:rPr>
              <w:t xml:space="preserve"> Searches for missions that match the selected TOT Statement.</w:t>
            </w:r>
          </w:p>
        </w:tc>
      </w:tr>
      <w:tr w:rsidR="005F26EF" w:rsidRPr="00C24B58" w14:paraId="0A0A3847" w14:textId="77777777" w:rsidTr="0043211C">
        <w:trPr>
          <w:cantSplit/>
          <w:trHeight w:val="144"/>
        </w:trPr>
        <w:tc>
          <w:tcPr>
            <w:tcW w:w="1998" w:type="dxa"/>
          </w:tcPr>
          <w:p w14:paraId="41AF4166" w14:textId="77777777" w:rsidR="00A845A2" w:rsidRPr="00A0163E" w:rsidRDefault="00A845A2" w:rsidP="005F26EF">
            <w:pPr>
              <w:spacing w:before="40" w:after="40" w:line="240" w:lineRule="auto"/>
              <w:rPr>
                <w:sz w:val="20"/>
              </w:rPr>
            </w:pPr>
            <w:r w:rsidRPr="00A0163E">
              <w:rPr>
                <w:sz w:val="20"/>
              </w:rPr>
              <w:t>TPS Version</w:t>
            </w:r>
          </w:p>
        </w:tc>
        <w:tc>
          <w:tcPr>
            <w:tcW w:w="1350" w:type="dxa"/>
          </w:tcPr>
          <w:p w14:paraId="7B6CBE9E"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15D9A811" w14:textId="10D421E1"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5A11409B"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The version number of the TPS system that planned the mission.</w:t>
            </w:r>
          </w:p>
          <w:p w14:paraId="62E86F7F" w14:textId="77777777" w:rsidR="00A845A2" w:rsidRPr="00A0163E" w:rsidRDefault="00A845A2" w:rsidP="0043211C">
            <w:pPr>
              <w:spacing w:before="40" w:after="40"/>
              <w:rPr>
                <w:b/>
                <w:sz w:val="20"/>
              </w:rPr>
            </w:pPr>
            <w:r w:rsidRPr="00A0163E">
              <w:rPr>
                <w:b/>
                <w:sz w:val="20"/>
              </w:rPr>
              <w:t>Query:</w:t>
            </w:r>
            <w:r w:rsidRPr="00A0163E">
              <w:rPr>
                <w:sz w:val="20"/>
              </w:rPr>
              <w:t xml:space="preserve"> Searches for missions match the specified TPS Version.</w:t>
            </w:r>
          </w:p>
        </w:tc>
      </w:tr>
      <w:tr w:rsidR="005F26EF" w:rsidRPr="00C24B58" w14:paraId="57533B53" w14:textId="77777777" w:rsidTr="0043211C">
        <w:trPr>
          <w:cantSplit/>
          <w:trHeight w:val="144"/>
        </w:trPr>
        <w:tc>
          <w:tcPr>
            <w:tcW w:w="1998" w:type="dxa"/>
          </w:tcPr>
          <w:p w14:paraId="451DA6CD" w14:textId="77777777" w:rsidR="00A845A2" w:rsidRPr="00A0163E" w:rsidRDefault="00A845A2" w:rsidP="005F26EF">
            <w:pPr>
              <w:spacing w:before="40" w:after="40" w:line="240" w:lineRule="auto"/>
              <w:rPr>
                <w:sz w:val="20"/>
              </w:rPr>
            </w:pPr>
            <w:r w:rsidRPr="00A0163E">
              <w:rPr>
                <w:sz w:val="20"/>
              </w:rPr>
              <w:t>Vehicle Name</w:t>
            </w:r>
          </w:p>
        </w:tc>
        <w:tc>
          <w:tcPr>
            <w:tcW w:w="1350" w:type="dxa"/>
          </w:tcPr>
          <w:p w14:paraId="1D94EA5B"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74EF5D67" w14:textId="7C9BED7F"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1DDF290A"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An eight A/N identifier that defines the warhead, warhead type, and launcher type.</w:t>
            </w:r>
          </w:p>
          <w:p w14:paraId="15361869" w14:textId="77777777" w:rsidR="00A845A2" w:rsidRPr="00A0163E" w:rsidRDefault="00A845A2" w:rsidP="0043211C">
            <w:pPr>
              <w:spacing w:before="40" w:after="40"/>
              <w:rPr>
                <w:b/>
                <w:sz w:val="20"/>
              </w:rPr>
            </w:pPr>
            <w:r w:rsidRPr="00A0163E">
              <w:rPr>
                <w:b/>
                <w:sz w:val="20"/>
              </w:rPr>
              <w:t>Query:</w:t>
            </w:r>
            <w:r w:rsidRPr="00A0163E">
              <w:rPr>
                <w:sz w:val="20"/>
              </w:rPr>
              <w:t xml:space="preserve"> Searches for missions that contain the specified Vehicle Name (wildcard allowed).</w:t>
            </w:r>
          </w:p>
        </w:tc>
      </w:tr>
      <w:tr w:rsidR="005F26EF" w:rsidRPr="00C24B58" w14:paraId="7F0F8ADB" w14:textId="77777777" w:rsidTr="0043211C">
        <w:trPr>
          <w:cantSplit/>
          <w:trHeight w:val="144"/>
        </w:trPr>
        <w:tc>
          <w:tcPr>
            <w:tcW w:w="1998" w:type="dxa"/>
          </w:tcPr>
          <w:p w14:paraId="2F17CE6C" w14:textId="77777777" w:rsidR="00A845A2" w:rsidRPr="00A0163E" w:rsidRDefault="00A845A2" w:rsidP="005F26EF">
            <w:pPr>
              <w:spacing w:before="40" w:after="40" w:line="240" w:lineRule="auto"/>
              <w:rPr>
                <w:sz w:val="20"/>
              </w:rPr>
            </w:pPr>
            <w:r w:rsidRPr="00A0163E">
              <w:rPr>
                <w:sz w:val="20"/>
              </w:rPr>
              <w:t>Verification Code</w:t>
            </w:r>
          </w:p>
        </w:tc>
        <w:tc>
          <w:tcPr>
            <w:tcW w:w="1350" w:type="dxa"/>
          </w:tcPr>
          <w:p w14:paraId="3F56D4F5"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01349F0A" w14:textId="33BF6470"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5AC5E28D"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Five-digit number that must be entered into the weapons control system, along with the Mission ID, in order to process mission data for engagement planning and launch operations.</w:t>
            </w:r>
          </w:p>
          <w:p w14:paraId="74912399" w14:textId="77777777" w:rsidR="00A845A2" w:rsidRPr="00A0163E" w:rsidRDefault="00A845A2" w:rsidP="0043211C">
            <w:pPr>
              <w:spacing w:before="40" w:after="40"/>
              <w:rPr>
                <w:b/>
                <w:sz w:val="20"/>
              </w:rPr>
            </w:pPr>
            <w:r w:rsidRPr="00A0163E">
              <w:rPr>
                <w:b/>
                <w:sz w:val="20"/>
              </w:rPr>
              <w:t>Query:</w:t>
            </w:r>
            <w:r w:rsidRPr="00A0163E">
              <w:rPr>
                <w:sz w:val="20"/>
              </w:rPr>
              <w:t xml:space="preserve"> Searches for missions in which the Verification Code falls with the low value and high value entered.</w:t>
            </w:r>
          </w:p>
        </w:tc>
      </w:tr>
      <w:tr w:rsidR="005F26EF" w:rsidRPr="00C24B58" w14:paraId="27E7A109" w14:textId="77777777" w:rsidTr="0043211C">
        <w:trPr>
          <w:cantSplit/>
          <w:trHeight w:val="144"/>
        </w:trPr>
        <w:tc>
          <w:tcPr>
            <w:tcW w:w="1998" w:type="dxa"/>
          </w:tcPr>
          <w:p w14:paraId="124EF184" w14:textId="77777777" w:rsidR="00A845A2" w:rsidRPr="00A0163E" w:rsidRDefault="00A845A2" w:rsidP="005F26EF">
            <w:pPr>
              <w:spacing w:before="40" w:after="40" w:line="240" w:lineRule="auto"/>
              <w:rPr>
                <w:sz w:val="20"/>
              </w:rPr>
            </w:pPr>
            <w:r w:rsidRPr="00A0163E">
              <w:rPr>
                <w:sz w:val="20"/>
              </w:rPr>
              <w:lastRenderedPageBreak/>
              <w:t>Warhead</w:t>
            </w:r>
          </w:p>
        </w:tc>
        <w:tc>
          <w:tcPr>
            <w:tcW w:w="1350" w:type="dxa"/>
          </w:tcPr>
          <w:p w14:paraId="79941577" w14:textId="77777777" w:rsidR="00A845A2" w:rsidRPr="00A0163E" w:rsidRDefault="00A845A2" w:rsidP="005F26EF">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p>
          <w:p w14:paraId="41085F21" w14:textId="1F8F3DD3" w:rsidR="00A845A2" w:rsidRPr="00A0163E" w:rsidRDefault="00A845A2" w:rsidP="005F26EF">
            <w:pPr>
              <w:spacing w:before="40" w:after="40" w:line="240" w:lineRule="auto"/>
              <w:rPr>
                <w:sz w:val="20"/>
              </w:rPr>
            </w:pPr>
            <w:r w:rsidRPr="00A0163E">
              <w:rPr>
                <w:sz w:val="20"/>
              </w:rPr>
              <w:t>MSTM</w:t>
            </w:r>
            <w:r w:rsidR="005F26EF" w:rsidRPr="00A0163E">
              <w:rPr>
                <w:sz w:val="20"/>
              </w:rPr>
              <w:br/>
            </w:r>
            <w:r w:rsidR="00085AF0" w:rsidRPr="00A0163E">
              <w:rPr>
                <w:sz w:val="20"/>
              </w:rPr>
              <w:t>109M</w:t>
            </w:r>
          </w:p>
        </w:tc>
        <w:tc>
          <w:tcPr>
            <w:tcW w:w="9720" w:type="dxa"/>
          </w:tcPr>
          <w:p w14:paraId="79365A37" w14:textId="77777777" w:rsidR="00A845A2" w:rsidRPr="00A0163E" w:rsidRDefault="00A845A2" w:rsidP="005F26EF">
            <w:pPr>
              <w:spacing w:before="40" w:after="40" w:line="240" w:lineRule="auto"/>
              <w:rPr>
                <w:sz w:val="20"/>
              </w:rPr>
            </w:pPr>
            <w:r w:rsidRPr="00A0163E">
              <w:rPr>
                <w:b/>
                <w:sz w:val="20"/>
              </w:rPr>
              <w:t>Definition:</w:t>
            </w:r>
            <w:r w:rsidRPr="00A0163E">
              <w:rPr>
                <w:sz w:val="20"/>
              </w:rPr>
              <w:t xml:space="preserve"> Refers to the warhead for which a mission was planned. Valid values are:</w:t>
            </w:r>
          </w:p>
          <w:p w14:paraId="352FD908" w14:textId="4A052683" w:rsidR="00A845A2" w:rsidRPr="00A0163E" w:rsidRDefault="00A845A2" w:rsidP="006D5A65">
            <w:pPr>
              <w:pStyle w:val="Heading1"/>
            </w:pPr>
            <w:r w:rsidRPr="00A0163E">
              <w:t>WDU-36B – 109C</w:t>
            </w:r>
            <w:r w:rsidR="00277338" w:rsidRPr="00A0163E">
              <w:t>, 109E, 109E ACP, and MSTM</w:t>
            </w:r>
            <w:r w:rsidRPr="00A0163E">
              <w:t xml:space="preserve"> missions.</w:t>
            </w:r>
          </w:p>
          <w:p w14:paraId="07A5D4DD" w14:textId="77777777" w:rsidR="00A845A2" w:rsidRPr="00A0163E" w:rsidRDefault="00A845A2" w:rsidP="006D5A65">
            <w:pPr>
              <w:pStyle w:val="Heading1"/>
            </w:pPr>
            <w:r w:rsidRPr="00A0163E">
              <w:t>BLU-97B – 109D missions.</w:t>
            </w:r>
          </w:p>
          <w:p w14:paraId="7FE3C44D" w14:textId="77777777" w:rsidR="00A845A2" w:rsidRPr="00A0163E" w:rsidRDefault="00A845A2" w:rsidP="006D5A65">
            <w:pPr>
              <w:pStyle w:val="Heading1"/>
            </w:pPr>
            <w:r w:rsidRPr="00A0163E">
              <w:t>K67 – 109D missions.</w:t>
            </w:r>
          </w:p>
          <w:p w14:paraId="5FEEA9A5" w14:textId="77777777" w:rsidR="00A845A2" w:rsidRPr="00A0163E" w:rsidRDefault="00A845A2" w:rsidP="006D5A65">
            <w:pPr>
              <w:pStyle w:val="Heading1"/>
            </w:pPr>
            <w:r w:rsidRPr="00A0163E">
              <w:t>UNITARY – 109C and 109E missions.</w:t>
            </w:r>
          </w:p>
          <w:p w14:paraId="7E8081D5" w14:textId="1A1CAAC6" w:rsidR="00277338" w:rsidRPr="00A0163E" w:rsidRDefault="00277338" w:rsidP="006D5A65">
            <w:pPr>
              <w:pStyle w:val="Heading1"/>
            </w:pPr>
            <w:r w:rsidRPr="00A0163E">
              <w:t>JMEWS – 109M missions.</w:t>
            </w:r>
          </w:p>
          <w:p w14:paraId="61EEF987" w14:textId="77777777" w:rsidR="00A845A2" w:rsidRPr="00A0163E" w:rsidRDefault="00A845A2" w:rsidP="0043211C">
            <w:pPr>
              <w:tabs>
                <w:tab w:val="left" w:pos="3376"/>
              </w:tabs>
              <w:spacing w:before="40" w:after="40" w:line="240" w:lineRule="auto"/>
              <w:rPr>
                <w:b/>
                <w:sz w:val="20"/>
              </w:rPr>
            </w:pPr>
            <w:r w:rsidRPr="00A0163E">
              <w:rPr>
                <w:b/>
                <w:sz w:val="20"/>
              </w:rPr>
              <w:t>Query:</w:t>
            </w:r>
            <w:r w:rsidRPr="00A0163E">
              <w:rPr>
                <w:sz w:val="20"/>
              </w:rPr>
              <w:t xml:space="preserve"> Searches for missions that match the selected Warhead. </w:t>
            </w:r>
          </w:p>
        </w:tc>
      </w:tr>
    </w:tbl>
    <w:p w14:paraId="25F3AA52" w14:textId="77777777" w:rsidR="00E104FD" w:rsidRPr="000665B0" w:rsidRDefault="00E104FD" w:rsidP="006D5A65">
      <w:pPr>
        <w:pStyle w:val="Heading4"/>
      </w:pPr>
      <w:r w:rsidRPr="000665B0">
        <w:t>Target Tab</w:t>
      </w:r>
    </w:p>
    <w:p w14:paraId="59086E9A" w14:textId="5885E4E2" w:rsidR="008C07A5" w:rsidRDefault="00F42D7E" w:rsidP="007C5772">
      <w:pPr>
        <w:jc w:val="center"/>
      </w:pPr>
      <w:r>
        <w:rPr>
          <w:noProof/>
        </w:rPr>
        <w:drawing>
          <wp:inline distT="0" distB="0" distL="0" distR="0" wp14:anchorId="151E17B8" wp14:editId="48CD27D3">
            <wp:extent cx="4049127" cy="3977640"/>
            <wp:effectExtent l="0" t="0" r="0" b="0"/>
            <wp:docPr id="229021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60537" cy="3988849"/>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1590"/>
        <w:gridCol w:w="1092"/>
        <w:gridCol w:w="6668"/>
      </w:tblGrid>
      <w:tr w:rsidR="00412234" w:rsidRPr="00C24B58" w14:paraId="4B118B8C" w14:textId="77777777" w:rsidTr="00A0163E">
        <w:trPr>
          <w:cantSplit/>
          <w:tblHeader/>
          <w:jc w:val="center"/>
        </w:trPr>
        <w:tc>
          <w:tcPr>
            <w:tcW w:w="1890" w:type="dxa"/>
            <w:shd w:val="clear" w:color="auto" w:fill="D9D9D9" w:themeFill="background1" w:themeFillShade="D9"/>
          </w:tcPr>
          <w:p w14:paraId="767622BF" w14:textId="3E85C8BD" w:rsidR="007C5772" w:rsidRPr="00A0163E" w:rsidRDefault="007C5772" w:rsidP="00A0163E">
            <w:pPr>
              <w:spacing w:before="40" w:after="40" w:line="240" w:lineRule="auto"/>
              <w:rPr>
                <w:b/>
                <w:bCs/>
                <w:sz w:val="20"/>
              </w:rPr>
            </w:pPr>
            <w:r w:rsidRPr="00A0163E">
              <w:rPr>
                <w:b/>
                <w:bCs/>
                <w:sz w:val="20"/>
              </w:rPr>
              <w:t>Query Button</w:t>
            </w:r>
          </w:p>
        </w:tc>
        <w:tc>
          <w:tcPr>
            <w:tcW w:w="1260" w:type="dxa"/>
            <w:shd w:val="clear" w:color="auto" w:fill="D9D9D9" w:themeFill="background1" w:themeFillShade="D9"/>
          </w:tcPr>
          <w:p w14:paraId="2D1FF133" w14:textId="3646FD79" w:rsidR="007C5772" w:rsidRPr="00A0163E" w:rsidRDefault="007C5772" w:rsidP="00EE1E85">
            <w:pPr>
              <w:spacing w:before="40" w:after="40" w:line="240" w:lineRule="auto"/>
              <w:rPr>
                <w:b/>
                <w:bCs/>
                <w:sz w:val="20"/>
              </w:rPr>
            </w:pPr>
            <w:r w:rsidRPr="00A0163E">
              <w:rPr>
                <w:b/>
                <w:bCs/>
                <w:sz w:val="20"/>
              </w:rPr>
              <w:t>Variant</w:t>
            </w:r>
          </w:p>
        </w:tc>
        <w:tc>
          <w:tcPr>
            <w:tcW w:w="9900" w:type="dxa"/>
            <w:shd w:val="clear" w:color="auto" w:fill="D9D9D9" w:themeFill="background1" w:themeFillShade="D9"/>
          </w:tcPr>
          <w:p w14:paraId="3D74F616" w14:textId="6623ED93" w:rsidR="007C5772" w:rsidRPr="00A0163E" w:rsidRDefault="007C5772" w:rsidP="00EE1E85">
            <w:pPr>
              <w:spacing w:before="40" w:after="40" w:line="240" w:lineRule="auto"/>
              <w:rPr>
                <w:b/>
                <w:bCs/>
                <w:sz w:val="20"/>
              </w:rPr>
            </w:pPr>
            <w:r w:rsidRPr="00A0163E">
              <w:rPr>
                <w:b/>
                <w:bCs/>
                <w:sz w:val="20"/>
              </w:rPr>
              <w:t>Definition and Query Details</w:t>
            </w:r>
          </w:p>
        </w:tc>
      </w:tr>
      <w:tr w:rsidR="00412234" w:rsidRPr="00C24B58" w14:paraId="7877D4D3" w14:textId="77777777" w:rsidTr="00A0163E">
        <w:trPr>
          <w:cantSplit/>
          <w:jc w:val="center"/>
        </w:trPr>
        <w:tc>
          <w:tcPr>
            <w:tcW w:w="1890" w:type="dxa"/>
          </w:tcPr>
          <w:p w14:paraId="69F962FD" w14:textId="557FAAA4" w:rsidR="007C5772" w:rsidRPr="00A0163E" w:rsidRDefault="007C5772" w:rsidP="00EE1E85">
            <w:pPr>
              <w:spacing w:before="40" w:after="40" w:line="240" w:lineRule="auto"/>
              <w:rPr>
                <w:sz w:val="20"/>
              </w:rPr>
            </w:pPr>
            <w:r w:rsidRPr="00A0163E">
              <w:rPr>
                <w:sz w:val="20"/>
              </w:rPr>
              <w:t>Achieved Dive Angle</w:t>
            </w:r>
          </w:p>
        </w:tc>
        <w:tc>
          <w:tcPr>
            <w:tcW w:w="1260" w:type="dxa"/>
          </w:tcPr>
          <w:p w14:paraId="1F5761B9" w14:textId="11A27085" w:rsidR="007C5772" w:rsidRPr="00A0163E" w:rsidRDefault="007C5772" w:rsidP="00EE1E85">
            <w:pPr>
              <w:spacing w:before="40" w:after="40" w:line="240" w:lineRule="auto"/>
              <w:rPr>
                <w:sz w:val="20"/>
              </w:rPr>
            </w:pPr>
            <w:r w:rsidRPr="00A0163E">
              <w:rPr>
                <w:sz w:val="20"/>
              </w:rPr>
              <w:t>109C</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725D2E6F"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achieved angle (in degrees) of a Variable Dive Angle (VDA) Terminal Maneuver.</w:t>
            </w:r>
          </w:p>
          <w:p w14:paraId="764CB991" w14:textId="7BCB3CA6" w:rsidR="007C5772" w:rsidRPr="00A0163E" w:rsidRDefault="007C5772" w:rsidP="00EE1E85">
            <w:pPr>
              <w:spacing w:before="40" w:after="40" w:line="240" w:lineRule="auto"/>
              <w:rPr>
                <w:sz w:val="20"/>
              </w:rPr>
            </w:pPr>
            <w:r w:rsidRPr="00A0163E">
              <w:rPr>
                <w:b/>
                <w:sz w:val="20"/>
              </w:rPr>
              <w:t>Query:</w:t>
            </w:r>
            <w:r w:rsidRPr="00A0163E">
              <w:rPr>
                <w:sz w:val="20"/>
              </w:rPr>
              <w:t xml:space="preserve"> Searches for missions in which the VDA falls within the low value and high value entered. Affected by the floating-point number query limitation (see Note at the beginning of this Appendix).</w:t>
            </w:r>
          </w:p>
        </w:tc>
      </w:tr>
      <w:tr w:rsidR="00412234" w:rsidRPr="00C24B58" w14:paraId="5523D525" w14:textId="77777777" w:rsidTr="00A0163E">
        <w:trPr>
          <w:cantSplit/>
          <w:jc w:val="center"/>
        </w:trPr>
        <w:tc>
          <w:tcPr>
            <w:tcW w:w="1890" w:type="dxa"/>
          </w:tcPr>
          <w:p w14:paraId="4E2FAABD" w14:textId="5AB4D99D" w:rsidR="007C5772" w:rsidRPr="00A0163E" w:rsidRDefault="007C5772" w:rsidP="00C24B58">
            <w:pPr>
              <w:spacing w:before="40" w:after="40" w:line="240" w:lineRule="auto"/>
              <w:rPr>
                <w:sz w:val="20"/>
              </w:rPr>
            </w:pPr>
            <w:r w:rsidRPr="00A0163E">
              <w:rPr>
                <w:sz w:val="20"/>
              </w:rPr>
              <w:lastRenderedPageBreak/>
              <w:t>Aimpoint Description</w:t>
            </w:r>
          </w:p>
        </w:tc>
        <w:tc>
          <w:tcPr>
            <w:tcW w:w="1260" w:type="dxa"/>
          </w:tcPr>
          <w:p w14:paraId="15B5FC5D" w14:textId="6F10DF47"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5EF37897"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Text used to assist in identifying the specific aimpoint of the attack.</w:t>
            </w:r>
          </w:p>
          <w:p w14:paraId="019F3E40" w14:textId="3D6623B4"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contain the search string anywhere within the Aimpoint Description wildcard allowed).</w:t>
            </w:r>
          </w:p>
        </w:tc>
      </w:tr>
      <w:tr w:rsidR="00412234" w:rsidRPr="00C24B58" w14:paraId="5C61D12F" w14:textId="77777777" w:rsidTr="00A0163E">
        <w:trPr>
          <w:cantSplit/>
          <w:jc w:val="center"/>
        </w:trPr>
        <w:tc>
          <w:tcPr>
            <w:tcW w:w="1890" w:type="dxa"/>
          </w:tcPr>
          <w:p w14:paraId="0AAA17CF" w14:textId="2FA2D3B6" w:rsidR="007C5772" w:rsidRPr="00A0163E" w:rsidRDefault="007C5772" w:rsidP="00EE1E85">
            <w:pPr>
              <w:spacing w:before="40" w:after="40" w:line="240" w:lineRule="auto"/>
              <w:rPr>
                <w:sz w:val="20"/>
              </w:rPr>
            </w:pPr>
            <w:r w:rsidRPr="00A0163E">
              <w:rPr>
                <w:sz w:val="20"/>
              </w:rPr>
              <w:t>Aimpoint ID</w:t>
            </w:r>
          </w:p>
        </w:tc>
        <w:tc>
          <w:tcPr>
            <w:tcW w:w="1260" w:type="dxa"/>
          </w:tcPr>
          <w:p w14:paraId="3A600703" w14:textId="46C60BA8"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435FAA09"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Two alphabetic characters which, in conjunction with the Installation BE number, uniquely identify the point desired for intended interaction of the warhead with a target element.</w:t>
            </w:r>
          </w:p>
          <w:p w14:paraId="10F9DB61" w14:textId="480B0598"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match the specified Aimpoint ID entered (wildcard allowed).</w:t>
            </w:r>
          </w:p>
        </w:tc>
      </w:tr>
      <w:tr w:rsidR="00412234" w:rsidRPr="00C24B58" w14:paraId="1E38F1AE" w14:textId="77777777" w:rsidTr="00A0163E">
        <w:trPr>
          <w:cantSplit/>
          <w:jc w:val="center"/>
        </w:trPr>
        <w:tc>
          <w:tcPr>
            <w:tcW w:w="1890" w:type="dxa"/>
          </w:tcPr>
          <w:p w14:paraId="5D9DC3BC" w14:textId="099C56C3" w:rsidR="007C5772" w:rsidRPr="00A0163E" w:rsidRDefault="007C5772" w:rsidP="00EE1E85">
            <w:pPr>
              <w:spacing w:before="40" w:after="40" w:line="240" w:lineRule="auto"/>
              <w:rPr>
                <w:sz w:val="20"/>
              </w:rPr>
            </w:pPr>
            <w:r w:rsidRPr="00A0163E">
              <w:rPr>
                <w:sz w:val="20"/>
              </w:rPr>
              <w:t>Aimpoint Name</w:t>
            </w:r>
          </w:p>
        </w:tc>
        <w:tc>
          <w:tcPr>
            <w:tcW w:w="1260" w:type="dxa"/>
          </w:tcPr>
          <w:p w14:paraId="086AEF6C" w14:textId="0B0BF5C7"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68E53659"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standard name used for the aimpoint containing the 109C or 109E aimpoint, or 109D target segment.</w:t>
            </w:r>
          </w:p>
          <w:p w14:paraId="096FB9D6" w14:textId="3C62EF84"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match the specified Aimpoint Name (wildcard allowed).</w:t>
            </w:r>
          </w:p>
        </w:tc>
      </w:tr>
      <w:tr w:rsidR="00412234" w:rsidRPr="00C24B58" w14:paraId="67EA41F2" w14:textId="77777777" w:rsidTr="00A0163E">
        <w:trPr>
          <w:cantSplit/>
          <w:jc w:val="center"/>
        </w:trPr>
        <w:tc>
          <w:tcPr>
            <w:tcW w:w="1890" w:type="dxa"/>
          </w:tcPr>
          <w:p w14:paraId="2F08B3D3" w14:textId="20F0C1F3" w:rsidR="007C5772" w:rsidRPr="00A0163E" w:rsidRDefault="007C5772" w:rsidP="00EE1E85">
            <w:pPr>
              <w:spacing w:before="40" w:after="40" w:line="240" w:lineRule="auto"/>
              <w:rPr>
                <w:sz w:val="20"/>
              </w:rPr>
            </w:pPr>
            <w:r w:rsidRPr="00A0163E">
              <w:rPr>
                <w:sz w:val="20"/>
              </w:rPr>
              <w:t>Altitude</w:t>
            </w:r>
          </w:p>
        </w:tc>
        <w:tc>
          <w:tcPr>
            <w:tcW w:w="1260" w:type="dxa"/>
          </w:tcPr>
          <w:p w14:paraId="7BE7711A" w14:textId="65A30AE8"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4278BCD6"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terminal ground elevation (in feet AGL) of the target that the missile is flying.</w:t>
            </w:r>
          </w:p>
          <w:p w14:paraId="78EAEF46" w14:textId="2CF130B0" w:rsidR="007C5772" w:rsidRPr="00A0163E" w:rsidRDefault="007C5772" w:rsidP="00EE1E85">
            <w:pPr>
              <w:spacing w:before="40" w:after="40" w:line="240" w:lineRule="auto"/>
              <w:rPr>
                <w:b/>
                <w:sz w:val="20"/>
              </w:rPr>
            </w:pPr>
            <w:r w:rsidRPr="00A0163E">
              <w:rPr>
                <w:b/>
                <w:sz w:val="20"/>
              </w:rPr>
              <w:t>Query:</w:t>
            </w:r>
            <w:r w:rsidRPr="00A0163E">
              <w:rPr>
                <w:sz w:val="20"/>
              </w:rPr>
              <w:t xml:space="preserve"> </w:t>
            </w:r>
            <w:r w:rsidRPr="00A0163E">
              <w:rPr>
                <w:spacing w:val="-6"/>
                <w:sz w:val="20"/>
              </w:rPr>
              <w:t xml:space="preserve">Searches for missions in which the target Elevation falls within the </w:t>
            </w:r>
            <w:r w:rsidRPr="00A0163E">
              <w:rPr>
                <w:sz w:val="20"/>
              </w:rPr>
              <w:t>low value and high value</w:t>
            </w:r>
            <w:r w:rsidRPr="00A0163E">
              <w:rPr>
                <w:spacing w:val="-6"/>
                <w:sz w:val="20"/>
              </w:rPr>
              <w:t xml:space="preserve"> entered. Affected by the floating-point number query limitation (see Note at the beginning of this Appendix).</w:t>
            </w:r>
          </w:p>
        </w:tc>
      </w:tr>
      <w:tr w:rsidR="00412234" w:rsidRPr="00C24B58" w14:paraId="27BE92B4" w14:textId="77777777" w:rsidTr="00A0163E">
        <w:trPr>
          <w:cantSplit/>
          <w:jc w:val="center"/>
        </w:trPr>
        <w:tc>
          <w:tcPr>
            <w:tcW w:w="1890" w:type="dxa"/>
          </w:tcPr>
          <w:p w14:paraId="31F23C65" w14:textId="550EDBBB" w:rsidR="007C5772" w:rsidRPr="00A0163E" w:rsidRDefault="007C5772" w:rsidP="00EE1E85">
            <w:pPr>
              <w:spacing w:before="40" w:after="40" w:line="240" w:lineRule="auto"/>
              <w:rPr>
                <w:sz w:val="20"/>
              </w:rPr>
            </w:pPr>
            <w:r w:rsidRPr="00A0163E">
              <w:rPr>
                <w:sz w:val="20"/>
              </w:rPr>
              <w:t>BE</w:t>
            </w:r>
          </w:p>
        </w:tc>
        <w:tc>
          <w:tcPr>
            <w:tcW w:w="1260" w:type="dxa"/>
          </w:tcPr>
          <w:p w14:paraId="3503CA8E" w14:textId="502BAF45"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75F861B2"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A Target identifier format (Basic Encyclopedia). The BE number used in the MIDB to identify the installations containing the 109C or 109E aimpoint or 109D target definition waypoint. Valid BE formats are: nnnn@#nnnn or nnnn-$nnnn where n=numeric, @=alpha, and $=alphanumeric.</w:t>
            </w:r>
          </w:p>
          <w:p w14:paraId="6D7E7795" w14:textId="54C8D57C"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contain the specified BE (wildcard allowed).</w:t>
            </w:r>
          </w:p>
        </w:tc>
      </w:tr>
      <w:tr w:rsidR="00412234" w:rsidRPr="00C24B58" w14:paraId="0603E3B1" w14:textId="77777777" w:rsidTr="00A0163E">
        <w:trPr>
          <w:cantSplit/>
          <w:jc w:val="center"/>
        </w:trPr>
        <w:tc>
          <w:tcPr>
            <w:tcW w:w="1890" w:type="dxa"/>
          </w:tcPr>
          <w:p w14:paraId="219B0AC7" w14:textId="5E42ACF4" w:rsidR="007C5772" w:rsidRPr="00A0163E" w:rsidRDefault="007C5772" w:rsidP="00C24B58">
            <w:pPr>
              <w:spacing w:before="40" w:after="40" w:line="240" w:lineRule="auto"/>
              <w:rPr>
                <w:sz w:val="20"/>
              </w:rPr>
            </w:pPr>
            <w:r w:rsidRPr="00A0163E">
              <w:rPr>
                <w:sz w:val="20"/>
              </w:rPr>
              <w:t>Category Code</w:t>
            </w:r>
          </w:p>
        </w:tc>
        <w:tc>
          <w:tcPr>
            <w:tcW w:w="1260" w:type="dxa"/>
          </w:tcPr>
          <w:p w14:paraId="53F94058" w14:textId="4D34CDC7"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27672D26"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A five-digit number used in functional intelligence databases for describing characteristics of facilities as listed in the MIDB system specification.</w:t>
            </w:r>
          </w:p>
          <w:p w14:paraId="1C2657D2" w14:textId="3C3BCA58"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match the specified Category Code TDIC (wildcard allowed).</w:t>
            </w:r>
          </w:p>
        </w:tc>
      </w:tr>
      <w:tr w:rsidR="00412234" w:rsidRPr="00C24B58" w14:paraId="0CFD7C07" w14:textId="77777777" w:rsidTr="00A0163E">
        <w:trPr>
          <w:cantSplit/>
          <w:jc w:val="center"/>
        </w:trPr>
        <w:tc>
          <w:tcPr>
            <w:tcW w:w="1890" w:type="dxa"/>
          </w:tcPr>
          <w:p w14:paraId="2ED111F7" w14:textId="738BDCBA" w:rsidR="007C5772" w:rsidRPr="00A0163E" w:rsidRDefault="007C5772" w:rsidP="00EE1E85">
            <w:pPr>
              <w:spacing w:before="40" w:after="40" w:line="240" w:lineRule="auto"/>
              <w:rPr>
                <w:sz w:val="20"/>
              </w:rPr>
            </w:pPr>
            <w:r w:rsidRPr="00A0163E">
              <w:rPr>
                <w:sz w:val="20"/>
              </w:rPr>
              <w:t>Collateral Damage</w:t>
            </w:r>
          </w:p>
        </w:tc>
        <w:tc>
          <w:tcPr>
            <w:tcW w:w="1260" w:type="dxa"/>
          </w:tcPr>
          <w:p w14:paraId="25AAF18C" w14:textId="195544CC"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12E7DCCA"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specific items or areas where damage is to be avoided.</w:t>
            </w:r>
          </w:p>
          <w:p w14:paraId="2A013FE8" w14:textId="640DE6F4"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contain the search string anywhere within the target Collateral Damage (wildcard allowed).</w:t>
            </w:r>
          </w:p>
        </w:tc>
      </w:tr>
      <w:tr w:rsidR="00412234" w:rsidRPr="00C24B58" w14:paraId="26B12B31" w14:textId="77777777" w:rsidTr="00A0163E">
        <w:trPr>
          <w:cantSplit/>
          <w:jc w:val="center"/>
        </w:trPr>
        <w:tc>
          <w:tcPr>
            <w:tcW w:w="1890" w:type="dxa"/>
          </w:tcPr>
          <w:p w14:paraId="49D838A4" w14:textId="75D2C553" w:rsidR="007C5772" w:rsidRPr="00A0163E" w:rsidRDefault="007C5772" w:rsidP="00EE1E85">
            <w:pPr>
              <w:spacing w:before="40" w:after="40" w:line="240" w:lineRule="auto"/>
              <w:rPr>
                <w:sz w:val="20"/>
              </w:rPr>
            </w:pPr>
            <w:r w:rsidRPr="00A0163E">
              <w:rPr>
                <w:sz w:val="20"/>
              </w:rPr>
              <w:t>Country</w:t>
            </w:r>
          </w:p>
        </w:tc>
        <w:tc>
          <w:tcPr>
            <w:tcW w:w="1260" w:type="dxa"/>
          </w:tcPr>
          <w:p w14:paraId="0701B623" w14:textId="1AC1A5F7"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0B77000F" w14:textId="43F92A04" w:rsidR="007C5772" w:rsidRPr="00A0163E" w:rsidRDefault="007C5772" w:rsidP="00EE1E85">
            <w:pPr>
              <w:spacing w:before="40" w:after="40" w:line="240" w:lineRule="auto"/>
              <w:rPr>
                <w:sz w:val="20"/>
              </w:rPr>
            </w:pPr>
            <w:r w:rsidRPr="00A0163E">
              <w:rPr>
                <w:b/>
                <w:sz w:val="20"/>
              </w:rPr>
              <w:t>Definition:</w:t>
            </w:r>
            <w:r w:rsidRPr="00A0163E">
              <w:rPr>
                <w:sz w:val="20"/>
              </w:rPr>
              <w:t xml:space="preserve"> The standard Country Code and country name (select from a pull-down list of valid countries) from the CountryDB that identifies the country where the target is located. For information about the selection and display of Country Codes and country names during system operation, see </w:t>
            </w:r>
            <w:hyperlink w:anchor="_Appendix_C__Country_Codes__(SORTED__1" w:history="1">
              <w:r w:rsidRPr="00A0163E">
                <w:rPr>
                  <w:rStyle w:val="Hyperlink"/>
                  <w:sz w:val="20"/>
                </w:rPr>
                <w:t>Appendix C</w:t>
              </w:r>
            </w:hyperlink>
            <w:r w:rsidRPr="00A0163E">
              <w:rPr>
                <w:sz w:val="20"/>
              </w:rPr>
              <w:t>.</w:t>
            </w:r>
          </w:p>
          <w:p w14:paraId="67B505EC" w14:textId="6F4A01C2"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contain the specified Country. </w:t>
            </w:r>
          </w:p>
        </w:tc>
      </w:tr>
      <w:tr w:rsidR="00412234" w:rsidRPr="00C24B58" w14:paraId="4D309D1A" w14:textId="77777777" w:rsidTr="00A0163E">
        <w:trPr>
          <w:cantSplit/>
          <w:jc w:val="center"/>
        </w:trPr>
        <w:tc>
          <w:tcPr>
            <w:tcW w:w="1890" w:type="dxa"/>
          </w:tcPr>
          <w:p w14:paraId="68F79065" w14:textId="5D07CE0D" w:rsidR="007C5772" w:rsidRPr="00A0163E" w:rsidRDefault="007C5772" w:rsidP="00EE1E85">
            <w:pPr>
              <w:spacing w:before="40" w:after="40" w:line="240" w:lineRule="auto"/>
              <w:rPr>
                <w:sz w:val="20"/>
              </w:rPr>
            </w:pPr>
            <w:r w:rsidRPr="00A0163E">
              <w:rPr>
                <w:sz w:val="20"/>
              </w:rPr>
              <w:lastRenderedPageBreak/>
              <w:t>Damage Objective</w:t>
            </w:r>
          </w:p>
        </w:tc>
        <w:tc>
          <w:tcPr>
            <w:tcW w:w="1260" w:type="dxa"/>
          </w:tcPr>
          <w:p w14:paraId="7C6B65A1" w14:textId="59F2E122"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39EC4CA4"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Specifies the level of damage for this target to satisfy the strike objective.</w:t>
            </w:r>
          </w:p>
          <w:p w14:paraId="3F26C3C1" w14:textId="3944F8B5"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contain the search string anywhere within the target Damage Objective (wildcard allowed).</w:t>
            </w:r>
          </w:p>
        </w:tc>
      </w:tr>
      <w:tr w:rsidR="00412234" w:rsidRPr="00C24B58" w14:paraId="505A5655" w14:textId="77777777" w:rsidTr="00A0163E">
        <w:trPr>
          <w:cantSplit/>
          <w:jc w:val="center"/>
        </w:trPr>
        <w:tc>
          <w:tcPr>
            <w:tcW w:w="1890" w:type="dxa"/>
          </w:tcPr>
          <w:p w14:paraId="4D3F70C4" w14:textId="34AECBCD" w:rsidR="007C5772" w:rsidRPr="00A0163E" w:rsidRDefault="007C5772" w:rsidP="00EE1E85">
            <w:pPr>
              <w:spacing w:before="40" w:after="40" w:line="240" w:lineRule="auto"/>
              <w:rPr>
                <w:sz w:val="20"/>
              </w:rPr>
            </w:pPr>
            <w:r w:rsidRPr="00A0163E">
              <w:rPr>
                <w:sz w:val="20"/>
              </w:rPr>
              <w:t>Deflection Error</w:t>
            </w:r>
          </w:p>
        </w:tc>
        <w:tc>
          <w:tcPr>
            <w:tcW w:w="1260" w:type="dxa"/>
          </w:tcPr>
          <w:p w14:paraId="15D5F8EE" w14:textId="46D278BE"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5EF5DB10"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accumulated value (in feet) of cross-track navigational error throughout the missile route.</w:t>
            </w:r>
          </w:p>
          <w:p w14:paraId="4CBB8140" w14:textId="18E1E402" w:rsidR="007C5772" w:rsidRPr="00A0163E" w:rsidRDefault="007C5772" w:rsidP="00EE1E85">
            <w:pPr>
              <w:spacing w:before="40" w:after="40" w:line="240" w:lineRule="auto"/>
              <w:rPr>
                <w:b/>
                <w:sz w:val="20"/>
              </w:rPr>
            </w:pPr>
            <w:r w:rsidRPr="00A0163E">
              <w:rPr>
                <w:b/>
                <w:sz w:val="20"/>
              </w:rPr>
              <w:t>Query:</w:t>
            </w:r>
            <w:r w:rsidRPr="00A0163E">
              <w:rPr>
                <w:sz w:val="20"/>
              </w:rPr>
              <w:t xml:space="preserve"> </w:t>
            </w:r>
            <w:r w:rsidRPr="00A0163E">
              <w:rPr>
                <w:spacing w:val="-6"/>
                <w:sz w:val="20"/>
              </w:rPr>
              <w:t>Searches for missions in which the Deflection Error falls within the low value and high value entered. Affected by the floating-point number query limitation (see Note at the beginning of this Appendix).</w:t>
            </w:r>
          </w:p>
        </w:tc>
      </w:tr>
      <w:tr w:rsidR="00412234" w:rsidRPr="00C24B58" w14:paraId="36320D10" w14:textId="77777777" w:rsidTr="00A0163E">
        <w:trPr>
          <w:cantSplit/>
          <w:jc w:val="center"/>
        </w:trPr>
        <w:tc>
          <w:tcPr>
            <w:tcW w:w="1890" w:type="dxa"/>
          </w:tcPr>
          <w:p w14:paraId="7C42FA33" w14:textId="392BE1B9" w:rsidR="007C5772" w:rsidRPr="00A0163E" w:rsidRDefault="007C5772" w:rsidP="00C24B58">
            <w:pPr>
              <w:spacing w:before="40" w:after="40" w:line="240" w:lineRule="auto"/>
              <w:rPr>
                <w:sz w:val="20"/>
              </w:rPr>
            </w:pPr>
            <w:r w:rsidRPr="00A0163E">
              <w:rPr>
                <w:sz w:val="20"/>
              </w:rPr>
              <w:t>Elevation</w:t>
            </w:r>
          </w:p>
        </w:tc>
        <w:tc>
          <w:tcPr>
            <w:tcW w:w="1260" w:type="dxa"/>
          </w:tcPr>
          <w:p w14:paraId="308565F2" w14:textId="58FA8D03"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22B8B0D1"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ground elevation (in feet MSL) of the target.</w:t>
            </w:r>
          </w:p>
          <w:p w14:paraId="08A4D2A7" w14:textId="22641121" w:rsidR="007C5772" w:rsidRPr="00A0163E" w:rsidRDefault="007C5772" w:rsidP="00EE1E85">
            <w:pPr>
              <w:spacing w:before="40" w:after="40" w:line="240" w:lineRule="auto"/>
              <w:rPr>
                <w:b/>
                <w:sz w:val="20"/>
              </w:rPr>
            </w:pPr>
            <w:r w:rsidRPr="00A0163E">
              <w:rPr>
                <w:b/>
                <w:sz w:val="20"/>
              </w:rPr>
              <w:t>Query:</w:t>
            </w:r>
            <w:r w:rsidRPr="00A0163E">
              <w:rPr>
                <w:sz w:val="20"/>
              </w:rPr>
              <w:t xml:space="preserve"> </w:t>
            </w:r>
            <w:r w:rsidRPr="00A0163E">
              <w:rPr>
                <w:spacing w:val="-6"/>
                <w:sz w:val="20"/>
              </w:rPr>
              <w:t>Searches for the missions in which the target Elevation falls within the low value and high value entered. Affected by the floating-point number query limitation (see Note at the beginning of this Appendix).</w:t>
            </w:r>
          </w:p>
        </w:tc>
      </w:tr>
      <w:tr w:rsidR="00412234" w:rsidRPr="00C24B58" w14:paraId="1733B08E" w14:textId="77777777" w:rsidTr="00A0163E">
        <w:trPr>
          <w:cantSplit/>
          <w:jc w:val="center"/>
        </w:trPr>
        <w:tc>
          <w:tcPr>
            <w:tcW w:w="1890" w:type="dxa"/>
          </w:tcPr>
          <w:p w14:paraId="08863F31" w14:textId="350906B6" w:rsidR="007C5772" w:rsidRPr="00A0163E" w:rsidRDefault="007C5772" w:rsidP="00EE1E85">
            <w:pPr>
              <w:spacing w:before="40" w:after="40" w:line="240" w:lineRule="auto"/>
              <w:rPr>
                <w:sz w:val="20"/>
              </w:rPr>
            </w:pPr>
            <w:r w:rsidRPr="00A0163E">
              <w:rPr>
                <w:sz w:val="20"/>
              </w:rPr>
              <w:t>ETA</w:t>
            </w:r>
          </w:p>
        </w:tc>
        <w:tc>
          <w:tcPr>
            <w:tcW w:w="1260" w:type="dxa"/>
          </w:tcPr>
          <w:p w14:paraId="2132E6C9" w14:textId="6DB31E7A"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162DEDBC"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Provides the Mission Planning System an estimate (in seconds) of flight time from the FPPWP to the target. May be used in conjunction with a desired time-on-target, to calculate a desired time for launch.</w:t>
            </w:r>
          </w:p>
          <w:p w14:paraId="38CC7866" w14:textId="7B0615EB"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in which the time for the missile flight’s ETA falls within the low value and high value entered. Affected by the floating-point number query limitation (see Note at the beginning of this Appendix).</w:t>
            </w:r>
          </w:p>
        </w:tc>
      </w:tr>
      <w:tr w:rsidR="00412234" w:rsidRPr="00C24B58" w14:paraId="396AB5A4" w14:textId="77777777" w:rsidTr="00A0163E">
        <w:trPr>
          <w:cantSplit/>
          <w:jc w:val="center"/>
        </w:trPr>
        <w:tc>
          <w:tcPr>
            <w:tcW w:w="1890" w:type="dxa"/>
          </w:tcPr>
          <w:p w14:paraId="03B9BEC8" w14:textId="4DC73875" w:rsidR="007C5772" w:rsidRPr="00A0163E" w:rsidRDefault="007C5772" w:rsidP="00EE1E85">
            <w:pPr>
              <w:spacing w:before="40" w:after="40" w:line="240" w:lineRule="auto"/>
              <w:rPr>
                <w:sz w:val="20"/>
              </w:rPr>
            </w:pPr>
            <w:r w:rsidRPr="00A0163E">
              <w:rPr>
                <w:sz w:val="20"/>
              </w:rPr>
              <w:t>Install Name</w:t>
            </w:r>
          </w:p>
        </w:tc>
        <w:tc>
          <w:tcPr>
            <w:tcW w:w="1260" w:type="dxa"/>
          </w:tcPr>
          <w:p w14:paraId="07D8A71F" w14:textId="368285FB"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7777B6EF"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standard MIDB name used for the installations containing the Target Segment.</w:t>
            </w:r>
          </w:p>
          <w:p w14:paraId="1D900709" w14:textId="46B1DC5F"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contain the specified Installation Name (wildcard allowed).</w:t>
            </w:r>
          </w:p>
        </w:tc>
      </w:tr>
      <w:tr w:rsidR="00412234" w:rsidRPr="00C24B58" w14:paraId="290290A4" w14:textId="77777777" w:rsidTr="00A0163E">
        <w:trPr>
          <w:cantSplit/>
          <w:jc w:val="center"/>
        </w:trPr>
        <w:tc>
          <w:tcPr>
            <w:tcW w:w="1890" w:type="dxa"/>
          </w:tcPr>
          <w:p w14:paraId="0F4B6A04" w14:textId="6273AD61" w:rsidR="007C5772" w:rsidRPr="00A0163E" w:rsidRDefault="007C5772" w:rsidP="00EE1E85">
            <w:pPr>
              <w:spacing w:before="40" w:after="40" w:line="240" w:lineRule="auto"/>
              <w:rPr>
                <w:sz w:val="20"/>
              </w:rPr>
            </w:pPr>
            <w:r w:rsidRPr="00A0163E">
              <w:rPr>
                <w:sz w:val="20"/>
              </w:rPr>
              <w:t>Install. Location</w:t>
            </w:r>
          </w:p>
        </w:tc>
        <w:tc>
          <w:tcPr>
            <w:tcW w:w="1260" w:type="dxa"/>
          </w:tcPr>
          <w:p w14:paraId="5B2EDD64" w14:textId="6FBA7C7F"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0FD17B4D"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longitude/longitude coordinate associated with the geodetic point for the target installation.</w:t>
            </w:r>
          </w:p>
          <w:p w14:paraId="2FF0192D" w14:textId="7273F716" w:rsidR="007C5772" w:rsidRPr="00A0163E" w:rsidRDefault="007C5772" w:rsidP="00EE1E85">
            <w:pPr>
              <w:spacing w:before="40" w:after="40" w:line="240" w:lineRule="auto"/>
              <w:rPr>
                <w:b/>
                <w:sz w:val="20"/>
              </w:rPr>
            </w:pPr>
            <w:r w:rsidRPr="00A0163E">
              <w:rPr>
                <w:b/>
                <w:sz w:val="20"/>
              </w:rPr>
              <w:t>Query:</w:t>
            </w:r>
            <w:r w:rsidRPr="00A0163E">
              <w:rPr>
                <w:sz w:val="20"/>
              </w:rPr>
              <w:t xml:space="preserve"> Search for missions in which the target Installation Location falls within the latitude/longitude values entered (or selected from the map). Affected by the floating-point number query limitation (see Note at the beginning of this Appendix).</w:t>
            </w:r>
          </w:p>
        </w:tc>
      </w:tr>
      <w:tr w:rsidR="00412234" w:rsidRPr="00C24B58" w14:paraId="4A9BFAEB" w14:textId="77777777" w:rsidTr="00A0163E">
        <w:trPr>
          <w:cantSplit/>
          <w:jc w:val="center"/>
        </w:trPr>
        <w:tc>
          <w:tcPr>
            <w:tcW w:w="1890" w:type="dxa"/>
          </w:tcPr>
          <w:p w14:paraId="723213FB" w14:textId="5CF5F80A" w:rsidR="007C5772" w:rsidRPr="00A0163E" w:rsidRDefault="007C5772" w:rsidP="00EE1E85">
            <w:pPr>
              <w:spacing w:before="40" w:after="40" w:line="240" w:lineRule="auto"/>
              <w:rPr>
                <w:sz w:val="20"/>
              </w:rPr>
            </w:pPr>
            <w:r w:rsidRPr="00A0163E">
              <w:rPr>
                <w:sz w:val="20"/>
              </w:rPr>
              <w:t>Install. Significance</w:t>
            </w:r>
          </w:p>
        </w:tc>
        <w:tc>
          <w:tcPr>
            <w:tcW w:w="1260" w:type="dxa"/>
          </w:tcPr>
          <w:p w14:paraId="06356C30" w14:textId="06B90076"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22DDF407"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Describes why this target has been placed on the target list.</w:t>
            </w:r>
          </w:p>
          <w:p w14:paraId="4A842569" w14:textId="37E7685E"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contain the search string anywhere within the target Installation Significance (wildcard allowed).</w:t>
            </w:r>
          </w:p>
        </w:tc>
      </w:tr>
      <w:tr w:rsidR="00412234" w:rsidRPr="00C24B58" w14:paraId="28D61A5C" w14:textId="77777777" w:rsidTr="00A0163E">
        <w:trPr>
          <w:cantSplit/>
          <w:jc w:val="center"/>
        </w:trPr>
        <w:tc>
          <w:tcPr>
            <w:tcW w:w="1890" w:type="dxa"/>
          </w:tcPr>
          <w:p w14:paraId="590BC52E" w14:textId="38BDF3FE" w:rsidR="007C5772" w:rsidRPr="00A0163E" w:rsidRDefault="007C5772" w:rsidP="00C24B58">
            <w:pPr>
              <w:spacing w:before="40" w:after="40" w:line="240" w:lineRule="auto"/>
              <w:rPr>
                <w:sz w:val="20"/>
              </w:rPr>
            </w:pPr>
            <w:r w:rsidRPr="00A0163E">
              <w:rPr>
                <w:sz w:val="20"/>
              </w:rPr>
              <w:t>JDPI ID</w:t>
            </w:r>
          </w:p>
        </w:tc>
        <w:tc>
          <w:tcPr>
            <w:tcW w:w="1260" w:type="dxa"/>
          </w:tcPr>
          <w:p w14:paraId="33986235" w14:textId="0D314C63"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Pr="00A0163E">
              <w:rPr>
                <w:sz w:val="20"/>
              </w:rPr>
              <w:br/>
              <w:t>MSTM</w:t>
            </w:r>
            <w:r w:rsidR="00412234" w:rsidRPr="00A0163E">
              <w:rPr>
                <w:sz w:val="20"/>
              </w:rPr>
              <w:br/>
              <w:t>109M</w:t>
            </w:r>
          </w:p>
        </w:tc>
        <w:tc>
          <w:tcPr>
            <w:tcW w:w="9900" w:type="dxa"/>
          </w:tcPr>
          <w:p w14:paraId="22A30E07"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A Target identifier format (Joint Desired Point of Impact). Valid format is 6 alphanumeric characters.</w:t>
            </w:r>
          </w:p>
          <w:p w14:paraId="77FC65B0" w14:textId="645DE3E1"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contain the specified JDPI ID (wildcard allowed).</w:t>
            </w:r>
          </w:p>
        </w:tc>
      </w:tr>
      <w:tr w:rsidR="00412234" w:rsidRPr="00C24B58" w14:paraId="111E2C9E" w14:textId="77777777" w:rsidTr="00A0163E">
        <w:trPr>
          <w:cantSplit/>
          <w:jc w:val="center"/>
        </w:trPr>
        <w:tc>
          <w:tcPr>
            <w:tcW w:w="1890" w:type="dxa"/>
          </w:tcPr>
          <w:p w14:paraId="5767BA82" w14:textId="4DA25D9F" w:rsidR="007C5772" w:rsidRPr="00A0163E" w:rsidRDefault="007C5772" w:rsidP="00EE1E85">
            <w:pPr>
              <w:spacing w:before="40" w:after="40" w:line="240" w:lineRule="auto"/>
              <w:rPr>
                <w:sz w:val="20"/>
              </w:rPr>
            </w:pPr>
            <w:r w:rsidRPr="00A0163E">
              <w:rPr>
                <w:sz w:val="20"/>
              </w:rPr>
              <w:lastRenderedPageBreak/>
              <w:t>Mil Grid Coords.</w:t>
            </w:r>
          </w:p>
        </w:tc>
        <w:tc>
          <w:tcPr>
            <w:tcW w:w="1260" w:type="dxa"/>
          </w:tcPr>
          <w:p w14:paraId="416AE98A" w14:textId="14443178"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60832E00"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Identifies the Military Grid Reference Coordinates of the target installation.</w:t>
            </w:r>
          </w:p>
          <w:p w14:paraId="3D8E2495" w14:textId="2388AB44"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contain the search string anywhere within the target installation Mil Grid Coordinates (wildcard allowed).</w:t>
            </w:r>
          </w:p>
        </w:tc>
      </w:tr>
      <w:tr w:rsidR="00412234" w:rsidRPr="00C24B58" w14:paraId="13708CE7" w14:textId="77777777" w:rsidTr="00A0163E">
        <w:trPr>
          <w:cantSplit/>
          <w:jc w:val="center"/>
        </w:trPr>
        <w:tc>
          <w:tcPr>
            <w:tcW w:w="1890" w:type="dxa"/>
          </w:tcPr>
          <w:p w14:paraId="1D052748" w14:textId="5FDA2CA5" w:rsidR="007C5772" w:rsidRPr="00A0163E" w:rsidRDefault="007C5772" w:rsidP="00EE1E85">
            <w:pPr>
              <w:spacing w:before="40" w:after="40" w:line="240" w:lineRule="auto"/>
              <w:rPr>
                <w:sz w:val="20"/>
              </w:rPr>
            </w:pPr>
            <w:r w:rsidRPr="00A0163E">
              <w:rPr>
                <w:sz w:val="20"/>
              </w:rPr>
              <w:t>OSuffix</w:t>
            </w:r>
          </w:p>
        </w:tc>
        <w:tc>
          <w:tcPr>
            <w:tcW w:w="1260" w:type="dxa"/>
          </w:tcPr>
          <w:p w14:paraId="69C0AACD" w14:textId="60AD02A0"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2E2AE48C" w14:textId="77777777" w:rsidR="007C5772" w:rsidRPr="00A0163E" w:rsidRDefault="007C5772" w:rsidP="00EE1E85">
            <w:pPr>
              <w:spacing w:before="40" w:after="40" w:line="240" w:lineRule="auto"/>
              <w:rPr>
                <w:spacing w:val="-2"/>
                <w:sz w:val="20"/>
              </w:rPr>
            </w:pPr>
            <w:r w:rsidRPr="00A0163E">
              <w:rPr>
                <w:b/>
                <w:spacing w:val="-2"/>
                <w:sz w:val="20"/>
              </w:rPr>
              <w:t>Definition:</w:t>
            </w:r>
            <w:r w:rsidRPr="00A0163E">
              <w:rPr>
                <w:spacing w:val="-2"/>
                <w:sz w:val="20"/>
              </w:rPr>
              <w:t xml:space="preserve"> Five-character field defined in MIDB which uniquely identifies each facility at an installation.</w:t>
            </w:r>
          </w:p>
          <w:p w14:paraId="1F657CC6" w14:textId="3E8E9777"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the missions that match the specified facility OSUFFIX (wildcard allowed).</w:t>
            </w:r>
          </w:p>
        </w:tc>
      </w:tr>
      <w:tr w:rsidR="00412234" w:rsidRPr="00C24B58" w14:paraId="794B8FEC" w14:textId="77777777" w:rsidTr="00A0163E">
        <w:trPr>
          <w:cantSplit/>
          <w:jc w:val="center"/>
        </w:trPr>
        <w:tc>
          <w:tcPr>
            <w:tcW w:w="1890" w:type="dxa"/>
          </w:tcPr>
          <w:p w14:paraId="5C0D6ED6" w14:textId="62DD52CF" w:rsidR="007C5772" w:rsidRPr="00A0163E" w:rsidRDefault="007C5772" w:rsidP="00EE1E85">
            <w:pPr>
              <w:spacing w:before="40" w:after="40" w:line="240" w:lineRule="auto"/>
              <w:rPr>
                <w:sz w:val="20"/>
              </w:rPr>
            </w:pPr>
            <w:r w:rsidRPr="00A0163E">
              <w:rPr>
                <w:sz w:val="20"/>
              </w:rPr>
              <w:t>Pop-Up Altitude</w:t>
            </w:r>
          </w:p>
        </w:tc>
        <w:tc>
          <w:tcPr>
            <w:tcW w:w="1260" w:type="dxa"/>
          </w:tcPr>
          <w:p w14:paraId="0A61E448" w14:textId="65EC97B6"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73FF255B"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altitude (in feet MSL) for a TLAM at the beginning the terminal maneuver.</w:t>
            </w:r>
          </w:p>
          <w:p w14:paraId="687F5E25" w14:textId="1E48FADD" w:rsidR="007C5772" w:rsidRPr="00A0163E" w:rsidRDefault="007C5772" w:rsidP="00EE1E85">
            <w:pPr>
              <w:spacing w:before="40" w:after="40" w:line="240" w:lineRule="auto"/>
              <w:rPr>
                <w:b/>
                <w:spacing w:val="-2"/>
                <w:sz w:val="20"/>
              </w:rPr>
            </w:pPr>
            <w:r w:rsidRPr="00A0163E">
              <w:rPr>
                <w:b/>
                <w:sz w:val="20"/>
              </w:rPr>
              <w:t>Query:</w:t>
            </w:r>
            <w:r w:rsidRPr="00A0163E">
              <w:rPr>
                <w:sz w:val="20"/>
              </w:rPr>
              <w:t xml:space="preserve"> Searches for missions for which the Pop-Up Altitude falls within the low value and high value entered. Affected by the floating-point number query limitation (see Note at the beginning of this Appendix).</w:t>
            </w:r>
          </w:p>
        </w:tc>
      </w:tr>
      <w:tr w:rsidR="00412234" w:rsidRPr="00C24B58" w14:paraId="58C4CFAC" w14:textId="77777777" w:rsidTr="00A0163E">
        <w:trPr>
          <w:cantSplit/>
          <w:jc w:val="center"/>
        </w:trPr>
        <w:tc>
          <w:tcPr>
            <w:tcW w:w="1890" w:type="dxa"/>
          </w:tcPr>
          <w:p w14:paraId="6C0D5C1F" w14:textId="115FD460" w:rsidR="007C5772" w:rsidRPr="00A0163E" w:rsidRDefault="007C5772" w:rsidP="00EE1E85">
            <w:pPr>
              <w:spacing w:before="40" w:after="40" w:line="240" w:lineRule="auto"/>
              <w:rPr>
                <w:sz w:val="20"/>
              </w:rPr>
            </w:pPr>
            <w:r w:rsidRPr="00A0163E">
              <w:rPr>
                <w:sz w:val="20"/>
              </w:rPr>
              <w:t>Pop-Up Clearance</w:t>
            </w:r>
          </w:p>
        </w:tc>
        <w:tc>
          <w:tcPr>
            <w:tcW w:w="1260" w:type="dxa"/>
          </w:tcPr>
          <w:p w14:paraId="57940579" w14:textId="25408963"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49BA970F"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distance (in feet AGL) between a TLAM and the terrain at the beginning of the terminal maneuver.</w:t>
            </w:r>
          </w:p>
          <w:p w14:paraId="64A2E8AB" w14:textId="164201A1"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for which the Pop-Up Clearance falls within the low value and high value entered. Affected by the floating-point number query limitation (see Note at the beginning of this Appendix).</w:t>
            </w:r>
          </w:p>
        </w:tc>
      </w:tr>
      <w:tr w:rsidR="00412234" w:rsidRPr="00C24B58" w14:paraId="3E432129" w14:textId="77777777" w:rsidTr="00A0163E">
        <w:trPr>
          <w:cantSplit/>
          <w:jc w:val="center"/>
        </w:trPr>
        <w:tc>
          <w:tcPr>
            <w:tcW w:w="1890" w:type="dxa"/>
          </w:tcPr>
          <w:p w14:paraId="0F8F24AB" w14:textId="305BED59" w:rsidR="007C5772" w:rsidRPr="00A0163E" w:rsidRDefault="007C5772" w:rsidP="00C24B58">
            <w:pPr>
              <w:spacing w:before="40" w:after="40" w:line="240" w:lineRule="auto"/>
              <w:rPr>
                <w:sz w:val="20"/>
              </w:rPr>
            </w:pPr>
            <w:r w:rsidRPr="00A0163E">
              <w:rPr>
                <w:sz w:val="20"/>
              </w:rPr>
              <w:t>Probability</w:t>
            </w:r>
          </w:p>
        </w:tc>
        <w:tc>
          <w:tcPr>
            <w:tcW w:w="1260" w:type="dxa"/>
          </w:tcPr>
          <w:p w14:paraId="017E64C1" w14:textId="5C2BE65C"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68EBEF2B" w14:textId="775BDF56" w:rsidR="007C5772" w:rsidRPr="00A0163E" w:rsidRDefault="007C5772" w:rsidP="00EE1E85">
            <w:pPr>
              <w:spacing w:before="40" w:after="40" w:line="240" w:lineRule="auto"/>
              <w:rPr>
                <w:b/>
                <w:sz w:val="20"/>
              </w:rPr>
            </w:pPr>
            <w:r w:rsidRPr="00A0163E">
              <w:rPr>
                <w:sz w:val="20"/>
              </w:rPr>
              <w:t xml:space="preserve">Select the </w:t>
            </w:r>
            <w:r w:rsidRPr="00A0163E">
              <w:rPr>
                <w:b/>
                <w:sz w:val="20"/>
              </w:rPr>
              <w:t>Probability Type</w:t>
            </w:r>
            <w:r w:rsidRPr="00A0163E">
              <w:rPr>
                <w:sz w:val="20"/>
              </w:rPr>
              <w:t xml:space="preserve">, </w:t>
            </w:r>
            <w:r w:rsidRPr="00A0163E">
              <w:rPr>
                <w:b/>
                <w:sz w:val="20"/>
              </w:rPr>
              <w:t>Stand Off Range Type</w:t>
            </w:r>
            <w:r w:rsidRPr="00A0163E">
              <w:rPr>
                <w:sz w:val="20"/>
              </w:rPr>
              <w:t xml:space="preserve">, and enter a </w:t>
            </w:r>
            <w:r w:rsidRPr="00A0163E">
              <w:rPr>
                <w:b/>
                <w:sz w:val="20"/>
              </w:rPr>
              <w:t>Low Value</w:t>
            </w:r>
            <w:r w:rsidRPr="00A0163E">
              <w:rPr>
                <w:sz w:val="20"/>
              </w:rPr>
              <w:t xml:space="preserve"> and </w:t>
            </w:r>
            <w:r w:rsidRPr="00A0163E">
              <w:rPr>
                <w:b/>
                <w:sz w:val="20"/>
              </w:rPr>
              <w:t>High Value</w:t>
            </w:r>
            <w:r w:rsidRPr="00A0163E">
              <w:rPr>
                <w:sz w:val="20"/>
              </w:rPr>
              <w:t>.</w:t>
            </w:r>
          </w:p>
        </w:tc>
      </w:tr>
      <w:tr w:rsidR="00412234" w:rsidRPr="00C24B58" w14:paraId="3FD480C0" w14:textId="77777777" w:rsidTr="00A0163E">
        <w:trPr>
          <w:cantSplit/>
          <w:jc w:val="center"/>
        </w:trPr>
        <w:tc>
          <w:tcPr>
            <w:tcW w:w="1890" w:type="dxa"/>
          </w:tcPr>
          <w:p w14:paraId="50AF907B" w14:textId="77777777" w:rsidR="007C5772" w:rsidRPr="00A0163E" w:rsidRDefault="007C5772" w:rsidP="00EE1E85">
            <w:pPr>
              <w:spacing w:before="40" w:after="40" w:line="240" w:lineRule="auto"/>
              <w:rPr>
                <w:sz w:val="20"/>
              </w:rPr>
            </w:pPr>
          </w:p>
        </w:tc>
        <w:tc>
          <w:tcPr>
            <w:tcW w:w="1260" w:type="dxa"/>
          </w:tcPr>
          <w:p w14:paraId="7A46ACAD" w14:textId="77777777" w:rsidR="007C5772" w:rsidRPr="00A0163E" w:rsidRDefault="007C5772" w:rsidP="00EE1E85">
            <w:pPr>
              <w:spacing w:before="40" w:after="40" w:line="240" w:lineRule="auto"/>
              <w:rPr>
                <w:sz w:val="20"/>
              </w:rPr>
            </w:pPr>
          </w:p>
        </w:tc>
        <w:tc>
          <w:tcPr>
            <w:tcW w:w="9900" w:type="dxa"/>
          </w:tcPr>
          <w:p w14:paraId="045B5B91" w14:textId="565C0CA2" w:rsidR="007C5772" w:rsidRPr="00A0163E" w:rsidRDefault="007C5772" w:rsidP="00EE1E85">
            <w:pPr>
              <w:spacing w:before="40" w:after="40" w:line="240" w:lineRule="auto"/>
              <w:rPr>
                <w:sz w:val="20"/>
              </w:rPr>
            </w:pPr>
            <w:r w:rsidRPr="00A0163E">
              <w:rPr>
                <w:b/>
                <w:sz w:val="20"/>
              </w:rPr>
              <w:t>Probability of Arrival:</w:t>
            </w:r>
            <w:r w:rsidRPr="00A0163E">
              <w:rPr>
                <w:b/>
                <w:sz w:val="20"/>
              </w:rPr>
              <w:br/>
              <w:t>Definition:</w:t>
            </w:r>
            <w:r w:rsidRPr="00A0163E">
              <w:rPr>
                <w:sz w:val="20"/>
              </w:rPr>
              <w:t xml:space="preserve"> Estimate of the [high/low] value probability that the missile reaches its intended target when launched during the [day/night] from the [MAXSOR/MINSOR/PSOR]. It is computed by TPS analysis routines and accounts for probabilities of hardware failure, navigation update (under [day/night] conditions), clobber, and penetrating enemy defenses.</w:t>
            </w:r>
            <w:r w:rsidRPr="00A0163E">
              <w:rPr>
                <w:b/>
                <w:sz w:val="20"/>
              </w:rPr>
              <w:t xml:space="preserve"> </w:t>
            </w:r>
            <w:r w:rsidRPr="00A0163E">
              <w:rPr>
                <w:b/>
                <w:sz w:val="20"/>
              </w:rPr>
              <w:br/>
              <w:t>Query:</w:t>
            </w:r>
            <w:r w:rsidRPr="00A0163E">
              <w:rPr>
                <w:sz w:val="20"/>
              </w:rPr>
              <w:t xml:space="preserve"> Searches for missions in which the [MAXSOR/MINSOR/PSOR] [high/low] Probability of Arrival during the [day/night] falls within the low value and high value entered. Affected by the floating-point number query limitation (see Note at the beginning of this Appendix).</w:t>
            </w:r>
          </w:p>
        </w:tc>
      </w:tr>
      <w:tr w:rsidR="00412234" w:rsidRPr="00C24B58" w14:paraId="29407840" w14:textId="77777777" w:rsidTr="00A0163E">
        <w:trPr>
          <w:cantSplit/>
          <w:jc w:val="center"/>
        </w:trPr>
        <w:tc>
          <w:tcPr>
            <w:tcW w:w="1890" w:type="dxa"/>
          </w:tcPr>
          <w:p w14:paraId="0BAB019F" w14:textId="77777777" w:rsidR="007C5772" w:rsidRPr="00A0163E" w:rsidRDefault="007C5772" w:rsidP="00EE1E85">
            <w:pPr>
              <w:spacing w:before="40" w:after="40" w:line="240" w:lineRule="auto"/>
              <w:rPr>
                <w:sz w:val="20"/>
              </w:rPr>
            </w:pPr>
          </w:p>
        </w:tc>
        <w:tc>
          <w:tcPr>
            <w:tcW w:w="1260" w:type="dxa"/>
          </w:tcPr>
          <w:p w14:paraId="3A69F878" w14:textId="77777777" w:rsidR="007C5772" w:rsidRPr="00A0163E" w:rsidRDefault="007C5772" w:rsidP="00EE1E85">
            <w:pPr>
              <w:spacing w:before="40" w:after="40" w:line="240" w:lineRule="auto"/>
              <w:rPr>
                <w:sz w:val="20"/>
              </w:rPr>
            </w:pPr>
          </w:p>
        </w:tc>
        <w:tc>
          <w:tcPr>
            <w:tcW w:w="9900" w:type="dxa"/>
          </w:tcPr>
          <w:p w14:paraId="0E6DE6EB" w14:textId="2951EF8A" w:rsidR="007C5772" w:rsidRPr="00A0163E" w:rsidRDefault="007C5772" w:rsidP="00EE1E85">
            <w:pPr>
              <w:spacing w:before="40" w:after="40" w:line="240" w:lineRule="auto"/>
              <w:rPr>
                <w:b/>
                <w:sz w:val="20"/>
              </w:rPr>
            </w:pPr>
            <w:r w:rsidRPr="00A0163E">
              <w:rPr>
                <w:b/>
                <w:sz w:val="20"/>
              </w:rPr>
              <w:t>Probability to Penetrate:</w:t>
            </w:r>
            <w:r w:rsidRPr="00A0163E">
              <w:rPr>
                <w:b/>
                <w:sz w:val="20"/>
              </w:rPr>
              <w:br/>
              <w:t>Definition:</w:t>
            </w:r>
            <w:r w:rsidRPr="00A0163E">
              <w:rPr>
                <w:sz w:val="20"/>
              </w:rPr>
              <w:t xml:space="preserve"> TPS-estimated probability that a single missile is able to reach its target in spite of the effects of enemy defenses, under conditions most favorable for penetration when launched from [MAXSOR/MINSOR/PSOR]. </w:t>
            </w:r>
            <w:r w:rsidRPr="00A0163E">
              <w:rPr>
                <w:spacing w:val="-4"/>
                <w:sz w:val="20"/>
              </w:rPr>
              <w:t xml:space="preserve">Each mission is considered in isolation. </w:t>
            </w:r>
            <w:r w:rsidRPr="00A0163E">
              <w:rPr>
                <w:b/>
                <w:spacing w:val="-4"/>
                <w:sz w:val="20"/>
              </w:rPr>
              <w:t>Probability to Penetrate High</w:t>
            </w:r>
            <w:r w:rsidRPr="00A0163E">
              <w:rPr>
                <w:spacing w:val="-4"/>
                <w:sz w:val="20"/>
              </w:rPr>
              <w:t xml:space="preserve"> reflects the most favorable conditions; </w:t>
            </w:r>
            <w:r w:rsidRPr="00A0163E">
              <w:rPr>
                <w:b/>
                <w:spacing w:val="-4"/>
                <w:sz w:val="20"/>
              </w:rPr>
              <w:t>Probability to Penetrate Low</w:t>
            </w:r>
            <w:r w:rsidRPr="00A0163E">
              <w:rPr>
                <w:spacing w:val="-4"/>
                <w:sz w:val="20"/>
              </w:rPr>
              <w:t xml:space="preserve"> reflects the least favorable conditions.</w:t>
            </w:r>
            <w:r w:rsidRPr="00A0163E">
              <w:rPr>
                <w:spacing w:val="-4"/>
                <w:sz w:val="20"/>
              </w:rPr>
              <w:br/>
            </w:r>
            <w:r w:rsidRPr="00A0163E">
              <w:rPr>
                <w:b/>
                <w:sz w:val="20"/>
              </w:rPr>
              <w:t>Query:</w:t>
            </w:r>
            <w:r w:rsidRPr="00A0163E">
              <w:rPr>
                <w:sz w:val="20"/>
              </w:rPr>
              <w:t xml:space="preserve"> Searches for missions in which the [high/low] value Probability to Penetrate falls within the low value and high value entered. Affected by the floating-point number query limitation (see Note at the beginning of this Appendix).</w:t>
            </w:r>
          </w:p>
        </w:tc>
      </w:tr>
      <w:tr w:rsidR="00412234" w:rsidRPr="00C24B58" w14:paraId="4D17AE84" w14:textId="77777777" w:rsidTr="00A0163E">
        <w:trPr>
          <w:cantSplit/>
          <w:jc w:val="center"/>
        </w:trPr>
        <w:tc>
          <w:tcPr>
            <w:tcW w:w="1890" w:type="dxa"/>
          </w:tcPr>
          <w:p w14:paraId="60171AA5" w14:textId="77777777" w:rsidR="007C5772" w:rsidRPr="00A0163E" w:rsidRDefault="007C5772" w:rsidP="00EE1E85">
            <w:pPr>
              <w:spacing w:before="40" w:after="40" w:line="240" w:lineRule="auto"/>
              <w:rPr>
                <w:sz w:val="20"/>
              </w:rPr>
            </w:pPr>
          </w:p>
        </w:tc>
        <w:tc>
          <w:tcPr>
            <w:tcW w:w="1260" w:type="dxa"/>
          </w:tcPr>
          <w:p w14:paraId="71662433" w14:textId="77777777" w:rsidR="007C5772" w:rsidRPr="00A0163E" w:rsidRDefault="007C5772" w:rsidP="00EE1E85">
            <w:pPr>
              <w:spacing w:before="40" w:after="40" w:line="240" w:lineRule="auto"/>
              <w:rPr>
                <w:sz w:val="20"/>
              </w:rPr>
            </w:pPr>
          </w:p>
        </w:tc>
        <w:tc>
          <w:tcPr>
            <w:tcW w:w="9900" w:type="dxa"/>
          </w:tcPr>
          <w:p w14:paraId="7687A6D2" w14:textId="208ECAE8" w:rsidR="007C5772" w:rsidRPr="00A0163E" w:rsidRDefault="007C5772" w:rsidP="00EE1E85">
            <w:pPr>
              <w:spacing w:before="40" w:after="40" w:line="240" w:lineRule="auto"/>
              <w:rPr>
                <w:b/>
                <w:sz w:val="20"/>
              </w:rPr>
            </w:pPr>
            <w:r w:rsidRPr="00A0163E">
              <w:rPr>
                <w:b/>
                <w:sz w:val="20"/>
              </w:rPr>
              <w:t>Probability of Update:</w:t>
            </w:r>
            <w:r w:rsidRPr="00A0163E">
              <w:rPr>
                <w:b/>
                <w:sz w:val="20"/>
              </w:rPr>
              <w:br/>
              <w:t>Definition:</w:t>
            </w:r>
            <w:r w:rsidRPr="00A0163E">
              <w:rPr>
                <w:sz w:val="20"/>
              </w:rPr>
              <w:t xml:space="preserve"> TPS-estimated probability that the missile successfully completes its TERCOM and DSMAC map updates under [day/night] conditions from [MAXSOR/MINSOR/PSOR]. </w:t>
            </w:r>
            <w:r w:rsidRPr="00A0163E">
              <w:rPr>
                <w:sz w:val="20"/>
              </w:rPr>
              <w:br/>
            </w:r>
            <w:r w:rsidRPr="00A0163E">
              <w:rPr>
                <w:b/>
                <w:sz w:val="20"/>
              </w:rPr>
              <w:t>Query:</w:t>
            </w:r>
            <w:r w:rsidRPr="00A0163E">
              <w:rPr>
                <w:sz w:val="20"/>
              </w:rPr>
              <w:t xml:space="preserve"> Searches for missions in which the [MAXSOR/MINSOR/PSOR] [day/night] Probability of Update falls within the low value and high value entered. Affected by the floating-point number query limitation (see Note at the beginning of this Appendix).</w:t>
            </w:r>
          </w:p>
        </w:tc>
      </w:tr>
      <w:tr w:rsidR="00412234" w:rsidRPr="00C24B58" w14:paraId="1437575D" w14:textId="77777777" w:rsidTr="00A0163E">
        <w:trPr>
          <w:cantSplit/>
          <w:jc w:val="center"/>
        </w:trPr>
        <w:tc>
          <w:tcPr>
            <w:tcW w:w="1890" w:type="dxa"/>
          </w:tcPr>
          <w:p w14:paraId="209474F7" w14:textId="77777777" w:rsidR="007C5772" w:rsidRPr="00A0163E" w:rsidRDefault="007C5772" w:rsidP="00EE1E85">
            <w:pPr>
              <w:spacing w:before="40" w:after="40" w:line="240" w:lineRule="auto"/>
              <w:rPr>
                <w:sz w:val="20"/>
              </w:rPr>
            </w:pPr>
          </w:p>
        </w:tc>
        <w:tc>
          <w:tcPr>
            <w:tcW w:w="1260" w:type="dxa"/>
          </w:tcPr>
          <w:p w14:paraId="7A57DC07" w14:textId="77777777" w:rsidR="007C5772" w:rsidRPr="00A0163E" w:rsidRDefault="007C5772" w:rsidP="00EE1E85">
            <w:pPr>
              <w:spacing w:before="40" w:after="40" w:line="240" w:lineRule="auto"/>
              <w:rPr>
                <w:sz w:val="20"/>
              </w:rPr>
            </w:pPr>
          </w:p>
        </w:tc>
        <w:tc>
          <w:tcPr>
            <w:tcW w:w="9900" w:type="dxa"/>
          </w:tcPr>
          <w:p w14:paraId="17A0F082" w14:textId="2A1F3DBD" w:rsidR="007C5772" w:rsidRPr="00A0163E" w:rsidRDefault="007C5772" w:rsidP="00EE1E85">
            <w:pPr>
              <w:spacing w:before="40" w:after="40" w:line="240" w:lineRule="auto"/>
              <w:rPr>
                <w:b/>
                <w:sz w:val="20"/>
              </w:rPr>
            </w:pPr>
            <w:r w:rsidRPr="00A0163E">
              <w:rPr>
                <w:b/>
                <w:sz w:val="20"/>
              </w:rPr>
              <w:t>Probability of Clobber:</w:t>
            </w:r>
            <w:r w:rsidRPr="00A0163E">
              <w:rPr>
                <w:b/>
                <w:sz w:val="20"/>
              </w:rPr>
              <w:br/>
              <w:t>Definition:</w:t>
            </w:r>
            <w:r w:rsidRPr="00A0163E">
              <w:rPr>
                <w:sz w:val="20"/>
              </w:rPr>
              <w:t xml:space="preserve"> TPS-estimated probability that the missile has an unscheduled impact prior to reaching its target when launched from [MAXSOR/MINSOR/PSOR]. </w:t>
            </w:r>
            <w:r w:rsidRPr="00A0163E">
              <w:rPr>
                <w:sz w:val="20"/>
              </w:rPr>
              <w:br/>
            </w:r>
            <w:r w:rsidRPr="00A0163E">
              <w:rPr>
                <w:b/>
                <w:sz w:val="20"/>
              </w:rPr>
              <w:t>Query:</w:t>
            </w:r>
            <w:r w:rsidRPr="00A0163E">
              <w:rPr>
                <w:sz w:val="20"/>
              </w:rPr>
              <w:t xml:space="preserve"> Searches for missions in which the [MAXSOR/MINSOR/PSOR] Probability of Clobber falls within the low value and high value entered. Affected by the floating-point number query limitation (see Note at the beginning of this Appendix).</w:t>
            </w:r>
          </w:p>
        </w:tc>
      </w:tr>
      <w:tr w:rsidR="00412234" w:rsidRPr="00C24B58" w14:paraId="41C93B71" w14:textId="77777777" w:rsidTr="00A0163E">
        <w:trPr>
          <w:cantSplit/>
          <w:jc w:val="center"/>
        </w:trPr>
        <w:tc>
          <w:tcPr>
            <w:tcW w:w="1890" w:type="dxa"/>
          </w:tcPr>
          <w:p w14:paraId="195D34D1" w14:textId="5FFA2BF9" w:rsidR="007C5772" w:rsidRPr="00A0163E" w:rsidRDefault="007C5772" w:rsidP="00C24B58">
            <w:pPr>
              <w:spacing w:before="40" w:after="40" w:line="240" w:lineRule="auto"/>
              <w:rPr>
                <w:sz w:val="20"/>
              </w:rPr>
            </w:pPr>
            <w:r w:rsidRPr="00A0163E">
              <w:rPr>
                <w:sz w:val="20"/>
              </w:rPr>
              <w:t>Range Error</w:t>
            </w:r>
          </w:p>
        </w:tc>
        <w:tc>
          <w:tcPr>
            <w:tcW w:w="1260" w:type="dxa"/>
          </w:tcPr>
          <w:p w14:paraId="27BFF8B0" w14:textId="0065D125"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6640A2D0"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accumulated value (in feet) of down-range navigational error throughout the missile route.</w:t>
            </w:r>
          </w:p>
          <w:p w14:paraId="0AB44BB6" w14:textId="58B2E82B"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in which the Range Error falls within the low value and high value entered. Affected by the floating-point number query limitation (see Note at the beginning of this Appendix).</w:t>
            </w:r>
          </w:p>
        </w:tc>
      </w:tr>
      <w:tr w:rsidR="00412234" w:rsidRPr="00C24B58" w14:paraId="54375202" w14:textId="77777777" w:rsidTr="00A0163E">
        <w:trPr>
          <w:cantSplit/>
          <w:jc w:val="center"/>
        </w:trPr>
        <w:tc>
          <w:tcPr>
            <w:tcW w:w="1890" w:type="dxa"/>
          </w:tcPr>
          <w:p w14:paraId="522190F6" w14:textId="6951F249" w:rsidR="007C5772" w:rsidRPr="00A0163E" w:rsidRDefault="007C5772" w:rsidP="00EE1E85">
            <w:pPr>
              <w:spacing w:before="40" w:after="40" w:line="240" w:lineRule="auto"/>
              <w:rPr>
                <w:sz w:val="20"/>
              </w:rPr>
            </w:pPr>
            <w:r w:rsidRPr="00A0163E">
              <w:rPr>
                <w:sz w:val="20"/>
              </w:rPr>
              <w:t>Range Flown (FPPWP)</w:t>
            </w:r>
          </w:p>
        </w:tc>
        <w:tc>
          <w:tcPr>
            <w:tcW w:w="1260" w:type="dxa"/>
          </w:tcPr>
          <w:p w14:paraId="6CC2FF69" w14:textId="7C2C73FD"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48166B18"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length (in nautical miles) of the missile's flight from the FPPWP to the 109C or 109E aimpoint, or 109D target definition waypoint.</w:t>
            </w:r>
          </w:p>
          <w:p w14:paraId="0FCD5B61" w14:textId="1F176591"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in which the Range Flown from FPPWP falls within the low value and high value entered. Affected by the floating-point number query limitation (see Note at the beginning of this Appendix).</w:t>
            </w:r>
          </w:p>
        </w:tc>
      </w:tr>
      <w:tr w:rsidR="00412234" w:rsidRPr="00C24B58" w14:paraId="10DE599C" w14:textId="77777777" w:rsidTr="00A0163E">
        <w:trPr>
          <w:cantSplit/>
          <w:jc w:val="center"/>
        </w:trPr>
        <w:tc>
          <w:tcPr>
            <w:tcW w:w="1890" w:type="dxa"/>
          </w:tcPr>
          <w:p w14:paraId="2F4F0CF8" w14:textId="3D206361" w:rsidR="007C5772" w:rsidRPr="00A0163E" w:rsidRDefault="007C5772" w:rsidP="00EE1E85">
            <w:pPr>
              <w:spacing w:before="40" w:after="40" w:line="240" w:lineRule="auto"/>
              <w:rPr>
                <w:sz w:val="20"/>
              </w:rPr>
            </w:pPr>
            <w:r w:rsidRPr="00A0163E">
              <w:rPr>
                <w:sz w:val="20"/>
              </w:rPr>
              <w:t>Ref Graphic Coords</w:t>
            </w:r>
          </w:p>
        </w:tc>
        <w:tc>
          <w:tcPr>
            <w:tcW w:w="1260" w:type="dxa"/>
          </w:tcPr>
          <w:p w14:paraId="06B1426A" w14:textId="3A106BBC"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4E52D9BB"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Identifies the X-Y coordinates of the target definition waypoint for the 109D or the aimpoint for 109C and 109E on the standard reference graphic containing the target segment.</w:t>
            </w:r>
          </w:p>
          <w:p w14:paraId="594D9873" w14:textId="5B77A94F"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contain the search string anywhere within the target std Ref Graphic Coordinates (wildcard allowed).</w:t>
            </w:r>
          </w:p>
        </w:tc>
      </w:tr>
      <w:tr w:rsidR="00412234" w:rsidRPr="00C24B58" w14:paraId="64B99631" w14:textId="77777777" w:rsidTr="00A0163E">
        <w:trPr>
          <w:cantSplit/>
          <w:jc w:val="center"/>
        </w:trPr>
        <w:tc>
          <w:tcPr>
            <w:tcW w:w="1890" w:type="dxa"/>
          </w:tcPr>
          <w:p w14:paraId="0C69D6E5" w14:textId="3EC3CE49" w:rsidR="007C5772" w:rsidRPr="00A0163E" w:rsidRDefault="007C5772" w:rsidP="00EE1E85">
            <w:pPr>
              <w:spacing w:before="40" w:after="40" w:line="240" w:lineRule="auto"/>
              <w:rPr>
                <w:sz w:val="20"/>
              </w:rPr>
            </w:pPr>
            <w:r w:rsidRPr="00A0163E">
              <w:rPr>
                <w:sz w:val="20"/>
              </w:rPr>
              <w:t>Run in Heading</w:t>
            </w:r>
          </w:p>
        </w:tc>
        <w:tc>
          <w:tcPr>
            <w:tcW w:w="1260" w:type="dxa"/>
          </w:tcPr>
          <w:p w14:paraId="5365BBC6" w14:textId="6DB1EBD8"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12653616"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final direction of the missile flight (in degrees true North) into a 109C target or the direction of flight over a 109D/109E target segment.</w:t>
            </w:r>
          </w:p>
          <w:p w14:paraId="00E177B2" w14:textId="4FD89467"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in which the run-in falls within the low value and high value entered. Affected by the floating-point number query limitation (see Note at the beginning of this Appendix).</w:t>
            </w:r>
          </w:p>
        </w:tc>
      </w:tr>
      <w:tr w:rsidR="00412234" w:rsidRPr="00C24B58" w14:paraId="157143D7" w14:textId="77777777" w:rsidTr="00A0163E">
        <w:trPr>
          <w:cantSplit/>
          <w:jc w:val="center"/>
        </w:trPr>
        <w:tc>
          <w:tcPr>
            <w:tcW w:w="1890" w:type="dxa"/>
          </w:tcPr>
          <w:p w14:paraId="00825A06" w14:textId="35444BF3" w:rsidR="007C5772" w:rsidRPr="00A0163E" w:rsidRDefault="007C5772" w:rsidP="00EE1E85">
            <w:pPr>
              <w:spacing w:before="40" w:after="40" w:line="240" w:lineRule="auto"/>
              <w:rPr>
                <w:sz w:val="20"/>
              </w:rPr>
            </w:pPr>
            <w:r w:rsidRPr="00A0163E">
              <w:rPr>
                <w:sz w:val="20"/>
              </w:rPr>
              <w:t>Run-In Altitude</w:t>
            </w:r>
          </w:p>
        </w:tc>
        <w:tc>
          <w:tcPr>
            <w:tcW w:w="1260" w:type="dxa"/>
          </w:tcPr>
          <w:p w14:paraId="23C43D92" w14:textId="2C348ACF"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2D9919DC"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altitude (in feet MSL) for a TLAM prior to the terminal maneuver.</w:t>
            </w:r>
          </w:p>
          <w:p w14:paraId="3A7AD605" w14:textId="6581C68A"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in which the Run-In Altitude falls within the low value and high value entered. Affected by the floating-point number query limitation (see Note at the beginning of this Appendix).</w:t>
            </w:r>
          </w:p>
        </w:tc>
      </w:tr>
      <w:tr w:rsidR="00412234" w:rsidRPr="00C24B58" w14:paraId="4BF9D38B" w14:textId="77777777" w:rsidTr="00A0163E">
        <w:trPr>
          <w:cantSplit/>
          <w:jc w:val="center"/>
        </w:trPr>
        <w:tc>
          <w:tcPr>
            <w:tcW w:w="1890" w:type="dxa"/>
          </w:tcPr>
          <w:p w14:paraId="22F0683B" w14:textId="4A354FDD" w:rsidR="007C5772" w:rsidRPr="00A0163E" w:rsidRDefault="007C5772" w:rsidP="00C24B58">
            <w:pPr>
              <w:spacing w:before="40" w:after="40" w:line="240" w:lineRule="auto"/>
              <w:rPr>
                <w:sz w:val="20"/>
              </w:rPr>
            </w:pPr>
            <w:r w:rsidRPr="00A0163E">
              <w:rPr>
                <w:sz w:val="20"/>
              </w:rPr>
              <w:lastRenderedPageBreak/>
              <w:t>SSPD</w:t>
            </w:r>
          </w:p>
        </w:tc>
        <w:tc>
          <w:tcPr>
            <w:tcW w:w="1260" w:type="dxa"/>
          </w:tcPr>
          <w:p w14:paraId="7BDB69C2" w14:textId="18CE1507"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6102377A"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For 109C and 109E missions, this refers to the SSPD or SSFD. This is defined as the computed estimate of the probability that the target will be damaged to a specific level, or that an estimated fraction of the target will be damaged to a specific level. For 109D missions, this refers to the Object Fractional Damage. It is defined as the predicted probability of damage (or fractional coverage) for the target object.</w:t>
            </w:r>
          </w:p>
          <w:p w14:paraId="2B753EE0" w14:textId="2D1729F9"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in which the SSPD falls within the low value and high value entered. Affected by the floating-point number query limitation (see Note at the beginning of this Appendix).</w:t>
            </w:r>
          </w:p>
        </w:tc>
      </w:tr>
      <w:tr w:rsidR="00412234" w:rsidRPr="00C24B58" w14:paraId="545A8E66" w14:textId="77777777" w:rsidTr="00A0163E">
        <w:trPr>
          <w:cantSplit/>
          <w:jc w:val="center"/>
        </w:trPr>
        <w:tc>
          <w:tcPr>
            <w:tcW w:w="1890" w:type="dxa"/>
          </w:tcPr>
          <w:p w14:paraId="3BFE7845" w14:textId="3115D30B" w:rsidR="007C5772" w:rsidRPr="00A0163E" w:rsidRDefault="007C5772" w:rsidP="00EE1E85">
            <w:pPr>
              <w:spacing w:before="40" w:after="40" w:line="240" w:lineRule="auto"/>
              <w:rPr>
                <w:sz w:val="20"/>
              </w:rPr>
            </w:pPr>
            <w:r w:rsidRPr="00A0163E">
              <w:rPr>
                <w:sz w:val="20"/>
              </w:rPr>
              <w:t>Target Factors</w:t>
            </w:r>
          </w:p>
        </w:tc>
        <w:tc>
          <w:tcPr>
            <w:tcW w:w="1260" w:type="dxa"/>
          </w:tcPr>
          <w:p w14:paraId="2C58C11D" w14:textId="446DB40C"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63D516D6"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Notes about the target in a particular mission. Standard items include a description of the specific target objects or a general statement of expected results of a successful mission.</w:t>
            </w:r>
          </w:p>
          <w:p w14:paraId="63F54B67" w14:textId="00DA0070"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contain the search string anywhere within the Target Factors (wildcard allowed).</w:t>
            </w:r>
          </w:p>
        </w:tc>
      </w:tr>
      <w:tr w:rsidR="00412234" w:rsidRPr="00C24B58" w14:paraId="3CCBAF1D" w14:textId="77777777" w:rsidTr="00A0163E">
        <w:trPr>
          <w:cantSplit/>
          <w:jc w:val="center"/>
        </w:trPr>
        <w:tc>
          <w:tcPr>
            <w:tcW w:w="1890" w:type="dxa"/>
          </w:tcPr>
          <w:p w14:paraId="5BAF583F" w14:textId="6D09B6C3" w:rsidR="007C5772" w:rsidRPr="00A0163E" w:rsidRDefault="007C5772" w:rsidP="00EE1E85">
            <w:pPr>
              <w:spacing w:before="40" w:after="40" w:line="240" w:lineRule="auto"/>
              <w:rPr>
                <w:sz w:val="20"/>
              </w:rPr>
            </w:pPr>
            <w:r w:rsidRPr="00A0163E">
              <w:rPr>
                <w:sz w:val="20"/>
              </w:rPr>
              <w:t>Target Location</w:t>
            </w:r>
          </w:p>
        </w:tc>
        <w:tc>
          <w:tcPr>
            <w:tcW w:w="1260" w:type="dxa"/>
          </w:tcPr>
          <w:p w14:paraId="70D95F6C" w14:textId="7804646A"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4492DECE"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latitude/longitude coordinate associated with the geodetic point for the target waypoint, which equates to the aimpoint for 109C or 109E, or target definition waypoint for 109D.</w:t>
            </w:r>
          </w:p>
          <w:p w14:paraId="5E2E99B5" w14:textId="517A6F02"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in which the Target Location falls within the latitude/longitude values entered (or selected from the map). For missions with multiple target segments, any one of the target segments can generate a successful search. Affected by the floating-point number query limitation (see Note at the beginning of this Appendix).</w:t>
            </w:r>
          </w:p>
        </w:tc>
      </w:tr>
      <w:tr w:rsidR="00412234" w:rsidRPr="00C24B58" w14:paraId="3150FFBA" w14:textId="77777777" w:rsidTr="00A0163E">
        <w:trPr>
          <w:cantSplit/>
          <w:jc w:val="center"/>
        </w:trPr>
        <w:tc>
          <w:tcPr>
            <w:tcW w:w="1890" w:type="dxa"/>
          </w:tcPr>
          <w:p w14:paraId="6A6A9B60" w14:textId="36EFBAB1" w:rsidR="007C5772" w:rsidRPr="00A0163E" w:rsidRDefault="00E75AC3" w:rsidP="00EE1E85">
            <w:pPr>
              <w:spacing w:before="40" w:after="40" w:line="240" w:lineRule="auto"/>
              <w:rPr>
                <w:sz w:val="20"/>
              </w:rPr>
            </w:pPr>
            <w:r w:rsidRPr="00A0163E">
              <w:rPr>
                <w:sz w:val="20"/>
              </w:rPr>
              <w:t>TAWS</w:t>
            </w:r>
            <w:r w:rsidR="007C5772" w:rsidRPr="00A0163E">
              <w:rPr>
                <w:sz w:val="20"/>
              </w:rPr>
              <w:t xml:space="preserve"> ID</w:t>
            </w:r>
          </w:p>
        </w:tc>
        <w:tc>
          <w:tcPr>
            <w:tcW w:w="1260" w:type="dxa"/>
          </w:tcPr>
          <w:p w14:paraId="16D7A0D9" w14:textId="5C78ACE2"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075308AD" w14:textId="25D9DCDD" w:rsidR="007C5772" w:rsidRPr="00A0163E" w:rsidRDefault="007C5772" w:rsidP="00EE1E85">
            <w:pPr>
              <w:spacing w:before="40" w:after="40" w:line="240" w:lineRule="auto"/>
              <w:rPr>
                <w:sz w:val="20"/>
              </w:rPr>
            </w:pPr>
            <w:r w:rsidRPr="00A0163E">
              <w:rPr>
                <w:b/>
                <w:sz w:val="20"/>
              </w:rPr>
              <w:t>Definition:</w:t>
            </w:r>
            <w:r w:rsidRPr="00A0163E">
              <w:rPr>
                <w:sz w:val="20"/>
              </w:rPr>
              <w:t xml:space="preserve"> Unique ID for the </w:t>
            </w:r>
            <w:r w:rsidR="00E75AC3" w:rsidRPr="00A0163E">
              <w:rPr>
                <w:sz w:val="20"/>
              </w:rPr>
              <w:t>TAWS</w:t>
            </w:r>
            <w:r w:rsidRPr="00A0163E">
              <w:rPr>
                <w:sz w:val="20"/>
              </w:rPr>
              <w:t>.</w:t>
            </w:r>
          </w:p>
          <w:p w14:paraId="694258AE" w14:textId="31FAC57B"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the missions that match the specified </w:t>
            </w:r>
            <w:r w:rsidR="00E75AC3" w:rsidRPr="00A0163E">
              <w:rPr>
                <w:sz w:val="20"/>
              </w:rPr>
              <w:t>TAWS</w:t>
            </w:r>
            <w:r w:rsidRPr="00A0163E">
              <w:rPr>
                <w:sz w:val="20"/>
              </w:rPr>
              <w:t xml:space="preserve"> ID (wildcard allowed).</w:t>
            </w:r>
          </w:p>
        </w:tc>
      </w:tr>
      <w:tr w:rsidR="00412234" w:rsidRPr="00C24B58" w14:paraId="6785945F" w14:textId="77777777" w:rsidTr="00A0163E">
        <w:trPr>
          <w:cantSplit/>
          <w:jc w:val="center"/>
        </w:trPr>
        <w:tc>
          <w:tcPr>
            <w:tcW w:w="1890" w:type="dxa"/>
          </w:tcPr>
          <w:p w14:paraId="353614A4" w14:textId="0A99E405" w:rsidR="007C5772" w:rsidRPr="00A0163E" w:rsidRDefault="007C5772" w:rsidP="00EE1E85">
            <w:pPr>
              <w:spacing w:before="40" w:after="40" w:line="240" w:lineRule="auto"/>
              <w:rPr>
                <w:sz w:val="20"/>
              </w:rPr>
            </w:pPr>
            <w:r w:rsidRPr="00A0163E">
              <w:rPr>
                <w:sz w:val="20"/>
              </w:rPr>
              <w:t>Terminal Maneuver</w:t>
            </w:r>
          </w:p>
        </w:tc>
        <w:tc>
          <w:tcPr>
            <w:tcW w:w="1260" w:type="dxa"/>
          </w:tcPr>
          <w:p w14:paraId="76C29D42" w14:textId="2369F324" w:rsidR="007C5772" w:rsidRPr="00A0163E" w:rsidRDefault="007C5772" w:rsidP="00EE1E85">
            <w:pPr>
              <w:spacing w:before="40" w:after="40" w:line="240" w:lineRule="auto"/>
              <w:rPr>
                <w:sz w:val="20"/>
              </w:rPr>
            </w:pPr>
            <w:r w:rsidRPr="00A0163E">
              <w:rPr>
                <w:sz w:val="20"/>
              </w:rPr>
              <w:t>109C</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17673985"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specific attack maneuver defined for the primary route. Valid maneuvers are </w:t>
            </w:r>
            <w:r w:rsidRPr="00A0163E">
              <w:rPr>
                <w:b/>
                <w:sz w:val="20"/>
              </w:rPr>
              <w:t xml:space="preserve">HAM </w:t>
            </w:r>
            <w:r w:rsidRPr="00A0163E">
              <w:rPr>
                <w:sz w:val="20"/>
              </w:rPr>
              <w:t xml:space="preserve">(Horizontal flight into the target), </w:t>
            </w:r>
            <w:r w:rsidRPr="00A0163E">
              <w:rPr>
                <w:b/>
                <w:sz w:val="20"/>
              </w:rPr>
              <w:t>PWD</w:t>
            </w:r>
            <w:r w:rsidRPr="00A0163E">
              <w:rPr>
                <w:sz w:val="20"/>
              </w:rPr>
              <w:t xml:space="preserve"> (Horizontal flight over the target), </w:t>
            </w:r>
            <w:r w:rsidRPr="00A0163E">
              <w:rPr>
                <w:b/>
                <w:sz w:val="20"/>
              </w:rPr>
              <w:t>DSP</w:t>
            </w:r>
            <w:r w:rsidRPr="00A0163E">
              <w:rPr>
                <w:sz w:val="20"/>
              </w:rPr>
              <w:t xml:space="preserve">, </w:t>
            </w:r>
            <w:r w:rsidRPr="00A0163E">
              <w:rPr>
                <w:b/>
                <w:sz w:val="20"/>
              </w:rPr>
              <w:t>VDM</w:t>
            </w:r>
            <w:r w:rsidRPr="00A0163E">
              <w:rPr>
                <w:sz w:val="20"/>
              </w:rPr>
              <w:t xml:space="preserve"> for 109C missions, and </w:t>
            </w:r>
            <w:r w:rsidRPr="00A0163E">
              <w:rPr>
                <w:b/>
                <w:sz w:val="20"/>
              </w:rPr>
              <w:t>VDM</w:t>
            </w:r>
            <w:r w:rsidRPr="00A0163E">
              <w:rPr>
                <w:sz w:val="20"/>
              </w:rPr>
              <w:t xml:space="preserve"> for 109E missions.</w:t>
            </w:r>
          </w:p>
          <w:p w14:paraId="2317EA55" w14:textId="6E164ED9"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containing the selected Terminal Maneuver. </w:t>
            </w:r>
          </w:p>
        </w:tc>
      </w:tr>
      <w:tr w:rsidR="00412234" w:rsidRPr="00C24B58" w14:paraId="1A905736" w14:textId="77777777" w:rsidTr="00A0163E">
        <w:trPr>
          <w:cantSplit/>
          <w:jc w:val="center"/>
        </w:trPr>
        <w:tc>
          <w:tcPr>
            <w:tcW w:w="1890" w:type="dxa"/>
          </w:tcPr>
          <w:p w14:paraId="05C3AA52" w14:textId="2E6E7BAC" w:rsidR="007C5772" w:rsidRPr="00A0163E" w:rsidRDefault="007C5772" w:rsidP="00EE1E85">
            <w:pPr>
              <w:spacing w:before="40" w:after="40" w:line="240" w:lineRule="auto"/>
              <w:rPr>
                <w:sz w:val="20"/>
              </w:rPr>
            </w:pPr>
            <w:r w:rsidRPr="00A0163E">
              <w:rPr>
                <w:sz w:val="20"/>
              </w:rPr>
              <w:t>TTN</w:t>
            </w:r>
          </w:p>
        </w:tc>
        <w:tc>
          <w:tcPr>
            <w:tcW w:w="1260" w:type="dxa"/>
          </w:tcPr>
          <w:p w14:paraId="3E69AEDB" w14:textId="73450D61" w:rsidR="007C5772" w:rsidRPr="00A0163E" w:rsidRDefault="007C5772" w:rsidP="00EE1E85">
            <w:pPr>
              <w:spacing w:before="40" w:after="40" w:line="240" w:lineRule="auto"/>
              <w:rPr>
                <w:sz w:val="20"/>
              </w:rPr>
            </w:pPr>
            <w:r w:rsidRPr="00A0163E">
              <w:rPr>
                <w:sz w:val="20"/>
              </w:rPr>
              <w:t>109C</w:t>
            </w:r>
            <w:r w:rsidRPr="00A0163E">
              <w:rPr>
                <w:sz w:val="20"/>
              </w:rPr>
              <w:br/>
              <w:t>109D</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79BA3476"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A Target identifier format (Tactical Target Number). Valid format is 2-10 characters.</w:t>
            </w:r>
          </w:p>
          <w:p w14:paraId="7765E1B2" w14:textId="777B9A8F"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containing the specified TTN.</w:t>
            </w:r>
          </w:p>
        </w:tc>
      </w:tr>
      <w:tr w:rsidR="00412234" w:rsidRPr="00C24B58" w14:paraId="3856C525" w14:textId="77777777" w:rsidTr="00A0163E">
        <w:trPr>
          <w:cantSplit/>
          <w:jc w:val="center"/>
        </w:trPr>
        <w:tc>
          <w:tcPr>
            <w:tcW w:w="1890" w:type="dxa"/>
          </w:tcPr>
          <w:p w14:paraId="080A7964" w14:textId="73D5F3CE" w:rsidR="007C5772" w:rsidRPr="00A0163E" w:rsidRDefault="007C5772" w:rsidP="00EE1E85">
            <w:pPr>
              <w:spacing w:before="40" w:after="40" w:line="240" w:lineRule="auto"/>
              <w:rPr>
                <w:sz w:val="20"/>
              </w:rPr>
            </w:pPr>
            <w:r w:rsidRPr="00A0163E">
              <w:rPr>
                <w:sz w:val="20"/>
              </w:rPr>
              <w:t>VDM Angle</w:t>
            </w:r>
          </w:p>
        </w:tc>
        <w:tc>
          <w:tcPr>
            <w:tcW w:w="1260" w:type="dxa"/>
          </w:tcPr>
          <w:p w14:paraId="14DF9EF6" w14:textId="2756AA91" w:rsidR="007C5772" w:rsidRPr="00A0163E" w:rsidRDefault="007C5772" w:rsidP="00EE1E85">
            <w:pPr>
              <w:spacing w:before="40" w:after="40" w:line="240" w:lineRule="auto"/>
              <w:rPr>
                <w:sz w:val="20"/>
              </w:rPr>
            </w:pPr>
            <w:r w:rsidRPr="00A0163E">
              <w:rPr>
                <w:sz w:val="20"/>
              </w:rPr>
              <w:t>109C</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3247D443"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commanded angle (in degrees) of a Variable Dive Angle (VDA) Terminal Maneuver.</w:t>
            </w:r>
          </w:p>
          <w:p w14:paraId="61E20E98" w14:textId="08A6DE11"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in which the VDA Angle falls within the low value and high value entered. Affected by the floating-point number query limitation (see Note at the beginning of this Appendix).</w:t>
            </w:r>
          </w:p>
        </w:tc>
      </w:tr>
      <w:tr w:rsidR="00412234" w:rsidRPr="00C24B58" w14:paraId="71033A8F" w14:textId="77777777" w:rsidTr="00A0163E">
        <w:trPr>
          <w:cantSplit/>
          <w:jc w:val="center"/>
        </w:trPr>
        <w:tc>
          <w:tcPr>
            <w:tcW w:w="1890" w:type="dxa"/>
          </w:tcPr>
          <w:p w14:paraId="45F0CB70" w14:textId="23EA6AA6" w:rsidR="007C5772" w:rsidRPr="00A0163E" w:rsidRDefault="007C5772" w:rsidP="00EE1E85">
            <w:pPr>
              <w:spacing w:before="40" w:after="40" w:line="240" w:lineRule="auto"/>
              <w:rPr>
                <w:sz w:val="20"/>
              </w:rPr>
            </w:pPr>
            <w:r w:rsidRPr="00A0163E">
              <w:rPr>
                <w:sz w:val="20"/>
              </w:rPr>
              <w:t>WDCEP 50</w:t>
            </w:r>
          </w:p>
        </w:tc>
        <w:tc>
          <w:tcPr>
            <w:tcW w:w="1260" w:type="dxa"/>
          </w:tcPr>
          <w:p w14:paraId="41B96739" w14:textId="7ECE4200" w:rsidR="007C5772" w:rsidRPr="00A0163E" w:rsidRDefault="007C5772" w:rsidP="00EE1E85">
            <w:pPr>
              <w:spacing w:before="40" w:after="40" w:line="240" w:lineRule="auto"/>
              <w:rPr>
                <w:sz w:val="20"/>
              </w:rPr>
            </w:pPr>
            <w:r w:rsidRPr="00A0163E">
              <w:rPr>
                <w:sz w:val="20"/>
              </w:rPr>
              <w:t>109C</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55D2FD54"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calculated WDCEP value (in feet) of 50% for all planes.</w:t>
            </w:r>
          </w:p>
          <w:p w14:paraId="00B9BFE4" w14:textId="1A4D6BDD"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in which the WDCEP 50 falls within the low value and high value entered. Affected by the floating-point number query limitation (see Note at the beginning of this Appendix).</w:t>
            </w:r>
          </w:p>
        </w:tc>
      </w:tr>
      <w:tr w:rsidR="00412234" w:rsidRPr="00C24B58" w14:paraId="10CD7ED3" w14:textId="77777777" w:rsidTr="00A0163E">
        <w:trPr>
          <w:cantSplit/>
          <w:jc w:val="center"/>
        </w:trPr>
        <w:tc>
          <w:tcPr>
            <w:tcW w:w="1890" w:type="dxa"/>
          </w:tcPr>
          <w:p w14:paraId="7E7DAB34" w14:textId="368721DF" w:rsidR="007C5772" w:rsidRPr="00A0163E" w:rsidRDefault="007C5772" w:rsidP="00EE1E85">
            <w:pPr>
              <w:spacing w:before="40" w:after="40" w:line="240" w:lineRule="auto"/>
              <w:rPr>
                <w:sz w:val="20"/>
              </w:rPr>
            </w:pPr>
            <w:r w:rsidRPr="00A0163E">
              <w:rPr>
                <w:sz w:val="20"/>
              </w:rPr>
              <w:lastRenderedPageBreak/>
              <w:t>WDCEP 90</w:t>
            </w:r>
          </w:p>
        </w:tc>
        <w:tc>
          <w:tcPr>
            <w:tcW w:w="1260" w:type="dxa"/>
          </w:tcPr>
          <w:p w14:paraId="361DF003" w14:textId="7C6390FB" w:rsidR="007C5772" w:rsidRPr="00A0163E" w:rsidRDefault="007C5772" w:rsidP="00EE1E85">
            <w:pPr>
              <w:spacing w:before="40" w:after="40" w:line="240" w:lineRule="auto"/>
              <w:rPr>
                <w:sz w:val="20"/>
              </w:rPr>
            </w:pPr>
            <w:r w:rsidRPr="00A0163E">
              <w:rPr>
                <w:sz w:val="20"/>
              </w:rPr>
              <w:t>109C</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0D9E36AF"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calculated WDCEP value (in feet) of 90% for all planes.</w:t>
            </w:r>
          </w:p>
          <w:p w14:paraId="358D8253" w14:textId="09A4867C"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in which the WDCEP 90 falls within the low value and high value entered. Affected by the floating-point number query limitation (see Note at the beginning of this Appendix).</w:t>
            </w:r>
          </w:p>
        </w:tc>
      </w:tr>
      <w:tr w:rsidR="00412234" w:rsidRPr="00C24B58" w14:paraId="25D43061" w14:textId="77777777" w:rsidTr="00A0163E">
        <w:trPr>
          <w:cantSplit/>
          <w:jc w:val="center"/>
        </w:trPr>
        <w:tc>
          <w:tcPr>
            <w:tcW w:w="1890" w:type="dxa"/>
          </w:tcPr>
          <w:p w14:paraId="3F68BDCD" w14:textId="5850B734" w:rsidR="007C5772" w:rsidRPr="00A0163E" w:rsidRDefault="007C5772" w:rsidP="00EE1E85">
            <w:pPr>
              <w:spacing w:before="40" w:after="40" w:line="240" w:lineRule="auto"/>
              <w:rPr>
                <w:sz w:val="20"/>
              </w:rPr>
            </w:pPr>
            <w:r w:rsidRPr="00A0163E">
              <w:rPr>
                <w:sz w:val="20"/>
              </w:rPr>
              <w:t>WDCEP Plane</w:t>
            </w:r>
          </w:p>
        </w:tc>
        <w:tc>
          <w:tcPr>
            <w:tcW w:w="1260" w:type="dxa"/>
          </w:tcPr>
          <w:p w14:paraId="30464AC0" w14:textId="7C76C630" w:rsidR="007C5772" w:rsidRPr="00A0163E" w:rsidRDefault="007C5772" w:rsidP="00EE1E85">
            <w:pPr>
              <w:spacing w:before="40" w:after="40" w:line="240" w:lineRule="auto"/>
              <w:rPr>
                <w:sz w:val="20"/>
              </w:rPr>
            </w:pPr>
            <w:r w:rsidRPr="00A0163E">
              <w:rPr>
                <w:sz w:val="20"/>
              </w:rPr>
              <w:t>109C</w:t>
            </w:r>
            <w:r w:rsidRPr="00A0163E">
              <w:rPr>
                <w:sz w:val="20"/>
              </w:rPr>
              <w:br/>
              <w:t>109E</w:t>
            </w:r>
            <w:r w:rsidRPr="00A0163E">
              <w:rPr>
                <w:sz w:val="20"/>
              </w:rPr>
              <w:br/>
              <w:t>109E ACP</w:t>
            </w:r>
            <w:r w:rsidR="00412234" w:rsidRPr="00A0163E">
              <w:rPr>
                <w:sz w:val="20"/>
              </w:rPr>
              <w:br/>
            </w:r>
            <w:r w:rsidRPr="00A0163E">
              <w:rPr>
                <w:sz w:val="20"/>
              </w:rPr>
              <w:t>MSTM</w:t>
            </w:r>
            <w:r w:rsidR="00412234" w:rsidRPr="00A0163E">
              <w:rPr>
                <w:sz w:val="20"/>
              </w:rPr>
              <w:br/>
              <w:t>109M</w:t>
            </w:r>
          </w:p>
        </w:tc>
        <w:tc>
          <w:tcPr>
            <w:tcW w:w="9900" w:type="dxa"/>
          </w:tcPr>
          <w:p w14:paraId="53406F90" w14:textId="77777777" w:rsidR="007C5772" w:rsidRPr="00A0163E" w:rsidRDefault="007C5772" w:rsidP="00EE1E85">
            <w:pPr>
              <w:spacing w:before="40" w:after="40" w:line="240" w:lineRule="auto"/>
              <w:rPr>
                <w:sz w:val="20"/>
              </w:rPr>
            </w:pPr>
            <w:r w:rsidRPr="00A0163E">
              <w:rPr>
                <w:b/>
                <w:sz w:val="20"/>
              </w:rPr>
              <w:t>Definition:</w:t>
            </w:r>
            <w:r w:rsidRPr="00A0163E">
              <w:rPr>
                <w:sz w:val="20"/>
              </w:rPr>
              <w:t xml:space="preserve"> The WDCEP plane at the aimpoint. Valid values are </w:t>
            </w:r>
            <w:r w:rsidRPr="00A0163E">
              <w:rPr>
                <w:b/>
                <w:sz w:val="20"/>
              </w:rPr>
              <w:t>Ground</w:t>
            </w:r>
            <w:r w:rsidRPr="00A0163E">
              <w:rPr>
                <w:sz w:val="20"/>
              </w:rPr>
              <w:t xml:space="preserve">, </w:t>
            </w:r>
            <w:r w:rsidRPr="00A0163E">
              <w:rPr>
                <w:b/>
                <w:sz w:val="20"/>
              </w:rPr>
              <w:t>Normal</w:t>
            </w:r>
            <w:r w:rsidRPr="00A0163E">
              <w:rPr>
                <w:sz w:val="20"/>
              </w:rPr>
              <w:t xml:space="preserve">, or </w:t>
            </w:r>
            <w:r w:rsidRPr="00A0163E">
              <w:rPr>
                <w:b/>
                <w:sz w:val="20"/>
              </w:rPr>
              <w:t>Vertical</w:t>
            </w:r>
            <w:r w:rsidRPr="00A0163E">
              <w:rPr>
                <w:sz w:val="20"/>
              </w:rPr>
              <w:t>.</w:t>
            </w:r>
          </w:p>
          <w:p w14:paraId="13AE6E8F" w14:textId="6A04B8C2" w:rsidR="007C5772" w:rsidRPr="00A0163E" w:rsidRDefault="007C5772" w:rsidP="00EE1E85">
            <w:pPr>
              <w:spacing w:before="40" w:after="40" w:line="240" w:lineRule="auto"/>
              <w:rPr>
                <w:b/>
                <w:sz w:val="20"/>
              </w:rPr>
            </w:pPr>
            <w:r w:rsidRPr="00A0163E">
              <w:rPr>
                <w:b/>
                <w:sz w:val="20"/>
              </w:rPr>
              <w:t>Query:</w:t>
            </w:r>
            <w:r w:rsidRPr="00A0163E">
              <w:rPr>
                <w:sz w:val="20"/>
              </w:rPr>
              <w:t xml:space="preserve"> Searches for missions that match the selected WDCEP Plane. </w:t>
            </w:r>
          </w:p>
        </w:tc>
      </w:tr>
    </w:tbl>
    <w:p w14:paraId="248AD932" w14:textId="77777777" w:rsidR="007C5772" w:rsidRPr="000665B0" w:rsidRDefault="007C5772" w:rsidP="007C5772">
      <w:pPr>
        <w:jc w:val="center"/>
      </w:pPr>
    </w:p>
    <w:p w14:paraId="69330F78" w14:textId="77777777" w:rsidR="00E104FD" w:rsidRPr="000665B0" w:rsidRDefault="00E104FD" w:rsidP="0055373F">
      <w:pPr>
        <w:jc w:val="center"/>
      </w:pPr>
    </w:p>
    <w:p w14:paraId="1F89CBE6" w14:textId="77777777" w:rsidR="00E104FD" w:rsidRPr="000665B0" w:rsidRDefault="00E104FD" w:rsidP="006D5A65">
      <w:pPr>
        <w:pStyle w:val="Heading4"/>
      </w:pPr>
      <w:r w:rsidRPr="000665B0">
        <w:t>Launch Tab</w:t>
      </w:r>
    </w:p>
    <w:p w14:paraId="42E7260F" w14:textId="739E1CB7" w:rsidR="00E104FD" w:rsidRDefault="00EE1E85" w:rsidP="008C07A5">
      <w:pPr>
        <w:jc w:val="center"/>
      </w:pPr>
      <w:r w:rsidRPr="00223D61">
        <w:rPr>
          <w:noProof/>
        </w:rPr>
        <w:drawing>
          <wp:inline distT="0" distB="0" distL="0" distR="0" wp14:anchorId="16551ACD" wp14:editId="59F1E464">
            <wp:extent cx="4962932" cy="4968240"/>
            <wp:effectExtent l="0" t="0" r="9525" b="3810"/>
            <wp:docPr id="1514968539"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8539" name="Picture 1" descr="Graphical user interface&#10;&#10;Description automatically generated with medium confidence"/>
                    <pic:cNvPicPr/>
                  </pic:nvPicPr>
                  <pic:blipFill>
                    <a:blip/>
                    <a:stretch>
                      <a:fillRect/>
                    </a:stretch>
                  </pic:blipFill>
                  <pic:spPr>
                    <a:xfrm>
                      <a:off x="0" y="0"/>
                      <a:ext cx="4980641" cy="4985968"/>
                    </a:xfrm>
                    <a:prstGeom prst="rect">
                      <a:avLst/>
                    </a:prstGeom>
                  </pic:spPr>
                </pic:pic>
              </a:graphicData>
            </a:graphic>
          </wp:inline>
        </w:drawing>
      </w:r>
    </w:p>
    <w:p w14:paraId="7F8AE411" w14:textId="77777777" w:rsidR="008C07A5" w:rsidRPr="000665B0" w:rsidRDefault="008C07A5" w:rsidP="008C07A5">
      <w:pPr>
        <w:jc w:val="center"/>
      </w:pPr>
    </w:p>
    <w:tbl>
      <w:tblPr>
        <w:tblW w:w="12955" w:type="dxa"/>
        <w:tblLayout w:type="fixed"/>
        <w:tblCellMar>
          <w:left w:w="0" w:type="dxa"/>
          <w:right w:w="0" w:type="dxa"/>
        </w:tblCellMar>
        <w:tblLook w:val="0000" w:firstRow="0" w:lastRow="0" w:firstColumn="0" w:lastColumn="0" w:noHBand="0" w:noVBand="0"/>
      </w:tblPr>
      <w:tblGrid>
        <w:gridCol w:w="1885"/>
        <w:gridCol w:w="1260"/>
        <w:gridCol w:w="9810"/>
      </w:tblGrid>
      <w:tr w:rsidR="00E104FD" w:rsidRPr="00C24B58" w14:paraId="74A77457" w14:textId="77777777" w:rsidTr="000E2A47">
        <w:trPr>
          <w:cantSplit/>
          <w:trHeight w:val="144"/>
          <w:tblHead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72621B61" w14:textId="77777777" w:rsidR="00E104FD" w:rsidRPr="00A0163E" w:rsidRDefault="00E104FD" w:rsidP="00EE1E85">
            <w:pPr>
              <w:pageBreakBefore/>
              <w:spacing w:before="40" w:after="40" w:line="240" w:lineRule="auto"/>
              <w:ind w:left="115"/>
              <w:rPr>
                <w:b/>
                <w:sz w:val="20"/>
              </w:rPr>
            </w:pPr>
            <w:r w:rsidRPr="00A0163E">
              <w:rPr>
                <w:b/>
                <w:sz w:val="20"/>
              </w:rPr>
              <w:lastRenderedPageBreak/>
              <w:t>Query Button</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38C15CA3" w14:textId="77777777" w:rsidR="00E104FD" w:rsidRPr="00A0163E" w:rsidRDefault="00E104FD" w:rsidP="00EE1E85">
            <w:pPr>
              <w:spacing w:before="40" w:after="40" w:line="240" w:lineRule="auto"/>
              <w:ind w:left="115"/>
              <w:rPr>
                <w:b/>
                <w:sz w:val="20"/>
              </w:rPr>
            </w:pPr>
            <w:r w:rsidRPr="00A0163E">
              <w:rPr>
                <w:b/>
                <w:sz w:val="20"/>
              </w:rPr>
              <w:t>Variant</w:t>
            </w:r>
          </w:p>
        </w:tc>
        <w:tc>
          <w:tcPr>
            <w:tcW w:w="9810" w:type="dxa"/>
            <w:tcBorders>
              <w:top w:val="single" w:sz="4" w:space="0" w:color="auto"/>
              <w:left w:val="nil"/>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6D0BB18E" w14:textId="50A52C71" w:rsidR="00E104FD" w:rsidRPr="00A0163E" w:rsidRDefault="00E104FD" w:rsidP="00EE1E85">
            <w:pPr>
              <w:spacing w:before="40" w:after="40" w:line="240" w:lineRule="auto"/>
              <w:ind w:left="115"/>
              <w:rPr>
                <w:b/>
                <w:sz w:val="20"/>
              </w:rPr>
            </w:pPr>
            <w:r w:rsidRPr="00A0163E">
              <w:rPr>
                <w:b/>
                <w:sz w:val="20"/>
              </w:rPr>
              <w:t>Definition and Query Details</w:t>
            </w:r>
          </w:p>
        </w:tc>
      </w:tr>
      <w:tr w:rsidR="00E104FD" w:rsidRPr="00C24B58" w14:paraId="74A7E089"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7273334" w14:textId="77777777" w:rsidR="00E104FD" w:rsidRPr="00A0163E" w:rsidRDefault="00E104FD" w:rsidP="00EE1E85">
            <w:pPr>
              <w:spacing w:before="40" w:after="40" w:line="240" w:lineRule="auto"/>
              <w:ind w:left="115"/>
              <w:rPr>
                <w:sz w:val="20"/>
              </w:rPr>
            </w:pPr>
            <w:r w:rsidRPr="00A0163E">
              <w:rPr>
                <w:sz w:val="20"/>
              </w:rPr>
              <w:t>ACMS</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5E426A3" w14:textId="71A061DB"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109E</w:t>
            </w:r>
            <w:r w:rsidR="000F1EC8" w:rsidRPr="00A0163E">
              <w:rPr>
                <w:sz w:val="20"/>
              </w:rPr>
              <w:br/>
              <w:t>109E ACP</w:t>
            </w:r>
            <w:r w:rsidR="00EE1E85" w:rsidRPr="00A0163E">
              <w:rPr>
                <w:sz w:val="20"/>
              </w:rPr>
              <w:br/>
            </w:r>
            <w:r w:rsidR="000F1EC8"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CAAFF66"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Text field containing the name of the ACMS that was entered when the ACMS was created.</w:t>
            </w:r>
          </w:p>
          <w:p w14:paraId="7714D121" w14:textId="77777777" w:rsidR="00E104FD" w:rsidRPr="00A0163E" w:rsidRDefault="00E104FD" w:rsidP="00EE1E85">
            <w:pPr>
              <w:spacing w:before="40" w:after="40" w:line="240" w:lineRule="auto"/>
              <w:ind w:left="115"/>
              <w:rPr>
                <w:b/>
                <w:sz w:val="20"/>
              </w:rPr>
            </w:pPr>
            <w:r w:rsidRPr="00A0163E">
              <w:rPr>
                <w:b/>
                <w:sz w:val="20"/>
              </w:rPr>
              <w:t>Query:</w:t>
            </w:r>
            <w:r w:rsidRPr="00A0163E">
              <w:rPr>
                <w:sz w:val="20"/>
              </w:rPr>
              <w:t xml:space="preserve"> Searches for missions that contain the specified ACMS (wildcard allowed).</w:t>
            </w:r>
          </w:p>
        </w:tc>
      </w:tr>
      <w:tr w:rsidR="00E104FD" w:rsidRPr="00C24B58" w14:paraId="6A196D41"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75DEA38" w14:textId="77777777" w:rsidR="00E104FD" w:rsidRPr="00A0163E" w:rsidRDefault="00E104FD" w:rsidP="00EE1E85">
            <w:pPr>
              <w:spacing w:before="40" w:after="40" w:line="240" w:lineRule="auto"/>
              <w:ind w:left="115"/>
              <w:rPr>
                <w:sz w:val="20"/>
              </w:rPr>
            </w:pPr>
            <w:r w:rsidRPr="00A0163E">
              <w:rPr>
                <w:sz w:val="20"/>
              </w:rPr>
              <w:t>ACMS Type</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8EF4954" w14:textId="49B5A180"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109E</w:t>
            </w:r>
            <w:r w:rsidR="000F1EC8" w:rsidRPr="00A0163E">
              <w:rPr>
                <w:sz w:val="20"/>
              </w:rPr>
              <w:br/>
              <w:t>109E ACP</w:t>
            </w:r>
            <w:r w:rsidR="00EE1E85" w:rsidRPr="00A0163E">
              <w:rPr>
                <w:sz w:val="20"/>
              </w:rPr>
              <w:br/>
            </w:r>
            <w:r w:rsidR="000F1EC8"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2EDCCCF8"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Indicates what type a given ACMS is. Valid values are </w:t>
            </w:r>
            <w:r w:rsidRPr="00A0163E">
              <w:rPr>
                <w:b/>
                <w:sz w:val="20"/>
              </w:rPr>
              <w:t>Prohibited Area</w:t>
            </w:r>
            <w:r w:rsidRPr="00A0163E">
              <w:rPr>
                <w:sz w:val="20"/>
              </w:rPr>
              <w:t xml:space="preserve"> (default), </w:t>
            </w:r>
            <w:r w:rsidRPr="00A0163E">
              <w:rPr>
                <w:b/>
                <w:sz w:val="20"/>
              </w:rPr>
              <w:t>Operational Area</w:t>
            </w:r>
            <w:r w:rsidRPr="00A0163E">
              <w:rPr>
                <w:sz w:val="20"/>
              </w:rPr>
              <w:t xml:space="preserve">, </w:t>
            </w:r>
            <w:r w:rsidRPr="00A0163E">
              <w:rPr>
                <w:b/>
                <w:sz w:val="20"/>
              </w:rPr>
              <w:t>Loiter Area</w:t>
            </w:r>
            <w:r w:rsidRPr="00A0163E">
              <w:rPr>
                <w:sz w:val="20"/>
              </w:rPr>
              <w:t xml:space="preserve">, </w:t>
            </w:r>
            <w:r w:rsidRPr="00A0163E">
              <w:rPr>
                <w:b/>
                <w:sz w:val="20"/>
              </w:rPr>
              <w:t>Flight Corridor</w:t>
            </w:r>
            <w:r w:rsidRPr="00A0163E">
              <w:rPr>
                <w:sz w:val="20"/>
              </w:rPr>
              <w:t xml:space="preserve">, </w:t>
            </w:r>
            <w:r w:rsidRPr="00A0163E">
              <w:rPr>
                <w:b/>
                <w:sz w:val="20"/>
              </w:rPr>
              <w:t>Launch Area</w:t>
            </w:r>
            <w:r w:rsidRPr="00A0163E">
              <w:rPr>
                <w:sz w:val="20"/>
              </w:rPr>
              <w:t xml:space="preserve">, </w:t>
            </w:r>
            <w:r w:rsidRPr="00A0163E">
              <w:rPr>
                <w:b/>
                <w:sz w:val="20"/>
              </w:rPr>
              <w:t>FPPWP</w:t>
            </w:r>
            <w:r w:rsidRPr="00A0163E">
              <w:rPr>
                <w:sz w:val="20"/>
              </w:rPr>
              <w:t xml:space="preserve">, </w:t>
            </w:r>
            <w:r w:rsidRPr="00A0163E">
              <w:rPr>
                <w:b/>
                <w:sz w:val="20"/>
              </w:rPr>
              <w:t>Target Area</w:t>
            </w:r>
            <w:r w:rsidRPr="00A0163E">
              <w:rPr>
                <w:sz w:val="20"/>
              </w:rPr>
              <w:t xml:space="preserve">, </w:t>
            </w:r>
            <w:r w:rsidRPr="00A0163E">
              <w:rPr>
                <w:b/>
                <w:sz w:val="20"/>
              </w:rPr>
              <w:t>PLP</w:t>
            </w:r>
            <w:r w:rsidRPr="00A0163E">
              <w:rPr>
                <w:sz w:val="20"/>
              </w:rPr>
              <w:t xml:space="preserve">, or </w:t>
            </w:r>
            <w:r w:rsidRPr="00A0163E">
              <w:rPr>
                <w:b/>
                <w:sz w:val="20"/>
              </w:rPr>
              <w:t>Planned Outcomes Boundary</w:t>
            </w:r>
            <w:r w:rsidRPr="00A0163E">
              <w:rPr>
                <w:sz w:val="20"/>
              </w:rPr>
              <w:t>.</w:t>
            </w:r>
          </w:p>
          <w:p w14:paraId="67B01B6F" w14:textId="6BA6D692" w:rsidR="00E104FD" w:rsidRPr="00A0163E" w:rsidRDefault="00E104FD" w:rsidP="00EE1E85">
            <w:pPr>
              <w:spacing w:before="40" w:after="40" w:line="240" w:lineRule="auto"/>
              <w:ind w:left="115"/>
              <w:rPr>
                <w:b/>
                <w:sz w:val="20"/>
              </w:rPr>
            </w:pPr>
            <w:r w:rsidRPr="00A0163E">
              <w:rPr>
                <w:b/>
                <w:sz w:val="20"/>
              </w:rPr>
              <w:t>Query:</w:t>
            </w:r>
            <w:r w:rsidRPr="00A0163E">
              <w:rPr>
                <w:sz w:val="20"/>
              </w:rPr>
              <w:t xml:space="preserve"> Searches for missions that contain the specified ACMS Type. </w:t>
            </w:r>
          </w:p>
        </w:tc>
      </w:tr>
      <w:tr w:rsidR="00E104FD" w:rsidRPr="00C24B58" w14:paraId="18464D78"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C814116" w14:textId="77777777" w:rsidR="00E104FD" w:rsidRPr="00A0163E" w:rsidRDefault="00E104FD" w:rsidP="00EE1E85">
            <w:pPr>
              <w:spacing w:before="40" w:after="40" w:line="240" w:lineRule="auto"/>
              <w:ind w:left="115"/>
              <w:rPr>
                <w:b/>
                <w:sz w:val="20"/>
              </w:rPr>
            </w:pPr>
            <w:r w:rsidRPr="00A0163E">
              <w:rPr>
                <w:sz w:val="20"/>
              </w:rPr>
              <w:t>Departure Heading</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5AAC71A" w14:textId="20C07309" w:rsidR="00E104FD" w:rsidRPr="00A0163E" w:rsidRDefault="00E104FD" w:rsidP="00EE1E85">
            <w:pPr>
              <w:spacing w:before="40" w:after="40" w:line="240" w:lineRule="auto"/>
              <w:ind w:left="115"/>
              <w:rPr>
                <w:b/>
                <w:sz w:val="20"/>
              </w:rPr>
            </w:pPr>
            <w:r w:rsidRPr="00A0163E">
              <w:rPr>
                <w:sz w:val="20"/>
              </w:rPr>
              <w:t>109C</w:t>
            </w:r>
            <w:r w:rsidRPr="00A0163E">
              <w:rPr>
                <w:sz w:val="20"/>
              </w:rPr>
              <w:br/>
              <w:t>109D</w:t>
            </w:r>
            <w:r w:rsidRPr="00A0163E">
              <w:rPr>
                <w:sz w:val="20"/>
              </w:rPr>
              <w:br/>
              <w:t>109E</w:t>
            </w:r>
            <w:r w:rsidR="000F1EC8" w:rsidRPr="00A0163E">
              <w:rPr>
                <w:sz w:val="20"/>
              </w:rPr>
              <w:br/>
              <w:t>109E ACP</w:t>
            </w:r>
            <w:r w:rsidR="00EE1E85" w:rsidRPr="00A0163E">
              <w:rPr>
                <w:sz w:val="20"/>
              </w:rPr>
              <w:br/>
            </w:r>
            <w:r w:rsidR="000F1EC8"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3A50FAD"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The azimuth (in degrees true North) from the FPPWP to the next waypoint.</w:t>
            </w:r>
          </w:p>
          <w:p w14:paraId="1E575AE2" w14:textId="7E27163B" w:rsidR="00E104FD" w:rsidRPr="00A0163E" w:rsidRDefault="00E104FD" w:rsidP="00EE1E85">
            <w:pPr>
              <w:spacing w:before="40" w:after="40" w:line="240" w:lineRule="auto"/>
              <w:ind w:left="115"/>
              <w:rPr>
                <w:sz w:val="20"/>
              </w:rPr>
            </w:pPr>
            <w:r w:rsidRPr="00A0163E">
              <w:rPr>
                <w:b/>
                <w:sz w:val="20"/>
              </w:rPr>
              <w:t>Query:</w:t>
            </w:r>
            <w:r w:rsidRPr="00A0163E">
              <w:rPr>
                <w:sz w:val="20"/>
              </w:rPr>
              <w:t xml:space="preserve"> Searches for missions in which the Departure Heading falls within the low value and high value entered. Affected by the floating-point number query limitation (see Note at the beginning of this Appendix).</w:t>
            </w:r>
          </w:p>
        </w:tc>
      </w:tr>
      <w:tr w:rsidR="00E104FD" w:rsidRPr="00C24B58" w14:paraId="475BB4AC"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C16C55D" w14:textId="77777777" w:rsidR="00E104FD" w:rsidRPr="00A0163E" w:rsidRDefault="00E104FD" w:rsidP="00EE1E85">
            <w:pPr>
              <w:spacing w:before="40" w:after="40" w:line="240" w:lineRule="auto"/>
              <w:ind w:left="115"/>
              <w:rPr>
                <w:b/>
                <w:sz w:val="20"/>
              </w:rPr>
            </w:pPr>
            <w:r w:rsidRPr="00A0163E">
              <w:rPr>
                <w:sz w:val="20"/>
              </w:rPr>
              <w:t>FPPWP Altitude</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09E79A4" w14:textId="08FCB175"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109E</w:t>
            </w:r>
            <w:r w:rsidR="000F1EC8" w:rsidRPr="00A0163E">
              <w:rPr>
                <w:sz w:val="20"/>
              </w:rPr>
              <w:br/>
              <w:t>109E ACP</w:t>
            </w:r>
            <w:r w:rsidR="00EE1E85" w:rsidRPr="00A0163E">
              <w:rPr>
                <w:sz w:val="20"/>
              </w:rPr>
              <w:br/>
            </w:r>
            <w:r w:rsidR="000F1EC8"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AAD8842"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FPPWP Command Altitude (in feet).</w:t>
            </w:r>
          </w:p>
          <w:p w14:paraId="3E51133C" w14:textId="0F0F794A" w:rsidR="00E104FD" w:rsidRPr="00A0163E" w:rsidRDefault="00E104FD" w:rsidP="00EE1E85">
            <w:pPr>
              <w:spacing w:before="40" w:after="40" w:line="240" w:lineRule="auto"/>
              <w:ind w:left="115"/>
              <w:rPr>
                <w:b/>
                <w:sz w:val="20"/>
              </w:rPr>
            </w:pPr>
            <w:r w:rsidRPr="00A0163E">
              <w:rPr>
                <w:b/>
                <w:sz w:val="20"/>
              </w:rPr>
              <w:t>Query:</w:t>
            </w:r>
            <w:r w:rsidR="009651B0" w:rsidRPr="00A0163E">
              <w:rPr>
                <w:sz w:val="20"/>
              </w:rPr>
              <w:t xml:space="preserve"> </w:t>
            </w:r>
            <w:r w:rsidRPr="00A0163E">
              <w:rPr>
                <w:sz w:val="20"/>
              </w:rPr>
              <w:t>Searches for missions for which the FPPWP Altitude falls within the low value and high value entered.</w:t>
            </w:r>
          </w:p>
        </w:tc>
      </w:tr>
      <w:tr w:rsidR="00E104FD" w:rsidRPr="00C24B58" w14:paraId="25F46381"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42EF617" w14:textId="77777777" w:rsidR="00E104FD" w:rsidRPr="00A0163E" w:rsidRDefault="00E104FD" w:rsidP="00EE1E85">
            <w:pPr>
              <w:spacing w:before="40" w:after="40" w:line="240" w:lineRule="auto"/>
              <w:ind w:left="115"/>
              <w:rPr>
                <w:sz w:val="20"/>
              </w:rPr>
            </w:pPr>
            <w:r w:rsidRPr="00A0163E">
              <w:rPr>
                <w:sz w:val="20"/>
              </w:rPr>
              <w:t>FPPWP Location</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8A38E66" w14:textId="1D263715"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109E</w:t>
            </w:r>
            <w:r w:rsidR="000F1EC8" w:rsidRPr="00A0163E">
              <w:rPr>
                <w:sz w:val="20"/>
              </w:rPr>
              <w:br/>
              <w:t>109E ACP</w:t>
            </w:r>
            <w:r w:rsidR="00EE1E85" w:rsidRPr="00A0163E">
              <w:rPr>
                <w:sz w:val="20"/>
              </w:rPr>
              <w:br/>
            </w:r>
            <w:r w:rsidR="000F1EC8"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59AA1D0"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The latitude/longitude coordinates associated with the geodetic point where the pre-planned portion of the mission begins.</w:t>
            </w:r>
          </w:p>
          <w:p w14:paraId="483EA2B2" w14:textId="77777777" w:rsidR="00E104FD" w:rsidRPr="00A0163E" w:rsidRDefault="00E104FD" w:rsidP="00EE1E85">
            <w:pPr>
              <w:spacing w:before="40" w:after="40" w:line="240" w:lineRule="auto"/>
              <w:ind w:left="115"/>
              <w:rPr>
                <w:b/>
                <w:sz w:val="20"/>
              </w:rPr>
            </w:pPr>
            <w:r w:rsidRPr="00A0163E">
              <w:rPr>
                <w:b/>
                <w:sz w:val="20"/>
              </w:rPr>
              <w:t xml:space="preserve">Query: </w:t>
            </w:r>
            <w:r w:rsidRPr="00A0163E">
              <w:rPr>
                <w:sz w:val="20"/>
              </w:rPr>
              <w:t>Searches for missions for which the FPPWP falls within the latitude/longitude values entered (or selected from the map). Affected by the floating-point number query limitation (see Note at the beginning of this Appendix).</w:t>
            </w:r>
          </w:p>
        </w:tc>
      </w:tr>
      <w:tr w:rsidR="00E104FD" w:rsidRPr="00C24B58" w14:paraId="20207CB1"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B9A015D" w14:textId="77777777" w:rsidR="00E104FD" w:rsidRPr="00A0163E" w:rsidRDefault="00E104FD" w:rsidP="00EE1E85">
            <w:pPr>
              <w:spacing w:before="40" w:after="40" w:line="240" w:lineRule="auto"/>
              <w:ind w:left="115"/>
              <w:rPr>
                <w:sz w:val="20"/>
              </w:rPr>
            </w:pPr>
            <w:r w:rsidRPr="00A0163E">
              <w:rPr>
                <w:sz w:val="20"/>
              </w:rPr>
              <w:t>FPPWP Name</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E331AC9" w14:textId="4055C112"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109E</w:t>
            </w:r>
            <w:r w:rsidR="000F1EC8" w:rsidRPr="00A0163E">
              <w:rPr>
                <w:sz w:val="20"/>
              </w:rPr>
              <w:br/>
              <w:t>109E ACP</w:t>
            </w:r>
            <w:r w:rsidR="00EE1E85" w:rsidRPr="00A0163E">
              <w:rPr>
                <w:sz w:val="20"/>
              </w:rPr>
              <w:br/>
            </w:r>
            <w:r w:rsidR="000F1EC8"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19976E3C"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Name of the FPPWP ACMS file, which contains the FPPWP used to plan the mission.</w:t>
            </w:r>
          </w:p>
          <w:p w14:paraId="616CA5C6" w14:textId="681B69FC" w:rsidR="00E104FD" w:rsidRPr="00A0163E" w:rsidRDefault="00E104FD" w:rsidP="00EE1E85">
            <w:pPr>
              <w:spacing w:before="40" w:after="40" w:line="240" w:lineRule="auto"/>
              <w:ind w:left="115"/>
              <w:rPr>
                <w:b/>
                <w:sz w:val="20"/>
              </w:rPr>
            </w:pPr>
            <w:r w:rsidRPr="00A0163E">
              <w:rPr>
                <w:b/>
                <w:sz w:val="20"/>
              </w:rPr>
              <w:t>Query:</w:t>
            </w:r>
            <w:r w:rsidRPr="00A0163E">
              <w:rPr>
                <w:sz w:val="20"/>
              </w:rPr>
              <w:t xml:space="preserve"> Searches for missions that contain the specified F</w:t>
            </w:r>
            <w:r w:rsidR="008C53E6" w:rsidRPr="00A0163E">
              <w:rPr>
                <w:sz w:val="20"/>
              </w:rPr>
              <w:t>P</w:t>
            </w:r>
            <w:r w:rsidRPr="00A0163E">
              <w:rPr>
                <w:sz w:val="20"/>
              </w:rPr>
              <w:t>PWP Name (wildcard allowed).</w:t>
            </w:r>
          </w:p>
        </w:tc>
      </w:tr>
      <w:tr w:rsidR="00CD6E77" w:rsidRPr="00C24B58" w14:paraId="615C5DE6"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A2AE5D3" w14:textId="77777777" w:rsidR="00CD6E77" w:rsidRPr="00A0163E" w:rsidRDefault="00CD6E77" w:rsidP="00EE1E85">
            <w:pPr>
              <w:spacing w:before="40" w:after="40" w:line="240" w:lineRule="auto"/>
              <w:ind w:left="115"/>
              <w:rPr>
                <w:sz w:val="20"/>
              </w:rPr>
            </w:pPr>
            <w:r w:rsidRPr="00A0163E">
              <w:rPr>
                <w:sz w:val="20"/>
              </w:rPr>
              <w:t>Ground Launch Point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ABFAA8B" w14:textId="531F9BBB" w:rsidR="002410C9" w:rsidRPr="00A0163E" w:rsidRDefault="00CD6E77" w:rsidP="00EE1E85">
            <w:pPr>
              <w:spacing w:before="40" w:after="40" w:line="240" w:lineRule="auto"/>
              <w:ind w:left="115"/>
              <w:rPr>
                <w:sz w:val="20"/>
              </w:rPr>
            </w:pPr>
            <w:r w:rsidRPr="00A0163E">
              <w:rPr>
                <w:sz w:val="20"/>
              </w:rPr>
              <w:t>109E</w:t>
            </w:r>
            <w:r w:rsidR="00EE1E85" w:rsidRPr="00A0163E">
              <w:rPr>
                <w:sz w:val="20"/>
              </w:rPr>
              <w:br/>
            </w:r>
            <w:r w:rsidR="002410C9" w:rsidRPr="00A0163E">
              <w:rPr>
                <w:sz w:val="20"/>
              </w:rPr>
              <w:t>109E ACP</w:t>
            </w:r>
            <w:r w:rsidR="00EE1E85" w:rsidRPr="00A0163E">
              <w:rPr>
                <w:sz w:val="20"/>
              </w:rPr>
              <w:br/>
            </w:r>
            <w:r w:rsidR="002410C9"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45FE56A2" w14:textId="5A732FFE" w:rsidR="00CD6E77" w:rsidRPr="00A0163E" w:rsidRDefault="00CD6E77" w:rsidP="00EE1E85">
            <w:pPr>
              <w:spacing w:before="40" w:after="40" w:line="240" w:lineRule="auto"/>
              <w:ind w:left="115"/>
              <w:rPr>
                <w:sz w:val="20"/>
              </w:rPr>
            </w:pPr>
            <w:r w:rsidRPr="00A0163E">
              <w:rPr>
                <w:b/>
                <w:sz w:val="20"/>
              </w:rPr>
              <w:t>Definition:</w:t>
            </w:r>
            <w:r w:rsidRPr="00A0163E">
              <w:rPr>
                <w:sz w:val="20"/>
              </w:rPr>
              <w:t xml:space="preserve"> </w:t>
            </w:r>
            <w:r w:rsidR="00430DEF" w:rsidRPr="00A0163E">
              <w:rPr>
                <w:sz w:val="20"/>
              </w:rPr>
              <w:t xml:space="preserve">A Ground Launch Point is a hypothetical launch point chosen for the planning of a </w:t>
            </w:r>
            <w:r w:rsidR="00C82EA1" w:rsidRPr="00A0163E">
              <w:rPr>
                <w:sz w:val="20"/>
              </w:rPr>
              <w:t>ground-launch</w:t>
            </w:r>
            <w:r w:rsidR="00430DEF" w:rsidRPr="00A0163E">
              <w:rPr>
                <w:sz w:val="20"/>
              </w:rPr>
              <w:t xml:space="preserve"> mission such that an actual chosen launch point in proximity of the ground launch point would be a viable launch point for executing the </w:t>
            </w:r>
            <w:r w:rsidR="00C82EA1" w:rsidRPr="00A0163E">
              <w:rPr>
                <w:sz w:val="20"/>
              </w:rPr>
              <w:t>ground-launch</w:t>
            </w:r>
            <w:r w:rsidR="00430DEF" w:rsidRPr="00A0163E">
              <w:rPr>
                <w:sz w:val="20"/>
              </w:rPr>
              <w:t xml:space="preserve"> mission.</w:t>
            </w:r>
          </w:p>
          <w:p w14:paraId="494E7146" w14:textId="77777777" w:rsidR="00CD6E77" w:rsidRPr="00A0163E" w:rsidRDefault="00CD6E77" w:rsidP="00EE1E85">
            <w:pPr>
              <w:spacing w:before="40" w:after="40" w:line="240" w:lineRule="auto"/>
              <w:ind w:left="115"/>
              <w:rPr>
                <w:b/>
                <w:sz w:val="20"/>
              </w:rPr>
            </w:pPr>
            <w:r w:rsidRPr="00A0163E">
              <w:rPr>
                <w:b/>
                <w:sz w:val="20"/>
              </w:rPr>
              <w:t>Query:</w:t>
            </w:r>
            <w:r w:rsidRPr="00A0163E">
              <w:rPr>
                <w:sz w:val="20"/>
              </w:rPr>
              <w:t xml:space="preserve"> Searches for missions that contain the ground analysis launch point.</w:t>
            </w:r>
          </w:p>
        </w:tc>
      </w:tr>
      <w:tr w:rsidR="00E104FD" w:rsidRPr="00C24B58" w14:paraId="09173B25"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95C4B06" w14:textId="77777777" w:rsidR="00E104FD" w:rsidRPr="00A0163E" w:rsidRDefault="00E104FD" w:rsidP="00EE1E85">
            <w:pPr>
              <w:spacing w:before="40" w:after="40" w:line="240" w:lineRule="auto"/>
              <w:ind w:left="115"/>
              <w:rPr>
                <w:sz w:val="20"/>
              </w:rPr>
            </w:pPr>
            <w:r w:rsidRPr="00A0163E">
              <w:rPr>
                <w:sz w:val="20"/>
              </w:rPr>
              <w:t xml:space="preserve">MAXSOR </w:t>
            </w:r>
            <w:r w:rsidRPr="00A0163E">
              <w:rPr>
                <w:sz w:val="20"/>
              </w:rPr>
              <w:br/>
              <w:t>(Non-TOT)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4B6EBEA" w14:textId="2A8CCBA4"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109E</w:t>
            </w:r>
            <w:r w:rsidR="003420FA" w:rsidRPr="00A0163E">
              <w:rPr>
                <w:sz w:val="20"/>
              </w:rPr>
              <w:br/>
              <w:t>109E ACP</w:t>
            </w:r>
            <w:r w:rsidR="00EE1E85" w:rsidRPr="00A0163E">
              <w:rPr>
                <w:sz w:val="20"/>
              </w:rPr>
              <w:br/>
            </w:r>
            <w:r w:rsidR="003420FA"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8853577"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The maximum distance (in nautical miles) the missile can travel from launch to FPPWP and still have sufficient fuel reserves to reach the target. Applies to missions that have a TOT flag set to </w:t>
            </w:r>
            <w:r w:rsidRPr="00A0163E">
              <w:rPr>
                <w:b/>
                <w:sz w:val="20"/>
              </w:rPr>
              <w:t>N</w:t>
            </w:r>
            <w:r w:rsidRPr="00A0163E">
              <w:rPr>
                <w:sz w:val="20"/>
              </w:rPr>
              <w:t>. Also referred to as Maximum Stand-off Range (MAXSOR).</w:t>
            </w:r>
          </w:p>
          <w:p w14:paraId="2960FEAF" w14:textId="77777777" w:rsidR="00E104FD" w:rsidRPr="00A0163E" w:rsidRDefault="00E104FD" w:rsidP="00EE1E85">
            <w:pPr>
              <w:spacing w:before="40" w:after="40" w:line="240" w:lineRule="auto"/>
              <w:ind w:left="115"/>
              <w:rPr>
                <w:b/>
                <w:sz w:val="20"/>
              </w:rPr>
            </w:pPr>
            <w:r w:rsidRPr="00A0163E">
              <w:rPr>
                <w:b/>
                <w:sz w:val="20"/>
              </w:rPr>
              <w:t xml:space="preserve">Query: </w:t>
            </w:r>
            <w:r w:rsidRPr="00A0163E">
              <w:rPr>
                <w:sz w:val="20"/>
              </w:rPr>
              <w:t>Searches for non-TOT missions in which the MAXSOR falls within the low value and high value entered.</w:t>
            </w:r>
          </w:p>
        </w:tc>
      </w:tr>
      <w:tr w:rsidR="00E104FD" w:rsidRPr="00C24B58" w14:paraId="5C4DFDEF"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B44BD6D" w14:textId="77777777" w:rsidR="00E104FD" w:rsidRPr="00A0163E" w:rsidRDefault="00E104FD" w:rsidP="00EE1E85">
            <w:pPr>
              <w:spacing w:before="40" w:after="40" w:line="240" w:lineRule="auto"/>
              <w:ind w:left="115"/>
              <w:rPr>
                <w:sz w:val="20"/>
              </w:rPr>
            </w:pPr>
            <w:r w:rsidRPr="00A0163E">
              <w:rPr>
                <w:sz w:val="20"/>
              </w:rPr>
              <w:lastRenderedPageBreak/>
              <w:t>MAXSOR (TOT)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723E745" w14:textId="0F4BA22F"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109E</w:t>
            </w:r>
            <w:r w:rsidR="003420FA" w:rsidRPr="00A0163E">
              <w:rPr>
                <w:sz w:val="20"/>
              </w:rPr>
              <w:br/>
              <w:t>109E ACP</w:t>
            </w:r>
            <w:r w:rsidR="00EE1E85" w:rsidRPr="00A0163E">
              <w:rPr>
                <w:sz w:val="20"/>
              </w:rPr>
              <w:br/>
            </w:r>
            <w:r w:rsidR="003420FA"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76C38C1"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The maximum distance (in nautical miles) the missile can travel from launch to FPPWP and still have sufficient fuel reserves to reach the target. Applies to missions that have a TOT flag set to </w:t>
            </w:r>
            <w:r w:rsidRPr="00A0163E">
              <w:rPr>
                <w:b/>
                <w:sz w:val="20"/>
              </w:rPr>
              <w:t>Y</w:t>
            </w:r>
            <w:r w:rsidRPr="00A0163E">
              <w:rPr>
                <w:sz w:val="20"/>
              </w:rPr>
              <w:t>. Also referred to as MAXSOR.</w:t>
            </w:r>
          </w:p>
          <w:p w14:paraId="4DCA132A" w14:textId="77777777" w:rsidR="00E104FD" w:rsidRPr="00A0163E" w:rsidRDefault="00E104FD" w:rsidP="00EE1E85">
            <w:pPr>
              <w:spacing w:before="40" w:after="40" w:line="240" w:lineRule="auto"/>
              <w:ind w:left="115"/>
              <w:rPr>
                <w:b/>
                <w:sz w:val="20"/>
              </w:rPr>
            </w:pPr>
            <w:r w:rsidRPr="00A0163E">
              <w:rPr>
                <w:b/>
                <w:sz w:val="20"/>
              </w:rPr>
              <w:t xml:space="preserve">Query: </w:t>
            </w:r>
            <w:r w:rsidRPr="00A0163E">
              <w:rPr>
                <w:sz w:val="20"/>
              </w:rPr>
              <w:t>Searches for TOT missions in which the MAXSOR falls within the low value and high value entered.</w:t>
            </w:r>
          </w:p>
        </w:tc>
      </w:tr>
      <w:tr w:rsidR="00E104FD" w:rsidRPr="00C24B58" w14:paraId="40FE1ED5"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713A533" w14:textId="77777777" w:rsidR="00E104FD" w:rsidRPr="00A0163E" w:rsidRDefault="00E104FD" w:rsidP="00EE1E85">
            <w:pPr>
              <w:spacing w:before="40" w:after="40" w:line="240" w:lineRule="auto"/>
              <w:ind w:left="115"/>
              <w:rPr>
                <w:sz w:val="20"/>
              </w:rPr>
            </w:pPr>
            <w:r w:rsidRPr="00A0163E">
              <w:rPr>
                <w:sz w:val="20"/>
              </w:rPr>
              <w:t xml:space="preserve">MINSOR </w:t>
            </w:r>
            <w:r w:rsidRPr="00A0163E">
              <w:rPr>
                <w:sz w:val="20"/>
              </w:rPr>
              <w:br/>
              <w:t>(Non-TOT)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7B5542C" w14:textId="605CBDB9"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109E</w:t>
            </w:r>
            <w:r w:rsidR="003420FA" w:rsidRPr="00A0163E">
              <w:rPr>
                <w:sz w:val="20"/>
              </w:rPr>
              <w:br/>
              <w:t>109E ACP</w:t>
            </w:r>
            <w:r w:rsidR="00EE1E85" w:rsidRPr="00A0163E">
              <w:rPr>
                <w:sz w:val="20"/>
              </w:rPr>
              <w:br/>
            </w:r>
            <w:r w:rsidR="003420FA"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26AC9C4"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The minimum distance (in nautical miles) that the firing platform must be located from the FPPWP to permit the missile to successfully complete transition to cruise flight and pass the first waypoint at the commanded altitude. Applies to missions that have a TOT flag set to </w:t>
            </w:r>
            <w:r w:rsidRPr="00A0163E">
              <w:rPr>
                <w:b/>
                <w:sz w:val="20"/>
              </w:rPr>
              <w:t>N</w:t>
            </w:r>
            <w:r w:rsidRPr="00A0163E">
              <w:rPr>
                <w:sz w:val="20"/>
              </w:rPr>
              <w:t>. Also referred to as Minimum Stand-off Range (MINSOR).</w:t>
            </w:r>
          </w:p>
          <w:p w14:paraId="65CB3D5E" w14:textId="77777777" w:rsidR="00E104FD" w:rsidRPr="00A0163E" w:rsidRDefault="00E104FD" w:rsidP="00EE1E85">
            <w:pPr>
              <w:spacing w:before="40" w:after="40" w:line="240" w:lineRule="auto"/>
              <w:ind w:left="115"/>
              <w:rPr>
                <w:sz w:val="20"/>
              </w:rPr>
            </w:pPr>
            <w:r w:rsidRPr="00A0163E">
              <w:rPr>
                <w:b/>
                <w:sz w:val="20"/>
              </w:rPr>
              <w:t xml:space="preserve">Query: </w:t>
            </w:r>
            <w:r w:rsidRPr="00A0163E">
              <w:rPr>
                <w:sz w:val="20"/>
              </w:rPr>
              <w:t>Searches for non-TOT missions in which the MINSOR falls within the low value and high value entered.</w:t>
            </w:r>
          </w:p>
        </w:tc>
      </w:tr>
      <w:tr w:rsidR="00E104FD" w:rsidRPr="00C24B58" w14:paraId="5957AFD2"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FF1A97E" w14:textId="77777777" w:rsidR="00E104FD" w:rsidRPr="00A0163E" w:rsidRDefault="00E104FD" w:rsidP="00EE1E85">
            <w:pPr>
              <w:spacing w:before="40" w:after="40" w:line="240" w:lineRule="auto"/>
              <w:ind w:left="115"/>
              <w:rPr>
                <w:sz w:val="20"/>
              </w:rPr>
            </w:pPr>
            <w:r w:rsidRPr="00A0163E">
              <w:rPr>
                <w:sz w:val="20"/>
              </w:rPr>
              <w:t>MINSOR (TOT)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50037FE" w14:textId="5CF956FA"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w:t>
            </w:r>
            <w:r w:rsidR="00EE1E85" w:rsidRPr="00A0163E">
              <w:rPr>
                <w:sz w:val="20"/>
              </w:rPr>
              <w:t>E</w:t>
            </w:r>
            <w:r w:rsidR="003420FA" w:rsidRPr="00A0163E">
              <w:rPr>
                <w:sz w:val="20"/>
              </w:rPr>
              <w:br/>
              <w:t>109E ACP</w:t>
            </w:r>
            <w:r w:rsidR="00EE1E85" w:rsidRPr="00A0163E">
              <w:rPr>
                <w:sz w:val="20"/>
              </w:rPr>
              <w:br/>
            </w:r>
            <w:r w:rsidR="003420FA"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1470D06F"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The minimum distance (in nautical miles) that the firing platform must be located from the FPPWP to permit the missile to successfully complete transition to cruise flight and pass the first waypoint at the commanded altitude. Applies to missions that have a TOT flag set to </w:t>
            </w:r>
            <w:r w:rsidRPr="00A0163E">
              <w:rPr>
                <w:b/>
                <w:sz w:val="20"/>
              </w:rPr>
              <w:t>Y</w:t>
            </w:r>
            <w:r w:rsidRPr="00A0163E">
              <w:rPr>
                <w:sz w:val="20"/>
              </w:rPr>
              <w:t>. Also referred to as MINSOR.</w:t>
            </w:r>
          </w:p>
          <w:p w14:paraId="46F8FEE7" w14:textId="77777777" w:rsidR="00E104FD" w:rsidRPr="00A0163E" w:rsidRDefault="00E104FD" w:rsidP="00EE1E85">
            <w:pPr>
              <w:spacing w:before="40" w:after="40" w:line="240" w:lineRule="auto"/>
              <w:ind w:left="115"/>
              <w:rPr>
                <w:b/>
                <w:sz w:val="20"/>
              </w:rPr>
            </w:pPr>
            <w:r w:rsidRPr="00A0163E">
              <w:rPr>
                <w:b/>
                <w:sz w:val="20"/>
              </w:rPr>
              <w:t xml:space="preserve">Query: </w:t>
            </w:r>
            <w:r w:rsidRPr="00A0163E">
              <w:rPr>
                <w:sz w:val="20"/>
              </w:rPr>
              <w:t>Searches for TOT missions in which the MINSOR falls within the low value and high value entered.</w:t>
            </w:r>
          </w:p>
        </w:tc>
      </w:tr>
      <w:tr w:rsidR="00E104FD" w:rsidRPr="00C24B58" w14:paraId="24808879"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400E535" w14:textId="77777777" w:rsidR="00E104FD" w:rsidRPr="00A0163E" w:rsidRDefault="00E104FD" w:rsidP="00EE1E85">
            <w:pPr>
              <w:spacing w:before="40" w:after="40" w:line="240" w:lineRule="auto"/>
              <w:ind w:left="115"/>
              <w:rPr>
                <w:sz w:val="20"/>
              </w:rPr>
            </w:pPr>
            <w:r w:rsidRPr="00A0163E">
              <w:rPr>
                <w:sz w:val="20"/>
              </w:rPr>
              <w:t>PMO (Non-TOT)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165D489" w14:textId="356CBA17"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w:t>
            </w:r>
            <w:r w:rsidR="00EE1E85" w:rsidRPr="00A0163E">
              <w:rPr>
                <w:sz w:val="20"/>
              </w:rPr>
              <w:t>E</w:t>
            </w:r>
            <w:r w:rsidR="003420FA" w:rsidRPr="00A0163E">
              <w:rPr>
                <w:sz w:val="20"/>
              </w:rPr>
              <w:br/>
              <w:t>109E ACP</w:t>
            </w:r>
            <w:r w:rsidR="00EE1E85" w:rsidRPr="00A0163E">
              <w:rPr>
                <w:sz w:val="20"/>
              </w:rPr>
              <w:br/>
            </w:r>
            <w:r w:rsidR="003420FA"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A973AAD"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Estimate of the probability for the missile overflying the first TERCOM map set if the missile were launched from the maximum standoff range for Non-TOT case.</w:t>
            </w:r>
          </w:p>
          <w:p w14:paraId="56B2CD73" w14:textId="77777777" w:rsidR="00E104FD" w:rsidRPr="00A0163E" w:rsidRDefault="00E104FD" w:rsidP="00EE1E85">
            <w:pPr>
              <w:spacing w:before="40" w:after="40" w:line="240" w:lineRule="auto"/>
              <w:ind w:left="115"/>
              <w:rPr>
                <w:sz w:val="20"/>
              </w:rPr>
            </w:pPr>
            <w:r w:rsidRPr="00A0163E">
              <w:rPr>
                <w:b/>
                <w:sz w:val="20"/>
              </w:rPr>
              <w:t xml:space="preserve">Query: </w:t>
            </w:r>
            <w:r w:rsidRPr="00A0163E">
              <w:rPr>
                <w:sz w:val="20"/>
              </w:rPr>
              <w:t>Searches for missions in which the Probability of Map Overflight (PMO) falls within the low value and high value entered. Affected by the floating-point number query limitation (see Note at the beginning of this Appendix).</w:t>
            </w:r>
          </w:p>
        </w:tc>
      </w:tr>
      <w:tr w:rsidR="00E104FD" w:rsidRPr="00C24B58" w14:paraId="5C0500D7"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2005FAC" w14:textId="77777777" w:rsidR="00E104FD" w:rsidRPr="00A0163E" w:rsidRDefault="00E104FD" w:rsidP="00EE1E85">
            <w:pPr>
              <w:spacing w:before="40" w:after="40" w:line="240" w:lineRule="auto"/>
              <w:ind w:left="115"/>
              <w:rPr>
                <w:sz w:val="20"/>
              </w:rPr>
            </w:pPr>
            <w:r w:rsidRPr="00A0163E">
              <w:rPr>
                <w:sz w:val="20"/>
              </w:rPr>
              <w:t>PMO (TOT)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36341E6" w14:textId="23D84C49"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109E</w:t>
            </w:r>
            <w:r w:rsidR="003420FA" w:rsidRPr="00A0163E">
              <w:rPr>
                <w:sz w:val="20"/>
              </w:rPr>
              <w:br/>
              <w:t>109E ACP</w:t>
            </w:r>
            <w:r w:rsidR="00EE1E85" w:rsidRPr="00A0163E">
              <w:rPr>
                <w:sz w:val="20"/>
              </w:rPr>
              <w:br/>
            </w:r>
            <w:r w:rsidR="003420FA"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1E3C422"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Estimate of the probability for the missile overflying the first TERCOM map set if the missile were launched from the maximum standoff range for TOT case.</w:t>
            </w:r>
          </w:p>
          <w:p w14:paraId="79E8334D" w14:textId="77777777" w:rsidR="00E104FD" w:rsidRPr="00A0163E" w:rsidRDefault="00E104FD" w:rsidP="00EE1E85">
            <w:pPr>
              <w:spacing w:before="40" w:after="40" w:line="240" w:lineRule="auto"/>
              <w:ind w:left="115"/>
              <w:rPr>
                <w:sz w:val="20"/>
              </w:rPr>
            </w:pPr>
            <w:r w:rsidRPr="00A0163E">
              <w:rPr>
                <w:b/>
                <w:sz w:val="20"/>
              </w:rPr>
              <w:t xml:space="preserve">Query: </w:t>
            </w:r>
            <w:r w:rsidRPr="00A0163E">
              <w:rPr>
                <w:sz w:val="20"/>
              </w:rPr>
              <w:t>Searches for missions in which the PMO TOA falls within the low value and high value entered. Affected by the floating-point number query limitation (see Note at the beginning of this Appendix).</w:t>
            </w:r>
          </w:p>
        </w:tc>
      </w:tr>
      <w:tr w:rsidR="00E104FD" w:rsidRPr="00C24B58" w14:paraId="3FCBC594"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6FE194A" w14:textId="77777777" w:rsidR="00E104FD" w:rsidRPr="00A0163E" w:rsidRDefault="00E104FD" w:rsidP="00EE1E85">
            <w:pPr>
              <w:spacing w:before="40" w:after="40" w:line="240" w:lineRule="auto"/>
              <w:ind w:left="115"/>
              <w:rPr>
                <w:sz w:val="20"/>
              </w:rPr>
            </w:pPr>
            <w:r w:rsidRPr="00A0163E">
              <w:rPr>
                <w:sz w:val="20"/>
              </w:rPr>
              <w:t>PSOR (Non-TOT)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D1CF5EA" w14:textId="66D150AE"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109E</w:t>
            </w:r>
            <w:r w:rsidR="003420FA" w:rsidRPr="00A0163E">
              <w:rPr>
                <w:sz w:val="20"/>
              </w:rPr>
              <w:br/>
              <w:t>109E ACP</w:t>
            </w:r>
            <w:r w:rsidR="00EE1E85" w:rsidRPr="00A0163E">
              <w:rPr>
                <w:sz w:val="20"/>
              </w:rPr>
              <w:br/>
            </w:r>
            <w:r w:rsidR="003420FA"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B12D72A"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The smaller of either the MAXSOR or the maximum distance (in nautical miles) that the missile can travel from launch to the FPPWP and still meet the expected probability for overflying the first TERCOM map set. Applies to missions that have a TOT flag set to </w:t>
            </w:r>
            <w:r w:rsidRPr="00A0163E">
              <w:rPr>
                <w:b/>
                <w:sz w:val="20"/>
              </w:rPr>
              <w:t>N</w:t>
            </w:r>
            <w:r w:rsidRPr="00A0163E">
              <w:rPr>
                <w:sz w:val="20"/>
              </w:rPr>
              <w:t>. Also referred to as Planned Stand-off Range (PSOR).</w:t>
            </w:r>
          </w:p>
          <w:p w14:paraId="1CD55933" w14:textId="77777777" w:rsidR="00E104FD" w:rsidRPr="00A0163E" w:rsidRDefault="00E104FD" w:rsidP="00EE1E85">
            <w:pPr>
              <w:spacing w:before="40" w:after="40" w:line="240" w:lineRule="auto"/>
              <w:ind w:left="115"/>
              <w:rPr>
                <w:b/>
                <w:sz w:val="20"/>
              </w:rPr>
            </w:pPr>
            <w:r w:rsidRPr="00A0163E">
              <w:rPr>
                <w:b/>
                <w:sz w:val="20"/>
              </w:rPr>
              <w:t xml:space="preserve">Query: </w:t>
            </w:r>
            <w:r w:rsidRPr="00A0163E">
              <w:rPr>
                <w:sz w:val="20"/>
              </w:rPr>
              <w:t>Searches for non-TOT missions in which the PSOR falls within the low value and high value entered.</w:t>
            </w:r>
          </w:p>
        </w:tc>
      </w:tr>
      <w:tr w:rsidR="00E104FD" w:rsidRPr="00C24B58" w14:paraId="1AAB943F"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767A69F" w14:textId="77777777" w:rsidR="00E104FD" w:rsidRPr="00A0163E" w:rsidRDefault="00E104FD" w:rsidP="00EE1E85">
            <w:pPr>
              <w:spacing w:before="40" w:after="40" w:line="240" w:lineRule="auto"/>
              <w:ind w:left="115"/>
              <w:rPr>
                <w:sz w:val="20"/>
              </w:rPr>
            </w:pPr>
            <w:r w:rsidRPr="00A0163E">
              <w:rPr>
                <w:sz w:val="20"/>
              </w:rPr>
              <w:t>PSOR (TOT)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E6FCBCC" w14:textId="64716F1B" w:rsidR="00E104FD" w:rsidRPr="00A0163E" w:rsidRDefault="00E104FD" w:rsidP="00EE1E85">
            <w:pPr>
              <w:spacing w:before="40" w:after="40" w:line="240" w:lineRule="auto"/>
              <w:ind w:left="115"/>
              <w:rPr>
                <w:sz w:val="20"/>
              </w:rPr>
            </w:pPr>
            <w:r w:rsidRPr="00A0163E">
              <w:rPr>
                <w:sz w:val="20"/>
              </w:rPr>
              <w:t>109C</w:t>
            </w:r>
            <w:r w:rsidRPr="00A0163E">
              <w:rPr>
                <w:sz w:val="20"/>
              </w:rPr>
              <w:br/>
              <w:t>109D</w:t>
            </w:r>
            <w:r w:rsidRPr="00A0163E">
              <w:rPr>
                <w:sz w:val="20"/>
              </w:rPr>
              <w:br/>
              <w:t>109E</w:t>
            </w:r>
            <w:r w:rsidR="003420FA" w:rsidRPr="00A0163E">
              <w:rPr>
                <w:sz w:val="20"/>
              </w:rPr>
              <w:br/>
              <w:t>109E ACP</w:t>
            </w:r>
            <w:r w:rsidR="00EE1E85" w:rsidRPr="00A0163E">
              <w:rPr>
                <w:sz w:val="20"/>
              </w:rPr>
              <w:br/>
            </w:r>
            <w:r w:rsidR="003420FA" w:rsidRPr="00A0163E">
              <w:rPr>
                <w:sz w:val="20"/>
              </w:rPr>
              <w:t>MSTM</w:t>
            </w:r>
            <w:r w:rsidR="00EE1E85" w:rsidRPr="00A0163E">
              <w:rPr>
                <w:sz w:val="20"/>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11EA2721" w14:textId="77777777" w:rsidR="00E104FD" w:rsidRPr="00A0163E" w:rsidRDefault="00E104FD" w:rsidP="00EE1E85">
            <w:pPr>
              <w:spacing w:before="40" w:after="40" w:line="240" w:lineRule="auto"/>
              <w:ind w:left="115"/>
              <w:rPr>
                <w:sz w:val="20"/>
              </w:rPr>
            </w:pPr>
            <w:r w:rsidRPr="00A0163E">
              <w:rPr>
                <w:b/>
                <w:sz w:val="20"/>
              </w:rPr>
              <w:t>Definition:</w:t>
            </w:r>
            <w:r w:rsidRPr="00A0163E">
              <w:rPr>
                <w:sz w:val="20"/>
              </w:rPr>
              <w:t xml:space="preserve"> The smaller of either the MAXSOR or the maximum distance (in nautical miles) that the missile can travel from launch to the FPPWP and still meet the expected probability for overflying the first TERCOM map set. Applies to missions that have a TOT flag set to </w:t>
            </w:r>
            <w:r w:rsidRPr="00A0163E">
              <w:rPr>
                <w:b/>
                <w:sz w:val="20"/>
              </w:rPr>
              <w:t>Y</w:t>
            </w:r>
            <w:r w:rsidRPr="00A0163E">
              <w:rPr>
                <w:sz w:val="20"/>
              </w:rPr>
              <w:t>. Also referred to as PSOR.</w:t>
            </w:r>
          </w:p>
          <w:p w14:paraId="5EEBE48B" w14:textId="77777777" w:rsidR="00E104FD" w:rsidRPr="00A0163E" w:rsidRDefault="00E104FD" w:rsidP="00EE1E85">
            <w:pPr>
              <w:spacing w:before="40" w:after="40" w:line="240" w:lineRule="auto"/>
              <w:ind w:left="115"/>
              <w:rPr>
                <w:b/>
                <w:sz w:val="20"/>
              </w:rPr>
            </w:pPr>
            <w:r w:rsidRPr="00A0163E">
              <w:rPr>
                <w:b/>
                <w:sz w:val="20"/>
              </w:rPr>
              <w:t xml:space="preserve">Query: </w:t>
            </w:r>
            <w:r w:rsidRPr="00A0163E">
              <w:rPr>
                <w:sz w:val="20"/>
              </w:rPr>
              <w:t>Searches for TOT missions in which the PSOR falls within the low value and high value entered.</w:t>
            </w:r>
          </w:p>
        </w:tc>
      </w:tr>
    </w:tbl>
    <w:p w14:paraId="4362F001" w14:textId="77777777" w:rsidR="00E104FD" w:rsidRPr="000665B0" w:rsidRDefault="00E104FD" w:rsidP="00E104FD">
      <w:pPr>
        <w:jc w:val="center"/>
      </w:pPr>
    </w:p>
    <w:p w14:paraId="374757D3" w14:textId="77777777" w:rsidR="001E6FA1" w:rsidRPr="000665B0" w:rsidRDefault="001E6FA1" w:rsidP="006D5A65">
      <w:pPr>
        <w:pStyle w:val="Heading4"/>
      </w:pPr>
      <w:r w:rsidRPr="000665B0">
        <w:lastRenderedPageBreak/>
        <w:t>Environmental Tab</w:t>
      </w:r>
    </w:p>
    <w:p w14:paraId="69254708" w14:textId="272BCEB0" w:rsidR="001E6FA1" w:rsidRDefault="00EE1E85" w:rsidP="008C07A5">
      <w:pPr>
        <w:jc w:val="center"/>
      </w:pPr>
      <w:r w:rsidRPr="00542B90">
        <w:rPr>
          <w:noProof/>
        </w:rPr>
        <w:drawing>
          <wp:inline distT="0" distB="0" distL="0" distR="0" wp14:anchorId="0802B6B1" wp14:editId="554D9792">
            <wp:extent cx="4841142" cy="4846320"/>
            <wp:effectExtent l="0" t="0" r="0" b="0"/>
            <wp:docPr id="1033983172"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83172" name="Picture 1" descr="Graphical user interface, application&#10;&#10;Description automatically generated"/>
                    <pic:cNvPicPr/>
                  </pic:nvPicPr>
                  <pic:blipFill>
                    <a:blip/>
                    <a:stretch>
                      <a:fillRect/>
                    </a:stretch>
                  </pic:blipFill>
                  <pic:spPr>
                    <a:xfrm>
                      <a:off x="0" y="0"/>
                      <a:ext cx="4855190" cy="4860383"/>
                    </a:xfrm>
                    <a:prstGeom prst="rect">
                      <a:avLst/>
                    </a:prstGeom>
                  </pic:spPr>
                </pic:pic>
              </a:graphicData>
            </a:graphic>
          </wp:inline>
        </w:drawing>
      </w:r>
    </w:p>
    <w:p w14:paraId="08CD7C48" w14:textId="77777777" w:rsidR="008C07A5" w:rsidRPr="000665B0" w:rsidRDefault="008C07A5" w:rsidP="008C07A5">
      <w:pPr>
        <w:jc w:val="center"/>
      </w:pPr>
    </w:p>
    <w:tbl>
      <w:tblPr>
        <w:tblW w:w="12955" w:type="dxa"/>
        <w:tblLayout w:type="fixed"/>
        <w:tblCellMar>
          <w:left w:w="0" w:type="dxa"/>
          <w:right w:w="0" w:type="dxa"/>
        </w:tblCellMar>
        <w:tblLook w:val="0000" w:firstRow="0" w:lastRow="0" w:firstColumn="0" w:lastColumn="0" w:noHBand="0" w:noVBand="0"/>
      </w:tblPr>
      <w:tblGrid>
        <w:gridCol w:w="1885"/>
        <w:gridCol w:w="1260"/>
        <w:gridCol w:w="9810"/>
      </w:tblGrid>
      <w:tr w:rsidR="001E6FA1" w:rsidRPr="00C24B58" w14:paraId="444222BC" w14:textId="77777777" w:rsidTr="000E2A47">
        <w:trPr>
          <w:cantSplit/>
          <w:trHeight w:val="144"/>
          <w:tblHead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0D0E14B4" w14:textId="77777777" w:rsidR="001E6FA1" w:rsidRPr="00A0163E" w:rsidRDefault="001E6FA1" w:rsidP="00EE1E85">
            <w:pPr>
              <w:pageBreakBefore/>
              <w:spacing w:before="40" w:after="40" w:line="240" w:lineRule="auto"/>
              <w:ind w:left="115"/>
              <w:rPr>
                <w:b/>
                <w:sz w:val="22"/>
                <w:szCs w:val="22"/>
              </w:rPr>
            </w:pPr>
            <w:r w:rsidRPr="00A0163E">
              <w:rPr>
                <w:b/>
                <w:sz w:val="22"/>
                <w:szCs w:val="22"/>
              </w:rPr>
              <w:lastRenderedPageBreak/>
              <w:t>Query Button</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703CE8FF" w14:textId="77777777" w:rsidR="001E6FA1" w:rsidRPr="00A0163E" w:rsidRDefault="001E6FA1" w:rsidP="00EE1E85">
            <w:pPr>
              <w:spacing w:before="40" w:after="40" w:line="240" w:lineRule="auto"/>
              <w:ind w:left="115"/>
              <w:rPr>
                <w:b/>
                <w:sz w:val="22"/>
                <w:szCs w:val="22"/>
              </w:rPr>
            </w:pPr>
            <w:r w:rsidRPr="00A0163E">
              <w:rPr>
                <w:b/>
                <w:sz w:val="22"/>
                <w:szCs w:val="22"/>
              </w:rPr>
              <w:t>Variant</w:t>
            </w:r>
          </w:p>
        </w:tc>
        <w:tc>
          <w:tcPr>
            <w:tcW w:w="9810" w:type="dxa"/>
            <w:tcBorders>
              <w:top w:val="single" w:sz="4" w:space="0" w:color="auto"/>
              <w:left w:val="nil"/>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6BC373E6" w14:textId="6977442B" w:rsidR="001E6FA1" w:rsidRPr="00A0163E" w:rsidRDefault="001E6FA1" w:rsidP="00EE1E85">
            <w:pPr>
              <w:spacing w:before="40" w:after="40" w:line="240" w:lineRule="auto"/>
              <w:ind w:left="115"/>
              <w:rPr>
                <w:b/>
                <w:sz w:val="22"/>
                <w:szCs w:val="22"/>
              </w:rPr>
            </w:pPr>
            <w:r w:rsidRPr="00A0163E">
              <w:rPr>
                <w:b/>
                <w:sz w:val="22"/>
                <w:szCs w:val="22"/>
              </w:rPr>
              <w:t>Definition and Query Details</w:t>
            </w:r>
          </w:p>
        </w:tc>
      </w:tr>
      <w:tr w:rsidR="001E6FA1" w:rsidRPr="00C24B58" w14:paraId="5FDD9EF7"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83B5A98" w14:textId="77777777" w:rsidR="001E6FA1" w:rsidRPr="00A0163E" w:rsidRDefault="001E6FA1" w:rsidP="00EE1E85">
            <w:pPr>
              <w:spacing w:before="40" w:after="40" w:line="240" w:lineRule="auto"/>
              <w:ind w:left="115"/>
              <w:rPr>
                <w:b/>
                <w:sz w:val="22"/>
                <w:szCs w:val="22"/>
              </w:rPr>
            </w:pPr>
            <w:r w:rsidRPr="00A0163E">
              <w:rPr>
                <w:sz w:val="22"/>
                <w:szCs w:val="22"/>
              </w:rPr>
              <w:t>Analysis Day Type</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80F39F5" w14:textId="6BBCB540" w:rsidR="001E6FA1" w:rsidRPr="00A0163E" w:rsidRDefault="001E6FA1" w:rsidP="00EE1E85">
            <w:pPr>
              <w:spacing w:before="40" w:after="40" w:line="240" w:lineRule="auto"/>
              <w:ind w:left="115"/>
              <w:rPr>
                <w:b/>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B2F4372" w14:textId="1B65560E" w:rsidR="001E6FA1" w:rsidRPr="00A0163E" w:rsidRDefault="001E6FA1" w:rsidP="00EE1E85">
            <w:pPr>
              <w:spacing w:before="40" w:after="40" w:line="240" w:lineRule="auto"/>
              <w:ind w:left="115"/>
              <w:rPr>
                <w:sz w:val="22"/>
                <w:szCs w:val="22"/>
              </w:rPr>
            </w:pPr>
            <w:r w:rsidRPr="00A0163E">
              <w:rPr>
                <w:b/>
                <w:sz w:val="22"/>
                <w:szCs w:val="22"/>
              </w:rPr>
              <w:t>Definition:</w:t>
            </w:r>
            <w:r w:rsidRPr="00A0163E">
              <w:rPr>
                <w:sz w:val="22"/>
                <w:szCs w:val="22"/>
              </w:rPr>
              <w:t xml:space="preserve"> Identifies the standard atmospheric conditions assumed during mission planning. Each mission can have only one type. Valid values are: </w:t>
            </w:r>
            <w:r w:rsidRPr="00A0163E">
              <w:rPr>
                <w:b/>
                <w:sz w:val="22"/>
                <w:szCs w:val="22"/>
              </w:rPr>
              <w:t>Cold</w:t>
            </w:r>
            <w:r w:rsidR="00394AAA" w:rsidRPr="00A0163E">
              <w:rPr>
                <w:sz w:val="22"/>
                <w:szCs w:val="22"/>
              </w:rPr>
              <w:t xml:space="preserve"> (default)</w:t>
            </w:r>
            <w:r w:rsidRPr="00A0163E">
              <w:rPr>
                <w:sz w:val="22"/>
                <w:szCs w:val="22"/>
              </w:rPr>
              <w:t xml:space="preserve">, </w:t>
            </w:r>
            <w:r w:rsidRPr="00A0163E">
              <w:rPr>
                <w:b/>
                <w:sz w:val="22"/>
                <w:szCs w:val="22"/>
              </w:rPr>
              <w:t>Standard</w:t>
            </w:r>
            <w:r w:rsidRPr="00A0163E">
              <w:rPr>
                <w:sz w:val="22"/>
                <w:szCs w:val="22"/>
              </w:rPr>
              <w:t xml:space="preserve">, </w:t>
            </w:r>
            <w:r w:rsidRPr="00A0163E">
              <w:rPr>
                <w:b/>
                <w:sz w:val="22"/>
                <w:szCs w:val="22"/>
              </w:rPr>
              <w:t>Tropical</w:t>
            </w:r>
            <w:r w:rsidRPr="00A0163E">
              <w:rPr>
                <w:sz w:val="22"/>
                <w:szCs w:val="22"/>
              </w:rPr>
              <w:t xml:space="preserve">, </w:t>
            </w:r>
            <w:r w:rsidRPr="00A0163E">
              <w:rPr>
                <w:b/>
                <w:sz w:val="22"/>
                <w:szCs w:val="22"/>
              </w:rPr>
              <w:t>Hot</w:t>
            </w:r>
            <w:r w:rsidRPr="00A0163E">
              <w:rPr>
                <w:sz w:val="22"/>
                <w:szCs w:val="22"/>
              </w:rPr>
              <w:t xml:space="preserve">, </w:t>
            </w:r>
            <w:r w:rsidRPr="00A0163E">
              <w:rPr>
                <w:b/>
                <w:sz w:val="22"/>
                <w:szCs w:val="22"/>
              </w:rPr>
              <w:t>Hot +</w:t>
            </w:r>
            <w:r w:rsidR="00394AAA" w:rsidRPr="00A0163E">
              <w:rPr>
                <w:b/>
                <w:sz w:val="22"/>
                <w:szCs w:val="22"/>
              </w:rPr>
              <w:t xml:space="preserve"> </w:t>
            </w:r>
            <w:r w:rsidRPr="00A0163E">
              <w:rPr>
                <w:b/>
                <w:sz w:val="22"/>
                <w:szCs w:val="22"/>
              </w:rPr>
              <w:t>15</w:t>
            </w:r>
            <w:r w:rsidRPr="00A0163E">
              <w:rPr>
                <w:sz w:val="22"/>
                <w:szCs w:val="22"/>
              </w:rPr>
              <w:t xml:space="preserve">, </w:t>
            </w:r>
            <w:r w:rsidR="00394AAA" w:rsidRPr="00A0163E">
              <w:rPr>
                <w:sz w:val="22"/>
                <w:szCs w:val="22"/>
              </w:rPr>
              <w:t xml:space="preserve">or </w:t>
            </w:r>
            <w:r w:rsidRPr="00A0163E">
              <w:rPr>
                <w:b/>
                <w:sz w:val="22"/>
                <w:szCs w:val="22"/>
              </w:rPr>
              <w:t>Polar</w:t>
            </w:r>
            <w:r w:rsidRPr="00A0163E">
              <w:rPr>
                <w:sz w:val="22"/>
                <w:szCs w:val="22"/>
              </w:rPr>
              <w:t>.</w:t>
            </w:r>
          </w:p>
          <w:p w14:paraId="3F3B4548" w14:textId="688DC758" w:rsidR="001E6FA1" w:rsidRPr="00A0163E" w:rsidRDefault="001E6FA1" w:rsidP="00EE1E85">
            <w:pPr>
              <w:spacing w:before="40" w:after="40" w:line="240" w:lineRule="auto"/>
              <w:ind w:left="115"/>
              <w:rPr>
                <w:sz w:val="22"/>
                <w:szCs w:val="22"/>
              </w:rPr>
            </w:pPr>
            <w:r w:rsidRPr="00A0163E">
              <w:rPr>
                <w:b/>
                <w:sz w:val="22"/>
                <w:szCs w:val="22"/>
              </w:rPr>
              <w:t>Query:</w:t>
            </w:r>
            <w:r w:rsidRPr="00A0163E">
              <w:rPr>
                <w:sz w:val="22"/>
                <w:szCs w:val="22"/>
              </w:rPr>
              <w:t xml:space="preserve"> Searches for missions that match the selected Analysis Day Type.</w:t>
            </w:r>
          </w:p>
        </w:tc>
      </w:tr>
      <w:tr w:rsidR="0089542D" w:rsidRPr="00C24B58" w14:paraId="57CAE642"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DAAF5B6" w14:textId="77777777" w:rsidR="0089542D" w:rsidRPr="00A0163E" w:rsidRDefault="0089542D" w:rsidP="00EE1E85">
            <w:pPr>
              <w:spacing w:before="40" w:after="40" w:line="240" w:lineRule="auto"/>
              <w:ind w:left="115"/>
              <w:rPr>
                <w:sz w:val="22"/>
                <w:szCs w:val="22"/>
              </w:rPr>
            </w:pPr>
            <w:r w:rsidRPr="00A0163E">
              <w:rPr>
                <w:sz w:val="22"/>
                <w:szCs w:val="22"/>
              </w:rPr>
              <w:t>Day Overflt. Win. Closes</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2A14BD1" w14:textId="1813BC3D" w:rsidR="0089542D" w:rsidRPr="00A0163E" w:rsidRDefault="0089542D"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20E65EC7" w14:textId="342F3195" w:rsidR="0089542D" w:rsidRPr="00A0163E" w:rsidRDefault="0089542D" w:rsidP="00EE1E85">
            <w:pPr>
              <w:spacing w:before="40" w:after="40" w:line="240" w:lineRule="auto"/>
              <w:ind w:left="115"/>
              <w:rPr>
                <w:sz w:val="22"/>
                <w:szCs w:val="22"/>
              </w:rPr>
            </w:pPr>
            <w:r w:rsidRPr="00A0163E">
              <w:rPr>
                <w:b/>
                <w:sz w:val="22"/>
                <w:szCs w:val="22"/>
              </w:rPr>
              <w:t>Definition:</w:t>
            </w:r>
            <w:r w:rsidRPr="00A0163E">
              <w:rPr>
                <w:sz w:val="22"/>
                <w:szCs w:val="22"/>
              </w:rPr>
              <w:t xml:space="preserve"> The latest time (in hours) before sunset (in </w:t>
            </w:r>
            <w:r w:rsidR="00274DFF" w:rsidRPr="00A0163E">
              <w:rPr>
                <w:sz w:val="22"/>
                <w:szCs w:val="22"/>
              </w:rPr>
              <w:t>half-</w:t>
            </w:r>
            <w:r w:rsidRPr="00A0163E">
              <w:rPr>
                <w:sz w:val="22"/>
                <w:szCs w:val="22"/>
              </w:rPr>
              <w:t>hour increments) when a missile must pass the last DSMAC map in a Day use Only or Day/Night Use mission. For Day/Night Use missions, the permissible window opens again at sunset at the first DSMAC map.</w:t>
            </w:r>
          </w:p>
          <w:p w14:paraId="40CEC791" w14:textId="77777777" w:rsidR="0089542D" w:rsidRPr="00A0163E" w:rsidRDefault="0089542D" w:rsidP="00EE1E85">
            <w:pPr>
              <w:spacing w:before="40" w:after="40" w:line="240" w:lineRule="auto"/>
              <w:ind w:left="115"/>
              <w:rPr>
                <w:b/>
                <w:sz w:val="22"/>
                <w:szCs w:val="22"/>
              </w:rPr>
            </w:pPr>
            <w:r w:rsidRPr="00A0163E">
              <w:rPr>
                <w:b/>
                <w:sz w:val="22"/>
                <w:szCs w:val="22"/>
              </w:rPr>
              <w:t xml:space="preserve">Query: </w:t>
            </w:r>
            <w:r w:rsidRPr="00A0163E">
              <w:rPr>
                <w:sz w:val="22"/>
                <w:szCs w:val="22"/>
              </w:rPr>
              <w:t>Searches for missions in which the daylight Day Overflight Window hours fall within the low value and high value entered. Affected by the floating-point number query limitation (see Note at the beginning of this Appendix).</w:t>
            </w:r>
          </w:p>
        </w:tc>
      </w:tr>
      <w:tr w:rsidR="0089542D" w:rsidRPr="00C24B58" w14:paraId="3BA3E460"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390584B" w14:textId="7BD05E4F" w:rsidR="0089542D" w:rsidRPr="00A0163E" w:rsidRDefault="0089542D" w:rsidP="00EE1E85">
            <w:pPr>
              <w:spacing w:before="40" w:after="40" w:line="240" w:lineRule="auto"/>
              <w:ind w:left="115"/>
              <w:rPr>
                <w:sz w:val="22"/>
                <w:szCs w:val="22"/>
              </w:rPr>
            </w:pPr>
            <w:r w:rsidRPr="00A0163E">
              <w:rPr>
                <w:sz w:val="22"/>
                <w:szCs w:val="22"/>
              </w:rPr>
              <w:t>Day Overflt. Win. Opens</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3980831" w14:textId="7C9ACF03" w:rsidR="0089542D" w:rsidRPr="00A0163E" w:rsidRDefault="0089542D"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A7F1C90" w14:textId="604F09D9" w:rsidR="0089542D" w:rsidRPr="00A0163E" w:rsidRDefault="0089542D" w:rsidP="00EE1E85">
            <w:pPr>
              <w:spacing w:before="40" w:after="40" w:line="240" w:lineRule="auto"/>
              <w:ind w:left="115"/>
              <w:rPr>
                <w:b/>
                <w:sz w:val="22"/>
                <w:szCs w:val="22"/>
              </w:rPr>
            </w:pPr>
            <w:r w:rsidRPr="00A0163E">
              <w:rPr>
                <w:b/>
                <w:sz w:val="22"/>
                <w:szCs w:val="22"/>
              </w:rPr>
              <w:t xml:space="preserve">Definition: </w:t>
            </w:r>
            <w:r w:rsidRPr="00A0163E">
              <w:rPr>
                <w:sz w:val="22"/>
                <w:szCs w:val="22"/>
              </w:rPr>
              <w:t xml:space="preserve">The earliest time (in hours) after sunrise (in </w:t>
            </w:r>
            <w:r w:rsidR="00274DFF" w:rsidRPr="00A0163E">
              <w:rPr>
                <w:sz w:val="22"/>
                <w:szCs w:val="22"/>
              </w:rPr>
              <w:t>half-hour</w:t>
            </w:r>
            <w:r w:rsidRPr="00A0163E">
              <w:rPr>
                <w:sz w:val="22"/>
                <w:szCs w:val="22"/>
              </w:rPr>
              <w:t xml:space="preserve"> increments) when a missile must pass the first DSMAC map in a Day use only or Day/Night Use mission. For Day/Night Use missions, the permissible window opens again at sunset at the first DSMAC map.</w:t>
            </w:r>
          </w:p>
          <w:p w14:paraId="39779535" w14:textId="77777777" w:rsidR="0089542D" w:rsidRPr="00A0163E" w:rsidRDefault="0089542D" w:rsidP="00EE1E85">
            <w:pPr>
              <w:spacing w:before="40" w:after="40" w:line="240" w:lineRule="auto"/>
              <w:ind w:left="115"/>
              <w:rPr>
                <w:b/>
                <w:sz w:val="22"/>
                <w:szCs w:val="22"/>
              </w:rPr>
            </w:pPr>
            <w:r w:rsidRPr="00A0163E">
              <w:rPr>
                <w:b/>
                <w:sz w:val="22"/>
                <w:szCs w:val="22"/>
              </w:rPr>
              <w:t xml:space="preserve">Query: </w:t>
            </w:r>
            <w:r w:rsidRPr="00A0163E">
              <w:rPr>
                <w:sz w:val="22"/>
                <w:szCs w:val="22"/>
              </w:rPr>
              <w:t>Searches for missions in which the daylight Day Overflight Window hours fall within the low value and high value entered. Affected by the floating-point number query limitation (see Note at the beginning of this Appendix).</w:t>
            </w:r>
          </w:p>
        </w:tc>
      </w:tr>
      <w:tr w:rsidR="001E6FA1" w:rsidRPr="00C24B58" w14:paraId="0D68F297"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4285254" w14:textId="77777777" w:rsidR="001E6FA1" w:rsidRPr="00A0163E" w:rsidRDefault="001E6FA1" w:rsidP="00EE1E85">
            <w:pPr>
              <w:spacing w:before="40" w:after="40" w:line="240" w:lineRule="auto"/>
              <w:ind w:left="115"/>
              <w:rPr>
                <w:b/>
                <w:sz w:val="22"/>
                <w:szCs w:val="22"/>
              </w:rPr>
            </w:pPr>
            <w:r w:rsidRPr="00A0163E">
              <w:rPr>
                <w:sz w:val="22"/>
                <w:szCs w:val="22"/>
              </w:rPr>
              <w:t>Day/Night Statement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9EB503C" w14:textId="4E5F76C6" w:rsidR="001E6FA1" w:rsidRPr="00A0163E" w:rsidRDefault="001E6FA1"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4371E0F8" w14:textId="77777777" w:rsidR="001E6FA1" w:rsidRPr="00A0163E" w:rsidRDefault="001E6FA1" w:rsidP="00EE1E85">
            <w:pPr>
              <w:spacing w:before="40" w:after="40" w:line="240" w:lineRule="auto"/>
              <w:ind w:left="115"/>
              <w:rPr>
                <w:sz w:val="22"/>
                <w:szCs w:val="22"/>
              </w:rPr>
            </w:pPr>
            <w:r w:rsidRPr="00A0163E">
              <w:rPr>
                <w:b/>
                <w:sz w:val="22"/>
                <w:szCs w:val="22"/>
              </w:rPr>
              <w:t>Definition:</w:t>
            </w:r>
            <w:r w:rsidRPr="00A0163E">
              <w:rPr>
                <w:sz w:val="22"/>
                <w:szCs w:val="22"/>
              </w:rPr>
              <w:t xml:space="preserve"> One of three standard phrases for which the mission was planned. Each mission will have only one statement type. Valid values are: </w:t>
            </w:r>
            <w:r w:rsidRPr="00A0163E">
              <w:rPr>
                <w:b/>
                <w:sz w:val="22"/>
                <w:szCs w:val="22"/>
              </w:rPr>
              <w:t>Day Only</w:t>
            </w:r>
            <w:r w:rsidRPr="00A0163E">
              <w:rPr>
                <w:sz w:val="22"/>
                <w:szCs w:val="22"/>
              </w:rPr>
              <w:t xml:space="preserve"> (default), </w:t>
            </w:r>
            <w:r w:rsidRPr="00A0163E">
              <w:rPr>
                <w:b/>
                <w:sz w:val="22"/>
                <w:szCs w:val="22"/>
              </w:rPr>
              <w:t>Night Only</w:t>
            </w:r>
            <w:r w:rsidRPr="00A0163E">
              <w:rPr>
                <w:sz w:val="22"/>
                <w:szCs w:val="22"/>
              </w:rPr>
              <w:t xml:space="preserve">, or </w:t>
            </w:r>
            <w:r w:rsidRPr="00A0163E">
              <w:rPr>
                <w:b/>
                <w:sz w:val="22"/>
                <w:szCs w:val="22"/>
              </w:rPr>
              <w:t>Day and Night</w:t>
            </w:r>
            <w:r w:rsidRPr="00A0163E">
              <w:rPr>
                <w:sz w:val="22"/>
                <w:szCs w:val="22"/>
              </w:rPr>
              <w:t>.</w:t>
            </w:r>
          </w:p>
          <w:p w14:paraId="02D05567" w14:textId="4E82BE79" w:rsidR="001E6FA1" w:rsidRPr="00A0163E" w:rsidRDefault="001E6FA1" w:rsidP="00EE1E85">
            <w:pPr>
              <w:spacing w:before="40" w:after="40" w:line="240" w:lineRule="auto"/>
              <w:ind w:left="115"/>
              <w:rPr>
                <w:b/>
                <w:sz w:val="22"/>
                <w:szCs w:val="22"/>
              </w:rPr>
            </w:pPr>
            <w:r w:rsidRPr="00A0163E">
              <w:rPr>
                <w:b/>
                <w:sz w:val="22"/>
                <w:szCs w:val="22"/>
              </w:rPr>
              <w:t>Query:</w:t>
            </w:r>
            <w:r w:rsidRPr="00A0163E">
              <w:rPr>
                <w:sz w:val="22"/>
                <w:szCs w:val="22"/>
              </w:rPr>
              <w:t xml:space="preserve"> Searches for missions that match the selected Day/Night Statement.</w:t>
            </w:r>
          </w:p>
        </w:tc>
      </w:tr>
      <w:tr w:rsidR="001E6FA1" w:rsidRPr="00C24B58" w14:paraId="51548ADF"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E2F37BE" w14:textId="77777777" w:rsidR="001E6FA1" w:rsidRPr="00A0163E" w:rsidRDefault="001E6FA1" w:rsidP="00EE1E85">
            <w:pPr>
              <w:spacing w:before="40" w:after="40" w:line="240" w:lineRule="auto"/>
              <w:ind w:left="115"/>
              <w:rPr>
                <w:sz w:val="22"/>
                <w:szCs w:val="22"/>
              </w:rPr>
            </w:pPr>
            <w:r w:rsidRPr="00A0163E">
              <w:rPr>
                <w:sz w:val="22"/>
                <w:szCs w:val="22"/>
              </w:rPr>
              <w:t>DSMAC Employment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47A36EF" w14:textId="4E89BE0B" w:rsidR="001E6FA1" w:rsidRPr="00A0163E" w:rsidRDefault="001E6FA1"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1F9A5088" w14:textId="77777777" w:rsidR="001E6FA1" w:rsidRPr="00A0163E" w:rsidRDefault="001E6FA1" w:rsidP="00EE1E85">
            <w:pPr>
              <w:spacing w:before="40" w:after="40" w:line="240" w:lineRule="auto"/>
              <w:ind w:left="115"/>
              <w:rPr>
                <w:sz w:val="22"/>
                <w:szCs w:val="22"/>
              </w:rPr>
            </w:pPr>
            <w:r w:rsidRPr="00A0163E">
              <w:rPr>
                <w:b/>
                <w:sz w:val="22"/>
                <w:szCs w:val="22"/>
              </w:rPr>
              <w:t>Definition:</w:t>
            </w:r>
            <w:r w:rsidRPr="00A0163E">
              <w:rPr>
                <w:sz w:val="22"/>
                <w:szCs w:val="22"/>
              </w:rPr>
              <w:t xml:space="preserve"> The DSMAC Employment Parameter’s day of the year and time of the day as defined in C2X.</w:t>
            </w:r>
          </w:p>
          <w:p w14:paraId="7E1045D9" w14:textId="77777777" w:rsidR="001E6FA1" w:rsidRPr="00A0163E" w:rsidRDefault="001E6FA1" w:rsidP="00EE1E85">
            <w:pPr>
              <w:spacing w:before="40" w:after="40" w:line="240" w:lineRule="auto"/>
              <w:ind w:left="115"/>
              <w:rPr>
                <w:b/>
                <w:sz w:val="22"/>
                <w:szCs w:val="22"/>
              </w:rPr>
            </w:pPr>
            <w:r w:rsidRPr="00A0163E">
              <w:rPr>
                <w:b/>
                <w:sz w:val="22"/>
                <w:szCs w:val="22"/>
              </w:rPr>
              <w:t xml:space="preserve">Query: </w:t>
            </w:r>
            <w:r w:rsidRPr="00A0163E">
              <w:rPr>
                <w:sz w:val="22"/>
                <w:szCs w:val="22"/>
              </w:rPr>
              <w:t>Searches for missions in which the associated DSMAC Employment parameters fall within the day and time values entered.</w:t>
            </w:r>
          </w:p>
        </w:tc>
      </w:tr>
      <w:tr w:rsidR="001E6FA1" w:rsidRPr="00C24B58" w14:paraId="73B43503"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3605C5D" w14:textId="77777777" w:rsidR="001E6FA1" w:rsidRPr="00A0163E" w:rsidRDefault="001E6FA1" w:rsidP="00EE1E85">
            <w:pPr>
              <w:spacing w:before="40" w:after="40" w:line="240" w:lineRule="auto"/>
              <w:ind w:left="115"/>
              <w:rPr>
                <w:sz w:val="22"/>
                <w:szCs w:val="22"/>
              </w:rPr>
            </w:pPr>
            <w:r w:rsidRPr="00A0163E">
              <w:rPr>
                <w:sz w:val="22"/>
                <w:szCs w:val="22"/>
              </w:rPr>
              <w:t>DSMAC MIN Ceiling</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2C41CFA" w14:textId="198F2CDF" w:rsidR="001E6FA1" w:rsidRPr="00A0163E" w:rsidRDefault="001E6FA1"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8985759" w14:textId="77777777" w:rsidR="001E6FA1" w:rsidRPr="00A0163E" w:rsidRDefault="001E6FA1" w:rsidP="00EE1E85">
            <w:pPr>
              <w:spacing w:before="40" w:after="40" w:line="240" w:lineRule="auto"/>
              <w:ind w:left="115"/>
              <w:rPr>
                <w:sz w:val="22"/>
                <w:szCs w:val="22"/>
              </w:rPr>
            </w:pPr>
            <w:r w:rsidRPr="00A0163E">
              <w:rPr>
                <w:b/>
                <w:sz w:val="22"/>
                <w:szCs w:val="22"/>
              </w:rPr>
              <w:t>Definition:</w:t>
            </w:r>
            <w:r w:rsidRPr="00A0163E">
              <w:rPr>
                <w:sz w:val="22"/>
                <w:szCs w:val="22"/>
              </w:rPr>
              <w:t xml:space="preserve"> The minimum acceptable ceiling (in feet AGL) in the DSMAC area for proper DSMAC sensor operation.</w:t>
            </w:r>
          </w:p>
          <w:p w14:paraId="575BB178" w14:textId="77777777" w:rsidR="001E6FA1" w:rsidRPr="00A0163E" w:rsidRDefault="001E6FA1" w:rsidP="00EE1E85">
            <w:pPr>
              <w:spacing w:before="40" w:after="40" w:line="240" w:lineRule="auto"/>
              <w:ind w:left="115"/>
              <w:rPr>
                <w:b/>
                <w:sz w:val="22"/>
                <w:szCs w:val="22"/>
              </w:rPr>
            </w:pPr>
            <w:r w:rsidRPr="00A0163E">
              <w:rPr>
                <w:b/>
                <w:sz w:val="22"/>
                <w:szCs w:val="22"/>
              </w:rPr>
              <w:t xml:space="preserve">Query: </w:t>
            </w:r>
            <w:r w:rsidRPr="00A0163E">
              <w:rPr>
                <w:sz w:val="22"/>
                <w:szCs w:val="22"/>
              </w:rPr>
              <w:t>Searches for missions in which the DSMAC MIN Ceiling falls within the low value and high value entered. If only a high or low value is entered, the query searches only for that specific value (vs. for a range).</w:t>
            </w:r>
          </w:p>
        </w:tc>
      </w:tr>
      <w:tr w:rsidR="001E6FA1" w:rsidRPr="00C24B58" w14:paraId="486EEE37"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50E1A82" w14:textId="77777777" w:rsidR="001E6FA1" w:rsidRPr="00A0163E" w:rsidRDefault="001E6FA1" w:rsidP="00EE1E85">
            <w:pPr>
              <w:spacing w:before="40" w:after="40" w:line="240" w:lineRule="auto"/>
              <w:ind w:left="115"/>
              <w:rPr>
                <w:sz w:val="22"/>
                <w:szCs w:val="22"/>
              </w:rPr>
            </w:pPr>
            <w:r w:rsidRPr="00A0163E">
              <w:rPr>
                <w:sz w:val="22"/>
                <w:szCs w:val="22"/>
              </w:rPr>
              <w:t>Seasonal Period Ends</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91BC3D8" w14:textId="693BAB9D" w:rsidR="001E6FA1" w:rsidRPr="00A0163E" w:rsidRDefault="001E6FA1"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49350E69" w14:textId="77777777" w:rsidR="001E6FA1" w:rsidRPr="00A0163E" w:rsidRDefault="001E6FA1" w:rsidP="00EE1E85">
            <w:pPr>
              <w:spacing w:before="40" w:after="40" w:line="240" w:lineRule="auto"/>
              <w:ind w:left="115"/>
              <w:rPr>
                <w:b/>
                <w:sz w:val="22"/>
                <w:szCs w:val="22"/>
              </w:rPr>
            </w:pPr>
            <w:r w:rsidRPr="00A0163E">
              <w:rPr>
                <w:b/>
                <w:sz w:val="22"/>
                <w:szCs w:val="22"/>
              </w:rPr>
              <w:t xml:space="preserve">Definition: </w:t>
            </w:r>
            <w:r w:rsidRPr="00A0163E">
              <w:rPr>
                <w:sz w:val="22"/>
                <w:szCs w:val="22"/>
              </w:rPr>
              <w:t>Identifies the ending period during the year when a particular mission may be used. Valid format is MMDD.</w:t>
            </w:r>
          </w:p>
          <w:p w14:paraId="13769CED" w14:textId="1A8DB35C" w:rsidR="001E6FA1" w:rsidRPr="00A0163E" w:rsidRDefault="001E6FA1" w:rsidP="00EE1E85">
            <w:pPr>
              <w:spacing w:before="40" w:after="40" w:line="240" w:lineRule="auto"/>
              <w:ind w:left="115"/>
              <w:rPr>
                <w:b/>
                <w:sz w:val="22"/>
                <w:szCs w:val="22"/>
              </w:rPr>
            </w:pPr>
            <w:r w:rsidRPr="00A0163E">
              <w:rPr>
                <w:b/>
                <w:sz w:val="22"/>
                <w:szCs w:val="22"/>
              </w:rPr>
              <w:t xml:space="preserve">Query: </w:t>
            </w:r>
            <w:r w:rsidRPr="00A0163E">
              <w:rPr>
                <w:sz w:val="22"/>
                <w:szCs w:val="22"/>
              </w:rPr>
              <w:t>Searches for missions in which the ending Seasonal Period falls within the low value and high value entered.</w:t>
            </w:r>
          </w:p>
        </w:tc>
      </w:tr>
      <w:tr w:rsidR="001E6FA1" w:rsidRPr="00C24B58" w14:paraId="04C7B4D0"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2B57DB5" w14:textId="77777777" w:rsidR="001E6FA1" w:rsidRPr="00A0163E" w:rsidRDefault="001E6FA1" w:rsidP="00EE1E85">
            <w:pPr>
              <w:spacing w:before="40" w:after="40" w:line="240" w:lineRule="auto"/>
              <w:ind w:left="115"/>
              <w:rPr>
                <w:sz w:val="22"/>
                <w:szCs w:val="22"/>
              </w:rPr>
            </w:pPr>
            <w:r w:rsidRPr="00A0163E">
              <w:rPr>
                <w:sz w:val="22"/>
                <w:szCs w:val="22"/>
              </w:rPr>
              <w:lastRenderedPageBreak/>
              <w:t>Seasonal Period Starts</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7A47EC4" w14:textId="38B091A2" w:rsidR="001E6FA1" w:rsidRPr="00A0163E" w:rsidRDefault="001E6FA1"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2CA00244" w14:textId="77777777" w:rsidR="001E6FA1" w:rsidRPr="00A0163E" w:rsidRDefault="001E6FA1" w:rsidP="00EE1E85">
            <w:pPr>
              <w:spacing w:before="40" w:after="40" w:line="240" w:lineRule="auto"/>
              <w:ind w:left="115"/>
              <w:rPr>
                <w:b/>
                <w:sz w:val="22"/>
                <w:szCs w:val="22"/>
              </w:rPr>
            </w:pPr>
            <w:r w:rsidRPr="00A0163E">
              <w:rPr>
                <w:b/>
                <w:sz w:val="22"/>
                <w:szCs w:val="22"/>
              </w:rPr>
              <w:t xml:space="preserve">Definition: </w:t>
            </w:r>
            <w:r w:rsidRPr="00A0163E">
              <w:rPr>
                <w:sz w:val="22"/>
                <w:szCs w:val="22"/>
              </w:rPr>
              <w:t>Identifies the starting period during the year when a particular mission may be used. Valid format is MMDD.</w:t>
            </w:r>
          </w:p>
          <w:p w14:paraId="1183B51C" w14:textId="652EC545" w:rsidR="001E6FA1" w:rsidRPr="00A0163E" w:rsidRDefault="001E6FA1" w:rsidP="00EE1E85">
            <w:pPr>
              <w:spacing w:before="40" w:after="40" w:line="240" w:lineRule="auto"/>
              <w:ind w:left="115"/>
              <w:rPr>
                <w:b/>
                <w:sz w:val="22"/>
                <w:szCs w:val="22"/>
              </w:rPr>
            </w:pPr>
            <w:r w:rsidRPr="00A0163E">
              <w:rPr>
                <w:b/>
                <w:sz w:val="22"/>
                <w:szCs w:val="22"/>
              </w:rPr>
              <w:t xml:space="preserve">Query: </w:t>
            </w:r>
            <w:r w:rsidRPr="00A0163E">
              <w:rPr>
                <w:sz w:val="22"/>
                <w:szCs w:val="22"/>
              </w:rPr>
              <w:t>Searches for missions in which the starting Seasonal Period falls within the low value and high value entered.</w:t>
            </w:r>
          </w:p>
        </w:tc>
      </w:tr>
      <w:tr w:rsidR="001E6FA1" w:rsidRPr="00C24B58" w14:paraId="23763DBB"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C704788" w14:textId="77777777" w:rsidR="001E6FA1" w:rsidRPr="00A0163E" w:rsidRDefault="001E6FA1" w:rsidP="00EE1E85">
            <w:pPr>
              <w:spacing w:before="40" w:after="40" w:line="240" w:lineRule="auto"/>
              <w:ind w:left="115"/>
              <w:rPr>
                <w:sz w:val="22"/>
                <w:szCs w:val="22"/>
              </w:rPr>
            </w:pPr>
            <w:r w:rsidRPr="00A0163E">
              <w:rPr>
                <w:sz w:val="22"/>
                <w:szCs w:val="22"/>
              </w:rPr>
              <w:t>Snow Statement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A75208B" w14:textId="54539014" w:rsidR="001E6FA1" w:rsidRPr="00A0163E" w:rsidRDefault="001E6FA1"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A6E6350" w14:textId="77777777" w:rsidR="001E6FA1" w:rsidRPr="00A0163E" w:rsidRDefault="001E6FA1" w:rsidP="00EE1E85">
            <w:pPr>
              <w:spacing w:before="40" w:after="40" w:line="240" w:lineRule="auto"/>
              <w:ind w:left="115"/>
              <w:rPr>
                <w:b/>
                <w:sz w:val="22"/>
                <w:szCs w:val="22"/>
              </w:rPr>
            </w:pPr>
            <w:r w:rsidRPr="00A0163E">
              <w:rPr>
                <w:b/>
                <w:sz w:val="22"/>
                <w:szCs w:val="22"/>
              </w:rPr>
              <w:t>Definition:</w:t>
            </w:r>
            <w:r w:rsidRPr="00A0163E">
              <w:rPr>
                <w:sz w:val="22"/>
                <w:szCs w:val="22"/>
              </w:rPr>
              <w:t xml:space="preserve"> Identifies the snow conditions that the mission was planned for. Valid values are </w:t>
            </w:r>
            <w:r w:rsidRPr="00A0163E">
              <w:rPr>
                <w:b/>
                <w:sz w:val="22"/>
                <w:szCs w:val="22"/>
              </w:rPr>
              <w:t>Undefined</w:t>
            </w:r>
            <w:r w:rsidRPr="00A0163E">
              <w:rPr>
                <w:sz w:val="22"/>
                <w:szCs w:val="22"/>
              </w:rPr>
              <w:t xml:space="preserve"> (default), </w:t>
            </w:r>
            <w:r w:rsidRPr="00A0163E">
              <w:rPr>
                <w:b/>
                <w:sz w:val="22"/>
                <w:szCs w:val="22"/>
              </w:rPr>
              <w:t>No Snow Allowed</w:t>
            </w:r>
            <w:r w:rsidRPr="00A0163E">
              <w:rPr>
                <w:sz w:val="22"/>
                <w:szCs w:val="22"/>
              </w:rPr>
              <w:t xml:space="preserve">, </w:t>
            </w:r>
            <w:r w:rsidRPr="00A0163E">
              <w:rPr>
                <w:b/>
                <w:sz w:val="22"/>
                <w:szCs w:val="22"/>
              </w:rPr>
              <w:t>Snow Required</w:t>
            </w:r>
            <w:r w:rsidRPr="00A0163E">
              <w:rPr>
                <w:sz w:val="22"/>
                <w:szCs w:val="22"/>
              </w:rPr>
              <w:t xml:space="preserve">, </w:t>
            </w:r>
            <w:r w:rsidRPr="00A0163E">
              <w:rPr>
                <w:b/>
                <w:sz w:val="22"/>
                <w:szCs w:val="22"/>
              </w:rPr>
              <w:t>Snow Permitted</w:t>
            </w:r>
            <w:r w:rsidRPr="00A0163E">
              <w:rPr>
                <w:sz w:val="22"/>
                <w:szCs w:val="22"/>
              </w:rPr>
              <w:t xml:space="preserve">, </w:t>
            </w:r>
            <w:r w:rsidRPr="00A0163E">
              <w:rPr>
                <w:b/>
                <w:sz w:val="22"/>
                <w:szCs w:val="22"/>
              </w:rPr>
              <w:t>Mixed Conditions</w:t>
            </w:r>
            <w:r w:rsidRPr="00A0163E">
              <w:rPr>
                <w:sz w:val="22"/>
                <w:szCs w:val="22"/>
              </w:rPr>
              <w:t>.</w:t>
            </w:r>
          </w:p>
          <w:p w14:paraId="77E4E6C6" w14:textId="77777777" w:rsidR="001E6FA1" w:rsidRPr="00A0163E" w:rsidRDefault="001E6FA1" w:rsidP="00EE1E85">
            <w:pPr>
              <w:spacing w:before="40" w:after="40" w:line="240" w:lineRule="auto"/>
              <w:ind w:left="115"/>
              <w:rPr>
                <w:b/>
                <w:sz w:val="22"/>
                <w:szCs w:val="22"/>
              </w:rPr>
            </w:pPr>
            <w:r w:rsidRPr="00A0163E">
              <w:rPr>
                <w:b/>
                <w:sz w:val="22"/>
                <w:szCs w:val="22"/>
              </w:rPr>
              <w:t xml:space="preserve">Query: </w:t>
            </w:r>
            <w:r w:rsidRPr="00A0163E">
              <w:rPr>
                <w:sz w:val="22"/>
                <w:szCs w:val="22"/>
              </w:rPr>
              <w:t>Searches for missions that match the selected Snow Statement.</w:t>
            </w:r>
          </w:p>
        </w:tc>
      </w:tr>
      <w:tr w:rsidR="001E6FA1" w:rsidRPr="00C24B58" w14:paraId="436A215C"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A2AF5E5" w14:textId="77777777" w:rsidR="001E6FA1" w:rsidRPr="00A0163E" w:rsidRDefault="001E6FA1" w:rsidP="00EE1E85">
            <w:pPr>
              <w:spacing w:before="40" w:after="40" w:line="240" w:lineRule="auto"/>
              <w:ind w:left="115"/>
              <w:rPr>
                <w:sz w:val="22"/>
                <w:szCs w:val="22"/>
              </w:rPr>
            </w:pPr>
            <w:r w:rsidRPr="00A0163E">
              <w:rPr>
                <w:sz w:val="22"/>
                <w:szCs w:val="22"/>
              </w:rPr>
              <w:t>Special Req.</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D280631" w14:textId="7A713AC4" w:rsidR="001E6FA1" w:rsidRPr="00A0163E" w:rsidRDefault="001E6FA1"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38261E3" w14:textId="77777777" w:rsidR="001E6FA1" w:rsidRPr="00A0163E" w:rsidRDefault="001E6FA1" w:rsidP="00EE1E85">
            <w:pPr>
              <w:spacing w:before="40" w:after="40" w:line="240" w:lineRule="auto"/>
              <w:ind w:left="115"/>
              <w:rPr>
                <w:sz w:val="22"/>
                <w:szCs w:val="22"/>
              </w:rPr>
            </w:pPr>
            <w:r w:rsidRPr="00A0163E">
              <w:rPr>
                <w:b/>
                <w:sz w:val="22"/>
                <w:szCs w:val="22"/>
              </w:rPr>
              <w:t>Definition:</w:t>
            </w:r>
            <w:r w:rsidRPr="00A0163E">
              <w:rPr>
                <w:sz w:val="22"/>
                <w:szCs w:val="22"/>
              </w:rPr>
              <w:t xml:space="preserve"> Provides for including special circumstances regarding composite DSMAC requirements.</w:t>
            </w:r>
          </w:p>
          <w:p w14:paraId="6BF2245E" w14:textId="58EB472F" w:rsidR="001E6FA1" w:rsidRPr="00A0163E" w:rsidRDefault="001E6FA1" w:rsidP="00EE1E85">
            <w:pPr>
              <w:spacing w:before="40" w:after="40" w:line="240" w:lineRule="auto"/>
              <w:ind w:left="115"/>
              <w:rPr>
                <w:sz w:val="22"/>
                <w:szCs w:val="22"/>
              </w:rPr>
            </w:pPr>
            <w:r w:rsidRPr="00A0163E">
              <w:rPr>
                <w:b/>
                <w:sz w:val="22"/>
                <w:szCs w:val="22"/>
              </w:rPr>
              <w:t xml:space="preserve">Query: </w:t>
            </w:r>
            <w:r w:rsidRPr="00A0163E">
              <w:rPr>
                <w:sz w:val="22"/>
                <w:szCs w:val="22"/>
              </w:rPr>
              <w:t>Searches for missions that contain the search string anywhere within the Special Requirements (wildcard allowed).</w:t>
            </w:r>
          </w:p>
        </w:tc>
      </w:tr>
      <w:tr w:rsidR="001E6FA1" w:rsidRPr="00C24B58" w14:paraId="779CBCEB"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98E9FF6" w14:textId="77777777" w:rsidR="001E6FA1" w:rsidRPr="00A0163E" w:rsidRDefault="001E6FA1" w:rsidP="00EE1E85">
            <w:pPr>
              <w:spacing w:before="40" w:after="40" w:line="240" w:lineRule="auto"/>
              <w:ind w:left="115"/>
              <w:rPr>
                <w:sz w:val="22"/>
                <w:szCs w:val="22"/>
              </w:rPr>
            </w:pPr>
            <w:r w:rsidRPr="00A0163E">
              <w:rPr>
                <w:sz w:val="22"/>
                <w:szCs w:val="22"/>
              </w:rPr>
              <w:t>TEMP Critical Point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F9B7C87" w14:textId="424A3D3A" w:rsidR="001E6FA1" w:rsidRPr="00A0163E" w:rsidRDefault="001E6FA1"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1B0530EB" w14:textId="77777777" w:rsidR="001E6FA1" w:rsidRPr="00A0163E" w:rsidRDefault="001E6FA1" w:rsidP="00EE1E85">
            <w:pPr>
              <w:spacing w:before="40" w:after="40" w:line="240" w:lineRule="auto"/>
              <w:ind w:left="115"/>
              <w:rPr>
                <w:sz w:val="22"/>
                <w:szCs w:val="22"/>
              </w:rPr>
            </w:pPr>
            <w:r w:rsidRPr="00A0163E">
              <w:rPr>
                <w:b/>
                <w:sz w:val="22"/>
                <w:szCs w:val="22"/>
              </w:rPr>
              <w:t>Definition:</w:t>
            </w:r>
            <w:r w:rsidRPr="00A0163E">
              <w:rPr>
                <w:sz w:val="22"/>
                <w:szCs w:val="22"/>
              </w:rPr>
              <w:t xml:space="preserve"> The maximum temperature allowed (in degrees Fahrenheit) at the designated temperature restriction point.</w:t>
            </w:r>
          </w:p>
          <w:p w14:paraId="31327419" w14:textId="77777777" w:rsidR="001E6FA1" w:rsidRPr="00A0163E" w:rsidRDefault="001E6FA1" w:rsidP="00EE1E85">
            <w:pPr>
              <w:spacing w:before="40" w:after="40" w:line="240" w:lineRule="auto"/>
              <w:ind w:left="115"/>
              <w:rPr>
                <w:b/>
                <w:sz w:val="22"/>
                <w:szCs w:val="22"/>
              </w:rPr>
            </w:pPr>
            <w:r w:rsidRPr="00A0163E">
              <w:rPr>
                <w:b/>
                <w:sz w:val="22"/>
                <w:szCs w:val="22"/>
              </w:rPr>
              <w:t xml:space="preserve">Query: </w:t>
            </w:r>
            <w:r w:rsidRPr="00A0163E">
              <w:rPr>
                <w:sz w:val="22"/>
                <w:szCs w:val="22"/>
              </w:rPr>
              <w:t>Searches for missions in which the maximum Temperature falls within the low value and high value entered.</w:t>
            </w:r>
          </w:p>
        </w:tc>
      </w:tr>
      <w:tr w:rsidR="001E6FA1" w:rsidRPr="00C24B58" w14:paraId="0F34CBE6"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3087B68" w14:textId="77777777" w:rsidR="001E6FA1" w:rsidRPr="00A0163E" w:rsidRDefault="001E6FA1" w:rsidP="00EE1E85">
            <w:pPr>
              <w:spacing w:before="40" w:after="40" w:line="240" w:lineRule="auto"/>
              <w:ind w:left="115"/>
              <w:rPr>
                <w:sz w:val="22"/>
                <w:szCs w:val="22"/>
              </w:rPr>
            </w:pPr>
            <w:r w:rsidRPr="00A0163E">
              <w:rPr>
                <w:sz w:val="22"/>
                <w:szCs w:val="22"/>
              </w:rPr>
              <w:t>Visibility (Day)</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7731E53" w14:textId="34E155ED" w:rsidR="001E6FA1" w:rsidRPr="00A0163E" w:rsidRDefault="001E6FA1"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65F0BF3" w14:textId="77777777" w:rsidR="001E6FA1" w:rsidRPr="00A0163E" w:rsidRDefault="001E6FA1" w:rsidP="00EE1E85">
            <w:pPr>
              <w:spacing w:before="40" w:after="40" w:line="240" w:lineRule="auto"/>
              <w:ind w:left="115"/>
              <w:rPr>
                <w:sz w:val="22"/>
                <w:szCs w:val="22"/>
              </w:rPr>
            </w:pPr>
            <w:r w:rsidRPr="00A0163E">
              <w:rPr>
                <w:b/>
                <w:sz w:val="22"/>
                <w:szCs w:val="22"/>
              </w:rPr>
              <w:t>Definition:</w:t>
            </w:r>
            <w:r w:rsidRPr="00A0163E">
              <w:rPr>
                <w:sz w:val="22"/>
                <w:szCs w:val="22"/>
              </w:rPr>
              <w:t xml:space="preserve"> For Day use only and Day/Night use Missions, the minimum acceptable ground level daylight visibility (in statute miles) in the DSMAC area for proper DSMAC sensor operation.</w:t>
            </w:r>
          </w:p>
          <w:p w14:paraId="675A5326" w14:textId="63A0C795" w:rsidR="001E6FA1" w:rsidRPr="00A0163E" w:rsidRDefault="001E6FA1" w:rsidP="00EE1E85">
            <w:pPr>
              <w:spacing w:before="40" w:after="40" w:line="240" w:lineRule="auto"/>
              <w:ind w:left="115"/>
              <w:rPr>
                <w:sz w:val="22"/>
                <w:szCs w:val="22"/>
              </w:rPr>
            </w:pPr>
            <w:r w:rsidRPr="00A0163E">
              <w:rPr>
                <w:b/>
                <w:sz w:val="22"/>
                <w:szCs w:val="22"/>
              </w:rPr>
              <w:t xml:space="preserve">Query: </w:t>
            </w:r>
            <w:r w:rsidRPr="00A0163E">
              <w:rPr>
                <w:sz w:val="22"/>
                <w:szCs w:val="22"/>
              </w:rPr>
              <w:t>Searches for missions in which the minimum Day Visibility falls within the low value and high value entered. Affected by the floating-point number query limitation (see Note at the beginning of this Appendix).</w:t>
            </w:r>
          </w:p>
        </w:tc>
      </w:tr>
      <w:tr w:rsidR="001E6FA1" w:rsidRPr="00C24B58" w14:paraId="20A76B03" w14:textId="77777777" w:rsidTr="000E2A47">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77EEA07" w14:textId="77777777" w:rsidR="001E6FA1" w:rsidRPr="00A0163E" w:rsidRDefault="001E6FA1" w:rsidP="00EE1E85">
            <w:pPr>
              <w:spacing w:before="40" w:after="40" w:line="240" w:lineRule="auto"/>
              <w:ind w:left="115"/>
              <w:rPr>
                <w:sz w:val="22"/>
                <w:szCs w:val="22"/>
              </w:rPr>
            </w:pPr>
            <w:r w:rsidRPr="00A0163E">
              <w:rPr>
                <w:sz w:val="22"/>
                <w:szCs w:val="22"/>
              </w:rPr>
              <w:t>Visibility (Night)</w:t>
            </w:r>
          </w:p>
        </w:tc>
        <w:tc>
          <w:tcPr>
            <w:tcW w:w="126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AE50694" w14:textId="0B579C50" w:rsidR="001E6FA1" w:rsidRPr="00A0163E" w:rsidRDefault="001E6FA1" w:rsidP="00EE1E85">
            <w:pPr>
              <w:spacing w:before="40" w:after="40" w:line="240" w:lineRule="auto"/>
              <w:ind w:left="115"/>
              <w:rPr>
                <w:sz w:val="22"/>
                <w:szCs w:val="22"/>
              </w:rPr>
            </w:pPr>
            <w:r w:rsidRPr="00A0163E">
              <w:rPr>
                <w:sz w:val="22"/>
                <w:szCs w:val="22"/>
              </w:rPr>
              <w:t>109C</w:t>
            </w:r>
            <w:r w:rsidRPr="00A0163E">
              <w:rPr>
                <w:sz w:val="22"/>
                <w:szCs w:val="22"/>
              </w:rPr>
              <w:br/>
              <w:t>109D</w:t>
            </w:r>
            <w:r w:rsidRPr="00A0163E">
              <w:rPr>
                <w:sz w:val="22"/>
                <w:szCs w:val="22"/>
              </w:rPr>
              <w:br/>
              <w:t>109E</w:t>
            </w:r>
            <w:r w:rsidR="003420FA" w:rsidRPr="00A0163E">
              <w:rPr>
                <w:sz w:val="22"/>
                <w:szCs w:val="22"/>
              </w:rPr>
              <w:br/>
              <w:t>109E ACP</w:t>
            </w:r>
            <w:r w:rsidR="00EE1E85" w:rsidRPr="00A0163E">
              <w:rPr>
                <w:sz w:val="22"/>
                <w:szCs w:val="22"/>
              </w:rPr>
              <w:br/>
            </w:r>
            <w:r w:rsidR="003420FA" w:rsidRPr="00A0163E">
              <w:rPr>
                <w:sz w:val="22"/>
                <w:szCs w:val="22"/>
              </w:rPr>
              <w:t>MSTM</w:t>
            </w:r>
            <w:r w:rsidR="00EE1E85" w:rsidRPr="00A0163E">
              <w:rPr>
                <w:sz w:val="22"/>
                <w:szCs w:val="22"/>
              </w:rPr>
              <w:br/>
              <w:t>109M</w:t>
            </w:r>
          </w:p>
        </w:tc>
        <w:tc>
          <w:tcPr>
            <w:tcW w:w="981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1F3A354F" w14:textId="77777777" w:rsidR="001E6FA1" w:rsidRPr="00A0163E" w:rsidRDefault="001E6FA1" w:rsidP="00EE1E85">
            <w:pPr>
              <w:spacing w:before="40" w:after="40" w:line="240" w:lineRule="auto"/>
              <w:ind w:left="115"/>
              <w:rPr>
                <w:sz w:val="22"/>
                <w:szCs w:val="22"/>
              </w:rPr>
            </w:pPr>
            <w:r w:rsidRPr="00A0163E">
              <w:rPr>
                <w:b/>
                <w:sz w:val="22"/>
                <w:szCs w:val="22"/>
              </w:rPr>
              <w:t>Definition:</w:t>
            </w:r>
            <w:r w:rsidRPr="00A0163E">
              <w:rPr>
                <w:sz w:val="22"/>
                <w:szCs w:val="22"/>
              </w:rPr>
              <w:t xml:space="preserve"> For Night use only and Day/Night use missions, the minimum acceptable ground level night visibility (in statute miles) in the DSMAC area or proper DSMAC sensor operation.</w:t>
            </w:r>
          </w:p>
          <w:p w14:paraId="171BCD80" w14:textId="1669A146" w:rsidR="001E6FA1" w:rsidRPr="00A0163E" w:rsidRDefault="001E6FA1" w:rsidP="00EE1E85">
            <w:pPr>
              <w:spacing w:before="40" w:after="40" w:line="240" w:lineRule="auto"/>
              <w:ind w:left="115"/>
              <w:rPr>
                <w:sz w:val="22"/>
                <w:szCs w:val="22"/>
              </w:rPr>
            </w:pPr>
            <w:r w:rsidRPr="00A0163E">
              <w:rPr>
                <w:b/>
                <w:sz w:val="22"/>
                <w:szCs w:val="22"/>
              </w:rPr>
              <w:t xml:space="preserve">Query: </w:t>
            </w:r>
            <w:r w:rsidRPr="00A0163E">
              <w:rPr>
                <w:sz w:val="22"/>
                <w:szCs w:val="22"/>
              </w:rPr>
              <w:t>Searches for missions in which the minimum Night Visibility falls within the low value and high value entered. Affected by the floating-point number query limitation (see Note at the beginning of this Appendix).</w:t>
            </w:r>
          </w:p>
        </w:tc>
      </w:tr>
    </w:tbl>
    <w:p w14:paraId="51C11ED1" w14:textId="77777777" w:rsidR="001E6FA1" w:rsidRPr="000665B0" w:rsidRDefault="001E6FA1" w:rsidP="001E6FA1">
      <w:pPr>
        <w:jc w:val="center"/>
      </w:pPr>
    </w:p>
    <w:p w14:paraId="78E1C6D7" w14:textId="2273B8D3" w:rsidR="001E6FA1" w:rsidRPr="000665B0" w:rsidRDefault="001E6FA1" w:rsidP="006D5A65">
      <w:pPr>
        <w:pStyle w:val="Heading4"/>
      </w:pPr>
      <w:r w:rsidRPr="000665B0">
        <w:lastRenderedPageBreak/>
        <w:t>109E</w:t>
      </w:r>
      <w:r w:rsidR="00EE1E85">
        <w:t>/M</w:t>
      </w:r>
      <w:r w:rsidRPr="000665B0">
        <w:t xml:space="preserve"> Mission Tab</w:t>
      </w:r>
    </w:p>
    <w:p w14:paraId="416969B9" w14:textId="56A4F09B" w:rsidR="009A51C8" w:rsidRDefault="00EE1E85" w:rsidP="008C07A5">
      <w:pPr>
        <w:jc w:val="center"/>
      </w:pPr>
      <w:r w:rsidRPr="00542B90">
        <w:rPr>
          <w:noProof/>
        </w:rPr>
        <w:drawing>
          <wp:inline distT="0" distB="0" distL="0" distR="0" wp14:anchorId="1F654487" wp14:editId="51122EA8">
            <wp:extent cx="4800600" cy="4805734"/>
            <wp:effectExtent l="0" t="0" r="0" b="0"/>
            <wp:docPr id="1451502430"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2430" name="Picture 1" descr="Graphical user interface, application&#10;&#10;Description automatically generated"/>
                    <pic:cNvPicPr/>
                  </pic:nvPicPr>
                  <pic:blipFill>
                    <a:blip/>
                    <a:stretch>
                      <a:fillRect/>
                    </a:stretch>
                  </pic:blipFill>
                  <pic:spPr>
                    <a:xfrm>
                      <a:off x="0" y="0"/>
                      <a:ext cx="4815392" cy="4820542"/>
                    </a:xfrm>
                    <a:prstGeom prst="rect">
                      <a:avLst/>
                    </a:prstGeom>
                  </pic:spPr>
                </pic:pic>
              </a:graphicData>
            </a:graphic>
          </wp:inline>
        </w:drawing>
      </w:r>
    </w:p>
    <w:p w14:paraId="12852D5C" w14:textId="77777777" w:rsidR="008C07A5" w:rsidRPr="000665B0" w:rsidRDefault="008C07A5" w:rsidP="008C07A5">
      <w:pPr>
        <w:jc w:val="center"/>
      </w:pPr>
    </w:p>
    <w:tbl>
      <w:tblPr>
        <w:tblW w:w="12955" w:type="dxa"/>
        <w:tblLayout w:type="fixed"/>
        <w:tblCellMar>
          <w:left w:w="0" w:type="dxa"/>
          <w:right w:w="0" w:type="dxa"/>
        </w:tblCellMar>
        <w:tblLook w:val="0000" w:firstRow="0" w:lastRow="0" w:firstColumn="0" w:lastColumn="0" w:noHBand="0" w:noVBand="0"/>
      </w:tblPr>
      <w:tblGrid>
        <w:gridCol w:w="1885"/>
        <w:gridCol w:w="990"/>
        <w:gridCol w:w="10080"/>
      </w:tblGrid>
      <w:tr w:rsidR="001E6FA1" w:rsidRPr="00C24B58" w14:paraId="086EABAB" w14:textId="77777777" w:rsidTr="0055373F">
        <w:trPr>
          <w:cantSplit/>
          <w:trHeight w:val="144"/>
          <w:tblHead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02769FF7" w14:textId="77777777" w:rsidR="001E6FA1" w:rsidRPr="00A0163E" w:rsidRDefault="001E6FA1" w:rsidP="008C07A5">
            <w:pPr>
              <w:pageBreakBefore/>
              <w:spacing w:before="60" w:after="60" w:line="240" w:lineRule="auto"/>
              <w:ind w:left="115"/>
              <w:rPr>
                <w:b/>
                <w:sz w:val="20"/>
              </w:rPr>
            </w:pPr>
            <w:r w:rsidRPr="00A0163E">
              <w:rPr>
                <w:b/>
                <w:sz w:val="20"/>
              </w:rPr>
              <w:lastRenderedPageBreak/>
              <w:t>Query Button</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1BE381A0" w14:textId="77777777" w:rsidR="001E6FA1" w:rsidRPr="00A0163E" w:rsidRDefault="001E6FA1" w:rsidP="008C71CB">
            <w:pPr>
              <w:spacing w:before="60" w:after="60" w:line="240" w:lineRule="auto"/>
              <w:ind w:left="115"/>
              <w:rPr>
                <w:b/>
                <w:sz w:val="20"/>
              </w:rPr>
            </w:pPr>
            <w:r w:rsidRPr="00A0163E">
              <w:rPr>
                <w:b/>
                <w:sz w:val="20"/>
              </w:rPr>
              <w:t>Variant</w:t>
            </w:r>
          </w:p>
        </w:tc>
        <w:tc>
          <w:tcPr>
            <w:tcW w:w="10080" w:type="dxa"/>
            <w:tcBorders>
              <w:top w:val="single" w:sz="4" w:space="0" w:color="auto"/>
              <w:left w:val="nil"/>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01F0A821" w14:textId="6D5CC5F4" w:rsidR="001E6FA1" w:rsidRPr="00A0163E" w:rsidRDefault="001E6FA1" w:rsidP="008C71CB">
            <w:pPr>
              <w:spacing w:before="60" w:after="60" w:line="240" w:lineRule="auto"/>
              <w:ind w:left="115"/>
              <w:rPr>
                <w:b/>
                <w:sz w:val="20"/>
              </w:rPr>
            </w:pPr>
            <w:r w:rsidRPr="00A0163E">
              <w:rPr>
                <w:b/>
                <w:sz w:val="20"/>
              </w:rPr>
              <w:t>Definition and Query Details</w:t>
            </w:r>
          </w:p>
        </w:tc>
      </w:tr>
      <w:tr w:rsidR="001E6FA1" w:rsidRPr="00C24B58" w14:paraId="79651BEA"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8BC8303" w14:textId="77777777" w:rsidR="001E6FA1" w:rsidRPr="00A0163E" w:rsidRDefault="001E6FA1" w:rsidP="008C71CB">
            <w:pPr>
              <w:spacing w:before="60" w:after="60" w:line="240" w:lineRule="auto"/>
              <w:ind w:left="115"/>
              <w:rPr>
                <w:sz w:val="20"/>
              </w:rPr>
            </w:pPr>
            <w:r w:rsidRPr="00A0163E">
              <w:rPr>
                <w:sz w:val="20"/>
              </w:rPr>
              <w:t>AGR Statement</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2FAC3EE" w14:textId="781F25DE" w:rsidR="001E6FA1" w:rsidRPr="00A0163E" w:rsidRDefault="001E6FA1" w:rsidP="008C71CB">
            <w:pPr>
              <w:spacing w:before="60" w:after="60" w:line="240" w:lineRule="auto"/>
              <w:ind w:left="115"/>
              <w:rPr>
                <w:sz w:val="20"/>
              </w:rPr>
            </w:pPr>
            <w:r w:rsidRPr="00A0163E">
              <w:rPr>
                <w:sz w:val="20"/>
              </w:rP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93B2E62" w14:textId="77777777" w:rsidR="001E6FA1" w:rsidRPr="00A0163E" w:rsidRDefault="001E6FA1" w:rsidP="008C71CB">
            <w:pPr>
              <w:spacing w:before="60" w:after="60" w:line="240" w:lineRule="auto"/>
              <w:ind w:left="115"/>
              <w:rPr>
                <w:sz w:val="20"/>
              </w:rPr>
            </w:pPr>
            <w:r w:rsidRPr="00A0163E">
              <w:rPr>
                <w:b/>
                <w:sz w:val="20"/>
              </w:rPr>
              <w:t>Definition:</w:t>
            </w:r>
            <w:r w:rsidRPr="00A0163E">
              <w:rPr>
                <w:sz w:val="20"/>
              </w:rPr>
              <w:t xml:space="preserve"> Indicates whether the mission requires an AGR-4 equipped missile (</w:t>
            </w:r>
            <w:r w:rsidRPr="00A0163E">
              <w:rPr>
                <w:b/>
                <w:sz w:val="20"/>
              </w:rPr>
              <w:t>AGR-4</w:t>
            </w:r>
            <w:r w:rsidRPr="00A0163E">
              <w:rPr>
                <w:sz w:val="20"/>
              </w:rPr>
              <w:t>) or not (</w:t>
            </w:r>
            <w:r w:rsidRPr="00A0163E">
              <w:rPr>
                <w:b/>
                <w:sz w:val="20"/>
              </w:rPr>
              <w:t>Unrestricted</w:t>
            </w:r>
            <w:r w:rsidRPr="00A0163E">
              <w:rPr>
                <w:sz w:val="20"/>
              </w:rPr>
              <w:t xml:space="preserve">). </w:t>
            </w:r>
          </w:p>
          <w:p w14:paraId="2E6F282D" w14:textId="1B232571" w:rsidR="001E6FA1" w:rsidRPr="00A0163E" w:rsidRDefault="001E6FA1" w:rsidP="008C71CB">
            <w:pPr>
              <w:spacing w:before="60" w:after="60" w:line="240" w:lineRule="auto"/>
              <w:ind w:left="115"/>
              <w:rPr>
                <w:b/>
                <w:sz w:val="20"/>
              </w:rPr>
            </w:pPr>
            <w:r w:rsidRPr="00A0163E">
              <w:rPr>
                <w:b/>
                <w:sz w:val="20"/>
              </w:rPr>
              <w:t>Query:</w:t>
            </w:r>
            <w:r w:rsidRPr="00A0163E">
              <w:rPr>
                <w:sz w:val="20"/>
              </w:rPr>
              <w:t xml:space="preserve"> Searches for missions that match the selected AGR Statement.</w:t>
            </w:r>
          </w:p>
        </w:tc>
      </w:tr>
      <w:tr w:rsidR="00CD6E77" w:rsidRPr="00C24B58" w14:paraId="08E3433A" w14:textId="77777777" w:rsidTr="00595C94">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7577870" w14:textId="77777777" w:rsidR="00CD6E77" w:rsidRPr="00A0163E" w:rsidRDefault="00CD6E77" w:rsidP="008C71CB">
            <w:pPr>
              <w:spacing w:before="60" w:after="60" w:line="240" w:lineRule="auto"/>
              <w:ind w:left="115"/>
              <w:rPr>
                <w:sz w:val="20"/>
              </w:rPr>
            </w:pPr>
            <w:r w:rsidRPr="00A0163E">
              <w:rPr>
                <w:sz w:val="20"/>
              </w:rPr>
              <w:t>Launch Type</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1B44A69" w14:textId="2D344B28" w:rsidR="00CD6E77" w:rsidRPr="00A0163E" w:rsidRDefault="00CD6E77" w:rsidP="008C71CB">
            <w:pPr>
              <w:spacing w:before="60" w:after="60" w:line="240" w:lineRule="auto"/>
              <w:ind w:left="115"/>
              <w:rPr>
                <w:sz w:val="20"/>
              </w:rPr>
            </w:pPr>
            <w:r w:rsidRPr="00A0163E">
              <w:rPr>
                <w:sz w:val="20"/>
              </w:rP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C97834D" w14:textId="77777777" w:rsidR="00CD6E77" w:rsidRPr="00A0163E" w:rsidRDefault="00CD6E77" w:rsidP="008C71CB">
            <w:pPr>
              <w:spacing w:before="60" w:after="60" w:line="240" w:lineRule="auto"/>
              <w:ind w:left="115"/>
              <w:rPr>
                <w:sz w:val="20"/>
              </w:rPr>
            </w:pPr>
            <w:r w:rsidRPr="00A0163E">
              <w:rPr>
                <w:b/>
                <w:sz w:val="20"/>
              </w:rPr>
              <w:t>Definition:</w:t>
            </w:r>
            <w:r w:rsidRPr="00A0163E">
              <w:rPr>
                <w:sz w:val="20"/>
              </w:rPr>
              <w:t xml:space="preserve"> Indicates whether the mission is for “ground” (ground launch) or “sea” (sea launch). </w:t>
            </w:r>
          </w:p>
          <w:p w14:paraId="2B94DCB1" w14:textId="77777777" w:rsidR="00CD6E77" w:rsidRPr="00A0163E" w:rsidRDefault="00CD6E77" w:rsidP="008C71CB">
            <w:pPr>
              <w:spacing w:before="60" w:after="60" w:line="240" w:lineRule="auto"/>
              <w:ind w:left="115"/>
              <w:rPr>
                <w:b/>
                <w:sz w:val="20"/>
              </w:rPr>
            </w:pPr>
            <w:r w:rsidRPr="00A0163E">
              <w:rPr>
                <w:b/>
                <w:sz w:val="20"/>
              </w:rPr>
              <w:t>Query:</w:t>
            </w:r>
            <w:r w:rsidRPr="00A0163E">
              <w:rPr>
                <w:sz w:val="20"/>
              </w:rPr>
              <w:t xml:space="preserve"> Searches for missions that match the selected value.</w:t>
            </w:r>
          </w:p>
        </w:tc>
      </w:tr>
      <w:tr w:rsidR="001E6FA1" w:rsidRPr="00C24B58" w14:paraId="6729F442"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9CCD8DC" w14:textId="77777777" w:rsidR="001E6FA1" w:rsidRPr="00A0163E" w:rsidRDefault="001E6FA1" w:rsidP="008C71CB">
            <w:pPr>
              <w:spacing w:before="60" w:after="60" w:line="240" w:lineRule="auto"/>
              <w:ind w:left="115"/>
              <w:rPr>
                <w:b/>
                <w:sz w:val="20"/>
              </w:rPr>
            </w:pPr>
            <w:r w:rsidRPr="00A0163E">
              <w:rPr>
                <w:sz w:val="20"/>
              </w:rPr>
              <w:t xml:space="preserve">Loiter (Seconds) </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2A85B71" w14:textId="40540E66" w:rsidR="001E6FA1" w:rsidRPr="00A0163E" w:rsidRDefault="001E6FA1" w:rsidP="008C71CB">
            <w:pPr>
              <w:spacing w:before="60" w:after="60" w:line="240" w:lineRule="auto"/>
              <w:ind w:left="115"/>
              <w:rPr>
                <w:b/>
                <w:sz w:val="20"/>
              </w:rPr>
            </w:pPr>
            <w:r w:rsidRPr="00A0163E">
              <w:rPr>
                <w:sz w:val="20"/>
              </w:rP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1FC8F0FE" w14:textId="77777777" w:rsidR="001E6FA1" w:rsidRPr="00A0163E" w:rsidRDefault="001E6FA1" w:rsidP="008C71CB">
            <w:pPr>
              <w:spacing w:before="60" w:after="60" w:line="240" w:lineRule="auto"/>
              <w:ind w:left="115"/>
              <w:rPr>
                <w:sz w:val="20"/>
              </w:rPr>
            </w:pPr>
            <w:r w:rsidRPr="00A0163E">
              <w:rPr>
                <w:b/>
                <w:sz w:val="20"/>
              </w:rPr>
              <w:t>Definition:</w:t>
            </w:r>
            <w:r w:rsidRPr="00A0163E">
              <w:rPr>
                <w:sz w:val="20"/>
              </w:rPr>
              <w:t xml:space="preserve"> Identifies the amount of time (in seconds) the 109E missile will remain in a Preplanned Loiter pattern.</w:t>
            </w:r>
          </w:p>
          <w:p w14:paraId="7AD20C2C" w14:textId="2E602702" w:rsidR="001E6FA1" w:rsidRPr="00A0163E" w:rsidRDefault="001E6FA1" w:rsidP="008C71CB">
            <w:pPr>
              <w:spacing w:before="60" w:after="60" w:line="240" w:lineRule="auto"/>
              <w:ind w:left="115"/>
              <w:rPr>
                <w:sz w:val="20"/>
              </w:rPr>
            </w:pPr>
            <w:r w:rsidRPr="00A0163E">
              <w:rPr>
                <w:b/>
                <w:sz w:val="20"/>
              </w:rPr>
              <w:t>Query:</w:t>
            </w:r>
            <w:r w:rsidRPr="00A0163E">
              <w:rPr>
                <w:sz w:val="20"/>
              </w:rPr>
              <w:t xml:space="preserve"> Searches for missions in which the preplanned Loiter time falls within the low value and high value entered. </w:t>
            </w:r>
          </w:p>
        </w:tc>
      </w:tr>
      <w:tr w:rsidR="001E6FA1" w:rsidRPr="00C24B58" w14:paraId="619BC56C"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D57A116" w14:textId="77777777" w:rsidR="001E6FA1" w:rsidRPr="00A0163E" w:rsidRDefault="001E6FA1" w:rsidP="008C71CB">
            <w:pPr>
              <w:spacing w:before="60" w:after="60" w:line="240" w:lineRule="auto"/>
              <w:ind w:left="115"/>
              <w:rPr>
                <w:b/>
                <w:sz w:val="20"/>
              </w:rPr>
            </w:pPr>
            <w:r w:rsidRPr="00A0163E">
              <w:rPr>
                <w:sz w:val="20"/>
              </w:rPr>
              <w:t>Route Description</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5CBB244" w14:textId="18A931F9" w:rsidR="001E6FA1" w:rsidRPr="00A0163E" w:rsidRDefault="001E6FA1" w:rsidP="008C71CB">
            <w:pPr>
              <w:spacing w:before="60" w:after="60" w:line="240" w:lineRule="auto"/>
              <w:ind w:left="115"/>
              <w:rPr>
                <w:b/>
                <w:sz w:val="20"/>
              </w:rPr>
            </w:pPr>
            <w:r w:rsidRPr="00A0163E">
              <w:rPr>
                <w:sz w:val="20"/>
              </w:rP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282BC7D" w14:textId="77777777" w:rsidR="001E6FA1" w:rsidRPr="00A0163E" w:rsidRDefault="001E6FA1" w:rsidP="008C71CB">
            <w:pPr>
              <w:spacing w:before="60" w:after="60" w:line="240" w:lineRule="auto"/>
              <w:ind w:left="115"/>
              <w:rPr>
                <w:sz w:val="20"/>
              </w:rPr>
            </w:pPr>
            <w:r w:rsidRPr="00A0163E">
              <w:rPr>
                <w:b/>
                <w:sz w:val="20"/>
              </w:rPr>
              <w:t>Definition:</w:t>
            </w:r>
            <w:r w:rsidRPr="00A0163E">
              <w:rPr>
                <w:sz w:val="20"/>
              </w:rPr>
              <w:t xml:space="preserve"> Text used to assist in identifying the specific route of the missile.</w:t>
            </w:r>
          </w:p>
          <w:p w14:paraId="6C85BC75" w14:textId="61EB1871" w:rsidR="001E6FA1" w:rsidRPr="00A0163E" w:rsidRDefault="001E6FA1" w:rsidP="008C71CB">
            <w:pPr>
              <w:spacing w:before="60" w:after="60" w:line="240" w:lineRule="auto"/>
              <w:ind w:left="115"/>
              <w:rPr>
                <w:b/>
                <w:sz w:val="20"/>
              </w:rPr>
            </w:pPr>
            <w:r w:rsidRPr="00A0163E">
              <w:rPr>
                <w:b/>
                <w:sz w:val="20"/>
              </w:rPr>
              <w:t>Query:</w:t>
            </w:r>
            <w:r w:rsidRPr="00A0163E">
              <w:rPr>
                <w:sz w:val="20"/>
              </w:rPr>
              <w:t xml:space="preserve"> Searches for missions that contain the search string anywhere within the Route Description (wildcard allowed).</w:t>
            </w:r>
          </w:p>
        </w:tc>
      </w:tr>
      <w:tr w:rsidR="001E6FA1" w:rsidRPr="00C24B58" w14:paraId="743FC1F0"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FF1A6D0" w14:textId="714C627F" w:rsidR="001E6FA1" w:rsidRPr="00A0163E" w:rsidRDefault="007075A2" w:rsidP="008C71CB">
            <w:pPr>
              <w:spacing w:before="60" w:after="60" w:line="240" w:lineRule="auto"/>
              <w:ind w:left="115"/>
              <w:rPr>
                <w:sz w:val="20"/>
              </w:rPr>
            </w:pPr>
            <w:r w:rsidRPr="00A0163E">
              <w:rPr>
                <w:sz w:val="20"/>
              </w:rPr>
              <w:t xml:space="preserve">TMPC </w:t>
            </w:r>
            <w:r w:rsidR="001E6FA1" w:rsidRPr="00A0163E">
              <w:rPr>
                <w:sz w:val="20"/>
              </w:rPr>
              <w:t>CI</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4994696" w14:textId="680DFF93" w:rsidR="001E6FA1" w:rsidRPr="00A0163E" w:rsidRDefault="001E6FA1" w:rsidP="008C71CB">
            <w:pPr>
              <w:spacing w:before="60" w:after="60" w:line="240" w:lineRule="auto"/>
              <w:ind w:left="115"/>
              <w:rPr>
                <w:sz w:val="20"/>
              </w:rPr>
            </w:pPr>
            <w:r w:rsidRPr="00A0163E">
              <w:rPr>
                <w:sz w:val="20"/>
              </w:rP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735DE34" w14:textId="77777777" w:rsidR="001E6FA1" w:rsidRPr="00A0163E" w:rsidRDefault="001E6FA1" w:rsidP="008C71CB">
            <w:pPr>
              <w:spacing w:before="60" w:after="60" w:line="240" w:lineRule="auto"/>
              <w:ind w:left="115"/>
              <w:rPr>
                <w:sz w:val="20"/>
              </w:rPr>
            </w:pPr>
            <w:r w:rsidRPr="00A0163E">
              <w:rPr>
                <w:b/>
                <w:sz w:val="20"/>
              </w:rPr>
              <w:t>Definition:</w:t>
            </w:r>
            <w:r w:rsidRPr="00A0163E">
              <w:rPr>
                <w:sz w:val="20"/>
              </w:rPr>
              <w:t xml:space="preserve"> Compatibility Indicator is a TPS system parameter established at each TPS revision to indicate if new missions will work with only the new OES.</w:t>
            </w:r>
          </w:p>
          <w:p w14:paraId="189A5872" w14:textId="1A6B9DC5" w:rsidR="001E6FA1" w:rsidRPr="00A0163E" w:rsidRDefault="001E6FA1" w:rsidP="008C71CB">
            <w:pPr>
              <w:spacing w:before="60" w:after="60" w:line="240" w:lineRule="auto"/>
              <w:ind w:left="115"/>
              <w:rPr>
                <w:b/>
                <w:sz w:val="20"/>
              </w:rPr>
            </w:pPr>
            <w:r w:rsidRPr="00A0163E">
              <w:rPr>
                <w:b/>
                <w:sz w:val="20"/>
              </w:rPr>
              <w:t xml:space="preserve">Query: </w:t>
            </w:r>
            <w:r w:rsidRPr="00A0163E">
              <w:rPr>
                <w:sz w:val="20"/>
              </w:rPr>
              <w:t xml:space="preserve">Searches for missions that match the specified </w:t>
            </w:r>
            <w:r w:rsidR="007075A2" w:rsidRPr="00A0163E">
              <w:rPr>
                <w:sz w:val="20"/>
              </w:rPr>
              <w:t xml:space="preserve">TMPC </w:t>
            </w:r>
            <w:r w:rsidRPr="00A0163E">
              <w:rPr>
                <w:sz w:val="20"/>
              </w:rPr>
              <w:t>CI (wildcard allowed).</w:t>
            </w:r>
          </w:p>
        </w:tc>
      </w:tr>
      <w:tr w:rsidR="001E6FA1" w:rsidRPr="00C24B58" w14:paraId="4298A0C6"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CFFFAB0" w14:textId="77777777" w:rsidR="001E6FA1" w:rsidRPr="00A0163E" w:rsidRDefault="001E6FA1" w:rsidP="008C71CB">
            <w:pPr>
              <w:spacing w:before="60" w:after="60" w:line="240" w:lineRule="auto"/>
              <w:ind w:left="115"/>
              <w:rPr>
                <w:sz w:val="20"/>
              </w:rPr>
            </w:pPr>
            <w:r w:rsidRPr="00A0163E">
              <w:rPr>
                <w:sz w:val="20"/>
              </w:rPr>
              <w:t>TOA Slow Down</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3411E5D" w14:textId="2D3E8861" w:rsidR="001E6FA1" w:rsidRPr="00A0163E" w:rsidRDefault="001E6FA1" w:rsidP="008C71CB">
            <w:pPr>
              <w:spacing w:before="60" w:after="60" w:line="240" w:lineRule="auto"/>
              <w:ind w:left="115"/>
              <w:rPr>
                <w:sz w:val="20"/>
              </w:rPr>
            </w:pPr>
            <w:r w:rsidRPr="00A0163E">
              <w:rPr>
                <w:sz w:val="20"/>
              </w:rP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443682E4" w14:textId="77777777" w:rsidR="001E6FA1" w:rsidRPr="00A0163E" w:rsidRDefault="001E6FA1" w:rsidP="008C71CB">
            <w:pPr>
              <w:spacing w:before="60" w:after="60" w:line="240" w:lineRule="auto"/>
              <w:ind w:left="115"/>
              <w:rPr>
                <w:sz w:val="20"/>
              </w:rPr>
            </w:pPr>
            <w:r w:rsidRPr="00A0163E">
              <w:rPr>
                <w:b/>
                <w:sz w:val="20"/>
              </w:rPr>
              <w:t>Definition:</w:t>
            </w:r>
            <w:r w:rsidRPr="00A0163E">
              <w:rPr>
                <w:sz w:val="20"/>
              </w:rPr>
              <w:t xml:space="preserve"> Identifies the time (in seconds) that the missile must slow down in order to arrive at target on time.</w:t>
            </w:r>
          </w:p>
          <w:p w14:paraId="7A484C00" w14:textId="77777777" w:rsidR="001E6FA1" w:rsidRPr="00A0163E" w:rsidRDefault="001E6FA1" w:rsidP="008C71CB">
            <w:pPr>
              <w:spacing w:before="60" w:after="60" w:line="240" w:lineRule="auto"/>
              <w:ind w:left="115"/>
              <w:rPr>
                <w:sz w:val="20"/>
              </w:rPr>
            </w:pPr>
            <w:r w:rsidRPr="00A0163E">
              <w:rPr>
                <w:b/>
                <w:sz w:val="20"/>
              </w:rPr>
              <w:t xml:space="preserve">Query: </w:t>
            </w:r>
            <w:r w:rsidRPr="00A0163E">
              <w:rPr>
                <w:sz w:val="20"/>
              </w:rPr>
              <w:t>Searches for missions in which the TOA Slow-Down time falls within the low value and high value entered. Affected by the floating-point number query limitation (see Note at the beginning of this Appendix).</w:t>
            </w:r>
          </w:p>
        </w:tc>
      </w:tr>
      <w:tr w:rsidR="001E6FA1" w:rsidRPr="00C24B58" w14:paraId="139D8639"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45CA0AC" w14:textId="77777777" w:rsidR="001E6FA1" w:rsidRPr="00A0163E" w:rsidRDefault="001E6FA1" w:rsidP="008C71CB">
            <w:pPr>
              <w:spacing w:before="60" w:after="60" w:line="240" w:lineRule="auto"/>
              <w:ind w:left="115"/>
              <w:rPr>
                <w:sz w:val="20"/>
              </w:rPr>
            </w:pPr>
            <w:r w:rsidRPr="00A0163E">
              <w:rPr>
                <w:sz w:val="20"/>
              </w:rPr>
              <w:t>TOA Speed Up</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08CD109" w14:textId="71D99011" w:rsidR="001E6FA1" w:rsidRPr="00A0163E" w:rsidRDefault="001E6FA1" w:rsidP="008C71CB">
            <w:pPr>
              <w:spacing w:before="60" w:after="60" w:line="240" w:lineRule="auto"/>
              <w:ind w:left="115"/>
              <w:rPr>
                <w:sz w:val="20"/>
              </w:rPr>
            </w:pPr>
            <w:r w:rsidRPr="00A0163E">
              <w:rPr>
                <w:sz w:val="20"/>
              </w:rP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53C0522" w14:textId="77777777" w:rsidR="001E6FA1" w:rsidRPr="00A0163E" w:rsidRDefault="001E6FA1" w:rsidP="008C71CB">
            <w:pPr>
              <w:spacing w:before="60" w:after="60" w:line="240" w:lineRule="auto"/>
              <w:ind w:left="115"/>
              <w:rPr>
                <w:sz w:val="20"/>
              </w:rPr>
            </w:pPr>
            <w:r w:rsidRPr="00A0163E">
              <w:rPr>
                <w:b/>
                <w:sz w:val="20"/>
              </w:rPr>
              <w:t>Definition:</w:t>
            </w:r>
            <w:r w:rsidRPr="00A0163E">
              <w:rPr>
                <w:sz w:val="20"/>
              </w:rPr>
              <w:t xml:space="preserve"> Identifies the time (in seconds) that the missile must speed up in order to arrive at target on time.</w:t>
            </w:r>
          </w:p>
          <w:p w14:paraId="7A9DD266" w14:textId="77777777" w:rsidR="001E6FA1" w:rsidRPr="00A0163E" w:rsidRDefault="001E6FA1" w:rsidP="008C71CB">
            <w:pPr>
              <w:spacing w:before="60" w:after="60" w:line="240" w:lineRule="auto"/>
              <w:ind w:left="115"/>
              <w:rPr>
                <w:sz w:val="20"/>
              </w:rPr>
            </w:pPr>
            <w:r w:rsidRPr="00A0163E">
              <w:rPr>
                <w:b/>
                <w:sz w:val="20"/>
              </w:rPr>
              <w:t xml:space="preserve">Query: </w:t>
            </w:r>
            <w:r w:rsidRPr="00A0163E">
              <w:rPr>
                <w:sz w:val="20"/>
              </w:rPr>
              <w:t>Searches for missions in which the TOA Speed-Up time falls within the low value and high value entered. Affected by the floating-point number query limitation (see Note at the beginning of this Appendix).</w:t>
            </w:r>
          </w:p>
        </w:tc>
      </w:tr>
    </w:tbl>
    <w:p w14:paraId="688DE3CB" w14:textId="28A2645D" w:rsidR="00A57450" w:rsidRPr="000665B0" w:rsidRDefault="00A57450" w:rsidP="006D5A65">
      <w:pPr>
        <w:pStyle w:val="Heading3"/>
      </w:pPr>
      <w:bookmarkStart w:id="7402" w:name="_Toc214283685"/>
      <w:r w:rsidRPr="000665B0">
        <w:lastRenderedPageBreak/>
        <w:t>T</w:t>
      </w:r>
      <w:r w:rsidR="005E043D">
        <w:t>arget Query</w:t>
      </w:r>
      <w:bookmarkEnd w:id="7402"/>
    </w:p>
    <w:p w14:paraId="2668C7AD" w14:textId="77777777" w:rsidR="00A57450" w:rsidRPr="000665B0" w:rsidRDefault="00A57450" w:rsidP="006D5A65">
      <w:pPr>
        <w:pStyle w:val="Heading4"/>
      </w:pPr>
      <w:r w:rsidRPr="000665B0">
        <w:t>General Info Tab</w:t>
      </w:r>
    </w:p>
    <w:p w14:paraId="69358CB0" w14:textId="4D5030A0" w:rsidR="00A57450" w:rsidRPr="000665B0" w:rsidRDefault="006A789E" w:rsidP="008C07A5">
      <w:pPr>
        <w:spacing w:after="160"/>
        <w:jc w:val="center"/>
      </w:pPr>
      <w:r w:rsidRPr="000665B0">
        <w:rPr>
          <w:noProof/>
        </w:rPr>
        <w:drawing>
          <wp:inline distT="0" distB="0" distL="0" distR="0" wp14:anchorId="3E7BC1D5" wp14:editId="4211059A">
            <wp:extent cx="4572000" cy="3703320"/>
            <wp:effectExtent l="0" t="0" r="0" b="0"/>
            <wp:docPr id="2230" name="Picture 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3703320"/>
                    </a:xfrm>
                    <a:prstGeom prst="rect">
                      <a:avLst/>
                    </a:prstGeom>
                  </pic:spPr>
                </pic:pic>
              </a:graphicData>
            </a:graphic>
          </wp:inline>
        </w:drawing>
      </w:r>
    </w:p>
    <w:tbl>
      <w:tblPr>
        <w:tblW w:w="12955" w:type="dxa"/>
        <w:tblLayout w:type="fixed"/>
        <w:tblCellMar>
          <w:left w:w="0" w:type="dxa"/>
          <w:right w:w="0" w:type="dxa"/>
        </w:tblCellMar>
        <w:tblLook w:val="0000" w:firstRow="0" w:lastRow="0" w:firstColumn="0" w:lastColumn="0" w:noHBand="0" w:noVBand="0"/>
      </w:tblPr>
      <w:tblGrid>
        <w:gridCol w:w="1885"/>
        <w:gridCol w:w="990"/>
        <w:gridCol w:w="10080"/>
      </w:tblGrid>
      <w:tr w:rsidR="00A57450" w:rsidRPr="00C24B58" w14:paraId="75E36206" w14:textId="77777777" w:rsidTr="0055373F">
        <w:trPr>
          <w:cantSplit/>
          <w:trHeight w:val="144"/>
          <w:tblHead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33EA9477" w14:textId="77777777" w:rsidR="00A57450" w:rsidRPr="00A0163E" w:rsidRDefault="00A57450" w:rsidP="00A0163E">
            <w:pPr>
              <w:spacing w:before="60" w:after="60" w:line="240" w:lineRule="auto"/>
              <w:ind w:left="115"/>
              <w:rPr>
                <w:b/>
                <w:sz w:val="20"/>
              </w:rPr>
            </w:pPr>
            <w:r w:rsidRPr="00A0163E">
              <w:rPr>
                <w:b/>
                <w:sz w:val="20"/>
              </w:rPr>
              <w:t>Query Button</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494E788A" w14:textId="77777777" w:rsidR="00A57450" w:rsidRPr="00A0163E" w:rsidRDefault="00A57450" w:rsidP="008C71CB">
            <w:pPr>
              <w:spacing w:before="60" w:after="60" w:line="240" w:lineRule="auto"/>
              <w:ind w:left="115"/>
              <w:rPr>
                <w:b/>
                <w:sz w:val="20"/>
              </w:rPr>
            </w:pPr>
            <w:r w:rsidRPr="00A0163E">
              <w:rPr>
                <w:b/>
                <w:sz w:val="20"/>
              </w:rPr>
              <w:t>Variant</w:t>
            </w:r>
          </w:p>
        </w:tc>
        <w:tc>
          <w:tcPr>
            <w:tcW w:w="10080" w:type="dxa"/>
            <w:tcBorders>
              <w:top w:val="single" w:sz="4" w:space="0" w:color="auto"/>
              <w:left w:val="nil"/>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627321C5" w14:textId="131589F6" w:rsidR="00A57450" w:rsidRPr="00A0163E" w:rsidRDefault="00A57450" w:rsidP="008C71CB">
            <w:pPr>
              <w:spacing w:before="60" w:after="60" w:line="240" w:lineRule="auto"/>
              <w:ind w:left="115"/>
              <w:rPr>
                <w:b/>
                <w:sz w:val="20"/>
              </w:rPr>
            </w:pPr>
            <w:r w:rsidRPr="00A0163E">
              <w:rPr>
                <w:b/>
                <w:sz w:val="20"/>
              </w:rPr>
              <w:t>Definition and Query Details</w:t>
            </w:r>
          </w:p>
        </w:tc>
      </w:tr>
      <w:tr w:rsidR="00A57450" w:rsidRPr="00C24B58" w14:paraId="68A6CB78"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F3469C1" w14:textId="77777777" w:rsidR="00A57450" w:rsidRPr="00A0163E" w:rsidRDefault="00A57450" w:rsidP="008C71CB">
            <w:pPr>
              <w:spacing w:before="60" w:after="60" w:line="240" w:lineRule="auto"/>
              <w:ind w:left="115"/>
              <w:rPr>
                <w:sz w:val="20"/>
              </w:rPr>
            </w:pPr>
            <w:r w:rsidRPr="00A0163E">
              <w:rPr>
                <w:sz w:val="20"/>
              </w:rPr>
              <w:t>Aimpoint ID</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8C9E869" w14:textId="22548771"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44E5A8B6"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Two alphabetic characters which, in conjunction with the Installation BE number, uniquely identify the point desired for intended interaction of the warhead with a target element.</w:t>
            </w:r>
          </w:p>
          <w:p w14:paraId="39861A2C" w14:textId="3C5A4CDA"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specified Aimpoint ID (wildcard allowed).</w:t>
            </w:r>
          </w:p>
        </w:tc>
      </w:tr>
      <w:tr w:rsidR="00A57450" w:rsidRPr="00C24B58" w14:paraId="51C2E2C0"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1D8B15A" w14:textId="77777777" w:rsidR="00A57450" w:rsidRPr="00A0163E" w:rsidRDefault="00A57450" w:rsidP="008C71CB">
            <w:pPr>
              <w:spacing w:before="60" w:after="60" w:line="240" w:lineRule="auto"/>
              <w:ind w:left="115"/>
              <w:rPr>
                <w:b/>
                <w:sz w:val="20"/>
              </w:rPr>
            </w:pPr>
            <w:r w:rsidRPr="00A0163E">
              <w:rPr>
                <w:sz w:val="20"/>
              </w:rPr>
              <w:t xml:space="preserve">Category Code </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118C613" w14:textId="5C78AFE3" w:rsidR="00A57450" w:rsidRPr="00A0163E" w:rsidRDefault="00A57450" w:rsidP="008C71CB">
            <w:pPr>
              <w:spacing w:before="60" w:after="60" w:line="240" w:lineRule="auto"/>
              <w:ind w:left="115"/>
              <w:rPr>
                <w:b/>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E73B4D3"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A five-digit number used in functional intelligence databases for describing characteristics of facilities as listed in the MIDB system specification.</w:t>
            </w:r>
          </w:p>
          <w:p w14:paraId="77ECC808" w14:textId="7D48C896" w:rsidR="00A57450" w:rsidRPr="00A0163E" w:rsidRDefault="00A57450" w:rsidP="008C71CB">
            <w:pPr>
              <w:spacing w:before="60" w:after="60" w:line="240" w:lineRule="auto"/>
              <w:ind w:left="115"/>
              <w:rPr>
                <w:sz w:val="20"/>
              </w:rPr>
            </w:pPr>
            <w:r w:rsidRPr="00A0163E">
              <w:rPr>
                <w:b/>
                <w:sz w:val="20"/>
              </w:rPr>
              <w:t>Query:</w:t>
            </w:r>
            <w:r w:rsidRPr="00A0163E">
              <w:rPr>
                <w:sz w:val="20"/>
              </w:rPr>
              <w:t xml:space="preserve"> Searches for targets that match the specified Category Code TDIC (wildcard allowed).</w:t>
            </w:r>
          </w:p>
        </w:tc>
      </w:tr>
      <w:tr w:rsidR="00A57450" w:rsidRPr="00C24B58" w14:paraId="1010DDC1"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C81C5BA" w14:textId="77777777" w:rsidR="00A57450" w:rsidRPr="00A0163E" w:rsidRDefault="00A57450" w:rsidP="008C71CB">
            <w:pPr>
              <w:spacing w:before="60" w:after="60" w:line="240" w:lineRule="auto"/>
              <w:ind w:left="115"/>
              <w:rPr>
                <w:sz w:val="20"/>
              </w:rPr>
            </w:pPr>
            <w:r w:rsidRPr="00A0163E">
              <w:rPr>
                <w:sz w:val="20"/>
              </w:rPr>
              <w:t>Classification</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98B5293" w14:textId="3EB18825"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0EBC1B8"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Security classification of the target. Valid values are </w:t>
            </w:r>
            <w:r w:rsidRPr="00A0163E">
              <w:rPr>
                <w:b/>
                <w:sz w:val="20"/>
              </w:rPr>
              <w:t>Unclassified</w:t>
            </w:r>
            <w:r w:rsidRPr="00A0163E">
              <w:rPr>
                <w:sz w:val="20"/>
              </w:rPr>
              <w:t xml:space="preserve"> (default), </w:t>
            </w:r>
            <w:r w:rsidRPr="00A0163E">
              <w:rPr>
                <w:b/>
                <w:sz w:val="20"/>
              </w:rPr>
              <w:t>Confidential</w:t>
            </w:r>
            <w:r w:rsidRPr="00A0163E">
              <w:rPr>
                <w:sz w:val="20"/>
              </w:rPr>
              <w:t xml:space="preserve">, </w:t>
            </w:r>
            <w:r w:rsidRPr="00A0163E">
              <w:rPr>
                <w:b/>
                <w:sz w:val="20"/>
              </w:rPr>
              <w:t>Secret</w:t>
            </w:r>
            <w:r w:rsidRPr="00A0163E">
              <w:rPr>
                <w:sz w:val="20"/>
              </w:rPr>
              <w:t xml:space="preserve">, or </w:t>
            </w:r>
            <w:r w:rsidRPr="00A0163E">
              <w:rPr>
                <w:b/>
                <w:sz w:val="20"/>
              </w:rPr>
              <w:t>Top Secret</w:t>
            </w:r>
            <w:r w:rsidRPr="00A0163E">
              <w:rPr>
                <w:sz w:val="20"/>
              </w:rPr>
              <w:t>.</w:t>
            </w:r>
          </w:p>
          <w:p w14:paraId="7F739465" w14:textId="77777777"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selected Classification.</w:t>
            </w:r>
          </w:p>
        </w:tc>
      </w:tr>
      <w:tr w:rsidR="00A57450" w:rsidRPr="00C24B58" w14:paraId="411CD7CB"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21800B7" w14:textId="77777777" w:rsidR="00A57450" w:rsidRPr="00A0163E" w:rsidRDefault="00A57450" w:rsidP="008C71CB">
            <w:pPr>
              <w:spacing w:before="60" w:after="60" w:line="240" w:lineRule="auto"/>
              <w:ind w:left="115"/>
              <w:rPr>
                <w:b/>
                <w:sz w:val="20"/>
              </w:rPr>
            </w:pPr>
            <w:r w:rsidRPr="00A0163E">
              <w:rPr>
                <w:sz w:val="20"/>
              </w:rPr>
              <w:t>Country</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DE050E3" w14:textId="77777777" w:rsidR="00A57450" w:rsidRPr="00A0163E" w:rsidRDefault="00A57450" w:rsidP="008C71CB">
            <w:pPr>
              <w:spacing w:before="60" w:after="60" w:line="240" w:lineRule="auto"/>
              <w:ind w:left="115"/>
              <w:rPr>
                <w:b/>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418BD73A" w14:textId="15CADA44"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The standard Country Code and country name (select from a </w:t>
            </w:r>
            <w:r w:rsidR="00B705A7" w:rsidRPr="00A0163E">
              <w:rPr>
                <w:sz w:val="20"/>
              </w:rPr>
              <w:t>pull-down</w:t>
            </w:r>
            <w:r w:rsidRPr="00A0163E">
              <w:rPr>
                <w:sz w:val="20"/>
              </w:rPr>
              <w:t xml:space="preserve"> list of valid countries) from the CountryDB that identifies the country where the target is located. For information about the selection and display of Country Codes and country names during system operation, see </w:t>
            </w:r>
            <w:hyperlink w:anchor="_Appendix_C__Country_Codes__(SORTED__1" w:history="1">
              <w:r w:rsidRPr="00A0163E">
                <w:rPr>
                  <w:rStyle w:val="Hyperlink"/>
                  <w:sz w:val="20"/>
                </w:rPr>
                <w:t>Appendix C</w:t>
              </w:r>
            </w:hyperlink>
            <w:r w:rsidRPr="00A0163E">
              <w:rPr>
                <w:sz w:val="20"/>
              </w:rPr>
              <w:t>.</w:t>
            </w:r>
          </w:p>
          <w:p w14:paraId="2CCC9FD7" w14:textId="6C44108F" w:rsidR="00A57450" w:rsidRPr="00A0163E" w:rsidRDefault="00A57450" w:rsidP="008C71CB">
            <w:pPr>
              <w:spacing w:before="60" w:after="60" w:line="240" w:lineRule="auto"/>
              <w:ind w:left="115"/>
              <w:rPr>
                <w:sz w:val="20"/>
              </w:rPr>
            </w:pPr>
            <w:r w:rsidRPr="00A0163E">
              <w:rPr>
                <w:b/>
                <w:sz w:val="20"/>
              </w:rPr>
              <w:t>Query:</w:t>
            </w:r>
            <w:r w:rsidRPr="00A0163E">
              <w:rPr>
                <w:sz w:val="20"/>
              </w:rPr>
              <w:t xml:space="preserve"> Searches for targets that contain the specified Country. </w:t>
            </w:r>
          </w:p>
        </w:tc>
      </w:tr>
      <w:tr w:rsidR="00A57450" w:rsidRPr="00C24B58" w14:paraId="3F18BF90"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A8F54AD" w14:textId="77777777" w:rsidR="00A57450" w:rsidRPr="00A0163E" w:rsidRDefault="00A57450" w:rsidP="008C71CB">
            <w:pPr>
              <w:spacing w:before="60" w:after="60" w:line="240" w:lineRule="auto"/>
              <w:ind w:left="115"/>
              <w:rPr>
                <w:sz w:val="20"/>
              </w:rPr>
            </w:pPr>
            <w:r w:rsidRPr="00A0163E">
              <w:rPr>
                <w:sz w:val="20"/>
              </w:rPr>
              <w:lastRenderedPageBreak/>
              <w:t>Critical Element</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7B020BA" w14:textId="0A91FCB9"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AE45C07"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A critical element required for the operation of the target facility.</w:t>
            </w:r>
          </w:p>
          <w:p w14:paraId="25AB7E4B" w14:textId="4331FB09"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specified Critical Element (wildcard allowed).</w:t>
            </w:r>
          </w:p>
        </w:tc>
      </w:tr>
      <w:tr w:rsidR="00A57450" w:rsidRPr="00C24B58" w14:paraId="774DD13B"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379D99F" w14:textId="77777777" w:rsidR="00A57450" w:rsidRPr="00A0163E" w:rsidRDefault="00A57450" w:rsidP="008C71CB">
            <w:pPr>
              <w:spacing w:before="60" w:after="60" w:line="240" w:lineRule="auto"/>
              <w:ind w:left="115"/>
              <w:rPr>
                <w:sz w:val="20"/>
              </w:rPr>
            </w:pPr>
            <w:r w:rsidRPr="00A0163E">
              <w:rPr>
                <w:sz w:val="20"/>
              </w:rPr>
              <w:t>Facility Name</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49E6839" w14:textId="2979A6C0"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2C114D24"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Name of the target facility.</w:t>
            </w:r>
          </w:p>
          <w:p w14:paraId="2EC93047" w14:textId="7AB162D0"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specified Facility Name (wildcard allowed).</w:t>
            </w:r>
          </w:p>
        </w:tc>
      </w:tr>
      <w:tr w:rsidR="00A57450" w:rsidRPr="00C24B58" w14:paraId="734D9888"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F60C289" w14:textId="77777777" w:rsidR="00A57450" w:rsidRPr="00A0163E" w:rsidRDefault="00A57450" w:rsidP="008C71CB">
            <w:pPr>
              <w:spacing w:before="60" w:after="60" w:line="240" w:lineRule="auto"/>
              <w:ind w:left="115"/>
              <w:rPr>
                <w:sz w:val="20"/>
              </w:rPr>
            </w:pPr>
            <w:r w:rsidRPr="00A0163E">
              <w:rPr>
                <w:sz w:val="20"/>
              </w:rPr>
              <w:t>Installation BE</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E13F695" w14:textId="7F13E44F"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1EE792DD"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A Target identifier format (Basic Encyclopedia). The BE number used in the MIDB to identify the installations containing the 109C or 109E aimpoint or 109D target definition waypoint. Valid BE formats are: nnnn@#nnnn or nnnn-$nnnn where n=numeric, @=alpha, and $=alphanumeric.</w:t>
            </w:r>
          </w:p>
          <w:p w14:paraId="34F9EEDE" w14:textId="77777777"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specified Installation BE (wildcard allowed).</w:t>
            </w:r>
          </w:p>
        </w:tc>
      </w:tr>
      <w:tr w:rsidR="00A57450" w:rsidRPr="00C24B58" w14:paraId="6CCE9D39"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2E18A1A" w14:textId="77777777" w:rsidR="00A57450" w:rsidRPr="00A0163E" w:rsidRDefault="00A57450" w:rsidP="008C71CB">
            <w:pPr>
              <w:spacing w:before="60" w:after="60" w:line="240" w:lineRule="auto"/>
              <w:ind w:left="115"/>
              <w:rPr>
                <w:sz w:val="20"/>
              </w:rPr>
            </w:pPr>
            <w:r w:rsidRPr="00A0163E">
              <w:rPr>
                <w:sz w:val="20"/>
              </w:rPr>
              <w:t>Installation Name</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17BC21E" w14:textId="14C68F46"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23D2B4FF"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The standard MIDB name used for the installations containing the Target Segment.</w:t>
            </w:r>
          </w:p>
          <w:p w14:paraId="0834CDFA" w14:textId="631FAE55"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contain the specified Installation Name (wildcard allowed).</w:t>
            </w:r>
          </w:p>
        </w:tc>
      </w:tr>
      <w:tr w:rsidR="00A57450" w:rsidRPr="00C24B58" w14:paraId="3D2E1726"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D7296C2" w14:textId="559AD55F" w:rsidR="00A57450" w:rsidRPr="00A0163E" w:rsidRDefault="00A57450" w:rsidP="008C71CB">
            <w:pPr>
              <w:spacing w:before="60" w:after="60" w:line="240" w:lineRule="auto"/>
              <w:ind w:left="115"/>
              <w:rPr>
                <w:sz w:val="20"/>
              </w:rPr>
            </w:pPr>
            <w:r w:rsidRPr="00A0163E">
              <w:rPr>
                <w:sz w:val="20"/>
              </w:rPr>
              <w:t>JDPI</w:t>
            </w:r>
            <w:r w:rsidR="006A789E" w:rsidRPr="00A0163E">
              <w:rPr>
                <w:sz w:val="20"/>
              </w:rPr>
              <w:t xml:space="preserve"> ID</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00E5E7A" w14:textId="550DF564"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24B4B89"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A Target identifier format (Joint Desired Point of Impact). Valid format is 6 alphanumeric characters.</w:t>
            </w:r>
          </w:p>
          <w:p w14:paraId="1D9D78C0" w14:textId="4B5A2B26"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specified JDPI </w:t>
            </w:r>
            <w:r w:rsidR="006A789E" w:rsidRPr="00A0163E">
              <w:rPr>
                <w:sz w:val="20"/>
              </w:rPr>
              <w:t xml:space="preserve">ID </w:t>
            </w:r>
            <w:r w:rsidRPr="00A0163E">
              <w:rPr>
                <w:sz w:val="20"/>
              </w:rPr>
              <w:t>(wildcard allowed).</w:t>
            </w:r>
          </w:p>
        </w:tc>
      </w:tr>
      <w:tr w:rsidR="00A57450" w:rsidRPr="00C24B58" w14:paraId="0F856B98"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C3ADC88" w14:textId="77777777" w:rsidR="00A57450" w:rsidRPr="00A0163E" w:rsidRDefault="00A57450" w:rsidP="008C71CB">
            <w:pPr>
              <w:spacing w:before="60" w:after="60" w:line="240" w:lineRule="auto"/>
              <w:ind w:left="115"/>
              <w:rPr>
                <w:b/>
                <w:sz w:val="20"/>
              </w:rPr>
            </w:pPr>
            <w:bookmarkStart w:id="7403" w:name="_Hlk32926228"/>
            <w:r w:rsidRPr="00A0163E">
              <w:rPr>
                <w:sz w:val="20"/>
              </w:rPr>
              <w:t>OSuffix</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92B0B12" w14:textId="7E330E60" w:rsidR="00A57450" w:rsidRPr="00A0163E" w:rsidRDefault="00A57450" w:rsidP="008C71CB">
            <w:pPr>
              <w:spacing w:before="60" w:after="60" w:line="240" w:lineRule="auto"/>
              <w:ind w:left="115"/>
              <w:rPr>
                <w:b/>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3549E30"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Five-character field defined in MIDB which uniquely identifies each facility at an installation.</w:t>
            </w:r>
          </w:p>
          <w:p w14:paraId="50455973" w14:textId="77777777"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specified facility OSUFFIX (wildcard allowed).</w:t>
            </w:r>
          </w:p>
        </w:tc>
      </w:tr>
      <w:tr w:rsidR="00A57450" w:rsidRPr="00C24B58" w14:paraId="78C1170F"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C7D5F64" w14:textId="77777777" w:rsidR="00A57450" w:rsidRPr="00A0163E" w:rsidRDefault="00A57450" w:rsidP="008C71CB">
            <w:pPr>
              <w:spacing w:before="60" w:after="60" w:line="240" w:lineRule="auto"/>
              <w:ind w:left="115"/>
              <w:rPr>
                <w:sz w:val="20"/>
              </w:rPr>
            </w:pPr>
            <w:r w:rsidRPr="00A0163E">
              <w:rPr>
                <w:sz w:val="20"/>
              </w:rPr>
              <w:t>TAR Type</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0C14982" w14:textId="19CF8E45" w:rsidR="00A57450" w:rsidRPr="00A0163E" w:rsidRDefault="00A57450" w:rsidP="008C71CB">
            <w:pPr>
              <w:spacing w:before="60" w:after="60" w:line="240" w:lineRule="auto"/>
              <w:ind w:left="115"/>
              <w:rPr>
                <w:sz w:val="20"/>
              </w:rPr>
            </w:pPr>
            <w:r w:rsidRPr="00A0163E">
              <w:rPr>
                <w:sz w:val="20"/>
              </w:rP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22DD352"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The type of target from which the tasking constraints for the target attack requirements are based on.</w:t>
            </w:r>
          </w:p>
          <w:p w14:paraId="4310DB7D" w14:textId="516FDFF9"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specified TAR Type (wildcard allowed).</w:t>
            </w:r>
          </w:p>
        </w:tc>
      </w:tr>
      <w:tr w:rsidR="00A57450" w:rsidRPr="00C24B58" w14:paraId="22942521"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29E93AF" w14:textId="77777777" w:rsidR="00A57450" w:rsidRPr="00A0163E" w:rsidRDefault="00A57450" w:rsidP="008C71CB">
            <w:pPr>
              <w:spacing w:before="60" w:after="60" w:line="240" w:lineRule="auto"/>
              <w:ind w:left="115"/>
              <w:rPr>
                <w:sz w:val="20"/>
              </w:rPr>
            </w:pPr>
            <w:r w:rsidRPr="00A0163E">
              <w:rPr>
                <w:sz w:val="20"/>
              </w:rPr>
              <w:t>Target Elevation</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8947685" w14:textId="54B8A361"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2938CE8"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The ground elevation (in feet MSL) of the target.</w:t>
            </w:r>
          </w:p>
          <w:p w14:paraId="619169C9" w14:textId="5AB86F3E"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in which the Target Elevation falls within the low value and high value entered. Affected by the floating-point number query limitation (see Note at the beginning of this Appendix).</w:t>
            </w:r>
          </w:p>
        </w:tc>
      </w:tr>
      <w:tr w:rsidR="00A57450" w:rsidRPr="00C24B58" w14:paraId="3CB0839A"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861260D" w14:textId="77777777" w:rsidR="00A57450" w:rsidRPr="00A0163E" w:rsidRDefault="00A57450" w:rsidP="008C71CB">
            <w:pPr>
              <w:spacing w:before="60" w:after="60" w:line="240" w:lineRule="auto"/>
              <w:ind w:left="115"/>
              <w:rPr>
                <w:sz w:val="20"/>
              </w:rPr>
            </w:pPr>
            <w:r w:rsidRPr="00A0163E">
              <w:rPr>
                <w:sz w:val="20"/>
              </w:rPr>
              <w:t>Target Location</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1FD8A01" w14:textId="7A589061"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6A41490"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The latitude/longitude coordinate associated with the geodetic point for the target waypoint, which equates to the aimpoint for 109C or 109E, or target definition waypoint for 109D.</w:t>
            </w:r>
          </w:p>
          <w:p w14:paraId="3FB5CE1A" w14:textId="7270AEBF"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in which the Target Location falls within the latitude/longitude values entered (or selected from the map). For targets with multiple target segments, any one of the target segments can generate a successful search. Affected by the floating-point number query limitation (see Note at the beginning of this Appendix).</w:t>
            </w:r>
          </w:p>
        </w:tc>
      </w:tr>
      <w:tr w:rsidR="00A57450" w:rsidRPr="00C24B58" w14:paraId="7CD0260D"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AB581B6" w14:textId="77777777" w:rsidR="00A57450" w:rsidRPr="00A0163E" w:rsidRDefault="00A57450" w:rsidP="008C71CB">
            <w:pPr>
              <w:spacing w:before="60" w:after="60" w:line="240" w:lineRule="auto"/>
              <w:ind w:left="115"/>
              <w:rPr>
                <w:sz w:val="20"/>
              </w:rPr>
            </w:pPr>
            <w:r w:rsidRPr="00A0163E">
              <w:rPr>
                <w:sz w:val="20"/>
              </w:rPr>
              <w:t>Target Type</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03E09FF" w14:textId="421649A3"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7123E2C"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Target Reference Type. Valid values are </w:t>
            </w:r>
            <w:r w:rsidRPr="00A0163E">
              <w:rPr>
                <w:b/>
                <w:sz w:val="20"/>
              </w:rPr>
              <w:t>BE</w:t>
            </w:r>
            <w:r w:rsidRPr="00A0163E">
              <w:rPr>
                <w:sz w:val="20"/>
              </w:rPr>
              <w:t xml:space="preserve"> (default), </w:t>
            </w:r>
            <w:r w:rsidRPr="00A0163E">
              <w:rPr>
                <w:b/>
                <w:sz w:val="20"/>
              </w:rPr>
              <w:t>JDPI</w:t>
            </w:r>
            <w:r w:rsidRPr="00A0163E">
              <w:rPr>
                <w:sz w:val="20"/>
              </w:rPr>
              <w:t xml:space="preserve">, </w:t>
            </w:r>
            <w:r w:rsidRPr="00A0163E">
              <w:rPr>
                <w:b/>
                <w:sz w:val="20"/>
              </w:rPr>
              <w:t>TTN</w:t>
            </w:r>
            <w:r w:rsidRPr="00A0163E">
              <w:rPr>
                <w:sz w:val="20"/>
              </w:rPr>
              <w:t xml:space="preserve">, and </w:t>
            </w:r>
            <w:r w:rsidRPr="00A0163E">
              <w:rPr>
                <w:b/>
                <w:sz w:val="20"/>
              </w:rPr>
              <w:t>UIC</w:t>
            </w:r>
            <w:r w:rsidRPr="00A0163E">
              <w:rPr>
                <w:sz w:val="20"/>
              </w:rPr>
              <w:t>.</w:t>
            </w:r>
          </w:p>
          <w:p w14:paraId="41E80337" w14:textId="01806DFD"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selected Target Type.</w:t>
            </w:r>
          </w:p>
        </w:tc>
      </w:tr>
      <w:tr w:rsidR="00A57450" w:rsidRPr="00C24B58" w14:paraId="5DC54191"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850AF17" w14:textId="77777777" w:rsidR="00A57450" w:rsidRPr="00A0163E" w:rsidRDefault="00A57450" w:rsidP="008C71CB">
            <w:pPr>
              <w:spacing w:before="60" w:after="60" w:line="240" w:lineRule="auto"/>
              <w:ind w:left="115"/>
              <w:rPr>
                <w:sz w:val="20"/>
              </w:rPr>
            </w:pPr>
            <w:r w:rsidRPr="00A0163E">
              <w:rPr>
                <w:sz w:val="20"/>
              </w:rPr>
              <w:t>TTN</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A59F4A0" w14:textId="6F706933"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80A6DD9"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A Target identifier format (Tactical Target Number). Valid format is 10 characters.</w:t>
            </w:r>
          </w:p>
          <w:p w14:paraId="232501DD" w14:textId="77777777"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specified TTN (wildcard allowed).</w:t>
            </w:r>
          </w:p>
        </w:tc>
      </w:tr>
      <w:tr w:rsidR="00A57450" w:rsidRPr="00C24B58" w14:paraId="430D0D0C"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371400C" w14:textId="77777777" w:rsidR="00A57450" w:rsidRPr="00A0163E" w:rsidRDefault="00A57450" w:rsidP="008C71CB">
            <w:pPr>
              <w:spacing w:before="60" w:after="60" w:line="240" w:lineRule="auto"/>
              <w:ind w:left="115"/>
              <w:rPr>
                <w:sz w:val="20"/>
              </w:rPr>
            </w:pPr>
            <w:r w:rsidRPr="00A0163E">
              <w:rPr>
                <w:sz w:val="20"/>
              </w:rPr>
              <w:lastRenderedPageBreak/>
              <w:t>Type Code</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AB30D89" w14:textId="32460369"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221B204E"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A general type code defined for the target object aimpoint. Examples of general type codes are aircraft, buildings, defenses, etc.</w:t>
            </w:r>
          </w:p>
          <w:p w14:paraId="05B31A85" w14:textId="5196E013"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selected Type Code.</w:t>
            </w:r>
          </w:p>
        </w:tc>
      </w:tr>
      <w:tr w:rsidR="00A57450" w:rsidRPr="00C24B58" w14:paraId="1606D65D"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6BA700E" w14:textId="77777777" w:rsidR="00A57450" w:rsidRPr="00A0163E" w:rsidRDefault="00A57450" w:rsidP="008C71CB">
            <w:pPr>
              <w:spacing w:before="60" w:after="60" w:line="240" w:lineRule="auto"/>
              <w:ind w:left="115"/>
              <w:rPr>
                <w:sz w:val="20"/>
              </w:rPr>
            </w:pPr>
            <w:r w:rsidRPr="00A0163E">
              <w:rPr>
                <w:sz w:val="20"/>
              </w:rPr>
              <w:t>UIC</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969BC1B" w14:textId="27733FD6"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8620452" w14:textId="77777777"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A Target identifier format (Unit Identification Code). Valid format is up to 30 characters.</w:t>
            </w:r>
          </w:p>
          <w:p w14:paraId="334C6D38" w14:textId="77777777"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specified UIC (wildcard allowed).</w:t>
            </w:r>
          </w:p>
        </w:tc>
      </w:tr>
      <w:bookmarkEnd w:id="7403"/>
      <w:tr w:rsidR="00A57450" w:rsidRPr="00C24B58" w14:paraId="5C44CF8B" w14:textId="77777777" w:rsidTr="00A776F3">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F5A592C" w14:textId="77777777" w:rsidR="00A57450" w:rsidRPr="00A0163E" w:rsidRDefault="00A57450" w:rsidP="008C71CB">
            <w:pPr>
              <w:spacing w:before="60" w:after="60" w:line="240" w:lineRule="auto"/>
              <w:ind w:left="115"/>
              <w:rPr>
                <w:sz w:val="20"/>
              </w:rPr>
            </w:pPr>
            <w:r w:rsidRPr="00A0163E">
              <w:rPr>
                <w:sz w:val="20"/>
              </w:rPr>
              <w:t>User Target Number</w:t>
            </w:r>
          </w:p>
        </w:tc>
        <w:tc>
          <w:tcPr>
            <w:tcW w:w="990"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81BA6FA" w14:textId="0B191938" w:rsidR="00A57450" w:rsidRPr="00A0163E" w:rsidRDefault="00A57450" w:rsidP="008C71CB">
            <w:pPr>
              <w:spacing w:before="60" w:after="60" w:line="240" w:lineRule="auto"/>
              <w:ind w:left="115"/>
              <w:rPr>
                <w:sz w:val="20"/>
              </w:rPr>
            </w:pPr>
            <w:r w:rsidRPr="00A0163E">
              <w:rPr>
                <w:sz w:val="20"/>
              </w:rPr>
              <w:t>109C</w:t>
            </w:r>
            <w:r w:rsidRPr="00A0163E">
              <w:rPr>
                <w:sz w:val="20"/>
              </w:rPr>
              <w:br/>
              <w:t>109D</w:t>
            </w:r>
            <w:r w:rsidRPr="00A0163E">
              <w:rPr>
                <w:sz w:val="20"/>
              </w:rPr>
              <w:br/>
              <w:t>109E</w:t>
            </w:r>
            <w:r w:rsidR="00EE1E85" w:rsidRPr="00A0163E">
              <w:rPr>
                <w:sz w:val="20"/>
              </w:rPr>
              <w:br/>
              <w:t>109M</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7E1B54B" w14:textId="241F2C5E" w:rsidR="00A57450" w:rsidRPr="00A0163E" w:rsidRDefault="00A57450" w:rsidP="008C71CB">
            <w:pPr>
              <w:spacing w:before="60" w:after="60" w:line="240" w:lineRule="auto"/>
              <w:ind w:left="115"/>
              <w:rPr>
                <w:sz w:val="20"/>
              </w:rPr>
            </w:pPr>
            <w:r w:rsidRPr="00A0163E">
              <w:rPr>
                <w:b/>
                <w:sz w:val="20"/>
              </w:rPr>
              <w:t>Definition:</w:t>
            </w:r>
            <w:r w:rsidRPr="00A0163E">
              <w:rPr>
                <w:sz w:val="20"/>
              </w:rPr>
              <w:t xml:space="preserve"> Optional target number entered by the user when the new target was created. Valid values are 0 to 65535.</w:t>
            </w:r>
          </w:p>
          <w:p w14:paraId="78F4A402" w14:textId="5AF5E877" w:rsidR="00A57450" w:rsidRPr="00A0163E" w:rsidRDefault="00A57450" w:rsidP="008C71CB">
            <w:pPr>
              <w:spacing w:before="60" w:after="60" w:line="240" w:lineRule="auto"/>
              <w:ind w:left="115"/>
              <w:rPr>
                <w:b/>
                <w:sz w:val="20"/>
              </w:rPr>
            </w:pPr>
            <w:r w:rsidRPr="00A0163E">
              <w:rPr>
                <w:b/>
                <w:sz w:val="20"/>
              </w:rPr>
              <w:t>Query:</w:t>
            </w:r>
            <w:r w:rsidRPr="00A0163E">
              <w:rPr>
                <w:sz w:val="20"/>
              </w:rPr>
              <w:t xml:space="preserve"> Searches for targets that match the specified User Target Number.</w:t>
            </w:r>
          </w:p>
        </w:tc>
      </w:tr>
    </w:tbl>
    <w:p w14:paraId="05E79C47" w14:textId="4D1133B4" w:rsidR="0085709F" w:rsidRPr="000665B0" w:rsidRDefault="0085709F" w:rsidP="006D5A65">
      <w:pPr>
        <w:pStyle w:val="Heading3"/>
      </w:pPr>
      <w:bookmarkStart w:id="7404" w:name="_Toc214283686"/>
      <w:r w:rsidRPr="000665B0">
        <w:t>S</w:t>
      </w:r>
      <w:r w:rsidR="005E043D">
        <w:t>trike Folder Query</w:t>
      </w:r>
      <w:bookmarkEnd w:id="7404"/>
    </w:p>
    <w:p w14:paraId="2163091E" w14:textId="77777777" w:rsidR="0085709F" w:rsidRPr="000665B0" w:rsidRDefault="0085709F" w:rsidP="006D5A65">
      <w:pPr>
        <w:pStyle w:val="Heading4"/>
      </w:pPr>
      <w:r w:rsidRPr="000665B0">
        <w:t>General Info Tab</w:t>
      </w:r>
    </w:p>
    <w:p w14:paraId="6F6175A6" w14:textId="3B85B48A" w:rsidR="0085709F" w:rsidRDefault="002B032B" w:rsidP="001F4B14">
      <w:pPr>
        <w:spacing w:after="160"/>
        <w:jc w:val="center"/>
      </w:pPr>
      <w:r w:rsidRPr="000665B0">
        <w:rPr>
          <w:noProof/>
        </w:rPr>
        <w:drawing>
          <wp:inline distT="0" distB="0" distL="0" distR="0" wp14:anchorId="6AD1334A" wp14:editId="0A6C939D">
            <wp:extent cx="4572000" cy="3593592"/>
            <wp:effectExtent l="0" t="0" r="0" b="6985"/>
            <wp:docPr id="2234" name="Picture 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3593592"/>
                    </a:xfrm>
                    <a:prstGeom prst="rect">
                      <a:avLst/>
                    </a:prstGeom>
                  </pic:spPr>
                </pic:pic>
              </a:graphicData>
            </a:graphic>
          </wp:inline>
        </w:drawing>
      </w:r>
    </w:p>
    <w:tbl>
      <w:tblPr>
        <w:tblW w:w="13068" w:type="dxa"/>
        <w:tblLayout w:type="fixed"/>
        <w:tblCellMar>
          <w:left w:w="0" w:type="dxa"/>
          <w:right w:w="0" w:type="dxa"/>
        </w:tblCellMar>
        <w:tblLook w:val="0000" w:firstRow="0" w:lastRow="0" w:firstColumn="0" w:lastColumn="0" w:noHBand="0" w:noVBand="0"/>
      </w:tblPr>
      <w:tblGrid>
        <w:gridCol w:w="1885"/>
        <w:gridCol w:w="1103"/>
        <w:gridCol w:w="10080"/>
      </w:tblGrid>
      <w:tr w:rsidR="0085709F" w:rsidRPr="00C24B58" w14:paraId="37C1747A" w14:textId="77777777" w:rsidTr="008C71CB">
        <w:trPr>
          <w:cantSplit/>
          <w:trHeight w:val="144"/>
          <w:tblHead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08EB5286" w14:textId="77777777" w:rsidR="0085709F" w:rsidRPr="00A0163E" w:rsidRDefault="0085709F" w:rsidP="008C71CB">
            <w:pPr>
              <w:spacing w:before="60" w:after="60" w:line="240" w:lineRule="auto"/>
              <w:ind w:left="115"/>
              <w:rPr>
                <w:b/>
                <w:sz w:val="20"/>
              </w:rPr>
            </w:pPr>
            <w:r w:rsidRPr="00A0163E">
              <w:rPr>
                <w:b/>
                <w:sz w:val="20"/>
              </w:rPr>
              <w:t>Query Button</w:t>
            </w:r>
          </w:p>
        </w:tc>
        <w:tc>
          <w:tcPr>
            <w:tcW w:w="1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46C9A3D7" w14:textId="77777777" w:rsidR="0085709F" w:rsidRPr="00A0163E" w:rsidRDefault="0085709F" w:rsidP="008C71CB">
            <w:pPr>
              <w:spacing w:before="60" w:after="60" w:line="240" w:lineRule="auto"/>
              <w:ind w:left="115"/>
              <w:rPr>
                <w:b/>
                <w:sz w:val="20"/>
              </w:rPr>
            </w:pPr>
            <w:r w:rsidRPr="00A0163E">
              <w:rPr>
                <w:b/>
                <w:sz w:val="20"/>
              </w:rPr>
              <w:t>Variant</w:t>
            </w:r>
          </w:p>
        </w:tc>
        <w:tc>
          <w:tcPr>
            <w:tcW w:w="10080" w:type="dxa"/>
            <w:tcBorders>
              <w:top w:val="single" w:sz="4" w:space="0" w:color="auto"/>
              <w:left w:val="nil"/>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409F3BAF" w14:textId="26E400AA" w:rsidR="0085709F" w:rsidRPr="00A0163E" w:rsidRDefault="0085709F" w:rsidP="008C71CB">
            <w:pPr>
              <w:spacing w:before="60" w:after="60" w:line="240" w:lineRule="auto"/>
              <w:ind w:left="115"/>
              <w:rPr>
                <w:b/>
                <w:sz w:val="20"/>
              </w:rPr>
            </w:pPr>
            <w:r w:rsidRPr="00A0163E">
              <w:rPr>
                <w:b/>
                <w:sz w:val="20"/>
              </w:rPr>
              <w:t>Definition and Query Details</w:t>
            </w:r>
          </w:p>
        </w:tc>
      </w:tr>
      <w:tr w:rsidR="0085709F" w:rsidRPr="00C24B58" w14:paraId="0B06EC8B"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39E463D" w14:textId="77777777" w:rsidR="0085709F" w:rsidRPr="00A0163E" w:rsidRDefault="0085709F" w:rsidP="008C71CB">
            <w:pPr>
              <w:spacing w:before="60" w:after="60" w:line="240" w:lineRule="auto"/>
              <w:ind w:left="115"/>
              <w:rPr>
                <w:sz w:val="20"/>
              </w:rPr>
            </w:pPr>
            <w:r w:rsidRPr="00A0163E">
              <w:rPr>
                <w:sz w:val="20"/>
              </w:rPr>
              <w:t>Classification</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9F94470"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2AC351F5"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Security classification of the strike folder. Valid values are </w:t>
            </w:r>
            <w:r w:rsidRPr="00A0163E">
              <w:rPr>
                <w:b/>
                <w:sz w:val="20"/>
              </w:rPr>
              <w:t>Unclassified</w:t>
            </w:r>
            <w:r w:rsidRPr="00A0163E">
              <w:rPr>
                <w:sz w:val="20"/>
              </w:rPr>
              <w:t xml:space="preserve"> (default), </w:t>
            </w:r>
            <w:r w:rsidRPr="00A0163E">
              <w:rPr>
                <w:b/>
                <w:sz w:val="20"/>
              </w:rPr>
              <w:t>Confidential</w:t>
            </w:r>
            <w:r w:rsidRPr="00A0163E">
              <w:rPr>
                <w:sz w:val="20"/>
              </w:rPr>
              <w:t xml:space="preserve">, </w:t>
            </w:r>
            <w:r w:rsidRPr="00A0163E">
              <w:rPr>
                <w:b/>
                <w:sz w:val="20"/>
              </w:rPr>
              <w:t>Secret</w:t>
            </w:r>
            <w:r w:rsidRPr="00A0163E">
              <w:rPr>
                <w:sz w:val="20"/>
              </w:rPr>
              <w:t xml:space="preserve">, or </w:t>
            </w:r>
            <w:r w:rsidRPr="00A0163E">
              <w:rPr>
                <w:b/>
                <w:sz w:val="20"/>
              </w:rPr>
              <w:t>Top Secret</w:t>
            </w:r>
            <w:r w:rsidRPr="00A0163E">
              <w:rPr>
                <w:sz w:val="20"/>
              </w:rPr>
              <w:t>.</w:t>
            </w:r>
          </w:p>
          <w:p w14:paraId="222BF29B" w14:textId="77777777"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match the selected Classification.</w:t>
            </w:r>
          </w:p>
        </w:tc>
      </w:tr>
      <w:tr w:rsidR="0085709F" w:rsidRPr="00C24B58" w14:paraId="236DBB2C"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3AD47DF" w14:textId="77777777" w:rsidR="0085709F" w:rsidRPr="00A0163E" w:rsidRDefault="0085709F" w:rsidP="008C71CB">
            <w:pPr>
              <w:spacing w:before="60" w:after="60" w:line="240" w:lineRule="auto"/>
              <w:ind w:left="115"/>
              <w:rPr>
                <w:sz w:val="20"/>
              </w:rPr>
            </w:pPr>
            <w:r w:rsidRPr="00A0163E">
              <w:rPr>
                <w:sz w:val="20"/>
              </w:rPr>
              <w:t>Creation DTG</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9AAF267"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E2242B1"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The date the strike folder was created.</w:t>
            </w:r>
          </w:p>
          <w:p w14:paraId="43656202" w14:textId="77777777"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in which the Creation DTG falls within the low value and high value entered.</w:t>
            </w:r>
          </w:p>
        </w:tc>
      </w:tr>
      <w:tr w:rsidR="0085709F" w:rsidRPr="00C24B58" w14:paraId="1A2CE5FB"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3B255A9" w14:textId="30164F81" w:rsidR="0085709F" w:rsidRPr="00A0163E" w:rsidRDefault="002B032B" w:rsidP="008C71CB">
            <w:pPr>
              <w:spacing w:before="60" w:after="60" w:line="240" w:lineRule="auto"/>
              <w:ind w:left="115"/>
              <w:rPr>
                <w:sz w:val="20"/>
              </w:rPr>
            </w:pPr>
            <w:r w:rsidRPr="00A0163E">
              <w:rPr>
                <w:sz w:val="20"/>
              </w:rPr>
              <w:lastRenderedPageBreak/>
              <w:t xml:space="preserve">Geo </w:t>
            </w:r>
            <w:r w:rsidR="0085709F" w:rsidRPr="00A0163E">
              <w:rPr>
                <w:sz w:val="20"/>
              </w:rPr>
              <w:t>Resource</w:t>
            </w:r>
            <w:r w:rsidRPr="00A0163E">
              <w:rPr>
                <w:sz w:val="20"/>
              </w:rPr>
              <w:t>s</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B8D0398"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BCFB7D5"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All ACMS and overlay files that may be used for strike planning.</w:t>
            </w:r>
          </w:p>
          <w:p w14:paraId="4ACC4982" w14:textId="5ED4B178"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contain the specified Geographic Resource</w:t>
            </w:r>
            <w:r w:rsidR="002B032B" w:rsidRPr="00A0163E">
              <w:rPr>
                <w:sz w:val="20"/>
              </w:rPr>
              <w:t>s</w:t>
            </w:r>
            <w:r w:rsidRPr="00A0163E">
              <w:rPr>
                <w:sz w:val="20"/>
              </w:rPr>
              <w:t xml:space="preserve"> (wildcard allowed).</w:t>
            </w:r>
          </w:p>
        </w:tc>
      </w:tr>
      <w:tr w:rsidR="0085709F" w:rsidRPr="00C24B58" w14:paraId="0917E105"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77F9B49" w14:textId="77777777" w:rsidR="0085709F" w:rsidRPr="00A0163E" w:rsidRDefault="0085709F" w:rsidP="008C71CB">
            <w:pPr>
              <w:spacing w:before="60" w:after="60" w:line="240" w:lineRule="auto"/>
              <w:ind w:left="115"/>
              <w:rPr>
                <w:sz w:val="20"/>
              </w:rPr>
            </w:pPr>
            <w:r w:rsidRPr="00A0163E">
              <w:rPr>
                <w:sz w:val="20"/>
              </w:rPr>
              <w:t>Last Modification DTG</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57515D7"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7D3962B"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The date the strike folder was last modified.</w:t>
            </w:r>
          </w:p>
          <w:p w14:paraId="0B34F140" w14:textId="77777777"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in which the Last Modified DTG falls within the low value and high value entered.</w:t>
            </w:r>
          </w:p>
        </w:tc>
      </w:tr>
      <w:tr w:rsidR="0085709F" w:rsidRPr="00C24B58" w14:paraId="2516167E"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4203C34" w14:textId="77777777" w:rsidR="0085709F" w:rsidRPr="00A0163E" w:rsidRDefault="0085709F" w:rsidP="008C71CB">
            <w:pPr>
              <w:spacing w:before="60" w:after="60" w:line="240" w:lineRule="auto"/>
              <w:ind w:left="115"/>
              <w:rPr>
                <w:sz w:val="20"/>
              </w:rPr>
            </w:pPr>
            <w:r w:rsidRPr="00A0163E">
              <w:rPr>
                <w:sz w:val="20"/>
              </w:rPr>
              <w:t>Strike Folder ID</w:t>
            </w:r>
            <w:r w:rsidRPr="00A0163E" w:rsidDel="00AC6D04">
              <w:rPr>
                <w:sz w:val="20"/>
              </w:rPr>
              <w:t xml:space="preserve">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3B28A5C"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43729B73"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The Strike Folder identifier that is formatted as “Location Code – Sequence Number.” The location code is the location code of the Strike Folder’s originating Node. Valid format is nnnnn-nnnnn.</w:t>
            </w:r>
          </w:p>
          <w:p w14:paraId="1EC2752E" w14:textId="13FA2EA9"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match the specified Strike Folder ID entered (wildcard allowed).</w:t>
            </w:r>
          </w:p>
        </w:tc>
      </w:tr>
      <w:tr w:rsidR="0085709F" w:rsidRPr="00C24B58" w14:paraId="0D8F1DD0"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B699CC4" w14:textId="77777777" w:rsidR="0085709F" w:rsidRPr="00A0163E" w:rsidRDefault="0085709F" w:rsidP="008C71CB">
            <w:pPr>
              <w:spacing w:before="60" w:after="60" w:line="240" w:lineRule="auto"/>
              <w:ind w:left="115"/>
              <w:rPr>
                <w:sz w:val="20"/>
              </w:rPr>
            </w:pPr>
            <w:r w:rsidRPr="00A0163E">
              <w:rPr>
                <w:sz w:val="20"/>
              </w:rPr>
              <w:t>Strike Folder Title</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DAFDF7E"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F1DF23D"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The title given to the strike folder when it was created. Valid values are up to 40 alphanumeric and special or space characters.</w:t>
            </w:r>
          </w:p>
          <w:p w14:paraId="1AE2E59B" w14:textId="7FDCC602"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match the specified Strike Folder Title entered (wildcard allowed).</w:t>
            </w:r>
          </w:p>
        </w:tc>
      </w:tr>
      <w:tr w:rsidR="0085709F" w:rsidRPr="00C24B58" w14:paraId="3A60F15A"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07601C2" w14:textId="77777777" w:rsidR="0085709F" w:rsidRPr="00A0163E" w:rsidRDefault="0085709F" w:rsidP="008C71CB">
            <w:pPr>
              <w:spacing w:before="60" w:after="60" w:line="240" w:lineRule="auto"/>
              <w:ind w:left="115"/>
              <w:rPr>
                <w:sz w:val="20"/>
              </w:rPr>
            </w:pPr>
            <w:r w:rsidRPr="00A0163E">
              <w:rPr>
                <w:sz w:val="20"/>
              </w:rPr>
              <w:t>Strike Originator</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A2E4318"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BD0E4D6"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The location code of the node that originally created the Strike Folder.</w:t>
            </w:r>
          </w:p>
          <w:p w14:paraId="67E7958B" w14:textId="7B365CB1"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in which the Strike Originator node’s location code falls within the low value and high value entered.</w:t>
            </w:r>
          </w:p>
        </w:tc>
      </w:tr>
      <w:tr w:rsidR="0085709F" w:rsidRPr="00C24B58" w14:paraId="290DB726"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417ED33" w14:textId="77777777" w:rsidR="0085709F" w:rsidRPr="00A0163E" w:rsidRDefault="0085709F" w:rsidP="008C71CB">
            <w:pPr>
              <w:spacing w:before="60" w:after="60" w:line="240" w:lineRule="auto"/>
              <w:ind w:left="115"/>
              <w:rPr>
                <w:sz w:val="20"/>
              </w:rPr>
            </w:pPr>
            <w:r w:rsidRPr="00A0163E">
              <w:rPr>
                <w:sz w:val="20"/>
              </w:rPr>
              <w:t>Strike Type</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4F39FC3"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144B456"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The class of the strike folder. Valid values are </w:t>
            </w:r>
            <w:r w:rsidRPr="00A0163E">
              <w:rPr>
                <w:b/>
                <w:sz w:val="20"/>
              </w:rPr>
              <w:t>Tactical</w:t>
            </w:r>
            <w:r w:rsidRPr="00A0163E">
              <w:rPr>
                <w:sz w:val="20"/>
              </w:rPr>
              <w:t xml:space="preserve"> or </w:t>
            </w:r>
            <w:r w:rsidRPr="00A0163E">
              <w:rPr>
                <w:b/>
                <w:sz w:val="20"/>
              </w:rPr>
              <w:t>Training</w:t>
            </w:r>
            <w:r w:rsidRPr="00A0163E">
              <w:rPr>
                <w:sz w:val="20"/>
              </w:rPr>
              <w:t>.</w:t>
            </w:r>
          </w:p>
          <w:p w14:paraId="23C71F6F" w14:textId="6F8EDCC5"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match the selected Strike Type (class).</w:t>
            </w:r>
          </w:p>
        </w:tc>
      </w:tr>
      <w:tr w:rsidR="003B1879" w:rsidRPr="00C24B58" w14:paraId="71ACEAB5"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E886187" w14:textId="77777777" w:rsidR="003B1879" w:rsidRPr="00A0163E" w:rsidRDefault="003B1879" w:rsidP="008C71CB">
            <w:pPr>
              <w:spacing w:before="60" w:after="60" w:line="240" w:lineRule="auto"/>
              <w:ind w:left="115"/>
              <w:rPr>
                <w:sz w:val="20"/>
              </w:rPr>
            </w:pPr>
            <w:r w:rsidRPr="00A0163E">
              <w:rPr>
                <w:sz w:val="20"/>
              </w:rPr>
              <w:t>Task Organization</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11259E7" w14:textId="77777777" w:rsidR="003B1879" w:rsidRPr="00A0163E" w:rsidRDefault="003B1879"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80FAEF0" w14:textId="77777777" w:rsidR="003B1879" w:rsidRPr="00A0163E" w:rsidRDefault="003B1879" w:rsidP="008C71CB">
            <w:pPr>
              <w:spacing w:before="60" w:after="60" w:line="240" w:lineRule="auto"/>
              <w:ind w:left="115"/>
              <w:rPr>
                <w:sz w:val="20"/>
              </w:rPr>
            </w:pPr>
            <w:r w:rsidRPr="00A0163E">
              <w:rPr>
                <w:b/>
                <w:sz w:val="20"/>
              </w:rPr>
              <w:t>Definition:</w:t>
            </w:r>
            <w:r w:rsidRPr="00A0163E">
              <w:rPr>
                <w:sz w:val="20"/>
              </w:rPr>
              <w:t xml:space="preserve"> The task organization name assigned to the strike folder when it was created.</w:t>
            </w:r>
          </w:p>
          <w:p w14:paraId="5CB6F39E" w14:textId="77777777" w:rsidR="003B1879" w:rsidRPr="00A0163E" w:rsidRDefault="003B1879" w:rsidP="008C71CB">
            <w:pPr>
              <w:spacing w:before="60" w:after="60" w:line="240" w:lineRule="auto"/>
              <w:ind w:left="115"/>
              <w:rPr>
                <w:b/>
                <w:sz w:val="20"/>
              </w:rPr>
            </w:pPr>
            <w:r w:rsidRPr="00A0163E">
              <w:rPr>
                <w:b/>
                <w:sz w:val="20"/>
              </w:rPr>
              <w:t>Query:</w:t>
            </w:r>
            <w:r w:rsidRPr="00A0163E">
              <w:rPr>
                <w:sz w:val="20"/>
              </w:rPr>
              <w:t xml:space="preserve"> Searches for strike folders that match the specified Task Organization name (wildcard allowed).</w:t>
            </w:r>
          </w:p>
        </w:tc>
      </w:tr>
      <w:tr w:rsidR="0085709F" w:rsidRPr="00C24B58" w14:paraId="4D46CFE6"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E37EDC5" w14:textId="77777777" w:rsidR="0085709F" w:rsidRPr="00A0163E" w:rsidRDefault="0085709F" w:rsidP="008C71CB">
            <w:pPr>
              <w:spacing w:before="60" w:after="60" w:line="240" w:lineRule="auto"/>
              <w:ind w:left="115"/>
              <w:rPr>
                <w:sz w:val="20"/>
              </w:rPr>
            </w:pPr>
            <w:r w:rsidRPr="00A0163E">
              <w:rPr>
                <w:sz w:val="20"/>
              </w:rPr>
              <w:t>Tasking Description</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2A9648D"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78341BA" w14:textId="77777777" w:rsidR="0085709F" w:rsidRPr="00A0163E" w:rsidRDefault="0085709F" w:rsidP="008C71CB">
            <w:pPr>
              <w:spacing w:before="60" w:after="60" w:line="240" w:lineRule="auto"/>
              <w:ind w:left="115"/>
              <w:rPr>
                <w:spacing w:val="-2"/>
                <w:sz w:val="20"/>
              </w:rPr>
            </w:pPr>
            <w:r w:rsidRPr="00A0163E">
              <w:rPr>
                <w:b/>
                <w:spacing w:val="-2"/>
                <w:sz w:val="20"/>
              </w:rPr>
              <w:t>Definition:</w:t>
            </w:r>
            <w:r w:rsidRPr="00A0163E">
              <w:rPr>
                <w:spacing w:val="-2"/>
                <w:sz w:val="20"/>
              </w:rPr>
              <w:t xml:space="preserve"> Free text entered in the </w:t>
            </w:r>
            <w:r w:rsidRPr="00A0163E">
              <w:rPr>
                <w:b/>
                <w:spacing w:val="-2"/>
                <w:sz w:val="20"/>
              </w:rPr>
              <w:t>Tasking</w:t>
            </w:r>
            <w:r w:rsidRPr="00A0163E">
              <w:rPr>
                <w:spacing w:val="-2"/>
                <w:sz w:val="20"/>
              </w:rPr>
              <w:t xml:space="preserve"> pane of the strike option when the strike folder was created.</w:t>
            </w:r>
          </w:p>
          <w:p w14:paraId="517D4181" w14:textId="77777777"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match the specified Tasking Description (wildcard allowed).</w:t>
            </w:r>
          </w:p>
        </w:tc>
      </w:tr>
    </w:tbl>
    <w:p w14:paraId="65818B14" w14:textId="77777777" w:rsidR="0085709F" w:rsidRPr="000665B0" w:rsidRDefault="0085709F" w:rsidP="006D5A65">
      <w:pPr>
        <w:pStyle w:val="Heading4"/>
      </w:pPr>
      <w:r w:rsidRPr="000665B0">
        <w:t>Target Tab</w:t>
      </w:r>
    </w:p>
    <w:p w14:paraId="35C16179" w14:textId="3D48B8D7" w:rsidR="0085709F" w:rsidRDefault="00D96B2A" w:rsidP="001F4B14">
      <w:pPr>
        <w:spacing w:after="160"/>
        <w:jc w:val="center"/>
      </w:pPr>
      <w:r w:rsidRPr="000665B0">
        <w:rPr>
          <w:noProof/>
        </w:rPr>
        <w:drawing>
          <wp:inline distT="0" distB="0" distL="0" distR="0" wp14:anchorId="12EAB87A" wp14:editId="2545E4DD">
            <wp:extent cx="4572000" cy="3493008"/>
            <wp:effectExtent l="0" t="0" r="0" b="0"/>
            <wp:docPr id="1204" name="Picture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3493008"/>
                    </a:xfrm>
                    <a:prstGeom prst="rect">
                      <a:avLst/>
                    </a:prstGeom>
                  </pic:spPr>
                </pic:pic>
              </a:graphicData>
            </a:graphic>
          </wp:inline>
        </w:drawing>
      </w:r>
    </w:p>
    <w:tbl>
      <w:tblPr>
        <w:tblW w:w="13068" w:type="dxa"/>
        <w:tblLayout w:type="fixed"/>
        <w:tblCellMar>
          <w:left w:w="0" w:type="dxa"/>
          <w:right w:w="0" w:type="dxa"/>
        </w:tblCellMar>
        <w:tblLook w:val="0000" w:firstRow="0" w:lastRow="0" w:firstColumn="0" w:lastColumn="0" w:noHBand="0" w:noVBand="0"/>
      </w:tblPr>
      <w:tblGrid>
        <w:gridCol w:w="1885"/>
        <w:gridCol w:w="1103"/>
        <w:gridCol w:w="10080"/>
      </w:tblGrid>
      <w:tr w:rsidR="0085709F" w:rsidRPr="00C24B58" w14:paraId="230942DE" w14:textId="77777777" w:rsidTr="008C71CB">
        <w:trPr>
          <w:cantSplit/>
          <w:trHeight w:val="144"/>
          <w:tblHead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56C52550" w14:textId="77777777" w:rsidR="0085709F" w:rsidRPr="00A0163E" w:rsidRDefault="0085709F" w:rsidP="008C71CB">
            <w:pPr>
              <w:spacing w:before="60" w:after="60" w:line="240" w:lineRule="auto"/>
              <w:ind w:left="115"/>
              <w:rPr>
                <w:b/>
                <w:sz w:val="20"/>
              </w:rPr>
            </w:pPr>
            <w:bookmarkStart w:id="7405" w:name="_Hlk32926381"/>
            <w:r w:rsidRPr="00A0163E">
              <w:rPr>
                <w:b/>
                <w:sz w:val="20"/>
              </w:rPr>
              <w:lastRenderedPageBreak/>
              <w:t>Query Button</w:t>
            </w:r>
          </w:p>
        </w:tc>
        <w:tc>
          <w:tcPr>
            <w:tcW w:w="1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64355D67" w14:textId="77777777" w:rsidR="0085709F" w:rsidRPr="00A0163E" w:rsidRDefault="0085709F" w:rsidP="008C71CB">
            <w:pPr>
              <w:spacing w:before="60" w:after="60" w:line="240" w:lineRule="auto"/>
              <w:ind w:left="115"/>
              <w:rPr>
                <w:b/>
                <w:sz w:val="20"/>
              </w:rPr>
            </w:pPr>
            <w:r w:rsidRPr="00A0163E">
              <w:rPr>
                <w:b/>
                <w:sz w:val="20"/>
              </w:rPr>
              <w:t>Variant</w:t>
            </w:r>
          </w:p>
        </w:tc>
        <w:tc>
          <w:tcPr>
            <w:tcW w:w="10080" w:type="dxa"/>
            <w:tcBorders>
              <w:top w:val="single" w:sz="4" w:space="0" w:color="auto"/>
              <w:left w:val="nil"/>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6E4D3579" w14:textId="56B8761D" w:rsidR="0085709F" w:rsidRPr="00A0163E" w:rsidRDefault="0085709F" w:rsidP="008C71CB">
            <w:pPr>
              <w:spacing w:before="60" w:after="60" w:line="240" w:lineRule="auto"/>
              <w:ind w:left="115"/>
              <w:rPr>
                <w:b/>
                <w:sz w:val="20"/>
              </w:rPr>
            </w:pPr>
            <w:r w:rsidRPr="00A0163E">
              <w:rPr>
                <w:b/>
                <w:sz w:val="20"/>
              </w:rPr>
              <w:t>Definition and Query Details</w:t>
            </w:r>
          </w:p>
        </w:tc>
      </w:tr>
      <w:tr w:rsidR="00316B88" w:rsidRPr="00C24B58" w14:paraId="153626D9"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365839C" w14:textId="466B1A6F" w:rsidR="00316B88" w:rsidRPr="00A0163E" w:rsidRDefault="00316B88" w:rsidP="008C71CB">
            <w:pPr>
              <w:spacing w:before="60" w:after="60" w:line="240" w:lineRule="auto"/>
              <w:ind w:left="115"/>
              <w:rPr>
                <w:sz w:val="20"/>
              </w:rPr>
            </w:pPr>
            <w:r w:rsidRPr="00A0163E">
              <w:rPr>
                <w:sz w:val="20"/>
              </w:rPr>
              <w:t>109E Requirement</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876D002" w14:textId="77777777" w:rsidR="00316B88" w:rsidRPr="00A0163E" w:rsidRDefault="00316B88"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116E2DA" w14:textId="19F2F67B" w:rsidR="00316B88" w:rsidRPr="00A0163E" w:rsidRDefault="00316B88" w:rsidP="008C71CB">
            <w:pPr>
              <w:spacing w:before="60" w:after="60" w:line="240" w:lineRule="auto"/>
              <w:ind w:left="115"/>
              <w:rPr>
                <w:sz w:val="20"/>
              </w:rPr>
            </w:pPr>
            <w:r w:rsidRPr="00A0163E">
              <w:rPr>
                <w:b/>
                <w:sz w:val="20"/>
              </w:rPr>
              <w:t>Definition:</w:t>
            </w:r>
            <w:r w:rsidRPr="00A0163E">
              <w:rPr>
                <w:sz w:val="20"/>
              </w:rPr>
              <w:t xml:space="preserve"> Indicates whether a target within the strike folder requires a 109E missile (</w:t>
            </w:r>
            <w:r w:rsidRPr="00A0163E">
              <w:rPr>
                <w:b/>
                <w:sz w:val="20"/>
              </w:rPr>
              <w:t>True</w:t>
            </w:r>
            <w:r w:rsidRPr="00A0163E">
              <w:rPr>
                <w:sz w:val="20"/>
              </w:rPr>
              <w:t>) or not (</w:t>
            </w:r>
            <w:r w:rsidRPr="00A0163E">
              <w:rPr>
                <w:b/>
                <w:sz w:val="20"/>
              </w:rPr>
              <w:t>False</w:t>
            </w:r>
            <w:r w:rsidRPr="00A0163E">
              <w:rPr>
                <w:sz w:val="20"/>
              </w:rPr>
              <w:t>).</w:t>
            </w:r>
          </w:p>
          <w:p w14:paraId="66097E10" w14:textId="5FDA9F07" w:rsidR="00316B88" w:rsidRPr="00A0163E" w:rsidRDefault="00316B88" w:rsidP="008C71CB">
            <w:pPr>
              <w:spacing w:before="60" w:after="60" w:line="240" w:lineRule="auto"/>
              <w:ind w:left="115"/>
              <w:rPr>
                <w:b/>
                <w:sz w:val="20"/>
              </w:rPr>
            </w:pPr>
            <w:r w:rsidRPr="00A0163E">
              <w:rPr>
                <w:b/>
                <w:sz w:val="20"/>
              </w:rPr>
              <w:t>Query:</w:t>
            </w:r>
            <w:r w:rsidRPr="00A0163E">
              <w:rPr>
                <w:sz w:val="20"/>
              </w:rPr>
              <w:t xml:space="preserve"> Searches for strike folders that match the selected 109E Requirement status.</w:t>
            </w:r>
          </w:p>
        </w:tc>
      </w:tr>
      <w:tr w:rsidR="0085709F" w:rsidRPr="00C24B58" w14:paraId="1C92394A"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557054F" w14:textId="4CD9C94E" w:rsidR="0085709F" w:rsidRPr="00A0163E" w:rsidRDefault="0085709F" w:rsidP="008C71CB">
            <w:pPr>
              <w:spacing w:before="60" w:after="60" w:line="240" w:lineRule="auto"/>
              <w:ind w:left="115"/>
              <w:rPr>
                <w:sz w:val="20"/>
              </w:rPr>
            </w:pPr>
            <w:r w:rsidRPr="00A0163E">
              <w:rPr>
                <w:sz w:val="20"/>
              </w:rPr>
              <w:t>Aim</w:t>
            </w:r>
            <w:r w:rsidR="00316B88" w:rsidRPr="00A0163E">
              <w:rPr>
                <w:sz w:val="20"/>
              </w:rPr>
              <w:t>p</w:t>
            </w:r>
            <w:r w:rsidRPr="00A0163E">
              <w:rPr>
                <w:sz w:val="20"/>
              </w:rPr>
              <w:t>oint ID</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6736630"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4242C01"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Two alphabetic characters which, in conjunction with the Installation BE number, uniquely identify the point desired for intended interaction of the warhead with a target element.</w:t>
            </w:r>
          </w:p>
          <w:p w14:paraId="2AB92A23" w14:textId="77777777"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match the specified Aimpoint ID entered (wildcard allowed).</w:t>
            </w:r>
          </w:p>
        </w:tc>
      </w:tr>
      <w:tr w:rsidR="0085709F" w:rsidRPr="00C24B58" w14:paraId="54820801"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0AC84AE" w14:textId="5A0C8C54" w:rsidR="0085709F" w:rsidRPr="00A0163E" w:rsidRDefault="0085709F" w:rsidP="008C71CB">
            <w:pPr>
              <w:spacing w:before="60" w:after="60" w:line="240" w:lineRule="auto"/>
              <w:ind w:left="115"/>
              <w:rPr>
                <w:sz w:val="20"/>
              </w:rPr>
            </w:pPr>
            <w:r w:rsidRPr="00A0163E">
              <w:rPr>
                <w:sz w:val="20"/>
              </w:rPr>
              <w:t>Aim</w:t>
            </w:r>
            <w:r w:rsidR="00316B88" w:rsidRPr="00A0163E">
              <w:rPr>
                <w:sz w:val="20"/>
              </w:rPr>
              <w:t>p</w:t>
            </w:r>
            <w:r w:rsidRPr="00A0163E">
              <w:rPr>
                <w:sz w:val="20"/>
              </w:rPr>
              <w:t>oint Priority</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56AD4E9"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E5026A9" w14:textId="77777777" w:rsidR="005251BE" w:rsidRPr="00A0163E" w:rsidRDefault="005251BE" w:rsidP="008C71CB">
            <w:pPr>
              <w:spacing w:before="60" w:after="60" w:line="240" w:lineRule="auto"/>
              <w:ind w:left="115"/>
              <w:rPr>
                <w:sz w:val="20"/>
              </w:rPr>
            </w:pPr>
            <w:r w:rsidRPr="00A0163E">
              <w:rPr>
                <w:b/>
                <w:bCs/>
                <w:sz w:val="20"/>
              </w:rPr>
              <w:t>Definition:</w:t>
            </w:r>
            <w:r w:rsidRPr="00A0163E">
              <w:rPr>
                <w:sz w:val="20"/>
              </w:rPr>
              <w:t xml:space="preserve"> The priority of the aimpoint. Valid values are </w:t>
            </w:r>
            <w:r w:rsidRPr="00A0163E">
              <w:rPr>
                <w:b/>
                <w:bCs/>
                <w:sz w:val="20"/>
              </w:rPr>
              <w:t>HIGH</w:t>
            </w:r>
            <w:r w:rsidRPr="00A0163E">
              <w:rPr>
                <w:sz w:val="20"/>
              </w:rPr>
              <w:t xml:space="preserve">, </w:t>
            </w:r>
            <w:r w:rsidRPr="00A0163E">
              <w:rPr>
                <w:b/>
                <w:bCs/>
                <w:sz w:val="20"/>
              </w:rPr>
              <w:t>MEDIUM</w:t>
            </w:r>
            <w:r w:rsidRPr="00A0163E">
              <w:rPr>
                <w:sz w:val="20"/>
              </w:rPr>
              <w:t xml:space="preserve">, and </w:t>
            </w:r>
            <w:r w:rsidRPr="00A0163E">
              <w:rPr>
                <w:b/>
                <w:bCs/>
                <w:sz w:val="20"/>
              </w:rPr>
              <w:t>LOW</w:t>
            </w:r>
            <w:r w:rsidRPr="00A0163E">
              <w:rPr>
                <w:sz w:val="20"/>
              </w:rPr>
              <w:t>.</w:t>
            </w:r>
          </w:p>
          <w:p w14:paraId="4009D6CB" w14:textId="2E3339C8" w:rsidR="0085709F" w:rsidRPr="00A0163E" w:rsidRDefault="005251BE" w:rsidP="008C71CB">
            <w:pPr>
              <w:spacing w:before="60" w:after="60" w:line="240" w:lineRule="auto"/>
              <w:ind w:left="115"/>
              <w:rPr>
                <w:b/>
                <w:sz w:val="20"/>
              </w:rPr>
            </w:pPr>
            <w:r w:rsidRPr="00A0163E">
              <w:rPr>
                <w:b/>
                <w:bCs/>
                <w:sz w:val="20"/>
              </w:rPr>
              <w:t>Query:</w:t>
            </w:r>
            <w:r w:rsidRPr="00A0163E">
              <w:rPr>
                <w:sz w:val="20"/>
              </w:rPr>
              <w:t xml:space="preserve"> Searches for strike folders that match the specified Aimpoint Priority entered</w:t>
            </w:r>
            <w:r w:rsidR="0085709F" w:rsidRPr="00A0163E">
              <w:rPr>
                <w:sz w:val="20"/>
              </w:rPr>
              <w:t>.</w:t>
            </w:r>
          </w:p>
        </w:tc>
      </w:tr>
      <w:tr w:rsidR="0085709F" w:rsidRPr="00C24B58" w14:paraId="49E0DA5A"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B79FB89" w14:textId="77777777" w:rsidR="0085709F" w:rsidRPr="00A0163E" w:rsidRDefault="0085709F" w:rsidP="008C71CB">
            <w:pPr>
              <w:spacing w:before="60" w:after="60" w:line="240" w:lineRule="auto"/>
              <w:ind w:left="115"/>
              <w:rPr>
                <w:sz w:val="20"/>
              </w:rPr>
            </w:pPr>
            <w:r w:rsidRPr="00A0163E">
              <w:rPr>
                <w:sz w:val="20"/>
              </w:rPr>
              <w:t>BE</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1B38333"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4EBCF97E"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A Target identifier format (Basic Encyclopedia). The BE number used in the MIDB to identify the installations containing the 109C or 109E aimpoint or 109D target definition waypoint. Valid BE formats are: nnnn@#nnnn or nnnn-$nnnn where n=numeric, @=alpha, and $=alphanumeric.</w:t>
            </w:r>
          </w:p>
          <w:p w14:paraId="42BC38EE" w14:textId="77777777"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contain the specified BE (wildcard allowed).</w:t>
            </w:r>
          </w:p>
        </w:tc>
      </w:tr>
      <w:tr w:rsidR="0085709F" w:rsidRPr="00C24B58" w14:paraId="787BB341"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5AC97BF" w14:textId="77777777" w:rsidR="0085709F" w:rsidRPr="00A0163E" w:rsidRDefault="0085709F" w:rsidP="008C71CB">
            <w:pPr>
              <w:spacing w:before="60" w:after="60" w:line="240" w:lineRule="auto"/>
              <w:ind w:left="115"/>
              <w:rPr>
                <w:b/>
                <w:sz w:val="20"/>
              </w:rPr>
            </w:pPr>
            <w:r w:rsidRPr="00A0163E">
              <w:rPr>
                <w:sz w:val="20"/>
              </w:rPr>
              <w:t xml:space="preserve">Damage Requirement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94672B9" w14:textId="77777777" w:rsidR="0085709F" w:rsidRPr="00A0163E" w:rsidRDefault="0085709F" w:rsidP="008C71CB">
            <w:pPr>
              <w:spacing w:before="60" w:after="60" w:line="240" w:lineRule="auto"/>
              <w:ind w:left="115"/>
              <w:rPr>
                <w:b/>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EABF21C"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Decimal representation of the level of damage required for a target.</w:t>
            </w:r>
          </w:p>
          <w:p w14:paraId="7573D9E9" w14:textId="605BF453" w:rsidR="0085709F" w:rsidRPr="00A0163E" w:rsidRDefault="0085709F" w:rsidP="008C71CB">
            <w:pPr>
              <w:spacing w:before="60" w:after="60" w:line="240" w:lineRule="auto"/>
              <w:ind w:left="115"/>
              <w:rPr>
                <w:sz w:val="20"/>
              </w:rPr>
            </w:pPr>
            <w:r w:rsidRPr="00A0163E">
              <w:rPr>
                <w:b/>
                <w:sz w:val="20"/>
              </w:rPr>
              <w:t>Query:</w:t>
            </w:r>
            <w:r w:rsidRPr="00A0163E">
              <w:rPr>
                <w:sz w:val="20"/>
              </w:rPr>
              <w:t xml:space="preserve"> Searches for strike folders in which the tasking’s Damage Requirement falls within the low value and high value entered. Affected by the floating-point number query limitation (see Note at the beginning of this Appendix).</w:t>
            </w:r>
          </w:p>
        </w:tc>
      </w:tr>
      <w:tr w:rsidR="0085709F" w:rsidRPr="00C24B58" w14:paraId="4E1F2C43"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C98CF4E" w14:textId="685639AB" w:rsidR="0085709F" w:rsidRPr="00A0163E" w:rsidRDefault="0085709F" w:rsidP="008C71CB">
            <w:pPr>
              <w:spacing w:before="60" w:after="60" w:line="240" w:lineRule="auto"/>
              <w:ind w:left="115"/>
              <w:rPr>
                <w:sz w:val="20"/>
              </w:rPr>
            </w:pPr>
            <w:r w:rsidRPr="00A0163E">
              <w:rPr>
                <w:sz w:val="20"/>
              </w:rPr>
              <w:t>JDPI</w:t>
            </w:r>
            <w:r w:rsidR="00316B88" w:rsidRPr="00A0163E">
              <w:rPr>
                <w:sz w:val="20"/>
              </w:rPr>
              <w:t xml:space="preserve"> ID</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D55C591"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E892A88"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A Target identifier format (Joint Desired Point of Impact). Valid format is 6 alphanumeric characters.</w:t>
            </w:r>
          </w:p>
          <w:p w14:paraId="1F31A1F6" w14:textId="41F734CF"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match the specified JDPI </w:t>
            </w:r>
            <w:r w:rsidR="00316B88" w:rsidRPr="00A0163E">
              <w:rPr>
                <w:sz w:val="20"/>
              </w:rPr>
              <w:t xml:space="preserve">ID </w:t>
            </w:r>
            <w:r w:rsidRPr="00A0163E">
              <w:rPr>
                <w:sz w:val="20"/>
              </w:rPr>
              <w:t>(wildcard allowed).</w:t>
            </w:r>
          </w:p>
        </w:tc>
      </w:tr>
      <w:tr w:rsidR="0085709F" w:rsidRPr="00C24B58" w14:paraId="114481FE"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CF1F4A3" w14:textId="77777777" w:rsidR="0085709F" w:rsidRPr="00A0163E" w:rsidRDefault="0085709F" w:rsidP="008C71CB">
            <w:pPr>
              <w:spacing w:before="60" w:after="60" w:line="240" w:lineRule="auto"/>
              <w:ind w:left="115"/>
              <w:rPr>
                <w:sz w:val="20"/>
              </w:rPr>
            </w:pPr>
            <w:r w:rsidRPr="00A0163E">
              <w:rPr>
                <w:sz w:val="20"/>
              </w:rPr>
              <w:t>Target Objective</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942D315"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3A87324"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Text used to assist in identifying the intended objective with respect to the target.</w:t>
            </w:r>
          </w:p>
          <w:p w14:paraId="505613DA" w14:textId="77777777"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match the specified Target Objective (wildcard allowed).</w:t>
            </w:r>
          </w:p>
        </w:tc>
      </w:tr>
      <w:tr w:rsidR="0085709F" w:rsidRPr="00C24B58" w14:paraId="2D3328ED"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C3BA10D" w14:textId="77777777" w:rsidR="0085709F" w:rsidRPr="00A0163E" w:rsidRDefault="0085709F" w:rsidP="008C71CB">
            <w:pPr>
              <w:spacing w:before="60" w:after="60" w:line="240" w:lineRule="auto"/>
              <w:ind w:left="115"/>
              <w:rPr>
                <w:sz w:val="20"/>
              </w:rPr>
            </w:pPr>
            <w:r w:rsidRPr="00A0163E">
              <w:rPr>
                <w:sz w:val="20"/>
              </w:rPr>
              <w:t>Target Type</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69E36E7"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B5DF312" w14:textId="77777777" w:rsidR="005251BE" w:rsidRPr="00A0163E" w:rsidRDefault="005251BE" w:rsidP="008C71CB">
            <w:pPr>
              <w:spacing w:before="60" w:after="60" w:line="240" w:lineRule="auto"/>
              <w:ind w:left="115"/>
              <w:rPr>
                <w:sz w:val="20"/>
              </w:rPr>
            </w:pPr>
            <w:r w:rsidRPr="00A0163E">
              <w:rPr>
                <w:b/>
                <w:bCs/>
                <w:sz w:val="20"/>
              </w:rPr>
              <w:t>Definition:</w:t>
            </w:r>
            <w:r w:rsidRPr="00A0163E">
              <w:rPr>
                <w:sz w:val="20"/>
              </w:rPr>
              <w:t xml:space="preserve"> Target Reference Type. Valid values are </w:t>
            </w:r>
            <w:r w:rsidRPr="00A0163E">
              <w:rPr>
                <w:b/>
                <w:bCs/>
                <w:sz w:val="20"/>
              </w:rPr>
              <w:t>BE</w:t>
            </w:r>
            <w:r w:rsidRPr="00A0163E">
              <w:rPr>
                <w:sz w:val="20"/>
              </w:rPr>
              <w:t xml:space="preserve"> (default), </w:t>
            </w:r>
            <w:r w:rsidRPr="00A0163E">
              <w:rPr>
                <w:b/>
                <w:bCs/>
                <w:sz w:val="20"/>
              </w:rPr>
              <w:t>JDPI</w:t>
            </w:r>
            <w:r w:rsidRPr="00A0163E">
              <w:rPr>
                <w:sz w:val="20"/>
              </w:rPr>
              <w:t xml:space="preserve">, </w:t>
            </w:r>
            <w:r w:rsidRPr="00A0163E">
              <w:rPr>
                <w:b/>
                <w:bCs/>
                <w:sz w:val="20"/>
              </w:rPr>
              <w:t>TTN</w:t>
            </w:r>
            <w:r w:rsidRPr="00A0163E">
              <w:rPr>
                <w:sz w:val="20"/>
              </w:rPr>
              <w:t xml:space="preserve">, and </w:t>
            </w:r>
            <w:r w:rsidRPr="00A0163E">
              <w:rPr>
                <w:b/>
                <w:bCs/>
                <w:sz w:val="20"/>
              </w:rPr>
              <w:t>UIC</w:t>
            </w:r>
            <w:r w:rsidRPr="00A0163E">
              <w:rPr>
                <w:sz w:val="20"/>
              </w:rPr>
              <w:t>.</w:t>
            </w:r>
          </w:p>
          <w:p w14:paraId="345EA02A" w14:textId="7E3C756F" w:rsidR="0085709F" w:rsidRPr="00A0163E" w:rsidRDefault="005251BE" w:rsidP="008C71CB">
            <w:pPr>
              <w:spacing w:before="60" w:after="60" w:line="240" w:lineRule="auto"/>
              <w:ind w:left="115"/>
              <w:rPr>
                <w:b/>
                <w:sz w:val="20"/>
              </w:rPr>
            </w:pPr>
            <w:r w:rsidRPr="00A0163E">
              <w:rPr>
                <w:b/>
                <w:bCs/>
                <w:sz w:val="20"/>
              </w:rPr>
              <w:t>Query:</w:t>
            </w:r>
            <w:r w:rsidRPr="00A0163E">
              <w:rPr>
                <w:sz w:val="20"/>
              </w:rPr>
              <w:t xml:space="preserve"> Searches for strike folders that contain targets that match the selected Target Type.</w:t>
            </w:r>
          </w:p>
        </w:tc>
      </w:tr>
      <w:tr w:rsidR="0085709F" w:rsidRPr="00C24B58" w14:paraId="565D0454"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EB5D262" w14:textId="77777777" w:rsidR="0085709F" w:rsidRPr="00A0163E" w:rsidRDefault="0085709F" w:rsidP="008C71CB">
            <w:pPr>
              <w:spacing w:before="60" w:after="60" w:line="240" w:lineRule="auto"/>
              <w:ind w:left="115"/>
              <w:rPr>
                <w:sz w:val="20"/>
              </w:rPr>
            </w:pPr>
            <w:r w:rsidRPr="00A0163E">
              <w:rPr>
                <w:sz w:val="20"/>
              </w:rPr>
              <w:t>TTN</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054BB9D"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DAE50DA"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A Target identifier format (Tactical Target Number). Valid format is 10 characters.</w:t>
            </w:r>
          </w:p>
          <w:p w14:paraId="7360745D" w14:textId="77777777"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match the specified TTN (wildcard allowed).</w:t>
            </w:r>
          </w:p>
        </w:tc>
      </w:tr>
      <w:tr w:rsidR="0085709F" w:rsidRPr="00C24B58" w14:paraId="70F05184"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97BDDC3" w14:textId="77777777" w:rsidR="0085709F" w:rsidRPr="00A0163E" w:rsidRDefault="0085709F" w:rsidP="008C71CB">
            <w:pPr>
              <w:spacing w:before="60" w:after="60" w:line="240" w:lineRule="auto"/>
              <w:ind w:left="115"/>
              <w:rPr>
                <w:sz w:val="20"/>
              </w:rPr>
            </w:pPr>
            <w:r w:rsidRPr="00A0163E">
              <w:rPr>
                <w:sz w:val="20"/>
              </w:rPr>
              <w:t>UIC</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FF7541D"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E62A0F2"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A Target identifier format (Unit Identification Code). Valid format is up to 30 characters.</w:t>
            </w:r>
          </w:p>
          <w:p w14:paraId="68C53788" w14:textId="77777777"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match the specified UIC (wildcard allowed).</w:t>
            </w:r>
          </w:p>
        </w:tc>
      </w:tr>
      <w:tr w:rsidR="0085709F" w:rsidRPr="00C24B58" w14:paraId="296633AE"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E74317C" w14:textId="0904B67E" w:rsidR="0085709F" w:rsidRPr="00A0163E" w:rsidRDefault="0085709F" w:rsidP="008C71CB">
            <w:pPr>
              <w:spacing w:before="60" w:after="60" w:line="240" w:lineRule="auto"/>
              <w:ind w:left="115"/>
              <w:rPr>
                <w:sz w:val="20"/>
              </w:rPr>
            </w:pPr>
            <w:r w:rsidRPr="00A0163E">
              <w:rPr>
                <w:sz w:val="20"/>
              </w:rPr>
              <w:t>User Note</w:t>
            </w:r>
            <w:r w:rsidR="00D96B2A" w:rsidRPr="00A0163E">
              <w:rPr>
                <w:sz w:val="20"/>
              </w:rPr>
              <w:t>s</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A9B37B0" w14:textId="77777777" w:rsidR="0085709F" w:rsidRPr="00A0163E" w:rsidRDefault="0085709F"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FB44C62" w14:textId="77777777" w:rsidR="0085709F" w:rsidRPr="00A0163E" w:rsidRDefault="0085709F" w:rsidP="008C71CB">
            <w:pPr>
              <w:spacing w:before="60" w:after="60" w:line="240" w:lineRule="auto"/>
              <w:ind w:left="115"/>
              <w:rPr>
                <w:sz w:val="20"/>
              </w:rPr>
            </w:pPr>
            <w:r w:rsidRPr="00A0163E">
              <w:rPr>
                <w:b/>
                <w:sz w:val="20"/>
              </w:rPr>
              <w:t>Definition:</w:t>
            </w:r>
            <w:r w:rsidRPr="00A0163E">
              <w:rPr>
                <w:sz w:val="20"/>
              </w:rPr>
              <w:t xml:space="preserve"> Free text in the </w:t>
            </w:r>
            <w:r w:rsidRPr="00A0163E">
              <w:rPr>
                <w:b/>
                <w:sz w:val="20"/>
              </w:rPr>
              <w:t xml:space="preserve">User </w:t>
            </w:r>
            <w:r w:rsidRPr="00A0163E">
              <w:rPr>
                <w:b/>
                <w:bCs/>
                <w:iCs/>
                <w:sz w:val="20"/>
              </w:rPr>
              <w:t>Notes</w:t>
            </w:r>
            <w:r w:rsidRPr="00A0163E">
              <w:rPr>
                <w:sz w:val="20"/>
              </w:rPr>
              <w:t xml:space="preserve"> field of any target within a strike folder.</w:t>
            </w:r>
          </w:p>
          <w:p w14:paraId="12E2FF3B" w14:textId="77777777" w:rsidR="0085709F" w:rsidRPr="00A0163E" w:rsidRDefault="0085709F" w:rsidP="008C71CB">
            <w:pPr>
              <w:spacing w:before="60" w:after="60" w:line="240" w:lineRule="auto"/>
              <w:ind w:left="115"/>
              <w:rPr>
                <w:b/>
                <w:sz w:val="20"/>
              </w:rPr>
            </w:pPr>
            <w:r w:rsidRPr="00A0163E">
              <w:rPr>
                <w:b/>
                <w:sz w:val="20"/>
              </w:rPr>
              <w:t>Query:</w:t>
            </w:r>
            <w:r w:rsidRPr="00A0163E">
              <w:rPr>
                <w:sz w:val="20"/>
              </w:rPr>
              <w:t xml:space="preserve"> Searches for strike folders that contain the specified User Notes (wildcard allowed).</w:t>
            </w:r>
          </w:p>
        </w:tc>
      </w:tr>
      <w:bookmarkEnd w:id="7405"/>
    </w:tbl>
    <w:p w14:paraId="50D96B5C" w14:textId="77777777" w:rsidR="0085709F" w:rsidRPr="000665B0" w:rsidRDefault="0085709F" w:rsidP="0085709F">
      <w:pPr>
        <w:jc w:val="center"/>
      </w:pPr>
    </w:p>
    <w:p w14:paraId="06DF4569" w14:textId="75547652" w:rsidR="00B369BD" w:rsidRPr="000665B0" w:rsidRDefault="00B369BD" w:rsidP="006D5A65">
      <w:pPr>
        <w:pStyle w:val="Heading3"/>
      </w:pPr>
      <w:bookmarkStart w:id="7406" w:name="_Toc214283687"/>
      <w:r w:rsidRPr="000665B0">
        <w:lastRenderedPageBreak/>
        <w:t>S</w:t>
      </w:r>
      <w:r w:rsidR="005E043D">
        <w:t>trike Option Query</w:t>
      </w:r>
      <w:bookmarkEnd w:id="7406"/>
    </w:p>
    <w:p w14:paraId="3E76821F" w14:textId="77777777" w:rsidR="00B369BD" w:rsidRPr="000665B0" w:rsidRDefault="00B369BD" w:rsidP="006D5A65">
      <w:pPr>
        <w:pStyle w:val="Heading4"/>
      </w:pPr>
      <w:r w:rsidRPr="000665B0">
        <w:t>General Info Tab</w:t>
      </w:r>
    </w:p>
    <w:p w14:paraId="636AA2D8" w14:textId="0F83DC55" w:rsidR="00B369BD" w:rsidRDefault="005D2A40" w:rsidP="001F4B14">
      <w:pPr>
        <w:spacing w:after="160"/>
        <w:jc w:val="center"/>
      </w:pPr>
      <w:r w:rsidRPr="000665B0">
        <w:rPr>
          <w:noProof/>
        </w:rPr>
        <w:drawing>
          <wp:inline distT="0" distB="0" distL="0" distR="0" wp14:anchorId="09B791A1" wp14:editId="1A60331F">
            <wp:extent cx="4114800" cy="4050792"/>
            <wp:effectExtent l="0" t="0" r="0" b="6985"/>
            <wp:docPr id="2236" name="Picture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 name="Picture 2236"/>
                    <pic:cNvPicPr/>
                  </pic:nvPicPr>
                  <pic:blipFill>
                    <a:blip cstate="screen">
                      <a:extLst>
                        <a:ext uri="{28A0092B-C50C-407E-A947-70E740481C1C}">
                          <a14:useLocalDpi xmlns:a14="http://schemas.microsoft.com/office/drawing/2010/main"/>
                        </a:ext>
                      </a:extLst>
                    </a:blip>
                    <a:stretch>
                      <a:fillRect/>
                    </a:stretch>
                  </pic:blipFill>
                  <pic:spPr>
                    <a:xfrm>
                      <a:off x="0" y="0"/>
                      <a:ext cx="4114800" cy="4050792"/>
                    </a:xfrm>
                    <a:prstGeom prst="rect">
                      <a:avLst/>
                    </a:prstGeom>
                  </pic:spPr>
                </pic:pic>
              </a:graphicData>
            </a:graphic>
          </wp:inline>
        </w:drawing>
      </w:r>
    </w:p>
    <w:tbl>
      <w:tblPr>
        <w:tblW w:w="13068" w:type="dxa"/>
        <w:tblLayout w:type="fixed"/>
        <w:tblCellMar>
          <w:left w:w="0" w:type="dxa"/>
          <w:right w:w="0" w:type="dxa"/>
        </w:tblCellMar>
        <w:tblLook w:val="0000" w:firstRow="0" w:lastRow="0" w:firstColumn="0" w:lastColumn="0" w:noHBand="0" w:noVBand="0"/>
      </w:tblPr>
      <w:tblGrid>
        <w:gridCol w:w="1885"/>
        <w:gridCol w:w="1103"/>
        <w:gridCol w:w="10080"/>
      </w:tblGrid>
      <w:tr w:rsidR="00B369BD" w:rsidRPr="00C24B58" w14:paraId="2A950656" w14:textId="77777777" w:rsidTr="008C71CB">
        <w:trPr>
          <w:cantSplit/>
          <w:trHeight w:val="144"/>
          <w:tblHead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0CF63288" w14:textId="77777777" w:rsidR="00B369BD" w:rsidRPr="00A0163E" w:rsidRDefault="00B369BD" w:rsidP="008C71CB">
            <w:pPr>
              <w:spacing w:before="60" w:after="60" w:line="240" w:lineRule="auto"/>
              <w:ind w:left="115"/>
              <w:rPr>
                <w:b/>
                <w:sz w:val="20"/>
              </w:rPr>
            </w:pPr>
            <w:r w:rsidRPr="00A0163E">
              <w:rPr>
                <w:b/>
                <w:sz w:val="20"/>
              </w:rPr>
              <w:t>Query Button</w:t>
            </w:r>
          </w:p>
        </w:tc>
        <w:tc>
          <w:tcPr>
            <w:tcW w:w="1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5BFD3AC2" w14:textId="77777777" w:rsidR="00B369BD" w:rsidRPr="00A0163E" w:rsidRDefault="00B369BD" w:rsidP="008C71CB">
            <w:pPr>
              <w:spacing w:before="60" w:after="60" w:line="240" w:lineRule="auto"/>
              <w:ind w:left="115"/>
              <w:rPr>
                <w:b/>
                <w:sz w:val="20"/>
              </w:rPr>
            </w:pPr>
            <w:r w:rsidRPr="00A0163E">
              <w:rPr>
                <w:b/>
                <w:sz w:val="20"/>
              </w:rPr>
              <w:t>Variant</w:t>
            </w:r>
          </w:p>
        </w:tc>
        <w:tc>
          <w:tcPr>
            <w:tcW w:w="10080" w:type="dxa"/>
            <w:tcBorders>
              <w:top w:val="single" w:sz="4" w:space="0" w:color="auto"/>
              <w:left w:val="nil"/>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1CC41CE4" w14:textId="67BDEA78" w:rsidR="00B369BD" w:rsidRPr="00A0163E" w:rsidRDefault="00B369BD" w:rsidP="008C71CB">
            <w:pPr>
              <w:spacing w:before="60" w:after="60" w:line="240" w:lineRule="auto"/>
              <w:ind w:left="115"/>
              <w:rPr>
                <w:b/>
                <w:sz w:val="20"/>
              </w:rPr>
            </w:pPr>
            <w:r w:rsidRPr="00A0163E">
              <w:rPr>
                <w:b/>
                <w:sz w:val="20"/>
              </w:rPr>
              <w:t>Definition and Query Details</w:t>
            </w:r>
          </w:p>
        </w:tc>
      </w:tr>
      <w:tr w:rsidR="00B369BD" w:rsidRPr="00C24B58" w14:paraId="0EBFED2D"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220CADD" w14:textId="77777777" w:rsidR="00B369BD" w:rsidRPr="00A0163E" w:rsidRDefault="00B369BD" w:rsidP="008C71CB">
            <w:pPr>
              <w:spacing w:before="60" w:after="60" w:line="240" w:lineRule="auto"/>
              <w:ind w:left="115"/>
              <w:rPr>
                <w:sz w:val="20"/>
              </w:rPr>
            </w:pPr>
            <w:r w:rsidRPr="00A0163E">
              <w:rPr>
                <w:sz w:val="20"/>
              </w:rPr>
              <w:t>Approved By</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F134DEA"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C9A83D2" w14:textId="5CA5F4D7" w:rsidR="00B369BD" w:rsidRPr="00A0163E" w:rsidRDefault="00B369BD" w:rsidP="008C71CB">
            <w:pPr>
              <w:spacing w:before="60" w:after="60" w:line="240" w:lineRule="auto"/>
              <w:ind w:left="115"/>
              <w:rPr>
                <w:b/>
                <w:sz w:val="20"/>
              </w:rPr>
            </w:pPr>
            <w:r w:rsidRPr="00A0163E">
              <w:rPr>
                <w:sz w:val="20"/>
              </w:rPr>
              <w:t>Not functional.</w:t>
            </w:r>
          </w:p>
        </w:tc>
      </w:tr>
      <w:tr w:rsidR="00B369BD" w:rsidRPr="00C24B58" w14:paraId="7D846B56"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3FAA1AC" w14:textId="21B418FA" w:rsidR="00B369BD" w:rsidRPr="00A0163E" w:rsidRDefault="00B369BD" w:rsidP="008C71CB">
            <w:pPr>
              <w:spacing w:before="60" w:after="60" w:line="240" w:lineRule="auto"/>
              <w:ind w:left="115"/>
              <w:rPr>
                <w:sz w:val="20"/>
              </w:rPr>
            </w:pPr>
            <w:r w:rsidRPr="00A0163E">
              <w:rPr>
                <w:sz w:val="20"/>
              </w:rPr>
              <w:t xml:space="preserve">Approved </w:t>
            </w:r>
            <w:r w:rsidR="005D2A40" w:rsidRPr="00A0163E">
              <w:rPr>
                <w:sz w:val="20"/>
              </w:rPr>
              <w:t>DTG</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1194AE1"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145E3783" w14:textId="24651070" w:rsidR="00B369BD" w:rsidRPr="00A0163E" w:rsidRDefault="00B369BD" w:rsidP="008C71CB">
            <w:pPr>
              <w:spacing w:before="60" w:after="60" w:line="240" w:lineRule="auto"/>
              <w:ind w:left="115"/>
              <w:rPr>
                <w:b/>
                <w:sz w:val="20"/>
              </w:rPr>
            </w:pPr>
            <w:r w:rsidRPr="00A0163E">
              <w:rPr>
                <w:sz w:val="20"/>
              </w:rPr>
              <w:t>Not functional.</w:t>
            </w:r>
          </w:p>
        </w:tc>
      </w:tr>
      <w:tr w:rsidR="00B369BD" w:rsidRPr="00C24B58" w14:paraId="703A12D5"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C16BEC6" w14:textId="77777777" w:rsidR="00B369BD" w:rsidRPr="00A0163E" w:rsidRDefault="00B369BD" w:rsidP="008C71CB">
            <w:pPr>
              <w:spacing w:before="60" w:after="60" w:line="240" w:lineRule="auto"/>
              <w:ind w:left="115"/>
              <w:rPr>
                <w:sz w:val="20"/>
              </w:rPr>
            </w:pPr>
            <w:r w:rsidRPr="00A0163E">
              <w:rPr>
                <w:sz w:val="20"/>
              </w:rPr>
              <w:t>Classification</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FA18792"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22DADD7C"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Security classification of the strike option. Valid values are </w:t>
            </w:r>
            <w:r w:rsidRPr="00A0163E">
              <w:rPr>
                <w:b/>
                <w:sz w:val="20"/>
              </w:rPr>
              <w:t>Unclassified</w:t>
            </w:r>
            <w:r w:rsidRPr="00A0163E">
              <w:rPr>
                <w:sz w:val="20"/>
              </w:rPr>
              <w:t xml:space="preserve"> (default), </w:t>
            </w:r>
            <w:r w:rsidRPr="00A0163E">
              <w:rPr>
                <w:b/>
                <w:sz w:val="20"/>
              </w:rPr>
              <w:t>Confidential</w:t>
            </w:r>
            <w:r w:rsidRPr="00A0163E">
              <w:rPr>
                <w:sz w:val="20"/>
              </w:rPr>
              <w:t xml:space="preserve">, </w:t>
            </w:r>
            <w:r w:rsidRPr="00A0163E">
              <w:rPr>
                <w:b/>
                <w:sz w:val="20"/>
              </w:rPr>
              <w:t>Secret</w:t>
            </w:r>
            <w:r w:rsidRPr="00A0163E">
              <w:rPr>
                <w:sz w:val="20"/>
              </w:rPr>
              <w:t xml:space="preserve">, and </w:t>
            </w:r>
            <w:r w:rsidRPr="00A0163E">
              <w:rPr>
                <w:b/>
                <w:sz w:val="20"/>
              </w:rPr>
              <w:t>Top Secret</w:t>
            </w:r>
            <w:r w:rsidRPr="00A0163E">
              <w:rPr>
                <w:sz w:val="20"/>
              </w:rPr>
              <w:t>.</w:t>
            </w:r>
          </w:p>
          <w:p w14:paraId="416F91D3"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match the selected Classification.</w:t>
            </w:r>
          </w:p>
        </w:tc>
      </w:tr>
      <w:tr w:rsidR="00B369BD" w:rsidRPr="00C24B58" w14:paraId="7678D90A"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EF164A5" w14:textId="77777777" w:rsidR="00B369BD" w:rsidRPr="00A0163E" w:rsidRDefault="00B369BD" w:rsidP="008C71CB">
            <w:pPr>
              <w:spacing w:before="60" w:after="60" w:line="240" w:lineRule="auto"/>
              <w:ind w:left="115"/>
              <w:rPr>
                <w:sz w:val="20"/>
              </w:rPr>
            </w:pPr>
            <w:r w:rsidRPr="00A0163E">
              <w:rPr>
                <w:sz w:val="20"/>
              </w:rPr>
              <w:t>Created By</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DAF041B"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E3D4485"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The name of the user account that was logged into MDS when the strike option was created.</w:t>
            </w:r>
          </w:p>
          <w:p w14:paraId="5F7A6B72" w14:textId="5434669D"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match the specified Created By name (wildcard allowed).</w:t>
            </w:r>
          </w:p>
        </w:tc>
      </w:tr>
      <w:tr w:rsidR="00B369BD" w:rsidRPr="00C24B58" w14:paraId="33F6E630"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52B52AA" w14:textId="42EE6C4F" w:rsidR="00B369BD" w:rsidRPr="00A0163E" w:rsidRDefault="005D2A40" w:rsidP="008C71CB">
            <w:pPr>
              <w:spacing w:before="60" w:after="60" w:line="240" w:lineRule="auto"/>
              <w:ind w:left="115"/>
              <w:rPr>
                <w:sz w:val="20"/>
              </w:rPr>
            </w:pPr>
            <w:r w:rsidRPr="00A0163E">
              <w:rPr>
                <w:sz w:val="20"/>
              </w:rPr>
              <w:t>Creation DTG</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A0F0B51"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E31E7CF"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The date the strike option was created.</w:t>
            </w:r>
          </w:p>
          <w:p w14:paraId="0B96D1AF" w14:textId="4FBDDA08"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in which the Created </w:t>
            </w:r>
            <w:r w:rsidR="005D2A40" w:rsidRPr="00A0163E">
              <w:rPr>
                <w:sz w:val="20"/>
              </w:rPr>
              <w:t xml:space="preserve">DTG </w:t>
            </w:r>
            <w:r w:rsidRPr="00A0163E">
              <w:rPr>
                <w:sz w:val="20"/>
              </w:rPr>
              <w:t>falls within the low value and high value entered.</w:t>
            </w:r>
          </w:p>
        </w:tc>
      </w:tr>
      <w:tr w:rsidR="00B369BD" w:rsidRPr="00C24B58" w14:paraId="1391B5E3"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1E9A172" w14:textId="77777777" w:rsidR="00B369BD" w:rsidRPr="00A0163E" w:rsidRDefault="00B369BD" w:rsidP="008C71CB">
            <w:pPr>
              <w:spacing w:before="60" w:after="60" w:line="240" w:lineRule="auto"/>
              <w:ind w:left="115"/>
              <w:rPr>
                <w:sz w:val="20"/>
              </w:rPr>
            </w:pPr>
            <w:r w:rsidRPr="00A0163E">
              <w:rPr>
                <w:sz w:val="20"/>
              </w:rPr>
              <w:t>Earliest TOT</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AE35C5F"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1F5B66B4"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The earliest TOT amongst all reservations in a strike option.</w:t>
            </w:r>
          </w:p>
          <w:p w14:paraId="107FD817"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in which the Earliest TOT falls within the low value and high value entered.</w:t>
            </w:r>
          </w:p>
        </w:tc>
      </w:tr>
      <w:tr w:rsidR="00B369BD" w:rsidRPr="00C24B58" w14:paraId="0F13642B"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7FB7C89" w14:textId="41623BC0" w:rsidR="00B369BD" w:rsidRPr="00A0163E" w:rsidRDefault="00B369BD" w:rsidP="008C71CB">
            <w:pPr>
              <w:spacing w:before="60" w:after="60" w:line="240" w:lineRule="auto"/>
              <w:ind w:left="115"/>
              <w:rPr>
                <w:sz w:val="20"/>
              </w:rPr>
            </w:pPr>
            <w:r w:rsidRPr="00A0163E">
              <w:rPr>
                <w:sz w:val="20"/>
              </w:rPr>
              <w:t xml:space="preserve">Execution </w:t>
            </w:r>
            <w:r w:rsidR="005D2A40" w:rsidRPr="00A0163E">
              <w:rPr>
                <w:sz w:val="20"/>
              </w:rPr>
              <w:t>DTG</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5E58103"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09349D9"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The earliest TOL amongst all reservations in a strike option.</w:t>
            </w:r>
          </w:p>
          <w:p w14:paraId="1D84EA0B" w14:textId="709AFC3B"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in which the Execution </w:t>
            </w:r>
            <w:r w:rsidR="005D2A40" w:rsidRPr="00A0163E">
              <w:rPr>
                <w:sz w:val="20"/>
              </w:rPr>
              <w:t xml:space="preserve">DTG </w:t>
            </w:r>
            <w:r w:rsidRPr="00A0163E">
              <w:rPr>
                <w:sz w:val="20"/>
              </w:rPr>
              <w:t>falls within the low value and high value entered.</w:t>
            </w:r>
          </w:p>
        </w:tc>
      </w:tr>
      <w:tr w:rsidR="00B369BD" w:rsidRPr="00C24B58" w14:paraId="2B4F3B10"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5F673A0" w14:textId="04CB4837" w:rsidR="00B369BD" w:rsidRPr="00A0163E" w:rsidRDefault="00B369BD" w:rsidP="008C71CB">
            <w:pPr>
              <w:spacing w:before="60" w:after="60" w:line="240" w:lineRule="auto"/>
              <w:ind w:left="115"/>
              <w:rPr>
                <w:sz w:val="20"/>
              </w:rPr>
            </w:pPr>
            <w:r w:rsidRPr="00A0163E">
              <w:rPr>
                <w:sz w:val="20"/>
              </w:rPr>
              <w:lastRenderedPageBreak/>
              <w:t>Geo Resources</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ABEAF33"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053E48F"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All ACMS and overlay files that may be used for strike planning.</w:t>
            </w:r>
          </w:p>
          <w:p w14:paraId="3D742228"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contain the specified Geographic Resources</w:t>
            </w:r>
            <w:r w:rsidRPr="00A0163E" w:rsidDel="0071010C">
              <w:rPr>
                <w:sz w:val="20"/>
              </w:rPr>
              <w:t xml:space="preserve"> </w:t>
            </w:r>
            <w:r w:rsidRPr="00A0163E">
              <w:rPr>
                <w:sz w:val="20"/>
              </w:rPr>
              <w:t>(wildcard allowed).</w:t>
            </w:r>
          </w:p>
        </w:tc>
      </w:tr>
      <w:tr w:rsidR="00B369BD" w:rsidRPr="00C24B58" w14:paraId="4893AC1A"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999A92F" w14:textId="059E254C" w:rsidR="00B369BD" w:rsidRPr="00A0163E" w:rsidRDefault="00B369BD" w:rsidP="008C71CB">
            <w:pPr>
              <w:spacing w:before="60" w:after="60" w:line="240" w:lineRule="auto"/>
              <w:ind w:left="115"/>
              <w:rPr>
                <w:sz w:val="20"/>
              </w:rPr>
            </w:pPr>
            <w:r w:rsidRPr="00A0163E">
              <w:rPr>
                <w:sz w:val="20"/>
              </w:rPr>
              <w:t xml:space="preserve">Last Modified </w:t>
            </w:r>
            <w:r w:rsidR="005D2A40" w:rsidRPr="00A0163E">
              <w:rPr>
                <w:sz w:val="20"/>
              </w:rPr>
              <w:t>DTG</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6FC37C8"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4F4C6FB"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The date the strike option was last modified.</w:t>
            </w:r>
          </w:p>
          <w:p w14:paraId="3D823E0F" w14:textId="1F099ABF"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in which the Last Modified </w:t>
            </w:r>
            <w:r w:rsidR="005D2A40" w:rsidRPr="00A0163E">
              <w:rPr>
                <w:sz w:val="20"/>
              </w:rPr>
              <w:t xml:space="preserve">DTG </w:t>
            </w:r>
            <w:r w:rsidRPr="00A0163E">
              <w:rPr>
                <w:sz w:val="20"/>
              </w:rPr>
              <w:t>falls within the low value and high value entered.</w:t>
            </w:r>
          </w:p>
        </w:tc>
      </w:tr>
      <w:tr w:rsidR="00B369BD" w:rsidRPr="00C24B58" w14:paraId="619B7583"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43E3570" w14:textId="77777777" w:rsidR="00B369BD" w:rsidRPr="00A0163E" w:rsidRDefault="00B369BD" w:rsidP="008C71CB">
            <w:pPr>
              <w:spacing w:before="60" w:after="60" w:line="240" w:lineRule="auto"/>
              <w:ind w:left="115"/>
              <w:rPr>
                <w:sz w:val="20"/>
              </w:rPr>
            </w:pPr>
            <w:r w:rsidRPr="00A0163E">
              <w:rPr>
                <w:sz w:val="20"/>
              </w:rPr>
              <w:t>Missile Variant</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194FB47"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B78BAB9" w14:textId="3020C89B"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Identifies whether the missile is a </w:t>
            </w:r>
            <w:r w:rsidRPr="00A0163E">
              <w:rPr>
                <w:b/>
                <w:sz w:val="20"/>
              </w:rPr>
              <w:t>109C</w:t>
            </w:r>
            <w:r w:rsidRPr="00A0163E">
              <w:rPr>
                <w:sz w:val="20"/>
              </w:rPr>
              <w:t xml:space="preserve">, </w:t>
            </w:r>
            <w:r w:rsidRPr="00A0163E">
              <w:rPr>
                <w:b/>
                <w:sz w:val="20"/>
              </w:rPr>
              <w:t>109D</w:t>
            </w:r>
            <w:r w:rsidRPr="00A0163E">
              <w:rPr>
                <w:sz w:val="20"/>
              </w:rPr>
              <w:t xml:space="preserve">, </w:t>
            </w:r>
            <w:r w:rsidRPr="00A0163E">
              <w:rPr>
                <w:b/>
                <w:sz w:val="20"/>
              </w:rPr>
              <w:t>109E</w:t>
            </w:r>
            <w:r w:rsidR="00170FE6" w:rsidRPr="00A0163E">
              <w:rPr>
                <w:sz w:val="20"/>
              </w:rPr>
              <w:t xml:space="preserve">, </w:t>
            </w:r>
            <w:r w:rsidR="004F7EAB" w:rsidRPr="00A0163E">
              <w:rPr>
                <w:b/>
                <w:bCs/>
                <w:sz w:val="20"/>
              </w:rPr>
              <w:t>109E ACP</w:t>
            </w:r>
            <w:r w:rsidR="004F7EAB" w:rsidRPr="00A0163E">
              <w:rPr>
                <w:sz w:val="20"/>
              </w:rPr>
              <w:t xml:space="preserve">, </w:t>
            </w:r>
            <w:r w:rsidR="00170FE6" w:rsidRPr="00A0163E">
              <w:rPr>
                <w:b/>
                <w:sz w:val="20"/>
              </w:rPr>
              <w:t>MSTM</w:t>
            </w:r>
            <w:r w:rsidR="00C558E6" w:rsidRPr="00A0163E">
              <w:rPr>
                <w:bCs/>
                <w:sz w:val="20"/>
              </w:rPr>
              <w:t xml:space="preserve">, or </w:t>
            </w:r>
            <w:r w:rsidR="00C558E6" w:rsidRPr="00A0163E">
              <w:rPr>
                <w:b/>
                <w:sz w:val="20"/>
              </w:rPr>
              <w:t>109M</w:t>
            </w:r>
            <w:r w:rsidRPr="00A0163E">
              <w:rPr>
                <w:sz w:val="20"/>
              </w:rPr>
              <w:t>.</w:t>
            </w:r>
          </w:p>
          <w:p w14:paraId="319FFC36"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contain missile reservations that match the selected Missile Variant.</w:t>
            </w:r>
          </w:p>
        </w:tc>
      </w:tr>
      <w:tr w:rsidR="00B369BD" w:rsidRPr="00C24B58" w14:paraId="6AA511FA"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3F810E3" w14:textId="77777777" w:rsidR="00B369BD" w:rsidRPr="00A0163E" w:rsidRDefault="00B369BD" w:rsidP="008C71CB">
            <w:pPr>
              <w:spacing w:before="60" w:after="60" w:line="240" w:lineRule="auto"/>
              <w:ind w:left="115"/>
              <w:rPr>
                <w:sz w:val="20"/>
              </w:rPr>
            </w:pPr>
            <w:r w:rsidRPr="00A0163E">
              <w:rPr>
                <w:sz w:val="20"/>
              </w:rPr>
              <w:t>Notes</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EAC9653"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E0FE164"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Free text in the </w:t>
            </w:r>
            <w:r w:rsidRPr="00A0163E">
              <w:rPr>
                <w:b/>
                <w:bCs/>
                <w:i/>
                <w:iCs/>
                <w:sz w:val="20"/>
              </w:rPr>
              <w:t>Notes</w:t>
            </w:r>
            <w:r w:rsidRPr="00A0163E">
              <w:rPr>
                <w:sz w:val="20"/>
              </w:rPr>
              <w:t xml:space="preserve"> tab of a strike option (for referencing tasking and strike objectives) that was added when the option was created.</w:t>
            </w:r>
          </w:p>
          <w:p w14:paraId="0246A142"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match the specified Notes (wildcard allowed).</w:t>
            </w:r>
          </w:p>
        </w:tc>
      </w:tr>
      <w:tr w:rsidR="00B369BD" w:rsidRPr="00C24B58" w14:paraId="4D62A2BB"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9AF9C15" w14:textId="77777777" w:rsidR="00B369BD" w:rsidRPr="00A0163E" w:rsidRDefault="00B369BD" w:rsidP="008C71CB">
            <w:pPr>
              <w:spacing w:before="60" w:after="60" w:line="240" w:lineRule="auto"/>
              <w:ind w:left="115"/>
              <w:rPr>
                <w:sz w:val="20"/>
              </w:rPr>
            </w:pPr>
            <w:r w:rsidRPr="00A0163E">
              <w:rPr>
                <w:sz w:val="20"/>
              </w:rPr>
              <w:t>Strike Option ID</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103B090"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45996379"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The identifier of the Strike Option/Package.</w:t>
            </w:r>
          </w:p>
          <w:p w14:paraId="2889E6A9"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match the specified Strike Option ID (wildcard allowed).</w:t>
            </w:r>
          </w:p>
        </w:tc>
      </w:tr>
      <w:tr w:rsidR="00B369BD" w:rsidRPr="00C24B58" w14:paraId="076EC505"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C09C8C2" w14:textId="77777777" w:rsidR="00B369BD" w:rsidRPr="00A0163E" w:rsidRDefault="00B369BD" w:rsidP="008C71CB">
            <w:pPr>
              <w:spacing w:before="60" w:after="60" w:line="240" w:lineRule="auto"/>
              <w:ind w:left="115"/>
              <w:rPr>
                <w:sz w:val="20"/>
              </w:rPr>
            </w:pPr>
            <w:r w:rsidRPr="00A0163E">
              <w:rPr>
                <w:sz w:val="20"/>
              </w:rPr>
              <w:t>Strike Option Title</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E6798BC"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75B5177"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The title given to the strike option when it was created. Valid values are up to 50 alphanumeric characters.</w:t>
            </w:r>
          </w:p>
          <w:p w14:paraId="35513519"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match the specified Strike Option Title (wildcard allowed).</w:t>
            </w:r>
          </w:p>
        </w:tc>
      </w:tr>
      <w:tr w:rsidR="00B369BD" w:rsidRPr="00C24B58" w14:paraId="49FA1997"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F89087D" w14:textId="77777777" w:rsidR="00B369BD" w:rsidRPr="00A0163E" w:rsidRDefault="00B369BD" w:rsidP="008C71CB">
            <w:pPr>
              <w:spacing w:before="60" w:after="60" w:line="240" w:lineRule="auto"/>
              <w:ind w:left="115"/>
              <w:rPr>
                <w:sz w:val="20"/>
              </w:rPr>
            </w:pPr>
            <w:r w:rsidRPr="00A0163E">
              <w:rPr>
                <w:sz w:val="20"/>
              </w:rPr>
              <w:t>Strike Option Type</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7177BAE"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2AF074A4" w14:textId="77777777" w:rsidR="00B369BD" w:rsidRPr="00A0163E" w:rsidRDefault="00B369BD" w:rsidP="008C71CB">
            <w:pPr>
              <w:spacing w:before="60" w:after="60" w:line="240" w:lineRule="auto"/>
              <w:ind w:left="115"/>
              <w:rPr>
                <w:sz w:val="20"/>
              </w:rPr>
            </w:pPr>
            <w:r w:rsidRPr="00A0163E">
              <w:rPr>
                <w:b/>
                <w:sz w:val="20"/>
              </w:rPr>
              <w:t xml:space="preserve">Definition: </w:t>
            </w:r>
            <w:r w:rsidRPr="00A0163E">
              <w:rPr>
                <w:bCs/>
                <w:sz w:val="20"/>
              </w:rPr>
              <w:t xml:space="preserve">Type of Option. Valid values are </w:t>
            </w:r>
            <w:r w:rsidRPr="00A0163E">
              <w:rPr>
                <w:b/>
                <w:bCs/>
                <w:sz w:val="20"/>
              </w:rPr>
              <w:t xml:space="preserve">Option </w:t>
            </w:r>
            <w:r w:rsidRPr="00A0163E">
              <w:rPr>
                <w:bCs/>
                <w:sz w:val="20"/>
              </w:rPr>
              <w:t xml:space="preserve">(default), </w:t>
            </w:r>
            <w:r w:rsidRPr="00A0163E">
              <w:rPr>
                <w:b/>
                <w:sz w:val="20"/>
              </w:rPr>
              <w:t>Package</w:t>
            </w:r>
            <w:r w:rsidRPr="00A0163E">
              <w:rPr>
                <w:sz w:val="20"/>
              </w:rPr>
              <w:t>, or</w:t>
            </w:r>
            <w:r w:rsidRPr="00A0163E">
              <w:rPr>
                <w:b/>
                <w:sz w:val="20"/>
              </w:rPr>
              <w:t xml:space="preserve"> Rehearse</w:t>
            </w:r>
            <w:r w:rsidRPr="00A0163E">
              <w:rPr>
                <w:sz w:val="20"/>
              </w:rPr>
              <w:t xml:space="preserve">. </w:t>
            </w:r>
          </w:p>
          <w:p w14:paraId="65B7746B"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match the selected Strike Option Type.</w:t>
            </w:r>
          </w:p>
        </w:tc>
      </w:tr>
      <w:tr w:rsidR="00B369BD" w:rsidRPr="00C24B58" w14:paraId="011FB000"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AB4A534" w14:textId="77777777" w:rsidR="00B369BD" w:rsidRPr="00A0163E" w:rsidRDefault="00B369BD" w:rsidP="008C71CB">
            <w:pPr>
              <w:spacing w:before="60" w:after="60" w:line="240" w:lineRule="auto"/>
              <w:ind w:left="115"/>
              <w:rPr>
                <w:sz w:val="20"/>
              </w:rPr>
            </w:pPr>
            <w:r w:rsidRPr="00A0163E">
              <w:rPr>
                <w:sz w:val="20"/>
              </w:rPr>
              <w:t>TMPR/MSN ID</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F326C39"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C6E8040"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TMPR or Mission ID referenced by a strike option.</w:t>
            </w:r>
          </w:p>
          <w:p w14:paraId="663B0445"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match the specified TMPR ID or MSN ID (wildcard allowed).</w:t>
            </w:r>
          </w:p>
        </w:tc>
      </w:tr>
      <w:tr w:rsidR="00B369BD" w:rsidRPr="00C24B58" w14:paraId="65A5F735"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7AF96D0" w14:textId="77777777" w:rsidR="00B369BD" w:rsidRPr="00A0163E" w:rsidRDefault="00B369BD" w:rsidP="008C71CB">
            <w:pPr>
              <w:spacing w:before="60" w:after="60" w:line="240" w:lineRule="auto"/>
              <w:ind w:left="115"/>
              <w:rPr>
                <w:sz w:val="20"/>
              </w:rPr>
            </w:pPr>
            <w:r w:rsidRPr="00A0163E">
              <w:rPr>
                <w:sz w:val="20"/>
              </w:rPr>
              <w:t>Use Rate</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63986D9"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47F71D9B"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The maximum number of uses of a particular geographic resource in a strike option.</w:t>
            </w:r>
          </w:p>
          <w:p w14:paraId="6E3796ED"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in which the Use Rate falls within the low value and high value entered.</w:t>
            </w:r>
          </w:p>
        </w:tc>
      </w:tr>
      <w:tr w:rsidR="00B369BD" w:rsidRPr="00C24B58" w14:paraId="2A94CB82"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B09A8DC" w14:textId="77777777" w:rsidR="00B369BD" w:rsidRPr="00A0163E" w:rsidRDefault="00B369BD" w:rsidP="008C71CB">
            <w:pPr>
              <w:spacing w:before="60" w:after="60" w:line="240" w:lineRule="auto"/>
              <w:ind w:left="115"/>
              <w:rPr>
                <w:sz w:val="20"/>
              </w:rPr>
            </w:pPr>
            <w:r w:rsidRPr="00A0163E">
              <w:rPr>
                <w:sz w:val="20"/>
              </w:rPr>
              <w:t>Use State</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C9FDC63"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BD67AFD"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Current use state of the Strike Option/Package. Valid values are </w:t>
            </w:r>
            <w:r w:rsidRPr="00A0163E">
              <w:rPr>
                <w:b/>
                <w:sz w:val="20"/>
              </w:rPr>
              <w:t>Execute</w:t>
            </w:r>
            <w:r w:rsidRPr="00A0163E">
              <w:rPr>
                <w:sz w:val="20"/>
              </w:rPr>
              <w:t xml:space="preserve"> (default), </w:t>
            </w:r>
            <w:r w:rsidRPr="00A0163E">
              <w:rPr>
                <w:b/>
                <w:sz w:val="20"/>
              </w:rPr>
              <w:t>Launch Plan</w:t>
            </w:r>
            <w:r w:rsidRPr="00A0163E">
              <w:rPr>
                <w:sz w:val="20"/>
              </w:rPr>
              <w:t xml:space="preserve">, </w:t>
            </w:r>
            <w:r w:rsidRPr="00A0163E">
              <w:rPr>
                <w:b/>
                <w:sz w:val="20"/>
              </w:rPr>
              <w:t>Holdfire</w:t>
            </w:r>
            <w:r w:rsidRPr="00A0163E">
              <w:rPr>
                <w:sz w:val="20"/>
              </w:rPr>
              <w:t xml:space="preserve">, </w:t>
            </w:r>
            <w:r w:rsidRPr="00A0163E">
              <w:rPr>
                <w:b/>
                <w:sz w:val="20"/>
              </w:rPr>
              <w:t>Cancel</w:t>
            </w:r>
            <w:r w:rsidRPr="00A0163E">
              <w:rPr>
                <w:sz w:val="20"/>
              </w:rPr>
              <w:t xml:space="preserve">, </w:t>
            </w:r>
            <w:r w:rsidRPr="00A0163E">
              <w:rPr>
                <w:b/>
                <w:sz w:val="20"/>
              </w:rPr>
              <w:t>Tactical Change</w:t>
            </w:r>
            <w:r w:rsidRPr="00A0163E">
              <w:rPr>
                <w:sz w:val="20"/>
              </w:rPr>
              <w:t xml:space="preserve">, </w:t>
            </w:r>
            <w:r w:rsidRPr="00A0163E">
              <w:rPr>
                <w:b/>
                <w:sz w:val="20"/>
              </w:rPr>
              <w:t>Null</w:t>
            </w:r>
            <w:r w:rsidRPr="00A0163E">
              <w:rPr>
                <w:sz w:val="20"/>
              </w:rPr>
              <w:t xml:space="preserve">, or </w:t>
            </w:r>
            <w:r w:rsidRPr="00A0163E">
              <w:rPr>
                <w:b/>
                <w:sz w:val="20"/>
              </w:rPr>
              <w:t>Invalid</w:t>
            </w:r>
            <w:r w:rsidRPr="00A0163E">
              <w:rPr>
                <w:sz w:val="20"/>
              </w:rPr>
              <w:t>.</w:t>
            </w:r>
          </w:p>
          <w:p w14:paraId="3E38F827"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match the selected Use State.</w:t>
            </w:r>
          </w:p>
        </w:tc>
      </w:tr>
    </w:tbl>
    <w:p w14:paraId="294FFDD0" w14:textId="77777777" w:rsidR="00B369BD" w:rsidRPr="000665B0" w:rsidRDefault="00B369BD" w:rsidP="00B369BD">
      <w:pPr>
        <w:jc w:val="center"/>
      </w:pPr>
    </w:p>
    <w:p w14:paraId="7CC8E841" w14:textId="77777777" w:rsidR="00B369BD" w:rsidRPr="000665B0" w:rsidRDefault="00B369BD" w:rsidP="006D5A65">
      <w:pPr>
        <w:pStyle w:val="Heading4"/>
      </w:pPr>
      <w:r w:rsidRPr="000665B0">
        <w:lastRenderedPageBreak/>
        <w:t>Target Tab</w:t>
      </w:r>
    </w:p>
    <w:p w14:paraId="428301B2" w14:textId="5D94DF5A" w:rsidR="00B369BD" w:rsidRDefault="00D96B2A" w:rsidP="001F4B14">
      <w:pPr>
        <w:spacing w:after="160"/>
        <w:jc w:val="center"/>
      </w:pPr>
      <w:r w:rsidRPr="000665B0">
        <w:rPr>
          <w:noProof/>
        </w:rPr>
        <w:drawing>
          <wp:inline distT="0" distB="0" distL="0" distR="0" wp14:anchorId="50C97889" wp14:editId="5E6737C6">
            <wp:extent cx="4572000" cy="3666744"/>
            <wp:effectExtent l="0" t="0" r="0" b="0"/>
            <wp:docPr id="1237" name="Picture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3666744"/>
                    </a:xfrm>
                    <a:prstGeom prst="rect">
                      <a:avLst/>
                    </a:prstGeom>
                  </pic:spPr>
                </pic:pic>
              </a:graphicData>
            </a:graphic>
          </wp:inline>
        </w:drawing>
      </w:r>
    </w:p>
    <w:tbl>
      <w:tblPr>
        <w:tblW w:w="13068" w:type="dxa"/>
        <w:tblLayout w:type="fixed"/>
        <w:tblCellMar>
          <w:left w:w="0" w:type="dxa"/>
          <w:right w:w="0" w:type="dxa"/>
        </w:tblCellMar>
        <w:tblLook w:val="0000" w:firstRow="0" w:lastRow="0" w:firstColumn="0" w:lastColumn="0" w:noHBand="0" w:noVBand="0"/>
      </w:tblPr>
      <w:tblGrid>
        <w:gridCol w:w="1885"/>
        <w:gridCol w:w="1103"/>
        <w:gridCol w:w="10080"/>
      </w:tblGrid>
      <w:tr w:rsidR="00B369BD" w:rsidRPr="00C24B58" w14:paraId="72B4E007" w14:textId="77777777" w:rsidTr="008C71CB">
        <w:trPr>
          <w:cantSplit/>
          <w:trHeight w:val="144"/>
          <w:tblHead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36E4DBB6" w14:textId="77777777" w:rsidR="00B369BD" w:rsidRPr="00A0163E" w:rsidRDefault="00B369BD" w:rsidP="008C71CB">
            <w:pPr>
              <w:spacing w:before="60" w:after="60" w:line="240" w:lineRule="auto"/>
              <w:ind w:left="115"/>
              <w:rPr>
                <w:b/>
                <w:sz w:val="20"/>
              </w:rPr>
            </w:pPr>
            <w:bookmarkStart w:id="7407" w:name="_Hlk32926507"/>
            <w:r w:rsidRPr="00A0163E">
              <w:rPr>
                <w:b/>
                <w:sz w:val="20"/>
              </w:rPr>
              <w:t>Query Button</w:t>
            </w:r>
          </w:p>
        </w:tc>
        <w:tc>
          <w:tcPr>
            <w:tcW w:w="1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04CDAAFD" w14:textId="77777777" w:rsidR="00B369BD" w:rsidRPr="00A0163E" w:rsidRDefault="00B369BD" w:rsidP="008C71CB">
            <w:pPr>
              <w:spacing w:before="60" w:after="60" w:line="240" w:lineRule="auto"/>
              <w:ind w:left="115"/>
              <w:rPr>
                <w:b/>
                <w:sz w:val="20"/>
              </w:rPr>
            </w:pPr>
            <w:r w:rsidRPr="00A0163E">
              <w:rPr>
                <w:b/>
                <w:sz w:val="20"/>
              </w:rPr>
              <w:t>Variant</w:t>
            </w:r>
          </w:p>
        </w:tc>
        <w:tc>
          <w:tcPr>
            <w:tcW w:w="10080" w:type="dxa"/>
            <w:tcBorders>
              <w:top w:val="single" w:sz="4" w:space="0" w:color="auto"/>
              <w:left w:val="nil"/>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61256587" w14:textId="79516B46" w:rsidR="00B369BD" w:rsidRPr="00A0163E" w:rsidRDefault="00B369BD" w:rsidP="008C71CB">
            <w:pPr>
              <w:spacing w:before="60" w:after="60" w:line="240" w:lineRule="auto"/>
              <w:ind w:left="115"/>
              <w:rPr>
                <w:b/>
                <w:sz w:val="20"/>
              </w:rPr>
            </w:pPr>
            <w:r w:rsidRPr="00A0163E">
              <w:rPr>
                <w:b/>
                <w:sz w:val="20"/>
              </w:rPr>
              <w:t>Definition and Query Details</w:t>
            </w:r>
          </w:p>
        </w:tc>
      </w:tr>
      <w:tr w:rsidR="00B369BD" w:rsidRPr="00C24B58" w14:paraId="685AA5DB"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00373A4" w14:textId="16892A0D" w:rsidR="00B369BD" w:rsidRPr="00A0163E" w:rsidRDefault="00B369BD" w:rsidP="008C71CB">
            <w:pPr>
              <w:spacing w:before="60" w:after="60" w:line="240" w:lineRule="auto"/>
              <w:ind w:left="115"/>
              <w:rPr>
                <w:sz w:val="20"/>
              </w:rPr>
            </w:pPr>
            <w:r w:rsidRPr="00A0163E">
              <w:rPr>
                <w:sz w:val="20"/>
              </w:rPr>
              <w:t>Aim</w:t>
            </w:r>
            <w:r w:rsidR="00D96B2A" w:rsidRPr="00A0163E">
              <w:rPr>
                <w:sz w:val="20"/>
              </w:rPr>
              <w:t>p</w:t>
            </w:r>
            <w:r w:rsidRPr="00A0163E">
              <w:rPr>
                <w:sz w:val="20"/>
              </w:rPr>
              <w:t>oint ID</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F78213C"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E9FDFA6"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Two alphabetic characters which, in conjunction with the Installation BE number, uniquely identify the point desired for intended interaction of the warhead with a target element.</w:t>
            </w:r>
          </w:p>
          <w:p w14:paraId="5653CFE0"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match the specified Aimpoint ID entered (wildcard allowed).</w:t>
            </w:r>
          </w:p>
        </w:tc>
      </w:tr>
      <w:tr w:rsidR="00B369BD" w:rsidRPr="00C24B58" w14:paraId="4CD7E46B"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899A875" w14:textId="77777777" w:rsidR="00B369BD" w:rsidRPr="00A0163E" w:rsidRDefault="00B369BD" w:rsidP="008C71CB">
            <w:pPr>
              <w:spacing w:before="60" w:after="60" w:line="240" w:lineRule="auto"/>
              <w:ind w:left="115"/>
              <w:rPr>
                <w:sz w:val="20"/>
              </w:rPr>
            </w:pPr>
            <w:r w:rsidRPr="00A0163E">
              <w:rPr>
                <w:sz w:val="20"/>
              </w:rPr>
              <w:t>BE</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9E091E8"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74A3F6E"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A Target identifier format (Basic Encyclopedia). The BE number used in the MIDB to identify the installations containing the 109C or 109E aimpoint or 109D target definition waypoint. Valid BE formats are: nnnn@#nnnn or nnnn-$nnnn where n=numeric, @=alpha, and $=alphanumeric.</w:t>
            </w:r>
          </w:p>
          <w:p w14:paraId="76704A1B"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contain the specified BE (wildcard allowed).</w:t>
            </w:r>
          </w:p>
        </w:tc>
      </w:tr>
      <w:tr w:rsidR="00B369BD" w:rsidRPr="00C24B58" w14:paraId="7096E520"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162CB65" w14:textId="51DB2631" w:rsidR="00B369BD" w:rsidRPr="00A0163E" w:rsidRDefault="00B369BD" w:rsidP="008C71CB">
            <w:pPr>
              <w:spacing w:before="60" w:after="60" w:line="240" w:lineRule="auto"/>
              <w:ind w:left="115"/>
              <w:rPr>
                <w:sz w:val="20"/>
              </w:rPr>
            </w:pPr>
            <w:r w:rsidRPr="00A0163E">
              <w:rPr>
                <w:sz w:val="20"/>
              </w:rPr>
              <w:t>JDPI</w:t>
            </w:r>
            <w:r w:rsidR="00D96B2A" w:rsidRPr="00A0163E">
              <w:rPr>
                <w:sz w:val="20"/>
              </w:rPr>
              <w:t xml:space="preserve"> ID</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6219219"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20EE8999"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A Target identifier format (Joint Desired Point of Impact). Valid format is 6 alphanumeric characters.</w:t>
            </w:r>
          </w:p>
          <w:p w14:paraId="7A21751D" w14:textId="12DCD805"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contain the specified JDPI </w:t>
            </w:r>
            <w:r w:rsidR="00D96B2A" w:rsidRPr="00A0163E">
              <w:rPr>
                <w:sz w:val="20"/>
              </w:rPr>
              <w:t xml:space="preserve">ID </w:t>
            </w:r>
            <w:r w:rsidRPr="00A0163E">
              <w:rPr>
                <w:sz w:val="20"/>
              </w:rPr>
              <w:t>(wildcard allowed).</w:t>
            </w:r>
          </w:p>
        </w:tc>
      </w:tr>
      <w:tr w:rsidR="00B369BD" w:rsidRPr="00C24B58" w14:paraId="63053654"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7E0E5BF" w14:textId="77777777" w:rsidR="00B369BD" w:rsidRPr="00A0163E" w:rsidRDefault="00B369BD" w:rsidP="008C71CB">
            <w:pPr>
              <w:spacing w:before="60" w:after="60" w:line="240" w:lineRule="auto"/>
              <w:ind w:left="115"/>
              <w:rPr>
                <w:sz w:val="20"/>
              </w:rPr>
            </w:pPr>
            <w:r w:rsidRPr="00A0163E">
              <w:rPr>
                <w:sz w:val="20"/>
              </w:rPr>
              <w:t>Target Type</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9DACA98"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483905E" w14:textId="77777777" w:rsidR="006A4B18" w:rsidRPr="00A0163E" w:rsidRDefault="006A4B18" w:rsidP="008C71CB">
            <w:pPr>
              <w:spacing w:before="60" w:after="60" w:line="240" w:lineRule="auto"/>
              <w:ind w:left="115"/>
              <w:rPr>
                <w:bCs/>
                <w:sz w:val="20"/>
              </w:rPr>
            </w:pPr>
            <w:r w:rsidRPr="00A0163E">
              <w:rPr>
                <w:b/>
                <w:sz w:val="20"/>
              </w:rPr>
              <w:t>Definition:</w:t>
            </w:r>
            <w:r w:rsidRPr="00A0163E">
              <w:rPr>
                <w:bCs/>
                <w:sz w:val="20"/>
              </w:rPr>
              <w:t xml:space="preserve"> Target Reference Type. Valid values are </w:t>
            </w:r>
            <w:r w:rsidRPr="00A0163E">
              <w:rPr>
                <w:b/>
                <w:sz w:val="20"/>
              </w:rPr>
              <w:t>BE</w:t>
            </w:r>
            <w:r w:rsidRPr="00A0163E">
              <w:rPr>
                <w:bCs/>
                <w:sz w:val="20"/>
              </w:rPr>
              <w:t xml:space="preserve"> (default), </w:t>
            </w:r>
            <w:r w:rsidRPr="00A0163E">
              <w:rPr>
                <w:b/>
                <w:sz w:val="20"/>
              </w:rPr>
              <w:t>JDPI</w:t>
            </w:r>
            <w:r w:rsidRPr="00A0163E">
              <w:rPr>
                <w:bCs/>
                <w:sz w:val="20"/>
              </w:rPr>
              <w:t xml:space="preserve">, </w:t>
            </w:r>
            <w:r w:rsidRPr="00A0163E">
              <w:rPr>
                <w:b/>
                <w:sz w:val="20"/>
              </w:rPr>
              <w:t>TTN</w:t>
            </w:r>
            <w:r w:rsidRPr="00A0163E">
              <w:rPr>
                <w:bCs/>
                <w:sz w:val="20"/>
              </w:rPr>
              <w:t xml:space="preserve">, and </w:t>
            </w:r>
            <w:r w:rsidRPr="00A0163E">
              <w:rPr>
                <w:b/>
                <w:sz w:val="20"/>
              </w:rPr>
              <w:t>UIC</w:t>
            </w:r>
            <w:r w:rsidRPr="00A0163E">
              <w:rPr>
                <w:bCs/>
                <w:sz w:val="20"/>
              </w:rPr>
              <w:t>.</w:t>
            </w:r>
          </w:p>
          <w:p w14:paraId="6C49B72D" w14:textId="456C62C5" w:rsidR="00B369BD" w:rsidRPr="00A0163E" w:rsidRDefault="006A4B18" w:rsidP="008C71CB">
            <w:pPr>
              <w:spacing w:before="60" w:after="60" w:line="240" w:lineRule="auto"/>
              <w:ind w:left="115"/>
              <w:rPr>
                <w:bCs/>
                <w:sz w:val="20"/>
              </w:rPr>
            </w:pPr>
            <w:r w:rsidRPr="00A0163E">
              <w:rPr>
                <w:b/>
                <w:sz w:val="20"/>
              </w:rPr>
              <w:t>Query:</w:t>
            </w:r>
            <w:r w:rsidRPr="00A0163E">
              <w:rPr>
                <w:bCs/>
                <w:sz w:val="20"/>
              </w:rPr>
              <w:t xml:space="preserve"> Searches for strike options that contain targets that match the selected Target Type.</w:t>
            </w:r>
          </w:p>
        </w:tc>
      </w:tr>
      <w:tr w:rsidR="00B369BD" w:rsidRPr="00C24B58" w14:paraId="211E8B91"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A020D74" w14:textId="77777777" w:rsidR="00B369BD" w:rsidRPr="00A0163E" w:rsidRDefault="00B369BD" w:rsidP="008C71CB">
            <w:pPr>
              <w:spacing w:before="60" w:after="60" w:line="240" w:lineRule="auto"/>
              <w:ind w:left="115"/>
              <w:rPr>
                <w:sz w:val="20"/>
              </w:rPr>
            </w:pPr>
            <w:r w:rsidRPr="00A0163E">
              <w:rPr>
                <w:sz w:val="20"/>
              </w:rPr>
              <w:t>TTN</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BCB0C49"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7A30AA2"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A Target identifier format (Tactical Target Number). Valid format is 10 characters.</w:t>
            </w:r>
          </w:p>
          <w:p w14:paraId="24DBD8F2"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contain the specified TTN (wildcard allowed).</w:t>
            </w:r>
          </w:p>
        </w:tc>
      </w:tr>
      <w:tr w:rsidR="00B369BD" w:rsidRPr="00C24B58" w14:paraId="5080C967"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BDCF060" w14:textId="77777777" w:rsidR="00B369BD" w:rsidRPr="00A0163E" w:rsidRDefault="00B369BD" w:rsidP="008C71CB">
            <w:pPr>
              <w:spacing w:before="60" w:after="60" w:line="240" w:lineRule="auto"/>
              <w:ind w:left="115"/>
              <w:rPr>
                <w:sz w:val="20"/>
              </w:rPr>
            </w:pPr>
            <w:r w:rsidRPr="00A0163E">
              <w:rPr>
                <w:sz w:val="20"/>
              </w:rPr>
              <w:t>UIC</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5FE5D47" w14:textId="77777777" w:rsidR="00B369BD" w:rsidRPr="00A0163E" w:rsidRDefault="00B369BD"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1A4D54CC" w14:textId="77777777" w:rsidR="00B369BD" w:rsidRPr="00A0163E" w:rsidRDefault="00B369BD" w:rsidP="008C71CB">
            <w:pPr>
              <w:spacing w:before="60" w:after="60" w:line="240" w:lineRule="auto"/>
              <w:ind w:left="115"/>
              <w:rPr>
                <w:sz w:val="20"/>
              </w:rPr>
            </w:pPr>
            <w:r w:rsidRPr="00A0163E">
              <w:rPr>
                <w:b/>
                <w:sz w:val="20"/>
              </w:rPr>
              <w:t>Definition:</w:t>
            </w:r>
            <w:r w:rsidRPr="00A0163E">
              <w:rPr>
                <w:sz w:val="20"/>
              </w:rPr>
              <w:t xml:space="preserve"> A Target identifier format (Unit Identification Code). Valid format is up to 30 characters.</w:t>
            </w:r>
          </w:p>
          <w:p w14:paraId="23BACE15" w14:textId="77777777" w:rsidR="00B369BD" w:rsidRPr="00A0163E" w:rsidRDefault="00B369BD" w:rsidP="008C71CB">
            <w:pPr>
              <w:spacing w:before="60" w:after="60" w:line="240" w:lineRule="auto"/>
              <w:ind w:left="115"/>
              <w:rPr>
                <w:b/>
                <w:sz w:val="20"/>
              </w:rPr>
            </w:pPr>
            <w:r w:rsidRPr="00A0163E">
              <w:rPr>
                <w:b/>
                <w:sz w:val="20"/>
              </w:rPr>
              <w:t>Query:</w:t>
            </w:r>
            <w:r w:rsidRPr="00A0163E">
              <w:rPr>
                <w:sz w:val="20"/>
              </w:rPr>
              <w:t xml:space="preserve"> Searches for strike options that contain the specified UIC (wildcard allowed).</w:t>
            </w:r>
          </w:p>
        </w:tc>
      </w:tr>
    </w:tbl>
    <w:bookmarkEnd w:id="7407"/>
    <w:p w14:paraId="6AD527B2" w14:textId="77777777" w:rsidR="00B369BD" w:rsidRPr="000665B0" w:rsidRDefault="00B369BD" w:rsidP="006D5A65">
      <w:pPr>
        <w:pStyle w:val="Heading4"/>
      </w:pPr>
      <w:r w:rsidRPr="000665B0">
        <w:lastRenderedPageBreak/>
        <w:t>Arsenal Info Tab</w:t>
      </w:r>
    </w:p>
    <w:p w14:paraId="3AE09B01" w14:textId="47C8B0E8" w:rsidR="00B369BD" w:rsidRDefault="00B369BD" w:rsidP="008C07A5">
      <w:pPr>
        <w:spacing w:after="160"/>
        <w:jc w:val="center"/>
      </w:pPr>
      <w:r w:rsidRPr="000665B0">
        <w:rPr>
          <w:noProof/>
        </w:rPr>
        <w:drawing>
          <wp:inline distT="0" distB="0" distL="0" distR="0" wp14:anchorId="484A5E3F" wp14:editId="344979FC">
            <wp:extent cx="4572000" cy="4498848"/>
            <wp:effectExtent l="0" t="0" r="0" b="0"/>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572000" cy="4498848"/>
                    </a:xfrm>
                    <a:prstGeom prst="rect">
                      <a:avLst/>
                    </a:prstGeom>
                  </pic:spPr>
                </pic:pic>
              </a:graphicData>
            </a:graphic>
          </wp:inline>
        </w:drawing>
      </w:r>
    </w:p>
    <w:p w14:paraId="16B479AD" w14:textId="77777777" w:rsidR="008C07A5" w:rsidRPr="000665B0" w:rsidRDefault="008C07A5" w:rsidP="008C07A5">
      <w:pPr>
        <w:spacing w:after="160"/>
        <w:jc w:val="center"/>
      </w:pPr>
    </w:p>
    <w:tbl>
      <w:tblPr>
        <w:tblW w:w="13068" w:type="dxa"/>
        <w:tblLayout w:type="fixed"/>
        <w:tblCellMar>
          <w:left w:w="0" w:type="dxa"/>
          <w:right w:w="0" w:type="dxa"/>
        </w:tblCellMar>
        <w:tblLook w:val="0000" w:firstRow="0" w:lastRow="0" w:firstColumn="0" w:lastColumn="0" w:noHBand="0" w:noVBand="0"/>
      </w:tblPr>
      <w:tblGrid>
        <w:gridCol w:w="1885"/>
        <w:gridCol w:w="1103"/>
        <w:gridCol w:w="10080"/>
      </w:tblGrid>
      <w:tr w:rsidR="00B369BD" w:rsidRPr="000665B0" w14:paraId="78D247D4" w14:textId="77777777" w:rsidTr="008C71CB">
        <w:trPr>
          <w:cantSplit/>
          <w:trHeight w:val="144"/>
          <w:tblHead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2F3E6B56" w14:textId="77777777" w:rsidR="00B369BD" w:rsidRPr="000665B0" w:rsidRDefault="00B369BD" w:rsidP="008C07A5">
            <w:pPr>
              <w:pageBreakBefore/>
              <w:spacing w:before="60" w:after="60" w:line="240" w:lineRule="auto"/>
              <w:ind w:left="115"/>
              <w:rPr>
                <w:b/>
              </w:rPr>
            </w:pPr>
            <w:r w:rsidRPr="000665B0">
              <w:rPr>
                <w:b/>
              </w:rPr>
              <w:lastRenderedPageBreak/>
              <w:t>Query Button</w:t>
            </w:r>
          </w:p>
        </w:tc>
        <w:tc>
          <w:tcPr>
            <w:tcW w:w="1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08A88109" w14:textId="77777777" w:rsidR="00B369BD" w:rsidRPr="000665B0" w:rsidRDefault="00B369BD" w:rsidP="008C71CB">
            <w:pPr>
              <w:spacing w:before="60" w:after="60" w:line="240" w:lineRule="auto"/>
              <w:ind w:left="115"/>
              <w:rPr>
                <w:b/>
              </w:rPr>
            </w:pPr>
            <w:r w:rsidRPr="000665B0">
              <w:rPr>
                <w:b/>
              </w:rPr>
              <w:t>Variant</w:t>
            </w:r>
          </w:p>
        </w:tc>
        <w:tc>
          <w:tcPr>
            <w:tcW w:w="10080" w:type="dxa"/>
            <w:tcBorders>
              <w:top w:val="single" w:sz="4" w:space="0" w:color="auto"/>
              <w:left w:val="nil"/>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436AF1FD" w14:textId="429A8372" w:rsidR="00B369BD" w:rsidRPr="000665B0" w:rsidRDefault="00B369BD" w:rsidP="008C71CB">
            <w:pPr>
              <w:spacing w:before="60" w:after="60" w:line="240" w:lineRule="auto"/>
              <w:ind w:left="115"/>
              <w:rPr>
                <w:b/>
              </w:rPr>
            </w:pPr>
            <w:r w:rsidRPr="000665B0">
              <w:rPr>
                <w:b/>
              </w:rPr>
              <w:t>Definition and Query Details</w:t>
            </w:r>
          </w:p>
        </w:tc>
      </w:tr>
      <w:tr w:rsidR="00B369BD" w:rsidRPr="000665B0" w14:paraId="29A0ED18"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61A96D0" w14:textId="77777777" w:rsidR="00B369BD" w:rsidRPr="000665B0" w:rsidRDefault="00B369BD" w:rsidP="008C71CB">
            <w:pPr>
              <w:spacing w:before="60" w:after="60" w:line="240" w:lineRule="auto"/>
              <w:ind w:left="115"/>
              <w:rPr>
                <w:szCs w:val="24"/>
              </w:rPr>
            </w:pPr>
            <w:r w:rsidRPr="000665B0">
              <w:rPr>
                <w:szCs w:val="24"/>
              </w:rPr>
              <w:t>LPMP Op Area</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5187AB6" w14:textId="77777777" w:rsidR="00B369BD" w:rsidRPr="000665B0" w:rsidRDefault="00B369BD" w:rsidP="008C71CB">
            <w:pPr>
              <w:spacing w:before="60" w:after="60" w:line="240" w:lineRule="auto"/>
              <w:ind w:left="115"/>
              <w:rPr>
                <w:szCs w:val="24"/>
              </w:rPr>
            </w:pPr>
            <w:r w:rsidRPr="000665B0">
              <w:rPr>
                <w:szCs w:val="24"/>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7286718" w14:textId="77777777" w:rsidR="00B369BD" w:rsidRPr="000665B0" w:rsidRDefault="00B369BD" w:rsidP="008C71CB">
            <w:pPr>
              <w:spacing w:before="60" w:after="60" w:line="240" w:lineRule="auto"/>
              <w:ind w:left="115"/>
              <w:rPr>
                <w:szCs w:val="24"/>
              </w:rPr>
            </w:pPr>
            <w:r w:rsidRPr="000665B0">
              <w:rPr>
                <w:b/>
                <w:szCs w:val="24"/>
              </w:rPr>
              <w:t>Definition:</w:t>
            </w:r>
            <w:r w:rsidRPr="000665B0">
              <w:rPr>
                <w:szCs w:val="24"/>
              </w:rPr>
              <w:t xml:space="preserve"> </w:t>
            </w:r>
            <w:r w:rsidRPr="000665B0">
              <w:t>The Launch Platform Mission Planning Op Area associated with a platform</w:t>
            </w:r>
            <w:r w:rsidRPr="000665B0">
              <w:rPr>
                <w:szCs w:val="24"/>
              </w:rPr>
              <w:t>.</w:t>
            </w:r>
          </w:p>
          <w:p w14:paraId="3407C86E" w14:textId="77777777" w:rsidR="00B369BD" w:rsidRPr="000665B0" w:rsidRDefault="00B369BD" w:rsidP="008C71CB">
            <w:pPr>
              <w:spacing w:before="60" w:after="60" w:line="240" w:lineRule="auto"/>
              <w:ind w:left="115"/>
              <w:rPr>
                <w:b/>
                <w:szCs w:val="24"/>
              </w:rPr>
            </w:pPr>
            <w:r w:rsidRPr="000665B0">
              <w:rPr>
                <w:b/>
                <w:szCs w:val="24"/>
              </w:rPr>
              <w:t>Query:</w:t>
            </w:r>
            <w:r w:rsidRPr="000665B0">
              <w:rPr>
                <w:szCs w:val="24"/>
              </w:rPr>
              <w:t xml:space="preserve"> Searches for strike options that match the specified LPMP Op Area (wildcard allowed), for platforms within the option’s arsenal.</w:t>
            </w:r>
          </w:p>
        </w:tc>
      </w:tr>
      <w:tr w:rsidR="00B369BD" w:rsidRPr="000665B0" w14:paraId="1F0B2FA8"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DB46FFD" w14:textId="77777777" w:rsidR="00B369BD" w:rsidRPr="000665B0" w:rsidRDefault="00B369BD" w:rsidP="008C71CB">
            <w:pPr>
              <w:spacing w:before="60" w:after="60" w:line="240" w:lineRule="auto"/>
              <w:ind w:left="115"/>
              <w:rPr>
                <w:szCs w:val="24"/>
              </w:rPr>
            </w:pPr>
            <w:r w:rsidRPr="000665B0">
              <w:rPr>
                <w:szCs w:val="24"/>
              </w:rPr>
              <w:t>Node ID</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E38EE37" w14:textId="77777777" w:rsidR="00B369BD" w:rsidRPr="000665B0" w:rsidRDefault="00B369BD" w:rsidP="008C71CB">
            <w:pPr>
              <w:spacing w:before="60" w:after="60" w:line="240" w:lineRule="auto"/>
              <w:ind w:left="115"/>
              <w:rPr>
                <w:szCs w:val="24"/>
              </w:rPr>
            </w:pPr>
            <w:r w:rsidRPr="000665B0">
              <w:rPr>
                <w:szCs w:val="24"/>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9177B63" w14:textId="77777777" w:rsidR="00B369BD" w:rsidRPr="000665B0" w:rsidRDefault="00B369BD" w:rsidP="008C71CB">
            <w:pPr>
              <w:spacing w:before="60" w:after="60" w:line="240" w:lineRule="auto"/>
              <w:ind w:left="115"/>
              <w:rPr>
                <w:szCs w:val="24"/>
              </w:rPr>
            </w:pPr>
            <w:r w:rsidRPr="000665B0">
              <w:rPr>
                <w:b/>
                <w:szCs w:val="24"/>
              </w:rPr>
              <w:t>Definition:</w:t>
            </w:r>
            <w:r w:rsidRPr="000665B0">
              <w:rPr>
                <w:szCs w:val="24"/>
              </w:rPr>
              <w:t xml:space="preserve"> The node ID.</w:t>
            </w:r>
          </w:p>
          <w:p w14:paraId="74E562C6" w14:textId="77777777" w:rsidR="00B369BD" w:rsidRPr="000665B0" w:rsidRDefault="00B369BD" w:rsidP="008C71CB">
            <w:pPr>
              <w:spacing w:before="60" w:after="60" w:line="240" w:lineRule="auto"/>
              <w:ind w:left="115"/>
              <w:rPr>
                <w:b/>
                <w:szCs w:val="24"/>
              </w:rPr>
            </w:pPr>
            <w:r w:rsidRPr="000665B0">
              <w:rPr>
                <w:b/>
                <w:szCs w:val="24"/>
              </w:rPr>
              <w:t>Query:</w:t>
            </w:r>
            <w:r w:rsidRPr="000665B0">
              <w:rPr>
                <w:szCs w:val="24"/>
              </w:rPr>
              <w:t xml:space="preserve"> Searches for strike options that match the specified Node ID (wildcard allowed), for nodes within the option’s arsenal.</w:t>
            </w:r>
          </w:p>
        </w:tc>
      </w:tr>
      <w:tr w:rsidR="00B369BD" w:rsidRPr="000665B0" w14:paraId="5E3349EB"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B2FFEE6" w14:textId="77777777" w:rsidR="00B369BD" w:rsidRPr="000665B0" w:rsidRDefault="00B369BD" w:rsidP="008C71CB">
            <w:pPr>
              <w:spacing w:before="60" w:after="60" w:line="240" w:lineRule="auto"/>
              <w:ind w:left="115"/>
              <w:rPr>
                <w:szCs w:val="24"/>
              </w:rPr>
            </w:pPr>
            <w:r w:rsidRPr="000665B0">
              <w:rPr>
                <w:szCs w:val="24"/>
              </w:rPr>
              <w:t>Platform ID</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B52803E" w14:textId="77777777" w:rsidR="00B369BD" w:rsidRPr="000665B0" w:rsidRDefault="00B369BD" w:rsidP="008C71CB">
            <w:pPr>
              <w:spacing w:before="60" w:after="60" w:line="240" w:lineRule="auto"/>
              <w:ind w:left="115"/>
              <w:rPr>
                <w:szCs w:val="24"/>
              </w:rPr>
            </w:pPr>
            <w:r w:rsidRPr="000665B0">
              <w:rPr>
                <w:szCs w:val="24"/>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70E9753" w14:textId="77777777" w:rsidR="00B369BD" w:rsidRPr="000665B0" w:rsidRDefault="00B369BD" w:rsidP="008C71CB">
            <w:pPr>
              <w:spacing w:before="60" w:after="60" w:line="240" w:lineRule="auto"/>
              <w:ind w:left="115"/>
              <w:rPr>
                <w:szCs w:val="24"/>
              </w:rPr>
            </w:pPr>
            <w:r w:rsidRPr="000665B0">
              <w:rPr>
                <w:b/>
                <w:szCs w:val="24"/>
              </w:rPr>
              <w:t>Definition:</w:t>
            </w:r>
            <w:r w:rsidRPr="000665B0">
              <w:rPr>
                <w:szCs w:val="24"/>
              </w:rPr>
              <w:t xml:space="preserve"> The platform ID.</w:t>
            </w:r>
          </w:p>
          <w:p w14:paraId="45D02BF6" w14:textId="77777777" w:rsidR="00B369BD" w:rsidRPr="000665B0" w:rsidRDefault="00B369BD" w:rsidP="008C71CB">
            <w:pPr>
              <w:spacing w:before="60" w:after="60" w:line="240" w:lineRule="auto"/>
              <w:ind w:left="115"/>
              <w:rPr>
                <w:b/>
                <w:szCs w:val="24"/>
              </w:rPr>
            </w:pPr>
            <w:r w:rsidRPr="000665B0">
              <w:rPr>
                <w:b/>
                <w:szCs w:val="24"/>
              </w:rPr>
              <w:t>Query:</w:t>
            </w:r>
            <w:r w:rsidRPr="000665B0">
              <w:rPr>
                <w:szCs w:val="24"/>
              </w:rPr>
              <w:t xml:space="preserve"> Searches for strike options that match the specified Platform ID (wildcard allowed), for platforms within the option’s arsenal.</w:t>
            </w:r>
          </w:p>
        </w:tc>
      </w:tr>
      <w:tr w:rsidR="00B369BD" w:rsidRPr="000665B0" w14:paraId="5FFB3D4E"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0A79622" w14:textId="77777777" w:rsidR="00B369BD" w:rsidRPr="000665B0" w:rsidRDefault="00B369BD" w:rsidP="008C71CB">
            <w:pPr>
              <w:spacing w:before="60" w:after="60" w:line="240" w:lineRule="auto"/>
              <w:ind w:left="115"/>
              <w:rPr>
                <w:szCs w:val="24"/>
              </w:rPr>
            </w:pPr>
            <w:r w:rsidRPr="000665B0">
              <w:rPr>
                <w:szCs w:val="24"/>
              </w:rPr>
              <w:t>PLP</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6837876B" w14:textId="77777777" w:rsidR="00B369BD" w:rsidRPr="000665B0" w:rsidRDefault="00B369BD" w:rsidP="008C71CB">
            <w:pPr>
              <w:spacing w:before="60" w:after="60" w:line="240" w:lineRule="auto"/>
              <w:ind w:left="115"/>
              <w:rPr>
                <w:szCs w:val="24"/>
              </w:rPr>
            </w:pPr>
            <w:r w:rsidRPr="000665B0">
              <w:rPr>
                <w:szCs w:val="24"/>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552F175" w14:textId="77777777" w:rsidR="00B369BD" w:rsidRPr="000665B0" w:rsidRDefault="00B369BD" w:rsidP="008C71CB">
            <w:pPr>
              <w:spacing w:before="60" w:after="60" w:line="240" w:lineRule="auto"/>
              <w:ind w:left="115"/>
              <w:rPr>
                <w:szCs w:val="24"/>
              </w:rPr>
            </w:pPr>
            <w:r w:rsidRPr="000665B0">
              <w:rPr>
                <w:b/>
                <w:szCs w:val="24"/>
              </w:rPr>
              <w:t>Definition:</w:t>
            </w:r>
            <w:r w:rsidRPr="000665B0">
              <w:rPr>
                <w:szCs w:val="24"/>
              </w:rPr>
              <w:t xml:space="preserve"> </w:t>
            </w:r>
            <w:r w:rsidRPr="000665B0">
              <w:t>The Preferred Launch Position associated with the firing unit</w:t>
            </w:r>
            <w:r w:rsidRPr="000665B0">
              <w:rPr>
                <w:szCs w:val="24"/>
              </w:rPr>
              <w:t>.</w:t>
            </w:r>
          </w:p>
          <w:p w14:paraId="4A05EA53" w14:textId="77777777" w:rsidR="00B369BD" w:rsidRPr="000665B0" w:rsidRDefault="00B369BD" w:rsidP="008C71CB">
            <w:pPr>
              <w:spacing w:before="60" w:after="60" w:line="240" w:lineRule="auto"/>
              <w:ind w:left="115"/>
              <w:rPr>
                <w:b/>
                <w:szCs w:val="24"/>
              </w:rPr>
            </w:pPr>
            <w:r w:rsidRPr="000665B0">
              <w:rPr>
                <w:b/>
                <w:szCs w:val="24"/>
              </w:rPr>
              <w:t>Query:</w:t>
            </w:r>
            <w:r w:rsidRPr="000665B0">
              <w:rPr>
                <w:szCs w:val="24"/>
              </w:rPr>
              <w:t xml:space="preserve"> Searches for strike options that match the specified PLP (wildcard allowed), for FRUs within the option’s arsenal.</w:t>
            </w:r>
          </w:p>
        </w:tc>
      </w:tr>
      <w:tr w:rsidR="00B369BD" w:rsidRPr="000665B0" w14:paraId="7B289D7D"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46BBA4B" w14:textId="77777777" w:rsidR="00B369BD" w:rsidRPr="000665B0" w:rsidRDefault="00B369BD" w:rsidP="008C71CB">
            <w:pPr>
              <w:spacing w:before="60" w:after="60" w:line="240" w:lineRule="auto"/>
              <w:ind w:left="115"/>
              <w:rPr>
                <w:szCs w:val="24"/>
              </w:rPr>
            </w:pPr>
            <w:r w:rsidRPr="000665B0">
              <w:rPr>
                <w:szCs w:val="24"/>
              </w:rPr>
              <w:t>Roles</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3D6AABB" w14:textId="77777777" w:rsidR="00B369BD" w:rsidRPr="000665B0" w:rsidRDefault="00B369BD" w:rsidP="008C71CB">
            <w:pPr>
              <w:spacing w:before="60" w:after="60" w:line="240" w:lineRule="auto"/>
              <w:ind w:left="115"/>
              <w:rPr>
                <w:szCs w:val="24"/>
              </w:rPr>
            </w:pPr>
            <w:r w:rsidRPr="000665B0">
              <w:rPr>
                <w:szCs w:val="24"/>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D60BFD3" w14:textId="77777777" w:rsidR="00B369BD" w:rsidRPr="000665B0" w:rsidRDefault="00B369BD" w:rsidP="008C71CB">
            <w:pPr>
              <w:spacing w:before="60" w:after="60" w:line="240" w:lineRule="auto"/>
              <w:ind w:left="115"/>
              <w:rPr>
                <w:szCs w:val="24"/>
              </w:rPr>
            </w:pPr>
            <w:r w:rsidRPr="000665B0">
              <w:rPr>
                <w:b/>
                <w:szCs w:val="24"/>
              </w:rPr>
              <w:t>Definition:</w:t>
            </w:r>
            <w:r w:rsidRPr="000665B0">
              <w:rPr>
                <w:szCs w:val="24"/>
              </w:rPr>
              <w:t xml:space="preserve"> The role(s) assigned to a specific node within the option’s arsenal.</w:t>
            </w:r>
          </w:p>
          <w:p w14:paraId="53ABA6BE" w14:textId="77777777" w:rsidR="00B369BD" w:rsidRPr="000665B0" w:rsidRDefault="00B369BD" w:rsidP="008C71CB">
            <w:pPr>
              <w:spacing w:before="60" w:after="60" w:line="240" w:lineRule="auto"/>
              <w:ind w:left="115"/>
              <w:rPr>
                <w:b/>
                <w:szCs w:val="24"/>
              </w:rPr>
            </w:pPr>
            <w:r w:rsidRPr="000665B0">
              <w:rPr>
                <w:b/>
                <w:szCs w:val="24"/>
              </w:rPr>
              <w:t>Query:</w:t>
            </w:r>
            <w:r w:rsidRPr="000665B0">
              <w:rPr>
                <w:szCs w:val="24"/>
              </w:rPr>
              <w:t xml:space="preserve"> Searches for strike options that match the selected Role assignment(s), for nodes within the option’s arsenal.</w:t>
            </w:r>
          </w:p>
        </w:tc>
      </w:tr>
    </w:tbl>
    <w:p w14:paraId="602EB5C6" w14:textId="77777777" w:rsidR="00B369BD" w:rsidRPr="000665B0" w:rsidRDefault="00B369BD" w:rsidP="00B369BD">
      <w:pPr>
        <w:jc w:val="center"/>
      </w:pPr>
    </w:p>
    <w:p w14:paraId="0E51E6B9" w14:textId="68C21666" w:rsidR="00C710A1" w:rsidRPr="000665B0" w:rsidRDefault="00C710A1" w:rsidP="006D5A65">
      <w:pPr>
        <w:pStyle w:val="Heading3"/>
      </w:pPr>
      <w:bookmarkStart w:id="7408" w:name="_Toc214283688"/>
      <w:r w:rsidRPr="000665B0">
        <w:t>ACMS Q</w:t>
      </w:r>
      <w:r w:rsidR="005E043D">
        <w:t>uery</w:t>
      </w:r>
      <w:bookmarkEnd w:id="7408"/>
    </w:p>
    <w:p w14:paraId="770D09BE" w14:textId="77777777" w:rsidR="00C710A1" w:rsidRPr="000665B0" w:rsidRDefault="00C710A1" w:rsidP="006D5A65">
      <w:pPr>
        <w:pStyle w:val="Heading4"/>
      </w:pPr>
      <w:r w:rsidRPr="000665B0">
        <w:t>General Info Tab</w:t>
      </w:r>
    </w:p>
    <w:p w14:paraId="3F4EDC65" w14:textId="66F66C6F" w:rsidR="00C710A1" w:rsidRDefault="005D2A40" w:rsidP="008C07A5">
      <w:pPr>
        <w:spacing w:after="160"/>
        <w:jc w:val="center"/>
      </w:pPr>
      <w:r w:rsidRPr="000665B0">
        <w:rPr>
          <w:noProof/>
        </w:rPr>
        <w:drawing>
          <wp:inline distT="0" distB="0" distL="0" distR="0" wp14:anchorId="6A6F730E" wp14:editId="4AEBA5AF">
            <wp:extent cx="4572000" cy="3456432"/>
            <wp:effectExtent l="0" t="0" r="0" b="0"/>
            <wp:docPr id="2239" name="Picture 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572000" cy="3456432"/>
                    </a:xfrm>
                    <a:prstGeom prst="rect">
                      <a:avLst/>
                    </a:prstGeom>
                  </pic:spPr>
                </pic:pic>
              </a:graphicData>
            </a:graphic>
          </wp:inline>
        </w:drawing>
      </w:r>
    </w:p>
    <w:tbl>
      <w:tblPr>
        <w:tblW w:w="13068" w:type="dxa"/>
        <w:tblLayout w:type="fixed"/>
        <w:tblCellMar>
          <w:left w:w="0" w:type="dxa"/>
          <w:right w:w="0" w:type="dxa"/>
        </w:tblCellMar>
        <w:tblLook w:val="0000" w:firstRow="0" w:lastRow="0" w:firstColumn="0" w:lastColumn="0" w:noHBand="0" w:noVBand="0"/>
      </w:tblPr>
      <w:tblGrid>
        <w:gridCol w:w="1885"/>
        <w:gridCol w:w="1103"/>
        <w:gridCol w:w="10080"/>
      </w:tblGrid>
      <w:tr w:rsidR="00C710A1" w:rsidRPr="00C24B58" w14:paraId="4A072528" w14:textId="77777777" w:rsidTr="008C71CB">
        <w:trPr>
          <w:cantSplit/>
          <w:trHeight w:val="144"/>
          <w:tblHead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6CF2B75F" w14:textId="77777777" w:rsidR="00C710A1" w:rsidRPr="00A0163E" w:rsidRDefault="00C710A1" w:rsidP="008C71CB">
            <w:pPr>
              <w:spacing w:before="60" w:after="60" w:line="240" w:lineRule="auto"/>
              <w:ind w:left="115"/>
              <w:rPr>
                <w:b/>
                <w:sz w:val="20"/>
              </w:rPr>
            </w:pPr>
            <w:r w:rsidRPr="00A0163E">
              <w:rPr>
                <w:b/>
                <w:sz w:val="20"/>
              </w:rPr>
              <w:lastRenderedPageBreak/>
              <w:t>Query Button</w:t>
            </w:r>
          </w:p>
        </w:tc>
        <w:tc>
          <w:tcPr>
            <w:tcW w:w="1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3671B1A5" w14:textId="77777777" w:rsidR="00C710A1" w:rsidRPr="00A0163E" w:rsidRDefault="00C710A1" w:rsidP="008C71CB">
            <w:pPr>
              <w:spacing w:before="60" w:after="60" w:line="240" w:lineRule="auto"/>
              <w:ind w:left="115"/>
              <w:rPr>
                <w:b/>
                <w:sz w:val="20"/>
              </w:rPr>
            </w:pPr>
            <w:r w:rsidRPr="00A0163E">
              <w:rPr>
                <w:b/>
                <w:sz w:val="20"/>
              </w:rPr>
              <w:t>Variant</w:t>
            </w:r>
          </w:p>
        </w:tc>
        <w:tc>
          <w:tcPr>
            <w:tcW w:w="10080" w:type="dxa"/>
            <w:tcBorders>
              <w:top w:val="single" w:sz="4" w:space="0" w:color="auto"/>
              <w:left w:val="nil"/>
              <w:bottom w:val="single" w:sz="4" w:space="0" w:color="auto"/>
              <w:right w:val="single" w:sz="4" w:space="0" w:color="auto"/>
            </w:tcBorders>
            <w:shd w:val="clear" w:color="auto" w:fill="D9D9D9" w:themeFill="background1" w:themeFillShade="D9"/>
            <w:tcMar>
              <w:top w:w="18" w:type="dxa"/>
              <w:left w:w="18" w:type="dxa"/>
              <w:bottom w:w="0" w:type="dxa"/>
              <w:right w:w="18" w:type="dxa"/>
            </w:tcMar>
          </w:tcPr>
          <w:p w14:paraId="42B8E3C7" w14:textId="3CB17F49" w:rsidR="00C710A1" w:rsidRPr="00A0163E" w:rsidRDefault="00C710A1" w:rsidP="008C71CB">
            <w:pPr>
              <w:spacing w:before="60" w:after="60" w:line="240" w:lineRule="auto"/>
              <w:ind w:left="115"/>
              <w:rPr>
                <w:b/>
                <w:sz w:val="20"/>
              </w:rPr>
            </w:pPr>
            <w:r w:rsidRPr="00A0163E">
              <w:rPr>
                <w:b/>
                <w:sz w:val="20"/>
              </w:rPr>
              <w:t>Definition and Query Details</w:t>
            </w:r>
          </w:p>
        </w:tc>
      </w:tr>
      <w:tr w:rsidR="00C710A1" w:rsidRPr="00C24B58" w14:paraId="49A981F4"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F293D89" w14:textId="77777777" w:rsidR="00C710A1" w:rsidRPr="00A0163E" w:rsidRDefault="00C710A1" w:rsidP="008C71CB">
            <w:pPr>
              <w:spacing w:before="60" w:after="60" w:line="240" w:lineRule="auto"/>
              <w:ind w:left="115"/>
              <w:rPr>
                <w:b/>
                <w:sz w:val="20"/>
              </w:rPr>
            </w:pPr>
            <w:r w:rsidRPr="00A0163E">
              <w:rPr>
                <w:sz w:val="20"/>
              </w:rPr>
              <w:t xml:space="preserve">ACMS Description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C2A679E" w14:textId="77777777" w:rsidR="00C710A1" w:rsidRPr="00A0163E" w:rsidRDefault="00C710A1"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41D5F0BD" w14:textId="77777777" w:rsidR="00C710A1" w:rsidRPr="00A0163E" w:rsidRDefault="00C710A1" w:rsidP="008C71CB">
            <w:pPr>
              <w:spacing w:before="60" w:after="60" w:line="240" w:lineRule="auto"/>
              <w:ind w:left="115"/>
              <w:rPr>
                <w:sz w:val="20"/>
              </w:rPr>
            </w:pPr>
            <w:r w:rsidRPr="00A0163E">
              <w:rPr>
                <w:b/>
                <w:sz w:val="20"/>
              </w:rPr>
              <w:t>Definition:</w:t>
            </w:r>
            <w:r w:rsidRPr="00A0163E">
              <w:rPr>
                <w:sz w:val="20"/>
              </w:rPr>
              <w:t xml:space="preserve"> Text field containing a description of the ACMS that was entered when the ACMS was created.</w:t>
            </w:r>
          </w:p>
          <w:p w14:paraId="4781626B" w14:textId="006CE951" w:rsidR="00C710A1" w:rsidRPr="00A0163E" w:rsidRDefault="00C710A1" w:rsidP="008C71CB">
            <w:pPr>
              <w:spacing w:before="60" w:after="60" w:line="240" w:lineRule="auto"/>
              <w:ind w:left="115"/>
              <w:rPr>
                <w:sz w:val="20"/>
              </w:rPr>
            </w:pPr>
            <w:r w:rsidRPr="00A0163E">
              <w:rPr>
                <w:b/>
                <w:sz w:val="20"/>
              </w:rPr>
              <w:t>Query:</w:t>
            </w:r>
            <w:r w:rsidRPr="00A0163E">
              <w:rPr>
                <w:sz w:val="20"/>
              </w:rPr>
              <w:t xml:space="preserve"> Searches for ACMSs that match the specified ACMS Description (wildcard allowed).</w:t>
            </w:r>
          </w:p>
        </w:tc>
      </w:tr>
      <w:tr w:rsidR="00C710A1" w:rsidRPr="00C24B58" w14:paraId="4C845CF2"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6EB5ABD" w14:textId="77777777" w:rsidR="00C710A1" w:rsidRPr="00A0163E" w:rsidRDefault="00C710A1" w:rsidP="008C71CB">
            <w:pPr>
              <w:spacing w:before="60" w:after="60" w:line="240" w:lineRule="auto"/>
              <w:ind w:left="115"/>
              <w:rPr>
                <w:b/>
                <w:sz w:val="20"/>
              </w:rPr>
            </w:pPr>
            <w:r w:rsidRPr="00A0163E">
              <w:rPr>
                <w:sz w:val="20"/>
              </w:rPr>
              <w:t xml:space="preserve">ACMS Location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E04CA1F" w14:textId="77777777" w:rsidR="00C710A1" w:rsidRPr="00A0163E" w:rsidRDefault="00C710A1" w:rsidP="008C71CB">
            <w:pPr>
              <w:spacing w:before="60" w:after="60" w:line="240" w:lineRule="auto"/>
              <w:ind w:left="115"/>
              <w:rPr>
                <w:b/>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8CAC959" w14:textId="77777777" w:rsidR="00C710A1" w:rsidRPr="00A0163E" w:rsidRDefault="00C710A1" w:rsidP="008C71CB">
            <w:pPr>
              <w:spacing w:before="60" w:after="60" w:line="240" w:lineRule="auto"/>
              <w:ind w:left="115"/>
              <w:rPr>
                <w:sz w:val="20"/>
              </w:rPr>
            </w:pPr>
            <w:r w:rsidRPr="00A0163E">
              <w:rPr>
                <w:b/>
                <w:sz w:val="20"/>
              </w:rPr>
              <w:t>Definition:</w:t>
            </w:r>
            <w:r w:rsidRPr="00A0163E">
              <w:rPr>
                <w:sz w:val="20"/>
              </w:rPr>
              <w:t xml:space="preserve"> Geographic area that an ACMS is contained in.</w:t>
            </w:r>
          </w:p>
          <w:p w14:paraId="469B3D1D" w14:textId="621238D6" w:rsidR="00C710A1" w:rsidRPr="00A0163E" w:rsidRDefault="00C710A1" w:rsidP="008C71CB">
            <w:pPr>
              <w:spacing w:before="60" w:after="60" w:line="240" w:lineRule="auto"/>
              <w:ind w:left="115"/>
              <w:rPr>
                <w:sz w:val="20"/>
              </w:rPr>
            </w:pPr>
            <w:r w:rsidRPr="00A0163E">
              <w:rPr>
                <w:b/>
                <w:sz w:val="20"/>
              </w:rPr>
              <w:t>Query:</w:t>
            </w:r>
            <w:r w:rsidRPr="00A0163E">
              <w:rPr>
                <w:sz w:val="20"/>
              </w:rPr>
              <w:t xml:space="preserve"> Searches for ACMSs that are partially or fully located inside the latitude/longitude values entered (or selected from the map). When used with the negative operators (</w:t>
            </w:r>
            <w:r w:rsidRPr="00A0163E">
              <w:rPr>
                <w:b/>
                <w:sz w:val="20"/>
              </w:rPr>
              <w:t>Not</w:t>
            </w:r>
            <w:r w:rsidRPr="00A0163E">
              <w:rPr>
                <w:sz w:val="20"/>
              </w:rPr>
              <w:t xml:space="preserve">, </w:t>
            </w:r>
            <w:r w:rsidRPr="00A0163E">
              <w:rPr>
                <w:b/>
                <w:sz w:val="20"/>
              </w:rPr>
              <w:t>And Not</w:t>
            </w:r>
            <w:r w:rsidRPr="00A0163E">
              <w:rPr>
                <w:sz w:val="20"/>
              </w:rPr>
              <w:t xml:space="preserve">, </w:t>
            </w:r>
            <w:r w:rsidRPr="00A0163E">
              <w:rPr>
                <w:b/>
                <w:sz w:val="20"/>
              </w:rPr>
              <w:t>Or Not</w:t>
            </w:r>
            <w:r w:rsidRPr="00A0163E">
              <w:rPr>
                <w:sz w:val="20"/>
              </w:rPr>
              <w:t>), this searches for ACMSs that are partially or fully located outside the latitude/longitude values entered (or selected from the map). Affected by the floating-point number query limitation (see Note at the beginning of this Appendix).</w:t>
            </w:r>
          </w:p>
        </w:tc>
      </w:tr>
      <w:tr w:rsidR="00C710A1" w:rsidRPr="00C24B58" w14:paraId="52A289EA"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CEEA0D6" w14:textId="77777777" w:rsidR="00C710A1" w:rsidRPr="00A0163E" w:rsidRDefault="00C710A1" w:rsidP="008C71CB">
            <w:pPr>
              <w:spacing w:before="60" w:after="60" w:line="240" w:lineRule="auto"/>
              <w:ind w:left="115"/>
              <w:rPr>
                <w:b/>
                <w:sz w:val="20"/>
              </w:rPr>
            </w:pPr>
            <w:r w:rsidRPr="00A0163E">
              <w:rPr>
                <w:sz w:val="20"/>
              </w:rPr>
              <w:t xml:space="preserve">ACMS Name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99CDAF4" w14:textId="77777777" w:rsidR="00C710A1" w:rsidRPr="00A0163E" w:rsidRDefault="00C710A1" w:rsidP="008C71CB">
            <w:pPr>
              <w:spacing w:before="60" w:after="60" w:line="240" w:lineRule="auto"/>
              <w:ind w:left="115"/>
              <w:rPr>
                <w:b/>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518898BC" w14:textId="77777777" w:rsidR="00C710A1" w:rsidRPr="00A0163E" w:rsidRDefault="00C710A1" w:rsidP="008C71CB">
            <w:pPr>
              <w:spacing w:before="60" w:after="60" w:line="240" w:lineRule="auto"/>
              <w:ind w:left="115"/>
              <w:rPr>
                <w:sz w:val="20"/>
              </w:rPr>
            </w:pPr>
            <w:r w:rsidRPr="00A0163E">
              <w:rPr>
                <w:b/>
                <w:sz w:val="20"/>
              </w:rPr>
              <w:t>Definition:</w:t>
            </w:r>
            <w:r w:rsidRPr="00A0163E">
              <w:rPr>
                <w:sz w:val="20"/>
              </w:rPr>
              <w:t xml:space="preserve"> Text field containing the name of the ACMS that was entered when the ACMS was created.</w:t>
            </w:r>
          </w:p>
          <w:p w14:paraId="005832D3" w14:textId="701B4347" w:rsidR="00C710A1" w:rsidRPr="00A0163E" w:rsidRDefault="00C710A1" w:rsidP="008C71CB">
            <w:pPr>
              <w:spacing w:before="60" w:after="60" w:line="240" w:lineRule="auto"/>
              <w:ind w:left="115"/>
              <w:rPr>
                <w:sz w:val="20"/>
              </w:rPr>
            </w:pPr>
            <w:r w:rsidRPr="00A0163E">
              <w:rPr>
                <w:b/>
                <w:sz w:val="20"/>
              </w:rPr>
              <w:t>Query:</w:t>
            </w:r>
            <w:r w:rsidRPr="00A0163E">
              <w:rPr>
                <w:sz w:val="20"/>
              </w:rPr>
              <w:t xml:space="preserve"> Searches for ACMSs that match the specified ACMS Name (wildcard allowed).</w:t>
            </w:r>
          </w:p>
        </w:tc>
      </w:tr>
      <w:tr w:rsidR="00C710A1" w:rsidRPr="00C24B58" w14:paraId="731B5945"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091B7DE" w14:textId="77777777" w:rsidR="00C710A1" w:rsidRPr="00A0163E" w:rsidRDefault="00C710A1" w:rsidP="008C71CB">
            <w:pPr>
              <w:spacing w:before="60" w:after="60" w:line="240" w:lineRule="auto"/>
              <w:ind w:left="115"/>
              <w:rPr>
                <w:b/>
                <w:sz w:val="20"/>
              </w:rPr>
            </w:pPr>
            <w:r w:rsidRPr="00A0163E">
              <w:rPr>
                <w:sz w:val="20"/>
              </w:rPr>
              <w:t xml:space="preserve">ACMS Type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1478A0E" w14:textId="77777777" w:rsidR="00C710A1" w:rsidRPr="00A0163E" w:rsidRDefault="00C710A1" w:rsidP="008C71CB">
            <w:pPr>
              <w:spacing w:before="60" w:after="60" w:line="240" w:lineRule="auto"/>
              <w:ind w:left="115"/>
              <w:rPr>
                <w:b/>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2087FCBA" w14:textId="146BAF8F" w:rsidR="00C710A1" w:rsidRPr="00A0163E" w:rsidRDefault="00C710A1" w:rsidP="008C71CB">
            <w:pPr>
              <w:spacing w:before="60" w:after="60" w:line="240" w:lineRule="auto"/>
              <w:ind w:left="115"/>
              <w:rPr>
                <w:sz w:val="20"/>
              </w:rPr>
            </w:pPr>
            <w:r w:rsidRPr="00A0163E">
              <w:rPr>
                <w:b/>
                <w:sz w:val="20"/>
              </w:rPr>
              <w:t>Definition:</w:t>
            </w:r>
            <w:r w:rsidRPr="00A0163E">
              <w:rPr>
                <w:sz w:val="20"/>
              </w:rPr>
              <w:t xml:space="preserve"> Indicates what type a given ACMS is. Valid values are </w:t>
            </w:r>
            <w:r w:rsidR="00AB5E8C" w:rsidRPr="00A0163E">
              <w:rPr>
                <w:b/>
                <w:sz w:val="20"/>
              </w:rPr>
              <w:t>Avoidance Area</w:t>
            </w:r>
            <w:r w:rsidR="00AB5E8C" w:rsidRPr="00A0163E">
              <w:rPr>
                <w:sz w:val="20"/>
              </w:rPr>
              <w:t xml:space="preserve"> (default), </w:t>
            </w:r>
            <w:r w:rsidRPr="00A0163E">
              <w:rPr>
                <w:b/>
                <w:sz w:val="20"/>
              </w:rPr>
              <w:t>Prohibited Area</w:t>
            </w:r>
            <w:r w:rsidRPr="00A0163E">
              <w:rPr>
                <w:sz w:val="20"/>
              </w:rPr>
              <w:t xml:space="preserve">, </w:t>
            </w:r>
            <w:r w:rsidRPr="00A0163E">
              <w:rPr>
                <w:b/>
                <w:sz w:val="20"/>
              </w:rPr>
              <w:t>Operational Area</w:t>
            </w:r>
            <w:r w:rsidRPr="00A0163E">
              <w:rPr>
                <w:sz w:val="20"/>
              </w:rPr>
              <w:t xml:space="preserve">, </w:t>
            </w:r>
            <w:r w:rsidRPr="00A0163E">
              <w:rPr>
                <w:b/>
                <w:sz w:val="20"/>
              </w:rPr>
              <w:t>Loiter Area</w:t>
            </w:r>
            <w:r w:rsidRPr="00A0163E">
              <w:rPr>
                <w:sz w:val="20"/>
              </w:rPr>
              <w:t xml:space="preserve">, </w:t>
            </w:r>
            <w:r w:rsidRPr="00A0163E">
              <w:rPr>
                <w:b/>
                <w:sz w:val="20"/>
              </w:rPr>
              <w:t>Flight Corridor</w:t>
            </w:r>
            <w:r w:rsidRPr="00A0163E">
              <w:rPr>
                <w:sz w:val="20"/>
              </w:rPr>
              <w:t xml:space="preserve">, </w:t>
            </w:r>
            <w:r w:rsidRPr="00A0163E">
              <w:rPr>
                <w:b/>
                <w:sz w:val="20"/>
              </w:rPr>
              <w:t>Launch Area</w:t>
            </w:r>
            <w:r w:rsidRPr="00A0163E">
              <w:rPr>
                <w:sz w:val="20"/>
              </w:rPr>
              <w:t xml:space="preserve">, </w:t>
            </w:r>
            <w:r w:rsidRPr="00A0163E">
              <w:rPr>
                <w:b/>
                <w:sz w:val="20"/>
              </w:rPr>
              <w:t>FPPWP</w:t>
            </w:r>
            <w:r w:rsidRPr="00A0163E">
              <w:rPr>
                <w:sz w:val="20"/>
              </w:rPr>
              <w:t xml:space="preserve">, </w:t>
            </w:r>
            <w:r w:rsidRPr="00A0163E">
              <w:rPr>
                <w:b/>
                <w:sz w:val="20"/>
              </w:rPr>
              <w:t>Target Area</w:t>
            </w:r>
            <w:r w:rsidRPr="00A0163E">
              <w:rPr>
                <w:sz w:val="20"/>
              </w:rPr>
              <w:t xml:space="preserve">, </w:t>
            </w:r>
            <w:r w:rsidRPr="00A0163E">
              <w:rPr>
                <w:b/>
                <w:sz w:val="20"/>
              </w:rPr>
              <w:t>PLP</w:t>
            </w:r>
            <w:r w:rsidRPr="00A0163E">
              <w:rPr>
                <w:sz w:val="20"/>
              </w:rPr>
              <w:t xml:space="preserve">, or </w:t>
            </w:r>
            <w:r w:rsidRPr="00A0163E">
              <w:rPr>
                <w:b/>
                <w:sz w:val="20"/>
              </w:rPr>
              <w:t>Planned Outcomes Boundary</w:t>
            </w:r>
            <w:r w:rsidRPr="00A0163E">
              <w:rPr>
                <w:sz w:val="20"/>
              </w:rPr>
              <w:t>.</w:t>
            </w:r>
          </w:p>
          <w:p w14:paraId="1BF7238B" w14:textId="77777777" w:rsidR="00C710A1" w:rsidRPr="00A0163E" w:rsidRDefault="00C710A1" w:rsidP="008C71CB">
            <w:pPr>
              <w:spacing w:before="60" w:after="60" w:line="240" w:lineRule="auto"/>
              <w:ind w:left="115"/>
              <w:rPr>
                <w:sz w:val="20"/>
              </w:rPr>
            </w:pPr>
            <w:r w:rsidRPr="00A0163E">
              <w:rPr>
                <w:b/>
                <w:sz w:val="20"/>
              </w:rPr>
              <w:t>Query:</w:t>
            </w:r>
            <w:r w:rsidRPr="00A0163E">
              <w:rPr>
                <w:sz w:val="20"/>
              </w:rPr>
              <w:t xml:space="preserve"> Searches for ACMSs that match the selected ACMS Type. </w:t>
            </w:r>
          </w:p>
        </w:tc>
      </w:tr>
      <w:tr w:rsidR="00C710A1" w:rsidRPr="00C24B58" w14:paraId="2BDA93C8"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B3C9ABB" w14:textId="77777777" w:rsidR="00C710A1" w:rsidRPr="00A0163E" w:rsidRDefault="00C710A1" w:rsidP="008C71CB">
            <w:pPr>
              <w:spacing w:before="60" w:after="60" w:line="240" w:lineRule="auto"/>
              <w:ind w:left="115"/>
              <w:rPr>
                <w:b/>
                <w:sz w:val="20"/>
              </w:rPr>
            </w:pPr>
            <w:r w:rsidRPr="00A0163E">
              <w:rPr>
                <w:sz w:val="20"/>
              </w:rPr>
              <w:t xml:space="preserve">Area Of Validity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F090313" w14:textId="77777777" w:rsidR="00C710A1" w:rsidRPr="00A0163E" w:rsidRDefault="00C710A1" w:rsidP="008C71CB">
            <w:pPr>
              <w:spacing w:before="60" w:after="60" w:line="240" w:lineRule="auto"/>
              <w:ind w:left="115"/>
              <w:rPr>
                <w:b/>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77C7D594" w14:textId="77777777" w:rsidR="00C710A1" w:rsidRPr="00A0163E" w:rsidRDefault="00C710A1" w:rsidP="008C71CB">
            <w:pPr>
              <w:spacing w:before="60" w:after="60" w:line="240" w:lineRule="auto"/>
              <w:ind w:left="115"/>
              <w:rPr>
                <w:sz w:val="20"/>
              </w:rPr>
            </w:pPr>
            <w:r w:rsidRPr="00A0163E">
              <w:rPr>
                <w:b/>
                <w:sz w:val="20"/>
              </w:rPr>
              <w:t>Definition:</w:t>
            </w:r>
            <w:r w:rsidRPr="00A0163E">
              <w:rPr>
                <w:sz w:val="20"/>
              </w:rPr>
              <w:t xml:space="preserve"> Text field describing the Area of Validity of the ACMS that was entered when the ACMS was created.</w:t>
            </w:r>
          </w:p>
          <w:p w14:paraId="48597B43" w14:textId="77777777" w:rsidR="00C710A1" w:rsidRPr="00A0163E" w:rsidRDefault="00C710A1" w:rsidP="008C71CB">
            <w:pPr>
              <w:spacing w:before="60" w:after="60" w:line="240" w:lineRule="auto"/>
              <w:ind w:left="115"/>
              <w:rPr>
                <w:sz w:val="20"/>
              </w:rPr>
            </w:pPr>
            <w:r w:rsidRPr="00A0163E">
              <w:rPr>
                <w:b/>
                <w:sz w:val="20"/>
              </w:rPr>
              <w:t>Query:</w:t>
            </w:r>
            <w:r w:rsidRPr="00A0163E">
              <w:rPr>
                <w:sz w:val="20"/>
              </w:rPr>
              <w:t xml:space="preserve"> Searches for ACMSs that match the specified ACMS Area of Validity (wildcard allowed).</w:t>
            </w:r>
          </w:p>
        </w:tc>
      </w:tr>
      <w:tr w:rsidR="00C710A1" w:rsidRPr="00C24B58" w14:paraId="63887FBB"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B641C58" w14:textId="77777777" w:rsidR="00C710A1" w:rsidRPr="00A0163E" w:rsidRDefault="00C710A1" w:rsidP="008C71CB">
            <w:pPr>
              <w:spacing w:before="60" w:after="60" w:line="240" w:lineRule="auto"/>
              <w:ind w:left="115"/>
              <w:rPr>
                <w:b/>
                <w:sz w:val="20"/>
              </w:rPr>
            </w:pPr>
            <w:r w:rsidRPr="00A0163E">
              <w:rPr>
                <w:sz w:val="20"/>
              </w:rPr>
              <w:t xml:space="preserve">Country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4AA0611E" w14:textId="77777777" w:rsidR="00C710A1" w:rsidRPr="00A0163E" w:rsidRDefault="00C710A1" w:rsidP="008C71CB">
            <w:pPr>
              <w:spacing w:before="60" w:after="60" w:line="240" w:lineRule="auto"/>
              <w:ind w:left="115"/>
              <w:rPr>
                <w:b/>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5BA8D33" w14:textId="60CC4DD8" w:rsidR="00C710A1" w:rsidRPr="00A0163E" w:rsidRDefault="00C710A1" w:rsidP="008C71CB">
            <w:pPr>
              <w:spacing w:before="60" w:after="60" w:line="240" w:lineRule="auto"/>
              <w:ind w:left="115"/>
              <w:rPr>
                <w:sz w:val="20"/>
              </w:rPr>
            </w:pPr>
            <w:r w:rsidRPr="00A0163E">
              <w:rPr>
                <w:b/>
                <w:sz w:val="20"/>
              </w:rPr>
              <w:t>Definition:</w:t>
            </w:r>
            <w:r w:rsidRPr="00A0163E">
              <w:rPr>
                <w:sz w:val="20"/>
              </w:rPr>
              <w:t xml:space="preserve"> The standard Country Code and country name (select from a </w:t>
            </w:r>
            <w:r w:rsidR="00B705A7" w:rsidRPr="00A0163E">
              <w:rPr>
                <w:sz w:val="20"/>
              </w:rPr>
              <w:t>pull-down</w:t>
            </w:r>
            <w:r w:rsidRPr="00A0163E">
              <w:rPr>
                <w:sz w:val="20"/>
              </w:rPr>
              <w:t xml:space="preserve"> list of valid countries) from the CountryDB that identifies the country assigned to the ACMS. For information about the selection and display of Country Codes and country names during system operation, see </w:t>
            </w:r>
            <w:hyperlink w:anchor="_Appendix_C__Country_Codes__(SORTED__1" w:history="1">
              <w:r w:rsidRPr="00A0163E">
                <w:rPr>
                  <w:rStyle w:val="Hyperlink"/>
                  <w:sz w:val="20"/>
                </w:rPr>
                <w:t>Appendix C</w:t>
              </w:r>
            </w:hyperlink>
            <w:r w:rsidRPr="00A0163E">
              <w:rPr>
                <w:sz w:val="20"/>
              </w:rPr>
              <w:t>.</w:t>
            </w:r>
          </w:p>
          <w:p w14:paraId="60C79413" w14:textId="60F0FD51" w:rsidR="00C710A1" w:rsidRPr="00A0163E" w:rsidRDefault="00C710A1" w:rsidP="008C71CB">
            <w:pPr>
              <w:spacing w:before="60" w:after="60" w:line="240" w:lineRule="auto"/>
              <w:ind w:left="115"/>
              <w:rPr>
                <w:sz w:val="20"/>
              </w:rPr>
            </w:pPr>
            <w:r w:rsidRPr="00A0163E">
              <w:rPr>
                <w:b/>
                <w:sz w:val="20"/>
              </w:rPr>
              <w:t>Query:</w:t>
            </w:r>
            <w:r w:rsidRPr="00A0163E">
              <w:rPr>
                <w:sz w:val="20"/>
              </w:rPr>
              <w:t xml:space="preserve"> Searches for ACMSs that contain the specified Country. </w:t>
            </w:r>
          </w:p>
        </w:tc>
      </w:tr>
      <w:tr w:rsidR="00C710A1" w:rsidRPr="00C24B58" w14:paraId="1CF8C7AE"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699192E" w14:textId="77777777" w:rsidR="00C710A1" w:rsidRPr="00A0163E" w:rsidRDefault="00C710A1" w:rsidP="008C71CB">
            <w:pPr>
              <w:spacing w:before="60" w:after="60" w:line="240" w:lineRule="auto"/>
              <w:ind w:left="115"/>
              <w:rPr>
                <w:b/>
                <w:sz w:val="20"/>
              </w:rPr>
            </w:pPr>
            <w:r w:rsidRPr="00A0163E">
              <w:rPr>
                <w:sz w:val="20"/>
              </w:rPr>
              <w:t xml:space="preserve">Creation DTG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A67B0EF" w14:textId="77777777" w:rsidR="00C710A1" w:rsidRPr="00A0163E" w:rsidRDefault="00C710A1" w:rsidP="008C71CB">
            <w:pPr>
              <w:spacing w:before="60" w:after="60" w:line="240" w:lineRule="auto"/>
              <w:ind w:left="115"/>
              <w:rPr>
                <w:b/>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6FB95A5" w14:textId="77777777" w:rsidR="00C710A1" w:rsidRPr="00A0163E" w:rsidRDefault="00C710A1" w:rsidP="008C71CB">
            <w:pPr>
              <w:spacing w:before="60" w:after="60" w:line="240" w:lineRule="auto"/>
              <w:ind w:left="115"/>
              <w:rPr>
                <w:sz w:val="20"/>
              </w:rPr>
            </w:pPr>
            <w:r w:rsidRPr="00A0163E">
              <w:rPr>
                <w:b/>
                <w:sz w:val="20"/>
              </w:rPr>
              <w:t>Definition:</w:t>
            </w:r>
            <w:r w:rsidRPr="00A0163E">
              <w:rPr>
                <w:sz w:val="20"/>
              </w:rPr>
              <w:t xml:space="preserve"> The date the ACMS was created.</w:t>
            </w:r>
          </w:p>
          <w:p w14:paraId="6CA8A618" w14:textId="77777777" w:rsidR="00C710A1" w:rsidRPr="00A0163E" w:rsidRDefault="00C710A1" w:rsidP="008C71CB">
            <w:pPr>
              <w:spacing w:before="60" w:after="60" w:line="240" w:lineRule="auto"/>
              <w:ind w:left="115"/>
              <w:rPr>
                <w:sz w:val="20"/>
              </w:rPr>
            </w:pPr>
            <w:r w:rsidRPr="00A0163E">
              <w:rPr>
                <w:b/>
                <w:sz w:val="20"/>
              </w:rPr>
              <w:t>Query:</w:t>
            </w:r>
            <w:r w:rsidRPr="00A0163E">
              <w:rPr>
                <w:sz w:val="20"/>
              </w:rPr>
              <w:t xml:space="preserve"> Searches for ACMSs in which the Creation DTG falls within the low value and high value entered. If only a high or low value is entered, the query searches only for that specific value (vs. for a range).</w:t>
            </w:r>
          </w:p>
        </w:tc>
      </w:tr>
      <w:tr w:rsidR="00C710A1" w:rsidRPr="00C24B58" w14:paraId="7875C03D"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F11137D" w14:textId="77777777" w:rsidR="00C710A1" w:rsidRPr="00A0163E" w:rsidRDefault="00C710A1" w:rsidP="008C71CB">
            <w:pPr>
              <w:spacing w:before="60" w:after="60" w:line="240" w:lineRule="auto"/>
              <w:ind w:left="115"/>
              <w:rPr>
                <w:b/>
                <w:sz w:val="20"/>
              </w:rPr>
            </w:pPr>
            <w:r w:rsidRPr="00A0163E">
              <w:rPr>
                <w:sz w:val="20"/>
              </w:rPr>
              <w:t xml:space="preserve">Date Range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1D255B82" w14:textId="77777777" w:rsidR="00C710A1" w:rsidRPr="00A0163E" w:rsidRDefault="00C710A1" w:rsidP="008C71CB">
            <w:pPr>
              <w:spacing w:before="60" w:after="60" w:line="240" w:lineRule="auto"/>
              <w:ind w:left="115"/>
              <w:rPr>
                <w:b/>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3D344D70" w14:textId="77777777" w:rsidR="00C710A1" w:rsidRPr="00A0163E" w:rsidRDefault="00C710A1" w:rsidP="008C71CB">
            <w:pPr>
              <w:spacing w:before="60" w:after="60" w:line="240" w:lineRule="auto"/>
              <w:ind w:left="115"/>
              <w:rPr>
                <w:sz w:val="20"/>
              </w:rPr>
            </w:pPr>
            <w:r w:rsidRPr="00A0163E">
              <w:rPr>
                <w:b/>
                <w:sz w:val="20"/>
              </w:rPr>
              <w:t>Definition:</w:t>
            </w:r>
            <w:r w:rsidRPr="00A0163E">
              <w:rPr>
                <w:sz w:val="20"/>
              </w:rPr>
              <w:t xml:space="preserve"> Date range that an ACMS is “In Effect.”</w:t>
            </w:r>
          </w:p>
          <w:p w14:paraId="1A8B98E8" w14:textId="77777777" w:rsidR="00C710A1" w:rsidRPr="00A0163E" w:rsidRDefault="00C710A1" w:rsidP="008C71CB">
            <w:pPr>
              <w:spacing w:before="60" w:after="60" w:line="240" w:lineRule="auto"/>
              <w:ind w:left="115"/>
              <w:rPr>
                <w:sz w:val="20"/>
              </w:rPr>
            </w:pPr>
            <w:r w:rsidRPr="00A0163E">
              <w:rPr>
                <w:b/>
                <w:sz w:val="20"/>
              </w:rPr>
              <w:t>Query:</w:t>
            </w:r>
            <w:r w:rsidRPr="00A0163E">
              <w:rPr>
                <w:sz w:val="20"/>
              </w:rPr>
              <w:t xml:space="preserve"> Searches for ACMSs in which at least part of the “In Effect” Date Range falls within the low value and high value entered. Both a low and high value must be entered.</w:t>
            </w:r>
          </w:p>
        </w:tc>
      </w:tr>
      <w:tr w:rsidR="00C710A1" w:rsidRPr="00C24B58" w14:paraId="45BE033F"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585CDAB2" w14:textId="77777777" w:rsidR="00C710A1" w:rsidRPr="00A0163E" w:rsidRDefault="00C710A1" w:rsidP="008C71CB">
            <w:pPr>
              <w:spacing w:before="60" w:after="60" w:line="240" w:lineRule="auto"/>
              <w:ind w:left="115"/>
              <w:rPr>
                <w:b/>
                <w:sz w:val="20"/>
              </w:rPr>
            </w:pPr>
            <w:r w:rsidRPr="00A0163E">
              <w:rPr>
                <w:sz w:val="20"/>
              </w:rPr>
              <w:t>Elevation</w:t>
            </w:r>
            <w:r w:rsidRPr="00A0163E">
              <w:rPr>
                <w:sz w:val="20"/>
              </w:rPr>
              <w:br/>
              <w:t xml:space="preserve">(Ft AGL)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D3EC649" w14:textId="77777777" w:rsidR="00C710A1" w:rsidRPr="00A0163E" w:rsidRDefault="00C710A1" w:rsidP="008C71CB">
            <w:pPr>
              <w:spacing w:before="60" w:after="60" w:line="240" w:lineRule="auto"/>
              <w:ind w:left="115"/>
              <w:rPr>
                <w:b/>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6C49E6BD" w14:textId="77777777" w:rsidR="00C710A1" w:rsidRPr="00A0163E" w:rsidRDefault="00C710A1" w:rsidP="008C71CB">
            <w:pPr>
              <w:spacing w:before="60" w:after="60" w:line="240" w:lineRule="auto"/>
              <w:ind w:left="115"/>
              <w:rPr>
                <w:sz w:val="20"/>
              </w:rPr>
            </w:pPr>
            <w:r w:rsidRPr="00A0163E">
              <w:rPr>
                <w:b/>
                <w:sz w:val="20"/>
              </w:rPr>
              <w:t>Definition:</w:t>
            </w:r>
            <w:r w:rsidRPr="00A0163E">
              <w:rPr>
                <w:sz w:val="20"/>
              </w:rPr>
              <w:t xml:space="preserve"> The elevation range (in feet AGL) of the ACMS.</w:t>
            </w:r>
          </w:p>
          <w:p w14:paraId="6A25C330" w14:textId="77777777" w:rsidR="00C710A1" w:rsidRPr="00A0163E" w:rsidRDefault="00C710A1" w:rsidP="008C71CB">
            <w:pPr>
              <w:spacing w:before="60" w:after="60" w:line="240" w:lineRule="auto"/>
              <w:ind w:left="115"/>
              <w:rPr>
                <w:sz w:val="20"/>
              </w:rPr>
            </w:pPr>
            <w:r w:rsidRPr="00A0163E">
              <w:rPr>
                <w:b/>
                <w:sz w:val="20"/>
              </w:rPr>
              <w:t>Query:</w:t>
            </w:r>
            <w:r w:rsidRPr="00A0163E">
              <w:rPr>
                <w:sz w:val="20"/>
              </w:rPr>
              <w:t xml:space="preserve"> Searches for ACMSs in which the AGL Elevation (floor and ceiling range) falls within the low value and high value entered. Any ACMSs with a range that overlaps the query range are also returned in the query.</w:t>
            </w:r>
          </w:p>
        </w:tc>
      </w:tr>
      <w:tr w:rsidR="00C710A1" w:rsidRPr="00C24B58" w14:paraId="23579392"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258F5690" w14:textId="77777777" w:rsidR="00C710A1" w:rsidRPr="00A0163E" w:rsidRDefault="00C710A1" w:rsidP="008C71CB">
            <w:pPr>
              <w:spacing w:before="60" w:after="60" w:line="240" w:lineRule="auto"/>
              <w:ind w:left="115"/>
              <w:rPr>
                <w:b/>
                <w:sz w:val="20"/>
              </w:rPr>
            </w:pPr>
            <w:r w:rsidRPr="00A0163E">
              <w:rPr>
                <w:sz w:val="20"/>
              </w:rPr>
              <w:t>Elevation</w:t>
            </w:r>
            <w:r w:rsidRPr="00A0163E">
              <w:rPr>
                <w:sz w:val="20"/>
              </w:rPr>
              <w:br/>
              <w:t xml:space="preserve">(Ft MSL) </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06F8A184" w14:textId="77777777" w:rsidR="00C710A1" w:rsidRPr="00A0163E" w:rsidRDefault="00C710A1" w:rsidP="008C71CB">
            <w:pPr>
              <w:spacing w:before="60" w:after="60" w:line="240" w:lineRule="auto"/>
              <w:ind w:left="115"/>
              <w:rPr>
                <w:b/>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B58F835" w14:textId="77777777" w:rsidR="00C710A1" w:rsidRPr="00A0163E" w:rsidRDefault="00C710A1" w:rsidP="008C71CB">
            <w:pPr>
              <w:spacing w:before="60" w:after="60" w:line="240" w:lineRule="auto"/>
              <w:ind w:left="115"/>
              <w:rPr>
                <w:sz w:val="20"/>
              </w:rPr>
            </w:pPr>
            <w:r w:rsidRPr="00A0163E">
              <w:rPr>
                <w:b/>
                <w:sz w:val="20"/>
              </w:rPr>
              <w:t>Definition:</w:t>
            </w:r>
            <w:r w:rsidRPr="00A0163E">
              <w:rPr>
                <w:sz w:val="20"/>
              </w:rPr>
              <w:t xml:space="preserve"> The elevation range (in feet MSL) of the ACMS.</w:t>
            </w:r>
          </w:p>
          <w:p w14:paraId="6F36C605" w14:textId="77777777" w:rsidR="00C710A1" w:rsidRPr="00A0163E" w:rsidRDefault="00C710A1" w:rsidP="008C71CB">
            <w:pPr>
              <w:spacing w:before="60" w:after="60" w:line="240" w:lineRule="auto"/>
              <w:ind w:left="115"/>
              <w:rPr>
                <w:sz w:val="20"/>
              </w:rPr>
            </w:pPr>
            <w:r w:rsidRPr="00A0163E">
              <w:rPr>
                <w:b/>
                <w:sz w:val="20"/>
              </w:rPr>
              <w:t>Query:</w:t>
            </w:r>
            <w:r w:rsidRPr="00A0163E">
              <w:rPr>
                <w:sz w:val="20"/>
              </w:rPr>
              <w:t xml:space="preserve"> Searches for ACMSs in which the MSL Elevation (floor and ceiling range) falls within the low value and high value entered. Any ACMSs with a range that overlaps the query range are also returned in the query.</w:t>
            </w:r>
          </w:p>
        </w:tc>
      </w:tr>
      <w:tr w:rsidR="00C710A1" w:rsidRPr="00C24B58" w14:paraId="1A85FC2F" w14:textId="77777777" w:rsidTr="008C71CB">
        <w:trPr>
          <w:cantSplit/>
          <w:trHeight w:val="144"/>
        </w:trPr>
        <w:tc>
          <w:tcPr>
            <w:tcW w:w="1885"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71C5154A" w14:textId="77777777" w:rsidR="00C710A1" w:rsidRPr="00A0163E" w:rsidRDefault="00C710A1" w:rsidP="008C71CB">
            <w:pPr>
              <w:spacing w:before="60" w:after="60" w:line="240" w:lineRule="auto"/>
              <w:ind w:left="115"/>
              <w:rPr>
                <w:sz w:val="20"/>
              </w:rPr>
            </w:pPr>
            <w:r w:rsidRPr="00A0163E">
              <w:rPr>
                <w:sz w:val="20"/>
              </w:rPr>
              <w:t>Last Modified DTG</w:t>
            </w:r>
          </w:p>
        </w:tc>
        <w:tc>
          <w:tcPr>
            <w:tcW w:w="1103" w:type="dxa"/>
            <w:tcBorders>
              <w:top w:val="single" w:sz="4" w:space="0" w:color="auto"/>
              <w:left w:val="single" w:sz="4" w:space="0" w:color="auto"/>
              <w:bottom w:val="single" w:sz="4" w:space="0" w:color="auto"/>
              <w:right w:val="single" w:sz="4" w:space="0" w:color="auto"/>
            </w:tcBorders>
            <w:tcMar>
              <w:top w:w="18" w:type="dxa"/>
              <w:left w:w="18" w:type="dxa"/>
              <w:bottom w:w="0" w:type="dxa"/>
              <w:right w:w="18" w:type="dxa"/>
            </w:tcMar>
          </w:tcPr>
          <w:p w14:paraId="30CE9C23" w14:textId="77777777" w:rsidR="00C710A1" w:rsidRPr="00A0163E" w:rsidRDefault="00C710A1" w:rsidP="008C71CB">
            <w:pPr>
              <w:spacing w:before="60" w:after="60" w:line="240" w:lineRule="auto"/>
              <w:ind w:left="115"/>
              <w:rPr>
                <w:sz w:val="20"/>
              </w:rPr>
            </w:pPr>
            <w:r w:rsidRPr="00A0163E">
              <w:rPr>
                <w:sz w:val="20"/>
              </w:rPr>
              <w:t>N/A</w:t>
            </w:r>
          </w:p>
        </w:tc>
        <w:tc>
          <w:tcPr>
            <w:tcW w:w="10080" w:type="dxa"/>
            <w:tcBorders>
              <w:top w:val="single" w:sz="4" w:space="0" w:color="auto"/>
              <w:left w:val="nil"/>
              <w:bottom w:val="single" w:sz="4" w:space="0" w:color="auto"/>
              <w:right w:val="single" w:sz="4" w:space="0" w:color="auto"/>
            </w:tcBorders>
            <w:tcMar>
              <w:top w:w="18" w:type="dxa"/>
              <w:left w:w="18" w:type="dxa"/>
              <w:bottom w:w="0" w:type="dxa"/>
              <w:right w:w="18" w:type="dxa"/>
            </w:tcMar>
          </w:tcPr>
          <w:p w14:paraId="0148C60E" w14:textId="77777777" w:rsidR="00C710A1" w:rsidRPr="00A0163E" w:rsidRDefault="00C710A1" w:rsidP="008C71CB">
            <w:pPr>
              <w:spacing w:before="60" w:after="60" w:line="240" w:lineRule="auto"/>
              <w:ind w:left="115"/>
              <w:rPr>
                <w:sz w:val="20"/>
              </w:rPr>
            </w:pPr>
            <w:r w:rsidRPr="00A0163E">
              <w:rPr>
                <w:b/>
                <w:sz w:val="20"/>
              </w:rPr>
              <w:t>Definition:</w:t>
            </w:r>
            <w:r w:rsidRPr="00A0163E">
              <w:rPr>
                <w:sz w:val="20"/>
              </w:rPr>
              <w:t xml:space="preserve"> The date the ACMS was last modified.</w:t>
            </w:r>
          </w:p>
          <w:p w14:paraId="5FE2CAAB" w14:textId="77777777" w:rsidR="00C710A1" w:rsidRPr="00A0163E" w:rsidRDefault="00C710A1" w:rsidP="008C71CB">
            <w:pPr>
              <w:spacing w:before="60" w:after="60" w:line="240" w:lineRule="auto"/>
              <w:ind w:left="115"/>
              <w:rPr>
                <w:b/>
                <w:sz w:val="20"/>
              </w:rPr>
            </w:pPr>
            <w:r w:rsidRPr="00A0163E">
              <w:rPr>
                <w:b/>
                <w:sz w:val="20"/>
              </w:rPr>
              <w:t>Query:</w:t>
            </w:r>
            <w:r w:rsidRPr="00A0163E">
              <w:rPr>
                <w:sz w:val="20"/>
              </w:rPr>
              <w:t xml:space="preserve"> Searches for ACMSs in which the Last Modified DTG falls within the low value and high value entered. </w:t>
            </w:r>
          </w:p>
        </w:tc>
      </w:tr>
    </w:tbl>
    <w:p w14:paraId="374219F0" w14:textId="77777777" w:rsidR="00026114" w:rsidRPr="000665B0" w:rsidRDefault="00026114" w:rsidP="00FD4D1B">
      <w:bookmarkStart w:id="7409" w:name="Report_Item_Definitions"/>
      <w:bookmarkEnd w:id="7409"/>
    </w:p>
    <w:p w14:paraId="512D7024" w14:textId="77777777" w:rsidR="00A316EA" w:rsidRDefault="00A316EA" w:rsidP="00E300C3">
      <w:r>
        <w:br w:type="page"/>
      </w:r>
    </w:p>
    <w:p w14:paraId="312A90A7" w14:textId="77777777" w:rsidR="004C406F" w:rsidRPr="000665B0" w:rsidRDefault="004C406F" w:rsidP="003604C5">
      <w:pPr>
        <w:pStyle w:val="Appendix"/>
      </w:pPr>
      <w:bookmarkStart w:id="7410" w:name="_Appendix_I_LISTING_OF_IQVC_AND_VERI"/>
      <w:bookmarkStart w:id="7411" w:name="_Appendix_H_LISTING"/>
      <w:bookmarkStart w:id="7412" w:name="_Appendix_I_"/>
      <w:bookmarkStart w:id="7413" w:name="_Toc96170378"/>
      <w:bookmarkStart w:id="7414" w:name="_Toc96234423"/>
      <w:bookmarkStart w:id="7415" w:name="_Toc112733879"/>
      <w:bookmarkStart w:id="7416" w:name="_Toc289329087"/>
      <w:bookmarkStart w:id="7417" w:name="_Toc312332196"/>
      <w:bookmarkEnd w:id="7398"/>
      <w:bookmarkEnd w:id="7410"/>
      <w:bookmarkEnd w:id="7411"/>
      <w:bookmarkEnd w:id="7412"/>
      <w:r w:rsidRPr="000665B0">
        <w:rPr>
          <w:caps/>
        </w:rPr>
        <w:lastRenderedPageBreak/>
        <w:br/>
      </w:r>
      <w:bookmarkStart w:id="7418" w:name="_Toc214283689"/>
      <w:r w:rsidRPr="000665B0">
        <w:rPr>
          <w:kern w:val="0"/>
        </w:rPr>
        <w:t>LISTING OF IQVC AND</w:t>
      </w:r>
      <w:r w:rsidRPr="000665B0">
        <w:br/>
        <w:t>VERIFICATIONS PERFORMED ON MISSION DATA</w:t>
      </w:r>
      <w:bookmarkEnd w:id="7418"/>
    </w:p>
    <w:p w14:paraId="48FC22B8" w14:textId="51AA696D" w:rsidR="004C406F" w:rsidRPr="000665B0" w:rsidRDefault="004C406F" w:rsidP="004C406F">
      <w:r w:rsidRPr="000665B0">
        <w:t xml:space="preserve">Before a mission is written to the database and added to the Mission Tool List View, the mission data is </w:t>
      </w:r>
      <w:r w:rsidR="00B705A7" w:rsidRPr="000665B0">
        <w:t>read,</w:t>
      </w:r>
      <w:r w:rsidRPr="000665B0">
        <w:t xml:space="preserve"> and the following checks and verifications are performed:</w:t>
      </w:r>
    </w:p>
    <w:p w14:paraId="0BCCD4B3" w14:textId="77777777" w:rsidR="004C406F" w:rsidRPr="000665B0" w:rsidRDefault="004C406F" w:rsidP="006D5A65">
      <w:pPr>
        <w:pStyle w:val="Heading1"/>
      </w:pPr>
      <w:r w:rsidRPr="000665B0">
        <w:t>Check adjacent waypoint distance.</w:t>
      </w:r>
    </w:p>
    <w:p w14:paraId="4C088110" w14:textId="77777777" w:rsidR="004C406F" w:rsidRPr="000665B0" w:rsidRDefault="004C406F" w:rsidP="006D5A65">
      <w:pPr>
        <w:pStyle w:val="Heading1"/>
      </w:pPr>
      <w:r w:rsidRPr="000665B0">
        <w:t>Checks distance to waypoint.</w:t>
      </w:r>
    </w:p>
    <w:p w14:paraId="7D4C18D4" w14:textId="77777777" w:rsidR="004C406F" w:rsidRPr="000665B0" w:rsidRDefault="004C406F" w:rsidP="006D5A65">
      <w:pPr>
        <w:pStyle w:val="Heading1"/>
      </w:pPr>
      <w:r w:rsidRPr="000665B0">
        <w:t>Checks heading change.</w:t>
      </w:r>
    </w:p>
    <w:p w14:paraId="6B616AEF" w14:textId="77777777" w:rsidR="004C406F" w:rsidRPr="000665B0" w:rsidRDefault="004C406F" w:rsidP="006D5A65">
      <w:pPr>
        <w:pStyle w:val="Heading1"/>
      </w:pPr>
      <w:r w:rsidRPr="000665B0">
        <w:t>Checks initial timing control point.</w:t>
      </w:r>
    </w:p>
    <w:p w14:paraId="13503EA6" w14:textId="77777777" w:rsidR="004C406F" w:rsidRPr="000665B0" w:rsidRDefault="004C406F" w:rsidP="006D5A65">
      <w:pPr>
        <w:pStyle w:val="Heading1"/>
      </w:pPr>
      <w:r w:rsidRPr="000665B0">
        <w:t>Checks ITCP position.</w:t>
      </w:r>
    </w:p>
    <w:p w14:paraId="08802878" w14:textId="77777777" w:rsidR="004C406F" w:rsidRPr="000665B0" w:rsidRDefault="004C406F" w:rsidP="006D5A65">
      <w:pPr>
        <w:pStyle w:val="Heading1"/>
      </w:pPr>
      <w:r w:rsidRPr="000665B0">
        <w:t>Checks last trajectory segment.</w:t>
      </w:r>
    </w:p>
    <w:p w14:paraId="379D45FB" w14:textId="77777777" w:rsidR="004C406F" w:rsidRPr="000665B0" w:rsidRDefault="004C406F" w:rsidP="006D5A65">
      <w:pPr>
        <w:pStyle w:val="Heading1"/>
      </w:pPr>
      <w:r w:rsidRPr="000665B0">
        <w:t>Checks max standoff range against planned standoff range.</w:t>
      </w:r>
    </w:p>
    <w:p w14:paraId="2792857A" w14:textId="77777777" w:rsidR="004C406F" w:rsidRPr="000665B0" w:rsidRDefault="004C406F" w:rsidP="006D5A65">
      <w:pPr>
        <w:pStyle w:val="Heading1"/>
      </w:pPr>
      <w:r w:rsidRPr="000665B0">
        <w:t>Checks max/min of standoff range.</w:t>
      </w:r>
    </w:p>
    <w:p w14:paraId="3B176440" w14:textId="77777777" w:rsidR="004C406F" w:rsidRPr="000665B0" w:rsidRDefault="004C406F" w:rsidP="006D5A65">
      <w:pPr>
        <w:pStyle w:val="Heading1"/>
      </w:pPr>
      <w:r w:rsidRPr="000665B0">
        <w:t>Checks mission data checksum.</w:t>
      </w:r>
    </w:p>
    <w:p w14:paraId="0B6DB74E" w14:textId="77777777" w:rsidR="004C406F" w:rsidRPr="000665B0" w:rsidRDefault="004C406F" w:rsidP="006D5A65">
      <w:pPr>
        <w:pStyle w:val="Heading1"/>
      </w:pPr>
      <w:r w:rsidRPr="000665B0">
        <w:t>Checks mission data size.</w:t>
      </w:r>
    </w:p>
    <w:p w14:paraId="0B1DECD4" w14:textId="77777777" w:rsidR="004C406F" w:rsidRPr="000665B0" w:rsidRDefault="004C406F" w:rsidP="006D5A65">
      <w:pPr>
        <w:pStyle w:val="Heading1"/>
      </w:pPr>
      <w:r w:rsidRPr="000665B0">
        <w:t>Checks mission definition checksum.</w:t>
      </w:r>
    </w:p>
    <w:p w14:paraId="16132B0E" w14:textId="19320638" w:rsidR="004C406F" w:rsidRPr="000665B0" w:rsidRDefault="004C406F" w:rsidP="006D5A65">
      <w:pPr>
        <w:pStyle w:val="Heading1"/>
      </w:pPr>
      <w:r w:rsidRPr="000665B0">
        <w:t xml:space="preserve">Checks </w:t>
      </w:r>
      <w:r w:rsidR="003B7091">
        <w:t>M</w:t>
      </w:r>
      <w:r w:rsidRPr="000665B0">
        <w:t>ission ID consistency.</w:t>
      </w:r>
    </w:p>
    <w:p w14:paraId="786767BD" w14:textId="77777777" w:rsidR="004C406F" w:rsidRPr="000665B0" w:rsidRDefault="004C406F" w:rsidP="006D5A65">
      <w:pPr>
        <w:pStyle w:val="Heading1"/>
      </w:pPr>
      <w:r w:rsidRPr="000665B0">
        <w:t>Checks mission Tercom link.</w:t>
      </w:r>
    </w:p>
    <w:p w14:paraId="3203AB95" w14:textId="77777777" w:rsidR="004C406F" w:rsidRPr="000665B0" w:rsidRDefault="004C406F" w:rsidP="006D5A65">
      <w:pPr>
        <w:pStyle w:val="Heading1"/>
      </w:pPr>
      <w:r w:rsidRPr="000665B0">
        <w:t>Checks number of trajectory segment data blocks.</w:t>
      </w:r>
    </w:p>
    <w:p w14:paraId="51DA3896" w14:textId="77777777" w:rsidR="004C406F" w:rsidRPr="000665B0" w:rsidRDefault="004C406F" w:rsidP="006D5A65">
      <w:pPr>
        <w:pStyle w:val="Heading1"/>
      </w:pPr>
      <w:r w:rsidRPr="000665B0">
        <w:t>Checks number of trajectory segments max/min.</w:t>
      </w:r>
    </w:p>
    <w:p w14:paraId="3BB9BAF1" w14:textId="77777777" w:rsidR="004C406F" w:rsidRPr="000665B0" w:rsidRDefault="004C406F" w:rsidP="006D5A65">
      <w:pPr>
        <w:pStyle w:val="Heading1"/>
      </w:pPr>
      <w:r w:rsidRPr="000665B0">
        <w:t>Checks number of waypoint data blocks.</w:t>
      </w:r>
    </w:p>
    <w:p w14:paraId="5F459155" w14:textId="77777777" w:rsidR="004C406F" w:rsidRPr="000665B0" w:rsidRDefault="004C406F" w:rsidP="006D5A65">
      <w:pPr>
        <w:pStyle w:val="Heading1"/>
      </w:pPr>
      <w:r w:rsidRPr="000665B0">
        <w:t>Checks Number of Waypoints Max/Min.</w:t>
      </w:r>
    </w:p>
    <w:p w14:paraId="0AE5454C" w14:textId="77777777" w:rsidR="004C406F" w:rsidRPr="000665B0" w:rsidRDefault="004C406F" w:rsidP="006D5A65">
      <w:pPr>
        <w:pStyle w:val="Heading1"/>
      </w:pPr>
      <w:r w:rsidRPr="000665B0">
        <w:t>Checks planned standoff range.</w:t>
      </w:r>
    </w:p>
    <w:p w14:paraId="18A018CD" w14:textId="77777777" w:rsidR="004C406F" w:rsidRPr="000665B0" w:rsidRDefault="004C406F" w:rsidP="006D5A65">
      <w:pPr>
        <w:pStyle w:val="Heading1"/>
      </w:pPr>
      <w:r w:rsidRPr="000665B0">
        <w:t>Checks Tercom Sequence.</w:t>
      </w:r>
    </w:p>
    <w:p w14:paraId="50E4400C" w14:textId="77777777" w:rsidR="004C406F" w:rsidRPr="000665B0" w:rsidRDefault="004C406F" w:rsidP="006D5A65">
      <w:pPr>
        <w:pStyle w:val="Heading1"/>
      </w:pPr>
      <w:r w:rsidRPr="000665B0">
        <w:t>Check Trajectory Segment checksum.</w:t>
      </w:r>
    </w:p>
    <w:p w14:paraId="5F79E273" w14:textId="77777777" w:rsidR="004C406F" w:rsidRPr="000665B0" w:rsidRDefault="004C406F" w:rsidP="006D5A65">
      <w:pPr>
        <w:pStyle w:val="Heading1"/>
      </w:pPr>
      <w:r w:rsidRPr="000665B0">
        <w:t>Checks Trajectory Segment Sequence.</w:t>
      </w:r>
    </w:p>
    <w:p w14:paraId="61F14AAA" w14:textId="77777777" w:rsidR="004C406F" w:rsidRPr="000665B0" w:rsidRDefault="004C406F" w:rsidP="006D5A65">
      <w:pPr>
        <w:pStyle w:val="Heading1"/>
      </w:pPr>
      <w:r w:rsidRPr="000665B0">
        <w:t>Checks Turn Overlap.</w:t>
      </w:r>
    </w:p>
    <w:p w14:paraId="00CA4363" w14:textId="77777777" w:rsidR="004C406F" w:rsidRPr="000665B0" w:rsidRDefault="004C406F" w:rsidP="006D5A65">
      <w:pPr>
        <w:pStyle w:val="Heading1"/>
      </w:pPr>
      <w:r w:rsidRPr="000665B0">
        <w:t>Checks Vehicle Name.</w:t>
      </w:r>
    </w:p>
    <w:p w14:paraId="6A87E875" w14:textId="77777777" w:rsidR="004C406F" w:rsidRPr="000665B0" w:rsidRDefault="004C406F" w:rsidP="006D5A65">
      <w:pPr>
        <w:pStyle w:val="Heading1"/>
      </w:pPr>
      <w:r w:rsidRPr="000665B0">
        <w:t>Checks waypoint checksum.</w:t>
      </w:r>
    </w:p>
    <w:p w14:paraId="7AEDB2E2" w14:textId="77777777" w:rsidR="004C406F" w:rsidRPr="000665B0" w:rsidRDefault="004C406F" w:rsidP="006D5A65">
      <w:pPr>
        <w:pStyle w:val="Heading1"/>
      </w:pPr>
      <w:r w:rsidRPr="000665B0">
        <w:t>Checks waypoint consistency.</w:t>
      </w:r>
    </w:p>
    <w:p w14:paraId="0BF4805D" w14:textId="77777777" w:rsidR="004C406F" w:rsidRPr="000665B0" w:rsidRDefault="004C406F" w:rsidP="006D5A65">
      <w:pPr>
        <w:pStyle w:val="Heading1"/>
      </w:pPr>
      <w:r w:rsidRPr="000665B0">
        <w:t>Checks waypoint for trajectory segment.</w:t>
      </w:r>
    </w:p>
    <w:p w14:paraId="3DED37CB" w14:textId="77777777" w:rsidR="004C406F" w:rsidRPr="000665B0" w:rsidRDefault="004C406F" w:rsidP="006D5A65">
      <w:pPr>
        <w:pStyle w:val="Heading1"/>
      </w:pPr>
      <w:r w:rsidRPr="000665B0">
        <w:t>Checks waypoint lat/lon.</w:t>
      </w:r>
    </w:p>
    <w:p w14:paraId="50822F93" w14:textId="77777777" w:rsidR="004C406F" w:rsidRPr="000665B0" w:rsidRDefault="004C406F" w:rsidP="006D5A65">
      <w:pPr>
        <w:pStyle w:val="Heading1"/>
      </w:pPr>
      <w:r w:rsidRPr="000665B0">
        <w:t>Checks 16 and 32 bit checksums.</w:t>
      </w:r>
    </w:p>
    <w:p w14:paraId="2D680986" w14:textId="77777777" w:rsidR="004C406F" w:rsidRPr="000665B0" w:rsidRDefault="004C406F" w:rsidP="006D5A65">
      <w:pPr>
        <w:pStyle w:val="Heading1"/>
      </w:pPr>
      <w:r w:rsidRPr="000665B0">
        <w:t>Checks for zero fill.</w:t>
      </w:r>
    </w:p>
    <w:p w14:paraId="0B421B78" w14:textId="77777777" w:rsidR="004C406F" w:rsidRPr="000665B0" w:rsidRDefault="004C406F" w:rsidP="006D5A65">
      <w:pPr>
        <w:pStyle w:val="Heading1"/>
      </w:pPr>
      <w:r w:rsidRPr="000665B0">
        <w:t>Checks item heading.</w:t>
      </w:r>
    </w:p>
    <w:p w14:paraId="02249082" w14:textId="77777777" w:rsidR="004C406F" w:rsidRPr="000665B0" w:rsidRDefault="004C406F" w:rsidP="006D5A65">
      <w:pPr>
        <w:pStyle w:val="Heading1"/>
      </w:pPr>
      <w:r w:rsidRPr="000665B0">
        <w:t>Checks latitude and longitude.</w:t>
      </w:r>
    </w:p>
    <w:p w14:paraId="4FC86A65" w14:textId="77777777" w:rsidR="004C406F" w:rsidRPr="000665B0" w:rsidRDefault="004C406F" w:rsidP="006D5A65">
      <w:pPr>
        <w:pStyle w:val="Heading1"/>
      </w:pPr>
      <w:r w:rsidRPr="000665B0">
        <w:t>Checks SCB location.</w:t>
      </w:r>
    </w:p>
    <w:p w14:paraId="56A6941C" w14:textId="77777777" w:rsidR="004C406F" w:rsidRPr="000665B0" w:rsidRDefault="004C406F" w:rsidP="006D5A65">
      <w:pPr>
        <w:pStyle w:val="Heading1"/>
      </w:pPr>
      <w:r w:rsidRPr="000665B0">
        <w:t>Checks Dsmac Center Lat/Lon.</w:t>
      </w:r>
    </w:p>
    <w:p w14:paraId="6C19E676" w14:textId="407CBD55" w:rsidR="004C406F" w:rsidRPr="000665B0" w:rsidRDefault="004C406F" w:rsidP="006D5A65">
      <w:pPr>
        <w:pStyle w:val="Heading1"/>
      </w:pPr>
      <w:r w:rsidRPr="000665B0">
        <w:t>Checks Tercom Center Lat/Lon.</w:t>
      </w:r>
    </w:p>
    <w:p w14:paraId="38AB2B16" w14:textId="77777777" w:rsidR="004C406F" w:rsidRPr="000665B0" w:rsidRDefault="004C406F" w:rsidP="004C406F">
      <w:pPr>
        <w:rPr>
          <w:b/>
        </w:rPr>
      </w:pPr>
      <w:r w:rsidRPr="000665B0">
        <w:rPr>
          <w:b/>
        </w:rPr>
        <w:t>Specific Checks for 109C and 109D Missions</w:t>
      </w:r>
    </w:p>
    <w:p w14:paraId="19A0CC54" w14:textId="77777777" w:rsidR="004C406F" w:rsidRPr="000665B0" w:rsidRDefault="004C406F" w:rsidP="004C406F">
      <w:pPr>
        <w:ind w:left="720" w:hanging="360"/>
      </w:pPr>
      <w:r w:rsidRPr="000665B0">
        <w:t>1. Check Dsmac data size max.</w:t>
      </w:r>
    </w:p>
    <w:p w14:paraId="3DCCB62E" w14:textId="4472DADD" w:rsidR="004C406F" w:rsidRPr="000665B0" w:rsidRDefault="004C406F" w:rsidP="001A01AB">
      <w:pPr>
        <w:ind w:left="720" w:hanging="360"/>
      </w:pPr>
      <w:r w:rsidRPr="000665B0">
        <w:t>2. Check mission data size max</w:t>
      </w:r>
      <w:r w:rsidR="001A01AB">
        <w:t>.</w:t>
      </w:r>
    </w:p>
    <w:p w14:paraId="7175D009" w14:textId="77777777" w:rsidR="004C406F" w:rsidRPr="000665B0" w:rsidRDefault="004C406F" w:rsidP="004C406F">
      <w:pPr>
        <w:rPr>
          <w:b/>
        </w:rPr>
      </w:pPr>
      <w:r w:rsidRPr="000665B0">
        <w:rPr>
          <w:b/>
        </w:rPr>
        <w:lastRenderedPageBreak/>
        <w:t>Specific Checks for 109C, 109D and 109E Missions</w:t>
      </w:r>
    </w:p>
    <w:p w14:paraId="4FBAD47E" w14:textId="77777777" w:rsidR="004C406F" w:rsidRPr="000665B0" w:rsidRDefault="004C406F" w:rsidP="004C406F">
      <w:pPr>
        <w:ind w:left="720" w:hanging="360"/>
      </w:pPr>
      <w:r w:rsidRPr="000665B0">
        <w:t xml:space="preserve">1. </w:t>
      </w:r>
      <w:r w:rsidRPr="000665B0">
        <w:tab/>
        <w:t>Checks M3 consistency.</w:t>
      </w:r>
    </w:p>
    <w:p w14:paraId="4D76BCEA" w14:textId="77777777" w:rsidR="004C406F" w:rsidRPr="000665B0" w:rsidRDefault="004C406F" w:rsidP="004C406F">
      <w:pPr>
        <w:ind w:left="720" w:hanging="360"/>
      </w:pPr>
      <w:r w:rsidRPr="000665B0">
        <w:t xml:space="preserve">2. </w:t>
      </w:r>
      <w:r w:rsidRPr="000665B0">
        <w:tab/>
        <w:t>Checks mission Dsmac link.</w:t>
      </w:r>
    </w:p>
    <w:p w14:paraId="58C40414" w14:textId="7B217166" w:rsidR="004C406F" w:rsidRPr="000665B0" w:rsidRDefault="004C406F" w:rsidP="001A01AB">
      <w:pPr>
        <w:ind w:left="720" w:hanging="360"/>
      </w:pPr>
      <w:r w:rsidRPr="000665B0">
        <w:t xml:space="preserve">3. </w:t>
      </w:r>
      <w:r w:rsidRPr="000665B0">
        <w:tab/>
        <w:t>Checks Tercom Heading</w:t>
      </w:r>
    </w:p>
    <w:p w14:paraId="72DD5A5D" w14:textId="77777777" w:rsidR="004C406F" w:rsidRPr="000665B0" w:rsidRDefault="004C406F" w:rsidP="004C406F">
      <w:pPr>
        <w:rPr>
          <w:b/>
        </w:rPr>
      </w:pPr>
      <w:r w:rsidRPr="000665B0">
        <w:rPr>
          <w:b/>
        </w:rPr>
        <w:t>Specific Checks for 109E Missions</w:t>
      </w:r>
    </w:p>
    <w:p w14:paraId="30E09F97" w14:textId="77777777" w:rsidR="004C406F" w:rsidRPr="000665B0" w:rsidRDefault="004C406F" w:rsidP="004C406F">
      <w:pPr>
        <w:ind w:left="720" w:hanging="360"/>
      </w:pPr>
      <w:r w:rsidRPr="000665B0">
        <w:t xml:space="preserve">1. </w:t>
      </w:r>
      <w:r w:rsidRPr="000665B0">
        <w:tab/>
        <w:t>Checks Dsmac data size max.</w:t>
      </w:r>
    </w:p>
    <w:p w14:paraId="34573CCC" w14:textId="77777777" w:rsidR="004C406F" w:rsidRPr="000665B0" w:rsidRDefault="004C406F" w:rsidP="004C406F">
      <w:pPr>
        <w:ind w:left="720" w:hanging="360"/>
      </w:pPr>
      <w:r w:rsidRPr="000665B0">
        <w:t xml:space="preserve">2. </w:t>
      </w:r>
      <w:r w:rsidRPr="000665B0">
        <w:tab/>
        <w:t>Checks Mission data size max.</w:t>
      </w:r>
    </w:p>
    <w:p w14:paraId="11C428E4" w14:textId="77777777" w:rsidR="004C406F" w:rsidRPr="000665B0" w:rsidRDefault="004C406F" w:rsidP="004C406F">
      <w:pPr>
        <w:ind w:left="720" w:hanging="360"/>
      </w:pPr>
      <w:r w:rsidRPr="000665B0">
        <w:t xml:space="preserve">3. </w:t>
      </w:r>
      <w:r w:rsidRPr="000665B0">
        <w:tab/>
        <w:t>Checks Trajectory Segments consistency.</w:t>
      </w:r>
    </w:p>
    <w:p w14:paraId="2D6170F2" w14:textId="77777777" w:rsidR="004C406F" w:rsidRDefault="004C406F" w:rsidP="004C406F">
      <w:pPr>
        <w:ind w:left="720" w:hanging="360"/>
      </w:pPr>
      <w:r w:rsidRPr="000665B0">
        <w:t xml:space="preserve">4. </w:t>
      </w:r>
      <w:r w:rsidRPr="000665B0">
        <w:tab/>
        <w:t>Checks Waypoints Prior to Target.</w:t>
      </w:r>
    </w:p>
    <w:p w14:paraId="65163297" w14:textId="4D08574E" w:rsidR="004C406F" w:rsidRPr="000665B0" w:rsidRDefault="004C406F" w:rsidP="001A01AB">
      <w:pPr>
        <w:ind w:left="720" w:hanging="360"/>
      </w:pPr>
      <w:r>
        <w:t>5</w:t>
      </w:r>
      <w:r w:rsidRPr="000665B0">
        <w:t xml:space="preserve">. </w:t>
      </w:r>
      <w:r w:rsidRPr="000665B0">
        <w:tab/>
        <w:t xml:space="preserve">Checks </w:t>
      </w:r>
      <w:r>
        <w:t>Ground Launch Point.</w:t>
      </w:r>
    </w:p>
    <w:p w14:paraId="1F9FA7EB" w14:textId="77777777" w:rsidR="004C406F" w:rsidRPr="000665B0" w:rsidRDefault="004C406F" w:rsidP="004C406F">
      <w:pPr>
        <w:rPr>
          <w:b/>
        </w:rPr>
      </w:pPr>
      <w:r w:rsidRPr="000665B0">
        <w:rPr>
          <w:b/>
        </w:rPr>
        <w:t>Block III Mission Checks</w:t>
      </w:r>
    </w:p>
    <w:p w14:paraId="4AF9ACC6" w14:textId="77777777" w:rsidR="004C406F" w:rsidRPr="000665B0" w:rsidRDefault="004C406F" w:rsidP="004C406F">
      <w:pPr>
        <w:ind w:left="720" w:hanging="360"/>
      </w:pPr>
      <w:r w:rsidRPr="000665B0">
        <w:t xml:space="preserve">1. </w:t>
      </w:r>
      <w:r w:rsidRPr="000665B0">
        <w:tab/>
        <w:t>Checks Last Map Exit Waypoint (LMEWP) lat/lon.</w:t>
      </w:r>
    </w:p>
    <w:p w14:paraId="67660FEE" w14:textId="77777777" w:rsidR="004C406F" w:rsidRPr="000665B0" w:rsidRDefault="004C406F" w:rsidP="004C406F">
      <w:pPr>
        <w:ind w:left="720" w:hanging="360"/>
      </w:pPr>
      <w:r w:rsidRPr="000665B0">
        <w:t xml:space="preserve">2. </w:t>
      </w:r>
      <w:r w:rsidRPr="000665B0">
        <w:tab/>
        <w:t>Checks Number of Points after LMEWP.</w:t>
      </w:r>
    </w:p>
    <w:p w14:paraId="69318EE2" w14:textId="43BB2357" w:rsidR="004C406F" w:rsidRPr="000665B0" w:rsidRDefault="004C406F" w:rsidP="001A01AB">
      <w:pPr>
        <w:ind w:left="720" w:hanging="360"/>
      </w:pPr>
      <w:r w:rsidRPr="000665B0">
        <w:t xml:space="preserve">3. </w:t>
      </w:r>
      <w:r w:rsidRPr="000665B0">
        <w:tab/>
        <w:t>Checks Trajectory Segments consistency.</w:t>
      </w:r>
    </w:p>
    <w:p w14:paraId="2D4362C6" w14:textId="77777777" w:rsidR="004C406F" w:rsidRPr="000665B0" w:rsidRDefault="004C406F" w:rsidP="004C406F">
      <w:pPr>
        <w:rPr>
          <w:b/>
        </w:rPr>
      </w:pPr>
      <w:r w:rsidRPr="000665B0">
        <w:rPr>
          <w:b/>
        </w:rPr>
        <w:t>Specific Checks for PST Missions</w:t>
      </w:r>
    </w:p>
    <w:p w14:paraId="0D310446" w14:textId="77777777" w:rsidR="004C406F" w:rsidRPr="000665B0" w:rsidRDefault="004C406F" w:rsidP="004C406F">
      <w:pPr>
        <w:ind w:left="720" w:hanging="360"/>
      </w:pPr>
      <w:r w:rsidRPr="000665B0">
        <w:t xml:space="preserve">1. </w:t>
      </w:r>
      <w:r w:rsidRPr="000665B0">
        <w:tab/>
        <w:t>Checks PST Command Word.</w:t>
      </w:r>
    </w:p>
    <w:p w14:paraId="2C7DA9B4" w14:textId="77777777" w:rsidR="004C406F" w:rsidRPr="000665B0" w:rsidRDefault="004C406F" w:rsidP="004C406F">
      <w:pPr>
        <w:ind w:left="720" w:hanging="360"/>
      </w:pPr>
      <w:r w:rsidRPr="000665B0">
        <w:t xml:space="preserve">2. </w:t>
      </w:r>
      <w:r w:rsidRPr="000665B0">
        <w:tab/>
        <w:t>Checks Trajectory Segment Divisible by 8.</w:t>
      </w:r>
    </w:p>
    <w:p w14:paraId="29ECC809" w14:textId="2629AB09" w:rsidR="004C406F" w:rsidRPr="000665B0" w:rsidRDefault="004C406F" w:rsidP="001A01AB">
      <w:pPr>
        <w:ind w:left="720" w:hanging="360"/>
      </w:pPr>
      <w:r w:rsidRPr="000665B0">
        <w:t xml:space="preserve">3. </w:t>
      </w:r>
      <w:r w:rsidRPr="000665B0">
        <w:tab/>
        <w:t>Check Waypoint Divisible by 4.</w:t>
      </w:r>
    </w:p>
    <w:p w14:paraId="7BC2C12E" w14:textId="77777777" w:rsidR="004C406F" w:rsidRPr="000665B0" w:rsidRDefault="004C406F" w:rsidP="004C406F">
      <w:pPr>
        <w:rPr>
          <w:b/>
        </w:rPr>
      </w:pPr>
      <w:r w:rsidRPr="000665B0">
        <w:rPr>
          <w:b/>
        </w:rPr>
        <w:t>Raw DSMAC Checks</w:t>
      </w:r>
    </w:p>
    <w:p w14:paraId="7979FF96" w14:textId="77777777" w:rsidR="004C406F" w:rsidRPr="000665B0" w:rsidRDefault="004C406F" w:rsidP="004C406F">
      <w:pPr>
        <w:ind w:left="720" w:hanging="360"/>
      </w:pPr>
      <w:r w:rsidRPr="000665B0">
        <w:t xml:space="preserve">1. </w:t>
      </w:r>
      <w:r w:rsidRPr="000665B0">
        <w:tab/>
        <w:t>Checks Dsmac 16 and 32 bit Checksums.</w:t>
      </w:r>
    </w:p>
    <w:p w14:paraId="6F18FD10" w14:textId="2793479F" w:rsidR="004C406F" w:rsidRPr="000665B0" w:rsidRDefault="004C406F" w:rsidP="001A01AB">
      <w:pPr>
        <w:ind w:left="720" w:hanging="360"/>
      </w:pPr>
      <w:r w:rsidRPr="000665B0">
        <w:t xml:space="preserve">2. </w:t>
      </w:r>
      <w:r w:rsidRPr="000665B0">
        <w:tab/>
        <w:t>Checks Dsmac Zero Fill.</w:t>
      </w:r>
    </w:p>
    <w:p w14:paraId="2CB13EC2" w14:textId="77777777" w:rsidR="004C406F" w:rsidRPr="000665B0" w:rsidRDefault="004C406F" w:rsidP="001A01AB">
      <w:pPr>
        <w:ind w:left="360" w:hanging="360"/>
        <w:rPr>
          <w:b/>
        </w:rPr>
      </w:pPr>
      <w:r w:rsidRPr="000665B0">
        <w:rPr>
          <w:b/>
        </w:rPr>
        <w:t>Raw Mission Checks</w:t>
      </w:r>
    </w:p>
    <w:p w14:paraId="26C15A57" w14:textId="77777777" w:rsidR="004C406F" w:rsidRPr="000665B0" w:rsidRDefault="004C406F" w:rsidP="004C406F">
      <w:pPr>
        <w:ind w:left="720" w:hanging="360"/>
      </w:pPr>
      <w:r w:rsidRPr="000665B0">
        <w:t xml:space="preserve">1. </w:t>
      </w:r>
      <w:r w:rsidRPr="000665B0">
        <w:tab/>
        <w:t>Checks Mission 16 and 32 bit Checksums.</w:t>
      </w:r>
    </w:p>
    <w:p w14:paraId="1C87BE76" w14:textId="6B66E720" w:rsidR="004C406F" w:rsidRPr="000665B0" w:rsidRDefault="004C406F" w:rsidP="001A01AB">
      <w:pPr>
        <w:ind w:left="720" w:hanging="360"/>
      </w:pPr>
      <w:r w:rsidRPr="000665B0">
        <w:t xml:space="preserve">2. </w:t>
      </w:r>
      <w:r w:rsidRPr="000665B0">
        <w:tab/>
        <w:t>Checks Mission Data Link.</w:t>
      </w:r>
    </w:p>
    <w:p w14:paraId="1EA27E4D" w14:textId="77777777" w:rsidR="004C406F" w:rsidRPr="000665B0" w:rsidRDefault="004C406F" w:rsidP="004C406F">
      <w:pPr>
        <w:rPr>
          <w:b/>
        </w:rPr>
      </w:pPr>
      <w:r w:rsidRPr="000665B0">
        <w:rPr>
          <w:b/>
        </w:rPr>
        <w:t>Raw Tercom Checks</w:t>
      </w:r>
    </w:p>
    <w:p w14:paraId="5AD403BF" w14:textId="77777777" w:rsidR="004C406F" w:rsidRPr="000665B0" w:rsidRDefault="004C406F" w:rsidP="004C406F">
      <w:pPr>
        <w:ind w:left="720" w:hanging="360"/>
      </w:pPr>
      <w:r w:rsidRPr="000665B0">
        <w:t xml:space="preserve">1. </w:t>
      </w:r>
      <w:r w:rsidRPr="000665B0">
        <w:tab/>
        <w:t>Checks Tercom 16 and 32 bit Checksums.</w:t>
      </w:r>
    </w:p>
    <w:p w14:paraId="37BDD0BB" w14:textId="65BDB195" w:rsidR="004C406F" w:rsidRPr="001A01AB" w:rsidRDefault="004C406F" w:rsidP="001A01AB">
      <w:pPr>
        <w:ind w:left="720" w:hanging="360"/>
      </w:pPr>
      <w:r w:rsidRPr="000665B0">
        <w:t xml:space="preserve">2. </w:t>
      </w:r>
      <w:r w:rsidRPr="000665B0">
        <w:tab/>
        <w:t>Checks Tercom Zero Fill.</w:t>
      </w:r>
    </w:p>
    <w:p w14:paraId="07FD65A9" w14:textId="77777777" w:rsidR="004C406F" w:rsidRPr="000665B0" w:rsidRDefault="004C406F" w:rsidP="004C406F">
      <w:pPr>
        <w:rPr>
          <w:b/>
        </w:rPr>
      </w:pPr>
      <w:r w:rsidRPr="000665B0">
        <w:rPr>
          <w:b/>
        </w:rPr>
        <w:t>Retarget Checks</w:t>
      </w:r>
    </w:p>
    <w:p w14:paraId="1F31C210" w14:textId="0A9CB431" w:rsidR="004C406F" w:rsidRPr="000665B0" w:rsidRDefault="004C406F" w:rsidP="004C406F">
      <w:pPr>
        <w:ind w:left="720" w:hanging="360"/>
      </w:pPr>
      <w:r w:rsidRPr="000665B0">
        <w:t>1.</w:t>
      </w:r>
      <w:r w:rsidRPr="000665B0">
        <w:tab/>
        <w:t xml:space="preserve">Checks Branch </w:t>
      </w:r>
      <w:r w:rsidR="00D3081B" w:rsidRPr="000665B0">
        <w:t>I</w:t>
      </w:r>
      <w:r w:rsidR="00D3081B">
        <w:t>D</w:t>
      </w:r>
      <w:r w:rsidR="00D3081B" w:rsidRPr="000665B0">
        <w:t xml:space="preserve"> </w:t>
      </w:r>
      <w:r w:rsidRPr="000665B0">
        <w:t>and Departure Point.</w:t>
      </w:r>
    </w:p>
    <w:p w14:paraId="52EEA618" w14:textId="77777777" w:rsidR="004C406F" w:rsidRPr="000665B0" w:rsidRDefault="004C406F" w:rsidP="004C406F">
      <w:pPr>
        <w:ind w:left="720" w:hanging="360"/>
      </w:pPr>
      <w:r w:rsidRPr="000665B0">
        <w:t xml:space="preserve">2. </w:t>
      </w:r>
      <w:r w:rsidRPr="000665B0">
        <w:tab/>
        <w:t>Checks Last Waypoint to Target.</w:t>
      </w:r>
    </w:p>
    <w:p w14:paraId="2866CF18" w14:textId="77777777" w:rsidR="004C406F" w:rsidRPr="000665B0" w:rsidRDefault="004C406F" w:rsidP="004C406F">
      <w:pPr>
        <w:ind w:left="720" w:hanging="360"/>
      </w:pPr>
      <w:r w:rsidRPr="000665B0">
        <w:t xml:space="preserve">3. </w:t>
      </w:r>
      <w:r w:rsidRPr="000665B0">
        <w:tab/>
        <w:t>Checks Retarget BAP after scene.</w:t>
      </w:r>
    </w:p>
    <w:p w14:paraId="0B23A689" w14:textId="77777777" w:rsidR="004C406F" w:rsidRPr="000665B0" w:rsidRDefault="004C406F" w:rsidP="004C406F">
      <w:pPr>
        <w:ind w:left="720" w:hanging="360"/>
      </w:pPr>
      <w:r w:rsidRPr="000665B0">
        <w:t xml:space="preserve">4. </w:t>
      </w:r>
      <w:r w:rsidRPr="000665B0">
        <w:tab/>
        <w:t>Checks Retarget Debug Route.</w:t>
      </w:r>
    </w:p>
    <w:p w14:paraId="71B88EF0" w14:textId="77777777" w:rsidR="004C406F" w:rsidRPr="000665B0" w:rsidRDefault="004C406F" w:rsidP="004C406F">
      <w:pPr>
        <w:pStyle w:val="Number0205"/>
        <w:ind w:left="720"/>
      </w:pPr>
      <w:r w:rsidRPr="000665B0">
        <w:lastRenderedPageBreak/>
        <w:t xml:space="preserve">5. </w:t>
      </w:r>
      <w:r w:rsidRPr="000665B0">
        <w:tab/>
        <w:t>Checks Retarget Debug Total Mission Time</w:t>
      </w:r>
    </w:p>
    <w:p w14:paraId="50507DBB" w14:textId="77777777" w:rsidR="004C406F" w:rsidRPr="000665B0" w:rsidRDefault="004C406F" w:rsidP="004C406F"/>
    <w:p w14:paraId="1DE30D73" w14:textId="77777777" w:rsidR="00A316EA" w:rsidRDefault="00A316EA" w:rsidP="004C406F">
      <w:r>
        <w:br w:type="page"/>
      </w:r>
    </w:p>
    <w:p w14:paraId="1F681A62" w14:textId="17B6E031" w:rsidR="005D1A26" w:rsidRPr="000665B0" w:rsidRDefault="009319FE" w:rsidP="003604C5">
      <w:pPr>
        <w:pStyle w:val="Appendix"/>
      </w:pPr>
      <w:r w:rsidRPr="000665B0">
        <w:lastRenderedPageBreak/>
        <w:br/>
      </w:r>
      <w:bookmarkStart w:id="7419" w:name="_Toc214283690"/>
      <w:r w:rsidRPr="000665B0">
        <w:t>PRECISION STRIKE</w:t>
      </w:r>
      <w:bookmarkStart w:id="7420" w:name="Appendix_I"/>
      <w:bookmarkEnd w:id="7420"/>
      <w:r w:rsidRPr="000665B0">
        <w:t xml:space="preserve"> TOMAHAWK (PST)</w:t>
      </w:r>
      <w:bookmarkEnd w:id="7413"/>
      <w:bookmarkEnd w:id="7414"/>
      <w:bookmarkEnd w:id="7415"/>
      <w:bookmarkEnd w:id="7416"/>
      <w:bookmarkEnd w:id="7417"/>
      <w:bookmarkEnd w:id="7419"/>
    </w:p>
    <w:p w14:paraId="77C8F2E5" w14:textId="5DC36D39" w:rsidR="0091699F" w:rsidRPr="000665B0" w:rsidRDefault="0091699F" w:rsidP="00912CE8">
      <w:pPr>
        <w:pStyle w:val="Appendix2"/>
      </w:pPr>
      <w:bookmarkStart w:id="7421" w:name="_Toc214283691"/>
      <w:r w:rsidRPr="000665B0">
        <w:t>INTRODUCTION</w:t>
      </w:r>
      <w:bookmarkEnd w:id="7421"/>
    </w:p>
    <w:p w14:paraId="731B3E77" w14:textId="77777777" w:rsidR="0091699F" w:rsidRPr="000665B0" w:rsidRDefault="0091699F" w:rsidP="00155E82">
      <w:r w:rsidRPr="000665B0">
        <w:t>PST consists of software improvements to conventional TLAM AURs, mission planning and C</w:t>
      </w:r>
      <w:r w:rsidRPr="000665B0">
        <w:rPr>
          <w:szCs w:val="24"/>
        </w:rPr>
        <w:t>2</w:t>
      </w:r>
      <w:r w:rsidRPr="000665B0">
        <w:t xml:space="preserve"> systems, and FCSs. For PST, the AUR receives a new OFP, mission planning and C</w:t>
      </w:r>
      <w:r w:rsidRPr="000665B0">
        <w:rPr>
          <w:szCs w:val="24"/>
        </w:rPr>
        <w:t>2</w:t>
      </w:r>
      <w:r w:rsidRPr="000665B0">
        <w:t xml:space="preserve"> Systems are modified to plan, distribute, and display PST missions; and FCS procedures are modified.</w:t>
      </w:r>
    </w:p>
    <w:p w14:paraId="77383E0F" w14:textId="2D42111B" w:rsidR="0091699F" w:rsidRPr="000665B0" w:rsidRDefault="0091699F" w:rsidP="00912CE8">
      <w:pPr>
        <w:pStyle w:val="Appendix2"/>
      </w:pPr>
      <w:bookmarkStart w:id="7422" w:name="_Toc214283692"/>
      <w:r w:rsidRPr="000665B0">
        <w:t>ALL UP ROUND (AUR)</w:t>
      </w:r>
      <w:bookmarkEnd w:id="7422"/>
    </w:p>
    <w:p w14:paraId="43B1B5C4" w14:textId="77777777" w:rsidR="0091699F" w:rsidRPr="000665B0" w:rsidRDefault="0091699F" w:rsidP="00155E82">
      <w:r w:rsidRPr="000665B0">
        <w:t>For PST, only Block III conventional land attack missiles (R/UGM-109C, or TLAM-C, with its unitary warhead, and R/UGM-109D, or TLAM-D with its distributed submunitions) are affected (except for the pre-launch tests described below), and only the OFP is changed. There are no hardware changes. The OFP changes are as follows:</w:t>
      </w:r>
    </w:p>
    <w:p w14:paraId="139704D6" w14:textId="5A96F3C7" w:rsidR="0091699F" w:rsidRPr="000665B0" w:rsidRDefault="0091699F" w:rsidP="00AC31AF">
      <w:pPr>
        <w:pStyle w:val="Appendix3"/>
        <w:ind w:left="360"/>
      </w:pPr>
      <w:bookmarkStart w:id="7423" w:name="_Toc214283693"/>
      <w:r w:rsidRPr="000665B0">
        <w:t>Pre-</w:t>
      </w:r>
      <w:r w:rsidR="00B128DC" w:rsidRPr="000665B0">
        <w:t>L</w:t>
      </w:r>
      <w:r w:rsidRPr="000665B0">
        <w:t>aunch</w:t>
      </w:r>
      <w:bookmarkEnd w:id="7423"/>
    </w:p>
    <w:p w14:paraId="23A1370C" w14:textId="08A4EA14" w:rsidR="0091699F" w:rsidRPr="000665B0" w:rsidRDefault="0091699F" w:rsidP="00155E82">
      <w:r w:rsidRPr="000665B0">
        <w:t xml:space="preserve">Existing missile built-in-tests (BITs) conducted before </w:t>
      </w:r>
      <w:r w:rsidR="00986E97" w:rsidRPr="000665B0">
        <w:t>launch</w:t>
      </w:r>
      <w:r w:rsidRPr="000665B0">
        <w:t xml:space="preserve"> are expanded and alignment quality checks are performed to detect failures that might lead to collateral damage. The FCS prevents launch of failed missiles. (This expanded pre-launch BIT will be performed by all conventional TLAMs for all conventional TLAM missions, not just for those planned for PST.)</w:t>
      </w:r>
    </w:p>
    <w:p w14:paraId="7AC98EC3" w14:textId="6C12F142" w:rsidR="0091699F" w:rsidRPr="000665B0" w:rsidRDefault="0091699F" w:rsidP="00AC31AF">
      <w:pPr>
        <w:pStyle w:val="Appendix3"/>
        <w:ind w:left="360"/>
      </w:pPr>
      <w:bookmarkStart w:id="7424" w:name="_Toc214283694"/>
      <w:r w:rsidRPr="000665B0">
        <w:t>In-</w:t>
      </w:r>
      <w:r w:rsidR="00B128DC" w:rsidRPr="000665B0">
        <w:t>F</w:t>
      </w:r>
      <w:r w:rsidRPr="000665B0">
        <w:t>light</w:t>
      </w:r>
      <w:bookmarkEnd w:id="7424"/>
    </w:p>
    <w:p w14:paraId="2176D304" w14:textId="77777777" w:rsidR="0091699F" w:rsidRPr="000665B0" w:rsidRDefault="0091699F" w:rsidP="00155E82">
      <w:r w:rsidRPr="000665B0">
        <w:t>Block III missiles run software tests during flight. Two tests are included to detect missiles that will not make it to the FPPWP. These missiles are commanded by the OFP to dive into the water. After the FPPWP, tests are performed periodically, or as required by the mission, to detect and classify (as navigation, serious, or critical) any conditions that might require action to be taken by missiles to prevent collateral damage. Missiles will respond to these conditions according to the options planned into the PST mission (see below). These can include ground dive options, alternate flight path options, and warhead fuze and arming options.</w:t>
      </w:r>
    </w:p>
    <w:p w14:paraId="668A03D0" w14:textId="77777777" w:rsidR="0091699F" w:rsidRPr="000665B0" w:rsidRDefault="0091699F" w:rsidP="0091699F">
      <w:r w:rsidRPr="000665B0">
        <w:t>To fully realize these PST capabilities requires that missions planned for PST be flown by Block III missiles.</w:t>
      </w:r>
    </w:p>
    <w:p w14:paraId="57C127B7" w14:textId="6B139610" w:rsidR="0091699F" w:rsidRPr="000665B0" w:rsidRDefault="0091699F" w:rsidP="00912CE8">
      <w:pPr>
        <w:pStyle w:val="Appendix2"/>
      </w:pPr>
      <w:bookmarkStart w:id="7425" w:name="_Toc214283695"/>
      <w:r w:rsidRPr="007107FA">
        <w:t>MISSION</w:t>
      </w:r>
      <w:r w:rsidRPr="000665B0">
        <w:t xml:space="preserve"> PLANNING AND C2</w:t>
      </w:r>
      <w:r w:rsidRPr="00AC31AF">
        <w:t xml:space="preserve"> </w:t>
      </w:r>
      <w:r w:rsidRPr="000665B0">
        <w:t>SYSTEMS</w:t>
      </w:r>
      <w:bookmarkEnd w:id="7425"/>
    </w:p>
    <w:p w14:paraId="281D7990" w14:textId="77777777" w:rsidR="0091699F" w:rsidRPr="000665B0" w:rsidRDefault="0091699F" w:rsidP="00155E82">
      <w:r w:rsidRPr="000665B0">
        <w:t xml:space="preserve">As always, mission planning begins with the CINC’s mission planning request. With PST, the request is more specific and contains added information, including more detailed mission objectives and target descriptions and added planning criteria, such as approach and ingress routes, area and object to avoid, collateral damage consideration, and divert areas and alternate aimpoints that can be used to dispose of malfunctioning missiles. Electronic Target Folders state target are requirements for PST missions and are produced by the </w:t>
      </w:r>
      <w:r w:rsidR="00A427A7" w:rsidRPr="000665B0">
        <w:t>TNT</w:t>
      </w:r>
      <w:r w:rsidRPr="000665B0">
        <w:t xml:space="preserve"> at the CMSAs. Mission Planners can create new missions or qualify existing missions to meet these requirements. Except for off-route divert areas and alternate aimpoints, these provisions were adopted starting in late 1993 and have been applied to all subsequently planned missions, not just to those for PST.</w:t>
      </w:r>
    </w:p>
    <w:p w14:paraId="0DCD5A3D" w14:textId="77777777" w:rsidR="0091699F" w:rsidRPr="000665B0" w:rsidRDefault="0091699F" w:rsidP="00155E82">
      <w:r w:rsidRPr="000665B0">
        <w:lastRenderedPageBreak/>
        <w:t>PST missions are designed to reduce the risk of collateral damage. Missiles that malfunction during fight as determined by the missile’s OFP tests, can dispose of themselves safely by exercising options preplanned into the mission. There are three general PST route concepts: Safe Route, Off-</w:t>
      </w:r>
      <w:r w:rsidR="00B128DC" w:rsidRPr="000665B0">
        <w:t>R</w:t>
      </w:r>
      <w:r w:rsidRPr="000665B0">
        <w:t>oute Divert Area</w:t>
      </w:r>
      <w:r w:rsidR="00B128DC" w:rsidRPr="000665B0">
        <w:t>,</w:t>
      </w:r>
      <w:r w:rsidRPr="000665B0">
        <w:t xml:space="preserve"> and Alternate Aimpoint.</w:t>
      </w:r>
    </w:p>
    <w:p w14:paraId="1A0B903B" w14:textId="6970DD1F" w:rsidR="0091699F" w:rsidRPr="000665B0" w:rsidRDefault="0091699F" w:rsidP="00AC31AF">
      <w:pPr>
        <w:pStyle w:val="Appendix3"/>
        <w:ind w:left="360"/>
      </w:pPr>
      <w:bookmarkStart w:id="7426" w:name="_Toc214283696"/>
      <w:r w:rsidRPr="000665B0">
        <w:t>Safe Route</w:t>
      </w:r>
      <w:bookmarkEnd w:id="7426"/>
    </w:p>
    <w:p w14:paraId="48A8F881" w14:textId="77777777" w:rsidR="0091699F" w:rsidRPr="000665B0" w:rsidRDefault="0091699F" w:rsidP="00155E82">
      <w:r w:rsidRPr="000665B0">
        <w:t>A safe route simply does not fly over areas that could yield collateral damage if the missile fell to the ground.</w:t>
      </w:r>
    </w:p>
    <w:p w14:paraId="15525B3C" w14:textId="29DFCB19" w:rsidR="0091699F" w:rsidRPr="000665B0" w:rsidRDefault="0091699F" w:rsidP="00AC31AF">
      <w:pPr>
        <w:pStyle w:val="Appendix3"/>
        <w:ind w:left="360"/>
      </w:pPr>
      <w:bookmarkStart w:id="7427" w:name="_Toc214283697"/>
      <w:r w:rsidRPr="000665B0">
        <w:t>Off-</w:t>
      </w:r>
      <w:r w:rsidR="00B128DC" w:rsidRPr="000665B0">
        <w:t>R</w:t>
      </w:r>
      <w:r w:rsidRPr="000665B0">
        <w:t>oute Divert Area</w:t>
      </w:r>
      <w:bookmarkEnd w:id="7427"/>
    </w:p>
    <w:p w14:paraId="1382D5A1" w14:textId="77777777" w:rsidR="0091699F" w:rsidRPr="000665B0" w:rsidRDefault="0091699F" w:rsidP="00155E82">
      <w:r w:rsidRPr="000665B0">
        <w:t>An off-route divert area is a safe area to which the missile can be routed and diverted into the ground.</w:t>
      </w:r>
    </w:p>
    <w:p w14:paraId="1D4A4A3F" w14:textId="097F59F3" w:rsidR="0091699F" w:rsidRPr="000665B0" w:rsidRDefault="0091699F" w:rsidP="00AC31AF">
      <w:pPr>
        <w:pStyle w:val="Appendix3"/>
        <w:ind w:left="360"/>
      </w:pPr>
      <w:bookmarkStart w:id="7428" w:name="_Toc214283698"/>
      <w:r w:rsidRPr="000665B0">
        <w:t>Alternate Aimpoints</w:t>
      </w:r>
      <w:bookmarkEnd w:id="7428"/>
    </w:p>
    <w:p w14:paraId="460F14AC" w14:textId="77777777" w:rsidR="0091699F" w:rsidRPr="000665B0" w:rsidRDefault="0091699F" w:rsidP="00155E82">
      <w:r w:rsidRPr="000665B0">
        <w:t>Alternate Aimpoints are located towards the center of the current target complex or at a larger, alternate complex. It is used if the navigation accuracy is below that required for the primary target. Depending on the tasking guidance and constraints, these three concepts can be used by mission planners separately or in combinations. In all cases, warhead arming, dispensing, and fuzing options can be included.</w:t>
      </w:r>
    </w:p>
    <w:p w14:paraId="4B98F6C1" w14:textId="77777777" w:rsidR="0091699F" w:rsidRPr="000665B0" w:rsidRDefault="0091699F" w:rsidP="00155E82">
      <w:r w:rsidRPr="000665B0">
        <w:t>PST mission planning capabilities currently exist at CMSALANT and PAC. All PST missions are identified as such in the TCI, which also describe any route options planned. TCI can be displayed in MDS and in the ETEPP.</w:t>
      </w:r>
    </w:p>
    <w:p w14:paraId="463F3603" w14:textId="6C747B36" w:rsidR="0091699F" w:rsidRPr="000665B0" w:rsidRDefault="0091699F" w:rsidP="00912CE8">
      <w:pPr>
        <w:pStyle w:val="Appendix2"/>
      </w:pPr>
      <w:bookmarkStart w:id="7429" w:name="_Toc214283699"/>
      <w:r w:rsidRPr="000665B0">
        <w:t>FIRE CONTROL SY</w:t>
      </w:r>
      <w:r w:rsidR="008C53E6" w:rsidRPr="000665B0">
        <w:t>S</w:t>
      </w:r>
      <w:r w:rsidRPr="000665B0">
        <w:t>TEM (FCS)</w:t>
      </w:r>
      <w:bookmarkEnd w:id="7429"/>
    </w:p>
    <w:p w14:paraId="0207DA26" w14:textId="3FF81C24" w:rsidR="0091699F" w:rsidRPr="000665B0" w:rsidRDefault="0091699F" w:rsidP="00155E82">
      <w:r w:rsidRPr="000665B0">
        <w:t>FCSs (</w:t>
      </w:r>
      <w:r w:rsidR="00A077AB" w:rsidRPr="000665B0">
        <w:t>T</w:t>
      </w:r>
      <w:r w:rsidRPr="000665B0">
        <w:t xml:space="preserve">TWCS on surface ships, Combat Control System </w:t>
      </w:r>
      <w:r w:rsidR="00B128DC" w:rsidRPr="000665B0">
        <w:t>[</w:t>
      </w:r>
      <w:r w:rsidRPr="000665B0">
        <w:rPr>
          <w:b/>
        </w:rPr>
        <w:t>CCS</w:t>
      </w:r>
      <w:r w:rsidR="00B128DC" w:rsidRPr="000665B0">
        <w:t>]</w:t>
      </w:r>
      <w:r w:rsidRPr="000665B0">
        <w:t xml:space="preserve"> on </w:t>
      </w:r>
      <w:r w:rsidR="00A077AB" w:rsidRPr="000665B0">
        <w:t>SSNs, and Attack Weapons Control System [</w:t>
      </w:r>
      <w:r w:rsidR="00A077AB" w:rsidRPr="000665B0">
        <w:rPr>
          <w:b/>
        </w:rPr>
        <w:t>AWCS</w:t>
      </w:r>
      <w:r w:rsidR="00A077AB" w:rsidRPr="000665B0">
        <w:t>] on SSGNs</w:t>
      </w:r>
      <w:r w:rsidRPr="000665B0">
        <w:t>) accommodate PST mission</w:t>
      </w:r>
      <w:r w:rsidR="00B128DC" w:rsidRPr="000665B0">
        <w:t>s</w:t>
      </w:r>
      <w:r w:rsidRPr="000665B0">
        <w:t>. These systems receive the results of the pre-launch BIT and prohibit the launch of missiles that fail. Because the displays of BIT results are not changed with PST, results of expanded BITs are transparent to operators. If an alignment failure is detected, normal alignment completion will be prevented by the OFP, and the FCS operator will follow designated procedures for recovery.</w:t>
      </w:r>
    </w:p>
    <w:p w14:paraId="02489B1B" w14:textId="253AFC38" w:rsidR="0091699F" w:rsidRPr="000665B0" w:rsidRDefault="0091699F" w:rsidP="00912CE8">
      <w:pPr>
        <w:pStyle w:val="Appendix2"/>
      </w:pPr>
      <w:bookmarkStart w:id="7430" w:name="_Toc214283700"/>
      <w:r w:rsidRPr="000665B0">
        <w:t>EMPLOYMENT CONSIDERATIONS</w:t>
      </w:r>
      <w:bookmarkEnd w:id="7430"/>
    </w:p>
    <w:p w14:paraId="3673103C" w14:textId="77777777" w:rsidR="0091699F" w:rsidRPr="000665B0" w:rsidRDefault="0091699F" w:rsidP="00155E82">
      <w:r w:rsidRPr="000665B0">
        <w:t>PST mission planners take on added considerations to reduce risk of collateral damage. This is also true for those planning the execution of strike using PST missions. Any threat to the success of a mission can be evaluated and anticipated (by comparing the routes with the latest threat and environmental information) and responses to these events planned and coordinated. This includes both pre-launch and in-flight failures. Considerations in coordinating assets for BDA complement the employing of PST missions.</w:t>
      </w:r>
    </w:p>
    <w:p w14:paraId="7742ABD3" w14:textId="62EAC8AF" w:rsidR="0091699F" w:rsidRPr="000665B0" w:rsidRDefault="0091699F" w:rsidP="00AC31AF">
      <w:pPr>
        <w:pStyle w:val="Appendix3"/>
        <w:ind w:left="360"/>
      </w:pPr>
      <w:bookmarkStart w:id="7431" w:name="_Toc214283701"/>
      <w:r w:rsidRPr="000665B0">
        <w:lastRenderedPageBreak/>
        <w:t>PST Command Word</w:t>
      </w:r>
      <w:bookmarkEnd w:id="7431"/>
    </w:p>
    <w:p w14:paraId="53C6B4A3" w14:textId="77777777" w:rsidR="0091699F" w:rsidRPr="000665B0" w:rsidRDefault="0091699F" w:rsidP="0091699F">
      <w:r w:rsidRPr="000665B0">
        <w:t>The PST command word denotes what action is to be taken by a missile in the event of a failure. Failures can fall into one of three categories (in descending order of criticality); critical, serious, and navigation. On the geographic display and printout for mission folders, PST command words are represented by a three-digit code, represented herein by NNN. The three values represent from left to right; Critical Failure, Serious Failure, and Navigation Failure.</w:t>
      </w:r>
    </w:p>
    <w:p w14:paraId="090CBC24" w14:textId="77777777" w:rsidR="0091699F" w:rsidRPr="000665B0" w:rsidRDefault="0091699F" w:rsidP="0091699F">
      <w:r w:rsidRPr="000665B0">
        <w:t>For each type of failure (critical, serious, or navigation), the valid values range from 0 to 5. The table below provides the interpretation of each value (0 to 5) which may be associated with the three types of failures.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8"/>
        <w:gridCol w:w="8092"/>
      </w:tblGrid>
      <w:tr w:rsidR="0091699F" w:rsidRPr="000665B0" w14:paraId="7D90F11A" w14:textId="77777777" w:rsidTr="00C63237">
        <w:trPr>
          <w:jc w:val="center"/>
        </w:trPr>
        <w:tc>
          <w:tcPr>
            <w:tcW w:w="1260" w:type="dxa"/>
            <w:shd w:val="clear" w:color="auto" w:fill="D9D9D9" w:themeFill="background1" w:themeFillShade="D9"/>
          </w:tcPr>
          <w:p w14:paraId="489A6C45" w14:textId="77777777" w:rsidR="0091699F" w:rsidRPr="000665B0" w:rsidRDefault="0091699F" w:rsidP="00C63237">
            <w:pPr>
              <w:spacing w:before="40" w:after="40" w:line="240" w:lineRule="auto"/>
              <w:jc w:val="center"/>
              <w:rPr>
                <w:b/>
                <w:szCs w:val="24"/>
              </w:rPr>
            </w:pPr>
            <w:r w:rsidRPr="000665B0">
              <w:rPr>
                <w:b/>
                <w:szCs w:val="24"/>
              </w:rPr>
              <w:t>Value</w:t>
            </w:r>
          </w:p>
        </w:tc>
        <w:tc>
          <w:tcPr>
            <w:tcW w:w="8118" w:type="dxa"/>
            <w:shd w:val="clear" w:color="auto" w:fill="D9D9D9" w:themeFill="background1" w:themeFillShade="D9"/>
          </w:tcPr>
          <w:p w14:paraId="67387FEF" w14:textId="77777777" w:rsidR="0091699F" w:rsidRPr="000665B0" w:rsidRDefault="0091699F" w:rsidP="00C63237">
            <w:pPr>
              <w:spacing w:before="40" w:after="40" w:line="240" w:lineRule="auto"/>
              <w:jc w:val="center"/>
              <w:rPr>
                <w:b/>
                <w:szCs w:val="24"/>
              </w:rPr>
            </w:pPr>
            <w:r w:rsidRPr="000665B0">
              <w:rPr>
                <w:b/>
                <w:szCs w:val="24"/>
              </w:rPr>
              <w:t>Interpretation</w:t>
            </w:r>
          </w:p>
        </w:tc>
      </w:tr>
      <w:tr w:rsidR="0091699F" w:rsidRPr="000665B0" w14:paraId="7DCF1FB2" w14:textId="77777777">
        <w:trPr>
          <w:jc w:val="center"/>
        </w:trPr>
        <w:tc>
          <w:tcPr>
            <w:tcW w:w="1260" w:type="dxa"/>
          </w:tcPr>
          <w:p w14:paraId="3C7E6742" w14:textId="77777777" w:rsidR="0091699F" w:rsidRPr="000665B0" w:rsidRDefault="0091699F" w:rsidP="00DB3B47">
            <w:pPr>
              <w:spacing w:before="40" w:after="40" w:line="240" w:lineRule="auto"/>
              <w:rPr>
                <w:szCs w:val="24"/>
              </w:rPr>
            </w:pPr>
            <w:r w:rsidRPr="000665B0">
              <w:rPr>
                <w:szCs w:val="24"/>
              </w:rPr>
              <w:t>0</w:t>
            </w:r>
          </w:p>
        </w:tc>
        <w:tc>
          <w:tcPr>
            <w:tcW w:w="8118" w:type="dxa"/>
          </w:tcPr>
          <w:p w14:paraId="584C2FB5" w14:textId="77777777" w:rsidR="0091699F" w:rsidRPr="000665B0" w:rsidRDefault="0091699F" w:rsidP="00DB3B47">
            <w:pPr>
              <w:spacing w:before="40" w:after="40" w:line="240" w:lineRule="auto"/>
              <w:rPr>
                <w:szCs w:val="24"/>
              </w:rPr>
            </w:pPr>
            <w:r w:rsidRPr="000665B0">
              <w:rPr>
                <w:szCs w:val="24"/>
              </w:rPr>
              <w:t>Continue flying to primary route. If armed, set fuze inhibits ON for dive into the ground command (109C). Allow dispense for 109D.</w:t>
            </w:r>
          </w:p>
        </w:tc>
      </w:tr>
      <w:tr w:rsidR="0091699F" w:rsidRPr="000665B0" w14:paraId="575DFE25" w14:textId="77777777">
        <w:trPr>
          <w:jc w:val="center"/>
        </w:trPr>
        <w:tc>
          <w:tcPr>
            <w:tcW w:w="1260" w:type="dxa"/>
          </w:tcPr>
          <w:p w14:paraId="0DFFF3EA" w14:textId="77777777" w:rsidR="0091699F" w:rsidRPr="000665B0" w:rsidRDefault="0091699F" w:rsidP="009C1C1D">
            <w:pPr>
              <w:spacing w:before="40" w:after="40" w:line="240" w:lineRule="auto"/>
              <w:rPr>
                <w:szCs w:val="24"/>
              </w:rPr>
            </w:pPr>
            <w:r w:rsidRPr="000665B0">
              <w:rPr>
                <w:szCs w:val="24"/>
              </w:rPr>
              <w:t>1</w:t>
            </w:r>
          </w:p>
        </w:tc>
        <w:tc>
          <w:tcPr>
            <w:tcW w:w="8118" w:type="dxa"/>
          </w:tcPr>
          <w:p w14:paraId="2F3D226A" w14:textId="77777777" w:rsidR="0091699F" w:rsidRPr="000665B0" w:rsidRDefault="0091699F" w:rsidP="00DB3B47">
            <w:pPr>
              <w:spacing w:before="40" w:after="40" w:line="240" w:lineRule="auto"/>
              <w:rPr>
                <w:b/>
                <w:bCs/>
                <w:szCs w:val="24"/>
              </w:rPr>
            </w:pPr>
            <w:r w:rsidRPr="000665B0">
              <w:rPr>
                <w:szCs w:val="24"/>
              </w:rPr>
              <w:t>Continue flying the primary route. NA for 109C. Disallow dispense (109D).</w:t>
            </w:r>
          </w:p>
        </w:tc>
      </w:tr>
      <w:tr w:rsidR="0091699F" w:rsidRPr="000665B0" w14:paraId="7A8B01D7" w14:textId="77777777">
        <w:trPr>
          <w:jc w:val="center"/>
        </w:trPr>
        <w:tc>
          <w:tcPr>
            <w:tcW w:w="1260" w:type="dxa"/>
          </w:tcPr>
          <w:p w14:paraId="4BEBAFC7" w14:textId="77777777" w:rsidR="0091699F" w:rsidRPr="000665B0" w:rsidRDefault="0091699F" w:rsidP="00DB3B47">
            <w:pPr>
              <w:spacing w:before="40" w:after="40" w:line="240" w:lineRule="auto"/>
              <w:rPr>
                <w:szCs w:val="24"/>
              </w:rPr>
            </w:pPr>
            <w:r w:rsidRPr="000665B0">
              <w:rPr>
                <w:szCs w:val="24"/>
              </w:rPr>
              <w:t>2</w:t>
            </w:r>
          </w:p>
        </w:tc>
        <w:tc>
          <w:tcPr>
            <w:tcW w:w="8118" w:type="dxa"/>
          </w:tcPr>
          <w:p w14:paraId="2BC33312" w14:textId="77777777" w:rsidR="0091699F" w:rsidRPr="000665B0" w:rsidRDefault="0091699F" w:rsidP="00DB3B47">
            <w:pPr>
              <w:spacing w:before="40" w:after="40" w:line="240" w:lineRule="auto"/>
              <w:rPr>
                <w:b/>
                <w:bCs/>
                <w:szCs w:val="24"/>
              </w:rPr>
            </w:pPr>
            <w:r w:rsidRPr="000665B0">
              <w:rPr>
                <w:szCs w:val="24"/>
              </w:rPr>
              <w:t>Continue flying; divert to alternate route. If armed, set fuze inhibits ON for dive into the ground command (109C). Allow dispense (109D).</w:t>
            </w:r>
          </w:p>
        </w:tc>
      </w:tr>
      <w:tr w:rsidR="0091699F" w:rsidRPr="000665B0" w14:paraId="633A150C" w14:textId="77777777">
        <w:trPr>
          <w:jc w:val="center"/>
        </w:trPr>
        <w:tc>
          <w:tcPr>
            <w:tcW w:w="1260" w:type="dxa"/>
          </w:tcPr>
          <w:p w14:paraId="41D2A02C" w14:textId="77777777" w:rsidR="0091699F" w:rsidRPr="000665B0" w:rsidRDefault="0091699F" w:rsidP="00DB3B47">
            <w:pPr>
              <w:spacing w:before="40" w:after="40" w:line="240" w:lineRule="auto"/>
              <w:rPr>
                <w:szCs w:val="24"/>
              </w:rPr>
            </w:pPr>
            <w:r w:rsidRPr="000665B0">
              <w:rPr>
                <w:szCs w:val="24"/>
              </w:rPr>
              <w:t>3</w:t>
            </w:r>
          </w:p>
        </w:tc>
        <w:tc>
          <w:tcPr>
            <w:tcW w:w="8118" w:type="dxa"/>
          </w:tcPr>
          <w:p w14:paraId="4857969E" w14:textId="77777777" w:rsidR="0091699F" w:rsidRPr="000665B0" w:rsidRDefault="0091699F" w:rsidP="00DB3B47">
            <w:pPr>
              <w:spacing w:before="40" w:after="40" w:line="240" w:lineRule="auto"/>
              <w:rPr>
                <w:b/>
                <w:bCs/>
                <w:szCs w:val="24"/>
              </w:rPr>
            </w:pPr>
            <w:r w:rsidRPr="000665B0">
              <w:rPr>
                <w:szCs w:val="24"/>
              </w:rPr>
              <w:t>Continue flying; divert to alternate route. NA for 109C. Disallow dispense (109D).</w:t>
            </w:r>
          </w:p>
        </w:tc>
      </w:tr>
      <w:tr w:rsidR="0091699F" w:rsidRPr="000665B0" w14:paraId="7F941892" w14:textId="77777777">
        <w:trPr>
          <w:jc w:val="center"/>
        </w:trPr>
        <w:tc>
          <w:tcPr>
            <w:tcW w:w="1260" w:type="dxa"/>
          </w:tcPr>
          <w:p w14:paraId="46464B8B" w14:textId="77777777" w:rsidR="0091699F" w:rsidRPr="000665B0" w:rsidRDefault="0091699F" w:rsidP="00DB3B47">
            <w:pPr>
              <w:spacing w:before="40" w:after="40" w:line="240" w:lineRule="auto"/>
              <w:rPr>
                <w:szCs w:val="24"/>
              </w:rPr>
            </w:pPr>
            <w:r w:rsidRPr="000665B0">
              <w:rPr>
                <w:szCs w:val="24"/>
              </w:rPr>
              <w:t>4</w:t>
            </w:r>
          </w:p>
        </w:tc>
        <w:tc>
          <w:tcPr>
            <w:tcW w:w="8118" w:type="dxa"/>
          </w:tcPr>
          <w:p w14:paraId="11CCF9B4" w14:textId="77777777" w:rsidR="0091699F" w:rsidRPr="000665B0" w:rsidRDefault="0091699F" w:rsidP="00DB3B47">
            <w:pPr>
              <w:spacing w:before="40" w:after="40" w:line="240" w:lineRule="auto"/>
              <w:rPr>
                <w:b/>
                <w:bCs/>
                <w:szCs w:val="24"/>
              </w:rPr>
            </w:pPr>
            <w:r w:rsidRPr="000665B0">
              <w:rPr>
                <w:szCs w:val="24"/>
              </w:rPr>
              <w:t>Dive into the ground along the primary route. If armed, set fuze inhibits ON for dive into the ground command (109C). NA for 109D.</w:t>
            </w:r>
          </w:p>
        </w:tc>
      </w:tr>
      <w:tr w:rsidR="0091699F" w:rsidRPr="000665B0" w14:paraId="47903B9C" w14:textId="77777777">
        <w:trPr>
          <w:jc w:val="center"/>
        </w:trPr>
        <w:tc>
          <w:tcPr>
            <w:tcW w:w="1260" w:type="dxa"/>
          </w:tcPr>
          <w:p w14:paraId="6F7FA35B" w14:textId="77777777" w:rsidR="0091699F" w:rsidRPr="000665B0" w:rsidRDefault="0091699F" w:rsidP="00DB3B47">
            <w:pPr>
              <w:spacing w:before="40" w:after="40" w:line="240" w:lineRule="auto"/>
              <w:rPr>
                <w:szCs w:val="24"/>
              </w:rPr>
            </w:pPr>
            <w:r w:rsidRPr="000665B0">
              <w:rPr>
                <w:szCs w:val="24"/>
              </w:rPr>
              <w:t>5</w:t>
            </w:r>
          </w:p>
        </w:tc>
        <w:tc>
          <w:tcPr>
            <w:tcW w:w="8118" w:type="dxa"/>
          </w:tcPr>
          <w:p w14:paraId="0EAABFE4" w14:textId="77777777" w:rsidR="0091699F" w:rsidRPr="000665B0" w:rsidRDefault="0091699F" w:rsidP="00DB3B47">
            <w:pPr>
              <w:spacing w:before="40" w:after="40" w:line="240" w:lineRule="auto"/>
              <w:rPr>
                <w:b/>
                <w:bCs/>
                <w:szCs w:val="24"/>
              </w:rPr>
            </w:pPr>
            <w:r w:rsidRPr="000665B0">
              <w:rPr>
                <w:szCs w:val="24"/>
              </w:rPr>
              <w:t>Dive into the ground along the primary route. Arm for dive into the ground (109C). NA for 109D.</w:t>
            </w:r>
          </w:p>
        </w:tc>
      </w:tr>
    </w:tbl>
    <w:p w14:paraId="0898F96E" w14:textId="77777777" w:rsidR="0091699F" w:rsidRPr="000665B0" w:rsidRDefault="0091699F" w:rsidP="00951D5A">
      <w:pPr>
        <w:spacing w:before="120"/>
      </w:pPr>
      <w:r w:rsidRPr="000665B0">
        <w:t xml:space="preserve">If there </w:t>
      </w:r>
      <w:r w:rsidR="007D0914" w:rsidRPr="000665B0">
        <w:t>i</w:t>
      </w:r>
      <w:r w:rsidRPr="000665B0">
        <w:t xml:space="preserve">s a Serious Failure, the missile will continue flying but divert off the primary route to the next alternate route. If 109C is armed, set fuze inhibit </w:t>
      </w:r>
      <w:r w:rsidRPr="000665B0">
        <w:rPr>
          <w:b/>
        </w:rPr>
        <w:t>ON</w:t>
      </w:r>
      <w:r w:rsidRPr="000665B0">
        <w:t xml:space="preserve"> for dive into the ground. If 109D, allow dispense (see digit 2 above).</w:t>
      </w:r>
    </w:p>
    <w:p w14:paraId="6FA5A2B7" w14:textId="77777777" w:rsidR="0091699F" w:rsidRPr="000665B0" w:rsidRDefault="0091699F" w:rsidP="0091699F">
      <w:r w:rsidRPr="000665B0">
        <w:t xml:space="preserve">If there </w:t>
      </w:r>
      <w:r w:rsidR="007D0914" w:rsidRPr="000665B0">
        <w:t>i</w:t>
      </w:r>
      <w:r w:rsidRPr="000665B0">
        <w:t xml:space="preserve">s a Navigation Failure, the missile will continue flying, following the primary route. If 109C is armed, set fuze inhibit </w:t>
      </w:r>
      <w:r w:rsidRPr="000665B0">
        <w:rPr>
          <w:b/>
        </w:rPr>
        <w:t>ON</w:t>
      </w:r>
      <w:r w:rsidRPr="000665B0">
        <w:t xml:space="preserve"> for dive into the ground. If 109D, allow dispense (see digit 0 above).</w:t>
      </w:r>
    </w:p>
    <w:p w14:paraId="40602854" w14:textId="77777777" w:rsidR="0091699F" w:rsidRPr="000665B0" w:rsidRDefault="0091699F" w:rsidP="0091699F">
      <w:r w:rsidRPr="000665B0">
        <w:t>Example: One of the PST command words for a mission may be 420. This would be interpreted as follows:</w:t>
      </w:r>
    </w:p>
    <w:p w14:paraId="43F7F1C3" w14:textId="77777777" w:rsidR="0091699F" w:rsidRPr="000665B0" w:rsidRDefault="0091699F" w:rsidP="0091699F">
      <w:r w:rsidRPr="000665B0">
        <w:t xml:space="preserve">If there </w:t>
      </w:r>
      <w:r w:rsidR="007D0914" w:rsidRPr="000665B0">
        <w:t>i</w:t>
      </w:r>
      <w:r w:rsidRPr="000665B0">
        <w:t xml:space="preserve">s a </w:t>
      </w:r>
      <w:r w:rsidRPr="000665B0">
        <w:rPr>
          <w:b/>
          <w:bCs/>
        </w:rPr>
        <w:t xml:space="preserve">Critical </w:t>
      </w:r>
      <w:r w:rsidRPr="000665B0">
        <w:t xml:space="preserve">Failure – Dive into the ground along the primary route. If 109C is armed, set fuze inhibit </w:t>
      </w:r>
      <w:r w:rsidRPr="000665B0">
        <w:rPr>
          <w:b/>
        </w:rPr>
        <w:t>ON</w:t>
      </w:r>
      <w:r w:rsidRPr="000665B0">
        <w:t xml:space="preserve"> for dive into the ground. If 109D, allow dispense. (See digit 4 above</w:t>
      </w:r>
      <w:r w:rsidR="00B128DC" w:rsidRPr="000665B0">
        <w:t>.</w:t>
      </w:r>
      <w:r w:rsidRPr="000665B0">
        <w:t xml:space="preserve">) </w:t>
      </w:r>
    </w:p>
    <w:p w14:paraId="1A02981D" w14:textId="00780A14" w:rsidR="0091699F" w:rsidRPr="000665B0" w:rsidRDefault="0091699F" w:rsidP="0091699F">
      <w:r w:rsidRPr="000665B0">
        <w:t xml:space="preserve">If there </w:t>
      </w:r>
      <w:r w:rsidR="007D0914" w:rsidRPr="000665B0">
        <w:t>i</w:t>
      </w:r>
      <w:r w:rsidRPr="000665B0">
        <w:t xml:space="preserve">s a </w:t>
      </w:r>
      <w:r w:rsidRPr="000665B0">
        <w:rPr>
          <w:b/>
          <w:bCs/>
        </w:rPr>
        <w:t xml:space="preserve">Serious </w:t>
      </w:r>
      <w:r w:rsidRPr="000665B0">
        <w:t xml:space="preserve">Failure – Continue </w:t>
      </w:r>
      <w:r w:rsidR="00F14BA2" w:rsidRPr="000665B0">
        <w:t>flying but</w:t>
      </w:r>
      <w:r w:rsidRPr="000665B0">
        <w:t xml:space="preserve"> divert off the primary route to the next alternate route. If 109C is armed, set fuze inhibit </w:t>
      </w:r>
      <w:r w:rsidRPr="000665B0">
        <w:rPr>
          <w:b/>
        </w:rPr>
        <w:t>ON</w:t>
      </w:r>
      <w:r w:rsidRPr="000665B0">
        <w:t xml:space="preserve"> for dive into the ground. If 109D, allow dispense. (See digit 2 above</w:t>
      </w:r>
      <w:r w:rsidR="00B128DC" w:rsidRPr="000665B0">
        <w:t>.</w:t>
      </w:r>
      <w:r w:rsidRPr="000665B0">
        <w:t xml:space="preserve">) </w:t>
      </w:r>
    </w:p>
    <w:p w14:paraId="709254F1" w14:textId="77777777" w:rsidR="0091699F" w:rsidRPr="000665B0" w:rsidRDefault="0091699F" w:rsidP="0091699F">
      <w:r w:rsidRPr="000665B0">
        <w:t xml:space="preserve">If there </w:t>
      </w:r>
      <w:r w:rsidR="007D0914" w:rsidRPr="000665B0">
        <w:t>i</w:t>
      </w:r>
      <w:r w:rsidRPr="000665B0">
        <w:t xml:space="preserve">s a </w:t>
      </w:r>
      <w:r w:rsidRPr="000665B0">
        <w:rPr>
          <w:b/>
          <w:bCs/>
        </w:rPr>
        <w:t>Navigation</w:t>
      </w:r>
      <w:r w:rsidRPr="000665B0">
        <w:t xml:space="preserve"> Failure – Continue flying, following the primary route. If 109C is armed, set fuze inhibit </w:t>
      </w:r>
      <w:r w:rsidRPr="000665B0">
        <w:rPr>
          <w:b/>
        </w:rPr>
        <w:t>ON</w:t>
      </w:r>
      <w:r w:rsidRPr="000665B0">
        <w:t xml:space="preserve"> for dive into the ground. If 109D, allow dispense. (See digit 0 above</w:t>
      </w:r>
      <w:r w:rsidR="00B128DC" w:rsidRPr="000665B0">
        <w:t>.</w:t>
      </w:r>
      <w:r w:rsidRPr="000665B0">
        <w:t>)</w:t>
      </w:r>
    </w:p>
    <w:p w14:paraId="38D19B89" w14:textId="77777777" w:rsidR="005D1A26" w:rsidRPr="000665B0" w:rsidRDefault="005D1A26" w:rsidP="00E300C3"/>
    <w:p w14:paraId="2A87A781" w14:textId="77777777" w:rsidR="00A316EA" w:rsidRDefault="00A316EA" w:rsidP="00E300C3">
      <w:r>
        <w:br w:type="page"/>
      </w:r>
      <w:bookmarkStart w:id="7432" w:name="_Appendix_K__TTWCS_Secret_Operations"/>
      <w:bookmarkStart w:id="7433" w:name="_Appendix_L_Distribution_of_TCIDB's_"/>
      <w:bookmarkEnd w:id="7432"/>
      <w:bookmarkEnd w:id="7433"/>
    </w:p>
    <w:p w14:paraId="04F92B8B" w14:textId="6421C155" w:rsidR="005D1A26" w:rsidRPr="000665B0" w:rsidRDefault="009319FE" w:rsidP="003604C5">
      <w:pPr>
        <w:pStyle w:val="Appendix"/>
      </w:pPr>
      <w:bookmarkStart w:id="7434" w:name="_Appendix_K_Distribution_of_TCIDB's_"/>
      <w:bookmarkStart w:id="7435" w:name="_Appendix_J_Distribution_of_TCIDB's_"/>
      <w:bookmarkStart w:id="7436" w:name="_Appendix_J_"/>
      <w:bookmarkStart w:id="7437" w:name="Distribution_of_TCIDBS_to_a_TTWCS_Platfo"/>
      <w:bookmarkStart w:id="7438" w:name="_Toc96170379"/>
      <w:bookmarkStart w:id="7439" w:name="_Toc96234424"/>
      <w:bookmarkStart w:id="7440" w:name="_Toc112733880"/>
      <w:bookmarkStart w:id="7441" w:name="_Toc289329088"/>
      <w:bookmarkStart w:id="7442" w:name="_Toc312332197"/>
      <w:bookmarkStart w:id="7443" w:name="_Hlk43797567"/>
      <w:bookmarkEnd w:id="7434"/>
      <w:bookmarkEnd w:id="7435"/>
      <w:bookmarkEnd w:id="7436"/>
      <w:bookmarkEnd w:id="7437"/>
      <w:r w:rsidRPr="000665B0">
        <w:lastRenderedPageBreak/>
        <w:br/>
      </w:r>
      <w:bookmarkStart w:id="7444" w:name="_Toc214283702"/>
      <w:r w:rsidRPr="000665B0">
        <w:t>DISTRIBUTION OF TCIDBS TO A TTWCS PLATFORM</w:t>
      </w:r>
      <w:bookmarkEnd w:id="7438"/>
      <w:bookmarkEnd w:id="7439"/>
      <w:bookmarkEnd w:id="7440"/>
      <w:bookmarkEnd w:id="7441"/>
      <w:bookmarkEnd w:id="7442"/>
      <w:bookmarkEnd w:id="7444"/>
    </w:p>
    <w:p w14:paraId="660830A3" w14:textId="77777777" w:rsidR="005D1A26" w:rsidRPr="000665B0" w:rsidRDefault="005D1A26" w:rsidP="00E300C3">
      <w:r w:rsidRPr="000665B0">
        <w:t xml:space="preserve">Creation of TCIDB media for transfer to a TTWCS platform requires some additional steps due to </w:t>
      </w:r>
      <w:r w:rsidRPr="000665B0">
        <w:rPr>
          <w:color w:val="000000"/>
        </w:rPr>
        <w:t>the COTS software being used</w:t>
      </w:r>
      <w:r w:rsidRPr="000665B0">
        <w:t xml:space="preserve">. </w:t>
      </w:r>
    </w:p>
    <w:p w14:paraId="633EBF72" w14:textId="03360CE9" w:rsidR="005D1A26" w:rsidRPr="000665B0" w:rsidRDefault="003B7574" w:rsidP="00E300C3">
      <w:r w:rsidRPr="000665B0">
        <w:t>If a Media DDO Template already exists for use:</w:t>
      </w:r>
    </w:p>
    <w:p w14:paraId="2777F09F" w14:textId="450F2E49" w:rsidR="005D1A26" w:rsidRPr="000665B0" w:rsidRDefault="005D1A26" w:rsidP="006D5A65">
      <w:pPr>
        <w:pStyle w:val="Heading1"/>
      </w:pPr>
      <w:r w:rsidRPr="000665B0">
        <w:t>Navigate to the DDO Templates Tool and select an existing DDO entry.</w:t>
      </w:r>
      <w:r w:rsidR="003B7574" w:rsidRPr="000665B0">
        <w:t xml:space="preserve"> </w:t>
      </w:r>
      <w:r w:rsidRPr="000665B0">
        <w:t>Invoke the context menu (right</w:t>
      </w:r>
      <w:r w:rsidR="003F15E2" w:rsidRPr="000665B0">
        <w:t>-</w:t>
      </w:r>
      <w:r w:rsidRPr="000665B0">
        <w:t xml:space="preserve">click the mouse) and select Display </w:t>
      </w:r>
      <w:r w:rsidR="00A05D58" w:rsidRPr="000665B0">
        <w:sym w:font="Wingdings" w:char="F0E0"/>
      </w:r>
      <w:r w:rsidRPr="000665B0">
        <w:t xml:space="preserve"> Textually.</w:t>
      </w:r>
    </w:p>
    <w:p w14:paraId="3F56D5A9" w14:textId="6ECC7589" w:rsidR="0062629F" w:rsidRPr="000665B0" w:rsidRDefault="0062629F" w:rsidP="006D5A65">
      <w:pPr>
        <w:pStyle w:val="Heading1"/>
      </w:pPr>
      <w:r w:rsidRPr="000665B0">
        <w:t xml:space="preserve">Proceed to Step </w:t>
      </w:r>
      <w:r w:rsidR="003B7574" w:rsidRPr="000665B0">
        <w:t xml:space="preserve">3 </w:t>
      </w:r>
      <w:r w:rsidRPr="000665B0">
        <w:t xml:space="preserve">in the </w:t>
      </w:r>
      <w:r w:rsidR="00557EDB" w:rsidRPr="000665B0">
        <w:t>procedure</w:t>
      </w:r>
      <w:r w:rsidRPr="000665B0">
        <w:t xml:space="preserve"> below.</w:t>
      </w:r>
      <w:r w:rsidR="00D72D1B" w:rsidRPr="000665B0">
        <w:t xml:space="preserve"> Note that some of the steps may have already been completed when using an existing DDO template, but they can be verified for accuracy and/or changed as needed. </w:t>
      </w:r>
    </w:p>
    <w:p w14:paraId="014F7C54" w14:textId="28C0E888" w:rsidR="005D1A26" w:rsidRPr="000665B0" w:rsidRDefault="00A70361" w:rsidP="00E300C3">
      <w:r w:rsidRPr="000665B0">
        <w:t>I</w:t>
      </w:r>
      <w:r w:rsidR="005D1A26" w:rsidRPr="000665B0">
        <w:t xml:space="preserve">f a </w:t>
      </w:r>
      <w:r w:rsidR="003B7574" w:rsidRPr="000665B0">
        <w:t xml:space="preserve">Media </w:t>
      </w:r>
      <w:r w:rsidR="005D1A26" w:rsidRPr="000665B0">
        <w:t>DDO</w:t>
      </w:r>
      <w:r w:rsidR="003B7574" w:rsidRPr="000665B0">
        <w:t xml:space="preserve"> Template</w:t>
      </w:r>
      <w:r w:rsidR="005D1A26" w:rsidRPr="000665B0">
        <w:t xml:space="preserve"> does not already exist for use:</w:t>
      </w:r>
    </w:p>
    <w:p w14:paraId="61616460" w14:textId="77777777" w:rsidR="00F711E5" w:rsidRPr="000665B0" w:rsidRDefault="00F711E5" w:rsidP="006D5A65">
      <w:pPr>
        <w:pStyle w:val="Heading1"/>
      </w:pPr>
      <w:r w:rsidRPr="000665B0">
        <w:t xml:space="preserve">Navigate to the </w:t>
      </w:r>
      <w:r w:rsidRPr="000665B0">
        <w:rPr>
          <w:bCs/>
        </w:rPr>
        <w:t>DDO Templates</w:t>
      </w:r>
      <w:r w:rsidRPr="000665B0">
        <w:t xml:space="preserve"> Tool.</w:t>
      </w:r>
    </w:p>
    <w:p w14:paraId="399FB6FD" w14:textId="2B475CD5" w:rsidR="003B7574" w:rsidRPr="000665B0" w:rsidRDefault="003802E3" w:rsidP="006D5A65">
      <w:pPr>
        <w:pStyle w:val="Heading1"/>
      </w:pPr>
      <w:r w:rsidRPr="000665B0">
        <w:t>From the File menu select New…</w:t>
      </w:r>
      <w:r w:rsidR="006C53F1" w:rsidRPr="000665B0">
        <w:t>,</w:t>
      </w:r>
      <w:r w:rsidRPr="000665B0">
        <w:t xml:space="preserve"> click on the New </w:t>
      </w:r>
      <w:r w:rsidRPr="000665B0">
        <w:rPr>
          <w:noProof/>
        </w:rPr>
        <w:drawing>
          <wp:inline distT="0" distB="0" distL="0" distR="0" wp14:anchorId="6EA6540F" wp14:editId="7DF3A920">
            <wp:extent cx="152400" cy="152400"/>
            <wp:effectExtent l="0" t="0" r="0" b="0"/>
            <wp:docPr id="473" name="Picture 473" descr="Description: new%20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Description: new%20toolbar"/>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0665B0">
        <w:t xml:space="preserve"> icon </w:t>
      </w:r>
      <w:r w:rsidR="006C53F1" w:rsidRPr="000665B0">
        <w:t>o</w:t>
      </w:r>
      <w:r w:rsidRPr="000665B0">
        <w:t>n the tool bar</w:t>
      </w:r>
      <w:r w:rsidR="006C53F1" w:rsidRPr="000665B0">
        <w:rPr>
          <w:szCs w:val="24"/>
        </w:rPr>
        <w:t xml:space="preserve">, or </w:t>
      </w:r>
      <w:r w:rsidR="006C53F1" w:rsidRPr="000665B0">
        <w:rPr>
          <w:noProof/>
          <w:szCs w:val="24"/>
        </w:rPr>
        <w:t>invoke the context menu (right-click the mouse) and select New…</w:t>
      </w:r>
      <w:r w:rsidRPr="000665B0">
        <w:t xml:space="preserve">. A new </w:t>
      </w:r>
      <w:r w:rsidRPr="000665B0">
        <w:rPr>
          <w:i/>
        </w:rPr>
        <w:t>DDO Template</w:t>
      </w:r>
      <w:r w:rsidRPr="000665B0">
        <w:t xml:space="preserve"> window is displayed. </w:t>
      </w:r>
    </w:p>
    <w:p w14:paraId="5A5E1E1B" w14:textId="3F3BE63F" w:rsidR="0004716C" w:rsidRPr="000665B0" w:rsidRDefault="003802E3" w:rsidP="006D5A65">
      <w:pPr>
        <w:pStyle w:val="Heading1"/>
      </w:pPr>
      <w:r w:rsidRPr="000665B0">
        <w:t>Select the Media button in the Distribution</w:t>
      </w:r>
      <w:r w:rsidR="00A52A07" w:rsidRPr="000665B0">
        <w:t xml:space="preserve"> Modes</w:t>
      </w:r>
      <w:r w:rsidRPr="000665B0">
        <w:t xml:space="preserve"> pane.</w:t>
      </w:r>
    </w:p>
    <w:p w14:paraId="7B0F0DC6" w14:textId="0EA31B43" w:rsidR="005D1A26" w:rsidRPr="000665B0" w:rsidRDefault="00685B3F" w:rsidP="0004716C">
      <w:pPr>
        <w:jc w:val="center"/>
      </w:pPr>
      <w:r w:rsidRPr="000665B0">
        <w:rPr>
          <w:noProof/>
        </w:rPr>
        <w:drawing>
          <wp:inline distT="0" distB="0" distL="0" distR="0" wp14:anchorId="241083AB" wp14:editId="4D731A48">
            <wp:extent cx="4114800" cy="3849624"/>
            <wp:effectExtent l="0" t="0" r="0" b="0"/>
            <wp:docPr id="1613" name="Picture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3849624"/>
                    </a:xfrm>
                    <a:prstGeom prst="rect">
                      <a:avLst/>
                    </a:prstGeom>
                  </pic:spPr>
                </pic:pic>
              </a:graphicData>
            </a:graphic>
          </wp:inline>
        </w:drawing>
      </w:r>
    </w:p>
    <w:p w14:paraId="21B6A2C9" w14:textId="6E897486" w:rsidR="00AC2055" w:rsidRPr="000665B0" w:rsidRDefault="00AC2055" w:rsidP="006D5A65">
      <w:pPr>
        <w:pStyle w:val="Heading1"/>
      </w:pPr>
      <w:r w:rsidRPr="000665B0">
        <w:lastRenderedPageBreak/>
        <w:t>There are two ways to specify the TTWCS recipient(s)</w:t>
      </w:r>
      <w:r w:rsidR="00E01581" w:rsidRPr="000665B0">
        <w:t xml:space="preserve">: </w:t>
      </w:r>
    </w:p>
    <w:p w14:paraId="26A23A5C" w14:textId="1827545F" w:rsidR="00AC2055" w:rsidRPr="000665B0" w:rsidRDefault="00AC2055" w:rsidP="006D5A65">
      <w:pPr>
        <w:pStyle w:val="Heading2"/>
      </w:pPr>
      <w:r w:rsidRPr="000665B0">
        <w:t xml:space="preserve">Address the DDO to specific TTWCS platforms. MDS automatically determines the correct format of the data for the </w:t>
      </w:r>
      <w:r w:rsidR="00DC455B" w:rsidRPr="000665B0">
        <w:t>recipients and</w:t>
      </w:r>
      <w:r w:rsidRPr="000665B0">
        <w:t xml:space="preserve"> selects the TTWCS (TCIDB) checkbox in the Media Information pane. </w:t>
      </w:r>
    </w:p>
    <w:p w14:paraId="5B563692" w14:textId="5E855BDC" w:rsidR="0026389D" w:rsidRPr="000665B0" w:rsidRDefault="0026389D" w:rsidP="006D5A65">
      <w:pPr>
        <w:pStyle w:val="Heading1"/>
      </w:pPr>
      <w:r w:rsidRPr="000665B0">
        <w:t xml:space="preserve">Click the To button to display the Address Book. </w:t>
      </w:r>
    </w:p>
    <w:p w14:paraId="1EA8A047" w14:textId="1578761A" w:rsidR="0026389D" w:rsidRPr="000665B0" w:rsidRDefault="0026389D" w:rsidP="006D5A65">
      <w:pPr>
        <w:pStyle w:val="Heading1"/>
      </w:pPr>
      <w:r w:rsidRPr="000665B0">
        <w:t>Select the appropriate recipient(s) in the left column of the Address Book and then click To-&gt; in the middle of the window to move the selected recipient(s) to the right column. Click OK when complete.</w:t>
      </w:r>
    </w:p>
    <w:p w14:paraId="1CD2218C" w14:textId="02EFDCB0" w:rsidR="008272BC" w:rsidRPr="000665B0" w:rsidRDefault="008272BC" w:rsidP="006D5A65">
      <w:pPr>
        <w:pStyle w:val="Heading1"/>
      </w:pPr>
      <w:r w:rsidRPr="000665B0">
        <w:t xml:space="preserve">An MDS or TED node must also be selected in the Address Book in order to generate the DdoManifest_nnnnn-nnnnn.xml file. Alternatively, select the MDS or the appropriate TED [version] checkbox in the Media Information pane. </w:t>
      </w:r>
    </w:p>
    <w:p w14:paraId="56E0B506" w14:textId="0EECF384" w:rsidR="0026389D" w:rsidRPr="000665B0" w:rsidRDefault="0026389D" w:rsidP="00AC2F7D">
      <w:pPr>
        <w:ind w:left="720"/>
      </w:pPr>
      <w:r w:rsidRPr="000665B0">
        <w:t>or</w:t>
      </w:r>
    </w:p>
    <w:p w14:paraId="6A1BD668" w14:textId="058D7B1A" w:rsidR="00AC2055" w:rsidRPr="000665B0" w:rsidRDefault="00AC2055" w:rsidP="006D5A65">
      <w:pPr>
        <w:pStyle w:val="Heading1"/>
      </w:pPr>
      <w:r w:rsidRPr="000665B0">
        <w:t>Select the TTWCS (TCIDB) checkbox in the Media Information pane.</w:t>
      </w:r>
    </w:p>
    <w:p w14:paraId="2D605285" w14:textId="78F4F6EB" w:rsidR="00E01581" w:rsidRPr="000665B0" w:rsidRDefault="00E01581" w:rsidP="006D5A65">
      <w:pPr>
        <w:pStyle w:val="Heading1"/>
      </w:pPr>
      <w:r w:rsidRPr="000665B0">
        <w:t>If desired, platform types other than TTWCS may also be selected in the same manner. For more information about specifying platform types and determining the correct data format for the intended recipient</w:t>
      </w:r>
      <w:r w:rsidR="00115AA3" w:rsidRPr="000665B0">
        <w:t>(s)</w:t>
      </w:r>
      <w:r w:rsidRPr="000665B0">
        <w:t>, see</w:t>
      </w:r>
      <w:r w:rsidR="007E7958">
        <w:t xml:space="preserve"> </w:t>
      </w:r>
      <w:hyperlink w:anchor="_Create_Media_DDO" w:history="1">
        <w:r w:rsidR="007E7958" w:rsidRPr="007E7958">
          <w:rPr>
            <w:rStyle w:val="Hyperlink"/>
          </w:rPr>
          <w:t xml:space="preserve">Section </w:t>
        </w:r>
        <w:r w:rsidR="004231CC">
          <w:rPr>
            <w:rStyle w:val="Hyperlink"/>
          </w:rPr>
          <w:t>5.16</w:t>
        </w:r>
        <w:r w:rsidR="007E7958" w:rsidRPr="007E7958">
          <w:rPr>
            <w:rStyle w:val="Hyperlink"/>
          </w:rPr>
          <w:t>.3.2</w:t>
        </w:r>
      </w:hyperlink>
      <w:r w:rsidRPr="000665B0">
        <w:t>.</w:t>
      </w:r>
    </w:p>
    <w:p w14:paraId="13B8AD76" w14:textId="77777777" w:rsidR="003802E3" w:rsidRPr="000665B0" w:rsidRDefault="003802E3" w:rsidP="006D5A65">
      <w:pPr>
        <w:pStyle w:val="Heading1"/>
      </w:pPr>
      <w:r w:rsidRPr="000665B0">
        <w:t xml:space="preserve">Enter an Objective for the message (optional). </w:t>
      </w:r>
    </w:p>
    <w:p w14:paraId="2EE34A1B" w14:textId="0477CCF5" w:rsidR="003802E3" w:rsidRPr="000665B0" w:rsidRDefault="003802E3" w:rsidP="006D5A65">
      <w:pPr>
        <w:pStyle w:val="Heading1"/>
      </w:pPr>
      <w:r w:rsidRPr="000665B0">
        <w:t>Ensure the Media button is selected for a distribution mode.</w:t>
      </w:r>
    </w:p>
    <w:p w14:paraId="609EB729" w14:textId="77777777" w:rsidR="003802E3" w:rsidRPr="000665B0" w:rsidRDefault="003802E3" w:rsidP="003802E3">
      <w:pPr>
        <w:jc w:val="center"/>
      </w:pPr>
      <w:r w:rsidRPr="000665B0">
        <w:rPr>
          <w:noProof/>
        </w:rPr>
        <w:drawing>
          <wp:inline distT="0" distB="0" distL="0" distR="0" wp14:anchorId="4ABD5D4D" wp14:editId="5DB13726">
            <wp:extent cx="4365938" cy="358451"/>
            <wp:effectExtent l="0" t="0" r="0" b="381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4369879" cy="358775"/>
                    </a:xfrm>
                    <a:prstGeom prst="rect">
                      <a:avLst/>
                    </a:prstGeom>
                    <a:noFill/>
                    <a:ln>
                      <a:noFill/>
                    </a:ln>
                  </pic:spPr>
                </pic:pic>
              </a:graphicData>
            </a:graphic>
          </wp:inline>
        </w:drawing>
      </w:r>
    </w:p>
    <w:p w14:paraId="43E5996E" w14:textId="77777777" w:rsidR="003802E3" w:rsidRPr="000665B0" w:rsidRDefault="003802E3" w:rsidP="006D5A65">
      <w:pPr>
        <w:pStyle w:val="Heading1"/>
      </w:pPr>
      <w:r w:rsidRPr="000665B0">
        <w:t xml:space="preserve">In the Media Information pane, select the Browse button to choose a destination. The </w:t>
      </w:r>
      <w:r w:rsidRPr="000665B0">
        <w:rPr>
          <w:i/>
        </w:rPr>
        <w:t>Browse for Folder</w:t>
      </w:r>
      <w:r w:rsidRPr="000665B0">
        <w:t xml:space="preserve"> window is displayed.</w:t>
      </w:r>
    </w:p>
    <w:p w14:paraId="5A3BDC43" w14:textId="605F40E4" w:rsidR="003802E3" w:rsidRPr="000665B0" w:rsidRDefault="00080427" w:rsidP="003802E3">
      <w:pPr>
        <w:jc w:val="center"/>
        <w:rPr>
          <w:noProof/>
        </w:rPr>
      </w:pPr>
      <w:r w:rsidRPr="000665B0">
        <w:rPr>
          <w:noProof/>
        </w:rPr>
        <w:drawing>
          <wp:inline distT="0" distB="0" distL="0" distR="0" wp14:anchorId="1C26E007" wp14:editId="1A6D2B09">
            <wp:extent cx="2300140" cy="2029080"/>
            <wp:effectExtent l="0" t="0" r="5080" b="9525"/>
            <wp:docPr id="1921" name="Picture 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309323" cy="2037181"/>
                    </a:xfrm>
                    <a:prstGeom prst="rect">
                      <a:avLst/>
                    </a:prstGeom>
                  </pic:spPr>
                </pic:pic>
              </a:graphicData>
            </a:graphic>
          </wp:inline>
        </w:drawing>
      </w:r>
    </w:p>
    <w:p w14:paraId="457DE53C" w14:textId="77777777" w:rsidR="003802E3" w:rsidRPr="000665B0" w:rsidRDefault="003802E3" w:rsidP="006D5A65">
      <w:pPr>
        <w:pStyle w:val="Heading1"/>
      </w:pPr>
      <w:r w:rsidRPr="000665B0">
        <w:lastRenderedPageBreak/>
        <w:t>Navigate the file system and select the location where the data is to be stored.</w:t>
      </w:r>
    </w:p>
    <w:p w14:paraId="09D0020C" w14:textId="479D3A41" w:rsidR="003802E3" w:rsidRPr="000665B0" w:rsidRDefault="003802E3" w:rsidP="006D5A65">
      <w:pPr>
        <w:pStyle w:val="Heading1"/>
      </w:pPr>
      <w:r w:rsidRPr="000665B0">
        <w:t>Click OK when the location has been selected.</w:t>
      </w:r>
    </w:p>
    <w:p w14:paraId="0BEB3245" w14:textId="6FBC6A06" w:rsidR="003802E3" w:rsidRPr="000665B0" w:rsidRDefault="00E01581" w:rsidP="006D5A65">
      <w:pPr>
        <w:pStyle w:val="Heading1"/>
      </w:pPr>
      <w:r w:rsidRPr="000665B0">
        <w:t>Ensure</w:t>
      </w:r>
      <w:r w:rsidR="00D72D1B" w:rsidRPr="000665B0">
        <w:t xml:space="preserve"> the</w:t>
      </w:r>
      <w:r w:rsidR="003802E3" w:rsidRPr="000665B0">
        <w:t xml:space="preserve"> TTWCS (TCIDB) </w:t>
      </w:r>
      <w:r w:rsidR="00D72D1B" w:rsidRPr="000665B0">
        <w:t>checkbox</w:t>
      </w:r>
      <w:r w:rsidR="003802E3" w:rsidRPr="000665B0">
        <w:t xml:space="preserve"> </w:t>
      </w:r>
      <w:r w:rsidRPr="000665B0">
        <w:t xml:space="preserve">is selected in the Media Information pane </w:t>
      </w:r>
      <w:r w:rsidR="003802E3" w:rsidRPr="000665B0">
        <w:t>and select either the Extract or Update button.</w:t>
      </w:r>
    </w:p>
    <w:p w14:paraId="58F4457A" w14:textId="77777777" w:rsidR="003802E3" w:rsidRPr="000665B0" w:rsidRDefault="003802E3" w:rsidP="006D5A65">
      <w:pPr>
        <w:pStyle w:val="Heading2"/>
      </w:pPr>
      <w:r w:rsidRPr="000665B0">
        <w:t xml:space="preserve">If Extract is selected, the Data Distribution Items </w:t>
      </w:r>
      <w:r w:rsidR="00A52A07" w:rsidRPr="000665B0">
        <w:t>pane</w:t>
      </w:r>
      <w:r w:rsidRPr="000665B0">
        <w:t xml:space="preserve"> will not display the SSA files for selection. All SSA files needed for the Extract will automatically be written to media as part of the Extract.</w:t>
      </w:r>
    </w:p>
    <w:p w14:paraId="2E1A2CF1" w14:textId="41494711" w:rsidR="003802E3" w:rsidRPr="000665B0" w:rsidRDefault="00835A69" w:rsidP="003802E3">
      <w:pPr>
        <w:jc w:val="center"/>
      </w:pPr>
      <w:r w:rsidRPr="000665B0">
        <w:rPr>
          <w:noProof/>
        </w:rPr>
        <w:drawing>
          <wp:inline distT="0" distB="0" distL="0" distR="0" wp14:anchorId="742DAA88" wp14:editId="3833994B">
            <wp:extent cx="4119418" cy="1223062"/>
            <wp:effectExtent l="0" t="0" r="0" b="0"/>
            <wp:docPr id="1617" name="Picture 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52733" cy="1232953"/>
                    </a:xfrm>
                    <a:prstGeom prst="rect">
                      <a:avLst/>
                    </a:prstGeom>
                  </pic:spPr>
                </pic:pic>
              </a:graphicData>
            </a:graphic>
          </wp:inline>
        </w:drawing>
      </w:r>
    </w:p>
    <w:p w14:paraId="3D3AE84D" w14:textId="1F26B8B1" w:rsidR="003802E3" w:rsidRPr="000665B0" w:rsidRDefault="003802E3" w:rsidP="006D5A65">
      <w:pPr>
        <w:pStyle w:val="Heading1"/>
      </w:pPr>
      <w:r w:rsidRPr="000665B0">
        <w:t xml:space="preserve">If Update is selected, the Data Distribution Items </w:t>
      </w:r>
      <w:r w:rsidR="00A52A07" w:rsidRPr="000665B0">
        <w:t>pane</w:t>
      </w:r>
      <w:r w:rsidRPr="000665B0">
        <w:t xml:space="preserve"> display</w:t>
      </w:r>
      <w:r w:rsidR="00D93B55" w:rsidRPr="000665B0">
        <w:t>s</w:t>
      </w:r>
      <w:r w:rsidRPr="000665B0">
        <w:t xml:space="preserve"> the SSA files (</w:t>
      </w:r>
      <w:r w:rsidR="00D72D1B" w:rsidRPr="000665B0">
        <w:t xml:space="preserve">GPS Almanac Data, </w:t>
      </w:r>
      <w:r w:rsidRPr="000665B0">
        <w:t xml:space="preserve">VPL, VFIL, </w:t>
      </w:r>
      <w:r w:rsidR="00835A69" w:rsidRPr="000665B0">
        <w:t xml:space="preserve">MTIF Compatibility File (MCF), </w:t>
      </w:r>
      <w:r w:rsidRPr="000665B0">
        <w:t>OES List, and VMIL) for selection. The user may select which SSA files to include to be written to media as part of the Update by checking the appropriate checkbox.</w:t>
      </w:r>
    </w:p>
    <w:p w14:paraId="17EEA825" w14:textId="333821A8" w:rsidR="004963AE" w:rsidRPr="000665B0" w:rsidRDefault="00835A69" w:rsidP="004963AE">
      <w:pPr>
        <w:jc w:val="center"/>
      </w:pPr>
      <w:r w:rsidRPr="000665B0">
        <w:rPr>
          <w:noProof/>
        </w:rPr>
        <w:drawing>
          <wp:inline distT="0" distB="0" distL="0" distR="0" wp14:anchorId="1766AA33" wp14:editId="56C9C8FC">
            <wp:extent cx="4137891" cy="1229873"/>
            <wp:effectExtent l="0" t="0" r="0" b="8890"/>
            <wp:docPr id="1618" name="Picture 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4169386" cy="1239234"/>
                    </a:xfrm>
                    <a:prstGeom prst="rect">
                      <a:avLst/>
                    </a:prstGeom>
                  </pic:spPr>
                </pic:pic>
              </a:graphicData>
            </a:graphic>
          </wp:inline>
        </w:drawing>
      </w:r>
    </w:p>
    <w:p w14:paraId="5CAEB074" w14:textId="77777777" w:rsidR="007F1F06" w:rsidRPr="000665B0" w:rsidRDefault="007F1F06" w:rsidP="005E043D">
      <w:pPr>
        <w:pBdr>
          <w:top w:val="single" w:sz="12" w:space="1" w:color="auto"/>
          <w:left w:val="single" w:sz="12" w:space="4" w:color="auto"/>
          <w:bottom w:val="single" w:sz="12" w:space="1" w:color="auto"/>
          <w:right w:val="single" w:sz="12" w:space="4" w:color="auto"/>
        </w:pBdr>
        <w:shd w:val="clear" w:color="auto" w:fill="D9D9D9"/>
        <w:spacing w:after="0" w:line="240" w:lineRule="auto"/>
        <w:jc w:val="center"/>
        <w:rPr>
          <w:b/>
        </w:rPr>
      </w:pPr>
      <w:bookmarkStart w:id="7445" w:name="_Hlk37313282"/>
      <w:r w:rsidRPr="000665B0">
        <w:rPr>
          <w:b/>
        </w:rPr>
        <w:t>Note:</w:t>
      </w:r>
    </w:p>
    <w:p w14:paraId="007DBD0C" w14:textId="5AF56E95" w:rsidR="007F1F06" w:rsidRPr="000665B0" w:rsidRDefault="007F1F06" w:rsidP="00951D5A">
      <w:pPr>
        <w:pBdr>
          <w:top w:val="single" w:sz="12" w:space="1" w:color="auto"/>
          <w:left w:val="single" w:sz="12" w:space="4" w:color="auto"/>
          <w:bottom w:val="single" w:sz="12" w:space="1" w:color="auto"/>
          <w:right w:val="single" w:sz="12" w:space="4" w:color="auto"/>
        </w:pBdr>
        <w:shd w:val="clear" w:color="auto" w:fill="D9D9D9"/>
        <w:spacing w:after="0" w:line="240" w:lineRule="auto"/>
        <w:jc w:val="center"/>
        <w:rPr>
          <w:b/>
        </w:rPr>
      </w:pPr>
      <w:r w:rsidRPr="000665B0">
        <w:rPr>
          <w:b/>
        </w:rPr>
        <w:t xml:space="preserve">The 109E </w:t>
      </w:r>
      <w:r w:rsidR="00DB0113" w:rsidRPr="000665B0">
        <w:rPr>
          <w:b/>
        </w:rPr>
        <w:t xml:space="preserve">(BLK IV) </w:t>
      </w:r>
      <w:r w:rsidRPr="000665B0">
        <w:rPr>
          <w:b/>
        </w:rPr>
        <w:t xml:space="preserve">OES VMIL file is NOT written to media </w:t>
      </w:r>
      <w:r w:rsidR="00E92F19" w:rsidRPr="000665B0">
        <w:rPr>
          <w:b/>
        </w:rPr>
        <w:t>when</w:t>
      </w:r>
      <w:r w:rsidRPr="000665B0">
        <w:rPr>
          <w:b/>
        </w:rPr>
        <w:t xml:space="preserve"> the “Valid Missile List (VMIL)” </w:t>
      </w:r>
      <w:r w:rsidR="00E92F19" w:rsidRPr="000665B0">
        <w:rPr>
          <w:b/>
        </w:rPr>
        <w:t>checkbox is selected</w:t>
      </w:r>
      <w:r w:rsidRPr="000665B0">
        <w:rPr>
          <w:b/>
        </w:rPr>
        <w:t xml:space="preserve">. </w:t>
      </w:r>
      <w:r w:rsidRPr="000665B0">
        <w:rPr>
          <w:b/>
        </w:rPr>
        <w:br/>
        <w:t xml:space="preserve">To ensure that the 109E </w:t>
      </w:r>
      <w:r w:rsidR="00DB0113" w:rsidRPr="000665B0">
        <w:rPr>
          <w:b/>
        </w:rPr>
        <w:t xml:space="preserve">(BLK IV) </w:t>
      </w:r>
      <w:r w:rsidRPr="000665B0">
        <w:rPr>
          <w:b/>
        </w:rPr>
        <w:t xml:space="preserve">OES VMIL file is written to media, </w:t>
      </w:r>
      <w:r w:rsidR="00A43362" w:rsidRPr="000665B0">
        <w:rPr>
          <w:b/>
        </w:rPr>
        <w:t>select</w:t>
      </w:r>
      <w:r w:rsidRPr="000665B0">
        <w:rPr>
          <w:b/>
        </w:rPr>
        <w:t xml:space="preserve"> the “Valid OES List” checkbox. </w:t>
      </w:r>
    </w:p>
    <w:bookmarkEnd w:id="7445"/>
    <w:p w14:paraId="580C8088" w14:textId="77777777" w:rsidR="007F1F06" w:rsidRPr="000665B0" w:rsidRDefault="007F1F06" w:rsidP="004E7DCC">
      <w:pPr>
        <w:spacing w:after="0"/>
        <w:jc w:val="center"/>
      </w:pPr>
    </w:p>
    <w:p w14:paraId="39B54292" w14:textId="77777777" w:rsidR="004963AE" w:rsidRPr="000665B0" w:rsidRDefault="004963AE" w:rsidP="005E043D">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Note:</w:t>
      </w:r>
    </w:p>
    <w:p w14:paraId="2EC43F2C" w14:textId="69448859" w:rsidR="00584E77" w:rsidRPr="000665B0" w:rsidRDefault="004963AE" w:rsidP="005E043D">
      <w:pPr>
        <w:pBdr>
          <w:top w:val="single" w:sz="12" w:space="1" w:color="auto"/>
          <w:left w:val="single" w:sz="12" w:space="4" w:color="auto"/>
          <w:bottom w:val="single" w:sz="12" w:space="1" w:color="auto"/>
          <w:right w:val="single" w:sz="12" w:space="4" w:color="auto"/>
        </w:pBdr>
        <w:shd w:val="clear" w:color="auto" w:fill="D9D9D9"/>
        <w:spacing w:line="240" w:lineRule="auto"/>
        <w:jc w:val="center"/>
        <w:rPr>
          <w:b/>
        </w:rPr>
      </w:pPr>
      <w:r w:rsidRPr="000665B0">
        <w:rPr>
          <w:b/>
        </w:rPr>
        <w:t>SSA files (</w:t>
      </w:r>
      <w:r w:rsidR="008B268F" w:rsidRPr="000665B0">
        <w:rPr>
          <w:b/>
        </w:rPr>
        <w:t>e.g</w:t>
      </w:r>
      <w:r w:rsidRPr="000665B0">
        <w:rPr>
          <w:b/>
        </w:rPr>
        <w:t xml:space="preserve">., </w:t>
      </w:r>
      <w:r w:rsidR="00D72D1B" w:rsidRPr="000665B0">
        <w:rPr>
          <w:b/>
        </w:rPr>
        <w:t xml:space="preserve">GPS Almanac Data, </w:t>
      </w:r>
      <w:r w:rsidRPr="000665B0">
        <w:rPr>
          <w:b/>
        </w:rPr>
        <w:t xml:space="preserve">VMIL, VFIL, PCTRF, Valid OES List, and VPL) </w:t>
      </w:r>
      <w:r w:rsidR="00584E77" w:rsidRPr="000665B0">
        <w:rPr>
          <w:b/>
        </w:rPr>
        <w:t>cannot be distributed to</w:t>
      </w:r>
      <w:r w:rsidRPr="000665B0">
        <w:rPr>
          <w:b/>
        </w:rPr>
        <w:t xml:space="preserve"> MDS/TED </w:t>
      </w:r>
      <w:r w:rsidR="00584E77" w:rsidRPr="000665B0">
        <w:rPr>
          <w:b/>
        </w:rPr>
        <w:t>via a DDO</w:t>
      </w:r>
      <w:r w:rsidRPr="000665B0">
        <w:rPr>
          <w:b/>
        </w:rPr>
        <w:t xml:space="preserve">. SSA files </w:t>
      </w:r>
      <w:r w:rsidR="00766174" w:rsidRPr="000665B0">
        <w:rPr>
          <w:b/>
        </w:rPr>
        <w:t xml:space="preserve">must be obtained </w:t>
      </w:r>
      <w:r w:rsidRPr="000665B0">
        <w:rPr>
          <w:b/>
        </w:rPr>
        <w:t xml:space="preserve">from the planning center. </w:t>
      </w:r>
    </w:p>
    <w:p w14:paraId="79C7BE8A" w14:textId="6D8566DD" w:rsidR="004963AE" w:rsidRPr="000665B0" w:rsidRDefault="00584E77" w:rsidP="00951D5A">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sidRPr="000665B0">
        <w:rPr>
          <w:b/>
        </w:rPr>
        <w:t xml:space="preserve">However, SSA </w:t>
      </w:r>
      <w:r w:rsidR="004963AE" w:rsidRPr="000665B0">
        <w:rPr>
          <w:b/>
        </w:rPr>
        <w:t xml:space="preserve">files </w:t>
      </w:r>
      <w:r w:rsidRPr="000665B0">
        <w:rPr>
          <w:b/>
        </w:rPr>
        <w:t>can be distributed</w:t>
      </w:r>
      <w:r w:rsidR="002A67ED" w:rsidRPr="000665B0">
        <w:rPr>
          <w:b/>
        </w:rPr>
        <w:t xml:space="preserve"> to TTWCS </w:t>
      </w:r>
      <w:r w:rsidRPr="000665B0">
        <w:rPr>
          <w:b/>
        </w:rPr>
        <w:t>via</w:t>
      </w:r>
      <w:r w:rsidR="004963AE" w:rsidRPr="000665B0">
        <w:rPr>
          <w:b/>
        </w:rPr>
        <w:t xml:space="preserve"> </w:t>
      </w:r>
      <w:r w:rsidR="00766174" w:rsidRPr="000665B0">
        <w:rPr>
          <w:b/>
        </w:rPr>
        <w:t>the</w:t>
      </w:r>
      <w:r w:rsidRPr="000665B0">
        <w:rPr>
          <w:b/>
        </w:rPr>
        <w:t xml:space="preserve"> </w:t>
      </w:r>
      <w:r w:rsidR="004963AE" w:rsidRPr="000665B0">
        <w:rPr>
          <w:b/>
        </w:rPr>
        <w:t>TCIDB Extract/Update</w:t>
      </w:r>
      <w:r w:rsidR="00766174" w:rsidRPr="000665B0">
        <w:rPr>
          <w:b/>
        </w:rPr>
        <w:t xml:space="preserve"> process</w:t>
      </w:r>
      <w:r w:rsidR="004963AE" w:rsidRPr="000665B0">
        <w:rPr>
          <w:b/>
        </w:rPr>
        <w:t>.</w:t>
      </w:r>
      <w:r w:rsidR="00766174" w:rsidRPr="000665B0">
        <w:rPr>
          <w:b/>
        </w:rPr>
        <w:t xml:space="preserve"> </w:t>
      </w:r>
    </w:p>
    <w:p w14:paraId="7EE5BCB9" w14:textId="77777777" w:rsidR="003802E3" w:rsidRPr="000665B0" w:rsidRDefault="003802E3" w:rsidP="00E7111D">
      <w:pPr>
        <w:spacing w:after="0"/>
        <w:jc w:val="center"/>
      </w:pPr>
    </w:p>
    <w:p w14:paraId="7C5F6E97" w14:textId="7CFADAC2" w:rsidR="007F1F06" w:rsidRPr="000665B0" w:rsidRDefault="003802E3" w:rsidP="005E043D">
      <w:pPr>
        <w:keepNext/>
        <w:keepLines/>
        <w:pBdr>
          <w:top w:val="single" w:sz="12" w:space="1" w:color="auto"/>
          <w:left w:val="single" w:sz="12" w:space="4" w:color="auto"/>
          <w:bottom w:val="single" w:sz="12" w:space="1" w:color="auto"/>
          <w:right w:val="single" w:sz="12" w:space="4" w:color="auto"/>
        </w:pBdr>
        <w:shd w:val="clear" w:color="auto" w:fill="D9D9D9"/>
        <w:spacing w:after="0" w:line="240" w:lineRule="auto"/>
        <w:jc w:val="center"/>
        <w:rPr>
          <w:b/>
        </w:rPr>
      </w:pPr>
      <w:r w:rsidRPr="000665B0">
        <w:rPr>
          <w:b/>
        </w:rPr>
        <w:lastRenderedPageBreak/>
        <w:t xml:space="preserve">Note: </w:t>
      </w:r>
    </w:p>
    <w:p w14:paraId="4E860A81" w14:textId="29BE1604" w:rsidR="003802E3" w:rsidRPr="000665B0" w:rsidRDefault="003802E3" w:rsidP="004E7DCC">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An Extract is used when creating an initial database load out, or when replacing an existing TTWCS database. The DDO Processor will automatically add several necessary Distribution Data Items (i.e., VMIL, VFIL, and PCTRF). However, the corresponding checkboxes will remain unchecked. When TTWCS receives a TCIDB-Extract Disk, it drops both Tactical and Training PML databases and creates a new PML with only what is on the Extract Disk. Since TTWCS cannot recover a PML, it is extremely important that the TTWCS operator requests and processes the appropriate TCIDB.</w:t>
      </w:r>
    </w:p>
    <w:p w14:paraId="074DD61A" w14:textId="47D908F1" w:rsidR="003802E3" w:rsidRPr="000665B0" w:rsidRDefault="008272BC" w:rsidP="004E7DCC">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szCs w:val="24"/>
        </w:rPr>
        <w:t>If producing a Gold Disc or including 109C data in the Extract, a</w:t>
      </w:r>
      <w:r w:rsidR="00AB71E5" w:rsidRPr="000665B0">
        <w:rPr>
          <w:b/>
          <w:szCs w:val="24"/>
        </w:rPr>
        <w:t>t least one</w:t>
      </w:r>
      <w:r w:rsidR="003802E3" w:rsidRPr="000665B0">
        <w:rPr>
          <w:b/>
          <w:szCs w:val="24"/>
        </w:rPr>
        <w:t xml:space="preserve"> </w:t>
      </w:r>
      <w:r w:rsidRPr="000665B0">
        <w:rPr>
          <w:b/>
          <w:szCs w:val="24"/>
        </w:rPr>
        <w:t>109C</w:t>
      </w:r>
      <w:r w:rsidR="00AB71E5" w:rsidRPr="000665B0">
        <w:rPr>
          <w:b/>
          <w:szCs w:val="24"/>
        </w:rPr>
        <w:t xml:space="preserve"> and </w:t>
      </w:r>
      <w:r w:rsidRPr="000665B0">
        <w:rPr>
          <w:b/>
          <w:szCs w:val="24"/>
        </w:rPr>
        <w:t>109E</w:t>
      </w:r>
      <w:r w:rsidR="00AB71E5" w:rsidRPr="000665B0">
        <w:rPr>
          <w:b/>
          <w:szCs w:val="24"/>
        </w:rPr>
        <w:t xml:space="preserve"> </w:t>
      </w:r>
      <w:r w:rsidR="003802E3" w:rsidRPr="000665B0">
        <w:rPr>
          <w:b/>
          <w:szCs w:val="24"/>
        </w:rPr>
        <w:t xml:space="preserve">mission must be added to the DDO. </w:t>
      </w:r>
      <w:r w:rsidRPr="000665B0">
        <w:rPr>
          <w:b/>
          <w:szCs w:val="24"/>
        </w:rPr>
        <w:t>If producing a 109E Extract, at least one 109E mission must be added to the DDO.</w:t>
      </w:r>
    </w:p>
    <w:p w14:paraId="501B51C0" w14:textId="77777777" w:rsidR="003802E3" w:rsidRPr="000665B0" w:rsidRDefault="003802E3" w:rsidP="004E7DCC">
      <w:pPr>
        <w:keepNext/>
        <w:keepLines/>
        <w:pBdr>
          <w:top w:val="single" w:sz="12" w:space="1" w:color="auto"/>
          <w:left w:val="single" w:sz="12" w:space="4" w:color="auto"/>
          <w:bottom w:val="single" w:sz="12" w:space="1" w:color="auto"/>
          <w:right w:val="single" w:sz="12" w:space="4" w:color="auto"/>
        </w:pBdr>
        <w:shd w:val="clear" w:color="auto" w:fill="D9D9D9"/>
        <w:jc w:val="center"/>
        <w:rPr>
          <w:b/>
        </w:rPr>
      </w:pPr>
      <w:r w:rsidRPr="000665B0">
        <w:rPr>
          <w:b/>
        </w:rPr>
        <w:t xml:space="preserve">An </w:t>
      </w:r>
      <w:r w:rsidR="00A52A07" w:rsidRPr="000665B0">
        <w:rPr>
          <w:b/>
        </w:rPr>
        <w:t>U</w:t>
      </w:r>
      <w:r w:rsidRPr="000665B0">
        <w:rPr>
          <w:b/>
        </w:rPr>
        <w:t>pdate is used to append data to an existing PML.</w:t>
      </w:r>
    </w:p>
    <w:p w14:paraId="431C1654" w14:textId="77777777" w:rsidR="003802E3" w:rsidRPr="000665B0" w:rsidRDefault="003802E3" w:rsidP="006D5A65">
      <w:pPr>
        <w:pStyle w:val="Heading1"/>
      </w:pPr>
      <w:r w:rsidRPr="000665B0">
        <w:t xml:space="preserve">Add data items to be transmitted after selecting the appropriate Data tab at the bottom of the window </w:t>
      </w:r>
      <w:r w:rsidRPr="000665B0">
        <w:rPr>
          <w:bCs/>
          <w:color w:val="000000"/>
        </w:rPr>
        <w:t>(i.e., Missions, DSMACs, TERCOMs, etc.)</w:t>
      </w:r>
      <w:r w:rsidRPr="000665B0">
        <w:t>. Right-click in the white area of the DDO Template and select Add…. A selection window specific to the tool that is selected is displayed.</w:t>
      </w:r>
    </w:p>
    <w:p w14:paraId="27917DB7" w14:textId="77777777" w:rsidR="003802E3" w:rsidRPr="000665B0" w:rsidRDefault="003802E3" w:rsidP="006D5A65">
      <w:pPr>
        <w:pStyle w:val="Heading1"/>
      </w:pPr>
      <w:r w:rsidRPr="000665B0">
        <w:t xml:space="preserve">Select the desired data item(s). Drag and drop the data item(s) from the window for transfer onto the </w:t>
      </w:r>
      <w:r w:rsidRPr="000665B0">
        <w:rPr>
          <w:i/>
        </w:rPr>
        <w:t>DDO</w:t>
      </w:r>
      <w:r w:rsidRPr="000665B0">
        <w:t xml:space="preserve"> </w:t>
      </w:r>
      <w:r w:rsidRPr="000665B0">
        <w:rPr>
          <w:i/>
        </w:rPr>
        <w:t>Template Data</w:t>
      </w:r>
      <w:r w:rsidRPr="000665B0">
        <w:t xml:space="preserve"> tab.</w:t>
      </w:r>
    </w:p>
    <w:p w14:paraId="1390B039" w14:textId="77777777" w:rsidR="003802E3" w:rsidRPr="000665B0" w:rsidRDefault="003802E3" w:rsidP="003802E3">
      <w:pPr>
        <w:ind w:left="720"/>
      </w:pPr>
      <w:r w:rsidRPr="000665B0">
        <w:t xml:space="preserve">or </w:t>
      </w:r>
    </w:p>
    <w:p w14:paraId="30C52CE9" w14:textId="015C27CA" w:rsidR="003802E3" w:rsidRPr="000665B0" w:rsidRDefault="003802E3" w:rsidP="003802E3">
      <w:pPr>
        <w:ind w:left="1080" w:hanging="360"/>
      </w:pPr>
      <w:r w:rsidRPr="000665B0">
        <w:t xml:space="preserve">b. </w:t>
      </w:r>
      <w:r w:rsidRPr="000665B0">
        <w:tab/>
        <w:t xml:space="preserve">Select the desired data item(s) and click </w:t>
      </w:r>
      <w:r w:rsidRPr="000665B0">
        <w:rPr>
          <w:b/>
        </w:rPr>
        <w:t xml:space="preserve">OK. </w:t>
      </w:r>
      <w:r w:rsidRPr="000665B0">
        <w:t xml:space="preserve">(For a list of what data can be sent to whom, see </w:t>
      </w:r>
      <w:hyperlink w:anchor="_Appendix_D__DATA_SENT_FROM_PC-MDS" w:history="1">
        <w:r w:rsidRPr="000665B0">
          <w:rPr>
            <w:color w:val="0000FF"/>
            <w:u w:val="single"/>
          </w:rPr>
          <w:t>Appendix D</w:t>
        </w:r>
      </w:hyperlink>
      <w:r w:rsidRPr="000665B0">
        <w:t>.)</w:t>
      </w:r>
    </w:p>
    <w:p w14:paraId="1758B4F3" w14:textId="77777777" w:rsidR="003802E3" w:rsidRPr="000665B0" w:rsidRDefault="003802E3" w:rsidP="006D5A65">
      <w:pPr>
        <w:pStyle w:val="Heading1"/>
      </w:pPr>
      <w:r w:rsidRPr="000665B0">
        <w:t xml:space="preserve">Repeat as needed for each Data tab at the bottom of the </w:t>
      </w:r>
      <w:r w:rsidRPr="000665B0">
        <w:rPr>
          <w:i/>
        </w:rPr>
        <w:t>DDO Template</w:t>
      </w:r>
      <w:r w:rsidRPr="000665B0">
        <w:t xml:space="preserve"> window.</w:t>
      </w:r>
    </w:p>
    <w:p w14:paraId="41227AA3" w14:textId="77777777" w:rsidR="003802E3" w:rsidRPr="000665B0" w:rsidRDefault="003802E3" w:rsidP="006D5A65">
      <w:pPr>
        <w:pStyle w:val="Heading1"/>
      </w:pPr>
      <w:r w:rsidRPr="000665B0">
        <w:t xml:space="preserve">From the </w:t>
      </w:r>
      <w:r w:rsidRPr="000665B0">
        <w:rPr>
          <w:iCs/>
        </w:rPr>
        <w:t>File</w:t>
      </w:r>
      <w:r w:rsidRPr="000665B0">
        <w:t xml:space="preserve"> menu select </w:t>
      </w:r>
      <w:r w:rsidRPr="000665B0">
        <w:rPr>
          <w:bCs/>
        </w:rPr>
        <w:t>Save</w:t>
      </w:r>
      <w:r w:rsidRPr="000665B0">
        <w:t>.</w:t>
      </w:r>
    </w:p>
    <w:p w14:paraId="62C78712" w14:textId="77777777" w:rsidR="003802E3" w:rsidRPr="000665B0" w:rsidRDefault="003802E3" w:rsidP="006D5A65">
      <w:pPr>
        <w:pStyle w:val="Heading1"/>
      </w:pPr>
      <w:r w:rsidRPr="000665B0">
        <w:t xml:space="preserve">Once a DDO Template has been assembled, it does not have to be saved to send it. Saving the DDO Template allows for modification at a later time. </w:t>
      </w:r>
    </w:p>
    <w:p w14:paraId="1B959ECC" w14:textId="77777777" w:rsidR="005D1A26" w:rsidRPr="000665B0" w:rsidRDefault="003802E3" w:rsidP="006D5A65">
      <w:pPr>
        <w:pStyle w:val="Heading1"/>
      </w:pPr>
      <w:r w:rsidRPr="000665B0">
        <w:t xml:space="preserve">Compatibility checks are performed during the send process and not during the save process. A DDO Template that </w:t>
      </w:r>
      <w:r w:rsidRPr="000665B0">
        <w:lastRenderedPageBreak/>
        <w:t>is saved may encounter transmission problems or incompatibility warnings when it is actually sent.</w:t>
      </w:r>
    </w:p>
    <w:p w14:paraId="55F9C91B" w14:textId="12F93F45" w:rsidR="009732DE" w:rsidRPr="000665B0" w:rsidRDefault="005D1A26" w:rsidP="006D5A65">
      <w:pPr>
        <w:pStyle w:val="Heading1"/>
      </w:pPr>
      <w:r w:rsidRPr="000665B0">
        <w:t xml:space="preserve">From the File menu select Send or click on the Send </w:t>
      </w:r>
      <w:r w:rsidR="007F7916" w:rsidRPr="000665B0">
        <w:rPr>
          <w:noProof/>
        </w:rPr>
        <w:drawing>
          <wp:inline distT="0" distB="0" distL="0" distR="0" wp14:anchorId="6B63F92B" wp14:editId="755AE001">
            <wp:extent cx="152400" cy="152400"/>
            <wp:effectExtent l="0" t="0" r="0" b="0"/>
            <wp:docPr id="529" name="Picture 529"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007F7916" w:rsidRPr="000665B0">
        <w:t xml:space="preserve"> </w:t>
      </w:r>
      <w:r w:rsidRPr="000665B0">
        <w:t xml:space="preserve">icon to generate the DDO. Take note of </w:t>
      </w:r>
      <w:r w:rsidR="00072699" w:rsidRPr="000665B0">
        <w:t xml:space="preserve">the </w:t>
      </w:r>
      <w:r w:rsidRPr="000665B0">
        <w:t>DDO</w:t>
      </w:r>
      <w:r w:rsidR="00072699" w:rsidRPr="000665B0">
        <w:t xml:space="preserve"> ID(s) </w:t>
      </w:r>
      <w:r w:rsidRPr="000665B0">
        <w:t xml:space="preserve">and click </w:t>
      </w:r>
      <w:r w:rsidR="009732DE" w:rsidRPr="000665B0">
        <w:t>Approve</w:t>
      </w:r>
      <w:r w:rsidRPr="000665B0">
        <w:t xml:space="preserve">. </w:t>
      </w:r>
    </w:p>
    <w:p w14:paraId="6AA4F835" w14:textId="0ED4FC64" w:rsidR="009732DE" w:rsidRPr="000665B0" w:rsidRDefault="00AB71E5" w:rsidP="009732DE">
      <w:pPr>
        <w:jc w:val="center"/>
      </w:pPr>
      <w:r w:rsidRPr="000665B0">
        <w:rPr>
          <w:noProof/>
        </w:rPr>
        <w:drawing>
          <wp:inline distT="0" distB="0" distL="0" distR="0" wp14:anchorId="15A8E8B8" wp14:editId="4DDE7F5B">
            <wp:extent cx="5076825" cy="1357617"/>
            <wp:effectExtent l="0" t="0" r="0" b="0"/>
            <wp:docPr id="1236" name="Picture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5096369" cy="1362843"/>
                    </a:xfrm>
                    <a:prstGeom prst="rect">
                      <a:avLst/>
                    </a:prstGeom>
                  </pic:spPr>
                </pic:pic>
              </a:graphicData>
            </a:graphic>
          </wp:inline>
        </w:drawing>
      </w:r>
    </w:p>
    <w:p w14:paraId="55D2FC91" w14:textId="77777777" w:rsidR="009732DE" w:rsidRPr="000665B0" w:rsidRDefault="001C5E6B" w:rsidP="009732DE">
      <w:pPr>
        <w:ind w:left="720"/>
      </w:pPr>
      <w:r w:rsidRPr="000665B0">
        <w:t xml:space="preserve">The </w:t>
      </w:r>
      <w:r w:rsidRPr="000665B0">
        <w:rPr>
          <w:b/>
        </w:rPr>
        <w:t>Status</w:t>
      </w:r>
      <w:r w:rsidRPr="000665B0">
        <w:t xml:space="preserve"> column quickly changes to </w:t>
      </w:r>
      <w:r w:rsidRPr="000665B0">
        <w:rPr>
          <w:b/>
        </w:rPr>
        <w:t>Sending</w:t>
      </w:r>
      <w:r w:rsidRPr="000665B0">
        <w:t xml:space="preserve"> and then to </w:t>
      </w:r>
      <w:r w:rsidRPr="000665B0">
        <w:rPr>
          <w:b/>
        </w:rPr>
        <w:t>Media Written</w:t>
      </w:r>
      <w:r w:rsidRPr="000665B0">
        <w:t xml:space="preserve"> for Media DDOs. The window name also changes to </w:t>
      </w:r>
      <w:r w:rsidRPr="000665B0">
        <w:rPr>
          <w:i/>
        </w:rPr>
        <w:t>Confirmation</w:t>
      </w:r>
      <w:r w:rsidRPr="000665B0">
        <w:t xml:space="preserve">; select the </w:t>
      </w:r>
      <w:r w:rsidRPr="000665B0">
        <w:rPr>
          <w:b/>
        </w:rPr>
        <w:t>Close</w:t>
      </w:r>
      <w:r w:rsidRPr="000665B0">
        <w:t xml:space="preserve"> button to close the window.</w:t>
      </w:r>
    </w:p>
    <w:p w14:paraId="1A30356C" w14:textId="4CAE6E5B" w:rsidR="009732DE" w:rsidRPr="000665B0" w:rsidRDefault="00AB71E5" w:rsidP="009732DE">
      <w:pPr>
        <w:jc w:val="center"/>
      </w:pPr>
      <w:r w:rsidRPr="000665B0">
        <w:rPr>
          <w:noProof/>
        </w:rPr>
        <w:drawing>
          <wp:inline distT="0" distB="0" distL="0" distR="0" wp14:anchorId="01E7A62C" wp14:editId="50416B33">
            <wp:extent cx="5029200" cy="1423865"/>
            <wp:effectExtent l="0" t="0" r="0" b="5080"/>
            <wp:docPr id="1238" name="Picture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5052449" cy="1430447"/>
                    </a:xfrm>
                    <a:prstGeom prst="rect">
                      <a:avLst/>
                    </a:prstGeom>
                  </pic:spPr>
                </pic:pic>
              </a:graphicData>
            </a:graphic>
          </wp:inline>
        </w:drawing>
      </w:r>
    </w:p>
    <w:p w14:paraId="467E358B" w14:textId="3AFBFE69" w:rsidR="005D1A26" w:rsidRPr="000665B0" w:rsidRDefault="005D1A26" w:rsidP="006D5A65">
      <w:pPr>
        <w:pStyle w:val="Heading1"/>
      </w:pPr>
      <w:r w:rsidRPr="000665B0">
        <w:t xml:space="preserve">Using Windows </w:t>
      </w:r>
      <w:r w:rsidR="00B75554" w:rsidRPr="000665B0">
        <w:t xml:space="preserve">File </w:t>
      </w:r>
      <w:r w:rsidRPr="000665B0">
        <w:t>Explorer, open the DDO’s destination folder</w:t>
      </w:r>
      <w:r w:rsidR="0020576F" w:rsidRPr="000665B0">
        <w:t xml:space="preserve"> that was specified earlier</w:t>
      </w:r>
      <w:r w:rsidR="0057154D" w:rsidRPr="000665B0">
        <w:t xml:space="preserve">. Open </w:t>
      </w:r>
      <w:r w:rsidRPr="000665B0">
        <w:t xml:space="preserve">the folder containing the TTWCS </w:t>
      </w:r>
      <w:r w:rsidR="009B32F3" w:rsidRPr="000665B0">
        <w:t>files and</w:t>
      </w:r>
      <w:r w:rsidRPr="000665B0">
        <w:t xml:space="preserve"> move the </w:t>
      </w:r>
      <w:r w:rsidR="00A70361" w:rsidRPr="000665B0">
        <w:t>DdoManifest_</w:t>
      </w:r>
      <w:r w:rsidR="009732DE" w:rsidRPr="000665B0">
        <w:t>nnnnn</w:t>
      </w:r>
      <w:r w:rsidRPr="000665B0">
        <w:t xml:space="preserve">-nnnnn.xml file to the </w:t>
      </w:r>
      <w:r w:rsidR="0057154D" w:rsidRPr="000665B0">
        <w:t xml:space="preserve">folder </w:t>
      </w:r>
      <w:r w:rsidRPr="000665B0">
        <w:t xml:space="preserve">containing the MDS files. </w:t>
      </w:r>
    </w:p>
    <w:p w14:paraId="72D8F002" w14:textId="0B6FF2A4" w:rsidR="00A70361" w:rsidRPr="000665B0" w:rsidRDefault="005D1A26" w:rsidP="006D5A65">
      <w:pPr>
        <w:pStyle w:val="Heading1"/>
      </w:pPr>
      <w:r w:rsidRPr="000665B0">
        <w:t xml:space="preserve">Open the TCI_TTWCS </w:t>
      </w:r>
      <w:r w:rsidR="0057154D" w:rsidRPr="000665B0">
        <w:t xml:space="preserve">folder </w:t>
      </w:r>
      <w:r w:rsidRPr="000665B0">
        <w:t xml:space="preserve">and verify </w:t>
      </w:r>
      <w:r w:rsidR="00AF7599" w:rsidRPr="000665B0">
        <w:t xml:space="preserve">that </w:t>
      </w:r>
      <w:r w:rsidRPr="000665B0">
        <w:t xml:space="preserve">there are </w:t>
      </w:r>
      <w:r w:rsidR="00F938A6" w:rsidRPr="000665B0">
        <w:t xml:space="preserve">11 </w:t>
      </w:r>
      <w:r w:rsidR="0057154D" w:rsidRPr="000665B0">
        <w:t xml:space="preserve">subfolders </w:t>
      </w:r>
      <w:r w:rsidRPr="000665B0">
        <w:t xml:space="preserve">(ACMS, DSMAC_MAPS, MISSIONS, OES_COMPONENTS, </w:t>
      </w:r>
      <w:r w:rsidR="00F938A6" w:rsidRPr="000665B0">
        <w:t xml:space="preserve">MTIF, </w:t>
      </w:r>
      <w:r w:rsidRPr="000665B0">
        <w:t>OES_VERSIONS, PCT, TERCOM_MAPS, VMIL, VPL, XFS_BLIII) and a .DML file</w:t>
      </w:r>
      <w:r w:rsidR="00C816C6" w:rsidRPr="000665B0">
        <w:t>.</w:t>
      </w:r>
      <w:r w:rsidRPr="000665B0">
        <w:t xml:space="preserve"> If </w:t>
      </w:r>
      <w:r w:rsidR="00AF7599" w:rsidRPr="000665B0">
        <w:t>these files are not present, this is</w:t>
      </w:r>
      <w:r w:rsidRPr="000665B0">
        <w:t xml:space="preserve"> an invalid TCIDB.</w:t>
      </w:r>
    </w:p>
    <w:p w14:paraId="077C66C1" w14:textId="40A07852" w:rsidR="00984D2D" w:rsidRPr="000665B0" w:rsidRDefault="00984D2D" w:rsidP="006D5A65">
      <w:pPr>
        <w:pStyle w:val="Heading1"/>
      </w:pPr>
      <w:r w:rsidRPr="000665B0">
        <w:t xml:space="preserve">If using </w:t>
      </w:r>
      <w:r w:rsidR="00756265" w:rsidRPr="000665B0">
        <w:t xml:space="preserve">WinZip </w:t>
      </w:r>
      <w:r w:rsidRPr="000665B0">
        <w:t xml:space="preserve">software to create a CD, proceed to </w:t>
      </w:r>
      <w:r w:rsidR="00E21AB0" w:rsidRPr="000665B0">
        <w:t>the next step</w:t>
      </w:r>
      <w:r w:rsidRPr="000665B0">
        <w:t xml:space="preserve">. If using InfraRecorder software to create a CD, proceed to Step </w:t>
      </w:r>
      <w:r w:rsidR="00684153" w:rsidRPr="000665B0">
        <w:t>33</w:t>
      </w:r>
      <w:r w:rsidRPr="000665B0">
        <w:t>.</w:t>
      </w:r>
    </w:p>
    <w:p w14:paraId="4A7EAE7D" w14:textId="18D4C61E" w:rsidR="00984D2D" w:rsidRPr="000665B0" w:rsidRDefault="000C47D5" w:rsidP="006D5A65">
      <w:pPr>
        <w:pStyle w:val="Heading1"/>
      </w:pPr>
      <w:r w:rsidRPr="000665B0">
        <w:t xml:space="preserve">Right-click the </w:t>
      </w:r>
      <w:r w:rsidRPr="000665B0">
        <w:rPr>
          <w:noProof/>
        </w:rPr>
        <w:drawing>
          <wp:inline distT="0" distB="0" distL="0" distR="0" wp14:anchorId="01632211" wp14:editId="531E8C2A">
            <wp:extent cx="182880" cy="178068"/>
            <wp:effectExtent l="0" t="0" r="7620" b="0"/>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0665B0">
        <w:t xml:space="preserve"> icon and select Search from the pop-up menu. Type </w:t>
      </w:r>
      <w:r w:rsidR="00154F40" w:rsidRPr="000665B0">
        <w:t xml:space="preserve">WinZip </w:t>
      </w:r>
      <w:r w:rsidRPr="000665B0">
        <w:t xml:space="preserve">in the Search field, and then select </w:t>
      </w:r>
      <w:r w:rsidR="00154F40" w:rsidRPr="000665B0">
        <w:t xml:space="preserve">WinZip </w:t>
      </w:r>
      <w:r w:rsidR="009021B1" w:rsidRPr="000665B0">
        <w:t xml:space="preserve">Secure </w:t>
      </w:r>
      <w:r w:rsidRPr="000665B0">
        <w:t>Burn</w:t>
      </w:r>
      <w:r w:rsidR="009021B1" w:rsidRPr="000665B0">
        <w:t xml:space="preserve"> Enterprise</w:t>
      </w:r>
      <w:r w:rsidRPr="000665B0">
        <w:t xml:space="preserve"> in the results list. </w:t>
      </w:r>
      <w:r w:rsidR="009021B1" w:rsidRPr="000665B0">
        <w:t xml:space="preserve">Alternatively, </w:t>
      </w:r>
      <w:r w:rsidR="009021B1" w:rsidRPr="000665B0">
        <w:lastRenderedPageBreak/>
        <w:t xml:space="preserve">double-click the </w:t>
      </w:r>
      <w:r w:rsidR="002A3C35" w:rsidRPr="000665B0">
        <w:t xml:space="preserve">WinZip </w:t>
      </w:r>
      <w:r w:rsidR="009021B1" w:rsidRPr="000665B0">
        <w:t xml:space="preserve">Secure Burn Enterprise icon to launch </w:t>
      </w:r>
      <w:r w:rsidR="00756265" w:rsidRPr="000665B0">
        <w:t>WinZip Secure Burn</w:t>
      </w:r>
      <w:r w:rsidR="009021B1" w:rsidRPr="000665B0">
        <w:t>.</w:t>
      </w:r>
    </w:p>
    <w:p w14:paraId="6C4DBA05" w14:textId="0E2E2E62" w:rsidR="00154F40" w:rsidRPr="000665B0" w:rsidRDefault="00154F40" w:rsidP="006D5A65">
      <w:pPr>
        <w:pStyle w:val="Heading1"/>
      </w:pPr>
      <w:r w:rsidRPr="000665B0">
        <w:t xml:space="preserve">If prompted, </w:t>
      </w:r>
      <w:r w:rsidR="008D08D1" w:rsidRPr="000665B0">
        <w:t>click</w:t>
      </w:r>
      <w:r w:rsidRPr="000665B0">
        <w:t xml:space="preserve"> </w:t>
      </w:r>
      <w:r w:rsidR="008D08D1" w:rsidRPr="000665B0">
        <w:t>Yes</w:t>
      </w:r>
      <w:r w:rsidRPr="000665B0">
        <w:t xml:space="preserve"> in the </w:t>
      </w:r>
      <w:r w:rsidR="008D08D1" w:rsidRPr="000665B0">
        <w:rPr>
          <w:i/>
        </w:rPr>
        <w:t>User Account</w:t>
      </w:r>
      <w:r w:rsidR="009769E6" w:rsidRPr="000665B0">
        <w:rPr>
          <w:i/>
        </w:rPr>
        <w:t xml:space="preserve"> Control</w:t>
      </w:r>
      <w:r w:rsidRPr="000665B0">
        <w:t xml:space="preserve"> window</w:t>
      </w:r>
      <w:r w:rsidR="008D08D1" w:rsidRPr="000665B0">
        <w:t>.</w:t>
      </w:r>
    </w:p>
    <w:p w14:paraId="3B52AFE5" w14:textId="35C134FB" w:rsidR="009021B1" w:rsidRPr="000665B0" w:rsidRDefault="009021B1" w:rsidP="006D5A65">
      <w:pPr>
        <w:pStyle w:val="Heading1"/>
      </w:pPr>
      <w:r w:rsidRPr="000665B0">
        <w:t xml:space="preserve">The </w:t>
      </w:r>
      <w:r w:rsidR="00756265" w:rsidRPr="000665B0">
        <w:rPr>
          <w:i/>
        </w:rPr>
        <w:t xml:space="preserve">WinZip </w:t>
      </w:r>
      <w:r w:rsidRPr="000665B0">
        <w:rPr>
          <w:i/>
        </w:rPr>
        <w:t>Secure Burn</w:t>
      </w:r>
      <w:r w:rsidRPr="000665B0">
        <w:t xml:space="preserve"> window is displayed</w:t>
      </w:r>
      <w:r w:rsidR="00387253" w:rsidRPr="000665B0">
        <w:t>, indicating</w:t>
      </w:r>
      <w:r w:rsidRPr="000665B0">
        <w:t xml:space="preserve"> No disc.</w:t>
      </w:r>
    </w:p>
    <w:p w14:paraId="6E32C752" w14:textId="501A50FB" w:rsidR="009021B1" w:rsidRPr="000665B0" w:rsidRDefault="00142226" w:rsidP="004E7DCC">
      <w:pPr>
        <w:jc w:val="center"/>
      </w:pPr>
      <w:r w:rsidRPr="000665B0">
        <w:rPr>
          <w:noProof/>
        </w:rPr>
        <w:drawing>
          <wp:inline distT="0" distB="0" distL="0" distR="0" wp14:anchorId="5215E7E8" wp14:editId="68AFEB2B">
            <wp:extent cx="2262909" cy="766709"/>
            <wp:effectExtent l="0" t="0" r="4445" b="0"/>
            <wp:docPr id="1300" name="Picture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319068" cy="785737"/>
                    </a:xfrm>
                    <a:prstGeom prst="rect">
                      <a:avLst/>
                    </a:prstGeom>
                  </pic:spPr>
                </pic:pic>
              </a:graphicData>
            </a:graphic>
          </wp:inline>
        </w:drawing>
      </w:r>
    </w:p>
    <w:p w14:paraId="78F8C9F9" w14:textId="77777777" w:rsidR="00AC5CA0" w:rsidRPr="000665B0" w:rsidRDefault="00AC5CA0" w:rsidP="006D5A65">
      <w:pPr>
        <w:pStyle w:val="Heading1"/>
      </w:pPr>
      <w:r w:rsidRPr="000665B0">
        <w:t>Insert a blank CD-R into the CD drive.</w:t>
      </w:r>
    </w:p>
    <w:p w14:paraId="7A224BA6" w14:textId="1CA1982F" w:rsidR="009021B1" w:rsidRPr="000665B0" w:rsidRDefault="009021B1" w:rsidP="006D5A65">
      <w:pPr>
        <w:pStyle w:val="Heading1"/>
      </w:pPr>
      <w:r w:rsidRPr="000665B0">
        <w:t xml:space="preserve">The </w:t>
      </w:r>
      <w:r w:rsidR="00756265" w:rsidRPr="000665B0">
        <w:rPr>
          <w:i/>
        </w:rPr>
        <w:t>WinZip</w:t>
      </w:r>
      <w:r w:rsidR="00756265" w:rsidRPr="000665B0" w:rsidDel="00756265">
        <w:rPr>
          <w:i/>
        </w:rPr>
        <w:t xml:space="preserve"> </w:t>
      </w:r>
      <w:r w:rsidRPr="000665B0">
        <w:rPr>
          <w:i/>
        </w:rPr>
        <w:t>Secure Burn</w:t>
      </w:r>
      <w:r w:rsidRPr="000665B0">
        <w:t xml:space="preserve"> window is updated </w:t>
      </w:r>
      <w:r w:rsidR="00387253" w:rsidRPr="000665B0">
        <w:t>to indicate a</w:t>
      </w:r>
      <w:r w:rsidRPr="000665B0">
        <w:t xml:space="preserve"> Blank disc.</w:t>
      </w:r>
    </w:p>
    <w:p w14:paraId="5C8E8A69" w14:textId="7E58053C" w:rsidR="00A76D64" w:rsidRPr="000665B0" w:rsidRDefault="00401184" w:rsidP="004E7DCC">
      <w:pPr>
        <w:jc w:val="center"/>
      </w:pPr>
      <w:r w:rsidRPr="000665B0">
        <w:rPr>
          <w:noProof/>
        </w:rPr>
        <w:drawing>
          <wp:inline distT="0" distB="0" distL="0" distR="0" wp14:anchorId="5ECD763B" wp14:editId="3FDDC00A">
            <wp:extent cx="2258568" cy="768096"/>
            <wp:effectExtent l="0" t="0" r="8890" b="0"/>
            <wp:docPr id="1603" name="Picture 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58568" cy="768096"/>
                    </a:xfrm>
                    <a:prstGeom prst="rect">
                      <a:avLst/>
                    </a:prstGeom>
                  </pic:spPr>
                </pic:pic>
              </a:graphicData>
            </a:graphic>
          </wp:inline>
        </w:drawing>
      </w:r>
    </w:p>
    <w:p w14:paraId="588261A0" w14:textId="480F7FDD" w:rsidR="00D142FB" w:rsidRPr="000665B0" w:rsidRDefault="00D142FB" w:rsidP="006D5A65">
      <w:pPr>
        <w:pStyle w:val="Heading1"/>
      </w:pPr>
      <w:r w:rsidRPr="000665B0">
        <w:t xml:space="preserve">There are </w:t>
      </w:r>
      <w:r w:rsidR="000B2BBA" w:rsidRPr="000665B0">
        <w:t>several</w:t>
      </w:r>
      <w:r w:rsidRPr="000665B0">
        <w:t xml:space="preserve"> ways to add the TCI_TTWCS folder to the CD:</w:t>
      </w:r>
    </w:p>
    <w:p w14:paraId="179F8690" w14:textId="10813279" w:rsidR="00D142FB" w:rsidRPr="000665B0" w:rsidRDefault="00D142FB" w:rsidP="006D5A65">
      <w:pPr>
        <w:pStyle w:val="Heading1"/>
      </w:pPr>
      <w:r w:rsidRPr="000665B0">
        <w:t xml:space="preserve">Navigate to the location of the DDOnnnn-nnnn folder established in Step 8. Click and drag the </w:t>
      </w:r>
      <w:r w:rsidR="000B2BBA" w:rsidRPr="000665B0">
        <w:t xml:space="preserve">TCI_TTWCS </w:t>
      </w:r>
      <w:r w:rsidRPr="000665B0">
        <w:t xml:space="preserve">folder </w:t>
      </w:r>
      <w:r w:rsidR="003F7C32" w:rsidRPr="000665B0">
        <w:t>over the disc icon</w:t>
      </w:r>
      <w:r w:rsidRPr="000665B0">
        <w:t xml:space="preserve"> on the </w:t>
      </w:r>
      <w:r w:rsidR="00756265" w:rsidRPr="000665B0">
        <w:rPr>
          <w:i/>
        </w:rPr>
        <w:t xml:space="preserve">WinZip </w:t>
      </w:r>
      <w:r w:rsidRPr="000665B0">
        <w:rPr>
          <w:i/>
        </w:rPr>
        <w:t>Secure Burn</w:t>
      </w:r>
      <w:r w:rsidRPr="000665B0">
        <w:t xml:space="preserve"> window</w:t>
      </w:r>
      <w:r w:rsidRPr="000665B0">
        <w:rPr>
          <w:szCs w:val="24"/>
        </w:rPr>
        <w:t>.</w:t>
      </w:r>
      <w:r w:rsidR="008313CC" w:rsidRPr="000665B0">
        <w:rPr>
          <w:szCs w:val="24"/>
        </w:rPr>
        <w:t xml:space="preserve"> </w:t>
      </w:r>
    </w:p>
    <w:p w14:paraId="7D23C9B7" w14:textId="477A0EDC" w:rsidR="00D142FB" w:rsidRPr="000665B0" w:rsidRDefault="003F7C32" w:rsidP="004E7DCC">
      <w:pPr>
        <w:ind w:left="720"/>
        <w:rPr>
          <w:szCs w:val="24"/>
        </w:rPr>
      </w:pPr>
      <w:r w:rsidRPr="000665B0">
        <w:rPr>
          <w:szCs w:val="24"/>
        </w:rPr>
        <w:t>o</w:t>
      </w:r>
      <w:r w:rsidR="00D142FB" w:rsidRPr="000665B0">
        <w:rPr>
          <w:szCs w:val="24"/>
        </w:rPr>
        <w:t>r</w:t>
      </w:r>
    </w:p>
    <w:p w14:paraId="1535FE44" w14:textId="78D09B98" w:rsidR="003F7C32" w:rsidRPr="000665B0" w:rsidRDefault="003F7C32" w:rsidP="006D5A65">
      <w:pPr>
        <w:pStyle w:val="Heading1"/>
      </w:pPr>
      <w:r w:rsidRPr="000665B0">
        <w:t>Double-click the disc icon.</w:t>
      </w:r>
    </w:p>
    <w:p w14:paraId="75EE05A2" w14:textId="0D4C1C1C" w:rsidR="003F7C32" w:rsidRPr="000665B0" w:rsidRDefault="003F7C32" w:rsidP="004E7DCC">
      <w:pPr>
        <w:ind w:left="720"/>
        <w:rPr>
          <w:szCs w:val="24"/>
        </w:rPr>
      </w:pPr>
      <w:r w:rsidRPr="000665B0">
        <w:rPr>
          <w:szCs w:val="24"/>
        </w:rPr>
        <w:t>or</w:t>
      </w:r>
    </w:p>
    <w:p w14:paraId="60FE7B92" w14:textId="705BC940" w:rsidR="00D142FB" w:rsidRPr="000665B0" w:rsidRDefault="00D142FB" w:rsidP="006D5A65">
      <w:pPr>
        <w:pStyle w:val="Heading1"/>
      </w:pPr>
      <w:r w:rsidRPr="000665B0">
        <w:t xml:space="preserve">Select the down arrow </w:t>
      </w:r>
      <w:r w:rsidRPr="000665B0">
        <w:rPr>
          <w:noProof/>
          <w:position w:val="-6"/>
        </w:rPr>
        <w:drawing>
          <wp:inline distT="0" distB="0" distL="0" distR="0" wp14:anchorId="618EB7A5" wp14:editId="740EDC0A">
            <wp:extent cx="165463" cy="172657"/>
            <wp:effectExtent l="0" t="0" r="635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68727" cy="176063"/>
                    </a:xfrm>
                    <a:prstGeom prst="rect">
                      <a:avLst/>
                    </a:prstGeom>
                  </pic:spPr>
                </pic:pic>
              </a:graphicData>
            </a:graphic>
          </wp:inline>
        </w:drawing>
      </w:r>
      <w:r w:rsidRPr="000665B0">
        <w:rPr>
          <w:sz w:val="20"/>
        </w:rPr>
        <w:t xml:space="preserve">. </w:t>
      </w:r>
      <w:r w:rsidRPr="000665B0">
        <w:t xml:space="preserve">From the </w:t>
      </w:r>
      <w:r w:rsidR="00DC455B" w:rsidRPr="000665B0">
        <w:t>pull-down</w:t>
      </w:r>
      <w:r w:rsidRPr="000665B0">
        <w:t xml:space="preserve"> menu, select Edit File List.</w:t>
      </w:r>
    </w:p>
    <w:p w14:paraId="01DCDCF4" w14:textId="5A0D73AB" w:rsidR="003F7C32" w:rsidRPr="000665B0" w:rsidRDefault="003F7C32" w:rsidP="003F7C32">
      <w:pPr>
        <w:ind w:left="720"/>
      </w:pPr>
      <w:r w:rsidRPr="000665B0">
        <w:t>or</w:t>
      </w:r>
    </w:p>
    <w:p w14:paraId="4762AC0F" w14:textId="0C44848E" w:rsidR="003F7C32" w:rsidRPr="000665B0" w:rsidRDefault="003F7C32" w:rsidP="006D5A65">
      <w:pPr>
        <w:pStyle w:val="Heading1"/>
      </w:pPr>
      <w:r w:rsidRPr="000665B0">
        <w:lastRenderedPageBreak/>
        <w:t xml:space="preserve">Right-click the disc icon. From the </w:t>
      </w:r>
      <w:r w:rsidR="00DC455B" w:rsidRPr="000665B0">
        <w:t>pull-down</w:t>
      </w:r>
      <w:r w:rsidRPr="000665B0">
        <w:t xml:space="preserve"> menu, select Edit File List</w:t>
      </w:r>
      <w:r w:rsidR="00703B98" w:rsidRPr="000665B0">
        <w:t>.</w:t>
      </w:r>
    </w:p>
    <w:p w14:paraId="53ABB187" w14:textId="3098E062" w:rsidR="00D142FB" w:rsidRPr="000665B0" w:rsidRDefault="00401184" w:rsidP="004E7DCC">
      <w:pPr>
        <w:jc w:val="center"/>
      </w:pPr>
      <w:r w:rsidRPr="000665B0">
        <w:rPr>
          <w:noProof/>
        </w:rPr>
        <w:drawing>
          <wp:inline distT="0" distB="0" distL="0" distR="0" wp14:anchorId="62186BCE" wp14:editId="391D1D4B">
            <wp:extent cx="2276856" cy="2194560"/>
            <wp:effectExtent l="0" t="0" r="9525" b="0"/>
            <wp:docPr id="1605" name="Picture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76856" cy="2194560"/>
                    </a:xfrm>
                    <a:prstGeom prst="rect">
                      <a:avLst/>
                    </a:prstGeom>
                  </pic:spPr>
                </pic:pic>
              </a:graphicData>
            </a:graphic>
          </wp:inline>
        </w:drawing>
      </w:r>
    </w:p>
    <w:p w14:paraId="791C60AB" w14:textId="7C28D392" w:rsidR="00D142FB" w:rsidRPr="000665B0" w:rsidRDefault="004E68B2" w:rsidP="006D5A65">
      <w:pPr>
        <w:pStyle w:val="Heading1"/>
      </w:pPr>
      <w:r w:rsidRPr="000665B0">
        <w:t xml:space="preserve">The </w:t>
      </w:r>
      <w:r w:rsidRPr="000665B0">
        <w:rPr>
          <w:i/>
        </w:rPr>
        <w:t>Data Disc - CD-R</w:t>
      </w:r>
      <w:r w:rsidRPr="000665B0">
        <w:t xml:space="preserve"> window </w:t>
      </w:r>
      <w:r w:rsidR="00D03F6F" w:rsidRPr="000665B0">
        <w:t>is displayed</w:t>
      </w:r>
      <w:r w:rsidRPr="000665B0">
        <w:t>.</w:t>
      </w:r>
    </w:p>
    <w:p w14:paraId="7338C5B9" w14:textId="053F2B76" w:rsidR="004E68B2" w:rsidRPr="000665B0" w:rsidRDefault="004E68B2" w:rsidP="006D5A65">
      <w:pPr>
        <w:pStyle w:val="Heading1"/>
      </w:pPr>
      <w:r w:rsidRPr="000665B0">
        <w:t xml:space="preserve">In the right pane over a blank area, right-click and select Add </w:t>
      </w:r>
      <w:r w:rsidR="00401F0B" w:rsidRPr="000665B0">
        <w:sym w:font="Wingdings 3" w:char="F07D"/>
      </w:r>
      <w:r w:rsidR="00401F0B" w:rsidRPr="000665B0">
        <w:t xml:space="preserve"> </w:t>
      </w:r>
      <w:r w:rsidRPr="000665B0">
        <w:t>Folder.</w:t>
      </w:r>
    </w:p>
    <w:p w14:paraId="0F675A16" w14:textId="73E4D249" w:rsidR="00AE7946" w:rsidRPr="000665B0" w:rsidRDefault="00401184" w:rsidP="004E7DCC">
      <w:pPr>
        <w:jc w:val="center"/>
      </w:pPr>
      <w:r w:rsidRPr="000665B0">
        <w:rPr>
          <w:noProof/>
        </w:rPr>
        <w:drawing>
          <wp:inline distT="0" distB="0" distL="0" distR="0" wp14:anchorId="5CA28D30" wp14:editId="0C00B161">
            <wp:extent cx="4105656" cy="1207008"/>
            <wp:effectExtent l="0" t="0" r="0" b="0"/>
            <wp:docPr id="1611" name="Picture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4105656" cy="1207008"/>
                    </a:xfrm>
                    <a:prstGeom prst="rect">
                      <a:avLst/>
                    </a:prstGeom>
                    <a:ln>
                      <a:noFill/>
                    </a:ln>
                    <a:extLst>
                      <a:ext uri="{53640926-AAD7-44D8-BBD7-CCE9431645EC}">
                        <a14:shadowObscured xmlns:a14="http://schemas.microsoft.com/office/drawing/2010/main"/>
                      </a:ext>
                    </a:extLst>
                  </pic:spPr>
                </pic:pic>
              </a:graphicData>
            </a:graphic>
          </wp:inline>
        </w:drawing>
      </w:r>
    </w:p>
    <w:p w14:paraId="5F76B35E" w14:textId="4179388C" w:rsidR="00100FCA" w:rsidRPr="000665B0" w:rsidRDefault="00100FCA" w:rsidP="00595066">
      <w:pPr>
        <w:ind w:left="1080"/>
      </w:pPr>
      <w:r w:rsidRPr="000665B0">
        <w:t>or</w:t>
      </w:r>
    </w:p>
    <w:p w14:paraId="7CA72A67" w14:textId="67CC0812" w:rsidR="00652A4A" w:rsidRPr="000665B0" w:rsidRDefault="00652A4A" w:rsidP="006D5A65">
      <w:pPr>
        <w:pStyle w:val="Heading1"/>
      </w:pPr>
      <w:r w:rsidRPr="000665B0">
        <w:t>Click the Add a Folder icon.</w:t>
      </w:r>
    </w:p>
    <w:p w14:paraId="31752734" w14:textId="2C642DB0" w:rsidR="00652A4A" w:rsidRPr="000665B0" w:rsidRDefault="00401184" w:rsidP="004E7DCC">
      <w:pPr>
        <w:jc w:val="center"/>
      </w:pPr>
      <w:r w:rsidRPr="000665B0">
        <w:rPr>
          <w:noProof/>
        </w:rPr>
        <w:drawing>
          <wp:inline distT="0" distB="0" distL="0" distR="0" wp14:anchorId="04E3F072" wp14:editId="191E5FBF">
            <wp:extent cx="4100946" cy="1107457"/>
            <wp:effectExtent l="0" t="0" r="0" b="0"/>
            <wp:docPr id="1612" name="Picture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145884" cy="1119593"/>
                    </a:xfrm>
                    <a:prstGeom prst="rect">
                      <a:avLst/>
                    </a:prstGeom>
                    <a:noFill/>
                    <a:ln>
                      <a:noFill/>
                    </a:ln>
                  </pic:spPr>
                </pic:pic>
              </a:graphicData>
            </a:graphic>
          </wp:inline>
        </w:drawing>
      </w:r>
    </w:p>
    <w:p w14:paraId="419B3BB4" w14:textId="1B6EDC82" w:rsidR="004E68B2" w:rsidRPr="000665B0" w:rsidRDefault="004E68B2" w:rsidP="006D5A65">
      <w:pPr>
        <w:pStyle w:val="Heading1"/>
      </w:pPr>
      <w:r w:rsidRPr="000665B0">
        <w:lastRenderedPageBreak/>
        <w:t xml:space="preserve">A </w:t>
      </w:r>
      <w:r w:rsidRPr="000665B0">
        <w:rPr>
          <w:i/>
        </w:rPr>
        <w:t>Browse For Folder</w:t>
      </w:r>
      <w:r w:rsidRPr="000665B0">
        <w:t xml:space="preserve"> window is displayed. Navigate to the location of the DDOnnnn-nnnn folder established in Step 8. Select the </w:t>
      </w:r>
      <w:r w:rsidR="00401F0B" w:rsidRPr="000665B0">
        <w:t xml:space="preserve">TCI_TTWCS </w:t>
      </w:r>
      <w:r w:rsidRPr="000665B0">
        <w:t>folder and click OK</w:t>
      </w:r>
      <w:r w:rsidRPr="000665B0">
        <w:rPr>
          <w:szCs w:val="24"/>
        </w:rPr>
        <w:t>.</w:t>
      </w:r>
    </w:p>
    <w:p w14:paraId="341EC093" w14:textId="2E9C8717" w:rsidR="00E21AB0" w:rsidRPr="000665B0" w:rsidRDefault="00E21AB0" w:rsidP="006D5A65">
      <w:pPr>
        <w:pStyle w:val="Heading1"/>
      </w:pPr>
      <w:r w:rsidRPr="000665B0">
        <w:t xml:space="preserve">The TCI_TTWCS folder is displayed in the </w:t>
      </w:r>
      <w:r w:rsidRPr="000665B0">
        <w:rPr>
          <w:i/>
        </w:rPr>
        <w:t>Data Disc - CD-R</w:t>
      </w:r>
      <w:r w:rsidRPr="000665B0">
        <w:t xml:space="preserve"> window.</w:t>
      </w:r>
    </w:p>
    <w:p w14:paraId="67AAE0CB" w14:textId="1A397376" w:rsidR="00E21AB0" w:rsidRPr="000665B0" w:rsidRDefault="00142226" w:rsidP="004E7DCC">
      <w:pPr>
        <w:jc w:val="center"/>
      </w:pPr>
      <w:r w:rsidRPr="000665B0">
        <w:rPr>
          <w:noProof/>
        </w:rPr>
        <w:drawing>
          <wp:inline distT="0" distB="0" distL="0" distR="0" wp14:anchorId="7CA5590C" wp14:editId="64A3301B">
            <wp:extent cx="5015345" cy="2938478"/>
            <wp:effectExtent l="0" t="0" r="0" b="0"/>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5036291" cy="2950750"/>
                    </a:xfrm>
                    <a:prstGeom prst="rect">
                      <a:avLst/>
                    </a:prstGeom>
                  </pic:spPr>
                </pic:pic>
              </a:graphicData>
            </a:graphic>
          </wp:inline>
        </w:drawing>
      </w:r>
    </w:p>
    <w:p w14:paraId="6B6E4BEB" w14:textId="342492E0" w:rsidR="00E21AB0" w:rsidRPr="000665B0" w:rsidRDefault="00E21AB0" w:rsidP="006D5A65">
      <w:pPr>
        <w:pStyle w:val="Heading1"/>
      </w:pPr>
      <w:r w:rsidRPr="000665B0">
        <w:t xml:space="preserve">Ensure that the </w:t>
      </w:r>
      <w:r w:rsidR="006335E0" w:rsidRPr="000665B0">
        <w:t xml:space="preserve">top-level CD icon with the </w:t>
      </w:r>
      <w:r w:rsidRPr="000665B0">
        <w:t>date is selected in the Disc Compilation pane and click the Options icon.</w:t>
      </w:r>
    </w:p>
    <w:p w14:paraId="5C1AD3C1" w14:textId="290F2406" w:rsidR="00E21AB0" w:rsidRPr="000665B0" w:rsidRDefault="00401184" w:rsidP="004E7DCC">
      <w:pPr>
        <w:jc w:val="center"/>
      </w:pPr>
      <w:r w:rsidRPr="000665B0">
        <w:rPr>
          <w:noProof/>
        </w:rPr>
        <w:drawing>
          <wp:inline distT="0" distB="0" distL="0" distR="0" wp14:anchorId="5AABD290" wp14:editId="0D2B825E">
            <wp:extent cx="3214254" cy="1392843"/>
            <wp:effectExtent l="0" t="0" r="5715" b="0"/>
            <wp:docPr id="1614" name="Picture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3227267" cy="1398482"/>
                    </a:xfrm>
                    <a:prstGeom prst="rect">
                      <a:avLst/>
                    </a:prstGeom>
                    <a:noFill/>
                    <a:ln>
                      <a:noFill/>
                    </a:ln>
                  </pic:spPr>
                </pic:pic>
              </a:graphicData>
            </a:graphic>
          </wp:inline>
        </w:drawing>
      </w:r>
    </w:p>
    <w:p w14:paraId="020125D6" w14:textId="0115255D" w:rsidR="00E21AB0" w:rsidRPr="000665B0" w:rsidRDefault="00E21AB0" w:rsidP="006D5A65">
      <w:pPr>
        <w:pStyle w:val="Heading1"/>
      </w:pPr>
      <w:r w:rsidRPr="000665B0">
        <w:lastRenderedPageBreak/>
        <w:t xml:space="preserve">The </w:t>
      </w:r>
      <w:r w:rsidRPr="000665B0">
        <w:rPr>
          <w:i/>
        </w:rPr>
        <w:t>Options</w:t>
      </w:r>
      <w:r w:rsidRPr="000665B0">
        <w:t xml:space="preserve"> window is displayed. Click the </w:t>
      </w:r>
      <w:r w:rsidRPr="000665B0">
        <w:rPr>
          <w:i/>
        </w:rPr>
        <w:t>Advanced</w:t>
      </w:r>
      <w:r w:rsidRPr="000665B0">
        <w:t xml:space="preserve"> tab.</w:t>
      </w:r>
    </w:p>
    <w:p w14:paraId="53A9492A" w14:textId="44E5CFD3" w:rsidR="00E21AB0" w:rsidRPr="000665B0" w:rsidRDefault="005C276D" w:rsidP="004E7DCC">
      <w:pPr>
        <w:jc w:val="center"/>
      </w:pPr>
      <w:r w:rsidRPr="000665B0">
        <w:rPr>
          <w:noProof/>
        </w:rPr>
        <w:drawing>
          <wp:inline distT="0" distB="0" distL="0" distR="0" wp14:anchorId="004F47D4" wp14:editId="53C42C8C">
            <wp:extent cx="5029200" cy="2907792"/>
            <wp:effectExtent l="0" t="0" r="0" b="6985"/>
            <wp:docPr id="1466" name="Picture 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5029200" cy="2907792"/>
                    </a:xfrm>
                    <a:prstGeom prst="rect">
                      <a:avLst/>
                    </a:prstGeom>
                    <a:noFill/>
                    <a:ln>
                      <a:noFill/>
                    </a:ln>
                  </pic:spPr>
                </pic:pic>
              </a:graphicData>
            </a:graphic>
          </wp:inline>
        </w:drawing>
      </w:r>
    </w:p>
    <w:p w14:paraId="6D5A2070" w14:textId="69355EAF" w:rsidR="00E21AB0" w:rsidRPr="000665B0" w:rsidRDefault="00E21AB0" w:rsidP="006D5A65">
      <w:pPr>
        <w:pStyle w:val="Heading1"/>
      </w:pPr>
      <w:bookmarkStart w:id="7446" w:name="_Hlk43816098"/>
      <w:r w:rsidRPr="000665B0">
        <w:t>In the File System column pull down menu, select ISO+Joliet (106 character file names). In the Mode column pull down menu, select Mode 1, and then click OK.</w:t>
      </w:r>
    </w:p>
    <w:p w14:paraId="1428337F" w14:textId="5673EB86" w:rsidR="00E21AB0" w:rsidRPr="000665B0" w:rsidRDefault="006335E0" w:rsidP="004E7DCC">
      <w:pPr>
        <w:jc w:val="center"/>
      </w:pPr>
      <w:r w:rsidRPr="000665B0">
        <w:rPr>
          <w:noProof/>
        </w:rPr>
        <w:drawing>
          <wp:inline distT="0" distB="0" distL="0" distR="0" wp14:anchorId="6054FB08" wp14:editId="27EDE262">
            <wp:extent cx="5029200" cy="1325880"/>
            <wp:effectExtent l="0" t="0" r="0" b="762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5029200" cy="1325880"/>
                    </a:xfrm>
                    <a:prstGeom prst="rect">
                      <a:avLst/>
                    </a:prstGeom>
                    <a:noFill/>
                    <a:ln>
                      <a:noFill/>
                    </a:ln>
                  </pic:spPr>
                </pic:pic>
              </a:graphicData>
            </a:graphic>
          </wp:inline>
        </w:drawing>
      </w:r>
    </w:p>
    <w:bookmarkEnd w:id="7446"/>
    <w:p w14:paraId="43E10E60" w14:textId="45238BEC" w:rsidR="00E21AB0" w:rsidRPr="000665B0" w:rsidRDefault="00DB0376" w:rsidP="006D5A65">
      <w:pPr>
        <w:pStyle w:val="Heading1"/>
      </w:pPr>
      <w:r w:rsidRPr="000665B0">
        <w:lastRenderedPageBreak/>
        <w:t>In the ensuing window, c</w:t>
      </w:r>
      <w:r w:rsidR="00E21AB0" w:rsidRPr="000665B0">
        <w:t xml:space="preserve">lick the </w:t>
      </w:r>
      <w:r w:rsidR="00154F40" w:rsidRPr="000665B0">
        <w:t xml:space="preserve">Start </w:t>
      </w:r>
      <w:r w:rsidR="00E21AB0" w:rsidRPr="000665B0">
        <w:t>Now button.</w:t>
      </w:r>
    </w:p>
    <w:p w14:paraId="1A357B14" w14:textId="7FBBBC57" w:rsidR="00E21AB0" w:rsidRPr="000665B0" w:rsidRDefault="00154F40" w:rsidP="004E7DCC">
      <w:pPr>
        <w:jc w:val="center"/>
      </w:pPr>
      <w:r w:rsidRPr="000665B0">
        <w:rPr>
          <w:noProof/>
        </w:rPr>
        <w:t xml:space="preserve"> </w:t>
      </w:r>
      <w:r w:rsidR="00401184" w:rsidRPr="000665B0">
        <w:rPr>
          <w:noProof/>
        </w:rPr>
        <w:drawing>
          <wp:inline distT="0" distB="0" distL="0" distR="0" wp14:anchorId="7CF81E1E" wp14:editId="6C12962D">
            <wp:extent cx="4572000" cy="2679192"/>
            <wp:effectExtent l="0" t="0" r="0" b="6985"/>
            <wp:docPr id="1615" name="Picture 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572000" cy="2679192"/>
                    </a:xfrm>
                    <a:prstGeom prst="rect">
                      <a:avLst/>
                    </a:prstGeom>
                    <a:noFill/>
                    <a:ln>
                      <a:noFill/>
                    </a:ln>
                  </pic:spPr>
                </pic:pic>
              </a:graphicData>
            </a:graphic>
          </wp:inline>
        </w:drawing>
      </w:r>
    </w:p>
    <w:p w14:paraId="6D8C74E3" w14:textId="552CFC68" w:rsidR="00E21AB0" w:rsidRPr="000665B0" w:rsidRDefault="00E21AB0" w:rsidP="006D5A65">
      <w:pPr>
        <w:pStyle w:val="Heading1"/>
      </w:pPr>
      <w:bookmarkStart w:id="7447" w:name="_Hlk61952050"/>
      <w:r w:rsidRPr="000665B0">
        <w:t>In the ensuing window</w:t>
      </w:r>
      <w:bookmarkEnd w:id="7447"/>
      <w:r w:rsidRPr="000665B0">
        <w:t>, click the Burn Disc button.</w:t>
      </w:r>
    </w:p>
    <w:p w14:paraId="39DC0F67" w14:textId="60354D1D" w:rsidR="00E21AB0" w:rsidRPr="000665B0" w:rsidRDefault="00401184" w:rsidP="004E7DCC">
      <w:pPr>
        <w:jc w:val="center"/>
      </w:pPr>
      <w:r w:rsidRPr="000665B0">
        <w:rPr>
          <w:noProof/>
        </w:rPr>
        <w:drawing>
          <wp:inline distT="0" distB="0" distL="0" distR="0" wp14:anchorId="2A3A1000" wp14:editId="20182E9E">
            <wp:extent cx="2743200" cy="2441448"/>
            <wp:effectExtent l="0" t="0" r="0" b="0"/>
            <wp:docPr id="1616" name="Picture 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43200" cy="2441448"/>
                    </a:xfrm>
                    <a:prstGeom prst="rect">
                      <a:avLst/>
                    </a:prstGeom>
                    <a:noFill/>
                    <a:ln>
                      <a:noFill/>
                    </a:ln>
                  </pic:spPr>
                </pic:pic>
              </a:graphicData>
            </a:graphic>
          </wp:inline>
        </w:drawing>
      </w:r>
    </w:p>
    <w:p w14:paraId="19D390EC" w14:textId="77DC46F2" w:rsidR="00E21AB0" w:rsidRPr="000665B0" w:rsidRDefault="00E21AB0" w:rsidP="006D5A65">
      <w:pPr>
        <w:pStyle w:val="Heading1"/>
      </w:pPr>
      <w:r w:rsidRPr="000665B0">
        <w:t xml:space="preserve">The </w:t>
      </w:r>
      <w:r w:rsidR="00703FAD" w:rsidRPr="000665B0">
        <w:rPr>
          <w:i/>
        </w:rPr>
        <w:t xml:space="preserve">WinZip </w:t>
      </w:r>
      <w:r w:rsidRPr="000665B0">
        <w:rPr>
          <w:i/>
        </w:rPr>
        <w:t>Secure Burn</w:t>
      </w:r>
      <w:r w:rsidRPr="000665B0">
        <w:t xml:space="preserve"> window is updated to indicate that the CD is being created (</w:t>
      </w:r>
      <w:r w:rsidR="000555F9" w:rsidRPr="000665B0">
        <w:t>indicates</w:t>
      </w:r>
      <w:r w:rsidR="00703FAD" w:rsidRPr="000665B0">
        <w:t xml:space="preserve"> </w:t>
      </w:r>
      <w:r w:rsidRPr="000665B0">
        <w:t xml:space="preserve">Burning). The progress bar reflects the status of the process. </w:t>
      </w:r>
    </w:p>
    <w:p w14:paraId="15C75B9B" w14:textId="589AA3F4" w:rsidR="00E21AB0" w:rsidRPr="000665B0" w:rsidRDefault="00142226" w:rsidP="004E7DCC">
      <w:pPr>
        <w:jc w:val="center"/>
      </w:pPr>
      <w:r w:rsidRPr="000665B0">
        <w:rPr>
          <w:noProof/>
        </w:rPr>
        <w:drawing>
          <wp:inline distT="0" distB="0" distL="0" distR="0" wp14:anchorId="1FEBFD01" wp14:editId="5AC11706">
            <wp:extent cx="1828800" cy="630936"/>
            <wp:effectExtent l="0" t="0" r="0" b="0"/>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0" cy="630936"/>
                    </a:xfrm>
                    <a:prstGeom prst="rect">
                      <a:avLst/>
                    </a:prstGeom>
                  </pic:spPr>
                </pic:pic>
              </a:graphicData>
            </a:graphic>
          </wp:inline>
        </w:drawing>
      </w:r>
    </w:p>
    <w:p w14:paraId="39BCEE0D" w14:textId="39A79CAF" w:rsidR="00E21AB0" w:rsidRPr="000665B0" w:rsidRDefault="00E21AB0" w:rsidP="006D5A65">
      <w:pPr>
        <w:pStyle w:val="Heading1"/>
      </w:pPr>
      <w:r w:rsidRPr="000665B0">
        <w:lastRenderedPageBreak/>
        <w:t>When the Disc burned successfully message is displayed, click Done.</w:t>
      </w:r>
    </w:p>
    <w:p w14:paraId="6E32C721" w14:textId="3F90B32A" w:rsidR="00E21AB0" w:rsidRPr="000665B0" w:rsidRDefault="00142226" w:rsidP="004E7DCC">
      <w:pPr>
        <w:jc w:val="center"/>
      </w:pPr>
      <w:r w:rsidRPr="000665B0">
        <w:rPr>
          <w:noProof/>
        </w:rPr>
        <w:drawing>
          <wp:inline distT="0" distB="0" distL="0" distR="0" wp14:anchorId="4904F57E" wp14:editId="3C9D20CA">
            <wp:extent cx="1828800" cy="612648"/>
            <wp:effectExtent l="0" t="0" r="0" b="0"/>
            <wp:docPr id="1292"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8800" cy="612648"/>
                    </a:xfrm>
                    <a:prstGeom prst="rect">
                      <a:avLst/>
                    </a:prstGeom>
                  </pic:spPr>
                </pic:pic>
              </a:graphicData>
            </a:graphic>
          </wp:inline>
        </w:drawing>
      </w:r>
    </w:p>
    <w:p w14:paraId="5C912E72" w14:textId="1049C3A6" w:rsidR="00D87C6D" w:rsidRPr="000665B0" w:rsidRDefault="00AE7946" w:rsidP="006D5A65">
      <w:pPr>
        <w:pStyle w:val="Heading1"/>
      </w:pPr>
      <w:r w:rsidRPr="000665B0">
        <w:t>C</w:t>
      </w:r>
      <w:r w:rsidR="00E21AB0" w:rsidRPr="000665B0">
        <w:t xml:space="preserve">lick the </w:t>
      </w:r>
      <w:r w:rsidR="00E21AB0" w:rsidRPr="000665B0">
        <w:rPr>
          <w:noProof/>
          <w:position w:val="-4"/>
        </w:rPr>
        <w:drawing>
          <wp:inline distT="0" distB="0" distL="0" distR="0" wp14:anchorId="71D8B302" wp14:editId="21583DD4">
            <wp:extent cx="171450" cy="15240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Button.jpg"/>
                    <pic:cNvPicPr/>
                  </pic:nvPicPr>
                  <pic:blipFill>
                    <a:blip>
                      <a:extLst>
                        <a:ext uri="{28A0092B-C50C-407E-A947-70E740481C1C}">
                          <a14:useLocalDpi xmlns:a14="http://schemas.microsoft.com/office/drawing/2010/main"/>
                        </a:ext>
                      </a:extLst>
                    </a:blip>
                    <a:stretch>
                      <a:fillRect/>
                    </a:stretch>
                  </pic:blipFill>
                  <pic:spPr>
                    <a:xfrm>
                      <a:off x="0" y="0"/>
                      <a:ext cx="171450" cy="152400"/>
                    </a:xfrm>
                    <a:prstGeom prst="rect">
                      <a:avLst/>
                    </a:prstGeom>
                  </pic:spPr>
                </pic:pic>
              </a:graphicData>
            </a:graphic>
          </wp:inline>
        </w:drawing>
      </w:r>
      <w:r w:rsidR="00E21AB0" w:rsidRPr="000665B0">
        <w:t xml:space="preserve"> to close the </w:t>
      </w:r>
      <w:r w:rsidR="00703FAD" w:rsidRPr="000665B0">
        <w:rPr>
          <w:i/>
        </w:rPr>
        <w:t xml:space="preserve">WinZip </w:t>
      </w:r>
      <w:r w:rsidR="00E21AB0" w:rsidRPr="000665B0">
        <w:rPr>
          <w:i/>
        </w:rPr>
        <w:t>Secure Burn</w:t>
      </w:r>
      <w:r w:rsidR="009E10AB" w:rsidRPr="000665B0">
        <w:rPr>
          <w:i/>
        </w:rPr>
        <w:t xml:space="preserve"> Enterprise</w:t>
      </w:r>
      <w:r w:rsidR="00E21AB0" w:rsidRPr="000665B0">
        <w:rPr>
          <w:i/>
        </w:rPr>
        <w:t xml:space="preserve"> </w:t>
      </w:r>
      <w:r w:rsidR="00E21AB0" w:rsidRPr="000665B0">
        <w:t>window. Remove the CD-R from the CD drive</w:t>
      </w:r>
      <w:r w:rsidR="0054771B" w:rsidRPr="000665B0">
        <w:t xml:space="preserve"> and p</w:t>
      </w:r>
      <w:r w:rsidR="00E21AB0" w:rsidRPr="000665B0">
        <w:t xml:space="preserve">roceed to Step </w:t>
      </w:r>
      <w:r w:rsidR="005C276D" w:rsidRPr="000665B0">
        <w:t>45</w:t>
      </w:r>
      <w:r w:rsidR="00E21AB0" w:rsidRPr="000665B0">
        <w:t>.</w:t>
      </w:r>
    </w:p>
    <w:p w14:paraId="48AFB9A2" w14:textId="77777777" w:rsidR="00D87C6D" w:rsidRPr="000665B0" w:rsidRDefault="00D87C6D" w:rsidP="006D5A65">
      <w:pPr>
        <w:pStyle w:val="Heading1"/>
      </w:pPr>
      <w:r w:rsidRPr="000665B0">
        <w:t xml:space="preserve">Right-click the </w:t>
      </w:r>
      <w:r w:rsidRPr="000665B0">
        <w:rPr>
          <w:noProof/>
        </w:rPr>
        <w:drawing>
          <wp:inline distT="0" distB="0" distL="0" distR="0" wp14:anchorId="69278064" wp14:editId="2B757C3B">
            <wp:extent cx="182880" cy="178068"/>
            <wp:effectExtent l="0" t="0" r="762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0665B0">
        <w:t xml:space="preserve"> icon and select Search from the pop-up menu. Type InfraRecorder in the Search field, and then select InfraRecorder in the results list.</w:t>
      </w:r>
    </w:p>
    <w:p w14:paraId="18715D1C" w14:textId="3B28F4C2" w:rsidR="00D87C6D" w:rsidRPr="000665B0" w:rsidRDefault="00D87C6D" w:rsidP="006D5A65">
      <w:pPr>
        <w:pStyle w:val="Heading1"/>
      </w:pPr>
      <w:r w:rsidRPr="000665B0">
        <w:t xml:space="preserve">Due to security restrictions, some systems require Administrator privileges to run InfraRecorder. Right-click the </w:t>
      </w:r>
      <w:r w:rsidRPr="000665B0">
        <w:rPr>
          <w:noProof/>
        </w:rPr>
        <w:drawing>
          <wp:inline distT="0" distB="0" distL="0" distR="0" wp14:anchorId="552BBF98" wp14:editId="0A621419">
            <wp:extent cx="182880" cy="178068"/>
            <wp:effectExtent l="0" t="0" r="762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0665B0">
        <w:t xml:space="preserve"> icon and select Search from the pop-up menu. Type InfraRecorder in the Search field, and then select InfraRecorder in the results list, right</w:t>
      </w:r>
      <w:r w:rsidR="00ED05A2" w:rsidRPr="000665B0">
        <w:t>-</w:t>
      </w:r>
      <w:r w:rsidRPr="000665B0">
        <w:t>click and select Run as administrator.</w:t>
      </w:r>
    </w:p>
    <w:p w14:paraId="500DCC2B" w14:textId="77777777" w:rsidR="00D87C6D" w:rsidRPr="000665B0" w:rsidRDefault="003720F8" w:rsidP="00D87C6D">
      <w:pPr>
        <w:jc w:val="center"/>
      </w:pPr>
      <w:r w:rsidRPr="000665B0">
        <w:rPr>
          <w:noProof/>
          <w:color w:val="1F497D"/>
        </w:rPr>
        <w:drawing>
          <wp:inline distT="0" distB="0" distL="0" distR="0" wp14:anchorId="6FA9A971" wp14:editId="005DE504">
            <wp:extent cx="1371600" cy="2011680"/>
            <wp:effectExtent l="0" t="0" r="0" b="0"/>
            <wp:docPr id="330" name="Picture 330" descr="cid:image003.png@01D0F455.13BD8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3.png@01D0F455.13BD8790"/>
                    <pic:cNvPicPr>
                      <a:picLocks noChangeAspect="1" noChangeArrowheads="1"/>
                    </pic:cNvPicPr>
                  </pic:nvPicPr>
                  <pic:blipFill>
                    <a:blip r:link="rId37" cstate="screen">
                      <a:extLst>
                        <a:ext uri="{28A0092B-C50C-407E-A947-70E740481C1C}">
                          <a14:useLocalDpi xmlns:a14="http://schemas.microsoft.com/office/drawing/2010/main"/>
                        </a:ext>
                      </a:extLst>
                    </a:blip>
                    <a:srcRect/>
                    <a:stretch>
                      <a:fillRect/>
                    </a:stretch>
                  </pic:blipFill>
                  <pic:spPr bwMode="auto">
                    <a:xfrm>
                      <a:off x="0" y="0"/>
                      <a:ext cx="1371600" cy="2011680"/>
                    </a:xfrm>
                    <a:prstGeom prst="rect">
                      <a:avLst/>
                    </a:prstGeom>
                    <a:noFill/>
                    <a:ln>
                      <a:noFill/>
                    </a:ln>
                  </pic:spPr>
                </pic:pic>
              </a:graphicData>
            </a:graphic>
          </wp:inline>
        </w:drawing>
      </w:r>
    </w:p>
    <w:p w14:paraId="3C5E7506" w14:textId="77777777" w:rsidR="00D87C6D" w:rsidRPr="000665B0" w:rsidRDefault="00D87C6D" w:rsidP="006D5A65">
      <w:pPr>
        <w:pStyle w:val="Heading1"/>
      </w:pPr>
      <w:r w:rsidRPr="000665B0">
        <w:t xml:space="preserve">Click the Data Disc icon. </w:t>
      </w:r>
    </w:p>
    <w:p w14:paraId="0EBC3422" w14:textId="77777777" w:rsidR="00D87C6D" w:rsidRPr="000665B0" w:rsidRDefault="00D87C6D" w:rsidP="00D87C6D">
      <w:pPr>
        <w:jc w:val="center"/>
      </w:pPr>
      <w:r w:rsidRPr="000665B0">
        <w:rPr>
          <w:noProof/>
        </w:rPr>
        <w:drawing>
          <wp:inline distT="0" distB="0" distL="0" distR="0" wp14:anchorId="6B6B135C" wp14:editId="61F58573">
            <wp:extent cx="2788920" cy="2231136"/>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95601" cy="2236481"/>
                    </a:xfrm>
                    <a:prstGeom prst="rect">
                      <a:avLst/>
                    </a:prstGeom>
                  </pic:spPr>
                </pic:pic>
              </a:graphicData>
            </a:graphic>
          </wp:inline>
        </w:drawing>
      </w:r>
    </w:p>
    <w:p w14:paraId="6528C4BB" w14:textId="77777777" w:rsidR="00D87C6D" w:rsidRPr="000665B0" w:rsidRDefault="00D87C6D" w:rsidP="006D5A65">
      <w:pPr>
        <w:pStyle w:val="Heading1"/>
      </w:pPr>
      <w:r w:rsidRPr="000665B0">
        <w:lastRenderedPageBreak/>
        <w:t>In the Explorer View pane, navigate to the location of the DDOnnnn-nnnn folder established in Step 8. Select the DDOnnnn-nnnn folder. The TCI_TTWCS folder appears in the Name column in the right-hand pane. Click and drag the folder to the Disc Layout pane under the Name column</w:t>
      </w:r>
      <w:r w:rsidRPr="000665B0">
        <w:rPr>
          <w:szCs w:val="24"/>
        </w:rPr>
        <w:t>.</w:t>
      </w:r>
    </w:p>
    <w:p w14:paraId="6810259A" w14:textId="77777777" w:rsidR="00D87C6D" w:rsidRPr="000665B0" w:rsidRDefault="00D87C6D" w:rsidP="00D87C6D">
      <w:pPr>
        <w:jc w:val="center"/>
      </w:pPr>
      <w:r w:rsidRPr="000665B0">
        <w:rPr>
          <w:noProof/>
        </w:rPr>
        <w:drawing>
          <wp:inline distT="0" distB="0" distL="0" distR="0" wp14:anchorId="7A0912E8" wp14:editId="27004115">
            <wp:extent cx="3589631" cy="257556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604869" cy="2586493"/>
                    </a:xfrm>
                    <a:prstGeom prst="rect">
                      <a:avLst/>
                    </a:prstGeom>
                  </pic:spPr>
                </pic:pic>
              </a:graphicData>
            </a:graphic>
          </wp:inline>
        </w:drawing>
      </w:r>
    </w:p>
    <w:p w14:paraId="4E7F85D2" w14:textId="77777777" w:rsidR="00D87C6D" w:rsidRPr="000665B0" w:rsidRDefault="00D87C6D" w:rsidP="006D5A65">
      <w:pPr>
        <w:pStyle w:val="Heading1"/>
      </w:pPr>
      <w:r w:rsidRPr="000665B0">
        <w:t xml:space="preserve">Select File </w:t>
      </w:r>
      <w:r w:rsidRPr="000665B0">
        <w:sym w:font="Wingdings" w:char="F0E0"/>
      </w:r>
      <w:r w:rsidRPr="000665B0">
        <w:t xml:space="preserve"> Project Properties….</w:t>
      </w:r>
    </w:p>
    <w:p w14:paraId="0D3DB351" w14:textId="77777777" w:rsidR="00D87C6D" w:rsidRPr="000665B0" w:rsidRDefault="00D87C6D" w:rsidP="00D87C6D">
      <w:pPr>
        <w:jc w:val="center"/>
      </w:pPr>
      <w:r w:rsidRPr="000665B0">
        <w:rPr>
          <w:noProof/>
          <w:color w:val="1F497D"/>
        </w:rPr>
        <w:drawing>
          <wp:inline distT="0" distB="0" distL="0" distR="0" wp14:anchorId="04035C7C" wp14:editId="3DD27684">
            <wp:extent cx="3482340" cy="2498579"/>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3487208" cy="2502072"/>
                    </a:xfrm>
                    <a:prstGeom prst="rect">
                      <a:avLst/>
                    </a:prstGeom>
                    <a:noFill/>
                    <a:ln>
                      <a:noFill/>
                    </a:ln>
                  </pic:spPr>
                </pic:pic>
              </a:graphicData>
            </a:graphic>
          </wp:inline>
        </w:drawing>
      </w:r>
    </w:p>
    <w:p w14:paraId="1314DEBB" w14:textId="77777777" w:rsidR="00D87C6D" w:rsidRPr="000665B0" w:rsidRDefault="00D87C6D" w:rsidP="006D5A65">
      <w:pPr>
        <w:pStyle w:val="Heading1"/>
      </w:pPr>
      <w:r w:rsidRPr="000665B0">
        <w:lastRenderedPageBreak/>
        <w:t>Enter TCIDB for the disc name.</w:t>
      </w:r>
    </w:p>
    <w:p w14:paraId="22B1572B" w14:textId="77777777" w:rsidR="00D87C6D" w:rsidRPr="000665B0" w:rsidRDefault="00D87C6D" w:rsidP="00D87C6D">
      <w:pPr>
        <w:jc w:val="center"/>
      </w:pPr>
      <w:r w:rsidRPr="000665B0">
        <w:rPr>
          <w:noProof/>
        </w:rPr>
        <w:drawing>
          <wp:inline distT="0" distB="0" distL="0" distR="0" wp14:anchorId="5FE86869" wp14:editId="416DCA76">
            <wp:extent cx="2286000" cy="2176272"/>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2176272"/>
                    </a:xfrm>
                    <a:prstGeom prst="rect">
                      <a:avLst/>
                    </a:prstGeom>
                  </pic:spPr>
                </pic:pic>
              </a:graphicData>
            </a:graphic>
          </wp:inline>
        </w:drawing>
      </w:r>
    </w:p>
    <w:p w14:paraId="0869DF0C" w14:textId="77777777" w:rsidR="00D87C6D" w:rsidRPr="000665B0" w:rsidRDefault="00D87C6D" w:rsidP="006D5A65">
      <w:pPr>
        <w:pStyle w:val="Heading1"/>
      </w:pPr>
      <w:r w:rsidRPr="000665B0">
        <w:t xml:space="preserve">Click the </w:t>
      </w:r>
      <w:r w:rsidRPr="000665B0">
        <w:rPr>
          <w:i/>
        </w:rPr>
        <w:t>File System</w:t>
      </w:r>
      <w:r w:rsidRPr="000665B0">
        <w:t xml:space="preserve"> tab. In the File System: field, select ISO 9660.</w:t>
      </w:r>
    </w:p>
    <w:p w14:paraId="609E7B57" w14:textId="77777777" w:rsidR="00D87C6D" w:rsidRPr="000665B0" w:rsidRDefault="00D87C6D" w:rsidP="00D87C6D">
      <w:pPr>
        <w:jc w:val="center"/>
      </w:pPr>
      <w:r w:rsidRPr="000665B0">
        <w:rPr>
          <w:noProof/>
        </w:rPr>
        <w:drawing>
          <wp:inline distT="0" distB="0" distL="0" distR="0" wp14:anchorId="2F1F2543" wp14:editId="2BFCE7EF">
            <wp:extent cx="2286000" cy="2176272"/>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2176272"/>
                    </a:xfrm>
                    <a:prstGeom prst="rect">
                      <a:avLst/>
                    </a:prstGeom>
                  </pic:spPr>
                </pic:pic>
              </a:graphicData>
            </a:graphic>
          </wp:inline>
        </w:drawing>
      </w:r>
    </w:p>
    <w:p w14:paraId="3AEEAA59" w14:textId="77777777" w:rsidR="00D87C6D" w:rsidRPr="000665B0" w:rsidRDefault="00D87C6D" w:rsidP="006D5A65">
      <w:pPr>
        <w:pStyle w:val="Heading1"/>
      </w:pPr>
      <w:r w:rsidRPr="000665B0">
        <w:lastRenderedPageBreak/>
        <w:t xml:space="preserve">Click the </w:t>
      </w:r>
      <w:r w:rsidRPr="000665B0">
        <w:rPr>
          <w:i/>
        </w:rPr>
        <w:t>ISO</w:t>
      </w:r>
      <w:r w:rsidRPr="000665B0">
        <w:t xml:space="preserve"> tab.</w:t>
      </w:r>
    </w:p>
    <w:p w14:paraId="7109E7D4" w14:textId="77777777" w:rsidR="00D87C6D" w:rsidRPr="000665B0" w:rsidRDefault="00D87C6D" w:rsidP="006D5A65">
      <w:pPr>
        <w:pStyle w:val="Heading1"/>
      </w:pPr>
      <w:r w:rsidRPr="000665B0">
        <w:t>In the Level: field, select Level 3 (files larger than 4 GiB).</w:t>
      </w:r>
    </w:p>
    <w:p w14:paraId="240FA581" w14:textId="77777777" w:rsidR="00D87C6D" w:rsidRPr="000665B0" w:rsidRDefault="00D87C6D" w:rsidP="006D5A65">
      <w:pPr>
        <w:pStyle w:val="Heading1"/>
      </w:pPr>
      <w:r w:rsidRPr="000665B0">
        <w:t>In the Format: field, select Mode 1.</w:t>
      </w:r>
    </w:p>
    <w:p w14:paraId="074D1883" w14:textId="77777777" w:rsidR="00D87C6D" w:rsidRPr="000665B0" w:rsidRDefault="00D87C6D" w:rsidP="006D5A65">
      <w:pPr>
        <w:pStyle w:val="Heading1"/>
      </w:pPr>
      <w:r w:rsidRPr="000665B0">
        <w:t>In the Character Set: field, select ISO9660 (standard).</w:t>
      </w:r>
    </w:p>
    <w:p w14:paraId="33B21A7B" w14:textId="77777777" w:rsidR="00D87C6D" w:rsidRPr="000665B0" w:rsidRDefault="00D87C6D" w:rsidP="006D5A65">
      <w:pPr>
        <w:pStyle w:val="Heading1"/>
      </w:pPr>
      <w:r w:rsidRPr="000665B0">
        <w:t>Select Use Joliet file name extension.</w:t>
      </w:r>
    </w:p>
    <w:p w14:paraId="52AE9FB3" w14:textId="77777777" w:rsidR="00D87C6D" w:rsidRPr="000665B0" w:rsidRDefault="00D87C6D" w:rsidP="006D5A65">
      <w:pPr>
        <w:pStyle w:val="Heading1"/>
      </w:pPr>
      <w:r w:rsidRPr="000665B0">
        <w:t>Select Allow more than 64 characters for Joliet names.</w:t>
      </w:r>
    </w:p>
    <w:p w14:paraId="103166A7" w14:textId="77777777" w:rsidR="00D87C6D" w:rsidRPr="000665B0" w:rsidRDefault="00D87C6D" w:rsidP="006D5A65">
      <w:pPr>
        <w:pStyle w:val="Heading1"/>
      </w:pPr>
      <w:r w:rsidRPr="000665B0">
        <w:t>Select Allow more than 8 directories of path depth.</w:t>
      </w:r>
    </w:p>
    <w:p w14:paraId="523BD93A" w14:textId="77777777" w:rsidR="00D87C6D" w:rsidRPr="000665B0" w:rsidRDefault="00D87C6D" w:rsidP="006D5A65">
      <w:pPr>
        <w:pStyle w:val="Heading1"/>
      </w:pPr>
      <w:r w:rsidRPr="000665B0">
        <w:t>Click OK.</w:t>
      </w:r>
    </w:p>
    <w:p w14:paraId="5D0967A0" w14:textId="77777777" w:rsidR="00D87C6D" w:rsidRPr="000665B0" w:rsidRDefault="00D87C6D" w:rsidP="00D87C6D">
      <w:pPr>
        <w:jc w:val="center"/>
      </w:pPr>
      <w:r w:rsidRPr="000665B0">
        <w:rPr>
          <w:noProof/>
        </w:rPr>
        <w:drawing>
          <wp:inline distT="0" distB="0" distL="0" distR="0" wp14:anchorId="6CBD4886" wp14:editId="205A9837">
            <wp:extent cx="2286000" cy="2176272"/>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2176272"/>
                    </a:xfrm>
                    <a:prstGeom prst="rect">
                      <a:avLst/>
                    </a:prstGeom>
                  </pic:spPr>
                </pic:pic>
              </a:graphicData>
            </a:graphic>
          </wp:inline>
        </w:drawing>
      </w:r>
    </w:p>
    <w:p w14:paraId="4CD951FF" w14:textId="77777777" w:rsidR="00D87C6D" w:rsidRPr="000665B0" w:rsidRDefault="00D87C6D" w:rsidP="006D5A65">
      <w:pPr>
        <w:pStyle w:val="Heading1"/>
      </w:pPr>
      <w:r w:rsidRPr="000665B0">
        <w:t>Insert a blank CD-R into the CD drive.</w:t>
      </w:r>
    </w:p>
    <w:p w14:paraId="482B7A8E" w14:textId="77777777" w:rsidR="00D87C6D" w:rsidRPr="000665B0" w:rsidRDefault="00D87C6D" w:rsidP="006D5A65">
      <w:pPr>
        <w:pStyle w:val="Heading1"/>
      </w:pPr>
      <w:r w:rsidRPr="000665B0">
        <w:t xml:space="preserve">Select </w:t>
      </w:r>
      <w:r w:rsidRPr="000665B0">
        <w:rPr>
          <w:szCs w:val="24"/>
        </w:rPr>
        <w:t xml:space="preserve">Actions </w:t>
      </w:r>
      <w:r w:rsidRPr="000665B0">
        <w:sym w:font="Wingdings" w:char="F0E0"/>
      </w:r>
      <w:r w:rsidRPr="000665B0">
        <w:t xml:space="preserve"> </w:t>
      </w:r>
      <w:r w:rsidRPr="000665B0">
        <w:rPr>
          <w:szCs w:val="24"/>
        </w:rPr>
        <w:t xml:space="preserve">Burn Compilation </w:t>
      </w:r>
      <w:r w:rsidRPr="000665B0">
        <w:sym w:font="Wingdings" w:char="F0E0"/>
      </w:r>
      <w:r w:rsidRPr="000665B0">
        <w:t xml:space="preserve"> to a Compact Disc…</w:t>
      </w:r>
      <w:r w:rsidRPr="000665B0">
        <w:rPr>
          <w:szCs w:val="24"/>
        </w:rPr>
        <w:t>.</w:t>
      </w:r>
    </w:p>
    <w:p w14:paraId="47096809" w14:textId="77777777" w:rsidR="00D87C6D" w:rsidRPr="000665B0" w:rsidRDefault="00D87C6D" w:rsidP="00D87C6D">
      <w:pPr>
        <w:jc w:val="center"/>
      </w:pPr>
      <w:r w:rsidRPr="000665B0">
        <w:rPr>
          <w:noProof/>
          <w:color w:val="1F497D"/>
        </w:rPr>
        <w:drawing>
          <wp:inline distT="0" distB="0" distL="0" distR="0" wp14:anchorId="34D6C886" wp14:editId="4E8E2808">
            <wp:extent cx="4114800" cy="2907792"/>
            <wp:effectExtent l="0" t="0" r="0" b="698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4114800" cy="2907792"/>
                    </a:xfrm>
                    <a:prstGeom prst="rect">
                      <a:avLst/>
                    </a:prstGeom>
                    <a:noFill/>
                    <a:ln>
                      <a:noFill/>
                    </a:ln>
                  </pic:spPr>
                </pic:pic>
              </a:graphicData>
            </a:graphic>
          </wp:inline>
        </w:drawing>
      </w:r>
    </w:p>
    <w:p w14:paraId="4EE901ED" w14:textId="77777777" w:rsidR="00D87C6D" w:rsidRPr="000665B0" w:rsidRDefault="00D87C6D" w:rsidP="006D5A65">
      <w:pPr>
        <w:pStyle w:val="Heading1"/>
      </w:pPr>
      <w:r w:rsidRPr="000665B0">
        <w:lastRenderedPageBreak/>
        <w:t xml:space="preserve">The </w:t>
      </w:r>
      <w:r w:rsidRPr="000665B0">
        <w:rPr>
          <w:i/>
        </w:rPr>
        <w:t>Burn Compilation</w:t>
      </w:r>
      <w:r w:rsidRPr="000665B0">
        <w:t xml:space="preserve"> window is displayed with the defaults selected as shown. In addition, select Verify the disc after writing and click OK.</w:t>
      </w:r>
    </w:p>
    <w:p w14:paraId="5BFBC713" w14:textId="77777777" w:rsidR="00D87C6D" w:rsidRPr="000665B0" w:rsidRDefault="00D87C6D" w:rsidP="00D87C6D">
      <w:pPr>
        <w:jc w:val="center"/>
      </w:pPr>
      <w:r w:rsidRPr="000665B0">
        <w:rPr>
          <w:noProof/>
        </w:rPr>
        <w:drawing>
          <wp:inline distT="0" distB="0" distL="0" distR="0" wp14:anchorId="1DF8B209" wp14:editId="3EA2A1A2">
            <wp:extent cx="2286000" cy="2587752"/>
            <wp:effectExtent l="0" t="0" r="0" b="317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86000" cy="2587752"/>
                    </a:xfrm>
                    <a:prstGeom prst="rect">
                      <a:avLst/>
                    </a:prstGeom>
                  </pic:spPr>
                </pic:pic>
              </a:graphicData>
            </a:graphic>
          </wp:inline>
        </w:drawing>
      </w:r>
    </w:p>
    <w:p w14:paraId="651105E8" w14:textId="77777777" w:rsidR="00D87C6D" w:rsidRPr="000665B0" w:rsidRDefault="00D87C6D" w:rsidP="006D5A65">
      <w:pPr>
        <w:pStyle w:val="Heading1"/>
      </w:pPr>
      <w:r w:rsidRPr="000665B0">
        <w:t xml:space="preserve">The </w:t>
      </w:r>
      <w:r w:rsidRPr="000665B0">
        <w:rPr>
          <w:i/>
        </w:rPr>
        <w:t>Verifying Disc</w:t>
      </w:r>
      <w:r w:rsidRPr="000665B0">
        <w:t xml:space="preserve"> window is displayed. When verification is complete, click OK.</w:t>
      </w:r>
    </w:p>
    <w:p w14:paraId="591C8599" w14:textId="77777777" w:rsidR="00D87C6D" w:rsidRPr="000665B0" w:rsidRDefault="00D87C6D" w:rsidP="00D87C6D">
      <w:pPr>
        <w:jc w:val="center"/>
      </w:pPr>
      <w:r w:rsidRPr="000665B0">
        <w:rPr>
          <w:noProof/>
        </w:rPr>
        <w:drawing>
          <wp:inline distT="0" distB="0" distL="0" distR="0" wp14:anchorId="7A6584C4" wp14:editId="11E4484B">
            <wp:extent cx="4114800" cy="2130552"/>
            <wp:effectExtent l="0" t="0" r="0" b="317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114800" cy="2130552"/>
                    </a:xfrm>
                    <a:prstGeom prst="rect">
                      <a:avLst/>
                    </a:prstGeom>
                  </pic:spPr>
                </pic:pic>
              </a:graphicData>
            </a:graphic>
          </wp:inline>
        </w:drawing>
      </w:r>
    </w:p>
    <w:p w14:paraId="363E2323" w14:textId="77777777" w:rsidR="00D87C6D" w:rsidRPr="000665B0" w:rsidRDefault="00D87C6D" w:rsidP="006D5A65">
      <w:pPr>
        <w:pStyle w:val="Heading1"/>
      </w:pPr>
      <w:r w:rsidRPr="000665B0">
        <w:t xml:space="preserve">Click the </w:t>
      </w:r>
      <w:r w:rsidRPr="000665B0">
        <w:rPr>
          <w:noProof/>
        </w:rPr>
        <w:drawing>
          <wp:inline distT="0" distB="0" distL="0" distR="0" wp14:anchorId="4AF777A3" wp14:editId="12B5734C">
            <wp:extent cx="171450" cy="15240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Button.jpg"/>
                    <pic:cNvPicPr/>
                  </pic:nvPicPr>
                  <pic:blipFill>
                    <a:blip>
                      <a:extLst>
                        <a:ext uri="{28A0092B-C50C-407E-A947-70E740481C1C}">
                          <a14:useLocalDpi xmlns:a14="http://schemas.microsoft.com/office/drawing/2010/main"/>
                        </a:ext>
                      </a:extLst>
                    </a:blip>
                    <a:stretch>
                      <a:fillRect/>
                    </a:stretch>
                  </pic:blipFill>
                  <pic:spPr>
                    <a:xfrm>
                      <a:off x="0" y="0"/>
                      <a:ext cx="171450" cy="152400"/>
                    </a:xfrm>
                    <a:prstGeom prst="rect">
                      <a:avLst/>
                    </a:prstGeom>
                  </pic:spPr>
                </pic:pic>
              </a:graphicData>
            </a:graphic>
          </wp:inline>
        </w:drawing>
      </w:r>
      <w:r w:rsidRPr="000665B0">
        <w:t xml:space="preserve"> button to close the </w:t>
      </w:r>
      <w:r w:rsidRPr="000665B0">
        <w:rPr>
          <w:i/>
        </w:rPr>
        <w:t>InfraRecorder</w:t>
      </w:r>
      <w:r w:rsidRPr="000665B0">
        <w:t xml:space="preserve"> window. Remove the CD-R from the CD drive. </w:t>
      </w:r>
    </w:p>
    <w:p w14:paraId="08D6C66B" w14:textId="7542F92E" w:rsidR="00EF10FB" w:rsidRPr="000665B0" w:rsidRDefault="00EF10FB" w:rsidP="006D5A65">
      <w:pPr>
        <w:pStyle w:val="Heading1"/>
      </w:pPr>
      <w:r w:rsidRPr="000665B0">
        <w:t>If another PC</w:t>
      </w:r>
      <w:r w:rsidR="00477F43" w:rsidRPr="000665B0">
        <w:t xml:space="preserve"> at the same classification level</w:t>
      </w:r>
      <w:r w:rsidRPr="000665B0">
        <w:t xml:space="preserve"> is available, verify the contents of the </w:t>
      </w:r>
      <w:r w:rsidR="009B32F3" w:rsidRPr="000665B0">
        <w:t>newly written</w:t>
      </w:r>
      <w:r w:rsidRPr="000665B0">
        <w:t xml:space="preserve"> CD</w:t>
      </w:r>
      <w:r w:rsidR="00AC5CA0" w:rsidRPr="000665B0">
        <w:t>-R</w:t>
      </w:r>
      <w:r w:rsidRPr="000665B0">
        <w:t>.</w:t>
      </w:r>
    </w:p>
    <w:p w14:paraId="32869C09" w14:textId="77777777" w:rsidR="00EF10FB" w:rsidRPr="000665B0" w:rsidRDefault="00EF10FB" w:rsidP="006D5A65">
      <w:pPr>
        <w:pStyle w:val="Heading1"/>
      </w:pPr>
      <w:r w:rsidRPr="000665B0">
        <w:t xml:space="preserve">Proceed </w:t>
      </w:r>
      <w:r w:rsidR="00BE2B76" w:rsidRPr="000665B0">
        <w:t>using</w:t>
      </w:r>
      <w:r w:rsidRPr="000665B0">
        <w:t xml:space="preserve"> the appropriate packaging and labeling requirements for classified materials. </w:t>
      </w:r>
    </w:p>
    <w:p w14:paraId="711CE2B4" w14:textId="10DC61EC" w:rsidR="00364790" w:rsidRPr="000665B0" w:rsidRDefault="0052038F" w:rsidP="00477F43">
      <w:r w:rsidRPr="000665B0">
        <w:t>An optional</w:t>
      </w:r>
      <w:r w:rsidR="00364790" w:rsidRPr="000665B0">
        <w:t xml:space="preserve"> step is to create a CD for the Co-located MDS. The only difference is that this CD will be created in Joliet Format File System for a </w:t>
      </w:r>
      <w:r w:rsidR="00AF7599" w:rsidRPr="000665B0">
        <w:t>W</w:t>
      </w:r>
      <w:r w:rsidR="00364790" w:rsidRPr="000665B0">
        <w:t>indows operating system.</w:t>
      </w:r>
    </w:p>
    <w:p w14:paraId="7C3200A2" w14:textId="71A55C72" w:rsidR="00364790" w:rsidRPr="000665B0" w:rsidRDefault="00AF7599" w:rsidP="005A241A">
      <w:r w:rsidRPr="000665B0">
        <w:t>T</w:t>
      </w:r>
      <w:r w:rsidR="00364790" w:rsidRPr="000665B0">
        <w:t>he MDS DDO</w:t>
      </w:r>
      <w:r w:rsidR="00364790" w:rsidRPr="000665B0">
        <w:rPr>
          <w:i/>
        </w:rPr>
        <w:t>nnnnn-nnnnn</w:t>
      </w:r>
      <w:r w:rsidR="00364790" w:rsidRPr="000665B0">
        <w:t xml:space="preserve"> </w:t>
      </w:r>
      <w:r w:rsidRPr="000665B0">
        <w:t xml:space="preserve">can be placed </w:t>
      </w:r>
      <w:r w:rsidR="00364790" w:rsidRPr="000665B0">
        <w:t>directly on the CD by sele</w:t>
      </w:r>
      <w:r w:rsidRPr="000665B0">
        <w:t>cting the directory and select</w:t>
      </w:r>
      <w:r w:rsidR="00477F43" w:rsidRPr="000665B0">
        <w:t>ing</w:t>
      </w:r>
      <w:r w:rsidRPr="000665B0">
        <w:t xml:space="preserve"> </w:t>
      </w:r>
      <w:r w:rsidR="00364790" w:rsidRPr="000665B0">
        <w:rPr>
          <w:b/>
        </w:rPr>
        <w:t>Send To</w:t>
      </w:r>
      <w:r w:rsidR="00364790" w:rsidRPr="000665B0">
        <w:t xml:space="preserve"> the CD Writer.</w:t>
      </w:r>
    </w:p>
    <w:p w14:paraId="254F40C3" w14:textId="77777777" w:rsidR="001900D8" w:rsidRPr="000665B0" w:rsidRDefault="001900D8" w:rsidP="00A0163E">
      <w:pPr>
        <w:pBdr>
          <w:top w:val="single" w:sz="12" w:space="1" w:color="auto"/>
          <w:left w:val="single" w:sz="12" w:space="4" w:color="auto"/>
          <w:bottom w:val="single" w:sz="12" w:space="1" w:color="auto"/>
          <w:right w:val="single" w:sz="12" w:space="4" w:color="auto"/>
        </w:pBdr>
        <w:shd w:val="clear" w:color="auto" w:fill="F3F3F3"/>
        <w:autoSpaceDE w:val="0"/>
        <w:autoSpaceDN w:val="0"/>
        <w:adjustRightInd w:val="0"/>
        <w:ind w:left="86" w:right="86"/>
        <w:rPr>
          <w:b/>
        </w:rPr>
      </w:pPr>
      <w:r w:rsidRPr="000665B0">
        <w:rPr>
          <w:rFonts w:ascii="Arial" w:hAnsi="Arial" w:cs="Arial"/>
          <w:noProof/>
          <w:sz w:val="20"/>
        </w:rPr>
        <w:lastRenderedPageBreak/>
        <w:drawing>
          <wp:inline distT="0" distB="0" distL="0" distR="0" wp14:anchorId="5614DE3C" wp14:editId="799E8367">
            <wp:extent cx="352425" cy="381000"/>
            <wp:effectExtent l="0" t="0" r="9525"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352425" cy="381000"/>
                    </a:xfrm>
                    <a:prstGeom prst="rect">
                      <a:avLst/>
                    </a:prstGeom>
                    <a:noFill/>
                    <a:ln>
                      <a:noFill/>
                    </a:ln>
                  </pic:spPr>
                </pic:pic>
              </a:graphicData>
            </a:graphic>
          </wp:inline>
        </w:drawing>
      </w:r>
      <w:r w:rsidRPr="000665B0">
        <w:rPr>
          <w:b/>
        </w:rPr>
        <w:t xml:space="preserve">TIP: It is recommended to build a README.txt file that is always </w:t>
      </w:r>
      <w:r w:rsidR="00387E0F" w:rsidRPr="000665B0">
        <w:rPr>
          <w:b/>
        </w:rPr>
        <w:t xml:space="preserve">included </w:t>
      </w:r>
      <w:r w:rsidRPr="000665B0">
        <w:rPr>
          <w:b/>
        </w:rPr>
        <w:t>on the CD at the top level, to quickly identify what is on the CD.</w:t>
      </w:r>
    </w:p>
    <w:p w14:paraId="42E2CDEC" w14:textId="77777777" w:rsidR="00364790" w:rsidRPr="000665B0" w:rsidRDefault="00364790" w:rsidP="005A241A">
      <w:r w:rsidRPr="000665B0">
        <w:t xml:space="preserve">Some examples of </w:t>
      </w:r>
      <w:r w:rsidR="00387E0F" w:rsidRPr="000665B0">
        <w:t xml:space="preserve">information </w:t>
      </w:r>
      <w:r w:rsidRPr="000665B0">
        <w:t>to include</w:t>
      </w:r>
      <w:r w:rsidR="00387E0F" w:rsidRPr="000665B0">
        <w:t xml:space="preserve"> in the README file</w:t>
      </w:r>
      <w:r w:rsidRPr="000665B0">
        <w:t>:</w:t>
      </w:r>
    </w:p>
    <w:p w14:paraId="1202A7E3" w14:textId="51267928" w:rsidR="00364790" w:rsidRPr="000665B0" w:rsidRDefault="00364790" w:rsidP="006D5A65">
      <w:pPr>
        <w:pStyle w:val="Heading1"/>
      </w:pPr>
      <w:r w:rsidRPr="000665B0">
        <w:t>Overall classification</w:t>
      </w:r>
      <w:r w:rsidR="00DC455B">
        <w:t>.</w:t>
      </w:r>
    </w:p>
    <w:p w14:paraId="0AEF5814" w14:textId="708BB119" w:rsidR="00364790" w:rsidRPr="000665B0" w:rsidRDefault="00364790" w:rsidP="006D5A65">
      <w:pPr>
        <w:pStyle w:val="Heading1"/>
      </w:pPr>
      <w:r w:rsidRPr="000665B0">
        <w:t>To shipping address</w:t>
      </w:r>
      <w:r w:rsidR="00DC455B">
        <w:t>.</w:t>
      </w:r>
    </w:p>
    <w:p w14:paraId="1B12BBFA" w14:textId="3A0237C9" w:rsidR="00364790" w:rsidRPr="000665B0" w:rsidRDefault="00364790" w:rsidP="006D5A65">
      <w:pPr>
        <w:pStyle w:val="Heading1"/>
      </w:pPr>
      <w:r w:rsidRPr="000665B0">
        <w:t>From shipping address</w:t>
      </w:r>
      <w:r w:rsidR="00DC455B">
        <w:t>.</w:t>
      </w:r>
    </w:p>
    <w:p w14:paraId="38C22EF3" w14:textId="3C48CAAA" w:rsidR="00364790" w:rsidRPr="000665B0" w:rsidRDefault="00364790" w:rsidP="006D5A65">
      <w:pPr>
        <w:pStyle w:val="Heading1"/>
      </w:pPr>
      <w:r w:rsidRPr="000665B0">
        <w:t xml:space="preserve">POCs </w:t>
      </w:r>
      <w:r w:rsidR="00F516CF" w:rsidRPr="000665B0">
        <w:t xml:space="preserve">and </w:t>
      </w:r>
      <w:r w:rsidRPr="000665B0">
        <w:t>phone numbers</w:t>
      </w:r>
      <w:r w:rsidR="00DC455B">
        <w:t>.</w:t>
      </w:r>
    </w:p>
    <w:p w14:paraId="0C9004E9" w14:textId="10C8E656" w:rsidR="00364790" w:rsidRPr="000665B0" w:rsidRDefault="00364790" w:rsidP="006D5A65">
      <w:pPr>
        <w:pStyle w:val="Heading1"/>
      </w:pPr>
      <w:r w:rsidRPr="000665B0">
        <w:t xml:space="preserve">The MDS Version Number of the system that built the data (e.g., MDS </w:t>
      </w:r>
      <w:r w:rsidR="005619C1" w:rsidRPr="000665B0">
        <w:t>7</w:t>
      </w:r>
      <w:r w:rsidR="00EA12C2" w:rsidRPr="000665B0">
        <w:t>.0</w:t>
      </w:r>
      <w:r w:rsidRPr="000665B0">
        <w:t>)</w:t>
      </w:r>
      <w:r w:rsidR="00DC455B">
        <w:t>.</w:t>
      </w:r>
    </w:p>
    <w:p w14:paraId="0C190FF3" w14:textId="36983800" w:rsidR="005A241A" w:rsidRPr="000665B0" w:rsidRDefault="005A241A" w:rsidP="006D5A65">
      <w:pPr>
        <w:pStyle w:val="Heading1"/>
      </w:pPr>
      <w:r w:rsidRPr="000665B0">
        <w:t>Which actual system/node was used (e.g., ROADKING – Washington Planning Center)</w:t>
      </w:r>
      <w:r w:rsidR="00DC455B">
        <w:t>.</w:t>
      </w:r>
    </w:p>
    <w:p w14:paraId="3885A4AF" w14:textId="5C9DD6F9" w:rsidR="00364790" w:rsidRPr="000665B0" w:rsidRDefault="00364790" w:rsidP="006D5A65">
      <w:pPr>
        <w:pStyle w:val="Heading1"/>
      </w:pPr>
      <w:r w:rsidRPr="000665B0">
        <w:t xml:space="preserve">The </w:t>
      </w:r>
      <w:r w:rsidR="00AF7599" w:rsidRPr="000665B0">
        <w:t>d</w:t>
      </w:r>
      <w:r w:rsidRPr="000665B0">
        <w:t>ate the data was created</w:t>
      </w:r>
      <w:r w:rsidR="00DC455B">
        <w:t>.</w:t>
      </w:r>
    </w:p>
    <w:p w14:paraId="7A0BAB62" w14:textId="77777777" w:rsidR="00364790" w:rsidRPr="000665B0" w:rsidRDefault="00364790" w:rsidP="006D5A65">
      <w:pPr>
        <w:pStyle w:val="Heading1"/>
      </w:pPr>
      <w:r w:rsidRPr="000665B0">
        <w:t xml:space="preserve">Tasking </w:t>
      </w:r>
      <w:r w:rsidR="00AF7599" w:rsidRPr="000665B0">
        <w:t>n</w:t>
      </w:r>
      <w:r w:rsidRPr="000665B0">
        <w:t>otes (SLAMEX 04-1</w:t>
      </w:r>
      <w:r w:rsidR="005A241A" w:rsidRPr="000665B0">
        <w:t>)</w:t>
      </w:r>
      <w:r w:rsidR="00F74B2D" w:rsidRPr="000665B0">
        <w:t>.</w:t>
      </w:r>
    </w:p>
    <w:p w14:paraId="2CBAB854" w14:textId="77777777" w:rsidR="005A241A" w:rsidRPr="000665B0" w:rsidRDefault="005A241A" w:rsidP="005A241A">
      <w:pPr>
        <w:ind w:left="360"/>
      </w:pPr>
    </w:p>
    <w:p w14:paraId="3131D894" w14:textId="77777777" w:rsidR="00A316EA" w:rsidRDefault="00A316EA" w:rsidP="005A241A">
      <w:pPr>
        <w:ind w:left="720"/>
      </w:pPr>
      <w:r>
        <w:br w:type="page"/>
      </w:r>
      <w:bookmarkStart w:id="7448" w:name="_Toc75053065"/>
    </w:p>
    <w:p w14:paraId="5406A2AF" w14:textId="2C5C56D7" w:rsidR="00C76780" w:rsidRPr="000665B0" w:rsidRDefault="009319FE" w:rsidP="003604C5">
      <w:pPr>
        <w:pStyle w:val="Appendix"/>
        <w:rPr>
          <w:bCs/>
          <w:sz w:val="28"/>
          <w:szCs w:val="28"/>
        </w:rPr>
      </w:pPr>
      <w:bookmarkStart w:id="7449" w:name="_appendix_K_"/>
      <w:bookmarkStart w:id="7450" w:name="_Toc289329089"/>
      <w:bookmarkStart w:id="7451" w:name="_Toc312332198"/>
      <w:bookmarkStart w:id="7452" w:name="_Hlk36735707"/>
      <w:bookmarkEnd w:id="7443"/>
      <w:bookmarkEnd w:id="7448"/>
      <w:bookmarkEnd w:id="7449"/>
      <w:r w:rsidRPr="000665B0">
        <w:lastRenderedPageBreak/>
        <w:br/>
      </w:r>
      <w:bookmarkStart w:id="7453" w:name="_Toc214283703"/>
      <w:r w:rsidRPr="000665B0">
        <w:t>DISTRIBUTION LIMITATION NOTES</w:t>
      </w:r>
      <w:bookmarkEnd w:id="7450"/>
      <w:bookmarkEnd w:id="7451"/>
      <w:bookmarkEnd w:id="7453"/>
    </w:p>
    <w:p w14:paraId="1D9BF475" w14:textId="47872C33" w:rsidR="00666A64" w:rsidRPr="000665B0" w:rsidRDefault="00DD77A1" w:rsidP="007C006C">
      <w:pPr>
        <w:jc w:val="center"/>
        <w:rPr>
          <w:b/>
          <w:szCs w:val="24"/>
        </w:rPr>
      </w:pPr>
      <w:r w:rsidRPr="000665B0">
        <w:rPr>
          <w:b/>
          <w:szCs w:val="24"/>
        </w:rPr>
        <w:t>MDS/</w:t>
      </w:r>
      <w:r w:rsidR="0010612D" w:rsidRPr="000665B0">
        <w:rPr>
          <w:b/>
          <w:szCs w:val="24"/>
        </w:rPr>
        <w:t>TED</w:t>
      </w:r>
      <w:r w:rsidR="00666A64" w:rsidRPr="000665B0">
        <w:rPr>
          <w:b/>
          <w:szCs w:val="24"/>
        </w:rPr>
        <w:t xml:space="preserve"> </w:t>
      </w:r>
      <w:r w:rsidR="00F2505E" w:rsidRPr="000665B0">
        <w:rPr>
          <w:b/>
          <w:szCs w:val="24"/>
        </w:rPr>
        <w:t>7</w:t>
      </w:r>
      <w:r w:rsidR="00EA12C2" w:rsidRPr="000665B0">
        <w:rPr>
          <w:b/>
          <w:szCs w:val="24"/>
        </w:rPr>
        <w:t>.0</w:t>
      </w:r>
      <w:r w:rsidR="005E23EB" w:rsidRPr="000665B0">
        <w:rPr>
          <w:b/>
          <w:szCs w:val="24"/>
        </w:rPr>
        <w:t xml:space="preserve"> </w:t>
      </w:r>
      <w:r w:rsidR="00666A64" w:rsidRPr="000665B0">
        <w:rPr>
          <w:b/>
          <w:szCs w:val="24"/>
        </w:rPr>
        <w:t>Send/Receive</w:t>
      </w:r>
    </w:p>
    <w:tbl>
      <w:tblPr>
        <w:tblW w:w="132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1"/>
        <w:gridCol w:w="1477"/>
        <w:gridCol w:w="1472"/>
        <w:gridCol w:w="1471"/>
        <w:gridCol w:w="5444"/>
      </w:tblGrid>
      <w:tr w:rsidR="00785BD5" w:rsidRPr="000665B0" w14:paraId="19440A20" w14:textId="77777777" w:rsidTr="00460A85">
        <w:trPr>
          <w:tblHeader/>
          <w:jc w:val="center"/>
        </w:trPr>
        <w:tc>
          <w:tcPr>
            <w:tcW w:w="3361" w:type="dxa"/>
            <w:tcBorders>
              <w:bottom w:val="single" w:sz="4" w:space="0" w:color="auto"/>
            </w:tcBorders>
            <w:shd w:val="clear" w:color="auto" w:fill="D9D9D9" w:themeFill="background1" w:themeFillShade="D9"/>
            <w:vAlign w:val="bottom"/>
          </w:tcPr>
          <w:p w14:paraId="02FE0107" w14:textId="77777777" w:rsidR="00785BD5" w:rsidRPr="000665B0" w:rsidRDefault="00785BD5" w:rsidP="00742EF8">
            <w:pPr>
              <w:spacing w:after="0"/>
              <w:rPr>
                <w:sz w:val="22"/>
                <w:szCs w:val="22"/>
              </w:rPr>
            </w:pPr>
          </w:p>
        </w:tc>
        <w:tc>
          <w:tcPr>
            <w:tcW w:w="1477" w:type="dxa"/>
            <w:tcBorders>
              <w:top w:val="single" w:sz="12" w:space="0" w:color="auto"/>
              <w:left w:val="single" w:sz="12" w:space="0" w:color="auto"/>
              <w:bottom w:val="single" w:sz="6" w:space="0" w:color="auto"/>
              <w:right w:val="single" w:sz="12" w:space="0" w:color="auto"/>
            </w:tcBorders>
            <w:shd w:val="clear" w:color="auto" w:fill="D9D9D9" w:themeFill="background1" w:themeFillShade="D9"/>
            <w:vAlign w:val="bottom"/>
          </w:tcPr>
          <w:p w14:paraId="4A75F3ED" w14:textId="174FF3ED" w:rsidR="00785BD5" w:rsidRPr="000665B0" w:rsidRDefault="00785BD5" w:rsidP="004C4E87">
            <w:pPr>
              <w:spacing w:after="0"/>
              <w:jc w:val="center"/>
              <w:rPr>
                <w:b/>
                <w:bCs/>
                <w:sz w:val="22"/>
                <w:szCs w:val="22"/>
              </w:rPr>
            </w:pPr>
            <w:r w:rsidRPr="000665B0">
              <w:rPr>
                <w:b/>
                <w:bCs/>
                <w:sz w:val="22"/>
                <w:szCs w:val="22"/>
              </w:rPr>
              <w:t xml:space="preserve">To/From MDS/TED 5.1.1 (See Note 7, 15) </w:t>
            </w:r>
          </w:p>
        </w:tc>
        <w:tc>
          <w:tcPr>
            <w:tcW w:w="1472" w:type="dxa"/>
            <w:tcBorders>
              <w:top w:val="single" w:sz="12" w:space="0" w:color="auto"/>
              <w:left w:val="single" w:sz="12" w:space="0" w:color="auto"/>
              <w:bottom w:val="single" w:sz="6" w:space="0" w:color="auto"/>
              <w:right w:val="single" w:sz="12" w:space="0" w:color="auto"/>
            </w:tcBorders>
            <w:shd w:val="clear" w:color="auto" w:fill="D9D9D9" w:themeFill="background1" w:themeFillShade="D9"/>
          </w:tcPr>
          <w:p w14:paraId="2A1BA1A4" w14:textId="714D8E88" w:rsidR="00785BD5" w:rsidRPr="000665B0" w:rsidRDefault="00785BD5" w:rsidP="004C4E87">
            <w:pPr>
              <w:spacing w:after="0"/>
              <w:jc w:val="center"/>
              <w:rPr>
                <w:b/>
                <w:bCs/>
                <w:sz w:val="22"/>
                <w:szCs w:val="22"/>
              </w:rPr>
            </w:pPr>
            <w:r w:rsidRPr="000665B0">
              <w:rPr>
                <w:b/>
                <w:bCs/>
                <w:sz w:val="22"/>
                <w:szCs w:val="22"/>
              </w:rPr>
              <w:t>To/From MDS/TED 6.0 (See</w:t>
            </w:r>
            <w:r w:rsidRPr="000665B0">
              <w:rPr>
                <w:b/>
                <w:bCs/>
                <w:sz w:val="22"/>
                <w:szCs w:val="22"/>
              </w:rPr>
              <w:br/>
              <w:t>Note 15)</w:t>
            </w:r>
          </w:p>
        </w:tc>
        <w:tc>
          <w:tcPr>
            <w:tcW w:w="1471" w:type="dxa"/>
            <w:tcBorders>
              <w:top w:val="single" w:sz="12" w:space="0" w:color="auto"/>
              <w:left w:val="single" w:sz="12" w:space="0" w:color="auto"/>
              <w:bottom w:val="single" w:sz="6" w:space="0" w:color="auto"/>
              <w:right w:val="single" w:sz="12" w:space="0" w:color="auto"/>
            </w:tcBorders>
            <w:shd w:val="clear" w:color="auto" w:fill="D9D9D9" w:themeFill="background1" w:themeFillShade="D9"/>
          </w:tcPr>
          <w:p w14:paraId="1DED56F9" w14:textId="7B88D608" w:rsidR="00785BD5" w:rsidRPr="000665B0" w:rsidRDefault="00785BD5" w:rsidP="00742EF8">
            <w:pPr>
              <w:spacing w:after="0"/>
              <w:jc w:val="center"/>
              <w:rPr>
                <w:b/>
                <w:bCs/>
                <w:sz w:val="22"/>
                <w:szCs w:val="22"/>
              </w:rPr>
            </w:pPr>
            <w:r w:rsidRPr="000665B0">
              <w:rPr>
                <w:b/>
                <w:bCs/>
                <w:sz w:val="22"/>
                <w:szCs w:val="22"/>
              </w:rPr>
              <w:t xml:space="preserve">To/From MDS/TED 7.0 (See Note </w:t>
            </w:r>
            <w:r w:rsidR="00CD1EA8">
              <w:rPr>
                <w:b/>
                <w:bCs/>
                <w:sz w:val="22"/>
                <w:szCs w:val="22"/>
              </w:rPr>
              <w:t>2</w:t>
            </w:r>
            <w:r w:rsidR="009612A8">
              <w:rPr>
                <w:b/>
                <w:bCs/>
                <w:sz w:val="22"/>
                <w:szCs w:val="22"/>
              </w:rPr>
              <w:t>1</w:t>
            </w:r>
            <w:r w:rsidRPr="000665B0">
              <w:rPr>
                <w:b/>
                <w:bCs/>
                <w:sz w:val="22"/>
                <w:szCs w:val="22"/>
              </w:rPr>
              <w:t>)</w:t>
            </w:r>
          </w:p>
        </w:tc>
        <w:tc>
          <w:tcPr>
            <w:tcW w:w="5444" w:type="dxa"/>
            <w:tcBorders>
              <w:top w:val="single" w:sz="12" w:space="0" w:color="auto"/>
              <w:left w:val="single" w:sz="12" w:space="0" w:color="auto"/>
              <w:bottom w:val="single" w:sz="6" w:space="0" w:color="auto"/>
              <w:right w:val="single" w:sz="12" w:space="0" w:color="auto"/>
            </w:tcBorders>
            <w:shd w:val="clear" w:color="auto" w:fill="D9D9D9" w:themeFill="background1" w:themeFillShade="D9"/>
            <w:vAlign w:val="bottom"/>
          </w:tcPr>
          <w:p w14:paraId="0114E28E" w14:textId="27B775DF" w:rsidR="00785BD5" w:rsidRPr="000665B0" w:rsidRDefault="00785BD5" w:rsidP="00742EF8">
            <w:pPr>
              <w:spacing w:after="0"/>
              <w:jc w:val="center"/>
              <w:rPr>
                <w:b/>
                <w:bCs/>
                <w:sz w:val="22"/>
                <w:szCs w:val="22"/>
              </w:rPr>
            </w:pPr>
            <w:r w:rsidRPr="000665B0">
              <w:rPr>
                <w:b/>
                <w:bCs/>
                <w:sz w:val="22"/>
                <w:szCs w:val="22"/>
              </w:rPr>
              <w:t>How MDS/TED Handles Receiving Duplicate Data</w:t>
            </w:r>
          </w:p>
        </w:tc>
      </w:tr>
      <w:tr w:rsidR="00785BD5" w:rsidRPr="000665B0" w14:paraId="24B6C2C5" w14:textId="77777777" w:rsidTr="00460A85">
        <w:trPr>
          <w:jc w:val="center"/>
        </w:trPr>
        <w:tc>
          <w:tcPr>
            <w:tcW w:w="3361" w:type="dxa"/>
            <w:shd w:val="clear" w:color="auto" w:fill="D9D9D9" w:themeFill="background1" w:themeFillShade="D9"/>
            <w:vAlign w:val="bottom"/>
          </w:tcPr>
          <w:p w14:paraId="62452B5E" w14:textId="77777777" w:rsidR="00785BD5" w:rsidRPr="000665B0" w:rsidRDefault="00785BD5" w:rsidP="00742EF8">
            <w:pPr>
              <w:spacing w:after="0"/>
              <w:rPr>
                <w:b/>
                <w:bCs/>
                <w:sz w:val="22"/>
                <w:szCs w:val="22"/>
              </w:rPr>
            </w:pPr>
            <w:r w:rsidRPr="000665B0">
              <w:rPr>
                <w:b/>
                <w:bCs/>
                <w:sz w:val="22"/>
                <w:szCs w:val="22"/>
              </w:rPr>
              <w:t>Distribution Lists</w:t>
            </w:r>
          </w:p>
        </w:tc>
        <w:tc>
          <w:tcPr>
            <w:tcW w:w="1477" w:type="dxa"/>
            <w:tcBorders>
              <w:top w:val="single" w:sz="6" w:space="0" w:color="auto"/>
              <w:left w:val="single" w:sz="12" w:space="0" w:color="auto"/>
              <w:bottom w:val="single" w:sz="6" w:space="0" w:color="auto"/>
              <w:right w:val="single" w:sz="12" w:space="0" w:color="auto"/>
            </w:tcBorders>
            <w:vAlign w:val="bottom"/>
          </w:tcPr>
          <w:p w14:paraId="26E20B0A" w14:textId="77777777" w:rsidR="00785BD5" w:rsidRPr="000665B0" w:rsidRDefault="00785BD5" w:rsidP="00742EF8">
            <w:pPr>
              <w:spacing w:after="0"/>
              <w:jc w:val="center"/>
              <w:rPr>
                <w:b/>
                <w:bCs/>
                <w:sz w:val="22"/>
                <w:szCs w:val="22"/>
              </w:rPr>
            </w:pPr>
          </w:p>
        </w:tc>
        <w:tc>
          <w:tcPr>
            <w:tcW w:w="1472" w:type="dxa"/>
            <w:tcBorders>
              <w:top w:val="single" w:sz="6" w:space="0" w:color="auto"/>
              <w:left w:val="single" w:sz="12" w:space="0" w:color="auto"/>
              <w:bottom w:val="single" w:sz="6" w:space="0" w:color="auto"/>
              <w:right w:val="single" w:sz="12" w:space="0" w:color="auto"/>
            </w:tcBorders>
          </w:tcPr>
          <w:p w14:paraId="48CE588C" w14:textId="77777777" w:rsidR="00785BD5" w:rsidRPr="000665B0" w:rsidRDefault="00785BD5" w:rsidP="00742EF8">
            <w:pPr>
              <w:spacing w:after="0"/>
              <w:jc w:val="center"/>
              <w:rPr>
                <w:b/>
                <w:bCs/>
                <w:sz w:val="22"/>
                <w:szCs w:val="22"/>
              </w:rPr>
            </w:pPr>
          </w:p>
        </w:tc>
        <w:tc>
          <w:tcPr>
            <w:tcW w:w="1471" w:type="dxa"/>
            <w:tcBorders>
              <w:top w:val="single" w:sz="6" w:space="0" w:color="auto"/>
              <w:left w:val="single" w:sz="12" w:space="0" w:color="auto"/>
              <w:bottom w:val="single" w:sz="6" w:space="0" w:color="auto"/>
              <w:right w:val="single" w:sz="12" w:space="0" w:color="auto"/>
            </w:tcBorders>
          </w:tcPr>
          <w:p w14:paraId="4EA39175" w14:textId="77777777" w:rsidR="00785BD5" w:rsidRPr="000665B0" w:rsidRDefault="00785BD5" w:rsidP="00742EF8">
            <w:pPr>
              <w:spacing w:after="0"/>
              <w:jc w:val="center"/>
              <w:rPr>
                <w:b/>
                <w:bCs/>
                <w:sz w:val="22"/>
                <w:szCs w:val="22"/>
              </w:rPr>
            </w:pPr>
          </w:p>
        </w:tc>
        <w:tc>
          <w:tcPr>
            <w:tcW w:w="5444" w:type="dxa"/>
            <w:tcBorders>
              <w:top w:val="single" w:sz="6" w:space="0" w:color="auto"/>
              <w:left w:val="single" w:sz="12" w:space="0" w:color="auto"/>
              <w:bottom w:val="single" w:sz="6" w:space="0" w:color="auto"/>
              <w:right w:val="single" w:sz="12" w:space="0" w:color="auto"/>
            </w:tcBorders>
            <w:vAlign w:val="bottom"/>
          </w:tcPr>
          <w:p w14:paraId="2F27CB80" w14:textId="352E5C9C" w:rsidR="00785BD5" w:rsidRPr="000665B0" w:rsidRDefault="00785BD5" w:rsidP="00742EF8">
            <w:pPr>
              <w:spacing w:after="0"/>
              <w:jc w:val="center"/>
              <w:rPr>
                <w:b/>
                <w:bCs/>
                <w:sz w:val="22"/>
                <w:szCs w:val="22"/>
              </w:rPr>
            </w:pPr>
          </w:p>
        </w:tc>
      </w:tr>
      <w:tr w:rsidR="00785BD5" w:rsidRPr="000665B0" w14:paraId="6A94AAF7" w14:textId="77777777" w:rsidTr="00232DC4">
        <w:trPr>
          <w:jc w:val="center"/>
        </w:trPr>
        <w:tc>
          <w:tcPr>
            <w:tcW w:w="3361" w:type="dxa"/>
            <w:tcBorders>
              <w:bottom w:val="single" w:sz="4" w:space="0" w:color="auto"/>
            </w:tcBorders>
          </w:tcPr>
          <w:p w14:paraId="6A8E7F93" w14:textId="78AB5871" w:rsidR="00785BD5" w:rsidRPr="000665B0" w:rsidRDefault="00785BD5" w:rsidP="00F2505E">
            <w:pPr>
              <w:spacing w:after="0"/>
              <w:rPr>
                <w:sz w:val="22"/>
                <w:szCs w:val="22"/>
              </w:rPr>
            </w:pPr>
            <w:r w:rsidRPr="000665B0">
              <w:rPr>
                <w:color w:val="000000"/>
                <w:sz w:val="22"/>
                <w:szCs w:val="22"/>
              </w:rPr>
              <w:t>Target Attack Requirements (TAR)</w:t>
            </w:r>
          </w:p>
        </w:tc>
        <w:tc>
          <w:tcPr>
            <w:tcW w:w="1477" w:type="dxa"/>
            <w:tcBorders>
              <w:top w:val="single" w:sz="6" w:space="0" w:color="auto"/>
              <w:left w:val="single" w:sz="12" w:space="0" w:color="auto"/>
              <w:bottom w:val="single" w:sz="6" w:space="0" w:color="auto"/>
              <w:right w:val="single" w:sz="12" w:space="0" w:color="auto"/>
            </w:tcBorders>
          </w:tcPr>
          <w:p w14:paraId="245D7C79" w14:textId="11629015"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10</w:t>
            </w:r>
          </w:p>
        </w:tc>
        <w:tc>
          <w:tcPr>
            <w:tcW w:w="1472" w:type="dxa"/>
            <w:tcBorders>
              <w:top w:val="single" w:sz="6" w:space="0" w:color="auto"/>
              <w:left w:val="single" w:sz="12" w:space="0" w:color="auto"/>
              <w:bottom w:val="single" w:sz="6" w:space="0" w:color="auto"/>
              <w:right w:val="single" w:sz="12" w:space="0" w:color="auto"/>
            </w:tcBorders>
          </w:tcPr>
          <w:p w14:paraId="317D046D" w14:textId="0D3E2789"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10</w:t>
            </w:r>
          </w:p>
        </w:tc>
        <w:tc>
          <w:tcPr>
            <w:tcW w:w="1471" w:type="dxa"/>
            <w:tcBorders>
              <w:top w:val="single" w:sz="6" w:space="0" w:color="auto"/>
              <w:left w:val="single" w:sz="12" w:space="0" w:color="auto"/>
              <w:bottom w:val="single" w:sz="6" w:space="0" w:color="auto"/>
              <w:right w:val="single" w:sz="12" w:space="0" w:color="auto"/>
            </w:tcBorders>
          </w:tcPr>
          <w:p w14:paraId="25B3C574" w14:textId="51F15B84"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241F949A" w14:textId="74100599" w:rsidR="00785BD5" w:rsidRPr="000665B0" w:rsidRDefault="00785BD5" w:rsidP="00F2505E">
            <w:pPr>
              <w:spacing w:after="0"/>
              <w:rPr>
                <w:sz w:val="22"/>
                <w:szCs w:val="22"/>
              </w:rPr>
            </w:pPr>
            <w:r w:rsidRPr="000665B0">
              <w:rPr>
                <w:color w:val="000000"/>
                <w:sz w:val="22"/>
                <w:szCs w:val="22"/>
              </w:rPr>
              <w:t>Replace if Newer</w:t>
            </w:r>
          </w:p>
        </w:tc>
      </w:tr>
      <w:tr w:rsidR="00785BD5" w:rsidRPr="000665B0" w14:paraId="58C30003" w14:textId="77777777" w:rsidTr="00232DC4">
        <w:trPr>
          <w:jc w:val="center"/>
        </w:trPr>
        <w:tc>
          <w:tcPr>
            <w:tcW w:w="3361" w:type="dxa"/>
          </w:tcPr>
          <w:p w14:paraId="125ACE2B" w14:textId="142A47A5" w:rsidR="00785BD5" w:rsidRPr="000665B0" w:rsidRDefault="00785BD5" w:rsidP="00F2505E">
            <w:pPr>
              <w:spacing w:after="0"/>
              <w:rPr>
                <w:sz w:val="22"/>
                <w:szCs w:val="22"/>
              </w:rPr>
            </w:pPr>
            <w:r w:rsidRPr="000665B0">
              <w:rPr>
                <w:color w:val="000000"/>
                <w:sz w:val="22"/>
                <w:szCs w:val="22"/>
              </w:rPr>
              <w:t>Extended Platform List (XPL)</w:t>
            </w:r>
            <w:r w:rsidRPr="000665B0">
              <w:rPr>
                <w:color w:val="000000"/>
                <w:sz w:val="22"/>
                <w:szCs w:val="22"/>
                <w:vertAlign w:val="superscript"/>
              </w:rPr>
              <w:t>1</w:t>
            </w:r>
          </w:p>
        </w:tc>
        <w:tc>
          <w:tcPr>
            <w:tcW w:w="1477" w:type="dxa"/>
            <w:tcBorders>
              <w:top w:val="single" w:sz="6" w:space="0" w:color="auto"/>
              <w:left w:val="single" w:sz="12" w:space="0" w:color="auto"/>
              <w:bottom w:val="single" w:sz="6" w:space="0" w:color="auto"/>
              <w:right w:val="single" w:sz="12" w:space="0" w:color="auto"/>
            </w:tcBorders>
          </w:tcPr>
          <w:p w14:paraId="4DCDBC37" w14:textId="465A125E"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10</w:t>
            </w:r>
          </w:p>
        </w:tc>
        <w:tc>
          <w:tcPr>
            <w:tcW w:w="1472" w:type="dxa"/>
            <w:tcBorders>
              <w:top w:val="single" w:sz="6" w:space="0" w:color="auto"/>
              <w:left w:val="single" w:sz="12" w:space="0" w:color="auto"/>
              <w:bottom w:val="single" w:sz="6" w:space="0" w:color="auto"/>
              <w:right w:val="single" w:sz="12" w:space="0" w:color="auto"/>
            </w:tcBorders>
          </w:tcPr>
          <w:p w14:paraId="68BA7367" w14:textId="087F8CE0"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10</w:t>
            </w:r>
          </w:p>
        </w:tc>
        <w:tc>
          <w:tcPr>
            <w:tcW w:w="1471" w:type="dxa"/>
            <w:tcBorders>
              <w:top w:val="single" w:sz="6" w:space="0" w:color="auto"/>
              <w:left w:val="single" w:sz="12" w:space="0" w:color="auto"/>
              <w:bottom w:val="single" w:sz="6" w:space="0" w:color="auto"/>
              <w:right w:val="single" w:sz="12" w:space="0" w:color="auto"/>
            </w:tcBorders>
          </w:tcPr>
          <w:p w14:paraId="3F418DF6" w14:textId="3350BD88"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53EA260F" w14:textId="7CAACB2E" w:rsidR="00785BD5" w:rsidRPr="000665B0" w:rsidRDefault="00785BD5" w:rsidP="00F2505E">
            <w:pPr>
              <w:spacing w:after="0"/>
              <w:rPr>
                <w:sz w:val="22"/>
                <w:szCs w:val="22"/>
              </w:rPr>
            </w:pPr>
            <w:r w:rsidRPr="000665B0">
              <w:rPr>
                <w:color w:val="000000"/>
                <w:sz w:val="22"/>
                <w:szCs w:val="22"/>
              </w:rPr>
              <w:t>Replace if Newer</w:t>
            </w:r>
          </w:p>
        </w:tc>
      </w:tr>
      <w:tr w:rsidR="00785BD5" w:rsidRPr="000665B0" w14:paraId="0881E52E" w14:textId="77777777" w:rsidTr="00232DC4">
        <w:trPr>
          <w:jc w:val="center"/>
        </w:trPr>
        <w:tc>
          <w:tcPr>
            <w:tcW w:w="3361" w:type="dxa"/>
          </w:tcPr>
          <w:p w14:paraId="4BE468E0" w14:textId="77777777" w:rsidR="00785BD5" w:rsidRPr="000665B0" w:rsidRDefault="00785BD5" w:rsidP="00F2505E">
            <w:pPr>
              <w:spacing w:after="0"/>
              <w:rPr>
                <w:sz w:val="22"/>
                <w:szCs w:val="22"/>
              </w:rPr>
            </w:pPr>
            <w:r w:rsidRPr="000665B0">
              <w:rPr>
                <w:color w:val="000000"/>
                <w:sz w:val="22"/>
                <w:szCs w:val="22"/>
              </w:rPr>
              <w:t>Flight Software List (VFIL)</w:t>
            </w:r>
          </w:p>
        </w:tc>
        <w:tc>
          <w:tcPr>
            <w:tcW w:w="1477" w:type="dxa"/>
            <w:tcBorders>
              <w:top w:val="single" w:sz="6" w:space="0" w:color="auto"/>
              <w:left w:val="single" w:sz="12" w:space="0" w:color="auto"/>
              <w:bottom w:val="single" w:sz="6" w:space="0" w:color="auto"/>
              <w:right w:val="single" w:sz="12" w:space="0" w:color="auto"/>
            </w:tcBorders>
          </w:tcPr>
          <w:p w14:paraId="0C1787E2" w14:textId="210E59F8"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10</w:t>
            </w:r>
          </w:p>
        </w:tc>
        <w:tc>
          <w:tcPr>
            <w:tcW w:w="1472" w:type="dxa"/>
            <w:tcBorders>
              <w:top w:val="single" w:sz="6" w:space="0" w:color="auto"/>
              <w:left w:val="single" w:sz="12" w:space="0" w:color="auto"/>
              <w:bottom w:val="single" w:sz="6" w:space="0" w:color="auto"/>
              <w:right w:val="single" w:sz="12" w:space="0" w:color="auto"/>
            </w:tcBorders>
          </w:tcPr>
          <w:p w14:paraId="7DC4ABA2" w14:textId="3E9E38A4"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10</w:t>
            </w:r>
          </w:p>
        </w:tc>
        <w:tc>
          <w:tcPr>
            <w:tcW w:w="1471" w:type="dxa"/>
            <w:tcBorders>
              <w:top w:val="single" w:sz="6" w:space="0" w:color="auto"/>
              <w:left w:val="single" w:sz="12" w:space="0" w:color="auto"/>
              <w:bottom w:val="single" w:sz="6" w:space="0" w:color="auto"/>
              <w:right w:val="single" w:sz="12" w:space="0" w:color="auto"/>
            </w:tcBorders>
          </w:tcPr>
          <w:p w14:paraId="1D668F61" w14:textId="3B83D76F"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7CF97171" w14:textId="50EFDFB9" w:rsidR="00785BD5" w:rsidRPr="000665B0" w:rsidRDefault="00785BD5" w:rsidP="00F2505E">
            <w:pPr>
              <w:spacing w:after="0"/>
              <w:rPr>
                <w:sz w:val="22"/>
                <w:szCs w:val="22"/>
              </w:rPr>
            </w:pPr>
            <w:r w:rsidRPr="000665B0">
              <w:rPr>
                <w:color w:val="000000"/>
                <w:sz w:val="22"/>
                <w:szCs w:val="22"/>
              </w:rPr>
              <w:t>Replace if Newer</w:t>
            </w:r>
          </w:p>
        </w:tc>
      </w:tr>
      <w:tr w:rsidR="00785BD5" w:rsidRPr="000665B0" w14:paraId="48F9243F" w14:textId="77777777" w:rsidTr="00232DC4">
        <w:trPr>
          <w:jc w:val="center"/>
        </w:trPr>
        <w:tc>
          <w:tcPr>
            <w:tcW w:w="3361" w:type="dxa"/>
          </w:tcPr>
          <w:p w14:paraId="7A41C330" w14:textId="77777777" w:rsidR="00785BD5" w:rsidRPr="000665B0" w:rsidRDefault="00785BD5" w:rsidP="00F2505E">
            <w:pPr>
              <w:spacing w:after="0"/>
              <w:rPr>
                <w:sz w:val="22"/>
                <w:szCs w:val="22"/>
              </w:rPr>
            </w:pPr>
            <w:r w:rsidRPr="000665B0">
              <w:rPr>
                <w:color w:val="000000"/>
                <w:sz w:val="22"/>
                <w:szCs w:val="22"/>
              </w:rPr>
              <w:t>Missile List (VMIL)</w:t>
            </w:r>
          </w:p>
        </w:tc>
        <w:tc>
          <w:tcPr>
            <w:tcW w:w="1477" w:type="dxa"/>
            <w:tcBorders>
              <w:top w:val="single" w:sz="6" w:space="0" w:color="auto"/>
              <w:left w:val="single" w:sz="12" w:space="0" w:color="auto"/>
              <w:bottom w:val="single" w:sz="6" w:space="0" w:color="auto"/>
              <w:right w:val="single" w:sz="12" w:space="0" w:color="auto"/>
            </w:tcBorders>
          </w:tcPr>
          <w:p w14:paraId="2960590F" w14:textId="44958CA7"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10</w:t>
            </w:r>
          </w:p>
        </w:tc>
        <w:tc>
          <w:tcPr>
            <w:tcW w:w="1472" w:type="dxa"/>
            <w:tcBorders>
              <w:top w:val="single" w:sz="6" w:space="0" w:color="auto"/>
              <w:left w:val="single" w:sz="12" w:space="0" w:color="auto"/>
              <w:bottom w:val="single" w:sz="6" w:space="0" w:color="auto"/>
              <w:right w:val="single" w:sz="12" w:space="0" w:color="auto"/>
            </w:tcBorders>
          </w:tcPr>
          <w:p w14:paraId="7045654B" w14:textId="3841A8E0"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10</w:t>
            </w:r>
          </w:p>
        </w:tc>
        <w:tc>
          <w:tcPr>
            <w:tcW w:w="1471" w:type="dxa"/>
            <w:tcBorders>
              <w:top w:val="single" w:sz="6" w:space="0" w:color="auto"/>
              <w:left w:val="single" w:sz="12" w:space="0" w:color="auto"/>
              <w:bottom w:val="single" w:sz="6" w:space="0" w:color="auto"/>
              <w:right w:val="single" w:sz="12" w:space="0" w:color="auto"/>
            </w:tcBorders>
          </w:tcPr>
          <w:p w14:paraId="00A06808" w14:textId="4BEC8CAC"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314BEE13" w14:textId="0297478C" w:rsidR="00785BD5" w:rsidRPr="000665B0" w:rsidRDefault="00785BD5" w:rsidP="00F2505E">
            <w:pPr>
              <w:spacing w:after="0"/>
              <w:rPr>
                <w:sz w:val="22"/>
                <w:szCs w:val="22"/>
              </w:rPr>
            </w:pPr>
            <w:r w:rsidRPr="000665B0">
              <w:rPr>
                <w:color w:val="000000"/>
                <w:sz w:val="22"/>
                <w:szCs w:val="22"/>
              </w:rPr>
              <w:t>Replace if Newer</w:t>
            </w:r>
          </w:p>
        </w:tc>
      </w:tr>
      <w:tr w:rsidR="00785BD5" w:rsidRPr="000665B0" w14:paraId="6F469F9A" w14:textId="77777777" w:rsidTr="00232DC4">
        <w:trPr>
          <w:jc w:val="center"/>
        </w:trPr>
        <w:tc>
          <w:tcPr>
            <w:tcW w:w="3361" w:type="dxa"/>
          </w:tcPr>
          <w:p w14:paraId="18F05A75" w14:textId="77777777" w:rsidR="00785BD5" w:rsidRPr="000665B0" w:rsidRDefault="00785BD5" w:rsidP="00F2505E">
            <w:pPr>
              <w:spacing w:after="0"/>
              <w:rPr>
                <w:sz w:val="22"/>
                <w:szCs w:val="22"/>
              </w:rPr>
            </w:pPr>
            <w:r w:rsidRPr="000665B0">
              <w:rPr>
                <w:color w:val="000000"/>
                <w:sz w:val="22"/>
                <w:szCs w:val="22"/>
              </w:rPr>
              <w:t>PCTRF</w:t>
            </w:r>
          </w:p>
        </w:tc>
        <w:tc>
          <w:tcPr>
            <w:tcW w:w="1477" w:type="dxa"/>
            <w:tcBorders>
              <w:top w:val="single" w:sz="6" w:space="0" w:color="auto"/>
              <w:left w:val="single" w:sz="12" w:space="0" w:color="auto"/>
              <w:bottom w:val="single" w:sz="6" w:space="0" w:color="auto"/>
              <w:right w:val="single" w:sz="12" w:space="0" w:color="auto"/>
            </w:tcBorders>
          </w:tcPr>
          <w:p w14:paraId="2C3089AD" w14:textId="5C8B2997"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10</w:t>
            </w:r>
          </w:p>
        </w:tc>
        <w:tc>
          <w:tcPr>
            <w:tcW w:w="1472" w:type="dxa"/>
            <w:tcBorders>
              <w:top w:val="single" w:sz="6" w:space="0" w:color="auto"/>
              <w:left w:val="single" w:sz="12" w:space="0" w:color="auto"/>
              <w:bottom w:val="single" w:sz="6" w:space="0" w:color="auto"/>
              <w:right w:val="single" w:sz="12" w:space="0" w:color="auto"/>
            </w:tcBorders>
          </w:tcPr>
          <w:p w14:paraId="5D1E8684" w14:textId="61C76503"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10</w:t>
            </w:r>
          </w:p>
        </w:tc>
        <w:tc>
          <w:tcPr>
            <w:tcW w:w="1471" w:type="dxa"/>
            <w:tcBorders>
              <w:top w:val="single" w:sz="6" w:space="0" w:color="auto"/>
              <w:left w:val="single" w:sz="12" w:space="0" w:color="auto"/>
              <w:bottom w:val="single" w:sz="6" w:space="0" w:color="auto"/>
              <w:right w:val="single" w:sz="12" w:space="0" w:color="auto"/>
            </w:tcBorders>
          </w:tcPr>
          <w:p w14:paraId="0108D9A8" w14:textId="4CDD8A09"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771B5988" w14:textId="24C3A7CB" w:rsidR="00785BD5" w:rsidRPr="000665B0" w:rsidRDefault="00785BD5" w:rsidP="00F2505E">
            <w:pPr>
              <w:spacing w:after="0"/>
              <w:rPr>
                <w:sz w:val="22"/>
                <w:szCs w:val="22"/>
              </w:rPr>
            </w:pPr>
            <w:r w:rsidRPr="000665B0">
              <w:rPr>
                <w:color w:val="000000"/>
                <w:sz w:val="22"/>
                <w:szCs w:val="22"/>
              </w:rPr>
              <w:t>Replace if Newer</w:t>
            </w:r>
          </w:p>
        </w:tc>
      </w:tr>
      <w:tr w:rsidR="00785BD5" w:rsidRPr="000665B0" w14:paraId="6249D01F" w14:textId="77777777" w:rsidTr="00232DC4">
        <w:trPr>
          <w:jc w:val="center"/>
        </w:trPr>
        <w:tc>
          <w:tcPr>
            <w:tcW w:w="3361" w:type="dxa"/>
            <w:tcBorders>
              <w:bottom w:val="single" w:sz="4" w:space="0" w:color="auto"/>
            </w:tcBorders>
          </w:tcPr>
          <w:p w14:paraId="0365D80D" w14:textId="0C351EE4" w:rsidR="00785BD5" w:rsidRPr="000665B0" w:rsidRDefault="00785BD5" w:rsidP="00F2505E">
            <w:pPr>
              <w:spacing w:after="0"/>
              <w:rPr>
                <w:sz w:val="22"/>
                <w:szCs w:val="22"/>
              </w:rPr>
            </w:pPr>
            <w:r w:rsidRPr="000665B0">
              <w:rPr>
                <w:color w:val="000000"/>
                <w:sz w:val="22"/>
                <w:szCs w:val="22"/>
              </w:rPr>
              <w:t>Valid Platform List (VPL)</w:t>
            </w:r>
            <w:r w:rsidRPr="000665B0">
              <w:rPr>
                <w:color w:val="000000"/>
                <w:sz w:val="22"/>
                <w:szCs w:val="22"/>
                <w:vertAlign w:val="superscript"/>
              </w:rPr>
              <w:t>1</w:t>
            </w:r>
          </w:p>
        </w:tc>
        <w:tc>
          <w:tcPr>
            <w:tcW w:w="1477" w:type="dxa"/>
            <w:tcBorders>
              <w:top w:val="single" w:sz="6" w:space="0" w:color="auto"/>
              <w:left w:val="single" w:sz="12" w:space="0" w:color="auto"/>
              <w:bottom w:val="single" w:sz="6" w:space="0" w:color="auto"/>
              <w:right w:val="single" w:sz="12" w:space="0" w:color="auto"/>
            </w:tcBorders>
          </w:tcPr>
          <w:p w14:paraId="296C4BD1" w14:textId="425A77DE"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10</w:t>
            </w:r>
          </w:p>
        </w:tc>
        <w:tc>
          <w:tcPr>
            <w:tcW w:w="1472" w:type="dxa"/>
            <w:tcBorders>
              <w:top w:val="single" w:sz="6" w:space="0" w:color="auto"/>
              <w:left w:val="single" w:sz="12" w:space="0" w:color="auto"/>
              <w:bottom w:val="single" w:sz="6" w:space="0" w:color="auto"/>
              <w:right w:val="single" w:sz="12" w:space="0" w:color="auto"/>
            </w:tcBorders>
          </w:tcPr>
          <w:p w14:paraId="3AA56718" w14:textId="23B5687A"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10</w:t>
            </w:r>
          </w:p>
        </w:tc>
        <w:tc>
          <w:tcPr>
            <w:tcW w:w="1471" w:type="dxa"/>
            <w:tcBorders>
              <w:top w:val="single" w:sz="6" w:space="0" w:color="auto"/>
              <w:left w:val="single" w:sz="12" w:space="0" w:color="auto"/>
              <w:bottom w:val="single" w:sz="6" w:space="0" w:color="auto"/>
              <w:right w:val="single" w:sz="12" w:space="0" w:color="auto"/>
            </w:tcBorders>
          </w:tcPr>
          <w:p w14:paraId="5499715D" w14:textId="6A055628"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7670D935" w14:textId="4B92AA3B" w:rsidR="00785BD5" w:rsidRPr="000665B0" w:rsidRDefault="00785BD5" w:rsidP="00F2505E">
            <w:pPr>
              <w:spacing w:after="0"/>
              <w:rPr>
                <w:sz w:val="22"/>
                <w:szCs w:val="22"/>
              </w:rPr>
            </w:pPr>
            <w:r w:rsidRPr="000665B0">
              <w:rPr>
                <w:color w:val="000000"/>
                <w:sz w:val="22"/>
                <w:szCs w:val="22"/>
              </w:rPr>
              <w:t>Replace if Newer</w:t>
            </w:r>
          </w:p>
        </w:tc>
      </w:tr>
      <w:tr w:rsidR="00785BD5" w:rsidRPr="000665B0" w14:paraId="78A1B315" w14:textId="77777777" w:rsidTr="00232DC4">
        <w:trPr>
          <w:jc w:val="center"/>
        </w:trPr>
        <w:tc>
          <w:tcPr>
            <w:tcW w:w="3361" w:type="dxa"/>
            <w:tcBorders>
              <w:bottom w:val="single" w:sz="4" w:space="0" w:color="auto"/>
            </w:tcBorders>
          </w:tcPr>
          <w:p w14:paraId="44C2177E" w14:textId="77777777" w:rsidR="00785BD5" w:rsidRPr="000665B0" w:rsidRDefault="00785BD5" w:rsidP="00F2505E">
            <w:pPr>
              <w:spacing w:after="0"/>
              <w:rPr>
                <w:sz w:val="22"/>
                <w:szCs w:val="22"/>
              </w:rPr>
            </w:pPr>
            <w:r w:rsidRPr="000665B0">
              <w:rPr>
                <w:color w:val="000000"/>
                <w:sz w:val="22"/>
                <w:szCs w:val="22"/>
              </w:rPr>
              <w:t>Valid OES List</w:t>
            </w:r>
          </w:p>
        </w:tc>
        <w:tc>
          <w:tcPr>
            <w:tcW w:w="1477" w:type="dxa"/>
            <w:tcBorders>
              <w:top w:val="single" w:sz="6" w:space="0" w:color="auto"/>
              <w:left w:val="single" w:sz="12" w:space="0" w:color="auto"/>
              <w:bottom w:val="single" w:sz="6" w:space="0" w:color="auto"/>
              <w:right w:val="single" w:sz="12" w:space="0" w:color="auto"/>
            </w:tcBorders>
          </w:tcPr>
          <w:p w14:paraId="6594EDD1" w14:textId="68474B98"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10</w:t>
            </w:r>
          </w:p>
        </w:tc>
        <w:tc>
          <w:tcPr>
            <w:tcW w:w="1472" w:type="dxa"/>
            <w:tcBorders>
              <w:top w:val="single" w:sz="6" w:space="0" w:color="auto"/>
              <w:left w:val="single" w:sz="12" w:space="0" w:color="auto"/>
              <w:bottom w:val="single" w:sz="6" w:space="0" w:color="auto"/>
              <w:right w:val="single" w:sz="12" w:space="0" w:color="auto"/>
            </w:tcBorders>
          </w:tcPr>
          <w:p w14:paraId="1D745241" w14:textId="122BF60D"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10</w:t>
            </w:r>
          </w:p>
        </w:tc>
        <w:tc>
          <w:tcPr>
            <w:tcW w:w="1471" w:type="dxa"/>
            <w:tcBorders>
              <w:top w:val="single" w:sz="6" w:space="0" w:color="auto"/>
              <w:left w:val="single" w:sz="12" w:space="0" w:color="auto"/>
              <w:bottom w:val="single" w:sz="6" w:space="0" w:color="auto"/>
              <w:right w:val="single" w:sz="12" w:space="0" w:color="auto"/>
            </w:tcBorders>
          </w:tcPr>
          <w:p w14:paraId="715A6CC5" w14:textId="69C72308"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12844D99" w14:textId="1D9ED4E7" w:rsidR="00785BD5" w:rsidRPr="000665B0" w:rsidRDefault="00785BD5" w:rsidP="00F2505E">
            <w:pPr>
              <w:spacing w:after="0"/>
              <w:rPr>
                <w:sz w:val="22"/>
                <w:szCs w:val="22"/>
              </w:rPr>
            </w:pPr>
            <w:r w:rsidRPr="000665B0">
              <w:rPr>
                <w:color w:val="000000"/>
                <w:sz w:val="22"/>
                <w:szCs w:val="22"/>
              </w:rPr>
              <w:t>Replace if Newer</w:t>
            </w:r>
          </w:p>
        </w:tc>
      </w:tr>
      <w:tr w:rsidR="00785BD5" w:rsidRPr="000665B0" w14:paraId="72E67F48" w14:textId="77777777" w:rsidTr="00460A85">
        <w:trPr>
          <w:jc w:val="center"/>
        </w:trPr>
        <w:tc>
          <w:tcPr>
            <w:tcW w:w="3361" w:type="dxa"/>
            <w:shd w:val="clear" w:color="auto" w:fill="D9D9D9" w:themeFill="background1" w:themeFillShade="D9"/>
            <w:vAlign w:val="bottom"/>
          </w:tcPr>
          <w:p w14:paraId="6E6017EC" w14:textId="77777777" w:rsidR="00785BD5" w:rsidRPr="000665B0" w:rsidRDefault="00785BD5" w:rsidP="00742EF8">
            <w:pPr>
              <w:spacing w:after="0"/>
              <w:rPr>
                <w:b/>
                <w:bCs/>
                <w:sz w:val="22"/>
                <w:szCs w:val="22"/>
              </w:rPr>
            </w:pPr>
            <w:r w:rsidRPr="000665B0">
              <w:rPr>
                <w:b/>
                <w:bCs/>
                <w:sz w:val="22"/>
                <w:szCs w:val="22"/>
              </w:rPr>
              <w:t>Data</w:t>
            </w:r>
          </w:p>
        </w:tc>
        <w:tc>
          <w:tcPr>
            <w:tcW w:w="1477" w:type="dxa"/>
            <w:tcBorders>
              <w:top w:val="single" w:sz="6" w:space="0" w:color="auto"/>
              <w:left w:val="single" w:sz="12" w:space="0" w:color="auto"/>
              <w:bottom w:val="single" w:sz="6" w:space="0" w:color="auto"/>
              <w:right w:val="single" w:sz="12" w:space="0" w:color="auto"/>
            </w:tcBorders>
            <w:vAlign w:val="bottom"/>
          </w:tcPr>
          <w:p w14:paraId="787AFB22" w14:textId="77777777" w:rsidR="00785BD5" w:rsidRPr="000665B0" w:rsidRDefault="00785BD5" w:rsidP="00742EF8">
            <w:pPr>
              <w:spacing w:after="0"/>
              <w:jc w:val="center"/>
              <w:rPr>
                <w:sz w:val="22"/>
                <w:szCs w:val="22"/>
              </w:rPr>
            </w:pPr>
          </w:p>
        </w:tc>
        <w:tc>
          <w:tcPr>
            <w:tcW w:w="1472" w:type="dxa"/>
            <w:tcBorders>
              <w:top w:val="single" w:sz="6" w:space="0" w:color="auto"/>
              <w:left w:val="single" w:sz="12" w:space="0" w:color="auto"/>
              <w:bottom w:val="single" w:sz="6" w:space="0" w:color="auto"/>
              <w:right w:val="single" w:sz="12" w:space="0" w:color="auto"/>
            </w:tcBorders>
            <w:vAlign w:val="bottom"/>
          </w:tcPr>
          <w:p w14:paraId="21012D7B" w14:textId="77777777" w:rsidR="00785BD5" w:rsidRPr="000665B0" w:rsidRDefault="00785BD5" w:rsidP="00742EF8">
            <w:pPr>
              <w:spacing w:after="0"/>
              <w:jc w:val="center"/>
              <w:rPr>
                <w:sz w:val="22"/>
                <w:szCs w:val="22"/>
              </w:rPr>
            </w:pPr>
          </w:p>
        </w:tc>
        <w:tc>
          <w:tcPr>
            <w:tcW w:w="1471" w:type="dxa"/>
            <w:tcBorders>
              <w:top w:val="single" w:sz="6" w:space="0" w:color="auto"/>
              <w:left w:val="single" w:sz="12" w:space="0" w:color="auto"/>
              <w:bottom w:val="single" w:sz="6" w:space="0" w:color="auto"/>
              <w:right w:val="single" w:sz="12" w:space="0" w:color="auto"/>
            </w:tcBorders>
          </w:tcPr>
          <w:p w14:paraId="1BF93837" w14:textId="77777777" w:rsidR="00785BD5" w:rsidRPr="000665B0" w:rsidRDefault="00785BD5" w:rsidP="00742EF8">
            <w:pPr>
              <w:spacing w:after="0"/>
              <w:jc w:val="center"/>
              <w:rPr>
                <w:sz w:val="22"/>
                <w:szCs w:val="22"/>
              </w:rPr>
            </w:pPr>
          </w:p>
        </w:tc>
        <w:tc>
          <w:tcPr>
            <w:tcW w:w="5444" w:type="dxa"/>
            <w:tcBorders>
              <w:top w:val="single" w:sz="6" w:space="0" w:color="auto"/>
              <w:left w:val="single" w:sz="12" w:space="0" w:color="auto"/>
              <w:bottom w:val="single" w:sz="6" w:space="0" w:color="auto"/>
              <w:right w:val="single" w:sz="12" w:space="0" w:color="auto"/>
            </w:tcBorders>
            <w:vAlign w:val="bottom"/>
          </w:tcPr>
          <w:p w14:paraId="453A9157" w14:textId="350BAD04" w:rsidR="00785BD5" w:rsidRPr="000665B0" w:rsidRDefault="00785BD5" w:rsidP="00742EF8">
            <w:pPr>
              <w:spacing w:after="0"/>
              <w:jc w:val="center"/>
              <w:rPr>
                <w:sz w:val="22"/>
                <w:szCs w:val="22"/>
              </w:rPr>
            </w:pPr>
          </w:p>
        </w:tc>
      </w:tr>
      <w:tr w:rsidR="00785BD5" w:rsidRPr="000665B0" w14:paraId="0BCDC85A" w14:textId="77777777" w:rsidTr="00232DC4">
        <w:trPr>
          <w:jc w:val="center"/>
        </w:trPr>
        <w:tc>
          <w:tcPr>
            <w:tcW w:w="3361" w:type="dxa"/>
          </w:tcPr>
          <w:p w14:paraId="0FADF4B4" w14:textId="77777777" w:rsidR="00785BD5" w:rsidRPr="000665B0" w:rsidRDefault="00785BD5" w:rsidP="00F2505E">
            <w:pPr>
              <w:spacing w:after="0"/>
              <w:rPr>
                <w:sz w:val="22"/>
                <w:szCs w:val="22"/>
              </w:rPr>
            </w:pPr>
            <w:r w:rsidRPr="000665B0">
              <w:rPr>
                <w:color w:val="000000"/>
                <w:sz w:val="22"/>
                <w:szCs w:val="22"/>
              </w:rPr>
              <w:t>ACMS</w:t>
            </w:r>
            <w:r w:rsidRPr="000665B0">
              <w:rPr>
                <w:color w:val="000000"/>
                <w:sz w:val="22"/>
                <w:szCs w:val="22"/>
                <w:vertAlign w:val="superscript"/>
              </w:rPr>
              <w:t>2</w:t>
            </w:r>
          </w:p>
        </w:tc>
        <w:tc>
          <w:tcPr>
            <w:tcW w:w="1477" w:type="dxa"/>
            <w:tcBorders>
              <w:top w:val="single" w:sz="6" w:space="0" w:color="auto"/>
              <w:left w:val="single" w:sz="12" w:space="0" w:color="auto"/>
              <w:bottom w:val="single" w:sz="6" w:space="0" w:color="auto"/>
              <w:right w:val="single" w:sz="12" w:space="0" w:color="auto"/>
            </w:tcBorders>
          </w:tcPr>
          <w:p w14:paraId="2A53DC29"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6E31DD2B" w14:textId="3B8B1B34"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15</w:t>
            </w:r>
          </w:p>
        </w:tc>
        <w:tc>
          <w:tcPr>
            <w:tcW w:w="1471" w:type="dxa"/>
            <w:tcBorders>
              <w:top w:val="single" w:sz="6" w:space="0" w:color="auto"/>
              <w:left w:val="single" w:sz="12" w:space="0" w:color="auto"/>
              <w:bottom w:val="single" w:sz="6" w:space="0" w:color="auto"/>
              <w:right w:val="single" w:sz="12" w:space="0" w:color="auto"/>
            </w:tcBorders>
          </w:tcPr>
          <w:p w14:paraId="4B22F810" w14:textId="02136528"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09FEB761" w14:textId="42EE4D94" w:rsidR="00785BD5" w:rsidRPr="000665B0" w:rsidRDefault="00785BD5" w:rsidP="00F2505E">
            <w:pPr>
              <w:spacing w:after="0"/>
              <w:rPr>
                <w:sz w:val="22"/>
                <w:szCs w:val="22"/>
              </w:rPr>
            </w:pPr>
            <w:r w:rsidRPr="000665B0">
              <w:rPr>
                <w:color w:val="000000"/>
                <w:sz w:val="22"/>
                <w:szCs w:val="22"/>
              </w:rPr>
              <w:t>Always Drop</w:t>
            </w:r>
          </w:p>
        </w:tc>
      </w:tr>
      <w:tr w:rsidR="00785BD5" w:rsidRPr="000665B0" w14:paraId="163A84B8" w14:textId="77777777" w:rsidTr="00232DC4">
        <w:trPr>
          <w:jc w:val="center"/>
        </w:trPr>
        <w:tc>
          <w:tcPr>
            <w:tcW w:w="3361" w:type="dxa"/>
          </w:tcPr>
          <w:p w14:paraId="708BDC70" w14:textId="77777777" w:rsidR="00785BD5" w:rsidRPr="000665B0" w:rsidRDefault="00785BD5" w:rsidP="00F2505E">
            <w:pPr>
              <w:spacing w:after="0"/>
              <w:rPr>
                <w:sz w:val="22"/>
                <w:szCs w:val="22"/>
              </w:rPr>
            </w:pPr>
            <w:r w:rsidRPr="000665B0">
              <w:rPr>
                <w:color w:val="000000"/>
                <w:sz w:val="22"/>
                <w:szCs w:val="22"/>
              </w:rPr>
              <w:t>Aimpoint Update Mission Data</w:t>
            </w:r>
          </w:p>
        </w:tc>
        <w:tc>
          <w:tcPr>
            <w:tcW w:w="1477" w:type="dxa"/>
            <w:tcBorders>
              <w:top w:val="single" w:sz="6" w:space="0" w:color="auto"/>
              <w:left w:val="single" w:sz="12" w:space="0" w:color="auto"/>
              <w:bottom w:val="single" w:sz="6" w:space="0" w:color="auto"/>
              <w:right w:val="single" w:sz="12" w:space="0" w:color="auto"/>
            </w:tcBorders>
          </w:tcPr>
          <w:p w14:paraId="420F8FE3"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6A0FDC8A"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0B0C4E0A" w14:textId="3D1C5273"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7D8C9B9B" w14:textId="17935ABA" w:rsidR="00785BD5" w:rsidRPr="000665B0" w:rsidRDefault="00785BD5" w:rsidP="00F2505E">
            <w:pPr>
              <w:spacing w:after="0"/>
              <w:rPr>
                <w:sz w:val="22"/>
                <w:szCs w:val="22"/>
              </w:rPr>
            </w:pPr>
            <w:r w:rsidRPr="000665B0">
              <w:rPr>
                <w:color w:val="000000"/>
                <w:sz w:val="22"/>
                <w:szCs w:val="22"/>
              </w:rPr>
              <w:t>Always Drop</w:t>
            </w:r>
          </w:p>
        </w:tc>
      </w:tr>
      <w:tr w:rsidR="00785BD5" w:rsidRPr="000665B0" w14:paraId="30D6673B" w14:textId="77777777" w:rsidTr="00232DC4">
        <w:trPr>
          <w:jc w:val="center"/>
        </w:trPr>
        <w:tc>
          <w:tcPr>
            <w:tcW w:w="3361" w:type="dxa"/>
          </w:tcPr>
          <w:p w14:paraId="5E02409D" w14:textId="77777777" w:rsidR="00785BD5" w:rsidRPr="000665B0" w:rsidRDefault="00785BD5" w:rsidP="00F2505E">
            <w:pPr>
              <w:spacing w:after="0"/>
              <w:rPr>
                <w:sz w:val="22"/>
                <w:szCs w:val="22"/>
              </w:rPr>
            </w:pPr>
            <w:r w:rsidRPr="000665B0">
              <w:rPr>
                <w:color w:val="000000"/>
                <w:sz w:val="22"/>
                <w:szCs w:val="22"/>
              </w:rPr>
              <w:t>Coordination Template</w:t>
            </w:r>
          </w:p>
        </w:tc>
        <w:tc>
          <w:tcPr>
            <w:tcW w:w="1477" w:type="dxa"/>
            <w:tcBorders>
              <w:top w:val="single" w:sz="6" w:space="0" w:color="auto"/>
              <w:left w:val="single" w:sz="12" w:space="0" w:color="auto"/>
              <w:bottom w:val="single" w:sz="6" w:space="0" w:color="auto"/>
              <w:right w:val="single" w:sz="12" w:space="0" w:color="auto"/>
            </w:tcBorders>
          </w:tcPr>
          <w:p w14:paraId="6868C03B"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15A394A4"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0266422E" w14:textId="0293D1FC"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3F8A1F0F" w14:textId="721A9F82" w:rsidR="00785BD5" w:rsidRPr="000665B0" w:rsidRDefault="00785BD5" w:rsidP="00F2505E">
            <w:pPr>
              <w:spacing w:after="0"/>
              <w:rPr>
                <w:sz w:val="22"/>
                <w:szCs w:val="22"/>
              </w:rPr>
            </w:pPr>
            <w:r w:rsidRPr="000665B0">
              <w:rPr>
                <w:color w:val="000000"/>
                <w:sz w:val="22"/>
                <w:szCs w:val="22"/>
              </w:rPr>
              <w:t>Always Drop</w:t>
            </w:r>
          </w:p>
        </w:tc>
      </w:tr>
      <w:tr w:rsidR="00785BD5" w:rsidRPr="000665B0" w14:paraId="4FF13440" w14:textId="77777777" w:rsidTr="00232DC4">
        <w:trPr>
          <w:jc w:val="center"/>
        </w:trPr>
        <w:tc>
          <w:tcPr>
            <w:tcW w:w="3361" w:type="dxa"/>
          </w:tcPr>
          <w:p w14:paraId="2C4301AD" w14:textId="77777777" w:rsidR="00785BD5" w:rsidRPr="000665B0" w:rsidRDefault="00785BD5" w:rsidP="00F2505E">
            <w:pPr>
              <w:spacing w:after="0"/>
              <w:rPr>
                <w:sz w:val="22"/>
                <w:szCs w:val="22"/>
              </w:rPr>
            </w:pPr>
            <w:r w:rsidRPr="000665B0">
              <w:rPr>
                <w:color w:val="000000"/>
                <w:sz w:val="22"/>
                <w:szCs w:val="22"/>
              </w:rPr>
              <w:t>Crypto</w:t>
            </w:r>
          </w:p>
        </w:tc>
        <w:tc>
          <w:tcPr>
            <w:tcW w:w="1477" w:type="dxa"/>
            <w:tcBorders>
              <w:top w:val="single" w:sz="6" w:space="0" w:color="auto"/>
              <w:left w:val="single" w:sz="12" w:space="0" w:color="auto"/>
              <w:bottom w:val="single" w:sz="6" w:space="0" w:color="auto"/>
              <w:right w:val="single" w:sz="12" w:space="0" w:color="auto"/>
            </w:tcBorders>
          </w:tcPr>
          <w:p w14:paraId="247240FD" w14:textId="17927C5A"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6</w:t>
            </w:r>
          </w:p>
        </w:tc>
        <w:tc>
          <w:tcPr>
            <w:tcW w:w="1472" w:type="dxa"/>
            <w:tcBorders>
              <w:top w:val="single" w:sz="6" w:space="0" w:color="auto"/>
              <w:left w:val="single" w:sz="12" w:space="0" w:color="auto"/>
              <w:bottom w:val="single" w:sz="6" w:space="0" w:color="auto"/>
              <w:right w:val="single" w:sz="12" w:space="0" w:color="auto"/>
            </w:tcBorders>
          </w:tcPr>
          <w:p w14:paraId="4E33E5DA" w14:textId="0645879F"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6, 15</w:t>
            </w:r>
          </w:p>
        </w:tc>
        <w:tc>
          <w:tcPr>
            <w:tcW w:w="1471" w:type="dxa"/>
            <w:tcBorders>
              <w:top w:val="single" w:sz="6" w:space="0" w:color="auto"/>
              <w:left w:val="single" w:sz="12" w:space="0" w:color="auto"/>
              <w:bottom w:val="single" w:sz="6" w:space="0" w:color="auto"/>
              <w:right w:val="single" w:sz="12" w:space="0" w:color="auto"/>
            </w:tcBorders>
          </w:tcPr>
          <w:p w14:paraId="780855A5" w14:textId="7BEB709B"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3805C206" w14:textId="28058D3E" w:rsidR="00785BD5" w:rsidRPr="000665B0" w:rsidRDefault="00785BD5" w:rsidP="00F2505E">
            <w:pPr>
              <w:spacing w:after="0"/>
              <w:rPr>
                <w:sz w:val="22"/>
                <w:szCs w:val="22"/>
              </w:rPr>
            </w:pPr>
            <w:r w:rsidRPr="000665B0">
              <w:rPr>
                <w:color w:val="000000"/>
                <w:sz w:val="22"/>
                <w:szCs w:val="22"/>
              </w:rPr>
              <w:t>Always Replace and Other Conditions Listed Below</w:t>
            </w:r>
          </w:p>
        </w:tc>
      </w:tr>
      <w:tr w:rsidR="00785BD5" w:rsidRPr="000665B0" w14:paraId="71F74BAA" w14:textId="77777777" w:rsidTr="00232DC4">
        <w:trPr>
          <w:jc w:val="center"/>
        </w:trPr>
        <w:tc>
          <w:tcPr>
            <w:tcW w:w="3361" w:type="dxa"/>
          </w:tcPr>
          <w:p w14:paraId="736E4D72" w14:textId="77777777" w:rsidR="00785BD5" w:rsidRPr="000665B0" w:rsidRDefault="00785BD5" w:rsidP="00F2505E">
            <w:pPr>
              <w:spacing w:after="0"/>
              <w:rPr>
                <w:sz w:val="22"/>
                <w:szCs w:val="22"/>
              </w:rPr>
            </w:pPr>
            <w:r w:rsidRPr="000665B0">
              <w:rPr>
                <w:color w:val="000000"/>
                <w:sz w:val="22"/>
                <w:szCs w:val="22"/>
              </w:rPr>
              <w:t>DSMAC</w:t>
            </w:r>
          </w:p>
        </w:tc>
        <w:tc>
          <w:tcPr>
            <w:tcW w:w="1477" w:type="dxa"/>
            <w:tcBorders>
              <w:top w:val="single" w:sz="6" w:space="0" w:color="auto"/>
              <w:left w:val="single" w:sz="12" w:space="0" w:color="auto"/>
              <w:bottom w:val="single" w:sz="6" w:space="0" w:color="auto"/>
              <w:right w:val="single" w:sz="12" w:space="0" w:color="auto"/>
            </w:tcBorders>
          </w:tcPr>
          <w:p w14:paraId="2F5BE85E"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73EE37FC"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5FD4619A" w14:textId="124BF621"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14E6B696" w14:textId="72CA8EC7" w:rsidR="00785BD5" w:rsidRPr="000665B0" w:rsidRDefault="00785BD5" w:rsidP="00F2505E">
            <w:pPr>
              <w:spacing w:after="0"/>
              <w:rPr>
                <w:sz w:val="22"/>
                <w:szCs w:val="22"/>
              </w:rPr>
            </w:pPr>
            <w:r w:rsidRPr="000665B0">
              <w:rPr>
                <w:color w:val="000000"/>
                <w:sz w:val="22"/>
                <w:szCs w:val="22"/>
              </w:rPr>
              <w:t>Always Drop</w:t>
            </w:r>
          </w:p>
        </w:tc>
      </w:tr>
      <w:tr w:rsidR="00785BD5" w:rsidRPr="000665B0" w14:paraId="0A7F2CC4" w14:textId="77777777" w:rsidTr="00232DC4">
        <w:trPr>
          <w:jc w:val="center"/>
        </w:trPr>
        <w:tc>
          <w:tcPr>
            <w:tcW w:w="3361" w:type="dxa"/>
          </w:tcPr>
          <w:p w14:paraId="371EBB49" w14:textId="77777777" w:rsidR="00785BD5" w:rsidRPr="000665B0" w:rsidRDefault="00785BD5" w:rsidP="00F2505E">
            <w:pPr>
              <w:spacing w:after="0"/>
              <w:rPr>
                <w:sz w:val="22"/>
                <w:szCs w:val="22"/>
              </w:rPr>
            </w:pPr>
            <w:r w:rsidRPr="000665B0">
              <w:rPr>
                <w:color w:val="000000"/>
                <w:sz w:val="22"/>
                <w:szCs w:val="22"/>
              </w:rPr>
              <w:t>Flight Software</w:t>
            </w:r>
          </w:p>
        </w:tc>
        <w:tc>
          <w:tcPr>
            <w:tcW w:w="1477" w:type="dxa"/>
            <w:tcBorders>
              <w:top w:val="single" w:sz="6" w:space="0" w:color="auto"/>
              <w:left w:val="single" w:sz="12" w:space="0" w:color="auto"/>
              <w:bottom w:val="single" w:sz="6" w:space="0" w:color="auto"/>
              <w:right w:val="single" w:sz="12" w:space="0" w:color="auto"/>
            </w:tcBorders>
          </w:tcPr>
          <w:p w14:paraId="27D39279"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7AA6FE73"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35362D85" w14:textId="072E184C"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737C8174" w14:textId="71B12DC7" w:rsidR="00785BD5" w:rsidRPr="000665B0" w:rsidRDefault="00785BD5" w:rsidP="00F2505E">
            <w:pPr>
              <w:spacing w:after="0"/>
              <w:rPr>
                <w:sz w:val="22"/>
                <w:szCs w:val="22"/>
              </w:rPr>
            </w:pPr>
            <w:r w:rsidRPr="000665B0">
              <w:rPr>
                <w:color w:val="000000"/>
                <w:sz w:val="22"/>
                <w:szCs w:val="22"/>
              </w:rPr>
              <w:t>Always Drop</w:t>
            </w:r>
          </w:p>
        </w:tc>
      </w:tr>
      <w:tr w:rsidR="00785BD5" w:rsidRPr="000665B0" w14:paraId="02D1C2DA" w14:textId="77777777" w:rsidTr="00232DC4">
        <w:trPr>
          <w:jc w:val="center"/>
        </w:trPr>
        <w:tc>
          <w:tcPr>
            <w:tcW w:w="3361" w:type="dxa"/>
          </w:tcPr>
          <w:p w14:paraId="4BE504CA" w14:textId="77777777" w:rsidR="00785BD5" w:rsidRPr="000665B0" w:rsidRDefault="00785BD5" w:rsidP="00F2505E">
            <w:pPr>
              <w:spacing w:after="0"/>
              <w:rPr>
                <w:sz w:val="22"/>
                <w:szCs w:val="22"/>
              </w:rPr>
            </w:pPr>
            <w:r w:rsidRPr="000665B0">
              <w:rPr>
                <w:color w:val="000000"/>
                <w:sz w:val="22"/>
                <w:szCs w:val="22"/>
              </w:rPr>
              <w:t>Generic File</w:t>
            </w:r>
          </w:p>
        </w:tc>
        <w:tc>
          <w:tcPr>
            <w:tcW w:w="1477" w:type="dxa"/>
            <w:tcBorders>
              <w:top w:val="single" w:sz="6" w:space="0" w:color="auto"/>
              <w:left w:val="single" w:sz="12" w:space="0" w:color="auto"/>
              <w:bottom w:val="single" w:sz="6" w:space="0" w:color="auto"/>
              <w:right w:val="single" w:sz="12" w:space="0" w:color="auto"/>
            </w:tcBorders>
          </w:tcPr>
          <w:p w14:paraId="532F1A3C" w14:textId="5C3150A5"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12</w:t>
            </w:r>
          </w:p>
        </w:tc>
        <w:tc>
          <w:tcPr>
            <w:tcW w:w="1472" w:type="dxa"/>
            <w:tcBorders>
              <w:top w:val="single" w:sz="6" w:space="0" w:color="auto"/>
              <w:left w:val="single" w:sz="12" w:space="0" w:color="auto"/>
              <w:bottom w:val="single" w:sz="6" w:space="0" w:color="auto"/>
              <w:right w:val="single" w:sz="12" w:space="0" w:color="auto"/>
            </w:tcBorders>
          </w:tcPr>
          <w:p w14:paraId="510E400B" w14:textId="6AEFA1FB"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12</w:t>
            </w:r>
          </w:p>
        </w:tc>
        <w:tc>
          <w:tcPr>
            <w:tcW w:w="1471" w:type="dxa"/>
            <w:tcBorders>
              <w:top w:val="single" w:sz="6" w:space="0" w:color="auto"/>
              <w:left w:val="single" w:sz="12" w:space="0" w:color="auto"/>
              <w:bottom w:val="single" w:sz="6" w:space="0" w:color="auto"/>
              <w:right w:val="single" w:sz="12" w:space="0" w:color="auto"/>
            </w:tcBorders>
          </w:tcPr>
          <w:p w14:paraId="2BAD6161" w14:textId="0E66D9F4" w:rsidR="00785BD5" w:rsidRPr="000665B0" w:rsidRDefault="00785BD5" w:rsidP="00F2505E">
            <w:pPr>
              <w:spacing w:after="0"/>
              <w:rPr>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2ABBD471" w14:textId="7A7D1577" w:rsidR="00785BD5" w:rsidRPr="000665B0" w:rsidRDefault="00785BD5" w:rsidP="00F2505E">
            <w:pPr>
              <w:spacing w:after="0"/>
              <w:rPr>
                <w:sz w:val="22"/>
                <w:szCs w:val="22"/>
              </w:rPr>
            </w:pPr>
            <w:r w:rsidRPr="000665B0">
              <w:rPr>
                <w:sz w:val="22"/>
                <w:szCs w:val="22"/>
              </w:rPr>
              <w:t>TBD</w:t>
            </w:r>
          </w:p>
        </w:tc>
      </w:tr>
      <w:tr w:rsidR="00785BD5" w:rsidRPr="000665B0" w14:paraId="720E1AB1" w14:textId="77777777" w:rsidTr="00232DC4">
        <w:trPr>
          <w:jc w:val="center"/>
        </w:trPr>
        <w:tc>
          <w:tcPr>
            <w:tcW w:w="3361" w:type="dxa"/>
          </w:tcPr>
          <w:p w14:paraId="442CE9D4" w14:textId="77777777" w:rsidR="00785BD5" w:rsidRPr="000665B0" w:rsidRDefault="00785BD5" w:rsidP="00F2505E">
            <w:pPr>
              <w:spacing w:after="0"/>
              <w:rPr>
                <w:sz w:val="22"/>
                <w:szCs w:val="22"/>
              </w:rPr>
            </w:pPr>
            <w:r w:rsidRPr="000665B0">
              <w:rPr>
                <w:color w:val="000000"/>
                <w:sz w:val="22"/>
                <w:szCs w:val="22"/>
              </w:rPr>
              <w:t>GPS</w:t>
            </w:r>
          </w:p>
        </w:tc>
        <w:tc>
          <w:tcPr>
            <w:tcW w:w="1477" w:type="dxa"/>
            <w:tcBorders>
              <w:top w:val="single" w:sz="6" w:space="0" w:color="auto"/>
              <w:left w:val="single" w:sz="12" w:space="0" w:color="auto"/>
              <w:bottom w:val="single" w:sz="6" w:space="0" w:color="auto"/>
              <w:right w:val="single" w:sz="12" w:space="0" w:color="auto"/>
            </w:tcBorders>
          </w:tcPr>
          <w:p w14:paraId="50CE0DB0"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0BF00B0F"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2E03017E" w14:textId="1AC41DEA"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12E4E411" w14:textId="357D967D" w:rsidR="00785BD5" w:rsidRPr="000665B0" w:rsidRDefault="00785BD5" w:rsidP="00F2505E">
            <w:pPr>
              <w:spacing w:after="0"/>
              <w:rPr>
                <w:sz w:val="22"/>
                <w:szCs w:val="22"/>
              </w:rPr>
            </w:pPr>
            <w:r w:rsidRPr="000665B0">
              <w:rPr>
                <w:color w:val="000000"/>
                <w:sz w:val="22"/>
                <w:szCs w:val="22"/>
              </w:rPr>
              <w:t>Replace if Newer</w:t>
            </w:r>
          </w:p>
        </w:tc>
      </w:tr>
      <w:tr w:rsidR="00785BD5" w:rsidRPr="000665B0" w14:paraId="0E6CACCC" w14:textId="77777777" w:rsidTr="00232DC4">
        <w:trPr>
          <w:jc w:val="center"/>
        </w:trPr>
        <w:tc>
          <w:tcPr>
            <w:tcW w:w="3361" w:type="dxa"/>
          </w:tcPr>
          <w:p w14:paraId="09A56973" w14:textId="77777777" w:rsidR="00785BD5" w:rsidRPr="000665B0" w:rsidRDefault="00785BD5" w:rsidP="00F2505E">
            <w:pPr>
              <w:spacing w:after="0"/>
              <w:rPr>
                <w:sz w:val="22"/>
                <w:szCs w:val="22"/>
              </w:rPr>
            </w:pPr>
            <w:r w:rsidRPr="000665B0">
              <w:rPr>
                <w:color w:val="000000"/>
                <w:sz w:val="22"/>
                <w:szCs w:val="22"/>
              </w:rPr>
              <w:t xml:space="preserve">Incoming DDO </w:t>
            </w:r>
          </w:p>
        </w:tc>
        <w:tc>
          <w:tcPr>
            <w:tcW w:w="1477" w:type="dxa"/>
            <w:tcBorders>
              <w:top w:val="single" w:sz="6" w:space="0" w:color="auto"/>
              <w:left w:val="single" w:sz="12" w:space="0" w:color="auto"/>
              <w:bottom w:val="single" w:sz="6" w:space="0" w:color="auto"/>
              <w:right w:val="single" w:sz="12" w:space="0" w:color="auto"/>
            </w:tcBorders>
          </w:tcPr>
          <w:p w14:paraId="7337FB4F" w14:textId="7B84DFAD"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13</w:t>
            </w:r>
          </w:p>
        </w:tc>
        <w:tc>
          <w:tcPr>
            <w:tcW w:w="1472" w:type="dxa"/>
            <w:tcBorders>
              <w:top w:val="single" w:sz="6" w:space="0" w:color="auto"/>
              <w:left w:val="single" w:sz="12" w:space="0" w:color="auto"/>
              <w:bottom w:val="single" w:sz="6" w:space="0" w:color="auto"/>
              <w:right w:val="single" w:sz="12" w:space="0" w:color="auto"/>
            </w:tcBorders>
          </w:tcPr>
          <w:p w14:paraId="45B0F39E" w14:textId="3385E962"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13</w:t>
            </w:r>
          </w:p>
        </w:tc>
        <w:tc>
          <w:tcPr>
            <w:tcW w:w="1471" w:type="dxa"/>
            <w:tcBorders>
              <w:top w:val="single" w:sz="6" w:space="0" w:color="auto"/>
              <w:left w:val="single" w:sz="12" w:space="0" w:color="auto"/>
              <w:bottom w:val="single" w:sz="6" w:space="0" w:color="auto"/>
              <w:right w:val="single" w:sz="12" w:space="0" w:color="auto"/>
            </w:tcBorders>
          </w:tcPr>
          <w:p w14:paraId="4104E209" w14:textId="70BC5D4A"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307EE039" w14:textId="445D0E92" w:rsidR="00785BD5" w:rsidRPr="000665B0" w:rsidRDefault="00785BD5" w:rsidP="00F2505E">
            <w:pPr>
              <w:spacing w:after="0"/>
              <w:rPr>
                <w:sz w:val="22"/>
                <w:szCs w:val="22"/>
              </w:rPr>
            </w:pPr>
            <w:r w:rsidRPr="000665B0">
              <w:rPr>
                <w:color w:val="000000"/>
                <w:sz w:val="22"/>
                <w:szCs w:val="22"/>
              </w:rPr>
              <w:t>Always Drop</w:t>
            </w:r>
          </w:p>
        </w:tc>
      </w:tr>
      <w:tr w:rsidR="00785BD5" w:rsidRPr="000665B0" w14:paraId="591D4023" w14:textId="77777777" w:rsidTr="00232DC4">
        <w:trPr>
          <w:jc w:val="center"/>
        </w:trPr>
        <w:tc>
          <w:tcPr>
            <w:tcW w:w="3361" w:type="dxa"/>
          </w:tcPr>
          <w:p w14:paraId="7A2DC986" w14:textId="3357200E" w:rsidR="00785BD5" w:rsidRPr="000665B0" w:rsidRDefault="00785BD5" w:rsidP="00F2505E">
            <w:pPr>
              <w:spacing w:after="0"/>
              <w:rPr>
                <w:sz w:val="22"/>
                <w:szCs w:val="22"/>
              </w:rPr>
            </w:pPr>
            <w:r w:rsidRPr="000665B0">
              <w:rPr>
                <w:color w:val="000000"/>
                <w:sz w:val="22"/>
                <w:szCs w:val="22"/>
              </w:rPr>
              <w:t>Library</w:t>
            </w:r>
          </w:p>
        </w:tc>
        <w:tc>
          <w:tcPr>
            <w:tcW w:w="1477" w:type="dxa"/>
            <w:tcBorders>
              <w:top w:val="single" w:sz="6" w:space="0" w:color="auto"/>
              <w:left w:val="single" w:sz="12" w:space="0" w:color="auto"/>
              <w:bottom w:val="single" w:sz="6" w:space="0" w:color="auto"/>
              <w:right w:val="single" w:sz="12" w:space="0" w:color="auto"/>
            </w:tcBorders>
          </w:tcPr>
          <w:p w14:paraId="6C8A6905"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14EBE146"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52AE637F" w14:textId="0553E46F"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382E0908" w14:textId="73605BCB" w:rsidR="00785BD5" w:rsidRPr="000665B0" w:rsidRDefault="00785BD5" w:rsidP="00F2505E">
            <w:pPr>
              <w:spacing w:after="0"/>
              <w:rPr>
                <w:sz w:val="22"/>
                <w:szCs w:val="22"/>
              </w:rPr>
            </w:pPr>
            <w:r w:rsidRPr="000665B0">
              <w:rPr>
                <w:color w:val="000000"/>
                <w:sz w:val="22"/>
                <w:szCs w:val="22"/>
              </w:rPr>
              <w:t>Always Drop</w:t>
            </w:r>
          </w:p>
        </w:tc>
      </w:tr>
      <w:tr w:rsidR="00785BD5" w:rsidRPr="000665B0" w14:paraId="47FA666C" w14:textId="77777777" w:rsidTr="00232DC4">
        <w:trPr>
          <w:jc w:val="center"/>
        </w:trPr>
        <w:tc>
          <w:tcPr>
            <w:tcW w:w="3361" w:type="dxa"/>
          </w:tcPr>
          <w:p w14:paraId="52325C73" w14:textId="77777777" w:rsidR="00785BD5" w:rsidRPr="000665B0" w:rsidRDefault="00785BD5" w:rsidP="00F2505E">
            <w:pPr>
              <w:spacing w:after="0"/>
              <w:rPr>
                <w:sz w:val="22"/>
                <w:szCs w:val="22"/>
              </w:rPr>
            </w:pPr>
            <w:r w:rsidRPr="000665B0">
              <w:rPr>
                <w:color w:val="000000"/>
                <w:sz w:val="22"/>
                <w:szCs w:val="22"/>
              </w:rPr>
              <w:t>Missile Inventory</w:t>
            </w:r>
          </w:p>
        </w:tc>
        <w:tc>
          <w:tcPr>
            <w:tcW w:w="1477" w:type="dxa"/>
            <w:tcBorders>
              <w:top w:val="single" w:sz="6" w:space="0" w:color="auto"/>
              <w:left w:val="single" w:sz="12" w:space="0" w:color="auto"/>
              <w:bottom w:val="single" w:sz="6" w:space="0" w:color="auto"/>
              <w:right w:val="single" w:sz="12" w:space="0" w:color="auto"/>
            </w:tcBorders>
          </w:tcPr>
          <w:p w14:paraId="16E230FF" w14:textId="2A97437C"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17</w:t>
            </w:r>
          </w:p>
        </w:tc>
        <w:tc>
          <w:tcPr>
            <w:tcW w:w="1472" w:type="dxa"/>
            <w:tcBorders>
              <w:top w:val="single" w:sz="6" w:space="0" w:color="auto"/>
              <w:left w:val="single" w:sz="12" w:space="0" w:color="auto"/>
              <w:bottom w:val="single" w:sz="6" w:space="0" w:color="auto"/>
              <w:right w:val="single" w:sz="12" w:space="0" w:color="auto"/>
            </w:tcBorders>
          </w:tcPr>
          <w:p w14:paraId="7E7E5BAF"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37D3C4A2" w14:textId="24266EA4" w:rsidR="00785BD5" w:rsidRPr="000665B0" w:rsidRDefault="00785BD5" w:rsidP="00F2505E">
            <w:pPr>
              <w:spacing w:after="0"/>
              <w:rPr>
                <w:color w:val="000000"/>
                <w:sz w:val="22"/>
                <w:szCs w:val="22"/>
              </w:rPr>
            </w:pPr>
            <w:r w:rsidRPr="000665B0">
              <w:rPr>
                <w:color w:val="000000"/>
                <w:sz w:val="22"/>
                <w:szCs w:val="22"/>
              </w:rPr>
              <w:t>X</w:t>
            </w:r>
            <w:r w:rsidR="00D129F4">
              <w:rPr>
                <w:color w:val="000000"/>
                <w:sz w:val="22"/>
                <w:szCs w:val="22"/>
                <w:vertAlign w:val="superscript"/>
              </w:rPr>
              <w:t>22</w:t>
            </w:r>
          </w:p>
        </w:tc>
        <w:tc>
          <w:tcPr>
            <w:tcW w:w="5444" w:type="dxa"/>
            <w:tcBorders>
              <w:top w:val="single" w:sz="6" w:space="0" w:color="auto"/>
              <w:left w:val="single" w:sz="12" w:space="0" w:color="auto"/>
              <w:bottom w:val="single" w:sz="6" w:space="0" w:color="auto"/>
              <w:right w:val="single" w:sz="12" w:space="0" w:color="auto"/>
            </w:tcBorders>
          </w:tcPr>
          <w:p w14:paraId="5090397E" w14:textId="072BD695" w:rsidR="00785BD5" w:rsidRPr="000665B0" w:rsidRDefault="00785BD5" w:rsidP="00F2505E">
            <w:pPr>
              <w:spacing w:after="0"/>
              <w:rPr>
                <w:sz w:val="22"/>
                <w:szCs w:val="22"/>
              </w:rPr>
            </w:pPr>
            <w:r w:rsidRPr="000665B0">
              <w:rPr>
                <w:color w:val="000000"/>
                <w:sz w:val="22"/>
                <w:szCs w:val="22"/>
              </w:rPr>
              <w:t>Always Replace</w:t>
            </w:r>
          </w:p>
        </w:tc>
      </w:tr>
      <w:tr w:rsidR="00785BD5" w:rsidRPr="000665B0" w14:paraId="2408D71D" w14:textId="77777777" w:rsidTr="00232DC4">
        <w:trPr>
          <w:jc w:val="center"/>
        </w:trPr>
        <w:tc>
          <w:tcPr>
            <w:tcW w:w="3361" w:type="dxa"/>
          </w:tcPr>
          <w:p w14:paraId="6C381A4B" w14:textId="77777777" w:rsidR="00785BD5" w:rsidRPr="000665B0" w:rsidRDefault="00785BD5" w:rsidP="00F2505E">
            <w:pPr>
              <w:spacing w:after="0"/>
              <w:rPr>
                <w:sz w:val="22"/>
                <w:szCs w:val="22"/>
              </w:rPr>
            </w:pPr>
            <w:r w:rsidRPr="000665B0">
              <w:rPr>
                <w:color w:val="000000"/>
                <w:sz w:val="22"/>
                <w:szCs w:val="22"/>
              </w:rPr>
              <w:t>Mission</w:t>
            </w:r>
          </w:p>
        </w:tc>
        <w:tc>
          <w:tcPr>
            <w:tcW w:w="1477" w:type="dxa"/>
            <w:tcBorders>
              <w:top w:val="single" w:sz="6" w:space="0" w:color="auto"/>
              <w:left w:val="single" w:sz="12" w:space="0" w:color="auto"/>
              <w:bottom w:val="single" w:sz="6" w:space="0" w:color="auto"/>
              <w:right w:val="single" w:sz="12" w:space="0" w:color="auto"/>
            </w:tcBorders>
          </w:tcPr>
          <w:p w14:paraId="3BC9DF90" w14:textId="552D2EAC"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18</w:t>
            </w:r>
          </w:p>
        </w:tc>
        <w:tc>
          <w:tcPr>
            <w:tcW w:w="1472" w:type="dxa"/>
            <w:tcBorders>
              <w:top w:val="single" w:sz="6" w:space="0" w:color="auto"/>
              <w:left w:val="single" w:sz="12" w:space="0" w:color="auto"/>
              <w:bottom w:val="single" w:sz="6" w:space="0" w:color="auto"/>
              <w:right w:val="single" w:sz="12" w:space="0" w:color="auto"/>
            </w:tcBorders>
          </w:tcPr>
          <w:p w14:paraId="4A9260F7" w14:textId="4CF5218A"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18</w:t>
            </w:r>
          </w:p>
        </w:tc>
        <w:tc>
          <w:tcPr>
            <w:tcW w:w="1471" w:type="dxa"/>
            <w:tcBorders>
              <w:top w:val="single" w:sz="6" w:space="0" w:color="auto"/>
              <w:left w:val="single" w:sz="12" w:space="0" w:color="auto"/>
              <w:bottom w:val="single" w:sz="6" w:space="0" w:color="auto"/>
              <w:right w:val="single" w:sz="12" w:space="0" w:color="auto"/>
            </w:tcBorders>
          </w:tcPr>
          <w:p w14:paraId="600FC1FE" w14:textId="5F3E2708"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18</w:t>
            </w:r>
          </w:p>
        </w:tc>
        <w:tc>
          <w:tcPr>
            <w:tcW w:w="5444" w:type="dxa"/>
            <w:tcBorders>
              <w:top w:val="single" w:sz="6" w:space="0" w:color="auto"/>
              <w:left w:val="single" w:sz="12" w:space="0" w:color="auto"/>
              <w:bottom w:val="single" w:sz="6" w:space="0" w:color="auto"/>
              <w:right w:val="single" w:sz="12" w:space="0" w:color="auto"/>
            </w:tcBorders>
          </w:tcPr>
          <w:p w14:paraId="6C9ED2C6" w14:textId="522B3EA9" w:rsidR="00785BD5" w:rsidRPr="000665B0" w:rsidRDefault="00785BD5" w:rsidP="00F2505E">
            <w:pPr>
              <w:spacing w:after="0"/>
              <w:rPr>
                <w:sz w:val="22"/>
                <w:szCs w:val="22"/>
              </w:rPr>
            </w:pPr>
            <w:r w:rsidRPr="000665B0">
              <w:rPr>
                <w:color w:val="000000"/>
                <w:sz w:val="22"/>
                <w:szCs w:val="22"/>
              </w:rPr>
              <w:t>Always Drop</w:t>
            </w:r>
          </w:p>
        </w:tc>
      </w:tr>
      <w:tr w:rsidR="00785BD5" w:rsidRPr="000665B0" w14:paraId="5212F9E8" w14:textId="77777777" w:rsidTr="00232DC4">
        <w:trPr>
          <w:jc w:val="center"/>
        </w:trPr>
        <w:tc>
          <w:tcPr>
            <w:tcW w:w="3361" w:type="dxa"/>
          </w:tcPr>
          <w:p w14:paraId="140DB17B" w14:textId="1D86B46A" w:rsidR="00785BD5" w:rsidRPr="000665B0" w:rsidRDefault="00785BD5" w:rsidP="00742EF8">
            <w:pPr>
              <w:spacing w:after="0"/>
              <w:rPr>
                <w:color w:val="000000"/>
                <w:sz w:val="22"/>
                <w:szCs w:val="22"/>
              </w:rPr>
            </w:pPr>
            <w:r w:rsidRPr="000665B0">
              <w:rPr>
                <w:color w:val="000000"/>
                <w:sz w:val="22"/>
                <w:szCs w:val="22"/>
              </w:rPr>
              <w:t>MTIF Data Files</w:t>
            </w:r>
          </w:p>
        </w:tc>
        <w:tc>
          <w:tcPr>
            <w:tcW w:w="1477" w:type="dxa"/>
            <w:tcBorders>
              <w:top w:val="single" w:sz="6" w:space="0" w:color="auto"/>
              <w:left w:val="single" w:sz="12" w:space="0" w:color="auto"/>
              <w:bottom w:val="single" w:sz="6" w:space="0" w:color="auto"/>
              <w:right w:val="single" w:sz="12" w:space="0" w:color="auto"/>
            </w:tcBorders>
          </w:tcPr>
          <w:p w14:paraId="00876ACA" w14:textId="5A743643" w:rsidR="00785BD5" w:rsidRPr="000665B0" w:rsidRDefault="00785BD5" w:rsidP="00742EF8">
            <w:pPr>
              <w:spacing w:after="0"/>
              <w:rPr>
                <w:color w:val="000000"/>
                <w:sz w:val="22"/>
                <w:szCs w:val="22"/>
              </w:rPr>
            </w:pPr>
            <w:r w:rsidRPr="000665B0">
              <w:rPr>
                <w:color w:val="000000"/>
                <w:sz w:val="22"/>
                <w:szCs w:val="22"/>
              </w:rPr>
              <w:t>NA</w:t>
            </w:r>
          </w:p>
        </w:tc>
        <w:tc>
          <w:tcPr>
            <w:tcW w:w="1472" w:type="dxa"/>
            <w:tcBorders>
              <w:top w:val="single" w:sz="6" w:space="0" w:color="auto"/>
              <w:left w:val="single" w:sz="12" w:space="0" w:color="auto"/>
              <w:bottom w:val="single" w:sz="6" w:space="0" w:color="auto"/>
              <w:right w:val="single" w:sz="12" w:space="0" w:color="auto"/>
            </w:tcBorders>
          </w:tcPr>
          <w:p w14:paraId="66188B0B" w14:textId="759D9642" w:rsidR="00785BD5" w:rsidRPr="000665B0" w:rsidRDefault="00785BD5" w:rsidP="00742EF8">
            <w:pPr>
              <w:spacing w:after="0"/>
              <w:rPr>
                <w:color w:val="000000"/>
                <w:sz w:val="22"/>
                <w:szCs w:val="22"/>
              </w:rPr>
            </w:pPr>
            <w:r w:rsidRPr="000665B0">
              <w:rPr>
                <w:color w:val="000000"/>
                <w:sz w:val="22"/>
                <w:szCs w:val="22"/>
              </w:rPr>
              <w:t>NA</w:t>
            </w:r>
          </w:p>
        </w:tc>
        <w:tc>
          <w:tcPr>
            <w:tcW w:w="1471" w:type="dxa"/>
            <w:tcBorders>
              <w:top w:val="single" w:sz="6" w:space="0" w:color="auto"/>
              <w:left w:val="single" w:sz="12" w:space="0" w:color="auto"/>
              <w:bottom w:val="single" w:sz="6" w:space="0" w:color="auto"/>
              <w:right w:val="single" w:sz="12" w:space="0" w:color="auto"/>
            </w:tcBorders>
          </w:tcPr>
          <w:p w14:paraId="569AFFA9" w14:textId="70F55ADE" w:rsidR="00785BD5" w:rsidRPr="000665B0" w:rsidRDefault="00785BD5" w:rsidP="00742EF8">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134ED375" w14:textId="623045DF" w:rsidR="00785BD5" w:rsidRPr="000665B0" w:rsidRDefault="00785BD5" w:rsidP="00742EF8">
            <w:pPr>
              <w:spacing w:after="0"/>
              <w:rPr>
                <w:color w:val="000000"/>
                <w:sz w:val="22"/>
                <w:szCs w:val="22"/>
              </w:rPr>
            </w:pPr>
            <w:r w:rsidRPr="000665B0">
              <w:rPr>
                <w:color w:val="000000"/>
                <w:sz w:val="22"/>
                <w:szCs w:val="22"/>
              </w:rPr>
              <w:t>Always Drop</w:t>
            </w:r>
          </w:p>
        </w:tc>
      </w:tr>
      <w:tr w:rsidR="00785BD5" w:rsidRPr="000665B0" w14:paraId="5792C0F1" w14:textId="77777777" w:rsidTr="00232DC4">
        <w:trPr>
          <w:jc w:val="center"/>
        </w:trPr>
        <w:tc>
          <w:tcPr>
            <w:tcW w:w="3361" w:type="dxa"/>
          </w:tcPr>
          <w:p w14:paraId="6BD41D4C" w14:textId="77777777" w:rsidR="00785BD5" w:rsidRPr="000665B0" w:rsidRDefault="00785BD5" w:rsidP="00F2505E">
            <w:pPr>
              <w:spacing w:after="0"/>
              <w:rPr>
                <w:color w:val="000000"/>
                <w:sz w:val="22"/>
                <w:szCs w:val="22"/>
              </w:rPr>
            </w:pPr>
            <w:r w:rsidRPr="000665B0">
              <w:rPr>
                <w:color w:val="000000"/>
                <w:sz w:val="22"/>
                <w:szCs w:val="22"/>
              </w:rPr>
              <w:t>NOB</w:t>
            </w:r>
          </w:p>
        </w:tc>
        <w:tc>
          <w:tcPr>
            <w:tcW w:w="1477" w:type="dxa"/>
            <w:tcBorders>
              <w:top w:val="single" w:sz="6" w:space="0" w:color="auto"/>
              <w:left w:val="single" w:sz="12" w:space="0" w:color="auto"/>
              <w:bottom w:val="single" w:sz="12" w:space="0" w:color="auto"/>
              <w:right w:val="single" w:sz="12" w:space="0" w:color="auto"/>
            </w:tcBorders>
          </w:tcPr>
          <w:p w14:paraId="74E4D961" w14:textId="77777777" w:rsidR="00785BD5" w:rsidRPr="000665B0" w:rsidRDefault="00785BD5" w:rsidP="00F2505E">
            <w:pPr>
              <w:spacing w:after="0"/>
              <w:rPr>
                <w:color w:val="000000"/>
                <w:sz w:val="22"/>
                <w:szCs w:val="22"/>
              </w:rPr>
            </w:pPr>
            <w:r w:rsidRPr="000665B0">
              <w:rPr>
                <w:color w:val="000000"/>
                <w:sz w:val="22"/>
                <w:szCs w:val="22"/>
              </w:rPr>
              <w:t>NA</w:t>
            </w:r>
          </w:p>
        </w:tc>
        <w:tc>
          <w:tcPr>
            <w:tcW w:w="1472" w:type="dxa"/>
            <w:tcBorders>
              <w:top w:val="single" w:sz="6" w:space="0" w:color="auto"/>
              <w:left w:val="single" w:sz="12" w:space="0" w:color="auto"/>
              <w:bottom w:val="single" w:sz="12" w:space="0" w:color="auto"/>
              <w:right w:val="single" w:sz="12" w:space="0" w:color="auto"/>
            </w:tcBorders>
          </w:tcPr>
          <w:p w14:paraId="0A74572D" w14:textId="61A2DCCC"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15</w:t>
            </w:r>
          </w:p>
        </w:tc>
        <w:tc>
          <w:tcPr>
            <w:tcW w:w="1471" w:type="dxa"/>
            <w:tcBorders>
              <w:top w:val="single" w:sz="6" w:space="0" w:color="auto"/>
              <w:left w:val="single" w:sz="12" w:space="0" w:color="auto"/>
              <w:bottom w:val="single" w:sz="12" w:space="0" w:color="auto"/>
              <w:right w:val="single" w:sz="12" w:space="0" w:color="auto"/>
            </w:tcBorders>
          </w:tcPr>
          <w:p w14:paraId="1B6F0F72" w14:textId="129D130E"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12" w:space="0" w:color="auto"/>
              <w:right w:val="single" w:sz="12" w:space="0" w:color="auto"/>
            </w:tcBorders>
          </w:tcPr>
          <w:p w14:paraId="2C41136B" w14:textId="57921CFE" w:rsidR="00785BD5" w:rsidRPr="000665B0" w:rsidRDefault="00785BD5" w:rsidP="00F2505E">
            <w:pPr>
              <w:spacing w:after="0"/>
              <w:rPr>
                <w:color w:val="000000"/>
                <w:sz w:val="22"/>
                <w:szCs w:val="22"/>
              </w:rPr>
            </w:pPr>
            <w:r w:rsidRPr="000665B0">
              <w:rPr>
                <w:color w:val="000000"/>
                <w:sz w:val="22"/>
                <w:szCs w:val="22"/>
              </w:rPr>
              <w:t>Always Replace</w:t>
            </w:r>
          </w:p>
        </w:tc>
      </w:tr>
      <w:tr w:rsidR="00785BD5" w:rsidRPr="000665B0" w14:paraId="21E02470" w14:textId="77777777" w:rsidTr="00232DC4">
        <w:trPr>
          <w:jc w:val="center"/>
        </w:trPr>
        <w:tc>
          <w:tcPr>
            <w:tcW w:w="3361" w:type="dxa"/>
          </w:tcPr>
          <w:p w14:paraId="02313DA5" w14:textId="77777777" w:rsidR="00785BD5" w:rsidRPr="000665B0" w:rsidRDefault="00785BD5" w:rsidP="00F2505E">
            <w:pPr>
              <w:spacing w:after="0"/>
              <w:rPr>
                <w:sz w:val="22"/>
                <w:szCs w:val="22"/>
              </w:rPr>
            </w:pPr>
            <w:r w:rsidRPr="000665B0">
              <w:rPr>
                <w:color w:val="000000"/>
                <w:sz w:val="22"/>
                <w:szCs w:val="22"/>
              </w:rPr>
              <w:t xml:space="preserve">Node Inventory </w:t>
            </w:r>
          </w:p>
        </w:tc>
        <w:tc>
          <w:tcPr>
            <w:tcW w:w="1477" w:type="dxa"/>
            <w:tcBorders>
              <w:top w:val="single" w:sz="6" w:space="0" w:color="auto"/>
              <w:left w:val="single" w:sz="12" w:space="0" w:color="auto"/>
              <w:bottom w:val="single" w:sz="6" w:space="0" w:color="auto"/>
              <w:right w:val="single" w:sz="12" w:space="0" w:color="auto"/>
            </w:tcBorders>
          </w:tcPr>
          <w:p w14:paraId="771D0AE5"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3037E6E2"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1D888260" w14:textId="2EF0AE51"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6BA130F5" w14:textId="0EB053B8" w:rsidR="00785BD5" w:rsidRPr="000665B0" w:rsidRDefault="00785BD5" w:rsidP="00F2505E">
            <w:pPr>
              <w:spacing w:after="0"/>
              <w:rPr>
                <w:sz w:val="22"/>
                <w:szCs w:val="22"/>
              </w:rPr>
            </w:pPr>
            <w:r w:rsidRPr="000665B0">
              <w:rPr>
                <w:color w:val="000000"/>
                <w:sz w:val="22"/>
                <w:szCs w:val="22"/>
              </w:rPr>
              <w:t>Always Replace</w:t>
            </w:r>
          </w:p>
        </w:tc>
      </w:tr>
      <w:tr w:rsidR="00785BD5" w:rsidRPr="000665B0" w14:paraId="01D258E8" w14:textId="77777777" w:rsidTr="00232DC4">
        <w:trPr>
          <w:jc w:val="center"/>
        </w:trPr>
        <w:tc>
          <w:tcPr>
            <w:tcW w:w="3361" w:type="dxa"/>
          </w:tcPr>
          <w:p w14:paraId="2EE292DD" w14:textId="77777777" w:rsidR="00785BD5" w:rsidRPr="000665B0" w:rsidRDefault="00785BD5" w:rsidP="00F2505E">
            <w:pPr>
              <w:spacing w:after="0"/>
              <w:rPr>
                <w:sz w:val="22"/>
                <w:szCs w:val="22"/>
              </w:rPr>
            </w:pPr>
            <w:r w:rsidRPr="000665B0">
              <w:rPr>
                <w:color w:val="000000"/>
                <w:sz w:val="22"/>
                <w:szCs w:val="22"/>
              </w:rPr>
              <w:t>OES Components</w:t>
            </w:r>
          </w:p>
        </w:tc>
        <w:tc>
          <w:tcPr>
            <w:tcW w:w="1477" w:type="dxa"/>
            <w:tcBorders>
              <w:top w:val="single" w:sz="6" w:space="0" w:color="auto"/>
              <w:left w:val="single" w:sz="12" w:space="0" w:color="auto"/>
              <w:bottom w:val="single" w:sz="6" w:space="0" w:color="auto"/>
              <w:right w:val="single" w:sz="12" w:space="0" w:color="auto"/>
            </w:tcBorders>
          </w:tcPr>
          <w:p w14:paraId="029423B9"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082B3046" w14:textId="30758F8E"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15</w:t>
            </w:r>
          </w:p>
        </w:tc>
        <w:tc>
          <w:tcPr>
            <w:tcW w:w="1471" w:type="dxa"/>
            <w:tcBorders>
              <w:top w:val="single" w:sz="6" w:space="0" w:color="auto"/>
              <w:left w:val="single" w:sz="12" w:space="0" w:color="auto"/>
              <w:bottom w:val="single" w:sz="6" w:space="0" w:color="auto"/>
              <w:right w:val="single" w:sz="12" w:space="0" w:color="auto"/>
            </w:tcBorders>
          </w:tcPr>
          <w:p w14:paraId="74202788" w14:textId="625C3609"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7BE7AC85" w14:textId="18FE701F" w:rsidR="00785BD5" w:rsidRPr="000665B0" w:rsidRDefault="00785BD5" w:rsidP="00F2505E">
            <w:pPr>
              <w:spacing w:after="0"/>
              <w:rPr>
                <w:sz w:val="22"/>
                <w:szCs w:val="22"/>
              </w:rPr>
            </w:pPr>
            <w:r w:rsidRPr="000665B0">
              <w:rPr>
                <w:color w:val="000000"/>
                <w:sz w:val="22"/>
                <w:szCs w:val="22"/>
              </w:rPr>
              <w:t>Always Drop</w:t>
            </w:r>
          </w:p>
        </w:tc>
      </w:tr>
      <w:tr w:rsidR="00785BD5" w:rsidRPr="000665B0" w14:paraId="1F53F88C" w14:textId="77777777" w:rsidTr="00232DC4">
        <w:trPr>
          <w:jc w:val="center"/>
        </w:trPr>
        <w:tc>
          <w:tcPr>
            <w:tcW w:w="3361" w:type="dxa"/>
          </w:tcPr>
          <w:p w14:paraId="7DA96484" w14:textId="77777777" w:rsidR="00785BD5" w:rsidRPr="000665B0" w:rsidRDefault="00785BD5" w:rsidP="00F2505E">
            <w:pPr>
              <w:spacing w:after="0"/>
              <w:rPr>
                <w:sz w:val="22"/>
                <w:szCs w:val="22"/>
              </w:rPr>
            </w:pPr>
            <w:r w:rsidRPr="000665B0">
              <w:rPr>
                <w:color w:val="000000"/>
                <w:sz w:val="22"/>
                <w:szCs w:val="22"/>
              </w:rPr>
              <w:t xml:space="preserve">Outgoing DDO </w:t>
            </w:r>
          </w:p>
        </w:tc>
        <w:tc>
          <w:tcPr>
            <w:tcW w:w="1477" w:type="dxa"/>
            <w:tcBorders>
              <w:top w:val="single" w:sz="6" w:space="0" w:color="auto"/>
              <w:left w:val="single" w:sz="12" w:space="0" w:color="auto"/>
              <w:bottom w:val="single" w:sz="6" w:space="0" w:color="auto"/>
              <w:right w:val="single" w:sz="12" w:space="0" w:color="auto"/>
            </w:tcBorders>
          </w:tcPr>
          <w:p w14:paraId="73705424"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3758CF0E"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6A7DF367" w14:textId="0691E498"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650C2E2A" w14:textId="1099772F" w:rsidR="00785BD5" w:rsidRPr="000665B0" w:rsidRDefault="00785BD5" w:rsidP="00F2505E">
            <w:pPr>
              <w:spacing w:after="0"/>
              <w:rPr>
                <w:sz w:val="22"/>
                <w:szCs w:val="22"/>
              </w:rPr>
            </w:pPr>
            <w:r w:rsidRPr="000665B0">
              <w:rPr>
                <w:color w:val="000000"/>
                <w:sz w:val="22"/>
                <w:szCs w:val="22"/>
              </w:rPr>
              <w:t>Always Drop</w:t>
            </w:r>
          </w:p>
        </w:tc>
      </w:tr>
      <w:tr w:rsidR="00785BD5" w:rsidRPr="000665B0" w14:paraId="224002FA" w14:textId="77777777" w:rsidTr="00232DC4">
        <w:trPr>
          <w:jc w:val="center"/>
        </w:trPr>
        <w:tc>
          <w:tcPr>
            <w:tcW w:w="3361" w:type="dxa"/>
          </w:tcPr>
          <w:p w14:paraId="7372CCED" w14:textId="29110597" w:rsidR="00785BD5" w:rsidRPr="000665B0" w:rsidRDefault="00785BD5" w:rsidP="00F2505E">
            <w:pPr>
              <w:spacing w:after="0"/>
              <w:rPr>
                <w:sz w:val="22"/>
                <w:szCs w:val="22"/>
              </w:rPr>
            </w:pPr>
            <w:r w:rsidRPr="000665B0">
              <w:rPr>
                <w:color w:val="000000"/>
                <w:sz w:val="22"/>
                <w:szCs w:val="22"/>
              </w:rPr>
              <w:t>Overlay</w:t>
            </w:r>
            <w:r w:rsidRPr="000665B0">
              <w:rPr>
                <w:color w:val="000000"/>
                <w:sz w:val="22"/>
                <w:szCs w:val="22"/>
                <w:vertAlign w:val="superscript"/>
              </w:rPr>
              <w:t>11</w:t>
            </w:r>
          </w:p>
        </w:tc>
        <w:tc>
          <w:tcPr>
            <w:tcW w:w="1477" w:type="dxa"/>
            <w:tcBorders>
              <w:top w:val="single" w:sz="6" w:space="0" w:color="auto"/>
              <w:left w:val="single" w:sz="12" w:space="0" w:color="auto"/>
              <w:bottom w:val="single" w:sz="6" w:space="0" w:color="auto"/>
              <w:right w:val="single" w:sz="12" w:space="0" w:color="auto"/>
            </w:tcBorders>
          </w:tcPr>
          <w:p w14:paraId="65819CDD"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386BB12A"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129FAA8D" w14:textId="25FB4F39"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16785ACC" w14:textId="7CEFB27F" w:rsidR="00785BD5" w:rsidRPr="000665B0" w:rsidRDefault="00785BD5" w:rsidP="00F2505E">
            <w:pPr>
              <w:spacing w:after="0"/>
              <w:rPr>
                <w:sz w:val="22"/>
                <w:szCs w:val="22"/>
              </w:rPr>
            </w:pPr>
            <w:r w:rsidRPr="000665B0">
              <w:rPr>
                <w:color w:val="000000"/>
                <w:sz w:val="22"/>
                <w:szCs w:val="22"/>
              </w:rPr>
              <w:t>Always Drop</w:t>
            </w:r>
          </w:p>
        </w:tc>
      </w:tr>
      <w:tr w:rsidR="00785BD5" w:rsidRPr="000665B0" w14:paraId="48E57306" w14:textId="77777777" w:rsidTr="00232DC4">
        <w:trPr>
          <w:jc w:val="center"/>
        </w:trPr>
        <w:tc>
          <w:tcPr>
            <w:tcW w:w="3361" w:type="dxa"/>
          </w:tcPr>
          <w:p w14:paraId="0CBEF383" w14:textId="77777777" w:rsidR="00785BD5" w:rsidRPr="000665B0" w:rsidRDefault="00785BD5" w:rsidP="00F2505E">
            <w:pPr>
              <w:spacing w:after="0"/>
              <w:rPr>
                <w:sz w:val="22"/>
                <w:szCs w:val="22"/>
              </w:rPr>
            </w:pPr>
            <w:r w:rsidRPr="000665B0">
              <w:rPr>
                <w:color w:val="000000"/>
                <w:sz w:val="22"/>
                <w:szCs w:val="22"/>
              </w:rPr>
              <w:t>Platform Information</w:t>
            </w:r>
          </w:p>
        </w:tc>
        <w:tc>
          <w:tcPr>
            <w:tcW w:w="1477" w:type="dxa"/>
            <w:tcBorders>
              <w:top w:val="single" w:sz="6" w:space="0" w:color="auto"/>
              <w:left w:val="single" w:sz="12" w:space="0" w:color="auto"/>
              <w:bottom w:val="single" w:sz="6" w:space="0" w:color="auto"/>
              <w:right w:val="single" w:sz="12" w:space="0" w:color="auto"/>
            </w:tcBorders>
          </w:tcPr>
          <w:p w14:paraId="106AAA40"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67120CA6"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5132A96C" w14:textId="351AF36E"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3A7C2D5F" w14:textId="125E92CE" w:rsidR="00785BD5" w:rsidRPr="000665B0" w:rsidRDefault="00785BD5" w:rsidP="00F2505E">
            <w:pPr>
              <w:spacing w:after="0"/>
              <w:rPr>
                <w:sz w:val="22"/>
                <w:szCs w:val="22"/>
              </w:rPr>
            </w:pPr>
            <w:r w:rsidRPr="000665B0">
              <w:rPr>
                <w:color w:val="000000"/>
                <w:sz w:val="22"/>
                <w:szCs w:val="22"/>
              </w:rPr>
              <w:t>Always Replace</w:t>
            </w:r>
          </w:p>
        </w:tc>
      </w:tr>
      <w:tr w:rsidR="00785BD5" w:rsidRPr="000665B0" w14:paraId="171F2F06" w14:textId="77777777" w:rsidTr="00232DC4">
        <w:trPr>
          <w:jc w:val="center"/>
        </w:trPr>
        <w:tc>
          <w:tcPr>
            <w:tcW w:w="3361" w:type="dxa"/>
          </w:tcPr>
          <w:p w14:paraId="257A7B08" w14:textId="4431C194" w:rsidR="00785BD5" w:rsidRPr="000665B0" w:rsidRDefault="00785BD5" w:rsidP="00F2505E">
            <w:pPr>
              <w:spacing w:after="0"/>
              <w:rPr>
                <w:sz w:val="22"/>
                <w:szCs w:val="22"/>
              </w:rPr>
            </w:pPr>
            <w:r w:rsidRPr="000665B0">
              <w:rPr>
                <w:color w:val="000000"/>
                <w:sz w:val="22"/>
                <w:szCs w:val="22"/>
              </w:rPr>
              <w:t>Query</w:t>
            </w:r>
          </w:p>
        </w:tc>
        <w:tc>
          <w:tcPr>
            <w:tcW w:w="1477" w:type="dxa"/>
            <w:tcBorders>
              <w:top w:val="single" w:sz="6" w:space="0" w:color="auto"/>
              <w:left w:val="single" w:sz="12" w:space="0" w:color="auto"/>
              <w:bottom w:val="single" w:sz="6" w:space="0" w:color="auto"/>
              <w:right w:val="single" w:sz="12" w:space="0" w:color="auto"/>
            </w:tcBorders>
          </w:tcPr>
          <w:p w14:paraId="407AA641" w14:textId="05577471"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4</w:t>
            </w:r>
          </w:p>
        </w:tc>
        <w:tc>
          <w:tcPr>
            <w:tcW w:w="1472" w:type="dxa"/>
            <w:tcBorders>
              <w:top w:val="single" w:sz="6" w:space="0" w:color="auto"/>
              <w:left w:val="single" w:sz="12" w:space="0" w:color="auto"/>
              <w:bottom w:val="single" w:sz="6" w:space="0" w:color="auto"/>
              <w:right w:val="single" w:sz="12" w:space="0" w:color="auto"/>
            </w:tcBorders>
          </w:tcPr>
          <w:p w14:paraId="3C48F1BE" w14:textId="4D96A017"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4</w:t>
            </w:r>
          </w:p>
        </w:tc>
        <w:tc>
          <w:tcPr>
            <w:tcW w:w="1471" w:type="dxa"/>
            <w:tcBorders>
              <w:top w:val="single" w:sz="6" w:space="0" w:color="auto"/>
              <w:left w:val="single" w:sz="12" w:space="0" w:color="auto"/>
              <w:bottom w:val="single" w:sz="6" w:space="0" w:color="auto"/>
              <w:right w:val="single" w:sz="12" w:space="0" w:color="auto"/>
            </w:tcBorders>
          </w:tcPr>
          <w:p w14:paraId="05CABA8E" w14:textId="6F3B4D5F"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4</w:t>
            </w:r>
          </w:p>
        </w:tc>
        <w:tc>
          <w:tcPr>
            <w:tcW w:w="5444" w:type="dxa"/>
            <w:tcBorders>
              <w:top w:val="single" w:sz="6" w:space="0" w:color="auto"/>
              <w:left w:val="single" w:sz="12" w:space="0" w:color="auto"/>
              <w:bottom w:val="single" w:sz="6" w:space="0" w:color="auto"/>
              <w:right w:val="single" w:sz="12" w:space="0" w:color="auto"/>
            </w:tcBorders>
          </w:tcPr>
          <w:p w14:paraId="556ECF9A" w14:textId="1F9A841B" w:rsidR="00785BD5" w:rsidRPr="000665B0" w:rsidRDefault="00785BD5" w:rsidP="00F2505E">
            <w:pPr>
              <w:spacing w:after="0"/>
              <w:rPr>
                <w:sz w:val="22"/>
                <w:szCs w:val="22"/>
              </w:rPr>
            </w:pPr>
            <w:r w:rsidRPr="000665B0">
              <w:rPr>
                <w:color w:val="000000"/>
                <w:sz w:val="22"/>
                <w:szCs w:val="22"/>
              </w:rPr>
              <w:t>Always Drop</w:t>
            </w:r>
          </w:p>
        </w:tc>
      </w:tr>
      <w:tr w:rsidR="00785BD5" w:rsidRPr="000665B0" w14:paraId="1404A62D" w14:textId="77777777" w:rsidTr="00232DC4">
        <w:trPr>
          <w:jc w:val="center"/>
        </w:trPr>
        <w:tc>
          <w:tcPr>
            <w:tcW w:w="3361" w:type="dxa"/>
          </w:tcPr>
          <w:p w14:paraId="225BB81F" w14:textId="77777777" w:rsidR="00785BD5" w:rsidRPr="000665B0" w:rsidRDefault="00785BD5" w:rsidP="00F2505E">
            <w:pPr>
              <w:spacing w:after="0"/>
              <w:rPr>
                <w:sz w:val="22"/>
                <w:szCs w:val="22"/>
              </w:rPr>
            </w:pPr>
            <w:r w:rsidRPr="000665B0">
              <w:rPr>
                <w:color w:val="000000"/>
                <w:sz w:val="22"/>
                <w:szCs w:val="22"/>
              </w:rPr>
              <w:t>Retarget Mission Data</w:t>
            </w:r>
          </w:p>
        </w:tc>
        <w:tc>
          <w:tcPr>
            <w:tcW w:w="1477" w:type="dxa"/>
            <w:tcBorders>
              <w:top w:val="single" w:sz="6" w:space="0" w:color="auto"/>
              <w:left w:val="single" w:sz="12" w:space="0" w:color="auto"/>
              <w:bottom w:val="single" w:sz="6" w:space="0" w:color="auto"/>
              <w:right w:val="single" w:sz="12" w:space="0" w:color="auto"/>
            </w:tcBorders>
          </w:tcPr>
          <w:p w14:paraId="47EEC9E8"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2EC49363"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017D5597" w14:textId="355D067F"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46570918" w14:textId="4D639CA5" w:rsidR="00785BD5" w:rsidRPr="000665B0" w:rsidRDefault="00785BD5" w:rsidP="00F2505E">
            <w:pPr>
              <w:spacing w:after="0"/>
              <w:rPr>
                <w:sz w:val="22"/>
                <w:szCs w:val="22"/>
              </w:rPr>
            </w:pPr>
            <w:r w:rsidRPr="000665B0">
              <w:rPr>
                <w:color w:val="000000"/>
                <w:sz w:val="22"/>
                <w:szCs w:val="22"/>
              </w:rPr>
              <w:t>Always Drop</w:t>
            </w:r>
          </w:p>
        </w:tc>
      </w:tr>
      <w:tr w:rsidR="00785BD5" w:rsidRPr="000665B0" w14:paraId="098CF0BE" w14:textId="77777777" w:rsidTr="00232DC4">
        <w:trPr>
          <w:jc w:val="center"/>
        </w:trPr>
        <w:tc>
          <w:tcPr>
            <w:tcW w:w="3361" w:type="dxa"/>
          </w:tcPr>
          <w:p w14:paraId="1167D8A1" w14:textId="77777777" w:rsidR="00785BD5" w:rsidRPr="000665B0" w:rsidRDefault="00785BD5" w:rsidP="00F2505E">
            <w:pPr>
              <w:spacing w:after="0"/>
              <w:rPr>
                <w:sz w:val="22"/>
                <w:szCs w:val="22"/>
              </w:rPr>
            </w:pPr>
            <w:r w:rsidRPr="000665B0">
              <w:rPr>
                <w:color w:val="000000"/>
                <w:sz w:val="22"/>
                <w:szCs w:val="22"/>
              </w:rPr>
              <w:t>Strike Execution Folder</w:t>
            </w:r>
          </w:p>
        </w:tc>
        <w:tc>
          <w:tcPr>
            <w:tcW w:w="1477" w:type="dxa"/>
            <w:tcBorders>
              <w:top w:val="single" w:sz="6" w:space="0" w:color="auto"/>
              <w:left w:val="single" w:sz="12" w:space="0" w:color="auto"/>
              <w:bottom w:val="single" w:sz="6" w:space="0" w:color="auto"/>
              <w:right w:val="single" w:sz="12" w:space="0" w:color="auto"/>
            </w:tcBorders>
          </w:tcPr>
          <w:p w14:paraId="7DA585D5" w14:textId="6C9BC232"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14, 16</w:t>
            </w:r>
            <w:r w:rsidR="003454C1">
              <w:rPr>
                <w:color w:val="000000"/>
                <w:sz w:val="22"/>
                <w:szCs w:val="22"/>
                <w:vertAlign w:val="superscript"/>
              </w:rPr>
              <w:t>, 19</w:t>
            </w:r>
          </w:p>
        </w:tc>
        <w:tc>
          <w:tcPr>
            <w:tcW w:w="1472" w:type="dxa"/>
            <w:tcBorders>
              <w:top w:val="single" w:sz="6" w:space="0" w:color="auto"/>
              <w:left w:val="single" w:sz="12" w:space="0" w:color="auto"/>
              <w:bottom w:val="single" w:sz="6" w:space="0" w:color="auto"/>
              <w:right w:val="single" w:sz="12" w:space="0" w:color="auto"/>
            </w:tcBorders>
          </w:tcPr>
          <w:p w14:paraId="520C462C" w14:textId="75AC2D3C"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14, 16</w:t>
            </w:r>
            <w:r w:rsidR="003454C1">
              <w:rPr>
                <w:color w:val="000000"/>
                <w:sz w:val="22"/>
                <w:szCs w:val="22"/>
                <w:vertAlign w:val="superscript"/>
              </w:rPr>
              <w:t>, 19</w:t>
            </w:r>
          </w:p>
        </w:tc>
        <w:tc>
          <w:tcPr>
            <w:tcW w:w="1471" w:type="dxa"/>
            <w:tcBorders>
              <w:top w:val="single" w:sz="6" w:space="0" w:color="auto"/>
              <w:left w:val="single" w:sz="12" w:space="0" w:color="auto"/>
              <w:bottom w:val="single" w:sz="6" w:space="0" w:color="auto"/>
              <w:right w:val="single" w:sz="12" w:space="0" w:color="auto"/>
            </w:tcBorders>
          </w:tcPr>
          <w:p w14:paraId="5184A717" w14:textId="45EABD94" w:rsidR="00785BD5" w:rsidRPr="000665B0" w:rsidRDefault="00785BD5" w:rsidP="00F2505E">
            <w:pPr>
              <w:spacing w:after="0"/>
              <w:rPr>
                <w:color w:val="000000"/>
                <w:sz w:val="22"/>
                <w:szCs w:val="22"/>
              </w:rPr>
            </w:pPr>
            <w:r w:rsidRPr="000665B0">
              <w:rPr>
                <w:color w:val="000000"/>
                <w:sz w:val="22"/>
                <w:szCs w:val="22"/>
              </w:rPr>
              <w:t>X</w:t>
            </w:r>
            <w:r w:rsidR="003454C1" w:rsidRPr="003454C1">
              <w:rPr>
                <w:color w:val="000000"/>
                <w:sz w:val="22"/>
                <w:szCs w:val="22"/>
                <w:vertAlign w:val="superscript"/>
              </w:rPr>
              <w:t>19</w:t>
            </w:r>
          </w:p>
        </w:tc>
        <w:tc>
          <w:tcPr>
            <w:tcW w:w="5444" w:type="dxa"/>
            <w:tcBorders>
              <w:top w:val="single" w:sz="6" w:space="0" w:color="auto"/>
              <w:left w:val="single" w:sz="12" w:space="0" w:color="auto"/>
              <w:bottom w:val="single" w:sz="6" w:space="0" w:color="auto"/>
              <w:right w:val="single" w:sz="12" w:space="0" w:color="auto"/>
            </w:tcBorders>
          </w:tcPr>
          <w:p w14:paraId="3BECE153" w14:textId="404927B2" w:rsidR="00785BD5" w:rsidRPr="000665B0" w:rsidRDefault="00785BD5" w:rsidP="00F2505E">
            <w:pPr>
              <w:spacing w:after="0"/>
              <w:rPr>
                <w:sz w:val="22"/>
                <w:szCs w:val="22"/>
              </w:rPr>
            </w:pPr>
            <w:r w:rsidRPr="000665B0">
              <w:rPr>
                <w:color w:val="000000"/>
                <w:sz w:val="22"/>
                <w:szCs w:val="22"/>
              </w:rPr>
              <w:t>Always Replace</w:t>
            </w:r>
          </w:p>
        </w:tc>
      </w:tr>
      <w:tr w:rsidR="00785BD5" w:rsidRPr="000665B0" w14:paraId="3F7A8415" w14:textId="77777777" w:rsidTr="00232DC4">
        <w:trPr>
          <w:jc w:val="center"/>
        </w:trPr>
        <w:tc>
          <w:tcPr>
            <w:tcW w:w="3361" w:type="dxa"/>
          </w:tcPr>
          <w:p w14:paraId="7EFC565A" w14:textId="77777777" w:rsidR="00785BD5" w:rsidRPr="000665B0" w:rsidRDefault="00785BD5" w:rsidP="00F2505E">
            <w:pPr>
              <w:spacing w:after="0"/>
              <w:rPr>
                <w:sz w:val="22"/>
                <w:szCs w:val="22"/>
              </w:rPr>
            </w:pPr>
            <w:r w:rsidRPr="000665B0">
              <w:rPr>
                <w:color w:val="000000"/>
                <w:sz w:val="22"/>
                <w:szCs w:val="22"/>
              </w:rPr>
              <w:t>Strike Folder</w:t>
            </w:r>
          </w:p>
        </w:tc>
        <w:tc>
          <w:tcPr>
            <w:tcW w:w="1477" w:type="dxa"/>
            <w:tcBorders>
              <w:top w:val="single" w:sz="6" w:space="0" w:color="auto"/>
              <w:left w:val="single" w:sz="12" w:space="0" w:color="auto"/>
              <w:bottom w:val="single" w:sz="6" w:space="0" w:color="auto"/>
              <w:right w:val="single" w:sz="12" w:space="0" w:color="auto"/>
            </w:tcBorders>
          </w:tcPr>
          <w:p w14:paraId="286D597A" w14:textId="7107FC01"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6, 14, 19</w:t>
            </w:r>
            <w:r w:rsidR="00535654">
              <w:rPr>
                <w:color w:val="000000"/>
                <w:sz w:val="22"/>
                <w:szCs w:val="22"/>
                <w:vertAlign w:val="superscript"/>
              </w:rPr>
              <w:t>, 20</w:t>
            </w:r>
          </w:p>
        </w:tc>
        <w:tc>
          <w:tcPr>
            <w:tcW w:w="1472" w:type="dxa"/>
            <w:tcBorders>
              <w:top w:val="single" w:sz="6" w:space="0" w:color="auto"/>
              <w:left w:val="single" w:sz="12" w:space="0" w:color="auto"/>
              <w:bottom w:val="single" w:sz="6" w:space="0" w:color="auto"/>
              <w:right w:val="single" w:sz="12" w:space="0" w:color="auto"/>
            </w:tcBorders>
          </w:tcPr>
          <w:p w14:paraId="060E56F2" w14:textId="2C025873"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6, 14, 19</w:t>
            </w:r>
            <w:r w:rsidR="00535654">
              <w:rPr>
                <w:color w:val="000000"/>
                <w:sz w:val="22"/>
                <w:szCs w:val="22"/>
                <w:vertAlign w:val="superscript"/>
              </w:rPr>
              <w:t>, 20</w:t>
            </w:r>
          </w:p>
        </w:tc>
        <w:tc>
          <w:tcPr>
            <w:tcW w:w="1471" w:type="dxa"/>
            <w:tcBorders>
              <w:top w:val="single" w:sz="6" w:space="0" w:color="auto"/>
              <w:left w:val="single" w:sz="12" w:space="0" w:color="auto"/>
              <w:bottom w:val="single" w:sz="6" w:space="0" w:color="auto"/>
              <w:right w:val="single" w:sz="12" w:space="0" w:color="auto"/>
            </w:tcBorders>
          </w:tcPr>
          <w:p w14:paraId="63CB7591" w14:textId="144699C6"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6, 19</w:t>
            </w:r>
            <w:r w:rsidR="009612A8">
              <w:rPr>
                <w:color w:val="000000"/>
                <w:sz w:val="22"/>
                <w:szCs w:val="22"/>
                <w:vertAlign w:val="superscript"/>
              </w:rPr>
              <w:t>,</w:t>
            </w:r>
            <w:r w:rsidR="00535654">
              <w:rPr>
                <w:color w:val="000000"/>
                <w:sz w:val="22"/>
                <w:szCs w:val="22"/>
                <w:vertAlign w:val="superscript"/>
              </w:rPr>
              <w:t xml:space="preserve"> </w:t>
            </w:r>
            <w:r w:rsidR="009612A8">
              <w:rPr>
                <w:color w:val="000000"/>
                <w:sz w:val="22"/>
                <w:szCs w:val="22"/>
                <w:vertAlign w:val="superscript"/>
              </w:rPr>
              <w:t>20</w:t>
            </w:r>
          </w:p>
        </w:tc>
        <w:tc>
          <w:tcPr>
            <w:tcW w:w="5444" w:type="dxa"/>
            <w:tcBorders>
              <w:top w:val="single" w:sz="6" w:space="0" w:color="auto"/>
              <w:left w:val="single" w:sz="12" w:space="0" w:color="auto"/>
              <w:bottom w:val="single" w:sz="6" w:space="0" w:color="auto"/>
              <w:right w:val="single" w:sz="12" w:space="0" w:color="auto"/>
            </w:tcBorders>
          </w:tcPr>
          <w:p w14:paraId="6F2A292D" w14:textId="61972264" w:rsidR="00785BD5" w:rsidRPr="000665B0" w:rsidRDefault="00785BD5" w:rsidP="00F2505E">
            <w:pPr>
              <w:spacing w:after="0"/>
              <w:rPr>
                <w:sz w:val="22"/>
                <w:szCs w:val="22"/>
              </w:rPr>
            </w:pPr>
            <w:r w:rsidRPr="000665B0">
              <w:rPr>
                <w:color w:val="000000"/>
                <w:sz w:val="22"/>
                <w:szCs w:val="22"/>
              </w:rPr>
              <w:t xml:space="preserve">Replace if Newer and Other Conditions. See </w:t>
            </w:r>
            <w:hyperlink w:anchor="_5.37.10__Send" w:history="1">
              <w:r w:rsidRPr="000665B0">
                <w:rPr>
                  <w:rStyle w:val="Hyperlink"/>
                  <w:sz w:val="22"/>
                  <w:szCs w:val="22"/>
                </w:rPr>
                <w:t xml:space="preserve">Section </w:t>
              </w:r>
              <w:r w:rsidR="004231CC">
                <w:rPr>
                  <w:rStyle w:val="Hyperlink"/>
                  <w:sz w:val="22"/>
                  <w:szCs w:val="22"/>
                </w:rPr>
                <w:t>5.34</w:t>
              </w:r>
              <w:r w:rsidRPr="000665B0">
                <w:rPr>
                  <w:rStyle w:val="Hyperlink"/>
                  <w:sz w:val="22"/>
                  <w:szCs w:val="22"/>
                </w:rPr>
                <w:t>.11</w:t>
              </w:r>
            </w:hyperlink>
            <w:r w:rsidRPr="000665B0">
              <w:rPr>
                <w:color w:val="000000"/>
                <w:sz w:val="22"/>
                <w:szCs w:val="22"/>
              </w:rPr>
              <w:t xml:space="preserve"> and see </w:t>
            </w:r>
            <w:hyperlink w:anchor="_5.37.11__Receive" w:history="1">
              <w:r w:rsidRPr="000665B0">
                <w:rPr>
                  <w:rStyle w:val="Hyperlink"/>
                  <w:sz w:val="22"/>
                  <w:szCs w:val="22"/>
                </w:rPr>
                <w:t xml:space="preserve">Section </w:t>
              </w:r>
              <w:r w:rsidR="004231CC">
                <w:rPr>
                  <w:rStyle w:val="Hyperlink"/>
                  <w:sz w:val="22"/>
                  <w:szCs w:val="22"/>
                </w:rPr>
                <w:t>5.34</w:t>
              </w:r>
              <w:r w:rsidRPr="000665B0">
                <w:rPr>
                  <w:rStyle w:val="Hyperlink"/>
                  <w:sz w:val="22"/>
                  <w:szCs w:val="22"/>
                </w:rPr>
                <w:t>.12</w:t>
              </w:r>
            </w:hyperlink>
          </w:p>
        </w:tc>
      </w:tr>
      <w:tr w:rsidR="00785BD5" w:rsidRPr="000665B0" w14:paraId="1855276D" w14:textId="77777777" w:rsidTr="00232DC4">
        <w:trPr>
          <w:jc w:val="center"/>
        </w:trPr>
        <w:tc>
          <w:tcPr>
            <w:tcW w:w="3361" w:type="dxa"/>
          </w:tcPr>
          <w:p w14:paraId="5A29E049" w14:textId="77777777" w:rsidR="00785BD5" w:rsidRPr="000665B0" w:rsidRDefault="00785BD5" w:rsidP="00F2505E">
            <w:pPr>
              <w:spacing w:after="0"/>
              <w:rPr>
                <w:sz w:val="22"/>
                <w:szCs w:val="22"/>
              </w:rPr>
            </w:pPr>
            <w:r w:rsidRPr="000665B0">
              <w:rPr>
                <w:color w:val="000000"/>
                <w:sz w:val="22"/>
                <w:szCs w:val="22"/>
              </w:rPr>
              <w:t>Strike Option/Package</w:t>
            </w:r>
          </w:p>
        </w:tc>
        <w:tc>
          <w:tcPr>
            <w:tcW w:w="1477" w:type="dxa"/>
            <w:tcBorders>
              <w:top w:val="single" w:sz="6" w:space="0" w:color="auto"/>
              <w:left w:val="single" w:sz="12" w:space="0" w:color="auto"/>
              <w:bottom w:val="single" w:sz="6" w:space="0" w:color="auto"/>
              <w:right w:val="single" w:sz="12" w:space="0" w:color="auto"/>
            </w:tcBorders>
          </w:tcPr>
          <w:p w14:paraId="5ECC8909" w14:textId="5A5BB676"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6, 14, 16, 19</w:t>
            </w:r>
            <w:r w:rsidR="00535654">
              <w:rPr>
                <w:color w:val="000000"/>
                <w:sz w:val="22"/>
                <w:szCs w:val="22"/>
                <w:vertAlign w:val="superscript"/>
              </w:rPr>
              <w:t>, 20</w:t>
            </w:r>
          </w:p>
        </w:tc>
        <w:tc>
          <w:tcPr>
            <w:tcW w:w="1472" w:type="dxa"/>
            <w:tcBorders>
              <w:top w:val="single" w:sz="6" w:space="0" w:color="auto"/>
              <w:left w:val="single" w:sz="12" w:space="0" w:color="auto"/>
              <w:bottom w:val="single" w:sz="6" w:space="0" w:color="auto"/>
              <w:right w:val="single" w:sz="12" w:space="0" w:color="auto"/>
            </w:tcBorders>
          </w:tcPr>
          <w:p w14:paraId="67B1FD34" w14:textId="0B73AFB3"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6, 14, 16, 19</w:t>
            </w:r>
            <w:r w:rsidR="00535654">
              <w:rPr>
                <w:color w:val="000000"/>
                <w:sz w:val="22"/>
                <w:szCs w:val="22"/>
                <w:vertAlign w:val="superscript"/>
              </w:rPr>
              <w:t>, 20</w:t>
            </w:r>
          </w:p>
        </w:tc>
        <w:tc>
          <w:tcPr>
            <w:tcW w:w="1471" w:type="dxa"/>
            <w:tcBorders>
              <w:top w:val="single" w:sz="6" w:space="0" w:color="auto"/>
              <w:left w:val="single" w:sz="12" w:space="0" w:color="auto"/>
              <w:bottom w:val="single" w:sz="6" w:space="0" w:color="auto"/>
              <w:right w:val="single" w:sz="12" w:space="0" w:color="auto"/>
            </w:tcBorders>
          </w:tcPr>
          <w:p w14:paraId="78FB1EBE" w14:textId="104BD598"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19</w:t>
            </w:r>
            <w:r w:rsidR="009612A8">
              <w:rPr>
                <w:color w:val="000000"/>
                <w:sz w:val="22"/>
                <w:szCs w:val="22"/>
                <w:vertAlign w:val="superscript"/>
              </w:rPr>
              <w:t>, 20</w:t>
            </w:r>
          </w:p>
        </w:tc>
        <w:tc>
          <w:tcPr>
            <w:tcW w:w="5444" w:type="dxa"/>
            <w:tcBorders>
              <w:top w:val="single" w:sz="6" w:space="0" w:color="auto"/>
              <w:left w:val="single" w:sz="12" w:space="0" w:color="auto"/>
              <w:bottom w:val="single" w:sz="6" w:space="0" w:color="auto"/>
              <w:right w:val="single" w:sz="12" w:space="0" w:color="auto"/>
            </w:tcBorders>
          </w:tcPr>
          <w:p w14:paraId="324B930D" w14:textId="3DB31C96" w:rsidR="00785BD5" w:rsidRPr="000665B0" w:rsidRDefault="00785BD5" w:rsidP="00F2505E">
            <w:pPr>
              <w:spacing w:after="0"/>
              <w:rPr>
                <w:sz w:val="22"/>
                <w:szCs w:val="22"/>
              </w:rPr>
            </w:pPr>
            <w:r w:rsidRPr="000665B0">
              <w:rPr>
                <w:color w:val="000000"/>
                <w:sz w:val="22"/>
                <w:szCs w:val="22"/>
              </w:rPr>
              <w:t xml:space="preserve">Replace if Newer and Other Conditions. See </w:t>
            </w:r>
            <w:hyperlink w:anchor="_5.37.10__Send" w:history="1">
              <w:r w:rsidRPr="000665B0">
                <w:rPr>
                  <w:rStyle w:val="Hyperlink"/>
                  <w:sz w:val="22"/>
                  <w:szCs w:val="22"/>
                </w:rPr>
                <w:t xml:space="preserve">Section </w:t>
              </w:r>
              <w:r w:rsidR="004231CC">
                <w:rPr>
                  <w:rStyle w:val="Hyperlink"/>
                  <w:sz w:val="22"/>
                  <w:szCs w:val="22"/>
                </w:rPr>
                <w:t>5.34</w:t>
              </w:r>
              <w:r w:rsidRPr="000665B0">
                <w:rPr>
                  <w:rStyle w:val="Hyperlink"/>
                  <w:sz w:val="22"/>
                  <w:szCs w:val="22"/>
                </w:rPr>
                <w:t>.11</w:t>
              </w:r>
            </w:hyperlink>
            <w:r w:rsidRPr="000665B0">
              <w:rPr>
                <w:color w:val="000000"/>
                <w:sz w:val="22"/>
                <w:szCs w:val="22"/>
              </w:rPr>
              <w:t xml:space="preserve"> and see </w:t>
            </w:r>
            <w:hyperlink w:anchor="_5.37.11__Receive" w:history="1">
              <w:r w:rsidRPr="000665B0">
                <w:rPr>
                  <w:rStyle w:val="Hyperlink"/>
                  <w:sz w:val="22"/>
                  <w:szCs w:val="22"/>
                </w:rPr>
                <w:t xml:space="preserve">Section </w:t>
              </w:r>
              <w:r w:rsidR="004231CC">
                <w:rPr>
                  <w:rStyle w:val="Hyperlink"/>
                  <w:sz w:val="22"/>
                  <w:szCs w:val="22"/>
                </w:rPr>
                <w:t>5.34</w:t>
              </w:r>
              <w:r w:rsidRPr="000665B0">
                <w:rPr>
                  <w:rStyle w:val="Hyperlink"/>
                  <w:sz w:val="22"/>
                  <w:szCs w:val="22"/>
                </w:rPr>
                <w:t>.12</w:t>
              </w:r>
            </w:hyperlink>
          </w:p>
        </w:tc>
      </w:tr>
      <w:tr w:rsidR="00785BD5" w:rsidRPr="000665B0" w14:paraId="5BF560A2" w14:textId="77777777" w:rsidTr="00232DC4">
        <w:trPr>
          <w:jc w:val="center"/>
        </w:trPr>
        <w:tc>
          <w:tcPr>
            <w:tcW w:w="3361" w:type="dxa"/>
          </w:tcPr>
          <w:p w14:paraId="116846E4" w14:textId="77777777" w:rsidR="00785BD5" w:rsidRPr="000665B0" w:rsidRDefault="00785BD5" w:rsidP="00F2505E">
            <w:pPr>
              <w:spacing w:after="0"/>
              <w:rPr>
                <w:sz w:val="22"/>
                <w:szCs w:val="22"/>
              </w:rPr>
            </w:pPr>
            <w:r w:rsidRPr="000665B0">
              <w:rPr>
                <w:color w:val="000000"/>
                <w:sz w:val="22"/>
                <w:szCs w:val="22"/>
              </w:rPr>
              <w:t>Target</w:t>
            </w:r>
          </w:p>
        </w:tc>
        <w:tc>
          <w:tcPr>
            <w:tcW w:w="1477" w:type="dxa"/>
            <w:tcBorders>
              <w:top w:val="single" w:sz="6" w:space="0" w:color="auto"/>
              <w:left w:val="single" w:sz="12" w:space="0" w:color="auto"/>
              <w:bottom w:val="single" w:sz="6" w:space="0" w:color="auto"/>
              <w:right w:val="single" w:sz="12" w:space="0" w:color="auto"/>
            </w:tcBorders>
          </w:tcPr>
          <w:p w14:paraId="6E2F0C0F"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1DEE95BC"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1F09D1E4" w14:textId="6FE9BAF4"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64F3118E" w14:textId="33FD7F4F" w:rsidR="00785BD5" w:rsidRPr="000665B0" w:rsidRDefault="00785BD5" w:rsidP="00F2505E">
            <w:pPr>
              <w:spacing w:after="0"/>
              <w:rPr>
                <w:sz w:val="22"/>
                <w:szCs w:val="22"/>
              </w:rPr>
            </w:pPr>
            <w:r w:rsidRPr="000665B0">
              <w:rPr>
                <w:color w:val="000000"/>
                <w:sz w:val="22"/>
                <w:szCs w:val="22"/>
              </w:rPr>
              <w:t>Always Drop</w:t>
            </w:r>
          </w:p>
        </w:tc>
      </w:tr>
      <w:tr w:rsidR="00785BD5" w:rsidRPr="000665B0" w14:paraId="7E92B1B6" w14:textId="77777777" w:rsidTr="00232DC4">
        <w:trPr>
          <w:jc w:val="center"/>
        </w:trPr>
        <w:tc>
          <w:tcPr>
            <w:tcW w:w="3361" w:type="dxa"/>
          </w:tcPr>
          <w:p w14:paraId="5FFFE083" w14:textId="77777777" w:rsidR="00785BD5" w:rsidRPr="000665B0" w:rsidRDefault="00785BD5" w:rsidP="00F2505E">
            <w:pPr>
              <w:spacing w:after="0"/>
              <w:rPr>
                <w:color w:val="000000"/>
                <w:sz w:val="22"/>
                <w:szCs w:val="22"/>
              </w:rPr>
            </w:pPr>
            <w:r w:rsidRPr="000665B0">
              <w:rPr>
                <w:color w:val="000000"/>
                <w:sz w:val="22"/>
                <w:szCs w:val="22"/>
              </w:rPr>
              <w:t>TargetDB</w:t>
            </w:r>
          </w:p>
        </w:tc>
        <w:tc>
          <w:tcPr>
            <w:tcW w:w="1477" w:type="dxa"/>
            <w:tcBorders>
              <w:top w:val="single" w:sz="6" w:space="0" w:color="auto"/>
              <w:left w:val="single" w:sz="12" w:space="0" w:color="auto"/>
              <w:bottom w:val="single" w:sz="12" w:space="0" w:color="auto"/>
              <w:right w:val="single" w:sz="12" w:space="0" w:color="auto"/>
            </w:tcBorders>
          </w:tcPr>
          <w:p w14:paraId="308CBB78" w14:textId="77777777" w:rsidR="00785BD5" w:rsidRPr="000665B0" w:rsidRDefault="00785BD5" w:rsidP="00F2505E">
            <w:pPr>
              <w:spacing w:after="0"/>
              <w:rPr>
                <w:color w:val="000000"/>
                <w:sz w:val="22"/>
                <w:szCs w:val="22"/>
              </w:rPr>
            </w:pPr>
            <w:r w:rsidRPr="000665B0">
              <w:rPr>
                <w:color w:val="000000"/>
                <w:sz w:val="22"/>
                <w:szCs w:val="22"/>
              </w:rPr>
              <w:t>NA</w:t>
            </w:r>
          </w:p>
        </w:tc>
        <w:tc>
          <w:tcPr>
            <w:tcW w:w="1472" w:type="dxa"/>
            <w:tcBorders>
              <w:top w:val="single" w:sz="6" w:space="0" w:color="auto"/>
              <w:left w:val="single" w:sz="12" w:space="0" w:color="auto"/>
              <w:bottom w:val="single" w:sz="12" w:space="0" w:color="auto"/>
              <w:right w:val="single" w:sz="12" w:space="0" w:color="auto"/>
            </w:tcBorders>
          </w:tcPr>
          <w:p w14:paraId="2200C556" w14:textId="64FCC2E1"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15</w:t>
            </w:r>
          </w:p>
        </w:tc>
        <w:tc>
          <w:tcPr>
            <w:tcW w:w="1471" w:type="dxa"/>
            <w:tcBorders>
              <w:top w:val="single" w:sz="6" w:space="0" w:color="auto"/>
              <w:left w:val="single" w:sz="12" w:space="0" w:color="auto"/>
              <w:bottom w:val="single" w:sz="12" w:space="0" w:color="auto"/>
              <w:right w:val="single" w:sz="12" w:space="0" w:color="auto"/>
            </w:tcBorders>
          </w:tcPr>
          <w:p w14:paraId="01A16CA3" w14:textId="74B60911"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12" w:space="0" w:color="auto"/>
              <w:right w:val="single" w:sz="12" w:space="0" w:color="auto"/>
            </w:tcBorders>
          </w:tcPr>
          <w:p w14:paraId="129F2672" w14:textId="56C5E9A6" w:rsidR="00785BD5" w:rsidRPr="000665B0" w:rsidRDefault="00785BD5" w:rsidP="00F2505E">
            <w:pPr>
              <w:spacing w:after="0"/>
              <w:rPr>
                <w:color w:val="000000"/>
                <w:sz w:val="22"/>
                <w:szCs w:val="22"/>
              </w:rPr>
            </w:pPr>
            <w:r w:rsidRPr="000665B0">
              <w:rPr>
                <w:color w:val="000000"/>
                <w:sz w:val="22"/>
                <w:szCs w:val="22"/>
              </w:rPr>
              <w:t>Always Replace</w:t>
            </w:r>
          </w:p>
        </w:tc>
      </w:tr>
      <w:tr w:rsidR="00785BD5" w:rsidRPr="000665B0" w14:paraId="66634572" w14:textId="77777777" w:rsidTr="00232DC4">
        <w:trPr>
          <w:jc w:val="center"/>
        </w:trPr>
        <w:tc>
          <w:tcPr>
            <w:tcW w:w="3361" w:type="dxa"/>
          </w:tcPr>
          <w:p w14:paraId="7368E463" w14:textId="77777777" w:rsidR="00785BD5" w:rsidRPr="000665B0" w:rsidRDefault="00785BD5" w:rsidP="00182BD3">
            <w:pPr>
              <w:spacing w:after="0"/>
              <w:rPr>
                <w:sz w:val="22"/>
                <w:szCs w:val="22"/>
              </w:rPr>
            </w:pPr>
            <w:r w:rsidRPr="000665B0">
              <w:rPr>
                <w:color w:val="000000"/>
                <w:sz w:val="22"/>
                <w:szCs w:val="22"/>
              </w:rPr>
              <w:t>Task Organization</w:t>
            </w:r>
          </w:p>
        </w:tc>
        <w:tc>
          <w:tcPr>
            <w:tcW w:w="1477" w:type="dxa"/>
            <w:tcBorders>
              <w:top w:val="single" w:sz="6" w:space="0" w:color="auto"/>
              <w:left w:val="single" w:sz="12" w:space="0" w:color="auto"/>
              <w:bottom w:val="single" w:sz="6" w:space="0" w:color="auto"/>
              <w:right w:val="single" w:sz="12" w:space="0" w:color="auto"/>
            </w:tcBorders>
          </w:tcPr>
          <w:p w14:paraId="3B72D5AF" w14:textId="77777777" w:rsidR="00785BD5" w:rsidRPr="000665B0" w:rsidRDefault="00785BD5" w:rsidP="00182BD3">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3F7C5E29" w14:textId="77777777" w:rsidR="00785BD5" w:rsidRPr="000665B0" w:rsidRDefault="00785BD5" w:rsidP="00182BD3">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21351E97" w14:textId="77777777" w:rsidR="00785BD5" w:rsidRPr="000665B0" w:rsidRDefault="00785BD5" w:rsidP="00182BD3">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0DE35C94" w14:textId="77777777" w:rsidR="00785BD5" w:rsidRPr="000665B0" w:rsidRDefault="00785BD5" w:rsidP="00182BD3">
            <w:pPr>
              <w:spacing w:after="0"/>
              <w:rPr>
                <w:sz w:val="22"/>
                <w:szCs w:val="22"/>
              </w:rPr>
            </w:pPr>
            <w:r w:rsidRPr="000665B0">
              <w:rPr>
                <w:color w:val="000000"/>
                <w:sz w:val="22"/>
                <w:szCs w:val="22"/>
              </w:rPr>
              <w:t>Always Replace</w:t>
            </w:r>
          </w:p>
        </w:tc>
      </w:tr>
      <w:tr w:rsidR="00785BD5" w:rsidRPr="000665B0" w14:paraId="06F6739C" w14:textId="77777777" w:rsidTr="00232DC4">
        <w:trPr>
          <w:jc w:val="center"/>
        </w:trPr>
        <w:tc>
          <w:tcPr>
            <w:tcW w:w="3361" w:type="dxa"/>
          </w:tcPr>
          <w:p w14:paraId="6F88FDD7" w14:textId="1CA64B9D" w:rsidR="00785BD5" w:rsidRPr="000665B0" w:rsidRDefault="00E75AC3" w:rsidP="00F2505E">
            <w:pPr>
              <w:spacing w:after="0"/>
              <w:rPr>
                <w:sz w:val="22"/>
                <w:szCs w:val="22"/>
              </w:rPr>
            </w:pPr>
            <w:r>
              <w:rPr>
                <w:color w:val="000000"/>
                <w:sz w:val="22"/>
                <w:szCs w:val="22"/>
              </w:rPr>
              <w:t>TAWS</w:t>
            </w:r>
          </w:p>
        </w:tc>
        <w:tc>
          <w:tcPr>
            <w:tcW w:w="1477" w:type="dxa"/>
            <w:tcBorders>
              <w:top w:val="single" w:sz="6" w:space="0" w:color="auto"/>
              <w:left w:val="single" w:sz="12" w:space="0" w:color="auto"/>
              <w:bottom w:val="single" w:sz="6" w:space="0" w:color="auto"/>
              <w:right w:val="single" w:sz="12" w:space="0" w:color="auto"/>
            </w:tcBorders>
          </w:tcPr>
          <w:p w14:paraId="6CF39F6D"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5937FE0D"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7FE4063E" w14:textId="0686B6B5"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541A1076" w14:textId="28D148D6" w:rsidR="00785BD5" w:rsidRPr="000665B0" w:rsidRDefault="00785BD5" w:rsidP="00F2505E">
            <w:pPr>
              <w:spacing w:after="0"/>
              <w:rPr>
                <w:sz w:val="22"/>
                <w:szCs w:val="22"/>
              </w:rPr>
            </w:pPr>
            <w:r w:rsidRPr="000665B0">
              <w:rPr>
                <w:color w:val="000000"/>
                <w:sz w:val="22"/>
                <w:szCs w:val="22"/>
              </w:rPr>
              <w:t>Always Drop</w:t>
            </w:r>
          </w:p>
        </w:tc>
      </w:tr>
      <w:tr w:rsidR="00785BD5" w:rsidRPr="000665B0" w14:paraId="0C00CEA7" w14:textId="77777777" w:rsidTr="00232DC4">
        <w:trPr>
          <w:jc w:val="center"/>
        </w:trPr>
        <w:tc>
          <w:tcPr>
            <w:tcW w:w="3361" w:type="dxa"/>
          </w:tcPr>
          <w:p w14:paraId="37BDDB00" w14:textId="0A3A330A" w:rsidR="00785BD5" w:rsidRPr="000665B0" w:rsidRDefault="00785BD5" w:rsidP="00190142">
            <w:pPr>
              <w:spacing w:after="0"/>
              <w:rPr>
                <w:sz w:val="22"/>
                <w:szCs w:val="22"/>
              </w:rPr>
            </w:pPr>
            <w:r w:rsidRPr="000665B0">
              <w:rPr>
                <w:color w:val="000000"/>
                <w:sz w:val="22"/>
                <w:szCs w:val="22"/>
              </w:rPr>
              <w:lastRenderedPageBreak/>
              <w:t>TEF</w:t>
            </w:r>
            <w:r w:rsidRPr="000665B0">
              <w:rPr>
                <w:color w:val="000000"/>
                <w:sz w:val="22"/>
                <w:szCs w:val="22"/>
                <w:vertAlign w:val="superscript"/>
              </w:rPr>
              <w:t>9</w:t>
            </w:r>
          </w:p>
        </w:tc>
        <w:tc>
          <w:tcPr>
            <w:tcW w:w="1477" w:type="dxa"/>
            <w:tcBorders>
              <w:top w:val="single" w:sz="6" w:space="0" w:color="auto"/>
              <w:left w:val="single" w:sz="12" w:space="0" w:color="auto"/>
              <w:bottom w:val="single" w:sz="6" w:space="0" w:color="auto"/>
              <w:right w:val="single" w:sz="12" w:space="0" w:color="auto"/>
            </w:tcBorders>
          </w:tcPr>
          <w:p w14:paraId="21D192F0" w14:textId="376624BD" w:rsidR="00785BD5" w:rsidRPr="000665B0" w:rsidRDefault="00785BD5" w:rsidP="00D10A35">
            <w:pPr>
              <w:spacing w:after="0"/>
              <w:rPr>
                <w:sz w:val="22"/>
                <w:szCs w:val="22"/>
              </w:rPr>
            </w:pPr>
            <w:r w:rsidRPr="000665B0">
              <w:rPr>
                <w:color w:val="000000"/>
                <w:sz w:val="22"/>
                <w:szCs w:val="22"/>
              </w:rPr>
              <w:t>X</w:t>
            </w:r>
            <w:r w:rsidRPr="000665B0">
              <w:rPr>
                <w:color w:val="000000"/>
                <w:sz w:val="22"/>
                <w:szCs w:val="22"/>
                <w:vertAlign w:val="superscript"/>
              </w:rPr>
              <w:t>9</w:t>
            </w:r>
          </w:p>
        </w:tc>
        <w:tc>
          <w:tcPr>
            <w:tcW w:w="1472" w:type="dxa"/>
            <w:tcBorders>
              <w:top w:val="single" w:sz="6" w:space="0" w:color="auto"/>
              <w:left w:val="single" w:sz="12" w:space="0" w:color="auto"/>
              <w:bottom w:val="single" w:sz="6" w:space="0" w:color="auto"/>
              <w:right w:val="single" w:sz="12" w:space="0" w:color="auto"/>
            </w:tcBorders>
          </w:tcPr>
          <w:p w14:paraId="7FFED3FB" w14:textId="49A919AD" w:rsidR="00785BD5" w:rsidRPr="000665B0" w:rsidRDefault="00785BD5" w:rsidP="00D10A35">
            <w:pPr>
              <w:spacing w:after="0"/>
              <w:rPr>
                <w:color w:val="000000"/>
                <w:sz w:val="22"/>
                <w:szCs w:val="22"/>
              </w:rPr>
            </w:pPr>
            <w:r w:rsidRPr="000665B0">
              <w:rPr>
                <w:color w:val="000000"/>
                <w:sz w:val="22"/>
                <w:szCs w:val="22"/>
              </w:rPr>
              <w:t>X</w:t>
            </w:r>
            <w:r w:rsidRPr="000665B0">
              <w:rPr>
                <w:color w:val="000000"/>
                <w:sz w:val="22"/>
                <w:szCs w:val="22"/>
                <w:vertAlign w:val="superscript"/>
              </w:rPr>
              <w:t>9</w:t>
            </w:r>
          </w:p>
        </w:tc>
        <w:tc>
          <w:tcPr>
            <w:tcW w:w="1471" w:type="dxa"/>
            <w:tcBorders>
              <w:top w:val="single" w:sz="6" w:space="0" w:color="auto"/>
              <w:left w:val="single" w:sz="12" w:space="0" w:color="auto"/>
              <w:bottom w:val="single" w:sz="6" w:space="0" w:color="auto"/>
              <w:right w:val="single" w:sz="12" w:space="0" w:color="auto"/>
            </w:tcBorders>
          </w:tcPr>
          <w:p w14:paraId="7C4B8982" w14:textId="4466D0D4" w:rsidR="00785BD5" w:rsidRPr="000665B0" w:rsidRDefault="00785BD5" w:rsidP="00742EF8">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6E17395E" w14:textId="69D06F52" w:rsidR="00785BD5" w:rsidRPr="000665B0" w:rsidRDefault="00785BD5" w:rsidP="00742EF8">
            <w:pPr>
              <w:spacing w:after="0"/>
              <w:rPr>
                <w:sz w:val="22"/>
                <w:szCs w:val="22"/>
              </w:rPr>
            </w:pPr>
            <w:r w:rsidRPr="000665B0">
              <w:rPr>
                <w:color w:val="000000"/>
                <w:sz w:val="22"/>
                <w:szCs w:val="22"/>
              </w:rPr>
              <w:t>Always Drop</w:t>
            </w:r>
          </w:p>
        </w:tc>
      </w:tr>
      <w:tr w:rsidR="00785BD5" w:rsidRPr="000665B0" w14:paraId="0D8AFA6F" w14:textId="77777777" w:rsidTr="00232DC4">
        <w:trPr>
          <w:jc w:val="center"/>
        </w:trPr>
        <w:tc>
          <w:tcPr>
            <w:tcW w:w="3361" w:type="dxa"/>
          </w:tcPr>
          <w:p w14:paraId="160487C1" w14:textId="77777777" w:rsidR="00785BD5" w:rsidRPr="000665B0" w:rsidRDefault="00785BD5" w:rsidP="00F2505E">
            <w:pPr>
              <w:spacing w:after="0"/>
              <w:rPr>
                <w:sz w:val="22"/>
                <w:szCs w:val="22"/>
              </w:rPr>
            </w:pPr>
            <w:r w:rsidRPr="000665B0">
              <w:rPr>
                <w:color w:val="000000"/>
                <w:sz w:val="22"/>
                <w:szCs w:val="22"/>
              </w:rPr>
              <w:t>TERCOM</w:t>
            </w:r>
          </w:p>
        </w:tc>
        <w:tc>
          <w:tcPr>
            <w:tcW w:w="1477" w:type="dxa"/>
            <w:tcBorders>
              <w:top w:val="single" w:sz="6" w:space="0" w:color="auto"/>
              <w:left w:val="single" w:sz="12" w:space="0" w:color="auto"/>
              <w:bottom w:val="single" w:sz="6" w:space="0" w:color="auto"/>
              <w:right w:val="single" w:sz="12" w:space="0" w:color="auto"/>
            </w:tcBorders>
          </w:tcPr>
          <w:p w14:paraId="6DFCDD9C"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18CEA694"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5818CAE1" w14:textId="00C9CEC5"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4AD94DD0" w14:textId="78E72F91" w:rsidR="00785BD5" w:rsidRPr="000665B0" w:rsidRDefault="00785BD5" w:rsidP="00F2505E">
            <w:pPr>
              <w:spacing w:after="0"/>
              <w:rPr>
                <w:sz w:val="22"/>
                <w:szCs w:val="22"/>
              </w:rPr>
            </w:pPr>
            <w:r w:rsidRPr="000665B0">
              <w:rPr>
                <w:color w:val="000000"/>
                <w:sz w:val="22"/>
                <w:szCs w:val="22"/>
              </w:rPr>
              <w:t>Always Drop</w:t>
            </w:r>
          </w:p>
        </w:tc>
      </w:tr>
      <w:tr w:rsidR="00785BD5" w:rsidRPr="000665B0" w14:paraId="031A07EF" w14:textId="77777777" w:rsidTr="00232DC4">
        <w:trPr>
          <w:jc w:val="center"/>
        </w:trPr>
        <w:tc>
          <w:tcPr>
            <w:tcW w:w="3361" w:type="dxa"/>
          </w:tcPr>
          <w:p w14:paraId="27B62DF2" w14:textId="77777777" w:rsidR="00785BD5" w:rsidRPr="000665B0" w:rsidRDefault="00785BD5" w:rsidP="00F2505E">
            <w:pPr>
              <w:spacing w:after="0"/>
              <w:rPr>
                <w:sz w:val="22"/>
                <w:szCs w:val="22"/>
              </w:rPr>
            </w:pPr>
            <w:r w:rsidRPr="000665B0">
              <w:rPr>
                <w:color w:val="000000"/>
                <w:sz w:val="22"/>
                <w:szCs w:val="22"/>
              </w:rPr>
              <w:t>Threat</w:t>
            </w:r>
          </w:p>
        </w:tc>
        <w:tc>
          <w:tcPr>
            <w:tcW w:w="1477" w:type="dxa"/>
            <w:tcBorders>
              <w:top w:val="single" w:sz="6" w:space="0" w:color="auto"/>
              <w:left w:val="single" w:sz="12" w:space="0" w:color="auto"/>
              <w:bottom w:val="single" w:sz="6" w:space="0" w:color="auto"/>
              <w:right w:val="single" w:sz="12" w:space="0" w:color="auto"/>
            </w:tcBorders>
          </w:tcPr>
          <w:p w14:paraId="643CDB3B" w14:textId="77777777" w:rsidR="00785BD5" w:rsidRPr="000665B0" w:rsidRDefault="00785BD5" w:rsidP="00F2505E">
            <w:pPr>
              <w:spacing w:after="0"/>
              <w:rPr>
                <w:sz w:val="22"/>
                <w:szCs w:val="22"/>
              </w:rPr>
            </w:pPr>
            <w:r w:rsidRPr="000665B0">
              <w:rPr>
                <w:color w:val="000000"/>
                <w:sz w:val="22"/>
                <w:szCs w:val="22"/>
              </w:rPr>
              <w:t>X</w:t>
            </w:r>
          </w:p>
        </w:tc>
        <w:tc>
          <w:tcPr>
            <w:tcW w:w="1472" w:type="dxa"/>
            <w:tcBorders>
              <w:top w:val="single" w:sz="6" w:space="0" w:color="auto"/>
              <w:left w:val="single" w:sz="12" w:space="0" w:color="auto"/>
              <w:bottom w:val="single" w:sz="6" w:space="0" w:color="auto"/>
              <w:right w:val="single" w:sz="12" w:space="0" w:color="auto"/>
            </w:tcBorders>
          </w:tcPr>
          <w:p w14:paraId="0DB34452" w14:textId="77777777" w:rsidR="00785BD5" w:rsidRPr="000665B0" w:rsidRDefault="00785BD5" w:rsidP="00F2505E">
            <w:pPr>
              <w:spacing w:after="0"/>
              <w:rPr>
                <w:color w:val="000000"/>
                <w:sz w:val="22"/>
                <w:szCs w:val="22"/>
              </w:rPr>
            </w:pPr>
            <w:r w:rsidRPr="000665B0">
              <w:rPr>
                <w:color w:val="000000"/>
                <w:sz w:val="22"/>
                <w:szCs w:val="22"/>
              </w:rPr>
              <w:t>X</w:t>
            </w:r>
          </w:p>
        </w:tc>
        <w:tc>
          <w:tcPr>
            <w:tcW w:w="1471" w:type="dxa"/>
            <w:tcBorders>
              <w:top w:val="single" w:sz="6" w:space="0" w:color="auto"/>
              <w:left w:val="single" w:sz="12" w:space="0" w:color="auto"/>
              <w:bottom w:val="single" w:sz="6" w:space="0" w:color="auto"/>
              <w:right w:val="single" w:sz="12" w:space="0" w:color="auto"/>
            </w:tcBorders>
          </w:tcPr>
          <w:p w14:paraId="162EA3C8" w14:textId="590E193B" w:rsidR="00785BD5" w:rsidRPr="000665B0" w:rsidRDefault="00785BD5" w:rsidP="00F2505E">
            <w:pPr>
              <w:spacing w:after="0"/>
              <w:rPr>
                <w:color w:val="000000"/>
                <w:sz w:val="22"/>
                <w:szCs w:val="22"/>
              </w:rPr>
            </w:pPr>
            <w:r w:rsidRPr="000665B0">
              <w:rPr>
                <w:color w:val="000000"/>
                <w:sz w:val="22"/>
                <w:szCs w:val="22"/>
              </w:rPr>
              <w:t>X</w:t>
            </w:r>
          </w:p>
        </w:tc>
        <w:tc>
          <w:tcPr>
            <w:tcW w:w="5444" w:type="dxa"/>
            <w:tcBorders>
              <w:top w:val="single" w:sz="6" w:space="0" w:color="auto"/>
              <w:left w:val="single" w:sz="12" w:space="0" w:color="auto"/>
              <w:bottom w:val="single" w:sz="6" w:space="0" w:color="auto"/>
              <w:right w:val="single" w:sz="12" w:space="0" w:color="auto"/>
            </w:tcBorders>
          </w:tcPr>
          <w:p w14:paraId="3150C81F" w14:textId="4A2C07A8" w:rsidR="00785BD5" w:rsidRPr="000665B0" w:rsidRDefault="00785BD5" w:rsidP="00F2505E">
            <w:pPr>
              <w:spacing w:after="0"/>
              <w:rPr>
                <w:sz w:val="22"/>
                <w:szCs w:val="22"/>
              </w:rPr>
            </w:pPr>
            <w:r w:rsidRPr="000665B0">
              <w:rPr>
                <w:color w:val="000000"/>
                <w:sz w:val="22"/>
                <w:szCs w:val="22"/>
              </w:rPr>
              <w:t>Always Drop</w:t>
            </w:r>
          </w:p>
        </w:tc>
      </w:tr>
      <w:tr w:rsidR="00785BD5" w:rsidRPr="000665B0" w14:paraId="5D8FAECF" w14:textId="77777777" w:rsidTr="00232DC4">
        <w:trPr>
          <w:jc w:val="center"/>
        </w:trPr>
        <w:tc>
          <w:tcPr>
            <w:tcW w:w="3361" w:type="dxa"/>
          </w:tcPr>
          <w:p w14:paraId="18AF17EB" w14:textId="77777777" w:rsidR="00785BD5" w:rsidRPr="000665B0" w:rsidRDefault="00785BD5" w:rsidP="00F2505E">
            <w:pPr>
              <w:spacing w:after="0"/>
              <w:rPr>
                <w:sz w:val="22"/>
                <w:szCs w:val="22"/>
              </w:rPr>
            </w:pPr>
            <w:r w:rsidRPr="000665B0">
              <w:rPr>
                <w:color w:val="000000"/>
                <w:sz w:val="22"/>
                <w:szCs w:val="22"/>
              </w:rPr>
              <w:t>TMPR</w:t>
            </w:r>
          </w:p>
        </w:tc>
        <w:tc>
          <w:tcPr>
            <w:tcW w:w="1477" w:type="dxa"/>
            <w:tcBorders>
              <w:top w:val="single" w:sz="6" w:space="0" w:color="auto"/>
              <w:left w:val="single" w:sz="12" w:space="0" w:color="auto"/>
              <w:bottom w:val="single" w:sz="6" w:space="0" w:color="auto"/>
              <w:right w:val="single" w:sz="12" w:space="0" w:color="auto"/>
            </w:tcBorders>
          </w:tcPr>
          <w:p w14:paraId="4CBE2FB8" w14:textId="18CE02B5" w:rsidR="00785BD5" w:rsidRPr="000665B0" w:rsidRDefault="00785BD5" w:rsidP="00F2505E">
            <w:pPr>
              <w:spacing w:after="0"/>
              <w:rPr>
                <w:sz w:val="22"/>
                <w:szCs w:val="22"/>
              </w:rPr>
            </w:pPr>
            <w:r w:rsidRPr="000665B0">
              <w:rPr>
                <w:color w:val="000000"/>
                <w:sz w:val="22"/>
                <w:szCs w:val="22"/>
              </w:rPr>
              <w:t>X</w:t>
            </w:r>
            <w:r w:rsidRPr="000665B0">
              <w:rPr>
                <w:color w:val="000000"/>
                <w:sz w:val="22"/>
                <w:szCs w:val="22"/>
                <w:vertAlign w:val="superscript"/>
              </w:rPr>
              <w:t>5</w:t>
            </w:r>
          </w:p>
        </w:tc>
        <w:tc>
          <w:tcPr>
            <w:tcW w:w="1472" w:type="dxa"/>
            <w:tcBorders>
              <w:top w:val="single" w:sz="6" w:space="0" w:color="auto"/>
              <w:left w:val="single" w:sz="12" w:space="0" w:color="auto"/>
              <w:bottom w:val="single" w:sz="6" w:space="0" w:color="auto"/>
              <w:right w:val="single" w:sz="12" w:space="0" w:color="auto"/>
            </w:tcBorders>
          </w:tcPr>
          <w:p w14:paraId="3739836E" w14:textId="71A2DBE5"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5, 15</w:t>
            </w:r>
          </w:p>
        </w:tc>
        <w:tc>
          <w:tcPr>
            <w:tcW w:w="1471" w:type="dxa"/>
            <w:tcBorders>
              <w:top w:val="single" w:sz="6" w:space="0" w:color="auto"/>
              <w:left w:val="single" w:sz="12" w:space="0" w:color="auto"/>
              <w:bottom w:val="single" w:sz="6" w:space="0" w:color="auto"/>
              <w:right w:val="single" w:sz="12" w:space="0" w:color="auto"/>
            </w:tcBorders>
          </w:tcPr>
          <w:p w14:paraId="463493D5" w14:textId="13BFD459"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5</w:t>
            </w:r>
          </w:p>
        </w:tc>
        <w:tc>
          <w:tcPr>
            <w:tcW w:w="5444" w:type="dxa"/>
            <w:tcBorders>
              <w:top w:val="single" w:sz="6" w:space="0" w:color="auto"/>
              <w:left w:val="single" w:sz="12" w:space="0" w:color="auto"/>
              <w:bottom w:val="single" w:sz="6" w:space="0" w:color="auto"/>
              <w:right w:val="single" w:sz="12" w:space="0" w:color="auto"/>
            </w:tcBorders>
          </w:tcPr>
          <w:p w14:paraId="3473E7C8" w14:textId="164DEAC7" w:rsidR="00785BD5" w:rsidRPr="000665B0" w:rsidRDefault="00785BD5" w:rsidP="00F2505E">
            <w:pPr>
              <w:spacing w:after="0"/>
              <w:rPr>
                <w:sz w:val="22"/>
                <w:szCs w:val="22"/>
              </w:rPr>
            </w:pPr>
            <w:r w:rsidRPr="000665B0">
              <w:rPr>
                <w:color w:val="000000"/>
                <w:sz w:val="22"/>
                <w:szCs w:val="22"/>
              </w:rPr>
              <w:t>Always Drop</w:t>
            </w:r>
          </w:p>
        </w:tc>
      </w:tr>
      <w:tr w:rsidR="00785BD5" w:rsidRPr="000665B0" w14:paraId="7B39A22E" w14:textId="77777777" w:rsidTr="00232DC4">
        <w:trPr>
          <w:jc w:val="center"/>
        </w:trPr>
        <w:tc>
          <w:tcPr>
            <w:tcW w:w="3361" w:type="dxa"/>
          </w:tcPr>
          <w:p w14:paraId="42830988" w14:textId="0FDAD9F4" w:rsidR="00785BD5" w:rsidRPr="000665B0" w:rsidRDefault="00785BD5" w:rsidP="00F2505E">
            <w:pPr>
              <w:spacing w:after="0"/>
              <w:rPr>
                <w:color w:val="000000"/>
                <w:sz w:val="22"/>
                <w:szCs w:val="22"/>
              </w:rPr>
            </w:pPr>
            <w:r w:rsidRPr="000665B0">
              <w:rPr>
                <w:color w:val="000000"/>
                <w:sz w:val="22"/>
                <w:szCs w:val="22"/>
              </w:rPr>
              <w:t>TMPR (Attack Plan)</w:t>
            </w:r>
          </w:p>
        </w:tc>
        <w:tc>
          <w:tcPr>
            <w:tcW w:w="1477" w:type="dxa"/>
            <w:tcBorders>
              <w:top w:val="single" w:sz="6" w:space="0" w:color="auto"/>
              <w:left w:val="single" w:sz="12" w:space="0" w:color="auto"/>
              <w:bottom w:val="single" w:sz="6" w:space="0" w:color="auto"/>
              <w:right w:val="single" w:sz="12" w:space="0" w:color="auto"/>
            </w:tcBorders>
          </w:tcPr>
          <w:p w14:paraId="3959C606" w14:textId="42263207"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5, 15</w:t>
            </w:r>
          </w:p>
        </w:tc>
        <w:tc>
          <w:tcPr>
            <w:tcW w:w="1472" w:type="dxa"/>
            <w:tcBorders>
              <w:top w:val="single" w:sz="6" w:space="0" w:color="auto"/>
              <w:left w:val="single" w:sz="12" w:space="0" w:color="auto"/>
              <w:bottom w:val="single" w:sz="6" w:space="0" w:color="auto"/>
              <w:right w:val="single" w:sz="12" w:space="0" w:color="auto"/>
            </w:tcBorders>
          </w:tcPr>
          <w:p w14:paraId="440E9D4F" w14:textId="390F9A73"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5, 15</w:t>
            </w:r>
          </w:p>
        </w:tc>
        <w:tc>
          <w:tcPr>
            <w:tcW w:w="1471" w:type="dxa"/>
            <w:tcBorders>
              <w:top w:val="single" w:sz="6" w:space="0" w:color="auto"/>
              <w:left w:val="single" w:sz="12" w:space="0" w:color="auto"/>
              <w:bottom w:val="single" w:sz="6" w:space="0" w:color="auto"/>
              <w:right w:val="single" w:sz="12" w:space="0" w:color="auto"/>
            </w:tcBorders>
          </w:tcPr>
          <w:p w14:paraId="3C932FF2" w14:textId="2BC08F41" w:rsidR="00785BD5" w:rsidRPr="000665B0" w:rsidRDefault="00785BD5" w:rsidP="00F2505E">
            <w:pPr>
              <w:spacing w:after="0"/>
              <w:rPr>
                <w:color w:val="000000"/>
                <w:sz w:val="22"/>
                <w:szCs w:val="22"/>
              </w:rPr>
            </w:pPr>
            <w:r w:rsidRPr="000665B0">
              <w:rPr>
                <w:color w:val="000000"/>
                <w:sz w:val="22"/>
                <w:szCs w:val="22"/>
              </w:rPr>
              <w:t>X</w:t>
            </w:r>
            <w:r w:rsidRPr="000665B0">
              <w:rPr>
                <w:color w:val="000000"/>
                <w:sz w:val="22"/>
                <w:szCs w:val="22"/>
                <w:vertAlign w:val="superscript"/>
              </w:rPr>
              <w:t>5</w:t>
            </w:r>
          </w:p>
        </w:tc>
        <w:tc>
          <w:tcPr>
            <w:tcW w:w="5444" w:type="dxa"/>
            <w:tcBorders>
              <w:top w:val="single" w:sz="6" w:space="0" w:color="auto"/>
              <w:left w:val="single" w:sz="12" w:space="0" w:color="auto"/>
              <w:bottom w:val="single" w:sz="6" w:space="0" w:color="auto"/>
              <w:right w:val="single" w:sz="12" w:space="0" w:color="auto"/>
            </w:tcBorders>
          </w:tcPr>
          <w:p w14:paraId="7FB5C453" w14:textId="6A182D6A" w:rsidR="00785BD5" w:rsidRPr="000665B0" w:rsidRDefault="00785BD5" w:rsidP="00F2505E">
            <w:pPr>
              <w:spacing w:after="0"/>
              <w:rPr>
                <w:color w:val="000000"/>
                <w:sz w:val="22"/>
                <w:szCs w:val="22"/>
              </w:rPr>
            </w:pPr>
            <w:r w:rsidRPr="000665B0">
              <w:rPr>
                <w:color w:val="000000"/>
                <w:sz w:val="22"/>
                <w:szCs w:val="22"/>
              </w:rPr>
              <w:t>Always Drop</w:t>
            </w:r>
          </w:p>
        </w:tc>
      </w:tr>
    </w:tbl>
    <w:p w14:paraId="604E8200" w14:textId="77777777" w:rsidR="00A316EA" w:rsidRDefault="00A316EA" w:rsidP="00666A64">
      <w:pPr>
        <w:spacing w:before="240"/>
        <w:rPr>
          <w:b/>
        </w:rPr>
      </w:pPr>
      <w:r>
        <w:br w:type="page"/>
      </w:r>
      <w:r w:rsidR="003D314B" w:rsidRPr="000665B0">
        <w:rPr>
          <w:b/>
          <w:szCs w:val="24"/>
        </w:rPr>
        <w:lastRenderedPageBreak/>
        <w:t xml:space="preserve">Note </w:t>
      </w:r>
      <w:r w:rsidR="00742EF8" w:rsidRPr="000665B0">
        <w:rPr>
          <w:b/>
          <w:szCs w:val="24"/>
        </w:rPr>
        <w:t xml:space="preserve">1 </w:t>
      </w:r>
      <w:r w:rsidR="003D314B" w:rsidRPr="000665B0">
        <w:rPr>
          <w:b/>
          <w:szCs w:val="24"/>
        </w:rPr>
        <w:t>(VPL\XPL)</w:t>
      </w:r>
    </w:p>
    <w:p w14:paraId="1C2A17EE" w14:textId="07FD194A" w:rsidR="003D314B" w:rsidRPr="000665B0" w:rsidRDefault="003D314B" w:rsidP="003D314B">
      <w:pPr>
        <w:rPr>
          <w:szCs w:val="24"/>
        </w:rPr>
      </w:pPr>
      <w:r w:rsidRPr="000665B0">
        <w:rPr>
          <w:szCs w:val="24"/>
        </w:rPr>
        <w:t>On MDS/TED, platform/node custom edits will be lost without any warning when processing a newer XPL.</w:t>
      </w:r>
    </w:p>
    <w:p w14:paraId="15E4D7CF" w14:textId="24DE0CF9" w:rsidR="00666A64" w:rsidRPr="000665B0" w:rsidRDefault="00666A64" w:rsidP="00666A64">
      <w:pPr>
        <w:rPr>
          <w:b/>
        </w:rPr>
      </w:pPr>
      <w:r w:rsidRPr="000665B0">
        <w:rPr>
          <w:b/>
        </w:rPr>
        <w:t xml:space="preserve">Note </w:t>
      </w:r>
      <w:r w:rsidR="00742EF8" w:rsidRPr="000665B0">
        <w:rPr>
          <w:b/>
        </w:rPr>
        <w:t xml:space="preserve">2 </w:t>
      </w:r>
      <w:r w:rsidRPr="000665B0">
        <w:rPr>
          <w:b/>
        </w:rPr>
        <w:t xml:space="preserve">(ACMS) </w:t>
      </w:r>
    </w:p>
    <w:p w14:paraId="0737EB95" w14:textId="1A684DA4" w:rsidR="00666A64" w:rsidRPr="000665B0" w:rsidRDefault="00666A64" w:rsidP="00666A64">
      <w:r w:rsidRPr="000665B0">
        <w:t>MDS combined the FPPWP TPS and FPPWP TTWCS ACMSs into a single FPPWP ACMS.</w:t>
      </w:r>
      <w:r w:rsidR="009651B0">
        <w:t xml:space="preserve"> </w:t>
      </w:r>
    </w:p>
    <w:p w14:paraId="07555C45" w14:textId="77777777" w:rsidR="00666A64" w:rsidRPr="000665B0" w:rsidRDefault="00666A64" w:rsidP="00666A64">
      <w:r w:rsidRPr="000665B0">
        <w:t xml:space="preserve">MDS </w:t>
      </w:r>
      <w:r w:rsidR="00742EF8" w:rsidRPr="000665B0">
        <w:t>does not</w:t>
      </w:r>
      <w:r w:rsidRPr="000665B0">
        <w:t xml:space="preserve"> support the ACMS of type ACM. If received, MDS will fail to process the ACMS.</w:t>
      </w:r>
    </w:p>
    <w:p w14:paraId="70C16BD3" w14:textId="3DFE340F" w:rsidR="00AC5CA0" w:rsidRPr="000665B0" w:rsidRDefault="00FC22E3" w:rsidP="00AC5CA0">
      <w:r w:rsidRPr="000665B0">
        <w:t>A</w:t>
      </w:r>
      <w:r w:rsidR="00AC5CA0" w:rsidRPr="000665B0">
        <w:t xml:space="preserve">n ACMS with more than 24 points that is generated from an ACO cannot be sent to a TTWCS. </w:t>
      </w:r>
    </w:p>
    <w:p w14:paraId="475276A9" w14:textId="6FD866B7" w:rsidR="00666A64" w:rsidRPr="000665B0" w:rsidRDefault="00FC22E3" w:rsidP="00666A64">
      <w:r w:rsidRPr="000665B0">
        <w:t xml:space="preserve">The </w:t>
      </w:r>
      <w:r w:rsidR="00666A64" w:rsidRPr="000665B0">
        <w:t>establish</w:t>
      </w:r>
      <w:r w:rsidR="00B6360F" w:rsidRPr="000665B0">
        <w:t>\</w:t>
      </w:r>
      <w:r w:rsidR="00666A64" w:rsidRPr="000665B0">
        <w:t xml:space="preserve">de-establish DTG </w:t>
      </w:r>
      <w:r w:rsidRPr="000665B0">
        <w:t>information of an ACMS is not used</w:t>
      </w:r>
      <w:r w:rsidR="00666A64" w:rsidRPr="000665B0">
        <w:t xml:space="preserve"> for Strike analysis. Instead</w:t>
      </w:r>
      <w:r w:rsidRPr="000665B0">
        <w:t>, MDS</w:t>
      </w:r>
      <w:r w:rsidR="00666A64" w:rsidRPr="000665B0">
        <w:t xml:space="preserve"> uses the Effective Period</w:t>
      </w:r>
      <w:r w:rsidRPr="000665B0">
        <w:t>,</w:t>
      </w:r>
      <w:r w:rsidR="00666A64" w:rsidRPr="000665B0">
        <w:t xml:space="preserve"> which can be received via ACO ingest or manually entered. To maintain backward</w:t>
      </w:r>
      <w:r w:rsidR="00731613" w:rsidRPr="000665B0">
        <w:t xml:space="preserve"> </w:t>
      </w:r>
      <w:r w:rsidR="00666A64" w:rsidRPr="000665B0">
        <w:t>compatibility:</w:t>
      </w:r>
    </w:p>
    <w:p w14:paraId="419F18B9" w14:textId="2E774F6A" w:rsidR="00666A64" w:rsidRPr="000665B0" w:rsidRDefault="00666A64" w:rsidP="006D5A65">
      <w:pPr>
        <w:pStyle w:val="Heading1"/>
      </w:pPr>
      <w:r w:rsidRPr="000665B0">
        <w:t>When an ACMS is distributed, it will contain establish\de</w:t>
      </w:r>
      <w:r w:rsidR="00AC5CA0" w:rsidRPr="000665B0">
        <w:t>-</w:t>
      </w:r>
      <w:r w:rsidRPr="000665B0">
        <w:t xml:space="preserve">establish data as well as effective periods, (if </w:t>
      </w:r>
      <w:r w:rsidR="008879F1" w:rsidRPr="000665B0">
        <w:t>present</w:t>
      </w:r>
      <w:r w:rsidRPr="000665B0">
        <w:t>). The established\de</w:t>
      </w:r>
      <w:r w:rsidR="00AC5CA0" w:rsidRPr="000665B0">
        <w:t>-</w:t>
      </w:r>
      <w:r w:rsidRPr="000665B0">
        <w:t xml:space="preserve">establish data </w:t>
      </w:r>
      <w:r w:rsidR="00F336E2" w:rsidRPr="000665B0">
        <w:t>is</w:t>
      </w:r>
      <w:r w:rsidRPr="000665B0">
        <w:t xml:space="preserve"> equal to the first (in order</w:t>
      </w:r>
      <w:r w:rsidR="00FC22E3" w:rsidRPr="000665B0">
        <w:t xml:space="preserve">; </w:t>
      </w:r>
      <w:r w:rsidRPr="000665B0">
        <w:t>not time) effective period.</w:t>
      </w:r>
      <w:r w:rsidR="009651B0">
        <w:t xml:space="preserve"> </w:t>
      </w:r>
    </w:p>
    <w:p w14:paraId="0F843731" w14:textId="65656CAE" w:rsidR="00666A64" w:rsidRPr="000665B0" w:rsidRDefault="00666A64" w:rsidP="006D5A65">
      <w:pPr>
        <w:pStyle w:val="Heading1"/>
      </w:pPr>
      <w:r w:rsidRPr="000665B0">
        <w:t>When MDS receives an ACMS containing establish\de</w:t>
      </w:r>
      <w:r w:rsidR="00AC5CA0" w:rsidRPr="000665B0">
        <w:t>-</w:t>
      </w:r>
      <w:r w:rsidRPr="000665B0">
        <w:t>establish data but no effective periods, MDS will create an effective period using the establish\de</w:t>
      </w:r>
      <w:r w:rsidR="00AC5CA0" w:rsidRPr="000665B0">
        <w:t>-</w:t>
      </w:r>
      <w:r w:rsidRPr="000665B0">
        <w:t>establish data upon save to the database.</w:t>
      </w:r>
    </w:p>
    <w:p w14:paraId="5E461F4D" w14:textId="497AEE0B" w:rsidR="00666A64" w:rsidRPr="000665B0" w:rsidRDefault="00666A64" w:rsidP="006D5A65">
      <w:pPr>
        <w:pStyle w:val="Heading1"/>
      </w:pPr>
      <w:r w:rsidRPr="000665B0">
        <w:t>When MDS receives an ACMS containing effective periods and establish\de</w:t>
      </w:r>
      <w:r w:rsidR="00AC5CA0" w:rsidRPr="000665B0">
        <w:t>-</w:t>
      </w:r>
      <w:r w:rsidRPr="000665B0">
        <w:t xml:space="preserve">establish data and the </w:t>
      </w:r>
      <w:r w:rsidR="001D7CDF" w:rsidRPr="000665B0">
        <w:t xml:space="preserve">first </w:t>
      </w:r>
      <w:r w:rsidRPr="000665B0">
        <w:t>effective period does not match establish\</w:t>
      </w:r>
      <w:r w:rsidR="00AC5CA0" w:rsidRPr="000665B0">
        <w:br/>
      </w:r>
      <w:r w:rsidRPr="000665B0">
        <w:t>de</w:t>
      </w:r>
      <w:r w:rsidR="00AC5CA0" w:rsidRPr="000665B0">
        <w:t>-</w:t>
      </w:r>
      <w:r w:rsidRPr="000665B0">
        <w:t>establish data, MDS will create a new effective period with the establish\de</w:t>
      </w:r>
      <w:r w:rsidR="00AC5CA0" w:rsidRPr="000665B0">
        <w:t>-</w:t>
      </w:r>
      <w:r w:rsidRPr="000665B0">
        <w:t xml:space="preserve">establish dates. The new effective period </w:t>
      </w:r>
      <w:r w:rsidR="00F336E2" w:rsidRPr="000665B0">
        <w:t>is</w:t>
      </w:r>
      <w:r w:rsidRPr="000665B0">
        <w:t xml:space="preserve"> saved as the first (in order) effective period.</w:t>
      </w:r>
    </w:p>
    <w:p w14:paraId="432BB845" w14:textId="7FED0E00" w:rsidR="00666A64" w:rsidRPr="000665B0" w:rsidRDefault="00666A64" w:rsidP="006D5A65">
      <w:pPr>
        <w:pStyle w:val="Heading1"/>
      </w:pPr>
      <w:r w:rsidRPr="000665B0">
        <w:t>When MDS receives an ACMS containing effective periods but no establish\de</w:t>
      </w:r>
      <w:r w:rsidR="00AC5CA0" w:rsidRPr="000665B0">
        <w:t>-</w:t>
      </w:r>
      <w:r w:rsidRPr="000665B0">
        <w:t>establish data, MDS will populate the establish\de</w:t>
      </w:r>
      <w:r w:rsidR="00AC5CA0" w:rsidRPr="000665B0">
        <w:t>-</w:t>
      </w:r>
      <w:r w:rsidRPr="000665B0">
        <w:t>establish data with the first (in order</w:t>
      </w:r>
      <w:r w:rsidR="008879F1" w:rsidRPr="000665B0">
        <w:t xml:space="preserve">; </w:t>
      </w:r>
      <w:r w:rsidRPr="000665B0">
        <w:t>not time) discrete effective period upon save to the database.</w:t>
      </w:r>
    </w:p>
    <w:p w14:paraId="7F490D19" w14:textId="4E6D25FD" w:rsidR="003D314B" w:rsidRPr="000665B0" w:rsidRDefault="003D314B" w:rsidP="003D314B">
      <w:pPr>
        <w:rPr>
          <w:szCs w:val="24"/>
        </w:rPr>
      </w:pPr>
      <w:r w:rsidRPr="000665B0">
        <w:rPr>
          <w:szCs w:val="24"/>
        </w:rPr>
        <w:t>MDS will allow receipt of an ACMS w</w:t>
      </w:r>
      <w:r w:rsidR="001D7CDF" w:rsidRPr="000665B0">
        <w:rPr>
          <w:szCs w:val="24"/>
        </w:rPr>
        <w:t xml:space="preserve">ith </w:t>
      </w:r>
      <w:r w:rsidRPr="000665B0">
        <w:rPr>
          <w:szCs w:val="24"/>
        </w:rPr>
        <w:t>more than 24 points.</w:t>
      </w:r>
    </w:p>
    <w:p w14:paraId="308876B6" w14:textId="17163E73" w:rsidR="003D314B" w:rsidRDefault="003D314B" w:rsidP="003D314B">
      <w:pPr>
        <w:rPr>
          <w:szCs w:val="24"/>
        </w:rPr>
      </w:pPr>
      <w:r w:rsidRPr="000665B0">
        <w:rPr>
          <w:szCs w:val="24"/>
        </w:rPr>
        <w:t xml:space="preserve">When MDS/TED receives an ACMS with elevation -9999 MSL or AGL, the elevation data will be dropped. </w:t>
      </w:r>
    </w:p>
    <w:p w14:paraId="06A0307F" w14:textId="77777777" w:rsidR="00F401D2" w:rsidRPr="00F401D2" w:rsidRDefault="00F401D2" w:rsidP="00F401D2">
      <w:pPr>
        <w:rPr>
          <w:szCs w:val="24"/>
        </w:rPr>
      </w:pPr>
      <w:r w:rsidRPr="00F401D2">
        <w:rPr>
          <w:szCs w:val="24"/>
        </w:rPr>
        <w:t>There are limitations when sending ACMSs to TTWCS based on the number of vertices:</w:t>
      </w:r>
    </w:p>
    <w:p w14:paraId="4A7134D4" w14:textId="77777777" w:rsidR="00F401D2" w:rsidRPr="00F401D2" w:rsidRDefault="00F401D2" w:rsidP="006D5A65">
      <w:pPr>
        <w:pStyle w:val="Heading1"/>
      </w:pPr>
      <w:r w:rsidRPr="00F401D2">
        <w:t>Operational Areas and Prohibited Areas with more than 24 vertices can be distributed to TTWCS 5.4.0.2 or higher.</w:t>
      </w:r>
    </w:p>
    <w:p w14:paraId="740487CC" w14:textId="77777777" w:rsidR="00F401D2" w:rsidRPr="00F401D2" w:rsidRDefault="00F401D2" w:rsidP="006D5A65">
      <w:pPr>
        <w:pStyle w:val="Heading1"/>
      </w:pPr>
      <w:r w:rsidRPr="00F401D2">
        <w:t>All other ACMSs with more than 24 vertices cannot be distributed to TTWCS.</w:t>
      </w:r>
    </w:p>
    <w:p w14:paraId="6CDA94B1" w14:textId="77777777" w:rsidR="00F401D2" w:rsidRPr="00F401D2" w:rsidRDefault="00F401D2" w:rsidP="00F401D2">
      <w:pPr>
        <w:rPr>
          <w:szCs w:val="24"/>
        </w:rPr>
      </w:pPr>
      <w:r w:rsidRPr="00F401D2">
        <w:rPr>
          <w:szCs w:val="24"/>
        </w:rPr>
        <w:t>Attempting to send an ACMS that doesn’t comply with these limitations will result in a Data Limitation Error with the following message:</w:t>
      </w:r>
      <w:r w:rsidRPr="00F401D2">
        <w:rPr>
          <w:szCs w:val="24"/>
        </w:rPr>
        <w:br/>
        <w:t>“Data Item cannot be distributed to TTWCS 5.6.0 or earlier. Number of points exceeds 24.”</w:t>
      </w:r>
    </w:p>
    <w:p w14:paraId="66CA8C0D" w14:textId="1887469C" w:rsidR="00F401D2" w:rsidRPr="000665B0" w:rsidRDefault="00F401D2" w:rsidP="00F401D2">
      <w:pPr>
        <w:rPr>
          <w:szCs w:val="24"/>
        </w:rPr>
      </w:pPr>
      <w:r w:rsidRPr="00F401D2">
        <w:rPr>
          <w:szCs w:val="24"/>
        </w:rPr>
        <w:lastRenderedPageBreak/>
        <w:t>The error message specifies “TTWCS 5.6.0 or earlier” however the version information in the message is incorrect and will be corrected in a future build.</w:t>
      </w:r>
    </w:p>
    <w:p w14:paraId="293096B2" w14:textId="4D29EE13" w:rsidR="00666A64" w:rsidRPr="000665B0" w:rsidRDefault="00666A64" w:rsidP="005A42A5">
      <w:pPr>
        <w:keepNext/>
        <w:rPr>
          <w:b/>
        </w:rPr>
      </w:pPr>
      <w:r w:rsidRPr="000665B0">
        <w:rPr>
          <w:b/>
        </w:rPr>
        <w:t xml:space="preserve">Note </w:t>
      </w:r>
      <w:r w:rsidR="008879F1" w:rsidRPr="000665B0">
        <w:rPr>
          <w:b/>
        </w:rPr>
        <w:t>3</w:t>
      </w:r>
    </w:p>
    <w:p w14:paraId="4811F212" w14:textId="7B0EC4DB" w:rsidR="00666A64" w:rsidRPr="000665B0" w:rsidRDefault="00666A64" w:rsidP="005A42A5">
      <w:pPr>
        <w:spacing w:line="240" w:lineRule="auto"/>
      </w:pPr>
      <w:r w:rsidRPr="000665B0">
        <w:t>The Target identifier format has changed and needs to be converted. Because of the format change, some data were added and removed.</w:t>
      </w:r>
      <w:r w:rsidR="007D3BE7">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5215"/>
      </w:tblGrid>
      <w:tr w:rsidR="00742EF8" w:rsidRPr="000665B0" w14:paraId="690A0850" w14:textId="77777777" w:rsidTr="00C63237">
        <w:trPr>
          <w:tblHeader/>
          <w:jc w:val="center"/>
        </w:trPr>
        <w:tc>
          <w:tcPr>
            <w:tcW w:w="1800" w:type="dxa"/>
            <w:shd w:val="clear" w:color="auto" w:fill="D9D9D9" w:themeFill="background1" w:themeFillShade="D9"/>
            <w:vAlign w:val="bottom"/>
          </w:tcPr>
          <w:p w14:paraId="73807A59" w14:textId="77777777" w:rsidR="00742EF8" w:rsidRPr="000665B0" w:rsidRDefault="00742EF8" w:rsidP="00666A64">
            <w:pPr>
              <w:spacing w:after="0"/>
              <w:jc w:val="center"/>
              <w:rPr>
                <w:b/>
                <w:szCs w:val="24"/>
              </w:rPr>
            </w:pPr>
            <w:r w:rsidRPr="000665B0">
              <w:rPr>
                <w:b/>
                <w:szCs w:val="24"/>
              </w:rPr>
              <w:t>Target Type</w:t>
            </w:r>
          </w:p>
        </w:tc>
        <w:tc>
          <w:tcPr>
            <w:tcW w:w="5215" w:type="dxa"/>
            <w:shd w:val="clear" w:color="auto" w:fill="D9D9D9" w:themeFill="background1" w:themeFillShade="D9"/>
            <w:vAlign w:val="bottom"/>
          </w:tcPr>
          <w:p w14:paraId="22E2920F" w14:textId="77777777" w:rsidR="00742EF8" w:rsidRPr="000665B0" w:rsidRDefault="00742EF8" w:rsidP="00666A64">
            <w:pPr>
              <w:spacing w:after="0"/>
              <w:jc w:val="center"/>
              <w:rPr>
                <w:b/>
                <w:szCs w:val="24"/>
              </w:rPr>
            </w:pPr>
            <w:r w:rsidRPr="000665B0">
              <w:rPr>
                <w:b/>
                <w:szCs w:val="24"/>
              </w:rPr>
              <w:t>MDS</w:t>
            </w:r>
          </w:p>
        </w:tc>
      </w:tr>
      <w:tr w:rsidR="00742EF8" w:rsidRPr="000665B0" w14:paraId="399EF30D" w14:textId="77777777" w:rsidTr="00C63237">
        <w:trPr>
          <w:jc w:val="center"/>
        </w:trPr>
        <w:tc>
          <w:tcPr>
            <w:tcW w:w="1800" w:type="dxa"/>
          </w:tcPr>
          <w:p w14:paraId="40EDCE1D" w14:textId="77777777" w:rsidR="00742EF8" w:rsidRPr="000665B0" w:rsidRDefault="00742EF8" w:rsidP="00666A64">
            <w:pPr>
              <w:spacing w:after="0"/>
              <w:rPr>
                <w:szCs w:val="24"/>
              </w:rPr>
            </w:pPr>
            <w:r w:rsidRPr="000665B0">
              <w:rPr>
                <w:szCs w:val="24"/>
              </w:rPr>
              <w:t>BE</w:t>
            </w:r>
          </w:p>
        </w:tc>
        <w:tc>
          <w:tcPr>
            <w:tcW w:w="5215" w:type="dxa"/>
          </w:tcPr>
          <w:p w14:paraId="7E08FB55" w14:textId="1378DF1D" w:rsidR="00742EF8" w:rsidRPr="000665B0" w:rsidRDefault="00742EF8" w:rsidP="008879F1">
            <w:pPr>
              <w:spacing w:after="0"/>
              <w:rPr>
                <w:szCs w:val="24"/>
              </w:rPr>
            </w:pPr>
            <w:r w:rsidRPr="000665B0">
              <w:rPr>
                <w:szCs w:val="24"/>
              </w:rPr>
              <w:t>BE:&lt;Installation BE&gt;,&lt;AimpointID&gt;:&lt;Latitude&gt;:&lt;Longitude&gt;:&lt;Elevation&gt;</w:t>
            </w:r>
          </w:p>
        </w:tc>
      </w:tr>
      <w:tr w:rsidR="00742EF8" w:rsidRPr="000665B0" w14:paraId="62C062DE" w14:textId="77777777" w:rsidTr="00C63237">
        <w:trPr>
          <w:jc w:val="center"/>
        </w:trPr>
        <w:tc>
          <w:tcPr>
            <w:tcW w:w="1800" w:type="dxa"/>
          </w:tcPr>
          <w:p w14:paraId="21DF0747" w14:textId="1F1420B2" w:rsidR="00742EF8" w:rsidRPr="000665B0" w:rsidRDefault="007153B1" w:rsidP="007153B1">
            <w:pPr>
              <w:spacing w:after="0"/>
              <w:rPr>
                <w:szCs w:val="24"/>
              </w:rPr>
            </w:pPr>
            <w:r w:rsidRPr="000665B0">
              <w:rPr>
                <w:szCs w:val="24"/>
              </w:rPr>
              <w:t>JDPI</w:t>
            </w:r>
          </w:p>
        </w:tc>
        <w:tc>
          <w:tcPr>
            <w:tcW w:w="5215" w:type="dxa"/>
          </w:tcPr>
          <w:p w14:paraId="0426E233" w14:textId="39837724" w:rsidR="00742EF8" w:rsidRPr="000665B0" w:rsidRDefault="00742EF8" w:rsidP="00666A64">
            <w:pPr>
              <w:spacing w:after="0"/>
              <w:rPr>
                <w:szCs w:val="24"/>
              </w:rPr>
            </w:pPr>
            <w:r w:rsidRPr="000665B0">
              <w:rPr>
                <w:szCs w:val="24"/>
              </w:rPr>
              <w:t>6 chars</w:t>
            </w:r>
            <w:r w:rsidR="007153B1" w:rsidRPr="000665B0">
              <w:rPr>
                <w:szCs w:val="24"/>
              </w:rPr>
              <w:t xml:space="preserve"> (see Note)</w:t>
            </w:r>
          </w:p>
        </w:tc>
      </w:tr>
      <w:tr w:rsidR="00742EF8" w:rsidRPr="000665B0" w14:paraId="059BF4AA" w14:textId="77777777" w:rsidTr="00C63237">
        <w:trPr>
          <w:jc w:val="center"/>
        </w:trPr>
        <w:tc>
          <w:tcPr>
            <w:tcW w:w="1800" w:type="dxa"/>
          </w:tcPr>
          <w:p w14:paraId="099DBC2A" w14:textId="77777777" w:rsidR="00742EF8" w:rsidRPr="000665B0" w:rsidRDefault="00742EF8" w:rsidP="00666A64">
            <w:pPr>
              <w:spacing w:after="0"/>
              <w:rPr>
                <w:szCs w:val="24"/>
              </w:rPr>
            </w:pPr>
            <w:r w:rsidRPr="000665B0">
              <w:rPr>
                <w:szCs w:val="24"/>
              </w:rPr>
              <w:t>UIC</w:t>
            </w:r>
          </w:p>
        </w:tc>
        <w:tc>
          <w:tcPr>
            <w:tcW w:w="5215" w:type="dxa"/>
          </w:tcPr>
          <w:p w14:paraId="03483EC0" w14:textId="565DA8B1" w:rsidR="00742EF8" w:rsidRPr="000665B0" w:rsidRDefault="00742EF8" w:rsidP="00666A64">
            <w:pPr>
              <w:spacing w:after="0"/>
              <w:rPr>
                <w:szCs w:val="24"/>
              </w:rPr>
            </w:pPr>
            <w:r w:rsidRPr="000665B0">
              <w:rPr>
                <w:szCs w:val="24"/>
              </w:rPr>
              <w:t>30 char</w:t>
            </w:r>
            <w:r w:rsidR="007153B1" w:rsidRPr="000665B0">
              <w:rPr>
                <w:szCs w:val="24"/>
              </w:rPr>
              <w:t>s</w:t>
            </w:r>
            <w:r w:rsidRPr="000665B0">
              <w:rPr>
                <w:szCs w:val="24"/>
              </w:rPr>
              <w:t xml:space="preserve"> max.</w:t>
            </w:r>
          </w:p>
        </w:tc>
      </w:tr>
      <w:tr w:rsidR="00742EF8" w:rsidRPr="000665B0" w14:paraId="18D6776E" w14:textId="77777777" w:rsidTr="00C63237">
        <w:trPr>
          <w:jc w:val="center"/>
        </w:trPr>
        <w:tc>
          <w:tcPr>
            <w:tcW w:w="1800" w:type="dxa"/>
          </w:tcPr>
          <w:p w14:paraId="4B05D7FB" w14:textId="77777777" w:rsidR="00742EF8" w:rsidRPr="000665B0" w:rsidRDefault="00742EF8" w:rsidP="00666A64">
            <w:pPr>
              <w:spacing w:after="0"/>
              <w:rPr>
                <w:szCs w:val="24"/>
              </w:rPr>
            </w:pPr>
            <w:r w:rsidRPr="000665B0">
              <w:rPr>
                <w:szCs w:val="24"/>
              </w:rPr>
              <w:t>TTN</w:t>
            </w:r>
          </w:p>
        </w:tc>
        <w:tc>
          <w:tcPr>
            <w:tcW w:w="5215" w:type="dxa"/>
          </w:tcPr>
          <w:p w14:paraId="3A3B87D3" w14:textId="6237193D" w:rsidR="00742EF8" w:rsidRPr="000665B0" w:rsidRDefault="00742EF8" w:rsidP="007153B1">
            <w:pPr>
              <w:spacing w:after="0"/>
              <w:rPr>
                <w:szCs w:val="24"/>
              </w:rPr>
            </w:pPr>
            <w:r w:rsidRPr="000665B0">
              <w:rPr>
                <w:szCs w:val="24"/>
              </w:rPr>
              <w:t>10 char</w:t>
            </w:r>
            <w:r w:rsidR="007153B1" w:rsidRPr="000665B0">
              <w:rPr>
                <w:szCs w:val="24"/>
              </w:rPr>
              <w:t>s</w:t>
            </w:r>
          </w:p>
        </w:tc>
      </w:tr>
      <w:tr w:rsidR="00742EF8" w:rsidRPr="000665B0" w14:paraId="1EF3CC6B" w14:textId="77777777" w:rsidTr="00C63237">
        <w:trPr>
          <w:cantSplit/>
          <w:jc w:val="center"/>
        </w:trPr>
        <w:tc>
          <w:tcPr>
            <w:tcW w:w="1800" w:type="dxa"/>
          </w:tcPr>
          <w:p w14:paraId="76B07F44" w14:textId="77777777" w:rsidR="00742EF8" w:rsidRPr="000665B0" w:rsidRDefault="00742EF8" w:rsidP="00666A64">
            <w:pPr>
              <w:spacing w:after="0"/>
              <w:rPr>
                <w:szCs w:val="24"/>
              </w:rPr>
            </w:pPr>
            <w:r w:rsidRPr="000665B0">
              <w:rPr>
                <w:szCs w:val="24"/>
              </w:rPr>
              <w:t>Format</w:t>
            </w:r>
          </w:p>
        </w:tc>
        <w:tc>
          <w:tcPr>
            <w:tcW w:w="5215" w:type="dxa"/>
          </w:tcPr>
          <w:p w14:paraId="6C0F3868" w14:textId="77777777" w:rsidR="00742EF8" w:rsidRPr="000665B0" w:rsidRDefault="00742EF8" w:rsidP="00F965A4">
            <w:pPr>
              <w:spacing w:after="0"/>
              <w:rPr>
                <w:szCs w:val="24"/>
              </w:rPr>
            </w:pPr>
            <w:r w:rsidRPr="000665B0">
              <w:rPr>
                <w:szCs w:val="24"/>
              </w:rPr>
              <w:t>&lt;Type&gt;:&lt;ID for the specified type&gt;,&lt;Aimpoint ID when a BE target type&gt;:&lt;Latitude&gt;:&lt;Longitude&gt;:&lt;Elevation&gt;</w:t>
            </w:r>
          </w:p>
        </w:tc>
      </w:tr>
      <w:tr w:rsidR="007153B1" w:rsidRPr="000665B0" w14:paraId="3353986A" w14:textId="77777777" w:rsidTr="00854964">
        <w:trPr>
          <w:cantSplit/>
          <w:jc w:val="center"/>
        </w:trPr>
        <w:tc>
          <w:tcPr>
            <w:tcW w:w="7015" w:type="dxa"/>
            <w:gridSpan w:val="2"/>
          </w:tcPr>
          <w:p w14:paraId="08F4D31C" w14:textId="49EC0C48" w:rsidR="007153B1" w:rsidRPr="000665B0" w:rsidRDefault="007153B1" w:rsidP="00F965A4">
            <w:pPr>
              <w:spacing w:after="0"/>
              <w:rPr>
                <w:szCs w:val="24"/>
              </w:rPr>
            </w:pPr>
            <w:r w:rsidRPr="00C261BE">
              <w:rPr>
                <w:b/>
                <w:bCs/>
                <w:szCs w:val="24"/>
              </w:rPr>
              <w:t>Note:</w:t>
            </w:r>
            <w:r w:rsidRPr="000665B0">
              <w:rPr>
                <w:szCs w:val="24"/>
              </w:rPr>
              <w:t xml:space="preserve"> MDS 6.0 </w:t>
            </w:r>
            <w:r w:rsidR="005619C1" w:rsidRPr="000665B0">
              <w:rPr>
                <w:szCs w:val="24"/>
              </w:rPr>
              <w:t>(</w:t>
            </w:r>
            <w:r w:rsidRPr="000665B0">
              <w:rPr>
                <w:szCs w:val="24"/>
              </w:rPr>
              <w:t>and above</w:t>
            </w:r>
            <w:r w:rsidR="005619C1" w:rsidRPr="000665B0">
              <w:rPr>
                <w:szCs w:val="24"/>
              </w:rPr>
              <w:t>)</w:t>
            </w:r>
            <w:r w:rsidRPr="000665B0">
              <w:rPr>
                <w:szCs w:val="24"/>
              </w:rPr>
              <w:t xml:space="preserve"> no longer uses </w:t>
            </w:r>
            <w:r w:rsidR="00DC455B" w:rsidRPr="000665B0">
              <w:rPr>
                <w:szCs w:val="24"/>
              </w:rPr>
              <w:t>DMPI but</w:t>
            </w:r>
            <w:r w:rsidRPr="000665B0">
              <w:rPr>
                <w:szCs w:val="24"/>
              </w:rPr>
              <w:t xml:space="preserve"> uses JDPI operationally. When a </w:t>
            </w:r>
            <w:r w:rsidR="00E75AC3">
              <w:rPr>
                <w:szCs w:val="24"/>
              </w:rPr>
              <w:t>TAWS</w:t>
            </w:r>
            <w:r w:rsidRPr="000665B0">
              <w:rPr>
                <w:szCs w:val="24"/>
              </w:rPr>
              <w:t xml:space="preserve"> is sent from a legacy (pre-6.X) node, the DMPI field is converted by TED and displayed as JDPI, provided that the DMPI is 6 alphanumeric characters. If the DMPI is not 6 characters, the DMPI is not converted and will be rejected by TED. Conversely, when sending 6.0 </w:t>
            </w:r>
            <w:r w:rsidR="005619C1" w:rsidRPr="000665B0">
              <w:rPr>
                <w:szCs w:val="24"/>
              </w:rPr>
              <w:t xml:space="preserve">(and above) </w:t>
            </w:r>
            <w:r w:rsidR="003B4B4F">
              <w:rPr>
                <w:szCs w:val="24"/>
              </w:rPr>
              <w:t>TAWS</w:t>
            </w:r>
            <w:r w:rsidRPr="000665B0">
              <w:rPr>
                <w:szCs w:val="24"/>
              </w:rPr>
              <w:t xml:space="preserve"> to legacy nodes, TED will downgrade the </w:t>
            </w:r>
            <w:r w:rsidR="00E75AC3">
              <w:rPr>
                <w:szCs w:val="24"/>
              </w:rPr>
              <w:t>TAWS</w:t>
            </w:r>
            <w:r w:rsidRPr="000665B0">
              <w:rPr>
                <w:szCs w:val="24"/>
              </w:rPr>
              <w:t xml:space="preserve"> to be readable on legacy systems.</w:t>
            </w:r>
          </w:p>
        </w:tc>
      </w:tr>
    </w:tbl>
    <w:p w14:paraId="09F5E83C" w14:textId="76D02B6C" w:rsidR="003D314B" w:rsidRPr="000665B0" w:rsidRDefault="003D314B" w:rsidP="00BD4482">
      <w:pPr>
        <w:keepNext/>
        <w:spacing w:before="120"/>
        <w:rPr>
          <w:b/>
        </w:rPr>
      </w:pPr>
      <w:r w:rsidRPr="000665B0">
        <w:rPr>
          <w:b/>
        </w:rPr>
        <w:t xml:space="preserve">Note </w:t>
      </w:r>
      <w:r w:rsidR="008879F1" w:rsidRPr="000665B0">
        <w:rPr>
          <w:b/>
        </w:rPr>
        <w:t xml:space="preserve">4 </w:t>
      </w:r>
      <w:r w:rsidRPr="000665B0">
        <w:rPr>
          <w:b/>
        </w:rPr>
        <w:t>(Quer</w:t>
      </w:r>
      <w:r w:rsidR="00AA63F3" w:rsidRPr="000665B0">
        <w:rPr>
          <w:b/>
        </w:rPr>
        <w:t>y</w:t>
      </w:r>
      <w:r w:rsidRPr="000665B0">
        <w:rPr>
          <w:b/>
        </w:rPr>
        <w:t>)</w:t>
      </w:r>
    </w:p>
    <w:p w14:paraId="224BD093" w14:textId="4E5A1BC5" w:rsidR="003D314B" w:rsidRPr="000665B0" w:rsidRDefault="003D314B" w:rsidP="003D314B">
      <w:pPr>
        <w:spacing w:after="0"/>
        <w:rPr>
          <w:szCs w:val="24"/>
        </w:rPr>
      </w:pPr>
      <w:r w:rsidRPr="000665B0">
        <w:rPr>
          <w:szCs w:val="24"/>
        </w:rPr>
        <w:t xml:space="preserve">MDS/TED </w:t>
      </w:r>
      <w:r w:rsidR="00EC4559" w:rsidRPr="000665B0">
        <w:rPr>
          <w:szCs w:val="24"/>
        </w:rPr>
        <w:t>6.0</w:t>
      </w:r>
      <w:r w:rsidRPr="000665B0">
        <w:rPr>
          <w:szCs w:val="24"/>
        </w:rPr>
        <w:t xml:space="preserve"> </w:t>
      </w:r>
      <w:r w:rsidR="005619C1" w:rsidRPr="000665B0">
        <w:rPr>
          <w:szCs w:val="24"/>
        </w:rPr>
        <w:t xml:space="preserve">(and above) </w:t>
      </w:r>
      <w:r w:rsidR="00EC4559" w:rsidRPr="000665B0">
        <w:rPr>
          <w:szCs w:val="24"/>
        </w:rPr>
        <w:t>Q</w:t>
      </w:r>
      <w:r w:rsidRPr="000665B0">
        <w:rPr>
          <w:szCs w:val="24"/>
        </w:rPr>
        <w:t xml:space="preserve">uery </w:t>
      </w:r>
      <w:r w:rsidR="00EC4559" w:rsidRPr="000665B0">
        <w:rPr>
          <w:szCs w:val="24"/>
        </w:rPr>
        <w:t>changes</w:t>
      </w:r>
      <w:r w:rsidR="00ED35C8" w:rsidRPr="000665B0">
        <w:rPr>
          <w:szCs w:val="24"/>
        </w:rPr>
        <w:t xml:space="preserve"> (</w:t>
      </w:r>
      <w:r w:rsidR="005619C1" w:rsidRPr="000665B0">
        <w:rPr>
          <w:szCs w:val="24"/>
        </w:rPr>
        <w:t xml:space="preserve">if </w:t>
      </w:r>
      <w:r w:rsidR="00ED35C8" w:rsidRPr="000665B0">
        <w:rPr>
          <w:szCs w:val="24"/>
        </w:rPr>
        <w:t xml:space="preserve">the </w:t>
      </w:r>
      <w:r w:rsidR="009D73D4" w:rsidRPr="000665B0">
        <w:rPr>
          <w:szCs w:val="24"/>
        </w:rPr>
        <w:t xml:space="preserve">query name or </w:t>
      </w:r>
      <w:r w:rsidR="00ED35C8" w:rsidRPr="000665B0">
        <w:rPr>
          <w:szCs w:val="24"/>
        </w:rPr>
        <w:t>tab name is not listed, there are no changes)</w:t>
      </w:r>
      <w:r w:rsidR="00FC22E3" w:rsidRPr="000665B0">
        <w:rPr>
          <w:szCs w:val="24"/>
        </w:rPr>
        <w:t>:</w:t>
      </w:r>
      <w:r w:rsidRPr="000665B0">
        <w:rPr>
          <w:szCs w:val="24"/>
        </w:rPr>
        <w:t xml:space="preserve"> </w:t>
      </w:r>
    </w:p>
    <w:p w14:paraId="74395A49" w14:textId="1A864043" w:rsidR="00EC4559" w:rsidRPr="000665B0" w:rsidRDefault="00EC4559" w:rsidP="006D5A65">
      <w:pPr>
        <w:pStyle w:val="Heading1"/>
      </w:pPr>
      <w:r w:rsidRPr="000665B0">
        <w:t>Mission Query</w:t>
      </w:r>
    </w:p>
    <w:p w14:paraId="518D6853" w14:textId="3B680240" w:rsidR="003D314B" w:rsidRPr="000665B0" w:rsidRDefault="00EC4559" w:rsidP="006D5A65">
      <w:pPr>
        <w:pStyle w:val="Heading2"/>
        <w:rPr>
          <w:szCs w:val="24"/>
        </w:rPr>
      </w:pPr>
      <w:r w:rsidRPr="000665B0">
        <w:rPr>
          <w:i/>
        </w:rPr>
        <w:t>General Info</w:t>
      </w:r>
      <w:r w:rsidRPr="000665B0">
        <w:t xml:space="preserve"> tab – New: Attack Plan ID, </w:t>
      </w:r>
      <w:r w:rsidR="00ED35C8" w:rsidRPr="000665B0">
        <w:t xml:space="preserve">CMDO ID, CMDO Name, </w:t>
      </w:r>
      <w:r w:rsidRPr="000665B0">
        <w:t>DSMAC Type, Tail # MSN, TAR Type.</w:t>
      </w:r>
    </w:p>
    <w:p w14:paraId="511BDF40" w14:textId="6FFA2C9B" w:rsidR="00EC4559" w:rsidRPr="000665B0" w:rsidRDefault="00EC4559" w:rsidP="006D5A65">
      <w:pPr>
        <w:pStyle w:val="Heading2"/>
        <w:rPr>
          <w:szCs w:val="24"/>
        </w:rPr>
      </w:pPr>
      <w:r w:rsidRPr="000665B0">
        <w:rPr>
          <w:i/>
        </w:rPr>
        <w:t>Target</w:t>
      </w:r>
      <w:r w:rsidRPr="000665B0">
        <w:t xml:space="preserve"> tab – New: Achieved Dive Angle, </w:t>
      </w:r>
      <w:r w:rsidR="00ED35C8" w:rsidRPr="000665B0">
        <w:t xml:space="preserve">BE, </w:t>
      </w:r>
      <w:r w:rsidRPr="000665B0">
        <w:t xml:space="preserve">Pop-Up Altitude, Pop-Up Clearance, </w:t>
      </w:r>
      <w:r w:rsidR="00ED35C8" w:rsidRPr="000665B0">
        <w:br/>
      </w:r>
      <w:r w:rsidRPr="000665B0">
        <w:t xml:space="preserve">Run-In Altitude, </w:t>
      </w:r>
      <w:r w:rsidR="00ED35C8" w:rsidRPr="000665B0">
        <w:t xml:space="preserve">TTN, </w:t>
      </w:r>
      <w:r w:rsidRPr="000665B0">
        <w:t xml:space="preserve">WDCEP 50, WDCEP 90, WDCEP Plane. </w:t>
      </w:r>
      <w:r w:rsidRPr="000665B0">
        <w:br/>
        <w:t xml:space="preserve">Removed: DMPI, Ground Plane CEP, </w:t>
      </w:r>
      <w:r w:rsidR="00ED35C8" w:rsidRPr="000665B0">
        <w:t xml:space="preserve">Install. BE, </w:t>
      </w:r>
      <w:r w:rsidRPr="000665B0">
        <w:t>Normal Plane CEP.</w:t>
      </w:r>
    </w:p>
    <w:p w14:paraId="488090FB" w14:textId="245CBE76" w:rsidR="00ED35C8" w:rsidRPr="000665B0" w:rsidRDefault="00ED35C8" w:rsidP="006D5A65">
      <w:pPr>
        <w:pStyle w:val="Heading2"/>
        <w:rPr>
          <w:szCs w:val="24"/>
        </w:rPr>
      </w:pPr>
      <w:r w:rsidRPr="000665B0">
        <w:rPr>
          <w:i/>
        </w:rPr>
        <w:t>Environmental</w:t>
      </w:r>
      <w:r w:rsidRPr="000665B0">
        <w:t xml:space="preserve"> tab – Overflight Win. Closes renamed to Day Over Flight Win. Closes, Over Flight Win. Opens renamed to Day Over Flight Win. Opens.</w:t>
      </w:r>
    </w:p>
    <w:p w14:paraId="3AABE697" w14:textId="24A77942" w:rsidR="00ED35C8" w:rsidRPr="000665B0" w:rsidRDefault="00ED35C8" w:rsidP="006D5A65">
      <w:pPr>
        <w:pStyle w:val="Heading2"/>
        <w:rPr>
          <w:szCs w:val="24"/>
        </w:rPr>
      </w:pPr>
      <w:r w:rsidRPr="000665B0">
        <w:rPr>
          <w:i/>
        </w:rPr>
        <w:t xml:space="preserve">109E Mission </w:t>
      </w:r>
      <w:r w:rsidRPr="000665B0">
        <w:t xml:space="preserve">tab – Renamed from </w:t>
      </w:r>
      <w:r w:rsidRPr="000665B0">
        <w:rPr>
          <w:i/>
        </w:rPr>
        <w:t>Block IV Mission</w:t>
      </w:r>
      <w:r w:rsidRPr="000665B0">
        <w:t xml:space="preserve"> tab.</w:t>
      </w:r>
      <w:r w:rsidRPr="000665B0">
        <w:br/>
        <w:t xml:space="preserve">New: AGR Statement. </w:t>
      </w:r>
    </w:p>
    <w:p w14:paraId="0F0D35EF" w14:textId="6DDFFF49" w:rsidR="00ED35C8" w:rsidRPr="000665B0" w:rsidRDefault="00ED35C8" w:rsidP="006D5A65">
      <w:pPr>
        <w:pStyle w:val="Heading1"/>
      </w:pPr>
      <w:r w:rsidRPr="000665B0">
        <w:lastRenderedPageBreak/>
        <w:t>Target Query</w:t>
      </w:r>
    </w:p>
    <w:p w14:paraId="455177B3" w14:textId="6799A121" w:rsidR="00ED35C8" w:rsidRPr="000665B0" w:rsidRDefault="00ED35C8" w:rsidP="006D5A65">
      <w:pPr>
        <w:pStyle w:val="Heading2"/>
      </w:pPr>
      <w:r w:rsidRPr="000665B0">
        <w:rPr>
          <w:i/>
        </w:rPr>
        <w:t>General Info</w:t>
      </w:r>
      <w:r w:rsidRPr="000665B0">
        <w:t xml:space="preserve"> tab – New: TAR Type.</w:t>
      </w:r>
      <w:r w:rsidRPr="000665B0">
        <w:br/>
        <w:t>Removed: DMPI.</w:t>
      </w:r>
    </w:p>
    <w:p w14:paraId="6DB7D08E" w14:textId="63BD263A" w:rsidR="00106CCB" w:rsidRPr="000665B0" w:rsidRDefault="00106CCB" w:rsidP="006D5A65">
      <w:pPr>
        <w:pStyle w:val="Heading1"/>
      </w:pPr>
      <w:r w:rsidRPr="000665B0">
        <w:t>Strike Folder Query</w:t>
      </w:r>
    </w:p>
    <w:p w14:paraId="3FC8BE76" w14:textId="594B8DA8" w:rsidR="00106CCB" w:rsidRPr="000665B0" w:rsidRDefault="00106CCB" w:rsidP="006D5A65">
      <w:pPr>
        <w:pStyle w:val="Heading2"/>
      </w:pPr>
      <w:r w:rsidRPr="000665B0">
        <w:rPr>
          <w:i/>
        </w:rPr>
        <w:t>Target</w:t>
      </w:r>
      <w:r w:rsidRPr="000665B0">
        <w:t xml:space="preserve"> tab – Block IV Requirement renamed to 109E Requirement.</w:t>
      </w:r>
      <w:r w:rsidRPr="000665B0">
        <w:br/>
        <w:t>Removed: DMPI.</w:t>
      </w:r>
    </w:p>
    <w:p w14:paraId="593F4190" w14:textId="6276308A" w:rsidR="009D73D4" w:rsidRPr="000665B0" w:rsidRDefault="009D73D4" w:rsidP="006D5A65">
      <w:pPr>
        <w:pStyle w:val="Heading1"/>
      </w:pPr>
      <w:r w:rsidRPr="000665B0">
        <w:t>Strike Option Query</w:t>
      </w:r>
    </w:p>
    <w:p w14:paraId="38E81896" w14:textId="066A19B6" w:rsidR="003D314B" w:rsidRPr="000665B0" w:rsidRDefault="009D73D4" w:rsidP="006D5A65">
      <w:pPr>
        <w:pStyle w:val="Heading2"/>
      </w:pPr>
      <w:r w:rsidRPr="000665B0">
        <w:rPr>
          <w:i/>
        </w:rPr>
        <w:t>Target</w:t>
      </w:r>
      <w:r w:rsidRPr="000665B0">
        <w:t xml:space="preserve"> tab – Removed: DMPI</w:t>
      </w:r>
      <w:r w:rsidR="00720A00" w:rsidRPr="000665B0">
        <w:t>.</w:t>
      </w:r>
    </w:p>
    <w:p w14:paraId="2F691CAE" w14:textId="2F309D3E" w:rsidR="002B0E2F" w:rsidRPr="000665B0" w:rsidRDefault="002B0E2F" w:rsidP="002B0E2F">
      <w:pPr>
        <w:rPr>
          <w:szCs w:val="24"/>
        </w:rPr>
      </w:pPr>
      <w:r w:rsidRPr="000665B0">
        <w:rPr>
          <w:szCs w:val="24"/>
        </w:rPr>
        <w:t xml:space="preserve">Mission Queries that include a query by missile type of MSTM are not recognized by pre-7.0 MDS nodes and pre-V5.6.1 TTWCS nodes. When a DDO containing a MSTM Mission Query is distributed to those nodes, a Data Limitation error is </w:t>
      </w:r>
      <w:r w:rsidR="00DC455B" w:rsidRPr="000665B0">
        <w:rPr>
          <w:szCs w:val="24"/>
        </w:rPr>
        <w:t>displayed,</w:t>
      </w:r>
      <w:r w:rsidRPr="000665B0">
        <w:rPr>
          <w:szCs w:val="24"/>
        </w:rPr>
        <w:t xml:space="preserve"> and the data will not be sent.</w:t>
      </w:r>
    </w:p>
    <w:p w14:paraId="240999AF" w14:textId="17231F96" w:rsidR="00666A64" w:rsidRPr="000665B0" w:rsidRDefault="00666A64" w:rsidP="00E7111D">
      <w:pPr>
        <w:keepNext/>
        <w:rPr>
          <w:b/>
        </w:rPr>
      </w:pPr>
      <w:bookmarkStart w:id="7454" w:name="_Hlk66978816"/>
      <w:r w:rsidRPr="000665B0">
        <w:rPr>
          <w:b/>
        </w:rPr>
        <w:t xml:space="preserve">Note </w:t>
      </w:r>
      <w:r w:rsidR="008879F1" w:rsidRPr="000665B0">
        <w:rPr>
          <w:b/>
        </w:rPr>
        <w:t xml:space="preserve">5 </w:t>
      </w:r>
      <w:r w:rsidRPr="000665B0">
        <w:rPr>
          <w:b/>
        </w:rPr>
        <w:t>(TMPR)</w:t>
      </w:r>
    </w:p>
    <w:p w14:paraId="1F599768" w14:textId="48B9C4C4" w:rsidR="003D314B" w:rsidRPr="000665B0" w:rsidRDefault="003D314B" w:rsidP="006D5A65">
      <w:pPr>
        <w:pStyle w:val="Heading1"/>
      </w:pPr>
      <w:r w:rsidRPr="000665B0">
        <w:t>MDS</w:t>
      </w:r>
      <w:r w:rsidR="00720A00" w:rsidRPr="000665B0">
        <w:t>/</w:t>
      </w:r>
      <w:r w:rsidRPr="000665B0">
        <w:t>TED will drop the Loiter Altitude of a TMPR when the value is -9999.</w:t>
      </w:r>
    </w:p>
    <w:p w14:paraId="19BE79DC" w14:textId="770D1E4D" w:rsidR="00CB4477" w:rsidRPr="000665B0" w:rsidRDefault="00F30E2A" w:rsidP="006D5A65">
      <w:pPr>
        <w:pStyle w:val="Heading1"/>
      </w:pPr>
      <w:r>
        <w:t>TMPRs that specify use of a MSTM</w:t>
      </w:r>
      <w:r w:rsidR="00CB4477" w:rsidRPr="000665B0">
        <w:t xml:space="preserve"> are not recognized by pre-7.0 MDS nodes and pre-V5.6.1 TTWCS nodes. When a DDO containing a MSTM TMPR is distributed to those nodes, a Data Limitation error is </w:t>
      </w:r>
      <w:r w:rsidR="00DC455B" w:rsidRPr="000665B0">
        <w:t>displayed,</w:t>
      </w:r>
      <w:r w:rsidR="00CB4477" w:rsidRPr="000665B0">
        <w:t xml:space="preserve"> and the data will not be sent.</w:t>
      </w:r>
    </w:p>
    <w:p w14:paraId="4B123989" w14:textId="445CABEC" w:rsidR="00666A64" w:rsidRPr="000665B0" w:rsidRDefault="00666A64" w:rsidP="00666A64">
      <w:pPr>
        <w:rPr>
          <w:b/>
        </w:rPr>
      </w:pPr>
      <w:bookmarkStart w:id="7455" w:name="Sending_Retarget_Files"/>
      <w:bookmarkEnd w:id="7454"/>
      <w:bookmarkEnd w:id="7455"/>
      <w:r w:rsidRPr="000665B0">
        <w:rPr>
          <w:b/>
        </w:rPr>
        <w:t xml:space="preserve">Note </w:t>
      </w:r>
      <w:r w:rsidR="008879F1" w:rsidRPr="000665B0">
        <w:rPr>
          <w:b/>
        </w:rPr>
        <w:t xml:space="preserve">6 </w:t>
      </w:r>
      <w:r w:rsidRPr="000665B0">
        <w:rPr>
          <w:b/>
        </w:rPr>
        <w:t>(Strike Folder to/from legacy MDS)</w:t>
      </w:r>
    </w:p>
    <w:p w14:paraId="153624EC" w14:textId="71E83D9D" w:rsidR="00666A64" w:rsidRPr="000665B0" w:rsidRDefault="00666A64" w:rsidP="00737E25">
      <w:pPr>
        <w:rPr>
          <w:szCs w:val="24"/>
        </w:rPr>
      </w:pPr>
      <w:r w:rsidRPr="000665B0">
        <w:rPr>
          <w:szCs w:val="24"/>
        </w:rPr>
        <w:t>When a</w:t>
      </w:r>
      <w:r w:rsidR="00AA63F3" w:rsidRPr="000665B0">
        <w:rPr>
          <w:szCs w:val="24"/>
        </w:rPr>
        <w:t>n</w:t>
      </w:r>
      <w:r w:rsidRPr="000665B0">
        <w:rPr>
          <w:szCs w:val="24"/>
        </w:rPr>
        <w:t xml:space="preserve"> MDS </w:t>
      </w:r>
      <w:r w:rsidR="0019584D" w:rsidRPr="000665B0">
        <w:rPr>
          <w:szCs w:val="24"/>
        </w:rPr>
        <w:t>6.0 (</w:t>
      </w:r>
      <w:r w:rsidR="005619C1" w:rsidRPr="000665B0">
        <w:rPr>
          <w:szCs w:val="24"/>
        </w:rPr>
        <w:t xml:space="preserve">and </w:t>
      </w:r>
      <w:r w:rsidR="0019584D" w:rsidRPr="000665B0">
        <w:rPr>
          <w:szCs w:val="24"/>
        </w:rPr>
        <w:t>above)</w:t>
      </w:r>
      <w:r w:rsidRPr="000665B0">
        <w:rPr>
          <w:szCs w:val="24"/>
        </w:rPr>
        <w:t xml:space="preserve"> sends a Strike Option</w:t>
      </w:r>
      <w:r w:rsidR="0019584D" w:rsidRPr="000665B0">
        <w:rPr>
          <w:szCs w:val="24"/>
        </w:rPr>
        <w:t xml:space="preserve"> that contains ACA missiles</w:t>
      </w:r>
      <w:r w:rsidRPr="000665B0">
        <w:rPr>
          <w:szCs w:val="24"/>
        </w:rPr>
        <w:t xml:space="preserve"> to </w:t>
      </w:r>
      <w:r w:rsidR="0019584D" w:rsidRPr="000665B0">
        <w:rPr>
          <w:szCs w:val="24"/>
        </w:rPr>
        <w:t xml:space="preserve">legacy </w:t>
      </w:r>
      <w:r w:rsidRPr="000665B0">
        <w:rPr>
          <w:szCs w:val="24"/>
        </w:rPr>
        <w:t xml:space="preserve">MDS </w:t>
      </w:r>
      <w:r w:rsidR="0019584D" w:rsidRPr="000665B0">
        <w:rPr>
          <w:szCs w:val="24"/>
        </w:rPr>
        <w:t>5.x, ACA Crypto information is not sent to 5.x (the data is listed as a data limitation)</w:t>
      </w:r>
      <w:r w:rsidRPr="000665B0">
        <w:rPr>
          <w:szCs w:val="24"/>
        </w:rPr>
        <w:t>.</w:t>
      </w:r>
    </w:p>
    <w:p w14:paraId="130C3085" w14:textId="35C8D975" w:rsidR="0007010D" w:rsidRPr="000665B0" w:rsidRDefault="0007010D" w:rsidP="006F1453">
      <w:pPr>
        <w:keepNext/>
        <w:rPr>
          <w:b/>
        </w:rPr>
      </w:pPr>
      <w:r w:rsidRPr="000665B0">
        <w:rPr>
          <w:b/>
        </w:rPr>
        <w:t xml:space="preserve">Note </w:t>
      </w:r>
      <w:r w:rsidR="007A6098" w:rsidRPr="000665B0">
        <w:rPr>
          <w:b/>
        </w:rPr>
        <w:t>7</w:t>
      </w:r>
      <w:r w:rsidR="008879F1" w:rsidRPr="000665B0">
        <w:rPr>
          <w:b/>
        </w:rPr>
        <w:t xml:space="preserve"> </w:t>
      </w:r>
      <w:r w:rsidRPr="000665B0">
        <w:rPr>
          <w:b/>
        </w:rPr>
        <w:t>(</w:t>
      </w:r>
      <w:r w:rsidR="00720A00" w:rsidRPr="000665B0">
        <w:rPr>
          <w:b/>
        </w:rPr>
        <w:t>MDS/TED 5.1</w:t>
      </w:r>
      <w:r w:rsidR="008952FD" w:rsidRPr="000665B0">
        <w:rPr>
          <w:b/>
        </w:rPr>
        <w:t xml:space="preserve"> [and above]</w:t>
      </w:r>
      <w:r w:rsidR="00AA63F3" w:rsidRPr="000665B0">
        <w:rPr>
          <w:b/>
        </w:rPr>
        <w:t xml:space="preserve"> </w:t>
      </w:r>
      <w:r w:rsidRPr="000665B0">
        <w:rPr>
          <w:b/>
        </w:rPr>
        <w:t>New Communication Schema)</w:t>
      </w:r>
    </w:p>
    <w:p w14:paraId="55AE0FEB" w14:textId="48017F8C" w:rsidR="00720A00" w:rsidRPr="000665B0" w:rsidRDefault="00720A00" w:rsidP="00720A00">
      <w:pPr>
        <w:rPr>
          <w:szCs w:val="24"/>
        </w:rPr>
      </w:pPr>
      <w:r w:rsidRPr="000665B0">
        <w:rPr>
          <w:szCs w:val="24"/>
        </w:rPr>
        <w:t xml:space="preserve">MDS/TED 5.1 </w:t>
      </w:r>
      <w:r w:rsidR="00D97B10" w:rsidRPr="000665B0">
        <w:rPr>
          <w:szCs w:val="24"/>
        </w:rPr>
        <w:t xml:space="preserve">implemented </w:t>
      </w:r>
      <w:r w:rsidRPr="000665B0">
        <w:rPr>
          <w:szCs w:val="24"/>
        </w:rPr>
        <w:t>a new communication schema known as “TED” format. For distribution, MDS/TED will automatically determine the correct format to use based on node type. To manually distribute data via media to legacy systems using the DDO Template, se</w:t>
      </w:r>
      <w:r w:rsidR="00036F52" w:rsidRPr="000665B0">
        <w:rPr>
          <w:szCs w:val="24"/>
        </w:rPr>
        <w:t>e</w:t>
      </w:r>
      <w:r w:rsidRPr="000665B0">
        <w:rPr>
          <w:szCs w:val="24"/>
        </w:rPr>
        <w:t xml:space="preserve"> </w:t>
      </w:r>
      <w:hyperlink w:anchor="_Create_Media_DDO" w:history="1">
        <w:r w:rsidRPr="000665B0">
          <w:rPr>
            <w:rStyle w:val="Hyperlink"/>
            <w:szCs w:val="24"/>
          </w:rPr>
          <w:t xml:space="preserve">Section </w:t>
        </w:r>
        <w:r w:rsidR="004231CC">
          <w:rPr>
            <w:rStyle w:val="Hyperlink"/>
            <w:szCs w:val="24"/>
          </w:rPr>
          <w:t>5.16</w:t>
        </w:r>
        <w:r w:rsidRPr="000665B0">
          <w:rPr>
            <w:rStyle w:val="Hyperlink"/>
            <w:szCs w:val="24"/>
          </w:rPr>
          <w:t>.</w:t>
        </w:r>
        <w:r w:rsidR="00303BEE">
          <w:rPr>
            <w:rStyle w:val="Hyperlink"/>
            <w:szCs w:val="24"/>
          </w:rPr>
          <w:t>3</w:t>
        </w:r>
        <w:r w:rsidRPr="000665B0">
          <w:rPr>
            <w:rStyle w:val="Hyperlink"/>
            <w:szCs w:val="24"/>
          </w:rPr>
          <w:t>.2</w:t>
        </w:r>
      </w:hyperlink>
      <w:r w:rsidRPr="000665B0">
        <w:rPr>
          <w:szCs w:val="24"/>
        </w:rPr>
        <w:t>.</w:t>
      </w:r>
    </w:p>
    <w:p w14:paraId="11A58DA7" w14:textId="7FA01340" w:rsidR="00720A00" w:rsidRPr="000665B0" w:rsidRDefault="00720A00" w:rsidP="00C63237">
      <w:pPr>
        <w:keepNext/>
        <w:rPr>
          <w:b/>
          <w:szCs w:val="24"/>
        </w:rPr>
      </w:pPr>
      <w:r w:rsidRPr="000665B0">
        <w:rPr>
          <w:b/>
          <w:szCs w:val="24"/>
        </w:rPr>
        <w:t xml:space="preserve">Note </w:t>
      </w:r>
      <w:r w:rsidR="007A6098" w:rsidRPr="000665B0">
        <w:rPr>
          <w:b/>
          <w:szCs w:val="24"/>
        </w:rPr>
        <w:t>8</w:t>
      </w:r>
      <w:r w:rsidR="008879F1" w:rsidRPr="000665B0">
        <w:rPr>
          <w:b/>
          <w:szCs w:val="24"/>
        </w:rPr>
        <w:t xml:space="preserve"> </w:t>
      </w:r>
      <w:r w:rsidRPr="000665B0">
        <w:rPr>
          <w:b/>
          <w:szCs w:val="24"/>
        </w:rPr>
        <w:t>(</w:t>
      </w:r>
      <w:r w:rsidR="00E75AC3">
        <w:rPr>
          <w:b/>
          <w:szCs w:val="24"/>
        </w:rPr>
        <w:t>TAWS</w:t>
      </w:r>
      <w:r w:rsidRPr="000665B0">
        <w:rPr>
          <w:b/>
          <w:szCs w:val="24"/>
        </w:rPr>
        <w:t>)</w:t>
      </w:r>
    </w:p>
    <w:p w14:paraId="17380CFF" w14:textId="59651D10" w:rsidR="00720A00" w:rsidRPr="000665B0" w:rsidRDefault="00720A00" w:rsidP="00720A00">
      <w:pPr>
        <w:rPr>
          <w:szCs w:val="24"/>
        </w:rPr>
      </w:pPr>
      <w:r w:rsidRPr="000665B0">
        <w:rPr>
          <w:szCs w:val="24"/>
        </w:rPr>
        <w:t xml:space="preserve">MDS/TED distributes </w:t>
      </w:r>
      <w:r w:rsidR="00E75AC3">
        <w:rPr>
          <w:szCs w:val="24"/>
        </w:rPr>
        <w:t>TAWS</w:t>
      </w:r>
      <w:r w:rsidRPr="000665B0">
        <w:rPr>
          <w:szCs w:val="24"/>
        </w:rPr>
        <w:t xml:space="preserve"> Attachments with the </w:t>
      </w:r>
      <w:r w:rsidR="00E75AC3">
        <w:rPr>
          <w:szCs w:val="24"/>
        </w:rPr>
        <w:t>TAWS</w:t>
      </w:r>
      <w:r w:rsidRPr="000665B0">
        <w:rPr>
          <w:szCs w:val="24"/>
        </w:rPr>
        <w:t xml:space="preserve">. </w:t>
      </w:r>
    </w:p>
    <w:p w14:paraId="5C57577F" w14:textId="248AC28E" w:rsidR="00720A00" w:rsidRPr="000665B0" w:rsidRDefault="00720A00" w:rsidP="00720A00">
      <w:pPr>
        <w:rPr>
          <w:b/>
          <w:szCs w:val="24"/>
        </w:rPr>
      </w:pPr>
      <w:r w:rsidRPr="000665B0">
        <w:rPr>
          <w:b/>
          <w:szCs w:val="24"/>
        </w:rPr>
        <w:t xml:space="preserve">Note </w:t>
      </w:r>
      <w:r w:rsidR="007A6098" w:rsidRPr="000665B0">
        <w:rPr>
          <w:b/>
          <w:szCs w:val="24"/>
        </w:rPr>
        <w:t>9</w:t>
      </w:r>
      <w:r w:rsidR="008879F1" w:rsidRPr="000665B0">
        <w:rPr>
          <w:b/>
          <w:szCs w:val="24"/>
        </w:rPr>
        <w:t xml:space="preserve"> </w:t>
      </w:r>
      <w:r w:rsidRPr="000665B0">
        <w:rPr>
          <w:b/>
          <w:szCs w:val="24"/>
        </w:rPr>
        <w:t>(TEF)</w:t>
      </w:r>
    </w:p>
    <w:p w14:paraId="1590F948" w14:textId="340267E8" w:rsidR="00720A00" w:rsidRPr="000665B0" w:rsidRDefault="00720A00" w:rsidP="006D5A65">
      <w:pPr>
        <w:pStyle w:val="Heading1"/>
        <w:rPr>
          <w:rFonts w:ascii="Calibri" w:eastAsia="Calibri" w:hAnsi="Calibri"/>
          <w:sz w:val="22"/>
          <w:szCs w:val="24"/>
        </w:rPr>
      </w:pPr>
      <w:r w:rsidRPr="000665B0">
        <w:rPr>
          <w:rFonts w:eastAsia="Calibri"/>
          <w:szCs w:val="24"/>
        </w:rPr>
        <w:t>TPS TEFs are not backward</w:t>
      </w:r>
      <w:r w:rsidR="00731613" w:rsidRPr="000665B0">
        <w:rPr>
          <w:rFonts w:eastAsia="Calibri"/>
          <w:szCs w:val="24"/>
        </w:rPr>
        <w:t xml:space="preserve"> </w:t>
      </w:r>
      <w:r w:rsidRPr="000665B0">
        <w:rPr>
          <w:rFonts w:eastAsia="Calibri"/>
          <w:szCs w:val="24"/>
        </w:rPr>
        <w:t xml:space="preserve">compatible. </w:t>
      </w:r>
      <w:r w:rsidR="00D31E78" w:rsidRPr="000665B0">
        <w:rPr>
          <w:snapToGrid w:val="0"/>
        </w:rPr>
        <w:t xml:space="preserve">The </w:t>
      </w:r>
      <w:r w:rsidR="00D31E78" w:rsidRPr="000665B0">
        <w:t xml:space="preserve">TEF format typically changes to match each major TMPC version. When sending TEFs to legacy TMPC systems, distribution automatically sends the correct TEF in the proper legacy </w:t>
      </w:r>
      <w:r w:rsidR="00D31E78" w:rsidRPr="000665B0">
        <w:lastRenderedPageBreak/>
        <w:t xml:space="preserve">format that is readable by the legacy system. </w:t>
      </w:r>
      <w:r w:rsidRPr="000665B0">
        <w:rPr>
          <w:rFonts w:eastAsia="Calibri"/>
          <w:szCs w:val="24"/>
        </w:rPr>
        <w:t>To distribute a current version mission</w:t>
      </w:r>
      <w:r w:rsidR="00C0095D" w:rsidRPr="000665B0">
        <w:rPr>
          <w:rFonts w:eastAsia="Calibri"/>
          <w:szCs w:val="24"/>
        </w:rPr>
        <w:t>/</w:t>
      </w:r>
      <w:r w:rsidRPr="000665B0">
        <w:rPr>
          <w:rFonts w:eastAsia="Calibri"/>
          <w:szCs w:val="24"/>
        </w:rPr>
        <w:t xml:space="preserve">TEF to an older </w:t>
      </w:r>
      <w:r w:rsidR="003D6207" w:rsidRPr="000665B0">
        <w:t>TMPC</w:t>
      </w:r>
      <w:r w:rsidR="003D6207" w:rsidRPr="000665B0" w:rsidDel="003D6207">
        <w:rPr>
          <w:rFonts w:eastAsia="Calibri"/>
          <w:szCs w:val="24"/>
        </w:rPr>
        <w:t xml:space="preserve"> </w:t>
      </w:r>
      <w:r w:rsidRPr="000665B0">
        <w:rPr>
          <w:rFonts w:eastAsia="Calibri"/>
          <w:szCs w:val="24"/>
        </w:rPr>
        <w:t>system:</w:t>
      </w:r>
    </w:p>
    <w:p w14:paraId="0285C83B" w14:textId="63E17CC8" w:rsidR="00D31E78" w:rsidRPr="000665B0" w:rsidRDefault="00720A00" w:rsidP="006D5A65">
      <w:pPr>
        <w:pStyle w:val="Heading1"/>
      </w:pPr>
      <w:r w:rsidRPr="000665B0">
        <w:t xml:space="preserve">Using </w:t>
      </w:r>
      <w:r w:rsidR="00D31E78" w:rsidRPr="000665B0">
        <w:t xml:space="preserve">an MDS with a </w:t>
      </w:r>
      <w:r w:rsidRPr="000665B0">
        <w:t>TPS</w:t>
      </w:r>
      <w:r w:rsidR="00D31E78" w:rsidRPr="000665B0">
        <w:t>,</w:t>
      </w:r>
      <w:r w:rsidRPr="000665B0">
        <w:t xml:space="preserve"> </w:t>
      </w:r>
      <w:r w:rsidR="00D31E78" w:rsidRPr="000665B0">
        <w:t>create a DDO template addressed to one or more legacy systems</w:t>
      </w:r>
      <w:r w:rsidR="001E6D10" w:rsidRPr="000665B0">
        <w:t xml:space="preserve"> and select the desired data files</w:t>
      </w:r>
      <w:r w:rsidR="00D31E78" w:rsidRPr="000665B0">
        <w:t xml:space="preserve"> (see </w:t>
      </w:r>
      <w:hyperlink w:anchor="_5.21.2.1__Create" w:history="1">
        <w:r w:rsidR="00D31E78" w:rsidRPr="000665B0">
          <w:rPr>
            <w:rStyle w:val="Hyperlink"/>
          </w:rPr>
          <w:t xml:space="preserve">Section </w:t>
        </w:r>
        <w:r w:rsidR="004231CC">
          <w:rPr>
            <w:rStyle w:val="Hyperlink"/>
          </w:rPr>
          <w:t>5.16</w:t>
        </w:r>
        <w:r w:rsidR="00D31E78" w:rsidRPr="000665B0">
          <w:rPr>
            <w:rStyle w:val="Hyperlink"/>
          </w:rPr>
          <w:t>.</w:t>
        </w:r>
        <w:r w:rsidR="00303BEE">
          <w:rPr>
            <w:rStyle w:val="Hyperlink"/>
          </w:rPr>
          <w:t>3</w:t>
        </w:r>
        <w:r w:rsidR="00D31E78" w:rsidRPr="000665B0">
          <w:rPr>
            <w:rStyle w:val="Hyperlink"/>
          </w:rPr>
          <w:t>.1</w:t>
        </w:r>
      </w:hyperlink>
      <w:r w:rsidR="00D31E78" w:rsidRPr="000665B0">
        <w:t>).</w:t>
      </w:r>
    </w:p>
    <w:p w14:paraId="1E1C7BB4" w14:textId="05584F7E" w:rsidR="00D31E78" w:rsidRPr="000665B0" w:rsidRDefault="001E6D10" w:rsidP="006D5A65">
      <w:pPr>
        <w:pStyle w:val="Heading1"/>
      </w:pPr>
      <w:r w:rsidRPr="000665B0">
        <w:t xml:space="preserve">Send the DDO (see </w:t>
      </w:r>
      <w:hyperlink w:anchor="_5.21.3__Send" w:history="1">
        <w:r w:rsidRPr="000665B0">
          <w:rPr>
            <w:rStyle w:val="Hyperlink"/>
          </w:rPr>
          <w:t xml:space="preserve">Section </w:t>
        </w:r>
        <w:r w:rsidR="004231CC">
          <w:rPr>
            <w:rStyle w:val="Hyperlink"/>
          </w:rPr>
          <w:t>5.16</w:t>
        </w:r>
        <w:r w:rsidR="00475F4F">
          <w:rPr>
            <w:rStyle w:val="Hyperlink"/>
          </w:rPr>
          <w:t>.4</w:t>
        </w:r>
      </w:hyperlink>
      <w:r w:rsidRPr="000665B0">
        <w:t>).</w:t>
      </w:r>
    </w:p>
    <w:p w14:paraId="1626C627" w14:textId="35CB59BE" w:rsidR="001E6D10" w:rsidRPr="000665B0" w:rsidRDefault="00D31E78" w:rsidP="006D5A65">
      <w:pPr>
        <w:pStyle w:val="Heading1"/>
      </w:pPr>
      <w:r w:rsidRPr="000665B0">
        <w:t xml:space="preserve">When a DDO is sent, if distribution determines a specific TEF </w:t>
      </w:r>
      <w:r w:rsidR="00E824AD" w:rsidRPr="000665B0">
        <w:t>format</w:t>
      </w:r>
      <w:r w:rsidRPr="000665B0">
        <w:t xml:space="preserve"> is missing, MDS will task TPS to generate the missing TEF.</w:t>
      </w:r>
    </w:p>
    <w:p w14:paraId="53FE7DC4" w14:textId="1C54C7DB" w:rsidR="00D31E78" w:rsidRPr="000665B0" w:rsidRDefault="00D31E78" w:rsidP="006D5A65">
      <w:pPr>
        <w:pStyle w:val="Heading1"/>
      </w:pPr>
      <w:r w:rsidRPr="000665B0">
        <w:t xml:space="preserve">The </w:t>
      </w:r>
      <w:r w:rsidRPr="000665B0">
        <w:rPr>
          <w:i/>
        </w:rPr>
        <w:t>Process DDO Template</w:t>
      </w:r>
      <w:r w:rsidRPr="000665B0">
        <w:t xml:space="preserve"> window’s Status column initially shows Formatting </w:t>
      </w:r>
      <w:r w:rsidRPr="000665B0">
        <w:rPr>
          <w:bCs/>
        </w:rPr>
        <w:t xml:space="preserve">(unless there is a missing TEF </w:t>
      </w:r>
      <w:r w:rsidR="00E824AD" w:rsidRPr="000665B0">
        <w:rPr>
          <w:bCs/>
        </w:rPr>
        <w:t>format</w:t>
      </w:r>
      <w:r w:rsidRPr="000665B0">
        <w:rPr>
          <w:bCs/>
        </w:rPr>
        <w:t>; see below).</w:t>
      </w:r>
      <w:r w:rsidRPr="000665B0">
        <w:t xml:space="preserve"> When formatting is complete, it displays Ready to Send. </w:t>
      </w:r>
    </w:p>
    <w:p w14:paraId="2F2DC1ED" w14:textId="77777777" w:rsidR="00E909BF" w:rsidRDefault="00D31E78" w:rsidP="006D5A65">
      <w:pPr>
        <w:pStyle w:val="Heading2"/>
      </w:pPr>
      <w:r w:rsidRPr="000665B0">
        <w:t xml:space="preserve">The </w:t>
      </w:r>
      <w:r w:rsidRPr="000665B0">
        <w:rPr>
          <w:i/>
        </w:rPr>
        <w:t>Process DDO Template</w:t>
      </w:r>
      <w:r w:rsidRPr="000665B0">
        <w:t xml:space="preserve"> window’s Status column may initially show </w:t>
      </w:r>
      <w:r w:rsidRPr="000665B0">
        <w:rPr>
          <w:bCs/>
        </w:rPr>
        <w:t>Generating TEF</w:t>
      </w:r>
      <w:r w:rsidRPr="000665B0">
        <w:t xml:space="preserve">. This indicates that a requested TEF </w:t>
      </w:r>
      <w:r w:rsidR="00E824AD" w:rsidRPr="000665B0">
        <w:t>format</w:t>
      </w:r>
      <w:r w:rsidRPr="000665B0">
        <w:t xml:space="preserve"> is missing from the Mission Database, and MDS has tasked TPS to generate the missing TEF. If desired, display the DDO textually to view detailed information about the status of the TEF generation. Once all required TEFs are received, the DDO Status transitions to Ready to Send.</w:t>
      </w:r>
    </w:p>
    <w:p w14:paraId="652BABEE" w14:textId="79B5D3F8" w:rsidR="00D31E78" w:rsidRPr="00E909BF" w:rsidRDefault="00E909BF" w:rsidP="006D5A65">
      <w:pPr>
        <w:pStyle w:val="Heading2"/>
      </w:pPr>
      <w:r>
        <w:t xml:space="preserve">TMPC 7.0.3 is compatible with TPS 7.0.1 which cannot generate 109M TEFs. The </w:t>
      </w:r>
      <w:r>
        <w:rPr>
          <w:bCs/>
        </w:rPr>
        <w:t>Status</w:t>
      </w:r>
      <w:r>
        <w:t xml:space="preserve"> column will not show </w:t>
      </w:r>
      <w:r>
        <w:rPr>
          <w:bCs/>
        </w:rPr>
        <w:t>Generating TEFs</w:t>
      </w:r>
      <w:r>
        <w:t xml:space="preserve"> for 109M missions and will display </w:t>
      </w:r>
      <w:r>
        <w:rPr>
          <w:bCs/>
        </w:rPr>
        <w:t>Ready to Send</w:t>
      </w:r>
      <w:r>
        <w:t xml:space="preserve"> once the system is ready to send the data.</w:t>
      </w:r>
    </w:p>
    <w:p w14:paraId="1E8E4BCB" w14:textId="5056DA66" w:rsidR="00D31E78" w:rsidRPr="001F4B14" w:rsidRDefault="001E6D10" w:rsidP="006D5A65">
      <w:pPr>
        <w:pStyle w:val="Heading1"/>
      </w:pPr>
      <w:r w:rsidRPr="000665B0">
        <w:t>Click the Approve button to send the DDO</w:t>
      </w:r>
      <w:r w:rsidRPr="000665B0">
        <w:rPr>
          <w:snapToGrid w:val="0"/>
        </w:rPr>
        <w:t>.</w:t>
      </w:r>
    </w:p>
    <w:p w14:paraId="69E89277" w14:textId="4C83A857" w:rsidR="00C56F8F" w:rsidRPr="00C56F8F" w:rsidRDefault="00C56F8F" w:rsidP="006D5A65">
      <w:pPr>
        <w:pStyle w:val="Heading1"/>
      </w:pPr>
      <w:r>
        <w:t>Beginning with TMPC 7.0.2, legacy TEF support and creation capability within the Tomahawk Planning System (TPS) and Embedded TPS (eTPS) applications for TMPC 7.0.1 and TMPC 7.0.0 TPS Missions is no longer available. If local TEF support is required by the eTPS for Strike Execution Retargeting of a Mission on a TMPC 7.0.1 or TMPC 7.0.0 System, the User should ensure the Mission being utilized was created on a TMPC TPS/eTPS system prior to Version 7.0.2 and contains the applicable TEF.</w:t>
      </w:r>
    </w:p>
    <w:p w14:paraId="7C73D013" w14:textId="40F34E39" w:rsidR="00C56F8F" w:rsidRPr="000665B0" w:rsidRDefault="00AA3254" w:rsidP="00AA3254">
      <w:pPr>
        <w:pStyle w:val="Number0205"/>
        <w:ind w:left="0" w:firstLine="0"/>
        <w:jc w:val="center"/>
      </w:pPr>
      <w:r>
        <w:rPr>
          <w:noProof/>
        </w:rPr>
        <w:drawing>
          <wp:inline distT="0" distB="0" distL="0" distR="0" wp14:anchorId="510CC051" wp14:editId="713AB492">
            <wp:extent cx="5486400" cy="374904"/>
            <wp:effectExtent l="0" t="0" r="0" b="6350"/>
            <wp:docPr id="1663449886" name="Picture 166344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5486400" cy="374904"/>
                    </a:xfrm>
                    <a:prstGeom prst="rect">
                      <a:avLst/>
                    </a:prstGeom>
                    <a:noFill/>
                    <a:ln>
                      <a:noFill/>
                    </a:ln>
                  </pic:spPr>
                </pic:pic>
              </a:graphicData>
            </a:graphic>
          </wp:inline>
        </w:drawing>
      </w:r>
    </w:p>
    <w:p w14:paraId="03B700D7" w14:textId="5D3826AA" w:rsidR="00720A00" w:rsidRPr="000665B0" w:rsidRDefault="00720A00" w:rsidP="00BD4482">
      <w:pPr>
        <w:keepNext/>
        <w:rPr>
          <w:rFonts w:eastAsia="Calibri"/>
          <w:b/>
          <w:szCs w:val="24"/>
        </w:rPr>
      </w:pPr>
      <w:r w:rsidRPr="000665B0">
        <w:rPr>
          <w:rFonts w:eastAsia="Calibri"/>
          <w:b/>
          <w:szCs w:val="24"/>
        </w:rPr>
        <w:t xml:space="preserve">Note </w:t>
      </w:r>
      <w:r w:rsidR="008879F1" w:rsidRPr="000665B0">
        <w:rPr>
          <w:rFonts w:eastAsia="Calibri"/>
          <w:b/>
          <w:szCs w:val="24"/>
        </w:rPr>
        <w:t>1</w:t>
      </w:r>
      <w:r w:rsidR="007A6098" w:rsidRPr="000665B0">
        <w:rPr>
          <w:rFonts w:eastAsia="Calibri"/>
          <w:b/>
          <w:szCs w:val="24"/>
        </w:rPr>
        <w:t>0</w:t>
      </w:r>
      <w:r w:rsidR="008879F1" w:rsidRPr="000665B0">
        <w:rPr>
          <w:rFonts w:eastAsia="Calibri"/>
          <w:b/>
          <w:szCs w:val="24"/>
        </w:rPr>
        <w:t xml:space="preserve"> </w:t>
      </w:r>
      <w:r w:rsidRPr="000665B0">
        <w:rPr>
          <w:rFonts w:eastAsia="Calibri"/>
          <w:b/>
          <w:szCs w:val="24"/>
        </w:rPr>
        <w:t>(Distribution Lists)</w:t>
      </w:r>
    </w:p>
    <w:p w14:paraId="1EA7E5F7" w14:textId="4D505473" w:rsidR="00720A00" w:rsidRPr="000665B0" w:rsidRDefault="00720A00" w:rsidP="00720A00">
      <w:pPr>
        <w:rPr>
          <w:szCs w:val="24"/>
        </w:rPr>
      </w:pPr>
      <w:r w:rsidRPr="000665B0">
        <w:rPr>
          <w:rFonts w:eastAsia="Calibri"/>
          <w:szCs w:val="24"/>
        </w:rPr>
        <w:t xml:space="preserve">MDS/TED supports receipt and processing of Distribution </w:t>
      </w:r>
      <w:r w:rsidR="00DC455B" w:rsidRPr="000665B0">
        <w:rPr>
          <w:rFonts w:eastAsia="Calibri"/>
          <w:szCs w:val="24"/>
        </w:rPr>
        <w:t>Lists but</w:t>
      </w:r>
      <w:r w:rsidRPr="000665B0">
        <w:rPr>
          <w:rFonts w:eastAsia="Calibri"/>
          <w:szCs w:val="24"/>
        </w:rPr>
        <w:t xml:space="preserve"> </w:t>
      </w:r>
      <w:r w:rsidR="008879F1" w:rsidRPr="000665B0">
        <w:rPr>
          <w:rFonts w:eastAsia="Calibri"/>
          <w:szCs w:val="24"/>
        </w:rPr>
        <w:t>does not</w:t>
      </w:r>
      <w:r w:rsidRPr="000665B0">
        <w:rPr>
          <w:rFonts w:eastAsia="Calibri"/>
          <w:szCs w:val="24"/>
        </w:rPr>
        <w:t xml:space="preserve"> support sending of the Distribution List</w:t>
      </w:r>
      <w:r w:rsidR="00D10A35" w:rsidRPr="000665B0">
        <w:rPr>
          <w:rFonts w:eastAsia="Calibri"/>
          <w:szCs w:val="24"/>
        </w:rPr>
        <w:t>s</w:t>
      </w:r>
      <w:r w:rsidRPr="000665B0">
        <w:rPr>
          <w:rFonts w:eastAsia="Calibri"/>
          <w:szCs w:val="24"/>
        </w:rPr>
        <w:t xml:space="preserve"> (except when sent as a Generic File).</w:t>
      </w:r>
    </w:p>
    <w:p w14:paraId="2A2DEE80" w14:textId="239D9964" w:rsidR="00720A00" w:rsidRPr="000665B0" w:rsidRDefault="00720A00" w:rsidP="00862534">
      <w:pPr>
        <w:keepNext/>
        <w:rPr>
          <w:rFonts w:eastAsia="Calibri"/>
          <w:b/>
          <w:szCs w:val="24"/>
        </w:rPr>
      </w:pPr>
      <w:r w:rsidRPr="000665B0">
        <w:rPr>
          <w:rFonts w:eastAsia="Calibri"/>
          <w:b/>
          <w:szCs w:val="24"/>
        </w:rPr>
        <w:t xml:space="preserve">Note </w:t>
      </w:r>
      <w:r w:rsidR="008879F1" w:rsidRPr="000665B0">
        <w:rPr>
          <w:rFonts w:eastAsia="Calibri"/>
          <w:b/>
          <w:szCs w:val="24"/>
        </w:rPr>
        <w:t>1</w:t>
      </w:r>
      <w:r w:rsidR="007A6098" w:rsidRPr="000665B0">
        <w:rPr>
          <w:rFonts w:eastAsia="Calibri"/>
          <w:b/>
          <w:szCs w:val="24"/>
        </w:rPr>
        <w:t>1</w:t>
      </w:r>
      <w:r w:rsidR="008879F1" w:rsidRPr="000665B0">
        <w:rPr>
          <w:rFonts w:eastAsia="Calibri"/>
          <w:b/>
          <w:szCs w:val="24"/>
        </w:rPr>
        <w:t xml:space="preserve"> </w:t>
      </w:r>
      <w:r w:rsidRPr="000665B0">
        <w:rPr>
          <w:rFonts w:eastAsia="Calibri"/>
          <w:b/>
          <w:szCs w:val="24"/>
        </w:rPr>
        <w:t>(Overlay)</w:t>
      </w:r>
    </w:p>
    <w:p w14:paraId="3F238010" w14:textId="7012573C" w:rsidR="00720A00" w:rsidRPr="000665B0" w:rsidRDefault="00720A00" w:rsidP="00720A00">
      <w:pPr>
        <w:rPr>
          <w:szCs w:val="24"/>
        </w:rPr>
      </w:pPr>
      <w:r w:rsidRPr="000665B0">
        <w:rPr>
          <w:szCs w:val="24"/>
        </w:rPr>
        <w:t xml:space="preserve">When MDS sends a locally created non-read only Overlay with a Rectangle segment, the Rectangle is converted to a polygon. The polygon </w:t>
      </w:r>
      <w:r w:rsidR="003C106D" w:rsidRPr="000665B0">
        <w:rPr>
          <w:szCs w:val="24"/>
        </w:rPr>
        <w:t>is</w:t>
      </w:r>
      <w:r w:rsidRPr="000665B0">
        <w:rPr>
          <w:szCs w:val="24"/>
        </w:rPr>
        <w:t xml:space="preserve"> drawn using Great Circle vs. Rhumb lines. </w:t>
      </w:r>
    </w:p>
    <w:p w14:paraId="4FF4BE4D" w14:textId="0AA984B2" w:rsidR="00720A00" w:rsidRPr="000665B0" w:rsidRDefault="00720A00" w:rsidP="00720A00">
      <w:pPr>
        <w:rPr>
          <w:szCs w:val="24"/>
        </w:rPr>
      </w:pPr>
      <w:r w:rsidRPr="000665B0">
        <w:rPr>
          <w:szCs w:val="24"/>
        </w:rPr>
        <w:lastRenderedPageBreak/>
        <w:t xml:space="preserve">When MDS sends a locally created non-read only Overlay with a Grid segment, the Grid is converted to a series of lines. The lines </w:t>
      </w:r>
      <w:r w:rsidR="003C106D" w:rsidRPr="000665B0">
        <w:rPr>
          <w:szCs w:val="24"/>
        </w:rPr>
        <w:t>are</w:t>
      </w:r>
      <w:r w:rsidRPr="000665B0">
        <w:rPr>
          <w:szCs w:val="24"/>
        </w:rPr>
        <w:t xml:space="preserve"> drawn using Great Circle vs. Rhumb lines.</w:t>
      </w:r>
    </w:p>
    <w:p w14:paraId="7B357DAA" w14:textId="55689581" w:rsidR="00720A00" w:rsidRPr="000665B0" w:rsidRDefault="00720A00" w:rsidP="00720A00">
      <w:pPr>
        <w:rPr>
          <w:rFonts w:eastAsia="Calibri"/>
          <w:b/>
          <w:szCs w:val="24"/>
        </w:rPr>
      </w:pPr>
      <w:r w:rsidRPr="000665B0">
        <w:rPr>
          <w:rFonts w:eastAsia="Calibri"/>
          <w:b/>
          <w:szCs w:val="24"/>
        </w:rPr>
        <w:t xml:space="preserve">Note </w:t>
      </w:r>
      <w:r w:rsidR="008879F1" w:rsidRPr="000665B0">
        <w:rPr>
          <w:rFonts w:eastAsia="Calibri"/>
          <w:b/>
          <w:szCs w:val="24"/>
        </w:rPr>
        <w:t>1</w:t>
      </w:r>
      <w:r w:rsidR="007A6098" w:rsidRPr="000665B0">
        <w:rPr>
          <w:rFonts w:eastAsia="Calibri"/>
          <w:b/>
          <w:szCs w:val="24"/>
        </w:rPr>
        <w:t>2</w:t>
      </w:r>
      <w:r w:rsidR="008879F1" w:rsidRPr="000665B0">
        <w:rPr>
          <w:rFonts w:eastAsia="Calibri"/>
          <w:b/>
          <w:szCs w:val="24"/>
        </w:rPr>
        <w:t xml:space="preserve"> </w:t>
      </w:r>
      <w:r w:rsidRPr="000665B0">
        <w:rPr>
          <w:rFonts w:eastAsia="Calibri"/>
          <w:b/>
          <w:szCs w:val="24"/>
        </w:rPr>
        <w:t>(Generic Files)</w:t>
      </w:r>
    </w:p>
    <w:p w14:paraId="4E22DFF6" w14:textId="084F051B" w:rsidR="00720A00" w:rsidRPr="000665B0" w:rsidRDefault="00720A00" w:rsidP="00720A00">
      <w:pPr>
        <w:rPr>
          <w:rFonts w:eastAsia="Calibri"/>
          <w:szCs w:val="24"/>
        </w:rPr>
      </w:pPr>
      <w:r w:rsidRPr="000665B0">
        <w:rPr>
          <w:rFonts w:eastAsia="Calibri"/>
          <w:szCs w:val="24"/>
        </w:rPr>
        <w:t>MDS</w:t>
      </w:r>
      <w:r w:rsidR="004043E1" w:rsidRPr="000665B0">
        <w:rPr>
          <w:rFonts w:eastAsia="Calibri"/>
          <w:szCs w:val="24"/>
        </w:rPr>
        <w:t>/</w:t>
      </w:r>
      <w:r w:rsidRPr="000665B0">
        <w:rPr>
          <w:rFonts w:eastAsia="Calibri"/>
          <w:szCs w:val="24"/>
        </w:rPr>
        <w:t xml:space="preserve">TED sends Generic Files in TED format; the DDO and generic files are zipped into a single compressed file with a filename in format </w:t>
      </w:r>
      <w:r w:rsidRPr="000665B0">
        <w:rPr>
          <w:rFonts w:eastAsia="Calibri"/>
          <w:b/>
          <w:szCs w:val="24"/>
        </w:rPr>
        <w:t>DDOnnnnn-nnnnn.zip</w:t>
      </w:r>
      <w:r w:rsidRPr="000665B0">
        <w:rPr>
          <w:rFonts w:eastAsia="Calibri"/>
          <w:szCs w:val="24"/>
        </w:rPr>
        <w:t>.</w:t>
      </w:r>
      <w:r w:rsidR="007D3BE7">
        <w:rPr>
          <w:rFonts w:eastAsia="Calibri"/>
          <w:szCs w:val="24"/>
        </w:rPr>
        <w:t xml:space="preserve"> </w:t>
      </w:r>
    </w:p>
    <w:p w14:paraId="2AF6CE4A" w14:textId="34BB8F64" w:rsidR="00720A00" w:rsidRPr="000665B0" w:rsidRDefault="00720A00" w:rsidP="00720A00">
      <w:pPr>
        <w:rPr>
          <w:rFonts w:eastAsia="Calibri"/>
          <w:szCs w:val="24"/>
        </w:rPr>
      </w:pPr>
      <w:r w:rsidRPr="000665B0">
        <w:rPr>
          <w:rFonts w:eastAsia="Calibri"/>
          <w:szCs w:val="24"/>
        </w:rPr>
        <w:t>When MDS</w:t>
      </w:r>
      <w:r w:rsidR="004043E1" w:rsidRPr="000665B0">
        <w:rPr>
          <w:rFonts w:eastAsia="Calibri"/>
          <w:szCs w:val="24"/>
        </w:rPr>
        <w:t>/</w:t>
      </w:r>
      <w:r w:rsidRPr="000665B0">
        <w:rPr>
          <w:rFonts w:eastAsia="Calibri"/>
          <w:szCs w:val="24"/>
        </w:rPr>
        <w:t xml:space="preserve">TED receives an incoming DDO in TED format containing </w:t>
      </w:r>
      <w:r w:rsidR="004043E1" w:rsidRPr="000665B0">
        <w:rPr>
          <w:rFonts w:eastAsia="Calibri"/>
          <w:szCs w:val="24"/>
        </w:rPr>
        <w:t>G</w:t>
      </w:r>
      <w:r w:rsidRPr="000665B0">
        <w:rPr>
          <w:rFonts w:eastAsia="Calibri"/>
          <w:szCs w:val="24"/>
        </w:rPr>
        <w:t xml:space="preserve">eneric </w:t>
      </w:r>
      <w:r w:rsidR="004043E1" w:rsidRPr="000665B0">
        <w:rPr>
          <w:rFonts w:eastAsia="Calibri"/>
          <w:szCs w:val="24"/>
        </w:rPr>
        <w:t>F</w:t>
      </w:r>
      <w:r w:rsidRPr="000665B0">
        <w:rPr>
          <w:rFonts w:eastAsia="Calibri"/>
          <w:szCs w:val="24"/>
        </w:rPr>
        <w:t xml:space="preserve">iles, upon processing, the operator </w:t>
      </w:r>
      <w:r w:rsidR="003C106D" w:rsidRPr="000665B0">
        <w:rPr>
          <w:rFonts w:eastAsia="Calibri"/>
          <w:szCs w:val="24"/>
        </w:rPr>
        <w:t>is</w:t>
      </w:r>
      <w:r w:rsidRPr="000665B0">
        <w:rPr>
          <w:rFonts w:eastAsia="Calibri"/>
          <w:szCs w:val="24"/>
        </w:rPr>
        <w:t xml:space="preserve"> prompted for a disk drive location to save the </w:t>
      </w:r>
      <w:r w:rsidR="004043E1" w:rsidRPr="000665B0">
        <w:rPr>
          <w:rFonts w:eastAsia="Calibri"/>
          <w:szCs w:val="24"/>
        </w:rPr>
        <w:t>G</w:t>
      </w:r>
      <w:r w:rsidRPr="000665B0">
        <w:rPr>
          <w:rFonts w:eastAsia="Calibri"/>
          <w:szCs w:val="24"/>
        </w:rPr>
        <w:t xml:space="preserve">eneric </w:t>
      </w:r>
      <w:r w:rsidR="004043E1" w:rsidRPr="000665B0">
        <w:rPr>
          <w:rFonts w:eastAsia="Calibri"/>
          <w:szCs w:val="24"/>
        </w:rPr>
        <w:t>F</w:t>
      </w:r>
      <w:r w:rsidRPr="000665B0">
        <w:rPr>
          <w:rFonts w:eastAsia="Calibri"/>
          <w:szCs w:val="24"/>
        </w:rPr>
        <w:t xml:space="preserve">iles. The </w:t>
      </w:r>
      <w:r w:rsidR="004043E1" w:rsidRPr="000665B0">
        <w:rPr>
          <w:rFonts w:eastAsia="Calibri"/>
          <w:szCs w:val="24"/>
        </w:rPr>
        <w:t>G</w:t>
      </w:r>
      <w:r w:rsidRPr="000665B0">
        <w:rPr>
          <w:rFonts w:eastAsia="Calibri"/>
          <w:szCs w:val="24"/>
        </w:rPr>
        <w:t xml:space="preserve">eneric </w:t>
      </w:r>
      <w:r w:rsidR="004043E1" w:rsidRPr="000665B0">
        <w:rPr>
          <w:rFonts w:eastAsia="Calibri"/>
          <w:szCs w:val="24"/>
        </w:rPr>
        <w:t>F</w:t>
      </w:r>
      <w:r w:rsidRPr="000665B0">
        <w:rPr>
          <w:rFonts w:eastAsia="Calibri"/>
          <w:szCs w:val="24"/>
        </w:rPr>
        <w:t xml:space="preserve">iles </w:t>
      </w:r>
      <w:r w:rsidR="003C106D" w:rsidRPr="000665B0">
        <w:rPr>
          <w:rFonts w:eastAsia="Calibri"/>
          <w:szCs w:val="24"/>
        </w:rPr>
        <w:t>are</w:t>
      </w:r>
      <w:r w:rsidRPr="000665B0">
        <w:rPr>
          <w:rFonts w:eastAsia="Calibri"/>
          <w:szCs w:val="24"/>
        </w:rPr>
        <w:t xml:space="preserve"> in a single zip file named </w:t>
      </w:r>
      <w:r w:rsidRPr="000665B0">
        <w:rPr>
          <w:rFonts w:eastAsia="Calibri"/>
          <w:b/>
          <w:szCs w:val="24"/>
        </w:rPr>
        <w:t>Generic_File_DDOnnnnn-nnnnn.zip</w:t>
      </w:r>
      <w:r w:rsidRPr="000665B0">
        <w:rPr>
          <w:rFonts w:eastAsia="Calibri"/>
          <w:szCs w:val="24"/>
        </w:rPr>
        <w:t>. If a file with the same name already exists, the zip file will be saved with a one</w:t>
      </w:r>
      <w:r w:rsidR="004043E1" w:rsidRPr="000665B0">
        <w:rPr>
          <w:rFonts w:eastAsia="Calibri"/>
          <w:szCs w:val="24"/>
        </w:rPr>
        <w:t>-</w:t>
      </w:r>
      <w:r w:rsidRPr="000665B0">
        <w:rPr>
          <w:rFonts w:eastAsia="Calibri"/>
          <w:szCs w:val="24"/>
        </w:rPr>
        <w:t xml:space="preserve">up counter in format </w:t>
      </w:r>
      <w:r w:rsidRPr="000665B0">
        <w:rPr>
          <w:rFonts w:eastAsia="Calibri"/>
          <w:b/>
          <w:szCs w:val="24"/>
        </w:rPr>
        <w:t>Generic_File_DDOnnnnn-nnnnn (1).zip</w:t>
      </w:r>
      <w:r w:rsidRPr="000665B0">
        <w:rPr>
          <w:rFonts w:eastAsia="Calibri"/>
          <w:szCs w:val="24"/>
        </w:rPr>
        <w:t>.</w:t>
      </w:r>
    </w:p>
    <w:p w14:paraId="5954B244" w14:textId="2274BA37" w:rsidR="00720A00" w:rsidRPr="000665B0" w:rsidRDefault="00720A00" w:rsidP="007364C0">
      <w:pPr>
        <w:keepNext/>
        <w:rPr>
          <w:rFonts w:eastAsia="Calibri"/>
          <w:b/>
          <w:szCs w:val="24"/>
        </w:rPr>
      </w:pPr>
      <w:r w:rsidRPr="000665B0">
        <w:rPr>
          <w:rFonts w:eastAsia="Calibri"/>
          <w:b/>
          <w:szCs w:val="24"/>
        </w:rPr>
        <w:t xml:space="preserve">Note </w:t>
      </w:r>
      <w:r w:rsidR="008879F1" w:rsidRPr="000665B0">
        <w:rPr>
          <w:rFonts w:eastAsia="Calibri"/>
          <w:b/>
          <w:szCs w:val="24"/>
        </w:rPr>
        <w:t>1</w:t>
      </w:r>
      <w:r w:rsidR="007A6098" w:rsidRPr="000665B0">
        <w:rPr>
          <w:rFonts w:eastAsia="Calibri"/>
          <w:b/>
          <w:szCs w:val="24"/>
        </w:rPr>
        <w:t>3</w:t>
      </w:r>
      <w:r w:rsidR="008879F1" w:rsidRPr="000665B0">
        <w:rPr>
          <w:rFonts w:eastAsia="Calibri"/>
          <w:b/>
          <w:szCs w:val="24"/>
        </w:rPr>
        <w:t xml:space="preserve"> </w:t>
      </w:r>
      <w:r w:rsidRPr="000665B0">
        <w:rPr>
          <w:rFonts w:eastAsia="Calibri"/>
          <w:b/>
          <w:szCs w:val="24"/>
        </w:rPr>
        <w:t>(Incoming DDO)</w:t>
      </w:r>
    </w:p>
    <w:p w14:paraId="2147BC30" w14:textId="1112D32D" w:rsidR="00720A00" w:rsidRPr="000665B0" w:rsidRDefault="00720A00" w:rsidP="00720A00">
      <w:pPr>
        <w:rPr>
          <w:rFonts w:eastAsia="Calibri"/>
          <w:szCs w:val="24"/>
        </w:rPr>
      </w:pPr>
      <w:r w:rsidRPr="000665B0">
        <w:rPr>
          <w:rFonts w:eastAsia="Calibri"/>
          <w:szCs w:val="24"/>
        </w:rPr>
        <w:t>When MDS</w:t>
      </w:r>
      <w:r w:rsidR="004043E1" w:rsidRPr="000665B0">
        <w:rPr>
          <w:rFonts w:eastAsia="Calibri"/>
          <w:szCs w:val="24"/>
        </w:rPr>
        <w:t>/</w:t>
      </w:r>
      <w:r w:rsidRPr="000665B0">
        <w:rPr>
          <w:rFonts w:eastAsia="Calibri"/>
          <w:szCs w:val="24"/>
        </w:rPr>
        <w:t xml:space="preserve">TED receives a duplicate Incoming DDO, the warning information </w:t>
      </w:r>
      <w:r w:rsidR="003C106D" w:rsidRPr="000665B0">
        <w:rPr>
          <w:rFonts w:eastAsia="Calibri"/>
          <w:szCs w:val="24"/>
        </w:rPr>
        <w:t>is</w:t>
      </w:r>
      <w:r w:rsidRPr="000665B0">
        <w:rPr>
          <w:rFonts w:eastAsia="Calibri"/>
          <w:szCs w:val="24"/>
        </w:rPr>
        <w:t xml:space="preserve"> logged in the </w:t>
      </w:r>
      <w:r w:rsidRPr="000665B0">
        <w:rPr>
          <w:rFonts w:eastAsia="Calibri"/>
          <w:b/>
          <w:szCs w:val="24"/>
        </w:rPr>
        <w:t xml:space="preserve">TED Utilities </w:t>
      </w:r>
      <w:r w:rsidR="004043E1" w:rsidRPr="000665B0">
        <w:rPr>
          <w:b/>
        </w:rPr>
        <w:sym w:font="Wingdings" w:char="F0E0"/>
      </w:r>
      <w:r w:rsidRPr="000665B0">
        <w:rPr>
          <w:rFonts w:eastAsia="Calibri"/>
          <w:b/>
          <w:szCs w:val="24"/>
        </w:rPr>
        <w:t xml:space="preserve"> TED Logs </w:t>
      </w:r>
      <w:r w:rsidR="004043E1" w:rsidRPr="000665B0">
        <w:rPr>
          <w:b/>
        </w:rPr>
        <w:sym w:font="Wingdings" w:char="F0E0"/>
      </w:r>
      <w:r w:rsidRPr="000665B0">
        <w:rPr>
          <w:rFonts w:eastAsia="Calibri"/>
          <w:b/>
          <w:szCs w:val="24"/>
        </w:rPr>
        <w:t xml:space="preserve"> TED_DISTRIBUTION_DB</w:t>
      </w:r>
      <w:r w:rsidRPr="000665B0">
        <w:rPr>
          <w:rFonts w:eastAsia="Calibri"/>
          <w:szCs w:val="24"/>
        </w:rPr>
        <w:t>.</w:t>
      </w:r>
    </w:p>
    <w:p w14:paraId="580B3CFA" w14:textId="0EF8A3AC" w:rsidR="00720A00" w:rsidRPr="000665B0" w:rsidRDefault="00720A00" w:rsidP="00BD4482">
      <w:pPr>
        <w:keepNext/>
        <w:spacing w:after="0" w:line="240" w:lineRule="auto"/>
        <w:rPr>
          <w:rFonts w:eastAsia="Calibri"/>
          <w:b/>
          <w:szCs w:val="24"/>
        </w:rPr>
      </w:pPr>
      <w:r w:rsidRPr="000665B0">
        <w:rPr>
          <w:rFonts w:eastAsia="Calibri"/>
          <w:b/>
        </w:rPr>
        <w:t xml:space="preserve">Note </w:t>
      </w:r>
      <w:r w:rsidR="00875983" w:rsidRPr="000665B0">
        <w:rPr>
          <w:rFonts w:eastAsia="Calibri"/>
          <w:b/>
        </w:rPr>
        <w:t>1</w:t>
      </w:r>
      <w:r w:rsidR="007A6098" w:rsidRPr="000665B0">
        <w:rPr>
          <w:rFonts w:eastAsia="Calibri"/>
          <w:b/>
        </w:rPr>
        <w:t>4</w:t>
      </w:r>
      <w:r w:rsidR="00875983" w:rsidRPr="000665B0">
        <w:rPr>
          <w:rFonts w:eastAsia="Calibri"/>
          <w:b/>
        </w:rPr>
        <w:t xml:space="preserve"> </w:t>
      </w:r>
      <w:r w:rsidRPr="000665B0">
        <w:rPr>
          <w:rFonts w:eastAsia="Calibri"/>
          <w:b/>
        </w:rPr>
        <w:t>(</w:t>
      </w:r>
      <w:r w:rsidRPr="000665B0">
        <w:rPr>
          <w:rFonts w:eastAsia="Calibri"/>
          <w:b/>
          <w:szCs w:val="24"/>
        </w:rPr>
        <w:t>Strike)</w:t>
      </w:r>
    </w:p>
    <w:p w14:paraId="422F1DDC" w14:textId="01B5171E" w:rsidR="00720A00" w:rsidRPr="000665B0" w:rsidRDefault="00720A00" w:rsidP="0079073D">
      <w:pPr>
        <w:rPr>
          <w:rFonts w:eastAsia="Calibri"/>
          <w:szCs w:val="24"/>
        </w:rPr>
      </w:pPr>
      <w:r w:rsidRPr="000665B0">
        <w:rPr>
          <w:rFonts w:eastAsia="Calibri"/>
          <w:szCs w:val="24"/>
        </w:rPr>
        <w:t>MDS</w:t>
      </w:r>
      <w:r w:rsidR="004043E1" w:rsidRPr="000665B0">
        <w:rPr>
          <w:rFonts w:eastAsia="Calibri"/>
          <w:szCs w:val="24"/>
        </w:rPr>
        <w:t>/</w:t>
      </w:r>
      <w:r w:rsidRPr="000665B0">
        <w:rPr>
          <w:rFonts w:eastAsia="Calibri"/>
          <w:szCs w:val="24"/>
        </w:rPr>
        <w:t xml:space="preserve">TED 5.1 </w:t>
      </w:r>
      <w:r w:rsidR="00103E2B" w:rsidRPr="000665B0">
        <w:rPr>
          <w:rFonts w:eastAsia="Calibri"/>
          <w:szCs w:val="24"/>
        </w:rPr>
        <w:t xml:space="preserve">(and above) </w:t>
      </w:r>
      <w:r w:rsidRPr="000665B0">
        <w:rPr>
          <w:rFonts w:eastAsia="Calibri"/>
          <w:szCs w:val="24"/>
        </w:rPr>
        <w:t>is backward</w:t>
      </w:r>
      <w:r w:rsidR="00731613" w:rsidRPr="000665B0">
        <w:rPr>
          <w:rFonts w:eastAsia="Calibri"/>
          <w:szCs w:val="24"/>
        </w:rPr>
        <w:t xml:space="preserve"> </w:t>
      </w:r>
      <w:r w:rsidRPr="000665B0">
        <w:rPr>
          <w:rFonts w:eastAsia="Calibri"/>
          <w:szCs w:val="24"/>
        </w:rPr>
        <w:t>compatible to</w:t>
      </w:r>
      <w:r w:rsidR="004043E1" w:rsidRPr="000665B0">
        <w:rPr>
          <w:rFonts w:eastAsia="Calibri"/>
          <w:szCs w:val="24"/>
        </w:rPr>
        <w:t xml:space="preserve"> and from MDS 4.5. </w:t>
      </w:r>
      <w:r w:rsidRPr="000665B0">
        <w:rPr>
          <w:rFonts w:eastAsia="Calibri"/>
          <w:szCs w:val="24"/>
        </w:rPr>
        <w:t>New strike data items have been added in MDS</w:t>
      </w:r>
      <w:r w:rsidR="004043E1" w:rsidRPr="000665B0">
        <w:rPr>
          <w:rFonts w:eastAsia="Calibri"/>
          <w:szCs w:val="24"/>
        </w:rPr>
        <w:t>/</w:t>
      </w:r>
      <w:r w:rsidRPr="000665B0">
        <w:rPr>
          <w:rFonts w:eastAsia="Calibri"/>
          <w:szCs w:val="24"/>
        </w:rPr>
        <w:t>TED</w:t>
      </w:r>
      <w:r w:rsidR="008879F1" w:rsidRPr="000665B0">
        <w:rPr>
          <w:rFonts w:eastAsia="Calibri"/>
          <w:szCs w:val="24"/>
        </w:rPr>
        <w:t xml:space="preserve"> </w:t>
      </w:r>
      <w:r w:rsidRPr="000665B0">
        <w:rPr>
          <w:rFonts w:eastAsia="Calibri"/>
          <w:szCs w:val="24"/>
        </w:rPr>
        <w:t>5.1 to support TTWCS FRU.</w:t>
      </w:r>
    </w:p>
    <w:p w14:paraId="24994F00" w14:textId="77777777" w:rsidR="00720A00" w:rsidRPr="000665B0" w:rsidRDefault="00720A00" w:rsidP="00720A00">
      <w:pPr>
        <w:spacing w:after="0" w:line="240" w:lineRule="auto"/>
        <w:rPr>
          <w:szCs w:val="24"/>
        </w:rPr>
      </w:pPr>
      <w:r w:rsidRPr="000665B0">
        <w:rPr>
          <w:szCs w:val="24"/>
        </w:rPr>
        <w:t>When a strike from a 4.5 system is received on a 5.1</w:t>
      </w:r>
      <w:r w:rsidR="00103E2B" w:rsidRPr="000665B0">
        <w:rPr>
          <w:szCs w:val="24"/>
        </w:rPr>
        <w:t xml:space="preserve"> </w:t>
      </w:r>
      <w:r w:rsidR="00103E2B" w:rsidRPr="000665B0">
        <w:rPr>
          <w:rFonts w:eastAsia="Calibri"/>
          <w:szCs w:val="24"/>
        </w:rPr>
        <w:t>(and above)</w:t>
      </w:r>
      <w:r w:rsidRPr="000665B0">
        <w:rPr>
          <w:szCs w:val="24"/>
        </w:rPr>
        <w:t xml:space="preserve"> TED, if the strike does not exist</w:t>
      </w:r>
      <w:r w:rsidR="0079073D" w:rsidRPr="000665B0">
        <w:rPr>
          <w:szCs w:val="24"/>
        </w:rPr>
        <w:t xml:space="preserve">, </w:t>
      </w:r>
      <w:r w:rsidRPr="000665B0">
        <w:rPr>
          <w:szCs w:val="24"/>
        </w:rPr>
        <w:t>the following defaults are used:</w:t>
      </w:r>
    </w:p>
    <w:p w14:paraId="287870D1" w14:textId="77777777" w:rsidR="00720A00" w:rsidRPr="000665B0" w:rsidRDefault="00720A00" w:rsidP="006D5A65">
      <w:pPr>
        <w:pStyle w:val="Heading1"/>
      </w:pPr>
      <w:r w:rsidRPr="000665B0">
        <w:t>Arsenal (for each arsenal in updated strike)</w:t>
      </w:r>
    </w:p>
    <w:p w14:paraId="2F8CD626" w14:textId="77777777" w:rsidR="00720A00" w:rsidRPr="000665B0" w:rsidRDefault="00720A00" w:rsidP="006D5A65">
      <w:pPr>
        <w:pStyle w:val="Heading2"/>
      </w:pPr>
      <w:r w:rsidRPr="000665B0">
        <w:t xml:space="preserve">FruUseState </w:t>
      </w:r>
      <w:r w:rsidR="004043E1" w:rsidRPr="000665B0">
        <w:sym w:font="Wingdings" w:char="F0E0"/>
      </w:r>
      <w:r w:rsidRPr="000665B0">
        <w:t xml:space="preserve"> Ready</w:t>
      </w:r>
    </w:p>
    <w:p w14:paraId="49002993" w14:textId="77777777" w:rsidR="00720A00" w:rsidRPr="000665B0" w:rsidRDefault="00720A00" w:rsidP="006D5A65">
      <w:pPr>
        <w:pStyle w:val="Heading2"/>
      </w:pPr>
      <w:r w:rsidRPr="000665B0">
        <w:t xml:space="preserve">ExecutionFruUseState </w:t>
      </w:r>
      <w:r w:rsidR="004043E1" w:rsidRPr="000665B0">
        <w:sym w:font="Wingdings" w:char="F0E0"/>
      </w:r>
      <w:r w:rsidRPr="000665B0">
        <w:t xml:space="preserve"> null</w:t>
      </w:r>
    </w:p>
    <w:p w14:paraId="2647C7F7" w14:textId="77777777" w:rsidR="00720A00" w:rsidRPr="000665B0" w:rsidRDefault="00720A00" w:rsidP="006D5A65">
      <w:pPr>
        <w:pStyle w:val="Heading1"/>
      </w:pPr>
      <w:r w:rsidRPr="000665B0">
        <w:t>Reservation (for each reservation in updated strike)</w:t>
      </w:r>
    </w:p>
    <w:p w14:paraId="2ACF2739" w14:textId="77777777" w:rsidR="00720A00" w:rsidRPr="000665B0" w:rsidRDefault="00720A00" w:rsidP="006D5A65">
      <w:pPr>
        <w:pStyle w:val="Heading2"/>
      </w:pPr>
      <w:r w:rsidRPr="000665B0">
        <w:t xml:space="preserve">ReadySpareDeltaTimeSeconds </w:t>
      </w:r>
      <w:r w:rsidR="004043E1" w:rsidRPr="000665B0">
        <w:sym w:font="Wingdings" w:char="F0E0"/>
      </w:r>
      <w:r w:rsidRPr="000665B0">
        <w:t xml:space="preserve"> null unless it’s a ready spare then default to 1800 (seconds)</w:t>
      </w:r>
    </w:p>
    <w:p w14:paraId="68207D09" w14:textId="77777777" w:rsidR="00720A00" w:rsidRPr="000665B0" w:rsidRDefault="00720A00" w:rsidP="006D5A65">
      <w:pPr>
        <w:pStyle w:val="Heading2"/>
      </w:pPr>
      <w:r w:rsidRPr="000665B0">
        <w:t xml:space="preserve">ExecuteBackupTasking </w:t>
      </w:r>
      <w:r w:rsidR="004043E1" w:rsidRPr="000665B0">
        <w:sym w:font="Wingdings" w:char="F0E0"/>
      </w:r>
      <w:r w:rsidRPr="000665B0">
        <w:t xml:space="preserve"> false</w:t>
      </w:r>
    </w:p>
    <w:p w14:paraId="4169BF7A" w14:textId="77777777" w:rsidR="00720A00" w:rsidRPr="000665B0" w:rsidRDefault="00720A00" w:rsidP="006D5A65">
      <w:pPr>
        <w:pStyle w:val="Heading2"/>
      </w:pPr>
      <w:r w:rsidRPr="000665B0">
        <w:t xml:space="preserve">TargetLineDesignator </w:t>
      </w:r>
      <w:r w:rsidR="004043E1" w:rsidRPr="000665B0">
        <w:sym w:font="Wingdings" w:char="F0E0"/>
      </w:r>
      <w:r w:rsidRPr="000665B0">
        <w:t xml:space="preserve"> 8 spaces</w:t>
      </w:r>
    </w:p>
    <w:p w14:paraId="10E372CE" w14:textId="77777777" w:rsidR="00720A00" w:rsidRPr="000665B0" w:rsidRDefault="00720A00" w:rsidP="006D5A65">
      <w:pPr>
        <w:pStyle w:val="Heading2"/>
      </w:pPr>
      <w:r w:rsidRPr="000665B0">
        <w:t xml:space="preserve">RevisionAdded </w:t>
      </w:r>
      <w:r w:rsidR="004043E1" w:rsidRPr="000665B0">
        <w:sym w:font="Wingdings" w:char="F0E0"/>
      </w:r>
      <w:r w:rsidRPr="000665B0">
        <w:t xml:space="preserve"> 0 </w:t>
      </w:r>
    </w:p>
    <w:p w14:paraId="00B80741" w14:textId="77777777" w:rsidR="00720A00" w:rsidRPr="000665B0" w:rsidRDefault="00720A00" w:rsidP="006D5A65">
      <w:pPr>
        <w:pStyle w:val="Heading2"/>
      </w:pPr>
      <w:r w:rsidRPr="000665B0">
        <w:t xml:space="preserve">MinorRevisionAdded </w:t>
      </w:r>
      <w:r w:rsidR="004043E1" w:rsidRPr="000665B0">
        <w:sym w:font="Wingdings" w:char="F0E0"/>
      </w:r>
      <w:r w:rsidRPr="000665B0">
        <w:t xml:space="preserve"> 0</w:t>
      </w:r>
    </w:p>
    <w:p w14:paraId="2EFB07DB" w14:textId="77777777" w:rsidR="00720A00" w:rsidRPr="000665B0" w:rsidRDefault="00720A00" w:rsidP="006D5A65">
      <w:pPr>
        <w:pStyle w:val="Heading2"/>
      </w:pPr>
      <w:r w:rsidRPr="000665B0">
        <w:t xml:space="preserve">RevisionChanged </w:t>
      </w:r>
      <w:r w:rsidR="004043E1" w:rsidRPr="000665B0">
        <w:sym w:font="Wingdings" w:char="F0E0"/>
      </w:r>
      <w:r w:rsidRPr="000665B0">
        <w:t xml:space="preserve"> null</w:t>
      </w:r>
    </w:p>
    <w:p w14:paraId="6F691BB9" w14:textId="77777777" w:rsidR="00720A00" w:rsidRPr="000665B0" w:rsidRDefault="00720A00" w:rsidP="006D5A65">
      <w:pPr>
        <w:pStyle w:val="Heading2"/>
      </w:pPr>
      <w:r w:rsidRPr="000665B0">
        <w:t xml:space="preserve">MinorRevisionChanged </w:t>
      </w:r>
      <w:r w:rsidR="004043E1" w:rsidRPr="000665B0">
        <w:sym w:font="Wingdings" w:char="F0E0"/>
      </w:r>
      <w:r w:rsidRPr="000665B0">
        <w:t xml:space="preserve"> null</w:t>
      </w:r>
    </w:p>
    <w:p w14:paraId="2E597245" w14:textId="77777777" w:rsidR="00720A00" w:rsidRPr="000665B0" w:rsidRDefault="00720A00" w:rsidP="006D5A65">
      <w:pPr>
        <w:pStyle w:val="Heading2"/>
      </w:pPr>
      <w:r w:rsidRPr="000665B0">
        <w:t xml:space="preserve">RevisionDeleted </w:t>
      </w:r>
      <w:r w:rsidR="004043E1" w:rsidRPr="000665B0">
        <w:sym w:font="Wingdings" w:char="F0E0"/>
      </w:r>
      <w:r w:rsidRPr="000665B0">
        <w:t xml:space="preserve"> null</w:t>
      </w:r>
    </w:p>
    <w:p w14:paraId="38818C12" w14:textId="77777777" w:rsidR="00720A00" w:rsidRPr="000665B0" w:rsidRDefault="00720A00" w:rsidP="006D5A65">
      <w:pPr>
        <w:pStyle w:val="Heading2"/>
      </w:pPr>
      <w:r w:rsidRPr="000665B0">
        <w:t xml:space="preserve">MinorRevisionDeleted </w:t>
      </w:r>
      <w:r w:rsidR="004043E1" w:rsidRPr="000665B0">
        <w:sym w:font="Wingdings" w:char="F0E0"/>
      </w:r>
      <w:r w:rsidRPr="000665B0">
        <w:t xml:space="preserve"> null</w:t>
      </w:r>
    </w:p>
    <w:p w14:paraId="5CE7618F" w14:textId="77777777" w:rsidR="00720A00" w:rsidRPr="000665B0" w:rsidRDefault="00720A00" w:rsidP="006D5A65">
      <w:pPr>
        <w:pStyle w:val="Heading2"/>
      </w:pPr>
      <w:r w:rsidRPr="000665B0">
        <w:lastRenderedPageBreak/>
        <w:t xml:space="preserve">RevisionUnsupported </w:t>
      </w:r>
      <w:r w:rsidR="004043E1" w:rsidRPr="000665B0">
        <w:sym w:font="Wingdings" w:char="F0E0"/>
      </w:r>
      <w:r w:rsidRPr="000665B0">
        <w:t xml:space="preserve"> null</w:t>
      </w:r>
    </w:p>
    <w:p w14:paraId="33968EAE" w14:textId="77777777" w:rsidR="00720A00" w:rsidRPr="000665B0" w:rsidRDefault="00720A00" w:rsidP="006D5A65">
      <w:pPr>
        <w:pStyle w:val="Heading2"/>
      </w:pPr>
      <w:r w:rsidRPr="000665B0">
        <w:t xml:space="preserve">MinorRevisionUnsupported </w:t>
      </w:r>
      <w:r w:rsidR="005D5AFF" w:rsidRPr="000665B0">
        <w:sym w:font="Wingdings" w:char="F0E0"/>
      </w:r>
      <w:r w:rsidRPr="000665B0">
        <w:t xml:space="preserve"> null</w:t>
      </w:r>
    </w:p>
    <w:p w14:paraId="31EC79FC" w14:textId="77777777" w:rsidR="00720A00" w:rsidRPr="000665B0" w:rsidRDefault="00720A00" w:rsidP="006D5A65">
      <w:pPr>
        <w:pStyle w:val="Heading2"/>
      </w:pPr>
      <w:r w:rsidRPr="000665B0">
        <w:t xml:space="preserve">RevisionSupported </w:t>
      </w:r>
      <w:r w:rsidR="004043E1" w:rsidRPr="000665B0">
        <w:sym w:font="Wingdings" w:char="F0E0"/>
      </w:r>
      <w:r w:rsidRPr="000665B0">
        <w:t xml:space="preserve"> null</w:t>
      </w:r>
    </w:p>
    <w:p w14:paraId="58108B0B" w14:textId="77777777" w:rsidR="00720A00" w:rsidRPr="000665B0" w:rsidRDefault="00720A00" w:rsidP="006D5A65">
      <w:pPr>
        <w:pStyle w:val="Heading2"/>
      </w:pPr>
      <w:r w:rsidRPr="000665B0">
        <w:t>MinorRevisionSupported to null</w:t>
      </w:r>
    </w:p>
    <w:p w14:paraId="0DB2FE50" w14:textId="77777777" w:rsidR="00720A00" w:rsidRPr="000665B0" w:rsidRDefault="00720A00" w:rsidP="006D5A65">
      <w:pPr>
        <w:pStyle w:val="Heading1"/>
      </w:pPr>
      <w:r w:rsidRPr="000665B0">
        <w:t>MissileParameters (for each missile parameter in updated strike)</w:t>
      </w:r>
    </w:p>
    <w:p w14:paraId="26D30A52" w14:textId="77777777" w:rsidR="00720A00" w:rsidRPr="000665B0" w:rsidRDefault="00720A00" w:rsidP="006D5A65">
      <w:pPr>
        <w:pStyle w:val="Heading2"/>
      </w:pPr>
      <w:r w:rsidRPr="000665B0">
        <w:t xml:space="preserve">RevisionChanged </w:t>
      </w:r>
      <w:r w:rsidR="004043E1" w:rsidRPr="000665B0">
        <w:sym w:font="Wingdings" w:char="F0E0"/>
      </w:r>
      <w:r w:rsidRPr="000665B0">
        <w:t xml:space="preserve"> null</w:t>
      </w:r>
    </w:p>
    <w:p w14:paraId="093FBBAB" w14:textId="77777777" w:rsidR="00720A00" w:rsidRPr="000665B0" w:rsidRDefault="00720A00" w:rsidP="006D5A65">
      <w:pPr>
        <w:pStyle w:val="Heading2"/>
      </w:pPr>
      <w:r w:rsidRPr="000665B0">
        <w:t xml:space="preserve">MinorRevisionChanged </w:t>
      </w:r>
      <w:r w:rsidR="004043E1" w:rsidRPr="000665B0">
        <w:sym w:font="Wingdings" w:char="F0E0"/>
      </w:r>
      <w:r w:rsidRPr="000665B0">
        <w:t xml:space="preserve"> null</w:t>
      </w:r>
    </w:p>
    <w:p w14:paraId="6D0F345C" w14:textId="77777777" w:rsidR="00720A00" w:rsidRPr="000665B0" w:rsidRDefault="00720A00" w:rsidP="00720A00">
      <w:pPr>
        <w:spacing w:after="0" w:line="240" w:lineRule="auto"/>
        <w:rPr>
          <w:szCs w:val="24"/>
        </w:rPr>
      </w:pPr>
      <w:r w:rsidRPr="000665B0">
        <w:rPr>
          <w:szCs w:val="24"/>
        </w:rPr>
        <w:t>When a strike from a 4.5 system is received on a 5.1</w:t>
      </w:r>
      <w:r w:rsidR="00103E2B" w:rsidRPr="000665B0">
        <w:rPr>
          <w:szCs w:val="24"/>
        </w:rPr>
        <w:t xml:space="preserve"> </w:t>
      </w:r>
      <w:r w:rsidR="00103E2B" w:rsidRPr="000665B0">
        <w:rPr>
          <w:rFonts w:eastAsia="Calibri"/>
          <w:szCs w:val="24"/>
        </w:rPr>
        <w:t>(and above)</w:t>
      </w:r>
      <w:r w:rsidRPr="000665B0">
        <w:rPr>
          <w:szCs w:val="24"/>
        </w:rPr>
        <w:t xml:space="preserve"> TED, if the strike DOES exist</w:t>
      </w:r>
      <w:r w:rsidR="0079073D" w:rsidRPr="000665B0">
        <w:rPr>
          <w:szCs w:val="24"/>
        </w:rPr>
        <w:t>,</w:t>
      </w:r>
      <w:r w:rsidRPr="000665B0">
        <w:rPr>
          <w:szCs w:val="24"/>
        </w:rPr>
        <w:t xml:space="preserve"> the following </w:t>
      </w:r>
      <w:r w:rsidR="005D5AFF" w:rsidRPr="000665B0">
        <w:rPr>
          <w:szCs w:val="24"/>
        </w:rPr>
        <w:t>occurs</w:t>
      </w:r>
      <w:r w:rsidRPr="000665B0">
        <w:rPr>
          <w:szCs w:val="24"/>
        </w:rPr>
        <w:t>:</w:t>
      </w:r>
    </w:p>
    <w:p w14:paraId="7B5891D3" w14:textId="77777777" w:rsidR="00720A00" w:rsidRPr="000665B0" w:rsidRDefault="00720A00" w:rsidP="006D5A65">
      <w:pPr>
        <w:pStyle w:val="Heading1"/>
      </w:pPr>
      <w:r w:rsidRPr="000665B0">
        <w:t>Arsenal (for each arsenal in updated strike)</w:t>
      </w:r>
    </w:p>
    <w:p w14:paraId="0FDF34C8" w14:textId="77777777" w:rsidR="00720A00" w:rsidRPr="000665B0" w:rsidRDefault="00720A00" w:rsidP="006D5A65">
      <w:pPr>
        <w:pStyle w:val="Heading2"/>
      </w:pPr>
      <w:r w:rsidRPr="000665B0">
        <w:t>Existing arsenal (in the 5.1</w:t>
      </w:r>
      <w:r w:rsidR="00103E2B" w:rsidRPr="000665B0">
        <w:t xml:space="preserve"> </w:t>
      </w:r>
      <w:r w:rsidR="00103E2B" w:rsidRPr="000665B0">
        <w:rPr>
          <w:rFonts w:eastAsia="Calibri"/>
        </w:rPr>
        <w:t>[and above]</w:t>
      </w:r>
      <w:r w:rsidRPr="000665B0">
        <w:t xml:space="preserve"> strike)</w:t>
      </w:r>
    </w:p>
    <w:p w14:paraId="00F88A24" w14:textId="77777777" w:rsidR="00720A00" w:rsidRPr="000665B0" w:rsidRDefault="00720A00" w:rsidP="006D5A65">
      <w:pPr>
        <w:pStyle w:val="Heading3"/>
        <w:rPr>
          <w:rFonts w:eastAsia="Arial Unicode MS"/>
        </w:rPr>
      </w:pPr>
      <w:r w:rsidRPr="000665B0">
        <w:t xml:space="preserve">FruUseState </w:t>
      </w:r>
      <w:r w:rsidR="005D5AFF" w:rsidRPr="000665B0">
        <w:sym w:font="Wingdings" w:char="F0E0"/>
      </w:r>
      <w:r w:rsidRPr="000665B0">
        <w:t xml:space="preserve"> from existing arsenal</w:t>
      </w:r>
    </w:p>
    <w:p w14:paraId="59D8445E" w14:textId="77777777" w:rsidR="00720A00" w:rsidRPr="000665B0" w:rsidRDefault="00720A00" w:rsidP="006D5A65">
      <w:pPr>
        <w:pStyle w:val="Heading3"/>
        <w:rPr>
          <w:rFonts w:eastAsia="Arial Unicode MS"/>
        </w:rPr>
      </w:pPr>
      <w:r w:rsidRPr="000665B0">
        <w:t xml:space="preserve">ExecutionFruUseState </w:t>
      </w:r>
      <w:r w:rsidR="005D5AFF" w:rsidRPr="000665B0">
        <w:sym w:font="Wingdings" w:char="F0E0"/>
      </w:r>
      <w:r w:rsidRPr="000665B0">
        <w:t xml:space="preserve"> from existing arsenal</w:t>
      </w:r>
    </w:p>
    <w:p w14:paraId="58C3BA51" w14:textId="77777777" w:rsidR="00720A00" w:rsidRPr="000665B0" w:rsidRDefault="00720A00" w:rsidP="006D5A65">
      <w:pPr>
        <w:pStyle w:val="Heading2"/>
      </w:pPr>
      <w:r w:rsidRPr="000665B0">
        <w:t>New arsenal (not in 5.1</w:t>
      </w:r>
      <w:r w:rsidR="00103E2B" w:rsidRPr="000665B0">
        <w:t xml:space="preserve"> [and above]</w:t>
      </w:r>
      <w:r w:rsidRPr="000665B0">
        <w:t xml:space="preserve"> strike)</w:t>
      </w:r>
    </w:p>
    <w:p w14:paraId="67CF9781" w14:textId="77777777" w:rsidR="00720A00" w:rsidRPr="000665B0" w:rsidRDefault="00720A00" w:rsidP="006D5A65">
      <w:pPr>
        <w:pStyle w:val="Heading3"/>
      </w:pPr>
      <w:r w:rsidRPr="000665B0">
        <w:t xml:space="preserve">FruUseState </w:t>
      </w:r>
      <w:r w:rsidR="005D5AFF" w:rsidRPr="000665B0">
        <w:sym w:font="Wingdings" w:char="F0E0"/>
      </w:r>
      <w:r w:rsidRPr="000665B0">
        <w:t xml:space="preserve"> Ready</w:t>
      </w:r>
    </w:p>
    <w:p w14:paraId="21F42727" w14:textId="77777777" w:rsidR="00720A00" w:rsidRPr="000665B0" w:rsidRDefault="00720A00" w:rsidP="006D5A65">
      <w:pPr>
        <w:pStyle w:val="Heading3"/>
      </w:pPr>
      <w:r w:rsidRPr="000665B0">
        <w:t xml:space="preserve">ExecutionFruUseState </w:t>
      </w:r>
      <w:r w:rsidR="009808B9" w:rsidRPr="000665B0">
        <w:sym w:font="Wingdings" w:char="F0E0"/>
      </w:r>
      <w:r w:rsidRPr="000665B0">
        <w:t xml:space="preserve"> null</w:t>
      </w:r>
    </w:p>
    <w:p w14:paraId="2E8EBD3D" w14:textId="77777777" w:rsidR="00720A00" w:rsidRPr="000665B0" w:rsidRDefault="00720A00" w:rsidP="006D5A65">
      <w:pPr>
        <w:pStyle w:val="Heading1"/>
      </w:pPr>
      <w:r w:rsidRPr="000665B0">
        <w:t>Reservation (for each reservation in updated strike)</w:t>
      </w:r>
    </w:p>
    <w:p w14:paraId="34FE9E3C" w14:textId="77777777" w:rsidR="00720A00" w:rsidRPr="000665B0" w:rsidRDefault="00720A00" w:rsidP="006D5A65">
      <w:pPr>
        <w:pStyle w:val="Heading2"/>
      </w:pPr>
      <w:r w:rsidRPr="000665B0">
        <w:t>Existing resv (in the 5.1</w:t>
      </w:r>
      <w:r w:rsidR="00103E2B" w:rsidRPr="000665B0">
        <w:t xml:space="preserve"> [and above]</w:t>
      </w:r>
      <w:r w:rsidRPr="000665B0">
        <w:t xml:space="preserve"> strike)</w:t>
      </w:r>
    </w:p>
    <w:p w14:paraId="27092BCE" w14:textId="77777777" w:rsidR="00720A00" w:rsidRPr="000665B0" w:rsidRDefault="00720A00" w:rsidP="006D5A65">
      <w:pPr>
        <w:pStyle w:val="Heading3"/>
      </w:pPr>
      <w:r w:rsidRPr="000665B0">
        <w:t xml:space="preserve">ReadySpareDeltaTimeSeconds </w:t>
      </w:r>
      <w:r w:rsidR="00851DCA" w:rsidRPr="000665B0">
        <w:rPr>
          <w:szCs w:val="24"/>
        </w:rPr>
        <w:sym w:font="Wingdings" w:char="F0E0"/>
      </w:r>
      <w:r w:rsidRPr="000665B0">
        <w:t xml:space="preserve"> from existing resv</w:t>
      </w:r>
    </w:p>
    <w:p w14:paraId="25E246AB" w14:textId="77777777" w:rsidR="00720A00" w:rsidRPr="000665B0" w:rsidRDefault="00720A00" w:rsidP="006D5A65">
      <w:pPr>
        <w:pStyle w:val="Heading3"/>
      </w:pPr>
      <w:r w:rsidRPr="000665B0">
        <w:t xml:space="preserve">ExecuteBackupTasking </w:t>
      </w:r>
      <w:r w:rsidR="00851DCA" w:rsidRPr="000665B0">
        <w:rPr>
          <w:szCs w:val="24"/>
        </w:rPr>
        <w:sym w:font="Wingdings" w:char="F0E0"/>
      </w:r>
      <w:r w:rsidRPr="000665B0">
        <w:t xml:space="preserve"> from existing resv</w:t>
      </w:r>
    </w:p>
    <w:p w14:paraId="74BDD6E0" w14:textId="77777777" w:rsidR="00720A00" w:rsidRPr="000665B0" w:rsidRDefault="00720A00" w:rsidP="006D5A65">
      <w:pPr>
        <w:pStyle w:val="Heading3"/>
      </w:pPr>
      <w:r w:rsidRPr="000665B0">
        <w:t xml:space="preserve">TargetLineDesignator </w:t>
      </w:r>
      <w:r w:rsidR="00851DCA" w:rsidRPr="000665B0">
        <w:rPr>
          <w:szCs w:val="24"/>
        </w:rPr>
        <w:sym w:font="Wingdings" w:char="F0E0"/>
      </w:r>
      <w:r w:rsidRPr="000665B0">
        <w:t xml:space="preserve"> from existing resv</w:t>
      </w:r>
    </w:p>
    <w:p w14:paraId="31E93787" w14:textId="77777777" w:rsidR="00720A00" w:rsidRPr="000665B0" w:rsidRDefault="00720A00" w:rsidP="00720A00">
      <w:pPr>
        <w:spacing w:after="0" w:line="240" w:lineRule="auto"/>
        <w:ind w:left="1080"/>
        <w:rPr>
          <w:szCs w:val="24"/>
        </w:rPr>
      </w:pPr>
      <w:r w:rsidRPr="000665B0">
        <w:rPr>
          <w:i/>
          <w:szCs w:val="24"/>
        </w:rPr>
        <w:t>Existing</w:t>
      </w:r>
      <w:r w:rsidRPr="000665B0">
        <w:rPr>
          <w:szCs w:val="24"/>
        </w:rPr>
        <w:t xml:space="preserve"> strike is a package:</w:t>
      </w:r>
    </w:p>
    <w:p w14:paraId="5B03FC19" w14:textId="77777777" w:rsidR="00720A00" w:rsidRPr="000665B0" w:rsidRDefault="00720A00" w:rsidP="006D5A65">
      <w:pPr>
        <w:pStyle w:val="Heading4"/>
      </w:pPr>
      <w:r w:rsidRPr="000665B0">
        <w:lastRenderedPageBreak/>
        <w:t xml:space="preserve">RevisionAdded </w:t>
      </w:r>
      <w:r w:rsidR="00851DCA" w:rsidRPr="000665B0">
        <w:sym w:font="Wingdings" w:char="F0E0"/>
      </w:r>
      <w:r w:rsidRPr="000665B0">
        <w:t xml:space="preserve"> from existing resv</w:t>
      </w:r>
    </w:p>
    <w:p w14:paraId="42EB44EA" w14:textId="77777777" w:rsidR="00720A00" w:rsidRPr="000665B0" w:rsidRDefault="00720A00" w:rsidP="006D5A65">
      <w:pPr>
        <w:pStyle w:val="Heading4"/>
      </w:pPr>
      <w:r w:rsidRPr="000665B0">
        <w:t xml:space="preserve">MinorRevisionAdded </w:t>
      </w:r>
      <w:r w:rsidR="00294D00" w:rsidRPr="000665B0">
        <w:sym w:font="Wingdings" w:char="F0E0"/>
      </w:r>
      <w:r w:rsidRPr="000665B0">
        <w:t xml:space="preserve"> from existing resv</w:t>
      </w:r>
    </w:p>
    <w:p w14:paraId="56BFAC2F" w14:textId="77777777" w:rsidR="00720A00" w:rsidRPr="000665B0" w:rsidRDefault="00720A00" w:rsidP="006D5A65">
      <w:pPr>
        <w:pStyle w:val="Heading4"/>
      </w:pPr>
      <w:r w:rsidRPr="000665B0">
        <w:t xml:space="preserve">RevisionChanged </w:t>
      </w:r>
      <w:r w:rsidR="00851DCA" w:rsidRPr="000665B0">
        <w:sym w:font="Wingdings" w:char="F0E0"/>
      </w:r>
      <w:r w:rsidRPr="000665B0">
        <w:t xml:space="preserve"> from existing resv</w:t>
      </w:r>
    </w:p>
    <w:p w14:paraId="123D657D" w14:textId="77777777" w:rsidR="00720A00" w:rsidRPr="000665B0" w:rsidRDefault="00720A00" w:rsidP="006D5A65">
      <w:pPr>
        <w:pStyle w:val="Heading4"/>
      </w:pPr>
      <w:r w:rsidRPr="000665B0">
        <w:t xml:space="preserve">MinorRevisionChanged </w:t>
      </w:r>
      <w:r w:rsidR="00851DCA" w:rsidRPr="000665B0">
        <w:sym w:font="Wingdings" w:char="F0E0"/>
      </w:r>
      <w:r w:rsidRPr="000665B0">
        <w:t xml:space="preserve"> from existing resv</w:t>
      </w:r>
    </w:p>
    <w:p w14:paraId="586B1ACA" w14:textId="77777777" w:rsidR="00720A00" w:rsidRPr="000665B0" w:rsidRDefault="00720A00" w:rsidP="006D5A65">
      <w:pPr>
        <w:pStyle w:val="Heading4"/>
      </w:pPr>
      <w:r w:rsidRPr="000665B0">
        <w:t xml:space="preserve">RevisionDeleted </w:t>
      </w:r>
      <w:r w:rsidR="00851DCA" w:rsidRPr="000665B0">
        <w:sym w:font="Wingdings" w:char="F0E0"/>
      </w:r>
      <w:r w:rsidRPr="000665B0">
        <w:t xml:space="preserve"> from existing resv</w:t>
      </w:r>
    </w:p>
    <w:p w14:paraId="1FEFA1EF" w14:textId="77777777" w:rsidR="00720A00" w:rsidRPr="000665B0" w:rsidRDefault="00720A00" w:rsidP="006D5A65">
      <w:pPr>
        <w:pStyle w:val="Heading4"/>
      </w:pPr>
      <w:r w:rsidRPr="000665B0">
        <w:t xml:space="preserve">MinorRevisionDeleted </w:t>
      </w:r>
      <w:r w:rsidR="00851DCA" w:rsidRPr="000665B0">
        <w:sym w:font="Wingdings" w:char="F0E0"/>
      </w:r>
      <w:r w:rsidRPr="000665B0">
        <w:t xml:space="preserve"> from existing resv</w:t>
      </w:r>
    </w:p>
    <w:p w14:paraId="47240C8A" w14:textId="77777777" w:rsidR="00720A00" w:rsidRPr="000665B0" w:rsidRDefault="00720A00" w:rsidP="006D5A65">
      <w:pPr>
        <w:pStyle w:val="Heading4"/>
      </w:pPr>
      <w:r w:rsidRPr="000665B0">
        <w:t xml:space="preserve">RevisionUnsupported </w:t>
      </w:r>
      <w:r w:rsidR="00851DCA" w:rsidRPr="000665B0">
        <w:sym w:font="Wingdings" w:char="F0E0"/>
      </w:r>
      <w:r w:rsidRPr="000665B0">
        <w:t xml:space="preserve"> from existing resv</w:t>
      </w:r>
    </w:p>
    <w:p w14:paraId="4D01E53F" w14:textId="77777777" w:rsidR="00720A00" w:rsidRPr="000665B0" w:rsidRDefault="00720A00" w:rsidP="006D5A65">
      <w:pPr>
        <w:pStyle w:val="Heading4"/>
      </w:pPr>
      <w:r w:rsidRPr="000665B0">
        <w:t xml:space="preserve">MinorRevisionUnsupported </w:t>
      </w:r>
      <w:r w:rsidR="00851DCA" w:rsidRPr="000665B0">
        <w:sym w:font="Wingdings" w:char="F0E0"/>
      </w:r>
      <w:r w:rsidRPr="000665B0">
        <w:t xml:space="preserve"> from existing resv</w:t>
      </w:r>
    </w:p>
    <w:p w14:paraId="5CC476EE" w14:textId="77777777" w:rsidR="00720A00" w:rsidRPr="000665B0" w:rsidRDefault="00720A00" w:rsidP="006D5A65">
      <w:pPr>
        <w:pStyle w:val="Heading4"/>
      </w:pPr>
      <w:r w:rsidRPr="000665B0">
        <w:t xml:space="preserve">RevisionSupported </w:t>
      </w:r>
      <w:r w:rsidR="00851DCA" w:rsidRPr="000665B0">
        <w:sym w:font="Wingdings" w:char="F0E0"/>
      </w:r>
      <w:r w:rsidRPr="000665B0">
        <w:t xml:space="preserve"> from existing resv</w:t>
      </w:r>
    </w:p>
    <w:p w14:paraId="78136884" w14:textId="77777777" w:rsidR="00720A00" w:rsidRPr="000665B0" w:rsidRDefault="00720A00" w:rsidP="006D5A65">
      <w:pPr>
        <w:pStyle w:val="Heading4"/>
      </w:pPr>
      <w:r w:rsidRPr="000665B0">
        <w:t xml:space="preserve">MinorRevisionSupported </w:t>
      </w:r>
      <w:r w:rsidR="00851DCA" w:rsidRPr="000665B0">
        <w:sym w:font="Wingdings" w:char="F0E0"/>
      </w:r>
      <w:r w:rsidRPr="000665B0">
        <w:t xml:space="preserve"> from existing resv</w:t>
      </w:r>
    </w:p>
    <w:p w14:paraId="1B9D8AEA" w14:textId="77777777" w:rsidR="00720A00" w:rsidRPr="000665B0" w:rsidRDefault="00720A00" w:rsidP="006D5A65">
      <w:pPr>
        <w:pStyle w:val="Heading4"/>
      </w:pPr>
      <w:r w:rsidRPr="000665B0">
        <w:t>FRU different</w:t>
      </w:r>
    </w:p>
    <w:p w14:paraId="05E6E956" w14:textId="77777777" w:rsidR="00720A00" w:rsidRPr="000665B0" w:rsidRDefault="00720A00" w:rsidP="006D5A65">
      <w:pPr>
        <w:pStyle w:val="Heading2"/>
      </w:pPr>
      <w:r w:rsidRPr="000665B0">
        <w:t>Update existing reservation (has old FRU in it)</w:t>
      </w:r>
    </w:p>
    <w:p w14:paraId="06922FCF" w14:textId="77777777" w:rsidR="00720A00" w:rsidRPr="000665B0" w:rsidRDefault="00720A00" w:rsidP="006D5A65">
      <w:pPr>
        <w:pStyle w:val="Heading3"/>
        <w:rPr>
          <w:rFonts w:eastAsia="Arial Unicode MS"/>
        </w:rPr>
      </w:pPr>
      <w:r w:rsidRPr="000665B0">
        <w:t xml:space="preserve">RevisionDeleted </w:t>
      </w:r>
      <w:r w:rsidR="00851DCA" w:rsidRPr="000665B0">
        <w:sym w:font="Wingdings" w:char="F0E0"/>
      </w:r>
      <w:r w:rsidRPr="000665B0">
        <w:t xml:space="preserve"> new rev from the 4.5</w:t>
      </w:r>
    </w:p>
    <w:p w14:paraId="3140C814" w14:textId="77777777" w:rsidR="00720A00" w:rsidRPr="000665B0" w:rsidRDefault="00720A00" w:rsidP="006D5A65">
      <w:pPr>
        <w:pStyle w:val="Heading3"/>
      </w:pPr>
      <w:r w:rsidRPr="000665B0">
        <w:t xml:space="preserve">MinorRevisionDeleted </w:t>
      </w:r>
      <w:r w:rsidR="00851DCA" w:rsidRPr="000665B0">
        <w:sym w:font="Wingdings" w:char="F0E0"/>
      </w:r>
      <w:r w:rsidRPr="000665B0">
        <w:t xml:space="preserve"> 0</w:t>
      </w:r>
    </w:p>
    <w:p w14:paraId="1D4883BB" w14:textId="77777777" w:rsidR="00720A00" w:rsidRPr="000665B0" w:rsidRDefault="00720A00" w:rsidP="006D5A65">
      <w:pPr>
        <w:pStyle w:val="Heading2"/>
      </w:pPr>
      <w:r w:rsidRPr="000665B0">
        <w:t>Update the new reservation</w:t>
      </w:r>
    </w:p>
    <w:p w14:paraId="01F255F5" w14:textId="77777777" w:rsidR="00720A00" w:rsidRPr="000665B0" w:rsidRDefault="00720A00" w:rsidP="006D5A65">
      <w:pPr>
        <w:pStyle w:val="Heading3"/>
        <w:rPr>
          <w:rFonts w:eastAsia="Arial Unicode MS"/>
        </w:rPr>
      </w:pPr>
      <w:r w:rsidRPr="000665B0">
        <w:t xml:space="preserve">RevisionAdded </w:t>
      </w:r>
      <w:r w:rsidR="00851DCA" w:rsidRPr="000665B0">
        <w:sym w:font="Wingdings" w:char="F0E0"/>
      </w:r>
      <w:r w:rsidRPr="000665B0">
        <w:t xml:space="preserve"> new rev from the 4.5</w:t>
      </w:r>
    </w:p>
    <w:p w14:paraId="48D8543F" w14:textId="77777777" w:rsidR="00720A00" w:rsidRPr="000665B0" w:rsidRDefault="00720A00" w:rsidP="006D5A65">
      <w:pPr>
        <w:pStyle w:val="Heading3"/>
      </w:pPr>
      <w:r w:rsidRPr="000665B0">
        <w:t xml:space="preserve">MinorRevisionAdded </w:t>
      </w:r>
      <w:r w:rsidR="00851DCA" w:rsidRPr="000665B0">
        <w:sym w:font="Wingdings" w:char="F0E0"/>
      </w:r>
      <w:r w:rsidRPr="000665B0">
        <w:t xml:space="preserve"> 0</w:t>
      </w:r>
    </w:p>
    <w:p w14:paraId="2E24D03A" w14:textId="77777777" w:rsidR="00720A00" w:rsidRPr="000665B0" w:rsidRDefault="00720A00" w:rsidP="006D5A65">
      <w:pPr>
        <w:pStyle w:val="Heading3"/>
      </w:pPr>
      <w:r w:rsidRPr="000665B0">
        <w:t xml:space="preserve">ReservationNumber </w:t>
      </w:r>
      <w:r w:rsidR="00851DCA" w:rsidRPr="000665B0">
        <w:sym w:font="Wingdings" w:char="F0E0"/>
      </w:r>
      <w:r w:rsidRPr="000665B0">
        <w:t xml:space="preserve"> next available</w:t>
      </w:r>
    </w:p>
    <w:p w14:paraId="55551BA8" w14:textId="77777777" w:rsidR="00720A00" w:rsidRPr="000665B0" w:rsidRDefault="00720A00" w:rsidP="006D5A65">
      <w:pPr>
        <w:pStyle w:val="Heading2"/>
      </w:pPr>
      <w:r w:rsidRPr="000665B0">
        <w:t>Both will be part of the strike</w:t>
      </w:r>
    </w:p>
    <w:p w14:paraId="3D12ED06" w14:textId="77777777" w:rsidR="00720A00" w:rsidRPr="000665B0" w:rsidRDefault="00720A00" w:rsidP="006D5A65">
      <w:pPr>
        <w:pStyle w:val="Heading4"/>
      </w:pPr>
      <w:r w:rsidRPr="000665B0">
        <w:t>Other change</w:t>
      </w:r>
    </w:p>
    <w:p w14:paraId="1A1BD5B9" w14:textId="77777777" w:rsidR="00720A00" w:rsidRPr="000665B0" w:rsidRDefault="00720A00" w:rsidP="006D5A65">
      <w:pPr>
        <w:pStyle w:val="Heading2"/>
      </w:pPr>
      <w:r w:rsidRPr="000665B0">
        <w:t xml:space="preserve">RevisionChanged </w:t>
      </w:r>
      <w:r w:rsidR="00682A8E" w:rsidRPr="000665B0">
        <w:sym w:font="Wingdings" w:char="F0E0"/>
      </w:r>
      <w:r w:rsidRPr="000665B0">
        <w:t xml:space="preserve"> new rev from the 4.5</w:t>
      </w:r>
    </w:p>
    <w:p w14:paraId="38E2EC2E" w14:textId="77777777" w:rsidR="00720A00" w:rsidRPr="000665B0" w:rsidRDefault="00720A00" w:rsidP="006D5A65">
      <w:pPr>
        <w:pStyle w:val="Heading2"/>
      </w:pPr>
      <w:r w:rsidRPr="000665B0">
        <w:t xml:space="preserve">MinorRevisionChanged </w:t>
      </w:r>
      <w:r w:rsidR="00682A8E" w:rsidRPr="000665B0">
        <w:sym w:font="Wingdings" w:char="F0E0"/>
      </w:r>
      <w:r w:rsidRPr="000665B0">
        <w:t xml:space="preserve"> 0</w:t>
      </w:r>
    </w:p>
    <w:p w14:paraId="748B6F9C" w14:textId="77777777" w:rsidR="00720A00" w:rsidRPr="000665B0" w:rsidRDefault="00720A00" w:rsidP="006D5A65">
      <w:pPr>
        <w:pStyle w:val="Heading4"/>
      </w:pPr>
      <w:r w:rsidRPr="000665B0">
        <w:lastRenderedPageBreak/>
        <w:t xml:space="preserve">Resv is </w:t>
      </w:r>
      <w:r w:rsidR="00051214" w:rsidRPr="000665B0">
        <w:t>109E</w:t>
      </w:r>
      <w:r w:rsidRPr="000665B0">
        <w:t xml:space="preserve"> with comms enabled for the updated resv</w:t>
      </w:r>
    </w:p>
    <w:p w14:paraId="244597C7" w14:textId="77777777" w:rsidR="00720A00" w:rsidRPr="000665B0" w:rsidRDefault="00720A00" w:rsidP="006D5A65">
      <w:pPr>
        <w:pStyle w:val="Heading4"/>
      </w:pPr>
      <w:r w:rsidRPr="000665B0">
        <w:t>If any overall strike comms (channel num, msl subscribe id set, controller DTA/ missile DTA, comsec key, extend comsec, transec) changed:</w:t>
      </w:r>
    </w:p>
    <w:p w14:paraId="1CDC7A8C" w14:textId="1DCE277E" w:rsidR="00720A00" w:rsidRPr="000665B0" w:rsidRDefault="00720A00" w:rsidP="006D5A65">
      <w:pPr>
        <w:pStyle w:val="Heading2"/>
      </w:pPr>
      <w:r w:rsidRPr="000665B0">
        <w:t>If any TSN comms par</w:t>
      </w:r>
      <w:r w:rsidR="001A003F" w:rsidRPr="000665B0">
        <w:t>a</w:t>
      </w:r>
      <w:r w:rsidRPr="000665B0">
        <w:t>m</w:t>
      </w:r>
      <w:r w:rsidR="00675EDA" w:rsidRPr="000665B0">
        <w:t>e</w:t>
      </w:r>
      <w:r w:rsidR="00E72B30" w:rsidRPr="000665B0">
        <w:t>ters</w:t>
      </w:r>
      <w:r w:rsidRPr="000665B0">
        <w:t xml:space="preserve"> changed</w:t>
      </w:r>
    </w:p>
    <w:p w14:paraId="51560AC0" w14:textId="77777777" w:rsidR="00720A00" w:rsidRPr="000665B0" w:rsidRDefault="00720A00" w:rsidP="006D5A65">
      <w:pPr>
        <w:pStyle w:val="Heading2"/>
      </w:pPr>
      <w:r w:rsidRPr="000665B0">
        <w:t>Different num of scheduled TSN messages</w:t>
      </w:r>
    </w:p>
    <w:p w14:paraId="6CE742EF" w14:textId="77777777" w:rsidR="00720A00" w:rsidRPr="000665B0" w:rsidRDefault="00720A00" w:rsidP="006D5A65">
      <w:pPr>
        <w:pStyle w:val="Heading2"/>
      </w:pPr>
      <w:r w:rsidRPr="000665B0">
        <w:t>Any scheduled TSN message changed</w:t>
      </w:r>
    </w:p>
    <w:p w14:paraId="7EFFCD32" w14:textId="77777777" w:rsidR="00720A00" w:rsidRPr="000665B0" w:rsidRDefault="00720A00" w:rsidP="006D5A65">
      <w:pPr>
        <w:pStyle w:val="Heading3"/>
      </w:pPr>
      <w:r w:rsidRPr="000665B0">
        <w:t>Missile Parameters</w:t>
      </w:r>
    </w:p>
    <w:p w14:paraId="366FF977" w14:textId="77777777" w:rsidR="00720A00" w:rsidRPr="000665B0" w:rsidRDefault="00720A00" w:rsidP="006D5A65">
      <w:pPr>
        <w:pStyle w:val="Heading4"/>
      </w:pPr>
      <w:r w:rsidRPr="000665B0">
        <w:t xml:space="preserve">RevisionChanged </w:t>
      </w:r>
      <w:r w:rsidR="00682A8E" w:rsidRPr="000665B0">
        <w:sym w:font="Wingdings" w:char="F0E0"/>
      </w:r>
      <w:r w:rsidRPr="000665B0">
        <w:t xml:space="preserve"> new rev from the 4.5</w:t>
      </w:r>
    </w:p>
    <w:p w14:paraId="00C21F47" w14:textId="77777777" w:rsidR="00720A00" w:rsidRPr="000665B0" w:rsidRDefault="00720A00" w:rsidP="006D5A65">
      <w:pPr>
        <w:pStyle w:val="Heading4"/>
      </w:pPr>
      <w:r w:rsidRPr="000665B0">
        <w:t xml:space="preserve">MinorRevisionChanged </w:t>
      </w:r>
      <w:r w:rsidR="00682A8E" w:rsidRPr="000665B0">
        <w:sym w:font="Wingdings" w:char="F0E0"/>
      </w:r>
      <w:r w:rsidRPr="000665B0">
        <w:t xml:space="preserve"> 0</w:t>
      </w:r>
    </w:p>
    <w:p w14:paraId="3236A07D" w14:textId="77777777" w:rsidR="00720A00" w:rsidRPr="000665B0" w:rsidRDefault="00720A00" w:rsidP="006D5A65">
      <w:pPr>
        <w:pStyle w:val="Heading3"/>
      </w:pPr>
      <w:r w:rsidRPr="000665B0">
        <w:t>Reservation (and the spare when it exists)</w:t>
      </w:r>
    </w:p>
    <w:p w14:paraId="74B7B001" w14:textId="77777777" w:rsidR="00720A00" w:rsidRPr="000665B0" w:rsidRDefault="00720A00" w:rsidP="006D5A65">
      <w:pPr>
        <w:pStyle w:val="Heading4"/>
      </w:pPr>
      <w:r w:rsidRPr="000665B0">
        <w:t xml:space="preserve">RevisionChanged </w:t>
      </w:r>
      <w:r w:rsidR="00B902C5" w:rsidRPr="000665B0">
        <w:sym w:font="Wingdings" w:char="F0E0"/>
      </w:r>
      <w:r w:rsidRPr="000665B0">
        <w:t xml:space="preserve"> new rev from the 4.5</w:t>
      </w:r>
    </w:p>
    <w:p w14:paraId="45E7FE7A" w14:textId="77777777" w:rsidR="00720A00" w:rsidRPr="000665B0" w:rsidRDefault="00720A00" w:rsidP="006D5A65">
      <w:pPr>
        <w:pStyle w:val="Heading4"/>
      </w:pPr>
      <w:r w:rsidRPr="000665B0">
        <w:t xml:space="preserve">MinorRevisionChanged </w:t>
      </w:r>
      <w:r w:rsidR="00B902C5" w:rsidRPr="000665B0">
        <w:sym w:font="Wingdings" w:char="F0E0"/>
      </w:r>
      <w:r w:rsidRPr="000665B0">
        <w:t xml:space="preserve"> 0</w:t>
      </w:r>
    </w:p>
    <w:p w14:paraId="701A63F6" w14:textId="77777777" w:rsidR="00720A00" w:rsidRPr="000665B0" w:rsidRDefault="00720A00" w:rsidP="00541B49">
      <w:pPr>
        <w:spacing w:after="0" w:line="240" w:lineRule="auto"/>
        <w:ind w:left="1080"/>
        <w:rPr>
          <w:szCs w:val="24"/>
        </w:rPr>
      </w:pPr>
      <w:r w:rsidRPr="000665B0">
        <w:rPr>
          <w:i/>
          <w:szCs w:val="24"/>
        </w:rPr>
        <w:t>New</w:t>
      </w:r>
      <w:r w:rsidRPr="000665B0">
        <w:rPr>
          <w:szCs w:val="24"/>
        </w:rPr>
        <w:t xml:space="preserve"> reservation (not in the 5.1</w:t>
      </w:r>
      <w:r w:rsidR="00103E2B" w:rsidRPr="000665B0">
        <w:rPr>
          <w:szCs w:val="24"/>
        </w:rPr>
        <w:t xml:space="preserve"> [and above]</w:t>
      </w:r>
      <w:r w:rsidRPr="000665B0">
        <w:rPr>
          <w:szCs w:val="24"/>
        </w:rPr>
        <w:t xml:space="preserve"> strike)</w:t>
      </w:r>
      <w:r w:rsidR="00294D00" w:rsidRPr="000665B0">
        <w:rPr>
          <w:szCs w:val="24"/>
        </w:rPr>
        <w:t>:</w:t>
      </w:r>
      <w:r w:rsidRPr="000665B0">
        <w:rPr>
          <w:szCs w:val="24"/>
        </w:rPr>
        <w:t xml:space="preserve"> </w:t>
      </w:r>
    </w:p>
    <w:p w14:paraId="3F79C5CF" w14:textId="77777777" w:rsidR="00720A00" w:rsidRPr="000665B0" w:rsidRDefault="00720A00" w:rsidP="006D5A65">
      <w:pPr>
        <w:pStyle w:val="Heading4"/>
      </w:pPr>
      <w:r w:rsidRPr="000665B0">
        <w:lastRenderedPageBreak/>
        <w:t xml:space="preserve">ReadySpareDeltaTimeSeconds </w:t>
      </w:r>
      <w:r w:rsidR="00541B49" w:rsidRPr="000665B0">
        <w:rPr>
          <w:szCs w:val="24"/>
        </w:rPr>
        <w:sym w:font="Wingdings" w:char="F0E0"/>
      </w:r>
      <w:r w:rsidRPr="000665B0">
        <w:t xml:space="preserve"> null unless it’s a ready spare then default to 1800 (seconds)</w:t>
      </w:r>
    </w:p>
    <w:p w14:paraId="3DA67057" w14:textId="77777777" w:rsidR="00720A00" w:rsidRPr="000665B0" w:rsidRDefault="00720A00" w:rsidP="006D5A65">
      <w:pPr>
        <w:pStyle w:val="Heading4"/>
      </w:pPr>
      <w:r w:rsidRPr="000665B0">
        <w:t xml:space="preserve">ExecuteBackupTasking </w:t>
      </w:r>
      <w:r w:rsidR="00541B49" w:rsidRPr="000665B0">
        <w:rPr>
          <w:szCs w:val="24"/>
        </w:rPr>
        <w:sym w:font="Wingdings" w:char="F0E0"/>
      </w:r>
      <w:r w:rsidRPr="000665B0">
        <w:t xml:space="preserve"> false</w:t>
      </w:r>
    </w:p>
    <w:p w14:paraId="353080CA" w14:textId="77777777" w:rsidR="00720A00" w:rsidRPr="000665B0" w:rsidRDefault="00720A00" w:rsidP="006D5A65">
      <w:pPr>
        <w:pStyle w:val="Heading4"/>
      </w:pPr>
      <w:r w:rsidRPr="000665B0">
        <w:t xml:space="preserve">TargetLineDesignator </w:t>
      </w:r>
      <w:r w:rsidR="00541B49" w:rsidRPr="000665B0">
        <w:rPr>
          <w:szCs w:val="24"/>
        </w:rPr>
        <w:sym w:font="Wingdings" w:char="F0E0"/>
      </w:r>
      <w:r w:rsidRPr="000665B0">
        <w:t xml:space="preserve"> 8 spaces</w:t>
      </w:r>
    </w:p>
    <w:p w14:paraId="20C98E4A" w14:textId="77777777" w:rsidR="00720A00" w:rsidRPr="000665B0" w:rsidRDefault="00720A00" w:rsidP="006D5A65">
      <w:pPr>
        <w:pStyle w:val="Heading4"/>
      </w:pPr>
      <w:r w:rsidRPr="000665B0">
        <w:t xml:space="preserve">RevisionAdded </w:t>
      </w:r>
      <w:r w:rsidR="00541B49" w:rsidRPr="000665B0">
        <w:rPr>
          <w:szCs w:val="24"/>
        </w:rPr>
        <w:sym w:font="Wingdings" w:char="F0E0"/>
      </w:r>
      <w:r w:rsidRPr="000665B0">
        <w:t xml:space="preserve"> new rev from the 4.5</w:t>
      </w:r>
    </w:p>
    <w:p w14:paraId="6F647C9B" w14:textId="77777777" w:rsidR="00720A00" w:rsidRPr="000665B0" w:rsidRDefault="00720A00" w:rsidP="006D5A65">
      <w:pPr>
        <w:pStyle w:val="Heading4"/>
      </w:pPr>
      <w:r w:rsidRPr="000665B0">
        <w:t xml:space="preserve">MinorRevisionAdded </w:t>
      </w:r>
      <w:r w:rsidR="00541B49" w:rsidRPr="000665B0">
        <w:rPr>
          <w:szCs w:val="24"/>
        </w:rPr>
        <w:sym w:font="Wingdings" w:char="F0E0"/>
      </w:r>
      <w:r w:rsidRPr="000665B0">
        <w:t xml:space="preserve"> 0</w:t>
      </w:r>
    </w:p>
    <w:p w14:paraId="7D0D2A56" w14:textId="77777777" w:rsidR="00720A00" w:rsidRPr="000665B0" w:rsidRDefault="00720A00" w:rsidP="006D5A65">
      <w:pPr>
        <w:pStyle w:val="Heading4"/>
      </w:pPr>
      <w:r w:rsidRPr="000665B0">
        <w:t xml:space="preserve">RevisionChanged </w:t>
      </w:r>
      <w:r w:rsidR="00541B49" w:rsidRPr="000665B0">
        <w:rPr>
          <w:szCs w:val="24"/>
        </w:rPr>
        <w:sym w:font="Wingdings" w:char="F0E0"/>
      </w:r>
      <w:r w:rsidRPr="000665B0">
        <w:t xml:space="preserve"> null</w:t>
      </w:r>
    </w:p>
    <w:p w14:paraId="7D1E11F6" w14:textId="77777777" w:rsidR="00720A00" w:rsidRPr="000665B0" w:rsidRDefault="00720A00" w:rsidP="006D5A65">
      <w:pPr>
        <w:pStyle w:val="Heading4"/>
      </w:pPr>
      <w:r w:rsidRPr="000665B0">
        <w:t xml:space="preserve">MinorRevisionChanged </w:t>
      </w:r>
      <w:r w:rsidR="00541B49" w:rsidRPr="000665B0">
        <w:rPr>
          <w:szCs w:val="24"/>
        </w:rPr>
        <w:sym w:font="Wingdings" w:char="F0E0"/>
      </w:r>
      <w:r w:rsidRPr="000665B0">
        <w:t xml:space="preserve"> null</w:t>
      </w:r>
    </w:p>
    <w:p w14:paraId="05A3F9CA" w14:textId="77777777" w:rsidR="00720A00" w:rsidRPr="000665B0" w:rsidRDefault="00720A00" w:rsidP="006D5A65">
      <w:pPr>
        <w:pStyle w:val="Heading4"/>
      </w:pPr>
      <w:r w:rsidRPr="000665B0">
        <w:t xml:space="preserve">RevisionDeleted </w:t>
      </w:r>
      <w:r w:rsidR="00541B49" w:rsidRPr="000665B0">
        <w:rPr>
          <w:szCs w:val="24"/>
        </w:rPr>
        <w:sym w:font="Wingdings" w:char="F0E0"/>
      </w:r>
      <w:r w:rsidRPr="000665B0">
        <w:t xml:space="preserve"> null</w:t>
      </w:r>
    </w:p>
    <w:p w14:paraId="7EB271C0" w14:textId="77777777" w:rsidR="00720A00" w:rsidRPr="000665B0" w:rsidRDefault="00720A00" w:rsidP="006D5A65">
      <w:pPr>
        <w:pStyle w:val="Heading4"/>
      </w:pPr>
      <w:r w:rsidRPr="000665B0">
        <w:t xml:space="preserve">MinorRevisionDeleted </w:t>
      </w:r>
      <w:r w:rsidR="00541B49" w:rsidRPr="000665B0">
        <w:rPr>
          <w:szCs w:val="24"/>
        </w:rPr>
        <w:sym w:font="Wingdings" w:char="F0E0"/>
      </w:r>
      <w:r w:rsidRPr="000665B0">
        <w:t xml:space="preserve"> null</w:t>
      </w:r>
    </w:p>
    <w:p w14:paraId="1EC2DBDF" w14:textId="77777777" w:rsidR="00720A00" w:rsidRPr="000665B0" w:rsidRDefault="00720A00" w:rsidP="006D5A65">
      <w:pPr>
        <w:pStyle w:val="Heading4"/>
      </w:pPr>
      <w:r w:rsidRPr="000665B0">
        <w:t xml:space="preserve">RevisionUnsupported </w:t>
      </w:r>
      <w:r w:rsidR="00541B49" w:rsidRPr="000665B0">
        <w:rPr>
          <w:szCs w:val="24"/>
        </w:rPr>
        <w:sym w:font="Wingdings" w:char="F0E0"/>
      </w:r>
      <w:r w:rsidRPr="000665B0">
        <w:t xml:space="preserve"> null</w:t>
      </w:r>
    </w:p>
    <w:p w14:paraId="3479BD13" w14:textId="77777777" w:rsidR="00720A00" w:rsidRPr="000665B0" w:rsidRDefault="00720A00" w:rsidP="006D5A65">
      <w:pPr>
        <w:pStyle w:val="Heading4"/>
      </w:pPr>
      <w:r w:rsidRPr="000665B0">
        <w:t xml:space="preserve">MinorRevisionUnsupported </w:t>
      </w:r>
      <w:r w:rsidR="00541B49" w:rsidRPr="000665B0">
        <w:rPr>
          <w:szCs w:val="24"/>
        </w:rPr>
        <w:sym w:font="Wingdings" w:char="F0E0"/>
      </w:r>
      <w:r w:rsidRPr="000665B0">
        <w:t xml:space="preserve"> null</w:t>
      </w:r>
    </w:p>
    <w:p w14:paraId="3D574B2F" w14:textId="77777777" w:rsidR="00720A00" w:rsidRPr="000665B0" w:rsidRDefault="00720A00" w:rsidP="006D5A65">
      <w:pPr>
        <w:pStyle w:val="Heading4"/>
      </w:pPr>
      <w:r w:rsidRPr="000665B0">
        <w:t xml:space="preserve">RevisionSupported </w:t>
      </w:r>
      <w:r w:rsidR="00541B49" w:rsidRPr="000665B0">
        <w:rPr>
          <w:szCs w:val="24"/>
        </w:rPr>
        <w:sym w:font="Wingdings" w:char="F0E0"/>
      </w:r>
      <w:r w:rsidRPr="000665B0">
        <w:t xml:space="preserve"> null</w:t>
      </w:r>
    </w:p>
    <w:p w14:paraId="58EC1646" w14:textId="77777777" w:rsidR="00720A00" w:rsidRPr="000665B0" w:rsidRDefault="00720A00" w:rsidP="006D5A65">
      <w:pPr>
        <w:pStyle w:val="Heading4"/>
      </w:pPr>
      <w:r w:rsidRPr="000665B0">
        <w:t xml:space="preserve">MinorRevisionSupported </w:t>
      </w:r>
      <w:r w:rsidR="00541B49" w:rsidRPr="000665B0">
        <w:rPr>
          <w:szCs w:val="24"/>
        </w:rPr>
        <w:sym w:font="Wingdings" w:char="F0E0"/>
      </w:r>
      <w:r w:rsidRPr="000665B0">
        <w:t xml:space="preserve"> null</w:t>
      </w:r>
    </w:p>
    <w:p w14:paraId="741F7137" w14:textId="77777777" w:rsidR="00720A00" w:rsidRPr="000665B0" w:rsidRDefault="00720A00" w:rsidP="001D7CDF">
      <w:pPr>
        <w:spacing w:after="0" w:line="240" w:lineRule="auto"/>
        <w:ind w:left="720"/>
        <w:rPr>
          <w:szCs w:val="24"/>
        </w:rPr>
      </w:pPr>
      <w:r w:rsidRPr="000665B0">
        <w:rPr>
          <w:szCs w:val="24"/>
        </w:rPr>
        <w:t>Reservation (for each reservation in existing strike) – and existing resv is a package</w:t>
      </w:r>
      <w:r w:rsidR="001D7CDF" w:rsidRPr="000665B0">
        <w:rPr>
          <w:szCs w:val="24"/>
        </w:rPr>
        <w:t xml:space="preserve"> not </w:t>
      </w:r>
      <w:r w:rsidRPr="000665B0">
        <w:rPr>
          <w:szCs w:val="24"/>
        </w:rPr>
        <w:t>in the 4.5 updated strike</w:t>
      </w:r>
      <w:r w:rsidR="00294D00" w:rsidRPr="000665B0">
        <w:rPr>
          <w:szCs w:val="24"/>
        </w:rPr>
        <w:t>:</w:t>
      </w:r>
    </w:p>
    <w:p w14:paraId="7547397F" w14:textId="77777777" w:rsidR="00720A00" w:rsidRPr="000665B0" w:rsidRDefault="00720A00" w:rsidP="006D5A65">
      <w:pPr>
        <w:pStyle w:val="Heading4"/>
      </w:pPr>
      <w:r w:rsidRPr="000665B0">
        <w:t>Get ALL reservation data from the 5.1</w:t>
      </w:r>
      <w:r w:rsidR="00103E2B" w:rsidRPr="000665B0">
        <w:t xml:space="preserve"> </w:t>
      </w:r>
      <w:r w:rsidR="00103E2B" w:rsidRPr="000665B0">
        <w:rPr>
          <w:rFonts w:eastAsia="Calibri"/>
          <w:szCs w:val="24"/>
        </w:rPr>
        <w:t>(and above)</w:t>
      </w:r>
      <w:r w:rsidRPr="000665B0">
        <w:t xml:space="preserve"> resv</w:t>
      </w:r>
    </w:p>
    <w:p w14:paraId="4875BA57" w14:textId="77777777" w:rsidR="00720A00" w:rsidRPr="000665B0" w:rsidRDefault="00720A00" w:rsidP="006D5A65">
      <w:pPr>
        <w:pStyle w:val="Heading4"/>
      </w:pPr>
      <w:r w:rsidRPr="000665B0">
        <w:t xml:space="preserve">RevisionDeleted </w:t>
      </w:r>
      <w:r w:rsidR="008A5ADE" w:rsidRPr="000665B0">
        <w:rPr>
          <w:szCs w:val="24"/>
        </w:rPr>
        <w:sym w:font="Wingdings" w:char="F0E0"/>
      </w:r>
      <w:r w:rsidRPr="000665B0">
        <w:t xml:space="preserve"> new rev from the 4.5</w:t>
      </w:r>
    </w:p>
    <w:p w14:paraId="677A8986" w14:textId="77777777" w:rsidR="00720A00" w:rsidRPr="000665B0" w:rsidRDefault="00720A00" w:rsidP="006D5A65">
      <w:pPr>
        <w:pStyle w:val="Heading4"/>
      </w:pPr>
      <w:r w:rsidRPr="000665B0">
        <w:t xml:space="preserve">MinorRevisionDeleted </w:t>
      </w:r>
      <w:r w:rsidR="008A5ADE" w:rsidRPr="000665B0">
        <w:rPr>
          <w:szCs w:val="24"/>
        </w:rPr>
        <w:sym w:font="Wingdings" w:char="F0E0"/>
      </w:r>
      <w:r w:rsidRPr="000665B0">
        <w:t xml:space="preserve"> 0</w:t>
      </w:r>
    </w:p>
    <w:p w14:paraId="62FAC56D" w14:textId="1DC4AFF3" w:rsidR="0091699F" w:rsidRPr="000665B0" w:rsidRDefault="00720A00" w:rsidP="0091699F">
      <w:pPr>
        <w:spacing w:line="240" w:lineRule="auto"/>
      </w:pPr>
      <w:r w:rsidRPr="000665B0">
        <w:t>A strike package from MDS</w:t>
      </w:r>
      <w:r w:rsidR="0079073D" w:rsidRPr="000665B0">
        <w:t>/</w:t>
      </w:r>
      <w:r w:rsidRPr="000665B0">
        <w:t xml:space="preserve">TED 5.1 </w:t>
      </w:r>
      <w:r w:rsidR="00103E2B" w:rsidRPr="000665B0">
        <w:rPr>
          <w:rFonts w:eastAsia="Calibri"/>
          <w:szCs w:val="24"/>
        </w:rPr>
        <w:t xml:space="preserve">(and above) </w:t>
      </w:r>
      <w:r w:rsidRPr="000665B0">
        <w:t xml:space="preserve">with a non-null use state sent to a legacy MDS will have its TMPR assignments stripped out. They will however remain in the 5.1 </w:t>
      </w:r>
      <w:r w:rsidR="00103E2B" w:rsidRPr="000665B0">
        <w:rPr>
          <w:rFonts w:eastAsia="Calibri"/>
          <w:szCs w:val="24"/>
        </w:rPr>
        <w:t xml:space="preserve">(and above) </w:t>
      </w:r>
      <w:r w:rsidRPr="000665B0">
        <w:t>system even if the 4.5 MDS updates the strike. The TMPR can only be retained if the strike exists on the 5.1</w:t>
      </w:r>
      <w:r w:rsidR="00103E2B" w:rsidRPr="000665B0">
        <w:t xml:space="preserve"> </w:t>
      </w:r>
      <w:r w:rsidR="00103E2B" w:rsidRPr="000665B0">
        <w:rPr>
          <w:rFonts w:eastAsia="Calibri"/>
          <w:szCs w:val="24"/>
        </w:rPr>
        <w:t>(and above)</w:t>
      </w:r>
      <w:r w:rsidR="008A5ADE" w:rsidRPr="000665B0">
        <w:t xml:space="preserve"> system</w:t>
      </w:r>
      <w:r w:rsidRPr="000665B0">
        <w:t xml:space="preserve">. </w:t>
      </w:r>
      <w:r w:rsidR="00DC455B" w:rsidRPr="000665B0">
        <w:t>Thus,</w:t>
      </w:r>
      <w:r w:rsidRPr="000665B0">
        <w:t xml:space="preserve"> if a 5.1</w:t>
      </w:r>
      <w:r w:rsidR="00103E2B" w:rsidRPr="000665B0">
        <w:t xml:space="preserve"> </w:t>
      </w:r>
      <w:r w:rsidR="00103E2B" w:rsidRPr="000665B0">
        <w:rPr>
          <w:rFonts w:eastAsia="Calibri"/>
          <w:szCs w:val="24"/>
        </w:rPr>
        <w:t>(and above)</w:t>
      </w:r>
      <w:r w:rsidRPr="000665B0">
        <w:t xml:space="preserve"> </w:t>
      </w:r>
      <w:r w:rsidR="001D7CDF" w:rsidRPr="000665B0">
        <w:t xml:space="preserve">system </w:t>
      </w:r>
      <w:r w:rsidRPr="000665B0">
        <w:t>never receives a strike from another 5.1</w:t>
      </w:r>
      <w:r w:rsidR="00103E2B" w:rsidRPr="000665B0">
        <w:t xml:space="preserve"> </w:t>
      </w:r>
      <w:r w:rsidR="00103E2B" w:rsidRPr="000665B0">
        <w:rPr>
          <w:rFonts w:eastAsia="Calibri"/>
          <w:szCs w:val="24"/>
        </w:rPr>
        <w:t>(and above)</w:t>
      </w:r>
      <w:r w:rsidRPr="000665B0">
        <w:t xml:space="preserve"> before receiving it from the 4.5, it will not contain the TMPR. Also</w:t>
      </w:r>
      <w:r w:rsidR="008A5ADE" w:rsidRPr="000665B0">
        <w:t>,</w:t>
      </w:r>
      <w:r w:rsidRPr="000665B0">
        <w:t xml:space="preserve"> if the original 5.1</w:t>
      </w:r>
      <w:r w:rsidR="00103E2B" w:rsidRPr="000665B0">
        <w:t xml:space="preserve"> </w:t>
      </w:r>
      <w:r w:rsidR="00103E2B" w:rsidRPr="000665B0">
        <w:rPr>
          <w:rFonts w:eastAsia="Calibri"/>
          <w:szCs w:val="24"/>
        </w:rPr>
        <w:t>(and above)</w:t>
      </w:r>
      <w:r w:rsidRPr="000665B0">
        <w:t xml:space="preserve"> </w:t>
      </w:r>
      <w:r w:rsidR="001D7CDF" w:rsidRPr="000665B0">
        <w:t xml:space="preserve">system </w:t>
      </w:r>
      <w:r w:rsidRPr="000665B0">
        <w:t>deleted the strike before receiving it from the 4.5</w:t>
      </w:r>
      <w:r w:rsidR="001D7CDF" w:rsidRPr="000665B0">
        <w:t xml:space="preserve"> system</w:t>
      </w:r>
      <w:r w:rsidRPr="000665B0">
        <w:t>, the TMPR assignment will be lost.</w:t>
      </w:r>
    </w:p>
    <w:p w14:paraId="3866E25A" w14:textId="18E665D7" w:rsidR="00B6360F" w:rsidRPr="000665B0" w:rsidRDefault="00B6360F" w:rsidP="00951D5A">
      <w:pPr>
        <w:pageBreakBefore/>
        <w:spacing w:line="240" w:lineRule="auto"/>
        <w:rPr>
          <w:b/>
        </w:rPr>
      </w:pPr>
      <w:bookmarkStart w:id="7456" w:name="_Hlk66978846"/>
      <w:r w:rsidRPr="000665B0">
        <w:rPr>
          <w:rFonts w:eastAsia="Calibri"/>
          <w:b/>
        </w:rPr>
        <w:lastRenderedPageBreak/>
        <w:t xml:space="preserve">Note </w:t>
      </w:r>
      <w:r w:rsidR="00875983" w:rsidRPr="000665B0">
        <w:rPr>
          <w:rFonts w:eastAsia="Calibri"/>
          <w:b/>
        </w:rPr>
        <w:t>1</w:t>
      </w:r>
      <w:r w:rsidR="007A6098" w:rsidRPr="000665B0">
        <w:rPr>
          <w:rFonts w:eastAsia="Calibri"/>
          <w:b/>
        </w:rPr>
        <w:t>5</w:t>
      </w:r>
      <w:r w:rsidR="00875983" w:rsidRPr="000665B0">
        <w:rPr>
          <w:rFonts w:eastAsia="Calibri"/>
          <w:b/>
        </w:rPr>
        <w:t xml:space="preserve"> </w:t>
      </w:r>
      <w:r w:rsidRPr="000665B0">
        <w:rPr>
          <w:rFonts w:eastAsia="Calibri"/>
          <w:b/>
        </w:rPr>
        <w:t>(</w:t>
      </w:r>
      <w:r w:rsidRPr="000665B0">
        <w:rPr>
          <w:b/>
        </w:rPr>
        <w:t>MDS/TED 6.0</w:t>
      </w:r>
      <w:r w:rsidR="005619C1" w:rsidRPr="000665B0">
        <w:rPr>
          <w:b/>
        </w:rPr>
        <w:t xml:space="preserve"> [and above]</w:t>
      </w:r>
      <w:r w:rsidRPr="000665B0">
        <w:rPr>
          <w:b/>
        </w:rPr>
        <w:t xml:space="preserve"> Data Limitations)</w:t>
      </w:r>
    </w:p>
    <w:p w14:paraId="5E066D9C" w14:textId="302BCE20" w:rsidR="00B6360F" w:rsidRPr="000665B0" w:rsidRDefault="00B6360F" w:rsidP="00B6360F">
      <w:pPr>
        <w:spacing w:line="240" w:lineRule="auto"/>
      </w:pPr>
      <w:r w:rsidRPr="000665B0">
        <w:t>MDS/TED 6.0 introduced several new types of data that can only be distributed to MDS/TED 6.0</w:t>
      </w:r>
      <w:r w:rsidR="005619C1" w:rsidRPr="000665B0">
        <w:t xml:space="preserve"> (and above)</w:t>
      </w:r>
      <w:r w:rsidRPr="000665B0">
        <w:t xml:space="preserve"> systems. The data type</w:t>
      </w:r>
      <w:r w:rsidR="009B32F3">
        <w:t>s</w:t>
      </w:r>
      <w:r w:rsidRPr="000665B0">
        <w:t xml:space="preserve"> are listed as a data limitation if an attempt is made to send to an MDS/TED 5.</w:t>
      </w:r>
      <w:r w:rsidR="00021FDC" w:rsidRPr="000665B0">
        <w:t>x</w:t>
      </w:r>
      <w:r w:rsidRPr="000665B0">
        <w:t xml:space="preserve"> system. These data types include:</w:t>
      </w:r>
    </w:p>
    <w:p w14:paraId="37A7EE7C" w14:textId="77777777" w:rsidR="00B6360F" w:rsidRPr="000665B0" w:rsidRDefault="00B6360F" w:rsidP="006D5A65">
      <w:pPr>
        <w:pStyle w:val="Heading1"/>
        <w:rPr>
          <w:rFonts w:ascii="Calibri" w:hAnsi="Calibri"/>
        </w:rPr>
      </w:pPr>
      <w:r w:rsidRPr="000665B0">
        <w:t>ACA Data:</w:t>
      </w:r>
    </w:p>
    <w:p w14:paraId="4074EBB4" w14:textId="77777777" w:rsidR="00B6360F" w:rsidRPr="000665B0" w:rsidRDefault="00B6360F" w:rsidP="006D5A65">
      <w:pPr>
        <w:pStyle w:val="Heading2"/>
        <w:rPr>
          <w:rFonts w:ascii="Calibri" w:hAnsi="Calibri"/>
        </w:rPr>
      </w:pPr>
      <w:r w:rsidRPr="000665B0">
        <w:t>New ACA Specific crypto keys</w:t>
      </w:r>
    </w:p>
    <w:p w14:paraId="60833E5E" w14:textId="635DE826" w:rsidR="00B6360F" w:rsidRPr="000665B0" w:rsidRDefault="00B6360F" w:rsidP="006D5A65">
      <w:pPr>
        <w:pStyle w:val="Heading3"/>
        <w:rPr>
          <w:rFonts w:ascii="Calibri" w:hAnsi="Calibri"/>
        </w:rPr>
      </w:pPr>
      <w:r w:rsidRPr="000665B0">
        <w:t xml:space="preserve">COMSEC with </w:t>
      </w:r>
      <w:r w:rsidR="009D351D" w:rsidRPr="000665B0">
        <w:t xml:space="preserve">4 </w:t>
      </w:r>
      <w:r w:rsidRPr="000665B0">
        <w:t>subtypes</w:t>
      </w:r>
    </w:p>
    <w:p w14:paraId="25FC7E28" w14:textId="77777777" w:rsidR="00B6360F" w:rsidRPr="000665B0" w:rsidRDefault="00B6360F" w:rsidP="006D5A65">
      <w:pPr>
        <w:pStyle w:val="Heading4"/>
      </w:pPr>
      <w:r w:rsidRPr="000665B0">
        <w:t>ACA Receive KEK</w:t>
      </w:r>
    </w:p>
    <w:p w14:paraId="62808E7C" w14:textId="77777777" w:rsidR="00B6360F" w:rsidRPr="000665B0" w:rsidRDefault="00B6360F" w:rsidP="006D5A65">
      <w:pPr>
        <w:pStyle w:val="Heading4"/>
      </w:pPr>
      <w:r w:rsidRPr="000665B0">
        <w:t>ACA Transmit KEK</w:t>
      </w:r>
    </w:p>
    <w:p w14:paraId="78E70F99" w14:textId="77777777" w:rsidR="00B6360F" w:rsidRPr="000665B0" w:rsidRDefault="00B6360F" w:rsidP="006D5A65">
      <w:pPr>
        <w:pStyle w:val="Heading4"/>
      </w:pPr>
      <w:r w:rsidRPr="000665B0">
        <w:t>ACA Receive TEK</w:t>
      </w:r>
    </w:p>
    <w:p w14:paraId="534E57A4" w14:textId="77777777" w:rsidR="00B6360F" w:rsidRPr="000665B0" w:rsidRDefault="00B6360F" w:rsidP="006D5A65">
      <w:pPr>
        <w:pStyle w:val="Heading4"/>
      </w:pPr>
      <w:r w:rsidRPr="000665B0">
        <w:t>ACA Transmit TEK</w:t>
      </w:r>
    </w:p>
    <w:p w14:paraId="3FE558AE" w14:textId="34AA7F82" w:rsidR="00B6360F" w:rsidRPr="000665B0" w:rsidRDefault="00B6360F" w:rsidP="006D5A65">
      <w:pPr>
        <w:pStyle w:val="Heading3"/>
        <w:rPr>
          <w:rFonts w:ascii="Calibri" w:hAnsi="Calibri"/>
        </w:rPr>
      </w:pPr>
      <w:r w:rsidRPr="000665B0">
        <w:t>TRANSEC</w:t>
      </w:r>
      <w:r w:rsidR="009D351D" w:rsidRPr="000665B0">
        <w:t>.</w:t>
      </w:r>
    </w:p>
    <w:p w14:paraId="5C87DEFB" w14:textId="77777777" w:rsidR="00B6360F" w:rsidRPr="000665B0" w:rsidRDefault="00B6360F" w:rsidP="006D5A65">
      <w:pPr>
        <w:pStyle w:val="Heading2"/>
        <w:rPr>
          <w:rFonts w:ascii="Calibri" w:hAnsi="Calibri"/>
        </w:rPr>
      </w:pPr>
      <w:r w:rsidRPr="000665B0">
        <w:t>New ACMS type</w:t>
      </w:r>
    </w:p>
    <w:p w14:paraId="63821FDE" w14:textId="6CA14B33" w:rsidR="00B6360F" w:rsidRPr="000665B0" w:rsidRDefault="00B6360F" w:rsidP="006D5A65">
      <w:pPr>
        <w:pStyle w:val="Heading3"/>
        <w:rPr>
          <w:rFonts w:ascii="Calibri" w:hAnsi="Calibri"/>
        </w:rPr>
      </w:pPr>
      <w:r w:rsidRPr="000665B0">
        <w:t>Planned Outcomes Boundary (POB)</w:t>
      </w:r>
    </w:p>
    <w:p w14:paraId="120D7BF1" w14:textId="77777777" w:rsidR="00B6360F" w:rsidRPr="000665B0" w:rsidRDefault="00B6360F" w:rsidP="006D5A65">
      <w:pPr>
        <w:pStyle w:val="Heading2"/>
        <w:rPr>
          <w:rFonts w:ascii="Calibri" w:hAnsi="Calibri"/>
        </w:rPr>
      </w:pPr>
      <w:r w:rsidRPr="000665B0">
        <w:t>Eight new ACA OES components</w:t>
      </w:r>
    </w:p>
    <w:p w14:paraId="2A587C6E" w14:textId="77777777" w:rsidR="00B6360F" w:rsidRPr="000665B0" w:rsidRDefault="00B6360F" w:rsidP="006D5A65">
      <w:pPr>
        <w:pStyle w:val="Heading1"/>
        <w:rPr>
          <w:rFonts w:ascii="Calibri" w:hAnsi="Calibri"/>
        </w:rPr>
      </w:pPr>
      <w:r w:rsidRPr="000665B0">
        <w:t>NOBs:</w:t>
      </w:r>
    </w:p>
    <w:p w14:paraId="1FAA646D" w14:textId="77777777" w:rsidR="00B6360F" w:rsidRPr="000665B0" w:rsidRDefault="00B6360F" w:rsidP="006D5A65">
      <w:pPr>
        <w:pStyle w:val="Heading2"/>
        <w:rPr>
          <w:rFonts w:ascii="Calibri" w:hAnsi="Calibri"/>
        </w:rPr>
      </w:pPr>
      <w:r w:rsidRPr="000665B0">
        <w:t>NOB products from NOB DB</w:t>
      </w:r>
    </w:p>
    <w:p w14:paraId="66DB629E" w14:textId="77777777" w:rsidR="00B6360F" w:rsidRPr="000665B0" w:rsidRDefault="00B6360F" w:rsidP="006D5A65">
      <w:pPr>
        <w:pStyle w:val="Heading1"/>
        <w:rPr>
          <w:rFonts w:ascii="Calibri" w:hAnsi="Calibri"/>
        </w:rPr>
      </w:pPr>
      <w:r w:rsidRPr="000665B0">
        <w:t>TargetDB:</w:t>
      </w:r>
    </w:p>
    <w:p w14:paraId="06C1FA56" w14:textId="09632A02" w:rsidR="00B6360F" w:rsidRPr="000665B0" w:rsidRDefault="00B6360F" w:rsidP="006D5A65">
      <w:pPr>
        <w:pStyle w:val="Heading2"/>
      </w:pPr>
      <w:r w:rsidRPr="000665B0">
        <w:t>Target data from the Target DB</w:t>
      </w:r>
    </w:p>
    <w:p w14:paraId="30000F44" w14:textId="53B61442" w:rsidR="00A3422F" w:rsidRPr="000665B0" w:rsidRDefault="00A3422F" w:rsidP="006D5A65">
      <w:pPr>
        <w:pStyle w:val="Heading1"/>
      </w:pPr>
      <w:r w:rsidRPr="000665B0">
        <w:t>Attack Plan TMPR.</w:t>
      </w:r>
    </w:p>
    <w:p w14:paraId="6FAE3DF4" w14:textId="02D7F02D" w:rsidR="002A6FE9" w:rsidRPr="000665B0" w:rsidRDefault="002A6FE9" w:rsidP="006679E9">
      <w:pPr>
        <w:spacing w:line="240" w:lineRule="auto"/>
        <w:rPr>
          <w:b/>
        </w:rPr>
      </w:pPr>
      <w:bookmarkStart w:id="7457" w:name="_Hlk39067299"/>
      <w:bookmarkEnd w:id="7456"/>
      <w:r w:rsidRPr="000665B0">
        <w:rPr>
          <w:rFonts w:eastAsia="Calibri"/>
          <w:b/>
        </w:rPr>
        <w:t xml:space="preserve">Note </w:t>
      </w:r>
      <w:r w:rsidR="00875983" w:rsidRPr="000665B0">
        <w:rPr>
          <w:rFonts w:eastAsia="Calibri"/>
          <w:b/>
        </w:rPr>
        <w:t>1</w:t>
      </w:r>
      <w:r w:rsidR="00190142" w:rsidRPr="000665B0">
        <w:rPr>
          <w:rFonts w:eastAsia="Calibri"/>
          <w:b/>
        </w:rPr>
        <w:t>6</w:t>
      </w:r>
      <w:r w:rsidR="00875983" w:rsidRPr="000665B0">
        <w:rPr>
          <w:rFonts w:eastAsia="Calibri"/>
          <w:b/>
        </w:rPr>
        <w:t xml:space="preserve"> </w:t>
      </w:r>
      <w:r w:rsidRPr="000665B0">
        <w:rPr>
          <w:rFonts w:eastAsia="Calibri"/>
          <w:b/>
        </w:rPr>
        <w:t>(Legacy System</w:t>
      </w:r>
      <w:r w:rsidR="00CE25BB" w:rsidRPr="000665B0">
        <w:rPr>
          <w:rFonts w:eastAsia="Calibri"/>
          <w:b/>
        </w:rPr>
        <w:t>s</w:t>
      </w:r>
      <w:r w:rsidRPr="000665B0">
        <w:rPr>
          <w:rFonts w:eastAsia="Calibri"/>
          <w:b/>
        </w:rPr>
        <w:t xml:space="preserve"> </w:t>
      </w:r>
      <w:r w:rsidR="00CE25BB" w:rsidRPr="000665B0">
        <w:rPr>
          <w:rFonts w:eastAsia="Calibri"/>
          <w:b/>
        </w:rPr>
        <w:t xml:space="preserve">[MDS 5.x] Limitations when Executing an MDS 6.0 </w:t>
      </w:r>
      <w:r w:rsidR="005619C1" w:rsidRPr="000665B0">
        <w:rPr>
          <w:rFonts w:eastAsia="Calibri"/>
          <w:b/>
        </w:rPr>
        <w:t xml:space="preserve">[and above] </w:t>
      </w:r>
      <w:r w:rsidR="00CE25BB" w:rsidRPr="000665B0">
        <w:rPr>
          <w:rFonts w:eastAsia="Calibri"/>
          <w:b/>
        </w:rPr>
        <w:t>Strike that Contains ACA Missile Reservations</w:t>
      </w:r>
      <w:r w:rsidR="00160997" w:rsidRPr="000665B0">
        <w:rPr>
          <w:rFonts w:eastAsia="Calibri"/>
          <w:b/>
        </w:rPr>
        <w:t>, and</w:t>
      </w:r>
      <w:r w:rsidR="00160997" w:rsidRPr="000665B0">
        <w:rPr>
          <w:b/>
        </w:rPr>
        <w:t xml:space="preserve"> Functionality Limitations on Legacy Systems </w:t>
      </w:r>
      <w:r w:rsidR="004A31DB" w:rsidRPr="000665B0">
        <w:rPr>
          <w:b/>
        </w:rPr>
        <w:t>when an MDS 5.x</w:t>
      </w:r>
      <w:r w:rsidR="00B54FFB">
        <w:rPr>
          <w:b/>
        </w:rPr>
        <w:t xml:space="preserve"> ATSC </w:t>
      </w:r>
      <w:r w:rsidR="004A31DB" w:rsidRPr="000665B0">
        <w:rPr>
          <w:b/>
        </w:rPr>
        <w:t xml:space="preserve">Assumes the Role of the </w:t>
      </w:r>
      <w:r w:rsidR="00B54FFB">
        <w:rPr>
          <w:b/>
        </w:rPr>
        <w:t>TSC</w:t>
      </w:r>
      <w:r w:rsidR="004A31DB" w:rsidRPr="000665B0">
        <w:rPr>
          <w:b/>
        </w:rPr>
        <w:t xml:space="preserve"> from an MDS 6.0</w:t>
      </w:r>
      <w:r w:rsidR="005619C1" w:rsidRPr="000665B0">
        <w:rPr>
          <w:b/>
        </w:rPr>
        <w:t xml:space="preserve"> [and above]</w:t>
      </w:r>
      <w:r w:rsidR="004A31DB" w:rsidRPr="000665B0">
        <w:rPr>
          <w:b/>
        </w:rPr>
        <w:t xml:space="preserve"> </w:t>
      </w:r>
      <w:r w:rsidR="00392C97">
        <w:rPr>
          <w:b/>
        </w:rPr>
        <w:t>TSC</w:t>
      </w:r>
      <w:r w:rsidR="00DA2F88" w:rsidRPr="000665B0">
        <w:rPr>
          <w:b/>
        </w:rPr>
        <w:t>,</w:t>
      </w:r>
      <w:r w:rsidR="004A31DB" w:rsidRPr="000665B0">
        <w:rPr>
          <w:b/>
        </w:rPr>
        <w:t xml:space="preserve"> and Executes an MDS 6.0</w:t>
      </w:r>
      <w:r w:rsidR="005619C1" w:rsidRPr="000665B0">
        <w:rPr>
          <w:b/>
        </w:rPr>
        <w:t xml:space="preserve"> [and above]</w:t>
      </w:r>
      <w:r w:rsidR="004A31DB" w:rsidRPr="000665B0">
        <w:rPr>
          <w:b/>
        </w:rPr>
        <w:t xml:space="preserve"> Strike that Contains Any ACA Missile Reservations)</w:t>
      </w:r>
    </w:p>
    <w:p w14:paraId="40589DB8" w14:textId="641298FD" w:rsidR="002A6FE9" w:rsidRPr="000665B0" w:rsidRDefault="002A6FE9" w:rsidP="006D5A65">
      <w:pPr>
        <w:pStyle w:val="Heading1"/>
      </w:pPr>
      <w:r w:rsidRPr="000665B0">
        <w:t xml:space="preserve">There are FRU reassignment limitations on legacy systems (MDS 5.x) when executing an MDS 6.0 </w:t>
      </w:r>
      <w:r w:rsidR="005619C1" w:rsidRPr="000665B0">
        <w:t xml:space="preserve">(and above) </w:t>
      </w:r>
      <w:r w:rsidRPr="000665B0">
        <w:t xml:space="preserve">strike: </w:t>
      </w:r>
    </w:p>
    <w:p w14:paraId="22A76679" w14:textId="0CBF24B3" w:rsidR="002A6FE9" w:rsidRPr="000665B0" w:rsidRDefault="002A6FE9" w:rsidP="006D5A65">
      <w:pPr>
        <w:pStyle w:val="Heading1"/>
      </w:pPr>
      <w:r w:rsidRPr="000665B0">
        <w:t>If the MDS 6.0</w:t>
      </w:r>
      <w:r w:rsidR="005619C1" w:rsidRPr="000665B0">
        <w:t xml:space="preserve"> (and above)</w:t>
      </w:r>
      <w:r w:rsidRPr="000665B0">
        <w:t xml:space="preserve"> strike</w:t>
      </w:r>
      <w:r w:rsidR="00CE25BB" w:rsidRPr="000665B0">
        <w:t xml:space="preserve"> contains any ACA missile reservations</w:t>
      </w:r>
      <w:r w:rsidRPr="000665B0">
        <w:t xml:space="preserve">, they appear on MDS 5.x as </w:t>
      </w:r>
      <w:r w:rsidR="007D3E78" w:rsidRPr="000665B0">
        <w:t xml:space="preserve">comms-disabled </w:t>
      </w:r>
      <w:r w:rsidRPr="000665B0">
        <w:t>DAMA reservations.</w:t>
      </w:r>
    </w:p>
    <w:p w14:paraId="26331AF4" w14:textId="65EB1EA8" w:rsidR="00B6360F" w:rsidRPr="000665B0" w:rsidRDefault="002A6FE9" w:rsidP="004E7DCC">
      <w:pPr>
        <w:spacing w:line="240" w:lineRule="auto"/>
        <w:ind w:left="1080"/>
      </w:pPr>
      <w:r w:rsidRPr="000665B0">
        <w:t xml:space="preserve">When an MDS 6.0 </w:t>
      </w:r>
      <w:r w:rsidR="005619C1" w:rsidRPr="000665B0">
        <w:t xml:space="preserve">(and above) </w:t>
      </w:r>
      <w:r w:rsidRPr="000665B0">
        <w:t>strike is modified (</w:t>
      </w:r>
      <w:r w:rsidR="00CE25BB" w:rsidRPr="000665B0">
        <w:t>such as</w:t>
      </w:r>
      <w:r w:rsidRPr="000665B0">
        <w:t xml:space="preserve"> FRU reassign of any ACA reservations to DAMA</w:t>
      </w:r>
      <w:r w:rsidR="00CE25BB" w:rsidRPr="000665B0">
        <w:t>, ad hoc, or insert tasking</w:t>
      </w:r>
      <w:r w:rsidRPr="000665B0">
        <w:t xml:space="preserve">) on MDS </w:t>
      </w:r>
      <w:r w:rsidR="00986E97" w:rsidRPr="000665B0">
        <w:t>5.x and</w:t>
      </w:r>
      <w:r w:rsidRPr="000665B0">
        <w:t xml:space="preserve"> is then sent back to </w:t>
      </w:r>
      <w:r w:rsidRPr="000665B0">
        <w:lastRenderedPageBreak/>
        <w:t>MDS 6.0</w:t>
      </w:r>
      <w:r w:rsidR="005619C1" w:rsidRPr="000665B0">
        <w:t xml:space="preserve"> (and above)</w:t>
      </w:r>
      <w:r w:rsidRPr="000665B0">
        <w:t xml:space="preserve">, the modified reservations appear on MDS 6.0 </w:t>
      </w:r>
      <w:r w:rsidR="005619C1" w:rsidRPr="000665B0">
        <w:t xml:space="preserve">(and above) </w:t>
      </w:r>
      <w:r w:rsidRPr="000665B0">
        <w:t>as DAMA reservations, but with ACA missile subscriber IDs.</w:t>
      </w:r>
    </w:p>
    <w:p w14:paraId="42B9EB4E" w14:textId="4515E48D" w:rsidR="0021503C" w:rsidRPr="000665B0" w:rsidRDefault="0021503C" w:rsidP="006D5A65">
      <w:pPr>
        <w:pStyle w:val="Heading1"/>
      </w:pPr>
      <w:r w:rsidRPr="000665B0">
        <w:t xml:space="preserve">There are </w:t>
      </w:r>
      <w:r w:rsidR="005F47F1" w:rsidRPr="000665B0">
        <w:t xml:space="preserve">functionality </w:t>
      </w:r>
      <w:r w:rsidRPr="000665B0">
        <w:t xml:space="preserve">limitations on legacy systems </w:t>
      </w:r>
      <w:r w:rsidR="008D011A" w:rsidRPr="000665B0">
        <w:t xml:space="preserve">when </w:t>
      </w:r>
      <w:r w:rsidR="004A31DB" w:rsidRPr="000665B0">
        <w:t>an MDS 5.x</w:t>
      </w:r>
      <w:r w:rsidR="00B54FFB">
        <w:t xml:space="preserve"> ATSC </w:t>
      </w:r>
      <w:r w:rsidR="004A31DB" w:rsidRPr="000665B0">
        <w:t xml:space="preserve">assumes the role of the </w:t>
      </w:r>
      <w:r w:rsidR="00B54FFB">
        <w:t>TSC</w:t>
      </w:r>
      <w:r w:rsidR="004A31DB" w:rsidRPr="000665B0">
        <w:t xml:space="preserve"> from an MDS 6.0 </w:t>
      </w:r>
      <w:r w:rsidR="005619C1" w:rsidRPr="000665B0">
        <w:t xml:space="preserve">(and above) </w:t>
      </w:r>
      <w:r w:rsidR="000B6F1A">
        <w:t>TSC</w:t>
      </w:r>
      <w:r w:rsidR="008D011A" w:rsidRPr="000665B0">
        <w:t>,</w:t>
      </w:r>
      <w:r w:rsidR="008D011A" w:rsidRPr="000665B0" w:rsidDel="008D011A">
        <w:t xml:space="preserve"> </w:t>
      </w:r>
      <w:r w:rsidR="008D011A" w:rsidRPr="000665B0">
        <w:t>and</w:t>
      </w:r>
      <w:r w:rsidRPr="000665B0">
        <w:t xml:space="preserve"> </w:t>
      </w:r>
      <w:r w:rsidR="004A31DB" w:rsidRPr="000665B0">
        <w:t xml:space="preserve">executes </w:t>
      </w:r>
      <w:r w:rsidRPr="000665B0">
        <w:t>an MDS 6.0</w:t>
      </w:r>
      <w:r w:rsidR="005619C1" w:rsidRPr="000665B0">
        <w:t xml:space="preserve"> (and above)</w:t>
      </w:r>
      <w:r w:rsidRPr="000665B0">
        <w:t xml:space="preserve"> strike that contains</w:t>
      </w:r>
      <w:r w:rsidR="00CE25BB" w:rsidRPr="000665B0">
        <w:t xml:space="preserve"> any</w:t>
      </w:r>
      <w:r w:rsidRPr="000665B0">
        <w:t xml:space="preserve"> ACA missile</w:t>
      </w:r>
      <w:r w:rsidR="00CE25BB" w:rsidRPr="000665B0">
        <w:t xml:space="preserve"> reservation</w:t>
      </w:r>
      <w:r w:rsidRPr="000665B0">
        <w:t>s:</w:t>
      </w:r>
    </w:p>
    <w:p w14:paraId="76E2706C" w14:textId="51AA15C8" w:rsidR="00C82624" w:rsidRPr="000665B0" w:rsidRDefault="00C82624" w:rsidP="006D5A65">
      <w:pPr>
        <w:pStyle w:val="Heading1"/>
      </w:pPr>
      <w:r w:rsidRPr="000665B0">
        <w:t xml:space="preserve">Once control has been transferred from the 6.x </w:t>
      </w:r>
      <w:r w:rsidR="000B6F1A">
        <w:t>TSC</w:t>
      </w:r>
      <w:r w:rsidR="000B6F1A" w:rsidRPr="000665B0">
        <w:t xml:space="preserve"> </w:t>
      </w:r>
      <w:r w:rsidRPr="000665B0">
        <w:t xml:space="preserve">to the 5.x </w:t>
      </w:r>
      <w:r w:rsidR="000B6F1A">
        <w:t>ATSC</w:t>
      </w:r>
      <w:r w:rsidRPr="000665B0">
        <w:t xml:space="preserve">, the </w:t>
      </w:r>
      <w:r w:rsidR="00A3601E" w:rsidRPr="000665B0">
        <w:t>6.0</w:t>
      </w:r>
      <w:r w:rsidR="005619C1" w:rsidRPr="000665B0">
        <w:t xml:space="preserve"> (and above)</w:t>
      </w:r>
      <w:r w:rsidR="00A3601E" w:rsidRPr="000665B0">
        <w:t xml:space="preserve"> </w:t>
      </w:r>
      <w:r w:rsidR="000B6F1A">
        <w:t>TSC</w:t>
      </w:r>
      <w:r w:rsidR="000B6F1A" w:rsidRPr="000665B0">
        <w:t xml:space="preserve"> </w:t>
      </w:r>
      <w:r w:rsidRPr="000665B0">
        <w:t xml:space="preserve">must close all SMDs and stop strike execution. </w:t>
      </w:r>
    </w:p>
    <w:p w14:paraId="28BA6219" w14:textId="403E9B09" w:rsidR="00160997" w:rsidRPr="000665B0" w:rsidRDefault="00160997" w:rsidP="006D5A65">
      <w:pPr>
        <w:pStyle w:val="Heading1"/>
      </w:pPr>
      <w:r w:rsidRPr="000665B0">
        <w:t xml:space="preserve">If the MDS 6.0 </w:t>
      </w:r>
      <w:r w:rsidR="005619C1" w:rsidRPr="000665B0">
        <w:t xml:space="preserve">(and above) </w:t>
      </w:r>
      <w:r w:rsidRPr="000665B0">
        <w:t xml:space="preserve">strike contains any ACA missile reservations, they appear on MDS 5.x as </w:t>
      </w:r>
      <w:r w:rsidR="00A82984" w:rsidRPr="000665B0">
        <w:t xml:space="preserve">comms-disabled </w:t>
      </w:r>
      <w:r w:rsidRPr="000665B0">
        <w:t>DAMA reservations.</w:t>
      </w:r>
    </w:p>
    <w:p w14:paraId="5EE3DB46" w14:textId="2DE24C4C" w:rsidR="00160997" w:rsidRPr="000665B0" w:rsidRDefault="00160997" w:rsidP="004E7DCC">
      <w:pPr>
        <w:tabs>
          <w:tab w:val="left" w:pos="2340"/>
        </w:tabs>
        <w:spacing w:line="240" w:lineRule="auto"/>
        <w:ind w:left="1080"/>
      </w:pPr>
      <w:r w:rsidRPr="000665B0">
        <w:t>When an</w:t>
      </w:r>
      <w:r w:rsidR="008D011A" w:rsidRPr="000665B0">
        <w:t>y</w:t>
      </w:r>
      <w:r w:rsidRPr="000665B0">
        <w:t xml:space="preserve"> MDS 6.0 </w:t>
      </w:r>
      <w:r w:rsidR="005619C1" w:rsidRPr="000665B0">
        <w:t xml:space="preserve">(and above) </w:t>
      </w:r>
      <w:r w:rsidRPr="000665B0">
        <w:t>strike is modified</w:t>
      </w:r>
      <w:r w:rsidR="008D011A" w:rsidRPr="000665B0">
        <w:t xml:space="preserve"> in any way</w:t>
      </w:r>
      <w:r w:rsidRPr="000665B0">
        <w:t xml:space="preserve"> (</w:t>
      </w:r>
      <w:r w:rsidR="008D011A" w:rsidRPr="000665B0">
        <w:t>e.g.</w:t>
      </w:r>
      <w:r w:rsidRPr="000665B0">
        <w:t xml:space="preserve"> FRU reassign of any ACA reservations to DAMA, ad hoc, insert tasking</w:t>
      </w:r>
      <w:r w:rsidR="008D011A" w:rsidRPr="000665B0">
        <w:t>, etc.</w:t>
      </w:r>
      <w:r w:rsidRPr="000665B0">
        <w:t xml:space="preserve">) on MDS 5.x, and distributed to the </w:t>
      </w:r>
      <w:r w:rsidR="00EA51F4" w:rsidRPr="000665B0">
        <w:t>Task O</w:t>
      </w:r>
      <w:r w:rsidRPr="000665B0">
        <w:t>rganization</w:t>
      </w:r>
      <w:r w:rsidR="00EA51F4" w:rsidRPr="000665B0">
        <w:t xml:space="preserve"> (Strike Organization </w:t>
      </w:r>
      <w:r w:rsidR="00E16300" w:rsidRPr="000665B0">
        <w:t>o</w:t>
      </w:r>
      <w:r w:rsidR="00EA51F4" w:rsidRPr="000665B0">
        <w:t>n pre-7.0 systems)</w:t>
      </w:r>
      <w:r w:rsidRPr="000665B0">
        <w:t>, the original ACA reservations will appear on TTWCS 5.6+ as comms-disabled DAMA reservations, but with ACA missile subscriber IDs.</w:t>
      </w:r>
    </w:p>
    <w:p w14:paraId="50F5691D" w14:textId="3E736306" w:rsidR="00A3508C" w:rsidRPr="000665B0" w:rsidRDefault="00A3508C" w:rsidP="006D5A65">
      <w:pPr>
        <w:pStyle w:val="Heading1"/>
      </w:pPr>
      <w:r w:rsidRPr="000665B0">
        <w:t>When an MDS 5.x</w:t>
      </w:r>
      <w:r w:rsidR="00B54FFB">
        <w:t xml:space="preserve"> ATSC </w:t>
      </w:r>
      <w:r w:rsidRPr="000665B0">
        <w:t xml:space="preserve">assumes the role of the </w:t>
      </w:r>
      <w:r w:rsidR="00B54FFB">
        <w:t>TSC</w:t>
      </w:r>
      <w:r w:rsidR="004A556F" w:rsidRPr="000665B0">
        <w:t xml:space="preserve"> from an MDS 6.0</w:t>
      </w:r>
      <w:r w:rsidR="005619C1" w:rsidRPr="000665B0">
        <w:t xml:space="preserve"> (and above)</w:t>
      </w:r>
      <w:r w:rsidR="004A556F" w:rsidRPr="000665B0">
        <w:t xml:space="preserve"> </w:t>
      </w:r>
      <w:r w:rsidR="000B6F1A">
        <w:t>TSC</w:t>
      </w:r>
      <w:r w:rsidRPr="000665B0">
        <w:t>: If an MDS 6.0</w:t>
      </w:r>
      <w:r w:rsidR="005619C1" w:rsidRPr="000665B0">
        <w:t xml:space="preserve"> (and above)</w:t>
      </w:r>
      <w:r w:rsidRPr="000665B0">
        <w:t xml:space="preserve"> </w:t>
      </w:r>
      <w:r w:rsidR="000B6F1A">
        <w:t>TSC</w:t>
      </w:r>
      <w:r w:rsidR="000B6F1A" w:rsidRPr="000665B0">
        <w:t xml:space="preserve"> </w:t>
      </w:r>
      <w:r w:rsidRPr="000665B0">
        <w:t xml:space="preserve">sends a strike that </w:t>
      </w:r>
      <w:r w:rsidR="00755C1F" w:rsidRPr="000665B0">
        <w:t>contains</w:t>
      </w:r>
      <w:r w:rsidR="00CE25BB" w:rsidRPr="000665B0">
        <w:t xml:space="preserve"> any</w:t>
      </w:r>
      <w:r w:rsidRPr="000665B0">
        <w:t xml:space="preserve"> ACA missile</w:t>
      </w:r>
      <w:r w:rsidR="00CE25BB" w:rsidRPr="000665B0">
        <w:t xml:space="preserve"> reservations</w:t>
      </w:r>
      <w:r w:rsidRPr="000665B0">
        <w:t xml:space="preserve"> to the MDS 5.x </w:t>
      </w:r>
      <w:r w:rsidR="00B54FFB">
        <w:t>ATSC</w:t>
      </w:r>
      <w:r w:rsidRPr="000665B0">
        <w:t xml:space="preserve">, the MDS 5.x pre-strike analysis (activation of the SMD) </w:t>
      </w:r>
      <w:r w:rsidR="00C96DD4" w:rsidRPr="000665B0">
        <w:t xml:space="preserve">displays the FRU </w:t>
      </w:r>
      <w:r w:rsidR="00731613" w:rsidRPr="000665B0">
        <w:t>and shows</w:t>
      </w:r>
      <w:r w:rsidR="00C96DD4" w:rsidRPr="000665B0">
        <w:t xml:space="preserve"> missing missiles</w:t>
      </w:r>
      <w:r w:rsidRPr="000665B0">
        <w:t xml:space="preserve">. These ACA missiles appear on MDS 5.x as </w:t>
      </w:r>
      <w:r w:rsidR="00A82984" w:rsidRPr="000665B0">
        <w:t xml:space="preserve">comms-disabled </w:t>
      </w:r>
      <w:r w:rsidRPr="000665B0">
        <w:t>DAMA reservations</w:t>
      </w:r>
      <w:r w:rsidR="00731613" w:rsidRPr="000665B0">
        <w:t>, but with ACA missile subscriber IDs</w:t>
      </w:r>
      <w:r w:rsidRPr="000665B0">
        <w:t>.</w:t>
      </w:r>
    </w:p>
    <w:p w14:paraId="5F0B1069" w14:textId="5E1B0221" w:rsidR="008D011A" w:rsidRPr="000665B0" w:rsidRDefault="008D011A" w:rsidP="004E7DCC">
      <w:pPr>
        <w:spacing w:line="240" w:lineRule="auto"/>
        <w:rPr>
          <w:b/>
        </w:rPr>
      </w:pPr>
      <w:r w:rsidRPr="000665B0">
        <w:rPr>
          <w:rFonts w:eastAsia="Calibri"/>
          <w:b/>
        </w:rPr>
        <w:t>Note 17 (Legacy Systems [MDS 5.x] Limitations when Receiving a TIR and MLSORF-T from</w:t>
      </w:r>
      <w:r w:rsidRPr="000665B0">
        <w:rPr>
          <w:b/>
        </w:rPr>
        <w:t xml:space="preserve"> MDS 6.0</w:t>
      </w:r>
      <w:r w:rsidR="005619C1" w:rsidRPr="000665B0">
        <w:rPr>
          <w:b/>
        </w:rPr>
        <w:t xml:space="preserve"> [and above]</w:t>
      </w:r>
      <w:r w:rsidRPr="000665B0">
        <w:rPr>
          <w:b/>
        </w:rPr>
        <w:t>)</w:t>
      </w:r>
    </w:p>
    <w:bookmarkEnd w:id="7457"/>
    <w:p w14:paraId="68A6F190" w14:textId="73731EDB" w:rsidR="008D011A" w:rsidRPr="000665B0" w:rsidRDefault="008D011A" w:rsidP="006D5A65">
      <w:pPr>
        <w:pStyle w:val="Heading1"/>
      </w:pPr>
      <w:r w:rsidRPr="000665B0">
        <w:t>A TIR and MLSORF-T both process (populate the FRU platform) only the DAMA missiles into MDS 5.x. In the case of the TIR, the legacy system processes all valid DAMA missiles, updates the Received DTG, Last Modified DTG, and Last Requested DTG columns in the Platform Tool, and lists all of the non-processed ACA missiles in the Information column on the incoming DDO.</w:t>
      </w:r>
    </w:p>
    <w:p w14:paraId="413DAA4E" w14:textId="38607F6D" w:rsidR="00884AD6" w:rsidRPr="000665B0" w:rsidRDefault="00884AD6" w:rsidP="00884AD6">
      <w:pPr>
        <w:spacing w:line="240" w:lineRule="auto"/>
      </w:pPr>
      <w:r w:rsidRPr="000665B0">
        <w:rPr>
          <w:rFonts w:eastAsia="Calibri"/>
          <w:b/>
        </w:rPr>
        <w:t>Note 18 (Missions)</w:t>
      </w:r>
      <w:r w:rsidRPr="000665B0">
        <w:t xml:space="preserve"> </w:t>
      </w:r>
    </w:p>
    <w:p w14:paraId="38A964E1" w14:textId="1D9EAD89" w:rsidR="00884AD6" w:rsidRDefault="00884AD6" w:rsidP="006D5A65">
      <w:pPr>
        <w:pStyle w:val="Heading1"/>
      </w:pPr>
      <w:r w:rsidRPr="000665B0">
        <w:t xml:space="preserve">MSTM missions are not recognized by pre-7.0 MDS nodes and pre-V5.6.1 TTWCS nodes. When a DDO containing a MSTM mission is distributed to those nodes, a Data Limitation error is </w:t>
      </w:r>
      <w:r w:rsidR="00DC455B" w:rsidRPr="000665B0">
        <w:t>displayed,</w:t>
      </w:r>
      <w:r w:rsidRPr="000665B0">
        <w:t xml:space="preserve"> and the data will not be sent.</w:t>
      </w:r>
    </w:p>
    <w:p w14:paraId="1E93B609" w14:textId="73688BA5" w:rsidR="00E909BF" w:rsidRPr="000665B0" w:rsidRDefault="00E909BF" w:rsidP="006D5A65">
      <w:pPr>
        <w:pStyle w:val="Heading1"/>
      </w:pPr>
      <w:r>
        <w:t xml:space="preserve">109M missions are not recognized by pre-TMPC 7.0.3 nodes and pre-V7 TTWCS nodes. When a DDO containing a 109M mission is </w:t>
      </w:r>
      <w:r>
        <w:lastRenderedPageBreak/>
        <w:t>distributed to those nodes, a Data Limitation error is displayed, and the data will not be sent.</w:t>
      </w:r>
    </w:p>
    <w:p w14:paraId="3D72225F" w14:textId="292C263A" w:rsidR="00C2083D" w:rsidRPr="000665B0" w:rsidRDefault="00C2083D" w:rsidP="00C2083D">
      <w:pPr>
        <w:spacing w:line="240" w:lineRule="auto"/>
        <w:rPr>
          <w:rFonts w:eastAsia="Calibri"/>
          <w:b/>
        </w:rPr>
      </w:pPr>
      <w:r w:rsidRPr="000665B0">
        <w:rPr>
          <w:rFonts w:eastAsia="Calibri"/>
          <w:b/>
        </w:rPr>
        <w:t>Note 19 (MSTM Strike Data)</w:t>
      </w:r>
    </w:p>
    <w:p w14:paraId="5E9D66C2" w14:textId="4B76010B" w:rsidR="00C2083D" w:rsidRPr="000665B0" w:rsidRDefault="00C2083D" w:rsidP="006D5A65">
      <w:pPr>
        <w:pStyle w:val="Heading1"/>
      </w:pPr>
      <w:r w:rsidRPr="000665B0">
        <w:t xml:space="preserve">MSTM strike data is not recognized by pre-7.0 MDS nodes and pre-V5.6.1 TTWCS nodes. When a DDO containing a MSTM strike folder (with a MSTM strike option containing MSTM tasking such as MSTM assignments, MSTM Full and CFF LMOs, and </w:t>
      </w:r>
      <w:r w:rsidR="00F30E2A">
        <w:t>TMPRs that specify use of a MSTM</w:t>
      </w:r>
      <w:r w:rsidRPr="000665B0">
        <w:t>) is distributed to those nodes, the following occurs:</w:t>
      </w:r>
    </w:p>
    <w:p w14:paraId="577C0EEB" w14:textId="1ABFD720" w:rsidR="00C2083D" w:rsidRPr="000665B0" w:rsidRDefault="00C2083D" w:rsidP="006D5A65">
      <w:pPr>
        <w:pStyle w:val="Heading1"/>
      </w:pPr>
      <w:r w:rsidRPr="000665B0">
        <w:t>All MSTM LMOs are removed from the LMO folder within the strike folder and are not sent.</w:t>
      </w:r>
    </w:p>
    <w:p w14:paraId="4D554388" w14:textId="7ED87F2A" w:rsidR="00C2083D" w:rsidRPr="000665B0" w:rsidRDefault="00C2083D" w:rsidP="006D5A65">
      <w:pPr>
        <w:pStyle w:val="Heading1"/>
      </w:pPr>
      <w:r w:rsidRPr="000665B0">
        <w:t>All MSTM assignments appear on MDS 5.x and 6.x as 109E comms-disabled reservations.</w:t>
      </w:r>
    </w:p>
    <w:p w14:paraId="5B0CA367" w14:textId="0912E5AE" w:rsidR="00C2083D" w:rsidRPr="000665B0" w:rsidRDefault="00C2083D" w:rsidP="006D5A65">
      <w:pPr>
        <w:pStyle w:val="Heading1"/>
      </w:pPr>
      <w:r w:rsidRPr="000665B0">
        <w:t xml:space="preserve">All </w:t>
      </w:r>
      <w:r w:rsidR="00F30E2A">
        <w:t>TMPRs that specify use of a MSTM</w:t>
      </w:r>
      <w:r w:rsidRPr="000665B0">
        <w:t xml:space="preserve"> display a Status of Missing TMPR in the strike folder MCM and strike option.</w:t>
      </w:r>
    </w:p>
    <w:p w14:paraId="0EE58EF2" w14:textId="056663B8" w:rsidR="00C2083D" w:rsidRDefault="00C2083D" w:rsidP="006D5A65">
      <w:pPr>
        <w:pStyle w:val="Heading1"/>
      </w:pPr>
      <w:r w:rsidRPr="000665B0">
        <w:t>When the MSTM strike is returned by a legacy MDS 5.x or 6.x system, all MSTM strike components are restored to their original parameters.</w:t>
      </w:r>
    </w:p>
    <w:p w14:paraId="440C2DF6" w14:textId="0032A572" w:rsidR="005031F3" w:rsidRPr="000665B0" w:rsidRDefault="005031F3" w:rsidP="006D5A65">
      <w:pPr>
        <w:pStyle w:val="Heading1"/>
      </w:pPr>
      <w:bookmarkStart w:id="7458" w:name="_Hlk103165226"/>
      <w:r>
        <w:t xml:space="preserve">On 6.0 systems, MSTM missiles will appear </w:t>
      </w:r>
      <w:r w:rsidR="003F5937">
        <w:t>a</w:t>
      </w:r>
      <w:r>
        <w:t xml:space="preserve">s “not </w:t>
      </w:r>
      <w:r w:rsidR="003454C1">
        <w:t>available” in the Platform Inventory.</w:t>
      </w:r>
    </w:p>
    <w:bookmarkEnd w:id="7458"/>
    <w:p w14:paraId="489DB04D" w14:textId="77777777" w:rsidR="00E909BF" w:rsidRDefault="00E909BF" w:rsidP="00E909BF">
      <w:pPr>
        <w:rPr>
          <w:b/>
          <w:bCs/>
        </w:rPr>
      </w:pPr>
      <w:r>
        <w:rPr>
          <w:b/>
          <w:bCs/>
        </w:rPr>
        <w:t>Note 20 (109M Strike Data)</w:t>
      </w:r>
    </w:p>
    <w:p w14:paraId="6481589B" w14:textId="77777777" w:rsidR="00E909BF" w:rsidRDefault="00E909BF" w:rsidP="006D5A65">
      <w:pPr>
        <w:pStyle w:val="Heading1"/>
      </w:pPr>
      <w:r>
        <w:t>109M strike data is not recognized by pre-TMPC 7.0.3 nodes and pre-V7 TTWCS nodes. When a DDO containing a 109M strike folder (with a 109M strike option containing 109M tasking such as 109M assignments, 109M Full and CFF LMOs) is distributed to those nodes, the following occurs:</w:t>
      </w:r>
    </w:p>
    <w:p w14:paraId="51311BF5" w14:textId="77777777" w:rsidR="00E909BF" w:rsidRDefault="00E909BF" w:rsidP="006D5A65">
      <w:pPr>
        <w:pStyle w:val="Heading1"/>
      </w:pPr>
      <w:r>
        <w:t>All 109M LMOs are removed from the LMO folder within the strike folder and are not sent.</w:t>
      </w:r>
    </w:p>
    <w:p w14:paraId="5D33E39B" w14:textId="09A2A8EE" w:rsidR="00E909BF" w:rsidRPr="00BB4EBE" w:rsidRDefault="00E909BF" w:rsidP="006D5A65">
      <w:pPr>
        <w:pStyle w:val="Heading1"/>
      </w:pPr>
      <w:r>
        <w:t>All 109M missile assignments are removed from the strike option and are not sent.</w:t>
      </w:r>
    </w:p>
    <w:p w14:paraId="02AC461F" w14:textId="21A4604B" w:rsidR="00CD1EA8" w:rsidRPr="000665B0" w:rsidRDefault="00CD1EA8" w:rsidP="00CD1EA8">
      <w:pPr>
        <w:spacing w:line="240" w:lineRule="auto"/>
        <w:rPr>
          <w:rFonts w:eastAsia="Calibri"/>
          <w:b/>
        </w:rPr>
      </w:pPr>
      <w:r w:rsidRPr="000665B0">
        <w:rPr>
          <w:rFonts w:eastAsia="Calibri"/>
          <w:b/>
        </w:rPr>
        <w:t xml:space="preserve">Note </w:t>
      </w:r>
      <w:r>
        <w:rPr>
          <w:rFonts w:eastAsia="Calibri"/>
          <w:b/>
        </w:rPr>
        <w:t>2</w:t>
      </w:r>
      <w:r w:rsidR="00E909BF">
        <w:rPr>
          <w:rFonts w:eastAsia="Calibri"/>
          <w:b/>
        </w:rPr>
        <w:t>1</w:t>
      </w:r>
      <w:r w:rsidRPr="000665B0">
        <w:rPr>
          <w:rFonts w:eastAsia="Calibri"/>
          <w:b/>
        </w:rPr>
        <w:t xml:space="preserve"> (</w:t>
      </w:r>
      <w:r>
        <w:rPr>
          <w:rFonts w:eastAsia="Calibri"/>
          <w:b/>
        </w:rPr>
        <w:t>Limitations when Sending TEFs between TMPC 7.0 Nodes</w:t>
      </w:r>
      <w:r w:rsidRPr="000665B0">
        <w:rPr>
          <w:rFonts w:eastAsia="Calibri"/>
          <w:b/>
        </w:rPr>
        <w:t>)</w:t>
      </w:r>
    </w:p>
    <w:p w14:paraId="2CD0A94F" w14:textId="408C125B" w:rsidR="00D129F4" w:rsidRPr="00D129F4" w:rsidRDefault="00F3640C" w:rsidP="006D5A65">
      <w:pPr>
        <w:pStyle w:val="Heading1"/>
      </w:pPr>
      <w:r>
        <w:t>When a TED Node with the current TMPC version creates a DDO that also includes legacy TEFs, and that DDO is to another TED Node with the current TMPC version, those legacy TEFs will not be processed or created for Distribution. The system will only process, or create for Distribution, a TEF corresponding to the recipient</w:t>
      </w:r>
      <w:r w:rsidR="00F57152">
        <w:t>’</w:t>
      </w:r>
      <w:r>
        <w:t>s TMPC version.</w:t>
      </w:r>
    </w:p>
    <w:p w14:paraId="52B9251F" w14:textId="77777777" w:rsidR="00D129F4" w:rsidRPr="00A0163E" w:rsidRDefault="00D129F4" w:rsidP="00A0163E">
      <w:pPr>
        <w:rPr>
          <w:b/>
          <w:bCs/>
        </w:rPr>
      </w:pPr>
      <w:bookmarkStart w:id="7459" w:name="Appendix_K_Note22"/>
      <w:bookmarkEnd w:id="7459"/>
      <w:r w:rsidRPr="00A0163E">
        <w:rPr>
          <w:b/>
          <w:bCs/>
        </w:rPr>
        <w:t>Note 22 (Limitations when sending platform missile inventory containing 109M missiles to TMPC 7.0.3 and/or pre-TMPC 7.0.3 Nodes)</w:t>
      </w:r>
    </w:p>
    <w:tbl>
      <w:tblPr>
        <w:tblStyle w:val="TableGrid"/>
        <w:tblW w:w="0" w:type="auto"/>
        <w:tblInd w:w="720" w:type="dxa"/>
        <w:tblLook w:val="04A0" w:firstRow="1" w:lastRow="0" w:firstColumn="1" w:lastColumn="0" w:noHBand="0" w:noVBand="1"/>
      </w:tblPr>
      <w:tblGrid>
        <w:gridCol w:w="1795"/>
        <w:gridCol w:w="2700"/>
        <w:gridCol w:w="1800"/>
        <w:gridCol w:w="2070"/>
      </w:tblGrid>
      <w:tr w:rsidR="0090577E" w14:paraId="70A65BFF" w14:textId="77777777" w:rsidTr="0090577E">
        <w:tc>
          <w:tcPr>
            <w:tcW w:w="1795" w:type="dxa"/>
            <w:shd w:val="clear" w:color="auto" w:fill="D9D9D9" w:themeFill="background1" w:themeFillShade="D9"/>
          </w:tcPr>
          <w:p w14:paraId="23D1EC0F" w14:textId="77777777" w:rsidR="00D129F4" w:rsidRPr="0090577E" w:rsidRDefault="00D129F4" w:rsidP="00A0163E">
            <w:pPr>
              <w:spacing w:before="60" w:after="60"/>
              <w:jc w:val="center"/>
              <w:rPr>
                <w:b/>
                <w:bCs/>
              </w:rPr>
            </w:pPr>
            <w:r w:rsidRPr="0090577E">
              <w:rPr>
                <w:b/>
                <w:bCs/>
              </w:rPr>
              <w:t>Scenario</w:t>
            </w:r>
          </w:p>
        </w:tc>
        <w:tc>
          <w:tcPr>
            <w:tcW w:w="2700" w:type="dxa"/>
            <w:shd w:val="clear" w:color="auto" w:fill="D9D9D9" w:themeFill="background1" w:themeFillShade="D9"/>
          </w:tcPr>
          <w:p w14:paraId="4759AE1A" w14:textId="77777777" w:rsidR="00D129F4" w:rsidRPr="0090577E" w:rsidRDefault="00D129F4" w:rsidP="00A0163E">
            <w:pPr>
              <w:spacing w:before="60" w:after="60"/>
              <w:jc w:val="center"/>
              <w:rPr>
                <w:b/>
                <w:bCs/>
              </w:rPr>
            </w:pPr>
            <w:r w:rsidRPr="0090577E">
              <w:rPr>
                <w:b/>
                <w:bCs/>
              </w:rPr>
              <w:t>Missile Inventory</w:t>
            </w:r>
          </w:p>
        </w:tc>
        <w:tc>
          <w:tcPr>
            <w:tcW w:w="1800" w:type="dxa"/>
            <w:shd w:val="clear" w:color="auto" w:fill="D9D9D9" w:themeFill="background1" w:themeFillShade="D9"/>
          </w:tcPr>
          <w:p w14:paraId="5678ED31" w14:textId="77777777" w:rsidR="00D129F4" w:rsidRPr="0090577E" w:rsidRDefault="00D129F4" w:rsidP="00A0163E">
            <w:pPr>
              <w:spacing w:before="60" w:after="60"/>
              <w:jc w:val="center"/>
              <w:rPr>
                <w:b/>
                <w:bCs/>
              </w:rPr>
            </w:pPr>
            <w:r w:rsidRPr="0090577E">
              <w:rPr>
                <w:b/>
                <w:bCs/>
              </w:rPr>
              <w:t>OP Status</w:t>
            </w:r>
            <w:r w:rsidRPr="0090577E">
              <w:rPr>
                <w:b/>
                <w:bCs/>
              </w:rPr>
              <w:br/>
              <w:t>(109M)</w:t>
            </w:r>
          </w:p>
        </w:tc>
        <w:tc>
          <w:tcPr>
            <w:tcW w:w="2070" w:type="dxa"/>
            <w:shd w:val="clear" w:color="auto" w:fill="D9D9D9" w:themeFill="background1" w:themeFillShade="D9"/>
          </w:tcPr>
          <w:p w14:paraId="78305128" w14:textId="77777777" w:rsidR="00D129F4" w:rsidRPr="0090577E" w:rsidRDefault="00D129F4" w:rsidP="00A0163E">
            <w:pPr>
              <w:spacing w:before="60" w:after="60"/>
              <w:jc w:val="center"/>
              <w:rPr>
                <w:b/>
                <w:bCs/>
              </w:rPr>
            </w:pPr>
            <w:r w:rsidRPr="0090577E">
              <w:rPr>
                <w:b/>
                <w:bCs/>
              </w:rPr>
              <w:t>Failure Bits</w:t>
            </w:r>
            <w:r w:rsidRPr="0090577E">
              <w:rPr>
                <w:b/>
                <w:bCs/>
              </w:rPr>
              <w:br/>
              <w:t>(109M)</w:t>
            </w:r>
          </w:p>
        </w:tc>
      </w:tr>
      <w:tr w:rsidR="00D129F4" w14:paraId="7A5E0744" w14:textId="77777777" w:rsidTr="008931B1">
        <w:tc>
          <w:tcPr>
            <w:tcW w:w="1795" w:type="dxa"/>
          </w:tcPr>
          <w:p w14:paraId="39243834" w14:textId="77777777" w:rsidR="00D129F4" w:rsidRPr="0090577E" w:rsidRDefault="00D129F4" w:rsidP="00A0163E">
            <w:pPr>
              <w:spacing w:before="60" w:after="60"/>
              <w:jc w:val="center"/>
            </w:pPr>
            <w:r w:rsidRPr="0090577E">
              <w:lastRenderedPageBreak/>
              <w:t>8.x→7.0.3</w:t>
            </w:r>
          </w:p>
        </w:tc>
        <w:tc>
          <w:tcPr>
            <w:tcW w:w="2700" w:type="dxa"/>
          </w:tcPr>
          <w:p w14:paraId="3D8CF264" w14:textId="77777777" w:rsidR="00D129F4" w:rsidRPr="0090577E" w:rsidRDefault="00D129F4" w:rsidP="00A0163E">
            <w:pPr>
              <w:spacing w:before="60" w:after="60"/>
              <w:jc w:val="center"/>
            </w:pPr>
            <w:r w:rsidRPr="0090577E">
              <w:t>109M missiles present</w:t>
            </w:r>
          </w:p>
        </w:tc>
        <w:tc>
          <w:tcPr>
            <w:tcW w:w="1800" w:type="dxa"/>
          </w:tcPr>
          <w:p w14:paraId="633BB573" w14:textId="77777777" w:rsidR="00D129F4" w:rsidRPr="0090577E" w:rsidRDefault="00D129F4" w:rsidP="00A0163E">
            <w:pPr>
              <w:spacing w:before="60" w:after="60"/>
              <w:jc w:val="center"/>
            </w:pPr>
            <w:r w:rsidRPr="0090577E">
              <w:t>Not Available</w:t>
            </w:r>
          </w:p>
        </w:tc>
        <w:tc>
          <w:tcPr>
            <w:tcW w:w="2070" w:type="dxa"/>
          </w:tcPr>
          <w:p w14:paraId="04ACF5CA" w14:textId="77777777" w:rsidR="00D129F4" w:rsidRPr="0090577E" w:rsidRDefault="00D129F4" w:rsidP="00A0163E">
            <w:pPr>
              <w:spacing w:before="60" w:after="60"/>
              <w:jc w:val="center"/>
            </w:pPr>
            <w:r w:rsidRPr="0090577E">
              <w:t>N/A</w:t>
            </w:r>
          </w:p>
        </w:tc>
      </w:tr>
      <w:tr w:rsidR="00D129F4" w14:paraId="7C2EEE21" w14:textId="77777777" w:rsidTr="008931B1">
        <w:tc>
          <w:tcPr>
            <w:tcW w:w="1795" w:type="dxa"/>
          </w:tcPr>
          <w:p w14:paraId="0449C773" w14:textId="77777777" w:rsidR="00D129F4" w:rsidRPr="0090577E" w:rsidRDefault="00D129F4" w:rsidP="00A0163E">
            <w:pPr>
              <w:spacing w:before="60" w:after="60"/>
              <w:jc w:val="center"/>
            </w:pPr>
            <w:r w:rsidRPr="0090577E">
              <w:t xml:space="preserve">8.x→Legacy </w:t>
            </w:r>
            <w:r w:rsidRPr="0090577E">
              <w:br/>
              <w:t>(Pre-7.0.3)</w:t>
            </w:r>
          </w:p>
        </w:tc>
        <w:tc>
          <w:tcPr>
            <w:tcW w:w="2700" w:type="dxa"/>
          </w:tcPr>
          <w:p w14:paraId="1D75311D" w14:textId="77777777" w:rsidR="00D129F4" w:rsidRPr="0090577E" w:rsidRDefault="00D129F4" w:rsidP="00A0163E">
            <w:pPr>
              <w:spacing w:before="60" w:after="60"/>
              <w:jc w:val="center"/>
            </w:pPr>
            <w:r w:rsidRPr="0090577E">
              <w:t>109M missiles are removed</w:t>
            </w:r>
          </w:p>
        </w:tc>
        <w:tc>
          <w:tcPr>
            <w:tcW w:w="1800" w:type="dxa"/>
          </w:tcPr>
          <w:p w14:paraId="33E9F110" w14:textId="77777777" w:rsidR="00D129F4" w:rsidRPr="0090577E" w:rsidRDefault="00D129F4" w:rsidP="00A0163E">
            <w:pPr>
              <w:spacing w:before="60" w:after="60"/>
              <w:jc w:val="center"/>
            </w:pPr>
            <w:r w:rsidRPr="0090577E">
              <w:t>N/A</w:t>
            </w:r>
          </w:p>
        </w:tc>
        <w:tc>
          <w:tcPr>
            <w:tcW w:w="2070" w:type="dxa"/>
          </w:tcPr>
          <w:p w14:paraId="30D1D040" w14:textId="77777777" w:rsidR="00D129F4" w:rsidRPr="0090577E" w:rsidRDefault="00D129F4" w:rsidP="00A0163E">
            <w:pPr>
              <w:spacing w:before="60" w:after="60"/>
              <w:jc w:val="center"/>
            </w:pPr>
            <w:r w:rsidRPr="0090577E">
              <w:t>N/A</w:t>
            </w:r>
          </w:p>
        </w:tc>
      </w:tr>
      <w:tr w:rsidR="00D129F4" w14:paraId="648B0C2B" w14:textId="77777777" w:rsidTr="008931B1">
        <w:tc>
          <w:tcPr>
            <w:tcW w:w="1795" w:type="dxa"/>
          </w:tcPr>
          <w:p w14:paraId="2F7261C0" w14:textId="77777777" w:rsidR="00D129F4" w:rsidRPr="0090577E" w:rsidRDefault="00D129F4" w:rsidP="00A0163E">
            <w:pPr>
              <w:spacing w:before="60" w:after="60"/>
              <w:jc w:val="center"/>
            </w:pPr>
            <w:r w:rsidRPr="0090577E">
              <w:t>7.0.3→8.x</w:t>
            </w:r>
          </w:p>
        </w:tc>
        <w:tc>
          <w:tcPr>
            <w:tcW w:w="2700" w:type="dxa"/>
          </w:tcPr>
          <w:p w14:paraId="521CBCAB" w14:textId="77777777" w:rsidR="00D129F4" w:rsidRPr="0090577E" w:rsidRDefault="00D129F4" w:rsidP="00A0163E">
            <w:pPr>
              <w:spacing w:before="60" w:after="60"/>
              <w:jc w:val="center"/>
            </w:pPr>
            <w:r w:rsidRPr="0090577E">
              <w:t>109M missiles present</w:t>
            </w:r>
          </w:p>
        </w:tc>
        <w:tc>
          <w:tcPr>
            <w:tcW w:w="1800" w:type="dxa"/>
          </w:tcPr>
          <w:p w14:paraId="337ED59F" w14:textId="77777777" w:rsidR="00D129F4" w:rsidRPr="0090577E" w:rsidRDefault="00D129F4" w:rsidP="00A0163E">
            <w:pPr>
              <w:spacing w:before="60" w:after="60"/>
              <w:jc w:val="center"/>
            </w:pPr>
            <w:r w:rsidRPr="0090577E">
              <w:t>Operational</w:t>
            </w:r>
          </w:p>
        </w:tc>
        <w:tc>
          <w:tcPr>
            <w:tcW w:w="2070" w:type="dxa"/>
          </w:tcPr>
          <w:p w14:paraId="23D60503" w14:textId="77777777" w:rsidR="00D129F4" w:rsidRPr="0090577E" w:rsidRDefault="00D129F4" w:rsidP="00A0163E">
            <w:pPr>
              <w:spacing w:before="60" w:after="60"/>
              <w:jc w:val="center"/>
            </w:pPr>
            <w:r w:rsidRPr="0090577E">
              <w:t>Reset to default values</w:t>
            </w:r>
          </w:p>
        </w:tc>
      </w:tr>
    </w:tbl>
    <w:p w14:paraId="2D155B1F" w14:textId="77777777" w:rsidR="00D129F4" w:rsidRPr="000665B0" w:rsidRDefault="00D129F4" w:rsidP="00A0163E">
      <w:pPr>
        <w:pStyle w:val="Number0205"/>
      </w:pPr>
    </w:p>
    <w:p w14:paraId="3787BD26" w14:textId="77777777" w:rsidR="008D011A" w:rsidRDefault="008D011A" w:rsidP="0091699F">
      <w:pPr>
        <w:spacing w:line="240" w:lineRule="auto"/>
      </w:pPr>
    </w:p>
    <w:p w14:paraId="3EDE2AD8" w14:textId="77777777" w:rsidR="00A316EA" w:rsidRDefault="00A316EA" w:rsidP="0091699F">
      <w:pPr>
        <w:spacing w:line="240" w:lineRule="auto"/>
      </w:pPr>
      <w:r>
        <w:br w:type="page"/>
      </w:r>
    </w:p>
    <w:p w14:paraId="683085A8" w14:textId="4E0ADE24" w:rsidR="00047829" w:rsidRPr="000665B0" w:rsidRDefault="009319FE" w:rsidP="003604C5">
      <w:pPr>
        <w:pStyle w:val="Appendix"/>
      </w:pPr>
      <w:bookmarkStart w:id="7460" w:name="_Appendix_L_MDS"/>
      <w:bookmarkStart w:id="7461" w:name="_Toc289329090"/>
      <w:bookmarkStart w:id="7462" w:name="_Toc312332199"/>
      <w:bookmarkStart w:id="7463" w:name="_Hlk45703024"/>
      <w:bookmarkEnd w:id="7452"/>
      <w:bookmarkEnd w:id="7460"/>
      <w:r w:rsidRPr="000665B0">
        <w:lastRenderedPageBreak/>
        <w:br/>
      </w:r>
      <w:bookmarkStart w:id="7464" w:name="_Toc214283704"/>
      <w:r w:rsidR="000520B6" w:rsidRPr="000665B0">
        <w:t xml:space="preserve">MDS </w:t>
      </w:r>
      <w:r w:rsidRPr="000665B0">
        <w:t>TROUBLESHOOTING GUIDE</w:t>
      </w:r>
      <w:bookmarkEnd w:id="7461"/>
      <w:bookmarkEnd w:id="7462"/>
      <w:bookmarkEnd w:id="7464"/>
    </w:p>
    <w:p w14:paraId="173DAEE7" w14:textId="29ECAC7B" w:rsidR="00FE6A75" w:rsidRPr="009B32F3" w:rsidRDefault="00373FF2" w:rsidP="00FE6A75">
      <w:pPr>
        <w:rPr>
          <w:szCs w:val="24"/>
        </w:rPr>
      </w:pPr>
      <w:r w:rsidRPr="009B32F3">
        <w:rPr>
          <w:szCs w:val="24"/>
        </w:rPr>
        <w:t>This section provides MDS troubleshooting information as follows:</w:t>
      </w:r>
    </w:p>
    <w:p w14:paraId="346BA524" w14:textId="6EBB4A75" w:rsidR="00FE6A75" w:rsidRPr="00B04A23" w:rsidRDefault="00FE6A75" w:rsidP="006D5A65">
      <w:pPr>
        <w:pStyle w:val="Heading1"/>
      </w:pPr>
      <w:r w:rsidRPr="00C36B36">
        <w:rPr>
          <w:bCs/>
        </w:rPr>
        <w:t xml:space="preserve">MDS </w:t>
      </w:r>
      <w:r w:rsidR="00373FF2" w:rsidRPr="00C36B36">
        <w:rPr>
          <w:bCs/>
        </w:rPr>
        <w:t>Troubleshooting</w:t>
      </w:r>
      <w:r w:rsidR="00373FF2" w:rsidRPr="00B04A23">
        <w:t xml:space="preserve"> (see </w:t>
      </w:r>
      <w:hyperlink w:anchor="MDS_Troubleshooting" w:history="1">
        <w:r w:rsidR="00373FF2" w:rsidRPr="00B04A23">
          <w:rPr>
            <w:rStyle w:val="Hyperlink"/>
            <w:rFonts w:ascii="Times New Roman" w:hAnsi="Times New Roman"/>
            <w:szCs w:val="24"/>
          </w:rPr>
          <w:t>Section L.1</w:t>
        </w:r>
      </w:hyperlink>
      <w:r w:rsidR="00373FF2" w:rsidRPr="00B04A23">
        <w:t>).</w:t>
      </w:r>
    </w:p>
    <w:p w14:paraId="20AB2C06" w14:textId="2320B7E3" w:rsidR="00FE6A75" w:rsidRPr="00B04A23" w:rsidRDefault="00373FF2" w:rsidP="006D5A65">
      <w:pPr>
        <w:pStyle w:val="Heading1"/>
      </w:pPr>
      <w:r w:rsidRPr="00B04A23">
        <w:t>Provides a t</w:t>
      </w:r>
      <w:r w:rsidR="00FE6A75" w:rsidRPr="00B04A23">
        <w:t xml:space="preserve">able of descriptions for error </w:t>
      </w:r>
      <w:r w:rsidR="009419E6" w:rsidRPr="00B04A23">
        <w:t>messages</w:t>
      </w:r>
      <w:r w:rsidR="00FE6A75" w:rsidRPr="00B04A23">
        <w:t xml:space="preserve"> generated by MDS</w:t>
      </w:r>
      <w:r w:rsidR="00A34057" w:rsidRPr="00B04A23">
        <w:t>.</w:t>
      </w:r>
    </w:p>
    <w:p w14:paraId="61C4A2C4" w14:textId="667B1D66" w:rsidR="00FE6A75" w:rsidRPr="00B04A23" w:rsidRDefault="00205B69" w:rsidP="006D5A65">
      <w:pPr>
        <w:pStyle w:val="Heading1"/>
      </w:pPr>
      <w:r w:rsidRPr="00C36B36">
        <w:rPr>
          <w:bCs/>
        </w:rPr>
        <w:t xml:space="preserve">Verify/Set Auto </w:t>
      </w:r>
      <w:r w:rsidR="00DF3551" w:rsidRPr="00C36B36">
        <w:rPr>
          <w:bCs/>
        </w:rPr>
        <w:t>Close</w:t>
      </w:r>
      <w:r w:rsidRPr="00B04A23">
        <w:t xml:space="preserve"> (see </w:t>
      </w:r>
      <w:hyperlink w:anchor="Verify_Set_Auto_Close" w:history="1">
        <w:r w:rsidRPr="00B04A23">
          <w:rPr>
            <w:rStyle w:val="Hyperlink"/>
            <w:rFonts w:ascii="Times New Roman" w:hAnsi="Times New Roman"/>
            <w:szCs w:val="24"/>
          </w:rPr>
          <w:t>Section L.2</w:t>
        </w:r>
      </w:hyperlink>
      <w:r w:rsidRPr="00B04A23">
        <w:t>).</w:t>
      </w:r>
    </w:p>
    <w:p w14:paraId="4FA52912" w14:textId="174DF934" w:rsidR="00FE6A75" w:rsidRPr="00B04A23" w:rsidRDefault="00205B69" w:rsidP="006D5A65">
      <w:pPr>
        <w:pStyle w:val="Heading1"/>
      </w:pPr>
      <w:r w:rsidRPr="00B04A23">
        <w:t xml:space="preserve">Provides instructions to verify and set Auto Close </w:t>
      </w:r>
      <w:r w:rsidR="00C0706D" w:rsidRPr="00B04A23">
        <w:t xml:space="preserve">in order to </w:t>
      </w:r>
      <w:r w:rsidRPr="00B04A23">
        <w:t xml:space="preserve">avoid </w:t>
      </w:r>
      <w:r w:rsidR="00C0706D" w:rsidRPr="00B04A23">
        <w:t>generating</w:t>
      </w:r>
      <w:r w:rsidRPr="00B04A23">
        <w:t xml:space="preserve"> multiple informational errors</w:t>
      </w:r>
      <w:r w:rsidR="00C0706D" w:rsidRPr="00B04A23">
        <w:t xml:space="preserve"> in the event log</w:t>
      </w:r>
      <w:r w:rsidRPr="00B04A23">
        <w:t xml:space="preserve"> for each database</w:t>
      </w:r>
      <w:r w:rsidR="00A34057" w:rsidRPr="00B04A23">
        <w:t>.</w:t>
      </w:r>
    </w:p>
    <w:p w14:paraId="0E2578A6" w14:textId="2520A155" w:rsidR="00FE6A75" w:rsidRPr="00B04A23" w:rsidRDefault="00FE6A75" w:rsidP="006D5A65">
      <w:pPr>
        <w:pStyle w:val="Heading1"/>
      </w:pPr>
      <w:r w:rsidRPr="00C36B36">
        <w:rPr>
          <w:bCs/>
        </w:rPr>
        <w:t xml:space="preserve">TED Connection </w:t>
      </w:r>
      <w:r w:rsidR="00373FF2" w:rsidRPr="00C36B36">
        <w:rPr>
          <w:bCs/>
        </w:rPr>
        <w:t>Troubleshooting</w:t>
      </w:r>
      <w:r w:rsidR="00373FF2" w:rsidRPr="00B04A23">
        <w:t xml:space="preserve"> (see </w:t>
      </w:r>
      <w:hyperlink w:anchor="TED_Connection_Troubleshooting" w:history="1">
        <w:r w:rsidR="00373FF2" w:rsidRPr="00B04A23">
          <w:rPr>
            <w:rStyle w:val="Hyperlink"/>
            <w:rFonts w:ascii="Times New Roman" w:hAnsi="Times New Roman"/>
            <w:szCs w:val="24"/>
          </w:rPr>
          <w:t>Section L.</w:t>
        </w:r>
        <w:r w:rsidR="00205B69" w:rsidRPr="00B04A23">
          <w:rPr>
            <w:rStyle w:val="Hyperlink"/>
            <w:rFonts w:ascii="Times New Roman" w:hAnsi="Times New Roman"/>
            <w:szCs w:val="24"/>
          </w:rPr>
          <w:t>3</w:t>
        </w:r>
      </w:hyperlink>
      <w:r w:rsidR="00373FF2" w:rsidRPr="00B04A23">
        <w:t>)</w:t>
      </w:r>
      <w:r w:rsidR="00A34057" w:rsidRPr="00B04A23">
        <w:t>.</w:t>
      </w:r>
    </w:p>
    <w:p w14:paraId="4E923B5D" w14:textId="27A8A692" w:rsidR="00FE6A75" w:rsidRPr="00B04A23" w:rsidRDefault="00373FF2" w:rsidP="006D5A65">
      <w:pPr>
        <w:pStyle w:val="Heading1"/>
      </w:pPr>
      <w:r w:rsidRPr="00B04A23">
        <w:t>Provides r</w:t>
      </w:r>
      <w:r w:rsidR="00FE6A75" w:rsidRPr="00B04A23">
        <w:t xml:space="preserve">esolutions </w:t>
      </w:r>
      <w:r w:rsidR="00DF3551" w:rsidRPr="00B04A23">
        <w:t>if</w:t>
      </w:r>
      <w:r w:rsidR="00FE6A75" w:rsidRPr="00B04A23">
        <w:t xml:space="preserve"> MDS is not connected to one or more TED Web Services</w:t>
      </w:r>
      <w:r w:rsidR="00A34057" w:rsidRPr="00B04A23">
        <w:t>.</w:t>
      </w:r>
    </w:p>
    <w:p w14:paraId="5AFC4E6D" w14:textId="18A9D442" w:rsidR="00FE6A75" w:rsidRPr="00B04A23" w:rsidRDefault="00FE6A75" w:rsidP="006D5A65">
      <w:pPr>
        <w:pStyle w:val="Heading1"/>
      </w:pPr>
      <w:r w:rsidRPr="00C36B36">
        <w:rPr>
          <w:bCs/>
        </w:rPr>
        <w:t xml:space="preserve">TMPR </w:t>
      </w:r>
      <w:r w:rsidR="00373FF2" w:rsidRPr="00C36B36">
        <w:rPr>
          <w:bCs/>
        </w:rPr>
        <w:t>Fails to Create a Mission</w:t>
      </w:r>
      <w:r w:rsidR="00373FF2" w:rsidRPr="00B04A23">
        <w:t xml:space="preserve"> (see </w:t>
      </w:r>
      <w:hyperlink w:anchor="TMPR_Fails_to_Create_a_Mission" w:history="1">
        <w:r w:rsidR="00373FF2" w:rsidRPr="00B04A23">
          <w:rPr>
            <w:rStyle w:val="Hyperlink"/>
            <w:rFonts w:ascii="Times New Roman" w:hAnsi="Times New Roman"/>
            <w:szCs w:val="24"/>
          </w:rPr>
          <w:t>Section L.4</w:t>
        </w:r>
      </w:hyperlink>
      <w:r w:rsidR="00373FF2" w:rsidRPr="00B04A23">
        <w:t>)</w:t>
      </w:r>
      <w:r w:rsidR="00A34057" w:rsidRPr="00B04A23">
        <w:t>.</w:t>
      </w:r>
    </w:p>
    <w:p w14:paraId="1C599E2A" w14:textId="300B4B45" w:rsidR="00FE6A75" w:rsidRPr="00B04A23" w:rsidRDefault="00373FF2" w:rsidP="006D5A65">
      <w:pPr>
        <w:pStyle w:val="Heading1"/>
      </w:pPr>
      <w:r w:rsidRPr="00B04A23">
        <w:t xml:space="preserve">Provides troubleshooting </w:t>
      </w:r>
      <w:r w:rsidR="00DF3551" w:rsidRPr="00B04A23">
        <w:t>if</w:t>
      </w:r>
      <w:r w:rsidRPr="00B04A23">
        <w:t xml:space="preserve"> a TMPR does not progress through to completion (i.e., insert a mission into TED) within a Standalone MDS or CSG configuration</w:t>
      </w:r>
      <w:r w:rsidR="00A34057" w:rsidRPr="00B04A23">
        <w:t>.</w:t>
      </w:r>
    </w:p>
    <w:p w14:paraId="351580AF" w14:textId="369B8E32" w:rsidR="00FE6A75" w:rsidRPr="00B04A23" w:rsidRDefault="00FE6A75" w:rsidP="006D5A65">
      <w:pPr>
        <w:pStyle w:val="Heading1"/>
      </w:pPr>
      <w:r w:rsidRPr="00C36B36">
        <w:rPr>
          <w:bCs/>
        </w:rPr>
        <w:t xml:space="preserve">Microsoft Message Queuing </w:t>
      </w:r>
      <w:r w:rsidR="00373FF2" w:rsidRPr="00C36B36">
        <w:rPr>
          <w:bCs/>
        </w:rPr>
        <w:t>Troubleshooting</w:t>
      </w:r>
      <w:r w:rsidR="00373FF2" w:rsidRPr="00B04A23">
        <w:t xml:space="preserve"> (see </w:t>
      </w:r>
      <w:hyperlink w:anchor="Microsoft_Message_Queuing_Troubleshootin" w:history="1">
        <w:r w:rsidR="00373FF2" w:rsidRPr="00B04A23">
          <w:rPr>
            <w:rStyle w:val="Hyperlink"/>
            <w:rFonts w:ascii="Times New Roman" w:hAnsi="Times New Roman"/>
            <w:szCs w:val="24"/>
          </w:rPr>
          <w:t>Section L.5</w:t>
        </w:r>
      </w:hyperlink>
      <w:r w:rsidR="00373FF2" w:rsidRPr="00B04A23">
        <w:t>)</w:t>
      </w:r>
      <w:r w:rsidR="00A34057" w:rsidRPr="00B04A23">
        <w:t>.</w:t>
      </w:r>
    </w:p>
    <w:p w14:paraId="3182BC67" w14:textId="576F0071" w:rsidR="00A34057" w:rsidRPr="00B04A23" w:rsidRDefault="00373FF2" w:rsidP="006D5A65">
      <w:pPr>
        <w:pStyle w:val="Heading1"/>
      </w:pPr>
      <w:r w:rsidRPr="00B04A23">
        <w:t xml:space="preserve">Provides troubleshooting </w:t>
      </w:r>
      <w:r w:rsidR="00DF3551" w:rsidRPr="00B04A23">
        <w:t>if</w:t>
      </w:r>
      <w:r w:rsidRPr="00B04A23">
        <w:t xml:space="preserve"> new data is added to TED, but the MDS display does not show the new data.</w:t>
      </w:r>
    </w:p>
    <w:p w14:paraId="7B4A73D0" w14:textId="1D435306" w:rsidR="00C0706D" w:rsidRPr="00B04A23" w:rsidRDefault="00C0706D" w:rsidP="006D5A65">
      <w:pPr>
        <w:pStyle w:val="Heading1"/>
      </w:pPr>
      <w:r w:rsidRPr="00C36B36">
        <w:rPr>
          <w:bCs/>
        </w:rPr>
        <w:t>Delete Overclassified Data</w:t>
      </w:r>
      <w:r w:rsidRPr="00B04A23">
        <w:t xml:space="preserve"> (see </w:t>
      </w:r>
      <w:hyperlink w:anchor="Delete_Overclassified_Data" w:history="1">
        <w:r w:rsidRPr="00B04A23">
          <w:rPr>
            <w:rStyle w:val="Hyperlink"/>
            <w:rFonts w:ascii="Times New Roman" w:hAnsi="Times New Roman"/>
            <w:szCs w:val="24"/>
          </w:rPr>
          <w:t>Section L.6</w:t>
        </w:r>
      </w:hyperlink>
      <w:r w:rsidRPr="00B04A23">
        <w:t>).</w:t>
      </w:r>
    </w:p>
    <w:p w14:paraId="6C5C26DA" w14:textId="12AE3CB8" w:rsidR="00CE2B30" w:rsidRPr="00951D5A" w:rsidRDefault="00C0706D" w:rsidP="006D5A65">
      <w:pPr>
        <w:pStyle w:val="Heading1"/>
      </w:pPr>
      <w:r w:rsidRPr="00B04A23">
        <w:t>Provides instructions to delete overclassified data.</w:t>
      </w:r>
    </w:p>
    <w:p w14:paraId="28847279" w14:textId="6DC6A55F" w:rsidR="008168B7" w:rsidRPr="000665B0" w:rsidRDefault="008168B7" w:rsidP="00C261BE">
      <w:pPr>
        <w:pStyle w:val="Appendix2"/>
        <w:pageBreakBefore/>
      </w:pPr>
      <w:bookmarkStart w:id="7465" w:name="_Toc48306044"/>
      <w:bookmarkStart w:id="7466" w:name="_Toc48313535"/>
      <w:bookmarkStart w:id="7467" w:name="MDS_Troubleshooting"/>
      <w:bookmarkStart w:id="7468" w:name="_Toc214283705"/>
      <w:bookmarkStart w:id="7469" w:name="_Toc102265367"/>
      <w:bookmarkEnd w:id="7465"/>
      <w:bookmarkEnd w:id="7466"/>
      <w:bookmarkEnd w:id="7467"/>
      <w:r w:rsidRPr="000665B0">
        <w:lastRenderedPageBreak/>
        <w:t>MDS T</w:t>
      </w:r>
      <w:r w:rsidR="001075B1" w:rsidRPr="000665B0">
        <w:t>ROUBLESHOOTING</w:t>
      </w:r>
      <w:bookmarkEnd w:id="7468"/>
    </w:p>
    <w:p w14:paraId="7C2849C5" w14:textId="77777777" w:rsidR="008168B7" w:rsidRPr="000665B0" w:rsidRDefault="008168B7" w:rsidP="00EB4BA8">
      <w:pPr>
        <w:keepNext/>
        <w:spacing w:before="120"/>
        <w:rPr>
          <w:b/>
        </w:rPr>
      </w:pPr>
      <w:r w:rsidRPr="000665B0">
        <w:rPr>
          <w:b/>
        </w:rPr>
        <w:t>{0} = argument 1, {1} = argument 2, {2} = argument 3, {3} = argument 4, {4} = argument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6"/>
        <w:gridCol w:w="2222"/>
        <w:gridCol w:w="2298"/>
        <w:gridCol w:w="3654"/>
      </w:tblGrid>
      <w:tr w:rsidR="008168B7" w:rsidRPr="000665B0" w14:paraId="30CC03AC" w14:textId="77777777" w:rsidTr="0049320A">
        <w:trPr>
          <w:cantSplit/>
          <w:tblHeader/>
        </w:trPr>
        <w:tc>
          <w:tcPr>
            <w:tcW w:w="11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bookmarkEnd w:id="7469"/>
          <w:p w14:paraId="30A30526" w14:textId="77777777" w:rsidR="008168B7" w:rsidRPr="000665B0" w:rsidRDefault="008168B7" w:rsidP="005F1DFB">
            <w:pPr>
              <w:spacing w:before="40" w:after="40" w:line="240" w:lineRule="auto"/>
              <w:jc w:val="center"/>
              <w:rPr>
                <w:b/>
                <w:szCs w:val="24"/>
              </w:rPr>
            </w:pPr>
            <w:r w:rsidRPr="000665B0">
              <w:rPr>
                <w:b/>
                <w:szCs w:val="24"/>
              </w:rPr>
              <w:t>Error Number</w:t>
            </w:r>
          </w:p>
        </w:tc>
        <w:tc>
          <w:tcPr>
            <w:tcW w:w="22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790962EF" w14:textId="77777777" w:rsidR="008168B7" w:rsidRPr="000665B0" w:rsidRDefault="008168B7" w:rsidP="005F1DFB">
            <w:pPr>
              <w:spacing w:before="40" w:after="40" w:line="240" w:lineRule="auto"/>
              <w:jc w:val="center"/>
              <w:rPr>
                <w:b/>
                <w:szCs w:val="24"/>
              </w:rPr>
            </w:pPr>
            <w:r w:rsidRPr="000665B0">
              <w:rPr>
                <w:b/>
                <w:szCs w:val="24"/>
              </w:rPr>
              <w:t>Error Message</w:t>
            </w:r>
          </w:p>
        </w:tc>
        <w:tc>
          <w:tcPr>
            <w:tcW w:w="22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78256CBF" w14:textId="77777777" w:rsidR="008168B7" w:rsidRPr="000665B0" w:rsidRDefault="008168B7" w:rsidP="005F1DFB">
            <w:pPr>
              <w:spacing w:before="40" w:after="40" w:line="240" w:lineRule="auto"/>
              <w:jc w:val="center"/>
              <w:rPr>
                <w:b/>
                <w:szCs w:val="24"/>
              </w:rPr>
            </w:pPr>
            <w:r w:rsidRPr="000665B0">
              <w:rPr>
                <w:b/>
                <w:szCs w:val="24"/>
              </w:rPr>
              <w:t>Description</w:t>
            </w:r>
          </w:p>
        </w:tc>
        <w:tc>
          <w:tcPr>
            <w:tcW w:w="36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EC9DA64" w14:textId="77777777" w:rsidR="008168B7" w:rsidRPr="000665B0" w:rsidRDefault="00820357" w:rsidP="005F1DFB">
            <w:pPr>
              <w:spacing w:before="40" w:after="40" w:line="240" w:lineRule="auto"/>
              <w:jc w:val="center"/>
              <w:rPr>
                <w:b/>
                <w:szCs w:val="24"/>
              </w:rPr>
            </w:pPr>
            <w:r w:rsidRPr="000665B0">
              <w:rPr>
                <w:b/>
                <w:szCs w:val="24"/>
              </w:rPr>
              <w:t>Troubles</w:t>
            </w:r>
            <w:r w:rsidR="008168B7" w:rsidRPr="000665B0">
              <w:rPr>
                <w:b/>
                <w:szCs w:val="24"/>
              </w:rPr>
              <w:t>hooting</w:t>
            </w:r>
          </w:p>
        </w:tc>
      </w:tr>
      <w:tr w:rsidR="008168B7" w:rsidRPr="000665B0" w14:paraId="522BC9E3" w14:textId="77777777" w:rsidTr="0058307F">
        <w:trPr>
          <w:cantSplit/>
        </w:trPr>
        <w:tc>
          <w:tcPr>
            <w:tcW w:w="1176" w:type="dxa"/>
            <w:tcBorders>
              <w:top w:val="single" w:sz="4" w:space="0" w:color="auto"/>
              <w:left w:val="single" w:sz="4" w:space="0" w:color="auto"/>
              <w:bottom w:val="single" w:sz="4" w:space="0" w:color="auto"/>
              <w:right w:val="single" w:sz="4" w:space="0" w:color="auto"/>
            </w:tcBorders>
          </w:tcPr>
          <w:p w14:paraId="1F545257" w14:textId="77777777" w:rsidR="008168B7" w:rsidRPr="000665B0" w:rsidRDefault="008168B7" w:rsidP="0058307F">
            <w:pPr>
              <w:spacing w:before="40" w:after="40" w:line="240" w:lineRule="auto"/>
              <w:rPr>
                <w:sz w:val="20"/>
              </w:rPr>
            </w:pPr>
            <w:bookmarkStart w:id="7470" w:name="_TBD"/>
            <w:bookmarkEnd w:id="7470"/>
            <w:r w:rsidRPr="000665B0">
              <w:rPr>
                <w:sz w:val="20"/>
              </w:rPr>
              <w:t>5</w:t>
            </w:r>
          </w:p>
        </w:tc>
        <w:tc>
          <w:tcPr>
            <w:tcW w:w="2222" w:type="dxa"/>
            <w:tcBorders>
              <w:top w:val="single" w:sz="4" w:space="0" w:color="auto"/>
              <w:left w:val="single" w:sz="4" w:space="0" w:color="auto"/>
              <w:bottom w:val="single" w:sz="4" w:space="0" w:color="auto"/>
              <w:right w:val="single" w:sz="4" w:space="0" w:color="auto"/>
            </w:tcBorders>
          </w:tcPr>
          <w:p w14:paraId="00E78F1A" w14:textId="77777777" w:rsidR="008168B7" w:rsidRPr="000665B0" w:rsidRDefault="008168B7" w:rsidP="005F2B17">
            <w:pPr>
              <w:spacing w:before="40" w:after="40" w:line="240" w:lineRule="auto"/>
              <w:rPr>
                <w:sz w:val="20"/>
              </w:rPr>
            </w:pPr>
            <w:r w:rsidRPr="000665B0">
              <w:rPr>
                <w:sz w:val="20"/>
              </w:rPr>
              <w:t>Error Initializing Master PCT List</w:t>
            </w:r>
          </w:p>
        </w:tc>
        <w:tc>
          <w:tcPr>
            <w:tcW w:w="2298" w:type="dxa"/>
            <w:tcBorders>
              <w:top w:val="single" w:sz="4" w:space="0" w:color="auto"/>
              <w:left w:val="single" w:sz="4" w:space="0" w:color="auto"/>
              <w:bottom w:val="single" w:sz="4" w:space="0" w:color="auto"/>
              <w:right w:val="single" w:sz="4" w:space="0" w:color="auto"/>
            </w:tcBorders>
          </w:tcPr>
          <w:p w14:paraId="4E699476" w14:textId="77777777" w:rsidR="008168B7" w:rsidRPr="000665B0" w:rsidRDefault="008168B7" w:rsidP="005F2B17">
            <w:pPr>
              <w:spacing w:before="40" w:after="40" w:line="240" w:lineRule="auto"/>
              <w:rPr>
                <w:sz w:val="20"/>
              </w:rPr>
            </w:pPr>
          </w:p>
        </w:tc>
        <w:tc>
          <w:tcPr>
            <w:tcW w:w="3654" w:type="dxa"/>
            <w:tcBorders>
              <w:top w:val="single" w:sz="4" w:space="0" w:color="auto"/>
              <w:left w:val="single" w:sz="4" w:space="0" w:color="auto"/>
              <w:bottom w:val="single" w:sz="4" w:space="0" w:color="auto"/>
              <w:right w:val="single" w:sz="4" w:space="0" w:color="auto"/>
            </w:tcBorders>
          </w:tcPr>
          <w:p w14:paraId="43715FAA" w14:textId="77777777" w:rsidR="008168B7" w:rsidRPr="000665B0" w:rsidRDefault="008168B7" w:rsidP="005F2B17">
            <w:pPr>
              <w:spacing w:before="40" w:after="40" w:line="240" w:lineRule="auto"/>
              <w:rPr>
                <w:sz w:val="20"/>
              </w:rPr>
            </w:pPr>
            <w:r w:rsidRPr="000665B0">
              <w:rPr>
                <w:sz w:val="20"/>
              </w:rPr>
              <w:t>Check if TED databases are connected.</w:t>
            </w:r>
          </w:p>
          <w:p w14:paraId="6F6FD82B" w14:textId="77777777" w:rsidR="008168B7" w:rsidRPr="000665B0" w:rsidRDefault="008168B7" w:rsidP="005F2B17">
            <w:pPr>
              <w:spacing w:before="40" w:after="40" w:line="240" w:lineRule="auto"/>
              <w:rPr>
                <w:sz w:val="20"/>
              </w:rPr>
            </w:pPr>
            <w:r w:rsidRPr="000665B0">
              <w:rPr>
                <w:sz w:val="20"/>
              </w:rPr>
              <w:t>From Main Menu select Go</w:t>
            </w:r>
            <w:r w:rsidR="008C63C4" w:rsidRPr="000665B0">
              <w:rPr>
                <w:sz w:val="20"/>
              </w:rPr>
              <w:t xml:space="preserve"> </w:t>
            </w:r>
            <w:r w:rsidR="008C63C4" w:rsidRPr="000665B0">
              <w:rPr>
                <w:b/>
                <w:sz w:val="20"/>
              </w:rPr>
              <w:sym w:font="Wingdings 3" w:char="F07D"/>
            </w:r>
            <w:r w:rsidR="008C63C4" w:rsidRPr="000665B0">
              <w:rPr>
                <w:sz w:val="20"/>
              </w:rPr>
              <w:t xml:space="preserve"> </w:t>
            </w:r>
            <w:r w:rsidR="00285315" w:rsidRPr="000665B0">
              <w:rPr>
                <w:sz w:val="20"/>
              </w:rPr>
              <w:t xml:space="preserve">TED </w:t>
            </w:r>
            <w:r w:rsidRPr="000665B0">
              <w:rPr>
                <w:sz w:val="20"/>
              </w:rPr>
              <w:t>Utilities</w:t>
            </w:r>
            <w:r w:rsidR="008C63C4" w:rsidRPr="000665B0">
              <w:rPr>
                <w:sz w:val="20"/>
              </w:rPr>
              <w:t>.</w:t>
            </w:r>
          </w:p>
          <w:p w14:paraId="30C4DA8A" w14:textId="77777777" w:rsidR="008168B7" w:rsidRPr="000665B0" w:rsidRDefault="008168B7" w:rsidP="005F2B17">
            <w:pPr>
              <w:spacing w:before="40" w:after="40" w:line="240" w:lineRule="auto"/>
              <w:rPr>
                <w:sz w:val="20"/>
              </w:rPr>
            </w:pPr>
            <w:r w:rsidRPr="000665B0">
              <w:rPr>
                <w:sz w:val="20"/>
              </w:rPr>
              <w:t xml:space="preserve">Select </w:t>
            </w:r>
            <w:r w:rsidR="008C63C4" w:rsidRPr="000665B0">
              <w:rPr>
                <w:sz w:val="20"/>
              </w:rPr>
              <w:t xml:space="preserve">the TED Connections </w:t>
            </w:r>
            <w:r w:rsidRPr="000665B0">
              <w:rPr>
                <w:sz w:val="20"/>
              </w:rPr>
              <w:t>tab</w:t>
            </w:r>
            <w:r w:rsidR="008C63C4" w:rsidRPr="000665B0">
              <w:rPr>
                <w:sz w:val="20"/>
              </w:rPr>
              <w:t>.</w:t>
            </w:r>
          </w:p>
          <w:p w14:paraId="0B00AFC9" w14:textId="77777777" w:rsidR="008168B7" w:rsidRPr="000665B0" w:rsidRDefault="008168B7" w:rsidP="005F2B17">
            <w:pPr>
              <w:spacing w:before="40" w:after="40" w:line="240" w:lineRule="auto"/>
              <w:rPr>
                <w:sz w:val="20"/>
              </w:rPr>
            </w:pPr>
            <w:r w:rsidRPr="000665B0">
              <w:rPr>
                <w:sz w:val="20"/>
              </w:rPr>
              <w:t xml:space="preserve">Check </w:t>
            </w:r>
            <w:r w:rsidR="008C63C4" w:rsidRPr="000665B0">
              <w:rPr>
                <w:sz w:val="20"/>
              </w:rPr>
              <w:t>the Connection</w:t>
            </w:r>
            <w:r w:rsidRPr="000665B0">
              <w:rPr>
                <w:sz w:val="20"/>
              </w:rPr>
              <w:t xml:space="preserve"> </w:t>
            </w:r>
            <w:r w:rsidR="008C63C4" w:rsidRPr="000665B0">
              <w:rPr>
                <w:sz w:val="20"/>
              </w:rPr>
              <w:t>S</w:t>
            </w:r>
            <w:r w:rsidRPr="000665B0">
              <w:rPr>
                <w:sz w:val="20"/>
              </w:rPr>
              <w:t xml:space="preserve">tatus and </w:t>
            </w:r>
            <w:r w:rsidR="008C63C4" w:rsidRPr="000665B0">
              <w:rPr>
                <w:sz w:val="20"/>
              </w:rPr>
              <w:t xml:space="preserve">Message Queue Status </w:t>
            </w:r>
            <w:r w:rsidRPr="000665B0">
              <w:rPr>
                <w:sz w:val="20"/>
              </w:rPr>
              <w:t>of MDDB and VLDB</w:t>
            </w:r>
            <w:r w:rsidR="008C63C4" w:rsidRPr="000665B0">
              <w:rPr>
                <w:sz w:val="20"/>
              </w:rPr>
              <w:t xml:space="preserve"> to ensure they</w:t>
            </w:r>
            <w:r w:rsidRPr="000665B0">
              <w:rPr>
                <w:sz w:val="20"/>
              </w:rPr>
              <w:t xml:space="preserve"> indicate </w:t>
            </w:r>
            <w:r w:rsidR="008C63C4" w:rsidRPr="000665B0">
              <w:rPr>
                <w:sz w:val="20"/>
              </w:rPr>
              <w:t xml:space="preserve">Success. </w:t>
            </w:r>
            <w:r w:rsidR="00234E1F" w:rsidRPr="000665B0">
              <w:rPr>
                <w:sz w:val="20"/>
              </w:rPr>
              <w:t>A</w:t>
            </w:r>
            <w:r w:rsidRPr="000665B0">
              <w:rPr>
                <w:sz w:val="20"/>
              </w:rPr>
              <w:t>ll other status</w:t>
            </w:r>
            <w:r w:rsidR="00234E1F" w:rsidRPr="000665B0">
              <w:rPr>
                <w:sz w:val="20"/>
              </w:rPr>
              <w:t>,</w:t>
            </w:r>
            <w:r w:rsidRPr="000665B0">
              <w:rPr>
                <w:sz w:val="20"/>
              </w:rPr>
              <w:t xml:space="preserve"> please check with your database administrator.</w:t>
            </w:r>
          </w:p>
          <w:p w14:paraId="346468B8" w14:textId="13060FA2" w:rsidR="008168B7" w:rsidRPr="000665B0" w:rsidRDefault="008168B7" w:rsidP="005F2B17">
            <w:pPr>
              <w:spacing w:before="40" w:after="40" w:line="240" w:lineRule="auto"/>
              <w:rPr>
                <w:sz w:val="20"/>
              </w:rPr>
            </w:pPr>
            <w:r w:rsidRPr="000665B0">
              <w:rPr>
                <w:sz w:val="20"/>
              </w:rPr>
              <w:t xml:space="preserve">If there is no problem with </w:t>
            </w:r>
            <w:r w:rsidR="00E51273" w:rsidRPr="000665B0">
              <w:rPr>
                <w:sz w:val="20"/>
              </w:rPr>
              <w:t xml:space="preserve">the </w:t>
            </w:r>
            <w:r w:rsidRPr="000665B0">
              <w:rPr>
                <w:sz w:val="20"/>
              </w:rPr>
              <w:t xml:space="preserve">database </w:t>
            </w:r>
            <w:r w:rsidR="00E51273" w:rsidRPr="000665B0">
              <w:rPr>
                <w:sz w:val="20"/>
              </w:rPr>
              <w:t xml:space="preserve">connection, </w:t>
            </w:r>
            <w:r w:rsidRPr="000665B0">
              <w:rPr>
                <w:sz w:val="20"/>
              </w:rPr>
              <w:t>then a runtime error has occurred</w:t>
            </w:r>
            <w:r w:rsidR="00E51273" w:rsidRPr="000665B0">
              <w:rPr>
                <w:sz w:val="20"/>
              </w:rPr>
              <w:t>. R</w:t>
            </w:r>
            <w:r w:rsidR="008C63C4" w:rsidRPr="000665B0">
              <w:rPr>
                <w:sz w:val="20"/>
              </w:rPr>
              <w:t>ecycle the Ted Application Pool</w:t>
            </w:r>
            <w:r w:rsidR="00234E1F" w:rsidRPr="000665B0">
              <w:rPr>
                <w:sz w:val="20"/>
              </w:rPr>
              <w:t xml:space="preserve"> (</w:t>
            </w:r>
            <w:r w:rsidR="00934CC7" w:rsidRPr="00934CC7">
              <w:rPr>
                <w:noProof/>
                <w:sz w:val="20"/>
              </w:rPr>
              <w:t xml:space="preserve">see </w:t>
            </w:r>
            <w:hyperlink w:anchor="_File_Menu" w:history="1">
              <w:r w:rsidR="00934CC7" w:rsidRPr="00934CC7">
                <w:rPr>
                  <w:rStyle w:val="Hyperlink"/>
                  <w:noProof/>
                  <w:sz w:val="20"/>
                </w:rPr>
                <w:t>Section 4.5.2.1</w:t>
              </w:r>
            </w:hyperlink>
            <w:r w:rsidR="00234E1F" w:rsidRPr="000665B0">
              <w:rPr>
                <w:sz w:val="20"/>
              </w:rPr>
              <w:t>)</w:t>
            </w:r>
            <w:r w:rsidRPr="000665B0">
              <w:rPr>
                <w:sz w:val="20"/>
              </w:rPr>
              <w:t>.</w:t>
            </w:r>
          </w:p>
          <w:p w14:paraId="0B122540" w14:textId="77777777" w:rsidR="0023750F" w:rsidRPr="000665B0" w:rsidRDefault="003955BB" w:rsidP="005F2B17">
            <w:pPr>
              <w:rPr>
                <w:color w:val="0000FF"/>
                <w:sz w:val="20"/>
                <w:u w:val="single"/>
              </w:rPr>
            </w:pPr>
            <w:r w:rsidRPr="000665B0">
              <w:rPr>
                <w:sz w:val="20"/>
              </w:rPr>
              <w:t xml:space="preserve">Restart MDS to see if this error </w:t>
            </w:r>
            <w:r w:rsidR="00234E1F" w:rsidRPr="000665B0">
              <w:rPr>
                <w:sz w:val="20"/>
              </w:rPr>
              <w:t xml:space="preserve">occurs </w:t>
            </w:r>
            <w:r w:rsidRPr="000665B0">
              <w:rPr>
                <w:sz w:val="20"/>
              </w:rPr>
              <w:t>again.</w:t>
            </w:r>
          </w:p>
        </w:tc>
      </w:tr>
      <w:tr w:rsidR="008168B7" w:rsidRPr="000665B0" w14:paraId="68C6E764" w14:textId="77777777" w:rsidTr="0058307F">
        <w:trPr>
          <w:cantSplit/>
        </w:trPr>
        <w:tc>
          <w:tcPr>
            <w:tcW w:w="1176" w:type="dxa"/>
            <w:tcBorders>
              <w:top w:val="single" w:sz="4" w:space="0" w:color="auto"/>
              <w:left w:val="single" w:sz="4" w:space="0" w:color="auto"/>
              <w:bottom w:val="single" w:sz="4" w:space="0" w:color="auto"/>
              <w:right w:val="single" w:sz="4" w:space="0" w:color="auto"/>
            </w:tcBorders>
          </w:tcPr>
          <w:p w14:paraId="1CA120F9" w14:textId="77777777" w:rsidR="008168B7" w:rsidRPr="000665B0" w:rsidRDefault="008168B7" w:rsidP="0058307F">
            <w:pPr>
              <w:spacing w:before="40" w:after="40" w:line="240" w:lineRule="auto"/>
              <w:rPr>
                <w:sz w:val="20"/>
              </w:rPr>
            </w:pPr>
            <w:bookmarkStart w:id="7471" w:name="Trouble_Shoot_513"/>
            <w:r w:rsidRPr="000665B0">
              <w:rPr>
                <w:sz w:val="20"/>
              </w:rPr>
              <w:t>513</w:t>
            </w:r>
            <w:bookmarkEnd w:id="7471"/>
          </w:p>
        </w:tc>
        <w:tc>
          <w:tcPr>
            <w:tcW w:w="2222" w:type="dxa"/>
            <w:tcBorders>
              <w:top w:val="single" w:sz="4" w:space="0" w:color="auto"/>
              <w:left w:val="single" w:sz="4" w:space="0" w:color="auto"/>
              <w:bottom w:val="single" w:sz="4" w:space="0" w:color="auto"/>
              <w:right w:val="single" w:sz="4" w:space="0" w:color="auto"/>
            </w:tcBorders>
          </w:tcPr>
          <w:p w14:paraId="6C7AAB33" w14:textId="77777777" w:rsidR="008168B7" w:rsidRPr="000665B0" w:rsidRDefault="008168B7" w:rsidP="005F2B17">
            <w:pPr>
              <w:spacing w:before="40" w:after="40" w:line="240" w:lineRule="auto"/>
              <w:rPr>
                <w:sz w:val="20"/>
              </w:rPr>
            </w:pPr>
            <w:r w:rsidRPr="000665B0">
              <w:rPr>
                <w:noProof/>
                <w:sz w:val="20"/>
              </w:rPr>
              <w:t>Error saving {0} for Strike Folder {1}</w:t>
            </w:r>
          </w:p>
        </w:tc>
        <w:tc>
          <w:tcPr>
            <w:tcW w:w="2298" w:type="dxa"/>
            <w:tcBorders>
              <w:top w:val="single" w:sz="4" w:space="0" w:color="auto"/>
              <w:left w:val="single" w:sz="4" w:space="0" w:color="auto"/>
              <w:bottom w:val="single" w:sz="4" w:space="0" w:color="auto"/>
              <w:right w:val="single" w:sz="4" w:space="0" w:color="auto"/>
            </w:tcBorders>
          </w:tcPr>
          <w:p w14:paraId="3906ACF4" w14:textId="77777777" w:rsidR="008168B7" w:rsidRPr="000665B0" w:rsidRDefault="008168B7" w:rsidP="005F2B17">
            <w:pPr>
              <w:spacing w:before="40" w:after="40" w:line="240" w:lineRule="auto"/>
              <w:rPr>
                <w:sz w:val="20"/>
              </w:rPr>
            </w:pPr>
          </w:p>
        </w:tc>
        <w:tc>
          <w:tcPr>
            <w:tcW w:w="3654" w:type="dxa"/>
            <w:tcBorders>
              <w:top w:val="single" w:sz="4" w:space="0" w:color="auto"/>
              <w:left w:val="single" w:sz="4" w:space="0" w:color="auto"/>
              <w:bottom w:val="single" w:sz="4" w:space="0" w:color="auto"/>
              <w:right w:val="single" w:sz="4" w:space="0" w:color="auto"/>
            </w:tcBorders>
          </w:tcPr>
          <w:p w14:paraId="5025D5FF" w14:textId="77777777" w:rsidR="008168B7" w:rsidRPr="000665B0" w:rsidRDefault="008168B7" w:rsidP="005F2B17">
            <w:pPr>
              <w:spacing w:before="40" w:after="40" w:line="240" w:lineRule="auto"/>
              <w:rPr>
                <w:sz w:val="20"/>
              </w:rPr>
            </w:pPr>
            <w:r w:rsidRPr="000665B0">
              <w:rPr>
                <w:sz w:val="20"/>
              </w:rPr>
              <w:t xml:space="preserve">Check if the Geographic Resource list contains any ACMSs without an ACMS Type or Overlays without a title. </w:t>
            </w:r>
          </w:p>
          <w:p w14:paraId="568F6ACE" w14:textId="77777777" w:rsidR="008168B7" w:rsidRPr="000665B0" w:rsidRDefault="008168B7" w:rsidP="005F2B17">
            <w:pPr>
              <w:spacing w:before="40" w:after="40" w:line="240" w:lineRule="auto"/>
              <w:rPr>
                <w:sz w:val="20"/>
              </w:rPr>
            </w:pPr>
            <w:r w:rsidRPr="000665B0">
              <w:rPr>
                <w:sz w:val="20"/>
              </w:rPr>
              <w:t>Remove those ACMSs or Overlays.</w:t>
            </w:r>
          </w:p>
          <w:p w14:paraId="57015280" w14:textId="77777777" w:rsidR="008168B7" w:rsidRPr="000665B0" w:rsidRDefault="008168B7" w:rsidP="005F2B17">
            <w:pPr>
              <w:spacing w:before="40" w:after="40" w:line="240" w:lineRule="auto"/>
              <w:rPr>
                <w:sz w:val="20"/>
              </w:rPr>
            </w:pPr>
            <w:r w:rsidRPr="000665B0">
              <w:rPr>
                <w:sz w:val="20"/>
              </w:rPr>
              <w:t>Save.</w:t>
            </w:r>
          </w:p>
        </w:tc>
      </w:tr>
      <w:tr w:rsidR="008168B7" w:rsidRPr="000665B0" w14:paraId="1584675B" w14:textId="77777777" w:rsidTr="0058307F">
        <w:trPr>
          <w:cantSplit/>
        </w:trPr>
        <w:tc>
          <w:tcPr>
            <w:tcW w:w="1176" w:type="dxa"/>
            <w:tcBorders>
              <w:top w:val="single" w:sz="4" w:space="0" w:color="auto"/>
              <w:left w:val="single" w:sz="4" w:space="0" w:color="auto"/>
              <w:bottom w:val="single" w:sz="4" w:space="0" w:color="auto"/>
              <w:right w:val="single" w:sz="4" w:space="0" w:color="auto"/>
            </w:tcBorders>
          </w:tcPr>
          <w:p w14:paraId="1172EE36" w14:textId="77777777" w:rsidR="008168B7" w:rsidRPr="000665B0" w:rsidRDefault="008168B7" w:rsidP="0058307F">
            <w:pPr>
              <w:spacing w:before="40" w:after="40" w:line="240" w:lineRule="auto"/>
              <w:rPr>
                <w:sz w:val="20"/>
              </w:rPr>
            </w:pPr>
            <w:bookmarkStart w:id="7472" w:name="Trouble_Shoot_808"/>
            <w:r w:rsidRPr="000665B0">
              <w:rPr>
                <w:sz w:val="20"/>
              </w:rPr>
              <w:t>808</w:t>
            </w:r>
            <w:bookmarkEnd w:id="7472"/>
          </w:p>
        </w:tc>
        <w:tc>
          <w:tcPr>
            <w:tcW w:w="2222" w:type="dxa"/>
            <w:tcBorders>
              <w:top w:val="single" w:sz="4" w:space="0" w:color="auto"/>
              <w:left w:val="single" w:sz="4" w:space="0" w:color="auto"/>
              <w:bottom w:val="single" w:sz="4" w:space="0" w:color="auto"/>
              <w:right w:val="single" w:sz="4" w:space="0" w:color="auto"/>
            </w:tcBorders>
          </w:tcPr>
          <w:p w14:paraId="012950E8" w14:textId="77777777" w:rsidR="008168B7" w:rsidRPr="000665B0" w:rsidRDefault="008168B7" w:rsidP="005F2B17">
            <w:pPr>
              <w:spacing w:before="40" w:after="40" w:line="240" w:lineRule="auto"/>
              <w:rPr>
                <w:sz w:val="20"/>
              </w:rPr>
            </w:pPr>
            <w:r w:rsidRPr="000665B0">
              <w:rPr>
                <w:noProof/>
                <w:sz w:val="20"/>
              </w:rPr>
              <w:t>Error retrieving the Strike Rehearsal Data, rehearsal will be canceled</w:t>
            </w:r>
          </w:p>
        </w:tc>
        <w:tc>
          <w:tcPr>
            <w:tcW w:w="2298" w:type="dxa"/>
            <w:tcBorders>
              <w:top w:val="single" w:sz="4" w:space="0" w:color="auto"/>
              <w:left w:val="single" w:sz="4" w:space="0" w:color="auto"/>
              <w:bottom w:val="single" w:sz="4" w:space="0" w:color="auto"/>
              <w:right w:val="single" w:sz="4" w:space="0" w:color="auto"/>
            </w:tcBorders>
          </w:tcPr>
          <w:p w14:paraId="29118C1B" w14:textId="77777777" w:rsidR="008168B7" w:rsidRPr="000665B0" w:rsidRDefault="00975787" w:rsidP="005F2B17">
            <w:pPr>
              <w:spacing w:before="40" w:after="40" w:line="240" w:lineRule="auto"/>
              <w:rPr>
                <w:sz w:val="20"/>
              </w:rPr>
            </w:pPr>
            <w:r w:rsidRPr="000665B0">
              <w:rPr>
                <w:noProof/>
                <w:sz w:val="20"/>
              </w:rPr>
              <w:t>TSRT was unable to access information needed to rehearse a strike. This may include missions, targets, PLPs, platform information, platform missile inventory, or other data associated with the strike. This message may also be displayed when none of the engagements could be accepted.</w:t>
            </w:r>
          </w:p>
        </w:tc>
        <w:tc>
          <w:tcPr>
            <w:tcW w:w="3654" w:type="dxa"/>
            <w:tcBorders>
              <w:top w:val="single" w:sz="4" w:space="0" w:color="auto"/>
              <w:left w:val="single" w:sz="4" w:space="0" w:color="auto"/>
              <w:bottom w:val="single" w:sz="4" w:space="0" w:color="auto"/>
              <w:right w:val="single" w:sz="4" w:space="0" w:color="auto"/>
            </w:tcBorders>
          </w:tcPr>
          <w:p w14:paraId="2138A7A7" w14:textId="09BDA4F0" w:rsidR="008168B7" w:rsidRPr="000665B0" w:rsidRDefault="00975787" w:rsidP="005F2B17">
            <w:pPr>
              <w:spacing w:before="40" w:after="40" w:line="240" w:lineRule="auto"/>
              <w:rPr>
                <w:sz w:val="20"/>
              </w:rPr>
            </w:pPr>
            <w:r w:rsidRPr="000665B0">
              <w:rPr>
                <w:noProof/>
                <w:sz w:val="20"/>
              </w:rPr>
              <w:t>Ensure that TSRT’s TED was sent all associated strike data. If not, send all of the data, verify that it was successfully processed using the Incoming DDO tool, then re-start the rehearsal. If lack of data was not the problem, verify that the strike engagements (missile reservations) are feasible (PLPs within launch areas, TOLs in the future, sufficient FRU inventory, etc.). If this message appears during execution (</w:t>
            </w:r>
            <w:r w:rsidR="003509EA" w:rsidRPr="000665B0">
              <w:rPr>
                <w:noProof/>
                <w:sz w:val="20"/>
              </w:rPr>
              <w:t xml:space="preserve">i.e., </w:t>
            </w:r>
            <w:r w:rsidRPr="000665B0">
              <w:rPr>
                <w:noProof/>
                <w:sz w:val="20"/>
              </w:rPr>
              <w:t>sometime after the strike was successfully started by TSRT), attempt to reverse the last action taken (for example, a time shift), then re-start the rehearsal.</w:t>
            </w:r>
          </w:p>
        </w:tc>
      </w:tr>
      <w:tr w:rsidR="008168B7" w:rsidRPr="000665B0" w14:paraId="4114BE9C" w14:textId="77777777" w:rsidTr="0058307F">
        <w:trPr>
          <w:cantSplit/>
        </w:trPr>
        <w:tc>
          <w:tcPr>
            <w:tcW w:w="1176" w:type="dxa"/>
            <w:tcBorders>
              <w:top w:val="single" w:sz="4" w:space="0" w:color="auto"/>
              <w:left w:val="single" w:sz="4" w:space="0" w:color="auto"/>
              <w:bottom w:val="single" w:sz="4" w:space="0" w:color="auto"/>
              <w:right w:val="single" w:sz="4" w:space="0" w:color="auto"/>
            </w:tcBorders>
          </w:tcPr>
          <w:p w14:paraId="2BB25DB1" w14:textId="77777777" w:rsidR="008168B7" w:rsidRPr="000665B0" w:rsidRDefault="008168B7" w:rsidP="0058307F">
            <w:pPr>
              <w:spacing w:before="40" w:after="40" w:line="240" w:lineRule="auto"/>
              <w:rPr>
                <w:sz w:val="20"/>
              </w:rPr>
            </w:pPr>
            <w:bookmarkStart w:id="7473" w:name="Trouble_Shoot_1028"/>
            <w:r w:rsidRPr="000665B0">
              <w:rPr>
                <w:sz w:val="20"/>
              </w:rPr>
              <w:lastRenderedPageBreak/>
              <w:t>1028</w:t>
            </w:r>
            <w:bookmarkEnd w:id="7473"/>
          </w:p>
        </w:tc>
        <w:tc>
          <w:tcPr>
            <w:tcW w:w="2222" w:type="dxa"/>
            <w:tcBorders>
              <w:top w:val="single" w:sz="4" w:space="0" w:color="auto"/>
              <w:left w:val="single" w:sz="4" w:space="0" w:color="auto"/>
              <w:bottom w:val="single" w:sz="4" w:space="0" w:color="auto"/>
              <w:right w:val="single" w:sz="4" w:space="0" w:color="auto"/>
            </w:tcBorders>
          </w:tcPr>
          <w:p w14:paraId="74C12671" w14:textId="77777777" w:rsidR="008168B7" w:rsidRPr="000665B0" w:rsidRDefault="008168B7" w:rsidP="005F2B17">
            <w:pPr>
              <w:spacing w:before="40" w:after="40" w:line="240" w:lineRule="auto"/>
              <w:rPr>
                <w:sz w:val="20"/>
              </w:rPr>
            </w:pPr>
            <w:r w:rsidRPr="000665B0">
              <w:rPr>
                <w:sz w:val="20"/>
              </w:rPr>
              <w:t>Error printing to Word</w:t>
            </w:r>
          </w:p>
        </w:tc>
        <w:tc>
          <w:tcPr>
            <w:tcW w:w="2298" w:type="dxa"/>
            <w:tcBorders>
              <w:top w:val="single" w:sz="4" w:space="0" w:color="auto"/>
              <w:left w:val="single" w:sz="4" w:space="0" w:color="auto"/>
              <w:bottom w:val="single" w:sz="4" w:space="0" w:color="auto"/>
              <w:right w:val="single" w:sz="4" w:space="0" w:color="auto"/>
            </w:tcBorders>
          </w:tcPr>
          <w:p w14:paraId="30ECA068" w14:textId="77777777" w:rsidR="008168B7" w:rsidRPr="000665B0" w:rsidRDefault="008168B7" w:rsidP="005F2B17">
            <w:pPr>
              <w:spacing w:before="40" w:after="40" w:line="240" w:lineRule="auto"/>
              <w:rPr>
                <w:sz w:val="20"/>
              </w:rPr>
            </w:pPr>
          </w:p>
        </w:tc>
        <w:tc>
          <w:tcPr>
            <w:tcW w:w="3654" w:type="dxa"/>
            <w:tcBorders>
              <w:top w:val="single" w:sz="4" w:space="0" w:color="auto"/>
              <w:left w:val="single" w:sz="4" w:space="0" w:color="auto"/>
              <w:bottom w:val="single" w:sz="4" w:space="0" w:color="auto"/>
              <w:right w:val="single" w:sz="4" w:space="0" w:color="auto"/>
            </w:tcBorders>
          </w:tcPr>
          <w:p w14:paraId="00D28A3B" w14:textId="77777777" w:rsidR="008168B7" w:rsidRPr="000665B0" w:rsidRDefault="008168B7" w:rsidP="005F2B17">
            <w:pPr>
              <w:spacing w:before="40" w:after="40" w:line="240" w:lineRule="auto"/>
              <w:rPr>
                <w:sz w:val="20"/>
              </w:rPr>
            </w:pPr>
            <w:r w:rsidRPr="000665B0">
              <w:rPr>
                <w:sz w:val="20"/>
              </w:rPr>
              <w:t>Check to see if Word has been installed.</w:t>
            </w:r>
          </w:p>
          <w:p w14:paraId="280DA1BF" w14:textId="77777777" w:rsidR="008168B7" w:rsidRPr="000665B0" w:rsidRDefault="000C47D5" w:rsidP="005F2B17">
            <w:pPr>
              <w:spacing w:before="40" w:after="40" w:line="240" w:lineRule="auto"/>
              <w:rPr>
                <w:sz w:val="20"/>
              </w:rPr>
            </w:pPr>
            <w:r w:rsidRPr="000665B0">
              <w:rPr>
                <w:sz w:val="20"/>
              </w:rPr>
              <w:t xml:space="preserve">Right-click the </w:t>
            </w:r>
            <w:r w:rsidRPr="000665B0">
              <w:rPr>
                <w:noProof/>
                <w:sz w:val="20"/>
              </w:rPr>
              <w:drawing>
                <wp:inline distT="0" distB="0" distL="0" distR="0" wp14:anchorId="6B3828A5" wp14:editId="647C3435">
                  <wp:extent cx="182880" cy="178068"/>
                  <wp:effectExtent l="0" t="0" r="762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0665B0">
              <w:rPr>
                <w:sz w:val="20"/>
              </w:rPr>
              <w:t xml:space="preserve"> icon and select </w:t>
            </w:r>
            <w:r w:rsidRPr="000665B0">
              <w:rPr>
                <w:b/>
                <w:sz w:val="20"/>
              </w:rPr>
              <w:t>Programs and Features</w:t>
            </w:r>
            <w:r w:rsidRPr="000665B0">
              <w:rPr>
                <w:sz w:val="20"/>
              </w:rPr>
              <w:t xml:space="preserve"> from the pop-up menu. </w:t>
            </w:r>
          </w:p>
          <w:p w14:paraId="2E02EB97" w14:textId="77777777" w:rsidR="008168B7" w:rsidRPr="000665B0" w:rsidRDefault="008168B7" w:rsidP="005F2B17">
            <w:pPr>
              <w:spacing w:before="40" w:after="40" w:line="240" w:lineRule="auto"/>
              <w:rPr>
                <w:sz w:val="20"/>
              </w:rPr>
            </w:pPr>
            <w:r w:rsidRPr="000665B0">
              <w:rPr>
                <w:sz w:val="20"/>
              </w:rPr>
              <w:t xml:space="preserve">Check to see if Microsoft </w:t>
            </w:r>
            <w:r w:rsidR="000C47D5" w:rsidRPr="000665B0">
              <w:rPr>
                <w:sz w:val="20"/>
              </w:rPr>
              <w:t xml:space="preserve">Office </w:t>
            </w:r>
            <w:r w:rsidRPr="000665B0">
              <w:rPr>
                <w:sz w:val="20"/>
              </w:rPr>
              <w:t>is listed. If not, install Microsoft Word or Microsoft Office. If yes reinstall Microsoft Word or Microsoft Office again, since it is possible that Microsoft Word or Microsoft Office has been corrupted.</w:t>
            </w:r>
          </w:p>
        </w:tc>
      </w:tr>
    </w:tbl>
    <w:p w14:paraId="1EA3A38F" w14:textId="77777777" w:rsidR="008168B7" w:rsidRPr="000665B0" w:rsidRDefault="008168B7" w:rsidP="00393E1D">
      <w:pPr>
        <w:keepNext/>
        <w:spacing w:before="120"/>
      </w:pPr>
      <w:bookmarkStart w:id="7474" w:name="Unknown_Exception"/>
      <w:r w:rsidRPr="000665B0">
        <w:t>Unknown Exception</w:t>
      </w:r>
    </w:p>
    <w:bookmarkEnd w:id="7474"/>
    <w:p w14:paraId="06C670C8" w14:textId="77777777" w:rsidR="008168B7" w:rsidRPr="000665B0" w:rsidRDefault="008168B7" w:rsidP="006D5A65">
      <w:pPr>
        <w:pStyle w:val="Heading1"/>
      </w:pPr>
      <w:r w:rsidRPr="000665B0">
        <w:t>Collect as much information as possible.</w:t>
      </w:r>
    </w:p>
    <w:p w14:paraId="05E1553E" w14:textId="77777777" w:rsidR="008168B7" w:rsidRPr="000665B0" w:rsidRDefault="008168B7" w:rsidP="006D5A65">
      <w:pPr>
        <w:pStyle w:val="Heading1"/>
      </w:pPr>
      <w:r w:rsidRPr="000665B0">
        <w:t>Press Ctrl + Print Scrn button to capture screen.</w:t>
      </w:r>
    </w:p>
    <w:p w14:paraId="308FE1EC" w14:textId="77777777" w:rsidR="008168B7" w:rsidRPr="000665B0" w:rsidRDefault="008168B7" w:rsidP="006D5A65">
      <w:pPr>
        <w:pStyle w:val="Heading1"/>
      </w:pPr>
      <w:r w:rsidRPr="000665B0">
        <w:t>Take notes of configuration.</w:t>
      </w:r>
    </w:p>
    <w:p w14:paraId="1ADAEFA1" w14:textId="77777777" w:rsidR="008168B7" w:rsidRPr="000665B0" w:rsidRDefault="007E093B" w:rsidP="006D5A65">
      <w:pPr>
        <w:pStyle w:val="Heading1"/>
      </w:pPr>
      <w:r w:rsidRPr="000665B0">
        <w:t xml:space="preserve">Take notes of steps </w:t>
      </w:r>
      <w:r w:rsidR="008168B7" w:rsidRPr="000665B0">
        <w:t>taken to cause this error.</w:t>
      </w:r>
    </w:p>
    <w:p w14:paraId="5C27C59C" w14:textId="77777777" w:rsidR="008168B7" w:rsidRPr="000665B0" w:rsidRDefault="008168B7" w:rsidP="006D5A65">
      <w:pPr>
        <w:pStyle w:val="Heading1"/>
      </w:pPr>
      <w:r w:rsidRPr="000665B0">
        <w:t>Print error log entry.</w:t>
      </w:r>
    </w:p>
    <w:p w14:paraId="319EF627" w14:textId="0DD248B1" w:rsidR="00951D5A" w:rsidRPr="000665B0" w:rsidRDefault="008168B7" w:rsidP="006D5A65">
      <w:pPr>
        <w:pStyle w:val="Heading1"/>
      </w:pPr>
      <w:r w:rsidRPr="000665B0">
        <w:t>Contact</w:t>
      </w:r>
      <w:r w:rsidR="00EB4BA8" w:rsidRPr="000665B0">
        <w:t xml:space="preserve"> the appropriate Help Desk </w:t>
      </w:r>
      <w:r w:rsidR="008858E3" w:rsidRPr="000665B0">
        <w:t>(see</w:t>
      </w:r>
      <w:r w:rsidR="00EB4BA8" w:rsidRPr="000665B0">
        <w:t xml:space="preserve"> </w:t>
      </w:r>
      <w:hyperlink w:anchor="_APPENDIX_U_" w:history="1">
        <w:r w:rsidR="00EB4BA8" w:rsidRPr="000665B0">
          <w:rPr>
            <w:rStyle w:val="Hyperlink"/>
            <w:szCs w:val="24"/>
          </w:rPr>
          <w:t xml:space="preserve">Appendix </w:t>
        </w:r>
        <w:r w:rsidR="00BA5FFA">
          <w:rPr>
            <w:rStyle w:val="Hyperlink"/>
            <w:szCs w:val="24"/>
          </w:rPr>
          <w:t>U</w:t>
        </w:r>
      </w:hyperlink>
      <w:r w:rsidR="008858E3" w:rsidRPr="000665B0">
        <w:t>).</w:t>
      </w:r>
      <w:r w:rsidRPr="000665B0">
        <w:t xml:space="preserve"> </w:t>
      </w:r>
    </w:p>
    <w:p w14:paraId="0B032D18" w14:textId="2B8FD980" w:rsidR="00584AC5" w:rsidRPr="000665B0" w:rsidRDefault="001075B1" w:rsidP="00912CE8">
      <w:pPr>
        <w:pStyle w:val="Appendix2"/>
      </w:pPr>
      <w:bookmarkStart w:id="7475" w:name="Verify_Set_Auto_Close"/>
      <w:bookmarkStart w:id="7476" w:name="_Toc214283706"/>
      <w:bookmarkEnd w:id="7475"/>
      <w:r w:rsidRPr="000665B0">
        <w:t>VERIFY/SET AUTO CLOSE</w:t>
      </w:r>
      <w:bookmarkEnd w:id="7476"/>
    </w:p>
    <w:p w14:paraId="13E59982" w14:textId="77777777" w:rsidR="00497981" w:rsidRPr="000665B0" w:rsidRDefault="00497981" w:rsidP="00497981">
      <w:pPr>
        <w:spacing w:before="240"/>
      </w:pPr>
      <w:r w:rsidRPr="000665B0">
        <w:rPr>
          <w:b/>
          <w:szCs w:val="24"/>
          <w:u w:val="single"/>
        </w:rPr>
        <w:t>Issue</w:t>
      </w:r>
      <w:r w:rsidRPr="000665B0">
        <w:rPr>
          <w:b/>
          <w:szCs w:val="24"/>
        </w:rPr>
        <w:t xml:space="preserve">: </w:t>
      </w:r>
      <w:r w:rsidR="001075B1" w:rsidRPr="000665B0">
        <w:rPr>
          <w:szCs w:val="24"/>
        </w:rPr>
        <w:t xml:space="preserve">If auto close is set to </w:t>
      </w:r>
      <w:r w:rsidRPr="000665B0">
        <w:rPr>
          <w:b/>
          <w:szCs w:val="24"/>
        </w:rPr>
        <w:t>True</w:t>
      </w:r>
      <w:r w:rsidRPr="000665B0">
        <w:rPr>
          <w:szCs w:val="24"/>
        </w:rPr>
        <w:t>, an informational error is generated for each database in the event log about every 5 minutes.</w:t>
      </w:r>
    </w:p>
    <w:p w14:paraId="6A3ED502" w14:textId="77777777" w:rsidR="008B397A" w:rsidRPr="000665B0" w:rsidRDefault="008B397A" w:rsidP="006D5A65">
      <w:pPr>
        <w:pStyle w:val="Heading1"/>
      </w:pPr>
      <w:r w:rsidRPr="000665B0">
        <w:t>To Verify/Set Auto Close.</w:t>
      </w:r>
    </w:p>
    <w:p w14:paraId="077EA431" w14:textId="13D905F8" w:rsidR="00E13FE3" w:rsidRPr="000665B0" w:rsidRDefault="00E13FE3" w:rsidP="006D5A65">
      <w:pPr>
        <w:pStyle w:val="Heading1"/>
      </w:pPr>
      <w:r w:rsidRPr="000665B0">
        <w:t xml:space="preserve">Right-click the </w:t>
      </w:r>
      <w:r w:rsidRPr="000665B0">
        <w:rPr>
          <w:noProof/>
        </w:rPr>
        <w:drawing>
          <wp:inline distT="0" distB="0" distL="0" distR="0" wp14:anchorId="0BEBAF3F" wp14:editId="6BAEBD21">
            <wp:extent cx="182880" cy="178068"/>
            <wp:effectExtent l="0" t="0" r="762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0665B0">
        <w:t xml:space="preserve"> icon and select Search from the pop-up menu. Type SQL Server </w:t>
      </w:r>
      <w:r w:rsidR="00931D14" w:rsidRPr="000665B0">
        <w:t xml:space="preserve">2016 </w:t>
      </w:r>
      <w:r w:rsidRPr="000665B0">
        <w:t xml:space="preserve">Management Studio in the Search field, and then select SQL Server </w:t>
      </w:r>
      <w:r w:rsidR="00931D14" w:rsidRPr="000665B0">
        <w:t xml:space="preserve">2016 </w:t>
      </w:r>
      <w:r w:rsidRPr="000665B0">
        <w:t>Management Studio in the results list.</w:t>
      </w:r>
    </w:p>
    <w:p w14:paraId="206DA5F3" w14:textId="77777777" w:rsidR="008B397A" w:rsidRPr="000665B0" w:rsidRDefault="008B397A" w:rsidP="006D5A65">
      <w:pPr>
        <w:pStyle w:val="Heading1"/>
      </w:pPr>
      <w:r w:rsidRPr="000665B0">
        <w:t xml:space="preserve">In the </w:t>
      </w:r>
      <w:r w:rsidRPr="000665B0">
        <w:rPr>
          <w:i/>
        </w:rPr>
        <w:t>Connect to Server</w:t>
      </w:r>
      <w:r w:rsidRPr="000665B0">
        <w:t xml:space="preserve"> window click the Connect button.</w:t>
      </w:r>
    </w:p>
    <w:p w14:paraId="29840CF5" w14:textId="77777777" w:rsidR="008B397A" w:rsidRPr="000665B0" w:rsidRDefault="008B397A" w:rsidP="006D5A65">
      <w:pPr>
        <w:pStyle w:val="Heading1"/>
      </w:pPr>
      <w:r w:rsidRPr="000665B0">
        <w:t xml:space="preserve">In the </w:t>
      </w:r>
      <w:r w:rsidRPr="000665B0">
        <w:rPr>
          <w:i/>
        </w:rPr>
        <w:t xml:space="preserve">Microsoft SQL Server Management </w:t>
      </w:r>
      <w:r w:rsidR="00EA009B" w:rsidRPr="000665B0">
        <w:rPr>
          <w:i/>
        </w:rPr>
        <w:t>Studio</w:t>
      </w:r>
      <w:r w:rsidR="00EA009B" w:rsidRPr="000665B0">
        <w:t xml:space="preserve"> </w:t>
      </w:r>
      <w:r w:rsidRPr="000665B0">
        <w:t>window, Object Explorer panel</w:t>
      </w:r>
      <w:r w:rsidR="00E13FE3" w:rsidRPr="000665B0">
        <w:t>,</w:t>
      </w:r>
      <w:r w:rsidRPr="000665B0">
        <w:t xml:space="preserve"> expand</w:t>
      </w:r>
      <w:r w:rsidR="00AA5C80" w:rsidRPr="000665B0">
        <w:t xml:space="preserve"> the Databases folder.</w:t>
      </w:r>
    </w:p>
    <w:p w14:paraId="49F1D6E3" w14:textId="3299636D" w:rsidR="00AA5C80" w:rsidRPr="000665B0" w:rsidRDefault="00AA5C80" w:rsidP="006D5A65">
      <w:pPr>
        <w:pStyle w:val="Heading1"/>
      </w:pPr>
      <w:r w:rsidRPr="000665B0">
        <w:t xml:space="preserve">Highlight the appropriate database, invoke the context menu (by </w:t>
      </w:r>
      <w:r w:rsidR="00D71804" w:rsidRPr="000665B0">
        <w:t>right-click</w:t>
      </w:r>
      <w:r w:rsidRPr="000665B0">
        <w:t>ing the mouse) and select Properties.</w:t>
      </w:r>
    </w:p>
    <w:p w14:paraId="5DCDB208" w14:textId="77777777" w:rsidR="00AA5C80" w:rsidRPr="000665B0" w:rsidRDefault="00AA5C80" w:rsidP="006D5A65">
      <w:pPr>
        <w:pStyle w:val="Heading1"/>
      </w:pPr>
      <w:r w:rsidRPr="000665B0">
        <w:t xml:space="preserve">In the </w:t>
      </w:r>
      <w:r w:rsidRPr="000665B0">
        <w:rPr>
          <w:i/>
        </w:rPr>
        <w:t>Database Properties</w:t>
      </w:r>
      <w:r w:rsidRPr="000665B0">
        <w:t xml:space="preserve"> window, Select a page panel</w:t>
      </w:r>
      <w:r w:rsidR="00EF32EB" w:rsidRPr="000665B0">
        <w:t>,</w:t>
      </w:r>
      <w:r w:rsidRPr="000665B0">
        <w:t xml:space="preserve"> click the Options selection.</w:t>
      </w:r>
    </w:p>
    <w:p w14:paraId="3733C881" w14:textId="77777777" w:rsidR="00AA5C80" w:rsidRPr="000665B0" w:rsidRDefault="00AA5C80" w:rsidP="006D5A65">
      <w:pPr>
        <w:pStyle w:val="Heading1"/>
      </w:pPr>
      <w:r w:rsidRPr="000665B0">
        <w:t xml:space="preserve">In the Automatic panel verify that the Auto Close selection is set to False. If not </w:t>
      </w:r>
      <w:r w:rsidR="003538F7" w:rsidRPr="000665B0">
        <w:t>click</w:t>
      </w:r>
      <w:r w:rsidRPr="000665B0">
        <w:t xml:space="preserve"> the </w:t>
      </w:r>
      <w:r w:rsidRPr="000665B0">
        <w:sym w:font="Wingdings 3" w:char="F080"/>
      </w:r>
      <w:r w:rsidRPr="000665B0">
        <w:t xml:space="preserve"> </w:t>
      </w:r>
      <w:r w:rsidR="003538F7" w:rsidRPr="000665B0">
        <w:t>button to the right and select False from the menu options.</w:t>
      </w:r>
    </w:p>
    <w:p w14:paraId="589FD068" w14:textId="77777777" w:rsidR="003538F7" w:rsidRPr="000665B0" w:rsidRDefault="003538F7" w:rsidP="006D5A65">
      <w:pPr>
        <w:pStyle w:val="Heading1"/>
      </w:pPr>
      <w:r w:rsidRPr="000665B0">
        <w:t>Click the Ok button.</w:t>
      </w:r>
    </w:p>
    <w:p w14:paraId="060B13EE" w14:textId="77777777" w:rsidR="003538F7" w:rsidRPr="000665B0" w:rsidRDefault="003538F7" w:rsidP="006D5A65">
      <w:pPr>
        <w:pStyle w:val="Heading1"/>
      </w:pPr>
      <w:r w:rsidRPr="000665B0">
        <w:t>Exit the SQL Server Management Studio.</w:t>
      </w:r>
    </w:p>
    <w:p w14:paraId="72084562" w14:textId="01DDB257" w:rsidR="008168B7" w:rsidRPr="000665B0" w:rsidRDefault="001075B1" w:rsidP="00912CE8">
      <w:pPr>
        <w:pStyle w:val="Appendix2"/>
      </w:pPr>
      <w:bookmarkStart w:id="7477" w:name="TED_Connection_Troubleshooting"/>
      <w:bookmarkStart w:id="7478" w:name="_Toc214283707"/>
      <w:bookmarkStart w:id="7479" w:name="_Hlk44497161"/>
      <w:bookmarkEnd w:id="7477"/>
      <w:r w:rsidRPr="000665B0">
        <w:t xml:space="preserve">TED </w:t>
      </w:r>
      <w:r w:rsidR="008168B7" w:rsidRPr="000665B0">
        <w:t>C</w:t>
      </w:r>
      <w:r w:rsidRPr="000665B0">
        <w:t>ONNECTION</w:t>
      </w:r>
      <w:r w:rsidR="008168B7" w:rsidRPr="000665B0">
        <w:t xml:space="preserve"> T</w:t>
      </w:r>
      <w:r w:rsidRPr="000665B0">
        <w:t>ROUBLESHOOTING</w:t>
      </w:r>
      <w:bookmarkEnd w:id="7478"/>
    </w:p>
    <w:p w14:paraId="425ABC15" w14:textId="77777777" w:rsidR="008168B7" w:rsidRPr="000665B0" w:rsidRDefault="008168B7" w:rsidP="008168B7">
      <w:pPr>
        <w:rPr>
          <w:szCs w:val="24"/>
        </w:rPr>
      </w:pPr>
      <w:r w:rsidRPr="000665B0">
        <w:rPr>
          <w:b/>
          <w:szCs w:val="24"/>
          <w:u w:val="single"/>
        </w:rPr>
        <w:t>Issue</w:t>
      </w:r>
      <w:r w:rsidRPr="000665B0">
        <w:rPr>
          <w:b/>
          <w:szCs w:val="24"/>
        </w:rPr>
        <w:t>:</w:t>
      </w:r>
      <w:r w:rsidRPr="000665B0">
        <w:rPr>
          <w:szCs w:val="24"/>
        </w:rPr>
        <w:t xml:space="preserve"> </w:t>
      </w:r>
      <w:r w:rsidR="00E014C6" w:rsidRPr="000665B0">
        <w:rPr>
          <w:szCs w:val="24"/>
        </w:rPr>
        <w:t>MDS is not connected to one o</w:t>
      </w:r>
      <w:r w:rsidR="00293BEF" w:rsidRPr="000665B0">
        <w:rPr>
          <w:szCs w:val="24"/>
        </w:rPr>
        <w:t>r</w:t>
      </w:r>
      <w:r w:rsidR="00E014C6" w:rsidRPr="000665B0">
        <w:rPr>
          <w:szCs w:val="24"/>
        </w:rPr>
        <w:t xml:space="preserve"> more of the TED Web Services.</w:t>
      </w:r>
    </w:p>
    <w:p w14:paraId="2DEE58A8" w14:textId="77777777" w:rsidR="008168B7" w:rsidRPr="000665B0" w:rsidRDefault="008168B7" w:rsidP="008168B7">
      <w:pPr>
        <w:rPr>
          <w:szCs w:val="24"/>
        </w:rPr>
      </w:pPr>
      <w:r w:rsidRPr="000665B0">
        <w:rPr>
          <w:b/>
          <w:szCs w:val="24"/>
          <w:u w:val="single"/>
        </w:rPr>
        <w:lastRenderedPageBreak/>
        <w:t>Description</w:t>
      </w:r>
      <w:r w:rsidRPr="000665B0">
        <w:rPr>
          <w:b/>
          <w:szCs w:val="24"/>
        </w:rPr>
        <w:t>:</w:t>
      </w:r>
      <w:r w:rsidRPr="000665B0">
        <w:rPr>
          <w:szCs w:val="24"/>
        </w:rPr>
        <w:t xml:space="preserve"> During normal operations, the user may encounter an instance when MDS </w:t>
      </w:r>
      <w:r w:rsidR="00E014C6" w:rsidRPr="000665B0">
        <w:rPr>
          <w:szCs w:val="24"/>
        </w:rPr>
        <w:t>cannot connect to TED</w:t>
      </w:r>
      <w:r w:rsidR="00AD759D" w:rsidRPr="000665B0">
        <w:rPr>
          <w:szCs w:val="24"/>
        </w:rPr>
        <w:t>,</w:t>
      </w:r>
      <w:r w:rsidR="00E014C6" w:rsidRPr="000665B0">
        <w:rPr>
          <w:szCs w:val="24"/>
        </w:rPr>
        <w:t xml:space="preserve"> or the</w:t>
      </w:r>
      <w:r w:rsidR="00B47958" w:rsidRPr="000665B0">
        <w:rPr>
          <w:szCs w:val="24"/>
        </w:rPr>
        <w:t xml:space="preserve"> MDS </w:t>
      </w:r>
      <w:r w:rsidRPr="000665B0">
        <w:rPr>
          <w:szCs w:val="24"/>
        </w:rPr>
        <w:t xml:space="preserve">tools contain </w:t>
      </w:r>
      <w:r w:rsidR="00E014C6" w:rsidRPr="000665B0">
        <w:rPr>
          <w:szCs w:val="24"/>
        </w:rPr>
        <w:t xml:space="preserve">no </w:t>
      </w:r>
      <w:r w:rsidRPr="000665B0">
        <w:rPr>
          <w:szCs w:val="24"/>
        </w:rPr>
        <w:t xml:space="preserve">data. There are a variety of different reasons why </w:t>
      </w:r>
      <w:r w:rsidR="00E014C6" w:rsidRPr="000665B0">
        <w:rPr>
          <w:szCs w:val="24"/>
        </w:rPr>
        <w:t>this may occur</w:t>
      </w:r>
      <w:r w:rsidRPr="000665B0">
        <w:rPr>
          <w:szCs w:val="24"/>
        </w:rPr>
        <w:t>. The procedures</w:t>
      </w:r>
      <w:r w:rsidR="00CE09E9" w:rsidRPr="000665B0">
        <w:rPr>
          <w:szCs w:val="24"/>
        </w:rPr>
        <w:t xml:space="preserve"> below</w:t>
      </w:r>
      <w:r w:rsidRPr="000665B0">
        <w:rPr>
          <w:szCs w:val="24"/>
        </w:rPr>
        <w:t xml:space="preserve"> guide the user through basic to more complex troubleshooting methods. If one possible resolution fails to correct the problem, then</w:t>
      </w:r>
      <w:r w:rsidR="00AD759D" w:rsidRPr="000665B0">
        <w:rPr>
          <w:szCs w:val="24"/>
        </w:rPr>
        <w:t xml:space="preserve"> follow</w:t>
      </w:r>
      <w:r w:rsidRPr="000665B0">
        <w:rPr>
          <w:szCs w:val="24"/>
        </w:rPr>
        <w:t xml:space="preserve"> the procedures </w:t>
      </w:r>
      <w:r w:rsidR="00AD759D" w:rsidRPr="000665B0">
        <w:rPr>
          <w:szCs w:val="24"/>
        </w:rPr>
        <w:t>to</w:t>
      </w:r>
      <w:r w:rsidRPr="000665B0">
        <w:rPr>
          <w:szCs w:val="24"/>
        </w:rPr>
        <w:t xml:space="preserve"> move to the next possible resolution.</w:t>
      </w:r>
    </w:p>
    <w:p w14:paraId="2BCBF581" w14:textId="77777777" w:rsidR="00E014C6" w:rsidRPr="000665B0" w:rsidRDefault="00E014C6" w:rsidP="00163B47">
      <w:pPr>
        <w:rPr>
          <w:szCs w:val="24"/>
        </w:rPr>
      </w:pPr>
      <w:r w:rsidRPr="000665B0">
        <w:rPr>
          <w:szCs w:val="24"/>
        </w:rPr>
        <w:t>Overview of possible resolutions:</w:t>
      </w:r>
    </w:p>
    <w:p w14:paraId="4A9632D9" w14:textId="77777777" w:rsidR="00B47958" w:rsidRPr="000665B0" w:rsidRDefault="00B47958" w:rsidP="006D5A65">
      <w:pPr>
        <w:pStyle w:val="Heading1"/>
      </w:pPr>
      <w:r w:rsidRPr="000665B0">
        <w:lastRenderedPageBreak/>
        <w:t>Verify/Configure TED Server Name</w:t>
      </w:r>
    </w:p>
    <w:p w14:paraId="7F2998A1" w14:textId="6AC4E6D2" w:rsidR="00E014C6" w:rsidRPr="000665B0" w:rsidRDefault="00E014C6" w:rsidP="006D5A65">
      <w:pPr>
        <w:pStyle w:val="Heading1"/>
      </w:pPr>
      <w:r w:rsidRPr="000665B0">
        <w:t>Restart MDS Application</w:t>
      </w:r>
    </w:p>
    <w:p w14:paraId="79D1449B" w14:textId="77777777" w:rsidR="00E014C6" w:rsidRPr="000665B0" w:rsidRDefault="00E014C6" w:rsidP="006D5A65">
      <w:pPr>
        <w:pStyle w:val="Heading1"/>
      </w:pPr>
      <w:r w:rsidRPr="000665B0">
        <w:t>Re</w:t>
      </w:r>
      <w:r w:rsidR="0073261F" w:rsidRPr="000665B0">
        <w:t>start</w:t>
      </w:r>
      <w:r w:rsidRPr="000665B0">
        <w:t xml:space="preserve"> MDS Workstation</w:t>
      </w:r>
    </w:p>
    <w:p w14:paraId="6C41F2B4" w14:textId="77777777" w:rsidR="00E014C6" w:rsidRPr="000665B0" w:rsidRDefault="00E014C6" w:rsidP="006D5A65">
      <w:pPr>
        <w:pStyle w:val="Heading1"/>
      </w:pPr>
      <w:r w:rsidRPr="000665B0">
        <w:t>Re</w:t>
      </w:r>
      <w:r w:rsidR="0073261F" w:rsidRPr="000665B0">
        <w:t>start</w:t>
      </w:r>
      <w:r w:rsidRPr="000665B0">
        <w:t xml:space="preserve"> Server(s) and MDS Workstation (CSG, TSMPC/CMSA)</w:t>
      </w:r>
    </w:p>
    <w:p w14:paraId="3908E218" w14:textId="77777777" w:rsidR="00E014C6" w:rsidRPr="000665B0" w:rsidRDefault="00E014C6" w:rsidP="006D5A65">
      <w:pPr>
        <w:pStyle w:val="Heading1"/>
      </w:pPr>
      <w:r w:rsidRPr="000665B0">
        <w:t>Review MDS Error Log</w:t>
      </w:r>
    </w:p>
    <w:p w14:paraId="24D6928E" w14:textId="77777777" w:rsidR="00E014C6" w:rsidRPr="000665B0" w:rsidRDefault="00E014C6" w:rsidP="006D5A65">
      <w:pPr>
        <w:pStyle w:val="Heading1"/>
      </w:pPr>
      <w:r w:rsidRPr="000665B0">
        <w:t>Review Ted5_0 Event Log</w:t>
      </w:r>
    </w:p>
    <w:p w14:paraId="56C11146" w14:textId="77777777" w:rsidR="00E014C6" w:rsidRPr="000665B0" w:rsidRDefault="00E014C6" w:rsidP="006D5A65">
      <w:pPr>
        <w:pStyle w:val="Heading1"/>
      </w:pPr>
      <w:r w:rsidRPr="000665B0">
        <w:t xml:space="preserve">Verify/Configure User </w:t>
      </w:r>
      <w:r w:rsidR="00B47958" w:rsidRPr="000665B0">
        <w:t xml:space="preserve">is </w:t>
      </w:r>
      <w:r w:rsidRPr="000665B0">
        <w:t xml:space="preserve">a </w:t>
      </w:r>
      <w:r w:rsidR="00AD759D" w:rsidRPr="000665B0">
        <w:t>M</w:t>
      </w:r>
      <w:r w:rsidRPr="000665B0">
        <w:t>ember of MDS Users</w:t>
      </w:r>
      <w:r w:rsidR="0073261F" w:rsidRPr="000665B0">
        <w:t xml:space="preserve"> Group</w:t>
      </w:r>
    </w:p>
    <w:p w14:paraId="47C09367" w14:textId="77777777" w:rsidR="00E014C6" w:rsidRPr="000665B0" w:rsidRDefault="00E014C6" w:rsidP="006D5A65">
      <w:pPr>
        <w:pStyle w:val="Heading1"/>
      </w:pPr>
      <w:r w:rsidRPr="000665B0">
        <w:t xml:space="preserve">Verify/Set </w:t>
      </w:r>
      <w:r w:rsidR="00AD759D" w:rsidRPr="000665B0">
        <w:t>U</w:t>
      </w:r>
      <w:r w:rsidRPr="000665B0">
        <w:t xml:space="preserve">ser </w:t>
      </w:r>
      <w:r w:rsidR="00AD759D" w:rsidRPr="000665B0">
        <w:t>P</w:t>
      </w:r>
      <w:r w:rsidRPr="000665B0">
        <w:t>assword (CSG)</w:t>
      </w:r>
    </w:p>
    <w:p w14:paraId="41E3C29D" w14:textId="77777777" w:rsidR="00E014C6" w:rsidRPr="000665B0" w:rsidRDefault="00E014C6" w:rsidP="006D5A65">
      <w:pPr>
        <w:pStyle w:val="Heading1"/>
      </w:pPr>
      <w:r w:rsidRPr="000665B0">
        <w:t>Verify Network Connection</w:t>
      </w:r>
      <w:r w:rsidR="00B47958" w:rsidRPr="000665B0">
        <w:t xml:space="preserve"> (CSG, TSMPC/CMSA)</w:t>
      </w:r>
    </w:p>
    <w:p w14:paraId="59ADE5F6" w14:textId="77777777" w:rsidR="00E014C6" w:rsidRPr="000665B0" w:rsidRDefault="00E014C6" w:rsidP="006D5A65">
      <w:pPr>
        <w:pStyle w:val="Heading1"/>
      </w:pPr>
      <w:r w:rsidRPr="000665B0">
        <w:t xml:space="preserve">Verify/Configure </w:t>
      </w:r>
      <w:r w:rsidR="00B47958" w:rsidRPr="000665B0">
        <w:t xml:space="preserve">the </w:t>
      </w:r>
      <w:r w:rsidRPr="000665B0">
        <w:t>hosts File (CSG)</w:t>
      </w:r>
    </w:p>
    <w:p w14:paraId="7F5C01E7" w14:textId="77777777" w:rsidR="00E014C6" w:rsidRPr="000665B0" w:rsidRDefault="00E014C6" w:rsidP="006D5A65">
      <w:pPr>
        <w:pStyle w:val="Heading1"/>
      </w:pPr>
      <w:r w:rsidRPr="000665B0">
        <w:t>Verify/Configure Time Synchronization Between Systems</w:t>
      </w:r>
      <w:r w:rsidR="00A53069" w:rsidRPr="000665B0">
        <w:t xml:space="preserve"> </w:t>
      </w:r>
      <w:r w:rsidR="00B47958" w:rsidRPr="000665B0">
        <w:t>(CSG, TSMPC/CMSA)</w:t>
      </w:r>
    </w:p>
    <w:p w14:paraId="07C1FE92" w14:textId="77777777" w:rsidR="00E014C6" w:rsidRPr="000665B0" w:rsidRDefault="00E014C6" w:rsidP="006D5A65">
      <w:pPr>
        <w:pStyle w:val="Heading1"/>
      </w:pPr>
      <w:r w:rsidRPr="000665B0">
        <w:t>Verify/Start SQL Server</w:t>
      </w:r>
      <w:r w:rsidR="00B47958" w:rsidRPr="000665B0">
        <w:t xml:space="preserve"> Service</w:t>
      </w:r>
    </w:p>
    <w:p w14:paraId="384FE00F" w14:textId="77777777" w:rsidR="00771E3C" w:rsidRPr="000665B0" w:rsidRDefault="00771E3C" w:rsidP="006D5A65">
      <w:pPr>
        <w:pStyle w:val="Heading1"/>
      </w:pPr>
      <w:r w:rsidRPr="000665B0">
        <w:t>Verify/Re-Install TED Certificates</w:t>
      </w:r>
    </w:p>
    <w:p w14:paraId="6B53820D" w14:textId="77777777" w:rsidR="00771E3C" w:rsidRPr="000665B0" w:rsidRDefault="00771E3C" w:rsidP="006D5A65">
      <w:pPr>
        <w:pStyle w:val="Heading1"/>
      </w:pPr>
      <w:r w:rsidRPr="000665B0">
        <w:t>Contact Help Desk</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3"/>
        <w:gridCol w:w="4596"/>
        <w:gridCol w:w="4134"/>
      </w:tblGrid>
      <w:tr w:rsidR="008F41EA" w:rsidRPr="000665B0" w14:paraId="114ECF43" w14:textId="77777777" w:rsidTr="00F47262">
        <w:trPr>
          <w:cantSplit/>
          <w:tblHeader/>
        </w:trPr>
        <w:tc>
          <w:tcPr>
            <w:tcW w:w="9473" w:type="dxa"/>
            <w:gridSpan w:val="3"/>
            <w:tcBorders>
              <w:bottom w:val="single" w:sz="4" w:space="0" w:color="auto"/>
            </w:tcBorders>
            <w:shd w:val="clear" w:color="auto" w:fill="D9D9D9" w:themeFill="background1" w:themeFillShade="D9"/>
          </w:tcPr>
          <w:p w14:paraId="7DB12E6C" w14:textId="3201B2C6" w:rsidR="008F41EA" w:rsidRPr="00951D5A" w:rsidRDefault="008F41EA" w:rsidP="001E137B">
            <w:pPr>
              <w:keepNext/>
              <w:keepLines/>
              <w:spacing w:before="60" w:after="60"/>
              <w:rPr>
                <w:rFonts w:ascii="Arial" w:hAnsi="Arial" w:cs="Arial"/>
                <w:b/>
                <w:szCs w:val="24"/>
              </w:rPr>
            </w:pPr>
            <w:r w:rsidRPr="00951D5A">
              <w:rPr>
                <w:rFonts w:ascii="Arial" w:hAnsi="Arial" w:cs="Arial"/>
                <w:b/>
                <w:szCs w:val="24"/>
              </w:rPr>
              <w:lastRenderedPageBreak/>
              <w:t>L</w:t>
            </w:r>
            <w:r w:rsidR="001E137B" w:rsidRPr="00951D5A">
              <w:rPr>
                <w:rFonts w:ascii="Arial" w:hAnsi="Arial" w:cs="Arial"/>
                <w:b/>
                <w:szCs w:val="24"/>
              </w:rPr>
              <w:t>.</w:t>
            </w:r>
            <w:r w:rsidRPr="00951D5A">
              <w:rPr>
                <w:rFonts w:ascii="Arial" w:hAnsi="Arial" w:cs="Arial"/>
                <w:b/>
                <w:szCs w:val="24"/>
              </w:rPr>
              <w:t>3</w:t>
            </w:r>
            <w:r w:rsidR="009651B0" w:rsidRPr="00951D5A">
              <w:rPr>
                <w:rFonts w:ascii="Arial" w:hAnsi="Arial" w:cs="Arial"/>
                <w:b/>
                <w:szCs w:val="24"/>
              </w:rPr>
              <w:t xml:space="preserve"> </w:t>
            </w:r>
            <w:r w:rsidRPr="00951D5A">
              <w:rPr>
                <w:rFonts w:ascii="Arial" w:hAnsi="Arial" w:cs="Arial"/>
                <w:b/>
                <w:szCs w:val="24"/>
              </w:rPr>
              <w:t xml:space="preserve">TED </w:t>
            </w:r>
            <w:r w:rsidRPr="00951D5A">
              <w:rPr>
                <w:rFonts w:ascii="Arial" w:hAnsi="Arial" w:cs="Arial"/>
                <w:b/>
              </w:rPr>
              <w:t>CONNECTION TROUBLESHOOTING</w:t>
            </w:r>
          </w:p>
        </w:tc>
      </w:tr>
      <w:tr w:rsidR="008F41EA" w:rsidRPr="000665B0" w14:paraId="3F60FA1E" w14:textId="77777777" w:rsidTr="00F47262">
        <w:trPr>
          <w:cantSplit/>
          <w:tblHeader/>
        </w:trPr>
        <w:tc>
          <w:tcPr>
            <w:tcW w:w="743" w:type="dxa"/>
            <w:tcBorders>
              <w:bottom w:val="single" w:sz="4" w:space="0" w:color="auto"/>
            </w:tcBorders>
            <w:shd w:val="clear" w:color="auto" w:fill="D9D9D9" w:themeFill="background1" w:themeFillShade="D9"/>
          </w:tcPr>
          <w:p w14:paraId="1771F1B8" w14:textId="77777777" w:rsidR="008F41EA" w:rsidRPr="00951D5A" w:rsidRDefault="008F41EA" w:rsidP="006546B1">
            <w:pPr>
              <w:keepNext/>
              <w:keepLines/>
              <w:spacing w:before="60" w:after="60"/>
              <w:jc w:val="both"/>
              <w:rPr>
                <w:rFonts w:ascii="Arial" w:hAnsi="Arial" w:cs="Arial"/>
                <w:b/>
                <w:szCs w:val="24"/>
              </w:rPr>
            </w:pPr>
            <w:r w:rsidRPr="00951D5A">
              <w:rPr>
                <w:rFonts w:ascii="Arial" w:hAnsi="Arial" w:cs="Arial"/>
                <w:b/>
                <w:szCs w:val="24"/>
              </w:rPr>
              <w:t>Step</w:t>
            </w:r>
          </w:p>
        </w:tc>
        <w:tc>
          <w:tcPr>
            <w:tcW w:w="4596" w:type="dxa"/>
            <w:tcBorders>
              <w:bottom w:val="single" w:sz="4" w:space="0" w:color="auto"/>
            </w:tcBorders>
            <w:shd w:val="clear" w:color="auto" w:fill="D9D9D9" w:themeFill="background1" w:themeFillShade="D9"/>
          </w:tcPr>
          <w:p w14:paraId="0952D20D" w14:textId="77777777" w:rsidR="008F41EA" w:rsidRPr="00951D5A" w:rsidRDefault="008F41EA" w:rsidP="006546B1">
            <w:pPr>
              <w:keepNext/>
              <w:keepLines/>
              <w:spacing w:before="60" w:after="60"/>
              <w:rPr>
                <w:rFonts w:ascii="Arial" w:hAnsi="Arial" w:cs="Arial"/>
                <w:b/>
                <w:szCs w:val="24"/>
              </w:rPr>
            </w:pPr>
            <w:r w:rsidRPr="00951D5A">
              <w:rPr>
                <w:rFonts w:ascii="Arial" w:hAnsi="Arial" w:cs="Arial"/>
                <w:b/>
                <w:szCs w:val="24"/>
              </w:rPr>
              <w:t>Procedure</w:t>
            </w:r>
          </w:p>
        </w:tc>
        <w:tc>
          <w:tcPr>
            <w:tcW w:w="4134" w:type="dxa"/>
            <w:tcBorders>
              <w:bottom w:val="single" w:sz="4" w:space="0" w:color="auto"/>
            </w:tcBorders>
            <w:shd w:val="clear" w:color="auto" w:fill="D9D9D9" w:themeFill="background1" w:themeFillShade="D9"/>
          </w:tcPr>
          <w:p w14:paraId="4950E4A9" w14:textId="77777777" w:rsidR="008F41EA" w:rsidRPr="00951D5A" w:rsidRDefault="008F41EA" w:rsidP="006546B1">
            <w:pPr>
              <w:keepNext/>
              <w:keepLines/>
              <w:spacing w:before="60" w:after="60"/>
              <w:rPr>
                <w:rFonts w:ascii="Arial" w:hAnsi="Arial" w:cs="Arial"/>
                <w:b/>
                <w:szCs w:val="24"/>
              </w:rPr>
            </w:pPr>
            <w:r w:rsidRPr="00951D5A">
              <w:rPr>
                <w:rFonts w:ascii="Arial" w:hAnsi="Arial" w:cs="Arial"/>
                <w:b/>
                <w:szCs w:val="24"/>
              </w:rPr>
              <w:t>Comments</w:t>
            </w:r>
          </w:p>
        </w:tc>
      </w:tr>
      <w:tr w:rsidR="00A10A0C" w:rsidRPr="00A10A0C" w14:paraId="628A855E" w14:textId="77777777" w:rsidTr="00F47262">
        <w:trPr>
          <w:cantSplit/>
        </w:trPr>
        <w:tc>
          <w:tcPr>
            <w:tcW w:w="9473" w:type="dxa"/>
            <w:gridSpan w:val="3"/>
            <w:tcBorders>
              <w:top w:val="single" w:sz="4" w:space="0" w:color="auto"/>
            </w:tcBorders>
            <w:shd w:val="clear" w:color="auto" w:fill="C6D9F1" w:themeFill="text2" w:themeFillTint="33"/>
          </w:tcPr>
          <w:p w14:paraId="066818C2" w14:textId="77777777" w:rsidR="008F41EA" w:rsidRPr="00A10A0C" w:rsidRDefault="00002656" w:rsidP="006546B1">
            <w:pPr>
              <w:keepNext/>
              <w:keepLines/>
              <w:spacing w:before="60" w:after="60"/>
              <w:rPr>
                <w:b/>
                <w:i/>
                <w:color w:val="000000" w:themeColor="text1"/>
                <w:sz w:val="20"/>
              </w:rPr>
            </w:pPr>
            <w:r w:rsidRPr="00A10A0C">
              <w:rPr>
                <w:b/>
                <w:i/>
                <w:color w:val="000000" w:themeColor="text1"/>
                <w:sz w:val="20"/>
              </w:rPr>
              <w:t>Verify/Configure TED Server Name</w:t>
            </w:r>
          </w:p>
        </w:tc>
      </w:tr>
      <w:tr w:rsidR="00002656" w:rsidRPr="000665B0" w14:paraId="74C5986E" w14:textId="77777777" w:rsidTr="00F47262">
        <w:trPr>
          <w:cantSplit/>
        </w:trPr>
        <w:tc>
          <w:tcPr>
            <w:tcW w:w="743" w:type="dxa"/>
          </w:tcPr>
          <w:p w14:paraId="772B5E82" w14:textId="77777777" w:rsidR="00002656" w:rsidRPr="000665B0" w:rsidRDefault="00002656" w:rsidP="006D5A65">
            <w:pPr>
              <w:pStyle w:val="Heading1"/>
            </w:pPr>
          </w:p>
        </w:tc>
        <w:tc>
          <w:tcPr>
            <w:tcW w:w="4596" w:type="dxa"/>
          </w:tcPr>
          <w:p w14:paraId="55D588A0" w14:textId="77777777" w:rsidR="00002656" w:rsidRPr="00F47262" w:rsidRDefault="00002656" w:rsidP="00E13FE3">
            <w:pPr>
              <w:spacing w:before="60" w:after="60"/>
              <w:rPr>
                <w:sz w:val="20"/>
              </w:rPr>
            </w:pPr>
            <w:r w:rsidRPr="00F47262">
              <w:rPr>
                <w:sz w:val="20"/>
              </w:rPr>
              <w:t xml:space="preserve">On the MDS workstation, </w:t>
            </w:r>
            <w:r w:rsidR="00E13FE3" w:rsidRPr="00F47262">
              <w:rPr>
                <w:sz w:val="20"/>
              </w:rPr>
              <w:t xml:space="preserve">right-click on the </w:t>
            </w:r>
            <w:r w:rsidR="00E13FE3" w:rsidRPr="00F47262">
              <w:rPr>
                <w:b/>
                <w:sz w:val="20"/>
              </w:rPr>
              <w:t>MDS Toolbox</w:t>
            </w:r>
            <w:r w:rsidR="00E13FE3" w:rsidRPr="00F47262">
              <w:rPr>
                <w:sz w:val="20"/>
              </w:rPr>
              <w:t xml:space="preserve"> desktop shortcut icon </w:t>
            </w:r>
            <w:r w:rsidR="00E13FE3" w:rsidRPr="00F47262">
              <w:rPr>
                <w:noProof/>
                <w:sz w:val="20"/>
              </w:rPr>
              <w:drawing>
                <wp:inline distT="0" distB="0" distL="0" distR="0" wp14:anchorId="299A9280" wp14:editId="29F3078D">
                  <wp:extent cx="276225" cy="247650"/>
                  <wp:effectExtent l="19050" t="0" r="9525" b="0"/>
                  <wp:docPr id="323"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00E13FE3" w:rsidRPr="00F47262">
              <w:rPr>
                <w:sz w:val="20"/>
              </w:rPr>
              <w:t xml:space="preserve"> and select </w:t>
            </w:r>
            <w:r w:rsidR="00E13FE3" w:rsidRPr="00F47262">
              <w:rPr>
                <w:b/>
                <w:sz w:val="20"/>
              </w:rPr>
              <w:t>Run as administrator</w:t>
            </w:r>
            <w:r w:rsidR="00E13FE3" w:rsidRPr="00F47262">
              <w:rPr>
                <w:sz w:val="20"/>
              </w:rPr>
              <w:t xml:space="preserve"> from the resulting pop-up menu</w:t>
            </w:r>
            <w:r w:rsidRPr="00F47262">
              <w:rPr>
                <w:sz w:val="20"/>
              </w:rPr>
              <w:t>.</w:t>
            </w:r>
          </w:p>
        </w:tc>
        <w:tc>
          <w:tcPr>
            <w:tcW w:w="4134" w:type="dxa"/>
          </w:tcPr>
          <w:p w14:paraId="7BE75570" w14:textId="77777777" w:rsidR="00002656" w:rsidRPr="00F47262" w:rsidRDefault="00002656" w:rsidP="00291898">
            <w:pPr>
              <w:spacing w:before="60" w:after="60"/>
              <w:rPr>
                <w:sz w:val="20"/>
              </w:rPr>
            </w:pPr>
          </w:p>
        </w:tc>
      </w:tr>
      <w:tr w:rsidR="00002656" w:rsidRPr="000665B0" w14:paraId="7809C328" w14:textId="77777777" w:rsidTr="00F47262">
        <w:trPr>
          <w:cantSplit/>
        </w:trPr>
        <w:tc>
          <w:tcPr>
            <w:tcW w:w="743" w:type="dxa"/>
          </w:tcPr>
          <w:p w14:paraId="5B759FC8" w14:textId="77777777" w:rsidR="00002656" w:rsidRPr="000665B0" w:rsidRDefault="00002656" w:rsidP="006D5A65">
            <w:pPr>
              <w:pStyle w:val="Heading1"/>
            </w:pPr>
          </w:p>
        </w:tc>
        <w:tc>
          <w:tcPr>
            <w:tcW w:w="4596" w:type="dxa"/>
          </w:tcPr>
          <w:p w14:paraId="4A7FA42E" w14:textId="77777777" w:rsidR="00002656" w:rsidRPr="00F47262" w:rsidRDefault="00002656" w:rsidP="00291898">
            <w:pPr>
              <w:spacing w:before="60" w:after="60"/>
              <w:rPr>
                <w:sz w:val="20"/>
              </w:rPr>
            </w:pPr>
            <w:r w:rsidRPr="00F47262">
              <w:rPr>
                <w:sz w:val="20"/>
              </w:rPr>
              <w:t xml:space="preserve">Click the </w:t>
            </w:r>
            <w:r w:rsidRPr="00F47262">
              <w:rPr>
                <w:b/>
                <w:sz w:val="20"/>
              </w:rPr>
              <w:t>Yes</w:t>
            </w:r>
            <w:r w:rsidRPr="00F47262">
              <w:rPr>
                <w:sz w:val="20"/>
              </w:rPr>
              <w:t xml:space="preserve"> button in the </w:t>
            </w:r>
            <w:r w:rsidRPr="00F47262">
              <w:rPr>
                <w:i/>
                <w:sz w:val="20"/>
              </w:rPr>
              <w:t xml:space="preserve">User Account Control </w:t>
            </w:r>
            <w:r w:rsidRPr="00F47262">
              <w:rPr>
                <w:sz w:val="20"/>
              </w:rPr>
              <w:t>window.</w:t>
            </w:r>
          </w:p>
        </w:tc>
        <w:tc>
          <w:tcPr>
            <w:tcW w:w="4134" w:type="dxa"/>
          </w:tcPr>
          <w:p w14:paraId="1DCA6177" w14:textId="77777777" w:rsidR="00002656" w:rsidRPr="00F47262" w:rsidRDefault="00002656" w:rsidP="00291898">
            <w:pPr>
              <w:spacing w:before="60" w:after="60"/>
              <w:rPr>
                <w:sz w:val="20"/>
              </w:rPr>
            </w:pPr>
          </w:p>
        </w:tc>
      </w:tr>
      <w:tr w:rsidR="00002656" w:rsidRPr="000665B0" w14:paraId="369DEFEC" w14:textId="77777777" w:rsidTr="00F47262">
        <w:trPr>
          <w:cantSplit/>
        </w:trPr>
        <w:tc>
          <w:tcPr>
            <w:tcW w:w="743" w:type="dxa"/>
          </w:tcPr>
          <w:p w14:paraId="2990C6D3" w14:textId="77777777" w:rsidR="00002656" w:rsidRPr="000665B0" w:rsidRDefault="00002656" w:rsidP="006D5A65">
            <w:pPr>
              <w:pStyle w:val="Heading1"/>
            </w:pPr>
          </w:p>
        </w:tc>
        <w:tc>
          <w:tcPr>
            <w:tcW w:w="4596" w:type="dxa"/>
          </w:tcPr>
          <w:p w14:paraId="322858B5" w14:textId="77777777" w:rsidR="00002656" w:rsidRPr="00F47262" w:rsidRDefault="00002656" w:rsidP="00291898">
            <w:pPr>
              <w:spacing w:before="60" w:after="60"/>
              <w:rPr>
                <w:sz w:val="20"/>
              </w:rPr>
            </w:pPr>
            <w:r w:rsidRPr="00F47262">
              <w:rPr>
                <w:sz w:val="20"/>
              </w:rPr>
              <w:t xml:space="preserve">Navigate to the </w:t>
            </w:r>
            <w:r w:rsidRPr="00F47262">
              <w:rPr>
                <w:b/>
                <w:sz w:val="20"/>
              </w:rPr>
              <w:t>TED Utilities</w:t>
            </w:r>
            <w:r w:rsidRPr="00F47262">
              <w:rPr>
                <w:sz w:val="20"/>
              </w:rPr>
              <w:t xml:space="preserve"> tool.</w:t>
            </w:r>
          </w:p>
        </w:tc>
        <w:tc>
          <w:tcPr>
            <w:tcW w:w="4134" w:type="dxa"/>
          </w:tcPr>
          <w:p w14:paraId="50DFD93E" w14:textId="77777777" w:rsidR="00002656" w:rsidRPr="00F47262" w:rsidRDefault="00002656" w:rsidP="00291898">
            <w:pPr>
              <w:spacing w:before="60" w:after="60"/>
              <w:rPr>
                <w:sz w:val="20"/>
              </w:rPr>
            </w:pPr>
          </w:p>
        </w:tc>
      </w:tr>
      <w:tr w:rsidR="00002656" w:rsidRPr="000665B0" w14:paraId="15974E48" w14:textId="77777777" w:rsidTr="00F47262">
        <w:trPr>
          <w:cantSplit/>
        </w:trPr>
        <w:tc>
          <w:tcPr>
            <w:tcW w:w="743" w:type="dxa"/>
          </w:tcPr>
          <w:p w14:paraId="640A06C0" w14:textId="77777777" w:rsidR="00002656" w:rsidRPr="000665B0" w:rsidRDefault="00002656" w:rsidP="006D5A65">
            <w:pPr>
              <w:pStyle w:val="Heading1"/>
            </w:pPr>
          </w:p>
        </w:tc>
        <w:tc>
          <w:tcPr>
            <w:tcW w:w="4596" w:type="dxa"/>
          </w:tcPr>
          <w:p w14:paraId="6FB1E1AB" w14:textId="77777777" w:rsidR="00002656" w:rsidRPr="00F47262" w:rsidRDefault="00002656" w:rsidP="00291898">
            <w:pPr>
              <w:spacing w:before="60" w:after="60"/>
              <w:rPr>
                <w:sz w:val="20"/>
              </w:rPr>
            </w:pPr>
            <w:r w:rsidRPr="00F47262">
              <w:rPr>
                <w:sz w:val="20"/>
              </w:rPr>
              <w:t xml:space="preserve">From the menu bar, select </w:t>
            </w:r>
            <w:r w:rsidRPr="00F47262">
              <w:rPr>
                <w:b/>
                <w:sz w:val="20"/>
              </w:rPr>
              <w:t xml:space="preserve">File </w:t>
            </w:r>
            <w:r w:rsidRPr="00F47262">
              <w:rPr>
                <w:b/>
                <w:sz w:val="20"/>
              </w:rPr>
              <w:sym w:font="Wingdings" w:char="F0E0"/>
            </w:r>
            <w:r w:rsidRPr="00F47262">
              <w:rPr>
                <w:b/>
                <w:sz w:val="20"/>
              </w:rPr>
              <w:t xml:space="preserve"> Change TED…</w:t>
            </w:r>
            <w:r w:rsidRPr="00F47262">
              <w:rPr>
                <w:sz w:val="20"/>
              </w:rPr>
              <w:t>.</w:t>
            </w:r>
          </w:p>
        </w:tc>
        <w:tc>
          <w:tcPr>
            <w:tcW w:w="4134" w:type="dxa"/>
          </w:tcPr>
          <w:p w14:paraId="162B48DF" w14:textId="77777777" w:rsidR="00002656" w:rsidRPr="00F47262" w:rsidRDefault="00002656" w:rsidP="00291898">
            <w:pPr>
              <w:spacing w:before="60" w:after="60"/>
              <w:rPr>
                <w:sz w:val="20"/>
              </w:rPr>
            </w:pPr>
            <w:r w:rsidRPr="00F47262">
              <w:rPr>
                <w:noProof/>
                <w:sz w:val="20"/>
              </w:rPr>
              <w:t xml:space="preserve">The </w:t>
            </w:r>
            <w:r w:rsidRPr="00F47262">
              <w:rPr>
                <w:i/>
                <w:noProof/>
                <w:sz w:val="20"/>
              </w:rPr>
              <w:t>Change TED</w:t>
            </w:r>
            <w:r w:rsidRPr="00F47262">
              <w:rPr>
                <w:noProof/>
                <w:sz w:val="20"/>
              </w:rPr>
              <w:t xml:space="preserve"> window is displayed.</w:t>
            </w:r>
          </w:p>
        </w:tc>
      </w:tr>
      <w:tr w:rsidR="00002656" w:rsidRPr="000665B0" w14:paraId="59B56152" w14:textId="77777777" w:rsidTr="00F47262">
        <w:trPr>
          <w:cantSplit/>
        </w:trPr>
        <w:tc>
          <w:tcPr>
            <w:tcW w:w="743" w:type="dxa"/>
          </w:tcPr>
          <w:p w14:paraId="68A2EDA1" w14:textId="77777777" w:rsidR="00002656" w:rsidRPr="000665B0" w:rsidRDefault="00002656" w:rsidP="006D5A65">
            <w:pPr>
              <w:pStyle w:val="Heading1"/>
            </w:pPr>
          </w:p>
        </w:tc>
        <w:tc>
          <w:tcPr>
            <w:tcW w:w="4596" w:type="dxa"/>
          </w:tcPr>
          <w:p w14:paraId="4D8332A6" w14:textId="77777777" w:rsidR="00002656" w:rsidRPr="00F47262" w:rsidRDefault="00002656" w:rsidP="00393E1D">
            <w:pPr>
              <w:spacing w:before="60" w:after="60"/>
              <w:rPr>
                <w:sz w:val="20"/>
              </w:rPr>
            </w:pPr>
            <w:r w:rsidRPr="00F47262">
              <w:rPr>
                <w:sz w:val="20"/>
              </w:rPr>
              <w:t xml:space="preserve">Within the </w:t>
            </w:r>
            <w:r w:rsidRPr="00F47262">
              <w:rPr>
                <w:i/>
                <w:sz w:val="20"/>
              </w:rPr>
              <w:t>Change TED</w:t>
            </w:r>
            <w:r w:rsidRPr="00F47262">
              <w:rPr>
                <w:sz w:val="20"/>
              </w:rPr>
              <w:t xml:space="preserve"> window, verify the TED Server Name is correct.</w:t>
            </w:r>
          </w:p>
          <w:p w14:paraId="3D3AD921" w14:textId="77777777" w:rsidR="00002656" w:rsidRPr="00F47262" w:rsidRDefault="00002656" w:rsidP="00291898">
            <w:pPr>
              <w:spacing w:before="120"/>
              <w:rPr>
                <w:sz w:val="20"/>
              </w:rPr>
            </w:pPr>
            <w:r w:rsidRPr="00F47262">
              <w:rPr>
                <w:sz w:val="20"/>
              </w:rPr>
              <w:t xml:space="preserve">If the TED Server Name is correct, select </w:t>
            </w:r>
            <w:r w:rsidRPr="00F47262">
              <w:rPr>
                <w:b/>
                <w:sz w:val="20"/>
              </w:rPr>
              <w:t>Cancel</w:t>
            </w:r>
            <w:r w:rsidRPr="00F47262">
              <w:rPr>
                <w:sz w:val="20"/>
              </w:rPr>
              <w:t xml:space="preserve"> and proceed to next resolution.</w:t>
            </w:r>
          </w:p>
          <w:p w14:paraId="15A8A421" w14:textId="77777777" w:rsidR="00002656" w:rsidRPr="00F47262" w:rsidRDefault="00002656" w:rsidP="00585646">
            <w:pPr>
              <w:spacing w:before="120"/>
              <w:rPr>
                <w:sz w:val="20"/>
              </w:rPr>
            </w:pPr>
            <w:r w:rsidRPr="00F47262">
              <w:rPr>
                <w:sz w:val="20"/>
              </w:rPr>
              <w:t>If not, then enter the TED Server Name (see Notes 1, 2, 3)</w:t>
            </w:r>
            <w:r w:rsidR="00BF5B51" w:rsidRPr="00F47262">
              <w:rPr>
                <w:sz w:val="20"/>
              </w:rPr>
              <w:t>.</w:t>
            </w:r>
            <w:r w:rsidRPr="00F47262">
              <w:rPr>
                <w:sz w:val="20"/>
              </w:rPr>
              <w:t xml:space="preserve"> </w:t>
            </w:r>
          </w:p>
        </w:tc>
        <w:tc>
          <w:tcPr>
            <w:tcW w:w="4134" w:type="dxa"/>
          </w:tcPr>
          <w:p w14:paraId="01AD3100" w14:textId="1F24A176" w:rsidR="00002656" w:rsidRPr="00F47262" w:rsidRDefault="00FF41F7" w:rsidP="00291898">
            <w:pPr>
              <w:spacing w:before="120"/>
              <w:rPr>
                <w:noProof/>
                <w:sz w:val="20"/>
              </w:rPr>
            </w:pPr>
            <w:r w:rsidRPr="00F47262">
              <w:rPr>
                <w:noProof/>
                <w:sz w:val="20"/>
              </w:rPr>
              <w:drawing>
                <wp:inline distT="0" distB="0" distL="0" distR="0" wp14:anchorId="7DD53225" wp14:editId="6F0AF6D4">
                  <wp:extent cx="2529840" cy="1025579"/>
                  <wp:effectExtent l="0" t="0" r="3810" b="3175"/>
                  <wp:docPr id="1252"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537455" cy="1028666"/>
                          </a:xfrm>
                          <a:prstGeom prst="rect">
                            <a:avLst/>
                          </a:prstGeom>
                        </pic:spPr>
                      </pic:pic>
                    </a:graphicData>
                  </a:graphic>
                </wp:inline>
              </w:drawing>
            </w:r>
          </w:p>
          <w:p w14:paraId="6C3D8A84" w14:textId="06341DCB" w:rsidR="00002656" w:rsidRPr="00F47262" w:rsidRDefault="00002656" w:rsidP="00291898">
            <w:pPr>
              <w:spacing w:before="60" w:after="60"/>
              <w:rPr>
                <w:sz w:val="20"/>
              </w:rPr>
            </w:pPr>
            <w:r w:rsidRPr="00F47262">
              <w:rPr>
                <w:b/>
                <w:i/>
                <w:sz w:val="20"/>
              </w:rPr>
              <w:t>Note 1:</w:t>
            </w:r>
            <w:r w:rsidRPr="00F47262">
              <w:rPr>
                <w:sz w:val="20"/>
              </w:rPr>
              <w:t xml:space="preserve"> In a CMSA/TSMPC configuration, the Server Name is the fully qualified domain name of the TED Web server.</w:t>
            </w:r>
            <w:r w:rsidR="009651B0" w:rsidRPr="00F47262">
              <w:rPr>
                <w:sz w:val="20"/>
              </w:rPr>
              <w:t xml:space="preserve"> </w:t>
            </w:r>
            <w:r w:rsidRPr="00F47262">
              <w:rPr>
                <w:sz w:val="20"/>
              </w:rPr>
              <w:t xml:space="preserve">Example: </w:t>
            </w:r>
            <w:r w:rsidRPr="00F47262">
              <w:rPr>
                <w:b/>
                <w:sz w:val="20"/>
              </w:rPr>
              <w:t>MDS-PC.</w:t>
            </w:r>
            <w:r w:rsidR="0021221F" w:rsidRPr="00F47262">
              <w:rPr>
                <w:b/>
                <w:sz w:val="20"/>
              </w:rPr>
              <w:t>DOMAIN</w:t>
            </w:r>
            <w:r w:rsidRPr="00F47262">
              <w:rPr>
                <w:b/>
                <w:sz w:val="20"/>
              </w:rPr>
              <w:t>.NET</w:t>
            </w:r>
            <w:r w:rsidR="00BF5B51" w:rsidRPr="00F47262">
              <w:rPr>
                <w:sz w:val="20"/>
              </w:rPr>
              <w:t>.</w:t>
            </w:r>
          </w:p>
          <w:p w14:paraId="0FF7C8AB" w14:textId="77777777" w:rsidR="00002656" w:rsidRPr="00F47262" w:rsidRDefault="00002656" w:rsidP="00291898">
            <w:pPr>
              <w:spacing w:before="60" w:after="60"/>
              <w:rPr>
                <w:sz w:val="20"/>
              </w:rPr>
            </w:pPr>
            <w:r w:rsidRPr="00F47262">
              <w:rPr>
                <w:b/>
                <w:i/>
                <w:sz w:val="20"/>
              </w:rPr>
              <w:t>Note 2:</w:t>
            </w:r>
            <w:r w:rsidRPr="00F47262">
              <w:rPr>
                <w:sz w:val="20"/>
              </w:rPr>
              <w:t xml:space="preserve"> In a CSG configuration, the Server Name is the TED/DB server.</w:t>
            </w:r>
          </w:p>
          <w:p w14:paraId="2FDA0317" w14:textId="77777777" w:rsidR="00002656" w:rsidRPr="00F47262" w:rsidRDefault="00002656" w:rsidP="008D07DB">
            <w:pPr>
              <w:spacing w:before="60" w:after="60"/>
              <w:rPr>
                <w:sz w:val="20"/>
              </w:rPr>
            </w:pPr>
            <w:r w:rsidRPr="00F47262">
              <w:rPr>
                <w:b/>
                <w:i/>
                <w:sz w:val="20"/>
              </w:rPr>
              <w:t>Note 3:</w:t>
            </w:r>
            <w:r w:rsidRPr="00F47262">
              <w:rPr>
                <w:sz w:val="20"/>
              </w:rPr>
              <w:t xml:space="preserve"> In a FRU/</w:t>
            </w:r>
            <w:r w:rsidR="008D07DB" w:rsidRPr="00F47262">
              <w:rPr>
                <w:sz w:val="20"/>
              </w:rPr>
              <w:t xml:space="preserve">Standalone MDS </w:t>
            </w:r>
            <w:r w:rsidRPr="00F47262">
              <w:rPr>
                <w:sz w:val="20"/>
              </w:rPr>
              <w:t>configuration, the Server Name is the local machine name.</w:t>
            </w:r>
          </w:p>
        </w:tc>
      </w:tr>
      <w:tr w:rsidR="00002656" w:rsidRPr="000665B0" w14:paraId="2B159445" w14:textId="77777777" w:rsidTr="00F47262">
        <w:trPr>
          <w:cantSplit/>
        </w:trPr>
        <w:tc>
          <w:tcPr>
            <w:tcW w:w="743" w:type="dxa"/>
          </w:tcPr>
          <w:p w14:paraId="1E636A12" w14:textId="77777777" w:rsidR="00002656" w:rsidRPr="000665B0" w:rsidRDefault="00002656" w:rsidP="006D5A65">
            <w:pPr>
              <w:pStyle w:val="Heading1"/>
            </w:pPr>
          </w:p>
        </w:tc>
        <w:tc>
          <w:tcPr>
            <w:tcW w:w="4596" w:type="dxa"/>
          </w:tcPr>
          <w:p w14:paraId="66E901DD" w14:textId="77777777" w:rsidR="00002656" w:rsidRPr="00F47262" w:rsidRDefault="00002656" w:rsidP="00393E1D">
            <w:pPr>
              <w:spacing w:before="60" w:after="60"/>
              <w:rPr>
                <w:sz w:val="20"/>
              </w:rPr>
            </w:pPr>
            <w:r w:rsidRPr="00F47262">
              <w:rPr>
                <w:sz w:val="20"/>
              </w:rPr>
              <w:t xml:space="preserve">Click the </w:t>
            </w:r>
            <w:r w:rsidRPr="00F47262">
              <w:rPr>
                <w:b/>
                <w:sz w:val="20"/>
              </w:rPr>
              <w:t xml:space="preserve">OK </w:t>
            </w:r>
            <w:r w:rsidRPr="00F47262">
              <w:rPr>
                <w:sz w:val="20"/>
              </w:rPr>
              <w:t>button.</w:t>
            </w:r>
          </w:p>
          <w:p w14:paraId="13F96683" w14:textId="77777777" w:rsidR="00002656" w:rsidRPr="00F47262" w:rsidRDefault="00002656" w:rsidP="00291898">
            <w:pPr>
              <w:spacing w:before="120"/>
              <w:rPr>
                <w:sz w:val="20"/>
              </w:rPr>
            </w:pPr>
            <w:r w:rsidRPr="00F47262">
              <w:rPr>
                <w:sz w:val="20"/>
              </w:rPr>
              <w:t xml:space="preserve">MDS will resynchronize the databases. When finished, the </w:t>
            </w:r>
            <w:r w:rsidRPr="00F47262">
              <w:rPr>
                <w:i/>
                <w:sz w:val="20"/>
              </w:rPr>
              <w:t>Change TED</w:t>
            </w:r>
            <w:r w:rsidRPr="00F47262">
              <w:rPr>
                <w:sz w:val="20"/>
              </w:rPr>
              <w:t xml:space="preserve"> window will close.</w:t>
            </w:r>
          </w:p>
          <w:p w14:paraId="61DE604B" w14:textId="77777777" w:rsidR="00002656" w:rsidRPr="00F47262" w:rsidRDefault="00002656" w:rsidP="00291898">
            <w:pPr>
              <w:spacing w:before="60" w:after="60"/>
              <w:rPr>
                <w:sz w:val="20"/>
              </w:rPr>
            </w:pPr>
            <w:r w:rsidRPr="00F47262">
              <w:rPr>
                <w:sz w:val="20"/>
              </w:rPr>
              <w:t xml:space="preserve">If an error message is displayed stating </w:t>
            </w:r>
            <w:r w:rsidRPr="00F47262">
              <w:rPr>
                <w:b/>
                <w:sz w:val="20"/>
              </w:rPr>
              <w:t>Error connecting to this server</w:t>
            </w:r>
            <w:r w:rsidRPr="00F47262">
              <w:rPr>
                <w:sz w:val="20"/>
              </w:rPr>
              <w:t xml:space="preserve">, then select </w:t>
            </w:r>
            <w:r w:rsidRPr="00F47262">
              <w:rPr>
                <w:b/>
                <w:sz w:val="20"/>
              </w:rPr>
              <w:t>Cancel</w:t>
            </w:r>
            <w:r w:rsidRPr="00F47262">
              <w:rPr>
                <w:sz w:val="20"/>
              </w:rPr>
              <w:t xml:space="preserve"> and skip to next resolution.</w:t>
            </w:r>
          </w:p>
        </w:tc>
        <w:tc>
          <w:tcPr>
            <w:tcW w:w="4134" w:type="dxa"/>
          </w:tcPr>
          <w:p w14:paraId="2B20F9A2" w14:textId="77777777" w:rsidR="00002656" w:rsidRPr="00F47262" w:rsidRDefault="00002656" w:rsidP="00291898">
            <w:pPr>
              <w:spacing w:before="60" w:after="60"/>
              <w:rPr>
                <w:sz w:val="20"/>
              </w:rPr>
            </w:pPr>
          </w:p>
        </w:tc>
      </w:tr>
      <w:tr w:rsidR="00002656" w:rsidRPr="000665B0" w14:paraId="24E37EEF" w14:textId="77777777" w:rsidTr="00F47262">
        <w:trPr>
          <w:cantSplit/>
        </w:trPr>
        <w:tc>
          <w:tcPr>
            <w:tcW w:w="743" w:type="dxa"/>
          </w:tcPr>
          <w:p w14:paraId="75E5DB6D" w14:textId="77777777" w:rsidR="00002656" w:rsidRPr="000665B0" w:rsidRDefault="00002656" w:rsidP="006D5A65">
            <w:pPr>
              <w:pStyle w:val="Heading1"/>
            </w:pPr>
          </w:p>
        </w:tc>
        <w:tc>
          <w:tcPr>
            <w:tcW w:w="4596" w:type="dxa"/>
          </w:tcPr>
          <w:p w14:paraId="0E1FE5ED" w14:textId="77777777" w:rsidR="00002656" w:rsidRPr="00F47262" w:rsidRDefault="00002656" w:rsidP="00291898">
            <w:pPr>
              <w:spacing w:before="60" w:after="60"/>
              <w:rPr>
                <w:sz w:val="20"/>
              </w:rPr>
            </w:pPr>
            <w:r w:rsidRPr="00F47262">
              <w:rPr>
                <w:sz w:val="20"/>
              </w:rPr>
              <w:t xml:space="preserve">Select the </w:t>
            </w:r>
            <w:r w:rsidRPr="00F47262">
              <w:rPr>
                <w:b/>
                <w:i/>
                <w:sz w:val="20"/>
              </w:rPr>
              <w:t>TED Connections</w:t>
            </w:r>
            <w:r w:rsidRPr="00F47262">
              <w:rPr>
                <w:sz w:val="20"/>
              </w:rPr>
              <w:t xml:space="preserve"> tab.</w:t>
            </w:r>
          </w:p>
        </w:tc>
        <w:tc>
          <w:tcPr>
            <w:tcW w:w="4134" w:type="dxa"/>
          </w:tcPr>
          <w:p w14:paraId="78C47C5A" w14:textId="77777777" w:rsidR="00002656" w:rsidRPr="00F47262" w:rsidRDefault="00002656" w:rsidP="00291898">
            <w:pPr>
              <w:spacing w:before="60" w:after="60"/>
              <w:rPr>
                <w:sz w:val="20"/>
              </w:rPr>
            </w:pPr>
          </w:p>
        </w:tc>
      </w:tr>
      <w:tr w:rsidR="00002656" w:rsidRPr="000665B0" w14:paraId="2BC8F80E" w14:textId="77777777" w:rsidTr="00F47262">
        <w:trPr>
          <w:cantSplit/>
        </w:trPr>
        <w:tc>
          <w:tcPr>
            <w:tcW w:w="743" w:type="dxa"/>
          </w:tcPr>
          <w:p w14:paraId="46896294" w14:textId="77777777" w:rsidR="00002656" w:rsidRPr="000665B0" w:rsidRDefault="00002656" w:rsidP="006D5A65">
            <w:pPr>
              <w:pStyle w:val="Heading1"/>
            </w:pPr>
          </w:p>
        </w:tc>
        <w:tc>
          <w:tcPr>
            <w:tcW w:w="4596" w:type="dxa"/>
          </w:tcPr>
          <w:p w14:paraId="1F9793BF" w14:textId="77777777" w:rsidR="00002656" w:rsidRPr="00F47262" w:rsidRDefault="00002656" w:rsidP="00291898">
            <w:pPr>
              <w:spacing w:before="60" w:after="60"/>
              <w:rPr>
                <w:sz w:val="20"/>
              </w:rPr>
            </w:pPr>
            <w:r w:rsidRPr="00F47262">
              <w:rPr>
                <w:sz w:val="20"/>
              </w:rPr>
              <w:t xml:space="preserve">Verify the </w:t>
            </w:r>
            <w:r w:rsidRPr="00F47262">
              <w:rPr>
                <w:b/>
                <w:sz w:val="20"/>
              </w:rPr>
              <w:t xml:space="preserve">Connection Status </w:t>
            </w:r>
            <w:r w:rsidRPr="00F47262">
              <w:rPr>
                <w:sz w:val="20"/>
              </w:rPr>
              <w:t>column.</w:t>
            </w:r>
          </w:p>
          <w:p w14:paraId="150BC0E9" w14:textId="5F17081C" w:rsidR="00002656" w:rsidRPr="00F47262" w:rsidRDefault="00002656" w:rsidP="006D5A65">
            <w:pPr>
              <w:pStyle w:val="Heading1"/>
            </w:pPr>
            <w:r w:rsidRPr="00F47262">
              <w:t xml:space="preserve">If Connection Status column says: Success for all entries, problem was </w:t>
            </w:r>
            <w:r w:rsidR="009762F2" w:rsidRPr="00F47262">
              <w:t>resolved,</w:t>
            </w:r>
            <w:r w:rsidRPr="00F47262">
              <w:t xml:space="preserve"> and no additional action required.</w:t>
            </w:r>
          </w:p>
          <w:p w14:paraId="7EF458CC" w14:textId="77777777" w:rsidR="00002656" w:rsidRPr="00F47262" w:rsidRDefault="00002656" w:rsidP="006D5A65">
            <w:pPr>
              <w:pStyle w:val="Heading1"/>
            </w:pPr>
            <w:r w:rsidRPr="00F47262">
              <w:t xml:space="preserve">If Connection Status column says: Database Error for any entry, proceed to next </w:t>
            </w:r>
            <w:r w:rsidR="00376E62" w:rsidRPr="00F47262">
              <w:t>resolution</w:t>
            </w:r>
            <w:r w:rsidRPr="00F47262">
              <w:t>.</w:t>
            </w:r>
          </w:p>
        </w:tc>
        <w:tc>
          <w:tcPr>
            <w:tcW w:w="4134" w:type="dxa"/>
          </w:tcPr>
          <w:p w14:paraId="236D51FE" w14:textId="5D95BDA6" w:rsidR="00002656" w:rsidRPr="00F47262" w:rsidRDefault="00046849" w:rsidP="00046849">
            <w:pPr>
              <w:spacing w:before="60"/>
              <w:rPr>
                <w:sz w:val="20"/>
              </w:rPr>
            </w:pPr>
            <w:r w:rsidRPr="00F47262">
              <w:rPr>
                <w:noProof/>
                <w:sz w:val="20"/>
              </w:rPr>
              <w:drawing>
                <wp:inline distT="0" distB="0" distL="0" distR="0" wp14:anchorId="5A48B83A" wp14:editId="2ADE98A3">
                  <wp:extent cx="1414666" cy="1406236"/>
                  <wp:effectExtent l="0" t="0" r="0" b="3810"/>
                  <wp:docPr id="1451" name="Picture 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4446" cy="1415957"/>
                          </a:xfrm>
                          <a:prstGeom prst="rect">
                            <a:avLst/>
                          </a:prstGeom>
                          <a:ln>
                            <a:noFill/>
                          </a:ln>
                          <a:extLst>
                            <a:ext uri="{53640926-AAD7-44D8-BBD7-CCE9431645EC}">
                              <a14:shadowObscured xmlns:a14="http://schemas.microsoft.com/office/drawing/2010/main"/>
                            </a:ext>
                          </a:extLst>
                        </pic:spPr>
                      </pic:pic>
                    </a:graphicData>
                  </a:graphic>
                </wp:inline>
              </w:drawing>
            </w:r>
          </w:p>
          <w:p w14:paraId="7EFF861D" w14:textId="470CE9BA" w:rsidR="00FF41F7" w:rsidRPr="00F47262" w:rsidRDefault="00046849" w:rsidP="00291898">
            <w:pPr>
              <w:spacing w:before="60" w:after="60"/>
              <w:rPr>
                <w:sz w:val="20"/>
              </w:rPr>
            </w:pPr>
            <w:r w:rsidRPr="00F47262">
              <w:rPr>
                <w:sz w:val="20"/>
              </w:rPr>
              <w:object w:dxaOrig="8685" w:dyaOrig="3660" w14:anchorId="33EF31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36pt" o:ole="">
                  <v:imagedata cropbottom="41652f" cropleft="30023f"/>
                </v:shape>
                <o:OLEObject Type="Embed" ProgID="PBrush" ShapeID="_x0000_i1025" DrawAspect="Content" ObjectID="_1846146708" r:id="rId39"/>
              </w:object>
            </w:r>
          </w:p>
        </w:tc>
      </w:tr>
      <w:tr w:rsidR="00A10A0C" w:rsidRPr="00A10A0C" w14:paraId="6AC12D91" w14:textId="77777777" w:rsidTr="00F47262">
        <w:trPr>
          <w:cantSplit/>
        </w:trPr>
        <w:tc>
          <w:tcPr>
            <w:tcW w:w="9473" w:type="dxa"/>
            <w:gridSpan w:val="3"/>
            <w:tcBorders>
              <w:top w:val="single" w:sz="4" w:space="0" w:color="auto"/>
            </w:tcBorders>
            <w:shd w:val="clear" w:color="auto" w:fill="C6D9F1" w:themeFill="text2" w:themeFillTint="33"/>
          </w:tcPr>
          <w:p w14:paraId="57E0EBC1" w14:textId="77777777" w:rsidR="00002656" w:rsidRPr="00F47262" w:rsidRDefault="00002656" w:rsidP="00464601">
            <w:pPr>
              <w:keepNext/>
              <w:spacing w:before="60" w:after="60"/>
              <w:rPr>
                <w:b/>
                <w:i/>
                <w:color w:val="000000" w:themeColor="text1"/>
                <w:sz w:val="20"/>
              </w:rPr>
            </w:pPr>
            <w:r w:rsidRPr="00F47262">
              <w:rPr>
                <w:b/>
                <w:i/>
                <w:color w:val="000000" w:themeColor="text1"/>
                <w:sz w:val="20"/>
              </w:rPr>
              <w:t>Restart MDS Application</w:t>
            </w:r>
          </w:p>
        </w:tc>
      </w:tr>
      <w:tr w:rsidR="00002656" w:rsidRPr="000665B0" w14:paraId="70A26555" w14:textId="77777777" w:rsidTr="00F47262">
        <w:trPr>
          <w:cantSplit/>
        </w:trPr>
        <w:tc>
          <w:tcPr>
            <w:tcW w:w="743" w:type="dxa"/>
          </w:tcPr>
          <w:p w14:paraId="0FFE0771" w14:textId="77777777" w:rsidR="00002656" w:rsidRPr="000665B0" w:rsidRDefault="00002656" w:rsidP="006D5A65">
            <w:pPr>
              <w:pStyle w:val="Heading1"/>
            </w:pPr>
          </w:p>
        </w:tc>
        <w:tc>
          <w:tcPr>
            <w:tcW w:w="4596" w:type="dxa"/>
          </w:tcPr>
          <w:p w14:paraId="1F7045E1" w14:textId="77777777" w:rsidR="00002656" w:rsidRPr="00F47262" w:rsidRDefault="00002656" w:rsidP="00291898">
            <w:pPr>
              <w:spacing w:before="60" w:after="60"/>
              <w:rPr>
                <w:sz w:val="20"/>
              </w:rPr>
            </w:pPr>
            <w:r w:rsidRPr="00F47262">
              <w:rPr>
                <w:sz w:val="20"/>
              </w:rPr>
              <w:t>Close the MDS application.</w:t>
            </w:r>
          </w:p>
        </w:tc>
        <w:tc>
          <w:tcPr>
            <w:tcW w:w="4134" w:type="dxa"/>
          </w:tcPr>
          <w:p w14:paraId="31359BAF" w14:textId="77777777" w:rsidR="00002656" w:rsidRPr="00F47262" w:rsidRDefault="00002656" w:rsidP="00291898">
            <w:pPr>
              <w:spacing w:before="60" w:after="60"/>
              <w:rPr>
                <w:sz w:val="20"/>
              </w:rPr>
            </w:pPr>
          </w:p>
        </w:tc>
      </w:tr>
      <w:tr w:rsidR="00002656" w:rsidRPr="000665B0" w14:paraId="4D868685" w14:textId="77777777" w:rsidTr="00F47262">
        <w:trPr>
          <w:cantSplit/>
        </w:trPr>
        <w:tc>
          <w:tcPr>
            <w:tcW w:w="743" w:type="dxa"/>
          </w:tcPr>
          <w:p w14:paraId="21166923" w14:textId="77777777" w:rsidR="00002656" w:rsidRPr="000665B0" w:rsidRDefault="00002656" w:rsidP="006D5A65">
            <w:pPr>
              <w:pStyle w:val="Heading1"/>
            </w:pPr>
          </w:p>
        </w:tc>
        <w:tc>
          <w:tcPr>
            <w:tcW w:w="4596" w:type="dxa"/>
          </w:tcPr>
          <w:p w14:paraId="73CC35E9" w14:textId="77777777" w:rsidR="00002656" w:rsidRPr="00F47262" w:rsidRDefault="00EA009B" w:rsidP="00EA009B">
            <w:pPr>
              <w:spacing w:before="60" w:after="60"/>
              <w:rPr>
                <w:sz w:val="20"/>
              </w:rPr>
            </w:pPr>
            <w:r w:rsidRPr="00F47262">
              <w:rPr>
                <w:sz w:val="20"/>
              </w:rPr>
              <w:t xml:space="preserve">On the MDS workstation, right-click on the </w:t>
            </w:r>
            <w:r w:rsidRPr="00F47262">
              <w:rPr>
                <w:b/>
                <w:sz w:val="20"/>
              </w:rPr>
              <w:t>MDS Toolbox</w:t>
            </w:r>
            <w:r w:rsidRPr="00F47262">
              <w:rPr>
                <w:sz w:val="20"/>
              </w:rPr>
              <w:t xml:space="preserve"> desktop shortcut icon </w:t>
            </w:r>
            <w:r w:rsidRPr="00F47262">
              <w:rPr>
                <w:noProof/>
                <w:position w:val="-6"/>
                <w:sz w:val="20"/>
              </w:rPr>
              <w:drawing>
                <wp:inline distT="0" distB="0" distL="0" distR="0" wp14:anchorId="6508722D" wp14:editId="10110377">
                  <wp:extent cx="276225" cy="247650"/>
                  <wp:effectExtent l="19050" t="0" r="9525" b="0"/>
                  <wp:docPr id="958"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and select </w:t>
            </w:r>
            <w:r w:rsidRPr="00F47262">
              <w:rPr>
                <w:b/>
                <w:sz w:val="20"/>
              </w:rPr>
              <w:t>Run as administrator</w:t>
            </w:r>
            <w:r w:rsidRPr="00F47262">
              <w:rPr>
                <w:sz w:val="20"/>
              </w:rPr>
              <w:t xml:space="preserve"> from the resulting pop-up menu.</w:t>
            </w:r>
          </w:p>
        </w:tc>
        <w:tc>
          <w:tcPr>
            <w:tcW w:w="4134" w:type="dxa"/>
          </w:tcPr>
          <w:p w14:paraId="7C3D0F72" w14:textId="77777777" w:rsidR="00002656" w:rsidRPr="00F47262" w:rsidRDefault="00002656" w:rsidP="00291898">
            <w:pPr>
              <w:spacing w:before="60" w:after="60"/>
              <w:rPr>
                <w:noProof/>
                <w:sz w:val="20"/>
              </w:rPr>
            </w:pPr>
          </w:p>
        </w:tc>
      </w:tr>
      <w:tr w:rsidR="00002656" w:rsidRPr="000665B0" w14:paraId="08962BA4" w14:textId="77777777" w:rsidTr="00F47262">
        <w:trPr>
          <w:cantSplit/>
        </w:trPr>
        <w:tc>
          <w:tcPr>
            <w:tcW w:w="743" w:type="dxa"/>
          </w:tcPr>
          <w:p w14:paraId="3CE36AC4" w14:textId="77777777" w:rsidR="00002656" w:rsidRPr="000665B0" w:rsidRDefault="00002656" w:rsidP="006D5A65">
            <w:pPr>
              <w:pStyle w:val="Heading1"/>
            </w:pPr>
          </w:p>
        </w:tc>
        <w:tc>
          <w:tcPr>
            <w:tcW w:w="4596" w:type="dxa"/>
          </w:tcPr>
          <w:p w14:paraId="7B83C1DB" w14:textId="77777777" w:rsidR="00002656" w:rsidRPr="00F47262" w:rsidRDefault="00002656" w:rsidP="00291898">
            <w:pPr>
              <w:spacing w:before="60" w:after="60"/>
              <w:rPr>
                <w:sz w:val="20"/>
              </w:rPr>
            </w:pPr>
            <w:r w:rsidRPr="00F47262">
              <w:rPr>
                <w:sz w:val="20"/>
              </w:rPr>
              <w:t xml:space="preserve">Navigate to the </w:t>
            </w:r>
            <w:r w:rsidRPr="00F47262">
              <w:rPr>
                <w:b/>
                <w:sz w:val="20"/>
              </w:rPr>
              <w:t>TED Utilities</w:t>
            </w:r>
            <w:r w:rsidRPr="00F47262">
              <w:rPr>
                <w:sz w:val="20"/>
              </w:rPr>
              <w:t xml:space="preserve"> tool.</w:t>
            </w:r>
          </w:p>
        </w:tc>
        <w:tc>
          <w:tcPr>
            <w:tcW w:w="4134" w:type="dxa"/>
          </w:tcPr>
          <w:p w14:paraId="08B0FAE7" w14:textId="77777777" w:rsidR="00002656" w:rsidRPr="00F47262" w:rsidRDefault="00002656" w:rsidP="00291898">
            <w:pPr>
              <w:spacing w:before="60" w:after="60"/>
              <w:rPr>
                <w:sz w:val="20"/>
              </w:rPr>
            </w:pPr>
          </w:p>
        </w:tc>
      </w:tr>
      <w:tr w:rsidR="00002656" w:rsidRPr="000665B0" w14:paraId="41A21E19" w14:textId="77777777" w:rsidTr="00F47262">
        <w:trPr>
          <w:cantSplit/>
        </w:trPr>
        <w:tc>
          <w:tcPr>
            <w:tcW w:w="743" w:type="dxa"/>
            <w:tcBorders>
              <w:bottom w:val="single" w:sz="4" w:space="0" w:color="auto"/>
            </w:tcBorders>
          </w:tcPr>
          <w:p w14:paraId="0414DD24" w14:textId="77777777" w:rsidR="00002656" w:rsidRPr="000665B0" w:rsidRDefault="00002656" w:rsidP="006D5A65">
            <w:pPr>
              <w:pStyle w:val="Heading1"/>
            </w:pPr>
          </w:p>
        </w:tc>
        <w:tc>
          <w:tcPr>
            <w:tcW w:w="4596" w:type="dxa"/>
            <w:tcBorders>
              <w:bottom w:val="single" w:sz="4" w:space="0" w:color="auto"/>
            </w:tcBorders>
          </w:tcPr>
          <w:p w14:paraId="2F746826" w14:textId="77777777" w:rsidR="00002656" w:rsidRPr="00F47262" w:rsidRDefault="00002656" w:rsidP="00291898">
            <w:pPr>
              <w:spacing w:before="60" w:after="60"/>
              <w:rPr>
                <w:sz w:val="20"/>
              </w:rPr>
            </w:pPr>
            <w:r w:rsidRPr="00F47262">
              <w:rPr>
                <w:sz w:val="20"/>
              </w:rPr>
              <w:t xml:space="preserve">Select the </w:t>
            </w:r>
            <w:r w:rsidRPr="00F47262">
              <w:rPr>
                <w:b/>
                <w:i/>
                <w:sz w:val="20"/>
              </w:rPr>
              <w:t>TED Connections</w:t>
            </w:r>
            <w:r w:rsidRPr="00F47262">
              <w:rPr>
                <w:sz w:val="20"/>
              </w:rPr>
              <w:t xml:space="preserve"> tab and verify the </w:t>
            </w:r>
            <w:r w:rsidRPr="00F47262">
              <w:rPr>
                <w:b/>
                <w:sz w:val="20"/>
              </w:rPr>
              <w:t xml:space="preserve">Connection Status </w:t>
            </w:r>
            <w:r w:rsidRPr="00F47262">
              <w:rPr>
                <w:sz w:val="20"/>
              </w:rPr>
              <w:t>column.</w:t>
            </w:r>
          </w:p>
          <w:p w14:paraId="1FCC4AE1" w14:textId="119EFECE" w:rsidR="00002656" w:rsidRPr="00F47262" w:rsidRDefault="00002656" w:rsidP="006D5A65">
            <w:pPr>
              <w:pStyle w:val="Heading1"/>
            </w:pPr>
            <w:r w:rsidRPr="00F47262">
              <w:t xml:space="preserve">If Connection Status column says: Success for all entries, problem was </w:t>
            </w:r>
            <w:r w:rsidR="000F1C61" w:rsidRPr="00F47262">
              <w:t>resolved,</w:t>
            </w:r>
            <w:r w:rsidRPr="00F47262">
              <w:t xml:space="preserve"> and no additional action required.</w:t>
            </w:r>
          </w:p>
          <w:p w14:paraId="7B6161BE" w14:textId="77777777" w:rsidR="00002656" w:rsidRPr="00F47262" w:rsidRDefault="00002656" w:rsidP="006D5A65">
            <w:pPr>
              <w:pStyle w:val="Heading1"/>
            </w:pPr>
            <w:r w:rsidRPr="00F47262">
              <w:t xml:space="preserve">If Connection Status column says: Database Error for any entry, proceed to next </w:t>
            </w:r>
            <w:r w:rsidR="00376E62" w:rsidRPr="00F47262">
              <w:t>resolution</w:t>
            </w:r>
            <w:r w:rsidRPr="00F47262">
              <w:t>.</w:t>
            </w:r>
          </w:p>
        </w:tc>
        <w:tc>
          <w:tcPr>
            <w:tcW w:w="4134" w:type="dxa"/>
            <w:tcBorders>
              <w:bottom w:val="single" w:sz="4" w:space="0" w:color="auto"/>
            </w:tcBorders>
          </w:tcPr>
          <w:p w14:paraId="7DD1E1CA" w14:textId="77777777" w:rsidR="00046849" w:rsidRPr="00F47262" w:rsidRDefault="00046849" w:rsidP="00046849">
            <w:pPr>
              <w:spacing w:before="60"/>
              <w:rPr>
                <w:sz w:val="20"/>
              </w:rPr>
            </w:pPr>
            <w:r w:rsidRPr="00F47262">
              <w:rPr>
                <w:noProof/>
                <w:sz w:val="20"/>
              </w:rPr>
              <w:drawing>
                <wp:inline distT="0" distB="0" distL="0" distR="0" wp14:anchorId="009E7613" wp14:editId="5A24722B">
                  <wp:extent cx="1414666" cy="1406236"/>
                  <wp:effectExtent l="0" t="0" r="0" b="3810"/>
                  <wp:docPr id="1452" name="Picture 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4446" cy="1415957"/>
                          </a:xfrm>
                          <a:prstGeom prst="rect">
                            <a:avLst/>
                          </a:prstGeom>
                          <a:ln>
                            <a:noFill/>
                          </a:ln>
                          <a:extLst>
                            <a:ext uri="{53640926-AAD7-44D8-BBD7-CCE9431645EC}">
                              <a14:shadowObscured xmlns:a14="http://schemas.microsoft.com/office/drawing/2010/main"/>
                            </a:ext>
                          </a:extLst>
                        </pic:spPr>
                      </pic:pic>
                    </a:graphicData>
                  </a:graphic>
                </wp:inline>
              </w:drawing>
            </w:r>
          </w:p>
          <w:p w14:paraId="61EFA537" w14:textId="122D179F" w:rsidR="00002656" w:rsidRPr="00F47262" w:rsidRDefault="00046849" w:rsidP="00B505DD">
            <w:pPr>
              <w:spacing w:before="60" w:after="60"/>
              <w:rPr>
                <w:sz w:val="20"/>
              </w:rPr>
            </w:pPr>
            <w:r w:rsidRPr="00F47262">
              <w:rPr>
                <w:sz w:val="20"/>
              </w:rPr>
              <w:object w:dxaOrig="8685" w:dyaOrig="3660" w14:anchorId="4B971372">
                <v:shape id="_x0000_i1026" type="#_x0000_t75" style="width:114pt;height:36pt" o:ole="">
                  <v:imagedata cropbottom="41652f" cropleft="30023f"/>
                </v:shape>
                <o:OLEObject Type="Embed" ProgID="PBrush" ShapeID="_x0000_i1026" DrawAspect="Content" ObjectID="_1846146709" r:id="rId40"/>
              </w:object>
            </w:r>
          </w:p>
        </w:tc>
      </w:tr>
      <w:tr w:rsidR="00A10A0C" w:rsidRPr="00A10A0C" w14:paraId="035BFCB6" w14:textId="77777777" w:rsidTr="00F47262">
        <w:trPr>
          <w:cantSplit/>
        </w:trPr>
        <w:tc>
          <w:tcPr>
            <w:tcW w:w="9473" w:type="dxa"/>
            <w:gridSpan w:val="3"/>
            <w:shd w:val="clear" w:color="auto" w:fill="C6D9F1" w:themeFill="text2" w:themeFillTint="33"/>
          </w:tcPr>
          <w:p w14:paraId="03698D3D" w14:textId="77777777" w:rsidR="00002656" w:rsidRPr="00F47262" w:rsidRDefault="00002656" w:rsidP="00291898">
            <w:pPr>
              <w:spacing w:before="60" w:after="60"/>
              <w:rPr>
                <w:b/>
                <w:i/>
                <w:color w:val="000000" w:themeColor="text1"/>
                <w:sz w:val="20"/>
              </w:rPr>
            </w:pPr>
            <w:r w:rsidRPr="00F47262">
              <w:rPr>
                <w:b/>
                <w:i/>
                <w:color w:val="000000" w:themeColor="text1"/>
                <w:sz w:val="20"/>
              </w:rPr>
              <w:t>Restart MDS Workstation</w:t>
            </w:r>
          </w:p>
        </w:tc>
      </w:tr>
      <w:tr w:rsidR="00002656" w:rsidRPr="000665B0" w14:paraId="33F29091" w14:textId="77777777" w:rsidTr="00F47262">
        <w:trPr>
          <w:cantSplit/>
        </w:trPr>
        <w:tc>
          <w:tcPr>
            <w:tcW w:w="743" w:type="dxa"/>
          </w:tcPr>
          <w:p w14:paraId="7AFA7149" w14:textId="77777777" w:rsidR="00002656" w:rsidRPr="000665B0" w:rsidRDefault="00002656" w:rsidP="006D5A65">
            <w:pPr>
              <w:pStyle w:val="Heading1"/>
            </w:pPr>
          </w:p>
        </w:tc>
        <w:tc>
          <w:tcPr>
            <w:tcW w:w="4596" w:type="dxa"/>
          </w:tcPr>
          <w:p w14:paraId="74D8ECEF" w14:textId="77777777" w:rsidR="00002656" w:rsidRPr="00F47262" w:rsidRDefault="00002656" w:rsidP="00291898">
            <w:pPr>
              <w:spacing w:before="60" w:after="60"/>
              <w:rPr>
                <w:sz w:val="20"/>
              </w:rPr>
            </w:pPr>
            <w:r w:rsidRPr="00F47262">
              <w:rPr>
                <w:sz w:val="20"/>
              </w:rPr>
              <w:t>Close all open applications.</w:t>
            </w:r>
          </w:p>
        </w:tc>
        <w:tc>
          <w:tcPr>
            <w:tcW w:w="4134" w:type="dxa"/>
          </w:tcPr>
          <w:p w14:paraId="410690EC" w14:textId="77777777" w:rsidR="00002656" w:rsidRPr="00F47262" w:rsidRDefault="00002656" w:rsidP="00291898">
            <w:pPr>
              <w:spacing w:before="60" w:after="60"/>
              <w:rPr>
                <w:sz w:val="20"/>
              </w:rPr>
            </w:pPr>
          </w:p>
        </w:tc>
      </w:tr>
      <w:tr w:rsidR="00002656" w:rsidRPr="000665B0" w14:paraId="3D28F6DC" w14:textId="77777777" w:rsidTr="00F47262">
        <w:trPr>
          <w:cantSplit/>
        </w:trPr>
        <w:tc>
          <w:tcPr>
            <w:tcW w:w="743" w:type="dxa"/>
          </w:tcPr>
          <w:p w14:paraId="7BA0D48D" w14:textId="77777777" w:rsidR="00002656" w:rsidRPr="000665B0" w:rsidRDefault="00002656" w:rsidP="006D5A65">
            <w:pPr>
              <w:pStyle w:val="Heading1"/>
            </w:pPr>
          </w:p>
        </w:tc>
        <w:tc>
          <w:tcPr>
            <w:tcW w:w="4596" w:type="dxa"/>
          </w:tcPr>
          <w:p w14:paraId="6407292B" w14:textId="77777777" w:rsidR="00002656" w:rsidRPr="00F47262" w:rsidRDefault="00002656" w:rsidP="00291898">
            <w:pPr>
              <w:spacing w:before="60" w:after="60"/>
              <w:rPr>
                <w:sz w:val="20"/>
              </w:rPr>
            </w:pPr>
            <w:r w:rsidRPr="00F47262">
              <w:rPr>
                <w:sz w:val="20"/>
              </w:rPr>
              <w:t>Reboot the MDS workstation.</w:t>
            </w:r>
          </w:p>
        </w:tc>
        <w:tc>
          <w:tcPr>
            <w:tcW w:w="4134" w:type="dxa"/>
          </w:tcPr>
          <w:p w14:paraId="01C351E2" w14:textId="77777777" w:rsidR="00002656" w:rsidRPr="00F47262" w:rsidRDefault="00002656" w:rsidP="00291898">
            <w:pPr>
              <w:spacing w:before="60" w:after="60"/>
              <w:rPr>
                <w:sz w:val="20"/>
              </w:rPr>
            </w:pPr>
          </w:p>
        </w:tc>
      </w:tr>
      <w:tr w:rsidR="00002656" w:rsidRPr="000665B0" w14:paraId="1D7406F5" w14:textId="77777777" w:rsidTr="00F47262">
        <w:trPr>
          <w:cantSplit/>
        </w:trPr>
        <w:tc>
          <w:tcPr>
            <w:tcW w:w="743" w:type="dxa"/>
          </w:tcPr>
          <w:p w14:paraId="679332C2" w14:textId="77777777" w:rsidR="00002656" w:rsidRPr="000665B0" w:rsidRDefault="00002656" w:rsidP="006D5A65">
            <w:pPr>
              <w:pStyle w:val="Heading1"/>
            </w:pPr>
          </w:p>
        </w:tc>
        <w:tc>
          <w:tcPr>
            <w:tcW w:w="4596" w:type="dxa"/>
          </w:tcPr>
          <w:p w14:paraId="150F2F58" w14:textId="77777777" w:rsidR="00002656" w:rsidRPr="00F47262" w:rsidRDefault="00002656" w:rsidP="00291898">
            <w:pPr>
              <w:spacing w:before="60" w:after="60"/>
              <w:rPr>
                <w:sz w:val="20"/>
              </w:rPr>
            </w:pPr>
            <w:r w:rsidRPr="00F47262">
              <w:rPr>
                <w:sz w:val="20"/>
              </w:rPr>
              <w:t xml:space="preserve">Login to </w:t>
            </w:r>
            <w:r w:rsidR="00F17C13" w:rsidRPr="00F47262">
              <w:rPr>
                <w:sz w:val="20"/>
              </w:rPr>
              <w:t xml:space="preserve">the </w:t>
            </w:r>
            <w:r w:rsidRPr="00F47262">
              <w:rPr>
                <w:sz w:val="20"/>
              </w:rPr>
              <w:t>MDS workstation with an account that has normal user privileges.</w:t>
            </w:r>
          </w:p>
        </w:tc>
        <w:tc>
          <w:tcPr>
            <w:tcW w:w="4134" w:type="dxa"/>
          </w:tcPr>
          <w:p w14:paraId="029807E8" w14:textId="77777777" w:rsidR="00002656" w:rsidRPr="00F47262" w:rsidRDefault="00002656" w:rsidP="00291898">
            <w:pPr>
              <w:spacing w:before="60" w:after="60"/>
              <w:rPr>
                <w:sz w:val="20"/>
              </w:rPr>
            </w:pPr>
          </w:p>
        </w:tc>
      </w:tr>
      <w:tr w:rsidR="00002656" w:rsidRPr="000665B0" w14:paraId="7406B62D" w14:textId="77777777" w:rsidTr="00F47262">
        <w:trPr>
          <w:cantSplit/>
        </w:trPr>
        <w:tc>
          <w:tcPr>
            <w:tcW w:w="743" w:type="dxa"/>
          </w:tcPr>
          <w:p w14:paraId="073B96EA" w14:textId="77777777" w:rsidR="00002656" w:rsidRPr="000665B0" w:rsidRDefault="00002656" w:rsidP="006D5A65">
            <w:pPr>
              <w:pStyle w:val="Heading1"/>
            </w:pPr>
          </w:p>
        </w:tc>
        <w:tc>
          <w:tcPr>
            <w:tcW w:w="4596" w:type="dxa"/>
          </w:tcPr>
          <w:p w14:paraId="14193214" w14:textId="77777777" w:rsidR="00002656" w:rsidRPr="00F47262" w:rsidRDefault="00EA009B" w:rsidP="00EA009B">
            <w:pPr>
              <w:spacing w:before="60" w:after="60"/>
              <w:rPr>
                <w:sz w:val="20"/>
              </w:rPr>
            </w:pPr>
            <w:r w:rsidRPr="00F47262">
              <w:rPr>
                <w:sz w:val="20"/>
              </w:rPr>
              <w:t xml:space="preserve">On the MDS workstation, right-click on the </w:t>
            </w:r>
            <w:r w:rsidRPr="00F47262">
              <w:rPr>
                <w:b/>
                <w:sz w:val="20"/>
              </w:rPr>
              <w:t>MDS Toolbox</w:t>
            </w:r>
            <w:r w:rsidRPr="00F47262">
              <w:rPr>
                <w:sz w:val="20"/>
              </w:rPr>
              <w:t xml:space="preserve"> desktop shortcut icon </w:t>
            </w:r>
            <w:r w:rsidRPr="00F47262">
              <w:rPr>
                <w:noProof/>
                <w:sz w:val="20"/>
              </w:rPr>
              <w:drawing>
                <wp:inline distT="0" distB="0" distL="0" distR="0" wp14:anchorId="6649BCB3" wp14:editId="35D91A23">
                  <wp:extent cx="276225" cy="247650"/>
                  <wp:effectExtent l="19050" t="0" r="9525" b="0"/>
                  <wp:docPr id="984"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and select </w:t>
            </w:r>
            <w:r w:rsidRPr="00F47262">
              <w:rPr>
                <w:b/>
                <w:sz w:val="20"/>
              </w:rPr>
              <w:t>Run as administrator</w:t>
            </w:r>
            <w:r w:rsidRPr="00F47262">
              <w:rPr>
                <w:sz w:val="20"/>
              </w:rPr>
              <w:t xml:space="preserve"> from the resulting pop-up menu.</w:t>
            </w:r>
          </w:p>
        </w:tc>
        <w:tc>
          <w:tcPr>
            <w:tcW w:w="4134" w:type="dxa"/>
          </w:tcPr>
          <w:p w14:paraId="25A2DD0B" w14:textId="77777777" w:rsidR="00002656" w:rsidRPr="00F47262" w:rsidRDefault="00002656" w:rsidP="00291898">
            <w:pPr>
              <w:spacing w:before="60" w:after="60"/>
              <w:rPr>
                <w:noProof/>
                <w:sz w:val="20"/>
              </w:rPr>
            </w:pPr>
          </w:p>
        </w:tc>
      </w:tr>
      <w:tr w:rsidR="00002656" w:rsidRPr="000665B0" w14:paraId="26414E6C" w14:textId="77777777" w:rsidTr="00F47262">
        <w:trPr>
          <w:cantSplit/>
        </w:trPr>
        <w:tc>
          <w:tcPr>
            <w:tcW w:w="743" w:type="dxa"/>
          </w:tcPr>
          <w:p w14:paraId="4087CB9E" w14:textId="77777777" w:rsidR="00002656" w:rsidRPr="000665B0" w:rsidRDefault="00002656" w:rsidP="006D5A65">
            <w:pPr>
              <w:pStyle w:val="Heading1"/>
            </w:pPr>
          </w:p>
        </w:tc>
        <w:tc>
          <w:tcPr>
            <w:tcW w:w="4596" w:type="dxa"/>
          </w:tcPr>
          <w:p w14:paraId="349B3C33" w14:textId="77777777" w:rsidR="00002656" w:rsidRPr="00F47262" w:rsidRDefault="00002656" w:rsidP="00291898">
            <w:pPr>
              <w:spacing w:before="60" w:after="60"/>
              <w:rPr>
                <w:sz w:val="20"/>
              </w:rPr>
            </w:pPr>
            <w:r w:rsidRPr="00F47262">
              <w:rPr>
                <w:sz w:val="20"/>
              </w:rPr>
              <w:t xml:space="preserve">Navigate to the </w:t>
            </w:r>
            <w:r w:rsidRPr="00F47262">
              <w:rPr>
                <w:b/>
                <w:sz w:val="20"/>
              </w:rPr>
              <w:t>TED Utilities</w:t>
            </w:r>
            <w:r w:rsidRPr="00F47262">
              <w:rPr>
                <w:sz w:val="20"/>
              </w:rPr>
              <w:t xml:space="preserve"> tool.</w:t>
            </w:r>
          </w:p>
        </w:tc>
        <w:tc>
          <w:tcPr>
            <w:tcW w:w="4134" w:type="dxa"/>
          </w:tcPr>
          <w:p w14:paraId="42613529" w14:textId="77777777" w:rsidR="00002656" w:rsidRPr="00F47262" w:rsidRDefault="00002656" w:rsidP="00291898">
            <w:pPr>
              <w:spacing w:before="60" w:after="60"/>
              <w:rPr>
                <w:sz w:val="20"/>
              </w:rPr>
            </w:pPr>
          </w:p>
        </w:tc>
      </w:tr>
      <w:tr w:rsidR="00002656" w:rsidRPr="000665B0" w14:paraId="148CFFC1" w14:textId="77777777" w:rsidTr="00F47262">
        <w:trPr>
          <w:cantSplit/>
        </w:trPr>
        <w:tc>
          <w:tcPr>
            <w:tcW w:w="743" w:type="dxa"/>
          </w:tcPr>
          <w:p w14:paraId="326A479F" w14:textId="77777777" w:rsidR="00002656" w:rsidRPr="000665B0" w:rsidRDefault="00002656" w:rsidP="006D5A65">
            <w:pPr>
              <w:pStyle w:val="Heading1"/>
            </w:pPr>
          </w:p>
        </w:tc>
        <w:tc>
          <w:tcPr>
            <w:tcW w:w="4596" w:type="dxa"/>
          </w:tcPr>
          <w:p w14:paraId="324A760E" w14:textId="77777777" w:rsidR="00002656" w:rsidRPr="00F47262" w:rsidRDefault="00002656" w:rsidP="00291898">
            <w:pPr>
              <w:spacing w:before="60" w:after="60"/>
              <w:rPr>
                <w:sz w:val="20"/>
              </w:rPr>
            </w:pPr>
            <w:r w:rsidRPr="00F47262">
              <w:rPr>
                <w:sz w:val="20"/>
              </w:rPr>
              <w:t xml:space="preserve">Select the </w:t>
            </w:r>
            <w:r w:rsidRPr="00F47262">
              <w:rPr>
                <w:b/>
                <w:i/>
                <w:sz w:val="20"/>
              </w:rPr>
              <w:t>TED Connections</w:t>
            </w:r>
            <w:r w:rsidRPr="00F47262">
              <w:rPr>
                <w:sz w:val="20"/>
              </w:rPr>
              <w:t xml:space="preserve"> tab and verify the </w:t>
            </w:r>
            <w:r w:rsidRPr="00F47262">
              <w:rPr>
                <w:b/>
                <w:sz w:val="20"/>
              </w:rPr>
              <w:t xml:space="preserve">Connection Status </w:t>
            </w:r>
            <w:r w:rsidRPr="00F47262">
              <w:rPr>
                <w:sz w:val="20"/>
              </w:rPr>
              <w:t>column.</w:t>
            </w:r>
          </w:p>
          <w:p w14:paraId="6D9FC203" w14:textId="1BA1D624" w:rsidR="00002656" w:rsidRPr="00F47262" w:rsidRDefault="00002656" w:rsidP="006D5A65">
            <w:pPr>
              <w:pStyle w:val="Heading1"/>
            </w:pPr>
            <w:r w:rsidRPr="00F47262">
              <w:t xml:space="preserve">If Connection Status column says: Success for all entries, problem was </w:t>
            </w:r>
            <w:r w:rsidR="009762F2" w:rsidRPr="00F47262">
              <w:t>resolved,</w:t>
            </w:r>
            <w:r w:rsidRPr="00F47262">
              <w:t xml:space="preserve"> and no additional action required.</w:t>
            </w:r>
          </w:p>
          <w:p w14:paraId="24E2DF82" w14:textId="77777777" w:rsidR="00002656" w:rsidRPr="00F47262" w:rsidRDefault="00002656" w:rsidP="006D5A65">
            <w:pPr>
              <w:pStyle w:val="Heading1"/>
            </w:pPr>
            <w:r w:rsidRPr="00F47262">
              <w:t xml:space="preserve">If Connection Status column says: Database Error for any entry, proceed to next </w:t>
            </w:r>
            <w:r w:rsidR="00376E62" w:rsidRPr="00F47262">
              <w:t>resolution</w:t>
            </w:r>
            <w:r w:rsidRPr="00F47262">
              <w:t>.</w:t>
            </w:r>
          </w:p>
        </w:tc>
        <w:tc>
          <w:tcPr>
            <w:tcW w:w="4134" w:type="dxa"/>
          </w:tcPr>
          <w:p w14:paraId="029660F7" w14:textId="77777777" w:rsidR="00046849" w:rsidRPr="00F47262" w:rsidRDefault="00046849" w:rsidP="00046849">
            <w:pPr>
              <w:spacing w:before="60"/>
              <w:rPr>
                <w:sz w:val="20"/>
              </w:rPr>
            </w:pPr>
            <w:r w:rsidRPr="00F47262">
              <w:rPr>
                <w:noProof/>
                <w:sz w:val="20"/>
              </w:rPr>
              <w:drawing>
                <wp:inline distT="0" distB="0" distL="0" distR="0" wp14:anchorId="0998E56F" wp14:editId="49A67FD5">
                  <wp:extent cx="1414666" cy="1406236"/>
                  <wp:effectExtent l="0" t="0" r="0" b="3810"/>
                  <wp:docPr id="1453" name="Picture 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4446" cy="1415957"/>
                          </a:xfrm>
                          <a:prstGeom prst="rect">
                            <a:avLst/>
                          </a:prstGeom>
                          <a:ln>
                            <a:noFill/>
                          </a:ln>
                          <a:extLst>
                            <a:ext uri="{53640926-AAD7-44D8-BBD7-CCE9431645EC}">
                              <a14:shadowObscured xmlns:a14="http://schemas.microsoft.com/office/drawing/2010/main"/>
                            </a:ext>
                          </a:extLst>
                        </pic:spPr>
                      </pic:pic>
                    </a:graphicData>
                  </a:graphic>
                </wp:inline>
              </w:drawing>
            </w:r>
          </w:p>
          <w:p w14:paraId="2EA53FCA" w14:textId="4DCF3B2C" w:rsidR="00002656" w:rsidRPr="00F47262" w:rsidRDefault="00046849" w:rsidP="00B505DD">
            <w:pPr>
              <w:spacing w:before="60" w:after="60"/>
              <w:rPr>
                <w:sz w:val="20"/>
              </w:rPr>
            </w:pPr>
            <w:r w:rsidRPr="00F47262">
              <w:rPr>
                <w:sz w:val="20"/>
              </w:rPr>
              <w:object w:dxaOrig="8685" w:dyaOrig="3660" w14:anchorId="20DE1347">
                <v:shape id="_x0000_i1027" type="#_x0000_t75" style="width:114pt;height:36pt" o:ole="">
                  <v:imagedata cropbottom="41652f" cropleft="30023f"/>
                </v:shape>
                <o:OLEObject Type="Embed" ProgID="PBrush" ShapeID="_x0000_i1027" DrawAspect="Content" ObjectID="_1846146710" r:id="rId41"/>
              </w:object>
            </w:r>
          </w:p>
        </w:tc>
      </w:tr>
      <w:tr w:rsidR="00A10A0C" w:rsidRPr="00A10A0C" w14:paraId="7ACF7805" w14:textId="77777777" w:rsidTr="00F47262">
        <w:trPr>
          <w:cantSplit/>
        </w:trPr>
        <w:tc>
          <w:tcPr>
            <w:tcW w:w="9473" w:type="dxa"/>
            <w:gridSpan w:val="3"/>
            <w:shd w:val="clear" w:color="auto" w:fill="C6D9F1" w:themeFill="text2" w:themeFillTint="33"/>
          </w:tcPr>
          <w:p w14:paraId="003C3AA7" w14:textId="77777777" w:rsidR="00002656" w:rsidRPr="00F47262" w:rsidRDefault="00002656" w:rsidP="00E7111D">
            <w:pPr>
              <w:keepNext/>
              <w:spacing w:before="60" w:after="60"/>
              <w:rPr>
                <w:b/>
                <w:i/>
                <w:color w:val="000000" w:themeColor="text1"/>
                <w:sz w:val="20"/>
              </w:rPr>
            </w:pPr>
            <w:r w:rsidRPr="00F47262">
              <w:rPr>
                <w:b/>
                <w:i/>
                <w:color w:val="000000" w:themeColor="text1"/>
                <w:sz w:val="20"/>
              </w:rPr>
              <w:t>Restart Server(s) and MDS Workstation</w:t>
            </w:r>
          </w:p>
          <w:p w14:paraId="21A2BA3D" w14:textId="77777777" w:rsidR="00002656" w:rsidRPr="00F47262" w:rsidRDefault="00002656" w:rsidP="008D07DB">
            <w:pPr>
              <w:keepNext/>
              <w:spacing w:before="60" w:after="60"/>
              <w:rPr>
                <w:b/>
                <w:i/>
                <w:color w:val="000000" w:themeColor="text1"/>
                <w:sz w:val="20"/>
              </w:rPr>
            </w:pPr>
            <w:r w:rsidRPr="00F47262">
              <w:rPr>
                <w:b/>
                <w:i/>
                <w:color w:val="000000" w:themeColor="text1"/>
                <w:sz w:val="20"/>
              </w:rPr>
              <w:t>(FRU/Standalone</w:t>
            </w:r>
            <w:r w:rsidR="008D07DB" w:rsidRPr="00F47262">
              <w:rPr>
                <w:b/>
                <w:i/>
                <w:color w:val="000000" w:themeColor="text1"/>
                <w:sz w:val="20"/>
              </w:rPr>
              <w:t xml:space="preserve"> MDS </w:t>
            </w:r>
            <w:r w:rsidRPr="00F47262">
              <w:rPr>
                <w:b/>
                <w:i/>
                <w:color w:val="000000" w:themeColor="text1"/>
                <w:sz w:val="20"/>
              </w:rPr>
              <w:t>Configurations: Skip These Steps)</w:t>
            </w:r>
          </w:p>
        </w:tc>
      </w:tr>
      <w:tr w:rsidR="00002656" w:rsidRPr="000665B0" w14:paraId="5CAACA32" w14:textId="77777777" w:rsidTr="00F47262">
        <w:trPr>
          <w:cantSplit/>
        </w:trPr>
        <w:tc>
          <w:tcPr>
            <w:tcW w:w="743" w:type="dxa"/>
          </w:tcPr>
          <w:p w14:paraId="043C5972" w14:textId="77777777" w:rsidR="00002656" w:rsidRPr="000665B0" w:rsidRDefault="00002656" w:rsidP="006D5A65">
            <w:pPr>
              <w:pStyle w:val="Heading1"/>
            </w:pPr>
          </w:p>
        </w:tc>
        <w:tc>
          <w:tcPr>
            <w:tcW w:w="4596" w:type="dxa"/>
          </w:tcPr>
          <w:p w14:paraId="1A40272F" w14:textId="77777777" w:rsidR="00002656" w:rsidRPr="00F47262" w:rsidRDefault="00002656" w:rsidP="00291898">
            <w:pPr>
              <w:spacing w:before="60" w:after="60"/>
              <w:rPr>
                <w:sz w:val="20"/>
              </w:rPr>
            </w:pPr>
            <w:r w:rsidRPr="00F47262">
              <w:rPr>
                <w:sz w:val="20"/>
              </w:rPr>
              <w:t>Login to the appropriate Server with an account that has administrator privileges.</w:t>
            </w:r>
          </w:p>
        </w:tc>
        <w:tc>
          <w:tcPr>
            <w:tcW w:w="4134" w:type="dxa"/>
          </w:tcPr>
          <w:p w14:paraId="2A2BF577" w14:textId="77777777" w:rsidR="00002656" w:rsidRPr="00F47262" w:rsidRDefault="00002656" w:rsidP="00291898">
            <w:pPr>
              <w:spacing w:before="60" w:after="60"/>
              <w:rPr>
                <w:sz w:val="20"/>
              </w:rPr>
            </w:pPr>
            <w:r w:rsidRPr="00F47262">
              <w:rPr>
                <w:b/>
                <w:i/>
                <w:sz w:val="20"/>
              </w:rPr>
              <w:t>CMSA/TSMPC</w:t>
            </w:r>
            <w:r w:rsidRPr="00F47262">
              <w:rPr>
                <w:sz w:val="20"/>
              </w:rPr>
              <w:t xml:space="preserve"> = TED Web Server </w:t>
            </w:r>
            <w:r w:rsidR="00064529" w:rsidRPr="00F47262">
              <w:rPr>
                <w:sz w:val="20"/>
              </w:rPr>
              <w:t xml:space="preserve">and </w:t>
            </w:r>
            <w:r w:rsidRPr="00F47262">
              <w:rPr>
                <w:sz w:val="20"/>
              </w:rPr>
              <w:t>TED Database Server</w:t>
            </w:r>
          </w:p>
          <w:p w14:paraId="7374A354" w14:textId="77777777" w:rsidR="00002656" w:rsidRPr="00F47262" w:rsidRDefault="00002656" w:rsidP="00291898">
            <w:pPr>
              <w:spacing w:before="60" w:after="60"/>
              <w:rPr>
                <w:sz w:val="20"/>
              </w:rPr>
            </w:pPr>
            <w:r w:rsidRPr="00F47262">
              <w:rPr>
                <w:b/>
                <w:i/>
                <w:sz w:val="20"/>
              </w:rPr>
              <w:t>CSG</w:t>
            </w:r>
            <w:r w:rsidRPr="00F47262">
              <w:rPr>
                <w:sz w:val="20"/>
              </w:rPr>
              <w:t xml:space="preserve"> = TED/DB Server</w:t>
            </w:r>
          </w:p>
        </w:tc>
      </w:tr>
      <w:tr w:rsidR="00002656" w:rsidRPr="000665B0" w14:paraId="1C03BF94" w14:textId="77777777" w:rsidTr="00F47262">
        <w:trPr>
          <w:cantSplit/>
        </w:trPr>
        <w:tc>
          <w:tcPr>
            <w:tcW w:w="743" w:type="dxa"/>
          </w:tcPr>
          <w:p w14:paraId="1F1BC399" w14:textId="77777777" w:rsidR="00002656" w:rsidRPr="000665B0" w:rsidRDefault="00002656" w:rsidP="006D5A65">
            <w:pPr>
              <w:pStyle w:val="Heading1"/>
            </w:pPr>
          </w:p>
        </w:tc>
        <w:tc>
          <w:tcPr>
            <w:tcW w:w="4596" w:type="dxa"/>
          </w:tcPr>
          <w:p w14:paraId="072B797C" w14:textId="77777777" w:rsidR="00002656" w:rsidRPr="00F47262" w:rsidRDefault="00002656" w:rsidP="00291898">
            <w:pPr>
              <w:spacing w:before="60" w:after="60"/>
              <w:rPr>
                <w:sz w:val="20"/>
              </w:rPr>
            </w:pPr>
            <w:r w:rsidRPr="00F47262">
              <w:rPr>
                <w:sz w:val="20"/>
              </w:rPr>
              <w:t>Close all open applications.</w:t>
            </w:r>
          </w:p>
        </w:tc>
        <w:tc>
          <w:tcPr>
            <w:tcW w:w="4134" w:type="dxa"/>
          </w:tcPr>
          <w:p w14:paraId="29E046AA" w14:textId="77777777" w:rsidR="00002656" w:rsidRPr="00F47262" w:rsidRDefault="00002656" w:rsidP="00291898">
            <w:pPr>
              <w:spacing w:before="60" w:after="60"/>
              <w:rPr>
                <w:sz w:val="20"/>
              </w:rPr>
            </w:pPr>
          </w:p>
        </w:tc>
      </w:tr>
      <w:tr w:rsidR="00002656" w:rsidRPr="000665B0" w14:paraId="31D60909" w14:textId="77777777" w:rsidTr="00F47262">
        <w:trPr>
          <w:cantSplit/>
        </w:trPr>
        <w:tc>
          <w:tcPr>
            <w:tcW w:w="743" w:type="dxa"/>
          </w:tcPr>
          <w:p w14:paraId="56D93FBF" w14:textId="77777777" w:rsidR="00002656" w:rsidRPr="000665B0" w:rsidRDefault="00002656" w:rsidP="006D5A65">
            <w:pPr>
              <w:pStyle w:val="Heading1"/>
            </w:pPr>
          </w:p>
        </w:tc>
        <w:tc>
          <w:tcPr>
            <w:tcW w:w="4596" w:type="dxa"/>
          </w:tcPr>
          <w:p w14:paraId="676F57F4" w14:textId="77777777" w:rsidR="00002656" w:rsidRPr="00F47262" w:rsidRDefault="00002656" w:rsidP="00291898">
            <w:pPr>
              <w:spacing w:before="60" w:after="60"/>
              <w:rPr>
                <w:sz w:val="20"/>
              </w:rPr>
            </w:pPr>
            <w:r w:rsidRPr="00F47262">
              <w:rPr>
                <w:sz w:val="20"/>
              </w:rPr>
              <w:t>Reboot the Server(s)</w:t>
            </w:r>
          </w:p>
          <w:p w14:paraId="358E161D" w14:textId="77777777" w:rsidR="00002656" w:rsidRPr="00F47262" w:rsidRDefault="00002656" w:rsidP="00291898">
            <w:pPr>
              <w:spacing w:before="60" w:after="60"/>
              <w:rPr>
                <w:sz w:val="20"/>
              </w:rPr>
            </w:pPr>
            <w:r w:rsidRPr="00F47262">
              <w:rPr>
                <w:sz w:val="20"/>
              </w:rPr>
              <w:t>See Notes.</w:t>
            </w:r>
          </w:p>
        </w:tc>
        <w:tc>
          <w:tcPr>
            <w:tcW w:w="4134" w:type="dxa"/>
          </w:tcPr>
          <w:p w14:paraId="26F334A6" w14:textId="37CABFC9" w:rsidR="00002656" w:rsidRPr="00F47262" w:rsidRDefault="00002656" w:rsidP="00291898">
            <w:pPr>
              <w:spacing w:before="60" w:after="60"/>
              <w:rPr>
                <w:sz w:val="20"/>
              </w:rPr>
            </w:pPr>
            <w:r w:rsidRPr="00F47262">
              <w:rPr>
                <w:b/>
                <w:i/>
                <w:sz w:val="20"/>
              </w:rPr>
              <w:t xml:space="preserve">Note 1: </w:t>
            </w:r>
            <w:r w:rsidRPr="00F47262">
              <w:rPr>
                <w:sz w:val="20"/>
              </w:rPr>
              <w:t>Prior to rebooting Server(s), coordinate with any other users (</w:t>
            </w:r>
            <w:r w:rsidR="003509EA" w:rsidRPr="00F47262">
              <w:rPr>
                <w:sz w:val="20"/>
              </w:rPr>
              <w:t xml:space="preserve">i.e., </w:t>
            </w:r>
            <w:r w:rsidRPr="00F47262">
              <w:rPr>
                <w:sz w:val="20"/>
              </w:rPr>
              <w:t xml:space="preserve">TPS, TNT, </w:t>
            </w:r>
            <w:r w:rsidR="00306E14" w:rsidRPr="00F47262">
              <w:rPr>
                <w:sz w:val="20"/>
              </w:rPr>
              <w:t>TM</w:t>
            </w:r>
            <w:r w:rsidRPr="00F47262">
              <w:rPr>
                <w:sz w:val="20"/>
              </w:rPr>
              <w:t>) to ensure no loss of data.</w:t>
            </w:r>
          </w:p>
          <w:p w14:paraId="5B377D2D" w14:textId="186797AA" w:rsidR="00002656" w:rsidRPr="00F47262" w:rsidRDefault="00002656" w:rsidP="00291898">
            <w:pPr>
              <w:spacing w:before="60" w:after="60"/>
              <w:rPr>
                <w:noProof/>
                <w:sz w:val="20"/>
              </w:rPr>
            </w:pPr>
            <w:r w:rsidRPr="00F47262">
              <w:rPr>
                <w:b/>
                <w:i/>
                <w:sz w:val="20"/>
              </w:rPr>
              <w:t xml:space="preserve">Note 2: </w:t>
            </w:r>
            <w:r w:rsidRPr="00F47262">
              <w:rPr>
                <w:sz w:val="20"/>
              </w:rPr>
              <w:t>On</w:t>
            </w:r>
            <w:r w:rsidRPr="00F47262">
              <w:rPr>
                <w:b/>
                <w:i/>
                <w:sz w:val="20"/>
              </w:rPr>
              <w:t xml:space="preserve"> </w:t>
            </w:r>
            <w:r w:rsidRPr="00F47262">
              <w:rPr>
                <w:noProof/>
                <w:sz w:val="20"/>
              </w:rPr>
              <w:t xml:space="preserve">CMSA/TSMPC servers, provide the reason for shutdown in the </w:t>
            </w:r>
            <w:r w:rsidRPr="00F47262">
              <w:rPr>
                <w:i/>
                <w:noProof/>
                <w:sz w:val="20"/>
              </w:rPr>
              <w:t>Restart Confirmation</w:t>
            </w:r>
            <w:r w:rsidRPr="00F47262">
              <w:rPr>
                <w:noProof/>
                <w:sz w:val="20"/>
              </w:rPr>
              <w:t xml:space="preserve"> window, as applicable.</w:t>
            </w:r>
            <w:r w:rsidR="009651B0" w:rsidRPr="00F47262">
              <w:rPr>
                <w:noProof/>
                <w:sz w:val="20"/>
              </w:rPr>
              <w:t xml:space="preserve"> </w:t>
            </w:r>
          </w:p>
          <w:p w14:paraId="7AC9FC03" w14:textId="77777777" w:rsidR="00002656" w:rsidRPr="00F47262" w:rsidRDefault="00002656" w:rsidP="00291898">
            <w:pPr>
              <w:spacing w:before="60" w:after="60"/>
              <w:rPr>
                <w:sz w:val="20"/>
              </w:rPr>
            </w:pPr>
            <w:r w:rsidRPr="00F47262">
              <w:rPr>
                <w:b/>
                <w:i/>
                <w:noProof/>
                <w:sz w:val="20"/>
              </w:rPr>
              <w:t xml:space="preserve">Note 3: </w:t>
            </w:r>
            <w:r w:rsidRPr="00F47262">
              <w:rPr>
                <w:noProof/>
                <w:sz w:val="20"/>
              </w:rPr>
              <w:t xml:space="preserve">Servers have completed the reboot process when the </w:t>
            </w:r>
            <w:r w:rsidRPr="00F47262">
              <w:rPr>
                <w:b/>
                <w:noProof/>
                <w:sz w:val="20"/>
              </w:rPr>
              <w:t xml:space="preserve">Ctrl+Alt+Del </w:t>
            </w:r>
            <w:r w:rsidRPr="00F47262">
              <w:rPr>
                <w:noProof/>
                <w:sz w:val="20"/>
              </w:rPr>
              <w:t>screen is displayed.</w:t>
            </w:r>
          </w:p>
        </w:tc>
      </w:tr>
      <w:tr w:rsidR="00002656" w:rsidRPr="000665B0" w14:paraId="619A9619" w14:textId="77777777" w:rsidTr="00F47262">
        <w:trPr>
          <w:cantSplit/>
        </w:trPr>
        <w:tc>
          <w:tcPr>
            <w:tcW w:w="743" w:type="dxa"/>
          </w:tcPr>
          <w:p w14:paraId="7B25612D" w14:textId="77777777" w:rsidR="00002656" w:rsidRPr="000665B0" w:rsidRDefault="00002656" w:rsidP="006D5A65">
            <w:pPr>
              <w:pStyle w:val="Heading1"/>
            </w:pPr>
          </w:p>
        </w:tc>
        <w:tc>
          <w:tcPr>
            <w:tcW w:w="4596" w:type="dxa"/>
          </w:tcPr>
          <w:p w14:paraId="640E036A" w14:textId="77777777" w:rsidR="00002656" w:rsidRPr="00F47262" w:rsidRDefault="00002656" w:rsidP="00291898">
            <w:pPr>
              <w:spacing w:before="60" w:after="60"/>
              <w:rPr>
                <w:sz w:val="20"/>
              </w:rPr>
            </w:pPr>
            <w:r w:rsidRPr="00F47262">
              <w:rPr>
                <w:sz w:val="20"/>
              </w:rPr>
              <w:t>Reboot the MDS workstation.</w:t>
            </w:r>
          </w:p>
        </w:tc>
        <w:tc>
          <w:tcPr>
            <w:tcW w:w="4134" w:type="dxa"/>
          </w:tcPr>
          <w:p w14:paraId="08A5F452" w14:textId="77777777" w:rsidR="00002656" w:rsidRPr="00F47262" w:rsidRDefault="00002656" w:rsidP="00291898">
            <w:pPr>
              <w:spacing w:before="60" w:after="60"/>
              <w:rPr>
                <w:sz w:val="20"/>
              </w:rPr>
            </w:pPr>
          </w:p>
        </w:tc>
      </w:tr>
      <w:tr w:rsidR="00002656" w:rsidRPr="000665B0" w14:paraId="5557103C" w14:textId="77777777" w:rsidTr="00F47262">
        <w:trPr>
          <w:cantSplit/>
        </w:trPr>
        <w:tc>
          <w:tcPr>
            <w:tcW w:w="743" w:type="dxa"/>
          </w:tcPr>
          <w:p w14:paraId="027D32A6" w14:textId="77777777" w:rsidR="00002656" w:rsidRPr="000665B0" w:rsidRDefault="00002656" w:rsidP="006D5A65">
            <w:pPr>
              <w:pStyle w:val="Heading1"/>
            </w:pPr>
          </w:p>
        </w:tc>
        <w:tc>
          <w:tcPr>
            <w:tcW w:w="4596" w:type="dxa"/>
          </w:tcPr>
          <w:p w14:paraId="180CBD8F" w14:textId="77777777" w:rsidR="00002656" w:rsidRPr="00F47262" w:rsidRDefault="00002656" w:rsidP="00291898">
            <w:pPr>
              <w:spacing w:before="60" w:after="60"/>
              <w:rPr>
                <w:sz w:val="20"/>
              </w:rPr>
            </w:pPr>
            <w:r w:rsidRPr="00F47262">
              <w:rPr>
                <w:sz w:val="20"/>
              </w:rPr>
              <w:t xml:space="preserve">Login to </w:t>
            </w:r>
            <w:r w:rsidR="00F17C13" w:rsidRPr="00F47262">
              <w:rPr>
                <w:sz w:val="20"/>
              </w:rPr>
              <w:t xml:space="preserve">the </w:t>
            </w:r>
            <w:r w:rsidRPr="00F47262">
              <w:rPr>
                <w:sz w:val="20"/>
              </w:rPr>
              <w:t>MDS workstation with an account that has normal user privileges.</w:t>
            </w:r>
          </w:p>
        </w:tc>
        <w:tc>
          <w:tcPr>
            <w:tcW w:w="4134" w:type="dxa"/>
          </w:tcPr>
          <w:p w14:paraId="3BD0D3B8" w14:textId="77777777" w:rsidR="00002656" w:rsidRPr="00F47262" w:rsidRDefault="00002656" w:rsidP="00291898">
            <w:pPr>
              <w:spacing w:before="60" w:after="60"/>
              <w:rPr>
                <w:sz w:val="20"/>
              </w:rPr>
            </w:pPr>
          </w:p>
        </w:tc>
      </w:tr>
      <w:tr w:rsidR="00002656" w:rsidRPr="000665B0" w14:paraId="59D01698" w14:textId="77777777" w:rsidTr="00F47262">
        <w:trPr>
          <w:cantSplit/>
        </w:trPr>
        <w:tc>
          <w:tcPr>
            <w:tcW w:w="743" w:type="dxa"/>
          </w:tcPr>
          <w:p w14:paraId="0816B833" w14:textId="77777777" w:rsidR="00002656" w:rsidRPr="000665B0" w:rsidRDefault="00002656" w:rsidP="006D5A65">
            <w:pPr>
              <w:pStyle w:val="Heading1"/>
            </w:pPr>
          </w:p>
        </w:tc>
        <w:tc>
          <w:tcPr>
            <w:tcW w:w="4596" w:type="dxa"/>
          </w:tcPr>
          <w:p w14:paraId="6AA52D4E" w14:textId="77777777" w:rsidR="00002656" w:rsidRPr="00F47262" w:rsidRDefault="00EA009B" w:rsidP="00EA009B">
            <w:pPr>
              <w:spacing w:before="60" w:after="60"/>
              <w:rPr>
                <w:sz w:val="20"/>
              </w:rPr>
            </w:pPr>
            <w:r w:rsidRPr="00F47262">
              <w:rPr>
                <w:sz w:val="20"/>
              </w:rPr>
              <w:t xml:space="preserve">On the MDS workstation, right-click on the </w:t>
            </w:r>
            <w:r w:rsidRPr="00F47262">
              <w:rPr>
                <w:b/>
                <w:sz w:val="20"/>
              </w:rPr>
              <w:t>MDS Toolbox</w:t>
            </w:r>
            <w:r w:rsidRPr="00F47262">
              <w:rPr>
                <w:sz w:val="20"/>
              </w:rPr>
              <w:t xml:space="preserve"> desktop shortcut icon </w:t>
            </w:r>
            <w:r w:rsidRPr="00F47262">
              <w:rPr>
                <w:noProof/>
                <w:sz w:val="20"/>
              </w:rPr>
              <w:drawing>
                <wp:inline distT="0" distB="0" distL="0" distR="0" wp14:anchorId="12AD80A3" wp14:editId="252CA1F7">
                  <wp:extent cx="276225" cy="247650"/>
                  <wp:effectExtent l="19050" t="0" r="9525" b="0"/>
                  <wp:docPr id="994"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and select </w:t>
            </w:r>
            <w:r w:rsidRPr="00F47262">
              <w:rPr>
                <w:b/>
                <w:sz w:val="20"/>
              </w:rPr>
              <w:t>Run as administrator</w:t>
            </w:r>
            <w:r w:rsidRPr="00F47262">
              <w:rPr>
                <w:sz w:val="20"/>
              </w:rPr>
              <w:t xml:space="preserve"> from the resulting pop-up menu.</w:t>
            </w:r>
          </w:p>
        </w:tc>
        <w:tc>
          <w:tcPr>
            <w:tcW w:w="4134" w:type="dxa"/>
          </w:tcPr>
          <w:p w14:paraId="5DC7ECB0" w14:textId="77777777" w:rsidR="00002656" w:rsidRPr="00F47262" w:rsidRDefault="00002656" w:rsidP="00291898">
            <w:pPr>
              <w:spacing w:before="60" w:after="60"/>
              <w:rPr>
                <w:sz w:val="20"/>
              </w:rPr>
            </w:pPr>
          </w:p>
        </w:tc>
      </w:tr>
      <w:tr w:rsidR="00002656" w:rsidRPr="000665B0" w14:paraId="3A8F82C9" w14:textId="77777777" w:rsidTr="00F47262">
        <w:trPr>
          <w:cantSplit/>
        </w:trPr>
        <w:tc>
          <w:tcPr>
            <w:tcW w:w="743" w:type="dxa"/>
          </w:tcPr>
          <w:p w14:paraId="1EFFAC53" w14:textId="77777777" w:rsidR="00002656" w:rsidRPr="000665B0" w:rsidRDefault="00002656" w:rsidP="006D5A65">
            <w:pPr>
              <w:pStyle w:val="Heading1"/>
            </w:pPr>
          </w:p>
        </w:tc>
        <w:tc>
          <w:tcPr>
            <w:tcW w:w="4596" w:type="dxa"/>
          </w:tcPr>
          <w:p w14:paraId="51829D3B" w14:textId="77777777" w:rsidR="00002656" w:rsidRPr="00F47262" w:rsidRDefault="00002656" w:rsidP="00291898">
            <w:pPr>
              <w:spacing w:before="60" w:after="60"/>
              <w:rPr>
                <w:sz w:val="20"/>
              </w:rPr>
            </w:pPr>
            <w:r w:rsidRPr="00F47262">
              <w:rPr>
                <w:sz w:val="20"/>
              </w:rPr>
              <w:t xml:space="preserve">Navigate to the </w:t>
            </w:r>
            <w:r w:rsidRPr="00F47262">
              <w:rPr>
                <w:b/>
                <w:sz w:val="20"/>
              </w:rPr>
              <w:t>TED Utilities</w:t>
            </w:r>
            <w:r w:rsidRPr="00F47262">
              <w:rPr>
                <w:sz w:val="20"/>
              </w:rPr>
              <w:t xml:space="preserve"> tool.</w:t>
            </w:r>
          </w:p>
        </w:tc>
        <w:tc>
          <w:tcPr>
            <w:tcW w:w="4134" w:type="dxa"/>
          </w:tcPr>
          <w:p w14:paraId="1AD6B94D" w14:textId="77777777" w:rsidR="00002656" w:rsidRPr="00F47262" w:rsidRDefault="00002656" w:rsidP="00291898">
            <w:pPr>
              <w:spacing w:before="60" w:after="60"/>
              <w:rPr>
                <w:sz w:val="20"/>
              </w:rPr>
            </w:pPr>
          </w:p>
        </w:tc>
      </w:tr>
      <w:tr w:rsidR="00002656" w:rsidRPr="000665B0" w14:paraId="5A3D4725" w14:textId="77777777" w:rsidTr="00F47262">
        <w:trPr>
          <w:cantSplit/>
        </w:trPr>
        <w:tc>
          <w:tcPr>
            <w:tcW w:w="743" w:type="dxa"/>
          </w:tcPr>
          <w:p w14:paraId="2E991B42" w14:textId="77777777" w:rsidR="00002656" w:rsidRPr="000665B0" w:rsidRDefault="00002656" w:rsidP="006D5A65">
            <w:pPr>
              <w:pStyle w:val="Heading1"/>
            </w:pPr>
          </w:p>
        </w:tc>
        <w:tc>
          <w:tcPr>
            <w:tcW w:w="4596" w:type="dxa"/>
          </w:tcPr>
          <w:p w14:paraId="42B77C55" w14:textId="77777777" w:rsidR="00002656" w:rsidRPr="00F47262" w:rsidRDefault="00002656" w:rsidP="00291898">
            <w:pPr>
              <w:spacing w:before="60" w:after="60"/>
              <w:rPr>
                <w:sz w:val="20"/>
              </w:rPr>
            </w:pPr>
            <w:r w:rsidRPr="00F47262">
              <w:rPr>
                <w:sz w:val="20"/>
              </w:rPr>
              <w:t xml:space="preserve">Select the </w:t>
            </w:r>
            <w:r w:rsidRPr="00F47262">
              <w:rPr>
                <w:b/>
                <w:i/>
                <w:sz w:val="20"/>
              </w:rPr>
              <w:t>TED Connections</w:t>
            </w:r>
            <w:r w:rsidRPr="00F47262">
              <w:rPr>
                <w:sz w:val="20"/>
              </w:rPr>
              <w:t xml:space="preserve"> tab and verify the </w:t>
            </w:r>
            <w:r w:rsidRPr="00F47262">
              <w:rPr>
                <w:b/>
                <w:sz w:val="20"/>
              </w:rPr>
              <w:t xml:space="preserve">Connection Status </w:t>
            </w:r>
            <w:r w:rsidRPr="00F47262">
              <w:rPr>
                <w:sz w:val="20"/>
              </w:rPr>
              <w:t>column.</w:t>
            </w:r>
          </w:p>
          <w:p w14:paraId="14299C0D" w14:textId="2AA0EA7D" w:rsidR="00002656" w:rsidRPr="00F47262" w:rsidRDefault="00002656" w:rsidP="006D5A65">
            <w:pPr>
              <w:pStyle w:val="Heading1"/>
            </w:pPr>
            <w:r w:rsidRPr="00F47262">
              <w:t xml:space="preserve">If Connection Status column says: Success for all entries, problem was </w:t>
            </w:r>
            <w:r w:rsidR="009762F2" w:rsidRPr="00F47262">
              <w:t>resolved,</w:t>
            </w:r>
            <w:r w:rsidRPr="00F47262">
              <w:t xml:space="preserve"> and no additional action required.</w:t>
            </w:r>
          </w:p>
          <w:p w14:paraId="1B546A07" w14:textId="77777777" w:rsidR="00002656" w:rsidRPr="00F47262" w:rsidRDefault="00002656" w:rsidP="006D5A65">
            <w:pPr>
              <w:pStyle w:val="Heading1"/>
            </w:pPr>
            <w:r w:rsidRPr="00F47262">
              <w:t xml:space="preserve">If Connection Status column says: Database Error for any entry, proceed to next </w:t>
            </w:r>
            <w:r w:rsidR="00084C36" w:rsidRPr="00F47262">
              <w:t>resolution</w:t>
            </w:r>
            <w:r w:rsidRPr="00F47262">
              <w:t>.</w:t>
            </w:r>
          </w:p>
        </w:tc>
        <w:tc>
          <w:tcPr>
            <w:tcW w:w="4134" w:type="dxa"/>
          </w:tcPr>
          <w:p w14:paraId="47353347" w14:textId="77777777" w:rsidR="00046849" w:rsidRPr="00F47262" w:rsidRDefault="00046849" w:rsidP="00046849">
            <w:pPr>
              <w:spacing w:before="60"/>
              <w:rPr>
                <w:sz w:val="20"/>
              </w:rPr>
            </w:pPr>
            <w:r w:rsidRPr="00F47262">
              <w:rPr>
                <w:noProof/>
                <w:sz w:val="20"/>
              </w:rPr>
              <w:drawing>
                <wp:inline distT="0" distB="0" distL="0" distR="0" wp14:anchorId="2AC196DF" wp14:editId="5FC5B2D1">
                  <wp:extent cx="1414666" cy="1406236"/>
                  <wp:effectExtent l="0" t="0" r="0" b="3810"/>
                  <wp:docPr id="1454" name="Picture 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4446" cy="1415957"/>
                          </a:xfrm>
                          <a:prstGeom prst="rect">
                            <a:avLst/>
                          </a:prstGeom>
                          <a:ln>
                            <a:noFill/>
                          </a:ln>
                          <a:extLst>
                            <a:ext uri="{53640926-AAD7-44D8-BBD7-CCE9431645EC}">
                              <a14:shadowObscured xmlns:a14="http://schemas.microsoft.com/office/drawing/2010/main"/>
                            </a:ext>
                          </a:extLst>
                        </pic:spPr>
                      </pic:pic>
                    </a:graphicData>
                  </a:graphic>
                </wp:inline>
              </w:drawing>
            </w:r>
          </w:p>
          <w:p w14:paraId="10745714" w14:textId="6B0D7573" w:rsidR="00002656" w:rsidRPr="00F47262" w:rsidRDefault="00046849" w:rsidP="00FF41F7">
            <w:pPr>
              <w:spacing w:before="60" w:after="60"/>
              <w:rPr>
                <w:sz w:val="20"/>
              </w:rPr>
            </w:pPr>
            <w:r w:rsidRPr="00F47262">
              <w:rPr>
                <w:sz w:val="20"/>
              </w:rPr>
              <w:object w:dxaOrig="8685" w:dyaOrig="3660" w14:anchorId="7F039341">
                <v:shape id="_x0000_i1028" type="#_x0000_t75" style="width:114pt;height:36pt" o:ole="">
                  <v:imagedata cropbottom="41652f" cropleft="30023f"/>
                </v:shape>
                <o:OLEObject Type="Embed" ProgID="PBrush" ShapeID="_x0000_i1028" DrawAspect="Content" ObjectID="_1846146711" r:id="rId42"/>
              </w:object>
            </w:r>
          </w:p>
        </w:tc>
      </w:tr>
      <w:tr w:rsidR="00A10A0C" w:rsidRPr="00A10A0C" w14:paraId="40E976AD" w14:textId="77777777" w:rsidTr="00F47262">
        <w:trPr>
          <w:cantSplit/>
        </w:trPr>
        <w:tc>
          <w:tcPr>
            <w:tcW w:w="9473" w:type="dxa"/>
            <w:gridSpan w:val="3"/>
            <w:shd w:val="clear" w:color="auto" w:fill="C6D9F1" w:themeFill="text2" w:themeFillTint="33"/>
          </w:tcPr>
          <w:p w14:paraId="7BDF4F13" w14:textId="77777777" w:rsidR="00002656" w:rsidRPr="00F47262" w:rsidRDefault="00002656" w:rsidP="00E7111D">
            <w:pPr>
              <w:keepNext/>
              <w:spacing w:before="60" w:after="60"/>
              <w:rPr>
                <w:b/>
                <w:i/>
                <w:color w:val="000000" w:themeColor="text1"/>
                <w:sz w:val="20"/>
              </w:rPr>
            </w:pPr>
            <w:r w:rsidRPr="00F47262">
              <w:rPr>
                <w:b/>
                <w:i/>
                <w:color w:val="000000" w:themeColor="text1"/>
                <w:sz w:val="20"/>
              </w:rPr>
              <w:t>Review MDS Error Log</w:t>
            </w:r>
          </w:p>
        </w:tc>
      </w:tr>
      <w:tr w:rsidR="00002656" w:rsidRPr="000665B0" w14:paraId="4ADA4269" w14:textId="77777777" w:rsidTr="00F47262">
        <w:trPr>
          <w:cantSplit/>
        </w:trPr>
        <w:tc>
          <w:tcPr>
            <w:tcW w:w="743" w:type="dxa"/>
          </w:tcPr>
          <w:p w14:paraId="577A9E8B" w14:textId="77777777" w:rsidR="00002656" w:rsidRPr="000665B0" w:rsidRDefault="00002656" w:rsidP="006D5A65">
            <w:pPr>
              <w:pStyle w:val="Heading1"/>
            </w:pPr>
          </w:p>
        </w:tc>
        <w:tc>
          <w:tcPr>
            <w:tcW w:w="4596" w:type="dxa"/>
          </w:tcPr>
          <w:p w14:paraId="16211038" w14:textId="77777777" w:rsidR="00002656" w:rsidRPr="00F47262" w:rsidRDefault="00E13FE3" w:rsidP="00E13FE3">
            <w:pPr>
              <w:spacing w:before="60" w:after="60"/>
              <w:rPr>
                <w:sz w:val="20"/>
              </w:rPr>
            </w:pPr>
            <w:r w:rsidRPr="00F47262">
              <w:rPr>
                <w:sz w:val="20"/>
              </w:rPr>
              <w:t xml:space="preserve">On the MDS workstation, right-click on the </w:t>
            </w:r>
            <w:r w:rsidRPr="00F47262">
              <w:rPr>
                <w:b/>
                <w:sz w:val="20"/>
              </w:rPr>
              <w:t>MDS Toolbox</w:t>
            </w:r>
            <w:r w:rsidRPr="00F47262">
              <w:rPr>
                <w:sz w:val="20"/>
              </w:rPr>
              <w:t xml:space="preserve"> desktop shortcut icon </w:t>
            </w:r>
            <w:r w:rsidRPr="00F47262">
              <w:rPr>
                <w:noProof/>
                <w:sz w:val="20"/>
              </w:rPr>
              <w:drawing>
                <wp:inline distT="0" distB="0" distL="0" distR="0" wp14:anchorId="243D6CFD" wp14:editId="638AFA81">
                  <wp:extent cx="276225" cy="247650"/>
                  <wp:effectExtent l="19050" t="0" r="9525" b="0"/>
                  <wp:docPr id="324"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and select </w:t>
            </w:r>
            <w:r w:rsidRPr="00F47262">
              <w:rPr>
                <w:b/>
                <w:sz w:val="20"/>
              </w:rPr>
              <w:t>Run as administrator</w:t>
            </w:r>
            <w:r w:rsidRPr="00F47262">
              <w:rPr>
                <w:sz w:val="20"/>
              </w:rPr>
              <w:t xml:space="preserve"> from the resulting pop-up menu</w:t>
            </w:r>
            <w:r w:rsidR="00002656" w:rsidRPr="00F47262">
              <w:rPr>
                <w:sz w:val="20"/>
              </w:rPr>
              <w:t>.</w:t>
            </w:r>
          </w:p>
        </w:tc>
        <w:tc>
          <w:tcPr>
            <w:tcW w:w="4134" w:type="dxa"/>
          </w:tcPr>
          <w:p w14:paraId="0D77E008" w14:textId="77777777" w:rsidR="00002656" w:rsidRPr="00F47262" w:rsidRDefault="00002656" w:rsidP="00291898">
            <w:pPr>
              <w:spacing w:before="60" w:after="60"/>
              <w:rPr>
                <w:noProof/>
                <w:sz w:val="20"/>
              </w:rPr>
            </w:pPr>
          </w:p>
        </w:tc>
      </w:tr>
      <w:tr w:rsidR="00002656" w:rsidRPr="000665B0" w14:paraId="5CCC9C26" w14:textId="77777777" w:rsidTr="00F47262">
        <w:trPr>
          <w:cantSplit/>
        </w:trPr>
        <w:tc>
          <w:tcPr>
            <w:tcW w:w="743" w:type="dxa"/>
          </w:tcPr>
          <w:p w14:paraId="32329621" w14:textId="77777777" w:rsidR="00002656" w:rsidRPr="000665B0" w:rsidRDefault="00002656" w:rsidP="006D5A65">
            <w:pPr>
              <w:pStyle w:val="Heading1"/>
            </w:pPr>
          </w:p>
        </w:tc>
        <w:tc>
          <w:tcPr>
            <w:tcW w:w="4596" w:type="dxa"/>
          </w:tcPr>
          <w:p w14:paraId="59B63D9D" w14:textId="77777777" w:rsidR="00002656" w:rsidRPr="00F47262" w:rsidRDefault="00002656" w:rsidP="00291898">
            <w:pPr>
              <w:spacing w:before="60" w:after="60"/>
              <w:rPr>
                <w:sz w:val="20"/>
              </w:rPr>
            </w:pPr>
            <w:r w:rsidRPr="00F47262">
              <w:rPr>
                <w:sz w:val="20"/>
              </w:rPr>
              <w:t xml:space="preserve">Click the </w:t>
            </w:r>
            <w:r w:rsidRPr="00F47262">
              <w:rPr>
                <w:b/>
                <w:sz w:val="20"/>
              </w:rPr>
              <w:t>Yes</w:t>
            </w:r>
            <w:r w:rsidRPr="00F47262">
              <w:rPr>
                <w:sz w:val="20"/>
              </w:rPr>
              <w:t xml:space="preserve"> button in the </w:t>
            </w:r>
            <w:r w:rsidRPr="00F47262">
              <w:rPr>
                <w:i/>
                <w:sz w:val="20"/>
              </w:rPr>
              <w:t xml:space="preserve">User Account Control </w:t>
            </w:r>
            <w:r w:rsidRPr="00F47262">
              <w:rPr>
                <w:sz w:val="20"/>
              </w:rPr>
              <w:t>window.</w:t>
            </w:r>
          </w:p>
        </w:tc>
        <w:tc>
          <w:tcPr>
            <w:tcW w:w="4134" w:type="dxa"/>
          </w:tcPr>
          <w:p w14:paraId="3F6690C5" w14:textId="77777777" w:rsidR="00002656" w:rsidRPr="00F47262" w:rsidRDefault="00002656" w:rsidP="00291898">
            <w:pPr>
              <w:spacing w:before="60" w:after="60"/>
              <w:rPr>
                <w:noProof/>
                <w:sz w:val="20"/>
              </w:rPr>
            </w:pPr>
          </w:p>
        </w:tc>
      </w:tr>
      <w:tr w:rsidR="00002656" w:rsidRPr="000665B0" w14:paraId="778A24C5" w14:textId="77777777" w:rsidTr="00F47262">
        <w:trPr>
          <w:cantSplit/>
        </w:trPr>
        <w:tc>
          <w:tcPr>
            <w:tcW w:w="743" w:type="dxa"/>
          </w:tcPr>
          <w:p w14:paraId="308F3BB1" w14:textId="77777777" w:rsidR="00002656" w:rsidRPr="000665B0" w:rsidRDefault="00002656" w:rsidP="006D5A65">
            <w:pPr>
              <w:pStyle w:val="Heading1"/>
            </w:pPr>
          </w:p>
        </w:tc>
        <w:tc>
          <w:tcPr>
            <w:tcW w:w="4596" w:type="dxa"/>
          </w:tcPr>
          <w:p w14:paraId="01F1BFA2" w14:textId="77777777" w:rsidR="00002656" w:rsidRPr="00F47262" w:rsidRDefault="00002656" w:rsidP="00291898">
            <w:pPr>
              <w:spacing w:before="60" w:after="60"/>
              <w:rPr>
                <w:sz w:val="20"/>
              </w:rPr>
            </w:pPr>
            <w:r w:rsidRPr="00F47262">
              <w:rPr>
                <w:sz w:val="20"/>
              </w:rPr>
              <w:t xml:space="preserve">From MDS, navigate to the </w:t>
            </w:r>
            <w:r w:rsidRPr="00F47262">
              <w:rPr>
                <w:b/>
                <w:sz w:val="20"/>
              </w:rPr>
              <w:t>Error Log Entries</w:t>
            </w:r>
            <w:r w:rsidRPr="00F47262">
              <w:rPr>
                <w:sz w:val="20"/>
              </w:rPr>
              <w:t xml:space="preserve"> tool.</w:t>
            </w:r>
          </w:p>
        </w:tc>
        <w:tc>
          <w:tcPr>
            <w:tcW w:w="4134" w:type="dxa"/>
          </w:tcPr>
          <w:p w14:paraId="32516486" w14:textId="77777777" w:rsidR="00002656" w:rsidRPr="00F47262" w:rsidRDefault="00002656" w:rsidP="00291898">
            <w:pPr>
              <w:spacing w:before="60" w:after="60"/>
              <w:rPr>
                <w:noProof/>
                <w:sz w:val="20"/>
              </w:rPr>
            </w:pPr>
          </w:p>
        </w:tc>
      </w:tr>
      <w:tr w:rsidR="00002656" w:rsidRPr="000665B0" w14:paraId="112E5131" w14:textId="77777777" w:rsidTr="00F47262">
        <w:trPr>
          <w:cantSplit/>
        </w:trPr>
        <w:tc>
          <w:tcPr>
            <w:tcW w:w="743" w:type="dxa"/>
          </w:tcPr>
          <w:p w14:paraId="09B1A456" w14:textId="77777777" w:rsidR="00002656" w:rsidRPr="000665B0" w:rsidRDefault="00002656" w:rsidP="006D5A65">
            <w:pPr>
              <w:pStyle w:val="Heading1"/>
            </w:pPr>
          </w:p>
        </w:tc>
        <w:tc>
          <w:tcPr>
            <w:tcW w:w="4596" w:type="dxa"/>
          </w:tcPr>
          <w:p w14:paraId="7EFA3A00" w14:textId="77777777" w:rsidR="00002656" w:rsidRPr="00F47262" w:rsidRDefault="00002656" w:rsidP="00291898">
            <w:pPr>
              <w:spacing w:before="60" w:after="60"/>
              <w:rPr>
                <w:sz w:val="20"/>
              </w:rPr>
            </w:pPr>
            <w:r w:rsidRPr="00F47262">
              <w:rPr>
                <w:sz w:val="20"/>
              </w:rPr>
              <w:t xml:space="preserve">Select </w:t>
            </w:r>
            <w:r w:rsidRPr="00F47262">
              <w:rPr>
                <w:b/>
                <w:sz w:val="20"/>
              </w:rPr>
              <w:t>All</w:t>
            </w:r>
            <w:r w:rsidRPr="00F47262">
              <w:rPr>
                <w:sz w:val="20"/>
              </w:rPr>
              <w:t xml:space="preserve"> from filter combo box to display all entries.</w:t>
            </w:r>
          </w:p>
        </w:tc>
        <w:tc>
          <w:tcPr>
            <w:tcW w:w="4134" w:type="dxa"/>
          </w:tcPr>
          <w:p w14:paraId="60900C22" w14:textId="77777777" w:rsidR="00002656" w:rsidRPr="00F47262" w:rsidRDefault="00002656" w:rsidP="00291898">
            <w:pPr>
              <w:spacing w:before="60" w:after="60"/>
              <w:rPr>
                <w:noProof/>
                <w:sz w:val="20"/>
              </w:rPr>
            </w:pPr>
          </w:p>
        </w:tc>
      </w:tr>
      <w:tr w:rsidR="00002656" w:rsidRPr="000665B0" w14:paraId="5F938135" w14:textId="77777777" w:rsidTr="00F47262">
        <w:trPr>
          <w:cantSplit/>
        </w:trPr>
        <w:tc>
          <w:tcPr>
            <w:tcW w:w="743" w:type="dxa"/>
          </w:tcPr>
          <w:p w14:paraId="38ED7A4D" w14:textId="77777777" w:rsidR="00002656" w:rsidRPr="000665B0" w:rsidRDefault="00002656" w:rsidP="006D5A65">
            <w:pPr>
              <w:pStyle w:val="Heading1"/>
            </w:pPr>
          </w:p>
        </w:tc>
        <w:tc>
          <w:tcPr>
            <w:tcW w:w="4596" w:type="dxa"/>
          </w:tcPr>
          <w:p w14:paraId="0979A9FA" w14:textId="593220F5" w:rsidR="00002656" w:rsidRPr="00F47262" w:rsidRDefault="00002656" w:rsidP="00291898">
            <w:pPr>
              <w:spacing w:before="60" w:after="60"/>
              <w:rPr>
                <w:sz w:val="20"/>
              </w:rPr>
            </w:pPr>
            <w:r w:rsidRPr="00F47262">
              <w:rPr>
                <w:sz w:val="20"/>
              </w:rPr>
              <w:t>Review entries to determine the cause of the connection error.</w:t>
            </w:r>
            <w:r w:rsidR="009651B0" w:rsidRPr="00F47262">
              <w:rPr>
                <w:sz w:val="20"/>
              </w:rPr>
              <w:t xml:space="preserve"> </w:t>
            </w:r>
          </w:p>
          <w:p w14:paraId="1B7A92AC" w14:textId="77777777" w:rsidR="00002656" w:rsidRPr="00F47262" w:rsidRDefault="00002656" w:rsidP="00291898">
            <w:pPr>
              <w:spacing w:before="60" w:after="60"/>
              <w:rPr>
                <w:sz w:val="20"/>
              </w:rPr>
            </w:pPr>
            <w:r w:rsidRPr="00F47262">
              <w:rPr>
                <w:sz w:val="20"/>
              </w:rPr>
              <w:t>If the cause can be identified, then skip directly to resolution.</w:t>
            </w:r>
          </w:p>
          <w:p w14:paraId="48598276" w14:textId="77777777" w:rsidR="00002656" w:rsidRPr="00F47262" w:rsidRDefault="00002656" w:rsidP="00291898">
            <w:pPr>
              <w:spacing w:before="60" w:after="60"/>
              <w:rPr>
                <w:sz w:val="20"/>
              </w:rPr>
            </w:pPr>
            <w:r w:rsidRPr="00F47262">
              <w:rPr>
                <w:sz w:val="20"/>
              </w:rPr>
              <w:t xml:space="preserve">If the cause cannot be identified, then proceed to next </w:t>
            </w:r>
            <w:r w:rsidR="00084C36" w:rsidRPr="00F47262">
              <w:rPr>
                <w:sz w:val="20"/>
              </w:rPr>
              <w:t>resolution</w:t>
            </w:r>
            <w:r w:rsidRPr="00F47262">
              <w:rPr>
                <w:sz w:val="20"/>
              </w:rPr>
              <w:t>.</w:t>
            </w:r>
          </w:p>
        </w:tc>
        <w:tc>
          <w:tcPr>
            <w:tcW w:w="4134" w:type="dxa"/>
          </w:tcPr>
          <w:p w14:paraId="2CEEC8A1" w14:textId="77777777" w:rsidR="00002656" w:rsidRPr="00F47262" w:rsidRDefault="00002656" w:rsidP="00291898">
            <w:pPr>
              <w:spacing w:before="60" w:after="60"/>
              <w:rPr>
                <w:noProof/>
                <w:sz w:val="20"/>
              </w:rPr>
            </w:pPr>
          </w:p>
        </w:tc>
      </w:tr>
      <w:tr w:rsidR="00A10A0C" w:rsidRPr="00A10A0C" w14:paraId="3AB03128" w14:textId="77777777" w:rsidTr="00F47262">
        <w:trPr>
          <w:cantSplit/>
        </w:trPr>
        <w:tc>
          <w:tcPr>
            <w:tcW w:w="9473" w:type="dxa"/>
            <w:gridSpan w:val="3"/>
            <w:shd w:val="clear" w:color="auto" w:fill="C6D9F1" w:themeFill="text2" w:themeFillTint="33"/>
          </w:tcPr>
          <w:p w14:paraId="38D0BB5A" w14:textId="77777777" w:rsidR="00002656" w:rsidRPr="00F47262" w:rsidRDefault="00002656" w:rsidP="000B25B3">
            <w:pPr>
              <w:keepNext/>
              <w:spacing w:before="60" w:after="60"/>
              <w:rPr>
                <w:b/>
                <w:i/>
                <w:color w:val="000000" w:themeColor="text1"/>
                <w:sz w:val="20"/>
              </w:rPr>
            </w:pPr>
            <w:r w:rsidRPr="00F47262">
              <w:rPr>
                <w:b/>
                <w:i/>
                <w:color w:val="000000" w:themeColor="text1"/>
                <w:sz w:val="20"/>
              </w:rPr>
              <w:t>Review Ted5_0 Event Log</w:t>
            </w:r>
          </w:p>
        </w:tc>
      </w:tr>
      <w:tr w:rsidR="00002656" w:rsidRPr="000665B0" w14:paraId="118BFC53" w14:textId="77777777" w:rsidTr="00F47262">
        <w:trPr>
          <w:cantSplit/>
        </w:trPr>
        <w:tc>
          <w:tcPr>
            <w:tcW w:w="743" w:type="dxa"/>
          </w:tcPr>
          <w:p w14:paraId="145A8D9F" w14:textId="77777777" w:rsidR="00002656" w:rsidRPr="000665B0" w:rsidRDefault="00002656" w:rsidP="006D5A65">
            <w:pPr>
              <w:pStyle w:val="Heading1"/>
            </w:pPr>
          </w:p>
        </w:tc>
        <w:tc>
          <w:tcPr>
            <w:tcW w:w="4596" w:type="dxa"/>
          </w:tcPr>
          <w:p w14:paraId="70F7C82D" w14:textId="77777777" w:rsidR="00BF5B51" w:rsidRPr="00F47262" w:rsidRDefault="00002656" w:rsidP="00291898">
            <w:pPr>
              <w:spacing w:before="60" w:after="60"/>
              <w:rPr>
                <w:sz w:val="20"/>
              </w:rPr>
            </w:pPr>
            <w:r w:rsidRPr="00F47262">
              <w:rPr>
                <w:sz w:val="20"/>
              </w:rPr>
              <w:t>On the system where the TED Server (see Note 1) is installed, display the Ted5_0 Event Log in Event Viewer</w:t>
            </w:r>
            <w:r w:rsidR="00735C8B" w:rsidRPr="00F47262">
              <w:rPr>
                <w:sz w:val="20"/>
              </w:rPr>
              <w:t>.</w:t>
            </w:r>
            <w:r w:rsidRPr="00F47262">
              <w:rPr>
                <w:sz w:val="20"/>
              </w:rPr>
              <w:t xml:space="preserve"> </w:t>
            </w:r>
            <w:r w:rsidR="00735C8B" w:rsidRPr="00F47262">
              <w:rPr>
                <w:sz w:val="20"/>
              </w:rPr>
              <w:t xml:space="preserve">Right-click the </w:t>
            </w:r>
            <w:r w:rsidR="00735C8B" w:rsidRPr="00F47262">
              <w:rPr>
                <w:noProof/>
                <w:sz w:val="20"/>
              </w:rPr>
              <w:drawing>
                <wp:inline distT="0" distB="0" distL="0" distR="0" wp14:anchorId="65B90379" wp14:editId="05C72648">
                  <wp:extent cx="182880" cy="178068"/>
                  <wp:effectExtent l="0" t="0" r="762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00735C8B" w:rsidRPr="00F47262">
              <w:rPr>
                <w:sz w:val="20"/>
              </w:rPr>
              <w:t xml:space="preserve"> icon and select </w:t>
            </w:r>
            <w:r w:rsidR="00735C8B" w:rsidRPr="00F47262">
              <w:rPr>
                <w:b/>
                <w:sz w:val="20"/>
              </w:rPr>
              <w:t>Computer Management</w:t>
            </w:r>
            <w:r w:rsidR="00735C8B" w:rsidRPr="00F47262">
              <w:rPr>
                <w:sz w:val="20"/>
              </w:rPr>
              <w:t xml:space="preserve"> from the pop-up menu. </w:t>
            </w:r>
          </w:p>
          <w:p w14:paraId="6CC7681F" w14:textId="77777777" w:rsidR="00BF5B51" w:rsidRPr="00F47262" w:rsidRDefault="00BF5B51" w:rsidP="006D5A65">
            <w:pPr>
              <w:pStyle w:val="Heading1"/>
            </w:pPr>
            <w:r w:rsidRPr="00F47262">
              <w:t xml:space="preserve">On a C2 system: </w:t>
            </w:r>
            <w:r w:rsidR="00002656" w:rsidRPr="00F47262">
              <w:t xml:space="preserve">From the </w:t>
            </w:r>
            <w:r w:rsidR="00002656" w:rsidRPr="00F47262">
              <w:rPr>
                <w:i/>
              </w:rPr>
              <w:t>Computer Management</w:t>
            </w:r>
            <w:r w:rsidR="00002656" w:rsidRPr="00F47262">
              <w:t xml:space="preserve"> </w:t>
            </w:r>
            <w:r w:rsidRPr="00F47262">
              <w:t xml:space="preserve">window in the </w:t>
            </w:r>
            <w:r w:rsidR="00002656" w:rsidRPr="00F47262">
              <w:t xml:space="preserve">left panel, expand Event Viewer </w:t>
            </w:r>
            <w:r w:rsidR="00002656" w:rsidRPr="00F47262">
              <w:sym w:font="Wingdings" w:char="F0E0"/>
            </w:r>
            <w:r w:rsidR="00002656" w:rsidRPr="00F47262">
              <w:t xml:space="preserve"> Applications and Services Logs </w:t>
            </w:r>
            <w:r w:rsidR="00002656" w:rsidRPr="00F47262">
              <w:sym w:font="Wingdings" w:char="F0E0"/>
            </w:r>
            <w:r w:rsidR="00002656" w:rsidRPr="00F47262">
              <w:t xml:space="preserve"> Ted5_0. </w:t>
            </w:r>
          </w:p>
          <w:p w14:paraId="38F25E2E" w14:textId="77777777" w:rsidR="00002656" w:rsidRPr="00F47262" w:rsidRDefault="00BF5B51" w:rsidP="006D5A65">
            <w:pPr>
              <w:pStyle w:val="Heading1"/>
            </w:pPr>
            <w:r w:rsidRPr="00F47262">
              <w:t xml:space="preserve">On a FRU, CSG, or TSMPC/CMSA system: From the </w:t>
            </w:r>
            <w:r w:rsidRPr="00F47262">
              <w:rPr>
                <w:i/>
              </w:rPr>
              <w:t>Server Manager</w:t>
            </w:r>
            <w:r w:rsidRPr="00F47262">
              <w:t xml:space="preserve"> window in the left panel, expand Diagnostics </w:t>
            </w:r>
            <w:r w:rsidRPr="00F47262">
              <w:rPr>
                <w:rFonts w:ascii="Calibri" w:eastAsia="Calibri" w:hAnsi="Calibri"/>
              </w:rPr>
              <w:sym w:font="Wingdings" w:char="F0E0"/>
            </w:r>
            <w:r w:rsidRPr="00F47262">
              <w:t xml:space="preserve">Event Viewer </w:t>
            </w:r>
            <w:r w:rsidRPr="00F47262">
              <w:rPr>
                <w:rFonts w:ascii="Calibri" w:eastAsia="Calibri" w:hAnsi="Calibri"/>
              </w:rPr>
              <w:sym w:font="Wingdings" w:char="F0E0"/>
            </w:r>
            <w:r w:rsidRPr="00F47262">
              <w:t xml:space="preserve"> Applications and Services Logs </w:t>
            </w:r>
            <w:r w:rsidRPr="00F47262">
              <w:rPr>
                <w:rFonts w:ascii="Calibri" w:eastAsia="Calibri" w:hAnsi="Calibri"/>
              </w:rPr>
              <w:sym w:font="Wingdings" w:char="F0E0"/>
            </w:r>
            <w:r w:rsidRPr="00F47262">
              <w:t xml:space="preserve"> Ted5_0.</w:t>
            </w:r>
          </w:p>
          <w:p w14:paraId="4513DA5C" w14:textId="77777777" w:rsidR="00BF5B51" w:rsidRPr="00F47262" w:rsidRDefault="00BF5B51" w:rsidP="00291898">
            <w:pPr>
              <w:spacing w:before="60" w:after="60"/>
              <w:rPr>
                <w:sz w:val="20"/>
              </w:rPr>
            </w:pPr>
          </w:p>
        </w:tc>
        <w:tc>
          <w:tcPr>
            <w:tcW w:w="4134" w:type="dxa"/>
          </w:tcPr>
          <w:p w14:paraId="25ACD87C" w14:textId="11FFC569" w:rsidR="00002656" w:rsidRPr="00F47262" w:rsidRDefault="007A690B" w:rsidP="00291898">
            <w:pPr>
              <w:spacing w:before="60" w:after="60"/>
              <w:rPr>
                <w:sz w:val="20"/>
              </w:rPr>
            </w:pPr>
            <w:r w:rsidRPr="00F47262">
              <w:rPr>
                <w:sz w:val="20"/>
              </w:rPr>
              <w:object w:dxaOrig="11385" w:dyaOrig="5010" w14:anchorId="44144C28">
                <v:shape id="_x0000_i1029" type="#_x0000_t75" style="width:201.5pt;height:83pt" o:ole=""/>
                <o:OLEObject Type="Embed" ProgID="PBrush" ShapeID="_x0000_i1029" DrawAspect="Content" ObjectID="_1846146712" r:id="rId43"/>
              </w:object>
            </w:r>
          </w:p>
          <w:p w14:paraId="72F9D773" w14:textId="77777777" w:rsidR="00002656" w:rsidRPr="00F47262" w:rsidRDefault="00002656" w:rsidP="00291898">
            <w:pPr>
              <w:spacing w:before="60" w:after="60"/>
              <w:rPr>
                <w:sz w:val="20"/>
              </w:rPr>
            </w:pPr>
            <w:r w:rsidRPr="00F47262">
              <w:rPr>
                <w:b/>
                <w:i/>
                <w:sz w:val="20"/>
              </w:rPr>
              <w:t>Note 1</w:t>
            </w:r>
            <w:r w:rsidRPr="00F47262">
              <w:rPr>
                <w:sz w:val="20"/>
              </w:rPr>
              <w:t>: TED Server:</w:t>
            </w:r>
          </w:p>
          <w:p w14:paraId="75CB3EC6" w14:textId="77777777" w:rsidR="00002656" w:rsidRPr="00F47262" w:rsidRDefault="00002656" w:rsidP="00291898">
            <w:pPr>
              <w:spacing w:before="60" w:after="60"/>
              <w:rPr>
                <w:sz w:val="20"/>
              </w:rPr>
            </w:pPr>
            <w:r w:rsidRPr="00F47262">
              <w:rPr>
                <w:sz w:val="20"/>
              </w:rPr>
              <w:t>FRU/C2: MDS Workstation</w:t>
            </w:r>
          </w:p>
          <w:p w14:paraId="113436A2" w14:textId="77777777" w:rsidR="00002656" w:rsidRPr="00F47262" w:rsidRDefault="00002656" w:rsidP="00291898">
            <w:pPr>
              <w:spacing w:before="60" w:after="60"/>
              <w:rPr>
                <w:sz w:val="20"/>
              </w:rPr>
            </w:pPr>
            <w:r w:rsidRPr="00F47262">
              <w:rPr>
                <w:sz w:val="20"/>
              </w:rPr>
              <w:t xml:space="preserve">CSG: </w:t>
            </w:r>
            <w:r w:rsidR="00BF5B51" w:rsidRPr="00F47262">
              <w:rPr>
                <w:sz w:val="20"/>
              </w:rPr>
              <w:t xml:space="preserve">TED/DB </w:t>
            </w:r>
            <w:r w:rsidRPr="00F47262">
              <w:rPr>
                <w:sz w:val="20"/>
              </w:rPr>
              <w:t>Server</w:t>
            </w:r>
          </w:p>
          <w:p w14:paraId="1B208C57" w14:textId="77777777" w:rsidR="00002656" w:rsidRPr="00F47262" w:rsidRDefault="00002656" w:rsidP="00291898">
            <w:pPr>
              <w:spacing w:before="60" w:after="60"/>
              <w:rPr>
                <w:sz w:val="20"/>
              </w:rPr>
            </w:pPr>
            <w:r w:rsidRPr="00F47262">
              <w:rPr>
                <w:sz w:val="20"/>
              </w:rPr>
              <w:t>TSMPC/CMSA: TED Server</w:t>
            </w:r>
          </w:p>
          <w:p w14:paraId="4AB4B4E1" w14:textId="5438B2D7" w:rsidR="00EB2DB5" w:rsidRPr="00F47262" w:rsidRDefault="007A690B" w:rsidP="00291898">
            <w:pPr>
              <w:spacing w:before="60" w:after="60"/>
              <w:rPr>
                <w:noProof/>
                <w:sz w:val="20"/>
              </w:rPr>
            </w:pPr>
            <w:r w:rsidRPr="00F47262">
              <w:rPr>
                <w:sz w:val="20"/>
              </w:rPr>
              <w:object w:dxaOrig="6855" w:dyaOrig="3330" w14:anchorId="59BA769E">
                <v:shape id="_x0000_i1030" type="#_x0000_t75" style="width:198pt;height:94.5pt" o:ole=""/>
                <o:OLEObject Type="Embed" ProgID="PBrush" ShapeID="_x0000_i1030" DrawAspect="Content" ObjectID="_1846146713" r:id="rId44"/>
              </w:object>
            </w:r>
          </w:p>
        </w:tc>
      </w:tr>
      <w:tr w:rsidR="00002656" w:rsidRPr="000665B0" w14:paraId="6535D199" w14:textId="77777777" w:rsidTr="00F47262">
        <w:trPr>
          <w:cantSplit/>
        </w:trPr>
        <w:tc>
          <w:tcPr>
            <w:tcW w:w="743" w:type="dxa"/>
          </w:tcPr>
          <w:p w14:paraId="425BB4CC" w14:textId="77777777" w:rsidR="00002656" w:rsidRPr="000665B0" w:rsidRDefault="00002656" w:rsidP="006D5A65">
            <w:pPr>
              <w:pStyle w:val="Heading1"/>
            </w:pPr>
          </w:p>
        </w:tc>
        <w:tc>
          <w:tcPr>
            <w:tcW w:w="4596" w:type="dxa"/>
          </w:tcPr>
          <w:p w14:paraId="5333DC3C" w14:textId="73274CCA" w:rsidR="00002656" w:rsidRPr="00F47262" w:rsidRDefault="00002656" w:rsidP="00291898">
            <w:pPr>
              <w:spacing w:before="60" w:after="60"/>
              <w:rPr>
                <w:sz w:val="20"/>
              </w:rPr>
            </w:pPr>
            <w:r w:rsidRPr="00F47262">
              <w:rPr>
                <w:sz w:val="20"/>
              </w:rPr>
              <w:t>Review entries to determine the cause of the connection error.</w:t>
            </w:r>
            <w:r w:rsidR="009651B0" w:rsidRPr="00F47262">
              <w:rPr>
                <w:sz w:val="20"/>
              </w:rPr>
              <w:t xml:space="preserve"> </w:t>
            </w:r>
          </w:p>
          <w:p w14:paraId="0794D9BE" w14:textId="77777777" w:rsidR="00002656" w:rsidRPr="00F47262" w:rsidRDefault="00002656" w:rsidP="006D5A65">
            <w:pPr>
              <w:pStyle w:val="Heading1"/>
            </w:pPr>
            <w:r w:rsidRPr="00F47262">
              <w:t>If the cause can be identified, then skip directly to resolution.</w:t>
            </w:r>
          </w:p>
          <w:p w14:paraId="74720FBC" w14:textId="77777777" w:rsidR="00002656" w:rsidRPr="00F47262" w:rsidRDefault="00002656" w:rsidP="006D5A65">
            <w:pPr>
              <w:pStyle w:val="Heading1"/>
            </w:pPr>
            <w:r w:rsidRPr="00F47262">
              <w:t xml:space="preserve">If the cause cannot be identified, then proceed to next </w:t>
            </w:r>
            <w:r w:rsidR="00084C36" w:rsidRPr="00F47262">
              <w:t>resolution</w:t>
            </w:r>
            <w:r w:rsidRPr="00F47262">
              <w:t>.</w:t>
            </w:r>
          </w:p>
        </w:tc>
        <w:tc>
          <w:tcPr>
            <w:tcW w:w="4134" w:type="dxa"/>
          </w:tcPr>
          <w:p w14:paraId="56D28499" w14:textId="77777777" w:rsidR="00002656" w:rsidRPr="00F47262" w:rsidRDefault="00002656" w:rsidP="00291898">
            <w:pPr>
              <w:spacing w:before="60" w:after="60"/>
              <w:rPr>
                <w:noProof/>
                <w:sz w:val="20"/>
              </w:rPr>
            </w:pPr>
          </w:p>
        </w:tc>
      </w:tr>
      <w:tr w:rsidR="00A10A0C" w:rsidRPr="00A10A0C" w14:paraId="6B61E04E" w14:textId="77777777" w:rsidTr="00F47262">
        <w:trPr>
          <w:cantSplit/>
        </w:trPr>
        <w:tc>
          <w:tcPr>
            <w:tcW w:w="9473" w:type="dxa"/>
            <w:gridSpan w:val="3"/>
            <w:shd w:val="clear" w:color="auto" w:fill="C6D9F1" w:themeFill="text2" w:themeFillTint="33"/>
          </w:tcPr>
          <w:p w14:paraId="5CB6C9A0" w14:textId="77777777" w:rsidR="00002656" w:rsidRPr="00F47262" w:rsidRDefault="00002656" w:rsidP="00291898">
            <w:pPr>
              <w:spacing w:before="60" w:after="60"/>
              <w:rPr>
                <w:b/>
                <w:i/>
                <w:color w:val="000000" w:themeColor="text1"/>
                <w:sz w:val="20"/>
              </w:rPr>
            </w:pPr>
            <w:r w:rsidRPr="00F47262">
              <w:rPr>
                <w:b/>
                <w:i/>
                <w:color w:val="000000" w:themeColor="text1"/>
                <w:sz w:val="20"/>
              </w:rPr>
              <w:t>Verify/Configure User is a Member of MDS Users Group</w:t>
            </w:r>
          </w:p>
        </w:tc>
      </w:tr>
      <w:tr w:rsidR="00002656" w:rsidRPr="000665B0" w14:paraId="084ED282" w14:textId="77777777" w:rsidTr="00F47262">
        <w:trPr>
          <w:cantSplit/>
        </w:trPr>
        <w:tc>
          <w:tcPr>
            <w:tcW w:w="743" w:type="dxa"/>
          </w:tcPr>
          <w:p w14:paraId="24E700BB" w14:textId="77777777" w:rsidR="00002656" w:rsidRPr="000665B0" w:rsidRDefault="00002656" w:rsidP="006D5A65">
            <w:pPr>
              <w:pStyle w:val="Heading1"/>
            </w:pPr>
          </w:p>
        </w:tc>
        <w:tc>
          <w:tcPr>
            <w:tcW w:w="4596" w:type="dxa"/>
          </w:tcPr>
          <w:p w14:paraId="4D13CB18" w14:textId="77777777" w:rsidR="00002656" w:rsidRPr="00F47262" w:rsidRDefault="00002656" w:rsidP="00291898">
            <w:pPr>
              <w:spacing w:before="60" w:after="60"/>
              <w:rPr>
                <w:sz w:val="20"/>
              </w:rPr>
            </w:pPr>
            <w:r w:rsidRPr="00F47262">
              <w:rPr>
                <w:sz w:val="20"/>
              </w:rPr>
              <w:t>FRU/C2/CSG: Login to the MDS Workstation as an Administrator.</w:t>
            </w:r>
          </w:p>
          <w:p w14:paraId="0B63244D" w14:textId="77777777" w:rsidR="00002656" w:rsidRPr="00F47262" w:rsidRDefault="00002656" w:rsidP="00291898">
            <w:pPr>
              <w:spacing w:before="60" w:after="60"/>
              <w:rPr>
                <w:sz w:val="20"/>
              </w:rPr>
            </w:pPr>
            <w:r w:rsidRPr="00F47262">
              <w:rPr>
                <w:sz w:val="20"/>
              </w:rPr>
              <w:t>TSMPC/CMSA: Login to the Domain Controller.</w:t>
            </w:r>
          </w:p>
        </w:tc>
        <w:tc>
          <w:tcPr>
            <w:tcW w:w="4134" w:type="dxa"/>
          </w:tcPr>
          <w:p w14:paraId="75744382" w14:textId="77777777" w:rsidR="00002656" w:rsidRPr="00F47262" w:rsidRDefault="00002656" w:rsidP="00291898">
            <w:pPr>
              <w:spacing w:before="60" w:after="60"/>
              <w:rPr>
                <w:noProof/>
                <w:sz w:val="20"/>
              </w:rPr>
            </w:pPr>
            <w:r w:rsidRPr="00F47262">
              <w:rPr>
                <w:sz w:val="20"/>
              </w:rPr>
              <w:t>On a FRU/CSG, the local user must be a member of the MDS Users group. On a TSMPC/CMSA, the domain user must be a member of the domain/MDS Users group.</w:t>
            </w:r>
          </w:p>
        </w:tc>
      </w:tr>
      <w:tr w:rsidR="00002656" w:rsidRPr="000665B0" w14:paraId="7AB933DE" w14:textId="77777777" w:rsidTr="00F47262">
        <w:trPr>
          <w:cantSplit/>
        </w:trPr>
        <w:tc>
          <w:tcPr>
            <w:tcW w:w="743" w:type="dxa"/>
          </w:tcPr>
          <w:p w14:paraId="52EE7781" w14:textId="77777777" w:rsidR="00002656" w:rsidRPr="000665B0" w:rsidRDefault="00002656" w:rsidP="006D5A65">
            <w:pPr>
              <w:pStyle w:val="Heading1"/>
            </w:pPr>
          </w:p>
        </w:tc>
        <w:tc>
          <w:tcPr>
            <w:tcW w:w="4596" w:type="dxa"/>
          </w:tcPr>
          <w:p w14:paraId="216B6522" w14:textId="77777777" w:rsidR="00002656" w:rsidRPr="00F47262" w:rsidRDefault="00735C8B" w:rsidP="00735C8B">
            <w:pPr>
              <w:spacing w:before="60" w:after="60"/>
              <w:rPr>
                <w:sz w:val="20"/>
              </w:rPr>
            </w:pPr>
            <w:r w:rsidRPr="00F47262">
              <w:rPr>
                <w:sz w:val="20"/>
              </w:rPr>
              <w:t xml:space="preserve">Right-click the </w:t>
            </w:r>
            <w:r w:rsidRPr="00F47262">
              <w:rPr>
                <w:noProof/>
                <w:sz w:val="20"/>
              </w:rPr>
              <w:drawing>
                <wp:inline distT="0" distB="0" distL="0" distR="0" wp14:anchorId="61656E4D" wp14:editId="0B457730">
                  <wp:extent cx="182880" cy="178068"/>
                  <wp:effectExtent l="0" t="0" r="762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Computer Management</w:t>
            </w:r>
            <w:r w:rsidRPr="00F47262">
              <w:rPr>
                <w:sz w:val="20"/>
              </w:rPr>
              <w:t xml:space="preserve"> from the pop-up menu.</w:t>
            </w:r>
          </w:p>
        </w:tc>
        <w:tc>
          <w:tcPr>
            <w:tcW w:w="4134" w:type="dxa"/>
          </w:tcPr>
          <w:p w14:paraId="301397F4" w14:textId="77777777" w:rsidR="00002656" w:rsidRPr="00F47262" w:rsidRDefault="00002656" w:rsidP="00291898">
            <w:pPr>
              <w:spacing w:before="60" w:after="60"/>
              <w:rPr>
                <w:noProof/>
                <w:sz w:val="20"/>
              </w:rPr>
            </w:pPr>
          </w:p>
        </w:tc>
      </w:tr>
      <w:tr w:rsidR="00002656" w:rsidRPr="000665B0" w14:paraId="2A4E0B63" w14:textId="77777777" w:rsidTr="00F47262">
        <w:trPr>
          <w:cantSplit/>
        </w:trPr>
        <w:tc>
          <w:tcPr>
            <w:tcW w:w="743" w:type="dxa"/>
          </w:tcPr>
          <w:p w14:paraId="2E07CFC0" w14:textId="77777777" w:rsidR="00002656" w:rsidRPr="000665B0" w:rsidRDefault="00002656" w:rsidP="006D5A65">
            <w:pPr>
              <w:pStyle w:val="Heading1"/>
            </w:pPr>
          </w:p>
        </w:tc>
        <w:tc>
          <w:tcPr>
            <w:tcW w:w="4596" w:type="dxa"/>
          </w:tcPr>
          <w:p w14:paraId="7CB9B537" w14:textId="77777777" w:rsidR="00002656" w:rsidRPr="00F47262" w:rsidRDefault="00002656" w:rsidP="00291898">
            <w:pPr>
              <w:spacing w:before="60" w:after="60"/>
              <w:rPr>
                <w:sz w:val="20"/>
              </w:rPr>
            </w:pPr>
            <w:r w:rsidRPr="00F47262">
              <w:rPr>
                <w:sz w:val="20"/>
              </w:rPr>
              <w:t>Display the MDS Users Group.</w:t>
            </w:r>
          </w:p>
          <w:p w14:paraId="7B69EF38" w14:textId="77777777" w:rsidR="00002656" w:rsidRPr="00F47262" w:rsidRDefault="00002656" w:rsidP="00291898">
            <w:pPr>
              <w:spacing w:before="60" w:after="60"/>
              <w:rPr>
                <w:sz w:val="20"/>
              </w:rPr>
            </w:pPr>
          </w:p>
        </w:tc>
        <w:tc>
          <w:tcPr>
            <w:tcW w:w="4134" w:type="dxa"/>
          </w:tcPr>
          <w:p w14:paraId="2A0B3B72" w14:textId="1E4E92D6" w:rsidR="00002656" w:rsidRPr="00F47262" w:rsidRDefault="00002656" w:rsidP="00291898">
            <w:pPr>
              <w:spacing w:before="60" w:after="60"/>
              <w:rPr>
                <w:b/>
                <w:sz w:val="20"/>
              </w:rPr>
            </w:pPr>
            <w:r w:rsidRPr="00F47262">
              <w:rPr>
                <w:sz w:val="20"/>
              </w:rPr>
              <w:t xml:space="preserve">FRU/C2/CSG: Expand </w:t>
            </w:r>
            <w:r w:rsidRPr="00F47262">
              <w:rPr>
                <w:b/>
                <w:sz w:val="20"/>
              </w:rPr>
              <w:t>System Tools</w:t>
            </w:r>
            <w:r w:rsidRPr="00F47262">
              <w:rPr>
                <w:sz w:val="20"/>
              </w:rPr>
              <w:t xml:space="preserve"> </w:t>
            </w:r>
            <w:r w:rsidRPr="00F47262">
              <w:rPr>
                <w:b/>
                <w:sz w:val="20"/>
              </w:rPr>
              <w:sym w:font="Wingdings" w:char="F0E0"/>
            </w:r>
            <w:r w:rsidRPr="00F47262">
              <w:rPr>
                <w:sz w:val="20"/>
              </w:rPr>
              <w:t xml:space="preserve"> </w:t>
            </w:r>
            <w:r w:rsidRPr="00F47262">
              <w:rPr>
                <w:b/>
                <w:sz w:val="20"/>
              </w:rPr>
              <w:t>Local Users and Groups</w:t>
            </w:r>
            <w:r w:rsidR="00F17C13" w:rsidRPr="00F47262">
              <w:rPr>
                <w:sz w:val="20"/>
              </w:rPr>
              <w:t>.</w:t>
            </w:r>
            <w:r w:rsidR="006E635F" w:rsidRPr="00F47262">
              <w:rPr>
                <w:sz w:val="20"/>
              </w:rPr>
              <w:t xml:space="preserve"> Select the </w:t>
            </w:r>
            <w:r w:rsidR="006E635F" w:rsidRPr="00F47262">
              <w:rPr>
                <w:b/>
                <w:sz w:val="20"/>
              </w:rPr>
              <w:t>Groups</w:t>
            </w:r>
            <w:r w:rsidR="006E635F" w:rsidRPr="00F47262">
              <w:rPr>
                <w:sz w:val="20"/>
              </w:rPr>
              <w:t xml:space="preserve"> folder.</w:t>
            </w:r>
            <w:r w:rsidRPr="00F47262">
              <w:rPr>
                <w:sz w:val="20"/>
              </w:rPr>
              <w:t xml:space="preserve"> </w:t>
            </w:r>
            <w:r w:rsidR="00D71804" w:rsidRPr="00F47262">
              <w:rPr>
                <w:sz w:val="20"/>
              </w:rPr>
              <w:t>Right-click</w:t>
            </w:r>
            <w:r w:rsidR="00C5494D" w:rsidRPr="00F47262">
              <w:rPr>
                <w:sz w:val="20"/>
              </w:rPr>
              <w:t xml:space="preserve"> on</w:t>
            </w:r>
            <w:r w:rsidRPr="00F47262">
              <w:rPr>
                <w:sz w:val="20"/>
              </w:rPr>
              <w:t xml:space="preserve"> </w:t>
            </w:r>
            <w:r w:rsidRPr="00F47262">
              <w:rPr>
                <w:b/>
                <w:sz w:val="20"/>
              </w:rPr>
              <w:t>MDS Users</w:t>
            </w:r>
            <w:r w:rsidR="00053950" w:rsidRPr="00F47262">
              <w:rPr>
                <w:sz w:val="20"/>
              </w:rPr>
              <w:t xml:space="preserve"> </w:t>
            </w:r>
            <w:r w:rsidR="00C5494D" w:rsidRPr="00F47262">
              <w:rPr>
                <w:sz w:val="20"/>
              </w:rPr>
              <w:t>and select</w:t>
            </w:r>
            <w:r w:rsidRPr="00F47262">
              <w:rPr>
                <w:sz w:val="20"/>
              </w:rPr>
              <w:t xml:space="preserve"> </w:t>
            </w:r>
            <w:r w:rsidRPr="00F47262">
              <w:rPr>
                <w:b/>
                <w:sz w:val="20"/>
              </w:rPr>
              <w:t>Properties</w:t>
            </w:r>
            <w:r w:rsidRPr="00F47262">
              <w:rPr>
                <w:sz w:val="20"/>
              </w:rPr>
              <w:t>.</w:t>
            </w:r>
          </w:p>
          <w:p w14:paraId="0BF440E2" w14:textId="5F552EF7" w:rsidR="00002656" w:rsidRPr="00F47262" w:rsidRDefault="007A690B" w:rsidP="00291898">
            <w:pPr>
              <w:spacing w:before="60" w:after="60"/>
              <w:rPr>
                <w:sz w:val="20"/>
              </w:rPr>
            </w:pPr>
            <w:r w:rsidRPr="00F47262">
              <w:rPr>
                <w:sz w:val="20"/>
              </w:rPr>
              <w:object w:dxaOrig="8040" w:dyaOrig="4590" w14:anchorId="02FA1F8B">
                <v:shape id="_x0000_i1031" type="#_x0000_t75" style="width:204pt;height:120pt" o:ole=""/>
                <o:OLEObject Type="Embed" ProgID="PBrush" ShapeID="_x0000_i1031" DrawAspect="Content" ObjectID="_1846146714" r:id="rId45"/>
              </w:object>
            </w:r>
          </w:p>
          <w:p w14:paraId="3469E7FB" w14:textId="5F081B5D" w:rsidR="00002656" w:rsidRPr="00F47262" w:rsidRDefault="00002656" w:rsidP="00291898">
            <w:pPr>
              <w:spacing w:before="60" w:after="60"/>
              <w:rPr>
                <w:sz w:val="20"/>
              </w:rPr>
            </w:pPr>
            <w:r w:rsidRPr="00F47262">
              <w:rPr>
                <w:sz w:val="20"/>
              </w:rPr>
              <w:t xml:space="preserve">TSMPC/CMSA: </w:t>
            </w:r>
            <w:r w:rsidR="006E635F" w:rsidRPr="00F47262">
              <w:rPr>
                <w:sz w:val="20"/>
              </w:rPr>
              <w:t xml:space="preserve">Right-click the </w:t>
            </w:r>
            <w:r w:rsidR="006E635F" w:rsidRPr="00F47262">
              <w:rPr>
                <w:noProof/>
                <w:sz w:val="20"/>
              </w:rPr>
              <w:drawing>
                <wp:inline distT="0" distB="0" distL="0" distR="0" wp14:anchorId="5098C653" wp14:editId="0FFD4C27">
                  <wp:extent cx="182880" cy="178068"/>
                  <wp:effectExtent l="0" t="0" r="7620"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006E635F" w:rsidRPr="00F47262">
              <w:rPr>
                <w:sz w:val="20"/>
              </w:rPr>
              <w:t xml:space="preserve"> icon and select </w:t>
            </w:r>
            <w:r w:rsidR="006E635F" w:rsidRPr="00F47262">
              <w:rPr>
                <w:b/>
                <w:sz w:val="20"/>
              </w:rPr>
              <w:t>Search</w:t>
            </w:r>
            <w:r w:rsidR="006E635F" w:rsidRPr="00F47262">
              <w:rPr>
                <w:sz w:val="20"/>
              </w:rPr>
              <w:t xml:space="preserve"> from the pop-up menu. Type </w:t>
            </w:r>
            <w:r w:rsidR="006E635F" w:rsidRPr="00F47262">
              <w:rPr>
                <w:b/>
                <w:sz w:val="20"/>
              </w:rPr>
              <w:t>Users and Computers</w:t>
            </w:r>
            <w:r w:rsidR="006E635F" w:rsidRPr="00F47262">
              <w:rPr>
                <w:sz w:val="20"/>
              </w:rPr>
              <w:t xml:space="preserve"> in the </w:t>
            </w:r>
            <w:r w:rsidR="006E635F" w:rsidRPr="00F47262">
              <w:rPr>
                <w:b/>
                <w:sz w:val="20"/>
              </w:rPr>
              <w:t>Search</w:t>
            </w:r>
            <w:r w:rsidR="006E635F" w:rsidRPr="00F47262">
              <w:rPr>
                <w:sz w:val="20"/>
              </w:rPr>
              <w:t xml:space="preserve"> field, and then select </w:t>
            </w:r>
            <w:r w:rsidR="006E635F" w:rsidRPr="00F47262">
              <w:rPr>
                <w:b/>
                <w:sz w:val="20"/>
              </w:rPr>
              <w:t>Active Directory Users and Computers</w:t>
            </w:r>
            <w:r w:rsidR="006E635F" w:rsidRPr="00F47262">
              <w:rPr>
                <w:sz w:val="20"/>
              </w:rPr>
              <w:t xml:space="preserve"> in the results list. Select the </w:t>
            </w:r>
            <w:r w:rsidR="006E635F" w:rsidRPr="00F47262">
              <w:rPr>
                <w:b/>
                <w:sz w:val="20"/>
              </w:rPr>
              <w:t>Users</w:t>
            </w:r>
            <w:r w:rsidR="006E635F" w:rsidRPr="00F47262">
              <w:rPr>
                <w:sz w:val="20"/>
              </w:rPr>
              <w:t xml:space="preserve"> folder. </w:t>
            </w:r>
            <w:r w:rsidR="00D71804" w:rsidRPr="00F47262">
              <w:rPr>
                <w:sz w:val="20"/>
              </w:rPr>
              <w:t>Right-click</w:t>
            </w:r>
            <w:r w:rsidR="00053950" w:rsidRPr="00F47262">
              <w:rPr>
                <w:sz w:val="20"/>
              </w:rPr>
              <w:t xml:space="preserve"> on</w:t>
            </w:r>
            <w:r w:rsidRPr="00F47262">
              <w:rPr>
                <w:sz w:val="20"/>
              </w:rPr>
              <w:t xml:space="preserve"> </w:t>
            </w:r>
            <w:r w:rsidRPr="00F47262">
              <w:rPr>
                <w:b/>
                <w:sz w:val="20"/>
              </w:rPr>
              <w:t>MDS Users</w:t>
            </w:r>
            <w:r w:rsidR="00053950" w:rsidRPr="00F47262">
              <w:rPr>
                <w:sz w:val="20"/>
              </w:rPr>
              <w:t xml:space="preserve"> and select </w:t>
            </w:r>
            <w:r w:rsidRPr="00F47262">
              <w:rPr>
                <w:b/>
                <w:sz w:val="20"/>
              </w:rPr>
              <w:t>Properties.</w:t>
            </w:r>
          </w:p>
          <w:p w14:paraId="5DF565C4" w14:textId="0DDF6928" w:rsidR="00002656" w:rsidRPr="00F47262" w:rsidRDefault="007A690B" w:rsidP="00291898">
            <w:pPr>
              <w:spacing w:before="60" w:after="60"/>
              <w:rPr>
                <w:noProof/>
                <w:sz w:val="20"/>
              </w:rPr>
            </w:pPr>
            <w:r w:rsidRPr="00F47262">
              <w:rPr>
                <w:sz w:val="20"/>
              </w:rPr>
              <w:object w:dxaOrig="7770" w:dyaOrig="5250" w14:anchorId="035F312A">
                <v:shape id="_x0000_i1032" type="#_x0000_t75" style="width:206.5pt;height:139pt" o:ole=""/>
                <o:OLEObject Type="Embed" ProgID="PBrush" ShapeID="_x0000_i1032" DrawAspect="Content" ObjectID="_1846146715" r:id="rId46"/>
              </w:object>
            </w:r>
          </w:p>
        </w:tc>
      </w:tr>
      <w:tr w:rsidR="00002656" w:rsidRPr="000665B0" w14:paraId="54786763" w14:textId="77777777" w:rsidTr="00F47262">
        <w:trPr>
          <w:cantSplit/>
        </w:trPr>
        <w:tc>
          <w:tcPr>
            <w:tcW w:w="743" w:type="dxa"/>
          </w:tcPr>
          <w:p w14:paraId="0F17A01F" w14:textId="77777777" w:rsidR="00002656" w:rsidRPr="000665B0" w:rsidRDefault="00002656" w:rsidP="006D5A65">
            <w:pPr>
              <w:pStyle w:val="Heading1"/>
            </w:pPr>
          </w:p>
        </w:tc>
        <w:tc>
          <w:tcPr>
            <w:tcW w:w="4596" w:type="dxa"/>
          </w:tcPr>
          <w:p w14:paraId="18667FDC" w14:textId="45B9CFE7" w:rsidR="00002656" w:rsidRPr="00F47262" w:rsidRDefault="00002656" w:rsidP="00291898">
            <w:pPr>
              <w:spacing w:before="60" w:after="60"/>
              <w:rPr>
                <w:sz w:val="20"/>
              </w:rPr>
            </w:pPr>
            <w:r w:rsidRPr="00F47262">
              <w:rPr>
                <w:sz w:val="20"/>
              </w:rPr>
              <w:t>Verify that the user is a member of the MDS Users group.</w:t>
            </w:r>
            <w:r w:rsidR="009651B0" w:rsidRPr="00F47262">
              <w:rPr>
                <w:sz w:val="20"/>
              </w:rPr>
              <w:t xml:space="preserve"> </w:t>
            </w:r>
          </w:p>
          <w:p w14:paraId="2F43D00C" w14:textId="77777777" w:rsidR="00002656" w:rsidRPr="00F47262" w:rsidRDefault="00002656" w:rsidP="00291898">
            <w:pPr>
              <w:spacing w:before="60" w:after="60"/>
              <w:rPr>
                <w:sz w:val="20"/>
              </w:rPr>
            </w:pPr>
            <w:r w:rsidRPr="00F47262">
              <w:rPr>
                <w:sz w:val="20"/>
              </w:rPr>
              <w:t>If the user is already a member, skip to the next resolution.</w:t>
            </w:r>
          </w:p>
          <w:p w14:paraId="57912DE1" w14:textId="0469A7C4" w:rsidR="00002656" w:rsidRPr="00F47262" w:rsidRDefault="00002656" w:rsidP="00291898">
            <w:pPr>
              <w:spacing w:before="60" w:after="60"/>
              <w:rPr>
                <w:sz w:val="20"/>
              </w:rPr>
            </w:pPr>
            <w:r w:rsidRPr="00F47262">
              <w:rPr>
                <w:sz w:val="20"/>
              </w:rPr>
              <w:t xml:space="preserve">If the user is not a member, then add the user to the group by selecting the </w:t>
            </w:r>
            <w:r w:rsidRPr="00F47262">
              <w:rPr>
                <w:b/>
                <w:sz w:val="20"/>
              </w:rPr>
              <w:t>Add</w:t>
            </w:r>
            <w:r w:rsidRPr="00F47262">
              <w:rPr>
                <w:sz w:val="20"/>
              </w:rPr>
              <w:t xml:space="preserve"> button.</w:t>
            </w:r>
            <w:r w:rsidR="009651B0" w:rsidRPr="00F47262">
              <w:rPr>
                <w:sz w:val="20"/>
              </w:rPr>
              <w:t xml:space="preserve"> </w:t>
            </w:r>
          </w:p>
          <w:p w14:paraId="779A028D" w14:textId="6455AB52" w:rsidR="00002656" w:rsidRPr="00F47262" w:rsidRDefault="00002656" w:rsidP="00291898">
            <w:pPr>
              <w:spacing w:before="60" w:after="60"/>
              <w:rPr>
                <w:sz w:val="20"/>
              </w:rPr>
            </w:pPr>
            <w:r w:rsidRPr="00F47262">
              <w:rPr>
                <w:sz w:val="20"/>
              </w:rPr>
              <w:t>After adding member, reboot the MDS workstation.</w:t>
            </w:r>
            <w:r w:rsidR="009651B0" w:rsidRPr="00F47262">
              <w:rPr>
                <w:sz w:val="20"/>
              </w:rPr>
              <w:t xml:space="preserve"> </w:t>
            </w:r>
          </w:p>
          <w:p w14:paraId="6A60D80D" w14:textId="459A4D91" w:rsidR="00002656" w:rsidRPr="00F47262" w:rsidRDefault="00002656" w:rsidP="00291898">
            <w:pPr>
              <w:spacing w:before="60" w:after="60"/>
              <w:rPr>
                <w:sz w:val="20"/>
              </w:rPr>
            </w:pPr>
            <w:r w:rsidRPr="00F47262">
              <w:rPr>
                <w:sz w:val="20"/>
              </w:rPr>
              <w:t>Login as the user that was newly added as a member. Bring up MDS and verify TED connections.</w:t>
            </w:r>
            <w:r w:rsidR="009651B0" w:rsidRPr="00F47262">
              <w:rPr>
                <w:sz w:val="20"/>
              </w:rPr>
              <w:t xml:space="preserve"> </w:t>
            </w:r>
          </w:p>
          <w:p w14:paraId="204D5C3E" w14:textId="77777777" w:rsidR="00002656" w:rsidRPr="00F47262" w:rsidRDefault="00002656" w:rsidP="00291898">
            <w:pPr>
              <w:spacing w:before="60" w:after="60"/>
              <w:rPr>
                <w:sz w:val="20"/>
              </w:rPr>
            </w:pPr>
            <w:r w:rsidRPr="00F47262">
              <w:rPr>
                <w:sz w:val="20"/>
              </w:rPr>
              <w:t xml:space="preserve">If TED connections show </w:t>
            </w:r>
            <w:r w:rsidRPr="00F47262">
              <w:rPr>
                <w:b/>
                <w:sz w:val="20"/>
              </w:rPr>
              <w:t>Success</w:t>
            </w:r>
            <w:r w:rsidRPr="00F47262">
              <w:rPr>
                <w:sz w:val="20"/>
              </w:rPr>
              <w:t xml:space="preserve"> status, no additional action required. Otherwise continue to next </w:t>
            </w:r>
            <w:r w:rsidR="00084C36" w:rsidRPr="00F47262">
              <w:rPr>
                <w:sz w:val="20"/>
              </w:rPr>
              <w:t>resolution</w:t>
            </w:r>
            <w:r w:rsidRPr="00F47262">
              <w:rPr>
                <w:sz w:val="20"/>
              </w:rPr>
              <w:t>.</w:t>
            </w:r>
          </w:p>
        </w:tc>
        <w:tc>
          <w:tcPr>
            <w:tcW w:w="4134" w:type="dxa"/>
          </w:tcPr>
          <w:p w14:paraId="52D8711E" w14:textId="32806592" w:rsidR="00002656" w:rsidRPr="00F47262" w:rsidRDefault="007A690B" w:rsidP="00291898">
            <w:pPr>
              <w:spacing w:before="60" w:after="60"/>
              <w:rPr>
                <w:noProof/>
                <w:sz w:val="20"/>
              </w:rPr>
            </w:pPr>
            <w:r w:rsidRPr="00F47262">
              <w:rPr>
                <w:sz w:val="20"/>
              </w:rPr>
              <w:object w:dxaOrig="6150" w:dyaOrig="6915" w14:anchorId="75EDC630">
                <v:shape id="_x0000_i1033" type="#_x0000_t75" style="width:203.5pt;height:235pt" o:ole=""/>
                <o:OLEObject Type="Embed" ProgID="PBrush" ShapeID="_x0000_i1033" DrawAspect="Content" ObjectID="_1846146716" r:id="rId47"/>
              </w:object>
            </w:r>
          </w:p>
        </w:tc>
      </w:tr>
      <w:tr w:rsidR="00A10A0C" w:rsidRPr="00A10A0C" w14:paraId="0B58C4C2" w14:textId="77777777" w:rsidTr="00F47262">
        <w:trPr>
          <w:cantSplit/>
        </w:trPr>
        <w:tc>
          <w:tcPr>
            <w:tcW w:w="9473" w:type="dxa"/>
            <w:gridSpan w:val="3"/>
            <w:shd w:val="clear" w:color="auto" w:fill="C6D9F1" w:themeFill="text2" w:themeFillTint="33"/>
          </w:tcPr>
          <w:p w14:paraId="2A23127D" w14:textId="77777777" w:rsidR="00002656" w:rsidRPr="00F47262" w:rsidRDefault="00002656" w:rsidP="00291898">
            <w:pPr>
              <w:spacing w:before="60" w:after="60"/>
              <w:rPr>
                <w:b/>
                <w:i/>
                <w:color w:val="000000" w:themeColor="text1"/>
                <w:sz w:val="20"/>
              </w:rPr>
            </w:pPr>
            <w:r w:rsidRPr="00F47262">
              <w:rPr>
                <w:b/>
                <w:i/>
                <w:color w:val="000000" w:themeColor="text1"/>
                <w:sz w:val="20"/>
              </w:rPr>
              <w:t xml:space="preserve">Verify/Set User Password </w:t>
            </w:r>
          </w:p>
          <w:p w14:paraId="1E8910DE" w14:textId="77777777" w:rsidR="00002656" w:rsidRPr="00F47262" w:rsidRDefault="00002656" w:rsidP="008D07DB">
            <w:pPr>
              <w:spacing w:before="60" w:after="60"/>
              <w:rPr>
                <w:b/>
                <w:i/>
                <w:color w:val="000000" w:themeColor="text1"/>
                <w:sz w:val="20"/>
              </w:rPr>
            </w:pPr>
            <w:r w:rsidRPr="00F47262">
              <w:rPr>
                <w:b/>
                <w:i/>
                <w:color w:val="000000" w:themeColor="text1"/>
                <w:sz w:val="20"/>
              </w:rPr>
              <w:t>(FRU/</w:t>
            </w:r>
            <w:r w:rsidR="008D07DB" w:rsidRPr="00F47262">
              <w:rPr>
                <w:b/>
                <w:i/>
                <w:color w:val="000000" w:themeColor="text1"/>
                <w:sz w:val="20"/>
              </w:rPr>
              <w:t>Standalone MDS</w:t>
            </w:r>
            <w:r w:rsidRPr="00F47262">
              <w:rPr>
                <w:b/>
                <w:i/>
                <w:color w:val="000000" w:themeColor="text1"/>
                <w:sz w:val="20"/>
              </w:rPr>
              <w:t>, TSMPC/CMSA: Skip These Steps)</w:t>
            </w:r>
          </w:p>
        </w:tc>
      </w:tr>
      <w:tr w:rsidR="00002656" w:rsidRPr="000665B0" w14:paraId="060EB539" w14:textId="77777777" w:rsidTr="00F47262">
        <w:trPr>
          <w:cantSplit/>
        </w:trPr>
        <w:tc>
          <w:tcPr>
            <w:tcW w:w="743" w:type="dxa"/>
          </w:tcPr>
          <w:p w14:paraId="6780EB1D" w14:textId="77777777" w:rsidR="00002656" w:rsidRPr="000665B0" w:rsidRDefault="00002656" w:rsidP="006D5A65">
            <w:pPr>
              <w:pStyle w:val="Heading1"/>
            </w:pPr>
          </w:p>
        </w:tc>
        <w:tc>
          <w:tcPr>
            <w:tcW w:w="4596" w:type="dxa"/>
          </w:tcPr>
          <w:p w14:paraId="57C8B0EB" w14:textId="77777777" w:rsidR="00002656" w:rsidRPr="00F47262" w:rsidRDefault="00002656" w:rsidP="00291898">
            <w:pPr>
              <w:spacing w:before="60" w:after="60"/>
              <w:rPr>
                <w:sz w:val="20"/>
              </w:rPr>
            </w:pPr>
            <w:r w:rsidRPr="00F47262">
              <w:rPr>
                <w:sz w:val="20"/>
              </w:rPr>
              <w:t>On a CSG, the username and password on the MDS workstation must be identical to the username and password on the TED Server. Verify the user can login to the MDS workstation and the TED Server using the same information. If not, update the user account information on both systems to match.</w:t>
            </w:r>
          </w:p>
        </w:tc>
        <w:tc>
          <w:tcPr>
            <w:tcW w:w="4134" w:type="dxa"/>
          </w:tcPr>
          <w:p w14:paraId="49380B1A" w14:textId="77777777" w:rsidR="00002656" w:rsidRPr="00F47262" w:rsidRDefault="00002656" w:rsidP="00291898">
            <w:pPr>
              <w:spacing w:before="60" w:after="60"/>
              <w:rPr>
                <w:noProof/>
                <w:sz w:val="20"/>
              </w:rPr>
            </w:pPr>
          </w:p>
        </w:tc>
      </w:tr>
      <w:tr w:rsidR="00A10A0C" w:rsidRPr="00A10A0C" w14:paraId="2C39127E" w14:textId="77777777" w:rsidTr="00F47262">
        <w:trPr>
          <w:cantSplit/>
        </w:trPr>
        <w:tc>
          <w:tcPr>
            <w:tcW w:w="9473" w:type="dxa"/>
            <w:gridSpan w:val="3"/>
            <w:shd w:val="clear" w:color="auto" w:fill="C6D9F1" w:themeFill="text2" w:themeFillTint="33"/>
          </w:tcPr>
          <w:p w14:paraId="7D4AF7D6" w14:textId="77777777" w:rsidR="00002656" w:rsidRPr="00F47262" w:rsidRDefault="00002656" w:rsidP="00E7111D">
            <w:pPr>
              <w:keepNext/>
              <w:spacing w:before="60" w:after="60"/>
              <w:rPr>
                <w:b/>
                <w:i/>
                <w:color w:val="000000" w:themeColor="text1"/>
                <w:sz w:val="20"/>
              </w:rPr>
            </w:pPr>
            <w:r w:rsidRPr="00F47262">
              <w:rPr>
                <w:b/>
                <w:i/>
                <w:color w:val="000000" w:themeColor="text1"/>
                <w:sz w:val="20"/>
              </w:rPr>
              <w:t xml:space="preserve">Verify Network Connection </w:t>
            </w:r>
          </w:p>
          <w:p w14:paraId="4012CC6C" w14:textId="77777777" w:rsidR="00002656" w:rsidRPr="00F47262" w:rsidRDefault="00002656" w:rsidP="008D07DB">
            <w:pPr>
              <w:keepNext/>
              <w:spacing w:before="60" w:after="60"/>
              <w:rPr>
                <w:b/>
                <w:i/>
                <w:color w:val="000000" w:themeColor="text1"/>
                <w:sz w:val="20"/>
              </w:rPr>
            </w:pPr>
            <w:r w:rsidRPr="00F47262">
              <w:rPr>
                <w:b/>
                <w:i/>
                <w:color w:val="000000" w:themeColor="text1"/>
                <w:sz w:val="20"/>
              </w:rPr>
              <w:t xml:space="preserve">(FRU/Standalone </w:t>
            </w:r>
            <w:r w:rsidR="008D07DB" w:rsidRPr="00F47262">
              <w:rPr>
                <w:b/>
                <w:i/>
                <w:color w:val="000000" w:themeColor="text1"/>
                <w:sz w:val="20"/>
              </w:rPr>
              <w:t xml:space="preserve">MDS </w:t>
            </w:r>
            <w:r w:rsidRPr="00F47262">
              <w:rPr>
                <w:b/>
                <w:i/>
                <w:color w:val="000000" w:themeColor="text1"/>
                <w:sz w:val="20"/>
              </w:rPr>
              <w:t>Configurations: Skip These Steps)</w:t>
            </w:r>
          </w:p>
        </w:tc>
      </w:tr>
      <w:tr w:rsidR="00002656" w:rsidRPr="000665B0" w14:paraId="40F594B3" w14:textId="77777777" w:rsidTr="00F47262">
        <w:trPr>
          <w:cantSplit/>
        </w:trPr>
        <w:tc>
          <w:tcPr>
            <w:tcW w:w="743" w:type="dxa"/>
          </w:tcPr>
          <w:p w14:paraId="24873BA6" w14:textId="77777777" w:rsidR="00002656" w:rsidRPr="000665B0" w:rsidRDefault="00002656" w:rsidP="006D5A65">
            <w:pPr>
              <w:pStyle w:val="Heading1"/>
            </w:pPr>
          </w:p>
        </w:tc>
        <w:tc>
          <w:tcPr>
            <w:tcW w:w="4596" w:type="dxa"/>
          </w:tcPr>
          <w:p w14:paraId="73081AE8" w14:textId="77777777" w:rsidR="00002656" w:rsidRPr="00F47262" w:rsidRDefault="008505A4" w:rsidP="008505A4">
            <w:pPr>
              <w:spacing w:before="60" w:after="60"/>
              <w:rPr>
                <w:sz w:val="20"/>
              </w:rPr>
            </w:pPr>
            <w:r w:rsidRPr="00F47262">
              <w:rPr>
                <w:sz w:val="20"/>
              </w:rPr>
              <w:t xml:space="preserve">Right-click the </w:t>
            </w:r>
            <w:r w:rsidRPr="00F47262">
              <w:rPr>
                <w:noProof/>
                <w:sz w:val="20"/>
              </w:rPr>
              <w:drawing>
                <wp:inline distT="0" distB="0" distL="0" distR="0" wp14:anchorId="3DD9068A" wp14:editId="49DCB393">
                  <wp:extent cx="143124" cy="139358"/>
                  <wp:effectExtent l="0" t="0" r="0" b="0"/>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11-19_002.jpg"/>
                          <pic:cNvPicPr/>
                        </pic:nvPicPr>
                        <pic:blipFill>
                          <a:blip cstate="screen">
                            <a:extLst>
                              <a:ext uri="{28A0092B-C50C-407E-A947-70E740481C1C}">
                                <a14:useLocalDpi xmlns:a14="http://schemas.microsoft.com/office/drawing/2010/main"/>
                              </a:ext>
                            </a:extLst>
                          </a:blip>
                          <a:stretch>
                            <a:fillRect/>
                          </a:stretch>
                        </pic:blipFill>
                        <pic:spPr>
                          <a:xfrm>
                            <a:off x="0" y="0"/>
                            <a:ext cx="141633" cy="137906"/>
                          </a:xfrm>
                          <a:prstGeom prst="rect">
                            <a:avLst/>
                          </a:prstGeom>
                        </pic:spPr>
                      </pic:pic>
                    </a:graphicData>
                  </a:graphic>
                </wp:inline>
              </w:drawing>
            </w:r>
            <w:r w:rsidRPr="00F47262">
              <w:rPr>
                <w:sz w:val="20"/>
              </w:rPr>
              <w:t xml:space="preserve"> icon in the bottom left corner of the screen and select </w:t>
            </w:r>
            <w:r w:rsidRPr="00F47262">
              <w:rPr>
                <w:b/>
                <w:sz w:val="20"/>
              </w:rPr>
              <w:t>Command Prompt (Admin)</w:t>
            </w:r>
            <w:r w:rsidRPr="00F47262">
              <w:rPr>
                <w:sz w:val="20"/>
              </w:rPr>
              <w:t xml:space="preserve"> from the pop-up menu.</w:t>
            </w:r>
          </w:p>
        </w:tc>
        <w:tc>
          <w:tcPr>
            <w:tcW w:w="4134" w:type="dxa"/>
          </w:tcPr>
          <w:p w14:paraId="18FD1AB0" w14:textId="62BEDACF" w:rsidR="00002656" w:rsidRPr="00F47262" w:rsidRDefault="00DA7203" w:rsidP="00291898">
            <w:pPr>
              <w:spacing w:before="60" w:after="60"/>
              <w:rPr>
                <w:noProof/>
                <w:sz w:val="20"/>
              </w:rPr>
            </w:pPr>
            <w:r w:rsidRPr="00F47262">
              <w:rPr>
                <w:noProof/>
                <w:sz w:val="20"/>
              </w:rPr>
              <w:drawing>
                <wp:inline distT="0" distB="0" distL="0" distR="0" wp14:anchorId="3A0EC093" wp14:editId="76C0EFFC">
                  <wp:extent cx="1343025" cy="3007546"/>
                  <wp:effectExtent l="0" t="0" r="0" b="2540"/>
                  <wp:docPr id="1268" name="Pictur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347873" cy="3018403"/>
                          </a:xfrm>
                          <a:prstGeom prst="rect">
                            <a:avLst/>
                          </a:prstGeom>
                        </pic:spPr>
                      </pic:pic>
                    </a:graphicData>
                  </a:graphic>
                </wp:inline>
              </w:drawing>
            </w:r>
          </w:p>
        </w:tc>
      </w:tr>
      <w:tr w:rsidR="00002656" w:rsidRPr="000665B0" w14:paraId="2C0D31CA" w14:textId="77777777" w:rsidTr="00F47262">
        <w:trPr>
          <w:cantSplit/>
        </w:trPr>
        <w:tc>
          <w:tcPr>
            <w:tcW w:w="743" w:type="dxa"/>
          </w:tcPr>
          <w:p w14:paraId="28566ACD" w14:textId="77777777" w:rsidR="00002656" w:rsidRPr="000665B0" w:rsidRDefault="00002656" w:rsidP="006D5A65">
            <w:pPr>
              <w:pStyle w:val="Heading1"/>
            </w:pPr>
          </w:p>
        </w:tc>
        <w:tc>
          <w:tcPr>
            <w:tcW w:w="4596" w:type="dxa"/>
          </w:tcPr>
          <w:p w14:paraId="164BF0CC" w14:textId="77777777" w:rsidR="00002656" w:rsidRPr="00F47262" w:rsidRDefault="006E635F" w:rsidP="00291898">
            <w:pPr>
              <w:spacing w:before="60" w:after="60"/>
              <w:rPr>
                <w:sz w:val="20"/>
              </w:rPr>
            </w:pPr>
            <w:r w:rsidRPr="00F47262">
              <w:rPr>
                <w:sz w:val="20"/>
              </w:rPr>
              <w:t xml:space="preserve">In </w:t>
            </w:r>
            <w:r w:rsidR="00002656" w:rsidRPr="00F47262">
              <w:rPr>
                <w:sz w:val="20"/>
              </w:rPr>
              <w:t xml:space="preserve">the </w:t>
            </w:r>
            <w:r w:rsidRPr="00F47262">
              <w:rPr>
                <w:i/>
                <w:sz w:val="20"/>
              </w:rPr>
              <w:t>Administrator: Command Prompt</w:t>
            </w:r>
            <w:r w:rsidRPr="00F47262">
              <w:rPr>
                <w:sz w:val="20"/>
              </w:rPr>
              <w:t xml:space="preserve"> window</w:t>
            </w:r>
            <w:r w:rsidR="00002656" w:rsidRPr="00F47262">
              <w:rPr>
                <w:sz w:val="20"/>
              </w:rPr>
              <w:t xml:space="preserve">, type the following command and press the </w:t>
            </w:r>
            <w:r w:rsidR="00002656" w:rsidRPr="00F47262">
              <w:rPr>
                <w:b/>
                <w:sz w:val="20"/>
              </w:rPr>
              <w:t>Enter</w:t>
            </w:r>
            <w:r w:rsidR="00002656" w:rsidRPr="00F47262">
              <w:rPr>
                <w:sz w:val="20"/>
              </w:rPr>
              <w:t xml:space="preserve"> key to ping the server:</w:t>
            </w:r>
          </w:p>
          <w:p w14:paraId="7A619008" w14:textId="66C3B822" w:rsidR="00002656" w:rsidRPr="00F47262" w:rsidRDefault="00002656" w:rsidP="00291898">
            <w:pPr>
              <w:spacing w:before="60" w:after="60"/>
              <w:rPr>
                <w:b/>
                <w:sz w:val="20"/>
              </w:rPr>
            </w:pPr>
            <w:r w:rsidRPr="00F47262">
              <w:rPr>
                <w:b/>
                <w:sz w:val="20"/>
              </w:rPr>
              <w:t xml:space="preserve">    ping</w:t>
            </w:r>
            <w:r w:rsidR="005D0383" w:rsidRPr="00F47262">
              <w:rPr>
                <w:b/>
                <w:sz w:val="20"/>
              </w:rPr>
              <w:t xml:space="preserve"> </w:t>
            </w:r>
            <w:r w:rsidRPr="00F47262">
              <w:rPr>
                <w:b/>
                <w:sz w:val="20"/>
              </w:rPr>
              <w:t>&lt;server name&gt;</w:t>
            </w:r>
          </w:p>
          <w:p w14:paraId="0BDF7F84" w14:textId="77777777" w:rsidR="00002656" w:rsidRPr="00F47262" w:rsidRDefault="00002656" w:rsidP="00291898">
            <w:pPr>
              <w:spacing w:before="60" w:after="60"/>
              <w:rPr>
                <w:sz w:val="20"/>
              </w:rPr>
            </w:pPr>
            <w:r w:rsidRPr="00F47262">
              <w:rPr>
                <w:sz w:val="20"/>
              </w:rPr>
              <w:t>See Notes.</w:t>
            </w:r>
          </w:p>
        </w:tc>
        <w:tc>
          <w:tcPr>
            <w:tcW w:w="4134" w:type="dxa"/>
          </w:tcPr>
          <w:p w14:paraId="182BA121" w14:textId="33F2CF34" w:rsidR="00002656" w:rsidRPr="00F47262" w:rsidRDefault="00F90F2D" w:rsidP="00291898">
            <w:pPr>
              <w:spacing w:before="60" w:after="60"/>
              <w:rPr>
                <w:sz w:val="20"/>
              </w:rPr>
            </w:pPr>
            <w:r w:rsidRPr="00F47262">
              <w:rPr>
                <w:noProof/>
                <w:sz w:val="20"/>
              </w:rPr>
              <w:drawing>
                <wp:inline distT="0" distB="0" distL="0" distR="0" wp14:anchorId="7F62E2C1" wp14:editId="577FFC5C">
                  <wp:extent cx="2590800" cy="1355021"/>
                  <wp:effectExtent l="0" t="0" r="0" b="0"/>
                  <wp:docPr id="1270"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600687" cy="1360192"/>
                          </a:xfrm>
                          <a:prstGeom prst="rect">
                            <a:avLst/>
                          </a:prstGeom>
                        </pic:spPr>
                      </pic:pic>
                    </a:graphicData>
                  </a:graphic>
                </wp:inline>
              </w:drawing>
            </w:r>
            <w:r w:rsidRPr="00F47262" w:rsidDel="00F90F2D">
              <w:rPr>
                <w:noProof/>
                <w:sz w:val="20"/>
              </w:rPr>
              <w:t xml:space="preserve"> </w:t>
            </w:r>
          </w:p>
          <w:p w14:paraId="5CD12EFA" w14:textId="4B9E9947" w:rsidR="00002656" w:rsidRPr="00F47262" w:rsidRDefault="00002656" w:rsidP="00291898">
            <w:pPr>
              <w:spacing w:before="60" w:after="60"/>
              <w:rPr>
                <w:sz w:val="20"/>
              </w:rPr>
            </w:pPr>
            <w:r w:rsidRPr="00F47262">
              <w:rPr>
                <w:b/>
                <w:i/>
                <w:sz w:val="20"/>
              </w:rPr>
              <w:t>Note 1:</w:t>
            </w:r>
            <w:r w:rsidRPr="00F47262">
              <w:rPr>
                <w:sz w:val="20"/>
              </w:rPr>
              <w:t xml:space="preserve"> In a CMSA/TSMPC configuration, the Server Name is the fully qualified domain name of the TED Web server.</w:t>
            </w:r>
            <w:r w:rsidR="009651B0" w:rsidRPr="00F47262">
              <w:rPr>
                <w:sz w:val="20"/>
              </w:rPr>
              <w:t xml:space="preserve"> </w:t>
            </w:r>
            <w:r w:rsidRPr="00F47262">
              <w:rPr>
                <w:sz w:val="20"/>
              </w:rPr>
              <w:t xml:space="preserve">Example: </w:t>
            </w:r>
            <w:r w:rsidRPr="00F47262">
              <w:rPr>
                <w:b/>
                <w:sz w:val="20"/>
              </w:rPr>
              <w:t>MDS-PC.</w:t>
            </w:r>
            <w:r w:rsidR="0021221F" w:rsidRPr="00F47262">
              <w:rPr>
                <w:b/>
                <w:sz w:val="20"/>
              </w:rPr>
              <w:t>DOMAIN</w:t>
            </w:r>
            <w:r w:rsidRPr="00F47262">
              <w:rPr>
                <w:b/>
                <w:sz w:val="20"/>
              </w:rPr>
              <w:t>.NET</w:t>
            </w:r>
            <w:r w:rsidR="00BF5B51" w:rsidRPr="00F47262">
              <w:rPr>
                <w:sz w:val="20"/>
              </w:rPr>
              <w:t>.</w:t>
            </w:r>
          </w:p>
          <w:p w14:paraId="60040B4E" w14:textId="77777777" w:rsidR="00002656" w:rsidRPr="00F47262" w:rsidRDefault="00002656" w:rsidP="00291898">
            <w:pPr>
              <w:spacing w:before="60" w:after="60"/>
              <w:rPr>
                <w:sz w:val="20"/>
              </w:rPr>
            </w:pPr>
            <w:r w:rsidRPr="00F47262">
              <w:rPr>
                <w:b/>
                <w:i/>
                <w:sz w:val="20"/>
              </w:rPr>
              <w:t>Note 2:</w:t>
            </w:r>
            <w:r w:rsidRPr="00F47262">
              <w:rPr>
                <w:sz w:val="20"/>
              </w:rPr>
              <w:t xml:space="preserve"> In a CSG configuration, the Server Name is the </w:t>
            </w:r>
            <w:r w:rsidR="00E86DC3" w:rsidRPr="00F47262">
              <w:rPr>
                <w:sz w:val="20"/>
              </w:rPr>
              <w:t xml:space="preserve">TED/DB </w:t>
            </w:r>
            <w:r w:rsidRPr="00F47262">
              <w:rPr>
                <w:sz w:val="20"/>
              </w:rPr>
              <w:t>server.</w:t>
            </w:r>
          </w:p>
          <w:p w14:paraId="16328B0D" w14:textId="77777777" w:rsidR="00002656" w:rsidRPr="00F47262" w:rsidRDefault="00002656" w:rsidP="008D07DB">
            <w:pPr>
              <w:spacing w:before="60" w:after="60"/>
              <w:rPr>
                <w:sz w:val="20"/>
              </w:rPr>
            </w:pPr>
            <w:r w:rsidRPr="00F47262">
              <w:rPr>
                <w:b/>
                <w:i/>
                <w:sz w:val="20"/>
              </w:rPr>
              <w:t>Note 3:</w:t>
            </w:r>
            <w:r w:rsidRPr="00F47262">
              <w:rPr>
                <w:sz w:val="20"/>
              </w:rPr>
              <w:t xml:space="preserve"> In a FRU/</w:t>
            </w:r>
            <w:r w:rsidR="008D07DB" w:rsidRPr="00F47262">
              <w:rPr>
                <w:sz w:val="20"/>
              </w:rPr>
              <w:t xml:space="preserve">Standalone MDS </w:t>
            </w:r>
            <w:r w:rsidRPr="00F47262">
              <w:rPr>
                <w:sz w:val="20"/>
              </w:rPr>
              <w:t>configuration, the Server Name is the local machine name.</w:t>
            </w:r>
          </w:p>
        </w:tc>
      </w:tr>
      <w:tr w:rsidR="00002656" w:rsidRPr="000665B0" w14:paraId="25AE2A06" w14:textId="77777777" w:rsidTr="00F47262">
        <w:trPr>
          <w:cantSplit/>
        </w:trPr>
        <w:tc>
          <w:tcPr>
            <w:tcW w:w="743" w:type="dxa"/>
            <w:tcBorders>
              <w:bottom w:val="single" w:sz="4" w:space="0" w:color="auto"/>
            </w:tcBorders>
          </w:tcPr>
          <w:p w14:paraId="113BD17A" w14:textId="77777777" w:rsidR="00002656" w:rsidRPr="000665B0" w:rsidRDefault="00002656" w:rsidP="006D5A65">
            <w:pPr>
              <w:pStyle w:val="Heading1"/>
            </w:pPr>
          </w:p>
        </w:tc>
        <w:tc>
          <w:tcPr>
            <w:tcW w:w="4596" w:type="dxa"/>
            <w:tcBorders>
              <w:bottom w:val="single" w:sz="4" w:space="0" w:color="auto"/>
            </w:tcBorders>
          </w:tcPr>
          <w:p w14:paraId="3EDFE68C" w14:textId="77777777" w:rsidR="00002656" w:rsidRPr="00F47262" w:rsidRDefault="00002656" w:rsidP="00291898">
            <w:pPr>
              <w:spacing w:before="60" w:after="60"/>
              <w:rPr>
                <w:sz w:val="20"/>
              </w:rPr>
            </w:pPr>
            <w:r w:rsidRPr="00F47262">
              <w:rPr>
                <w:sz w:val="20"/>
              </w:rPr>
              <w:t>Verify the ping results</w:t>
            </w:r>
          </w:p>
          <w:p w14:paraId="2E9C6FAA" w14:textId="77777777" w:rsidR="00002656" w:rsidRPr="00F47262" w:rsidRDefault="00002656" w:rsidP="006D5A65">
            <w:pPr>
              <w:pStyle w:val="Heading1"/>
            </w:pPr>
            <w:r w:rsidRPr="00F47262">
              <w:t>If successful, skip the Verify/Configure the hosts File steps below and proceed to following resolution. See Note 1.</w:t>
            </w:r>
          </w:p>
          <w:p w14:paraId="42748853" w14:textId="77777777" w:rsidR="00E86DC3" w:rsidRPr="00F47262" w:rsidRDefault="00002656" w:rsidP="006D5A65">
            <w:pPr>
              <w:pStyle w:val="Heading1"/>
            </w:pPr>
            <w:r w:rsidRPr="00F47262">
              <w:t xml:space="preserve">If unsuccessful, ping the IP address of the TED Server. </w:t>
            </w:r>
            <w:r w:rsidR="00E86DC3" w:rsidRPr="00F47262">
              <w:t xml:space="preserve">See Note 2. </w:t>
            </w:r>
          </w:p>
          <w:p w14:paraId="0B9EC181" w14:textId="77777777" w:rsidR="00E86DC3" w:rsidRPr="00F47262" w:rsidRDefault="00002656" w:rsidP="006D5A65">
            <w:pPr>
              <w:pStyle w:val="Heading1"/>
            </w:pPr>
            <w:r w:rsidRPr="00F47262">
              <w:t xml:space="preserve">If </w:t>
            </w:r>
            <w:r w:rsidR="00E86DC3" w:rsidRPr="00F47262">
              <w:t>successful</w:t>
            </w:r>
            <w:r w:rsidRPr="00F47262">
              <w:t xml:space="preserve">, proceed to the next </w:t>
            </w:r>
            <w:r w:rsidR="00084C36" w:rsidRPr="00F47262">
              <w:t>resolution</w:t>
            </w:r>
            <w:r w:rsidRPr="00F47262">
              <w:t xml:space="preserve">. </w:t>
            </w:r>
          </w:p>
          <w:p w14:paraId="6472342C" w14:textId="77777777" w:rsidR="00002656" w:rsidRPr="00F47262" w:rsidRDefault="00E86DC3" w:rsidP="006D5A65">
            <w:pPr>
              <w:pStyle w:val="Heading1"/>
            </w:pPr>
            <w:r w:rsidRPr="00F47262">
              <w:t>If unsuccessful, contact the Network Admin</w:t>
            </w:r>
            <w:r w:rsidR="00120873" w:rsidRPr="00F47262">
              <w:t>i</w:t>
            </w:r>
            <w:r w:rsidRPr="00F47262">
              <w:t>strator.</w:t>
            </w:r>
          </w:p>
          <w:p w14:paraId="0C4872AD" w14:textId="77777777" w:rsidR="006E635F" w:rsidRPr="00F47262" w:rsidRDefault="006E635F" w:rsidP="006D5A65">
            <w:pPr>
              <w:pStyle w:val="Heading1"/>
            </w:pPr>
            <w:r w:rsidRPr="00F47262">
              <w:t>Close the Administrator: Command Prompt window.</w:t>
            </w:r>
          </w:p>
        </w:tc>
        <w:tc>
          <w:tcPr>
            <w:tcW w:w="4134" w:type="dxa"/>
            <w:tcBorders>
              <w:bottom w:val="single" w:sz="4" w:space="0" w:color="auto"/>
            </w:tcBorders>
          </w:tcPr>
          <w:p w14:paraId="5263FF88" w14:textId="4E32D497" w:rsidR="00002656" w:rsidRPr="00F47262" w:rsidRDefault="00F90F2D" w:rsidP="00291898">
            <w:pPr>
              <w:spacing w:before="60" w:after="60"/>
              <w:rPr>
                <w:sz w:val="20"/>
              </w:rPr>
            </w:pPr>
            <w:r w:rsidRPr="00F47262">
              <w:rPr>
                <w:noProof/>
                <w:sz w:val="20"/>
              </w:rPr>
              <w:drawing>
                <wp:inline distT="0" distB="0" distL="0" distR="0" wp14:anchorId="13BBCDCD" wp14:editId="33F78489">
                  <wp:extent cx="2636520" cy="1378933"/>
                  <wp:effectExtent l="0" t="0" r="0" b="0"/>
                  <wp:docPr id="1276" name="Picture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644782" cy="1383254"/>
                          </a:xfrm>
                          <a:prstGeom prst="rect">
                            <a:avLst/>
                          </a:prstGeom>
                        </pic:spPr>
                      </pic:pic>
                    </a:graphicData>
                  </a:graphic>
                </wp:inline>
              </w:drawing>
            </w:r>
            <w:r w:rsidRPr="00F47262" w:rsidDel="00F90F2D">
              <w:rPr>
                <w:noProof/>
                <w:sz w:val="20"/>
              </w:rPr>
              <w:t xml:space="preserve"> </w:t>
            </w:r>
          </w:p>
          <w:p w14:paraId="614EF672" w14:textId="77777777" w:rsidR="00002656" w:rsidRPr="00F47262" w:rsidRDefault="00002656" w:rsidP="00291898">
            <w:pPr>
              <w:spacing w:before="60" w:after="60"/>
              <w:rPr>
                <w:sz w:val="20"/>
              </w:rPr>
            </w:pPr>
            <w:r w:rsidRPr="00F47262">
              <w:rPr>
                <w:b/>
                <w:i/>
                <w:sz w:val="20"/>
              </w:rPr>
              <w:t>Note 1:</w:t>
            </w:r>
            <w:r w:rsidRPr="00F47262">
              <w:rPr>
                <w:sz w:val="20"/>
              </w:rPr>
              <w:t xml:space="preserve"> Successful results will show a reply from the server, similar to the figure above. Ensure there are no lost packets.</w:t>
            </w:r>
          </w:p>
          <w:p w14:paraId="2D515ECA" w14:textId="77777777" w:rsidR="00002656" w:rsidRPr="00F47262" w:rsidRDefault="00002656" w:rsidP="00291898">
            <w:pPr>
              <w:spacing w:before="60" w:after="60"/>
              <w:rPr>
                <w:sz w:val="20"/>
              </w:rPr>
            </w:pPr>
            <w:r w:rsidRPr="00F47262">
              <w:rPr>
                <w:b/>
                <w:i/>
                <w:sz w:val="20"/>
              </w:rPr>
              <w:t>Note 2:</w:t>
            </w:r>
            <w:r w:rsidRPr="00F47262">
              <w:rPr>
                <w:sz w:val="20"/>
              </w:rPr>
              <w:t xml:space="preserve"> Unsuccessful results might be </w:t>
            </w:r>
            <w:r w:rsidRPr="00F47262">
              <w:rPr>
                <w:b/>
                <w:sz w:val="20"/>
              </w:rPr>
              <w:t>Host Unreachable</w:t>
            </w:r>
            <w:r w:rsidRPr="00F47262">
              <w:rPr>
                <w:sz w:val="20"/>
              </w:rPr>
              <w:t xml:space="preserve"> or </w:t>
            </w:r>
            <w:r w:rsidRPr="00F47262">
              <w:rPr>
                <w:b/>
                <w:sz w:val="20"/>
              </w:rPr>
              <w:t>Request Timed Out</w:t>
            </w:r>
            <w:r w:rsidRPr="00F47262">
              <w:rPr>
                <w:sz w:val="20"/>
              </w:rPr>
              <w:t>.</w:t>
            </w:r>
          </w:p>
        </w:tc>
      </w:tr>
      <w:tr w:rsidR="00A10A0C" w:rsidRPr="00A10A0C" w14:paraId="456E641C" w14:textId="77777777" w:rsidTr="00F47262">
        <w:trPr>
          <w:cantSplit/>
        </w:trPr>
        <w:tc>
          <w:tcPr>
            <w:tcW w:w="9473" w:type="dxa"/>
            <w:gridSpan w:val="3"/>
            <w:shd w:val="clear" w:color="auto" w:fill="C6D9F1" w:themeFill="text2" w:themeFillTint="33"/>
          </w:tcPr>
          <w:p w14:paraId="258EFC53" w14:textId="77777777" w:rsidR="00002656" w:rsidRPr="00F47262" w:rsidRDefault="00002656" w:rsidP="00291898">
            <w:pPr>
              <w:spacing w:before="60" w:after="60"/>
              <w:rPr>
                <w:b/>
                <w:i/>
                <w:color w:val="000000" w:themeColor="text1"/>
                <w:sz w:val="20"/>
              </w:rPr>
            </w:pPr>
            <w:r w:rsidRPr="00F47262">
              <w:rPr>
                <w:b/>
                <w:i/>
                <w:color w:val="000000" w:themeColor="text1"/>
                <w:sz w:val="20"/>
              </w:rPr>
              <w:t xml:space="preserve">Verify/Configure the hosts File </w:t>
            </w:r>
          </w:p>
          <w:p w14:paraId="7972D550" w14:textId="77777777" w:rsidR="00002656" w:rsidRPr="00F47262" w:rsidRDefault="00002656" w:rsidP="008D07DB">
            <w:pPr>
              <w:spacing w:before="60" w:after="60"/>
              <w:rPr>
                <w:b/>
                <w:i/>
                <w:color w:val="000000" w:themeColor="text1"/>
                <w:sz w:val="20"/>
              </w:rPr>
            </w:pPr>
            <w:r w:rsidRPr="00F47262">
              <w:rPr>
                <w:b/>
                <w:i/>
                <w:color w:val="000000" w:themeColor="text1"/>
                <w:sz w:val="20"/>
              </w:rPr>
              <w:t xml:space="preserve">(CMSA/TSMPC, FRU/Standalone </w:t>
            </w:r>
            <w:r w:rsidR="008D07DB" w:rsidRPr="00F47262">
              <w:rPr>
                <w:b/>
                <w:i/>
                <w:color w:val="000000" w:themeColor="text1"/>
                <w:sz w:val="20"/>
              </w:rPr>
              <w:t xml:space="preserve">MDS </w:t>
            </w:r>
            <w:r w:rsidRPr="00F47262">
              <w:rPr>
                <w:b/>
                <w:i/>
                <w:color w:val="000000" w:themeColor="text1"/>
                <w:sz w:val="20"/>
              </w:rPr>
              <w:t>Configurations: Skip These Steps)</w:t>
            </w:r>
          </w:p>
        </w:tc>
      </w:tr>
      <w:tr w:rsidR="00002656" w:rsidRPr="000665B0" w14:paraId="0A2A8F34" w14:textId="77777777" w:rsidTr="00F47262">
        <w:trPr>
          <w:cantSplit/>
        </w:trPr>
        <w:tc>
          <w:tcPr>
            <w:tcW w:w="743" w:type="dxa"/>
          </w:tcPr>
          <w:p w14:paraId="37035E5D" w14:textId="77777777" w:rsidR="00002656" w:rsidRPr="000665B0" w:rsidRDefault="00002656" w:rsidP="006D5A65">
            <w:pPr>
              <w:pStyle w:val="Heading1"/>
            </w:pPr>
          </w:p>
        </w:tc>
        <w:tc>
          <w:tcPr>
            <w:tcW w:w="4596" w:type="dxa"/>
          </w:tcPr>
          <w:p w14:paraId="1747E79C" w14:textId="77777777" w:rsidR="00002656" w:rsidRPr="00F47262" w:rsidRDefault="00002656" w:rsidP="00291898">
            <w:pPr>
              <w:spacing w:before="60" w:after="60"/>
              <w:rPr>
                <w:sz w:val="20"/>
              </w:rPr>
            </w:pPr>
            <w:r w:rsidRPr="00F47262">
              <w:rPr>
                <w:sz w:val="20"/>
              </w:rPr>
              <w:t xml:space="preserve">If not already done, login to </w:t>
            </w:r>
            <w:r w:rsidR="00F17C13" w:rsidRPr="00F47262">
              <w:rPr>
                <w:sz w:val="20"/>
              </w:rPr>
              <w:t xml:space="preserve">the </w:t>
            </w:r>
            <w:r w:rsidRPr="00F47262">
              <w:rPr>
                <w:sz w:val="20"/>
              </w:rPr>
              <w:t>MDS workstation with an account that has administrator privileges.</w:t>
            </w:r>
          </w:p>
        </w:tc>
        <w:tc>
          <w:tcPr>
            <w:tcW w:w="4134" w:type="dxa"/>
          </w:tcPr>
          <w:p w14:paraId="3C8D0CA3" w14:textId="77777777" w:rsidR="00002656" w:rsidRPr="00F47262" w:rsidRDefault="00002656" w:rsidP="00291898">
            <w:pPr>
              <w:spacing w:before="60" w:after="60"/>
              <w:rPr>
                <w:sz w:val="20"/>
              </w:rPr>
            </w:pPr>
          </w:p>
        </w:tc>
      </w:tr>
      <w:tr w:rsidR="00002656" w:rsidRPr="000665B0" w14:paraId="063BEEEA" w14:textId="77777777" w:rsidTr="00F47262">
        <w:trPr>
          <w:cantSplit/>
        </w:trPr>
        <w:tc>
          <w:tcPr>
            <w:tcW w:w="743" w:type="dxa"/>
          </w:tcPr>
          <w:p w14:paraId="1DC46408" w14:textId="77777777" w:rsidR="00002656" w:rsidRPr="000665B0" w:rsidRDefault="00002656" w:rsidP="006D5A65">
            <w:pPr>
              <w:pStyle w:val="Heading1"/>
            </w:pPr>
          </w:p>
        </w:tc>
        <w:tc>
          <w:tcPr>
            <w:tcW w:w="4596" w:type="dxa"/>
          </w:tcPr>
          <w:p w14:paraId="123E4BD8" w14:textId="77777777" w:rsidR="00002656" w:rsidRPr="00F47262" w:rsidRDefault="008505A4" w:rsidP="00291898">
            <w:pPr>
              <w:spacing w:before="60" w:after="60"/>
              <w:rPr>
                <w:sz w:val="20"/>
              </w:rPr>
            </w:pPr>
            <w:r w:rsidRPr="00F47262">
              <w:rPr>
                <w:sz w:val="20"/>
              </w:rPr>
              <w:t xml:space="preserve">Right-click the </w:t>
            </w:r>
            <w:r w:rsidRPr="00F47262">
              <w:rPr>
                <w:noProof/>
                <w:sz w:val="20"/>
              </w:rPr>
              <w:drawing>
                <wp:inline distT="0" distB="0" distL="0" distR="0" wp14:anchorId="6F069E0D" wp14:editId="6BEA4E95">
                  <wp:extent cx="143124" cy="139358"/>
                  <wp:effectExtent l="0" t="0" r="0" b="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11-19_002.jpg"/>
                          <pic:cNvPicPr/>
                        </pic:nvPicPr>
                        <pic:blipFill>
                          <a:blip cstate="screen">
                            <a:extLst>
                              <a:ext uri="{28A0092B-C50C-407E-A947-70E740481C1C}">
                                <a14:useLocalDpi xmlns:a14="http://schemas.microsoft.com/office/drawing/2010/main"/>
                              </a:ext>
                            </a:extLst>
                          </a:blip>
                          <a:stretch>
                            <a:fillRect/>
                          </a:stretch>
                        </pic:blipFill>
                        <pic:spPr>
                          <a:xfrm>
                            <a:off x="0" y="0"/>
                            <a:ext cx="141633" cy="137906"/>
                          </a:xfrm>
                          <a:prstGeom prst="rect">
                            <a:avLst/>
                          </a:prstGeom>
                        </pic:spPr>
                      </pic:pic>
                    </a:graphicData>
                  </a:graphic>
                </wp:inline>
              </w:drawing>
            </w:r>
            <w:r w:rsidRPr="00F47262">
              <w:rPr>
                <w:sz w:val="20"/>
              </w:rPr>
              <w:t xml:space="preserve"> icon in the bottom left corner of the screen and select</w:t>
            </w:r>
            <w:r w:rsidR="00002656" w:rsidRPr="00F47262">
              <w:rPr>
                <w:sz w:val="20"/>
              </w:rPr>
              <w:t xml:space="preserve"> </w:t>
            </w:r>
            <w:r w:rsidR="000D68FE" w:rsidRPr="00F47262">
              <w:rPr>
                <w:b/>
                <w:sz w:val="20"/>
              </w:rPr>
              <w:t xml:space="preserve">File </w:t>
            </w:r>
            <w:r w:rsidR="00002656" w:rsidRPr="00F47262">
              <w:rPr>
                <w:b/>
                <w:sz w:val="20"/>
              </w:rPr>
              <w:t>Explorer</w:t>
            </w:r>
            <w:r w:rsidRPr="00F47262">
              <w:rPr>
                <w:sz w:val="20"/>
              </w:rPr>
              <w:t>.</w:t>
            </w:r>
            <w:r w:rsidR="00002656" w:rsidRPr="00F47262">
              <w:rPr>
                <w:sz w:val="20"/>
              </w:rPr>
              <w:t xml:space="preserve"> </w:t>
            </w:r>
            <w:r w:rsidRPr="00F47262">
              <w:rPr>
                <w:sz w:val="20"/>
              </w:rPr>
              <w:t>N</w:t>
            </w:r>
            <w:r w:rsidR="00002656" w:rsidRPr="00F47262">
              <w:rPr>
                <w:sz w:val="20"/>
              </w:rPr>
              <w:t>avigate to the following directory:</w:t>
            </w:r>
          </w:p>
          <w:p w14:paraId="7AF05523" w14:textId="77777777" w:rsidR="00002656" w:rsidRPr="00F47262" w:rsidRDefault="00002656" w:rsidP="00291898">
            <w:pPr>
              <w:spacing w:before="60" w:after="60"/>
              <w:rPr>
                <w:b/>
                <w:sz w:val="20"/>
              </w:rPr>
            </w:pPr>
            <w:r w:rsidRPr="00F47262">
              <w:rPr>
                <w:b/>
                <w:sz w:val="20"/>
              </w:rPr>
              <w:t>C:\Windows\System32\drivers\etc</w:t>
            </w:r>
          </w:p>
        </w:tc>
        <w:tc>
          <w:tcPr>
            <w:tcW w:w="4134" w:type="dxa"/>
          </w:tcPr>
          <w:p w14:paraId="70FF1E57" w14:textId="77777777" w:rsidR="00002656" w:rsidRPr="00F47262" w:rsidRDefault="00002656" w:rsidP="00291898">
            <w:pPr>
              <w:spacing w:before="60" w:after="60"/>
              <w:rPr>
                <w:sz w:val="20"/>
              </w:rPr>
            </w:pPr>
          </w:p>
        </w:tc>
      </w:tr>
      <w:tr w:rsidR="00002656" w:rsidRPr="000665B0" w14:paraId="51E19778" w14:textId="77777777" w:rsidTr="00F47262">
        <w:trPr>
          <w:cantSplit/>
        </w:trPr>
        <w:tc>
          <w:tcPr>
            <w:tcW w:w="743" w:type="dxa"/>
          </w:tcPr>
          <w:p w14:paraId="44492B7F" w14:textId="77777777" w:rsidR="00002656" w:rsidRPr="000665B0" w:rsidRDefault="00002656" w:rsidP="006D5A65">
            <w:pPr>
              <w:pStyle w:val="Heading1"/>
            </w:pPr>
          </w:p>
        </w:tc>
        <w:tc>
          <w:tcPr>
            <w:tcW w:w="4596" w:type="dxa"/>
          </w:tcPr>
          <w:p w14:paraId="46169295" w14:textId="77777777" w:rsidR="00002656" w:rsidRPr="00F47262" w:rsidRDefault="00002656" w:rsidP="00291898">
            <w:pPr>
              <w:spacing w:before="60" w:after="60"/>
              <w:rPr>
                <w:sz w:val="20"/>
              </w:rPr>
            </w:pPr>
            <w:r w:rsidRPr="00F47262">
              <w:rPr>
                <w:sz w:val="20"/>
              </w:rPr>
              <w:t xml:space="preserve">Edit the </w:t>
            </w:r>
            <w:r w:rsidRPr="00F47262">
              <w:rPr>
                <w:b/>
                <w:sz w:val="20"/>
              </w:rPr>
              <w:t>hosts</w:t>
            </w:r>
            <w:r w:rsidRPr="00F47262">
              <w:rPr>
                <w:sz w:val="20"/>
              </w:rPr>
              <w:t xml:space="preserve"> file using </w:t>
            </w:r>
            <w:r w:rsidRPr="00F47262">
              <w:rPr>
                <w:b/>
                <w:sz w:val="20"/>
              </w:rPr>
              <w:t>Notepad.</w:t>
            </w:r>
          </w:p>
        </w:tc>
        <w:tc>
          <w:tcPr>
            <w:tcW w:w="4134" w:type="dxa"/>
          </w:tcPr>
          <w:p w14:paraId="6B024A19" w14:textId="77777777" w:rsidR="00002656" w:rsidRPr="00F47262" w:rsidRDefault="00002656" w:rsidP="00291898">
            <w:pPr>
              <w:spacing w:before="60" w:after="60"/>
              <w:rPr>
                <w:sz w:val="20"/>
              </w:rPr>
            </w:pPr>
          </w:p>
        </w:tc>
      </w:tr>
      <w:tr w:rsidR="00002656" w:rsidRPr="000665B0" w14:paraId="676F1950" w14:textId="77777777" w:rsidTr="00F47262">
        <w:trPr>
          <w:cantSplit/>
        </w:trPr>
        <w:tc>
          <w:tcPr>
            <w:tcW w:w="743" w:type="dxa"/>
          </w:tcPr>
          <w:p w14:paraId="567CB022" w14:textId="77777777" w:rsidR="00002656" w:rsidRPr="000665B0" w:rsidRDefault="00002656" w:rsidP="006D5A65">
            <w:pPr>
              <w:pStyle w:val="Heading1"/>
            </w:pPr>
          </w:p>
        </w:tc>
        <w:tc>
          <w:tcPr>
            <w:tcW w:w="4596" w:type="dxa"/>
          </w:tcPr>
          <w:p w14:paraId="087DE484" w14:textId="77777777" w:rsidR="00002656" w:rsidRPr="00F47262" w:rsidRDefault="00002656" w:rsidP="00291898">
            <w:pPr>
              <w:spacing w:before="60" w:after="60"/>
              <w:rPr>
                <w:sz w:val="20"/>
              </w:rPr>
            </w:pPr>
            <w:r w:rsidRPr="00F47262">
              <w:rPr>
                <w:sz w:val="20"/>
              </w:rPr>
              <w:t>Add the following line entry to the bottom of the file:</w:t>
            </w:r>
          </w:p>
          <w:p w14:paraId="60B45F76" w14:textId="77777777" w:rsidR="00002656" w:rsidRPr="00F47262" w:rsidRDefault="00002656" w:rsidP="00291898">
            <w:pPr>
              <w:spacing w:before="60" w:after="60"/>
              <w:rPr>
                <w:b/>
                <w:sz w:val="20"/>
              </w:rPr>
            </w:pPr>
            <w:r w:rsidRPr="00F47262">
              <w:rPr>
                <w:b/>
                <w:sz w:val="20"/>
              </w:rPr>
              <w:t>aaa.bbb.ccc.ddd     &lt;</w:t>
            </w:r>
            <w:r w:rsidRPr="00F47262">
              <w:rPr>
                <w:b/>
                <w:i/>
                <w:sz w:val="20"/>
              </w:rPr>
              <w:t>servername</w:t>
            </w:r>
            <w:r w:rsidRPr="00F47262">
              <w:rPr>
                <w:b/>
                <w:sz w:val="20"/>
              </w:rPr>
              <w:t>&gt;</w:t>
            </w:r>
          </w:p>
          <w:p w14:paraId="02BF24F6" w14:textId="77777777" w:rsidR="00002656" w:rsidRPr="00F47262" w:rsidRDefault="00002656" w:rsidP="00291898">
            <w:pPr>
              <w:spacing w:before="60" w:after="60"/>
              <w:rPr>
                <w:sz w:val="20"/>
              </w:rPr>
            </w:pPr>
            <w:r w:rsidRPr="00F47262">
              <w:rPr>
                <w:sz w:val="20"/>
              </w:rPr>
              <w:t xml:space="preserve">See Notes. </w:t>
            </w:r>
          </w:p>
          <w:p w14:paraId="79F9A4D7" w14:textId="77777777" w:rsidR="00002656" w:rsidRPr="00F47262" w:rsidRDefault="00002656" w:rsidP="006D5A65">
            <w:pPr>
              <w:pStyle w:val="Heading1"/>
            </w:pPr>
            <w:r w:rsidRPr="00F47262">
              <w:t>If a correct entry for the server exists, skip to next resolution.</w:t>
            </w:r>
          </w:p>
        </w:tc>
        <w:tc>
          <w:tcPr>
            <w:tcW w:w="4134" w:type="dxa"/>
          </w:tcPr>
          <w:p w14:paraId="7935C424" w14:textId="5FD093AF" w:rsidR="00002656" w:rsidRPr="00F47262" w:rsidRDefault="00F90F2D" w:rsidP="00291898">
            <w:pPr>
              <w:spacing w:before="60" w:after="60"/>
              <w:rPr>
                <w:b/>
                <w:i/>
                <w:sz w:val="20"/>
              </w:rPr>
            </w:pPr>
            <w:r w:rsidRPr="00F47262">
              <w:rPr>
                <w:noProof/>
                <w:sz w:val="20"/>
              </w:rPr>
              <w:drawing>
                <wp:inline distT="0" distB="0" distL="0" distR="0" wp14:anchorId="25BAE7F4" wp14:editId="7413202C">
                  <wp:extent cx="2567940" cy="2011613"/>
                  <wp:effectExtent l="0" t="0" r="3810" b="8255"/>
                  <wp:docPr id="1278" name="Picture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573538" cy="2015998"/>
                          </a:xfrm>
                          <a:prstGeom prst="rect">
                            <a:avLst/>
                          </a:prstGeom>
                        </pic:spPr>
                      </pic:pic>
                    </a:graphicData>
                  </a:graphic>
                </wp:inline>
              </w:drawing>
            </w:r>
          </w:p>
          <w:p w14:paraId="1EB2898C" w14:textId="77777777" w:rsidR="00002656" w:rsidRPr="00F47262" w:rsidRDefault="00002656" w:rsidP="00291898">
            <w:pPr>
              <w:spacing w:before="60" w:after="60"/>
              <w:rPr>
                <w:sz w:val="20"/>
              </w:rPr>
            </w:pPr>
            <w:r w:rsidRPr="00F47262">
              <w:rPr>
                <w:b/>
                <w:i/>
                <w:sz w:val="20"/>
              </w:rPr>
              <w:t>Note 1:</w:t>
            </w:r>
            <w:r w:rsidRPr="00F47262">
              <w:rPr>
                <w:sz w:val="20"/>
              </w:rPr>
              <w:t xml:space="preserve"> In a CSG, replace </w:t>
            </w:r>
            <w:r w:rsidRPr="00F47262">
              <w:rPr>
                <w:b/>
                <w:sz w:val="20"/>
              </w:rPr>
              <w:t xml:space="preserve">aaa.bbb.ccc.ddd </w:t>
            </w:r>
            <w:r w:rsidRPr="00F47262">
              <w:rPr>
                <w:sz w:val="20"/>
              </w:rPr>
              <w:t xml:space="preserve">with the IP address of the </w:t>
            </w:r>
            <w:r w:rsidR="00E86DC3" w:rsidRPr="00F47262">
              <w:rPr>
                <w:sz w:val="20"/>
              </w:rPr>
              <w:t xml:space="preserve">TED/DB </w:t>
            </w:r>
            <w:r w:rsidRPr="00F47262">
              <w:rPr>
                <w:sz w:val="20"/>
              </w:rPr>
              <w:t>server.</w:t>
            </w:r>
          </w:p>
          <w:p w14:paraId="42538C10" w14:textId="77777777" w:rsidR="00002656" w:rsidRPr="00F47262" w:rsidRDefault="00002656" w:rsidP="00291898">
            <w:pPr>
              <w:spacing w:before="60" w:after="60"/>
              <w:rPr>
                <w:sz w:val="20"/>
              </w:rPr>
            </w:pPr>
            <w:r w:rsidRPr="00F47262">
              <w:rPr>
                <w:b/>
                <w:i/>
                <w:sz w:val="20"/>
              </w:rPr>
              <w:t>Note 2:</w:t>
            </w:r>
            <w:r w:rsidRPr="00F47262">
              <w:rPr>
                <w:sz w:val="20"/>
              </w:rPr>
              <w:t xml:space="preserve"> Server IP address can be obtained from the System Administrator.</w:t>
            </w:r>
          </w:p>
          <w:p w14:paraId="1A31113D" w14:textId="77777777" w:rsidR="00002656" w:rsidRPr="00F47262" w:rsidRDefault="00002656" w:rsidP="00291898">
            <w:pPr>
              <w:spacing w:before="60" w:after="60"/>
              <w:rPr>
                <w:sz w:val="20"/>
              </w:rPr>
            </w:pPr>
            <w:r w:rsidRPr="00F47262">
              <w:rPr>
                <w:b/>
                <w:i/>
                <w:sz w:val="20"/>
              </w:rPr>
              <w:t>Note 3:</w:t>
            </w:r>
            <w:r w:rsidRPr="00F47262">
              <w:rPr>
                <w:sz w:val="20"/>
              </w:rPr>
              <w:t xml:space="preserve"> Replace &lt;</w:t>
            </w:r>
            <w:r w:rsidRPr="00F47262">
              <w:rPr>
                <w:b/>
                <w:i/>
                <w:sz w:val="20"/>
              </w:rPr>
              <w:t>servername</w:t>
            </w:r>
            <w:r w:rsidRPr="00F47262">
              <w:rPr>
                <w:sz w:val="20"/>
              </w:rPr>
              <w:t xml:space="preserve">&gt; with the actual name of the </w:t>
            </w:r>
            <w:r w:rsidR="00E86DC3" w:rsidRPr="00F47262">
              <w:rPr>
                <w:sz w:val="20"/>
              </w:rPr>
              <w:t xml:space="preserve">TED/DB </w:t>
            </w:r>
            <w:r w:rsidRPr="00F47262">
              <w:rPr>
                <w:sz w:val="20"/>
              </w:rPr>
              <w:t>server machine.</w:t>
            </w:r>
          </w:p>
        </w:tc>
      </w:tr>
      <w:tr w:rsidR="00002656" w:rsidRPr="000665B0" w14:paraId="101CDE9E" w14:textId="77777777" w:rsidTr="00F47262">
        <w:trPr>
          <w:cantSplit/>
        </w:trPr>
        <w:tc>
          <w:tcPr>
            <w:tcW w:w="743" w:type="dxa"/>
          </w:tcPr>
          <w:p w14:paraId="2C2B0F32" w14:textId="77777777" w:rsidR="00002656" w:rsidRPr="000665B0" w:rsidRDefault="00002656" w:rsidP="006D5A65">
            <w:pPr>
              <w:pStyle w:val="Heading1"/>
            </w:pPr>
          </w:p>
        </w:tc>
        <w:tc>
          <w:tcPr>
            <w:tcW w:w="4596" w:type="dxa"/>
          </w:tcPr>
          <w:p w14:paraId="0AF2B1AE" w14:textId="77777777" w:rsidR="00002656" w:rsidRPr="00F47262" w:rsidRDefault="00002656" w:rsidP="00291898">
            <w:pPr>
              <w:spacing w:before="60" w:after="60"/>
              <w:rPr>
                <w:sz w:val="20"/>
              </w:rPr>
            </w:pPr>
            <w:r w:rsidRPr="00F47262">
              <w:rPr>
                <w:b/>
                <w:sz w:val="20"/>
              </w:rPr>
              <w:t>Save</w:t>
            </w:r>
            <w:r w:rsidRPr="00F47262">
              <w:rPr>
                <w:sz w:val="20"/>
              </w:rPr>
              <w:t xml:space="preserve"> and </w:t>
            </w:r>
            <w:r w:rsidRPr="00F47262">
              <w:rPr>
                <w:b/>
                <w:sz w:val="20"/>
              </w:rPr>
              <w:t>Close</w:t>
            </w:r>
            <w:r w:rsidRPr="00F47262">
              <w:rPr>
                <w:sz w:val="20"/>
              </w:rPr>
              <w:t xml:space="preserve"> the updated </w:t>
            </w:r>
            <w:r w:rsidRPr="00F47262">
              <w:rPr>
                <w:b/>
                <w:sz w:val="20"/>
              </w:rPr>
              <w:t>hosts</w:t>
            </w:r>
            <w:r w:rsidRPr="00F47262">
              <w:rPr>
                <w:sz w:val="20"/>
              </w:rPr>
              <w:t xml:space="preserve"> file.</w:t>
            </w:r>
          </w:p>
        </w:tc>
        <w:tc>
          <w:tcPr>
            <w:tcW w:w="4134" w:type="dxa"/>
          </w:tcPr>
          <w:p w14:paraId="1B9722C0" w14:textId="77777777" w:rsidR="00002656" w:rsidRPr="00F47262" w:rsidRDefault="00002656" w:rsidP="00291898">
            <w:pPr>
              <w:spacing w:before="60" w:after="60"/>
              <w:rPr>
                <w:sz w:val="20"/>
              </w:rPr>
            </w:pPr>
          </w:p>
        </w:tc>
      </w:tr>
      <w:tr w:rsidR="00002656" w:rsidRPr="000665B0" w14:paraId="4498F723" w14:textId="77777777" w:rsidTr="00F47262">
        <w:trPr>
          <w:cantSplit/>
        </w:trPr>
        <w:tc>
          <w:tcPr>
            <w:tcW w:w="743" w:type="dxa"/>
          </w:tcPr>
          <w:p w14:paraId="3E951616" w14:textId="77777777" w:rsidR="00002656" w:rsidRPr="000665B0" w:rsidRDefault="00002656" w:rsidP="006D5A65">
            <w:pPr>
              <w:pStyle w:val="Heading1"/>
            </w:pPr>
          </w:p>
        </w:tc>
        <w:tc>
          <w:tcPr>
            <w:tcW w:w="4596" w:type="dxa"/>
          </w:tcPr>
          <w:p w14:paraId="787D16CA" w14:textId="77777777" w:rsidR="00002656" w:rsidRPr="00F47262" w:rsidRDefault="00002656" w:rsidP="00291898">
            <w:pPr>
              <w:spacing w:before="60" w:after="60"/>
              <w:rPr>
                <w:sz w:val="20"/>
              </w:rPr>
            </w:pPr>
            <w:r w:rsidRPr="00F47262">
              <w:rPr>
                <w:sz w:val="20"/>
              </w:rPr>
              <w:t>Close all open windows.</w:t>
            </w:r>
          </w:p>
        </w:tc>
        <w:tc>
          <w:tcPr>
            <w:tcW w:w="4134" w:type="dxa"/>
          </w:tcPr>
          <w:p w14:paraId="71E04A8D" w14:textId="77777777" w:rsidR="00002656" w:rsidRPr="00F47262" w:rsidRDefault="00002656" w:rsidP="00291898">
            <w:pPr>
              <w:spacing w:before="60" w:after="60"/>
              <w:rPr>
                <w:sz w:val="20"/>
              </w:rPr>
            </w:pPr>
          </w:p>
        </w:tc>
      </w:tr>
      <w:tr w:rsidR="00002656" w:rsidRPr="000665B0" w14:paraId="52034D5F" w14:textId="77777777" w:rsidTr="00F47262">
        <w:trPr>
          <w:cantSplit/>
        </w:trPr>
        <w:tc>
          <w:tcPr>
            <w:tcW w:w="743" w:type="dxa"/>
          </w:tcPr>
          <w:p w14:paraId="3B4DD38E" w14:textId="77777777" w:rsidR="00002656" w:rsidRPr="000665B0" w:rsidRDefault="00002656" w:rsidP="006D5A65">
            <w:pPr>
              <w:pStyle w:val="Heading1"/>
            </w:pPr>
          </w:p>
        </w:tc>
        <w:tc>
          <w:tcPr>
            <w:tcW w:w="4596" w:type="dxa"/>
          </w:tcPr>
          <w:p w14:paraId="33B9C042" w14:textId="77777777" w:rsidR="00002656" w:rsidRPr="00F47262" w:rsidRDefault="00002656" w:rsidP="00291898">
            <w:pPr>
              <w:spacing w:before="60" w:after="60"/>
              <w:rPr>
                <w:sz w:val="20"/>
              </w:rPr>
            </w:pPr>
            <w:r w:rsidRPr="00F47262">
              <w:rPr>
                <w:sz w:val="20"/>
              </w:rPr>
              <w:t>Reboot the MDS workstation.</w:t>
            </w:r>
          </w:p>
        </w:tc>
        <w:tc>
          <w:tcPr>
            <w:tcW w:w="4134" w:type="dxa"/>
          </w:tcPr>
          <w:p w14:paraId="78117D5D" w14:textId="77777777" w:rsidR="00002656" w:rsidRPr="00F47262" w:rsidRDefault="00002656" w:rsidP="00291898">
            <w:pPr>
              <w:spacing w:before="60" w:after="60"/>
              <w:rPr>
                <w:sz w:val="20"/>
              </w:rPr>
            </w:pPr>
          </w:p>
        </w:tc>
      </w:tr>
      <w:tr w:rsidR="00002656" w:rsidRPr="000665B0" w14:paraId="409B5A0E" w14:textId="77777777" w:rsidTr="00F47262">
        <w:trPr>
          <w:cantSplit/>
        </w:trPr>
        <w:tc>
          <w:tcPr>
            <w:tcW w:w="743" w:type="dxa"/>
          </w:tcPr>
          <w:p w14:paraId="63BC27A0" w14:textId="77777777" w:rsidR="00002656" w:rsidRPr="000665B0" w:rsidRDefault="00002656" w:rsidP="006D5A65">
            <w:pPr>
              <w:pStyle w:val="Heading1"/>
            </w:pPr>
          </w:p>
        </w:tc>
        <w:tc>
          <w:tcPr>
            <w:tcW w:w="4596" w:type="dxa"/>
          </w:tcPr>
          <w:p w14:paraId="44491777" w14:textId="77777777" w:rsidR="00002656" w:rsidRPr="00F47262" w:rsidRDefault="00002656" w:rsidP="00291898">
            <w:pPr>
              <w:spacing w:before="60" w:after="60"/>
              <w:rPr>
                <w:sz w:val="20"/>
              </w:rPr>
            </w:pPr>
            <w:r w:rsidRPr="00F47262">
              <w:rPr>
                <w:sz w:val="20"/>
              </w:rPr>
              <w:t xml:space="preserve">Login to </w:t>
            </w:r>
            <w:r w:rsidR="00F17C13" w:rsidRPr="00F47262">
              <w:rPr>
                <w:sz w:val="20"/>
              </w:rPr>
              <w:t xml:space="preserve">the </w:t>
            </w:r>
            <w:r w:rsidRPr="00F47262">
              <w:rPr>
                <w:sz w:val="20"/>
              </w:rPr>
              <w:t>MDS computer with an account that has administrator privileges.</w:t>
            </w:r>
          </w:p>
        </w:tc>
        <w:tc>
          <w:tcPr>
            <w:tcW w:w="4134" w:type="dxa"/>
          </w:tcPr>
          <w:p w14:paraId="4316111D" w14:textId="77777777" w:rsidR="00002656" w:rsidRPr="00F47262" w:rsidRDefault="00002656" w:rsidP="00291898">
            <w:pPr>
              <w:spacing w:before="60" w:after="60"/>
              <w:rPr>
                <w:sz w:val="20"/>
              </w:rPr>
            </w:pPr>
          </w:p>
        </w:tc>
      </w:tr>
      <w:tr w:rsidR="00002656" w:rsidRPr="000665B0" w14:paraId="27F110E0" w14:textId="77777777" w:rsidTr="00F47262">
        <w:trPr>
          <w:cantSplit/>
        </w:trPr>
        <w:tc>
          <w:tcPr>
            <w:tcW w:w="743" w:type="dxa"/>
          </w:tcPr>
          <w:p w14:paraId="22DAA0BB" w14:textId="77777777" w:rsidR="00002656" w:rsidRPr="000665B0" w:rsidRDefault="00002656" w:rsidP="006D5A65">
            <w:pPr>
              <w:pStyle w:val="Heading1"/>
            </w:pPr>
          </w:p>
        </w:tc>
        <w:tc>
          <w:tcPr>
            <w:tcW w:w="4596" w:type="dxa"/>
          </w:tcPr>
          <w:p w14:paraId="3854F103" w14:textId="77777777" w:rsidR="00002656" w:rsidRPr="00F47262" w:rsidRDefault="00377AB3" w:rsidP="00377AB3">
            <w:pPr>
              <w:spacing w:before="60" w:after="60"/>
              <w:rPr>
                <w:sz w:val="20"/>
              </w:rPr>
            </w:pPr>
            <w:r w:rsidRPr="00F47262">
              <w:rPr>
                <w:sz w:val="20"/>
              </w:rPr>
              <w:t xml:space="preserve">On the MDS workstation, right-click on the </w:t>
            </w:r>
            <w:r w:rsidRPr="00F47262">
              <w:rPr>
                <w:b/>
                <w:sz w:val="20"/>
              </w:rPr>
              <w:t>MDS Toolbox</w:t>
            </w:r>
            <w:r w:rsidRPr="00F47262">
              <w:rPr>
                <w:sz w:val="20"/>
              </w:rPr>
              <w:t xml:space="preserve"> desktop shortcut icon </w:t>
            </w:r>
            <w:r w:rsidRPr="00F47262">
              <w:rPr>
                <w:noProof/>
                <w:position w:val="-6"/>
                <w:sz w:val="20"/>
              </w:rPr>
              <w:drawing>
                <wp:inline distT="0" distB="0" distL="0" distR="0" wp14:anchorId="15B72E03" wp14:editId="2F6CE45C">
                  <wp:extent cx="276225" cy="247650"/>
                  <wp:effectExtent l="19050" t="0" r="9525" b="0"/>
                  <wp:docPr id="924"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and select </w:t>
            </w:r>
            <w:r w:rsidRPr="00F47262">
              <w:rPr>
                <w:b/>
                <w:sz w:val="20"/>
              </w:rPr>
              <w:t>Run as administrator</w:t>
            </w:r>
            <w:r w:rsidRPr="00F47262">
              <w:rPr>
                <w:sz w:val="20"/>
              </w:rPr>
              <w:t xml:space="preserve"> from the resulting pop-up menu.</w:t>
            </w:r>
          </w:p>
        </w:tc>
        <w:tc>
          <w:tcPr>
            <w:tcW w:w="4134" w:type="dxa"/>
          </w:tcPr>
          <w:p w14:paraId="2DAEDA15" w14:textId="77777777" w:rsidR="00002656" w:rsidRPr="00F47262" w:rsidRDefault="00002656" w:rsidP="00291898">
            <w:pPr>
              <w:spacing w:before="60" w:after="60"/>
              <w:rPr>
                <w:sz w:val="20"/>
              </w:rPr>
            </w:pPr>
          </w:p>
        </w:tc>
      </w:tr>
      <w:tr w:rsidR="00002656" w:rsidRPr="000665B0" w14:paraId="2ED70428" w14:textId="77777777" w:rsidTr="00F47262">
        <w:trPr>
          <w:cantSplit/>
        </w:trPr>
        <w:tc>
          <w:tcPr>
            <w:tcW w:w="743" w:type="dxa"/>
          </w:tcPr>
          <w:p w14:paraId="66213285" w14:textId="77777777" w:rsidR="00002656" w:rsidRPr="000665B0" w:rsidRDefault="00002656" w:rsidP="006D5A65">
            <w:pPr>
              <w:pStyle w:val="Heading1"/>
            </w:pPr>
          </w:p>
        </w:tc>
        <w:tc>
          <w:tcPr>
            <w:tcW w:w="4596" w:type="dxa"/>
          </w:tcPr>
          <w:p w14:paraId="229C0DA8" w14:textId="77777777" w:rsidR="00002656" w:rsidRPr="00F47262" w:rsidRDefault="00002656" w:rsidP="00291898">
            <w:pPr>
              <w:spacing w:before="60" w:after="60"/>
              <w:rPr>
                <w:sz w:val="20"/>
              </w:rPr>
            </w:pPr>
            <w:r w:rsidRPr="00F47262">
              <w:rPr>
                <w:sz w:val="20"/>
              </w:rPr>
              <w:t xml:space="preserve">Within MDS, navigate to the </w:t>
            </w:r>
            <w:r w:rsidRPr="00F47262">
              <w:rPr>
                <w:b/>
                <w:sz w:val="20"/>
              </w:rPr>
              <w:t>TED Utilities</w:t>
            </w:r>
            <w:r w:rsidRPr="00F47262">
              <w:rPr>
                <w:sz w:val="20"/>
              </w:rPr>
              <w:t xml:space="preserve"> tool.</w:t>
            </w:r>
          </w:p>
        </w:tc>
        <w:tc>
          <w:tcPr>
            <w:tcW w:w="4134" w:type="dxa"/>
          </w:tcPr>
          <w:p w14:paraId="57C4AABD" w14:textId="77777777" w:rsidR="00002656" w:rsidRPr="00F47262" w:rsidRDefault="00002656" w:rsidP="00291898">
            <w:pPr>
              <w:spacing w:before="60" w:after="60"/>
              <w:rPr>
                <w:sz w:val="20"/>
              </w:rPr>
            </w:pPr>
          </w:p>
        </w:tc>
      </w:tr>
      <w:tr w:rsidR="00002656" w:rsidRPr="000665B0" w14:paraId="3B853F62" w14:textId="77777777" w:rsidTr="00F47262">
        <w:trPr>
          <w:cantSplit/>
        </w:trPr>
        <w:tc>
          <w:tcPr>
            <w:tcW w:w="743" w:type="dxa"/>
            <w:tcBorders>
              <w:bottom w:val="single" w:sz="4" w:space="0" w:color="auto"/>
            </w:tcBorders>
          </w:tcPr>
          <w:p w14:paraId="09C730CD" w14:textId="77777777" w:rsidR="00002656" w:rsidRPr="000665B0" w:rsidRDefault="00002656" w:rsidP="006D5A65">
            <w:pPr>
              <w:pStyle w:val="Heading1"/>
            </w:pPr>
          </w:p>
        </w:tc>
        <w:tc>
          <w:tcPr>
            <w:tcW w:w="4596" w:type="dxa"/>
            <w:tcBorders>
              <w:bottom w:val="single" w:sz="4" w:space="0" w:color="auto"/>
            </w:tcBorders>
          </w:tcPr>
          <w:p w14:paraId="39A7D9C7" w14:textId="77777777" w:rsidR="00002656" w:rsidRPr="00F47262" w:rsidRDefault="00002656" w:rsidP="00291898">
            <w:pPr>
              <w:spacing w:before="60" w:after="60"/>
              <w:rPr>
                <w:sz w:val="20"/>
              </w:rPr>
            </w:pPr>
            <w:r w:rsidRPr="00F47262">
              <w:rPr>
                <w:sz w:val="20"/>
              </w:rPr>
              <w:t xml:space="preserve">Select the </w:t>
            </w:r>
            <w:r w:rsidRPr="00F47262">
              <w:rPr>
                <w:b/>
                <w:i/>
                <w:sz w:val="20"/>
              </w:rPr>
              <w:t>TED Connections</w:t>
            </w:r>
            <w:r w:rsidRPr="00F47262">
              <w:rPr>
                <w:sz w:val="20"/>
              </w:rPr>
              <w:t xml:space="preserve"> tab and verify the </w:t>
            </w:r>
            <w:r w:rsidRPr="00F47262">
              <w:rPr>
                <w:b/>
                <w:sz w:val="20"/>
              </w:rPr>
              <w:t xml:space="preserve">Connection Status </w:t>
            </w:r>
            <w:r w:rsidRPr="00F47262">
              <w:rPr>
                <w:sz w:val="20"/>
              </w:rPr>
              <w:t>column.</w:t>
            </w:r>
          </w:p>
          <w:p w14:paraId="775A6EB2" w14:textId="7A5074DB" w:rsidR="00002656" w:rsidRPr="00F47262" w:rsidRDefault="00002656" w:rsidP="006D5A65">
            <w:pPr>
              <w:pStyle w:val="Heading1"/>
            </w:pPr>
            <w:r w:rsidRPr="00F47262">
              <w:t xml:space="preserve">If Connection Status column says: Success for all entries, problem was </w:t>
            </w:r>
            <w:r w:rsidR="009762F2" w:rsidRPr="00F47262">
              <w:t>resolved,</w:t>
            </w:r>
            <w:r w:rsidRPr="00F47262">
              <w:t xml:space="preserve"> and no additional action required.</w:t>
            </w:r>
          </w:p>
          <w:p w14:paraId="6355A6D6" w14:textId="77777777" w:rsidR="00002656" w:rsidRPr="00F47262" w:rsidRDefault="00002656" w:rsidP="006D5A65">
            <w:pPr>
              <w:pStyle w:val="Heading1"/>
            </w:pPr>
            <w:r w:rsidRPr="00F47262">
              <w:t>If Connection Status column says: Database Error for any entry, proceed to next step.</w:t>
            </w:r>
          </w:p>
        </w:tc>
        <w:tc>
          <w:tcPr>
            <w:tcW w:w="4134" w:type="dxa"/>
            <w:tcBorders>
              <w:bottom w:val="single" w:sz="4" w:space="0" w:color="auto"/>
            </w:tcBorders>
          </w:tcPr>
          <w:p w14:paraId="32016BA2" w14:textId="77777777" w:rsidR="00046849" w:rsidRPr="00F47262" w:rsidRDefault="00046849" w:rsidP="00046849">
            <w:pPr>
              <w:spacing w:before="60"/>
              <w:rPr>
                <w:sz w:val="20"/>
              </w:rPr>
            </w:pPr>
            <w:r w:rsidRPr="00F47262">
              <w:rPr>
                <w:noProof/>
                <w:sz w:val="20"/>
              </w:rPr>
              <w:drawing>
                <wp:inline distT="0" distB="0" distL="0" distR="0" wp14:anchorId="1A38CC40" wp14:editId="10006395">
                  <wp:extent cx="1414666" cy="1406236"/>
                  <wp:effectExtent l="0" t="0" r="0" b="3810"/>
                  <wp:docPr id="1455" name="Picture 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4446" cy="1415957"/>
                          </a:xfrm>
                          <a:prstGeom prst="rect">
                            <a:avLst/>
                          </a:prstGeom>
                          <a:ln>
                            <a:noFill/>
                          </a:ln>
                          <a:extLst>
                            <a:ext uri="{53640926-AAD7-44D8-BBD7-CCE9431645EC}">
                              <a14:shadowObscured xmlns:a14="http://schemas.microsoft.com/office/drawing/2010/main"/>
                            </a:ext>
                          </a:extLst>
                        </pic:spPr>
                      </pic:pic>
                    </a:graphicData>
                  </a:graphic>
                </wp:inline>
              </w:drawing>
            </w:r>
          </w:p>
          <w:p w14:paraId="67EE4977" w14:textId="2262AD42" w:rsidR="00002656" w:rsidRPr="00F47262" w:rsidRDefault="00046849" w:rsidP="00F90F2D">
            <w:pPr>
              <w:spacing w:before="60" w:after="60"/>
              <w:rPr>
                <w:sz w:val="20"/>
              </w:rPr>
            </w:pPr>
            <w:r w:rsidRPr="00F47262">
              <w:rPr>
                <w:sz w:val="20"/>
              </w:rPr>
              <w:object w:dxaOrig="8685" w:dyaOrig="3660" w14:anchorId="31C6C85D">
                <v:shape id="_x0000_i1034" type="#_x0000_t75" style="width:114pt;height:36pt" o:ole="">
                  <v:imagedata cropbottom="41652f" cropleft="30023f"/>
                </v:shape>
                <o:OLEObject Type="Embed" ProgID="PBrush" ShapeID="_x0000_i1034" DrawAspect="Content" ObjectID="_1846146717" r:id="rId48"/>
              </w:object>
            </w:r>
          </w:p>
        </w:tc>
      </w:tr>
      <w:tr w:rsidR="00A10A0C" w:rsidRPr="00A10A0C" w14:paraId="454E9E92" w14:textId="77777777" w:rsidTr="00F47262">
        <w:trPr>
          <w:cantSplit/>
        </w:trPr>
        <w:tc>
          <w:tcPr>
            <w:tcW w:w="9473" w:type="dxa"/>
            <w:gridSpan w:val="3"/>
            <w:shd w:val="clear" w:color="auto" w:fill="C6D9F1" w:themeFill="text2" w:themeFillTint="33"/>
          </w:tcPr>
          <w:p w14:paraId="01DD74B0" w14:textId="798E7E6A" w:rsidR="00002656" w:rsidRPr="00F47262" w:rsidRDefault="00002656" w:rsidP="000B25B3">
            <w:pPr>
              <w:keepNext/>
              <w:spacing w:before="60" w:after="60"/>
              <w:rPr>
                <w:b/>
                <w:i/>
                <w:color w:val="000000" w:themeColor="text1"/>
                <w:sz w:val="20"/>
              </w:rPr>
            </w:pPr>
            <w:r w:rsidRPr="00F47262">
              <w:rPr>
                <w:b/>
                <w:i/>
                <w:color w:val="000000" w:themeColor="text1"/>
                <w:sz w:val="20"/>
              </w:rPr>
              <w:t xml:space="preserve">Verify/Configure Time Synchronization Between Systems </w:t>
            </w:r>
          </w:p>
          <w:p w14:paraId="27D22E80" w14:textId="77777777" w:rsidR="00002656" w:rsidRPr="00F47262" w:rsidRDefault="00002656" w:rsidP="008D07DB">
            <w:pPr>
              <w:keepNext/>
              <w:spacing w:before="60" w:after="60"/>
              <w:rPr>
                <w:b/>
                <w:i/>
                <w:color w:val="000000" w:themeColor="text1"/>
                <w:sz w:val="20"/>
              </w:rPr>
            </w:pPr>
            <w:r w:rsidRPr="00F47262">
              <w:rPr>
                <w:b/>
                <w:i/>
                <w:color w:val="000000" w:themeColor="text1"/>
                <w:sz w:val="20"/>
              </w:rPr>
              <w:t xml:space="preserve">(FRU/Standalone </w:t>
            </w:r>
            <w:r w:rsidR="008D07DB" w:rsidRPr="00F47262">
              <w:rPr>
                <w:b/>
                <w:i/>
                <w:color w:val="000000" w:themeColor="text1"/>
                <w:sz w:val="20"/>
              </w:rPr>
              <w:t xml:space="preserve">MDS </w:t>
            </w:r>
            <w:r w:rsidRPr="00F47262">
              <w:rPr>
                <w:b/>
                <w:i/>
                <w:color w:val="000000" w:themeColor="text1"/>
                <w:sz w:val="20"/>
              </w:rPr>
              <w:t>Configurations: Skip These Steps)</w:t>
            </w:r>
          </w:p>
        </w:tc>
      </w:tr>
      <w:tr w:rsidR="00002656" w:rsidRPr="000665B0" w14:paraId="5AB26571" w14:textId="77777777" w:rsidTr="00F47262">
        <w:trPr>
          <w:cantSplit/>
        </w:trPr>
        <w:tc>
          <w:tcPr>
            <w:tcW w:w="743" w:type="dxa"/>
          </w:tcPr>
          <w:p w14:paraId="74262F1D" w14:textId="77777777" w:rsidR="00002656" w:rsidRPr="000665B0" w:rsidRDefault="00002656" w:rsidP="006D5A65">
            <w:pPr>
              <w:pStyle w:val="Heading1"/>
            </w:pPr>
          </w:p>
        </w:tc>
        <w:tc>
          <w:tcPr>
            <w:tcW w:w="4596" w:type="dxa"/>
          </w:tcPr>
          <w:p w14:paraId="77EA50D6" w14:textId="77777777" w:rsidR="00002656" w:rsidRPr="00F47262" w:rsidRDefault="00002656" w:rsidP="00291898">
            <w:pPr>
              <w:spacing w:before="60" w:after="60"/>
              <w:rPr>
                <w:sz w:val="20"/>
              </w:rPr>
            </w:pPr>
            <w:r w:rsidRPr="00F47262">
              <w:rPr>
                <w:sz w:val="20"/>
              </w:rPr>
              <w:t>For a CMSA/TSMPC configuration, see Note 1.</w:t>
            </w:r>
          </w:p>
          <w:p w14:paraId="732C11C2" w14:textId="5A6402C9" w:rsidR="00002656" w:rsidRPr="00F47262" w:rsidRDefault="00002656" w:rsidP="00291898">
            <w:pPr>
              <w:spacing w:before="60" w:after="60"/>
              <w:rPr>
                <w:sz w:val="20"/>
              </w:rPr>
            </w:pPr>
            <w:r w:rsidRPr="00F47262">
              <w:rPr>
                <w:sz w:val="20"/>
              </w:rPr>
              <w:t xml:space="preserve">For a CSG configuration, proceed to </w:t>
            </w:r>
            <w:r w:rsidR="00CF1C2C" w:rsidRPr="00F47262">
              <w:rPr>
                <w:sz w:val="20"/>
              </w:rPr>
              <w:t xml:space="preserve">the </w:t>
            </w:r>
            <w:r w:rsidRPr="00F47262">
              <w:rPr>
                <w:sz w:val="20"/>
              </w:rPr>
              <w:t>next step.</w:t>
            </w:r>
          </w:p>
        </w:tc>
        <w:tc>
          <w:tcPr>
            <w:tcW w:w="4134" w:type="dxa"/>
          </w:tcPr>
          <w:p w14:paraId="7CB22E98" w14:textId="584B7E6A" w:rsidR="00002656" w:rsidRPr="00F47262" w:rsidRDefault="00002656" w:rsidP="00CF1C2C">
            <w:pPr>
              <w:spacing w:before="60" w:after="60"/>
              <w:rPr>
                <w:sz w:val="20"/>
              </w:rPr>
            </w:pPr>
            <w:r w:rsidRPr="00F47262">
              <w:rPr>
                <w:b/>
                <w:i/>
                <w:sz w:val="20"/>
              </w:rPr>
              <w:t>Note 1:</w:t>
            </w:r>
            <w:r w:rsidRPr="00F47262">
              <w:rPr>
                <w:sz w:val="20"/>
              </w:rPr>
              <w:t xml:space="preserve"> MDS workstations within this configuration get their system time automatically from the Domain Controllers. If the time on the Domain Controller is incorrect, coordinate with the site’s System Administrator to have it changed, ensuring that other users (</w:t>
            </w:r>
            <w:r w:rsidR="003509EA" w:rsidRPr="00F47262">
              <w:rPr>
                <w:sz w:val="20"/>
              </w:rPr>
              <w:t xml:space="preserve">i.e., </w:t>
            </w:r>
            <w:r w:rsidRPr="00F47262">
              <w:rPr>
                <w:sz w:val="20"/>
              </w:rPr>
              <w:t xml:space="preserve">TPS, TNT, </w:t>
            </w:r>
            <w:r w:rsidR="00306E14" w:rsidRPr="00F47262">
              <w:rPr>
                <w:sz w:val="20"/>
              </w:rPr>
              <w:t>TM</w:t>
            </w:r>
            <w:r w:rsidRPr="00F47262">
              <w:rPr>
                <w:sz w:val="20"/>
              </w:rPr>
              <w:t xml:space="preserve">) are aware of an impending change. </w:t>
            </w:r>
          </w:p>
        </w:tc>
      </w:tr>
      <w:tr w:rsidR="00002656" w:rsidRPr="000665B0" w14:paraId="3A4241FF" w14:textId="77777777" w:rsidTr="00F47262">
        <w:trPr>
          <w:cantSplit/>
        </w:trPr>
        <w:tc>
          <w:tcPr>
            <w:tcW w:w="743" w:type="dxa"/>
          </w:tcPr>
          <w:p w14:paraId="08EA935E" w14:textId="77777777" w:rsidR="00002656" w:rsidRPr="000665B0" w:rsidRDefault="00002656" w:rsidP="006D5A65">
            <w:pPr>
              <w:pStyle w:val="Heading1"/>
            </w:pPr>
          </w:p>
        </w:tc>
        <w:tc>
          <w:tcPr>
            <w:tcW w:w="4596" w:type="dxa"/>
          </w:tcPr>
          <w:p w14:paraId="2A244588" w14:textId="77777777" w:rsidR="00002656" w:rsidRPr="00F47262" w:rsidRDefault="00002656" w:rsidP="00291898">
            <w:pPr>
              <w:spacing w:before="60" w:after="60"/>
              <w:rPr>
                <w:sz w:val="20"/>
              </w:rPr>
            </w:pPr>
            <w:r w:rsidRPr="00F47262">
              <w:rPr>
                <w:sz w:val="20"/>
              </w:rPr>
              <w:t>Login to the appropriate machines with an account that has administrator privileges.</w:t>
            </w:r>
          </w:p>
        </w:tc>
        <w:tc>
          <w:tcPr>
            <w:tcW w:w="4134" w:type="dxa"/>
          </w:tcPr>
          <w:p w14:paraId="4C8C37B7" w14:textId="77777777" w:rsidR="00002656" w:rsidRPr="00F47262" w:rsidRDefault="00002656" w:rsidP="00F17C13">
            <w:pPr>
              <w:spacing w:before="60" w:after="60"/>
              <w:rPr>
                <w:sz w:val="20"/>
              </w:rPr>
            </w:pPr>
            <w:r w:rsidRPr="00F47262">
              <w:rPr>
                <w:b/>
                <w:sz w:val="20"/>
              </w:rPr>
              <w:t>CSG</w:t>
            </w:r>
            <w:r w:rsidRPr="00F47262">
              <w:rPr>
                <w:sz w:val="20"/>
              </w:rPr>
              <w:t xml:space="preserve"> = </w:t>
            </w:r>
            <w:r w:rsidR="00C32884" w:rsidRPr="00F47262">
              <w:rPr>
                <w:sz w:val="20"/>
              </w:rPr>
              <w:t xml:space="preserve">TED/DB </w:t>
            </w:r>
            <w:r w:rsidRPr="00F47262">
              <w:rPr>
                <w:sz w:val="20"/>
              </w:rPr>
              <w:t xml:space="preserve">Server </w:t>
            </w:r>
            <w:r w:rsidR="00F17C13" w:rsidRPr="00F47262">
              <w:rPr>
                <w:sz w:val="20"/>
              </w:rPr>
              <w:t xml:space="preserve">and </w:t>
            </w:r>
            <w:r w:rsidRPr="00F47262">
              <w:rPr>
                <w:sz w:val="20"/>
              </w:rPr>
              <w:t>MDS workstation.</w:t>
            </w:r>
          </w:p>
        </w:tc>
      </w:tr>
      <w:tr w:rsidR="00002656" w:rsidRPr="000665B0" w14:paraId="179B32F8" w14:textId="77777777" w:rsidTr="00F47262">
        <w:trPr>
          <w:cantSplit/>
        </w:trPr>
        <w:tc>
          <w:tcPr>
            <w:tcW w:w="743" w:type="dxa"/>
          </w:tcPr>
          <w:p w14:paraId="1AEA974D" w14:textId="77777777" w:rsidR="00002656" w:rsidRPr="000665B0" w:rsidRDefault="00002656" w:rsidP="006D5A65">
            <w:pPr>
              <w:pStyle w:val="Heading1"/>
            </w:pPr>
          </w:p>
        </w:tc>
        <w:tc>
          <w:tcPr>
            <w:tcW w:w="4596" w:type="dxa"/>
          </w:tcPr>
          <w:p w14:paraId="34BB1946" w14:textId="5CF63105" w:rsidR="00002656" w:rsidRPr="00F47262" w:rsidRDefault="00002656" w:rsidP="00047BA4">
            <w:pPr>
              <w:spacing w:before="60" w:after="60"/>
              <w:rPr>
                <w:sz w:val="20"/>
              </w:rPr>
            </w:pPr>
            <w:r w:rsidRPr="00F47262">
              <w:rPr>
                <w:sz w:val="20"/>
              </w:rPr>
              <w:t>On both machines, perform Steps 56-</w:t>
            </w:r>
            <w:r w:rsidR="00047BA4" w:rsidRPr="00F47262">
              <w:rPr>
                <w:sz w:val="20"/>
              </w:rPr>
              <w:t>67</w:t>
            </w:r>
            <w:r w:rsidRPr="00F47262">
              <w:rPr>
                <w:sz w:val="20"/>
              </w:rPr>
              <w:t>.</w:t>
            </w:r>
          </w:p>
        </w:tc>
        <w:tc>
          <w:tcPr>
            <w:tcW w:w="4134" w:type="dxa"/>
          </w:tcPr>
          <w:p w14:paraId="08C56408" w14:textId="77777777" w:rsidR="00002656" w:rsidRPr="00F47262" w:rsidRDefault="00002656" w:rsidP="00291898">
            <w:pPr>
              <w:spacing w:before="60" w:after="60"/>
              <w:rPr>
                <w:sz w:val="20"/>
              </w:rPr>
            </w:pPr>
          </w:p>
        </w:tc>
      </w:tr>
      <w:tr w:rsidR="00002656" w:rsidRPr="000665B0" w14:paraId="77991D2C" w14:textId="77777777" w:rsidTr="00F47262">
        <w:trPr>
          <w:cantSplit/>
        </w:trPr>
        <w:tc>
          <w:tcPr>
            <w:tcW w:w="743" w:type="dxa"/>
          </w:tcPr>
          <w:p w14:paraId="37FF0014" w14:textId="77777777" w:rsidR="00002656" w:rsidRPr="000665B0" w:rsidRDefault="00002656" w:rsidP="006D5A65">
            <w:pPr>
              <w:pStyle w:val="Heading1"/>
            </w:pPr>
          </w:p>
        </w:tc>
        <w:tc>
          <w:tcPr>
            <w:tcW w:w="4596" w:type="dxa"/>
          </w:tcPr>
          <w:p w14:paraId="4CB2CAA5" w14:textId="3F45B262" w:rsidR="00002656" w:rsidRPr="00F47262" w:rsidRDefault="00381953" w:rsidP="00CF1C2C">
            <w:pPr>
              <w:spacing w:before="60" w:after="60"/>
              <w:rPr>
                <w:sz w:val="20"/>
              </w:rPr>
            </w:pPr>
            <w:r w:rsidRPr="00F47262">
              <w:rPr>
                <w:sz w:val="20"/>
              </w:rPr>
              <w:t xml:space="preserve">From the </w:t>
            </w:r>
            <w:r w:rsidRPr="00F47262">
              <w:rPr>
                <w:b/>
                <w:sz w:val="20"/>
              </w:rPr>
              <w:t>Windows Start Menu</w:t>
            </w:r>
            <w:r w:rsidRPr="00F47262">
              <w:rPr>
                <w:sz w:val="20"/>
              </w:rPr>
              <w:t xml:space="preserve"> </w:t>
            </w:r>
            <w:r w:rsidRPr="00F47262">
              <w:rPr>
                <w:noProof/>
                <w:position w:val="-4"/>
                <w:sz w:val="20"/>
              </w:rPr>
              <w:drawing>
                <wp:inline distT="0" distB="0" distL="0" distR="0" wp14:anchorId="340FB8EA" wp14:editId="5A35BA74">
                  <wp:extent cx="182880" cy="178068"/>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navigate to </w:t>
            </w:r>
            <w:r w:rsidRPr="00F47262">
              <w:rPr>
                <w:b/>
                <w:sz w:val="20"/>
              </w:rPr>
              <w:t>Windows System</w:t>
            </w:r>
            <w:r w:rsidRPr="00F47262">
              <w:rPr>
                <w:sz w:val="20"/>
              </w:rPr>
              <w:t xml:space="preserve"> and then select </w:t>
            </w:r>
            <w:r w:rsidRPr="00F47262">
              <w:rPr>
                <w:b/>
                <w:sz w:val="20"/>
              </w:rPr>
              <w:t xml:space="preserve">Control </w:t>
            </w:r>
            <w:r w:rsidR="009762F2" w:rsidRPr="00F47262">
              <w:rPr>
                <w:b/>
                <w:sz w:val="20"/>
              </w:rPr>
              <w:t>Panel</w:t>
            </w:r>
            <w:r w:rsidR="009762F2" w:rsidRPr="00F47262">
              <w:rPr>
                <w:sz w:val="20"/>
              </w:rPr>
              <w:t xml:space="preserve"> or</w:t>
            </w:r>
            <w:r w:rsidR="00047BA4" w:rsidRPr="00F47262">
              <w:rPr>
                <w:sz w:val="20"/>
              </w:rPr>
              <w:t xml:space="preserve"> </w:t>
            </w:r>
            <w:r w:rsidR="00CF1C2C" w:rsidRPr="00F47262">
              <w:rPr>
                <w:sz w:val="20"/>
              </w:rPr>
              <w:t>type</w:t>
            </w:r>
            <w:r w:rsidR="00047BA4" w:rsidRPr="00F47262">
              <w:rPr>
                <w:sz w:val="20"/>
              </w:rPr>
              <w:t xml:space="preserve"> </w:t>
            </w:r>
            <w:r w:rsidR="00047BA4" w:rsidRPr="00F47262">
              <w:rPr>
                <w:b/>
                <w:sz w:val="20"/>
              </w:rPr>
              <w:t xml:space="preserve">Control Panel </w:t>
            </w:r>
            <w:r w:rsidR="00047BA4" w:rsidRPr="00F47262">
              <w:rPr>
                <w:sz w:val="20"/>
              </w:rPr>
              <w:t xml:space="preserve">in the </w:t>
            </w:r>
            <w:r w:rsidR="00047BA4" w:rsidRPr="00F47262">
              <w:rPr>
                <w:b/>
                <w:sz w:val="20"/>
              </w:rPr>
              <w:t>Search</w:t>
            </w:r>
            <w:r w:rsidR="00047BA4" w:rsidRPr="00F47262">
              <w:rPr>
                <w:sz w:val="20"/>
              </w:rPr>
              <w:t xml:space="preserve"> field</w:t>
            </w:r>
            <w:r w:rsidRPr="00F47262">
              <w:rPr>
                <w:sz w:val="20"/>
              </w:rPr>
              <w:t xml:space="preserve">. </w:t>
            </w:r>
          </w:p>
        </w:tc>
        <w:tc>
          <w:tcPr>
            <w:tcW w:w="4134" w:type="dxa"/>
          </w:tcPr>
          <w:p w14:paraId="0214EB72" w14:textId="733D2CA6" w:rsidR="00002656" w:rsidRPr="00F47262" w:rsidRDefault="00047BA4" w:rsidP="00291898">
            <w:pPr>
              <w:spacing w:before="60" w:after="60"/>
              <w:rPr>
                <w:b/>
                <w:noProof/>
                <w:sz w:val="20"/>
              </w:rPr>
            </w:pPr>
            <w:r w:rsidRPr="00F47262">
              <w:rPr>
                <w:noProof/>
                <w:sz w:val="20"/>
              </w:rPr>
              <w:t xml:space="preserve"> </w:t>
            </w:r>
            <w:r w:rsidRPr="00F47262">
              <w:rPr>
                <w:noProof/>
                <w:sz w:val="20"/>
              </w:rPr>
              <w:drawing>
                <wp:inline distT="0" distB="0" distL="0" distR="0" wp14:anchorId="424F5D8F" wp14:editId="0987CA52">
                  <wp:extent cx="2169160" cy="2124891"/>
                  <wp:effectExtent l="0" t="0" r="254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69160" cy="2124891"/>
                          </a:xfrm>
                          <a:prstGeom prst="rect">
                            <a:avLst/>
                          </a:prstGeom>
                        </pic:spPr>
                      </pic:pic>
                    </a:graphicData>
                  </a:graphic>
                </wp:inline>
              </w:drawing>
            </w:r>
          </w:p>
        </w:tc>
      </w:tr>
      <w:tr w:rsidR="00002656" w:rsidRPr="000665B0" w14:paraId="3C834A82" w14:textId="77777777" w:rsidTr="00F47262">
        <w:trPr>
          <w:cantSplit/>
        </w:trPr>
        <w:tc>
          <w:tcPr>
            <w:tcW w:w="743" w:type="dxa"/>
          </w:tcPr>
          <w:p w14:paraId="480119FF" w14:textId="77777777" w:rsidR="00002656" w:rsidRPr="000665B0" w:rsidRDefault="00002656" w:rsidP="006D5A65">
            <w:pPr>
              <w:pStyle w:val="Heading1"/>
            </w:pPr>
          </w:p>
        </w:tc>
        <w:tc>
          <w:tcPr>
            <w:tcW w:w="4596" w:type="dxa"/>
          </w:tcPr>
          <w:p w14:paraId="6D4F2386" w14:textId="6AFCB06D" w:rsidR="00002656" w:rsidRPr="00F47262" w:rsidRDefault="00002656" w:rsidP="00752EA5">
            <w:pPr>
              <w:spacing w:before="60" w:after="60"/>
              <w:rPr>
                <w:sz w:val="20"/>
              </w:rPr>
            </w:pPr>
            <w:r w:rsidRPr="00F47262">
              <w:rPr>
                <w:sz w:val="20"/>
              </w:rPr>
              <w:t>Click</w:t>
            </w:r>
            <w:r w:rsidR="00752EA5" w:rsidRPr="00F47262">
              <w:rPr>
                <w:sz w:val="20"/>
              </w:rPr>
              <w:t xml:space="preserve"> on</w:t>
            </w:r>
            <w:r w:rsidRPr="00F47262">
              <w:rPr>
                <w:sz w:val="20"/>
              </w:rPr>
              <w:t xml:space="preserve"> </w:t>
            </w:r>
            <w:r w:rsidR="00381953" w:rsidRPr="00F47262">
              <w:rPr>
                <w:b/>
                <w:sz w:val="20"/>
              </w:rPr>
              <w:t xml:space="preserve">Date </w:t>
            </w:r>
            <w:r w:rsidRPr="00F47262">
              <w:rPr>
                <w:b/>
                <w:sz w:val="20"/>
              </w:rPr>
              <w:t xml:space="preserve">and </w:t>
            </w:r>
            <w:r w:rsidR="00381953" w:rsidRPr="00F47262">
              <w:rPr>
                <w:b/>
                <w:sz w:val="20"/>
              </w:rPr>
              <w:t>Time</w:t>
            </w:r>
            <w:r w:rsidRPr="00F47262">
              <w:rPr>
                <w:sz w:val="20"/>
              </w:rPr>
              <w:t>.</w:t>
            </w:r>
          </w:p>
        </w:tc>
        <w:tc>
          <w:tcPr>
            <w:tcW w:w="4134" w:type="dxa"/>
          </w:tcPr>
          <w:p w14:paraId="1012CE5C" w14:textId="2D27E314" w:rsidR="00002656" w:rsidRPr="00F47262" w:rsidRDefault="00381953" w:rsidP="00291898">
            <w:pPr>
              <w:spacing w:before="60" w:after="60"/>
              <w:rPr>
                <w:b/>
                <w:noProof/>
                <w:sz w:val="20"/>
              </w:rPr>
            </w:pPr>
            <w:r w:rsidRPr="00F47262">
              <w:rPr>
                <w:noProof/>
                <w:sz w:val="20"/>
              </w:rPr>
              <w:drawing>
                <wp:inline distT="0" distB="0" distL="0" distR="0" wp14:anchorId="673547A4" wp14:editId="1A90C2F7">
                  <wp:extent cx="2168435" cy="2185852"/>
                  <wp:effectExtent l="0" t="0" r="381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168435" cy="2185852"/>
                          </a:xfrm>
                          <a:prstGeom prst="rect">
                            <a:avLst/>
                          </a:prstGeom>
                        </pic:spPr>
                      </pic:pic>
                    </a:graphicData>
                  </a:graphic>
                </wp:inline>
              </w:drawing>
            </w:r>
            <w:r w:rsidRPr="00F47262" w:rsidDel="00381953">
              <w:rPr>
                <w:noProof/>
                <w:sz w:val="20"/>
              </w:rPr>
              <w:t xml:space="preserve"> </w:t>
            </w:r>
          </w:p>
        </w:tc>
      </w:tr>
      <w:tr w:rsidR="0015137E" w:rsidRPr="000665B0" w14:paraId="3C87636C" w14:textId="77777777" w:rsidTr="00F47262">
        <w:trPr>
          <w:cantSplit/>
        </w:trPr>
        <w:tc>
          <w:tcPr>
            <w:tcW w:w="743" w:type="dxa"/>
          </w:tcPr>
          <w:p w14:paraId="74CE1204" w14:textId="77777777" w:rsidR="0015137E" w:rsidRPr="000665B0" w:rsidRDefault="0015137E" w:rsidP="006D5A65">
            <w:pPr>
              <w:pStyle w:val="Heading1"/>
            </w:pPr>
          </w:p>
        </w:tc>
        <w:tc>
          <w:tcPr>
            <w:tcW w:w="4596" w:type="dxa"/>
          </w:tcPr>
          <w:p w14:paraId="209610A0" w14:textId="6F090FCA" w:rsidR="0015137E" w:rsidRPr="00F47262" w:rsidRDefault="0015137E" w:rsidP="00291898">
            <w:pPr>
              <w:spacing w:before="60" w:after="60"/>
              <w:rPr>
                <w:sz w:val="20"/>
              </w:rPr>
            </w:pPr>
            <w:r w:rsidRPr="00F47262">
              <w:rPr>
                <w:sz w:val="20"/>
              </w:rPr>
              <w:t xml:space="preserve">Click the </w:t>
            </w:r>
            <w:r w:rsidRPr="00F47262">
              <w:rPr>
                <w:b/>
                <w:sz w:val="20"/>
              </w:rPr>
              <w:t>Change date and time…</w:t>
            </w:r>
            <w:r w:rsidRPr="00F47262">
              <w:rPr>
                <w:sz w:val="20"/>
              </w:rPr>
              <w:t xml:space="preserve"> button.</w:t>
            </w:r>
          </w:p>
        </w:tc>
        <w:tc>
          <w:tcPr>
            <w:tcW w:w="4134" w:type="dxa"/>
          </w:tcPr>
          <w:p w14:paraId="380896A1" w14:textId="7A1D8F13" w:rsidR="0015137E" w:rsidRPr="00F47262" w:rsidRDefault="00140235" w:rsidP="00291898">
            <w:pPr>
              <w:spacing w:before="60" w:after="60"/>
              <w:rPr>
                <w:noProof/>
                <w:sz w:val="20"/>
              </w:rPr>
            </w:pPr>
            <w:r w:rsidRPr="00F47262">
              <w:rPr>
                <w:noProof/>
                <w:sz w:val="20"/>
              </w:rPr>
              <w:drawing>
                <wp:inline distT="0" distB="0" distL="0" distR="0" wp14:anchorId="5B06B6E6" wp14:editId="18E8F75B">
                  <wp:extent cx="2567940" cy="2722542"/>
                  <wp:effectExtent l="0" t="0" r="381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567940" cy="2722542"/>
                          </a:xfrm>
                          <a:prstGeom prst="rect">
                            <a:avLst/>
                          </a:prstGeom>
                        </pic:spPr>
                      </pic:pic>
                    </a:graphicData>
                  </a:graphic>
                </wp:inline>
              </w:drawing>
            </w:r>
          </w:p>
        </w:tc>
      </w:tr>
      <w:tr w:rsidR="00002656" w:rsidRPr="000665B0" w14:paraId="57474D25" w14:textId="77777777" w:rsidTr="00F47262">
        <w:trPr>
          <w:cantSplit/>
        </w:trPr>
        <w:tc>
          <w:tcPr>
            <w:tcW w:w="743" w:type="dxa"/>
          </w:tcPr>
          <w:p w14:paraId="13CE21B7" w14:textId="77777777" w:rsidR="00002656" w:rsidRPr="000665B0" w:rsidRDefault="00002656" w:rsidP="006D5A65">
            <w:pPr>
              <w:pStyle w:val="Heading1"/>
            </w:pPr>
          </w:p>
        </w:tc>
        <w:tc>
          <w:tcPr>
            <w:tcW w:w="4596" w:type="dxa"/>
          </w:tcPr>
          <w:p w14:paraId="65F01DB4" w14:textId="648224E3" w:rsidR="00002656" w:rsidRPr="00F47262" w:rsidRDefault="00002656" w:rsidP="00291898">
            <w:pPr>
              <w:spacing w:before="60" w:after="60"/>
              <w:rPr>
                <w:sz w:val="20"/>
              </w:rPr>
            </w:pPr>
            <w:r w:rsidRPr="00F47262">
              <w:rPr>
                <w:sz w:val="20"/>
              </w:rPr>
              <w:t>Select the day of the month that represents the current Zulu date</w:t>
            </w:r>
            <w:r w:rsidR="00047BA4" w:rsidRPr="00F47262">
              <w:rPr>
                <w:sz w:val="20"/>
              </w:rPr>
              <w:t xml:space="preserve"> but do not click the</w:t>
            </w:r>
            <w:r w:rsidR="00047BA4" w:rsidRPr="00F47262">
              <w:rPr>
                <w:b/>
                <w:sz w:val="20"/>
              </w:rPr>
              <w:t xml:space="preserve"> OK</w:t>
            </w:r>
            <w:r w:rsidR="00047BA4" w:rsidRPr="00F47262">
              <w:rPr>
                <w:sz w:val="20"/>
              </w:rPr>
              <w:t xml:space="preserve"> button</w:t>
            </w:r>
            <w:r w:rsidRPr="00F47262">
              <w:rPr>
                <w:sz w:val="20"/>
              </w:rPr>
              <w:t>.</w:t>
            </w:r>
          </w:p>
        </w:tc>
        <w:tc>
          <w:tcPr>
            <w:tcW w:w="4134" w:type="dxa"/>
          </w:tcPr>
          <w:p w14:paraId="47B07362" w14:textId="595D1F9E" w:rsidR="00002656" w:rsidRPr="00F47262" w:rsidRDefault="00140235" w:rsidP="00291898">
            <w:pPr>
              <w:spacing w:before="60" w:after="60"/>
              <w:rPr>
                <w:b/>
                <w:noProof/>
                <w:sz w:val="20"/>
              </w:rPr>
            </w:pPr>
            <w:r w:rsidRPr="00F47262">
              <w:rPr>
                <w:noProof/>
                <w:sz w:val="20"/>
              </w:rPr>
              <w:drawing>
                <wp:inline distT="0" distB="0" distL="0" distR="0" wp14:anchorId="08174260" wp14:editId="3245ABBF">
                  <wp:extent cx="2543965" cy="2537460"/>
                  <wp:effectExtent l="0" t="0" r="8890" b="0"/>
                  <wp:docPr id="1395" name="Picture 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543965" cy="2537460"/>
                          </a:xfrm>
                          <a:prstGeom prst="rect">
                            <a:avLst/>
                          </a:prstGeom>
                        </pic:spPr>
                      </pic:pic>
                    </a:graphicData>
                  </a:graphic>
                </wp:inline>
              </w:drawing>
            </w:r>
          </w:p>
        </w:tc>
      </w:tr>
      <w:tr w:rsidR="00002656" w:rsidRPr="000665B0" w14:paraId="6F6AED22" w14:textId="77777777" w:rsidTr="00F47262">
        <w:trPr>
          <w:cantSplit/>
        </w:trPr>
        <w:tc>
          <w:tcPr>
            <w:tcW w:w="743" w:type="dxa"/>
          </w:tcPr>
          <w:p w14:paraId="65675669" w14:textId="77777777" w:rsidR="00002656" w:rsidRPr="000665B0" w:rsidRDefault="00002656" w:rsidP="006D5A65">
            <w:pPr>
              <w:pStyle w:val="Heading1"/>
            </w:pPr>
          </w:p>
        </w:tc>
        <w:tc>
          <w:tcPr>
            <w:tcW w:w="4596" w:type="dxa"/>
          </w:tcPr>
          <w:p w14:paraId="486AEF68" w14:textId="77777777" w:rsidR="00002656" w:rsidRPr="00F47262" w:rsidRDefault="00002656" w:rsidP="00393E1D">
            <w:pPr>
              <w:spacing w:before="60" w:after="60"/>
              <w:rPr>
                <w:sz w:val="20"/>
              </w:rPr>
            </w:pPr>
            <w:r w:rsidRPr="00F47262">
              <w:rPr>
                <w:sz w:val="20"/>
              </w:rPr>
              <w:t>Adjust the time:</w:t>
            </w:r>
          </w:p>
          <w:p w14:paraId="496F4CE3" w14:textId="77777777" w:rsidR="00002656" w:rsidRPr="00F47262" w:rsidRDefault="00002656" w:rsidP="006D5A65">
            <w:pPr>
              <w:pStyle w:val="Heading1"/>
            </w:pPr>
            <w:r w:rsidRPr="00F47262">
              <w:t>Double-click the hour, and then click the arrows to increase or decrease the value.</w:t>
            </w:r>
          </w:p>
          <w:p w14:paraId="4DE56DB7" w14:textId="77777777" w:rsidR="00002656" w:rsidRPr="00F47262" w:rsidRDefault="00002656" w:rsidP="006D5A65">
            <w:pPr>
              <w:pStyle w:val="Heading1"/>
            </w:pPr>
            <w:r w:rsidRPr="00F47262">
              <w:t>Double-click the minutes, and then click the arrows to increase or decrease the value.</w:t>
            </w:r>
          </w:p>
          <w:p w14:paraId="3B7364A1" w14:textId="77777777" w:rsidR="00002656" w:rsidRPr="00F47262" w:rsidRDefault="00002656" w:rsidP="006D5A65">
            <w:pPr>
              <w:pStyle w:val="Heading1"/>
            </w:pPr>
            <w:r w:rsidRPr="00F47262">
              <w:t>Double-click the seconds, and then click the arrows to increase or decrease the value.</w:t>
            </w:r>
          </w:p>
          <w:p w14:paraId="15306A73" w14:textId="77777777" w:rsidR="0015137E" w:rsidRPr="00F47262" w:rsidRDefault="0015137E" w:rsidP="006D5A65">
            <w:pPr>
              <w:pStyle w:val="Heading1"/>
            </w:pPr>
            <w:r w:rsidRPr="00F47262">
              <w:t>Click the OK button.</w:t>
            </w:r>
          </w:p>
          <w:p w14:paraId="75AEE9BB" w14:textId="69CBE221" w:rsidR="00140235" w:rsidRPr="00F47262" w:rsidRDefault="00140235" w:rsidP="00140235">
            <w:pPr>
              <w:spacing w:before="60" w:after="60" w:line="240" w:lineRule="auto"/>
              <w:ind w:left="360"/>
              <w:contextualSpacing/>
              <w:rPr>
                <w:rFonts w:ascii="Calibri" w:eastAsia="Calibri" w:hAnsi="Calibri"/>
                <w:sz w:val="20"/>
              </w:rPr>
            </w:pPr>
          </w:p>
        </w:tc>
        <w:tc>
          <w:tcPr>
            <w:tcW w:w="4134" w:type="dxa"/>
          </w:tcPr>
          <w:p w14:paraId="5249AC7C" w14:textId="2732D1C2" w:rsidR="00002656" w:rsidRPr="00F47262" w:rsidRDefault="00140235" w:rsidP="00291898">
            <w:pPr>
              <w:spacing w:before="60" w:after="60"/>
              <w:rPr>
                <w:b/>
                <w:noProof/>
                <w:sz w:val="20"/>
              </w:rPr>
            </w:pPr>
            <w:r w:rsidRPr="00F47262">
              <w:rPr>
                <w:noProof/>
                <w:sz w:val="20"/>
              </w:rPr>
              <w:drawing>
                <wp:inline distT="0" distB="0" distL="0" distR="0" wp14:anchorId="0E6AD2FD" wp14:editId="02AD388C">
                  <wp:extent cx="2522220" cy="251577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530353" cy="2523883"/>
                          </a:xfrm>
                          <a:prstGeom prst="rect">
                            <a:avLst/>
                          </a:prstGeom>
                        </pic:spPr>
                      </pic:pic>
                    </a:graphicData>
                  </a:graphic>
                </wp:inline>
              </w:drawing>
            </w:r>
          </w:p>
        </w:tc>
      </w:tr>
      <w:tr w:rsidR="00002656" w:rsidRPr="000665B0" w14:paraId="0FEDD423" w14:textId="77777777" w:rsidTr="00F47262">
        <w:trPr>
          <w:cantSplit/>
        </w:trPr>
        <w:tc>
          <w:tcPr>
            <w:tcW w:w="743" w:type="dxa"/>
          </w:tcPr>
          <w:p w14:paraId="3B625E3E" w14:textId="77777777" w:rsidR="00002656" w:rsidRPr="000665B0" w:rsidRDefault="00002656" w:rsidP="006D5A65">
            <w:pPr>
              <w:pStyle w:val="Heading1"/>
            </w:pPr>
          </w:p>
        </w:tc>
        <w:tc>
          <w:tcPr>
            <w:tcW w:w="4596" w:type="dxa"/>
          </w:tcPr>
          <w:p w14:paraId="47C63D53" w14:textId="77777777" w:rsidR="00002656" w:rsidRPr="00F47262" w:rsidRDefault="00002656" w:rsidP="00291898">
            <w:pPr>
              <w:spacing w:before="60" w:after="60"/>
              <w:rPr>
                <w:sz w:val="20"/>
              </w:rPr>
            </w:pPr>
            <w:r w:rsidRPr="00F47262">
              <w:rPr>
                <w:sz w:val="20"/>
              </w:rPr>
              <w:t xml:space="preserve">View Time zone value and ensure </w:t>
            </w:r>
            <w:r w:rsidRPr="00F47262">
              <w:rPr>
                <w:b/>
                <w:sz w:val="20"/>
              </w:rPr>
              <w:t>(UTC) Coordinated Universal Time</w:t>
            </w:r>
            <w:r w:rsidRPr="00F47262">
              <w:rPr>
                <w:sz w:val="20"/>
              </w:rPr>
              <w:t xml:space="preserve"> is displayed:</w:t>
            </w:r>
          </w:p>
          <w:p w14:paraId="1B2B79F6" w14:textId="77777777" w:rsidR="00002656" w:rsidRPr="00F47262" w:rsidRDefault="00002656" w:rsidP="006D5A65">
            <w:pPr>
              <w:pStyle w:val="Heading1"/>
            </w:pPr>
            <w:r w:rsidRPr="00F47262">
              <w:t>Click the Change time zone… button.</w:t>
            </w:r>
          </w:p>
        </w:tc>
        <w:tc>
          <w:tcPr>
            <w:tcW w:w="4134" w:type="dxa"/>
          </w:tcPr>
          <w:p w14:paraId="6DF29FEA" w14:textId="68C93FCF" w:rsidR="00002656" w:rsidRPr="00F47262" w:rsidRDefault="00140235" w:rsidP="00291898">
            <w:pPr>
              <w:spacing w:before="60" w:after="60"/>
              <w:rPr>
                <w:sz w:val="20"/>
              </w:rPr>
            </w:pPr>
            <w:r w:rsidRPr="00F47262">
              <w:rPr>
                <w:noProof/>
                <w:sz w:val="20"/>
              </w:rPr>
              <w:drawing>
                <wp:inline distT="0" distB="0" distL="0" distR="0" wp14:anchorId="583817FC" wp14:editId="19CF66AF">
                  <wp:extent cx="2573051" cy="2727960"/>
                  <wp:effectExtent l="0" t="0" r="0" b="0"/>
                  <wp:docPr id="1414" name="Picture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577857" cy="2733055"/>
                          </a:xfrm>
                          <a:prstGeom prst="rect">
                            <a:avLst/>
                          </a:prstGeom>
                        </pic:spPr>
                      </pic:pic>
                    </a:graphicData>
                  </a:graphic>
                </wp:inline>
              </w:drawing>
            </w:r>
          </w:p>
        </w:tc>
      </w:tr>
      <w:tr w:rsidR="00002656" w:rsidRPr="000665B0" w14:paraId="039811D3" w14:textId="77777777" w:rsidTr="00F47262">
        <w:trPr>
          <w:cantSplit/>
        </w:trPr>
        <w:tc>
          <w:tcPr>
            <w:tcW w:w="743" w:type="dxa"/>
          </w:tcPr>
          <w:p w14:paraId="31F00D92" w14:textId="77777777" w:rsidR="00002656" w:rsidRPr="000665B0" w:rsidRDefault="00002656" w:rsidP="006D5A65">
            <w:pPr>
              <w:pStyle w:val="Heading1"/>
            </w:pPr>
          </w:p>
        </w:tc>
        <w:tc>
          <w:tcPr>
            <w:tcW w:w="4596" w:type="dxa"/>
          </w:tcPr>
          <w:p w14:paraId="61455F1F" w14:textId="77777777" w:rsidR="00002656" w:rsidRPr="00F47262" w:rsidRDefault="00002656" w:rsidP="000B25B3">
            <w:pPr>
              <w:spacing w:before="60" w:after="60"/>
              <w:rPr>
                <w:sz w:val="20"/>
              </w:rPr>
            </w:pPr>
            <w:r w:rsidRPr="00F47262">
              <w:rPr>
                <w:sz w:val="20"/>
              </w:rPr>
              <w:t xml:space="preserve">From the </w:t>
            </w:r>
            <w:r w:rsidRPr="00F47262">
              <w:rPr>
                <w:b/>
                <w:sz w:val="20"/>
              </w:rPr>
              <w:t>Time zone</w:t>
            </w:r>
            <w:r w:rsidRPr="00F47262">
              <w:rPr>
                <w:sz w:val="20"/>
              </w:rPr>
              <w:t xml:space="preserve"> drop down menu, select the </w:t>
            </w:r>
            <w:r w:rsidRPr="00F47262">
              <w:rPr>
                <w:b/>
                <w:sz w:val="20"/>
              </w:rPr>
              <w:t>(UTC) Coordinated Universal Time</w:t>
            </w:r>
            <w:r w:rsidRPr="00F47262">
              <w:rPr>
                <w:sz w:val="20"/>
              </w:rPr>
              <w:t xml:space="preserve"> entry, if not already selected.</w:t>
            </w:r>
          </w:p>
        </w:tc>
        <w:tc>
          <w:tcPr>
            <w:tcW w:w="4134" w:type="dxa"/>
            <w:vMerge w:val="restart"/>
          </w:tcPr>
          <w:p w14:paraId="3D5F143C" w14:textId="5BD2B5D8" w:rsidR="00002656" w:rsidRPr="00F47262" w:rsidRDefault="00140235" w:rsidP="00291898">
            <w:pPr>
              <w:spacing w:before="60" w:after="60"/>
              <w:rPr>
                <w:sz w:val="20"/>
              </w:rPr>
            </w:pPr>
            <w:r w:rsidRPr="00F47262">
              <w:rPr>
                <w:noProof/>
                <w:sz w:val="20"/>
              </w:rPr>
              <w:drawing>
                <wp:inline distT="0" distB="0" distL="0" distR="0" wp14:anchorId="2E05822E" wp14:editId="7EE0EA59">
                  <wp:extent cx="2606040" cy="1470214"/>
                  <wp:effectExtent l="0" t="0" r="3810" b="0"/>
                  <wp:docPr id="1416" name="Picture 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612599" cy="1473914"/>
                          </a:xfrm>
                          <a:prstGeom prst="rect">
                            <a:avLst/>
                          </a:prstGeom>
                        </pic:spPr>
                      </pic:pic>
                    </a:graphicData>
                  </a:graphic>
                </wp:inline>
              </w:drawing>
            </w:r>
          </w:p>
        </w:tc>
      </w:tr>
      <w:tr w:rsidR="00002656" w:rsidRPr="000665B0" w14:paraId="6C38FE2C" w14:textId="77777777" w:rsidTr="00F47262">
        <w:trPr>
          <w:cantSplit/>
        </w:trPr>
        <w:tc>
          <w:tcPr>
            <w:tcW w:w="743" w:type="dxa"/>
          </w:tcPr>
          <w:p w14:paraId="7BF07ED3" w14:textId="77777777" w:rsidR="00002656" w:rsidRPr="000665B0" w:rsidRDefault="00002656" w:rsidP="006D5A65">
            <w:pPr>
              <w:pStyle w:val="Heading1"/>
            </w:pPr>
          </w:p>
        </w:tc>
        <w:tc>
          <w:tcPr>
            <w:tcW w:w="4596" w:type="dxa"/>
          </w:tcPr>
          <w:p w14:paraId="543E672D" w14:textId="77777777" w:rsidR="00002656" w:rsidRPr="00F47262" w:rsidRDefault="00002656" w:rsidP="000B25B3">
            <w:pPr>
              <w:spacing w:before="60" w:after="60"/>
              <w:rPr>
                <w:sz w:val="20"/>
              </w:rPr>
            </w:pPr>
            <w:r w:rsidRPr="00F47262">
              <w:rPr>
                <w:sz w:val="20"/>
              </w:rPr>
              <w:t xml:space="preserve">Click the </w:t>
            </w:r>
            <w:r w:rsidRPr="00F47262">
              <w:rPr>
                <w:b/>
                <w:sz w:val="20"/>
              </w:rPr>
              <w:t>OK</w:t>
            </w:r>
            <w:r w:rsidRPr="00F47262">
              <w:rPr>
                <w:sz w:val="20"/>
              </w:rPr>
              <w:t xml:space="preserve"> button.</w:t>
            </w:r>
          </w:p>
        </w:tc>
        <w:tc>
          <w:tcPr>
            <w:tcW w:w="4134" w:type="dxa"/>
            <w:vMerge/>
          </w:tcPr>
          <w:p w14:paraId="7909135E" w14:textId="77777777" w:rsidR="00002656" w:rsidRPr="00F47262" w:rsidRDefault="00002656" w:rsidP="00291898">
            <w:pPr>
              <w:spacing w:before="60" w:after="60"/>
              <w:rPr>
                <w:sz w:val="20"/>
              </w:rPr>
            </w:pPr>
          </w:p>
        </w:tc>
      </w:tr>
      <w:tr w:rsidR="00047BA4" w:rsidRPr="000665B0" w14:paraId="7B485686" w14:textId="77777777" w:rsidTr="00F47262">
        <w:trPr>
          <w:cantSplit/>
        </w:trPr>
        <w:tc>
          <w:tcPr>
            <w:tcW w:w="743" w:type="dxa"/>
          </w:tcPr>
          <w:p w14:paraId="66A90154" w14:textId="77777777" w:rsidR="00047BA4" w:rsidRPr="000665B0" w:rsidRDefault="00047BA4" w:rsidP="006D5A65">
            <w:pPr>
              <w:pStyle w:val="Heading1"/>
            </w:pPr>
          </w:p>
        </w:tc>
        <w:tc>
          <w:tcPr>
            <w:tcW w:w="4596" w:type="dxa"/>
          </w:tcPr>
          <w:p w14:paraId="7CA4F3A4" w14:textId="55AFDB7E" w:rsidR="00047BA4" w:rsidRPr="00F47262" w:rsidRDefault="00047BA4" w:rsidP="00047BA4">
            <w:pPr>
              <w:spacing w:before="60" w:after="60"/>
              <w:rPr>
                <w:sz w:val="20"/>
              </w:rPr>
            </w:pPr>
            <w:r w:rsidRPr="00F47262">
              <w:rPr>
                <w:sz w:val="20"/>
              </w:rPr>
              <w:t xml:space="preserve">Click the </w:t>
            </w:r>
            <w:r w:rsidRPr="00F47262">
              <w:rPr>
                <w:i/>
                <w:sz w:val="20"/>
              </w:rPr>
              <w:t>Internet Time</w:t>
            </w:r>
            <w:r w:rsidRPr="00F47262">
              <w:rPr>
                <w:sz w:val="20"/>
              </w:rPr>
              <w:t xml:space="preserve"> tab and click the </w:t>
            </w:r>
            <w:r w:rsidRPr="00F47262">
              <w:rPr>
                <w:b/>
                <w:sz w:val="20"/>
              </w:rPr>
              <w:t>Change settings</w:t>
            </w:r>
            <w:r w:rsidR="00CF1C2C" w:rsidRPr="00F47262">
              <w:rPr>
                <w:b/>
                <w:sz w:val="20"/>
              </w:rPr>
              <w:t>…</w:t>
            </w:r>
            <w:r w:rsidRPr="00F47262">
              <w:rPr>
                <w:sz w:val="20"/>
              </w:rPr>
              <w:t xml:space="preserve"> button.</w:t>
            </w:r>
          </w:p>
        </w:tc>
        <w:tc>
          <w:tcPr>
            <w:tcW w:w="4134" w:type="dxa"/>
          </w:tcPr>
          <w:p w14:paraId="5F23CBA5" w14:textId="679C8F20" w:rsidR="00047BA4" w:rsidRPr="00F47262" w:rsidRDefault="00047BA4" w:rsidP="00291898">
            <w:pPr>
              <w:spacing w:before="60" w:after="60"/>
              <w:rPr>
                <w:noProof/>
                <w:sz w:val="20"/>
              </w:rPr>
            </w:pPr>
            <w:r w:rsidRPr="00F47262">
              <w:rPr>
                <w:noProof/>
                <w:sz w:val="20"/>
              </w:rPr>
              <w:drawing>
                <wp:inline distT="0" distB="0" distL="0" distR="0" wp14:anchorId="7C2BBB87" wp14:editId="21165A3E">
                  <wp:extent cx="2606040" cy="2762935"/>
                  <wp:effectExtent l="0" t="0" r="381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610219" cy="2767366"/>
                          </a:xfrm>
                          <a:prstGeom prst="rect">
                            <a:avLst/>
                          </a:prstGeom>
                        </pic:spPr>
                      </pic:pic>
                    </a:graphicData>
                  </a:graphic>
                </wp:inline>
              </w:drawing>
            </w:r>
          </w:p>
        </w:tc>
      </w:tr>
      <w:tr w:rsidR="00047BA4" w:rsidRPr="000665B0" w14:paraId="48CD9D80" w14:textId="77777777" w:rsidTr="00F47262">
        <w:trPr>
          <w:cantSplit/>
        </w:trPr>
        <w:tc>
          <w:tcPr>
            <w:tcW w:w="743" w:type="dxa"/>
          </w:tcPr>
          <w:p w14:paraId="4E0ABBF3" w14:textId="77777777" w:rsidR="00047BA4" w:rsidRPr="000665B0" w:rsidRDefault="00047BA4" w:rsidP="006D5A65">
            <w:pPr>
              <w:pStyle w:val="Heading1"/>
            </w:pPr>
          </w:p>
        </w:tc>
        <w:tc>
          <w:tcPr>
            <w:tcW w:w="4596" w:type="dxa"/>
          </w:tcPr>
          <w:p w14:paraId="0CD94900" w14:textId="34DB584E" w:rsidR="00047BA4" w:rsidRPr="00F47262" w:rsidRDefault="00047BA4" w:rsidP="00291898">
            <w:pPr>
              <w:spacing w:before="60" w:after="60"/>
              <w:rPr>
                <w:sz w:val="20"/>
              </w:rPr>
            </w:pPr>
            <w:r w:rsidRPr="00F47262">
              <w:rPr>
                <w:sz w:val="20"/>
              </w:rPr>
              <w:t xml:space="preserve">Select the </w:t>
            </w:r>
            <w:r w:rsidRPr="00F47262">
              <w:rPr>
                <w:b/>
                <w:sz w:val="20"/>
              </w:rPr>
              <w:t>Synchronize with an Internet time server</w:t>
            </w:r>
            <w:r w:rsidRPr="00F47262">
              <w:rPr>
                <w:sz w:val="20"/>
              </w:rPr>
              <w:t xml:space="preserve"> checkbox.</w:t>
            </w:r>
          </w:p>
        </w:tc>
        <w:tc>
          <w:tcPr>
            <w:tcW w:w="4134" w:type="dxa"/>
          </w:tcPr>
          <w:p w14:paraId="06D231D0" w14:textId="7692256E" w:rsidR="00047BA4" w:rsidRPr="00F47262" w:rsidRDefault="00047BA4" w:rsidP="00291898">
            <w:pPr>
              <w:spacing w:before="60" w:after="60"/>
              <w:rPr>
                <w:noProof/>
                <w:sz w:val="20"/>
              </w:rPr>
            </w:pPr>
            <w:r w:rsidRPr="00F47262">
              <w:rPr>
                <w:noProof/>
                <w:sz w:val="20"/>
              </w:rPr>
              <w:drawing>
                <wp:inline distT="0" distB="0" distL="0" distR="0" wp14:anchorId="5FB2EF7C" wp14:editId="533324A7">
                  <wp:extent cx="2575560" cy="1542822"/>
                  <wp:effectExtent l="0" t="0" r="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581834" cy="1546580"/>
                          </a:xfrm>
                          <a:prstGeom prst="rect">
                            <a:avLst/>
                          </a:prstGeom>
                        </pic:spPr>
                      </pic:pic>
                    </a:graphicData>
                  </a:graphic>
                </wp:inline>
              </w:drawing>
            </w:r>
          </w:p>
        </w:tc>
      </w:tr>
      <w:tr w:rsidR="00047BA4" w:rsidRPr="000665B0" w14:paraId="4B4D6600" w14:textId="77777777" w:rsidTr="00F47262">
        <w:trPr>
          <w:cantSplit/>
        </w:trPr>
        <w:tc>
          <w:tcPr>
            <w:tcW w:w="743" w:type="dxa"/>
          </w:tcPr>
          <w:p w14:paraId="33D7EF0F" w14:textId="77777777" w:rsidR="00047BA4" w:rsidRPr="000665B0" w:rsidRDefault="00047BA4" w:rsidP="006D5A65">
            <w:pPr>
              <w:pStyle w:val="Heading1"/>
            </w:pPr>
          </w:p>
        </w:tc>
        <w:tc>
          <w:tcPr>
            <w:tcW w:w="4596" w:type="dxa"/>
          </w:tcPr>
          <w:p w14:paraId="21502BD9" w14:textId="77777777" w:rsidR="00047BA4" w:rsidRPr="00F47262" w:rsidRDefault="00047BA4" w:rsidP="00291898">
            <w:pPr>
              <w:spacing w:before="60" w:after="60"/>
              <w:rPr>
                <w:sz w:val="20"/>
              </w:rPr>
            </w:pPr>
            <w:r w:rsidRPr="00F47262">
              <w:rPr>
                <w:sz w:val="20"/>
              </w:rPr>
              <w:t xml:space="preserve">In the </w:t>
            </w:r>
            <w:r w:rsidRPr="00F47262">
              <w:rPr>
                <w:b/>
                <w:sz w:val="20"/>
              </w:rPr>
              <w:t>Server</w:t>
            </w:r>
            <w:r w:rsidRPr="00F47262">
              <w:rPr>
                <w:sz w:val="20"/>
              </w:rPr>
              <w:t xml:space="preserve"> pulldown menu:</w:t>
            </w:r>
          </w:p>
          <w:p w14:paraId="41C0942B" w14:textId="0ADA0866" w:rsidR="00047BA4" w:rsidRPr="00F47262" w:rsidRDefault="00047BA4" w:rsidP="006D5A65">
            <w:pPr>
              <w:pStyle w:val="Heading1"/>
            </w:pPr>
            <w:r w:rsidRPr="00F47262">
              <w:t xml:space="preserve">The CSG Server should point to a SIPR time source, such as </w:t>
            </w:r>
            <w:r w:rsidR="00B42462" w:rsidRPr="00F47262">
              <w:br/>
            </w:r>
            <w:r w:rsidRPr="00F47262">
              <w:t xml:space="preserve">ntp-usno.sipr.smil.mil. </w:t>
            </w:r>
          </w:p>
          <w:p w14:paraId="4CC04FB2" w14:textId="1297F264" w:rsidR="00047BA4" w:rsidRPr="00F47262" w:rsidRDefault="00047BA4" w:rsidP="006D5A65">
            <w:pPr>
              <w:pStyle w:val="Heading1"/>
            </w:pPr>
            <w:r w:rsidRPr="00F47262">
              <w:t>The CSG Workstation should point to the “CSG-SERVER.”</w:t>
            </w:r>
          </w:p>
          <w:p w14:paraId="7DFAEBAF" w14:textId="2CA45583" w:rsidR="00047BA4" w:rsidRPr="00F47262" w:rsidRDefault="00047BA4" w:rsidP="00BD4482">
            <w:pPr>
              <w:spacing w:before="60" w:after="60" w:line="240" w:lineRule="auto"/>
              <w:contextualSpacing/>
              <w:rPr>
                <w:sz w:val="20"/>
              </w:rPr>
            </w:pPr>
            <w:r w:rsidRPr="00F47262">
              <w:rPr>
                <w:sz w:val="20"/>
              </w:rPr>
              <w:t>Click the</w:t>
            </w:r>
            <w:r w:rsidR="00CF1C2C" w:rsidRPr="00F47262">
              <w:rPr>
                <w:sz w:val="20"/>
              </w:rPr>
              <w:t xml:space="preserve"> </w:t>
            </w:r>
            <w:r w:rsidR="00CF1C2C" w:rsidRPr="00F47262">
              <w:rPr>
                <w:b/>
                <w:sz w:val="20"/>
              </w:rPr>
              <w:t>Update now</w:t>
            </w:r>
            <w:r w:rsidR="00CF1C2C" w:rsidRPr="00F47262">
              <w:rPr>
                <w:sz w:val="20"/>
              </w:rPr>
              <w:t xml:space="preserve"> button and then click the</w:t>
            </w:r>
            <w:r w:rsidRPr="00F47262">
              <w:rPr>
                <w:sz w:val="20"/>
              </w:rPr>
              <w:t xml:space="preserve"> </w:t>
            </w:r>
            <w:r w:rsidRPr="00F47262">
              <w:rPr>
                <w:b/>
                <w:sz w:val="20"/>
              </w:rPr>
              <w:t>OK</w:t>
            </w:r>
            <w:r w:rsidRPr="00F47262">
              <w:rPr>
                <w:sz w:val="20"/>
              </w:rPr>
              <w:t xml:space="preserve"> button.</w:t>
            </w:r>
          </w:p>
        </w:tc>
        <w:tc>
          <w:tcPr>
            <w:tcW w:w="4134" w:type="dxa"/>
          </w:tcPr>
          <w:p w14:paraId="1E30A597" w14:textId="77777777" w:rsidR="00047BA4" w:rsidRPr="00F47262" w:rsidRDefault="00047BA4" w:rsidP="00291898">
            <w:pPr>
              <w:spacing w:before="60" w:after="60"/>
              <w:rPr>
                <w:noProof/>
                <w:sz w:val="20"/>
              </w:rPr>
            </w:pPr>
          </w:p>
        </w:tc>
      </w:tr>
      <w:tr w:rsidR="00002656" w:rsidRPr="000665B0" w14:paraId="6ED2A687" w14:textId="77777777" w:rsidTr="00F47262">
        <w:trPr>
          <w:cantSplit/>
        </w:trPr>
        <w:tc>
          <w:tcPr>
            <w:tcW w:w="743" w:type="dxa"/>
          </w:tcPr>
          <w:p w14:paraId="617BD618" w14:textId="77777777" w:rsidR="00002656" w:rsidRPr="000665B0" w:rsidRDefault="00002656" w:rsidP="006D5A65">
            <w:pPr>
              <w:pStyle w:val="Heading1"/>
            </w:pPr>
          </w:p>
        </w:tc>
        <w:tc>
          <w:tcPr>
            <w:tcW w:w="4596" w:type="dxa"/>
          </w:tcPr>
          <w:p w14:paraId="66D13726" w14:textId="77777777" w:rsidR="00002656" w:rsidRPr="00F47262" w:rsidRDefault="00002656" w:rsidP="00291898">
            <w:pPr>
              <w:spacing w:before="60" w:after="60"/>
              <w:rPr>
                <w:sz w:val="20"/>
              </w:rPr>
            </w:pPr>
            <w:r w:rsidRPr="00F47262">
              <w:rPr>
                <w:sz w:val="20"/>
              </w:rPr>
              <w:t xml:space="preserve">Click the </w:t>
            </w:r>
            <w:r w:rsidRPr="00F47262">
              <w:rPr>
                <w:b/>
                <w:sz w:val="20"/>
              </w:rPr>
              <w:t>OK</w:t>
            </w:r>
            <w:r w:rsidRPr="00F47262">
              <w:rPr>
                <w:sz w:val="20"/>
              </w:rPr>
              <w:t xml:space="preserve"> button to close the </w:t>
            </w:r>
            <w:r w:rsidRPr="00F47262">
              <w:rPr>
                <w:i/>
                <w:sz w:val="20"/>
              </w:rPr>
              <w:t>Date and Time</w:t>
            </w:r>
            <w:r w:rsidRPr="00F47262">
              <w:rPr>
                <w:sz w:val="20"/>
              </w:rPr>
              <w:t xml:space="preserve"> window.</w:t>
            </w:r>
          </w:p>
        </w:tc>
        <w:tc>
          <w:tcPr>
            <w:tcW w:w="4134" w:type="dxa"/>
          </w:tcPr>
          <w:p w14:paraId="033DA43F" w14:textId="051116AE" w:rsidR="00002656" w:rsidRPr="00F47262" w:rsidRDefault="00140235" w:rsidP="00291898">
            <w:pPr>
              <w:spacing w:before="60" w:after="60"/>
              <w:rPr>
                <w:sz w:val="20"/>
              </w:rPr>
            </w:pPr>
            <w:r w:rsidRPr="00F47262">
              <w:rPr>
                <w:noProof/>
                <w:sz w:val="20"/>
              </w:rPr>
              <w:drawing>
                <wp:inline distT="0" distB="0" distL="0" distR="0" wp14:anchorId="2932171C" wp14:editId="4AD54DB0">
                  <wp:extent cx="2575560" cy="2730620"/>
                  <wp:effectExtent l="0" t="0" r="0" b="0"/>
                  <wp:docPr id="1432" name="Picture 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578828" cy="2734085"/>
                          </a:xfrm>
                          <a:prstGeom prst="rect">
                            <a:avLst/>
                          </a:prstGeom>
                        </pic:spPr>
                      </pic:pic>
                    </a:graphicData>
                  </a:graphic>
                </wp:inline>
              </w:drawing>
            </w:r>
            <w:r w:rsidR="0015137E" w:rsidRPr="00F47262" w:rsidDel="0015137E">
              <w:rPr>
                <w:noProof/>
                <w:sz w:val="20"/>
              </w:rPr>
              <w:t xml:space="preserve"> </w:t>
            </w:r>
          </w:p>
        </w:tc>
      </w:tr>
      <w:tr w:rsidR="00002656" w:rsidRPr="000665B0" w14:paraId="57D96A20" w14:textId="77777777" w:rsidTr="00F47262">
        <w:trPr>
          <w:cantSplit/>
        </w:trPr>
        <w:tc>
          <w:tcPr>
            <w:tcW w:w="743" w:type="dxa"/>
          </w:tcPr>
          <w:p w14:paraId="224B783E" w14:textId="77777777" w:rsidR="00002656" w:rsidRPr="000665B0" w:rsidRDefault="00002656" w:rsidP="006D5A65">
            <w:pPr>
              <w:pStyle w:val="Heading1"/>
            </w:pPr>
          </w:p>
        </w:tc>
        <w:tc>
          <w:tcPr>
            <w:tcW w:w="4596" w:type="dxa"/>
          </w:tcPr>
          <w:p w14:paraId="44509BFE" w14:textId="77777777" w:rsidR="00002656" w:rsidRPr="00F47262" w:rsidRDefault="00002656" w:rsidP="00291898">
            <w:pPr>
              <w:spacing w:before="60" w:after="60"/>
              <w:rPr>
                <w:sz w:val="20"/>
              </w:rPr>
            </w:pPr>
            <w:r w:rsidRPr="00F47262">
              <w:rPr>
                <w:sz w:val="20"/>
              </w:rPr>
              <w:t xml:space="preserve">Within MDS, navigate to the </w:t>
            </w:r>
            <w:r w:rsidRPr="00F47262">
              <w:rPr>
                <w:b/>
                <w:sz w:val="20"/>
              </w:rPr>
              <w:t>TED Utilities</w:t>
            </w:r>
            <w:r w:rsidRPr="00F47262">
              <w:rPr>
                <w:sz w:val="20"/>
              </w:rPr>
              <w:t xml:space="preserve"> tool.</w:t>
            </w:r>
          </w:p>
        </w:tc>
        <w:tc>
          <w:tcPr>
            <w:tcW w:w="4134" w:type="dxa"/>
          </w:tcPr>
          <w:p w14:paraId="637D4553" w14:textId="77777777" w:rsidR="00002656" w:rsidRPr="00F47262" w:rsidRDefault="00002656" w:rsidP="00291898">
            <w:pPr>
              <w:spacing w:before="60" w:after="60"/>
              <w:rPr>
                <w:sz w:val="20"/>
              </w:rPr>
            </w:pPr>
          </w:p>
        </w:tc>
      </w:tr>
      <w:tr w:rsidR="00002656" w:rsidRPr="000665B0" w14:paraId="2650EA41" w14:textId="77777777" w:rsidTr="00F47262">
        <w:trPr>
          <w:cantSplit/>
        </w:trPr>
        <w:tc>
          <w:tcPr>
            <w:tcW w:w="743" w:type="dxa"/>
            <w:tcBorders>
              <w:bottom w:val="single" w:sz="4" w:space="0" w:color="auto"/>
            </w:tcBorders>
          </w:tcPr>
          <w:p w14:paraId="4AC939D2" w14:textId="77777777" w:rsidR="00002656" w:rsidRPr="000665B0" w:rsidRDefault="00002656" w:rsidP="006D5A65">
            <w:pPr>
              <w:pStyle w:val="Heading1"/>
            </w:pPr>
          </w:p>
        </w:tc>
        <w:tc>
          <w:tcPr>
            <w:tcW w:w="4596" w:type="dxa"/>
            <w:tcBorders>
              <w:bottom w:val="single" w:sz="4" w:space="0" w:color="auto"/>
            </w:tcBorders>
          </w:tcPr>
          <w:p w14:paraId="24BC1238" w14:textId="77777777" w:rsidR="00002656" w:rsidRPr="00F47262" w:rsidRDefault="00002656" w:rsidP="00291898">
            <w:pPr>
              <w:spacing w:before="60" w:after="60"/>
              <w:rPr>
                <w:sz w:val="20"/>
              </w:rPr>
            </w:pPr>
            <w:r w:rsidRPr="00F47262">
              <w:rPr>
                <w:sz w:val="20"/>
              </w:rPr>
              <w:t xml:space="preserve">Select the </w:t>
            </w:r>
            <w:r w:rsidRPr="00F47262">
              <w:rPr>
                <w:b/>
                <w:i/>
                <w:sz w:val="20"/>
              </w:rPr>
              <w:t>TED Connections</w:t>
            </w:r>
            <w:r w:rsidRPr="00F47262">
              <w:rPr>
                <w:sz w:val="20"/>
              </w:rPr>
              <w:t xml:space="preserve"> tab and verify the </w:t>
            </w:r>
            <w:r w:rsidRPr="00F47262">
              <w:rPr>
                <w:b/>
                <w:sz w:val="20"/>
              </w:rPr>
              <w:t xml:space="preserve">Connection Status </w:t>
            </w:r>
            <w:r w:rsidRPr="00F47262">
              <w:rPr>
                <w:sz w:val="20"/>
              </w:rPr>
              <w:t>column.</w:t>
            </w:r>
          </w:p>
          <w:p w14:paraId="5E13BB85" w14:textId="6FD942B9" w:rsidR="00002656" w:rsidRPr="00F47262" w:rsidRDefault="00002656" w:rsidP="006D5A65">
            <w:pPr>
              <w:pStyle w:val="Heading1"/>
            </w:pPr>
            <w:r w:rsidRPr="00F47262">
              <w:t xml:space="preserve">If Connection Status column says: Success for all entries, problem was </w:t>
            </w:r>
            <w:r w:rsidR="009762F2" w:rsidRPr="00F47262">
              <w:t>resolved,</w:t>
            </w:r>
            <w:r w:rsidRPr="00F47262">
              <w:t xml:space="preserve"> and no additional action required.</w:t>
            </w:r>
          </w:p>
          <w:p w14:paraId="360DBA9A" w14:textId="77777777" w:rsidR="00002656" w:rsidRPr="00F47262" w:rsidRDefault="00002656" w:rsidP="006D5A65">
            <w:pPr>
              <w:pStyle w:val="Heading1"/>
            </w:pPr>
            <w:r w:rsidRPr="00F47262">
              <w:t xml:space="preserve">If Connection Status column says: Database Error for any entry, proceed to next </w:t>
            </w:r>
            <w:r w:rsidR="00084C36" w:rsidRPr="00F47262">
              <w:t>resolution</w:t>
            </w:r>
            <w:r w:rsidRPr="00F47262">
              <w:t>.</w:t>
            </w:r>
          </w:p>
        </w:tc>
        <w:tc>
          <w:tcPr>
            <w:tcW w:w="4134" w:type="dxa"/>
            <w:tcBorders>
              <w:bottom w:val="single" w:sz="4" w:space="0" w:color="auto"/>
            </w:tcBorders>
          </w:tcPr>
          <w:p w14:paraId="0ED86445" w14:textId="77777777" w:rsidR="00046849" w:rsidRPr="00F47262" w:rsidRDefault="00046849" w:rsidP="00046849">
            <w:pPr>
              <w:spacing w:before="60"/>
              <w:rPr>
                <w:sz w:val="20"/>
              </w:rPr>
            </w:pPr>
            <w:r w:rsidRPr="00F47262">
              <w:rPr>
                <w:noProof/>
                <w:sz w:val="20"/>
              </w:rPr>
              <w:drawing>
                <wp:inline distT="0" distB="0" distL="0" distR="0" wp14:anchorId="6720A4DA" wp14:editId="6A6125C5">
                  <wp:extent cx="1414666" cy="1406236"/>
                  <wp:effectExtent l="0" t="0" r="0" b="3810"/>
                  <wp:docPr id="1456" name="Picture 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4446" cy="1415957"/>
                          </a:xfrm>
                          <a:prstGeom prst="rect">
                            <a:avLst/>
                          </a:prstGeom>
                          <a:ln>
                            <a:noFill/>
                          </a:ln>
                          <a:extLst>
                            <a:ext uri="{53640926-AAD7-44D8-BBD7-CCE9431645EC}">
                              <a14:shadowObscured xmlns:a14="http://schemas.microsoft.com/office/drawing/2010/main"/>
                            </a:ext>
                          </a:extLst>
                        </pic:spPr>
                      </pic:pic>
                    </a:graphicData>
                  </a:graphic>
                </wp:inline>
              </w:drawing>
            </w:r>
          </w:p>
          <w:p w14:paraId="47BC8541" w14:textId="2C1008A4" w:rsidR="00002656" w:rsidRPr="00F47262" w:rsidRDefault="00046849" w:rsidP="00117783">
            <w:pPr>
              <w:spacing w:before="60" w:after="60"/>
              <w:rPr>
                <w:sz w:val="20"/>
              </w:rPr>
            </w:pPr>
            <w:r w:rsidRPr="00F47262">
              <w:rPr>
                <w:sz w:val="20"/>
              </w:rPr>
              <w:object w:dxaOrig="8685" w:dyaOrig="3660" w14:anchorId="7D6E62FC">
                <v:shape id="_x0000_i1035" type="#_x0000_t75" style="width:114pt;height:36pt" o:ole="">
                  <v:imagedata cropbottom="41652f" cropleft="30023f"/>
                </v:shape>
                <o:OLEObject Type="Embed" ProgID="PBrush" ShapeID="_x0000_i1035" DrawAspect="Content" ObjectID="_1846146718" r:id="rId49"/>
              </w:object>
            </w:r>
          </w:p>
        </w:tc>
      </w:tr>
      <w:tr w:rsidR="00A10A0C" w:rsidRPr="00A10A0C" w14:paraId="301EA154" w14:textId="77777777" w:rsidTr="00F47262">
        <w:trPr>
          <w:cantSplit/>
        </w:trPr>
        <w:tc>
          <w:tcPr>
            <w:tcW w:w="9473" w:type="dxa"/>
            <w:gridSpan w:val="3"/>
            <w:shd w:val="clear" w:color="auto" w:fill="C6D9F1" w:themeFill="text2" w:themeFillTint="33"/>
          </w:tcPr>
          <w:p w14:paraId="093778B6" w14:textId="77777777" w:rsidR="00002656" w:rsidRPr="00F47262" w:rsidRDefault="00002656" w:rsidP="00BD4482">
            <w:pPr>
              <w:keepNext/>
              <w:spacing w:before="60" w:after="60"/>
              <w:rPr>
                <w:b/>
                <w:i/>
                <w:color w:val="000000" w:themeColor="text1"/>
                <w:sz w:val="20"/>
              </w:rPr>
            </w:pPr>
            <w:r w:rsidRPr="00F47262">
              <w:rPr>
                <w:b/>
                <w:i/>
                <w:color w:val="000000" w:themeColor="text1"/>
                <w:sz w:val="20"/>
              </w:rPr>
              <w:t>Verify</w:t>
            </w:r>
            <w:r w:rsidR="00C32884" w:rsidRPr="00F47262">
              <w:rPr>
                <w:b/>
                <w:i/>
                <w:color w:val="000000" w:themeColor="text1"/>
                <w:sz w:val="20"/>
              </w:rPr>
              <w:t>/Start</w:t>
            </w:r>
            <w:r w:rsidRPr="00F47262">
              <w:rPr>
                <w:b/>
                <w:i/>
                <w:color w:val="000000" w:themeColor="text1"/>
                <w:sz w:val="20"/>
              </w:rPr>
              <w:t xml:space="preserve"> SQL Server Service </w:t>
            </w:r>
          </w:p>
        </w:tc>
      </w:tr>
      <w:tr w:rsidR="00002656" w:rsidRPr="000665B0" w14:paraId="60824A9E" w14:textId="77777777" w:rsidTr="00F47262">
        <w:trPr>
          <w:cantSplit/>
        </w:trPr>
        <w:tc>
          <w:tcPr>
            <w:tcW w:w="743" w:type="dxa"/>
          </w:tcPr>
          <w:p w14:paraId="221FEABC" w14:textId="77777777" w:rsidR="00002656" w:rsidRPr="000665B0" w:rsidRDefault="00002656" w:rsidP="006D5A65">
            <w:pPr>
              <w:pStyle w:val="Heading1"/>
            </w:pPr>
          </w:p>
        </w:tc>
        <w:tc>
          <w:tcPr>
            <w:tcW w:w="4596" w:type="dxa"/>
          </w:tcPr>
          <w:p w14:paraId="3D7CF242" w14:textId="77777777" w:rsidR="00002656" w:rsidRPr="00F47262" w:rsidRDefault="00002656" w:rsidP="00291898">
            <w:pPr>
              <w:spacing w:before="60" w:after="60"/>
              <w:rPr>
                <w:sz w:val="20"/>
              </w:rPr>
            </w:pPr>
            <w:r w:rsidRPr="00F47262">
              <w:rPr>
                <w:sz w:val="20"/>
              </w:rPr>
              <w:t xml:space="preserve">On the system where the SQL Server is installed (see Notes), display the Services: </w:t>
            </w:r>
            <w:r w:rsidR="00D316AC" w:rsidRPr="00F47262">
              <w:rPr>
                <w:sz w:val="20"/>
              </w:rPr>
              <w:t xml:space="preserve">Right-click the </w:t>
            </w:r>
            <w:r w:rsidR="00D316AC" w:rsidRPr="00F47262">
              <w:rPr>
                <w:noProof/>
                <w:sz w:val="20"/>
              </w:rPr>
              <w:drawing>
                <wp:inline distT="0" distB="0" distL="0" distR="0" wp14:anchorId="4B800678" wp14:editId="0985162B">
                  <wp:extent cx="182880" cy="178068"/>
                  <wp:effectExtent l="0" t="0" r="7620" b="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00D316AC" w:rsidRPr="00F47262">
              <w:rPr>
                <w:sz w:val="20"/>
              </w:rPr>
              <w:t xml:space="preserve"> icon and select </w:t>
            </w:r>
            <w:r w:rsidR="00D316AC" w:rsidRPr="00F47262">
              <w:rPr>
                <w:b/>
                <w:sz w:val="20"/>
              </w:rPr>
              <w:t>Search</w:t>
            </w:r>
            <w:r w:rsidR="00D316AC" w:rsidRPr="00F47262">
              <w:rPr>
                <w:sz w:val="20"/>
              </w:rPr>
              <w:t xml:space="preserve"> from the pop-up menu. Type </w:t>
            </w:r>
            <w:r w:rsidR="00D316AC" w:rsidRPr="00F47262">
              <w:rPr>
                <w:b/>
                <w:sz w:val="20"/>
              </w:rPr>
              <w:t>Services</w:t>
            </w:r>
            <w:r w:rsidR="00D316AC" w:rsidRPr="00F47262">
              <w:rPr>
                <w:sz w:val="20"/>
              </w:rPr>
              <w:t xml:space="preserve"> in the </w:t>
            </w:r>
            <w:r w:rsidR="00D316AC" w:rsidRPr="00F47262">
              <w:rPr>
                <w:b/>
                <w:sz w:val="20"/>
              </w:rPr>
              <w:t>Search</w:t>
            </w:r>
            <w:r w:rsidR="00D316AC" w:rsidRPr="00F47262">
              <w:rPr>
                <w:sz w:val="20"/>
              </w:rPr>
              <w:t xml:space="preserve"> field, and then select </w:t>
            </w:r>
            <w:r w:rsidR="00D316AC" w:rsidRPr="00F47262">
              <w:rPr>
                <w:b/>
                <w:sz w:val="20"/>
              </w:rPr>
              <w:t>Services</w:t>
            </w:r>
            <w:r w:rsidR="00E274CC" w:rsidRPr="00F47262">
              <w:rPr>
                <w:sz w:val="20"/>
              </w:rPr>
              <w:t xml:space="preserve"> in the results list</w:t>
            </w:r>
            <w:r w:rsidRPr="00F47262">
              <w:rPr>
                <w:sz w:val="20"/>
              </w:rPr>
              <w:t>.</w:t>
            </w:r>
          </w:p>
        </w:tc>
        <w:tc>
          <w:tcPr>
            <w:tcW w:w="4134" w:type="dxa"/>
          </w:tcPr>
          <w:p w14:paraId="7D669E25" w14:textId="77777777" w:rsidR="00002656" w:rsidRPr="00F47262" w:rsidRDefault="00D316AC" w:rsidP="00291898">
            <w:pPr>
              <w:spacing w:before="60" w:after="60"/>
              <w:rPr>
                <w:b/>
                <w:i/>
                <w:sz w:val="20"/>
              </w:rPr>
            </w:pPr>
            <w:r w:rsidRPr="00F47262">
              <w:rPr>
                <w:noProof/>
                <w:sz w:val="20"/>
              </w:rPr>
              <w:drawing>
                <wp:inline distT="0" distB="0" distL="0" distR="0" wp14:anchorId="51B02AAA" wp14:editId="6E619AB0">
                  <wp:extent cx="2238375" cy="1345613"/>
                  <wp:effectExtent l="0" t="0" r="0" b="6985"/>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238375" cy="1345613"/>
                          </a:xfrm>
                          <a:prstGeom prst="rect">
                            <a:avLst/>
                          </a:prstGeom>
                        </pic:spPr>
                      </pic:pic>
                    </a:graphicData>
                  </a:graphic>
                </wp:inline>
              </w:drawing>
            </w:r>
          </w:p>
          <w:p w14:paraId="64CDFF47" w14:textId="77777777" w:rsidR="00002656" w:rsidRPr="00F47262" w:rsidRDefault="00002656" w:rsidP="00291898">
            <w:pPr>
              <w:spacing w:before="60" w:after="60"/>
              <w:rPr>
                <w:sz w:val="20"/>
              </w:rPr>
            </w:pPr>
            <w:r w:rsidRPr="00F47262">
              <w:rPr>
                <w:b/>
                <w:i/>
                <w:sz w:val="20"/>
              </w:rPr>
              <w:t>Note 1:</w:t>
            </w:r>
            <w:r w:rsidRPr="00F47262">
              <w:rPr>
                <w:sz w:val="20"/>
              </w:rPr>
              <w:t xml:space="preserve"> In a CMSA/TSMPC configuration, SQL Server is installed on the Database Server.</w:t>
            </w:r>
          </w:p>
          <w:p w14:paraId="4DC74126" w14:textId="77777777" w:rsidR="00002656" w:rsidRPr="00F47262" w:rsidRDefault="00002656" w:rsidP="00291898">
            <w:pPr>
              <w:spacing w:before="60" w:after="60"/>
              <w:rPr>
                <w:sz w:val="20"/>
              </w:rPr>
            </w:pPr>
            <w:r w:rsidRPr="00F47262">
              <w:rPr>
                <w:b/>
                <w:i/>
                <w:sz w:val="20"/>
              </w:rPr>
              <w:t>Note 2:</w:t>
            </w:r>
            <w:r w:rsidRPr="00F47262">
              <w:rPr>
                <w:sz w:val="20"/>
              </w:rPr>
              <w:t xml:space="preserve"> In a CSG configuration, the SQL Server is installed on the TED</w:t>
            </w:r>
            <w:r w:rsidR="00C32884" w:rsidRPr="00F47262">
              <w:rPr>
                <w:sz w:val="20"/>
              </w:rPr>
              <w:t>/DB</w:t>
            </w:r>
            <w:r w:rsidRPr="00F47262">
              <w:rPr>
                <w:sz w:val="20"/>
              </w:rPr>
              <w:t xml:space="preserve"> Server.</w:t>
            </w:r>
          </w:p>
          <w:p w14:paraId="701B4065" w14:textId="77777777" w:rsidR="00002656" w:rsidRPr="00F47262" w:rsidRDefault="00002656" w:rsidP="008D07DB">
            <w:pPr>
              <w:spacing w:before="60" w:after="60"/>
              <w:rPr>
                <w:sz w:val="20"/>
              </w:rPr>
            </w:pPr>
            <w:r w:rsidRPr="00F47262">
              <w:rPr>
                <w:b/>
                <w:i/>
                <w:sz w:val="20"/>
              </w:rPr>
              <w:t>Note 3:</w:t>
            </w:r>
            <w:r w:rsidRPr="00F47262">
              <w:rPr>
                <w:sz w:val="20"/>
              </w:rPr>
              <w:t xml:space="preserve"> In a FRU/</w:t>
            </w:r>
            <w:r w:rsidR="008D07DB" w:rsidRPr="00F47262">
              <w:rPr>
                <w:sz w:val="20"/>
              </w:rPr>
              <w:t xml:space="preserve">Standalone MDS </w:t>
            </w:r>
            <w:r w:rsidRPr="00F47262">
              <w:rPr>
                <w:sz w:val="20"/>
              </w:rPr>
              <w:t>configuration, SQL Server is installed on the MDS Workstation.</w:t>
            </w:r>
          </w:p>
        </w:tc>
      </w:tr>
      <w:tr w:rsidR="00002656" w:rsidRPr="000665B0" w14:paraId="3A4514D7" w14:textId="77777777" w:rsidTr="00F47262">
        <w:trPr>
          <w:cantSplit/>
        </w:trPr>
        <w:tc>
          <w:tcPr>
            <w:tcW w:w="743" w:type="dxa"/>
          </w:tcPr>
          <w:p w14:paraId="017566D8" w14:textId="77777777" w:rsidR="00002656" w:rsidRPr="000665B0" w:rsidRDefault="00002656" w:rsidP="006D5A65">
            <w:pPr>
              <w:pStyle w:val="Heading1"/>
            </w:pPr>
          </w:p>
        </w:tc>
        <w:tc>
          <w:tcPr>
            <w:tcW w:w="4596" w:type="dxa"/>
          </w:tcPr>
          <w:p w14:paraId="0FF71EF9" w14:textId="6A3A9229" w:rsidR="00002656" w:rsidRPr="00F47262" w:rsidRDefault="00002656" w:rsidP="00291898">
            <w:pPr>
              <w:spacing w:before="60" w:after="60"/>
              <w:rPr>
                <w:sz w:val="20"/>
              </w:rPr>
            </w:pPr>
            <w:r w:rsidRPr="00F47262">
              <w:rPr>
                <w:sz w:val="20"/>
              </w:rPr>
              <w:t xml:space="preserve">Verify </w:t>
            </w:r>
            <w:r w:rsidR="00D63DBA" w:rsidRPr="00F47262">
              <w:rPr>
                <w:sz w:val="20"/>
              </w:rPr>
              <w:t xml:space="preserve">that </w:t>
            </w:r>
            <w:r w:rsidRPr="00F47262">
              <w:rPr>
                <w:sz w:val="20"/>
              </w:rPr>
              <w:t xml:space="preserve">the </w:t>
            </w:r>
            <w:r w:rsidRPr="00F47262">
              <w:rPr>
                <w:b/>
                <w:sz w:val="20"/>
              </w:rPr>
              <w:t>SQL Server (TC2S)</w:t>
            </w:r>
            <w:r w:rsidRPr="00F47262">
              <w:rPr>
                <w:sz w:val="20"/>
              </w:rPr>
              <w:t xml:space="preserve"> </w:t>
            </w:r>
            <w:r w:rsidR="00D63DBA" w:rsidRPr="00F47262">
              <w:rPr>
                <w:b/>
                <w:sz w:val="20"/>
              </w:rPr>
              <w:t>Status</w:t>
            </w:r>
            <w:r w:rsidR="00D63DBA" w:rsidRPr="00F47262">
              <w:rPr>
                <w:sz w:val="20"/>
              </w:rPr>
              <w:t xml:space="preserve"> </w:t>
            </w:r>
            <w:r w:rsidRPr="00F47262">
              <w:rPr>
                <w:sz w:val="20"/>
              </w:rPr>
              <w:t xml:space="preserve">is </w:t>
            </w:r>
            <w:r w:rsidR="004813CA" w:rsidRPr="00F47262">
              <w:rPr>
                <w:b/>
                <w:sz w:val="20"/>
              </w:rPr>
              <w:t>Running</w:t>
            </w:r>
            <w:r w:rsidRPr="00F47262">
              <w:rPr>
                <w:sz w:val="20"/>
              </w:rPr>
              <w:t>.</w:t>
            </w:r>
            <w:r w:rsidR="009651B0" w:rsidRPr="00F47262">
              <w:rPr>
                <w:sz w:val="20"/>
              </w:rPr>
              <w:t xml:space="preserve"> </w:t>
            </w:r>
          </w:p>
          <w:p w14:paraId="166BFA45" w14:textId="2C669F46" w:rsidR="00002656" w:rsidRPr="00F47262" w:rsidRDefault="00002656" w:rsidP="004813CA">
            <w:pPr>
              <w:spacing w:before="60" w:after="60"/>
              <w:rPr>
                <w:sz w:val="20"/>
              </w:rPr>
            </w:pPr>
            <w:r w:rsidRPr="00F47262">
              <w:rPr>
                <w:sz w:val="20"/>
              </w:rPr>
              <w:t xml:space="preserve">If not </w:t>
            </w:r>
            <w:r w:rsidR="004813CA" w:rsidRPr="00F47262">
              <w:rPr>
                <w:sz w:val="20"/>
              </w:rPr>
              <w:t>Running</w:t>
            </w:r>
            <w:r w:rsidRPr="00F47262">
              <w:rPr>
                <w:sz w:val="20"/>
              </w:rPr>
              <w:t xml:space="preserve">, </w:t>
            </w:r>
            <w:r w:rsidR="00D71804" w:rsidRPr="00F47262">
              <w:rPr>
                <w:sz w:val="20"/>
              </w:rPr>
              <w:t>right-click</w:t>
            </w:r>
            <w:r w:rsidRPr="00F47262">
              <w:rPr>
                <w:sz w:val="20"/>
              </w:rPr>
              <w:t xml:space="preserve"> on the </w:t>
            </w:r>
            <w:r w:rsidRPr="00F47262">
              <w:rPr>
                <w:b/>
                <w:sz w:val="20"/>
              </w:rPr>
              <w:t>SQL Server (TC2S)</w:t>
            </w:r>
            <w:r w:rsidRPr="00F47262">
              <w:rPr>
                <w:sz w:val="20"/>
              </w:rPr>
              <w:t xml:space="preserve"> service and select </w:t>
            </w:r>
            <w:r w:rsidRPr="00F47262">
              <w:rPr>
                <w:b/>
                <w:sz w:val="20"/>
              </w:rPr>
              <w:t>Start</w:t>
            </w:r>
            <w:r w:rsidRPr="00F47262">
              <w:rPr>
                <w:sz w:val="20"/>
              </w:rPr>
              <w:t>.</w:t>
            </w:r>
          </w:p>
        </w:tc>
        <w:tc>
          <w:tcPr>
            <w:tcW w:w="4134" w:type="dxa"/>
          </w:tcPr>
          <w:p w14:paraId="476CF6CE" w14:textId="77777777" w:rsidR="00002656" w:rsidRPr="00F47262" w:rsidRDefault="00666F6B" w:rsidP="00291898">
            <w:pPr>
              <w:spacing w:before="60" w:after="60"/>
              <w:rPr>
                <w:sz w:val="20"/>
              </w:rPr>
            </w:pPr>
            <w:r w:rsidRPr="00F47262">
              <w:rPr>
                <w:noProof/>
                <w:sz w:val="20"/>
              </w:rPr>
              <w:drawing>
                <wp:inline distT="0" distB="0" distL="0" distR="0" wp14:anchorId="31785776" wp14:editId="2EFB3064">
                  <wp:extent cx="2598420" cy="1055746"/>
                  <wp:effectExtent l="0" t="0" r="0" b="0"/>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screen">
                            <a:extLst>
                              <a:ext uri="{28A0092B-C50C-407E-A947-70E740481C1C}">
                                <a14:useLocalDpi xmlns:a14="http://schemas.microsoft.com/office/drawing/2010/main"/>
                              </a:ext>
                            </a:extLst>
                          </a:blip>
                          <a:stretch>
                            <a:fillRect/>
                          </a:stretch>
                        </pic:blipFill>
                        <pic:spPr>
                          <a:xfrm>
                            <a:off x="0" y="0"/>
                            <a:ext cx="2607247" cy="1059332"/>
                          </a:xfrm>
                          <a:prstGeom prst="rect">
                            <a:avLst/>
                          </a:prstGeom>
                        </pic:spPr>
                      </pic:pic>
                    </a:graphicData>
                  </a:graphic>
                </wp:inline>
              </w:drawing>
            </w:r>
          </w:p>
        </w:tc>
      </w:tr>
      <w:tr w:rsidR="00002656" w:rsidRPr="000665B0" w14:paraId="023CF880" w14:textId="77777777" w:rsidTr="00F47262">
        <w:trPr>
          <w:cantSplit/>
        </w:trPr>
        <w:tc>
          <w:tcPr>
            <w:tcW w:w="743" w:type="dxa"/>
          </w:tcPr>
          <w:p w14:paraId="073D4FBB" w14:textId="77777777" w:rsidR="00002656" w:rsidRPr="000665B0" w:rsidRDefault="00002656" w:rsidP="006D5A65">
            <w:pPr>
              <w:pStyle w:val="Heading1"/>
            </w:pPr>
          </w:p>
        </w:tc>
        <w:tc>
          <w:tcPr>
            <w:tcW w:w="4596" w:type="dxa"/>
          </w:tcPr>
          <w:p w14:paraId="56286152" w14:textId="1D64D27C" w:rsidR="00002656" w:rsidRPr="00F47262" w:rsidRDefault="00002656" w:rsidP="00E51273">
            <w:pPr>
              <w:spacing w:before="60" w:after="60"/>
              <w:rPr>
                <w:sz w:val="20"/>
              </w:rPr>
            </w:pPr>
            <w:r w:rsidRPr="00F47262">
              <w:rPr>
                <w:sz w:val="20"/>
              </w:rPr>
              <w:t xml:space="preserve">On the TED Server, </w:t>
            </w:r>
            <w:r w:rsidR="000637F2" w:rsidRPr="00F47262">
              <w:rPr>
                <w:sz w:val="20"/>
              </w:rPr>
              <w:t xml:space="preserve">recycle </w:t>
            </w:r>
            <w:r w:rsidRPr="00F47262">
              <w:rPr>
                <w:sz w:val="20"/>
              </w:rPr>
              <w:t>the Application Pool for QQ T</w:t>
            </w:r>
            <w:r w:rsidR="00FA2441" w:rsidRPr="00F47262">
              <w:rPr>
                <w:sz w:val="20"/>
              </w:rPr>
              <w:t>ED</w:t>
            </w:r>
            <w:r w:rsidRPr="00F47262">
              <w:rPr>
                <w:sz w:val="20"/>
              </w:rPr>
              <w:t xml:space="preserve"> AppPool</w:t>
            </w:r>
            <w:r w:rsidR="00E51273" w:rsidRPr="00F47262">
              <w:rPr>
                <w:sz w:val="20"/>
              </w:rPr>
              <w:t xml:space="preserve"> (</w:t>
            </w:r>
            <w:r w:rsidR="00934CC7" w:rsidRPr="00F47262">
              <w:rPr>
                <w:noProof/>
                <w:sz w:val="20"/>
              </w:rPr>
              <w:t xml:space="preserve">see </w:t>
            </w:r>
            <w:hyperlink w:anchor="_File_Menu" w:history="1">
              <w:r w:rsidR="00934CC7" w:rsidRPr="00F47262">
                <w:rPr>
                  <w:rStyle w:val="Hyperlink"/>
                  <w:noProof/>
                  <w:sz w:val="20"/>
                </w:rPr>
                <w:t>Section 4.5.2.1</w:t>
              </w:r>
            </w:hyperlink>
            <w:r w:rsidR="00E51273" w:rsidRPr="00F47262">
              <w:rPr>
                <w:sz w:val="20"/>
              </w:rPr>
              <w:t>)</w:t>
            </w:r>
            <w:r w:rsidRPr="00F47262">
              <w:rPr>
                <w:sz w:val="20"/>
              </w:rPr>
              <w:t xml:space="preserve">. </w:t>
            </w:r>
          </w:p>
        </w:tc>
        <w:tc>
          <w:tcPr>
            <w:tcW w:w="4134" w:type="dxa"/>
          </w:tcPr>
          <w:p w14:paraId="662A5CF4" w14:textId="77777777" w:rsidR="00002656" w:rsidRPr="00F47262" w:rsidRDefault="00002656" w:rsidP="00291898">
            <w:pPr>
              <w:spacing w:before="60" w:after="60"/>
              <w:rPr>
                <w:sz w:val="20"/>
              </w:rPr>
            </w:pPr>
          </w:p>
        </w:tc>
      </w:tr>
      <w:tr w:rsidR="00002656" w:rsidRPr="000665B0" w14:paraId="47DB5003" w14:textId="77777777" w:rsidTr="00F47262">
        <w:trPr>
          <w:cantSplit/>
        </w:trPr>
        <w:tc>
          <w:tcPr>
            <w:tcW w:w="743" w:type="dxa"/>
          </w:tcPr>
          <w:p w14:paraId="781603A3" w14:textId="77777777" w:rsidR="00002656" w:rsidRPr="000665B0" w:rsidRDefault="00002656" w:rsidP="006D5A65">
            <w:pPr>
              <w:pStyle w:val="Heading1"/>
            </w:pPr>
          </w:p>
        </w:tc>
        <w:tc>
          <w:tcPr>
            <w:tcW w:w="4596" w:type="dxa"/>
          </w:tcPr>
          <w:p w14:paraId="7F968CCF" w14:textId="77777777" w:rsidR="00002656" w:rsidRPr="00F47262" w:rsidRDefault="00002656" w:rsidP="00291898">
            <w:pPr>
              <w:spacing w:before="60" w:after="60"/>
              <w:rPr>
                <w:sz w:val="20"/>
              </w:rPr>
            </w:pPr>
            <w:r w:rsidRPr="00F47262">
              <w:rPr>
                <w:sz w:val="20"/>
              </w:rPr>
              <w:t xml:space="preserve">Within MDS, navigate to the </w:t>
            </w:r>
            <w:r w:rsidRPr="00F47262">
              <w:rPr>
                <w:b/>
                <w:sz w:val="20"/>
              </w:rPr>
              <w:t>TED Utilities</w:t>
            </w:r>
            <w:r w:rsidRPr="00F47262">
              <w:rPr>
                <w:sz w:val="20"/>
              </w:rPr>
              <w:t xml:space="preserve"> tool.</w:t>
            </w:r>
          </w:p>
        </w:tc>
        <w:tc>
          <w:tcPr>
            <w:tcW w:w="4134" w:type="dxa"/>
          </w:tcPr>
          <w:p w14:paraId="4DA4D710" w14:textId="77777777" w:rsidR="00002656" w:rsidRPr="00F47262" w:rsidRDefault="00002656" w:rsidP="00291898">
            <w:pPr>
              <w:spacing w:before="60" w:after="60"/>
              <w:rPr>
                <w:sz w:val="20"/>
              </w:rPr>
            </w:pPr>
          </w:p>
        </w:tc>
      </w:tr>
      <w:tr w:rsidR="00002656" w:rsidRPr="000665B0" w14:paraId="2DB3D067" w14:textId="77777777" w:rsidTr="00F47262">
        <w:trPr>
          <w:cantSplit/>
        </w:trPr>
        <w:tc>
          <w:tcPr>
            <w:tcW w:w="743" w:type="dxa"/>
            <w:tcBorders>
              <w:bottom w:val="single" w:sz="4" w:space="0" w:color="auto"/>
            </w:tcBorders>
          </w:tcPr>
          <w:p w14:paraId="43995CB4" w14:textId="77777777" w:rsidR="00002656" w:rsidRPr="000665B0" w:rsidRDefault="00002656" w:rsidP="006D5A65">
            <w:pPr>
              <w:pStyle w:val="Heading1"/>
            </w:pPr>
          </w:p>
        </w:tc>
        <w:tc>
          <w:tcPr>
            <w:tcW w:w="4596" w:type="dxa"/>
            <w:tcBorders>
              <w:bottom w:val="single" w:sz="4" w:space="0" w:color="auto"/>
            </w:tcBorders>
          </w:tcPr>
          <w:p w14:paraId="6D864885" w14:textId="77777777" w:rsidR="00002656" w:rsidRPr="00F47262" w:rsidRDefault="00002656" w:rsidP="00291898">
            <w:pPr>
              <w:spacing w:before="60" w:after="60"/>
              <w:rPr>
                <w:sz w:val="20"/>
              </w:rPr>
            </w:pPr>
            <w:r w:rsidRPr="00F47262">
              <w:rPr>
                <w:sz w:val="20"/>
              </w:rPr>
              <w:t xml:space="preserve">Select the </w:t>
            </w:r>
            <w:r w:rsidRPr="00F47262">
              <w:rPr>
                <w:b/>
                <w:i/>
                <w:sz w:val="20"/>
              </w:rPr>
              <w:t>TED Connections</w:t>
            </w:r>
            <w:r w:rsidRPr="00F47262">
              <w:rPr>
                <w:sz w:val="20"/>
              </w:rPr>
              <w:t xml:space="preserve"> tab and verify the </w:t>
            </w:r>
            <w:r w:rsidRPr="00F47262">
              <w:rPr>
                <w:b/>
                <w:sz w:val="20"/>
              </w:rPr>
              <w:t xml:space="preserve">Connection Status </w:t>
            </w:r>
            <w:r w:rsidRPr="00F47262">
              <w:rPr>
                <w:sz w:val="20"/>
              </w:rPr>
              <w:t>column.</w:t>
            </w:r>
          </w:p>
          <w:p w14:paraId="5398FC11" w14:textId="7CE1AD56" w:rsidR="00002656" w:rsidRPr="00F47262" w:rsidRDefault="00002656" w:rsidP="006D5A65">
            <w:pPr>
              <w:pStyle w:val="Heading1"/>
            </w:pPr>
            <w:r w:rsidRPr="00F47262">
              <w:t xml:space="preserve">If Connection Status column says: Success for all entries, problem was </w:t>
            </w:r>
            <w:r w:rsidR="009762F2" w:rsidRPr="00F47262">
              <w:t>resolved,</w:t>
            </w:r>
            <w:r w:rsidRPr="00F47262">
              <w:t xml:space="preserve"> and no additional action required.</w:t>
            </w:r>
          </w:p>
          <w:p w14:paraId="2F0B0BCB" w14:textId="77777777" w:rsidR="00002656" w:rsidRPr="00F47262" w:rsidRDefault="00002656" w:rsidP="006D5A65">
            <w:pPr>
              <w:pStyle w:val="Heading1"/>
            </w:pPr>
            <w:r w:rsidRPr="00F47262">
              <w:t xml:space="preserve">If Connection Status column says: Database Error for any entry, proceed to next </w:t>
            </w:r>
            <w:r w:rsidR="00084C36" w:rsidRPr="00F47262">
              <w:t>resolution</w:t>
            </w:r>
            <w:r w:rsidRPr="00F47262">
              <w:t>.</w:t>
            </w:r>
          </w:p>
        </w:tc>
        <w:tc>
          <w:tcPr>
            <w:tcW w:w="4134" w:type="dxa"/>
            <w:tcBorders>
              <w:bottom w:val="single" w:sz="4" w:space="0" w:color="auto"/>
            </w:tcBorders>
          </w:tcPr>
          <w:p w14:paraId="7A31207B" w14:textId="77777777" w:rsidR="00046849" w:rsidRPr="00F47262" w:rsidRDefault="00046849" w:rsidP="00046849">
            <w:pPr>
              <w:spacing w:before="60"/>
              <w:rPr>
                <w:sz w:val="20"/>
              </w:rPr>
            </w:pPr>
            <w:r w:rsidRPr="00F47262">
              <w:rPr>
                <w:noProof/>
                <w:sz w:val="20"/>
              </w:rPr>
              <w:drawing>
                <wp:inline distT="0" distB="0" distL="0" distR="0" wp14:anchorId="351FEC36" wp14:editId="24B5B3FA">
                  <wp:extent cx="1414666" cy="1406236"/>
                  <wp:effectExtent l="0" t="0" r="0" b="3810"/>
                  <wp:docPr id="1457" name="Picture 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4446" cy="1415957"/>
                          </a:xfrm>
                          <a:prstGeom prst="rect">
                            <a:avLst/>
                          </a:prstGeom>
                          <a:ln>
                            <a:noFill/>
                          </a:ln>
                          <a:extLst>
                            <a:ext uri="{53640926-AAD7-44D8-BBD7-CCE9431645EC}">
                              <a14:shadowObscured xmlns:a14="http://schemas.microsoft.com/office/drawing/2010/main"/>
                            </a:ext>
                          </a:extLst>
                        </pic:spPr>
                      </pic:pic>
                    </a:graphicData>
                  </a:graphic>
                </wp:inline>
              </w:drawing>
            </w:r>
          </w:p>
          <w:p w14:paraId="55D028A3" w14:textId="6669890C" w:rsidR="00002656" w:rsidRPr="00F47262" w:rsidRDefault="00046849" w:rsidP="00117783">
            <w:pPr>
              <w:spacing w:before="60" w:after="60"/>
              <w:rPr>
                <w:sz w:val="20"/>
              </w:rPr>
            </w:pPr>
            <w:r w:rsidRPr="00F47262">
              <w:rPr>
                <w:sz w:val="20"/>
              </w:rPr>
              <w:object w:dxaOrig="8685" w:dyaOrig="3660" w14:anchorId="6D94A2A9">
                <v:shape id="_x0000_i1036" type="#_x0000_t75" style="width:114pt;height:36pt" o:ole="">
                  <v:imagedata cropbottom="41652f" cropleft="30023f"/>
                </v:shape>
                <o:OLEObject Type="Embed" ProgID="PBrush" ShapeID="_x0000_i1036" DrawAspect="Content" ObjectID="_1846146719" r:id="rId50"/>
              </w:object>
            </w:r>
          </w:p>
        </w:tc>
      </w:tr>
      <w:tr w:rsidR="00A10A0C" w:rsidRPr="00A10A0C" w14:paraId="7A44E6E5" w14:textId="77777777" w:rsidTr="00F47262">
        <w:trPr>
          <w:cantSplit/>
        </w:trPr>
        <w:tc>
          <w:tcPr>
            <w:tcW w:w="9473" w:type="dxa"/>
            <w:gridSpan w:val="3"/>
            <w:shd w:val="clear" w:color="auto" w:fill="C6D9F1" w:themeFill="text2" w:themeFillTint="33"/>
          </w:tcPr>
          <w:p w14:paraId="664EDB6E" w14:textId="77777777" w:rsidR="00C32884" w:rsidRPr="00F47262" w:rsidRDefault="00C32884" w:rsidP="00291898">
            <w:pPr>
              <w:spacing w:before="60" w:after="60"/>
              <w:rPr>
                <w:b/>
                <w:i/>
                <w:color w:val="000000" w:themeColor="text1"/>
                <w:sz w:val="20"/>
              </w:rPr>
            </w:pPr>
            <w:r w:rsidRPr="00F47262">
              <w:rPr>
                <w:b/>
                <w:i/>
                <w:color w:val="000000" w:themeColor="text1"/>
                <w:sz w:val="20"/>
              </w:rPr>
              <w:t xml:space="preserve">Verify/Re-Install </w:t>
            </w:r>
            <w:r w:rsidR="004A7230" w:rsidRPr="00F47262">
              <w:rPr>
                <w:b/>
                <w:i/>
                <w:color w:val="000000" w:themeColor="text1"/>
                <w:sz w:val="20"/>
              </w:rPr>
              <w:t xml:space="preserve">TED </w:t>
            </w:r>
            <w:r w:rsidRPr="00F47262">
              <w:rPr>
                <w:b/>
                <w:i/>
                <w:color w:val="000000" w:themeColor="text1"/>
                <w:sz w:val="20"/>
              </w:rPr>
              <w:t>Certificates</w:t>
            </w:r>
          </w:p>
        </w:tc>
      </w:tr>
      <w:tr w:rsidR="00C32884" w:rsidRPr="000665B0" w14:paraId="78E5F752" w14:textId="77777777" w:rsidTr="00F47262">
        <w:trPr>
          <w:cantSplit/>
        </w:trPr>
        <w:tc>
          <w:tcPr>
            <w:tcW w:w="743" w:type="dxa"/>
          </w:tcPr>
          <w:p w14:paraId="405ADA86" w14:textId="77777777" w:rsidR="00C32884" w:rsidRPr="000665B0" w:rsidRDefault="00C32884" w:rsidP="006D5A65">
            <w:pPr>
              <w:pStyle w:val="Heading1"/>
            </w:pPr>
          </w:p>
        </w:tc>
        <w:tc>
          <w:tcPr>
            <w:tcW w:w="4596" w:type="dxa"/>
          </w:tcPr>
          <w:p w14:paraId="787E1FEB" w14:textId="77777777" w:rsidR="00C32884" w:rsidRPr="00F47262" w:rsidRDefault="00C32884" w:rsidP="00291898">
            <w:pPr>
              <w:spacing w:before="60" w:after="60"/>
              <w:rPr>
                <w:sz w:val="20"/>
              </w:rPr>
            </w:pPr>
            <w:r w:rsidRPr="00F47262">
              <w:rPr>
                <w:sz w:val="20"/>
              </w:rPr>
              <w:t>If not already logged in, login to the MDS workstation as an administrator.</w:t>
            </w:r>
          </w:p>
        </w:tc>
        <w:tc>
          <w:tcPr>
            <w:tcW w:w="4134" w:type="dxa"/>
          </w:tcPr>
          <w:p w14:paraId="199B6107" w14:textId="77777777" w:rsidR="00C32884" w:rsidRPr="00F47262" w:rsidRDefault="00C32884" w:rsidP="00291898">
            <w:pPr>
              <w:spacing w:before="60" w:after="60"/>
              <w:rPr>
                <w:sz w:val="20"/>
              </w:rPr>
            </w:pPr>
          </w:p>
        </w:tc>
      </w:tr>
      <w:tr w:rsidR="00C32884" w:rsidRPr="000665B0" w14:paraId="4A8E70BC" w14:textId="77777777" w:rsidTr="00F47262">
        <w:trPr>
          <w:cantSplit/>
        </w:trPr>
        <w:tc>
          <w:tcPr>
            <w:tcW w:w="743" w:type="dxa"/>
          </w:tcPr>
          <w:p w14:paraId="294E0452" w14:textId="77777777" w:rsidR="00C32884" w:rsidRPr="000665B0" w:rsidRDefault="00C32884" w:rsidP="006D5A65">
            <w:pPr>
              <w:pStyle w:val="Heading1"/>
            </w:pPr>
          </w:p>
        </w:tc>
        <w:tc>
          <w:tcPr>
            <w:tcW w:w="4596" w:type="dxa"/>
          </w:tcPr>
          <w:p w14:paraId="31087743" w14:textId="77777777" w:rsidR="00834677" w:rsidRPr="00F47262" w:rsidRDefault="00834677" w:rsidP="00834677">
            <w:pPr>
              <w:spacing w:before="60" w:after="60"/>
              <w:rPr>
                <w:sz w:val="20"/>
              </w:rPr>
            </w:pPr>
            <w:r w:rsidRPr="00F47262">
              <w:rPr>
                <w:sz w:val="20"/>
              </w:rPr>
              <w:t xml:space="preserve">Right-click the </w:t>
            </w:r>
            <w:r w:rsidRPr="00F47262">
              <w:rPr>
                <w:noProof/>
                <w:sz w:val="20"/>
              </w:rPr>
              <w:drawing>
                <wp:inline distT="0" distB="0" distL="0" distR="0" wp14:anchorId="5A307EB0" wp14:editId="11790D1E">
                  <wp:extent cx="182880" cy="178068"/>
                  <wp:effectExtent l="0" t="0" r="7620" b="0"/>
                  <wp:docPr id="1375"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Search</w:t>
            </w:r>
            <w:r w:rsidRPr="00F47262">
              <w:rPr>
                <w:sz w:val="20"/>
              </w:rPr>
              <w:t xml:space="preserve"> from the pop-up menu. Type </w:t>
            </w:r>
            <w:r w:rsidRPr="00F47262">
              <w:rPr>
                <w:b/>
                <w:sz w:val="20"/>
              </w:rPr>
              <w:t>Internet Explorer</w:t>
            </w:r>
            <w:r w:rsidRPr="00F47262">
              <w:rPr>
                <w:sz w:val="20"/>
              </w:rPr>
              <w:t xml:space="preserve"> in the </w:t>
            </w:r>
            <w:r w:rsidRPr="00F47262">
              <w:rPr>
                <w:b/>
                <w:sz w:val="20"/>
              </w:rPr>
              <w:t>Search</w:t>
            </w:r>
            <w:r w:rsidRPr="00F47262">
              <w:rPr>
                <w:sz w:val="20"/>
              </w:rPr>
              <w:t xml:space="preserve"> field, right-click </w:t>
            </w:r>
            <w:r w:rsidRPr="00F47262">
              <w:rPr>
                <w:b/>
                <w:sz w:val="20"/>
              </w:rPr>
              <w:t>Internet Explorer</w:t>
            </w:r>
            <w:r w:rsidRPr="00F47262">
              <w:rPr>
                <w:sz w:val="20"/>
              </w:rPr>
              <w:t xml:space="preserve"> in the results list, and then select </w:t>
            </w:r>
            <w:r w:rsidRPr="00F47262">
              <w:rPr>
                <w:b/>
                <w:sz w:val="20"/>
              </w:rPr>
              <w:t>Pin to Taskbar</w:t>
            </w:r>
            <w:r w:rsidRPr="00F47262">
              <w:rPr>
                <w:sz w:val="20"/>
              </w:rPr>
              <w:t>.</w:t>
            </w:r>
          </w:p>
          <w:p w14:paraId="2CD40508" w14:textId="77777777" w:rsidR="00C32884" w:rsidRPr="00F47262" w:rsidRDefault="00834677" w:rsidP="00834677">
            <w:pPr>
              <w:spacing w:before="60" w:after="60"/>
              <w:rPr>
                <w:sz w:val="20"/>
              </w:rPr>
            </w:pPr>
            <w:r w:rsidRPr="00F47262">
              <w:rPr>
                <w:sz w:val="20"/>
              </w:rPr>
              <w:t xml:space="preserve">From the </w:t>
            </w:r>
            <w:r w:rsidRPr="00F47262">
              <w:rPr>
                <w:b/>
                <w:sz w:val="20"/>
              </w:rPr>
              <w:t>Taskbar</w:t>
            </w:r>
            <w:r w:rsidRPr="00F47262">
              <w:rPr>
                <w:sz w:val="20"/>
              </w:rPr>
              <w:t xml:space="preserve">, right-click the </w:t>
            </w:r>
            <w:r w:rsidRPr="00F47262">
              <w:rPr>
                <w:b/>
                <w:sz w:val="20"/>
              </w:rPr>
              <w:t>Internet Explorer</w:t>
            </w:r>
            <w:r w:rsidRPr="00F47262">
              <w:rPr>
                <w:sz w:val="20"/>
              </w:rPr>
              <w:t xml:space="preserve"> logo, right-</w:t>
            </w:r>
            <w:r w:rsidRPr="00F47262">
              <w:rPr>
                <w:b/>
                <w:sz w:val="20"/>
              </w:rPr>
              <w:t>click Internet Explorer</w:t>
            </w:r>
            <w:r w:rsidRPr="00F47262">
              <w:rPr>
                <w:sz w:val="20"/>
              </w:rPr>
              <w:t xml:space="preserve"> from the pop-up list, and select </w:t>
            </w:r>
            <w:r w:rsidRPr="00F47262">
              <w:rPr>
                <w:b/>
                <w:sz w:val="20"/>
              </w:rPr>
              <w:t>Run as administrator</w:t>
            </w:r>
            <w:r w:rsidRPr="00F47262">
              <w:rPr>
                <w:sz w:val="20"/>
              </w:rPr>
              <w:t>.</w:t>
            </w:r>
          </w:p>
        </w:tc>
        <w:tc>
          <w:tcPr>
            <w:tcW w:w="4134" w:type="dxa"/>
          </w:tcPr>
          <w:p w14:paraId="5CD1C684" w14:textId="31B75E48" w:rsidR="00834677" w:rsidRPr="00F47262" w:rsidRDefault="00834677" w:rsidP="006679E9">
            <w:pPr>
              <w:spacing w:before="60"/>
              <w:rPr>
                <w:sz w:val="20"/>
              </w:rPr>
            </w:pPr>
            <w:r w:rsidRPr="00F47262">
              <w:rPr>
                <w:noProof/>
                <w:sz w:val="20"/>
              </w:rPr>
              <w:drawing>
                <wp:inline distT="0" distB="0" distL="0" distR="0" wp14:anchorId="6BF8EFF1" wp14:editId="62A8C1FA">
                  <wp:extent cx="1894445" cy="1190625"/>
                  <wp:effectExtent l="0" t="0" r="0" b="0"/>
                  <wp:docPr id="1361" name="Picture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screen">
                            <a:extLst>
                              <a:ext uri="{28A0092B-C50C-407E-A947-70E740481C1C}">
                                <a14:useLocalDpi xmlns:a14="http://schemas.microsoft.com/office/drawing/2010/main"/>
                              </a:ext>
                            </a:extLst>
                          </a:blip>
                          <a:stretch>
                            <a:fillRect/>
                          </a:stretch>
                        </pic:blipFill>
                        <pic:spPr>
                          <a:xfrm>
                            <a:off x="0" y="0"/>
                            <a:ext cx="1894293" cy="1190529"/>
                          </a:xfrm>
                          <a:prstGeom prst="rect">
                            <a:avLst/>
                          </a:prstGeom>
                        </pic:spPr>
                      </pic:pic>
                    </a:graphicData>
                  </a:graphic>
                </wp:inline>
              </w:drawing>
            </w:r>
          </w:p>
          <w:p w14:paraId="76B9A226" w14:textId="362B2F03" w:rsidR="00C32884" w:rsidRPr="00F47262" w:rsidRDefault="00834677" w:rsidP="00291898">
            <w:pPr>
              <w:spacing w:before="60" w:after="60"/>
              <w:rPr>
                <w:sz w:val="20"/>
              </w:rPr>
            </w:pPr>
            <w:r w:rsidRPr="00F47262">
              <w:rPr>
                <w:noProof/>
                <w:sz w:val="20"/>
              </w:rPr>
              <w:drawing>
                <wp:inline distT="0" distB="0" distL="0" distR="0" wp14:anchorId="257276A8" wp14:editId="24086E5A">
                  <wp:extent cx="2583180" cy="1770112"/>
                  <wp:effectExtent l="0" t="0" r="7620" b="1905"/>
                  <wp:docPr id="1374" name="Picture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589302" cy="1774307"/>
                          </a:xfrm>
                          <a:prstGeom prst="rect">
                            <a:avLst/>
                          </a:prstGeom>
                        </pic:spPr>
                      </pic:pic>
                    </a:graphicData>
                  </a:graphic>
                </wp:inline>
              </w:drawing>
            </w:r>
          </w:p>
        </w:tc>
      </w:tr>
      <w:tr w:rsidR="00C32884" w:rsidRPr="000665B0" w14:paraId="08A127B8" w14:textId="77777777" w:rsidTr="00F47262">
        <w:trPr>
          <w:cantSplit/>
        </w:trPr>
        <w:tc>
          <w:tcPr>
            <w:tcW w:w="743" w:type="dxa"/>
            <w:tcBorders>
              <w:bottom w:val="single" w:sz="4" w:space="0" w:color="auto"/>
            </w:tcBorders>
          </w:tcPr>
          <w:p w14:paraId="5587A98C" w14:textId="77777777" w:rsidR="00C32884" w:rsidRPr="000665B0" w:rsidRDefault="00C32884" w:rsidP="006D5A65">
            <w:pPr>
              <w:pStyle w:val="Heading1"/>
            </w:pPr>
          </w:p>
        </w:tc>
        <w:tc>
          <w:tcPr>
            <w:tcW w:w="4596" w:type="dxa"/>
            <w:tcBorders>
              <w:bottom w:val="single" w:sz="4" w:space="0" w:color="auto"/>
            </w:tcBorders>
          </w:tcPr>
          <w:p w14:paraId="5080441D" w14:textId="77777777" w:rsidR="00C32884" w:rsidRPr="00F47262" w:rsidRDefault="00C32884" w:rsidP="00291898">
            <w:pPr>
              <w:spacing w:before="60" w:after="60"/>
              <w:rPr>
                <w:sz w:val="20"/>
              </w:rPr>
            </w:pPr>
            <w:r w:rsidRPr="00F47262">
              <w:rPr>
                <w:sz w:val="20"/>
              </w:rPr>
              <w:t xml:space="preserve">Enter </w:t>
            </w:r>
            <w:r w:rsidRPr="00F47262">
              <w:rPr>
                <w:b/>
                <w:bCs/>
                <w:i/>
                <w:sz w:val="20"/>
              </w:rPr>
              <w:t>https://&lt;TED Web Server Name&gt;</w:t>
            </w:r>
            <w:r w:rsidRPr="00F47262">
              <w:rPr>
                <w:b/>
                <w:sz w:val="20"/>
              </w:rPr>
              <w:t xml:space="preserve"> </w:t>
            </w:r>
            <w:r w:rsidRPr="00F47262">
              <w:rPr>
                <w:sz w:val="20"/>
              </w:rPr>
              <w:t xml:space="preserve">in the URL field and press the </w:t>
            </w:r>
            <w:r w:rsidRPr="00F47262">
              <w:rPr>
                <w:b/>
                <w:sz w:val="20"/>
              </w:rPr>
              <w:t xml:space="preserve">Enter </w:t>
            </w:r>
            <w:r w:rsidRPr="00F47262">
              <w:rPr>
                <w:sz w:val="20"/>
              </w:rPr>
              <w:t>key.</w:t>
            </w:r>
          </w:p>
          <w:p w14:paraId="63C1E7B9" w14:textId="77777777" w:rsidR="00C32884" w:rsidRPr="00F47262" w:rsidRDefault="00C32884" w:rsidP="006D5A65">
            <w:pPr>
              <w:pStyle w:val="Heading1"/>
            </w:pPr>
            <w:r w:rsidRPr="00F47262">
              <w:t xml:space="preserve">If the Internet Explorer logo is displayed, then proceed to next </w:t>
            </w:r>
            <w:r w:rsidR="00084C36" w:rsidRPr="00F47262">
              <w:t>resolution</w:t>
            </w:r>
            <w:r w:rsidRPr="00F47262">
              <w:t>.</w:t>
            </w:r>
          </w:p>
          <w:p w14:paraId="20E38039" w14:textId="77777777" w:rsidR="00C32884" w:rsidRPr="00F47262" w:rsidRDefault="00C32884" w:rsidP="006D5A65">
            <w:pPr>
              <w:pStyle w:val="Heading1"/>
            </w:pPr>
            <w:r w:rsidRPr="00F47262">
              <w:t>If a certificate error is displayed, then uninstall/reinstall the certificate per the appropriate ISP for the system configuration.</w:t>
            </w:r>
          </w:p>
        </w:tc>
        <w:tc>
          <w:tcPr>
            <w:tcW w:w="4134" w:type="dxa"/>
            <w:tcBorders>
              <w:bottom w:val="single" w:sz="4" w:space="0" w:color="auto"/>
            </w:tcBorders>
          </w:tcPr>
          <w:p w14:paraId="52BAC048" w14:textId="0D233251" w:rsidR="004E070E" w:rsidRPr="00F47262" w:rsidRDefault="007A690B" w:rsidP="00291898">
            <w:pPr>
              <w:spacing w:before="60" w:after="60"/>
              <w:rPr>
                <w:sz w:val="20"/>
              </w:rPr>
            </w:pPr>
            <w:r w:rsidRPr="00F47262">
              <w:rPr>
                <w:sz w:val="20"/>
              </w:rPr>
              <w:object w:dxaOrig="13635" w:dyaOrig="10905" w14:anchorId="0BD9D37A">
                <v:shape id="_x0000_i1037" type="#_x0000_t75" style="width:203pt;height:162pt" o:ole=""/>
                <o:OLEObject Type="Embed" ProgID="PBrush" ShapeID="_x0000_i1037" DrawAspect="Content" ObjectID="_1846146720" r:id="rId51"/>
              </w:object>
            </w:r>
          </w:p>
          <w:p w14:paraId="616F5F20" w14:textId="62AF000E" w:rsidR="00C32884" w:rsidRPr="00F47262" w:rsidRDefault="007A690B" w:rsidP="00291898">
            <w:pPr>
              <w:spacing w:before="60" w:after="60"/>
              <w:rPr>
                <w:sz w:val="20"/>
              </w:rPr>
            </w:pPr>
            <w:r w:rsidRPr="00F47262">
              <w:rPr>
                <w:sz w:val="20"/>
              </w:rPr>
              <w:object w:dxaOrig="11445" w:dyaOrig="7770" w14:anchorId="3E929E60">
                <v:shape id="_x0000_i1038" type="#_x0000_t75" style="width:203.5pt;height:2in" o:ole=""/>
                <o:OLEObject Type="Embed" ProgID="PBrush" ShapeID="_x0000_i1038" DrawAspect="Content" ObjectID="_1846146721" r:id="rId52"/>
              </w:object>
            </w:r>
          </w:p>
        </w:tc>
      </w:tr>
      <w:tr w:rsidR="00A10A0C" w:rsidRPr="00A10A0C" w14:paraId="4C460A66" w14:textId="77777777" w:rsidTr="00F47262">
        <w:trPr>
          <w:cantSplit/>
        </w:trPr>
        <w:tc>
          <w:tcPr>
            <w:tcW w:w="9473" w:type="dxa"/>
            <w:gridSpan w:val="3"/>
            <w:shd w:val="clear" w:color="auto" w:fill="C6D9F1" w:themeFill="text2" w:themeFillTint="33"/>
          </w:tcPr>
          <w:p w14:paraId="297D7033" w14:textId="77777777" w:rsidR="00C32884" w:rsidRPr="00F47262" w:rsidRDefault="00C722C3" w:rsidP="00863CE3">
            <w:pPr>
              <w:keepNext/>
              <w:spacing w:before="60" w:after="60"/>
              <w:rPr>
                <w:color w:val="000000" w:themeColor="text1"/>
                <w:sz w:val="20"/>
              </w:rPr>
            </w:pPr>
            <w:r w:rsidRPr="00F47262">
              <w:rPr>
                <w:b/>
                <w:i/>
                <w:color w:val="000000" w:themeColor="text1"/>
                <w:sz w:val="20"/>
              </w:rPr>
              <w:lastRenderedPageBreak/>
              <w:t>Contact the Help Desk</w:t>
            </w:r>
          </w:p>
        </w:tc>
      </w:tr>
      <w:tr w:rsidR="00C32884" w:rsidRPr="000665B0" w14:paraId="7F742A52" w14:textId="77777777" w:rsidTr="00F47262">
        <w:trPr>
          <w:cantSplit/>
        </w:trPr>
        <w:tc>
          <w:tcPr>
            <w:tcW w:w="743" w:type="dxa"/>
          </w:tcPr>
          <w:p w14:paraId="3609DBE6" w14:textId="77777777" w:rsidR="00C32884" w:rsidRPr="000665B0" w:rsidRDefault="00C32884" w:rsidP="006D5A65">
            <w:pPr>
              <w:pStyle w:val="Heading1"/>
            </w:pPr>
          </w:p>
        </w:tc>
        <w:tc>
          <w:tcPr>
            <w:tcW w:w="4596" w:type="dxa"/>
          </w:tcPr>
          <w:p w14:paraId="3345CF29" w14:textId="4B21B332" w:rsidR="00C32884" w:rsidRPr="00F47262" w:rsidRDefault="00C32884" w:rsidP="003E57B7">
            <w:pPr>
              <w:spacing w:before="60" w:after="60"/>
              <w:rPr>
                <w:sz w:val="20"/>
              </w:rPr>
            </w:pPr>
            <w:r w:rsidRPr="00F47262">
              <w:rPr>
                <w:sz w:val="20"/>
              </w:rPr>
              <w:t xml:space="preserve">If MDS does not establish successful connection to TED after all these resolutions have been attempted, contact the appropriate Help Desk </w:t>
            </w:r>
            <w:r w:rsidR="008858E3" w:rsidRPr="00F47262">
              <w:rPr>
                <w:sz w:val="20"/>
              </w:rPr>
              <w:t>(see</w:t>
            </w:r>
            <w:r w:rsidRPr="00F47262">
              <w:rPr>
                <w:sz w:val="20"/>
              </w:rPr>
              <w:t xml:space="preserve"> </w:t>
            </w:r>
            <w:hyperlink w:anchor="_APPENDIX_U_" w:history="1">
              <w:r w:rsidR="003E57B7" w:rsidRPr="00F47262">
                <w:rPr>
                  <w:rStyle w:val="Hyperlink"/>
                  <w:sz w:val="20"/>
                </w:rPr>
                <w:t xml:space="preserve">Appendix </w:t>
              </w:r>
              <w:r w:rsidR="00BA5FFA">
                <w:rPr>
                  <w:rStyle w:val="Hyperlink"/>
                  <w:sz w:val="20"/>
                </w:rPr>
                <w:t>U</w:t>
              </w:r>
            </w:hyperlink>
            <w:r w:rsidR="008858E3" w:rsidRPr="00F47262">
              <w:rPr>
                <w:sz w:val="20"/>
              </w:rPr>
              <w:t>).</w:t>
            </w:r>
          </w:p>
        </w:tc>
        <w:tc>
          <w:tcPr>
            <w:tcW w:w="4134" w:type="dxa"/>
          </w:tcPr>
          <w:p w14:paraId="1829321C" w14:textId="77777777" w:rsidR="00C32884" w:rsidRPr="00F47262" w:rsidRDefault="00C32884" w:rsidP="00291898">
            <w:pPr>
              <w:spacing w:before="60" w:after="60"/>
              <w:rPr>
                <w:sz w:val="20"/>
              </w:rPr>
            </w:pPr>
          </w:p>
        </w:tc>
      </w:tr>
    </w:tbl>
    <w:p w14:paraId="268876F0" w14:textId="75532EB8" w:rsidR="00CE09E9" w:rsidRPr="000665B0" w:rsidRDefault="00CE09E9" w:rsidP="00155E82">
      <w:pPr>
        <w:pStyle w:val="Appendix3"/>
        <w:ind w:left="360"/>
      </w:pPr>
      <w:bookmarkStart w:id="7480" w:name="_Toc214283708"/>
      <w:r w:rsidRPr="000665B0">
        <w:t>SQL Server Error 3417</w:t>
      </w:r>
      <w:bookmarkEnd w:id="7480"/>
    </w:p>
    <w:p w14:paraId="5C47A56F" w14:textId="78C3BF70" w:rsidR="00CE09E9" w:rsidRPr="000665B0" w:rsidRDefault="00CE09E9" w:rsidP="00CE09E9">
      <w:bookmarkStart w:id="7481" w:name="_Hlk124839142"/>
      <w:r w:rsidRPr="000665B0">
        <w:rPr>
          <w:b/>
          <w:szCs w:val="24"/>
          <w:u w:val="single"/>
        </w:rPr>
        <w:t>Issue</w:t>
      </w:r>
      <w:r w:rsidRPr="000665B0">
        <w:rPr>
          <w:b/>
          <w:szCs w:val="24"/>
        </w:rPr>
        <w:t>:</w:t>
      </w:r>
      <w:r w:rsidRPr="000665B0">
        <w:rPr>
          <w:szCs w:val="24"/>
        </w:rPr>
        <w:t xml:space="preserve"> </w:t>
      </w:r>
      <w:r w:rsidRPr="000665B0">
        <w:t xml:space="preserve">The </w:t>
      </w:r>
      <w:r w:rsidRPr="000665B0">
        <w:rPr>
          <w:i/>
        </w:rPr>
        <w:t>Services</w:t>
      </w:r>
      <w:r w:rsidRPr="000665B0">
        <w:t xml:space="preserve"> window states that SQL Server (TC2S) could not be started. Refer to Error Code 3417 and in </w:t>
      </w:r>
      <w:r w:rsidRPr="000665B0">
        <w:rPr>
          <w:b/>
        </w:rPr>
        <w:t xml:space="preserve">Event Viewer </w:t>
      </w:r>
      <w:r w:rsidRPr="000665B0">
        <w:rPr>
          <w:b/>
        </w:rPr>
        <w:sym w:font="Wingdings" w:char="F0E0"/>
      </w:r>
      <w:r w:rsidRPr="000665B0">
        <w:rPr>
          <w:b/>
        </w:rPr>
        <w:t xml:space="preserve"> System</w:t>
      </w:r>
      <w:r w:rsidRPr="000665B0">
        <w:t xml:space="preserve">, the following error may be displayed: </w:t>
      </w:r>
      <w:r w:rsidRPr="000665B0">
        <w:br/>
      </w:r>
      <w:r w:rsidRPr="000665B0">
        <w:rPr>
          <w:b/>
        </w:rPr>
        <w:t xml:space="preserve">The SQL Server (TC2S) services terminated with service specific error. Warning: You have until SQL Server (TC2S) to logoff. If you have not logged off at this time, your session will be </w:t>
      </w:r>
      <w:r w:rsidR="009762F2" w:rsidRPr="000665B0">
        <w:rPr>
          <w:b/>
        </w:rPr>
        <w:t>disconnected,</w:t>
      </w:r>
      <w:r w:rsidRPr="000665B0">
        <w:rPr>
          <w:b/>
        </w:rPr>
        <w:t xml:space="preserve"> and any open files will be disconnected and any open files or devices you have open may lose data</w:t>
      </w:r>
      <w:r w:rsidRPr="000665B0">
        <w:t>.</w:t>
      </w:r>
    </w:p>
    <w:p w14:paraId="43A281C5" w14:textId="77777777" w:rsidR="00CE09E9" w:rsidRPr="000665B0" w:rsidRDefault="00CE09E9" w:rsidP="00CE09E9">
      <w:pPr>
        <w:rPr>
          <w:szCs w:val="24"/>
        </w:rPr>
      </w:pPr>
      <w:r w:rsidRPr="000665B0">
        <w:rPr>
          <w:b/>
          <w:szCs w:val="24"/>
          <w:u w:val="single"/>
        </w:rPr>
        <w:t>Description</w:t>
      </w:r>
      <w:r w:rsidRPr="000665B0">
        <w:rPr>
          <w:b/>
          <w:szCs w:val="24"/>
        </w:rPr>
        <w:t>:</w:t>
      </w:r>
      <w:r w:rsidRPr="000665B0">
        <w:rPr>
          <w:szCs w:val="24"/>
        </w:rPr>
        <w:t xml:space="preserve"> </w:t>
      </w:r>
      <w:r w:rsidRPr="000665B0">
        <w:t>SQL Server error 3417 can occur during SQL Server startup when the master database is compressed, the directory/data file access permissions are restricted, or the database is corrupt</w:t>
      </w:r>
      <w:r w:rsidRPr="000665B0">
        <w:rPr>
          <w:lang w:val="en"/>
        </w:rPr>
        <w:t>.</w:t>
      </w:r>
      <w:r w:rsidRPr="000665B0">
        <w:rPr>
          <w:szCs w:val="24"/>
        </w:rPr>
        <w:t xml:space="preserve"> Follow the procedures below to help resolve these issues. </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4349"/>
        <w:gridCol w:w="4381"/>
      </w:tblGrid>
      <w:tr w:rsidR="00FA729F" w:rsidRPr="000665B0" w14:paraId="14EE04C9" w14:textId="77777777" w:rsidTr="00F47262">
        <w:trPr>
          <w:cantSplit/>
          <w:tblHeader/>
        </w:trPr>
        <w:tc>
          <w:tcPr>
            <w:tcW w:w="9558" w:type="dxa"/>
            <w:gridSpan w:val="3"/>
            <w:tcBorders>
              <w:bottom w:val="single" w:sz="4" w:space="0" w:color="auto"/>
            </w:tcBorders>
            <w:shd w:val="clear" w:color="auto" w:fill="D9D9D9" w:themeFill="background1" w:themeFillShade="D9"/>
          </w:tcPr>
          <w:p w14:paraId="4C59325D" w14:textId="640612B2" w:rsidR="00FA729F" w:rsidRPr="00F47262" w:rsidRDefault="00FA729F" w:rsidP="002F054D">
            <w:pPr>
              <w:spacing w:before="60" w:after="60"/>
              <w:rPr>
                <w:rFonts w:ascii="Arial" w:hAnsi="Arial" w:cs="Arial"/>
                <w:b/>
                <w:szCs w:val="24"/>
              </w:rPr>
            </w:pPr>
            <w:r w:rsidRPr="00F47262">
              <w:rPr>
                <w:rFonts w:ascii="Arial" w:hAnsi="Arial" w:cs="Arial"/>
                <w:b/>
                <w:szCs w:val="24"/>
              </w:rPr>
              <w:t>L</w:t>
            </w:r>
            <w:r w:rsidR="002F054D" w:rsidRPr="00F47262">
              <w:rPr>
                <w:rFonts w:ascii="Arial" w:hAnsi="Arial" w:cs="Arial"/>
                <w:b/>
                <w:szCs w:val="24"/>
              </w:rPr>
              <w:t>.</w:t>
            </w:r>
            <w:r w:rsidRPr="00F47262">
              <w:rPr>
                <w:rFonts w:ascii="Arial" w:hAnsi="Arial" w:cs="Arial"/>
                <w:b/>
                <w:szCs w:val="24"/>
              </w:rPr>
              <w:t>3.</w:t>
            </w:r>
            <w:r w:rsidR="00B650D9" w:rsidRPr="00F47262">
              <w:rPr>
                <w:rFonts w:ascii="Arial" w:hAnsi="Arial" w:cs="Arial"/>
                <w:b/>
                <w:szCs w:val="24"/>
              </w:rPr>
              <w:t>1</w:t>
            </w:r>
            <w:r w:rsidR="009651B0" w:rsidRPr="00F47262">
              <w:rPr>
                <w:rFonts w:ascii="Arial" w:hAnsi="Arial" w:cs="Arial"/>
                <w:b/>
                <w:szCs w:val="24"/>
              </w:rPr>
              <w:t xml:space="preserve"> </w:t>
            </w:r>
            <w:r w:rsidRPr="00F47262">
              <w:rPr>
                <w:rFonts w:ascii="Arial" w:hAnsi="Arial" w:cs="Arial"/>
                <w:b/>
                <w:szCs w:val="24"/>
              </w:rPr>
              <w:t>SQL Server Error 3417</w:t>
            </w:r>
          </w:p>
        </w:tc>
      </w:tr>
      <w:tr w:rsidR="00FA729F" w:rsidRPr="000665B0" w14:paraId="257E3BE6" w14:textId="77777777" w:rsidTr="00F47262">
        <w:trPr>
          <w:cantSplit/>
          <w:tblHeader/>
        </w:trPr>
        <w:tc>
          <w:tcPr>
            <w:tcW w:w="828" w:type="dxa"/>
            <w:tcBorders>
              <w:bottom w:val="single" w:sz="4" w:space="0" w:color="auto"/>
            </w:tcBorders>
            <w:shd w:val="clear" w:color="auto" w:fill="D9D9D9" w:themeFill="background1" w:themeFillShade="D9"/>
          </w:tcPr>
          <w:p w14:paraId="0A3A552F" w14:textId="77777777" w:rsidR="00FA729F" w:rsidRPr="00F47262" w:rsidRDefault="00FA729F" w:rsidP="00291898">
            <w:pPr>
              <w:spacing w:before="60" w:after="60"/>
              <w:rPr>
                <w:rFonts w:ascii="Arial" w:hAnsi="Arial" w:cs="Arial"/>
                <w:b/>
                <w:szCs w:val="24"/>
              </w:rPr>
            </w:pPr>
            <w:r w:rsidRPr="00F47262">
              <w:rPr>
                <w:rFonts w:ascii="Arial" w:hAnsi="Arial" w:cs="Arial"/>
                <w:b/>
                <w:szCs w:val="24"/>
              </w:rPr>
              <w:t>Step</w:t>
            </w:r>
          </w:p>
        </w:tc>
        <w:tc>
          <w:tcPr>
            <w:tcW w:w="4349" w:type="dxa"/>
            <w:tcBorders>
              <w:bottom w:val="single" w:sz="4" w:space="0" w:color="auto"/>
            </w:tcBorders>
            <w:shd w:val="clear" w:color="auto" w:fill="D9D9D9" w:themeFill="background1" w:themeFillShade="D9"/>
          </w:tcPr>
          <w:p w14:paraId="7AE2AE75" w14:textId="77777777" w:rsidR="00FA729F" w:rsidRPr="00F47262" w:rsidRDefault="00FA729F" w:rsidP="00291898">
            <w:pPr>
              <w:spacing w:before="60" w:after="60"/>
              <w:rPr>
                <w:rFonts w:ascii="Arial" w:hAnsi="Arial" w:cs="Arial"/>
                <w:b/>
                <w:szCs w:val="24"/>
              </w:rPr>
            </w:pPr>
            <w:r w:rsidRPr="00F47262">
              <w:rPr>
                <w:rFonts w:ascii="Arial" w:hAnsi="Arial" w:cs="Arial"/>
                <w:b/>
                <w:szCs w:val="24"/>
              </w:rPr>
              <w:t>Procedure</w:t>
            </w:r>
          </w:p>
        </w:tc>
        <w:tc>
          <w:tcPr>
            <w:tcW w:w="4381" w:type="dxa"/>
            <w:tcBorders>
              <w:bottom w:val="single" w:sz="4" w:space="0" w:color="auto"/>
            </w:tcBorders>
            <w:shd w:val="clear" w:color="auto" w:fill="D9D9D9" w:themeFill="background1" w:themeFillShade="D9"/>
          </w:tcPr>
          <w:p w14:paraId="654BBC28" w14:textId="77777777" w:rsidR="00FA729F" w:rsidRPr="00F47262" w:rsidRDefault="00FA729F" w:rsidP="00291898">
            <w:pPr>
              <w:spacing w:before="60" w:after="60"/>
              <w:rPr>
                <w:rFonts w:ascii="Arial" w:hAnsi="Arial" w:cs="Arial"/>
                <w:b/>
                <w:szCs w:val="24"/>
              </w:rPr>
            </w:pPr>
            <w:r w:rsidRPr="00F47262">
              <w:rPr>
                <w:rFonts w:ascii="Arial" w:hAnsi="Arial" w:cs="Arial"/>
                <w:b/>
                <w:szCs w:val="24"/>
              </w:rPr>
              <w:t>Comments</w:t>
            </w:r>
          </w:p>
        </w:tc>
      </w:tr>
      <w:tr w:rsidR="00A10A0C" w:rsidRPr="00A10A0C" w14:paraId="26F82022" w14:textId="77777777" w:rsidTr="00F47262">
        <w:trPr>
          <w:cantSplit/>
        </w:trPr>
        <w:tc>
          <w:tcPr>
            <w:tcW w:w="9558" w:type="dxa"/>
            <w:gridSpan w:val="3"/>
            <w:shd w:val="clear" w:color="auto" w:fill="C6D9F1" w:themeFill="text2" w:themeFillTint="33"/>
          </w:tcPr>
          <w:p w14:paraId="76CCB992" w14:textId="77777777" w:rsidR="00FA729F" w:rsidRPr="00A10A0C" w:rsidRDefault="008E63A3" w:rsidP="001075B1">
            <w:pPr>
              <w:spacing w:before="60" w:after="60"/>
              <w:rPr>
                <w:b/>
                <w:i/>
                <w:color w:val="000000" w:themeColor="text1"/>
                <w:sz w:val="20"/>
              </w:rPr>
            </w:pPr>
            <w:r w:rsidRPr="00A10A0C">
              <w:rPr>
                <w:b/>
                <w:i/>
                <w:color w:val="000000" w:themeColor="text1"/>
                <w:sz w:val="20"/>
              </w:rPr>
              <w:t xml:space="preserve">Disable </w:t>
            </w:r>
            <w:r w:rsidR="00FA729F" w:rsidRPr="00A10A0C">
              <w:rPr>
                <w:b/>
                <w:i/>
                <w:color w:val="000000" w:themeColor="text1"/>
                <w:sz w:val="20"/>
              </w:rPr>
              <w:t>Compression</w:t>
            </w:r>
            <w:r w:rsidRPr="00A10A0C">
              <w:rPr>
                <w:b/>
                <w:i/>
                <w:color w:val="000000" w:themeColor="text1"/>
                <w:sz w:val="20"/>
              </w:rPr>
              <w:t>/Encryption Properties</w:t>
            </w:r>
          </w:p>
        </w:tc>
      </w:tr>
      <w:tr w:rsidR="00FA729F" w:rsidRPr="000665B0" w14:paraId="66CCC639" w14:textId="77777777" w:rsidTr="00F47262">
        <w:trPr>
          <w:cantSplit/>
        </w:trPr>
        <w:tc>
          <w:tcPr>
            <w:tcW w:w="828" w:type="dxa"/>
          </w:tcPr>
          <w:p w14:paraId="17F58934" w14:textId="77777777" w:rsidR="00FA729F" w:rsidRPr="000665B0" w:rsidRDefault="00FA729F" w:rsidP="006D5A65">
            <w:pPr>
              <w:pStyle w:val="Heading1"/>
            </w:pPr>
          </w:p>
        </w:tc>
        <w:tc>
          <w:tcPr>
            <w:tcW w:w="4349" w:type="dxa"/>
          </w:tcPr>
          <w:p w14:paraId="419D42FE" w14:textId="3921097C" w:rsidR="00FA729F" w:rsidRPr="00F47262" w:rsidRDefault="00292A4D" w:rsidP="00931D14">
            <w:pPr>
              <w:spacing w:before="60" w:after="60" w:line="240" w:lineRule="auto"/>
              <w:rPr>
                <w:sz w:val="20"/>
              </w:rPr>
            </w:pPr>
            <w:r w:rsidRPr="00F47262">
              <w:rPr>
                <w:sz w:val="20"/>
              </w:rPr>
              <w:t xml:space="preserve">Right-click the </w:t>
            </w:r>
            <w:r w:rsidRPr="00F47262">
              <w:rPr>
                <w:noProof/>
                <w:sz w:val="20"/>
              </w:rPr>
              <w:drawing>
                <wp:inline distT="0" distB="0" distL="0" distR="0" wp14:anchorId="19D2A56A" wp14:editId="4120937F">
                  <wp:extent cx="143124" cy="139358"/>
                  <wp:effectExtent l="0" t="0" r="0" b="0"/>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11-19_002.jpg"/>
                          <pic:cNvPicPr/>
                        </pic:nvPicPr>
                        <pic:blipFill>
                          <a:blip cstate="screen">
                            <a:extLst>
                              <a:ext uri="{28A0092B-C50C-407E-A947-70E740481C1C}">
                                <a14:useLocalDpi xmlns:a14="http://schemas.microsoft.com/office/drawing/2010/main"/>
                              </a:ext>
                            </a:extLst>
                          </a:blip>
                          <a:stretch>
                            <a:fillRect/>
                          </a:stretch>
                        </pic:blipFill>
                        <pic:spPr>
                          <a:xfrm>
                            <a:off x="0" y="0"/>
                            <a:ext cx="141633" cy="137906"/>
                          </a:xfrm>
                          <a:prstGeom prst="rect">
                            <a:avLst/>
                          </a:prstGeom>
                        </pic:spPr>
                      </pic:pic>
                    </a:graphicData>
                  </a:graphic>
                </wp:inline>
              </w:drawing>
            </w:r>
            <w:r w:rsidRPr="00F47262">
              <w:rPr>
                <w:sz w:val="20"/>
              </w:rPr>
              <w:t xml:space="preserve"> icon in the bottom left corner of the screen and select </w:t>
            </w:r>
            <w:r w:rsidRPr="00F47262">
              <w:rPr>
                <w:b/>
                <w:sz w:val="20"/>
              </w:rPr>
              <w:t>File Explorer</w:t>
            </w:r>
            <w:r w:rsidR="00FA729F" w:rsidRPr="00F47262">
              <w:rPr>
                <w:sz w:val="20"/>
              </w:rPr>
              <w:t xml:space="preserve"> on the system where SQL Server is installed</w:t>
            </w:r>
            <w:r w:rsidRPr="00F47262">
              <w:rPr>
                <w:sz w:val="20"/>
              </w:rPr>
              <w:t>.</w:t>
            </w:r>
            <w:r w:rsidR="00FA729F" w:rsidRPr="00F47262">
              <w:rPr>
                <w:sz w:val="20"/>
              </w:rPr>
              <w:t xml:space="preserve"> </w:t>
            </w:r>
            <w:r w:rsidRPr="00F47262">
              <w:rPr>
                <w:sz w:val="20"/>
              </w:rPr>
              <w:t xml:space="preserve">Navigate </w:t>
            </w:r>
            <w:r w:rsidR="008E63A3" w:rsidRPr="00F47262">
              <w:rPr>
                <w:sz w:val="20"/>
              </w:rPr>
              <w:t xml:space="preserve">to </w:t>
            </w:r>
            <w:r w:rsidR="008E63A3" w:rsidRPr="00F47262">
              <w:rPr>
                <w:b/>
                <w:spacing w:val="-2"/>
                <w:sz w:val="20"/>
              </w:rPr>
              <w:t>&lt;</w:t>
            </w:r>
            <w:r w:rsidR="0073261F" w:rsidRPr="00F47262">
              <w:rPr>
                <w:b/>
                <w:spacing w:val="-2"/>
                <w:sz w:val="20"/>
              </w:rPr>
              <w:t>drive</w:t>
            </w:r>
            <w:r w:rsidR="008E63A3" w:rsidRPr="00F47262">
              <w:rPr>
                <w:b/>
                <w:spacing w:val="-2"/>
                <w:sz w:val="20"/>
              </w:rPr>
              <w:t>&gt;:\Program Files\Microsoft SQL Server\</w:t>
            </w:r>
            <w:r w:rsidR="00931D14" w:rsidRPr="00F47262">
              <w:rPr>
                <w:b/>
                <w:spacing w:val="-2"/>
                <w:sz w:val="20"/>
              </w:rPr>
              <w:t>MSSQL13</w:t>
            </w:r>
            <w:r w:rsidR="008E63A3" w:rsidRPr="00F47262">
              <w:rPr>
                <w:b/>
                <w:spacing w:val="-2"/>
                <w:sz w:val="20"/>
              </w:rPr>
              <w:t>.TC2S\MSSQL\DATA</w:t>
            </w:r>
            <w:r w:rsidR="008E63A3" w:rsidRPr="00F47262">
              <w:rPr>
                <w:sz w:val="20"/>
              </w:rPr>
              <w:t>.</w:t>
            </w:r>
          </w:p>
        </w:tc>
        <w:tc>
          <w:tcPr>
            <w:tcW w:w="4381" w:type="dxa"/>
          </w:tcPr>
          <w:p w14:paraId="491FDF77" w14:textId="77777777" w:rsidR="00FA729F" w:rsidRPr="00F47262" w:rsidRDefault="00FA729F" w:rsidP="001075B1">
            <w:pPr>
              <w:spacing w:before="60" w:after="60"/>
              <w:rPr>
                <w:sz w:val="20"/>
              </w:rPr>
            </w:pPr>
          </w:p>
        </w:tc>
      </w:tr>
      <w:tr w:rsidR="00FA729F" w:rsidRPr="000665B0" w14:paraId="5B593BA7" w14:textId="77777777" w:rsidTr="00F47262">
        <w:trPr>
          <w:cantSplit/>
        </w:trPr>
        <w:tc>
          <w:tcPr>
            <w:tcW w:w="828" w:type="dxa"/>
          </w:tcPr>
          <w:p w14:paraId="58DD6B6C" w14:textId="77777777" w:rsidR="00FA729F" w:rsidRPr="000665B0" w:rsidRDefault="00FA729F" w:rsidP="006D5A65">
            <w:pPr>
              <w:pStyle w:val="Heading1"/>
            </w:pPr>
          </w:p>
        </w:tc>
        <w:tc>
          <w:tcPr>
            <w:tcW w:w="4349" w:type="dxa"/>
          </w:tcPr>
          <w:p w14:paraId="416EEB98" w14:textId="26022DD3" w:rsidR="00FA729F" w:rsidRPr="00F47262" w:rsidRDefault="00D71804" w:rsidP="00E274CC">
            <w:pPr>
              <w:spacing w:before="60" w:after="60"/>
              <w:rPr>
                <w:sz w:val="20"/>
              </w:rPr>
            </w:pPr>
            <w:r w:rsidRPr="00F47262">
              <w:rPr>
                <w:sz w:val="20"/>
              </w:rPr>
              <w:t>Right-click</w:t>
            </w:r>
            <w:r w:rsidR="00FA729F" w:rsidRPr="00F47262">
              <w:rPr>
                <w:sz w:val="20"/>
              </w:rPr>
              <w:t xml:space="preserve"> on the </w:t>
            </w:r>
            <w:r w:rsidR="00FA729F" w:rsidRPr="00F47262">
              <w:rPr>
                <w:b/>
                <w:sz w:val="20"/>
              </w:rPr>
              <w:t>DATA</w:t>
            </w:r>
            <w:r w:rsidR="00FA729F" w:rsidRPr="00F47262">
              <w:rPr>
                <w:sz w:val="20"/>
              </w:rPr>
              <w:t xml:space="preserve"> directory to display the context menu and select </w:t>
            </w:r>
            <w:r w:rsidR="00FA729F" w:rsidRPr="00F47262">
              <w:rPr>
                <w:b/>
                <w:sz w:val="20"/>
              </w:rPr>
              <w:t xml:space="preserve">Properties </w:t>
            </w:r>
            <w:r w:rsidR="00FA729F" w:rsidRPr="00F47262">
              <w:rPr>
                <w:b/>
                <w:sz w:val="20"/>
              </w:rPr>
              <w:sym w:font="Wingdings" w:char="F0E0"/>
            </w:r>
            <w:r w:rsidR="00FA729F" w:rsidRPr="00F47262">
              <w:rPr>
                <w:b/>
                <w:sz w:val="20"/>
              </w:rPr>
              <w:t xml:space="preserve"> Advanced</w:t>
            </w:r>
            <w:r w:rsidR="00FA729F" w:rsidRPr="00F47262">
              <w:rPr>
                <w:sz w:val="20"/>
              </w:rPr>
              <w:t xml:space="preserve">. Ensure the </w:t>
            </w:r>
            <w:r w:rsidR="00FA729F" w:rsidRPr="00F47262">
              <w:rPr>
                <w:b/>
                <w:sz w:val="20"/>
              </w:rPr>
              <w:t xml:space="preserve">Compress </w:t>
            </w:r>
            <w:r w:rsidR="008E63A3" w:rsidRPr="00F47262">
              <w:rPr>
                <w:b/>
                <w:sz w:val="20"/>
              </w:rPr>
              <w:t>Contents</w:t>
            </w:r>
            <w:r w:rsidR="00E274CC" w:rsidRPr="00F47262">
              <w:rPr>
                <w:b/>
                <w:sz w:val="20"/>
              </w:rPr>
              <w:t xml:space="preserve"> to save disk space</w:t>
            </w:r>
            <w:r w:rsidR="00E274CC" w:rsidRPr="00F47262">
              <w:rPr>
                <w:sz w:val="20"/>
              </w:rPr>
              <w:t xml:space="preserve"> and the</w:t>
            </w:r>
            <w:r w:rsidR="00E274CC" w:rsidRPr="00F47262">
              <w:rPr>
                <w:b/>
                <w:sz w:val="20"/>
              </w:rPr>
              <w:t xml:space="preserve"> </w:t>
            </w:r>
            <w:r w:rsidR="008E63A3" w:rsidRPr="00F47262">
              <w:rPr>
                <w:b/>
                <w:sz w:val="20"/>
              </w:rPr>
              <w:t>Encrypt</w:t>
            </w:r>
            <w:r w:rsidR="00E274CC" w:rsidRPr="00F47262">
              <w:rPr>
                <w:b/>
                <w:sz w:val="20"/>
              </w:rPr>
              <w:t xml:space="preserve"> contents to secure data</w:t>
            </w:r>
            <w:r w:rsidR="008E63A3" w:rsidRPr="00F47262">
              <w:rPr>
                <w:b/>
                <w:sz w:val="20"/>
              </w:rPr>
              <w:t xml:space="preserve"> </w:t>
            </w:r>
            <w:r w:rsidR="00FA729F" w:rsidRPr="00F47262">
              <w:rPr>
                <w:sz w:val="20"/>
              </w:rPr>
              <w:t>checkboxes</w:t>
            </w:r>
            <w:r w:rsidR="008E63A3" w:rsidRPr="00F47262">
              <w:rPr>
                <w:sz w:val="20"/>
              </w:rPr>
              <w:t xml:space="preserve"> are unchecked. </w:t>
            </w:r>
            <w:r w:rsidR="00FA729F" w:rsidRPr="00F47262">
              <w:rPr>
                <w:sz w:val="20"/>
              </w:rPr>
              <w:t xml:space="preserve">Close </w:t>
            </w:r>
            <w:r w:rsidR="00DF5F1C" w:rsidRPr="00F47262">
              <w:rPr>
                <w:b/>
                <w:sz w:val="20"/>
              </w:rPr>
              <w:t xml:space="preserve">File </w:t>
            </w:r>
            <w:r w:rsidR="0044426E" w:rsidRPr="00F47262">
              <w:rPr>
                <w:b/>
                <w:sz w:val="20"/>
              </w:rPr>
              <w:t>Explore</w:t>
            </w:r>
            <w:r w:rsidR="0044426E" w:rsidRPr="00F47262">
              <w:rPr>
                <w:sz w:val="20"/>
              </w:rPr>
              <w:t>r</w:t>
            </w:r>
            <w:r w:rsidR="00FA729F" w:rsidRPr="00F47262">
              <w:rPr>
                <w:sz w:val="20"/>
              </w:rPr>
              <w:t>.</w:t>
            </w:r>
          </w:p>
        </w:tc>
        <w:tc>
          <w:tcPr>
            <w:tcW w:w="4381" w:type="dxa"/>
          </w:tcPr>
          <w:p w14:paraId="57510C7F" w14:textId="77777777" w:rsidR="00FA729F" w:rsidRPr="00F47262" w:rsidRDefault="00FA729F" w:rsidP="001075B1">
            <w:pPr>
              <w:spacing w:before="60" w:after="60"/>
              <w:rPr>
                <w:sz w:val="20"/>
              </w:rPr>
            </w:pPr>
          </w:p>
        </w:tc>
      </w:tr>
      <w:tr w:rsidR="00FA729F" w:rsidRPr="000665B0" w14:paraId="7AE5695B" w14:textId="77777777" w:rsidTr="00F47262">
        <w:trPr>
          <w:cantSplit/>
        </w:trPr>
        <w:tc>
          <w:tcPr>
            <w:tcW w:w="828" w:type="dxa"/>
          </w:tcPr>
          <w:p w14:paraId="09525581" w14:textId="77777777" w:rsidR="00FA729F" w:rsidRPr="000665B0" w:rsidRDefault="00FA729F" w:rsidP="006D5A65">
            <w:pPr>
              <w:pStyle w:val="Heading1"/>
            </w:pPr>
          </w:p>
        </w:tc>
        <w:tc>
          <w:tcPr>
            <w:tcW w:w="4349" w:type="dxa"/>
          </w:tcPr>
          <w:p w14:paraId="36A6F58E" w14:textId="77777777" w:rsidR="00FA729F" w:rsidRPr="00F47262" w:rsidRDefault="002437F5" w:rsidP="00357B1B">
            <w:pPr>
              <w:spacing w:before="60" w:after="60"/>
              <w:rPr>
                <w:sz w:val="20"/>
              </w:rPr>
            </w:pPr>
            <w:r w:rsidRPr="00F47262">
              <w:rPr>
                <w:sz w:val="20"/>
              </w:rPr>
              <w:t xml:space="preserve">In the </w:t>
            </w:r>
            <w:r w:rsidRPr="00F47262">
              <w:rPr>
                <w:b/>
                <w:sz w:val="20"/>
              </w:rPr>
              <w:t>DATA</w:t>
            </w:r>
            <w:r w:rsidRPr="00F47262">
              <w:rPr>
                <w:sz w:val="20"/>
              </w:rPr>
              <w:t xml:space="preserve"> directory: </w:t>
            </w:r>
            <w:r w:rsidR="00FA729F" w:rsidRPr="00F47262">
              <w:rPr>
                <w:sz w:val="20"/>
              </w:rPr>
              <w:t xml:space="preserve">For each database file (master.mdf, etc.), ensure that the </w:t>
            </w:r>
            <w:r w:rsidR="00FA729F" w:rsidRPr="00F47262">
              <w:rPr>
                <w:b/>
                <w:sz w:val="20"/>
              </w:rPr>
              <w:t>Compress Contents</w:t>
            </w:r>
            <w:r w:rsidR="00357B1B" w:rsidRPr="00F47262">
              <w:rPr>
                <w:b/>
                <w:sz w:val="20"/>
              </w:rPr>
              <w:t xml:space="preserve"> to save disk space </w:t>
            </w:r>
            <w:r w:rsidR="00357B1B" w:rsidRPr="00F47262">
              <w:rPr>
                <w:sz w:val="20"/>
              </w:rPr>
              <w:t>and the</w:t>
            </w:r>
            <w:r w:rsidR="00357B1B" w:rsidRPr="00F47262">
              <w:rPr>
                <w:b/>
                <w:sz w:val="20"/>
              </w:rPr>
              <w:t xml:space="preserve"> </w:t>
            </w:r>
            <w:r w:rsidR="008E63A3" w:rsidRPr="00F47262">
              <w:rPr>
                <w:b/>
                <w:sz w:val="20"/>
              </w:rPr>
              <w:t>Encrypt</w:t>
            </w:r>
            <w:r w:rsidR="00357B1B" w:rsidRPr="00F47262">
              <w:rPr>
                <w:b/>
                <w:sz w:val="20"/>
              </w:rPr>
              <w:t xml:space="preserve"> contents to secure data</w:t>
            </w:r>
            <w:r w:rsidR="00FA729F" w:rsidRPr="00F47262">
              <w:rPr>
                <w:sz w:val="20"/>
              </w:rPr>
              <w:t xml:space="preserve"> checkbox</w:t>
            </w:r>
            <w:r w:rsidR="008E63A3" w:rsidRPr="00F47262">
              <w:rPr>
                <w:sz w:val="20"/>
              </w:rPr>
              <w:t>es</w:t>
            </w:r>
            <w:r w:rsidR="00FA729F" w:rsidRPr="00F47262">
              <w:rPr>
                <w:sz w:val="20"/>
              </w:rPr>
              <w:t xml:space="preserve"> </w:t>
            </w:r>
            <w:r w:rsidR="008E63A3" w:rsidRPr="00F47262">
              <w:rPr>
                <w:sz w:val="20"/>
              </w:rPr>
              <w:t>are</w:t>
            </w:r>
            <w:r w:rsidR="00FA729F" w:rsidRPr="00F47262">
              <w:rPr>
                <w:sz w:val="20"/>
              </w:rPr>
              <w:t xml:space="preserve"> unchecked.</w:t>
            </w:r>
          </w:p>
        </w:tc>
        <w:tc>
          <w:tcPr>
            <w:tcW w:w="4381" w:type="dxa"/>
          </w:tcPr>
          <w:p w14:paraId="3E270B33" w14:textId="77777777" w:rsidR="00FA729F" w:rsidRPr="00F47262" w:rsidRDefault="00FA729F" w:rsidP="001075B1">
            <w:pPr>
              <w:spacing w:before="60" w:after="60"/>
              <w:rPr>
                <w:sz w:val="20"/>
              </w:rPr>
            </w:pPr>
          </w:p>
        </w:tc>
      </w:tr>
      <w:tr w:rsidR="00FA729F" w:rsidRPr="000665B0" w14:paraId="7A6644CE" w14:textId="77777777" w:rsidTr="00F47262">
        <w:trPr>
          <w:cantSplit/>
        </w:trPr>
        <w:tc>
          <w:tcPr>
            <w:tcW w:w="828" w:type="dxa"/>
          </w:tcPr>
          <w:p w14:paraId="4E07D35A" w14:textId="77777777" w:rsidR="00FA729F" w:rsidRPr="000665B0" w:rsidRDefault="00FA729F" w:rsidP="006D5A65">
            <w:pPr>
              <w:pStyle w:val="Heading1"/>
            </w:pPr>
          </w:p>
        </w:tc>
        <w:tc>
          <w:tcPr>
            <w:tcW w:w="4349" w:type="dxa"/>
          </w:tcPr>
          <w:p w14:paraId="1D43F0F3" w14:textId="77777777" w:rsidR="00FA729F" w:rsidRPr="00F47262" w:rsidRDefault="00FA729F" w:rsidP="001075B1">
            <w:pPr>
              <w:spacing w:before="60" w:after="60"/>
              <w:rPr>
                <w:sz w:val="20"/>
              </w:rPr>
            </w:pPr>
            <w:r w:rsidRPr="00F47262">
              <w:rPr>
                <w:sz w:val="20"/>
              </w:rPr>
              <w:t xml:space="preserve">If any changes were performed, reboot the </w:t>
            </w:r>
            <w:r w:rsidR="001075B1" w:rsidRPr="00F47262">
              <w:rPr>
                <w:sz w:val="20"/>
              </w:rPr>
              <w:t>system</w:t>
            </w:r>
            <w:r w:rsidRPr="00F47262">
              <w:rPr>
                <w:sz w:val="20"/>
              </w:rPr>
              <w:t>.</w:t>
            </w:r>
          </w:p>
        </w:tc>
        <w:tc>
          <w:tcPr>
            <w:tcW w:w="4381" w:type="dxa"/>
          </w:tcPr>
          <w:p w14:paraId="527F582B" w14:textId="77777777" w:rsidR="00FA729F" w:rsidRPr="00F47262" w:rsidRDefault="00FA729F" w:rsidP="001075B1">
            <w:pPr>
              <w:spacing w:before="60" w:after="60"/>
              <w:rPr>
                <w:sz w:val="20"/>
              </w:rPr>
            </w:pPr>
          </w:p>
        </w:tc>
      </w:tr>
      <w:bookmarkEnd w:id="7481"/>
      <w:tr w:rsidR="00A10A0C" w:rsidRPr="00A10A0C" w14:paraId="53EB148E" w14:textId="77777777" w:rsidTr="00F47262">
        <w:trPr>
          <w:cantSplit/>
        </w:trPr>
        <w:tc>
          <w:tcPr>
            <w:tcW w:w="9558" w:type="dxa"/>
            <w:gridSpan w:val="3"/>
            <w:shd w:val="clear" w:color="auto" w:fill="C6D9F1" w:themeFill="text2" w:themeFillTint="33"/>
          </w:tcPr>
          <w:p w14:paraId="406A9536" w14:textId="77777777" w:rsidR="00FA729F" w:rsidRPr="00F47262" w:rsidRDefault="008E63A3" w:rsidP="001075B1">
            <w:pPr>
              <w:spacing w:before="60" w:after="60"/>
              <w:rPr>
                <w:color w:val="000000" w:themeColor="text1"/>
                <w:sz w:val="20"/>
              </w:rPr>
            </w:pPr>
            <w:r w:rsidRPr="00F47262">
              <w:rPr>
                <w:b/>
                <w:i/>
                <w:color w:val="000000" w:themeColor="text1"/>
                <w:sz w:val="20"/>
              </w:rPr>
              <w:t xml:space="preserve">Enable </w:t>
            </w:r>
            <w:r w:rsidR="00FA729F" w:rsidRPr="00F47262">
              <w:rPr>
                <w:b/>
                <w:i/>
                <w:color w:val="000000" w:themeColor="text1"/>
                <w:sz w:val="20"/>
              </w:rPr>
              <w:t>Access Permissions</w:t>
            </w:r>
          </w:p>
        </w:tc>
      </w:tr>
      <w:tr w:rsidR="00FA729F" w:rsidRPr="000665B0" w14:paraId="7265E16B" w14:textId="77777777" w:rsidTr="00F47262">
        <w:trPr>
          <w:cantSplit/>
        </w:trPr>
        <w:tc>
          <w:tcPr>
            <w:tcW w:w="828" w:type="dxa"/>
          </w:tcPr>
          <w:p w14:paraId="7C80608D" w14:textId="77777777" w:rsidR="00FA729F" w:rsidRPr="000665B0" w:rsidRDefault="00FA729F" w:rsidP="006D5A65">
            <w:pPr>
              <w:pStyle w:val="Heading1"/>
            </w:pPr>
          </w:p>
        </w:tc>
        <w:tc>
          <w:tcPr>
            <w:tcW w:w="4349" w:type="dxa"/>
          </w:tcPr>
          <w:p w14:paraId="640500AC" w14:textId="77777777" w:rsidR="00FA729F" w:rsidRPr="00F47262" w:rsidRDefault="0044426E" w:rsidP="001075B1">
            <w:pPr>
              <w:spacing w:before="60" w:after="60"/>
              <w:rPr>
                <w:sz w:val="20"/>
              </w:rPr>
            </w:pPr>
            <w:r w:rsidRPr="00F47262">
              <w:rPr>
                <w:sz w:val="20"/>
              </w:rPr>
              <w:t xml:space="preserve">Verify that SQL Server is running as a Network Service and NETWORK SERVICE </w:t>
            </w:r>
            <w:r w:rsidR="00E96AEA" w:rsidRPr="00F47262">
              <w:rPr>
                <w:sz w:val="20"/>
              </w:rPr>
              <w:t xml:space="preserve">and/or NT Service\ MSSQL$TC2S </w:t>
            </w:r>
            <w:r w:rsidRPr="00F47262">
              <w:rPr>
                <w:sz w:val="20"/>
              </w:rPr>
              <w:t>has full control to the DATA directory and files.</w:t>
            </w:r>
          </w:p>
        </w:tc>
        <w:tc>
          <w:tcPr>
            <w:tcW w:w="4381" w:type="dxa"/>
          </w:tcPr>
          <w:p w14:paraId="2EF7C5A4" w14:textId="77777777" w:rsidR="00FA729F" w:rsidRPr="00F47262" w:rsidRDefault="00FA729F" w:rsidP="001075B1">
            <w:pPr>
              <w:spacing w:before="60" w:after="60"/>
              <w:rPr>
                <w:sz w:val="20"/>
              </w:rPr>
            </w:pPr>
          </w:p>
        </w:tc>
      </w:tr>
      <w:tr w:rsidR="00FA729F" w:rsidRPr="000665B0" w14:paraId="02F6E726" w14:textId="77777777" w:rsidTr="00F47262">
        <w:trPr>
          <w:cantSplit/>
        </w:trPr>
        <w:tc>
          <w:tcPr>
            <w:tcW w:w="828" w:type="dxa"/>
          </w:tcPr>
          <w:p w14:paraId="4985B297" w14:textId="77777777" w:rsidR="00FA729F" w:rsidRPr="000665B0" w:rsidRDefault="00FA729F" w:rsidP="006D5A65">
            <w:pPr>
              <w:pStyle w:val="Heading1"/>
            </w:pPr>
          </w:p>
        </w:tc>
        <w:tc>
          <w:tcPr>
            <w:tcW w:w="4349" w:type="dxa"/>
          </w:tcPr>
          <w:p w14:paraId="29213A47" w14:textId="16B2C6BB" w:rsidR="00FA729F" w:rsidRPr="00F47262" w:rsidRDefault="0044426E" w:rsidP="00E274CC">
            <w:pPr>
              <w:spacing w:before="60" w:after="60"/>
              <w:rPr>
                <w:sz w:val="20"/>
              </w:rPr>
            </w:pPr>
            <w:r w:rsidRPr="00F47262">
              <w:rPr>
                <w:sz w:val="20"/>
              </w:rPr>
              <w:t xml:space="preserve">On the system where SQL Server is installed, </w:t>
            </w:r>
            <w:r w:rsidR="00E274CC" w:rsidRPr="00F47262">
              <w:rPr>
                <w:sz w:val="20"/>
              </w:rPr>
              <w:t xml:space="preserve">right-click the </w:t>
            </w:r>
            <w:r w:rsidR="00E274CC" w:rsidRPr="00F47262">
              <w:rPr>
                <w:noProof/>
                <w:sz w:val="20"/>
              </w:rPr>
              <w:drawing>
                <wp:inline distT="0" distB="0" distL="0" distR="0" wp14:anchorId="19C74DA0" wp14:editId="0DF9A87A">
                  <wp:extent cx="182880" cy="178068"/>
                  <wp:effectExtent l="0" t="0" r="7620" b="0"/>
                  <wp:docPr id="895"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00E274CC" w:rsidRPr="00F47262">
              <w:rPr>
                <w:sz w:val="20"/>
              </w:rPr>
              <w:t xml:space="preserve"> icon and select </w:t>
            </w:r>
            <w:r w:rsidR="00E274CC" w:rsidRPr="00F47262">
              <w:rPr>
                <w:b/>
                <w:sz w:val="20"/>
              </w:rPr>
              <w:t>Search</w:t>
            </w:r>
            <w:r w:rsidR="00E274CC" w:rsidRPr="00F47262">
              <w:rPr>
                <w:sz w:val="20"/>
              </w:rPr>
              <w:t xml:space="preserve"> from the pop-up menu. Type </w:t>
            </w:r>
            <w:r w:rsidR="00E274CC" w:rsidRPr="00F47262">
              <w:rPr>
                <w:b/>
                <w:sz w:val="20"/>
              </w:rPr>
              <w:t>Services</w:t>
            </w:r>
            <w:r w:rsidR="00E274CC" w:rsidRPr="00F47262">
              <w:rPr>
                <w:sz w:val="20"/>
              </w:rPr>
              <w:t xml:space="preserve"> in the </w:t>
            </w:r>
            <w:r w:rsidR="00E274CC" w:rsidRPr="00F47262">
              <w:rPr>
                <w:b/>
                <w:sz w:val="20"/>
              </w:rPr>
              <w:t>Search</w:t>
            </w:r>
            <w:r w:rsidR="00E274CC" w:rsidRPr="00F47262">
              <w:rPr>
                <w:sz w:val="20"/>
              </w:rPr>
              <w:t xml:space="preserve"> field, and then select </w:t>
            </w:r>
            <w:r w:rsidR="00E274CC" w:rsidRPr="00F47262">
              <w:rPr>
                <w:b/>
                <w:sz w:val="20"/>
              </w:rPr>
              <w:t>Services</w:t>
            </w:r>
            <w:r w:rsidR="00E274CC" w:rsidRPr="00F47262">
              <w:rPr>
                <w:sz w:val="20"/>
              </w:rPr>
              <w:t xml:space="preserve"> in the results list. In </w:t>
            </w:r>
            <w:r w:rsidRPr="00F47262">
              <w:rPr>
                <w:sz w:val="20"/>
              </w:rPr>
              <w:t xml:space="preserve">the </w:t>
            </w:r>
            <w:r w:rsidRPr="00F47262">
              <w:rPr>
                <w:i/>
                <w:sz w:val="20"/>
              </w:rPr>
              <w:t>Services</w:t>
            </w:r>
            <w:r w:rsidRPr="00F47262">
              <w:rPr>
                <w:sz w:val="20"/>
              </w:rPr>
              <w:t xml:space="preserve"> window, </w:t>
            </w:r>
            <w:r w:rsidR="00D71804" w:rsidRPr="00F47262">
              <w:rPr>
                <w:sz w:val="20"/>
              </w:rPr>
              <w:t>right-click</w:t>
            </w:r>
            <w:r w:rsidRPr="00F47262">
              <w:rPr>
                <w:sz w:val="20"/>
              </w:rPr>
              <w:t xml:space="preserve"> </w:t>
            </w:r>
            <w:r w:rsidR="00E274CC" w:rsidRPr="00F47262">
              <w:rPr>
                <w:b/>
                <w:sz w:val="20"/>
              </w:rPr>
              <w:t>SQL Server (TC2S)</w:t>
            </w:r>
            <w:r w:rsidR="00E274CC" w:rsidRPr="00F47262">
              <w:rPr>
                <w:sz w:val="20"/>
              </w:rPr>
              <w:t xml:space="preserve"> </w:t>
            </w:r>
            <w:r w:rsidRPr="00F47262">
              <w:rPr>
                <w:sz w:val="20"/>
              </w:rPr>
              <w:t xml:space="preserve">and select </w:t>
            </w:r>
            <w:r w:rsidRPr="00F47262">
              <w:rPr>
                <w:b/>
                <w:sz w:val="20"/>
              </w:rPr>
              <w:t>Properties</w:t>
            </w:r>
            <w:r w:rsidR="00E274CC" w:rsidRPr="00F47262">
              <w:rPr>
                <w:sz w:val="20"/>
              </w:rPr>
              <w:t>.</w:t>
            </w:r>
          </w:p>
        </w:tc>
        <w:tc>
          <w:tcPr>
            <w:tcW w:w="4381" w:type="dxa"/>
          </w:tcPr>
          <w:p w14:paraId="7AC56D16" w14:textId="77777777" w:rsidR="00FA729F" w:rsidRPr="00F47262" w:rsidRDefault="00685618" w:rsidP="001075B1">
            <w:pPr>
              <w:spacing w:before="60" w:after="60"/>
              <w:rPr>
                <w:sz w:val="20"/>
              </w:rPr>
            </w:pPr>
            <w:r w:rsidRPr="00F47262">
              <w:rPr>
                <w:noProof/>
                <w:sz w:val="20"/>
              </w:rPr>
              <w:drawing>
                <wp:inline distT="0" distB="0" distL="0" distR="0" wp14:anchorId="3DC11062" wp14:editId="329E650E">
                  <wp:extent cx="2238375" cy="1345613"/>
                  <wp:effectExtent l="0" t="0" r="0" b="6985"/>
                  <wp:docPr id="1277" name="Pictur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238375" cy="1345613"/>
                          </a:xfrm>
                          <a:prstGeom prst="rect">
                            <a:avLst/>
                          </a:prstGeom>
                        </pic:spPr>
                      </pic:pic>
                    </a:graphicData>
                  </a:graphic>
                </wp:inline>
              </w:drawing>
            </w:r>
          </w:p>
        </w:tc>
      </w:tr>
      <w:tr w:rsidR="00FA729F" w:rsidRPr="000665B0" w14:paraId="0471329E" w14:textId="77777777" w:rsidTr="00F47262">
        <w:trPr>
          <w:cantSplit/>
        </w:trPr>
        <w:tc>
          <w:tcPr>
            <w:tcW w:w="828" w:type="dxa"/>
          </w:tcPr>
          <w:p w14:paraId="550E3D8C" w14:textId="77777777" w:rsidR="00FA729F" w:rsidRPr="000665B0" w:rsidRDefault="00FA729F" w:rsidP="006D5A65">
            <w:pPr>
              <w:pStyle w:val="Heading1"/>
            </w:pPr>
          </w:p>
        </w:tc>
        <w:tc>
          <w:tcPr>
            <w:tcW w:w="4349" w:type="dxa"/>
          </w:tcPr>
          <w:p w14:paraId="1E5C0C2A" w14:textId="149CE77C" w:rsidR="00FA729F" w:rsidRPr="00F47262" w:rsidRDefault="00B7312D" w:rsidP="00931D14">
            <w:pPr>
              <w:spacing w:before="60" w:after="60"/>
              <w:rPr>
                <w:sz w:val="20"/>
              </w:rPr>
            </w:pPr>
            <w:r w:rsidRPr="00F47262">
              <w:rPr>
                <w:sz w:val="20"/>
              </w:rPr>
              <w:t xml:space="preserve">Right-click the </w:t>
            </w:r>
            <w:r w:rsidRPr="00F47262">
              <w:rPr>
                <w:noProof/>
                <w:sz w:val="20"/>
              </w:rPr>
              <w:drawing>
                <wp:inline distT="0" distB="0" distL="0" distR="0" wp14:anchorId="0197A1AE" wp14:editId="312250A7">
                  <wp:extent cx="143124" cy="139358"/>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11-19_002.jpg"/>
                          <pic:cNvPicPr/>
                        </pic:nvPicPr>
                        <pic:blipFill>
                          <a:blip cstate="screen">
                            <a:extLst>
                              <a:ext uri="{28A0092B-C50C-407E-A947-70E740481C1C}">
                                <a14:useLocalDpi xmlns:a14="http://schemas.microsoft.com/office/drawing/2010/main"/>
                              </a:ext>
                            </a:extLst>
                          </a:blip>
                          <a:stretch>
                            <a:fillRect/>
                          </a:stretch>
                        </pic:blipFill>
                        <pic:spPr>
                          <a:xfrm>
                            <a:off x="0" y="0"/>
                            <a:ext cx="141633" cy="137906"/>
                          </a:xfrm>
                          <a:prstGeom prst="rect">
                            <a:avLst/>
                          </a:prstGeom>
                        </pic:spPr>
                      </pic:pic>
                    </a:graphicData>
                  </a:graphic>
                </wp:inline>
              </w:drawing>
            </w:r>
            <w:r w:rsidRPr="00F47262">
              <w:rPr>
                <w:sz w:val="20"/>
              </w:rPr>
              <w:t xml:space="preserve"> icon in the bottom left corner of the screen and select </w:t>
            </w:r>
            <w:r w:rsidRPr="00F47262">
              <w:rPr>
                <w:b/>
                <w:sz w:val="20"/>
              </w:rPr>
              <w:t>File Explorer</w:t>
            </w:r>
            <w:r w:rsidRPr="00F47262">
              <w:rPr>
                <w:sz w:val="20"/>
              </w:rPr>
              <w:t xml:space="preserve">. Navigate </w:t>
            </w:r>
            <w:r w:rsidR="0044426E" w:rsidRPr="00F47262">
              <w:rPr>
                <w:sz w:val="20"/>
              </w:rPr>
              <w:t xml:space="preserve">to </w:t>
            </w:r>
            <w:r w:rsidR="0044426E" w:rsidRPr="00F47262">
              <w:rPr>
                <w:b/>
                <w:spacing w:val="-2"/>
                <w:sz w:val="20"/>
              </w:rPr>
              <w:t>&lt;</w:t>
            </w:r>
            <w:r w:rsidR="008E63A3" w:rsidRPr="00F47262">
              <w:rPr>
                <w:b/>
                <w:spacing w:val="-2"/>
                <w:sz w:val="20"/>
              </w:rPr>
              <w:t>d</w:t>
            </w:r>
            <w:r w:rsidR="0044426E" w:rsidRPr="00F47262">
              <w:rPr>
                <w:b/>
                <w:spacing w:val="-2"/>
                <w:sz w:val="20"/>
              </w:rPr>
              <w:t>rive&gt;:\Program Files\Microsoft SQL Server\</w:t>
            </w:r>
            <w:r w:rsidR="00931D14" w:rsidRPr="00F47262">
              <w:rPr>
                <w:b/>
                <w:spacing w:val="-2"/>
                <w:sz w:val="20"/>
              </w:rPr>
              <w:t>MSSQL13</w:t>
            </w:r>
            <w:r w:rsidR="0044426E" w:rsidRPr="00F47262">
              <w:rPr>
                <w:b/>
                <w:spacing w:val="-2"/>
                <w:sz w:val="20"/>
              </w:rPr>
              <w:t>.TC2S\MSSQL\DATA</w:t>
            </w:r>
            <w:r w:rsidR="0044426E" w:rsidRPr="00F47262">
              <w:rPr>
                <w:sz w:val="20"/>
              </w:rPr>
              <w:t>.</w:t>
            </w:r>
          </w:p>
        </w:tc>
        <w:tc>
          <w:tcPr>
            <w:tcW w:w="4381" w:type="dxa"/>
          </w:tcPr>
          <w:p w14:paraId="4C4B6BBE" w14:textId="77777777" w:rsidR="00FA729F" w:rsidRPr="00F47262" w:rsidRDefault="00FA729F" w:rsidP="001075B1">
            <w:pPr>
              <w:spacing w:before="60" w:after="60"/>
              <w:rPr>
                <w:sz w:val="20"/>
              </w:rPr>
            </w:pPr>
          </w:p>
        </w:tc>
      </w:tr>
      <w:tr w:rsidR="00FA729F" w:rsidRPr="000665B0" w14:paraId="703658D0" w14:textId="77777777" w:rsidTr="00F47262">
        <w:trPr>
          <w:cantSplit/>
        </w:trPr>
        <w:tc>
          <w:tcPr>
            <w:tcW w:w="828" w:type="dxa"/>
          </w:tcPr>
          <w:p w14:paraId="05AF7BAB" w14:textId="77777777" w:rsidR="00FA729F" w:rsidRPr="000665B0" w:rsidRDefault="00FA729F" w:rsidP="006D5A65">
            <w:pPr>
              <w:pStyle w:val="Heading1"/>
            </w:pPr>
          </w:p>
        </w:tc>
        <w:tc>
          <w:tcPr>
            <w:tcW w:w="4349" w:type="dxa"/>
          </w:tcPr>
          <w:p w14:paraId="3827FF4D" w14:textId="0BAD070C" w:rsidR="00FA729F" w:rsidRPr="00F47262" w:rsidRDefault="00D71804" w:rsidP="00990F74">
            <w:pPr>
              <w:spacing w:before="60" w:after="60"/>
              <w:rPr>
                <w:sz w:val="20"/>
              </w:rPr>
            </w:pPr>
            <w:r w:rsidRPr="00F47262">
              <w:rPr>
                <w:sz w:val="20"/>
              </w:rPr>
              <w:t>Right-click</w:t>
            </w:r>
            <w:r w:rsidR="0044426E" w:rsidRPr="00F47262">
              <w:rPr>
                <w:sz w:val="20"/>
              </w:rPr>
              <w:t xml:space="preserve"> on the </w:t>
            </w:r>
            <w:r w:rsidR="0044426E" w:rsidRPr="00F47262">
              <w:rPr>
                <w:b/>
                <w:sz w:val="20"/>
              </w:rPr>
              <w:t>DATA</w:t>
            </w:r>
            <w:r w:rsidR="0044426E" w:rsidRPr="00F47262">
              <w:rPr>
                <w:sz w:val="20"/>
              </w:rPr>
              <w:t xml:space="preserve"> directory to display the context menu and select </w:t>
            </w:r>
            <w:r w:rsidR="0044426E" w:rsidRPr="00F47262">
              <w:rPr>
                <w:b/>
                <w:sz w:val="20"/>
              </w:rPr>
              <w:t xml:space="preserve">Properties </w:t>
            </w:r>
            <w:r w:rsidR="0044426E" w:rsidRPr="00F47262">
              <w:rPr>
                <w:b/>
                <w:sz w:val="20"/>
              </w:rPr>
              <w:sym w:font="Wingdings" w:char="F0E0"/>
            </w:r>
            <w:r w:rsidR="0044426E" w:rsidRPr="00F47262">
              <w:rPr>
                <w:b/>
                <w:sz w:val="20"/>
              </w:rPr>
              <w:t xml:space="preserve"> Security</w:t>
            </w:r>
            <w:r w:rsidR="0044426E" w:rsidRPr="00F47262">
              <w:rPr>
                <w:sz w:val="20"/>
              </w:rPr>
              <w:t xml:space="preserve"> tab. Ensure the </w:t>
            </w:r>
            <w:r w:rsidR="0044426E" w:rsidRPr="00F47262">
              <w:rPr>
                <w:b/>
                <w:sz w:val="20"/>
              </w:rPr>
              <w:t>NETWORK SERVICE</w:t>
            </w:r>
            <w:r w:rsidR="0044426E" w:rsidRPr="00F47262">
              <w:rPr>
                <w:sz w:val="20"/>
              </w:rPr>
              <w:t xml:space="preserve"> </w:t>
            </w:r>
            <w:r w:rsidR="00E96AEA" w:rsidRPr="00F47262">
              <w:rPr>
                <w:sz w:val="20"/>
              </w:rPr>
              <w:t>and/or</w:t>
            </w:r>
            <w:r w:rsidR="00E96AEA" w:rsidRPr="00F47262">
              <w:rPr>
                <w:b/>
                <w:sz w:val="20"/>
              </w:rPr>
              <w:t xml:space="preserve"> MSSQL$TC2S </w:t>
            </w:r>
            <w:r w:rsidR="0044426E" w:rsidRPr="00F47262">
              <w:rPr>
                <w:sz w:val="20"/>
              </w:rPr>
              <w:t xml:space="preserve">has </w:t>
            </w:r>
            <w:r w:rsidR="0044426E" w:rsidRPr="00F47262">
              <w:rPr>
                <w:b/>
                <w:sz w:val="20"/>
              </w:rPr>
              <w:t>Full Control</w:t>
            </w:r>
            <w:r w:rsidR="0044426E" w:rsidRPr="00F47262">
              <w:rPr>
                <w:sz w:val="20"/>
              </w:rPr>
              <w:t xml:space="preserve">. Close </w:t>
            </w:r>
            <w:r w:rsidR="00DF5F1C" w:rsidRPr="00F47262">
              <w:rPr>
                <w:b/>
                <w:sz w:val="20"/>
              </w:rPr>
              <w:t xml:space="preserve">File </w:t>
            </w:r>
            <w:r w:rsidR="0044426E" w:rsidRPr="00F47262">
              <w:rPr>
                <w:b/>
                <w:sz w:val="20"/>
              </w:rPr>
              <w:t>Explorer</w:t>
            </w:r>
            <w:r w:rsidR="0044426E" w:rsidRPr="00F47262">
              <w:rPr>
                <w:sz w:val="20"/>
              </w:rPr>
              <w:t>.</w:t>
            </w:r>
          </w:p>
        </w:tc>
        <w:tc>
          <w:tcPr>
            <w:tcW w:w="4381" w:type="dxa"/>
          </w:tcPr>
          <w:p w14:paraId="7179FEF1" w14:textId="77777777" w:rsidR="00FA729F" w:rsidRPr="00F47262" w:rsidRDefault="00FA729F" w:rsidP="001075B1">
            <w:pPr>
              <w:spacing w:before="60" w:after="60"/>
              <w:rPr>
                <w:sz w:val="20"/>
              </w:rPr>
            </w:pPr>
          </w:p>
        </w:tc>
      </w:tr>
      <w:tr w:rsidR="00FA729F" w:rsidRPr="000665B0" w14:paraId="39592C5B" w14:textId="77777777" w:rsidTr="00F47262">
        <w:trPr>
          <w:cantSplit/>
        </w:trPr>
        <w:tc>
          <w:tcPr>
            <w:tcW w:w="828" w:type="dxa"/>
            <w:tcBorders>
              <w:bottom w:val="single" w:sz="4" w:space="0" w:color="auto"/>
            </w:tcBorders>
          </w:tcPr>
          <w:p w14:paraId="6FFA07BD" w14:textId="77777777" w:rsidR="00FA729F" w:rsidRPr="000665B0" w:rsidRDefault="00FA729F" w:rsidP="006D5A65">
            <w:pPr>
              <w:pStyle w:val="Heading1"/>
            </w:pPr>
          </w:p>
        </w:tc>
        <w:tc>
          <w:tcPr>
            <w:tcW w:w="4349" w:type="dxa"/>
            <w:tcBorders>
              <w:bottom w:val="single" w:sz="4" w:space="0" w:color="auto"/>
            </w:tcBorders>
          </w:tcPr>
          <w:p w14:paraId="6607D851" w14:textId="77777777" w:rsidR="00FA729F" w:rsidRPr="00F47262" w:rsidRDefault="0044426E" w:rsidP="001075B1">
            <w:pPr>
              <w:spacing w:before="60" w:after="60"/>
              <w:rPr>
                <w:sz w:val="20"/>
              </w:rPr>
            </w:pPr>
            <w:r w:rsidRPr="00F47262">
              <w:rPr>
                <w:sz w:val="20"/>
              </w:rPr>
              <w:t xml:space="preserve">If any changes were performed, reboot the </w:t>
            </w:r>
            <w:r w:rsidR="001075B1" w:rsidRPr="00F47262">
              <w:rPr>
                <w:sz w:val="20"/>
              </w:rPr>
              <w:t>system</w:t>
            </w:r>
            <w:r w:rsidRPr="00F47262">
              <w:rPr>
                <w:sz w:val="20"/>
              </w:rPr>
              <w:t>.</w:t>
            </w:r>
          </w:p>
        </w:tc>
        <w:tc>
          <w:tcPr>
            <w:tcW w:w="4381" w:type="dxa"/>
            <w:tcBorders>
              <w:bottom w:val="single" w:sz="4" w:space="0" w:color="auto"/>
            </w:tcBorders>
          </w:tcPr>
          <w:p w14:paraId="5602829A" w14:textId="77777777" w:rsidR="00FA729F" w:rsidRPr="00F47262" w:rsidRDefault="00FA729F" w:rsidP="001075B1">
            <w:pPr>
              <w:spacing w:before="60" w:after="60"/>
              <w:rPr>
                <w:sz w:val="20"/>
              </w:rPr>
            </w:pPr>
          </w:p>
        </w:tc>
      </w:tr>
      <w:tr w:rsidR="00A10A0C" w:rsidRPr="00A10A0C" w14:paraId="11F26A06" w14:textId="77777777" w:rsidTr="00F47262">
        <w:trPr>
          <w:cantSplit/>
        </w:trPr>
        <w:tc>
          <w:tcPr>
            <w:tcW w:w="9558" w:type="dxa"/>
            <w:gridSpan w:val="3"/>
            <w:shd w:val="clear" w:color="auto" w:fill="C6D9F1" w:themeFill="text2" w:themeFillTint="33"/>
          </w:tcPr>
          <w:p w14:paraId="2D0773CE" w14:textId="77777777" w:rsidR="00FA729F" w:rsidRPr="00F47262" w:rsidRDefault="008E63A3" w:rsidP="00863CE3">
            <w:pPr>
              <w:keepNext/>
              <w:spacing w:before="60" w:after="60"/>
              <w:rPr>
                <w:color w:val="000000" w:themeColor="text1"/>
                <w:sz w:val="20"/>
              </w:rPr>
            </w:pPr>
            <w:r w:rsidRPr="00F47262">
              <w:rPr>
                <w:b/>
                <w:i/>
                <w:color w:val="000000" w:themeColor="text1"/>
                <w:sz w:val="20"/>
              </w:rPr>
              <w:t>Reinstall Systems</w:t>
            </w:r>
          </w:p>
        </w:tc>
      </w:tr>
      <w:tr w:rsidR="00FA729F" w:rsidRPr="000665B0" w14:paraId="613A044B" w14:textId="77777777" w:rsidTr="00F47262">
        <w:trPr>
          <w:cantSplit/>
        </w:trPr>
        <w:tc>
          <w:tcPr>
            <w:tcW w:w="828" w:type="dxa"/>
          </w:tcPr>
          <w:p w14:paraId="1BDA26E6" w14:textId="77777777" w:rsidR="00FA729F" w:rsidRPr="000665B0" w:rsidRDefault="00FA729F" w:rsidP="006D5A65">
            <w:pPr>
              <w:pStyle w:val="Heading1"/>
            </w:pPr>
          </w:p>
        </w:tc>
        <w:tc>
          <w:tcPr>
            <w:tcW w:w="4349" w:type="dxa"/>
          </w:tcPr>
          <w:p w14:paraId="1B12FA4F" w14:textId="77777777" w:rsidR="00FA729F" w:rsidRPr="00F47262" w:rsidRDefault="003F0D88" w:rsidP="008E63A3">
            <w:pPr>
              <w:spacing w:before="60" w:after="60"/>
              <w:rPr>
                <w:sz w:val="20"/>
              </w:rPr>
            </w:pPr>
            <w:r w:rsidRPr="00F47262">
              <w:rPr>
                <w:sz w:val="20"/>
              </w:rPr>
              <w:t>If changing the Compression/</w:t>
            </w:r>
            <w:r w:rsidR="008E63A3" w:rsidRPr="00F47262">
              <w:rPr>
                <w:sz w:val="20"/>
              </w:rPr>
              <w:t>Encryption and</w:t>
            </w:r>
            <w:r w:rsidRPr="00F47262">
              <w:rPr>
                <w:sz w:val="20"/>
              </w:rPr>
              <w:t xml:space="preserve"> Permissions did not resolve the issue, then it is recommended that </w:t>
            </w:r>
            <w:r w:rsidR="00611059" w:rsidRPr="00F47262">
              <w:rPr>
                <w:sz w:val="20"/>
              </w:rPr>
              <w:t xml:space="preserve">the </w:t>
            </w:r>
            <w:r w:rsidRPr="00F47262">
              <w:rPr>
                <w:sz w:val="20"/>
              </w:rPr>
              <w:t xml:space="preserve">SQL Server and all </w:t>
            </w:r>
            <w:r w:rsidR="003D6207" w:rsidRPr="00F47262">
              <w:rPr>
                <w:sz w:val="20"/>
              </w:rPr>
              <w:t>TMPC</w:t>
            </w:r>
            <w:r w:rsidR="003D6207" w:rsidRPr="00F47262" w:rsidDel="003D6207">
              <w:rPr>
                <w:sz w:val="20"/>
              </w:rPr>
              <w:t xml:space="preserve"> </w:t>
            </w:r>
            <w:r w:rsidRPr="00F47262">
              <w:rPr>
                <w:sz w:val="20"/>
              </w:rPr>
              <w:t xml:space="preserve">Components be uninstalled/reinstalled per the </w:t>
            </w:r>
            <w:r w:rsidR="003D6207" w:rsidRPr="00F47262">
              <w:rPr>
                <w:sz w:val="20"/>
              </w:rPr>
              <w:t>TMPC</w:t>
            </w:r>
            <w:r w:rsidR="003D6207" w:rsidRPr="00F47262" w:rsidDel="003D6207">
              <w:rPr>
                <w:sz w:val="20"/>
              </w:rPr>
              <w:t xml:space="preserve"> </w:t>
            </w:r>
            <w:r w:rsidRPr="00F47262">
              <w:rPr>
                <w:sz w:val="20"/>
              </w:rPr>
              <w:t xml:space="preserve">ISP. New databases should be created or restored </w:t>
            </w:r>
            <w:r w:rsidR="008E63A3" w:rsidRPr="00F47262">
              <w:rPr>
                <w:sz w:val="20"/>
              </w:rPr>
              <w:t>from</w:t>
            </w:r>
            <w:r w:rsidRPr="00F47262">
              <w:rPr>
                <w:sz w:val="20"/>
              </w:rPr>
              <w:t xml:space="preserve"> last known backup. Refer to the </w:t>
            </w:r>
            <w:r w:rsidR="003D6207" w:rsidRPr="00F47262">
              <w:rPr>
                <w:sz w:val="20"/>
              </w:rPr>
              <w:t>TMPC</w:t>
            </w:r>
            <w:r w:rsidR="003D6207" w:rsidRPr="00F47262" w:rsidDel="003D6207">
              <w:rPr>
                <w:sz w:val="20"/>
              </w:rPr>
              <w:t xml:space="preserve"> </w:t>
            </w:r>
            <w:r w:rsidRPr="00F47262">
              <w:rPr>
                <w:sz w:val="20"/>
              </w:rPr>
              <w:t>ISP for instructions</w:t>
            </w:r>
            <w:r w:rsidR="00FA729F" w:rsidRPr="00F47262">
              <w:rPr>
                <w:sz w:val="20"/>
              </w:rPr>
              <w:t>.</w:t>
            </w:r>
          </w:p>
        </w:tc>
        <w:tc>
          <w:tcPr>
            <w:tcW w:w="4381" w:type="dxa"/>
          </w:tcPr>
          <w:p w14:paraId="42195761" w14:textId="77777777" w:rsidR="00FA729F" w:rsidRPr="00F47262" w:rsidRDefault="00FA729F" w:rsidP="001075B1">
            <w:pPr>
              <w:spacing w:before="60" w:after="60"/>
              <w:rPr>
                <w:sz w:val="20"/>
              </w:rPr>
            </w:pPr>
          </w:p>
        </w:tc>
      </w:tr>
    </w:tbl>
    <w:p w14:paraId="09C3AC35" w14:textId="3A11F6FA" w:rsidR="0085521C" w:rsidRPr="000665B0" w:rsidRDefault="0085521C" w:rsidP="00155E82">
      <w:pPr>
        <w:pStyle w:val="Appendix3"/>
        <w:ind w:left="360"/>
      </w:pPr>
      <w:bookmarkStart w:id="7482" w:name="_Toc421193375"/>
      <w:bookmarkStart w:id="7483" w:name="_Toc214283709"/>
      <w:r w:rsidRPr="000665B0">
        <w:t>TED’s Location Code Is Not Set</w:t>
      </w:r>
      <w:bookmarkEnd w:id="7482"/>
      <w:bookmarkEnd w:id="7483"/>
    </w:p>
    <w:p w14:paraId="32B22381" w14:textId="77777777" w:rsidR="0085521C" w:rsidRPr="000665B0" w:rsidRDefault="0085521C" w:rsidP="0085521C">
      <w:r w:rsidRPr="000665B0">
        <w:rPr>
          <w:b/>
          <w:szCs w:val="24"/>
          <w:u w:val="single"/>
        </w:rPr>
        <w:t>Issue</w:t>
      </w:r>
      <w:r w:rsidRPr="000665B0">
        <w:rPr>
          <w:b/>
          <w:szCs w:val="24"/>
        </w:rPr>
        <w:t>:</w:t>
      </w:r>
      <w:r w:rsidRPr="000665B0">
        <w:rPr>
          <w:szCs w:val="24"/>
        </w:rPr>
        <w:t xml:space="preserve"> During normal operations, MDS displays</w:t>
      </w:r>
      <w:r w:rsidRPr="000665B0">
        <w:rPr>
          <w:b/>
        </w:rPr>
        <w:t xml:space="preserve"> TED’s Location Code is not set</w:t>
      </w:r>
      <w:r w:rsidRPr="000665B0">
        <w:t>.</w:t>
      </w:r>
    </w:p>
    <w:p w14:paraId="7708D2D1" w14:textId="77777777" w:rsidR="0085521C" w:rsidRPr="000665B0" w:rsidRDefault="0085521C" w:rsidP="0085521C">
      <w:r w:rsidRPr="000665B0">
        <w:rPr>
          <w:b/>
          <w:szCs w:val="24"/>
          <w:u w:val="single"/>
        </w:rPr>
        <w:t>Description</w:t>
      </w:r>
      <w:r w:rsidRPr="000665B0">
        <w:rPr>
          <w:b/>
          <w:szCs w:val="24"/>
        </w:rPr>
        <w:t>:</w:t>
      </w:r>
      <w:r w:rsidRPr="000665B0">
        <w:rPr>
          <w:szCs w:val="24"/>
        </w:rPr>
        <w:t xml:space="preserve"> </w:t>
      </w:r>
      <w:r w:rsidRPr="000665B0">
        <w:t>For new installations, re-installations, or upgrades from a previous version, refer to the appropriate ISP for instructions on how to set the TED Location Code.</w:t>
      </w:r>
    </w:p>
    <w:p w14:paraId="288C9CA8" w14:textId="77777777" w:rsidR="0085521C" w:rsidRPr="000665B0" w:rsidRDefault="0085521C" w:rsidP="0085521C">
      <w:pPr>
        <w:rPr>
          <w:szCs w:val="24"/>
        </w:rPr>
      </w:pPr>
      <w:r w:rsidRPr="000665B0">
        <w:rPr>
          <w:szCs w:val="24"/>
        </w:rPr>
        <w:t xml:space="preserve">If during normal operations, MDS displays </w:t>
      </w:r>
      <w:r w:rsidRPr="000665B0">
        <w:rPr>
          <w:b/>
          <w:szCs w:val="24"/>
        </w:rPr>
        <w:t>TED’s Location Code is not set</w:t>
      </w:r>
      <w:r w:rsidRPr="000665B0">
        <w:rPr>
          <w:szCs w:val="24"/>
        </w:rPr>
        <w:t>, follow the procedures below.</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4349"/>
        <w:gridCol w:w="4381"/>
      </w:tblGrid>
      <w:tr w:rsidR="0085521C" w:rsidRPr="000665B0" w14:paraId="211124C3" w14:textId="77777777" w:rsidTr="00F47262">
        <w:trPr>
          <w:cantSplit/>
          <w:tblHeader/>
        </w:trPr>
        <w:tc>
          <w:tcPr>
            <w:tcW w:w="9558" w:type="dxa"/>
            <w:gridSpan w:val="3"/>
            <w:tcBorders>
              <w:bottom w:val="single" w:sz="4" w:space="0" w:color="auto"/>
            </w:tcBorders>
            <w:shd w:val="clear" w:color="auto" w:fill="D9D9D9" w:themeFill="background1" w:themeFillShade="D9"/>
          </w:tcPr>
          <w:p w14:paraId="35628EE8" w14:textId="580834C4" w:rsidR="0085521C" w:rsidRPr="00F47262" w:rsidRDefault="0085521C" w:rsidP="002F054D">
            <w:pPr>
              <w:keepNext/>
              <w:spacing w:before="60" w:after="60"/>
              <w:rPr>
                <w:rFonts w:ascii="Arial" w:hAnsi="Arial" w:cs="Arial"/>
                <w:b/>
                <w:szCs w:val="24"/>
              </w:rPr>
            </w:pPr>
            <w:r w:rsidRPr="00F47262">
              <w:rPr>
                <w:rFonts w:ascii="Arial" w:hAnsi="Arial" w:cs="Arial"/>
                <w:b/>
                <w:szCs w:val="24"/>
              </w:rPr>
              <w:lastRenderedPageBreak/>
              <w:t>L</w:t>
            </w:r>
            <w:r w:rsidR="002F054D" w:rsidRPr="00F47262">
              <w:rPr>
                <w:rFonts w:ascii="Arial" w:hAnsi="Arial" w:cs="Arial"/>
                <w:b/>
                <w:szCs w:val="24"/>
              </w:rPr>
              <w:t>.</w:t>
            </w:r>
            <w:r w:rsidRPr="00F47262">
              <w:rPr>
                <w:rFonts w:ascii="Arial" w:hAnsi="Arial" w:cs="Arial"/>
                <w:b/>
                <w:szCs w:val="24"/>
              </w:rPr>
              <w:t>3.2</w:t>
            </w:r>
            <w:r w:rsidR="009651B0" w:rsidRPr="00F47262">
              <w:rPr>
                <w:rFonts w:ascii="Arial" w:hAnsi="Arial" w:cs="Arial"/>
                <w:b/>
                <w:szCs w:val="24"/>
              </w:rPr>
              <w:t xml:space="preserve"> </w:t>
            </w:r>
            <w:r w:rsidRPr="00F47262">
              <w:rPr>
                <w:rFonts w:ascii="Arial" w:hAnsi="Arial" w:cs="Arial"/>
                <w:b/>
                <w:szCs w:val="24"/>
              </w:rPr>
              <w:t>TED’s Location Code is Not Set</w:t>
            </w:r>
          </w:p>
        </w:tc>
      </w:tr>
      <w:tr w:rsidR="0085521C" w:rsidRPr="000665B0" w14:paraId="37EBDE5D" w14:textId="77777777" w:rsidTr="00F47262">
        <w:trPr>
          <w:cantSplit/>
          <w:tblHeader/>
        </w:trPr>
        <w:tc>
          <w:tcPr>
            <w:tcW w:w="828" w:type="dxa"/>
            <w:tcBorders>
              <w:bottom w:val="single" w:sz="4" w:space="0" w:color="auto"/>
            </w:tcBorders>
            <w:shd w:val="clear" w:color="auto" w:fill="D9D9D9" w:themeFill="background1" w:themeFillShade="D9"/>
          </w:tcPr>
          <w:p w14:paraId="29BC1572" w14:textId="77777777" w:rsidR="0085521C" w:rsidRPr="00F47262" w:rsidRDefault="0085521C" w:rsidP="00AD19D4">
            <w:pPr>
              <w:keepNext/>
              <w:spacing w:before="60" w:after="60"/>
              <w:rPr>
                <w:rFonts w:ascii="Arial" w:hAnsi="Arial" w:cs="Arial"/>
                <w:b/>
                <w:szCs w:val="24"/>
              </w:rPr>
            </w:pPr>
            <w:r w:rsidRPr="00F47262">
              <w:rPr>
                <w:rFonts w:ascii="Arial" w:hAnsi="Arial" w:cs="Arial"/>
                <w:b/>
                <w:szCs w:val="24"/>
              </w:rPr>
              <w:t>Step</w:t>
            </w:r>
          </w:p>
        </w:tc>
        <w:tc>
          <w:tcPr>
            <w:tcW w:w="4349" w:type="dxa"/>
            <w:tcBorders>
              <w:bottom w:val="single" w:sz="4" w:space="0" w:color="auto"/>
            </w:tcBorders>
            <w:shd w:val="clear" w:color="auto" w:fill="D9D9D9" w:themeFill="background1" w:themeFillShade="D9"/>
          </w:tcPr>
          <w:p w14:paraId="2F8F90A1" w14:textId="77777777" w:rsidR="0085521C" w:rsidRPr="00F47262" w:rsidRDefault="0085521C" w:rsidP="00AD19D4">
            <w:pPr>
              <w:keepNext/>
              <w:spacing w:before="60" w:after="60"/>
              <w:rPr>
                <w:rFonts w:ascii="Arial" w:hAnsi="Arial" w:cs="Arial"/>
                <w:b/>
                <w:szCs w:val="24"/>
              </w:rPr>
            </w:pPr>
            <w:r w:rsidRPr="00F47262">
              <w:rPr>
                <w:rFonts w:ascii="Arial" w:hAnsi="Arial" w:cs="Arial"/>
                <w:b/>
                <w:szCs w:val="24"/>
              </w:rPr>
              <w:t>Procedure</w:t>
            </w:r>
          </w:p>
        </w:tc>
        <w:tc>
          <w:tcPr>
            <w:tcW w:w="4381" w:type="dxa"/>
            <w:tcBorders>
              <w:bottom w:val="single" w:sz="4" w:space="0" w:color="auto"/>
            </w:tcBorders>
            <w:shd w:val="clear" w:color="auto" w:fill="D9D9D9" w:themeFill="background1" w:themeFillShade="D9"/>
          </w:tcPr>
          <w:p w14:paraId="31AC3EA4" w14:textId="77777777" w:rsidR="0085521C" w:rsidRPr="00F47262" w:rsidRDefault="0085521C" w:rsidP="00AD19D4">
            <w:pPr>
              <w:keepNext/>
              <w:spacing w:before="60" w:after="60"/>
              <w:rPr>
                <w:rFonts w:ascii="Arial" w:hAnsi="Arial" w:cs="Arial"/>
                <w:b/>
                <w:szCs w:val="24"/>
              </w:rPr>
            </w:pPr>
            <w:r w:rsidRPr="00F47262">
              <w:rPr>
                <w:rFonts w:ascii="Arial" w:hAnsi="Arial" w:cs="Arial"/>
                <w:b/>
                <w:szCs w:val="24"/>
              </w:rPr>
              <w:t>Comments</w:t>
            </w:r>
          </w:p>
        </w:tc>
      </w:tr>
      <w:tr w:rsidR="0085521C" w:rsidRPr="000665B0" w14:paraId="7874D24A" w14:textId="77777777" w:rsidTr="00F47262">
        <w:trPr>
          <w:cantSplit/>
        </w:trPr>
        <w:tc>
          <w:tcPr>
            <w:tcW w:w="828" w:type="dxa"/>
          </w:tcPr>
          <w:p w14:paraId="6EBE65E2" w14:textId="77777777" w:rsidR="0085521C" w:rsidRPr="00F47262" w:rsidRDefault="0085521C" w:rsidP="006D5A65">
            <w:pPr>
              <w:pStyle w:val="Heading1"/>
            </w:pPr>
          </w:p>
        </w:tc>
        <w:tc>
          <w:tcPr>
            <w:tcW w:w="4349" w:type="dxa"/>
          </w:tcPr>
          <w:p w14:paraId="19576F9D" w14:textId="77777777" w:rsidR="0085521C" w:rsidRPr="00F47262" w:rsidRDefault="0085521C" w:rsidP="00F47262">
            <w:pPr>
              <w:keepNext/>
              <w:spacing w:before="60" w:after="60"/>
              <w:rPr>
                <w:sz w:val="20"/>
              </w:rPr>
            </w:pPr>
            <w:r w:rsidRPr="00F47262">
              <w:rPr>
                <w:sz w:val="20"/>
              </w:rPr>
              <w:t xml:space="preserve">The </w:t>
            </w:r>
            <w:r w:rsidRPr="00F47262">
              <w:rPr>
                <w:i/>
                <w:sz w:val="20"/>
              </w:rPr>
              <w:t>MDS</w:t>
            </w:r>
            <w:r w:rsidRPr="00F47262">
              <w:rPr>
                <w:sz w:val="20"/>
              </w:rPr>
              <w:t xml:space="preserve"> window states that </w:t>
            </w:r>
            <w:r w:rsidRPr="00F47262">
              <w:rPr>
                <w:b/>
                <w:sz w:val="20"/>
              </w:rPr>
              <w:t>TED’s Location Code is not set</w:t>
            </w:r>
            <w:r w:rsidRPr="00F47262">
              <w:rPr>
                <w:sz w:val="20"/>
              </w:rPr>
              <w:t>:</w:t>
            </w:r>
          </w:p>
          <w:p w14:paraId="4A618BB6" w14:textId="77777777" w:rsidR="0085521C" w:rsidRPr="00F47262" w:rsidRDefault="0085521C" w:rsidP="006D5A65">
            <w:pPr>
              <w:pStyle w:val="Heading1"/>
            </w:pPr>
            <w:r w:rsidRPr="00F47262">
              <w:t>Close the MDS application.</w:t>
            </w:r>
          </w:p>
          <w:p w14:paraId="1B39AF5E" w14:textId="77777777" w:rsidR="0085521C" w:rsidRPr="00F47262" w:rsidRDefault="0085521C" w:rsidP="006D5A65">
            <w:pPr>
              <w:pStyle w:val="Heading1"/>
            </w:pPr>
            <w:r w:rsidRPr="00F47262">
              <w:t>Re-start the MDS application.</w:t>
            </w:r>
          </w:p>
        </w:tc>
        <w:tc>
          <w:tcPr>
            <w:tcW w:w="4381" w:type="dxa"/>
          </w:tcPr>
          <w:p w14:paraId="0F09725B" w14:textId="77777777" w:rsidR="0085521C" w:rsidRPr="00F47262" w:rsidRDefault="0085521C" w:rsidP="00F47262">
            <w:pPr>
              <w:spacing w:before="60" w:after="60"/>
              <w:rPr>
                <w:sz w:val="20"/>
              </w:rPr>
            </w:pPr>
            <w:r w:rsidRPr="00F47262">
              <w:rPr>
                <w:noProof/>
                <w:sz w:val="20"/>
              </w:rPr>
              <w:drawing>
                <wp:inline distT="0" distB="0" distL="0" distR="0" wp14:anchorId="0C7CD23E" wp14:editId="2B9A3CA6">
                  <wp:extent cx="2571750" cy="1533525"/>
                  <wp:effectExtent l="0" t="0" r="0" b="9525"/>
                  <wp:docPr id="1637" name="Picture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571750" cy="1533525"/>
                          </a:xfrm>
                          <a:prstGeom prst="rect">
                            <a:avLst/>
                          </a:prstGeom>
                        </pic:spPr>
                      </pic:pic>
                    </a:graphicData>
                  </a:graphic>
                </wp:inline>
              </w:drawing>
            </w:r>
          </w:p>
        </w:tc>
      </w:tr>
      <w:tr w:rsidR="0085521C" w:rsidRPr="000665B0" w14:paraId="3E579954" w14:textId="77777777" w:rsidTr="00F47262">
        <w:trPr>
          <w:cantSplit/>
        </w:trPr>
        <w:tc>
          <w:tcPr>
            <w:tcW w:w="828" w:type="dxa"/>
          </w:tcPr>
          <w:p w14:paraId="34B45ACB" w14:textId="77777777" w:rsidR="0085521C" w:rsidRPr="00F47262" w:rsidRDefault="0085521C" w:rsidP="006D5A65">
            <w:pPr>
              <w:pStyle w:val="Heading1"/>
            </w:pPr>
          </w:p>
        </w:tc>
        <w:tc>
          <w:tcPr>
            <w:tcW w:w="4349" w:type="dxa"/>
          </w:tcPr>
          <w:p w14:paraId="060BE59B" w14:textId="77777777" w:rsidR="0085521C" w:rsidRPr="00F47262" w:rsidRDefault="0085521C" w:rsidP="00F47262">
            <w:pPr>
              <w:spacing w:before="60" w:after="60"/>
              <w:rPr>
                <w:sz w:val="20"/>
              </w:rPr>
            </w:pPr>
            <w:r w:rsidRPr="00F47262">
              <w:rPr>
                <w:sz w:val="20"/>
              </w:rPr>
              <w:t>If the window reappears:</w:t>
            </w:r>
          </w:p>
          <w:p w14:paraId="11742635" w14:textId="77777777" w:rsidR="0085521C" w:rsidRPr="00F47262" w:rsidRDefault="0085521C" w:rsidP="006D5A65">
            <w:pPr>
              <w:pStyle w:val="Heading1"/>
            </w:pPr>
            <w:r w:rsidRPr="00F47262">
              <w:t>Close the MDS application.</w:t>
            </w:r>
          </w:p>
          <w:p w14:paraId="2FEA69E4" w14:textId="77777777" w:rsidR="0085521C" w:rsidRPr="00F47262" w:rsidRDefault="0085521C" w:rsidP="006D5A65">
            <w:pPr>
              <w:pStyle w:val="Heading1"/>
            </w:pPr>
            <w:r w:rsidRPr="00F47262">
              <w:t>Re-start TED.</w:t>
            </w:r>
          </w:p>
          <w:p w14:paraId="4EED10DE" w14:textId="77777777" w:rsidR="0085521C" w:rsidRPr="00F47262" w:rsidRDefault="0085521C" w:rsidP="006D5A65">
            <w:pPr>
              <w:pStyle w:val="Heading1"/>
            </w:pPr>
            <w:r w:rsidRPr="00F47262">
              <w:t>Wait ten minutes and re-start the MDS application.</w:t>
            </w:r>
          </w:p>
        </w:tc>
        <w:tc>
          <w:tcPr>
            <w:tcW w:w="4381" w:type="dxa"/>
          </w:tcPr>
          <w:p w14:paraId="77ACE199" w14:textId="77777777" w:rsidR="0085521C" w:rsidRPr="00F47262" w:rsidRDefault="0085521C" w:rsidP="00F47262">
            <w:pPr>
              <w:spacing w:before="60" w:after="60"/>
              <w:rPr>
                <w:sz w:val="20"/>
              </w:rPr>
            </w:pPr>
          </w:p>
        </w:tc>
      </w:tr>
    </w:tbl>
    <w:p w14:paraId="41A1F0F9" w14:textId="523CABD9" w:rsidR="008168B7" w:rsidRPr="000665B0" w:rsidRDefault="008168B7" w:rsidP="00912CE8">
      <w:pPr>
        <w:pStyle w:val="Appendix2"/>
      </w:pPr>
      <w:bookmarkStart w:id="7484" w:name="TMPR_Fails_to_Create_a_Mission"/>
      <w:bookmarkStart w:id="7485" w:name="_Toc214283710"/>
      <w:bookmarkEnd w:id="7479"/>
      <w:bookmarkEnd w:id="7484"/>
      <w:r w:rsidRPr="000665B0">
        <w:t>TMPR F</w:t>
      </w:r>
      <w:r w:rsidR="00270B24" w:rsidRPr="000665B0">
        <w:t>AILS</w:t>
      </w:r>
      <w:r w:rsidRPr="000665B0">
        <w:t xml:space="preserve"> </w:t>
      </w:r>
      <w:r w:rsidR="00270B24" w:rsidRPr="000665B0">
        <w:t>TO CREATE A MISSION</w:t>
      </w:r>
      <w:bookmarkEnd w:id="7485"/>
    </w:p>
    <w:p w14:paraId="7CA668E7" w14:textId="48BBADA5" w:rsidR="008168B7" w:rsidRPr="000665B0" w:rsidRDefault="008168B7" w:rsidP="008168B7">
      <w:pPr>
        <w:rPr>
          <w:szCs w:val="24"/>
        </w:rPr>
      </w:pPr>
      <w:r w:rsidRPr="000665B0">
        <w:rPr>
          <w:b/>
          <w:szCs w:val="24"/>
          <w:u w:val="single"/>
        </w:rPr>
        <w:t>Issue</w:t>
      </w:r>
      <w:r w:rsidRPr="000665B0">
        <w:rPr>
          <w:szCs w:val="24"/>
        </w:rPr>
        <w:t>: TMPR does not progress through to completion (</w:t>
      </w:r>
      <w:r w:rsidR="003509EA" w:rsidRPr="000665B0">
        <w:rPr>
          <w:szCs w:val="24"/>
        </w:rPr>
        <w:t xml:space="preserve">i.e., </w:t>
      </w:r>
      <w:r w:rsidRPr="000665B0">
        <w:rPr>
          <w:szCs w:val="24"/>
        </w:rPr>
        <w:t xml:space="preserve">insert a mission into TED) within a </w:t>
      </w:r>
      <w:r w:rsidR="008D07DB" w:rsidRPr="000665B0">
        <w:rPr>
          <w:szCs w:val="24"/>
        </w:rPr>
        <w:t xml:space="preserve">Standalone MDS </w:t>
      </w:r>
      <w:r w:rsidRPr="000665B0">
        <w:rPr>
          <w:szCs w:val="24"/>
        </w:rPr>
        <w:t>or CSG configuration.</w:t>
      </w:r>
    </w:p>
    <w:p w14:paraId="17136E11" w14:textId="6422E3C1" w:rsidR="008168B7" w:rsidRPr="000665B0" w:rsidRDefault="008168B7" w:rsidP="008168B7">
      <w:pPr>
        <w:rPr>
          <w:szCs w:val="24"/>
        </w:rPr>
      </w:pPr>
      <w:r w:rsidRPr="000665B0">
        <w:rPr>
          <w:b/>
          <w:szCs w:val="24"/>
          <w:u w:val="single"/>
        </w:rPr>
        <w:t>Description 1</w:t>
      </w:r>
      <w:r w:rsidRPr="000665B0">
        <w:rPr>
          <w:szCs w:val="24"/>
        </w:rPr>
        <w:t xml:space="preserve">: When a TMPR is created, saved and submitted to TPS, the TMPR will process and proceed thru various </w:t>
      </w:r>
      <w:r w:rsidR="00FD31AC" w:rsidRPr="000665B0">
        <w:rPr>
          <w:szCs w:val="24"/>
        </w:rPr>
        <w:t>“</w:t>
      </w:r>
      <w:r w:rsidRPr="000665B0">
        <w:rPr>
          <w:szCs w:val="24"/>
        </w:rPr>
        <w:t>statuses</w:t>
      </w:r>
      <w:r w:rsidR="00FD31AC" w:rsidRPr="000665B0">
        <w:rPr>
          <w:szCs w:val="24"/>
        </w:rPr>
        <w:t>.”</w:t>
      </w:r>
      <w:r w:rsidRPr="000665B0">
        <w:rPr>
          <w:szCs w:val="24"/>
        </w:rPr>
        <w:t xml:space="preserve"> When the TMPR remains on one of those statuses for a lengthy period of time, it is considered </w:t>
      </w:r>
      <w:r w:rsidR="00FD31AC" w:rsidRPr="000665B0">
        <w:rPr>
          <w:szCs w:val="24"/>
        </w:rPr>
        <w:t>“</w:t>
      </w:r>
      <w:r w:rsidRPr="000665B0">
        <w:rPr>
          <w:szCs w:val="24"/>
        </w:rPr>
        <w:t>stuck</w:t>
      </w:r>
      <w:r w:rsidR="00FD31AC" w:rsidRPr="000665B0">
        <w:rPr>
          <w:szCs w:val="24"/>
        </w:rPr>
        <w:t>.”</w:t>
      </w:r>
      <w:r w:rsidRPr="000665B0">
        <w:rPr>
          <w:szCs w:val="24"/>
        </w:rPr>
        <w:t xml:space="preserve"> Appendix </w:t>
      </w:r>
      <w:r w:rsidR="00817242" w:rsidRPr="000665B0">
        <w:rPr>
          <w:szCs w:val="24"/>
        </w:rPr>
        <w:t>L (</w:t>
      </w:r>
      <w:hyperlink w:anchor="TMPR_Stuck_in_Submitted" w:history="1">
        <w:r w:rsidR="00817242" w:rsidRPr="000665B0">
          <w:rPr>
            <w:rStyle w:val="Hyperlink"/>
            <w:szCs w:val="24"/>
          </w:rPr>
          <w:t>Section L</w:t>
        </w:r>
        <w:r w:rsidR="009B11F6" w:rsidRPr="000665B0">
          <w:rPr>
            <w:rStyle w:val="Hyperlink"/>
            <w:szCs w:val="24"/>
          </w:rPr>
          <w:t>.</w:t>
        </w:r>
        <w:r w:rsidR="00817242" w:rsidRPr="000665B0">
          <w:rPr>
            <w:rStyle w:val="Hyperlink"/>
            <w:szCs w:val="24"/>
          </w:rPr>
          <w:t>4.1</w:t>
        </w:r>
      </w:hyperlink>
      <w:r w:rsidR="00817242" w:rsidRPr="000665B0">
        <w:rPr>
          <w:szCs w:val="24"/>
        </w:rPr>
        <w:t>)</w:t>
      </w:r>
      <w:r w:rsidRPr="000665B0">
        <w:rPr>
          <w:szCs w:val="24"/>
        </w:rPr>
        <w:t xml:space="preserve"> </w:t>
      </w:r>
      <w:r w:rsidR="00151A59" w:rsidRPr="000665B0">
        <w:rPr>
          <w:szCs w:val="24"/>
        </w:rPr>
        <w:t>provides guidance to help troubleshoot/resolve these types of encounters</w:t>
      </w:r>
      <w:r w:rsidRPr="000665B0">
        <w:rPr>
          <w:szCs w:val="24"/>
        </w:rPr>
        <w:t>.</w:t>
      </w:r>
    </w:p>
    <w:p w14:paraId="5F72374C" w14:textId="6E57431D" w:rsidR="008168B7" w:rsidRPr="000665B0" w:rsidRDefault="008168B7" w:rsidP="00FD31AC">
      <w:pPr>
        <w:rPr>
          <w:szCs w:val="24"/>
        </w:rPr>
      </w:pPr>
      <w:r w:rsidRPr="000665B0">
        <w:rPr>
          <w:b/>
          <w:szCs w:val="24"/>
          <w:u w:val="single"/>
        </w:rPr>
        <w:t>Description 2:</w:t>
      </w:r>
      <w:r w:rsidRPr="000665B0">
        <w:rPr>
          <w:szCs w:val="24"/>
        </w:rPr>
        <w:t xml:space="preserve"> The TMPR may fail because TPS could not accomplish the request for several reasons. When this occurs, the TMPR status will in</w:t>
      </w:r>
      <w:r w:rsidR="00FD31AC" w:rsidRPr="000665B0">
        <w:rPr>
          <w:szCs w:val="24"/>
        </w:rPr>
        <w:t>dicate “</w:t>
      </w:r>
      <w:r w:rsidRPr="000665B0">
        <w:rPr>
          <w:szCs w:val="24"/>
        </w:rPr>
        <w:t>Infeasible</w:t>
      </w:r>
      <w:r w:rsidR="00FD31AC" w:rsidRPr="000665B0">
        <w:rPr>
          <w:szCs w:val="24"/>
        </w:rPr>
        <w:t>.”</w:t>
      </w:r>
      <w:r w:rsidRPr="000665B0">
        <w:rPr>
          <w:szCs w:val="24"/>
        </w:rPr>
        <w:t xml:space="preserve"> Appendix </w:t>
      </w:r>
      <w:r w:rsidR="006244F0" w:rsidRPr="000665B0">
        <w:rPr>
          <w:szCs w:val="24"/>
        </w:rPr>
        <w:t>L (</w:t>
      </w:r>
      <w:hyperlink w:anchor="TMPR_Returns_Infeasible" w:history="1">
        <w:r w:rsidR="006244F0" w:rsidRPr="000665B0">
          <w:rPr>
            <w:rStyle w:val="Hyperlink"/>
            <w:szCs w:val="24"/>
          </w:rPr>
          <w:t>Section L</w:t>
        </w:r>
        <w:r w:rsidR="009B11F6" w:rsidRPr="000665B0">
          <w:rPr>
            <w:rStyle w:val="Hyperlink"/>
            <w:szCs w:val="24"/>
          </w:rPr>
          <w:t>.</w:t>
        </w:r>
        <w:r w:rsidR="006244F0" w:rsidRPr="000665B0">
          <w:rPr>
            <w:rStyle w:val="Hyperlink"/>
            <w:szCs w:val="24"/>
          </w:rPr>
          <w:t>4.2</w:t>
        </w:r>
      </w:hyperlink>
      <w:r w:rsidR="006244F0" w:rsidRPr="000665B0">
        <w:rPr>
          <w:szCs w:val="24"/>
        </w:rPr>
        <w:t>)</w:t>
      </w:r>
      <w:r w:rsidRPr="000665B0">
        <w:rPr>
          <w:szCs w:val="24"/>
        </w:rPr>
        <w:t xml:space="preserve"> </w:t>
      </w:r>
      <w:r w:rsidR="00151A59" w:rsidRPr="000665B0">
        <w:rPr>
          <w:szCs w:val="24"/>
        </w:rPr>
        <w:t>provides guidance to help</w:t>
      </w:r>
      <w:r w:rsidRPr="000665B0">
        <w:rPr>
          <w:szCs w:val="24"/>
        </w:rPr>
        <w:t xml:space="preserve"> troubleshoot/resolve </w:t>
      </w:r>
      <w:r w:rsidR="00151A59" w:rsidRPr="000665B0">
        <w:rPr>
          <w:szCs w:val="24"/>
        </w:rPr>
        <w:t xml:space="preserve">these </w:t>
      </w:r>
      <w:r w:rsidRPr="000665B0">
        <w:rPr>
          <w:szCs w:val="24"/>
        </w:rPr>
        <w:t xml:space="preserve">types of encounters. </w:t>
      </w:r>
    </w:p>
    <w:p w14:paraId="3BC0567F" w14:textId="51A1B3B5" w:rsidR="00F54EED" w:rsidRPr="000665B0" w:rsidRDefault="006D53B5" w:rsidP="001F4B14">
      <w:pPr>
        <w:rPr>
          <w:szCs w:val="24"/>
        </w:rPr>
      </w:pPr>
      <w:r w:rsidRPr="000665B0">
        <w:rPr>
          <w:b/>
          <w:szCs w:val="24"/>
          <w:u w:val="single"/>
        </w:rPr>
        <w:t>Description 3:</w:t>
      </w:r>
      <w:r w:rsidRPr="000665B0">
        <w:rPr>
          <w:szCs w:val="24"/>
        </w:rPr>
        <w:t xml:space="preserve"> The TMPR may fail because the TPS</w:t>
      </w:r>
      <w:r w:rsidR="00B02AE7" w:rsidRPr="000665B0">
        <w:rPr>
          <w:szCs w:val="24"/>
        </w:rPr>
        <w:t xml:space="preserve"> </w:t>
      </w:r>
      <w:r w:rsidRPr="000665B0">
        <w:rPr>
          <w:szCs w:val="24"/>
        </w:rPr>
        <w:t>Management Server</w:t>
      </w:r>
      <w:r w:rsidR="00F567E0" w:rsidRPr="000665B0">
        <w:rPr>
          <w:szCs w:val="24"/>
        </w:rPr>
        <w:t xml:space="preserve"> is not configured correctly for the Operational Area for the intended target. In this scenario, the TMPR’s </w:t>
      </w:r>
      <w:r w:rsidR="00F567E0" w:rsidRPr="000665B0">
        <w:rPr>
          <w:b/>
          <w:szCs w:val="24"/>
        </w:rPr>
        <w:t>State</w:t>
      </w:r>
      <w:r w:rsidR="00F567E0" w:rsidRPr="000665B0">
        <w:rPr>
          <w:szCs w:val="24"/>
        </w:rPr>
        <w:t xml:space="preserve"> Column displays </w:t>
      </w:r>
      <w:r w:rsidR="00F567E0" w:rsidRPr="000665B0">
        <w:rPr>
          <w:b/>
          <w:szCs w:val="24"/>
        </w:rPr>
        <w:t>Infeasible</w:t>
      </w:r>
      <w:r w:rsidR="00F567E0" w:rsidRPr="000665B0">
        <w:rPr>
          <w:szCs w:val="24"/>
        </w:rPr>
        <w:t xml:space="preserve"> with the following text in the </w:t>
      </w:r>
      <w:r w:rsidR="00212715">
        <w:rPr>
          <w:i/>
          <w:szCs w:val="24"/>
        </w:rPr>
        <w:t>Resultant Mission</w:t>
      </w:r>
      <w:r w:rsidR="00F567E0" w:rsidRPr="000665B0">
        <w:rPr>
          <w:szCs w:val="24"/>
        </w:rPr>
        <w:t xml:space="preserve"> tab:</w:t>
      </w:r>
    </w:p>
    <w:p w14:paraId="5CC31197" w14:textId="77777777" w:rsidR="00F567E0" w:rsidRPr="000665B0" w:rsidRDefault="00F567E0" w:rsidP="001F4B14">
      <w:pPr>
        <w:ind w:left="720"/>
        <w:rPr>
          <w:b/>
          <w:szCs w:val="24"/>
        </w:rPr>
      </w:pPr>
      <w:r w:rsidRPr="000665B0">
        <w:rPr>
          <w:b/>
          <w:szCs w:val="24"/>
        </w:rPr>
        <w:t>Error Determining Op Area to use for the mission</w:t>
      </w:r>
    </w:p>
    <w:p w14:paraId="4286A453" w14:textId="77777777" w:rsidR="00F567E0" w:rsidRPr="000665B0" w:rsidRDefault="00F567E0" w:rsidP="001F4B14">
      <w:pPr>
        <w:ind w:left="720"/>
        <w:rPr>
          <w:b/>
          <w:szCs w:val="24"/>
        </w:rPr>
      </w:pPr>
      <w:r w:rsidRPr="000665B0">
        <w:rPr>
          <w:b/>
          <w:szCs w:val="24"/>
        </w:rPr>
        <w:t>RECORD_NOT_FOUND</w:t>
      </w:r>
    </w:p>
    <w:p w14:paraId="425ACF28" w14:textId="77777777" w:rsidR="00F54EED" w:rsidRPr="000665B0" w:rsidRDefault="00F567E0" w:rsidP="001F4B14">
      <w:pPr>
        <w:ind w:left="720"/>
        <w:rPr>
          <w:b/>
          <w:szCs w:val="24"/>
        </w:rPr>
      </w:pPr>
      <w:r w:rsidRPr="000665B0">
        <w:rPr>
          <w:b/>
          <w:szCs w:val="24"/>
        </w:rPr>
        <w:t xml:space="preserve">Unable to identify Op Area containing specified coordinates </w:t>
      </w:r>
      <w:r w:rsidR="001E20C9" w:rsidRPr="000665B0">
        <w:rPr>
          <w:b/>
          <w:szCs w:val="24"/>
        </w:rPr>
        <w:t>-</w:t>
      </w:r>
      <w:r w:rsidRPr="000665B0">
        <w:rPr>
          <w:b/>
          <w:szCs w:val="24"/>
        </w:rPr>
        <w:t xml:space="preserve"> Find_Op_Area.</w:t>
      </w:r>
    </w:p>
    <w:p w14:paraId="30CA048E" w14:textId="1021B02B" w:rsidR="006D53B5" w:rsidRPr="000665B0" w:rsidRDefault="006D53B5" w:rsidP="006D53B5">
      <w:pPr>
        <w:spacing w:after="0"/>
        <w:rPr>
          <w:szCs w:val="24"/>
        </w:rPr>
      </w:pPr>
      <w:r w:rsidRPr="000665B0">
        <w:rPr>
          <w:szCs w:val="24"/>
        </w:rPr>
        <w:t>Appendix L (</w:t>
      </w:r>
      <w:hyperlink w:anchor="TMPR_RETURNS_INFEASIBLE_ERROR" w:history="1">
        <w:r w:rsidRPr="000665B0">
          <w:rPr>
            <w:rStyle w:val="Hyperlink"/>
            <w:szCs w:val="24"/>
          </w:rPr>
          <w:t>Section L</w:t>
        </w:r>
        <w:r w:rsidR="009B11F6" w:rsidRPr="000665B0">
          <w:rPr>
            <w:rStyle w:val="Hyperlink"/>
            <w:szCs w:val="24"/>
          </w:rPr>
          <w:t>.</w:t>
        </w:r>
        <w:r w:rsidRPr="000665B0">
          <w:rPr>
            <w:rStyle w:val="Hyperlink"/>
            <w:szCs w:val="24"/>
          </w:rPr>
          <w:t>4.3</w:t>
        </w:r>
      </w:hyperlink>
      <w:r w:rsidRPr="000665B0">
        <w:rPr>
          <w:szCs w:val="24"/>
        </w:rPr>
        <w:t xml:space="preserve">) provides guidance to help troubleshoot/resolve these types of encounters. </w:t>
      </w:r>
    </w:p>
    <w:p w14:paraId="511D78F4" w14:textId="53361A47" w:rsidR="008168B7" w:rsidRPr="000665B0" w:rsidRDefault="008168B7" w:rsidP="00155E82">
      <w:pPr>
        <w:pStyle w:val="Appendix3"/>
        <w:ind w:left="360"/>
      </w:pPr>
      <w:bookmarkStart w:id="7486" w:name="_L-4.1__TMPR"/>
      <w:bookmarkStart w:id="7487" w:name="TMPR_Stuck_in_Submitted"/>
      <w:bookmarkStart w:id="7488" w:name="_Toc214283711"/>
      <w:bookmarkEnd w:id="7486"/>
      <w:bookmarkEnd w:id="7487"/>
      <w:r w:rsidRPr="000665B0">
        <w:lastRenderedPageBreak/>
        <w:t>TMPR Stuck in “Submitted”</w:t>
      </w:r>
      <w:bookmarkEnd w:id="7488"/>
    </w:p>
    <w:p w14:paraId="72B5F969" w14:textId="77777777" w:rsidR="008168B7" w:rsidRPr="000665B0" w:rsidRDefault="008168B7" w:rsidP="008168B7">
      <w:pPr>
        <w:rPr>
          <w:szCs w:val="24"/>
        </w:rPr>
      </w:pPr>
      <w:r w:rsidRPr="000665B0">
        <w:rPr>
          <w:szCs w:val="24"/>
        </w:rPr>
        <w:t>This symptom typically means that the TPS software does not recognize (or is</w:t>
      </w:r>
      <w:r w:rsidR="00270B24" w:rsidRPr="000665B0">
        <w:rPr>
          <w:szCs w:val="24"/>
        </w:rPr>
        <w:t xml:space="preserve"> not receiving) the “</w:t>
      </w:r>
      <w:r w:rsidRPr="000665B0">
        <w:rPr>
          <w:szCs w:val="24"/>
        </w:rPr>
        <w:t>submitted</w:t>
      </w:r>
      <w:r w:rsidR="00270B24" w:rsidRPr="000665B0">
        <w:rPr>
          <w:szCs w:val="24"/>
        </w:rPr>
        <w:t>”</w:t>
      </w:r>
      <w:r w:rsidRPr="000665B0">
        <w:rPr>
          <w:szCs w:val="24"/>
        </w:rPr>
        <w:t xml:space="preserve"> TMPR, thus it will not move to the next status of “In work</w:t>
      </w:r>
      <w:r w:rsidR="00270B24" w:rsidRPr="000665B0">
        <w:rPr>
          <w:szCs w:val="24"/>
        </w:rPr>
        <w:t>.</w:t>
      </w:r>
      <w:r w:rsidRPr="000665B0">
        <w:rPr>
          <w:szCs w:val="24"/>
        </w:rPr>
        <w:t>”</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4349"/>
        <w:gridCol w:w="4471"/>
      </w:tblGrid>
      <w:tr w:rsidR="008168B7" w:rsidRPr="000665B0" w14:paraId="680E41C0" w14:textId="77777777" w:rsidTr="00F47262">
        <w:trPr>
          <w:cantSplit/>
          <w:tblHeader/>
        </w:trPr>
        <w:tc>
          <w:tcPr>
            <w:tcW w:w="9558" w:type="dxa"/>
            <w:gridSpan w:val="3"/>
            <w:tcBorders>
              <w:bottom w:val="single" w:sz="4" w:space="0" w:color="auto"/>
            </w:tcBorders>
            <w:shd w:val="clear" w:color="auto" w:fill="D9D9D9" w:themeFill="background1" w:themeFillShade="D9"/>
          </w:tcPr>
          <w:p w14:paraId="4A2E2A01" w14:textId="4DDD37F1" w:rsidR="008168B7" w:rsidRPr="00F47262" w:rsidRDefault="008168B7" w:rsidP="002F054D">
            <w:pPr>
              <w:keepNext/>
              <w:keepLines/>
              <w:spacing w:before="60" w:after="60"/>
              <w:rPr>
                <w:rFonts w:ascii="Arial" w:hAnsi="Arial" w:cs="Arial"/>
                <w:b/>
                <w:szCs w:val="24"/>
              </w:rPr>
            </w:pPr>
            <w:r w:rsidRPr="00F47262">
              <w:rPr>
                <w:rFonts w:ascii="Arial" w:hAnsi="Arial" w:cs="Arial"/>
                <w:b/>
                <w:szCs w:val="24"/>
              </w:rPr>
              <w:t>L</w:t>
            </w:r>
            <w:r w:rsidR="002F054D" w:rsidRPr="00F47262">
              <w:rPr>
                <w:rFonts w:ascii="Arial" w:hAnsi="Arial" w:cs="Arial"/>
                <w:b/>
                <w:szCs w:val="24"/>
              </w:rPr>
              <w:t>.</w:t>
            </w:r>
            <w:r w:rsidR="004224B7" w:rsidRPr="00F47262">
              <w:rPr>
                <w:rFonts w:ascii="Arial" w:hAnsi="Arial" w:cs="Arial"/>
                <w:b/>
                <w:szCs w:val="24"/>
              </w:rPr>
              <w:t>4</w:t>
            </w:r>
            <w:r w:rsidRPr="00F47262">
              <w:rPr>
                <w:rFonts w:ascii="Arial" w:hAnsi="Arial" w:cs="Arial"/>
                <w:b/>
                <w:szCs w:val="24"/>
              </w:rPr>
              <w:t>.1</w:t>
            </w:r>
            <w:r w:rsidR="009651B0" w:rsidRPr="00F47262">
              <w:rPr>
                <w:rFonts w:ascii="Arial" w:hAnsi="Arial" w:cs="Arial"/>
                <w:b/>
                <w:szCs w:val="24"/>
              </w:rPr>
              <w:t xml:space="preserve"> </w:t>
            </w:r>
            <w:r w:rsidRPr="00F47262">
              <w:rPr>
                <w:rFonts w:ascii="Arial" w:hAnsi="Arial" w:cs="Arial"/>
                <w:b/>
                <w:szCs w:val="24"/>
              </w:rPr>
              <w:t>TMPR Stuck in “Submitted”</w:t>
            </w:r>
          </w:p>
        </w:tc>
      </w:tr>
      <w:tr w:rsidR="008168B7" w:rsidRPr="000665B0" w14:paraId="69563AEF" w14:textId="77777777" w:rsidTr="00F47262">
        <w:trPr>
          <w:cantSplit/>
          <w:tblHeader/>
        </w:trPr>
        <w:tc>
          <w:tcPr>
            <w:tcW w:w="738" w:type="dxa"/>
            <w:tcBorders>
              <w:bottom w:val="single" w:sz="4" w:space="0" w:color="auto"/>
            </w:tcBorders>
            <w:shd w:val="clear" w:color="auto" w:fill="D9D9D9" w:themeFill="background1" w:themeFillShade="D9"/>
          </w:tcPr>
          <w:p w14:paraId="05FD5758" w14:textId="77777777" w:rsidR="008168B7" w:rsidRPr="00F47262" w:rsidRDefault="008168B7" w:rsidP="00585646">
            <w:pPr>
              <w:keepNext/>
              <w:keepLines/>
              <w:spacing w:before="60" w:after="60"/>
              <w:rPr>
                <w:rFonts w:ascii="Arial" w:hAnsi="Arial" w:cs="Arial"/>
                <w:b/>
                <w:szCs w:val="24"/>
              </w:rPr>
            </w:pPr>
            <w:r w:rsidRPr="00F47262">
              <w:rPr>
                <w:rFonts w:ascii="Arial" w:hAnsi="Arial" w:cs="Arial"/>
                <w:b/>
                <w:szCs w:val="24"/>
              </w:rPr>
              <w:t>Step</w:t>
            </w:r>
          </w:p>
        </w:tc>
        <w:tc>
          <w:tcPr>
            <w:tcW w:w="4349" w:type="dxa"/>
            <w:tcBorders>
              <w:bottom w:val="single" w:sz="4" w:space="0" w:color="auto"/>
            </w:tcBorders>
            <w:shd w:val="clear" w:color="auto" w:fill="D9D9D9" w:themeFill="background1" w:themeFillShade="D9"/>
          </w:tcPr>
          <w:p w14:paraId="630C705B" w14:textId="77777777" w:rsidR="008168B7" w:rsidRPr="00F47262" w:rsidRDefault="008168B7" w:rsidP="00585646">
            <w:pPr>
              <w:keepNext/>
              <w:keepLines/>
              <w:spacing w:before="60" w:after="60"/>
              <w:rPr>
                <w:rFonts w:ascii="Arial" w:hAnsi="Arial" w:cs="Arial"/>
                <w:b/>
                <w:szCs w:val="24"/>
              </w:rPr>
            </w:pPr>
            <w:r w:rsidRPr="00F47262">
              <w:rPr>
                <w:rFonts w:ascii="Arial" w:hAnsi="Arial" w:cs="Arial"/>
                <w:b/>
                <w:szCs w:val="24"/>
              </w:rPr>
              <w:t>Procedure</w:t>
            </w:r>
          </w:p>
        </w:tc>
        <w:tc>
          <w:tcPr>
            <w:tcW w:w="4471" w:type="dxa"/>
            <w:tcBorders>
              <w:bottom w:val="single" w:sz="4" w:space="0" w:color="auto"/>
            </w:tcBorders>
            <w:shd w:val="clear" w:color="auto" w:fill="D9D9D9" w:themeFill="background1" w:themeFillShade="D9"/>
          </w:tcPr>
          <w:p w14:paraId="6F3F4566" w14:textId="77777777" w:rsidR="008168B7" w:rsidRPr="00F47262" w:rsidRDefault="008168B7" w:rsidP="00E4470E">
            <w:pPr>
              <w:spacing w:before="60" w:after="60"/>
              <w:rPr>
                <w:rFonts w:ascii="Arial" w:hAnsi="Arial" w:cs="Arial"/>
                <w:b/>
                <w:szCs w:val="24"/>
              </w:rPr>
            </w:pPr>
            <w:r w:rsidRPr="00F47262">
              <w:rPr>
                <w:rFonts w:ascii="Arial" w:hAnsi="Arial" w:cs="Arial"/>
                <w:b/>
                <w:szCs w:val="24"/>
              </w:rPr>
              <w:t>Comments</w:t>
            </w:r>
          </w:p>
        </w:tc>
      </w:tr>
      <w:tr w:rsidR="00A10A0C" w:rsidRPr="00A10A0C" w14:paraId="5D8C1E44" w14:textId="77777777" w:rsidTr="00F47262">
        <w:trPr>
          <w:cantSplit/>
        </w:trPr>
        <w:tc>
          <w:tcPr>
            <w:tcW w:w="9558" w:type="dxa"/>
            <w:gridSpan w:val="3"/>
            <w:shd w:val="clear" w:color="auto" w:fill="C6D9F1" w:themeFill="text2" w:themeFillTint="33"/>
          </w:tcPr>
          <w:p w14:paraId="2C1FDDC8" w14:textId="77777777" w:rsidR="008168B7" w:rsidRPr="00A10A0C" w:rsidRDefault="008168B7" w:rsidP="00585646">
            <w:pPr>
              <w:keepNext/>
              <w:keepLines/>
              <w:spacing w:before="60" w:after="60"/>
              <w:rPr>
                <w:b/>
                <w:i/>
                <w:color w:val="000000" w:themeColor="text1"/>
                <w:sz w:val="20"/>
              </w:rPr>
            </w:pPr>
            <w:r w:rsidRPr="00A10A0C">
              <w:rPr>
                <w:b/>
                <w:i/>
                <w:color w:val="000000" w:themeColor="text1"/>
                <w:sz w:val="20"/>
              </w:rPr>
              <w:t>Restart TPS Services</w:t>
            </w:r>
          </w:p>
        </w:tc>
      </w:tr>
      <w:tr w:rsidR="008168B7" w:rsidRPr="00F47262" w14:paraId="6B65FB08" w14:textId="77777777" w:rsidTr="00F47262">
        <w:trPr>
          <w:cantSplit/>
        </w:trPr>
        <w:tc>
          <w:tcPr>
            <w:tcW w:w="738" w:type="dxa"/>
          </w:tcPr>
          <w:p w14:paraId="63720406" w14:textId="77777777" w:rsidR="008168B7" w:rsidRPr="00F47262" w:rsidRDefault="008168B7" w:rsidP="006D5A65">
            <w:pPr>
              <w:pStyle w:val="Heading1"/>
            </w:pPr>
          </w:p>
        </w:tc>
        <w:tc>
          <w:tcPr>
            <w:tcW w:w="4349" w:type="dxa"/>
          </w:tcPr>
          <w:p w14:paraId="2811348C" w14:textId="77777777" w:rsidR="008168B7" w:rsidRPr="00F47262" w:rsidRDefault="008168B7" w:rsidP="00585646">
            <w:pPr>
              <w:keepNext/>
              <w:keepLines/>
              <w:spacing w:before="60" w:after="60"/>
              <w:rPr>
                <w:sz w:val="20"/>
              </w:rPr>
            </w:pPr>
            <w:r w:rsidRPr="00F47262">
              <w:rPr>
                <w:sz w:val="20"/>
              </w:rPr>
              <w:t xml:space="preserve">Logout and </w:t>
            </w:r>
            <w:r w:rsidR="001C22D7" w:rsidRPr="00F47262">
              <w:rPr>
                <w:sz w:val="20"/>
              </w:rPr>
              <w:t>l</w:t>
            </w:r>
            <w:r w:rsidRPr="00F47262">
              <w:rPr>
                <w:sz w:val="20"/>
              </w:rPr>
              <w:t>ogin to MDS as an administrator.</w:t>
            </w:r>
            <w:r w:rsidR="00377AB3" w:rsidRPr="00F47262">
              <w:rPr>
                <w:sz w:val="20"/>
              </w:rPr>
              <w:t xml:space="preserve"> On the MDS workstation, right-click on the </w:t>
            </w:r>
            <w:r w:rsidR="00377AB3" w:rsidRPr="00F47262">
              <w:rPr>
                <w:b/>
                <w:sz w:val="20"/>
              </w:rPr>
              <w:t>MDS Toolbox</w:t>
            </w:r>
            <w:r w:rsidR="00377AB3" w:rsidRPr="00F47262">
              <w:rPr>
                <w:sz w:val="20"/>
              </w:rPr>
              <w:t xml:space="preserve"> desktop shortcut icon </w:t>
            </w:r>
            <w:r w:rsidR="00377AB3" w:rsidRPr="00F47262">
              <w:rPr>
                <w:noProof/>
                <w:sz w:val="20"/>
              </w:rPr>
              <w:drawing>
                <wp:inline distT="0" distB="0" distL="0" distR="0" wp14:anchorId="57157D43" wp14:editId="6E736A70">
                  <wp:extent cx="276225" cy="247650"/>
                  <wp:effectExtent l="19050" t="0" r="9525" b="0"/>
                  <wp:docPr id="1376"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00377AB3" w:rsidRPr="00F47262">
              <w:rPr>
                <w:sz w:val="20"/>
              </w:rPr>
              <w:t xml:space="preserve"> and select </w:t>
            </w:r>
            <w:r w:rsidR="00377AB3" w:rsidRPr="00F47262">
              <w:rPr>
                <w:b/>
                <w:sz w:val="20"/>
              </w:rPr>
              <w:t>Run as administrator</w:t>
            </w:r>
            <w:r w:rsidR="00377AB3" w:rsidRPr="00F47262">
              <w:rPr>
                <w:sz w:val="20"/>
              </w:rPr>
              <w:t xml:space="preserve"> from the resulting pop-up menu.</w:t>
            </w:r>
          </w:p>
        </w:tc>
        <w:tc>
          <w:tcPr>
            <w:tcW w:w="4471" w:type="dxa"/>
          </w:tcPr>
          <w:p w14:paraId="37199495" w14:textId="77777777" w:rsidR="008168B7" w:rsidRPr="00F47262" w:rsidRDefault="008168B7" w:rsidP="00697B9C">
            <w:pPr>
              <w:spacing w:before="60" w:after="60"/>
              <w:rPr>
                <w:sz w:val="20"/>
              </w:rPr>
            </w:pPr>
          </w:p>
        </w:tc>
      </w:tr>
      <w:tr w:rsidR="008168B7" w:rsidRPr="00F47262" w14:paraId="5E35D7DB" w14:textId="77777777" w:rsidTr="00F47262">
        <w:trPr>
          <w:cantSplit/>
        </w:trPr>
        <w:tc>
          <w:tcPr>
            <w:tcW w:w="738" w:type="dxa"/>
          </w:tcPr>
          <w:p w14:paraId="425C591E" w14:textId="77777777" w:rsidR="008168B7" w:rsidRPr="00F47262" w:rsidRDefault="008168B7" w:rsidP="006D5A65">
            <w:pPr>
              <w:pStyle w:val="Heading1"/>
            </w:pPr>
          </w:p>
        </w:tc>
        <w:tc>
          <w:tcPr>
            <w:tcW w:w="4349" w:type="dxa"/>
          </w:tcPr>
          <w:p w14:paraId="6BD3AD6F" w14:textId="77777777" w:rsidR="008168B7" w:rsidRPr="00F47262" w:rsidRDefault="00B24B74" w:rsidP="00B24B74">
            <w:pPr>
              <w:spacing w:before="60" w:after="60"/>
              <w:rPr>
                <w:sz w:val="20"/>
              </w:rPr>
            </w:pPr>
            <w:r w:rsidRPr="00F47262">
              <w:rPr>
                <w:sz w:val="20"/>
              </w:rPr>
              <w:t xml:space="preserve">Right-click the </w:t>
            </w:r>
            <w:r w:rsidRPr="00F47262">
              <w:rPr>
                <w:noProof/>
                <w:sz w:val="20"/>
              </w:rPr>
              <w:drawing>
                <wp:inline distT="0" distB="0" distL="0" distR="0" wp14:anchorId="5CC72CD8" wp14:editId="60103282">
                  <wp:extent cx="182880" cy="178068"/>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Search</w:t>
            </w:r>
            <w:r w:rsidRPr="00F47262">
              <w:rPr>
                <w:sz w:val="20"/>
              </w:rPr>
              <w:t xml:space="preserve"> from the pop-up menu. Type </w:t>
            </w:r>
            <w:r w:rsidRPr="00F47262">
              <w:rPr>
                <w:b/>
                <w:sz w:val="20"/>
              </w:rPr>
              <w:t>Services</w:t>
            </w:r>
            <w:r w:rsidRPr="00F47262">
              <w:rPr>
                <w:sz w:val="20"/>
              </w:rPr>
              <w:t xml:space="preserve"> in the </w:t>
            </w:r>
            <w:r w:rsidRPr="00F47262">
              <w:rPr>
                <w:b/>
                <w:sz w:val="20"/>
              </w:rPr>
              <w:t>Search</w:t>
            </w:r>
            <w:r w:rsidRPr="00F47262">
              <w:rPr>
                <w:sz w:val="20"/>
              </w:rPr>
              <w:t xml:space="preserve"> field, and then select </w:t>
            </w:r>
            <w:r w:rsidRPr="00F47262">
              <w:rPr>
                <w:b/>
                <w:sz w:val="20"/>
              </w:rPr>
              <w:t>Services</w:t>
            </w:r>
            <w:r w:rsidRPr="00F47262">
              <w:rPr>
                <w:sz w:val="20"/>
              </w:rPr>
              <w:t xml:space="preserve"> </w:t>
            </w:r>
            <w:r w:rsidR="0079657D" w:rsidRPr="00F47262">
              <w:rPr>
                <w:sz w:val="20"/>
              </w:rPr>
              <w:t xml:space="preserve">or </w:t>
            </w:r>
            <w:r w:rsidR="0079657D" w:rsidRPr="00F47262">
              <w:rPr>
                <w:b/>
                <w:sz w:val="20"/>
              </w:rPr>
              <w:t xml:space="preserve">View local services </w:t>
            </w:r>
            <w:r w:rsidRPr="00F47262">
              <w:rPr>
                <w:sz w:val="20"/>
              </w:rPr>
              <w:t>in the results list.</w:t>
            </w:r>
          </w:p>
        </w:tc>
        <w:tc>
          <w:tcPr>
            <w:tcW w:w="4471" w:type="dxa"/>
          </w:tcPr>
          <w:p w14:paraId="32B17DDA" w14:textId="77777777" w:rsidR="008168B7" w:rsidRPr="00F47262" w:rsidRDefault="00B24B74" w:rsidP="00697B9C">
            <w:pPr>
              <w:spacing w:before="60" w:after="60"/>
              <w:rPr>
                <w:sz w:val="20"/>
              </w:rPr>
            </w:pPr>
            <w:r w:rsidRPr="00F47262">
              <w:rPr>
                <w:noProof/>
                <w:sz w:val="20"/>
              </w:rPr>
              <w:drawing>
                <wp:inline distT="0" distB="0" distL="0" distR="0" wp14:anchorId="686E8F79" wp14:editId="74830486">
                  <wp:extent cx="2238375" cy="1345613"/>
                  <wp:effectExtent l="0" t="0" r="0" b="6985"/>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238375" cy="1345613"/>
                          </a:xfrm>
                          <a:prstGeom prst="rect">
                            <a:avLst/>
                          </a:prstGeom>
                        </pic:spPr>
                      </pic:pic>
                    </a:graphicData>
                  </a:graphic>
                </wp:inline>
              </w:drawing>
            </w:r>
          </w:p>
        </w:tc>
      </w:tr>
      <w:tr w:rsidR="008168B7" w:rsidRPr="00F47262" w14:paraId="30C83DD3" w14:textId="77777777" w:rsidTr="00F47262">
        <w:trPr>
          <w:cantSplit/>
        </w:trPr>
        <w:tc>
          <w:tcPr>
            <w:tcW w:w="738" w:type="dxa"/>
          </w:tcPr>
          <w:p w14:paraId="52A6C739" w14:textId="77777777" w:rsidR="008168B7" w:rsidRPr="00F47262" w:rsidRDefault="008168B7" w:rsidP="006D5A65">
            <w:pPr>
              <w:pStyle w:val="Heading1"/>
            </w:pPr>
          </w:p>
        </w:tc>
        <w:tc>
          <w:tcPr>
            <w:tcW w:w="4349" w:type="dxa"/>
          </w:tcPr>
          <w:p w14:paraId="6335A74D" w14:textId="77777777" w:rsidR="008168B7" w:rsidRPr="00F47262" w:rsidRDefault="008168B7" w:rsidP="00697B9C">
            <w:pPr>
              <w:spacing w:before="60" w:after="60"/>
              <w:rPr>
                <w:sz w:val="20"/>
              </w:rPr>
            </w:pPr>
            <w:r w:rsidRPr="00F47262">
              <w:rPr>
                <w:sz w:val="20"/>
              </w:rPr>
              <w:t xml:space="preserve">Click the </w:t>
            </w:r>
            <w:r w:rsidRPr="00F47262">
              <w:rPr>
                <w:b/>
                <w:sz w:val="20"/>
              </w:rPr>
              <w:t>Yes</w:t>
            </w:r>
            <w:r w:rsidRPr="00F47262">
              <w:rPr>
                <w:sz w:val="20"/>
              </w:rPr>
              <w:t xml:space="preserve"> button to acknowledge the </w:t>
            </w:r>
            <w:r w:rsidRPr="00F47262">
              <w:rPr>
                <w:i/>
                <w:sz w:val="20"/>
              </w:rPr>
              <w:t xml:space="preserve">User Account Control </w:t>
            </w:r>
            <w:r w:rsidRPr="00F47262">
              <w:rPr>
                <w:sz w:val="20"/>
              </w:rPr>
              <w:t>window</w:t>
            </w:r>
            <w:r w:rsidR="00B24B74" w:rsidRPr="00F47262">
              <w:rPr>
                <w:sz w:val="20"/>
              </w:rPr>
              <w:t xml:space="preserve"> if displayed</w:t>
            </w:r>
            <w:r w:rsidRPr="00F47262">
              <w:rPr>
                <w:sz w:val="20"/>
              </w:rPr>
              <w:t>.</w:t>
            </w:r>
          </w:p>
        </w:tc>
        <w:tc>
          <w:tcPr>
            <w:tcW w:w="4471" w:type="dxa"/>
          </w:tcPr>
          <w:p w14:paraId="1C602DC2" w14:textId="77777777" w:rsidR="008168B7" w:rsidRPr="00F47262" w:rsidRDefault="008168B7" w:rsidP="00697B9C">
            <w:pPr>
              <w:spacing w:before="60" w:after="60"/>
              <w:rPr>
                <w:sz w:val="20"/>
              </w:rPr>
            </w:pPr>
          </w:p>
        </w:tc>
      </w:tr>
      <w:tr w:rsidR="008168B7" w:rsidRPr="00F47262" w14:paraId="5B845BED" w14:textId="77777777" w:rsidTr="00F47262">
        <w:trPr>
          <w:cantSplit/>
        </w:trPr>
        <w:tc>
          <w:tcPr>
            <w:tcW w:w="738" w:type="dxa"/>
          </w:tcPr>
          <w:p w14:paraId="0CF89309" w14:textId="77777777" w:rsidR="008168B7" w:rsidRPr="00F47262" w:rsidRDefault="008168B7" w:rsidP="006D5A65">
            <w:pPr>
              <w:pStyle w:val="Heading1"/>
            </w:pPr>
          </w:p>
        </w:tc>
        <w:tc>
          <w:tcPr>
            <w:tcW w:w="4349" w:type="dxa"/>
          </w:tcPr>
          <w:p w14:paraId="372D6968" w14:textId="46EFDCED" w:rsidR="008168B7" w:rsidRPr="00F47262" w:rsidRDefault="008168B7" w:rsidP="00931D14">
            <w:pPr>
              <w:spacing w:before="60" w:after="60"/>
              <w:rPr>
                <w:sz w:val="20"/>
              </w:rPr>
            </w:pPr>
            <w:r w:rsidRPr="00F47262">
              <w:rPr>
                <w:sz w:val="20"/>
              </w:rPr>
              <w:t xml:space="preserve">Right-click the </w:t>
            </w:r>
            <w:r w:rsidRPr="00F47262">
              <w:rPr>
                <w:b/>
                <w:sz w:val="20"/>
              </w:rPr>
              <w:t xml:space="preserve">TPS </w:t>
            </w:r>
            <w:r w:rsidR="00931D14" w:rsidRPr="00F47262">
              <w:rPr>
                <w:b/>
                <w:sz w:val="20"/>
              </w:rPr>
              <w:t>6</w:t>
            </w:r>
            <w:r w:rsidR="00B24B74" w:rsidRPr="00F47262">
              <w:rPr>
                <w:b/>
                <w:sz w:val="20"/>
              </w:rPr>
              <w:t>.0.</w:t>
            </w:r>
            <w:r w:rsidR="00931D14" w:rsidRPr="00F47262">
              <w:rPr>
                <w:b/>
                <w:sz w:val="20"/>
              </w:rPr>
              <w:t xml:space="preserve">0 </w:t>
            </w:r>
            <w:r w:rsidRPr="00F47262">
              <w:rPr>
                <w:b/>
                <w:sz w:val="20"/>
              </w:rPr>
              <w:t>Service</w:t>
            </w:r>
            <w:r w:rsidRPr="00F47262">
              <w:rPr>
                <w:sz w:val="20"/>
              </w:rPr>
              <w:t xml:space="preserve"> entry and select the </w:t>
            </w:r>
            <w:r w:rsidRPr="00F47262">
              <w:rPr>
                <w:b/>
                <w:sz w:val="20"/>
              </w:rPr>
              <w:t>Restart</w:t>
            </w:r>
            <w:r w:rsidRPr="00F47262">
              <w:rPr>
                <w:sz w:val="20"/>
              </w:rPr>
              <w:t xml:space="preserve"> option from the pop-up menu.</w:t>
            </w:r>
          </w:p>
        </w:tc>
        <w:tc>
          <w:tcPr>
            <w:tcW w:w="4471" w:type="dxa"/>
          </w:tcPr>
          <w:p w14:paraId="643189E7" w14:textId="3AAF19A3" w:rsidR="008168B7" w:rsidRPr="00F47262" w:rsidRDefault="008168B7" w:rsidP="00697B9C">
            <w:pPr>
              <w:spacing w:before="60" w:after="60"/>
              <w:rPr>
                <w:sz w:val="20"/>
              </w:rPr>
            </w:pPr>
          </w:p>
        </w:tc>
      </w:tr>
      <w:tr w:rsidR="008168B7" w:rsidRPr="00F47262" w14:paraId="7A5CD073" w14:textId="77777777" w:rsidTr="00F47262">
        <w:trPr>
          <w:cantSplit/>
        </w:trPr>
        <w:tc>
          <w:tcPr>
            <w:tcW w:w="738" w:type="dxa"/>
          </w:tcPr>
          <w:p w14:paraId="7FC77A58" w14:textId="77777777" w:rsidR="008168B7" w:rsidRPr="00F47262" w:rsidRDefault="008168B7" w:rsidP="006D5A65">
            <w:pPr>
              <w:pStyle w:val="Heading1"/>
            </w:pPr>
          </w:p>
        </w:tc>
        <w:tc>
          <w:tcPr>
            <w:tcW w:w="4349" w:type="dxa"/>
          </w:tcPr>
          <w:p w14:paraId="22AD8DB6" w14:textId="0357E3DB" w:rsidR="008168B7" w:rsidRPr="00F47262" w:rsidRDefault="008168B7" w:rsidP="00931D14">
            <w:pPr>
              <w:spacing w:before="60" w:after="60"/>
              <w:rPr>
                <w:sz w:val="20"/>
              </w:rPr>
            </w:pPr>
            <w:r w:rsidRPr="00F47262">
              <w:rPr>
                <w:sz w:val="20"/>
              </w:rPr>
              <w:t xml:space="preserve">Click the </w:t>
            </w:r>
            <w:r w:rsidRPr="00F47262">
              <w:rPr>
                <w:b/>
                <w:sz w:val="20"/>
              </w:rPr>
              <w:t>Yes</w:t>
            </w:r>
            <w:r w:rsidRPr="00F47262">
              <w:rPr>
                <w:sz w:val="20"/>
              </w:rPr>
              <w:t xml:space="preserve"> button to acknowledge the restart of the </w:t>
            </w:r>
            <w:r w:rsidRPr="00F47262">
              <w:rPr>
                <w:b/>
                <w:sz w:val="20"/>
              </w:rPr>
              <w:t xml:space="preserve">TPS </w:t>
            </w:r>
            <w:r w:rsidR="00931D14" w:rsidRPr="00F47262">
              <w:rPr>
                <w:b/>
                <w:sz w:val="20"/>
              </w:rPr>
              <w:t>6</w:t>
            </w:r>
            <w:r w:rsidR="00B24B74" w:rsidRPr="00F47262">
              <w:rPr>
                <w:b/>
                <w:sz w:val="20"/>
              </w:rPr>
              <w:t>.0.</w:t>
            </w:r>
            <w:r w:rsidR="00931D14" w:rsidRPr="00F47262">
              <w:rPr>
                <w:b/>
                <w:sz w:val="20"/>
              </w:rPr>
              <w:t xml:space="preserve">0 </w:t>
            </w:r>
            <w:r w:rsidRPr="00F47262">
              <w:rPr>
                <w:b/>
                <w:sz w:val="20"/>
              </w:rPr>
              <w:t xml:space="preserve">TED Web </w:t>
            </w:r>
            <w:r w:rsidR="0079657D" w:rsidRPr="00F47262">
              <w:rPr>
                <w:b/>
                <w:sz w:val="20"/>
              </w:rPr>
              <w:t>Client</w:t>
            </w:r>
            <w:r w:rsidR="0079657D" w:rsidRPr="00F47262">
              <w:rPr>
                <w:sz w:val="20"/>
              </w:rPr>
              <w:t xml:space="preserve"> </w:t>
            </w:r>
            <w:r w:rsidRPr="00F47262">
              <w:rPr>
                <w:sz w:val="20"/>
              </w:rPr>
              <w:t>service.</w:t>
            </w:r>
          </w:p>
        </w:tc>
        <w:tc>
          <w:tcPr>
            <w:tcW w:w="4471" w:type="dxa"/>
          </w:tcPr>
          <w:p w14:paraId="77224FD0" w14:textId="7D86D41C" w:rsidR="008168B7" w:rsidRPr="00F47262" w:rsidRDefault="008168B7" w:rsidP="00697B9C">
            <w:pPr>
              <w:spacing w:before="60" w:after="60"/>
              <w:rPr>
                <w:sz w:val="20"/>
              </w:rPr>
            </w:pPr>
          </w:p>
        </w:tc>
      </w:tr>
      <w:tr w:rsidR="008168B7" w:rsidRPr="00F47262" w14:paraId="7A8CC31F" w14:textId="77777777" w:rsidTr="00F47262">
        <w:trPr>
          <w:cantSplit/>
        </w:trPr>
        <w:tc>
          <w:tcPr>
            <w:tcW w:w="738" w:type="dxa"/>
          </w:tcPr>
          <w:p w14:paraId="55B5CF93" w14:textId="77777777" w:rsidR="008168B7" w:rsidRPr="00F47262" w:rsidRDefault="008168B7" w:rsidP="006D5A65">
            <w:pPr>
              <w:pStyle w:val="Heading1"/>
            </w:pPr>
          </w:p>
        </w:tc>
        <w:tc>
          <w:tcPr>
            <w:tcW w:w="4349" w:type="dxa"/>
          </w:tcPr>
          <w:p w14:paraId="3AE927B9" w14:textId="77777777" w:rsidR="008168B7" w:rsidRPr="00F47262" w:rsidRDefault="00B5554D" w:rsidP="00070929">
            <w:pPr>
              <w:spacing w:before="60" w:after="60"/>
              <w:rPr>
                <w:sz w:val="20"/>
              </w:rPr>
            </w:pPr>
            <w:r w:rsidRPr="00F47262">
              <w:rPr>
                <w:sz w:val="20"/>
              </w:rPr>
              <w:t xml:space="preserve">Click the </w:t>
            </w:r>
            <w:r w:rsidRPr="00F47262">
              <w:rPr>
                <w:noProof/>
                <w:sz w:val="20"/>
              </w:rPr>
              <w:drawing>
                <wp:inline distT="0" distB="0" distL="0" distR="0" wp14:anchorId="61517446" wp14:editId="0CE69B57">
                  <wp:extent cx="171450" cy="152400"/>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Button.jpg"/>
                          <pic:cNvPicPr/>
                        </pic:nvPicPr>
                        <pic:blipFill>
                          <a:blip>
                            <a:extLst>
                              <a:ext uri="{28A0092B-C50C-407E-A947-70E740481C1C}">
                                <a14:useLocalDpi xmlns:a14="http://schemas.microsoft.com/office/drawing/2010/main"/>
                              </a:ext>
                            </a:extLst>
                          </a:blip>
                          <a:stretch>
                            <a:fillRect/>
                          </a:stretch>
                        </pic:blipFill>
                        <pic:spPr>
                          <a:xfrm>
                            <a:off x="0" y="0"/>
                            <a:ext cx="171450" cy="152400"/>
                          </a:xfrm>
                          <a:prstGeom prst="rect">
                            <a:avLst/>
                          </a:prstGeom>
                        </pic:spPr>
                      </pic:pic>
                    </a:graphicData>
                  </a:graphic>
                </wp:inline>
              </w:drawing>
            </w:r>
            <w:r w:rsidRPr="00F47262">
              <w:rPr>
                <w:sz w:val="20"/>
              </w:rPr>
              <w:t xml:space="preserve"> button to close the </w:t>
            </w:r>
            <w:r w:rsidRPr="00F47262">
              <w:rPr>
                <w:i/>
                <w:sz w:val="20"/>
              </w:rPr>
              <w:t>Services</w:t>
            </w:r>
            <w:r w:rsidRPr="00F47262">
              <w:rPr>
                <w:sz w:val="20"/>
              </w:rPr>
              <w:t xml:space="preserve"> window. </w:t>
            </w:r>
          </w:p>
        </w:tc>
        <w:tc>
          <w:tcPr>
            <w:tcW w:w="4471" w:type="dxa"/>
          </w:tcPr>
          <w:p w14:paraId="1DA5BE93" w14:textId="77777777" w:rsidR="008168B7" w:rsidRPr="00F47262" w:rsidRDefault="008168B7" w:rsidP="00697B9C">
            <w:pPr>
              <w:spacing w:before="60" w:after="60"/>
              <w:rPr>
                <w:sz w:val="20"/>
              </w:rPr>
            </w:pPr>
          </w:p>
        </w:tc>
      </w:tr>
      <w:tr w:rsidR="008168B7" w:rsidRPr="00F47262" w14:paraId="3A518A76" w14:textId="77777777" w:rsidTr="00F47262">
        <w:trPr>
          <w:cantSplit/>
        </w:trPr>
        <w:tc>
          <w:tcPr>
            <w:tcW w:w="738" w:type="dxa"/>
          </w:tcPr>
          <w:p w14:paraId="05268589" w14:textId="77777777" w:rsidR="008168B7" w:rsidRPr="00F47262" w:rsidRDefault="008168B7" w:rsidP="006D5A65">
            <w:pPr>
              <w:pStyle w:val="Heading1"/>
            </w:pPr>
          </w:p>
        </w:tc>
        <w:tc>
          <w:tcPr>
            <w:tcW w:w="4349" w:type="dxa"/>
          </w:tcPr>
          <w:p w14:paraId="31DD8341" w14:textId="77777777" w:rsidR="008168B7" w:rsidRPr="00F47262" w:rsidRDefault="00377AB3" w:rsidP="00377AB3">
            <w:pPr>
              <w:spacing w:before="60" w:after="60"/>
              <w:rPr>
                <w:sz w:val="20"/>
              </w:rPr>
            </w:pPr>
            <w:r w:rsidRPr="00F47262">
              <w:rPr>
                <w:sz w:val="20"/>
              </w:rPr>
              <w:t xml:space="preserve">On the MDS workstation, right-click on the </w:t>
            </w:r>
            <w:r w:rsidRPr="00F47262">
              <w:rPr>
                <w:b/>
                <w:sz w:val="20"/>
              </w:rPr>
              <w:t>MDS Toolbox</w:t>
            </w:r>
            <w:r w:rsidRPr="00F47262">
              <w:rPr>
                <w:sz w:val="20"/>
              </w:rPr>
              <w:t xml:space="preserve"> desktop shortcut icon </w:t>
            </w:r>
            <w:r w:rsidRPr="00F47262">
              <w:rPr>
                <w:noProof/>
                <w:sz w:val="20"/>
              </w:rPr>
              <w:drawing>
                <wp:inline distT="0" distB="0" distL="0" distR="0" wp14:anchorId="05E22064" wp14:editId="4F015041">
                  <wp:extent cx="276225" cy="247650"/>
                  <wp:effectExtent l="19050" t="0" r="9525" b="0"/>
                  <wp:docPr id="999"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and select </w:t>
            </w:r>
            <w:r w:rsidRPr="00F47262">
              <w:rPr>
                <w:b/>
                <w:sz w:val="20"/>
              </w:rPr>
              <w:t>Run as administrator</w:t>
            </w:r>
            <w:r w:rsidRPr="00F47262">
              <w:rPr>
                <w:sz w:val="20"/>
              </w:rPr>
              <w:t xml:space="preserve"> from the resulting pop-up menu. N</w:t>
            </w:r>
            <w:r w:rsidR="008168B7" w:rsidRPr="00F47262">
              <w:rPr>
                <w:sz w:val="20"/>
              </w:rPr>
              <w:t xml:space="preserve">avigate to the </w:t>
            </w:r>
            <w:r w:rsidR="008168B7" w:rsidRPr="00F47262">
              <w:rPr>
                <w:b/>
                <w:sz w:val="20"/>
              </w:rPr>
              <w:t>TMPR</w:t>
            </w:r>
            <w:r w:rsidR="008168B7" w:rsidRPr="00F47262">
              <w:rPr>
                <w:sz w:val="20"/>
              </w:rPr>
              <w:t xml:space="preserve"> tool.</w:t>
            </w:r>
          </w:p>
        </w:tc>
        <w:tc>
          <w:tcPr>
            <w:tcW w:w="4471" w:type="dxa"/>
          </w:tcPr>
          <w:p w14:paraId="1A012E15" w14:textId="77777777" w:rsidR="008168B7" w:rsidRPr="00F47262" w:rsidRDefault="008168B7" w:rsidP="00697B9C">
            <w:pPr>
              <w:spacing w:before="60" w:after="60"/>
              <w:rPr>
                <w:sz w:val="20"/>
              </w:rPr>
            </w:pPr>
          </w:p>
        </w:tc>
      </w:tr>
      <w:tr w:rsidR="008168B7" w:rsidRPr="00F47262" w14:paraId="0C9D3C3E" w14:textId="77777777" w:rsidTr="00F47262">
        <w:trPr>
          <w:cantSplit/>
        </w:trPr>
        <w:tc>
          <w:tcPr>
            <w:tcW w:w="738" w:type="dxa"/>
            <w:tcBorders>
              <w:bottom w:val="single" w:sz="4" w:space="0" w:color="auto"/>
            </w:tcBorders>
          </w:tcPr>
          <w:p w14:paraId="6539987F" w14:textId="77777777" w:rsidR="008168B7" w:rsidRPr="00F47262" w:rsidRDefault="008168B7" w:rsidP="006D5A65">
            <w:pPr>
              <w:pStyle w:val="Heading1"/>
            </w:pPr>
          </w:p>
        </w:tc>
        <w:tc>
          <w:tcPr>
            <w:tcW w:w="4349" w:type="dxa"/>
            <w:tcBorders>
              <w:bottom w:val="single" w:sz="4" w:space="0" w:color="auto"/>
            </w:tcBorders>
          </w:tcPr>
          <w:p w14:paraId="6D9C32D9" w14:textId="77777777" w:rsidR="008168B7" w:rsidRPr="00F47262" w:rsidRDefault="008168B7" w:rsidP="00697B9C">
            <w:pPr>
              <w:spacing w:before="60" w:after="60"/>
              <w:rPr>
                <w:sz w:val="20"/>
              </w:rPr>
            </w:pPr>
            <w:r w:rsidRPr="00F47262">
              <w:rPr>
                <w:sz w:val="20"/>
              </w:rPr>
              <w:t>Verify TMPR status: See Note</w:t>
            </w:r>
            <w:r w:rsidR="001C22D7" w:rsidRPr="00F47262">
              <w:rPr>
                <w:sz w:val="20"/>
              </w:rPr>
              <w:t xml:space="preserve"> 1.</w:t>
            </w:r>
          </w:p>
          <w:p w14:paraId="1C57B28F" w14:textId="08942DFE" w:rsidR="008168B7" w:rsidRPr="00F47262" w:rsidRDefault="008168B7" w:rsidP="006D5A65">
            <w:pPr>
              <w:pStyle w:val="Heading1"/>
            </w:pPr>
            <w:r w:rsidRPr="00F47262">
              <w:t xml:space="preserve">If </w:t>
            </w:r>
            <w:r w:rsidR="001C22D7" w:rsidRPr="00F47262">
              <w:t>St</w:t>
            </w:r>
            <w:r w:rsidRPr="00F47262">
              <w:t xml:space="preserve">atus column says: In work, problem was </w:t>
            </w:r>
            <w:r w:rsidR="00273387" w:rsidRPr="00F47262">
              <w:t>resolved,</w:t>
            </w:r>
            <w:r w:rsidRPr="00F47262">
              <w:t xml:space="preserve"> and no additional action required.</w:t>
            </w:r>
          </w:p>
          <w:p w14:paraId="6B69D803" w14:textId="77777777" w:rsidR="008168B7" w:rsidRPr="00F47262" w:rsidRDefault="008168B7" w:rsidP="006D5A65">
            <w:pPr>
              <w:pStyle w:val="Heading1"/>
            </w:pPr>
            <w:r w:rsidRPr="00F47262">
              <w:t xml:space="preserve">If </w:t>
            </w:r>
            <w:r w:rsidR="001C22D7" w:rsidRPr="00F47262">
              <w:t>St</w:t>
            </w:r>
            <w:r w:rsidRPr="00F47262">
              <w:t xml:space="preserve">atus column says: Submitted, proceed to </w:t>
            </w:r>
            <w:r w:rsidR="000B25B3" w:rsidRPr="00F47262">
              <w:t>the next step</w:t>
            </w:r>
            <w:r w:rsidRPr="00F47262">
              <w:t>.</w:t>
            </w:r>
          </w:p>
        </w:tc>
        <w:tc>
          <w:tcPr>
            <w:tcW w:w="4471" w:type="dxa"/>
            <w:tcBorders>
              <w:bottom w:val="single" w:sz="4" w:space="0" w:color="auto"/>
            </w:tcBorders>
          </w:tcPr>
          <w:p w14:paraId="5690D08B" w14:textId="77777777" w:rsidR="008168B7" w:rsidRPr="00F47262" w:rsidRDefault="008168B7" w:rsidP="00270B24">
            <w:pPr>
              <w:spacing w:before="60" w:after="60"/>
              <w:rPr>
                <w:sz w:val="20"/>
              </w:rPr>
            </w:pPr>
            <w:r w:rsidRPr="00F47262">
              <w:rPr>
                <w:b/>
                <w:i/>
                <w:sz w:val="20"/>
              </w:rPr>
              <w:t>Note</w:t>
            </w:r>
            <w:r w:rsidR="00270B24" w:rsidRPr="00F47262">
              <w:rPr>
                <w:b/>
                <w:i/>
                <w:sz w:val="20"/>
              </w:rPr>
              <w:t xml:space="preserve"> </w:t>
            </w:r>
            <w:r w:rsidRPr="00F47262">
              <w:rPr>
                <w:b/>
                <w:i/>
                <w:sz w:val="20"/>
              </w:rPr>
              <w:t>1:</w:t>
            </w:r>
            <w:r w:rsidRPr="00F47262">
              <w:rPr>
                <w:sz w:val="20"/>
              </w:rPr>
              <w:t xml:space="preserve"> Allow approx</w:t>
            </w:r>
            <w:r w:rsidR="00E4470E" w:rsidRPr="00F47262">
              <w:rPr>
                <w:sz w:val="20"/>
              </w:rPr>
              <w:t>imately</w:t>
            </w:r>
            <w:r w:rsidRPr="00F47262">
              <w:rPr>
                <w:sz w:val="20"/>
              </w:rPr>
              <w:t xml:space="preserve"> 2-4 minutes for the status to update.</w:t>
            </w:r>
          </w:p>
        </w:tc>
      </w:tr>
      <w:tr w:rsidR="00A10A0C" w:rsidRPr="00F47262" w14:paraId="74C66775" w14:textId="77777777" w:rsidTr="00F47262">
        <w:trPr>
          <w:cantSplit/>
        </w:trPr>
        <w:tc>
          <w:tcPr>
            <w:tcW w:w="9558" w:type="dxa"/>
            <w:gridSpan w:val="3"/>
            <w:shd w:val="clear" w:color="auto" w:fill="C6D9F1" w:themeFill="text2" w:themeFillTint="33"/>
          </w:tcPr>
          <w:p w14:paraId="071CBE8A" w14:textId="77777777" w:rsidR="008168B7" w:rsidRPr="00F47262" w:rsidRDefault="00270B24" w:rsidP="00270B24">
            <w:pPr>
              <w:spacing w:before="60" w:after="60"/>
              <w:rPr>
                <w:color w:val="000000" w:themeColor="text1"/>
                <w:sz w:val="20"/>
              </w:rPr>
            </w:pPr>
            <w:r w:rsidRPr="00F47262">
              <w:rPr>
                <w:b/>
                <w:i/>
                <w:color w:val="000000" w:themeColor="text1"/>
                <w:sz w:val="20"/>
              </w:rPr>
              <w:t>Verify “</w:t>
            </w:r>
            <w:r w:rsidR="008168B7" w:rsidRPr="00F47262">
              <w:rPr>
                <w:b/>
                <w:i/>
                <w:color w:val="000000" w:themeColor="text1"/>
                <w:sz w:val="20"/>
              </w:rPr>
              <w:t>Auto Generate</w:t>
            </w:r>
            <w:r w:rsidRPr="00F47262">
              <w:rPr>
                <w:b/>
                <w:i/>
                <w:color w:val="000000" w:themeColor="text1"/>
                <w:sz w:val="20"/>
              </w:rPr>
              <w:t>”</w:t>
            </w:r>
            <w:r w:rsidR="008168B7" w:rsidRPr="00F47262">
              <w:rPr>
                <w:b/>
                <w:i/>
                <w:color w:val="000000" w:themeColor="text1"/>
                <w:sz w:val="20"/>
              </w:rPr>
              <w:t xml:space="preserve"> </w:t>
            </w:r>
            <w:r w:rsidRPr="00F47262">
              <w:rPr>
                <w:b/>
                <w:i/>
                <w:color w:val="000000" w:themeColor="text1"/>
                <w:sz w:val="20"/>
              </w:rPr>
              <w:t>C</w:t>
            </w:r>
            <w:r w:rsidR="008168B7" w:rsidRPr="00F47262">
              <w:rPr>
                <w:b/>
                <w:i/>
                <w:color w:val="000000" w:themeColor="text1"/>
                <w:sz w:val="20"/>
              </w:rPr>
              <w:t>heckbox</w:t>
            </w:r>
          </w:p>
        </w:tc>
      </w:tr>
      <w:tr w:rsidR="008168B7" w:rsidRPr="00F47262" w14:paraId="1E3FDA44" w14:textId="77777777" w:rsidTr="00F47262">
        <w:trPr>
          <w:cantSplit/>
        </w:trPr>
        <w:tc>
          <w:tcPr>
            <w:tcW w:w="738" w:type="dxa"/>
          </w:tcPr>
          <w:p w14:paraId="7A7BDD99" w14:textId="77777777" w:rsidR="008168B7" w:rsidRPr="00F47262" w:rsidRDefault="008168B7" w:rsidP="006D5A65">
            <w:pPr>
              <w:pStyle w:val="Heading1"/>
            </w:pPr>
          </w:p>
        </w:tc>
        <w:tc>
          <w:tcPr>
            <w:tcW w:w="4349" w:type="dxa"/>
          </w:tcPr>
          <w:p w14:paraId="7CF13E93" w14:textId="77777777" w:rsidR="008168B7" w:rsidRPr="00F47262" w:rsidRDefault="008168B7" w:rsidP="00697B9C">
            <w:pPr>
              <w:spacing w:before="60" w:after="60"/>
              <w:rPr>
                <w:sz w:val="20"/>
              </w:rPr>
            </w:pPr>
            <w:r w:rsidRPr="00F47262">
              <w:rPr>
                <w:sz w:val="20"/>
              </w:rPr>
              <w:t>Double-click the TMPR in question to display textually.</w:t>
            </w:r>
          </w:p>
        </w:tc>
        <w:tc>
          <w:tcPr>
            <w:tcW w:w="4471" w:type="dxa"/>
          </w:tcPr>
          <w:p w14:paraId="4DFA8151" w14:textId="77777777" w:rsidR="008168B7" w:rsidRPr="00F47262" w:rsidRDefault="008168B7" w:rsidP="00697B9C">
            <w:pPr>
              <w:spacing w:before="60" w:after="60"/>
              <w:rPr>
                <w:sz w:val="20"/>
              </w:rPr>
            </w:pPr>
          </w:p>
        </w:tc>
      </w:tr>
      <w:tr w:rsidR="00270B24" w:rsidRPr="00F47262" w14:paraId="16BA98E4" w14:textId="77777777" w:rsidTr="00F47262">
        <w:trPr>
          <w:cantSplit/>
        </w:trPr>
        <w:tc>
          <w:tcPr>
            <w:tcW w:w="738" w:type="dxa"/>
          </w:tcPr>
          <w:p w14:paraId="12A53461" w14:textId="77777777" w:rsidR="00270B24" w:rsidRPr="00F47262" w:rsidRDefault="00270B24" w:rsidP="006D5A65">
            <w:pPr>
              <w:pStyle w:val="Heading1"/>
            </w:pPr>
          </w:p>
        </w:tc>
        <w:tc>
          <w:tcPr>
            <w:tcW w:w="4349" w:type="dxa"/>
          </w:tcPr>
          <w:p w14:paraId="66D72043" w14:textId="77777777" w:rsidR="00270B24" w:rsidRPr="00F47262" w:rsidRDefault="00270B24" w:rsidP="00697B9C">
            <w:pPr>
              <w:spacing w:before="60" w:after="60"/>
              <w:rPr>
                <w:sz w:val="20"/>
              </w:rPr>
            </w:pPr>
            <w:r w:rsidRPr="00F47262">
              <w:rPr>
                <w:sz w:val="20"/>
              </w:rPr>
              <w:t xml:space="preserve">View/Verify </w:t>
            </w:r>
            <w:r w:rsidRPr="00F47262">
              <w:rPr>
                <w:b/>
                <w:sz w:val="20"/>
              </w:rPr>
              <w:t>Auto Generate</w:t>
            </w:r>
            <w:r w:rsidRPr="00F47262">
              <w:rPr>
                <w:sz w:val="20"/>
              </w:rPr>
              <w:t xml:space="preserve"> checkbox.</w:t>
            </w:r>
          </w:p>
          <w:p w14:paraId="65FD9EED" w14:textId="77777777" w:rsidR="00270B24" w:rsidRPr="00F47262" w:rsidRDefault="00270B24" w:rsidP="006D5A65">
            <w:pPr>
              <w:pStyle w:val="Heading1"/>
            </w:pPr>
            <w:r w:rsidRPr="00F47262">
              <w:t xml:space="preserve">If </w:t>
            </w:r>
            <w:r w:rsidRPr="00F47262">
              <w:rPr>
                <w:u w:val="single"/>
              </w:rPr>
              <w:t>Checked</w:t>
            </w:r>
            <w:r w:rsidRPr="00F47262">
              <w:t>: Proceed to Step 14.</w:t>
            </w:r>
          </w:p>
          <w:p w14:paraId="4DC6DC37" w14:textId="77777777" w:rsidR="00270B24" w:rsidRPr="00F47262" w:rsidRDefault="00270B24" w:rsidP="006D5A65">
            <w:pPr>
              <w:pStyle w:val="Heading1"/>
            </w:pPr>
            <w:r w:rsidRPr="00F47262">
              <w:t xml:space="preserve">If </w:t>
            </w:r>
            <w:r w:rsidRPr="00F47262">
              <w:rPr>
                <w:u w:val="single"/>
              </w:rPr>
              <w:t>Unchecked</w:t>
            </w:r>
            <w:r w:rsidRPr="00F47262">
              <w:t xml:space="preserve">: Proceed to </w:t>
            </w:r>
            <w:r w:rsidR="00F23B8D" w:rsidRPr="00F47262">
              <w:t>the next step</w:t>
            </w:r>
            <w:r w:rsidRPr="00F47262">
              <w:t>.</w:t>
            </w:r>
          </w:p>
        </w:tc>
        <w:tc>
          <w:tcPr>
            <w:tcW w:w="4471" w:type="dxa"/>
          </w:tcPr>
          <w:p w14:paraId="60FAF5F5" w14:textId="4E1B9B0A" w:rsidR="00270B24" w:rsidRPr="00F47262" w:rsidRDefault="00E53E4F" w:rsidP="00CF5568">
            <w:pPr>
              <w:spacing w:before="60" w:after="60"/>
              <w:rPr>
                <w:sz w:val="20"/>
              </w:rPr>
            </w:pPr>
            <w:r w:rsidRPr="00F47262">
              <w:rPr>
                <w:noProof/>
                <w:sz w:val="20"/>
              </w:rPr>
              <w:drawing>
                <wp:inline distT="0" distB="0" distL="0" distR="0" wp14:anchorId="76DADF99" wp14:editId="45C0D7C2">
                  <wp:extent cx="2428875" cy="1057275"/>
                  <wp:effectExtent l="0" t="0" r="9525" b="9525"/>
                  <wp:docPr id="1294"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428875" cy="1057275"/>
                          </a:xfrm>
                          <a:prstGeom prst="rect">
                            <a:avLst/>
                          </a:prstGeom>
                        </pic:spPr>
                      </pic:pic>
                    </a:graphicData>
                  </a:graphic>
                </wp:inline>
              </w:drawing>
            </w:r>
          </w:p>
        </w:tc>
      </w:tr>
      <w:tr w:rsidR="00270B24" w:rsidRPr="00F47262" w14:paraId="15625CE1" w14:textId="77777777" w:rsidTr="00F47262">
        <w:trPr>
          <w:cantSplit/>
        </w:trPr>
        <w:tc>
          <w:tcPr>
            <w:tcW w:w="738" w:type="dxa"/>
          </w:tcPr>
          <w:p w14:paraId="0F8810FD" w14:textId="77777777" w:rsidR="00270B24" w:rsidRPr="00F47262" w:rsidRDefault="00270B24" w:rsidP="006D5A65">
            <w:pPr>
              <w:pStyle w:val="Heading1"/>
            </w:pPr>
          </w:p>
        </w:tc>
        <w:tc>
          <w:tcPr>
            <w:tcW w:w="4349" w:type="dxa"/>
          </w:tcPr>
          <w:p w14:paraId="72006930" w14:textId="77777777" w:rsidR="00270B24" w:rsidRPr="00F47262" w:rsidRDefault="00270B24" w:rsidP="00697B9C">
            <w:pPr>
              <w:spacing w:before="60" w:after="60"/>
              <w:rPr>
                <w:sz w:val="20"/>
              </w:rPr>
            </w:pPr>
            <w:r w:rsidRPr="00F47262">
              <w:rPr>
                <w:sz w:val="20"/>
              </w:rPr>
              <w:t xml:space="preserve">Create a new TMPR ensuring the </w:t>
            </w:r>
            <w:r w:rsidRPr="00F47262">
              <w:rPr>
                <w:b/>
                <w:sz w:val="20"/>
              </w:rPr>
              <w:t>Auto Generate</w:t>
            </w:r>
            <w:r w:rsidRPr="00F47262">
              <w:rPr>
                <w:sz w:val="20"/>
              </w:rPr>
              <w:t xml:space="preserve"> checkbox is selected.</w:t>
            </w:r>
          </w:p>
        </w:tc>
        <w:tc>
          <w:tcPr>
            <w:tcW w:w="4471" w:type="dxa"/>
          </w:tcPr>
          <w:p w14:paraId="14D047E2" w14:textId="77777777" w:rsidR="00270B24" w:rsidRPr="00F47262" w:rsidRDefault="00270B24" w:rsidP="00697B9C">
            <w:pPr>
              <w:spacing w:before="60" w:after="60"/>
              <w:rPr>
                <w:sz w:val="20"/>
              </w:rPr>
            </w:pPr>
          </w:p>
        </w:tc>
      </w:tr>
      <w:tr w:rsidR="00270B24" w:rsidRPr="00F47262" w14:paraId="7FE7ACF2" w14:textId="77777777" w:rsidTr="00F47262">
        <w:trPr>
          <w:cantSplit/>
        </w:trPr>
        <w:tc>
          <w:tcPr>
            <w:tcW w:w="738" w:type="dxa"/>
          </w:tcPr>
          <w:p w14:paraId="7991EAEB" w14:textId="77777777" w:rsidR="00270B24" w:rsidRPr="00F47262" w:rsidRDefault="00270B24" w:rsidP="006D5A65">
            <w:pPr>
              <w:pStyle w:val="Heading1"/>
            </w:pPr>
          </w:p>
        </w:tc>
        <w:tc>
          <w:tcPr>
            <w:tcW w:w="4349" w:type="dxa"/>
          </w:tcPr>
          <w:p w14:paraId="6DEE28A3" w14:textId="77777777" w:rsidR="00270B24" w:rsidRPr="00F47262" w:rsidRDefault="00270B24" w:rsidP="00697B9C">
            <w:pPr>
              <w:spacing w:before="60" w:after="60"/>
              <w:rPr>
                <w:sz w:val="20"/>
              </w:rPr>
            </w:pPr>
            <w:r w:rsidRPr="00F47262">
              <w:rPr>
                <w:sz w:val="20"/>
              </w:rPr>
              <w:t>Submit the TMPR to TPS.</w:t>
            </w:r>
          </w:p>
        </w:tc>
        <w:tc>
          <w:tcPr>
            <w:tcW w:w="4471" w:type="dxa"/>
          </w:tcPr>
          <w:p w14:paraId="6499EB60" w14:textId="77777777" w:rsidR="00270B24" w:rsidRPr="00F47262" w:rsidRDefault="00270B24" w:rsidP="00697B9C">
            <w:pPr>
              <w:spacing w:before="60" w:after="60"/>
              <w:rPr>
                <w:sz w:val="20"/>
              </w:rPr>
            </w:pPr>
          </w:p>
        </w:tc>
      </w:tr>
      <w:tr w:rsidR="00270B24" w:rsidRPr="00F47262" w14:paraId="29F9E0D9" w14:textId="77777777" w:rsidTr="00F47262">
        <w:trPr>
          <w:cantSplit/>
        </w:trPr>
        <w:tc>
          <w:tcPr>
            <w:tcW w:w="738" w:type="dxa"/>
            <w:tcBorders>
              <w:bottom w:val="single" w:sz="4" w:space="0" w:color="auto"/>
            </w:tcBorders>
          </w:tcPr>
          <w:p w14:paraId="75E2AF68" w14:textId="77777777" w:rsidR="00270B24" w:rsidRPr="00F47262" w:rsidRDefault="00270B24" w:rsidP="006D5A65">
            <w:pPr>
              <w:pStyle w:val="Heading1"/>
            </w:pPr>
          </w:p>
        </w:tc>
        <w:tc>
          <w:tcPr>
            <w:tcW w:w="4349" w:type="dxa"/>
            <w:tcBorders>
              <w:bottom w:val="single" w:sz="4" w:space="0" w:color="auto"/>
            </w:tcBorders>
          </w:tcPr>
          <w:p w14:paraId="14700D6A" w14:textId="77777777" w:rsidR="00270B24" w:rsidRPr="00F47262" w:rsidRDefault="00270B24" w:rsidP="00697B9C">
            <w:pPr>
              <w:spacing w:before="60" w:after="60"/>
              <w:rPr>
                <w:sz w:val="20"/>
              </w:rPr>
            </w:pPr>
            <w:r w:rsidRPr="00F47262">
              <w:rPr>
                <w:sz w:val="20"/>
              </w:rPr>
              <w:t>Verify TMPR status: See Note 1</w:t>
            </w:r>
            <w:r w:rsidR="001C22D7" w:rsidRPr="00F47262">
              <w:rPr>
                <w:sz w:val="20"/>
              </w:rPr>
              <w:t>.</w:t>
            </w:r>
          </w:p>
          <w:p w14:paraId="29BF4CE3" w14:textId="37B517F4" w:rsidR="00270B24" w:rsidRPr="00F47262" w:rsidRDefault="00270B24" w:rsidP="006D5A65">
            <w:pPr>
              <w:pStyle w:val="Heading1"/>
            </w:pPr>
            <w:r w:rsidRPr="00F47262">
              <w:t xml:space="preserve">If </w:t>
            </w:r>
            <w:r w:rsidR="001C22D7" w:rsidRPr="00F47262">
              <w:t>S</w:t>
            </w:r>
            <w:r w:rsidRPr="00F47262">
              <w:t xml:space="preserve">tatus column says: In work, problem was </w:t>
            </w:r>
            <w:r w:rsidR="00273387" w:rsidRPr="00F47262">
              <w:t>resolved,</w:t>
            </w:r>
            <w:r w:rsidRPr="00F47262">
              <w:t xml:space="preserve"> and no additional action required.</w:t>
            </w:r>
          </w:p>
          <w:p w14:paraId="2AF56ED7" w14:textId="77777777" w:rsidR="00270B24" w:rsidRPr="00F47262" w:rsidRDefault="00270B24" w:rsidP="006D5A65">
            <w:pPr>
              <w:pStyle w:val="Heading1"/>
            </w:pPr>
            <w:r w:rsidRPr="00F47262">
              <w:t xml:space="preserve">If </w:t>
            </w:r>
            <w:r w:rsidR="001C22D7" w:rsidRPr="00F47262">
              <w:t>S</w:t>
            </w:r>
            <w:r w:rsidRPr="00F47262">
              <w:t xml:space="preserve">tatus column says: Submitted, proceed to </w:t>
            </w:r>
            <w:r w:rsidR="000B25B3" w:rsidRPr="00F47262">
              <w:t>the next step</w:t>
            </w:r>
            <w:r w:rsidRPr="00F47262">
              <w:t>.</w:t>
            </w:r>
          </w:p>
        </w:tc>
        <w:tc>
          <w:tcPr>
            <w:tcW w:w="4471" w:type="dxa"/>
            <w:tcBorders>
              <w:bottom w:val="single" w:sz="4" w:space="0" w:color="auto"/>
            </w:tcBorders>
          </w:tcPr>
          <w:p w14:paraId="24AA07CC" w14:textId="77777777" w:rsidR="00270B24" w:rsidRPr="00F47262" w:rsidRDefault="00270B24" w:rsidP="00270B24">
            <w:pPr>
              <w:spacing w:before="60" w:after="60"/>
              <w:rPr>
                <w:sz w:val="20"/>
              </w:rPr>
            </w:pPr>
            <w:r w:rsidRPr="00F47262">
              <w:rPr>
                <w:b/>
                <w:i/>
                <w:sz w:val="20"/>
              </w:rPr>
              <w:t>Note 1:</w:t>
            </w:r>
            <w:r w:rsidRPr="00F47262">
              <w:rPr>
                <w:sz w:val="20"/>
              </w:rPr>
              <w:t xml:space="preserve"> Allow approx</w:t>
            </w:r>
            <w:r w:rsidR="00E4470E" w:rsidRPr="00F47262">
              <w:rPr>
                <w:sz w:val="20"/>
              </w:rPr>
              <w:t>imately</w:t>
            </w:r>
            <w:r w:rsidRPr="00F47262">
              <w:rPr>
                <w:sz w:val="20"/>
              </w:rPr>
              <w:t xml:space="preserve"> 2-4 minutes for the status to update.</w:t>
            </w:r>
          </w:p>
        </w:tc>
      </w:tr>
      <w:tr w:rsidR="00A10A0C" w:rsidRPr="00F47262" w14:paraId="4191D2EC" w14:textId="77777777" w:rsidTr="00F47262">
        <w:trPr>
          <w:cantSplit/>
        </w:trPr>
        <w:tc>
          <w:tcPr>
            <w:tcW w:w="9558" w:type="dxa"/>
            <w:gridSpan w:val="3"/>
            <w:shd w:val="clear" w:color="auto" w:fill="C6D9F1" w:themeFill="text2" w:themeFillTint="33"/>
          </w:tcPr>
          <w:p w14:paraId="7233A019" w14:textId="77777777" w:rsidR="00270B24" w:rsidRPr="00F47262" w:rsidRDefault="00270B24" w:rsidP="008315EB">
            <w:pPr>
              <w:keepNext/>
              <w:spacing w:before="60" w:after="60"/>
              <w:rPr>
                <w:color w:val="000000" w:themeColor="text1"/>
                <w:sz w:val="20"/>
              </w:rPr>
            </w:pPr>
            <w:r w:rsidRPr="00F47262">
              <w:rPr>
                <w:b/>
                <w:i/>
                <w:color w:val="000000" w:themeColor="text1"/>
                <w:sz w:val="20"/>
              </w:rPr>
              <w:t xml:space="preserve">Verify TPS </w:t>
            </w:r>
            <w:r w:rsidR="008315EB" w:rsidRPr="00F47262">
              <w:rPr>
                <w:b/>
                <w:i/>
                <w:color w:val="000000" w:themeColor="text1"/>
                <w:sz w:val="20"/>
              </w:rPr>
              <w:t>Site Code</w:t>
            </w:r>
          </w:p>
        </w:tc>
      </w:tr>
      <w:tr w:rsidR="00270B24" w:rsidRPr="00F47262" w14:paraId="7FCFC8E3" w14:textId="77777777" w:rsidTr="00F47262">
        <w:trPr>
          <w:cantSplit/>
        </w:trPr>
        <w:tc>
          <w:tcPr>
            <w:tcW w:w="738" w:type="dxa"/>
          </w:tcPr>
          <w:p w14:paraId="12557AAF" w14:textId="77777777" w:rsidR="00270B24" w:rsidRPr="00F47262" w:rsidRDefault="00270B24" w:rsidP="006D5A65">
            <w:pPr>
              <w:pStyle w:val="Heading1"/>
            </w:pPr>
          </w:p>
        </w:tc>
        <w:tc>
          <w:tcPr>
            <w:tcW w:w="4349" w:type="dxa"/>
          </w:tcPr>
          <w:p w14:paraId="745041F8" w14:textId="77777777" w:rsidR="00270B24" w:rsidRPr="00F47262" w:rsidRDefault="00270B24" w:rsidP="00697B9C">
            <w:pPr>
              <w:spacing w:before="60" w:after="60"/>
              <w:rPr>
                <w:sz w:val="20"/>
              </w:rPr>
            </w:pPr>
            <w:r w:rsidRPr="00F47262">
              <w:rPr>
                <w:sz w:val="20"/>
              </w:rPr>
              <w:t xml:space="preserve">Within MDS application, navigate to the </w:t>
            </w:r>
            <w:r w:rsidRPr="00F47262">
              <w:rPr>
                <w:b/>
                <w:sz w:val="20"/>
              </w:rPr>
              <w:t>Nodes</w:t>
            </w:r>
            <w:r w:rsidRPr="00F47262">
              <w:rPr>
                <w:sz w:val="20"/>
              </w:rPr>
              <w:t xml:space="preserve"> tool.</w:t>
            </w:r>
          </w:p>
        </w:tc>
        <w:tc>
          <w:tcPr>
            <w:tcW w:w="4471" w:type="dxa"/>
          </w:tcPr>
          <w:p w14:paraId="45FFC25A" w14:textId="77777777" w:rsidR="00270B24" w:rsidRPr="00F47262" w:rsidRDefault="00270B24" w:rsidP="00697B9C">
            <w:pPr>
              <w:spacing w:before="60" w:after="60"/>
              <w:rPr>
                <w:sz w:val="20"/>
              </w:rPr>
            </w:pPr>
          </w:p>
        </w:tc>
      </w:tr>
      <w:tr w:rsidR="00270B24" w:rsidRPr="00F47262" w14:paraId="1F6EDE0F" w14:textId="77777777" w:rsidTr="00F47262">
        <w:trPr>
          <w:cantSplit/>
        </w:trPr>
        <w:tc>
          <w:tcPr>
            <w:tcW w:w="738" w:type="dxa"/>
          </w:tcPr>
          <w:p w14:paraId="615AB6A2" w14:textId="77777777" w:rsidR="00270B24" w:rsidRPr="00F47262" w:rsidRDefault="00270B24" w:rsidP="006D5A65">
            <w:pPr>
              <w:pStyle w:val="Heading1"/>
            </w:pPr>
          </w:p>
        </w:tc>
        <w:tc>
          <w:tcPr>
            <w:tcW w:w="4349" w:type="dxa"/>
          </w:tcPr>
          <w:p w14:paraId="701D3C97" w14:textId="77777777" w:rsidR="00270B24" w:rsidRPr="00F47262" w:rsidRDefault="00270B24" w:rsidP="00697B9C">
            <w:pPr>
              <w:spacing w:before="60" w:after="60"/>
              <w:rPr>
                <w:sz w:val="20"/>
              </w:rPr>
            </w:pPr>
            <w:r w:rsidRPr="00F47262">
              <w:rPr>
                <w:sz w:val="20"/>
              </w:rPr>
              <w:t>Display Own Node textually.</w:t>
            </w:r>
          </w:p>
        </w:tc>
        <w:tc>
          <w:tcPr>
            <w:tcW w:w="4471" w:type="dxa"/>
          </w:tcPr>
          <w:p w14:paraId="2CAA6198" w14:textId="77777777" w:rsidR="00270B24" w:rsidRPr="00F47262" w:rsidRDefault="00270B24" w:rsidP="00697B9C">
            <w:pPr>
              <w:spacing w:before="60" w:after="60"/>
              <w:rPr>
                <w:sz w:val="20"/>
              </w:rPr>
            </w:pPr>
          </w:p>
        </w:tc>
      </w:tr>
      <w:tr w:rsidR="00270B24" w:rsidRPr="00F47262" w14:paraId="272A37EA" w14:textId="77777777" w:rsidTr="00F47262">
        <w:trPr>
          <w:cantSplit/>
        </w:trPr>
        <w:tc>
          <w:tcPr>
            <w:tcW w:w="738" w:type="dxa"/>
          </w:tcPr>
          <w:p w14:paraId="7B49B71E" w14:textId="77777777" w:rsidR="00270B24" w:rsidRPr="00F47262" w:rsidRDefault="00270B24" w:rsidP="006D5A65">
            <w:pPr>
              <w:pStyle w:val="Heading1"/>
            </w:pPr>
          </w:p>
        </w:tc>
        <w:tc>
          <w:tcPr>
            <w:tcW w:w="4349" w:type="dxa"/>
          </w:tcPr>
          <w:p w14:paraId="5602F9A6" w14:textId="77777777" w:rsidR="00270B24" w:rsidRPr="00F47262" w:rsidRDefault="00270B24" w:rsidP="00697B9C">
            <w:pPr>
              <w:spacing w:before="60" w:after="60"/>
              <w:rPr>
                <w:sz w:val="20"/>
              </w:rPr>
            </w:pPr>
            <w:r w:rsidRPr="00F47262">
              <w:rPr>
                <w:sz w:val="20"/>
              </w:rPr>
              <w:t xml:space="preserve">View/Verify </w:t>
            </w:r>
            <w:r w:rsidRPr="00F47262">
              <w:rPr>
                <w:b/>
                <w:sz w:val="20"/>
              </w:rPr>
              <w:t xml:space="preserve">TPS </w:t>
            </w:r>
            <w:r w:rsidR="008315EB" w:rsidRPr="00F47262">
              <w:rPr>
                <w:b/>
                <w:sz w:val="20"/>
              </w:rPr>
              <w:t>Site Code</w:t>
            </w:r>
            <w:r w:rsidRPr="00F47262">
              <w:rPr>
                <w:sz w:val="20"/>
              </w:rPr>
              <w:t>.</w:t>
            </w:r>
          </w:p>
          <w:p w14:paraId="4B3049F8" w14:textId="77777777" w:rsidR="00270B24" w:rsidRPr="00F47262" w:rsidRDefault="00270B24" w:rsidP="006D5A65">
            <w:pPr>
              <w:pStyle w:val="Heading1"/>
            </w:pPr>
            <w:r w:rsidRPr="00F47262">
              <w:t xml:space="preserve">If </w:t>
            </w:r>
            <w:r w:rsidR="00483A3E" w:rsidRPr="00F47262">
              <w:rPr>
                <w:u w:val="single"/>
              </w:rPr>
              <w:t>B</w:t>
            </w:r>
            <w:r w:rsidR="008315EB" w:rsidRPr="00F47262">
              <w:rPr>
                <w:u w:val="single"/>
              </w:rPr>
              <w:t>lank</w:t>
            </w:r>
            <w:r w:rsidRPr="00F47262">
              <w:t>: Proceed to Step 20.</w:t>
            </w:r>
          </w:p>
          <w:p w14:paraId="169281D1" w14:textId="77777777" w:rsidR="00270B24" w:rsidRPr="00F47262" w:rsidRDefault="00270B24" w:rsidP="006D5A65">
            <w:pPr>
              <w:pStyle w:val="Heading1"/>
            </w:pPr>
            <w:r w:rsidRPr="00F47262">
              <w:t xml:space="preserve">If </w:t>
            </w:r>
            <w:r w:rsidR="00483A3E" w:rsidRPr="00F47262">
              <w:rPr>
                <w:u w:val="single"/>
              </w:rPr>
              <w:t>N</w:t>
            </w:r>
            <w:r w:rsidR="008315EB" w:rsidRPr="00F47262">
              <w:rPr>
                <w:u w:val="single"/>
              </w:rPr>
              <w:t xml:space="preserve">ot </w:t>
            </w:r>
            <w:r w:rsidR="00483A3E" w:rsidRPr="00F47262">
              <w:rPr>
                <w:u w:val="single"/>
              </w:rPr>
              <w:t>B</w:t>
            </w:r>
            <w:r w:rsidR="008315EB" w:rsidRPr="00F47262">
              <w:rPr>
                <w:u w:val="single"/>
              </w:rPr>
              <w:t>lank</w:t>
            </w:r>
            <w:r w:rsidRPr="00F47262">
              <w:t xml:space="preserve">: Proceed to </w:t>
            </w:r>
            <w:r w:rsidR="000B25B3" w:rsidRPr="00F47262">
              <w:t>the next step</w:t>
            </w:r>
            <w:r w:rsidRPr="00F47262">
              <w:t>.</w:t>
            </w:r>
          </w:p>
        </w:tc>
        <w:tc>
          <w:tcPr>
            <w:tcW w:w="4471" w:type="dxa"/>
          </w:tcPr>
          <w:p w14:paraId="0D8AF6C9" w14:textId="77777777" w:rsidR="00270B24" w:rsidRPr="00F47262" w:rsidRDefault="0025796D" w:rsidP="00CF5568">
            <w:pPr>
              <w:spacing w:before="60" w:after="60"/>
              <w:rPr>
                <w:sz w:val="20"/>
              </w:rPr>
            </w:pPr>
            <w:r w:rsidRPr="00F47262">
              <w:rPr>
                <w:sz w:val="20"/>
              </w:rPr>
              <w:object w:dxaOrig="5850" w:dyaOrig="3660" w14:anchorId="7C1FC6F5">
                <v:shape id="_x0000_i1039" type="#_x0000_t75" style="width:210pt;height:91.5pt" o:ole="">
                  <v:imagedata cropbottom="20525f"/>
                </v:shape>
                <o:OLEObject Type="Embed" ProgID="PBrush" ShapeID="_x0000_i1039" DrawAspect="Content" ObjectID="_1846146722" r:id="rId53"/>
              </w:object>
            </w:r>
          </w:p>
        </w:tc>
      </w:tr>
      <w:tr w:rsidR="00270B24" w:rsidRPr="00F47262" w14:paraId="5ADC48E9" w14:textId="77777777" w:rsidTr="00F47262">
        <w:trPr>
          <w:cantSplit/>
        </w:trPr>
        <w:tc>
          <w:tcPr>
            <w:tcW w:w="738" w:type="dxa"/>
          </w:tcPr>
          <w:p w14:paraId="19AFDD02" w14:textId="77777777" w:rsidR="00270B24" w:rsidRPr="00F47262" w:rsidRDefault="00270B24" w:rsidP="006D5A65">
            <w:pPr>
              <w:pStyle w:val="Heading1"/>
            </w:pPr>
          </w:p>
        </w:tc>
        <w:tc>
          <w:tcPr>
            <w:tcW w:w="4349" w:type="dxa"/>
          </w:tcPr>
          <w:p w14:paraId="0ABE56C5" w14:textId="77777777" w:rsidR="00270B24" w:rsidRPr="00F47262" w:rsidRDefault="00270B24" w:rsidP="00697B9C">
            <w:pPr>
              <w:spacing w:before="60" w:after="60"/>
              <w:rPr>
                <w:sz w:val="20"/>
              </w:rPr>
            </w:pPr>
            <w:r w:rsidRPr="00F47262">
              <w:rPr>
                <w:sz w:val="20"/>
              </w:rPr>
              <w:t xml:space="preserve">Create a new TMPR ensuring the </w:t>
            </w:r>
            <w:r w:rsidRPr="00F47262">
              <w:rPr>
                <w:b/>
                <w:sz w:val="20"/>
              </w:rPr>
              <w:t>Auto Generate</w:t>
            </w:r>
            <w:r w:rsidRPr="00F47262">
              <w:rPr>
                <w:sz w:val="20"/>
              </w:rPr>
              <w:t xml:space="preserve"> checkbox is selected.</w:t>
            </w:r>
          </w:p>
        </w:tc>
        <w:tc>
          <w:tcPr>
            <w:tcW w:w="4471" w:type="dxa"/>
          </w:tcPr>
          <w:p w14:paraId="43136A28" w14:textId="77777777" w:rsidR="00270B24" w:rsidRPr="00F47262" w:rsidRDefault="00270B24" w:rsidP="00697B9C">
            <w:pPr>
              <w:spacing w:before="60" w:after="60"/>
              <w:rPr>
                <w:sz w:val="20"/>
              </w:rPr>
            </w:pPr>
          </w:p>
        </w:tc>
      </w:tr>
      <w:tr w:rsidR="00270B24" w:rsidRPr="00F47262" w14:paraId="51924A48" w14:textId="77777777" w:rsidTr="00F47262">
        <w:trPr>
          <w:cantSplit/>
        </w:trPr>
        <w:tc>
          <w:tcPr>
            <w:tcW w:w="738" w:type="dxa"/>
          </w:tcPr>
          <w:p w14:paraId="4FE5FE51" w14:textId="77777777" w:rsidR="00270B24" w:rsidRPr="00F47262" w:rsidRDefault="00270B24" w:rsidP="006D5A65">
            <w:pPr>
              <w:pStyle w:val="Heading1"/>
            </w:pPr>
          </w:p>
        </w:tc>
        <w:tc>
          <w:tcPr>
            <w:tcW w:w="4349" w:type="dxa"/>
          </w:tcPr>
          <w:p w14:paraId="455A43F0" w14:textId="77777777" w:rsidR="00270B24" w:rsidRPr="00F47262" w:rsidRDefault="00270B24" w:rsidP="00697B9C">
            <w:pPr>
              <w:spacing w:before="60" w:after="60"/>
              <w:rPr>
                <w:sz w:val="20"/>
              </w:rPr>
            </w:pPr>
            <w:r w:rsidRPr="00F47262">
              <w:rPr>
                <w:sz w:val="20"/>
              </w:rPr>
              <w:t>Submit the TMPR to TPS.</w:t>
            </w:r>
          </w:p>
        </w:tc>
        <w:tc>
          <w:tcPr>
            <w:tcW w:w="4471" w:type="dxa"/>
          </w:tcPr>
          <w:p w14:paraId="32ED3836" w14:textId="77777777" w:rsidR="00270B24" w:rsidRPr="00F47262" w:rsidRDefault="00270B24" w:rsidP="00697B9C">
            <w:pPr>
              <w:spacing w:before="60" w:after="60"/>
              <w:rPr>
                <w:sz w:val="20"/>
              </w:rPr>
            </w:pPr>
          </w:p>
        </w:tc>
      </w:tr>
      <w:tr w:rsidR="00270B24" w:rsidRPr="00F47262" w14:paraId="2E78865F" w14:textId="77777777" w:rsidTr="00F47262">
        <w:trPr>
          <w:cantSplit/>
        </w:trPr>
        <w:tc>
          <w:tcPr>
            <w:tcW w:w="738" w:type="dxa"/>
            <w:tcBorders>
              <w:bottom w:val="single" w:sz="4" w:space="0" w:color="auto"/>
            </w:tcBorders>
          </w:tcPr>
          <w:p w14:paraId="74387DC0" w14:textId="77777777" w:rsidR="00270B24" w:rsidRPr="00F47262" w:rsidRDefault="00270B24" w:rsidP="006D5A65">
            <w:pPr>
              <w:pStyle w:val="Heading1"/>
            </w:pPr>
          </w:p>
        </w:tc>
        <w:tc>
          <w:tcPr>
            <w:tcW w:w="4349" w:type="dxa"/>
            <w:tcBorders>
              <w:bottom w:val="single" w:sz="4" w:space="0" w:color="auto"/>
            </w:tcBorders>
          </w:tcPr>
          <w:p w14:paraId="363D2789" w14:textId="77777777" w:rsidR="00270B24" w:rsidRPr="00F47262" w:rsidRDefault="00270B24" w:rsidP="00697B9C">
            <w:pPr>
              <w:spacing w:before="60" w:after="60"/>
              <w:rPr>
                <w:sz w:val="20"/>
              </w:rPr>
            </w:pPr>
            <w:r w:rsidRPr="00F47262">
              <w:rPr>
                <w:sz w:val="20"/>
              </w:rPr>
              <w:t>Verify TMPR status: See Note 1</w:t>
            </w:r>
            <w:r w:rsidR="001C22D7" w:rsidRPr="00F47262">
              <w:rPr>
                <w:sz w:val="20"/>
              </w:rPr>
              <w:t>.</w:t>
            </w:r>
          </w:p>
          <w:p w14:paraId="6322851D" w14:textId="3964CBB3" w:rsidR="00270B24" w:rsidRPr="00F47262" w:rsidRDefault="00270B24" w:rsidP="006D5A65">
            <w:pPr>
              <w:pStyle w:val="Heading1"/>
            </w:pPr>
            <w:r w:rsidRPr="00F47262">
              <w:t xml:space="preserve">If </w:t>
            </w:r>
            <w:r w:rsidR="001C22D7" w:rsidRPr="00F47262">
              <w:t>S</w:t>
            </w:r>
            <w:r w:rsidRPr="00F47262">
              <w:t xml:space="preserve">tatus column says: In work, problem was </w:t>
            </w:r>
            <w:r w:rsidR="00273387" w:rsidRPr="00F47262">
              <w:t>resolved,</w:t>
            </w:r>
            <w:r w:rsidRPr="00F47262">
              <w:t xml:space="preserve"> and no additional action required.</w:t>
            </w:r>
          </w:p>
          <w:p w14:paraId="3E599B47" w14:textId="77777777" w:rsidR="00270B24" w:rsidRPr="00F47262" w:rsidRDefault="00270B24" w:rsidP="006D5A65">
            <w:pPr>
              <w:pStyle w:val="Heading1"/>
            </w:pPr>
            <w:r w:rsidRPr="00F47262">
              <w:t xml:space="preserve">If </w:t>
            </w:r>
            <w:r w:rsidR="001C22D7" w:rsidRPr="00F47262">
              <w:t>S</w:t>
            </w:r>
            <w:r w:rsidRPr="00F47262">
              <w:t xml:space="preserve">tatus column says: Submitted, proceed to </w:t>
            </w:r>
            <w:r w:rsidR="000B25B3" w:rsidRPr="00F47262">
              <w:t>the next step</w:t>
            </w:r>
            <w:r w:rsidRPr="00F47262">
              <w:t>.</w:t>
            </w:r>
          </w:p>
        </w:tc>
        <w:tc>
          <w:tcPr>
            <w:tcW w:w="4471" w:type="dxa"/>
            <w:tcBorders>
              <w:bottom w:val="single" w:sz="4" w:space="0" w:color="auto"/>
            </w:tcBorders>
          </w:tcPr>
          <w:p w14:paraId="0EA6C24C" w14:textId="77777777" w:rsidR="00270B24" w:rsidRPr="00F47262" w:rsidRDefault="00270B24" w:rsidP="00270B24">
            <w:pPr>
              <w:spacing w:before="60" w:after="60"/>
              <w:rPr>
                <w:sz w:val="20"/>
              </w:rPr>
            </w:pPr>
            <w:r w:rsidRPr="00F47262">
              <w:rPr>
                <w:b/>
                <w:i/>
                <w:sz w:val="20"/>
              </w:rPr>
              <w:t>Note 1:</w:t>
            </w:r>
            <w:r w:rsidRPr="00F47262">
              <w:rPr>
                <w:sz w:val="20"/>
              </w:rPr>
              <w:t xml:space="preserve"> Allow approx</w:t>
            </w:r>
            <w:r w:rsidR="00E4470E" w:rsidRPr="00F47262">
              <w:rPr>
                <w:sz w:val="20"/>
              </w:rPr>
              <w:t>imately</w:t>
            </w:r>
            <w:r w:rsidRPr="00F47262">
              <w:rPr>
                <w:sz w:val="20"/>
              </w:rPr>
              <w:t xml:space="preserve"> 2-4 minutes for the status to update.</w:t>
            </w:r>
          </w:p>
        </w:tc>
      </w:tr>
      <w:tr w:rsidR="00A10A0C" w:rsidRPr="00F47262" w14:paraId="69B08EC8" w14:textId="77777777" w:rsidTr="00F47262">
        <w:trPr>
          <w:cantSplit/>
        </w:trPr>
        <w:tc>
          <w:tcPr>
            <w:tcW w:w="9558" w:type="dxa"/>
            <w:gridSpan w:val="3"/>
            <w:shd w:val="clear" w:color="auto" w:fill="C6D9F1" w:themeFill="text2" w:themeFillTint="33"/>
          </w:tcPr>
          <w:p w14:paraId="60C7BD28" w14:textId="77777777" w:rsidR="00270B24" w:rsidRPr="00F47262" w:rsidRDefault="00270B24" w:rsidP="00867F79">
            <w:pPr>
              <w:keepNext/>
              <w:spacing w:before="60" w:after="60"/>
              <w:rPr>
                <w:b/>
                <w:i/>
                <w:color w:val="000000" w:themeColor="text1"/>
                <w:sz w:val="20"/>
              </w:rPr>
            </w:pPr>
            <w:r w:rsidRPr="00F47262">
              <w:rPr>
                <w:b/>
                <w:i/>
                <w:color w:val="000000" w:themeColor="text1"/>
                <w:sz w:val="20"/>
              </w:rPr>
              <w:t>Verify tpsadm Account Lockout/Disabled</w:t>
            </w:r>
          </w:p>
        </w:tc>
      </w:tr>
      <w:tr w:rsidR="00270B24" w:rsidRPr="00F47262" w14:paraId="5351BD4E" w14:textId="77777777" w:rsidTr="00F47262">
        <w:trPr>
          <w:cantSplit/>
        </w:trPr>
        <w:tc>
          <w:tcPr>
            <w:tcW w:w="738" w:type="dxa"/>
            <w:tcBorders>
              <w:bottom w:val="single" w:sz="4" w:space="0" w:color="auto"/>
            </w:tcBorders>
          </w:tcPr>
          <w:p w14:paraId="35627409" w14:textId="77777777" w:rsidR="00270B24" w:rsidRPr="00F47262" w:rsidRDefault="00270B24" w:rsidP="006D5A65">
            <w:pPr>
              <w:pStyle w:val="Heading1"/>
            </w:pPr>
          </w:p>
        </w:tc>
        <w:tc>
          <w:tcPr>
            <w:tcW w:w="4349" w:type="dxa"/>
            <w:tcBorders>
              <w:bottom w:val="single" w:sz="4" w:space="0" w:color="auto"/>
            </w:tcBorders>
          </w:tcPr>
          <w:p w14:paraId="1D0A4DE5" w14:textId="77777777" w:rsidR="00270B24" w:rsidRPr="00F47262" w:rsidRDefault="0027579C" w:rsidP="0027579C">
            <w:pPr>
              <w:spacing w:before="60" w:after="60"/>
              <w:rPr>
                <w:sz w:val="20"/>
              </w:rPr>
            </w:pPr>
            <w:r w:rsidRPr="00F47262">
              <w:rPr>
                <w:sz w:val="20"/>
              </w:rPr>
              <w:t xml:space="preserve">Right-click the </w:t>
            </w:r>
            <w:r w:rsidRPr="00F47262">
              <w:rPr>
                <w:noProof/>
                <w:sz w:val="20"/>
              </w:rPr>
              <w:drawing>
                <wp:inline distT="0" distB="0" distL="0" distR="0" wp14:anchorId="6A209BD7" wp14:editId="00076FA2">
                  <wp:extent cx="182880" cy="178068"/>
                  <wp:effectExtent l="0" t="0" r="7620" b="0"/>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Computer Management</w:t>
            </w:r>
            <w:r w:rsidRPr="00F47262">
              <w:rPr>
                <w:sz w:val="20"/>
              </w:rPr>
              <w:t xml:space="preserve"> from the pop-up menu. </w:t>
            </w:r>
          </w:p>
        </w:tc>
        <w:tc>
          <w:tcPr>
            <w:tcW w:w="4471" w:type="dxa"/>
            <w:tcBorders>
              <w:bottom w:val="single" w:sz="4" w:space="0" w:color="auto"/>
            </w:tcBorders>
          </w:tcPr>
          <w:p w14:paraId="2F5B0EC1" w14:textId="77777777" w:rsidR="00270B24" w:rsidRPr="00F47262" w:rsidRDefault="00270B24" w:rsidP="00697B9C">
            <w:pPr>
              <w:spacing w:before="60" w:after="60"/>
              <w:rPr>
                <w:sz w:val="20"/>
              </w:rPr>
            </w:pPr>
          </w:p>
        </w:tc>
      </w:tr>
      <w:tr w:rsidR="00270B24" w:rsidRPr="00F47262" w14:paraId="57300DFC" w14:textId="77777777" w:rsidTr="00F47262">
        <w:trPr>
          <w:cantSplit/>
        </w:trPr>
        <w:tc>
          <w:tcPr>
            <w:tcW w:w="738" w:type="dxa"/>
            <w:tcBorders>
              <w:bottom w:val="single" w:sz="4" w:space="0" w:color="auto"/>
            </w:tcBorders>
          </w:tcPr>
          <w:p w14:paraId="01D84636" w14:textId="77777777" w:rsidR="00270B24" w:rsidRPr="00F47262" w:rsidRDefault="00270B24" w:rsidP="006D5A65">
            <w:pPr>
              <w:pStyle w:val="Heading1"/>
            </w:pPr>
          </w:p>
        </w:tc>
        <w:tc>
          <w:tcPr>
            <w:tcW w:w="4349" w:type="dxa"/>
            <w:tcBorders>
              <w:bottom w:val="single" w:sz="4" w:space="0" w:color="auto"/>
            </w:tcBorders>
          </w:tcPr>
          <w:p w14:paraId="610A362B" w14:textId="77777777" w:rsidR="00270B24" w:rsidRPr="00F47262" w:rsidRDefault="00270B24" w:rsidP="00697B9C">
            <w:pPr>
              <w:spacing w:before="60" w:after="60"/>
              <w:rPr>
                <w:sz w:val="20"/>
              </w:rPr>
            </w:pPr>
            <w:r w:rsidRPr="00F47262">
              <w:rPr>
                <w:sz w:val="20"/>
              </w:rPr>
              <w:t xml:space="preserve">Click the </w:t>
            </w:r>
            <w:r w:rsidRPr="00F47262">
              <w:rPr>
                <w:b/>
                <w:sz w:val="20"/>
              </w:rPr>
              <w:t>Yes</w:t>
            </w:r>
            <w:r w:rsidRPr="00F47262">
              <w:rPr>
                <w:sz w:val="20"/>
              </w:rPr>
              <w:t xml:space="preserve"> button to acknowledge the </w:t>
            </w:r>
            <w:r w:rsidRPr="00F47262">
              <w:rPr>
                <w:i/>
                <w:sz w:val="20"/>
              </w:rPr>
              <w:t xml:space="preserve">User Account Control </w:t>
            </w:r>
            <w:r w:rsidRPr="00F47262">
              <w:rPr>
                <w:sz w:val="20"/>
              </w:rPr>
              <w:t>window</w:t>
            </w:r>
            <w:r w:rsidR="00377AB3" w:rsidRPr="00F47262">
              <w:rPr>
                <w:sz w:val="20"/>
              </w:rPr>
              <w:t xml:space="preserve"> if displayed</w:t>
            </w:r>
            <w:r w:rsidRPr="00F47262">
              <w:rPr>
                <w:sz w:val="20"/>
              </w:rPr>
              <w:t>.</w:t>
            </w:r>
          </w:p>
        </w:tc>
        <w:tc>
          <w:tcPr>
            <w:tcW w:w="4471" w:type="dxa"/>
            <w:tcBorders>
              <w:bottom w:val="single" w:sz="4" w:space="0" w:color="auto"/>
            </w:tcBorders>
          </w:tcPr>
          <w:p w14:paraId="5FCD046F" w14:textId="77777777" w:rsidR="00270B24" w:rsidRPr="00F47262" w:rsidRDefault="00270B24" w:rsidP="00697B9C">
            <w:pPr>
              <w:spacing w:before="60" w:after="60"/>
              <w:rPr>
                <w:sz w:val="20"/>
              </w:rPr>
            </w:pPr>
          </w:p>
        </w:tc>
      </w:tr>
      <w:tr w:rsidR="00270B24" w:rsidRPr="00F47262" w14:paraId="70671BD8" w14:textId="77777777" w:rsidTr="00F47262">
        <w:trPr>
          <w:cantSplit/>
        </w:trPr>
        <w:tc>
          <w:tcPr>
            <w:tcW w:w="738" w:type="dxa"/>
            <w:tcBorders>
              <w:bottom w:val="single" w:sz="4" w:space="0" w:color="auto"/>
            </w:tcBorders>
          </w:tcPr>
          <w:p w14:paraId="69955975" w14:textId="77777777" w:rsidR="00270B24" w:rsidRPr="00F47262" w:rsidRDefault="00270B24" w:rsidP="006D5A65">
            <w:pPr>
              <w:pStyle w:val="Heading1"/>
            </w:pPr>
          </w:p>
        </w:tc>
        <w:tc>
          <w:tcPr>
            <w:tcW w:w="4349" w:type="dxa"/>
            <w:tcBorders>
              <w:bottom w:val="single" w:sz="4" w:space="0" w:color="auto"/>
            </w:tcBorders>
          </w:tcPr>
          <w:p w14:paraId="2195C056" w14:textId="77777777" w:rsidR="00270B24" w:rsidRPr="00F47262" w:rsidRDefault="0027579C" w:rsidP="0027579C">
            <w:pPr>
              <w:spacing w:before="60" w:after="60"/>
              <w:rPr>
                <w:sz w:val="20"/>
              </w:rPr>
            </w:pPr>
            <w:r w:rsidRPr="00F47262">
              <w:rPr>
                <w:sz w:val="20"/>
              </w:rPr>
              <w:t xml:space="preserve">From the </w:t>
            </w:r>
            <w:r w:rsidRPr="00F47262">
              <w:rPr>
                <w:i/>
                <w:sz w:val="20"/>
              </w:rPr>
              <w:t>Computer Management</w:t>
            </w:r>
            <w:r w:rsidRPr="00F47262">
              <w:rPr>
                <w:sz w:val="20"/>
              </w:rPr>
              <w:t xml:space="preserve"> left panel, expand </w:t>
            </w:r>
            <w:r w:rsidRPr="00F47262">
              <w:rPr>
                <w:b/>
                <w:sz w:val="20"/>
              </w:rPr>
              <w:t>System Tools</w:t>
            </w:r>
            <w:r w:rsidR="00270B24" w:rsidRPr="00F47262">
              <w:rPr>
                <w:sz w:val="20"/>
              </w:rPr>
              <w:t xml:space="preserve"> </w:t>
            </w:r>
            <w:r w:rsidRPr="00F47262">
              <w:rPr>
                <w:b/>
                <w:sz w:val="20"/>
              </w:rPr>
              <w:sym w:font="Wingdings" w:char="F0E0"/>
            </w:r>
            <w:r w:rsidRPr="00F47262">
              <w:rPr>
                <w:b/>
                <w:sz w:val="20"/>
              </w:rPr>
              <w:t xml:space="preserve"> </w:t>
            </w:r>
            <w:r w:rsidR="00270B24" w:rsidRPr="00F47262">
              <w:rPr>
                <w:b/>
                <w:sz w:val="20"/>
              </w:rPr>
              <w:t>Local Users and Group</w:t>
            </w:r>
            <w:r w:rsidRPr="00F47262">
              <w:rPr>
                <w:b/>
                <w:sz w:val="20"/>
              </w:rPr>
              <w:t>s</w:t>
            </w:r>
            <w:r w:rsidR="00270B24" w:rsidRPr="00F47262">
              <w:rPr>
                <w:sz w:val="20"/>
              </w:rPr>
              <w:t>.</w:t>
            </w:r>
          </w:p>
        </w:tc>
        <w:tc>
          <w:tcPr>
            <w:tcW w:w="4471" w:type="dxa"/>
            <w:tcBorders>
              <w:bottom w:val="single" w:sz="4" w:space="0" w:color="auto"/>
            </w:tcBorders>
          </w:tcPr>
          <w:p w14:paraId="09006D20" w14:textId="77777777" w:rsidR="00270B24" w:rsidRPr="00F47262" w:rsidRDefault="00270B24" w:rsidP="00697B9C">
            <w:pPr>
              <w:spacing w:before="60" w:after="60"/>
              <w:rPr>
                <w:sz w:val="20"/>
              </w:rPr>
            </w:pPr>
          </w:p>
        </w:tc>
      </w:tr>
      <w:tr w:rsidR="00270B24" w:rsidRPr="00F47262" w14:paraId="2ADB8260" w14:textId="77777777" w:rsidTr="00F47262">
        <w:trPr>
          <w:cantSplit/>
        </w:trPr>
        <w:tc>
          <w:tcPr>
            <w:tcW w:w="738" w:type="dxa"/>
            <w:tcBorders>
              <w:bottom w:val="single" w:sz="4" w:space="0" w:color="auto"/>
            </w:tcBorders>
          </w:tcPr>
          <w:p w14:paraId="3EA428A7" w14:textId="77777777" w:rsidR="00270B24" w:rsidRPr="00F47262" w:rsidRDefault="00270B24" w:rsidP="006D5A65">
            <w:pPr>
              <w:pStyle w:val="Heading1"/>
            </w:pPr>
          </w:p>
        </w:tc>
        <w:tc>
          <w:tcPr>
            <w:tcW w:w="4349" w:type="dxa"/>
            <w:tcBorders>
              <w:bottom w:val="single" w:sz="4" w:space="0" w:color="auto"/>
            </w:tcBorders>
          </w:tcPr>
          <w:p w14:paraId="3AB859D2" w14:textId="77777777" w:rsidR="00270B24" w:rsidRPr="00F47262" w:rsidRDefault="00270B24" w:rsidP="00697B9C">
            <w:pPr>
              <w:spacing w:before="60" w:after="60"/>
              <w:rPr>
                <w:sz w:val="20"/>
              </w:rPr>
            </w:pPr>
            <w:r w:rsidRPr="00F47262">
              <w:rPr>
                <w:sz w:val="20"/>
              </w:rPr>
              <w:t xml:space="preserve">Select the </w:t>
            </w:r>
            <w:r w:rsidRPr="00F47262">
              <w:rPr>
                <w:b/>
                <w:sz w:val="20"/>
              </w:rPr>
              <w:t>Users</w:t>
            </w:r>
            <w:r w:rsidRPr="00F47262">
              <w:rPr>
                <w:sz w:val="20"/>
              </w:rPr>
              <w:t xml:space="preserve"> folder.</w:t>
            </w:r>
          </w:p>
        </w:tc>
        <w:tc>
          <w:tcPr>
            <w:tcW w:w="4471" w:type="dxa"/>
            <w:tcBorders>
              <w:bottom w:val="single" w:sz="4" w:space="0" w:color="auto"/>
            </w:tcBorders>
          </w:tcPr>
          <w:p w14:paraId="4D5AAE3F" w14:textId="77777777" w:rsidR="00270B24" w:rsidRPr="00F47262" w:rsidRDefault="00270B24" w:rsidP="00697B9C">
            <w:pPr>
              <w:spacing w:before="60" w:after="60"/>
              <w:rPr>
                <w:sz w:val="20"/>
              </w:rPr>
            </w:pPr>
          </w:p>
        </w:tc>
      </w:tr>
      <w:tr w:rsidR="00270B24" w:rsidRPr="00F47262" w14:paraId="6465BEAA" w14:textId="77777777" w:rsidTr="00F47262">
        <w:trPr>
          <w:cantSplit/>
        </w:trPr>
        <w:tc>
          <w:tcPr>
            <w:tcW w:w="738" w:type="dxa"/>
            <w:tcBorders>
              <w:bottom w:val="single" w:sz="4" w:space="0" w:color="auto"/>
            </w:tcBorders>
          </w:tcPr>
          <w:p w14:paraId="42256E66" w14:textId="77777777" w:rsidR="00270B24" w:rsidRPr="00F47262" w:rsidRDefault="00270B24" w:rsidP="006D5A65">
            <w:pPr>
              <w:pStyle w:val="Heading1"/>
            </w:pPr>
          </w:p>
        </w:tc>
        <w:tc>
          <w:tcPr>
            <w:tcW w:w="4349" w:type="dxa"/>
            <w:tcBorders>
              <w:bottom w:val="single" w:sz="4" w:space="0" w:color="auto"/>
            </w:tcBorders>
          </w:tcPr>
          <w:p w14:paraId="31090A82" w14:textId="77777777" w:rsidR="00270B24" w:rsidRPr="00F47262" w:rsidRDefault="00270B24" w:rsidP="00697B9C">
            <w:pPr>
              <w:spacing w:before="60" w:after="60"/>
              <w:rPr>
                <w:sz w:val="20"/>
              </w:rPr>
            </w:pPr>
            <w:r w:rsidRPr="00F47262">
              <w:rPr>
                <w:sz w:val="20"/>
              </w:rPr>
              <w:t xml:space="preserve">In the middle pane, double-click the </w:t>
            </w:r>
            <w:r w:rsidRPr="00F47262">
              <w:rPr>
                <w:b/>
                <w:sz w:val="20"/>
              </w:rPr>
              <w:t>tpsadm</w:t>
            </w:r>
            <w:r w:rsidRPr="00F47262">
              <w:rPr>
                <w:sz w:val="20"/>
              </w:rPr>
              <w:t xml:space="preserve"> account entry.</w:t>
            </w:r>
          </w:p>
        </w:tc>
        <w:tc>
          <w:tcPr>
            <w:tcW w:w="4471" w:type="dxa"/>
            <w:tcBorders>
              <w:bottom w:val="single" w:sz="4" w:space="0" w:color="auto"/>
            </w:tcBorders>
          </w:tcPr>
          <w:p w14:paraId="42E4F3B2" w14:textId="77777777" w:rsidR="00270B24" w:rsidRPr="00F47262" w:rsidRDefault="0097207F" w:rsidP="00697B9C">
            <w:pPr>
              <w:spacing w:before="60" w:after="60"/>
              <w:rPr>
                <w:sz w:val="20"/>
              </w:rPr>
            </w:pPr>
            <w:r w:rsidRPr="00F47262">
              <w:rPr>
                <w:noProof/>
                <w:sz w:val="20"/>
              </w:rPr>
              <w:drawing>
                <wp:inline distT="0" distB="0" distL="0" distR="0" wp14:anchorId="38525C3D" wp14:editId="4AA96774">
                  <wp:extent cx="2724150" cy="2531857"/>
                  <wp:effectExtent l="0" t="0" r="0" b="1905"/>
                  <wp:docPr id="1341" name="Picture 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2726462" cy="253400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70B24" w:rsidRPr="00F47262" w14:paraId="021C31F6" w14:textId="77777777" w:rsidTr="00F47262">
        <w:trPr>
          <w:cantSplit/>
        </w:trPr>
        <w:tc>
          <w:tcPr>
            <w:tcW w:w="738" w:type="dxa"/>
            <w:tcBorders>
              <w:bottom w:val="single" w:sz="4" w:space="0" w:color="auto"/>
            </w:tcBorders>
          </w:tcPr>
          <w:p w14:paraId="2E507925" w14:textId="77777777" w:rsidR="00270B24" w:rsidRPr="00F47262" w:rsidRDefault="00270B24" w:rsidP="00697B9C">
            <w:pPr>
              <w:pStyle w:val="ListParagraph"/>
              <w:spacing w:before="60" w:after="60" w:line="240" w:lineRule="atLeast"/>
              <w:ind w:left="360"/>
              <w:rPr>
                <w:rFonts w:ascii="Times New Roman" w:hAnsi="Times New Roman"/>
                <w:sz w:val="20"/>
                <w:szCs w:val="20"/>
              </w:rPr>
            </w:pPr>
          </w:p>
        </w:tc>
        <w:tc>
          <w:tcPr>
            <w:tcW w:w="4349" w:type="dxa"/>
            <w:tcBorders>
              <w:bottom w:val="single" w:sz="4" w:space="0" w:color="auto"/>
            </w:tcBorders>
          </w:tcPr>
          <w:p w14:paraId="60443DCE" w14:textId="77777777" w:rsidR="00270B24" w:rsidRPr="00F47262" w:rsidRDefault="00270B24" w:rsidP="00697B9C">
            <w:pPr>
              <w:spacing w:before="60" w:after="60"/>
              <w:rPr>
                <w:sz w:val="20"/>
              </w:rPr>
            </w:pPr>
          </w:p>
        </w:tc>
        <w:tc>
          <w:tcPr>
            <w:tcW w:w="4471" w:type="dxa"/>
            <w:tcBorders>
              <w:bottom w:val="single" w:sz="4" w:space="0" w:color="auto"/>
            </w:tcBorders>
          </w:tcPr>
          <w:p w14:paraId="3503FEF9" w14:textId="77777777" w:rsidR="00270B24" w:rsidRPr="00F47262" w:rsidRDefault="00270B24" w:rsidP="00697B9C">
            <w:pPr>
              <w:spacing w:before="60" w:after="60"/>
              <w:rPr>
                <w:sz w:val="20"/>
              </w:rPr>
            </w:pPr>
            <w:r w:rsidRPr="00F47262">
              <w:rPr>
                <w:sz w:val="20"/>
              </w:rPr>
              <w:t xml:space="preserve">The </w:t>
            </w:r>
            <w:r w:rsidRPr="00F47262">
              <w:rPr>
                <w:i/>
                <w:sz w:val="20"/>
              </w:rPr>
              <w:t xml:space="preserve">tpsadm Properties </w:t>
            </w:r>
            <w:r w:rsidRPr="00F47262">
              <w:rPr>
                <w:sz w:val="20"/>
              </w:rPr>
              <w:t xml:space="preserve">window </w:t>
            </w:r>
            <w:r w:rsidR="001C22D7" w:rsidRPr="00F47262">
              <w:rPr>
                <w:sz w:val="20"/>
              </w:rPr>
              <w:t>is</w:t>
            </w:r>
            <w:r w:rsidRPr="00F47262">
              <w:rPr>
                <w:sz w:val="20"/>
              </w:rPr>
              <w:t xml:space="preserve"> display</w:t>
            </w:r>
            <w:r w:rsidR="001C22D7" w:rsidRPr="00F47262">
              <w:rPr>
                <w:sz w:val="20"/>
              </w:rPr>
              <w:t>ed</w:t>
            </w:r>
            <w:r w:rsidRPr="00F47262">
              <w:rPr>
                <w:sz w:val="20"/>
              </w:rPr>
              <w:t>.</w:t>
            </w:r>
          </w:p>
          <w:p w14:paraId="755968F3" w14:textId="77777777" w:rsidR="00270B24" w:rsidRPr="00F47262" w:rsidRDefault="00270B24" w:rsidP="00697B9C">
            <w:pPr>
              <w:spacing w:before="60" w:after="60"/>
              <w:rPr>
                <w:sz w:val="20"/>
              </w:rPr>
            </w:pPr>
            <w:r w:rsidRPr="00F47262">
              <w:rPr>
                <w:noProof/>
                <w:sz w:val="20"/>
              </w:rPr>
              <w:drawing>
                <wp:inline distT="0" distB="0" distL="0" distR="0" wp14:anchorId="5FF2A5B4" wp14:editId="7ACBDF0D">
                  <wp:extent cx="2495550" cy="2771775"/>
                  <wp:effectExtent l="0" t="0" r="0" b="952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495550" cy="2771775"/>
                          </a:xfrm>
                          <a:prstGeom prst="rect">
                            <a:avLst/>
                          </a:prstGeom>
                          <a:noFill/>
                          <a:ln>
                            <a:noFill/>
                          </a:ln>
                        </pic:spPr>
                      </pic:pic>
                    </a:graphicData>
                  </a:graphic>
                </wp:inline>
              </w:drawing>
            </w:r>
          </w:p>
        </w:tc>
      </w:tr>
      <w:tr w:rsidR="00270B24" w:rsidRPr="00F47262" w14:paraId="1E71D36E" w14:textId="77777777" w:rsidTr="00F47262">
        <w:trPr>
          <w:cantSplit/>
        </w:trPr>
        <w:tc>
          <w:tcPr>
            <w:tcW w:w="738" w:type="dxa"/>
            <w:tcBorders>
              <w:bottom w:val="single" w:sz="4" w:space="0" w:color="auto"/>
            </w:tcBorders>
          </w:tcPr>
          <w:p w14:paraId="0EB54B44" w14:textId="77777777" w:rsidR="00270B24" w:rsidRPr="00F47262" w:rsidRDefault="00270B24" w:rsidP="006D5A65">
            <w:pPr>
              <w:pStyle w:val="Heading1"/>
            </w:pPr>
          </w:p>
        </w:tc>
        <w:tc>
          <w:tcPr>
            <w:tcW w:w="4349" w:type="dxa"/>
            <w:tcBorders>
              <w:bottom w:val="single" w:sz="4" w:space="0" w:color="auto"/>
            </w:tcBorders>
          </w:tcPr>
          <w:p w14:paraId="5C151937" w14:textId="77777777" w:rsidR="00270B24" w:rsidRPr="00F47262" w:rsidRDefault="00270B24" w:rsidP="00697B9C">
            <w:pPr>
              <w:spacing w:before="60" w:after="60"/>
              <w:rPr>
                <w:sz w:val="20"/>
              </w:rPr>
            </w:pPr>
            <w:r w:rsidRPr="00F47262">
              <w:rPr>
                <w:sz w:val="20"/>
              </w:rPr>
              <w:t>Verify and Deselect (uncheck), if necessary, the checkboxes listed below.</w:t>
            </w:r>
          </w:p>
          <w:p w14:paraId="30753596" w14:textId="77777777" w:rsidR="00270B24" w:rsidRPr="00F47262" w:rsidRDefault="00270B24" w:rsidP="006D5A65">
            <w:pPr>
              <w:pStyle w:val="Heading1"/>
            </w:pPr>
            <w:r w:rsidRPr="00F47262">
              <w:t>Account is disabled</w:t>
            </w:r>
          </w:p>
          <w:p w14:paraId="1B9596D5" w14:textId="77777777" w:rsidR="00270B24" w:rsidRPr="00F47262" w:rsidRDefault="00270B24" w:rsidP="006D5A65">
            <w:pPr>
              <w:pStyle w:val="Heading1"/>
            </w:pPr>
            <w:r w:rsidRPr="00F47262">
              <w:t>Account is locked out</w:t>
            </w:r>
          </w:p>
        </w:tc>
        <w:tc>
          <w:tcPr>
            <w:tcW w:w="4471" w:type="dxa"/>
            <w:tcBorders>
              <w:bottom w:val="single" w:sz="4" w:space="0" w:color="auto"/>
            </w:tcBorders>
          </w:tcPr>
          <w:p w14:paraId="54C82CF7" w14:textId="77777777" w:rsidR="00270B24" w:rsidRPr="00F47262" w:rsidRDefault="00270B24" w:rsidP="00697B9C">
            <w:pPr>
              <w:spacing w:before="60" w:after="60"/>
              <w:rPr>
                <w:sz w:val="20"/>
              </w:rPr>
            </w:pPr>
          </w:p>
        </w:tc>
      </w:tr>
      <w:tr w:rsidR="00270B24" w:rsidRPr="00F47262" w14:paraId="558BB0A2" w14:textId="77777777" w:rsidTr="00F47262">
        <w:trPr>
          <w:cantSplit/>
        </w:trPr>
        <w:tc>
          <w:tcPr>
            <w:tcW w:w="738" w:type="dxa"/>
            <w:tcBorders>
              <w:bottom w:val="single" w:sz="4" w:space="0" w:color="auto"/>
            </w:tcBorders>
          </w:tcPr>
          <w:p w14:paraId="0FC8D252" w14:textId="77777777" w:rsidR="00270B24" w:rsidRPr="00F47262" w:rsidRDefault="00270B24" w:rsidP="006D5A65">
            <w:pPr>
              <w:pStyle w:val="Heading1"/>
            </w:pPr>
          </w:p>
        </w:tc>
        <w:tc>
          <w:tcPr>
            <w:tcW w:w="4349" w:type="dxa"/>
            <w:tcBorders>
              <w:bottom w:val="single" w:sz="4" w:space="0" w:color="auto"/>
            </w:tcBorders>
          </w:tcPr>
          <w:p w14:paraId="26393F79" w14:textId="77777777" w:rsidR="00270B24" w:rsidRPr="00F47262" w:rsidRDefault="00270B24" w:rsidP="00697B9C">
            <w:pPr>
              <w:spacing w:before="60" w:after="60"/>
              <w:rPr>
                <w:sz w:val="20"/>
              </w:rPr>
            </w:pPr>
            <w:r w:rsidRPr="00F47262">
              <w:rPr>
                <w:sz w:val="20"/>
              </w:rPr>
              <w:t xml:space="preserve">Click the </w:t>
            </w:r>
            <w:r w:rsidRPr="00F47262">
              <w:rPr>
                <w:b/>
                <w:sz w:val="20"/>
              </w:rPr>
              <w:t>OK</w:t>
            </w:r>
            <w:r w:rsidRPr="00F47262">
              <w:rPr>
                <w:sz w:val="20"/>
              </w:rPr>
              <w:t xml:space="preserve"> button.</w:t>
            </w:r>
          </w:p>
        </w:tc>
        <w:tc>
          <w:tcPr>
            <w:tcW w:w="4471" w:type="dxa"/>
            <w:tcBorders>
              <w:bottom w:val="single" w:sz="4" w:space="0" w:color="auto"/>
            </w:tcBorders>
          </w:tcPr>
          <w:p w14:paraId="7D44DAD2" w14:textId="77777777" w:rsidR="00270B24" w:rsidRPr="00F47262" w:rsidRDefault="00270B24" w:rsidP="00697B9C">
            <w:pPr>
              <w:spacing w:before="60" w:after="60"/>
              <w:rPr>
                <w:sz w:val="20"/>
              </w:rPr>
            </w:pPr>
          </w:p>
        </w:tc>
      </w:tr>
      <w:tr w:rsidR="00270B24" w:rsidRPr="00F47262" w14:paraId="2A847E07" w14:textId="77777777" w:rsidTr="00F47262">
        <w:trPr>
          <w:cantSplit/>
        </w:trPr>
        <w:tc>
          <w:tcPr>
            <w:tcW w:w="738" w:type="dxa"/>
            <w:tcBorders>
              <w:bottom w:val="single" w:sz="4" w:space="0" w:color="auto"/>
            </w:tcBorders>
          </w:tcPr>
          <w:p w14:paraId="6B042AEA" w14:textId="77777777" w:rsidR="00270B24" w:rsidRPr="00F47262" w:rsidRDefault="00270B24" w:rsidP="006D5A65">
            <w:pPr>
              <w:pStyle w:val="Heading1"/>
            </w:pPr>
          </w:p>
        </w:tc>
        <w:tc>
          <w:tcPr>
            <w:tcW w:w="4349" w:type="dxa"/>
            <w:tcBorders>
              <w:bottom w:val="single" w:sz="4" w:space="0" w:color="auto"/>
            </w:tcBorders>
          </w:tcPr>
          <w:p w14:paraId="19EF3AB6" w14:textId="77777777" w:rsidR="00270B24" w:rsidRPr="00F47262" w:rsidRDefault="00270B24" w:rsidP="00697B9C">
            <w:pPr>
              <w:spacing w:before="60" w:after="60"/>
              <w:rPr>
                <w:sz w:val="20"/>
              </w:rPr>
            </w:pPr>
            <w:r w:rsidRPr="00F47262">
              <w:rPr>
                <w:sz w:val="20"/>
              </w:rPr>
              <w:t>Repeat Steps 20-26 on the TED Database Server. See Note 1</w:t>
            </w:r>
            <w:r w:rsidR="001C22D7" w:rsidRPr="00F47262">
              <w:rPr>
                <w:sz w:val="20"/>
              </w:rPr>
              <w:t>.</w:t>
            </w:r>
          </w:p>
        </w:tc>
        <w:tc>
          <w:tcPr>
            <w:tcW w:w="4471" w:type="dxa"/>
            <w:tcBorders>
              <w:bottom w:val="single" w:sz="4" w:space="0" w:color="auto"/>
            </w:tcBorders>
          </w:tcPr>
          <w:p w14:paraId="09AC1A95" w14:textId="77777777" w:rsidR="00270B24" w:rsidRPr="00F47262" w:rsidRDefault="00270B24" w:rsidP="00270B24">
            <w:pPr>
              <w:spacing w:before="60" w:after="60"/>
              <w:rPr>
                <w:sz w:val="20"/>
              </w:rPr>
            </w:pPr>
            <w:r w:rsidRPr="00F47262">
              <w:rPr>
                <w:b/>
                <w:i/>
                <w:sz w:val="20"/>
              </w:rPr>
              <w:t>Note 1:</w:t>
            </w:r>
            <w:r w:rsidRPr="00F47262">
              <w:rPr>
                <w:sz w:val="20"/>
              </w:rPr>
              <w:t xml:space="preserve"> Only applies to a CSG Configuration</w:t>
            </w:r>
          </w:p>
        </w:tc>
      </w:tr>
      <w:tr w:rsidR="00270B24" w:rsidRPr="00F47262" w14:paraId="04E5E13E" w14:textId="77777777" w:rsidTr="00F47262">
        <w:trPr>
          <w:cantSplit/>
        </w:trPr>
        <w:tc>
          <w:tcPr>
            <w:tcW w:w="738" w:type="dxa"/>
            <w:tcBorders>
              <w:bottom w:val="single" w:sz="4" w:space="0" w:color="auto"/>
            </w:tcBorders>
          </w:tcPr>
          <w:p w14:paraId="37E3995A" w14:textId="77777777" w:rsidR="00270B24" w:rsidRPr="00F47262" w:rsidRDefault="00270B24" w:rsidP="006D5A65">
            <w:pPr>
              <w:pStyle w:val="Heading1"/>
            </w:pPr>
          </w:p>
        </w:tc>
        <w:tc>
          <w:tcPr>
            <w:tcW w:w="4349" w:type="dxa"/>
            <w:tcBorders>
              <w:bottom w:val="single" w:sz="4" w:space="0" w:color="auto"/>
            </w:tcBorders>
          </w:tcPr>
          <w:p w14:paraId="317EDE20" w14:textId="77777777" w:rsidR="00270B24" w:rsidRPr="00F47262" w:rsidRDefault="00270B24" w:rsidP="00697B9C">
            <w:pPr>
              <w:spacing w:before="60" w:after="60"/>
              <w:rPr>
                <w:sz w:val="20"/>
              </w:rPr>
            </w:pPr>
            <w:r w:rsidRPr="00F47262">
              <w:rPr>
                <w:sz w:val="20"/>
              </w:rPr>
              <w:t>Was any checkbox, regardless of machine, deselected?</w:t>
            </w:r>
          </w:p>
          <w:p w14:paraId="6B1C2F97" w14:textId="77777777" w:rsidR="00270B24" w:rsidRPr="00F47262" w:rsidRDefault="00270B24" w:rsidP="006D5A65">
            <w:pPr>
              <w:pStyle w:val="Heading1"/>
            </w:pPr>
            <w:r w:rsidRPr="00F47262">
              <w:t xml:space="preserve">If Yes, proceed to </w:t>
            </w:r>
            <w:r w:rsidR="000B25B3" w:rsidRPr="00F47262">
              <w:t>the next step</w:t>
            </w:r>
            <w:r w:rsidRPr="00F47262">
              <w:t>.</w:t>
            </w:r>
          </w:p>
          <w:p w14:paraId="335A9603" w14:textId="77777777" w:rsidR="00270B24" w:rsidRPr="00F47262" w:rsidRDefault="00270B24" w:rsidP="006D5A65">
            <w:pPr>
              <w:pStyle w:val="Heading1"/>
            </w:pPr>
            <w:r w:rsidRPr="00F47262">
              <w:t>If No, proceed to Step 32.</w:t>
            </w:r>
          </w:p>
        </w:tc>
        <w:tc>
          <w:tcPr>
            <w:tcW w:w="4471" w:type="dxa"/>
            <w:tcBorders>
              <w:bottom w:val="single" w:sz="4" w:space="0" w:color="auto"/>
            </w:tcBorders>
          </w:tcPr>
          <w:p w14:paraId="3539C922" w14:textId="77777777" w:rsidR="00270B24" w:rsidRPr="00F47262" w:rsidRDefault="00270B24" w:rsidP="00697B9C">
            <w:pPr>
              <w:spacing w:before="60" w:after="60"/>
              <w:rPr>
                <w:sz w:val="20"/>
              </w:rPr>
            </w:pPr>
          </w:p>
        </w:tc>
      </w:tr>
      <w:tr w:rsidR="00270B24" w:rsidRPr="00F47262" w14:paraId="27116C97" w14:textId="77777777" w:rsidTr="00F47262">
        <w:trPr>
          <w:cantSplit/>
        </w:trPr>
        <w:tc>
          <w:tcPr>
            <w:tcW w:w="738" w:type="dxa"/>
            <w:tcBorders>
              <w:bottom w:val="single" w:sz="4" w:space="0" w:color="auto"/>
            </w:tcBorders>
          </w:tcPr>
          <w:p w14:paraId="01FEAA5F" w14:textId="77777777" w:rsidR="00270B24" w:rsidRPr="00F47262" w:rsidRDefault="00270B24" w:rsidP="006D5A65">
            <w:pPr>
              <w:pStyle w:val="Heading1"/>
            </w:pPr>
          </w:p>
        </w:tc>
        <w:tc>
          <w:tcPr>
            <w:tcW w:w="4349" w:type="dxa"/>
            <w:tcBorders>
              <w:bottom w:val="single" w:sz="4" w:space="0" w:color="auto"/>
            </w:tcBorders>
          </w:tcPr>
          <w:p w14:paraId="21DA9D62" w14:textId="77777777" w:rsidR="00270B24" w:rsidRPr="00F47262" w:rsidRDefault="00270B24" w:rsidP="00697B9C">
            <w:pPr>
              <w:spacing w:before="60" w:after="60"/>
              <w:rPr>
                <w:sz w:val="20"/>
              </w:rPr>
            </w:pPr>
            <w:r w:rsidRPr="00F47262">
              <w:rPr>
                <w:sz w:val="20"/>
              </w:rPr>
              <w:t>On MDS, create a new TMPR.</w:t>
            </w:r>
          </w:p>
        </w:tc>
        <w:tc>
          <w:tcPr>
            <w:tcW w:w="4471" w:type="dxa"/>
            <w:tcBorders>
              <w:bottom w:val="single" w:sz="4" w:space="0" w:color="auto"/>
            </w:tcBorders>
          </w:tcPr>
          <w:p w14:paraId="5AD48C26" w14:textId="77777777" w:rsidR="00270B24" w:rsidRPr="00F47262" w:rsidRDefault="00270B24" w:rsidP="00697B9C">
            <w:pPr>
              <w:spacing w:before="60" w:after="60"/>
              <w:rPr>
                <w:sz w:val="20"/>
              </w:rPr>
            </w:pPr>
          </w:p>
        </w:tc>
      </w:tr>
      <w:tr w:rsidR="00270B24" w:rsidRPr="00F47262" w14:paraId="7AD4D5C1" w14:textId="77777777" w:rsidTr="00F47262">
        <w:trPr>
          <w:cantSplit/>
        </w:trPr>
        <w:tc>
          <w:tcPr>
            <w:tcW w:w="738" w:type="dxa"/>
            <w:tcBorders>
              <w:bottom w:val="single" w:sz="4" w:space="0" w:color="auto"/>
            </w:tcBorders>
          </w:tcPr>
          <w:p w14:paraId="627FAE13" w14:textId="77777777" w:rsidR="00270B24" w:rsidRPr="00F47262" w:rsidRDefault="00270B24" w:rsidP="006D5A65">
            <w:pPr>
              <w:pStyle w:val="Heading1"/>
            </w:pPr>
          </w:p>
        </w:tc>
        <w:tc>
          <w:tcPr>
            <w:tcW w:w="4349" w:type="dxa"/>
            <w:tcBorders>
              <w:bottom w:val="single" w:sz="4" w:space="0" w:color="auto"/>
            </w:tcBorders>
          </w:tcPr>
          <w:p w14:paraId="57460B35" w14:textId="77777777" w:rsidR="00270B24" w:rsidRPr="00F47262" w:rsidRDefault="00270B24" w:rsidP="00697B9C">
            <w:pPr>
              <w:spacing w:before="60" w:after="60"/>
              <w:rPr>
                <w:sz w:val="20"/>
              </w:rPr>
            </w:pPr>
            <w:r w:rsidRPr="00F47262">
              <w:rPr>
                <w:sz w:val="20"/>
              </w:rPr>
              <w:t>Submit the TMPR to TPS.</w:t>
            </w:r>
          </w:p>
        </w:tc>
        <w:tc>
          <w:tcPr>
            <w:tcW w:w="4471" w:type="dxa"/>
            <w:tcBorders>
              <w:bottom w:val="single" w:sz="4" w:space="0" w:color="auto"/>
            </w:tcBorders>
          </w:tcPr>
          <w:p w14:paraId="3528D735" w14:textId="77777777" w:rsidR="00270B24" w:rsidRPr="00F47262" w:rsidRDefault="00270B24" w:rsidP="00697B9C">
            <w:pPr>
              <w:spacing w:before="60" w:after="60"/>
              <w:rPr>
                <w:sz w:val="20"/>
              </w:rPr>
            </w:pPr>
          </w:p>
        </w:tc>
      </w:tr>
      <w:tr w:rsidR="00270B24" w:rsidRPr="00F47262" w14:paraId="005D5EEC" w14:textId="77777777" w:rsidTr="00F47262">
        <w:trPr>
          <w:cantSplit/>
        </w:trPr>
        <w:tc>
          <w:tcPr>
            <w:tcW w:w="738" w:type="dxa"/>
            <w:tcBorders>
              <w:bottom w:val="single" w:sz="4" w:space="0" w:color="auto"/>
            </w:tcBorders>
          </w:tcPr>
          <w:p w14:paraId="52195495" w14:textId="77777777" w:rsidR="00270B24" w:rsidRPr="00F47262" w:rsidRDefault="00270B24" w:rsidP="006D5A65">
            <w:pPr>
              <w:pStyle w:val="Heading1"/>
            </w:pPr>
          </w:p>
        </w:tc>
        <w:tc>
          <w:tcPr>
            <w:tcW w:w="4349" w:type="dxa"/>
            <w:tcBorders>
              <w:bottom w:val="single" w:sz="4" w:space="0" w:color="auto"/>
            </w:tcBorders>
          </w:tcPr>
          <w:p w14:paraId="30CEC18E" w14:textId="77777777" w:rsidR="00270B24" w:rsidRPr="00F47262" w:rsidRDefault="00270B24" w:rsidP="00697B9C">
            <w:pPr>
              <w:spacing w:before="60" w:after="60"/>
              <w:rPr>
                <w:sz w:val="20"/>
              </w:rPr>
            </w:pPr>
            <w:r w:rsidRPr="00F47262">
              <w:rPr>
                <w:sz w:val="20"/>
              </w:rPr>
              <w:t>Verify TMPR status: See Note 1</w:t>
            </w:r>
            <w:r w:rsidR="001C22D7" w:rsidRPr="00F47262">
              <w:rPr>
                <w:sz w:val="20"/>
              </w:rPr>
              <w:t>.</w:t>
            </w:r>
          </w:p>
          <w:p w14:paraId="06E42DDF" w14:textId="6AE7669E" w:rsidR="00270B24" w:rsidRPr="00F47262" w:rsidRDefault="00270B24" w:rsidP="006D5A65">
            <w:pPr>
              <w:pStyle w:val="Heading1"/>
            </w:pPr>
            <w:r w:rsidRPr="00F47262">
              <w:t xml:space="preserve">If </w:t>
            </w:r>
            <w:r w:rsidR="001C22D7" w:rsidRPr="00F47262">
              <w:t>s</w:t>
            </w:r>
            <w:r w:rsidRPr="00F47262">
              <w:t xml:space="preserve">tatus column says: In work, problem was </w:t>
            </w:r>
            <w:r w:rsidR="00273387" w:rsidRPr="00F47262">
              <w:t>resolved,</w:t>
            </w:r>
            <w:r w:rsidRPr="00F47262">
              <w:t xml:space="preserve"> and no additional action required.</w:t>
            </w:r>
          </w:p>
          <w:p w14:paraId="7AC069D9" w14:textId="77777777" w:rsidR="00270B24" w:rsidRPr="00F47262" w:rsidRDefault="00270B24" w:rsidP="006D5A65">
            <w:pPr>
              <w:pStyle w:val="Heading1"/>
            </w:pPr>
            <w:r w:rsidRPr="00F47262">
              <w:t xml:space="preserve">If </w:t>
            </w:r>
            <w:r w:rsidR="001C22D7" w:rsidRPr="00F47262">
              <w:t>s</w:t>
            </w:r>
            <w:r w:rsidRPr="00F47262">
              <w:t xml:space="preserve">tatus column says: Submitted, proceed to </w:t>
            </w:r>
            <w:r w:rsidR="000B25B3" w:rsidRPr="00F47262">
              <w:t>the next step</w:t>
            </w:r>
            <w:r w:rsidRPr="00F47262">
              <w:t>.</w:t>
            </w:r>
          </w:p>
        </w:tc>
        <w:tc>
          <w:tcPr>
            <w:tcW w:w="4471" w:type="dxa"/>
            <w:tcBorders>
              <w:bottom w:val="single" w:sz="4" w:space="0" w:color="auto"/>
            </w:tcBorders>
          </w:tcPr>
          <w:p w14:paraId="42A99F9F" w14:textId="77777777" w:rsidR="00270B24" w:rsidRPr="00F47262" w:rsidRDefault="00270B24" w:rsidP="00270B24">
            <w:pPr>
              <w:spacing w:before="60" w:after="60"/>
              <w:rPr>
                <w:sz w:val="20"/>
              </w:rPr>
            </w:pPr>
            <w:r w:rsidRPr="00F47262">
              <w:rPr>
                <w:b/>
                <w:i/>
                <w:sz w:val="20"/>
              </w:rPr>
              <w:t>Note 1:</w:t>
            </w:r>
            <w:r w:rsidRPr="00F47262">
              <w:rPr>
                <w:sz w:val="20"/>
              </w:rPr>
              <w:t xml:space="preserve"> Allow approx</w:t>
            </w:r>
            <w:r w:rsidR="00E4470E" w:rsidRPr="00F47262">
              <w:rPr>
                <w:sz w:val="20"/>
              </w:rPr>
              <w:t>imately</w:t>
            </w:r>
            <w:r w:rsidRPr="00F47262">
              <w:rPr>
                <w:sz w:val="20"/>
              </w:rPr>
              <w:t xml:space="preserve"> 2-4 minutes for the status to update.</w:t>
            </w:r>
          </w:p>
        </w:tc>
      </w:tr>
      <w:tr w:rsidR="00A10A0C" w:rsidRPr="00F47262" w14:paraId="77500997" w14:textId="77777777" w:rsidTr="00F47262">
        <w:trPr>
          <w:cantSplit/>
        </w:trPr>
        <w:tc>
          <w:tcPr>
            <w:tcW w:w="9558" w:type="dxa"/>
            <w:gridSpan w:val="3"/>
            <w:shd w:val="clear" w:color="auto" w:fill="C6D9F1" w:themeFill="text2" w:themeFillTint="33"/>
          </w:tcPr>
          <w:p w14:paraId="190F3424" w14:textId="77777777" w:rsidR="00270B24" w:rsidRPr="00F47262" w:rsidRDefault="00270B24" w:rsidP="00863CE3">
            <w:pPr>
              <w:keepNext/>
              <w:spacing w:before="60" w:after="60"/>
              <w:rPr>
                <w:b/>
                <w:i/>
                <w:color w:val="000000" w:themeColor="text1"/>
                <w:sz w:val="20"/>
              </w:rPr>
            </w:pPr>
            <w:r w:rsidRPr="00F47262">
              <w:rPr>
                <w:b/>
                <w:i/>
                <w:color w:val="000000" w:themeColor="text1"/>
                <w:sz w:val="20"/>
              </w:rPr>
              <w:t>Verify tpsadm Account Policies</w:t>
            </w:r>
          </w:p>
        </w:tc>
      </w:tr>
      <w:tr w:rsidR="00270B24" w:rsidRPr="00F47262" w14:paraId="43921A14" w14:textId="77777777" w:rsidTr="00F47262">
        <w:trPr>
          <w:cantSplit/>
        </w:trPr>
        <w:tc>
          <w:tcPr>
            <w:tcW w:w="738" w:type="dxa"/>
            <w:tcBorders>
              <w:bottom w:val="single" w:sz="4" w:space="0" w:color="auto"/>
            </w:tcBorders>
          </w:tcPr>
          <w:p w14:paraId="548CDD1F" w14:textId="77777777" w:rsidR="00270B24" w:rsidRPr="00F47262" w:rsidRDefault="00270B24" w:rsidP="006D5A65">
            <w:pPr>
              <w:pStyle w:val="Heading1"/>
            </w:pPr>
          </w:p>
        </w:tc>
        <w:tc>
          <w:tcPr>
            <w:tcW w:w="4349" w:type="dxa"/>
            <w:tcBorders>
              <w:bottom w:val="single" w:sz="4" w:space="0" w:color="auto"/>
            </w:tcBorders>
          </w:tcPr>
          <w:p w14:paraId="3B0BD6A3" w14:textId="77777777" w:rsidR="00270B24" w:rsidRPr="00F47262" w:rsidRDefault="00F25E7C" w:rsidP="00F25E7C">
            <w:pPr>
              <w:spacing w:before="60" w:after="60"/>
              <w:rPr>
                <w:sz w:val="20"/>
              </w:rPr>
            </w:pPr>
            <w:r w:rsidRPr="00F47262">
              <w:rPr>
                <w:sz w:val="20"/>
              </w:rPr>
              <w:t xml:space="preserve">Right-click the </w:t>
            </w:r>
            <w:r w:rsidRPr="00F47262">
              <w:rPr>
                <w:noProof/>
                <w:sz w:val="20"/>
              </w:rPr>
              <w:drawing>
                <wp:inline distT="0" distB="0" distL="0" distR="0" wp14:anchorId="7A38EECE" wp14:editId="752E430D">
                  <wp:extent cx="182880" cy="178068"/>
                  <wp:effectExtent l="0" t="0" r="7620" b="0"/>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Search</w:t>
            </w:r>
            <w:r w:rsidRPr="00F47262">
              <w:rPr>
                <w:sz w:val="20"/>
              </w:rPr>
              <w:t xml:space="preserve"> from the pop-up menu. Type </w:t>
            </w:r>
            <w:r w:rsidRPr="00F47262">
              <w:rPr>
                <w:b/>
                <w:sz w:val="20"/>
              </w:rPr>
              <w:t>secpol.msc</w:t>
            </w:r>
            <w:r w:rsidRPr="00F47262">
              <w:rPr>
                <w:sz w:val="20"/>
              </w:rPr>
              <w:t xml:space="preserve"> in the </w:t>
            </w:r>
            <w:r w:rsidRPr="00F47262">
              <w:rPr>
                <w:b/>
                <w:sz w:val="20"/>
              </w:rPr>
              <w:t>Search</w:t>
            </w:r>
            <w:r w:rsidRPr="00F47262">
              <w:rPr>
                <w:sz w:val="20"/>
              </w:rPr>
              <w:t xml:space="preserve"> field, and then select </w:t>
            </w:r>
            <w:r w:rsidRPr="00F47262">
              <w:rPr>
                <w:b/>
                <w:sz w:val="20"/>
              </w:rPr>
              <w:t>secpol</w:t>
            </w:r>
            <w:r w:rsidRPr="00F47262">
              <w:rPr>
                <w:sz w:val="20"/>
              </w:rPr>
              <w:t xml:space="preserve"> in the results list.</w:t>
            </w:r>
          </w:p>
        </w:tc>
        <w:tc>
          <w:tcPr>
            <w:tcW w:w="4471" w:type="dxa"/>
            <w:tcBorders>
              <w:bottom w:val="single" w:sz="4" w:space="0" w:color="auto"/>
            </w:tcBorders>
          </w:tcPr>
          <w:p w14:paraId="50360607" w14:textId="77777777" w:rsidR="00270B24" w:rsidRPr="00F47262" w:rsidRDefault="00270B24" w:rsidP="00697B9C">
            <w:pPr>
              <w:spacing w:before="60" w:after="60"/>
              <w:rPr>
                <w:sz w:val="20"/>
              </w:rPr>
            </w:pPr>
          </w:p>
        </w:tc>
      </w:tr>
      <w:tr w:rsidR="00270B24" w:rsidRPr="00F47262" w14:paraId="6D88A89E" w14:textId="77777777" w:rsidTr="00F47262">
        <w:trPr>
          <w:cantSplit/>
        </w:trPr>
        <w:tc>
          <w:tcPr>
            <w:tcW w:w="738" w:type="dxa"/>
            <w:tcBorders>
              <w:bottom w:val="single" w:sz="4" w:space="0" w:color="auto"/>
            </w:tcBorders>
          </w:tcPr>
          <w:p w14:paraId="56FF3B72" w14:textId="77777777" w:rsidR="00270B24" w:rsidRPr="00F47262" w:rsidRDefault="00270B24" w:rsidP="006D5A65">
            <w:pPr>
              <w:pStyle w:val="Heading1"/>
            </w:pPr>
          </w:p>
        </w:tc>
        <w:tc>
          <w:tcPr>
            <w:tcW w:w="4349" w:type="dxa"/>
            <w:tcBorders>
              <w:bottom w:val="single" w:sz="4" w:space="0" w:color="auto"/>
            </w:tcBorders>
          </w:tcPr>
          <w:p w14:paraId="18985783" w14:textId="77777777" w:rsidR="00270B24" w:rsidRPr="00F47262" w:rsidRDefault="00270B24" w:rsidP="00697B9C">
            <w:pPr>
              <w:spacing w:before="60" w:after="60"/>
              <w:rPr>
                <w:sz w:val="20"/>
              </w:rPr>
            </w:pPr>
            <w:r w:rsidRPr="00F47262">
              <w:rPr>
                <w:sz w:val="20"/>
              </w:rPr>
              <w:t xml:space="preserve">Click the </w:t>
            </w:r>
            <w:r w:rsidRPr="00F47262">
              <w:rPr>
                <w:b/>
                <w:sz w:val="20"/>
              </w:rPr>
              <w:t>Yes</w:t>
            </w:r>
            <w:r w:rsidRPr="00F47262">
              <w:rPr>
                <w:sz w:val="20"/>
              </w:rPr>
              <w:t xml:space="preserve"> button to acknowledge the </w:t>
            </w:r>
            <w:r w:rsidRPr="00F47262">
              <w:rPr>
                <w:i/>
                <w:sz w:val="20"/>
              </w:rPr>
              <w:t xml:space="preserve">User Account Control </w:t>
            </w:r>
            <w:r w:rsidRPr="00F47262">
              <w:rPr>
                <w:sz w:val="20"/>
              </w:rPr>
              <w:t>window</w:t>
            </w:r>
            <w:r w:rsidR="00377AB3" w:rsidRPr="00F47262">
              <w:rPr>
                <w:sz w:val="20"/>
              </w:rPr>
              <w:t xml:space="preserve"> if displayed</w:t>
            </w:r>
            <w:r w:rsidRPr="00F47262">
              <w:rPr>
                <w:sz w:val="20"/>
              </w:rPr>
              <w:t>.</w:t>
            </w:r>
          </w:p>
        </w:tc>
        <w:tc>
          <w:tcPr>
            <w:tcW w:w="4471" w:type="dxa"/>
            <w:tcBorders>
              <w:bottom w:val="single" w:sz="4" w:space="0" w:color="auto"/>
            </w:tcBorders>
          </w:tcPr>
          <w:p w14:paraId="276200ED" w14:textId="77777777" w:rsidR="00270B24" w:rsidRPr="00F47262" w:rsidRDefault="00270B24" w:rsidP="00697B9C">
            <w:pPr>
              <w:spacing w:before="60" w:after="60"/>
              <w:rPr>
                <w:sz w:val="20"/>
              </w:rPr>
            </w:pPr>
            <w:r w:rsidRPr="00F47262">
              <w:rPr>
                <w:sz w:val="20"/>
              </w:rPr>
              <w:t xml:space="preserve">The </w:t>
            </w:r>
            <w:r w:rsidRPr="00F47262">
              <w:rPr>
                <w:i/>
                <w:sz w:val="20"/>
              </w:rPr>
              <w:t>Local Security Policy</w:t>
            </w:r>
            <w:r w:rsidRPr="00F47262">
              <w:rPr>
                <w:sz w:val="20"/>
              </w:rPr>
              <w:t xml:space="preserve"> window displays.</w:t>
            </w:r>
          </w:p>
          <w:p w14:paraId="75CA50BF" w14:textId="77777777" w:rsidR="00270B24" w:rsidRPr="00F47262" w:rsidRDefault="00270B24" w:rsidP="00697B9C">
            <w:pPr>
              <w:spacing w:before="60" w:after="60"/>
              <w:rPr>
                <w:sz w:val="20"/>
              </w:rPr>
            </w:pPr>
          </w:p>
        </w:tc>
      </w:tr>
      <w:tr w:rsidR="00270B24" w:rsidRPr="00F47262" w14:paraId="7E6236F4" w14:textId="77777777" w:rsidTr="00F47262">
        <w:trPr>
          <w:cantSplit/>
        </w:trPr>
        <w:tc>
          <w:tcPr>
            <w:tcW w:w="738" w:type="dxa"/>
            <w:tcBorders>
              <w:bottom w:val="single" w:sz="4" w:space="0" w:color="auto"/>
            </w:tcBorders>
          </w:tcPr>
          <w:p w14:paraId="2EB9B1B5" w14:textId="77777777" w:rsidR="00270B24" w:rsidRPr="00F47262" w:rsidRDefault="00270B24" w:rsidP="006D5A65">
            <w:pPr>
              <w:pStyle w:val="Heading1"/>
            </w:pPr>
          </w:p>
        </w:tc>
        <w:tc>
          <w:tcPr>
            <w:tcW w:w="4349" w:type="dxa"/>
            <w:tcBorders>
              <w:bottom w:val="single" w:sz="4" w:space="0" w:color="auto"/>
            </w:tcBorders>
          </w:tcPr>
          <w:p w14:paraId="24E32D6B" w14:textId="77777777" w:rsidR="00270B24" w:rsidRPr="00F47262" w:rsidRDefault="00270B24" w:rsidP="00F25E7C">
            <w:pPr>
              <w:spacing w:before="60" w:after="60"/>
              <w:rPr>
                <w:sz w:val="20"/>
              </w:rPr>
            </w:pPr>
            <w:r w:rsidRPr="00F47262">
              <w:rPr>
                <w:sz w:val="20"/>
              </w:rPr>
              <w:t xml:space="preserve">In the left pane, expand </w:t>
            </w:r>
            <w:r w:rsidR="00F25E7C" w:rsidRPr="00F47262">
              <w:rPr>
                <w:b/>
                <w:sz w:val="20"/>
              </w:rPr>
              <w:t>Local Policies</w:t>
            </w:r>
            <w:r w:rsidR="00F25E7C" w:rsidRPr="00F47262">
              <w:rPr>
                <w:sz w:val="20"/>
              </w:rPr>
              <w:t xml:space="preserve"> </w:t>
            </w:r>
            <w:r w:rsidRPr="00F47262">
              <w:rPr>
                <w:sz w:val="20"/>
              </w:rPr>
              <w:t xml:space="preserve">and select </w:t>
            </w:r>
            <w:r w:rsidRPr="00F47262">
              <w:rPr>
                <w:b/>
                <w:sz w:val="20"/>
              </w:rPr>
              <w:t>User Rights Assignment</w:t>
            </w:r>
            <w:r w:rsidRPr="00F47262">
              <w:rPr>
                <w:sz w:val="20"/>
              </w:rPr>
              <w:t>.</w:t>
            </w:r>
          </w:p>
        </w:tc>
        <w:tc>
          <w:tcPr>
            <w:tcW w:w="4471" w:type="dxa"/>
            <w:tcBorders>
              <w:bottom w:val="single" w:sz="4" w:space="0" w:color="auto"/>
            </w:tcBorders>
          </w:tcPr>
          <w:p w14:paraId="3A523258" w14:textId="77777777" w:rsidR="00270B24" w:rsidRPr="00F47262" w:rsidRDefault="00B37473" w:rsidP="00697B9C">
            <w:pPr>
              <w:spacing w:before="60" w:after="60"/>
              <w:rPr>
                <w:sz w:val="20"/>
              </w:rPr>
            </w:pPr>
            <w:r w:rsidRPr="00F47262">
              <w:rPr>
                <w:noProof/>
                <w:sz w:val="20"/>
              </w:rPr>
              <w:drawing>
                <wp:inline distT="0" distB="0" distL="0" distR="0" wp14:anchorId="0ACF516C" wp14:editId="4E734DE9">
                  <wp:extent cx="2667000" cy="1906790"/>
                  <wp:effectExtent l="0" t="0" r="0" b="0"/>
                  <wp:docPr id="1342" name="Picture 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screen">
                            <a:extLst>
                              <a:ext uri="{28A0092B-C50C-407E-A947-70E740481C1C}">
                                <a14:useLocalDpi xmlns:a14="http://schemas.microsoft.com/office/drawing/2010/main"/>
                              </a:ext>
                            </a:extLst>
                          </a:blip>
                          <a:stretch>
                            <a:fillRect/>
                          </a:stretch>
                        </pic:blipFill>
                        <pic:spPr>
                          <a:xfrm>
                            <a:off x="0" y="0"/>
                            <a:ext cx="2667000" cy="1906790"/>
                          </a:xfrm>
                          <a:prstGeom prst="rect">
                            <a:avLst/>
                          </a:prstGeom>
                        </pic:spPr>
                      </pic:pic>
                    </a:graphicData>
                  </a:graphic>
                </wp:inline>
              </w:drawing>
            </w:r>
          </w:p>
        </w:tc>
      </w:tr>
      <w:tr w:rsidR="00270B24" w:rsidRPr="00F47262" w14:paraId="47A9EC16" w14:textId="77777777" w:rsidTr="00F47262">
        <w:trPr>
          <w:cantSplit/>
        </w:trPr>
        <w:tc>
          <w:tcPr>
            <w:tcW w:w="738" w:type="dxa"/>
            <w:tcBorders>
              <w:bottom w:val="single" w:sz="4" w:space="0" w:color="auto"/>
            </w:tcBorders>
          </w:tcPr>
          <w:p w14:paraId="18E31871" w14:textId="77777777" w:rsidR="00270B24" w:rsidRPr="00F47262" w:rsidRDefault="00270B24" w:rsidP="006D5A65">
            <w:pPr>
              <w:pStyle w:val="Heading1"/>
            </w:pPr>
          </w:p>
        </w:tc>
        <w:tc>
          <w:tcPr>
            <w:tcW w:w="4349" w:type="dxa"/>
            <w:tcBorders>
              <w:bottom w:val="single" w:sz="4" w:space="0" w:color="auto"/>
            </w:tcBorders>
          </w:tcPr>
          <w:p w14:paraId="5B2D6CCF" w14:textId="77777777" w:rsidR="00270B24" w:rsidRPr="00F47262" w:rsidRDefault="00270B24" w:rsidP="00697B9C">
            <w:pPr>
              <w:pStyle w:val="ListParagraph"/>
              <w:spacing w:before="60" w:after="60" w:line="240" w:lineRule="atLeast"/>
              <w:ind w:left="0"/>
              <w:rPr>
                <w:rFonts w:ascii="Times New Roman" w:eastAsia="Times New Roman" w:hAnsi="Times New Roman"/>
                <w:sz w:val="20"/>
                <w:szCs w:val="20"/>
              </w:rPr>
            </w:pPr>
            <w:r w:rsidRPr="00F47262">
              <w:rPr>
                <w:rFonts w:ascii="Times New Roman" w:eastAsia="Times New Roman" w:hAnsi="Times New Roman"/>
                <w:sz w:val="20"/>
                <w:szCs w:val="20"/>
              </w:rPr>
              <w:t xml:space="preserve">In the </w:t>
            </w:r>
            <w:r w:rsidR="00F25E7C" w:rsidRPr="00F47262">
              <w:rPr>
                <w:rFonts w:ascii="Times New Roman" w:eastAsia="Times New Roman" w:hAnsi="Times New Roman"/>
                <w:b/>
                <w:sz w:val="20"/>
                <w:szCs w:val="20"/>
              </w:rPr>
              <w:t>Policy</w:t>
            </w:r>
            <w:r w:rsidR="00F25E7C" w:rsidRPr="00F47262">
              <w:rPr>
                <w:rFonts w:ascii="Times New Roman" w:eastAsia="Times New Roman" w:hAnsi="Times New Roman"/>
                <w:sz w:val="20"/>
                <w:szCs w:val="20"/>
              </w:rPr>
              <w:t xml:space="preserve"> column, </w:t>
            </w:r>
            <w:r w:rsidRPr="00F47262">
              <w:rPr>
                <w:rFonts w:ascii="Times New Roman" w:eastAsia="Times New Roman" w:hAnsi="Times New Roman"/>
                <w:sz w:val="20"/>
                <w:szCs w:val="20"/>
              </w:rPr>
              <w:t>view the</w:t>
            </w:r>
            <w:r w:rsidR="00F25E7C" w:rsidRPr="00F47262">
              <w:rPr>
                <w:rFonts w:ascii="Times New Roman" w:eastAsia="Times New Roman" w:hAnsi="Times New Roman"/>
                <w:sz w:val="20"/>
                <w:szCs w:val="20"/>
              </w:rPr>
              <w:t xml:space="preserve"> following three policies. Verify that the </w:t>
            </w:r>
            <w:r w:rsidR="00F25E7C" w:rsidRPr="00F47262">
              <w:rPr>
                <w:rFonts w:ascii="Times New Roman" w:eastAsia="Times New Roman" w:hAnsi="Times New Roman"/>
                <w:b/>
                <w:sz w:val="20"/>
                <w:szCs w:val="20"/>
              </w:rPr>
              <w:t>tpsadm</w:t>
            </w:r>
            <w:r w:rsidR="00F25E7C" w:rsidRPr="00F47262">
              <w:rPr>
                <w:rFonts w:ascii="Times New Roman" w:eastAsia="Times New Roman" w:hAnsi="Times New Roman"/>
                <w:sz w:val="20"/>
                <w:szCs w:val="20"/>
              </w:rPr>
              <w:t xml:space="preserve"> account is listed in the</w:t>
            </w:r>
            <w:r w:rsidR="006C0699" w:rsidRPr="00F47262">
              <w:rPr>
                <w:rFonts w:ascii="Times New Roman" w:eastAsia="Times New Roman" w:hAnsi="Times New Roman"/>
                <w:sz w:val="20"/>
                <w:szCs w:val="20"/>
              </w:rPr>
              <w:t xml:space="preserve"> </w:t>
            </w:r>
            <w:r w:rsidRPr="00F47262">
              <w:rPr>
                <w:rFonts w:ascii="Times New Roman" w:eastAsia="Times New Roman" w:hAnsi="Times New Roman"/>
                <w:b/>
                <w:sz w:val="20"/>
                <w:szCs w:val="20"/>
              </w:rPr>
              <w:t>Security Setting</w:t>
            </w:r>
            <w:r w:rsidRPr="00F47262">
              <w:rPr>
                <w:rFonts w:ascii="Times New Roman" w:eastAsia="Times New Roman" w:hAnsi="Times New Roman"/>
                <w:sz w:val="20"/>
                <w:szCs w:val="20"/>
              </w:rPr>
              <w:t xml:space="preserve"> column</w:t>
            </w:r>
            <w:r w:rsidR="006C0699" w:rsidRPr="00F47262">
              <w:rPr>
                <w:rFonts w:ascii="Times New Roman" w:eastAsia="Times New Roman" w:hAnsi="Times New Roman"/>
                <w:sz w:val="20"/>
                <w:szCs w:val="20"/>
              </w:rPr>
              <w:t>.</w:t>
            </w:r>
          </w:p>
          <w:p w14:paraId="78B41F28" w14:textId="77777777" w:rsidR="00270B24" w:rsidRPr="00F47262" w:rsidRDefault="00270B24" w:rsidP="00697B9C">
            <w:pPr>
              <w:spacing w:before="60" w:after="60"/>
              <w:rPr>
                <w:b/>
                <w:sz w:val="20"/>
              </w:rPr>
            </w:pPr>
            <w:r w:rsidRPr="00F47262">
              <w:rPr>
                <w:b/>
                <w:sz w:val="20"/>
              </w:rPr>
              <w:t>Act as part of the operating system</w:t>
            </w:r>
          </w:p>
          <w:p w14:paraId="311C3931" w14:textId="77777777" w:rsidR="00270B24" w:rsidRPr="00F47262" w:rsidRDefault="00270B24" w:rsidP="00697B9C">
            <w:pPr>
              <w:spacing w:before="60" w:after="60"/>
              <w:rPr>
                <w:b/>
                <w:sz w:val="20"/>
              </w:rPr>
            </w:pPr>
            <w:r w:rsidRPr="00F47262">
              <w:rPr>
                <w:b/>
                <w:sz w:val="20"/>
              </w:rPr>
              <w:t>Log on as a batch job</w:t>
            </w:r>
          </w:p>
          <w:p w14:paraId="22CAE9CA" w14:textId="77777777" w:rsidR="00270B24" w:rsidRPr="00F47262" w:rsidRDefault="00270B24" w:rsidP="00697B9C">
            <w:pPr>
              <w:spacing w:before="60" w:after="60"/>
              <w:rPr>
                <w:b/>
                <w:sz w:val="20"/>
              </w:rPr>
            </w:pPr>
            <w:r w:rsidRPr="00F47262">
              <w:rPr>
                <w:b/>
                <w:sz w:val="20"/>
              </w:rPr>
              <w:t>Log on as a service</w:t>
            </w:r>
          </w:p>
          <w:p w14:paraId="5D77ADD1" w14:textId="77777777" w:rsidR="00270B24" w:rsidRPr="00F47262" w:rsidRDefault="00270B24" w:rsidP="006D5A65">
            <w:pPr>
              <w:pStyle w:val="Heading1"/>
            </w:pPr>
            <w:r w:rsidRPr="00F47262">
              <w:t xml:space="preserve">If the tpsadm account is missing from any policy, proceed to </w:t>
            </w:r>
            <w:r w:rsidR="000B25B3" w:rsidRPr="00F47262">
              <w:t>the next step</w:t>
            </w:r>
            <w:r w:rsidRPr="00F47262">
              <w:t>.</w:t>
            </w:r>
          </w:p>
          <w:p w14:paraId="5354170C" w14:textId="77777777" w:rsidR="00270B24" w:rsidRPr="00F47262" w:rsidRDefault="00270B24" w:rsidP="006D5A65">
            <w:pPr>
              <w:pStyle w:val="Heading1"/>
            </w:pPr>
            <w:r w:rsidRPr="00F47262">
              <w:t>If the tpsadm account is present in all three policies, proceed to Step 47.</w:t>
            </w:r>
          </w:p>
        </w:tc>
        <w:tc>
          <w:tcPr>
            <w:tcW w:w="4471" w:type="dxa"/>
            <w:tcBorders>
              <w:bottom w:val="single" w:sz="4" w:space="0" w:color="auto"/>
            </w:tcBorders>
          </w:tcPr>
          <w:p w14:paraId="5C050551" w14:textId="77777777" w:rsidR="00270B24" w:rsidRPr="00F47262" w:rsidRDefault="00270B24" w:rsidP="00697B9C">
            <w:pPr>
              <w:spacing w:before="60" w:after="60"/>
              <w:rPr>
                <w:sz w:val="20"/>
              </w:rPr>
            </w:pPr>
          </w:p>
        </w:tc>
      </w:tr>
      <w:tr w:rsidR="00270B24" w:rsidRPr="00F47262" w14:paraId="0C81E514" w14:textId="77777777" w:rsidTr="00F47262">
        <w:trPr>
          <w:cantSplit/>
        </w:trPr>
        <w:tc>
          <w:tcPr>
            <w:tcW w:w="738" w:type="dxa"/>
            <w:tcBorders>
              <w:bottom w:val="single" w:sz="4" w:space="0" w:color="auto"/>
            </w:tcBorders>
          </w:tcPr>
          <w:p w14:paraId="5CD2E4E7" w14:textId="77777777" w:rsidR="00270B24" w:rsidRPr="00F47262" w:rsidRDefault="00270B24" w:rsidP="006D5A65">
            <w:pPr>
              <w:pStyle w:val="Heading1"/>
            </w:pPr>
          </w:p>
        </w:tc>
        <w:tc>
          <w:tcPr>
            <w:tcW w:w="4349" w:type="dxa"/>
            <w:tcBorders>
              <w:bottom w:val="single" w:sz="4" w:space="0" w:color="auto"/>
            </w:tcBorders>
          </w:tcPr>
          <w:p w14:paraId="21A454C0" w14:textId="77777777" w:rsidR="00270B24" w:rsidRPr="00F47262" w:rsidRDefault="00270B24" w:rsidP="00697B9C">
            <w:pPr>
              <w:pStyle w:val="ListParagraph"/>
              <w:spacing w:before="60" w:after="60" w:line="240" w:lineRule="atLeast"/>
              <w:ind w:left="0"/>
              <w:rPr>
                <w:rFonts w:ascii="Times New Roman" w:eastAsia="Times New Roman" w:hAnsi="Times New Roman"/>
                <w:sz w:val="20"/>
                <w:szCs w:val="20"/>
              </w:rPr>
            </w:pPr>
            <w:r w:rsidRPr="00F47262">
              <w:rPr>
                <w:rFonts w:ascii="Times New Roman" w:eastAsia="Times New Roman" w:hAnsi="Times New Roman"/>
                <w:sz w:val="20"/>
                <w:szCs w:val="20"/>
              </w:rPr>
              <w:t>Double-click and open the policy in question.</w:t>
            </w:r>
          </w:p>
        </w:tc>
        <w:tc>
          <w:tcPr>
            <w:tcW w:w="4471" w:type="dxa"/>
            <w:tcBorders>
              <w:bottom w:val="single" w:sz="4" w:space="0" w:color="auto"/>
            </w:tcBorders>
          </w:tcPr>
          <w:p w14:paraId="385413A1" w14:textId="77777777" w:rsidR="00270B24" w:rsidRPr="00F47262" w:rsidRDefault="00270B24" w:rsidP="00697B9C">
            <w:pPr>
              <w:spacing w:before="60" w:after="60"/>
              <w:rPr>
                <w:sz w:val="20"/>
              </w:rPr>
            </w:pPr>
          </w:p>
        </w:tc>
      </w:tr>
      <w:tr w:rsidR="00270B24" w:rsidRPr="00F47262" w14:paraId="17F30099" w14:textId="77777777" w:rsidTr="00F47262">
        <w:trPr>
          <w:cantSplit/>
        </w:trPr>
        <w:tc>
          <w:tcPr>
            <w:tcW w:w="738" w:type="dxa"/>
            <w:tcBorders>
              <w:bottom w:val="single" w:sz="4" w:space="0" w:color="auto"/>
            </w:tcBorders>
          </w:tcPr>
          <w:p w14:paraId="6E3DDEB8" w14:textId="77777777" w:rsidR="00270B24" w:rsidRPr="00F47262" w:rsidRDefault="00270B24" w:rsidP="006D5A65">
            <w:pPr>
              <w:pStyle w:val="Heading1"/>
            </w:pPr>
          </w:p>
        </w:tc>
        <w:tc>
          <w:tcPr>
            <w:tcW w:w="4349" w:type="dxa"/>
            <w:tcBorders>
              <w:bottom w:val="single" w:sz="4" w:space="0" w:color="auto"/>
            </w:tcBorders>
          </w:tcPr>
          <w:p w14:paraId="56962A5C" w14:textId="77777777" w:rsidR="00270B24" w:rsidRPr="00F47262" w:rsidRDefault="00270B24" w:rsidP="00697B9C">
            <w:pPr>
              <w:spacing w:before="60" w:after="60"/>
              <w:rPr>
                <w:sz w:val="20"/>
              </w:rPr>
            </w:pPr>
            <w:r w:rsidRPr="00F47262">
              <w:rPr>
                <w:sz w:val="20"/>
              </w:rPr>
              <w:t xml:space="preserve">Click the </w:t>
            </w:r>
            <w:r w:rsidRPr="00F47262">
              <w:rPr>
                <w:b/>
                <w:sz w:val="20"/>
              </w:rPr>
              <w:t>Add User or Group</w:t>
            </w:r>
            <w:r w:rsidRPr="00F47262">
              <w:rPr>
                <w:sz w:val="20"/>
              </w:rPr>
              <w:t xml:space="preserve"> button.</w:t>
            </w:r>
          </w:p>
        </w:tc>
        <w:tc>
          <w:tcPr>
            <w:tcW w:w="4471" w:type="dxa"/>
            <w:tcBorders>
              <w:bottom w:val="single" w:sz="4" w:space="0" w:color="auto"/>
            </w:tcBorders>
          </w:tcPr>
          <w:p w14:paraId="59E3EC74" w14:textId="77777777" w:rsidR="00270B24" w:rsidRPr="00F47262" w:rsidRDefault="00B37473" w:rsidP="00697B9C">
            <w:pPr>
              <w:spacing w:before="60" w:after="60"/>
              <w:rPr>
                <w:sz w:val="20"/>
              </w:rPr>
            </w:pPr>
            <w:r w:rsidRPr="00F47262">
              <w:rPr>
                <w:noProof/>
                <w:sz w:val="20"/>
              </w:rPr>
              <w:drawing>
                <wp:inline distT="0" distB="0" distL="0" distR="0" wp14:anchorId="3880CDE5" wp14:editId="40679366">
                  <wp:extent cx="2456763" cy="2924175"/>
                  <wp:effectExtent l="0" t="0" r="1270" b="0"/>
                  <wp:docPr id="1343" name="Picture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screen">
                            <a:extLst>
                              <a:ext uri="{28A0092B-C50C-407E-A947-70E740481C1C}">
                                <a14:useLocalDpi xmlns:a14="http://schemas.microsoft.com/office/drawing/2010/main"/>
                              </a:ext>
                            </a:extLst>
                          </a:blip>
                          <a:stretch>
                            <a:fillRect/>
                          </a:stretch>
                        </pic:blipFill>
                        <pic:spPr>
                          <a:xfrm>
                            <a:off x="0" y="0"/>
                            <a:ext cx="2456763" cy="2924175"/>
                          </a:xfrm>
                          <a:prstGeom prst="rect">
                            <a:avLst/>
                          </a:prstGeom>
                        </pic:spPr>
                      </pic:pic>
                    </a:graphicData>
                  </a:graphic>
                </wp:inline>
              </w:drawing>
            </w:r>
          </w:p>
        </w:tc>
      </w:tr>
      <w:tr w:rsidR="00270B24" w:rsidRPr="00F47262" w14:paraId="6E977F1F" w14:textId="77777777" w:rsidTr="00F47262">
        <w:trPr>
          <w:cantSplit/>
        </w:trPr>
        <w:tc>
          <w:tcPr>
            <w:tcW w:w="738" w:type="dxa"/>
            <w:tcBorders>
              <w:bottom w:val="single" w:sz="4" w:space="0" w:color="auto"/>
            </w:tcBorders>
          </w:tcPr>
          <w:p w14:paraId="606ABAFB" w14:textId="77777777" w:rsidR="00270B24" w:rsidRPr="00F47262" w:rsidRDefault="00270B24" w:rsidP="006D5A65">
            <w:pPr>
              <w:pStyle w:val="Heading1"/>
            </w:pPr>
          </w:p>
        </w:tc>
        <w:tc>
          <w:tcPr>
            <w:tcW w:w="4349" w:type="dxa"/>
            <w:tcBorders>
              <w:bottom w:val="single" w:sz="4" w:space="0" w:color="auto"/>
            </w:tcBorders>
          </w:tcPr>
          <w:p w14:paraId="7994215F" w14:textId="77777777" w:rsidR="00270B24" w:rsidRPr="00F47262" w:rsidRDefault="00270B24" w:rsidP="00697B9C">
            <w:pPr>
              <w:spacing w:before="60" w:after="60"/>
              <w:rPr>
                <w:sz w:val="20"/>
              </w:rPr>
            </w:pPr>
            <w:r w:rsidRPr="00F47262">
              <w:rPr>
                <w:sz w:val="20"/>
              </w:rPr>
              <w:t xml:space="preserve">Within the </w:t>
            </w:r>
            <w:r w:rsidRPr="00F47262">
              <w:rPr>
                <w:i/>
                <w:sz w:val="20"/>
              </w:rPr>
              <w:t>Enter the object names to select</w:t>
            </w:r>
            <w:r w:rsidRPr="00F47262">
              <w:rPr>
                <w:sz w:val="20"/>
              </w:rPr>
              <w:t xml:space="preserve"> pane, enter </w:t>
            </w:r>
            <w:r w:rsidRPr="00F47262">
              <w:rPr>
                <w:b/>
                <w:sz w:val="20"/>
              </w:rPr>
              <w:t>tpsadm</w:t>
            </w:r>
            <w:r w:rsidRPr="00F47262">
              <w:rPr>
                <w:sz w:val="20"/>
              </w:rPr>
              <w:t>.</w:t>
            </w:r>
          </w:p>
        </w:tc>
        <w:tc>
          <w:tcPr>
            <w:tcW w:w="4471" w:type="dxa"/>
            <w:vMerge w:val="restart"/>
          </w:tcPr>
          <w:p w14:paraId="42D132D2" w14:textId="77777777" w:rsidR="00270B24" w:rsidRPr="00F47262" w:rsidRDefault="00B37473" w:rsidP="00697B9C">
            <w:pPr>
              <w:spacing w:before="60" w:after="60"/>
              <w:rPr>
                <w:sz w:val="20"/>
              </w:rPr>
            </w:pPr>
            <w:r w:rsidRPr="00F47262">
              <w:rPr>
                <w:noProof/>
                <w:sz w:val="20"/>
              </w:rPr>
              <w:drawing>
                <wp:inline distT="0" distB="0" distL="0" distR="0" wp14:anchorId="608E7549" wp14:editId="54366B6D">
                  <wp:extent cx="2457450" cy="1343267"/>
                  <wp:effectExtent l="0" t="0" r="0" b="9525"/>
                  <wp:docPr id="1344" name="Pictur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screen">
                            <a:extLst>
                              <a:ext uri="{28A0092B-C50C-407E-A947-70E740481C1C}">
                                <a14:useLocalDpi xmlns:a14="http://schemas.microsoft.com/office/drawing/2010/main"/>
                              </a:ext>
                            </a:extLst>
                          </a:blip>
                          <a:stretch>
                            <a:fillRect/>
                          </a:stretch>
                        </pic:blipFill>
                        <pic:spPr>
                          <a:xfrm>
                            <a:off x="0" y="0"/>
                            <a:ext cx="2457450" cy="1343267"/>
                          </a:xfrm>
                          <a:prstGeom prst="rect">
                            <a:avLst/>
                          </a:prstGeom>
                        </pic:spPr>
                      </pic:pic>
                    </a:graphicData>
                  </a:graphic>
                </wp:inline>
              </w:drawing>
            </w:r>
          </w:p>
        </w:tc>
      </w:tr>
      <w:tr w:rsidR="00270B24" w:rsidRPr="00F47262" w14:paraId="6F406754" w14:textId="77777777" w:rsidTr="00F47262">
        <w:trPr>
          <w:cantSplit/>
        </w:trPr>
        <w:tc>
          <w:tcPr>
            <w:tcW w:w="738" w:type="dxa"/>
            <w:tcBorders>
              <w:bottom w:val="single" w:sz="4" w:space="0" w:color="auto"/>
            </w:tcBorders>
          </w:tcPr>
          <w:p w14:paraId="44F4CA7D" w14:textId="77777777" w:rsidR="00270B24" w:rsidRPr="00F47262" w:rsidRDefault="00270B24" w:rsidP="006D5A65">
            <w:pPr>
              <w:pStyle w:val="Heading1"/>
            </w:pPr>
          </w:p>
        </w:tc>
        <w:tc>
          <w:tcPr>
            <w:tcW w:w="4349" w:type="dxa"/>
            <w:tcBorders>
              <w:bottom w:val="single" w:sz="4" w:space="0" w:color="auto"/>
            </w:tcBorders>
          </w:tcPr>
          <w:p w14:paraId="7E08EB8F" w14:textId="77777777" w:rsidR="00270B24" w:rsidRPr="00F47262" w:rsidRDefault="00270B24" w:rsidP="00697B9C">
            <w:pPr>
              <w:spacing w:before="60" w:after="60"/>
              <w:rPr>
                <w:sz w:val="20"/>
              </w:rPr>
            </w:pPr>
            <w:r w:rsidRPr="00F47262">
              <w:rPr>
                <w:sz w:val="20"/>
              </w:rPr>
              <w:t xml:space="preserve">Click the </w:t>
            </w:r>
            <w:r w:rsidRPr="00F47262">
              <w:rPr>
                <w:b/>
                <w:sz w:val="20"/>
              </w:rPr>
              <w:t>OK</w:t>
            </w:r>
            <w:r w:rsidRPr="00F47262">
              <w:rPr>
                <w:sz w:val="20"/>
              </w:rPr>
              <w:t xml:space="preserve"> button.</w:t>
            </w:r>
          </w:p>
        </w:tc>
        <w:tc>
          <w:tcPr>
            <w:tcW w:w="4471" w:type="dxa"/>
            <w:vMerge/>
            <w:tcBorders>
              <w:bottom w:val="single" w:sz="4" w:space="0" w:color="auto"/>
            </w:tcBorders>
          </w:tcPr>
          <w:p w14:paraId="3741B819" w14:textId="77777777" w:rsidR="00270B24" w:rsidRPr="00F47262" w:rsidRDefault="00270B24" w:rsidP="00697B9C">
            <w:pPr>
              <w:spacing w:before="60" w:after="60"/>
              <w:rPr>
                <w:sz w:val="20"/>
              </w:rPr>
            </w:pPr>
          </w:p>
        </w:tc>
      </w:tr>
      <w:tr w:rsidR="00270B24" w:rsidRPr="00F47262" w14:paraId="21009812" w14:textId="77777777" w:rsidTr="00F47262">
        <w:trPr>
          <w:cantSplit/>
        </w:trPr>
        <w:tc>
          <w:tcPr>
            <w:tcW w:w="738" w:type="dxa"/>
            <w:tcBorders>
              <w:bottom w:val="single" w:sz="4" w:space="0" w:color="auto"/>
            </w:tcBorders>
          </w:tcPr>
          <w:p w14:paraId="14C8EFF7" w14:textId="77777777" w:rsidR="00270B24" w:rsidRPr="00F47262" w:rsidRDefault="00270B24" w:rsidP="006D5A65">
            <w:pPr>
              <w:pStyle w:val="Heading1"/>
            </w:pPr>
          </w:p>
        </w:tc>
        <w:tc>
          <w:tcPr>
            <w:tcW w:w="4349" w:type="dxa"/>
            <w:tcBorders>
              <w:bottom w:val="single" w:sz="4" w:space="0" w:color="auto"/>
            </w:tcBorders>
          </w:tcPr>
          <w:p w14:paraId="7BAA8050" w14:textId="77777777" w:rsidR="00270B24" w:rsidRPr="00F47262" w:rsidRDefault="00270B24" w:rsidP="00697B9C">
            <w:pPr>
              <w:spacing w:before="60" w:after="60"/>
              <w:rPr>
                <w:sz w:val="20"/>
              </w:rPr>
            </w:pPr>
            <w:r w:rsidRPr="00F47262">
              <w:rPr>
                <w:sz w:val="20"/>
              </w:rPr>
              <w:t xml:space="preserve">Click the </w:t>
            </w:r>
            <w:r w:rsidRPr="00F47262">
              <w:rPr>
                <w:b/>
                <w:sz w:val="20"/>
              </w:rPr>
              <w:t>OK</w:t>
            </w:r>
            <w:r w:rsidRPr="00F47262">
              <w:rPr>
                <w:sz w:val="20"/>
              </w:rPr>
              <w:t xml:space="preserve"> button.</w:t>
            </w:r>
          </w:p>
        </w:tc>
        <w:tc>
          <w:tcPr>
            <w:tcW w:w="4471" w:type="dxa"/>
            <w:tcBorders>
              <w:bottom w:val="single" w:sz="4" w:space="0" w:color="auto"/>
            </w:tcBorders>
          </w:tcPr>
          <w:p w14:paraId="570975FF" w14:textId="77777777" w:rsidR="00270B24" w:rsidRPr="00F47262" w:rsidRDefault="00270B24" w:rsidP="00697B9C">
            <w:pPr>
              <w:spacing w:before="60" w:after="60"/>
              <w:rPr>
                <w:sz w:val="20"/>
              </w:rPr>
            </w:pPr>
            <w:r w:rsidRPr="00F47262">
              <w:rPr>
                <w:noProof/>
                <w:sz w:val="20"/>
              </w:rPr>
              <w:drawing>
                <wp:inline distT="0" distB="0" distL="0" distR="0" wp14:anchorId="46C422BE" wp14:editId="6D75AD4F">
                  <wp:extent cx="2438400" cy="1981200"/>
                  <wp:effectExtent l="0" t="0" r="0" b="0"/>
                  <wp:docPr id="221" name="Picture 221" descr="Description: 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Picture2.png"/>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438400" cy="1981200"/>
                          </a:xfrm>
                          <a:prstGeom prst="rect">
                            <a:avLst/>
                          </a:prstGeom>
                          <a:noFill/>
                          <a:ln>
                            <a:noFill/>
                          </a:ln>
                        </pic:spPr>
                      </pic:pic>
                    </a:graphicData>
                  </a:graphic>
                </wp:inline>
              </w:drawing>
            </w:r>
          </w:p>
        </w:tc>
      </w:tr>
      <w:tr w:rsidR="00270B24" w:rsidRPr="00F47262" w14:paraId="6FDD31C5" w14:textId="77777777" w:rsidTr="00F47262">
        <w:trPr>
          <w:cantSplit/>
        </w:trPr>
        <w:tc>
          <w:tcPr>
            <w:tcW w:w="738" w:type="dxa"/>
            <w:tcBorders>
              <w:bottom w:val="single" w:sz="4" w:space="0" w:color="auto"/>
            </w:tcBorders>
          </w:tcPr>
          <w:p w14:paraId="2ED6BB9D" w14:textId="77777777" w:rsidR="00270B24" w:rsidRPr="00F47262" w:rsidRDefault="00270B24" w:rsidP="006D5A65">
            <w:pPr>
              <w:pStyle w:val="Heading1"/>
            </w:pPr>
          </w:p>
        </w:tc>
        <w:tc>
          <w:tcPr>
            <w:tcW w:w="4349" w:type="dxa"/>
            <w:tcBorders>
              <w:bottom w:val="single" w:sz="4" w:space="0" w:color="auto"/>
            </w:tcBorders>
          </w:tcPr>
          <w:p w14:paraId="7EE83E0A" w14:textId="77777777" w:rsidR="00270B24" w:rsidRPr="00F47262" w:rsidRDefault="00270B24" w:rsidP="00697B9C">
            <w:pPr>
              <w:spacing w:before="60" w:after="60"/>
              <w:rPr>
                <w:sz w:val="20"/>
              </w:rPr>
            </w:pPr>
            <w:r w:rsidRPr="00F47262">
              <w:rPr>
                <w:sz w:val="20"/>
              </w:rPr>
              <w:t>Reboot the workstation.</w:t>
            </w:r>
          </w:p>
        </w:tc>
        <w:tc>
          <w:tcPr>
            <w:tcW w:w="4471" w:type="dxa"/>
            <w:tcBorders>
              <w:bottom w:val="single" w:sz="4" w:space="0" w:color="auto"/>
            </w:tcBorders>
          </w:tcPr>
          <w:p w14:paraId="2EA0F4D4" w14:textId="77777777" w:rsidR="00270B24" w:rsidRPr="00F47262" w:rsidRDefault="00270B24" w:rsidP="00697B9C">
            <w:pPr>
              <w:spacing w:before="60" w:after="60"/>
              <w:rPr>
                <w:noProof/>
                <w:sz w:val="20"/>
              </w:rPr>
            </w:pPr>
          </w:p>
        </w:tc>
      </w:tr>
      <w:tr w:rsidR="00270B24" w:rsidRPr="00F47262" w14:paraId="400B044B" w14:textId="77777777" w:rsidTr="00F47262">
        <w:trPr>
          <w:cantSplit/>
        </w:trPr>
        <w:tc>
          <w:tcPr>
            <w:tcW w:w="738" w:type="dxa"/>
            <w:tcBorders>
              <w:bottom w:val="single" w:sz="4" w:space="0" w:color="auto"/>
            </w:tcBorders>
          </w:tcPr>
          <w:p w14:paraId="13CB3AB8" w14:textId="77777777" w:rsidR="00270B24" w:rsidRPr="00F47262" w:rsidRDefault="00270B24" w:rsidP="006D5A65">
            <w:pPr>
              <w:pStyle w:val="Heading1"/>
            </w:pPr>
          </w:p>
        </w:tc>
        <w:tc>
          <w:tcPr>
            <w:tcW w:w="4349" w:type="dxa"/>
            <w:tcBorders>
              <w:bottom w:val="single" w:sz="4" w:space="0" w:color="auto"/>
            </w:tcBorders>
          </w:tcPr>
          <w:p w14:paraId="76986AE6" w14:textId="77777777" w:rsidR="00270B24" w:rsidRPr="00F47262" w:rsidRDefault="00270B24" w:rsidP="00270B24">
            <w:pPr>
              <w:spacing w:before="60" w:after="60"/>
              <w:rPr>
                <w:sz w:val="20"/>
              </w:rPr>
            </w:pPr>
            <w:r w:rsidRPr="00F47262">
              <w:rPr>
                <w:sz w:val="20"/>
              </w:rPr>
              <w:t>Login to MDS as administrator.</w:t>
            </w:r>
          </w:p>
        </w:tc>
        <w:tc>
          <w:tcPr>
            <w:tcW w:w="4471" w:type="dxa"/>
            <w:tcBorders>
              <w:bottom w:val="single" w:sz="4" w:space="0" w:color="auto"/>
            </w:tcBorders>
          </w:tcPr>
          <w:p w14:paraId="5049F363" w14:textId="77777777" w:rsidR="00270B24" w:rsidRPr="00F47262" w:rsidRDefault="00270B24" w:rsidP="00697B9C">
            <w:pPr>
              <w:spacing w:before="60" w:after="60"/>
              <w:rPr>
                <w:noProof/>
                <w:sz w:val="20"/>
              </w:rPr>
            </w:pPr>
          </w:p>
        </w:tc>
      </w:tr>
      <w:tr w:rsidR="00270B24" w:rsidRPr="00F47262" w14:paraId="0C6C344E" w14:textId="77777777" w:rsidTr="00F47262">
        <w:trPr>
          <w:cantSplit/>
        </w:trPr>
        <w:tc>
          <w:tcPr>
            <w:tcW w:w="738" w:type="dxa"/>
            <w:tcBorders>
              <w:bottom w:val="single" w:sz="4" w:space="0" w:color="auto"/>
            </w:tcBorders>
          </w:tcPr>
          <w:p w14:paraId="01B0773C" w14:textId="77777777" w:rsidR="00270B24" w:rsidRPr="00F47262" w:rsidRDefault="00270B24" w:rsidP="006D5A65">
            <w:pPr>
              <w:pStyle w:val="Heading1"/>
            </w:pPr>
          </w:p>
        </w:tc>
        <w:tc>
          <w:tcPr>
            <w:tcW w:w="4349" w:type="dxa"/>
            <w:tcBorders>
              <w:bottom w:val="single" w:sz="4" w:space="0" w:color="auto"/>
            </w:tcBorders>
          </w:tcPr>
          <w:p w14:paraId="69DADEEF" w14:textId="77777777" w:rsidR="00270B24" w:rsidRPr="00F47262" w:rsidRDefault="00377AB3" w:rsidP="00377AB3">
            <w:pPr>
              <w:spacing w:before="60" w:after="60"/>
              <w:rPr>
                <w:sz w:val="20"/>
              </w:rPr>
            </w:pPr>
            <w:r w:rsidRPr="00F47262">
              <w:rPr>
                <w:sz w:val="20"/>
              </w:rPr>
              <w:t xml:space="preserve">On the MDS workstation, right-click on the </w:t>
            </w:r>
            <w:r w:rsidRPr="00F47262">
              <w:rPr>
                <w:b/>
                <w:sz w:val="20"/>
              </w:rPr>
              <w:t>MDS Toolbox</w:t>
            </w:r>
            <w:r w:rsidRPr="00F47262">
              <w:rPr>
                <w:sz w:val="20"/>
              </w:rPr>
              <w:t xml:space="preserve"> desktop shortcut icon </w:t>
            </w:r>
            <w:r w:rsidRPr="00F47262">
              <w:rPr>
                <w:noProof/>
                <w:sz w:val="20"/>
              </w:rPr>
              <w:drawing>
                <wp:inline distT="0" distB="0" distL="0" distR="0" wp14:anchorId="5686AB2E" wp14:editId="0761EABE">
                  <wp:extent cx="276225" cy="247650"/>
                  <wp:effectExtent l="19050" t="0" r="9525" b="0"/>
                  <wp:docPr id="1358"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and select </w:t>
            </w:r>
            <w:r w:rsidRPr="00F47262">
              <w:rPr>
                <w:b/>
                <w:sz w:val="20"/>
              </w:rPr>
              <w:t>Run as administrator</w:t>
            </w:r>
            <w:r w:rsidRPr="00F47262">
              <w:rPr>
                <w:sz w:val="20"/>
              </w:rPr>
              <w:t xml:space="preserve"> from the resulting pop-up menu.</w:t>
            </w:r>
          </w:p>
        </w:tc>
        <w:tc>
          <w:tcPr>
            <w:tcW w:w="4471" w:type="dxa"/>
            <w:tcBorders>
              <w:bottom w:val="single" w:sz="4" w:space="0" w:color="auto"/>
            </w:tcBorders>
          </w:tcPr>
          <w:p w14:paraId="0CA76221" w14:textId="77777777" w:rsidR="00270B24" w:rsidRPr="00F47262" w:rsidRDefault="00270B24" w:rsidP="00697B9C">
            <w:pPr>
              <w:spacing w:before="60" w:after="60"/>
              <w:rPr>
                <w:noProof/>
                <w:sz w:val="20"/>
              </w:rPr>
            </w:pPr>
          </w:p>
        </w:tc>
      </w:tr>
      <w:tr w:rsidR="00270B24" w:rsidRPr="00F47262" w14:paraId="48FFA5F2" w14:textId="77777777" w:rsidTr="00F47262">
        <w:trPr>
          <w:cantSplit/>
        </w:trPr>
        <w:tc>
          <w:tcPr>
            <w:tcW w:w="738" w:type="dxa"/>
            <w:tcBorders>
              <w:bottom w:val="single" w:sz="4" w:space="0" w:color="auto"/>
            </w:tcBorders>
          </w:tcPr>
          <w:p w14:paraId="2E1F3D2C" w14:textId="77777777" w:rsidR="00270B24" w:rsidRPr="00F47262" w:rsidRDefault="00270B24" w:rsidP="006D5A65">
            <w:pPr>
              <w:pStyle w:val="Heading1"/>
            </w:pPr>
          </w:p>
        </w:tc>
        <w:tc>
          <w:tcPr>
            <w:tcW w:w="4349" w:type="dxa"/>
            <w:tcBorders>
              <w:bottom w:val="single" w:sz="4" w:space="0" w:color="auto"/>
            </w:tcBorders>
          </w:tcPr>
          <w:p w14:paraId="7F7A9A98" w14:textId="77777777" w:rsidR="00270B24" w:rsidRPr="00F47262" w:rsidRDefault="00270B24" w:rsidP="00697B9C">
            <w:pPr>
              <w:spacing w:before="60" w:after="60"/>
              <w:rPr>
                <w:sz w:val="20"/>
              </w:rPr>
            </w:pPr>
            <w:r w:rsidRPr="00F47262">
              <w:rPr>
                <w:sz w:val="20"/>
              </w:rPr>
              <w:t>Create a new TMPR.</w:t>
            </w:r>
          </w:p>
        </w:tc>
        <w:tc>
          <w:tcPr>
            <w:tcW w:w="4471" w:type="dxa"/>
            <w:tcBorders>
              <w:bottom w:val="single" w:sz="4" w:space="0" w:color="auto"/>
            </w:tcBorders>
          </w:tcPr>
          <w:p w14:paraId="1D89C2B7" w14:textId="77777777" w:rsidR="00270B24" w:rsidRPr="00F47262" w:rsidRDefault="00270B24" w:rsidP="00697B9C">
            <w:pPr>
              <w:spacing w:before="60" w:after="60"/>
              <w:rPr>
                <w:sz w:val="20"/>
              </w:rPr>
            </w:pPr>
          </w:p>
        </w:tc>
      </w:tr>
      <w:tr w:rsidR="00270B24" w:rsidRPr="00F47262" w14:paraId="65992DC1" w14:textId="77777777" w:rsidTr="00F47262">
        <w:trPr>
          <w:cantSplit/>
        </w:trPr>
        <w:tc>
          <w:tcPr>
            <w:tcW w:w="738" w:type="dxa"/>
            <w:tcBorders>
              <w:bottom w:val="single" w:sz="4" w:space="0" w:color="auto"/>
            </w:tcBorders>
          </w:tcPr>
          <w:p w14:paraId="128E08FD" w14:textId="77777777" w:rsidR="00270B24" w:rsidRPr="00F47262" w:rsidRDefault="00270B24" w:rsidP="006D5A65">
            <w:pPr>
              <w:pStyle w:val="Heading1"/>
            </w:pPr>
          </w:p>
        </w:tc>
        <w:tc>
          <w:tcPr>
            <w:tcW w:w="4349" w:type="dxa"/>
            <w:tcBorders>
              <w:bottom w:val="single" w:sz="4" w:space="0" w:color="auto"/>
            </w:tcBorders>
          </w:tcPr>
          <w:p w14:paraId="6DFB7DBE" w14:textId="77777777" w:rsidR="00270B24" w:rsidRPr="00F47262" w:rsidRDefault="00270B24" w:rsidP="00697B9C">
            <w:pPr>
              <w:spacing w:before="60" w:after="60"/>
              <w:rPr>
                <w:sz w:val="20"/>
              </w:rPr>
            </w:pPr>
            <w:r w:rsidRPr="00F47262">
              <w:rPr>
                <w:sz w:val="20"/>
              </w:rPr>
              <w:t>Submit the TMPR to TPS.</w:t>
            </w:r>
          </w:p>
        </w:tc>
        <w:tc>
          <w:tcPr>
            <w:tcW w:w="4471" w:type="dxa"/>
            <w:tcBorders>
              <w:bottom w:val="single" w:sz="4" w:space="0" w:color="auto"/>
            </w:tcBorders>
          </w:tcPr>
          <w:p w14:paraId="6413C5D3" w14:textId="77777777" w:rsidR="00270B24" w:rsidRPr="00F47262" w:rsidRDefault="00270B24" w:rsidP="00697B9C">
            <w:pPr>
              <w:spacing w:before="60" w:after="60"/>
              <w:rPr>
                <w:sz w:val="20"/>
              </w:rPr>
            </w:pPr>
          </w:p>
        </w:tc>
      </w:tr>
      <w:tr w:rsidR="00270B24" w:rsidRPr="00F47262" w14:paraId="792CA074" w14:textId="77777777" w:rsidTr="00F47262">
        <w:trPr>
          <w:cantSplit/>
        </w:trPr>
        <w:tc>
          <w:tcPr>
            <w:tcW w:w="738" w:type="dxa"/>
            <w:tcBorders>
              <w:bottom w:val="single" w:sz="4" w:space="0" w:color="auto"/>
            </w:tcBorders>
          </w:tcPr>
          <w:p w14:paraId="407D39DA" w14:textId="77777777" w:rsidR="00270B24" w:rsidRPr="00F47262" w:rsidRDefault="00270B24" w:rsidP="006D5A65">
            <w:pPr>
              <w:pStyle w:val="Heading1"/>
            </w:pPr>
          </w:p>
        </w:tc>
        <w:tc>
          <w:tcPr>
            <w:tcW w:w="4349" w:type="dxa"/>
            <w:tcBorders>
              <w:bottom w:val="single" w:sz="4" w:space="0" w:color="auto"/>
            </w:tcBorders>
          </w:tcPr>
          <w:p w14:paraId="1F2139E3" w14:textId="77777777" w:rsidR="00270B24" w:rsidRPr="00F47262" w:rsidRDefault="00270B24" w:rsidP="00697B9C">
            <w:pPr>
              <w:spacing w:before="60" w:after="60"/>
              <w:rPr>
                <w:sz w:val="20"/>
              </w:rPr>
            </w:pPr>
            <w:r w:rsidRPr="00F47262">
              <w:rPr>
                <w:sz w:val="20"/>
              </w:rPr>
              <w:t>Verify TMPR status: See Note 1</w:t>
            </w:r>
            <w:r w:rsidR="001C22D7" w:rsidRPr="00F47262">
              <w:rPr>
                <w:sz w:val="20"/>
              </w:rPr>
              <w:t>.</w:t>
            </w:r>
          </w:p>
          <w:p w14:paraId="58B67D33" w14:textId="4A58BE5F" w:rsidR="00270B24" w:rsidRPr="00F47262" w:rsidRDefault="00270B24" w:rsidP="006D5A65">
            <w:pPr>
              <w:pStyle w:val="Heading1"/>
            </w:pPr>
            <w:r w:rsidRPr="00F47262">
              <w:t xml:space="preserve">If </w:t>
            </w:r>
            <w:r w:rsidR="001C22D7" w:rsidRPr="00F47262">
              <w:t>s</w:t>
            </w:r>
            <w:r w:rsidRPr="00F47262">
              <w:t xml:space="preserve">tatus column says: In work, problem was </w:t>
            </w:r>
            <w:r w:rsidR="00273387" w:rsidRPr="00F47262">
              <w:t>resolved,</w:t>
            </w:r>
            <w:r w:rsidRPr="00F47262">
              <w:t xml:space="preserve"> and no additional action required.</w:t>
            </w:r>
          </w:p>
          <w:p w14:paraId="6BEDEF28" w14:textId="77777777" w:rsidR="00270B24" w:rsidRPr="00F47262" w:rsidRDefault="00270B24" w:rsidP="006D5A65">
            <w:pPr>
              <w:pStyle w:val="Heading1"/>
            </w:pPr>
            <w:r w:rsidRPr="00F47262">
              <w:t xml:space="preserve">If </w:t>
            </w:r>
            <w:r w:rsidR="001C22D7" w:rsidRPr="00F47262">
              <w:t>s</w:t>
            </w:r>
            <w:r w:rsidRPr="00F47262">
              <w:t xml:space="preserve">tatus column says: Submitted, proceed to </w:t>
            </w:r>
            <w:r w:rsidR="000B25B3" w:rsidRPr="00F47262">
              <w:t>the next step</w:t>
            </w:r>
            <w:r w:rsidRPr="00F47262">
              <w:t>.</w:t>
            </w:r>
          </w:p>
        </w:tc>
        <w:tc>
          <w:tcPr>
            <w:tcW w:w="4471" w:type="dxa"/>
            <w:tcBorders>
              <w:bottom w:val="single" w:sz="4" w:space="0" w:color="auto"/>
            </w:tcBorders>
          </w:tcPr>
          <w:p w14:paraId="21FCC55F" w14:textId="77777777" w:rsidR="00270B24" w:rsidRPr="00F47262" w:rsidRDefault="00270B24" w:rsidP="00270B24">
            <w:pPr>
              <w:spacing w:before="60" w:after="60"/>
              <w:rPr>
                <w:sz w:val="20"/>
              </w:rPr>
            </w:pPr>
            <w:r w:rsidRPr="00F47262">
              <w:rPr>
                <w:b/>
                <w:i/>
                <w:sz w:val="20"/>
              </w:rPr>
              <w:t>Note 1:</w:t>
            </w:r>
            <w:r w:rsidRPr="00F47262">
              <w:rPr>
                <w:sz w:val="20"/>
              </w:rPr>
              <w:t xml:space="preserve"> Allow approx</w:t>
            </w:r>
            <w:r w:rsidR="00E4470E" w:rsidRPr="00F47262">
              <w:rPr>
                <w:sz w:val="20"/>
              </w:rPr>
              <w:t>imately</w:t>
            </w:r>
            <w:r w:rsidRPr="00F47262">
              <w:rPr>
                <w:sz w:val="20"/>
              </w:rPr>
              <w:t xml:space="preserve"> 2-4 minutes for the status to update.</w:t>
            </w:r>
          </w:p>
        </w:tc>
      </w:tr>
      <w:tr w:rsidR="00A10A0C" w:rsidRPr="00F47262" w14:paraId="6E4956BF" w14:textId="77777777" w:rsidTr="00F47262">
        <w:trPr>
          <w:cantSplit/>
        </w:trPr>
        <w:tc>
          <w:tcPr>
            <w:tcW w:w="9558" w:type="dxa"/>
            <w:gridSpan w:val="3"/>
            <w:shd w:val="clear" w:color="auto" w:fill="C6D9F1" w:themeFill="text2" w:themeFillTint="33"/>
          </w:tcPr>
          <w:p w14:paraId="40148544" w14:textId="77777777" w:rsidR="00270B24" w:rsidRPr="00F47262" w:rsidRDefault="00270B24" w:rsidP="00270B24">
            <w:pPr>
              <w:spacing w:before="60" w:after="60"/>
              <w:rPr>
                <w:b/>
                <w:i/>
                <w:color w:val="000000" w:themeColor="text1"/>
                <w:sz w:val="20"/>
              </w:rPr>
            </w:pPr>
            <w:r w:rsidRPr="00F47262">
              <w:rPr>
                <w:b/>
                <w:i/>
                <w:color w:val="000000" w:themeColor="text1"/>
                <w:sz w:val="20"/>
              </w:rPr>
              <w:t>Verify tpsadm Account Password Matching</w:t>
            </w:r>
          </w:p>
        </w:tc>
      </w:tr>
      <w:tr w:rsidR="00270B24" w:rsidRPr="00F47262" w14:paraId="4701AF28" w14:textId="77777777" w:rsidTr="00F47262">
        <w:trPr>
          <w:cantSplit/>
        </w:trPr>
        <w:tc>
          <w:tcPr>
            <w:tcW w:w="738" w:type="dxa"/>
          </w:tcPr>
          <w:p w14:paraId="0E91BD73" w14:textId="77777777" w:rsidR="00270B24" w:rsidRPr="00F47262" w:rsidRDefault="00270B24" w:rsidP="006D5A65">
            <w:pPr>
              <w:pStyle w:val="Heading1"/>
            </w:pPr>
          </w:p>
        </w:tc>
        <w:tc>
          <w:tcPr>
            <w:tcW w:w="4349" w:type="dxa"/>
          </w:tcPr>
          <w:p w14:paraId="081D9329" w14:textId="77777777" w:rsidR="00270B24" w:rsidRPr="00F47262" w:rsidRDefault="00270B24" w:rsidP="00270B24">
            <w:pPr>
              <w:spacing w:before="60" w:after="60"/>
              <w:rPr>
                <w:sz w:val="20"/>
              </w:rPr>
            </w:pPr>
            <w:r w:rsidRPr="00F47262">
              <w:rPr>
                <w:sz w:val="20"/>
              </w:rPr>
              <w:t>Login to the appropriate machine with an account that has administrator privileges.</w:t>
            </w:r>
          </w:p>
        </w:tc>
        <w:tc>
          <w:tcPr>
            <w:tcW w:w="4471" w:type="dxa"/>
          </w:tcPr>
          <w:p w14:paraId="71A35014" w14:textId="77777777" w:rsidR="00270B24" w:rsidRPr="00F47262" w:rsidRDefault="00270B24" w:rsidP="00697B9C">
            <w:pPr>
              <w:spacing w:before="60" w:after="60"/>
              <w:rPr>
                <w:sz w:val="20"/>
              </w:rPr>
            </w:pPr>
            <w:r w:rsidRPr="00F47262">
              <w:rPr>
                <w:b/>
                <w:sz w:val="20"/>
              </w:rPr>
              <w:t>CSG</w:t>
            </w:r>
            <w:r w:rsidRPr="00F47262">
              <w:rPr>
                <w:sz w:val="20"/>
              </w:rPr>
              <w:t xml:space="preserve"> = TED Database Server &amp; MDS workstation</w:t>
            </w:r>
          </w:p>
          <w:p w14:paraId="2143F459" w14:textId="77777777" w:rsidR="00270B24" w:rsidRPr="00F47262" w:rsidRDefault="008D07DB" w:rsidP="00697B9C">
            <w:pPr>
              <w:spacing w:before="60" w:after="60"/>
              <w:rPr>
                <w:sz w:val="20"/>
              </w:rPr>
            </w:pPr>
            <w:r w:rsidRPr="00F47262">
              <w:rPr>
                <w:b/>
                <w:sz w:val="20"/>
              </w:rPr>
              <w:t>Standalone MDS</w:t>
            </w:r>
            <w:r w:rsidRPr="00F47262">
              <w:rPr>
                <w:sz w:val="20"/>
              </w:rPr>
              <w:t xml:space="preserve"> </w:t>
            </w:r>
            <w:r w:rsidR="00270B24" w:rsidRPr="00F47262">
              <w:rPr>
                <w:sz w:val="20"/>
              </w:rPr>
              <w:t>= MWET workstation</w:t>
            </w:r>
          </w:p>
        </w:tc>
      </w:tr>
      <w:tr w:rsidR="00270B24" w:rsidRPr="00F47262" w14:paraId="4650A256" w14:textId="77777777" w:rsidTr="00F47262">
        <w:trPr>
          <w:cantSplit/>
        </w:trPr>
        <w:tc>
          <w:tcPr>
            <w:tcW w:w="738" w:type="dxa"/>
          </w:tcPr>
          <w:p w14:paraId="26A96D8C" w14:textId="77777777" w:rsidR="00270B24" w:rsidRPr="00F47262" w:rsidRDefault="00270B24" w:rsidP="006D5A65">
            <w:pPr>
              <w:pStyle w:val="Heading1"/>
            </w:pPr>
          </w:p>
        </w:tc>
        <w:tc>
          <w:tcPr>
            <w:tcW w:w="4349" w:type="dxa"/>
          </w:tcPr>
          <w:p w14:paraId="4CDC496F" w14:textId="77777777" w:rsidR="00270B24" w:rsidRPr="00F47262" w:rsidRDefault="00F43BC1" w:rsidP="00F43BC1">
            <w:pPr>
              <w:spacing w:before="60" w:after="60"/>
              <w:rPr>
                <w:sz w:val="20"/>
              </w:rPr>
            </w:pPr>
            <w:r w:rsidRPr="00F47262">
              <w:rPr>
                <w:sz w:val="20"/>
              </w:rPr>
              <w:t xml:space="preserve">Right-click the </w:t>
            </w:r>
            <w:r w:rsidRPr="00F47262">
              <w:rPr>
                <w:noProof/>
                <w:sz w:val="20"/>
              </w:rPr>
              <w:drawing>
                <wp:inline distT="0" distB="0" distL="0" distR="0" wp14:anchorId="52772522" wp14:editId="3FD86657">
                  <wp:extent cx="182880" cy="178068"/>
                  <wp:effectExtent l="0" t="0" r="7620" b="0"/>
                  <wp:docPr id="97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Computer Management</w:t>
            </w:r>
            <w:r w:rsidRPr="00F47262">
              <w:rPr>
                <w:sz w:val="20"/>
              </w:rPr>
              <w:t xml:space="preserve"> from the pop-up menu. </w:t>
            </w:r>
          </w:p>
        </w:tc>
        <w:tc>
          <w:tcPr>
            <w:tcW w:w="4471" w:type="dxa"/>
          </w:tcPr>
          <w:p w14:paraId="39F9FC4B" w14:textId="77777777" w:rsidR="00270B24" w:rsidRPr="00F47262" w:rsidRDefault="00270B24" w:rsidP="00697B9C">
            <w:pPr>
              <w:spacing w:before="60" w:after="60"/>
              <w:rPr>
                <w:sz w:val="20"/>
              </w:rPr>
            </w:pPr>
          </w:p>
        </w:tc>
      </w:tr>
      <w:tr w:rsidR="00270B24" w:rsidRPr="00F47262" w14:paraId="353EE3F8" w14:textId="77777777" w:rsidTr="00F47262">
        <w:trPr>
          <w:cantSplit/>
        </w:trPr>
        <w:tc>
          <w:tcPr>
            <w:tcW w:w="738" w:type="dxa"/>
          </w:tcPr>
          <w:p w14:paraId="1E7095F6" w14:textId="77777777" w:rsidR="00270B24" w:rsidRPr="00F47262" w:rsidRDefault="00270B24" w:rsidP="006D5A65">
            <w:pPr>
              <w:pStyle w:val="Heading1"/>
            </w:pPr>
          </w:p>
        </w:tc>
        <w:tc>
          <w:tcPr>
            <w:tcW w:w="4349" w:type="dxa"/>
          </w:tcPr>
          <w:p w14:paraId="6035B43D" w14:textId="77777777" w:rsidR="00270B24" w:rsidRPr="00F47262" w:rsidRDefault="00270B24" w:rsidP="00697B9C">
            <w:pPr>
              <w:spacing w:before="60" w:after="60"/>
              <w:rPr>
                <w:sz w:val="20"/>
              </w:rPr>
            </w:pPr>
            <w:r w:rsidRPr="00F47262">
              <w:rPr>
                <w:sz w:val="20"/>
              </w:rPr>
              <w:t xml:space="preserve">Click the </w:t>
            </w:r>
            <w:r w:rsidRPr="00F47262">
              <w:rPr>
                <w:b/>
                <w:sz w:val="20"/>
              </w:rPr>
              <w:t>Yes</w:t>
            </w:r>
            <w:r w:rsidRPr="00F47262">
              <w:rPr>
                <w:sz w:val="20"/>
              </w:rPr>
              <w:t xml:space="preserve"> button to acknowledge the </w:t>
            </w:r>
            <w:r w:rsidRPr="00F47262">
              <w:rPr>
                <w:i/>
                <w:sz w:val="20"/>
              </w:rPr>
              <w:t xml:space="preserve">User Account Control </w:t>
            </w:r>
            <w:r w:rsidRPr="00F47262">
              <w:rPr>
                <w:sz w:val="20"/>
              </w:rPr>
              <w:t>window</w:t>
            </w:r>
            <w:r w:rsidR="00377AB3" w:rsidRPr="00F47262">
              <w:rPr>
                <w:sz w:val="20"/>
              </w:rPr>
              <w:t xml:space="preserve"> if displayed</w:t>
            </w:r>
            <w:r w:rsidRPr="00F47262">
              <w:rPr>
                <w:sz w:val="20"/>
              </w:rPr>
              <w:t>.</w:t>
            </w:r>
          </w:p>
        </w:tc>
        <w:tc>
          <w:tcPr>
            <w:tcW w:w="4471" w:type="dxa"/>
          </w:tcPr>
          <w:p w14:paraId="07507902" w14:textId="77777777" w:rsidR="00270B24" w:rsidRPr="00F47262" w:rsidRDefault="00270B24" w:rsidP="00697B9C">
            <w:pPr>
              <w:spacing w:before="60" w:after="60"/>
              <w:rPr>
                <w:sz w:val="20"/>
              </w:rPr>
            </w:pPr>
          </w:p>
        </w:tc>
      </w:tr>
      <w:tr w:rsidR="00270B24" w:rsidRPr="00F47262" w14:paraId="1960EB49" w14:textId="77777777" w:rsidTr="00F47262">
        <w:trPr>
          <w:cantSplit/>
        </w:trPr>
        <w:tc>
          <w:tcPr>
            <w:tcW w:w="738" w:type="dxa"/>
          </w:tcPr>
          <w:p w14:paraId="48BC7B4F" w14:textId="77777777" w:rsidR="00270B24" w:rsidRPr="00F47262" w:rsidRDefault="00270B24" w:rsidP="006D5A65">
            <w:pPr>
              <w:pStyle w:val="Heading1"/>
            </w:pPr>
          </w:p>
        </w:tc>
        <w:tc>
          <w:tcPr>
            <w:tcW w:w="4349" w:type="dxa"/>
          </w:tcPr>
          <w:p w14:paraId="01D353DB" w14:textId="77777777" w:rsidR="00270B24" w:rsidRPr="00F47262" w:rsidRDefault="00F43BC1" w:rsidP="00F43BC1">
            <w:pPr>
              <w:spacing w:before="60" w:after="60"/>
              <w:rPr>
                <w:sz w:val="20"/>
              </w:rPr>
            </w:pPr>
            <w:r w:rsidRPr="00F47262">
              <w:rPr>
                <w:sz w:val="20"/>
              </w:rPr>
              <w:t xml:space="preserve">From the </w:t>
            </w:r>
            <w:r w:rsidRPr="00F47262">
              <w:rPr>
                <w:i/>
                <w:sz w:val="20"/>
              </w:rPr>
              <w:t>Computer Management</w:t>
            </w:r>
            <w:r w:rsidRPr="00F47262">
              <w:rPr>
                <w:sz w:val="20"/>
              </w:rPr>
              <w:t xml:space="preserve"> left panel, expand </w:t>
            </w:r>
            <w:r w:rsidRPr="00F47262">
              <w:rPr>
                <w:b/>
                <w:sz w:val="20"/>
              </w:rPr>
              <w:t>System Tools</w:t>
            </w:r>
            <w:r w:rsidRPr="00F47262">
              <w:rPr>
                <w:sz w:val="20"/>
              </w:rPr>
              <w:t xml:space="preserve"> </w:t>
            </w:r>
            <w:r w:rsidRPr="00F47262">
              <w:rPr>
                <w:b/>
                <w:sz w:val="20"/>
              </w:rPr>
              <w:sym w:font="Wingdings" w:char="F0E0"/>
            </w:r>
            <w:r w:rsidRPr="00F47262">
              <w:rPr>
                <w:b/>
                <w:sz w:val="20"/>
              </w:rPr>
              <w:t xml:space="preserve"> Local Users and Groups</w:t>
            </w:r>
            <w:r w:rsidRPr="00F47262">
              <w:rPr>
                <w:sz w:val="20"/>
              </w:rPr>
              <w:t>.</w:t>
            </w:r>
          </w:p>
        </w:tc>
        <w:tc>
          <w:tcPr>
            <w:tcW w:w="4471" w:type="dxa"/>
          </w:tcPr>
          <w:p w14:paraId="234496FB" w14:textId="77777777" w:rsidR="00270B24" w:rsidRPr="00F47262" w:rsidRDefault="00270B24" w:rsidP="00697B9C">
            <w:pPr>
              <w:spacing w:before="60" w:after="60"/>
              <w:rPr>
                <w:sz w:val="20"/>
              </w:rPr>
            </w:pPr>
          </w:p>
        </w:tc>
      </w:tr>
      <w:tr w:rsidR="00270B24" w:rsidRPr="00F47262" w14:paraId="25A892E1" w14:textId="77777777" w:rsidTr="00F47262">
        <w:trPr>
          <w:cantSplit/>
        </w:trPr>
        <w:tc>
          <w:tcPr>
            <w:tcW w:w="738" w:type="dxa"/>
          </w:tcPr>
          <w:p w14:paraId="362F20AB" w14:textId="77777777" w:rsidR="00270B24" w:rsidRPr="00F47262" w:rsidRDefault="00270B24" w:rsidP="006D5A65">
            <w:pPr>
              <w:pStyle w:val="Heading1"/>
            </w:pPr>
          </w:p>
        </w:tc>
        <w:tc>
          <w:tcPr>
            <w:tcW w:w="4349" w:type="dxa"/>
          </w:tcPr>
          <w:p w14:paraId="49050F18" w14:textId="77777777" w:rsidR="00270B24" w:rsidRPr="00F47262" w:rsidRDefault="00270B24" w:rsidP="00697B9C">
            <w:pPr>
              <w:spacing w:before="60" w:after="60"/>
              <w:rPr>
                <w:sz w:val="20"/>
              </w:rPr>
            </w:pPr>
            <w:r w:rsidRPr="00F47262">
              <w:rPr>
                <w:sz w:val="20"/>
              </w:rPr>
              <w:t xml:space="preserve">Select the </w:t>
            </w:r>
            <w:r w:rsidRPr="00F47262">
              <w:rPr>
                <w:b/>
                <w:sz w:val="20"/>
              </w:rPr>
              <w:t>Users</w:t>
            </w:r>
            <w:r w:rsidRPr="00F47262">
              <w:rPr>
                <w:sz w:val="20"/>
              </w:rPr>
              <w:t xml:space="preserve"> folder.</w:t>
            </w:r>
          </w:p>
        </w:tc>
        <w:tc>
          <w:tcPr>
            <w:tcW w:w="4471" w:type="dxa"/>
          </w:tcPr>
          <w:p w14:paraId="6220F6CA" w14:textId="77777777" w:rsidR="00270B24" w:rsidRPr="00F47262" w:rsidRDefault="00270B24" w:rsidP="00697B9C">
            <w:pPr>
              <w:spacing w:before="60" w:after="60"/>
              <w:rPr>
                <w:sz w:val="20"/>
              </w:rPr>
            </w:pPr>
          </w:p>
        </w:tc>
      </w:tr>
      <w:tr w:rsidR="00270B24" w:rsidRPr="00F47262" w14:paraId="40779ADF" w14:textId="77777777" w:rsidTr="00F47262">
        <w:trPr>
          <w:cantSplit/>
        </w:trPr>
        <w:tc>
          <w:tcPr>
            <w:tcW w:w="738" w:type="dxa"/>
          </w:tcPr>
          <w:p w14:paraId="4F178001" w14:textId="77777777" w:rsidR="00270B24" w:rsidRPr="00F47262" w:rsidRDefault="00270B24" w:rsidP="006D5A65">
            <w:pPr>
              <w:pStyle w:val="Heading1"/>
            </w:pPr>
          </w:p>
        </w:tc>
        <w:tc>
          <w:tcPr>
            <w:tcW w:w="4349" w:type="dxa"/>
          </w:tcPr>
          <w:p w14:paraId="53967E07" w14:textId="77777777" w:rsidR="00270B24" w:rsidRPr="00F47262" w:rsidRDefault="00270B24" w:rsidP="00F43BC1">
            <w:pPr>
              <w:spacing w:before="60" w:after="60"/>
              <w:rPr>
                <w:sz w:val="20"/>
              </w:rPr>
            </w:pPr>
            <w:r w:rsidRPr="00F47262">
              <w:rPr>
                <w:sz w:val="20"/>
              </w:rPr>
              <w:t xml:space="preserve">In the </w:t>
            </w:r>
            <w:r w:rsidR="00F43BC1" w:rsidRPr="00F47262">
              <w:rPr>
                <w:sz w:val="20"/>
              </w:rPr>
              <w:t xml:space="preserve">middle </w:t>
            </w:r>
            <w:r w:rsidRPr="00F47262">
              <w:rPr>
                <w:sz w:val="20"/>
              </w:rPr>
              <w:t xml:space="preserve">pane, right-click the </w:t>
            </w:r>
            <w:r w:rsidRPr="00F47262">
              <w:rPr>
                <w:b/>
                <w:sz w:val="20"/>
              </w:rPr>
              <w:t>tpsadm</w:t>
            </w:r>
            <w:r w:rsidRPr="00F47262">
              <w:rPr>
                <w:sz w:val="20"/>
              </w:rPr>
              <w:t xml:space="preserve"> account entry and select the </w:t>
            </w:r>
            <w:r w:rsidRPr="00F47262">
              <w:rPr>
                <w:b/>
                <w:sz w:val="20"/>
              </w:rPr>
              <w:t>Set Password</w:t>
            </w:r>
            <w:r w:rsidRPr="00F47262">
              <w:rPr>
                <w:sz w:val="20"/>
              </w:rPr>
              <w:t xml:space="preserve"> menu option.</w:t>
            </w:r>
          </w:p>
        </w:tc>
        <w:tc>
          <w:tcPr>
            <w:tcW w:w="4471" w:type="dxa"/>
          </w:tcPr>
          <w:p w14:paraId="4F6DC050" w14:textId="77777777" w:rsidR="00270B24" w:rsidRPr="00F47262" w:rsidRDefault="00F43BC1" w:rsidP="00697B9C">
            <w:pPr>
              <w:spacing w:before="60" w:after="60"/>
              <w:rPr>
                <w:sz w:val="20"/>
              </w:rPr>
            </w:pPr>
            <w:r w:rsidRPr="00F47262">
              <w:rPr>
                <w:noProof/>
                <w:sz w:val="20"/>
              </w:rPr>
              <w:drawing>
                <wp:inline distT="0" distB="0" distL="0" distR="0" wp14:anchorId="6BDADB0A" wp14:editId="4611FAC1">
                  <wp:extent cx="2731147" cy="1914525"/>
                  <wp:effectExtent l="0" t="0" r="0"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screen">
                            <a:extLst>
                              <a:ext uri="{28A0092B-C50C-407E-A947-70E740481C1C}">
                                <a14:useLocalDpi xmlns:a14="http://schemas.microsoft.com/office/drawing/2010/main"/>
                              </a:ext>
                            </a:extLst>
                          </a:blip>
                          <a:stretch>
                            <a:fillRect/>
                          </a:stretch>
                        </pic:blipFill>
                        <pic:spPr>
                          <a:xfrm>
                            <a:off x="0" y="0"/>
                            <a:ext cx="2735554" cy="1917614"/>
                          </a:xfrm>
                          <a:prstGeom prst="rect">
                            <a:avLst/>
                          </a:prstGeom>
                        </pic:spPr>
                      </pic:pic>
                    </a:graphicData>
                  </a:graphic>
                </wp:inline>
              </w:drawing>
            </w:r>
          </w:p>
        </w:tc>
      </w:tr>
      <w:tr w:rsidR="00270B24" w:rsidRPr="00F47262" w14:paraId="375A08D8" w14:textId="77777777" w:rsidTr="00F47262">
        <w:trPr>
          <w:cantSplit/>
        </w:trPr>
        <w:tc>
          <w:tcPr>
            <w:tcW w:w="738" w:type="dxa"/>
          </w:tcPr>
          <w:p w14:paraId="477D46BC" w14:textId="77777777" w:rsidR="00270B24" w:rsidRPr="00F47262" w:rsidRDefault="00270B24" w:rsidP="006D5A65">
            <w:pPr>
              <w:pStyle w:val="Heading1"/>
            </w:pPr>
          </w:p>
        </w:tc>
        <w:tc>
          <w:tcPr>
            <w:tcW w:w="4349" w:type="dxa"/>
          </w:tcPr>
          <w:p w14:paraId="2C0F7F74" w14:textId="77777777" w:rsidR="00270B24" w:rsidRPr="00F47262" w:rsidRDefault="00F43BC1" w:rsidP="00697B9C">
            <w:pPr>
              <w:spacing w:before="60" w:after="60"/>
              <w:rPr>
                <w:sz w:val="20"/>
              </w:rPr>
            </w:pPr>
            <w:r w:rsidRPr="00F47262">
              <w:rPr>
                <w:sz w:val="20"/>
              </w:rPr>
              <w:t xml:space="preserve">The </w:t>
            </w:r>
            <w:r w:rsidRPr="00F47262">
              <w:rPr>
                <w:i/>
                <w:sz w:val="20"/>
              </w:rPr>
              <w:t>Set Password for tpsadm</w:t>
            </w:r>
            <w:r w:rsidRPr="00F47262">
              <w:rPr>
                <w:sz w:val="20"/>
              </w:rPr>
              <w:t xml:space="preserve"> window is displayed. </w:t>
            </w:r>
            <w:r w:rsidR="00270B24" w:rsidRPr="00F47262">
              <w:rPr>
                <w:sz w:val="20"/>
              </w:rPr>
              <w:t xml:space="preserve">Click the </w:t>
            </w:r>
            <w:r w:rsidR="00270B24" w:rsidRPr="00F47262">
              <w:rPr>
                <w:b/>
                <w:sz w:val="20"/>
              </w:rPr>
              <w:t>Proceed</w:t>
            </w:r>
            <w:r w:rsidR="00270B24" w:rsidRPr="00F47262">
              <w:rPr>
                <w:sz w:val="20"/>
              </w:rPr>
              <w:t xml:space="preserve"> button to acknowledge the impending change.</w:t>
            </w:r>
          </w:p>
        </w:tc>
        <w:tc>
          <w:tcPr>
            <w:tcW w:w="4471" w:type="dxa"/>
          </w:tcPr>
          <w:p w14:paraId="699940DB" w14:textId="77777777" w:rsidR="00270B24" w:rsidRPr="00F47262" w:rsidRDefault="00270B24" w:rsidP="00697B9C">
            <w:pPr>
              <w:spacing w:before="60" w:after="60"/>
              <w:rPr>
                <w:sz w:val="20"/>
              </w:rPr>
            </w:pPr>
          </w:p>
        </w:tc>
      </w:tr>
      <w:tr w:rsidR="00270B24" w:rsidRPr="00F47262" w14:paraId="5B1E26FC" w14:textId="77777777" w:rsidTr="00F47262">
        <w:trPr>
          <w:cantSplit/>
        </w:trPr>
        <w:tc>
          <w:tcPr>
            <w:tcW w:w="738" w:type="dxa"/>
          </w:tcPr>
          <w:p w14:paraId="141226E8" w14:textId="77777777" w:rsidR="00270B24" w:rsidRPr="00F47262" w:rsidRDefault="00270B24" w:rsidP="006D5A65">
            <w:pPr>
              <w:pStyle w:val="Heading1"/>
            </w:pPr>
          </w:p>
        </w:tc>
        <w:tc>
          <w:tcPr>
            <w:tcW w:w="4349" w:type="dxa"/>
          </w:tcPr>
          <w:p w14:paraId="176B3CFE" w14:textId="77777777" w:rsidR="00270B24" w:rsidRPr="00F47262" w:rsidRDefault="00270B24" w:rsidP="00270B24">
            <w:pPr>
              <w:spacing w:before="60" w:after="60"/>
              <w:rPr>
                <w:sz w:val="20"/>
              </w:rPr>
            </w:pPr>
            <w:r w:rsidRPr="00F47262">
              <w:rPr>
                <w:sz w:val="20"/>
              </w:rPr>
              <w:t>Enter a new password in the two password fields. See Note 1.</w:t>
            </w:r>
          </w:p>
        </w:tc>
        <w:tc>
          <w:tcPr>
            <w:tcW w:w="4471" w:type="dxa"/>
          </w:tcPr>
          <w:p w14:paraId="080FA449" w14:textId="77777777" w:rsidR="00270B24" w:rsidRPr="00F47262" w:rsidRDefault="00270B24" w:rsidP="00270B24">
            <w:pPr>
              <w:spacing w:before="60" w:after="60"/>
              <w:rPr>
                <w:sz w:val="20"/>
              </w:rPr>
            </w:pPr>
            <w:r w:rsidRPr="00F47262">
              <w:rPr>
                <w:b/>
                <w:i/>
                <w:sz w:val="20"/>
              </w:rPr>
              <w:t>Note 1</w:t>
            </w:r>
            <w:r w:rsidRPr="00F47262">
              <w:rPr>
                <w:sz w:val="20"/>
              </w:rPr>
              <w:t>: Passwords must be at least 14 characters in length, contain at least 2 upper case letters, 2 lower case letters, 2 numbers and 2 special characters.</w:t>
            </w:r>
          </w:p>
        </w:tc>
      </w:tr>
      <w:tr w:rsidR="00270B24" w:rsidRPr="00F47262" w14:paraId="3348A61F" w14:textId="77777777" w:rsidTr="00F47262">
        <w:trPr>
          <w:cantSplit/>
        </w:trPr>
        <w:tc>
          <w:tcPr>
            <w:tcW w:w="738" w:type="dxa"/>
          </w:tcPr>
          <w:p w14:paraId="2ECA80AB" w14:textId="77777777" w:rsidR="00270B24" w:rsidRPr="00F47262" w:rsidRDefault="00270B24" w:rsidP="006D5A65">
            <w:pPr>
              <w:pStyle w:val="Heading1"/>
            </w:pPr>
          </w:p>
        </w:tc>
        <w:tc>
          <w:tcPr>
            <w:tcW w:w="4349" w:type="dxa"/>
          </w:tcPr>
          <w:p w14:paraId="29B6E1E9" w14:textId="77777777" w:rsidR="00270B24" w:rsidRPr="00F47262" w:rsidRDefault="00270B24" w:rsidP="00697B9C">
            <w:pPr>
              <w:spacing w:before="60" w:after="60"/>
              <w:rPr>
                <w:sz w:val="20"/>
              </w:rPr>
            </w:pPr>
            <w:r w:rsidRPr="00F47262">
              <w:rPr>
                <w:sz w:val="20"/>
              </w:rPr>
              <w:t xml:space="preserve">Click the </w:t>
            </w:r>
            <w:r w:rsidRPr="00F47262">
              <w:rPr>
                <w:b/>
                <w:sz w:val="20"/>
              </w:rPr>
              <w:t>OK</w:t>
            </w:r>
            <w:r w:rsidRPr="00F47262">
              <w:rPr>
                <w:sz w:val="20"/>
              </w:rPr>
              <w:t xml:space="preserve"> button.</w:t>
            </w:r>
          </w:p>
        </w:tc>
        <w:tc>
          <w:tcPr>
            <w:tcW w:w="4471" w:type="dxa"/>
          </w:tcPr>
          <w:p w14:paraId="68056D8D" w14:textId="77777777" w:rsidR="00270B24" w:rsidRPr="00F47262" w:rsidRDefault="00270B24" w:rsidP="00697B9C">
            <w:pPr>
              <w:spacing w:before="60" w:after="60"/>
              <w:rPr>
                <w:sz w:val="20"/>
              </w:rPr>
            </w:pPr>
          </w:p>
        </w:tc>
      </w:tr>
      <w:tr w:rsidR="00270B24" w:rsidRPr="00F47262" w14:paraId="79925FAF" w14:textId="77777777" w:rsidTr="00F47262">
        <w:trPr>
          <w:cantSplit/>
        </w:trPr>
        <w:tc>
          <w:tcPr>
            <w:tcW w:w="738" w:type="dxa"/>
          </w:tcPr>
          <w:p w14:paraId="0519BC52" w14:textId="77777777" w:rsidR="00270B24" w:rsidRPr="00F47262" w:rsidRDefault="00270B24" w:rsidP="006D5A65">
            <w:pPr>
              <w:pStyle w:val="Heading1"/>
            </w:pPr>
          </w:p>
        </w:tc>
        <w:tc>
          <w:tcPr>
            <w:tcW w:w="4349" w:type="dxa"/>
          </w:tcPr>
          <w:p w14:paraId="475A4D16" w14:textId="77777777" w:rsidR="00270B24" w:rsidRPr="00F47262" w:rsidRDefault="00270B24" w:rsidP="00697B9C">
            <w:pPr>
              <w:spacing w:before="60" w:after="60"/>
              <w:rPr>
                <w:sz w:val="20"/>
              </w:rPr>
            </w:pPr>
            <w:r w:rsidRPr="00F47262">
              <w:rPr>
                <w:sz w:val="20"/>
              </w:rPr>
              <w:t xml:space="preserve">Close the </w:t>
            </w:r>
            <w:r w:rsidRPr="00F47262">
              <w:rPr>
                <w:i/>
                <w:sz w:val="20"/>
              </w:rPr>
              <w:t>Computer Management</w:t>
            </w:r>
            <w:r w:rsidRPr="00F47262">
              <w:rPr>
                <w:sz w:val="20"/>
              </w:rPr>
              <w:t xml:space="preserve"> window.</w:t>
            </w:r>
          </w:p>
        </w:tc>
        <w:tc>
          <w:tcPr>
            <w:tcW w:w="4471" w:type="dxa"/>
          </w:tcPr>
          <w:p w14:paraId="6E4C20C7" w14:textId="77777777" w:rsidR="00270B24" w:rsidRPr="00F47262" w:rsidRDefault="00270B24" w:rsidP="00697B9C">
            <w:pPr>
              <w:spacing w:before="60" w:after="60"/>
              <w:rPr>
                <w:sz w:val="20"/>
              </w:rPr>
            </w:pPr>
          </w:p>
        </w:tc>
      </w:tr>
      <w:tr w:rsidR="00270B24" w:rsidRPr="00F47262" w14:paraId="7CA65927" w14:textId="77777777" w:rsidTr="00F47262">
        <w:trPr>
          <w:cantSplit/>
        </w:trPr>
        <w:tc>
          <w:tcPr>
            <w:tcW w:w="738" w:type="dxa"/>
          </w:tcPr>
          <w:p w14:paraId="7F6DC444" w14:textId="77777777" w:rsidR="00270B24" w:rsidRPr="00F47262" w:rsidRDefault="00270B24" w:rsidP="006D5A65">
            <w:pPr>
              <w:pStyle w:val="Heading1"/>
            </w:pPr>
          </w:p>
        </w:tc>
        <w:tc>
          <w:tcPr>
            <w:tcW w:w="4349" w:type="dxa"/>
          </w:tcPr>
          <w:p w14:paraId="310F631C" w14:textId="77777777" w:rsidR="00270B24" w:rsidRPr="00F47262" w:rsidRDefault="00270B24" w:rsidP="00697B9C">
            <w:pPr>
              <w:spacing w:before="60" w:after="60"/>
              <w:rPr>
                <w:sz w:val="20"/>
              </w:rPr>
            </w:pPr>
            <w:r w:rsidRPr="00F47262">
              <w:rPr>
                <w:sz w:val="20"/>
              </w:rPr>
              <w:t>Repeat Steps 48-56 on the TED DB Server.</w:t>
            </w:r>
          </w:p>
          <w:p w14:paraId="3659ED22" w14:textId="77777777" w:rsidR="00270B24" w:rsidRPr="00F47262" w:rsidRDefault="00270B24" w:rsidP="00697B9C">
            <w:pPr>
              <w:spacing w:before="60" w:after="60"/>
              <w:rPr>
                <w:sz w:val="20"/>
              </w:rPr>
            </w:pPr>
            <w:r w:rsidRPr="00F47262">
              <w:rPr>
                <w:sz w:val="20"/>
              </w:rPr>
              <w:t>See Note 1.</w:t>
            </w:r>
          </w:p>
        </w:tc>
        <w:tc>
          <w:tcPr>
            <w:tcW w:w="4471" w:type="dxa"/>
          </w:tcPr>
          <w:p w14:paraId="32EB0187" w14:textId="77777777" w:rsidR="00270B24" w:rsidRPr="00F47262" w:rsidRDefault="00270B24" w:rsidP="00270B24">
            <w:pPr>
              <w:spacing w:before="60" w:after="60"/>
              <w:rPr>
                <w:sz w:val="20"/>
              </w:rPr>
            </w:pPr>
            <w:r w:rsidRPr="00F47262">
              <w:rPr>
                <w:b/>
                <w:i/>
                <w:sz w:val="20"/>
              </w:rPr>
              <w:t>Note 1</w:t>
            </w:r>
            <w:r w:rsidRPr="00F47262">
              <w:rPr>
                <w:sz w:val="20"/>
              </w:rPr>
              <w:t>: Only applies to CSG.</w:t>
            </w:r>
          </w:p>
        </w:tc>
      </w:tr>
      <w:tr w:rsidR="00270B24" w:rsidRPr="00F47262" w14:paraId="2DF39670" w14:textId="77777777" w:rsidTr="00F47262">
        <w:trPr>
          <w:cantSplit/>
        </w:trPr>
        <w:tc>
          <w:tcPr>
            <w:tcW w:w="738" w:type="dxa"/>
          </w:tcPr>
          <w:p w14:paraId="14B72774" w14:textId="77777777" w:rsidR="00270B24" w:rsidRPr="00F47262" w:rsidRDefault="00270B24" w:rsidP="006D5A65">
            <w:pPr>
              <w:pStyle w:val="Heading1"/>
            </w:pPr>
          </w:p>
        </w:tc>
        <w:tc>
          <w:tcPr>
            <w:tcW w:w="4349" w:type="dxa"/>
          </w:tcPr>
          <w:p w14:paraId="51715166" w14:textId="04B9956A" w:rsidR="00270B24" w:rsidRPr="00F47262" w:rsidRDefault="00377AB3" w:rsidP="00377AB3">
            <w:pPr>
              <w:spacing w:before="60" w:after="60"/>
              <w:rPr>
                <w:sz w:val="20"/>
              </w:rPr>
            </w:pPr>
            <w:r w:rsidRPr="00F47262">
              <w:rPr>
                <w:sz w:val="20"/>
              </w:rPr>
              <w:t xml:space="preserve">Right-click the </w:t>
            </w:r>
            <w:r w:rsidRPr="00F47262">
              <w:rPr>
                <w:noProof/>
                <w:sz w:val="20"/>
              </w:rPr>
              <w:drawing>
                <wp:inline distT="0" distB="0" distL="0" distR="0" wp14:anchorId="3ACD9C26" wp14:editId="7CEC3611">
                  <wp:extent cx="182880" cy="178068"/>
                  <wp:effectExtent l="0" t="0" r="7620" b="0"/>
                  <wp:docPr id="1377" name="Picture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Search</w:t>
            </w:r>
            <w:r w:rsidRPr="00F47262">
              <w:rPr>
                <w:sz w:val="20"/>
              </w:rPr>
              <w:t xml:space="preserve"> from the pop-up menu. Type </w:t>
            </w:r>
            <w:r w:rsidRPr="00F47262">
              <w:rPr>
                <w:b/>
                <w:sz w:val="20"/>
              </w:rPr>
              <w:t>Services</w:t>
            </w:r>
            <w:r w:rsidRPr="00F47262">
              <w:rPr>
                <w:sz w:val="20"/>
              </w:rPr>
              <w:t xml:space="preserve"> in the </w:t>
            </w:r>
            <w:r w:rsidRPr="00F47262">
              <w:rPr>
                <w:b/>
                <w:sz w:val="20"/>
              </w:rPr>
              <w:t>Search</w:t>
            </w:r>
            <w:r w:rsidRPr="00F47262">
              <w:rPr>
                <w:sz w:val="20"/>
              </w:rPr>
              <w:t xml:space="preserve"> field, and then select </w:t>
            </w:r>
            <w:r w:rsidRPr="00F47262">
              <w:rPr>
                <w:b/>
                <w:sz w:val="20"/>
              </w:rPr>
              <w:t>Services</w:t>
            </w:r>
            <w:r w:rsidRPr="00F47262">
              <w:rPr>
                <w:sz w:val="20"/>
              </w:rPr>
              <w:t xml:space="preserve"> </w:t>
            </w:r>
            <w:r w:rsidR="0079657D" w:rsidRPr="00F47262">
              <w:rPr>
                <w:sz w:val="20"/>
              </w:rPr>
              <w:t xml:space="preserve">or </w:t>
            </w:r>
            <w:r w:rsidR="0079657D" w:rsidRPr="00F47262">
              <w:rPr>
                <w:b/>
                <w:sz w:val="20"/>
              </w:rPr>
              <w:t>View local services</w:t>
            </w:r>
            <w:r w:rsidR="0079657D" w:rsidRPr="00F47262">
              <w:rPr>
                <w:sz w:val="20"/>
              </w:rPr>
              <w:t xml:space="preserve"> </w:t>
            </w:r>
            <w:r w:rsidRPr="00F47262">
              <w:rPr>
                <w:sz w:val="20"/>
              </w:rPr>
              <w:t>in the results list.</w:t>
            </w:r>
          </w:p>
        </w:tc>
        <w:tc>
          <w:tcPr>
            <w:tcW w:w="4471" w:type="dxa"/>
          </w:tcPr>
          <w:p w14:paraId="034CA21B" w14:textId="77777777" w:rsidR="00270B24" w:rsidRPr="00F47262" w:rsidRDefault="00377AB3" w:rsidP="00697B9C">
            <w:pPr>
              <w:spacing w:before="60" w:after="60"/>
              <w:rPr>
                <w:sz w:val="20"/>
              </w:rPr>
            </w:pPr>
            <w:r w:rsidRPr="00F47262">
              <w:rPr>
                <w:noProof/>
                <w:sz w:val="20"/>
              </w:rPr>
              <w:drawing>
                <wp:inline distT="0" distB="0" distL="0" distR="0" wp14:anchorId="0CE32955" wp14:editId="01B55ECD">
                  <wp:extent cx="2238375" cy="1345613"/>
                  <wp:effectExtent l="0" t="0" r="0" b="6985"/>
                  <wp:docPr id="1379" name="Picture 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238375" cy="1345613"/>
                          </a:xfrm>
                          <a:prstGeom prst="rect">
                            <a:avLst/>
                          </a:prstGeom>
                        </pic:spPr>
                      </pic:pic>
                    </a:graphicData>
                  </a:graphic>
                </wp:inline>
              </w:drawing>
            </w:r>
          </w:p>
        </w:tc>
      </w:tr>
      <w:tr w:rsidR="00270B24" w:rsidRPr="00F47262" w14:paraId="0F179674" w14:textId="77777777" w:rsidTr="00F47262">
        <w:trPr>
          <w:cantSplit/>
        </w:trPr>
        <w:tc>
          <w:tcPr>
            <w:tcW w:w="738" w:type="dxa"/>
          </w:tcPr>
          <w:p w14:paraId="74DF1C1B" w14:textId="77777777" w:rsidR="00270B24" w:rsidRPr="00F47262" w:rsidRDefault="00270B24" w:rsidP="006D5A65">
            <w:pPr>
              <w:pStyle w:val="Heading1"/>
            </w:pPr>
          </w:p>
        </w:tc>
        <w:tc>
          <w:tcPr>
            <w:tcW w:w="4349" w:type="dxa"/>
          </w:tcPr>
          <w:p w14:paraId="2E462B59" w14:textId="77777777" w:rsidR="00270B24" w:rsidRPr="00F47262" w:rsidRDefault="00270B24" w:rsidP="00697B9C">
            <w:pPr>
              <w:spacing w:before="60" w:after="60"/>
              <w:rPr>
                <w:sz w:val="20"/>
              </w:rPr>
            </w:pPr>
            <w:r w:rsidRPr="00F47262">
              <w:rPr>
                <w:sz w:val="20"/>
              </w:rPr>
              <w:t xml:space="preserve">Click the </w:t>
            </w:r>
            <w:r w:rsidRPr="00F47262">
              <w:rPr>
                <w:b/>
                <w:sz w:val="20"/>
              </w:rPr>
              <w:t>Yes</w:t>
            </w:r>
            <w:r w:rsidRPr="00F47262">
              <w:rPr>
                <w:sz w:val="20"/>
              </w:rPr>
              <w:t xml:space="preserve"> button to acknowledge the </w:t>
            </w:r>
            <w:r w:rsidRPr="00F47262">
              <w:rPr>
                <w:i/>
                <w:sz w:val="20"/>
              </w:rPr>
              <w:t xml:space="preserve">User Account Control </w:t>
            </w:r>
            <w:r w:rsidRPr="00F47262">
              <w:rPr>
                <w:sz w:val="20"/>
              </w:rPr>
              <w:t>window</w:t>
            </w:r>
            <w:r w:rsidR="00377AB3" w:rsidRPr="00F47262">
              <w:rPr>
                <w:sz w:val="20"/>
              </w:rPr>
              <w:t xml:space="preserve"> if displayed</w:t>
            </w:r>
            <w:r w:rsidRPr="00F47262">
              <w:rPr>
                <w:sz w:val="20"/>
              </w:rPr>
              <w:t>.</w:t>
            </w:r>
          </w:p>
        </w:tc>
        <w:tc>
          <w:tcPr>
            <w:tcW w:w="4471" w:type="dxa"/>
          </w:tcPr>
          <w:p w14:paraId="54F9D2C4" w14:textId="77777777" w:rsidR="00270B24" w:rsidRPr="00F47262" w:rsidRDefault="00270B24" w:rsidP="00697B9C">
            <w:pPr>
              <w:spacing w:before="60" w:after="60"/>
              <w:rPr>
                <w:sz w:val="20"/>
              </w:rPr>
            </w:pPr>
          </w:p>
        </w:tc>
      </w:tr>
      <w:tr w:rsidR="00270B24" w:rsidRPr="00F47262" w14:paraId="0BD99C40" w14:textId="77777777" w:rsidTr="00F47262">
        <w:trPr>
          <w:cantSplit/>
        </w:trPr>
        <w:tc>
          <w:tcPr>
            <w:tcW w:w="738" w:type="dxa"/>
          </w:tcPr>
          <w:p w14:paraId="16F38D2D" w14:textId="77777777" w:rsidR="00270B24" w:rsidRPr="00F47262" w:rsidRDefault="00270B24" w:rsidP="006D5A65">
            <w:pPr>
              <w:pStyle w:val="Heading1"/>
            </w:pPr>
          </w:p>
        </w:tc>
        <w:tc>
          <w:tcPr>
            <w:tcW w:w="4349" w:type="dxa"/>
          </w:tcPr>
          <w:p w14:paraId="187BB132" w14:textId="5DBDE60F" w:rsidR="00270B24" w:rsidRPr="00F47262" w:rsidRDefault="00270B24" w:rsidP="00931D14">
            <w:pPr>
              <w:spacing w:before="60" w:after="60"/>
              <w:rPr>
                <w:sz w:val="20"/>
              </w:rPr>
            </w:pPr>
            <w:r w:rsidRPr="00F47262">
              <w:rPr>
                <w:sz w:val="20"/>
              </w:rPr>
              <w:t xml:space="preserve">In the right pane, scroll down and right-click on the </w:t>
            </w:r>
            <w:r w:rsidRPr="00F47262">
              <w:rPr>
                <w:b/>
                <w:sz w:val="20"/>
              </w:rPr>
              <w:t xml:space="preserve">TPS </w:t>
            </w:r>
            <w:r w:rsidR="00931D14" w:rsidRPr="00F47262">
              <w:rPr>
                <w:b/>
                <w:sz w:val="20"/>
              </w:rPr>
              <w:t>6</w:t>
            </w:r>
            <w:r w:rsidR="00377AB3" w:rsidRPr="00F47262">
              <w:rPr>
                <w:b/>
                <w:sz w:val="20"/>
              </w:rPr>
              <w:t>.0.</w:t>
            </w:r>
            <w:r w:rsidR="00931D14" w:rsidRPr="00F47262">
              <w:rPr>
                <w:b/>
                <w:sz w:val="20"/>
              </w:rPr>
              <w:t xml:space="preserve">0 </w:t>
            </w:r>
            <w:r w:rsidRPr="00F47262">
              <w:rPr>
                <w:b/>
                <w:sz w:val="20"/>
              </w:rPr>
              <w:t>TED Web Client</w:t>
            </w:r>
            <w:r w:rsidRPr="00F47262">
              <w:rPr>
                <w:sz w:val="20"/>
              </w:rPr>
              <w:t xml:space="preserve"> entry and select the </w:t>
            </w:r>
            <w:r w:rsidRPr="00F47262">
              <w:rPr>
                <w:b/>
                <w:sz w:val="20"/>
              </w:rPr>
              <w:t>Properties</w:t>
            </w:r>
            <w:r w:rsidRPr="00F47262">
              <w:rPr>
                <w:sz w:val="20"/>
              </w:rPr>
              <w:t xml:space="preserve"> menu option.</w:t>
            </w:r>
          </w:p>
        </w:tc>
        <w:tc>
          <w:tcPr>
            <w:tcW w:w="4471" w:type="dxa"/>
          </w:tcPr>
          <w:p w14:paraId="5C498755" w14:textId="592FC57C" w:rsidR="00270B24" w:rsidRPr="00F47262" w:rsidRDefault="00270B24" w:rsidP="00697B9C">
            <w:pPr>
              <w:spacing w:before="60" w:after="60"/>
              <w:rPr>
                <w:sz w:val="20"/>
              </w:rPr>
            </w:pPr>
          </w:p>
        </w:tc>
      </w:tr>
      <w:tr w:rsidR="00270B24" w:rsidRPr="00F47262" w14:paraId="4C34F3FB" w14:textId="77777777" w:rsidTr="00F47262">
        <w:trPr>
          <w:cantSplit/>
        </w:trPr>
        <w:tc>
          <w:tcPr>
            <w:tcW w:w="738" w:type="dxa"/>
          </w:tcPr>
          <w:p w14:paraId="364C0AF5" w14:textId="77777777" w:rsidR="00270B24" w:rsidRPr="00F47262" w:rsidRDefault="00270B24" w:rsidP="006D5A65">
            <w:pPr>
              <w:pStyle w:val="Heading1"/>
            </w:pPr>
          </w:p>
        </w:tc>
        <w:tc>
          <w:tcPr>
            <w:tcW w:w="4349" w:type="dxa"/>
          </w:tcPr>
          <w:p w14:paraId="1E4D2C54" w14:textId="77777777" w:rsidR="00270B24" w:rsidRPr="00F47262" w:rsidRDefault="00270B24" w:rsidP="00697B9C">
            <w:pPr>
              <w:spacing w:before="60" w:after="60"/>
              <w:rPr>
                <w:sz w:val="20"/>
              </w:rPr>
            </w:pPr>
            <w:r w:rsidRPr="00F47262">
              <w:rPr>
                <w:sz w:val="20"/>
              </w:rPr>
              <w:t xml:space="preserve">Click the </w:t>
            </w:r>
            <w:r w:rsidRPr="00F47262">
              <w:rPr>
                <w:b/>
                <w:sz w:val="20"/>
              </w:rPr>
              <w:t>Stop</w:t>
            </w:r>
            <w:r w:rsidRPr="00F47262">
              <w:rPr>
                <w:sz w:val="20"/>
              </w:rPr>
              <w:t xml:space="preserve"> button.</w:t>
            </w:r>
          </w:p>
        </w:tc>
        <w:tc>
          <w:tcPr>
            <w:tcW w:w="4471" w:type="dxa"/>
          </w:tcPr>
          <w:p w14:paraId="11AA4565" w14:textId="77777777" w:rsidR="00270B24" w:rsidRPr="00F47262" w:rsidRDefault="00270B24" w:rsidP="00697B9C">
            <w:pPr>
              <w:spacing w:before="60" w:after="60"/>
              <w:rPr>
                <w:sz w:val="20"/>
              </w:rPr>
            </w:pPr>
          </w:p>
        </w:tc>
      </w:tr>
      <w:tr w:rsidR="00270B24" w:rsidRPr="00F47262" w14:paraId="10D731E8" w14:textId="77777777" w:rsidTr="00F47262">
        <w:trPr>
          <w:cantSplit/>
        </w:trPr>
        <w:tc>
          <w:tcPr>
            <w:tcW w:w="738" w:type="dxa"/>
          </w:tcPr>
          <w:p w14:paraId="2680B82E" w14:textId="77777777" w:rsidR="00270B24" w:rsidRPr="00F47262" w:rsidRDefault="00270B24" w:rsidP="006D5A65">
            <w:pPr>
              <w:pStyle w:val="Heading1"/>
            </w:pPr>
          </w:p>
        </w:tc>
        <w:tc>
          <w:tcPr>
            <w:tcW w:w="4349" w:type="dxa"/>
          </w:tcPr>
          <w:p w14:paraId="332687F1" w14:textId="77777777" w:rsidR="00270B24" w:rsidRPr="00F47262" w:rsidRDefault="00270B24" w:rsidP="00697B9C">
            <w:pPr>
              <w:spacing w:before="60" w:after="60"/>
              <w:rPr>
                <w:sz w:val="20"/>
              </w:rPr>
            </w:pPr>
            <w:r w:rsidRPr="00F47262">
              <w:rPr>
                <w:sz w:val="20"/>
              </w:rPr>
              <w:t xml:space="preserve">Select the </w:t>
            </w:r>
            <w:r w:rsidRPr="00F47262">
              <w:rPr>
                <w:b/>
                <w:i/>
                <w:sz w:val="20"/>
              </w:rPr>
              <w:t>Log On</w:t>
            </w:r>
            <w:r w:rsidRPr="00F47262">
              <w:rPr>
                <w:sz w:val="20"/>
              </w:rPr>
              <w:t xml:space="preserve"> tab.</w:t>
            </w:r>
          </w:p>
        </w:tc>
        <w:tc>
          <w:tcPr>
            <w:tcW w:w="4471" w:type="dxa"/>
          </w:tcPr>
          <w:p w14:paraId="6839EA1C" w14:textId="77777777" w:rsidR="00270B24" w:rsidRPr="00F47262" w:rsidRDefault="00270B24" w:rsidP="00697B9C">
            <w:pPr>
              <w:spacing w:before="60" w:after="60"/>
              <w:rPr>
                <w:sz w:val="20"/>
              </w:rPr>
            </w:pPr>
          </w:p>
        </w:tc>
      </w:tr>
      <w:tr w:rsidR="00270B24" w:rsidRPr="00F47262" w14:paraId="575CEDE5" w14:textId="77777777" w:rsidTr="00F47262">
        <w:trPr>
          <w:cantSplit/>
        </w:trPr>
        <w:tc>
          <w:tcPr>
            <w:tcW w:w="738" w:type="dxa"/>
          </w:tcPr>
          <w:p w14:paraId="2AA23CD1" w14:textId="77777777" w:rsidR="00270B24" w:rsidRPr="00F47262" w:rsidRDefault="00270B24" w:rsidP="006D5A65">
            <w:pPr>
              <w:pStyle w:val="Heading1"/>
            </w:pPr>
          </w:p>
        </w:tc>
        <w:tc>
          <w:tcPr>
            <w:tcW w:w="4349" w:type="dxa"/>
          </w:tcPr>
          <w:p w14:paraId="2D03E5DC" w14:textId="77777777" w:rsidR="00270B24" w:rsidRPr="00F47262" w:rsidRDefault="00270B24" w:rsidP="00697B9C">
            <w:pPr>
              <w:spacing w:before="60" w:after="60"/>
              <w:rPr>
                <w:sz w:val="20"/>
              </w:rPr>
            </w:pPr>
            <w:r w:rsidRPr="00F47262">
              <w:rPr>
                <w:sz w:val="20"/>
              </w:rPr>
              <w:t>Within the two password fields, enter the same password that was used for the tpsadm account in Step 54.</w:t>
            </w:r>
          </w:p>
        </w:tc>
        <w:tc>
          <w:tcPr>
            <w:tcW w:w="4471" w:type="dxa"/>
          </w:tcPr>
          <w:p w14:paraId="0995EACA" w14:textId="18B7FF70" w:rsidR="00270B24" w:rsidRPr="00F47262" w:rsidRDefault="00270B24" w:rsidP="00697B9C">
            <w:pPr>
              <w:spacing w:before="60" w:after="60"/>
              <w:rPr>
                <w:sz w:val="20"/>
              </w:rPr>
            </w:pPr>
          </w:p>
        </w:tc>
      </w:tr>
      <w:tr w:rsidR="00270B24" w:rsidRPr="00F47262" w14:paraId="4AFA1578" w14:textId="77777777" w:rsidTr="00F47262">
        <w:trPr>
          <w:cantSplit/>
        </w:trPr>
        <w:tc>
          <w:tcPr>
            <w:tcW w:w="738" w:type="dxa"/>
          </w:tcPr>
          <w:p w14:paraId="231F51F8" w14:textId="77777777" w:rsidR="00270B24" w:rsidRPr="00F47262" w:rsidRDefault="00270B24" w:rsidP="006D5A65">
            <w:pPr>
              <w:pStyle w:val="Heading1"/>
            </w:pPr>
          </w:p>
        </w:tc>
        <w:tc>
          <w:tcPr>
            <w:tcW w:w="4349" w:type="dxa"/>
          </w:tcPr>
          <w:p w14:paraId="03986087" w14:textId="77777777" w:rsidR="00270B24" w:rsidRPr="00F47262" w:rsidRDefault="00270B24" w:rsidP="00697B9C">
            <w:pPr>
              <w:spacing w:before="60" w:after="60"/>
              <w:rPr>
                <w:sz w:val="20"/>
              </w:rPr>
            </w:pPr>
            <w:r w:rsidRPr="00F47262">
              <w:rPr>
                <w:sz w:val="20"/>
              </w:rPr>
              <w:t xml:space="preserve">Click the </w:t>
            </w:r>
            <w:r w:rsidRPr="00F47262">
              <w:rPr>
                <w:b/>
                <w:sz w:val="20"/>
              </w:rPr>
              <w:t>OK</w:t>
            </w:r>
            <w:r w:rsidRPr="00F47262">
              <w:rPr>
                <w:sz w:val="20"/>
              </w:rPr>
              <w:t xml:space="preserve"> button.</w:t>
            </w:r>
          </w:p>
        </w:tc>
        <w:tc>
          <w:tcPr>
            <w:tcW w:w="4471" w:type="dxa"/>
          </w:tcPr>
          <w:p w14:paraId="07BBCED2" w14:textId="77777777" w:rsidR="00270B24" w:rsidRPr="00F47262" w:rsidRDefault="00270B24" w:rsidP="00697B9C">
            <w:pPr>
              <w:spacing w:before="60" w:after="60"/>
              <w:rPr>
                <w:sz w:val="20"/>
              </w:rPr>
            </w:pPr>
          </w:p>
        </w:tc>
      </w:tr>
      <w:tr w:rsidR="00270B24" w:rsidRPr="00F47262" w14:paraId="36E2DDC3" w14:textId="77777777" w:rsidTr="00F47262">
        <w:trPr>
          <w:cantSplit/>
        </w:trPr>
        <w:tc>
          <w:tcPr>
            <w:tcW w:w="738" w:type="dxa"/>
          </w:tcPr>
          <w:p w14:paraId="77168BDC" w14:textId="77777777" w:rsidR="00270B24" w:rsidRPr="00F47262" w:rsidRDefault="00270B24" w:rsidP="006D5A65">
            <w:pPr>
              <w:pStyle w:val="Heading1"/>
            </w:pPr>
          </w:p>
        </w:tc>
        <w:tc>
          <w:tcPr>
            <w:tcW w:w="4349" w:type="dxa"/>
          </w:tcPr>
          <w:p w14:paraId="37006D02" w14:textId="49CF0795" w:rsidR="00270B24" w:rsidRPr="00F47262" w:rsidRDefault="00270B24" w:rsidP="00931D14">
            <w:pPr>
              <w:spacing w:before="60" w:after="60"/>
              <w:rPr>
                <w:sz w:val="20"/>
              </w:rPr>
            </w:pPr>
            <w:r w:rsidRPr="00F47262">
              <w:rPr>
                <w:sz w:val="20"/>
              </w:rPr>
              <w:t xml:space="preserve">In the right pane, scroll down and right-click on the </w:t>
            </w:r>
            <w:r w:rsidRPr="00F47262">
              <w:rPr>
                <w:b/>
                <w:sz w:val="20"/>
              </w:rPr>
              <w:t xml:space="preserve">TPS </w:t>
            </w:r>
            <w:r w:rsidR="00931D14" w:rsidRPr="00F47262">
              <w:rPr>
                <w:b/>
                <w:sz w:val="20"/>
              </w:rPr>
              <w:t>6</w:t>
            </w:r>
            <w:r w:rsidR="00377AB3" w:rsidRPr="00F47262">
              <w:rPr>
                <w:b/>
                <w:sz w:val="20"/>
              </w:rPr>
              <w:t>.0.</w:t>
            </w:r>
            <w:r w:rsidR="00931D14" w:rsidRPr="00F47262">
              <w:rPr>
                <w:b/>
                <w:sz w:val="20"/>
              </w:rPr>
              <w:t xml:space="preserve">0 </w:t>
            </w:r>
            <w:r w:rsidRPr="00F47262">
              <w:rPr>
                <w:b/>
                <w:sz w:val="20"/>
              </w:rPr>
              <w:t>Service</w:t>
            </w:r>
            <w:r w:rsidRPr="00F47262">
              <w:rPr>
                <w:sz w:val="20"/>
              </w:rPr>
              <w:t xml:space="preserve"> entry and select the </w:t>
            </w:r>
            <w:r w:rsidRPr="00F47262">
              <w:rPr>
                <w:b/>
                <w:sz w:val="20"/>
              </w:rPr>
              <w:t>Properties</w:t>
            </w:r>
            <w:r w:rsidRPr="00F47262">
              <w:rPr>
                <w:sz w:val="20"/>
              </w:rPr>
              <w:t xml:space="preserve"> menu option.</w:t>
            </w:r>
          </w:p>
        </w:tc>
        <w:tc>
          <w:tcPr>
            <w:tcW w:w="4471" w:type="dxa"/>
          </w:tcPr>
          <w:p w14:paraId="2662C9C2" w14:textId="2662CC14" w:rsidR="00270B24" w:rsidRPr="00F47262" w:rsidRDefault="00270B24" w:rsidP="00697B9C">
            <w:pPr>
              <w:spacing w:before="60" w:after="60"/>
              <w:rPr>
                <w:sz w:val="20"/>
              </w:rPr>
            </w:pPr>
          </w:p>
        </w:tc>
      </w:tr>
      <w:tr w:rsidR="00270B24" w:rsidRPr="00F47262" w14:paraId="67575584" w14:textId="77777777" w:rsidTr="00F47262">
        <w:trPr>
          <w:cantSplit/>
        </w:trPr>
        <w:tc>
          <w:tcPr>
            <w:tcW w:w="738" w:type="dxa"/>
          </w:tcPr>
          <w:p w14:paraId="386243DA" w14:textId="77777777" w:rsidR="00270B24" w:rsidRPr="00F47262" w:rsidRDefault="00270B24" w:rsidP="006D5A65">
            <w:pPr>
              <w:pStyle w:val="Heading1"/>
            </w:pPr>
          </w:p>
        </w:tc>
        <w:tc>
          <w:tcPr>
            <w:tcW w:w="4349" w:type="dxa"/>
          </w:tcPr>
          <w:p w14:paraId="2CD1DD03" w14:textId="77777777" w:rsidR="00270B24" w:rsidRPr="00F47262" w:rsidRDefault="00270B24" w:rsidP="00697B9C">
            <w:pPr>
              <w:spacing w:before="60" w:after="60"/>
              <w:rPr>
                <w:sz w:val="20"/>
              </w:rPr>
            </w:pPr>
            <w:r w:rsidRPr="00F47262">
              <w:rPr>
                <w:sz w:val="20"/>
              </w:rPr>
              <w:t xml:space="preserve">Click the </w:t>
            </w:r>
            <w:r w:rsidRPr="00F47262">
              <w:rPr>
                <w:b/>
                <w:sz w:val="20"/>
              </w:rPr>
              <w:t>Stop</w:t>
            </w:r>
            <w:r w:rsidRPr="00F47262">
              <w:rPr>
                <w:sz w:val="20"/>
              </w:rPr>
              <w:t xml:space="preserve"> button.</w:t>
            </w:r>
          </w:p>
        </w:tc>
        <w:tc>
          <w:tcPr>
            <w:tcW w:w="4471" w:type="dxa"/>
          </w:tcPr>
          <w:p w14:paraId="0A187544" w14:textId="77777777" w:rsidR="00270B24" w:rsidRPr="00F47262" w:rsidRDefault="00270B24" w:rsidP="00697B9C">
            <w:pPr>
              <w:spacing w:before="60" w:after="60"/>
              <w:rPr>
                <w:sz w:val="20"/>
              </w:rPr>
            </w:pPr>
          </w:p>
        </w:tc>
      </w:tr>
      <w:tr w:rsidR="00270B24" w:rsidRPr="00F47262" w14:paraId="4BD39722" w14:textId="77777777" w:rsidTr="00F47262">
        <w:trPr>
          <w:cantSplit/>
        </w:trPr>
        <w:tc>
          <w:tcPr>
            <w:tcW w:w="738" w:type="dxa"/>
          </w:tcPr>
          <w:p w14:paraId="1C78A26A" w14:textId="77777777" w:rsidR="00270B24" w:rsidRPr="00F47262" w:rsidRDefault="00270B24" w:rsidP="006D5A65">
            <w:pPr>
              <w:pStyle w:val="Heading1"/>
            </w:pPr>
          </w:p>
        </w:tc>
        <w:tc>
          <w:tcPr>
            <w:tcW w:w="4349" w:type="dxa"/>
          </w:tcPr>
          <w:p w14:paraId="5AFB80D7" w14:textId="77777777" w:rsidR="00270B24" w:rsidRPr="00F47262" w:rsidRDefault="00270B24" w:rsidP="00697B9C">
            <w:pPr>
              <w:spacing w:before="60" w:after="60"/>
              <w:rPr>
                <w:sz w:val="20"/>
              </w:rPr>
            </w:pPr>
            <w:r w:rsidRPr="00F47262">
              <w:rPr>
                <w:sz w:val="20"/>
              </w:rPr>
              <w:t xml:space="preserve">Select the </w:t>
            </w:r>
            <w:r w:rsidRPr="00F47262">
              <w:rPr>
                <w:b/>
                <w:i/>
                <w:sz w:val="20"/>
              </w:rPr>
              <w:t>Log On</w:t>
            </w:r>
            <w:r w:rsidRPr="00F47262">
              <w:rPr>
                <w:sz w:val="20"/>
              </w:rPr>
              <w:t xml:space="preserve"> tab.</w:t>
            </w:r>
          </w:p>
        </w:tc>
        <w:tc>
          <w:tcPr>
            <w:tcW w:w="4471" w:type="dxa"/>
          </w:tcPr>
          <w:p w14:paraId="7D8AAB1E" w14:textId="77777777" w:rsidR="00270B24" w:rsidRPr="00F47262" w:rsidRDefault="00270B24" w:rsidP="00697B9C">
            <w:pPr>
              <w:spacing w:before="60" w:after="60"/>
              <w:rPr>
                <w:sz w:val="20"/>
              </w:rPr>
            </w:pPr>
          </w:p>
        </w:tc>
      </w:tr>
      <w:tr w:rsidR="00270B24" w:rsidRPr="00F47262" w14:paraId="0B1F3B05" w14:textId="77777777" w:rsidTr="00F47262">
        <w:trPr>
          <w:cantSplit/>
        </w:trPr>
        <w:tc>
          <w:tcPr>
            <w:tcW w:w="738" w:type="dxa"/>
          </w:tcPr>
          <w:p w14:paraId="0F59C94C" w14:textId="77777777" w:rsidR="00270B24" w:rsidRPr="00F47262" w:rsidRDefault="00270B24" w:rsidP="006D5A65">
            <w:pPr>
              <w:pStyle w:val="Heading1"/>
            </w:pPr>
          </w:p>
        </w:tc>
        <w:tc>
          <w:tcPr>
            <w:tcW w:w="4349" w:type="dxa"/>
          </w:tcPr>
          <w:p w14:paraId="028C2934" w14:textId="77777777" w:rsidR="00270B24" w:rsidRPr="00F47262" w:rsidRDefault="00270B24" w:rsidP="007972FF">
            <w:pPr>
              <w:spacing w:before="60" w:after="60"/>
              <w:rPr>
                <w:sz w:val="20"/>
              </w:rPr>
            </w:pPr>
            <w:r w:rsidRPr="00F47262">
              <w:rPr>
                <w:sz w:val="20"/>
              </w:rPr>
              <w:t xml:space="preserve">Within the two password fields, enter the same password that was used for the tpsadm account in Step 54 </w:t>
            </w:r>
            <w:r w:rsidR="007972FF" w:rsidRPr="00F47262">
              <w:rPr>
                <w:sz w:val="20"/>
              </w:rPr>
              <w:t xml:space="preserve">and </w:t>
            </w:r>
            <w:r w:rsidRPr="00F47262">
              <w:rPr>
                <w:sz w:val="20"/>
              </w:rPr>
              <w:t>63.</w:t>
            </w:r>
          </w:p>
        </w:tc>
        <w:tc>
          <w:tcPr>
            <w:tcW w:w="4471" w:type="dxa"/>
          </w:tcPr>
          <w:p w14:paraId="56155308" w14:textId="373BD2CA" w:rsidR="00270B24" w:rsidRPr="00F47262" w:rsidRDefault="00270B24" w:rsidP="00697B9C">
            <w:pPr>
              <w:spacing w:before="60" w:after="60"/>
              <w:rPr>
                <w:sz w:val="20"/>
              </w:rPr>
            </w:pPr>
          </w:p>
        </w:tc>
      </w:tr>
      <w:tr w:rsidR="00270B24" w:rsidRPr="00F47262" w14:paraId="79752FAC" w14:textId="77777777" w:rsidTr="00F47262">
        <w:trPr>
          <w:cantSplit/>
        </w:trPr>
        <w:tc>
          <w:tcPr>
            <w:tcW w:w="738" w:type="dxa"/>
          </w:tcPr>
          <w:p w14:paraId="4827E284" w14:textId="77777777" w:rsidR="00270B24" w:rsidRPr="00F47262" w:rsidRDefault="00270B24" w:rsidP="006D5A65">
            <w:pPr>
              <w:pStyle w:val="Heading1"/>
            </w:pPr>
          </w:p>
        </w:tc>
        <w:tc>
          <w:tcPr>
            <w:tcW w:w="4349" w:type="dxa"/>
          </w:tcPr>
          <w:p w14:paraId="3D29C888" w14:textId="77777777" w:rsidR="00270B24" w:rsidRPr="00F47262" w:rsidRDefault="00270B24" w:rsidP="00697B9C">
            <w:pPr>
              <w:spacing w:before="60" w:after="60"/>
              <w:rPr>
                <w:sz w:val="20"/>
              </w:rPr>
            </w:pPr>
            <w:r w:rsidRPr="00F47262">
              <w:rPr>
                <w:sz w:val="20"/>
              </w:rPr>
              <w:t xml:space="preserve">Click the </w:t>
            </w:r>
            <w:r w:rsidRPr="00F47262">
              <w:rPr>
                <w:b/>
                <w:sz w:val="20"/>
              </w:rPr>
              <w:t>OK</w:t>
            </w:r>
            <w:r w:rsidRPr="00F47262">
              <w:rPr>
                <w:sz w:val="20"/>
              </w:rPr>
              <w:t xml:space="preserve"> button.</w:t>
            </w:r>
          </w:p>
        </w:tc>
        <w:tc>
          <w:tcPr>
            <w:tcW w:w="4471" w:type="dxa"/>
          </w:tcPr>
          <w:p w14:paraId="06FED670" w14:textId="77777777" w:rsidR="00270B24" w:rsidRPr="00F47262" w:rsidRDefault="00270B24" w:rsidP="00697B9C">
            <w:pPr>
              <w:spacing w:before="60" w:after="60"/>
              <w:rPr>
                <w:sz w:val="20"/>
              </w:rPr>
            </w:pPr>
          </w:p>
        </w:tc>
      </w:tr>
      <w:tr w:rsidR="00270B24" w:rsidRPr="00F47262" w14:paraId="7A46BD1B" w14:textId="77777777" w:rsidTr="00F47262">
        <w:trPr>
          <w:cantSplit/>
        </w:trPr>
        <w:tc>
          <w:tcPr>
            <w:tcW w:w="738" w:type="dxa"/>
          </w:tcPr>
          <w:p w14:paraId="1FB2C10A" w14:textId="77777777" w:rsidR="00270B24" w:rsidRPr="00F47262" w:rsidRDefault="00270B24" w:rsidP="006D5A65">
            <w:pPr>
              <w:pStyle w:val="Heading1"/>
            </w:pPr>
          </w:p>
        </w:tc>
        <w:tc>
          <w:tcPr>
            <w:tcW w:w="4349" w:type="dxa"/>
          </w:tcPr>
          <w:p w14:paraId="27A4514F" w14:textId="77777777" w:rsidR="00270B24" w:rsidRPr="00F47262" w:rsidRDefault="00270B24" w:rsidP="00697B9C">
            <w:pPr>
              <w:spacing w:before="60" w:after="60"/>
              <w:rPr>
                <w:sz w:val="20"/>
              </w:rPr>
            </w:pPr>
            <w:r w:rsidRPr="00F47262">
              <w:rPr>
                <w:sz w:val="20"/>
              </w:rPr>
              <w:t>Reboot the workstation.</w:t>
            </w:r>
          </w:p>
        </w:tc>
        <w:tc>
          <w:tcPr>
            <w:tcW w:w="4471" w:type="dxa"/>
          </w:tcPr>
          <w:p w14:paraId="65D011C6" w14:textId="77777777" w:rsidR="00270B24" w:rsidRPr="00F47262" w:rsidRDefault="00270B24" w:rsidP="00697B9C">
            <w:pPr>
              <w:spacing w:before="60" w:after="60"/>
              <w:rPr>
                <w:noProof/>
                <w:sz w:val="20"/>
              </w:rPr>
            </w:pPr>
          </w:p>
        </w:tc>
      </w:tr>
      <w:tr w:rsidR="00270B24" w:rsidRPr="00F47262" w14:paraId="2BCD9D74" w14:textId="77777777" w:rsidTr="00F47262">
        <w:trPr>
          <w:cantSplit/>
        </w:trPr>
        <w:tc>
          <w:tcPr>
            <w:tcW w:w="738" w:type="dxa"/>
          </w:tcPr>
          <w:p w14:paraId="06D1AF65" w14:textId="77777777" w:rsidR="00270B24" w:rsidRPr="00F47262" w:rsidRDefault="00270B24" w:rsidP="006D5A65">
            <w:pPr>
              <w:pStyle w:val="Heading1"/>
            </w:pPr>
          </w:p>
        </w:tc>
        <w:tc>
          <w:tcPr>
            <w:tcW w:w="4349" w:type="dxa"/>
          </w:tcPr>
          <w:p w14:paraId="35426F76" w14:textId="77777777" w:rsidR="00270B24" w:rsidRPr="00F47262" w:rsidRDefault="00270B24" w:rsidP="00270B24">
            <w:pPr>
              <w:spacing w:before="60" w:after="60"/>
              <w:rPr>
                <w:sz w:val="20"/>
              </w:rPr>
            </w:pPr>
            <w:r w:rsidRPr="00F47262">
              <w:rPr>
                <w:sz w:val="20"/>
              </w:rPr>
              <w:t>Login to MDS as administrator.</w:t>
            </w:r>
          </w:p>
        </w:tc>
        <w:tc>
          <w:tcPr>
            <w:tcW w:w="4471" w:type="dxa"/>
          </w:tcPr>
          <w:p w14:paraId="50BADD6E" w14:textId="77777777" w:rsidR="00270B24" w:rsidRPr="00F47262" w:rsidRDefault="00270B24" w:rsidP="00697B9C">
            <w:pPr>
              <w:spacing w:before="60" w:after="60"/>
              <w:rPr>
                <w:noProof/>
                <w:sz w:val="20"/>
              </w:rPr>
            </w:pPr>
          </w:p>
        </w:tc>
      </w:tr>
      <w:tr w:rsidR="00270B24" w:rsidRPr="00F47262" w14:paraId="1EE84A6C" w14:textId="77777777" w:rsidTr="00F47262">
        <w:trPr>
          <w:cantSplit/>
        </w:trPr>
        <w:tc>
          <w:tcPr>
            <w:tcW w:w="738" w:type="dxa"/>
          </w:tcPr>
          <w:p w14:paraId="0A1E327A" w14:textId="77777777" w:rsidR="00270B24" w:rsidRPr="00F47262" w:rsidRDefault="00270B24" w:rsidP="006D5A65">
            <w:pPr>
              <w:pStyle w:val="Heading1"/>
            </w:pPr>
          </w:p>
        </w:tc>
        <w:tc>
          <w:tcPr>
            <w:tcW w:w="4349" w:type="dxa"/>
          </w:tcPr>
          <w:p w14:paraId="438322CD" w14:textId="77777777" w:rsidR="00270B24" w:rsidRPr="00F47262" w:rsidRDefault="00574053" w:rsidP="00574053">
            <w:pPr>
              <w:spacing w:before="60" w:after="60"/>
              <w:rPr>
                <w:sz w:val="20"/>
              </w:rPr>
            </w:pPr>
            <w:r w:rsidRPr="00F47262">
              <w:rPr>
                <w:sz w:val="20"/>
              </w:rPr>
              <w:t xml:space="preserve">Right-click on the </w:t>
            </w:r>
            <w:r w:rsidRPr="00F47262">
              <w:rPr>
                <w:b/>
                <w:sz w:val="20"/>
              </w:rPr>
              <w:t>MDS Toolbox</w:t>
            </w:r>
            <w:r w:rsidRPr="00F47262">
              <w:rPr>
                <w:sz w:val="20"/>
              </w:rPr>
              <w:t xml:space="preserve"> desktop shortcut icon </w:t>
            </w:r>
            <w:r w:rsidRPr="00F47262">
              <w:rPr>
                <w:noProof/>
                <w:sz w:val="20"/>
              </w:rPr>
              <w:drawing>
                <wp:inline distT="0" distB="0" distL="0" distR="0" wp14:anchorId="1840A577" wp14:editId="03189176">
                  <wp:extent cx="276225" cy="247650"/>
                  <wp:effectExtent l="19050" t="0" r="9525" b="0"/>
                  <wp:docPr id="1380"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and select </w:t>
            </w:r>
            <w:r w:rsidRPr="00F47262">
              <w:rPr>
                <w:b/>
                <w:sz w:val="20"/>
              </w:rPr>
              <w:t>Run as administrator</w:t>
            </w:r>
            <w:r w:rsidRPr="00F47262">
              <w:rPr>
                <w:sz w:val="20"/>
              </w:rPr>
              <w:t xml:space="preserve"> from the resulting pop-up menu.</w:t>
            </w:r>
          </w:p>
        </w:tc>
        <w:tc>
          <w:tcPr>
            <w:tcW w:w="4471" w:type="dxa"/>
          </w:tcPr>
          <w:p w14:paraId="18DAD9F5" w14:textId="77777777" w:rsidR="00270B24" w:rsidRPr="00F47262" w:rsidRDefault="00270B24" w:rsidP="00697B9C">
            <w:pPr>
              <w:spacing w:before="60" w:after="60"/>
              <w:rPr>
                <w:noProof/>
                <w:sz w:val="20"/>
              </w:rPr>
            </w:pPr>
          </w:p>
        </w:tc>
      </w:tr>
      <w:tr w:rsidR="00270B24" w:rsidRPr="00F47262" w14:paraId="4A1572FD" w14:textId="77777777" w:rsidTr="00F47262">
        <w:trPr>
          <w:cantSplit/>
        </w:trPr>
        <w:tc>
          <w:tcPr>
            <w:tcW w:w="738" w:type="dxa"/>
          </w:tcPr>
          <w:p w14:paraId="507BD079" w14:textId="77777777" w:rsidR="00270B24" w:rsidRPr="00F47262" w:rsidRDefault="00270B24" w:rsidP="006D5A65">
            <w:pPr>
              <w:pStyle w:val="Heading1"/>
            </w:pPr>
          </w:p>
        </w:tc>
        <w:tc>
          <w:tcPr>
            <w:tcW w:w="4349" w:type="dxa"/>
          </w:tcPr>
          <w:p w14:paraId="38F9977C" w14:textId="77777777" w:rsidR="00270B24" w:rsidRPr="00F47262" w:rsidRDefault="00270B24" w:rsidP="00697B9C">
            <w:pPr>
              <w:spacing w:before="60" w:after="60"/>
              <w:rPr>
                <w:sz w:val="20"/>
              </w:rPr>
            </w:pPr>
            <w:r w:rsidRPr="00F47262">
              <w:rPr>
                <w:sz w:val="20"/>
              </w:rPr>
              <w:t>Create a new TMPR.</w:t>
            </w:r>
          </w:p>
        </w:tc>
        <w:tc>
          <w:tcPr>
            <w:tcW w:w="4471" w:type="dxa"/>
          </w:tcPr>
          <w:p w14:paraId="5A354E9B" w14:textId="77777777" w:rsidR="00270B24" w:rsidRPr="00F47262" w:rsidRDefault="00270B24" w:rsidP="00697B9C">
            <w:pPr>
              <w:spacing w:before="60" w:after="60"/>
              <w:rPr>
                <w:sz w:val="20"/>
              </w:rPr>
            </w:pPr>
          </w:p>
        </w:tc>
      </w:tr>
      <w:tr w:rsidR="00270B24" w:rsidRPr="00F47262" w14:paraId="2F688744" w14:textId="77777777" w:rsidTr="00F47262">
        <w:trPr>
          <w:cantSplit/>
        </w:trPr>
        <w:tc>
          <w:tcPr>
            <w:tcW w:w="738" w:type="dxa"/>
          </w:tcPr>
          <w:p w14:paraId="33E93638" w14:textId="77777777" w:rsidR="00270B24" w:rsidRPr="00F47262" w:rsidRDefault="00270B24" w:rsidP="006D5A65">
            <w:pPr>
              <w:pStyle w:val="Heading1"/>
            </w:pPr>
          </w:p>
        </w:tc>
        <w:tc>
          <w:tcPr>
            <w:tcW w:w="4349" w:type="dxa"/>
          </w:tcPr>
          <w:p w14:paraId="14D1C1D0" w14:textId="77777777" w:rsidR="00270B24" w:rsidRPr="00F47262" w:rsidRDefault="00270B24" w:rsidP="00697B9C">
            <w:pPr>
              <w:spacing w:before="60" w:after="60"/>
              <w:rPr>
                <w:sz w:val="20"/>
              </w:rPr>
            </w:pPr>
            <w:r w:rsidRPr="00F47262">
              <w:rPr>
                <w:sz w:val="20"/>
              </w:rPr>
              <w:t>Submit the TMPR to TPS.</w:t>
            </w:r>
          </w:p>
        </w:tc>
        <w:tc>
          <w:tcPr>
            <w:tcW w:w="4471" w:type="dxa"/>
          </w:tcPr>
          <w:p w14:paraId="4E04F645" w14:textId="77777777" w:rsidR="00270B24" w:rsidRPr="00F47262" w:rsidRDefault="00270B24" w:rsidP="00697B9C">
            <w:pPr>
              <w:spacing w:before="60" w:after="60"/>
              <w:rPr>
                <w:sz w:val="20"/>
              </w:rPr>
            </w:pPr>
          </w:p>
        </w:tc>
      </w:tr>
      <w:tr w:rsidR="00270B24" w:rsidRPr="00F47262" w14:paraId="31F5C0EE" w14:textId="77777777" w:rsidTr="00F47262">
        <w:trPr>
          <w:cantSplit/>
        </w:trPr>
        <w:tc>
          <w:tcPr>
            <w:tcW w:w="738" w:type="dxa"/>
          </w:tcPr>
          <w:p w14:paraId="5819F925" w14:textId="77777777" w:rsidR="00270B24" w:rsidRPr="00F47262" w:rsidRDefault="00270B24" w:rsidP="006D5A65">
            <w:pPr>
              <w:pStyle w:val="Heading1"/>
            </w:pPr>
          </w:p>
        </w:tc>
        <w:tc>
          <w:tcPr>
            <w:tcW w:w="4349" w:type="dxa"/>
          </w:tcPr>
          <w:p w14:paraId="7777D82E" w14:textId="77777777" w:rsidR="00270B24" w:rsidRPr="00F47262" w:rsidRDefault="00270B24" w:rsidP="00697B9C">
            <w:pPr>
              <w:spacing w:before="60" w:after="60"/>
              <w:rPr>
                <w:sz w:val="20"/>
              </w:rPr>
            </w:pPr>
            <w:r w:rsidRPr="00F47262">
              <w:rPr>
                <w:sz w:val="20"/>
              </w:rPr>
              <w:t>Verify TMPR status: See Note 1</w:t>
            </w:r>
            <w:r w:rsidR="001C22D7" w:rsidRPr="00F47262">
              <w:rPr>
                <w:sz w:val="20"/>
              </w:rPr>
              <w:t>.</w:t>
            </w:r>
          </w:p>
          <w:p w14:paraId="4BAD5173" w14:textId="498C2FD5" w:rsidR="00270B24" w:rsidRPr="00F47262" w:rsidRDefault="00270B24" w:rsidP="006D5A65">
            <w:pPr>
              <w:pStyle w:val="Heading1"/>
            </w:pPr>
            <w:r w:rsidRPr="00F47262">
              <w:t xml:space="preserve">If </w:t>
            </w:r>
            <w:r w:rsidR="001C22D7" w:rsidRPr="00F47262">
              <w:t>S</w:t>
            </w:r>
            <w:r w:rsidRPr="00F47262">
              <w:t xml:space="preserve">tatus column says: In work, problem was </w:t>
            </w:r>
            <w:r w:rsidR="000F1C61" w:rsidRPr="00F47262">
              <w:t>resolved,</w:t>
            </w:r>
            <w:r w:rsidRPr="00F47262">
              <w:t xml:space="preserve"> and no additional action required.</w:t>
            </w:r>
          </w:p>
          <w:p w14:paraId="531A829E" w14:textId="77777777" w:rsidR="00270B24" w:rsidRPr="00F47262" w:rsidRDefault="00270B24" w:rsidP="006D5A65">
            <w:pPr>
              <w:pStyle w:val="Heading1"/>
            </w:pPr>
            <w:r w:rsidRPr="00F47262">
              <w:t xml:space="preserve">If </w:t>
            </w:r>
            <w:r w:rsidR="001C22D7" w:rsidRPr="00F47262">
              <w:t>S</w:t>
            </w:r>
            <w:r w:rsidRPr="00F47262">
              <w:t>tatus column says: Submitted, contact an appropriate Help Desk for additional assistance.</w:t>
            </w:r>
          </w:p>
        </w:tc>
        <w:tc>
          <w:tcPr>
            <w:tcW w:w="4471" w:type="dxa"/>
          </w:tcPr>
          <w:p w14:paraId="3B11B912" w14:textId="77777777" w:rsidR="00270B24" w:rsidRPr="00F47262" w:rsidRDefault="00270B24" w:rsidP="00270B24">
            <w:pPr>
              <w:spacing w:before="60" w:after="60"/>
              <w:rPr>
                <w:sz w:val="20"/>
              </w:rPr>
            </w:pPr>
            <w:r w:rsidRPr="00F47262">
              <w:rPr>
                <w:b/>
                <w:i/>
                <w:sz w:val="20"/>
              </w:rPr>
              <w:t>Note 1:</w:t>
            </w:r>
            <w:r w:rsidRPr="00F47262">
              <w:rPr>
                <w:sz w:val="20"/>
              </w:rPr>
              <w:t xml:space="preserve"> Allow approx</w:t>
            </w:r>
            <w:r w:rsidR="00E4470E" w:rsidRPr="00F47262">
              <w:rPr>
                <w:sz w:val="20"/>
              </w:rPr>
              <w:t>imately</w:t>
            </w:r>
            <w:r w:rsidRPr="00F47262">
              <w:rPr>
                <w:sz w:val="20"/>
              </w:rPr>
              <w:t xml:space="preserve"> 2-4 minutes for the status to update.</w:t>
            </w:r>
          </w:p>
        </w:tc>
      </w:tr>
      <w:tr w:rsidR="00A10A0C" w:rsidRPr="00F47262" w14:paraId="2A36E948" w14:textId="77777777" w:rsidTr="00F47262">
        <w:trPr>
          <w:cantSplit/>
        </w:trPr>
        <w:tc>
          <w:tcPr>
            <w:tcW w:w="9558" w:type="dxa"/>
            <w:gridSpan w:val="3"/>
            <w:tcBorders>
              <w:bottom w:val="single" w:sz="4" w:space="0" w:color="auto"/>
            </w:tcBorders>
            <w:shd w:val="clear" w:color="auto" w:fill="C6D9F1" w:themeFill="text2" w:themeFillTint="33"/>
          </w:tcPr>
          <w:p w14:paraId="3BF738B0" w14:textId="77777777" w:rsidR="00270B24" w:rsidRPr="00F47262" w:rsidRDefault="00270B24" w:rsidP="00F75F3C">
            <w:pPr>
              <w:keepNext/>
              <w:spacing w:before="60" w:after="60"/>
              <w:rPr>
                <w:b/>
                <w:i/>
                <w:color w:val="000000" w:themeColor="text1"/>
                <w:sz w:val="20"/>
              </w:rPr>
            </w:pPr>
            <w:r w:rsidRPr="00F47262">
              <w:rPr>
                <w:b/>
                <w:i/>
                <w:color w:val="000000" w:themeColor="text1"/>
                <w:sz w:val="20"/>
              </w:rPr>
              <w:t xml:space="preserve">Verify Common Security Disc Installation </w:t>
            </w:r>
          </w:p>
          <w:p w14:paraId="164683B1" w14:textId="77777777" w:rsidR="00270B24" w:rsidRPr="00F47262" w:rsidRDefault="00270B24" w:rsidP="00F75F3C">
            <w:pPr>
              <w:keepNext/>
              <w:spacing w:before="60" w:after="60"/>
              <w:rPr>
                <w:b/>
                <w:i/>
                <w:color w:val="000000" w:themeColor="text1"/>
                <w:sz w:val="20"/>
              </w:rPr>
            </w:pPr>
            <w:r w:rsidRPr="00F47262">
              <w:rPr>
                <w:b/>
                <w:i/>
                <w:color w:val="000000" w:themeColor="text1"/>
                <w:sz w:val="20"/>
              </w:rPr>
              <w:t xml:space="preserve">(Not Applicable for Standalone </w:t>
            </w:r>
            <w:r w:rsidR="00395432" w:rsidRPr="00F47262">
              <w:rPr>
                <w:b/>
                <w:i/>
                <w:color w:val="000000" w:themeColor="text1"/>
                <w:sz w:val="20"/>
              </w:rPr>
              <w:t xml:space="preserve">MDS </w:t>
            </w:r>
            <w:r w:rsidRPr="00F47262">
              <w:rPr>
                <w:b/>
                <w:i/>
                <w:color w:val="000000" w:themeColor="text1"/>
                <w:sz w:val="20"/>
              </w:rPr>
              <w:t>Configuration)</w:t>
            </w:r>
          </w:p>
        </w:tc>
      </w:tr>
      <w:tr w:rsidR="00270B24" w:rsidRPr="00F47262" w14:paraId="40E7EBE6" w14:textId="77777777" w:rsidTr="00F47262">
        <w:trPr>
          <w:cantSplit/>
        </w:trPr>
        <w:tc>
          <w:tcPr>
            <w:tcW w:w="738" w:type="dxa"/>
          </w:tcPr>
          <w:p w14:paraId="17A029AE" w14:textId="77777777" w:rsidR="00270B24" w:rsidRPr="00F47262" w:rsidRDefault="00270B24" w:rsidP="006D5A65">
            <w:pPr>
              <w:pStyle w:val="Heading1"/>
            </w:pPr>
          </w:p>
        </w:tc>
        <w:tc>
          <w:tcPr>
            <w:tcW w:w="4349" w:type="dxa"/>
          </w:tcPr>
          <w:p w14:paraId="766BA65D" w14:textId="77777777" w:rsidR="00270B24" w:rsidRPr="00F47262" w:rsidRDefault="00270B24" w:rsidP="00270B24">
            <w:pPr>
              <w:spacing w:before="60" w:after="60"/>
              <w:rPr>
                <w:sz w:val="20"/>
              </w:rPr>
            </w:pPr>
            <w:r w:rsidRPr="00F47262">
              <w:rPr>
                <w:sz w:val="20"/>
              </w:rPr>
              <w:t>Login to the appropriate machine with an account that has administrator privileges.</w:t>
            </w:r>
          </w:p>
        </w:tc>
        <w:tc>
          <w:tcPr>
            <w:tcW w:w="4471" w:type="dxa"/>
          </w:tcPr>
          <w:p w14:paraId="1ADA39CB" w14:textId="77777777" w:rsidR="00270B24" w:rsidRPr="00F47262" w:rsidRDefault="00270B24" w:rsidP="007972FF">
            <w:pPr>
              <w:spacing w:before="60" w:after="60"/>
              <w:rPr>
                <w:sz w:val="20"/>
              </w:rPr>
            </w:pPr>
            <w:r w:rsidRPr="00F47262">
              <w:rPr>
                <w:b/>
                <w:sz w:val="20"/>
              </w:rPr>
              <w:t>CSG</w:t>
            </w:r>
            <w:r w:rsidRPr="00F47262">
              <w:rPr>
                <w:sz w:val="20"/>
              </w:rPr>
              <w:t xml:space="preserve"> = TED Database Server </w:t>
            </w:r>
            <w:r w:rsidR="007972FF" w:rsidRPr="00F47262">
              <w:rPr>
                <w:sz w:val="20"/>
              </w:rPr>
              <w:t xml:space="preserve">and </w:t>
            </w:r>
            <w:r w:rsidRPr="00F47262">
              <w:rPr>
                <w:sz w:val="20"/>
              </w:rPr>
              <w:t>MDS workstation</w:t>
            </w:r>
          </w:p>
        </w:tc>
      </w:tr>
      <w:tr w:rsidR="00270B24" w:rsidRPr="00F47262" w14:paraId="0E2558D7" w14:textId="77777777" w:rsidTr="00F47262">
        <w:trPr>
          <w:cantSplit/>
        </w:trPr>
        <w:tc>
          <w:tcPr>
            <w:tcW w:w="738" w:type="dxa"/>
          </w:tcPr>
          <w:p w14:paraId="1C51B784" w14:textId="77777777" w:rsidR="00270B24" w:rsidRPr="00F47262" w:rsidRDefault="00270B24" w:rsidP="006D5A65">
            <w:pPr>
              <w:pStyle w:val="Heading1"/>
            </w:pPr>
          </w:p>
        </w:tc>
        <w:tc>
          <w:tcPr>
            <w:tcW w:w="4349" w:type="dxa"/>
          </w:tcPr>
          <w:p w14:paraId="05F9F815" w14:textId="77777777" w:rsidR="00270B24" w:rsidRPr="00F47262" w:rsidRDefault="00270B24" w:rsidP="00697B9C">
            <w:pPr>
              <w:spacing w:before="60" w:after="60"/>
              <w:rPr>
                <w:sz w:val="20"/>
              </w:rPr>
            </w:pPr>
            <w:r w:rsidRPr="00F47262">
              <w:rPr>
                <w:sz w:val="20"/>
              </w:rPr>
              <w:t>On both machines, perform Steps 78-81.</w:t>
            </w:r>
          </w:p>
        </w:tc>
        <w:tc>
          <w:tcPr>
            <w:tcW w:w="4471" w:type="dxa"/>
          </w:tcPr>
          <w:p w14:paraId="61AEE8C9" w14:textId="77777777" w:rsidR="00270B24" w:rsidRPr="00F47262" w:rsidRDefault="00270B24" w:rsidP="00697B9C">
            <w:pPr>
              <w:spacing w:before="60" w:after="60"/>
              <w:rPr>
                <w:sz w:val="20"/>
              </w:rPr>
            </w:pPr>
          </w:p>
        </w:tc>
      </w:tr>
      <w:tr w:rsidR="00270B24" w:rsidRPr="00F47262" w14:paraId="1C63FC63" w14:textId="77777777" w:rsidTr="00F47262">
        <w:trPr>
          <w:cantSplit/>
        </w:trPr>
        <w:tc>
          <w:tcPr>
            <w:tcW w:w="738" w:type="dxa"/>
          </w:tcPr>
          <w:p w14:paraId="49CDE036" w14:textId="77777777" w:rsidR="00270B24" w:rsidRPr="00F47262" w:rsidRDefault="00270B24" w:rsidP="006D5A65">
            <w:pPr>
              <w:pStyle w:val="Heading1"/>
            </w:pPr>
          </w:p>
        </w:tc>
        <w:tc>
          <w:tcPr>
            <w:tcW w:w="4349" w:type="dxa"/>
          </w:tcPr>
          <w:p w14:paraId="7A1F429E" w14:textId="77777777" w:rsidR="00270B24" w:rsidRPr="00F47262" w:rsidRDefault="00CA1EF3" w:rsidP="00CA1EF3">
            <w:pPr>
              <w:spacing w:before="60" w:after="60"/>
              <w:rPr>
                <w:sz w:val="20"/>
              </w:rPr>
            </w:pPr>
            <w:r w:rsidRPr="00F47262">
              <w:rPr>
                <w:sz w:val="20"/>
              </w:rPr>
              <w:t xml:space="preserve">Right-click the </w:t>
            </w:r>
            <w:r w:rsidRPr="00F47262">
              <w:rPr>
                <w:noProof/>
                <w:sz w:val="20"/>
              </w:rPr>
              <w:drawing>
                <wp:inline distT="0" distB="0" distL="0" distR="0" wp14:anchorId="60911D6E" wp14:editId="3A22DC55">
                  <wp:extent cx="182880" cy="178068"/>
                  <wp:effectExtent l="0" t="0" r="762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Search</w:t>
            </w:r>
            <w:r w:rsidRPr="00F47262">
              <w:rPr>
                <w:sz w:val="20"/>
              </w:rPr>
              <w:t xml:space="preserve"> from the pop-up menu. Type </w:t>
            </w:r>
            <w:r w:rsidRPr="00F47262">
              <w:rPr>
                <w:b/>
                <w:sz w:val="20"/>
              </w:rPr>
              <w:t>regedit</w:t>
            </w:r>
            <w:r w:rsidRPr="00F47262">
              <w:rPr>
                <w:sz w:val="20"/>
              </w:rPr>
              <w:t xml:space="preserve"> in the </w:t>
            </w:r>
            <w:r w:rsidRPr="00F47262">
              <w:rPr>
                <w:b/>
                <w:sz w:val="20"/>
              </w:rPr>
              <w:t>Search</w:t>
            </w:r>
            <w:r w:rsidRPr="00F47262">
              <w:rPr>
                <w:sz w:val="20"/>
              </w:rPr>
              <w:t xml:space="preserve"> field, and then select </w:t>
            </w:r>
            <w:r w:rsidRPr="00F47262">
              <w:rPr>
                <w:b/>
                <w:sz w:val="20"/>
              </w:rPr>
              <w:t>regedit</w:t>
            </w:r>
            <w:r w:rsidRPr="00F47262">
              <w:rPr>
                <w:sz w:val="20"/>
              </w:rPr>
              <w:t xml:space="preserve"> in the results list.</w:t>
            </w:r>
          </w:p>
        </w:tc>
        <w:tc>
          <w:tcPr>
            <w:tcW w:w="4471" w:type="dxa"/>
          </w:tcPr>
          <w:p w14:paraId="1C4BA0C9" w14:textId="77777777" w:rsidR="00270B24" w:rsidRPr="00F47262" w:rsidRDefault="00270B24" w:rsidP="00697B9C">
            <w:pPr>
              <w:spacing w:before="60" w:after="60"/>
              <w:rPr>
                <w:sz w:val="20"/>
              </w:rPr>
            </w:pPr>
          </w:p>
        </w:tc>
      </w:tr>
      <w:tr w:rsidR="00270B24" w:rsidRPr="00F47262" w14:paraId="66CD6E16" w14:textId="77777777" w:rsidTr="00F47262">
        <w:trPr>
          <w:cantSplit/>
        </w:trPr>
        <w:tc>
          <w:tcPr>
            <w:tcW w:w="738" w:type="dxa"/>
          </w:tcPr>
          <w:p w14:paraId="42D632BD" w14:textId="77777777" w:rsidR="00270B24" w:rsidRPr="00F47262" w:rsidRDefault="00270B24" w:rsidP="006D5A65">
            <w:pPr>
              <w:pStyle w:val="Heading1"/>
            </w:pPr>
          </w:p>
        </w:tc>
        <w:tc>
          <w:tcPr>
            <w:tcW w:w="4349" w:type="dxa"/>
          </w:tcPr>
          <w:p w14:paraId="2E654F28" w14:textId="77777777" w:rsidR="00270B24" w:rsidRPr="00F47262" w:rsidRDefault="00270B24" w:rsidP="00697B9C">
            <w:pPr>
              <w:spacing w:before="60" w:after="60"/>
              <w:rPr>
                <w:sz w:val="20"/>
              </w:rPr>
            </w:pPr>
            <w:r w:rsidRPr="00F47262">
              <w:rPr>
                <w:sz w:val="20"/>
              </w:rPr>
              <w:t xml:space="preserve">Click the </w:t>
            </w:r>
            <w:r w:rsidRPr="00F47262">
              <w:rPr>
                <w:b/>
                <w:sz w:val="20"/>
              </w:rPr>
              <w:t>Yes</w:t>
            </w:r>
            <w:r w:rsidRPr="00F47262">
              <w:rPr>
                <w:sz w:val="20"/>
              </w:rPr>
              <w:t xml:space="preserve"> button in the </w:t>
            </w:r>
            <w:r w:rsidRPr="00F47262">
              <w:rPr>
                <w:i/>
                <w:sz w:val="20"/>
              </w:rPr>
              <w:t xml:space="preserve">User Account Control </w:t>
            </w:r>
            <w:r w:rsidRPr="00F47262">
              <w:rPr>
                <w:sz w:val="20"/>
              </w:rPr>
              <w:t>window</w:t>
            </w:r>
            <w:r w:rsidR="007F5E00" w:rsidRPr="00F47262">
              <w:rPr>
                <w:sz w:val="20"/>
              </w:rPr>
              <w:t xml:space="preserve"> if displayed</w:t>
            </w:r>
            <w:r w:rsidRPr="00F47262">
              <w:rPr>
                <w:sz w:val="20"/>
              </w:rPr>
              <w:t>.</w:t>
            </w:r>
          </w:p>
        </w:tc>
        <w:tc>
          <w:tcPr>
            <w:tcW w:w="4471" w:type="dxa"/>
          </w:tcPr>
          <w:p w14:paraId="7F9A8AD8" w14:textId="77777777" w:rsidR="00270B24" w:rsidRPr="00F47262" w:rsidRDefault="00270B24" w:rsidP="00697B9C">
            <w:pPr>
              <w:spacing w:before="60" w:after="60"/>
              <w:rPr>
                <w:sz w:val="20"/>
              </w:rPr>
            </w:pPr>
          </w:p>
        </w:tc>
      </w:tr>
      <w:tr w:rsidR="00270B24" w:rsidRPr="00F47262" w14:paraId="66A7B97A" w14:textId="77777777" w:rsidTr="00F47262">
        <w:trPr>
          <w:cantSplit/>
        </w:trPr>
        <w:tc>
          <w:tcPr>
            <w:tcW w:w="738" w:type="dxa"/>
          </w:tcPr>
          <w:p w14:paraId="7205384D" w14:textId="77777777" w:rsidR="00270B24" w:rsidRPr="00F47262" w:rsidRDefault="00270B24" w:rsidP="006D5A65">
            <w:pPr>
              <w:pStyle w:val="Heading1"/>
            </w:pPr>
          </w:p>
        </w:tc>
        <w:tc>
          <w:tcPr>
            <w:tcW w:w="4349" w:type="dxa"/>
          </w:tcPr>
          <w:p w14:paraId="4D4DDAE8" w14:textId="77777777" w:rsidR="00270B24" w:rsidRPr="00F47262" w:rsidRDefault="00270B24" w:rsidP="00697B9C">
            <w:pPr>
              <w:spacing w:before="60" w:after="60"/>
              <w:rPr>
                <w:sz w:val="20"/>
              </w:rPr>
            </w:pPr>
            <w:r w:rsidRPr="00F47262">
              <w:rPr>
                <w:sz w:val="20"/>
              </w:rPr>
              <w:t>Expand the directory tree down, and select the following folder:</w:t>
            </w:r>
          </w:p>
          <w:p w14:paraId="3ED3D6B7" w14:textId="77777777" w:rsidR="00270B24" w:rsidRPr="00F47262" w:rsidRDefault="00270B24" w:rsidP="00697B9C">
            <w:pPr>
              <w:spacing w:before="60" w:after="60"/>
              <w:rPr>
                <w:b/>
                <w:sz w:val="20"/>
              </w:rPr>
            </w:pPr>
            <w:r w:rsidRPr="00F47262">
              <w:rPr>
                <w:b/>
                <w:sz w:val="20"/>
              </w:rPr>
              <w:t xml:space="preserve">HKLM </w:t>
            </w:r>
            <w:r w:rsidRPr="00F47262">
              <w:rPr>
                <w:b/>
                <w:sz w:val="20"/>
              </w:rPr>
              <w:sym w:font="Wingdings" w:char="F0E0"/>
            </w:r>
            <w:r w:rsidRPr="00F47262">
              <w:rPr>
                <w:b/>
                <w:sz w:val="20"/>
              </w:rPr>
              <w:t xml:space="preserve"> Software </w:t>
            </w:r>
            <w:r w:rsidRPr="00F47262">
              <w:rPr>
                <w:b/>
                <w:sz w:val="20"/>
              </w:rPr>
              <w:sym w:font="Wingdings" w:char="F0E0"/>
            </w:r>
            <w:r w:rsidRPr="00F47262">
              <w:rPr>
                <w:b/>
                <w:sz w:val="20"/>
              </w:rPr>
              <w:t xml:space="preserve"> ComGlobal Systems </w:t>
            </w:r>
            <w:r w:rsidRPr="00F47262">
              <w:rPr>
                <w:b/>
                <w:sz w:val="20"/>
              </w:rPr>
              <w:sym w:font="Wingdings" w:char="F0E0"/>
            </w:r>
            <w:r w:rsidRPr="00F47262">
              <w:rPr>
                <w:b/>
                <w:sz w:val="20"/>
              </w:rPr>
              <w:t xml:space="preserve"> MDS</w:t>
            </w:r>
          </w:p>
          <w:p w14:paraId="5FE0FB8D" w14:textId="77777777" w:rsidR="00270B24" w:rsidRPr="00F47262" w:rsidRDefault="00270B24" w:rsidP="00697B9C">
            <w:pPr>
              <w:spacing w:before="60" w:after="60"/>
              <w:rPr>
                <w:sz w:val="20"/>
              </w:rPr>
            </w:pPr>
            <w:r w:rsidRPr="00F47262">
              <w:rPr>
                <w:sz w:val="20"/>
              </w:rPr>
              <w:t>See Note</w:t>
            </w:r>
            <w:r w:rsidR="001C22D7" w:rsidRPr="00F47262">
              <w:rPr>
                <w:sz w:val="20"/>
              </w:rPr>
              <w:t xml:space="preserve"> 1.</w:t>
            </w:r>
          </w:p>
        </w:tc>
        <w:tc>
          <w:tcPr>
            <w:tcW w:w="4471" w:type="dxa"/>
          </w:tcPr>
          <w:p w14:paraId="551F3E97" w14:textId="57319D37" w:rsidR="00270B24" w:rsidRPr="00F47262" w:rsidRDefault="00931D14" w:rsidP="00697B9C">
            <w:pPr>
              <w:spacing w:before="60" w:after="60"/>
              <w:rPr>
                <w:b/>
                <w:sz w:val="20"/>
              </w:rPr>
            </w:pPr>
            <w:r w:rsidRPr="00F47262">
              <w:rPr>
                <w:noProof/>
                <w:sz w:val="20"/>
              </w:rPr>
              <w:drawing>
                <wp:inline distT="0" distB="0" distL="0" distR="0" wp14:anchorId="4B0682B1" wp14:editId="53D0A66D">
                  <wp:extent cx="2731770" cy="10337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31770" cy="1033780"/>
                          </a:xfrm>
                          <a:prstGeom prst="rect">
                            <a:avLst/>
                          </a:prstGeom>
                        </pic:spPr>
                      </pic:pic>
                    </a:graphicData>
                  </a:graphic>
                </wp:inline>
              </w:drawing>
            </w:r>
          </w:p>
          <w:p w14:paraId="2AB1160D" w14:textId="77777777" w:rsidR="00270B24" w:rsidRPr="00F47262" w:rsidRDefault="00270B24" w:rsidP="00270B24">
            <w:pPr>
              <w:spacing w:before="60" w:after="60"/>
              <w:rPr>
                <w:sz w:val="20"/>
              </w:rPr>
            </w:pPr>
            <w:r w:rsidRPr="00F47262">
              <w:rPr>
                <w:b/>
                <w:i/>
                <w:sz w:val="20"/>
              </w:rPr>
              <w:t>Note 1</w:t>
            </w:r>
            <w:r w:rsidRPr="00F47262">
              <w:rPr>
                <w:b/>
                <w:sz w:val="20"/>
              </w:rPr>
              <w:t>:</w:t>
            </w:r>
            <w:r w:rsidRPr="00F47262">
              <w:rPr>
                <w:sz w:val="20"/>
              </w:rPr>
              <w:t xml:space="preserve"> HKLM = HKEY_LOCAL_MACHINE</w:t>
            </w:r>
          </w:p>
        </w:tc>
      </w:tr>
      <w:tr w:rsidR="00270B24" w:rsidRPr="00F47262" w14:paraId="2490CE22" w14:textId="77777777" w:rsidTr="00F47262">
        <w:trPr>
          <w:cantSplit/>
        </w:trPr>
        <w:tc>
          <w:tcPr>
            <w:tcW w:w="738" w:type="dxa"/>
          </w:tcPr>
          <w:p w14:paraId="4B836578" w14:textId="77777777" w:rsidR="00270B24" w:rsidRPr="00F47262" w:rsidRDefault="00270B24" w:rsidP="006D5A65">
            <w:pPr>
              <w:pStyle w:val="Heading1"/>
            </w:pPr>
          </w:p>
        </w:tc>
        <w:tc>
          <w:tcPr>
            <w:tcW w:w="4349" w:type="dxa"/>
          </w:tcPr>
          <w:p w14:paraId="0AD898DE" w14:textId="77777777" w:rsidR="00270B24" w:rsidRPr="00F47262" w:rsidRDefault="00270B24" w:rsidP="00697B9C">
            <w:pPr>
              <w:spacing w:before="60" w:after="60"/>
              <w:rPr>
                <w:sz w:val="20"/>
              </w:rPr>
            </w:pPr>
            <w:r w:rsidRPr="00F47262">
              <w:rPr>
                <w:sz w:val="20"/>
              </w:rPr>
              <w:t xml:space="preserve">In the right pane, make note of the data values for the </w:t>
            </w:r>
            <w:r w:rsidRPr="00F47262">
              <w:rPr>
                <w:b/>
                <w:sz w:val="20"/>
              </w:rPr>
              <w:t>TC2S_Ver</w:t>
            </w:r>
            <w:r w:rsidRPr="00F47262">
              <w:rPr>
                <w:sz w:val="20"/>
              </w:rPr>
              <w:t xml:space="preserve"> entry.</w:t>
            </w:r>
          </w:p>
        </w:tc>
        <w:tc>
          <w:tcPr>
            <w:tcW w:w="4471" w:type="dxa"/>
          </w:tcPr>
          <w:p w14:paraId="326D422F" w14:textId="39D3C8CF" w:rsidR="00270B24" w:rsidRPr="00F47262" w:rsidRDefault="009668E3" w:rsidP="00697B9C">
            <w:pPr>
              <w:spacing w:before="60" w:after="60"/>
              <w:rPr>
                <w:sz w:val="20"/>
              </w:rPr>
            </w:pPr>
            <w:r w:rsidRPr="00F47262">
              <w:rPr>
                <w:noProof/>
                <w:sz w:val="20"/>
              </w:rPr>
              <w:drawing>
                <wp:inline distT="0" distB="0" distL="0" distR="0" wp14:anchorId="69C98829" wp14:editId="73796C33">
                  <wp:extent cx="2731770" cy="104013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31770" cy="1040130"/>
                          </a:xfrm>
                          <a:prstGeom prst="rect">
                            <a:avLst/>
                          </a:prstGeom>
                        </pic:spPr>
                      </pic:pic>
                    </a:graphicData>
                  </a:graphic>
                </wp:inline>
              </w:drawing>
            </w:r>
          </w:p>
        </w:tc>
      </w:tr>
      <w:tr w:rsidR="00270B24" w:rsidRPr="00F47262" w14:paraId="0880CA81" w14:textId="77777777" w:rsidTr="00F47262">
        <w:trPr>
          <w:cantSplit/>
        </w:trPr>
        <w:tc>
          <w:tcPr>
            <w:tcW w:w="738" w:type="dxa"/>
          </w:tcPr>
          <w:p w14:paraId="6240A5A6" w14:textId="77777777" w:rsidR="00270B24" w:rsidRPr="00F47262" w:rsidRDefault="00270B24" w:rsidP="006D5A65">
            <w:pPr>
              <w:pStyle w:val="Heading1"/>
            </w:pPr>
          </w:p>
        </w:tc>
        <w:tc>
          <w:tcPr>
            <w:tcW w:w="4349" w:type="dxa"/>
          </w:tcPr>
          <w:p w14:paraId="651FAD17" w14:textId="77777777" w:rsidR="00270B24" w:rsidRPr="00F47262" w:rsidRDefault="00270B24" w:rsidP="00697B9C">
            <w:pPr>
              <w:spacing w:before="60" w:after="60"/>
              <w:rPr>
                <w:sz w:val="20"/>
              </w:rPr>
            </w:pPr>
            <w:r w:rsidRPr="00F47262">
              <w:rPr>
                <w:sz w:val="20"/>
              </w:rPr>
              <w:t>Verify/Compare the two TC2S_Ver entries. See Note 1.</w:t>
            </w:r>
          </w:p>
          <w:p w14:paraId="0B4038C1" w14:textId="77777777" w:rsidR="00270B24" w:rsidRPr="00F47262" w:rsidRDefault="00270B24" w:rsidP="006D5A65">
            <w:pPr>
              <w:pStyle w:val="Heading1"/>
            </w:pPr>
            <w:r w:rsidRPr="00F47262">
              <w:t xml:space="preserve">If </w:t>
            </w:r>
            <w:r w:rsidRPr="00F47262">
              <w:rPr>
                <w:u w:val="single"/>
              </w:rPr>
              <w:t>equal</w:t>
            </w:r>
            <w:r w:rsidRPr="00F47262">
              <w:t>, contact an appropriate Help Desk for additional assistance.</w:t>
            </w:r>
          </w:p>
          <w:p w14:paraId="39CDFF15" w14:textId="77777777" w:rsidR="00270B24" w:rsidRPr="00F47262" w:rsidRDefault="00270B24" w:rsidP="006D5A65">
            <w:pPr>
              <w:pStyle w:val="Heading1"/>
            </w:pPr>
            <w:r w:rsidRPr="00F47262">
              <w:t xml:space="preserve">If </w:t>
            </w:r>
            <w:r w:rsidRPr="00F47262">
              <w:rPr>
                <w:u w:val="single"/>
              </w:rPr>
              <w:t>different</w:t>
            </w:r>
            <w:r w:rsidRPr="00F47262">
              <w:t xml:space="preserve">, install the most recent Security Disc on applicable machine(s), proceed to </w:t>
            </w:r>
            <w:r w:rsidR="00DC5AD2" w:rsidRPr="00F47262">
              <w:t>the next step</w:t>
            </w:r>
            <w:r w:rsidRPr="00F47262">
              <w:t>.</w:t>
            </w:r>
          </w:p>
        </w:tc>
        <w:tc>
          <w:tcPr>
            <w:tcW w:w="4471" w:type="dxa"/>
          </w:tcPr>
          <w:p w14:paraId="2EBFA099" w14:textId="77777777" w:rsidR="00270B24" w:rsidRPr="00F47262" w:rsidRDefault="00270B24" w:rsidP="00270B24">
            <w:pPr>
              <w:spacing w:before="60" w:after="60"/>
              <w:rPr>
                <w:noProof/>
                <w:sz w:val="20"/>
              </w:rPr>
            </w:pPr>
            <w:r w:rsidRPr="00F47262">
              <w:rPr>
                <w:b/>
                <w:i/>
                <w:noProof/>
                <w:sz w:val="20"/>
              </w:rPr>
              <w:t>Note 1:</w:t>
            </w:r>
            <w:r w:rsidRPr="00F47262">
              <w:rPr>
                <w:noProof/>
                <w:sz w:val="20"/>
              </w:rPr>
              <w:t xml:space="preserve"> The TC2S version as well as the current quarterly security template should be identical.</w:t>
            </w:r>
          </w:p>
        </w:tc>
      </w:tr>
      <w:tr w:rsidR="00270B24" w:rsidRPr="00F47262" w14:paraId="33A8F570" w14:textId="77777777" w:rsidTr="00F47262">
        <w:trPr>
          <w:cantSplit/>
        </w:trPr>
        <w:tc>
          <w:tcPr>
            <w:tcW w:w="738" w:type="dxa"/>
          </w:tcPr>
          <w:p w14:paraId="4FE55DD3" w14:textId="77777777" w:rsidR="00270B24" w:rsidRPr="00F47262" w:rsidRDefault="00270B24" w:rsidP="006D5A65">
            <w:pPr>
              <w:pStyle w:val="Heading1"/>
            </w:pPr>
          </w:p>
        </w:tc>
        <w:tc>
          <w:tcPr>
            <w:tcW w:w="4349" w:type="dxa"/>
          </w:tcPr>
          <w:p w14:paraId="2D4D52E0" w14:textId="77777777" w:rsidR="00270B24" w:rsidRPr="00F47262" w:rsidRDefault="00270B24" w:rsidP="00697B9C">
            <w:pPr>
              <w:spacing w:before="60" w:after="60"/>
              <w:rPr>
                <w:sz w:val="20"/>
              </w:rPr>
            </w:pPr>
            <w:r w:rsidRPr="00F47262">
              <w:rPr>
                <w:sz w:val="20"/>
              </w:rPr>
              <w:t>Reboot the workstation.</w:t>
            </w:r>
          </w:p>
        </w:tc>
        <w:tc>
          <w:tcPr>
            <w:tcW w:w="4471" w:type="dxa"/>
          </w:tcPr>
          <w:p w14:paraId="0A713272" w14:textId="77777777" w:rsidR="00270B24" w:rsidRPr="00F47262" w:rsidRDefault="00270B24" w:rsidP="00697B9C">
            <w:pPr>
              <w:spacing w:before="60" w:after="60"/>
              <w:rPr>
                <w:sz w:val="20"/>
              </w:rPr>
            </w:pPr>
          </w:p>
        </w:tc>
      </w:tr>
      <w:tr w:rsidR="00270B24" w:rsidRPr="00F47262" w14:paraId="56DBD154" w14:textId="77777777" w:rsidTr="00F47262">
        <w:trPr>
          <w:cantSplit/>
        </w:trPr>
        <w:tc>
          <w:tcPr>
            <w:tcW w:w="738" w:type="dxa"/>
          </w:tcPr>
          <w:p w14:paraId="73DCA21A" w14:textId="77777777" w:rsidR="00270B24" w:rsidRPr="00F47262" w:rsidRDefault="00270B24" w:rsidP="006D5A65">
            <w:pPr>
              <w:pStyle w:val="Heading1"/>
            </w:pPr>
          </w:p>
        </w:tc>
        <w:tc>
          <w:tcPr>
            <w:tcW w:w="4349" w:type="dxa"/>
          </w:tcPr>
          <w:p w14:paraId="7243A62B" w14:textId="77777777" w:rsidR="00270B24" w:rsidRPr="00F47262" w:rsidRDefault="00270B24" w:rsidP="00697B9C">
            <w:pPr>
              <w:spacing w:before="60" w:after="60"/>
              <w:rPr>
                <w:sz w:val="20"/>
              </w:rPr>
            </w:pPr>
            <w:r w:rsidRPr="00F47262">
              <w:rPr>
                <w:sz w:val="20"/>
              </w:rPr>
              <w:t>Login to MDS as administrator.</w:t>
            </w:r>
          </w:p>
        </w:tc>
        <w:tc>
          <w:tcPr>
            <w:tcW w:w="4471" w:type="dxa"/>
          </w:tcPr>
          <w:p w14:paraId="284AC106" w14:textId="77777777" w:rsidR="00270B24" w:rsidRPr="00F47262" w:rsidRDefault="00270B24" w:rsidP="00697B9C">
            <w:pPr>
              <w:spacing w:before="60" w:after="60"/>
              <w:rPr>
                <w:sz w:val="20"/>
              </w:rPr>
            </w:pPr>
          </w:p>
        </w:tc>
      </w:tr>
      <w:tr w:rsidR="00270B24" w:rsidRPr="00F47262" w14:paraId="10DD8538" w14:textId="77777777" w:rsidTr="00F47262">
        <w:trPr>
          <w:cantSplit/>
        </w:trPr>
        <w:tc>
          <w:tcPr>
            <w:tcW w:w="738" w:type="dxa"/>
          </w:tcPr>
          <w:p w14:paraId="49FA6EAA" w14:textId="77777777" w:rsidR="00270B24" w:rsidRPr="00F47262" w:rsidRDefault="00270B24" w:rsidP="006D5A65">
            <w:pPr>
              <w:pStyle w:val="Heading1"/>
            </w:pPr>
          </w:p>
        </w:tc>
        <w:tc>
          <w:tcPr>
            <w:tcW w:w="4349" w:type="dxa"/>
          </w:tcPr>
          <w:p w14:paraId="27743FDC" w14:textId="77777777" w:rsidR="00270B24" w:rsidRPr="00F47262" w:rsidRDefault="007F5E00" w:rsidP="007F5E00">
            <w:pPr>
              <w:spacing w:before="60" w:after="60"/>
              <w:rPr>
                <w:sz w:val="20"/>
              </w:rPr>
            </w:pPr>
            <w:r w:rsidRPr="00F47262">
              <w:rPr>
                <w:sz w:val="20"/>
              </w:rPr>
              <w:t xml:space="preserve">Right-click on the </w:t>
            </w:r>
            <w:r w:rsidRPr="00F47262">
              <w:rPr>
                <w:b/>
                <w:sz w:val="20"/>
              </w:rPr>
              <w:t>MDS Toolbox</w:t>
            </w:r>
            <w:r w:rsidRPr="00F47262">
              <w:rPr>
                <w:sz w:val="20"/>
              </w:rPr>
              <w:t xml:space="preserve"> desktop shortcut icon </w:t>
            </w:r>
            <w:r w:rsidRPr="00F47262">
              <w:rPr>
                <w:noProof/>
                <w:sz w:val="20"/>
              </w:rPr>
              <w:drawing>
                <wp:inline distT="0" distB="0" distL="0" distR="0" wp14:anchorId="654C6B28" wp14:editId="3FB7D172">
                  <wp:extent cx="276225" cy="247650"/>
                  <wp:effectExtent l="19050" t="0" r="9525" b="0"/>
                  <wp:docPr id="1381"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and select </w:t>
            </w:r>
            <w:r w:rsidRPr="00F47262">
              <w:rPr>
                <w:b/>
                <w:sz w:val="20"/>
              </w:rPr>
              <w:t>Run as administrator</w:t>
            </w:r>
            <w:r w:rsidRPr="00F47262">
              <w:rPr>
                <w:sz w:val="20"/>
              </w:rPr>
              <w:t xml:space="preserve"> from the resulting pop-up menu.</w:t>
            </w:r>
          </w:p>
        </w:tc>
        <w:tc>
          <w:tcPr>
            <w:tcW w:w="4471" w:type="dxa"/>
          </w:tcPr>
          <w:p w14:paraId="31C29511" w14:textId="77777777" w:rsidR="00270B24" w:rsidRPr="00F47262" w:rsidRDefault="00270B24" w:rsidP="00697B9C">
            <w:pPr>
              <w:spacing w:before="60" w:after="60"/>
              <w:rPr>
                <w:b/>
                <w:i/>
                <w:sz w:val="20"/>
              </w:rPr>
            </w:pPr>
          </w:p>
        </w:tc>
      </w:tr>
      <w:tr w:rsidR="00270B24" w:rsidRPr="00F47262" w14:paraId="29EDF41C" w14:textId="77777777" w:rsidTr="00F47262">
        <w:trPr>
          <w:cantSplit/>
        </w:trPr>
        <w:tc>
          <w:tcPr>
            <w:tcW w:w="738" w:type="dxa"/>
          </w:tcPr>
          <w:p w14:paraId="1D4C793B" w14:textId="77777777" w:rsidR="00270B24" w:rsidRPr="00F47262" w:rsidRDefault="00270B24" w:rsidP="006D5A65">
            <w:pPr>
              <w:pStyle w:val="Heading1"/>
            </w:pPr>
          </w:p>
        </w:tc>
        <w:tc>
          <w:tcPr>
            <w:tcW w:w="4349" w:type="dxa"/>
          </w:tcPr>
          <w:p w14:paraId="19D395A4" w14:textId="77777777" w:rsidR="00270B24" w:rsidRPr="00F47262" w:rsidRDefault="00270B24" w:rsidP="00697B9C">
            <w:pPr>
              <w:spacing w:before="60" w:after="60"/>
              <w:rPr>
                <w:sz w:val="20"/>
              </w:rPr>
            </w:pPr>
            <w:r w:rsidRPr="00F47262">
              <w:rPr>
                <w:sz w:val="20"/>
              </w:rPr>
              <w:t>Create a new TMPR.</w:t>
            </w:r>
          </w:p>
        </w:tc>
        <w:tc>
          <w:tcPr>
            <w:tcW w:w="4471" w:type="dxa"/>
          </w:tcPr>
          <w:p w14:paraId="652079CF" w14:textId="77777777" w:rsidR="00270B24" w:rsidRPr="00F47262" w:rsidRDefault="00270B24" w:rsidP="00697B9C">
            <w:pPr>
              <w:spacing w:before="60" w:after="60"/>
              <w:rPr>
                <w:b/>
                <w:i/>
                <w:sz w:val="20"/>
              </w:rPr>
            </w:pPr>
          </w:p>
        </w:tc>
      </w:tr>
      <w:tr w:rsidR="00270B24" w:rsidRPr="00F47262" w14:paraId="16F682CB" w14:textId="77777777" w:rsidTr="00F47262">
        <w:trPr>
          <w:cantSplit/>
        </w:trPr>
        <w:tc>
          <w:tcPr>
            <w:tcW w:w="738" w:type="dxa"/>
          </w:tcPr>
          <w:p w14:paraId="28BA9DF4" w14:textId="77777777" w:rsidR="00270B24" w:rsidRPr="00F47262" w:rsidRDefault="00270B24" w:rsidP="006D5A65">
            <w:pPr>
              <w:pStyle w:val="Heading1"/>
            </w:pPr>
          </w:p>
        </w:tc>
        <w:tc>
          <w:tcPr>
            <w:tcW w:w="4349" w:type="dxa"/>
          </w:tcPr>
          <w:p w14:paraId="1A4A73EF" w14:textId="77777777" w:rsidR="00270B24" w:rsidRPr="00F47262" w:rsidRDefault="00270B24" w:rsidP="00697B9C">
            <w:pPr>
              <w:spacing w:before="60" w:after="60"/>
              <w:rPr>
                <w:sz w:val="20"/>
              </w:rPr>
            </w:pPr>
            <w:r w:rsidRPr="00F47262">
              <w:rPr>
                <w:sz w:val="20"/>
              </w:rPr>
              <w:t>Submit the TMPR to TPS.</w:t>
            </w:r>
          </w:p>
        </w:tc>
        <w:tc>
          <w:tcPr>
            <w:tcW w:w="4471" w:type="dxa"/>
          </w:tcPr>
          <w:p w14:paraId="354E4695" w14:textId="77777777" w:rsidR="00270B24" w:rsidRPr="00F47262" w:rsidRDefault="00270B24" w:rsidP="00697B9C">
            <w:pPr>
              <w:spacing w:before="60" w:after="60"/>
              <w:rPr>
                <w:b/>
                <w:i/>
                <w:sz w:val="20"/>
              </w:rPr>
            </w:pPr>
          </w:p>
        </w:tc>
      </w:tr>
      <w:tr w:rsidR="00270B24" w:rsidRPr="00F47262" w14:paraId="653D8F91" w14:textId="77777777" w:rsidTr="00F47262">
        <w:trPr>
          <w:cantSplit/>
        </w:trPr>
        <w:tc>
          <w:tcPr>
            <w:tcW w:w="738" w:type="dxa"/>
          </w:tcPr>
          <w:p w14:paraId="0A047639" w14:textId="77777777" w:rsidR="00270B24" w:rsidRPr="00F47262" w:rsidRDefault="00270B24" w:rsidP="006D5A65">
            <w:pPr>
              <w:pStyle w:val="Heading1"/>
            </w:pPr>
          </w:p>
        </w:tc>
        <w:tc>
          <w:tcPr>
            <w:tcW w:w="4349" w:type="dxa"/>
          </w:tcPr>
          <w:p w14:paraId="68381F54" w14:textId="77777777" w:rsidR="00270B24" w:rsidRPr="00F47262" w:rsidRDefault="00270B24" w:rsidP="00697B9C">
            <w:pPr>
              <w:spacing w:before="60" w:after="60"/>
              <w:rPr>
                <w:sz w:val="20"/>
              </w:rPr>
            </w:pPr>
            <w:r w:rsidRPr="00F47262">
              <w:rPr>
                <w:sz w:val="20"/>
              </w:rPr>
              <w:t>Verify TMPR status: See Note</w:t>
            </w:r>
            <w:r w:rsidR="00B34925" w:rsidRPr="00F47262">
              <w:rPr>
                <w:sz w:val="20"/>
              </w:rPr>
              <w:t xml:space="preserve"> 1</w:t>
            </w:r>
            <w:r w:rsidR="001C22D7" w:rsidRPr="00F47262">
              <w:rPr>
                <w:sz w:val="20"/>
              </w:rPr>
              <w:t>.</w:t>
            </w:r>
          </w:p>
          <w:p w14:paraId="4C16C350" w14:textId="2213D8BF" w:rsidR="00270B24" w:rsidRPr="00F47262" w:rsidRDefault="00270B24" w:rsidP="006D5A65">
            <w:pPr>
              <w:pStyle w:val="Heading1"/>
            </w:pPr>
            <w:r w:rsidRPr="00F47262">
              <w:t xml:space="preserve">If </w:t>
            </w:r>
            <w:r w:rsidR="001C22D7" w:rsidRPr="00F47262">
              <w:t>S</w:t>
            </w:r>
            <w:r w:rsidRPr="00F47262">
              <w:t xml:space="preserve">tatus column says: In work, problem was </w:t>
            </w:r>
            <w:r w:rsidR="00273387" w:rsidRPr="00F47262">
              <w:t>resolved,</w:t>
            </w:r>
            <w:r w:rsidRPr="00F47262">
              <w:t xml:space="preserve"> and no additional action required.</w:t>
            </w:r>
          </w:p>
          <w:p w14:paraId="204FC030" w14:textId="77777777" w:rsidR="00270B24" w:rsidRPr="00F47262" w:rsidRDefault="00270B24" w:rsidP="006D5A65">
            <w:pPr>
              <w:pStyle w:val="Heading1"/>
            </w:pPr>
            <w:r w:rsidRPr="00F47262">
              <w:t xml:space="preserve">If </w:t>
            </w:r>
            <w:r w:rsidR="001C22D7" w:rsidRPr="00F47262">
              <w:t>S</w:t>
            </w:r>
            <w:r w:rsidRPr="00F47262">
              <w:t>tatus column says: Submitted, contact an appropriate Help Desk for additional assistance.</w:t>
            </w:r>
          </w:p>
        </w:tc>
        <w:tc>
          <w:tcPr>
            <w:tcW w:w="4471" w:type="dxa"/>
          </w:tcPr>
          <w:p w14:paraId="2E8CA909" w14:textId="77777777" w:rsidR="00270B24" w:rsidRPr="00F47262" w:rsidRDefault="00270B24" w:rsidP="00270B24">
            <w:pPr>
              <w:spacing w:before="60" w:after="60"/>
              <w:rPr>
                <w:sz w:val="20"/>
              </w:rPr>
            </w:pPr>
            <w:r w:rsidRPr="00F47262">
              <w:rPr>
                <w:b/>
                <w:i/>
                <w:sz w:val="20"/>
              </w:rPr>
              <w:t>Note 1:</w:t>
            </w:r>
            <w:r w:rsidRPr="00F47262">
              <w:rPr>
                <w:sz w:val="20"/>
              </w:rPr>
              <w:t xml:space="preserve"> Allow approx</w:t>
            </w:r>
            <w:r w:rsidR="00E4470E" w:rsidRPr="00F47262">
              <w:rPr>
                <w:sz w:val="20"/>
              </w:rPr>
              <w:t>imately</w:t>
            </w:r>
            <w:r w:rsidRPr="00F47262">
              <w:rPr>
                <w:sz w:val="20"/>
              </w:rPr>
              <w:t xml:space="preserve"> 2-4 minutes for the status to update.</w:t>
            </w:r>
          </w:p>
        </w:tc>
      </w:tr>
    </w:tbl>
    <w:p w14:paraId="05B98A97" w14:textId="1152952C" w:rsidR="008168B7" w:rsidRPr="000665B0" w:rsidRDefault="008168B7" w:rsidP="00155E82">
      <w:pPr>
        <w:pStyle w:val="Appendix3"/>
        <w:ind w:left="360"/>
      </w:pPr>
      <w:bookmarkStart w:id="7489" w:name="_L-4.2__TMPR"/>
      <w:bookmarkStart w:id="7490" w:name="TMPR_Returns_Infeasible"/>
      <w:bookmarkStart w:id="7491" w:name="_Toc214283712"/>
      <w:bookmarkEnd w:id="7489"/>
      <w:bookmarkEnd w:id="7490"/>
      <w:r w:rsidRPr="000665B0">
        <w:t>TMPR R</w:t>
      </w:r>
      <w:r w:rsidR="0098331C" w:rsidRPr="000665B0">
        <w:t>eturns</w:t>
      </w:r>
      <w:r w:rsidRPr="000665B0">
        <w:t xml:space="preserve"> “I</w:t>
      </w:r>
      <w:r w:rsidR="0098331C" w:rsidRPr="000665B0">
        <w:t>nfeasible</w:t>
      </w:r>
      <w:r w:rsidRPr="000665B0">
        <w:t>”</w:t>
      </w:r>
      <w:bookmarkEnd w:id="7491"/>
    </w:p>
    <w:p w14:paraId="3A067F53" w14:textId="77777777" w:rsidR="008168B7" w:rsidRPr="000665B0" w:rsidRDefault="008168B7" w:rsidP="008168B7">
      <w:pPr>
        <w:rPr>
          <w:szCs w:val="24"/>
        </w:rPr>
      </w:pPr>
      <w:r w:rsidRPr="000665B0">
        <w:rPr>
          <w:szCs w:val="24"/>
        </w:rPr>
        <w:t>During processing of a TMPR, TPS performs and looks for a variety of things. In the course of this processing, if TPS cannot complete the process and provide a completed mission into the TED database, then the TMPR will return an “Infeasible” status.</w:t>
      </w:r>
    </w:p>
    <w:p w14:paraId="264F5D09" w14:textId="77777777" w:rsidR="008168B7" w:rsidRPr="000665B0" w:rsidRDefault="008168B7" w:rsidP="008168B7">
      <w:pPr>
        <w:rPr>
          <w:szCs w:val="24"/>
        </w:rPr>
      </w:pPr>
      <w:r w:rsidRPr="000665B0">
        <w:rPr>
          <w:szCs w:val="24"/>
        </w:rPr>
        <w:t xml:space="preserve">Previous history and experience has shown this to be one of </w:t>
      </w:r>
      <w:r w:rsidR="001C22D7" w:rsidRPr="000665B0">
        <w:rPr>
          <w:szCs w:val="24"/>
        </w:rPr>
        <w:t xml:space="preserve">the following </w:t>
      </w:r>
      <w:r w:rsidRPr="000665B0">
        <w:rPr>
          <w:szCs w:val="24"/>
        </w:rPr>
        <w:t>reasons</w:t>
      </w:r>
      <w:r w:rsidR="001C22D7" w:rsidRPr="000665B0">
        <w:rPr>
          <w:szCs w:val="24"/>
        </w:rPr>
        <w:t>:</w:t>
      </w:r>
      <w:r w:rsidRPr="000665B0">
        <w:rPr>
          <w:szCs w:val="24"/>
        </w:rPr>
        <w:t xml:space="preserve"> 1) TPS cannot locate the DTED and 2) TPS cannot package up the completed mission and insert it into TED.</w:t>
      </w:r>
    </w:p>
    <w:p w14:paraId="4DB0D97E" w14:textId="77777777" w:rsidR="008168B7" w:rsidRPr="000665B0" w:rsidRDefault="008168B7" w:rsidP="008168B7">
      <w:pPr>
        <w:rPr>
          <w:szCs w:val="24"/>
        </w:rPr>
      </w:pPr>
      <w:r w:rsidRPr="000665B0">
        <w:rPr>
          <w:szCs w:val="24"/>
        </w:rPr>
        <w:t>Follow the procedures below to help resolve this issue.</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4364"/>
        <w:gridCol w:w="4366"/>
      </w:tblGrid>
      <w:tr w:rsidR="008168B7" w:rsidRPr="000665B0" w14:paraId="21BC1160" w14:textId="77777777" w:rsidTr="00F47262">
        <w:trPr>
          <w:cantSplit/>
          <w:tblHeader/>
        </w:trPr>
        <w:tc>
          <w:tcPr>
            <w:tcW w:w="9468" w:type="dxa"/>
            <w:gridSpan w:val="3"/>
            <w:shd w:val="clear" w:color="auto" w:fill="D9D9D9" w:themeFill="background1" w:themeFillShade="D9"/>
          </w:tcPr>
          <w:p w14:paraId="14948B98" w14:textId="3AB7F23E" w:rsidR="008168B7" w:rsidRPr="00F47262" w:rsidRDefault="008168B7" w:rsidP="00DF73CC">
            <w:pPr>
              <w:spacing w:before="60" w:after="60"/>
              <w:rPr>
                <w:rFonts w:ascii="Arial" w:hAnsi="Arial" w:cs="Arial"/>
                <w:b/>
                <w:szCs w:val="24"/>
              </w:rPr>
            </w:pPr>
            <w:r w:rsidRPr="00F47262">
              <w:rPr>
                <w:rFonts w:ascii="Arial" w:hAnsi="Arial" w:cs="Arial"/>
                <w:b/>
                <w:szCs w:val="24"/>
              </w:rPr>
              <w:lastRenderedPageBreak/>
              <w:t>L</w:t>
            </w:r>
            <w:r w:rsidR="00DF73CC" w:rsidRPr="00F47262">
              <w:rPr>
                <w:rFonts w:ascii="Arial" w:hAnsi="Arial" w:cs="Arial"/>
                <w:b/>
                <w:szCs w:val="24"/>
              </w:rPr>
              <w:t>.</w:t>
            </w:r>
            <w:r w:rsidR="004224B7" w:rsidRPr="00F47262">
              <w:rPr>
                <w:rFonts w:ascii="Arial" w:hAnsi="Arial" w:cs="Arial"/>
                <w:b/>
                <w:szCs w:val="24"/>
              </w:rPr>
              <w:t>4</w:t>
            </w:r>
            <w:r w:rsidRPr="00F47262">
              <w:rPr>
                <w:rFonts w:ascii="Arial" w:hAnsi="Arial" w:cs="Arial"/>
                <w:b/>
                <w:szCs w:val="24"/>
              </w:rPr>
              <w:t>.2</w:t>
            </w:r>
            <w:r w:rsidR="009651B0" w:rsidRPr="00F47262">
              <w:rPr>
                <w:rFonts w:ascii="Arial" w:hAnsi="Arial" w:cs="Arial"/>
                <w:b/>
                <w:szCs w:val="24"/>
              </w:rPr>
              <w:t xml:space="preserve"> </w:t>
            </w:r>
            <w:r w:rsidRPr="00F47262">
              <w:rPr>
                <w:rFonts w:ascii="Arial" w:hAnsi="Arial" w:cs="Arial"/>
                <w:b/>
                <w:szCs w:val="24"/>
              </w:rPr>
              <w:t>TMPR Returns “Infeasible”</w:t>
            </w:r>
          </w:p>
        </w:tc>
      </w:tr>
      <w:tr w:rsidR="008168B7" w:rsidRPr="000665B0" w14:paraId="3A0B9F9F" w14:textId="77777777" w:rsidTr="00F47262">
        <w:trPr>
          <w:cantSplit/>
          <w:tblHeader/>
        </w:trPr>
        <w:tc>
          <w:tcPr>
            <w:tcW w:w="738" w:type="dxa"/>
            <w:shd w:val="clear" w:color="auto" w:fill="D9D9D9" w:themeFill="background1" w:themeFillShade="D9"/>
          </w:tcPr>
          <w:p w14:paraId="46F34A78" w14:textId="77777777" w:rsidR="008168B7" w:rsidRPr="00F47262" w:rsidRDefault="008168B7" w:rsidP="009759E2">
            <w:pPr>
              <w:spacing w:before="60" w:after="60"/>
              <w:rPr>
                <w:rFonts w:ascii="Arial" w:hAnsi="Arial" w:cs="Arial"/>
                <w:b/>
                <w:szCs w:val="24"/>
              </w:rPr>
            </w:pPr>
            <w:r w:rsidRPr="00F47262">
              <w:rPr>
                <w:rFonts w:ascii="Arial" w:hAnsi="Arial" w:cs="Arial"/>
                <w:b/>
                <w:szCs w:val="24"/>
              </w:rPr>
              <w:t>Step</w:t>
            </w:r>
          </w:p>
        </w:tc>
        <w:tc>
          <w:tcPr>
            <w:tcW w:w="4364" w:type="dxa"/>
            <w:shd w:val="clear" w:color="auto" w:fill="D9D9D9" w:themeFill="background1" w:themeFillShade="D9"/>
          </w:tcPr>
          <w:p w14:paraId="7E7CB914" w14:textId="77777777" w:rsidR="008168B7" w:rsidRPr="00F47262" w:rsidRDefault="008168B7" w:rsidP="009759E2">
            <w:pPr>
              <w:spacing w:before="60" w:after="60"/>
              <w:rPr>
                <w:rFonts w:ascii="Arial" w:hAnsi="Arial" w:cs="Arial"/>
                <w:b/>
                <w:szCs w:val="24"/>
              </w:rPr>
            </w:pPr>
            <w:r w:rsidRPr="00F47262">
              <w:rPr>
                <w:rFonts w:ascii="Arial" w:hAnsi="Arial" w:cs="Arial"/>
                <w:b/>
                <w:szCs w:val="24"/>
              </w:rPr>
              <w:t>Procedure</w:t>
            </w:r>
          </w:p>
        </w:tc>
        <w:tc>
          <w:tcPr>
            <w:tcW w:w="4366" w:type="dxa"/>
            <w:shd w:val="clear" w:color="auto" w:fill="D9D9D9" w:themeFill="background1" w:themeFillShade="D9"/>
          </w:tcPr>
          <w:p w14:paraId="11D52C27" w14:textId="77777777" w:rsidR="008168B7" w:rsidRPr="00F47262" w:rsidRDefault="008168B7" w:rsidP="009759E2">
            <w:pPr>
              <w:spacing w:before="60" w:after="60"/>
              <w:rPr>
                <w:rFonts w:ascii="Arial" w:hAnsi="Arial" w:cs="Arial"/>
                <w:b/>
                <w:szCs w:val="24"/>
              </w:rPr>
            </w:pPr>
            <w:r w:rsidRPr="00F47262">
              <w:rPr>
                <w:rFonts w:ascii="Arial" w:hAnsi="Arial" w:cs="Arial"/>
                <w:b/>
                <w:szCs w:val="24"/>
              </w:rPr>
              <w:t>Comments</w:t>
            </w:r>
          </w:p>
        </w:tc>
      </w:tr>
      <w:tr w:rsidR="008168B7" w:rsidRPr="00F47262" w14:paraId="2F81855B" w14:textId="77777777" w:rsidTr="00F47262">
        <w:trPr>
          <w:cantSplit/>
        </w:trPr>
        <w:tc>
          <w:tcPr>
            <w:tcW w:w="738" w:type="dxa"/>
          </w:tcPr>
          <w:p w14:paraId="6AF76D3A" w14:textId="77777777" w:rsidR="008168B7" w:rsidRPr="00F47262" w:rsidRDefault="008168B7" w:rsidP="006D5A65">
            <w:pPr>
              <w:pStyle w:val="Heading1"/>
            </w:pPr>
          </w:p>
        </w:tc>
        <w:tc>
          <w:tcPr>
            <w:tcW w:w="4364" w:type="dxa"/>
          </w:tcPr>
          <w:p w14:paraId="31263B70" w14:textId="77777777" w:rsidR="008168B7" w:rsidRPr="00F47262" w:rsidRDefault="008168B7" w:rsidP="00E153AB">
            <w:pPr>
              <w:spacing w:before="60" w:after="60"/>
              <w:rPr>
                <w:sz w:val="20"/>
              </w:rPr>
            </w:pPr>
            <w:r w:rsidRPr="00F47262">
              <w:rPr>
                <w:sz w:val="20"/>
              </w:rPr>
              <w:t>Logo</w:t>
            </w:r>
            <w:r w:rsidR="00E153AB" w:rsidRPr="00F47262">
              <w:rPr>
                <w:sz w:val="20"/>
              </w:rPr>
              <w:t>ut</w:t>
            </w:r>
            <w:r w:rsidRPr="00F47262">
              <w:rPr>
                <w:sz w:val="20"/>
              </w:rPr>
              <w:t xml:space="preserve"> of the MDS workstation.</w:t>
            </w:r>
          </w:p>
        </w:tc>
        <w:tc>
          <w:tcPr>
            <w:tcW w:w="4366" w:type="dxa"/>
          </w:tcPr>
          <w:p w14:paraId="22C30AC9" w14:textId="77777777" w:rsidR="008168B7" w:rsidRPr="00F47262" w:rsidRDefault="008168B7" w:rsidP="00697B9C">
            <w:pPr>
              <w:spacing w:before="60" w:after="60"/>
              <w:rPr>
                <w:sz w:val="20"/>
              </w:rPr>
            </w:pPr>
          </w:p>
        </w:tc>
      </w:tr>
      <w:tr w:rsidR="008168B7" w:rsidRPr="00F47262" w14:paraId="78F4E086" w14:textId="77777777" w:rsidTr="00F47262">
        <w:trPr>
          <w:cantSplit/>
        </w:trPr>
        <w:tc>
          <w:tcPr>
            <w:tcW w:w="738" w:type="dxa"/>
          </w:tcPr>
          <w:p w14:paraId="16E5C0B7" w14:textId="77777777" w:rsidR="008168B7" w:rsidRPr="00F47262" w:rsidRDefault="008168B7" w:rsidP="006D5A65">
            <w:pPr>
              <w:pStyle w:val="Heading1"/>
            </w:pPr>
          </w:p>
        </w:tc>
        <w:tc>
          <w:tcPr>
            <w:tcW w:w="4364" w:type="dxa"/>
          </w:tcPr>
          <w:p w14:paraId="071ED8FE" w14:textId="77777777" w:rsidR="008168B7" w:rsidRPr="00F47262" w:rsidRDefault="008168B7" w:rsidP="00E153AB">
            <w:pPr>
              <w:spacing w:before="60" w:after="60"/>
              <w:rPr>
                <w:sz w:val="20"/>
              </w:rPr>
            </w:pPr>
            <w:r w:rsidRPr="00F47262">
              <w:rPr>
                <w:sz w:val="20"/>
              </w:rPr>
              <w:t>Login</w:t>
            </w:r>
            <w:r w:rsidR="00E153AB" w:rsidRPr="00F47262">
              <w:rPr>
                <w:sz w:val="20"/>
              </w:rPr>
              <w:t xml:space="preserve"> </w:t>
            </w:r>
            <w:r w:rsidRPr="00F47262">
              <w:rPr>
                <w:sz w:val="20"/>
              </w:rPr>
              <w:t>to the appropriate machine with an account that has administrator privileges.</w:t>
            </w:r>
          </w:p>
        </w:tc>
        <w:tc>
          <w:tcPr>
            <w:tcW w:w="4366" w:type="dxa"/>
          </w:tcPr>
          <w:p w14:paraId="457737B4" w14:textId="77777777" w:rsidR="008168B7" w:rsidRPr="00F47262" w:rsidRDefault="008168B7" w:rsidP="00697B9C">
            <w:pPr>
              <w:spacing w:before="60" w:after="60"/>
              <w:rPr>
                <w:sz w:val="20"/>
              </w:rPr>
            </w:pPr>
            <w:r w:rsidRPr="00F47262">
              <w:rPr>
                <w:b/>
                <w:sz w:val="20"/>
              </w:rPr>
              <w:t>CSG</w:t>
            </w:r>
            <w:r w:rsidRPr="00F47262">
              <w:rPr>
                <w:sz w:val="20"/>
              </w:rPr>
              <w:t xml:space="preserve"> = TED Database Server </w:t>
            </w:r>
            <w:r w:rsidR="007972FF" w:rsidRPr="00F47262">
              <w:rPr>
                <w:sz w:val="20"/>
              </w:rPr>
              <w:t xml:space="preserve">and </w:t>
            </w:r>
            <w:r w:rsidRPr="00F47262">
              <w:rPr>
                <w:sz w:val="20"/>
              </w:rPr>
              <w:t>MDS workstation</w:t>
            </w:r>
          </w:p>
          <w:p w14:paraId="09A0CD69" w14:textId="77777777" w:rsidR="008168B7" w:rsidRPr="00F47262" w:rsidRDefault="00395432" w:rsidP="00697B9C">
            <w:pPr>
              <w:spacing w:before="60" w:after="60"/>
              <w:rPr>
                <w:sz w:val="20"/>
              </w:rPr>
            </w:pPr>
            <w:r w:rsidRPr="00F47262">
              <w:rPr>
                <w:b/>
                <w:sz w:val="20"/>
              </w:rPr>
              <w:t>Standalone MDS</w:t>
            </w:r>
            <w:r w:rsidRPr="00F47262">
              <w:rPr>
                <w:sz w:val="20"/>
              </w:rPr>
              <w:t xml:space="preserve"> </w:t>
            </w:r>
            <w:r w:rsidR="008168B7" w:rsidRPr="00F47262">
              <w:rPr>
                <w:sz w:val="20"/>
              </w:rPr>
              <w:t>= MWET workstation</w:t>
            </w:r>
          </w:p>
        </w:tc>
      </w:tr>
      <w:tr w:rsidR="008168B7" w:rsidRPr="00F47262" w14:paraId="45F02970" w14:textId="77777777" w:rsidTr="00F47262">
        <w:trPr>
          <w:cantSplit/>
        </w:trPr>
        <w:tc>
          <w:tcPr>
            <w:tcW w:w="738" w:type="dxa"/>
          </w:tcPr>
          <w:p w14:paraId="65567B66" w14:textId="77777777" w:rsidR="008168B7" w:rsidRPr="00F47262" w:rsidRDefault="008168B7" w:rsidP="006D5A65">
            <w:pPr>
              <w:pStyle w:val="Heading1"/>
            </w:pPr>
          </w:p>
        </w:tc>
        <w:tc>
          <w:tcPr>
            <w:tcW w:w="4364" w:type="dxa"/>
          </w:tcPr>
          <w:p w14:paraId="41C8E8AC" w14:textId="77777777" w:rsidR="008168B7" w:rsidRPr="00F47262" w:rsidRDefault="00E13FE3" w:rsidP="00E13FE3">
            <w:pPr>
              <w:spacing w:before="60" w:after="60"/>
              <w:rPr>
                <w:sz w:val="20"/>
              </w:rPr>
            </w:pPr>
            <w:r w:rsidRPr="00F47262">
              <w:rPr>
                <w:sz w:val="20"/>
              </w:rPr>
              <w:t xml:space="preserve">On the MDS workstation, right-click on the </w:t>
            </w:r>
            <w:r w:rsidRPr="00F47262">
              <w:rPr>
                <w:b/>
                <w:sz w:val="20"/>
              </w:rPr>
              <w:t>MDS Toolbox</w:t>
            </w:r>
            <w:r w:rsidRPr="00F47262">
              <w:rPr>
                <w:sz w:val="20"/>
              </w:rPr>
              <w:t xml:space="preserve"> desktop shortcut icon </w:t>
            </w:r>
            <w:r w:rsidRPr="00F47262">
              <w:rPr>
                <w:noProof/>
                <w:sz w:val="20"/>
              </w:rPr>
              <w:drawing>
                <wp:inline distT="0" distB="0" distL="0" distR="0" wp14:anchorId="09EADC2F" wp14:editId="120D9B6B">
                  <wp:extent cx="276225" cy="247650"/>
                  <wp:effectExtent l="19050" t="0" r="9525" b="0"/>
                  <wp:docPr id="326"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and select </w:t>
            </w:r>
            <w:r w:rsidRPr="00F47262">
              <w:rPr>
                <w:b/>
                <w:sz w:val="20"/>
              </w:rPr>
              <w:t>Run as administrator</w:t>
            </w:r>
            <w:r w:rsidRPr="00F47262">
              <w:rPr>
                <w:sz w:val="20"/>
              </w:rPr>
              <w:t xml:space="preserve"> from the resulting pop-up menu</w:t>
            </w:r>
            <w:r w:rsidR="008168B7" w:rsidRPr="00F47262">
              <w:rPr>
                <w:sz w:val="20"/>
              </w:rPr>
              <w:t>.</w:t>
            </w:r>
          </w:p>
        </w:tc>
        <w:tc>
          <w:tcPr>
            <w:tcW w:w="4366" w:type="dxa"/>
          </w:tcPr>
          <w:p w14:paraId="5392E88C" w14:textId="77777777" w:rsidR="008168B7" w:rsidRPr="00F47262" w:rsidRDefault="008168B7" w:rsidP="00697B9C">
            <w:pPr>
              <w:spacing w:before="60" w:after="60"/>
              <w:rPr>
                <w:sz w:val="20"/>
              </w:rPr>
            </w:pPr>
          </w:p>
        </w:tc>
      </w:tr>
      <w:tr w:rsidR="008168B7" w:rsidRPr="00F47262" w14:paraId="7396C690" w14:textId="77777777" w:rsidTr="00F47262">
        <w:trPr>
          <w:cantSplit/>
        </w:trPr>
        <w:tc>
          <w:tcPr>
            <w:tcW w:w="738" w:type="dxa"/>
          </w:tcPr>
          <w:p w14:paraId="29727AB7" w14:textId="77777777" w:rsidR="008168B7" w:rsidRPr="00F47262" w:rsidRDefault="008168B7" w:rsidP="006D5A65">
            <w:pPr>
              <w:pStyle w:val="Heading1"/>
            </w:pPr>
          </w:p>
        </w:tc>
        <w:tc>
          <w:tcPr>
            <w:tcW w:w="4364" w:type="dxa"/>
          </w:tcPr>
          <w:p w14:paraId="27DA8DD5" w14:textId="77777777" w:rsidR="008168B7" w:rsidRPr="00F47262" w:rsidRDefault="008168B7" w:rsidP="00697B9C">
            <w:pPr>
              <w:spacing w:before="60" w:after="60"/>
              <w:rPr>
                <w:sz w:val="20"/>
              </w:rPr>
            </w:pPr>
            <w:r w:rsidRPr="00F47262">
              <w:rPr>
                <w:sz w:val="20"/>
              </w:rPr>
              <w:t xml:space="preserve">Navigate to the </w:t>
            </w:r>
            <w:r w:rsidRPr="00F47262">
              <w:rPr>
                <w:b/>
                <w:sz w:val="20"/>
              </w:rPr>
              <w:t>TMPR</w:t>
            </w:r>
            <w:r w:rsidRPr="00F47262">
              <w:rPr>
                <w:sz w:val="20"/>
              </w:rPr>
              <w:t xml:space="preserve"> tool.</w:t>
            </w:r>
          </w:p>
        </w:tc>
        <w:tc>
          <w:tcPr>
            <w:tcW w:w="4366" w:type="dxa"/>
          </w:tcPr>
          <w:p w14:paraId="067FE592" w14:textId="77777777" w:rsidR="008168B7" w:rsidRPr="00F47262" w:rsidRDefault="008168B7" w:rsidP="00697B9C">
            <w:pPr>
              <w:spacing w:before="60" w:after="60"/>
              <w:rPr>
                <w:sz w:val="20"/>
              </w:rPr>
            </w:pPr>
          </w:p>
        </w:tc>
      </w:tr>
      <w:tr w:rsidR="008168B7" w:rsidRPr="00F47262" w14:paraId="57325280" w14:textId="77777777" w:rsidTr="00F47262">
        <w:trPr>
          <w:cantSplit/>
        </w:trPr>
        <w:tc>
          <w:tcPr>
            <w:tcW w:w="738" w:type="dxa"/>
          </w:tcPr>
          <w:p w14:paraId="7A4C68D0" w14:textId="77777777" w:rsidR="008168B7" w:rsidRPr="00F47262" w:rsidRDefault="008168B7" w:rsidP="006D5A65">
            <w:pPr>
              <w:pStyle w:val="Heading1"/>
            </w:pPr>
          </w:p>
        </w:tc>
        <w:tc>
          <w:tcPr>
            <w:tcW w:w="4364" w:type="dxa"/>
          </w:tcPr>
          <w:p w14:paraId="605DDFFB" w14:textId="77777777" w:rsidR="008168B7" w:rsidRPr="00F47262" w:rsidRDefault="008168B7" w:rsidP="00697B9C">
            <w:pPr>
              <w:spacing w:before="60" w:after="60"/>
              <w:rPr>
                <w:sz w:val="20"/>
              </w:rPr>
            </w:pPr>
            <w:r w:rsidRPr="00F47262">
              <w:rPr>
                <w:sz w:val="20"/>
              </w:rPr>
              <w:t>Display textually the failed TMPR.</w:t>
            </w:r>
          </w:p>
        </w:tc>
        <w:tc>
          <w:tcPr>
            <w:tcW w:w="4366" w:type="dxa"/>
          </w:tcPr>
          <w:p w14:paraId="0C669A18" w14:textId="77777777" w:rsidR="008168B7" w:rsidRPr="00F47262" w:rsidRDefault="008168B7" w:rsidP="00697B9C">
            <w:pPr>
              <w:spacing w:before="60" w:after="60"/>
              <w:rPr>
                <w:sz w:val="20"/>
              </w:rPr>
            </w:pPr>
          </w:p>
        </w:tc>
      </w:tr>
      <w:tr w:rsidR="008168B7" w:rsidRPr="00F47262" w14:paraId="1AE33085" w14:textId="77777777" w:rsidTr="00F47262">
        <w:trPr>
          <w:cantSplit/>
        </w:trPr>
        <w:tc>
          <w:tcPr>
            <w:tcW w:w="738" w:type="dxa"/>
          </w:tcPr>
          <w:p w14:paraId="4093D2CA" w14:textId="77777777" w:rsidR="008168B7" w:rsidRPr="00F47262" w:rsidRDefault="008168B7" w:rsidP="006D5A65">
            <w:pPr>
              <w:pStyle w:val="Heading1"/>
            </w:pPr>
          </w:p>
        </w:tc>
        <w:tc>
          <w:tcPr>
            <w:tcW w:w="4364" w:type="dxa"/>
          </w:tcPr>
          <w:p w14:paraId="020A6481" w14:textId="77777777" w:rsidR="008168B7" w:rsidRPr="00F47262" w:rsidRDefault="008168B7" w:rsidP="00697B9C">
            <w:pPr>
              <w:spacing w:before="60" w:after="60"/>
              <w:rPr>
                <w:sz w:val="20"/>
              </w:rPr>
            </w:pPr>
            <w:r w:rsidRPr="00F47262">
              <w:rPr>
                <w:sz w:val="20"/>
              </w:rPr>
              <w:t xml:space="preserve">Select the </w:t>
            </w:r>
            <w:r w:rsidRPr="00F47262">
              <w:rPr>
                <w:b/>
                <w:i/>
                <w:sz w:val="20"/>
              </w:rPr>
              <w:t>Advanced</w:t>
            </w:r>
            <w:r w:rsidRPr="00F47262">
              <w:rPr>
                <w:sz w:val="20"/>
              </w:rPr>
              <w:t xml:space="preserve"> tab.</w:t>
            </w:r>
          </w:p>
        </w:tc>
        <w:tc>
          <w:tcPr>
            <w:tcW w:w="4366" w:type="dxa"/>
          </w:tcPr>
          <w:p w14:paraId="63BE6986" w14:textId="77777777" w:rsidR="008168B7" w:rsidRPr="00F47262" w:rsidRDefault="008168B7" w:rsidP="00697B9C">
            <w:pPr>
              <w:spacing w:before="60" w:after="60"/>
              <w:rPr>
                <w:sz w:val="20"/>
              </w:rPr>
            </w:pPr>
          </w:p>
        </w:tc>
      </w:tr>
      <w:tr w:rsidR="008168B7" w:rsidRPr="00F47262" w14:paraId="155B837C" w14:textId="77777777" w:rsidTr="00F47262">
        <w:trPr>
          <w:cantSplit/>
        </w:trPr>
        <w:tc>
          <w:tcPr>
            <w:tcW w:w="738" w:type="dxa"/>
          </w:tcPr>
          <w:p w14:paraId="18C92BF2" w14:textId="77777777" w:rsidR="008168B7" w:rsidRPr="00F47262" w:rsidRDefault="008168B7" w:rsidP="006D5A65">
            <w:pPr>
              <w:pStyle w:val="Heading1"/>
            </w:pPr>
          </w:p>
        </w:tc>
        <w:tc>
          <w:tcPr>
            <w:tcW w:w="4364" w:type="dxa"/>
          </w:tcPr>
          <w:p w14:paraId="78A79D48" w14:textId="77777777" w:rsidR="008168B7" w:rsidRPr="00F47262" w:rsidRDefault="008168B7" w:rsidP="00697B9C">
            <w:pPr>
              <w:spacing w:before="60" w:after="60"/>
              <w:rPr>
                <w:sz w:val="20"/>
              </w:rPr>
            </w:pPr>
            <w:r w:rsidRPr="00F47262">
              <w:rPr>
                <w:sz w:val="20"/>
              </w:rPr>
              <w:t xml:space="preserve">Select the </w:t>
            </w:r>
            <w:r w:rsidRPr="00F47262">
              <w:rPr>
                <w:b/>
                <w:i/>
                <w:sz w:val="20"/>
              </w:rPr>
              <w:t>TMPR Status</w:t>
            </w:r>
            <w:r w:rsidRPr="00F47262">
              <w:rPr>
                <w:sz w:val="20"/>
              </w:rPr>
              <w:t xml:space="preserve"> tab.</w:t>
            </w:r>
          </w:p>
        </w:tc>
        <w:tc>
          <w:tcPr>
            <w:tcW w:w="4366" w:type="dxa"/>
          </w:tcPr>
          <w:p w14:paraId="5149C01A" w14:textId="77777777" w:rsidR="008168B7" w:rsidRPr="00F47262" w:rsidRDefault="008168B7" w:rsidP="00697B9C">
            <w:pPr>
              <w:spacing w:before="60" w:after="60"/>
              <w:rPr>
                <w:sz w:val="20"/>
              </w:rPr>
            </w:pPr>
          </w:p>
        </w:tc>
      </w:tr>
      <w:tr w:rsidR="008168B7" w:rsidRPr="00F47262" w14:paraId="55F11F3A" w14:textId="77777777" w:rsidTr="00F47262">
        <w:trPr>
          <w:cantSplit/>
        </w:trPr>
        <w:tc>
          <w:tcPr>
            <w:tcW w:w="738" w:type="dxa"/>
          </w:tcPr>
          <w:p w14:paraId="72CFDDF2" w14:textId="77777777" w:rsidR="008168B7" w:rsidRPr="00F47262" w:rsidRDefault="008168B7" w:rsidP="006D5A65">
            <w:pPr>
              <w:pStyle w:val="Heading1"/>
            </w:pPr>
          </w:p>
        </w:tc>
        <w:tc>
          <w:tcPr>
            <w:tcW w:w="4364" w:type="dxa"/>
          </w:tcPr>
          <w:p w14:paraId="2B828C12" w14:textId="77777777" w:rsidR="008168B7" w:rsidRPr="00F47262" w:rsidRDefault="008168B7" w:rsidP="00697B9C">
            <w:pPr>
              <w:spacing w:before="60"/>
              <w:rPr>
                <w:sz w:val="20"/>
              </w:rPr>
            </w:pPr>
            <w:r w:rsidRPr="00F47262">
              <w:rPr>
                <w:sz w:val="20"/>
              </w:rPr>
              <w:t>View the contents of the middle data pane.</w:t>
            </w:r>
          </w:p>
          <w:p w14:paraId="4A444B75" w14:textId="77777777" w:rsidR="008168B7" w:rsidRPr="00F47262" w:rsidRDefault="008168B7" w:rsidP="006D5A65">
            <w:pPr>
              <w:pStyle w:val="Heading1"/>
            </w:pPr>
            <w:r w:rsidRPr="00F47262">
              <w:t xml:space="preserve">If the content indicates DTED Elevation data not available, proceed to </w:t>
            </w:r>
            <w:r w:rsidR="00DC5AD2" w:rsidRPr="00F47262">
              <w:rPr>
                <w:rFonts w:eastAsia="Times New Roman"/>
              </w:rPr>
              <w:t>the next step</w:t>
            </w:r>
            <w:r w:rsidRPr="00F47262">
              <w:t>.</w:t>
            </w:r>
          </w:p>
          <w:p w14:paraId="390F94D5" w14:textId="77777777" w:rsidR="008168B7" w:rsidRPr="00F47262" w:rsidRDefault="008168B7" w:rsidP="006D5A65">
            <w:pPr>
              <w:pStyle w:val="Heading1"/>
            </w:pPr>
            <w:r w:rsidRPr="00F47262">
              <w:t>If the content indicates OTHER_ERROR, No mission successfully exported, Proceed to Step 22.</w:t>
            </w:r>
          </w:p>
        </w:tc>
        <w:tc>
          <w:tcPr>
            <w:tcW w:w="4366" w:type="dxa"/>
          </w:tcPr>
          <w:p w14:paraId="25CD743D" w14:textId="77777777" w:rsidR="008168B7" w:rsidRPr="00F47262" w:rsidRDefault="008168B7" w:rsidP="00697B9C">
            <w:pPr>
              <w:spacing w:before="60" w:after="60"/>
              <w:rPr>
                <w:sz w:val="20"/>
              </w:rPr>
            </w:pPr>
          </w:p>
        </w:tc>
      </w:tr>
      <w:tr w:rsidR="00A10A0C" w:rsidRPr="00F47262" w14:paraId="4414F0EB" w14:textId="77777777" w:rsidTr="00F47262">
        <w:trPr>
          <w:cantSplit/>
        </w:trPr>
        <w:tc>
          <w:tcPr>
            <w:tcW w:w="9468" w:type="dxa"/>
            <w:gridSpan w:val="3"/>
            <w:shd w:val="clear" w:color="auto" w:fill="C6D9F1" w:themeFill="text2" w:themeFillTint="33"/>
          </w:tcPr>
          <w:p w14:paraId="1E47D076" w14:textId="77777777" w:rsidR="008168B7" w:rsidRPr="00F47262" w:rsidRDefault="008168B7" w:rsidP="00E153AB">
            <w:pPr>
              <w:spacing w:before="60" w:after="60"/>
              <w:rPr>
                <w:b/>
                <w:i/>
                <w:color w:val="000000" w:themeColor="text1"/>
                <w:sz w:val="20"/>
              </w:rPr>
            </w:pPr>
            <w:r w:rsidRPr="00F47262">
              <w:rPr>
                <w:b/>
                <w:i/>
                <w:color w:val="000000" w:themeColor="text1"/>
                <w:sz w:val="20"/>
              </w:rPr>
              <w:t xml:space="preserve">Verify tpsadm </w:t>
            </w:r>
            <w:r w:rsidR="00E153AB" w:rsidRPr="00F47262">
              <w:rPr>
                <w:b/>
                <w:i/>
                <w:color w:val="000000" w:themeColor="text1"/>
                <w:sz w:val="20"/>
              </w:rPr>
              <w:t>A</w:t>
            </w:r>
            <w:r w:rsidRPr="00F47262">
              <w:rPr>
                <w:b/>
                <w:i/>
                <w:color w:val="000000" w:themeColor="text1"/>
                <w:sz w:val="20"/>
              </w:rPr>
              <w:t xml:space="preserve">ccount </w:t>
            </w:r>
            <w:r w:rsidR="00E153AB" w:rsidRPr="00F47262">
              <w:rPr>
                <w:b/>
                <w:i/>
                <w:color w:val="000000" w:themeColor="text1"/>
                <w:sz w:val="20"/>
              </w:rPr>
              <w:t>L</w:t>
            </w:r>
            <w:r w:rsidRPr="00F47262">
              <w:rPr>
                <w:b/>
                <w:i/>
                <w:color w:val="000000" w:themeColor="text1"/>
                <w:sz w:val="20"/>
              </w:rPr>
              <w:t>ockout/</w:t>
            </w:r>
            <w:r w:rsidR="00E153AB" w:rsidRPr="00F47262">
              <w:rPr>
                <w:b/>
                <w:i/>
                <w:color w:val="000000" w:themeColor="text1"/>
                <w:sz w:val="20"/>
              </w:rPr>
              <w:t>D</w:t>
            </w:r>
            <w:r w:rsidRPr="00F47262">
              <w:rPr>
                <w:b/>
                <w:i/>
                <w:color w:val="000000" w:themeColor="text1"/>
                <w:sz w:val="20"/>
              </w:rPr>
              <w:t>isabled</w:t>
            </w:r>
          </w:p>
        </w:tc>
      </w:tr>
      <w:tr w:rsidR="008168B7" w:rsidRPr="00F47262" w14:paraId="5C055445" w14:textId="77777777" w:rsidTr="00F47262">
        <w:trPr>
          <w:cantSplit/>
        </w:trPr>
        <w:tc>
          <w:tcPr>
            <w:tcW w:w="738" w:type="dxa"/>
          </w:tcPr>
          <w:p w14:paraId="726B4E18" w14:textId="77777777" w:rsidR="008168B7" w:rsidRPr="00F47262" w:rsidRDefault="008168B7" w:rsidP="006D5A65">
            <w:pPr>
              <w:pStyle w:val="Heading1"/>
            </w:pPr>
          </w:p>
        </w:tc>
        <w:tc>
          <w:tcPr>
            <w:tcW w:w="4364" w:type="dxa"/>
          </w:tcPr>
          <w:p w14:paraId="199FF00C" w14:textId="77777777" w:rsidR="008168B7" w:rsidRPr="00F47262" w:rsidRDefault="00145CF5" w:rsidP="00145CF5">
            <w:pPr>
              <w:spacing w:before="60" w:after="60"/>
              <w:rPr>
                <w:sz w:val="20"/>
              </w:rPr>
            </w:pPr>
            <w:r w:rsidRPr="00F47262">
              <w:rPr>
                <w:sz w:val="20"/>
              </w:rPr>
              <w:t xml:space="preserve">Right-click the </w:t>
            </w:r>
            <w:r w:rsidRPr="00F47262">
              <w:rPr>
                <w:noProof/>
                <w:sz w:val="20"/>
              </w:rPr>
              <w:drawing>
                <wp:inline distT="0" distB="0" distL="0" distR="0" wp14:anchorId="2F100F05" wp14:editId="161D00AB">
                  <wp:extent cx="182880" cy="178068"/>
                  <wp:effectExtent l="0" t="0" r="7620" b="0"/>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Computer Management</w:t>
            </w:r>
            <w:r w:rsidRPr="00F47262">
              <w:rPr>
                <w:sz w:val="20"/>
              </w:rPr>
              <w:t xml:space="preserve"> from the pop-up menu. </w:t>
            </w:r>
          </w:p>
        </w:tc>
        <w:tc>
          <w:tcPr>
            <w:tcW w:w="4366" w:type="dxa"/>
          </w:tcPr>
          <w:p w14:paraId="27C8C39E" w14:textId="77777777" w:rsidR="008168B7" w:rsidRPr="00F47262" w:rsidRDefault="008168B7" w:rsidP="00697B9C">
            <w:pPr>
              <w:spacing w:before="60" w:after="60"/>
              <w:rPr>
                <w:sz w:val="20"/>
              </w:rPr>
            </w:pPr>
          </w:p>
        </w:tc>
      </w:tr>
      <w:tr w:rsidR="008168B7" w:rsidRPr="00F47262" w14:paraId="1630E56D" w14:textId="77777777" w:rsidTr="00F47262">
        <w:trPr>
          <w:cantSplit/>
        </w:trPr>
        <w:tc>
          <w:tcPr>
            <w:tcW w:w="738" w:type="dxa"/>
          </w:tcPr>
          <w:p w14:paraId="537ECD08" w14:textId="77777777" w:rsidR="008168B7" w:rsidRPr="00F47262" w:rsidRDefault="008168B7" w:rsidP="006D5A65">
            <w:pPr>
              <w:pStyle w:val="Heading1"/>
            </w:pPr>
          </w:p>
        </w:tc>
        <w:tc>
          <w:tcPr>
            <w:tcW w:w="4364" w:type="dxa"/>
          </w:tcPr>
          <w:p w14:paraId="428C904F" w14:textId="77777777" w:rsidR="008168B7" w:rsidRPr="00F47262" w:rsidRDefault="008168B7" w:rsidP="00697B9C">
            <w:pPr>
              <w:spacing w:before="60" w:after="60"/>
              <w:rPr>
                <w:sz w:val="20"/>
              </w:rPr>
            </w:pPr>
            <w:r w:rsidRPr="00F47262">
              <w:rPr>
                <w:sz w:val="20"/>
              </w:rPr>
              <w:t xml:space="preserve">Click the </w:t>
            </w:r>
            <w:r w:rsidRPr="00F47262">
              <w:rPr>
                <w:b/>
                <w:sz w:val="20"/>
              </w:rPr>
              <w:t>Yes</w:t>
            </w:r>
            <w:r w:rsidRPr="00F47262">
              <w:rPr>
                <w:sz w:val="20"/>
              </w:rPr>
              <w:t xml:space="preserve"> button to acknowledge the </w:t>
            </w:r>
            <w:r w:rsidRPr="00F47262">
              <w:rPr>
                <w:i/>
                <w:sz w:val="20"/>
              </w:rPr>
              <w:t xml:space="preserve">User Account Control </w:t>
            </w:r>
            <w:r w:rsidRPr="00F47262">
              <w:rPr>
                <w:sz w:val="20"/>
              </w:rPr>
              <w:t>window</w:t>
            </w:r>
            <w:r w:rsidR="002925E8" w:rsidRPr="00F47262">
              <w:rPr>
                <w:sz w:val="20"/>
              </w:rPr>
              <w:t xml:space="preserve"> if displayed</w:t>
            </w:r>
            <w:r w:rsidRPr="00F47262">
              <w:rPr>
                <w:sz w:val="20"/>
              </w:rPr>
              <w:t>.</w:t>
            </w:r>
          </w:p>
        </w:tc>
        <w:tc>
          <w:tcPr>
            <w:tcW w:w="4366" w:type="dxa"/>
          </w:tcPr>
          <w:p w14:paraId="25890FD3" w14:textId="77777777" w:rsidR="008168B7" w:rsidRPr="00F47262" w:rsidRDefault="008168B7" w:rsidP="00697B9C">
            <w:pPr>
              <w:spacing w:before="60" w:after="60"/>
              <w:rPr>
                <w:sz w:val="20"/>
              </w:rPr>
            </w:pPr>
          </w:p>
        </w:tc>
      </w:tr>
      <w:tr w:rsidR="008168B7" w:rsidRPr="00F47262" w14:paraId="52E01DAD" w14:textId="77777777" w:rsidTr="00F47262">
        <w:trPr>
          <w:cantSplit/>
        </w:trPr>
        <w:tc>
          <w:tcPr>
            <w:tcW w:w="738" w:type="dxa"/>
          </w:tcPr>
          <w:p w14:paraId="6CDE3CEB" w14:textId="77777777" w:rsidR="008168B7" w:rsidRPr="00F47262" w:rsidRDefault="008168B7" w:rsidP="006D5A65">
            <w:pPr>
              <w:pStyle w:val="Heading1"/>
            </w:pPr>
          </w:p>
        </w:tc>
        <w:tc>
          <w:tcPr>
            <w:tcW w:w="4364" w:type="dxa"/>
          </w:tcPr>
          <w:p w14:paraId="24D3F7A9" w14:textId="77777777" w:rsidR="008168B7" w:rsidRPr="00F47262" w:rsidRDefault="00145CF5" w:rsidP="00145CF5">
            <w:pPr>
              <w:spacing w:before="60" w:after="60"/>
              <w:rPr>
                <w:sz w:val="20"/>
              </w:rPr>
            </w:pPr>
            <w:r w:rsidRPr="00F47262">
              <w:rPr>
                <w:sz w:val="20"/>
              </w:rPr>
              <w:t xml:space="preserve">From the </w:t>
            </w:r>
            <w:r w:rsidRPr="00F47262">
              <w:rPr>
                <w:i/>
                <w:sz w:val="20"/>
              </w:rPr>
              <w:t>Computer Management</w:t>
            </w:r>
            <w:r w:rsidRPr="00F47262">
              <w:rPr>
                <w:sz w:val="20"/>
              </w:rPr>
              <w:t xml:space="preserve"> left panel, expand </w:t>
            </w:r>
            <w:r w:rsidRPr="00F47262">
              <w:rPr>
                <w:b/>
                <w:sz w:val="20"/>
              </w:rPr>
              <w:t>System Tools</w:t>
            </w:r>
            <w:r w:rsidRPr="00F47262">
              <w:rPr>
                <w:sz w:val="20"/>
              </w:rPr>
              <w:t xml:space="preserve"> </w:t>
            </w:r>
            <w:r w:rsidRPr="00F47262">
              <w:rPr>
                <w:b/>
                <w:sz w:val="20"/>
              </w:rPr>
              <w:sym w:font="Wingdings" w:char="F0E0"/>
            </w:r>
            <w:r w:rsidRPr="00F47262">
              <w:rPr>
                <w:b/>
                <w:sz w:val="20"/>
              </w:rPr>
              <w:t xml:space="preserve"> Local Users and Groups</w:t>
            </w:r>
            <w:r w:rsidRPr="00F47262">
              <w:rPr>
                <w:sz w:val="20"/>
              </w:rPr>
              <w:t>.</w:t>
            </w:r>
          </w:p>
        </w:tc>
        <w:tc>
          <w:tcPr>
            <w:tcW w:w="4366" w:type="dxa"/>
          </w:tcPr>
          <w:p w14:paraId="72D0E4A2" w14:textId="77777777" w:rsidR="008168B7" w:rsidRPr="00F47262" w:rsidRDefault="008168B7" w:rsidP="00697B9C">
            <w:pPr>
              <w:spacing w:before="60" w:after="60"/>
              <w:rPr>
                <w:sz w:val="20"/>
              </w:rPr>
            </w:pPr>
          </w:p>
        </w:tc>
      </w:tr>
      <w:tr w:rsidR="008168B7" w:rsidRPr="00F47262" w14:paraId="1B88D931" w14:textId="77777777" w:rsidTr="00F47262">
        <w:trPr>
          <w:cantSplit/>
        </w:trPr>
        <w:tc>
          <w:tcPr>
            <w:tcW w:w="738" w:type="dxa"/>
          </w:tcPr>
          <w:p w14:paraId="7ADF5561" w14:textId="77777777" w:rsidR="008168B7" w:rsidRPr="00F47262" w:rsidRDefault="008168B7" w:rsidP="006D5A65">
            <w:pPr>
              <w:pStyle w:val="Heading1"/>
            </w:pPr>
          </w:p>
        </w:tc>
        <w:tc>
          <w:tcPr>
            <w:tcW w:w="4364" w:type="dxa"/>
          </w:tcPr>
          <w:p w14:paraId="64DB5AC7" w14:textId="77777777" w:rsidR="008168B7" w:rsidRPr="00F47262" w:rsidRDefault="008168B7" w:rsidP="00697B9C">
            <w:pPr>
              <w:spacing w:before="60" w:after="60"/>
              <w:rPr>
                <w:sz w:val="20"/>
              </w:rPr>
            </w:pPr>
            <w:r w:rsidRPr="00F47262">
              <w:rPr>
                <w:sz w:val="20"/>
              </w:rPr>
              <w:t xml:space="preserve">Select the </w:t>
            </w:r>
            <w:r w:rsidRPr="00F47262">
              <w:rPr>
                <w:b/>
                <w:sz w:val="20"/>
              </w:rPr>
              <w:t>Users</w:t>
            </w:r>
            <w:r w:rsidRPr="00F47262">
              <w:rPr>
                <w:sz w:val="20"/>
              </w:rPr>
              <w:t xml:space="preserve"> folder.</w:t>
            </w:r>
          </w:p>
        </w:tc>
        <w:tc>
          <w:tcPr>
            <w:tcW w:w="4366" w:type="dxa"/>
          </w:tcPr>
          <w:p w14:paraId="4E367DE7" w14:textId="77777777" w:rsidR="008168B7" w:rsidRPr="00F47262" w:rsidRDefault="008168B7" w:rsidP="00697B9C">
            <w:pPr>
              <w:spacing w:before="60" w:after="60"/>
              <w:rPr>
                <w:sz w:val="20"/>
              </w:rPr>
            </w:pPr>
          </w:p>
        </w:tc>
      </w:tr>
      <w:tr w:rsidR="008168B7" w:rsidRPr="00F47262" w14:paraId="394CE2E3" w14:textId="77777777" w:rsidTr="00F47262">
        <w:trPr>
          <w:cantSplit/>
        </w:trPr>
        <w:tc>
          <w:tcPr>
            <w:tcW w:w="738" w:type="dxa"/>
          </w:tcPr>
          <w:p w14:paraId="6C00F135" w14:textId="77777777" w:rsidR="008168B7" w:rsidRPr="00F47262" w:rsidRDefault="008168B7" w:rsidP="006D5A65">
            <w:pPr>
              <w:pStyle w:val="Heading1"/>
            </w:pPr>
          </w:p>
        </w:tc>
        <w:tc>
          <w:tcPr>
            <w:tcW w:w="4364" w:type="dxa"/>
          </w:tcPr>
          <w:p w14:paraId="7B32783C" w14:textId="77777777" w:rsidR="008168B7" w:rsidRPr="00F47262" w:rsidRDefault="008168B7" w:rsidP="00145CF5">
            <w:pPr>
              <w:spacing w:before="60" w:after="60"/>
              <w:rPr>
                <w:sz w:val="20"/>
              </w:rPr>
            </w:pPr>
            <w:r w:rsidRPr="00F47262">
              <w:rPr>
                <w:sz w:val="20"/>
              </w:rPr>
              <w:t xml:space="preserve">In the </w:t>
            </w:r>
            <w:r w:rsidR="00145CF5" w:rsidRPr="00F47262">
              <w:rPr>
                <w:sz w:val="20"/>
              </w:rPr>
              <w:t xml:space="preserve">middle </w:t>
            </w:r>
            <w:r w:rsidRPr="00F47262">
              <w:rPr>
                <w:sz w:val="20"/>
              </w:rPr>
              <w:t xml:space="preserve">pane, double-click the </w:t>
            </w:r>
            <w:r w:rsidRPr="00F47262">
              <w:rPr>
                <w:b/>
                <w:sz w:val="20"/>
              </w:rPr>
              <w:t>tpsadm</w:t>
            </w:r>
            <w:r w:rsidRPr="00F47262">
              <w:rPr>
                <w:sz w:val="20"/>
              </w:rPr>
              <w:t xml:space="preserve"> account entry.</w:t>
            </w:r>
          </w:p>
        </w:tc>
        <w:tc>
          <w:tcPr>
            <w:tcW w:w="4366" w:type="dxa"/>
          </w:tcPr>
          <w:p w14:paraId="5A3B8AE9" w14:textId="77777777" w:rsidR="008168B7" w:rsidRPr="00F47262" w:rsidRDefault="008168B7" w:rsidP="00697B9C">
            <w:pPr>
              <w:spacing w:before="60" w:after="60"/>
              <w:rPr>
                <w:sz w:val="20"/>
              </w:rPr>
            </w:pPr>
            <w:r w:rsidRPr="00F47262">
              <w:rPr>
                <w:noProof/>
                <w:sz w:val="20"/>
              </w:rPr>
              <w:drawing>
                <wp:inline distT="0" distB="0" distL="0" distR="0" wp14:anchorId="71AF6F64" wp14:editId="72515645">
                  <wp:extent cx="2486025" cy="1419225"/>
                  <wp:effectExtent l="0" t="0" r="9525" b="952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486025" cy="1419225"/>
                          </a:xfrm>
                          <a:prstGeom prst="rect">
                            <a:avLst/>
                          </a:prstGeom>
                          <a:noFill/>
                          <a:ln>
                            <a:noFill/>
                          </a:ln>
                        </pic:spPr>
                      </pic:pic>
                    </a:graphicData>
                  </a:graphic>
                </wp:inline>
              </w:drawing>
            </w:r>
          </w:p>
        </w:tc>
      </w:tr>
      <w:tr w:rsidR="008168B7" w:rsidRPr="00F47262" w14:paraId="73EBDA4A" w14:textId="77777777" w:rsidTr="00F47262">
        <w:trPr>
          <w:cantSplit/>
        </w:trPr>
        <w:tc>
          <w:tcPr>
            <w:tcW w:w="738" w:type="dxa"/>
          </w:tcPr>
          <w:p w14:paraId="55A8FAED" w14:textId="77777777" w:rsidR="008168B7" w:rsidRPr="00F47262" w:rsidRDefault="008168B7" w:rsidP="00697B9C">
            <w:pPr>
              <w:spacing w:before="60" w:after="60"/>
              <w:rPr>
                <w:sz w:val="20"/>
              </w:rPr>
            </w:pPr>
          </w:p>
        </w:tc>
        <w:tc>
          <w:tcPr>
            <w:tcW w:w="4364" w:type="dxa"/>
          </w:tcPr>
          <w:p w14:paraId="4EAF357B" w14:textId="77777777" w:rsidR="008168B7" w:rsidRPr="00F47262" w:rsidRDefault="008168B7" w:rsidP="00697B9C">
            <w:pPr>
              <w:spacing w:before="60" w:after="60"/>
              <w:rPr>
                <w:sz w:val="20"/>
              </w:rPr>
            </w:pPr>
          </w:p>
        </w:tc>
        <w:tc>
          <w:tcPr>
            <w:tcW w:w="4366" w:type="dxa"/>
          </w:tcPr>
          <w:p w14:paraId="32A3924A" w14:textId="77777777" w:rsidR="008168B7" w:rsidRPr="00F47262" w:rsidRDefault="008168B7" w:rsidP="00697B9C">
            <w:pPr>
              <w:spacing w:before="60" w:after="60"/>
              <w:rPr>
                <w:sz w:val="20"/>
              </w:rPr>
            </w:pPr>
            <w:r w:rsidRPr="00F47262">
              <w:rPr>
                <w:sz w:val="20"/>
              </w:rPr>
              <w:t xml:space="preserve">The </w:t>
            </w:r>
            <w:r w:rsidRPr="00F47262">
              <w:rPr>
                <w:i/>
                <w:sz w:val="20"/>
              </w:rPr>
              <w:t xml:space="preserve">tpsadm Properties </w:t>
            </w:r>
            <w:r w:rsidRPr="00F47262">
              <w:rPr>
                <w:sz w:val="20"/>
              </w:rPr>
              <w:t xml:space="preserve">window </w:t>
            </w:r>
            <w:r w:rsidR="001C22D7" w:rsidRPr="00F47262">
              <w:rPr>
                <w:sz w:val="20"/>
              </w:rPr>
              <w:t>is</w:t>
            </w:r>
            <w:r w:rsidRPr="00F47262">
              <w:rPr>
                <w:sz w:val="20"/>
              </w:rPr>
              <w:t xml:space="preserve"> display</w:t>
            </w:r>
            <w:r w:rsidR="001C22D7" w:rsidRPr="00F47262">
              <w:rPr>
                <w:sz w:val="20"/>
              </w:rPr>
              <w:t>ed</w:t>
            </w:r>
            <w:r w:rsidRPr="00F47262">
              <w:rPr>
                <w:sz w:val="20"/>
              </w:rPr>
              <w:t>.</w:t>
            </w:r>
          </w:p>
          <w:p w14:paraId="482FFC38" w14:textId="77777777" w:rsidR="008168B7" w:rsidRPr="00F47262" w:rsidRDefault="008168B7" w:rsidP="00697B9C">
            <w:pPr>
              <w:spacing w:before="60" w:after="60"/>
              <w:rPr>
                <w:sz w:val="20"/>
              </w:rPr>
            </w:pPr>
            <w:r w:rsidRPr="00F47262">
              <w:rPr>
                <w:noProof/>
                <w:sz w:val="20"/>
              </w:rPr>
              <w:drawing>
                <wp:inline distT="0" distB="0" distL="0" distR="0" wp14:anchorId="35679A84" wp14:editId="629F80C2">
                  <wp:extent cx="2495550" cy="2771775"/>
                  <wp:effectExtent l="0" t="0" r="0" b="952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495550" cy="2771775"/>
                          </a:xfrm>
                          <a:prstGeom prst="rect">
                            <a:avLst/>
                          </a:prstGeom>
                          <a:noFill/>
                          <a:ln>
                            <a:noFill/>
                          </a:ln>
                        </pic:spPr>
                      </pic:pic>
                    </a:graphicData>
                  </a:graphic>
                </wp:inline>
              </w:drawing>
            </w:r>
          </w:p>
        </w:tc>
      </w:tr>
      <w:tr w:rsidR="008168B7" w:rsidRPr="00F47262" w14:paraId="759C0F48" w14:textId="77777777" w:rsidTr="00F47262">
        <w:trPr>
          <w:cantSplit/>
        </w:trPr>
        <w:tc>
          <w:tcPr>
            <w:tcW w:w="738" w:type="dxa"/>
          </w:tcPr>
          <w:p w14:paraId="3A2242F1" w14:textId="77777777" w:rsidR="008168B7" w:rsidRPr="00F47262" w:rsidRDefault="008168B7" w:rsidP="006D5A65">
            <w:pPr>
              <w:pStyle w:val="Heading1"/>
            </w:pPr>
          </w:p>
        </w:tc>
        <w:tc>
          <w:tcPr>
            <w:tcW w:w="4364" w:type="dxa"/>
          </w:tcPr>
          <w:p w14:paraId="4F6EED58" w14:textId="77777777" w:rsidR="008168B7" w:rsidRPr="00F47262" w:rsidRDefault="008168B7" w:rsidP="00697B9C">
            <w:pPr>
              <w:spacing w:before="60" w:after="60"/>
              <w:rPr>
                <w:sz w:val="20"/>
              </w:rPr>
            </w:pPr>
            <w:r w:rsidRPr="00F47262">
              <w:rPr>
                <w:sz w:val="20"/>
              </w:rPr>
              <w:t>Verify and Deselect (uncheck), if necessary, the checkboxes listed below.</w:t>
            </w:r>
          </w:p>
          <w:p w14:paraId="6D9421FB" w14:textId="77777777" w:rsidR="008168B7" w:rsidRPr="00F47262" w:rsidRDefault="008168B7" w:rsidP="006D5A65">
            <w:pPr>
              <w:pStyle w:val="Heading1"/>
            </w:pPr>
            <w:r w:rsidRPr="00F47262">
              <w:t>Account is disabled</w:t>
            </w:r>
          </w:p>
          <w:p w14:paraId="66E8924B" w14:textId="77777777" w:rsidR="008168B7" w:rsidRPr="00F47262" w:rsidRDefault="008168B7" w:rsidP="006D5A65">
            <w:pPr>
              <w:pStyle w:val="Heading1"/>
            </w:pPr>
            <w:r w:rsidRPr="00F47262">
              <w:t>Account is locked out</w:t>
            </w:r>
          </w:p>
        </w:tc>
        <w:tc>
          <w:tcPr>
            <w:tcW w:w="4366" w:type="dxa"/>
          </w:tcPr>
          <w:p w14:paraId="034127AF" w14:textId="77777777" w:rsidR="008168B7" w:rsidRPr="00F47262" w:rsidRDefault="008168B7" w:rsidP="00697B9C">
            <w:pPr>
              <w:spacing w:before="60" w:after="60"/>
              <w:ind w:left="144"/>
              <w:rPr>
                <w:sz w:val="20"/>
              </w:rPr>
            </w:pPr>
          </w:p>
        </w:tc>
      </w:tr>
      <w:tr w:rsidR="008168B7" w:rsidRPr="00F47262" w14:paraId="69829A71" w14:textId="77777777" w:rsidTr="00F47262">
        <w:trPr>
          <w:cantSplit/>
        </w:trPr>
        <w:tc>
          <w:tcPr>
            <w:tcW w:w="738" w:type="dxa"/>
          </w:tcPr>
          <w:p w14:paraId="7F032B86" w14:textId="77777777" w:rsidR="008168B7" w:rsidRPr="00F47262" w:rsidRDefault="008168B7" w:rsidP="006D5A65">
            <w:pPr>
              <w:pStyle w:val="Heading1"/>
            </w:pPr>
          </w:p>
        </w:tc>
        <w:tc>
          <w:tcPr>
            <w:tcW w:w="4364" w:type="dxa"/>
          </w:tcPr>
          <w:p w14:paraId="37A9B9E1" w14:textId="77777777" w:rsidR="008168B7" w:rsidRPr="00F47262" w:rsidRDefault="008168B7" w:rsidP="00697B9C">
            <w:pPr>
              <w:spacing w:before="60" w:after="60"/>
              <w:rPr>
                <w:sz w:val="20"/>
              </w:rPr>
            </w:pPr>
            <w:r w:rsidRPr="00F47262">
              <w:rPr>
                <w:sz w:val="20"/>
              </w:rPr>
              <w:t xml:space="preserve">Click the </w:t>
            </w:r>
            <w:r w:rsidRPr="00F47262">
              <w:rPr>
                <w:b/>
                <w:sz w:val="20"/>
              </w:rPr>
              <w:t>OK</w:t>
            </w:r>
            <w:r w:rsidRPr="00F47262">
              <w:rPr>
                <w:sz w:val="20"/>
              </w:rPr>
              <w:t xml:space="preserve"> button.</w:t>
            </w:r>
          </w:p>
        </w:tc>
        <w:tc>
          <w:tcPr>
            <w:tcW w:w="4366" w:type="dxa"/>
          </w:tcPr>
          <w:p w14:paraId="054CAC82" w14:textId="77777777" w:rsidR="008168B7" w:rsidRPr="00F47262" w:rsidRDefault="008168B7" w:rsidP="00697B9C">
            <w:pPr>
              <w:spacing w:before="60" w:after="60"/>
              <w:rPr>
                <w:sz w:val="20"/>
              </w:rPr>
            </w:pPr>
          </w:p>
        </w:tc>
      </w:tr>
      <w:tr w:rsidR="008168B7" w:rsidRPr="00F47262" w14:paraId="48D98894" w14:textId="77777777" w:rsidTr="00F47262">
        <w:trPr>
          <w:cantSplit/>
        </w:trPr>
        <w:tc>
          <w:tcPr>
            <w:tcW w:w="738" w:type="dxa"/>
          </w:tcPr>
          <w:p w14:paraId="526BC920" w14:textId="77777777" w:rsidR="008168B7" w:rsidRPr="00F47262" w:rsidRDefault="008168B7" w:rsidP="006D5A65">
            <w:pPr>
              <w:pStyle w:val="Heading1"/>
            </w:pPr>
          </w:p>
        </w:tc>
        <w:tc>
          <w:tcPr>
            <w:tcW w:w="4364" w:type="dxa"/>
          </w:tcPr>
          <w:p w14:paraId="0C0FB5EE" w14:textId="77777777" w:rsidR="008168B7" w:rsidRPr="00F47262" w:rsidRDefault="008168B7" w:rsidP="0065661D">
            <w:pPr>
              <w:spacing w:before="60" w:after="60"/>
              <w:rPr>
                <w:sz w:val="20"/>
              </w:rPr>
            </w:pPr>
            <w:r w:rsidRPr="00F47262">
              <w:rPr>
                <w:sz w:val="20"/>
              </w:rPr>
              <w:t xml:space="preserve">Repeat Steps </w:t>
            </w:r>
            <w:r w:rsidR="008D5F48" w:rsidRPr="00F47262">
              <w:rPr>
                <w:sz w:val="20"/>
              </w:rPr>
              <w:t>9</w:t>
            </w:r>
            <w:r w:rsidRPr="00F47262">
              <w:rPr>
                <w:sz w:val="20"/>
              </w:rPr>
              <w:t>-</w:t>
            </w:r>
            <w:r w:rsidR="008D5F48" w:rsidRPr="00F47262">
              <w:rPr>
                <w:sz w:val="20"/>
              </w:rPr>
              <w:t xml:space="preserve">15 </w:t>
            </w:r>
            <w:r w:rsidRPr="00F47262">
              <w:rPr>
                <w:sz w:val="20"/>
              </w:rPr>
              <w:t>on the TED Database Server. See Note</w:t>
            </w:r>
            <w:r w:rsidR="00E153AB" w:rsidRPr="00F47262">
              <w:rPr>
                <w:sz w:val="20"/>
              </w:rPr>
              <w:t xml:space="preserve"> 1</w:t>
            </w:r>
            <w:r w:rsidR="001C22D7" w:rsidRPr="00F47262">
              <w:rPr>
                <w:sz w:val="20"/>
              </w:rPr>
              <w:t>.</w:t>
            </w:r>
          </w:p>
        </w:tc>
        <w:tc>
          <w:tcPr>
            <w:tcW w:w="4366" w:type="dxa"/>
          </w:tcPr>
          <w:p w14:paraId="51C3351D" w14:textId="77777777" w:rsidR="008168B7" w:rsidRPr="00F47262" w:rsidRDefault="008168B7" w:rsidP="00E153AB">
            <w:pPr>
              <w:spacing w:before="60" w:after="60"/>
              <w:rPr>
                <w:b/>
                <w:sz w:val="20"/>
              </w:rPr>
            </w:pPr>
            <w:r w:rsidRPr="00F47262">
              <w:rPr>
                <w:b/>
                <w:i/>
                <w:sz w:val="20"/>
              </w:rPr>
              <w:t>Note</w:t>
            </w:r>
            <w:r w:rsidR="00E153AB" w:rsidRPr="00F47262">
              <w:rPr>
                <w:b/>
                <w:i/>
                <w:sz w:val="20"/>
              </w:rPr>
              <w:t xml:space="preserve"> </w:t>
            </w:r>
            <w:r w:rsidRPr="00F47262">
              <w:rPr>
                <w:b/>
                <w:i/>
                <w:sz w:val="20"/>
              </w:rPr>
              <w:t>1</w:t>
            </w:r>
            <w:r w:rsidRPr="00F47262">
              <w:rPr>
                <w:sz w:val="20"/>
              </w:rPr>
              <w:t>: Only applies to CSG.</w:t>
            </w:r>
          </w:p>
        </w:tc>
      </w:tr>
      <w:tr w:rsidR="008168B7" w:rsidRPr="00F47262" w14:paraId="65E42238" w14:textId="77777777" w:rsidTr="00F47262">
        <w:trPr>
          <w:cantSplit/>
        </w:trPr>
        <w:tc>
          <w:tcPr>
            <w:tcW w:w="738" w:type="dxa"/>
          </w:tcPr>
          <w:p w14:paraId="5C5976F2" w14:textId="77777777" w:rsidR="008168B7" w:rsidRPr="00F47262" w:rsidRDefault="008168B7" w:rsidP="006D5A65">
            <w:pPr>
              <w:pStyle w:val="Heading1"/>
            </w:pPr>
          </w:p>
        </w:tc>
        <w:tc>
          <w:tcPr>
            <w:tcW w:w="4364" w:type="dxa"/>
          </w:tcPr>
          <w:p w14:paraId="6F35124E" w14:textId="77777777" w:rsidR="008168B7" w:rsidRPr="00F47262" w:rsidRDefault="008168B7" w:rsidP="00697B9C">
            <w:pPr>
              <w:spacing w:before="60" w:after="60"/>
              <w:rPr>
                <w:sz w:val="20"/>
              </w:rPr>
            </w:pPr>
            <w:r w:rsidRPr="00F47262">
              <w:rPr>
                <w:sz w:val="20"/>
              </w:rPr>
              <w:t>Was any checkbox, regardless of machine, deselected?</w:t>
            </w:r>
          </w:p>
          <w:p w14:paraId="620C25DB" w14:textId="77777777" w:rsidR="008168B7" w:rsidRPr="00F47262" w:rsidRDefault="008168B7" w:rsidP="006D5A65">
            <w:pPr>
              <w:pStyle w:val="Heading1"/>
            </w:pPr>
            <w:r w:rsidRPr="00F47262">
              <w:t xml:space="preserve">If Yes, proceed to </w:t>
            </w:r>
            <w:r w:rsidR="00DC5AD2" w:rsidRPr="00F47262">
              <w:t>the next step</w:t>
            </w:r>
            <w:r w:rsidRPr="00F47262">
              <w:t>.</w:t>
            </w:r>
          </w:p>
          <w:p w14:paraId="07153594" w14:textId="77777777" w:rsidR="008168B7" w:rsidRPr="00F47262" w:rsidRDefault="008168B7" w:rsidP="006D5A65">
            <w:pPr>
              <w:pStyle w:val="Heading1"/>
            </w:pPr>
            <w:r w:rsidRPr="00F47262">
              <w:t>If No, contact an appropriate Help Desk for additional assistance.</w:t>
            </w:r>
          </w:p>
        </w:tc>
        <w:tc>
          <w:tcPr>
            <w:tcW w:w="4366" w:type="dxa"/>
          </w:tcPr>
          <w:p w14:paraId="53B51B46" w14:textId="77777777" w:rsidR="008168B7" w:rsidRPr="00F47262" w:rsidRDefault="008168B7" w:rsidP="00697B9C">
            <w:pPr>
              <w:spacing w:before="60" w:after="60"/>
              <w:rPr>
                <w:sz w:val="20"/>
              </w:rPr>
            </w:pPr>
          </w:p>
        </w:tc>
      </w:tr>
      <w:tr w:rsidR="008168B7" w:rsidRPr="00F47262" w14:paraId="1832C1FA" w14:textId="77777777" w:rsidTr="00F47262">
        <w:trPr>
          <w:cantSplit/>
        </w:trPr>
        <w:tc>
          <w:tcPr>
            <w:tcW w:w="738" w:type="dxa"/>
          </w:tcPr>
          <w:p w14:paraId="7C01BDB8" w14:textId="77777777" w:rsidR="008168B7" w:rsidRPr="00F47262" w:rsidRDefault="008168B7" w:rsidP="006D5A65">
            <w:pPr>
              <w:pStyle w:val="Heading1"/>
            </w:pPr>
          </w:p>
        </w:tc>
        <w:tc>
          <w:tcPr>
            <w:tcW w:w="4364" w:type="dxa"/>
          </w:tcPr>
          <w:p w14:paraId="69D833F4" w14:textId="77777777" w:rsidR="008168B7" w:rsidRPr="00F47262" w:rsidRDefault="008168B7" w:rsidP="00697B9C">
            <w:pPr>
              <w:spacing w:before="60" w:after="60"/>
              <w:rPr>
                <w:sz w:val="20"/>
              </w:rPr>
            </w:pPr>
            <w:r w:rsidRPr="00F47262">
              <w:rPr>
                <w:sz w:val="20"/>
              </w:rPr>
              <w:t xml:space="preserve">Navigate to the </w:t>
            </w:r>
            <w:r w:rsidRPr="00F47262">
              <w:rPr>
                <w:b/>
                <w:sz w:val="20"/>
              </w:rPr>
              <w:t>TMPR</w:t>
            </w:r>
            <w:r w:rsidRPr="00F47262">
              <w:rPr>
                <w:sz w:val="20"/>
              </w:rPr>
              <w:t xml:space="preserve"> tool.</w:t>
            </w:r>
          </w:p>
        </w:tc>
        <w:tc>
          <w:tcPr>
            <w:tcW w:w="4366" w:type="dxa"/>
          </w:tcPr>
          <w:p w14:paraId="264DF813" w14:textId="77777777" w:rsidR="008168B7" w:rsidRPr="00F47262" w:rsidRDefault="008168B7" w:rsidP="00697B9C">
            <w:pPr>
              <w:spacing w:before="60" w:after="60"/>
              <w:rPr>
                <w:sz w:val="20"/>
              </w:rPr>
            </w:pPr>
          </w:p>
        </w:tc>
      </w:tr>
      <w:tr w:rsidR="008168B7" w:rsidRPr="00F47262" w14:paraId="509BD7A4" w14:textId="77777777" w:rsidTr="00F47262">
        <w:trPr>
          <w:cantSplit/>
        </w:trPr>
        <w:tc>
          <w:tcPr>
            <w:tcW w:w="738" w:type="dxa"/>
          </w:tcPr>
          <w:p w14:paraId="6E485BD3" w14:textId="77777777" w:rsidR="008168B7" w:rsidRPr="00F47262" w:rsidRDefault="008168B7" w:rsidP="006D5A65">
            <w:pPr>
              <w:pStyle w:val="Heading1"/>
            </w:pPr>
          </w:p>
        </w:tc>
        <w:tc>
          <w:tcPr>
            <w:tcW w:w="4364" w:type="dxa"/>
          </w:tcPr>
          <w:p w14:paraId="68F79CD8" w14:textId="77777777" w:rsidR="008168B7" w:rsidRPr="00F47262" w:rsidRDefault="008168B7" w:rsidP="00697B9C">
            <w:pPr>
              <w:spacing w:before="60" w:after="60"/>
              <w:rPr>
                <w:sz w:val="20"/>
              </w:rPr>
            </w:pPr>
            <w:r w:rsidRPr="00F47262">
              <w:rPr>
                <w:sz w:val="20"/>
              </w:rPr>
              <w:t>Create a new TMPR.</w:t>
            </w:r>
          </w:p>
        </w:tc>
        <w:tc>
          <w:tcPr>
            <w:tcW w:w="4366" w:type="dxa"/>
          </w:tcPr>
          <w:p w14:paraId="7E48F995" w14:textId="77777777" w:rsidR="008168B7" w:rsidRPr="00F47262" w:rsidRDefault="008168B7" w:rsidP="00697B9C">
            <w:pPr>
              <w:spacing w:before="60" w:after="60"/>
              <w:rPr>
                <w:sz w:val="20"/>
              </w:rPr>
            </w:pPr>
          </w:p>
        </w:tc>
      </w:tr>
      <w:tr w:rsidR="008168B7" w:rsidRPr="00F47262" w14:paraId="633E2FF9" w14:textId="77777777" w:rsidTr="00F47262">
        <w:trPr>
          <w:cantSplit/>
        </w:trPr>
        <w:tc>
          <w:tcPr>
            <w:tcW w:w="738" w:type="dxa"/>
          </w:tcPr>
          <w:p w14:paraId="05AC9B01" w14:textId="77777777" w:rsidR="008168B7" w:rsidRPr="00F47262" w:rsidRDefault="008168B7" w:rsidP="006D5A65">
            <w:pPr>
              <w:pStyle w:val="Heading1"/>
            </w:pPr>
          </w:p>
        </w:tc>
        <w:tc>
          <w:tcPr>
            <w:tcW w:w="4364" w:type="dxa"/>
          </w:tcPr>
          <w:p w14:paraId="49C32278" w14:textId="77777777" w:rsidR="008168B7" w:rsidRPr="00F47262" w:rsidRDefault="008168B7" w:rsidP="00697B9C">
            <w:pPr>
              <w:spacing w:before="60" w:after="60"/>
              <w:rPr>
                <w:sz w:val="20"/>
              </w:rPr>
            </w:pPr>
            <w:r w:rsidRPr="00F47262">
              <w:rPr>
                <w:sz w:val="20"/>
              </w:rPr>
              <w:t>Submit TMPR to TPS.</w:t>
            </w:r>
          </w:p>
        </w:tc>
        <w:tc>
          <w:tcPr>
            <w:tcW w:w="4366" w:type="dxa"/>
          </w:tcPr>
          <w:p w14:paraId="5E0E3CC5" w14:textId="77777777" w:rsidR="008168B7" w:rsidRPr="00F47262" w:rsidRDefault="008168B7" w:rsidP="00697B9C">
            <w:pPr>
              <w:spacing w:before="60" w:after="60"/>
              <w:rPr>
                <w:sz w:val="20"/>
              </w:rPr>
            </w:pPr>
          </w:p>
        </w:tc>
      </w:tr>
      <w:tr w:rsidR="008168B7" w:rsidRPr="00F47262" w14:paraId="21238ED3" w14:textId="77777777" w:rsidTr="00F47262">
        <w:trPr>
          <w:cantSplit/>
        </w:trPr>
        <w:tc>
          <w:tcPr>
            <w:tcW w:w="738" w:type="dxa"/>
          </w:tcPr>
          <w:p w14:paraId="63C35E90" w14:textId="77777777" w:rsidR="008168B7" w:rsidRPr="00F47262" w:rsidRDefault="008168B7" w:rsidP="006D5A65">
            <w:pPr>
              <w:pStyle w:val="Heading1"/>
            </w:pPr>
          </w:p>
        </w:tc>
        <w:tc>
          <w:tcPr>
            <w:tcW w:w="4364" w:type="dxa"/>
          </w:tcPr>
          <w:p w14:paraId="590FA4DC" w14:textId="77777777" w:rsidR="008168B7" w:rsidRPr="00F47262" w:rsidRDefault="008168B7" w:rsidP="00697B9C">
            <w:pPr>
              <w:spacing w:before="60" w:after="60"/>
              <w:rPr>
                <w:sz w:val="20"/>
              </w:rPr>
            </w:pPr>
            <w:r w:rsidRPr="00F47262">
              <w:rPr>
                <w:sz w:val="20"/>
              </w:rPr>
              <w:t>Did the TMPR return an “Infeasible” status?</w:t>
            </w:r>
          </w:p>
          <w:p w14:paraId="48347100" w14:textId="77777777" w:rsidR="008168B7" w:rsidRPr="00F47262" w:rsidRDefault="008168B7" w:rsidP="006D5A65">
            <w:pPr>
              <w:pStyle w:val="Heading1"/>
            </w:pPr>
            <w:r w:rsidRPr="00F47262">
              <w:t>If Yes, return to Step 4.</w:t>
            </w:r>
          </w:p>
          <w:p w14:paraId="1EDFE81D" w14:textId="77777777" w:rsidR="008168B7" w:rsidRPr="00F47262" w:rsidRDefault="008168B7" w:rsidP="006D5A65">
            <w:pPr>
              <w:pStyle w:val="Heading1"/>
            </w:pPr>
            <w:r w:rsidRPr="00F47262">
              <w:t>If No</w:t>
            </w:r>
            <w:r w:rsidR="001C22D7" w:rsidRPr="00F47262">
              <w:t>, status should now indicate “Completed”</w:t>
            </w:r>
            <w:r w:rsidRPr="00F47262">
              <w:t xml:space="preserve"> and the problem </w:t>
            </w:r>
            <w:r w:rsidR="001C22D7" w:rsidRPr="00F47262">
              <w:t xml:space="preserve">is </w:t>
            </w:r>
            <w:r w:rsidRPr="00F47262">
              <w:t xml:space="preserve">resolved. </w:t>
            </w:r>
          </w:p>
        </w:tc>
        <w:tc>
          <w:tcPr>
            <w:tcW w:w="4366" w:type="dxa"/>
          </w:tcPr>
          <w:p w14:paraId="0ED87595" w14:textId="77777777" w:rsidR="008168B7" w:rsidRPr="00F47262" w:rsidRDefault="008168B7" w:rsidP="00697B9C">
            <w:pPr>
              <w:spacing w:before="60" w:after="60"/>
              <w:rPr>
                <w:sz w:val="20"/>
              </w:rPr>
            </w:pPr>
          </w:p>
        </w:tc>
      </w:tr>
      <w:tr w:rsidR="00A10A0C" w:rsidRPr="00F47262" w14:paraId="4A0E927F" w14:textId="77777777" w:rsidTr="00F47262">
        <w:trPr>
          <w:cantSplit/>
        </w:trPr>
        <w:tc>
          <w:tcPr>
            <w:tcW w:w="9468" w:type="dxa"/>
            <w:gridSpan w:val="3"/>
            <w:shd w:val="clear" w:color="auto" w:fill="C6D9F1" w:themeFill="text2" w:themeFillTint="33"/>
          </w:tcPr>
          <w:p w14:paraId="6C2B093E" w14:textId="77777777" w:rsidR="008168B7" w:rsidRPr="00F47262" w:rsidRDefault="008168B7" w:rsidP="00697B9C">
            <w:pPr>
              <w:spacing w:before="60" w:after="60"/>
              <w:rPr>
                <w:b/>
                <w:i/>
                <w:color w:val="000000" w:themeColor="text1"/>
                <w:sz w:val="20"/>
              </w:rPr>
            </w:pPr>
            <w:r w:rsidRPr="00F47262">
              <w:rPr>
                <w:b/>
                <w:i/>
                <w:color w:val="000000" w:themeColor="text1"/>
                <w:sz w:val="20"/>
              </w:rPr>
              <w:t>Verify WinZip and WinZip Command Line “Installation and Configuration”</w:t>
            </w:r>
          </w:p>
        </w:tc>
      </w:tr>
      <w:tr w:rsidR="008168B7" w:rsidRPr="00F47262" w14:paraId="2B8A9C34" w14:textId="77777777" w:rsidTr="00F47262">
        <w:trPr>
          <w:cantSplit/>
        </w:trPr>
        <w:tc>
          <w:tcPr>
            <w:tcW w:w="738" w:type="dxa"/>
          </w:tcPr>
          <w:p w14:paraId="2C16FF75" w14:textId="77777777" w:rsidR="008168B7" w:rsidRPr="00F47262" w:rsidRDefault="008168B7" w:rsidP="006D5A65">
            <w:pPr>
              <w:pStyle w:val="Heading1"/>
            </w:pPr>
          </w:p>
        </w:tc>
        <w:tc>
          <w:tcPr>
            <w:tcW w:w="4364" w:type="dxa"/>
          </w:tcPr>
          <w:p w14:paraId="095305DF" w14:textId="77777777" w:rsidR="008168B7" w:rsidRPr="00F47262" w:rsidRDefault="00934361" w:rsidP="00934361">
            <w:pPr>
              <w:spacing w:before="60" w:after="60"/>
              <w:rPr>
                <w:sz w:val="20"/>
              </w:rPr>
            </w:pPr>
            <w:r w:rsidRPr="00F47262">
              <w:rPr>
                <w:sz w:val="20"/>
              </w:rPr>
              <w:t xml:space="preserve">Right-click the </w:t>
            </w:r>
            <w:r w:rsidRPr="00F47262">
              <w:rPr>
                <w:noProof/>
                <w:sz w:val="20"/>
              </w:rPr>
              <w:drawing>
                <wp:inline distT="0" distB="0" distL="0" distR="0" wp14:anchorId="1C1B8545" wp14:editId="66D46608">
                  <wp:extent cx="182880" cy="178068"/>
                  <wp:effectExtent l="0" t="0" r="7620" b="0"/>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Programs and Features</w:t>
            </w:r>
            <w:r w:rsidRPr="00F47262">
              <w:rPr>
                <w:sz w:val="20"/>
              </w:rPr>
              <w:t xml:space="preserve"> from the pop-up menu.</w:t>
            </w:r>
          </w:p>
        </w:tc>
        <w:tc>
          <w:tcPr>
            <w:tcW w:w="4366" w:type="dxa"/>
          </w:tcPr>
          <w:p w14:paraId="5114F1BC" w14:textId="77777777" w:rsidR="008168B7" w:rsidRPr="00F47262" w:rsidRDefault="008168B7" w:rsidP="00697B9C">
            <w:pPr>
              <w:spacing w:before="60" w:after="60"/>
              <w:rPr>
                <w:sz w:val="20"/>
              </w:rPr>
            </w:pPr>
          </w:p>
        </w:tc>
      </w:tr>
      <w:tr w:rsidR="008168B7" w:rsidRPr="00F47262" w14:paraId="4D950EA9" w14:textId="77777777" w:rsidTr="00F47262">
        <w:trPr>
          <w:cantSplit/>
        </w:trPr>
        <w:tc>
          <w:tcPr>
            <w:tcW w:w="738" w:type="dxa"/>
          </w:tcPr>
          <w:p w14:paraId="7F9747BC" w14:textId="77777777" w:rsidR="008168B7" w:rsidRPr="00F47262" w:rsidRDefault="008168B7" w:rsidP="006D5A65">
            <w:pPr>
              <w:pStyle w:val="Heading1"/>
            </w:pPr>
          </w:p>
        </w:tc>
        <w:tc>
          <w:tcPr>
            <w:tcW w:w="4364" w:type="dxa"/>
          </w:tcPr>
          <w:p w14:paraId="69A7F71F" w14:textId="77777777" w:rsidR="008168B7" w:rsidRPr="00F47262" w:rsidRDefault="008168B7" w:rsidP="00FF56E8">
            <w:pPr>
              <w:spacing w:before="60" w:after="60"/>
              <w:rPr>
                <w:sz w:val="20"/>
              </w:rPr>
            </w:pPr>
            <w:r w:rsidRPr="00F47262">
              <w:rPr>
                <w:sz w:val="20"/>
              </w:rPr>
              <w:t xml:space="preserve">Click the </w:t>
            </w:r>
            <w:r w:rsidRPr="00F47262">
              <w:rPr>
                <w:b/>
                <w:sz w:val="20"/>
              </w:rPr>
              <w:t>Yes</w:t>
            </w:r>
            <w:r w:rsidRPr="00F47262">
              <w:rPr>
                <w:sz w:val="20"/>
              </w:rPr>
              <w:t xml:space="preserve"> button to acknowledge the </w:t>
            </w:r>
            <w:r w:rsidRPr="00F47262">
              <w:rPr>
                <w:i/>
                <w:sz w:val="20"/>
              </w:rPr>
              <w:t xml:space="preserve">User Account Control </w:t>
            </w:r>
            <w:r w:rsidRPr="00F47262">
              <w:rPr>
                <w:sz w:val="20"/>
              </w:rPr>
              <w:t>window if displayed.</w:t>
            </w:r>
          </w:p>
        </w:tc>
        <w:tc>
          <w:tcPr>
            <w:tcW w:w="4366" w:type="dxa"/>
          </w:tcPr>
          <w:p w14:paraId="6BC05BF7" w14:textId="77777777" w:rsidR="008168B7" w:rsidRPr="00F47262" w:rsidRDefault="008168B7" w:rsidP="00697B9C">
            <w:pPr>
              <w:spacing w:before="60" w:after="60"/>
              <w:rPr>
                <w:sz w:val="20"/>
              </w:rPr>
            </w:pPr>
          </w:p>
        </w:tc>
      </w:tr>
      <w:tr w:rsidR="008168B7" w:rsidRPr="00F47262" w14:paraId="362E7BB4" w14:textId="77777777" w:rsidTr="00F47262">
        <w:trPr>
          <w:cantSplit/>
        </w:trPr>
        <w:tc>
          <w:tcPr>
            <w:tcW w:w="738" w:type="dxa"/>
          </w:tcPr>
          <w:p w14:paraId="6A605404" w14:textId="77777777" w:rsidR="008168B7" w:rsidRPr="00F47262" w:rsidRDefault="008168B7" w:rsidP="006D5A65">
            <w:pPr>
              <w:pStyle w:val="Heading1"/>
            </w:pPr>
          </w:p>
        </w:tc>
        <w:tc>
          <w:tcPr>
            <w:tcW w:w="4364" w:type="dxa"/>
          </w:tcPr>
          <w:p w14:paraId="0C840981" w14:textId="77777777" w:rsidR="008168B7" w:rsidRPr="00F47262" w:rsidRDefault="008168B7" w:rsidP="00697B9C">
            <w:pPr>
              <w:spacing w:before="60"/>
              <w:rPr>
                <w:sz w:val="20"/>
              </w:rPr>
            </w:pPr>
            <w:r w:rsidRPr="00F47262">
              <w:rPr>
                <w:sz w:val="20"/>
              </w:rPr>
              <w:t>View the list of installed software.</w:t>
            </w:r>
          </w:p>
          <w:p w14:paraId="406D4A7E" w14:textId="77777777" w:rsidR="008168B7" w:rsidRPr="00F47262" w:rsidRDefault="008168B7" w:rsidP="006D5A65">
            <w:pPr>
              <w:pStyle w:val="Heading1"/>
            </w:pPr>
            <w:r w:rsidRPr="00F47262">
              <w:t xml:space="preserve">If WinZip </w:t>
            </w:r>
            <w:r w:rsidR="007972FF" w:rsidRPr="00F47262">
              <w:t xml:space="preserve">and </w:t>
            </w:r>
            <w:r w:rsidRPr="00F47262">
              <w:t xml:space="preserve">WinZip Command Line are installed, proceed to </w:t>
            </w:r>
            <w:r w:rsidR="00DC5AD2" w:rsidRPr="00F47262">
              <w:rPr>
                <w:rFonts w:eastAsia="Times New Roman"/>
              </w:rPr>
              <w:t>the next step</w:t>
            </w:r>
            <w:r w:rsidRPr="00F47262">
              <w:t>.</w:t>
            </w:r>
          </w:p>
          <w:p w14:paraId="3BCF9931" w14:textId="77777777" w:rsidR="008168B7" w:rsidRPr="00F47262" w:rsidRDefault="008168B7" w:rsidP="006D5A65">
            <w:pPr>
              <w:pStyle w:val="Heading1"/>
            </w:pPr>
            <w:r w:rsidRPr="00F47262">
              <w:t xml:space="preserve">If WinZip </w:t>
            </w:r>
            <w:r w:rsidRPr="00F47262">
              <w:rPr>
                <w:u w:val="single"/>
              </w:rPr>
              <w:t>is not</w:t>
            </w:r>
            <w:r w:rsidRPr="00F47262">
              <w:t xml:space="preserve"> installed, install it, then proceed to </w:t>
            </w:r>
            <w:r w:rsidR="00F23B8D" w:rsidRPr="00F47262">
              <w:rPr>
                <w:rFonts w:eastAsia="Times New Roman"/>
              </w:rPr>
              <w:t>the next step</w:t>
            </w:r>
            <w:r w:rsidRPr="00F47262">
              <w:t>. See Note 1.</w:t>
            </w:r>
          </w:p>
          <w:p w14:paraId="2634C957" w14:textId="77777777" w:rsidR="008168B7" w:rsidRPr="00F47262" w:rsidRDefault="008168B7" w:rsidP="006D5A65">
            <w:pPr>
              <w:pStyle w:val="Heading1"/>
            </w:pPr>
            <w:r w:rsidRPr="00F47262">
              <w:t xml:space="preserve">If WinZip Command Line </w:t>
            </w:r>
            <w:r w:rsidRPr="00F47262">
              <w:rPr>
                <w:u w:val="single"/>
              </w:rPr>
              <w:t>is not</w:t>
            </w:r>
            <w:r w:rsidRPr="00F47262">
              <w:t xml:space="preserve"> installed, install it, then proceed to </w:t>
            </w:r>
            <w:r w:rsidR="00DC5AD2" w:rsidRPr="00F47262">
              <w:rPr>
                <w:rFonts w:eastAsia="Times New Roman"/>
              </w:rPr>
              <w:t>the next step</w:t>
            </w:r>
            <w:r w:rsidRPr="00F47262">
              <w:t>. See Note 1</w:t>
            </w:r>
            <w:r w:rsidR="007972FF" w:rsidRPr="00F47262">
              <w:t>.</w:t>
            </w:r>
          </w:p>
        </w:tc>
        <w:tc>
          <w:tcPr>
            <w:tcW w:w="4366" w:type="dxa"/>
          </w:tcPr>
          <w:p w14:paraId="521CCE98" w14:textId="77777777" w:rsidR="008168B7" w:rsidRPr="00F47262" w:rsidRDefault="00E153AB" w:rsidP="00697B9C">
            <w:pPr>
              <w:spacing w:before="60" w:after="60"/>
              <w:rPr>
                <w:sz w:val="20"/>
              </w:rPr>
            </w:pPr>
            <w:r w:rsidRPr="00F47262">
              <w:rPr>
                <w:b/>
                <w:i/>
                <w:sz w:val="20"/>
              </w:rPr>
              <w:t xml:space="preserve">Note </w:t>
            </w:r>
            <w:r w:rsidR="008168B7" w:rsidRPr="00F47262">
              <w:rPr>
                <w:b/>
                <w:i/>
                <w:sz w:val="20"/>
              </w:rPr>
              <w:t>1:</w:t>
            </w:r>
            <w:r w:rsidR="008168B7" w:rsidRPr="00F47262">
              <w:rPr>
                <w:sz w:val="20"/>
              </w:rPr>
              <w:t xml:space="preserve"> WinZip and WinZip Command Line Extension can be found on the latest Quarterly Security Disc.</w:t>
            </w:r>
          </w:p>
        </w:tc>
      </w:tr>
      <w:tr w:rsidR="008168B7" w:rsidRPr="00F47262" w14:paraId="7A7EB3D2" w14:textId="77777777" w:rsidTr="00F47262">
        <w:trPr>
          <w:cantSplit/>
        </w:trPr>
        <w:tc>
          <w:tcPr>
            <w:tcW w:w="738" w:type="dxa"/>
          </w:tcPr>
          <w:p w14:paraId="304C841B" w14:textId="77777777" w:rsidR="008168B7" w:rsidRPr="00F47262" w:rsidRDefault="008168B7" w:rsidP="006D5A65">
            <w:pPr>
              <w:pStyle w:val="Heading1"/>
            </w:pPr>
          </w:p>
        </w:tc>
        <w:tc>
          <w:tcPr>
            <w:tcW w:w="4364" w:type="dxa"/>
          </w:tcPr>
          <w:p w14:paraId="0274BFE0" w14:textId="77777777" w:rsidR="008168B7" w:rsidRPr="00F47262" w:rsidRDefault="00BD0931" w:rsidP="00BD0931">
            <w:pPr>
              <w:spacing w:before="60" w:after="60"/>
              <w:rPr>
                <w:sz w:val="20"/>
              </w:rPr>
            </w:pPr>
            <w:r w:rsidRPr="00F47262">
              <w:rPr>
                <w:sz w:val="20"/>
              </w:rPr>
              <w:t xml:space="preserve">Right-click the </w:t>
            </w:r>
            <w:r w:rsidRPr="00F47262">
              <w:rPr>
                <w:noProof/>
                <w:sz w:val="20"/>
              </w:rPr>
              <w:drawing>
                <wp:inline distT="0" distB="0" distL="0" distR="0" wp14:anchorId="7D5B230F" wp14:editId="2C5CF4B4">
                  <wp:extent cx="182880" cy="178068"/>
                  <wp:effectExtent l="0" t="0" r="7620" b="0"/>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Control Panel</w:t>
            </w:r>
            <w:r w:rsidRPr="00F47262">
              <w:rPr>
                <w:sz w:val="20"/>
              </w:rPr>
              <w:t xml:space="preserve"> from the pop-up menu. Select </w:t>
            </w:r>
            <w:r w:rsidRPr="00F47262">
              <w:rPr>
                <w:b/>
                <w:sz w:val="20"/>
              </w:rPr>
              <w:t xml:space="preserve">System and Security </w:t>
            </w:r>
            <w:r w:rsidR="00D63DBA" w:rsidRPr="00F47262">
              <w:rPr>
                <w:sz w:val="20"/>
              </w:rPr>
              <w:sym w:font="Wingdings" w:char="F0E0"/>
            </w:r>
            <w:r w:rsidRPr="00F47262">
              <w:rPr>
                <w:b/>
                <w:sz w:val="20"/>
              </w:rPr>
              <w:t xml:space="preserve"> System</w:t>
            </w:r>
            <w:r w:rsidRPr="00F47262">
              <w:rPr>
                <w:sz w:val="20"/>
              </w:rPr>
              <w:t xml:space="preserve">. </w:t>
            </w:r>
          </w:p>
        </w:tc>
        <w:tc>
          <w:tcPr>
            <w:tcW w:w="4366" w:type="dxa"/>
          </w:tcPr>
          <w:p w14:paraId="53F1B377" w14:textId="77777777" w:rsidR="008168B7" w:rsidRPr="00F47262" w:rsidRDefault="008168B7" w:rsidP="00697B9C">
            <w:pPr>
              <w:spacing w:before="60" w:after="60"/>
              <w:rPr>
                <w:sz w:val="20"/>
              </w:rPr>
            </w:pPr>
          </w:p>
        </w:tc>
      </w:tr>
      <w:tr w:rsidR="008168B7" w:rsidRPr="00F47262" w14:paraId="34398C77" w14:textId="77777777" w:rsidTr="00F47262">
        <w:trPr>
          <w:cantSplit/>
        </w:trPr>
        <w:tc>
          <w:tcPr>
            <w:tcW w:w="738" w:type="dxa"/>
          </w:tcPr>
          <w:p w14:paraId="69C57D17" w14:textId="77777777" w:rsidR="008168B7" w:rsidRPr="00F47262" w:rsidRDefault="008168B7" w:rsidP="006D5A65">
            <w:pPr>
              <w:pStyle w:val="Heading1"/>
            </w:pPr>
          </w:p>
        </w:tc>
        <w:tc>
          <w:tcPr>
            <w:tcW w:w="4364" w:type="dxa"/>
          </w:tcPr>
          <w:p w14:paraId="585CDAA8" w14:textId="77777777" w:rsidR="008168B7" w:rsidRPr="00F47262" w:rsidRDefault="008168B7" w:rsidP="00697B9C">
            <w:pPr>
              <w:spacing w:before="60" w:after="60"/>
              <w:rPr>
                <w:sz w:val="20"/>
              </w:rPr>
            </w:pPr>
            <w:r w:rsidRPr="00F47262">
              <w:rPr>
                <w:sz w:val="20"/>
              </w:rPr>
              <w:t xml:space="preserve">Click the </w:t>
            </w:r>
            <w:r w:rsidRPr="00F47262">
              <w:rPr>
                <w:b/>
                <w:sz w:val="20"/>
              </w:rPr>
              <w:t xml:space="preserve">Advanced system settings </w:t>
            </w:r>
            <w:r w:rsidRPr="00F47262">
              <w:rPr>
                <w:sz w:val="20"/>
              </w:rPr>
              <w:t>option.</w:t>
            </w:r>
          </w:p>
        </w:tc>
        <w:tc>
          <w:tcPr>
            <w:tcW w:w="4366" w:type="dxa"/>
          </w:tcPr>
          <w:p w14:paraId="7D3D502B" w14:textId="0A13B164" w:rsidR="008168B7" w:rsidRPr="00F47262" w:rsidRDefault="004A5988" w:rsidP="00697B9C">
            <w:pPr>
              <w:spacing w:before="60" w:after="60"/>
              <w:rPr>
                <w:sz w:val="20"/>
              </w:rPr>
            </w:pPr>
            <w:r w:rsidRPr="00F47262">
              <w:rPr>
                <w:noProof/>
                <w:sz w:val="20"/>
              </w:rPr>
              <w:drawing>
                <wp:inline distT="0" distB="0" distL="0" distR="0" wp14:anchorId="10ADF712" wp14:editId="7E6AEF22">
                  <wp:extent cx="2698750" cy="1381199"/>
                  <wp:effectExtent l="0" t="0" r="6350" b="9525"/>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25280" cy="1394777"/>
                          </a:xfrm>
                          <a:prstGeom prst="rect">
                            <a:avLst/>
                          </a:prstGeom>
                        </pic:spPr>
                      </pic:pic>
                    </a:graphicData>
                  </a:graphic>
                </wp:inline>
              </w:drawing>
            </w:r>
          </w:p>
        </w:tc>
      </w:tr>
      <w:tr w:rsidR="008168B7" w:rsidRPr="00F47262" w14:paraId="02E6F7A4" w14:textId="77777777" w:rsidTr="00F47262">
        <w:trPr>
          <w:cantSplit/>
        </w:trPr>
        <w:tc>
          <w:tcPr>
            <w:tcW w:w="738" w:type="dxa"/>
          </w:tcPr>
          <w:p w14:paraId="1ECE7B0A" w14:textId="77777777" w:rsidR="008168B7" w:rsidRPr="00F47262" w:rsidRDefault="008168B7" w:rsidP="006D5A65">
            <w:pPr>
              <w:pStyle w:val="Heading1"/>
            </w:pPr>
          </w:p>
        </w:tc>
        <w:tc>
          <w:tcPr>
            <w:tcW w:w="4364" w:type="dxa"/>
          </w:tcPr>
          <w:p w14:paraId="7252DEE2" w14:textId="77777777" w:rsidR="008168B7" w:rsidRPr="00F47262" w:rsidRDefault="008168B7" w:rsidP="00697B9C">
            <w:pPr>
              <w:spacing w:before="60" w:after="60"/>
              <w:rPr>
                <w:sz w:val="20"/>
              </w:rPr>
            </w:pPr>
            <w:r w:rsidRPr="00F47262">
              <w:rPr>
                <w:sz w:val="20"/>
              </w:rPr>
              <w:t xml:space="preserve">Click the </w:t>
            </w:r>
            <w:r w:rsidRPr="00F47262">
              <w:rPr>
                <w:b/>
                <w:sz w:val="20"/>
              </w:rPr>
              <w:t>Environment Variables…</w:t>
            </w:r>
            <w:r w:rsidRPr="00F47262">
              <w:rPr>
                <w:sz w:val="20"/>
              </w:rPr>
              <w:t xml:space="preserve"> button.</w:t>
            </w:r>
          </w:p>
        </w:tc>
        <w:tc>
          <w:tcPr>
            <w:tcW w:w="4366" w:type="dxa"/>
          </w:tcPr>
          <w:p w14:paraId="703D8367" w14:textId="77777777" w:rsidR="008168B7" w:rsidRPr="00F47262" w:rsidRDefault="008168B7" w:rsidP="00697B9C">
            <w:pPr>
              <w:spacing w:before="60" w:after="60"/>
              <w:rPr>
                <w:sz w:val="20"/>
              </w:rPr>
            </w:pPr>
            <w:r w:rsidRPr="00F47262">
              <w:rPr>
                <w:noProof/>
                <w:sz w:val="20"/>
              </w:rPr>
              <w:drawing>
                <wp:inline distT="0" distB="0" distL="0" distR="0" wp14:anchorId="0CDBC97C" wp14:editId="66CD4EA5">
                  <wp:extent cx="1885950" cy="20955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885950" cy="2095500"/>
                          </a:xfrm>
                          <a:prstGeom prst="rect">
                            <a:avLst/>
                          </a:prstGeom>
                          <a:noFill/>
                          <a:ln>
                            <a:noFill/>
                          </a:ln>
                        </pic:spPr>
                      </pic:pic>
                    </a:graphicData>
                  </a:graphic>
                </wp:inline>
              </w:drawing>
            </w:r>
          </w:p>
        </w:tc>
      </w:tr>
      <w:tr w:rsidR="008168B7" w:rsidRPr="00F47262" w14:paraId="57141614" w14:textId="77777777" w:rsidTr="00F47262">
        <w:trPr>
          <w:cantSplit/>
        </w:trPr>
        <w:tc>
          <w:tcPr>
            <w:tcW w:w="738" w:type="dxa"/>
          </w:tcPr>
          <w:p w14:paraId="71B6ED5F" w14:textId="77777777" w:rsidR="008168B7" w:rsidRPr="00F47262" w:rsidRDefault="008168B7" w:rsidP="006D5A65">
            <w:pPr>
              <w:pStyle w:val="Heading1"/>
            </w:pPr>
          </w:p>
        </w:tc>
        <w:tc>
          <w:tcPr>
            <w:tcW w:w="4364" w:type="dxa"/>
          </w:tcPr>
          <w:p w14:paraId="11BD4875" w14:textId="77777777" w:rsidR="008168B7" w:rsidRPr="00F47262" w:rsidRDefault="008168B7" w:rsidP="00697B9C">
            <w:pPr>
              <w:spacing w:before="60" w:after="60"/>
              <w:rPr>
                <w:sz w:val="20"/>
              </w:rPr>
            </w:pPr>
            <w:r w:rsidRPr="00F47262">
              <w:rPr>
                <w:sz w:val="20"/>
              </w:rPr>
              <w:t xml:space="preserve">In the </w:t>
            </w:r>
            <w:r w:rsidRPr="00F47262">
              <w:rPr>
                <w:b/>
                <w:sz w:val="20"/>
              </w:rPr>
              <w:t>System variables</w:t>
            </w:r>
            <w:r w:rsidRPr="00F47262">
              <w:rPr>
                <w:sz w:val="20"/>
              </w:rPr>
              <w:t xml:space="preserve"> data pane, select the variable called </w:t>
            </w:r>
            <w:r w:rsidRPr="00F47262">
              <w:rPr>
                <w:b/>
                <w:sz w:val="20"/>
              </w:rPr>
              <w:t>Path</w:t>
            </w:r>
            <w:r w:rsidRPr="00F47262">
              <w:rPr>
                <w:sz w:val="20"/>
              </w:rPr>
              <w:t>.</w:t>
            </w:r>
          </w:p>
        </w:tc>
        <w:tc>
          <w:tcPr>
            <w:tcW w:w="4366" w:type="dxa"/>
          </w:tcPr>
          <w:p w14:paraId="25916D1F" w14:textId="77777777" w:rsidR="008168B7" w:rsidRPr="00F47262" w:rsidRDefault="008168B7" w:rsidP="00697B9C">
            <w:pPr>
              <w:spacing w:before="60" w:after="60"/>
              <w:rPr>
                <w:sz w:val="20"/>
              </w:rPr>
            </w:pPr>
            <w:r w:rsidRPr="00F47262">
              <w:rPr>
                <w:noProof/>
                <w:sz w:val="20"/>
              </w:rPr>
              <w:drawing>
                <wp:inline distT="0" distB="0" distL="0" distR="0" wp14:anchorId="6D4EFD69" wp14:editId="0A5C8D73">
                  <wp:extent cx="1952625" cy="2152650"/>
                  <wp:effectExtent l="0" t="0" r="952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952625" cy="2152650"/>
                          </a:xfrm>
                          <a:prstGeom prst="rect">
                            <a:avLst/>
                          </a:prstGeom>
                          <a:noFill/>
                          <a:ln>
                            <a:noFill/>
                          </a:ln>
                        </pic:spPr>
                      </pic:pic>
                    </a:graphicData>
                  </a:graphic>
                </wp:inline>
              </w:drawing>
            </w:r>
          </w:p>
        </w:tc>
      </w:tr>
      <w:tr w:rsidR="008168B7" w:rsidRPr="00F47262" w14:paraId="1AB7BAF7" w14:textId="77777777" w:rsidTr="00F47262">
        <w:trPr>
          <w:cantSplit/>
        </w:trPr>
        <w:tc>
          <w:tcPr>
            <w:tcW w:w="738" w:type="dxa"/>
          </w:tcPr>
          <w:p w14:paraId="389FD29C" w14:textId="77777777" w:rsidR="008168B7" w:rsidRPr="00F47262" w:rsidRDefault="008168B7" w:rsidP="006D5A65">
            <w:pPr>
              <w:pStyle w:val="Heading1"/>
            </w:pPr>
          </w:p>
        </w:tc>
        <w:tc>
          <w:tcPr>
            <w:tcW w:w="4364" w:type="dxa"/>
          </w:tcPr>
          <w:p w14:paraId="665F803D" w14:textId="77777777" w:rsidR="008168B7" w:rsidRPr="00F47262" w:rsidRDefault="008168B7" w:rsidP="00697B9C">
            <w:pPr>
              <w:spacing w:before="60" w:after="60"/>
              <w:rPr>
                <w:sz w:val="20"/>
              </w:rPr>
            </w:pPr>
            <w:r w:rsidRPr="00F47262">
              <w:rPr>
                <w:sz w:val="20"/>
              </w:rPr>
              <w:t xml:space="preserve">Click the </w:t>
            </w:r>
            <w:r w:rsidRPr="00F47262">
              <w:rPr>
                <w:b/>
                <w:sz w:val="20"/>
              </w:rPr>
              <w:t>Edit…</w:t>
            </w:r>
            <w:r w:rsidRPr="00F47262">
              <w:rPr>
                <w:sz w:val="20"/>
              </w:rPr>
              <w:t xml:space="preserve"> button.</w:t>
            </w:r>
          </w:p>
        </w:tc>
        <w:tc>
          <w:tcPr>
            <w:tcW w:w="4366" w:type="dxa"/>
          </w:tcPr>
          <w:p w14:paraId="78C78EA1" w14:textId="77777777" w:rsidR="008168B7" w:rsidRPr="00F47262" w:rsidRDefault="008168B7" w:rsidP="00697B9C">
            <w:pPr>
              <w:spacing w:before="60" w:after="60"/>
              <w:rPr>
                <w:sz w:val="20"/>
              </w:rPr>
            </w:pPr>
          </w:p>
        </w:tc>
      </w:tr>
      <w:tr w:rsidR="008168B7" w:rsidRPr="00F47262" w14:paraId="1CF22C38" w14:textId="77777777" w:rsidTr="00F47262">
        <w:trPr>
          <w:cantSplit/>
        </w:trPr>
        <w:tc>
          <w:tcPr>
            <w:tcW w:w="738" w:type="dxa"/>
          </w:tcPr>
          <w:p w14:paraId="158C4E9B" w14:textId="77777777" w:rsidR="008168B7" w:rsidRPr="00F47262" w:rsidRDefault="008168B7" w:rsidP="006D5A65">
            <w:pPr>
              <w:pStyle w:val="Heading1"/>
            </w:pPr>
          </w:p>
        </w:tc>
        <w:tc>
          <w:tcPr>
            <w:tcW w:w="4364" w:type="dxa"/>
          </w:tcPr>
          <w:p w14:paraId="42B03E9D" w14:textId="77777777" w:rsidR="008168B7" w:rsidRPr="00F47262" w:rsidRDefault="008168B7" w:rsidP="00697B9C">
            <w:pPr>
              <w:spacing w:before="60" w:after="60"/>
              <w:rPr>
                <w:sz w:val="20"/>
              </w:rPr>
            </w:pPr>
            <w:r w:rsidRPr="00F47262">
              <w:rPr>
                <w:sz w:val="20"/>
              </w:rPr>
              <w:t xml:space="preserve">View the entire contents of the </w:t>
            </w:r>
            <w:r w:rsidRPr="00F47262">
              <w:rPr>
                <w:b/>
                <w:sz w:val="20"/>
              </w:rPr>
              <w:t>Variable value:</w:t>
            </w:r>
            <w:r w:rsidRPr="00F47262">
              <w:rPr>
                <w:sz w:val="20"/>
              </w:rPr>
              <w:t xml:space="preserve"> field to ensure the following path is present.</w:t>
            </w:r>
          </w:p>
          <w:p w14:paraId="7E5EF09D" w14:textId="77777777" w:rsidR="008168B7" w:rsidRPr="00F47262" w:rsidRDefault="008168B7" w:rsidP="00697B9C">
            <w:pPr>
              <w:spacing w:before="60" w:after="60"/>
              <w:rPr>
                <w:b/>
                <w:sz w:val="20"/>
              </w:rPr>
            </w:pPr>
            <w:r w:rsidRPr="00F47262">
              <w:rPr>
                <w:b/>
                <w:sz w:val="20"/>
              </w:rPr>
              <w:t>;C:\Program Files(x86)\WinZip\</w:t>
            </w:r>
          </w:p>
          <w:p w14:paraId="1B41A03D" w14:textId="77777777" w:rsidR="008168B7" w:rsidRPr="00F47262" w:rsidRDefault="008168B7" w:rsidP="00697B9C">
            <w:pPr>
              <w:spacing w:before="60" w:after="60"/>
              <w:rPr>
                <w:sz w:val="20"/>
              </w:rPr>
            </w:pPr>
          </w:p>
          <w:p w14:paraId="3FACF889" w14:textId="77777777" w:rsidR="008168B7" w:rsidRPr="00F47262" w:rsidRDefault="008168B7" w:rsidP="006D5A65">
            <w:pPr>
              <w:pStyle w:val="Heading1"/>
            </w:pPr>
            <w:r w:rsidRPr="00F47262">
              <w:t>If variable path is present, click the Cancel button and contact an appropriate Help Desk for additional assistance.</w:t>
            </w:r>
          </w:p>
          <w:p w14:paraId="69C77855" w14:textId="77777777" w:rsidR="008168B7" w:rsidRPr="00F47262" w:rsidRDefault="008168B7" w:rsidP="006D5A65">
            <w:pPr>
              <w:pStyle w:val="Heading1"/>
            </w:pPr>
            <w:r w:rsidRPr="00F47262">
              <w:t xml:space="preserve">If the variable path is not present, proceed to </w:t>
            </w:r>
            <w:r w:rsidR="00DC5AD2" w:rsidRPr="00F47262">
              <w:rPr>
                <w:rFonts w:eastAsia="Times New Roman"/>
              </w:rPr>
              <w:t>the next step</w:t>
            </w:r>
            <w:r w:rsidRPr="00F47262">
              <w:t>.</w:t>
            </w:r>
          </w:p>
        </w:tc>
        <w:tc>
          <w:tcPr>
            <w:tcW w:w="4366" w:type="dxa"/>
          </w:tcPr>
          <w:p w14:paraId="2460498B" w14:textId="77777777" w:rsidR="008168B7" w:rsidRPr="00F47262" w:rsidRDefault="008168B7" w:rsidP="00697B9C">
            <w:pPr>
              <w:spacing w:before="60" w:after="60"/>
              <w:rPr>
                <w:sz w:val="20"/>
              </w:rPr>
            </w:pPr>
            <w:r w:rsidRPr="00F47262">
              <w:rPr>
                <w:noProof/>
                <w:sz w:val="20"/>
              </w:rPr>
              <w:drawing>
                <wp:inline distT="0" distB="0" distL="0" distR="0" wp14:anchorId="1BAB2243" wp14:editId="0F4E21A2">
                  <wp:extent cx="2571750" cy="11049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2571750" cy="1104900"/>
                          </a:xfrm>
                          <a:prstGeom prst="rect">
                            <a:avLst/>
                          </a:prstGeom>
                          <a:noFill/>
                          <a:ln>
                            <a:noFill/>
                          </a:ln>
                        </pic:spPr>
                      </pic:pic>
                    </a:graphicData>
                  </a:graphic>
                </wp:inline>
              </w:drawing>
            </w:r>
          </w:p>
        </w:tc>
      </w:tr>
      <w:tr w:rsidR="008168B7" w:rsidRPr="00F47262" w14:paraId="64C7E5ED" w14:textId="77777777" w:rsidTr="00F47262">
        <w:trPr>
          <w:cantSplit/>
        </w:trPr>
        <w:tc>
          <w:tcPr>
            <w:tcW w:w="738" w:type="dxa"/>
          </w:tcPr>
          <w:p w14:paraId="11972834" w14:textId="77777777" w:rsidR="008168B7" w:rsidRPr="00F47262" w:rsidRDefault="008168B7" w:rsidP="006D5A65">
            <w:pPr>
              <w:pStyle w:val="Heading1"/>
            </w:pPr>
          </w:p>
        </w:tc>
        <w:tc>
          <w:tcPr>
            <w:tcW w:w="4364" w:type="dxa"/>
          </w:tcPr>
          <w:p w14:paraId="6EEE0DC8" w14:textId="77777777" w:rsidR="008168B7" w:rsidRPr="00F47262" w:rsidRDefault="008168B7" w:rsidP="00697B9C">
            <w:pPr>
              <w:spacing w:before="60" w:after="60"/>
              <w:rPr>
                <w:sz w:val="20"/>
              </w:rPr>
            </w:pPr>
            <w:r w:rsidRPr="00F47262">
              <w:rPr>
                <w:sz w:val="20"/>
              </w:rPr>
              <w:t>Add the path to the end of the field.</w:t>
            </w:r>
          </w:p>
        </w:tc>
        <w:tc>
          <w:tcPr>
            <w:tcW w:w="4366" w:type="dxa"/>
          </w:tcPr>
          <w:p w14:paraId="3D93A904" w14:textId="77777777" w:rsidR="008168B7" w:rsidRPr="00F47262" w:rsidRDefault="008168B7" w:rsidP="00697B9C">
            <w:pPr>
              <w:spacing w:before="60" w:after="60"/>
              <w:rPr>
                <w:sz w:val="20"/>
              </w:rPr>
            </w:pPr>
          </w:p>
        </w:tc>
      </w:tr>
      <w:tr w:rsidR="008168B7" w:rsidRPr="00F47262" w14:paraId="3CBB2E16" w14:textId="77777777" w:rsidTr="00F47262">
        <w:trPr>
          <w:cantSplit/>
        </w:trPr>
        <w:tc>
          <w:tcPr>
            <w:tcW w:w="738" w:type="dxa"/>
          </w:tcPr>
          <w:p w14:paraId="63CCAF61" w14:textId="77777777" w:rsidR="008168B7" w:rsidRPr="00F47262" w:rsidRDefault="008168B7" w:rsidP="006D5A65">
            <w:pPr>
              <w:pStyle w:val="Heading1"/>
            </w:pPr>
          </w:p>
        </w:tc>
        <w:tc>
          <w:tcPr>
            <w:tcW w:w="4364" w:type="dxa"/>
          </w:tcPr>
          <w:p w14:paraId="3E7106DD" w14:textId="77777777" w:rsidR="008168B7" w:rsidRPr="00F47262" w:rsidRDefault="008168B7" w:rsidP="00697B9C">
            <w:pPr>
              <w:spacing w:before="60" w:after="60"/>
              <w:rPr>
                <w:sz w:val="20"/>
              </w:rPr>
            </w:pPr>
            <w:r w:rsidRPr="00F47262">
              <w:rPr>
                <w:sz w:val="20"/>
              </w:rPr>
              <w:t xml:space="preserve">Click the </w:t>
            </w:r>
            <w:r w:rsidRPr="00F47262">
              <w:rPr>
                <w:b/>
                <w:sz w:val="20"/>
              </w:rPr>
              <w:t>OK</w:t>
            </w:r>
            <w:r w:rsidRPr="00F47262">
              <w:rPr>
                <w:sz w:val="20"/>
              </w:rPr>
              <w:t xml:space="preserve"> button on the </w:t>
            </w:r>
            <w:r w:rsidRPr="00F47262">
              <w:rPr>
                <w:i/>
                <w:sz w:val="20"/>
              </w:rPr>
              <w:t xml:space="preserve">Edit System Variable </w:t>
            </w:r>
            <w:r w:rsidRPr="00F47262">
              <w:rPr>
                <w:sz w:val="20"/>
              </w:rPr>
              <w:t>window.</w:t>
            </w:r>
          </w:p>
        </w:tc>
        <w:tc>
          <w:tcPr>
            <w:tcW w:w="4366" w:type="dxa"/>
          </w:tcPr>
          <w:p w14:paraId="112111F9" w14:textId="77777777" w:rsidR="008168B7" w:rsidRPr="00F47262" w:rsidRDefault="008168B7" w:rsidP="00697B9C">
            <w:pPr>
              <w:spacing w:before="60" w:after="60"/>
              <w:rPr>
                <w:sz w:val="20"/>
              </w:rPr>
            </w:pPr>
          </w:p>
        </w:tc>
      </w:tr>
      <w:tr w:rsidR="008168B7" w:rsidRPr="00F47262" w14:paraId="075A52AC" w14:textId="77777777" w:rsidTr="00F47262">
        <w:trPr>
          <w:cantSplit/>
        </w:trPr>
        <w:tc>
          <w:tcPr>
            <w:tcW w:w="738" w:type="dxa"/>
          </w:tcPr>
          <w:p w14:paraId="73E3D768" w14:textId="77777777" w:rsidR="008168B7" w:rsidRPr="00F47262" w:rsidRDefault="008168B7" w:rsidP="006D5A65">
            <w:pPr>
              <w:pStyle w:val="Heading1"/>
            </w:pPr>
          </w:p>
        </w:tc>
        <w:tc>
          <w:tcPr>
            <w:tcW w:w="4364" w:type="dxa"/>
          </w:tcPr>
          <w:p w14:paraId="06CBB3AF" w14:textId="77777777" w:rsidR="008168B7" w:rsidRPr="00F47262" w:rsidRDefault="008168B7" w:rsidP="00697B9C">
            <w:pPr>
              <w:spacing w:before="60" w:after="60"/>
              <w:rPr>
                <w:sz w:val="20"/>
              </w:rPr>
            </w:pPr>
            <w:r w:rsidRPr="00F47262">
              <w:rPr>
                <w:sz w:val="20"/>
              </w:rPr>
              <w:t xml:space="preserve">Click the </w:t>
            </w:r>
            <w:r w:rsidRPr="00F47262">
              <w:rPr>
                <w:b/>
                <w:sz w:val="20"/>
              </w:rPr>
              <w:t>OK</w:t>
            </w:r>
            <w:r w:rsidRPr="00F47262">
              <w:rPr>
                <w:sz w:val="20"/>
              </w:rPr>
              <w:t xml:space="preserve"> button on the </w:t>
            </w:r>
            <w:r w:rsidRPr="00F47262">
              <w:rPr>
                <w:i/>
                <w:sz w:val="20"/>
              </w:rPr>
              <w:t>Environment Variables</w:t>
            </w:r>
            <w:r w:rsidRPr="00F47262">
              <w:rPr>
                <w:sz w:val="20"/>
              </w:rPr>
              <w:t xml:space="preserve"> window.</w:t>
            </w:r>
          </w:p>
        </w:tc>
        <w:tc>
          <w:tcPr>
            <w:tcW w:w="4366" w:type="dxa"/>
          </w:tcPr>
          <w:p w14:paraId="4FB900A3" w14:textId="77777777" w:rsidR="008168B7" w:rsidRPr="00F47262" w:rsidRDefault="008168B7" w:rsidP="00697B9C">
            <w:pPr>
              <w:spacing w:before="60" w:after="60"/>
              <w:rPr>
                <w:sz w:val="20"/>
              </w:rPr>
            </w:pPr>
          </w:p>
        </w:tc>
      </w:tr>
      <w:tr w:rsidR="008168B7" w:rsidRPr="00F47262" w14:paraId="2FC15953" w14:textId="77777777" w:rsidTr="00F47262">
        <w:trPr>
          <w:cantSplit/>
        </w:trPr>
        <w:tc>
          <w:tcPr>
            <w:tcW w:w="738" w:type="dxa"/>
          </w:tcPr>
          <w:p w14:paraId="2F2241B7" w14:textId="77777777" w:rsidR="008168B7" w:rsidRPr="00F47262" w:rsidRDefault="008168B7" w:rsidP="006D5A65">
            <w:pPr>
              <w:pStyle w:val="Heading1"/>
            </w:pPr>
          </w:p>
        </w:tc>
        <w:tc>
          <w:tcPr>
            <w:tcW w:w="4364" w:type="dxa"/>
          </w:tcPr>
          <w:p w14:paraId="503FC9EB" w14:textId="77777777" w:rsidR="008168B7" w:rsidRPr="00F47262" w:rsidRDefault="008168B7" w:rsidP="00697B9C">
            <w:pPr>
              <w:spacing w:before="60" w:after="60"/>
              <w:rPr>
                <w:sz w:val="20"/>
              </w:rPr>
            </w:pPr>
            <w:r w:rsidRPr="00F47262">
              <w:rPr>
                <w:sz w:val="20"/>
              </w:rPr>
              <w:t xml:space="preserve">Click the </w:t>
            </w:r>
            <w:r w:rsidRPr="00F47262">
              <w:rPr>
                <w:b/>
                <w:sz w:val="20"/>
              </w:rPr>
              <w:t>OK</w:t>
            </w:r>
            <w:r w:rsidRPr="00F47262">
              <w:rPr>
                <w:sz w:val="20"/>
              </w:rPr>
              <w:t xml:space="preserve"> button on the </w:t>
            </w:r>
            <w:r w:rsidRPr="00F47262">
              <w:rPr>
                <w:i/>
                <w:sz w:val="20"/>
              </w:rPr>
              <w:t>System Properties</w:t>
            </w:r>
            <w:r w:rsidRPr="00F47262">
              <w:rPr>
                <w:sz w:val="20"/>
              </w:rPr>
              <w:t xml:space="preserve"> window.</w:t>
            </w:r>
          </w:p>
        </w:tc>
        <w:tc>
          <w:tcPr>
            <w:tcW w:w="4366" w:type="dxa"/>
          </w:tcPr>
          <w:p w14:paraId="3A321E4E" w14:textId="77777777" w:rsidR="008168B7" w:rsidRPr="00F47262" w:rsidRDefault="008168B7" w:rsidP="00697B9C">
            <w:pPr>
              <w:spacing w:before="60" w:after="60"/>
              <w:rPr>
                <w:sz w:val="20"/>
              </w:rPr>
            </w:pPr>
          </w:p>
        </w:tc>
      </w:tr>
      <w:tr w:rsidR="008168B7" w:rsidRPr="00F47262" w14:paraId="5FE266E4" w14:textId="77777777" w:rsidTr="00F47262">
        <w:trPr>
          <w:cantSplit/>
        </w:trPr>
        <w:tc>
          <w:tcPr>
            <w:tcW w:w="738" w:type="dxa"/>
          </w:tcPr>
          <w:p w14:paraId="278C8777" w14:textId="77777777" w:rsidR="008168B7" w:rsidRPr="00F47262" w:rsidRDefault="008168B7" w:rsidP="006D5A65">
            <w:pPr>
              <w:pStyle w:val="Heading1"/>
            </w:pPr>
          </w:p>
        </w:tc>
        <w:tc>
          <w:tcPr>
            <w:tcW w:w="4364" w:type="dxa"/>
          </w:tcPr>
          <w:p w14:paraId="5535B08D" w14:textId="77777777" w:rsidR="008168B7" w:rsidRPr="00F47262" w:rsidRDefault="008168B7" w:rsidP="00697B9C">
            <w:pPr>
              <w:spacing w:before="60" w:after="60"/>
              <w:rPr>
                <w:sz w:val="20"/>
              </w:rPr>
            </w:pPr>
            <w:r w:rsidRPr="00F47262">
              <w:rPr>
                <w:sz w:val="20"/>
              </w:rPr>
              <w:t>Reboot the workstation.</w:t>
            </w:r>
          </w:p>
        </w:tc>
        <w:tc>
          <w:tcPr>
            <w:tcW w:w="4366" w:type="dxa"/>
          </w:tcPr>
          <w:p w14:paraId="07C306A4" w14:textId="77777777" w:rsidR="008168B7" w:rsidRPr="00F47262" w:rsidRDefault="008168B7" w:rsidP="00697B9C">
            <w:pPr>
              <w:spacing w:before="60" w:after="60"/>
              <w:rPr>
                <w:sz w:val="20"/>
              </w:rPr>
            </w:pPr>
          </w:p>
        </w:tc>
      </w:tr>
      <w:tr w:rsidR="008168B7" w:rsidRPr="00F47262" w14:paraId="194F8064" w14:textId="77777777" w:rsidTr="00F47262">
        <w:trPr>
          <w:cantSplit/>
        </w:trPr>
        <w:tc>
          <w:tcPr>
            <w:tcW w:w="738" w:type="dxa"/>
          </w:tcPr>
          <w:p w14:paraId="0B922434" w14:textId="77777777" w:rsidR="008168B7" w:rsidRPr="00F47262" w:rsidRDefault="008168B7" w:rsidP="006D5A65">
            <w:pPr>
              <w:pStyle w:val="Heading1"/>
            </w:pPr>
          </w:p>
        </w:tc>
        <w:tc>
          <w:tcPr>
            <w:tcW w:w="4364" w:type="dxa"/>
          </w:tcPr>
          <w:p w14:paraId="00839D89" w14:textId="77777777" w:rsidR="008168B7" w:rsidRPr="00F47262" w:rsidRDefault="00E153AB" w:rsidP="00E153AB">
            <w:pPr>
              <w:spacing w:before="60" w:after="60"/>
              <w:rPr>
                <w:sz w:val="20"/>
              </w:rPr>
            </w:pPr>
            <w:r w:rsidRPr="00F47262">
              <w:rPr>
                <w:sz w:val="20"/>
              </w:rPr>
              <w:t>Logi</w:t>
            </w:r>
            <w:r w:rsidR="008168B7" w:rsidRPr="00F47262">
              <w:rPr>
                <w:sz w:val="20"/>
              </w:rPr>
              <w:t>n to MDS.</w:t>
            </w:r>
          </w:p>
        </w:tc>
        <w:tc>
          <w:tcPr>
            <w:tcW w:w="4366" w:type="dxa"/>
          </w:tcPr>
          <w:p w14:paraId="543F3E8D" w14:textId="77777777" w:rsidR="008168B7" w:rsidRPr="00F47262" w:rsidRDefault="008168B7" w:rsidP="00697B9C">
            <w:pPr>
              <w:spacing w:before="60" w:after="60"/>
              <w:rPr>
                <w:sz w:val="20"/>
              </w:rPr>
            </w:pPr>
          </w:p>
        </w:tc>
      </w:tr>
      <w:tr w:rsidR="008168B7" w:rsidRPr="00F47262" w14:paraId="2E1E7977" w14:textId="77777777" w:rsidTr="00F47262">
        <w:trPr>
          <w:cantSplit/>
        </w:trPr>
        <w:tc>
          <w:tcPr>
            <w:tcW w:w="738" w:type="dxa"/>
          </w:tcPr>
          <w:p w14:paraId="19FD411D" w14:textId="77777777" w:rsidR="008168B7" w:rsidRPr="00F47262" w:rsidRDefault="008168B7" w:rsidP="006D5A65">
            <w:pPr>
              <w:pStyle w:val="Heading1"/>
            </w:pPr>
          </w:p>
        </w:tc>
        <w:tc>
          <w:tcPr>
            <w:tcW w:w="4364" w:type="dxa"/>
          </w:tcPr>
          <w:p w14:paraId="23B7C5A3" w14:textId="77777777" w:rsidR="008168B7" w:rsidRPr="00F47262" w:rsidRDefault="002925E8" w:rsidP="002925E8">
            <w:pPr>
              <w:spacing w:before="60" w:after="60"/>
              <w:rPr>
                <w:sz w:val="20"/>
              </w:rPr>
            </w:pPr>
            <w:r w:rsidRPr="00F47262">
              <w:rPr>
                <w:sz w:val="20"/>
              </w:rPr>
              <w:t xml:space="preserve">Right-click on the </w:t>
            </w:r>
            <w:r w:rsidRPr="00F47262">
              <w:rPr>
                <w:b/>
                <w:sz w:val="20"/>
              </w:rPr>
              <w:t>MDS Toolbox</w:t>
            </w:r>
            <w:r w:rsidRPr="00F47262">
              <w:rPr>
                <w:sz w:val="20"/>
              </w:rPr>
              <w:t xml:space="preserve"> desktop shortcut icon </w:t>
            </w:r>
            <w:r w:rsidRPr="00F47262">
              <w:rPr>
                <w:noProof/>
                <w:sz w:val="20"/>
              </w:rPr>
              <w:drawing>
                <wp:inline distT="0" distB="0" distL="0" distR="0" wp14:anchorId="436D0DA8" wp14:editId="49B1BCA6">
                  <wp:extent cx="276225" cy="247650"/>
                  <wp:effectExtent l="19050" t="0" r="9525" b="0"/>
                  <wp:docPr id="1382"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and select </w:t>
            </w:r>
            <w:r w:rsidRPr="00F47262">
              <w:rPr>
                <w:b/>
                <w:sz w:val="20"/>
              </w:rPr>
              <w:t>Run as administrator</w:t>
            </w:r>
            <w:r w:rsidRPr="00F47262">
              <w:rPr>
                <w:sz w:val="20"/>
              </w:rPr>
              <w:t xml:space="preserve"> from the resulting pop-up menu.</w:t>
            </w:r>
          </w:p>
        </w:tc>
        <w:tc>
          <w:tcPr>
            <w:tcW w:w="4366" w:type="dxa"/>
          </w:tcPr>
          <w:p w14:paraId="5C25B85C" w14:textId="77777777" w:rsidR="008168B7" w:rsidRPr="00F47262" w:rsidRDefault="008168B7" w:rsidP="00697B9C">
            <w:pPr>
              <w:spacing w:before="60" w:after="60"/>
              <w:rPr>
                <w:sz w:val="20"/>
              </w:rPr>
            </w:pPr>
          </w:p>
        </w:tc>
      </w:tr>
      <w:tr w:rsidR="008168B7" w:rsidRPr="00F47262" w14:paraId="3D9AB48B" w14:textId="77777777" w:rsidTr="00F47262">
        <w:trPr>
          <w:cantSplit/>
        </w:trPr>
        <w:tc>
          <w:tcPr>
            <w:tcW w:w="738" w:type="dxa"/>
          </w:tcPr>
          <w:p w14:paraId="62268E1D" w14:textId="77777777" w:rsidR="008168B7" w:rsidRPr="00F47262" w:rsidRDefault="008168B7" w:rsidP="006D5A65">
            <w:pPr>
              <w:pStyle w:val="Heading1"/>
            </w:pPr>
          </w:p>
        </w:tc>
        <w:tc>
          <w:tcPr>
            <w:tcW w:w="4364" w:type="dxa"/>
          </w:tcPr>
          <w:p w14:paraId="7C26DE1A" w14:textId="77777777" w:rsidR="008168B7" w:rsidRPr="00F47262" w:rsidRDefault="008168B7" w:rsidP="00697B9C">
            <w:pPr>
              <w:spacing w:before="60" w:after="60"/>
              <w:rPr>
                <w:sz w:val="20"/>
              </w:rPr>
            </w:pPr>
            <w:r w:rsidRPr="00F47262">
              <w:rPr>
                <w:sz w:val="20"/>
              </w:rPr>
              <w:t xml:space="preserve">Navigate to the </w:t>
            </w:r>
            <w:r w:rsidRPr="00F47262">
              <w:rPr>
                <w:b/>
                <w:sz w:val="20"/>
              </w:rPr>
              <w:t>TMPR</w:t>
            </w:r>
            <w:r w:rsidRPr="00F47262">
              <w:rPr>
                <w:sz w:val="20"/>
              </w:rPr>
              <w:t xml:space="preserve"> tool.</w:t>
            </w:r>
          </w:p>
        </w:tc>
        <w:tc>
          <w:tcPr>
            <w:tcW w:w="4366" w:type="dxa"/>
          </w:tcPr>
          <w:p w14:paraId="7A23770A" w14:textId="77777777" w:rsidR="008168B7" w:rsidRPr="00F47262" w:rsidRDefault="008168B7" w:rsidP="00697B9C">
            <w:pPr>
              <w:spacing w:before="60" w:after="60"/>
              <w:rPr>
                <w:sz w:val="20"/>
              </w:rPr>
            </w:pPr>
          </w:p>
        </w:tc>
      </w:tr>
      <w:tr w:rsidR="008168B7" w:rsidRPr="00F47262" w14:paraId="591E565B" w14:textId="77777777" w:rsidTr="00F47262">
        <w:trPr>
          <w:cantSplit/>
        </w:trPr>
        <w:tc>
          <w:tcPr>
            <w:tcW w:w="738" w:type="dxa"/>
          </w:tcPr>
          <w:p w14:paraId="730D0059" w14:textId="77777777" w:rsidR="008168B7" w:rsidRPr="00F47262" w:rsidRDefault="008168B7" w:rsidP="006D5A65">
            <w:pPr>
              <w:pStyle w:val="Heading1"/>
            </w:pPr>
          </w:p>
        </w:tc>
        <w:tc>
          <w:tcPr>
            <w:tcW w:w="4364" w:type="dxa"/>
          </w:tcPr>
          <w:p w14:paraId="54D35DF4" w14:textId="77777777" w:rsidR="008168B7" w:rsidRPr="00F47262" w:rsidRDefault="008168B7" w:rsidP="00697B9C">
            <w:pPr>
              <w:spacing w:before="60" w:after="60"/>
              <w:rPr>
                <w:sz w:val="20"/>
              </w:rPr>
            </w:pPr>
            <w:r w:rsidRPr="00F47262">
              <w:rPr>
                <w:sz w:val="20"/>
              </w:rPr>
              <w:t>Create a new TMPR</w:t>
            </w:r>
          </w:p>
        </w:tc>
        <w:tc>
          <w:tcPr>
            <w:tcW w:w="4366" w:type="dxa"/>
          </w:tcPr>
          <w:p w14:paraId="4BC82ACA" w14:textId="77777777" w:rsidR="008168B7" w:rsidRPr="00F47262" w:rsidRDefault="008168B7" w:rsidP="00697B9C">
            <w:pPr>
              <w:spacing w:before="60" w:after="60"/>
              <w:rPr>
                <w:sz w:val="20"/>
              </w:rPr>
            </w:pPr>
          </w:p>
        </w:tc>
      </w:tr>
      <w:tr w:rsidR="008168B7" w:rsidRPr="00F47262" w14:paraId="75C5A0CD" w14:textId="77777777" w:rsidTr="00F47262">
        <w:trPr>
          <w:cantSplit/>
        </w:trPr>
        <w:tc>
          <w:tcPr>
            <w:tcW w:w="738" w:type="dxa"/>
          </w:tcPr>
          <w:p w14:paraId="7BE3CC21" w14:textId="77777777" w:rsidR="008168B7" w:rsidRPr="00F47262" w:rsidRDefault="008168B7" w:rsidP="006D5A65">
            <w:pPr>
              <w:pStyle w:val="Heading1"/>
            </w:pPr>
          </w:p>
        </w:tc>
        <w:tc>
          <w:tcPr>
            <w:tcW w:w="4364" w:type="dxa"/>
          </w:tcPr>
          <w:p w14:paraId="6D1AFD7B" w14:textId="77777777" w:rsidR="008168B7" w:rsidRPr="00F47262" w:rsidRDefault="008168B7" w:rsidP="00697B9C">
            <w:pPr>
              <w:spacing w:before="60" w:after="60"/>
              <w:rPr>
                <w:sz w:val="20"/>
              </w:rPr>
            </w:pPr>
            <w:r w:rsidRPr="00F47262">
              <w:rPr>
                <w:sz w:val="20"/>
              </w:rPr>
              <w:t>Submit TMPR to TPS.</w:t>
            </w:r>
          </w:p>
        </w:tc>
        <w:tc>
          <w:tcPr>
            <w:tcW w:w="4366" w:type="dxa"/>
          </w:tcPr>
          <w:p w14:paraId="3F7B3C50" w14:textId="77777777" w:rsidR="008168B7" w:rsidRPr="00F47262" w:rsidRDefault="008168B7" w:rsidP="00697B9C">
            <w:pPr>
              <w:spacing w:before="60" w:after="60"/>
              <w:rPr>
                <w:sz w:val="20"/>
              </w:rPr>
            </w:pPr>
          </w:p>
        </w:tc>
      </w:tr>
      <w:tr w:rsidR="008168B7" w:rsidRPr="00F47262" w14:paraId="668E83BC" w14:textId="77777777" w:rsidTr="00F47262">
        <w:trPr>
          <w:cantSplit/>
        </w:trPr>
        <w:tc>
          <w:tcPr>
            <w:tcW w:w="738" w:type="dxa"/>
          </w:tcPr>
          <w:p w14:paraId="39B6CD36" w14:textId="77777777" w:rsidR="008168B7" w:rsidRPr="00F47262" w:rsidRDefault="008168B7" w:rsidP="006D5A65">
            <w:pPr>
              <w:pStyle w:val="Heading1"/>
            </w:pPr>
          </w:p>
        </w:tc>
        <w:tc>
          <w:tcPr>
            <w:tcW w:w="4364" w:type="dxa"/>
          </w:tcPr>
          <w:p w14:paraId="34EB6A75" w14:textId="77777777" w:rsidR="008168B7" w:rsidRPr="00F47262" w:rsidRDefault="008168B7" w:rsidP="00697B9C">
            <w:pPr>
              <w:spacing w:before="60" w:after="60"/>
              <w:rPr>
                <w:sz w:val="20"/>
              </w:rPr>
            </w:pPr>
            <w:r w:rsidRPr="00F47262">
              <w:rPr>
                <w:sz w:val="20"/>
              </w:rPr>
              <w:t xml:space="preserve">Select the </w:t>
            </w:r>
            <w:r w:rsidRPr="00F47262">
              <w:rPr>
                <w:b/>
                <w:i/>
                <w:sz w:val="20"/>
              </w:rPr>
              <w:t>Advanced</w:t>
            </w:r>
            <w:r w:rsidRPr="00F47262">
              <w:rPr>
                <w:sz w:val="20"/>
              </w:rPr>
              <w:t xml:space="preserve"> tab.</w:t>
            </w:r>
          </w:p>
        </w:tc>
        <w:tc>
          <w:tcPr>
            <w:tcW w:w="4366" w:type="dxa"/>
          </w:tcPr>
          <w:p w14:paraId="465FDC2D" w14:textId="77777777" w:rsidR="008168B7" w:rsidRPr="00F47262" w:rsidRDefault="008168B7" w:rsidP="00697B9C">
            <w:pPr>
              <w:spacing w:before="60" w:after="60"/>
              <w:rPr>
                <w:sz w:val="20"/>
              </w:rPr>
            </w:pPr>
          </w:p>
        </w:tc>
      </w:tr>
      <w:tr w:rsidR="008168B7" w:rsidRPr="00F47262" w14:paraId="28187DAC" w14:textId="77777777" w:rsidTr="00F47262">
        <w:trPr>
          <w:cantSplit/>
        </w:trPr>
        <w:tc>
          <w:tcPr>
            <w:tcW w:w="738" w:type="dxa"/>
          </w:tcPr>
          <w:p w14:paraId="0460B7E4" w14:textId="77777777" w:rsidR="008168B7" w:rsidRPr="00F47262" w:rsidRDefault="008168B7" w:rsidP="006D5A65">
            <w:pPr>
              <w:pStyle w:val="Heading1"/>
            </w:pPr>
          </w:p>
        </w:tc>
        <w:tc>
          <w:tcPr>
            <w:tcW w:w="4364" w:type="dxa"/>
          </w:tcPr>
          <w:p w14:paraId="0D7B4B39" w14:textId="77777777" w:rsidR="008168B7" w:rsidRPr="00F47262" w:rsidRDefault="008168B7" w:rsidP="00697B9C">
            <w:pPr>
              <w:spacing w:before="60" w:after="60"/>
              <w:rPr>
                <w:sz w:val="20"/>
              </w:rPr>
            </w:pPr>
            <w:r w:rsidRPr="00F47262">
              <w:rPr>
                <w:sz w:val="20"/>
              </w:rPr>
              <w:t xml:space="preserve">Select the </w:t>
            </w:r>
            <w:r w:rsidRPr="00F47262">
              <w:rPr>
                <w:b/>
                <w:i/>
                <w:sz w:val="20"/>
              </w:rPr>
              <w:t>TMPR Status</w:t>
            </w:r>
            <w:r w:rsidRPr="00F47262">
              <w:rPr>
                <w:sz w:val="20"/>
              </w:rPr>
              <w:t xml:space="preserve"> tab.</w:t>
            </w:r>
          </w:p>
        </w:tc>
        <w:tc>
          <w:tcPr>
            <w:tcW w:w="4366" w:type="dxa"/>
          </w:tcPr>
          <w:p w14:paraId="4E016F52" w14:textId="77777777" w:rsidR="008168B7" w:rsidRPr="00F47262" w:rsidRDefault="008168B7" w:rsidP="00697B9C">
            <w:pPr>
              <w:spacing w:before="60" w:after="60"/>
              <w:rPr>
                <w:sz w:val="20"/>
              </w:rPr>
            </w:pPr>
          </w:p>
        </w:tc>
      </w:tr>
      <w:tr w:rsidR="008168B7" w:rsidRPr="00F47262" w14:paraId="5FB703D3" w14:textId="77777777" w:rsidTr="00F47262">
        <w:trPr>
          <w:cantSplit/>
        </w:trPr>
        <w:tc>
          <w:tcPr>
            <w:tcW w:w="738" w:type="dxa"/>
          </w:tcPr>
          <w:p w14:paraId="4E9A0401" w14:textId="77777777" w:rsidR="008168B7" w:rsidRPr="00F47262" w:rsidRDefault="008168B7" w:rsidP="006D5A65">
            <w:pPr>
              <w:pStyle w:val="Heading1"/>
            </w:pPr>
          </w:p>
        </w:tc>
        <w:tc>
          <w:tcPr>
            <w:tcW w:w="4364" w:type="dxa"/>
          </w:tcPr>
          <w:p w14:paraId="05987003" w14:textId="77777777" w:rsidR="008168B7" w:rsidRPr="00F47262" w:rsidRDefault="008168B7" w:rsidP="00697B9C">
            <w:pPr>
              <w:spacing w:before="60" w:after="60"/>
              <w:rPr>
                <w:sz w:val="20"/>
              </w:rPr>
            </w:pPr>
            <w:r w:rsidRPr="00F47262">
              <w:rPr>
                <w:sz w:val="20"/>
              </w:rPr>
              <w:t>Submit TMPR to TPS.</w:t>
            </w:r>
          </w:p>
        </w:tc>
        <w:tc>
          <w:tcPr>
            <w:tcW w:w="4366" w:type="dxa"/>
          </w:tcPr>
          <w:p w14:paraId="440DC7CE" w14:textId="77777777" w:rsidR="008168B7" w:rsidRPr="00F47262" w:rsidRDefault="008168B7" w:rsidP="00697B9C">
            <w:pPr>
              <w:spacing w:before="60" w:after="60"/>
              <w:rPr>
                <w:sz w:val="20"/>
              </w:rPr>
            </w:pPr>
          </w:p>
        </w:tc>
      </w:tr>
      <w:tr w:rsidR="008168B7" w:rsidRPr="00F47262" w14:paraId="72B97472" w14:textId="77777777" w:rsidTr="00F47262">
        <w:trPr>
          <w:cantSplit/>
        </w:trPr>
        <w:tc>
          <w:tcPr>
            <w:tcW w:w="738" w:type="dxa"/>
          </w:tcPr>
          <w:p w14:paraId="0B1A9544" w14:textId="77777777" w:rsidR="008168B7" w:rsidRPr="00F47262" w:rsidRDefault="008168B7" w:rsidP="006D5A65">
            <w:pPr>
              <w:pStyle w:val="Heading1"/>
            </w:pPr>
          </w:p>
        </w:tc>
        <w:tc>
          <w:tcPr>
            <w:tcW w:w="4364" w:type="dxa"/>
          </w:tcPr>
          <w:p w14:paraId="15DCFC7D" w14:textId="77777777" w:rsidR="008168B7" w:rsidRPr="00F47262" w:rsidRDefault="008168B7" w:rsidP="00697B9C">
            <w:pPr>
              <w:spacing w:before="60" w:after="60"/>
              <w:rPr>
                <w:sz w:val="20"/>
              </w:rPr>
            </w:pPr>
            <w:r w:rsidRPr="00F47262">
              <w:rPr>
                <w:sz w:val="20"/>
              </w:rPr>
              <w:t>Did the TMPR return an “Infeasible” status?</w:t>
            </w:r>
          </w:p>
          <w:p w14:paraId="59CF1662" w14:textId="77777777" w:rsidR="008168B7" w:rsidRPr="00F47262" w:rsidRDefault="008168B7" w:rsidP="006D5A65">
            <w:pPr>
              <w:pStyle w:val="Heading1"/>
              <w:rPr>
                <w:rFonts w:eastAsia="Times New Roman"/>
              </w:rPr>
            </w:pPr>
            <w:r w:rsidRPr="00F47262">
              <w:rPr>
                <w:rFonts w:eastAsia="Times New Roman"/>
              </w:rPr>
              <w:t xml:space="preserve">If Yes, </w:t>
            </w:r>
            <w:r w:rsidRPr="00F47262">
              <w:t>contact an appropriate Help Desk for additional assistance</w:t>
            </w:r>
            <w:r w:rsidRPr="00F47262">
              <w:rPr>
                <w:rFonts w:eastAsia="Times New Roman"/>
              </w:rPr>
              <w:t>.</w:t>
            </w:r>
          </w:p>
          <w:p w14:paraId="789A98AC" w14:textId="77777777" w:rsidR="008168B7" w:rsidRPr="00F47262" w:rsidRDefault="008168B7" w:rsidP="006D5A65">
            <w:pPr>
              <w:pStyle w:val="Heading1"/>
            </w:pPr>
            <w:r w:rsidRPr="00F47262">
              <w:t>If No</w:t>
            </w:r>
            <w:r w:rsidR="00E153AB" w:rsidRPr="00F47262">
              <w:t>, status should now indicate Completed</w:t>
            </w:r>
            <w:r w:rsidRPr="00F47262">
              <w:t xml:space="preserve"> and the problem </w:t>
            </w:r>
            <w:r w:rsidR="00E153AB" w:rsidRPr="00F47262">
              <w:t xml:space="preserve">is </w:t>
            </w:r>
            <w:r w:rsidRPr="00F47262">
              <w:t xml:space="preserve">resolved. </w:t>
            </w:r>
          </w:p>
        </w:tc>
        <w:tc>
          <w:tcPr>
            <w:tcW w:w="4366" w:type="dxa"/>
          </w:tcPr>
          <w:p w14:paraId="5DDFEDFA" w14:textId="77777777" w:rsidR="008168B7" w:rsidRPr="00F47262" w:rsidRDefault="008168B7" w:rsidP="00697B9C">
            <w:pPr>
              <w:spacing w:before="60" w:after="60"/>
              <w:rPr>
                <w:sz w:val="20"/>
              </w:rPr>
            </w:pPr>
          </w:p>
        </w:tc>
      </w:tr>
    </w:tbl>
    <w:bookmarkStart w:id="7492" w:name="_L_-4.3_"/>
    <w:bookmarkStart w:id="7493" w:name="TMPR_RETURNS_INFEASIBLE_ERROR"/>
    <w:bookmarkStart w:id="7494" w:name="_Toc214283713"/>
    <w:bookmarkEnd w:id="7492"/>
    <w:bookmarkEnd w:id="7493"/>
    <w:p w14:paraId="4FB53771" w14:textId="7F67AEF4" w:rsidR="00833F66" w:rsidRPr="000665B0" w:rsidRDefault="00672912" w:rsidP="00155E82">
      <w:pPr>
        <w:pStyle w:val="Appendix3"/>
        <w:ind w:left="360"/>
      </w:pPr>
      <w:r>
        <w:rPr>
          <w:noProof/>
        </w:rPr>
        <mc:AlternateContent>
          <mc:Choice Requires="wps">
            <w:drawing>
              <wp:anchor distT="0" distB="0" distL="114297" distR="114297" simplePos="0" relativeHeight="251658752" behindDoc="0" locked="0" layoutInCell="1" allowOverlap="1" wp14:anchorId="6F899F41" wp14:editId="25C7DCA0">
                <wp:simplePos x="0" y="0"/>
                <wp:positionH relativeFrom="column">
                  <wp:posOffset>7952104</wp:posOffset>
                </wp:positionH>
                <wp:positionV relativeFrom="paragraph">
                  <wp:posOffset>-2438400</wp:posOffset>
                </wp:positionV>
                <wp:extent cx="0" cy="5236845"/>
                <wp:effectExtent l="0" t="0" r="19050" b="1905"/>
                <wp:wrapNone/>
                <wp:docPr id="18317928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2368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97579C" id="Straight Connector 1" o:spid="_x0000_s1026" style="position:absolute;flip:y;z-index:25165875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626.15pt,-192pt" to="626.15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" strokecolor="#4579b8 [3044]">
                <o:lock v:ext="edit" shapetype="f"/>
              </v:line>
            </w:pict>
          </mc:Fallback>
        </mc:AlternateContent>
      </w:r>
      <w:r w:rsidR="00833F66" w:rsidRPr="000665B0">
        <w:t xml:space="preserve">TMPR Returns </w:t>
      </w:r>
      <w:r w:rsidR="00D417A2" w:rsidRPr="000665B0">
        <w:t>“Infeasible/Error Determining Op Area to use for the mission”</w:t>
      </w:r>
      <w:bookmarkEnd w:id="7494"/>
    </w:p>
    <w:p w14:paraId="761CD7F8" w14:textId="77777777" w:rsidR="00D417A2" w:rsidRPr="000665B0" w:rsidRDefault="00833F66" w:rsidP="00D417A2">
      <w:pPr>
        <w:spacing w:after="0"/>
        <w:rPr>
          <w:szCs w:val="24"/>
        </w:rPr>
      </w:pPr>
      <w:r w:rsidRPr="000665B0">
        <w:rPr>
          <w:szCs w:val="24"/>
        </w:rPr>
        <w:t xml:space="preserve">This symptom may occur when an operator </w:t>
      </w:r>
      <w:r w:rsidR="00F567E0" w:rsidRPr="000665B0">
        <w:rPr>
          <w:szCs w:val="24"/>
        </w:rPr>
        <w:t>attempts to auto-generate a mission from a TMPR using a full TPS</w:t>
      </w:r>
      <w:r w:rsidRPr="000665B0">
        <w:rPr>
          <w:szCs w:val="24"/>
        </w:rPr>
        <w:t xml:space="preserve">. The TMPR may fail </w:t>
      </w:r>
      <w:r w:rsidR="00F567E0" w:rsidRPr="000665B0">
        <w:rPr>
          <w:szCs w:val="24"/>
        </w:rPr>
        <w:t>because the TPS</w:t>
      </w:r>
      <w:r w:rsidR="00B02AE7" w:rsidRPr="000665B0">
        <w:rPr>
          <w:szCs w:val="24"/>
        </w:rPr>
        <w:t xml:space="preserve"> </w:t>
      </w:r>
      <w:r w:rsidR="00F567E0" w:rsidRPr="000665B0">
        <w:rPr>
          <w:szCs w:val="24"/>
        </w:rPr>
        <w:t>Management Server is not configured correctly for the Operational Area</w:t>
      </w:r>
      <w:r w:rsidR="00D417A2" w:rsidRPr="000665B0">
        <w:rPr>
          <w:szCs w:val="24"/>
        </w:rPr>
        <w:t xml:space="preserve"> (Op Area)</w:t>
      </w:r>
      <w:r w:rsidR="00F567E0" w:rsidRPr="000665B0">
        <w:rPr>
          <w:szCs w:val="24"/>
        </w:rPr>
        <w:t xml:space="preserve"> for the intended target. </w:t>
      </w:r>
      <w:r w:rsidR="00D417A2" w:rsidRPr="000665B0">
        <w:rPr>
          <w:szCs w:val="24"/>
        </w:rPr>
        <w:t xml:space="preserve">In this scenario, the TMPR’s </w:t>
      </w:r>
      <w:r w:rsidR="00D417A2" w:rsidRPr="000665B0">
        <w:rPr>
          <w:b/>
          <w:szCs w:val="24"/>
        </w:rPr>
        <w:t>State</w:t>
      </w:r>
      <w:r w:rsidR="00D417A2" w:rsidRPr="000665B0">
        <w:rPr>
          <w:szCs w:val="24"/>
        </w:rPr>
        <w:t xml:space="preserve"> Column displays </w:t>
      </w:r>
      <w:r w:rsidR="00D417A2" w:rsidRPr="000665B0">
        <w:rPr>
          <w:b/>
          <w:szCs w:val="24"/>
        </w:rPr>
        <w:t>Infeasible</w:t>
      </w:r>
      <w:r w:rsidR="00D417A2" w:rsidRPr="000665B0">
        <w:rPr>
          <w:szCs w:val="24"/>
        </w:rPr>
        <w:t xml:space="preserve"> with the following text in the </w:t>
      </w:r>
      <w:r w:rsidR="00D417A2" w:rsidRPr="000665B0">
        <w:rPr>
          <w:i/>
          <w:szCs w:val="24"/>
        </w:rPr>
        <w:t>TMPR</w:t>
      </w:r>
      <w:r w:rsidR="00D417A2" w:rsidRPr="000665B0">
        <w:rPr>
          <w:szCs w:val="24"/>
        </w:rPr>
        <w:t xml:space="preserve"> </w:t>
      </w:r>
      <w:r w:rsidR="00D417A2" w:rsidRPr="000665B0">
        <w:rPr>
          <w:i/>
          <w:szCs w:val="24"/>
        </w:rPr>
        <w:t>Status</w:t>
      </w:r>
      <w:r w:rsidR="00D417A2" w:rsidRPr="000665B0">
        <w:rPr>
          <w:szCs w:val="24"/>
        </w:rPr>
        <w:t xml:space="preserve"> tab:</w:t>
      </w:r>
    </w:p>
    <w:p w14:paraId="4B9630D7" w14:textId="77777777" w:rsidR="00D417A2" w:rsidRPr="000665B0" w:rsidRDefault="00D417A2" w:rsidP="00F54EED">
      <w:pPr>
        <w:spacing w:after="0"/>
        <w:ind w:left="720"/>
        <w:rPr>
          <w:b/>
          <w:szCs w:val="24"/>
        </w:rPr>
      </w:pPr>
      <w:r w:rsidRPr="000665B0">
        <w:rPr>
          <w:b/>
          <w:szCs w:val="24"/>
        </w:rPr>
        <w:t>Error Determining Op Area to use for the mission</w:t>
      </w:r>
    </w:p>
    <w:p w14:paraId="5BDC89BC" w14:textId="77777777" w:rsidR="00D417A2" w:rsidRPr="000665B0" w:rsidRDefault="00D417A2" w:rsidP="00F54EED">
      <w:pPr>
        <w:spacing w:after="0"/>
        <w:ind w:left="720"/>
        <w:rPr>
          <w:b/>
          <w:szCs w:val="24"/>
        </w:rPr>
      </w:pPr>
      <w:r w:rsidRPr="000665B0">
        <w:rPr>
          <w:b/>
          <w:szCs w:val="24"/>
        </w:rPr>
        <w:t>RECORD_NOT_FOUND</w:t>
      </w:r>
    </w:p>
    <w:p w14:paraId="369CE523" w14:textId="77777777" w:rsidR="00D417A2" w:rsidRPr="000665B0" w:rsidRDefault="00D417A2" w:rsidP="00F54EED">
      <w:pPr>
        <w:spacing w:after="0"/>
        <w:ind w:left="720"/>
        <w:rPr>
          <w:b/>
          <w:szCs w:val="24"/>
        </w:rPr>
      </w:pPr>
      <w:r w:rsidRPr="000665B0">
        <w:rPr>
          <w:b/>
          <w:szCs w:val="24"/>
        </w:rPr>
        <w:t>Unable to identify Op Area containing specified coordinates - Find_Op_Area</w:t>
      </w:r>
      <w:r w:rsidRPr="000665B0">
        <w:rPr>
          <w:szCs w:val="24"/>
        </w:rPr>
        <w:t>.</w:t>
      </w:r>
    </w:p>
    <w:p w14:paraId="3C0F4283" w14:textId="77777777" w:rsidR="00833F66" w:rsidRPr="000665B0" w:rsidRDefault="00833F66" w:rsidP="00D417A2">
      <w:pPr>
        <w:rPr>
          <w:szCs w:val="24"/>
        </w:rPr>
      </w:pPr>
      <w:r w:rsidRPr="000665B0">
        <w:rPr>
          <w:szCs w:val="24"/>
        </w:rPr>
        <w:t xml:space="preserve">Follow these steps to </w:t>
      </w:r>
      <w:r w:rsidR="00F567E0" w:rsidRPr="000665B0">
        <w:rPr>
          <w:szCs w:val="24"/>
        </w:rPr>
        <w:t xml:space="preserve">enable the </w:t>
      </w:r>
      <w:r w:rsidR="003B7C37" w:rsidRPr="000665B0">
        <w:rPr>
          <w:szCs w:val="24"/>
        </w:rPr>
        <w:t>Op Area</w:t>
      </w:r>
      <w:r w:rsidRPr="000665B0">
        <w:rPr>
          <w:szCs w:val="24"/>
        </w:rPr>
        <w:t xml:space="preserve"> </w:t>
      </w:r>
      <w:r w:rsidR="00F567E0" w:rsidRPr="000665B0">
        <w:rPr>
          <w:szCs w:val="24"/>
        </w:rPr>
        <w:t xml:space="preserve">settings </w:t>
      </w:r>
      <w:r w:rsidRPr="000665B0">
        <w:rPr>
          <w:szCs w:val="24"/>
        </w:rPr>
        <w:t>in the</w:t>
      </w:r>
      <w:r w:rsidR="00F567E0" w:rsidRPr="000665B0">
        <w:rPr>
          <w:szCs w:val="24"/>
        </w:rPr>
        <w:t xml:space="preserve"> TPS</w:t>
      </w:r>
      <w:r w:rsidR="00D417A2" w:rsidRPr="000665B0">
        <w:rPr>
          <w:szCs w:val="24"/>
        </w:rPr>
        <w:t>/</w:t>
      </w:r>
      <w:r w:rsidRPr="000665B0">
        <w:rPr>
          <w:szCs w:val="24"/>
        </w:rPr>
        <w:t>IA Job Manager.</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4349"/>
        <w:gridCol w:w="4381"/>
      </w:tblGrid>
      <w:tr w:rsidR="00833F66" w:rsidRPr="000665B0" w14:paraId="703A41A4" w14:textId="77777777" w:rsidTr="00F47262">
        <w:trPr>
          <w:cantSplit/>
          <w:tblHeader/>
        </w:trPr>
        <w:tc>
          <w:tcPr>
            <w:tcW w:w="946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776A6A" w14:textId="3DD4F842" w:rsidR="00833F66" w:rsidRPr="00F47262" w:rsidRDefault="00833F66" w:rsidP="00DF73CC">
            <w:pPr>
              <w:spacing w:before="60" w:after="60"/>
              <w:rPr>
                <w:rFonts w:ascii="Arial" w:hAnsi="Arial" w:cs="Arial"/>
                <w:b/>
                <w:szCs w:val="24"/>
              </w:rPr>
            </w:pPr>
            <w:r w:rsidRPr="00F47262">
              <w:rPr>
                <w:rFonts w:ascii="Arial" w:hAnsi="Arial" w:cs="Arial"/>
                <w:b/>
                <w:szCs w:val="24"/>
              </w:rPr>
              <w:t>L</w:t>
            </w:r>
            <w:r w:rsidR="00DF73CC" w:rsidRPr="00F47262">
              <w:rPr>
                <w:rFonts w:ascii="Arial" w:hAnsi="Arial" w:cs="Arial"/>
                <w:b/>
                <w:szCs w:val="24"/>
              </w:rPr>
              <w:t>.</w:t>
            </w:r>
            <w:r w:rsidRPr="00F47262">
              <w:rPr>
                <w:rFonts w:ascii="Arial" w:hAnsi="Arial" w:cs="Arial"/>
                <w:b/>
                <w:szCs w:val="24"/>
              </w:rPr>
              <w:t>4.3</w:t>
            </w:r>
            <w:r w:rsidR="009651B0" w:rsidRPr="00F47262">
              <w:rPr>
                <w:rFonts w:ascii="Arial" w:hAnsi="Arial" w:cs="Arial"/>
                <w:b/>
                <w:szCs w:val="24"/>
              </w:rPr>
              <w:t xml:space="preserve"> </w:t>
            </w:r>
            <w:r w:rsidRPr="00F47262">
              <w:rPr>
                <w:rFonts w:ascii="Arial" w:hAnsi="Arial" w:cs="Arial"/>
                <w:b/>
                <w:szCs w:val="24"/>
              </w:rPr>
              <w:t xml:space="preserve">TMPR Returns </w:t>
            </w:r>
            <w:r w:rsidR="00D417A2" w:rsidRPr="00F47262">
              <w:rPr>
                <w:rFonts w:ascii="Arial" w:hAnsi="Arial" w:cs="Arial"/>
                <w:b/>
                <w:szCs w:val="24"/>
              </w:rPr>
              <w:t>“Infeasible/Error Determining Op Area to use for the mission”</w:t>
            </w:r>
            <w:r w:rsidRPr="00F47262">
              <w:rPr>
                <w:rFonts w:ascii="Arial" w:hAnsi="Arial" w:cs="Arial"/>
                <w:b/>
              </w:rPr>
              <w:t xml:space="preserve"> </w:t>
            </w:r>
          </w:p>
        </w:tc>
      </w:tr>
      <w:tr w:rsidR="00833F66" w:rsidRPr="000665B0" w14:paraId="7EC8DC5F" w14:textId="77777777" w:rsidTr="00F47262">
        <w:trPr>
          <w:cantSplit/>
          <w:tblHeader/>
        </w:trPr>
        <w:tc>
          <w:tcPr>
            <w:tcW w:w="73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F52851" w14:textId="77777777" w:rsidR="00833F66" w:rsidRPr="00F47262" w:rsidRDefault="00833F66">
            <w:pPr>
              <w:spacing w:before="60" w:after="60"/>
              <w:rPr>
                <w:rFonts w:ascii="Arial" w:hAnsi="Arial" w:cs="Arial"/>
                <w:b/>
                <w:szCs w:val="24"/>
              </w:rPr>
            </w:pPr>
            <w:r w:rsidRPr="00F47262">
              <w:rPr>
                <w:rFonts w:ascii="Arial" w:hAnsi="Arial" w:cs="Arial"/>
                <w:b/>
                <w:szCs w:val="24"/>
              </w:rPr>
              <w:t>Step</w:t>
            </w:r>
          </w:p>
        </w:tc>
        <w:tc>
          <w:tcPr>
            <w:tcW w:w="434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186918" w14:textId="77777777" w:rsidR="00833F66" w:rsidRPr="00F47262" w:rsidRDefault="00833F66">
            <w:pPr>
              <w:spacing w:before="60" w:after="60"/>
              <w:rPr>
                <w:rFonts w:ascii="Arial" w:hAnsi="Arial" w:cs="Arial"/>
                <w:b/>
                <w:szCs w:val="24"/>
              </w:rPr>
            </w:pPr>
            <w:r w:rsidRPr="00F47262">
              <w:rPr>
                <w:rFonts w:ascii="Arial" w:hAnsi="Arial" w:cs="Arial"/>
                <w:b/>
                <w:szCs w:val="24"/>
              </w:rPr>
              <w:t>Procedure</w:t>
            </w:r>
          </w:p>
        </w:tc>
        <w:tc>
          <w:tcPr>
            <w:tcW w:w="43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848401" w14:textId="77777777" w:rsidR="00833F66" w:rsidRPr="00F47262" w:rsidRDefault="00833F66">
            <w:pPr>
              <w:spacing w:before="60" w:after="60"/>
              <w:rPr>
                <w:rFonts w:ascii="Arial" w:hAnsi="Arial" w:cs="Arial"/>
                <w:b/>
                <w:szCs w:val="24"/>
              </w:rPr>
            </w:pPr>
            <w:r w:rsidRPr="00F47262">
              <w:rPr>
                <w:rFonts w:ascii="Arial" w:hAnsi="Arial" w:cs="Arial"/>
                <w:b/>
                <w:szCs w:val="24"/>
              </w:rPr>
              <w:t>Comments</w:t>
            </w:r>
          </w:p>
        </w:tc>
      </w:tr>
      <w:tr w:rsidR="00A10A0C" w:rsidRPr="00A10A0C" w14:paraId="793B2478" w14:textId="77777777" w:rsidTr="00F47262">
        <w:trPr>
          <w:cantSplit/>
        </w:trPr>
        <w:tc>
          <w:tcPr>
            <w:tcW w:w="9468"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ABB29AF" w14:textId="77777777" w:rsidR="00833F66" w:rsidRPr="00A10A0C" w:rsidRDefault="00833F66" w:rsidP="00651324">
            <w:pPr>
              <w:spacing w:before="60" w:after="60"/>
              <w:rPr>
                <w:b/>
                <w:i/>
                <w:color w:val="000000" w:themeColor="text1"/>
                <w:sz w:val="20"/>
              </w:rPr>
            </w:pPr>
            <w:r w:rsidRPr="00A10A0C">
              <w:rPr>
                <w:b/>
                <w:i/>
                <w:color w:val="000000" w:themeColor="text1"/>
                <w:sz w:val="20"/>
              </w:rPr>
              <w:t>TPS Configuration and Setting: Ensure Operational Area is Enabled</w:t>
            </w:r>
          </w:p>
        </w:tc>
      </w:tr>
      <w:tr w:rsidR="00833F66" w:rsidRPr="000665B0" w14:paraId="30B00A2C"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6CF30035" w14:textId="77777777" w:rsidR="00833F66" w:rsidRPr="00F47262" w:rsidRDefault="00833F66" w:rsidP="006D5A65">
            <w:pPr>
              <w:pStyle w:val="Heading1"/>
            </w:pPr>
          </w:p>
        </w:tc>
        <w:tc>
          <w:tcPr>
            <w:tcW w:w="4349" w:type="dxa"/>
            <w:tcBorders>
              <w:top w:val="single" w:sz="4" w:space="0" w:color="auto"/>
              <w:left w:val="single" w:sz="4" w:space="0" w:color="auto"/>
              <w:bottom w:val="single" w:sz="4" w:space="0" w:color="auto"/>
              <w:right w:val="single" w:sz="4" w:space="0" w:color="auto"/>
            </w:tcBorders>
            <w:hideMark/>
          </w:tcPr>
          <w:p w14:paraId="415BF1C2" w14:textId="77777777" w:rsidR="00833F66" w:rsidRPr="00F47262" w:rsidRDefault="00833F66" w:rsidP="00B02AE7">
            <w:pPr>
              <w:spacing w:before="60" w:after="60"/>
              <w:rPr>
                <w:sz w:val="20"/>
              </w:rPr>
            </w:pPr>
            <w:r w:rsidRPr="00F47262">
              <w:rPr>
                <w:sz w:val="20"/>
              </w:rPr>
              <w:t xml:space="preserve">In the CMSA domain, remotely login to the </w:t>
            </w:r>
            <w:r w:rsidR="00F567E0" w:rsidRPr="00F47262">
              <w:rPr>
                <w:sz w:val="20"/>
              </w:rPr>
              <w:t>TPS</w:t>
            </w:r>
            <w:r w:rsidR="00B02AE7" w:rsidRPr="00F47262">
              <w:rPr>
                <w:sz w:val="20"/>
              </w:rPr>
              <w:t xml:space="preserve"> </w:t>
            </w:r>
            <w:r w:rsidRPr="00F47262">
              <w:rPr>
                <w:sz w:val="20"/>
              </w:rPr>
              <w:t xml:space="preserve">Management Server </w:t>
            </w:r>
            <w:r w:rsidR="00F567E0" w:rsidRPr="00F47262">
              <w:rPr>
                <w:sz w:val="20"/>
              </w:rPr>
              <w:t>using</w:t>
            </w:r>
            <w:r w:rsidRPr="00F47262">
              <w:rPr>
                <w:sz w:val="20"/>
              </w:rPr>
              <w:t xml:space="preserve"> </w:t>
            </w:r>
            <w:r w:rsidR="00F567E0" w:rsidRPr="00F47262">
              <w:rPr>
                <w:sz w:val="20"/>
              </w:rPr>
              <w:t xml:space="preserve">the </w:t>
            </w:r>
            <w:r w:rsidR="00B02AE7" w:rsidRPr="00F47262">
              <w:rPr>
                <w:sz w:val="20"/>
              </w:rPr>
              <w:t>tpsa</w:t>
            </w:r>
            <w:r w:rsidR="00F567E0" w:rsidRPr="00F47262">
              <w:rPr>
                <w:sz w:val="20"/>
              </w:rPr>
              <w:t>dm</w:t>
            </w:r>
            <w:r w:rsidRPr="00F47262">
              <w:rPr>
                <w:sz w:val="20"/>
              </w:rPr>
              <w:t xml:space="preserve"> account</w:t>
            </w:r>
            <w:r w:rsidR="00F567E0" w:rsidRPr="00F47262">
              <w:rPr>
                <w:sz w:val="20"/>
              </w:rPr>
              <w:t>.</w:t>
            </w:r>
          </w:p>
        </w:tc>
        <w:tc>
          <w:tcPr>
            <w:tcW w:w="4381" w:type="dxa"/>
            <w:tcBorders>
              <w:top w:val="single" w:sz="4" w:space="0" w:color="auto"/>
              <w:left w:val="single" w:sz="4" w:space="0" w:color="auto"/>
              <w:bottom w:val="single" w:sz="4" w:space="0" w:color="auto"/>
              <w:right w:val="single" w:sz="4" w:space="0" w:color="auto"/>
            </w:tcBorders>
          </w:tcPr>
          <w:p w14:paraId="7F5666BB" w14:textId="77777777" w:rsidR="00833F66" w:rsidRPr="00F47262" w:rsidRDefault="00833F66">
            <w:pPr>
              <w:spacing w:before="60" w:after="60"/>
              <w:rPr>
                <w:sz w:val="20"/>
              </w:rPr>
            </w:pPr>
          </w:p>
        </w:tc>
      </w:tr>
      <w:tr w:rsidR="00833F66" w:rsidRPr="000665B0" w14:paraId="2B1D506B"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6C8305BC" w14:textId="77777777" w:rsidR="00833F66" w:rsidRPr="00F47262" w:rsidRDefault="00833F66" w:rsidP="006D5A65">
            <w:pPr>
              <w:pStyle w:val="Heading1"/>
            </w:pPr>
          </w:p>
        </w:tc>
        <w:tc>
          <w:tcPr>
            <w:tcW w:w="4349" w:type="dxa"/>
            <w:tcBorders>
              <w:top w:val="single" w:sz="4" w:space="0" w:color="auto"/>
              <w:left w:val="single" w:sz="4" w:space="0" w:color="auto"/>
              <w:bottom w:val="single" w:sz="4" w:space="0" w:color="auto"/>
              <w:right w:val="single" w:sz="4" w:space="0" w:color="auto"/>
            </w:tcBorders>
            <w:hideMark/>
          </w:tcPr>
          <w:p w14:paraId="797FEFA2" w14:textId="37311259" w:rsidR="00833F66" w:rsidRPr="00F47262" w:rsidRDefault="00D63DBA" w:rsidP="0019429A">
            <w:pPr>
              <w:spacing w:before="60" w:after="60"/>
              <w:rPr>
                <w:sz w:val="20"/>
              </w:rPr>
            </w:pPr>
            <w:r w:rsidRPr="00F47262">
              <w:rPr>
                <w:sz w:val="20"/>
              </w:rPr>
              <w:t xml:space="preserve">Right-click the </w:t>
            </w:r>
            <w:r w:rsidRPr="00F47262">
              <w:rPr>
                <w:noProof/>
                <w:sz w:val="20"/>
              </w:rPr>
              <w:drawing>
                <wp:inline distT="0" distB="0" distL="0" distR="0" wp14:anchorId="429F053F" wp14:editId="69990CAA">
                  <wp:extent cx="182880" cy="178068"/>
                  <wp:effectExtent l="0" t="0" r="7620" b="0"/>
                  <wp:docPr id="1345" name="Picture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w:t>
            </w:r>
            <w:r w:rsidR="002925E8" w:rsidRPr="00F47262">
              <w:rPr>
                <w:sz w:val="20"/>
              </w:rPr>
              <w:t>icon and select S</w:t>
            </w:r>
            <w:r w:rsidR="002925E8" w:rsidRPr="00F47262">
              <w:rPr>
                <w:b/>
                <w:sz w:val="20"/>
              </w:rPr>
              <w:t>earch</w:t>
            </w:r>
            <w:r w:rsidR="002925E8" w:rsidRPr="00F47262">
              <w:rPr>
                <w:sz w:val="20"/>
              </w:rPr>
              <w:t xml:space="preserve"> from the pop-up menu. Type </w:t>
            </w:r>
            <w:r w:rsidR="002925E8" w:rsidRPr="00F47262">
              <w:rPr>
                <w:b/>
                <w:sz w:val="20"/>
              </w:rPr>
              <w:t>IA Job Manager</w:t>
            </w:r>
            <w:r w:rsidR="002925E8" w:rsidRPr="00F47262">
              <w:rPr>
                <w:sz w:val="20"/>
              </w:rPr>
              <w:t xml:space="preserve"> in the </w:t>
            </w:r>
            <w:r w:rsidR="002925E8" w:rsidRPr="00F47262">
              <w:rPr>
                <w:b/>
                <w:sz w:val="20"/>
              </w:rPr>
              <w:t>Search</w:t>
            </w:r>
            <w:r w:rsidR="002925E8" w:rsidRPr="00F47262">
              <w:rPr>
                <w:sz w:val="20"/>
              </w:rPr>
              <w:t xml:space="preserve"> field, and then </w:t>
            </w:r>
            <w:r w:rsidR="00D71804" w:rsidRPr="00F47262">
              <w:rPr>
                <w:sz w:val="20"/>
              </w:rPr>
              <w:t>right-click</w:t>
            </w:r>
            <w:r w:rsidR="002925E8" w:rsidRPr="00F47262">
              <w:rPr>
                <w:sz w:val="20"/>
              </w:rPr>
              <w:t xml:space="preserve"> </w:t>
            </w:r>
            <w:r w:rsidR="002925E8" w:rsidRPr="00F47262">
              <w:rPr>
                <w:b/>
                <w:sz w:val="20"/>
              </w:rPr>
              <w:t>IA Job Manager</w:t>
            </w:r>
            <w:r w:rsidR="002925E8" w:rsidRPr="00F47262">
              <w:rPr>
                <w:sz w:val="20"/>
              </w:rPr>
              <w:t xml:space="preserve"> in the results list and select </w:t>
            </w:r>
            <w:r w:rsidR="002925E8" w:rsidRPr="00F47262">
              <w:rPr>
                <w:b/>
                <w:sz w:val="20"/>
              </w:rPr>
              <w:t>Run as Administrator</w:t>
            </w:r>
            <w:r w:rsidR="00F567E0" w:rsidRPr="00F47262">
              <w:rPr>
                <w:sz w:val="20"/>
              </w:rPr>
              <w:t>.</w:t>
            </w:r>
          </w:p>
        </w:tc>
        <w:tc>
          <w:tcPr>
            <w:tcW w:w="4381" w:type="dxa"/>
            <w:tcBorders>
              <w:top w:val="single" w:sz="4" w:space="0" w:color="auto"/>
              <w:left w:val="single" w:sz="4" w:space="0" w:color="auto"/>
              <w:bottom w:val="single" w:sz="4" w:space="0" w:color="auto"/>
              <w:right w:val="single" w:sz="4" w:space="0" w:color="auto"/>
            </w:tcBorders>
          </w:tcPr>
          <w:p w14:paraId="3C19213F" w14:textId="77777777" w:rsidR="00833F66" w:rsidRPr="00F47262" w:rsidRDefault="00833F66">
            <w:pPr>
              <w:spacing w:before="60" w:after="60"/>
              <w:rPr>
                <w:sz w:val="20"/>
              </w:rPr>
            </w:pPr>
          </w:p>
        </w:tc>
      </w:tr>
      <w:tr w:rsidR="00C52A53" w:rsidRPr="000665B0" w14:paraId="60394A5A"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1EA2ED3E" w14:textId="77777777" w:rsidR="00C52A53" w:rsidRPr="00F47262" w:rsidRDefault="00C52A53" w:rsidP="006D5A65">
            <w:pPr>
              <w:pStyle w:val="Heading1"/>
            </w:pPr>
          </w:p>
        </w:tc>
        <w:tc>
          <w:tcPr>
            <w:tcW w:w="4349" w:type="dxa"/>
            <w:tcBorders>
              <w:top w:val="single" w:sz="4" w:space="0" w:color="auto"/>
              <w:left w:val="single" w:sz="4" w:space="0" w:color="auto"/>
              <w:bottom w:val="single" w:sz="4" w:space="0" w:color="auto"/>
              <w:right w:val="single" w:sz="4" w:space="0" w:color="auto"/>
            </w:tcBorders>
          </w:tcPr>
          <w:p w14:paraId="6B742B3A" w14:textId="77777777" w:rsidR="00C52A53" w:rsidRPr="00F47262" w:rsidRDefault="00C52A53">
            <w:pPr>
              <w:spacing w:before="60" w:after="60"/>
              <w:rPr>
                <w:sz w:val="20"/>
              </w:rPr>
            </w:pPr>
            <w:r w:rsidRPr="00F47262">
              <w:rPr>
                <w:sz w:val="20"/>
              </w:rPr>
              <w:t xml:space="preserve">Enter credentials in the </w:t>
            </w:r>
            <w:r w:rsidRPr="00F47262">
              <w:rPr>
                <w:i/>
                <w:sz w:val="20"/>
              </w:rPr>
              <w:t>User Account Control</w:t>
            </w:r>
            <w:r w:rsidRPr="00F47262">
              <w:rPr>
                <w:sz w:val="20"/>
              </w:rPr>
              <w:t xml:space="preserve"> window.</w:t>
            </w:r>
          </w:p>
        </w:tc>
        <w:tc>
          <w:tcPr>
            <w:tcW w:w="4381" w:type="dxa"/>
            <w:tcBorders>
              <w:top w:val="single" w:sz="4" w:space="0" w:color="auto"/>
              <w:left w:val="single" w:sz="4" w:space="0" w:color="auto"/>
              <w:bottom w:val="single" w:sz="4" w:space="0" w:color="auto"/>
              <w:right w:val="single" w:sz="4" w:space="0" w:color="auto"/>
            </w:tcBorders>
          </w:tcPr>
          <w:p w14:paraId="62AB49C1" w14:textId="77777777" w:rsidR="00C52A53" w:rsidRPr="00F47262" w:rsidRDefault="00C52A53">
            <w:pPr>
              <w:spacing w:before="60" w:after="60"/>
              <w:rPr>
                <w:sz w:val="20"/>
              </w:rPr>
            </w:pPr>
          </w:p>
        </w:tc>
      </w:tr>
      <w:tr w:rsidR="00833F66" w:rsidRPr="000665B0" w14:paraId="3FBBF0F3"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10E6455A" w14:textId="77777777" w:rsidR="00833F66" w:rsidRPr="00F47262" w:rsidRDefault="00833F66" w:rsidP="006D5A65">
            <w:pPr>
              <w:pStyle w:val="Heading1"/>
            </w:pPr>
          </w:p>
        </w:tc>
        <w:tc>
          <w:tcPr>
            <w:tcW w:w="4349" w:type="dxa"/>
            <w:tcBorders>
              <w:top w:val="single" w:sz="4" w:space="0" w:color="auto"/>
              <w:left w:val="single" w:sz="4" w:space="0" w:color="auto"/>
              <w:bottom w:val="single" w:sz="4" w:space="0" w:color="auto"/>
              <w:right w:val="single" w:sz="4" w:space="0" w:color="auto"/>
            </w:tcBorders>
            <w:hideMark/>
          </w:tcPr>
          <w:p w14:paraId="6CFF3B53" w14:textId="37DE6A5C" w:rsidR="00833F66" w:rsidRPr="00F47262" w:rsidRDefault="00C52A53" w:rsidP="002F054D">
            <w:pPr>
              <w:spacing w:before="60" w:after="60"/>
              <w:rPr>
                <w:sz w:val="20"/>
              </w:rPr>
            </w:pPr>
            <w:r w:rsidRPr="00F47262">
              <w:rPr>
                <w:sz w:val="20"/>
              </w:rPr>
              <w:t xml:space="preserve">In the </w:t>
            </w:r>
            <w:r w:rsidRPr="00F47262">
              <w:rPr>
                <w:i/>
                <w:sz w:val="20"/>
              </w:rPr>
              <w:t xml:space="preserve">TPS </w:t>
            </w:r>
            <w:r w:rsidR="002F054D" w:rsidRPr="00F47262">
              <w:rPr>
                <w:i/>
                <w:sz w:val="20"/>
              </w:rPr>
              <w:t>6</w:t>
            </w:r>
            <w:r w:rsidRPr="00F47262">
              <w:rPr>
                <w:i/>
                <w:sz w:val="20"/>
              </w:rPr>
              <w:t>.0.</w:t>
            </w:r>
            <w:r w:rsidR="002F054D" w:rsidRPr="00F47262">
              <w:rPr>
                <w:i/>
                <w:sz w:val="20"/>
              </w:rPr>
              <w:t xml:space="preserve">0 </w:t>
            </w:r>
            <w:r w:rsidRPr="00F47262">
              <w:rPr>
                <w:i/>
                <w:sz w:val="20"/>
              </w:rPr>
              <w:t>Job Selection</w:t>
            </w:r>
            <w:r w:rsidRPr="00F47262">
              <w:rPr>
                <w:sz w:val="20"/>
              </w:rPr>
              <w:t xml:space="preserve"> window, select</w:t>
            </w:r>
            <w:r w:rsidR="00833F66" w:rsidRPr="00F47262">
              <w:rPr>
                <w:sz w:val="20"/>
              </w:rPr>
              <w:t xml:space="preserve"> </w:t>
            </w:r>
            <w:r w:rsidR="00833F66" w:rsidRPr="00F47262">
              <w:rPr>
                <w:b/>
                <w:sz w:val="20"/>
              </w:rPr>
              <w:t xml:space="preserve">Ad Hoc Job </w:t>
            </w:r>
            <w:r w:rsidR="00833F66" w:rsidRPr="00F47262">
              <w:rPr>
                <w:b/>
                <w:sz w:val="20"/>
              </w:rPr>
              <w:sym w:font="Wingdings" w:char="F0E0"/>
            </w:r>
            <w:r w:rsidR="00833F66" w:rsidRPr="00F47262">
              <w:rPr>
                <w:b/>
                <w:sz w:val="20"/>
              </w:rPr>
              <w:t xml:space="preserve"> Interactive Database Administrati</w:t>
            </w:r>
            <w:r w:rsidRPr="00F47262">
              <w:rPr>
                <w:b/>
                <w:sz w:val="20"/>
              </w:rPr>
              <w:t>on</w:t>
            </w:r>
            <w:r w:rsidR="00833F66" w:rsidRPr="00F47262">
              <w:rPr>
                <w:sz w:val="20"/>
              </w:rPr>
              <w:t>.</w:t>
            </w:r>
          </w:p>
        </w:tc>
        <w:tc>
          <w:tcPr>
            <w:tcW w:w="4381" w:type="dxa"/>
            <w:tcBorders>
              <w:top w:val="single" w:sz="4" w:space="0" w:color="auto"/>
              <w:left w:val="single" w:sz="4" w:space="0" w:color="auto"/>
              <w:bottom w:val="single" w:sz="4" w:space="0" w:color="auto"/>
              <w:right w:val="single" w:sz="4" w:space="0" w:color="auto"/>
            </w:tcBorders>
          </w:tcPr>
          <w:p w14:paraId="1693D0BF" w14:textId="12374DD4" w:rsidR="00833F66" w:rsidRPr="00F47262" w:rsidRDefault="00833F66" w:rsidP="001E2CB6">
            <w:pPr>
              <w:spacing w:before="60" w:after="60"/>
              <w:rPr>
                <w:sz w:val="20"/>
              </w:rPr>
            </w:pPr>
          </w:p>
        </w:tc>
      </w:tr>
      <w:tr w:rsidR="00833F66" w:rsidRPr="000665B0" w14:paraId="213D997F"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281771A5" w14:textId="77777777" w:rsidR="00833F66" w:rsidRPr="00F47262" w:rsidRDefault="00833F66" w:rsidP="006D5A65">
            <w:pPr>
              <w:pStyle w:val="Heading1"/>
            </w:pPr>
          </w:p>
        </w:tc>
        <w:tc>
          <w:tcPr>
            <w:tcW w:w="4349" w:type="dxa"/>
            <w:tcBorders>
              <w:top w:val="single" w:sz="4" w:space="0" w:color="auto"/>
              <w:left w:val="single" w:sz="4" w:space="0" w:color="auto"/>
              <w:bottom w:val="single" w:sz="4" w:space="0" w:color="auto"/>
              <w:right w:val="single" w:sz="4" w:space="0" w:color="auto"/>
            </w:tcBorders>
            <w:hideMark/>
          </w:tcPr>
          <w:p w14:paraId="266F98D7" w14:textId="77777777" w:rsidR="00833F66" w:rsidRPr="00F47262" w:rsidRDefault="00833F66">
            <w:pPr>
              <w:spacing w:before="60" w:after="60"/>
              <w:rPr>
                <w:sz w:val="20"/>
              </w:rPr>
            </w:pPr>
            <w:r w:rsidRPr="00F47262">
              <w:rPr>
                <w:sz w:val="20"/>
              </w:rPr>
              <w:t xml:space="preserve">In the </w:t>
            </w:r>
            <w:r w:rsidRPr="00F47262">
              <w:rPr>
                <w:i/>
                <w:sz w:val="20"/>
              </w:rPr>
              <w:t>IDBA Operation</w:t>
            </w:r>
            <w:r w:rsidRPr="00F47262">
              <w:rPr>
                <w:sz w:val="20"/>
              </w:rPr>
              <w:t xml:space="preserve"> window, select </w:t>
            </w:r>
            <w:r w:rsidRPr="00F47262">
              <w:rPr>
                <w:b/>
                <w:sz w:val="20"/>
              </w:rPr>
              <w:t xml:space="preserve">Data Type </w:t>
            </w:r>
            <w:r w:rsidRPr="00F47262">
              <w:rPr>
                <w:b/>
                <w:sz w:val="20"/>
              </w:rPr>
              <w:sym w:font="Wingdings" w:char="F0E0"/>
            </w:r>
            <w:r w:rsidRPr="00F47262">
              <w:rPr>
                <w:b/>
                <w:sz w:val="20"/>
              </w:rPr>
              <w:t xml:space="preserve"> Op Area</w:t>
            </w:r>
            <w:r w:rsidRPr="00F47262">
              <w:rPr>
                <w:sz w:val="20"/>
              </w:rPr>
              <w:t>.</w:t>
            </w:r>
          </w:p>
        </w:tc>
        <w:tc>
          <w:tcPr>
            <w:tcW w:w="4381" w:type="dxa"/>
            <w:tcBorders>
              <w:top w:val="single" w:sz="4" w:space="0" w:color="auto"/>
              <w:left w:val="single" w:sz="4" w:space="0" w:color="auto"/>
              <w:bottom w:val="single" w:sz="4" w:space="0" w:color="auto"/>
              <w:right w:val="single" w:sz="4" w:space="0" w:color="auto"/>
            </w:tcBorders>
          </w:tcPr>
          <w:p w14:paraId="2247380A" w14:textId="77777777" w:rsidR="00833F66" w:rsidRPr="00F47262" w:rsidRDefault="00833F66">
            <w:pPr>
              <w:spacing w:before="60" w:after="60"/>
              <w:rPr>
                <w:sz w:val="20"/>
              </w:rPr>
            </w:pPr>
          </w:p>
        </w:tc>
      </w:tr>
      <w:tr w:rsidR="00833F66" w:rsidRPr="000665B0" w14:paraId="10ACAB68"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53366A03" w14:textId="77777777" w:rsidR="00833F66" w:rsidRPr="00F47262" w:rsidRDefault="00833F66" w:rsidP="006D5A65">
            <w:pPr>
              <w:pStyle w:val="Heading1"/>
            </w:pPr>
          </w:p>
        </w:tc>
        <w:tc>
          <w:tcPr>
            <w:tcW w:w="4349" w:type="dxa"/>
            <w:tcBorders>
              <w:top w:val="single" w:sz="4" w:space="0" w:color="auto"/>
              <w:left w:val="single" w:sz="4" w:space="0" w:color="auto"/>
              <w:bottom w:val="single" w:sz="4" w:space="0" w:color="auto"/>
              <w:right w:val="single" w:sz="4" w:space="0" w:color="auto"/>
            </w:tcBorders>
            <w:hideMark/>
          </w:tcPr>
          <w:p w14:paraId="698DDCDD" w14:textId="77777777" w:rsidR="00833F66" w:rsidRPr="00F47262" w:rsidRDefault="00833F66" w:rsidP="00C52A53">
            <w:pPr>
              <w:spacing w:before="60" w:after="60"/>
              <w:rPr>
                <w:sz w:val="20"/>
              </w:rPr>
            </w:pPr>
            <w:r w:rsidRPr="00F47262">
              <w:rPr>
                <w:sz w:val="20"/>
              </w:rPr>
              <w:t xml:space="preserve">In the </w:t>
            </w:r>
            <w:r w:rsidRPr="00F47262">
              <w:rPr>
                <w:i/>
                <w:sz w:val="20"/>
              </w:rPr>
              <w:t>Op Area Name IDBA</w:t>
            </w:r>
            <w:r w:rsidRPr="00F47262">
              <w:rPr>
                <w:sz w:val="20"/>
              </w:rPr>
              <w:t xml:space="preserve"> window</w:t>
            </w:r>
            <w:r w:rsidR="00C52A53" w:rsidRPr="00F47262">
              <w:rPr>
                <w:sz w:val="20"/>
              </w:rPr>
              <w:t xml:space="preserve"> at the </w:t>
            </w:r>
            <w:r w:rsidR="00C52A53" w:rsidRPr="00F47262">
              <w:rPr>
                <w:b/>
                <w:sz w:val="20"/>
              </w:rPr>
              <w:t>Op Area Name</w:t>
            </w:r>
            <w:r w:rsidR="00C52A53" w:rsidRPr="00F47262">
              <w:rPr>
                <w:sz w:val="20"/>
              </w:rPr>
              <w:t xml:space="preserve"> selection</w:t>
            </w:r>
            <w:r w:rsidRPr="00F47262">
              <w:rPr>
                <w:sz w:val="20"/>
              </w:rPr>
              <w:t xml:space="preserve">, </w:t>
            </w:r>
            <w:r w:rsidR="00C52A53" w:rsidRPr="00F47262">
              <w:rPr>
                <w:sz w:val="20"/>
              </w:rPr>
              <w:t>click</w:t>
            </w:r>
            <w:r w:rsidRPr="00F47262">
              <w:rPr>
                <w:sz w:val="20"/>
              </w:rPr>
              <w:t xml:space="preserve"> </w:t>
            </w:r>
            <w:r w:rsidR="00C52A53" w:rsidRPr="00F47262">
              <w:rPr>
                <w:b/>
                <w:sz w:val="20"/>
              </w:rPr>
              <w:t>…</w:t>
            </w:r>
            <w:r w:rsidRPr="00F47262">
              <w:rPr>
                <w:sz w:val="20"/>
              </w:rPr>
              <w:t>.</w:t>
            </w:r>
          </w:p>
        </w:tc>
        <w:tc>
          <w:tcPr>
            <w:tcW w:w="4381" w:type="dxa"/>
            <w:tcBorders>
              <w:top w:val="single" w:sz="4" w:space="0" w:color="auto"/>
              <w:left w:val="single" w:sz="4" w:space="0" w:color="auto"/>
              <w:bottom w:val="single" w:sz="4" w:space="0" w:color="auto"/>
              <w:right w:val="single" w:sz="4" w:space="0" w:color="auto"/>
            </w:tcBorders>
          </w:tcPr>
          <w:p w14:paraId="025EFA15" w14:textId="77777777" w:rsidR="00833F66" w:rsidRPr="00F47262" w:rsidRDefault="00833F66">
            <w:pPr>
              <w:spacing w:before="60" w:after="60"/>
              <w:rPr>
                <w:sz w:val="20"/>
              </w:rPr>
            </w:pPr>
          </w:p>
        </w:tc>
      </w:tr>
      <w:tr w:rsidR="00833F66" w:rsidRPr="000665B0" w14:paraId="5E52CF6B"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4B387BF7" w14:textId="77777777" w:rsidR="00833F66" w:rsidRPr="00F47262" w:rsidRDefault="00833F66" w:rsidP="006D5A65">
            <w:pPr>
              <w:pStyle w:val="Heading1"/>
            </w:pPr>
          </w:p>
        </w:tc>
        <w:tc>
          <w:tcPr>
            <w:tcW w:w="4349" w:type="dxa"/>
            <w:tcBorders>
              <w:top w:val="single" w:sz="4" w:space="0" w:color="auto"/>
              <w:left w:val="single" w:sz="4" w:space="0" w:color="auto"/>
              <w:bottom w:val="single" w:sz="4" w:space="0" w:color="auto"/>
              <w:right w:val="single" w:sz="4" w:space="0" w:color="auto"/>
            </w:tcBorders>
            <w:hideMark/>
          </w:tcPr>
          <w:p w14:paraId="50F892A3" w14:textId="77777777" w:rsidR="00833F66" w:rsidRPr="00F47262" w:rsidRDefault="00833F66">
            <w:pPr>
              <w:spacing w:before="60" w:after="60"/>
              <w:rPr>
                <w:sz w:val="20"/>
              </w:rPr>
            </w:pPr>
            <w:r w:rsidRPr="00F47262">
              <w:rPr>
                <w:sz w:val="20"/>
              </w:rPr>
              <w:t xml:space="preserve">In the </w:t>
            </w:r>
            <w:r w:rsidRPr="00F47262">
              <w:rPr>
                <w:i/>
                <w:sz w:val="20"/>
              </w:rPr>
              <w:t>Op Area Name Selection</w:t>
            </w:r>
            <w:r w:rsidRPr="00F47262">
              <w:rPr>
                <w:sz w:val="20"/>
              </w:rPr>
              <w:t xml:space="preserve"> window:</w:t>
            </w:r>
          </w:p>
          <w:p w14:paraId="6B1E643C" w14:textId="77777777" w:rsidR="00833F66" w:rsidRPr="00F47262" w:rsidRDefault="00833F66" w:rsidP="006D5A65">
            <w:pPr>
              <w:pStyle w:val="Heading1"/>
            </w:pPr>
            <w:r w:rsidRPr="00F47262">
              <w:t xml:space="preserve">Select </w:t>
            </w:r>
            <w:r w:rsidR="00C52A53" w:rsidRPr="00F47262">
              <w:t>the appropriate</w:t>
            </w:r>
            <w:r w:rsidRPr="00F47262">
              <w:t xml:space="preserve"> Op Area name</w:t>
            </w:r>
            <w:r w:rsidR="00C52A53" w:rsidRPr="00F47262">
              <w:t xml:space="preserve"> for the intended target</w:t>
            </w:r>
            <w:r w:rsidRPr="00F47262">
              <w:t>.</w:t>
            </w:r>
          </w:p>
          <w:p w14:paraId="07F836A7" w14:textId="77777777" w:rsidR="00833F66" w:rsidRPr="00F47262" w:rsidRDefault="00833F66" w:rsidP="006D5A65">
            <w:pPr>
              <w:pStyle w:val="Heading1"/>
            </w:pPr>
            <w:r w:rsidRPr="00F47262">
              <w:t>Click OK</w:t>
            </w:r>
            <w:r w:rsidR="00D417A2" w:rsidRPr="00F47262">
              <w:t>.</w:t>
            </w:r>
            <w:r w:rsidRPr="00F47262">
              <w:t xml:space="preserve"> </w:t>
            </w:r>
          </w:p>
          <w:p w14:paraId="58556B06" w14:textId="77777777" w:rsidR="00833F66" w:rsidRPr="00F47262" w:rsidRDefault="00833F66" w:rsidP="006D5A65">
            <w:pPr>
              <w:pStyle w:val="Heading1"/>
            </w:pPr>
            <w:r w:rsidRPr="00F47262">
              <w:t>Click the Op Area Enabled checkbox.</w:t>
            </w:r>
          </w:p>
          <w:p w14:paraId="5FF7B486" w14:textId="77777777" w:rsidR="00833F66" w:rsidRPr="00F47262" w:rsidRDefault="00833F66" w:rsidP="006D5A65">
            <w:pPr>
              <w:pStyle w:val="Heading1"/>
            </w:pPr>
            <w:r w:rsidRPr="00F47262">
              <w:t>Click Apply.</w:t>
            </w:r>
          </w:p>
        </w:tc>
        <w:tc>
          <w:tcPr>
            <w:tcW w:w="4381" w:type="dxa"/>
            <w:tcBorders>
              <w:top w:val="single" w:sz="4" w:space="0" w:color="auto"/>
              <w:left w:val="single" w:sz="4" w:space="0" w:color="auto"/>
              <w:bottom w:val="single" w:sz="4" w:space="0" w:color="auto"/>
              <w:right w:val="single" w:sz="4" w:space="0" w:color="auto"/>
            </w:tcBorders>
            <w:hideMark/>
          </w:tcPr>
          <w:p w14:paraId="3CD54F5F" w14:textId="77777777" w:rsidR="00833F66" w:rsidRPr="00F47262" w:rsidRDefault="00833F66">
            <w:pPr>
              <w:spacing w:before="60" w:after="60"/>
              <w:rPr>
                <w:sz w:val="20"/>
              </w:rPr>
            </w:pPr>
          </w:p>
        </w:tc>
      </w:tr>
      <w:tr w:rsidR="00833F66" w:rsidRPr="000665B0" w14:paraId="52120C10"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29EC28E5" w14:textId="77777777" w:rsidR="00833F66" w:rsidRPr="00F47262" w:rsidRDefault="00833F66" w:rsidP="006D5A65">
            <w:pPr>
              <w:pStyle w:val="Heading1"/>
            </w:pPr>
          </w:p>
        </w:tc>
        <w:tc>
          <w:tcPr>
            <w:tcW w:w="4349" w:type="dxa"/>
            <w:tcBorders>
              <w:top w:val="single" w:sz="4" w:space="0" w:color="auto"/>
              <w:left w:val="single" w:sz="4" w:space="0" w:color="auto"/>
              <w:bottom w:val="single" w:sz="4" w:space="0" w:color="auto"/>
              <w:right w:val="single" w:sz="4" w:space="0" w:color="auto"/>
            </w:tcBorders>
            <w:hideMark/>
          </w:tcPr>
          <w:p w14:paraId="63E997AE" w14:textId="77777777" w:rsidR="00833F66" w:rsidRPr="00F47262" w:rsidRDefault="00C52A53" w:rsidP="00F54EED">
            <w:pPr>
              <w:spacing w:before="60" w:after="60"/>
              <w:rPr>
                <w:sz w:val="20"/>
              </w:rPr>
            </w:pPr>
            <w:r w:rsidRPr="00F47262">
              <w:rPr>
                <w:sz w:val="20"/>
              </w:rPr>
              <w:t>For each Op Area to be enabled, r</w:t>
            </w:r>
            <w:r w:rsidR="00833F66" w:rsidRPr="00F47262">
              <w:rPr>
                <w:sz w:val="20"/>
              </w:rPr>
              <w:t xml:space="preserve">epeat Step </w:t>
            </w:r>
            <w:r w:rsidR="00F54EED" w:rsidRPr="00F47262">
              <w:rPr>
                <w:sz w:val="20"/>
              </w:rPr>
              <w:t>7</w:t>
            </w:r>
            <w:r w:rsidR="00833F66" w:rsidRPr="00F47262">
              <w:rPr>
                <w:sz w:val="20"/>
              </w:rPr>
              <w:t>.</w:t>
            </w:r>
            <w:r w:rsidRPr="00F47262">
              <w:rPr>
                <w:sz w:val="20"/>
              </w:rPr>
              <w:t xml:space="preserve"> When finished, click </w:t>
            </w:r>
            <w:r w:rsidRPr="00F47262">
              <w:rPr>
                <w:b/>
                <w:sz w:val="20"/>
              </w:rPr>
              <w:t>OK</w:t>
            </w:r>
            <w:r w:rsidRPr="00F47262">
              <w:rPr>
                <w:sz w:val="20"/>
              </w:rPr>
              <w:t>.</w:t>
            </w:r>
          </w:p>
        </w:tc>
        <w:tc>
          <w:tcPr>
            <w:tcW w:w="4381" w:type="dxa"/>
            <w:tcBorders>
              <w:top w:val="single" w:sz="4" w:space="0" w:color="auto"/>
              <w:left w:val="single" w:sz="4" w:space="0" w:color="auto"/>
              <w:bottom w:val="single" w:sz="4" w:space="0" w:color="auto"/>
              <w:right w:val="single" w:sz="4" w:space="0" w:color="auto"/>
            </w:tcBorders>
          </w:tcPr>
          <w:p w14:paraId="136CDAC9" w14:textId="77777777" w:rsidR="00833F66" w:rsidRPr="00F47262" w:rsidRDefault="00833F66">
            <w:pPr>
              <w:spacing w:before="60" w:after="60"/>
              <w:rPr>
                <w:sz w:val="20"/>
              </w:rPr>
            </w:pPr>
          </w:p>
        </w:tc>
      </w:tr>
      <w:tr w:rsidR="00833F66" w:rsidRPr="000665B0" w14:paraId="35AE0BBA"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1965A0C0" w14:textId="77777777" w:rsidR="00833F66" w:rsidRPr="00F47262" w:rsidRDefault="00833F66" w:rsidP="006D5A65">
            <w:pPr>
              <w:pStyle w:val="Heading1"/>
            </w:pPr>
          </w:p>
        </w:tc>
        <w:tc>
          <w:tcPr>
            <w:tcW w:w="4349" w:type="dxa"/>
            <w:tcBorders>
              <w:top w:val="single" w:sz="4" w:space="0" w:color="auto"/>
              <w:left w:val="single" w:sz="4" w:space="0" w:color="auto"/>
              <w:bottom w:val="single" w:sz="4" w:space="0" w:color="auto"/>
              <w:right w:val="single" w:sz="4" w:space="0" w:color="auto"/>
            </w:tcBorders>
            <w:hideMark/>
          </w:tcPr>
          <w:p w14:paraId="6AD49E8B" w14:textId="77777777" w:rsidR="00833F66" w:rsidRPr="00F47262" w:rsidRDefault="00833F66">
            <w:pPr>
              <w:spacing w:before="60" w:after="60"/>
              <w:rPr>
                <w:sz w:val="20"/>
              </w:rPr>
            </w:pPr>
            <w:r w:rsidRPr="00F47262">
              <w:rPr>
                <w:sz w:val="20"/>
              </w:rPr>
              <w:t xml:space="preserve">Click </w:t>
            </w:r>
            <w:r w:rsidRPr="00F47262">
              <w:rPr>
                <w:b/>
                <w:sz w:val="20"/>
              </w:rPr>
              <w:t>OK</w:t>
            </w:r>
            <w:r w:rsidR="00C52A53" w:rsidRPr="00F47262">
              <w:rPr>
                <w:sz w:val="20"/>
              </w:rPr>
              <w:t xml:space="preserve"> in the </w:t>
            </w:r>
            <w:r w:rsidR="00C52A53" w:rsidRPr="00F47262">
              <w:rPr>
                <w:i/>
                <w:sz w:val="20"/>
              </w:rPr>
              <w:t>Op Area IDBA</w:t>
            </w:r>
            <w:r w:rsidR="00C52A53" w:rsidRPr="00F47262">
              <w:rPr>
                <w:sz w:val="20"/>
              </w:rPr>
              <w:t xml:space="preserve"> window.</w:t>
            </w:r>
          </w:p>
        </w:tc>
        <w:tc>
          <w:tcPr>
            <w:tcW w:w="4381" w:type="dxa"/>
            <w:tcBorders>
              <w:top w:val="single" w:sz="4" w:space="0" w:color="auto"/>
              <w:left w:val="single" w:sz="4" w:space="0" w:color="auto"/>
              <w:bottom w:val="single" w:sz="4" w:space="0" w:color="auto"/>
              <w:right w:val="single" w:sz="4" w:space="0" w:color="auto"/>
            </w:tcBorders>
          </w:tcPr>
          <w:p w14:paraId="79D32E8F" w14:textId="77777777" w:rsidR="00833F66" w:rsidRPr="00F47262" w:rsidRDefault="00833F66">
            <w:pPr>
              <w:spacing w:before="60" w:after="60"/>
              <w:rPr>
                <w:sz w:val="20"/>
              </w:rPr>
            </w:pPr>
          </w:p>
        </w:tc>
      </w:tr>
      <w:tr w:rsidR="00833F66" w:rsidRPr="000665B0" w14:paraId="56E59172"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7104A813" w14:textId="77777777" w:rsidR="00833F66" w:rsidRPr="00F47262" w:rsidRDefault="00833F66" w:rsidP="006D5A65">
            <w:pPr>
              <w:pStyle w:val="Heading1"/>
            </w:pPr>
          </w:p>
        </w:tc>
        <w:tc>
          <w:tcPr>
            <w:tcW w:w="4349" w:type="dxa"/>
            <w:tcBorders>
              <w:top w:val="single" w:sz="4" w:space="0" w:color="auto"/>
              <w:left w:val="single" w:sz="4" w:space="0" w:color="auto"/>
              <w:bottom w:val="single" w:sz="4" w:space="0" w:color="auto"/>
              <w:right w:val="single" w:sz="4" w:space="0" w:color="auto"/>
            </w:tcBorders>
            <w:hideMark/>
          </w:tcPr>
          <w:p w14:paraId="5AB0C202" w14:textId="77777777" w:rsidR="00833F66" w:rsidRPr="00F47262" w:rsidRDefault="00833F66" w:rsidP="00C52A53">
            <w:pPr>
              <w:spacing w:before="60" w:after="60"/>
              <w:rPr>
                <w:sz w:val="20"/>
              </w:rPr>
            </w:pPr>
            <w:r w:rsidRPr="00F47262">
              <w:rPr>
                <w:sz w:val="20"/>
              </w:rPr>
              <w:t xml:space="preserve">Close </w:t>
            </w:r>
            <w:r w:rsidR="00C52A53" w:rsidRPr="00F47262">
              <w:rPr>
                <w:sz w:val="20"/>
              </w:rPr>
              <w:t>the</w:t>
            </w:r>
            <w:r w:rsidRPr="00F47262">
              <w:rPr>
                <w:sz w:val="20"/>
              </w:rPr>
              <w:t xml:space="preserve"> </w:t>
            </w:r>
            <w:r w:rsidRPr="00F47262">
              <w:rPr>
                <w:i/>
                <w:sz w:val="20"/>
              </w:rPr>
              <w:t>IDBA</w:t>
            </w:r>
            <w:r w:rsidR="00E42F24" w:rsidRPr="00F47262">
              <w:rPr>
                <w:i/>
                <w:sz w:val="20"/>
              </w:rPr>
              <w:t xml:space="preserve"> </w:t>
            </w:r>
            <w:r w:rsidR="00C52A53" w:rsidRPr="00F47262">
              <w:rPr>
                <w:i/>
                <w:sz w:val="20"/>
              </w:rPr>
              <w:t>Operation</w:t>
            </w:r>
            <w:r w:rsidRPr="00F47262">
              <w:rPr>
                <w:sz w:val="20"/>
              </w:rPr>
              <w:t xml:space="preserve"> window</w:t>
            </w:r>
            <w:r w:rsidR="00C52A53" w:rsidRPr="00F47262">
              <w:rPr>
                <w:sz w:val="20"/>
              </w:rPr>
              <w:t xml:space="preserve"> (click </w:t>
            </w:r>
            <w:r w:rsidR="00C52A53" w:rsidRPr="00F47262">
              <w:rPr>
                <w:b/>
                <w:sz w:val="20"/>
              </w:rPr>
              <w:t>Yes</w:t>
            </w:r>
            <w:r w:rsidR="00C52A53" w:rsidRPr="00F47262">
              <w:rPr>
                <w:sz w:val="20"/>
              </w:rPr>
              <w:t xml:space="preserve"> to acknowledge closure)</w:t>
            </w:r>
            <w:r w:rsidRPr="00F47262">
              <w:rPr>
                <w:sz w:val="20"/>
              </w:rPr>
              <w:t xml:space="preserve">. </w:t>
            </w:r>
          </w:p>
        </w:tc>
        <w:tc>
          <w:tcPr>
            <w:tcW w:w="4381" w:type="dxa"/>
            <w:tcBorders>
              <w:top w:val="single" w:sz="4" w:space="0" w:color="auto"/>
              <w:left w:val="single" w:sz="4" w:space="0" w:color="auto"/>
              <w:bottom w:val="single" w:sz="4" w:space="0" w:color="auto"/>
              <w:right w:val="single" w:sz="4" w:space="0" w:color="auto"/>
            </w:tcBorders>
          </w:tcPr>
          <w:p w14:paraId="4A0FB026" w14:textId="77777777" w:rsidR="00833F66" w:rsidRPr="00F47262" w:rsidRDefault="00833F66">
            <w:pPr>
              <w:spacing w:before="60" w:after="60"/>
              <w:rPr>
                <w:sz w:val="20"/>
              </w:rPr>
            </w:pPr>
          </w:p>
        </w:tc>
      </w:tr>
      <w:tr w:rsidR="00833F66" w:rsidRPr="000665B0" w14:paraId="2E6273C9"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4009B4FB" w14:textId="77777777" w:rsidR="00833F66" w:rsidRPr="00F47262" w:rsidRDefault="00833F66" w:rsidP="006D5A65">
            <w:pPr>
              <w:pStyle w:val="Heading1"/>
            </w:pPr>
          </w:p>
        </w:tc>
        <w:tc>
          <w:tcPr>
            <w:tcW w:w="4349" w:type="dxa"/>
            <w:tcBorders>
              <w:top w:val="single" w:sz="4" w:space="0" w:color="auto"/>
              <w:left w:val="single" w:sz="4" w:space="0" w:color="auto"/>
              <w:bottom w:val="single" w:sz="4" w:space="0" w:color="auto"/>
              <w:right w:val="single" w:sz="4" w:space="0" w:color="auto"/>
            </w:tcBorders>
            <w:hideMark/>
          </w:tcPr>
          <w:p w14:paraId="4F70D09B" w14:textId="1026E986" w:rsidR="00833F66" w:rsidRPr="00F47262" w:rsidRDefault="00C52A53" w:rsidP="002F054D">
            <w:pPr>
              <w:spacing w:before="60" w:after="60"/>
              <w:rPr>
                <w:sz w:val="20"/>
              </w:rPr>
            </w:pPr>
            <w:r w:rsidRPr="00F47262">
              <w:rPr>
                <w:sz w:val="20"/>
              </w:rPr>
              <w:t xml:space="preserve">Close the </w:t>
            </w:r>
            <w:r w:rsidR="00677DFA" w:rsidRPr="00F47262">
              <w:rPr>
                <w:i/>
                <w:sz w:val="20"/>
              </w:rPr>
              <w:t xml:space="preserve">TPS </w:t>
            </w:r>
            <w:r w:rsidR="002F054D" w:rsidRPr="00F47262">
              <w:rPr>
                <w:i/>
                <w:sz w:val="20"/>
              </w:rPr>
              <w:t>6</w:t>
            </w:r>
            <w:r w:rsidR="00677DFA" w:rsidRPr="00F47262">
              <w:rPr>
                <w:i/>
                <w:sz w:val="20"/>
              </w:rPr>
              <w:t>.0.</w:t>
            </w:r>
            <w:r w:rsidR="002F054D" w:rsidRPr="00F47262">
              <w:rPr>
                <w:i/>
                <w:sz w:val="20"/>
              </w:rPr>
              <w:t xml:space="preserve">0 </w:t>
            </w:r>
            <w:r w:rsidR="00677DFA" w:rsidRPr="00F47262">
              <w:rPr>
                <w:i/>
                <w:sz w:val="20"/>
              </w:rPr>
              <w:t>Job Selection</w:t>
            </w:r>
            <w:r w:rsidRPr="00F47262">
              <w:rPr>
                <w:sz w:val="20"/>
              </w:rPr>
              <w:t xml:space="preserve"> window (click </w:t>
            </w:r>
            <w:r w:rsidRPr="00F47262">
              <w:rPr>
                <w:b/>
                <w:sz w:val="20"/>
              </w:rPr>
              <w:t>Yes</w:t>
            </w:r>
            <w:r w:rsidRPr="00F47262">
              <w:rPr>
                <w:sz w:val="20"/>
              </w:rPr>
              <w:t xml:space="preserve"> to acknowledge closure).</w:t>
            </w:r>
          </w:p>
        </w:tc>
        <w:tc>
          <w:tcPr>
            <w:tcW w:w="4381" w:type="dxa"/>
            <w:tcBorders>
              <w:top w:val="single" w:sz="4" w:space="0" w:color="auto"/>
              <w:left w:val="single" w:sz="4" w:space="0" w:color="auto"/>
              <w:bottom w:val="single" w:sz="4" w:space="0" w:color="auto"/>
              <w:right w:val="single" w:sz="4" w:space="0" w:color="auto"/>
            </w:tcBorders>
          </w:tcPr>
          <w:p w14:paraId="35FFB8D4" w14:textId="6EB18040" w:rsidR="00833F66" w:rsidRPr="00F47262" w:rsidRDefault="00833F66">
            <w:pPr>
              <w:spacing w:before="60" w:after="60"/>
              <w:rPr>
                <w:sz w:val="20"/>
              </w:rPr>
            </w:pPr>
          </w:p>
        </w:tc>
      </w:tr>
      <w:tr w:rsidR="00833F66" w:rsidRPr="000665B0" w14:paraId="5DA6F65C" w14:textId="77777777" w:rsidTr="00F47262">
        <w:trPr>
          <w:cantSplit/>
        </w:trPr>
        <w:tc>
          <w:tcPr>
            <w:tcW w:w="738" w:type="dxa"/>
            <w:tcBorders>
              <w:top w:val="single" w:sz="4" w:space="0" w:color="auto"/>
              <w:left w:val="single" w:sz="4" w:space="0" w:color="auto"/>
              <w:bottom w:val="single" w:sz="4" w:space="0" w:color="auto"/>
              <w:right w:val="single" w:sz="4" w:space="0" w:color="auto"/>
            </w:tcBorders>
          </w:tcPr>
          <w:p w14:paraId="1200A689" w14:textId="77777777" w:rsidR="00833F66" w:rsidRPr="00F47262" w:rsidRDefault="00833F66" w:rsidP="006D5A65">
            <w:pPr>
              <w:pStyle w:val="Heading1"/>
            </w:pPr>
          </w:p>
        </w:tc>
        <w:tc>
          <w:tcPr>
            <w:tcW w:w="4349" w:type="dxa"/>
            <w:tcBorders>
              <w:top w:val="single" w:sz="4" w:space="0" w:color="auto"/>
              <w:left w:val="single" w:sz="4" w:space="0" w:color="auto"/>
              <w:bottom w:val="single" w:sz="4" w:space="0" w:color="auto"/>
              <w:right w:val="single" w:sz="4" w:space="0" w:color="auto"/>
            </w:tcBorders>
            <w:hideMark/>
          </w:tcPr>
          <w:p w14:paraId="3E01984E" w14:textId="77777777" w:rsidR="00833F66" w:rsidRPr="00F47262" w:rsidRDefault="00677DFA" w:rsidP="00D417A2">
            <w:pPr>
              <w:spacing w:before="60" w:after="60"/>
              <w:rPr>
                <w:sz w:val="20"/>
              </w:rPr>
            </w:pPr>
            <w:r w:rsidRPr="00F47262">
              <w:rPr>
                <w:sz w:val="20"/>
              </w:rPr>
              <w:t>Logout of the TPS</w:t>
            </w:r>
            <w:r w:rsidR="00B02AE7" w:rsidRPr="00F47262">
              <w:rPr>
                <w:sz w:val="20"/>
              </w:rPr>
              <w:t xml:space="preserve"> </w:t>
            </w:r>
            <w:r w:rsidRPr="00F47262">
              <w:rPr>
                <w:sz w:val="20"/>
              </w:rPr>
              <w:t>Management Server</w:t>
            </w:r>
            <w:r w:rsidR="00833F66" w:rsidRPr="00F47262">
              <w:rPr>
                <w:sz w:val="20"/>
              </w:rPr>
              <w:t>.</w:t>
            </w:r>
          </w:p>
        </w:tc>
        <w:tc>
          <w:tcPr>
            <w:tcW w:w="4381" w:type="dxa"/>
            <w:tcBorders>
              <w:top w:val="single" w:sz="4" w:space="0" w:color="auto"/>
              <w:left w:val="single" w:sz="4" w:space="0" w:color="auto"/>
              <w:bottom w:val="single" w:sz="4" w:space="0" w:color="auto"/>
              <w:right w:val="single" w:sz="4" w:space="0" w:color="auto"/>
            </w:tcBorders>
            <w:hideMark/>
          </w:tcPr>
          <w:p w14:paraId="5E3CCD90" w14:textId="77777777" w:rsidR="00833F66" w:rsidRPr="00F47262" w:rsidRDefault="00833F66">
            <w:pPr>
              <w:spacing w:before="60" w:after="60"/>
              <w:rPr>
                <w:sz w:val="20"/>
              </w:rPr>
            </w:pPr>
          </w:p>
        </w:tc>
      </w:tr>
    </w:tbl>
    <w:p w14:paraId="69461A96" w14:textId="4A92AB2D" w:rsidR="002C5B28" w:rsidRPr="000665B0" w:rsidRDefault="002C5B28" w:rsidP="00912CE8">
      <w:pPr>
        <w:pStyle w:val="Appendix2"/>
      </w:pPr>
      <w:bookmarkStart w:id="7495" w:name="Microsoft_Message_Queuing_Troubleshootin"/>
      <w:bookmarkStart w:id="7496" w:name="_Toc405879735"/>
      <w:bookmarkStart w:id="7497" w:name="_Toc214283714"/>
      <w:bookmarkStart w:id="7498" w:name="_Hlk45538176"/>
      <w:bookmarkEnd w:id="7495"/>
      <w:r w:rsidRPr="000665B0">
        <w:t xml:space="preserve">MICROSOFT </w:t>
      </w:r>
      <w:r w:rsidRPr="00912CE8">
        <w:t>MESSAGE</w:t>
      </w:r>
      <w:r w:rsidRPr="000665B0">
        <w:t xml:space="preserve"> QUEUING TROUBLESHOOTING</w:t>
      </w:r>
      <w:bookmarkEnd w:id="7496"/>
      <w:bookmarkEnd w:id="7497"/>
    </w:p>
    <w:p w14:paraId="4176CD4D" w14:textId="14FDF253" w:rsidR="002C5B28" w:rsidRPr="000665B0" w:rsidRDefault="002C5B28" w:rsidP="002C5B28">
      <w:pPr>
        <w:rPr>
          <w:szCs w:val="24"/>
        </w:rPr>
      </w:pPr>
      <w:r w:rsidRPr="000665B0">
        <w:rPr>
          <w:b/>
          <w:szCs w:val="24"/>
          <w:u w:val="single"/>
        </w:rPr>
        <w:t>Issue</w:t>
      </w:r>
      <w:r w:rsidRPr="000665B0">
        <w:rPr>
          <w:b/>
          <w:szCs w:val="24"/>
        </w:rPr>
        <w:t>:</w:t>
      </w:r>
      <w:r w:rsidRPr="000665B0">
        <w:rPr>
          <w:szCs w:val="24"/>
        </w:rPr>
        <w:t xml:space="preserve"> </w:t>
      </w:r>
      <w:r w:rsidR="004239A3" w:rsidRPr="000665B0">
        <w:rPr>
          <w:szCs w:val="24"/>
        </w:rPr>
        <w:t>New data is added to TED, but the MDS display does not show the new data.</w:t>
      </w:r>
    </w:p>
    <w:p w14:paraId="0F10C2DA" w14:textId="2E44DD9C" w:rsidR="004239A3" w:rsidRPr="000665B0" w:rsidRDefault="002C5B28" w:rsidP="004239A3">
      <w:pPr>
        <w:rPr>
          <w:szCs w:val="24"/>
        </w:rPr>
      </w:pPr>
      <w:r w:rsidRPr="000665B0">
        <w:rPr>
          <w:b/>
          <w:szCs w:val="24"/>
          <w:u w:val="single"/>
        </w:rPr>
        <w:t>Description</w:t>
      </w:r>
      <w:r w:rsidRPr="000665B0">
        <w:rPr>
          <w:b/>
          <w:szCs w:val="24"/>
        </w:rPr>
        <w:t>:</w:t>
      </w:r>
      <w:r w:rsidRPr="000665B0">
        <w:rPr>
          <w:szCs w:val="24"/>
        </w:rPr>
        <w:t xml:space="preserve"> </w:t>
      </w:r>
      <w:bookmarkStart w:id="7499" w:name="_Hlk44497394"/>
      <w:r w:rsidR="004239A3" w:rsidRPr="000665B0">
        <w:rPr>
          <w:szCs w:val="24"/>
        </w:rPr>
        <w:t xml:space="preserve">A data item (such as a strike folder, TMPR, DDO </w:t>
      </w:r>
      <w:r w:rsidR="00035E28" w:rsidRPr="000665B0">
        <w:rPr>
          <w:szCs w:val="24"/>
        </w:rPr>
        <w:t>t</w:t>
      </w:r>
      <w:r w:rsidR="004239A3" w:rsidRPr="000665B0">
        <w:rPr>
          <w:szCs w:val="24"/>
        </w:rPr>
        <w:t>emplate, etc</w:t>
      </w:r>
      <w:r w:rsidR="00560228" w:rsidRPr="000665B0">
        <w:rPr>
          <w:szCs w:val="24"/>
        </w:rPr>
        <w:t>.</w:t>
      </w:r>
      <w:r w:rsidR="004239A3" w:rsidRPr="000665B0">
        <w:rPr>
          <w:szCs w:val="24"/>
        </w:rPr>
        <w:t xml:space="preserve">), is created and saved, but the new item is not shown in the respective list view window unless the display is </w:t>
      </w:r>
      <w:r w:rsidR="004239A3" w:rsidRPr="000665B0">
        <w:rPr>
          <w:szCs w:val="24"/>
        </w:rPr>
        <w:lastRenderedPageBreak/>
        <w:t>refreshed. (To refresh the display, close</w:t>
      </w:r>
      <w:r w:rsidR="00560228" w:rsidRPr="000665B0">
        <w:rPr>
          <w:szCs w:val="24"/>
        </w:rPr>
        <w:t xml:space="preserve"> and re-open</w:t>
      </w:r>
      <w:r w:rsidR="004239A3" w:rsidRPr="000665B0">
        <w:rPr>
          <w:szCs w:val="24"/>
        </w:rPr>
        <w:t xml:space="preserve"> the window</w:t>
      </w:r>
      <w:r w:rsidR="00235135" w:rsidRPr="000665B0">
        <w:rPr>
          <w:szCs w:val="24"/>
        </w:rPr>
        <w:t>.</w:t>
      </w:r>
      <w:r w:rsidR="004239A3" w:rsidRPr="000665B0">
        <w:rPr>
          <w:szCs w:val="24"/>
        </w:rPr>
        <w:t>) This may occur during strike planning or during strike execution. In this scenario, it is likely that th</w:t>
      </w:r>
      <w:r w:rsidR="00560228" w:rsidRPr="000665B0">
        <w:rPr>
          <w:szCs w:val="24"/>
        </w:rPr>
        <w:t>e Microsoft</w:t>
      </w:r>
      <w:r w:rsidR="004239A3" w:rsidRPr="000665B0">
        <w:rPr>
          <w:szCs w:val="24"/>
        </w:rPr>
        <w:t xml:space="preserve"> Message Queuing</w:t>
      </w:r>
      <w:r w:rsidR="00560228" w:rsidRPr="000665B0">
        <w:rPr>
          <w:szCs w:val="24"/>
        </w:rPr>
        <w:t xml:space="preserve"> (MSMQ)</w:t>
      </w:r>
      <w:r w:rsidR="004239A3" w:rsidRPr="000665B0">
        <w:rPr>
          <w:szCs w:val="24"/>
        </w:rPr>
        <w:t xml:space="preserve"> service is either hindered or not running. There are a variety of root causes that may cause the message service to cease running or to operate with latency.</w:t>
      </w:r>
      <w:r w:rsidR="009651B0">
        <w:rPr>
          <w:szCs w:val="24"/>
        </w:rPr>
        <w:t xml:space="preserve"> </w:t>
      </w:r>
    </w:p>
    <w:bookmarkEnd w:id="7499"/>
    <w:p w14:paraId="13D28CBE" w14:textId="22C9478A" w:rsidR="004E713A" w:rsidRPr="000665B0" w:rsidRDefault="004E713A" w:rsidP="004239A3">
      <w:pPr>
        <w:rPr>
          <w:szCs w:val="24"/>
        </w:rPr>
      </w:pPr>
      <w:r w:rsidRPr="000665B0">
        <w:t xml:space="preserve">The procedures below guide the user through troubleshooting methods. If one possible resolution fails to correct the problem, then follow the procedures to move to the next possible resolution. </w:t>
      </w:r>
      <w:r w:rsidRPr="000665B0">
        <w:rPr>
          <w:szCs w:val="24"/>
        </w:rPr>
        <w:t>If the problem remains after a</w:t>
      </w:r>
      <w:r w:rsidR="00235135" w:rsidRPr="000665B0">
        <w:rPr>
          <w:szCs w:val="24"/>
        </w:rPr>
        <w:t>ll of the resolutions</w:t>
      </w:r>
      <w:r w:rsidRPr="000665B0">
        <w:rPr>
          <w:szCs w:val="24"/>
        </w:rPr>
        <w:t xml:space="preserve"> have been attempted, contact the appropriate Help Desk </w:t>
      </w:r>
      <w:r w:rsidR="008858E3" w:rsidRPr="000665B0">
        <w:rPr>
          <w:szCs w:val="24"/>
        </w:rPr>
        <w:t>(see</w:t>
      </w:r>
      <w:r w:rsidRPr="000665B0">
        <w:rPr>
          <w:szCs w:val="24"/>
        </w:rPr>
        <w:t xml:space="preserve"> </w:t>
      </w:r>
      <w:hyperlink w:anchor="_APPENDIX_U_" w:history="1">
        <w:r w:rsidRPr="000665B0">
          <w:rPr>
            <w:rStyle w:val="Hyperlink"/>
            <w:szCs w:val="24"/>
          </w:rPr>
          <w:t xml:space="preserve">Appendix </w:t>
        </w:r>
        <w:r w:rsidR="00BA5FFA">
          <w:rPr>
            <w:rStyle w:val="Hyperlink"/>
            <w:szCs w:val="24"/>
          </w:rPr>
          <w:t>U</w:t>
        </w:r>
      </w:hyperlink>
      <w:r w:rsidR="008858E3" w:rsidRPr="000665B0">
        <w:rPr>
          <w:szCs w:val="24"/>
        </w:rPr>
        <w:t>).</w:t>
      </w:r>
    </w:p>
    <w:p w14:paraId="4156E59C" w14:textId="3DB36AFD" w:rsidR="00560228" w:rsidRPr="000665B0" w:rsidRDefault="00560228" w:rsidP="004239A3">
      <w:pPr>
        <w:rPr>
          <w:szCs w:val="24"/>
        </w:rPr>
      </w:pPr>
      <w:r w:rsidRPr="000665B0">
        <w:rPr>
          <w:szCs w:val="24"/>
        </w:rPr>
        <w:t>All procedures require administrator privileges.</w:t>
      </w:r>
    </w:p>
    <w:p w14:paraId="7A2CC093" w14:textId="53F15F6B" w:rsidR="00560228" w:rsidRPr="000665B0" w:rsidRDefault="00D00D41" w:rsidP="00155E82">
      <w:pPr>
        <w:pStyle w:val="Appendix3"/>
        <w:ind w:left="360"/>
      </w:pPr>
      <w:bookmarkStart w:id="7500" w:name="_Toc214283715"/>
      <w:r w:rsidRPr="000665B0">
        <w:t xml:space="preserve">Verify the Connection </w:t>
      </w:r>
      <w:r w:rsidR="004E19F4" w:rsidRPr="000665B0">
        <w:t>to</w:t>
      </w:r>
      <w:r w:rsidR="00BF2D02" w:rsidRPr="000665B0">
        <w:t xml:space="preserve"> the Message Queue</w:t>
      </w:r>
      <w:bookmarkEnd w:id="7500"/>
    </w:p>
    <w:p w14:paraId="21E4B207" w14:textId="5D3688FD" w:rsidR="00560228" w:rsidRPr="000665B0" w:rsidRDefault="00560228" w:rsidP="00560228">
      <w:pPr>
        <w:rPr>
          <w:szCs w:val="24"/>
        </w:rPr>
      </w:pPr>
      <w:r w:rsidRPr="000665B0">
        <w:rPr>
          <w:szCs w:val="24"/>
        </w:rPr>
        <w:t xml:space="preserve">Follow these steps to </w:t>
      </w:r>
      <w:r w:rsidR="00D00D41" w:rsidRPr="000665B0">
        <w:rPr>
          <w:szCs w:val="24"/>
        </w:rPr>
        <w:t xml:space="preserve">verify the </w:t>
      </w:r>
      <w:r w:rsidR="00BF2D02" w:rsidRPr="000665B0">
        <w:rPr>
          <w:szCs w:val="24"/>
        </w:rPr>
        <w:t>network connection to the database’s message queue</w:t>
      </w:r>
      <w:r w:rsidRPr="000665B0">
        <w:rPr>
          <w:szCs w:val="24"/>
        </w:rPr>
        <w:t>.</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4349"/>
        <w:gridCol w:w="4381"/>
      </w:tblGrid>
      <w:tr w:rsidR="00560228" w:rsidRPr="000665B0" w14:paraId="3E4373EF" w14:textId="77777777" w:rsidTr="00F47262">
        <w:trPr>
          <w:cantSplit/>
          <w:tblHeader/>
        </w:trPr>
        <w:tc>
          <w:tcPr>
            <w:tcW w:w="9468" w:type="dxa"/>
            <w:gridSpan w:val="3"/>
            <w:tcBorders>
              <w:bottom w:val="single" w:sz="4" w:space="0" w:color="auto"/>
            </w:tcBorders>
            <w:shd w:val="clear" w:color="auto" w:fill="D9D9D9" w:themeFill="background1" w:themeFillShade="D9"/>
          </w:tcPr>
          <w:p w14:paraId="5D8E7C4D" w14:textId="22F67726" w:rsidR="00560228" w:rsidRPr="00F47262" w:rsidRDefault="00560228" w:rsidP="00A776F3">
            <w:pPr>
              <w:keepNext/>
              <w:keepLines/>
              <w:spacing w:before="60" w:after="60"/>
              <w:rPr>
                <w:rFonts w:ascii="Arial" w:hAnsi="Arial" w:cs="Arial"/>
                <w:b/>
                <w:szCs w:val="24"/>
              </w:rPr>
            </w:pPr>
            <w:r w:rsidRPr="00F47262">
              <w:rPr>
                <w:rFonts w:ascii="Arial" w:hAnsi="Arial" w:cs="Arial"/>
                <w:b/>
                <w:szCs w:val="24"/>
              </w:rPr>
              <w:lastRenderedPageBreak/>
              <w:t>L.5</w:t>
            </w:r>
            <w:r w:rsidR="00C26014" w:rsidRPr="00F47262">
              <w:rPr>
                <w:rFonts w:ascii="Arial" w:hAnsi="Arial" w:cs="Arial"/>
                <w:b/>
                <w:szCs w:val="24"/>
              </w:rPr>
              <w:t>.1</w:t>
            </w:r>
            <w:r w:rsidR="009651B0" w:rsidRPr="00F47262">
              <w:rPr>
                <w:rFonts w:ascii="Arial" w:hAnsi="Arial" w:cs="Arial"/>
                <w:b/>
                <w:szCs w:val="24"/>
              </w:rPr>
              <w:t xml:space="preserve"> </w:t>
            </w:r>
            <w:r w:rsidR="00D00D41" w:rsidRPr="00F47262">
              <w:rPr>
                <w:rFonts w:ascii="Arial" w:hAnsi="Arial" w:cs="Arial"/>
                <w:b/>
                <w:szCs w:val="24"/>
              </w:rPr>
              <w:t>Verify the C</w:t>
            </w:r>
            <w:r w:rsidR="00D00D41" w:rsidRPr="00F47262">
              <w:rPr>
                <w:rFonts w:ascii="Arial" w:hAnsi="Arial" w:cs="Arial"/>
                <w:b/>
              </w:rPr>
              <w:t xml:space="preserve">onnection </w:t>
            </w:r>
            <w:r w:rsidR="004E19F4" w:rsidRPr="00F47262">
              <w:rPr>
                <w:rFonts w:ascii="Arial" w:hAnsi="Arial" w:cs="Arial"/>
                <w:b/>
              </w:rPr>
              <w:t>to</w:t>
            </w:r>
            <w:r w:rsidR="00BF2D02" w:rsidRPr="00F47262">
              <w:rPr>
                <w:rFonts w:ascii="Arial" w:hAnsi="Arial" w:cs="Arial"/>
                <w:b/>
              </w:rPr>
              <w:t xml:space="preserve"> the Message Queue</w:t>
            </w:r>
            <w:r w:rsidR="00D00D41" w:rsidRPr="00F47262">
              <w:rPr>
                <w:rFonts w:ascii="Arial" w:hAnsi="Arial" w:cs="Arial"/>
              </w:rPr>
              <w:t xml:space="preserve"> </w:t>
            </w:r>
          </w:p>
        </w:tc>
      </w:tr>
      <w:tr w:rsidR="00560228" w:rsidRPr="000665B0" w14:paraId="65ED8CCE" w14:textId="77777777" w:rsidTr="00F47262">
        <w:trPr>
          <w:cantSplit/>
          <w:tblHeader/>
        </w:trPr>
        <w:tc>
          <w:tcPr>
            <w:tcW w:w="738" w:type="dxa"/>
            <w:tcBorders>
              <w:bottom w:val="single" w:sz="4" w:space="0" w:color="auto"/>
            </w:tcBorders>
            <w:shd w:val="clear" w:color="auto" w:fill="D9D9D9" w:themeFill="background1" w:themeFillShade="D9"/>
          </w:tcPr>
          <w:p w14:paraId="3CC3691F" w14:textId="77777777" w:rsidR="00560228" w:rsidRPr="00F47262" w:rsidRDefault="00560228" w:rsidP="00A776F3">
            <w:pPr>
              <w:keepNext/>
              <w:keepLines/>
              <w:spacing w:before="60" w:after="60"/>
              <w:jc w:val="both"/>
              <w:rPr>
                <w:rFonts w:ascii="Arial" w:hAnsi="Arial" w:cs="Arial"/>
                <w:b/>
                <w:szCs w:val="24"/>
              </w:rPr>
            </w:pPr>
            <w:r w:rsidRPr="00F47262">
              <w:rPr>
                <w:rFonts w:ascii="Arial" w:hAnsi="Arial" w:cs="Arial"/>
                <w:b/>
                <w:szCs w:val="24"/>
              </w:rPr>
              <w:t>Step</w:t>
            </w:r>
          </w:p>
        </w:tc>
        <w:tc>
          <w:tcPr>
            <w:tcW w:w="4349" w:type="dxa"/>
            <w:tcBorders>
              <w:bottom w:val="single" w:sz="4" w:space="0" w:color="auto"/>
            </w:tcBorders>
            <w:shd w:val="clear" w:color="auto" w:fill="D9D9D9" w:themeFill="background1" w:themeFillShade="D9"/>
          </w:tcPr>
          <w:p w14:paraId="2FA4A72D" w14:textId="77777777" w:rsidR="00560228" w:rsidRPr="00F47262" w:rsidRDefault="00560228" w:rsidP="00A776F3">
            <w:pPr>
              <w:keepNext/>
              <w:keepLines/>
              <w:spacing w:before="60" w:after="60"/>
              <w:rPr>
                <w:rFonts w:ascii="Arial" w:hAnsi="Arial" w:cs="Arial"/>
                <w:b/>
                <w:szCs w:val="24"/>
              </w:rPr>
            </w:pPr>
            <w:r w:rsidRPr="00F47262">
              <w:rPr>
                <w:rFonts w:ascii="Arial" w:hAnsi="Arial" w:cs="Arial"/>
                <w:b/>
                <w:szCs w:val="24"/>
              </w:rPr>
              <w:t>Procedure</w:t>
            </w:r>
          </w:p>
        </w:tc>
        <w:tc>
          <w:tcPr>
            <w:tcW w:w="4381" w:type="dxa"/>
            <w:tcBorders>
              <w:bottom w:val="single" w:sz="4" w:space="0" w:color="auto"/>
            </w:tcBorders>
            <w:shd w:val="clear" w:color="auto" w:fill="D9D9D9" w:themeFill="background1" w:themeFillShade="D9"/>
          </w:tcPr>
          <w:p w14:paraId="5AAE25D0" w14:textId="77777777" w:rsidR="00560228" w:rsidRPr="00F47262" w:rsidRDefault="00560228" w:rsidP="00A776F3">
            <w:pPr>
              <w:keepNext/>
              <w:keepLines/>
              <w:spacing w:before="60" w:after="60"/>
              <w:rPr>
                <w:rFonts w:ascii="Arial" w:hAnsi="Arial" w:cs="Arial"/>
                <w:b/>
                <w:szCs w:val="24"/>
              </w:rPr>
            </w:pPr>
            <w:r w:rsidRPr="00F47262">
              <w:rPr>
                <w:rFonts w:ascii="Arial" w:hAnsi="Arial" w:cs="Arial"/>
                <w:b/>
                <w:szCs w:val="24"/>
              </w:rPr>
              <w:t>Comments</w:t>
            </w:r>
          </w:p>
        </w:tc>
      </w:tr>
      <w:tr w:rsidR="00560228" w:rsidRPr="000665B0" w14:paraId="4810F51E" w14:textId="77777777" w:rsidTr="00F47262">
        <w:trPr>
          <w:cantSplit/>
        </w:trPr>
        <w:tc>
          <w:tcPr>
            <w:tcW w:w="738" w:type="dxa"/>
          </w:tcPr>
          <w:p w14:paraId="653F986B" w14:textId="77777777" w:rsidR="00560228" w:rsidRPr="00F47262" w:rsidRDefault="00560228" w:rsidP="006D5A65">
            <w:pPr>
              <w:pStyle w:val="Heading1"/>
            </w:pPr>
          </w:p>
        </w:tc>
        <w:tc>
          <w:tcPr>
            <w:tcW w:w="4349" w:type="dxa"/>
          </w:tcPr>
          <w:p w14:paraId="53C73C0D" w14:textId="77777777" w:rsidR="00560228" w:rsidRPr="00F47262" w:rsidRDefault="00560228" w:rsidP="00A776F3">
            <w:pPr>
              <w:spacing w:before="60" w:after="60"/>
              <w:rPr>
                <w:sz w:val="20"/>
              </w:rPr>
            </w:pPr>
            <w:r w:rsidRPr="00F47262">
              <w:rPr>
                <w:sz w:val="20"/>
              </w:rPr>
              <w:t>Login to the appropriate machine with an account that has administrator privileges.</w:t>
            </w:r>
          </w:p>
        </w:tc>
        <w:tc>
          <w:tcPr>
            <w:tcW w:w="4381" w:type="dxa"/>
          </w:tcPr>
          <w:p w14:paraId="1D57B03E" w14:textId="77777777" w:rsidR="00560228" w:rsidRPr="00F47262" w:rsidRDefault="00560228" w:rsidP="00A776F3">
            <w:pPr>
              <w:spacing w:before="60" w:after="60"/>
              <w:rPr>
                <w:sz w:val="20"/>
              </w:rPr>
            </w:pPr>
          </w:p>
        </w:tc>
      </w:tr>
      <w:tr w:rsidR="00560228" w:rsidRPr="000665B0" w14:paraId="7B9888C0" w14:textId="77777777" w:rsidTr="00F47262">
        <w:trPr>
          <w:cantSplit/>
        </w:trPr>
        <w:tc>
          <w:tcPr>
            <w:tcW w:w="738" w:type="dxa"/>
          </w:tcPr>
          <w:p w14:paraId="4D985B63" w14:textId="77777777" w:rsidR="00560228" w:rsidRPr="00F47262" w:rsidRDefault="00560228" w:rsidP="006D5A65">
            <w:pPr>
              <w:pStyle w:val="Heading1"/>
            </w:pPr>
          </w:p>
        </w:tc>
        <w:tc>
          <w:tcPr>
            <w:tcW w:w="4349" w:type="dxa"/>
          </w:tcPr>
          <w:p w14:paraId="68F6B67C" w14:textId="1A0AAF85" w:rsidR="00560228" w:rsidRPr="00F47262" w:rsidRDefault="00FC4E85" w:rsidP="00A776F3">
            <w:pPr>
              <w:spacing w:before="60" w:after="60"/>
              <w:rPr>
                <w:sz w:val="20"/>
              </w:rPr>
            </w:pPr>
            <w:r w:rsidRPr="00F47262">
              <w:rPr>
                <w:sz w:val="20"/>
              </w:rPr>
              <w:t xml:space="preserve">On the MDS workstation, double-click on the </w:t>
            </w:r>
            <w:r w:rsidRPr="00F47262">
              <w:rPr>
                <w:b/>
                <w:sz w:val="20"/>
              </w:rPr>
              <w:t>MDS Toolbox</w:t>
            </w:r>
            <w:r w:rsidRPr="00F47262">
              <w:rPr>
                <w:sz w:val="20"/>
              </w:rPr>
              <w:t xml:space="preserve"> desktop shortcut icon </w:t>
            </w:r>
            <w:r w:rsidRPr="00F47262">
              <w:rPr>
                <w:noProof/>
                <w:position w:val="-6"/>
                <w:sz w:val="20"/>
              </w:rPr>
              <w:drawing>
                <wp:inline distT="0" distB="0" distL="0" distR="0" wp14:anchorId="2FFE17DA" wp14:editId="41E5C343">
                  <wp:extent cx="276225" cy="247650"/>
                  <wp:effectExtent l="19050" t="0" r="9525" b="0"/>
                  <wp:docPr id="828" name="Picture 26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ntitled"/>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6225" cy="247650"/>
                          </a:xfrm>
                          <a:prstGeom prst="rect">
                            <a:avLst/>
                          </a:prstGeom>
                          <a:noFill/>
                          <a:ln w="9525">
                            <a:noFill/>
                            <a:miter lim="800000"/>
                            <a:headEnd/>
                            <a:tailEnd/>
                          </a:ln>
                        </pic:spPr>
                      </pic:pic>
                    </a:graphicData>
                  </a:graphic>
                </wp:inline>
              </w:drawing>
            </w:r>
            <w:r w:rsidRPr="00F47262">
              <w:rPr>
                <w:sz w:val="20"/>
              </w:rPr>
              <w:t xml:space="preserve"> to launch MDS.</w:t>
            </w:r>
          </w:p>
        </w:tc>
        <w:tc>
          <w:tcPr>
            <w:tcW w:w="4381" w:type="dxa"/>
          </w:tcPr>
          <w:p w14:paraId="5BC3A4DD" w14:textId="77777777" w:rsidR="00560228" w:rsidRPr="00F47262" w:rsidRDefault="00560228" w:rsidP="00A776F3">
            <w:pPr>
              <w:spacing w:before="60" w:after="60"/>
              <w:rPr>
                <w:sz w:val="20"/>
              </w:rPr>
            </w:pPr>
          </w:p>
        </w:tc>
      </w:tr>
      <w:tr w:rsidR="00560228" w:rsidRPr="000665B0" w14:paraId="4040231C" w14:textId="77777777" w:rsidTr="00F47262">
        <w:trPr>
          <w:cantSplit/>
        </w:trPr>
        <w:tc>
          <w:tcPr>
            <w:tcW w:w="738" w:type="dxa"/>
          </w:tcPr>
          <w:p w14:paraId="25C31F1E" w14:textId="77777777" w:rsidR="00560228" w:rsidRPr="00F47262" w:rsidRDefault="00560228" w:rsidP="006D5A65">
            <w:pPr>
              <w:pStyle w:val="Heading1"/>
            </w:pPr>
          </w:p>
        </w:tc>
        <w:tc>
          <w:tcPr>
            <w:tcW w:w="4349" w:type="dxa"/>
          </w:tcPr>
          <w:p w14:paraId="498D94FE" w14:textId="67A8429C" w:rsidR="00560228" w:rsidRPr="00F47262" w:rsidRDefault="00FC4E85" w:rsidP="00FC4E85">
            <w:pPr>
              <w:spacing w:before="60" w:after="60"/>
              <w:rPr>
                <w:sz w:val="20"/>
              </w:rPr>
            </w:pPr>
            <w:r w:rsidRPr="00F47262">
              <w:rPr>
                <w:sz w:val="20"/>
              </w:rPr>
              <w:t xml:space="preserve">Navigate to the </w:t>
            </w:r>
            <w:r w:rsidRPr="00F47262">
              <w:rPr>
                <w:b/>
                <w:sz w:val="20"/>
              </w:rPr>
              <w:t>TED Utilities</w:t>
            </w:r>
            <w:r w:rsidRPr="00F47262">
              <w:rPr>
                <w:sz w:val="20"/>
              </w:rPr>
              <w:t xml:space="preserve"> tool.</w:t>
            </w:r>
          </w:p>
        </w:tc>
        <w:tc>
          <w:tcPr>
            <w:tcW w:w="4381" w:type="dxa"/>
          </w:tcPr>
          <w:p w14:paraId="5799BEF8" w14:textId="0AFF902A" w:rsidR="00560228" w:rsidRPr="00F47262" w:rsidRDefault="00560228" w:rsidP="00A776F3">
            <w:pPr>
              <w:spacing w:before="60" w:after="60"/>
              <w:rPr>
                <w:sz w:val="20"/>
              </w:rPr>
            </w:pPr>
          </w:p>
        </w:tc>
      </w:tr>
      <w:tr w:rsidR="00560228" w:rsidRPr="000665B0" w14:paraId="29191FAD" w14:textId="77777777" w:rsidTr="00F47262">
        <w:trPr>
          <w:cantSplit/>
        </w:trPr>
        <w:tc>
          <w:tcPr>
            <w:tcW w:w="738" w:type="dxa"/>
          </w:tcPr>
          <w:p w14:paraId="778FBC0A" w14:textId="77777777" w:rsidR="00560228" w:rsidRPr="00F47262" w:rsidRDefault="00560228" w:rsidP="006D5A65">
            <w:pPr>
              <w:pStyle w:val="Heading1"/>
            </w:pPr>
          </w:p>
        </w:tc>
        <w:tc>
          <w:tcPr>
            <w:tcW w:w="4349" w:type="dxa"/>
          </w:tcPr>
          <w:p w14:paraId="602DC7CA" w14:textId="3205F4DE" w:rsidR="00560228" w:rsidRPr="00F47262" w:rsidRDefault="00FC4E85" w:rsidP="00A776F3">
            <w:pPr>
              <w:spacing w:before="60" w:after="60"/>
              <w:rPr>
                <w:sz w:val="20"/>
              </w:rPr>
            </w:pPr>
            <w:r w:rsidRPr="00F47262">
              <w:rPr>
                <w:sz w:val="20"/>
              </w:rPr>
              <w:t xml:space="preserve">Select the </w:t>
            </w:r>
            <w:r w:rsidRPr="00F47262">
              <w:rPr>
                <w:b/>
                <w:i/>
                <w:sz w:val="20"/>
              </w:rPr>
              <w:t>TED Connections</w:t>
            </w:r>
            <w:r w:rsidRPr="00F47262">
              <w:rPr>
                <w:sz w:val="20"/>
              </w:rPr>
              <w:t xml:space="preserve"> tab.</w:t>
            </w:r>
          </w:p>
        </w:tc>
        <w:tc>
          <w:tcPr>
            <w:tcW w:w="4381" w:type="dxa"/>
          </w:tcPr>
          <w:p w14:paraId="57566979" w14:textId="79BB8AE4" w:rsidR="00560228" w:rsidRPr="00F47262" w:rsidRDefault="00046849" w:rsidP="00046849">
            <w:pPr>
              <w:spacing w:before="60"/>
              <w:rPr>
                <w:sz w:val="20"/>
              </w:rPr>
            </w:pPr>
            <w:r w:rsidRPr="00F47262">
              <w:rPr>
                <w:noProof/>
                <w:sz w:val="20"/>
              </w:rPr>
              <w:drawing>
                <wp:inline distT="0" distB="0" distL="0" distR="0" wp14:anchorId="533A2F65" wp14:editId="7A39130D">
                  <wp:extent cx="1414666" cy="1406236"/>
                  <wp:effectExtent l="0" t="0" r="0" b="3810"/>
                  <wp:docPr id="1458" name="Picture 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4446" cy="1415957"/>
                          </a:xfrm>
                          <a:prstGeom prst="rect">
                            <a:avLst/>
                          </a:prstGeom>
                          <a:ln>
                            <a:noFill/>
                          </a:ln>
                          <a:extLst>
                            <a:ext uri="{53640926-AAD7-44D8-BBD7-CCE9431645EC}">
                              <a14:shadowObscured xmlns:a14="http://schemas.microsoft.com/office/drawing/2010/main"/>
                            </a:ext>
                          </a:extLst>
                        </pic:spPr>
                      </pic:pic>
                    </a:graphicData>
                  </a:graphic>
                </wp:inline>
              </w:drawing>
            </w:r>
          </w:p>
        </w:tc>
      </w:tr>
      <w:tr w:rsidR="00560228" w:rsidRPr="000665B0" w14:paraId="061D8AB7" w14:textId="77777777" w:rsidTr="00F47262">
        <w:trPr>
          <w:cantSplit/>
        </w:trPr>
        <w:tc>
          <w:tcPr>
            <w:tcW w:w="738" w:type="dxa"/>
          </w:tcPr>
          <w:p w14:paraId="43E0E5B9" w14:textId="77777777" w:rsidR="00560228" w:rsidRPr="00F47262" w:rsidRDefault="00560228" w:rsidP="006D5A65">
            <w:pPr>
              <w:pStyle w:val="Heading1"/>
            </w:pPr>
          </w:p>
        </w:tc>
        <w:tc>
          <w:tcPr>
            <w:tcW w:w="4349" w:type="dxa"/>
          </w:tcPr>
          <w:p w14:paraId="4854AB02" w14:textId="30928CC6" w:rsidR="00560228" w:rsidRPr="00F47262" w:rsidRDefault="00035E28" w:rsidP="00A776F3">
            <w:pPr>
              <w:spacing w:before="60" w:after="60"/>
              <w:rPr>
                <w:sz w:val="20"/>
              </w:rPr>
            </w:pPr>
            <w:r w:rsidRPr="00F47262">
              <w:rPr>
                <w:sz w:val="20"/>
              </w:rPr>
              <w:t xml:space="preserve">Select the desired database. Right-click and select </w:t>
            </w:r>
            <w:r w:rsidRPr="00F47262">
              <w:rPr>
                <w:b/>
                <w:sz w:val="20"/>
              </w:rPr>
              <w:t>Ping Message Queue</w:t>
            </w:r>
            <w:r w:rsidR="00560228" w:rsidRPr="00F47262">
              <w:rPr>
                <w:sz w:val="20"/>
              </w:rPr>
              <w:t>.</w:t>
            </w:r>
          </w:p>
          <w:p w14:paraId="25D9B4B0" w14:textId="414E9C1F" w:rsidR="00035E28" w:rsidRPr="00F47262" w:rsidRDefault="00035E28" w:rsidP="00A776F3">
            <w:pPr>
              <w:spacing w:before="60" w:after="60"/>
              <w:rPr>
                <w:sz w:val="20"/>
              </w:rPr>
            </w:pPr>
            <w:r w:rsidRPr="00F47262">
              <w:rPr>
                <w:sz w:val="20"/>
              </w:rPr>
              <w:t xml:space="preserve">For example, if the ACMS </w:t>
            </w:r>
            <w:r w:rsidR="00C6422E" w:rsidRPr="00F47262">
              <w:rPr>
                <w:sz w:val="20"/>
              </w:rPr>
              <w:t>list view</w:t>
            </w:r>
            <w:r w:rsidRPr="00F47262">
              <w:rPr>
                <w:sz w:val="20"/>
              </w:rPr>
              <w:t xml:space="preserve"> is not being updated, select the </w:t>
            </w:r>
            <w:r w:rsidRPr="00F47262">
              <w:rPr>
                <w:b/>
                <w:sz w:val="20"/>
              </w:rPr>
              <w:t>TED_ACMS_DB</w:t>
            </w:r>
            <w:r w:rsidRPr="00F47262">
              <w:rPr>
                <w:sz w:val="20"/>
              </w:rPr>
              <w:t>.</w:t>
            </w:r>
          </w:p>
        </w:tc>
        <w:tc>
          <w:tcPr>
            <w:tcW w:w="4381" w:type="dxa"/>
          </w:tcPr>
          <w:p w14:paraId="2BF58C8B" w14:textId="2ACC3E7F" w:rsidR="00560228" w:rsidRPr="00F47262" w:rsidRDefault="00046849" w:rsidP="00A776F3">
            <w:pPr>
              <w:spacing w:before="60" w:after="60"/>
              <w:rPr>
                <w:sz w:val="20"/>
              </w:rPr>
            </w:pPr>
            <w:r w:rsidRPr="00F47262">
              <w:rPr>
                <w:noProof/>
                <w:sz w:val="20"/>
              </w:rPr>
              <w:drawing>
                <wp:inline distT="0" distB="0" distL="0" distR="0" wp14:anchorId="25224BBC" wp14:editId="28E02F21">
                  <wp:extent cx="1813560" cy="909309"/>
                  <wp:effectExtent l="0" t="0" r="0" b="5715"/>
                  <wp:docPr id="1459" name="Picture 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2082" cy="913582"/>
                          </a:xfrm>
                          <a:prstGeom prst="rect">
                            <a:avLst/>
                          </a:prstGeom>
                        </pic:spPr>
                      </pic:pic>
                    </a:graphicData>
                  </a:graphic>
                </wp:inline>
              </w:drawing>
            </w:r>
          </w:p>
        </w:tc>
      </w:tr>
      <w:tr w:rsidR="00035E28" w:rsidRPr="000665B0" w14:paraId="36715F71" w14:textId="77777777" w:rsidTr="00F47262">
        <w:trPr>
          <w:cantSplit/>
        </w:trPr>
        <w:tc>
          <w:tcPr>
            <w:tcW w:w="738" w:type="dxa"/>
          </w:tcPr>
          <w:p w14:paraId="33A2F3FD" w14:textId="77777777" w:rsidR="00035E28" w:rsidRPr="00F47262" w:rsidRDefault="00035E28" w:rsidP="006D5A65">
            <w:pPr>
              <w:pStyle w:val="Heading1"/>
            </w:pPr>
          </w:p>
        </w:tc>
        <w:tc>
          <w:tcPr>
            <w:tcW w:w="4349" w:type="dxa"/>
          </w:tcPr>
          <w:p w14:paraId="0D76F4F3" w14:textId="4A947D04" w:rsidR="00035E28" w:rsidRPr="00F47262" w:rsidRDefault="00035E28" w:rsidP="00A776F3">
            <w:pPr>
              <w:spacing w:before="60" w:after="60"/>
              <w:rPr>
                <w:sz w:val="20"/>
              </w:rPr>
            </w:pPr>
            <w:r w:rsidRPr="00F47262">
              <w:rPr>
                <w:sz w:val="20"/>
              </w:rPr>
              <w:t xml:space="preserve">The </w:t>
            </w:r>
            <w:r w:rsidRPr="00F47262">
              <w:rPr>
                <w:i/>
                <w:sz w:val="20"/>
              </w:rPr>
              <w:t>Database Status</w:t>
            </w:r>
            <w:r w:rsidRPr="00F47262">
              <w:rPr>
                <w:sz w:val="20"/>
              </w:rPr>
              <w:t xml:space="preserve"> window is displayed. Click </w:t>
            </w:r>
            <w:r w:rsidRPr="00F47262">
              <w:rPr>
                <w:b/>
                <w:sz w:val="20"/>
              </w:rPr>
              <w:t>OK</w:t>
            </w:r>
            <w:r w:rsidRPr="00F47262">
              <w:rPr>
                <w:sz w:val="20"/>
              </w:rPr>
              <w:t>.</w:t>
            </w:r>
          </w:p>
        </w:tc>
        <w:tc>
          <w:tcPr>
            <w:tcW w:w="4381" w:type="dxa"/>
          </w:tcPr>
          <w:p w14:paraId="279FBF0F" w14:textId="1F393CE1" w:rsidR="00035E28" w:rsidRPr="00F47262" w:rsidRDefault="00035E28" w:rsidP="00A776F3">
            <w:pPr>
              <w:spacing w:before="60" w:after="60"/>
              <w:rPr>
                <w:noProof/>
                <w:sz w:val="20"/>
              </w:rPr>
            </w:pPr>
            <w:r w:rsidRPr="00F47262">
              <w:rPr>
                <w:noProof/>
                <w:sz w:val="20"/>
              </w:rPr>
              <w:drawing>
                <wp:inline distT="0" distB="0" distL="0" distR="0" wp14:anchorId="71E156E8" wp14:editId="6CCFF3F2">
                  <wp:extent cx="2731770" cy="1055370"/>
                  <wp:effectExtent l="0" t="0" r="0" b="0"/>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31770" cy="1055370"/>
                          </a:xfrm>
                          <a:prstGeom prst="rect">
                            <a:avLst/>
                          </a:prstGeom>
                        </pic:spPr>
                      </pic:pic>
                    </a:graphicData>
                  </a:graphic>
                </wp:inline>
              </w:drawing>
            </w:r>
          </w:p>
        </w:tc>
      </w:tr>
      <w:tr w:rsidR="00035E28" w:rsidRPr="000665B0" w14:paraId="61025D5A" w14:textId="77777777" w:rsidTr="00F47262">
        <w:trPr>
          <w:cantSplit/>
        </w:trPr>
        <w:tc>
          <w:tcPr>
            <w:tcW w:w="738" w:type="dxa"/>
          </w:tcPr>
          <w:p w14:paraId="3E2B6FF9" w14:textId="77777777" w:rsidR="00035E28" w:rsidRPr="00F47262" w:rsidRDefault="00035E28" w:rsidP="006D5A65">
            <w:pPr>
              <w:pStyle w:val="Heading1"/>
            </w:pPr>
          </w:p>
        </w:tc>
        <w:tc>
          <w:tcPr>
            <w:tcW w:w="4349" w:type="dxa"/>
          </w:tcPr>
          <w:p w14:paraId="23737535" w14:textId="23BB28D2" w:rsidR="00035E28" w:rsidRPr="00F47262" w:rsidRDefault="00035E28" w:rsidP="00A776F3">
            <w:pPr>
              <w:spacing w:before="60" w:after="60"/>
              <w:rPr>
                <w:sz w:val="20"/>
              </w:rPr>
            </w:pPr>
            <w:r w:rsidRPr="00F47262">
              <w:rPr>
                <w:sz w:val="20"/>
              </w:rPr>
              <w:t xml:space="preserve">If the ping response is received, click </w:t>
            </w:r>
            <w:r w:rsidRPr="00F47262">
              <w:rPr>
                <w:b/>
                <w:sz w:val="20"/>
              </w:rPr>
              <w:t>OK</w:t>
            </w:r>
            <w:r w:rsidRPr="00F47262">
              <w:rPr>
                <w:sz w:val="20"/>
              </w:rPr>
              <w:t>. If the ping response is not received, proceed to the next procedure.</w:t>
            </w:r>
          </w:p>
        </w:tc>
        <w:tc>
          <w:tcPr>
            <w:tcW w:w="4381" w:type="dxa"/>
          </w:tcPr>
          <w:p w14:paraId="1F642C40" w14:textId="4AE687F3" w:rsidR="00035E28" w:rsidRPr="00F47262" w:rsidRDefault="00035E28" w:rsidP="00A776F3">
            <w:pPr>
              <w:spacing w:before="60" w:after="60"/>
              <w:rPr>
                <w:noProof/>
                <w:sz w:val="20"/>
              </w:rPr>
            </w:pPr>
            <w:r w:rsidRPr="00F47262">
              <w:rPr>
                <w:noProof/>
                <w:sz w:val="20"/>
              </w:rPr>
              <w:drawing>
                <wp:inline distT="0" distB="0" distL="0" distR="0" wp14:anchorId="08FA538A" wp14:editId="410842A6">
                  <wp:extent cx="2262433" cy="1326852"/>
                  <wp:effectExtent l="0" t="0" r="5080" b="6985"/>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73176" cy="1333153"/>
                          </a:xfrm>
                          <a:prstGeom prst="rect">
                            <a:avLst/>
                          </a:prstGeom>
                        </pic:spPr>
                      </pic:pic>
                    </a:graphicData>
                  </a:graphic>
                </wp:inline>
              </w:drawing>
            </w:r>
          </w:p>
        </w:tc>
      </w:tr>
      <w:tr w:rsidR="00F15446" w:rsidRPr="000665B0" w14:paraId="1E462494" w14:textId="77777777" w:rsidTr="00F47262">
        <w:trPr>
          <w:cantSplit/>
        </w:trPr>
        <w:tc>
          <w:tcPr>
            <w:tcW w:w="738" w:type="dxa"/>
          </w:tcPr>
          <w:p w14:paraId="2A481E10" w14:textId="77777777" w:rsidR="00F15446" w:rsidRPr="00F47262" w:rsidRDefault="00F15446" w:rsidP="006D5A65">
            <w:pPr>
              <w:pStyle w:val="Heading1"/>
            </w:pPr>
          </w:p>
        </w:tc>
        <w:tc>
          <w:tcPr>
            <w:tcW w:w="4349" w:type="dxa"/>
          </w:tcPr>
          <w:p w14:paraId="2BB60F53" w14:textId="0DD4F295" w:rsidR="00F15446" w:rsidRPr="00F47262" w:rsidRDefault="00F15446" w:rsidP="00A776F3">
            <w:pPr>
              <w:spacing w:before="60" w:after="60"/>
              <w:rPr>
                <w:sz w:val="20"/>
              </w:rPr>
            </w:pPr>
            <w:r w:rsidRPr="00F47262">
              <w:rPr>
                <w:sz w:val="20"/>
              </w:rPr>
              <w:t>Exit the MDS application.</w:t>
            </w:r>
          </w:p>
        </w:tc>
        <w:tc>
          <w:tcPr>
            <w:tcW w:w="4381" w:type="dxa"/>
          </w:tcPr>
          <w:p w14:paraId="0276AFE2" w14:textId="77777777" w:rsidR="00F15446" w:rsidRPr="00F47262" w:rsidRDefault="00F15446" w:rsidP="00A776F3">
            <w:pPr>
              <w:spacing w:before="60" w:after="60"/>
              <w:rPr>
                <w:noProof/>
                <w:sz w:val="20"/>
              </w:rPr>
            </w:pPr>
          </w:p>
        </w:tc>
      </w:tr>
    </w:tbl>
    <w:p w14:paraId="2AD1128C" w14:textId="6DA10B43" w:rsidR="00E040D4" w:rsidRPr="000665B0" w:rsidRDefault="00065388" w:rsidP="00155E82">
      <w:pPr>
        <w:pStyle w:val="Appendix3"/>
        <w:ind w:left="360"/>
      </w:pPr>
      <w:bookmarkStart w:id="7501" w:name="_Toc214283716"/>
      <w:r w:rsidRPr="000665B0">
        <w:t>Ensure</w:t>
      </w:r>
      <w:r w:rsidR="00E040D4" w:rsidRPr="000665B0">
        <w:t xml:space="preserve"> </w:t>
      </w:r>
      <w:r w:rsidRPr="000665B0">
        <w:t>That</w:t>
      </w:r>
      <w:r w:rsidR="00E040D4" w:rsidRPr="000665B0">
        <w:t xml:space="preserve"> </w:t>
      </w:r>
      <w:r w:rsidRPr="000665B0">
        <w:t>the</w:t>
      </w:r>
      <w:r w:rsidR="00E040D4" w:rsidRPr="000665B0">
        <w:t xml:space="preserve"> MSMQ </w:t>
      </w:r>
      <w:r w:rsidRPr="000665B0">
        <w:t>Service</w:t>
      </w:r>
      <w:r w:rsidR="00E040D4" w:rsidRPr="000665B0">
        <w:t xml:space="preserve"> </w:t>
      </w:r>
      <w:r w:rsidRPr="000665B0">
        <w:t>is</w:t>
      </w:r>
      <w:r w:rsidR="00E040D4" w:rsidRPr="000665B0">
        <w:t xml:space="preserve"> </w:t>
      </w:r>
      <w:r w:rsidR="008E5DB6" w:rsidRPr="000665B0">
        <w:t>Running</w:t>
      </w:r>
      <w:bookmarkEnd w:id="7501"/>
    </w:p>
    <w:p w14:paraId="31C1558F" w14:textId="6E6ECD1C" w:rsidR="00E040D4" w:rsidRPr="000665B0" w:rsidRDefault="00E040D4" w:rsidP="00E040D4">
      <w:pPr>
        <w:rPr>
          <w:szCs w:val="24"/>
        </w:rPr>
      </w:pPr>
      <w:r w:rsidRPr="000665B0">
        <w:rPr>
          <w:szCs w:val="24"/>
        </w:rPr>
        <w:t>This is unlikely, but</w:t>
      </w:r>
      <w:r w:rsidR="009E2CF9" w:rsidRPr="000665B0">
        <w:rPr>
          <w:szCs w:val="24"/>
        </w:rPr>
        <w:t xml:space="preserve"> it is possible that the</w:t>
      </w:r>
      <w:r w:rsidRPr="000665B0">
        <w:rPr>
          <w:szCs w:val="24"/>
        </w:rPr>
        <w:t xml:space="preserve"> MSMQ service </w:t>
      </w:r>
      <w:r w:rsidR="009E2CF9" w:rsidRPr="000665B0">
        <w:rPr>
          <w:szCs w:val="24"/>
        </w:rPr>
        <w:t xml:space="preserve">is not </w:t>
      </w:r>
      <w:r w:rsidR="008E5DB6" w:rsidRPr="000665B0">
        <w:rPr>
          <w:szCs w:val="24"/>
        </w:rPr>
        <w:t>running</w:t>
      </w:r>
      <w:r w:rsidRPr="000665B0">
        <w:rPr>
          <w:szCs w:val="24"/>
        </w:rPr>
        <w:t xml:space="preserve"> on both the client and the web server. </w:t>
      </w:r>
      <w:r w:rsidR="009E2CF9" w:rsidRPr="000665B0">
        <w:rPr>
          <w:szCs w:val="24"/>
        </w:rPr>
        <w:t xml:space="preserve">The Error Log will likely contain a </w:t>
      </w:r>
      <w:r w:rsidR="009E2CF9" w:rsidRPr="000665B0">
        <w:rPr>
          <w:b/>
          <w:szCs w:val="24"/>
        </w:rPr>
        <w:t xml:space="preserve">TED Web Service Error: </w:t>
      </w:r>
      <w:r w:rsidR="009E2CF9" w:rsidRPr="000665B0">
        <w:rPr>
          <w:b/>
          <w:szCs w:val="24"/>
        </w:rPr>
        <w:lastRenderedPageBreak/>
        <w:t>MESSAGE_QUEUE_ERROR</w:t>
      </w:r>
      <w:r w:rsidR="009E2CF9" w:rsidRPr="000665B0">
        <w:rPr>
          <w:szCs w:val="24"/>
        </w:rPr>
        <w:t xml:space="preserve">. </w:t>
      </w:r>
      <w:r w:rsidRPr="000665B0">
        <w:rPr>
          <w:szCs w:val="24"/>
        </w:rPr>
        <w:t>I</w:t>
      </w:r>
      <w:r w:rsidR="009E2CF9" w:rsidRPr="000665B0">
        <w:rPr>
          <w:szCs w:val="24"/>
        </w:rPr>
        <w:t>n this scenario,</w:t>
      </w:r>
      <w:r w:rsidR="007C2FCD" w:rsidRPr="000665B0">
        <w:rPr>
          <w:szCs w:val="24"/>
        </w:rPr>
        <w:t xml:space="preserve"> t</w:t>
      </w:r>
      <w:r w:rsidRPr="000665B0">
        <w:rPr>
          <w:szCs w:val="24"/>
        </w:rPr>
        <w:t xml:space="preserve">he service must be manually </w:t>
      </w:r>
      <w:r w:rsidR="00356AD6" w:rsidRPr="000665B0">
        <w:rPr>
          <w:szCs w:val="24"/>
        </w:rPr>
        <w:t>restarted,</w:t>
      </w:r>
      <w:r w:rsidRPr="000665B0">
        <w:rPr>
          <w:szCs w:val="24"/>
        </w:rPr>
        <w:t xml:space="preserve"> and</w:t>
      </w:r>
      <w:r w:rsidR="00635CD9" w:rsidRPr="000665B0">
        <w:rPr>
          <w:szCs w:val="24"/>
        </w:rPr>
        <w:t xml:space="preserve"> it must be ensured that</w:t>
      </w:r>
      <w:r w:rsidRPr="000665B0">
        <w:rPr>
          <w:szCs w:val="24"/>
        </w:rPr>
        <w:t xml:space="preserve"> the </w:t>
      </w:r>
      <w:r w:rsidR="008E5DB6" w:rsidRPr="000665B0">
        <w:rPr>
          <w:szCs w:val="24"/>
        </w:rPr>
        <w:t>service is</w:t>
      </w:r>
      <w:r w:rsidRPr="000665B0">
        <w:rPr>
          <w:szCs w:val="24"/>
        </w:rPr>
        <w:t xml:space="preserve"> set to </w:t>
      </w:r>
      <w:r w:rsidR="006B6E98" w:rsidRPr="000665B0">
        <w:rPr>
          <w:szCs w:val="24"/>
        </w:rPr>
        <w:t>start automatically</w:t>
      </w:r>
      <w:r w:rsidRPr="000665B0">
        <w:rPr>
          <w:szCs w:val="24"/>
        </w:rPr>
        <w:t>.</w:t>
      </w:r>
    </w:p>
    <w:p w14:paraId="0F39A61F" w14:textId="77777777" w:rsidR="002C5B28" w:rsidRPr="000665B0" w:rsidRDefault="002C5B28" w:rsidP="002C5B28">
      <w:pPr>
        <w:rPr>
          <w:szCs w:val="24"/>
        </w:rPr>
      </w:pPr>
      <w:r w:rsidRPr="000665B0">
        <w:rPr>
          <w:szCs w:val="24"/>
        </w:rPr>
        <w:t>Follow these steps to ensure that the Microsoft Message Queuing Service is started. The procedure must be performed on both the TED server and the MDS workstation.</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4320"/>
        <w:gridCol w:w="29"/>
        <w:gridCol w:w="4381"/>
      </w:tblGrid>
      <w:tr w:rsidR="002C5B28" w:rsidRPr="000665B0" w14:paraId="61E44BFE" w14:textId="77777777" w:rsidTr="00F47262">
        <w:trPr>
          <w:cantSplit/>
          <w:tblHeader/>
        </w:trPr>
        <w:tc>
          <w:tcPr>
            <w:tcW w:w="9468" w:type="dxa"/>
            <w:gridSpan w:val="4"/>
            <w:tcBorders>
              <w:bottom w:val="single" w:sz="4" w:space="0" w:color="auto"/>
            </w:tcBorders>
            <w:shd w:val="clear" w:color="auto" w:fill="D9D9D9" w:themeFill="background1" w:themeFillShade="D9"/>
          </w:tcPr>
          <w:p w14:paraId="31A6AA69" w14:textId="6445BF99" w:rsidR="002C5B28" w:rsidRPr="00F47262" w:rsidRDefault="002C5B28" w:rsidP="00DF73CC">
            <w:pPr>
              <w:keepNext/>
              <w:keepLines/>
              <w:spacing w:before="60" w:after="60"/>
              <w:rPr>
                <w:rFonts w:ascii="Arial" w:hAnsi="Arial" w:cs="Arial"/>
                <w:b/>
                <w:szCs w:val="24"/>
              </w:rPr>
            </w:pPr>
            <w:r w:rsidRPr="00F47262">
              <w:rPr>
                <w:rFonts w:ascii="Arial" w:hAnsi="Arial" w:cs="Arial"/>
                <w:b/>
                <w:szCs w:val="24"/>
              </w:rPr>
              <w:t>L</w:t>
            </w:r>
            <w:r w:rsidR="00DF73CC" w:rsidRPr="00F47262">
              <w:rPr>
                <w:rFonts w:ascii="Arial" w:hAnsi="Arial" w:cs="Arial"/>
                <w:b/>
                <w:szCs w:val="24"/>
              </w:rPr>
              <w:t>.</w:t>
            </w:r>
            <w:r w:rsidRPr="00F47262">
              <w:rPr>
                <w:rFonts w:ascii="Arial" w:hAnsi="Arial" w:cs="Arial"/>
                <w:b/>
                <w:szCs w:val="24"/>
              </w:rPr>
              <w:t>5</w:t>
            </w:r>
            <w:r w:rsidR="007C2FCD" w:rsidRPr="00F47262">
              <w:rPr>
                <w:rFonts w:ascii="Arial" w:hAnsi="Arial" w:cs="Arial"/>
                <w:b/>
                <w:szCs w:val="24"/>
              </w:rPr>
              <w:t>.2</w:t>
            </w:r>
            <w:r w:rsidR="009651B0" w:rsidRPr="00F47262">
              <w:rPr>
                <w:rFonts w:ascii="Arial" w:hAnsi="Arial" w:cs="Arial"/>
                <w:b/>
                <w:szCs w:val="24"/>
              </w:rPr>
              <w:t xml:space="preserve"> </w:t>
            </w:r>
            <w:r w:rsidR="007C2FCD" w:rsidRPr="00F47262">
              <w:rPr>
                <w:rFonts w:ascii="Arial" w:hAnsi="Arial" w:cs="Arial"/>
                <w:b/>
                <w:szCs w:val="24"/>
              </w:rPr>
              <w:t xml:space="preserve">Ensure That the MSMQ Service is </w:t>
            </w:r>
            <w:r w:rsidR="008E5DB6" w:rsidRPr="00F47262">
              <w:rPr>
                <w:rFonts w:ascii="Arial" w:hAnsi="Arial" w:cs="Arial"/>
                <w:b/>
                <w:szCs w:val="24"/>
              </w:rPr>
              <w:t>Running</w:t>
            </w:r>
            <w:r w:rsidR="007C2FCD" w:rsidRPr="00F47262">
              <w:rPr>
                <w:rFonts w:ascii="Arial" w:hAnsi="Arial" w:cs="Arial"/>
                <w:b/>
                <w:bCs/>
                <w:caps/>
              </w:rPr>
              <w:t xml:space="preserve"> </w:t>
            </w:r>
          </w:p>
        </w:tc>
      </w:tr>
      <w:tr w:rsidR="002C5B28" w:rsidRPr="000665B0" w14:paraId="641FEC64" w14:textId="77777777" w:rsidTr="00F47262">
        <w:trPr>
          <w:cantSplit/>
          <w:tblHeader/>
        </w:trPr>
        <w:tc>
          <w:tcPr>
            <w:tcW w:w="738" w:type="dxa"/>
            <w:tcBorders>
              <w:bottom w:val="single" w:sz="4" w:space="0" w:color="auto"/>
            </w:tcBorders>
            <w:shd w:val="clear" w:color="auto" w:fill="D9D9D9" w:themeFill="background1" w:themeFillShade="D9"/>
          </w:tcPr>
          <w:p w14:paraId="0E4444EA" w14:textId="77777777" w:rsidR="002C5B28" w:rsidRPr="00F47262" w:rsidRDefault="002C5B28" w:rsidP="00962533">
            <w:pPr>
              <w:keepNext/>
              <w:keepLines/>
              <w:spacing w:before="60" w:after="60"/>
              <w:jc w:val="both"/>
              <w:rPr>
                <w:rFonts w:ascii="Arial" w:hAnsi="Arial" w:cs="Arial"/>
                <w:b/>
                <w:szCs w:val="24"/>
              </w:rPr>
            </w:pPr>
            <w:r w:rsidRPr="00F47262">
              <w:rPr>
                <w:rFonts w:ascii="Arial" w:hAnsi="Arial" w:cs="Arial"/>
                <w:b/>
                <w:szCs w:val="24"/>
              </w:rPr>
              <w:t>Step</w:t>
            </w:r>
          </w:p>
        </w:tc>
        <w:tc>
          <w:tcPr>
            <w:tcW w:w="4349" w:type="dxa"/>
            <w:gridSpan w:val="2"/>
            <w:tcBorders>
              <w:bottom w:val="single" w:sz="4" w:space="0" w:color="auto"/>
            </w:tcBorders>
            <w:shd w:val="clear" w:color="auto" w:fill="D9D9D9" w:themeFill="background1" w:themeFillShade="D9"/>
          </w:tcPr>
          <w:p w14:paraId="6C147F3A" w14:textId="77777777" w:rsidR="002C5B28" w:rsidRPr="00F47262" w:rsidRDefault="002C5B28" w:rsidP="00962533">
            <w:pPr>
              <w:keepNext/>
              <w:keepLines/>
              <w:spacing w:before="60" w:after="60"/>
              <w:rPr>
                <w:rFonts w:ascii="Arial" w:hAnsi="Arial" w:cs="Arial"/>
                <w:b/>
                <w:szCs w:val="24"/>
              </w:rPr>
            </w:pPr>
            <w:r w:rsidRPr="00F47262">
              <w:rPr>
                <w:rFonts w:ascii="Arial" w:hAnsi="Arial" w:cs="Arial"/>
                <w:b/>
                <w:szCs w:val="24"/>
              </w:rPr>
              <w:t>Procedure</w:t>
            </w:r>
          </w:p>
        </w:tc>
        <w:tc>
          <w:tcPr>
            <w:tcW w:w="4381" w:type="dxa"/>
            <w:tcBorders>
              <w:bottom w:val="single" w:sz="4" w:space="0" w:color="auto"/>
            </w:tcBorders>
            <w:shd w:val="clear" w:color="auto" w:fill="D9D9D9" w:themeFill="background1" w:themeFillShade="D9"/>
          </w:tcPr>
          <w:p w14:paraId="6961B314" w14:textId="77777777" w:rsidR="002C5B28" w:rsidRPr="00F47262" w:rsidRDefault="002C5B28" w:rsidP="00962533">
            <w:pPr>
              <w:keepNext/>
              <w:keepLines/>
              <w:spacing w:before="60" w:after="60"/>
              <w:rPr>
                <w:rFonts w:ascii="Arial" w:hAnsi="Arial" w:cs="Arial"/>
                <w:b/>
                <w:szCs w:val="24"/>
              </w:rPr>
            </w:pPr>
            <w:r w:rsidRPr="00F47262">
              <w:rPr>
                <w:rFonts w:ascii="Arial" w:hAnsi="Arial" w:cs="Arial"/>
                <w:b/>
                <w:szCs w:val="24"/>
              </w:rPr>
              <w:t>Comments</w:t>
            </w:r>
          </w:p>
        </w:tc>
      </w:tr>
      <w:tr w:rsidR="002C5B28" w:rsidRPr="000665B0" w14:paraId="0AAAE92A" w14:textId="77777777" w:rsidTr="00F47262">
        <w:trPr>
          <w:cantSplit/>
        </w:trPr>
        <w:tc>
          <w:tcPr>
            <w:tcW w:w="738" w:type="dxa"/>
          </w:tcPr>
          <w:p w14:paraId="2FF6C7D4" w14:textId="77777777" w:rsidR="002C5B28" w:rsidRPr="00F47262" w:rsidRDefault="002C5B28" w:rsidP="006D5A65">
            <w:pPr>
              <w:pStyle w:val="Heading1"/>
            </w:pPr>
          </w:p>
        </w:tc>
        <w:tc>
          <w:tcPr>
            <w:tcW w:w="4320" w:type="dxa"/>
          </w:tcPr>
          <w:p w14:paraId="295CDBEB" w14:textId="77777777" w:rsidR="002C5B28" w:rsidRPr="00F47262" w:rsidRDefault="00685618" w:rsidP="00685618">
            <w:pPr>
              <w:spacing w:before="60" w:after="60"/>
              <w:rPr>
                <w:sz w:val="20"/>
              </w:rPr>
            </w:pPr>
            <w:r w:rsidRPr="00F47262">
              <w:rPr>
                <w:sz w:val="20"/>
              </w:rPr>
              <w:t xml:space="preserve">Right-click the </w:t>
            </w:r>
            <w:r w:rsidRPr="00F47262">
              <w:rPr>
                <w:noProof/>
                <w:sz w:val="20"/>
              </w:rPr>
              <w:drawing>
                <wp:inline distT="0" distB="0" distL="0" distR="0" wp14:anchorId="2F87BA3D" wp14:editId="05007FE5">
                  <wp:extent cx="182880" cy="178068"/>
                  <wp:effectExtent l="0" t="0" r="7620" b="0"/>
                  <wp:docPr id="1189" name="Picture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Search</w:t>
            </w:r>
            <w:r w:rsidRPr="00F47262">
              <w:rPr>
                <w:sz w:val="20"/>
              </w:rPr>
              <w:t xml:space="preserve"> from the pop-up menu. Type </w:t>
            </w:r>
            <w:r w:rsidRPr="00F47262">
              <w:rPr>
                <w:b/>
                <w:sz w:val="20"/>
              </w:rPr>
              <w:t>Services</w:t>
            </w:r>
            <w:r w:rsidRPr="00F47262">
              <w:rPr>
                <w:sz w:val="20"/>
              </w:rPr>
              <w:t xml:space="preserve"> in the </w:t>
            </w:r>
            <w:r w:rsidRPr="00F47262">
              <w:rPr>
                <w:b/>
                <w:sz w:val="20"/>
              </w:rPr>
              <w:t>Search</w:t>
            </w:r>
            <w:r w:rsidRPr="00F47262">
              <w:rPr>
                <w:sz w:val="20"/>
              </w:rPr>
              <w:t xml:space="preserve"> field, and then select </w:t>
            </w:r>
            <w:r w:rsidRPr="00F47262">
              <w:rPr>
                <w:b/>
                <w:sz w:val="20"/>
              </w:rPr>
              <w:t>Services</w:t>
            </w:r>
            <w:r w:rsidRPr="00F47262">
              <w:rPr>
                <w:sz w:val="20"/>
              </w:rPr>
              <w:t xml:space="preserve"> in the results list.</w:t>
            </w:r>
          </w:p>
        </w:tc>
        <w:tc>
          <w:tcPr>
            <w:tcW w:w="4410" w:type="dxa"/>
            <w:gridSpan w:val="2"/>
          </w:tcPr>
          <w:p w14:paraId="6A6DA048" w14:textId="77777777" w:rsidR="002C5B28" w:rsidRPr="00F47262" w:rsidRDefault="00685618" w:rsidP="00962533">
            <w:pPr>
              <w:spacing w:before="60" w:after="60"/>
              <w:rPr>
                <w:sz w:val="20"/>
              </w:rPr>
            </w:pPr>
            <w:r w:rsidRPr="00F47262">
              <w:rPr>
                <w:noProof/>
                <w:sz w:val="20"/>
              </w:rPr>
              <w:drawing>
                <wp:inline distT="0" distB="0" distL="0" distR="0" wp14:anchorId="7F371D79" wp14:editId="0072AE63">
                  <wp:extent cx="2238375" cy="1345613"/>
                  <wp:effectExtent l="0" t="0" r="0" b="6985"/>
                  <wp:docPr id="1283"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238375" cy="1345613"/>
                          </a:xfrm>
                          <a:prstGeom prst="rect">
                            <a:avLst/>
                          </a:prstGeom>
                        </pic:spPr>
                      </pic:pic>
                    </a:graphicData>
                  </a:graphic>
                </wp:inline>
              </w:drawing>
            </w:r>
          </w:p>
        </w:tc>
      </w:tr>
      <w:tr w:rsidR="002C5B28" w:rsidRPr="000665B0" w14:paraId="499B31E7" w14:textId="77777777" w:rsidTr="00F47262">
        <w:trPr>
          <w:cantSplit/>
        </w:trPr>
        <w:tc>
          <w:tcPr>
            <w:tcW w:w="738" w:type="dxa"/>
          </w:tcPr>
          <w:p w14:paraId="59BF9F29" w14:textId="77777777" w:rsidR="002C5B28" w:rsidRPr="00F47262" w:rsidRDefault="002C5B28" w:rsidP="006D5A65">
            <w:pPr>
              <w:pStyle w:val="Heading1"/>
            </w:pPr>
          </w:p>
        </w:tc>
        <w:tc>
          <w:tcPr>
            <w:tcW w:w="4320" w:type="dxa"/>
          </w:tcPr>
          <w:p w14:paraId="2749DCDC" w14:textId="52FB4D81" w:rsidR="002C5B28" w:rsidRPr="00F47262" w:rsidRDefault="002C5B28" w:rsidP="007C2E4D">
            <w:pPr>
              <w:spacing w:before="60" w:after="60"/>
              <w:rPr>
                <w:sz w:val="20"/>
              </w:rPr>
            </w:pPr>
            <w:r w:rsidRPr="00F47262">
              <w:rPr>
                <w:sz w:val="20"/>
              </w:rPr>
              <w:t xml:space="preserve">In the </w:t>
            </w:r>
            <w:r w:rsidRPr="00F47262">
              <w:rPr>
                <w:i/>
                <w:sz w:val="20"/>
              </w:rPr>
              <w:t>Services</w:t>
            </w:r>
            <w:r w:rsidRPr="00F47262">
              <w:rPr>
                <w:sz w:val="20"/>
              </w:rPr>
              <w:t xml:space="preserve"> window, select </w:t>
            </w:r>
            <w:r w:rsidRPr="00F47262">
              <w:rPr>
                <w:b/>
                <w:sz w:val="20"/>
              </w:rPr>
              <w:t>Message Queuing</w:t>
            </w:r>
            <w:r w:rsidRPr="00F47262">
              <w:rPr>
                <w:sz w:val="20"/>
              </w:rPr>
              <w:t xml:space="preserve"> and verify that the </w:t>
            </w:r>
            <w:r w:rsidRPr="00F47262">
              <w:rPr>
                <w:b/>
                <w:sz w:val="20"/>
              </w:rPr>
              <w:t>Status</w:t>
            </w:r>
            <w:r w:rsidRPr="00F47262">
              <w:rPr>
                <w:sz w:val="20"/>
              </w:rPr>
              <w:t xml:space="preserve"> is </w:t>
            </w:r>
            <w:r w:rsidR="007C2E4D" w:rsidRPr="00F47262">
              <w:rPr>
                <w:b/>
                <w:sz w:val="20"/>
              </w:rPr>
              <w:t>Running</w:t>
            </w:r>
            <w:r w:rsidRPr="00F47262">
              <w:rPr>
                <w:sz w:val="20"/>
              </w:rPr>
              <w:t xml:space="preserve">. If not </w:t>
            </w:r>
            <w:r w:rsidR="007C2E4D" w:rsidRPr="00F47262">
              <w:rPr>
                <w:b/>
                <w:sz w:val="20"/>
              </w:rPr>
              <w:t>Running</w:t>
            </w:r>
            <w:r w:rsidRPr="00F47262">
              <w:rPr>
                <w:sz w:val="20"/>
              </w:rPr>
              <w:t xml:space="preserve">, select </w:t>
            </w:r>
            <w:r w:rsidRPr="00F47262">
              <w:rPr>
                <w:b/>
                <w:sz w:val="20"/>
              </w:rPr>
              <w:t>Start</w:t>
            </w:r>
            <w:r w:rsidRPr="00F47262">
              <w:rPr>
                <w:sz w:val="20"/>
              </w:rPr>
              <w:t xml:space="preserve"> from the context menu (</w:t>
            </w:r>
            <w:r w:rsidR="00D71804" w:rsidRPr="00F47262">
              <w:rPr>
                <w:sz w:val="20"/>
              </w:rPr>
              <w:t>right-click</w:t>
            </w:r>
            <w:r w:rsidRPr="00F47262">
              <w:rPr>
                <w:sz w:val="20"/>
              </w:rPr>
              <w:t xml:space="preserve"> the mouse) or click </w:t>
            </w:r>
            <w:r w:rsidRPr="00F47262">
              <w:rPr>
                <w:b/>
                <w:sz w:val="20"/>
              </w:rPr>
              <w:t>Start the service</w:t>
            </w:r>
            <w:r w:rsidRPr="00F47262">
              <w:rPr>
                <w:sz w:val="20"/>
              </w:rPr>
              <w:t xml:space="preserve"> in the </w:t>
            </w:r>
            <w:r w:rsidRPr="00F47262">
              <w:rPr>
                <w:b/>
                <w:sz w:val="20"/>
              </w:rPr>
              <w:t>Message Queuing</w:t>
            </w:r>
            <w:r w:rsidRPr="00F47262">
              <w:rPr>
                <w:sz w:val="20"/>
              </w:rPr>
              <w:t xml:space="preserve"> pane.</w:t>
            </w:r>
          </w:p>
        </w:tc>
        <w:tc>
          <w:tcPr>
            <w:tcW w:w="4410" w:type="dxa"/>
            <w:gridSpan w:val="2"/>
          </w:tcPr>
          <w:p w14:paraId="57AAAC27" w14:textId="77777777" w:rsidR="002C5B28" w:rsidRPr="00F47262" w:rsidRDefault="00685618" w:rsidP="00962533">
            <w:pPr>
              <w:spacing w:before="60" w:after="60"/>
              <w:rPr>
                <w:sz w:val="20"/>
              </w:rPr>
            </w:pPr>
            <w:r w:rsidRPr="00F47262">
              <w:rPr>
                <w:noProof/>
                <w:sz w:val="20"/>
              </w:rPr>
              <w:drawing>
                <wp:inline distT="0" distB="0" distL="0" distR="0" wp14:anchorId="4A98B028" wp14:editId="5EAABE1B">
                  <wp:extent cx="2743200" cy="1473005"/>
                  <wp:effectExtent l="0" t="0" r="0" b="0"/>
                  <wp:docPr id="1340" name="Picture 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screen">
                            <a:extLst>
                              <a:ext uri="{28A0092B-C50C-407E-A947-70E740481C1C}">
                                <a14:useLocalDpi xmlns:a14="http://schemas.microsoft.com/office/drawing/2010/main"/>
                              </a:ext>
                            </a:extLst>
                          </a:blip>
                          <a:stretch>
                            <a:fillRect/>
                          </a:stretch>
                        </pic:blipFill>
                        <pic:spPr>
                          <a:xfrm>
                            <a:off x="0" y="0"/>
                            <a:ext cx="2742084" cy="1472406"/>
                          </a:xfrm>
                          <a:prstGeom prst="rect">
                            <a:avLst/>
                          </a:prstGeom>
                        </pic:spPr>
                      </pic:pic>
                    </a:graphicData>
                  </a:graphic>
                </wp:inline>
              </w:drawing>
            </w:r>
          </w:p>
        </w:tc>
      </w:tr>
      <w:tr w:rsidR="006B6E98" w:rsidRPr="000665B0" w14:paraId="1FBA0018" w14:textId="77777777" w:rsidTr="00F47262">
        <w:trPr>
          <w:cantSplit/>
        </w:trPr>
        <w:tc>
          <w:tcPr>
            <w:tcW w:w="738" w:type="dxa"/>
          </w:tcPr>
          <w:p w14:paraId="57120D49" w14:textId="77777777" w:rsidR="006B6E98" w:rsidRPr="00F47262" w:rsidRDefault="006B6E98" w:rsidP="006D5A65">
            <w:pPr>
              <w:pStyle w:val="Heading1"/>
            </w:pPr>
          </w:p>
        </w:tc>
        <w:tc>
          <w:tcPr>
            <w:tcW w:w="4320" w:type="dxa"/>
          </w:tcPr>
          <w:p w14:paraId="5C694B66" w14:textId="77777777" w:rsidR="00D05A66" w:rsidRPr="00F47262" w:rsidRDefault="006B6E98" w:rsidP="00962533">
            <w:pPr>
              <w:spacing w:before="60" w:after="60"/>
              <w:rPr>
                <w:sz w:val="20"/>
              </w:rPr>
            </w:pPr>
            <w:r w:rsidRPr="00F47262">
              <w:rPr>
                <w:sz w:val="20"/>
              </w:rPr>
              <w:t xml:space="preserve">Ensure that the </w:t>
            </w:r>
            <w:r w:rsidRPr="00F47262">
              <w:rPr>
                <w:b/>
                <w:sz w:val="20"/>
              </w:rPr>
              <w:t>Startup Type</w:t>
            </w:r>
            <w:r w:rsidRPr="00F47262">
              <w:rPr>
                <w:sz w:val="20"/>
              </w:rPr>
              <w:t xml:space="preserve"> column displays </w:t>
            </w:r>
            <w:r w:rsidRPr="00F47262">
              <w:rPr>
                <w:b/>
                <w:sz w:val="20"/>
              </w:rPr>
              <w:t>Automatic</w:t>
            </w:r>
            <w:r w:rsidRPr="00F47262">
              <w:rPr>
                <w:sz w:val="20"/>
              </w:rPr>
              <w:t xml:space="preserve">. </w:t>
            </w:r>
          </w:p>
          <w:p w14:paraId="6A949EC8" w14:textId="07F71D7D" w:rsidR="006B6E98" w:rsidRPr="00F47262" w:rsidRDefault="00D05A66" w:rsidP="00962533">
            <w:pPr>
              <w:spacing w:before="60" w:after="60"/>
              <w:rPr>
                <w:sz w:val="20"/>
              </w:rPr>
            </w:pPr>
            <w:r w:rsidRPr="00F47262">
              <w:rPr>
                <w:sz w:val="20"/>
              </w:rPr>
              <w:t>To set the startup to Automatic: R</w:t>
            </w:r>
            <w:r w:rsidR="006B6E98" w:rsidRPr="00F47262">
              <w:rPr>
                <w:sz w:val="20"/>
              </w:rPr>
              <w:t xml:space="preserve">ight-click </w:t>
            </w:r>
            <w:r w:rsidR="006B6E98" w:rsidRPr="00F47262">
              <w:rPr>
                <w:b/>
                <w:sz w:val="20"/>
              </w:rPr>
              <w:t>Message Queuing</w:t>
            </w:r>
            <w:r w:rsidR="006B6E98" w:rsidRPr="00F47262">
              <w:rPr>
                <w:sz w:val="20"/>
              </w:rPr>
              <w:t xml:space="preserve"> and select </w:t>
            </w:r>
            <w:r w:rsidR="006B6E98" w:rsidRPr="00F47262">
              <w:rPr>
                <w:b/>
                <w:sz w:val="20"/>
              </w:rPr>
              <w:t>Properties</w:t>
            </w:r>
            <w:r w:rsidR="006B6E98" w:rsidRPr="00F47262">
              <w:rPr>
                <w:sz w:val="20"/>
              </w:rPr>
              <w:t xml:space="preserve">. Select </w:t>
            </w:r>
            <w:r w:rsidR="006B6E98" w:rsidRPr="00F47262">
              <w:rPr>
                <w:b/>
                <w:sz w:val="20"/>
              </w:rPr>
              <w:t>Automatic</w:t>
            </w:r>
            <w:r w:rsidR="006B6E98" w:rsidRPr="00F47262">
              <w:rPr>
                <w:sz w:val="20"/>
              </w:rPr>
              <w:t xml:space="preserve"> </w:t>
            </w:r>
            <w:r w:rsidRPr="00F47262">
              <w:rPr>
                <w:sz w:val="20"/>
              </w:rPr>
              <w:t>from</w:t>
            </w:r>
            <w:r w:rsidR="006B6E98" w:rsidRPr="00F47262">
              <w:rPr>
                <w:sz w:val="20"/>
              </w:rPr>
              <w:t xml:space="preserve"> the </w:t>
            </w:r>
            <w:r w:rsidR="006B6E98" w:rsidRPr="00F47262">
              <w:rPr>
                <w:b/>
                <w:sz w:val="20"/>
              </w:rPr>
              <w:t>Startup type</w:t>
            </w:r>
            <w:r w:rsidR="006B6E98" w:rsidRPr="00F47262">
              <w:rPr>
                <w:sz w:val="20"/>
              </w:rPr>
              <w:t xml:space="preserve"> pull down menu</w:t>
            </w:r>
            <w:r w:rsidR="008E5DB6" w:rsidRPr="00F47262">
              <w:rPr>
                <w:sz w:val="20"/>
              </w:rPr>
              <w:t xml:space="preserve"> and click </w:t>
            </w:r>
            <w:r w:rsidR="008E5DB6" w:rsidRPr="00F47262">
              <w:rPr>
                <w:b/>
                <w:sz w:val="20"/>
              </w:rPr>
              <w:t>OK</w:t>
            </w:r>
            <w:r w:rsidR="006B6E98" w:rsidRPr="00F47262">
              <w:rPr>
                <w:sz w:val="20"/>
              </w:rPr>
              <w:t>.</w:t>
            </w:r>
          </w:p>
        </w:tc>
        <w:tc>
          <w:tcPr>
            <w:tcW w:w="4410" w:type="dxa"/>
            <w:gridSpan w:val="2"/>
          </w:tcPr>
          <w:p w14:paraId="629C42C2" w14:textId="4C60ACA7" w:rsidR="006B6E98" w:rsidRPr="00F47262" w:rsidRDefault="006B6E98" w:rsidP="00962533">
            <w:pPr>
              <w:spacing w:before="60" w:after="60"/>
              <w:rPr>
                <w:sz w:val="20"/>
              </w:rPr>
            </w:pPr>
            <w:r w:rsidRPr="00F47262">
              <w:rPr>
                <w:noProof/>
                <w:sz w:val="20"/>
              </w:rPr>
              <w:drawing>
                <wp:inline distT="0" distB="0" distL="0" distR="0" wp14:anchorId="33CC5B4F" wp14:editId="27CAAFCC">
                  <wp:extent cx="2731770" cy="1951990"/>
                  <wp:effectExtent l="0" t="0" r="0" b="9525"/>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31770" cy="1951990"/>
                          </a:xfrm>
                          <a:prstGeom prst="rect">
                            <a:avLst/>
                          </a:prstGeom>
                        </pic:spPr>
                      </pic:pic>
                    </a:graphicData>
                  </a:graphic>
                </wp:inline>
              </w:drawing>
            </w:r>
          </w:p>
        </w:tc>
      </w:tr>
      <w:tr w:rsidR="002C5B28" w:rsidRPr="000665B0" w14:paraId="71736B84" w14:textId="77777777" w:rsidTr="00F47262">
        <w:trPr>
          <w:cantSplit/>
        </w:trPr>
        <w:tc>
          <w:tcPr>
            <w:tcW w:w="738" w:type="dxa"/>
          </w:tcPr>
          <w:p w14:paraId="61D64DAC" w14:textId="77777777" w:rsidR="002C5B28" w:rsidRPr="00F47262" w:rsidRDefault="002C5B28" w:rsidP="006D5A65">
            <w:pPr>
              <w:pStyle w:val="Heading1"/>
            </w:pPr>
          </w:p>
        </w:tc>
        <w:tc>
          <w:tcPr>
            <w:tcW w:w="4320" w:type="dxa"/>
          </w:tcPr>
          <w:p w14:paraId="756EA8C1" w14:textId="77777777" w:rsidR="002C5B28" w:rsidRPr="00F47262" w:rsidRDefault="002C5B28" w:rsidP="00962533">
            <w:pPr>
              <w:spacing w:before="60" w:after="60"/>
              <w:rPr>
                <w:sz w:val="20"/>
              </w:rPr>
            </w:pPr>
            <w:r w:rsidRPr="00F47262">
              <w:rPr>
                <w:sz w:val="20"/>
              </w:rPr>
              <w:t xml:space="preserve">Click the </w:t>
            </w:r>
            <w:r w:rsidRPr="00F47262">
              <w:rPr>
                <w:noProof/>
                <w:sz w:val="20"/>
              </w:rPr>
              <w:drawing>
                <wp:inline distT="0" distB="0" distL="0" distR="0" wp14:anchorId="574BF35D" wp14:editId="17C423A9">
                  <wp:extent cx="171450" cy="152400"/>
                  <wp:effectExtent l="0" t="0" r="0" b="0"/>
                  <wp:docPr id="1348" name="Picture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Button.jpg"/>
                          <pic:cNvPicPr/>
                        </pic:nvPicPr>
                        <pic:blipFill>
                          <a:blip>
                            <a:extLst>
                              <a:ext uri="{28A0092B-C50C-407E-A947-70E740481C1C}">
                                <a14:useLocalDpi xmlns:a14="http://schemas.microsoft.com/office/drawing/2010/main"/>
                              </a:ext>
                            </a:extLst>
                          </a:blip>
                          <a:stretch>
                            <a:fillRect/>
                          </a:stretch>
                        </pic:blipFill>
                        <pic:spPr>
                          <a:xfrm>
                            <a:off x="0" y="0"/>
                            <a:ext cx="171450" cy="152400"/>
                          </a:xfrm>
                          <a:prstGeom prst="rect">
                            <a:avLst/>
                          </a:prstGeom>
                        </pic:spPr>
                      </pic:pic>
                    </a:graphicData>
                  </a:graphic>
                </wp:inline>
              </w:drawing>
            </w:r>
            <w:r w:rsidRPr="00F47262">
              <w:rPr>
                <w:sz w:val="20"/>
              </w:rPr>
              <w:t xml:space="preserve"> button to close the </w:t>
            </w:r>
            <w:r w:rsidRPr="00F47262">
              <w:rPr>
                <w:i/>
                <w:sz w:val="20"/>
              </w:rPr>
              <w:t>Services</w:t>
            </w:r>
            <w:r w:rsidRPr="00F47262">
              <w:rPr>
                <w:sz w:val="20"/>
              </w:rPr>
              <w:t xml:space="preserve"> window.</w:t>
            </w:r>
          </w:p>
        </w:tc>
        <w:tc>
          <w:tcPr>
            <w:tcW w:w="4410" w:type="dxa"/>
            <w:gridSpan w:val="2"/>
          </w:tcPr>
          <w:p w14:paraId="314CFC2F" w14:textId="77777777" w:rsidR="002C5B28" w:rsidRPr="00F47262" w:rsidRDefault="002C5B28" w:rsidP="00962533">
            <w:pPr>
              <w:spacing w:before="60" w:after="60"/>
              <w:rPr>
                <w:sz w:val="20"/>
              </w:rPr>
            </w:pPr>
          </w:p>
        </w:tc>
      </w:tr>
      <w:tr w:rsidR="002C5B28" w:rsidRPr="000665B0" w14:paraId="3394C4E6" w14:textId="77777777" w:rsidTr="00F47262">
        <w:trPr>
          <w:cantSplit/>
        </w:trPr>
        <w:tc>
          <w:tcPr>
            <w:tcW w:w="738" w:type="dxa"/>
          </w:tcPr>
          <w:p w14:paraId="73F09BFD" w14:textId="77777777" w:rsidR="002C5B28" w:rsidRPr="00F47262" w:rsidRDefault="002C5B28" w:rsidP="006D5A65">
            <w:pPr>
              <w:pStyle w:val="Heading1"/>
            </w:pPr>
          </w:p>
        </w:tc>
        <w:tc>
          <w:tcPr>
            <w:tcW w:w="4320" w:type="dxa"/>
          </w:tcPr>
          <w:p w14:paraId="709D2E9F" w14:textId="77777777" w:rsidR="002C5B28" w:rsidRPr="00F47262" w:rsidRDefault="002C5B28" w:rsidP="00962533">
            <w:pPr>
              <w:spacing w:before="60" w:after="60"/>
              <w:rPr>
                <w:sz w:val="20"/>
              </w:rPr>
            </w:pPr>
            <w:r w:rsidRPr="00F47262">
              <w:rPr>
                <w:sz w:val="20"/>
              </w:rPr>
              <w:t>Restart the MDS application.</w:t>
            </w:r>
          </w:p>
        </w:tc>
        <w:tc>
          <w:tcPr>
            <w:tcW w:w="4410" w:type="dxa"/>
            <w:gridSpan w:val="2"/>
          </w:tcPr>
          <w:p w14:paraId="59127163" w14:textId="77777777" w:rsidR="002C5B28" w:rsidRPr="00F47262" w:rsidDel="0001184F" w:rsidRDefault="002C5B28" w:rsidP="00962533">
            <w:pPr>
              <w:spacing w:before="60" w:after="60"/>
              <w:rPr>
                <w:noProof/>
                <w:sz w:val="20"/>
              </w:rPr>
            </w:pPr>
          </w:p>
        </w:tc>
      </w:tr>
    </w:tbl>
    <w:p w14:paraId="6DD4ACCA" w14:textId="1D93E30B" w:rsidR="008E24E7" w:rsidRPr="000665B0" w:rsidRDefault="00DB56C9" w:rsidP="00155E82">
      <w:pPr>
        <w:pStyle w:val="Appendix3"/>
        <w:ind w:left="360"/>
      </w:pPr>
      <w:bookmarkStart w:id="7502" w:name="_Toc214283717"/>
      <w:bookmarkStart w:id="7503" w:name="_Toc445109831"/>
      <w:bookmarkStart w:id="7504" w:name="_Toc445209645"/>
      <w:r w:rsidRPr="000665B0">
        <w:t xml:space="preserve">Check the </w:t>
      </w:r>
      <w:r w:rsidR="005931CD" w:rsidRPr="000665B0">
        <w:t>Message Queue</w:t>
      </w:r>
      <w:r w:rsidRPr="000665B0">
        <w:t xml:space="preserve"> Storage File Size</w:t>
      </w:r>
      <w:r w:rsidR="003308D4" w:rsidRPr="000665B0">
        <w:t xml:space="preserve"> (</w:t>
      </w:r>
      <w:r w:rsidR="008E24E7" w:rsidRPr="000665B0">
        <w:t xml:space="preserve">Message Quota </w:t>
      </w:r>
      <w:r w:rsidR="003308D4" w:rsidRPr="000665B0">
        <w:t>and</w:t>
      </w:r>
      <w:r w:rsidR="008E24E7" w:rsidRPr="000665B0">
        <w:t xml:space="preserve"> Disk Space</w:t>
      </w:r>
      <w:r w:rsidR="003308D4" w:rsidRPr="000665B0">
        <w:t>)</w:t>
      </w:r>
      <w:bookmarkEnd w:id="7502"/>
    </w:p>
    <w:p w14:paraId="31A9CED9" w14:textId="688F0ACE" w:rsidR="008E24E7" w:rsidRPr="000665B0" w:rsidRDefault="008E24E7" w:rsidP="008E24E7">
      <w:r w:rsidRPr="000665B0">
        <w:t xml:space="preserve">Messages can queue up quickly if they do not reach the destination client. </w:t>
      </w:r>
      <w:r w:rsidR="00D656A5" w:rsidRPr="000665B0">
        <w:t xml:space="preserve">The backup may occur if the </w:t>
      </w:r>
      <w:r w:rsidRPr="000665B0">
        <w:t xml:space="preserve">network </w:t>
      </w:r>
      <w:r w:rsidR="00D656A5" w:rsidRPr="000665B0">
        <w:t xml:space="preserve">is </w:t>
      </w:r>
      <w:r w:rsidRPr="000665B0">
        <w:t xml:space="preserve">down, </w:t>
      </w:r>
      <w:r w:rsidR="00D656A5" w:rsidRPr="000665B0">
        <w:t xml:space="preserve">the </w:t>
      </w:r>
      <w:r w:rsidRPr="000665B0">
        <w:t>client machine is down</w:t>
      </w:r>
      <w:r w:rsidR="00D656A5" w:rsidRPr="000665B0">
        <w:t>,</w:t>
      </w:r>
      <w:r w:rsidRPr="000665B0">
        <w:t xml:space="preserve"> or the client is slow </w:t>
      </w:r>
      <w:r w:rsidR="00D656A5" w:rsidRPr="000665B0">
        <w:t>to process the incoming</w:t>
      </w:r>
      <w:r w:rsidRPr="000665B0">
        <w:t xml:space="preserve"> messages. When the number of unprocessed messages grow</w:t>
      </w:r>
      <w:r w:rsidR="00D656A5" w:rsidRPr="000665B0">
        <w:t>s</w:t>
      </w:r>
      <w:r w:rsidRPr="000665B0">
        <w:t xml:space="preserve">, so does the storage. </w:t>
      </w:r>
      <w:r w:rsidR="003D66B9" w:rsidRPr="000665B0">
        <w:t>If</w:t>
      </w:r>
      <w:r w:rsidRPr="000665B0">
        <w:t xml:space="preserve"> </w:t>
      </w:r>
      <w:r w:rsidR="003D66B9" w:rsidRPr="000665B0">
        <w:t>the</w:t>
      </w:r>
      <w:r w:rsidRPr="000665B0">
        <w:t xml:space="preserve"> </w:t>
      </w:r>
      <w:r w:rsidRPr="000665B0">
        <w:lastRenderedPageBreak/>
        <w:t xml:space="preserve">individual message queue quota </w:t>
      </w:r>
      <w:r w:rsidR="003D66B9" w:rsidRPr="000665B0">
        <w:t>is</w:t>
      </w:r>
      <w:r w:rsidRPr="000665B0">
        <w:t xml:space="preserve"> reached</w:t>
      </w:r>
      <w:r w:rsidR="003D66B9" w:rsidRPr="000665B0">
        <w:t>, the storage requirements may exceed the available disk space</w:t>
      </w:r>
      <w:r w:rsidRPr="000665B0">
        <w:t xml:space="preserve">. By default, MSMQ stores all message files, log files, and transaction log files in the </w:t>
      </w:r>
      <w:r w:rsidRPr="000665B0">
        <w:rPr>
          <w:b/>
        </w:rPr>
        <w:t>%windir%\System32\msmq\storage</w:t>
      </w:r>
      <w:r w:rsidRPr="000665B0">
        <w:t xml:space="preserve"> folder on the computer where MSMQ is installed.</w:t>
      </w:r>
    </w:p>
    <w:p w14:paraId="007210A5" w14:textId="6291EB41" w:rsidR="008E24E7" w:rsidRPr="000665B0" w:rsidRDefault="008E24E7" w:rsidP="008E24E7">
      <w:pPr>
        <w:rPr>
          <w:szCs w:val="24"/>
        </w:rPr>
      </w:pPr>
      <w:r w:rsidRPr="000665B0">
        <w:rPr>
          <w:szCs w:val="24"/>
        </w:rPr>
        <w:t xml:space="preserve">Follow these steps to </w:t>
      </w:r>
      <w:r w:rsidR="00DB56C9" w:rsidRPr="000665B0">
        <w:rPr>
          <w:szCs w:val="24"/>
        </w:rPr>
        <w:t xml:space="preserve">determine the </w:t>
      </w:r>
      <w:r w:rsidR="005931CD" w:rsidRPr="000665B0">
        <w:rPr>
          <w:szCs w:val="24"/>
        </w:rPr>
        <w:t>message queue</w:t>
      </w:r>
      <w:r w:rsidR="00DB56C9" w:rsidRPr="000665B0">
        <w:rPr>
          <w:szCs w:val="24"/>
        </w:rPr>
        <w:t xml:space="preserve"> storage file size.</w:t>
      </w:r>
      <w:r w:rsidR="00DB56C9" w:rsidRPr="000665B0">
        <w:rPr>
          <w:rStyle w:val="CommentReference"/>
        </w:rPr>
        <w:t xml:space="preserve"> </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4349"/>
        <w:gridCol w:w="4291"/>
      </w:tblGrid>
      <w:tr w:rsidR="008E24E7" w:rsidRPr="000665B0" w14:paraId="436902E2" w14:textId="77777777" w:rsidTr="00F47262">
        <w:trPr>
          <w:cantSplit/>
          <w:tblHeader/>
        </w:trPr>
        <w:tc>
          <w:tcPr>
            <w:tcW w:w="9468" w:type="dxa"/>
            <w:gridSpan w:val="3"/>
            <w:tcBorders>
              <w:bottom w:val="single" w:sz="4" w:space="0" w:color="auto"/>
            </w:tcBorders>
            <w:shd w:val="clear" w:color="auto" w:fill="D9D9D9" w:themeFill="background1" w:themeFillShade="D9"/>
          </w:tcPr>
          <w:p w14:paraId="5A7130C6" w14:textId="62D445C5" w:rsidR="008E24E7" w:rsidRPr="00F47262" w:rsidRDefault="008E24E7" w:rsidP="00A776F3">
            <w:pPr>
              <w:keepNext/>
              <w:keepLines/>
              <w:spacing w:before="60" w:after="60"/>
              <w:rPr>
                <w:rFonts w:ascii="Arial" w:hAnsi="Arial" w:cs="Arial"/>
                <w:b/>
                <w:szCs w:val="24"/>
              </w:rPr>
            </w:pPr>
            <w:r w:rsidRPr="00F47262">
              <w:rPr>
                <w:rFonts w:ascii="Arial" w:hAnsi="Arial" w:cs="Arial"/>
                <w:b/>
                <w:szCs w:val="24"/>
              </w:rPr>
              <w:lastRenderedPageBreak/>
              <w:t>L.5.</w:t>
            </w:r>
            <w:r w:rsidR="00627C04" w:rsidRPr="00F47262">
              <w:rPr>
                <w:rFonts w:ascii="Arial" w:hAnsi="Arial" w:cs="Arial"/>
                <w:b/>
                <w:szCs w:val="24"/>
              </w:rPr>
              <w:t>3</w:t>
            </w:r>
            <w:r w:rsidR="009651B0" w:rsidRPr="00F47262">
              <w:rPr>
                <w:rFonts w:ascii="Arial" w:hAnsi="Arial" w:cs="Arial"/>
                <w:b/>
                <w:szCs w:val="24"/>
              </w:rPr>
              <w:t xml:space="preserve"> </w:t>
            </w:r>
            <w:r w:rsidR="00DB56C9" w:rsidRPr="00F47262">
              <w:rPr>
                <w:rFonts w:ascii="Arial" w:hAnsi="Arial" w:cs="Arial"/>
                <w:b/>
                <w:szCs w:val="24"/>
              </w:rPr>
              <w:t xml:space="preserve">Check the </w:t>
            </w:r>
            <w:r w:rsidR="005931CD" w:rsidRPr="00F47262">
              <w:rPr>
                <w:rFonts w:ascii="Arial" w:hAnsi="Arial" w:cs="Arial"/>
                <w:b/>
                <w:szCs w:val="24"/>
              </w:rPr>
              <w:t>Message Queue</w:t>
            </w:r>
            <w:r w:rsidR="00DB56C9" w:rsidRPr="00F47262">
              <w:rPr>
                <w:rFonts w:ascii="Arial" w:hAnsi="Arial" w:cs="Arial"/>
                <w:b/>
                <w:szCs w:val="24"/>
              </w:rPr>
              <w:t xml:space="preserve"> File Size</w:t>
            </w:r>
            <w:r w:rsidR="003308D4" w:rsidRPr="00F47262">
              <w:rPr>
                <w:rFonts w:ascii="Arial" w:hAnsi="Arial" w:cs="Arial"/>
                <w:b/>
                <w:szCs w:val="24"/>
              </w:rPr>
              <w:t xml:space="preserve"> (</w:t>
            </w:r>
            <w:r w:rsidR="00627C04" w:rsidRPr="00F47262">
              <w:rPr>
                <w:rFonts w:ascii="Arial" w:hAnsi="Arial" w:cs="Arial"/>
                <w:b/>
                <w:szCs w:val="24"/>
              </w:rPr>
              <w:t xml:space="preserve">Message Quota </w:t>
            </w:r>
            <w:r w:rsidR="003308D4" w:rsidRPr="00F47262">
              <w:rPr>
                <w:rFonts w:ascii="Arial" w:hAnsi="Arial" w:cs="Arial"/>
                <w:b/>
                <w:szCs w:val="24"/>
              </w:rPr>
              <w:t>and</w:t>
            </w:r>
            <w:r w:rsidR="00627C04" w:rsidRPr="00F47262">
              <w:rPr>
                <w:rFonts w:ascii="Arial" w:hAnsi="Arial" w:cs="Arial"/>
                <w:b/>
                <w:szCs w:val="24"/>
              </w:rPr>
              <w:t xml:space="preserve"> Disk Space</w:t>
            </w:r>
            <w:r w:rsidR="003308D4" w:rsidRPr="00F47262">
              <w:rPr>
                <w:rFonts w:ascii="Arial" w:hAnsi="Arial" w:cs="Arial"/>
                <w:b/>
                <w:szCs w:val="24"/>
              </w:rPr>
              <w:t>)</w:t>
            </w:r>
          </w:p>
        </w:tc>
      </w:tr>
      <w:tr w:rsidR="008E24E7" w:rsidRPr="000665B0" w14:paraId="7EFA711A" w14:textId="77777777" w:rsidTr="00F47262">
        <w:trPr>
          <w:cantSplit/>
          <w:tblHeader/>
        </w:trPr>
        <w:tc>
          <w:tcPr>
            <w:tcW w:w="828" w:type="dxa"/>
            <w:tcBorders>
              <w:bottom w:val="single" w:sz="4" w:space="0" w:color="auto"/>
            </w:tcBorders>
            <w:shd w:val="clear" w:color="auto" w:fill="D9D9D9" w:themeFill="background1" w:themeFillShade="D9"/>
          </w:tcPr>
          <w:p w14:paraId="2EA0619C" w14:textId="77777777" w:rsidR="008E24E7" w:rsidRPr="00F47262" w:rsidRDefault="008E24E7" w:rsidP="00A776F3">
            <w:pPr>
              <w:keepNext/>
              <w:keepLines/>
              <w:spacing w:before="60" w:after="60"/>
              <w:jc w:val="both"/>
              <w:rPr>
                <w:rFonts w:ascii="Arial" w:hAnsi="Arial" w:cs="Arial"/>
                <w:b/>
                <w:szCs w:val="24"/>
              </w:rPr>
            </w:pPr>
            <w:r w:rsidRPr="00F47262">
              <w:rPr>
                <w:rFonts w:ascii="Arial" w:hAnsi="Arial" w:cs="Arial"/>
                <w:b/>
                <w:szCs w:val="24"/>
              </w:rPr>
              <w:t>Step</w:t>
            </w:r>
          </w:p>
        </w:tc>
        <w:tc>
          <w:tcPr>
            <w:tcW w:w="4349" w:type="dxa"/>
            <w:tcBorders>
              <w:bottom w:val="single" w:sz="4" w:space="0" w:color="auto"/>
            </w:tcBorders>
            <w:shd w:val="clear" w:color="auto" w:fill="D9D9D9" w:themeFill="background1" w:themeFillShade="D9"/>
          </w:tcPr>
          <w:p w14:paraId="59CD586A" w14:textId="77777777" w:rsidR="008E24E7" w:rsidRPr="00F47262" w:rsidRDefault="008E24E7" w:rsidP="00A776F3">
            <w:pPr>
              <w:keepNext/>
              <w:keepLines/>
              <w:spacing w:before="60" w:after="60"/>
              <w:rPr>
                <w:rFonts w:ascii="Arial" w:hAnsi="Arial" w:cs="Arial"/>
                <w:b/>
                <w:szCs w:val="24"/>
              </w:rPr>
            </w:pPr>
            <w:r w:rsidRPr="00F47262">
              <w:rPr>
                <w:rFonts w:ascii="Arial" w:hAnsi="Arial" w:cs="Arial"/>
                <w:b/>
                <w:szCs w:val="24"/>
              </w:rPr>
              <w:t>Procedure</w:t>
            </w:r>
          </w:p>
        </w:tc>
        <w:tc>
          <w:tcPr>
            <w:tcW w:w="4291" w:type="dxa"/>
            <w:tcBorders>
              <w:bottom w:val="single" w:sz="4" w:space="0" w:color="auto"/>
            </w:tcBorders>
            <w:shd w:val="clear" w:color="auto" w:fill="D9D9D9" w:themeFill="background1" w:themeFillShade="D9"/>
          </w:tcPr>
          <w:p w14:paraId="35C5C3EF" w14:textId="77777777" w:rsidR="008E24E7" w:rsidRPr="00F47262" w:rsidRDefault="008E24E7" w:rsidP="00A776F3">
            <w:pPr>
              <w:keepNext/>
              <w:keepLines/>
              <w:spacing w:before="60" w:after="60"/>
              <w:rPr>
                <w:rFonts w:ascii="Arial" w:hAnsi="Arial" w:cs="Arial"/>
                <w:b/>
                <w:szCs w:val="24"/>
              </w:rPr>
            </w:pPr>
            <w:r w:rsidRPr="00F47262">
              <w:rPr>
                <w:rFonts w:ascii="Arial" w:hAnsi="Arial" w:cs="Arial"/>
                <w:b/>
                <w:szCs w:val="24"/>
              </w:rPr>
              <w:t>Comments</w:t>
            </w:r>
          </w:p>
        </w:tc>
      </w:tr>
      <w:tr w:rsidR="008E24E7" w:rsidRPr="000665B0" w14:paraId="44B00DD4" w14:textId="77777777" w:rsidTr="00F47262">
        <w:trPr>
          <w:cantSplit/>
        </w:trPr>
        <w:tc>
          <w:tcPr>
            <w:tcW w:w="828" w:type="dxa"/>
          </w:tcPr>
          <w:p w14:paraId="68D1E502" w14:textId="77777777" w:rsidR="008E24E7" w:rsidRPr="00F47262" w:rsidRDefault="008E24E7" w:rsidP="006D5A65">
            <w:pPr>
              <w:pStyle w:val="Heading1"/>
            </w:pPr>
          </w:p>
        </w:tc>
        <w:tc>
          <w:tcPr>
            <w:tcW w:w="4349" w:type="dxa"/>
          </w:tcPr>
          <w:p w14:paraId="574B7396" w14:textId="77777777" w:rsidR="008E24E7" w:rsidRPr="00F47262" w:rsidRDefault="008E24E7" w:rsidP="00A776F3">
            <w:pPr>
              <w:spacing w:before="60" w:after="60"/>
              <w:rPr>
                <w:sz w:val="20"/>
              </w:rPr>
            </w:pPr>
            <w:r w:rsidRPr="00F47262">
              <w:rPr>
                <w:sz w:val="20"/>
              </w:rPr>
              <w:t>Login to the appropriate machine with an account that has administrator privileges.</w:t>
            </w:r>
          </w:p>
        </w:tc>
        <w:tc>
          <w:tcPr>
            <w:tcW w:w="4291" w:type="dxa"/>
          </w:tcPr>
          <w:p w14:paraId="049E36FC" w14:textId="77777777" w:rsidR="008E24E7" w:rsidRPr="00F47262" w:rsidRDefault="008E24E7" w:rsidP="00A776F3">
            <w:pPr>
              <w:spacing w:before="60" w:after="60"/>
              <w:rPr>
                <w:sz w:val="20"/>
              </w:rPr>
            </w:pPr>
          </w:p>
        </w:tc>
      </w:tr>
      <w:tr w:rsidR="008E24E7" w:rsidRPr="000665B0" w14:paraId="43FA1F2C" w14:textId="77777777" w:rsidTr="00F47262">
        <w:trPr>
          <w:cantSplit/>
        </w:trPr>
        <w:tc>
          <w:tcPr>
            <w:tcW w:w="828" w:type="dxa"/>
          </w:tcPr>
          <w:p w14:paraId="310F6545" w14:textId="77777777" w:rsidR="008E24E7" w:rsidRPr="00F47262" w:rsidRDefault="008E24E7" w:rsidP="006D5A65">
            <w:pPr>
              <w:pStyle w:val="Heading1"/>
            </w:pPr>
          </w:p>
        </w:tc>
        <w:tc>
          <w:tcPr>
            <w:tcW w:w="4349" w:type="dxa"/>
          </w:tcPr>
          <w:p w14:paraId="36ACC715" w14:textId="531CCE4A" w:rsidR="008E24E7" w:rsidRPr="00F47262" w:rsidRDefault="00627C04" w:rsidP="00A776F3">
            <w:pPr>
              <w:spacing w:before="60" w:after="60"/>
              <w:rPr>
                <w:sz w:val="20"/>
              </w:rPr>
            </w:pPr>
            <w:r w:rsidRPr="00F47262">
              <w:rPr>
                <w:sz w:val="20"/>
              </w:rPr>
              <w:t xml:space="preserve">Right-click the </w:t>
            </w:r>
            <w:r w:rsidRPr="00F47262">
              <w:rPr>
                <w:noProof/>
                <w:sz w:val="20"/>
              </w:rPr>
              <w:drawing>
                <wp:inline distT="0" distB="0" distL="0" distR="0" wp14:anchorId="1322CEBE" wp14:editId="39620B0B">
                  <wp:extent cx="182880" cy="178068"/>
                  <wp:effectExtent l="0" t="0" r="7620" b="0"/>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Computer Management</w:t>
            </w:r>
            <w:r w:rsidRPr="00F47262">
              <w:rPr>
                <w:sz w:val="20"/>
              </w:rPr>
              <w:t xml:space="preserve"> from the pop-up menu.</w:t>
            </w:r>
          </w:p>
        </w:tc>
        <w:tc>
          <w:tcPr>
            <w:tcW w:w="4291" w:type="dxa"/>
          </w:tcPr>
          <w:p w14:paraId="1D5E4141" w14:textId="77777777" w:rsidR="008E24E7" w:rsidRPr="00F47262" w:rsidRDefault="008E24E7" w:rsidP="00A776F3">
            <w:pPr>
              <w:spacing w:before="60" w:after="60"/>
              <w:rPr>
                <w:sz w:val="20"/>
              </w:rPr>
            </w:pPr>
          </w:p>
        </w:tc>
      </w:tr>
      <w:tr w:rsidR="008E24E7" w:rsidRPr="000665B0" w14:paraId="18C7C08E" w14:textId="77777777" w:rsidTr="00F47262">
        <w:trPr>
          <w:cantSplit/>
        </w:trPr>
        <w:tc>
          <w:tcPr>
            <w:tcW w:w="828" w:type="dxa"/>
          </w:tcPr>
          <w:p w14:paraId="6D8ABC8A" w14:textId="77777777" w:rsidR="008E24E7" w:rsidRPr="00F47262" w:rsidRDefault="008E24E7" w:rsidP="006D5A65">
            <w:pPr>
              <w:pStyle w:val="Heading1"/>
            </w:pPr>
          </w:p>
        </w:tc>
        <w:tc>
          <w:tcPr>
            <w:tcW w:w="4349" w:type="dxa"/>
          </w:tcPr>
          <w:p w14:paraId="7E6FE700" w14:textId="79DE0D69" w:rsidR="008E24E7" w:rsidRPr="00F47262" w:rsidRDefault="00627C04" w:rsidP="00A776F3">
            <w:pPr>
              <w:spacing w:before="60" w:after="60"/>
              <w:rPr>
                <w:sz w:val="20"/>
              </w:rPr>
            </w:pPr>
            <w:r w:rsidRPr="00F47262">
              <w:rPr>
                <w:sz w:val="20"/>
              </w:rPr>
              <w:t>In the</w:t>
            </w:r>
            <w:r w:rsidR="006C6AF5" w:rsidRPr="00F47262">
              <w:rPr>
                <w:sz w:val="20"/>
              </w:rPr>
              <w:t xml:space="preserve"> left pane of the</w:t>
            </w:r>
            <w:r w:rsidRPr="00F47262">
              <w:rPr>
                <w:sz w:val="20"/>
              </w:rPr>
              <w:t xml:space="preserve"> </w:t>
            </w:r>
            <w:r w:rsidRPr="00F47262">
              <w:rPr>
                <w:i/>
                <w:sz w:val="20"/>
              </w:rPr>
              <w:t>Computer Management</w:t>
            </w:r>
            <w:r w:rsidRPr="00F47262">
              <w:rPr>
                <w:sz w:val="20"/>
              </w:rPr>
              <w:t xml:space="preserve"> window, expand </w:t>
            </w:r>
            <w:r w:rsidRPr="00F47262">
              <w:rPr>
                <w:b/>
                <w:sz w:val="20"/>
              </w:rPr>
              <w:t>Services and Applications</w:t>
            </w:r>
            <w:r w:rsidRPr="00F47262">
              <w:rPr>
                <w:sz w:val="20"/>
              </w:rPr>
              <w:t>.</w:t>
            </w:r>
          </w:p>
        </w:tc>
        <w:tc>
          <w:tcPr>
            <w:tcW w:w="4291" w:type="dxa"/>
          </w:tcPr>
          <w:p w14:paraId="25FDE85B" w14:textId="6EDED15C" w:rsidR="008E24E7" w:rsidRPr="00F47262" w:rsidRDefault="008E24E7" w:rsidP="00A776F3">
            <w:pPr>
              <w:spacing w:before="60" w:after="60"/>
              <w:rPr>
                <w:sz w:val="20"/>
              </w:rPr>
            </w:pPr>
          </w:p>
        </w:tc>
      </w:tr>
      <w:tr w:rsidR="008E24E7" w:rsidRPr="000665B0" w14:paraId="5AF3CD11" w14:textId="77777777" w:rsidTr="00F47262">
        <w:trPr>
          <w:cantSplit/>
        </w:trPr>
        <w:tc>
          <w:tcPr>
            <w:tcW w:w="828" w:type="dxa"/>
          </w:tcPr>
          <w:p w14:paraId="4232C4BA" w14:textId="77777777" w:rsidR="008E24E7" w:rsidRPr="00F47262" w:rsidRDefault="008E24E7" w:rsidP="006D5A65">
            <w:pPr>
              <w:pStyle w:val="Heading1"/>
            </w:pPr>
          </w:p>
        </w:tc>
        <w:tc>
          <w:tcPr>
            <w:tcW w:w="4349" w:type="dxa"/>
          </w:tcPr>
          <w:p w14:paraId="30B1F5CD" w14:textId="0590FB1E" w:rsidR="008E24E7" w:rsidRPr="00F47262" w:rsidRDefault="00BD4F60" w:rsidP="00A776F3">
            <w:pPr>
              <w:spacing w:before="60" w:after="60"/>
              <w:rPr>
                <w:sz w:val="20"/>
              </w:rPr>
            </w:pPr>
            <w:r w:rsidRPr="00F47262">
              <w:rPr>
                <w:sz w:val="20"/>
              </w:rPr>
              <w:t>E</w:t>
            </w:r>
            <w:r w:rsidR="00627C04" w:rsidRPr="00F47262">
              <w:rPr>
                <w:sz w:val="20"/>
              </w:rPr>
              <w:t xml:space="preserve">xpand </w:t>
            </w:r>
            <w:r w:rsidR="00627C04" w:rsidRPr="00F47262">
              <w:rPr>
                <w:b/>
                <w:sz w:val="20"/>
              </w:rPr>
              <w:t>Message Queuing</w:t>
            </w:r>
            <w:r w:rsidR="00627C04" w:rsidRPr="00F47262">
              <w:rPr>
                <w:sz w:val="20"/>
              </w:rPr>
              <w:t xml:space="preserve"> and then expand </w:t>
            </w:r>
            <w:r w:rsidR="00627C04" w:rsidRPr="00F47262">
              <w:rPr>
                <w:b/>
                <w:sz w:val="20"/>
              </w:rPr>
              <w:t>Private Queues</w:t>
            </w:r>
            <w:r w:rsidR="00627C04" w:rsidRPr="00F47262">
              <w:rPr>
                <w:sz w:val="20"/>
              </w:rPr>
              <w:t>.</w:t>
            </w:r>
          </w:p>
        </w:tc>
        <w:tc>
          <w:tcPr>
            <w:tcW w:w="4291" w:type="dxa"/>
          </w:tcPr>
          <w:p w14:paraId="362F9855" w14:textId="6D170DF8" w:rsidR="008E24E7" w:rsidRPr="00F47262" w:rsidRDefault="008601E1" w:rsidP="00A776F3">
            <w:pPr>
              <w:spacing w:before="60" w:after="60"/>
              <w:rPr>
                <w:sz w:val="20"/>
              </w:rPr>
            </w:pPr>
            <w:r w:rsidRPr="00F47262">
              <w:rPr>
                <w:noProof/>
                <w:sz w:val="20"/>
              </w:rPr>
              <w:drawing>
                <wp:inline distT="0" distB="0" distL="0" distR="0" wp14:anchorId="287FD237" wp14:editId="5E991F04">
                  <wp:extent cx="2260489" cy="2333527"/>
                  <wp:effectExtent l="0" t="0" r="6985" b="0"/>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280774" cy="2354467"/>
                          </a:xfrm>
                          <a:prstGeom prst="rect">
                            <a:avLst/>
                          </a:prstGeom>
                        </pic:spPr>
                      </pic:pic>
                    </a:graphicData>
                  </a:graphic>
                </wp:inline>
              </w:drawing>
            </w:r>
          </w:p>
        </w:tc>
      </w:tr>
      <w:tr w:rsidR="008E24E7" w:rsidRPr="000665B0" w14:paraId="1D27B569" w14:textId="77777777" w:rsidTr="00F47262">
        <w:trPr>
          <w:cantSplit/>
        </w:trPr>
        <w:tc>
          <w:tcPr>
            <w:tcW w:w="828" w:type="dxa"/>
          </w:tcPr>
          <w:p w14:paraId="560EFD5C" w14:textId="77777777" w:rsidR="008E24E7" w:rsidRPr="00F47262" w:rsidRDefault="008E24E7" w:rsidP="006D5A65">
            <w:pPr>
              <w:pStyle w:val="Heading1"/>
            </w:pPr>
          </w:p>
        </w:tc>
        <w:tc>
          <w:tcPr>
            <w:tcW w:w="4349" w:type="dxa"/>
          </w:tcPr>
          <w:p w14:paraId="3D4D59AB" w14:textId="77777777" w:rsidR="005D2235" w:rsidRPr="00F47262" w:rsidRDefault="00BE5E4D" w:rsidP="00A776F3">
            <w:pPr>
              <w:spacing w:before="60" w:after="60"/>
              <w:rPr>
                <w:sz w:val="20"/>
              </w:rPr>
            </w:pPr>
            <w:r w:rsidRPr="00F47262">
              <w:rPr>
                <w:sz w:val="20"/>
              </w:rPr>
              <w:t xml:space="preserve">Ensure that the </w:t>
            </w:r>
            <w:r w:rsidRPr="00F47262">
              <w:rPr>
                <w:b/>
                <w:sz w:val="20"/>
              </w:rPr>
              <w:t>Private Queues</w:t>
            </w:r>
            <w:r w:rsidRPr="00F47262">
              <w:rPr>
                <w:sz w:val="20"/>
              </w:rPr>
              <w:t xml:space="preserve"> folder is selected. </w:t>
            </w:r>
            <w:r w:rsidR="008601E1" w:rsidRPr="00F47262">
              <w:rPr>
                <w:sz w:val="20"/>
              </w:rPr>
              <w:t xml:space="preserve">In the middle pane of the window, </w:t>
            </w:r>
            <w:r w:rsidR="00DB56C9" w:rsidRPr="00F47262">
              <w:rPr>
                <w:sz w:val="20"/>
              </w:rPr>
              <w:t xml:space="preserve">review the number of messages in the </w:t>
            </w:r>
            <w:r w:rsidR="00DB56C9" w:rsidRPr="00F47262">
              <w:rPr>
                <w:b/>
                <w:sz w:val="20"/>
              </w:rPr>
              <w:t>Number of Messages</w:t>
            </w:r>
            <w:r w:rsidR="00DB56C9" w:rsidRPr="00F47262">
              <w:rPr>
                <w:sz w:val="20"/>
              </w:rPr>
              <w:t xml:space="preserve"> column and the </w:t>
            </w:r>
            <w:r w:rsidR="00DB56C9" w:rsidRPr="00F47262">
              <w:rPr>
                <w:b/>
                <w:sz w:val="20"/>
              </w:rPr>
              <w:t>Number of Journal Messages</w:t>
            </w:r>
            <w:r w:rsidR="00DB56C9" w:rsidRPr="00F47262">
              <w:rPr>
                <w:sz w:val="20"/>
              </w:rPr>
              <w:t xml:space="preserve"> column. </w:t>
            </w:r>
          </w:p>
          <w:p w14:paraId="4C11FD4F" w14:textId="77777777" w:rsidR="00BD4F60" w:rsidRPr="00F47262" w:rsidRDefault="00BD4F60" w:rsidP="006D5A65">
            <w:pPr>
              <w:pStyle w:val="Heading1"/>
            </w:pPr>
            <w:r w:rsidRPr="00F47262">
              <w:t>If the Number of Messages column contains a high number, the associated queue</w:t>
            </w:r>
            <w:r w:rsidRPr="00F47262">
              <w:rPr>
                <w:bCs/>
              </w:rPr>
              <w:t xml:space="preserve"> </w:t>
            </w:r>
            <w:r w:rsidRPr="00F47262">
              <w:t>needs to be purged.</w:t>
            </w:r>
          </w:p>
          <w:p w14:paraId="4F8920BB" w14:textId="2127D156" w:rsidR="008E24E7" w:rsidRPr="00F47262" w:rsidRDefault="005D2235" w:rsidP="006D5A65">
            <w:pPr>
              <w:pStyle w:val="Heading1"/>
            </w:pPr>
            <w:r w:rsidRPr="00F47262">
              <w:t xml:space="preserve">If the Number of Journal Messages column </w:t>
            </w:r>
            <w:r w:rsidR="006C6AF5" w:rsidRPr="00F47262">
              <w:t>contains the number</w:t>
            </w:r>
            <w:r w:rsidRPr="00F47262">
              <w:t xml:space="preserve"> 1 or above, the</w:t>
            </w:r>
            <w:r w:rsidR="004A04FF" w:rsidRPr="00F47262">
              <w:t xml:space="preserve"> </w:t>
            </w:r>
            <w:r w:rsidR="00BD4F60" w:rsidRPr="00F47262">
              <w:t xml:space="preserve">associated </w:t>
            </w:r>
            <w:r w:rsidR="004A04FF" w:rsidRPr="00F47262">
              <w:t>queue</w:t>
            </w:r>
            <w:r w:rsidRPr="00F47262">
              <w:t xml:space="preserve"> need</w:t>
            </w:r>
            <w:r w:rsidR="004A04FF" w:rsidRPr="00F47262">
              <w:t>s</w:t>
            </w:r>
            <w:r w:rsidRPr="00F47262">
              <w:t xml:space="preserve"> to be purged.</w:t>
            </w:r>
            <w:r w:rsidR="00F30E62" w:rsidRPr="00F47262">
              <w:t xml:space="preserve"> Operationally, Journal </w:t>
            </w:r>
            <w:r w:rsidR="006C6AF5" w:rsidRPr="00F47262">
              <w:t>M</w:t>
            </w:r>
            <w:r w:rsidR="00F30E62" w:rsidRPr="00F47262">
              <w:t>essages should not be enabled (see next two steps).</w:t>
            </w:r>
          </w:p>
        </w:tc>
        <w:tc>
          <w:tcPr>
            <w:tcW w:w="4291" w:type="dxa"/>
          </w:tcPr>
          <w:p w14:paraId="5AB998CC" w14:textId="4C0438AE" w:rsidR="005D2235" w:rsidRPr="00F47262" w:rsidRDefault="00BD4F60" w:rsidP="00A776F3">
            <w:pPr>
              <w:spacing w:before="60" w:after="60"/>
              <w:rPr>
                <w:sz w:val="20"/>
              </w:rPr>
            </w:pPr>
            <w:r w:rsidRPr="00F47262">
              <w:rPr>
                <w:noProof/>
                <w:sz w:val="20"/>
              </w:rPr>
              <w:drawing>
                <wp:inline distT="0" distB="0" distL="0" distR="0" wp14:anchorId="58FF43DA" wp14:editId="53DAD776">
                  <wp:extent cx="2731770" cy="628650"/>
                  <wp:effectExtent l="0" t="0" r="0" b="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31770" cy="628650"/>
                          </a:xfrm>
                          <a:prstGeom prst="rect">
                            <a:avLst/>
                          </a:prstGeom>
                        </pic:spPr>
                      </pic:pic>
                    </a:graphicData>
                  </a:graphic>
                </wp:inline>
              </w:drawing>
            </w:r>
          </w:p>
        </w:tc>
      </w:tr>
      <w:tr w:rsidR="004A04FF" w:rsidRPr="000665B0" w14:paraId="7AE8811D" w14:textId="77777777" w:rsidTr="00F47262">
        <w:trPr>
          <w:cantSplit/>
        </w:trPr>
        <w:tc>
          <w:tcPr>
            <w:tcW w:w="828" w:type="dxa"/>
          </w:tcPr>
          <w:p w14:paraId="4E35A5EA" w14:textId="77777777" w:rsidR="004A04FF" w:rsidRPr="00F47262" w:rsidRDefault="004A04FF" w:rsidP="006D5A65">
            <w:pPr>
              <w:pStyle w:val="Heading1"/>
            </w:pPr>
          </w:p>
        </w:tc>
        <w:tc>
          <w:tcPr>
            <w:tcW w:w="4349" w:type="dxa"/>
          </w:tcPr>
          <w:p w14:paraId="7B2ACE48" w14:textId="1BC9E8BA" w:rsidR="004A04FF" w:rsidRPr="00F47262" w:rsidRDefault="00BD4F60" w:rsidP="00A776F3">
            <w:pPr>
              <w:spacing w:before="60" w:after="60"/>
              <w:rPr>
                <w:sz w:val="20"/>
              </w:rPr>
            </w:pPr>
            <w:r w:rsidRPr="00F47262">
              <w:rPr>
                <w:sz w:val="20"/>
              </w:rPr>
              <w:t xml:space="preserve">In </w:t>
            </w:r>
            <w:r w:rsidR="006C6AF5" w:rsidRPr="00F47262">
              <w:rPr>
                <w:sz w:val="20"/>
              </w:rPr>
              <w:t xml:space="preserve">either the left or </w:t>
            </w:r>
            <w:r w:rsidRPr="00F47262">
              <w:rPr>
                <w:sz w:val="20"/>
              </w:rPr>
              <w:t>middle pane of the window, s</w:t>
            </w:r>
            <w:r w:rsidR="004A04FF" w:rsidRPr="00F47262">
              <w:rPr>
                <w:sz w:val="20"/>
              </w:rPr>
              <w:t>elect the queue</w:t>
            </w:r>
            <w:r w:rsidRPr="00F47262">
              <w:rPr>
                <w:sz w:val="20"/>
              </w:rPr>
              <w:t xml:space="preserve"> </w:t>
            </w:r>
            <w:r w:rsidRPr="00F47262">
              <w:rPr>
                <w:b/>
                <w:sz w:val="20"/>
              </w:rPr>
              <w:t>Name</w:t>
            </w:r>
            <w:r w:rsidR="004A04FF" w:rsidRPr="00F47262">
              <w:rPr>
                <w:sz w:val="20"/>
              </w:rPr>
              <w:t xml:space="preserve"> that needs to be purged, right-click, and select </w:t>
            </w:r>
            <w:r w:rsidR="004A04FF" w:rsidRPr="00F47262">
              <w:rPr>
                <w:b/>
                <w:sz w:val="20"/>
              </w:rPr>
              <w:t>Properties</w:t>
            </w:r>
            <w:r w:rsidR="004A04FF" w:rsidRPr="00F47262">
              <w:rPr>
                <w:sz w:val="20"/>
              </w:rPr>
              <w:t>.</w:t>
            </w:r>
          </w:p>
        </w:tc>
        <w:tc>
          <w:tcPr>
            <w:tcW w:w="4291" w:type="dxa"/>
          </w:tcPr>
          <w:p w14:paraId="34389CEA" w14:textId="325CF01C" w:rsidR="004A04FF" w:rsidRPr="00F47262" w:rsidRDefault="004A04FF" w:rsidP="00A776F3">
            <w:pPr>
              <w:spacing w:before="60" w:after="60"/>
              <w:rPr>
                <w:b/>
                <w:i/>
                <w:sz w:val="20"/>
              </w:rPr>
            </w:pPr>
            <w:r w:rsidRPr="00F47262">
              <w:rPr>
                <w:noProof/>
                <w:sz w:val="20"/>
              </w:rPr>
              <w:drawing>
                <wp:inline distT="0" distB="0" distL="0" distR="0" wp14:anchorId="32741D97" wp14:editId="2BA00545">
                  <wp:extent cx="2486641" cy="1367595"/>
                  <wp:effectExtent l="0" t="0" r="0" b="4445"/>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500166" cy="1375033"/>
                          </a:xfrm>
                          <a:prstGeom prst="rect">
                            <a:avLst/>
                          </a:prstGeom>
                        </pic:spPr>
                      </pic:pic>
                    </a:graphicData>
                  </a:graphic>
                </wp:inline>
              </w:drawing>
            </w:r>
          </w:p>
        </w:tc>
      </w:tr>
      <w:tr w:rsidR="008E24E7" w:rsidRPr="000665B0" w14:paraId="28EBF223" w14:textId="77777777" w:rsidTr="00F47262">
        <w:trPr>
          <w:cantSplit/>
        </w:trPr>
        <w:tc>
          <w:tcPr>
            <w:tcW w:w="828" w:type="dxa"/>
          </w:tcPr>
          <w:p w14:paraId="176734D2" w14:textId="77777777" w:rsidR="008E24E7" w:rsidRPr="00F47262" w:rsidRDefault="008E24E7" w:rsidP="006D5A65">
            <w:pPr>
              <w:pStyle w:val="Heading1"/>
            </w:pPr>
          </w:p>
        </w:tc>
        <w:tc>
          <w:tcPr>
            <w:tcW w:w="4349" w:type="dxa"/>
          </w:tcPr>
          <w:p w14:paraId="732B0AD0" w14:textId="61DD544C" w:rsidR="005D2235" w:rsidRPr="00F47262" w:rsidRDefault="008601E1" w:rsidP="00A776F3">
            <w:pPr>
              <w:spacing w:before="60" w:after="60"/>
              <w:rPr>
                <w:sz w:val="20"/>
              </w:rPr>
            </w:pPr>
            <w:r w:rsidRPr="00F47262">
              <w:rPr>
                <w:sz w:val="20"/>
              </w:rPr>
              <w:t xml:space="preserve">The </w:t>
            </w:r>
            <w:r w:rsidRPr="00F47262">
              <w:rPr>
                <w:i/>
                <w:sz w:val="20"/>
              </w:rPr>
              <w:t>[x] Properties</w:t>
            </w:r>
            <w:r w:rsidRPr="00F47262">
              <w:rPr>
                <w:sz w:val="20"/>
              </w:rPr>
              <w:t xml:space="preserve"> window is displayed. </w:t>
            </w:r>
          </w:p>
          <w:p w14:paraId="2817BC6A" w14:textId="77777777" w:rsidR="006C6AF5" w:rsidRPr="00F47262" w:rsidRDefault="006C6AF5" w:rsidP="006D5A65">
            <w:pPr>
              <w:pStyle w:val="Heading1"/>
            </w:pPr>
            <w:r w:rsidRPr="00F47262">
              <w:t>Ensure that the Limit message storage to (KB) checkbox is not selected.</w:t>
            </w:r>
          </w:p>
          <w:p w14:paraId="04370FB1" w14:textId="26871AB1" w:rsidR="005D2235" w:rsidRPr="00F47262" w:rsidRDefault="006C6AF5" w:rsidP="006D5A65">
            <w:pPr>
              <w:pStyle w:val="Heading1"/>
            </w:pPr>
            <w:r w:rsidRPr="00F47262">
              <w:t>In the Journal pane, e</w:t>
            </w:r>
            <w:r w:rsidR="005D2235" w:rsidRPr="00F47262">
              <w:t>nsure that the Enabled checkbox is not selected.</w:t>
            </w:r>
          </w:p>
          <w:p w14:paraId="6D620E30" w14:textId="64413FDB" w:rsidR="008E24E7" w:rsidRPr="00F47262" w:rsidRDefault="005D2235" w:rsidP="00F30E62">
            <w:pPr>
              <w:spacing w:before="60" w:after="60"/>
              <w:rPr>
                <w:sz w:val="20"/>
              </w:rPr>
            </w:pPr>
            <w:r w:rsidRPr="00F47262">
              <w:rPr>
                <w:sz w:val="20"/>
              </w:rPr>
              <w:t>C</w:t>
            </w:r>
            <w:r w:rsidR="008601E1" w:rsidRPr="00F47262">
              <w:rPr>
                <w:sz w:val="20"/>
              </w:rPr>
              <w:t xml:space="preserve">lick </w:t>
            </w:r>
            <w:r w:rsidR="008601E1" w:rsidRPr="00F47262">
              <w:rPr>
                <w:b/>
                <w:sz w:val="20"/>
              </w:rPr>
              <w:t>OK</w:t>
            </w:r>
            <w:r w:rsidR="008601E1" w:rsidRPr="00F47262">
              <w:rPr>
                <w:sz w:val="20"/>
              </w:rPr>
              <w:t>.</w:t>
            </w:r>
          </w:p>
        </w:tc>
        <w:tc>
          <w:tcPr>
            <w:tcW w:w="4291" w:type="dxa"/>
          </w:tcPr>
          <w:p w14:paraId="65C74697" w14:textId="5409D514" w:rsidR="008E24E7" w:rsidRPr="00F47262" w:rsidRDefault="006C6AF5" w:rsidP="00A776F3">
            <w:pPr>
              <w:spacing w:before="60" w:after="60"/>
              <w:rPr>
                <w:sz w:val="20"/>
              </w:rPr>
            </w:pPr>
            <w:r w:rsidRPr="00F47262">
              <w:rPr>
                <w:noProof/>
                <w:sz w:val="20"/>
              </w:rPr>
              <w:drawing>
                <wp:inline distT="0" distB="0" distL="0" distR="0" wp14:anchorId="0C076CA3" wp14:editId="15CC273C">
                  <wp:extent cx="2727960" cy="3101340"/>
                  <wp:effectExtent l="0" t="0" r="0" b="3810"/>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727960" cy="3101340"/>
                          </a:xfrm>
                          <a:prstGeom prst="rect">
                            <a:avLst/>
                          </a:prstGeom>
                          <a:noFill/>
                          <a:ln>
                            <a:noFill/>
                          </a:ln>
                        </pic:spPr>
                      </pic:pic>
                    </a:graphicData>
                  </a:graphic>
                </wp:inline>
              </w:drawing>
            </w:r>
          </w:p>
        </w:tc>
      </w:tr>
      <w:tr w:rsidR="008E24E7" w:rsidRPr="000665B0" w14:paraId="55F9C675" w14:textId="77777777" w:rsidTr="00F47262">
        <w:trPr>
          <w:cantSplit/>
        </w:trPr>
        <w:tc>
          <w:tcPr>
            <w:tcW w:w="828" w:type="dxa"/>
          </w:tcPr>
          <w:p w14:paraId="7EB4F60A" w14:textId="77777777" w:rsidR="008E24E7" w:rsidRPr="00F47262" w:rsidRDefault="008E24E7" w:rsidP="006D5A65">
            <w:pPr>
              <w:pStyle w:val="Heading1"/>
            </w:pPr>
          </w:p>
        </w:tc>
        <w:tc>
          <w:tcPr>
            <w:tcW w:w="4349" w:type="dxa"/>
          </w:tcPr>
          <w:p w14:paraId="688C1DD6" w14:textId="2D6D70E9" w:rsidR="00F30E62" w:rsidRPr="00F47262" w:rsidRDefault="008601E1" w:rsidP="008601E1">
            <w:pPr>
              <w:spacing w:before="60" w:after="60"/>
              <w:rPr>
                <w:sz w:val="20"/>
              </w:rPr>
            </w:pPr>
            <w:r w:rsidRPr="00F47262">
              <w:rPr>
                <w:sz w:val="20"/>
              </w:rPr>
              <w:t xml:space="preserve">In the </w:t>
            </w:r>
            <w:r w:rsidR="00BD4F60" w:rsidRPr="00F47262">
              <w:rPr>
                <w:sz w:val="20"/>
              </w:rPr>
              <w:t>left</w:t>
            </w:r>
            <w:r w:rsidRPr="00F47262">
              <w:rPr>
                <w:sz w:val="20"/>
              </w:rPr>
              <w:t xml:space="preserve"> pane of the </w:t>
            </w:r>
            <w:r w:rsidR="00F30E62" w:rsidRPr="00F47262">
              <w:rPr>
                <w:i/>
                <w:sz w:val="20"/>
              </w:rPr>
              <w:t>Computer Management</w:t>
            </w:r>
            <w:r w:rsidR="00F30E62" w:rsidRPr="00F47262">
              <w:rPr>
                <w:sz w:val="20"/>
              </w:rPr>
              <w:t xml:space="preserve"> </w:t>
            </w:r>
            <w:r w:rsidRPr="00F47262">
              <w:rPr>
                <w:sz w:val="20"/>
              </w:rPr>
              <w:t xml:space="preserve">window, expand the queue that </w:t>
            </w:r>
            <w:r w:rsidR="000E6FD0" w:rsidRPr="00F47262">
              <w:rPr>
                <w:sz w:val="20"/>
              </w:rPr>
              <w:t>needs to be purged</w:t>
            </w:r>
            <w:r w:rsidRPr="00F47262">
              <w:rPr>
                <w:sz w:val="20"/>
              </w:rPr>
              <w:t xml:space="preserve">. </w:t>
            </w:r>
          </w:p>
          <w:p w14:paraId="7F4FC8DA" w14:textId="2B70588C" w:rsidR="008E24E7" w:rsidRPr="00F47262" w:rsidRDefault="00F30E62" w:rsidP="008601E1">
            <w:pPr>
              <w:spacing w:before="60" w:after="60"/>
              <w:rPr>
                <w:sz w:val="20"/>
              </w:rPr>
            </w:pPr>
            <w:r w:rsidRPr="00F47262">
              <w:rPr>
                <w:sz w:val="20"/>
              </w:rPr>
              <w:t>Based on the number of messages</w:t>
            </w:r>
            <w:r w:rsidR="00BD4F60" w:rsidRPr="00F47262">
              <w:rPr>
                <w:sz w:val="20"/>
              </w:rPr>
              <w:t xml:space="preserve"> determined in the previous steps,</w:t>
            </w:r>
            <w:r w:rsidRPr="00F47262">
              <w:rPr>
                <w:sz w:val="20"/>
              </w:rPr>
              <w:t xml:space="preserve"> r</w:t>
            </w:r>
            <w:r w:rsidR="00BE5E4D" w:rsidRPr="00F47262">
              <w:rPr>
                <w:sz w:val="20"/>
              </w:rPr>
              <w:t>ight-click</w:t>
            </w:r>
            <w:r w:rsidRPr="00F47262">
              <w:rPr>
                <w:sz w:val="20"/>
              </w:rPr>
              <w:t xml:space="preserve"> either </w:t>
            </w:r>
            <w:r w:rsidRPr="00F47262">
              <w:rPr>
                <w:b/>
                <w:sz w:val="20"/>
              </w:rPr>
              <w:t xml:space="preserve">Queue </w:t>
            </w:r>
            <w:r w:rsidR="006C6AF5" w:rsidRPr="00F47262">
              <w:rPr>
                <w:b/>
                <w:sz w:val="20"/>
              </w:rPr>
              <w:t>m</w:t>
            </w:r>
            <w:r w:rsidRPr="00F47262">
              <w:rPr>
                <w:b/>
                <w:sz w:val="20"/>
              </w:rPr>
              <w:t>essages</w:t>
            </w:r>
            <w:r w:rsidRPr="00F47262">
              <w:rPr>
                <w:sz w:val="20"/>
              </w:rPr>
              <w:t xml:space="preserve"> or</w:t>
            </w:r>
            <w:r w:rsidR="008601E1" w:rsidRPr="00F47262">
              <w:rPr>
                <w:sz w:val="20"/>
              </w:rPr>
              <w:t xml:space="preserve"> </w:t>
            </w:r>
            <w:r w:rsidR="008601E1" w:rsidRPr="00F47262">
              <w:rPr>
                <w:b/>
                <w:sz w:val="20"/>
              </w:rPr>
              <w:t xml:space="preserve">Journal </w:t>
            </w:r>
            <w:r w:rsidR="006C6AF5" w:rsidRPr="00F47262">
              <w:rPr>
                <w:b/>
                <w:sz w:val="20"/>
              </w:rPr>
              <w:t>m</w:t>
            </w:r>
            <w:r w:rsidR="008601E1" w:rsidRPr="00F47262">
              <w:rPr>
                <w:b/>
                <w:sz w:val="20"/>
              </w:rPr>
              <w:t>essages</w:t>
            </w:r>
            <w:r w:rsidR="008601E1" w:rsidRPr="00F47262">
              <w:rPr>
                <w:sz w:val="20"/>
              </w:rPr>
              <w:t xml:space="preserve"> and select </w:t>
            </w:r>
            <w:r w:rsidR="008601E1" w:rsidRPr="00F47262">
              <w:rPr>
                <w:b/>
                <w:sz w:val="20"/>
              </w:rPr>
              <w:t>All Tasks &gt;</w:t>
            </w:r>
            <w:r w:rsidR="008601E1" w:rsidRPr="00F47262">
              <w:rPr>
                <w:sz w:val="20"/>
              </w:rPr>
              <w:t xml:space="preserve"> </w:t>
            </w:r>
            <w:r w:rsidR="008601E1" w:rsidRPr="00F47262">
              <w:rPr>
                <w:b/>
                <w:sz w:val="20"/>
              </w:rPr>
              <w:t>Purge</w:t>
            </w:r>
            <w:r w:rsidR="008601E1" w:rsidRPr="00F47262">
              <w:rPr>
                <w:sz w:val="20"/>
              </w:rPr>
              <w:t>.</w:t>
            </w:r>
          </w:p>
        </w:tc>
        <w:tc>
          <w:tcPr>
            <w:tcW w:w="4291" w:type="dxa"/>
          </w:tcPr>
          <w:p w14:paraId="32D950B4" w14:textId="44701E08" w:rsidR="008E24E7" w:rsidRPr="00F47262" w:rsidDel="0001184F" w:rsidRDefault="00F30E62" w:rsidP="00A776F3">
            <w:pPr>
              <w:spacing w:before="60" w:after="60"/>
              <w:rPr>
                <w:noProof/>
                <w:sz w:val="20"/>
              </w:rPr>
            </w:pPr>
            <w:r w:rsidRPr="00F47262">
              <w:rPr>
                <w:noProof/>
                <w:sz w:val="20"/>
              </w:rPr>
              <w:drawing>
                <wp:inline distT="0" distB="0" distL="0" distR="0" wp14:anchorId="1C3CE303" wp14:editId="7B96BDE4">
                  <wp:extent cx="2705100" cy="3938807"/>
                  <wp:effectExtent l="0" t="0" r="0" b="508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11350" cy="3947907"/>
                          </a:xfrm>
                          <a:prstGeom prst="rect">
                            <a:avLst/>
                          </a:prstGeom>
                        </pic:spPr>
                      </pic:pic>
                    </a:graphicData>
                  </a:graphic>
                </wp:inline>
              </w:drawing>
            </w:r>
          </w:p>
        </w:tc>
      </w:tr>
      <w:tr w:rsidR="008601E1" w:rsidRPr="000665B0" w14:paraId="5274BFCC" w14:textId="77777777" w:rsidTr="00F47262">
        <w:trPr>
          <w:cantSplit/>
        </w:trPr>
        <w:tc>
          <w:tcPr>
            <w:tcW w:w="828" w:type="dxa"/>
          </w:tcPr>
          <w:p w14:paraId="69330523" w14:textId="77777777" w:rsidR="008601E1" w:rsidRPr="00F47262" w:rsidRDefault="008601E1" w:rsidP="006D5A65">
            <w:pPr>
              <w:pStyle w:val="Heading1"/>
            </w:pPr>
          </w:p>
        </w:tc>
        <w:tc>
          <w:tcPr>
            <w:tcW w:w="4349" w:type="dxa"/>
          </w:tcPr>
          <w:p w14:paraId="6559008E" w14:textId="1C28B2B7" w:rsidR="008601E1" w:rsidRPr="00F47262" w:rsidRDefault="008601E1" w:rsidP="008601E1">
            <w:pPr>
              <w:spacing w:before="60" w:after="60"/>
              <w:rPr>
                <w:sz w:val="20"/>
              </w:rPr>
            </w:pPr>
            <w:r w:rsidRPr="00F47262">
              <w:rPr>
                <w:sz w:val="20"/>
              </w:rPr>
              <w:t xml:space="preserve">Click </w:t>
            </w:r>
            <w:r w:rsidRPr="00F47262">
              <w:rPr>
                <w:b/>
                <w:sz w:val="20"/>
              </w:rPr>
              <w:t>Yes</w:t>
            </w:r>
            <w:r w:rsidRPr="00F47262">
              <w:rPr>
                <w:sz w:val="20"/>
              </w:rPr>
              <w:t xml:space="preserve"> to confirm.</w:t>
            </w:r>
          </w:p>
        </w:tc>
        <w:tc>
          <w:tcPr>
            <w:tcW w:w="4291" w:type="dxa"/>
          </w:tcPr>
          <w:p w14:paraId="2277368F" w14:textId="757E371C" w:rsidR="008601E1" w:rsidRPr="00F47262" w:rsidRDefault="008601E1" w:rsidP="00A776F3">
            <w:pPr>
              <w:spacing w:before="60" w:after="60"/>
              <w:rPr>
                <w:noProof/>
                <w:sz w:val="20"/>
              </w:rPr>
            </w:pPr>
            <w:r w:rsidRPr="00F47262">
              <w:rPr>
                <w:noProof/>
                <w:sz w:val="20"/>
              </w:rPr>
              <w:drawing>
                <wp:inline distT="0" distB="0" distL="0" distR="0" wp14:anchorId="061533AC" wp14:editId="0BE2A173">
                  <wp:extent cx="2293464" cy="981466"/>
                  <wp:effectExtent l="0" t="0" r="0" b="9525"/>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321867" cy="993621"/>
                          </a:xfrm>
                          <a:prstGeom prst="rect">
                            <a:avLst/>
                          </a:prstGeom>
                        </pic:spPr>
                      </pic:pic>
                    </a:graphicData>
                  </a:graphic>
                </wp:inline>
              </w:drawing>
            </w:r>
          </w:p>
        </w:tc>
      </w:tr>
      <w:tr w:rsidR="005931CD" w:rsidRPr="000665B0" w14:paraId="2B8BE371" w14:textId="77777777" w:rsidTr="00F47262">
        <w:trPr>
          <w:cantSplit/>
        </w:trPr>
        <w:tc>
          <w:tcPr>
            <w:tcW w:w="828" w:type="dxa"/>
          </w:tcPr>
          <w:p w14:paraId="38A1D91D" w14:textId="77777777" w:rsidR="005931CD" w:rsidRPr="00F47262" w:rsidRDefault="005931CD" w:rsidP="006D5A65">
            <w:pPr>
              <w:pStyle w:val="Heading1"/>
            </w:pPr>
          </w:p>
        </w:tc>
        <w:tc>
          <w:tcPr>
            <w:tcW w:w="4349" w:type="dxa"/>
          </w:tcPr>
          <w:p w14:paraId="34130F78" w14:textId="6136A345" w:rsidR="005931CD" w:rsidRPr="00F47262" w:rsidRDefault="005931CD" w:rsidP="008601E1">
            <w:pPr>
              <w:spacing w:before="60" w:after="60"/>
              <w:rPr>
                <w:sz w:val="20"/>
              </w:rPr>
            </w:pPr>
            <w:r w:rsidRPr="00F47262">
              <w:rPr>
                <w:sz w:val="20"/>
              </w:rPr>
              <w:t>Repeat Steps 5-</w:t>
            </w:r>
            <w:r w:rsidR="006C6AF5" w:rsidRPr="00F47262">
              <w:rPr>
                <w:sz w:val="20"/>
              </w:rPr>
              <w:t>9</w:t>
            </w:r>
            <w:r w:rsidRPr="00F47262">
              <w:rPr>
                <w:sz w:val="20"/>
              </w:rPr>
              <w:t xml:space="preserve"> for all queues with a high number of messages.</w:t>
            </w:r>
          </w:p>
        </w:tc>
        <w:tc>
          <w:tcPr>
            <w:tcW w:w="4291" w:type="dxa"/>
          </w:tcPr>
          <w:p w14:paraId="5A453194" w14:textId="77777777" w:rsidR="005931CD" w:rsidRPr="00F47262" w:rsidRDefault="005931CD" w:rsidP="00A776F3">
            <w:pPr>
              <w:spacing w:before="60" w:after="60"/>
              <w:rPr>
                <w:noProof/>
                <w:sz w:val="20"/>
              </w:rPr>
            </w:pPr>
          </w:p>
        </w:tc>
      </w:tr>
      <w:tr w:rsidR="008601E1" w:rsidRPr="000665B0" w14:paraId="56FA762B" w14:textId="77777777" w:rsidTr="00F47262">
        <w:trPr>
          <w:cantSplit/>
        </w:trPr>
        <w:tc>
          <w:tcPr>
            <w:tcW w:w="828" w:type="dxa"/>
          </w:tcPr>
          <w:p w14:paraId="0A9CF262" w14:textId="77777777" w:rsidR="008601E1" w:rsidRPr="00F47262" w:rsidRDefault="008601E1" w:rsidP="006D5A65">
            <w:pPr>
              <w:pStyle w:val="Heading1"/>
            </w:pPr>
          </w:p>
        </w:tc>
        <w:tc>
          <w:tcPr>
            <w:tcW w:w="4349" w:type="dxa"/>
          </w:tcPr>
          <w:p w14:paraId="420B49EE" w14:textId="05857306" w:rsidR="008601E1" w:rsidRPr="00F47262" w:rsidRDefault="00BE5E4D" w:rsidP="008601E1">
            <w:pPr>
              <w:spacing w:before="60" w:after="60"/>
              <w:rPr>
                <w:sz w:val="20"/>
              </w:rPr>
            </w:pPr>
            <w:r w:rsidRPr="00F47262">
              <w:rPr>
                <w:sz w:val="20"/>
              </w:rPr>
              <w:t xml:space="preserve">Click </w:t>
            </w:r>
            <w:r w:rsidRPr="00F47262">
              <w:rPr>
                <w:noProof/>
                <w:sz w:val="20"/>
              </w:rPr>
              <w:drawing>
                <wp:inline distT="0" distB="0" distL="0" distR="0" wp14:anchorId="6681785A" wp14:editId="0FF2FF3F">
                  <wp:extent cx="171450" cy="152400"/>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Button.jpg"/>
                          <pic:cNvPicPr/>
                        </pic:nvPicPr>
                        <pic:blipFill>
                          <a:blip>
                            <a:extLst>
                              <a:ext uri="{28A0092B-C50C-407E-A947-70E740481C1C}">
                                <a14:useLocalDpi xmlns:a14="http://schemas.microsoft.com/office/drawing/2010/main"/>
                              </a:ext>
                            </a:extLst>
                          </a:blip>
                          <a:stretch>
                            <a:fillRect/>
                          </a:stretch>
                        </pic:blipFill>
                        <pic:spPr>
                          <a:xfrm>
                            <a:off x="0" y="0"/>
                            <a:ext cx="171450" cy="152400"/>
                          </a:xfrm>
                          <a:prstGeom prst="rect">
                            <a:avLst/>
                          </a:prstGeom>
                        </pic:spPr>
                      </pic:pic>
                    </a:graphicData>
                  </a:graphic>
                </wp:inline>
              </w:drawing>
            </w:r>
            <w:r w:rsidRPr="00F47262">
              <w:rPr>
                <w:sz w:val="20"/>
              </w:rPr>
              <w:t xml:space="preserve"> to close the </w:t>
            </w:r>
            <w:r w:rsidRPr="00F47262">
              <w:rPr>
                <w:i/>
                <w:sz w:val="20"/>
              </w:rPr>
              <w:t>Computer Management</w:t>
            </w:r>
            <w:r w:rsidRPr="00F47262">
              <w:rPr>
                <w:sz w:val="20"/>
              </w:rPr>
              <w:t xml:space="preserve"> window.</w:t>
            </w:r>
          </w:p>
        </w:tc>
        <w:tc>
          <w:tcPr>
            <w:tcW w:w="4291" w:type="dxa"/>
          </w:tcPr>
          <w:p w14:paraId="46200F5E" w14:textId="77777777" w:rsidR="008601E1" w:rsidRPr="00F47262" w:rsidRDefault="008601E1" w:rsidP="00A776F3">
            <w:pPr>
              <w:spacing w:before="60" w:after="60"/>
              <w:rPr>
                <w:noProof/>
                <w:sz w:val="20"/>
              </w:rPr>
            </w:pPr>
          </w:p>
        </w:tc>
      </w:tr>
      <w:tr w:rsidR="00592F90" w:rsidRPr="000665B0" w14:paraId="51751055" w14:textId="77777777" w:rsidTr="00F47262">
        <w:trPr>
          <w:cantSplit/>
        </w:trPr>
        <w:tc>
          <w:tcPr>
            <w:tcW w:w="828" w:type="dxa"/>
          </w:tcPr>
          <w:p w14:paraId="2E0D6ED3" w14:textId="77777777" w:rsidR="00592F90" w:rsidRPr="00F47262" w:rsidRDefault="00592F90" w:rsidP="006D5A65">
            <w:pPr>
              <w:pStyle w:val="Heading1"/>
            </w:pPr>
          </w:p>
        </w:tc>
        <w:tc>
          <w:tcPr>
            <w:tcW w:w="4349" w:type="dxa"/>
          </w:tcPr>
          <w:p w14:paraId="13006440" w14:textId="77777777" w:rsidR="00592F90" w:rsidRPr="00F47262" w:rsidRDefault="00592F90" w:rsidP="00592F90">
            <w:pPr>
              <w:spacing w:before="60" w:after="60"/>
              <w:rPr>
                <w:sz w:val="20"/>
              </w:rPr>
            </w:pPr>
            <w:r w:rsidRPr="00F47262">
              <w:rPr>
                <w:sz w:val="20"/>
              </w:rPr>
              <w:t xml:space="preserve">Right-click the </w:t>
            </w:r>
            <w:r w:rsidRPr="00F47262">
              <w:rPr>
                <w:noProof/>
                <w:sz w:val="20"/>
              </w:rPr>
              <w:drawing>
                <wp:inline distT="0" distB="0" distL="0" distR="0" wp14:anchorId="112F64F4" wp14:editId="6240A680">
                  <wp:extent cx="143124" cy="139358"/>
                  <wp:effectExtent l="0" t="0" r="0" b="0"/>
                  <wp:docPr id="991"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11-19_002.jpg"/>
                          <pic:cNvPicPr/>
                        </pic:nvPicPr>
                        <pic:blipFill>
                          <a:blip cstate="screen">
                            <a:extLst>
                              <a:ext uri="{28A0092B-C50C-407E-A947-70E740481C1C}">
                                <a14:useLocalDpi xmlns:a14="http://schemas.microsoft.com/office/drawing/2010/main"/>
                              </a:ext>
                            </a:extLst>
                          </a:blip>
                          <a:stretch>
                            <a:fillRect/>
                          </a:stretch>
                        </pic:blipFill>
                        <pic:spPr>
                          <a:xfrm>
                            <a:off x="0" y="0"/>
                            <a:ext cx="141633" cy="137906"/>
                          </a:xfrm>
                          <a:prstGeom prst="rect">
                            <a:avLst/>
                          </a:prstGeom>
                        </pic:spPr>
                      </pic:pic>
                    </a:graphicData>
                  </a:graphic>
                </wp:inline>
              </w:drawing>
            </w:r>
            <w:r w:rsidRPr="00F47262">
              <w:rPr>
                <w:sz w:val="20"/>
              </w:rPr>
              <w:t xml:space="preserve"> icon in the bottom left corner of the screen and select </w:t>
            </w:r>
            <w:r w:rsidRPr="00F47262">
              <w:rPr>
                <w:b/>
                <w:sz w:val="20"/>
              </w:rPr>
              <w:t>File Explorer</w:t>
            </w:r>
            <w:r w:rsidRPr="00F47262">
              <w:rPr>
                <w:sz w:val="20"/>
              </w:rPr>
              <w:t>. Navigate to the following directory:</w:t>
            </w:r>
          </w:p>
          <w:p w14:paraId="546168A5" w14:textId="62F29D06" w:rsidR="00592F90" w:rsidRPr="00F47262" w:rsidRDefault="00592F90" w:rsidP="00592F90">
            <w:pPr>
              <w:spacing w:before="60" w:after="60"/>
              <w:rPr>
                <w:b/>
                <w:sz w:val="20"/>
              </w:rPr>
            </w:pPr>
            <w:r w:rsidRPr="00F47262">
              <w:rPr>
                <w:b/>
                <w:sz w:val="20"/>
              </w:rPr>
              <w:t>%windir%\System32\msmq</w:t>
            </w:r>
            <w:r w:rsidR="00F15446" w:rsidRPr="00F47262">
              <w:rPr>
                <w:b/>
                <w:sz w:val="20"/>
              </w:rPr>
              <w:t>\storage</w:t>
            </w:r>
          </w:p>
        </w:tc>
        <w:tc>
          <w:tcPr>
            <w:tcW w:w="4291" w:type="dxa"/>
          </w:tcPr>
          <w:p w14:paraId="37F87389" w14:textId="77777777" w:rsidR="00592F90" w:rsidRPr="00F47262" w:rsidRDefault="00592F90" w:rsidP="00A776F3">
            <w:pPr>
              <w:spacing w:before="60" w:after="60"/>
              <w:rPr>
                <w:noProof/>
                <w:sz w:val="20"/>
              </w:rPr>
            </w:pPr>
          </w:p>
        </w:tc>
      </w:tr>
      <w:tr w:rsidR="00592F90" w:rsidRPr="000665B0" w14:paraId="5438B899" w14:textId="77777777" w:rsidTr="00F47262">
        <w:trPr>
          <w:cantSplit/>
        </w:trPr>
        <w:tc>
          <w:tcPr>
            <w:tcW w:w="828" w:type="dxa"/>
          </w:tcPr>
          <w:p w14:paraId="400490E1" w14:textId="77777777" w:rsidR="00592F90" w:rsidRPr="00F47262" w:rsidRDefault="00592F90" w:rsidP="006D5A65">
            <w:pPr>
              <w:pStyle w:val="Heading1"/>
            </w:pPr>
          </w:p>
        </w:tc>
        <w:tc>
          <w:tcPr>
            <w:tcW w:w="4349" w:type="dxa"/>
          </w:tcPr>
          <w:p w14:paraId="53E451AB" w14:textId="77777777" w:rsidR="00592F90" w:rsidRPr="00F47262" w:rsidRDefault="00592F90" w:rsidP="00592F90">
            <w:pPr>
              <w:spacing w:before="60" w:after="60"/>
              <w:rPr>
                <w:sz w:val="20"/>
              </w:rPr>
            </w:pPr>
            <w:r w:rsidRPr="00F47262">
              <w:rPr>
                <w:sz w:val="20"/>
              </w:rPr>
              <w:t xml:space="preserve">Select the </w:t>
            </w:r>
            <w:r w:rsidRPr="00F47262">
              <w:rPr>
                <w:b/>
                <w:sz w:val="20"/>
              </w:rPr>
              <w:t>storage</w:t>
            </w:r>
            <w:r w:rsidRPr="00F47262">
              <w:rPr>
                <w:sz w:val="20"/>
              </w:rPr>
              <w:t xml:space="preserve"> folder, right-click, and select </w:t>
            </w:r>
            <w:r w:rsidRPr="00F47262">
              <w:rPr>
                <w:b/>
                <w:sz w:val="20"/>
              </w:rPr>
              <w:t>Properties</w:t>
            </w:r>
            <w:r w:rsidR="00BE5E4D" w:rsidRPr="00F47262">
              <w:rPr>
                <w:sz w:val="20"/>
              </w:rPr>
              <w:t xml:space="preserve"> to display the </w:t>
            </w:r>
            <w:r w:rsidR="00BE5E4D" w:rsidRPr="00F47262">
              <w:rPr>
                <w:i/>
                <w:sz w:val="20"/>
              </w:rPr>
              <w:t>storage Properties</w:t>
            </w:r>
            <w:r w:rsidR="00BE5E4D" w:rsidRPr="00F47262">
              <w:rPr>
                <w:sz w:val="20"/>
              </w:rPr>
              <w:t xml:space="preserve"> window</w:t>
            </w:r>
            <w:r w:rsidRPr="00F47262">
              <w:rPr>
                <w:sz w:val="20"/>
              </w:rPr>
              <w:t xml:space="preserve">. The </w:t>
            </w:r>
            <w:r w:rsidRPr="00F47262">
              <w:rPr>
                <w:b/>
                <w:sz w:val="20"/>
              </w:rPr>
              <w:t>Size</w:t>
            </w:r>
            <w:r w:rsidRPr="00F47262">
              <w:rPr>
                <w:sz w:val="20"/>
              </w:rPr>
              <w:t xml:space="preserve"> </w:t>
            </w:r>
            <w:r w:rsidR="00BE5E4D" w:rsidRPr="00F47262">
              <w:rPr>
                <w:sz w:val="20"/>
              </w:rPr>
              <w:t xml:space="preserve">field </w:t>
            </w:r>
            <w:r w:rsidRPr="00F47262">
              <w:rPr>
                <w:sz w:val="20"/>
              </w:rPr>
              <w:t>should be less than 1 GB.</w:t>
            </w:r>
            <w:r w:rsidR="005A6224" w:rsidRPr="00F47262">
              <w:rPr>
                <w:sz w:val="20"/>
              </w:rPr>
              <w:t xml:space="preserve"> Click </w:t>
            </w:r>
            <w:r w:rsidR="005A6224" w:rsidRPr="00F47262">
              <w:rPr>
                <w:b/>
                <w:sz w:val="20"/>
              </w:rPr>
              <w:t>OK</w:t>
            </w:r>
            <w:r w:rsidR="005A6224" w:rsidRPr="00F47262">
              <w:rPr>
                <w:sz w:val="20"/>
              </w:rPr>
              <w:t xml:space="preserve"> and close all folders.</w:t>
            </w:r>
          </w:p>
          <w:p w14:paraId="0A36D225" w14:textId="5003CCFA" w:rsidR="005931CD" w:rsidRPr="00F47262" w:rsidRDefault="005931CD" w:rsidP="00592F90">
            <w:pPr>
              <w:spacing w:before="60" w:after="60"/>
              <w:rPr>
                <w:sz w:val="20"/>
              </w:rPr>
            </w:pPr>
            <w:r w:rsidRPr="00F47262">
              <w:rPr>
                <w:sz w:val="20"/>
              </w:rPr>
              <w:t xml:space="preserve">If the </w:t>
            </w:r>
            <w:r w:rsidRPr="00F47262">
              <w:rPr>
                <w:b/>
                <w:sz w:val="20"/>
              </w:rPr>
              <w:t>Size</w:t>
            </w:r>
            <w:r w:rsidRPr="00F47262">
              <w:rPr>
                <w:sz w:val="20"/>
              </w:rPr>
              <w:t xml:space="preserve"> field is greater than 1 GB, contact the P</w:t>
            </w:r>
            <w:r w:rsidR="00D03F7E" w:rsidRPr="00F47262">
              <w:rPr>
                <w:sz w:val="20"/>
              </w:rPr>
              <w:t>eraton</w:t>
            </w:r>
            <w:r w:rsidRPr="00F47262">
              <w:rPr>
                <w:sz w:val="20"/>
              </w:rPr>
              <w:t xml:space="preserve"> Help Desk </w:t>
            </w:r>
            <w:r w:rsidR="008858E3" w:rsidRPr="00F47262">
              <w:rPr>
                <w:sz w:val="20"/>
              </w:rPr>
              <w:t>(see</w:t>
            </w:r>
            <w:r w:rsidRPr="00F47262">
              <w:rPr>
                <w:sz w:val="20"/>
              </w:rPr>
              <w:t xml:space="preserve"> </w:t>
            </w:r>
            <w:hyperlink w:anchor="_APPENDIX_U_" w:history="1">
              <w:r w:rsidRPr="00F47262">
                <w:rPr>
                  <w:rStyle w:val="Hyperlink"/>
                  <w:sz w:val="20"/>
                </w:rPr>
                <w:t xml:space="preserve">Appendix </w:t>
              </w:r>
              <w:r w:rsidR="00BA5FFA">
                <w:rPr>
                  <w:rStyle w:val="Hyperlink"/>
                  <w:sz w:val="20"/>
                </w:rPr>
                <w:t>U</w:t>
              </w:r>
            </w:hyperlink>
            <w:r w:rsidR="008858E3" w:rsidRPr="00F47262">
              <w:rPr>
                <w:sz w:val="20"/>
              </w:rPr>
              <w:t>).</w:t>
            </w:r>
          </w:p>
        </w:tc>
        <w:tc>
          <w:tcPr>
            <w:tcW w:w="4291" w:type="dxa"/>
          </w:tcPr>
          <w:p w14:paraId="74289713" w14:textId="48CAB387" w:rsidR="00592F90" w:rsidRPr="00F47262" w:rsidRDefault="00592F90" w:rsidP="00A776F3">
            <w:pPr>
              <w:spacing w:before="60" w:after="60"/>
              <w:rPr>
                <w:noProof/>
                <w:sz w:val="20"/>
              </w:rPr>
            </w:pPr>
            <w:r w:rsidRPr="00F47262">
              <w:rPr>
                <w:noProof/>
                <w:sz w:val="20"/>
              </w:rPr>
              <w:drawing>
                <wp:inline distT="0" distB="0" distL="0" distR="0" wp14:anchorId="235628B2" wp14:editId="3D1AAA48">
                  <wp:extent cx="1811215" cy="2385171"/>
                  <wp:effectExtent l="0" t="0" r="0" b="0"/>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824575" cy="2402765"/>
                          </a:xfrm>
                          <a:prstGeom prst="rect">
                            <a:avLst/>
                          </a:prstGeom>
                        </pic:spPr>
                      </pic:pic>
                    </a:graphicData>
                  </a:graphic>
                </wp:inline>
              </w:drawing>
            </w:r>
          </w:p>
        </w:tc>
      </w:tr>
    </w:tbl>
    <w:p w14:paraId="3A06069D" w14:textId="07C72F3B" w:rsidR="00425683" w:rsidRPr="000665B0" w:rsidRDefault="00C66305" w:rsidP="00155E82">
      <w:pPr>
        <w:pStyle w:val="Appendix3"/>
        <w:ind w:left="360"/>
      </w:pPr>
      <w:bookmarkStart w:id="7505" w:name="_Toc214283718"/>
      <w:r w:rsidRPr="000665B0">
        <w:t xml:space="preserve">Identify Unused Queues from </w:t>
      </w:r>
      <w:r w:rsidR="00BF2D02" w:rsidRPr="000665B0">
        <w:t xml:space="preserve">Renamed or Removed </w:t>
      </w:r>
      <w:r w:rsidR="00F43856" w:rsidRPr="000665B0">
        <w:t xml:space="preserve">Machine </w:t>
      </w:r>
      <w:r w:rsidR="00BF2D02" w:rsidRPr="000665B0">
        <w:t>Names</w:t>
      </w:r>
      <w:bookmarkEnd w:id="7505"/>
    </w:p>
    <w:p w14:paraId="44F21B5D" w14:textId="4A76CEF6" w:rsidR="00F43856" w:rsidRPr="000665B0" w:rsidRDefault="00F43856" w:rsidP="00425683">
      <w:r w:rsidRPr="000665B0">
        <w:t xml:space="preserve">Renaming or removing machines from the domain can cause problems within the TED messaging system. Because the old machine’s queue is still in the database, TED continues to send messages to it. This consumes memory, </w:t>
      </w:r>
      <w:r w:rsidR="006D329B" w:rsidRPr="000665B0">
        <w:t>which may cause</w:t>
      </w:r>
      <w:r w:rsidRPr="000665B0">
        <w:t xml:space="preserve"> MSMQ </w:t>
      </w:r>
      <w:r w:rsidR="006D329B" w:rsidRPr="000665B0">
        <w:t>to run slowly and eventually stop running.</w:t>
      </w:r>
      <w:r w:rsidRPr="000665B0">
        <w:t xml:space="preserve"> If </w:t>
      </w:r>
      <w:r w:rsidR="006D329B" w:rsidRPr="000665B0">
        <w:t xml:space="preserve">MSMQ becomes completely unresponsive, </w:t>
      </w:r>
      <w:r w:rsidRPr="000665B0">
        <w:t xml:space="preserve">contact </w:t>
      </w:r>
      <w:r w:rsidR="006D329B" w:rsidRPr="000665B0">
        <w:t xml:space="preserve">the </w:t>
      </w:r>
      <w:r w:rsidR="00D03F7E">
        <w:t>Peraton</w:t>
      </w:r>
      <w:r w:rsidR="00D03F7E" w:rsidRPr="000665B0">
        <w:t xml:space="preserve"> </w:t>
      </w:r>
      <w:r w:rsidRPr="000665B0">
        <w:t>Help Desk</w:t>
      </w:r>
      <w:r w:rsidR="006D329B" w:rsidRPr="000665B0">
        <w:t xml:space="preserve"> </w:t>
      </w:r>
      <w:r w:rsidR="008858E3" w:rsidRPr="000665B0">
        <w:t>(see</w:t>
      </w:r>
      <w:r w:rsidRPr="000665B0">
        <w:rPr>
          <w:szCs w:val="24"/>
        </w:rPr>
        <w:t xml:space="preserve"> </w:t>
      </w:r>
      <w:hyperlink w:anchor="_APPENDIX_U_" w:history="1">
        <w:r w:rsidRPr="000665B0">
          <w:rPr>
            <w:rStyle w:val="Hyperlink"/>
            <w:szCs w:val="24"/>
          </w:rPr>
          <w:t xml:space="preserve">Appendix </w:t>
        </w:r>
        <w:r w:rsidR="00BA5FFA">
          <w:rPr>
            <w:rStyle w:val="Hyperlink"/>
            <w:szCs w:val="24"/>
          </w:rPr>
          <w:t>U</w:t>
        </w:r>
      </w:hyperlink>
      <w:r w:rsidR="008858E3" w:rsidRPr="000665B0">
        <w:rPr>
          <w:szCs w:val="24"/>
        </w:rPr>
        <w:t>)</w:t>
      </w:r>
      <w:r w:rsidR="00C66305" w:rsidRPr="000665B0">
        <w:rPr>
          <w:szCs w:val="24"/>
        </w:rPr>
        <w:t xml:space="preserve">. Unused queues for non-active machines need to be identified and </w:t>
      </w:r>
      <w:r w:rsidR="00224B5D" w:rsidRPr="000665B0">
        <w:rPr>
          <w:szCs w:val="24"/>
        </w:rPr>
        <w:t>removed</w:t>
      </w:r>
      <w:r w:rsidR="00C66305" w:rsidRPr="000665B0">
        <w:rPr>
          <w:szCs w:val="24"/>
        </w:rPr>
        <w:t>.</w:t>
      </w:r>
    </w:p>
    <w:p w14:paraId="5EC49115" w14:textId="75D6ECD3" w:rsidR="00F43856" w:rsidRPr="000665B0" w:rsidRDefault="00F43856" w:rsidP="00425683">
      <w:r w:rsidRPr="000665B0">
        <w:t>Messages created by Pe</w:t>
      </w:r>
      <w:r w:rsidR="00AB0501">
        <w:t>raton</w:t>
      </w:r>
      <w:r w:rsidR="00207DE6">
        <w:t xml:space="preserve"> </w:t>
      </w:r>
      <w:r w:rsidRPr="000665B0">
        <w:t>TED components are set</w:t>
      </w:r>
      <w:r w:rsidR="00FB393F" w:rsidRPr="000665B0">
        <w:t xml:space="preserve"> by default </w:t>
      </w:r>
      <w:r w:rsidRPr="000665B0">
        <w:t xml:space="preserve">to </w:t>
      </w:r>
      <w:r w:rsidR="006D329B" w:rsidRPr="000665B0">
        <w:t>be retained</w:t>
      </w:r>
      <w:r w:rsidRPr="000665B0">
        <w:t xml:space="preserve"> for 4 hours</w:t>
      </w:r>
      <w:r w:rsidR="006D329B" w:rsidRPr="000665B0">
        <w:t xml:space="preserve">. </w:t>
      </w:r>
      <w:r w:rsidR="0051651F" w:rsidRPr="000665B0">
        <w:t>If a machine is renamed or removed, the messages may not be purged after 4 hours, which causes the message storage file size to grow and consume memory. Additionally</w:t>
      </w:r>
      <w:r w:rsidRPr="000665B0">
        <w:t>, messages created by other component</w:t>
      </w:r>
      <w:r w:rsidR="006D329B" w:rsidRPr="000665B0">
        <w:t>s</w:t>
      </w:r>
      <w:r w:rsidRPr="000665B0">
        <w:t xml:space="preserve"> </w:t>
      </w:r>
      <w:r w:rsidR="006D329B" w:rsidRPr="000665B0">
        <w:t>may</w:t>
      </w:r>
      <w:r w:rsidRPr="000665B0">
        <w:t xml:space="preserve"> </w:t>
      </w:r>
      <w:r w:rsidR="006D329B" w:rsidRPr="000665B0">
        <w:t>be stored longer, which</w:t>
      </w:r>
      <w:r w:rsidRPr="000665B0">
        <w:t xml:space="preserve"> </w:t>
      </w:r>
      <w:r w:rsidR="0051651F" w:rsidRPr="000665B0">
        <w:t xml:space="preserve">also </w:t>
      </w:r>
      <w:r w:rsidR="006D329B" w:rsidRPr="000665B0">
        <w:t>cause</w:t>
      </w:r>
      <w:r w:rsidR="0051651F" w:rsidRPr="000665B0">
        <w:t>s</w:t>
      </w:r>
      <w:r w:rsidRPr="000665B0">
        <w:t xml:space="preserve"> the message</w:t>
      </w:r>
      <w:r w:rsidR="0051651F" w:rsidRPr="000665B0">
        <w:t xml:space="preserve"> storage</w:t>
      </w:r>
      <w:r w:rsidRPr="000665B0">
        <w:t xml:space="preserve"> file size to </w:t>
      </w:r>
      <w:r w:rsidR="006D329B" w:rsidRPr="000665B0">
        <w:t>grow</w:t>
      </w:r>
      <w:r w:rsidRPr="000665B0">
        <w:t xml:space="preserve">. </w:t>
      </w:r>
    </w:p>
    <w:p w14:paraId="14388789" w14:textId="36BC0309" w:rsidR="00425683" w:rsidRPr="000665B0" w:rsidRDefault="00425683" w:rsidP="00425683">
      <w:pPr>
        <w:rPr>
          <w:szCs w:val="24"/>
        </w:rPr>
      </w:pPr>
      <w:r w:rsidRPr="000665B0">
        <w:rPr>
          <w:szCs w:val="24"/>
        </w:rPr>
        <w:t>Follow these steps to</w:t>
      </w:r>
      <w:r w:rsidR="004568BA" w:rsidRPr="000665B0">
        <w:rPr>
          <w:szCs w:val="24"/>
        </w:rPr>
        <w:t xml:space="preserve"> identify and remove unused queues</w:t>
      </w:r>
      <w:r w:rsidR="00FB393F" w:rsidRPr="000665B0">
        <w:rPr>
          <w:szCs w:val="24"/>
        </w:rPr>
        <w:t xml:space="preserve"> from renamed or removed machine names</w:t>
      </w:r>
      <w:r w:rsidRPr="000665B0">
        <w:rPr>
          <w:szCs w:val="24"/>
        </w:rPr>
        <w:t>.</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4349"/>
        <w:gridCol w:w="4381"/>
      </w:tblGrid>
      <w:tr w:rsidR="00425683" w:rsidRPr="000665B0" w14:paraId="39E39177" w14:textId="77777777" w:rsidTr="00F47262">
        <w:trPr>
          <w:cantSplit/>
          <w:tblHeader/>
        </w:trPr>
        <w:tc>
          <w:tcPr>
            <w:tcW w:w="9468" w:type="dxa"/>
            <w:gridSpan w:val="3"/>
            <w:tcBorders>
              <w:bottom w:val="single" w:sz="4" w:space="0" w:color="auto"/>
            </w:tcBorders>
            <w:shd w:val="clear" w:color="auto" w:fill="D9D9D9" w:themeFill="background1" w:themeFillShade="D9"/>
          </w:tcPr>
          <w:p w14:paraId="57B445B8" w14:textId="048573B5" w:rsidR="00425683" w:rsidRPr="00F47262" w:rsidRDefault="00425683" w:rsidP="00A776F3">
            <w:pPr>
              <w:keepNext/>
              <w:keepLines/>
              <w:spacing w:before="60" w:after="60"/>
              <w:rPr>
                <w:rFonts w:ascii="Arial" w:hAnsi="Arial" w:cs="Arial"/>
                <w:b/>
                <w:szCs w:val="24"/>
              </w:rPr>
            </w:pPr>
            <w:r w:rsidRPr="00F47262">
              <w:rPr>
                <w:rFonts w:ascii="Arial" w:hAnsi="Arial" w:cs="Arial"/>
                <w:b/>
                <w:szCs w:val="24"/>
              </w:rPr>
              <w:lastRenderedPageBreak/>
              <w:t>L.5.</w:t>
            </w:r>
            <w:r w:rsidR="00F43856" w:rsidRPr="00F47262">
              <w:rPr>
                <w:rFonts w:ascii="Arial" w:hAnsi="Arial" w:cs="Arial"/>
                <w:b/>
                <w:szCs w:val="24"/>
              </w:rPr>
              <w:t>4</w:t>
            </w:r>
            <w:r w:rsidR="009651B0" w:rsidRPr="00F47262">
              <w:rPr>
                <w:rFonts w:ascii="Arial" w:hAnsi="Arial" w:cs="Arial"/>
                <w:b/>
                <w:szCs w:val="24"/>
              </w:rPr>
              <w:t xml:space="preserve"> </w:t>
            </w:r>
            <w:r w:rsidR="00224B5D" w:rsidRPr="00F47262">
              <w:rPr>
                <w:rFonts w:ascii="Arial" w:hAnsi="Arial" w:cs="Arial"/>
                <w:b/>
                <w:szCs w:val="24"/>
              </w:rPr>
              <w:t xml:space="preserve">Identify Unused Queues from Renamed or Removed </w:t>
            </w:r>
            <w:r w:rsidR="00F43856" w:rsidRPr="00F47262">
              <w:rPr>
                <w:rFonts w:ascii="Arial" w:hAnsi="Arial" w:cs="Arial"/>
                <w:b/>
                <w:szCs w:val="24"/>
              </w:rPr>
              <w:t xml:space="preserve">Machine </w:t>
            </w:r>
            <w:r w:rsidR="00224B5D" w:rsidRPr="00F47262">
              <w:rPr>
                <w:rFonts w:ascii="Arial" w:hAnsi="Arial" w:cs="Arial"/>
                <w:b/>
                <w:szCs w:val="24"/>
              </w:rPr>
              <w:t>Names</w:t>
            </w:r>
          </w:p>
        </w:tc>
      </w:tr>
      <w:tr w:rsidR="00425683" w:rsidRPr="000665B0" w14:paraId="35DD6CFC" w14:textId="77777777" w:rsidTr="00F47262">
        <w:trPr>
          <w:cantSplit/>
          <w:tblHeader/>
        </w:trPr>
        <w:tc>
          <w:tcPr>
            <w:tcW w:w="738" w:type="dxa"/>
            <w:tcBorders>
              <w:bottom w:val="single" w:sz="4" w:space="0" w:color="auto"/>
            </w:tcBorders>
            <w:shd w:val="clear" w:color="auto" w:fill="D9D9D9" w:themeFill="background1" w:themeFillShade="D9"/>
          </w:tcPr>
          <w:p w14:paraId="6A50521A" w14:textId="77777777" w:rsidR="00425683" w:rsidRPr="00F47262" w:rsidRDefault="00425683" w:rsidP="00A776F3">
            <w:pPr>
              <w:keepNext/>
              <w:keepLines/>
              <w:spacing w:before="60" w:after="60"/>
              <w:jc w:val="both"/>
              <w:rPr>
                <w:rFonts w:ascii="Arial" w:hAnsi="Arial" w:cs="Arial"/>
                <w:b/>
                <w:szCs w:val="24"/>
              </w:rPr>
            </w:pPr>
            <w:r w:rsidRPr="00F47262">
              <w:rPr>
                <w:rFonts w:ascii="Arial" w:hAnsi="Arial" w:cs="Arial"/>
                <w:b/>
                <w:szCs w:val="24"/>
              </w:rPr>
              <w:t>Step</w:t>
            </w:r>
          </w:p>
        </w:tc>
        <w:tc>
          <w:tcPr>
            <w:tcW w:w="4349" w:type="dxa"/>
            <w:tcBorders>
              <w:bottom w:val="single" w:sz="4" w:space="0" w:color="auto"/>
            </w:tcBorders>
            <w:shd w:val="clear" w:color="auto" w:fill="D9D9D9" w:themeFill="background1" w:themeFillShade="D9"/>
          </w:tcPr>
          <w:p w14:paraId="266AA16A" w14:textId="77777777" w:rsidR="00425683" w:rsidRPr="00F47262" w:rsidRDefault="00425683" w:rsidP="00A776F3">
            <w:pPr>
              <w:keepNext/>
              <w:keepLines/>
              <w:spacing w:before="60" w:after="60"/>
              <w:rPr>
                <w:rFonts w:ascii="Arial" w:hAnsi="Arial" w:cs="Arial"/>
                <w:b/>
                <w:szCs w:val="24"/>
              </w:rPr>
            </w:pPr>
            <w:r w:rsidRPr="00F47262">
              <w:rPr>
                <w:rFonts w:ascii="Arial" w:hAnsi="Arial" w:cs="Arial"/>
                <w:b/>
                <w:szCs w:val="24"/>
              </w:rPr>
              <w:t>Procedure</w:t>
            </w:r>
          </w:p>
        </w:tc>
        <w:tc>
          <w:tcPr>
            <w:tcW w:w="4381" w:type="dxa"/>
            <w:tcBorders>
              <w:bottom w:val="single" w:sz="4" w:space="0" w:color="auto"/>
            </w:tcBorders>
            <w:shd w:val="clear" w:color="auto" w:fill="D9D9D9" w:themeFill="background1" w:themeFillShade="D9"/>
          </w:tcPr>
          <w:p w14:paraId="63BF1D8C" w14:textId="77777777" w:rsidR="00425683" w:rsidRPr="00F47262" w:rsidRDefault="00425683" w:rsidP="00A776F3">
            <w:pPr>
              <w:keepNext/>
              <w:keepLines/>
              <w:spacing w:before="60" w:after="60"/>
              <w:rPr>
                <w:rFonts w:ascii="Arial" w:hAnsi="Arial" w:cs="Arial"/>
                <w:b/>
                <w:szCs w:val="24"/>
              </w:rPr>
            </w:pPr>
            <w:r w:rsidRPr="00F47262">
              <w:rPr>
                <w:rFonts w:ascii="Arial" w:hAnsi="Arial" w:cs="Arial"/>
                <w:b/>
                <w:szCs w:val="24"/>
              </w:rPr>
              <w:t>Comments</w:t>
            </w:r>
          </w:p>
        </w:tc>
      </w:tr>
      <w:tr w:rsidR="00C50ED1" w:rsidRPr="000665B0" w14:paraId="7E910421" w14:textId="77777777" w:rsidTr="00F47262">
        <w:trPr>
          <w:cantSplit/>
        </w:trPr>
        <w:tc>
          <w:tcPr>
            <w:tcW w:w="738" w:type="dxa"/>
          </w:tcPr>
          <w:p w14:paraId="5F91BE8C" w14:textId="77777777" w:rsidR="00C50ED1" w:rsidRPr="00F47262" w:rsidRDefault="00C50ED1" w:rsidP="006D5A65">
            <w:pPr>
              <w:pStyle w:val="Heading1"/>
            </w:pPr>
          </w:p>
        </w:tc>
        <w:tc>
          <w:tcPr>
            <w:tcW w:w="4349" w:type="dxa"/>
          </w:tcPr>
          <w:p w14:paraId="7547E496" w14:textId="759DF860" w:rsidR="00C50ED1" w:rsidRPr="00F47262" w:rsidRDefault="00C50ED1" w:rsidP="00C50ED1">
            <w:pPr>
              <w:spacing w:before="60" w:after="60"/>
              <w:rPr>
                <w:sz w:val="20"/>
              </w:rPr>
            </w:pPr>
            <w:r w:rsidRPr="00F47262">
              <w:rPr>
                <w:sz w:val="20"/>
              </w:rPr>
              <w:t>Login to the appropriate machine with an account that has administrator privileges.</w:t>
            </w:r>
          </w:p>
        </w:tc>
        <w:tc>
          <w:tcPr>
            <w:tcW w:w="4381" w:type="dxa"/>
          </w:tcPr>
          <w:p w14:paraId="621945A0" w14:textId="77777777" w:rsidR="00C50ED1" w:rsidRPr="00F47262" w:rsidRDefault="00C50ED1" w:rsidP="00C50ED1">
            <w:pPr>
              <w:spacing w:before="60" w:after="60"/>
              <w:rPr>
                <w:sz w:val="20"/>
              </w:rPr>
            </w:pPr>
          </w:p>
        </w:tc>
      </w:tr>
      <w:tr w:rsidR="00C50ED1" w:rsidRPr="000665B0" w14:paraId="4ACC721C" w14:textId="77777777" w:rsidTr="00F47262">
        <w:trPr>
          <w:cantSplit/>
        </w:trPr>
        <w:tc>
          <w:tcPr>
            <w:tcW w:w="738" w:type="dxa"/>
          </w:tcPr>
          <w:p w14:paraId="0AAAD352" w14:textId="77777777" w:rsidR="00C50ED1" w:rsidRPr="00F47262" w:rsidRDefault="00C50ED1" w:rsidP="006D5A65">
            <w:pPr>
              <w:pStyle w:val="Heading1"/>
            </w:pPr>
          </w:p>
        </w:tc>
        <w:tc>
          <w:tcPr>
            <w:tcW w:w="4349" w:type="dxa"/>
          </w:tcPr>
          <w:p w14:paraId="5679A71C" w14:textId="7BB127E8" w:rsidR="00C50ED1" w:rsidRPr="00F47262" w:rsidRDefault="00C50ED1" w:rsidP="00C50ED1">
            <w:pPr>
              <w:spacing w:before="60" w:after="60"/>
              <w:rPr>
                <w:sz w:val="20"/>
              </w:rPr>
            </w:pPr>
            <w:r w:rsidRPr="00F47262">
              <w:rPr>
                <w:sz w:val="20"/>
              </w:rPr>
              <w:t xml:space="preserve">Right-click the </w:t>
            </w:r>
            <w:r w:rsidRPr="00F47262">
              <w:rPr>
                <w:noProof/>
                <w:position w:val="-6"/>
                <w:sz w:val="20"/>
              </w:rPr>
              <w:drawing>
                <wp:inline distT="0" distB="0" distL="0" distR="0" wp14:anchorId="387AEFE3" wp14:editId="5F51B9D8">
                  <wp:extent cx="182880" cy="178068"/>
                  <wp:effectExtent l="0" t="0" r="762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F47262">
              <w:rPr>
                <w:sz w:val="20"/>
              </w:rPr>
              <w:t xml:space="preserve"> icon and select </w:t>
            </w:r>
            <w:r w:rsidRPr="00F47262">
              <w:rPr>
                <w:b/>
                <w:sz w:val="20"/>
              </w:rPr>
              <w:t>Search</w:t>
            </w:r>
            <w:r w:rsidRPr="00F47262">
              <w:rPr>
                <w:sz w:val="20"/>
              </w:rPr>
              <w:t xml:space="preserve"> from the pop-up menu. Type </w:t>
            </w:r>
            <w:r w:rsidRPr="00F47262">
              <w:rPr>
                <w:b/>
                <w:sz w:val="20"/>
              </w:rPr>
              <w:t>SQL Server 2014 Management Studio</w:t>
            </w:r>
            <w:r w:rsidRPr="00F47262">
              <w:rPr>
                <w:sz w:val="20"/>
              </w:rPr>
              <w:t xml:space="preserve"> in the </w:t>
            </w:r>
            <w:r w:rsidRPr="00F47262">
              <w:rPr>
                <w:b/>
                <w:sz w:val="20"/>
              </w:rPr>
              <w:t>Search</w:t>
            </w:r>
            <w:r w:rsidRPr="00F47262">
              <w:rPr>
                <w:sz w:val="20"/>
              </w:rPr>
              <w:t xml:space="preserve"> field, and then select </w:t>
            </w:r>
            <w:r w:rsidRPr="00F47262">
              <w:rPr>
                <w:b/>
                <w:sz w:val="20"/>
              </w:rPr>
              <w:t>SQL Server 2014 Management Studio</w:t>
            </w:r>
            <w:r w:rsidRPr="00F47262">
              <w:rPr>
                <w:sz w:val="20"/>
              </w:rPr>
              <w:t xml:space="preserve"> in the results list.</w:t>
            </w:r>
            <w:r w:rsidR="00F7153E" w:rsidRPr="00F47262">
              <w:rPr>
                <w:sz w:val="20"/>
              </w:rPr>
              <w:t xml:space="preserve"> See Note 1.</w:t>
            </w:r>
          </w:p>
        </w:tc>
        <w:tc>
          <w:tcPr>
            <w:tcW w:w="4381" w:type="dxa"/>
          </w:tcPr>
          <w:p w14:paraId="140CD177" w14:textId="48456C43" w:rsidR="00C50ED1" w:rsidRPr="00F47262" w:rsidRDefault="00F7153E" w:rsidP="00C50ED1">
            <w:pPr>
              <w:spacing w:before="60" w:after="60"/>
              <w:rPr>
                <w:sz w:val="20"/>
              </w:rPr>
            </w:pPr>
            <w:r w:rsidRPr="00F47262">
              <w:rPr>
                <w:b/>
                <w:i/>
                <w:sz w:val="20"/>
              </w:rPr>
              <w:t>Note 1:</w:t>
            </w:r>
            <w:r w:rsidRPr="00F47262">
              <w:rPr>
                <w:sz w:val="20"/>
              </w:rPr>
              <w:t xml:space="preserve"> The name and version of </w:t>
            </w:r>
            <w:r w:rsidRPr="00F47262">
              <w:rPr>
                <w:b/>
                <w:sz w:val="20"/>
              </w:rPr>
              <w:t>SQL Server Management Studio</w:t>
            </w:r>
            <w:r w:rsidRPr="00F47262">
              <w:rPr>
                <w:sz w:val="20"/>
              </w:rPr>
              <w:t xml:space="preserve"> may vary.</w:t>
            </w:r>
          </w:p>
        </w:tc>
      </w:tr>
      <w:tr w:rsidR="00C50ED1" w:rsidRPr="000665B0" w14:paraId="3F93D8C2" w14:textId="77777777" w:rsidTr="00F47262">
        <w:trPr>
          <w:cantSplit/>
        </w:trPr>
        <w:tc>
          <w:tcPr>
            <w:tcW w:w="738" w:type="dxa"/>
          </w:tcPr>
          <w:p w14:paraId="204278A3" w14:textId="77777777" w:rsidR="00C50ED1" w:rsidRPr="00F47262" w:rsidRDefault="00C50ED1" w:rsidP="006D5A65">
            <w:pPr>
              <w:pStyle w:val="Heading1"/>
            </w:pPr>
          </w:p>
        </w:tc>
        <w:tc>
          <w:tcPr>
            <w:tcW w:w="4349" w:type="dxa"/>
          </w:tcPr>
          <w:p w14:paraId="311ABE3D" w14:textId="7DF5CED6" w:rsidR="00C50ED1" w:rsidRPr="00F47262" w:rsidRDefault="00C50ED1" w:rsidP="00C50ED1">
            <w:pPr>
              <w:spacing w:before="60" w:after="60"/>
              <w:rPr>
                <w:sz w:val="20"/>
              </w:rPr>
            </w:pPr>
            <w:r w:rsidRPr="00F47262">
              <w:rPr>
                <w:sz w:val="20"/>
              </w:rPr>
              <w:t xml:space="preserve">The </w:t>
            </w:r>
            <w:r w:rsidRPr="00F47262">
              <w:rPr>
                <w:i/>
                <w:sz w:val="20"/>
              </w:rPr>
              <w:t>Connect to Server</w:t>
            </w:r>
            <w:r w:rsidRPr="00F47262">
              <w:rPr>
                <w:sz w:val="20"/>
              </w:rPr>
              <w:t xml:space="preserve"> window is displayed. Click </w:t>
            </w:r>
            <w:r w:rsidRPr="00F47262">
              <w:rPr>
                <w:b/>
                <w:sz w:val="20"/>
              </w:rPr>
              <w:t>Connect</w:t>
            </w:r>
            <w:r w:rsidRPr="00F47262">
              <w:rPr>
                <w:sz w:val="20"/>
              </w:rPr>
              <w:t>.</w:t>
            </w:r>
            <w:r w:rsidR="00F7153E" w:rsidRPr="00F47262">
              <w:rPr>
                <w:sz w:val="20"/>
              </w:rPr>
              <w:t xml:space="preserve"> See Note 1.</w:t>
            </w:r>
          </w:p>
        </w:tc>
        <w:tc>
          <w:tcPr>
            <w:tcW w:w="4381" w:type="dxa"/>
          </w:tcPr>
          <w:p w14:paraId="27C390E0" w14:textId="77777777" w:rsidR="00C50ED1" w:rsidRPr="00F47262" w:rsidRDefault="00C50ED1" w:rsidP="00C50ED1">
            <w:pPr>
              <w:spacing w:before="60" w:after="60"/>
              <w:rPr>
                <w:sz w:val="20"/>
              </w:rPr>
            </w:pPr>
            <w:r w:rsidRPr="00F47262">
              <w:rPr>
                <w:noProof/>
                <w:sz w:val="20"/>
              </w:rPr>
              <w:drawing>
                <wp:inline distT="0" distB="0" distL="0" distR="0" wp14:anchorId="0945808B" wp14:editId="1119F75C">
                  <wp:extent cx="2236673" cy="1463040"/>
                  <wp:effectExtent l="0" t="0" r="0" b="381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242049" cy="1466557"/>
                          </a:xfrm>
                          <a:prstGeom prst="rect">
                            <a:avLst/>
                          </a:prstGeom>
                        </pic:spPr>
                      </pic:pic>
                    </a:graphicData>
                  </a:graphic>
                </wp:inline>
              </w:drawing>
            </w:r>
          </w:p>
          <w:p w14:paraId="6A00E666" w14:textId="4BD69D4A" w:rsidR="00F7153E" w:rsidRPr="00F47262" w:rsidRDefault="00F7153E" w:rsidP="00C50ED1">
            <w:pPr>
              <w:spacing w:before="60" w:after="60"/>
              <w:rPr>
                <w:sz w:val="20"/>
              </w:rPr>
            </w:pPr>
            <w:r w:rsidRPr="00F47262">
              <w:rPr>
                <w:b/>
                <w:i/>
                <w:sz w:val="20"/>
              </w:rPr>
              <w:t>Note 1:</w:t>
            </w:r>
            <w:r w:rsidRPr="00F47262">
              <w:rPr>
                <w:sz w:val="20"/>
              </w:rPr>
              <w:t xml:space="preserve"> The </w:t>
            </w:r>
            <w:r w:rsidRPr="00F47262">
              <w:rPr>
                <w:b/>
                <w:sz w:val="20"/>
              </w:rPr>
              <w:t>Server name</w:t>
            </w:r>
            <w:r w:rsidRPr="00F47262">
              <w:rPr>
                <w:sz w:val="20"/>
              </w:rPr>
              <w:t xml:space="preserve"> and </w:t>
            </w:r>
            <w:r w:rsidRPr="00F47262">
              <w:rPr>
                <w:b/>
                <w:sz w:val="20"/>
              </w:rPr>
              <w:t>User name</w:t>
            </w:r>
            <w:r w:rsidRPr="00F47262">
              <w:rPr>
                <w:sz w:val="20"/>
              </w:rPr>
              <w:t xml:space="preserve"> will vary.</w:t>
            </w:r>
          </w:p>
        </w:tc>
      </w:tr>
      <w:tr w:rsidR="00C50ED1" w:rsidRPr="000665B0" w14:paraId="41736CF6" w14:textId="77777777" w:rsidTr="00F47262">
        <w:trPr>
          <w:cantSplit/>
        </w:trPr>
        <w:tc>
          <w:tcPr>
            <w:tcW w:w="738" w:type="dxa"/>
          </w:tcPr>
          <w:p w14:paraId="25EF4E10" w14:textId="77777777" w:rsidR="00C50ED1" w:rsidRPr="00F47262" w:rsidRDefault="00C50ED1" w:rsidP="006D5A65">
            <w:pPr>
              <w:pStyle w:val="Heading1"/>
            </w:pPr>
          </w:p>
        </w:tc>
        <w:tc>
          <w:tcPr>
            <w:tcW w:w="4349" w:type="dxa"/>
          </w:tcPr>
          <w:p w14:paraId="68928F81" w14:textId="3D0856EA" w:rsidR="00C50ED1" w:rsidRPr="00F47262" w:rsidRDefault="00C50ED1" w:rsidP="00C50ED1">
            <w:pPr>
              <w:spacing w:before="60" w:after="60"/>
              <w:rPr>
                <w:sz w:val="20"/>
              </w:rPr>
            </w:pPr>
            <w:r w:rsidRPr="00F47262">
              <w:rPr>
                <w:sz w:val="20"/>
              </w:rPr>
              <w:t xml:space="preserve">In the </w:t>
            </w:r>
            <w:r w:rsidRPr="00F47262">
              <w:rPr>
                <w:i/>
                <w:sz w:val="20"/>
              </w:rPr>
              <w:t>Microsoft SQL Server Management Studio</w:t>
            </w:r>
            <w:r w:rsidRPr="00F47262">
              <w:rPr>
                <w:sz w:val="20"/>
              </w:rPr>
              <w:t xml:space="preserve"> window, </w:t>
            </w:r>
            <w:r w:rsidRPr="00F47262">
              <w:rPr>
                <w:i/>
                <w:sz w:val="20"/>
              </w:rPr>
              <w:t>Object Explorer</w:t>
            </w:r>
            <w:r w:rsidRPr="00F47262">
              <w:rPr>
                <w:sz w:val="20"/>
              </w:rPr>
              <w:t xml:space="preserve"> floating window, expand the </w:t>
            </w:r>
            <w:r w:rsidRPr="00F47262">
              <w:rPr>
                <w:b/>
                <w:sz w:val="20"/>
              </w:rPr>
              <w:t>Databases</w:t>
            </w:r>
            <w:r w:rsidRPr="00F47262">
              <w:rPr>
                <w:sz w:val="20"/>
              </w:rPr>
              <w:t xml:space="preserve"> folder.</w:t>
            </w:r>
          </w:p>
        </w:tc>
        <w:tc>
          <w:tcPr>
            <w:tcW w:w="4381" w:type="dxa"/>
          </w:tcPr>
          <w:p w14:paraId="599843F1" w14:textId="3A580CE3" w:rsidR="00C50ED1" w:rsidRPr="00F47262" w:rsidRDefault="00C50ED1" w:rsidP="00C50ED1">
            <w:pPr>
              <w:spacing w:before="60" w:after="60"/>
              <w:rPr>
                <w:sz w:val="20"/>
              </w:rPr>
            </w:pPr>
            <w:r w:rsidRPr="00F47262">
              <w:rPr>
                <w:noProof/>
                <w:sz w:val="20"/>
              </w:rPr>
              <w:drawing>
                <wp:inline distT="0" distB="0" distL="0" distR="0" wp14:anchorId="5B4D5899" wp14:editId="10A071D9">
                  <wp:extent cx="2196445" cy="1620453"/>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209147" cy="1629824"/>
                          </a:xfrm>
                          <a:prstGeom prst="rect">
                            <a:avLst/>
                          </a:prstGeom>
                        </pic:spPr>
                      </pic:pic>
                    </a:graphicData>
                  </a:graphic>
                </wp:inline>
              </w:drawing>
            </w:r>
            <w:r w:rsidRPr="00F47262">
              <w:rPr>
                <w:rStyle w:val="CommentReference"/>
                <w:sz w:val="20"/>
                <w:szCs w:val="20"/>
              </w:rPr>
              <w:t xml:space="preserve"> </w:t>
            </w:r>
          </w:p>
        </w:tc>
      </w:tr>
      <w:tr w:rsidR="00C50ED1" w:rsidRPr="000665B0" w14:paraId="62D8C8E3" w14:textId="77777777" w:rsidTr="00F47262">
        <w:trPr>
          <w:cantSplit/>
        </w:trPr>
        <w:tc>
          <w:tcPr>
            <w:tcW w:w="738" w:type="dxa"/>
          </w:tcPr>
          <w:p w14:paraId="0427EF3D" w14:textId="77777777" w:rsidR="00C50ED1" w:rsidRPr="00F47262" w:rsidRDefault="00C50ED1" w:rsidP="006D5A65">
            <w:pPr>
              <w:pStyle w:val="Heading1"/>
            </w:pPr>
          </w:p>
        </w:tc>
        <w:tc>
          <w:tcPr>
            <w:tcW w:w="4349" w:type="dxa"/>
          </w:tcPr>
          <w:p w14:paraId="0B11B0C9" w14:textId="2DD14189" w:rsidR="00C50ED1" w:rsidRPr="00F47262" w:rsidRDefault="00C50ED1" w:rsidP="00C50ED1">
            <w:pPr>
              <w:spacing w:before="60" w:after="60"/>
              <w:rPr>
                <w:sz w:val="20"/>
              </w:rPr>
            </w:pPr>
            <w:r w:rsidRPr="00F47262">
              <w:rPr>
                <w:sz w:val="20"/>
              </w:rPr>
              <w:t>Expand</w:t>
            </w:r>
            <w:r w:rsidR="00C66305" w:rsidRPr="00F47262">
              <w:rPr>
                <w:sz w:val="20"/>
              </w:rPr>
              <w:t xml:space="preserve"> the</w:t>
            </w:r>
            <w:r w:rsidRPr="00F47262">
              <w:rPr>
                <w:sz w:val="20"/>
              </w:rPr>
              <w:t xml:space="preserve"> </w:t>
            </w:r>
            <w:r w:rsidRPr="00F47262">
              <w:rPr>
                <w:b/>
                <w:sz w:val="20"/>
              </w:rPr>
              <w:t>TED_ACMS_DB50</w:t>
            </w:r>
            <w:r w:rsidRPr="00F47262">
              <w:rPr>
                <w:sz w:val="20"/>
              </w:rPr>
              <w:t xml:space="preserve"> </w:t>
            </w:r>
            <w:r w:rsidR="00C66305" w:rsidRPr="00F47262">
              <w:rPr>
                <w:sz w:val="20"/>
              </w:rPr>
              <w:t xml:space="preserve">database </w:t>
            </w:r>
            <w:r w:rsidRPr="00F47262">
              <w:rPr>
                <w:sz w:val="20"/>
              </w:rPr>
              <w:t xml:space="preserve">and then expand the </w:t>
            </w:r>
            <w:r w:rsidRPr="00F47262">
              <w:rPr>
                <w:b/>
                <w:sz w:val="20"/>
              </w:rPr>
              <w:t>Tables</w:t>
            </w:r>
            <w:r w:rsidRPr="00F47262">
              <w:rPr>
                <w:sz w:val="20"/>
              </w:rPr>
              <w:t xml:space="preserve"> folder.</w:t>
            </w:r>
          </w:p>
        </w:tc>
        <w:tc>
          <w:tcPr>
            <w:tcW w:w="4381" w:type="dxa"/>
          </w:tcPr>
          <w:p w14:paraId="40B7B648" w14:textId="71B1F225" w:rsidR="00C50ED1" w:rsidRPr="00F47262" w:rsidRDefault="00C50ED1" w:rsidP="00C50ED1">
            <w:pPr>
              <w:spacing w:before="60" w:after="60"/>
              <w:rPr>
                <w:sz w:val="20"/>
              </w:rPr>
            </w:pPr>
            <w:r w:rsidRPr="00F47262">
              <w:rPr>
                <w:noProof/>
                <w:sz w:val="20"/>
              </w:rPr>
              <w:drawing>
                <wp:inline distT="0" distB="0" distL="0" distR="0" wp14:anchorId="52A36310" wp14:editId="37404B6C">
                  <wp:extent cx="1775460" cy="1310640"/>
                  <wp:effectExtent l="0" t="0" r="0" b="3810"/>
                  <wp:docPr id="1134"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785480" cy="1318037"/>
                          </a:xfrm>
                          <a:prstGeom prst="rect">
                            <a:avLst/>
                          </a:prstGeom>
                          <a:ln>
                            <a:noFill/>
                          </a:ln>
                          <a:extLst>
                            <a:ext uri="{53640926-AAD7-44D8-BBD7-CCE9431645EC}">
                              <a14:shadowObscured xmlns:a14="http://schemas.microsoft.com/office/drawing/2010/main"/>
                            </a:ext>
                          </a:extLst>
                        </pic:spPr>
                      </pic:pic>
                    </a:graphicData>
                  </a:graphic>
                </wp:inline>
              </w:drawing>
            </w:r>
          </w:p>
        </w:tc>
      </w:tr>
      <w:tr w:rsidR="00C50ED1" w:rsidRPr="000665B0" w14:paraId="2D90DD79" w14:textId="77777777" w:rsidTr="00F47262">
        <w:trPr>
          <w:cantSplit/>
        </w:trPr>
        <w:tc>
          <w:tcPr>
            <w:tcW w:w="738" w:type="dxa"/>
          </w:tcPr>
          <w:p w14:paraId="319F9969" w14:textId="77777777" w:rsidR="00C50ED1" w:rsidRPr="00F47262" w:rsidRDefault="00C50ED1" w:rsidP="006D5A65">
            <w:pPr>
              <w:pStyle w:val="Heading1"/>
            </w:pPr>
          </w:p>
        </w:tc>
        <w:tc>
          <w:tcPr>
            <w:tcW w:w="4349" w:type="dxa"/>
          </w:tcPr>
          <w:p w14:paraId="1FCBD297" w14:textId="031DD1E0" w:rsidR="00C50ED1" w:rsidRPr="00F47262" w:rsidRDefault="00C50ED1" w:rsidP="00C50ED1">
            <w:pPr>
              <w:spacing w:before="60" w:after="60"/>
              <w:rPr>
                <w:i/>
                <w:sz w:val="20"/>
              </w:rPr>
            </w:pPr>
            <w:r w:rsidRPr="00F47262">
              <w:rPr>
                <w:sz w:val="20"/>
              </w:rPr>
              <w:t xml:space="preserve">Right-click on </w:t>
            </w:r>
            <w:r w:rsidRPr="00F47262">
              <w:rPr>
                <w:b/>
                <w:sz w:val="20"/>
              </w:rPr>
              <w:t>dbo.Msmqinfo</w:t>
            </w:r>
            <w:r w:rsidRPr="00F47262">
              <w:rPr>
                <w:sz w:val="20"/>
              </w:rPr>
              <w:t xml:space="preserve"> and </w:t>
            </w:r>
            <w:r w:rsidR="00A40822" w:rsidRPr="00F47262">
              <w:rPr>
                <w:sz w:val="20"/>
              </w:rPr>
              <w:t>click</w:t>
            </w:r>
            <w:r w:rsidRPr="00F47262">
              <w:rPr>
                <w:sz w:val="20"/>
              </w:rPr>
              <w:t xml:space="preserve"> </w:t>
            </w:r>
            <w:r w:rsidRPr="00F47262">
              <w:rPr>
                <w:b/>
                <w:i/>
                <w:sz w:val="20"/>
              </w:rPr>
              <w:t>Select Top 1000 Rows</w:t>
            </w:r>
            <w:r w:rsidRPr="00F47262">
              <w:rPr>
                <w:i/>
                <w:sz w:val="20"/>
              </w:rPr>
              <w:t xml:space="preserve"> </w:t>
            </w:r>
            <w:r w:rsidRPr="00F47262">
              <w:rPr>
                <w:sz w:val="20"/>
              </w:rPr>
              <w:t xml:space="preserve">from the </w:t>
            </w:r>
            <w:r w:rsidR="00A40822" w:rsidRPr="00F47262">
              <w:rPr>
                <w:sz w:val="20"/>
              </w:rPr>
              <w:t>pop-up</w:t>
            </w:r>
            <w:r w:rsidRPr="00F47262">
              <w:rPr>
                <w:sz w:val="20"/>
              </w:rPr>
              <w:t xml:space="preserve"> menu.</w:t>
            </w:r>
          </w:p>
          <w:p w14:paraId="4FCEB91A" w14:textId="5242162C" w:rsidR="00C50ED1" w:rsidRPr="00F47262" w:rsidRDefault="00C50ED1" w:rsidP="00A40822">
            <w:pPr>
              <w:spacing w:before="60" w:after="60"/>
              <w:rPr>
                <w:sz w:val="20"/>
              </w:rPr>
            </w:pPr>
            <w:r w:rsidRPr="00F47262">
              <w:rPr>
                <w:sz w:val="20"/>
              </w:rPr>
              <w:t xml:space="preserve">In the </w:t>
            </w:r>
            <w:r w:rsidRPr="00F47262">
              <w:rPr>
                <w:b/>
                <w:i/>
                <w:sz w:val="20"/>
              </w:rPr>
              <w:t>Results</w:t>
            </w:r>
            <w:r w:rsidRPr="00F47262">
              <w:rPr>
                <w:sz w:val="20"/>
              </w:rPr>
              <w:t xml:space="preserve"> tab: Review the </w:t>
            </w:r>
            <w:r w:rsidRPr="00F47262">
              <w:rPr>
                <w:b/>
                <w:sz w:val="20"/>
              </w:rPr>
              <w:t>queueName</w:t>
            </w:r>
            <w:r w:rsidRPr="00F47262">
              <w:rPr>
                <w:sz w:val="20"/>
              </w:rPr>
              <w:t xml:space="preserve"> column to find machine names that indicate an older machine name</w:t>
            </w:r>
            <w:r w:rsidR="00A40822" w:rsidRPr="00F47262">
              <w:rPr>
                <w:sz w:val="20"/>
              </w:rPr>
              <w:t>,</w:t>
            </w:r>
            <w:r w:rsidRPr="00F47262">
              <w:rPr>
                <w:sz w:val="20"/>
              </w:rPr>
              <w:t xml:space="preserve"> or </w:t>
            </w:r>
            <w:r w:rsidR="00C66305" w:rsidRPr="00F47262">
              <w:rPr>
                <w:sz w:val="20"/>
              </w:rPr>
              <w:t>machine names that are</w:t>
            </w:r>
            <w:r w:rsidRPr="00F47262">
              <w:rPr>
                <w:sz w:val="20"/>
              </w:rPr>
              <w:t xml:space="preserve"> inconsistent with other machine names. In the example, the </w:t>
            </w:r>
            <w:r w:rsidRPr="00F47262">
              <w:rPr>
                <w:b/>
                <w:noProof/>
                <w:sz w:val="20"/>
              </w:rPr>
              <w:t>MDDB Test client 4.0</w:t>
            </w:r>
            <w:r w:rsidRPr="00F47262">
              <w:rPr>
                <w:sz w:val="20"/>
              </w:rPr>
              <w:t xml:space="preserve"> indicates an older machine name when compared to the other machine names</w:t>
            </w:r>
            <w:r w:rsidR="00A40822" w:rsidRPr="00F47262">
              <w:rPr>
                <w:sz w:val="20"/>
              </w:rPr>
              <w:t xml:space="preserve"> and versions</w:t>
            </w:r>
            <w:r w:rsidRPr="00F47262">
              <w:rPr>
                <w:sz w:val="20"/>
              </w:rPr>
              <w:t>.</w:t>
            </w:r>
          </w:p>
          <w:p w14:paraId="2492103D" w14:textId="3C90AB6A" w:rsidR="00A40822" w:rsidRPr="00F47262" w:rsidRDefault="00A40822" w:rsidP="00A40822">
            <w:pPr>
              <w:spacing w:before="60" w:after="60"/>
              <w:rPr>
                <w:sz w:val="20"/>
              </w:rPr>
            </w:pPr>
            <w:r w:rsidRPr="00F47262">
              <w:rPr>
                <w:sz w:val="20"/>
              </w:rPr>
              <w:t xml:space="preserve">Record the </w:t>
            </w:r>
            <w:r w:rsidR="00C66305" w:rsidRPr="00F47262">
              <w:rPr>
                <w:sz w:val="20"/>
              </w:rPr>
              <w:t xml:space="preserve">older </w:t>
            </w:r>
            <w:r w:rsidRPr="00F47262">
              <w:rPr>
                <w:sz w:val="20"/>
              </w:rPr>
              <w:t>machine</w:t>
            </w:r>
            <w:r w:rsidR="008858E3" w:rsidRPr="00F47262">
              <w:rPr>
                <w:sz w:val="20"/>
              </w:rPr>
              <w:t xml:space="preserve"> names </w:t>
            </w:r>
            <w:r w:rsidRPr="00F47262">
              <w:rPr>
                <w:sz w:val="20"/>
              </w:rPr>
              <w:t xml:space="preserve">that are no longer in the network and report them to the </w:t>
            </w:r>
            <w:r w:rsidR="00AB0501" w:rsidRPr="00F47262">
              <w:rPr>
                <w:sz w:val="20"/>
              </w:rPr>
              <w:t xml:space="preserve">Peraton </w:t>
            </w:r>
            <w:r w:rsidRPr="00F47262">
              <w:rPr>
                <w:sz w:val="20"/>
              </w:rPr>
              <w:t xml:space="preserve">Help Desk (see </w:t>
            </w:r>
            <w:hyperlink w:anchor="_APPENDIX_U_" w:history="1">
              <w:r w:rsidRPr="00F47262">
                <w:rPr>
                  <w:rStyle w:val="Hyperlink"/>
                  <w:sz w:val="20"/>
                </w:rPr>
                <w:t xml:space="preserve">Appendix </w:t>
              </w:r>
              <w:r w:rsidR="00BA5FFA">
                <w:rPr>
                  <w:rStyle w:val="Hyperlink"/>
                  <w:sz w:val="20"/>
                </w:rPr>
                <w:t>U</w:t>
              </w:r>
            </w:hyperlink>
            <w:r w:rsidR="00475F4F">
              <w:rPr>
                <w:sz w:val="20"/>
              </w:rPr>
              <w:t>).</w:t>
            </w:r>
            <w:r w:rsidRPr="00F47262">
              <w:rPr>
                <w:sz w:val="20"/>
              </w:rPr>
              <w:t xml:space="preserve"> </w:t>
            </w:r>
          </w:p>
        </w:tc>
        <w:tc>
          <w:tcPr>
            <w:tcW w:w="4381" w:type="dxa"/>
          </w:tcPr>
          <w:p w14:paraId="1285AED5" w14:textId="7ED8D026" w:rsidR="00C50ED1" w:rsidRPr="00F47262" w:rsidRDefault="00C50ED1" w:rsidP="00C50ED1">
            <w:pPr>
              <w:spacing w:before="60" w:after="60"/>
              <w:rPr>
                <w:sz w:val="20"/>
              </w:rPr>
            </w:pPr>
            <w:r w:rsidRPr="00F47262">
              <w:rPr>
                <w:noProof/>
                <w:sz w:val="20"/>
              </w:rPr>
              <w:drawing>
                <wp:inline distT="0" distB="0" distL="0" distR="0" wp14:anchorId="5EB63412" wp14:editId="0EF87088">
                  <wp:extent cx="3162300" cy="911526"/>
                  <wp:effectExtent l="0" t="0" r="0" b="3175"/>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221616" cy="928624"/>
                          </a:xfrm>
                          <a:prstGeom prst="rect">
                            <a:avLst/>
                          </a:prstGeom>
                        </pic:spPr>
                      </pic:pic>
                    </a:graphicData>
                  </a:graphic>
                </wp:inline>
              </w:drawing>
            </w:r>
          </w:p>
        </w:tc>
      </w:tr>
      <w:tr w:rsidR="00C50ED1" w:rsidRPr="000665B0" w14:paraId="2456F1ED" w14:textId="77777777" w:rsidTr="00F47262">
        <w:trPr>
          <w:cantSplit/>
        </w:trPr>
        <w:tc>
          <w:tcPr>
            <w:tcW w:w="738" w:type="dxa"/>
          </w:tcPr>
          <w:p w14:paraId="298D385C" w14:textId="77777777" w:rsidR="00C50ED1" w:rsidRPr="00F47262" w:rsidRDefault="00C50ED1" w:rsidP="006D5A65">
            <w:pPr>
              <w:pStyle w:val="Heading1"/>
            </w:pPr>
          </w:p>
        </w:tc>
        <w:tc>
          <w:tcPr>
            <w:tcW w:w="4349" w:type="dxa"/>
          </w:tcPr>
          <w:p w14:paraId="29B7ED40" w14:textId="61247594" w:rsidR="00C50ED1" w:rsidRPr="00F47262" w:rsidRDefault="00C50ED1" w:rsidP="00C50ED1">
            <w:pPr>
              <w:spacing w:before="60" w:after="60"/>
              <w:rPr>
                <w:sz w:val="20"/>
              </w:rPr>
            </w:pPr>
            <w:r w:rsidRPr="00F47262">
              <w:rPr>
                <w:sz w:val="20"/>
              </w:rPr>
              <w:t xml:space="preserve">Repeat steps </w:t>
            </w:r>
            <w:r w:rsidR="00121EF3" w:rsidRPr="00F47262">
              <w:rPr>
                <w:sz w:val="20"/>
              </w:rPr>
              <w:t>5</w:t>
            </w:r>
            <w:r w:rsidRPr="00F47262">
              <w:rPr>
                <w:sz w:val="20"/>
              </w:rPr>
              <w:t xml:space="preserve"> and </w:t>
            </w:r>
            <w:r w:rsidR="00121EF3" w:rsidRPr="00F47262">
              <w:rPr>
                <w:sz w:val="20"/>
              </w:rPr>
              <w:t>6</w:t>
            </w:r>
            <w:r w:rsidRPr="00F47262">
              <w:rPr>
                <w:sz w:val="20"/>
              </w:rPr>
              <w:t xml:space="preserve"> for each database that is experiencing message service problems. </w:t>
            </w:r>
          </w:p>
        </w:tc>
        <w:tc>
          <w:tcPr>
            <w:tcW w:w="4381" w:type="dxa"/>
          </w:tcPr>
          <w:p w14:paraId="10158333" w14:textId="66BD13F8" w:rsidR="00C50ED1" w:rsidRPr="00F47262" w:rsidRDefault="00C50ED1" w:rsidP="00C50ED1">
            <w:pPr>
              <w:spacing w:before="60" w:after="60"/>
              <w:rPr>
                <w:noProof/>
                <w:sz w:val="20"/>
              </w:rPr>
            </w:pPr>
          </w:p>
        </w:tc>
      </w:tr>
      <w:tr w:rsidR="00C50ED1" w:rsidRPr="000665B0" w14:paraId="580F0A54" w14:textId="77777777" w:rsidTr="00F47262">
        <w:trPr>
          <w:cantSplit/>
        </w:trPr>
        <w:tc>
          <w:tcPr>
            <w:tcW w:w="738" w:type="dxa"/>
          </w:tcPr>
          <w:p w14:paraId="0F5F1A67" w14:textId="77777777" w:rsidR="00C50ED1" w:rsidRPr="00F47262" w:rsidRDefault="00C50ED1" w:rsidP="006D5A65">
            <w:pPr>
              <w:pStyle w:val="Heading1"/>
            </w:pPr>
          </w:p>
        </w:tc>
        <w:tc>
          <w:tcPr>
            <w:tcW w:w="4349" w:type="dxa"/>
          </w:tcPr>
          <w:p w14:paraId="4E849472" w14:textId="2BE24390" w:rsidR="00C50ED1" w:rsidRPr="00F47262" w:rsidRDefault="00C50ED1" w:rsidP="00C50ED1">
            <w:pPr>
              <w:spacing w:before="60" w:after="60"/>
              <w:rPr>
                <w:sz w:val="20"/>
              </w:rPr>
            </w:pPr>
            <w:r w:rsidRPr="00F47262">
              <w:rPr>
                <w:sz w:val="20"/>
              </w:rPr>
              <w:t xml:space="preserve">Click the </w:t>
            </w:r>
            <w:r w:rsidRPr="00F47262">
              <w:rPr>
                <w:noProof/>
                <w:sz w:val="20"/>
              </w:rPr>
              <w:drawing>
                <wp:inline distT="0" distB="0" distL="0" distR="0" wp14:anchorId="657C65E8" wp14:editId="705E66A5">
                  <wp:extent cx="171450" cy="152400"/>
                  <wp:effectExtent l="0" t="0" r="0" b="0"/>
                  <wp:docPr id="1144"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Button.jpg"/>
                          <pic:cNvPicPr/>
                        </pic:nvPicPr>
                        <pic:blipFill>
                          <a:blip>
                            <a:extLst>
                              <a:ext uri="{28A0092B-C50C-407E-A947-70E740481C1C}">
                                <a14:useLocalDpi xmlns:a14="http://schemas.microsoft.com/office/drawing/2010/main"/>
                              </a:ext>
                            </a:extLst>
                          </a:blip>
                          <a:stretch>
                            <a:fillRect/>
                          </a:stretch>
                        </pic:blipFill>
                        <pic:spPr>
                          <a:xfrm>
                            <a:off x="0" y="0"/>
                            <a:ext cx="171450" cy="152400"/>
                          </a:xfrm>
                          <a:prstGeom prst="rect">
                            <a:avLst/>
                          </a:prstGeom>
                        </pic:spPr>
                      </pic:pic>
                    </a:graphicData>
                  </a:graphic>
                </wp:inline>
              </w:drawing>
            </w:r>
            <w:r w:rsidRPr="00F47262">
              <w:rPr>
                <w:sz w:val="20"/>
              </w:rPr>
              <w:t xml:space="preserve"> button to close the </w:t>
            </w:r>
            <w:r w:rsidRPr="00F47262">
              <w:rPr>
                <w:i/>
                <w:sz w:val="20"/>
              </w:rPr>
              <w:t>Object Explorer</w:t>
            </w:r>
            <w:r w:rsidRPr="00F47262">
              <w:rPr>
                <w:sz w:val="20"/>
              </w:rPr>
              <w:t xml:space="preserve"> window and select </w:t>
            </w:r>
            <w:r w:rsidRPr="00F47262">
              <w:rPr>
                <w:b/>
                <w:sz w:val="20"/>
              </w:rPr>
              <w:t xml:space="preserve">File </w:t>
            </w:r>
            <w:r w:rsidRPr="00F47262">
              <w:rPr>
                <w:b/>
                <w:sz w:val="20"/>
              </w:rPr>
              <w:sym w:font="Wingdings" w:char="F0E0"/>
            </w:r>
            <w:r w:rsidRPr="00F47262">
              <w:rPr>
                <w:b/>
                <w:sz w:val="20"/>
              </w:rPr>
              <w:t xml:space="preserve"> Exit</w:t>
            </w:r>
            <w:r w:rsidRPr="00F47262">
              <w:rPr>
                <w:sz w:val="20"/>
              </w:rPr>
              <w:t xml:space="preserve"> to close </w:t>
            </w:r>
            <w:r w:rsidRPr="00F47262">
              <w:rPr>
                <w:b/>
                <w:sz w:val="20"/>
              </w:rPr>
              <w:t>Microsoft SQL Server Management Studio</w:t>
            </w:r>
            <w:r w:rsidRPr="00F47262">
              <w:rPr>
                <w:sz w:val="20"/>
              </w:rPr>
              <w:t xml:space="preserve">. </w:t>
            </w:r>
          </w:p>
        </w:tc>
        <w:tc>
          <w:tcPr>
            <w:tcW w:w="4381" w:type="dxa"/>
          </w:tcPr>
          <w:p w14:paraId="4F3FA7A3" w14:textId="77777777" w:rsidR="00C50ED1" w:rsidRPr="00F47262" w:rsidRDefault="00C50ED1" w:rsidP="00C50ED1">
            <w:pPr>
              <w:spacing w:before="60" w:after="60"/>
              <w:rPr>
                <w:noProof/>
                <w:sz w:val="20"/>
              </w:rPr>
            </w:pPr>
          </w:p>
        </w:tc>
      </w:tr>
    </w:tbl>
    <w:p w14:paraId="43ADE995" w14:textId="06515DA0" w:rsidR="005A61BC" w:rsidRPr="000665B0" w:rsidRDefault="00BF2D02" w:rsidP="00FD30AB">
      <w:pPr>
        <w:pStyle w:val="Appendix3"/>
        <w:ind w:left="360"/>
      </w:pPr>
      <w:bookmarkStart w:id="7506" w:name="_Toc214283719"/>
      <w:r w:rsidRPr="000665B0">
        <w:t xml:space="preserve">Verify the </w:t>
      </w:r>
      <w:r w:rsidR="00697526" w:rsidRPr="000665B0">
        <w:t xml:space="preserve">Network </w:t>
      </w:r>
      <w:r w:rsidRPr="000665B0">
        <w:t>Connection</w:t>
      </w:r>
      <w:bookmarkEnd w:id="7506"/>
    </w:p>
    <w:p w14:paraId="2E37CEE4" w14:textId="3416405D" w:rsidR="00FA7174" w:rsidRPr="000665B0" w:rsidRDefault="00697526" w:rsidP="0053163A">
      <w:pPr>
        <w:keepNext/>
        <w:spacing w:before="60" w:after="60"/>
        <w:rPr>
          <w:szCs w:val="24"/>
        </w:rPr>
      </w:pPr>
      <w:r w:rsidRPr="000665B0">
        <w:rPr>
          <w:szCs w:val="24"/>
        </w:rPr>
        <w:t>T</w:t>
      </w:r>
      <w:r w:rsidR="00FA7174" w:rsidRPr="000665B0">
        <w:rPr>
          <w:szCs w:val="24"/>
        </w:rPr>
        <w:t xml:space="preserve">o </w:t>
      </w:r>
      <w:r w:rsidR="0053163A" w:rsidRPr="000665B0">
        <w:rPr>
          <w:szCs w:val="24"/>
        </w:rPr>
        <w:t>verify the network connection</w:t>
      </w:r>
      <w:r w:rsidR="00BF2D02" w:rsidRPr="000665B0">
        <w:rPr>
          <w:szCs w:val="24"/>
        </w:rPr>
        <w:t xml:space="preserve"> to the server</w:t>
      </w:r>
      <w:r w:rsidRPr="000665B0">
        <w:rPr>
          <w:szCs w:val="24"/>
        </w:rPr>
        <w:t xml:space="preserve">, </w:t>
      </w:r>
      <w:r w:rsidR="009A16B6" w:rsidRPr="000665B0">
        <w:rPr>
          <w:szCs w:val="24"/>
        </w:rPr>
        <w:t>s</w:t>
      </w:r>
      <w:r w:rsidRPr="000665B0">
        <w:rPr>
          <w:szCs w:val="24"/>
        </w:rPr>
        <w:t xml:space="preserve">ee </w:t>
      </w:r>
      <w:hyperlink w:anchor="TED_Connection_Troubleshooting" w:history="1">
        <w:r w:rsidRPr="000665B0">
          <w:rPr>
            <w:rStyle w:val="Hyperlink"/>
            <w:szCs w:val="24"/>
          </w:rPr>
          <w:t>Section L.3</w:t>
        </w:r>
      </w:hyperlink>
      <w:r w:rsidRPr="000665B0">
        <w:rPr>
          <w:szCs w:val="24"/>
        </w:rPr>
        <w:t xml:space="preserve"> at “Verify Network Connect</w:t>
      </w:r>
      <w:r w:rsidR="009A16B6" w:rsidRPr="000665B0">
        <w:rPr>
          <w:szCs w:val="24"/>
        </w:rPr>
        <w:t>i</w:t>
      </w:r>
      <w:r w:rsidRPr="000665B0">
        <w:rPr>
          <w:szCs w:val="24"/>
        </w:rPr>
        <w:t>on”</w:t>
      </w:r>
      <w:r w:rsidR="0053163A" w:rsidRPr="000665B0">
        <w:rPr>
          <w:szCs w:val="24"/>
        </w:rPr>
        <w:t xml:space="preserve"> (FRU/Standalone MDS </w:t>
      </w:r>
      <w:r w:rsidR="00146EB9" w:rsidRPr="000665B0">
        <w:rPr>
          <w:szCs w:val="24"/>
        </w:rPr>
        <w:t>c</w:t>
      </w:r>
      <w:r w:rsidR="0053163A" w:rsidRPr="000665B0">
        <w:rPr>
          <w:szCs w:val="24"/>
        </w:rPr>
        <w:t>onfigurations: Skip these steps)</w:t>
      </w:r>
      <w:r w:rsidR="00FA7174" w:rsidRPr="000665B0">
        <w:rPr>
          <w:szCs w:val="24"/>
        </w:rPr>
        <w:t>.</w:t>
      </w:r>
    </w:p>
    <w:p w14:paraId="0C780574" w14:textId="36BDCF2D" w:rsidR="005A61BC" w:rsidRPr="000665B0" w:rsidRDefault="00C31989" w:rsidP="00FD30AB">
      <w:pPr>
        <w:pStyle w:val="Appendix3"/>
        <w:ind w:left="360"/>
      </w:pPr>
      <w:bookmarkStart w:id="7507" w:name="_Toc214283720"/>
      <w:r w:rsidRPr="000665B0">
        <w:t>Restart the MDS Application</w:t>
      </w:r>
      <w:bookmarkEnd w:id="7507"/>
    </w:p>
    <w:p w14:paraId="432CDC5D" w14:textId="35B894D2" w:rsidR="00146EB9" w:rsidRPr="000665B0" w:rsidRDefault="00C31989" w:rsidP="005A61BC">
      <w:pPr>
        <w:rPr>
          <w:szCs w:val="24"/>
        </w:rPr>
      </w:pPr>
      <w:r w:rsidRPr="000665B0">
        <w:rPr>
          <w:szCs w:val="24"/>
        </w:rPr>
        <w:t xml:space="preserve">Follow the following steps to restart MDS and </w:t>
      </w:r>
      <w:r w:rsidRPr="000665B0">
        <w:t>recycle the Ted Application Pool.</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4349"/>
        <w:gridCol w:w="4381"/>
      </w:tblGrid>
      <w:tr w:rsidR="00146EB9" w:rsidRPr="000665B0" w14:paraId="5A4C3FD3" w14:textId="77777777" w:rsidTr="00F47262">
        <w:trPr>
          <w:cantSplit/>
          <w:tblHeader/>
        </w:trPr>
        <w:tc>
          <w:tcPr>
            <w:tcW w:w="9468" w:type="dxa"/>
            <w:gridSpan w:val="3"/>
            <w:tcBorders>
              <w:bottom w:val="single" w:sz="4" w:space="0" w:color="auto"/>
            </w:tcBorders>
            <w:shd w:val="clear" w:color="auto" w:fill="D9D9D9" w:themeFill="background1" w:themeFillShade="D9"/>
          </w:tcPr>
          <w:p w14:paraId="7F9D8D8C" w14:textId="0EB491C4" w:rsidR="00146EB9" w:rsidRPr="00F47262" w:rsidRDefault="00146EB9" w:rsidP="00A776F3">
            <w:pPr>
              <w:keepNext/>
              <w:keepLines/>
              <w:spacing w:before="60" w:after="60"/>
              <w:rPr>
                <w:rFonts w:ascii="Arial" w:hAnsi="Arial" w:cs="Arial"/>
                <w:b/>
                <w:szCs w:val="24"/>
              </w:rPr>
            </w:pPr>
            <w:r w:rsidRPr="00F47262">
              <w:rPr>
                <w:rFonts w:ascii="Arial" w:hAnsi="Arial" w:cs="Arial"/>
                <w:b/>
                <w:szCs w:val="24"/>
              </w:rPr>
              <w:lastRenderedPageBreak/>
              <w:t>L.5.</w:t>
            </w:r>
            <w:r w:rsidR="00B96892" w:rsidRPr="00F47262">
              <w:rPr>
                <w:rFonts w:ascii="Arial" w:hAnsi="Arial" w:cs="Arial"/>
                <w:b/>
                <w:szCs w:val="24"/>
              </w:rPr>
              <w:t>6</w:t>
            </w:r>
            <w:r w:rsidR="009651B0" w:rsidRPr="00F47262">
              <w:rPr>
                <w:rFonts w:ascii="Arial" w:hAnsi="Arial" w:cs="Arial"/>
                <w:b/>
                <w:szCs w:val="24"/>
              </w:rPr>
              <w:t xml:space="preserve"> </w:t>
            </w:r>
            <w:r w:rsidR="00C31989" w:rsidRPr="00F47262">
              <w:rPr>
                <w:rFonts w:ascii="Arial" w:hAnsi="Arial" w:cs="Arial"/>
                <w:b/>
                <w:szCs w:val="24"/>
              </w:rPr>
              <w:t>Restart the MDS Application</w:t>
            </w:r>
          </w:p>
        </w:tc>
      </w:tr>
      <w:tr w:rsidR="00146EB9" w:rsidRPr="000665B0" w14:paraId="1C2154B2" w14:textId="77777777" w:rsidTr="00F47262">
        <w:trPr>
          <w:cantSplit/>
          <w:tblHeader/>
        </w:trPr>
        <w:tc>
          <w:tcPr>
            <w:tcW w:w="738" w:type="dxa"/>
            <w:tcBorders>
              <w:bottom w:val="single" w:sz="4" w:space="0" w:color="auto"/>
            </w:tcBorders>
            <w:shd w:val="clear" w:color="auto" w:fill="D9D9D9" w:themeFill="background1" w:themeFillShade="D9"/>
          </w:tcPr>
          <w:p w14:paraId="3A39672E" w14:textId="77777777" w:rsidR="00146EB9" w:rsidRPr="00F47262" w:rsidRDefault="00146EB9" w:rsidP="00A776F3">
            <w:pPr>
              <w:keepNext/>
              <w:keepLines/>
              <w:spacing w:before="60" w:after="60"/>
              <w:jc w:val="both"/>
              <w:rPr>
                <w:rFonts w:ascii="Arial" w:hAnsi="Arial" w:cs="Arial"/>
                <w:b/>
                <w:szCs w:val="24"/>
              </w:rPr>
            </w:pPr>
            <w:r w:rsidRPr="00F47262">
              <w:rPr>
                <w:rFonts w:ascii="Arial" w:hAnsi="Arial" w:cs="Arial"/>
                <w:b/>
                <w:szCs w:val="24"/>
              </w:rPr>
              <w:t>Step</w:t>
            </w:r>
          </w:p>
        </w:tc>
        <w:tc>
          <w:tcPr>
            <w:tcW w:w="4349" w:type="dxa"/>
            <w:tcBorders>
              <w:bottom w:val="single" w:sz="4" w:space="0" w:color="auto"/>
            </w:tcBorders>
            <w:shd w:val="clear" w:color="auto" w:fill="D9D9D9" w:themeFill="background1" w:themeFillShade="D9"/>
          </w:tcPr>
          <w:p w14:paraId="47382E45" w14:textId="77777777" w:rsidR="00146EB9" w:rsidRPr="00F47262" w:rsidRDefault="00146EB9" w:rsidP="00A776F3">
            <w:pPr>
              <w:keepNext/>
              <w:keepLines/>
              <w:spacing w:before="60" w:after="60"/>
              <w:rPr>
                <w:rFonts w:ascii="Arial" w:hAnsi="Arial" w:cs="Arial"/>
                <w:b/>
                <w:szCs w:val="24"/>
              </w:rPr>
            </w:pPr>
            <w:r w:rsidRPr="00F47262">
              <w:rPr>
                <w:rFonts w:ascii="Arial" w:hAnsi="Arial" w:cs="Arial"/>
                <w:b/>
                <w:szCs w:val="24"/>
              </w:rPr>
              <w:t>Procedure</w:t>
            </w:r>
          </w:p>
        </w:tc>
        <w:tc>
          <w:tcPr>
            <w:tcW w:w="4381" w:type="dxa"/>
            <w:tcBorders>
              <w:bottom w:val="single" w:sz="4" w:space="0" w:color="auto"/>
            </w:tcBorders>
            <w:shd w:val="clear" w:color="auto" w:fill="D9D9D9" w:themeFill="background1" w:themeFillShade="D9"/>
          </w:tcPr>
          <w:p w14:paraId="5153EFBF" w14:textId="77777777" w:rsidR="00146EB9" w:rsidRPr="00F47262" w:rsidRDefault="00146EB9" w:rsidP="00A776F3">
            <w:pPr>
              <w:keepNext/>
              <w:keepLines/>
              <w:spacing w:before="60" w:after="60"/>
              <w:rPr>
                <w:rFonts w:ascii="Arial" w:hAnsi="Arial" w:cs="Arial"/>
                <w:b/>
                <w:szCs w:val="24"/>
              </w:rPr>
            </w:pPr>
            <w:r w:rsidRPr="00F47262">
              <w:rPr>
                <w:rFonts w:ascii="Arial" w:hAnsi="Arial" w:cs="Arial"/>
                <w:b/>
                <w:szCs w:val="24"/>
              </w:rPr>
              <w:t>Comments</w:t>
            </w:r>
          </w:p>
        </w:tc>
      </w:tr>
      <w:tr w:rsidR="00146EB9" w:rsidRPr="000665B0" w14:paraId="7E6DF0BE" w14:textId="77777777" w:rsidTr="00F47262">
        <w:trPr>
          <w:cantSplit/>
        </w:trPr>
        <w:tc>
          <w:tcPr>
            <w:tcW w:w="738" w:type="dxa"/>
          </w:tcPr>
          <w:p w14:paraId="45BAF021" w14:textId="77777777" w:rsidR="00146EB9" w:rsidRPr="00F47262" w:rsidRDefault="00146EB9" w:rsidP="006D5A65">
            <w:pPr>
              <w:pStyle w:val="Heading1"/>
            </w:pPr>
          </w:p>
        </w:tc>
        <w:tc>
          <w:tcPr>
            <w:tcW w:w="4349" w:type="dxa"/>
          </w:tcPr>
          <w:p w14:paraId="2F9AF60F" w14:textId="260ECB90" w:rsidR="00146EB9" w:rsidRPr="00F47262" w:rsidRDefault="00146EB9" w:rsidP="00A776F3">
            <w:pPr>
              <w:spacing w:before="60" w:after="60"/>
              <w:rPr>
                <w:sz w:val="20"/>
              </w:rPr>
            </w:pPr>
            <w:r w:rsidRPr="00F47262">
              <w:rPr>
                <w:sz w:val="20"/>
              </w:rPr>
              <w:t>Close the MDS application.</w:t>
            </w:r>
          </w:p>
        </w:tc>
        <w:tc>
          <w:tcPr>
            <w:tcW w:w="4381" w:type="dxa"/>
          </w:tcPr>
          <w:p w14:paraId="66DE6FA5" w14:textId="20A4115B" w:rsidR="00146EB9" w:rsidRPr="00F47262" w:rsidRDefault="00146EB9" w:rsidP="00A776F3">
            <w:pPr>
              <w:spacing w:before="60" w:after="60"/>
              <w:rPr>
                <w:sz w:val="20"/>
              </w:rPr>
            </w:pPr>
          </w:p>
        </w:tc>
      </w:tr>
      <w:tr w:rsidR="00146EB9" w:rsidRPr="000665B0" w14:paraId="2994D40F" w14:textId="77777777" w:rsidTr="00F47262">
        <w:trPr>
          <w:cantSplit/>
        </w:trPr>
        <w:tc>
          <w:tcPr>
            <w:tcW w:w="738" w:type="dxa"/>
          </w:tcPr>
          <w:p w14:paraId="5AB9A720" w14:textId="77777777" w:rsidR="00146EB9" w:rsidRPr="00F47262" w:rsidRDefault="00146EB9" w:rsidP="006D5A65">
            <w:pPr>
              <w:pStyle w:val="Heading1"/>
            </w:pPr>
          </w:p>
        </w:tc>
        <w:tc>
          <w:tcPr>
            <w:tcW w:w="4349" w:type="dxa"/>
          </w:tcPr>
          <w:p w14:paraId="6CBE7DF2" w14:textId="00908F40" w:rsidR="00146EB9" w:rsidRPr="00F47262" w:rsidRDefault="00146EB9" w:rsidP="00A776F3">
            <w:pPr>
              <w:spacing w:before="60" w:after="60"/>
              <w:rPr>
                <w:sz w:val="20"/>
              </w:rPr>
            </w:pPr>
            <w:r w:rsidRPr="00F47262">
              <w:rPr>
                <w:sz w:val="20"/>
              </w:rPr>
              <w:t>On the TED Server, recycle the Application Pool for QQ T</w:t>
            </w:r>
            <w:r w:rsidR="00FA2441" w:rsidRPr="00F47262">
              <w:rPr>
                <w:sz w:val="20"/>
              </w:rPr>
              <w:t>ED</w:t>
            </w:r>
            <w:r w:rsidRPr="00F47262">
              <w:rPr>
                <w:sz w:val="20"/>
              </w:rPr>
              <w:t xml:space="preserve"> AppPool (</w:t>
            </w:r>
            <w:r w:rsidR="00934CC7" w:rsidRPr="00F47262">
              <w:rPr>
                <w:noProof/>
                <w:sz w:val="20"/>
              </w:rPr>
              <w:t xml:space="preserve">see </w:t>
            </w:r>
            <w:hyperlink w:anchor="_File_Menu" w:history="1">
              <w:r w:rsidR="00934CC7" w:rsidRPr="00F47262">
                <w:rPr>
                  <w:rStyle w:val="Hyperlink"/>
                  <w:noProof/>
                  <w:sz w:val="20"/>
                </w:rPr>
                <w:t>Section 4.5.2.1</w:t>
              </w:r>
            </w:hyperlink>
            <w:r w:rsidRPr="00F47262">
              <w:rPr>
                <w:sz w:val="20"/>
              </w:rPr>
              <w:t>).</w:t>
            </w:r>
          </w:p>
        </w:tc>
        <w:tc>
          <w:tcPr>
            <w:tcW w:w="4381" w:type="dxa"/>
          </w:tcPr>
          <w:p w14:paraId="34548591" w14:textId="2110A964" w:rsidR="00146EB9" w:rsidRPr="00F47262" w:rsidRDefault="00146EB9" w:rsidP="00A776F3">
            <w:pPr>
              <w:spacing w:before="60" w:after="60"/>
              <w:rPr>
                <w:sz w:val="20"/>
              </w:rPr>
            </w:pPr>
          </w:p>
        </w:tc>
      </w:tr>
      <w:tr w:rsidR="00146EB9" w:rsidRPr="000665B0" w14:paraId="68CF4881" w14:textId="77777777" w:rsidTr="00F47262">
        <w:trPr>
          <w:cantSplit/>
        </w:trPr>
        <w:tc>
          <w:tcPr>
            <w:tcW w:w="738" w:type="dxa"/>
          </w:tcPr>
          <w:p w14:paraId="4D9808C2" w14:textId="77777777" w:rsidR="00146EB9" w:rsidRPr="00F47262" w:rsidRDefault="00146EB9" w:rsidP="006D5A65">
            <w:pPr>
              <w:pStyle w:val="Heading1"/>
            </w:pPr>
          </w:p>
        </w:tc>
        <w:tc>
          <w:tcPr>
            <w:tcW w:w="4349" w:type="dxa"/>
          </w:tcPr>
          <w:p w14:paraId="4AB65A27" w14:textId="289A7E2D" w:rsidR="00146EB9" w:rsidRPr="00F47262" w:rsidRDefault="00146EB9" w:rsidP="00A776F3">
            <w:pPr>
              <w:spacing w:before="60" w:after="60"/>
              <w:rPr>
                <w:sz w:val="20"/>
              </w:rPr>
            </w:pPr>
            <w:r w:rsidRPr="00F47262">
              <w:rPr>
                <w:sz w:val="20"/>
              </w:rPr>
              <w:t>Restart the MDS application.</w:t>
            </w:r>
          </w:p>
        </w:tc>
        <w:tc>
          <w:tcPr>
            <w:tcW w:w="4381" w:type="dxa"/>
          </w:tcPr>
          <w:p w14:paraId="3535B78C" w14:textId="32AE77D9" w:rsidR="00146EB9" w:rsidRPr="00F47262" w:rsidRDefault="00146EB9" w:rsidP="00146EB9">
            <w:pPr>
              <w:spacing w:before="60" w:after="60"/>
              <w:rPr>
                <w:sz w:val="20"/>
              </w:rPr>
            </w:pPr>
          </w:p>
        </w:tc>
      </w:tr>
      <w:tr w:rsidR="00C31989" w:rsidRPr="000665B0" w14:paraId="1A092820" w14:textId="77777777" w:rsidTr="00F47262">
        <w:trPr>
          <w:cantSplit/>
        </w:trPr>
        <w:tc>
          <w:tcPr>
            <w:tcW w:w="738" w:type="dxa"/>
          </w:tcPr>
          <w:p w14:paraId="528EF05C" w14:textId="77777777" w:rsidR="00C31989" w:rsidRPr="00F47262" w:rsidRDefault="00C31989" w:rsidP="006D5A65">
            <w:pPr>
              <w:pStyle w:val="Heading1"/>
            </w:pPr>
          </w:p>
        </w:tc>
        <w:tc>
          <w:tcPr>
            <w:tcW w:w="4349" w:type="dxa"/>
          </w:tcPr>
          <w:p w14:paraId="50A7D6EF" w14:textId="3F79A52F" w:rsidR="00C31989" w:rsidRPr="00F47262" w:rsidRDefault="00C31989" w:rsidP="00C31989">
            <w:pPr>
              <w:spacing w:before="60" w:after="60"/>
              <w:rPr>
                <w:sz w:val="20"/>
              </w:rPr>
            </w:pPr>
            <w:r w:rsidRPr="00F47262">
              <w:rPr>
                <w:sz w:val="20"/>
              </w:rPr>
              <w:t xml:space="preserve">Select the </w:t>
            </w:r>
            <w:r w:rsidRPr="00F47262">
              <w:rPr>
                <w:b/>
                <w:i/>
                <w:sz w:val="20"/>
              </w:rPr>
              <w:t>TED Connections</w:t>
            </w:r>
            <w:r w:rsidRPr="00F47262">
              <w:rPr>
                <w:sz w:val="20"/>
              </w:rPr>
              <w:t xml:space="preserve"> tab and verify the </w:t>
            </w:r>
            <w:r w:rsidRPr="00F47262">
              <w:rPr>
                <w:b/>
                <w:sz w:val="20"/>
              </w:rPr>
              <w:t xml:space="preserve">Connection Status </w:t>
            </w:r>
            <w:r w:rsidRPr="00F47262">
              <w:rPr>
                <w:sz w:val="20"/>
              </w:rPr>
              <w:t>column.</w:t>
            </w:r>
          </w:p>
        </w:tc>
        <w:tc>
          <w:tcPr>
            <w:tcW w:w="4381" w:type="dxa"/>
          </w:tcPr>
          <w:p w14:paraId="30D29714" w14:textId="77777777" w:rsidR="00046849" w:rsidRPr="00F47262" w:rsidRDefault="00046849" w:rsidP="00046849">
            <w:pPr>
              <w:spacing w:before="60"/>
              <w:rPr>
                <w:sz w:val="20"/>
              </w:rPr>
            </w:pPr>
            <w:r w:rsidRPr="00F47262">
              <w:rPr>
                <w:noProof/>
                <w:sz w:val="20"/>
              </w:rPr>
              <w:drawing>
                <wp:inline distT="0" distB="0" distL="0" distR="0" wp14:anchorId="41D681BD" wp14:editId="5D3C114A">
                  <wp:extent cx="1414666" cy="1406236"/>
                  <wp:effectExtent l="0" t="0" r="0" b="3810"/>
                  <wp:docPr id="1460" name="Picture 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1424446" cy="1415957"/>
                          </a:xfrm>
                          <a:prstGeom prst="rect">
                            <a:avLst/>
                          </a:prstGeom>
                          <a:ln>
                            <a:noFill/>
                          </a:ln>
                          <a:extLst>
                            <a:ext uri="{53640926-AAD7-44D8-BBD7-CCE9431645EC}">
                              <a14:shadowObscured xmlns:a14="http://schemas.microsoft.com/office/drawing/2010/main"/>
                            </a:ext>
                          </a:extLst>
                        </pic:spPr>
                      </pic:pic>
                    </a:graphicData>
                  </a:graphic>
                </wp:inline>
              </w:drawing>
            </w:r>
          </w:p>
          <w:p w14:paraId="51ED5CAD" w14:textId="268684D9" w:rsidR="00C31989" w:rsidRPr="00F47262" w:rsidRDefault="00046849" w:rsidP="00C31989">
            <w:pPr>
              <w:spacing w:before="60" w:after="60"/>
              <w:rPr>
                <w:sz w:val="20"/>
              </w:rPr>
            </w:pPr>
            <w:r w:rsidRPr="00F47262">
              <w:rPr>
                <w:sz w:val="20"/>
              </w:rPr>
              <w:object w:dxaOrig="8685" w:dyaOrig="3660" w14:anchorId="56C07843">
                <v:shape id="_x0000_i1040" type="#_x0000_t75" style="width:124.5pt;height:36pt" o:ole="">
                  <v:imagedata cropbottom="41652f" cropleft="30023f"/>
                </v:shape>
                <o:OLEObject Type="Embed" ProgID="PBrush" ShapeID="_x0000_i1040" DrawAspect="Content" ObjectID="_1846146723" r:id="rId54"/>
              </w:object>
            </w:r>
          </w:p>
        </w:tc>
      </w:tr>
      <w:tr w:rsidR="00C31989" w:rsidRPr="000665B0" w14:paraId="03B367B1" w14:textId="77777777" w:rsidTr="00F47262">
        <w:trPr>
          <w:cantSplit/>
        </w:trPr>
        <w:tc>
          <w:tcPr>
            <w:tcW w:w="738" w:type="dxa"/>
          </w:tcPr>
          <w:p w14:paraId="1CA4E15C" w14:textId="77777777" w:rsidR="00C31989" w:rsidRPr="00F47262" w:rsidRDefault="00C31989" w:rsidP="006D5A65">
            <w:pPr>
              <w:pStyle w:val="Heading1"/>
            </w:pPr>
          </w:p>
        </w:tc>
        <w:tc>
          <w:tcPr>
            <w:tcW w:w="4349" w:type="dxa"/>
          </w:tcPr>
          <w:p w14:paraId="7C664821" w14:textId="1B962E29" w:rsidR="00C31989" w:rsidRPr="00F47262" w:rsidRDefault="00C31989" w:rsidP="00C31989">
            <w:pPr>
              <w:spacing w:before="60" w:after="60"/>
              <w:rPr>
                <w:sz w:val="20"/>
              </w:rPr>
            </w:pPr>
            <w:r w:rsidRPr="00F47262">
              <w:rPr>
                <w:sz w:val="20"/>
              </w:rPr>
              <w:t>If the problem remains after all of the resolutions have been attempted, contact the Pe</w:t>
            </w:r>
            <w:r w:rsidR="00F417B9" w:rsidRPr="00F47262">
              <w:rPr>
                <w:sz w:val="20"/>
              </w:rPr>
              <w:t>raton</w:t>
            </w:r>
            <w:r w:rsidRPr="00F47262">
              <w:rPr>
                <w:sz w:val="20"/>
              </w:rPr>
              <w:t xml:space="preserve"> Help Desk (see </w:t>
            </w:r>
            <w:hyperlink w:anchor="_APPENDIX_U_" w:history="1">
              <w:r w:rsidRPr="00F47262">
                <w:rPr>
                  <w:rStyle w:val="Hyperlink"/>
                  <w:sz w:val="20"/>
                </w:rPr>
                <w:t xml:space="preserve">Appendix </w:t>
              </w:r>
              <w:r w:rsidR="00BA5FFA">
                <w:rPr>
                  <w:rStyle w:val="Hyperlink"/>
                  <w:sz w:val="20"/>
                </w:rPr>
                <w:t>U</w:t>
              </w:r>
            </w:hyperlink>
            <w:r w:rsidRPr="00F47262">
              <w:rPr>
                <w:sz w:val="20"/>
              </w:rPr>
              <w:t>).</w:t>
            </w:r>
          </w:p>
        </w:tc>
        <w:tc>
          <w:tcPr>
            <w:tcW w:w="4381" w:type="dxa"/>
          </w:tcPr>
          <w:p w14:paraId="7AEA25A7" w14:textId="77777777" w:rsidR="00C31989" w:rsidRPr="00F47262" w:rsidRDefault="00C31989" w:rsidP="00C31989">
            <w:pPr>
              <w:spacing w:before="60" w:after="60"/>
              <w:rPr>
                <w:sz w:val="20"/>
              </w:rPr>
            </w:pPr>
          </w:p>
        </w:tc>
      </w:tr>
    </w:tbl>
    <w:p w14:paraId="6D526E8A" w14:textId="2E7117E1" w:rsidR="00077872" w:rsidRPr="000665B0" w:rsidRDefault="00077872" w:rsidP="00912CE8">
      <w:pPr>
        <w:pStyle w:val="Appendix2"/>
      </w:pPr>
      <w:bookmarkStart w:id="7508" w:name="Delete_Overclassified_Data"/>
      <w:bookmarkStart w:id="7509" w:name="_Toc214283721"/>
      <w:bookmarkEnd w:id="7498"/>
      <w:bookmarkEnd w:id="7508"/>
      <w:r w:rsidRPr="000665B0">
        <w:t>DELETE OVERCLASSIFIED DATA</w:t>
      </w:r>
      <w:bookmarkEnd w:id="7503"/>
      <w:bookmarkEnd w:id="7504"/>
      <w:bookmarkEnd w:id="7509"/>
    </w:p>
    <w:p w14:paraId="0E678CD0" w14:textId="77777777" w:rsidR="00077872" w:rsidRPr="000665B0" w:rsidRDefault="00077872" w:rsidP="00077872">
      <w:pPr>
        <w:rPr>
          <w:szCs w:val="24"/>
        </w:rPr>
      </w:pPr>
      <w:r w:rsidRPr="000665B0">
        <w:rPr>
          <w:b/>
          <w:szCs w:val="24"/>
          <w:u w:val="single"/>
        </w:rPr>
        <w:t>Issue</w:t>
      </w:r>
      <w:r w:rsidRPr="000665B0">
        <w:rPr>
          <w:b/>
          <w:szCs w:val="24"/>
        </w:rPr>
        <w:t>:</w:t>
      </w:r>
      <w:r w:rsidRPr="000665B0">
        <w:rPr>
          <w:szCs w:val="24"/>
        </w:rPr>
        <w:t xml:space="preserve"> Data that is incorrectly overclassified is not easily recoverable.</w:t>
      </w:r>
    </w:p>
    <w:p w14:paraId="3591B199" w14:textId="77777777" w:rsidR="00077872" w:rsidRPr="000665B0" w:rsidRDefault="00077872" w:rsidP="00077872">
      <w:pPr>
        <w:rPr>
          <w:szCs w:val="24"/>
        </w:rPr>
      </w:pPr>
      <w:r w:rsidRPr="000665B0">
        <w:rPr>
          <w:b/>
          <w:szCs w:val="24"/>
          <w:u w:val="single"/>
        </w:rPr>
        <w:t>Description</w:t>
      </w:r>
      <w:r w:rsidRPr="000665B0">
        <w:rPr>
          <w:b/>
          <w:szCs w:val="24"/>
        </w:rPr>
        <w:t>:</w:t>
      </w:r>
      <w:r w:rsidRPr="000665B0">
        <w:rPr>
          <w:szCs w:val="24"/>
        </w:rPr>
        <w:t xml:space="preserve"> Users may encounter data that is received from MIDB/DIA that contains a classification, control mark, releasability mark, or other data error. The data is overclassified and even after the data is deleted, the incorrect classification qualifier may remain on the display.</w:t>
      </w:r>
    </w:p>
    <w:p w14:paraId="3157109A" w14:textId="77777777" w:rsidR="00077872" w:rsidRPr="000665B0" w:rsidRDefault="00077872" w:rsidP="00077872">
      <w:pPr>
        <w:rPr>
          <w:szCs w:val="24"/>
        </w:rPr>
      </w:pPr>
      <w:r w:rsidRPr="000665B0">
        <w:rPr>
          <w:szCs w:val="24"/>
        </w:rPr>
        <w:t>Follow these steps to correct overclassification errors.</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4349"/>
        <w:gridCol w:w="4381"/>
      </w:tblGrid>
      <w:tr w:rsidR="00077872" w:rsidRPr="000665B0" w14:paraId="3DD4393F" w14:textId="77777777" w:rsidTr="00F47262">
        <w:trPr>
          <w:cantSplit/>
          <w:tblHeader/>
        </w:trPr>
        <w:tc>
          <w:tcPr>
            <w:tcW w:w="9468" w:type="dxa"/>
            <w:gridSpan w:val="3"/>
            <w:tcBorders>
              <w:bottom w:val="single" w:sz="4" w:space="0" w:color="auto"/>
            </w:tcBorders>
            <w:shd w:val="clear" w:color="auto" w:fill="D9D9D9" w:themeFill="background1" w:themeFillShade="D9"/>
          </w:tcPr>
          <w:p w14:paraId="7424AB80" w14:textId="4048C9B8" w:rsidR="00077872" w:rsidRPr="00F47262" w:rsidRDefault="00077872" w:rsidP="00DF73CC">
            <w:pPr>
              <w:keepNext/>
              <w:keepLines/>
              <w:spacing w:before="60" w:after="60"/>
              <w:rPr>
                <w:rFonts w:ascii="Arial" w:hAnsi="Arial" w:cs="Arial"/>
                <w:b/>
                <w:szCs w:val="24"/>
              </w:rPr>
            </w:pPr>
            <w:r w:rsidRPr="00F47262">
              <w:rPr>
                <w:rFonts w:ascii="Arial" w:hAnsi="Arial" w:cs="Arial"/>
                <w:b/>
                <w:szCs w:val="24"/>
              </w:rPr>
              <w:t>L</w:t>
            </w:r>
            <w:r w:rsidR="00DF73CC" w:rsidRPr="00F47262">
              <w:rPr>
                <w:rFonts w:ascii="Arial" w:hAnsi="Arial" w:cs="Arial"/>
                <w:b/>
                <w:szCs w:val="24"/>
              </w:rPr>
              <w:t>.</w:t>
            </w:r>
            <w:r w:rsidRPr="00F47262">
              <w:rPr>
                <w:rFonts w:ascii="Arial" w:hAnsi="Arial" w:cs="Arial"/>
                <w:b/>
                <w:szCs w:val="24"/>
              </w:rPr>
              <w:t>6</w:t>
            </w:r>
            <w:r w:rsidR="009651B0" w:rsidRPr="00F47262">
              <w:rPr>
                <w:rFonts w:ascii="Arial" w:hAnsi="Arial" w:cs="Arial"/>
                <w:b/>
                <w:szCs w:val="24"/>
              </w:rPr>
              <w:t xml:space="preserve"> </w:t>
            </w:r>
            <w:r w:rsidRPr="00F47262">
              <w:rPr>
                <w:rFonts w:ascii="Arial" w:hAnsi="Arial" w:cs="Arial"/>
                <w:b/>
                <w:bCs/>
                <w:caps/>
              </w:rPr>
              <w:t>REMOVE OVERCLASSIFIED DATA</w:t>
            </w:r>
          </w:p>
        </w:tc>
      </w:tr>
      <w:tr w:rsidR="00077872" w:rsidRPr="000665B0" w14:paraId="6B7E1F52" w14:textId="77777777" w:rsidTr="00F47262">
        <w:trPr>
          <w:cantSplit/>
          <w:tblHeader/>
        </w:trPr>
        <w:tc>
          <w:tcPr>
            <w:tcW w:w="738" w:type="dxa"/>
            <w:tcBorders>
              <w:bottom w:val="single" w:sz="4" w:space="0" w:color="auto"/>
            </w:tcBorders>
            <w:shd w:val="clear" w:color="auto" w:fill="D9D9D9" w:themeFill="background1" w:themeFillShade="D9"/>
          </w:tcPr>
          <w:p w14:paraId="11A50785" w14:textId="77777777" w:rsidR="00077872" w:rsidRPr="00F47262" w:rsidRDefault="00077872" w:rsidP="00941746">
            <w:pPr>
              <w:keepNext/>
              <w:keepLines/>
              <w:spacing w:before="60" w:after="60"/>
              <w:jc w:val="both"/>
              <w:rPr>
                <w:rFonts w:ascii="Arial" w:hAnsi="Arial" w:cs="Arial"/>
                <w:b/>
                <w:szCs w:val="24"/>
              </w:rPr>
            </w:pPr>
            <w:r w:rsidRPr="00F47262">
              <w:rPr>
                <w:rFonts w:ascii="Arial" w:hAnsi="Arial" w:cs="Arial"/>
                <w:b/>
                <w:szCs w:val="24"/>
              </w:rPr>
              <w:t>Step</w:t>
            </w:r>
          </w:p>
        </w:tc>
        <w:tc>
          <w:tcPr>
            <w:tcW w:w="4349" w:type="dxa"/>
            <w:tcBorders>
              <w:bottom w:val="single" w:sz="4" w:space="0" w:color="auto"/>
            </w:tcBorders>
            <w:shd w:val="clear" w:color="auto" w:fill="D9D9D9" w:themeFill="background1" w:themeFillShade="D9"/>
          </w:tcPr>
          <w:p w14:paraId="031E46CC" w14:textId="77777777" w:rsidR="00077872" w:rsidRPr="00F47262" w:rsidRDefault="00077872" w:rsidP="00941746">
            <w:pPr>
              <w:keepNext/>
              <w:keepLines/>
              <w:spacing w:before="60" w:after="60"/>
              <w:rPr>
                <w:rFonts w:ascii="Arial" w:hAnsi="Arial" w:cs="Arial"/>
                <w:b/>
                <w:szCs w:val="24"/>
              </w:rPr>
            </w:pPr>
            <w:r w:rsidRPr="00F47262">
              <w:rPr>
                <w:rFonts w:ascii="Arial" w:hAnsi="Arial" w:cs="Arial"/>
                <w:b/>
                <w:szCs w:val="24"/>
              </w:rPr>
              <w:t>Procedure</w:t>
            </w:r>
          </w:p>
        </w:tc>
        <w:tc>
          <w:tcPr>
            <w:tcW w:w="4381" w:type="dxa"/>
            <w:tcBorders>
              <w:bottom w:val="single" w:sz="4" w:space="0" w:color="auto"/>
            </w:tcBorders>
            <w:shd w:val="clear" w:color="auto" w:fill="D9D9D9" w:themeFill="background1" w:themeFillShade="D9"/>
          </w:tcPr>
          <w:p w14:paraId="3B8EAC8B" w14:textId="77777777" w:rsidR="00077872" w:rsidRPr="00F47262" w:rsidRDefault="00077872" w:rsidP="00941746">
            <w:pPr>
              <w:keepNext/>
              <w:keepLines/>
              <w:spacing w:before="60" w:after="60"/>
              <w:rPr>
                <w:rFonts w:ascii="Arial" w:hAnsi="Arial" w:cs="Arial"/>
                <w:b/>
                <w:szCs w:val="24"/>
              </w:rPr>
            </w:pPr>
            <w:r w:rsidRPr="00F47262">
              <w:rPr>
                <w:rFonts w:ascii="Arial" w:hAnsi="Arial" w:cs="Arial"/>
                <w:b/>
                <w:szCs w:val="24"/>
              </w:rPr>
              <w:t>Comments</w:t>
            </w:r>
          </w:p>
        </w:tc>
      </w:tr>
      <w:tr w:rsidR="00077872" w:rsidRPr="000665B0" w14:paraId="2DD2CFB3" w14:textId="77777777" w:rsidTr="00F47262">
        <w:trPr>
          <w:cantSplit/>
        </w:trPr>
        <w:tc>
          <w:tcPr>
            <w:tcW w:w="738" w:type="dxa"/>
          </w:tcPr>
          <w:p w14:paraId="608480ED" w14:textId="77777777" w:rsidR="00077872" w:rsidRPr="00F47262" w:rsidRDefault="00077872" w:rsidP="006D5A65">
            <w:pPr>
              <w:pStyle w:val="Heading1"/>
            </w:pPr>
          </w:p>
        </w:tc>
        <w:tc>
          <w:tcPr>
            <w:tcW w:w="4349" w:type="dxa"/>
          </w:tcPr>
          <w:p w14:paraId="5652F2EA" w14:textId="77777777" w:rsidR="00077872" w:rsidRPr="00F47262" w:rsidRDefault="00077872" w:rsidP="00941746">
            <w:pPr>
              <w:spacing w:before="60" w:after="60"/>
              <w:rPr>
                <w:sz w:val="20"/>
              </w:rPr>
            </w:pPr>
            <w:r w:rsidRPr="00F47262">
              <w:rPr>
                <w:sz w:val="20"/>
              </w:rPr>
              <w:t>Submit a Data Correction Report (DCR) to the Responsible Producers (RESPROD), requesting a downgrade of the classification marking.</w:t>
            </w:r>
          </w:p>
        </w:tc>
        <w:tc>
          <w:tcPr>
            <w:tcW w:w="4381" w:type="dxa"/>
          </w:tcPr>
          <w:p w14:paraId="473DEDA6" w14:textId="77777777" w:rsidR="00077872" w:rsidRPr="00F47262" w:rsidRDefault="00077872" w:rsidP="00941746">
            <w:pPr>
              <w:spacing w:before="60" w:after="60"/>
              <w:rPr>
                <w:sz w:val="20"/>
              </w:rPr>
            </w:pPr>
          </w:p>
        </w:tc>
      </w:tr>
      <w:tr w:rsidR="00077872" w:rsidRPr="000665B0" w14:paraId="1A9FDFEF" w14:textId="77777777" w:rsidTr="00F47262">
        <w:trPr>
          <w:cantSplit/>
        </w:trPr>
        <w:tc>
          <w:tcPr>
            <w:tcW w:w="738" w:type="dxa"/>
          </w:tcPr>
          <w:p w14:paraId="0B76CA11" w14:textId="77777777" w:rsidR="00077872" w:rsidRPr="00F47262" w:rsidRDefault="00077872" w:rsidP="006D5A65">
            <w:pPr>
              <w:pStyle w:val="Heading1"/>
            </w:pPr>
          </w:p>
        </w:tc>
        <w:tc>
          <w:tcPr>
            <w:tcW w:w="4349" w:type="dxa"/>
          </w:tcPr>
          <w:p w14:paraId="67329EF4" w14:textId="77777777" w:rsidR="00077872" w:rsidRPr="00F47262" w:rsidRDefault="00077872" w:rsidP="00941746">
            <w:pPr>
              <w:spacing w:before="60" w:after="60"/>
              <w:rPr>
                <w:sz w:val="20"/>
              </w:rPr>
            </w:pPr>
            <w:r w:rsidRPr="00F47262">
              <w:rPr>
                <w:sz w:val="20"/>
              </w:rPr>
              <w:t>The RESPROD reviews the DCR. If there is an error, the RESPROD re-classifies the data and returns it.</w:t>
            </w:r>
          </w:p>
        </w:tc>
        <w:tc>
          <w:tcPr>
            <w:tcW w:w="4381" w:type="dxa"/>
          </w:tcPr>
          <w:p w14:paraId="1C08DA00" w14:textId="77777777" w:rsidR="00077872" w:rsidRPr="00F47262" w:rsidRDefault="00077872" w:rsidP="00941746">
            <w:pPr>
              <w:spacing w:before="60" w:after="60"/>
              <w:rPr>
                <w:sz w:val="20"/>
              </w:rPr>
            </w:pPr>
          </w:p>
        </w:tc>
      </w:tr>
      <w:tr w:rsidR="00077872" w:rsidRPr="000665B0" w14:paraId="23F492FE" w14:textId="77777777" w:rsidTr="00F47262">
        <w:trPr>
          <w:cantSplit/>
        </w:trPr>
        <w:tc>
          <w:tcPr>
            <w:tcW w:w="738" w:type="dxa"/>
          </w:tcPr>
          <w:p w14:paraId="025E9491" w14:textId="77777777" w:rsidR="00077872" w:rsidRPr="00F47262" w:rsidRDefault="00077872" w:rsidP="006D5A65">
            <w:pPr>
              <w:pStyle w:val="Heading1"/>
            </w:pPr>
          </w:p>
        </w:tc>
        <w:tc>
          <w:tcPr>
            <w:tcW w:w="4349" w:type="dxa"/>
          </w:tcPr>
          <w:p w14:paraId="01762FC2" w14:textId="77777777" w:rsidR="00077872" w:rsidRPr="00F47262" w:rsidRDefault="00077872" w:rsidP="00941746">
            <w:pPr>
              <w:spacing w:before="60" w:after="60"/>
              <w:rPr>
                <w:sz w:val="20"/>
              </w:rPr>
            </w:pPr>
            <w:r w:rsidRPr="00F47262">
              <w:rPr>
                <w:sz w:val="20"/>
              </w:rPr>
              <w:t>Upon receipt of the re-classified data, delete the overclassified data.</w:t>
            </w:r>
          </w:p>
        </w:tc>
        <w:tc>
          <w:tcPr>
            <w:tcW w:w="4381" w:type="dxa"/>
          </w:tcPr>
          <w:p w14:paraId="2E12D7FB" w14:textId="77777777" w:rsidR="00077872" w:rsidRPr="00F47262" w:rsidRDefault="00077872" w:rsidP="00941746">
            <w:pPr>
              <w:spacing w:before="60" w:after="60"/>
              <w:rPr>
                <w:sz w:val="20"/>
              </w:rPr>
            </w:pPr>
          </w:p>
        </w:tc>
      </w:tr>
    </w:tbl>
    <w:p w14:paraId="4218D56C" w14:textId="77777777" w:rsidR="00A74555" w:rsidRPr="000665B0" w:rsidRDefault="00A74555" w:rsidP="00583EF6"/>
    <w:p w14:paraId="6C1E6912" w14:textId="77777777" w:rsidR="00A316EA" w:rsidRDefault="00A316EA" w:rsidP="00583EF6">
      <w:r>
        <w:br w:type="page"/>
      </w:r>
    </w:p>
    <w:p w14:paraId="7B7CE179" w14:textId="38F81F0A" w:rsidR="005F576C" w:rsidRPr="000665B0" w:rsidRDefault="009319FE" w:rsidP="003604C5">
      <w:pPr>
        <w:pStyle w:val="Appendix"/>
      </w:pPr>
      <w:bookmarkStart w:id="7510" w:name="_Appendix_M_TDM"/>
      <w:bookmarkStart w:id="7511" w:name="_Toc289329091"/>
      <w:bookmarkStart w:id="7512" w:name="_Toc312332200"/>
      <w:bookmarkStart w:id="7513" w:name="_Hlk60664838"/>
      <w:bookmarkEnd w:id="7463"/>
      <w:bookmarkEnd w:id="7510"/>
      <w:r w:rsidRPr="000665B0">
        <w:lastRenderedPageBreak/>
        <w:br/>
      </w:r>
      <w:bookmarkStart w:id="7514" w:name="_Toc214283722"/>
      <w:r w:rsidR="00A821D9" w:rsidRPr="000665B0">
        <w:t xml:space="preserve">DISTRIBUTION SERVICE </w:t>
      </w:r>
      <w:r w:rsidRPr="000665B0">
        <w:t>TROUBLESHOOTING GUIDE</w:t>
      </w:r>
      <w:bookmarkEnd w:id="7511"/>
      <w:bookmarkEnd w:id="7512"/>
      <w:bookmarkEnd w:id="7514"/>
    </w:p>
    <w:p w14:paraId="00E2CE74" w14:textId="11A348EF" w:rsidR="005F576C" w:rsidRPr="000665B0" w:rsidRDefault="006E6369" w:rsidP="005A42A5">
      <w:pPr>
        <w:jc w:val="center"/>
      </w:pPr>
      <w:r w:rsidRPr="000665B0">
        <w:rPr>
          <w:noProof/>
        </w:rPr>
        <w:drawing>
          <wp:inline distT="0" distB="0" distL="0" distR="0" wp14:anchorId="41F79940" wp14:editId="4CCFF380">
            <wp:extent cx="5907975" cy="4433455"/>
            <wp:effectExtent l="0" t="0" r="0" b="5715"/>
            <wp:docPr id="1610" name="Picture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5943235" cy="4459915"/>
                    </a:xfrm>
                    <a:prstGeom prst="rect">
                      <a:avLst/>
                    </a:prstGeom>
                    <a:noFill/>
                  </pic:spPr>
                </pic:pic>
              </a:graphicData>
            </a:graphic>
          </wp:inline>
        </w:drawing>
      </w:r>
    </w:p>
    <w:p w14:paraId="1816F669" w14:textId="77777777" w:rsidR="005F576C" w:rsidRPr="000665B0" w:rsidRDefault="005F576C" w:rsidP="000A0A80">
      <w:pPr>
        <w:jc w:val="center"/>
        <w:rPr>
          <w:b/>
        </w:rPr>
      </w:pPr>
      <w:r w:rsidRPr="000665B0">
        <w:rPr>
          <w:b/>
        </w:rPr>
        <w:t>{0} = argument 1, {1} = argument 2, {2} = argument 3, {3} = argument 4, {4} = argument 5</w:t>
      </w:r>
    </w:p>
    <w:tbl>
      <w:tblPr>
        <w:tblW w:w="4993" w:type="pct"/>
        <w:tblInd w:w="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03"/>
        <w:gridCol w:w="1470"/>
        <w:gridCol w:w="3258"/>
        <w:gridCol w:w="3910"/>
      </w:tblGrid>
      <w:tr w:rsidR="007D72B2" w:rsidRPr="000665B0" w14:paraId="6DEB0CE0" w14:textId="77777777" w:rsidTr="007D72B2">
        <w:trPr>
          <w:cantSplit/>
          <w:trHeight w:val="510"/>
          <w:tblHeader/>
        </w:trPr>
        <w:tc>
          <w:tcPr>
            <w:tcW w:w="376" w:type="pct"/>
            <w:shd w:val="clear" w:color="auto" w:fill="D9D9D9"/>
            <w:vAlign w:val="bottom"/>
          </w:tcPr>
          <w:p w14:paraId="43F7CB73" w14:textId="77777777" w:rsidR="005F576C" w:rsidRPr="000665B0" w:rsidRDefault="005F576C" w:rsidP="005F1DFB">
            <w:pPr>
              <w:spacing w:before="40" w:after="40" w:line="240" w:lineRule="auto"/>
              <w:jc w:val="center"/>
              <w:rPr>
                <w:b/>
                <w:sz w:val="20"/>
              </w:rPr>
            </w:pPr>
            <w:r w:rsidRPr="000665B0">
              <w:rPr>
                <w:b/>
                <w:sz w:val="20"/>
              </w:rPr>
              <w:t>Error Number</w:t>
            </w:r>
          </w:p>
        </w:tc>
        <w:tc>
          <w:tcPr>
            <w:tcW w:w="787" w:type="pct"/>
            <w:shd w:val="clear" w:color="auto" w:fill="D9D9D9"/>
            <w:vAlign w:val="bottom"/>
          </w:tcPr>
          <w:p w14:paraId="1444CDB0" w14:textId="77777777" w:rsidR="005F576C" w:rsidRPr="000665B0" w:rsidRDefault="005F576C" w:rsidP="005F1DFB">
            <w:pPr>
              <w:spacing w:before="40" w:after="40" w:line="240" w:lineRule="auto"/>
              <w:jc w:val="center"/>
              <w:rPr>
                <w:b/>
                <w:sz w:val="20"/>
              </w:rPr>
            </w:pPr>
            <w:r w:rsidRPr="000665B0">
              <w:rPr>
                <w:b/>
                <w:sz w:val="20"/>
              </w:rPr>
              <w:t>Error Message</w:t>
            </w:r>
          </w:p>
        </w:tc>
        <w:tc>
          <w:tcPr>
            <w:tcW w:w="1744" w:type="pct"/>
            <w:shd w:val="clear" w:color="auto" w:fill="D9D9D9"/>
            <w:vAlign w:val="bottom"/>
          </w:tcPr>
          <w:p w14:paraId="2E939F12" w14:textId="77777777" w:rsidR="005F576C" w:rsidRPr="000665B0" w:rsidRDefault="005F576C" w:rsidP="005F1DFB">
            <w:pPr>
              <w:spacing w:before="40" w:after="40" w:line="240" w:lineRule="auto"/>
              <w:jc w:val="center"/>
              <w:rPr>
                <w:b/>
                <w:sz w:val="20"/>
              </w:rPr>
            </w:pPr>
            <w:r w:rsidRPr="000665B0">
              <w:rPr>
                <w:b/>
                <w:sz w:val="20"/>
              </w:rPr>
              <w:t>Description</w:t>
            </w:r>
          </w:p>
        </w:tc>
        <w:tc>
          <w:tcPr>
            <w:tcW w:w="2093" w:type="pct"/>
            <w:shd w:val="clear" w:color="auto" w:fill="D9D9D9"/>
            <w:vAlign w:val="bottom"/>
          </w:tcPr>
          <w:p w14:paraId="704A4FFA" w14:textId="77777777" w:rsidR="005F576C" w:rsidRPr="000665B0" w:rsidRDefault="005F576C" w:rsidP="005F1DFB">
            <w:pPr>
              <w:spacing w:before="40" w:after="40" w:line="240" w:lineRule="auto"/>
              <w:jc w:val="center"/>
              <w:rPr>
                <w:b/>
                <w:sz w:val="20"/>
              </w:rPr>
            </w:pPr>
            <w:r w:rsidRPr="000665B0">
              <w:rPr>
                <w:b/>
                <w:sz w:val="20"/>
              </w:rPr>
              <w:t>Troubleshooting</w:t>
            </w:r>
          </w:p>
        </w:tc>
      </w:tr>
      <w:tr w:rsidR="007D72B2" w:rsidRPr="000665B0" w14:paraId="647302EF" w14:textId="77777777" w:rsidTr="007D72B2">
        <w:trPr>
          <w:cantSplit/>
          <w:trHeight w:val="255"/>
        </w:trPr>
        <w:tc>
          <w:tcPr>
            <w:tcW w:w="376" w:type="pct"/>
            <w:noWrap/>
          </w:tcPr>
          <w:p w14:paraId="6D59CC4F" w14:textId="77777777" w:rsidR="005F576C" w:rsidRPr="000665B0" w:rsidRDefault="005F576C" w:rsidP="005F1DFB">
            <w:pPr>
              <w:spacing w:before="40" w:after="40" w:line="240" w:lineRule="auto"/>
              <w:jc w:val="center"/>
              <w:rPr>
                <w:sz w:val="20"/>
              </w:rPr>
            </w:pPr>
            <w:r w:rsidRPr="000665B0">
              <w:rPr>
                <w:sz w:val="20"/>
              </w:rPr>
              <w:t>0</w:t>
            </w:r>
          </w:p>
        </w:tc>
        <w:tc>
          <w:tcPr>
            <w:tcW w:w="787" w:type="pct"/>
            <w:noWrap/>
          </w:tcPr>
          <w:p w14:paraId="28FFD1EF" w14:textId="77777777" w:rsidR="005F576C" w:rsidRPr="000665B0" w:rsidRDefault="005F576C" w:rsidP="005F1DFB">
            <w:pPr>
              <w:spacing w:before="40" w:after="40" w:line="240" w:lineRule="auto"/>
              <w:rPr>
                <w:sz w:val="20"/>
              </w:rPr>
            </w:pPr>
            <w:r w:rsidRPr="000665B0">
              <w:rPr>
                <w:sz w:val="20"/>
              </w:rPr>
              <w:t>Error converting enum to int.</w:t>
            </w:r>
          </w:p>
        </w:tc>
        <w:tc>
          <w:tcPr>
            <w:tcW w:w="1744" w:type="pct"/>
            <w:noWrap/>
          </w:tcPr>
          <w:p w14:paraId="79259291" w14:textId="77777777" w:rsidR="005F576C" w:rsidRPr="000665B0" w:rsidRDefault="005F576C" w:rsidP="005F1DFB">
            <w:pPr>
              <w:spacing w:before="40" w:after="40" w:line="240" w:lineRule="auto"/>
              <w:rPr>
                <w:sz w:val="20"/>
              </w:rPr>
            </w:pPr>
            <w:r w:rsidRPr="000665B0">
              <w:rPr>
                <w:sz w:val="20"/>
              </w:rPr>
              <w:t>Unused</w:t>
            </w:r>
            <w:r w:rsidR="00825C9C" w:rsidRPr="000665B0">
              <w:rPr>
                <w:sz w:val="20"/>
              </w:rPr>
              <w:t>.</w:t>
            </w:r>
          </w:p>
        </w:tc>
        <w:tc>
          <w:tcPr>
            <w:tcW w:w="2093" w:type="pct"/>
            <w:noWrap/>
          </w:tcPr>
          <w:p w14:paraId="3174AF3A" w14:textId="77777777" w:rsidR="005F576C" w:rsidRPr="000665B0" w:rsidRDefault="005F576C" w:rsidP="005F1DFB">
            <w:pPr>
              <w:spacing w:before="40" w:after="40" w:line="240" w:lineRule="auto"/>
              <w:rPr>
                <w:sz w:val="20"/>
              </w:rPr>
            </w:pPr>
            <w:r w:rsidRPr="000665B0">
              <w:rPr>
                <w:sz w:val="20"/>
              </w:rPr>
              <w:t>Unused</w:t>
            </w:r>
            <w:r w:rsidR="00081337" w:rsidRPr="000665B0">
              <w:rPr>
                <w:sz w:val="20"/>
              </w:rPr>
              <w:t>.</w:t>
            </w:r>
          </w:p>
        </w:tc>
      </w:tr>
      <w:tr w:rsidR="00D0292E" w:rsidRPr="000665B0" w14:paraId="1375AB65" w14:textId="77777777" w:rsidTr="007D72B2">
        <w:trPr>
          <w:cantSplit/>
          <w:trHeight w:val="255"/>
        </w:trPr>
        <w:tc>
          <w:tcPr>
            <w:tcW w:w="376" w:type="pct"/>
            <w:noWrap/>
          </w:tcPr>
          <w:p w14:paraId="2B4473E0" w14:textId="77777777" w:rsidR="00D0292E" w:rsidRPr="000665B0" w:rsidRDefault="00D0292E" w:rsidP="00325084">
            <w:pPr>
              <w:spacing w:before="40" w:after="40" w:line="240" w:lineRule="auto"/>
              <w:jc w:val="center"/>
              <w:rPr>
                <w:sz w:val="20"/>
              </w:rPr>
            </w:pPr>
            <w:r w:rsidRPr="000665B0">
              <w:rPr>
                <w:sz w:val="20"/>
              </w:rPr>
              <w:t>1-</w:t>
            </w:r>
            <w:r w:rsidR="00325084" w:rsidRPr="000665B0">
              <w:rPr>
                <w:sz w:val="20"/>
              </w:rPr>
              <w:t>5</w:t>
            </w:r>
          </w:p>
        </w:tc>
        <w:tc>
          <w:tcPr>
            <w:tcW w:w="787" w:type="pct"/>
            <w:noWrap/>
          </w:tcPr>
          <w:p w14:paraId="7C1E252C" w14:textId="77777777" w:rsidR="00D0292E" w:rsidRPr="000665B0" w:rsidRDefault="00D0292E" w:rsidP="005F1DFB">
            <w:pPr>
              <w:spacing w:before="40" w:after="40" w:line="240" w:lineRule="auto"/>
              <w:rPr>
                <w:sz w:val="20"/>
              </w:rPr>
            </w:pPr>
            <w:r w:rsidRPr="000665B0">
              <w:rPr>
                <w:sz w:val="20"/>
              </w:rPr>
              <w:t>Removed</w:t>
            </w:r>
            <w:r w:rsidR="00E52B8D" w:rsidRPr="000665B0">
              <w:rPr>
                <w:sz w:val="20"/>
              </w:rPr>
              <w:t>.</w:t>
            </w:r>
          </w:p>
        </w:tc>
        <w:tc>
          <w:tcPr>
            <w:tcW w:w="1744" w:type="pct"/>
            <w:noWrap/>
          </w:tcPr>
          <w:p w14:paraId="2B851028" w14:textId="77777777" w:rsidR="00D0292E" w:rsidRPr="000665B0" w:rsidRDefault="00D0292E" w:rsidP="005F1DFB">
            <w:pPr>
              <w:spacing w:before="40" w:after="40" w:line="240" w:lineRule="auto"/>
              <w:rPr>
                <w:sz w:val="20"/>
              </w:rPr>
            </w:pPr>
            <w:r w:rsidRPr="000665B0">
              <w:rPr>
                <w:sz w:val="20"/>
              </w:rPr>
              <w:t>Removed</w:t>
            </w:r>
            <w:r w:rsidR="00E52B8D" w:rsidRPr="000665B0">
              <w:rPr>
                <w:sz w:val="20"/>
              </w:rPr>
              <w:t>.</w:t>
            </w:r>
          </w:p>
        </w:tc>
        <w:tc>
          <w:tcPr>
            <w:tcW w:w="2093" w:type="pct"/>
            <w:noWrap/>
          </w:tcPr>
          <w:p w14:paraId="2AC99C15" w14:textId="77777777" w:rsidR="00D0292E" w:rsidRPr="000665B0" w:rsidRDefault="00D0292E" w:rsidP="005F1DFB">
            <w:pPr>
              <w:spacing w:before="40" w:after="40" w:line="240" w:lineRule="auto"/>
              <w:rPr>
                <w:sz w:val="20"/>
              </w:rPr>
            </w:pPr>
            <w:r w:rsidRPr="000665B0">
              <w:rPr>
                <w:sz w:val="20"/>
              </w:rPr>
              <w:t>Removed</w:t>
            </w:r>
            <w:r w:rsidR="00E52B8D" w:rsidRPr="000665B0">
              <w:rPr>
                <w:sz w:val="20"/>
              </w:rPr>
              <w:t>.</w:t>
            </w:r>
          </w:p>
        </w:tc>
      </w:tr>
      <w:tr w:rsidR="007D72B2" w:rsidRPr="000665B0" w14:paraId="06619032" w14:textId="77777777" w:rsidTr="007D72B2">
        <w:trPr>
          <w:cantSplit/>
          <w:trHeight w:val="255"/>
        </w:trPr>
        <w:tc>
          <w:tcPr>
            <w:tcW w:w="376" w:type="pct"/>
            <w:noWrap/>
          </w:tcPr>
          <w:p w14:paraId="243D0C66" w14:textId="77777777" w:rsidR="005F576C" w:rsidRPr="000665B0" w:rsidRDefault="005F576C" w:rsidP="005F1DFB">
            <w:pPr>
              <w:spacing w:before="40" w:after="40" w:line="240" w:lineRule="auto"/>
              <w:jc w:val="center"/>
              <w:rPr>
                <w:sz w:val="20"/>
              </w:rPr>
            </w:pPr>
            <w:r w:rsidRPr="000665B0">
              <w:rPr>
                <w:sz w:val="20"/>
              </w:rPr>
              <w:t>6</w:t>
            </w:r>
          </w:p>
        </w:tc>
        <w:tc>
          <w:tcPr>
            <w:tcW w:w="787" w:type="pct"/>
            <w:noWrap/>
          </w:tcPr>
          <w:p w14:paraId="55115C33" w14:textId="77777777" w:rsidR="005F576C" w:rsidRPr="000665B0" w:rsidRDefault="005F576C" w:rsidP="005F1DFB">
            <w:pPr>
              <w:spacing w:before="40" w:after="40" w:line="240" w:lineRule="auto"/>
              <w:rPr>
                <w:sz w:val="20"/>
              </w:rPr>
            </w:pPr>
            <w:r w:rsidRPr="000665B0">
              <w:rPr>
                <w:sz w:val="20"/>
              </w:rPr>
              <w:t>Failed to access address book info.</w:t>
            </w:r>
          </w:p>
        </w:tc>
        <w:tc>
          <w:tcPr>
            <w:tcW w:w="1744" w:type="pct"/>
            <w:noWrap/>
          </w:tcPr>
          <w:p w14:paraId="160B04BE" w14:textId="77777777" w:rsidR="005F576C" w:rsidRPr="000665B0" w:rsidRDefault="00A821D9" w:rsidP="005F1DFB">
            <w:pPr>
              <w:spacing w:before="40" w:after="40" w:line="240" w:lineRule="auto"/>
              <w:rPr>
                <w:sz w:val="20"/>
              </w:rPr>
            </w:pPr>
            <w:r w:rsidRPr="000665B0">
              <w:rPr>
                <w:sz w:val="20"/>
              </w:rPr>
              <w:t xml:space="preserve">Distribution Service </w:t>
            </w:r>
            <w:r w:rsidR="005F576C" w:rsidRPr="000665B0">
              <w:rPr>
                <w:sz w:val="20"/>
              </w:rPr>
              <w:t>failed to retrieve the valid platform list version information from TED VLDB.</w:t>
            </w:r>
          </w:p>
        </w:tc>
        <w:tc>
          <w:tcPr>
            <w:tcW w:w="2093" w:type="pct"/>
            <w:noWrap/>
          </w:tcPr>
          <w:p w14:paraId="3FC1BC4C" w14:textId="2BBF8E14" w:rsidR="005F576C" w:rsidRPr="000665B0" w:rsidRDefault="005F576C" w:rsidP="005F1DFB">
            <w:pPr>
              <w:spacing w:before="40" w:after="40" w:line="240" w:lineRule="auto"/>
              <w:rPr>
                <w:sz w:val="20"/>
              </w:rPr>
            </w:pPr>
            <w:r w:rsidRPr="000665B0">
              <w:rPr>
                <w:sz w:val="20"/>
              </w:rPr>
              <w:t xml:space="preserve">Verify TED’s Valid List webservices are running by opening </w:t>
            </w:r>
            <w:r w:rsidR="00D24B5E" w:rsidRPr="000665B0">
              <w:rPr>
                <w:sz w:val="20"/>
              </w:rPr>
              <w:t>MDS and</w:t>
            </w:r>
            <w:r w:rsidRPr="000665B0">
              <w:rPr>
                <w:sz w:val="20"/>
              </w:rPr>
              <w:t xml:space="preserve"> viewing the node</w:t>
            </w:r>
            <w:r w:rsidR="00EB723A" w:rsidRPr="000665B0">
              <w:rPr>
                <w:sz w:val="20"/>
              </w:rPr>
              <w:t>s</w:t>
            </w:r>
            <w:r w:rsidRPr="000665B0">
              <w:rPr>
                <w:sz w:val="20"/>
              </w:rPr>
              <w:t xml:space="preserve"> tool. </w:t>
            </w:r>
          </w:p>
        </w:tc>
      </w:tr>
      <w:tr w:rsidR="007D72B2" w:rsidRPr="000665B0" w14:paraId="399E53D1" w14:textId="77777777" w:rsidTr="007D72B2">
        <w:trPr>
          <w:cantSplit/>
          <w:trHeight w:val="255"/>
        </w:trPr>
        <w:tc>
          <w:tcPr>
            <w:tcW w:w="376" w:type="pct"/>
            <w:noWrap/>
          </w:tcPr>
          <w:p w14:paraId="67E586CF" w14:textId="77777777" w:rsidR="005F576C" w:rsidRPr="000665B0" w:rsidRDefault="005F576C" w:rsidP="005F1DFB">
            <w:pPr>
              <w:spacing w:before="40" w:after="40" w:line="240" w:lineRule="auto"/>
              <w:jc w:val="center"/>
              <w:rPr>
                <w:sz w:val="20"/>
              </w:rPr>
            </w:pPr>
            <w:r w:rsidRPr="000665B0">
              <w:rPr>
                <w:sz w:val="20"/>
              </w:rPr>
              <w:t>7</w:t>
            </w:r>
          </w:p>
        </w:tc>
        <w:tc>
          <w:tcPr>
            <w:tcW w:w="787" w:type="pct"/>
            <w:noWrap/>
          </w:tcPr>
          <w:p w14:paraId="6B719953" w14:textId="77777777" w:rsidR="005F576C" w:rsidRPr="000665B0" w:rsidRDefault="00F85F07" w:rsidP="005F1DFB">
            <w:pPr>
              <w:spacing w:before="40" w:after="40" w:line="240" w:lineRule="auto"/>
              <w:rPr>
                <w:sz w:val="20"/>
              </w:rPr>
            </w:pPr>
            <w:r w:rsidRPr="000665B0">
              <w:rPr>
                <w:sz w:val="20"/>
              </w:rPr>
              <w:t>Error getting detail data(s)</w:t>
            </w:r>
          </w:p>
        </w:tc>
        <w:tc>
          <w:tcPr>
            <w:tcW w:w="1744" w:type="pct"/>
            <w:noWrap/>
          </w:tcPr>
          <w:p w14:paraId="0013F519" w14:textId="77777777" w:rsidR="005F576C" w:rsidRPr="000665B0" w:rsidRDefault="00A821D9" w:rsidP="005F1DFB">
            <w:pPr>
              <w:spacing w:before="40" w:after="40" w:line="240" w:lineRule="auto"/>
              <w:rPr>
                <w:sz w:val="20"/>
              </w:rPr>
            </w:pPr>
            <w:r w:rsidRPr="000665B0">
              <w:rPr>
                <w:sz w:val="20"/>
              </w:rPr>
              <w:t>Distribution Service</w:t>
            </w:r>
            <w:r w:rsidRPr="000665B0" w:rsidDel="00A821D9">
              <w:rPr>
                <w:sz w:val="20"/>
              </w:rPr>
              <w:t xml:space="preserve"> </w:t>
            </w:r>
            <w:r w:rsidR="005F576C" w:rsidRPr="000665B0">
              <w:rPr>
                <w:sz w:val="20"/>
              </w:rPr>
              <w:t>failed to get addressing information for a particular node from TED VLDB.</w:t>
            </w:r>
          </w:p>
        </w:tc>
        <w:tc>
          <w:tcPr>
            <w:tcW w:w="2093" w:type="pct"/>
            <w:noWrap/>
          </w:tcPr>
          <w:p w14:paraId="18AE81F2" w14:textId="7476B44D" w:rsidR="005F576C" w:rsidRPr="000665B0" w:rsidRDefault="005F576C" w:rsidP="006D5A65">
            <w:pPr>
              <w:pStyle w:val="Heading1"/>
            </w:pPr>
            <w:r w:rsidRPr="000665B0">
              <w:t>Open the MDS Node</w:t>
            </w:r>
            <w:r w:rsidR="00EB723A" w:rsidRPr="000665B0">
              <w:t>s</w:t>
            </w:r>
            <w:r w:rsidRPr="000665B0">
              <w:t xml:space="preserve"> Tool. Verify the valid platform list is visible</w:t>
            </w:r>
            <w:r w:rsidR="00081337" w:rsidRPr="000665B0">
              <w:t>.</w:t>
            </w:r>
          </w:p>
          <w:p w14:paraId="79BBEDCA" w14:textId="77777777" w:rsidR="005F576C" w:rsidRPr="000665B0" w:rsidRDefault="005F576C" w:rsidP="006D5A65">
            <w:pPr>
              <w:pStyle w:val="Heading1"/>
            </w:pPr>
            <w:r w:rsidRPr="000665B0">
              <w:t>Reboot the PC</w:t>
            </w:r>
            <w:r w:rsidR="00081337" w:rsidRPr="000665B0">
              <w:t>.</w:t>
            </w:r>
          </w:p>
        </w:tc>
      </w:tr>
      <w:tr w:rsidR="007D72B2" w:rsidRPr="000665B0" w14:paraId="469114F7" w14:textId="77777777" w:rsidTr="007D72B2">
        <w:trPr>
          <w:cantSplit/>
          <w:trHeight w:val="255"/>
        </w:trPr>
        <w:tc>
          <w:tcPr>
            <w:tcW w:w="376" w:type="pct"/>
            <w:noWrap/>
          </w:tcPr>
          <w:p w14:paraId="0A023CE4" w14:textId="77777777" w:rsidR="005F576C" w:rsidRPr="000665B0" w:rsidRDefault="005F576C" w:rsidP="005F1DFB">
            <w:pPr>
              <w:spacing w:before="40" w:after="40" w:line="240" w:lineRule="auto"/>
              <w:jc w:val="center"/>
              <w:rPr>
                <w:sz w:val="20"/>
              </w:rPr>
            </w:pPr>
            <w:r w:rsidRPr="000665B0">
              <w:rPr>
                <w:sz w:val="20"/>
              </w:rPr>
              <w:lastRenderedPageBreak/>
              <w:t>8</w:t>
            </w:r>
          </w:p>
        </w:tc>
        <w:tc>
          <w:tcPr>
            <w:tcW w:w="787" w:type="pct"/>
            <w:noWrap/>
          </w:tcPr>
          <w:p w14:paraId="12E6A0A4" w14:textId="77777777" w:rsidR="005F576C" w:rsidRPr="000665B0" w:rsidRDefault="005F576C" w:rsidP="005F1DFB">
            <w:pPr>
              <w:spacing w:before="40" w:after="40" w:line="240" w:lineRule="auto"/>
              <w:rPr>
                <w:sz w:val="20"/>
              </w:rPr>
            </w:pPr>
            <w:r w:rsidRPr="000665B0">
              <w:rPr>
                <w:sz w:val="20"/>
              </w:rPr>
              <w:t>FdiCopy failed. Error code: {0}</w:t>
            </w:r>
          </w:p>
        </w:tc>
        <w:tc>
          <w:tcPr>
            <w:tcW w:w="1744" w:type="pct"/>
            <w:noWrap/>
          </w:tcPr>
          <w:p w14:paraId="34AD74B1" w14:textId="77777777" w:rsidR="005F576C" w:rsidRPr="000665B0" w:rsidRDefault="005F576C" w:rsidP="005F1DFB">
            <w:pPr>
              <w:spacing w:before="40" w:after="40" w:line="240" w:lineRule="auto"/>
              <w:rPr>
                <w:sz w:val="20"/>
              </w:rPr>
            </w:pPr>
            <w:r w:rsidRPr="000665B0">
              <w:rPr>
                <w:sz w:val="20"/>
              </w:rPr>
              <w:t>FDI Copy is the extraction (but not decompression) of files from a CAB.</w:t>
            </w:r>
          </w:p>
        </w:tc>
        <w:tc>
          <w:tcPr>
            <w:tcW w:w="2093" w:type="pct"/>
            <w:noWrap/>
          </w:tcPr>
          <w:p w14:paraId="7D627E38" w14:textId="77777777" w:rsidR="005F576C" w:rsidRPr="000665B0" w:rsidRDefault="005F576C" w:rsidP="005F1DFB">
            <w:pPr>
              <w:spacing w:before="40" w:after="40" w:line="240" w:lineRule="auto"/>
              <w:rPr>
                <w:sz w:val="20"/>
              </w:rPr>
            </w:pPr>
            <w:r w:rsidRPr="000665B0">
              <w:rPr>
                <w:sz w:val="20"/>
              </w:rPr>
              <w:t>Ask the sender of the DDO to re-send</w:t>
            </w:r>
            <w:r w:rsidR="00081337" w:rsidRPr="000665B0">
              <w:rPr>
                <w:sz w:val="20"/>
              </w:rPr>
              <w:t>.</w:t>
            </w:r>
          </w:p>
        </w:tc>
      </w:tr>
      <w:tr w:rsidR="007D72B2" w:rsidRPr="000665B0" w14:paraId="57BCBAED" w14:textId="77777777" w:rsidTr="007D72B2">
        <w:trPr>
          <w:cantSplit/>
          <w:trHeight w:val="255"/>
        </w:trPr>
        <w:tc>
          <w:tcPr>
            <w:tcW w:w="376" w:type="pct"/>
            <w:noWrap/>
          </w:tcPr>
          <w:p w14:paraId="46DE33DA" w14:textId="77777777" w:rsidR="005F576C" w:rsidRPr="000665B0" w:rsidRDefault="005F576C" w:rsidP="005F1DFB">
            <w:pPr>
              <w:spacing w:before="40" w:after="40" w:line="240" w:lineRule="auto"/>
              <w:jc w:val="center"/>
              <w:rPr>
                <w:sz w:val="20"/>
              </w:rPr>
            </w:pPr>
            <w:r w:rsidRPr="000665B0">
              <w:rPr>
                <w:sz w:val="20"/>
              </w:rPr>
              <w:t>9</w:t>
            </w:r>
          </w:p>
        </w:tc>
        <w:tc>
          <w:tcPr>
            <w:tcW w:w="787" w:type="pct"/>
            <w:noWrap/>
          </w:tcPr>
          <w:p w14:paraId="55781028" w14:textId="77777777" w:rsidR="005F576C" w:rsidRPr="000665B0" w:rsidRDefault="005F576C" w:rsidP="005F1DFB">
            <w:pPr>
              <w:spacing w:before="40" w:after="40" w:line="240" w:lineRule="auto"/>
              <w:rPr>
                <w:sz w:val="20"/>
              </w:rPr>
            </w:pPr>
            <w:r w:rsidRPr="000665B0">
              <w:rPr>
                <w:sz w:val="20"/>
              </w:rPr>
              <w:t>CAB file contained only one file! {0}</w:t>
            </w:r>
          </w:p>
        </w:tc>
        <w:tc>
          <w:tcPr>
            <w:tcW w:w="1744" w:type="pct"/>
            <w:noWrap/>
          </w:tcPr>
          <w:p w14:paraId="7A109FD3" w14:textId="77777777" w:rsidR="005F576C" w:rsidRPr="000665B0" w:rsidRDefault="005F576C" w:rsidP="005F1DFB">
            <w:pPr>
              <w:spacing w:before="40" w:after="40" w:line="240" w:lineRule="auto"/>
              <w:rPr>
                <w:sz w:val="20"/>
              </w:rPr>
            </w:pPr>
            <w:r w:rsidRPr="000665B0">
              <w:rPr>
                <w:sz w:val="20"/>
              </w:rPr>
              <w:t>Unused</w:t>
            </w:r>
            <w:r w:rsidR="00081337" w:rsidRPr="000665B0">
              <w:rPr>
                <w:sz w:val="20"/>
              </w:rPr>
              <w:t>.</w:t>
            </w:r>
          </w:p>
        </w:tc>
        <w:tc>
          <w:tcPr>
            <w:tcW w:w="2093" w:type="pct"/>
            <w:noWrap/>
          </w:tcPr>
          <w:p w14:paraId="6AD064ED" w14:textId="38F925D4" w:rsidR="005F576C" w:rsidRPr="000665B0" w:rsidRDefault="005F576C" w:rsidP="008D4947">
            <w:pPr>
              <w:spacing w:before="40" w:after="40" w:line="240" w:lineRule="auto"/>
              <w:rPr>
                <w:sz w:val="20"/>
              </w:rPr>
            </w:pPr>
            <w:r w:rsidRPr="000665B0">
              <w:rPr>
                <w:sz w:val="20"/>
              </w:rPr>
              <w:t>Unused</w:t>
            </w:r>
            <w:r w:rsidR="00081337" w:rsidRPr="000665B0">
              <w:rPr>
                <w:sz w:val="20"/>
              </w:rPr>
              <w:t>.</w:t>
            </w:r>
            <w:r w:rsidR="001E2CB6" w:rsidRPr="000665B0">
              <w:rPr>
                <w:szCs w:val="24"/>
              </w:rPr>
              <w:t xml:space="preserve"> </w:t>
            </w:r>
          </w:p>
        </w:tc>
      </w:tr>
      <w:tr w:rsidR="007D72B2" w:rsidRPr="000665B0" w14:paraId="5DF5F81D" w14:textId="77777777" w:rsidTr="007D72B2">
        <w:trPr>
          <w:cantSplit/>
          <w:trHeight w:val="255"/>
        </w:trPr>
        <w:tc>
          <w:tcPr>
            <w:tcW w:w="376" w:type="pct"/>
            <w:noWrap/>
          </w:tcPr>
          <w:p w14:paraId="7E5C0669" w14:textId="77777777" w:rsidR="005F576C" w:rsidRPr="000665B0" w:rsidRDefault="005F576C" w:rsidP="005F1DFB">
            <w:pPr>
              <w:spacing w:before="40" w:after="40" w:line="240" w:lineRule="auto"/>
              <w:jc w:val="center"/>
              <w:rPr>
                <w:sz w:val="20"/>
              </w:rPr>
            </w:pPr>
            <w:r w:rsidRPr="000665B0">
              <w:rPr>
                <w:sz w:val="20"/>
              </w:rPr>
              <w:t>9</w:t>
            </w:r>
          </w:p>
        </w:tc>
        <w:tc>
          <w:tcPr>
            <w:tcW w:w="787" w:type="pct"/>
            <w:noWrap/>
          </w:tcPr>
          <w:p w14:paraId="2B6EF510" w14:textId="77777777" w:rsidR="005F576C" w:rsidRPr="000665B0" w:rsidRDefault="005F576C" w:rsidP="00F85F07">
            <w:pPr>
              <w:spacing w:before="40" w:after="40" w:line="240" w:lineRule="auto"/>
              <w:rPr>
                <w:sz w:val="20"/>
              </w:rPr>
            </w:pPr>
            <w:r w:rsidRPr="000665B0">
              <w:rPr>
                <w:sz w:val="20"/>
              </w:rPr>
              <w:t>Error initializing Help</w:t>
            </w:r>
          </w:p>
        </w:tc>
        <w:tc>
          <w:tcPr>
            <w:tcW w:w="1744" w:type="pct"/>
            <w:noWrap/>
          </w:tcPr>
          <w:p w14:paraId="5ABC37A9" w14:textId="6EBA661C" w:rsidR="005F576C" w:rsidRPr="000665B0" w:rsidRDefault="005F576C" w:rsidP="007E135D">
            <w:pPr>
              <w:spacing w:before="40" w:after="40" w:line="240" w:lineRule="auto"/>
              <w:rPr>
                <w:sz w:val="20"/>
              </w:rPr>
            </w:pPr>
            <w:r w:rsidRPr="000665B0">
              <w:rPr>
                <w:sz w:val="20"/>
              </w:rPr>
              <w:t>The HELP file (“Appendix N</w:t>
            </w:r>
            <w:r w:rsidR="007E135D" w:rsidRPr="000665B0">
              <w:rPr>
                <w:sz w:val="20"/>
              </w:rPr>
              <w:t>.</w:t>
            </w:r>
            <w:r w:rsidRPr="000665B0">
              <w:rPr>
                <w:sz w:val="20"/>
              </w:rPr>
              <w:t xml:space="preserve">chm”) could not be </w:t>
            </w:r>
            <w:r w:rsidR="00D24B5E" w:rsidRPr="000665B0">
              <w:rPr>
                <w:sz w:val="20"/>
              </w:rPr>
              <w:t>found or</w:t>
            </w:r>
            <w:r w:rsidRPr="000665B0">
              <w:rPr>
                <w:sz w:val="20"/>
              </w:rPr>
              <w:t xml:space="preserve"> failed to open.</w:t>
            </w:r>
          </w:p>
        </w:tc>
        <w:tc>
          <w:tcPr>
            <w:tcW w:w="2093" w:type="pct"/>
            <w:noWrap/>
          </w:tcPr>
          <w:p w14:paraId="01B027DD" w14:textId="77777777" w:rsidR="005F576C" w:rsidRPr="000665B0" w:rsidRDefault="005F576C" w:rsidP="005F1DFB">
            <w:pPr>
              <w:spacing w:before="40" w:after="40" w:line="240" w:lineRule="auto"/>
              <w:rPr>
                <w:sz w:val="20"/>
              </w:rPr>
            </w:pPr>
            <w:r w:rsidRPr="000665B0">
              <w:rPr>
                <w:sz w:val="20"/>
              </w:rPr>
              <w:t>Verify “Appendix N.chm” is present in C:\Program Files\ComGlobal Systems\MDS</w:t>
            </w:r>
            <w:r w:rsidR="00825C9C" w:rsidRPr="000665B0">
              <w:rPr>
                <w:sz w:val="20"/>
              </w:rPr>
              <w:t>.</w:t>
            </w:r>
          </w:p>
        </w:tc>
      </w:tr>
      <w:tr w:rsidR="007D72B2" w:rsidRPr="000665B0" w14:paraId="3B002395" w14:textId="77777777" w:rsidTr="007D72B2">
        <w:trPr>
          <w:cantSplit/>
          <w:trHeight w:val="255"/>
        </w:trPr>
        <w:tc>
          <w:tcPr>
            <w:tcW w:w="376" w:type="pct"/>
            <w:noWrap/>
          </w:tcPr>
          <w:p w14:paraId="403C5E88" w14:textId="77777777" w:rsidR="005F576C" w:rsidRPr="000665B0" w:rsidRDefault="005F576C" w:rsidP="005F1DFB">
            <w:pPr>
              <w:spacing w:before="40" w:after="40" w:line="240" w:lineRule="auto"/>
              <w:jc w:val="center"/>
              <w:rPr>
                <w:sz w:val="20"/>
              </w:rPr>
            </w:pPr>
            <w:r w:rsidRPr="000665B0">
              <w:rPr>
                <w:sz w:val="20"/>
              </w:rPr>
              <w:t>10</w:t>
            </w:r>
          </w:p>
        </w:tc>
        <w:tc>
          <w:tcPr>
            <w:tcW w:w="787" w:type="pct"/>
            <w:noWrap/>
          </w:tcPr>
          <w:p w14:paraId="67036AC2" w14:textId="77777777" w:rsidR="005F576C" w:rsidRPr="000665B0" w:rsidRDefault="005F576C" w:rsidP="00F85F07">
            <w:pPr>
              <w:spacing w:before="40" w:after="40" w:line="240" w:lineRule="auto"/>
              <w:rPr>
                <w:sz w:val="20"/>
              </w:rPr>
            </w:pPr>
            <w:r w:rsidRPr="000665B0">
              <w:rPr>
                <w:sz w:val="20"/>
              </w:rPr>
              <w:t>Failed to delete CAB file ({0})</w:t>
            </w:r>
          </w:p>
        </w:tc>
        <w:tc>
          <w:tcPr>
            <w:tcW w:w="1744" w:type="pct"/>
            <w:noWrap/>
          </w:tcPr>
          <w:p w14:paraId="09238F23" w14:textId="77777777" w:rsidR="005F576C" w:rsidRPr="000665B0" w:rsidRDefault="00A821D9" w:rsidP="005F1DFB">
            <w:pPr>
              <w:spacing w:before="40" w:after="40" w:line="240" w:lineRule="auto"/>
              <w:rPr>
                <w:sz w:val="20"/>
              </w:rPr>
            </w:pPr>
            <w:r w:rsidRPr="000665B0">
              <w:rPr>
                <w:sz w:val="20"/>
              </w:rPr>
              <w:t>Distribution Service</w:t>
            </w:r>
            <w:r w:rsidRPr="000665B0" w:rsidDel="00A821D9">
              <w:rPr>
                <w:sz w:val="20"/>
              </w:rPr>
              <w:t xml:space="preserve"> </w:t>
            </w:r>
            <w:r w:rsidR="005F576C" w:rsidRPr="000665B0">
              <w:rPr>
                <w:sz w:val="20"/>
              </w:rPr>
              <w:t>is wasting some disk space, otherwise this error is benign.</w:t>
            </w:r>
          </w:p>
        </w:tc>
        <w:tc>
          <w:tcPr>
            <w:tcW w:w="2093" w:type="pct"/>
            <w:noWrap/>
          </w:tcPr>
          <w:p w14:paraId="3436F274" w14:textId="77777777" w:rsidR="005F576C" w:rsidRPr="000665B0" w:rsidRDefault="007E135D" w:rsidP="005F1DFB">
            <w:pPr>
              <w:spacing w:before="40" w:after="40" w:line="240" w:lineRule="auto"/>
              <w:rPr>
                <w:sz w:val="20"/>
              </w:rPr>
            </w:pPr>
            <w:r w:rsidRPr="000665B0">
              <w:rPr>
                <w:sz w:val="20"/>
              </w:rPr>
              <w:t>None</w:t>
            </w:r>
            <w:r w:rsidR="005F576C" w:rsidRPr="000665B0">
              <w:rPr>
                <w:sz w:val="20"/>
              </w:rPr>
              <w:t>.</w:t>
            </w:r>
          </w:p>
        </w:tc>
      </w:tr>
      <w:tr w:rsidR="007D72B2" w:rsidRPr="000665B0" w14:paraId="1735155F" w14:textId="77777777" w:rsidTr="007D72B2">
        <w:trPr>
          <w:cantSplit/>
          <w:trHeight w:val="255"/>
        </w:trPr>
        <w:tc>
          <w:tcPr>
            <w:tcW w:w="376" w:type="pct"/>
            <w:noWrap/>
          </w:tcPr>
          <w:p w14:paraId="0F61E3FF" w14:textId="77777777" w:rsidR="005F576C" w:rsidRPr="000665B0" w:rsidRDefault="005F576C" w:rsidP="005F1DFB">
            <w:pPr>
              <w:spacing w:before="40" w:after="40" w:line="240" w:lineRule="auto"/>
              <w:jc w:val="center"/>
              <w:rPr>
                <w:sz w:val="20"/>
              </w:rPr>
            </w:pPr>
            <w:r w:rsidRPr="000665B0">
              <w:rPr>
                <w:sz w:val="20"/>
              </w:rPr>
              <w:t>11</w:t>
            </w:r>
          </w:p>
        </w:tc>
        <w:tc>
          <w:tcPr>
            <w:tcW w:w="787" w:type="pct"/>
            <w:noWrap/>
          </w:tcPr>
          <w:p w14:paraId="39747173" w14:textId="77777777" w:rsidR="005F576C" w:rsidRPr="000665B0" w:rsidRDefault="005F576C" w:rsidP="00F85F07">
            <w:pPr>
              <w:spacing w:before="40" w:after="40" w:line="240" w:lineRule="auto"/>
              <w:rPr>
                <w:sz w:val="20"/>
              </w:rPr>
            </w:pPr>
            <w:r w:rsidRPr="000665B0">
              <w:rPr>
                <w:sz w:val="20"/>
              </w:rPr>
              <w:t>Failed to inflate file ({0}) from CAB ({1})</w:t>
            </w:r>
          </w:p>
        </w:tc>
        <w:tc>
          <w:tcPr>
            <w:tcW w:w="1744" w:type="pct"/>
            <w:noWrap/>
          </w:tcPr>
          <w:p w14:paraId="43310B04" w14:textId="77777777" w:rsidR="005F576C" w:rsidRPr="000665B0" w:rsidRDefault="005F576C" w:rsidP="005F1DFB">
            <w:pPr>
              <w:spacing w:before="40" w:after="40" w:line="240" w:lineRule="auto"/>
              <w:rPr>
                <w:sz w:val="20"/>
              </w:rPr>
            </w:pPr>
            <w:r w:rsidRPr="000665B0">
              <w:rPr>
                <w:sz w:val="20"/>
              </w:rPr>
              <w:t>“Inflation” is the term used by the zlib compression library for decompressing a file back out to full-size. Files in MDS-MDS DDOs are zlib deflated within a CAB file.</w:t>
            </w:r>
          </w:p>
        </w:tc>
        <w:tc>
          <w:tcPr>
            <w:tcW w:w="2093" w:type="pct"/>
            <w:noWrap/>
          </w:tcPr>
          <w:p w14:paraId="4B8061CF" w14:textId="77777777" w:rsidR="005F576C" w:rsidRPr="000665B0" w:rsidRDefault="005F576C" w:rsidP="005F1DFB">
            <w:pPr>
              <w:spacing w:before="40" w:after="40" w:line="240" w:lineRule="auto"/>
              <w:rPr>
                <w:sz w:val="20"/>
              </w:rPr>
            </w:pPr>
            <w:r w:rsidRPr="000665B0">
              <w:rPr>
                <w:sz w:val="20"/>
              </w:rPr>
              <w:t>Ask the sender of the DDO to re-send</w:t>
            </w:r>
            <w:r w:rsidR="00825C9C" w:rsidRPr="000665B0">
              <w:rPr>
                <w:sz w:val="20"/>
              </w:rPr>
              <w:t>.</w:t>
            </w:r>
          </w:p>
        </w:tc>
      </w:tr>
      <w:tr w:rsidR="007D72B2" w:rsidRPr="000665B0" w14:paraId="475CFF97" w14:textId="77777777" w:rsidTr="007D72B2">
        <w:trPr>
          <w:cantSplit/>
          <w:trHeight w:val="255"/>
        </w:trPr>
        <w:tc>
          <w:tcPr>
            <w:tcW w:w="376" w:type="pct"/>
            <w:noWrap/>
          </w:tcPr>
          <w:p w14:paraId="6A81A8D0" w14:textId="77777777" w:rsidR="005F576C" w:rsidRPr="000665B0" w:rsidRDefault="005F576C" w:rsidP="005F1DFB">
            <w:pPr>
              <w:spacing w:before="40" w:after="40" w:line="240" w:lineRule="auto"/>
              <w:jc w:val="center"/>
              <w:rPr>
                <w:sz w:val="20"/>
              </w:rPr>
            </w:pPr>
            <w:r w:rsidRPr="000665B0">
              <w:rPr>
                <w:sz w:val="20"/>
              </w:rPr>
              <w:t>12</w:t>
            </w:r>
          </w:p>
        </w:tc>
        <w:tc>
          <w:tcPr>
            <w:tcW w:w="787" w:type="pct"/>
            <w:noWrap/>
          </w:tcPr>
          <w:p w14:paraId="0B362276" w14:textId="77777777" w:rsidR="005F576C" w:rsidRPr="000665B0" w:rsidRDefault="005F576C" w:rsidP="00F85F07">
            <w:pPr>
              <w:spacing w:before="40" w:after="40" w:line="240" w:lineRule="auto"/>
              <w:rPr>
                <w:sz w:val="20"/>
              </w:rPr>
            </w:pPr>
            <w:r w:rsidRPr="000665B0">
              <w:rPr>
                <w:sz w:val="20"/>
              </w:rPr>
              <w:t>Failed to delete file ({0}) from CAB ({1})</w:t>
            </w:r>
          </w:p>
        </w:tc>
        <w:tc>
          <w:tcPr>
            <w:tcW w:w="1744" w:type="pct"/>
            <w:noWrap/>
          </w:tcPr>
          <w:p w14:paraId="36D4B5C0" w14:textId="77777777" w:rsidR="005F576C" w:rsidRPr="000665B0" w:rsidRDefault="005F576C" w:rsidP="005F1DFB">
            <w:pPr>
              <w:spacing w:before="40" w:after="40" w:line="240" w:lineRule="auto"/>
              <w:rPr>
                <w:sz w:val="20"/>
              </w:rPr>
            </w:pPr>
            <w:r w:rsidRPr="000665B0">
              <w:rPr>
                <w:sz w:val="20"/>
              </w:rPr>
              <w:t>After storage in the database, inflated files are deleted from the temp directory.</w:t>
            </w:r>
          </w:p>
        </w:tc>
        <w:tc>
          <w:tcPr>
            <w:tcW w:w="2093" w:type="pct"/>
            <w:noWrap/>
          </w:tcPr>
          <w:p w14:paraId="194D5906" w14:textId="77777777" w:rsidR="005F576C" w:rsidRPr="000665B0" w:rsidRDefault="005F576C" w:rsidP="005F1DFB">
            <w:pPr>
              <w:spacing w:before="40" w:after="40" w:line="240" w:lineRule="auto"/>
              <w:rPr>
                <w:sz w:val="20"/>
              </w:rPr>
            </w:pPr>
            <w:r w:rsidRPr="000665B0">
              <w:rPr>
                <w:sz w:val="20"/>
              </w:rPr>
              <w:t>Ask the sender of the DDO to re-send</w:t>
            </w:r>
            <w:r w:rsidR="00825C9C" w:rsidRPr="000665B0">
              <w:rPr>
                <w:sz w:val="20"/>
              </w:rPr>
              <w:t>.</w:t>
            </w:r>
          </w:p>
        </w:tc>
      </w:tr>
      <w:tr w:rsidR="007D72B2" w:rsidRPr="000665B0" w14:paraId="761F5763" w14:textId="77777777" w:rsidTr="007D72B2">
        <w:trPr>
          <w:cantSplit/>
          <w:trHeight w:val="255"/>
        </w:trPr>
        <w:tc>
          <w:tcPr>
            <w:tcW w:w="376" w:type="pct"/>
            <w:noWrap/>
          </w:tcPr>
          <w:p w14:paraId="55C61779" w14:textId="77777777" w:rsidR="005F576C" w:rsidRPr="000665B0" w:rsidRDefault="005F576C" w:rsidP="005F1DFB">
            <w:pPr>
              <w:spacing w:before="40" w:after="40" w:line="240" w:lineRule="auto"/>
              <w:jc w:val="center"/>
              <w:rPr>
                <w:sz w:val="20"/>
              </w:rPr>
            </w:pPr>
            <w:r w:rsidRPr="000665B0">
              <w:rPr>
                <w:sz w:val="20"/>
              </w:rPr>
              <w:t>13</w:t>
            </w:r>
            <w:r w:rsidR="00325084" w:rsidRPr="000665B0">
              <w:rPr>
                <w:sz w:val="20"/>
              </w:rPr>
              <w:t>-14</w:t>
            </w:r>
          </w:p>
        </w:tc>
        <w:tc>
          <w:tcPr>
            <w:tcW w:w="787" w:type="pct"/>
            <w:noWrap/>
          </w:tcPr>
          <w:p w14:paraId="2B7F7212" w14:textId="77777777" w:rsidR="005F576C" w:rsidRPr="000665B0" w:rsidRDefault="005F576C" w:rsidP="005F1DFB">
            <w:pPr>
              <w:spacing w:before="40" w:after="40" w:line="240" w:lineRule="auto"/>
              <w:rPr>
                <w:sz w:val="20"/>
              </w:rPr>
            </w:pPr>
            <w:r w:rsidRPr="000665B0">
              <w:rPr>
                <w:sz w:val="20"/>
              </w:rPr>
              <w:t>Removed</w:t>
            </w:r>
            <w:r w:rsidR="00825C9C" w:rsidRPr="000665B0">
              <w:rPr>
                <w:sz w:val="20"/>
              </w:rPr>
              <w:t>.</w:t>
            </w:r>
          </w:p>
        </w:tc>
        <w:tc>
          <w:tcPr>
            <w:tcW w:w="1744" w:type="pct"/>
            <w:noWrap/>
          </w:tcPr>
          <w:p w14:paraId="5347F2B5" w14:textId="77777777" w:rsidR="005F576C" w:rsidRPr="000665B0" w:rsidRDefault="005F576C" w:rsidP="005F1DFB">
            <w:pPr>
              <w:spacing w:before="40" w:after="40" w:line="240" w:lineRule="auto"/>
              <w:rPr>
                <w:sz w:val="20"/>
              </w:rPr>
            </w:pPr>
            <w:r w:rsidRPr="000665B0">
              <w:rPr>
                <w:sz w:val="20"/>
              </w:rPr>
              <w:t>Removed</w:t>
            </w:r>
            <w:r w:rsidR="00825C9C" w:rsidRPr="000665B0">
              <w:rPr>
                <w:sz w:val="20"/>
              </w:rPr>
              <w:t>.</w:t>
            </w:r>
          </w:p>
        </w:tc>
        <w:tc>
          <w:tcPr>
            <w:tcW w:w="2093" w:type="pct"/>
            <w:noWrap/>
          </w:tcPr>
          <w:p w14:paraId="0A36DF40" w14:textId="77777777" w:rsidR="005F576C" w:rsidRPr="000665B0" w:rsidRDefault="005F576C" w:rsidP="005F1DFB">
            <w:pPr>
              <w:spacing w:before="40" w:after="40" w:line="240" w:lineRule="auto"/>
              <w:rPr>
                <w:sz w:val="20"/>
              </w:rPr>
            </w:pPr>
            <w:r w:rsidRPr="000665B0">
              <w:rPr>
                <w:sz w:val="20"/>
              </w:rPr>
              <w:t>Removed</w:t>
            </w:r>
            <w:r w:rsidR="00825C9C" w:rsidRPr="000665B0">
              <w:rPr>
                <w:sz w:val="20"/>
              </w:rPr>
              <w:t>.</w:t>
            </w:r>
          </w:p>
        </w:tc>
      </w:tr>
      <w:tr w:rsidR="007D72B2" w:rsidRPr="000665B0" w14:paraId="42AB8955" w14:textId="77777777" w:rsidTr="007D72B2">
        <w:trPr>
          <w:cantSplit/>
          <w:trHeight w:val="255"/>
        </w:trPr>
        <w:tc>
          <w:tcPr>
            <w:tcW w:w="376" w:type="pct"/>
            <w:noWrap/>
          </w:tcPr>
          <w:p w14:paraId="2B687990" w14:textId="77777777" w:rsidR="005F576C" w:rsidRPr="000665B0" w:rsidRDefault="005F576C" w:rsidP="005F1DFB">
            <w:pPr>
              <w:spacing w:before="40" w:after="40" w:line="240" w:lineRule="auto"/>
              <w:jc w:val="center"/>
              <w:rPr>
                <w:sz w:val="20"/>
              </w:rPr>
            </w:pPr>
            <w:r w:rsidRPr="000665B0">
              <w:rPr>
                <w:sz w:val="20"/>
              </w:rPr>
              <w:t>15</w:t>
            </w:r>
          </w:p>
        </w:tc>
        <w:tc>
          <w:tcPr>
            <w:tcW w:w="787" w:type="pct"/>
            <w:noWrap/>
          </w:tcPr>
          <w:p w14:paraId="620C41E2" w14:textId="77777777" w:rsidR="005F576C" w:rsidRPr="000665B0" w:rsidRDefault="005F576C" w:rsidP="00F85F07">
            <w:pPr>
              <w:spacing w:before="40" w:after="40" w:line="240" w:lineRule="auto"/>
              <w:rPr>
                <w:sz w:val="20"/>
              </w:rPr>
            </w:pPr>
            <w:r w:rsidRPr="000665B0">
              <w:rPr>
                <w:sz w:val="20"/>
              </w:rPr>
              <w:t>Error generating DDO from FDU message</w:t>
            </w:r>
          </w:p>
        </w:tc>
        <w:tc>
          <w:tcPr>
            <w:tcW w:w="1744" w:type="pct"/>
            <w:noWrap/>
          </w:tcPr>
          <w:p w14:paraId="0B485A44" w14:textId="77777777" w:rsidR="005F576C" w:rsidRPr="000665B0" w:rsidRDefault="005F576C" w:rsidP="005F1DFB">
            <w:pPr>
              <w:spacing w:before="40" w:after="40" w:line="240" w:lineRule="auto"/>
              <w:rPr>
                <w:sz w:val="20"/>
              </w:rPr>
            </w:pPr>
            <w:r w:rsidRPr="000665B0">
              <w:rPr>
                <w:sz w:val="20"/>
              </w:rPr>
              <w:t>Unused</w:t>
            </w:r>
            <w:r w:rsidR="00825C9C" w:rsidRPr="000665B0">
              <w:rPr>
                <w:sz w:val="20"/>
              </w:rPr>
              <w:t>.</w:t>
            </w:r>
          </w:p>
        </w:tc>
        <w:tc>
          <w:tcPr>
            <w:tcW w:w="2093" w:type="pct"/>
            <w:noWrap/>
          </w:tcPr>
          <w:p w14:paraId="71BB8A0A" w14:textId="77777777" w:rsidR="005F576C" w:rsidRPr="000665B0" w:rsidRDefault="005F576C" w:rsidP="005F1DFB">
            <w:pPr>
              <w:spacing w:before="40" w:after="40" w:line="240" w:lineRule="auto"/>
              <w:rPr>
                <w:sz w:val="20"/>
              </w:rPr>
            </w:pPr>
            <w:r w:rsidRPr="000665B0">
              <w:rPr>
                <w:sz w:val="20"/>
              </w:rPr>
              <w:t>Unused</w:t>
            </w:r>
            <w:r w:rsidR="00825C9C" w:rsidRPr="000665B0">
              <w:rPr>
                <w:sz w:val="20"/>
              </w:rPr>
              <w:t>.</w:t>
            </w:r>
          </w:p>
        </w:tc>
      </w:tr>
      <w:tr w:rsidR="00D0292E" w:rsidRPr="000665B0" w14:paraId="7BF159A8" w14:textId="77777777" w:rsidTr="007D72B2">
        <w:trPr>
          <w:cantSplit/>
          <w:trHeight w:val="255"/>
        </w:trPr>
        <w:tc>
          <w:tcPr>
            <w:tcW w:w="376" w:type="pct"/>
            <w:noWrap/>
          </w:tcPr>
          <w:p w14:paraId="49C06AB4" w14:textId="77777777" w:rsidR="00D0292E" w:rsidRPr="000665B0" w:rsidRDefault="00D0292E" w:rsidP="005F1DFB">
            <w:pPr>
              <w:spacing w:before="40" w:after="40" w:line="240" w:lineRule="auto"/>
              <w:jc w:val="center"/>
              <w:rPr>
                <w:sz w:val="20"/>
              </w:rPr>
            </w:pPr>
            <w:r w:rsidRPr="000665B0">
              <w:rPr>
                <w:sz w:val="20"/>
              </w:rPr>
              <w:t>16</w:t>
            </w:r>
            <w:r w:rsidR="00325084" w:rsidRPr="000665B0">
              <w:rPr>
                <w:sz w:val="20"/>
              </w:rPr>
              <w:t>-18</w:t>
            </w:r>
          </w:p>
        </w:tc>
        <w:tc>
          <w:tcPr>
            <w:tcW w:w="787" w:type="pct"/>
            <w:noWrap/>
          </w:tcPr>
          <w:p w14:paraId="75CA59A6" w14:textId="77777777" w:rsidR="00D0292E" w:rsidRPr="000665B0" w:rsidRDefault="00D0292E" w:rsidP="00F85F07">
            <w:pPr>
              <w:spacing w:before="40" w:after="40" w:line="240" w:lineRule="auto"/>
              <w:rPr>
                <w:sz w:val="20"/>
              </w:rPr>
            </w:pPr>
            <w:r w:rsidRPr="000665B0">
              <w:rPr>
                <w:sz w:val="20"/>
              </w:rPr>
              <w:t>Removed.</w:t>
            </w:r>
          </w:p>
        </w:tc>
        <w:tc>
          <w:tcPr>
            <w:tcW w:w="1744" w:type="pct"/>
            <w:noWrap/>
          </w:tcPr>
          <w:p w14:paraId="6EDE2279" w14:textId="77777777" w:rsidR="00D0292E" w:rsidRPr="000665B0" w:rsidRDefault="00D0292E" w:rsidP="005F1DFB">
            <w:pPr>
              <w:spacing w:before="40" w:after="40" w:line="240" w:lineRule="auto"/>
              <w:rPr>
                <w:sz w:val="20"/>
              </w:rPr>
            </w:pPr>
            <w:r w:rsidRPr="000665B0">
              <w:rPr>
                <w:sz w:val="20"/>
              </w:rPr>
              <w:t>Removed.</w:t>
            </w:r>
          </w:p>
        </w:tc>
        <w:tc>
          <w:tcPr>
            <w:tcW w:w="2093" w:type="pct"/>
            <w:noWrap/>
          </w:tcPr>
          <w:p w14:paraId="5ADD6ED2" w14:textId="77777777" w:rsidR="00D0292E" w:rsidRPr="000665B0" w:rsidRDefault="00D0292E" w:rsidP="005F1DFB">
            <w:pPr>
              <w:spacing w:before="40" w:after="40" w:line="240" w:lineRule="auto"/>
              <w:rPr>
                <w:sz w:val="20"/>
              </w:rPr>
            </w:pPr>
            <w:r w:rsidRPr="000665B0">
              <w:rPr>
                <w:sz w:val="20"/>
              </w:rPr>
              <w:t>Removed.</w:t>
            </w:r>
          </w:p>
        </w:tc>
      </w:tr>
      <w:tr w:rsidR="007D72B2" w:rsidRPr="000665B0" w14:paraId="1A66D7D1" w14:textId="77777777" w:rsidTr="007D72B2">
        <w:trPr>
          <w:cantSplit/>
          <w:trHeight w:val="255"/>
        </w:trPr>
        <w:tc>
          <w:tcPr>
            <w:tcW w:w="376" w:type="pct"/>
            <w:noWrap/>
          </w:tcPr>
          <w:p w14:paraId="75098D65" w14:textId="77777777" w:rsidR="005F576C" w:rsidRPr="000665B0" w:rsidRDefault="005F576C" w:rsidP="005F1DFB">
            <w:pPr>
              <w:spacing w:before="40" w:after="40" w:line="240" w:lineRule="auto"/>
              <w:jc w:val="center"/>
              <w:rPr>
                <w:sz w:val="20"/>
              </w:rPr>
            </w:pPr>
            <w:r w:rsidRPr="000665B0">
              <w:rPr>
                <w:sz w:val="20"/>
              </w:rPr>
              <w:t>19</w:t>
            </w:r>
          </w:p>
        </w:tc>
        <w:tc>
          <w:tcPr>
            <w:tcW w:w="787" w:type="pct"/>
            <w:noWrap/>
          </w:tcPr>
          <w:p w14:paraId="0A825634" w14:textId="77777777" w:rsidR="005F576C" w:rsidRPr="000665B0" w:rsidRDefault="005F576C" w:rsidP="00F85F07">
            <w:pPr>
              <w:spacing w:before="40" w:after="40" w:line="240" w:lineRule="auto"/>
              <w:rPr>
                <w:sz w:val="20"/>
              </w:rPr>
            </w:pPr>
            <w:r w:rsidRPr="000665B0">
              <w:rPr>
                <w:sz w:val="20"/>
              </w:rPr>
              <w:t>Error getting LINT status from agent</w:t>
            </w:r>
          </w:p>
        </w:tc>
        <w:tc>
          <w:tcPr>
            <w:tcW w:w="1744" w:type="pct"/>
            <w:noWrap/>
          </w:tcPr>
          <w:p w14:paraId="4531BBC4" w14:textId="77777777" w:rsidR="005F576C" w:rsidRPr="000665B0" w:rsidRDefault="005F576C" w:rsidP="006D5A65">
            <w:pPr>
              <w:pStyle w:val="Heading1"/>
            </w:pPr>
            <w:r w:rsidRPr="000665B0">
              <w:t>This failure could keep MDS from testing comms to node(s)</w:t>
            </w:r>
            <w:r w:rsidR="00825C9C" w:rsidRPr="000665B0">
              <w:t>.</w:t>
            </w:r>
          </w:p>
          <w:p w14:paraId="1FFD34DB" w14:textId="77777777" w:rsidR="005F576C" w:rsidRPr="000665B0" w:rsidRDefault="005F576C" w:rsidP="006D5A65">
            <w:pPr>
              <w:pStyle w:val="Heading1"/>
            </w:pPr>
            <w:r w:rsidRPr="000665B0">
              <w:t xml:space="preserve">This failure could keep </w:t>
            </w:r>
            <w:r w:rsidR="005F343C" w:rsidRPr="000665B0">
              <w:t xml:space="preserve">Distribution </w:t>
            </w:r>
            <w:r w:rsidRPr="000665B0">
              <w:t>Monitor from showing the correct LINT status</w:t>
            </w:r>
            <w:r w:rsidR="00825C9C" w:rsidRPr="000665B0">
              <w:t>.</w:t>
            </w:r>
          </w:p>
        </w:tc>
        <w:tc>
          <w:tcPr>
            <w:tcW w:w="2093" w:type="pct"/>
            <w:noWrap/>
          </w:tcPr>
          <w:p w14:paraId="4FE1898D" w14:textId="77777777" w:rsidR="005F576C" w:rsidRPr="000665B0" w:rsidRDefault="005F576C" w:rsidP="005F1DFB">
            <w:pPr>
              <w:spacing w:before="40" w:after="40" w:line="240" w:lineRule="auto"/>
              <w:rPr>
                <w:sz w:val="20"/>
              </w:rPr>
            </w:pPr>
            <w:r w:rsidRPr="000665B0">
              <w:rPr>
                <w:sz w:val="20"/>
              </w:rPr>
              <w:t>Reboot the PC</w:t>
            </w:r>
            <w:r w:rsidR="00825C9C" w:rsidRPr="000665B0">
              <w:rPr>
                <w:sz w:val="20"/>
              </w:rPr>
              <w:t>.</w:t>
            </w:r>
          </w:p>
        </w:tc>
      </w:tr>
      <w:tr w:rsidR="00D0292E" w:rsidRPr="000665B0" w14:paraId="619530F0" w14:textId="77777777" w:rsidTr="007D72B2">
        <w:trPr>
          <w:cantSplit/>
          <w:trHeight w:val="255"/>
        </w:trPr>
        <w:tc>
          <w:tcPr>
            <w:tcW w:w="376" w:type="pct"/>
            <w:noWrap/>
          </w:tcPr>
          <w:p w14:paraId="76722E7C" w14:textId="77777777" w:rsidR="00D0292E" w:rsidRPr="000665B0" w:rsidRDefault="00D0292E" w:rsidP="005F1DFB">
            <w:pPr>
              <w:spacing w:before="40" w:after="40" w:line="240" w:lineRule="auto"/>
              <w:jc w:val="center"/>
              <w:rPr>
                <w:sz w:val="20"/>
              </w:rPr>
            </w:pPr>
            <w:r w:rsidRPr="000665B0">
              <w:rPr>
                <w:sz w:val="20"/>
              </w:rPr>
              <w:t>20-26</w:t>
            </w:r>
          </w:p>
        </w:tc>
        <w:tc>
          <w:tcPr>
            <w:tcW w:w="787" w:type="pct"/>
            <w:noWrap/>
          </w:tcPr>
          <w:p w14:paraId="156E48C8" w14:textId="77777777" w:rsidR="00D0292E" w:rsidRPr="000665B0" w:rsidRDefault="00D0292E" w:rsidP="00F85F07">
            <w:pPr>
              <w:spacing w:before="40" w:after="40" w:line="240" w:lineRule="auto"/>
              <w:rPr>
                <w:sz w:val="20"/>
              </w:rPr>
            </w:pPr>
            <w:r w:rsidRPr="000665B0">
              <w:rPr>
                <w:sz w:val="20"/>
              </w:rPr>
              <w:t>Removed.</w:t>
            </w:r>
          </w:p>
        </w:tc>
        <w:tc>
          <w:tcPr>
            <w:tcW w:w="1744" w:type="pct"/>
            <w:noWrap/>
          </w:tcPr>
          <w:p w14:paraId="42EACC57" w14:textId="77777777" w:rsidR="00D0292E" w:rsidRPr="000665B0" w:rsidRDefault="00D0292E" w:rsidP="005F1DFB">
            <w:pPr>
              <w:spacing w:before="40" w:after="40" w:line="240" w:lineRule="auto"/>
              <w:rPr>
                <w:sz w:val="20"/>
              </w:rPr>
            </w:pPr>
            <w:r w:rsidRPr="000665B0">
              <w:rPr>
                <w:sz w:val="20"/>
              </w:rPr>
              <w:t>Removed.</w:t>
            </w:r>
          </w:p>
        </w:tc>
        <w:tc>
          <w:tcPr>
            <w:tcW w:w="2093" w:type="pct"/>
            <w:noWrap/>
          </w:tcPr>
          <w:p w14:paraId="44ADFB79" w14:textId="77777777" w:rsidR="00D0292E" w:rsidRPr="000665B0" w:rsidRDefault="00D0292E" w:rsidP="00863CE3">
            <w:pPr>
              <w:spacing w:before="40" w:after="40" w:line="240" w:lineRule="auto"/>
              <w:rPr>
                <w:sz w:val="20"/>
              </w:rPr>
            </w:pPr>
            <w:r w:rsidRPr="000665B0">
              <w:rPr>
                <w:sz w:val="20"/>
              </w:rPr>
              <w:t>Removed.</w:t>
            </w:r>
          </w:p>
        </w:tc>
      </w:tr>
      <w:tr w:rsidR="007D72B2" w:rsidRPr="000665B0" w14:paraId="24827E03" w14:textId="77777777" w:rsidTr="007D72B2">
        <w:trPr>
          <w:cantSplit/>
          <w:trHeight w:val="255"/>
        </w:trPr>
        <w:tc>
          <w:tcPr>
            <w:tcW w:w="376" w:type="pct"/>
            <w:noWrap/>
          </w:tcPr>
          <w:p w14:paraId="33835B2D" w14:textId="77777777" w:rsidR="005F576C" w:rsidRPr="000665B0" w:rsidRDefault="005F576C" w:rsidP="005F1DFB">
            <w:pPr>
              <w:spacing w:before="40" w:after="40" w:line="240" w:lineRule="auto"/>
              <w:jc w:val="center"/>
              <w:rPr>
                <w:sz w:val="20"/>
              </w:rPr>
            </w:pPr>
            <w:r w:rsidRPr="000665B0">
              <w:rPr>
                <w:sz w:val="20"/>
              </w:rPr>
              <w:lastRenderedPageBreak/>
              <w:t>27</w:t>
            </w:r>
          </w:p>
        </w:tc>
        <w:tc>
          <w:tcPr>
            <w:tcW w:w="787" w:type="pct"/>
            <w:noWrap/>
          </w:tcPr>
          <w:p w14:paraId="514DAE14" w14:textId="77777777" w:rsidR="005F576C" w:rsidRPr="000665B0" w:rsidRDefault="005F576C" w:rsidP="00F85F07">
            <w:pPr>
              <w:spacing w:before="40" w:after="40" w:line="240" w:lineRule="auto"/>
              <w:rPr>
                <w:sz w:val="20"/>
              </w:rPr>
            </w:pPr>
            <w:r w:rsidRPr="000665B0">
              <w:rPr>
                <w:sz w:val="20"/>
              </w:rPr>
              <w:t>LINT has rejected message '{0}' because {1}</w:t>
            </w:r>
          </w:p>
        </w:tc>
        <w:tc>
          <w:tcPr>
            <w:tcW w:w="1744" w:type="pct"/>
            <w:noWrap/>
          </w:tcPr>
          <w:p w14:paraId="2C1C2237" w14:textId="77777777" w:rsidR="005F576C" w:rsidRPr="000665B0" w:rsidRDefault="005F576C" w:rsidP="005F1DFB">
            <w:pPr>
              <w:spacing w:before="40" w:after="40" w:line="240" w:lineRule="auto"/>
              <w:rPr>
                <w:sz w:val="20"/>
              </w:rPr>
            </w:pPr>
            <w:r w:rsidRPr="000665B0">
              <w:rPr>
                <w:sz w:val="20"/>
              </w:rPr>
              <w:t>LINT or V(14)</w:t>
            </w:r>
            <w:r w:rsidR="000F5178" w:rsidRPr="000665B0">
              <w:rPr>
                <w:sz w:val="20"/>
              </w:rPr>
              <w:t xml:space="preserve"> </w:t>
            </w:r>
            <w:r w:rsidRPr="000665B0">
              <w:rPr>
                <w:sz w:val="20"/>
              </w:rPr>
              <w:t xml:space="preserve">may reject messages for 5 reasons: </w:t>
            </w:r>
          </w:p>
          <w:p w14:paraId="4E594F80" w14:textId="77777777" w:rsidR="005F576C" w:rsidRPr="000665B0" w:rsidRDefault="005F576C" w:rsidP="005F1DFB">
            <w:pPr>
              <w:spacing w:before="40" w:after="40" w:line="240" w:lineRule="auto"/>
              <w:rPr>
                <w:sz w:val="20"/>
              </w:rPr>
            </w:pPr>
            <w:r w:rsidRPr="000665B0">
              <w:rPr>
                <w:sz w:val="20"/>
              </w:rPr>
              <w:t>1. Transmit Queue Exceeded</w:t>
            </w:r>
            <w:r w:rsidR="00825C9C" w:rsidRPr="000665B0">
              <w:rPr>
                <w:sz w:val="20"/>
              </w:rPr>
              <w:t>.</w:t>
            </w:r>
          </w:p>
          <w:p w14:paraId="534BD231" w14:textId="77777777" w:rsidR="005F576C" w:rsidRPr="000665B0" w:rsidRDefault="005F576C" w:rsidP="005F1DFB">
            <w:pPr>
              <w:spacing w:before="40" w:after="40" w:line="240" w:lineRule="auto"/>
              <w:rPr>
                <w:sz w:val="20"/>
              </w:rPr>
            </w:pPr>
            <w:r w:rsidRPr="000665B0">
              <w:rPr>
                <w:sz w:val="20"/>
              </w:rPr>
              <w:t>2. Illegal Addressee</w:t>
            </w:r>
            <w:r w:rsidR="00825C9C" w:rsidRPr="000665B0">
              <w:rPr>
                <w:sz w:val="20"/>
              </w:rPr>
              <w:t>.</w:t>
            </w:r>
          </w:p>
          <w:p w14:paraId="1ECB82D6" w14:textId="77777777" w:rsidR="005F576C" w:rsidRPr="000665B0" w:rsidRDefault="005F576C" w:rsidP="005F1DFB">
            <w:pPr>
              <w:spacing w:before="40" w:after="40" w:line="240" w:lineRule="auto"/>
              <w:rPr>
                <w:sz w:val="20"/>
              </w:rPr>
            </w:pPr>
            <w:r w:rsidRPr="000665B0">
              <w:rPr>
                <w:sz w:val="20"/>
              </w:rPr>
              <w:t>5. IXS used before SID assignment</w:t>
            </w:r>
            <w:r w:rsidR="00825C9C" w:rsidRPr="000665B0">
              <w:rPr>
                <w:sz w:val="20"/>
              </w:rPr>
              <w:t>.</w:t>
            </w:r>
          </w:p>
          <w:p w14:paraId="006707D7" w14:textId="77777777" w:rsidR="005F576C" w:rsidRPr="000665B0" w:rsidRDefault="005F576C" w:rsidP="005F1DFB">
            <w:pPr>
              <w:spacing w:before="40" w:after="40" w:line="240" w:lineRule="auto"/>
              <w:rPr>
                <w:sz w:val="20"/>
              </w:rPr>
            </w:pPr>
            <w:r w:rsidRPr="000665B0">
              <w:rPr>
                <w:sz w:val="20"/>
              </w:rPr>
              <w:t>6. TDP MSN out of range</w:t>
            </w:r>
            <w:r w:rsidR="00825C9C" w:rsidRPr="000665B0">
              <w:rPr>
                <w:sz w:val="20"/>
              </w:rPr>
              <w:t>.</w:t>
            </w:r>
          </w:p>
          <w:p w14:paraId="0BA46A26" w14:textId="77777777" w:rsidR="005F576C" w:rsidRPr="000665B0" w:rsidRDefault="005F576C" w:rsidP="005F1DFB">
            <w:pPr>
              <w:spacing w:before="40" w:after="40" w:line="240" w:lineRule="auto"/>
              <w:rPr>
                <w:sz w:val="20"/>
              </w:rPr>
            </w:pPr>
            <w:r w:rsidRPr="000665B0">
              <w:rPr>
                <w:sz w:val="20"/>
              </w:rPr>
              <w:t>7. LINK Selection invalid</w:t>
            </w:r>
            <w:r w:rsidR="00825C9C" w:rsidRPr="000665B0">
              <w:rPr>
                <w:sz w:val="20"/>
              </w:rPr>
              <w:t>.</w:t>
            </w:r>
          </w:p>
        </w:tc>
        <w:tc>
          <w:tcPr>
            <w:tcW w:w="2093" w:type="pct"/>
            <w:noWrap/>
          </w:tcPr>
          <w:p w14:paraId="3D88D945" w14:textId="77777777" w:rsidR="005F576C" w:rsidRPr="000665B0" w:rsidRDefault="005F576C" w:rsidP="005F1DFB">
            <w:pPr>
              <w:spacing w:before="40" w:after="40" w:line="240" w:lineRule="auto"/>
              <w:rPr>
                <w:sz w:val="20"/>
              </w:rPr>
            </w:pPr>
            <w:r w:rsidRPr="000665B0">
              <w:rPr>
                <w:sz w:val="20"/>
              </w:rPr>
              <w:t>Only rejection #2 should be possible with the current MDS/</w:t>
            </w:r>
            <w:r w:rsidR="00A821D9" w:rsidRPr="000665B0">
              <w:rPr>
                <w:sz w:val="20"/>
              </w:rPr>
              <w:t xml:space="preserve"> Distribution Service,</w:t>
            </w:r>
            <w:r w:rsidR="00A821D9" w:rsidRPr="000665B0" w:rsidDel="00A821D9">
              <w:rPr>
                <w:sz w:val="20"/>
              </w:rPr>
              <w:t xml:space="preserve"> </w:t>
            </w:r>
            <w:r w:rsidRPr="000665B0">
              <w:rPr>
                <w:sz w:val="20"/>
              </w:rPr>
              <w:t xml:space="preserve">and LINT builds. </w:t>
            </w:r>
          </w:p>
          <w:p w14:paraId="46040D64" w14:textId="77777777" w:rsidR="005F576C" w:rsidRPr="000665B0" w:rsidRDefault="005F576C" w:rsidP="005F1DFB">
            <w:pPr>
              <w:spacing w:before="40" w:after="40" w:line="240" w:lineRule="auto"/>
              <w:ind w:left="360"/>
              <w:rPr>
                <w:sz w:val="20"/>
              </w:rPr>
            </w:pPr>
            <w:r w:rsidRPr="000665B0">
              <w:rPr>
                <w:sz w:val="20"/>
              </w:rPr>
              <w:t>- Verify the SID address of your addressee.</w:t>
            </w:r>
          </w:p>
        </w:tc>
      </w:tr>
      <w:tr w:rsidR="007D72B2" w:rsidRPr="000665B0" w14:paraId="3023125F" w14:textId="77777777" w:rsidTr="007D72B2">
        <w:trPr>
          <w:cantSplit/>
          <w:trHeight w:val="255"/>
        </w:trPr>
        <w:tc>
          <w:tcPr>
            <w:tcW w:w="376" w:type="pct"/>
            <w:noWrap/>
          </w:tcPr>
          <w:p w14:paraId="3D28F3E9" w14:textId="77777777" w:rsidR="005F576C" w:rsidRPr="000665B0" w:rsidRDefault="005F576C" w:rsidP="005F1DFB">
            <w:pPr>
              <w:spacing w:before="40" w:after="40" w:line="240" w:lineRule="auto"/>
              <w:jc w:val="center"/>
              <w:rPr>
                <w:sz w:val="20"/>
              </w:rPr>
            </w:pPr>
            <w:r w:rsidRPr="000665B0">
              <w:rPr>
                <w:sz w:val="20"/>
              </w:rPr>
              <w:t>28</w:t>
            </w:r>
          </w:p>
        </w:tc>
        <w:tc>
          <w:tcPr>
            <w:tcW w:w="787" w:type="pct"/>
            <w:noWrap/>
          </w:tcPr>
          <w:p w14:paraId="6721FBAC" w14:textId="77777777" w:rsidR="005F576C" w:rsidRPr="000665B0" w:rsidRDefault="005F576C" w:rsidP="00F85F07">
            <w:pPr>
              <w:spacing w:before="40" w:after="40" w:line="240" w:lineRule="auto"/>
              <w:rPr>
                <w:sz w:val="20"/>
              </w:rPr>
            </w:pPr>
            <w:r w:rsidRPr="000665B0">
              <w:rPr>
                <w:sz w:val="20"/>
              </w:rPr>
              <w:t>LINT has deleted a message from SID='{0}' with a reason of '{1}'</w:t>
            </w:r>
          </w:p>
        </w:tc>
        <w:tc>
          <w:tcPr>
            <w:tcW w:w="1744" w:type="pct"/>
            <w:noWrap/>
          </w:tcPr>
          <w:p w14:paraId="1DC0E102" w14:textId="77777777" w:rsidR="005F576C" w:rsidRPr="000665B0" w:rsidRDefault="005F576C" w:rsidP="005F1DFB">
            <w:pPr>
              <w:spacing w:before="40" w:after="40" w:line="240" w:lineRule="auto"/>
              <w:rPr>
                <w:sz w:val="20"/>
              </w:rPr>
            </w:pPr>
            <w:r w:rsidRPr="000665B0">
              <w:rPr>
                <w:sz w:val="20"/>
              </w:rPr>
              <w:t>LINT or V(14)</w:t>
            </w:r>
            <w:r w:rsidR="000F5178" w:rsidRPr="000665B0">
              <w:rPr>
                <w:sz w:val="20"/>
              </w:rPr>
              <w:t xml:space="preserve"> </w:t>
            </w:r>
            <w:r w:rsidRPr="000665B0">
              <w:rPr>
                <w:sz w:val="20"/>
              </w:rPr>
              <w:t xml:space="preserve">may delete messages for 3 reasons: </w:t>
            </w:r>
          </w:p>
          <w:p w14:paraId="0B84D64F" w14:textId="77777777" w:rsidR="005F576C" w:rsidRPr="000665B0" w:rsidRDefault="005F576C" w:rsidP="005F1DFB">
            <w:pPr>
              <w:spacing w:before="40" w:after="40" w:line="240" w:lineRule="auto"/>
              <w:rPr>
                <w:sz w:val="20"/>
              </w:rPr>
            </w:pPr>
            <w:r w:rsidRPr="000665B0">
              <w:rPr>
                <w:sz w:val="20"/>
              </w:rPr>
              <w:t>0. On TDP Request</w:t>
            </w:r>
            <w:r w:rsidR="00825C9C" w:rsidRPr="000665B0">
              <w:rPr>
                <w:sz w:val="20"/>
              </w:rPr>
              <w:t>.</w:t>
            </w:r>
          </w:p>
          <w:p w14:paraId="021E3A3E" w14:textId="77777777" w:rsidR="005F576C" w:rsidRPr="000665B0" w:rsidRDefault="005F576C" w:rsidP="005F1DFB">
            <w:pPr>
              <w:spacing w:before="40" w:after="40" w:line="240" w:lineRule="auto"/>
              <w:rPr>
                <w:sz w:val="20"/>
              </w:rPr>
            </w:pPr>
            <w:r w:rsidRPr="000665B0">
              <w:rPr>
                <w:sz w:val="20"/>
              </w:rPr>
              <w:t>1. GFCP II buffer exceeded</w:t>
            </w:r>
            <w:r w:rsidR="00825C9C" w:rsidRPr="000665B0">
              <w:rPr>
                <w:sz w:val="20"/>
              </w:rPr>
              <w:t>.</w:t>
            </w:r>
          </w:p>
          <w:p w14:paraId="5CAD1013" w14:textId="77777777" w:rsidR="005F576C" w:rsidRPr="000665B0" w:rsidRDefault="005F576C" w:rsidP="005F1DFB">
            <w:pPr>
              <w:spacing w:before="40" w:after="40" w:line="240" w:lineRule="auto"/>
              <w:rPr>
                <w:sz w:val="20"/>
              </w:rPr>
            </w:pPr>
            <w:r w:rsidRPr="000665B0">
              <w:rPr>
                <w:sz w:val="20"/>
              </w:rPr>
              <w:t>3. No Routes Exist For Data</w:t>
            </w:r>
            <w:r w:rsidR="00825C9C" w:rsidRPr="000665B0">
              <w:rPr>
                <w:sz w:val="20"/>
              </w:rPr>
              <w:t>.</w:t>
            </w:r>
          </w:p>
        </w:tc>
        <w:tc>
          <w:tcPr>
            <w:tcW w:w="2093" w:type="pct"/>
            <w:noWrap/>
          </w:tcPr>
          <w:p w14:paraId="764E818B" w14:textId="77777777" w:rsidR="005F576C" w:rsidRPr="000665B0" w:rsidRDefault="005F576C" w:rsidP="005F1DFB">
            <w:pPr>
              <w:spacing w:before="40" w:after="40" w:line="240" w:lineRule="auto"/>
              <w:rPr>
                <w:sz w:val="20"/>
              </w:rPr>
            </w:pPr>
            <w:r w:rsidRPr="000665B0">
              <w:rPr>
                <w:sz w:val="20"/>
              </w:rPr>
              <w:t>Only reason #3 should be possible.</w:t>
            </w:r>
          </w:p>
          <w:p w14:paraId="3CCC9DC5" w14:textId="77777777" w:rsidR="005F576C" w:rsidRPr="000665B0" w:rsidRDefault="005F576C" w:rsidP="006D5A65">
            <w:pPr>
              <w:pStyle w:val="Heading1"/>
            </w:pPr>
            <w:r w:rsidRPr="000665B0">
              <w:t>Verify there is a route from your PC to the destination PC (or destination LINT, or radio, etc.)</w:t>
            </w:r>
            <w:r w:rsidR="00F85F07" w:rsidRPr="000665B0">
              <w:t>.</w:t>
            </w:r>
          </w:p>
          <w:p w14:paraId="10CD542E" w14:textId="7FEC3FFF" w:rsidR="005F576C" w:rsidRPr="000665B0" w:rsidRDefault="005F576C" w:rsidP="006D5A65">
            <w:pPr>
              <w:pStyle w:val="Heading1"/>
            </w:pPr>
            <w:r w:rsidRPr="000665B0">
              <w:t xml:space="preserve">This error is rare when “guard all SIDs” interfaces/routes are </w:t>
            </w:r>
            <w:r w:rsidR="00D24B5E" w:rsidRPr="000665B0">
              <w:t>used but</w:t>
            </w:r>
            <w:r w:rsidRPr="000665B0">
              <w:t xml:space="preserve"> is easy to cause with very strict routing rules.</w:t>
            </w:r>
          </w:p>
        </w:tc>
      </w:tr>
      <w:tr w:rsidR="00D0292E" w:rsidRPr="000665B0" w14:paraId="02DC10B4" w14:textId="77777777" w:rsidTr="007D72B2">
        <w:trPr>
          <w:cantSplit/>
          <w:trHeight w:val="255"/>
        </w:trPr>
        <w:tc>
          <w:tcPr>
            <w:tcW w:w="376" w:type="pct"/>
            <w:noWrap/>
          </w:tcPr>
          <w:p w14:paraId="4C84A00D" w14:textId="77777777" w:rsidR="00D0292E" w:rsidRPr="000665B0" w:rsidRDefault="00D0292E" w:rsidP="005F1DFB">
            <w:pPr>
              <w:spacing w:before="40" w:after="40" w:line="240" w:lineRule="auto"/>
              <w:jc w:val="center"/>
              <w:rPr>
                <w:sz w:val="20"/>
              </w:rPr>
            </w:pPr>
            <w:r w:rsidRPr="000665B0">
              <w:rPr>
                <w:sz w:val="20"/>
              </w:rPr>
              <w:t>29-32</w:t>
            </w:r>
          </w:p>
        </w:tc>
        <w:tc>
          <w:tcPr>
            <w:tcW w:w="787" w:type="pct"/>
            <w:noWrap/>
          </w:tcPr>
          <w:p w14:paraId="16FCEEE3" w14:textId="77777777" w:rsidR="00D0292E" w:rsidRPr="000665B0" w:rsidRDefault="00D0292E" w:rsidP="00F85F07">
            <w:pPr>
              <w:spacing w:before="40" w:after="40" w:line="240" w:lineRule="auto"/>
              <w:rPr>
                <w:sz w:val="20"/>
              </w:rPr>
            </w:pPr>
            <w:r w:rsidRPr="000665B0">
              <w:rPr>
                <w:sz w:val="20"/>
              </w:rPr>
              <w:t>Removed.</w:t>
            </w:r>
          </w:p>
        </w:tc>
        <w:tc>
          <w:tcPr>
            <w:tcW w:w="1744" w:type="pct"/>
            <w:noWrap/>
          </w:tcPr>
          <w:p w14:paraId="00653DFB" w14:textId="77777777" w:rsidR="00D0292E" w:rsidRPr="000665B0" w:rsidRDefault="00D0292E" w:rsidP="00630AD9">
            <w:pPr>
              <w:spacing w:before="40" w:after="40" w:line="240" w:lineRule="auto"/>
              <w:rPr>
                <w:sz w:val="20"/>
              </w:rPr>
            </w:pPr>
            <w:r w:rsidRPr="000665B0">
              <w:rPr>
                <w:sz w:val="20"/>
              </w:rPr>
              <w:t>Removed.</w:t>
            </w:r>
          </w:p>
        </w:tc>
        <w:tc>
          <w:tcPr>
            <w:tcW w:w="2093" w:type="pct"/>
            <w:noWrap/>
          </w:tcPr>
          <w:p w14:paraId="47076C8C" w14:textId="77777777" w:rsidR="00D0292E" w:rsidRPr="000665B0" w:rsidRDefault="00D0292E" w:rsidP="005F1DFB">
            <w:pPr>
              <w:spacing w:before="40" w:after="40" w:line="240" w:lineRule="auto"/>
              <w:rPr>
                <w:sz w:val="20"/>
              </w:rPr>
            </w:pPr>
            <w:r w:rsidRPr="000665B0">
              <w:rPr>
                <w:sz w:val="20"/>
              </w:rPr>
              <w:t>Removed.</w:t>
            </w:r>
          </w:p>
        </w:tc>
      </w:tr>
      <w:tr w:rsidR="007D72B2" w:rsidRPr="000665B0" w14:paraId="23176201" w14:textId="77777777" w:rsidTr="007D72B2">
        <w:trPr>
          <w:cantSplit/>
          <w:trHeight w:val="255"/>
        </w:trPr>
        <w:tc>
          <w:tcPr>
            <w:tcW w:w="376" w:type="pct"/>
            <w:noWrap/>
          </w:tcPr>
          <w:p w14:paraId="4F798316" w14:textId="77777777" w:rsidR="005F576C" w:rsidRPr="000665B0" w:rsidRDefault="005F576C" w:rsidP="005F1DFB">
            <w:pPr>
              <w:spacing w:before="40" w:after="40" w:line="240" w:lineRule="auto"/>
              <w:jc w:val="center"/>
              <w:rPr>
                <w:sz w:val="20"/>
              </w:rPr>
            </w:pPr>
            <w:r w:rsidRPr="000665B0">
              <w:rPr>
                <w:sz w:val="20"/>
              </w:rPr>
              <w:t>33</w:t>
            </w:r>
          </w:p>
        </w:tc>
        <w:tc>
          <w:tcPr>
            <w:tcW w:w="787" w:type="pct"/>
            <w:noWrap/>
          </w:tcPr>
          <w:p w14:paraId="03A6B798" w14:textId="77777777" w:rsidR="005F576C" w:rsidRPr="000665B0" w:rsidRDefault="005F576C" w:rsidP="00F85F07">
            <w:pPr>
              <w:spacing w:before="40" w:after="40" w:line="240" w:lineRule="auto"/>
              <w:rPr>
                <w:sz w:val="20"/>
              </w:rPr>
            </w:pPr>
            <w:r w:rsidRPr="000665B0">
              <w:rPr>
                <w:sz w:val="20"/>
              </w:rPr>
              <w:t>Failed to notify MDS/TSRT of new TSN message</w:t>
            </w:r>
          </w:p>
        </w:tc>
        <w:tc>
          <w:tcPr>
            <w:tcW w:w="1744" w:type="pct"/>
            <w:noWrap/>
          </w:tcPr>
          <w:p w14:paraId="2DDDE91C" w14:textId="77777777" w:rsidR="005F576C" w:rsidRPr="000665B0" w:rsidRDefault="00A821D9" w:rsidP="005F1DFB">
            <w:pPr>
              <w:spacing w:before="40" w:after="40" w:line="240" w:lineRule="auto"/>
              <w:rPr>
                <w:sz w:val="20"/>
              </w:rPr>
            </w:pPr>
            <w:r w:rsidRPr="000665B0">
              <w:rPr>
                <w:sz w:val="20"/>
              </w:rPr>
              <w:t>Distribution Service</w:t>
            </w:r>
            <w:r w:rsidRPr="000665B0" w:rsidDel="00A821D9">
              <w:rPr>
                <w:sz w:val="20"/>
              </w:rPr>
              <w:t xml:space="preserve"> </w:t>
            </w:r>
            <w:r w:rsidR="005F576C" w:rsidRPr="000665B0">
              <w:rPr>
                <w:sz w:val="20"/>
              </w:rPr>
              <w:t>failed to place the TSN message on the MSMQ queue which MDS is attached to for incoming TSN messages.</w:t>
            </w:r>
          </w:p>
        </w:tc>
        <w:tc>
          <w:tcPr>
            <w:tcW w:w="2093" w:type="pct"/>
            <w:noWrap/>
          </w:tcPr>
          <w:p w14:paraId="35449510" w14:textId="77777777" w:rsidR="005F576C" w:rsidRPr="000665B0" w:rsidRDefault="005F576C" w:rsidP="005F1DFB">
            <w:pPr>
              <w:spacing w:before="40" w:after="40" w:line="240" w:lineRule="auto"/>
              <w:rPr>
                <w:sz w:val="20"/>
              </w:rPr>
            </w:pPr>
            <w:r w:rsidRPr="000665B0">
              <w:rPr>
                <w:sz w:val="20"/>
              </w:rPr>
              <w:t>You’re not getting all your TSN messages in the current strike execution (or rehearsal). Recommend rebooting the PC as soon as possible.</w:t>
            </w:r>
          </w:p>
        </w:tc>
      </w:tr>
      <w:tr w:rsidR="007D72B2" w:rsidRPr="000665B0" w14:paraId="34ADC7EE" w14:textId="77777777" w:rsidTr="007D72B2">
        <w:trPr>
          <w:cantSplit/>
          <w:trHeight w:val="255"/>
        </w:trPr>
        <w:tc>
          <w:tcPr>
            <w:tcW w:w="376" w:type="pct"/>
            <w:noWrap/>
          </w:tcPr>
          <w:p w14:paraId="53177603" w14:textId="77777777" w:rsidR="005F576C" w:rsidRPr="000665B0" w:rsidRDefault="005F576C" w:rsidP="005F1DFB">
            <w:pPr>
              <w:spacing w:before="40" w:after="40" w:line="240" w:lineRule="auto"/>
              <w:jc w:val="center"/>
              <w:rPr>
                <w:sz w:val="20"/>
              </w:rPr>
            </w:pPr>
            <w:r w:rsidRPr="000665B0">
              <w:rPr>
                <w:sz w:val="20"/>
              </w:rPr>
              <w:t>34</w:t>
            </w:r>
          </w:p>
        </w:tc>
        <w:tc>
          <w:tcPr>
            <w:tcW w:w="787" w:type="pct"/>
            <w:noWrap/>
          </w:tcPr>
          <w:p w14:paraId="46172D07" w14:textId="77777777" w:rsidR="005F576C" w:rsidRPr="000665B0" w:rsidRDefault="005F576C" w:rsidP="00F85F07">
            <w:pPr>
              <w:spacing w:before="40" w:after="40" w:line="240" w:lineRule="auto"/>
              <w:rPr>
                <w:sz w:val="20"/>
              </w:rPr>
            </w:pPr>
            <w:r w:rsidRPr="000665B0">
              <w:rPr>
                <w:sz w:val="20"/>
              </w:rPr>
              <w:t>Failed to log new TSN message</w:t>
            </w:r>
          </w:p>
        </w:tc>
        <w:tc>
          <w:tcPr>
            <w:tcW w:w="1744" w:type="pct"/>
            <w:noWrap/>
          </w:tcPr>
          <w:p w14:paraId="02273A84" w14:textId="77777777" w:rsidR="005F576C" w:rsidRPr="000665B0" w:rsidRDefault="005F576C" w:rsidP="005F1DFB">
            <w:pPr>
              <w:spacing w:before="40" w:after="40" w:line="240" w:lineRule="auto"/>
              <w:rPr>
                <w:sz w:val="20"/>
              </w:rPr>
            </w:pPr>
            <w:r w:rsidRPr="000665B0">
              <w:rPr>
                <w:sz w:val="20"/>
              </w:rPr>
              <w:t>A database error occurred saving a TSN log-entry.</w:t>
            </w:r>
          </w:p>
        </w:tc>
        <w:tc>
          <w:tcPr>
            <w:tcW w:w="2093" w:type="pct"/>
            <w:noWrap/>
          </w:tcPr>
          <w:p w14:paraId="35FC8CAE" w14:textId="77777777" w:rsidR="005F576C" w:rsidRPr="000665B0" w:rsidRDefault="007E135D" w:rsidP="005F1DFB">
            <w:pPr>
              <w:spacing w:before="40" w:after="40" w:line="240" w:lineRule="auto"/>
              <w:rPr>
                <w:sz w:val="20"/>
              </w:rPr>
            </w:pPr>
            <w:r w:rsidRPr="000665B0">
              <w:rPr>
                <w:sz w:val="20"/>
              </w:rPr>
              <w:t>None</w:t>
            </w:r>
            <w:r w:rsidR="005F576C" w:rsidRPr="000665B0">
              <w:rPr>
                <w:sz w:val="20"/>
              </w:rPr>
              <w:t>. MDS/TSRT should have received the TSN message in question, it just isn’t logged properly.</w:t>
            </w:r>
          </w:p>
        </w:tc>
      </w:tr>
      <w:tr w:rsidR="007D72B2" w:rsidRPr="000665B0" w14:paraId="6A9EFCB9" w14:textId="77777777" w:rsidTr="007D72B2">
        <w:trPr>
          <w:cantSplit/>
          <w:trHeight w:val="255"/>
        </w:trPr>
        <w:tc>
          <w:tcPr>
            <w:tcW w:w="376" w:type="pct"/>
            <w:noWrap/>
          </w:tcPr>
          <w:p w14:paraId="09DBC257" w14:textId="77777777" w:rsidR="005F576C" w:rsidRPr="000665B0" w:rsidRDefault="005F576C" w:rsidP="005F1DFB">
            <w:pPr>
              <w:spacing w:before="40" w:after="40" w:line="240" w:lineRule="auto"/>
              <w:jc w:val="center"/>
              <w:rPr>
                <w:sz w:val="20"/>
              </w:rPr>
            </w:pPr>
            <w:r w:rsidRPr="000665B0">
              <w:rPr>
                <w:sz w:val="20"/>
              </w:rPr>
              <w:t>35</w:t>
            </w:r>
          </w:p>
        </w:tc>
        <w:tc>
          <w:tcPr>
            <w:tcW w:w="787" w:type="pct"/>
            <w:noWrap/>
          </w:tcPr>
          <w:p w14:paraId="4EBB4504" w14:textId="77777777" w:rsidR="005F576C" w:rsidRPr="000665B0" w:rsidRDefault="005F576C" w:rsidP="005F1DFB">
            <w:pPr>
              <w:spacing w:before="40" w:after="40" w:line="240" w:lineRule="auto"/>
              <w:rPr>
                <w:sz w:val="20"/>
              </w:rPr>
            </w:pPr>
            <w:r w:rsidRPr="000665B0">
              <w:rPr>
                <w:sz w:val="20"/>
              </w:rPr>
              <w:t>Message from LINT is too short!</w:t>
            </w:r>
          </w:p>
        </w:tc>
        <w:tc>
          <w:tcPr>
            <w:tcW w:w="1744" w:type="pct"/>
            <w:noWrap/>
          </w:tcPr>
          <w:p w14:paraId="01539A40" w14:textId="77777777" w:rsidR="005F576C" w:rsidRPr="000665B0" w:rsidRDefault="005F576C" w:rsidP="005F1DFB">
            <w:pPr>
              <w:spacing w:before="40" w:after="40" w:line="240" w:lineRule="auto"/>
              <w:rPr>
                <w:sz w:val="20"/>
              </w:rPr>
            </w:pPr>
            <w:r w:rsidRPr="000665B0">
              <w:rPr>
                <w:sz w:val="20"/>
              </w:rPr>
              <w:t>The number of bytes in the TCIP header doesn’t match what was received off the network.</w:t>
            </w:r>
          </w:p>
        </w:tc>
        <w:tc>
          <w:tcPr>
            <w:tcW w:w="2093" w:type="pct"/>
            <w:noWrap/>
          </w:tcPr>
          <w:p w14:paraId="7F513D06" w14:textId="77777777" w:rsidR="005F576C" w:rsidRPr="000665B0" w:rsidRDefault="007E135D" w:rsidP="005F1DFB">
            <w:pPr>
              <w:spacing w:before="40" w:after="40" w:line="240" w:lineRule="auto"/>
              <w:rPr>
                <w:sz w:val="20"/>
              </w:rPr>
            </w:pPr>
            <w:r w:rsidRPr="000665B0">
              <w:rPr>
                <w:sz w:val="20"/>
              </w:rPr>
              <w:t>None</w:t>
            </w:r>
            <w:r w:rsidR="005F576C" w:rsidRPr="000665B0">
              <w:rPr>
                <w:sz w:val="20"/>
              </w:rPr>
              <w:t>. This is probably a transient network problem.</w:t>
            </w:r>
          </w:p>
        </w:tc>
      </w:tr>
      <w:tr w:rsidR="007D72B2" w:rsidRPr="000665B0" w14:paraId="265C79A3" w14:textId="77777777" w:rsidTr="007D72B2">
        <w:trPr>
          <w:cantSplit/>
          <w:trHeight w:val="255"/>
        </w:trPr>
        <w:tc>
          <w:tcPr>
            <w:tcW w:w="376" w:type="pct"/>
            <w:noWrap/>
          </w:tcPr>
          <w:p w14:paraId="70524003" w14:textId="77777777" w:rsidR="005F576C" w:rsidRPr="000665B0" w:rsidRDefault="005F576C" w:rsidP="005F1DFB">
            <w:pPr>
              <w:spacing w:before="40" w:after="40" w:line="240" w:lineRule="auto"/>
              <w:jc w:val="center"/>
              <w:rPr>
                <w:sz w:val="20"/>
              </w:rPr>
            </w:pPr>
            <w:r w:rsidRPr="000665B0">
              <w:rPr>
                <w:sz w:val="20"/>
              </w:rPr>
              <w:t>36</w:t>
            </w:r>
          </w:p>
        </w:tc>
        <w:tc>
          <w:tcPr>
            <w:tcW w:w="787" w:type="pct"/>
            <w:noWrap/>
          </w:tcPr>
          <w:p w14:paraId="1E6EA821" w14:textId="77777777" w:rsidR="005F576C" w:rsidRPr="000665B0" w:rsidRDefault="005F576C" w:rsidP="00F85F07">
            <w:pPr>
              <w:spacing w:before="40" w:after="40" w:line="240" w:lineRule="auto"/>
              <w:rPr>
                <w:sz w:val="20"/>
              </w:rPr>
            </w:pPr>
            <w:r w:rsidRPr="000665B0">
              <w:rPr>
                <w:sz w:val="20"/>
              </w:rPr>
              <w:t>Failed to access TED-VLDB</w:t>
            </w:r>
          </w:p>
        </w:tc>
        <w:tc>
          <w:tcPr>
            <w:tcW w:w="1744" w:type="pct"/>
            <w:noWrap/>
          </w:tcPr>
          <w:p w14:paraId="1634C957" w14:textId="77777777" w:rsidR="005F576C" w:rsidRPr="000665B0" w:rsidRDefault="0037416A" w:rsidP="005F1DFB">
            <w:pPr>
              <w:spacing w:before="40" w:after="40" w:line="240" w:lineRule="auto"/>
              <w:rPr>
                <w:sz w:val="20"/>
              </w:rPr>
            </w:pPr>
            <w:r w:rsidRPr="000665B0">
              <w:rPr>
                <w:sz w:val="20"/>
              </w:rPr>
              <w:t xml:space="preserve">Distribution </w:t>
            </w:r>
            <w:r w:rsidR="005F576C" w:rsidRPr="000665B0">
              <w:rPr>
                <w:sz w:val="20"/>
              </w:rPr>
              <w:t>Monitor failed to retrieve the valid platform list version &amp; TED server name from the webservice.</w:t>
            </w:r>
          </w:p>
        </w:tc>
        <w:tc>
          <w:tcPr>
            <w:tcW w:w="2093" w:type="pct"/>
            <w:noWrap/>
          </w:tcPr>
          <w:p w14:paraId="021CCFCC" w14:textId="25601558" w:rsidR="005F576C" w:rsidRPr="000665B0" w:rsidRDefault="005F576C" w:rsidP="00F85F07">
            <w:pPr>
              <w:spacing w:before="40" w:after="40" w:line="240" w:lineRule="auto"/>
              <w:rPr>
                <w:sz w:val="20"/>
              </w:rPr>
            </w:pPr>
            <w:r w:rsidRPr="000665B0">
              <w:rPr>
                <w:sz w:val="20"/>
              </w:rPr>
              <w:t xml:space="preserve">Verify TED’s Valid List webservices are running by opening </w:t>
            </w:r>
            <w:r w:rsidR="00D24B5E" w:rsidRPr="000665B0">
              <w:rPr>
                <w:sz w:val="20"/>
              </w:rPr>
              <w:t>MDS and</w:t>
            </w:r>
            <w:r w:rsidRPr="000665B0">
              <w:rPr>
                <w:sz w:val="20"/>
              </w:rPr>
              <w:t xml:space="preserve"> viewing the </w:t>
            </w:r>
            <w:r w:rsidR="00F85F07" w:rsidRPr="000665B0">
              <w:rPr>
                <w:sz w:val="20"/>
              </w:rPr>
              <w:t>N</w:t>
            </w:r>
            <w:r w:rsidRPr="000665B0">
              <w:rPr>
                <w:sz w:val="20"/>
              </w:rPr>
              <w:t>ode</w:t>
            </w:r>
            <w:r w:rsidR="00EB723A" w:rsidRPr="000665B0">
              <w:rPr>
                <w:sz w:val="20"/>
              </w:rPr>
              <w:t>s</w:t>
            </w:r>
            <w:r w:rsidRPr="000665B0">
              <w:rPr>
                <w:sz w:val="20"/>
              </w:rPr>
              <w:t xml:space="preserve"> tool.</w:t>
            </w:r>
          </w:p>
        </w:tc>
      </w:tr>
      <w:tr w:rsidR="007D72B2" w:rsidRPr="000665B0" w14:paraId="68C77756" w14:textId="77777777" w:rsidTr="007D72B2">
        <w:trPr>
          <w:cantSplit/>
          <w:trHeight w:val="255"/>
        </w:trPr>
        <w:tc>
          <w:tcPr>
            <w:tcW w:w="376" w:type="pct"/>
            <w:noWrap/>
          </w:tcPr>
          <w:p w14:paraId="44B3225B" w14:textId="77777777" w:rsidR="005F576C" w:rsidRPr="000665B0" w:rsidRDefault="005F576C" w:rsidP="005F1DFB">
            <w:pPr>
              <w:spacing w:before="40" w:after="40" w:line="240" w:lineRule="auto"/>
              <w:jc w:val="center"/>
              <w:rPr>
                <w:sz w:val="20"/>
              </w:rPr>
            </w:pPr>
            <w:r w:rsidRPr="000665B0">
              <w:rPr>
                <w:sz w:val="20"/>
              </w:rPr>
              <w:t>37</w:t>
            </w:r>
          </w:p>
        </w:tc>
        <w:tc>
          <w:tcPr>
            <w:tcW w:w="787" w:type="pct"/>
            <w:noWrap/>
          </w:tcPr>
          <w:p w14:paraId="2739DA1F" w14:textId="77777777" w:rsidR="005F576C" w:rsidRPr="000665B0" w:rsidRDefault="005F576C" w:rsidP="005F1DFB">
            <w:pPr>
              <w:spacing w:before="40" w:after="40" w:line="240" w:lineRule="auto"/>
              <w:rPr>
                <w:sz w:val="20"/>
              </w:rPr>
            </w:pPr>
            <w:r w:rsidRPr="000665B0">
              <w:rPr>
                <w:sz w:val="20"/>
              </w:rPr>
              <w:t>The {0} was not identified by the agent!</w:t>
            </w:r>
          </w:p>
        </w:tc>
        <w:tc>
          <w:tcPr>
            <w:tcW w:w="1744" w:type="pct"/>
            <w:noWrap/>
          </w:tcPr>
          <w:p w14:paraId="7171A1AA" w14:textId="6823B79D" w:rsidR="005F576C" w:rsidRPr="000665B0" w:rsidRDefault="005F576C" w:rsidP="003378DC">
            <w:pPr>
              <w:spacing w:before="40" w:after="40" w:line="240" w:lineRule="auto"/>
              <w:rPr>
                <w:sz w:val="20"/>
              </w:rPr>
            </w:pPr>
            <w:r w:rsidRPr="000665B0">
              <w:rPr>
                <w:sz w:val="20"/>
              </w:rPr>
              <w:t xml:space="preserve">The incoming </w:t>
            </w:r>
            <w:r w:rsidR="005B2BFA" w:rsidRPr="000665B0">
              <w:rPr>
                <w:sz w:val="20"/>
              </w:rPr>
              <w:t>Email</w:t>
            </w:r>
            <w:r w:rsidRPr="000665B0">
              <w:rPr>
                <w:sz w:val="20"/>
              </w:rPr>
              <w:t xml:space="preserve"> (drop) </w:t>
            </w:r>
            <w:r w:rsidR="001C73B6" w:rsidRPr="000665B0">
              <w:rPr>
                <w:sz w:val="20"/>
              </w:rPr>
              <w:t>folder</w:t>
            </w:r>
            <w:r w:rsidRPr="000665B0">
              <w:rPr>
                <w:sz w:val="20"/>
              </w:rPr>
              <w:t xml:space="preserve"> was not specified. So read/write permission tests cannot be performed on this folder.</w:t>
            </w:r>
          </w:p>
        </w:tc>
        <w:tc>
          <w:tcPr>
            <w:tcW w:w="2093" w:type="pct"/>
            <w:noWrap/>
          </w:tcPr>
          <w:p w14:paraId="2F53DEC2" w14:textId="77777777" w:rsidR="005F576C" w:rsidRPr="000665B0" w:rsidRDefault="00C059FA" w:rsidP="00C059FA">
            <w:pPr>
              <w:spacing w:before="40" w:after="40" w:line="240" w:lineRule="auto"/>
              <w:ind w:left="342" w:hanging="360"/>
              <w:rPr>
                <w:sz w:val="20"/>
              </w:rPr>
            </w:pPr>
            <w:r w:rsidRPr="000665B0">
              <w:rPr>
                <w:sz w:val="20"/>
              </w:rPr>
              <w:t>1.</w:t>
            </w:r>
            <w:r w:rsidRPr="000665B0">
              <w:rPr>
                <w:sz w:val="20"/>
              </w:rPr>
              <w:tab/>
            </w:r>
            <w:r w:rsidR="005F576C" w:rsidRPr="000665B0">
              <w:rPr>
                <w:sz w:val="20"/>
              </w:rPr>
              <w:t>Is IIS-SMTP installed?</w:t>
            </w:r>
          </w:p>
          <w:p w14:paraId="3F9596D0" w14:textId="77777777" w:rsidR="005F576C" w:rsidRPr="000665B0" w:rsidRDefault="00C059FA" w:rsidP="00C059FA">
            <w:pPr>
              <w:spacing w:before="40" w:after="40" w:line="240" w:lineRule="auto"/>
              <w:ind w:left="342" w:hanging="360"/>
              <w:rPr>
                <w:sz w:val="20"/>
              </w:rPr>
            </w:pPr>
            <w:r w:rsidRPr="000665B0">
              <w:rPr>
                <w:sz w:val="20"/>
              </w:rPr>
              <w:t>2.</w:t>
            </w:r>
            <w:r w:rsidRPr="000665B0">
              <w:rPr>
                <w:sz w:val="20"/>
              </w:rPr>
              <w:tab/>
            </w:r>
            <w:r w:rsidR="005F576C" w:rsidRPr="000665B0">
              <w:rPr>
                <w:sz w:val="20"/>
              </w:rPr>
              <w:t xml:space="preserve">Update address book to show </w:t>
            </w:r>
            <w:r w:rsidR="005B2BFA" w:rsidRPr="000665B0">
              <w:rPr>
                <w:sz w:val="20"/>
              </w:rPr>
              <w:t>Email</w:t>
            </w:r>
            <w:r w:rsidR="005F576C" w:rsidRPr="000665B0">
              <w:rPr>
                <w:sz w:val="20"/>
              </w:rPr>
              <w:t xml:space="preserve"> doesn’t work on this node</w:t>
            </w:r>
            <w:r w:rsidR="00F85F07" w:rsidRPr="000665B0">
              <w:rPr>
                <w:sz w:val="20"/>
              </w:rPr>
              <w:t>.</w:t>
            </w:r>
          </w:p>
        </w:tc>
      </w:tr>
      <w:tr w:rsidR="00D0292E" w:rsidRPr="000665B0" w14:paraId="51422B6C" w14:textId="77777777" w:rsidTr="007D72B2">
        <w:trPr>
          <w:cantSplit/>
          <w:trHeight w:val="255"/>
        </w:trPr>
        <w:tc>
          <w:tcPr>
            <w:tcW w:w="376" w:type="pct"/>
            <w:noWrap/>
          </w:tcPr>
          <w:p w14:paraId="473A0CE9" w14:textId="77777777" w:rsidR="00D0292E" w:rsidRPr="000665B0" w:rsidRDefault="00D0292E" w:rsidP="005F1DFB">
            <w:pPr>
              <w:spacing w:before="40" w:after="40" w:line="240" w:lineRule="auto"/>
              <w:jc w:val="center"/>
              <w:rPr>
                <w:sz w:val="20"/>
              </w:rPr>
            </w:pPr>
            <w:r w:rsidRPr="000665B0">
              <w:rPr>
                <w:sz w:val="20"/>
              </w:rPr>
              <w:t>38</w:t>
            </w:r>
          </w:p>
        </w:tc>
        <w:tc>
          <w:tcPr>
            <w:tcW w:w="787" w:type="pct"/>
            <w:noWrap/>
          </w:tcPr>
          <w:p w14:paraId="190E2B5A" w14:textId="77777777" w:rsidR="00D0292E" w:rsidRPr="000665B0" w:rsidRDefault="00D0292E" w:rsidP="005F1DFB">
            <w:pPr>
              <w:spacing w:before="40" w:after="40" w:line="240" w:lineRule="auto"/>
              <w:rPr>
                <w:sz w:val="20"/>
              </w:rPr>
            </w:pPr>
            <w:r w:rsidRPr="000665B0">
              <w:rPr>
                <w:sz w:val="20"/>
              </w:rPr>
              <w:t>Removed.</w:t>
            </w:r>
          </w:p>
        </w:tc>
        <w:tc>
          <w:tcPr>
            <w:tcW w:w="1744" w:type="pct"/>
            <w:noWrap/>
          </w:tcPr>
          <w:p w14:paraId="4FA1D3F7" w14:textId="77777777" w:rsidR="00D0292E" w:rsidRPr="000665B0" w:rsidRDefault="00D0292E" w:rsidP="005F1DFB">
            <w:pPr>
              <w:spacing w:before="40" w:after="40" w:line="240" w:lineRule="auto"/>
              <w:rPr>
                <w:sz w:val="20"/>
              </w:rPr>
            </w:pPr>
            <w:r w:rsidRPr="000665B0">
              <w:rPr>
                <w:sz w:val="20"/>
              </w:rPr>
              <w:t>Removed.</w:t>
            </w:r>
          </w:p>
        </w:tc>
        <w:tc>
          <w:tcPr>
            <w:tcW w:w="2093" w:type="pct"/>
            <w:noWrap/>
          </w:tcPr>
          <w:p w14:paraId="0E4D9462" w14:textId="77777777" w:rsidR="00D0292E" w:rsidRPr="000665B0" w:rsidRDefault="00D0292E" w:rsidP="005F1DFB">
            <w:pPr>
              <w:spacing w:before="40" w:after="40" w:line="240" w:lineRule="auto"/>
              <w:rPr>
                <w:sz w:val="20"/>
              </w:rPr>
            </w:pPr>
            <w:r w:rsidRPr="000665B0">
              <w:rPr>
                <w:sz w:val="20"/>
              </w:rPr>
              <w:t>Removed.</w:t>
            </w:r>
          </w:p>
        </w:tc>
      </w:tr>
      <w:tr w:rsidR="007D72B2" w:rsidRPr="000665B0" w14:paraId="00279E73" w14:textId="77777777" w:rsidTr="007D72B2">
        <w:trPr>
          <w:cantSplit/>
          <w:trHeight w:val="255"/>
        </w:trPr>
        <w:tc>
          <w:tcPr>
            <w:tcW w:w="376" w:type="pct"/>
            <w:noWrap/>
          </w:tcPr>
          <w:p w14:paraId="7288B46F" w14:textId="77777777" w:rsidR="005F576C" w:rsidRPr="000665B0" w:rsidRDefault="005F576C" w:rsidP="005F1DFB">
            <w:pPr>
              <w:spacing w:before="40" w:after="40" w:line="240" w:lineRule="auto"/>
              <w:jc w:val="center"/>
              <w:rPr>
                <w:sz w:val="20"/>
              </w:rPr>
            </w:pPr>
            <w:r w:rsidRPr="000665B0">
              <w:rPr>
                <w:sz w:val="20"/>
              </w:rPr>
              <w:t>39</w:t>
            </w:r>
          </w:p>
        </w:tc>
        <w:tc>
          <w:tcPr>
            <w:tcW w:w="787" w:type="pct"/>
            <w:noWrap/>
          </w:tcPr>
          <w:p w14:paraId="017EFD3D" w14:textId="0A3AE17F" w:rsidR="005F576C" w:rsidRPr="000665B0" w:rsidRDefault="005F576C" w:rsidP="00F85F07">
            <w:pPr>
              <w:spacing w:before="40" w:after="40" w:line="240" w:lineRule="auto"/>
              <w:rPr>
                <w:sz w:val="20"/>
              </w:rPr>
            </w:pPr>
            <w:r w:rsidRPr="000665B0">
              <w:rPr>
                <w:sz w:val="20"/>
              </w:rPr>
              <w:t xml:space="preserve">Error parsing OTH </w:t>
            </w:r>
            <w:r w:rsidR="003378DC" w:rsidRPr="000665B0">
              <w:rPr>
                <w:sz w:val="20"/>
              </w:rPr>
              <w:t>Opnote</w:t>
            </w:r>
          </w:p>
        </w:tc>
        <w:tc>
          <w:tcPr>
            <w:tcW w:w="1744" w:type="pct"/>
            <w:noWrap/>
          </w:tcPr>
          <w:p w14:paraId="7FC5CAD3" w14:textId="4DE19FCE" w:rsidR="005F576C" w:rsidRPr="000665B0" w:rsidRDefault="00A821D9" w:rsidP="005F1DFB">
            <w:pPr>
              <w:spacing w:before="40" w:after="40" w:line="240" w:lineRule="auto"/>
              <w:rPr>
                <w:sz w:val="20"/>
              </w:rPr>
            </w:pPr>
            <w:r w:rsidRPr="000665B0">
              <w:rPr>
                <w:sz w:val="20"/>
              </w:rPr>
              <w:t>Distribution Service</w:t>
            </w:r>
            <w:r w:rsidRPr="000665B0" w:rsidDel="00A821D9">
              <w:rPr>
                <w:sz w:val="20"/>
              </w:rPr>
              <w:t xml:space="preserve"> </w:t>
            </w:r>
            <w:r w:rsidR="005F576C" w:rsidRPr="000665B0">
              <w:rPr>
                <w:sz w:val="20"/>
              </w:rPr>
              <w:t xml:space="preserve">failed to parse a “classic” </w:t>
            </w:r>
            <w:r w:rsidR="003378DC" w:rsidRPr="000665B0">
              <w:rPr>
                <w:sz w:val="20"/>
              </w:rPr>
              <w:t>Opnote</w:t>
            </w:r>
            <w:r w:rsidR="005F576C" w:rsidRPr="000665B0">
              <w:rPr>
                <w:sz w:val="20"/>
              </w:rPr>
              <w:t xml:space="preserve"> sent thru LINT.</w:t>
            </w:r>
          </w:p>
        </w:tc>
        <w:tc>
          <w:tcPr>
            <w:tcW w:w="2093" w:type="pct"/>
            <w:noWrap/>
          </w:tcPr>
          <w:p w14:paraId="6202ED4C" w14:textId="503D94E4" w:rsidR="005F576C" w:rsidRPr="000665B0" w:rsidRDefault="005F576C" w:rsidP="00C059FA">
            <w:pPr>
              <w:spacing w:before="40" w:after="40" w:line="240" w:lineRule="auto"/>
              <w:ind w:left="342" w:hanging="360"/>
              <w:rPr>
                <w:sz w:val="20"/>
              </w:rPr>
            </w:pPr>
            <w:r w:rsidRPr="000665B0">
              <w:rPr>
                <w:sz w:val="20"/>
              </w:rPr>
              <w:t xml:space="preserve">1. </w:t>
            </w:r>
            <w:r w:rsidR="00C059FA" w:rsidRPr="000665B0">
              <w:rPr>
                <w:sz w:val="20"/>
              </w:rPr>
              <w:tab/>
            </w:r>
            <w:r w:rsidRPr="000665B0">
              <w:rPr>
                <w:sz w:val="20"/>
              </w:rPr>
              <w:t xml:space="preserve">View the </w:t>
            </w:r>
            <w:r w:rsidR="003378DC" w:rsidRPr="000665B0">
              <w:rPr>
                <w:sz w:val="20"/>
              </w:rPr>
              <w:t>Opnote</w:t>
            </w:r>
            <w:r w:rsidRPr="000665B0">
              <w:rPr>
                <w:sz w:val="20"/>
              </w:rPr>
              <w:t xml:space="preserve"> on some other system</w:t>
            </w:r>
            <w:r w:rsidR="00F85F07" w:rsidRPr="000665B0">
              <w:rPr>
                <w:sz w:val="20"/>
              </w:rPr>
              <w:t>.</w:t>
            </w:r>
          </w:p>
          <w:p w14:paraId="25567087" w14:textId="77777777" w:rsidR="005F576C" w:rsidRPr="000665B0" w:rsidRDefault="005F576C" w:rsidP="00C059FA">
            <w:pPr>
              <w:spacing w:before="40" w:after="40" w:line="240" w:lineRule="auto"/>
              <w:ind w:left="342" w:hanging="360"/>
              <w:rPr>
                <w:sz w:val="20"/>
              </w:rPr>
            </w:pPr>
            <w:r w:rsidRPr="000665B0">
              <w:rPr>
                <w:sz w:val="20"/>
              </w:rPr>
              <w:t xml:space="preserve">2. </w:t>
            </w:r>
            <w:r w:rsidR="00C059FA" w:rsidRPr="000665B0">
              <w:rPr>
                <w:sz w:val="20"/>
              </w:rPr>
              <w:tab/>
            </w:r>
            <w:r w:rsidRPr="000665B0">
              <w:rPr>
                <w:sz w:val="20"/>
              </w:rPr>
              <w:t>Ask the sender to re-send</w:t>
            </w:r>
            <w:r w:rsidR="00F85F07" w:rsidRPr="000665B0">
              <w:rPr>
                <w:sz w:val="20"/>
              </w:rPr>
              <w:t>.</w:t>
            </w:r>
          </w:p>
        </w:tc>
      </w:tr>
      <w:tr w:rsidR="007D72B2" w:rsidRPr="000665B0" w14:paraId="7C7A18FB" w14:textId="77777777" w:rsidTr="007D72B2">
        <w:trPr>
          <w:cantSplit/>
          <w:trHeight w:val="255"/>
        </w:trPr>
        <w:tc>
          <w:tcPr>
            <w:tcW w:w="376" w:type="pct"/>
            <w:noWrap/>
          </w:tcPr>
          <w:p w14:paraId="0AF6461F" w14:textId="77777777" w:rsidR="005F576C" w:rsidRPr="000665B0" w:rsidRDefault="005F576C" w:rsidP="005F1DFB">
            <w:pPr>
              <w:spacing w:before="40" w:after="40" w:line="240" w:lineRule="auto"/>
              <w:jc w:val="center"/>
              <w:rPr>
                <w:sz w:val="20"/>
              </w:rPr>
            </w:pPr>
            <w:r w:rsidRPr="000665B0">
              <w:rPr>
                <w:sz w:val="20"/>
              </w:rPr>
              <w:t>40</w:t>
            </w:r>
          </w:p>
        </w:tc>
        <w:tc>
          <w:tcPr>
            <w:tcW w:w="787" w:type="pct"/>
            <w:noWrap/>
          </w:tcPr>
          <w:p w14:paraId="24ECCA6A" w14:textId="77777777" w:rsidR="005F576C" w:rsidRPr="000665B0" w:rsidRDefault="00CB20AB" w:rsidP="00F85F07">
            <w:pPr>
              <w:spacing w:before="40" w:after="40" w:line="240" w:lineRule="auto"/>
              <w:rPr>
                <w:sz w:val="20"/>
              </w:rPr>
            </w:pPr>
            <w:r w:rsidRPr="000665B0">
              <w:rPr>
                <w:sz w:val="20"/>
              </w:rPr>
              <w:t>Removed.</w:t>
            </w:r>
          </w:p>
        </w:tc>
        <w:tc>
          <w:tcPr>
            <w:tcW w:w="1744" w:type="pct"/>
            <w:noWrap/>
          </w:tcPr>
          <w:p w14:paraId="2B1DFA60" w14:textId="77777777" w:rsidR="005F576C" w:rsidRPr="000665B0" w:rsidRDefault="00CB20AB" w:rsidP="005F1DFB">
            <w:pPr>
              <w:spacing w:before="40" w:after="40" w:line="240" w:lineRule="auto"/>
              <w:rPr>
                <w:sz w:val="20"/>
              </w:rPr>
            </w:pPr>
            <w:r w:rsidRPr="000665B0">
              <w:rPr>
                <w:sz w:val="20"/>
              </w:rPr>
              <w:t>Removed.</w:t>
            </w:r>
          </w:p>
        </w:tc>
        <w:tc>
          <w:tcPr>
            <w:tcW w:w="2093" w:type="pct"/>
            <w:noWrap/>
          </w:tcPr>
          <w:p w14:paraId="381AF01B" w14:textId="77777777" w:rsidR="005F576C" w:rsidRPr="000665B0" w:rsidRDefault="00CB20AB" w:rsidP="00C059FA">
            <w:pPr>
              <w:spacing w:before="40" w:after="40" w:line="240" w:lineRule="auto"/>
              <w:ind w:left="342" w:hanging="360"/>
              <w:rPr>
                <w:sz w:val="20"/>
              </w:rPr>
            </w:pPr>
            <w:r w:rsidRPr="000665B0">
              <w:rPr>
                <w:sz w:val="20"/>
              </w:rPr>
              <w:t>Removed.</w:t>
            </w:r>
          </w:p>
        </w:tc>
      </w:tr>
      <w:tr w:rsidR="00A821D9" w:rsidRPr="000665B0" w14:paraId="1FD8873B" w14:textId="77777777" w:rsidTr="007D72B2">
        <w:trPr>
          <w:cantSplit/>
          <w:trHeight w:val="255"/>
        </w:trPr>
        <w:tc>
          <w:tcPr>
            <w:tcW w:w="376" w:type="pct"/>
            <w:noWrap/>
          </w:tcPr>
          <w:p w14:paraId="731D3D2E" w14:textId="77777777" w:rsidR="00A821D9" w:rsidRPr="000665B0" w:rsidRDefault="00A821D9" w:rsidP="00A821D9">
            <w:pPr>
              <w:spacing w:before="40" w:after="40" w:line="240" w:lineRule="auto"/>
              <w:jc w:val="center"/>
              <w:rPr>
                <w:sz w:val="20"/>
              </w:rPr>
            </w:pPr>
            <w:r w:rsidRPr="000665B0">
              <w:rPr>
                <w:sz w:val="20"/>
              </w:rPr>
              <w:lastRenderedPageBreak/>
              <w:t>41</w:t>
            </w:r>
          </w:p>
        </w:tc>
        <w:tc>
          <w:tcPr>
            <w:tcW w:w="787" w:type="pct"/>
            <w:noWrap/>
          </w:tcPr>
          <w:p w14:paraId="43C11269" w14:textId="77777777" w:rsidR="00A821D9" w:rsidRPr="000665B0" w:rsidRDefault="00A821D9" w:rsidP="00A821D9">
            <w:pPr>
              <w:spacing w:before="40" w:after="40" w:line="240" w:lineRule="auto"/>
              <w:rPr>
                <w:sz w:val="20"/>
              </w:rPr>
            </w:pPr>
            <w:r w:rsidRPr="000665B0">
              <w:rPr>
                <w:sz w:val="20"/>
              </w:rPr>
              <w:t>Removed.</w:t>
            </w:r>
          </w:p>
        </w:tc>
        <w:tc>
          <w:tcPr>
            <w:tcW w:w="1744" w:type="pct"/>
            <w:noWrap/>
          </w:tcPr>
          <w:p w14:paraId="60EC13FE" w14:textId="77777777" w:rsidR="00A821D9" w:rsidRPr="000665B0" w:rsidRDefault="00A821D9" w:rsidP="00A821D9">
            <w:pPr>
              <w:spacing w:before="40" w:after="40" w:line="240" w:lineRule="auto"/>
              <w:rPr>
                <w:sz w:val="20"/>
              </w:rPr>
            </w:pPr>
            <w:r w:rsidRPr="000665B0">
              <w:rPr>
                <w:sz w:val="20"/>
              </w:rPr>
              <w:t>Removed.</w:t>
            </w:r>
          </w:p>
        </w:tc>
        <w:tc>
          <w:tcPr>
            <w:tcW w:w="2093" w:type="pct"/>
            <w:noWrap/>
          </w:tcPr>
          <w:p w14:paraId="5BC7ECE9" w14:textId="77777777" w:rsidR="00A821D9" w:rsidRPr="000665B0" w:rsidRDefault="00A821D9" w:rsidP="00A821D9">
            <w:pPr>
              <w:spacing w:before="40" w:after="40" w:line="240" w:lineRule="auto"/>
              <w:rPr>
                <w:sz w:val="20"/>
              </w:rPr>
            </w:pPr>
            <w:r w:rsidRPr="000665B0">
              <w:rPr>
                <w:sz w:val="20"/>
              </w:rPr>
              <w:t>Removed.</w:t>
            </w:r>
          </w:p>
        </w:tc>
      </w:tr>
      <w:tr w:rsidR="007D72B2" w:rsidRPr="000665B0" w14:paraId="1B617D75" w14:textId="77777777" w:rsidTr="007D72B2">
        <w:trPr>
          <w:cantSplit/>
          <w:trHeight w:val="255"/>
        </w:trPr>
        <w:tc>
          <w:tcPr>
            <w:tcW w:w="376" w:type="pct"/>
            <w:noWrap/>
          </w:tcPr>
          <w:p w14:paraId="50C89B14" w14:textId="77777777" w:rsidR="005F576C" w:rsidRPr="000665B0" w:rsidRDefault="005F576C" w:rsidP="005F1DFB">
            <w:pPr>
              <w:spacing w:before="40" w:after="40" w:line="240" w:lineRule="auto"/>
              <w:jc w:val="center"/>
              <w:rPr>
                <w:sz w:val="20"/>
              </w:rPr>
            </w:pPr>
            <w:r w:rsidRPr="000665B0">
              <w:rPr>
                <w:sz w:val="20"/>
              </w:rPr>
              <w:t>42</w:t>
            </w:r>
            <w:r w:rsidR="00325084" w:rsidRPr="000665B0">
              <w:rPr>
                <w:sz w:val="20"/>
              </w:rPr>
              <w:t>-43</w:t>
            </w:r>
          </w:p>
        </w:tc>
        <w:tc>
          <w:tcPr>
            <w:tcW w:w="787" w:type="pct"/>
            <w:noWrap/>
          </w:tcPr>
          <w:p w14:paraId="3AF23465" w14:textId="77777777" w:rsidR="005F576C" w:rsidRPr="000665B0" w:rsidRDefault="00CB20AB" w:rsidP="00F85F07">
            <w:pPr>
              <w:spacing w:before="40" w:after="40" w:line="240" w:lineRule="auto"/>
              <w:rPr>
                <w:sz w:val="20"/>
              </w:rPr>
            </w:pPr>
            <w:r w:rsidRPr="000665B0">
              <w:rPr>
                <w:sz w:val="20"/>
              </w:rPr>
              <w:t>Removed.</w:t>
            </w:r>
          </w:p>
        </w:tc>
        <w:tc>
          <w:tcPr>
            <w:tcW w:w="1744" w:type="pct"/>
            <w:noWrap/>
          </w:tcPr>
          <w:p w14:paraId="78D0D045" w14:textId="77777777" w:rsidR="005F576C" w:rsidRPr="000665B0" w:rsidRDefault="00CB20AB" w:rsidP="005F1DFB">
            <w:pPr>
              <w:spacing w:before="40" w:after="40" w:line="240" w:lineRule="auto"/>
              <w:rPr>
                <w:sz w:val="20"/>
              </w:rPr>
            </w:pPr>
            <w:r w:rsidRPr="000665B0">
              <w:rPr>
                <w:sz w:val="20"/>
              </w:rPr>
              <w:t>Removed.</w:t>
            </w:r>
          </w:p>
        </w:tc>
        <w:tc>
          <w:tcPr>
            <w:tcW w:w="2093" w:type="pct"/>
            <w:noWrap/>
          </w:tcPr>
          <w:p w14:paraId="7DD2CF23" w14:textId="77777777" w:rsidR="005F576C" w:rsidRPr="000665B0" w:rsidRDefault="00CB20AB" w:rsidP="005F1DFB">
            <w:pPr>
              <w:spacing w:before="40" w:after="40" w:line="240" w:lineRule="auto"/>
              <w:rPr>
                <w:sz w:val="20"/>
              </w:rPr>
            </w:pPr>
            <w:r w:rsidRPr="000665B0">
              <w:rPr>
                <w:sz w:val="20"/>
              </w:rPr>
              <w:t>Removed.</w:t>
            </w:r>
          </w:p>
        </w:tc>
      </w:tr>
      <w:tr w:rsidR="007D72B2" w:rsidRPr="000665B0" w14:paraId="731A1685" w14:textId="77777777" w:rsidTr="007D72B2">
        <w:trPr>
          <w:cantSplit/>
          <w:trHeight w:val="255"/>
        </w:trPr>
        <w:tc>
          <w:tcPr>
            <w:tcW w:w="376" w:type="pct"/>
            <w:noWrap/>
          </w:tcPr>
          <w:p w14:paraId="0616C235" w14:textId="77777777" w:rsidR="005F576C" w:rsidRPr="000665B0" w:rsidRDefault="005F576C" w:rsidP="005F1DFB">
            <w:pPr>
              <w:spacing w:before="40" w:after="40" w:line="240" w:lineRule="auto"/>
              <w:jc w:val="center"/>
              <w:rPr>
                <w:sz w:val="20"/>
              </w:rPr>
            </w:pPr>
            <w:r w:rsidRPr="000665B0">
              <w:rPr>
                <w:sz w:val="20"/>
              </w:rPr>
              <w:t>44</w:t>
            </w:r>
          </w:p>
        </w:tc>
        <w:tc>
          <w:tcPr>
            <w:tcW w:w="787" w:type="pct"/>
            <w:noWrap/>
          </w:tcPr>
          <w:p w14:paraId="3225106B" w14:textId="77777777" w:rsidR="005F576C" w:rsidRPr="000665B0" w:rsidRDefault="005F576C" w:rsidP="00F85F07">
            <w:pPr>
              <w:spacing w:before="40" w:after="40" w:line="240" w:lineRule="auto"/>
              <w:rPr>
                <w:sz w:val="20"/>
              </w:rPr>
            </w:pPr>
            <w:r w:rsidRPr="000665B0">
              <w:rPr>
                <w:sz w:val="20"/>
              </w:rPr>
              <w:t>Error initializing Agent proxy</w:t>
            </w:r>
          </w:p>
        </w:tc>
        <w:tc>
          <w:tcPr>
            <w:tcW w:w="1744" w:type="pct"/>
            <w:noWrap/>
          </w:tcPr>
          <w:p w14:paraId="52F3B64E" w14:textId="77777777" w:rsidR="005F576C" w:rsidRPr="000665B0" w:rsidRDefault="005F576C" w:rsidP="002E41AC">
            <w:pPr>
              <w:spacing w:before="40" w:after="40" w:line="240" w:lineRule="auto"/>
              <w:rPr>
                <w:sz w:val="20"/>
              </w:rPr>
            </w:pPr>
            <w:r w:rsidRPr="000665B0">
              <w:rPr>
                <w:sz w:val="20"/>
              </w:rPr>
              <w:t xml:space="preserve">This proxy is how the </w:t>
            </w:r>
            <w:r w:rsidR="00A821D9" w:rsidRPr="000665B0">
              <w:rPr>
                <w:sz w:val="20"/>
              </w:rPr>
              <w:t>Distribution Service</w:t>
            </w:r>
            <w:r w:rsidRPr="000665B0">
              <w:rPr>
                <w:sz w:val="20"/>
              </w:rPr>
              <w:t xml:space="preserve"> communicates with the TDM Distribution Agent. Without it working properly </w:t>
            </w:r>
            <w:r w:rsidR="00A821D9" w:rsidRPr="000665B0">
              <w:rPr>
                <w:sz w:val="20"/>
              </w:rPr>
              <w:t>Distribution Service</w:t>
            </w:r>
            <w:r w:rsidR="00A821D9" w:rsidRPr="000665B0" w:rsidDel="00A821D9">
              <w:rPr>
                <w:sz w:val="20"/>
              </w:rPr>
              <w:t xml:space="preserve"> </w:t>
            </w:r>
            <w:r w:rsidRPr="000665B0">
              <w:rPr>
                <w:sz w:val="20"/>
              </w:rPr>
              <w:t>won’t be able to send OpNotes, DDOs, or TSN messages.</w:t>
            </w:r>
          </w:p>
        </w:tc>
        <w:tc>
          <w:tcPr>
            <w:tcW w:w="2093" w:type="pct"/>
            <w:noWrap/>
          </w:tcPr>
          <w:p w14:paraId="6AA5BB94"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70046CA4" w14:textId="77777777" w:rsidTr="007D72B2">
        <w:trPr>
          <w:cantSplit/>
          <w:trHeight w:val="255"/>
        </w:trPr>
        <w:tc>
          <w:tcPr>
            <w:tcW w:w="376" w:type="pct"/>
            <w:noWrap/>
          </w:tcPr>
          <w:p w14:paraId="4ADEF2E3" w14:textId="77777777" w:rsidR="005F576C" w:rsidRPr="000665B0" w:rsidRDefault="005F576C" w:rsidP="005F1DFB">
            <w:pPr>
              <w:spacing w:before="40" w:after="40" w:line="240" w:lineRule="auto"/>
              <w:jc w:val="center"/>
              <w:rPr>
                <w:sz w:val="20"/>
              </w:rPr>
            </w:pPr>
            <w:r w:rsidRPr="000665B0">
              <w:rPr>
                <w:sz w:val="20"/>
              </w:rPr>
              <w:t>45</w:t>
            </w:r>
          </w:p>
        </w:tc>
        <w:tc>
          <w:tcPr>
            <w:tcW w:w="787" w:type="pct"/>
            <w:noWrap/>
          </w:tcPr>
          <w:p w14:paraId="6618D0FE" w14:textId="77777777" w:rsidR="005F576C" w:rsidRPr="000665B0" w:rsidRDefault="005F576C" w:rsidP="005F1DFB">
            <w:pPr>
              <w:spacing w:before="40" w:after="40" w:line="240" w:lineRule="auto"/>
              <w:rPr>
                <w:sz w:val="20"/>
              </w:rPr>
            </w:pPr>
            <w:r w:rsidRPr="000665B0">
              <w:rPr>
                <w:sz w:val="20"/>
              </w:rPr>
              <w:t>Agent not running?!</w:t>
            </w:r>
          </w:p>
        </w:tc>
        <w:tc>
          <w:tcPr>
            <w:tcW w:w="1744" w:type="pct"/>
            <w:noWrap/>
          </w:tcPr>
          <w:p w14:paraId="61169B01" w14:textId="77777777" w:rsidR="005F576C" w:rsidRPr="000665B0" w:rsidRDefault="00A821D9" w:rsidP="005F1DFB">
            <w:pPr>
              <w:spacing w:before="40" w:after="40" w:line="240" w:lineRule="auto"/>
              <w:rPr>
                <w:sz w:val="20"/>
              </w:rPr>
            </w:pPr>
            <w:r w:rsidRPr="000665B0">
              <w:rPr>
                <w:sz w:val="20"/>
              </w:rPr>
              <w:t>Distribution Service</w:t>
            </w:r>
            <w:r w:rsidRPr="000665B0" w:rsidDel="00A821D9">
              <w:rPr>
                <w:sz w:val="20"/>
              </w:rPr>
              <w:t xml:space="preserve"> </w:t>
            </w:r>
            <w:r w:rsidR="005F576C" w:rsidRPr="000665B0">
              <w:rPr>
                <w:sz w:val="20"/>
              </w:rPr>
              <w:t>failed to contact TDM Distribution Agent.</w:t>
            </w:r>
          </w:p>
        </w:tc>
        <w:tc>
          <w:tcPr>
            <w:tcW w:w="2093" w:type="pct"/>
            <w:noWrap/>
          </w:tcPr>
          <w:p w14:paraId="3B45636F" w14:textId="77777777" w:rsidR="005F576C" w:rsidRPr="000665B0" w:rsidRDefault="005F576C" w:rsidP="00D0292E">
            <w:pPr>
              <w:spacing w:before="40" w:after="40" w:line="240" w:lineRule="auto"/>
              <w:rPr>
                <w:sz w:val="20"/>
              </w:rPr>
            </w:pPr>
            <w:r w:rsidRPr="000665B0">
              <w:rPr>
                <w:sz w:val="20"/>
              </w:rPr>
              <w:t xml:space="preserve">This is usually an install failure. Recommend uninstall and reinstall of </w:t>
            </w:r>
            <w:r w:rsidR="00D0292E" w:rsidRPr="000665B0">
              <w:rPr>
                <w:sz w:val="20"/>
              </w:rPr>
              <w:t xml:space="preserve">TED (Distribution </w:t>
            </w:r>
            <w:r w:rsidR="00A821D9" w:rsidRPr="000665B0">
              <w:rPr>
                <w:sz w:val="20"/>
              </w:rPr>
              <w:t xml:space="preserve">Service </w:t>
            </w:r>
            <w:r w:rsidR="00D0292E" w:rsidRPr="000665B0">
              <w:rPr>
                <w:sz w:val="20"/>
              </w:rPr>
              <w:t xml:space="preserve">and TDM </w:t>
            </w:r>
            <w:r w:rsidR="00A821D9" w:rsidRPr="000665B0">
              <w:rPr>
                <w:sz w:val="20"/>
              </w:rPr>
              <w:t xml:space="preserve">Distribution Agent </w:t>
            </w:r>
            <w:r w:rsidR="00D0292E" w:rsidRPr="000665B0">
              <w:rPr>
                <w:sz w:val="20"/>
              </w:rPr>
              <w:t>are components of TED)</w:t>
            </w:r>
            <w:r w:rsidRPr="000665B0">
              <w:rPr>
                <w:sz w:val="20"/>
              </w:rPr>
              <w:t>.</w:t>
            </w:r>
          </w:p>
        </w:tc>
      </w:tr>
      <w:tr w:rsidR="007D72B2" w:rsidRPr="000665B0" w14:paraId="1D6B681F" w14:textId="77777777" w:rsidTr="007D72B2">
        <w:trPr>
          <w:cantSplit/>
          <w:trHeight w:val="255"/>
        </w:trPr>
        <w:tc>
          <w:tcPr>
            <w:tcW w:w="376" w:type="pct"/>
            <w:noWrap/>
          </w:tcPr>
          <w:p w14:paraId="74C8CF2E" w14:textId="77777777" w:rsidR="005F576C" w:rsidRPr="000665B0" w:rsidRDefault="005F576C" w:rsidP="005F1DFB">
            <w:pPr>
              <w:spacing w:before="40" w:after="40" w:line="240" w:lineRule="auto"/>
              <w:jc w:val="center"/>
              <w:rPr>
                <w:sz w:val="20"/>
              </w:rPr>
            </w:pPr>
            <w:r w:rsidRPr="000665B0">
              <w:rPr>
                <w:sz w:val="20"/>
              </w:rPr>
              <w:t>46</w:t>
            </w:r>
          </w:p>
        </w:tc>
        <w:tc>
          <w:tcPr>
            <w:tcW w:w="787" w:type="pct"/>
            <w:noWrap/>
          </w:tcPr>
          <w:p w14:paraId="56C0FE70" w14:textId="77777777" w:rsidR="005F576C" w:rsidRPr="000665B0" w:rsidRDefault="00A821D9" w:rsidP="002E41AC">
            <w:pPr>
              <w:spacing w:before="40" w:after="40" w:line="240" w:lineRule="auto"/>
              <w:rPr>
                <w:sz w:val="20"/>
              </w:rPr>
            </w:pPr>
            <w:r w:rsidRPr="000665B0">
              <w:rPr>
                <w:sz w:val="20"/>
              </w:rPr>
              <w:t xml:space="preserve">TDM Distribution Agent </w:t>
            </w:r>
            <w:r w:rsidR="005F576C" w:rsidRPr="000665B0">
              <w:rPr>
                <w:sz w:val="20"/>
              </w:rPr>
              <w:t>is not installed as a service</w:t>
            </w:r>
          </w:p>
        </w:tc>
        <w:tc>
          <w:tcPr>
            <w:tcW w:w="1744" w:type="pct"/>
            <w:noWrap/>
          </w:tcPr>
          <w:p w14:paraId="44EDE9BA" w14:textId="77777777" w:rsidR="005F576C" w:rsidRPr="000665B0" w:rsidRDefault="005F576C" w:rsidP="005F1DFB">
            <w:pPr>
              <w:spacing w:before="40" w:after="40" w:line="240" w:lineRule="auto"/>
              <w:rPr>
                <w:sz w:val="20"/>
              </w:rPr>
            </w:pPr>
            <w:r w:rsidRPr="000665B0">
              <w:rPr>
                <w:sz w:val="20"/>
              </w:rPr>
              <w:t>The TDM Distribution Agent is not listed with the other Windows NT Services.</w:t>
            </w:r>
          </w:p>
        </w:tc>
        <w:tc>
          <w:tcPr>
            <w:tcW w:w="2093" w:type="pct"/>
            <w:noWrap/>
          </w:tcPr>
          <w:p w14:paraId="762C52A5" w14:textId="77777777" w:rsidR="005F576C" w:rsidRPr="000665B0" w:rsidRDefault="005F576C" w:rsidP="005F1DFB">
            <w:pPr>
              <w:spacing w:before="40" w:after="40" w:line="240" w:lineRule="auto"/>
              <w:rPr>
                <w:sz w:val="20"/>
              </w:rPr>
            </w:pPr>
            <w:r w:rsidRPr="000665B0">
              <w:rPr>
                <w:sz w:val="20"/>
              </w:rPr>
              <w:t xml:space="preserve">This is usually an install failure. Recommend uninstall and reinstall of </w:t>
            </w:r>
            <w:r w:rsidR="00D0292E" w:rsidRPr="000665B0">
              <w:rPr>
                <w:sz w:val="20"/>
              </w:rPr>
              <w:t>TED (Distribution</w:t>
            </w:r>
            <w:r w:rsidR="00A821D9" w:rsidRPr="000665B0">
              <w:rPr>
                <w:sz w:val="20"/>
              </w:rPr>
              <w:t xml:space="preserve"> Service</w:t>
            </w:r>
            <w:r w:rsidR="00D0292E" w:rsidRPr="000665B0">
              <w:rPr>
                <w:sz w:val="20"/>
              </w:rPr>
              <w:t xml:space="preserve"> and TDM </w:t>
            </w:r>
            <w:r w:rsidR="00A821D9" w:rsidRPr="000665B0">
              <w:rPr>
                <w:sz w:val="20"/>
              </w:rPr>
              <w:t xml:space="preserve">Distribution Agent </w:t>
            </w:r>
            <w:r w:rsidR="00D0292E" w:rsidRPr="000665B0">
              <w:rPr>
                <w:sz w:val="20"/>
              </w:rPr>
              <w:t>are components of TED)</w:t>
            </w:r>
            <w:r w:rsidRPr="000665B0">
              <w:rPr>
                <w:sz w:val="20"/>
              </w:rPr>
              <w:t>.</w:t>
            </w:r>
          </w:p>
        </w:tc>
      </w:tr>
      <w:tr w:rsidR="007D72B2" w:rsidRPr="000665B0" w14:paraId="06518F9F" w14:textId="77777777" w:rsidTr="007D72B2">
        <w:trPr>
          <w:cantSplit/>
          <w:trHeight w:val="255"/>
        </w:trPr>
        <w:tc>
          <w:tcPr>
            <w:tcW w:w="376" w:type="pct"/>
            <w:noWrap/>
          </w:tcPr>
          <w:p w14:paraId="3C86418E" w14:textId="77777777" w:rsidR="005F576C" w:rsidRPr="000665B0" w:rsidRDefault="005F576C" w:rsidP="005F1DFB">
            <w:pPr>
              <w:spacing w:before="40" w:after="40" w:line="240" w:lineRule="auto"/>
              <w:jc w:val="center"/>
              <w:rPr>
                <w:sz w:val="20"/>
              </w:rPr>
            </w:pPr>
            <w:r w:rsidRPr="000665B0">
              <w:rPr>
                <w:sz w:val="20"/>
              </w:rPr>
              <w:t>47</w:t>
            </w:r>
          </w:p>
        </w:tc>
        <w:tc>
          <w:tcPr>
            <w:tcW w:w="787" w:type="pct"/>
            <w:noWrap/>
          </w:tcPr>
          <w:p w14:paraId="058DCBB1" w14:textId="77777777" w:rsidR="005F576C" w:rsidRPr="000665B0" w:rsidRDefault="0037416A" w:rsidP="005F1DFB">
            <w:pPr>
              <w:spacing w:before="40" w:after="40" w:line="240" w:lineRule="auto"/>
              <w:rPr>
                <w:sz w:val="20"/>
              </w:rPr>
            </w:pPr>
            <w:r w:rsidRPr="000665B0">
              <w:rPr>
                <w:sz w:val="20"/>
              </w:rPr>
              <w:t xml:space="preserve">Distribution </w:t>
            </w:r>
            <w:r w:rsidR="005F576C" w:rsidRPr="000665B0">
              <w:rPr>
                <w:sz w:val="20"/>
              </w:rPr>
              <w:t>Monitor has (re)s</w:t>
            </w:r>
            <w:r w:rsidR="00F85F07" w:rsidRPr="000665B0">
              <w:rPr>
                <w:sz w:val="20"/>
              </w:rPr>
              <w:t>tarted 'TDM Distribution Agent'</w:t>
            </w:r>
          </w:p>
        </w:tc>
        <w:tc>
          <w:tcPr>
            <w:tcW w:w="1744" w:type="pct"/>
            <w:noWrap/>
          </w:tcPr>
          <w:p w14:paraId="2BCBF661" w14:textId="77777777" w:rsidR="005F576C" w:rsidRPr="000665B0" w:rsidRDefault="005F576C" w:rsidP="00825522">
            <w:pPr>
              <w:spacing w:before="40" w:after="40" w:line="240" w:lineRule="auto"/>
              <w:rPr>
                <w:sz w:val="20"/>
              </w:rPr>
            </w:pPr>
            <w:r w:rsidRPr="000665B0">
              <w:rPr>
                <w:sz w:val="20"/>
              </w:rPr>
              <w:t xml:space="preserve">Normally </w:t>
            </w:r>
            <w:r w:rsidR="00825522" w:rsidRPr="000665B0">
              <w:rPr>
                <w:sz w:val="20"/>
              </w:rPr>
              <w:t xml:space="preserve">Windows </w:t>
            </w:r>
            <w:r w:rsidRPr="000665B0">
              <w:rPr>
                <w:sz w:val="20"/>
              </w:rPr>
              <w:t xml:space="preserve">will restart the TDM Distribution Agent if </w:t>
            </w:r>
            <w:r w:rsidR="001C73B6" w:rsidRPr="000665B0">
              <w:rPr>
                <w:sz w:val="20"/>
              </w:rPr>
              <w:t>it’s</w:t>
            </w:r>
            <w:r w:rsidRPr="000665B0">
              <w:rPr>
                <w:sz w:val="20"/>
              </w:rPr>
              <w:t xml:space="preserve"> not running. But if </w:t>
            </w:r>
            <w:r w:rsidR="0037416A" w:rsidRPr="000665B0">
              <w:rPr>
                <w:sz w:val="20"/>
              </w:rPr>
              <w:t xml:space="preserve">Distribution </w:t>
            </w:r>
            <w:r w:rsidRPr="000665B0">
              <w:rPr>
                <w:sz w:val="20"/>
              </w:rPr>
              <w:t>Monitor detects it is not running, it will attempt to restart it.</w:t>
            </w:r>
          </w:p>
        </w:tc>
        <w:tc>
          <w:tcPr>
            <w:tcW w:w="2093" w:type="pct"/>
            <w:noWrap/>
          </w:tcPr>
          <w:p w14:paraId="4AB7C01A" w14:textId="77777777" w:rsidR="005F576C" w:rsidRPr="000665B0" w:rsidRDefault="007E135D" w:rsidP="005F1DFB">
            <w:pPr>
              <w:spacing w:before="40" w:after="40" w:line="240" w:lineRule="auto"/>
              <w:rPr>
                <w:sz w:val="20"/>
              </w:rPr>
            </w:pPr>
            <w:r w:rsidRPr="000665B0">
              <w:rPr>
                <w:sz w:val="20"/>
              </w:rPr>
              <w:t>None</w:t>
            </w:r>
            <w:r w:rsidR="005F576C" w:rsidRPr="000665B0">
              <w:rPr>
                <w:sz w:val="20"/>
              </w:rPr>
              <w:t>.</w:t>
            </w:r>
          </w:p>
        </w:tc>
      </w:tr>
      <w:tr w:rsidR="007D72B2" w:rsidRPr="000665B0" w14:paraId="476DD97D" w14:textId="77777777" w:rsidTr="007D72B2">
        <w:trPr>
          <w:cantSplit/>
          <w:trHeight w:val="255"/>
        </w:trPr>
        <w:tc>
          <w:tcPr>
            <w:tcW w:w="376" w:type="pct"/>
            <w:noWrap/>
          </w:tcPr>
          <w:p w14:paraId="01FF8901" w14:textId="77777777" w:rsidR="005F576C" w:rsidRPr="000665B0" w:rsidRDefault="005F576C" w:rsidP="005F1DFB">
            <w:pPr>
              <w:spacing w:before="40" w:after="40" w:line="240" w:lineRule="auto"/>
              <w:jc w:val="center"/>
              <w:rPr>
                <w:sz w:val="20"/>
              </w:rPr>
            </w:pPr>
            <w:r w:rsidRPr="000665B0">
              <w:rPr>
                <w:sz w:val="20"/>
              </w:rPr>
              <w:t>48</w:t>
            </w:r>
          </w:p>
        </w:tc>
        <w:tc>
          <w:tcPr>
            <w:tcW w:w="787" w:type="pct"/>
            <w:noWrap/>
          </w:tcPr>
          <w:p w14:paraId="43378E5B" w14:textId="77777777" w:rsidR="005F576C" w:rsidRPr="000665B0" w:rsidRDefault="0037416A" w:rsidP="005F1DFB">
            <w:pPr>
              <w:spacing w:before="40" w:after="40" w:line="240" w:lineRule="auto"/>
              <w:rPr>
                <w:sz w:val="20"/>
              </w:rPr>
            </w:pPr>
            <w:r w:rsidRPr="000665B0">
              <w:rPr>
                <w:sz w:val="20"/>
              </w:rPr>
              <w:t xml:space="preserve">Distribution </w:t>
            </w:r>
            <w:r w:rsidR="005F576C" w:rsidRPr="000665B0">
              <w:rPr>
                <w:sz w:val="20"/>
              </w:rPr>
              <w:t>Monitor failed to (re</w:t>
            </w:r>
            <w:r w:rsidR="00F85F07" w:rsidRPr="000665B0">
              <w:rPr>
                <w:sz w:val="20"/>
              </w:rPr>
              <w:t>)start 'TDM Distribution Agent'</w:t>
            </w:r>
          </w:p>
        </w:tc>
        <w:tc>
          <w:tcPr>
            <w:tcW w:w="1744" w:type="pct"/>
            <w:noWrap/>
          </w:tcPr>
          <w:p w14:paraId="455D0C3B" w14:textId="77777777" w:rsidR="005F576C" w:rsidRPr="000665B0" w:rsidRDefault="005F576C" w:rsidP="005F1DFB">
            <w:pPr>
              <w:spacing w:before="40" w:after="40" w:line="240" w:lineRule="auto"/>
              <w:rPr>
                <w:sz w:val="20"/>
              </w:rPr>
            </w:pPr>
            <w:r w:rsidRPr="000665B0">
              <w:rPr>
                <w:sz w:val="20"/>
              </w:rPr>
              <w:t xml:space="preserve">See above error 47. If </w:t>
            </w:r>
            <w:r w:rsidR="0037416A" w:rsidRPr="000665B0">
              <w:rPr>
                <w:sz w:val="20"/>
              </w:rPr>
              <w:t xml:space="preserve">Distribution </w:t>
            </w:r>
            <w:r w:rsidRPr="000665B0">
              <w:rPr>
                <w:sz w:val="20"/>
              </w:rPr>
              <w:t>Monitor fails to restart the agent, this error is logged.</w:t>
            </w:r>
          </w:p>
        </w:tc>
        <w:tc>
          <w:tcPr>
            <w:tcW w:w="2093" w:type="pct"/>
            <w:noWrap/>
          </w:tcPr>
          <w:p w14:paraId="1DAB15BE" w14:textId="77777777" w:rsidR="005F576C" w:rsidRPr="000665B0" w:rsidRDefault="005F576C" w:rsidP="005F1DFB">
            <w:pPr>
              <w:spacing w:before="40" w:after="40" w:line="240" w:lineRule="auto"/>
              <w:rPr>
                <w:sz w:val="20"/>
              </w:rPr>
            </w:pPr>
            <w:r w:rsidRPr="000665B0">
              <w:rPr>
                <w:sz w:val="20"/>
              </w:rPr>
              <w:t xml:space="preserve">Recommend reboot PC. </w:t>
            </w:r>
          </w:p>
        </w:tc>
      </w:tr>
      <w:tr w:rsidR="007D72B2" w:rsidRPr="000665B0" w14:paraId="0DD7059D" w14:textId="77777777" w:rsidTr="007D72B2">
        <w:trPr>
          <w:cantSplit/>
          <w:trHeight w:val="255"/>
        </w:trPr>
        <w:tc>
          <w:tcPr>
            <w:tcW w:w="376" w:type="pct"/>
            <w:noWrap/>
          </w:tcPr>
          <w:p w14:paraId="5C3D647A" w14:textId="77777777" w:rsidR="005F576C" w:rsidRPr="000665B0" w:rsidRDefault="005F576C" w:rsidP="005F1DFB">
            <w:pPr>
              <w:spacing w:before="40" w:after="40" w:line="240" w:lineRule="auto"/>
              <w:jc w:val="center"/>
              <w:rPr>
                <w:sz w:val="20"/>
              </w:rPr>
            </w:pPr>
            <w:r w:rsidRPr="000665B0">
              <w:rPr>
                <w:sz w:val="20"/>
              </w:rPr>
              <w:t>49</w:t>
            </w:r>
          </w:p>
        </w:tc>
        <w:tc>
          <w:tcPr>
            <w:tcW w:w="787" w:type="pct"/>
            <w:noWrap/>
          </w:tcPr>
          <w:p w14:paraId="3A4494E1" w14:textId="77777777" w:rsidR="005F576C" w:rsidRPr="000665B0" w:rsidRDefault="005F576C" w:rsidP="00F85F07">
            <w:pPr>
              <w:spacing w:before="40" w:after="40" w:line="240" w:lineRule="auto"/>
              <w:rPr>
                <w:sz w:val="20"/>
              </w:rPr>
            </w:pPr>
            <w:r w:rsidRPr="000665B0">
              <w:rPr>
                <w:sz w:val="20"/>
              </w:rPr>
              <w:t>Failed to add new TCIP</w:t>
            </w:r>
          </w:p>
        </w:tc>
        <w:tc>
          <w:tcPr>
            <w:tcW w:w="1744" w:type="pct"/>
            <w:noWrap/>
          </w:tcPr>
          <w:p w14:paraId="74105F8A" w14:textId="77777777" w:rsidR="005F576C" w:rsidRPr="000665B0" w:rsidRDefault="005F576C" w:rsidP="005F1DFB">
            <w:pPr>
              <w:spacing w:before="40" w:after="40" w:line="240" w:lineRule="auto"/>
              <w:rPr>
                <w:sz w:val="20"/>
              </w:rPr>
            </w:pPr>
          </w:p>
        </w:tc>
        <w:tc>
          <w:tcPr>
            <w:tcW w:w="2093" w:type="pct"/>
            <w:noWrap/>
          </w:tcPr>
          <w:p w14:paraId="332E2F3D" w14:textId="1CA94D39" w:rsidR="005F576C" w:rsidRPr="000665B0" w:rsidRDefault="0037416A" w:rsidP="00E7111D">
            <w:pPr>
              <w:spacing w:before="40" w:after="40" w:line="240" w:lineRule="auto"/>
              <w:rPr>
                <w:sz w:val="20"/>
              </w:rPr>
            </w:pPr>
            <w:r w:rsidRPr="000665B0">
              <w:rPr>
                <w:sz w:val="20"/>
              </w:rPr>
              <w:t xml:space="preserve">Restart TDM Distribution Agent. See </w:t>
            </w:r>
            <w:hyperlink w:anchor="_5.3.1.1.4.2.1__Distribution:" w:history="1">
              <w:r w:rsidRPr="000665B0">
                <w:rPr>
                  <w:rStyle w:val="Hyperlink"/>
                  <w:sz w:val="20"/>
                </w:rPr>
                <w:t>Section 5.3.1.1.4.2.1</w:t>
              </w:r>
            </w:hyperlink>
            <w:r w:rsidRPr="000665B0">
              <w:rPr>
                <w:sz w:val="20"/>
              </w:rPr>
              <w:t>.</w:t>
            </w:r>
          </w:p>
        </w:tc>
      </w:tr>
      <w:tr w:rsidR="007D72B2" w:rsidRPr="000665B0" w14:paraId="2F3AF83A" w14:textId="77777777" w:rsidTr="007D72B2">
        <w:trPr>
          <w:cantSplit/>
          <w:trHeight w:val="255"/>
        </w:trPr>
        <w:tc>
          <w:tcPr>
            <w:tcW w:w="376" w:type="pct"/>
            <w:noWrap/>
          </w:tcPr>
          <w:p w14:paraId="0CFF1255" w14:textId="77777777" w:rsidR="005F576C" w:rsidRPr="000665B0" w:rsidRDefault="005F576C" w:rsidP="005F1DFB">
            <w:pPr>
              <w:spacing w:before="40" w:after="40" w:line="240" w:lineRule="auto"/>
              <w:jc w:val="center"/>
              <w:rPr>
                <w:sz w:val="20"/>
              </w:rPr>
            </w:pPr>
            <w:r w:rsidRPr="000665B0">
              <w:rPr>
                <w:sz w:val="20"/>
              </w:rPr>
              <w:t>50</w:t>
            </w:r>
          </w:p>
        </w:tc>
        <w:tc>
          <w:tcPr>
            <w:tcW w:w="787" w:type="pct"/>
            <w:noWrap/>
          </w:tcPr>
          <w:p w14:paraId="306F067F" w14:textId="77777777" w:rsidR="005F576C" w:rsidRPr="000665B0" w:rsidRDefault="005F576C" w:rsidP="00F85F07">
            <w:pPr>
              <w:spacing w:before="40" w:after="40" w:line="240" w:lineRule="auto"/>
              <w:rPr>
                <w:sz w:val="20"/>
              </w:rPr>
            </w:pPr>
            <w:r w:rsidRPr="000665B0">
              <w:rPr>
                <w:sz w:val="20"/>
              </w:rPr>
              <w:t>Failed to remove TCIP</w:t>
            </w:r>
          </w:p>
        </w:tc>
        <w:tc>
          <w:tcPr>
            <w:tcW w:w="1744" w:type="pct"/>
            <w:noWrap/>
          </w:tcPr>
          <w:p w14:paraId="2E58F1C8" w14:textId="77777777" w:rsidR="005F576C" w:rsidRPr="000665B0" w:rsidRDefault="005F576C" w:rsidP="005F1DFB">
            <w:pPr>
              <w:spacing w:before="40" w:after="40" w:line="240" w:lineRule="auto"/>
              <w:rPr>
                <w:sz w:val="20"/>
              </w:rPr>
            </w:pPr>
          </w:p>
        </w:tc>
        <w:tc>
          <w:tcPr>
            <w:tcW w:w="2093" w:type="pct"/>
            <w:noWrap/>
          </w:tcPr>
          <w:p w14:paraId="25404F9D" w14:textId="0CB44181" w:rsidR="005F576C" w:rsidRPr="000665B0" w:rsidRDefault="0037416A" w:rsidP="00E7111D">
            <w:pPr>
              <w:spacing w:before="40" w:after="40" w:line="240" w:lineRule="auto"/>
              <w:rPr>
                <w:sz w:val="20"/>
              </w:rPr>
            </w:pPr>
            <w:r w:rsidRPr="000665B0">
              <w:rPr>
                <w:sz w:val="20"/>
              </w:rPr>
              <w:t xml:space="preserve">Restart TDM Distribution Agent. See </w:t>
            </w:r>
            <w:hyperlink w:anchor="_5.3.1.1.4.2.1__Distribution:" w:history="1">
              <w:r w:rsidRPr="000665B0">
                <w:rPr>
                  <w:rStyle w:val="Hyperlink"/>
                  <w:sz w:val="20"/>
                </w:rPr>
                <w:t>Section 5.3.1.1.4.2.1</w:t>
              </w:r>
            </w:hyperlink>
            <w:r w:rsidRPr="000665B0">
              <w:rPr>
                <w:sz w:val="20"/>
              </w:rPr>
              <w:t>.</w:t>
            </w:r>
          </w:p>
        </w:tc>
      </w:tr>
      <w:tr w:rsidR="007D72B2" w:rsidRPr="000665B0" w14:paraId="007F6AE8" w14:textId="77777777" w:rsidTr="007D72B2">
        <w:trPr>
          <w:cantSplit/>
          <w:trHeight w:val="255"/>
        </w:trPr>
        <w:tc>
          <w:tcPr>
            <w:tcW w:w="376" w:type="pct"/>
            <w:noWrap/>
          </w:tcPr>
          <w:p w14:paraId="045199C6" w14:textId="77777777" w:rsidR="005F576C" w:rsidRPr="000665B0" w:rsidRDefault="005F576C" w:rsidP="005F1DFB">
            <w:pPr>
              <w:spacing w:before="40" w:after="40" w:line="240" w:lineRule="auto"/>
              <w:jc w:val="center"/>
              <w:rPr>
                <w:sz w:val="20"/>
              </w:rPr>
            </w:pPr>
            <w:r w:rsidRPr="000665B0">
              <w:rPr>
                <w:sz w:val="20"/>
              </w:rPr>
              <w:t>51</w:t>
            </w:r>
          </w:p>
        </w:tc>
        <w:tc>
          <w:tcPr>
            <w:tcW w:w="787" w:type="pct"/>
            <w:noWrap/>
          </w:tcPr>
          <w:p w14:paraId="4984E618" w14:textId="77777777" w:rsidR="005F576C" w:rsidRPr="000665B0" w:rsidRDefault="005F576C" w:rsidP="00F85F07">
            <w:pPr>
              <w:spacing w:before="40" w:after="40" w:line="240" w:lineRule="auto"/>
              <w:rPr>
                <w:sz w:val="20"/>
              </w:rPr>
            </w:pPr>
            <w:r w:rsidRPr="000665B0">
              <w:rPr>
                <w:sz w:val="20"/>
              </w:rPr>
              <w:t>Failed to activate TCIP</w:t>
            </w:r>
          </w:p>
        </w:tc>
        <w:tc>
          <w:tcPr>
            <w:tcW w:w="1744" w:type="pct"/>
            <w:noWrap/>
          </w:tcPr>
          <w:p w14:paraId="0A7C0428" w14:textId="77777777" w:rsidR="005F576C" w:rsidRPr="000665B0" w:rsidRDefault="005F576C" w:rsidP="005F1DFB">
            <w:pPr>
              <w:spacing w:before="40" w:after="40" w:line="240" w:lineRule="auto"/>
              <w:rPr>
                <w:sz w:val="20"/>
              </w:rPr>
            </w:pPr>
          </w:p>
        </w:tc>
        <w:tc>
          <w:tcPr>
            <w:tcW w:w="2093" w:type="pct"/>
            <w:noWrap/>
          </w:tcPr>
          <w:p w14:paraId="52B8396A" w14:textId="4661EA65" w:rsidR="005F576C" w:rsidRPr="000665B0" w:rsidRDefault="0037416A" w:rsidP="00E7111D">
            <w:pPr>
              <w:spacing w:before="40" w:after="40" w:line="240" w:lineRule="auto"/>
              <w:rPr>
                <w:sz w:val="20"/>
              </w:rPr>
            </w:pPr>
            <w:r w:rsidRPr="000665B0">
              <w:rPr>
                <w:sz w:val="20"/>
              </w:rPr>
              <w:t xml:space="preserve">Restart TDM Distribution Agent. See </w:t>
            </w:r>
            <w:hyperlink w:anchor="_5.3.1.1.4.2.1__Distribution:" w:history="1">
              <w:r w:rsidRPr="000665B0">
                <w:rPr>
                  <w:rStyle w:val="Hyperlink"/>
                  <w:sz w:val="20"/>
                </w:rPr>
                <w:t>Section 5.3.1.1.4.2.1</w:t>
              </w:r>
            </w:hyperlink>
            <w:r w:rsidRPr="000665B0">
              <w:rPr>
                <w:sz w:val="20"/>
              </w:rPr>
              <w:t>.</w:t>
            </w:r>
          </w:p>
        </w:tc>
      </w:tr>
      <w:tr w:rsidR="007D72B2" w:rsidRPr="000665B0" w14:paraId="5AF144B3" w14:textId="77777777" w:rsidTr="007D72B2">
        <w:trPr>
          <w:cantSplit/>
          <w:trHeight w:val="255"/>
        </w:trPr>
        <w:tc>
          <w:tcPr>
            <w:tcW w:w="376" w:type="pct"/>
            <w:noWrap/>
          </w:tcPr>
          <w:p w14:paraId="33350021" w14:textId="77777777" w:rsidR="005F576C" w:rsidRPr="000665B0" w:rsidRDefault="005F576C" w:rsidP="005F1DFB">
            <w:pPr>
              <w:spacing w:before="40" w:after="40" w:line="240" w:lineRule="auto"/>
              <w:jc w:val="center"/>
              <w:rPr>
                <w:sz w:val="20"/>
              </w:rPr>
            </w:pPr>
            <w:r w:rsidRPr="000665B0">
              <w:rPr>
                <w:sz w:val="20"/>
              </w:rPr>
              <w:t>52</w:t>
            </w:r>
          </w:p>
        </w:tc>
        <w:tc>
          <w:tcPr>
            <w:tcW w:w="787" w:type="pct"/>
            <w:noWrap/>
          </w:tcPr>
          <w:p w14:paraId="1352AE29" w14:textId="77777777" w:rsidR="005F576C" w:rsidRPr="000665B0" w:rsidRDefault="005F576C" w:rsidP="00F85F07">
            <w:pPr>
              <w:spacing w:before="40" w:after="40" w:line="240" w:lineRule="auto"/>
              <w:rPr>
                <w:sz w:val="20"/>
              </w:rPr>
            </w:pPr>
            <w:r w:rsidRPr="000665B0">
              <w:rPr>
                <w:sz w:val="20"/>
              </w:rPr>
              <w:t>Failed to start LINT connection</w:t>
            </w:r>
          </w:p>
        </w:tc>
        <w:tc>
          <w:tcPr>
            <w:tcW w:w="1744" w:type="pct"/>
            <w:noWrap/>
          </w:tcPr>
          <w:p w14:paraId="65F01466" w14:textId="77777777" w:rsidR="005F576C" w:rsidRPr="000665B0" w:rsidRDefault="005F576C" w:rsidP="005F1DFB">
            <w:pPr>
              <w:spacing w:before="40" w:after="40" w:line="240" w:lineRule="auto"/>
              <w:rPr>
                <w:sz w:val="20"/>
              </w:rPr>
            </w:pPr>
          </w:p>
        </w:tc>
        <w:tc>
          <w:tcPr>
            <w:tcW w:w="2093" w:type="pct"/>
            <w:noWrap/>
          </w:tcPr>
          <w:p w14:paraId="464B89C6" w14:textId="3D70836D" w:rsidR="005F576C" w:rsidRPr="000665B0" w:rsidRDefault="0037416A" w:rsidP="00E7111D">
            <w:pPr>
              <w:spacing w:before="40" w:after="40" w:line="240" w:lineRule="auto"/>
              <w:rPr>
                <w:sz w:val="20"/>
              </w:rPr>
            </w:pPr>
            <w:r w:rsidRPr="000665B0">
              <w:rPr>
                <w:sz w:val="20"/>
              </w:rPr>
              <w:t xml:space="preserve">Restart TDM Distribution Agent. See </w:t>
            </w:r>
            <w:hyperlink w:anchor="_5.3.1.1.4.2.1__Distribution:" w:history="1">
              <w:r w:rsidRPr="000665B0">
                <w:rPr>
                  <w:rStyle w:val="Hyperlink"/>
                  <w:sz w:val="20"/>
                </w:rPr>
                <w:t>Section 5.3.1.1.4.2.1</w:t>
              </w:r>
            </w:hyperlink>
            <w:r w:rsidRPr="000665B0">
              <w:rPr>
                <w:sz w:val="20"/>
              </w:rPr>
              <w:t>.</w:t>
            </w:r>
          </w:p>
        </w:tc>
      </w:tr>
      <w:tr w:rsidR="007D72B2" w:rsidRPr="000665B0" w14:paraId="3031AE1D" w14:textId="77777777" w:rsidTr="007D72B2">
        <w:trPr>
          <w:cantSplit/>
          <w:trHeight w:val="255"/>
        </w:trPr>
        <w:tc>
          <w:tcPr>
            <w:tcW w:w="376" w:type="pct"/>
            <w:noWrap/>
          </w:tcPr>
          <w:p w14:paraId="74E563B6" w14:textId="77777777" w:rsidR="005F576C" w:rsidRPr="000665B0" w:rsidRDefault="005F576C" w:rsidP="005F1DFB">
            <w:pPr>
              <w:spacing w:before="40" w:after="40" w:line="240" w:lineRule="auto"/>
              <w:jc w:val="center"/>
              <w:rPr>
                <w:sz w:val="20"/>
              </w:rPr>
            </w:pPr>
            <w:r w:rsidRPr="000665B0">
              <w:rPr>
                <w:sz w:val="20"/>
              </w:rPr>
              <w:t>53</w:t>
            </w:r>
          </w:p>
        </w:tc>
        <w:tc>
          <w:tcPr>
            <w:tcW w:w="787" w:type="pct"/>
            <w:noWrap/>
          </w:tcPr>
          <w:p w14:paraId="1F2F3169" w14:textId="77777777" w:rsidR="005F576C" w:rsidRPr="000665B0" w:rsidRDefault="005F576C" w:rsidP="00F85F07">
            <w:pPr>
              <w:spacing w:before="40" w:after="40" w:line="240" w:lineRule="auto"/>
              <w:rPr>
                <w:sz w:val="20"/>
              </w:rPr>
            </w:pPr>
            <w:r w:rsidRPr="000665B0">
              <w:rPr>
                <w:sz w:val="20"/>
              </w:rPr>
              <w:t>Failed to stop LINT connection</w:t>
            </w:r>
          </w:p>
        </w:tc>
        <w:tc>
          <w:tcPr>
            <w:tcW w:w="1744" w:type="pct"/>
            <w:noWrap/>
          </w:tcPr>
          <w:p w14:paraId="70873905" w14:textId="77777777" w:rsidR="005F576C" w:rsidRPr="000665B0" w:rsidRDefault="005F576C" w:rsidP="005F1DFB">
            <w:pPr>
              <w:spacing w:before="40" w:after="40" w:line="240" w:lineRule="auto"/>
              <w:rPr>
                <w:sz w:val="20"/>
              </w:rPr>
            </w:pPr>
          </w:p>
        </w:tc>
        <w:tc>
          <w:tcPr>
            <w:tcW w:w="2093" w:type="pct"/>
            <w:noWrap/>
          </w:tcPr>
          <w:p w14:paraId="0EA377A5" w14:textId="52586409" w:rsidR="005F576C" w:rsidRPr="000665B0" w:rsidRDefault="0037416A" w:rsidP="00E7111D">
            <w:pPr>
              <w:spacing w:before="40" w:after="40" w:line="240" w:lineRule="auto"/>
              <w:rPr>
                <w:sz w:val="20"/>
              </w:rPr>
            </w:pPr>
            <w:r w:rsidRPr="000665B0">
              <w:rPr>
                <w:sz w:val="20"/>
              </w:rPr>
              <w:t xml:space="preserve">Restart TDM Distribution Agent. See </w:t>
            </w:r>
            <w:hyperlink w:anchor="_5.3.1.1.4.2.1__Distribution:" w:history="1">
              <w:r w:rsidRPr="000665B0">
                <w:rPr>
                  <w:rStyle w:val="Hyperlink"/>
                  <w:sz w:val="20"/>
                </w:rPr>
                <w:t>Section 5.3.1.1.4.2.1</w:t>
              </w:r>
            </w:hyperlink>
            <w:r w:rsidRPr="000665B0">
              <w:rPr>
                <w:sz w:val="20"/>
              </w:rPr>
              <w:t>.</w:t>
            </w:r>
          </w:p>
        </w:tc>
      </w:tr>
      <w:tr w:rsidR="007D72B2" w:rsidRPr="000665B0" w14:paraId="035FBAD9" w14:textId="77777777" w:rsidTr="007D72B2">
        <w:trPr>
          <w:cantSplit/>
          <w:trHeight w:val="255"/>
        </w:trPr>
        <w:tc>
          <w:tcPr>
            <w:tcW w:w="376" w:type="pct"/>
            <w:noWrap/>
          </w:tcPr>
          <w:p w14:paraId="7CF158B6" w14:textId="77777777" w:rsidR="005F576C" w:rsidRPr="000665B0" w:rsidRDefault="005F576C" w:rsidP="005F1DFB">
            <w:pPr>
              <w:spacing w:before="40" w:after="40" w:line="240" w:lineRule="auto"/>
              <w:jc w:val="center"/>
              <w:rPr>
                <w:sz w:val="20"/>
              </w:rPr>
            </w:pPr>
            <w:r w:rsidRPr="000665B0">
              <w:rPr>
                <w:sz w:val="20"/>
              </w:rPr>
              <w:t>54</w:t>
            </w:r>
          </w:p>
        </w:tc>
        <w:tc>
          <w:tcPr>
            <w:tcW w:w="787" w:type="pct"/>
            <w:noWrap/>
          </w:tcPr>
          <w:p w14:paraId="51E53793" w14:textId="77777777" w:rsidR="005F576C" w:rsidRPr="000665B0" w:rsidRDefault="005F576C" w:rsidP="00F85F07">
            <w:pPr>
              <w:spacing w:before="40" w:after="40" w:line="240" w:lineRule="auto"/>
              <w:rPr>
                <w:sz w:val="20"/>
              </w:rPr>
            </w:pPr>
            <w:r w:rsidRPr="000665B0">
              <w:rPr>
                <w:sz w:val="20"/>
              </w:rPr>
              <w:t>Failed to modify UER setting</w:t>
            </w:r>
          </w:p>
        </w:tc>
        <w:tc>
          <w:tcPr>
            <w:tcW w:w="1744" w:type="pct"/>
            <w:noWrap/>
          </w:tcPr>
          <w:p w14:paraId="6191ED2C" w14:textId="77777777" w:rsidR="005F576C" w:rsidRPr="000665B0" w:rsidRDefault="005F576C" w:rsidP="005F1DFB">
            <w:pPr>
              <w:spacing w:before="40" w:after="40" w:line="240" w:lineRule="auto"/>
              <w:rPr>
                <w:sz w:val="20"/>
              </w:rPr>
            </w:pPr>
          </w:p>
        </w:tc>
        <w:tc>
          <w:tcPr>
            <w:tcW w:w="2093" w:type="pct"/>
            <w:noWrap/>
          </w:tcPr>
          <w:p w14:paraId="3644AAF8" w14:textId="0FE39066" w:rsidR="005F576C" w:rsidRPr="000665B0" w:rsidRDefault="0037416A" w:rsidP="00E7111D">
            <w:pPr>
              <w:spacing w:before="40" w:after="40" w:line="240" w:lineRule="auto"/>
              <w:rPr>
                <w:sz w:val="20"/>
              </w:rPr>
            </w:pPr>
            <w:r w:rsidRPr="000665B0">
              <w:rPr>
                <w:sz w:val="20"/>
              </w:rPr>
              <w:t xml:space="preserve">Restart TDM Distribution Agent. See </w:t>
            </w:r>
            <w:hyperlink w:anchor="_5.3.1.1.4.2.1__Distribution:" w:history="1">
              <w:r w:rsidRPr="000665B0">
                <w:rPr>
                  <w:rStyle w:val="Hyperlink"/>
                  <w:sz w:val="20"/>
                </w:rPr>
                <w:t>Section 5.3.1.1.4.2.1</w:t>
              </w:r>
            </w:hyperlink>
            <w:r w:rsidRPr="000665B0">
              <w:rPr>
                <w:sz w:val="20"/>
              </w:rPr>
              <w:t>.</w:t>
            </w:r>
          </w:p>
        </w:tc>
      </w:tr>
      <w:tr w:rsidR="007D72B2" w:rsidRPr="000665B0" w14:paraId="2EB5091D" w14:textId="77777777" w:rsidTr="007D72B2">
        <w:trPr>
          <w:cantSplit/>
          <w:trHeight w:val="255"/>
        </w:trPr>
        <w:tc>
          <w:tcPr>
            <w:tcW w:w="376" w:type="pct"/>
            <w:noWrap/>
          </w:tcPr>
          <w:p w14:paraId="0A8FC6A4" w14:textId="77777777" w:rsidR="005F576C" w:rsidRPr="000665B0" w:rsidRDefault="005F576C" w:rsidP="005F1DFB">
            <w:pPr>
              <w:spacing w:before="40" w:after="40" w:line="240" w:lineRule="auto"/>
              <w:jc w:val="center"/>
              <w:rPr>
                <w:sz w:val="20"/>
              </w:rPr>
            </w:pPr>
            <w:r w:rsidRPr="000665B0">
              <w:rPr>
                <w:sz w:val="20"/>
              </w:rPr>
              <w:lastRenderedPageBreak/>
              <w:t>55</w:t>
            </w:r>
          </w:p>
        </w:tc>
        <w:tc>
          <w:tcPr>
            <w:tcW w:w="787" w:type="pct"/>
            <w:noWrap/>
          </w:tcPr>
          <w:p w14:paraId="48C430B5" w14:textId="77777777" w:rsidR="005F576C" w:rsidRPr="000665B0" w:rsidRDefault="005F576C" w:rsidP="00F85F07">
            <w:pPr>
              <w:spacing w:before="40" w:after="40" w:line="240" w:lineRule="auto"/>
              <w:rPr>
                <w:sz w:val="20"/>
              </w:rPr>
            </w:pPr>
            <w:r w:rsidRPr="000665B0">
              <w:rPr>
                <w:sz w:val="20"/>
              </w:rPr>
              <w:t>Failed to modify secretOps setting</w:t>
            </w:r>
          </w:p>
        </w:tc>
        <w:tc>
          <w:tcPr>
            <w:tcW w:w="1744" w:type="pct"/>
            <w:noWrap/>
          </w:tcPr>
          <w:p w14:paraId="298D7343" w14:textId="77777777" w:rsidR="005F576C" w:rsidRPr="000665B0" w:rsidRDefault="005F576C" w:rsidP="005F1DFB">
            <w:pPr>
              <w:spacing w:before="40" w:after="40" w:line="240" w:lineRule="auto"/>
              <w:rPr>
                <w:sz w:val="20"/>
              </w:rPr>
            </w:pPr>
          </w:p>
        </w:tc>
        <w:tc>
          <w:tcPr>
            <w:tcW w:w="2093" w:type="pct"/>
            <w:noWrap/>
          </w:tcPr>
          <w:p w14:paraId="328B8D35" w14:textId="0847FCB8" w:rsidR="005F576C" w:rsidRPr="000665B0" w:rsidRDefault="0037416A" w:rsidP="00E7111D">
            <w:pPr>
              <w:spacing w:before="40" w:after="40" w:line="240" w:lineRule="auto"/>
              <w:rPr>
                <w:sz w:val="20"/>
              </w:rPr>
            </w:pPr>
            <w:r w:rsidRPr="000665B0">
              <w:rPr>
                <w:sz w:val="20"/>
              </w:rPr>
              <w:t xml:space="preserve">Restart TDM Distribution Agent. See </w:t>
            </w:r>
            <w:hyperlink w:anchor="_5.3.1.1.4.2.1__Distribution:" w:history="1">
              <w:r w:rsidRPr="000665B0">
                <w:rPr>
                  <w:rStyle w:val="Hyperlink"/>
                  <w:sz w:val="20"/>
                </w:rPr>
                <w:t>Section 5.3.1.1.4.2.1</w:t>
              </w:r>
            </w:hyperlink>
            <w:r w:rsidRPr="000665B0">
              <w:rPr>
                <w:sz w:val="20"/>
              </w:rPr>
              <w:t>.</w:t>
            </w:r>
          </w:p>
        </w:tc>
      </w:tr>
      <w:tr w:rsidR="007D72B2" w:rsidRPr="000665B0" w14:paraId="5D05E1F4" w14:textId="77777777" w:rsidTr="007D72B2">
        <w:trPr>
          <w:cantSplit/>
          <w:trHeight w:val="255"/>
        </w:trPr>
        <w:tc>
          <w:tcPr>
            <w:tcW w:w="376" w:type="pct"/>
            <w:noWrap/>
          </w:tcPr>
          <w:p w14:paraId="722B75B9" w14:textId="77777777" w:rsidR="005F576C" w:rsidRPr="000665B0" w:rsidRDefault="005F576C" w:rsidP="005F1DFB">
            <w:pPr>
              <w:spacing w:before="40" w:after="40" w:line="240" w:lineRule="auto"/>
              <w:jc w:val="center"/>
              <w:rPr>
                <w:sz w:val="20"/>
              </w:rPr>
            </w:pPr>
            <w:r w:rsidRPr="000665B0">
              <w:rPr>
                <w:sz w:val="20"/>
              </w:rPr>
              <w:t>56</w:t>
            </w:r>
          </w:p>
        </w:tc>
        <w:tc>
          <w:tcPr>
            <w:tcW w:w="787" w:type="pct"/>
            <w:noWrap/>
          </w:tcPr>
          <w:p w14:paraId="08503265" w14:textId="77777777" w:rsidR="005F576C" w:rsidRPr="000665B0" w:rsidRDefault="005F576C" w:rsidP="00F85F07">
            <w:pPr>
              <w:spacing w:before="40" w:after="40" w:line="240" w:lineRule="auto"/>
              <w:rPr>
                <w:sz w:val="20"/>
              </w:rPr>
            </w:pPr>
            <w:r w:rsidRPr="000665B0">
              <w:rPr>
                <w:sz w:val="20"/>
              </w:rPr>
              <w:t xml:space="preserve">Could not connect to </w:t>
            </w:r>
            <w:r w:rsidR="00A821D9" w:rsidRPr="000665B0">
              <w:rPr>
                <w:sz w:val="20"/>
              </w:rPr>
              <w:t>Distribution Service</w:t>
            </w:r>
            <w:r w:rsidRPr="000665B0">
              <w:rPr>
                <w:sz w:val="20"/>
              </w:rPr>
              <w:t xml:space="preserve"> (for {0})</w:t>
            </w:r>
          </w:p>
        </w:tc>
        <w:tc>
          <w:tcPr>
            <w:tcW w:w="1744" w:type="pct"/>
            <w:noWrap/>
          </w:tcPr>
          <w:p w14:paraId="07AA0DA8" w14:textId="77777777" w:rsidR="005F576C" w:rsidRPr="000665B0" w:rsidRDefault="005F576C" w:rsidP="005F1DFB">
            <w:pPr>
              <w:spacing w:before="40" w:after="40" w:line="240" w:lineRule="auto"/>
              <w:rPr>
                <w:sz w:val="20"/>
              </w:rPr>
            </w:pPr>
            <w:r w:rsidRPr="000665B0">
              <w:rPr>
                <w:sz w:val="20"/>
              </w:rPr>
              <w:t>Unused</w:t>
            </w:r>
            <w:r w:rsidR="00F85F07" w:rsidRPr="000665B0">
              <w:rPr>
                <w:sz w:val="20"/>
              </w:rPr>
              <w:t>.</w:t>
            </w:r>
          </w:p>
        </w:tc>
        <w:tc>
          <w:tcPr>
            <w:tcW w:w="2093" w:type="pct"/>
            <w:noWrap/>
          </w:tcPr>
          <w:p w14:paraId="21DAAC04" w14:textId="77777777" w:rsidR="005F576C" w:rsidRPr="000665B0" w:rsidRDefault="005F576C" w:rsidP="005F1DFB">
            <w:pPr>
              <w:spacing w:before="40" w:after="40" w:line="240" w:lineRule="auto"/>
              <w:rPr>
                <w:sz w:val="20"/>
              </w:rPr>
            </w:pPr>
            <w:r w:rsidRPr="000665B0">
              <w:rPr>
                <w:sz w:val="20"/>
              </w:rPr>
              <w:t>Unused</w:t>
            </w:r>
            <w:r w:rsidR="00F85F07" w:rsidRPr="000665B0">
              <w:rPr>
                <w:sz w:val="20"/>
              </w:rPr>
              <w:t>.</w:t>
            </w:r>
          </w:p>
        </w:tc>
      </w:tr>
      <w:tr w:rsidR="00CB20AB" w:rsidRPr="000665B0" w14:paraId="30750C18" w14:textId="77777777" w:rsidTr="007D72B2">
        <w:trPr>
          <w:cantSplit/>
          <w:trHeight w:val="255"/>
        </w:trPr>
        <w:tc>
          <w:tcPr>
            <w:tcW w:w="376" w:type="pct"/>
            <w:noWrap/>
          </w:tcPr>
          <w:p w14:paraId="45BA38F0" w14:textId="77777777" w:rsidR="00CB20AB" w:rsidRPr="000665B0" w:rsidRDefault="00CB20AB" w:rsidP="005F1DFB">
            <w:pPr>
              <w:spacing w:before="40" w:after="40" w:line="240" w:lineRule="auto"/>
              <w:jc w:val="center"/>
              <w:rPr>
                <w:sz w:val="20"/>
              </w:rPr>
            </w:pPr>
            <w:r w:rsidRPr="000665B0">
              <w:rPr>
                <w:sz w:val="20"/>
              </w:rPr>
              <w:t>57</w:t>
            </w:r>
          </w:p>
        </w:tc>
        <w:tc>
          <w:tcPr>
            <w:tcW w:w="787" w:type="pct"/>
            <w:noWrap/>
          </w:tcPr>
          <w:p w14:paraId="14272D3A" w14:textId="77777777" w:rsidR="00CB20AB" w:rsidRPr="000665B0" w:rsidRDefault="00CB20AB" w:rsidP="00F85F07">
            <w:pPr>
              <w:spacing w:before="40" w:after="40" w:line="240" w:lineRule="auto"/>
              <w:rPr>
                <w:sz w:val="20"/>
              </w:rPr>
            </w:pPr>
            <w:r w:rsidRPr="000665B0">
              <w:rPr>
                <w:sz w:val="20"/>
              </w:rPr>
              <w:t>Removed.</w:t>
            </w:r>
          </w:p>
        </w:tc>
        <w:tc>
          <w:tcPr>
            <w:tcW w:w="1744" w:type="pct"/>
            <w:noWrap/>
          </w:tcPr>
          <w:p w14:paraId="3DFEBBF9" w14:textId="77777777" w:rsidR="00CB20AB" w:rsidRPr="000665B0" w:rsidRDefault="00CB20AB" w:rsidP="005F1DFB">
            <w:pPr>
              <w:spacing w:before="40" w:after="40" w:line="240" w:lineRule="auto"/>
              <w:rPr>
                <w:sz w:val="20"/>
              </w:rPr>
            </w:pPr>
            <w:r w:rsidRPr="000665B0">
              <w:rPr>
                <w:sz w:val="20"/>
              </w:rPr>
              <w:t>Removed.</w:t>
            </w:r>
          </w:p>
        </w:tc>
        <w:tc>
          <w:tcPr>
            <w:tcW w:w="2093" w:type="pct"/>
            <w:noWrap/>
          </w:tcPr>
          <w:p w14:paraId="707E183F" w14:textId="77777777" w:rsidR="00CB20AB" w:rsidRPr="000665B0" w:rsidRDefault="00CB20AB" w:rsidP="005F1DFB">
            <w:pPr>
              <w:spacing w:before="40" w:after="40" w:line="240" w:lineRule="auto"/>
              <w:rPr>
                <w:sz w:val="20"/>
              </w:rPr>
            </w:pPr>
            <w:r w:rsidRPr="000665B0">
              <w:rPr>
                <w:sz w:val="20"/>
              </w:rPr>
              <w:t>Removed.</w:t>
            </w:r>
          </w:p>
        </w:tc>
      </w:tr>
      <w:tr w:rsidR="00CB20AB" w:rsidRPr="000665B0" w14:paraId="160ABE82" w14:textId="77777777" w:rsidTr="007D72B2">
        <w:trPr>
          <w:cantSplit/>
          <w:trHeight w:val="255"/>
        </w:trPr>
        <w:tc>
          <w:tcPr>
            <w:tcW w:w="376" w:type="pct"/>
            <w:noWrap/>
          </w:tcPr>
          <w:p w14:paraId="155DBB14" w14:textId="77777777" w:rsidR="00CB20AB" w:rsidRPr="000665B0" w:rsidRDefault="00CB20AB" w:rsidP="005F1DFB">
            <w:pPr>
              <w:spacing w:before="40" w:after="40" w:line="240" w:lineRule="auto"/>
              <w:jc w:val="center"/>
              <w:rPr>
                <w:sz w:val="20"/>
              </w:rPr>
            </w:pPr>
            <w:r w:rsidRPr="000665B0">
              <w:rPr>
                <w:sz w:val="20"/>
              </w:rPr>
              <w:t>58</w:t>
            </w:r>
          </w:p>
        </w:tc>
        <w:tc>
          <w:tcPr>
            <w:tcW w:w="787" w:type="pct"/>
            <w:noWrap/>
          </w:tcPr>
          <w:p w14:paraId="47DEB73F" w14:textId="77777777" w:rsidR="00CB20AB" w:rsidRPr="000665B0" w:rsidRDefault="00CB20AB" w:rsidP="00F85F07">
            <w:pPr>
              <w:spacing w:before="40" w:after="40" w:line="240" w:lineRule="auto"/>
              <w:rPr>
                <w:sz w:val="20"/>
              </w:rPr>
            </w:pPr>
            <w:r w:rsidRPr="000665B0">
              <w:rPr>
                <w:sz w:val="20"/>
              </w:rPr>
              <w:t>Removed.</w:t>
            </w:r>
          </w:p>
        </w:tc>
        <w:tc>
          <w:tcPr>
            <w:tcW w:w="1744" w:type="pct"/>
            <w:noWrap/>
          </w:tcPr>
          <w:p w14:paraId="4628C294" w14:textId="77777777" w:rsidR="00CB20AB" w:rsidRPr="000665B0" w:rsidRDefault="00CB20AB" w:rsidP="005F1DFB">
            <w:pPr>
              <w:spacing w:before="40" w:after="40" w:line="240" w:lineRule="auto"/>
              <w:rPr>
                <w:sz w:val="20"/>
              </w:rPr>
            </w:pPr>
            <w:r w:rsidRPr="000665B0">
              <w:rPr>
                <w:sz w:val="20"/>
              </w:rPr>
              <w:t>Removed.</w:t>
            </w:r>
          </w:p>
        </w:tc>
        <w:tc>
          <w:tcPr>
            <w:tcW w:w="2093" w:type="pct"/>
            <w:noWrap/>
          </w:tcPr>
          <w:p w14:paraId="24BD87AD" w14:textId="77777777" w:rsidR="00CB20AB" w:rsidRPr="000665B0" w:rsidRDefault="00CB20AB" w:rsidP="005F1DFB">
            <w:pPr>
              <w:spacing w:before="40" w:after="40" w:line="240" w:lineRule="auto"/>
              <w:rPr>
                <w:sz w:val="20"/>
              </w:rPr>
            </w:pPr>
            <w:r w:rsidRPr="000665B0">
              <w:rPr>
                <w:sz w:val="20"/>
              </w:rPr>
              <w:t>Removed.</w:t>
            </w:r>
          </w:p>
        </w:tc>
      </w:tr>
      <w:tr w:rsidR="007D72B2" w:rsidRPr="000665B0" w14:paraId="06BA6CF9" w14:textId="77777777" w:rsidTr="007D72B2">
        <w:trPr>
          <w:cantSplit/>
          <w:trHeight w:val="255"/>
        </w:trPr>
        <w:tc>
          <w:tcPr>
            <w:tcW w:w="376" w:type="pct"/>
            <w:noWrap/>
          </w:tcPr>
          <w:p w14:paraId="353B3FB8" w14:textId="77777777" w:rsidR="005F576C" w:rsidRPr="000665B0" w:rsidRDefault="00C74262" w:rsidP="00C74262">
            <w:pPr>
              <w:spacing w:before="40" w:after="40" w:line="240" w:lineRule="auto"/>
              <w:jc w:val="center"/>
              <w:rPr>
                <w:sz w:val="20"/>
              </w:rPr>
            </w:pPr>
            <w:r w:rsidRPr="000665B0">
              <w:rPr>
                <w:sz w:val="20"/>
              </w:rPr>
              <w:t>59</w:t>
            </w:r>
          </w:p>
        </w:tc>
        <w:tc>
          <w:tcPr>
            <w:tcW w:w="787" w:type="pct"/>
            <w:noWrap/>
          </w:tcPr>
          <w:p w14:paraId="3D083C0D" w14:textId="77777777" w:rsidR="005F576C" w:rsidRPr="000665B0" w:rsidRDefault="005F576C" w:rsidP="00F85F07">
            <w:pPr>
              <w:spacing w:before="40" w:after="40" w:line="240" w:lineRule="auto"/>
              <w:rPr>
                <w:sz w:val="20"/>
              </w:rPr>
            </w:pPr>
            <w:r w:rsidRPr="000665B0">
              <w:rPr>
                <w:sz w:val="20"/>
              </w:rPr>
              <w:t>Failed to check queue existence</w:t>
            </w:r>
          </w:p>
        </w:tc>
        <w:tc>
          <w:tcPr>
            <w:tcW w:w="1744" w:type="pct"/>
            <w:noWrap/>
          </w:tcPr>
          <w:p w14:paraId="7FF4A020" w14:textId="77777777" w:rsidR="005F576C" w:rsidRPr="000665B0" w:rsidRDefault="005F576C" w:rsidP="005F1DFB">
            <w:pPr>
              <w:spacing w:before="40" w:after="40" w:line="240" w:lineRule="auto"/>
              <w:rPr>
                <w:sz w:val="20"/>
              </w:rPr>
            </w:pPr>
          </w:p>
        </w:tc>
        <w:tc>
          <w:tcPr>
            <w:tcW w:w="2093" w:type="pct"/>
            <w:noWrap/>
          </w:tcPr>
          <w:p w14:paraId="66AFF0EC" w14:textId="77777777" w:rsidR="005F576C" w:rsidRPr="000665B0" w:rsidRDefault="005F576C" w:rsidP="00CD34C0">
            <w:pPr>
              <w:spacing w:before="40" w:after="40" w:line="240" w:lineRule="auto"/>
              <w:rPr>
                <w:sz w:val="20"/>
              </w:rPr>
            </w:pPr>
            <w:r w:rsidRPr="000665B0">
              <w:rPr>
                <w:sz w:val="20"/>
              </w:rPr>
              <w:t xml:space="preserve">Is MSMQ running/installed? (Check via </w:t>
            </w:r>
            <w:r w:rsidR="00CD34C0" w:rsidRPr="000665B0">
              <w:rPr>
                <w:sz w:val="20"/>
              </w:rPr>
              <w:t>Computer Management</w:t>
            </w:r>
            <w:r w:rsidRPr="000665B0">
              <w:rPr>
                <w:sz w:val="20"/>
              </w:rPr>
              <w:t xml:space="preserve"> </w:t>
            </w:r>
            <w:r w:rsidR="00A05D58" w:rsidRPr="000665B0">
              <w:rPr>
                <w:b/>
                <w:sz w:val="20"/>
              </w:rPr>
              <w:sym w:font="Wingdings" w:char="F0E0"/>
            </w:r>
            <w:r w:rsidRPr="000665B0">
              <w:rPr>
                <w:sz w:val="20"/>
              </w:rPr>
              <w:t xml:space="preserve"> </w:t>
            </w:r>
            <w:r w:rsidR="00CD34C0" w:rsidRPr="000665B0">
              <w:rPr>
                <w:sz w:val="20"/>
              </w:rPr>
              <w:t>Services and Applications</w:t>
            </w:r>
            <w:r w:rsidRPr="000665B0">
              <w:rPr>
                <w:sz w:val="20"/>
              </w:rPr>
              <w:t xml:space="preserve"> </w:t>
            </w:r>
            <w:r w:rsidR="00A05D58" w:rsidRPr="000665B0">
              <w:rPr>
                <w:b/>
                <w:sz w:val="20"/>
              </w:rPr>
              <w:sym w:font="Wingdings" w:char="F0E0"/>
            </w:r>
            <w:r w:rsidRPr="000665B0">
              <w:rPr>
                <w:sz w:val="20"/>
              </w:rPr>
              <w:t xml:space="preserve"> Services</w:t>
            </w:r>
            <w:r w:rsidR="00CD34C0" w:rsidRPr="000665B0">
              <w:rPr>
                <w:sz w:val="20"/>
              </w:rPr>
              <w:t>.</w:t>
            </w:r>
            <w:r w:rsidRPr="000665B0">
              <w:rPr>
                <w:sz w:val="20"/>
              </w:rPr>
              <w:t>)</w:t>
            </w:r>
          </w:p>
        </w:tc>
      </w:tr>
      <w:tr w:rsidR="007D72B2" w:rsidRPr="000665B0" w14:paraId="11AA9D5D" w14:textId="77777777" w:rsidTr="007D72B2">
        <w:trPr>
          <w:cantSplit/>
          <w:trHeight w:val="255"/>
        </w:trPr>
        <w:tc>
          <w:tcPr>
            <w:tcW w:w="376" w:type="pct"/>
            <w:noWrap/>
          </w:tcPr>
          <w:p w14:paraId="38F33AC3" w14:textId="77777777" w:rsidR="005F576C" w:rsidRPr="000665B0" w:rsidRDefault="00C74262" w:rsidP="005F1DFB">
            <w:pPr>
              <w:spacing w:before="40" w:after="40" w:line="240" w:lineRule="auto"/>
              <w:jc w:val="center"/>
              <w:rPr>
                <w:sz w:val="20"/>
              </w:rPr>
            </w:pPr>
            <w:r w:rsidRPr="000665B0">
              <w:rPr>
                <w:sz w:val="20"/>
              </w:rPr>
              <w:t>60</w:t>
            </w:r>
          </w:p>
        </w:tc>
        <w:tc>
          <w:tcPr>
            <w:tcW w:w="787" w:type="pct"/>
            <w:noWrap/>
          </w:tcPr>
          <w:p w14:paraId="66222E6B" w14:textId="77777777" w:rsidR="005F576C" w:rsidRPr="000665B0" w:rsidRDefault="005F576C" w:rsidP="00F85F07">
            <w:pPr>
              <w:spacing w:before="40" w:after="40" w:line="240" w:lineRule="auto"/>
              <w:rPr>
                <w:sz w:val="20"/>
              </w:rPr>
            </w:pPr>
            <w:r w:rsidRPr="000665B0">
              <w:rPr>
                <w:sz w:val="20"/>
              </w:rPr>
              <w:t>{0} could not connect to queue</w:t>
            </w:r>
          </w:p>
        </w:tc>
        <w:tc>
          <w:tcPr>
            <w:tcW w:w="1744" w:type="pct"/>
            <w:noWrap/>
          </w:tcPr>
          <w:p w14:paraId="485BA812" w14:textId="77777777" w:rsidR="005F576C" w:rsidRPr="000665B0" w:rsidRDefault="005F576C" w:rsidP="005F1DFB">
            <w:pPr>
              <w:spacing w:before="40" w:after="40" w:line="240" w:lineRule="auto"/>
              <w:rPr>
                <w:sz w:val="20"/>
              </w:rPr>
            </w:pPr>
          </w:p>
        </w:tc>
        <w:tc>
          <w:tcPr>
            <w:tcW w:w="2093" w:type="pct"/>
            <w:noWrap/>
          </w:tcPr>
          <w:p w14:paraId="7F4B9546" w14:textId="77777777" w:rsidR="005F576C" w:rsidRPr="000665B0" w:rsidRDefault="005F576C" w:rsidP="00CD34C0">
            <w:pPr>
              <w:spacing w:before="40" w:after="40" w:line="240" w:lineRule="auto"/>
              <w:rPr>
                <w:sz w:val="20"/>
              </w:rPr>
            </w:pPr>
            <w:r w:rsidRPr="000665B0">
              <w:rPr>
                <w:sz w:val="20"/>
              </w:rPr>
              <w:t xml:space="preserve">Is MSMQ running/installed? (Check via </w:t>
            </w:r>
            <w:r w:rsidR="00CD34C0" w:rsidRPr="000665B0">
              <w:rPr>
                <w:sz w:val="20"/>
              </w:rPr>
              <w:t>Computer Manageme</w:t>
            </w:r>
            <w:r w:rsidR="00AE399F" w:rsidRPr="000665B0">
              <w:rPr>
                <w:sz w:val="20"/>
              </w:rPr>
              <w:t>n</w:t>
            </w:r>
            <w:r w:rsidR="00CD34C0" w:rsidRPr="000665B0">
              <w:rPr>
                <w:sz w:val="20"/>
              </w:rPr>
              <w:t>t</w:t>
            </w:r>
            <w:r w:rsidRPr="000665B0">
              <w:rPr>
                <w:sz w:val="20"/>
              </w:rPr>
              <w:t xml:space="preserve"> </w:t>
            </w:r>
            <w:r w:rsidR="00A05D58" w:rsidRPr="000665B0">
              <w:rPr>
                <w:b/>
                <w:sz w:val="20"/>
              </w:rPr>
              <w:sym w:font="Wingdings" w:char="F0E0"/>
            </w:r>
            <w:r w:rsidRPr="000665B0">
              <w:rPr>
                <w:sz w:val="20"/>
              </w:rPr>
              <w:t xml:space="preserve"> </w:t>
            </w:r>
            <w:r w:rsidR="00CD34C0" w:rsidRPr="000665B0">
              <w:rPr>
                <w:sz w:val="20"/>
              </w:rPr>
              <w:t>Services and Applications</w:t>
            </w:r>
            <w:r w:rsidRPr="000665B0">
              <w:rPr>
                <w:sz w:val="20"/>
              </w:rPr>
              <w:t xml:space="preserve"> </w:t>
            </w:r>
            <w:r w:rsidR="00A05D58" w:rsidRPr="000665B0">
              <w:rPr>
                <w:b/>
                <w:sz w:val="20"/>
              </w:rPr>
              <w:sym w:font="Wingdings" w:char="F0E0"/>
            </w:r>
            <w:r w:rsidRPr="000665B0">
              <w:rPr>
                <w:sz w:val="20"/>
              </w:rPr>
              <w:t xml:space="preserve"> Services</w:t>
            </w:r>
            <w:r w:rsidR="00CD34C0" w:rsidRPr="000665B0">
              <w:rPr>
                <w:sz w:val="20"/>
              </w:rPr>
              <w:t>.</w:t>
            </w:r>
            <w:r w:rsidRPr="000665B0">
              <w:rPr>
                <w:sz w:val="20"/>
              </w:rPr>
              <w:t>)</w:t>
            </w:r>
          </w:p>
        </w:tc>
      </w:tr>
      <w:tr w:rsidR="007D72B2" w:rsidRPr="000665B0" w14:paraId="3763064F" w14:textId="77777777" w:rsidTr="007D72B2">
        <w:trPr>
          <w:cantSplit/>
          <w:trHeight w:val="255"/>
        </w:trPr>
        <w:tc>
          <w:tcPr>
            <w:tcW w:w="376" w:type="pct"/>
            <w:noWrap/>
          </w:tcPr>
          <w:p w14:paraId="5963A0DF" w14:textId="77777777" w:rsidR="005F576C" w:rsidRPr="000665B0" w:rsidRDefault="00C74262" w:rsidP="005F1DFB">
            <w:pPr>
              <w:spacing w:before="40" w:after="40" w:line="240" w:lineRule="auto"/>
              <w:jc w:val="center"/>
              <w:rPr>
                <w:sz w:val="20"/>
              </w:rPr>
            </w:pPr>
            <w:r w:rsidRPr="000665B0">
              <w:rPr>
                <w:sz w:val="20"/>
              </w:rPr>
              <w:t>61</w:t>
            </w:r>
          </w:p>
        </w:tc>
        <w:tc>
          <w:tcPr>
            <w:tcW w:w="787" w:type="pct"/>
            <w:noWrap/>
          </w:tcPr>
          <w:p w14:paraId="5E1F6BAB" w14:textId="77777777" w:rsidR="005F576C" w:rsidRPr="000665B0" w:rsidRDefault="005F576C" w:rsidP="00F85F07">
            <w:pPr>
              <w:spacing w:before="40" w:after="40" w:line="240" w:lineRule="auto"/>
              <w:rPr>
                <w:sz w:val="20"/>
              </w:rPr>
            </w:pPr>
            <w:r w:rsidRPr="000665B0">
              <w:rPr>
                <w:sz w:val="20"/>
              </w:rPr>
              <w:t>{0} could not create queue</w:t>
            </w:r>
          </w:p>
        </w:tc>
        <w:tc>
          <w:tcPr>
            <w:tcW w:w="1744" w:type="pct"/>
            <w:noWrap/>
          </w:tcPr>
          <w:p w14:paraId="76726518" w14:textId="77777777" w:rsidR="005F576C" w:rsidRPr="000665B0" w:rsidRDefault="005F576C" w:rsidP="005F1DFB">
            <w:pPr>
              <w:spacing w:before="40" w:after="40" w:line="240" w:lineRule="auto"/>
              <w:rPr>
                <w:sz w:val="20"/>
              </w:rPr>
            </w:pPr>
          </w:p>
        </w:tc>
        <w:tc>
          <w:tcPr>
            <w:tcW w:w="2093" w:type="pct"/>
            <w:noWrap/>
          </w:tcPr>
          <w:p w14:paraId="1D9D5217" w14:textId="77777777" w:rsidR="005F576C" w:rsidRPr="000665B0" w:rsidRDefault="005F576C" w:rsidP="00CD34C0">
            <w:pPr>
              <w:spacing w:before="40" w:after="40" w:line="240" w:lineRule="auto"/>
              <w:rPr>
                <w:sz w:val="20"/>
              </w:rPr>
            </w:pPr>
            <w:r w:rsidRPr="000665B0">
              <w:rPr>
                <w:sz w:val="20"/>
              </w:rPr>
              <w:t xml:space="preserve">Is MSMQ running/installed? (Check via </w:t>
            </w:r>
            <w:r w:rsidR="00CD34C0" w:rsidRPr="000665B0">
              <w:rPr>
                <w:sz w:val="20"/>
              </w:rPr>
              <w:t>Computer Manageme</w:t>
            </w:r>
            <w:r w:rsidR="00AE399F" w:rsidRPr="000665B0">
              <w:rPr>
                <w:sz w:val="20"/>
              </w:rPr>
              <w:t>n</w:t>
            </w:r>
            <w:r w:rsidR="00CD34C0" w:rsidRPr="000665B0">
              <w:rPr>
                <w:sz w:val="20"/>
              </w:rPr>
              <w:t>t</w:t>
            </w:r>
            <w:r w:rsidRPr="000665B0">
              <w:rPr>
                <w:sz w:val="20"/>
              </w:rPr>
              <w:t xml:space="preserve"> </w:t>
            </w:r>
            <w:r w:rsidR="00A05D58" w:rsidRPr="000665B0">
              <w:rPr>
                <w:b/>
                <w:sz w:val="20"/>
              </w:rPr>
              <w:sym w:font="Wingdings" w:char="F0E0"/>
            </w:r>
            <w:r w:rsidRPr="000665B0">
              <w:rPr>
                <w:sz w:val="20"/>
              </w:rPr>
              <w:t xml:space="preserve"> </w:t>
            </w:r>
            <w:r w:rsidR="00CD34C0" w:rsidRPr="000665B0">
              <w:rPr>
                <w:sz w:val="20"/>
              </w:rPr>
              <w:t xml:space="preserve">Services and Applications </w:t>
            </w:r>
            <w:r w:rsidR="00A05D58" w:rsidRPr="000665B0">
              <w:rPr>
                <w:b/>
                <w:sz w:val="20"/>
              </w:rPr>
              <w:sym w:font="Wingdings" w:char="F0E0"/>
            </w:r>
            <w:r w:rsidRPr="000665B0">
              <w:rPr>
                <w:sz w:val="20"/>
              </w:rPr>
              <w:t xml:space="preserve"> Services</w:t>
            </w:r>
            <w:r w:rsidR="00CD34C0" w:rsidRPr="000665B0">
              <w:rPr>
                <w:sz w:val="20"/>
              </w:rPr>
              <w:t>.</w:t>
            </w:r>
            <w:r w:rsidRPr="000665B0">
              <w:rPr>
                <w:sz w:val="20"/>
              </w:rPr>
              <w:t>)</w:t>
            </w:r>
          </w:p>
        </w:tc>
      </w:tr>
      <w:tr w:rsidR="007D72B2" w:rsidRPr="000665B0" w14:paraId="7190112D" w14:textId="77777777" w:rsidTr="007D72B2">
        <w:trPr>
          <w:cantSplit/>
          <w:trHeight w:val="255"/>
        </w:trPr>
        <w:tc>
          <w:tcPr>
            <w:tcW w:w="376" w:type="pct"/>
            <w:noWrap/>
          </w:tcPr>
          <w:p w14:paraId="6CF5E940" w14:textId="77777777" w:rsidR="005F576C" w:rsidRPr="000665B0" w:rsidRDefault="00C74262" w:rsidP="005F1DFB">
            <w:pPr>
              <w:spacing w:before="40" w:after="40" w:line="240" w:lineRule="auto"/>
              <w:jc w:val="center"/>
              <w:rPr>
                <w:sz w:val="20"/>
              </w:rPr>
            </w:pPr>
            <w:r w:rsidRPr="000665B0">
              <w:rPr>
                <w:sz w:val="20"/>
              </w:rPr>
              <w:t>62</w:t>
            </w:r>
          </w:p>
        </w:tc>
        <w:tc>
          <w:tcPr>
            <w:tcW w:w="787" w:type="pct"/>
            <w:noWrap/>
          </w:tcPr>
          <w:p w14:paraId="31023350" w14:textId="77777777" w:rsidR="005F576C" w:rsidRPr="000665B0" w:rsidRDefault="005F576C" w:rsidP="005F1DFB">
            <w:pPr>
              <w:spacing w:before="40" w:after="40" w:line="240" w:lineRule="auto"/>
              <w:rPr>
                <w:sz w:val="20"/>
              </w:rPr>
            </w:pPr>
            <w:r w:rsidRPr="000665B0">
              <w:rPr>
                <w:sz w:val="20"/>
              </w:rPr>
              <w:t>{0} fa</w:t>
            </w:r>
            <w:r w:rsidR="00F85F07" w:rsidRPr="000665B0">
              <w:rPr>
                <w:sz w:val="20"/>
              </w:rPr>
              <w:t>iled registering queue with {1}</w:t>
            </w:r>
          </w:p>
        </w:tc>
        <w:tc>
          <w:tcPr>
            <w:tcW w:w="1744" w:type="pct"/>
            <w:noWrap/>
          </w:tcPr>
          <w:p w14:paraId="3C774FAA" w14:textId="77777777" w:rsidR="005F576C" w:rsidRPr="000665B0" w:rsidRDefault="005F576C" w:rsidP="009A3508">
            <w:pPr>
              <w:spacing w:before="40" w:after="40" w:line="240" w:lineRule="auto"/>
              <w:rPr>
                <w:sz w:val="20"/>
              </w:rPr>
            </w:pPr>
            <w:r w:rsidRPr="000665B0">
              <w:rPr>
                <w:sz w:val="20"/>
              </w:rPr>
              <w:t xml:space="preserve">Either MDS (or </w:t>
            </w:r>
            <w:r w:rsidR="009A3508" w:rsidRPr="000665B0">
              <w:rPr>
                <w:sz w:val="20"/>
              </w:rPr>
              <w:t xml:space="preserve">Distribution </w:t>
            </w:r>
            <w:r w:rsidRPr="000665B0">
              <w:rPr>
                <w:sz w:val="20"/>
              </w:rPr>
              <w:t xml:space="preserve">Monitor), cannot connect to the message queue </w:t>
            </w:r>
            <w:r w:rsidR="00A821D9" w:rsidRPr="000665B0">
              <w:rPr>
                <w:sz w:val="20"/>
              </w:rPr>
              <w:t>Distribution Service</w:t>
            </w:r>
            <w:r w:rsidR="00A821D9" w:rsidRPr="000665B0" w:rsidDel="00A821D9">
              <w:rPr>
                <w:sz w:val="20"/>
              </w:rPr>
              <w:t xml:space="preserve"> </w:t>
            </w:r>
            <w:r w:rsidRPr="000665B0">
              <w:rPr>
                <w:sz w:val="20"/>
              </w:rPr>
              <w:t>uses to deliver them messages.</w:t>
            </w:r>
          </w:p>
        </w:tc>
        <w:tc>
          <w:tcPr>
            <w:tcW w:w="2093" w:type="pct"/>
            <w:noWrap/>
          </w:tcPr>
          <w:p w14:paraId="48381129" w14:textId="77777777" w:rsidR="005F576C" w:rsidRPr="000665B0" w:rsidRDefault="005F576C" w:rsidP="006D5A65">
            <w:pPr>
              <w:pStyle w:val="Heading1"/>
            </w:pPr>
            <w:r w:rsidRPr="000665B0">
              <w:t>Verify MSMQ is installed.</w:t>
            </w:r>
          </w:p>
          <w:p w14:paraId="29F73B05" w14:textId="77777777" w:rsidR="005F576C" w:rsidRPr="000665B0" w:rsidRDefault="005F576C" w:rsidP="006D5A65">
            <w:pPr>
              <w:pStyle w:val="Heading1"/>
            </w:pPr>
            <w:r w:rsidRPr="000665B0">
              <w:t>Verify MSMQ is not using Active Directory</w:t>
            </w:r>
            <w:r w:rsidR="00F85F07" w:rsidRPr="000665B0">
              <w:t>.</w:t>
            </w:r>
          </w:p>
          <w:p w14:paraId="0CA00297" w14:textId="77777777" w:rsidR="005F576C" w:rsidRPr="000665B0" w:rsidRDefault="005F576C" w:rsidP="006D5A65">
            <w:pPr>
              <w:pStyle w:val="Heading1"/>
            </w:pPr>
            <w:r w:rsidRPr="000665B0">
              <w:t>Recommend reboot</w:t>
            </w:r>
            <w:r w:rsidR="00F85F07" w:rsidRPr="000665B0">
              <w:t>.</w:t>
            </w:r>
          </w:p>
        </w:tc>
      </w:tr>
      <w:tr w:rsidR="00C74262" w:rsidRPr="000665B0" w14:paraId="5C339424" w14:textId="77777777" w:rsidTr="007D72B2">
        <w:trPr>
          <w:cantSplit/>
          <w:trHeight w:val="255"/>
        </w:trPr>
        <w:tc>
          <w:tcPr>
            <w:tcW w:w="376" w:type="pct"/>
            <w:noWrap/>
          </w:tcPr>
          <w:p w14:paraId="3EEFDFA3" w14:textId="77777777" w:rsidR="00C74262" w:rsidRPr="000665B0" w:rsidDel="00C74262" w:rsidRDefault="00C74262" w:rsidP="00F92C34">
            <w:pPr>
              <w:spacing w:before="40" w:after="40" w:line="240" w:lineRule="auto"/>
              <w:jc w:val="center"/>
              <w:rPr>
                <w:sz w:val="20"/>
              </w:rPr>
            </w:pPr>
            <w:r w:rsidRPr="000665B0">
              <w:rPr>
                <w:sz w:val="20"/>
              </w:rPr>
              <w:t>6</w:t>
            </w:r>
            <w:r w:rsidR="00F92C34" w:rsidRPr="000665B0">
              <w:rPr>
                <w:sz w:val="20"/>
              </w:rPr>
              <w:t>3</w:t>
            </w:r>
            <w:r w:rsidR="00325084" w:rsidRPr="000665B0">
              <w:rPr>
                <w:sz w:val="20"/>
              </w:rPr>
              <w:t>-65</w:t>
            </w:r>
          </w:p>
        </w:tc>
        <w:tc>
          <w:tcPr>
            <w:tcW w:w="787" w:type="pct"/>
            <w:noWrap/>
          </w:tcPr>
          <w:p w14:paraId="13634676" w14:textId="77777777" w:rsidR="00C74262" w:rsidRPr="000665B0" w:rsidRDefault="00C74262" w:rsidP="005F1DFB">
            <w:pPr>
              <w:spacing w:before="40" w:after="40" w:line="240" w:lineRule="auto"/>
              <w:rPr>
                <w:sz w:val="20"/>
              </w:rPr>
            </w:pPr>
            <w:r w:rsidRPr="000665B0">
              <w:rPr>
                <w:sz w:val="20"/>
              </w:rPr>
              <w:t>Removed.</w:t>
            </w:r>
          </w:p>
        </w:tc>
        <w:tc>
          <w:tcPr>
            <w:tcW w:w="1744" w:type="pct"/>
            <w:noWrap/>
          </w:tcPr>
          <w:p w14:paraId="6292D2F7" w14:textId="77777777" w:rsidR="00C74262" w:rsidRPr="000665B0" w:rsidRDefault="00C74262" w:rsidP="005F1DFB">
            <w:pPr>
              <w:spacing w:before="40" w:after="40" w:line="240" w:lineRule="auto"/>
              <w:rPr>
                <w:sz w:val="20"/>
              </w:rPr>
            </w:pPr>
            <w:r w:rsidRPr="000665B0">
              <w:rPr>
                <w:sz w:val="20"/>
              </w:rPr>
              <w:t>Removed.</w:t>
            </w:r>
          </w:p>
        </w:tc>
        <w:tc>
          <w:tcPr>
            <w:tcW w:w="2093" w:type="pct"/>
            <w:noWrap/>
          </w:tcPr>
          <w:p w14:paraId="35B42D1D" w14:textId="77777777" w:rsidR="00C74262" w:rsidRPr="000665B0" w:rsidRDefault="00C74262" w:rsidP="00C74262">
            <w:pPr>
              <w:spacing w:before="40" w:after="40" w:line="240" w:lineRule="auto"/>
              <w:rPr>
                <w:sz w:val="20"/>
              </w:rPr>
            </w:pPr>
            <w:r w:rsidRPr="000665B0">
              <w:rPr>
                <w:sz w:val="20"/>
              </w:rPr>
              <w:t>Removed.</w:t>
            </w:r>
          </w:p>
        </w:tc>
      </w:tr>
      <w:tr w:rsidR="007D72B2" w:rsidRPr="000665B0" w14:paraId="456B10EF" w14:textId="77777777" w:rsidTr="007D72B2">
        <w:trPr>
          <w:cantSplit/>
          <w:trHeight w:val="255"/>
        </w:trPr>
        <w:tc>
          <w:tcPr>
            <w:tcW w:w="376" w:type="pct"/>
            <w:noWrap/>
          </w:tcPr>
          <w:p w14:paraId="41C7046A" w14:textId="77777777" w:rsidR="005F576C" w:rsidRPr="000665B0" w:rsidRDefault="00C74262" w:rsidP="005F1DFB">
            <w:pPr>
              <w:spacing w:before="40" w:after="40" w:line="240" w:lineRule="auto"/>
              <w:jc w:val="center"/>
              <w:rPr>
                <w:sz w:val="20"/>
              </w:rPr>
            </w:pPr>
            <w:r w:rsidRPr="000665B0">
              <w:rPr>
                <w:sz w:val="20"/>
              </w:rPr>
              <w:t>66</w:t>
            </w:r>
          </w:p>
        </w:tc>
        <w:tc>
          <w:tcPr>
            <w:tcW w:w="787" w:type="pct"/>
            <w:noWrap/>
          </w:tcPr>
          <w:p w14:paraId="0B014076" w14:textId="77777777" w:rsidR="005F576C" w:rsidRPr="000665B0" w:rsidRDefault="005F576C" w:rsidP="005F1DFB">
            <w:pPr>
              <w:spacing w:before="40" w:after="40" w:line="240" w:lineRule="auto"/>
              <w:rPr>
                <w:sz w:val="20"/>
              </w:rPr>
            </w:pPr>
            <w:r w:rsidRPr="000665B0">
              <w:rPr>
                <w:sz w:val="20"/>
              </w:rPr>
              <w:t>Error updating {0} config.</w:t>
            </w:r>
          </w:p>
        </w:tc>
        <w:tc>
          <w:tcPr>
            <w:tcW w:w="1744" w:type="pct"/>
            <w:noWrap/>
          </w:tcPr>
          <w:p w14:paraId="4A129C33" w14:textId="77777777" w:rsidR="005F576C" w:rsidRPr="000665B0" w:rsidRDefault="005F576C" w:rsidP="005F1DFB">
            <w:pPr>
              <w:spacing w:before="40" w:after="40" w:line="240" w:lineRule="auto"/>
              <w:rPr>
                <w:sz w:val="20"/>
              </w:rPr>
            </w:pPr>
            <w:r w:rsidRPr="000665B0">
              <w:rPr>
                <w:sz w:val="20"/>
              </w:rPr>
              <w:t>TDM Distribution Agent failed to store either the TSN-socket list or TCIP directory to disk.</w:t>
            </w:r>
          </w:p>
        </w:tc>
        <w:tc>
          <w:tcPr>
            <w:tcW w:w="2093" w:type="pct"/>
            <w:noWrap/>
          </w:tcPr>
          <w:p w14:paraId="46FF263F"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668B42EE" w14:textId="77777777" w:rsidTr="007D72B2">
        <w:trPr>
          <w:cantSplit/>
          <w:trHeight w:val="255"/>
        </w:trPr>
        <w:tc>
          <w:tcPr>
            <w:tcW w:w="376" w:type="pct"/>
            <w:noWrap/>
          </w:tcPr>
          <w:p w14:paraId="377576B1" w14:textId="77777777" w:rsidR="005F576C" w:rsidRPr="000665B0" w:rsidRDefault="00C74262" w:rsidP="00C74262">
            <w:pPr>
              <w:spacing w:before="40" w:after="40" w:line="240" w:lineRule="auto"/>
              <w:jc w:val="center"/>
              <w:rPr>
                <w:sz w:val="20"/>
              </w:rPr>
            </w:pPr>
            <w:bookmarkStart w:id="7515" w:name="_Hlk103174815"/>
            <w:r w:rsidRPr="000665B0">
              <w:rPr>
                <w:sz w:val="20"/>
              </w:rPr>
              <w:t>67</w:t>
            </w:r>
          </w:p>
        </w:tc>
        <w:tc>
          <w:tcPr>
            <w:tcW w:w="787" w:type="pct"/>
            <w:noWrap/>
          </w:tcPr>
          <w:p w14:paraId="30574449" w14:textId="77777777" w:rsidR="005F576C" w:rsidRPr="000665B0" w:rsidRDefault="005F576C" w:rsidP="00F85F07">
            <w:pPr>
              <w:spacing w:before="40" w:after="40" w:line="240" w:lineRule="auto"/>
              <w:rPr>
                <w:sz w:val="20"/>
              </w:rPr>
            </w:pPr>
            <w:r w:rsidRPr="000665B0">
              <w:rPr>
                <w:sz w:val="20"/>
              </w:rPr>
              <w:t>Error configuring {0}</w:t>
            </w:r>
          </w:p>
        </w:tc>
        <w:tc>
          <w:tcPr>
            <w:tcW w:w="1744" w:type="pct"/>
            <w:noWrap/>
          </w:tcPr>
          <w:p w14:paraId="1EE37226" w14:textId="77777777" w:rsidR="005F576C" w:rsidRPr="000665B0" w:rsidRDefault="005F576C" w:rsidP="005F1DFB">
            <w:pPr>
              <w:spacing w:before="40" w:after="40" w:line="240" w:lineRule="auto"/>
              <w:rPr>
                <w:sz w:val="20"/>
              </w:rPr>
            </w:pPr>
            <w:r w:rsidRPr="000665B0">
              <w:rPr>
                <w:sz w:val="20"/>
              </w:rPr>
              <w:t xml:space="preserve">TDM Distribution Agent failed to </w:t>
            </w:r>
            <w:r w:rsidR="008A1ED2" w:rsidRPr="000665B0">
              <w:rPr>
                <w:sz w:val="20"/>
              </w:rPr>
              <w:t>acquire</w:t>
            </w:r>
            <w:r w:rsidRPr="000665B0">
              <w:rPr>
                <w:sz w:val="20"/>
              </w:rPr>
              <w:t xml:space="preserve"> either the TSN-socket list or TCIP directory to disk.</w:t>
            </w:r>
          </w:p>
        </w:tc>
        <w:tc>
          <w:tcPr>
            <w:tcW w:w="2093" w:type="pct"/>
            <w:noWrap/>
          </w:tcPr>
          <w:p w14:paraId="169ED62D" w14:textId="721FA69C" w:rsidR="005F576C" w:rsidRPr="000665B0" w:rsidRDefault="00A821D9" w:rsidP="00C059FA">
            <w:pPr>
              <w:spacing w:before="40" w:after="40" w:line="240" w:lineRule="auto"/>
              <w:rPr>
                <w:sz w:val="20"/>
              </w:rPr>
            </w:pPr>
            <w:r w:rsidRPr="000665B0">
              <w:rPr>
                <w:sz w:val="20"/>
              </w:rPr>
              <w:t>Distribution Service</w:t>
            </w:r>
            <w:r w:rsidRPr="000665B0" w:rsidDel="00A821D9">
              <w:rPr>
                <w:sz w:val="20"/>
              </w:rPr>
              <w:t xml:space="preserve"> </w:t>
            </w:r>
            <w:r w:rsidR="005F576C" w:rsidRPr="000665B0">
              <w:rPr>
                <w:sz w:val="20"/>
              </w:rPr>
              <w:t>has come up “clean</w:t>
            </w:r>
            <w:r w:rsidR="00C059FA" w:rsidRPr="000665B0">
              <w:rPr>
                <w:sz w:val="20"/>
              </w:rPr>
              <w:t>.</w:t>
            </w:r>
            <w:r w:rsidR="005F576C" w:rsidRPr="000665B0">
              <w:rPr>
                <w:sz w:val="20"/>
              </w:rPr>
              <w:t xml:space="preserve">” Open the </w:t>
            </w:r>
            <w:r w:rsidR="009A3508" w:rsidRPr="000665B0">
              <w:rPr>
                <w:sz w:val="20"/>
              </w:rPr>
              <w:t xml:space="preserve">Distribution </w:t>
            </w:r>
            <w:r w:rsidR="005F576C" w:rsidRPr="000665B0">
              <w:rPr>
                <w:sz w:val="20"/>
              </w:rPr>
              <w:t xml:space="preserve">Monitor and input the IP address of your </w:t>
            </w:r>
            <w:r w:rsidR="00D24B5E" w:rsidRPr="000665B0">
              <w:rPr>
                <w:sz w:val="20"/>
              </w:rPr>
              <w:t>TCIP and</w:t>
            </w:r>
            <w:r w:rsidR="005F576C" w:rsidRPr="000665B0">
              <w:rPr>
                <w:sz w:val="20"/>
              </w:rPr>
              <w:t xml:space="preserve"> set it to</w:t>
            </w:r>
            <w:r w:rsidR="007D3BE7">
              <w:rPr>
                <w:sz w:val="20"/>
              </w:rPr>
              <w:t xml:space="preserve"> </w:t>
            </w:r>
            <w:r w:rsidR="005F576C" w:rsidRPr="000665B0">
              <w:rPr>
                <w:sz w:val="20"/>
              </w:rPr>
              <w:t>“active</w:t>
            </w:r>
            <w:r w:rsidR="00C059FA" w:rsidRPr="000665B0">
              <w:rPr>
                <w:sz w:val="20"/>
              </w:rPr>
              <w:t>.</w:t>
            </w:r>
            <w:r w:rsidR="005F576C" w:rsidRPr="000665B0">
              <w:rPr>
                <w:sz w:val="20"/>
              </w:rPr>
              <w:t>”</w:t>
            </w:r>
          </w:p>
        </w:tc>
      </w:tr>
      <w:bookmarkEnd w:id="7515"/>
      <w:tr w:rsidR="007D72B2" w:rsidRPr="000665B0" w14:paraId="4DD1C692" w14:textId="77777777" w:rsidTr="007D72B2">
        <w:trPr>
          <w:cantSplit/>
          <w:trHeight w:val="255"/>
        </w:trPr>
        <w:tc>
          <w:tcPr>
            <w:tcW w:w="376" w:type="pct"/>
            <w:noWrap/>
          </w:tcPr>
          <w:p w14:paraId="0793825A" w14:textId="77777777" w:rsidR="005F576C" w:rsidRPr="000665B0" w:rsidRDefault="00C74262" w:rsidP="00C74262">
            <w:pPr>
              <w:spacing w:before="40" w:after="40" w:line="240" w:lineRule="auto"/>
              <w:jc w:val="center"/>
              <w:rPr>
                <w:sz w:val="20"/>
              </w:rPr>
            </w:pPr>
            <w:r w:rsidRPr="000665B0">
              <w:rPr>
                <w:sz w:val="20"/>
              </w:rPr>
              <w:t>68</w:t>
            </w:r>
          </w:p>
        </w:tc>
        <w:tc>
          <w:tcPr>
            <w:tcW w:w="787" w:type="pct"/>
            <w:noWrap/>
          </w:tcPr>
          <w:p w14:paraId="40FC5AA9" w14:textId="77777777" w:rsidR="005F576C" w:rsidRPr="000665B0" w:rsidRDefault="005F576C" w:rsidP="00F85F07">
            <w:pPr>
              <w:spacing w:before="40" w:after="40" w:line="240" w:lineRule="auto"/>
              <w:rPr>
                <w:sz w:val="20"/>
              </w:rPr>
            </w:pPr>
            <w:r w:rsidRPr="000665B0">
              <w:rPr>
                <w:sz w:val="20"/>
              </w:rPr>
              <w:t>Error initializing LINT socket in DistributionAgent service</w:t>
            </w:r>
          </w:p>
        </w:tc>
        <w:tc>
          <w:tcPr>
            <w:tcW w:w="1744" w:type="pct"/>
            <w:noWrap/>
          </w:tcPr>
          <w:p w14:paraId="2C2EE66E" w14:textId="77777777" w:rsidR="005F576C" w:rsidRPr="000665B0" w:rsidRDefault="005F576C" w:rsidP="005F1DFB">
            <w:pPr>
              <w:spacing w:before="40" w:after="40" w:line="240" w:lineRule="auto"/>
              <w:rPr>
                <w:sz w:val="20"/>
              </w:rPr>
            </w:pPr>
            <w:r w:rsidRPr="000665B0">
              <w:rPr>
                <w:sz w:val="20"/>
              </w:rPr>
              <w:t>An error occurred opening a socket to LINT (usually port 9500).</w:t>
            </w:r>
          </w:p>
        </w:tc>
        <w:tc>
          <w:tcPr>
            <w:tcW w:w="2093" w:type="pct"/>
            <w:noWrap/>
          </w:tcPr>
          <w:p w14:paraId="1E4AC60E" w14:textId="77777777" w:rsidR="005F576C" w:rsidRPr="000665B0" w:rsidRDefault="005F576C" w:rsidP="006D5A65">
            <w:pPr>
              <w:pStyle w:val="Heading1"/>
            </w:pPr>
            <w:r w:rsidRPr="000665B0">
              <w:t xml:space="preserve">Verify the IP and port # in the </w:t>
            </w:r>
            <w:r w:rsidR="009A3508" w:rsidRPr="000665B0">
              <w:t xml:space="preserve">Distribution </w:t>
            </w:r>
            <w:r w:rsidRPr="000665B0">
              <w:t>Monitor</w:t>
            </w:r>
            <w:r w:rsidR="00F85F07" w:rsidRPr="000665B0">
              <w:t>.</w:t>
            </w:r>
          </w:p>
          <w:p w14:paraId="359CD47D" w14:textId="77777777" w:rsidR="005F576C" w:rsidRPr="000665B0" w:rsidRDefault="005F576C" w:rsidP="006D5A65">
            <w:pPr>
              <w:pStyle w:val="Heading1"/>
            </w:pPr>
            <w:r w:rsidRPr="000665B0">
              <w:t xml:space="preserve">Verify </w:t>
            </w:r>
            <w:r w:rsidR="00825522" w:rsidRPr="000665B0">
              <w:t xml:space="preserve">Windows </w:t>
            </w:r>
            <w:r w:rsidRPr="000665B0">
              <w:t>firewall is disabled</w:t>
            </w:r>
            <w:r w:rsidR="00F85F07" w:rsidRPr="000665B0">
              <w:t>.</w:t>
            </w:r>
          </w:p>
          <w:p w14:paraId="5C908B3C" w14:textId="77777777" w:rsidR="005F576C" w:rsidRPr="000665B0" w:rsidRDefault="005F576C" w:rsidP="006D5A65">
            <w:pPr>
              <w:pStyle w:val="Heading1"/>
            </w:pPr>
            <w:r w:rsidRPr="000665B0">
              <w:t>Verify network cables are connected</w:t>
            </w:r>
            <w:r w:rsidR="00F85F07" w:rsidRPr="000665B0">
              <w:t>.</w:t>
            </w:r>
          </w:p>
          <w:p w14:paraId="303A761B" w14:textId="77777777" w:rsidR="005F576C" w:rsidRPr="000665B0" w:rsidRDefault="005F576C" w:rsidP="006D5A65">
            <w:pPr>
              <w:pStyle w:val="Heading1"/>
            </w:pPr>
            <w:r w:rsidRPr="000665B0">
              <w:t>Reboot</w:t>
            </w:r>
            <w:r w:rsidR="00F85F07" w:rsidRPr="000665B0">
              <w:t>.</w:t>
            </w:r>
          </w:p>
        </w:tc>
      </w:tr>
      <w:tr w:rsidR="00D0292E" w:rsidRPr="000665B0" w14:paraId="1CA42F0A" w14:textId="77777777" w:rsidTr="007D72B2">
        <w:trPr>
          <w:cantSplit/>
          <w:trHeight w:val="255"/>
        </w:trPr>
        <w:tc>
          <w:tcPr>
            <w:tcW w:w="376" w:type="pct"/>
            <w:noWrap/>
          </w:tcPr>
          <w:p w14:paraId="03BBA3F0" w14:textId="77777777" w:rsidR="00D0292E" w:rsidRPr="000665B0" w:rsidRDefault="00D0292E" w:rsidP="00C74262">
            <w:pPr>
              <w:spacing w:before="40" w:after="40" w:line="240" w:lineRule="auto"/>
              <w:jc w:val="center"/>
              <w:rPr>
                <w:sz w:val="20"/>
              </w:rPr>
            </w:pPr>
            <w:r w:rsidRPr="000665B0">
              <w:rPr>
                <w:sz w:val="20"/>
              </w:rPr>
              <w:t>69-70</w:t>
            </w:r>
          </w:p>
        </w:tc>
        <w:tc>
          <w:tcPr>
            <w:tcW w:w="787" w:type="pct"/>
            <w:noWrap/>
          </w:tcPr>
          <w:p w14:paraId="508CD9F2" w14:textId="77777777" w:rsidR="00D0292E" w:rsidRPr="000665B0" w:rsidRDefault="00D0292E" w:rsidP="00F85F07">
            <w:pPr>
              <w:spacing w:before="40" w:after="40" w:line="240" w:lineRule="auto"/>
              <w:rPr>
                <w:sz w:val="20"/>
              </w:rPr>
            </w:pPr>
            <w:r w:rsidRPr="000665B0">
              <w:rPr>
                <w:sz w:val="20"/>
              </w:rPr>
              <w:t>Removed</w:t>
            </w:r>
          </w:p>
        </w:tc>
        <w:tc>
          <w:tcPr>
            <w:tcW w:w="1744" w:type="pct"/>
            <w:noWrap/>
          </w:tcPr>
          <w:p w14:paraId="4691F5C0" w14:textId="77777777" w:rsidR="00D0292E" w:rsidRPr="000665B0" w:rsidRDefault="00D0292E" w:rsidP="00F6729B">
            <w:pPr>
              <w:spacing w:before="40" w:after="40" w:line="240" w:lineRule="auto"/>
              <w:rPr>
                <w:sz w:val="20"/>
              </w:rPr>
            </w:pPr>
            <w:r w:rsidRPr="000665B0">
              <w:rPr>
                <w:sz w:val="20"/>
              </w:rPr>
              <w:t>Removed</w:t>
            </w:r>
          </w:p>
        </w:tc>
        <w:tc>
          <w:tcPr>
            <w:tcW w:w="2093" w:type="pct"/>
            <w:noWrap/>
          </w:tcPr>
          <w:p w14:paraId="688DA29C" w14:textId="77777777" w:rsidR="00D0292E" w:rsidRPr="000665B0" w:rsidRDefault="00D0292E" w:rsidP="00C059FA">
            <w:pPr>
              <w:spacing w:before="40" w:after="40" w:line="240" w:lineRule="auto"/>
              <w:ind w:left="342" w:hanging="342"/>
              <w:rPr>
                <w:sz w:val="20"/>
              </w:rPr>
            </w:pPr>
            <w:r w:rsidRPr="000665B0">
              <w:rPr>
                <w:sz w:val="20"/>
              </w:rPr>
              <w:t>Removed</w:t>
            </w:r>
          </w:p>
        </w:tc>
      </w:tr>
      <w:tr w:rsidR="007D72B2" w:rsidRPr="000665B0" w14:paraId="31C5AB2A" w14:textId="77777777" w:rsidTr="007D72B2">
        <w:trPr>
          <w:cantSplit/>
          <w:trHeight w:val="255"/>
        </w:trPr>
        <w:tc>
          <w:tcPr>
            <w:tcW w:w="376" w:type="pct"/>
            <w:noWrap/>
          </w:tcPr>
          <w:p w14:paraId="61AD497B" w14:textId="77777777" w:rsidR="005F576C" w:rsidRPr="000665B0" w:rsidRDefault="00C74262" w:rsidP="005F1DFB">
            <w:pPr>
              <w:spacing w:before="40" w:after="40" w:line="240" w:lineRule="auto"/>
              <w:jc w:val="center"/>
              <w:rPr>
                <w:sz w:val="20"/>
              </w:rPr>
            </w:pPr>
            <w:r w:rsidRPr="000665B0">
              <w:rPr>
                <w:sz w:val="20"/>
              </w:rPr>
              <w:lastRenderedPageBreak/>
              <w:t>71</w:t>
            </w:r>
          </w:p>
        </w:tc>
        <w:tc>
          <w:tcPr>
            <w:tcW w:w="787" w:type="pct"/>
            <w:noWrap/>
          </w:tcPr>
          <w:p w14:paraId="4FE8CC06" w14:textId="77777777" w:rsidR="005F576C" w:rsidRPr="000665B0" w:rsidRDefault="005F576C" w:rsidP="00F85F07">
            <w:pPr>
              <w:spacing w:before="40" w:after="40" w:line="240" w:lineRule="auto"/>
              <w:rPr>
                <w:sz w:val="20"/>
              </w:rPr>
            </w:pPr>
            <w:r w:rsidRPr="000665B0">
              <w:rPr>
                <w:sz w:val="20"/>
              </w:rPr>
              <w:t>Error constructing {0} service</w:t>
            </w:r>
          </w:p>
        </w:tc>
        <w:tc>
          <w:tcPr>
            <w:tcW w:w="1744" w:type="pct"/>
            <w:noWrap/>
          </w:tcPr>
          <w:p w14:paraId="30E7E1F0" w14:textId="77777777" w:rsidR="005F576C" w:rsidRPr="000665B0" w:rsidRDefault="005F576C" w:rsidP="005F1DFB">
            <w:pPr>
              <w:spacing w:before="40" w:after="40" w:line="240" w:lineRule="auto"/>
              <w:rPr>
                <w:sz w:val="20"/>
              </w:rPr>
            </w:pPr>
            <w:r w:rsidRPr="000665B0">
              <w:rPr>
                <w:sz w:val="20"/>
              </w:rPr>
              <w:t xml:space="preserve">The TDM Distribution Agent </w:t>
            </w:r>
            <w:r w:rsidR="001C73B6" w:rsidRPr="000665B0">
              <w:rPr>
                <w:sz w:val="20"/>
              </w:rPr>
              <w:t>failed to</w:t>
            </w:r>
            <w:r w:rsidRPr="000665B0">
              <w:rPr>
                <w:sz w:val="20"/>
              </w:rPr>
              <w:t xml:space="preserve"> initialize its WCF services. </w:t>
            </w:r>
          </w:p>
        </w:tc>
        <w:tc>
          <w:tcPr>
            <w:tcW w:w="2093" w:type="pct"/>
            <w:noWrap/>
          </w:tcPr>
          <w:p w14:paraId="4AD39345"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D0292E" w:rsidRPr="000665B0" w14:paraId="633121BD" w14:textId="77777777" w:rsidTr="007D72B2">
        <w:trPr>
          <w:cantSplit/>
          <w:trHeight w:val="255"/>
        </w:trPr>
        <w:tc>
          <w:tcPr>
            <w:tcW w:w="376" w:type="pct"/>
            <w:noWrap/>
          </w:tcPr>
          <w:p w14:paraId="07442FB8" w14:textId="77777777" w:rsidR="00D0292E" w:rsidRPr="000665B0" w:rsidRDefault="00D0292E" w:rsidP="005F1DFB">
            <w:pPr>
              <w:spacing w:before="40" w:after="40" w:line="240" w:lineRule="auto"/>
              <w:jc w:val="center"/>
              <w:rPr>
                <w:sz w:val="20"/>
              </w:rPr>
            </w:pPr>
            <w:r w:rsidRPr="000665B0">
              <w:rPr>
                <w:sz w:val="20"/>
              </w:rPr>
              <w:t>72-74</w:t>
            </w:r>
          </w:p>
        </w:tc>
        <w:tc>
          <w:tcPr>
            <w:tcW w:w="787" w:type="pct"/>
            <w:noWrap/>
          </w:tcPr>
          <w:p w14:paraId="5DE767EE" w14:textId="77777777" w:rsidR="00D0292E" w:rsidRPr="000665B0" w:rsidRDefault="00D0292E" w:rsidP="00F85F07">
            <w:pPr>
              <w:spacing w:before="40" w:after="40" w:line="240" w:lineRule="auto"/>
              <w:rPr>
                <w:sz w:val="20"/>
              </w:rPr>
            </w:pPr>
            <w:r w:rsidRPr="000665B0">
              <w:rPr>
                <w:sz w:val="20"/>
              </w:rPr>
              <w:t>Removed</w:t>
            </w:r>
          </w:p>
        </w:tc>
        <w:tc>
          <w:tcPr>
            <w:tcW w:w="1744" w:type="pct"/>
            <w:noWrap/>
          </w:tcPr>
          <w:p w14:paraId="118AF73F" w14:textId="77777777" w:rsidR="00D0292E" w:rsidRPr="000665B0" w:rsidRDefault="00D0292E" w:rsidP="005F1DFB">
            <w:pPr>
              <w:spacing w:before="40" w:after="40" w:line="240" w:lineRule="auto"/>
              <w:rPr>
                <w:sz w:val="20"/>
              </w:rPr>
            </w:pPr>
            <w:r w:rsidRPr="000665B0">
              <w:rPr>
                <w:sz w:val="20"/>
              </w:rPr>
              <w:t>Removed</w:t>
            </w:r>
          </w:p>
        </w:tc>
        <w:tc>
          <w:tcPr>
            <w:tcW w:w="2093" w:type="pct"/>
            <w:noWrap/>
          </w:tcPr>
          <w:p w14:paraId="1B3BE0F0" w14:textId="77777777" w:rsidR="00D0292E" w:rsidRPr="000665B0" w:rsidRDefault="00D0292E" w:rsidP="005F1DFB">
            <w:pPr>
              <w:spacing w:before="40" w:after="40" w:line="240" w:lineRule="auto"/>
              <w:rPr>
                <w:sz w:val="20"/>
              </w:rPr>
            </w:pPr>
            <w:r w:rsidRPr="000665B0">
              <w:rPr>
                <w:sz w:val="20"/>
              </w:rPr>
              <w:t>Removed</w:t>
            </w:r>
          </w:p>
        </w:tc>
      </w:tr>
      <w:tr w:rsidR="007D72B2" w:rsidRPr="000665B0" w14:paraId="03BD670A" w14:textId="77777777" w:rsidTr="007D72B2">
        <w:trPr>
          <w:cantSplit/>
          <w:trHeight w:val="255"/>
        </w:trPr>
        <w:tc>
          <w:tcPr>
            <w:tcW w:w="376" w:type="pct"/>
            <w:noWrap/>
          </w:tcPr>
          <w:p w14:paraId="6EE84598" w14:textId="77777777" w:rsidR="005F576C" w:rsidRPr="000665B0" w:rsidRDefault="00C74262" w:rsidP="00C74262">
            <w:pPr>
              <w:spacing w:before="40" w:after="40" w:line="240" w:lineRule="auto"/>
              <w:jc w:val="center"/>
              <w:rPr>
                <w:sz w:val="20"/>
              </w:rPr>
            </w:pPr>
            <w:r w:rsidRPr="000665B0">
              <w:rPr>
                <w:sz w:val="20"/>
              </w:rPr>
              <w:t>75</w:t>
            </w:r>
          </w:p>
        </w:tc>
        <w:tc>
          <w:tcPr>
            <w:tcW w:w="787" w:type="pct"/>
            <w:noWrap/>
          </w:tcPr>
          <w:p w14:paraId="5FC2D4AC" w14:textId="77777777" w:rsidR="005F576C" w:rsidRPr="000665B0" w:rsidRDefault="005F576C" w:rsidP="00F85F07">
            <w:pPr>
              <w:spacing w:before="40" w:after="40" w:line="240" w:lineRule="auto"/>
              <w:rPr>
                <w:sz w:val="20"/>
              </w:rPr>
            </w:pPr>
            <w:r w:rsidRPr="000665B0">
              <w:rPr>
                <w:sz w:val="20"/>
              </w:rPr>
              <w:t>Failed to connect to TSNIF</w:t>
            </w:r>
          </w:p>
        </w:tc>
        <w:tc>
          <w:tcPr>
            <w:tcW w:w="1744" w:type="pct"/>
            <w:noWrap/>
          </w:tcPr>
          <w:p w14:paraId="5065BF72" w14:textId="77777777" w:rsidR="005F576C" w:rsidRPr="000665B0" w:rsidRDefault="005F576C" w:rsidP="007E135D">
            <w:pPr>
              <w:spacing w:before="40" w:after="40" w:line="240" w:lineRule="auto"/>
              <w:rPr>
                <w:sz w:val="20"/>
              </w:rPr>
            </w:pPr>
            <w:r w:rsidRPr="000665B0">
              <w:rPr>
                <w:sz w:val="20"/>
              </w:rPr>
              <w:t>TDM Distribution Agent failed to connect to TSNIF on the specified port &amp; address, (</w:t>
            </w:r>
            <w:r w:rsidR="007E135D" w:rsidRPr="000665B0">
              <w:rPr>
                <w:sz w:val="20"/>
              </w:rPr>
              <w:t>e</w:t>
            </w:r>
            <w:r w:rsidRPr="000665B0">
              <w:rPr>
                <w:sz w:val="20"/>
              </w:rPr>
              <w:t>ither SMD or TSRT)</w:t>
            </w:r>
            <w:r w:rsidR="00F85F07" w:rsidRPr="000665B0">
              <w:rPr>
                <w:sz w:val="20"/>
              </w:rPr>
              <w:t>.</w:t>
            </w:r>
          </w:p>
        </w:tc>
        <w:tc>
          <w:tcPr>
            <w:tcW w:w="2093" w:type="pct"/>
            <w:noWrap/>
          </w:tcPr>
          <w:p w14:paraId="6A6E6702" w14:textId="77777777" w:rsidR="005F576C" w:rsidRPr="000665B0" w:rsidRDefault="005F576C" w:rsidP="006D5A65">
            <w:pPr>
              <w:pStyle w:val="Heading1"/>
            </w:pPr>
            <w:r w:rsidRPr="000665B0">
              <w:t>Do we have an interface in the TSNIF?</w:t>
            </w:r>
          </w:p>
          <w:p w14:paraId="28729577" w14:textId="77777777" w:rsidR="005F576C" w:rsidRPr="000665B0" w:rsidRDefault="005F576C" w:rsidP="006D5A65">
            <w:pPr>
              <w:pStyle w:val="Heading1"/>
            </w:pPr>
            <w:r w:rsidRPr="000665B0">
              <w:t>Is the TSNIF “remote” client running somewhere (on the server, or a remote)?</w:t>
            </w:r>
          </w:p>
          <w:p w14:paraId="4EDCB29F" w14:textId="77777777" w:rsidR="005F576C" w:rsidRPr="000665B0" w:rsidRDefault="005F576C" w:rsidP="006D5A65">
            <w:pPr>
              <w:pStyle w:val="Heading1"/>
            </w:pPr>
            <w:r w:rsidRPr="000665B0">
              <w:t>Can you “ping” the TCIP from the MDS?</w:t>
            </w:r>
          </w:p>
        </w:tc>
      </w:tr>
      <w:tr w:rsidR="007D72B2" w:rsidRPr="000665B0" w14:paraId="46F0FD4D" w14:textId="77777777" w:rsidTr="007D72B2">
        <w:trPr>
          <w:cantSplit/>
          <w:trHeight w:val="255"/>
        </w:trPr>
        <w:tc>
          <w:tcPr>
            <w:tcW w:w="376" w:type="pct"/>
            <w:noWrap/>
          </w:tcPr>
          <w:p w14:paraId="1426A5FB" w14:textId="77777777" w:rsidR="005F576C" w:rsidRPr="000665B0" w:rsidRDefault="00C74262" w:rsidP="00C74262">
            <w:pPr>
              <w:spacing w:before="40" w:after="40" w:line="240" w:lineRule="auto"/>
              <w:jc w:val="center"/>
              <w:rPr>
                <w:sz w:val="20"/>
              </w:rPr>
            </w:pPr>
            <w:r w:rsidRPr="000665B0">
              <w:rPr>
                <w:sz w:val="20"/>
              </w:rPr>
              <w:t>76</w:t>
            </w:r>
          </w:p>
        </w:tc>
        <w:tc>
          <w:tcPr>
            <w:tcW w:w="787" w:type="pct"/>
            <w:noWrap/>
          </w:tcPr>
          <w:p w14:paraId="29BA3C44" w14:textId="77777777" w:rsidR="005F576C" w:rsidRPr="000665B0" w:rsidRDefault="005F576C" w:rsidP="00F85F07">
            <w:pPr>
              <w:spacing w:before="40" w:after="40" w:line="240" w:lineRule="auto"/>
              <w:rPr>
                <w:sz w:val="20"/>
              </w:rPr>
            </w:pPr>
            <w:r w:rsidRPr="000665B0">
              <w:rPr>
                <w:sz w:val="20"/>
              </w:rPr>
              <w:t xml:space="preserve">Failed passing status from LINT to </w:t>
            </w:r>
            <w:r w:rsidR="00A821D9" w:rsidRPr="000665B0">
              <w:rPr>
                <w:sz w:val="20"/>
              </w:rPr>
              <w:t>Distribution Service</w:t>
            </w:r>
          </w:p>
        </w:tc>
        <w:tc>
          <w:tcPr>
            <w:tcW w:w="1744" w:type="pct"/>
            <w:noWrap/>
          </w:tcPr>
          <w:p w14:paraId="68A6CB60" w14:textId="77777777" w:rsidR="005F576C" w:rsidRPr="000665B0" w:rsidRDefault="005F576C" w:rsidP="002E41AC">
            <w:pPr>
              <w:spacing w:before="40" w:after="40" w:line="240" w:lineRule="auto"/>
              <w:rPr>
                <w:sz w:val="20"/>
              </w:rPr>
            </w:pPr>
            <w:r w:rsidRPr="000665B0">
              <w:rPr>
                <w:sz w:val="20"/>
              </w:rPr>
              <w:t xml:space="preserve">TDM Distribution </w:t>
            </w:r>
            <w:r w:rsidR="00A821D9" w:rsidRPr="000665B0">
              <w:rPr>
                <w:sz w:val="20"/>
              </w:rPr>
              <w:t xml:space="preserve">Agent </w:t>
            </w:r>
            <w:r w:rsidRPr="000665B0">
              <w:rPr>
                <w:sz w:val="20"/>
              </w:rPr>
              <w:t xml:space="preserve">failed to notify </w:t>
            </w:r>
            <w:r w:rsidR="00A821D9" w:rsidRPr="000665B0">
              <w:rPr>
                <w:sz w:val="20"/>
              </w:rPr>
              <w:t>Distribution Service</w:t>
            </w:r>
            <w:r w:rsidRPr="000665B0">
              <w:rPr>
                <w:sz w:val="20"/>
              </w:rPr>
              <w:t xml:space="preserve"> of a change in TSN socket status.</w:t>
            </w:r>
          </w:p>
        </w:tc>
        <w:tc>
          <w:tcPr>
            <w:tcW w:w="2093" w:type="pct"/>
            <w:noWrap/>
          </w:tcPr>
          <w:p w14:paraId="61D51770" w14:textId="77777777" w:rsidR="005F576C" w:rsidRPr="000665B0" w:rsidRDefault="005F576C" w:rsidP="005F1DFB">
            <w:pPr>
              <w:spacing w:before="40" w:after="40" w:line="240" w:lineRule="auto"/>
              <w:rPr>
                <w:sz w:val="20"/>
              </w:rPr>
            </w:pPr>
            <w:r w:rsidRPr="000665B0">
              <w:rPr>
                <w:sz w:val="20"/>
              </w:rPr>
              <w:t>Recommend reboot</w:t>
            </w:r>
            <w:r w:rsidR="00F85F07" w:rsidRPr="000665B0">
              <w:rPr>
                <w:sz w:val="20"/>
              </w:rPr>
              <w:t>.</w:t>
            </w:r>
          </w:p>
        </w:tc>
      </w:tr>
      <w:tr w:rsidR="007D72B2" w:rsidRPr="000665B0" w14:paraId="4437E623" w14:textId="77777777" w:rsidTr="007D72B2">
        <w:trPr>
          <w:cantSplit/>
          <w:trHeight w:val="255"/>
        </w:trPr>
        <w:tc>
          <w:tcPr>
            <w:tcW w:w="376" w:type="pct"/>
            <w:noWrap/>
          </w:tcPr>
          <w:p w14:paraId="2632561B" w14:textId="77777777" w:rsidR="005F576C" w:rsidRPr="000665B0" w:rsidRDefault="00C74262" w:rsidP="00C74262">
            <w:pPr>
              <w:spacing w:before="40" w:after="40" w:line="240" w:lineRule="auto"/>
              <w:jc w:val="center"/>
              <w:rPr>
                <w:sz w:val="20"/>
              </w:rPr>
            </w:pPr>
            <w:r w:rsidRPr="000665B0">
              <w:rPr>
                <w:sz w:val="20"/>
              </w:rPr>
              <w:t>77</w:t>
            </w:r>
          </w:p>
        </w:tc>
        <w:tc>
          <w:tcPr>
            <w:tcW w:w="787" w:type="pct"/>
            <w:noWrap/>
          </w:tcPr>
          <w:p w14:paraId="741E0932" w14:textId="77777777" w:rsidR="005F576C" w:rsidRPr="000665B0" w:rsidRDefault="005F576C" w:rsidP="00F85F07">
            <w:pPr>
              <w:spacing w:before="40" w:after="40" w:line="240" w:lineRule="auto"/>
              <w:rPr>
                <w:sz w:val="20"/>
              </w:rPr>
            </w:pPr>
            <w:r w:rsidRPr="000665B0">
              <w:rPr>
                <w:sz w:val="20"/>
              </w:rPr>
              <w:t xml:space="preserve">Failed passing bytes from LINT to </w:t>
            </w:r>
            <w:r w:rsidR="00A821D9" w:rsidRPr="000665B0">
              <w:rPr>
                <w:sz w:val="20"/>
              </w:rPr>
              <w:t>Distribution Service</w:t>
            </w:r>
          </w:p>
        </w:tc>
        <w:tc>
          <w:tcPr>
            <w:tcW w:w="1744" w:type="pct"/>
            <w:noWrap/>
          </w:tcPr>
          <w:p w14:paraId="3F53B6A1" w14:textId="77777777" w:rsidR="005F576C" w:rsidRPr="000665B0" w:rsidRDefault="005F576C" w:rsidP="002E41AC">
            <w:pPr>
              <w:spacing w:before="40" w:after="40" w:line="240" w:lineRule="auto"/>
              <w:rPr>
                <w:sz w:val="20"/>
              </w:rPr>
            </w:pPr>
            <w:r w:rsidRPr="000665B0">
              <w:rPr>
                <w:sz w:val="20"/>
              </w:rPr>
              <w:t xml:space="preserve">TDM Distribution </w:t>
            </w:r>
            <w:r w:rsidR="00A821D9" w:rsidRPr="000665B0">
              <w:rPr>
                <w:sz w:val="20"/>
              </w:rPr>
              <w:t xml:space="preserve">Agent </w:t>
            </w:r>
            <w:r w:rsidRPr="000665B0">
              <w:rPr>
                <w:sz w:val="20"/>
              </w:rPr>
              <w:t xml:space="preserve">failed to notify </w:t>
            </w:r>
            <w:r w:rsidR="00A821D9" w:rsidRPr="000665B0">
              <w:rPr>
                <w:sz w:val="20"/>
              </w:rPr>
              <w:t>Distribution Service</w:t>
            </w:r>
            <w:r w:rsidRPr="000665B0">
              <w:rPr>
                <w:sz w:val="20"/>
              </w:rPr>
              <w:t xml:space="preserve"> of incoming data on a TSN socket or LINT socket.</w:t>
            </w:r>
          </w:p>
        </w:tc>
        <w:tc>
          <w:tcPr>
            <w:tcW w:w="2093" w:type="pct"/>
            <w:noWrap/>
          </w:tcPr>
          <w:p w14:paraId="099214E2" w14:textId="77777777" w:rsidR="005F576C" w:rsidRPr="000665B0" w:rsidRDefault="005F576C" w:rsidP="005F1DFB">
            <w:pPr>
              <w:spacing w:before="40" w:after="40" w:line="240" w:lineRule="auto"/>
              <w:rPr>
                <w:sz w:val="20"/>
              </w:rPr>
            </w:pPr>
            <w:r w:rsidRPr="000665B0">
              <w:rPr>
                <w:sz w:val="20"/>
              </w:rPr>
              <w:t>Recommend reboot</w:t>
            </w:r>
            <w:r w:rsidR="00F85F07" w:rsidRPr="000665B0">
              <w:rPr>
                <w:sz w:val="20"/>
              </w:rPr>
              <w:t>.</w:t>
            </w:r>
          </w:p>
        </w:tc>
      </w:tr>
      <w:tr w:rsidR="007D72B2" w:rsidRPr="000665B0" w14:paraId="77F5A68D" w14:textId="77777777" w:rsidTr="007D72B2">
        <w:trPr>
          <w:cantSplit/>
          <w:trHeight w:val="255"/>
        </w:trPr>
        <w:tc>
          <w:tcPr>
            <w:tcW w:w="376" w:type="pct"/>
            <w:noWrap/>
          </w:tcPr>
          <w:p w14:paraId="2F84A3DC" w14:textId="77777777" w:rsidR="005F576C" w:rsidRPr="000665B0" w:rsidRDefault="00C74262" w:rsidP="00C74262">
            <w:pPr>
              <w:spacing w:before="40" w:after="40" w:line="240" w:lineRule="auto"/>
              <w:jc w:val="center"/>
              <w:rPr>
                <w:sz w:val="20"/>
              </w:rPr>
            </w:pPr>
            <w:r w:rsidRPr="000665B0">
              <w:rPr>
                <w:sz w:val="20"/>
              </w:rPr>
              <w:t>78</w:t>
            </w:r>
          </w:p>
        </w:tc>
        <w:tc>
          <w:tcPr>
            <w:tcW w:w="787" w:type="pct"/>
            <w:noWrap/>
          </w:tcPr>
          <w:p w14:paraId="0E8EEBEB" w14:textId="77777777" w:rsidR="005F576C" w:rsidRPr="000665B0" w:rsidRDefault="005F576C" w:rsidP="005F1DFB">
            <w:pPr>
              <w:spacing w:before="40" w:after="40" w:line="240" w:lineRule="auto"/>
              <w:rPr>
                <w:sz w:val="20"/>
              </w:rPr>
            </w:pPr>
            <w:r w:rsidRPr="000665B0">
              <w:rPr>
                <w:sz w:val="20"/>
              </w:rPr>
              <w:t>{0} is actively refusing our connection. Is our interface enabled?</w:t>
            </w:r>
          </w:p>
        </w:tc>
        <w:tc>
          <w:tcPr>
            <w:tcW w:w="1744" w:type="pct"/>
            <w:noWrap/>
          </w:tcPr>
          <w:p w14:paraId="1BFD444E" w14:textId="77777777" w:rsidR="005F576C" w:rsidRPr="000665B0" w:rsidRDefault="005F576C" w:rsidP="005F1DFB">
            <w:pPr>
              <w:spacing w:before="40" w:after="40" w:line="240" w:lineRule="auto"/>
              <w:rPr>
                <w:sz w:val="20"/>
              </w:rPr>
            </w:pPr>
            <w:r w:rsidRPr="000665B0">
              <w:rPr>
                <w:sz w:val="20"/>
              </w:rPr>
              <w:t xml:space="preserve">LINT and TSNIF will kill socket-connections from </w:t>
            </w:r>
            <w:r w:rsidR="00A821D9" w:rsidRPr="000665B0">
              <w:rPr>
                <w:sz w:val="20"/>
              </w:rPr>
              <w:t>Distribution Services</w:t>
            </w:r>
            <w:r w:rsidR="00A821D9" w:rsidRPr="000665B0" w:rsidDel="00A821D9">
              <w:rPr>
                <w:sz w:val="20"/>
              </w:rPr>
              <w:t xml:space="preserve"> </w:t>
            </w:r>
            <w:r w:rsidRPr="000665B0">
              <w:rPr>
                <w:sz w:val="20"/>
              </w:rPr>
              <w:t xml:space="preserve">not listed as an ENABLED interface. </w:t>
            </w:r>
            <w:r w:rsidR="00A821D9" w:rsidRPr="000665B0">
              <w:rPr>
                <w:sz w:val="20"/>
              </w:rPr>
              <w:t>Distribution Service</w:t>
            </w:r>
            <w:r w:rsidR="00A821D9" w:rsidRPr="000665B0" w:rsidDel="00A821D9">
              <w:rPr>
                <w:sz w:val="20"/>
              </w:rPr>
              <w:t xml:space="preserve"> </w:t>
            </w:r>
            <w:r w:rsidRPr="000665B0">
              <w:rPr>
                <w:sz w:val="20"/>
              </w:rPr>
              <w:t>believes this is happening here.</w:t>
            </w:r>
          </w:p>
        </w:tc>
        <w:tc>
          <w:tcPr>
            <w:tcW w:w="2093" w:type="pct"/>
            <w:noWrap/>
          </w:tcPr>
          <w:p w14:paraId="5E322513" w14:textId="77777777" w:rsidR="005F576C" w:rsidRPr="000665B0" w:rsidRDefault="005F576C" w:rsidP="006D5A65">
            <w:pPr>
              <w:pStyle w:val="Heading1"/>
            </w:pPr>
            <w:r w:rsidRPr="000665B0">
              <w:t>Verify LINT (or TSNIF) remote is running</w:t>
            </w:r>
            <w:r w:rsidR="00F85F07" w:rsidRPr="000665B0">
              <w:t>.</w:t>
            </w:r>
          </w:p>
          <w:p w14:paraId="44C52158" w14:textId="77777777" w:rsidR="005F576C" w:rsidRPr="000665B0" w:rsidRDefault="005F576C" w:rsidP="006D5A65">
            <w:pPr>
              <w:pStyle w:val="Heading1"/>
            </w:pPr>
            <w:r w:rsidRPr="000665B0">
              <w:t>Verify the MDS PC has an interface on the LINT (or TSNIF), and that interface is ENABLED</w:t>
            </w:r>
            <w:r w:rsidR="00F85F07" w:rsidRPr="000665B0">
              <w:t>.</w:t>
            </w:r>
          </w:p>
          <w:p w14:paraId="599D05D5" w14:textId="77777777" w:rsidR="005F576C" w:rsidRPr="000665B0" w:rsidRDefault="005F576C" w:rsidP="006D5A65">
            <w:pPr>
              <w:pStyle w:val="Heading1"/>
            </w:pPr>
            <w:r w:rsidRPr="000665B0">
              <w:t>Verify you can “PING” the TCIP from the MDS PC</w:t>
            </w:r>
            <w:r w:rsidR="00F85F07" w:rsidRPr="000665B0">
              <w:t>.</w:t>
            </w:r>
          </w:p>
        </w:tc>
      </w:tr>
      <w:tr w:rsidR="007D72B2" w:rsidRPr="000665B0" w14:paraId="679FD562" w14:textId="77777777" w:rsidTr="007D72B2">
        <w:trPr>
          <w:cantSplit/>
          <w:trHeight w:val="255"/>
        </w:trPr>
        <w:tc>
          <w:tcPr>
            <w:tcW w:w="376" w:type="pct"/>
            <w:noWrap/>
          </w:tcPr>
          <w:p w14:paraId="260357D3" w14:textId="77777777" w:rsidR="005F576C" w:rsidRPr="000665B0" w:rsidRDefault="00C74262" w:rsidP="00C74262">
            <w:pPr>
              <w:spacing w:before="40" w:after="40" w:line="240" w:lineRule="auto"/>
              <w:jc w:val="center"/>
              <w:rPr>
                <w:sz w:val="20"/>
              </w:rPr>
            </w:pPr>
            <w:r w:rsidRPr="000665B0">
              <w:rPr>
                <w:sz w:val="20"/>
              </w:rPr>
              <w:t>79</w:t>
            </w:r>
          </w:p>
        </w:tc>
        <w:tc>
          <w:tcPr>
            <w:tcW w:w="787" w:type="pct"/>
            <w:noWrap/>
          </w:tcPr>
          <w:p w14:paraId="694D0301" w14:textId="77777777" w:rsidR="005F576C" w:rsidRPr="000665B0" w:rsidRDefault="005F576C" w:rsidP="00F85F07">
            <w:pPr>
              <w:spacing w:before="40" w:after="40" w:line="240" w:lineRule="auto"/>
              <w:rPr>
                <w:sz w:val="20"/>
              </w:rPr>
            </w:pPr>
            <w:r w:rsidRPr="000665B0">
              <w:rPr>
                <w:sz w:val="20"/>
              </w:rPr>
              <w:t>Error generating DDO from FDU message</w:t>
            </w:r>
          </w:p>
        </w:tc>
        <w:tc>
          <w:tcPr>
            <w:tcW w:w="1744" w:type="pct"/>
            <w:noWrap/>
          </w:tcPr>
          <w:p w14:paraId="4A7936E6" w14:textId="77777777" w:rsidR="005F576C" w:rsidRPr="000665B0" w:rsidRDefault="00A821D9" w:rsidP="005F1DFB">
            <w:pPr>
              <w:spacing w:before="40" w:after="40" w:line="240" w:lineRule="auto"/>
              <w:rPr>
                <w:sz w:val="20"/>
              </w:rPr>
            </w:pPr>
            <w:r w:rsidRPr="000665B0">
              <w:rPr>
                <w:sz w:val="20"/>
              </w:rPr>
              <w:t>Distribution Service</w:t>
            </w:r>
            <w:r w:rsidRPr="000665B0" w:rsidDel="00A821D9">
              <w:rPr>
                <w:sz w:val="20"/>
              </w:rPr>
              <w:t xml:space="preserve"> </w:t>
            </w:r>
            <w:r w:rsidR="005F576C" w:rsidRPr="000665B0">
              <w:rPr>
                <w:sz w:val="20"/>
              </w:rPr>
              <w:t>failed to process an incoming FDU and generate a “manifest” of its contents for MDS.</w:t>
            </w:r>
          </w:p>
        </w:tc>
        <w:tc>
          <w:tcPr>
            <w:tcW w:w="2093" w:type="pct"/>
            <w:noWrap/>
          </w:tcPr>
          <w:p w14:paraId="273BE0DC" w14:textId="77777777" w:rsidR="005F576C" w:rsidRPr="000665B0" w:rsidRDefault="005F576C" w:rsidP="006D5A65">
            <w:pPr>
              <w:pStyle w:val="Heading1"/>
            </w:pPr>
            <w:r w:rsidRPr="000665B0">
              <w:t>Normally these FDUs are not meant for MDS, so they are no big loss. But it may be something important, like an Overlay, 4Whisky, etc.</w:t>
            </w:r>
          </w:p>
          <w:p w14:paraId="3F2E2074" w14:textId="77777777" w:rsidR="005F576C" w:rsidRPr="000665B0" w:rsidRDefault="005F576C" w:rsidP="006D5A65">
            <w:pPr>
              <w:pStyle w:val="Heading1"/>
            </w:pPr>
            <w:r w:rsidRPr="000665B0">
              <w:t>Ask the sender to re-send.</w:t>
            </w:r>
          </w:p>
        </w:tc>
      </w:tr>
      <w:tr w:rsidR="007D72B2" w:rsidRPr="000665B0" w14:paraId="18AD1449" w14:textId="77777777" w:rsidTr="007D72B2">
        <w:trPr>
          <w:cantSplit/>
          <w:trHeight w:val="255"/>
        </w:trPr>
        <w:tc>
          <w:tcPr>
            <w:tcW w:w="376" w:type="pct"/>
            <w:noWrap/>
          </w:tcPr>
          <w:p w14:paraId="79CA093C" w14:textId="77777777" w:rsidR="005F576C" w:rsidRPr="000665B0" w:rsidRDefault="00C74262" w:rsidP="005F1DFB">
            <w:pPr>
              <w:spacing w:before="40" w:after="40" w:line="240" w:lineRule="auto"/>
              <w:jc w:val="center"/>
              <w:rPr>
                <w:sz w:val="20"/>
              </w:rPr>
            </w:pPr>
            <w:r w:rsidRPr="000665B0">
              <w:rPr>
                <w:sz w:val="20"/>
              </w:rPr>
              <w:lastRenderedPageBreak/>
              <w:t>80</w:t>
            </w:r>
          </w:p>
        </w:tc>
        <w:tc>
          <w:tcPr>
            <w:tcW w:w="787" w:type="pct"/>
            <w:noWrap/>
          </w:tcPr>
          <w:p w14:paraId="56D12D92" w14:textId="77777777" w:rsidR="005F576C" w:rsidRPr="000665B0" w:rsidRDefault="005F576C" w:rsidP="005F1DFB">
            <w:pPr>
              <w:spacing w:before="40" w:after="40" w:line="240" w:lineRule="auto"/>
              <w:rPr>
                <w:sz w:val="20"/>
              </w:rPr>
            </w:pPr>
            <w:r w:rsidRPr="000665B0">
              <w:rPr>
                <w:sz w:val="20"/>
              </w:rPr>
              <w:t>{0} is actively refusing our connection. Is the TSRT simulation running?</w:t>
            </w:r>
          </w:p>
        </w:tc>
        <w:tc>
          <w:tcPr>
            <w:tcW w:w="1744" w:type="pct"/>
            <w:noWrap/>
          </w:tcPr>
          <w:p w14:paraId="31CE0DBC" w14:textId="77777777" w:rsidR="005F576C" w:rsidRPr="000665B0" w:rsidRDefault="005F576C" w:rsidP="005F1DFB">
            <w:pPr>
              <w:spacing w:before="40" w:after="40" w:line="240" w:lineRule="auto"/>
              <w:rPr>
                <w:sz w:val="20"/>
              </w:rPr>
            </w:pPr>
            <w:r w:rsidRPr="000665B0">
              <w:rPr>
                <w:sz w:val="20"/>
              </w:rPr>
              <w:t>Similar to #78 above, but this time a sim-TCIP is in use.</w:t>
            </w:r>
          </w:p>
        </w:tc>
        <w:tc>
          <w:tcPr>
            <w:tcW w:w="2093" w:type="pct"/>
            <w:noWrap/>
          </w:tcPr>
          <w:p w14:paraId="48F1BB04" w14:textId="4347A01D" w:rsidR="005F576C" w:rsidRPr="000665B0" w:rsidRDefault="005F576C" w:rsidP="006D5A65">
            <w:pPr>
              <w:pStyle w:val="Heading1"/>
            </w:pPr>
            <w:r w:rsidRPr="000665B0">
              <w:t xml:space="preserve">Has the rehearsal “started” yet? TSRT won’t simulate the TCIP until it has finished loading the </w:t>
            </w:r>
            <w:r w:rsidR="00D24B5E" w:rsidRPr="000665B0">
              <w:t>strike.</w:t>
            </w:r>
          </w:p>
          <w:p w14:paraId="7CA05A7F" w14:textId="2DD652AD" w:rsidR="005F576C" w:rsidRPr="000665B0" w:rsidRDefault="005F576C" w:rsidP="006D5A65">
            <w:pPr>
              <w:pStyle w:val="Heading1"/>
            </w:pPr>
            <w:r w:rsidRPr="000665B0">
              <w:t xml:space="preserve">TSRT simulates TSNIF </w:t>
            </w:r>
            <w:r w:rsidR="00CD17EF" w:rsidRPr="000665B0">
              <w:t>reasonably but</w:t>
            </w:r>
            <w:r w:rsidRPr="000665B0">
              <w:t xml:space="preserve"> does not provide for LINT message routing. You’ll need to use </w:t>
            </w:r>
            <w:r w:rsidR="005B2BFA" w:rsidRPr="000665B0">
              <w:t>Email</w:t>
            </w:r>
            <w:r w:rsidRPr="000665B0">
              <w:t xml:space="preserve"> if you want OTH traffic.</w:t>
            </w:r>
          </w:p>
          <w:p w14:paraId="2EBCB65F" w14:textId="77777777" w:rsidR="005F576C" w:rsidRPr="000665B0" w:rsidRDefault="005F576C" w:rsidP="006D5A65">
            <w:pPr>
              <w:pStyle w:val="Heading1"/>
            </w:pPr>
            <w:r w:rsidRPr="000665B0">
              <w:t xml:space="preserve">Is the </w:t>
            </w:r>
            <w:r w:rsidR="007E135D" w:rsidRPr="000665B0">
              <w:t>W</w:t>
            </w:r>
            <w:r w:rsidRPr="000665B0">
              <w:t>indows firewall running on the TSRT PC?</w:t>
            </w:r>
          </w:p>
        </w:tc>
      </w:tr>
      <w:tr w:rsidR="007D72B2" w:rsidRPr="000665B0" w14:paraId="4C5BA871" w14:textId="77777777" w:rsidTr="007D72B2">
        <w:trPr>
          <w:cantSplit/>
          <w:trHeight w:val="255"/>
        </w:trPr>
        <w:tc>
          <w:tcPr>
            <w:tcW w:w="376" w:type="pct"/>
            <w:noWrap/>
          </w:tcPr>
          <w:p w14:paraId="42EFE9B8" w14:textId="77777777" w:rsidR="005F576C" w:rsidRPr="000665B0" w:rsidRDefault="00C74262" w:rsidP="005F1DFB">
            <w:pPr>
              <w:spacing w:before="40" w:after="40" w:line="240" w:lineRule="auto"/>
              <w:jc w:val="center"/>
              <w:rPr>
                <w:sz w:val="20"/>
              </w:rPr>
            </w:pPr>
            <w:r w:rsidRPr="000665B0">
              <w:rPr>
                <w:sz w:val="20"/>
              </w:rPr>
              <w:t>81</w:t>
            </w:r>
          </w:p>
        </w:tc>
        <w:tc>
          <w:tcPr>
            <w:tcW w:w="787" w:type="pct"/>
            <w:noWrap/>
          </w:tcPr>
          <w:p w14:paraId="08E61056" w14:textId="77777777" w:rsidR="005F576C" w:rsidRPr="000665B0" w:rsidRDefault="005F576C" w:rsidP="00F85F07">
            <w:pPr>
              <w:spacing w:before="40" w:after="40" w:line="240" w:lineRule="auto"/>
              <w:rPr>
                <w:sz w:val="20"/>
              </w:rPr>
            </w:pPr>
            <w:r w:rsidRPr="000665B0">
              <w:rPr>
                <w:sz w:val="20"/>
              </w:rPr>
              <w:t>Error uncabbing DDO for PCMDS to PCMDS FDU</w:t>
            </w:r>
          </w:p>
        </w:tc>
        <w:tc>
          <w:tcPr>
            <w:tcW w:w="1744" w:type="pct"/>
            <w:noWrap/>
          </w:tcPr>
          <w:p w14:paraId="7D0D7A92" w14:textId="122E7E08" w:rsidR="005F576C" w:rsidRPr="000665B0" w:rsidRDefault="005F576C" w:rsidP="005F1DFB">
            <w:pPr>
              <w:spacing w:before="40" w:after="40" w:line="240" w:lineRule="auto"/>
              <w:rPr>
                <w:sz w:val="20"/>
              </w:rPr>
            </w:pPr>
            <w:r w:rsidRPr="000665B0">
              <w:rPr>
                <w:sz w:val="20"/>
              </w:rPr>
              <w:t xml:space="preserve">CAB files provide for their own integrity. </w:t>
            </w:r>
            <w:r w:rsidR="00D24B5E" w:rsidRPr="000665B0">
              <w:rPr>
                <w:sz w:val="20"/>
              </w:rPr>
              <w:t>Apparently,</w:t>
            </w:r>
            <w:r w:rsidRPr="000665B0">
              <w:rPr>
                <w:sz w:val="20"/>
              </w:rPr>
              <w:t xml:space="preserve"> this CAB file has been damaged.</w:t>
            </w:r>
          </w:p>
        </w:tc>
        <w:tc>
          <w:tcPr>
            <w:tcW w:w="2093" w:type="pct"/>
            <w:noWrap/>
          </w:tcPr>
          <w:p w14:paraId="0924303F" w14:textId="77777777" w:rsidR="005F576C" w:rsidRPr="000665B0" w:rsidRDefault="005F576C" w:rsidP="005F1DFB">
            <w:pPr>
              <w:spacing w:before="40" w:after="40" w:line="240" w:lineRule="auto"/>
              <w:rPr>
                <w:sz w:val="20"/>
              </w:rPr>
            </w:pPr>
            <w:r w:rsidRPr="000665B0">
              <w:rPr>
                <w:sz w:val="20"/>
              </w:rPr>
              <w:t>Ask the sender to resend the DDO</w:t>
            </w:r>
            <w:r w:rsidR="00F85F07" w:rsidRPr="000665B0">
              <w:rPr>
                <w:sz w:val="20"/>
              </w:rPr>
              <w:t>.</w:t>
            </w:r>
          </w:p>
        </w:tc>
      </w:tr>
      <w:tr w:rsidR="00A821D9" w:rsidRPr="000665B0" w14:paraId="7CA30FEA" w14:textId="77777777" w:rsidTr="007D72B2">
        <w:trPr>
          <w:cantSplit/>
          <w:trHeight w:val="255"/>
        </w:trPr>
        <w:tc>
          <w:tcPr>
            <w:tcW w:w="376" w:type="pct"/>
            <w:noWrap/>
          </w:tcPr>
          <w:p w14:paraId="7359E2CB" w14:textId="77777777" w:rsidR="00A821D9" w:rsidRPr="000665B0" w:rsidRDefault="00A821D9" w:rsidP="00A821D9">
            <w:pPr>
              <w:spacing w:before="40" w:after="40" w:line="240" w:lineRule="auto"/>
              <w:jc w:val="center"/>
              <w:rPr>
                <w:sz w:val="20"/>
              </w:rPr>
            </w:pPr>
            <w:r w:rsidRPr="000665B0">
              <w:rPr>
                <w:sz w:val="20"/>
              </w:rPr>
              <w:t>82</w:t>
            </w:r>
          </w:p>
        </w:tc>
        <w:tc>
          <w:tcPr>
            <w:tcW w:w="787" w:type="pct"/>
            <w:noWrap/>
          </w:tcPr>
          <w:p w14:paraId="5A5E8D97" w14:textId="77777777" w:rsidR="00A821D9" w:rsidRPr="000665B0" w:rsidRDefault="00A821D9" w:rsidP="00A821D9">
            <w:pPr>
              <w:spacing w:before="40" w:after="40" w:line="240" w:lineRule="auto"/>
              <w:rPr>
                <w:sz w:val="20"/>
              </w:rPr>
            </w:pPr>
            <w:r w:rsidRPr="000665B0">
              <w:rPr>
                <w:sz w:val="20"/>
              </w:rPr>
              <w:t>Removed.</w:t>
            </w:r>
          </w:p>
        </w:tc>
        <w:tc>
          <w:tcPr>
            <w:tcW w:w="1744" w:type="pct"/>
            <w:noWrap/>
          </w:tcPr>
          <w:p w14:paraId="786ABFD4" w14:textId="77777777" w:rsidR="00A821D9" w:rsidRPr="000665B0" w:rsidRDefault="00A821D9" w:rsidP="00A821D9">
            <w:pPr>
              <w:spacing w:before="40" w:after="40" w:line="240" w:lineRule="auto"/>
              <w:rPr>
                <w:sz w:val="20"/>
              </w:rPr>
            </w:pPr>
            <w:r w:rsidRPr="000665B0">
              <w:rPr>
                <w:sz w:val="20"/>
              </w:rPr>
              <w:t>Removed.</w:t>
            </w:r>
          </w:p>
        </w:tc>
        <w:tc>
          <w:tcPr>
            <w:tcW w:w="2093" w:type="pct"/>
            <w:noWrap/>
          </w:tcPr>
          <w:p w14:paraId="324E3063" w14:textId="77777777" w:rsidR="00A821D9" w:rsidRPr="000665B0" w:rsidRDefault="00A821D9" w:rsidP="00A821D9">
            <w:pPr>
              <w:spacing w:before="40" w:after="40" w:line="240" w:lineRule="auto"/>
              <w:rPr>
                <w:sz w:val="20"/>
              </w:rPr>
            </w:pPr>
            <w:r w:rsidRPr="000665B0">
              <w:rPr>
                <w:sz w:val="20"/>
              </w:rPr>
              <w:t>Removed.</w:t>
            </w:r>
          </w:p>
        </w:tc>
      </w:tr>
      <w:tr w:rsidR="007D72B2" w:rsidRPr="000665B0" w14:paraId="2FB1115B" w14:textId="77777777" w:rsidTr="007D72B2">
        <w:trPr>
          <w:cantSplit/>
          <w:trHeight w:val="255"/>
        </w:trPr>
        <w:tc>
          <w:tcPr>
            <w:tcW w:w="376" w:type="pct"/>
            <w:noWrap/>
          </w:tcPr>
          <w:p w14:paraId="16A68EED" w14:textId="77777777" w:rsidR="005F576C" w:rsidRPr="000665B0" w:rsidRDefault="00C74262" w:rsidP="00C74262">
            <w:pPr>
              <w:spacing w:before="40" w:after="40" w:line="240" w:lineRule="auto"/>
              <w:jc w:val="center"/>
              <w:rPr>
                <w:sz w:val="20"/>
              </w:rPr>
            </w:pPr>
            <w:r w:rsidRPr="000665B0">
              <w:rPr>
                <w:sz w:val="20"/>
              </w:rPr>
              <w:t>83</w:t>
            </w:r>
          </w:p>
        </w:tc>
        <w:tc>
          <w:tcPr>
            <w:tcW w:w="787" w:type="pct"/>
            <w:noWrap/>
          </w:tcPr>
          <w:p w14:paraId="0EC5EAF3" w14:textId="77777777" w:rsidR="005F576C" w:rsidRPr="000665B0" w:rsidRDefault="005F576C" w:rsidP="00F85F07">
            <w:pPr>
              <w:spacing w:before="40" w:after="40" w:line="240" w:lineRule="auto"/>
              <w:rPr>
                <w:sz w:val="20"/>
              </w:rPr>
            </w:pPr>
            <w:r w:rsidRPr="000665B0">
              <w:rPr>
                <w:sz w:val="20"/>
              </w:rPr>
              <w:t>Error delegating {0} transmission to agent</w:t>
            </w:r>
          </w:p>
        </w:tc>
        <w:tc>
          <w:tcPr>
            <w:tcW w:w="1744" w:type="pct"/>
            <w:noWrap/>
          </w:tcPr>
          <w:p w14:paraId="59D31F61" w14:textId="5913F26C" w:rsidR="005F576C" w:rsidRPr="000665B0" w:rsidRDefault="003378DC" w:rsidP="005F1DFB">
            <w:pPr>
              <w:spacing w:before="40" w:after="40" w:line="240" w:lineRule="auto"/>
              <w:rPr>
                <w:sz w:val="20"/>
              </w:rPr>
            </w:pPr>
            <w:r w:rsidRPr="000665B0">
              <w:rPr>
                <w:sz w:val="20"/>
              </w:rPr>
              <w:t>Either a DDO or Opn</w:t>
            </w:r>
            <w:r w:rsidR="005F576C" w:rsidRPr="000665B0">
              <w:rPr>
                <w:sz w:val="20"/>
              </w:rPr>
              <w:t>ote failed to reach the TDM Distribution Agent</w:t>
            </w:r>
            <w:r w:rsidR="00F85F07" w:rsidRPr="000665B0">
              <w:rPr>
                <w:sz w:val="20"/>
              </w:rPr>
              <w:t>.</w:t>
            </w:r>
          </w:p>
        </w:tc>
        <w:tc>
          <w:tcPr>
            <w:tcW w:w="2093" w:type="pct"/>
            <w:noWrap/>
          </w:tcPr>
          <w:p w14:paraId="1367A16F" w14:textId="77777777" w:rsidR="005F576C" w:rsidRPr="000665B0" w:rsidRDefault="005F576C" w:rsidP="006D5A65">
            <w:pPr>
              <w:pStyle w:val="Heading1"/>
            </w:pPr>
            <w:r w:rsidRPr="000665B0">
              <w:t>Attempt to re-send</w:t>
            </w:r>
            <w:r w:rsidR="00F85F07" w:rsidRPr="000665B0">
              <w:t>.</w:t>
            </w:r>
            <w:r w:rsidRPr="000665B0">
              <w:t xml:space="preserve"> </w:t>
            </w:r>
          </w:p>
          <w:p w14:paraId="09A8E6F6" w14:textId="1CA5C1D0" w:rsidR="005F576C" w:rsidRPr="000665B0" w:rsidRDefault="005F576C" w:rsidP="006D5A65">
            <w:pPr>
              <w:pStyle w:val="Heading1"/>
            </w:pPr>
            <w:r w:rsidRPr="000665B0">
              <w:t xml:space="preserve">Reboot the </w:t>
            </w:r>
            <w:r w:rsidR="00D24B5E" w:rsidRPr="000665B0">
              <w:t>PC and</w:t>
            </w:r>
            <w:r w:rsidRPr="000665B0">
              <w:t xml:space="preserve"> attempt re-send</w:t>
            </w:r>
            <w:r w:rsidR="00F85F07" w:rsidRPr="000665B0">
              <w:t>.</w:t>
            </w:r>
          </w:p>
        </w:tc>
      </w:tr>
      <w:tr w:rsidR="007D72B2" w:rsidRPr="000665B0" w14:paraId="58CF6F89" w14:textId="77777777" w:rsidTr="007D72B2">
        <w:trPr>
          <w:cantSplit/>
          <w:trHeight w:val="255"/>
        </w:trPr>
        <w:tc>
          <w:tcPr>
            <w:tcW w:w="376" w:type="pct"/>
            <w:noWrap/>
          </w:tcPr>
          <w:p w14:paraId="36F3AD6C" w14:textId="77777777" w:rsidR="005F576C" w:rsidRPr="000665B0" w:rsidRDefault="00C74262" w:rsidP="00C74262">
            <w:pPr>
              <w:spacing w:before="40" w:after="40" w:line="240" w:lineRule="auto"/>
              <w:jc w:val="center"/>
              <w:rPr>
                <w:sz w:val="20"/>
              </w:rPr>
            </w:pPr>
            <w:r w:rsidRPr="000665B0">
              <w:rPr>
                <w:sz w:val="20"/>
              </w:rPr>
              <w:t>84</w:t>
            </w:r>
          </w:p>
        </w:tc>
        <w:tc>
          <w:tcPr>
            <w:tcW w:w="787" w:type="pct"/>
            <w:noWrap/>
          </w:tcPr>
          <w:p w14:paraId="3D50C826" w14:textId="77777777" w:rsidR="005F576C" w:rsidRPr="000665B0" w:rsidRDefault="005F576C" w:rsidP="00F85F07">
            <w:pPr>
              <w:spacing w:before="40" w:after="40" w:line="240" w:lineRule="auto"/>
              <w:rPr>
                <w:sz w:val="20"/>
              </w:rPr>
            </w:pPr>
            <w:r w:rsidRPr="000665B0">
              <w:rPr>
                <w:sz w:val="20"/>
              </w:rPr>
              <w:t>Failed sending {0} bytes ({1}) to agent</w:t>
            </w:r>
          </w:p>
        </w:tc>
        <w:tc>
          <w:tcPr>
            <w:tcW w:w="1744" w:type="pct"/>
            <w:noWrap/>
          </w:tcPr>
          <w:p w14:paraId="5F1B3152" w14:textId="77777777" w:rsidR="005F576C" w:rsidRPr="000665B0" w:rsidRDefault="005F576C" w:rsidP="002E41AC">
            <w:pPr>
              <w:spacing w:before="40" w:after="40" w:line="240" w:lineRule="auto"/>
              <w:rPr>
                <w:sz w:val="20"/>
              </w:rPr>
            </w:pPr>
            <w:r w:rsidRPr="000665B0">
              <w:rPr>
                <w:sz w:val="20"/>
              </w:rPr>
              <w:t xml:space="preserve">The </w:t>
            </w:r>
            <w:r w:rsidR="00A821D9" w:rsidRPr="000665B0">
              <w:rPr>
                <w:sz w:val="20"/>
              </w:rPr>
              <w:t>Distribution Service</w:t>
            </w:r>
            <w:r w:rsidRPr="000665B0">
              <w:rPr>
                <w:sz w:val="20"/>
              </w:rPr>
              <w:t xml:space="preserve"> failed to send binary data to the </w:t>
            </w:r>
            <w:r w:rsidR="00A821D9" w:rsidRPr="000665B0">
              <w:rPr>
                <w:sz w:val="20"/>
              </w:rPr>
              <w:t>TDM Distribution Agent</w:t>
            </w:r>
            <w:r w:rsidRPr="000665B0">
              <w:rPr>
                <w:sz w:val="20"/>
              </w:rPr>
              <w:t>. This could be either a DDO or OpNote</w:t>
            </w:r>
            <w:r w:rsidR="00F85F07" w:rsidRPr="000665B0">
              <w:rPr>
                <w:sz w:val="20"/>
              </w:rPr>
              <w:t>.</w:t>
            </w:r>
          </w:p>
        </w:tc>
        <w:tc>
          <w:tcPr>
            <w:tcW w:w="2093" w:type="pct"/>
            <w:noWrap/>
          </w:tcPr>
          <w:p w14:paraId="313FF6A0" w14:textId="77777777" w:rsidR="005F576C" w:rsidRPr="000665B0" w:rsidRDefault="005F576C" w:rsidP="006D5A65">
            <w:pPr>
              <w:pStyle w:val="Heading1"/>
            </w:pPr>
            <w:r w:rsidRPr="000665B0">
              <w:t>Attempt to re-send</w:t>
            </w:r>
            <w:r w:rsidR="00F85F07" w:rsidRPr="000665B0">
              <w:t>.</w:t>
            </w:r>
            <w:r w:rsidRPr="000665B0">
              <w:t xml:space="preserve"> </w:t>
            </w:r>
          </w:p>
          <w:p w14:paraId="7DE517D0" w14:textId="1E09184A" w:rsidR="005F576C" w:rsidRPr="000665B0" w:rsidRDefault="005F576C" w:rsidP="006D5A65">
            <w:pPr>
              <w:pStyle w:val="Heading1"/>
            </w:pPr>
            <w:r w:rsidRPr="000665B0">
              <w:t xml:space="preserve">Reboot the </w:t>
            </w:r>
            <w:r w:rsidR="00D24B5E" w:rsidRPr="000665B0">
              <w:t>PC and</w:t>
            </w:r>
            <w:r w:rsidRPr="000665B0">
              <w:t xml:space="preserve"> attempt re-send</w:t>
            </w:r>
            <w:r w:rsidR="00F85F07" w:rsidRPr="000665B0">
              <w:t>.</w:t>
            </w:r>
          </w:p>
        </w:tc>
      </w:tr>
      <w:tr w:rsidR="007D72B2" w:rsidRPr="000665B0" w14:paraId="66B00469" w14:textId="77777777" w:rsidTr="007D72B2">
        <w:trPr>
          <w:cantSplit/>
          <w:trHeight w:val="255"/>
        </w:trPr>
        <w:tc>
          <w:tcPr>
            <w:tcW w:w="376" w:type="pct"/>
            <w:noWrap/>
          </w:tcPr>
          <w:p w14:paraId="28F6C70B" w14:textId="77777777" w:rsidR="005F576C" w:rsidRPr="000665B0" w:rsidRDefault="00C74262" w:rsidP="00C74262">
            <w:pPr>
              <w:spacing w:before="40" w:after="40" w:line="240" w:lineRule="auto"/>
              <w:jc w:val="center"/>
              <w:rPr>
                <w:sz w:val="20"/>
              </w:rPr>
            </w:pPr>
            <w:r w:rsidRPr="000665B0">
              <w:rPr>
                <w:sz w:val="20"/>
              </w:rPr>
              <w:t>85</w:t>
            </w:r>
          </w:p>
        </w:tc>
        <w:tc>
          <w:tcPr>
            <w:tcW w:w="787" w:type="pct"/>
            <w:noWrap/>
          </w:tcPr>
          <w:p w14:paraId="1E3EB688" w14:textId="77777777" w:rsidR="005F576C" w:rsidRPr="000665B0" w:rsidRDefault="005F576C" w:rsidP="00F85F07">
            <w:pPr>
              <w:spacing w:before="40" w:after="40" w:line="240" w:lineRule="auto"/>
              <w:rPr>
                <w:sz w:val="20"/>
              </w:rPr>
            </w:pPr>
            <w:r w:rsidRPr="000665B0">
              <w:rPr>
                <w:sz w:val="20"/>
              </w:rPr>
              <w:t>Failed to s</w:t>
            </w:r>
            <w:r w:rsidR="0024387F" w:rsidRPr="000665B0">
              <w:rPr>
                <w:sz w:val="20"/>
              </w:rPr>
              <w:t>end TextMessage</w:t>
            </w:r>
            <w:r w:rsidRPr="000665B0">
              <w:rPr>
                <w:sz w:val="20"/>
              </w:rPr>
              <w:t xml:space="preserve"> {0}</w:t>
            </w:r>
          </w:p>
        </w:tc>
        <w:tc>
          <w:tcPr>
            <w:tcW w:w="1744" w:type="pct"/>
            <w:noWrap/>
          </w:tcPr>
          <w:p w14:paraId="66ED4876" w14:textId="77777777" w:rsidR="005F576C" w:rsidRPr="000665B0" w:rsidRDefault="005F576C" w:rsidP="005F1DFB">
            <w:pPr>
              <w:spacing w:before="40" w:after="40" w:line="240" w:lineRule="auto"/>
              <w:rPr>
                <w:sz w:val="20"/>
              </w:rPr>
            </w:pPr>
            <w:r w:rsidRPr="000665B0">
              <w:rPr>
                <w:sz w:val="20"/>
              </w:rPr>
              <w:t xml:space="preserve">Either MDS failed to give an OpNote to the </w:t>
            </w:r>
            <w:r w:rsidR="002B3177" w:rsidRPr="000665B0">
              <w:rPr>
                <w:sz w:val="20"/>
              </w:rPr>
              <w:t>Distribution Service</w:t>
            </w:r>
            <w:r w:rsidRPr="000665B0">
              <w:rPr>
                <w:sz w:val="20"/>
              </w:rPr>
              <w:t xml:space="preserve">, or the </w:t>
            </w:r>
            <w:r w:rsidR="002B3177" w:rsidRPr="000665B0">
              <w:rPr>
                <w:sz w:val="20"/>
              </w:rPr>
              <w:t xml:space="preserve">Distribution Service </w:t>
            </w:r>
            <w:r w:rsidRPr="000665B0">
              <w:rPr>
                <w:sz w:val="20"/>
              </w:rPr>
              <w:t xml:space="preserve">failed to give it to the </w:t>
            </w:r>
            <w:r w:rsidR="002B3177" w:rsidRPr="000665B0">
              <w:rPr>
                <w:sz w:val="20"/>
              </w:rPr>
              <w:t xml:space="preserve">TDM </w:t>
            </w:r>
            <w:r w:rsidRPr="000665B0">
              <w:rPr>
                <w:sz w:val="20"/>
              </w:rPr>
              <w:t>Distribution Agent.</w:t>
            </w:r>
          </w:p>
        </w:tc>
        <w:tc>
          <w:tcPr>
            <w:tcW w:w="2093" w:type="pct"/>
            <w:noWrap/>
          </w:tcPr>
          <w:p w14:paraId="3801B487" w14:textId="77777777" w:rsidR="005F576C" w:rsidRPr="000665B0" w:rsidRDefault="005F576C" w:rsidP="006D5A65">
            <w:pPr>
              <w:pStyle w:val="Heading1"/>
            </w:pPr>
            <w:r w:rsidRPr="000665B0">
              <w:t>Attempt to re-send</w:t>
            </w:r>
            <w:r w:rsidR="00F85F07" w:rsidRPr="000665B0">
              <w:t>.</w:t>
            </w:r>
            <w:r w:rsidRPr="000665B0">
              <w:t xml:space="preserve"> </w:t>
            </w:r>
          </w:p>
          <w:p w14:paraId="34777AD5" w14:textId="5DF58C8C" w:rsidR="005F576C" w:rsidRPr="000665B0" w:rsidRDefault="005F576C" w:rsidP="006D5A65">
            <w:pPr>
              <w:pStyle w:val="Heading1"/>
            </w:pPr>
            <w:r w:rsidRPr="000665B0">
              <w:t xml:space="preserve">Reboot the </w:t>
            </w:r>
            <w:r w:rsidR="00D24B5E" w:rsidRPr="000665B0">
              <w:t>PC and</w:t>
            </w:r>
            <w:r w:rsidRPr="000665B0">
              <w:t xml:space="preserve"> attempt re-send</w:t>
            </w:r>
            <w:r w:rsidR="00F85F07" w:rsidRPr="000665B0">
              <w:t>.</w:t>
            </w:r>
          </w:p>
        </w:tc>
      </w:tr>
      <w:tr w:rsidR="007D72B2" w:rsidRPr="000665B0" w14:paraId="433AFA55" w14:textId="77777777" w:rsidTr="007D72B2">
        <w:trPr>
          <w:cantSplit/>
          <w:trHeight w:val="255"/>
        </w:trPr>
        <w:tc>
          <w:tcPr>
            <w:tcW w:w="376" w:type="pct"/>
            <w:noWrap/>
          </w:tcPr>
          <w:p w14:paraId="09A6117B" w14:textId="77777777" w:rsidR="005F576C" w:rsidRPr="000665B0" w:rsidRDefault="00C74262" w:rsidP="00C74262">
            <w:pPr>
              <w:spacing w:before="40" w:after="40" w:line="240" w:lineRule="auto"/>
              <w:jc w:val="center"/>
              <w:rPr>
                <w:sz w:val="20"/>
              </w:rPr>
            </w:pPr>
            <w:r w:rsidRPr="000665B0">
              <w:rPr>
                <w:sz w:val="20"/>
              </w:rPr>
              <w:t>86</w:t>
            </w:r>
          </w:p>
        </w:tc>
        <w:tc>
          <w:tcPr>
            <w:tcW w:w="787" w:type="pct"/>
            <w:noWrap/>
          </w:tcPr>
          <w:p w14:paraId="42F94D49" w14:textId="77777777" w:rsidR="005F576C" w:rsidRPr="000665B0" w:rsidRDefault="005F576C" w:rsidP="00F85F07">
            <w:pPr>
              <w:spacing w:before="40" w:after="40" w:line="240" w:lineRule="auto"/>
              <w:rPr>
                <w:sz w:val="20"/>
              </w:rPr>
            </w:pPr>
            <w:r w:rsidRPr="000665B0">
              <w:rPr>
                <w:sz w:val="20"/>
              </w:rPr>
              <w:t>Failed setting up DB wrapper</w:t>
            </w:r>
          </w:p>
        </w:tc>
        <w:tc>
          <w:tcPr>
            <w:tcW w:w="1744" w:type="pct"/>
            <w:noWrap/>
          </w:tcPr>
          <w:p w14:paraId="7116CCCC" w14:textId="77777777" w:rsidR="005F576C" w:rsidRPr="000665B0" w:rsidRDefault="005F576C" w:rsidP="005F1DFB">
            <w:pPr>
              <w:spacing w:before="40" w:after="40" w:line="240" w:lineRule="auto"/>
              <w:rPr>
                <w:sz w:val="20"/>
              </w:rPr>
            </w:pPr>
            <w:r w:rsidRPr="000665B0">
              <w:rPr>
                <w:sz w:val="20"/>
              </w:rPr>
              <w:t xml:space="preserve">A webservice error occurred connecting to TED VLDB within </w:t>
            </w:r>
            <w:r w:rsidR="002B3177" w:rsidRPr="000665B0">
              <w:rPr>
                <w:sz w:val="20"/>
              </w:rPr>
              <w:t>Distribution Service</w:t>
            </w:r>
            <w:r w:rsidRPr="000665B0">
              <w:rPr>
                <w:sz w:val="20"/>
              </w:rPr>
              <w:t>.</w:t>
            </w:r>
          </w:p>
        </w:tc>
        <w:tc>
          <w:tcPr>
            <w:tcW w:w="2093" w:type="pct"/>
            <w:noWrap/>
          </w:tcPr>
          <w:p w14:paraId="12BBA1CD" w14:textId="77777777" w:rsidR="005F576C" w:rsidRPr="000665B0" w:rsidRDefault="005F576C" w:rsidP="005F1DFB">
            <w:pPr>
              <w:spacing w:before="40" w:after="40" w:line="240" w:lineRule="auto"/>
              <w:rPr>
                <w:sz w:val="20"/>
              </w:rPr>
            </w:pPr>
            <w:r w:rsidRPr="000665B0">
              <w:rPr>
                <w:sz w:val="20"/>
              </w:rPr>
              <w:t>Recommend reboot (or reinstall)</w:t>
            </w:r>
            <w:r w:rsidR="00F85F07" w:rsidRPr="000665B0">
              <w:rPr>
                <w:sz w:val="20"/>
              </w:rPr>
              <w:t>.</w:t>
            </w:r>
          </w:p>
        </w:tc>
      </w:tr>
      <w:tr w:rsidR="007D72B2" w:rsidRPr="000665B0" w14:paraId="765CFC80" w14:textId="77777777" w:rsidTr="007D72B2">
        <w:trPr>
          <w:cantSplit/>
          <w:trHeight w:val="255"/>
        </w:trPr>
        <w:tc>
          <w:tcPr>
            <w:tcW w:w="376" w:type="pct"/>
            <w:noWrap/>
          </w:tcPr>
          <w:p w14:paraId="48A265F2" w14:textId="77777777" w:rsidR="005F576C" w:rsidRPr="000665B0" w:rsidRDefault="00C74262" w:rsidP="00C74262">
            <w:pPr>
              <w:spacing w:before="40" w:after="40" w:line="240" w:lineRule="auto"/>
              <w:jc w:val="center"/>
              <w:rPr>
                <w:sz w:val="20"/>
              </w:rPr>
            </w:pPr>
            <w:r w:rsidRPr="000665B0">
              <w:rPr>
                <w:sz w:val="20"/>
              </w:rPr>
              <w:lastRenderedPageBreak/>
              <w:t>87</w:t>
            </w:r>
          </w:p>
        </w:tc>
        <w:tc>
          <w:tcPr>
            <w:tcW w:w="787" w:type="pct"/>
            <w:noWrap/>
          </w:tcPr>
          <w:p w14:paraId="192DD14E" w14:textId="77777777" w:rsidR="005F576C" w:rsidRPr="000665B0" w:rsidRDefault="005F576C" w:rsidP="00F85F07">
            <w:pPr>
              <w:spacing w:before="40" w:after="40" w:line="240" w:lineRule="auto"/>
              <w:rPr>
                <w:sz w:val="20"/>
              </w:rPr>
            </w:pPr>
            <w:r w:rsidRPr="000665B0">
              <w:rPr>
                <w:sz w:val="20"/>
              </w:rPr>
              <w:t>Failed to connect to LINT</w:t>
            </w:r>
          </w:p>
        </w:tc>
        <w:tc>
          <w:tcPr>
            <w:tcW w:w="1744" w:type="pct"/>
            <w:noWrap/>
          </w:tcPr>
          <w:p w14:paraId="0DC34F64" w14:textId="77777777" w:rsidR="005F576C" w:rsidRPr="000665B0" w:rsidRDefault="005F576C" w:rsidP="002E41AC">
            <w:pPr>
              <w:spacing w:before="40" w:after="40" w:line="240" w:lineRule="auto"/>
              <w:rPr>
                <w:sz w:val="20"/>
              </w:rPr>
            </w:pPr>
            <w:r w:rsidRPr="000665B0">
              <w:rPr>
                <w:sz w:val="20"/>
              </w:rPr>
              <w:t xml:space="preserve">TDM </w:t>
            </w:r>
            <w:r w:rsidR="002B3177" w:rsidRPr="000665B0">
              <w:rPr>
                <w:sz w:val="20"/>
              </w:rPr>
              <w:t xml:space="preserve">Distribution Agent </w:t>
            </w:r>
            <w:r w:rsidRPr="000665B0">
              <w:rPr>
                <w:sz w:val="20"/>
              </w:rPr>
              <w:t>could not establish a connection to LINT on port 9500.</w:t>
            </w:r>
          </w:p>
        </w:tc>
        <w:tc>
          <w:tcPr>
            <w:tcW w:w="2093" w:type="pct"/>
            <w:noWrap/>
          </w:tcPr>
          <w:p w14:paraId="18C96FB2" w14:textId="77777777" w:rsidR="005F576C" w:rsidRPr="000665B0" w:rsidRDefault="005F576C" w:rsidP="006D5A65">
            <w:pPr>
              <w:pStyle w:val="Heading1"/>
            </w:pPr>
            <w:r w:rsidRPr="000665B0">
              <w:t>Verify the TCIP machine is running.</w:t>
            </w:r>
          </w:p>
          <w:p w14:paraId="02CEB445" w14:textId="77777777" w:rsidR="005F576C" w:rsidRPr="000665B0" w:rsidRDefault="005F576C" w:rsidP="006D5A65">
            <w:pPr>
              <w:pStyle w:val="Heading1"/>
            </w:pPr>
            <w:r w:rsidRPr="000665B0">
              <w:t>Verify the LINT remote GUI is running either on the TCIP PC, or on a remote PC.</w:t>
            </w:r>
          </w:p>
          <w:p w14:paraId="4EE65BCF" w14:textId="301DC382" w:rsidR="005F576C" w:rsidRPr="000665B0" w:rsidRDefault="005F576C" w:rsidP="006D5A65">
            <w:pPr>
              <w:pStyle w:val="Heading1"/>
            </w:pPr>
            <w:r w:rsidRPr="000665B0">
              <w:t xml:space="preserve">Add an interface for your MDS PC within </w:t>
            </w:r>
            <w:r w:rsidR="00D24B5E" w:rsidRPr="000665B0">
              <w:t>LINT and</w:t>
            </w:r>
            <w:r w:rsidRPr="000665B0">
              <w:t xml:space="preserve"> save the configuration.</w:t>
            </w:r>
          </w:p>
        </w:tc>
      </w:tr>
      <w:tr w:rsidR="007D72B2" w:rsidRPr="000665B0" w14:paraId="139303E5" w14:textId="77777777" w:rsidTr="007D72B2">
        <w:trPr>
          <w:cantSplit/>
          <w:trHeight w:val="255"/>
        </w:trPr>
        <w:tc>
          <w:tcPr>
            <w:tcW w:w="376" w:type="pct"/>
            <w:noWrap/>
          </w:tcPr>
          <w:p w14:paraId="684FA558" w14:textId="77777777" w:rsidR="005F576C" w:rsidRPr="000665B0" w:rsidRDefault="00C74262" w:rsidP="00C74262">
            <w:pPr>
              <w:spacing w:before="40" w:after="40" w:line="240" w:lineRule="auto"/>
              <w:jc w:val="center"/>
              <w:rPr>
                <w:sz w:val="20"/>
              </w:rPr>
            </w:pPr>
            <w:r w:rsidRPr="000665B0">
              <w:rPr>
                <w:sz w:val="20"/>
              </w:rPr>
              <w:t>88</w:t>
            </w:r>
          </w:p>
        </w:tc>
        <w:tc>
          <w:tcPr>
            <w:tcW w:w="787" w:type="pct"/>
            <w:noWrap/>
          </w:tcPr>
          <w:p w14:paraId="52872212" w14:textId="77777777" w:rsidR="005F576C" w:rsidRPr="000665B0" w:rsidRDefault="005F576C" w:rsidP="00F85F07">
            <w:pPr>
              <w:spacing w:before="40" w:after="40" w:line="240" w:lineRule="auto"/>
              <w:rPr>
                <w:sz w:val="20"/>
              </w:rPr>
            </w:pPr>
            <w:r w:rsidRPr="000665B0">
              <w:rPr>
                <w:sz w:val="20"/>
              </w:rPr>
              <w:t>Failed getting bytes from stream</w:t>
            </w:r>
          </w:p>
        </w:tc>
        <w:tc>
          <w:tcPr>
            <w:tcW w:w="1744" w:type="pct"/>
            <w:noWrap/>
          </w:tcPr>
          <w:p w14:paraId="2532E51B" w14:textId="77777777" w:rsidR="005F576C" w:rsidRPr="000665B0" w:rsidRDefault="005F576C" w:rsidP="005F1DFB">
            <w:pPr>
              <w:spacing w:before="40" w:after="40" w:line="240" w:lineRule="auto"/>
              <w:rPr>
                <w:sz w:val="20"/>
              </w:rPr>
            </w:pPr>
            <w:r w:rsidRPr="000665B0">
              <w:rPr>
                <w:sz w:val="20"/>
              </w:rPr>
              <w:t>TDM Distribution Agent failed to get a large chunk of binary data from LINT.</w:t>
            </w:r>
          </w:p>
        </w:tc>
        <w:tc>
          <w:tcPr>
            <w:tcW w:w="2093" w:type="pct"/>
            <w:noWrap/>
          </w:tcPr>
          <w:p w14:paraId="2C8C0B1C" w14:textId="77777777" w:rsidR="005F576C" w:rsidRPr="000665B0" w:rsidRDefault="007E135D" w:rsidP="005F1DFB">
            <w:pPr>
              <w:spacing w:before="40" w:after="40" w:line="240" w:lineRule="auto"/>
              <w:rPr>
                <w:sz w:val="20"/>
              </w:rPr>
            </w:pPr>
            <w:r w:rsidRPr="000665B0">
              <w:rPr>
                <w:sz w:val="20"/>
              </w:rPr>
              <w:t>None</w:t>
            </w:r>
            <w:r w:rsidR="005F576C" w:rsidRPr="000665B0">
              <w:rPr>
                <w:sz w:val="20"/>
              </w:rPr>
              <w:t xml:space="preserve">. LINT should re-send or </w:t>
            </w:r>
            <w:r w:rsidR="002B3177" w:rsidRPr="000665B0">
              <w:rPr>
                <w:sz w:val="20"/>
              </w:rPr>
              <w:t xml:space="preserve">Distribution Service </w:t>
            </w:r>
            <w:r w:rsidR="005F576C" w:rsidRPr="000665B0">
              <w:rPr>
                <w:sz w:val="20"/>
              </w:rPr>
              <w:t>should disconnect and reconnect.</w:t>
            </w:r>
          </w:p>
        </w:tc>
      </w:tr>
      <w:tr w:rsidR="007D72B2" w:rsidRPr="000665B0" w14:paraId="7DFD3CF0" w14:textId="77777777" w:rsidTr="007D72B2">
        <w:trPr>
          <w:cantSplit/>
          <w:trHeight w:val="255"/>
        </w:trPr>
        <w:tc>
          <w:tcPr>
            <w:tcW w:w="376" w:type="pct"/>
            <w:noWrap/>
          </w:tcPr>
          <w:p w14:paraId="0A09300D" w14:textId="77777777" w:rsidR="005F576C" w:rsidRPr="000665B0" w:rsidRDefault="00C74262" w:rsidP="00C74262">
            <w:pPr>
              <w:spacing w:before="40" w:after="40" w:line="240" w:lineRule="auto"/>
              <w:jc w:val="center"/>
              <w:rPr>
                <w:sz w:val="20"/>
              </w:rPr>
            </w:pPr>
            <w:r w:rsidRPr="000665B0">
              <w:rPr>
                <w:sz w:val="20"/>
              </w:rPr>
              <w:t>89</w:t>
            </w:r>
          </w:p>
        </w:tc>
        <w:tc>
          <w:tcPr>
            <w:tcW w:w="787" w:type="pct"/>
            <w:noWrap/>
          </w:tcPr>
          <w:p w14:paraId="1D851D9E" w14:textId="77777777" w:rsidR="005F576C" w:rsidRPr="000665B0" w:rsidRDefault="005F576C" w:rsidP="00F85F07">
            <w:pPr>
              <w:spacing w:before="40" w:after="40" w:line="240" w:lineRule="auto"/>
              <w:rPr>
                <w:sz w:val="20"/>
              </w:rPr>
            </w:pPr>
            <w:r w:rsidRPr="000665B0">
              <w:rPr>
                <w:sz w:val="20"/>
              </w:rPr>
              <w:t>Failed to {0} queue database</w:t>
            </w:r>
          </w:p>
        </w:tc>
        <w:tc>
          <w:tcPr>
            <w:tcW w:w="1744" w:type="pct"/>
            <w:noWrap/>
          </w:tcPr>
          <w:p w14:paraId="16CE0766" w14:textId="77777777" w:rsidR="005F576C" w:rsidRPr="000665B0" w:rsidRDefault="005F576C" w:rsidP="005F1DFB">
            <w:pPr>
              <w:spacing w:before="40" w:after="40" w:line="240" w:lineRule="auto"/>
              <w:rPr>
                <w:sz w:val="20"/>
              </w:rPr>
            </w:pPr>
            <w:r w:rsidRPr="000665B0">
              <w:rPr>
                <w:sz w:val="20"/>
              </w:rPr>
              <w:t>The TDM Distribution Agent failed to store or retrieve the list of message queues in use. The clients re-register the queues on each use.</w:t>
            </w:r>
          </w:p>
        </w:tc>
        <w:tc>
          <w:tcPr>
            <w:tcW w:w="2093" w:type="pct"/>
            <w:noWrap/>
          </w:tcPr>
          <w:p w14:paraId="78FE9517" w14:textId="77777777" w:rsidR="005F576C" w:rsidRPr="000665B0" w:rsidRDefault="005F576C" w:rsidP="006D5A65">
            <w:pPr>
              <w:pStyle w:val="Heading1"/>
            </w:pPr>
            <w:r w:rsidRPr="000665B0">
              <w:t xml:space="preserve">Close MDS and reopen. </w:t>
            </w:r>
          </w:p>
          <w:p w14:paraId="59AA86AB" w14:textId="1B28770D" w:rsidR="005F576C" w:rsidRPr="000665B0" w:rsidRDefault="00930E58" w:rsidP="006D5A65">
            <w:pPr>
              <w:pStyle w:val="Heading1"/>
            </w:pPr>
            <w:r w:rsidRPr="000665B0">
              <w:t xml:space="preserve">Restart TDM Distribution Agent. See </w:t>
            </w:r>
            <w:hyperlink w:anchor="_5.3.1.1.4.2.1__Distribution:" w:history="1">
              <w:r w:rsidRPr="000665B0">
                <w:rPr>
                  <w:rStyle w:val="Hyperlink"/>
                  <w:sz w:val="20"/>
                </w:rPr>
                <w:t>Section 5.3.1.1.4.2.1</w:t>
              </w:r>
            </w:hyperlink>
            <w:r w:rsidRPr="000665B0">
              <w:t>.</w:t>
            </w:r>
          </w:p>
        </w:tc>
      </w:tr>
      <w:tr w:rsidR="007D72B2" w:rsidRPr="000665B0" w14:paraId="2DFED3D9" w14:textId="77777777" w:rsidTr="007D72B2">
        <w:trPr>
          <w:cantSplit/>
          <w:trHeight w:val="255"/>
        </w:trPr>
        <w:tc>
          <w:tcPr>
            <w:tcW w:w="376" w:type="pct"/>
            <w:noWrap/>
          </w:tcPr>
          <w:p w14:paraId="7717B5D3" w14:textId="77777777" w:rsidR="005F576C" w:rsidRPr="000665B0" w:rsidRDefault="00C74262" w:rsidP="005F1DFB">
            <w:pPr>
              <w:spacing w:before="40" w:after="40" w:line="240" w:lineRule="auto"/>
              <w:jc w:val="center"/>
              <w:rPr>
                <w:sz w:val="20"/>
              </w:rPr>
            </w:pPr>
            <w:r w:rsidRPr="000665B0">
              <w:rPr>
                <w:sz w:val="20"/>
              </w:rPr>
              <w:t>90</w:t>
            </w:r>
          </w:p>
        </w:tc>
        <w:tc>
          <w:tcPr>
            <w:tcW w:w="787" w:type="pct"/>
            <w:noWrap/>
          </w:tcPr>
          <w:p w14:paraId="63A75C8E" w14:textId="77777777" w:rsidR="005F576C" w:rsidRPr="000665B0" w:rsidRDefault="005F576C" w:rsidP="00F85F07">
            <w:pPr>
              <w:spacing w:before="40" w:after="40" w:line="240" w:lineRule="auto"/>
              <w:rPr>
                <w:sz w:val="20"/>
              </w:rPr>
            </w:pPr>
            <w:r w:rsidRPr="000665B0">
              <w:rPr>
                <w:sz w:val="20"/>
              </w:rPr>
              <w:t>Error handing incoming LINT data</w:t>
            </w:r>
          </w:p>
        </w:tc>
        <w:tc>
          <w:tcPr>
            <w:tcW w:w="1744" w:type="pct"/>
            <w:noWrap/>
          </w:tcPr>
          <w:p w14:paraId="2696ABFF" w14:textId="77777777" w:rsidR="005F576C" w:rsidRPr="000665B0" w:rsidRDefault="005F576C" w:rsidP="005F1DFB">
            <w:pPr>
              <w:spacing w:before="40" w:after="40" w:line="240" w:lineRule="auto"/>
              <w:rPr>
                <w:sz w:val="20"/>
              </w:rPr>
            </w:pPr>
            <w:r w:rsidRPr="000665B0">
              <w:rPr>
                <w:sz w:val="20"/>
              </w:rPr>
              <w:t>An unknown data type was retrieved from LINT</w:t>
            </w:r>
            <w:r w:rsidR="00F85F07" w:rsidRPr="000665B0">
              <w:rPr>
                <w:sz w:val="20"/>
              </w:rPr>
              <w:t>.</w:t>
            </w:r>
          </w:p>
        </w:tc>
        <w:tc>
          <w:tcPr>
            <w:tcW w:w="2093" w:type="pct"/>
            <w:noWrap/>
          </w:tcPr>
          <w:p w14:paraId="7D512B80" w14:textId="77777777" w:rsidR="005F576C" w:rsidRPr="000665B0" w:rsidRDefault="007E135D" w:rsidP="005F1DFB">
            <w:pPr>
              <w:spacing w:before="40" w:after="40" w:line="240" w:lineRule="auto"/>
              <w:rPr>
                <w:sz w:val="20"/>
              </w:rPr>
            </w:pPr>
            <w:r w:rsidRPr="000665B0">
              <w:rPr>
                <w:sz w:val="20"/>
              </w:rPr>
              <w:t>None</w:t>
            </w:r>
            <w:r w:rsidR="005F576C" w:rsidRPr="000665B0">
              <w:rPr>
                <w:sz w:val="20"/>
              </w:rPr>
              <w:t>.</w:t>
            </w:r>
          </w:p>
        </w:tc>
      </w:tr>
      <w:tr w:rsidR="00F2632C" w:rsidRPr="000665B0" w14:paraId="34672E66" w14:textId="77777777" w:rsidTr="007D72B2">
        <w:trPr>
          <w:cantSplit/>
          <w:trHeight w:val="255"/>
        </w:trPr>
        <w:tc>
          <w:tcPr>
            <w:tcW w:w="376" w:type="pct"/>
            <w:noWrap/>
          </w:tcPr>
          <w:p w14:paraId="2411F989" w14:textId="77777777" w:rsidR="00F2632C" w:rsidRPr="000665B0" w:rsidRDefault="00F2632C" w:rsidP="00F2632C">
            <w:pPr>
              <w:spacing w:before="40" w:after="40" w:line="240" w:lineRule="auto"/>
              <w:jc w:val="center"/>
              <w:rPr>
                <w:sz w:val="20"/>
              </w:rPr>
            </w:pPr>
            <w:r w:rsidRPr="000665B0">
              <w:rPr>
                <w:sz w:val="20"/>
              </w:rPr>
              <w:t>91</w:t>
            </w:r>
          </w:p>
        </w:tc>
        <w:tc>
          <w:tcPr>
            <w:tcW w:w="787" w:type="pct"/>
            <w:noWrap/>
          </w:tcPr>
          <w:p w14:paraId="609EBE1B" w14:textId="4031B2F8" w:rsidR="00F2632C" w:rsidRPr="000665B0" w:rsidRDefault="00F2632C" w:rsidP="00F2632C">
            <w:pPr>
              <w:spacing w:before="40" w:after="40" w:line="240" w:lineRule="auto"/>
              <w:rPr>
                <w:sz w:val="20"/>
              </w:rPr>
            </w:pPr>
            <w:r w:rsidRPr="000665B0">
              <w:rPr>
                <w:sz w:val="20"/>
              </w:rPr>
              <w:t>Removed.</w:t>
            </w:r>
          </w:p>
        </w:tc>
        <w:tc>
          <w:tcPr>
            <w:tcW w:w="1744" w:type="pct"/>
            <w:noWrap/>
          </w:tcPr>
          <w:p w14:paraId="44EFFAA2" w14:textId="4DF77E99" w:rsidR="00F2632C" w:rsidRPr="000665B0" w:rsidRDefault="00F2632C" w:rsidP="00F2632C">
            <w:pPr>
              <w:spacing w:before="40" w:after="40" w:line="240" w:lineRule="auto"/>
              <w:rPr>
                <w:sz w:val="20"/>
              </w:rPr>
            </w:pPr>
            <w:r w:rsidRPr="000665B0">
              <w:rPr>
                <w:sz w:val="20"/>
              </w:rPr>
              <w:t>Removed.</w:t>
            </w:r>
          </w:p>
        </w:tc>
        <w:tc>
          <w:tcPr>
            <w:tcW w:w="2093" w:type="pct"/>
            <w:noWrap/>
          </w:tcPr>
          <w:p w14:paraId="4D0ADA58" w14:textId="062230E2" w:rsidR="00F2632C" w:rsidRPr="000665B0" w:rsidRDefault="00F2632C" w:rsidP="00F16160">
            <w:pPr>
              <w:spacing w:before="40" w:after="40" w:line="240" w:lineRule="auto"/>
              <w:rPr>
                <w:sz w:val="20"/>
              </w:rPr>
            </w:pPr>
            <w:r w:rsidRPr="000665B0">
              <w:rPr>
                <w:sz w:val="20"/>
              </w:rPr>
              <w:t>Removed.</w:t>
            </w:r>
          </w:p>
        </w:tc>
      </w:tr>
      <w:tr w:rsidR="007D72B2" w:rsidRPr="000665B0" w14:paraId="2398632C" w14:textId="77777777" w:rsidTr="007D72B2">
        <w:trPr>
          <w:cantSplit/>
          <w:trHeight w:val="255"/>
        </w:trPr>
        <w:tc>
          <w:tcPr>
            <w:tcW w:w="376" w:type="pct"/>
            <w:noWrap/>
          </w:tcPr>
          <w:p w14:paraId="756BBD04" w14:textId="77777777" w:rsidR="005F576C" w:rsidRPr="000665B0" w:rsidRDefault="00C74262" w:rsidP="005F1DFB">
            <w:pPr>
              <w:spacing w:before="40" w:after="40" w:line="240" w:lineRule="auto"/>
              <w:jc w:val="center"/>
              <w:rPr>
                <w:sz w:val="20"/>
              </w:rPr>
            </w:pPr>
            <w:r w:rsidRPr="000665B0">
              <w:rPr>
                <w:sz w:val="20"/>
              </w:rPr>
              <w:t>92</w:t>
            </w:r>
          </w:p>
        </w:tc>
        <w:tc>
          <w:tcPr>
            <w:tcW w:w="787" w:type="pct"/>
            <w:noWrap/>
          </w:tcPr>
          <w:p w14:paraId="413F4AF9" w14:textId="77777777" w:rsidR="005F576C" w:rsidRPr="000665B0" w:rsidRDefault="005F576C" w:rsidP="002E41AC">
            <w:pPr>
              <w:spacing w:before="40" w:after="40" w:line="240" w:lineRule="auto"/>
              <w:rPr>
                <w:sz w:val="20"/>
              </w:rPr>
            </w:pPr>
            <w:r w:rsidRPr="000665B0">
              <w:rPr>
                <w:sz w:val="20"/>
              </w:rPr>
              <w:t xml:space="preserve">Failed to </w:t>
            </w:r>
            <w:r w:rsidR="008A1ED2" w:rsidRPr="000665B0">
              <w:rPr>
                <w:sz w:val="20"/>
              </w:rPr>
              <w:t>initialize</w:t>
            </w:r>
            <w:r w:rsidRPr="000665B0">
              <w:rPr>
                <w:sz w:val="20"/>
              </w:rPr>
              <w:t xml:space="preserve"> </w:t>
            </w:r>
            <w:r w:rsidR="002B3177" w:rsidRPr="000665B0">
              <w:rPr>
                <w:sz w:val="20"/>
              </w:rPr>
              <w:t xml:space="preserve">Distribution </w:t>
            </w:r>
            <w:r w:rsidRPr="000665B0">
              <w:rPr>
                <w:sz w:val="20"/>
              </w:rPr>
              <w:t>database</w:t>
            </w:r>
          </w:p>
        </w:tc>
        <w:tc>
          <w:tcPr>
            <w:tcW w:w="1744" w:type="pct"/>
            <w:noWrap/>
          </w:tcPr>
          <w:p w14:paraId="342C0A80" w14:textId="77777777" w:rsidR="005F576C" w:rsidRPr="000665B0" w:rsidRDefault="005F576C" w:rsidP="00F85F07">
            <w:pPr>
              <w:spacing w:before="40" w:after="40" w:line="240" w:lineRule="auto"/>
              <w:rPr>
                <w:sz w:val="20"/>
              </w:rPr>
            </w:pPr>
            <w:r w:rsidRPr="000665B0">
              <w:rPr>
                <w:sz w:val="20"/>
              </w:rPr>
              <w:t>Initialization requires dynamic loading of the “Classified Data” DLL. Then opening a connection to the SQL server per “web.config</w:t>
            </w:r>
            <w:r w:rsidR="00F85F07" w:rsidRPr="000665B0">
              <w:rPr>
                <w:sz w:val="20"/>
              </w:rPr>
              <w:t>.</w:t>
            </w:r>
            <w:r w:rsidRPr="000665B0">
              <w:rPr>
                <w:sz w:val="20"/>
              </w:rPr>
              <w:t>”</w:t>
            </w:r>
          </w:p>
        </w:tc>
        <w:tc>
          <w:tcPr>
            <w:tcW w:w="2093" w:type="pct"/>
            <w:noWrap/>
          </w:tcPr>
          <w:p w14:paraId="189B9463" w14:textId="77777777" w:rsidR="005F576C" w:rsidRPr="000665B0" w:rsidRDefault="005F576C" w:rsidP="007E135D">
            <w:pPr>
              <w:spacing w:before="40" w:after="40" w:line="240" w:lineRule="auto"/>
              <w:rPr>
                <w:sz w:val="20"/>
              </w:rPr>
            </w:pPr>
            <w:r w:rsidRPr="000665B0">
              <w:rPr>
                <w:sz w:val="20"/>
              </w:rPr>
              <w:t xml:space="preserve">Possibly an install problem. Reboot PC to see if transient problem </w:t>
            </w:r>
            <w:r w:rsidR="007E135D" w:rsidRPr="000665B0">
              <w:rPr>
                <w:sz w:val="20"/>
              </w:rPr>
              <w:t>is resolved</w:t>
            </w:r>
            <w:r w:rsidRPr="000665B0">
              <w:rPr>
                <w:sz w:val="20"/>
              </w:rPr>
              <w:t>.</w:t>
            </w:r>
          </w:p>
        </w:tc>
      </w:tr>
      <w:tr w:rsidR="007D72B2" w:rsidRPr="000665B0" w14:paraId="01E06D7D" w14:textId="77777777" w:rsidTr="007D72B2">
        <w:trPr>
          <w:cantSplit/>
          <w:trHeight w:val="255"/>
        </w:trPr>
        <w:tc>
          <w:tcPr>
            <w:tcW w:w="376" w:type="pct"/>
            <w:noWrap/>
          </w:tcPr>
          <w:p w14:paraId="28215438" w14:textId="77777777" w:rsidR="005F576C" w:rsidRPr="000665B0" w:rsidRDefault="00C74262" w:rsidP="00C74262">
            <w:pPr>
              <w:spacing w:before="40" w:after="40" w:line="240" w:lineRule="auto"/>
              <w:jc w:val="center"/>
              <w:rPr>
                <w:sz w:val="20"/>
              </w:rPr>
            </w:pPr>
            <w:r w:rsidRPr="000665B0">
              <w:rPr>
                <w:sz w:val="20"/>
              </w:rPr>
              <w:t>93</w:t>
            </w:r>
          </w:p>
        </w:tc>
        <w:tc>
          <w:tcPr>
            <w:tcW w:w="787" w:type="pct"/>
            <w:noWrap/>
          </w:tcPr>
          <w:p w14:paraId="21A8BBE4" w14:textId="77777777" w:rsidR="005F576C" w:rsidRPr="000665B0" w:rsidRDefault="005F576C" w:rsidP="00F85F07">
            <w:pPr>
              <w:spacing w:before="40" w:after="40" w:line="240" w:lineRule="auto"/>
              <w:rPr>
                <w:sz w:val="20"/>
              </w:rPr>
            </w:pPr>
            <w:r w:rsidRPr="000665B0">
              <w:rPr>
                <w:sz w:val="20"/>
              </w:rPr>
              <w:t>Failed to {0} {1} {2} database</w:t>
            </w:r>
          </w:p>
        </w:tc>
        <w:tc>
          <w:tcPr>
            <w:tcW w:w="1744" w:type="pct"/>
            <w:noWrap/>
          </w:tcPr>
          <w:p w14:paraId="613CE19C" w14:textId="42292475" w:rsidR="005F576C" w:rsidRPr="000665B0" w:rsidRDefault="005F576C" w:rsidP="005F1DFB">
            <w:pPr>
              <w:spacing w:before="40" w:after="40" w:line="240" w:lineRule="auto"/>
              <w:rPr>
                <w:sz w:val="20"/>
              </w:rPr>
            </w:pPr>
            <w:r w:rsidRPr="000665B0">
              <w:rPr>
                <w:sz w:val="20"/>
              </w:rPr>
              <w:t xml:space="preserve">An error occurred inserting, loading, or writing a DDO. </w:t>
            </w:r>
          </w:p>
        </w:tc>
        <w:tc>
          <w:tcPr>
            <w:tcW w:w="2093" w:type="pct"/>
            <w:noWrap/>
          </w:tcPr>
          <w:p w14:paraId="77A7F7F5" w14:textId="3F6868DB" w:rsidR="005F576C" w:rsidRPr="000665B0" w:rsidRDefault="005F576C" w:rsidP="005F1DFB">
            <w:pPr>
              <w:spacing w:before="40" w:after="40" w:line="240" w:lineRule="auto"/>
              <w:rPr>
                <w:sz w:val="20"/>
              </w:rPr>
            </w:pPr>
            <w:r w:rsidRPr="000665B0">
              <w:rPr>
                <w:sz w:val="20"/>
              </w:rPr>
              <w:t xml:space="preserve">Request re-transmit of </w:t>
            </w:r>
            <w:r w:rsidR="00626396" w:rsidRPr="000665B0">
              <w:rPr>
                <w:sz w:val="20"/>
              </w:rPr>
              <w:t>DDO</w:t>
            </w:r>
            <w:r w:rsidR="00F85F07" w:rsidRPr="000665B0">
              <w:rPr>
                <w:sz w:val="20"/>
              </w:rPr>
              <w:t>.</w:t>
            </w:r>
          </w:p>
        </w:tc>
      </w:tr>
      <w:tr w:rsidR="002B3177" w:rsidRPr="000665B0" w14:paraId="70512165" w14:textId="77777777" w:rsidTr="007D72B2">
        <w:trPr>
          <w:cantSplit/>
          <w:trHeight w:val="255"/>
        </w:trPr>
        <w:tc>
          <w:tcPr>
            <w:tcW w:w="376" w:type="pct"/>
            <w:noWrap/>
          </w:tcPr>
          <w:p w14:paraId="19D51513" w14:textId="77777777" w:rsidR="002B3177" w:rsidRPr="000665B0" w:rsidRDefault="002B3177" w:rsidP="002B3177">
            <w:pPr>
              <w:spacing w:before="40" w:after="40" w:line="240" w:lineRule="auto"/>
              <w:jc w:val="center"/>
              <w:rPr>
                <w:sz w:val="20"/>
              </w:rPr>
            </w:pPr>
            <w:r w:rsidRPr="000665B0">
              <w:rPr>
                <w:sz w:val="20"/>
              </w:rPr>
              <w:t>94</w:t>
            </w:r>
          </w:p>
        </w:tc>
        <w:tc>
          <w:tcPr>
            <w:tcW w:w="787" w:type="pct"/>
            <w:noWrap/>
          </w:tcPr>
          <w:p w14:paraId="1E964A61" w14:textId="77777777" w:rsidR="002B3177" w:rsidRPr="000665B0" w:rsidRDefault="002B3177" w:rsidP="002B3177">
            <w:pPr>
              <w:spacing w:before="40" w:after="40" w:line="240" w:lineRule="auto"/>
              <w:rPr>
                <w:sz w:val="20"/>
              </w:rPr>
            </w:pPr>
            <w:r w:rsidRPr="000665B0">
              <w:rPr>
                <w:sz w:val="20"/>
              </w:rPr>
              <w:t>Removed.</w:t>
            </w:r>
          </w:p>
        </w:tc>
        <w:tc>
          <w:tcPr>
            <w:tcW w:w="1744" w:type="pct"/>
            <w:noWrap/>
          </w:tcPr>
          <w:p w14:paraId="06B038DE" w14:textId="77777777" w:rsidR="002B3177" w:rsidRPr="000665B0" w:rsidRDefault="002B3177" w:rsidP="002B3177">
            <w:pPr>
              <w:spacing w:before="40" w:after="40" w:line="240" w:lineRule="auto"/>
              <w:rPr>
                <w:sz w:val="20"/>
              </w:rPr>
            </w:pPr>
            <w:r w:rsidRPr="000665B0">
              <w:rPr>
                <w:sz w:val="20"/>
              </w:rPr>
              <w:t>Removed.</w:t>
            </w:r>
          </w:p>
        </w:tc>
        <w:tc>
          <w:tcPr>
            <w:tcW w:w="2093" w:type="pct"/>
            <w:noWrap/>
          </w:tcPr>
          <w:p w14:paraId="31825705" w14:textId="77777777" w:rsidR="002B3177" w:rsidRPr="000665B0" w:rsidRDefault="002B3177" w:rsidP="002B3177">
            <w:pPr>
              <w:spacing w:before="40" w:after="40" w:line="240" w:lineRule="auto"/>
              <w:rPr>
                <w:sz w:val="20"/>
              </w:rPr>
            </w:pPr>
            <w:r w:rsidRPr="000665B0">
              <w:rPr>
                <w:sz w:val="20"/>
              </w:rPr>
              <w:t>Removed.</w:t>
            </w:r>
          </w:p>
        </w:tc>
      </w:tr>
      <w:tr w:rsidR="007D72B2" w:rsidRPr="000665B0" w14:paraId="304EA3AD" w14:textId="77777777" w:rsidTr="007D72B2">
        <w:trPr>
          <w:cantSplit/>
          <w:trHeight w:val="255"/>
        </w:trPr>
        <w:tc>
          <w:tcPr>
            <w:tcW w:w="376" w:type="pct"/>
            <w:noWrap/>
          </w:tcPr>
          <w:p w14:paraId="737B23F0" w14:textId="77777777" w:rsidR="005F576C" w:rsidRPr="000665B0" w:rsidRDefault="00C74262" w:rsidP="00C74262">
            <w:pPr>
              <w:spacing w:before="40" w:after="40" w:line="240" w:lineRule="auto"/>
              <w:jc w:val="center"/>
              <w:rPr>
                <w:sz w:val="20"/>
              </w:rPr>
            </w:pPr>
            <w:r w:rsidRPr="000665B0">
              <w:rPr>
                <w:sz w:val="20"/>
              </w:rPr>
              <w:t>95</w:t>
            </w:r>
          </w:p>
        </w:tc>
        <w:tc>
          <w:tcPr>
            <w:tcW w:w="787" w:type="pct"/>
            <w:noWrap/>
          </w:tcPr>
          <w:p w14:paraId="561E9EF4" w14:textId="77777777" w:rsidR="005F576C" w:rsidRPr="000665B0" w:rsidRDefault="005F576C" w:rsidP="00F85F07">
            <w:pPr>
              <w:spacing w:before="40" w:after="40" w:line="240" w:lineRule="auto"/>
              <w:rPr>
                <w:sz w:val="20"/>
              </w:rPr>
            </w:pPr>
            <w:r w:rsidRPr="000665B0">
              <w:rPr>
                <w:sz w:val="20"/>
              </w:rPr>
              <w:t>Installer failed to create the sources: {0}</w:t>
            </w:r>
          </w:p>
        </w:tc>
        <w:tc>
          <w:tcPr>
            <w:tcW w:w="1744" w:type="pct"/>
            <w:noWrap/>
          </w:tcPr>
          <w:p w14:paraId="6FC4DEB7" w14:textId="77777777" w:rsidR="005F576C" w:rsidRPr="000665B0" w:rsidRDefault="005F576C" w:rsidP="002E41AC">
            <w:pPr>
              <w:spacing w:before="40" w:after="40" w:line="240" w:lineRule="auto"/>
              <w:rPr>
                <w:sz w:val="20"/>
              </w:rPr>
            </w:pPr>
            <w:r w:rsidRPr="000665B0">
              <w:rPr>
                <w:sz w:val="20"/>
              </w:rPr>
              <w:t xml:space="preserve">One of the 7 “source” categories for </w:t>
            </w:r>
            <w:r w:rsidR="002B3177" w:rsidRPr="000665B0">
              <w:rPr>
                <w:sz w:val="20"/>
              </w:rPr>
              <w:t xml:space="preserve">TED </w:t>
            </w:r>
            <w:r w:rsidRPr="000665B0">
              <w:rPr>
                <w:sz w:val="20"/>
              </w:rPr>
              <w:t>event log entries was not configured at install-time.</w:t>
            </w:r>
          </w:p>
        </w:tc>
        <w:tc>
          <w:tcPr>
            <w:tcW w:w="2093" w:type="pct"/>
            <w:noWrap/>
          </w:tcPr>
          <w:p w14:paraId="6EA0F7C8" w14:textId="77777777" w:rsidR="005F576C" w:rsidRPr="000665B0" w:rsidRDefault="002B3177" w:rsidP="005F1DFB">
            <w:pPr>
              <w:spacing w:before="40" w:after="40" w:line="240" w:lineRule="auto"/>
              <w:rPr>
                <w:sz w:val="20"/>
              </w:rPr>
            </w:pPr>
            <w:r w:rsidRPr="000665B0">
              <w:rPr>
                <w:sz w:val="20"/>
              </w:rPr>
              <w:t xml:space="preserve">Distribution Service </w:t>
            </w:r>
            <w:r w:rsidR="005F576C" w:rsidRPr="000665B0">
              <w:rPr>
                <w:sz w:val="20"/>
              </w:rPr>
              <w:t>will attempt to repair the install, but it may not have sufficient privileges. You may need to uninstall then reinstall.</w:t>
            </w:r>
          </w:p>
        </w:tc>
      </w:tr>
      <w:tr w:rsidR="007D72B2" w:rsidRPr="000665B0" w14:paraId="6E2E6B40" w14:textId="77777777" w:rsidTr="007D72B2">
        <w:trPr>
          <w:cantSplit/>
          <w:trHeight w:val="255"/>
        </w:trPr>
        <w:tc>
          <w:tcPr>
            <w:tcW w:w="376" w:type="pct"/>
            <w:noWrap/>
          </w:tcPr>
          <w:p w14:paraId="53E9EC9A" w14:textId="77777777" w:rsidR="005F576C" w:rsidRPr="000665B0" w:rsidRDefault="00C74262" w:rsidP="00C74262">
            <w:pPr>
              <w:spacing w:before="40" w:after="40" w:line="240" w:lineRule="auto"/>
              <w:jc w:val="center"/>
              <w:rPr>
                <w:sz w:val="20"/>
              </w:rPr>
            </w:pPr>
            <w:r w:rsidRPr="000665B0">
              <w:rPr>
                <w:sz w:val="20"/>
              </w:rPr>
              <w:t>96</w:t>
            </w:r>
          </w:p>
        </w:tc>
        <w:tc>
          <w:tcPr>
            <w:tcW w:w="787" w:type="pct"/>
            <w:noWrap/>
          </w:tcPr>
          <w:p w14:paraId="5026B818" w14:textId="77777777" w:rsidR="005F576C" w:rsidRPr="000665B0" w:rsidRDefault="005F576C" w:rsidP="00F85F07">
            <w:pPr>
              <w:spacing w:before="40" w:after="40" w:line="240" w:lineRule="auto"/>
              <w:rPr>
                <w:sz w:val="20"/>
              </w:rPr>
            </w:pPr>
            <w:r w:rsidRPr="000665B0">
              <w:rPr>
                <w:sz w:val="20"/>
              </w:rPr>
              <w:t>Installer failed to create the '{0}' MSMQ</w:t>
            </w:r>
          </w:p>
        </w:tc>
        <w:tc>
          <w:tcPr>
            <w:tcW w:w="1744" w:type="pct"/>
            <w:noWrap/>
          </w:tcPr>
          <w:p w14:paraId="78715CFD" w14:textId="77777777" w:rsidR="005F576C" w:rsidRPr="000665B0" w:rsidRDefault="005F576C" w:rsidP="002E41AC">
            <w:pPr>
              <w:spacing w:before="40" w:after="40" w:line="240" w:lineRule="auto"/>
              <w:rPr>
                <w:sz w:val="20"/>
              </w:rPr>
            </w:pPr>
            <w:r w:rsidRPr="000665B0">
              <w:rPr>
                <w:sz w:val="20"/>
              </w:rPr>
              <w:t xml:space="preserve">One of the 3 queues used by </w:t>
            </w:r>
            <w:r w:rsidR="002B3177" w:rsidRPr="000665B0">
              <w:rPr>
                <w:sz w:val="20"/>
              </w:rPr>
              <w:t xml:space="preserve">Distribution Service </w:t>
            </w:r>
            <w:r w:rsidRPr="000665B0">
              <w:rPr>
                <w:sz w:val="20"/>
              </w:rPr>
              <w:t>and MDS was not installed at install-time.</w:t>
            </w:r>
          </w:p>
        </w:tc>
        <w:tc>
          <w:tcPr>
            <w:tcW w:w="2093" w:type="pct"/>
            <w:noWrap/>
          </w:tcPr>
          <w:p w14:paraId="300941CF" w14:textId="77777777" w:rsidR="005F576C" w:rsidRPr="000665B0" w:rsidRDefault="002B3177" w:rsidP="005F1DFB">
            <w:pPr>
              <w:spacing w:before="40" w:after="40" w:line="240" w:lineRule="auto"/>
              <w:rPr>
                <w:sz w:val="20"/>
              </w:rPr>
            </w:pPr>
            <w:r w:rsidRPr="000665B0">
              <w:rPr>
                <w:sz w:val="20"/>
              </w:rPr>
              <w:t xml:space="preserve">Distribution Service </w:t>
            </w:r>
            <w:r w:rsidR="005F576C" w:rsidRPr="000665B0">
              <w:rPr>
                <w:sz w:val="20"/>
              </w:rPr>
              <w:t>will attempt to repair the install, but it may not have sufficient privileges. You may need to uninstall then reinstall.</w:t>
            </w:r>
          </w:p>
        </w:tc>
      </w:tr>
      <w:tr w:rsidR="007D72B2" w:rsidRPr="000665B0" w14:paraId="3E1CA744" w14:textId="77777777" w:rsidTr="007D72B2">
        <w:trPr>
          <w:cantSplit/>
          <w:trHeight w:val="255"/>
        </w:trPr>
        <w:tc>
          <w:tcPr>
            <w:tcW w:w="376" w:type="pct"/>
            <w:noWrap/>
          </w:tcPr>
          <w:p w14:paraId="05D57A47" w14:textId="77777777" w:rsidR="005F576C" w:rsidRPr="000665B0" w:rsidRDefault="00C74262" w:rsidP="00C74262">
            <w:pPr>
              <w:spacing w:before="40" w:after="40" w:line="240" w:lineRule="auto"/>
              <w:jc w:val="center"/>
              <w:rPr>
                <w:sz w:val="20"/>
              </w:rPr>
            </w:pPr>
            <w:r w:rsidRPr="000665B0">
              <w:rPr>
                <w:sz w:val="20"/>
              </w:rPr>
              <w:lastRenderedPageBreak/>
              <w:t>97</w:t>
            </w:r>
          </w:p>
        </w:tc>
        <w:tc>
          <w:tcPr>
            <w:tcW w:w="787" w:type="pct"/>
            <w:noWrap/>
          </w:tcPr>
          <w:p w14:paraId="69C0AB5D" w14:textId="77777777" w:rsidR="005F576C" w:rsidRPr="000665B0" w:rsidRDefault="005F576C" w:rsidP="00F85F07">
            <w:pPr>
              <w:spacing w:before="40" w:after="40" w:line="240" w:lineRule="auto"/>
              <w:rPr>
                <w:sz w:val="20"/>
              </w:rPr>
            </w:pPr>
            <w:r w:rsidRPr="000665B0">
              <w:rPr>
                <w:sz w:val="20"/>
              </w:rPr>
              <w:t>Failed to send DDO</w:t>
            </w:r>
          </w:p>
        </w:tc>
        <w:tc>
          <w:tcPr>
            <w:tcW w:w="1744" w:type="pct"/>
            <w:noWrap/>
          </w:tcPr>
          <w:p w14:paraId="1F7B0A1F" w14:textId="77777777" w:rsidR="005F576C" w:rsidRPr="000665B0" w:rsidRDefault="005F576C" w:rsidP="005F1DFB">
            <w:pPr>
              <w:spacing w:before="40" w:after="40" w:line="240" w:lineRule="auto"/>
              <w:rPr>
                <w:sz w:val="20"/>
              </w:rPr>
            </w:pPr>
            <w:r w:rsidRPr="000665B0">
              <w:rPr>
                <w:sz w:val="20"/>
              </w:rPr>
              <w:t>Some error occurred sending a DDO via OTH</w:t>
            </w:r>
            <w:r w:rsidR="00F85F07" w:rsidRPr="000665B0">
              <w:rPr>
                <w:sz w:val="20"/>
              </w:rPr>
              <w:t>.</w:t>
            </w:r>
          </w:p>
        </w:tc>
        <w:tc>
          <w:tcPr>
            <w:tcW w:w="2093" w:type="pct"/>
            <w:noWrap/>
          </w:tcPr>
          <w:p w14:paraId="4E3FF9FD" w14:textId="77777777" w:rsidR="005F576C" w:rsidRPr="000665B0" w:rsidRDefault="005F576C" w:rsidP="006D5A65">
            <w:pPr>
              <w:pStyle w:val="Heading1"/>
            </w:pPr>
            <w:r w:rsidRPr="000665B0">
              <w:t>Attempt re-send</w:t>
            </w:r>
            <w:r w:rsidR="00F85F07" w:rsidRPr="000665B0">
              <w:t>.</w:t>
            </w:r>
          </w:p>
          <w:p w14:paraId="076637A1" w14:textId="1D7A0C75" w:rsidR="005F576C" w:rsidRPr="000665B0" w:rsidRDefault="00986E97" w:rsidP="006D5A65">
            <w:pPr>
              <w:pStyle w:val="Heading1"/>
            </w:pPr>
            <w:r w:rsidRPr="000665B0">
              <w:t>Reboot and</w:t>
            </w:r>
            <w:r w:rsidR="005F576C" w:rsidRPr="000665B0">
              <w:t xml:space="preserve"> attempt re-send</w:t>
            </w:r>
            <w:r w:rsidR="00F85F07" w:rsidRPr="000665B0">
              <w:t>.</w:t>
            </w:r>
          </w:p>
          <w:p w14:paraId="7770D15C" w14:textId="77777777" w:rsidR="005F576C" w:rsidRPr="000665B0" w:rsidRDefault="005F576C" w:rsidP="006D5A65">
            <w:pPr>
              <w:pStyle w:val="Heading1"/>
            </w:pPr>
            <w:r w:rsidRPr="000665B0">
              <w:t>If it still fails, try reducing the size of the DDO</w:t>
            </w:r>
            <w:r w:rsidR="00F85F07" w:rsidRPr="000665B0">
              <w:t>.</w:t>
            </w:r>
          </w:p>
        </w:tc>
      </w:tr>
      <w:tr w:rsidR="007D72B2" w:rsidRPr="000665B0" w14:paraId="79EA246C" w14:textId="77777777" w:rsidTr="007D72B2">
        <w:trPr>
          <w:cantSplit/>
          <w:trHeight w:val="255"/>
        </w:trPr>
        <w:tc>
          <w:tcPr>
            <w:tcW w:w="376" w:type="pct"/>
            <w:noWrap/>
          </w:tcPr>
          <w:p w14:paraId="6C49A475" w14:textId="77777777" w:rsidR="005F576C" w:rsidRPr="000665B0" w:rsidRDefault="00C74262" w:rsidP="00C74262">
            <w:pPr>
              <w:spacing w:before="40" w:after="40" w:line="240" w:lineRule="auto"/>
              <w:jc w:val="center"/>
              <w:rPr>
                <w:sz w:val="20"/>
              </w:rPr>
            </w:pPr>
            <w:r w:rsidRPr="000665B0">
              <w:rPr>
                <w:sz w:val="20"/>
              </w:rPr>
              <w:t>98</w:t>
            </w:r>
          </w:p>
        </w:tc>
        <w:tc>
          <w:tcPr>
            <w:tcW w:w="787" w:type="pct"/>
            <w:noWrap/>
          </w:tcPr>
          <w:p w14:paraId="603704A7" w14:textId="77777777" w:rsidR="005F576C" w:rsidRPr="000665B0" w:rsidRDefault="005F576C" w:rsidP="00F85F07">
            <w:pPr>
              <w:spacing w:before="40" w:after="40" w:line="240" w:lineRule="auto"/>
              <w:rPr>
                <w:sz w:val="20"/>
              </w:rPr>
            </w:pPr>
            <w:r w:rsidRPr="000665B0">
              <w:rPr>
                <w:sz w:val="20"/>
              </w:rPr>
              <w:t>Error encoding DDO Data Item (Type: {1} as FDU Message</w:t>
            </w:r>
          </w:p>
        </w:tc>
        <w:tc>
          <w:tcPr>
            <w:tcW w:w="1744" w:type="pct"/>
            <w:noWrap/>
          </w:tcPr>
          <w:p w14:paraId="39BA6717" w14:textId="77777777" w:rsidR="005F576C" w:rsidRPr="000665B0" w:rsidRDefault="005F576C" w:rsidP="005F1DFB">
            <w:pPr>
              <w:spacing w:before="40" w:after="40" w:line="240" w:lineRule="auto"/>
              <w:rPr>
                <w:sz w:val="20"/>
              </w:rPr>
            </w:pPr>
            <w:r w:rsidRPr="000665B0">
              <w:rPr>
                <w:sz w:val="20"/>
              </w:rPr>
              <w:t>An error occurred while sending an FDU</w:t>
            </w:r>
            <w:r w:rsidR="00F85F07" w:rsidRPr="000665B0">
              <w:rPr>
                <w:sz w:val="20"/>
              </w:rPr>
              <w:t>.</w:t>
            </w:r>
          </w:p>
        </w:tc>
        <w:tc>
          <w:tcPr>
            <w:tcW w:w="2093" w:type="pct"/>
            <w:noWrap/>
          </w:tcPr>
          <w:p w14:paraId="3F11B0D3" w14:textId="77777777" w:rsidR="005F576C" w:rsidRPr="000665B0" w:rsidRDefault="005F576C" w:rsidP="006D5A65">
            <w:pPr>
              <w:pStyle w:val="Heading1"/>
            </w:pPr>
            <w:r w:rsidRPr="000665B0">
              <w:t>Attempt re-send</w:t>
            </w:r>
            <w:r w:rsidR="00F85F07" w:rsidRPr="000665B0">
              <w:t>.</w:t>
            </w:r>
          </w:p>
          <w:p w14:paraId="24B975D5" w14:textId="77777777" w:rsidR="005F576C" w:rsidRPr="000665B0" w:rsidRDefault="005F576C" w:rsidP="006D5A65">
            <w:pPr>
              <w:pStyle w:val="Heading1"/>
            </w:pPr>
            <w:r w:rsidRPr="000665B0">
              <w:t>If re-send fails, attempt sending less data in the DDO</w:t>
            </w:r>
            <w:r w:rsidR="00F85F07" w:rsidRPr="000665B0">
              <w:t>.</w:t>
            </w:r>
          </w:p>
        </w:tc>
      </w:tr>
      <w:tr w:rsidR="007D72B2" w:rsidRPr="000665B0" w14:paraId="30048853" w14:textId="77777777" w:rsidTr="007D72B2">
        <w:trPr>
          <w:cantSplit/>
          <w:trHeight w:val="255"/>
        </w:trPr>
        <w:tc>
          <w:tcPr>
            <w:tcW w:w="376" w:type="pct"/>
            <w:noWrap/>
          </w:tcPr>
          <w:p w14:paraId="26843E58" w14:textId="77777777" w:rsidR="005F576C" w:rsidRPr="000665B0" w:rsidRDefault="00C74262" w:rsidP="00C74262">
            <w:pPr>
              <w:spacing w:before="40" w:after="40" w:line="240" w:lineRule="auto"/>
              <w:jc w:val="center"/>
              <w:rPr>
                <w:sz w:val="20"/>
              </w:rPr>
            </w:pPr>
            <w:r w:rsidRPr="000665B0">
              <w:rPr>
                <w:sz w:val="20"/>
              </w:rPr>
              <w:t>99</w:t>
            </w:r>
          </w:p>
        </w:tc>
        <w:tc>
          <w:tcPr>
            <w:tcW w:w="787" w:type="pct"/>
            <w:noWrap/>
          </w:tcPr>
          <w:p w14:paraId="3A587A3B" w14:textId="77777777" w:rsidR="005F576C" w:rsidRPr="000665B0" w:rsidRDefault="005F576C" w:rsidP="00F85F07">
            <w:pPr>
              <w:spacing w:before="40" w:after="40" w:line="240" w:lineRule="auto"/>
              <w:rPr>
                <w:sz w:val="20"/>
              </w:rPr>
            </w:pPr>
            <w:r w:rsidRPr="000665B0">
              <w:rPr>
                <w:sz w:val="20"/>
              </w:rPr>
              <w:t>Error building a Completed DDO from Incoming Raw Packets</w:t>
            </w:r>
          </w:p>
        </w:tc>
        <w:tc>
          <w:tcPr>
            <w:tcW w:w="1744" w:type="pct"/>
            <w:noWrap/>
          </w:tcPr>
          <w:p w14:paraId="6F55EF1D" w14:textId="77777777" w:rsidR="005F576C" w:rsidRPr="000665B0" w:rsidRDefault="005F576C" w:rsidP="005F1DFB">
            <w:pPr>
              <w:spacing w:before="40" w:after="40" w:line="240" w:lineRule="auto"/>
              <w:rPr>
                <w:sz w:val="20"/>
              </w:rPr>
            </w:pPr>
            <w:r w:rsidRPr="000665B0">
              <w:rPr>
                <w:sz w:val="20"/>
              </w:rPr>
              <w:t>An error occurred somewhere during processing of an incoming MDS to MDS DDO.</w:t>
            </w:r>
          </w:p>
        </w:tc>
        <w:tc>
          <w:tcPr>
            <w:tcW w:w="2093" w:type="pct"/>
            <w:noWrap/>
          </w:tcPr>
          <w:p w14:paraId="4EC328E4" w14:textId="77777777" w:rsidR="005F576C" w:rsidRPr="000665B0" w:rsidRDefault="005F576C" w:rsidP="005F1DFB">
            <w:pPr>
              <w:spacing w:before="40" w:after="40" w:line="240" w:lineRule="auto"/>
              <w:rPr>
                <w:sz w:val="20"/>
              </w:rPr>
            </w:pPr>
            <w:r w:rsidRPr="000665B0">
              <w:rPr>
                <w:sz w:val="20"/>
              </w:rPr>
              <w:t>Ask the sender to re-send</w:t>
            </w:r>
            <w:r w:rsidR="00F85F07" w:rsidRPr="000665B0">
              <w:rPr>
                <w:sz w:val="20"/>
              </w:rPr>
              <w:t>.</w:t>
            </w:r>
          </w:p>
        </w:tc>
      </w:tr>
      <w:tr w:rsidR="007D72B2" w:rsidRPr="000665B0" w14:paraId="04B32BFD" w14:textId="77777777" w:rsidTr="007D72B2">
        <w:trPr>
          <w:cantSplit/>
          <w:trHeight w:val="255"/>
        </w:trPr>
        <w:tc>
          <w:tcPr>
            <w:tcW w:w="376" w:type="pct"/>
            <w:noWrap/>
          </w:tcPr>
          <w:p w14:paraId="38EE954B" w14:textId="77777777" w:rsidR="005F576C" w:rsidRPr="000665B0" w:rsidRDefault="00C74262" w:rsidP="005F1DFB">
            <w:pPr>
              <w:spacing w:before="40" w:after="40" w:line="240" w:lineRule="auto"/>
              <w:jc w:val="center"/>
              <w:rPr>
                <w:sz w:val="20"/>
              </w:rPr>
            </w:pPr>
            <w:r w:rsidRPr="000665B0">
              <w:rPr>
                <w:sz w:val="20"/>
              </w:rPr>
              <w:t>100</w:t>
            </w:r>
          </w:p>
        </w:tc>
        <w:tc>
          <w:tcPr>
            <w:tcW w:w="787" w:type="pct"/>
            <w:noWrap/>
          </w:tcPr>
          <w:p w14:paraId="33E2407A" w14:textId="77777777" w:rsidR="005F576C" w:rsidRPr="000665B0" w:rsidRDefault="005F576C" w:rsidP="00F85F07">
            <w:pPr>
              <w:spacing w:before="40" w:after="40" w:line="240" w:lineRule="auto"/>
              <w:rPr>
                <w:sz w:val="20"/>
              </w:rPr>
            </w:pPr>
            <w:r w:rsidRPr="000665B0">
              <w:rPr>
                <w:sz w:val="20"/>
              </w:rPr>
              <w:t>Error generate Flight Software</w:t>
            </w:r>
            <w:r w:rsidR="004D24FB" w:rsidRPr="000665B0">
              <w:rPr>
                <w:sz w:val="20"/>
              </w:rPr>
              <w:t>/</w:t>
            </w:r>
            <w:r w:rsidRPr="000665B0">
              <w:rPr>
                <w:sz w:val="20"/>
              </w:rPr>
              <w:t>OES Component FDU packets</w:t>
            </w:r>
          </w:p>
        </w:tc>
        <w:tc>
          <w:tcPr>
            <w:tcW w:w="1744" w:type="pct"/>
            <w:noWrap/>
          </w:tcPr>
          <w:p w14:paraId="09D0672F" w14:textId="77777777" w:rsidR="005F576C" w:rsidRPr="000665B0" w:rsidRDefault="005F576C" w:rsidP="005F1DFB">
            <w:pPr>
              <w:spacing w:before="40" w:after="40" w:line="240" w:lineRule="auto"/>
              <w:rPr>
                <w:sz w:val="20"/>
              </w:rPr>
            </w:pPr>
            <w:r w:rsidRPr="000665B0">
              <w:rPr>
                <w:sz w:val="20"/>
              </w:rPr>
              <w:t>An error occurred sending flight software to TTWCS</w:t>
            </w:r>
            <w:r w:rsidR="00F85F07" w:rsidRPr="000665B0">
              <w:rPr>
                <w:sz w:val="20"/>
              </w:rPr>
              <w:t>.</w:t>
            </w:r>
          </w:p>
        </w:tc>
        <w:tc>
          <w:tcPr>
            <w:tcW w:w="2093" w:type="pct"/>
            <w:noWrap/>
          </w:tcPr>
          <w:p w14:paraId="1B1327E7" w14:textId="77777777" w:rsidR="005F576C" w:rsidRPr="000665B0" w:rsidRDefault="005F576C" w:rsidP="006D5A65">
            <w:pPr>
              <w:pStyle w:val="Heading1"/>
            </w:pPr>
            <w:r w:rsidRPr="000665B0">
              <w:t>Attempt re-send</w:t>
            </w:r>
            <w:r w:rsidR="00F85F07" w:rsidRPr="000665B0">
              <w:t>.</w:t>
            </w:r>
          </w:p>
          <w:p w14:paraId="48EE9ABD" w14:textId="77777777" w:rsidR="005F576C" w:rsidRPr="000665B0" w:rsidRDefault="005F576C" w:rsidP="006D5A65">
            <w:pPr>
              <w:pStyle w:val="Heading1"/>
            </w:pPr>
            <w:r w:rsidRPr="000665B0">
              <w:t>If re-send fails, attempt sending less data in the DDO</w:t>
            </w:r>
            <w:r w:rsidR="00F85F07" w:rsidRPr="000665B0">
              <w:t>.</w:t>
            </w:r>
          </w:p>
        </w:tc>
      </w:tr>
      <w:tr w:rsidR="007D72B2" w:rsidRPr="000665B0" w14:paraId="0D301E8D" w14:textId="77777777" w:rsidTr="007D72B2">
        <w:trPr>
          <w:cantSplit/>
          <w:trHeight w:val="255"/>
        </w:trPr>
        <w:tc>
          <w:tcPr>
            <w:tcW w:w="376" w:type="pct"/>
            <w:noWrap/>
          </w:tcPr>
          <w:p w14:paraId="68AB4EE4" w14:textId="77777777" w:rsidR="005F576C" w:rsidRPr="000665B0" w:rsidRDefault="00C74262" w:rsidP="005F1DFB">
            <w:pPr>
              <w:spacing w:before="40" w:after="40" w:line="240" w:lineRule="auto"/>
              <w:jc w:val="center"/>
              <w:rPr>
                <w:sz w:val="20"/>
              </w:rPr>
            </w:pPr>
            <w:r w:rsidRPr="000665B0">
              <w:rPr>
                <w:sz w:val="20"/>
              </w:rPr>
              <w:t>101</w:t>
            </w:r>
          </w:p>
        </w:tc>
        <w:tc>
          <w:tcPr>
            <w:tcW w:w="787" w:type="pct"/>
            <w:noWrap/>
          </w:tcPr>
          <w:p w14:paraId="0EFE73B2" w14:textId="77777777" w:rsidR="005F576C" w:rsidRPr="000665B0" w:rsidRDefault="005F576C" w:rsidP="00F85F07">
            <w:pPr>
              <w:spacing w:before="40" w:after="40" w:line="240" w:lineRule="auto"/>
              <w:rPr>
                <w:sz w:val="20"/>
              </w:rPr>
            </w:pPr>
            <w:r w:rsidRPr="000665B0">
              <w:rPr>
                <w:sz w:val="20"/>
              </w:rPr>
              <w:t>Error converting Cab file into FDU packets</w:t>
            </w:r>
          </w:p>
        </w:tc>
        <w:tc>
          <w:tcPr>
            <w:tcW w:w="1744" w:type="pct"/>
            <w:noWrap/>
          </w:tcPr>
          <w:p w14:paraId="52A93899" w14:textId="77777777" w:rsidR="005F576C" w:rsidRPr="000665B0" w:rsidRDefault="005F576C" w:rsidP="005F1DFB">
            <w:pPr>
              <w:spacing w:before="40" w:after="40" w:line="240" w:lineRule="auto"/>
              <w:rPr>
                <w:sz w:val="20"/>
              </w:rPr>
            </w:pPr>
            <w:r w:rsidRPr="000665B0">
              <w:rPr>
                <w:sz w:val="20"/>
              </w:rPr>
              <w:t>An error occurred splitting an MDS to MDS DDO (one large CAB file) into USN sized chunks.</w:t>
            </w:r>
          </w:p>
        </w:tc>
        <w:tc>
          <w:tcPr>
            <w:tcW w:w="2093" w:type="pct"/>
            <w:noWrap/>
          </w:tcPr>
          <w:p w14:paraId="40ED239E" w14:textId="77777777" w:rsidR="005F576C" w:rsidRPr="000665B0" w:rsidRDefault="005F576C" w:rsidP="006D5A65">
            <w:pPr>
              <w:pStyle w:val="Heading1"/>
            </w:pPr>
            <w:r w:rsidRPr="000665B0">
              <w:t>Attempt re-send</w:t>
            </w:r>
            <w:r w:rsidR="00F85F07" w:rsidRPr="000665B0">
              <w:t>.</w:t>
            </w:r>
          </w:p>
          <w:p w14:paraId="647C3CA9" w14:textId="77777777" w:rsidR="005F576C" w:rsidRPr="000665B0" w:rsidRDefault="005F576C" w:rsidP="006D5A65">
            <w:pPr>
              <w:pStyle w:val="Heading1"/>
            </w:pPr>
            <w:r w:rsidRPr="000665B0">
              <w:t>If re-send fails, attempt sending less data in the DDO</w:t>
            </w:r>
            <w:r w:rsidR="00F85F07" w:rsidRPr="000665B0">
              <w:t>.</w:t>
            </w:r>
          </w:p>
        </w:tc>
      </w:tr>
      <w:tr w:rsidR="007D72B2" w:rsidRPr="000665B0" w14:paraId="4783E8F5" w14:textId="77777777" w:rsidTr="007D72B2">
        <w:trPr>
          <w:cantSplit/>
          <w:trHeight w:val="255"/>
        </w:trPr>
        <w:tc>
          <w:tcPr>
            <w:tcW w:w="376" w:type="pct"/>
            <w:noWrap/>
          </w:tcPr>
          <w:p w14:paraId="0A10C411" w14:textId="77777777" w:rsidR="005F576C" w:rsidRPr="000665B0" w:rsidRDefault="00C74262" w:rsidP="005F1DFB">
            <w:pPr>
              <w:spacing w:before="40" w:after="40" w:line="240" w:lineRule="auto"/>
              <w:jc w:val="center"/>
              <w:rPr>
                <w:sz w:val="20"/>
              </w:rPr>
            </w:pPr>
            <w:r w:rsidRPr="000665B0">
              <w:rPr>
                <w:sz w:val="20"/>
              </w:rPr>
              <w:t>102</w:t>
            </w:r>
          </w:p>
        </w:tc>
        <w:tc>
          <w:tcPr>
            <w:tcW w:w="787" w:type="pct"/>
            <w:noWrap/>
          </w:tcPr>
          <w:p w14:paraId="403E8689" w14:textId="77777777" w:rsidR="005F576C" w:rsidRPr="000665B0" w:rsidRDefault="005F576C" w:rsidP="00F85F07">
            <w:pPr>
              <w:spacing w:before="40" w:after="40" w:line="240" w:lineRule="auto"/>
              <w:rPr>
                <w:sz w:val="20"/>
              </w:rPr>
            </w:pPr>
            <w:r w:rsidRPr="000665B0">
              <w:rPr>
                <w:sz w:val="20"/>
              </w:rPr>
              <w:t>Error parsing OTH Overlay</w:t>
            </w:r>
          </w:p>
        </w:tc>
        <w:tc>
          <w:tcPr>
            <w:tcW w:w="1744" w:type="pct"/>
            <w:noWrap/>
          </w:tcPr>
          <w:p w14:paraId="39BBFEC0" w14:textId="77777777" w:rsidR="005F576C" w:rsidRPr="000665B0" w:rsidRDefault="005F576C" w:rsidP="005F1DFB">
            <w:pPr>
              <w:spacing w:before="40" w:after="40" w:line="240" w:lineRule="auto"/>
              <w:rPr>
                <w:sz w:val="20"/>
              </w:rPr>
            </w:pPr>
          </w:p>
        </w:tc>
        <w:tc>
          <w:tcPr>
            <w:tcW w:w="2093" w:type="pct"/>
            <w:noWrap/>
          </w:tcPr>
          <w:p w14:paraId="7C28E270" w14:textId="77777777" w:rsidR="005F576C" w:rsidRPr="000665B0" w:rsidRDefault="005F576C" w:rsidP="005F1DFB">
            <w:pPr>
              <w:spacing w:before="40" w:after="40" w:line="240" w:lineRule="auto"/>
              <w:rPr>
                <w:sz w:val="20"/>
              </w:rPr>
            </w:pPr>
            <w:r w:rsidRPr="000665B0">
              <w:rPr>
                <w:sz w:val="20"/>
              </w:rPr>
              <w:t>Ask sender to re-send</w:t>
            </w:r>
            <w:r w:rsidR="00F85F07" w:rsidRPr="000665B0">
              <w:rPr>
                <w:sz w:val="20"/>
              </w:rPr>
              <w:t>.</w:t>
            </w:r>
          </w:p>
        </w:tc>
      </w:tr>
      <w:tr w:rsidR="007D72B2" w:rsidRPr="000665B0" w14:paraId="706A7D60" w14:textId="77777777" w:rsidTr="007D72B2">
        <w:trPr>
          <w:cantSplit/>
          <w:trHeight w:val="255"/>
        </w:trPr>
        <w:tc>
          <w:tcPr>
            <w:tcW w:w="376" w:type="pct"/>
            <w:noWrap/>
          </w:tcPr>
          <w:p w14:paraId="2A8CEC07" w14:textId="77777777" w:rsidR="005F576C" w:rsidRPr="000665B0" w:rsidRDefault="00C74262" w:rsidP="00C74262">
            <w:pPr>
              <w:spacing w:before="40" w:after="40" w:line="240" w:lineRule="auto"/>
              <w:jc w:val="center"/>
              <w:rPr>
                <w:sz w:val="20"/>
              </w:rPr>
            </w:pPr>
            <w:r w:rsidRPr="000665B0">
              <w:rPr>
                <w:sz w:val="20"/>
              </w:rPr>
              <w:t>103</w:t>
            </w:r>
          </w:p>
        </w:tc>
        <w:tc>
          <w:tcPr>
            <w:tcW w:w="787" w:type="pct"/>
            <w:noWrap/>
          </w:tcPr>
          <w:p w14:paraId="7B478708" w14:textId="77777777" w:rsidR="005F576C" w:rsidRPr="000665B0" w:rsidRDefault="005F576C" w:rsidP="00F85F07">
            <w:pPr>
              <w:spacing w:before="40" w:after="40" w:line="240" w:lineRule="auto"/>
              <w:rPr>
                <w:sz w:val="20"/>
              </w:rPr>
            </w:pPr>
            <w:r w:rsidRPr="000665B0">
              <w:rPr>
                <w:sz w:val="20"/>
              </w:rPr>
              <w:t>Error parsing OTH 4Whisky</w:t>
            </w:r>
          </w:p>
        </w:tc>
        <w:tc>
          <w:tcPr>
            <w:tcW w:w="1744" w:type="pct"/>
            <w:noWrap/>
          </w:tcPr>
          <w:p w14:paraId="02142A7B" w14:textId="77777777" w:rsidR="005F576C" w:rsidRPr="000665B0" w:rsidRDefault="005F576C" w:rsidP="005F1DFB">
            <w:pPr>
              <w:spacing w:before="40" w:after="40" w:line="240" w:lineRule="auto"/>
              <w:rPr>
                <w:sz w:val="20"/>
              </w:rPr>
            </w:pPr>
          </w:p>
        </w:tc>
        <w:tc>
          <w:tcPr>
            <w:tcW w:w="2093" w:type="pct"/>
            <w:noWrap/>
          </w:tcPr>
          <w:p w14:paraId="5AAE6BCD" w14:textId="77777777" w:rsidR="005F576C" w:rsidRPr="000665B0" w:rsidRDefault="005F576C" w:rsidP="005F1DFB">
            <w:pPr>
              <w:spacing w:before="40" w:after="40" w:line="240" w:lineRule="auto"/>
              <w:rPr>
                <w:sz w:val="20"/>
              </w:rPr>
            </w:pPr>
            <w:r w:rsidRPr="000665B0">
              <w:rPr>
                <w:sz w:val="20"/>
              </w:rPr>
              <w:t>Ask sender to re-send</w:t>
            </w:r>
            <w:r w:rsidR="00F85F07" w:rsidRPr="000665B0">
              <w:rPr>
                <w:sz w:val="20"/>
              </w:rPr>
              <w:t>.</w:t>
            </w:r>
          </w:p>
        </w:tc>
      </w:tr>
      <w:tr w:rsidR="007D72B2" w:rsidRPr="000665B0" w14:paraId="432DDEE5" w14:textId="77777777" w:rsidTr="007D72B2">
        <w:trPr>
          <w:cantSplit/>
          <w:trHeight w:val="255"/>
        </w:trPr>
        <w:tc>
          <w:tcPr>
            <w:tcW w:w="376" w:type="pct"/>
            <w:noWrap/>
          </w:tcPr>
          <w:p w14:paraId="4058BDEB" w14:textId="77777777" w:rsidR="005F576C" w:rsidRPr="000665B0" w:rsidRDefault="00C74262" w:rsidP="00C74262">
            <w:pPr>
              <w:spacing w:before="40" w:after="40" w:line="240" w:lineRule="auto"/>
              <w:jc w:val="center"/>
              <w:rPr>
                <w:sz w:val="20"/>
              </w:rPr>
            </w:pPr>
            <w:r w:rsidRPr="000665B0">
              <w:rPr>
                <w:sz w:val="20"/>
              </w:rPr>
              <w:t>104</w:t>
            </w:r>
          </w:p>
        </w:tc>
        <w:tc>
          <w:tcPr>
            <w:tcW w:w="787" w:type="pct"/>
            <w:noWrap/>
          </w:tcPr>
          <w:p w14:paraId="277AA588" w14:textId="77777777" w:rsidR="005F576C" w:rsidRPr="000665B0" w:rsidRDefault="005F576C" w:rsidP="005F1DFB">
            <w:pPr>
              <w:spacing w:before="40" w:after="40" w:line="240" w:lineRule="auto"/>
              <w:rPr>
                <w:sz w:val="20"/>
              </w:rPr>
            </w:pPr>
            <w:r w:rsidRPr="000665B0">
              <w:rPr>
                <w:sz w:val="20"/>
              </w:rPr>
              <w:t>Error retrieving Node Info.</w:t>
            </w:r>
          </w:p>
        </w:tc>
        <w:tc>
          <w:tcPr>
            <w:tcW w:w="1744" w:type="pct"/>
            <w:noWrap/>
          </w:tcPr>
          <w:p w14:paraId="272D1EFC" w14:textId="77777777" w:rsidR="005F576C" w:rsidRPr="000665B0" w:rsidRDefault="002B3177" w:rsidP="005F1DFB">
            <w:pPr>
              <w:spacing w:before="40" w:after="40" w:line="240" w:lineRule="auto"/>
              <w:rPr>
                <w:sz w:val="20"/>
              </w:rPr>
            </w:pPr>
            <w:r w:rsidRPr="000665B0">
              <w:rPr>
                <w:sz w:val="20"/>
              </w:rPr>
              <w:t xml:space="preserve">Distribution Service </w:t>
            </w:r>
            <w:r w:rsidR="005F576C" w:rsidRPr="000665B0">
              <w:rPr>
                <w:sz w:val="20"/>
              </w:rPr>
              <w:t>failed to retrieve/parse node addressing information while generating a “manifest” for an incoming DDO.</w:t>
            </w:r>
          </w:p>
        </w:tc>
        <w:tc>
          <w:tcPr>
            <w:tcW w:w="2093" w:type="pct"/>
            <w:noWrap/>
          </w:tcPr>
          <w:p w14:paraId="090A7574" w14:textId="00E2143E" w:rsidR="005F576C" w:rsidRPr="000665B0" w:rsidRDefault="005F576C" w:rsidP="006D5A65">
            <w:pPr>
              <w:pStyle w:val="Heading1"/>
            </w:pPr>
            <w:r w:rsidRPr="000665B0">
              <w:t>Go to the MDS Node</w:t>
            </w:r>
            <w:r w:rsidR="00EB723A" w:rsidRPr="000665B0">
              <w:t>s</w:t>
            </w:r>
            <w:r w:rsidRPr="000665B0">
              <w:t xml:space="preserve"> </w:t>
            </w:r>
            <w:r w:rsidR="00D24B5E" w:rsidRPr="000665B0">
              <w:t>tool and</w:t>
            </w:r>
            <w:r w:rsidRPr="000665B0">
              <w:t xml:space="preserve"> verify the valid </w:t>
            </w:r>
            <w:r w:rsidR="007E135D" w:rsidRPr="000665B0">
              <w:t>P</w:t>
            </w:r>
            <w:r w:rsidRPr="000665B0">
              <w:t>latform list is visible</w:t>
            </w:r>
            <w:r w:rsidR="00F85F07" w:rsidRPr="000665B0">
              <w:t>.</w:t>
            </w:r>
          </w:p>
          <w:p w14:paraId="714896B0" w14:textId="77777777" w:rsidR="005F576C" w:rsidRPr="000665B0" w:rsidRDefault="005F576C" w:rsidP="006D5A65">
            <w:pPr>
              <w:pStyle w:val="Heading1"/>
            </w:pPr>
            <w:r w:rsidRPr="000665B0">
              <w:t>Reboot the PC</w:t>
            </w:r>
            <w:r w:rsidR="00F85F07" w:rsidRPr="000665B0">
              <w:t>.</w:t>
            </w:r>
          </w:p>
          <w:p w14:paraId="08C9DCF2" w14:textId="77777777" w:rsidR="005F576C" w:rsidRPr="000665B0" w:rsidRDefault="005F576C" w:rsidP="006D5A65">
            <w:pPr>
              <w:pStyle w:val="Heading1"/>
            </w:pPr>
            <w:r w:rsidRPr="000665B0">
              <w:t>Ask the sender to re-send</w:t>
            </w:r>
            <w:r w:rsidR="00F85F07" w:rsidRPr="000665B0">
              <w:t>.</w:t>
            </w:r>
          </w:p>
        </w:tc>
      </w:tr>
      <w:tr w:rsidR="007D72B2" w:rsidRPr="000665B0" w14:paraId="3BD53A32" w14:textId="77777777" w:rsidTr="007D72B2">
        <w:trPr>
          <w:cantSplit/>
          <w:trHeight w:val="255"/>
        </w:trPr>
        <w:tc>
          <w:tcPr>
            <w:tcW w:w="376" w:type="pct"/>
            <w:noWrap/>
          </w:tcPr>
          <w:p w14:paraId="51CCCCC2" w14:textId="77777777" w:rsidR="005F576C" w:rsidRPr="000665B0" w:rsidRDefault="00C74262" w:rsidP="00C74262">
            <w:pPr>
              <w:spacing w:before="40" w:after="40" w:line="240" w:lineRule="auto"/>
              <w:jc w:val="center"/>
              <w:rPr>
                <w:sz w:val="20"/>
              </w:rPr>
            </w:pPr>
            <w:r w:rsidRPr="000665B0">
              <w:rPr>
                <w:sz w:val="20"/>
              </w:rPr>
              <w:t>105</w:t>
            </w:r>
          </w:p>
        </w:tc>
        <w:tc>
          <w:tcPr>
            <w:tcW w:w="787" w:type="pct"/>
            <w:noWrap/>
          </w:tcPr>
          <w:p w14:paraId="38D818F3" w14:textId="77777777" w:rsidR="005F576C" w:rsidRPr="000665B0" w:rsidRDefault="005F576C" w:rsidP="00F85F07">
            <w:pPr>
              <w:spacing w:before="40" w:after="40" w:line="240" w:lineRule="auto"/>
              <w:rPr>
                <w:sz w:val="20"/>
              </w:rPr>
            </w:pPr>
            <w:r w:rsidRPr="000665B0">
              <w:rPr>
                <w:sz w:val="20"/>
              </w:rPr>
              <w:t xml:space="preserve">Error </w:t>
            </w:r>
            <w:r w:rsidR="008A1ED2" w:rsidRPr="000665B0">
              <w:rPr>
                <w:sz w:val="20"/>
              </w:rPr>
              <w:t>initializing</w:t>
            </w:r>
            <w:r w:rsidRPr="000665B0">
              <w:rPr>
                <w:sz w:val="20"/>
              </w:rPr>
              <w:t xml:space="preserve"> TSN. {0}</w:t>
            </w:r>
          </w:p>
        </w:tc>
        <w:tc>
          <w:tcPr>
            <w:tcW w:w="1744" w:type="pct"/>
            <w:noWrap/>
          </w:tcPr>
          <w:p w14:paraId="55420063" w14:textId="77777777" w:rsidR="005F576C" w:rsidRPr="000665B0" w:rsidRDefault="005F576C" w:rsidP="005F1DFB">
            <w:pPr>
              <w:spacing w:before="40" w:after="40" w:line="240" w:lineRule="auto"/>
              <w:rPr>
                <w:sz w:val="20"/>
              </w:rPr>
            </w:pPr>
          </w:p>
        </w:tc>
        <w:tc>
          <w:tcPr>
            <w:tcW w:w="2093" w:type="pct"/>
            <w:noWrap/>
          </w:tcPr>
          <w:p w14:paraId="6015B532"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48A49E7C" w14:textId="77777777" w:rsidTr="007D72B2">
        <w:trPr>
          <w:cantSplit/>
          <w:trHeight w:val="255"/>
        </w:trPr>
        <w:tc>
          <w:tcPr>
            <w:tcW w:w="376" w:type="pct"/>
            <w:noWrap/>
          </w:tcPr>
          <w:p w14:paraId="7E2673BE" w14:textId="77777777" w:rsidR="005F576C" w:rsidRPr="000665B0" w:rsidRDefault="00C74262" w:rsidP="00C74262">
            <w:pPr>
              <w:spacing w:before="40" w:after="40" w:line="240" w:lineRule="auto"/>
              <w:jc w:val="center"/>
              <w:rPr>
                <w:sz w:val="20"/>
              </w:rPr>
            </w:pPr>
            <w:r w:rsidRPr="000665B0">
              <w:rPr>
                <w:sz w:val="20"/>
              </w:rPr>
              <w:t>106</w:t>
            </w:r>
          </w:p>
        </w:tc>
        <w:tc>
          <w:tcPr>
            <w:tcW w:w="787" w:type="pct"/>
            <w:noWrap/>
          </w:tcPr>
          <w:p w14:paraId="2433293A" w14:textId="77777777" w:rsidR="005F576C" w:rsidRPr="000665B0" w:rsidRDefault="005F576C" w:rsidP="00F85F07">
            <w:pPr>
              <w:spacing w:before="40" w:after="40" w:line="240" w:lineRule="auto"/>
              <w:rPr>
                <w:sz w:val="20"/>
              </w:rPr>
            </w:pPr>
            <w:r w:rsidRPr="000665B0">
              <w:rPr>
                <w:sz w:val="20"/>
              </w:rPr>
              <w:t>Error finalizing TSN. {0}</w:t>
            </w:r>
          </w:p>
        </w:tc>
        <w:tc>
          <w:tcPr>
            <w:tcW w:w="1744" w:type="pct"/>
            <w:noWrap/>
          </w:tcPr>
          <w:p w14:paraId="59C14A72" w14:textId="77777777" w:rsidR="005F576C" w:rsidRPr="000665B0" w:rsidRDefault="005F576C" w:rsidP="005F1DFB">
            <w:pPr>
              <w:spacing w:before="40" w:after="40" w:line="240" w:lineRule="auto"/>
              <w:rPr>
                <w:sz w:val="20"/>
              </w:rPr>
            </w:pPr>
          </w:p>
        </w:tc>
        <w:tc>
          <w:tcPr>
            <w:tcW w:w="2093" w:type="pct"/>
            <w:noWrap/>
          </w:tcPr>
          <w:p w14:paraId="6751CFFA"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017FEEDD" w14:textId="77777777" w:rsidTr="007D72B2">
        <w:trPr>
          <w:cantSplit/>
          <w:trHeight w:val="255"/>
        </w:trPr>
        <w:tc>
          <w:tcPr>
            <w:tcW w:w="376" w:type="pct"/>
            <w:noWrap/>
          </w:tcPr>
          <w:p w14:paraId="6E60CDC4" w14:textId="77777777" w:rsidR="005F576C" w:rsidRPr="000665B0" w:rsidRDefault="00C74262" w:rsidP="00C74262">
            <w:pPr>
              <w:spacing w:before="40" w:after="40" w:line="240" w:lineRule="auto"/>
              <w:jc w:val="center"/>
              <w:rPr>
                <w:sz w:val="20"/>
              </w:rPr>
            </w:pPr>
            <w:r w:rsidRPr="000665B0">
              <w:rPr>
                <w:sz w:val="20"/>
              </w:rPr>
              <w:lastRenderedPageBreak/>
              <w:t>107</w:t>
            </w:r>
          </w:p>
        </w:tc>
        <w:tc>
          <w:tcPr>
            <w:tcW w:w="787" w:type="pct"/>
            <w:noWrap/>
          </w:tcPr>
          <w:p w14:paraId="12C2C66D" w14:textId="77777777" w:rsidR="005F576C" w:rsidRPr="000665B0" w:rsidRDefault="005F576C" w:rsidP="00F85F07">
            <w:pPr>
              <w:spacing w:before="40" w:after="40" w:line="240" w:lineRule="auto"/>
              <w:rPr>
                <w:sz w:val="20"/>
              </w:rPr>
            </w:pPr>
            <w:r w:rsidRPr="000665B0">
              <w:rPr>
                <w:sz w:val="20"/>
              </w:rPr>
              <w:t>Error sending TSN message. {0}</w:t>
            </w:r>
          </w:p>
        </w:tc>
        <w:tc>
          <w:tcPr>
            <w:tcW w:w="1744" w:type="pct"/>
            <w:noWrap/>
          </w:tcPr>
          <w:p w14:paraId="5542FE91" w14:textId="77777777" w:rsidR="005F576C" w:rsidRPr="000665B0" w:rsidRDefault="005F576C" w:rsidP="005F1DFB">
            <w:pPr>
              <w:spacing w:before="40" w:after="40" w:line="240" w:lineRule="auto"/>
              <w:rPr>
                <w:sz w:val="20"/>
              </w:rPr>
            </w:pPr>
          </w:p>
        </w:tc>
        <w:tc>
          <w:tcPr>
            <w:tcW w:w="2093" w:type="pct"/>
            <w:noWrap/>
          </w:tcPr>
          <w:p w14:paraId="062CD8A5"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0886C96E" w14:textId="77777777" w:rsidTr="007D72B2">
        <w:trPr>
          <w:cantSplit/>
          <w:trHeight w:val="255"/>
        </w:trPr>
        <w:tc>
          <w:tcPr>
            <w:tcW w:w="376" w:type="pct"/>
            <w:noWrap/>
          </w:tcPr>
          <w:p w14:paraId="23FB3B40" w14:textId="77777777" w:rsidR="005F576C" w:rsidRPr="000665B0" w:rsidRDefault="00C74262" w:rsidP="00C74262">
            <w:pPr>
              <w:spacing w:before="40" w:after="40" w:line="240" w:lineRule="auto"/>
              <w:jc w:val="center"/>
              <w:rPr>
                <w:sz w:val="20"/>
              </w:rPr>
            </w:pPr>
            <w:r w:rsidRPr="000665B0">
              <w:rPr>
                <w:sz w:val="20"/>
              </w:rPr>
              <w:t>108</w:t>
            </w:r>
          </w:p>
        </w:tc>
        <w:tc>
          <w:tcPr>
            <w:tcW w:w="787" w:type="pct"/>
            <w:noWrap/>
          </w:tcPr>
          <w:p w14:paraId="781CCB1B" w14:textId="77777777" w:rsidR="005F576C" w:rsidRPr="000665B0" w:rsidRDefault="005F576C" w:rsidP="00F85F07">
            <w:pPr>
              <w:spacing w:before="40" w:after="40" w:line="240" w:lineRule="auto"/>
              <w:rPr>
                <w:sz w:val="20"/>
              </w:rPr>
            </w:pPr>
            <w:r w:rsidRPr="000665B0">
              <w:rPr>
                <w:sz w:val="20"/>
              </w:rPr>
              <w:t>Error initializing webservice proxy</w:t>
            </w:r>
          </w:p>
        </w:tc>
        <w:tc>
          <w:tcPr>
            <w:tcW w:w="1744" w:type="pct"/>
            <w:noWrap/>
          </w:tcPr>
          <w:p w14:paraId="03A8D3BE" w14:textId="77777777" w:rsidR="005F576C" w:rsidRPr="000665B0" w:rsidRDefault="005F576C" w:rsidP="00EA2CF1">
            <w:pPr>
              <w:spacing w:before="40" w:after="40" w:line="240" w:lineRule="auto"/>
              <w:rPr>
                <w:sz w:val="20"/>
              </w:rPr>
            </w:pPr>
            <w:r w:rsidRPr="000665B0">
              <w:rPr>
                <w:sz w:val="20"/>
              </w:rPr>
              <w:t xml:space="preserve">Either </w:t>
            </w:r>
            <w:r w:rsidR="00EA2CF1" w:rsidRPr="000665B0">
              <w:rPr>
                <w:sz w:val="20"/>
              </w:rPr>
              <w:t xml:space="preserve">Distribution </w:t>
            </w:r>
            <w:r w:rsidRPr="000665B0">
              <w:rPr>
                <w:sz w:val="20"/>
              </w:rPr>
              <w:t xml:space="preserve">Monitor (or MDS) failed to initialize a proxy for talking to the </w:t>
            </w:r>
            <w:r w:rsidR="002B3177" w:rsidRPr="000665B0">
              <w:rPr>
                <w:sz w:val="20"/>
              </w:rPr>
              <w:t>Distribution Service</w:t>
            </w:r>
            <w:r w:rsidR="00F85F07" w:rsidRPr="000665B0">
              <w:rPr>
                <w:sz w:val="20"/>
              </w:rPr>
              <w:t>.</w:t>
            </w:r>
          </w:p>
        </w:tc>
        <w:tc>
          <w:tcPr>
            <w:tcW w:w="2093" w:type="pct"/>
            <w:noWrap/>
          </w:tcPr>
          <w:p w14:paraId="7ECFE4BB"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601E3324" w14:textId="77777777" w:rsidTr="007D72B2">
        <w:trPr>
          <w:cantSplit/>
          <w:trHeight w:val="255"/>
        </w:trPr>
        <w:tc>
          <w:tcPr>
            <w:tcW w:w="376" w:type="pct"/>
            <w:noWrap/>
          </w:tcPr>
          <w:p w14:paraId="35EA3F3A" w14:textId="77777777" w:rsidR="005F576C" w:rsidRPr="000665B0" w:rsidRDefault="00C74262" w:rsidP="00C74262">
            <w:pPr>
              <w:spacing w:before="40" w:after="40" w:line="240" w:lineRule="auto"/>
              <w:jc w:val="center"/>
              <w:rPr>
                <w:sz w:val="20"/>
              </w:rPr>
            </w:pPr>
            <w:r w:rsidRPr="000665B0">
              <w:rPr>
                <w:sz w:val="20"/>
              </w:rPr>
              <w:t>109</w:t>
            </w:r>
          </w:p>
        </w:tc>
        <w:tc>
          <w:tcPr>
            <w:tcW w:w="787" w:type="pct"/>
            <w:noWrap/>
          </w:tcPr>
          <w:p w14:paraId="76886BBC" w14:textId="77777777" w:rsidR="005F576C" w:rsidRPr="000665B0" w:rsidRDefault="005F576C" w:rsidP="00F85F07">
            <w:pPr>
              <w:spacing w:before="40" w:after="40" w:line="240" w:lineRule="auto"/>
              <w:rPr>
                <w:sz w:val="20"/>
              </w:rPr>
            </w:pPr>
            <w:r w:rsidRPr="000665B0">
              <w:rPr>
                <w:sz w:val="20"/>
              </w:rPr>
              <w:t>Error initializing reporting proxy</w:t>
            </w:r>
          </w:p>
        </w:tc>
        <w:tc>
          <w:tcPr>
            <w:tcW w:w="1744" w:type="pct"/>
            <w:noWrap/>
          </w:tcPr>
          <w:p w14:paraId="6A99F911" w14:textId="77777777" w:rsidR="005F576C" w:rsidRPr="000665B0" w:rsidRDefault="005F576C" w:rsidP="005F1DFB">
            <w:pPr>
              <w:spacing w:before="40" w:after="40" w:line="240" w:lineRule="auto"/>
              <w:rPr>
                <w:sz w:val="20"/>
              </w:rPr>
            </w:pPr>
            <w:r w:rsidRPr="000665B0">
              <w:rPr>
                <w:sz w:val="20"/>
              </w:rPr>
              <w:t xml:space="preserve">Either </w:t>
            </w:r>
            <w:r w:rsidR="00EA2CF1" w:rsidRPr="000665B0">
              <w:rPr>
                <w:sz w:val="20"/>
              </w:rPr>
              <w:t xml:space="preserve">Distribution </w:t>
            </w:r>
            <w:r w:rsidRPr="000665B0">
              <w:rPr>
                <w:sz w:val="20"/>
              </w:rPr>
              <w:t xml:space="preserve">Monitor (or TDM Distribution Agent) failed to initialize a proxy for talking to the </w:t>
            </w:r>
            <w:r w:rsidR="002B3177" w:rsidRPr="000665B0">
              <w:rPr>
                <w:sz w:val="20"/>
              </w:rPr>
              <w:t>Distribution Service</w:t>
            </w:r>
            <w:r w:rsidRPr="000665B0">
              <w:rPr>
                <w:sz w:val="20"/>
              </w:rPr>
              <w:t>.</w:t>
            </w:r>
          </w:p>
        </w:tc>
        <w:tc>
          <w:tcPr>
            <w:tcW w:w="2093" w:type="pct"/>
            <w:noWrap/>
          </w:tcPr>
          <w:p w14:paraId="2FF4DF10"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3DE1C002" w14:textId="77777777" w:rsidTr="007D72B2">
        <w:trPr>
          <w:cantSplit/>
          <w:trHeight w:val="255"/>
        </w:trPr>
        <w:tc>
          <w:tcPr>
            <w:tcW w:w="376" w:type="pct"/>
            <w:noWrap/>
          </w:tcPr>
          <w:p w14:paraId="019CCD1D" w14:textId="77777777" w:rsidR="005F576C" w:rsidRPr="000665B0" w:rsidRDefault="00C74262" w:rsidP="005F1DFB">
            <w:pPr>
              <w:spacing w:before="40" w:after="40" w:line="240" w:lineRule="auto"/>
              <w:jc w:val="center"/>
              <w:rPr>
                <w:sz w:val="20"/>
              </w:rPr>
            </w:pPr>
            <w:r w:rsidRPr="000665B0">
              <w:rPr>
                <w:sz w:val="20"/>
              </w:rPr>
              <w:t>110</w:t>
            </w:r>
          </w:p>
        </w:tc>
        <w:tc>
          <w:tcPr>
            <w:tcW w:w="787" w:type="pct"/>
            <w:noWrap/>
          </w:tcPr>
          <w:p w14:paraId="77758DA0" w14:textId="77777777" w:rsidR="005F576C" w:rsidRPr="000665B0" w:rsidRDefault="005F576C" w:rsidP="00F85F07">
            <w:pPr>
              <w:spacing w:before="40" w:after="40" w:line="240" w:lineRule="auto"/>
              <w:rPr>
                <w:sz w:val="20"/>
              </w:rPr>
            </w:pPr>
            <w:r w:rsidRPr="000665B0">
              <w:rPr>
                <w:sz w:val="20"/>
              </w:rPr>
              <w:t xml:space="preserve">Error initializing </w:t>
            </w:r>
            <w:r w:rsidR="005B2BFA" w:rsidRPr="000665B0">
              <w:rPr>
                <w:sz w:val="20"/>
              </w:rPr>
              <w:t>Email</w:t>
            </w:r>
            <w:r w:rsidRPr="000665B0">
              <w:rPr>
                <w:sz w:val="20"/>
              </w:rPr>
              <w:t xml:space="preserve"> proxy</w:t>
            </w:r>
          </w:p>
        </w:tc>
        <w:tc>
          <w:tcPr>
            <w:tcW w:w="1744" w:type="pct"/>
            <w:noWrap/>
          </w:tcPr>
          <w:p w14:paraId="73C726E3" w14:textId="77777777" w:rsidR="005F576C" w:rsidRPr="000665B0" w:rsidRDefault="005F576C" w:rsidP="00F6729B">
            <w:pPr>
              <w:spacing w:before="40" w:after="40" w:line="240" w:lineRule="auto"/>
              <w:rPr>
                <w:sz w:val="20"/>
              </w:rPr>
            </w:pPr>
            <w:r w:rsidRPr="000665B0">
              <w:rPr>
                <w:sz w:val="20"/>
              </w:rPr>
              <w:t xml:space="preserve">The </w:t>
            </w:r>
            <w:r w:rsidR="002B3177" w:rsidRPr="000665B0">
              <w:rPr>
                <w:sz w:val="20"/>
              </w:rPr>
              <w:t xml:space="preserve">Distribution Service </w:t>
            </w:r>
            <w:r w:rsidRPr="000665B0">
              <w:rPr>
                <w:sz w:val="20"/>
              </w:rPr>
              <w:t xml:space="preserve">failed to initialize a proxy for sending </w:t>
            </w:r>
            <w:r w:rsidR="005B2BFA" w:rsidRPr="000665B0">
              <w:rPr>
                <w:sz w:val="20"/>
              </w:rPr>
              <w:t>Email</w:t>
            </w:r>
            <w:r w:rsidRPr="000665B0">
              <w:rPr>
                <w:sz w:val="20"/>
              </w:rPr>
              <w:t>s to the TDM Distribution Agent.</w:t>
            </w:r>
          </w:p>
        </w:tc>
        <w:tc>
          <w:tcPr>
            <w:tcW w:w="2093" w:type="pct"/>
            <w:noWrap/>
          </w:tcPr>
          <w:p w14:paraId="3A2BD045"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11EAC8E9" w14:textId="77777777" w:rsidTr="007D72B2">
        <w:trPr>
          <w:cantSplit/>
          <w:trHeight w:val="255"/>
        </w:trPr>
        <w:tc>
          <w:tcPr>
            <w:tcW w:w="376" w:type="pct"/>
            <w:noWrap/>
          </w:tcPr>
          <w:p w14:paraId="188FD782" w14:textId="77777777" w:rsidR="005F576C" w:rsidRPr="000665B0" w:rsidRDefault="00C74262" w:rsidP="005F1DFB">
            <w:pPr>
              <w:spacing w:before="40" w:after="40" w:line="240" w:lineRule="auto"/>
              <w:jc w:val="center"/>
              <w:rPr>
                <w:sz w:val="20"/>
              </w:rPr>
            </w:pPr>
            <w:r w:rsidRPr="000665B0">
              <w:rPr>
                <w:sz w:val="20"/>
              </w:rPr>
              <w:t>111</w:t>
            </w:r>
          </w:p>
        </w:tc>
        <w:tc>
          <w:tcPr>
            <w:tcW w:w="787" w:type="pct"/>
            <w:noWrap/>
          </w:tcPr>
          <w:p w14:paraId="614B5457" w14:textId="77777777" w:rsidR="005F576C" w:rsidRPr="000665B0" w:rsidRDefault="005F576C" w:rsidP="00F85F07">
            <w:pPr>
              <w:spacing w:before="40" w:after="40" w:line="240" w:lineRule="auto"/>
              <w:rPr>
                <w:sz w:val="20"/>
              </w:rPr>
            </w:pPr>
            <w:r w:rsidRPr="000665B0">
              <w:rPr>
                <w:sz w:val="20"/>
              </w:rPr>
              <w:t>DDO sent OK, but Outgoing Packets failed to save</w:t>
            </w:r>
          </w:p>
        </w:tc>
        <w:tc>
          <w:tcPr>
            <w:tcW w:w="1744" w:type="pct"/>
            <w:noWrap/>
          </w:tcPr>
          <w:p w14:paraId="21EF7DB3" w14:textId="77777777" w:rsidR="005F576C" w:rsidRPr="000665B0" w:rsidRDefault="005F576C" w:rsidP="005F1DFB">
            <w:pPr>
              <w:spacing w:before="40" w:after="40" w:line="240" w:lineRule="auto"/>
              <w:rPr>
                <w:sz w:val="20"/>
              </w:rPr>
            </w:pPr>
          </w:p>
        </w:tc>
        <w:tc>
          <w:tcPr>
            <w:tcW w:w="2093" w:type="pct"/>
            <w:noWrap/>
          </w:tcPr>
          <w:p w14:paraId="7BB60BAC"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7D7DF86F" w14:textId="77777777" w:rsidTr="007D72B2">
        <w:trPr>
          <w:cantSplit/>
          <w:trHeight w:val="255"/>
        </w:trPr>
        <w:tc>
          <w:tcPr>
            <w:tcW w:w="376" w:type="pct"/>
            <w:noWrap/>
          </w:tcPr>
          <w:p w14:paraId="772A5D32" w14:textId="77777777" w:rsidR="005F576C" w:rsidRPr="000665B0" w:rsidRDefault="00C74262" w:rsidP="005F1DFB">
            <w:pPr>
              <w:spacing w:before="40" w:after="40" w:line="240" w:lineRule="auto"/>
              <w:jc w:val="center"/>
              <w:rPr>
                <w:sz w:val="20"/>
              </w:rPr>
            </w:pPr>
            <w:r w:rsidRPr="000665B0">
              <w:rPr>
                <w:sz w:val="20"/>
              </w:rPr>
              <w:t>112</w:t>
            </w:r>
          </w:p>
        </w:tc>
        <w:tc>
          <w:tcPr>
            <w:tcW w:w="787" w:type="pct"/>
            <w:noWrap/>
          </w:tcPr>
          <w:p w14:paraId="2F463D1A" w14:textId="77777777" w:rsidR="005F576C" w:rsidRPr="000665B0" w:rsidRDefault="005F576C" w:rsidP="00F85F07">
            <w:pPr>
              <w:spacing w:before="40" w:after="40" w:line="240" w:lineRule="auto"/>
              <w:rPr>
                <w:sz w:val="20"/>
              </w:rPr>
            </w:pPr>
            <w:r w:rsidRPr="000665B0">
              <w:rPr>
                <w:sz w:val="20"/>
              </w:rPr>
              <w:t>Resend Failed. Reasons: {0}</w:t>
            </w:r>
          </w:p>
        </w:tc>
        <w:tc>
          <w:tcPr>
            <w:tcW w:w="1744" w:type="pct"/>
            <w:noWrap/>
          </w:tcPr>
          <w:p w14:paraId="34A2E4B0" w14:textId="77777777" w:rsidR="005F576C" w:rsidRPr="000665B0" w:rsidRDefault="005F576C" w:rsidP="005F1DFB">
            <w:pPr>
              <w:spacing w:before="40" w:after="40" w:line="240" w:lineRule="auto"/>
              <w:rPr>
                <w:sz w:val="20"/>
              </w:rPr>
            </w:pPr>
            <w:r w:rsidRPr="000665B0">
              <w:rPr>
                <w:sz w:val="20"/>
              </w:rPr>
              <w:t xml:space="preserve">A re-send of USNs failed because </w:t>
            </w:r>
            <w:r w:rsidR="002B3177" w:rsidRPr="000665B0">
              <w:rPr>
                <w:sz w:val="20"/>
              </w:rPr>
              <w:t xml:space="preserve">Distribution Service </w:t>
            </w:r>
            <w:r w:rsidRPr="000665B0">
              <w:rPr>
                <w:sz w:val="20"/>
              </w:rPr>
              <w:t>could not retrieve them from the SQL database</w:t>
            </w:r>
            <w:r w:rsidR="00F85F07" w:rsidRPr="000665B0">
              <w:rPr>
                <w:sz w:val="20"/>
              </w:rPr>
              <w:t>.</w:t>
            </w:r>
          </w:p>
        </w:tc>
        <w:tc>
          <w:tcPr>
            <w:tcW w:w="2093" w:type="pct"/>
            <w:noWrap/>
          </w:tcPr>
          <w:p w14:paraId="682C1066" w14:textId="77777777" w:rsidR="005F576C" w:rsidRPr="000665B0" w:rsidRDefault="005F576C" w:rsidP="005F1DFB">
            <w:pPr>
              <w:spacing w:before="40" w:after="40" w:line="240" w:lineRule="auto"/>
              <w:rPr>
                <w:sz w:val="20"/>
              </w:rPr>
            </w:pPr>
            <w:r w:rsidRPr="000665B0">
              <w:rPr>
                <w:sz w:val="20"/>
              </w:rPr>
              <w:t>Resend the entire DDO from MDS</w:t>
            </w:r>
            <w:r w:rsidR="00F85F07" w:rsidRPr="000665B0">
              <w:rPr>
                <w:sz w:val="20"/>
              </w:rPr>
              <w:t>.</w:t>
            </w:r>
          </w:p>
        </w:tc>
      </w:tr>
      <w:tr w:rsidR="007D72B2" w:rsidRPr="000665B0" w14:paraId="339115D4" w14:textId="77777777" w:rsidTr="007D72B2">
        <w:trPr>
          <w:cantSplit/>
          <w:trHeight w:val="255"/>
        </w:trPr>
        <w:tc>
          <w:tcPr>
            <w:tcW w:w="376" w:type="pct"/>
            <w:noWrap/>
          </w:tcPr>
          <w:p w14:paraId="64B0C34B" w14:textId="77777777" w:rsidR="005F576C" w:rsidRPr="000665B0" w:rsidRDefault="00C74262" w:rsidP="00C74262">
            <w:pPr>
              <w:spacing w:before="40" w:after="40" w:line="240" w:lineRule="auto"/>
              <w:jc w:val="center"/>
              <w:rPr>
                <w:sz w:val="20"/>
              </w:rPr>
            </w:pPr>
            <w:r w:rsidRPr="000665B0">
              <w:rPr>
                <w:sz w:val="20"/>
              </w:rPr>
              <w:t>113</w:t>
            </w:r>
          </w:p>
        </w:tc>
        <w:tc>
          <w:tcPr>
            <w:tcW w:w="787" w:type="pct"/>
            <w:noWrap/>
          </w:tcPr>
          <w:p w14:paraId="6C40EF95" w14:textId="77777777" w:rsidR="005F576C" w:rsidRPr="000665B0" w:rsidRDefault="005F576C" w:rsidP="00F85F07">
            <w:pPr>
              <w:spacing w:before="40" w:after="40" w:line="240" w:lineRule="auto"/>
              <w:rPr>
                <w:sz w:val="20"/>
              </w:rPr>
            </w:pPr>
            <w:r w:rsidRPr="000665B0">
              <w:rPr>
                <w:sz w:val="20"/>
              </w:rPr>
              <w:t>Failed to delete USNs for DDO. {0}</w:t>
            </w:r>
          </w:p>
        </w:tc>
        <w:tc>
          <w:tcPr>
            <w:tcW w:w="1744" w:type="pct"/>
            <w:noWrap/>
          </w:tcPr>
          <w:p w14:paraId="12341115" w14:textId="77777777" w:rsidR="005F576C" w:rsidRPr="000665B0" w:rsidRDefault="002B3177" w:rsidP="005F1DFB">
            <w:pPr>
              <w:spacing w:before="40" w:after="40" w:line="240" w:lineRule="auto"/>
              <w:rPr>
                <w:sz w:val="20"/>
              </w:rPr>
            </w:pPr>
            <w:r w:rsidRPr="000665B0">
              <w:rPr>
                <w:sz w:val="20"/>
              </w:rPr>
              <w:t xml:space="preserve">Distribution Service </w:t>
            </w:r>
            <w:r w:rsidR="005F576C" w:rsidRPr="000665B0">
              <w:rPr>
                <w:sz w:val="20"/>
              </w:rPr>
              <w:t>is wasting some space, but otherwise this error is benign.</w:t>
            </w:r>
          </w:p>
        </w:tc>
        <w:tc>
          <w:tcPr>
            <w:tcW w:w="2093" w:type="pct"/>
            <w:noWrap/>
          </w:tcPr>
          <w:p w14:paraId="7280001C" w14:textId="77777777" w:rsidR="005F576C" w:rsidRPr="000665B0" w:rsidRDefault="007E135D" w:rsidP="005F1DFB">
            <w:pPr>
              <w:spacing w:before="40" w:after="40" w:line="240" w:lineRule="auto"/>
              <w:rPr>
                <w:sz w:val="20"/>
              </w:rPr>
            </w:pPr>
            <w:r w:rsidRPr="000665B0">
              <w:rPr>
                <w:sz w:val="20"/>
              </w:rPr>
              <w:t>None</w:t>
            </w:r>
            <w:r w:rsidR="00F85F07" w:rsidRPr="000665B0">
              <w:rPr>
                <w:sz w:val="20"/>
              </w:rPr>
              <w:t>.</w:t>
            </w:r>
          </w:p>
        </w:tc>
      </w:tr>
      <w:tr w:rsidR="007D72B2" w:rsidRPr="000665B0" w14:paraId="3CB97E96" w14:textId="77777777" w:rsidTr="007D72B2">
        <w:trPr>
          <w:cantSplit/>
          <w:trHeight w:val="255"/>
        </w:trPr>
        <w:tc>
          <w:tcPr>
            <w:tcW w:w="376" w:type="pct"/>
            <w:noWrap/>
          </w:tcPr>
          <w:p w14:paraId="5FFF2FF8" w14:textId="77777777" w:rsidR="005F576C" w:rsidRPr="000665B0" w:rsidRDefault="00C74262" w:rsidP="00C74262">
            <w:pPr>
              <w:spacing w:before="40" w:after="40" w:line="240" w:lineRule="auto"/>
              <w:jc w:val="center"/>
              <w:rPr>
                <w:sz w:val="20"/>
              </w:rPr>
            </w:pPr>
            <w:r w:rsidRPr="000665B0">
              <w:rPr>
                <w:sz w:val="20"/>
              </w:rPr>
              <w:t>114</w:t>
            </w:r>
          </w:p>
        </w:tc>
        <w:tc>
          <w:tcPr>
            <w:tcW w:w="787" w:type="pct"/>
            <w:noWrap/>
          </w:tcPr>
          <w:p w14:paraId="5BE021A5" w14:textId="77777777" w:rsidR="005F576C" w:rsidRPr="000665B0" w:rsidRDefault="005F576C" w:rsidP="00F85F07">
            <w:pPr>
              <w:spacing w:before="40" w:after="40" w:line="240" w:lineRule="auto"/>
              <w:rPr>
                <w:sz w:val="20"/>
              </w:rPr>
            </w:pPr>
            <w:r w:rsidRPr="000665B0">
              <w:rPr>
                <w:sz w:val="20"/>
              </w:rPr>
              <w:t>Error sending DDO. {0}</w:t>
            </w:r>
          </w:p>
        </w:tc>
        <w:tc>
          <w:tcPr>
            <w:tcW w:w="1744" w:type="pct"/>
            <w:noWrap/>
          </w:tcPr>
          <w:p w14:paraId="4077AE01" w14:textId="77777777" w:rsidR="005F576C" w:rsidRPr="000665B0" w:rsidRDefault="005F576C" w:rsidP="005F1DFB">
            <w:pPr>
              <w:spacing w:before="40" w:after="40" w:line="240" w:lineRule="auto"/>
              <w:rPr>
                <w:sz w:val="20"/>
              </w:rPr>
            </w:pPr>
            <w:r w:rsidRPr="000665B0">
              <w:rPr>
                <w:sz w:val="20"/>
              </w:rPr>
              <w:t xml:space="preserve">MDS failed to deliver a DDO to </w:t>
            </w:r>
            <w:r w:rsidR="002B3177" w:rsidRPr="000665B0">
              <w:rPr>
                <w:sz w:val="20"/>
              </w:rPr>
              <w:t>Distribution Service</w:t>
            </w:r>
            <w:r w:rsidR="00F85F07" w:rsidRPr="000665B0">
              <w:rPr>
                <w:sz w:val="20"/>
              </w:rPr>
              <w:t>.</w:t>
            </w:r>
          </w:p>
        </w:tc>
        <w:tc>
          <w:tcPr>
            <w:tcW w:w="2093" w:type="pct"/>
            <w:noWrap/>
          </w:tcPr>
          <w:p w14:paraId="4A5B27E4" w14:textId="77777777" w:rsidR="005F576C" w:rsidRPr="000665B0" w:rsidRDefault="005F576C" w:rsidP="006D5A65">
            <w:pPr>
              <w:pStyle w:val="Heading1"/>
            </w:pPr>
            <w:r w:rsidRPr="000665B0">
              <w:t>Attempt re-send</w:t>
            </w:r>
            <w:r w:rsidR="00F85F07" w:rsidRPr="000665B0">
              <w:t>.</w:t>
            </w:r>
          </w:p>
          <w:p w14:paraId="26163344" w14:textId="270F394E" w:rsidR="005F576C" w:rsidRPr="000665B0" w:rsidRDefault="00986E97" w:rsidP="006D5A65">
            <w:pPr>
              <w:pStyle w:val="Heading1"/>
            </w:pPr>
            <w:r w:rsidRPr="000665B0">
              <w:t>Reboot and</w:t>
            </w:r>
            <w:r w:rsidR="005F576C" w:rsidRPr="000665B0">
              <w:t xml:space="preserve"> attempt re-send</w:t>
            </w:r>
            <w:r w:rsidR="00F85F07" w:rsidRPr="000665B0">
              <w:t>.</w:t>
            </w:r>
          </w:p>
        </w:tc>
      </w:tr>
      <w:tr w:rsidR="007D72B2" w:rsidRPr="000665B0" w14:paraId="0673A75D" w14:textId="77777777" w:rsidTr="007D72B2">
        <w:trPr>
          <w:cantSplit/>
          <w:trHeight w:val="255"/>
        </w:trPr>
        <w:tc>
          <w:tcPr>
            <w:tcW w:w="376" w:type="pct"/>
            <w:noWrap/>
          </w:tcPr>
          <w:p w14:paraId="333A13E3" w14:textId="77777777" w:rsidR="005F576C" w:rsidRPr="000665B0" w:rsidRDefault="00C74262" w:rsidP="00C74262">
            <w:pPr>
              <w:spacing w:before="40" w:after="40" w:line="240" w:lineRule="auto"/>
              <w:jc w:val="center"/>
              <w:rPr>
                <w:sz w:val="20"/>
              </w:rPr>
            </w:pPr>
            <w:r w:rsidRPr="000665B0">
              <w:rPr>
                <w:sz w:val="20"/>
              </w:rPr>
              <w:t>115</w:t>
            </w:r>
          </w:p>
        </w:tc>
        <w:tc>
          <w:tcPr>
            <w:tcW w:w="787" w:type="pct"/>
            <w:noWrap/>
          </w:tcPr>
          <w:p w14:paraId="5619CBAC" w14:textId="77777777" w:rsidR="005F576C" w:rsidRPr="000665B0" w:rsidRDefault="005F576C" w:rsidP="00F85F07">
            <w:pPr>
              <w:spacing w:before="40" w:after="40" w:line="240" w:lineRule="auto"/>
              <w:rPr>
                <w:sz w:val="20"/>
              </w:rPr>
            </w:pPr>
            <w:r w:rsidRPr="000665B0">
              <w:rPr>
                <w:sz w:val="20"/>
              </w:rPr>
              <w:t>Error retrieving DDO. {0}</w:t>
            </w:r>
          </w:p>
        </w:tc>
        <w:tc>
          <w:tcPr>
            <w:tcW w:w="1744" w:type="pct"/>
            <w:noWrap/>
          </w:tcPr>
          <w:p w14:paraId="36A76804" w14:textId="77777777" w:rsidR="005F576C" w:rsidRPr="000665B0" w:rsidRDefault="005F576C" w:rsidP="005F1DFB">
            <w:pPr>
              <w:spacing w:before="40" w:after="40" w:line="240" w:lineRule="auto"/>
              <w:rPr>
                <w:sz w:val="20"/>
              </w:rPr>
            </w:pPr>
          </w:p>
        </w:tc>
        <w:tc>
          <w:tcPr>
            <w:tcW w:w="2093" w:type="pct"/>
            <w:noWrap/>
          </w:tcPr>
          <w:p w14:paraId="4F4E35D2"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73B5B708" w14:textId="77777777" w:rsidTr="007D72B2">
        <w:trPr>
          <w:cantSplit/>
          <w:trHeight w:val="255"/>
        </w:trPr>
        <w:tc>
          <w:tcPr>
            <w:tcW w:w="376" w:type="pct"/>
            <w:noWrap/>
          </w:tcPr>
          <w:p w14:paraId="1DE847BF" w14:textId="77777777" w:rsidR="005F576C" w:rsidRPr="000665B0" w:rsidRDefault="00C74262" w:rsidP="00C74262">
            <w:pPr>
              <w:spacing w:before="40" w:after="40" w:line="240" w:lineRule="auto"/>
              <w:jc w:val="center"/>
              <w:rPr>
                <w:sz w:val="20"/>
              </w:rPr>
            </w:pPr>
            <w:r w:rsidRPr="000665B0">
              <w:rPr>
                <w:sz w:val="20"/>
              </w:rPr>
              <w:t>116</w:t>
            </w:r>
          </w:p>
        </w:tc>
        <w:tc>
          <w:tcPr>
            <w:tcW w:w="787" w:type="pct"/>
            <w:noWrap/>
          </w:tcPr>
          <w:p w14:paraId="73151D43" w14:textId="77777777" w:rsidR="005F576C" w:rsidRPr="000665B0" w:rsidRDefault="005F576C" w:rsidP="00F85F07">
            <w:pPr>
              <w:spacing w:before="40" w:after="40" w:line="240" w:lineRule="auto"/>
              <w:rPr>
                <w:sz w:val="20"/>
              </w:rPr>
            </w:pPr>
            <w:r w:rsidRPr="000665B0">
              <w:rPr>
                <w:sz w:val="20"/>
              </w:rPr>
              <w:t>Error getting message IDs {0}</w:t>
            </w:r>
          </w:p>
        </w:tc>
        <w:tc>
          <w:tcPr>
            <w:tcW w:w="1744" w:type="pct"/>
            <w:noWrap/>
          </w:tcPr>
          <w:p w14:paraId="0C1079FF" w14:textId="77777777" w:rsidR="005F576C" w:rsidRPr="000665B0" w:rsidRDefault="005F576C" w:rsidP="005F1DFB">
            <w:pPr>
              <w:spacing w:before="40" w:after="40" w:line="240" w:lineRule="auto"/>
              <w:rPr>
                <w:sz w:val="20"/>
              </w:rPr>
            </w:pPr>
          </w:p>
        </w:tc>
        <w:tc>
          <w:tcPr>
            <w:tcW w:w="2093" w:type="pct"/>
            <w:noWrap/>
          </w:tcPr>
          <w:p w14:paraId="6F24D96A"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082A5549" w14:textId="77777777" w:rsidTr="007D72B2">
        <w:trPr>
          <w:cantSplit/>
          <w:trHeight w:val="255"/>
        </w:trPr>
        <w:tc>
          <w:tcPr>
            <w:tcW w:w="376" w:type="pct"/>
            <w:noWrap/>
          </w:tcPr>
          <w:p w14:paraId="1D3BB41B" w14:textId="77777777" w:rsidR="005F576C" w:rsidRPr="000665B0" w:rsidRDefault="00C74262" w:rsidP="00C74262">
            <w:pPr>
              <w:spacing w:before="40" w:after="40" w:line="240" w:lineRule="auto"/>
              <w:jc w:val="center"/>
              <w:rPr>
                <w:sz w:val="20"/>
              </w:rPr>
            </w:pPr>
            <w:r w:rsidRPr="000665B0">
              <w:rPr>
                <w:sz w:val="20"/>
              </w:rPr>
              <w:t>117</w:t>
            </w:r>
          </w:p>
        </w:tc>
        <w:tc>
          <w:tcPr>
            <w:tcW w:w="787" w:type="pct"/>
            <w:noWrap/>
          </w:tcPr>
          <w:p w14:paraId="16792F93" w14:textId="77777777" w:rsidR="005F576C" w:rsidRPr="000665B0" w:rsidRDefault="005F576C" w:rsidP="00F85F07">
            <w:pPr>
              <w:spacing w:before="40" w:after="40" w:line="240" w:lineRule="auto"/>
              <w:rPr>
                <w:sz w:val="20"/>
              </w:rPr>
            </w:pPr>
            <w:r w:rsidRPr="000665B0">
              <w:rPr>
                <w:sz w:val="20"/>
              </w:rPr>
              <w:t xml:space="preserve">Error getting {0} from </w:t>
            </w:r>
            <w:r w:rsidR="002B3177" w:rsidRPr="000665B0">
              <w:rPr>
                <w:sz w:val="20"/>
              </w:rPr>
              <w:t>Distribution Service</w:t>
            </w:r>
            <w:r w:rsidRPr="000665B0">
              <w:rPr>
                <w:sz w:val="20"/>
              </w:rPr>
              <w:t>. {1}</w:t>
            </w:r>
          </w:p>
        </w:tc>
        <w:tc>
          <w:tcPr>
            <w:tcW w:w="1744" w:type="pct"/>
            <w:noWrap/>
          </w:tcPr>
          <w:p w14:paraId="4222E3FB" w14:textId="77777777" w:rsidR="005F576C" w:rsidRPr="000665B0" w:rsidRDefault="005F576C" w:rsidP="005F1DFB">
            <w:pPr>
              <w:spacing w:before="40" w:after="40" w:line="240" w:lineRule="auto"/>
              <w:rPr>
                <w:sz w:val="20"/>
              </w:rPr>
            </w:pPr>
          </w:p>
        </w:tc>
        <w:tc>
          <w:tcPr>
            <w:tcW w:w="2093" w:type="pct"/>
            <w:noWrap/>
          </w:tcPr>
          <w:p w14:paraId="4F90FC42"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7CE3C42D" w14:textId="77777777" w:rsidTr="007D72B2">
        <w:trPr>
          <w:cantSplit/>
          <w:trHeight w:val="255"/>
        </w:trPr>
        <w:tc>
          <w:tcPr>
            <w:tcW w:w="376" w:type="pct"/>
            <w:noWrap/>
          </w:tcPr>
          <w:p w14:paraId="5B1674CF" w14:textId="77777777" w:rsidR="005F576C" w:rsidRPr="000665B0" w:rsidRDefault="00C74262" w:rsidP="00C74262">
            <w:pPr>
              <w:spacing w:before="40" w:after="40" w:line="240" w:lineRule="auto"/>
              <w:jc w:val="center"/>
              <w:rPr>
                <w:sz w:val="20"/>
              </w:rPr>
            </w:pPr>
            <w:r w:rsidRPr="000665B0">
              <w:rPr>
                <w:sz w:val="20"/>
              </w:rPr>
              <w:t>118</w:t>
            </w:r>
          </w:p>
        </w:tc>
        <w:tc>
          <w:tcPr>
            <w:tcW w:w="787" w:type="pct"/>
            <w:noWrap/>
          </w:tcPr>
          <w:p w14:paraId="078C183F" w14:textId="088BE6D3" w:rsidR="005F576C" w:rsidRPr="000665B0" w:rsidRDefault="00626396" w:rsidP="00F85F07">
            <w:pPr>
              <w:spacing w:before="40" w:after="40" w:line="240" w:lineRule="auto"/>
              <w:rPr>
                <w:sz w:val="20"/>
              </w:rPr>
            </w:pPr>
            <w:r w:rsidRPr="000665B0">
              <w:rPr>
                <w:sz w:val="20"/>
              </w:rPr>
              <w:t>Removed.</w:t>
            </w:r>
          </w:p>
        </w:tc>
        <w:tc>
          <w:tcPr>
            <w:tcW w:w="1744" w:type="pct"/>
            <w:noWrap/>
          </w:tcPr>
          <w:p w14:paraId="248AE3B5" w14:textId="5E9D226A" w:rsidR="005F576C" w:rsidRPr="000665B0" w:rsidRDefault="00626396" w:rsidP="005F1DFB">
            <w:pPr>
              <w:spacing w:before="40" w:after="40" w:line="240" w:lineRule="auto"/>
              <w:rPr>
                <w:sz w:val="20"/>
              </w:rPr>
            </w:pPr>
            <w:r w:rsidRPr="000665B0">
              <w:rPr>
                <w:sz w:val="20"/>
              </w:rPr>
              <w:t>Removed.</w:t>
            </w:r>
          </w:p>
        </w:tc>
        <w:tc>
          <w:tcPr>
            <w:tcW w:w="2093" w:type="pct"/>
            <w:noWrap/>
          </w:tcPr>
          <w:p w14:paraId="7F4E60C8" w14:textId="27E31951" w:rsidR="005F576C" w:rsidRPr="000665B0" w:rsidRDefault="00626396" w:rsidP="005F1DFB">
            <w:pPr>
              <w:spacing w:before="40" w:after="40" w:line="240" w:lineRule="auto"/>
              <w:rPr>
                <w:sz w:val="20"/>
              </w:rPr>
            </w:pPr>
            <w:r w:rsidRPr="000665B0">
              <w:rPr>
                <w:sz w:val="20"/>
              </w:rPr>
              <w:t>Removed.</w:t>
            </w:r>
          </w:p>
        </w:tc>
      </w:tr>
      <w:tr w:rsidR="00626396" w:rsidRPr="000665B0" w14:paraId="0CC24E13" w14:textId="77777777" w:rsidTr="007D72B2">
        <w:trPr>
          <w:cantSplit/>
          <w:trHeight w:val="255"/>
        </w:trPr>
        <w:tc>
          <w:tcPr>
            <w:tcW w:w="376" w:type="pct"/>
            <w:noWrap/>
          </w:tcPr>
          <w:p w14:paraId="48E9E55D" w14:textId="77777777" w:rsidR="00626396" w:rsidRPr="000665B0" w:rsidRDefault="00626396" w:rsidP="00626396">
            <w:pPr>
              <w:spacing w:before="40" w:after="40" w:line="240" w:lineRule="auto"/>
              <w:jc w:val="center"/>
              <w:rPr>
                <w:sz w:val="20"/>
              </w:rPr>
            </w:pPr>
            <w:r w:rsidRPr="000665B0">
              <w:rPr>
                <w:sz w:val="20"/>
              </w:rPr>
              <w:t>119</w:t>
            </w:r>
          </w:p>
        </w:tc>
        <w:tc>
          <w:tcPr>
            <w:tcW w:w="787" w:type="pct"/>
            <w:noWrap/>
          </w:tcPr>
          <w:p w14:paraId="5010F3BB" w14:textId="4E4EFB30" w:rsidR="00626396" w:rsidRPr="000665B0" w:rsidRDefault="00626396" w:rsidP="00626396">
            <w:pPr>
              <w:spacing w:before="40" w:after="40" w:line="240" w:lineRule="auto"/>
              <w:rPr>
                <w:sz w:val="20"/>
              </w:rPr>
            </w:pPr>
            <w:r w:rsidRPr="000665B0">
              <w:rPr>
                <w:sz w:val="20"/>
              </w:rPr>
              <w:t>Removed.</w:t>
            </w:r>
          </w:p>
        </w:tc>
        <w:tc>
          <w:tcPr>
            <w:tcW w:w="1744" w:type="pct"/>
            <w:noWrap/>
          </w:tcPr>
          <w:p w14:paraId="356329B2" w14:textId="31DB8174" w:rsidR="00626396" w:rsidRPr="000665B0" w:rsidRDefault="00626396" w:rsidP="00626396">
            <w:pPr>
              <w:spacing w:before="40" w:after="40" w:line="240" w:lineRule="auto"/>
              <w:rPr>
                <w:sz w:val="20"/>
              </w:rPr>
            </w:pPr>
            <w:r w:rsidRPr="000665B0">
              <w:rPr>
                <w:sz w:val="20"/>
              </w:rPr>
              <w:t>Removed.</w:t>
            </w:r>
          </w:p>
        </w:tc>
        <w:tc>
          <w:tcPr>
            <w:tcW w:w="2093" w:type="pct"/>
            <w:noWrap/>
          </w:tcPr>
          <w:p w14:paraId="3843668F" w14:textId="47073435" w:rsidR="00626396" w:rsidRPr="000665B0" w:rsidRDefault="00626396" w:rsidP="00626396">
            <w:pPr>
              <w:spacing w:before="40" w:after="40" w:line="240" w:lineRule="auto"/>
              <w:rPr>
                <w:sz w:val="20"/>
              </w:rPr>
            </w:pPr>
            <w:r w:rsidRPr="000665B0">
              <w:rPr>
                <w:sz w:val="20"/>
              </w:rPr>
              <w:t>Removed.</w:t>
            </w:r>
          </w:p>
        </w:tc>
      </w:tr>
      <w:tr w:rsidR="007D72B2" w:rsidRPr="000665B0" w14:paraId="5C6CCDA6" w14:textId="77777777" w:rsidTr="007D72B2">
        <w:trPr>
          <w:cantSplit/>
          <w:trHeight w:val="255"/>
        </w:trPr>
        <w:tc>
          <w:tcPr>
            <w:tcW w:w="376" w:type="pct"/>
            <w:noWrap/>
          </w:tcPr>
          <w:p w14:paraId="1539E561" w14:textId="77777777" w:rsidR="005F576C" w:rsidRPr="000665B0" w:rsidRDefault="00C74262" w:rsidP="005F1DFB">
            <w:pPr>
              <w:spacing w:before="40" w:after="40" w:line="240" w:lineRule="auto"/>
              <w:jc w:val="center"/>
              <w:rPr>
                <w:sz w:val="20"/>
              </w:rPr>
            </w:pPr>
            <w:r w:rsidRPr="000665B0">
              <w:rPr>
                <w:sz w:val="20"/>
              </w:rPr>
              <w:t>120</w:t>
            </w:r>
          </w:p>
        </w:tc>
        <w:tc>
          <w:tcPr>
            <w:tcW w:w="787" w:type="pct"/>
            <w:noWrap/>
          </w:tcPr>
          <w:p w14:paraId="69216FBC" w14:textId="77777777" w:rsidR="005F576C" w:rsidRPr="000665B0" w:rsidRDefault="005F576C" w:rsidP="00F85F07">
            <w:pPr>
              <w:spacing w:before="40" w:after="40" w:line="240" w:lineRule="auto"/>
              <w:rPr>
                <w:sz w:val="20"/>
              </w:rPr>
            </w:pPr>
            <w:r w:rsidRPr="000665B0">
              <w:rPr>
                <w:sz w:val="20"/>
              </w:rPr>
              <w:t>Error clearing TSN log. {0}</w:t>
            </w:r>
          </w:p>
        </w:tc>
        <w:tc>
          <w:tcPr>
            <w:tcW w:w="1744" w:type="pct"/>
            <w:noWrap/>
          </w:tcPr>
          <w:p w14:paraId="42C873A9" w14:textId="77777777" w:rsidR="005F576C" w:rsidRPr="000665B0" w:rsidRDefault="005F576C" w:rsidP="005F1DFB">
            <w:pPr>
              <w:spacing w:before="40" w:after="40" w:line="240" w:lineRule="auto"/>
              <w:rPr>
                <w:sz w:val="20"/>
              </w:rPr>
            </w:pPr>
          </w:p>
        </w:tc>
        <w:tc>
          <w:tcPr>
            <w:tcW w:w="2093" w:type="pct"/>
            <w:noWrap/>
          </w:tcPr>
          <w:p w14:paraId="1F09F79C" w14:textId="77777777" w:rsidR="005F576C" w:rsidRPr="000665B0" w:rsidRDefault="007E135D" w:rsidP="005F1DFB">
            <w:pPr>
              <w:spacing w:before="40" w:after="40" w:line="240" w:lineRule="auto"/>
              <w:rPr>
                <w:sz w:val="20"/>
              </w:rPr>
            </w:pPr>
            <w:r w:rsidRPr="000665B0">
              <w:rPr>
                <w:sz w:val="20"/>
              </w:rPr>
              <w:t>None</w:t>
            </w:r>
            <w:r w:rsidR="00F85F07" w:rsidRPr="000665B0">
              <w:rPr>
                <w:sz w:val="20"/>
              </w:rPr>
              <w:t>.</w:t>
            </w:r>
          </w:p>
        </w:tc>
      </w:tr>
      <w:tr w:rsidR="007D72B2" w:rsidRPr="000665B0" w14:paraId="200E690F" w14:textId="77777777" w:rsidTr="007D72B2">
        <w:trPr>
          <w:cantSplit/>
          <w:trHeight w:val="255"/>
        </w:trPr>
        <w:tc>
          <w:tcPr>
            <w:tcW w:w="376" w:type="pct"/>
            <w:noWrap/>
          </w:tcPr>
          <w:p w14:paraId="551A3910" w14:textId="77777777" w:rsidR="005F576C" w:rsidRPr="000665B0" w:rsidRDefault="00C74262" w:rsidP="005F1DFB">
            <w:pPr>
              <w:spacing w:before="40" w:after="40" w:line="240" w:lineRule="auto"/>
              <w:jc w:val="center"/>
              <w:rPr>
                <w:sz w:val="20"/>
              </w:rPr>
            </w:pPr>
            <w:r w:rsidRPr="000665B0">
              <w:rPr>
                <w:sz w:val="20"/>
              </w:rPr>
              <w:t>121</w:t>
            </w:r>
          </w:p>
        </w:tc>
        <w:tc>
          <w:tcPr>
            <w:tcW w:w="787" w:type="pct"/>
            <w:noWrap/>
          </w:tcPr>
          <w:p w14:paraId="6A0BF9E5" w14:textId="77777777" w:rsidR="005F576C" w:rsidRPr="000665B0" w:rsidRDefault="005F576C" w:rsidP="00F85F07">
            <w:pPr>
              <w:spacing w:before="40" w:after="40" w:line="240" w:lineRule="auto"/>
              <w:rPr>
                <w:sz w:val="20"/>
              </w:rPr>
            </w:pPr>
            <w:r w:rsidRPr="000665B0">
              <w:rPr>
                <w:sz w:val="20"/>
              </w:rPr>
              <w:t>Error clearing TSN status log. {0}</w:t>
            </w:r>
          </w:p>
        </w:tc>
        <w:tc>
          <w:tcPr>
            <w:tcW w:w="1744" w:type="pct"/>
            <w:noWrap/>
          </w:tcPr>
          <w:p w14:paraId="687EB349" w14:textId="77777777" w:rsidR="005F576C" w:rsidRPr="000665B0" w:rsidRDefault="005F576C" w:rsidP="005F1DFB">
            <w:pPr>
              <w:spacing w:before="40" w:after="40" w:line="240" w:lineRule="auto"/>
              <w:rPr>
                <w:sz w:val="20"/>
              </w:rPr>
            </w:pPr>
          </w:p>
        </w:tc>
        <w:tc>
          <w:tcPr>
            <w:tcW w:w="2093" w:type="pct"/>
            <w:noWrap/>
          </w:tcPr>
          <w:p w14:paraId="5FB0E357" w14:textId="77777777" w:rsidR="005F576C" w:rsidRPr="000665B0" w:rsidRDefault="007E135D" w:rsidP="005F1DFB">
            <w:pPr>
              <w:spacing w:before="40" w:after="40" w:line="240" w:lineRule="auto"/>
              <w:rPr>
                <w:sz w:val="20"/>
              </w:rPr>
            </w:pPr>
            <w:r w:rsidRPr="000665B0">
              <w:rPr>
                <w:sz w:val="20"/>
              </w:rPr>
              <w:t>None</w:t>
            </w:r>
            <w:r w:rsidR="00F85F07" w:rsidRPr="000665B0">
              <w:rPr>
                <w:sz w:val="20"/>
              </w:rPr>
              <w:t>.</w:t>
            </w:r>
          </w:p>
        </w:tc>
      </w:tr>
      <w:tr w:rsidR="007D72B2" w:rsidRPr="000665B0" w14:paraId="10F77EC4" w14:textId="77777777" w:rsidTr="007D72B2">
        <w:trPr>
          <w:cantSplit/>
          <w:trHeight w:val="255"/>
        </w:trPr>
        <w:tc>
          <w:tcPr>
            <w:tcW w:w="376" w:type="pct"/>
            <w:noWrap/>
          </w:tcPr>
          <w:p w14:paraId="63E11FDE" w14:textId="77777777" w:rsidR="005F576C" w:rsidRPr="000665B0" w:rsidRDefault="00C74262" w:rsidP="005F1DFB">
            <w:pPr>
              <w:spacing w:before="40" w:after="40" w:line="240" w:lineRule="auto"/>
              <w:jc w:val="center"/>
              <w:rPr>
                <w:sz w:val="20"/>
              </w:rPr>
            </w:pPr>
            <w:r w:rsidRPr="000665B0">
              <w:rPr>
                <w:sz w:val="20"/>
              </w:rPr>
              <w:lastRenderedPageBreak/>
              <w:t>122</w:t>
            </w:r>
          </w:p>
        </w:tc>
        <w:tc>
          <w:tcPr>
            <w:tcW w:w="787" w:type="pct"/>
            <w:noWrap/>
          </w:tcPr>
          <w:p w14:paraId="4E90630F" w14:textId="77777777" w:rsidR="005F576C" w:rsidRPr="000665B0" w:rsidRDefault="005F576C" w:rsidP="00F85F07">
            <w:pPr>
              <w:spacing w:before="40" w:after="40" w:line="240" w:lineRule="auto"/>
              <w:rPr>
                <w:sz w:val="20"/>
              </w:rPr>
            </w:pPr>
            <w:r w:rsidRPr="000665B0">
              <w:rPr>
                <w:sz w:val="20"/>
              </w:rPr>
              <w:t>Error registering own node. {0}</w:t>
            </w:r>
          </w:p>
        </w:tc>
        <w:tc>
          <w:tcPr>
            <w:tcW w:w="1744" w:type="pct"/>
            <w:noWrap/>
          </w:tcPr>
          <w:p w14:paraId="1435275F" w14:textId="77777777" w:rsidR="005F576C" w:rsidRPr="000665B0" w:rsidRDefault="005F576C" w:rsidP="005F1DFB">
            <w:pPr>
              <w:spacing w:before="40" w:after="40" w:line="240" w:lineRule="auto"/>
              <w:rPr>
                <w:sz w:val="20"/>
              </w:rPr>
            </w:pPr>
            <w:r w:rsidRPr="000665B0">
              <w:rPr>
                <w:sz w:val="20"/>
              </w:rPr>
              <w:t xml:space="preserve">Upon MDS startup (and when own-node changes) MDS “registers” the current own-node with </w:t>
            </w:r>
            <w:r w:rsidR="002B3177" w:rsidRPr="000665B0">
              <w:rPr>
                <w:sz w:val="20"/>
              </w:rPr>
              <w:t>Distribution Service</w:t>
            </w:r>
            <w:r w:rsidRPr="000665B0">
              <w:rPr>
                <w:sz w:val="20"/>
              </w:rPr>
              <w:t xml:space="preserve">. </w:t>
            </w:r>
          </w:p>
        </w:tc>
        <w:tc>
          <w:tcPr>
            <w:tcW w:w="2093" w:type="pct"/>
            <w:noWrap/>
          </w:tcPr>
          <w:p w14:paraId="563410B9" w14:textId="77777777" w:rsidR="005F576C" w:rsidRPr="000665B0" w:rsidRDefault="005F576C" w:rsidP="006D5A65">
            <w:pPr>
              <w:pStyle w:val="Heading1"/>
            </w:pPr>
            <w:r w:rsidRPr="000665B0">
              <w:t xml:space="preserve">Without own-node “registered” </w:t>
            </w:r>
            <w:r w:rsidR="002B3177" w:rsidRPr="000665B0">
              <w:t xml:space="preserve">Distribution Service </w:t>
            </w:r>
            <w:r w:rsidRPr="000665B0">
              <w:t>will not be able to send outgoing messages (text or DDO). Incoming messages should work though.</w:t>
            </w:r>
          </w:p>
          <w:p w14:paraId="26725F4D" w14:textId="77777777" w:rsidR="005F576C" w:rsidRPr="000665B0" w:rsidRDefault="005F576C" w:rsidP="006D5A65">
            <w:pPr>
              <w:pStyle w:val="Heading1"/>
            </w:pPr>
            <w:r w:rsidRPr="000665B0">
              <w:t>Recommend load VPL if you haven’t already.</w:t>
            </w:r>
          </w:p>
          <w:p w14:paraId="0CBEDB80" w14:textId="77777777" w:rsidR="005F576C" w:rsidRPr="000665B0" w:rsidRDefault="005F576C" w:rsidP="006D5A65">
            <w:pPr>
              <w:pStyle w:val="Heading1"/>
            </w:pPr>
            <w:r w:rsidRPr="000665B0">
              <w:t xml:space="preserve">Recommend reboot. </w:t>
            </w:r>
          </w:p>
        </w:tc>
      </w:tr>
      <w:tr w:rsidR="007D72B2" w:rsidRPr="000665B0" w14:paraId="1A45B389" w14:textId="77777777" w:rsidTr="007D72B2">
        <w:trPr>
          <w:cantSplit/>
          <w:trHeight w:val="255"/>
        </w:trPr>
        <w:tc>
          <w:tcPr>
            <w:tcW w:w="376" w:type="pct"/>
            <w:noWrap/>
          </w:tcPr>
          <w:p w14:paraId="01C6E0B3" w14:textId="77777777" w:rsidR="005F576C" w:rsidRPr="000665B0" w:rsidRDefault="00C74262" w:rsidP="00C74262">
            <w:pPr>
              <w:spacing w:before="40" w:after="40" w:line="240" w:lineRule="auto"/>
              <w:jc w:val="center"/>
              <w:rPr>
                <w:sz w:val="20"/>
              </w:rPr>
            </w:pPr>
            <w:r w:rsidRPr="000665B0">
              <w:rPr>
                <w:sz w:val="20"/>
              </w:rPr>
              <w:t>123</w:t>
            </w:r>
          </w:p>
        </w:tc>
        <w:tc>
          <w:tcPr>
            <w:tcW w:w="787" w:type="pct"/>
            <w:noWrap/>
          </w:tcPr>
          <w:p w14:paraId="45A6EF0B" w14:textId="77777777" w:rsidR="005F576C" w:rsidRPr="000665B0" w:rsidRDefault="005F576C" w:rsidP="00F85F07">
            <w:pPr>
              <w:spacing w:before="40" w:after="40" w:line="240" w:lineRule="auto"/>
              <w:rPr>
                <w:sz w:val="20"/>
              </w:rPr>
            </w:pPr>
            <w:r w:rsidRPr="000665B0">
              <w:rPr>
                <w:sz w:val="20"/>
              </w:rPr>
              <w:t xml:space="preserve">Error checking </w:t>
            </w:r>
            <w:r w:rsidR="002E41AC" w:rsidRPr="000665B0">
              <w:rPr>
                <w:sz w:val="20"/>
              </w:rPr>
              <w:t>Distribution Service</w:t>
            </w:r>
            <w:r w:rsidR="002E41AC" w:rsidRPr="000665B0" w:rsidDel="002E41AC">
              <w:rPr>
                <w:sz w:val="20"/>
              </w:rPr>
              <w:t xml:space="preserve"> </w:t>
            </w:r>
            <w:r w:rsidRPr="000665B0">
              <w:rPr>
                <w:sz w:val="20"/>
              </w:rPr>
              <w:t>connection {0}</w:t>
            </w:r>
          </w:p>
        </w:tc>
        <w:tc>
          <w:tcPr>
            <w:tcW w:w="1744" w:type="pct"/>
            <w:noWrap/>
          </w:tcPr>
          <w:p w14:paraId="302D65CC" w14:textId="77777777" w:rsidR="005F576C" w:rsidRPr="000665B0" w:rsidRDefault="005F576C" w:rsidP="005F1DFB">
            <w:pPr>
              <w:spacing w:before="40" w:after="40" w:line="240" w:lineRule="auto"/>
              <w:rPr>
                <w:sz w:val="20"/>
              </w:rPr>
            </w:pPr>
            <w:r w:rsidRPr="000665B0">
              <w:rPr>
                <w:sz w:val="20"/>
              </w:rPr>
              <w:t xml:space="preserve">MDS has lost contact with the </w:t>
            </w:r>
            <w:r w:rsidR="002B3177" w:rsidRPr="000665B0">
              <w:rPr>
                <w:sz w:val="20"/>
              </w:rPr>
              <w:t>Distribution Service</w:t>
            </w:r>
            <w:r w:rsidR="00F85F07" w:rsidRPr="000665B0">
              <w:rPr>
                <w:sz w:val="20"/>
              </w:rPr>
              <w:t>.</w:t>
            </w:r>
          </w:p>
        </w:tc>
        <w:tc>
          <w:tcPr>
            <w:tcW w:w="2093" w:type="pct"/>
            <w:noWrap/>
          </w:tcPr>
          <w:p w14:paraId="58A703B2" w14:textId="77777777" w:rsidR="005F576C" w:rsidRPr="000665B0" w:rsidRDefault="005F576C" w:rsidP="005F1DFB">
            <w:pPr>
              <w:spacing w:before="40" w:after="40" w:line="240" w:lineRule="auto"/>
              <w:rPr>
                <w:sz w:val="20"/>
              </w:rPr>
            </w:pPr>
            <w:r w:rsidRPr="000665B0">
              <w:rPr>
                <w:sz w:val="20"/>
              </w:rPr>
              <w:t>Reboot the PC</w:t>
            </w:r>
            <w:r w:rsidR="00F85F07" w:rsidRPr="000665B0">
              <w:rPr>
                <w:sz w:val="20"/>
              </w:rPr>
              <w:t>.</w:t>
            </w:r>
          </w:p>
        </w:tc>
      </w:tr>
      <w:tr w:rsidR="007D72B2" w:rsidRPr="000665B0" w14:paraId="49BE3775" w14:textId="77777777" w:rsidTr="007D72B2">
        <w:trPr>
          <w:cantSplit/>
          <w:trHeight w:val="255"/>
        </w:trPr>
        <w:tc>
          <w:tcPr>
            <w:tcW w:w="376" w:type="pct"/>
            <w:noWrap/>
          </w:tcPr>
          <w:p w14:paraId="7F054983" w14:textId="77777777" w:rsidR="005F576C" w:rsidRPr="000665B0" w:rsidRDefault="00C74262" w:rsidP="00C74262">
            <w:pPr>
              <w:spacing w:before="40" w:after="40" w:line="240" w:lineRule="auto"/>
              <w:jc w:val="center"/>
              <w:rPr>
                <w:sz w:val="20"/>
              </w:rPr>
            </w:pPr>
            <w:r w:rsidRPr="000665B0">
              <w:rPr>
                <w:sz w:val="20"/>
              </w:rPr>
              <w:t>124</w:t>
            </w:r>
          </w:p>
        </w:tc>
        <w:tc>
          <w:tcPr>
            <w:tcW w:w="787" w:type="pct"/>
            <w:noWrap/>
          </w:tcPr>
          <w:p w14:paraId="08E21005" w14:textId="77777777" w:rsidR="005F576C" w:rsidRPr="000665B0" w:rsidRDefault="005F576C" w:rsidP="00F85F07">
            <w:pPr>
              <w:spacing w:before="40" w:after="40" w:line="240" w:lineRule="auto"/>
              <w:rPr>
                <w:sz w:val="20"/>
              </w:rPr>
            </w:pPr>
            <w:r w:rsidRPr="000665B0">
              <w:rPr>
                <w:sz w:val="20"/>
              </w:rPr>
              <w:t>Error testing comms-link. {0}</w:t>
            </w:r>
          </w:p>
        </w:tc>
        <w:tc>
          <w:tcPr>
            <w:tcW w:w="1744" w:type="pct"/>
            <w:noWrap/>
          </w:tcPr>
          <w:p w14:paraId="638D32CE" w14:textId="77777777" w:rsidR="005F576C" w:rsidRPr="000665B0" w:rsidRDefault="005F576C" w:rsidP="005F1DFB">
            <w:pPr>
              <w:spacing w:before="40" w:after="40" w:line="240" w:lineRule="auto"/>
              <w:rPr>
                <w:sz w:val="20"/>
              </w:rPr>
            </w:pPr>
            <w:r w:rsidRPr="000665B0">
              <w:rPr>
                <w:sz w:val="20"/>
              </w:rPr>
              <w:t xml:space="preserve">MDS failed to contact the </w:t>
            </w:r>
            <w:r w:rsidR="002E41AC" w:rsidRPr="000665B0">
              <w:rPr>
                <w:sz w:val="20"/>
              </w:rPr>
              <w:t>Distribution Service</w:t>
            </w:r>
            <w:r w:rsidR="002E41AC" w:rsidRPr="000665B0" w:rsidDel="002E41AC">
              <w:rPr>
                <w:sz w:val="20"/>
              </w:rPr>
              <w:t xml:space="preserve"> </w:t>
            </w:r>
            <w:r w:rsidRPr="000665B0">
              <w:rPr>
                <w:sz w:val="20"/>
              </w:rPr>
              <w:t>while attempting to test the comms to a particular node (or nodes).</w:t>
            </w:r>
          </w:p>
        </w:tc>
        <w:tc>
          <w:tcPr>
            <w:tcW w:w="2093" w:type="pct"/>
            <w:noWrap/>
          </w:tcPr>
          <w:p w14:paraId="3AE3025F" w14:textId="77777777" w:rsidR="005F576C" w:rsidRPr="000665B0" w:rsidRDefault="005F576C" w:rsidP="006D5A65">
            <w:pPr>
              <w:pStyle w:val="Heading1"/>
            </w:pPr>
            <w:r w:rsidRPr="000665B0">
              <w:t xml:space="preserve">Attempt comms test </w:t>
            </w:r>
            <w:r w:rsidR="008A1ED2" w:rsidRPr="000665B0">
              <w:t>again</w:t>
            </w:r>
            <w:r w:rsidR="00F85F07" w:rsidRPr="000665B0">
              <w:t>.</w:t>
            </w:r>
          </w:p>
          <w:p w14:paraId="31DEC1D1" w14:textId="77777777" w:rsidR="005F576C" w:rsidRPr="000665B0" w:rsidRDefault="005F576C" w:rsidP="006D5A65">
            <w:pPr>
              <w:pStyle w:val="Heading1"/>
            </w:pPr>
            <w:r w:rsidRPr="000665B0">
              <w:t>Reboot the PC</w:t>
            </w:r>
            <w:r w:rsidR="00F85F07" w:rsidRPr="000665B0">
              <w:t>.</w:t>
            </w:r>
          </w:p>
        </w:tc>
      </w:tr>
      <w:tr w:rsidR="007D72B2" w:rsidRPr="000665B0" w14:paraId="68A1FFB4" w14:textId="77777777" w:rsidTr="007D72B2">
        <w:trPr>
          <w:cantSplit/>
          <w:trHeight w:val="255"/>
        </w:trPr>
        <w:tc>
          <w:tcPr>
            <w:tcW w:w="376" w:type="pct"/>
            <w:noWrap/>
          </w:tcPr>
          <w:p w14:paraId="216256C0" w14:textId="77777777" w:rsidR="005F576C" w:rsidRPr="000665B0" w:rsidRDefault="00C74262" w:rsidP="00C74262">
            <w:pPr>
              <w:spacing w:before="40" w:after="40" w:line="240" w:lineRule="auto"/>
              <w:jc w:val="center"/>
              <w:rPr>
                <w:sz w:val="20"/>
              </w:rPr>
            </w:pPr>
            <w:r w:rsidRPr="000665B0">
              <w:rPr>
                <w:sz w:val="20"/>
              </w:rPr>
              <w:t>125</w:t>
            </w:r>
          </w:p>
        </w:tc>
        <w:tc>
          <w:tcPr>
            <w:tcW w:w="787" w:type="pct"/>
            <w:noWrap/>
          </w:tcPr>
          <w:p w14:paraId="54A6D605" w14:textId="77777777" w:rsidR="005F576C" w:rsidRPr="000665B0" w:rsidRDefault="005F576C" w:rsidP="00F85F07">
            <w:pPr>
              <w:spacing w:before="40" w:after="40" w:line="240" w:lineRule="auto"/>
              <w:rPr>
                <w:sz w:val="20"/>
              </w:rPr>
            </w:pPr>
            <w:r w:rsidRPr="000665B0">
              <w:rPr>
                <w:sz w:val="20"/>
              </w:rPr>
              <w:t xml:space="preserve">Error registering new TED with </w:t>
            </w:r>
            <w:r w:rsidR="002E41AC" w:rsidRPr="000665B0">
              <w:rPr>
                <w:sz w:val="20"/>
              </w:rPr>
              <w:t>Distribution Service</w:t>
            </w:r>
          </w:p>
        </w:tc>
        <w:tc>
          <w:tcPr>
            <w:tcW w:w="1744" w:type="pct"/>
            <w:noWrap/>
          </w:tcPr>
          <w:p w14:paraId="1F6D6897" w14:textId="77777777" w:rsidR="005F576C" w:rsidRPr="000665B0" w:rsidRDefault="005F576C" w:rsidP="005F1DFB">
            <w:pPr>
              <w:spacing w:before="40" w:after="40" w:line="240" w:lineRule="auto"/>
              <w:rPr>
                <w:sz w:val="20"/>
              </w:rPr>
            </w:pPr>
            <w:r w:rsidRPr="000665B0">
              <w:rPr>
                <w:sz w:val="20"/>
              </w:rPr>
              <w:t xml:space="preserve">Upon MDS startup (and when database or user/password change) MDS “registers” the TED MDS is using with </w:t>
            </w:r>
            <w:r w:rsidR="002E41AC" w:rsidRPr="000665B0">
              <w:rPr>
                <w:sz w:val="20"/>
              </w:rPr>
              <w:t>Distribution Service</w:t>
            </w:r>
            <w:r w:rsidRPr="000665B0">
              <w:rPr>
                <w:sz w:val="20"/>
              </w:rPr>
              <w:t xml:space="preserve">, so </w:t>
            </w:r>
            <w:r w:rsidR="002E41AC" w:rsidRPr="000665B0">
              <w:rPr>
                <w:sz w:val="20"/>
              </w:rPr>
              <w:t>Distribution Service</w:t>
            </w:r>
            <w:r w:rsidR="002E41AC" w:rsidRPr="000665B0" w:rsidDel="002E41AC">
              <w:rPr>
                <w:sz w:val="20"/>
              </w:rPr>
              <w:t xml:space="preserve"> </w:t>
            </w:r>
            <w:r w:rsidRPr="000665B0">
              <w:rPr>
                <w:sz w:val="20"/>
              </w:rPr>
              <w:t>can use the same TED.</w:t>
            </w:r>
          </w:p>
        </w:tc>
        <w:tc>
          <w:tcPr>
            <w:tcW w:w="2093" w:type="pct"/>
            <w:noWrap/>
          </w:tcPr>
          <w:p w14:paraId="43523C7A" w14:textId="7C2F42F8" w:rsidR="005F576C" w:rsidRPr="000665B0" w:rsidRDefault="005F576C" w:rsidP="006D5A65">
            <w:pPr>
              <w:pStyle w:val="Heading1"/>
            </w:pPr>
            <w:r w:rsidRPr="000665B0">
              <w:t>Without TED “registered</w:t>
            </w:r>
            <w:r w:rsidR="002E41AC" w:rsidRPr="000665B0">
              <w:t>,</w:t>
            </w:r>
            <w:r w:rsidRPr="000665B0">
              <w:t xml:space="preserve">” </w:t>
            </w:r>
            <w:r w:rsidR="002E41AC" w:rsidRPr="000665B0">
              <w:t>Distribution Service</w:t>
            </w:r>
            <w:r w:rsidR="002E41AC" w:rsidRPr="000665B0" w:rsidDel="002E41AC">
              <w:t xml:space="preserve"> </w:t>
            </w:r>
            <w:r w:rsidRPr="000665B0">
              <w:t xml:space="preserve">may be using a different TED than </w:t>
            </w:r>
            <w:r w:rsidR="00D24B5E" w:rsidRPr="000665B0">
              <w:t>MDS and</w:t>
            </w:r>
            <w:r w:rsidRPr="000665B0">
              <w:t xml:space="preserve"> have different address-book entries.</w:t>
            </w:r>
          </w:p>
          <w:p w14:paraId="44E6E312" w14:textId="77777777" w:rsidR="005F576C" w:rsidRPr="000665B0" w:rsidRDefault="005F576C" w:rsidP="006D5A65">
            <w:pPr>
              <w:pStyle w:val="Heading1"/>
            </w:pPr>
            <w:r w:rsidRPr="000665B0">
              <w:t>Recommend reboot.</w:t>
            </w:r>
          </w:p>
        </w:tc>
      </w:tr>
      <w:tr w:rsidR="007D72B2" w:rsidRPr="000665B0" w14:paraId="30B9C056" w14:textId="77777777" w:rsidTr="007D72B2">
        <w:trPr>
          <w:cantSplit/>
          <w:trHeight w:val="255"/>
        </w:trPr>
        <w:tc>
          <w:tcPr>
            <w:tcW w:w="376" w:type="pct"/>
            <w:noWrap/>
          </w:tcPr>
          <w:p w14:paraId="29DB9840" w14:textId="77777777" w:rsidR="005F576C" w:rsidRPr="000665B0" w:rsidRDefault="00C74262" w:rsidP="00C74262">
            <w:pPr>
              <w:spacing w:before="40" w:after="40" w:line="240" w:lineRule="auto"/>
              <w:jc w:val="center"/>
              <w:rPr>
                <w:sz w:val="20"/>
              </w:rPr>
            </w:pPr>
            <w:r w:rsidRPr="000665B0">
              <w:rPr>
                <w:sz w:val="20"/>
              </w:rPr>
              <w:lastRenderedPageBreak/>
              <w:t>126</w:t>
            </w:r>
          </w:p>
        </w:tc>
        <w:tc>
          <w:tcPr>
            <w:tcW w:w="787" w:type="pct"/>
            <w:noWrap/>
          </w:tcPr>
          <w:p w14:paraId="686C8C64" w14:textId="77777777" w:rsidR="005F576C" w:rsidRPr="000665B0" w:rsidRDefault="005F576C" w:rsidP="00F85F07">
            <w:pPr>
              <w:spacing w:before="40" w:after="40" w:line="240" w:lineRule="auto"/>
              <w:rPr>
                <w:sz w:val="20"/>
              </w:rPr>
            </w:pPr>
            <w:r w:rsidRPr="000665B0">
              <w:rPr>
                <w:sz w:val="20"/>
              </w:rPr>
              <w:t>Duplicate DDO ID {0}. DDO will be dropped</w:t>
            </w:r>
          </w:p>
        </w:tc>
        <w:tc>
          <w:tcPr>
            <w:tcW w:w="1744" w:type="pct"/>
            <w:noWrap/>
          </w:tcPr>
          <w:p w14:paraId="2752BA90" w14:textId="3C2929FE" w:rsidR="005F576C" w:rsidRPr="000665B0" w:rsidRDefault="002E41AC" w:rsidP="005F1DFB">
            <w:pPr>
              <w:spacing w:before="40" w:after="40" w:line="240" w:lineRule="auto"/>
              <w:rPr>
                <w:sz w:val="20"/>
              </w:rPr>
            </w:pPr>
            <w:r w:rsidRPr="000665B0">
              <w:rPr>
                <w:sz w:val="20"/>
              </w:rPr>
              <w:t>Distribution Service</w:t>
            </w:r>
            <w:r w:rsidRPr="000665B0" w:rsidDel="002E41AC">
              <w:rPr>
                <w:sz w:val="20"/>
              </w:rPr>
              <w:t xml:space="preserve"> </w:t>
            </w:r>
            <w:r w:rsidR="005F576C" w:rsidRPr="000665B0">
              <w:rPr>
                <w:sz w:val="20"/>
              </w:rPr>
              <w:t xml:space="preserve">has detected a duplicate </w:t>
            </w:r>
            <w:r w:rsidR="00D24B5E" w:rsidRPr="000665B0">
              <w:rPr>
                <w:sz w:val="20"/>
              </w:rPr>
              <w:t>DDO and</w:t>
            </w:r>
            <w:r w:rsidR="005F576C" w:rsidRPr="000665B0">
              <w:rPr>
                <w:sz w:val="20"/>
              </w:rPr>
              <w:t xml:space="preserve"> cannot process it.</w:t>
            </w:r>
          </w:p>
        </w:tc>
        <w:tc>
          <w:tcPr>
            <w:tcW w:w="2093" w:type="pct"/>
            <w:noWrap/>
          </w:tcPr>
          <w:p w14:paraId="2BCBDECF" w14:textId="77777777" w:rsidR="005F576C" w:rsidRPr="000665B0" w:rsidRDefault="005F576C" w:rsidP="006D5A65">
            <w:pPr>
              <w:pStyle w:val="Heading1"/>
            </w:pPr>
            <w:r w:rsidRPr="000665B0">
              <w:t>Go to MDS Incoming DDO Tool</w:t>
            </w:r>
            <w:r w:rsidR="00F85F07" w:rsidRPr="000665B0">
              <w:t>.</w:t>
            </w:r>
          </w:p>
          <w:p w14:paraId="472F8364" w14:textId="77777777" w:rsidR="005F576C" w:rsidRPr="000665B0" w:rsidRDefault="005F576C" w:rsidP="006D5A65">
            <w:pPr>
              <w:pStyle w:val="Heading1"/>
            </w:pPr>
            <w:r w:rsidRPr="000665B0">
              <w:t xml:space="preserve">Delete the incoming DDO (MDS </w:t>
            </w:r>
            <w:r w:rsidR="00F85F07" w:rsidRPr="000665B0">
              <w:t xml:space="preserve">will order </w:t>
            </w:r>
            <w:r w:rsidR="002E41AC" w:rsidRPr="000665B0">
              <w:t>Distribution Service</w:t>
            </w:r>
            <w:r w:rsidR="002E41AC" w:rsidRPr="000665B0" w:rsidDel="002E41AC">
              <w:t xml:space="preserve"> </w:t>
            </w:r>
            <w:r w:rsidR="00F85F07" w:rsidRPr="000665B0">
              <w:t>to delete it too.</w:t>
            </w:r>
            <w:r w:rsidRPr="000665B0">
              <w:t>)</w:t>
            </w:r>
          </w:p>
          <w:p w14:paraId="04D06527" w14:textId="77777777" w:rsidR="005F576C" w:rsidRPr="000665B0" w:rsidRDefault="005F576C" w:rsidP="006D5A65">
            <w:pPr>
              <w:pStyle w:val="Heading1"/>
            </w:pPr>
            <w:r w:rsidRPr="000665B0">
              <w:t>If the DDO ID cannot be found in MDS, open the “</w:t>
            </w:r>
            <w:r w:rsidR="00EA2CF1" w:rsidRPr="000665B0">
              <w:t xml:space="preserve">Distribution </w:t>
            </w:r>
            <w:r w:rsidRPr="000665B0">
              <w:t>Monitor”, and then open the “USN Directory</w:t>
            </w:r>
            <w:r w:rsidR="00F85F07" w:rsidRPr="000665B0">
              <w:t>.</w:t>
            </w:r>
            <w:r w:rsidRPr="000665B0">
              <w:t>” Clear the incoming/outgoing USNs.</w:t>
            </w:r>
          </w:p>
          <w:p w14:paraId="49C54A21" w14:textId="77777777" w:rsidR="005F576C" w:rsidRPr="000665B0" w:rsidRDefault="005F576C" w:rsidP="006D5A65">
            <w:pPr>
              <w:pStyle w:val="Heading1"/>
            </w:pPr>
            <w:r w:rsidRPr="000665B0">
              <w:t>Ask the sender to re-send the DDO.</w:t>
            </w:r>
          </w:p>
        </w:tc>
      </w:tr>
      <w:tr w:rsidR="007D72B2" w:rsidRPr="000665B0" w14:paraId="4B5AA819" w14:textId="77777777" w:rsidTr="007D72B2">
        <w:trPr>
          <w:cantSplit/>
          <w:trHeight w:val="255"/>
        </w:trPr>
        <w:tc>
          <w:tcPr>
            <w:tcW w:w="376" w:type="pct"/>
            <w:noWrap/>
          </w:tcPr>
          <w:p w14:paraId="61146FBE" w14:textId="77777777" w:rsidR="005F576C" w:rsidRPr="000665B0" w:rsidRDefault="00C74262" w:rsidP="00C74262">
            <w:pPr>
              <w:spacing w:before="40" w:after="40" w:line="240" w:lineRule="auto"/>
              <w:jc w:val="center"/>
              <w:rPr>
                <w:sz w:val="20"/>
              </w:rPr>
            </w:pPr>
            <w:r w:rsidRPr="000665B0">
              <w:rPr>
                <w:sz w:val="20"/>
              </w:rPr>
              <w:t>127</w:t>
            </w:r>
          </w:p>
        </w:tc>
        <w:tc>
          <w:tcPr>
            <w:tcW w:w="787" w:type="pct"/>
            <w:noWrap/>
          </w:tcPr>
          <w:p w14:paraId="680FB752" w14:textId="77777777" w:rsidR="005F576C" w:rsidRPr="000665B0" w:rsidRDefault="005F576C" w:rsidP="00F85F07">
            <w:pPr>
              <w:spacing w:before="40" w:after="40" w:line="240" w:lineRule="auto"/>
              <w:rPr>
                <w:sz w:val="20"/>
              </w:rPr>
            </w:pPr>
            <w:r w:rsidRPr="000665B0">
              <w:rPr>
                <w:sz w:val="20"/>
              </w:rPr>
              <w:t>Error testing link. {0}</w:t>
            </w:r>
          </w:p>
        </w:tc>
        <w:tc>
          <w:tcPr>
            <w:tcW w:w="1744" w:type="pct"/>
            <w:noWrap/>
          </w:tcPr>
          <w:p w14:paraId="3DF8A2D3" w14:textId="77777777" w:rsidR="005F576C" w:rsidRPr="000665B0" w:rsidRDefault="005F576C" w:rsidP="00F6729B">
            <w:pPr>
              <w:spacing w:before="40" w:after="40" w:line="240" w:lineRule="auto"/>
              <w:rPr>
                <w:sz w:val="20"/>
              </w:rPr>
            </w:pPr>
            <w:r w:rsidRPr="000665B0">
              <w:rPr>
                <w:sz w:val="20"/>
              </w:rPr>
              <w:t xml:space="preserve">An error occurred testing OTH </w:t>
            </w:r>
            <w:r w:rsidR="00F6729B" w:rsidRPr="000665B0">
              <w:rPr>
                <w:sz w:val="20"/>
              </w:rPr>
              <w:t xml:space="preserve">or </w:t>
            </w:r>
            <w:r w:rsidR="005B2BFA" w:rsidRPr="000665B0">
              <w:rPr>
                <w:sz w:val="20"/>
              </w:rPr>
              <w:t>Email</w:t>
            </w:r>
            <w:r w:rsidR="00F6729B" w:rsidRPr="000665B0">
              <w:rPr>
                <w:sz w:val="20"/>
              </w:rPr>
              <w:t>.</w:t>
            </w:r>
          </w:p>
        </w:tc>
        <w:tc>
          <w:tcPr>
            <w:tcW w:w="2093" w:type="pct"/>
            <w:noWrap/>
          </w:tcPr>
          <w:p w14:paraId="068B50EC" w14:textId="77777777" w:rsidR="005F576C" w:rsidRPr="000665B0" w:rsidRDefault="005F576C" w:rsidP="006D5A65">
            <w:pPr>
              <w:pStyle w:val="Heading1"/>
            </w:pPr>
            <w:r w:rsidRPr="000665B0">
              <w:t>Use process-of-elimination to identify which of the transport</w:t>
            </w:r>
            <w:r w:rsidR="00F6729B" w:rsidRPr="000665B0">
              <w:t xml:space="preserve"> method</w:t>
            </w:r>
            <w:r w:rsidRPr="000665B0">
              <w:t>s is causing the error.</w:t>
            </w:r>
          </w:p>
          <w:p w14:paraId="29AC202A" w14:textId="41472431" w:rsidR="005F576C" w:rsidRPr="000665B0" w:rsidRDefault="005F576C" w:rsidP="006D5A65">
            <w:pPr>
              <w:pStyle w:val="Heading1"/>
            </w:pPr>
            <w:r w:rsidRPr="000665B0">
              <w:t>Then analyze what is wrong with THAT transport</w:t>
            </w:r>
            <w:r w:rsidR="00F6729B" w:rsidRPr="000665B0">
              <w:t xml:space="preserve"> </w:t>
            </w:r>
            <w:r w:rsidR="00D24B5E" w:rsidRPr="000665B0">
              <w:t>method or</w:t>
            </w:r>
            <w:r w:rsidRPr="000665B0">
              <w:t xml:space="preserve"> use </w:t>
            </w:r>
            <w:r w:rsidR="00F6729B" w:rsidRPr="000665B0">
              <w:t>another</w:t>
            </w:r>
            <w:r w:rsidRPr="000665B0">
              <w:t xml:space="preserve"> </w:t>
            </w:r>
            <w:r w:rsidR="00F6729B" w:rsidRPr="000665B0">
              <w:t>transport method</w:t>
            </w:r>
            <w:r w:rsidRPr="000665B0">
              <w:t>.</w:t>
            </w:r>
          </w:p>
        </w:tc>
      </w:tr>
      <w:tr w:rsidR="007D72B2" w:rsidRPr="000665B0" w14:paraId="03167824" w14:textId="77777777" w:rsidTr="007D72B2">
        <w:trPr>
          <w:cantSplit/>
          <w:trHeight w:val="255"/>
        </w:trPr>
        <w:tc>
          <w:tcPr>
            <w:tcW w:w="376" w:type="pct"/>
            <w:noWrap/>
          </w:tcPr>
          <w:p w14:paraId="6FEFB3CD" w14:textId="77777777" w:rsidR="005F576C" w:rsidRPr="000665B0" w:rsidRDefault="00C74262" w:rsidP="00C74262">
            <w:pPr>
              <w:spacing w:before="40" w:after="40" w:line="240" w:lineRule="auto"/>
              <w:jc w:val="center"/>
              <w:rPr>
                <w:sz w:val="20"/>
              </w:rPr>
            </w:pPr>
            <w:r w:rsidRPr="000665B0">
              <w:rPr>
                <w:sz w:val="20"/>
              </w:rPr>
              <w:t>128</w:t>
            </w:r>
          </w:p>
        </w:tc>
        <w:tc>
          <w:tcPr>
            <w:tcW w:w="787" w:type="pct"/>
            <w:noWrap/>
          </w:tcPr>
          <w:p w14:paraId="59D1AED1" w14:textId="77777777" w:rsidR="005F576C" w:rsidRPr="000665B0" w:rsidRDefault="005F576C" w:rsidP="00F85F07">
            <w:pPr>
              <w:spacing w:before="40" w:after="40" w:line="240" w:lineRule="auto"/>
              <w:rPr>
                <w:sz w:val="20"/>
              </w:rPr>
            </w:pPr>
            <w:r w:rsidRPr="000665B0">
              <w:rPr>
                <w:sz w:val="20"/>
              </w:rPr>
              <w:t>Unknown Format Type 0. Message might be dropped by TCIP</w:t>
            </w:r>
          </w:p>
        </w:tc>
        <w:tc>
          <w:tcPr>
            <w:tcW w:w="1744" w:type="pct"/>
            <w:noWrap/>
          </w:tcPr>
          <w:p w14:paraId="5C2C5EC4" w14:textId="77777777" w:rsidR="005F576C" w:rsidRPr="000665B0" w:rsidRDefault="005F576C" w:rsidP="005F1DFB">
            <w:pPr>
              <w:spacing w:before="40" w:after="40" w:line="240" w:lineRule="auto"/>
              <w:rPr>
                <w:sz w:val="20"/>
              </w:rPr>
            </w:pPr>
            <w:r w:rsidRPr="000665B0">
              <w:rPr>
                <w:sz w:val="20"/>
              </w:rPr>
              <w:t xml:space="preserve">A received OTH message has a type not listed in 3900/146 Table 3-6. </w:t>
            </w:r>
            <w:r w:rsidR="002E41AC" w:rsidRPr="000665B0">
              <w:rPr>
                <w:sz w:val="20"/>
              </w:rPr>
              <w:t>Distribution Service</w:t>
            </w:r>
            <w:r w:rsidR="002E41AC" w:rsidRPr="000665B0" w:rsidDel="002E41AC">
              <w:rPr>
                <w:sz w:val="20"/>
              </w:rPr>
              <w:t xml:space="preserve"> </w:t>
            </w:r>
            <w:r w:rsidRPr="000665B0">
              <w:rPr>
                <w:sz w:val="20"/>
              </w:rPr>
              <w:t>will ignore it.</w:t>
            </w:r>
          </w:p>
        </w:tc>
        <w:tc>
          <w:tcPr>
            <w:tcW w:w="2093" w:type="pct"/>
            <w:noWrap/>
          </w:tcPr>
          <w:p w14:paraId="2D3C730D" w14:textId="77777777" w:rsidR="005F576C" w:rsidRPr="000665B0" w:rsidRDefault="007E135D" w:rsidP="005F1DFB">
            <w:pPr>
              <w:spacing w:before="40" w:after="40" w:line="240" w:lineRule="auto"/>
              <w:rPr>
                <w:sz w:val="20"/>
              </w:rPr>
            </w:pPr>
            <w:r w:rsidRPr="000665B0">
              <w:rPr>
                <w:sz w:val="20"/>
              </w:rPr>
              <w:t>None</w:t>
            </w:r>
            <w:r w:rsidR="005F576C" w:rsidRPr="000665B0">
              <w:rPr>
                <w:sz w:val="20"/>
              </w:rPr>
              <w:t>.</w:t>
            </w:r>
          </w:p>
        </w:tc>
      </w:tr>
      <w:tr w:rsidR="007D72B2" w:rsidRPr="000665B0" w14:paraId="65BDA5FE" w14:textId="77777777" w:rsidTr="007D72B2">
        <w:trPr>
          <w:cantSplit/>
          <w:trHeight w:val="255"/>
        </w:trPr>
        <w:tc>
          <w:tcPr>
            <w:tcW w:w="376" w:type="pct"/>
            <w:noWrap/>
          </w:tcPr>
          <w:p w14:paraId="100BBC52" w14:textId="77777777" w:rsidR="005F576C" w:rsidRPr="000665B0" w:rsidRDefault="00C74262" w:rsidP="00C74262">
            <w:pPr>
              <w:spacing w:before="40" w:after="40" w:line="240" w:lineRule="auto"/>
              <w:jc w:val="center"/>
              <w:rPr>
                <w:sz w:val="20"/>
              </w:rPr>
            </w:pPr>
            <w:r w:rsidRPr="000665B0">
              <w:rPr>
                <w:sz w:val="20"/>
              </w:rPr>
              <w:t>129</w:t>
            </w:r>
          </w:p>
        </w:tc>
        <w:tc>
          <w:tcPr>
            <w:tcW w:w="787" w:type="pct"/>
            <w:noWrap/>
          </w:tcPr>
          <w:p w14:paraId="2D4454F5" w14:textId="77777777" w:rsidR="005F576C" w:rsidRPr="000665B0" w:rsidRDefault="00EA2CF1" w:rsidP="00F85F07">
            <w:pPr>
              <w:spacing w:before="40" w:after="40" w:line="240" w:lineRule="auto"/>
              <w:rPr>
                <w:sz w:val="20"/>
              </w:rPr>
            </w:pPr>
            <w:r w:rsidRPr="000665B0">
              <w:rPr>
                <w:sz w:val="20"/>
              </w:rPr>
              <w:t xml:space="preserve">Distribution </w:t>
            </w:r>
            <w:r w:rsidR="005F576C" w:rsidRPr="000665B0">
              <w:rPr>
                <w:sz w:val="20"/>
              </w:rPr>
              <w:t>Monitor not allowed to (re)start 'TDM Distribution Agent'</w:t>
            </w:r>
          </w:p>
        </w:tc>
        <w:tc>
          <w:tcPr>
            <w:tcW w:w="1744" w:type="pct"/>
            <w:noWrap/>
          </w:tcPr>
          <w:p w14:paraId="317C0A34" w14:textId="77777777" w:rsidR="005F576C" w:rsidRPr="000665B0" w:rsidRDefault="005F576C" w:rsidP="005F1DFB">
            <w:pPr>
              <w:spacing w:before="40" w:after="40" w:line="240" w:lineRule="auto"/>
              <w:rPr>
                <w:sz w:val="20"/>
              </w:rPr>
            </w:pPr>
            <w:r w:rsidRPr="000665B0">
              <w:rPr>
                <w:sz w:val="20"/>
              </w:rPr>
              <w:t>See errors #48 and #49. TDM Distribution Agent has failed to be restarted by the OS. And the monitor doesn’t have sufficient privileges to even attempt to restart it.</w:t>
            </w:r>
          </w:p>
        </w:tc>
        <w:tc>
          <w:tcPr>
            <w:tcW w:w="2093" w:type="pct"/>
            <w:noWrap/>
          </w:tcPr>
          <w:p w14:paraId="7EA04680" w14:textId="77777777" w:rsidR="005F576C" w:rsidRPr="000665B0" w:rsidRDefault="005F576C" w:rsidP="005F1DFB">
            <w:pPr>
              <w:spacing w:before="40" w:after="40" w:line="240" w:lineRule="auto"/>
              <w:rPr>
                <w:sz w:val="20"/>
              </w:rPr>
            </w:pPr>
            <w:r w:rsidRPr="000665B0">
              <w:rPr>
                <w:sz w:val="20"/>
              </w:rPr>
              <w:t>Reboot the PC.</w:t>
            </w:r>
          </w:p>
        </w:tc>
      </w:tr>
      <w:tr w:rsidR="007D72B2" w:rsidRPr="000665B0" w14:paraId="1B7B776A" w14:textId="77777777" w:rsidTr="007D72B2">
        <w:trPr>
          <w:cantSplit/>
          <w:trHeight w:val="255"/>
        </w:trPr>
        <w:tc>
          <w:tcPr>
            <w:tcW w:w="376" w:type="pct"/>
            <w:noWrap/>
          </w:tcPr>
          <w:p w14:paraId="3795E71A" w14:textId="77777777" w:rsidR="005F576C" w:rsidRPr="000665B0" w:rsidRDefault="00C74262" w:rsidP="005F1DFB">
            <w:pPr>
              <w:spacing w:before="40" w:after="40" w:line="240" w:lineRule="auto"/>
              <w:jc w:val="center"/>
              <w:rPr>
                <w:sz w:val="20"/>
              </w:rPr>
            </w:pPr>
            <w:r w:rsidRPr="000665B0">
              <w:rPr>
                <w:sz w:val="20"/>
              </w:rPr>
              <w:lastRenderedPageBreak/>
              <w:t>130</w:t>
            </w:r>
          </w:p>
        </w:tc>
        <w:tc>
          <w:tcPr>
            <w:tcW w:w="787" w:type="pct"/>
            <w:noWrap/>
          </w:tcPr>
          <w:p w14:paraId="0CCFA485" w14:textId="02272534" w:rsidR="005F576C" w:rsidRPr="000665B0" w:rsidRDefault="005F576C" w:rsidP="00F85F07">
            <w:pPr>
              <w:spacing w:before="40" w:after="40" w:line="240" w:lineRule="auto"/>
              <w:rPr>
                <w:sz w:val="20"/>
              </w:rPr>
            </w:pPr>
            <w:r w:rsidRPr="000665B0">
              <w:rPr>
                <w:sz w:val="20"/>
              </w:rPr>
              <w:t xml:space="preserve">FDU File Type ID {0} </w:t>
            </w:r>
            <w:r w:rsidR="00986E97" w:rsidRPr="000665B0">
              <w:rPr>
                <w:sz w:val="20"/>
              </w:rPr>
              <w:t>received but</w:t>
            </w:r>
            <w:r w:rsidRPr="000665B0">
              <w:rPr>
                <w:sz w:val="20"/>
              </w:rPr>
              <w:t xml:space="preserve"> not intended for MDS. This FDU will not be forwarded to MDS</w:t>
            </w:r>
          </w:p>
        </w:tc>
        <w:tc>
          <w:tcPr>
            <w:tcW w:w="1744" w:type="pct"/>
            <w:noWrap/>
          </w:tcPr>
          <w:p w14:paraId="14E72E27" w14:textId="77777777" w:rsidR="005F576C" w:rsidRPr="000665B0" w:rsidRDefault="002E41AC" w:rsidP="005F1DFB">
            <w:pPr>
              <w:spacing w:before="40" w:after="40" w:line="240" w:lineRule="auto"/>
              <w:rPr>
                <w:sz w:val="20"/>
              </w:rPr>
            </w:pPr>
            <w:r w:rsidRPr="000665B0">
              <w:rPr>
                <w:sz w:val="20"/>
              </w:rPr>
              <w:t>Distribution Service</w:t>
            </w:r>
            <w:r w:rsidRPr="000665B0" w:rsidDel="002E41AC">
              <w:rPr>
                <w:sz w:val="20"/>
              </w:rPr>
              <w:t xml:space="preserve"> </w:t>
            </w:r>
            <w:r w:rsidR="005F576C" w:rsidRPr="000665B0">
              <w:rPr>
                <w:sz w:val="20"/>
              </w:rPr>
              <w:t>has detected an incoming data not meant for us (for example: an FDU meant for a TTWCS)</w:t>
            </w:r>
            <w:r w:rsidR="00F85F07" w:rsidRPr="000665B0">
              <w:rPr>
                <w:sz w:val="20"/>
              </w:rPr>
              <w:t>.</w:t>
            </w:r>
          </w:p>
        </w:tc>
        <w:tc>
          <w:tcPr>
            <w:tcW w:w="2093" w:type="pct"/>
            <w:noWrap/>
          </w:tcPr>
          <w:p w14:paraId="03E24B9D" w14:textId="77777777" w:rsidR="005F576C" w:rsidRPr="000665B0" w:rsidRDefault="007E135D" w:rsidP="005F1DFB">
            <w:pPr>
              <w:spacing w:before="40" w:after="40" w:line="240" w:lineRule="auto"/>
              <w:rPr>
                <w:sz w:val="20"/>
              </w:rPr>
            </w:pPr>
            <w:r w:rsidRPr="000665B0">
              <w:rPr>
                <w:sz w:val="20"/>
              </w:rPr>
              <w:t>None</w:t>
            </w:r>
            <w:r w:rsidR="005F576C" w:rsidRPr="000665B0">
              <w:rPr>
                <w:sz w:val="20"/>
              </w:rPr>
              <w:t>.</w:t>
            </w:r>
          </w:p>
        </w:tc>
      </w:tr>
      <w:tr w:rsidR="007D72B2" w:rsidRPr="000665B0" w14:paraId="6AC255E6" w14:textId="77777777" w:rsidTr="007D72B2">
        <w:trPr>
          <w:cantSplit/>
          <w:trHeight w:val="255"/>
        </w:trPr>
        <w:tc>
          <w:tcPr>
            <w:tcW w:w="376" w:type="pct"/>
            <w:noWrap/>
          </w:tcPr>
          <w:p w14:paraId="6AA0EBE1" w14:textId="77777777" w:rsidR="005F576C" w:rsidRPr="000665B0" w:rsidRDefault="00C74262" w:rsidP="005F1DFB">
            <w:pPr>
              <w:spacing w:before="40" w:after="40" w:line="240" w:lineRule="auto"/>
              <w:jc w:val="center"/>
              <w:rPr>
                <w:sz w:val="20"/>
              </w:rPr>
            </w:pPr>
            <w:r w:rsidRPr="000665B0">
              <w:rPr>
                <w:sz w:val="20"/>
              </w:rPr>
              <w:t>131</w:t>
            </w:r>
          </w:p>
        </w:tc>
        <w:tc>
          <w:tcPr>
            <w:tcW w:w="787" w:type="pct"/>
            <w:noWrap/>
          </w:tcPr>
          <w:p w14:paraId="3A8616CB" w14:textId="77777777" w:rsidR="005F576C" w:rsidRPr="000665B0" w:rsidRDefault="005F576C" w:rsidP="00F85F07">
            <w:pPr>
              <w:spacing w:before="40" w:after="40" w:line="240" w:lineRule="auto"/>
              <w:rPr>
                <w:sz w:val="20"/>
              </w:rPr>
            </w:pPr>
            <w:r w:rsidRPr="000665B0">
              <w:rPr>
                <w:sz w:val="20"/>
              </w:rPr>
              <w:t>{0} received for FDU/MDU {1}, but an error occurred in processing it</w:t>
            </w:r>
          </w:p>
        </w:tc>
        <w:tc>
          <w:tcPr>
            <w:tcW w:w="1744" w:type="pct"/>
            <w:noWrap/>
          </w:tcPr>
          <w:p w14:paraId="45252D7B" w14:textId="77777777" w:rsidR="005F576C" w:rsidRPr="000665B0" w:rsidRDefault="005F576C" w:rsidP="005F1DFB">
            <w:pPr>
              <w:spacing w:before="40" w:after="40" w:line="240" w:lineRule="auto"/>
              <w:rPr>
                <w:sz w:val="20"/>
              </w:rPr>
            </w:pPr>
            <w:r w:rsidRPr="000665B0">
              <w:rPr>
                <w:sz w:val="20"/>
              </w:rPr>
              <w:t>An error occurred processing a UER (from an MDU), or TACK (from an FDU).</w:t>
            </w:r>
          </w:p>
        </w:tc>
        <w:tc>
          <w:tcPr>
            <w:tcW w:w="2093" w:type="pct"/>
            <w:noWrap/>
          </w:tcPr>
          <w:p w14:paraId="3E4EA951" w14:textId="77777777" w:rsidR="005F576C" w:rsidRPr="000665B0" w:rsidRDefault="005F576C" w:rsidP="005F1DFB">
            <w:pPr>
              <w:spacing w:before="40" w:after="40" w:line="240" w:lineRule="auto"/>
              <w:rPr>
                <w:sz w:val="20"/>
              </w:rPr>
            </w:pPr>
            <w:r w:rsidRPr="000665B0">
              <w:rPr>
                <w:sz w:val="20"/>
              </w:rPr>
              <w:t>Ask the recipients if they received the DDO in question. If not, resend it.</w:t>
            </w:r>
          </w:p>
        </w:tc>
      </w:tr>
      <w:tr w:rsidR="002E41AC" w:rsidRPr="000665B0" w14:paraId="57C9BE65" w14:textId="77777777" w:rsidTr="007D72B2">
        <w:trPr>
          <w:cantSplit/>
          <w:trHeight w:val="255"/>
        </w:trPr>
        <w:tc>
          <w:tcPr>
            <w:tcW w:w="376" w:type="pct"/>
            <w:noWrap/>
          </w:tcPr>
          <w:p w14:paraId="3C6651B7" w14:textId="77777777" w:rsidR="002E41AC" w:rsidRPr="000665B0" w:rsidRDefault="002E41AC" w:rsidP="002E41AC">
            <w:pPr>
              <w:spacing w:before="40" w:after="40" w:line="240" w:lineRule="auto"/>
              <w:jc w:val="center"/>
              <w:rPr>
                <w:sz w:val="20"/>
              </w:rPr>
            </w:pPr>
            <w:r w:rsidRPr="000665B0">
              <w:rPr>
                <w:sz w:val="20"/>
              </w:rPr>
              <w:t>132</w:t>
            </w:r>
          </w:p>
        </w:tc>
        <w:tc>
          <w:tcPr>
            <w:tcW w:w="787" w:type="pct"/>
            <w:noWrap/>
          </w:tcPr>
          <w:p w14:paraId="3C59A84E" w14:textId="77777777" w:rsidR="002E41AC" w:rsidRPr="000665B0" w:rsidRDefault="002E41AC" w:rsidP="002E41AC">
            <w:pPr>
              <w:autoSpaceDE w:val="0"/>
              <w:autoSpaceDN w:val="0"/>
              <w:adjustRightInd w:val="0"/>
              <w:spacing w:before="40" w:after="40" w:line="240" w:lineRule="auto"/>
              <w:rPr>
                <w:sz w:val="20"/>
              </w:rPr>
            </w:pPr>
            <w:r w:rsidRPr="000665B0">
              <w:rPr>
                <w:sz w:val="20"/>
              </w:rPr>
              <w:t>Removed.</w:t>
            </w:r>
          </w:p>
        </w:tc>
        <w:tc>
          <w:tcPr>
            <w:tcW w:w="1744" w:type="pct"/>
            <w:noWrap/>
          </w:tcPr>
          <w:p w14:paraId="569A9579" w14:textId="77777777" w:rsidR="002E41AC" w:rsidRPr="000665B0" w:rsidRDefault="002E41AC" w:rsidP="0062019A">
            <w:pPr>
              <w:spacing w:before="40" w:after="40" w:line="240" w:lineRule="auto"/>
              <w:rPr>
                <w:sz w:val="20"/>
              </w:rPr>
            </w:pPr>
            <w:r w:rsidRPr="000665B0">
              <w:rPr>
                <w:sz w:val="20"/>
              </w:rPr>
              <w:t>Removed.</w:t>
            </w:r>
          </w:p>
        </w:tc>
        <w:tc>
          <w:tcPr>
            <w:tcW w:w="2093" w:type="pct"/>
            <w:noWrap/>
          </w:tcPr>
          <w:p w14:paraId="03651455" w14:textId="77777777" w:rsidR="002E41AC" w:rsidRPr="000665B0" w:rsidRDefault="002E41AC" w:rsidP="0062019A">
            <w:pPr>
              <w:spacing w:before="40" w:after="40" w:line="240" w:lineRule="auto"/>
              <w:rPr>
                <w:sz w:val="20"/>
              </w:rPr>
            </w:pPr>
            <w:r w:rsidRPr="000665B0">
              <w:rPr>
                <w:sz w:val="20"/>
              </w:rPr>
              <w:t>Removed.</w:t>
            </w:r>
          </w:p>
        </w:tc>
      </w:tr>
      <w:tr w:rsidR="002E41AC" w:rsidRPr="000665B0" w14:paraId="4832309B" w14:textId="77777777" w:rsidTr="007D72B2">
        <w:trPr>
          <w:cantSplit/>
          <w:trHeight w:val="255"/>
        </w:trPr>
        <w:tc>
          <w:tcPr>
            <w:tcW w:w="376" w:type="pct"/>
            <w:noWrap/>
          </w:tcPr>
          <w:p w14:paraId="719A0766" w14:textId="77777777" w:rsidR="002E41AC" w:rsidRPr="000665B0" w:rsidRDefault="002E41AC" w:rsidP="002E41AC">
            <w:pPr>
              <w:spacing w:before="40" w:after="40" w:line="240" w:lineRule="auto"/>
              <w:jc w:val="center"/>
              <w:rPr>
                <w:sz w:val="20"/>
              </w:rPr>
            </w:pPr>
            <w:r w:rsidRPr="000665B0">
              <w:rPr>
                <w:sz w:val="20"/>
              </w:rPr>
              <w:t>133</w:t>
            </w:r>
          </w:p>
        </w:tc>
        <w:tc>
          <w:tcPr>
            <w:tcW w:w="787" w:type="pct"/>
            <w:noWrap/>
          </w:tcPr>
          <w:p w14:paraId="3D1AC4AC" w14:textId="77777777" w:rsidR="002E41AC" w:rsidRPr="000665B0" w:rsidRDefault="002E41AC" w:rsidP="002E41AC">
            <w:pPr>
              <w:autoSpaceDE w:val="0"/>
              <w:autoSpaceDN w:val="0"/>
              <w:adjustRightInd w:val="0"/>
              <w:spacing w:before="40" w:after="40" w:line="240" w:lineRule="auto"/>
              <w:rPr>
                <w:sz w:val="20"/>
              </w:rPr>
            </w:pPr>
            <w:r w:rsidRPr="000665B0">
              <w:rPr>
                <w:sz w:val="20"/>
              </w:rPr>
              <w:t>Removed.</w:t>
            </w:r>
          </w:p>
        </w:tc>
        <w:tc>
          <w:tcPr>
            <w:tcW w:w="1744" w:type="pct"/>
            <w:noWrap/>
          </w:tcPr>
          <w:p w14:paraId="46F7D49F" w14:textId="77777777" w:rsidR="002E41AC" w:rsidRPr="000665B0" w:rsidRDefault="002E41AC" w:rsidP="0062019A">
            <w:pPr>
              <w:spacing w:before="40" w:after="40" w:line="240" w:lineRule="auto"/>
              <w:rPr>
                <w:sz w:val="20"/>
              </w:rPr>
            </w:pPr>
            <w:r w:rsidRPr="000665B0">
              <w:rPr>
                <w:sz w:val="20"/>
              </w:rPr>
              <w:t>Removed.</w:t>
            </w:r>
          </w:p>
        </w:tc>
        <w:tc>
          <w:tcPr>
            <w:tcW w:w="2093" w:type="pct"/>
            <w:noWrap/>
          </w:tcPr>
          <w:p w14:paraId="2CA4C54F" w14:textId="77777777" w:rsidR="002E41AC" w:rsidRPr="000665B0" w:rsidRDefault="002E41AC" w:rsidP="0062019A">
            <w:pPr>
              <w:spacing w:before="40" w:after="40" w:line="240" w:lineRule="auto"/>
              <w:rPr>
                <w:sz w:val="20"/>
              </w:rPr>
            </w:pPr>
            <w:r w:rsidRPr="000665B0">
              <w:rPr>
                <w:sz w:val="20"/>
              </w:rPr>
              <w:t>Removed.</w:t>
            </w:r>
          </w:p>
        </w:tc>
      </w:tr>
      <w:tr w:rsidR="009E7537" w:rsidRPr="000665B0" w14:paraId="4788E8E8" w14:textId="77777777" w:rsidTr="007D72B2">
        <w:trPr>
          <w:cantSplit/>
          <w:trHeight w:val="255"/>
        </w:trPr>
        <w:tc>
          <w:tcPr>
            <w:tcW w:w="376" w:type="pct"/>
            <w:noWrap/>
          </w:tcPr>
          <w:p w14:paraId="487F7A08" w14:textId="77777777" w:rsidR="009E7537" w:rsidRPr="000665B0" w:rsidRDefault="00C74262" w:rsidP="00C74262">
            <w:pPr>
              <w:spacing w:before="40" w:after="40" w:line="240" w:lineRule="auto"/>
              <w:jc w:val="center"/>
              <w:rPr>
                <w:sz w:val="20"/>
              </w:rPr>
            </w:pPr>
            <w:r w:rsidRPr="000665B0">
              <w:rPr>
                <w:sz w:val="20"/>
              </w:rPr>
              <w:t>134</w:t>
            </w:r>
          </w:p>
        </w:tc>
        <w:tc>
          <w:tcPr>
            <w:tcW w:w="787" w:type="pct"/>
            <w:noWrap/>
          </w:tcPr>
          <w:p w14:paraId="5D7968EF" w14:textId="77777777" w:rsidR="009E7537" w:rsidRPr="000665B0" w:rsidRDefault="009E7537" w:rsidP="00F85F07">
            <w:pPr>
              <w:autoSpaceDE w:val="0"/>
              <w:autoSpaceDN w:val="0"/>
              <w:adjustRightInd w:val="0"/>
              <w:spacing w:before="40" w:after="40" w:line="240" w:lineRule="auto"/>
              <w:rPr>
                <w:sz w:val="20"/>
              </w:rPr>
            </w:pPr>
            <w:r w:rsidRPr="000665B0">
              <w:rPr>
                <w:sz w:val="20"/>
              </w:rPr>
              <w:t xml:space="preserve">Failed to notify </w:t>
            </w:r>
            <w:r w:rsidR="002E41AC" w:rsidRPr="000665B0">
              <w:rPr>
                <w:sz w:val="20"/>
              </w:rPr>
              <w:t>Distribution Service</w:t>
            </w:r>
            <w:r w:rsidR="002E41AC" w:rsidRPr="000665B0" w:rsidDel="002E41AC">
              <w:rPr>
                <w:sz w:val="20"/>
              </w:rPr>
              <w:t xml:space="preserve"> </w:t>
            </w:r>
            <w:r w:rsidRPr="000665B0">
              <w:rPr>
                <w:sz w:val="20"/>
              </w:rPr>
              <w:t>of agent start</w:t>
            </w:r>
          </w:p>
        </w:tc>
        <w:tc>
          <w:tcPr>
            <w:tcW w:w="1744" w:type="pct"/>
            <w:noWrap/>
          </w:tcPr>
          <w:p w14:paraId="15BB8579" w14:textId="77777777" w:rsidR="009E7537" w:rsidRPr="000665B0" w:rsidRDefault="009E7537" w:rsidP="005F1DFB">
            <w:pPr>
              <w:spacing w:before="40" w:after="40" w:line="240" w:lineRule="auto"/>
              <w:rPr>
                <w:sz w:val="20"/>
              </w:rPr>
            </w:pPr>
          </w:p>
        </w:tc>
        <w:tc>
          <w:tcPr>
            <w:tcW w:w="2093" w:type="pct"/>
            <w:noWrap/>
          </w:tcPr>
          <w:p w14:paraId="55FC34F8" w14:textId="77777777" w:rsidR="009E7537" w:rsidRPr="000665B0" w:rsidRDefault="009E7537" w:rsidP="005F1DFB">
            <w:pPr>
              <w:spacing w:before="40" w:after="40" w:line="240" w:lineRule="auto"/>
              <w:rPr>
                <w:sz w:val="20"/>
              </w:rPr>
            </w:pPr>
          </w:p>
        </w:tc>
      </w:tr>
      <w:tr w:rsidR="009E7537" w:rsidRPr="000665B0" w14:paraId="2211970D" w14:textId="77777777" w:rsidTr="007D72B2">
        <w:trPr>
          <w:cantSplit/>
          <w:trHeight w:val="255"/>
        </w:trPr>
        <w:tc>
          <w:tcPr>
            <w:tcW w:w="376" w:type="pct"/>
            <w:noWrap/>
          </w:tcPr>
          <w:p w14:paraId="6A5BEBD0" w14:textId="77777777" w:rsidR="009E7537" w:rsidRPr="000665B0" w:rsidRDefault="00C74262" w:rsidP="00C74262">
            <w:pPr>
              <w:spacing w:before="40" w:after="40" w:line="240" w:lineRule="auto"/>
              <w:jc w:val="center"/>
              <w:rPr>
                <w:sz w:val="20"/>
              </w:rPr>
            </w:pPr>
            <w:r w:rsidRPr="000665B0">
              <w:rPr>
                <w:sz w:val="20"/>
              </w:rPr>
              <w:t>135</w:t>
            </w:r>
          </w:p>
        </w:tc>
        <w:tc>
          <w:tcPr>
            <w:tcW w:w="787" w:type="pct"/>
            <w:noWrap/>
          </w:tcPr>
          <w:p w14:paraId="63727B1A" w14:textId="77777777" w:rsidR="009E7537" w:rsidRPr="000665B0" w:rsidRDefault="009E7537" w:rsidP="00F85F07">
            <w:pPr>
              <w:autoSpaceDE w:val="0"/>
              <w:autoSpaceDN w:val="0"/>
              <w:adjustRightInd w:val="0"/>
              <w:spacing w:before="40" w:after="40" w:line="240" w:lineRule="auto"/>
              <w:rPr>
                <w:sz w:val="20"/>
              </w:rPr>
            </w:pPr>
            <w:r w:rsidRPr="000665B0">
              <w:rPr>
                <w:sz w:val="20"/>
              </w:rPr>
              <w:t>MDS ordered TSNIF reconnect on ports: {0}</w:t>
            </w:r>
          </w:p>
        </w:tc>
        <w:tc>
          <w:tcPr>
            <w:tcW w:w="1744" w:type="pct"/>
            <w:noWrap/>
          </w:tcPr>
          <w:p w14:paraId="39E98DE8" w14:textId="77777777" w:rsidR="009E7537" w:rsidRPr="000665B0" w:rsidRDefault="009E7537" w:rsidP="005F1DFB">
            <w:pPr>
              <w:spacing w:before="40" w:after="40" w:line="240" w:lineRule="auto"/>
              <w:rPr>
                <w:sz w:val="20"/>
              </w:rPr>
            </w:pPr>
          </w:p>
        </w:tc>
        <w:tc>
          <w:tcPr>
            <w:tcW w:w="2093" w:type="pct"/>
            <w:noWrap/>
          </w:tcPr>
          <w:p w14:paraId="4FF5C19D" w14:textId="77777777" w:rsidR="009E7537" w:rsidRPr="000665B0" w:rsidRDefault="009E7537" w:rsidP="005F1DFB">
            <w:pPr>
              <w:spacing w:before="40" w:after="40" w:line="240" w:lineRule="auto"/>
              <w:rPr>
                <w:sz w:val="20"/>
              </w:rPr>
            </w:pPr>
          </w:p>
        </w:tc>
      </w:tr>
      <w:tr w:rsidR="00665D3B" w:rsidRPr="000665B0" w14:paraId="3475CDF2" w14:textId="77777777" w:rsidTr="007D72B2">
        <w:trPr>
          <w:cantSplit/>
          <w:trHeight w:val="255"/>
        </w:trPr>
        <w:tc>
          <w:tcPr>
            <w:tcW w:w="376" w:type="pct"/>
            <w:noWrap/>
          </w:tcPr>
          <w:p w14:paraId="17DCA099" w14:textId="77777777" w:rsidR="00665D3B" w:rsidRPr="000665B0" w:rsidDel="00C74262" w:rsidRDefault="00665D3B" w:rsidP="00C74262">
            <w:pPr>
              <w:spacing w:before="40" w:after="40" w:line="240" w:lineRule="auto"/>
              <w:jc w:val="center"/>
              <w:rPr>
                <w:sz w:val="20"/>
              </w:rPr>
            </w:pPr>
            <w:r w:rsidRPr="000665B0">
              <w:rPr>
                <w:sz w:val="20"/>
              </w:rPr>
              <w:t>136</w:t>
            </w:r>
          </w:p>
        </w:tc>
        <w:tc>
          <w:tcPr>
            <w:tcW w:w="787" w:type="pct"/>
            <w:noWrap/>
          </w:tcPr>
          <w:p w14:paraId="0609BD04" w14:textId="77777777" w:rsidR="00665D3B" w:rsidRPr="000665B0" w:rsidRDefault="00665D3B" w:rsidP="00F85F07">
            <w:pPr>
              <w:autoSpaceDE w:val="0"/>
              <w:autoSpaceDN w:val="0"/>
              <w:adjustRightInd w:val="0"/>
              <w:spacing w:before="40" w:after="40" w:line="240" w:lineRule="auto"/>
              <w:rPr>
                <w:sz w:val="20"/>
              </w:rPr>
            </w:pPr>
          </w:p>
        </w:tc>
        <w:tc>
          <w:tcPr>
            <w:tcW w:w="1744" w:type="pct"/>
            <w:noWrap/>
          </w:tcPr>
          <w:p w14:paraId="3EA4F51B" w14:textId="77777777" w:rsidR="00665D3B" w:rsidRPr="000665B0" w:rsidRDefault="00665D3B" w:rsidP="005F1DFB">
            <w:pPr>
              <w:spacing w:before="40" w:after="40" w:line="240" w:lineRule="auto"/>
              <w:rPr>
                <w:sz w:val="20"/>
              </w:rPr>
            </w:pPr>
            <w:r w:rsidRPr="000665B0">
              <w:rPr>
                <w:sz w:val="20"/>
              </w:rPr>
              <w:t>Unused.</w:t>
            </w:r>
          </w:p>
        </w:tc>
        <w:tc>
          <w:tcPr>
            <w:tcW w:w="2093" w:type="pct"/>
            <w:noWrap/>
          </w:tcPr>
          <w:p w14:paraId="595BDE8E" w14:textId="77777777" w:rsidR="00665D3B" w:rsidRPr="000665B0" w:rsidRDefault="00665D3B" w:rsidP="005F1DFB">
            <w:pPr>
              <w:spacing w:before="40" w:after="40" w:line="240" w:lineRule="auto"/>
              <w:rPr>
                <w:sz w:val="20"/>
              </w:rPr>
            </w:pPr>
          </w:p>
        </w:tc>
      </w:tr>
      <w:tr w:rsidR="009E7537" w:rsidRPr="000665B0" w14:paraId="40B05DED" w14:textId="77777777" w:rsidTr="007D72B2">
        <w:trPr>
          <w:cantSplit/>
          <w:trHeight w:val="255"/>
        </w:trPr>
        <w:tc>
          <w:tcPr>
            <w:tcW w:w="376" w:type="pct"/>
            <w:noWrap/>
          </w:tcPr>
          <w:p w14:paraId="266A8705" w14:textId="77777777" w:rsidR="009E7537" w:rsidRPr="000665B0" w:rsidRDefault="00C74262" w:rsidP="00C74262">
            <w:pPr>
              <w:spacing w:before="40" w:after="40" w:line="240" w:lineRule="auto"/>
              <w:jc w:val="center"/>
              <w:rPr>
                <w:sz w:val="20"/>
              </w:rPr>
            </w:pPr>
            <w:r w:rsidRPr="000665B0">
              <w:rPr>
                <w:sz w:val="20"/>
              </w:rPr>
              <w:t>137</w:t>
            </w:r>
          </w:p>
        </w:tc>
        <w:tc>
          <w:tcPr>
            <w:tcW w:w="787" w:type="pct"/>
            <w:noWrap/>
          </w:tcPr>
          <w:p w14:paraId="5FCA96F1" w14:textId="77777777" w:rsidR="009E7537" w:rsidRPr="000665B0" w:rsidRDefault="009E7537" w:rsidP="00F85F07">
            <w:pPr>
              <w:autoSpaceDE w:val="0"/>
              <w:autoSpaceDN w:val="0"/>
              <w:adjustRightInd w:val="0"/>
              <w:spacing w:before="40" w:after="40" w:line="240" w:lineRule="auto"/>
              <w:rPr>
                <w:sz w:val="20"/>
              </w:rPr>
            </w:pPr>
            <w:r w:rsidRPr="000665B0">
              <w:rPr>
                <w:sz w:val="20"/>
              </w:rPr>
              <w:t xml:space="preserve">Failed passing status from TSNIF to </w:t>
            </w:r>
            <w:r w:rsidR="002E41AC" w:rsidRPr="000665B0">
              <w:rPr>
                <w:sz w:val="20"/>
              </w:rPr>
              <w:t>Distribution Service</w:t>
            </w:r>
          </w:p>
        </w:tc>
        <w:tc>
          <w:tcPr>
            <w:tcW w:w="1744" w:type="pct"/>
            <w:noWrap/>
          </w:tcPr>
          <w:p w14:paraId="7A0D8A5E" w14:textId="77777777" w:rsidR="009E7537" w:rsidRPr="000665B0" w:rsidRDefault="009E7537" w:rsidP="005F1DFB">
            <w:pPr>
              <w:spacing w:before="40" w:after="40" w:line="240" w:lineRule="auto"/>
              <w:rPr>
                <w:sz w:val="20"/>
              </w:rPr>
            </w:pPr>
          </w:p>
        </w:tc>
        <w:tc>
          <w:tcPr>
            <w:tcW w:w="2093" w:type="pct"/>
            <w:noWrap/>
          </w:tcPr>
          <w:p w14:paraId="74822AC9" w14:textId="77777777" w:rsidR="009E7537" w:rsidRPr="000665B0" w:rsidRDefault="009E7537" w:rsidP="005F1DFB">
            <w:pPr>
              <w:spacing w:before="40" w:after="40" w:line="240" w:lineRule="auto"/>
              <w:rPr>
                <w:sz w:val="20"/>
              </w:rPr>
            </w:pPr>
          </w:p>
        </w:tc>
      </w:tr>
      <w:tr w:rsidR="009E7537" w:rsidRPr="000665B0" w14:paraId="6AD72A42" w14:textId="77777777" w:rsidTr="007D72B2">
        <w:trPr>
          <w:cantSplit/>
          <w:trHeight w:val="255"/>
        </w:trPr>
        <w:tc>
          <w:tcPr>
            <w:tcW w:w="376" w:type="pct"/>
            <w:noWrap/>
          </w:tcPr>
          <w:p w14:paraId="49101F25" w14:textId="77777777" w:rsidR="009E7537" w:rsidRPr="000665B0" w:rsidRDefault="00C74262" w:rsidP="00C74262">
            <w:pPr>
              <w:spacing w:before="40" w:after="40" w:line="240" w:lineRule="auto"/>
              <w:jc w:val="center"/>
              <w:rPr>
                <w:sz w:val="20"/>
              </w:rPr>
            </w:pPr>
            <w:r w:rsidRPr="000665B0">
              <w:rPr>
                <w:sz w:val="20"/>
              </w:rPr>
              <w:t>138</w:t>
            </w:r>
          </w:p>
        </w:tc>
        <w:tc>
          <w:tcPr>
            <w:tcW w:w="787" w:type="pct"/>
            <w:noWrap/>
          </w:tcPr>
          <w:p w14:paraId="0A87A450" w14:textId="77777777" w:rsidR="009E7537" w:rsidRPr="000665B0" w:rsidRDefault="009E7537" w:rsidP="00F85F07">
            <w:pPr>
              <w:autoSpaceDE w:val="0"/>
              <w:autoSpaceDN w:val="0"/>
              <w:adjustRightInd w:val="0"/>
              <w:spacing w:before="40" w:after="40" w:line="240" w:lineRule="auto"/>
              <w:rPr>
                <w:sz w:val="20"/>
              </w:rPr>
            </w:pPr>
            <w:r w:rsidRPr="000665B0">
              <w:rPr>
                <w:sz w:val="20"/>
              </w:rPr>
              <w:t xml:space="preserve">Failed passing bytes from TSNIF to </w:t>
            </w:r>
            <w:r w:rsidR="002E41AC" w:rsidRPr="000665B0">
              <w:rPr>
                <w:sz w:val="20"/>
              </w:rPr>
              <w:t>Distribution Service</w:t>
            </w:r>
          </w:p>
        </w:tc>
        <w:tc>
          <w:tcPr>
            <w:tcW w:w="1744" w:type="pct"/>
            <w:noWrap/>
          </w:tcPr>
          <w:p w14:paraId="10B74AB0" w14:textId="77777777" w:rsidR="009E7537" w:rsidRPr="000665B0" w:rsidRDefault="009E7537" w:rsidP="005F1DFB">
            <w:pPr>
              <w:spacing w:before="40" w:after="40" w:line="240" w:lineRule="auto"/>
              <w:rPr>
                <w:sz w:val="20"/>
              </w:rPr>
            </w:pPr>
          </w:p>
        </w:tc>
        <w:tc>
          <w:tcPr>
            <w:tcW w:w="2093" w:type="pct"/>
            <w:noWrap/>
          </w:tcPr>
          <w:p w14:paraId="62B8E933" w14:textId="77777777" w:rsidR="009E7537" w:rsidRPr="000665B0" w:rsidRDefault="009E7537" w:rsidP="005F1DFB">
            <w:pPr>
              <w:spacing w:before="40" w:after="40" w:line="240" w:lineRule="auto"/>
              <w:rPr>
                <w:sz w:val="20"/>
              </w:rPr>
            </w:pPr>
          </w:p>
        </w:tc>
      </w:tr>
      <w:tr w:rsidR="009E7537" w:rsidRPr="000665B0" w14:paraId="37BD66D4" w14:textId="77777777" w:rsidTr="007D72B2">
        <w:trPr>
          <w:cantSplit/>
          <w:trHeight w:val="255"/>
        </w:trPr>
        <w:tc>
          <w:tcPr>
            <w:tcW w:w="376" w:type="pct"/>
            <w:noWrap/>
          </w:tcPr>
          <w:p w14:paraId="5B7D12EC" w14:textId="77777777" w:rsidR="009E7537" w:rsidRPr="000665B0" w:rsidRDefault="00C74262" w:rsidP="00C74262">
            <w:pPr>
              <w:spacing w:before="40" w:after="40" w:line="240" w:lineRule="auto"/>
              <w:jc w:val="center"/>
              <w:rPr>
                <w:sz w:val="20"/>
              </w:rPr>
            </w:pPr>
            <w:r w:rsidRPr="000665B0">
              <w:rPr>
                <w:sz w:val="20"/>
              </w:rPr>
              <w:t>139</w:t>
            </w:r>
          </w:p>
        </w:tc>
        <w:tc>
          <w:tcPr>
            <w:tcW w:w="787" w:type="pct"/>
            <w:noWrap/>
          </w:tcPr>
          <w:p w14:paraId="684BC5C4" w14:textId="77777777" w:rsidR="009E7537" w:rsidRPr="000665B0" w:rsidRDefault="009E7537" w:rsidP="00F85F07">
            <w:pPr>
              <w:autoSpaceDE w:val="0"/>
              <w:autoSpaceDN w:val="0"/>
              <w:adjustRightInd w:val="0"/>
              <w:spacing w:before="40" w:after="40" w:line="240" w:lineRule="auto"/>
              <w:rPr>
                <w:sz w:val="20"/>
              </w:rPr>
            </w:pPr>
            <w:r w:rsidRPr="000665B0">
              <w:rPr>
                <w:sz w:val="20"/>
              </w:rPr>
              <w:t>Installer failed to create the '{0}' MSMQ</w:t>
            </w:r>
          </w:p>
        </w:tc>
        <w:tc>
          <w:tcPr>
            <w:tcW w:w="1744" w:type="pct"/>
            <w:noWrap/>
          </w:tcPr>
          <w:p w14:paraId="3DEEEED5" w14:textId="77777777" w:rsidR="009E7537" w:rsidRPr="000665B0" w:rsidRDefault="009E7537" w:rsidP="005F1DFB">
            <w:pPr>
              <w:spacing w:before="40" w:after="40" w:line="240" w:lineRule="auto"/>
              <w:rPr>
                <w:sz w:val="20"/>
              </w:rPr>
            </w:pPr>
          </w:p>
        </w:tc>
        <w:tc>
          <w:tcPr>
            <w:tcW w:w="2093" w:type="pct"/>
            <w:noWrap/>
          </w:tcPr>
          <w:p w14:paraId="124D3A2C" w14:textId="77777777" w:rsidR="009E7537" w:rsidRPr="000665B0" w:rsidRDefault="009E7537" w:rsidP="005F1DFB">
            <w:pPr>
              <w:spacing w:before="40" w:after="40" w:line="240" w:lineRule="auto"/>
              <w:rPr>
                <w:sz w:val="20"/>
              </w:rPr>
            </w:pPr>
          </w:p>
        </w:tc>
      </w:tr>
      <w:tr w:rsidR="009E7537" w:rsidRPr="000665B0" w14:paraId="3AFDA255" w14:textId="77777777" w:rsidTr="007D72B2">
        <w:trPr>
          <w:cantSplit/>
          <w:trHeight w:val="255"/>
        </w:trPr>
        <w:tc>
          <w:tcPr>
            <w:tcW w:w="376" w:type="pct"/>
            <w:noWrap/>
          </w:tcPr>
          <w:p w14:paraId="781E995F" w14:textId="77777777" w:rsidR="009E7537" w:rsidRPr="000665B0" w:rsidRDefault="00C74262" w:rsidP="00C74262">
            <w:pPr>
              <w:spacing w:before="40" w:after="40" w:line="240" w:lineRule="auto"/>
              <w:jc w:val="center"/>
              <w:rPr>
                <w:sz w:val="20"/>
              </w:rPr>
            </w:pPr>
            <w:r w:rsidRPr="000665B0">
              <w:rPr>
                <w:sz w:val="20"/>
              </w:rPr>
              <w:t>140</w:t>
            </w:r>
          </w:p>
        </w:tc>
        <w:tc>
          <w:tcPr>
            <w:tcW w:w="787" w:type="pct"/>
            <w:noWrap/>
          </w:tcPr>
          <w:p w14:paraId="48EEC0DB" w14:textId="77777777" w:rsidR="009E7537" w:rsidRPr="000665B0" w:rsidRDefault="009E7537" w:rsidP="00F85F07">
            <w:pPr>
              <w:autoSpaceDE w:val="0"/>
              <w:autoSpaceDN w:val="0"/>
              <w:adjustRightInd w:val="0"/>
              <w:spacing w:before="40" w:after="40" w:line="240" w:lineRule="auto"/>
              <w:rPr>
                <w:sz w:val="20"/>
              </w:rPr>
            </w:pPr>
            <w:r w:rsidRPr="000665B0">
              <w:rPr>
                <w:sz w:val="20"/>
              </w:rPr>
              <w:t>Failed to initialize TED Server Name for Distribution Agent</w:t>
            </w:r>
          </w:p>
        </w:tc>
        <w:tc>
          <w:tcPr>
            <w:tcW w:w="1744" w:type="pct"/>
            <w:noWrap/>
          </w:tcPr>
          <w:p w14:paraId="0A696867" w14:textId="77777777" w:rsidR="009E7537" w:rsidRPr="000665B0" w:rsidRDefault="009E7537" w:rsidP="005F1DFB">
            <w:pPr>
              <w:spacing w:before="40" w:after="40" w:line="240" w:lineRule="auto"/>
              <w:rPr>
                <w:sz w:val="20"/>
              </w:rPr>
            </w:pPr>
          </w:p>
        </w:tc>
        <w:tc>
          <w:tcPr>
            <w:tcW w:w="2093" w:type="pct"/>
            <w:noWrap/>
          </w:tcPr>
          <w:p w14:paraId="08D6FEE7" w14:textId="77777777" w:rsidR="009E7537" w:rsidRPr="000665B0" w:rsidRDefault="009E7537" w:rsidP="005F1DFB">
            <w:pPr>
              <w:spacing w:before="40" w:after="40" w:line="240" w:lineRule="auto"/>
              <w:rPr>
                <w:sz w:val="20"/>
              </w:rPr>
            </w:pPr>
          </w:p>
        </w:tc>
      </w:tr>
      <w:tr w:rsidR="009E7537" w:rsidRPr="000665B0" w14:paraId="0B4771DB" w14:textId="77777777" w:rsidTr="007D72B2">
        <w:trPr>
          <w:cantSplit/>
          <w:trHeight w:val="255"/>
        </w:trPr>
        <w:tc>
          <w:tcPr>
            <w:tcW w:w="376" w:type="pct"/>
            <w:noWrap/>
          </w:tcPr>
          <w:p w14:paraId="2F497C7C" w14:textId="77777777" w:rsidR="009E7537" w:rsidRPr="000665B0" w:rsidRDefault="00C74262" w:rsidP="005F1DFB">
            <w:pPr>
              <w:spacing w:before="40" w:after="40" w:line="240" w:lineRule="auto"/>
              <w:jc w:val="center"/>
              <w:rPr>
                <w:sz w:val="20"/>
              </w:rPr>
            </w:pPr>
            <w:r w:rsidRPr="000665B0">
              <w:rPr>
                <w:sz w:val="20"/>
              </w:rPr>
              <w:lastRenderedPageBreak/>
              <w:t>141</w:t>
            </w:r>
          </w:p>
        </w:tc>
        <w:tc>
          <w:tcPr>
            <w:tcW w:w="787" w:type="pct"/>
            <w:noWrap/>
          </w:tcPr>
          <w:p w14:paraId="31396036" w14:textId="77777777" w:rsidR="009E7537" w:rsidRPr="000665B0" w:rsidRDefault="009E7537" w:rsidP="00F85F07">
            <w:pPr>
              <w:autoSpaceDE w:val="0"/>
              <w:autoSpaceDN w:val="0"/>
              <w:adjustRightInd w:val="0"/>
              <w:spacing w:before="40" w:after="40" w:line="240" w:lineRule="auto"/>
              <w:rPr>
                <w:sz w:val="20"/>
              </w:rPr>
            </w:pPr>
            <w:r w:rsidRPr="000665B0">
              <w:rPr>
                <w:sz w:val="20"/>
              </w:rPr>
              <w:t>Failed to initialize Alias IP comms for Distribution Agent</w:t>
            </w:r>
          </w:p>
        </w:tc>
        <w:tc>
          <w:tcPr>
            <w:tcW w:w="1744" w:type="pct"/>
            <w:noWrap/>
          </w:tcPr>
          <w:p w14:paraId="012CD62E" w14:textId="77777777" w:rsidR="009E7537" w:rsidRPr="000665B0" w:rsidRDefault="009E7537" w:rsidP="005F1DFB">
            <w:pPr>
              <w:spacing w:before="40" w:after="40" w:line="240" w:lineRule="auto"/>
              <w:rPr>
                <w:sz w:val="20"/>
              </w:rPr>
            </w:pPr>
          </w:p>
        </w:tc>
        <w:tc>
          <w:tcPr>
            <w:tcW w:w="2093" w:type="pct"/>
            <w:noWrap/>
          </w:tcPr>
          <w:p w14:paraId="30215F08" w14:textId="77777777" w:rsidR="009E7537" w:rsidRPr="000665B0" w:rsidRDefault="009E7537" w:rsidP="005F1DFB">
            <w:pPr>
              <w:spacing w:before="40" w:after="40" w:line="240" w:lineRule="auto"/>
              <w:rPr>
                <w:sz w:val="20"/>
              </w:rPr>
            </w:pPr>
          </w:p>
        </w:tc>
      </w:tr>
    </w:tbl>
    <w:p w14:paraId="4EE78329" w14:textId="77777777" w:rsidR="00A90569" w:rsidRPr="000665B0" w:rsidRDefault="00A90569" w:rsidP="002E41AC">
      <w:pPr>
        <w:spacing w:before="120"/>
        <w:jc w:val="center"/>
        <w:rPr>
          <w:b/>
        </w:rPr>
      </w:pPr>
    </w:p>
    <w:p w14:paraId="65B1D81D" w14:textId="77777777" w:rsidR="00A316EA" w:rsidRDefault="00A316EA" w:rsidP="005A42A5">
      <w:pPr>
        <w:spacing w:after="0" w:line="240" w:lineRule="auto"/>
        <w:ind w:left="720"/>
      </w:pPr>
      <w:r>
        <w:br w:type="page"/>
      </w:r>
    </w:p>
    <w:p w14:paraId="385535D2" w14:textId="31AEC96C" w:rsidR="00047829" w:rsidRPr="000665B0" w:rsidRDefault="009319FE" w:rsidP="003604C5">
      <w:pPr>
        <w:pStyle w:val="Appendix"/>
      </w:pPr>
      <w:bookmarkStart w:id="7516" w:name="_Appendix_N_Transition"/>
      <w:bookmarkStart w:id="7517" w:name="_Toc485221807"/>
      <w:bookmarkStart w:id="7518" w:name="_Toc485221808"/>
      <w:bookmarkStart w:id="7519" w:name="_Toc485221809"/>
      <w:bookmarkStart w:id="7520" w:name="_Toc485221810"/>
      <w:bookmarkStart w:id="7521" w:name="_Toc485221811"/>
      <w:bookmarkStart w:id="7522" w:name="_Toc485221812"/>
      <w:bookmarkStart w:id="7523" w:name="_Toc485221813"/>
      <w:bookmarkStart w:id="7524" w:name="_N-1__SYSTEM"/>
      <w:bookmarkStart w:id="7525" w:name="_Toc485221814"/>
      <w:bookmarkStart w:id="7526" w:name="_Toc485221815"/>
      <w:bookmarkStart w:id="7527" w:name="_Toc485221816"/>
      <w:bookmarkStart w:id="7528" w:name="_Toc485221817"/>
      <w:bookmarkStart w:id="7529" w:name="_Toc485221818"/>
      <w:bookmarkStart w:id="7530" w:name="_Toc485221819"/>
      <w:bookmarkStart w:id="7531" w:name="_Toc485221820"/>
      <w:bookmarkStart w:id="7532" w:name="_Toc485221821"/>
      <w:bookmarkStart w:id="7533" w:name="_Toc485221822"/>
      <w:bookmarkStart w:id="7534" w:name="_Toc485221823"/>
      <w:bookmarkStart w:id="7535" w:name="_Toc485221824"/>
      <w:bookmarkStart w:id="7536" w:name="_Toc485221825"/>
      <w:bookmarkStart w:id="7537" w:name="_Toc485221826"/>
      <w:bookmarkStart w:id="7538" w:name="_Toc485221827"/>
      <w:bookmarkStart w:id="7539" w:name="_Toc485221828"/>
      <w:bookmarkStart w:id="7540" w:name="_Toc485221829"/>
      <w:bookmarkStart w:id="7541" w:name="_Toc485221830"/>
      <w:bookmarkStart w:id="7542" w:name="_Toc485221831"/>
      <w:bookmarkStart w:id="7543" w:name="_Toc485221832"/>
      <w:bookmarkStart w:id="7544" w:name="_Toc485221833"/>
      <w:bookmarkStart w:id="7545" w:name="_Toc485221834"/>
      <w:bookmarkStart w:id="7546" w:name="_Toc485221835"/>
      <w:bookmarkStart w:id="7547" w:name="_Toc485221836"/>
      <w:bookmarkStart w:id="7548" w:name="_Toc485221837"/>
      <w:bookmarkStart w:id="7549" w:name="_Toc485221838"/>
      <w:bookmarkStart w:id="7550" w:name="_Toc485221839"/>
      <w:bookmarkStart w:id="7551" w:name="_Toc485221840"/>
      <w:bookmarkStart w:id="7552" w:name="_Toc485221841"/>
      <w:bookmarkStart w:id="7553" w:name="_Toc485221842"/>
      <w:bookmarkStart w:id="7554" w:name="_Toc485221843"/>
      <w:bookmarkStart w:id="7555" w:name="_Toc485221844"/>
      <w:bookmarkStart w:id="7556" w:name="_Toc485221845"/>
      <w:bookmarkStart w:id="7557" w:name="_Toc485221846"/>
      <w:bookmarkStart w:id="7558" w:name="_Toc485221847"/>
      <w:bookmarkStart w:id="7559" w:name="_Toc485221848"/>
      <w:bookmarkStart w:id="7560" w:name="_Toc485221849"/>
      <w:bookmarkStart w:id="7561" w:name="_Toc485221850"/>
      <w:bookmarkStart w:id="7562" w:name="_Toc485221851"/>
      <w:bookmarkStart w:id="7563" w:name="_Toc485221852"/>
      <w:bookmarkStart w:id="7564" w:name="_Toc485221853"/>
      <w:bookmarkStart w:id="7565" w:name="_Toc485221854"/>
      <w:bookmarkStart w:id="7566" w:name="_Toc485221855"/>
      <w:bookmarkStart w:id="7567" w:name="_Toc485221856"/>
      <w:bookmarkStart w:id="7568" w:name="_Toc485221857"/>
      <w:bookmarkStart w:id="7569" w:name="_Toc485221858"/>
      <w:bookmarkStart w:id="7570" w:name="_Toc485221859"/>
      <w:bookmarkStart w:id="7571" w:name="_Toc485221860"/>
      <w:bookmarkStart w:id="7572" w:name="_Toc485221861"/>
      <w:bookmarkStart w:id="7573" w:name="_Toc485221862"/>
      <w:bookmarkStart w:id="7574" w:name="_Toc485221863"/>
      <w:bookmarkStart w:id="7575" w:name="_Toc485221864"/>
      <w:bookmarkStart w:id="7576" w:name="_Toc485221865"/>
      <w:bookmarkStart w:id="7577" w:name="_Toc485221866"/>
      <w:bookmarkStart w:id="7578" w:name="_Toc485221867"/>
      <w:bookmarkStart w:id="7579" w:name="_Toc485221868"/>
      <w:bookmarkStart w:id="7580" w:name="_Toc485221869"/>
      <w:bookmarkStart w:id="7581" w:name="_Toc485221870"/>
      <w:bookmarkStart w:id="7582" w:name="_Toc485221871"/>
      <w:bookmarkStart w:id="7583" w:name="_Toc485221872"/>
      <w:bookmarkStart w:id="7584" w:name="_Toc485221873"/>
      <w:bookmarkStart w:id="7585" w:name="_Toc485221874"/>
      <w:bookmarkStart w:id="7586" w:name="_Toc485221875"/>
      <w:bookmarkStart w:id="7587" w:name="_Toc485221876"/>
      <w:bookmarkStart w:id="7588" w:name="_Toc485221877"/>
      <w:bookmarkStart w:id="7589" w:name="_Toc485221878"/>
      <w:bookmarkStart w:id="7590" w:name="_Toc485221879"/>
      <w:bookmarkStart w:id="7591" w:name="_Toc485221880"/>
      <w:bookmarkStart w:id="7592" w:name="_Toc485221881"/>
      <w:bookmarkStart w:id="7593" w:name="_Toc485221882"/>
      <w:bookmarkStart w:id="7594" w:name="_Toc485221883"/>
      <w:bookmarkStart w:id="7595" w:name="_Toc485221884"/>
      <w:bookmarkStart w:id="7596" w:name="_Toc485221885"/>
      <w:bookmarkStart w:id="7597" w:name="_Toc485221886"/>
      <w:bookmarkStart w:id="7598" w:name="_Toc485221887"/>
      <w:bookmarkStart w:id="7599" w:name="_Toc485221888"/>
      <w:bookmarkStart w:id="7600" w:name="_Toc485221889"/>
      <w:bookmarkStart w:id="7601" w:name="_Toc485221890"/>
      <w:bookmarkStart w:id="7602" w:name="_Toc485221891"/>
      <w:bookmarkStart w:id="7603" w:name="_Toc485221892"/>
      <w:bookmarkStart w:id="7604" w:name="_Toc485221893"/>
      <w:bookmarkStart w:id="7605" w:name="_Toc485221894"/>
      <w:bookmarkStart w:id="7606" w:name="_Toc485221895"/>
      <w:bookmarkStart w:id="7607" w:name="_Toc485221896"/>
      <w:bookmarkStart w:id="7608" w:name="_Toc485221897"/>
      <w:bookmarkStart w:id="7609" w:name="_Toc485221898"/>
      <w:bookmarkStart w:id="7610" w:name="_Toc485221899"/>
      <w:bookmarkStart w:id="7611" w:name="_Toc485221900"/>
      <w:bookmarkStart w:id="7612" w:name="_Toc485221901"/>
      <w:bookmarkStart w:id="7613" w:name="_Toc485221902"/>
      <w:bookmarkStart w:id="7614" w:name="_Toc485221903"/>
      <w:bookmarkStart w:id="7615" w:name="_Toc485221904"/>
      <w:bookmarkStart w:id="7616" w:name="_Toc485221905"/>
      <w:bookmarkStart w:id="7617" w:name="_Toc485221906"/>
      <w:bookmarkStart w:id="7618" w:name="_Toc485221907"/>
      <w:bookmarkStart w:id="7619" w:name="_Toc485221908"/>
      <w:bookmarkStart w:id="7620" w:name="_Toc485221909"/>
      <w:bookmarkStart w:id="7621" w:name="_Toc485221910"/>
      <w:bookmarkStart w:id="7622" w:name="_Toc485221911"/>
      <w:bookmarkStart w:id="7623" w:name="_Toc485221912"/>
      <w:bookmarkStart w:id="7624" w:name="_Toc485221913"/>
      <w:bookmarkStart w:id="7625" w:name="_Toc485221914"/>
      <w:bookmarkStart w:id="7626" w:name="_Toc485221915"/>
      <w:bookmarkStart w:id="7627" w:name="_Toc485221916"/>
      <w:bookmarkStart w:id="7628" w:name="_Toc485221917"/>
      <w:bookmarkStart w:id="7629" w:name="_Toc485221918"/>
      <w:bookmarkStart w:id="7630" w:name="_Toc485221919"/>
      <w:bookmarkStart w:id="7631" w:name="_Toc485221920"/>
      <w:bookmarkStart w:id="7632" w:name="_Toc485221921"/>
      <w:bookmarkStart w:id="7633" w:name="_Toc485221922"/>
      <w:bookmarkStart w:id="7634" w:name="_Toc485221923"/>
      <w:bookmarkStart w:id="7635" w:name="_Toc485221924"/>
      <w:bookmarkStart w:id="7636" w:name="_Toc485221925"/>
      <w:bookmarkStart w:id="7637" w:name="_Toc485221926"/>
      <w:bookmarkStart w:id="7638" w:name="_Toc485221927"/>
      <w:bookmarkStart w:id="7639" w:name="_Toc485221928"/>
      <w:bookmarkStart w:id="7640" w:name="_Toc485221929"/>
      <w:bookmarkStart w:id="7641" w:name="_Toc485221930"/>
      <w:bookmarkStart w:id="7642" w:name="_Toc485221931"/>
      <w:bookmarkStart w:id="7643" w:name="_Toc485221932"/>
      <w:bookmarkStart w:id="7644" w:name="_Toc485221933"/>
      <w:bookmarkStart w:id="7645" w:name="_Toc485221934"/>
      <w:bookmarkStart w:id="7646" w:name="_Toc485221935"/>
      <w:bookmarkStart w:id="7647" w:name="_Toc485221936"/>
      <w:bookmarkStart w:id="7648" w:name="_Toc485221937"/>
      <w:bookmarkStart w:id="7649" w:name="_Toc485221938"/>
      <w:bookmarkStart w:id="7650" w:name="_Toc485221939"/>
      <w:bookmarkStart w:id="7651" w:name="_N-2__TMPC"/>
      <w:bookmarkStart w:id="7652" w:name="_Toc485221940"/>
      <w:bookmarkStart w:id="7653" w:name="_Toc485221941"/>
      <w:bookmarkStart w:id="7654" w:name="_Toc485221942"/>
      <w:bookmarkStart w:id="7655" w:name="_Toc485221943"/>
      <w:bookmarkStart w:id="7656" w:name="_Toc485221944"/>
      <w:bookmarkStart w:id="7657" w:name="_Toc485221945"/>
      <w:bookmarkStart w:id="7658" w:name="_Toc485221946"/>
      <w:bookmarkStart w:id="7659" w:name="_Toc485221947"/>
      <w:bookmarkStart w:id="7660" w:name="_Toc485221948"/>
      <w:bookmarkStart w:id="7661" w:name="_Toc485221949"/>
      <w:bookmarkStart w:id="7662" w:name="_Toc485221950"/>
      <w:bookmarkStart w:id="7663" w:name="_Toc485221951"/>
      <w:bookmarkStart w:id="7664" w:name="_Toc485221952"/>
      <w:bookmarkStart w:id="7665" w:name="_Toc485221953"/>
      <w:bookmarkStart w:id="7666" w:name="_Toc485221954"/>
      <w:bookmarkStart w:id="7667" w:name="_Toc485221955"/>
      <w:bookmarkStart w:id="7668" w:name="_Toc485221956"/>
      <w:bookmarkStart w:id="7669" w:name="_Toc485221957"/>
      <w:bookmarkStart w:id="7670" w:name="_Toc485221958"/>
      <w:bookmarkStart w:id="7671" w:name="_Toc485221959"/>
      <w:bookmarkStart w:id="7672" w:name="_Toc485221960"/>
      <w:bookmarkStart w:id="7673" w:name="_Toc485221961"/>
      <w:bookmarkStart w:id="7674" w:name="_Toc485221962"/>
      <w:bookmarkStart w:id="7675" w:name="_Toc485221963"/>
      <w:bookmarkStart w:id="7676" w:name="_Toc485221964"/>
      <w:bookmarkStart w:id="7677" w:name="_Toc485221965"/>
      <w:bookmarkStart w:id="7678" w:name="_Toc485221966"/>
      <w:bookmarkStart w:id="7679" w:name="_Toc485221967"/>
      <w:bookmarkStart w:id="7680" w:name="_Toc485221968"/>
      <w:bookmarkStart w:id="7681" w:name="_Toc485221969"/>
      <w:bookmarkStart w:id="7682" w:name="_Toc485221970"/>
      <w:bookmarkStart w:id="7683" w:name="_Toc485221971"/>
      <w:bookmarkStart w:id="7684" w:name="_Toc485221972"/>
      <w:bookmarkStart w:id="7685" w:name="_Toc485221973"/>
      <w:bookmarkStart w:id="7686" w:name="_Toc485221974"/>
      <w:bookmarkStart w:id="7687" w:name="_Toc485221975"/>
      <w:bookmarkStart w:id="7688" w:name="_Toc485221976"/>
      <w:bookmarkStart w:id="7689" w:name="_Toc485221977"/>
      <w:bookmarkStart w:id="7690" w:name="_Toc485221978"/>
      <w:bookmarkStart w:id="7691" w:name="_Toc485221979"/>
      <w:bookmarkStart w:id="7692" w:name="_Toc485221980"/>
      <w:bookmarkStart w:id="7693" w:name="_Toc485221981"/>
      <w:bookmarkStart w:id="7694" w:name="_Toc485221982"/>
      <w:bookmarkStart w:id="7695" w:name="_Toc485221983"/>
      <w:bookmarkStart w:id="7696" w:name="_Toc485221984"/>
      <w:bookmarkStart w:id="7697" w:name="_Toc485221985"/>
      <w:bookmarkStart w:id="7698" w:name="_Toc485221986"/>
      <w:bookmarkStart w:id="7699" w:name="_Toc485221987"/>
      <w:bookmarkStart w:id="7700" w:name="_Toc485221988"/>
      <w:bookmarkStart w:id="7701" w:name="_Toc485221989"/>
      <w:bookmarkStart w:id="7702" w:name="_Toc485221990"/>
      <w:bookmarkStart w:id="7703" w:name="_Toc485221991"/>
      <w:bookmarkStart w:id="7704" w:name="_Toc485221992"/>
      <w:bookmarkStart w:id="7705" w:name="_Toc485221993"/>
      <w:bookmarkStart w:id="7706" w:name="_Toc485221994"/>
      <w:bookmarkStart w:id="7707" w:name="_Toc485221995"/>
      <w:bookmarkStart w:id="7708" w:name="_Toc485221996"/>
      <w:bookmarkStart w:id="7709" w:name="_Toc485221997"/>
      <w:bookmarkStart w:id="7710" w:name="_Toc485221998"/>
      <w:bookmarkStart w:id="7711" w:name="_Toc485221999"/>
      <w:bookmarkStart w:id="7712" w:name="_Toc485222000"/>
      <w:bookmarkStart w:id="7713" w:name="_Toc485222001"/>
      <w:bookmarkStart w:id="7714" w:name="_Toc485222002"/>
      <w:bookmarkStart w:id="7715" w:name="_Toc485222003"/>
      <w:bookmarkStart w:id="7716" w:name="_Toc485222004"/>
      <w:bookmarkStart w:id="7717" w:name="_Toc485222005"/>
      <w:bookmarkStart w:id="7718" w:name="_Toc485222006"/>
      <w:bookmarkStart w:id="7719" w:name="_Toc485222007"/>
      <w:bookmarkStart w:id="7720" w:name="_Toc485222008"/>
      <w:bookmarkStart w:id="7721" w:name="_Toc485222009"/>
      <w:bookmarkStart w:id="7722" w:name="_Toc485222010"/>
      <w:bookmarkStart w:id="7723" w:name="_Toc485222011"/>
      <w:bookmarkStart w:id="7724" w:name="_Toc485222012"/>
      <w:bookmarkStart w:id="7725" w:name="_Toc485222013"/>
      <w:bookmarkStart w:id="7726" w:name="_Toc485222014"/>
      <w:bookmarkStart w:id="7727" w:name="_Toc485222015"/>
      <w:bookmarkStart w:id="7728" w:name="_Toc485222016"/>
      <w:bookmarkStart w:id="7729" w:name="_Toc485222017"/>
      <w:bookmarkStart w:id="7730" w:name="_Toc485222018"/>
      <w:bookmarkStart w:id="7731" w:name="_Toc485222019"/>
      <w:bookmarkStart w:id="7732" w:name="_Toc485222020"/>
      <w:bookmarkStart w:id="7733" w:name="_Toc485222021"/>
      <w:bookmarkStart w:id="7734" w:name="_Toc485222022"/>
      <w:bookmarkStart w:id="7735" w:name="_Toc485222023"/>
      <w:bookmarkStart w:id="7736" w:name="_Toc485222024"/>
      <w:bookmarkStart w:id="7737" w:name="_Toc485222025"/>
      <w:bookmarkStart w:id="7738" w:name="_Toc485222026"/>
      <w:bookmarkStart w:id="7739" w:name="_Toc485222027"/>
      <w:bookmarkStart w:id="7740" w:name="_Toc485222028"/>
      <w:bookmarkStart w:id="7741" w:name="_Toc485222029"/>
      <w:bookmarkStart w:id="7742" w:name="_Toc485222030"/>
      <w:bookmarkStart w:id="7743" w:name="_Toc485222031"/>
      <w:bookmarkStart w:id="7744" w:name="_Toc485222032"/>
      <w:bookmarkStart w:id="7745" w:name="_Toc485222033"/>
      <w:bookmarkStart w:id="7746" w:name="_Toc485222034"/>
      <w:bookmarkStart w:id="7747" w:name="_Toc485222035"/>
      <w:bookmarkStart w:id="7748" w:name="_Toc485222036"/>
      <w:bookmarkStart w:id="7749" w:name="_Toc485222037"/>
      <w:bookmarkStart w:id="7750" w:name="_Toc485222038"/>
      <w:bookmarkStart w:id="7751" w:name="_Toc485222039"/>
      <w:bookmarkStart w:id="7752" w:name="_Toc485222040"/>
      <w:bookmarkStart w:id="7753" w:name="_Toc485222041"/>
      <w:bookmarkStart w:id="7754" w:name="_Toc485222042"/>
      <w:bookmarkStart w:id="7755" w:name="_Toc485222043"/>
      <w:bookmarkStart w:id="7756" w:name="_Toc485222044"/>
      <w:bookmarkStart w:id="7757" w:name="_Toc485222045"/>
      <w:bookmarkStart w:id="7758" w:name="_Toc485222046"/>
      <w:bookmarkStart w:id="7759" w:name="_Toc485222047"/>
      <w:bookmarkStart w:id="7760" w:name="_Toc485222048"/>
      <w:bookmarkStart w:id="7761" w:name="_Toc485222049"/>
      <w:bookmarkStart w:id="7762" w:name="_Toc485222050"/>
      <w:bookmarkStart w:id="7763" w:name="_Toc485222051"/>
      <w:bookmarkStart w:id="7764" w:name="_Toc485222052"/>
      <w:bookmarkStart w:id="7765" w:name="_Toc485222053"/>
      <w:bookmarkStart w:id="7766" w:name="_Toc485222054"/>
      <w:bookmarkStart w:id="7767" w:name="_Toc485222055"/>
      <w:bookmarkStart w:id="7768" w:name="_Toc485222056"/>
      <w:bookmarkStart w:id="7769" w:name="_Toc485222057"/>
      <w:bookmarkStart w:id="7770" w:name="_Toc485222058"/>
      <w:bookmarkStart w:id="7771" w:name="_Toc485222059"/>
      <w:bookmarkStart w:id="7772" w:name="_Toc485222060"/>
      <w:bookmarkStart w:id="7773" w:name="_Toc485222061"/>
      <w:bookmarkStart w:id="7774" w:name="_Toc485222062"/>
      <w:bookmarkStart w:id="7775" w:name="_Toc485222063"/>
      <w:bookmarkStart w:id="7776" w:name="_Toc485222064"/>
      <w:bookmarkStart w:id="7777" w:name="_Toc485222065"/>
      <w:bookmarkStart w:id="7778" w:name="_Toc485222066"/>
      <w:bookmarkStart w:id="7779" w:name="_Toc485222067"/>
      <w:bookmarkStart w:id="7780" w:name="_Toc485222068"/>
      <w:bookmarkStart w:id="7781" w:name="_Toc485222069"/>
      <w:bookmarkStart w:id="7782" w:name="_Toc485222070"/>
      <w:bookmarkStart w:id="7783" w:name="_Toc485222071"/>
      <w:bookmarkStart w:id="7784" w:name="_Toc485222072"/>
      <w:bookmarkStart w:id="7785" w:name="_Toc485222073"/>
      <w:bookmarkStart w:id="7786" w:name="_Toc485222074"/>
      <w:bookmarkStart w:id="7787" w:name="_Toc485222075"/>
      <w:bookmarkStart w:id="7788" w:name="_Toc485222076"/>
      <w:bookmarkStart w:id="7789" w:name="_Toc485222077"/>
      <w:bookmarkStart w:id="7790" w:name="_Toc485222078"/>
      <w:bookmarkStart w:id="7791" w:name="_Toc485222079"/>
      <w:bookmarkStart w:id="7792" w:name="_Toc485222080"/>
      <w:bookmarkStart w:id="7793" w:name="_Toc485222081"/>
      <w:bookmarkStart w:id="7794" w:name="_Toc485222082"/>
      <w:bookmarkStart w:id="7795" w:name="_Toc485222083"/>
      <w:bookmarkStart w:id="7796" w:name="_Toc485222084"/>
      <w:bookmarkStart w:id="7797" w:name="_Toc485222085"/>
      <w:bookmarkStart w:id="7798" w:name="_Toc485222086"/>
      <w:bookmarkStart w:id="7799" w:name="_Toc485222087"/>
      <w:bookmarkStart w:id="7800" w:name="_Toc485222088"/>
      <w:bookmarkStart w:id="7801" w:name="_Toc485222089"/>
      <w:bookmarkStart w:id="7802" w:name="_Toc485222117"/>
      <w:bookmarkStart w:id="7803" w:name="_Toc485222118"/>
      <w:bookmarkStart w:id="7804" w:name="_Toc485222119"/>
      <w:bookmarkStart w:id="7805" w:name="_Toc485222120"/>
      <w:bookmarkStart w:id="7806" w:name="_Toc485222121"/>
      <w:bookmarkStart w:id="7807" w:name="_Toc485222122"/>
      <w:bookmarkStart w:id="7808" w:name="_Toc485222123"/>
      <w:bookmarkStart w:id="7809" w:name="_Toc485222124"/>
      <w:bookmarkStart w:id="7810" w:name="_Toc485222125"/>
      <w:bookmarkStart w:id="7811" w:name="_Toc485222126"/>
      <w:bookmarkStart w:id="7812" w:name="_Toc485222127"/>
      <w:bookmarkStart w:id="7813" w:name="_Toc485222128"/>
      <w:bookmarkStart w:id="7814" w:name="_Toc485222129"/>
      <w:bookmarkStart w:id="7815" w:name="_Toc485222130"/>
      <w:bookmarkStart w:id="7816" w:name="_Toc485222131"/>
      <w:bookmarkStart w:id="7817" w:name="_Toc485222132"/>
      <w:bookmarkStart w:id="7818" w:name="_Toc485222133"/>
      <w:bookmarkStart w:id="7819" w:name="_Toc485222134"/>
      <w:bookmarkStart w:id="7820" w:name="_Toc485222135"/>
      <w:bookmarkStart w:id="7821" w:name="_Toc485222136"/>
      <w:bookmarkStart w:id="7822" w:name="_Toc485222137"/>
      <w:bookmarkStart w:id="7823" w:name="_Toc485222138"/>
      <w:bookmarkStart w:id="7824" w:name="_Toc485222139"/>
      <w:bookmarkStart w:id="7825" w:name="_Toc485222140"/>
      <w:bookmarkStart w:id="7826" w:name="_Toc485222141"/>
      <w:bookmarkStart w:id="7827" w:name="_Toc485222142"/>
      <w:bookmarkStart w:id="7828" w:name="_Toc485222143"/>
      <w:bookmarkStart w:id="7829" w:name="_Toc485222144"/>
      <w:bookmarkStart w:id="7830" w:name="_Toc485222145"/>
      <w:bookmarkStart w:id="7831" w:name="_Toc485222146"/>
      <w:bookmarkStart w:id="7832" w:name="_Toc485222147"/>
      <w:bookmarkStart w:id="7833" w:name="_Toc485222148"/>
      <w:bookmarkStart w:id="7834" w:name="_Toc485222149"/>
      <w:bookmarkStart w:id="7835" w:name="_Toc485222150"/>
      <w:bookmarkStart w:id="7836" w:name="_Toc485222151"/>
      <w:bookmarkStart w:id="7837" w:name="_Toc485222152"/>
      <w:bookmarkStart w:id="7838" w:name="_Toc485222153"/>
      <w:bookmarkStart w:id="7839" w:name="_Toc485222154"/>
      <w:bookmarkStart w:id="7840" w:name="_Toc485222155"/>
      <w:bookmarkStart w:id="7841" w:name="_Toc485222156"/>
      <w:bookmarkStart w:id="7842" w:name="_Toc485222157"/>
      <w:bookmarkStart w:id="7843" w:name="_Toc485222158"/>
      <w:bookmarkStart w:id="7844" w:name="_Toc485222159"/>
      <w:bookmarkStart w:id="7845" w:name="_Toc485222160"/>
      <w:bookmarkStart w:id="7846" w:name="_Toc485222161"/>
      <w:bookmarkStart w:id="7847" w:name="_Toc485222162"/>
      <w:bookmarkStart w:id="7848" w:name="_Toc485222163"/>
      <w:bookmarkStart w:id="7849" w:name="_Toc485222164"/>
      <w:bookmarkStart w:id="7850" w:name="_Toc485222165"/>
      <w:bookmarkStart w:id="7851" w:name="_Toc485222166"/>
      <w:bookmarkStart w:id="7852" w:name="_Toc485222167"/>
      <w:bookmarkStart w:id="7853" w:name="_Toc485222168"/>
      <w:bookmarkStart w:id="7854" w:name="_Toc485222169"/>
      <w:bookmarkStart w:id="7855" w:name="_Toc485222170"/>
      <w:bookmarkStart w:id="7856" w:name="_Toc485222171"/>
      <w:bookmarkStart w:id="7857" w:name="_Toc485222172"/>
      <w:bookmarkStart w:id="7858" w:name="_Toc485222173"/>
      <w:bookmarkStart w:id="7859" w:name="_Toc485222174"/>
      <w:bookmarkStart w:id="7860" w:name="_Toc485222175"/>
      <w:bookmarkStart w:id="7861" w:name="_Toc485222194"/>
      <w:bookmarkStart w:id="7862" w:name="_Toc485222195"/>
      <w:bookmarkStart w:id="7863" w:name="_Toc485222196"/>
      <w:bookmarkStart w:id="7864" w:name="_Toc485222197"/>
      <w:bookmarkStart w:id="7865" w:name="_Toc485222198"/>
      <w:bookmarkStart w:id="7866" w:name="_Toc485222199"/>
      <w:bookmarkStart w:id="7867" w:name="_Toc485222200"/>
      <w:bookmarkStart w:id="7868" w:name="_Toc485222201"/>
      <w:bookmarkStart w:id="7869" w:name="_Toc485222202"/>
      <w:bookmarkStart w:id="7870" w:name="_Toc485222203"/>
      <w:bookmarkStart w:id="7871" w:name="_Toc485222204"/>
      <w:bookmarkStart w:id="7872" w:name="_Toc485222205"/>
      <w:bookmarkStart w:id="7873" w:name="_Toc485222206"/>
      <w:bookmarkStart w:id="7874" w:name="_Toc485222207"/>
      <w:bookmarkStart w:id="7875" w:name="_Toc485222208"/>
      <w:bookmarkStart w:id="7876" w:name="_Toc485222209"/>
      <w:bookmarkStart w:id="7877" w:name="_Toc485222210"/>
      <w:bookmarkStart w:id="7878" w:name="_Toc485222211"/>
      <w:bookmarkStart w:id="7879" w:name="_Toc485222212"/>
      <w:bookmarkStart w:id="7880" w:name="_Toc485222213"/>
      <w:bookmarkStart w:id="7881" w:name="_Toc485222214"/>
      <w:bookmarkStart w:id="7882" w:name="_Toc485222215"/>
      <w:bookmarkStart w:id="7883" w:name="_Toc485222216"/>
      <w:bookmarkStart w:id="7884" w:name="_Toc485222217"/>
      <w:bookmarkStart w:id="7885" w:name="_Toc485222218"/>
      <w:bookmarkStart w:id="7886" w:name="_Toc485222219"/>
      <w:bookmarkStart w:id="7887" w:name="_Toc485222220"/>
      <w:bookmarkStart w:id="7888" w:name="_Toc485222221"/>
      <w:bookmarkStart w:id="7889" w:name="_Toc485222222"/>
      <w:bookmarkStart w:id="7890" w:name="_Toc485222223"/>
      <w:bookmarkStart w:id="7891" w:name="_Toc485222224"/>
      <w:bookmarkStart w:id="7892" w:name="_Toc485222225"/>
      <w:bookmarkStart w:id="7893" w:name="_Toc485222226"/>
      <w:bookmarkStart w:id="7894" w:name="_Toc485222227"/>
      <w:bookmarkStart w:id="7895" w:name="_Toc485222228"/>
      <w:bookmarkStart w:id="7896" w:name="_Toc485222229"/>
      <w:bookmarkStart w:id="7897" w:name="_Toc485222230"/>
      <w:bookmarkStart w:id="7898" w:name="_Toc485222231"/>
      <w:bookmarkStart w:id="7899" w:name="_Toc485222232"/>
      <w:bookmarkStart w:id="7900" w:name="_Toc485222233"/>
      <w:bookmarkStart w:id="7901" w:name="_Toc485222234"/>
      <w:bookmarkStart w:id="7902" w:name="_Toc485222235"/>
      <w:bookmarkStart w:id="7903" w:name="_Toc485222236"/>
      <w:bookmarkStart w:id="7904" w:name="_Toc485222237"/>
      <w:bookmarkStart w:id="7905" w:name="_Toc485222238"/>
      <w:bookmarkStart w:id="7906" w:name="_Toc485222239"/>
      <w:bookmarkStart w:id="7907" w:name="_Toc485222240"/>
      <w:bookmarkStart w:id="7908" w:name="_Toc485222241"/>
      <w:bookmarkStart w:id="7909" w:name="_Toc485222242"/>
      <w:bookmarkStart w:id="7910" w:name="_Toc485222243"/>
      <w:bookmarkStart w:id="7911" w:name="_Toc485222244"/>
      <w:bookmarkStart w:id="7912" w:name="_Toc485222245"/>
      <w:bookmarkStart w:id="7913" w:name="_Toc485222246"/>
      <w:bookmarkStart w:id="7914" w:name="_Toc485222247"/>
      <w:bookmarkStart w:id="7915" w:name="_Toc485222248"/>
      <w:bookmarkStart w:id="7916" w:name="_Toc485222249"/>
      <w:bookmarkStart w:id="7917" w:name="_Toc485222250"/>
      <w:bookmarkStart w:id="7918" w:name="_Toc485222251"/>
      <w:bookmarkStart w:id="7919" w:name="_Toc485222252"/>
      <w:bookmarkStart w:id="7920" w:name="_Toc485222253"/>
      <w:bookmarkStart w:id="7921" w:name="_Toc485222254"/>
      <w:bookmarkStart w:id="7922" w:name="_Toc485222255"/>
      <w:bookmarkStart w:id="7923" w:name="_Toc485222256"/>
      <w:bookmarkStart w:id="7924" w:name="_Toc485222257"/>
      <w:bookmarkStart w:id="7925" w:name="_Toc485222258"/>
      <w:bookmarkStart w:id="7926" w:name="_Toc485222259"/>
      <w:bookmarkStart w:id="7927" w:name="_Toc485222260"/>
      <w:bookmarkStart w:id="7928" w:name="_Toc485222261"/>
      <w:bookmarkStart w:id="7929" w:name="_Toc485222262"/>
      <w:bookmarkStart w:id="7930" w:name="_Toc485222263"/>
      <w:bookmarkStart w:id="7931" w:name="_Toc485222264"/>
      <w:bookmarkStart w:id="7932" w:name="_Toc485222265"/>
      <w:bookmarkStart w:id="7933" w:name="_Toc485222266"/>
      <w:bookmarkStart w:id="7934" w:name="_Toc485222267"/>
      <w:bookmarkStart w:id="7935" w:name="_Toc485222268"/>
      <w:bookmarkStart w:id="7936" w:name="_Toc485222269"/>
      <w:bookmarkStart w:id="7937" w:name="_Toc485222270"/>
      <w:bookmarkStart w:id="7938" w:name="_Toc485222271"/>
      <w:bookmarkStart w:id="7939" w:name="_Toc485222272"/>
      <w:bookmarkStart w:id="7940" w:name="_Toc485222273"/>
      <w:bookmarkStart w:id="7941" w:name="_Toc485222274"/>
      <w:bookmarkStart w:id="7942" w:name="_Toc485222275"/>
      <w:bookmarkStart w:id="7943" w:name="_Toc485222276"/>
      <w:bookmarkStart w:id="7944" w:name="_Toc485222301"/>
      <w:bookmarkStart w:id="7945" w:name="_Toc485222302"/>
      <w:bookmarkStart w:id="7946" w:name="_Toc485222303"/>
      <w:bookmarkStart w:id="7947" w:name="_Toc485222304"/>
      <w:bookmarkStart w:id="7948" w:name="_Toc485222305"/>
      <w:bookmarkStart w:id="7949" w:name="_Toc485222306"/>
      <w:bookmarkStart w:id="7950" w:name="_Toc485222307"/>
      <w:bookmarkStart w:id="7951" w:name="_Toc485222308"/>
      <w:bookmarkStart w:id="7952" w:name="_Toc485222309"/>
      <w:bookmarkStart w:id="7953" w:name="_Toc485222310"/>
      <w:bookmarkStart w:id="7954" w:name="_Toc485222311"/>
      <w:bookmarkStart w:id="7955" w:name="_Toc485222312"/>
      <w:bookmarkStart w:id="7956" w:name="_Toc485222313"/>
      <w:bookmarkStart w:id="7957" w:name="_Toc485222314"/>
      <w:bookmarkStart w:id="7958" w:name="_Toc485222315"/>
      <w:bookmarkStart w:id="7959" w:name="_Toc485222316"/>
      <w:bookmarkStart w:id="7960" w:name="_Toc485222317"/>
      <w:bookmarkStart w:id="7961" w:name="_Toc485222318"/>
      <w:bookmarkStart w:id="7962" w:name="_Toc485222319"/>
      <w:bookmarkStart w:id="7963" w:name="_Toc485222320"/>
      <w:bookmarkStart w:id="7964" w:name="_Toc485222321"/>
      <w:bookmarkStart w:id="7965" w:name="_Toc485222322"/>
      <w:bookmarkStart w:id="7966" w:name="_Toc485222323"/>
      <w:bookmarkStart w:id="7967" w:name="_Toc485222324"/>
      <w:bookmarkStart w:id="7968" w:name="_Toc485222325"/>
      <w:bookmarkStart w:id="7969" w:name="_Toc485222326"/>
      <w:bookmarkStart w:id="7970" w:name="_Toc485222327"/>
      <w:bookmarkStart w:id="7971" w:name="_Toc485222328"/>
      <w:bookmarkStart w:id="7972" w:name="_Toc485222329"/>
      <w:bookmarkStart w:id="7973" w:name="_Toc485222330"/>
      <w:bookmarkStart w:id="7974" w:name="_Toc485222331"/>
      <w:bookmarkStart w:id="7975" w:name="_Toc485222332"/>
      <w:bookmarkStart w:id="7976" w:name="_Toc485222333"/>
      <w:bookmarkStart w:id="7977" w:name="_Toc485222334"/>
      <w:bookmarkStart w:id="7978" w:name="_Toc485222335"/>
      <w:bookmarkStart w:id="7979" w:name="_Toc485222336"/>
      <w:bookmarkStart w:id="7980" w:name="_Toc485222337"/>
      <w:bookmarkStart w:id="7981" w:name="_Toc485222338"/>
      <w:bookmarkStart w:id="7982" w:name="_N-3.10__Verify"/>
      <w:bookmarkStart w:id="7983" w:name="_Toc485222339"/>
      <w:bookmarkStart w:id="7984" w:name="_Toc485222340"/>
      <w:bookmarkStart w:id="7985" w:name="_Toc485222341"/>
      <w:bookmarkStart w:id="7986" w:name="_Toc485222342"/>
      <w:bookmarkStart w:id="7987" w:name="_Toc485222343"/>
      <w:bookmarkStart w:id="7988" w:name="_Toc485222344"/>
      <w:bookmarkStart w:id="7989" w:name="_Toc485222345"/>
      <w:bookmarkStart w:id="7990" w:name="_Toc485222346"/>
      <w:bookmarkStart w:id="7991" w:name="_Toc485222347"/>
      <w:bookmarkStart w:id="7992" w:name="_Toc485222348"/>
      <w:bookmarkStart w:id="7993" w:name="_Toc485222349"/>
      <w:bookmarkStart w:id="7994" w:name="_Toc485222350"/>
      <w:bookmarkStart w:id="7995" w:name="_Toc485222351"/>
      <w:bookmarkStart w:id="7996" w:name="_Toc485222352"/>
      <w:bookmarkStart w:id="7997" w:name="_Toc485222353"/>
      <w:bookmarkStart w:id="7998" w:name="_Toc485222354"/>
      <w:bookmarkStart w:id="7999" w:name="_Toc485222355"/>
      <w:bookmarkStart w:id="8000" w:name="_Toc485222356"/>
      <w:bookmarkStart w:id="8001" w:name="_Toc485222357"/>
      <w:bookmarkStart w:id="8002" w:name="_Toc485222358"/>
      <w:bookmarkStart w:id="8003" w:name="_Toc485222359"/>
      <w:bookmarkStart w:id="8004" w:name="_Toc485222360"/>
      <w:bookmarkStart w:id="8005" w:name="_Toc485222361"/>
      <w:bookmarkStart w:id="8006" w:name="_Toc485222362"/>
      <w:bookmarkStart w:id="8007" w:name="_N-4__DATABASE"/>
      <w:bookmarkStart w:id="8008" w:name="_Toc485222363"/>
      <w:bookmarkStart w:id="8009" w:name="_Toc485222364"/>
      <w:bookmarkStart w:id="8010" w:name="_Toc485222365"/>
      <w:bookmarkStart w:id="8011" w:name="_Toc485222366"/>
      <w:bookmarkStart w:id="8012" w:name="_Toc485222367"/>
      <w:bookmarkStart w:id="8013" w:name="_Toc485222368"/>
      <w:bookmarkStart w:id="8014" w:name="_Toc485222369"/>
      <w:bookmarkStart w:id="8015" w:name="_Toc485222370"/>
      <w:bookmarkStart w:id="8016" w:name="_Toc485222371"/>
      <w:bookmarkStart w:id="8017" w:name="_Toc485222372"/>
      <w:bookmarkStart w:id="8018" w:name="_Toc485222373"/>
      <w:bookmarkStart w:id="8019" w:name="_Toc485222374"/>
      <w:bookmarkStart w:id="8020" w:name="_Toc485222375"/>
      <w:bookmarkStart w:id="8021" w:name="_Toc485222376"/>
      <w:bookmarkStart w:id="8022" w:name="_Toc485222377"/>
      <w:bookmarkStart w:id="8023" w:name="_Toc485222378"/>
      <w:bookmarkStart w:id="8024" w:name="_Toc485222379"/>
      <w:bookmarkStart w:id="8025" w:name="_Toc485222380"/>
      <w:bookmarkStart w:id="8026" w:name="_Toc485222381"/>
      <w:bookmarkStart w:id="8027" w:name="_Toc485222382"/>
      <w:bookmarkStart w:id="8028" w:name="_Toc485222383"/>
      <w:bookmarkStart w:id="8029" w:name="_Toc485222384"/>
      <w:bookmarkStart w:id="8030" w:name="_Toc485222385"/>
      <w:bookmarkStart w:id="8031" w:name="_Toc485222386"/>
      <w:bookmarkStart w:id="8032" w:name="_Toc485222387"/>
      <w:bookmarkStart w:id="8033" w:name="_Toc485222388"/>
      <w:bookmarkStart w:id="8034" w:name="_Toc485222389"/>
      <w:bookmarkStart w:id="8035" w:name="_Toc485222390"/>
      <w:bookmarkStart w:id="8036" w:name="_Toc485222391"/>
      <w:bookmarkStart w:id="8037" w:name="_Toc485222392"/>
      <w:bookmarkStart w:id="8038" w:name="_Toc485222393"/>
      <w:bookmarkStart w:id="8039" w:name="_Toc485222394"/>
      <w:bookmarkStart w:id="8040" w:name="_Toc485222395"/>
      <w:bookmarkStart w:id="8041" w:name="_Toc485222396"/>
      <w:bookmarkStart w:id="8042" w:name="_Toc485222397"/>
      <w:bookmarkStart w:id="8043" w:name="_Toc485222398"/>
      <w:bookmarkStart w:id="8044" w:name="_Toc485222399"/>
      <w:bookmarkStart w:id="8045" w:name="_Appendix_P_Strike"/>
      <w:bookmarkStart w:id="8046" w:name="_Appendix_O_Strike"/>
      <w:bookmarkStart w:id="8047" w:name="_APPENDIX_O_"/>
      <w:bookmarkStart w:id="8048" w:name="_Toc289329093"/>
      <w:bookmarkStart w:id="8049" w:name="_Toc312332202"/>
      <w:bookmarkStart w:id="8050" w:name="_Hlk43292854"/>
      <w:bookmarkEnd w:id="7513"/>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bookmarkEnd w:id="7538"/>
      <w:bookmarkEnd w:id="7539"/>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bookmarkEnd w:id="7561"/>
      <w:bookmarkEnd w:id="7562"/>
      <w:bookmarkEnd w:id="7563"/>
      <w:bookmarkEnd w:id="7564"/>
      <w:bookmarkEnd w:id="7565"/>
      <w:bookmarkEnd w:id="7566"/>
      <w:bookmarkEnd w:id="7567"/>
      <w:bookmarkEnd w:id="7568"/>
      <w:bookmarkEnd w:id="7569"/>
      <w:bookmarkEnd w:id="7570"/>
      <w:bookmarkEnd w:id="7571"/>
      <w:bookmarkEnd w:id="7572"/>
      <w:bookmarkEnd w:id="7573"/>
      <w:bookmarkEnd w:id="7574"/>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bookmarkEnd w:id="7608"/>
      <w:bookmarkEnd w:id="7609"/>
      <w:bookmarkEnd w:id="7610"/>
      <w:bookmarkEnd w:id="7611"/>
      <w:bookmarkEnd w:id="7612"/>
      <w:bookmarkEnd w:id="7613"/>
      <w:bookmarkEnd w:id="7614"/>
      <w:bookmarkEnd w:id="7615"/>
      <w:bookmarkEnd w:id="7616"/>
      <w:bookmarkEnd w:id="7617"/>
      <w:bookmarkEnd w:id="7618"/>
      <w:bookmarkEnd w:id="7619"/>
      <w:bookmarkEnd w:id="7620"/>
      <w:bookmarkEnd w:id="7621"/>
      <w:bookmarkEnd w:id="7622"/>
      <w:bookmarkEnd w:id="7623"/>
      <w:bookmarkEnd w:id="7624"/>
      <w:bookmarkEnd w:id="7625"/>
      <w:bookmarkEnd w:id="7626"/>
      <w:bookmarkEnd w:id="7627"/>
      <w:bookmarkEnd w:id="7628"/>
      <w:bookmarkEnd w:id="7629"/>
      <w:bookmarkEnd w:id="7630"/>
      <w:bookmarkEnd w:id="7631"/>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bookmarkEnd w:id="7650"/>
      <w:bookmarkEnd w:id="7651"/>
      <w:bookmarkEnd w:id="7652"/>
      <w:bookmarkEnd w:id="7653"/>
      <w:bookmarkEnd w:id="7654"/>
      <w:bookmarkEnd w:id="7655"/>
      <w:bookmarkEnd w:id="7656"/>
      <w:bookmarkEnd w:id="7657"/>
      <w:bookmarkEnd w:id="7658"/>
      <w:bookmarkEnd w:id="7659"/>
      <w:bookmarkEnd w:id="7660"/>
      <w:bookmarkEnd w:id="7661"/>
      <w:bookmarkEnd w:id="7662"/>
      <w:bookmarkEnd w:id="7663"/>
      <w:bookmarkEnd w:id="7664"/>
      <w:bookmarkEnd w:id="7665"/>
      <w:bookmarkEnd w:id="7666"/>
      <w:bookmarkEnd w:id="7667"/>
      <w:bookmarkEnd w:id="7668"/>
      <w:bookmarkEnd w:id="7669"/>
      <w:bookmarkEnd w:id="7670"/>
      <w:bookmarkEnd w:id="7671"/>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bookmarkEnd w:id="7686"/>
      <w:bookmarkEnd w:id="7687"/>
      <w:bookmarkEnd w:id="7688"/>
      <w:bookmarkEnd w:id="7689"/>
      <w:bookmarkEnd w:id="7690"/>
      <w:bookmarkEnd w:id="7691"/>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bookmarkEnd w:id="7707"/>
      <w:bookmarkEnd w:id="7708"/>
      <w:bookmarkEnd w:id="7709"/>
      <w:bookmarkEnd w:id="7710"/>
      <w:bookmarkEnd w:id="7711"/>
      <w:bookmarkEnd w:id="7712"/>
      <w:bookmarkEnd w:id="7713"/>
      <w:bookmarkEnd w:id="7714"/>
      <w:bookmarkEnd w:id="7715"/>
      <w:bookmarkEnd w:id="7716"/>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bookmarkEnd w:id="7731"/>
      <w:bookmarkEnd w:id="7732"/>
      <w:bookmarkEnd w:id="7733"/>
      <w:bookmarkEnd w:id="7734"/>
      <w:bookmarkEnd w:id="7735"/>
      <w:bookmarkEnd w:id="7736"/>
      <w:bookmarkEnd w:id="7737"/>
      <w:bookmarkEnd w:id="7738"/>
      <w:bookmarkEnd w:id="7739"/>
      <w:bookmarkEnd w:id="7740"/>
      <w:bookmarkEnd w:id="7741"/>
      <w:bookmarkEnd w:id="7742"/>
      <w:bookmarkEnd w:id="7743"/>
      <w:bookmarkEnd w:id="7744"/>
      <w:bookmarkEnd w:id="7745"/>
      <w:bookmarkEnd w:id="7746"/>
      <w:bookmarkEnd w:id="7747"/>
      <w:bookmarkEnd w:id="7748"/>
      <w:bookmarkEnd w:id="7749"/>
      <w:bookmarkEnd w:id="7750"/>
      <w:bookmarkEnd w:id="7751"/>
      <w:bookmarkEnd w:id="7752"/>
      <w:bookmarkEnd w:id="7753"/>
      <w:bookmarkEnd w:id="7754"/>
      <w:bookmarkEnd w:id="7755"/>
      <w:bookmarkEnd w:id="7756"/>
      <w:bookmarkEnd w:id="7757"/>
      <w:bookmarkEnd w:id="7758"/>
      <w:bookmarkEnd w:id="7759"/>
      <w:bookmarkEnd w:id="7760"/>
      <w:bookmarkEnd w:id="7761"/>
      <w:bookmarkEnd w:id="7762"/>
      <w:bookmarkEnd w:id="7763"/>
      <w:bookmarkEnd w:id="7764"/>
      <w:bookmarkEnd w:id="7765"/>
      <w:bookmarkEnd w:id="7766"/>
      <w:bookmarkEnd w:id="7767"/>
      <w:bookmarkEnd w:id="7768"/>
      <w:bookmarkEnd w:id="7769"/>
      <w:bookmarkEnd w:id="7770"/>
      <w:bookmarkEnd w:id="7771"/>
      <w:bookmarkEnd w:id="7772"/>
      <w:bookmarkEnd w:id="7773"/>
      <w:bookmarkEnd w:id="7774"/>
      <w:bookmarkEnd w:id="7775"/>
      <w:bookmarkEnd w:id="7776"/>
      <w:bookmarkEnd w:id="7777"/>
      <w:bookmarkEnd w:id="7778"/>
      <w:bookmarkEnd w:id="7779"/>
      <w:bookmarkEnd w:id="7780"/>
      <w:bookmarkEnd w:id="7781"/>
      <w:bookmarkEnd w:id="7782"/>
      <w:bookmarkEnd w:id="7783"/>
      <w:bookmarkEnd w:id="7784"/>
      <w:bookmarkEnd w:id="7785"/>
      <w:bookmarkEnd w:id="7786"/>
      <w:bookmarkEnd w:id="7787"/>
      <w:bookmarkEnd w:id="7788"/>
      <w:bookmarkEnd w:id="7789"/>
      <w:bookmarkEnd w:id="7790"/>
      <w:bookmarkEnd w:id="7791"/>
      <w:bookmarkEnd w:id="7792"/>
      <w:bookmarkEnd w:id="7793"/>
      <w:bookmarkEnd w:id="7794"/>
      <w:bookmarkEnd w:id="7795"/>
      <w:bookmarkEnd w:id="7796"/>
      <w:bookmarkEnd w:id="7797"/>
      <w:bookmarkEnd w:id="7798"/>
      <w:bookmarkEnd w:id="7799"/>
      <w:bookmarkEnd w:id="7800"/>
      <w:bookmarkEnd w:id="7801"/>
      <w:bookmarkEnd w:id="7802"/>
      <w:bookmarkEnd w:id="7803"/>
      <w:bookmarkEnd w:id="7804"/>
      <w:bookmarkEnd w:id="7805"/>
      <w:bookmarkEnd w:id="7806"/>
      <w:bookmarkEnd w:id="7807"/>
      <w:bookmarkEnd w:id="7808"/>
      <w:bookmarkEnd w:id="7809"/>
      <w:bookmarkEnd w:id="7810"/>
      <w:bookmarkEnd w:id="7811"/>
      <w:bookmarkEnd w:id="7812"/>
      <w:bookmarkEnd w:id="7813"/>
      <w:bookmarkEnd w:id="7814"/>
      <w:bookmarkEnd w:id="7815"/>
      <w:bookmarkEnd w:id="7816"/>
      <w:bookmarkEnd w:id="7817"/>
      <w:bookmarkEnd w:id="7818"/>
      <w:bookmarkEnd w:id="7819"/>
      <w:bookmarkEnd w:id="7820"/>
      <w:bookmarkEnd w:id="7821"/>
      <w:bookmarkEnd w:id="7822"/>
      <w:bookmarkEnd w:id="7823"/>
      <w:bookmarkEnd w:id="7824"/>
      <w:bookmarkEnd w:id="7825"/>
      <w:bookmarkEnd w:id="7826"/>
      <w:bookmarkEnd w:id="7827"/>
      <w:bookmarkEnd w:id="7828"/>
      <w:bookmarkEnd w:id="7829"/>
      <w:bookmarkEnd w:id="7830"/>
      <w:bookmarkEnd w:id="7831"/>
      <w:bookmarkEnd w:id="7832"/>
      <w:bookmarkEnd w:id="7833"/>
      <w:bookmarkEnd w:id="7834"/>
      <w:bookmarkEnd w:id="7835"/>
      <w:bookmarkEnd w:id="7836"/>
      <w:bookmarkEnd w:id="7837"/>
      <w:bookmarkEnd w:id="7838"/>
      <w:bookmarkEnd w:id="7839"/>
      <w:bookmarkEnd w:id="7840"/>
      <w:bookmarkEnd w:id="7841"/>
      <w:bookmarkEnd w:id="7842"/>
      <w:bookmarkEnd w:id="7843"/>
      <w:bookmarkEnd w:id="7844"/>
      <w:bookmarkEnd w:id="7845"/>
      <w:bookmarkEnd w:id="7846"/>
      <w:bookmarkEnd w:id="7847"/>
      <w:bookmarkEnd w:id="7848"/>
      <w:bookmarkEnd w:id="7849"/>
      <w:bookmarkEnd w:id="7850"/>
      <w:bookmarkEnd w:id="7851"/>
      <w:bookmarkEnd w:id="7852"/>
      <w:bookmarkEnd w:id="7853"/>
      <w:bookmarkEnd w:id="7854"/>
      <w:bookmarkEnd w:id="7855"/>
      <w:bookmarkEnd w:id="7856"/>
      <w:bookmarkEnd w:id="7857"/>
      <w:bookmarkEnd w:id="7858"/>
      <w:bookmarkEnd w:id="7859"/>
      <w:bookmarkEnd w:id="7860"/>
      <w:bookmarkEnd w:id="7861"/>
      <w:bookmarkEnd w:id="7862"/>
      <w:bookmarkEnd w:id="7863"/>
      <w:bookmarkEnd w:id="7864"/>
      <w:bookmarkEnd w:id="7865"/>
      <w:bookmarkEnd w:id="7866"/>
      <w:bookmarkEnd w:id="7867"/>
      <w:bookmarkEnd w:id="7868"/>
      <w:bookmarkEnd w:id="7869"/>
      <w:bookmarkEnd w:id="7870"/>
      <w:bookmarkEnd w:id="7871"/>
      <w:bookmarkEnd w:id="7872"/>
      <w:bookmarkEnd w:id="7873"/>
      <w:bookmarkEnd w:id="7874"/>
      <w:bookmarkEnd w:id="7875"/>
      <w:bookmarkEnd w:id="7876"/>
      <w:bookmarkEnd w:id="7877"/>
      <w:bookmarkEnd w:id="7878"/>
      <w:bookmarkEnd w:id="7879"/>
      <w:bookmarkEnd w:id="7880"/>
      <w:bookmarkEnd w:id="7881"/>
      <w:bookmarkEnd w:id="7882"/>
      <w:bookmarkEnd w:id="7883"/>
      <w:bookmarkEnd w:id="7884"/>
      <w:bookmarkEnd w:id="7885"/>
      <w:bookmarkEnd w:id="7886"/>
      <w:bookmarkEnd w:id="7887"/>
      <w:bookmarkEnd w:id="7888"/>
      <w:bookmarkEnd w:id="7889"/>
      <w:bookmarkEnd w:id="7890"/>
      <w:bookmarkEnd w:id="7891"/>
      <w:bookmarkEnd w:id="7892"/>
      <w:bookmarkEnd w:id="7893"/>
      <w:bookmarkEnd w:id="7894"/>
      <w:bookmarkEnd w:id="7895"/>
      <w:bookmarkEnd w:id="7896"/>
      <w:bookmarkEnd w:id="7897"/>
      <w:bookmarkEnd w:id="7898"/>
      <w:bookmarkEnd w:id="7899"/>
      <w:bookmarkEnd w:id="7900"/>
      <w:bookmarkEnd w:id="7901"/>
      <w:bookmarkEnd w:id="7902"/>
      <w:bookmarkEnd w:id="7903"/>
      <w:bookmarkEnd w:id="7904"/>
      <w:bookmarkEnd w:id="7905"/>
      <w:bookmarkEnd w:id="7906"/>
      <w:bookmarkEnd w:id="7907"/>
      <w:bookmarkEnd w:id="7908"/>
      <w:bookmarkEnd w:id="7909"/>
      <w:bookmarkEnd w:id="7910"/>
      <w:bookmarkEnd w:id="7911"/>
      <w:bookmarkEnd w:id="7912"/>
      <w:bookmarkEnd w:id="7913"/>
      <w:bookmarkEnd w:id="7914"/>
      <w:bookmarkEnd w:id="7915"/>
      <w:bookmarkEnd w:id="7916"/>
      <w:bookmarkEnd w:id="7917"/>
      <w:bookmarkEnd w:id="7918"/>
      <w:bookmarkEnd w:id="7919"/>
      <w:bookmarkEnd w:id="7920"/>
      <w:bookmarkEnd w:id="7921"/>
      <w:bookmarkEnd w:id="7922"/>
      <w:bookmarkEnd w:id="7923"/>
      <w:bookmarkEnd w:id="7924"/>
      <w:bookmarkEnd w:id="7925"/>
      <w:bookmarkEnd w:id="7926"/>
      <w:bookmarkEnd w:id="7927"/>
      <w:bookmarkEnd w:id="7928"/>
      <w:bookmarkEnd w:id="7929"/>
      <w:bookmarkEnd w:id="7930"/>
      <w:bookmarkEnd w:id="7931"/>
      <w:bookmarkEnd w:id="7932"/>
      <w:bookmarkEnd w:id="7933"/>
      <w:bookmarkEnd w:id="7934"/>
      <w:bookmarkEnd w:id="7935"/>
      <w:bookmarkEnd w:id="7936"/>
      <w:bookmarkEnd w:id="7937"/>
      <w:bookmarkEnd w:id="7938"/>
      <w:bookmarkEnd w:id="7939"/>
      <w:bookmarkEnd w:id="7940"/>
      <w:bookmarkEnd w:id="7941"/>
      <w:bookmarkEnd w:id="7942"/>
      <w:bookmarkEnd w:id="7943"/>
      <w:bookmarkEnd w:id="7944"/>
      <w:bookmarkEnd w:id="7945"/>
      <w:bookmarkEnd w:id="7946"/>
      <w:bookmarkEnd w:id="7947"/>
      <w:bookmarkEnd w:id="7948"/>
      <w:bookmarkEnd w:id="7949"/>
      <w:bookmarkEnd w:id="7950"/>
      <w:bookmarkEnd w:id="7951"/>
      <w:bookmarkEnd w:id="7952"/>
      <w:bookmarkEnd w:id="7953"/>
      <w:bookmarkEnd w:id="7954"/>
      <w:bookmarkEnd w:id="7955"/>
      <w:bookmarkEnd w:id="7956"/>
      <w:bookmarkEnd w:id="7957"/>
      <w:bookmarkEnd w:id="7958"/>
      <w:bookmarkEnd w:id="7959"/>
      <w:bookmarkEnd w:id="7960"/>
      <w:bookmarkEnd w:id="7961"/>
      <w:bookmarkEnd w:id="7962"/>
      <w:bookmarkEnd w:id="7963"/>
      <w:bookmarkEnd w:id="7964"/>
      <w:bookmarkEnd w:id="7965"/>
      <w:bookmarkEnd w:id="7966"/>
      <w:bookmarkEnd w:id="7967"/>
      <w:bookmarkEnd w:id="7968"/>
      <w:bookmarkEnd w:id="7969"/>
      <w:bookmarkEnd w:id="7970"/>
      <w:bookmarkEnd w:id="7971"/>
      <w:bookmarkEnd w:id="7972"/>
      <w:bookmarkEnd w:id="7973"/>
      <w:bookmarkEnd w:id="7974"/>
      <w:bookmarkEnd w:id="7975"/>
      <w:bookmarkEnd w:id="7976"/>
      <w:bookmarkEnd w:id="7977"/>
      <w:bookmarkEnd w:id="7978"/>
      <w:bookmarkEnd w:id="7979"/>
      <w:bookmarkEnd w:id="7980"/>
      <w:bookmarkEnd w:id="7981"/>
      <w:bookmarkEnd w:id="7982"/>
      <w:bookmarkEnd w:id="7983"/>
      <w:bookmarkEnd w:id="7984"/>
      <w:bookmarkEnd w:id="7985"/>
      <w:bookmarkEnd w:id="7986"/>
      <w:bookmarkEnd w:id="7987"/>
      <w:bookmarkEnd w:id="7988"/>
      <w:bookmarkEnd w:id="7989"/>
      <w:bookmarkEnd w:id="7990"/>
      <w:bookmarkEnd w:id="7991"/>
      <w:bookmarkEnd w:id="7992"/>
      <w:bookmarkEnd w:id="7993"/>
      <w:bookmarkEnd w:id="7994"/>
      <w:bookmarkEnd w:id="7995"/>
      <w:bookmarkEnd w:id="7996"/>
      <w:bookmarkEnd w:id="7997"/>
      <w:bookmarkEnd w:id="7998"/>
      <w:bookmarkEnd w:id="7999"/>
      <w:bookmarkEnd w:id="8000"/>
      <w:bookmarkEnd w:id="8001"/>
      <w:bookmarkEnd w:id="8002"/>
      <w:bookmarkEnd w:id="8003"/>
      <w:bookmarkEnd w:id="8004"/>
      <w:bookmarkEnd w:id="8005"/>
      <w:bookmarkEnd w:id="8006"/>
      <w:bookmarkEnd w:id="8007"/>
      <w:bookmarkEnd w:id="8008"/>
      <w:bookmarkEnd w:id="8009"/>
      <w:bookmarkEnd w:id="8010"/>
      <w:bookmarkEnd w:id="8011"/>
      <w:bookmarkEnd w:id="8012"/>
      <w:bookmarkEnd w:id="8013"/>
      <w:bookmarkEnd w:id="8014"/>
      <w:bookmarkEnd w:id="8015"/>
      <w:bookmarkEnd w:id="8016"/>
      <w:bookmarkEnd w:id="8017"/>
      <w:bookmarkEnd w:id="8018"/>
      <w:bookmarkEnd w:id="8019"/>
      <w:bookmarkEnd w:id="8020"/>
      <w:bookmarkEnd w:id="8021"/>
      <w:bookmarkEnd w:id="8022"/>
      <w:bookmarkEnd w:id="8023"/>
      <w:bookmarkEnd w:id="8024"/>
      <w:bookmarkEnd w:id="8025"/>
      <w:bookmarkEnd w:id="8026"/>
      <w:bookmarkEnd w:id="8027"/>
      <w:bookmarkEnd w:id="8028"/>
      <w:bookmarkEnd w:id="8029"/>
      <w:bookmarkEnd w:id="8030"/>
      <w:bookmarkEnd w:id="8031"/>
      <w:bookmarkEnd w:id="8032"/>
      <w:bookmarkEnd w:id="8033"/>
      <w:bookmarkEnd w:id="8034"/>
      <w:bookmarkEnd w:id="8035"/>
      <w:bookmarkEnd w:id="8036"/>
      <w:bookmarkEnd w:id="8037"/>
      <w:bookmarkEnd w:id="8038"/>
      <w:bookmarkEnd w:id="8039"/>
      <w:bookmarkEnd w:id="8040"/>
      <w:bookmarkEnd w:id="8041"/>
      <w:bookmarkEnd w:id="8042"/>
      <w:bookmarkEnd w:id="8043"/>
      <w:bookmarkEnd w:id="8044"/>
      <w:bookmarkEnd w:id="8045"/>
      <w:bookmarkEnd w:id="8046"/>
      <w:bookmarkEnd w:id="8047"/>
      <w:r w:rsidRPr="000665B0">
        <w:lastRenderedPageBreak/>
        <w:br/>
      </w:r>
      <w:bookmarkStart w:id="8051" w:name="_Toc214283723"/>
      <w:r w:rsidRPr="000665B0">
        <w:t>STRIKE PLANNING GUIDELINES</w:t>
      </w:r>
      <w:bookmarkEnd w:id="8048"/>
      <w:bookmarkEnd w:id="8049"/>
      <w:bookmarkEnd w:id="8051"/>
    </w:p>
    <w:p w14:paraId="37FE79A7" w14:textId="7352ED22" w:rsidR="00C1621C" w:rsidRPr="000665B0" w:rsidRDefault="00C1621C" w:rsidP="00C1621C">
      <w:r w:rsidRPr="000665B0">
        <w:t xml:space="preserve">The objective of Appendix </w:t>
      </w:r>
      <w:r w:rsidR="00093C35" w:rsidRPr="000665B0">
        <w:t xml:space="preserve">N </w:t>
      </w:r>
      <w:r w:rsidRPr="000665B0">
        <w:t xml:space="preserve">is to create a basic Strike Package that provides the minimum requirements for a Strike Execution. </w:t>
      </w:r>
    </w:p>
    <w:p w14:paraId="388DD6A2" w14:textId="747957A4" w:rsidR="00C1621C" w:rsidRPr="000665B0" w:rsidRDefault="00C1621C" w:rsidP="00C1621C">
      <w:r w:rsidRPr="000665B0">
        <w:t xml:space="preserve">Once the Strike Package is created, instructions are provided for setting up Comms for the Strike Package (see </w:t>
      </w:r>
      <w:hyperlink w:anchor="Strike_Comms_Setup_Guidelines" w:history="1">
        <w:r w:rsidR="00093C35" w:rsidRPr="000665B0">
          <w:rPr>
            <w:rStyle w:val="Hyperlink"/>
          </w:rPr>
          <w:t>Appendix O</w:t>
        </w:r>
      </w:hyperlink>
      <w:r w:rsidRPr="000665B0">
        <w:t xml:space="preserve">), and then executing/rehearsing the Strike Package (see </w:t>
      </w:r>
      <w:hyperlink w:anchor="Strike_Execution_Guidelines" w:history="1">
        <w:r w:rsidR="001E3F28" w:rsidRPr="000665B0">
          <w:rPr>
            <w:rStyle w:val="Hyperlink"/>
          </w:rPr>
          <w:t>Appendix P</w:t>
        </w:r>
      </w:hyperlink>
      <w:r w:rsidRPr="000665B0">
        <w:t xml:space="preserve">). Appendix </w:t>
      </w:r>
      <w:r w:rsidR="00093C35" w:rsidRPr="000665B0">
        <w:t xml:space="preserve">P </w:t>
      </w:r>
      <w:r w:rsidRPr="000665B0">
        <w:t>contains information for rehearsing a basic strike, as well as different case scenarios such as rehearsing a strike with time shifts, ad hoc options, aimpoint updates, etc.</w:t>
      </w:r>
    </w:p>
    <w:p w14:paraId="346FCBF6" w14:textId="7A889E67" w:rsidR="00C1621C" w:rsidRPr="000665B0" w:rsidRDefault="00C1621C" w:rsidP="00C1621C">
      <w:r w:rsidRPr="000665B0">
        <w:t xml:space="preserve">For information about detailed tool/menu functionality and task methodology, see </w:t>
      </w:r>
      <w:hyperlink w:anchor="_5.37__STRIKE_1" w:history="1">
        <w:r w:rsidR="009326FE" w:rsidRPr="000665B0">
          <w:rPr>
            <w:rStyle w:val="Hyperlink"/>
          </w:rPr>
          <w:t xml:space="preserve">Section </w:t>
        </w:r>
        <w:r w:rsidR="004231CC">
          <w:rPr>
            <w:rStyle w:val="Hyperlink"/>
          </w:rPr>
          <w:t>5.34</w:t>
        </w:r>
      </w:hyperlink>
      <w:r w:rsidRPr="000665B0">
        <w:t>.</w:t>
      </w:r>
    </w:p>
    <w:tbl>
      <w:tblPr>
        <w:tblStyle w:val="TableGrid"/>
        <w:tblW w:w="13579" w:type="dxa"/>
        <w:tblInd w:w="108" w:type="dxa"/>
        <w:tblLook w:val="04A0" w:firstRow="1" w:lastRow="0" w:firstColumn="1" w:lastColumn="0" w:noHBand="0" w:noVBand="1"/>
      </w:tblPr>
      <w:tblGrid>
        <w:gridCol w:w="13579"/>
      </w:tblGrid>
      <w:tr w:rsidR="00C1621C" w:rsidRPr="000665B0" w14:paraId="035EAA2F" w14:textId="77777777" w:rsidTr="00935A52">
        <w:tc>
          <w:tcPr>
            <w:tcW w:w="13579" w:type="dxa"/>
            <w:shd w:val="clear" w:color="auto" w:fill="D9D9D9" w:themeFill="background1" w:themeFillShade="D9"/>
          </w:tcPr>
          <w:p w14:paraId="3FF05E4E" w14:textId="77777777" w:rsidR="00C1621C" w:rsidRPr="000665B0" w:rsidRDefault="00C1621C" w:rsidP="00346248">
            <w:pPr>
              <w:spacing w:before="60" w:after="60" w:line="240" w:lineRule="auto"/>
              <w:rPr>
                <w:b/>
                <w:bCs/>
                <w:sz w:val="20"/>
              </w:rPr>
            </w:pPr>
            <w:r w:rsidRPr="000665B0">
              <w:rPr>
                <w:b/>
                <w:bCs/>
                <w:sz w:val="20"/>
              </w:rPr>
              <w:t>Overview</w:t>
            </w:r>
          </w:p>
        </w:tc>
      </w:tr>
      <w:tr w:rsidR="00C1621C" w:rsidRPr="000665B0" w14:paraId="545D4590" w14:textId="77777777" w:rsidTr="00346248">
        <w:tc>
          <w:tcPr>
            <w:tcW w:w="13579" w:type="dxa"/>
          </w:tcPr>
          <w:p w14:paraId="61B38A5D" w14:textId="77777777" w:rsidR="00C1621C" w:rsidRPr="000665B0" w:rsidRDefault="00C1621C" w:rsidP="006D5A65">
            <w:pPr>
              <w:pStyle w:val="Heading1"/>
            </w:pPr>
            <w:r w:rsidRPr="000665B0">
              <w:lastRenderedPageBreak/>
              <w:t xml:space="preserve">Create Training Strike Package. The Strike Package will contain: </w:t>
            </w:r>
          </w:p>
          <w:p w14:paraId="5CA7B05F" w14:textId="582D0114" w:rsidR="00163472" w:rsidRPr="000665B0" w:rsidRDefault="00C1621C" w:rsidP="006D5A65">
            <w:pPr>
              <w:pStyle w:val="Heading1"/>
            </w:pPr>
            <w:r w:rsidRPr="000665B0">
              <w:t>109E: 2 Primaries, 2 Backups, 1 Ready Spares, 1 Auto Ready Spares, 2 Backup Pools</w:t>
            </w:r>
            <w:r w:rsidR="00163472" w:rsidRPr="000665B0">
              <w:t xml:space="preserve"> – all using the DAMA network for TSN</w:t>
            </w:r>
            <w:r w:rsidRPr="000665B0">
              <w:t>.</w:t>
            </w:r>
            <w:r w:rsidR="00163472" w:rsidRPr="000665B0">
              <w:t xml:space="preserve"> </w:t>
            </w:r>
          </w:p>
          <w:p w14:paraId="3FD001F4" w14:textId="2826162A" w:rsidR="00C1621C" w:rsidRPr="000665B0" w:rsidRDefault="00163472" w:rsidP="006D5A65">
            <w:pPr>
              <w:pStyle w:val="Heading1"/>
            </w:pPr>
            <w:r w:rsidRPr="000665B0">
              <w:t>109E: 2 Primaries, 2 Backups, 1 Ready Spares, 1 Auto Ready Spares, 2 Backup Pools – all using the ACA network for TSN.</w:t>
            </w:r>
          </w:p>
          <w:p w14:paraId="29E7C442" w14:textId="77777777" w:rsidR="00C1621C" w:rsidRPr="000665B0" w:rsidRDefault="00C1621C" w:rsidP="006D5A65">
            <w:pPr>
              <w:pStyle w:val="Heading1"/>
            </w:pPr>
            <w:r w:rsidRPr="000665B0">
              <w:t>109C: 2 Primaries, 2 Backups, 1 Ready Spares, 1 Auto Ready Spares, 2 Backup Pools.</w:t>
            </w:r>
          </w:p>
          <w:p w14:paraId="3B60F0EB" w14:textId="77777777" w:rsidR="00C1621C" w:rsidRPr="000665B0" w:rsidRDefault="00C1621C" w:rsidP="00346248">
            <w:pPr>
              <w:tabs>
                <w:tab w:val="left" w:pos="627"/>
              </w:tabs>
              <w:spacing w:before="60" w:after="60"/>
              <w:ind w:left="612"/>
              <w:rPr>
                <w:sz w:val="20"/>
              </w:rPr>
            </w:pPr>
            <w:r w:rsidRPr="000665B0">
              <w:rPr>
                <w:sz w:val="20"/>
              </w:rPr>
              <w:t xml:space="preserve">Optional: </w:t>
            </w:r>
          </w:p>
          <w:p w14:paraId="11073227" w14:textId="0238C1B9" w:rsidR="00C1621C" w:rsidRPr="000665B0" w:rsidRDefault="00C1621C" w:rsidP="006D5A65">
            <w:pPr>
              <w:pStyle w:val="Heading1"/>
            </w:pPr>
            <w:r w:rsidRPr="000665B0">
              <w:t xml:space="preserve">2 Ghost (Required only if performing Case B in Appendix </w:t>
            </w:r>
            <w:r w:rsidR="00093C35" w:rsidRPr="000665B0">
              <w:t>P</w:t>
            </w:r>
            <w:r w:rsidRPr="000665B0">
              <w:t>)</w:t>
            </w:r>
            <w:r w:rsidR="00910AF1" w:rsidRPr="000665B0">
              <w:t>.</w:t>
            </w:r>
          </w:p>
          <w:p w14:paraId="5C1BC048" w14:textId="566C7A52" w:rsidR="00C1621C" w:rsidRPr="000665B0" w:rsidRDefault="00C1621C" w:rsidP="006D5A65">
            <w:pPr>
              <w:pStyle w:val="Heading1"/>
            </w:pPr>
            <w:r w:rsidRPr="000665B0">
              <w:t xml:space="preserve">1 LMO (Required only if performing Case G in Appendix </w:t>
            </w:r>
            <w:r w:rsidR="00093C35" w:rsidRPr="000665B0">
              <w:t>P</w:t>
            </w:r>
            <w:r w:rsidRPr="000665B0">
              <w:t>)</w:t>
            </w:r>
            <w:r w:rsidR="00910AF1" w:rsidRPr="000665B0">
              <w:t>.</w:t>
            </w:r>
          </w:p>
          <w:p w14:paraId="2FAC7A40" w14:textId="1A9D8AC3" w:rsidR="00C1621C" w:rsidRPr="000665B0" w:rsidRDefault="00C1621C" w:rsidP="006D5A65">
            <w:pPr>
              <w:pStyle w:val="Heading1"/>
            </w:pPr>
            <w:r w:rsidRPr="000665B0">
              <w:t xml:space="preserve">1 CFF (Required only if performing Case G in Appendix </w:t>
            </w:r>
            <w:r w:rsidR="00093C35" w:rsidRPr="000665B0">
              <w:t>P</w:t>
            </w:r>
            <w:r w:rsidRPr="000665B0">
              <w:t>)</w:t>
            </w:r>
            <w:r w:rsidR="00910AF1" w:rsidRPr="000665B0">
              <w:t>.</w:t>
            </w:r>
          </w:p>
          <w:p w14:paraId="06DAB8E7" w14:textId="5F07EA47" w:rsidR="00C1621C" w:rsidRPr="000665B0" w:rsidRDefault="00C1621C" w:rsidP="006D5A65">
            <w:pPr>
              <w:pStyle w:val="Heading1"/>
            </w:pPr>
            <w:r w:rsidRPr="000665B0">
              <w:t xml:space="preserve">1 TMPR (Required only if performing Case F in Appendix </w:t>
            </w:r>
            <w:r w:rsidR="00093C35" w:rsidRPr="000665B0">
              <w:t>P</w:t>
            </w:r>
            <w:r w:rsidRPr="000665B0">
              <w:t>).</w:t>
            </w:r>
          </w:p>
          <w:p w14:paraId="0FF42C9E" w14:textId="77777777" w:rsidR="00C1621C" w:rsidRPr="000665B0" w:rsidRDefault="00C1621C" w:rsidP="00346248">
            <w:pPr>
              <w:tabs>
                <w:tab w:val="left" w:pos="627"/>
              </w:tabs>
              <w:spacing w:before="60" w:after="60"/>
              <w:ind w:left="612"/>
              <w:rPr>
                <w:sz w:val="20"/>
              </w:rPr>
            </w:pPr>
            <w:r w:rsidRPr="000665B0">
              <w:rPr>
                <w:sz w:val="20"/>
              </w:rPr>
              <w:t>Nodes:</w:t>
            </w:r>
          </w:p>
          <w:p w14:paraId="256073CE" w14:textId="0D73010E" w:rsidR="00C1621C" w:rsidRPr="000665B0" w:rsidRDefault="00C1621C" w:rsidP="006D5A65">
            <w:pPr>
              <w:pStyle w:val="Heading1"/>
            </w:pPr>
            <w:r w:rsidRPr="000665B0">
              <w:t xml:space="preserve">1 </w:t>
            </w:r>
            <w:r w:rsidR="00007D41" w:rsidRPr="000665B0">
              <w:t xml:space="preserve">TED </w:t>
            </w:r>
            <w:r w:rsidRPr="000665B0">
              <w:t>with (optional) “embedded TPS” and roles TSC, MC, and PO</w:t>
            </w:r>
            <w:r w:rsidR="00910AF1" w:rsidRPr="000665B0">
              <w:t>.</w:t>
            </w:r>
            <w:r w:rsidRPr="000665B0">
              <w:t xml:space="preserve"> </w:t>
            </w:r>
          </w:p>
          <w:p w14:paraId="0047677A" w14:textId="0FFC2C43" w:rsidR="00C1621C" w:rsidRPr="000665B0" w:rsidRDefault="00C1621C" w:rsidP="006D5A65">
            <w:pPr>
              <w:pStyle w:val="Heading1"/>
            </w:pPr>
            <w:r w:rsidRPr="000665B0">
              <w:t xml:space="preserve">1 </w:t>
            </w:r>
            <w:r w:rsidR="00007D41" w:rsidRPr="000665B0">
              <w:t xml:space="preserve">TED </w:t>
            </w:r>
            <w:r w:rsidRPr="000665B0">
              <w:t xml:space="preserve">with roles LAC, </w:t>
            </w:r>
            <w:r w:rsidR="000B6F1A">
              <w:t>ATSC</w:t>
            </w:r>
            <w:r w:rsidRPr="000665B0">
              <w:t>, MC</w:t>
            </w:r>
            <w:r w:rsidR="00910AF1" w:rsidRPr="000665B0">
              <w:t>.</w:t>
            </w:r>
          </w:p>
          <w:p w14:paraId="4E596B4B" w14:textId="6780F563" w:rsidR="00C1621C" w:rsidRPr="000665B0" w:rsidRDefault="00C1621C" w:rsidP="006D5A65">
            <w:pPr>
              <w:pStyle w:val="Heading1"/>
            </w:pPr>
            <w:r w:rsidRPr="000665B0">
              <w:t xml:space="preserve">1 </w:t>
            </w:r>
            <w:r w:rsidR="00007D41" w:rsidRPr="000665B0">
              <w:t xml:space="preserve">TED </w:t>
            </w:r>
            <w:r w:rsidRPr="000665B0">
              <w:t>with PO role, preferably a CMSA/TSMPC node</w:t>
            </w:r>
            <w:r w:rsidR="00910AF1" w:rsidRPr="000665B0">
              <w:t>.</w:t>
            </w:r>
          </w:p>
          <w:p w14:paraId="5775EA06" w14:textId="68884DC8" w:rsidR="00C1621C" w:rsidRPr="000665B0" w:rsidRDefault="00C1621C" w:rsidP="006D5A65">
            <w:pPr>
              <w:pStyle w:val="Heading1"/>
            </w:pPr>
            <w:r w:rsidRPr="000665B0">
              <w:t>3 TTWCS version 5</w:t>
            </w:r>
            <w:r w:rsidR="00163472" w:rsidRPr="000665B0">
              <w:t xml:space="preserve">.6 (or above) </w:t>
            </w:r>
            <w:r w:rsidRPr="000665B0">
              <w:t>with roles MC</w:t>
            </w:r>
            <w:r w:rsidR="00007D41" w:rsidRPr="000665B0">
              <w:t xml:space="preserve"> and</w:t>
            </w:r>
            <w:r w:rsidRPr="000665B0">
              <w:t xml:space="preserve"> FRU, </w:t>
            </w:r>
            <w:r w:rsidR="00EF4ECE" w:rsidRPr="000665B0">
              <w:t>and with 1</w:t>
            </w:r>
            <w:r w:rsidR="00007D41" w:rsidRPr="000665B0">
              <w:t xml:space="preserve"> </w:t>
            </w:r>
            <w:r w:rsidR="00EF4ECE" w:rsidRPr="000665B0">
              <w:t xml:space="preserve">of the 3 platform’s </w:t>
            </w:r>
            <w:r w:rsidR="00007D41" w:rsidRPr="000665B0">
              <w:t xml:space="preserve">TED </w:t>
            </w:r>
            <w:r w:rsidRPr="000665B0">
              <w:t xml:space="preserve">designated </w:t>
            </w:r>
            <w:r w:rsidR="00007D41" w:rsidRPr="000665B0">
              <w:t xml:space="preserve">with </w:t>
            </w:r>
            <w:r w:rsidR="00EF4ECE" w:rsidRPr="000665B0">
              <w:t xml:space="preserve">the </w:t>
            </w:r>
            <w:r w:rsidRPr="000665B0">
              <w:t>ALAC</w:t>
            </w:r>
            <w:r w:rsidR="00910AF1" w:rsidRPr="000665B0">
              <w:t xml:space="preserve"> role</w:t>
            </w:r>
            <w:r w:rsidRPr="000665B0">
              <w:t>.</w:t>
            </w:r>
          </w:p>
          <w:p w14:paraId="619FBEDF" w14:textId="77777777" w:rsidR="00C1621C" w:rsidRPr="000665B0" w:rsidRDefault="00C1621C" w:rsidP="006D5A65">
            <w:pPr>
              <w:pStyle w:val="Heading1"/>
            </w:pPr>
            <w:r w:rsidRPr="000665B0">
              <w:t>Define/Add Resources in the Strike Folder.</w:t>
            </w:r>
          </w:p>
          <w:p w14:paraId="486A50EB" w14:textId="77777777" w:rsidR="00C1621C" w:rsidRPr="000665B0" w:rsidRDefault="00C1621C" w:rsidP="006D5A65">
            <w:pPr>
              <w:pStyle w:val="Heading1"/>
            </w:pPr>
            <w:r w:rsidRPr="000665B0">
              <w:t>Create Strike Option.</w:t>
            </w:r>
          </w:p>
          <w:p w14:paraId="31AF3465" w14:textId="77777777" w:rsidR="00C1621C" w:rsidRPr="000665B0" w:rsidRDefault="00C1621C" w:rsidP="006D5A65">
            <w:pPr>
              <w:pStyle w:val="Heading1"/>
            </w:pPr>
            <w:r w:rsidRPr="000665B0">
              <w:t>Define</w:t>
            </w:r>
            <w:r w:rsidRPr="000665B0">
              <w:rPr>
                <w:bCs/>
              </w:rPr>
              <w:t>/Add resources in</w:t>
            </w:r>
            <w:r w:rsidRPr="000665B0">
              <w:t xml:space="preserve"> the Strike Option.</w:t>
            </w:r>
          </w:p>
          <w:p w14:paraId="2979C52F" w14:textId="77777777" w:rsidR="00C1621C" w:rsidRPr="000665B0" w:rsidRDefault="00C1621C" w:rsidP="006D5A65">
            <w:pPr>
              <w:pStyle w:val="Heading1"/>
            </w:pPr>
            <w:r w:rsidRPr="000665B0">
              <w:t>Perform Strike Analysis.</w:t>
            </w:r>
          </w:p>
          <w:p w14:paraId="3F8E6248" w14:textId="77777777" w:rsidR="00C1621C" w:rsidRPr="000665B0" w:rsidRDefault="00C1621C" w:rsidP="00346248">
            <w:pPr>
              <w:rPr>
                <w:sz w:val="20"/>
              </w:rPr>
            </w:pPr>
            <w:r w:rsidRPr="000665B0">
              <w:rPr>
                <w:rFonts w:eastAsia="Calibri"/>
                <w:b/>
                <w:sz w:val="20"/>
              </w:rPr>
              <w:t>Note:</w:t>
            </w:r>
            <w:r w:rsidRPr="000665B0">
              <w:rPr>
                <w:rFonts w:eastAsia="Calibri"/>
                <w:sz w:val="20"/>
              </w:rPr>
              <w:t xml:space="preserve"> Use non-tactical (training) targets/missions while building the Strike Package.</w:t>
            </w:r>
          </w:p>
        </w:tc>
      </w:tr>
      <w:tr w:rsidR="00C1621C" w:rsidRPr="000665B0" w14:paraId="27D8440C" w14:textId="77777777" w:rsidTr="00935A52">
        <w:tc>
          <w:tcPr>
            <w:tcW w:w="13579" w:type="dxa"/>
            <w:shd w:val="clear" w:color="auto" w:fill="D9D9D9" w:themeFill="background1" w:themeFillShade="D9"/>
          </w:tcPr>
          <w:p w14:paraId="19428440" w14:textId="77777777" w:rsidR="00C1621C" w:rsidRPr="000665B0" w:rsidRDefault="00C1621C" w:rsidP="00346248">
            <w:pPr>
              <w:keepNext/>
              <w:spacing w:before="60" w:after="60" w:line="240" w:lineRule="auto"/>
              <w:rPr>
                <w:b/>
                <w:bCs/>
                <w:sz w:val="20"/>
              </w:rPr>
            </w:pPr>
            <w:r w:rsidRPr="000665B0">
              <w:rPr>
                <w:b/>
                <w:bCs/>
                <w:sz w:val="20"/>
              </w:rPr>
              <w:t>Prerequisites</w:t>
            </w:r>
          </w:p>
        </w:tc>
      </w:tr>
      <w:tr w:rsidR="00C1621C" w:rsidRPr="000665B0" w14:paraId="344B9361" w14:textId="77777777" w:rsidTr="00346248">
        <w:tc>
          <w:tcPr>
            <w:tcW w:w="13579" w:type="dxa"/>
          </w:tcPr>
          <w:p w14:paraId="2EB74E10" w14:textId="2167004E" w:rsidR="00C1621C" w:rsidRPr="000665B0" w:rsidRDefault="00C1621C" w:rsidP="006D5A65">
            <w:pPr>
              <w:pStyle w:val="Heading1"/>
            </w:pPr>
            <w:r w:rsidRPr="000665B0">
              <w:t xml:space="preserve">Set up a </w:t>
            </w:r>
            <w:r w:rsidR="0098615F" w:rsidRPr="000665B0">
              <w:t xml:space="preserve">Task </w:t>
            </w:r>
            <w:r w:rsidRPr="000665B0">
              <w:t xml:space="preserve">Organization (see </w:t>
            </w:r>
            <w:hyperlink w:anchor="_STRIKE_ORGANIZATIONS_TOOL" w:history="1">
              <w:r w:rsidR="005449B8" w:rsidRPr="000665B0">
                <w:rPr>
                  <w:rStyle w:val="Hyperlink"/>
                  <w:rFonts w:ascii="Times New Roman" w:hAnsi="Times New Roman"/>
                  <w:sz w:val="20"/>
                </w:rPr>
                <w:t xml:space="preserve">Section </w:t>
              </w:r>
              <w:r w:rsidR="004231CC">
                <w:rPr>
                  <w:rStyle w:val="Hyperlink"/>
                  <w:rFonts w:ascii="Times New Roman" w:hAnsi="Times New Roman"/>
                  <w:sz w:val="20"/>
                </w:rPr>
                <w:t>5.33</w:t>
              </w:r>
            </w:hyperlink>
            <w:r w:rsidRPr="000665B0">
              <w:t xml:space="preserve">) with </w:t>
            </w:r>
            <w:r w:rsidR="00163472" w:rsidRPr="000665B0">
              <w:t>1 NSP</w:t>
            </w:r>
            <w:r w:rsidR="00973B0C" w:rsidRPr="000665B0">
              <w:t xml:space="preserve"> node</w:t>
            </w:r>
            <w:r w:rsidR="00163472" w:rsidRPr="000665B0">
              <w:t xml:space="preserve"> and </w:t>
            </w:r>
            <w:r w:rsidRPr="000665B0">
              <w:t xml:space="preserve">3 </w:t>
            </w:r>
            <w:r w:rsidR="00163472" w:rsidRPr="000665B0">
              <w:t xml:space="preserve">TED </w:t>
            </w:r>
            <w:r w:rsidRPr="000665B0">
              <w:t xml:space="preserve">nodes set as </w:t>
            </w:r>
            <w:r w:rsidR="000B6F1A">
              <w:t>TSC</w:t>
            </w:r>
            <w:r w:rsidRPr="000665B0">
              <w:t xml:space="preserve">, </w:t>
            </w:r>
            <w:r w:rsidR="000B6F1A">
              <w:t>ATSC</w:t>
            </w:r>
            <w:r w:rsidRPr="000665B0">
              <w:t>, PO, MC, LAC, ALAC, and at least 3</w:t>
            </w:r>
            <w:r w:rsidR="00163472" w:rsidRPr="000665B0">
              <w:t xml:space="preserve"> FRUs with</w:t>
            </w:r>
            <w:r w:rsidRPr="000665B0">
              <w:t xml:space="preserve"> TTWCSs </w:t>
            </w:r>
            <w:r w:rsidR="00163472" w:rsidRPr="000665B0">
              <w:t>version 5.6 (or above). Ensure that the selected NSP node has the responsibility for the AOR of the strike package</w:t>
            </w:r>
            <w:r w:rsidR="00007D41" w:rsidRPr="000665B0">
              <w:t xml:space="preserve"> and that the NSP node is in the Arsenal of the strike package</w:t>
            </w:r>
            <w:r w:rsidR="00163472" w:rsidRPr="000665B0">
              <w:t>.</w:t>
            </w:r>
          </w:p>
          <w:p w14:paraId="493A7D26" w14:textId="56AD1354" w:rsidR="00C1621C" w:rsidRPr="000665B0" w:rsidRDefault="00C1621C" w:rsidP="006D5A65">
            <w:pPr>
              <w:pStyle w:val="Heading1"/>
            </w:pPr>
            <w:r w:rsidRPr="000665B0">
              <w:t xml:space="preserve">Verify that the training missile inventories in the selected FRUs are populated (see </w:t>
            </w:r>
            <w:hyperlink w:anchor="_5_.37.5_" w:history="1">
              <w:r w:rsidR="009326FE" w:rsidRPr="000665B0">
                <w:rPr>
                  <w:rStyle w:val="Hyperlink"/>
                  <w:rFonts w:ascii="Times New Roman" w:hAnsi="Times New Roman"/>
                  <w:sz w:val="20"/>
                </w:rPr>
                <w:t xml:space="preserve">Section </w:t>
              </w:r>
              <w:r w:rsidR="004231CC">
                <w:rPr>
                  <w:rStyle w:val="Hyperlink"/>
                  <w:rFonts w:ascii="Times New Roman" w:hAnsi="Times New Roman"/>
                  <w:sz w:val="20"/>
                </w:rPr>
                <w:t>5.34</w:t>
              </w:r>
              <w:r w:rsidR="0089269C" w:rsidRPr="000665B0">
                <w:rPr>
                  <w:rStyle w:val="Hyperlink"/>
                  <w:rFonts w:ascii="Times New Roman" w:hAnsi="Times New Roman"/>
                  <w:sz w:val="20"/>
                </w:rPr>
                <w:t>.6</w:t>
              </w:r>
            </w:hyperlink>
            <w:r w:rsidRPr="000665B0">
              <w:t>).</w:t>
            </w:r>
          </w:p>
          <w:p w14:paraId="63E003A1" w14:textId="1E679EEA" w:rsidR="00C1621C" w:rsidRPr="000665B0" w:rsidRDefault="00C1621C" w:rsidP="006D5A65">
            <w:pPr>
              <w:pStyle w:val="Heading1"/>
            </w:pPr>
            <w:r w:rsidRPr="000665B0">
              <w:t xml:space="preserve">Create or select an existing </w:t>
            </w:r>
            <w:r w:rsidR="006E577D" w:rsidRPr="000665B0">
              <w:t xml:space="preserve">POB, </w:t>
            </w:r>
            <w:r w:rsidRPr="000665B0">
              <w:t>Op Area, FPPWP, and 3 PLPs (one for each TTWCS FRU) for the strike operational location.</w:t>
            </w:r>
          </w:p>
          <w:p w14:paraId="23F815C0" w14:textId="77777777" w:rsidR="00C1621C" w:rsidRPr="000665B0" w:rsidRDefault="00C1621C" w:rsidP="006D5A65">
            <w:pPr>
              <w:pStyle w:val="Heading1"/>
            </w:pPr>
            <w:r w:rsidRPr="000665B0">
              <w:t xml:space="preserve">Select target(s) or mission(s) that are located in the strike operational location. </w:t>
            </w:r>
          </w:p>
          <w:p w14:paraId="7F672D8E" w14:textId="5AD15259" w:rsidR="00C1621C" w:rsidRPr="000665B0" w:rsidRDefault="00C1621C" w:rsidP="006D5A65">
            <w:pPr>
              <w:pStyle w:val="Heading1"/>
            </w:pPr>
            <w:r w:rsidRPr="000665B0">
              <w:t xml:space="preserve">Ensure that there is at least one set of COMSEC/TRANSEC keys </w:t>
            </w:r>
            <w:r w:rsidR="006E577D" w:rsidRPr="000665B0">
              <w:t xml:space="preserve">for the DAMA network, and Crypto keys for the ACA network </w:t>
            </w:r>
            <w:r w:rsidRPr="000665B0">
              <w:t xml:space="preserve">that </w:t>
            </w:r>
            <w:r w:rsidR="006E577D" w:rsidRPr="000665B0">
              <w:t xml:space="preserve">are </w:t>
            </w:r>
            <w:r w:rsidRPr="000665B0">
              <w:t>valid for the entire duration of the Strike Package.</w:t>
            </w:r>
          </w:p>
        </w:tc>
      </w:tr>
    </w:tbl>
    <w:p w14:paraId="5261AE34" w14:textId="77777777" w:rsidR="00C1621C" w:rsidRPr="000665B0" w:rsidRDefault="00C1621C" w:rsidP="003D7B03">
      <w:pPr>
        <w:spacing w:after="0"/>
      </w:pPr>
    </w:p>
    <w:tbl>
      <w:tblPr>
        <w:tblW w:w="13579" w:type="dxa"/>
        <w:tblInd w:w="93" w:type="dxa"/>
        <w:tblLayout w:type="fixed"/>
        <w:tblLook w:val="0000" w:firstRow="0" w:lastRow="0" w:firstColumn="0" w:lastColumn="0" w:noHBand="0" w:noVBand="0"/>
      </w:tblPr>
      <w:tblGrid>
        <w:gridCol w:w="863"/>
        <w:gridCol w:w="6358"/>
        <w:gridCol w:w="6358"/>
      </w:tblGrid>
      <w:tr w:rsidR="00C1621C" w:rsidRPr="000665B0" w14:paraId="453F5FC2" w14:textId="77777777" w:rsidTr="00935A52">
        <w:trPr>
          <w:cantSplit/>
          <w:trHeight w:val="465"/>
          <w:tblHeader/>
        </w:trPr>
        <w:tc>
          <w:tcPr>
            <w:tcW w:w="8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0864E30D" w14:textId="77777777" w:rsidR="00C1621C" w:rsidRPr="000665B0" w:rsidRDefault="00C1621C" w:rsidP="005A42A5">
            <w:pPr>
              <w:tabs>
                <w:tab w:val="left" w:pos="717"/>
              </w:tabs>
              <w:spacing w:before="60" w:after="60" w:line="240" w:lineRule="auto"/>
              <w:jc w:val="center"/>
              <w:rPr>
                <w:b/>
                <w:bCs/>
                <w:sz w:val="20"/>
              </w:rPr>
            </w:pPr>
            <w:r w:rsidRPr="000665B0">
              <w:rPr>
                <w:b/>
                <w:bCs/>
                <w:sz w:val="20"/>
              </w:rPr>
              <w:lastRenderedPageBreak/>
              <w:t>Step</w:t>
            </w:r>
          </w:p>
        </w:tc>
        <w:tc>
          <w:tcPr>
            <w:tcW w:w="6358"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21671B41" w14:textId="77777777" w:rsidR="00C1621C" w:rsidRPr="000665B0" w:rsidRDefault="00C1621C" w:rsidP="00346248">
            <w:pPr>
              <w:pageBreakBefore/>
              <w:spacing w:before="60" w:after="60" w:line="240" w:lineRule="auto"/>
              <w:jc w:val="center"/>
              <w:rPr>
                <w:b/>
                <w:bCs/>
                <w:sz w:val="20"/>
              </w:rPr>
            </w:pPr>
            <w:r w:rsidRPr="000665B0">
              <w:rPr>
                <w:b/>
                <w:bCs/>
                <w:sz w:val="20"/>
              </w:rPr>
              <w:t>Operator Action</w:t>
            </w:r>
          </w:p>
        </w:tc>
        <w:tc>
          <w:tcPr>
            <w:tcW w:w="6358"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0B8D4291" w14:textId="77777777" w:rsidR="00C1621C" w:rsidRPr="000665B0" w:rsidRDefault="00C1621C" w:rsidP="00346248">
            <w:pPr>
              <w:pageBreakBefore/>
              <w:spacing w:before="60" w:after="60" w:line="240" w:lineRule="auto"/>
              <w:jc w:val="center"/>
              <w:rPr>
                <w:b/>
                <w:bCs/>
                <w:sz w:val="20"/>
              </w:rPr>
            </w:pPr>
            <w:r w:rsidRPr="000665B0">
              <w:rPr>
                <w:b/>
                <w:bCs/>
                <w:sz w:val="20"/>
              </w:rPr>
              <w:t>Notes/Comments</w:t>
            </w:r>
          </w:p>
        </w:tc>
      </w:tr>
      <w:tr w:rsidR="00C1621C" w:rsidRPr="000665B0" w14:paraId="4402F3CC" w14:textId="77777777" w:rsidTr="00346248">
        <w:trPr>
          <w:cantSplit/>
          <w:trHeight w:val="1020"/>
        </w:trPr>
        <w:tc>
          <w:tcPr>
            <w:tcW w:w="863" w:type="dxa"/>
            <w:tcBorders>
              <w:top w:val="nil"/>
              <w:left w:val="single" w:sz="4" w:space="0" w:color="auto"/>
              <w:bottom w:val="single" w:sz="4" w:space="0" w:color="auto"/>
              <w:right w:val="single" w:sz="4" w:space="0" w:color="auto"/>
            </w:tcBorders>
          </w:tcPr>
          <w:p w14:paraId="2B498053" w14:textId="77777777" w:rsidR="00C1621C" w:rsidRPr="000665B0" w:rsidRDefault="00C1621C" w:rsidP="00346248">
            <w:pPr>
              <w:spacing w:before="60" w:after="60" w:line="240" w:lineRule="auto"/>
              <w:jc w:val="center"/>
              <w:rPr>
                <w:sz w:val="20"/>
              </w:rPr>
            </w:pPr>
            <w:r w:rsidRPr="000665B0">
              <w:rPr>
                <w:sz w:val="20"/>
              </w:rPr>
              <w:t>1</w:t>
            </w:r>
          </w:p>
        </w:tc>
        <w:tc>
          <w:tcPr>
            <w:tcW w:w="6358" w:type="dxa"/>
            <w:tcBorders>
              <w:top w:val="nil"/>
              <w:left w:val="nil"/>
              <w:bottom w:val="single" w:sz="4" w:space="0" w:color="auto"/>
              <w:right w:val="single" w:sz="4" w:space="0" w:color="auto"/>
            </w:tcBorders>
          </w:tcPr>
          <w:p w14:paraId="3DCCCABE" w14:textId="77777777" w:rsidR="00C1621C" w:rsidRPr="000665B0" w:rsidRDefault="00C1621C" w:rsidP="00346248">
            <w:pPr>
              <w:spacing w:before="60" w:after="60" w:line="240" w:lineRule="auto"/>
              <w:rPr>
                <w:bCs/>
                <w:sz w:val="20"/>
              </w:rPr>
            </w:pPr>
            <w:r w:rsidRPr="000665B0">
              <w:rPr>
                <w:bCs/>
                <w:sz w:val="20"/>
              </w:rPr>
              <w:t>Create a new Strike Folder.</w:t>
            </w:r>
          </w:p>
          <w:p w14:paraId="748AA5A6" w14:textId="77777777" w:rsidR="00C1621C" w:rsidRPr="000665B0" w:rsidRDefault="00C1621C" w:rsidP="006D5A65">
            <w:pPr>
              <w:pStyle w:val="Heading1"/>
            </w:pPr>
            <w:r w:rsidRPr="000665B0">
              <w:t>Navigate to the Strike Folders tool.</w:t>
            </w:r>
          </w:p>
          <w:p w14:paraId="0601CE37" w14:textId="77777777" w:rsidR="00C1621C" w:rsidRPr="000665B0" w:rsidRDefault="00C1621C" w:rsidP="006D5A65">
            <w:pPr>
              <w:pStyle w:val="Heading1"/>
            </w:pPr>
            <w:r w:rsidRPr="000665B0">
              <w:t xml:space="preserve">Select File </w:t>
            </w:r>
            <w:r w:rsidRPr="000665B0">
              <w:sym w:font="Wingdings" w:char="F0E0"/>
            </w:r>
            <w:r w:rsidRPr="000665B0">
              <w:t xml:space="preserve"> New </w:t>
            </w:r>
            <w:r w:rsidRPr="000665B0">
              <w:sym w:font="Wingdings 3" w:char="F07D"/>
            </w:r>
            <w:r w:rsidRPr="000665B0">
              <w:t xml:space="preserve"> Training (see Note).</w:t>
            </w:r>
          </w:p>
          <w:p w14:paraId="0E50BFAB" w14:textId="77777777" w:rsidR="00C1621C" w:rsidRPr="000665B0" w:rsidRDefault="00C1621C" w:rsidP="006D5A65">
            <w:pPr>
              <w:pStyle w:val="Heading1"/>
              <w:rPr>
                <w:bCs/>
              </w:rPr>
            </w:pPr>
            <w:r w:rsidRPr="000665B0">
              <w:t>Name the new strike folder Training Strike Package.</w:t>
            </w:r>
          </w:p>
          <w:p w14:paraId="4AD5B2A0" w14:textId="77777777" w:rsidR="00C1621C" w:rsidRPr="000665B0" w:rsidRDefault="00C1621C" w:rsidP="006D5A65">
            <w:pPr>
              <w:pStyle w:val="Heading1"/>
              <w:rPr>
                <w:bCs/>
              </w:rPr>
            </w:pPr>
            <w:r w:rsidRPr="000665B0">
              <w:t>Save the training strike folder. It is advisable to occasionally save throughout this procedure.</w:t>
            </w:r>
          </w:p>
        </w:tc>
        <w:tc>
          <w:tcPr>
            <w:tcW w:w="6358" w:type="dxa"/>
            <w:tcBorders>
              <w:top w:val="nil"/>
              <w:left w:val="nil"/>
              <w:bottom w:val="single" w:sz="4" w:space="0" w:color="auto"/>
              <w:right w:val="single" w:sz="4" w:space="0" w:color="auto"/>
            </w:tcBorders>
          </w:tcPr>
          <w:p w14:paraId="0332841D" w14:textId="77777777" w:rsidR="00C1621C" w:rsidRPr="000665B0" w:rsidRDefault="00C1621C" w:rsidP="00346248">
            <w:pPr>
              <w:spacing w:before="60" w:after="60" w:line="240" w:lineRule="auto"/>
              <w:rPr>
                <w:sz w:val="20"/>
              </w:rPr>
            </w:pPr>
            <w:r w:rsidRPr="000665B0">
              <w:rPr>
                <w:sz w:val="20"/>
              </w:rPr>
              <w:t xml:space="preserve">A </w:t>
            </w:r>
            <w:r w:rsidRPr="000665B0">
              <w:rPr>
                <w:b/>
                <w:sz w:val="20"/>
              </w:rPr>
              <w:t>Training</w:t>
            </w:r>
            <w:r w:rsidRPr="000665B0">
              <w:rPr>
                <w:sz w:val="20"/>
              </w:rPr>
              <w:t xml:space="preserve"> strike is best for a simulated strike as it provides a safe mode of execution/rehearsal. Authentic strikes need to be </w:t>
            </w:r>
            <w:r w:rsidRPr="000665B0">
              <w:rPr>
                <w:b/>
                <w:sz w:val="20"/>
              </w:rPr>
              <w:t>Tactical</w:t>
            </w:r>
            <w:r w:rsidRPr="000665B0">
              <w:rPr>
                <w:sz w:val="20"/>
              </w:rPr>
              <w:t>.</w:t>
            </w:r>
          </w:p>
        </w:tc>
      </w:tr>
      <w:tr w:rsidR="00C1621C" w:rsidRPr="000665B0" w14:paraId="30B76CAF" w14:textId="77777777" w:rsidTr="00346248">
        <w:trPr>
          <w:cantSplit/>
          <w:trHeight w:val="1020"/>
        </w:trPr>
        <w:tc>
          <w:tcPr>
            <w:tcW w:w="863" w:type="dxa"/>
            <w:tcBorders>
              <w:top w:val="nil"/>
              <w:left w:val="single" w:sz="4" w:space="0" w:color="auto"/>
              <w:bottom w:val="single" w:sz="4" w:space="0" w:color="auto"/>
              <w:right w:val="single" w:sz="4" w:space="0" w:color="auto"/>
            </w:tcBorders>
          </w:tcPr>
          <w:p w14:paraId="404FB9D8" w14:textId="77777777" w:rsidR="00C1621C" w:rsidRPr="000665B0" w:rsidRDefault="00C1621C" w:rsidP="00346248">
            <w:pPr>
              <w:spacing w:before="60" w:after="60" w:line="240" w:lineRule="auto"/>
              <w:jc w:val="center"/>
              <w:rPr>
                <w:sz w:val="20"/>
              </w:rPr>
            </w:pPr>
            <w:r w:rsidRPr="000665B0">
              <w:rPr>
                <w:sz w:val="20"/>
              </w:rPr>
              <w:t>2</w:t>
            </w:r>
          </w:p>
        </w:tc>
        <w:tc>
          <w:tcPr>
            <w:tcW w:w="6358" w:type="dxa"/>
            <w:tcBorders>
              <w:top w:val="nil"/>
              <w:left w:val="nil"/>
              <w:bottom w:val="single" w:sz="4" w:space="0" w:color="auto"/>
              <w:right w:val="single" w:sz="4" w:space="0" w:color="auto"/>
            </w:tcBorders>
          </w:tcPr>
          <w:p w14:paraId="4D99710E" w14:textId="7B9EDF59" w:rsidR="00C1621C" w:rsidRPr="000665B0" w:rsidRDefault="00C1621C" w:rsidP="00346248">
            <w:pPr>
              <w:pageBreakBefore/>
              <w:spacing w:before="60" w:after="60" w:line="240" w:lineRule="auto"/>
              <w:rPr>
                <w:bCs/>
                <w:sz w:val="20"/>
              </w:rPr>
            </w:pPr>
            <w:r w:rsidRPr="000665B0">
              <w:rPr>
                <w:bCs/>
                <w:sz w:val="20"/>
              </w:rPr>
              <w:t xml:space="preserve">Add Strike Geographic Resources – </w:t>
            </w:r>
            <w:r w:rsidR="006E577D" w:rsidRPr="000665B0">
              <w:rPr>
                <w:bCs/>
                <w:sz w:val="20"/>
              </w:rPr>
              <w:t xml:space="preserve">POB, </w:t>
            </w:r>
            <w:r w:rsidRPr="000665B0">
              <w:rPr>
                <w:bCs/>
                <w:sz w:val="20"/>
              </w:rPr>
              <w:t>PLP(s), FPPWP, and Op Area (see Note)</w:t>
            </w:r>
          </w:p>
          <w:p w14:paraId="1292FAE8" w14:textId="14A871EA" w:rsidR="00C1621C" w:rsidRPr="000665B0" w:rsidRDefault="0037038E" w:rsidP="006D5A65">
            <w:pPr>
              <w:pStyle w:val="Heading1"/>
              <w:rPr>
                <w:bCs/>
              </w:rPr>
            </w:pPr>
            <w:r w:rsidRPr="000665B0">
              <w:t>Double-click</w:t>
            </w:r>
            <w:r w:rsidR="00C1621C" w:rsidRPr="000665B0">
              <w:t xml:space="preserve"> the Geographic Resources </w:t>
            </w:r>
            <w:r w:rsidR="00C1621C" w:rsidRPr="000665B0">
              <w:rPr>
                <w:noProof/>
              </w:rPr>
              <w:drawing>
                <wp:inline distT="0" distB="0" distL="0" distR="0" wp14:anchorId="0C119070" wp14:editId="18DEC619">
                  <wp:extent cx="194982" cy="194982"/>
                  <wp:effectExtent l="0" t="0" r="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195557" cy="195557"/>
                          </a:xfrm>
                          <a:prstGeom prst="rect">
                            <a:avLst/>
                          </a:prstGeom>
                          <a:noFill/>
                          <a:ln w="9525">
                            <a:noFill/>
                            <a:miter lim="800000"/>
                            <a:headEnd/>
                            <a:tailEnd/>
                          </a:ln>
                        </pic:spPr>
                      </pic:pic>
                    </a:graphicData>
                  </a:graphic>
                </wp:inline>
              </w:drawing>
            </w:r>
            <w:r w:rsidR="00C1621C" w:rsidRPr="000665B0">
              <w:t xml:space="preserve"> icon.</w:t>
            </w:r>
          </w:p>
          <w:p w14:paraId="2BB06170" w14:textId="5088E7B3" w:rsidR="00C1621C" w:rsidRPr="000665B0" w:rsidRDefault="00D71804" w:rsidP="006D5A65">
            <w:pPr>
              <w:pStyle w:val="Heading1"/>
              <w:rPr>
                <w:bCs/>
              </w:rPr>
            </w:pPr>
            <w:r w:rsidRPr="000665B0">
              <w:t>Right-click</w:t>
            </w:r>
            <w:r w:rsidR="00C1621C" w:rsidRPr="000665B0">
              <w:t xml:space="preserve"> in the window and select Add </w:t>
            </w:r>
            <w:r w:rsidR="00C1621C" w:rsidRPr="000665B0">
              <w:sym w:font="Wingdings 3" w:char="F07D"/>
            </w:r>
            <w:r w:rsidR="00C1621C" w:rsidRPr="000665B0">
              <w:t xml:space="preserve"> ACMS.</w:t>
            </w:r>
          </w:p>
          <w:p w14:paraId="2896C048" w14:textId="61443D8C" w:rsidR="00C1621C" w:rsidRPr="000665B0" w:rsidRDefault="00C1621C" w:rsidP="006D5A65">
            <w:pPr>
              <w:pStyle w:val="Heading1"/>
              <w:rPr>
                <w:bCs/>
              </w:rPr>
            </w:pPr>
            <w:r w:rsidRPr="000665B0">
              <w:t xml:space="preserve">Select </w:t>
            </w:r>
            <w:r w:rsidR="006E577D" w:rsidRPr="000665B0">
              <w:t xml:space="preserve">POB, </w:t>
            </w:r>
            <w:r w:rsidRPr="000665B0">
              <w:rPr>
                <w:bCs/>
              </w:rPr>
              <w:t>PLP(s), FPPWP, and Op Area</w:t>
            </w:r>
            <w:r w:rsidRPr="000665B0">
              <w:t xml:space="preserve"> ACMS from the list that are located in the desired strike </w:t>
            </w:r>
            <w:r w:rsidR="000201D0" w:rsidRPr="000665B0">
              <w:t>location.</w:t>
            </w:r>
          </w:p>
          <w:p w14:paraId="3A5B65A5" w14:textId="77777777" w:rsidR="00C1621C" w:rsidRPr="000665B0" w:rsidRDefault="00C1621C" w:rsidP="006D5A65">
            <w:pPr>
              <w:pStyle w:val="Heading1"/>
              <w:rPr>
                <w:bCs/>
              </w:rPr>
            </w:pPr>
            <w:r w:rsidRPr="000665B0">
              <w:t>Save and close the window.</w:t>
            </w:r>
          </w:p>
        </w:tc>
        <w:tc>
          <w:tcPr>
            <w:tcW w:w="6358" w:type="dxa"/>
            <w:tcBorders>
              <w:top w:val="nil"/>
              <w:left w:val="nil"/>
              <w:bottom w:val="single" w:sz="4" w:space="0" w:color="auto"/>
              <w:right w:val="single" w:sz="4" w:space="0" w:color="auto"/>
            </w:tcBorders>
          </w:tcPr>
          <w:p w14:paraId="5F573C76" w14:textId="3D3EE015" w:rsidR="00C1621C" w:rsidRPr="000665B0" w:rsidRDefault="006E577D">
            <w:pPr>
              <w:pageBreakBefore/>
              <w:spacing w:before="60" w:after="60" w:line="240" w:lineRule="auto"/>
              <w:rPr>
                <w:bCs/>
                <w:sz w:val="20"/>
              </w:rPr>
            </w:pPr>
            <w:r w:rsidRPr="000665B0">
              <w:rPr>
                <w:bCs/>
                <w:sz w:val="20"/>
              </w:rPr>
              <w:t xml:space="preserve">A POB (see </w:t>
            </w:r>
            <w:hyperlink w:anchor="_Planned_Outcomes_Boundary" w:history="1">
              <w:r w:rsidRPr="000665B0">
                <w:rPr>
                  <w:rStyle w:val="Hyperlink"/>
                  <w:bCs/>
                  <w:sz w:val="20"/>
                </w:rPr>
                <w:t xml:space="preserve">Section </w:t>
              </w:r>
              <w:r w:rsidR="004231CC">
                <w:rPr>
                  <w:rStyle w:val="Hyperlink"/>
                  <w:bCs/>
                  <w:sz w:val="20"/>
                </w:rPr>
                <w:t>5.29</w:t>
              </w:r>
              <w:r w:rsidRPr="000665B0">
                <w:rPr>
                  <w:rStyle w:val="Hyperlink"/>
                  <w:bCs/>
                  <w:sz w:val="20"/>
                </w:rPr>
                <w:t>.1.1</w:t>
              </w:r>
            </w:hyperlink>
            <w:r w:rsidRPr="000665B0">
              <w:rPr>
                <w:bCs/>
                <w:sz w:val="20"/>
              </w:rPr>
              <w:t>) is a geographical resource</w:t>
            </w:r>
            <w:r w:rsidR="00FF01A6" w:rsidRPr="000665B0">
              <w:rPr>
                <w:bCs/>
                <w:sz w:val="20"/>
              </w:rPr>
              <w:t xml:space="preserve"> (ACMS type)</w:t>
            </w:r>
            <w:r w:rsidRPr="000665B0">
              <w:rPr>
                <w:bCs/>
                <w:sz w:val="20"/>
              </w:rPr>
              <w:t xml:space="preserve"> that supports the ACA network. </w:t>
            </w:r>
            <w:r w:rsidR="00EF4ECE" w:rsidRPr="000665B0">
              <w:rPr>
                <w:bCs/>
                <w:sz w:val="20"/>
              </w:rPr>
              <w:t>The POB</w:t>
            </w:r>
            <w:r w:rsidRPr="000665B0">
              <w:rPr>
                <w:bCs/>
                <w:sz w:val="20"/>
              </w:rPr>
              <w:t xml:space="preserve"> should have complete geographical coverage of all targets, missions, </w:t>
            </w:r>
            <w:r w:rsidR="00973B0C" w:rsidRPr="000665B0">
              <w:rPr>
                <w:bCs/>
                <w:sz w:val="20"/>
              </w:rPr>
              <w:t xml:space="preserve">and </w:t>
            </w:r>
            <w:r w:rsidRPr="000665B0">
              <w:rPr>
                <w:bCs/>
                <w:sz w:val="20"/>
              </w:rPr>
              <w:t>units in the Arsenal.</w:t>
            </w:r>
            <w:r w:rsidR="00C1621C" w:rsidRPr="000665B0">
              <w:rPr>
                <w:bCs/>
                <w:sz w:val="20"/>
              </w:rPr>
              <w:t xml:space="preserve"> FPPWP and Op Areas are standard geographical resources that support LMO(s), CFF(s), and TMPR(s). The more intricate strike packages will include Loiter(s), Corridor(s), and other ACMSs/Overlays that support complex strike planning/execution.</w:t>
            </w:r>
          </w:p>
        </w:tc>
      </w:tr>
      <w:tr w:rsidR="00C1621C" w:rsidRPr="000665B0" w14:paraId="67926DE8" w14:textId="77777777" w:rsidTr="00346248">
        <w:trPr>
          <w:trHeight w:val="2960"/>
        </w:trPr>
        <w:tc>
          <w:tcPr>
            <w:tcW w:w="863" w:type="dxa"/>
            <w:tcBorders>
              <w:top w:val="nil"/>
              <w:left w:val="single" w:sz="4" w:space="0" w:color="auto"/>
              <w:bottom w:val="single" w:sz="4" w:space="0" w:color="auto"/>
              <w:right w:val="single" w:sz="4" w:space="0" w:color="auto"/>
            </w:tcBorders>
          </w:tcPr>
          <w:p w14:paraId="07D14C0C" w14:textId="77777777" w:rsidR="00C1621C" w:rsidRPr="000665B0" w:rsidRDefault="00C1621C" w:rsidP="00346248">
            <w:pPr>
              <w:spacing w:before="60" w:after="60" w:line="240" w:lineRule="auto"/>
              <w:jc w:val="center"/>
              <w:rPr>
                <w:sz w:val="20"/>
              </w:rPr>
            </w:pPr>
            <w:r w:rsidRPr="000665B0">
              <w:rPr>
                <w:sz w:val="20"/>
              </w:rPr>
              <w:t>3</w:t>
            </w:r>
          </w:p>
        </w:tc>
        <w:tc>
          <w:tcPr>
            <w:tcW w:w="6358" w:type="dxa"/>
            <w:tcBorders>
              <w:top w:val="nil"/>
              <w:left w:val="nil"/>
              <w:bottom w:val="single" w:sz="4" w:space="0" w:color="auto"/>
              <w:right w:val="single" w:sz="4" w:space="0" w:color="auto"/>
            </w:tcBorders>
          </w:tcPr>
          <w:p w14:paraId="035F0D01" w14:textId="77777777" w:rsidR="00C1621C" w:rsidRPr="000665B0" w:rsidRDefault="00C1621C" w:rsidP="00346248">
            <w:pPr>
              <w:spacing w:before="60" w:after="60" w:line="240" w:lineRule="auto"/>
              <w:rPr>
                <w:bCs/>
                <w:sz w:val="20"/>
              </w:rPr>
            </w:pPr>
            <w:r w:rsidRPr="000665B0">
              <w:rPr>
                <w:bCs/>
                <w:sz w:val="20"/>
              </w:rPr>
              <w:t>Add Strike Tasking</w:t>
            </w:r>
          </w:p>
          <w:p w14:paraId="70828C05" w14:textId="40BB285B" w:rsidR="00C1621C" w:rsidRPr="000665B0" w:rsidRDefault="0037038E" w:rsidP="006D5A65">
            <w:pPr>
              <w:pStyle w:val="Heading1"/>
            </w:pPr>
            <w:r w:rsidRPr="000665B0">
              <w:t>Double-click</w:t>
            </w:r>
            <w:r w:rsidR="00C1621C" w:rsidRPr="000665B0">
              <w:t xml:space="preserve"> the Tasking </w:t>
            </w:r>
            <w:r w:rsidR="00C1621C" w:rsidRPr="000665B0">
              <w:rPr>
                <w:bCs/>
                <w:noProof/>
              </w:rPr>
              <w:drawing>
                <wp:inline distT="0" distB="0" distL="0" distR="0" wp14:anchorId="35626368" wp14:editId="1A8C5AB6">
                  <wp:extent cx="205099" cy="205099"/>
                  <wp:effectExtent l="0" t="0" r="5080" b="5080"/>
                  <wp:docPr id="412" name="Picture 412" descr="StrikeTas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StrikeTasking"/>
                          <pic:cNvPicPr>
                            <a:picLocks noChangeAspect="1" noChangeArrowheads="1"/>
                          </pic:cNvPicPr>
                        </pic:nvPicPr>
                        <pic:blipFill>
                          <a:blip cstate="print"/>
                          <a:srcRect/>
                          <a:stretch>
                            <a:fillRect/>
                          </a:stretch>
                        </pic:blipFill>
                        <pic:spPr bwMode="auto">
                          <a:xfrm>
                            <a:off x="0" y="0"/>
                            <a:ext cx="207728" cy="207728"/>
                          </a:xfrm>
                          <a:prstGeom prst="rect">
                            <a:avLst/>
                          </a:prstGeom>
                          <a:noFill/>
                          <a:ln w="9525">
                            <a:noFill/>
                            <a:miter lim="800000"/>
                            <a:headEnd/>
                            <a:tailEnd/>
                          </a:ln>
                        </pic:spPr>
                      </pic:pic>
                    </a:graphicData>
                  </a:graphic>
                </wp:inline>
              </w:drawing>
            </w:r>
            <w:r w:rsidR="00C1621C" w:rsidRPr="000665B0">
              <w:t xml:space="preserve"> icon.</w:t>
            </w:r>
          </w:p>
          <w:p w14:paraId="5B427F8B" w14:textId="77777777" w:rsidR="00C1621C" w:rsidRPr="000665B0" w:rsidRDefault="00C1621C" w:rsidP="006D5A65">
            <w:pPr>
              <w:pStyle w:val="Heading1"/>
            </w:pPr>
            <w:r w:rsidRPr="000665B0">
              <w:t>Enter the description of the tasking in the Tasking pane.</w:t>
            </w:r>
          </w:p>
          <w:p w14:paraId="2123EEB6" w14:textId="77777777" w:rsidR="00C1621C" w:rsidRPr="000665B0" w:rsidRDefault="00C1621C" w:rsidP="00346248">
            <w:pPr>
              <w:spacing w:before="60" w:after="60"/>
              <w:rPr>
                <w:sz w:val="20"/>
              </w:rPr>
            </w:pPr>
            <w:r w:rsidRPr="000665B0">
              <w:rPr>
                <w:sz w:val="20"/>
              </w:rPr>
              <w:t>Add Tasking Objective (see Note 1)</w:t>
            </w:r>
          </w:p>
          <w:p w14:paraId="7A896F37" w14:textId="01C6613B" w:rsidR="00C1621C" w:rsidRPr="000665B0" w:rsidRDefault="00D71804" w:rsidP="006D5A65">
            <w:pPr>
              <w:pStyle w:val="Heading1"/>
            </w:pPr>
            <w:r w:rsidRPr="000665B0">
              <w:t>Right-click</w:t>
            </w:r>
            <w:r w:rsidR="00C1621C" w:rsidRPr="000665B0">
              <w:t xml:space="preserve"> in the Objectives pane and select Add.</w:t>
            </w:r>
          </w:p>
          <w:p w14:paraId="057C8C8B" w14:textId="4827DBD2" w:rsidR="00C1621C" w:rsidRPr="000665B0" w:rsidRDefault="00C1621C" w:rsidP="006D5A65">
            <w:pPr>
              <w:pStyle w:val="Heading1"/>
            </w:pPr>
            <w:r w:rsidRPr="000665B0">
              <w:t>Enter the tasking objective (</w:t>
            </w:r>
            <w:r w:rsidR="003509EA" w:rsidRPr="000665B0">
              <w:t xml:space="preserve">e.g., </w:t>
            </w:r>
            <w:r w:rsidRPr="000665B0">
              <w:t>“Destroy Target”) into the Objectives pane and select OK.</w:t>
            </w:r>
          </w:p>
          <w:p w14:paraId="162851D8" w14:textId="77777777" w:rsidR="00C1621C" w:rsidRPr="000665B0" w:rsidRDefault="00C1621C" w:rsidP="00346248">
            <w:pPr>
              <w:spacing w:before="60" w:after="60"/>
              <w:rPr>
                <w:sz w:val="20"/>
              </w:rPr>
            </w:pPr>
            <w:r w:rsidRPr="000665B0">
              <w:rPr>
                <w:sz w:val="20"/>
              </w:rPr>
              <w:t>Add Targets/Missions (see Note 2)</w:t>
            </w:r>
          </w:p>
          <w:p w14:paraId="23D8786E" w14:textId="5F0619FF" w:rsidR="00C1621C" w:rsidRPr="000665B0" w:rsidRDefault="00D71804" w:rsidP="006D5A65">
            <w:pPr>
              <w:pStyle w:val="Heading1"/>
            </w:pPr>
            <w:r w:rsidRPr="000665B0">
              <w:t>Right-click</w:t>
            </w:r>
            <w:r w:rsidR="00C1621C" w:rsidRPr="000665B0">
              <w:t xml:space="preserve"> in the Targets pane and select Add </w:t>
            </w:r>
            <w:r w:rsidR="00C1621C" w:rsidRPr="000665B0">
              <w:sym w:font="Wingdings 3" w:char="F07D"/>
            </w:r>
            <w:r w:rsidR="00C1621C" w:rsidRPr="000665B0">
              <w:t xml:space="preserve"> Targets or Missions.</w:t>
            </w:r>
          </w:p>
          <w:p w14:paraId="4290C6D6" w14:textId="77777777" w:rsidR="00C1621C" w:rsidRPr="000665B0" w:rsidRDefault="00C1621C" w:rsidP="006D5A65">
            <w:pPr>
              <w:pStyle w:val="Heading1"/>
            </w:pPr>
            <w:r w:rsidRPr="000665B0">
              <w:t>Select targets or missions from the list that are located in the desired strike location.</w:t>
            </w:r>
          </w:p>
          <w:p w14:paraId="4728E665" w14:textId="11FA0438" w:rsidR="00C1621C" w:rsidRPr="000665B0" w:rsidRDefault="00C1621C" w:rsidP="006D5A65">
            <w:pPr>
              <w:pStyle w:val="Heading1"/>
            </w:pPr>
            <w:r w:rsidRPr="000665B0">
              <w:t xml:space="preserve">Assign the targets/missions to the objective that was created in the previous step. In the Targets pane, select the desired target(s)/mission(s). </w:t>
            </w:r>
            <w:r w:rsidR="00D71804" w:rsidRPr="000665B0">
              <w:t>Right-click</w:t>
            </w:r>
            <w:r w:rsidRPr="000665B0">
              <w:t xml:space="preserve"> and select Edit </w:t>
            </w:r>
            <w:r w:rsidRPr="000665B0">
              <w:sym w:font="Wingdings 3" w:char="F07D"/>
            </w:r>
            <w:r w:rsidRPr="000665B0">
              <w:t xml:space="preserve"> Objective </w:t>
            </w:r>
            <w:r w:rsidRPr="000665B0">
              <w:lastRenderedPageBreak/>
              <w:t xml:space="preserve">ID. Select the desired Objective ID from the </w:t>
            </w:r>
            <w:r w:rsidR="00D24B5E" w:rsidRPr="000665B0">
              <w:t>pull-down</w:t>
            </w:r>
            <w:r w:rsidRPr="000665B0">
              <w:t xml:space="preserve"> menu and click OK.</w:t>
            </w:r>
          </w:p>
          <w:p w14:paraId="071B84B1" w14:textId="77777777" w:rsidR="00C1621C" w:rsidRPr="000665B0" w:rsidRDefault="00C1621C" w:rsidP="006D5A65">
            <w:pPr>
              <w:pStyle w:val="Heading1"/>
            </w:pPr>
            <w:r w:rsidRPr="000665B0">
              <w:t>Save the Strike Tasking and close the window. If CFF tasking is desired, continue per below.</w:t>
            </w:r>
          </w:p>
          <w:p w14:paraId="45BE1F2A" w14:textId="4DB39489" w:rsidR="00C1621C" w:rsidRPr="000665B0" w:rsidRDefault="00C1621C" w:rsidP="00346248">
            <w:pPr>
              <w:spacing w:before="60" w:after="60"/>
              <w:rPr>
                <w:sz w:val="20"/>
              </w:rPr>
            </w:pPr>
            <w:r w:rsidRPr="000665B0">
              <w:rPr>
                <w:bCs/>
                <w:sz w:val="20"/>
              </w:rPr>
              <w:t xml:space="preserve">Add Another Objective and CFF Target (Optional; Required Only if Performing Case G in Appendix </w:t>
            </w:r>
            <w:r w:rsidR="00093C35" w:rsidRPr="000665B0">
              <w:rPr>
                <w:bCs/>
                <w:sz w:val="20"/>
              </w:rPr>
              <w:t>P</w:t>
            </w:r>
            <w:r w:rsidRPr="000665B0">
              <w:rPr>
                <w:bCs/>
                <w:sz w:val="20"/>
              </w:rPr>
              <w:t>)</w:t>
            </w:r>
          </w:p>
          <w:p w14:paraId="29BE762F" w14:textId="2B873D53" w:rsidR="00C1621C" w:rsidRPr="000665B0" w:rsidRDefault="00C1621C" w:rsidP="006D5A65">
            <w:pPr>
              <w:pStyle w:val="Heading1"/>
            </w:pPr>
            <w:r w:rsidRPr="000665B0">
              <w:t xml:space="preserve">Display the Strike Tasking folder. </w:t>
            </w:r>
            <w:r w:rsidR="00D71804" w:rsidRPr="000665B0">
              <w:t>Right-click</w:t>
            </w:r>
            <w:r w:rsidRPr="000665B0">
              <w:t xml:space="preserve"> in the Objectives pane and select Add.</w:t>
            </w:r>
          </w:p>
          <w:p w14:paraId="0AC8C072" w14:textId="072F0237" w:rsidR="00C1621C" w:rsidRPr="000665B0" w:rsidRDefault="00C1621C" w:rsidP="006D5A65">
            <w:pPr>
              <w:pStyle w:val="Heading1"/>
            </w:pPr>
            <w:r w:rsidRPr="000665B0">
              <w:t>Enter the tasking objective (</w:t>
            </w:r>
            <w:r w:rsidR="003509EA" w:rsidRPr="000665B0">
              <w:t xml:space="preserve">e.g., </w:t>
            </w:r>
            <w:r w:rsidRPr="000665B0">
              <w:t>“Call For Fire”) into the Objectives pane and select OK.</w:t>
            </w:r>
          </w:p>
          <w:p w14:paraId="528B80F2" w14:textId="3C9E49E0" w:rsidR="00C1621C" w:rsidRPr="000665B0" w:rsidRDefault="00D71804" w:rsidP="006D5A65">
            <w:pPr>
              <w:pStyle w:val="Heading1"/>
            </w:pPr>
            <w:r w:rsidRPr="000665B0">
              <w:t>Right-click</w:t>
            </w:r>
            <w:r w:rsidR="00C1621C" w:rsidRPr="000665B0">
              <w:t xml:space="preserve"> in the Targets pane and select Add </w:t>
            </w:r>
            <w:r w:rsidR="00C1621C" w:rsidRPr="000665B0">
              <w:sym w:font="Wingdings 3" w:char="F07D"/>
            </w:r>
            <w:r w:rsidR="00C1621C" w:rsidRPr="000665B0">
              <w:t xml:space="preserve"> Call For Fire. </w:t>
            </w:r>
          </w:p>
          <w:p w14:paraId="4CDEB235" w14:textId="3F80A273" w:rsidR="00C1621C" w:rsidRPr="000665B0" w:rsidRDefault="00C1621C" w:rsidP="006D5A65">
            <w:pPr>
              <w:pStyle w:val="Heading1"/>
              <w:rPr>
                <w:bCs/>
              </w:rPr>
            </w:pPr>
            <w:r w:rsidRPr="000665B0">
              <w:t xml:space="preserve">Assign the CFF to the objective that was created in the previous step: In the Targets pane, </w:t>
            </w:r>
            <w:r w:rsidR="00D71804" w:rsidRPr="000665B0">
              <w:t>right-click</w:t>
            </w:r>
            <w:r w:rsidRPr="000665B0">
              <w:t xml:space="preserve"> on the CFF and select Edit </w:t>
            </w:r>
            <w:r w:rsidRPr="000665B0">
              <w:sym w:font="Wingdings 3" w:char="F07D"/>
            </w:r>
            <w:r w:rsidRPr="000665B0">
              <w:t xml:space="preserve"> Objective ID. Select the desired Objective ID from the </w:t>
            </w:r>
            <w:r w:rsidR="00D24B5E" w:rsidRPr="000665B0">
              <w:t>pull-down</w:t>
            </w:r>
            <w:r w:rsidRPr="000665B0">
              <w:t xml:space="preserve"> menu and click OK.</w:t>
            </w:r>
          </w:p>
          <w:p w14:paraId="1667837B" w14:textId="62A1244D" w:rsidR="00C1621C" w:rsidRPr="000665B0" w:rsidRDefault="0037038E" w:rsidP="006D5A65">
            <w:pPr>
              <w:pStyle w:val="Heading1"/>
            </w:pPr>
            <w:r w:rsidRPr="000665B0">
              <w:t>Double-click</w:t>
            </w:r>
            <w:r w:rsidR="00C1621C" w:rsidRPr="000665B0">
              <w:t xml:space="preserve"> on the CFF in the Targets pane. Select the Requires </w:t>
            </w:r>
            <w:r w:rsidR="00051214" w:rsidRPr="000665B0">
              <w:t>109E</w:t>
            </w:r>
            <w:r w:rsidR="00C1621C" w:rsidRPr="000665B0">
              <w:t xml:space="preserve"> checkbox and click OK.</w:t>
            </w:r>
          </w:p>
          <w:p w14:paraId="1C2BD290" w14:textId="77777777" w:rsidR="00C1621C" w:rsidRPr="000665B0" w:rsidRDefault="00C1621C" w:rsidP="006D5A65">
            <w:pPr>
              <w:pStyle w:val="Heading1"/>
              <w:rPr>
                <w:bCs/>
              </w:rPr>
            </w:pPr>
            <w:r w:rsidRPr="000665B0">
              <w:t>Save the Strike Tasking and close the window.</w:t>
            </w:r>
          </w:p>
          <w:p w14:paraId="58399FB9" w14:textId="77777777" w:rsidR="00C1621C" w:rsidRPr="000665B0" w:rsidRDefault="00C1621C" w:rsidP="006D5A65">
            <w:pPr>
              <w:pStyle w:val="Heading1"/>
              <w:rPr>
                <w:bCs/>
              </w:rPr>
            </w:pPr>
            <w:r w:rsidRPr="000665B0">
              <w:t>Note: Repeat the previous steps if a 109C CFF is also desired. For the purposes of this basic strike planning and execution/rehearsal exercise, only a 109E is required.</w:t>
            </w:r>
          </w:p>
          <w:p w14:paraId="35B16C00" w14:textId="7D563770" w:rsidR="00C1621C" w:rsidRPr="000665B0" w:rsidRDefault="00C1621C" w:rsidP="00346248">
            <w:pPr>
              <w:spacing w:before="60" w:after="60"/>
              <w:rPr>
                <w:sz w:val="20"/>
              </w:rPr>
            </w:pPr>
            <w:r w:rsidRPr="000665B0">
              <w:rPr>
                <w:bCs/>
                <w:sz w:val="20"/>
              </w:rPr>
              <w:t xml:space="preserve">Add Another Objective and LMO Tasking (Optional; Required Only if Performing </w:t>
            </w:r>
            <w:r w:rsidRPr="000665B0">
              <w:rPr>
                <w:sz w:val="20"/>
              </w:rPr>
              <w:t xml:space="preserve">Case G </w:t>
            </w:r>
            <w:r w:rsidRPr="000665B0">
              <w:rPr>
                <w:bCs/>
                <w:sz w:val="20"/>
              </w:rPr>
              <w:t xml:space="preserve">in Appendix </w:t>
            </w:r>
            <w:r w:rsidR="00093C35" w:rsidRPr="000665B0">
              <w:rPr>
                <w:bCs/>
                <w:sz w:val="20"/>
              </w:rPr>
              <w:t>P</w:t>
            </w:r>
            <w:r w:rsidRPr="000665B0">
              <w:rPr>
                <w:bCs/>
                <w:sz w:val="20"/>
              </w:rPr>
              <w:t xml:space="preserve">) </w:t>
            </w:r>
          </w:p>
          <w:p w14:paraId="72891623" w14:textId="2E81C110" w:rsidR="00C1621C" w:rsidRPr="000665B0" w:rsidRDefault="00C1621C" w:rsidP="006D5A65">
            <w:pPr>
              <w:pStyle w:val="Heading1"/>
            </w:pPr>
            <w:r w:rsidRPr="000665B0">
              <w:t xml:space="preserve">Display the Strike Tasking folder. </w:t>
            </w:r>
            <w:r w:rsidR="00D71804" w:rsidRPr="000665B0">
              <w:t>Right-click</w:t>
            </w:r>
            <w:r w:rsidRPr="000665B0">
              <w:t xml:space="preserve"> in the Objectives pane and select Add.</w:t>
            </w:r>
          </w:p>
          <w:p w14:paraId="10232A43" w14:textId="657AA6CF" w:rsidR="00C1621C" w:rsidRPr="000665B0" w:rsidRDefault="00C1621C" w:rsidP="006D5A65">
            <w:pPr>
              <w:pStyle w:val="Heading1"/>
            </w:pPr>
            <w:r w:rsidRPr="000665B0">
              <w:t>Enter the tasking objective (</w:t>
            </w:r>
            <w:r w:rsidR="003509EA" w:rsidRPr="000665B0">
              <w:t xml:space="preserve">e.g., </w:t>
            </w:r>
            <w:r w:rsidRPr="000665B0">
              <w:t>“LMO Tasking”) into the Objectives pane and select OK.</w:t>
            </w:r>
          </w:p>
          <w:p w14:paraId="30191565" w14:textId="002552D4" w:rsidR="00C1621C" w:rsidRPr="000665B0" w:rsidRDefault="00D71804" w:rsidP="006D5A65">
            <w:pPr>
              <w:pStyle w:val="Heading1"/>
            </w:pPr>
            <w:r w:rsidRPr="000665B0">
              <w:t>Right-click</w:t>
            </w:r>
            <w:r w:rsidR="00C1621C" w:rsidRPr="000665B0">
              <w:t xml:space="preserve"> in the Targets pane and select Add </w:t>
            </w:r>
            <w:r w:rsidR="00C1621C" w:rsidRPr="000665B0">
              <w:sym w:font="Wingdings 3" w:char="F07D"/>
            </w:r>
            <w:r w:rsidR="00C1621C" w:rsidRPr="000665B0">
              <w:t xml:space="preserve"> Targets. </w:t>
            </w:r>
          </w:p>
          <w:p w14:paraId="4D56A15A" w14:textId="77777777" w:rsidR="00C1621C" w:rsidRPr="000665B0" w:rsidRDefault="00C1621C" w:rsidP="006D5A65">
            <w:pPr>
              <w:pStyle w:val="Heading1"/>
            </w:pPr>
            <w:r w:rsidRPr="000665B0">
              <w:t>Select the target(s) from the list that is located in the desired strike location.</w:t>
            </w:r>
          </w:p>
          <w:p w14:paraId="0F78D57C" w14:textId="44E4E1E8" w:rsidR="00C1621C" w:rsidRPr="000665B0" w:rsidRDefault="00C1621C" w:rsidP="006D5A65">
            <w:pPr>
              <w:pStyle w:val="Heading1"/>
            </w:pPr>
            <w:r w:rsidRPr="000665B0">
              <w:lastRenderedPageBreak/>
              <w:t xml:space="preserve">Assign the target(s) to the objective that was created in the previous step: In the Targets pane, </w:t>
            </w:r>
            <w:r w:rsidR="00D71804" w:rsidRPr="000665B0">
              <w:t>right-click</w:t>
            </w:r>
            <w:r w:rsidRPr="000665B0">
              <w:t xml:space="preserve"> on the target(s) and select Edit </w:t>
            </w:r>
            <w:r w:rsidRPr="000665B0">
              <w:sym w:font="Wingdings 3" w:char="F07D"/>
            </w:r>
            <w:r w:rsidRPr="000665B0">
              <w:t xml:space="preserve"> Objective ID. Select the desired Objective ID from the </w:t>
            </w:r>
            <w:r w:rsidR="00D24B5E" w:rsidRPr="000665B0">
              <w:t>pull-down</w:t>
            </w:r>
            <w:r w:rsidRPr="000665B0">
              <w:t xml:space="preserve"> menu and click OK.</w:t>
            </w:r>
          </w:p>
          <w:p w14:paraId="29A2BD15" w14:textId="77777777" w:rsidR="00C1621C" w:rsidRPr="000665B0" w:rsidRDefault="00C1621C" w:rsidP="006D5A65">
            <w:pPr>
              <w:pStyle w:val="Heading1"/>
            </w:pPr>
            <w:r w:rsidRPr="000665B0">
              <w:t>Create 109E LMO</w:t>
            </w:r>
          </w:p>
          <w:p w14:paraId="633C8998" w14:textId="59A10155" w:rsidR="00C1621C" w:rsidRPr="000665B0" w:rsidRDefault="00C1621C" w:rsidP="006D5A65">
            <w:pPr>
              <w:pStyle w:val="Heading2"/>
            </w:pPr>
            <w:r w:rsidRPr="000665B0">
              <w:t xml:space="preserve">In the Targets pane, </w:t>
            </w:r>
            <w:r w:rsidR="00D71804" w:rsidRPr="000665B0">
              <w:t>right-click</w:t>
            </w:r>
            <w:r w:rsidRPr="000665B0">
              <w:t xml:space="preserve"> on the target and select New </w:t>
            </w:r>
            <w:r w:rsidRPr="000665B0">
              <w:sym w:font="Wingdings 3" w:char="F07D"/>
            </w:r>
            <w:r w:rsidRPr="000665B0">
              <w:t xml:space="preserve"> LMO </w:t>
            </w:r>
            <w:r w:rsidRPr="000665B0">
              <w:sym w:font="Wingdings 3" w:char="F07D"/>
            </w:r>
            <w:r w:rsidRPr="000665B0">
              <w:t xml:space="preserve"> Full. The </w:t>
            </w:r>
            <w:r w:rsidRPr="000665B0">
              <w:rPr>
                <w:i/>
              </w:rPr>
              <w:t>LMO for Strike Folder</w:t>
            </w:r>
            <w:r w:rsidRPr="000665B0">
              <w:t xml:space="preserve"> window is displayed.</w:t>
            </w:r>
          </w:p>
          <w:p w14:paraId="24778A8D" w14:textId="1BBB49BD" w:rsidR="00C1621C" w:rsidRPr="000665B0" w:rsidRDefault="00C1621C" w:rsidP="006D5A65">
            <w:pPr>
              <w:pStyle w:val="Heading2"/>
            </w:pPr>
            <w:r w:rsidRPr="000665B0">
              <w:t xml:space="preserve">In the General Information pane, select </w:t>
            </w:r>
            <w:r w:rsidR="00051214" w:rsidRPr="000665B0">
              <w:t>109E</w:t>
            </w:r>
            <w:r w:rsidRPr="000665B0">
              <w:t xml:space="preserve"> Required from the </w:t>
            </w:r>
            <w:r w:rsidR="00D24B5E" w:rsidRPr="000665B0">
              <w:t>pull-down</w:t>
            </w:r>
            <w:r w:rsidRPr="000665B0">
              <w:t xml:space="preserve"> menu.</w:t>
            </w:r>
          </w:p>
          <w:p w14:paraId="190B0024" w14:textId="77777777" w:rsidR="00C1621C" w:rsidRPr="000665B0" w:rsidRDefault="00C1621C" w:rsidP="006D5A65">
            <w:pPr>
              <w:pStyle w:val="Heading2"/>
            </w:pPr>
            <w:r w:rsidRPr="000665B0">
              <w:t>In the Target Information pane, select the following:</w:t>
            </w:r>
          </w:p>
          <w:p w14:paraId="56113267" w14:textId="77777777" w:rsidR="00C1621C" w:rsidRPr="000665B0" w:rsidRDefault="00C1621C" w:rsidP="006D5A65">
            <w:pPr>
              <w:pStyle w:val="Heading1"/>
            </w:pPr>
            <w:r w:rsidRPr="000665B0">
              <w:t>Target Type: Bldg, Single Story.</w:t>
            </w:r>
          </w:p>
          <w:p w14:paraId="6CC784A3" w14:textId="77777777" w:rsidR="00C1621C" w:rsidRPr="000665B0" w:rsidRDefault="00C1621C" w:rsidP="006D5A65">
            <w:pPr>
              <w:pStyle w:val="Heading1"/>
            </w:pPr>
            <w:r w:rsidRPr="000665B0">
              <w:t>Run-in Azimuth: 180.</w:t>
            </w:r>
          </w:p>
          <w:p w14:paraId="3D385EA5" w14:textId="77777777" w:rsidR="00C1621C" w:rsidRPr="000665B0" w:rsidRDefault="00C1621C" w:rsidP="006D5A65">
            <w:pPr>
              <w:pStyle w:val="Heading2"/>
            </w:pPr>
            <w:r w:rsidRPr="000665B0">
              <w:t>In the Route Information pane, select the following:</w:t>
            </w:r>
          </w:p>
          <w:p w14:paraId="3693BC7B" w14:textId="77777777" w:rsidR="00C1621C" w:rsidRPr="000665B0" w:rsidRDefault="00C1621C" w:rsidP="006D5A65">
            <w:pPr>
              <w:pStyle w:val="Heading1"/>
            </w:pPr>
            <w:r w:rsidRPr="000665B0">
              <w:t>Route Altitude: 5000 feet.</w:t>
            </w:r>
          </w:p>
          <w:p w14:paraId="5CB27AAC" w14:textId="77777777" w:rsidR="00C1621C" w:rsidRPr="000665B0" w:rsidRDefault="00C1621C" w:rsidP="006D5A65">
            <w:pPr>
              <w:pStyle w:val="Heading1"/>
            </w:pPr>
            <w:r w:rsidRPr="000665B0">
              <w:t>Altitude Type: Clearance.</w:t>
            </w:r>
          </w:p>
          <w:p w14:paraId="4618F6F8" w14:textId="77777777" w:rsidR="00C1621C" w:rsidRPr="000665B0" w:rsidRDefault="00C1621C" w:rsidP="006D5A65">
            <w:pPr>
              <w:pStyle w:val="Heading2"/>
            </w:pPr>
            <w:r w:rsidRPr="000665B0">
              <w:t>In the First Preplanned Waypoint pane, select the following:</w:t>
            </w:r>
          </w:p>
          <w:p w14:paraId="46C763CE" w14:textId="7B08A3EF" w:rsidR="00C1621C" w:rsidRPr="000665B0" w:rsidRDefault="00C1621C" w:rsidP="006D5A65">
            <w:pPr>
              <w:pStyle w:val="Heading1"/>
            </w:pPr>
            <w:r w:rsidRPr="000665B0">
              <w:t xml:space="preserve">FPPWP Name: Select the desired FPPWP from the </w:t>
            </w:r>
            <w:r w:rsidR="00D24B5E" w:rsidRPr="000665B0">
              <w:t>pull-down</w:t>
            </w:r>
            <w:r w:rsidRPr="000665B0">
              <w:t xml:space="preserve"> menu.</w:t>
            </w:r>
          </w:p>
          <w:p w14:paraId="6A4CBC43" w14:textId="15860495" w:rsidR="00C1621C" w:rsidRPr="000665B0" w:rsidRDefault="00C1621C" w:rsidP="00346248">
            <w:pPr>
              <w:pStyle w:val="ListParagraph"/>
              <w:spacing w:before="60" w:after="60"/>
              <w:ind w:left="1474"/>
              <w:rPr>
                <w:rFonts w:ascii="Times New Roman" w:hAnsi="Times New Roman"/>
                <w:sz w:val="20"/>
                <w:szCs w:val="20"/>
              </w:rPr>
            </w:pPr>
            <w:r w:rsidRPr="000665B0">
              <w:rPr>
                <w:rFonts w:ascii="Times New Roman" w:hAnsi="Times New Roman"/>
                <w:b/>
                <w:sz w:val="20"/>
                <w:szCs w:val="20"/>
              </w:rPr>
              <w:t>Note:</w:t>
            </w:r>
            <w:r w:rsidRPr="000665B0">
              <w:rPr>
                <w:rFonts w:ascii="Times New Roman" w:hAnsi="Times New Roman"/>
                <w:sz w:val="20"/>
                <w:szCs w:val="20"/>
              </w:rPr>
              <w:t xml:space="preserve"> Ensure that the Geographic Resources have been added per the step above before adding the LMO. Otherwise, the FPPWP will not appear in the </w:t>
            </w:r>
            <w:r w:rsidR="00D24B5E" w:rsidRPr="000665B0">
              <w:rPr>
                <w:rFonts w:ascii="Times New Roman" w:hAnsi="Times New Roman"/>
                <w:sz w:val="20"/>
                <w:szCs w:val="20"/>
              </w:rPr>
              <w:t>pull-down</w:t>
            </w:r>
            <w:r w:rsidRPr="000665B0">
              <w:rPr>
                <w:rFonts w:ascii="Times New Roman" w:hAnsi="Times New Roman"/>
                <w:sz w:val="20"/>
                <w:szCs w:val="20"/>
              </w:rPr>
              <w:t xml:space="preserve"> menu.</w:t>
            </w:r>
          </w:p>
          <w:p w14:paraId="1CDF3BCC" w14:textId="77777777" w:rsidR="00C1621C" w:rsidRPr="000665B0" w:rsidRDefault="00C1621C" w:rsidP="006D5A65">
            <w:pPr>
              <w:pStyle w:val="Heading1"/>
            </w:pPr>
            <w:r w:rsidRPr="000665B0">
              <w:t>Save the LMO and close the window.</w:t>
            </w:r>
          </w:p>
          <w:p w14:paraId="3B05B257" w14:textId="77777777" w:rsidR="00C1621C" w:rsidRPr="000665B0" w:rsidRDefault="00C1621C" w:rsidP="006D5A65">
            <w:pPr>
              <w:pStyle w:val="Heading1"/>
            </w:pPr>
            <w:r w:rsidRPr="000665B0">
              <w:t>Save the Strike Tasking and close the window.</w:t>
            </w:r>
          </w:p>
          <w:p w14:paraId="6497740B" w14:textId="77777777" w:rsidR="00C1621C" w:rsidRPr="000665B0" w:rsidRDefault="00C1621C" w:rsidP="006D5A65">
            <w:pPr>
              <w:pStyle w:val="Heading1"/>
              <w:rPr>
                <w:bCs/>
              </w:rPr>
            </w:pPr>
            <w:r w:rsidRPr="000665B0">
              <w:t>Note: Repeat the previous steps if 109C Tasking is also desired. For the purposes of this basic strike planning and execution/rehearsal exercise, only 109E is required.</w:t>
            </w:r>
          </w:p>
        </w:tc>
        <w:tc>
          <w:tcPr>
            <w:tcW w:w="6358" w:type="dxa"/>
            <w:tcBorders>
              <w:top w:val="nil"/>
              <w:left w:val="nil"/>
              <w:bottom w:val="single" w:sz="4" w:space="0" w:color="auto"/>
              <w:right w:val="single" w:sz="4" w:space="0" w:color="auto"/>
            </w:tcBorders>
          </w:tcPr>
          <w:p w14:paraId="214BABEE" w14:textId="77777777" w:rsidR="00C1621C" w:rsidRPr="000665B0" w:rsidRDefault="00C1621C" w:rsidP="00346248">
            <w:pPr>
              <w:spacing w:before="60" w:after="60" w:line="240" w:lineRule="auto"/>
              <w:rPr>
                <w:sz w:val="20"/>
              </w:rPr>
            </w:pPr>
            <w:r w:rsidRPr="000665B0">
              <w:rPr>
                <w:sz w:val="20"/>
              </w:rPr>
              <w:lastRenderedPageBreak/>
              <w:t xml:space="preserve">1. The </w:t>
            </w:r>
            <w:r w:rsidRPr="000665B0">
              <w:rPr>
                <w:b/>
                <w:sz w:val="20"/>
              </w:rPr>
              <w:t>Objectives</w:t>
            </w:r>
            <w:r w:rsidRPr="000665B0">
              <w:rPr>
                <w:sz w:val="20"/>
              </w:rPr>
              <w:t xml:space="preserve"> field is a mandatory field. </w:t>
            </w:r>
          </w:p>
          <w:p w14:paraId="6F0F8C72" w14:textId="77777777" w:rsidR="00C1621C" w:rsidRPr="000665B0" w:rsidRDefault="00C1621C" w:rsidP="00346248">
            <w:pPr>
              <w:spacing w:before="60" w:after="60" w:line="240" w:lineRule="auto"/>
              <w:rPr>
                <w:sz w:val="20"/>
              </w:rPr>
            </w:pPr>
            <w:r w:rsidRPr="000665B0">
              <w:rPr>
                <w:sz w:val="20"/>
              </w:rPr>
              <w:t>Objectives can also be used to separate out CFF, LMOs, UK tasking, specific supported commanders, task unit assignments, type targets, or training objectives.</w:t>
            </w:r>
          </w:p>
          <w:p w14:paraId="428BDA17" w14:textId="77777777" w:rsidR="00C1621C" w:rsidRPr="000665B0" w:rsidRDefault="00C1621C" w:rsidP="00346248">
            <w:pPr>
              <w:spacing w:before="60" w:after="60" w:line="240" w:lineRule="auto"/>
              <w:rPr>
                <w:sz w:val="20"/>
              </w:rPr>
            </w:pPr>
            <w:r w:rsidRPr="000665B0">
              <w:rPr>
                <w:sz w:val="20"/>
              </w:rPr>
              <w:t>If there is only one Objective, then any Targets, Missions, or Mission Libraries that are added to the Targets list view are automatically assigned to that Objective. Otherwise, the added Targets will not be assigned to any Objective and will have to be manually assigned. When there is more than one Objective, associate each Target with the pertinent Objective ID. This is accomplished by editing the Objective ID for the selected Targets that are to be associated with that Objective ID.</w:t>
            </w:r>
          </w:p>
          <w:p w14:paraId="0A3A74C2" w14:textId="77777777" w:rsidR="00C1621C" w:rsidRPr="000665B0" w:rsidRDefault="00C1621C" w:rsidP="00346248">
            <w:pPr>
              <w:spacing w:before="60" w:after="60" w:line="240" w:lineRule="auto"/>
              <w:rPr>
                <w:sz w:val="20"/>
              </w:rPr>
            </w:pPr>
            <w:r w:rsidRPr="000665B0">
              <w:rPr>
                <w:sz w:val="20"/>
              </w:rPr>
              <w:t xml:space="preserve">2. Selecting targets and missions in this pane while setting up a training strike folder is recommended. This allows the use of training targets/missions without mixing tactical targets/missions. Tactical strike packages will only include tactical missions/targets. </w:t>
            </w:r>
          </w:p>
          <w:p w14:paraId="7F9DE621" w14:textId="77777777" w:rsidR="00C1621C" w:rsidRPr="000665B0" w:rsidRDefault="00C1621C" w:rsidP="00346248">
            <w:pPr>
              <w:spacing w:before="60" w:after="60" w:line="240" w:lineRule="auto"/>
              <w:rPr>
                <w:sz w:val="20"/>
              </w:rPr>
            </w:pPr>
            <w:r w:rsidRPr="000665B0">
              <w:rPr>
                <w:sz w:val="20"/>
              </w:rPr>
              <w:t xml:space="preserve">If no training targets/missions exist in TED, request training targets/missions from training command. </w:t>
            </w:r>
          </w:p>
        </w:tc>
      </w:tr>
      <w:tr w:rsidR="00C1621C" w:rsidRPr="000665B0" w14:paraId="7D696E14" w14:textId="77777777" w:rsidTr="00346248">
        <w:trPr>
          <w:cantSplit/>
        </w:trPr>
        <w:tc>
          <w:tcPr>
            <w:tcW w:w="863" w:type="dxa"/>
            <w:tcBorders>
              <w:top w:val="nil"/>
              <w:left w:val="single" w:sz="4" w:space="0" w:color="auto"/>
              <w:bottom w:val="single" w:sz="4" w:space="0" w:color="auto"/>
              <w:right w:val="single" w:sz="4" w:space="0" w:color="auto"/>
            </w:tcBorders>
          </w:tcPr>
          <w:p w14:paraId="778F491A" w14:textId="77777777" w:rsidR="00C1621C" w:rsidRPr="000665B0" w:rsidRDefault="00C1621C" w:rsidP="00346248">
            <w:pPr>
              <w:spacing w:before="60" w:after="60" w:line="240" w:lineRule="auto"/>
              <w:jc w:val="center"/>
              <w:rPr>
                <w:sz w:val="20"/>
              </w:rPr>
            </w:pPr>
            <w:r w:rsidRPr="000665B0">
              <w:rPr>
                <w:sz w:val="20"/>
              </w:rPr>
              <w:lastRenderedPageBreak/>
              <w:t>4</w:t>
            </w:r>
          </w:p>
        </w:tc>
        <w:tc>
          <w:tcPr>
            <w:tcW w:w="6358" w:type="dxa"/>
            <w:tcBorders>
              <w:top w:val="nil"/>
              <w:left w:val="nil"/>
              <w:bottom w:val="single" w:sz="4" w:space="0" w:color="auto"/>
              <w:right w:val="single" w:sz="4" w:space="0" w:color="auto"/>
            </w:tcBorders>
          </w:tcPr>
          <w:p w14:paraId="4EF452E5" w14:textId="77777777" w:rsidR="00C1621C" w:rsidRPr="000665B0" w:rsidRDefault="00C1621C" w:rsidP="00346248">
            <w:pPr>
              <w:spacing w:before="60" w:after="60" w:line="240" w:lineRule="auto"/>
              <w:rPr>
                <w:bCs/>
                <w:sz w:val="20"/>
              </w:rPr>
            </w:pPr>
            <w:r w:rsidRPr="000665B0">
              <w:rPr>
                <w:bCs/>
                <w:sz w:val="20"/>
              </w:rPr>
              <w:t>View Mission Candidates Matrix (Optional)</w:t>
            </w:r>
          </w:p>
          <w:p w14:paraId="0E1CFD20" w14:textId="7177F0E9" w:rsidR="00C1621C" w:rsidRPr="000665B0" w:rsidRDefault="00C1621C" w:rsidP="006D5A65">
            <w:pPr>
              <w:pStyle w:val="Heading1"/>
              <w:rPr>
                <w:bCs/>
              </w:rPr>
            </w:pPr>
            <w:r w:rsidRPr="000665B0">
              <w:t xml:space="preserve">Display the Candidates Matrix (see </w:t>
            </w:r>
            <w:hyperlink w:anchor="_5_.37.4_" w:history="1">
              <w:r w:rsidR="009326FE" w:rsidRPr="000665B0">
                <w:rPr>
                  <w:rStyle w:val="Hyperlink"/>
                  <w:rFonts w:ascii="Times New Roman" w:hAnsi="Times New Roman"/>
                  <w:sz w:val="20"/>
                </w:rPr>
                <w:t xml:space="preserve">Section </w:t>
              </w:r>
              <w:r w:rsidR="004231CC">
                <w:rPr>
                  <w:rStyle w:val="Hyperlink"/>
                  <w:rFonts w:ascii="Times New Roman" w:hAnsi="Times New Roman"/>
                  <w:sz w:val="20"/>
                </w:rPr>
                <w:t>5.34</w:t>
              </w:r>
              <w:r w:rsidR="0089269C" w:rsidRPr="000665B0">
                <w:rPr>
                  <w:rStyle w:val="Hyperlink"/>
                  <w:rFonts w:ascii="Times New Roman" w:hAnsi="Times New Roman"/>
                  <w:sz w:val="20"/>
                </w:rPr>
                <w:t>.5</w:t>
              </w:r>
            </w:hyperlink>
            <w:r w:rsidRPr="000665B0">
              <w:t>). Add any additional Mission Libraries or Mission Queries to provide more filtering of Mission candidates.</w:t>
            </w:r>
          </w:p>
          <w:p w14:paraId="0927779D" w14:textId="152B79AE" w:rsidR="00C1621C" w:rsidRPr="000665B0" w:rsidRDefault="00C1621C" w:rsidP="00346248">
            <w:pPr>
              <w:pStyle w:val="ListParagraph"/>
              <w:spacing w:before="60" w:after="60"/>
              <w:rPr>
                <w:rFonts w:ascii="Times New Roman" w:hAnsi="Times New Roman"/>
                <w:sz w:val="20"/>
                <w:szCs w:val="20"/>
              </w:rPr>
            </w:pPr>
            <w:r w:rsidRPr="000665B0">
              <w:rPr>
                <w:rFonts w:ascii="Times New Roman" w:hAnsi="Times New Roman"/>
                <w:sz w:val="20"/>
                <w:szCs w:val="20"/>
              </w:rPr>
              <w:t>This display can be used to view the Tasking coverages of the Mission, TMPR, and LMO candidates based on the Taskings defined in the Strike Tasking Matrix (</w:t>
            </w:r>
            <w:r w:rsidRPr="000665B0">
              <w:rPr>
                <w:rFonts w:ascii="Times New Roman" w:hAnsi="Times New Roman"/>
                <w:b/>
                <w:sz w:val="20"/>
                <w:szCs w:val="20"/>
              </w:rPr>
              <w:t>Target</w:t>
            </w:r>
            <w:r w:rsidRPr="000665B0">
              <w:rPr>
                <w:rFonts w:ascii="Times New Roman" w:hAnsi="Times New Roman"/>
                <w:sz w:val="20"/>
                <w:szCs w:val="20"/>
              </w:rPr>
              <w:t xml:space="preserve"> pane in the </w:t>
            </w:r>
            <w:r w:rsidRPr="000665B0">
              <w:rPr>
                <w:rFonts w:ascii="Times New Roman" w:hAnsi="Times New Roman"/>
                <w:i/>
                <w:sz w:val="20"/>
                <w:szCs w:val="20"/>
              </w:rPr>
              <w:t>Strike Tasking</w:t>
            </w:r>
            <w:r w:rsidRPr="000665B0">
              <w:rPr>
                <w:rFonts w:ascii="Times New Roman" w:hAnsi="Times New Roman"/>
                <w:sz w:val="20"/>
                <w:szCs w:val="20"/>
              </w:rPr>
              <w:t xml:space="preserve"> window). New TMPRs and LMOs can be created for any of the Taskings (</w:t>
            </w:r>
            <w:r w:rsidR="003509EA" w:rsidRPr="000665B0">
              <w:rPr>
                <w:rFonts w:ascii="Times New Roman" w:hAnsi="Times New Roman"/>
                <w:sz w:val="20"/>
                <w:szCs w:val="20"/>
              </w:rPr>
              <w:t xml:space="preserve">e.g., </w:t>
            </w:r>
            <w:r w:rsidRPr="000665B0">
              <w:rPr>
                <w:rFonts w:ascii="Times New Roman" w:hAnsi="Times New Roman"/>
                <w:sz w:val="20"/>
                <w:szCs w:val="20"/>
              </w:rPr>
              <w:t>if there is no Coverage for a Tasking).</w:t>
            </w:r>
          </w:p>
          <w:p w14:paraId="4A248459" w14:textId="77777777" w:rsidR="00C1621C" w:rsidRPr="000665B0" w:rsidRDefault="00C1621C" w:rsidP="00346248">
            <w:pPr>
              <w:pStyle w:val="ListParagraph"/>
              <w:spacing w:before="60" w:after="60"/>
              <w:rPr>
                <w:rFonts w:ascii="Times New Roman" w:hAnsi="Times New Roman"/>
                <w:bCs/>
                <w:sz w:val="20"/>
                <w:szCs w:val="20"/>
              </w:rPr>
            </w:pPr>
            <w:r w:rsidRPr="000665B0">
              <w:rPr>
                <w:rFonts w:ascii="Times New Roman" w:hAnsi="Times New Roman"/>
                <w:sz w:val="20"/>
                <w:szCs w:val="20"/>
              </w:rPr>
              <w:t xml:space="preserve">The </w:t>
            </w:r>
            <w:r w:rsidRPr="000665B0">
              <w:rPr>
                <w:rFonts w:ascii="Times New Roman" w:hAnsi="Times New Roman"/>
                <w:b/>
                <w:sz w:val="20"/>
                <w:szCs w:val="20"/>
              </w:rPr>
              <w:t>Candidates</w:t>
            </w:r>
            <w:r w:rsidRPr="000665B0">
              <w:rPr>
                <w:rFonts w:ascii="Times New Roman" w:hAnsi="Times New Roman"/>
                <w:sz w:val="20"/>
                <w:szCs w:val="20"/>
              </w:rPr>
              <w:t xml:space="preserve"> list view lists all of the candidate(s) for the selected Tasking(s). Once the Candidate(s) are displayed, individual Candidate(s) may be hidden so that they will not be shown in the strike option and therefore won’t be used for strike planning.</w:t>
            </w:r>
          </w:p>
        </w:tc>
        <w:tc>
          <w:tcPr>
            <w:tcW w:w="6358" w:type="dxa"/>
            <w:tcBorders>
              <w:top w:val="nil"/>
              <w:left w:val="nil"/>
              <w:bottom w:val="single" w:sz="4" w:space="0" w:color="auto"/>
              <w:right w:val="single" w:sz="4" w:space="0" w:color="auto"/>
            </w:tcBorders>
          </w:tcPr>
          <w:p w14:paraId="75F61AA7" w14:textId="77777777" w:rsidR="00C1621C" w:rsidRPr="000665B0" w:rsidRDefault="00C1621C" w:rsidP="00346248">
            <w:pPr>
              <w:spacing w:before="60" w:after="60" w:line="240" w:lineRule="auto"/>
              <w:rPr>
                <w:sz w:val="20"/>
              </w:rPr>
            </w:pPr>
          </w:p>
        </w:tc>
      </w:tr>
      <w:tr w:rsidR="00C1621C" w:rsidRPr="000665B0" w14:paraId="52A7884E" w14:textId="77777777" w:rsidTr="00346248">
        <w:trPr>
          <w:cantSplit/>
          <w:trHeight w:val="1275"/>
        </w:trPr>
        <w:tc>
          <w:tcPr>
            <w:tcW w:w="863" w:type="dxa"/>
            <w:tcBorders>
              <w:top w:val="nil"/>
              <w:left w:val="single" w:sz="4" w:space="0" w:color="auto"/>
              <w:bottom w:val="single" w:sz="4" w:space="0" w:color="auto"/>
              <w:right w:val="single" w:sz="4" w:space="0" w:color="auto"/>
            </w:tcBorders>
          </w:tcPr>
          <w:p w14:paraId="50B0E761" w14:textId="77777777" w:rsidR="00C1621C" w:rsidRPr="000665B0" w:rsidRDefault="00C1621C" w:rsidP="00346248">
            <w:pPr>
              <w:spacing w:before="60" w:after="60" w:line="240" w:lineRule="auto"/>
              <w:jc w:val="center"/>
              <w:rPr>
                <w:sz w:val="20"/>
              </w:rPr>
            </w:pPr>
            <w:r w:rsidRPr="000665B0">
              <w:rPr>
                <w:sz w:val="20"/>
              </w:rPr>
              <w:t>5</w:t>
            </w:r>
          </w:p>
        </w:tc>
        <w:tc>
          <w:tcPr>
            <w:tcW w:w="6358" w:type="dxa"/>
            <w:tcBorders>
              <w:top w:val="nil"/>
              <w:left w:val="nil"/>
              <w:bottom w:val="single" w:sz="4" w:space="0" w:color="auto"/>
              <w:right w:val="single" w:sz="4" w:space="0" w:color="auto"/>
            </w:tcBorders>
          </w:tcPr>
          <w:p w14:paraId="2DA966A8" w14:textId="018F6529" w:rsidR="00C1621C" w:rsidRPr="000665B0" w:rsidRDefault="00C1621C" w:rsidP="00346248">
            <w:pPr>
              <w:spacing w:before="60" w:after="60" w:line="240" w:lineRule="auto"/>
              <w:rPr>
                <w:bCs/>
                <w:sz w:val="20"/>
              </w:rPr>
            </w:pPr>
            <w:r w:rsidRPr="000665B0">
              <w:rPr>
                <w:bCs/>
                <w:sz w:val="20"/>
              </w:rPr>
              <w:t xml:space="preserve">Set </w:t>
            </w:r>
            <w:r w:rsidR="0098615F" w:rsidRPr="000665B0">
              <w:rPr>
                <w:bCs/>
                <w:sz w:val="20"/>
              </w:rPr>
              <w:t xml:space="preserve">Task </w:t>
            </w:r>
            <w:r w:rsidRPr="000665B0">
              <w:rPr>
                <w:bCs/>
                <w:sz w:val="20"/>
              </w:rPr>
              <w:t>Organization</w:t>
            </w:r>
          </w:p>
          <w:p w14:paraId="56D3FC84" w14:textId="24A1175C" w:rsidR="00C1621C" w:rsidRPr="000665B0" w:rsidRDefault="0037038E" w:rsidP="006D5A65">
            <w:pPr>
              <w:pStyle w:val="Heading1"/>
              <w:rPr>
                <w:bCs/>
              </w:rPr>
            </w:pPr>
            <w:r w:rsidRPr="000665B0">
              <w:t>Double-click</w:t>
            </w:r>
            <w:r w:rsidR="00C1621C" w:rsidRPr="000665B0">
              <w:t xml:space="preserve"> the Organization </w:t>
            </w:r>
            <w:r w:rsidR="00C1621C" w:rsidRPr="000665B0">
              <w:rPr>
                <w:noProof/>
              </w:rPr>
              <w:drawing>
                <wp:inline distT="0" distB="0" distL="0" distR="0" wp14:anchorId="1580A800" wp14:editId="03B9BE1A">
                  <wp:extent cx="235324" cy="181536"/>
                  <wp:effectExtent l="0" t="0" r="0" b="9525"/>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cstate="print"/>
                          <a:srcRect/>
                          <a:stretch>
                            <a:fillRect/>
                          </a:stretch>
                        </pic:blipFill>
                        <pic:spPr bwMode="auto">
                          <a:xfrm>
                            <a:off x="0" y="0"/>
                            <a:ext cx="239978" cy="185126"/>
                          </a:xfrm>
                          <a:prstGeom prst="rect">
                            <a:avLst/>
                          </a:prstGeom>
                          <a:noFill/>
                          <a:ln w="9525">
                            <a:noFill/>
                            <a:miter lim="800000"/>
                            <a:headEnd/>
                            <a:tailEnd/>
                          </a:ln>
                        </pic:spPr>
                      </pic:pic>
                    </a:graphicData>
                  </a:graphic>
                </wp:inline>
              </w:drawing>
            </w:r>
            <w:r w:rsidR="00C1621C" w:rsidRPr="000665B0">
              <w:t xml:space="preserve"> icon (see Note 1).</w:t>
            </w:r>
          </w:p>
          <w:p w14:paraId="1D8B4AB8" w14:textId="516A8C3D" w:rsidR="00C1621C" w:rsidRPr="000665B0" w:rsidRDefault="00C1621C" w:rsidP="006D5A65">
            <w:pPr>
              <w:pStyle w:val="Heading1"/>
              <w:rPr>
                <w:bCs/>
              </w:rPr>
            </w:pPr>
            <w:r w:rsidRPr="000665B0">
              <w:t xml:space="preserve">Select an existing </w:t>
            </w:r>
            <w:r w:rsidR="0098615F" w:rsidRPr="000665B0">
              <w:t xml:space="preserve">Task </w:t>
            </w:r>
            <w:r w:rsidRPr="000665B0">
              <w:t xml:space="preserve">Organization from the </w:t>
            </w:r>
            <w:r w:rsidR="00D24B5E" w:rsidRPr="000665B0">
              <w:t>drop-down</w:t>
            </w:r>
            <w:r w:rsidRPr="000665B0">
              <w:t xml:space="preserve"> box.</w:t>
            </w:r>
          </w:p>
          <w:p w14:paraId="03BE2481" w14:textId="2E9DF986" w:rsidR="00C1621C" w:rsidRPr="000665B0" w:rsidRDefault="00C1621C" w:rsidP="006D5A65">
            <w:pPr>
              <w:pStyle w:val="Heading1"/>
              <w:rPr>
                <w:bCs/>
              </w:rPr>
            </w:pPr>
            <w:r w:rsidRPr="000665B0">
              <w:t xml:space="preserve">Ensure that the </w:t>
            </w:r>
            <w:r w:rsidR="0098615F" w:rsidRPr="000665B0">
              <w:t xml:space="preserve">Task </w:t>
            </w:r>
            <w:r w:rsidRPr="000665B0">
              <w:t>Organization has the following roles assigned to nodes:</w:t>
            </w:r>
          </w:p>
          <w:p w14:paraId="06D992AE" w14:textId="77777777" w:rsidR="00973B0C" w:rsidRPr="000665B0" w:rsidRDefault="00973B0C" w:rsidP="006D5A65">
            <w:pPr>
              <w:pStyle w:val="Heading1"/>
              <w:rPr>
                <w:bCs/>
              </w:rPr>
            </w:pPr>
            <w:r w:rsidRPr="000665B0">
              <w:t>1 NSP</w:t>
            </w:r>
          </w:p>
          <w:p w14:paraId="308B0A0F" w14:textId="0B59246A" w:rsidR="00C1621C" w:rsidRPr="000665B0" w:rsidRDefault="00C1621C" w:rsidP="006D5A65">
            <w:pPr>
              <w:pStyle w:val="Heading1"/>
              <w:rPr>
                <w:bCs/>
              </w:rPr>
            </w:pPr>
            <w:r w:rsidRPr="000665B0">
              <w:t xml:space="preserve">1 </w:t>
            </w:r>
            <w:r w:rsidR="00007D41" w:rsidRPr="000665B0">
              <w:t xml:space="preserve">TED </w:t>
            </w:r>
            <w:r w:rsidRPr="000665B0">
              <w:t xml:space="preserve">with embedded TPS (see Note 2) and roles TSC, MC, and PO </w:t>
            </w:r>
          </w:p>
          <w:p w14:paraId="610DA6D5" w14:textId="0A89768C" w:rsidR="00C1621C" w:rsidRPr="000665B0" w:rsidRDefault="00C1621C" w:rsidP="006D5A65">
            <w:pPr>
              <w:pStyle w:val="Heading1"/>
              <w:rPr>
                <w:bCs/>
              </w:rPr>
            </w:pPr>
            <w:r w:rsidRPr="000665B0">
              <w:t xml:space="preserve">1 </w:t>
            </w:r>
            <w:r w:rsidR="00007D41" w:rsidRPr="000665B0">
              <w:t xml:space="preserve">TED </w:t>
            </w:r>
            <w:r w:rsidRPr="000665B0">
              <w:t xml:space="preserve">with roles LAC, </w:t>
            </w:r>
            <w:r w:rsidR="00F14FEF">
              <w:t>ATSC</w:t>
            </w:r>
            <w:r w:rsidRPr="000665B0">
              <w:t xml:space="preserve">, MC </w:t>
            </w:r>
          </w:p>
          <w:p w14:paraId="63C61ADC" w14:textId="142759EE" w:rsidR="00C1621C" w:rsidRPr="000665B0" w:rsidRDefault="00C1621C" w:rsidP="006D5A65">
            <w:pPr>
              <w:pStyle w:val="Heading1"/>
            </w:pPr>
            <w:r w:rsidRPr="000665B0">
              <w:t xml:space="preserve">1 </w:t>
            </w:r>
            <w:r w:rsidR="00007D41" w:rsidRPr="000665B0">
              <w:t xml:space="preserve">TED </w:t>
            </w:r>
            <w:r w:rsidRPr="000665B0">
              <w:t>with role PO</w:t>
            </w:r>
          </w:p>
          <w:p w14:paraId="42014FD3" w14:textId="44B1B63C" w:rsidR="00C1621C" w:rsidRPr="000665B0" w:rsidRDefault="00C1621C" w:rsidP="006D5A65">
            <w:pPr>
              <w:pStyle w:val="Heading1"/>
            </w:pPr>
            <w:r w:rsidRPr="000665B0">
              <w:t>3 TTWCS version 5</w:t>
            </w:r>
            <w:r w:rsidR="00973B0C" w:rsidRPr="000665B0">
              <w:t>.6 (or above)</w:t>
            </w:r>
            <w:r w:rsidRPr="000665B0">
              <w:t xml:space="preserve"> with roles FRU</w:t>
            </w:r>
            <w:r w:rsidR="00007D41" w:rsidRPr="000665B0">
              <w:t xml:space="preserve"> and </w:t>
            </w:r>
            <w:r w:rsidRPr="000665B0">
              <w:t xml:space="preserve">MC, and </w:t>
            </w:r>
            <w:r w:rsidR="00EF4ECE" w:rsidRPr="000665B0">
              <w:t xml:space="preserve">with 1 of the 3 platform’s </w:t>
            </w:r>
            <w:r w:rsidR="00007D41" w:rsidRPr="000665B0">
              <w:t xml:space="preserve">TED </w:t>
            </w:r>
            <w:r w:rsidR="00EF4ECE" w:rsidRPr="000665B0">
              <w:t xml:space="preserve">designated with the </w:t>
            </w:r>
            <w:r w:rsidRPr="000665B0">
              <w:t>ALAC</w:t>
            </w:r>
            <w:r w:rsidR="00EF4ECE" w:rsidRPr="000665B0">
              <w:t xml:space="preserve"> role</w:t>
            </w:r>
            <w:r w:rsidRPr="000665B0">
              <w:t>.</w:t>
            </w:r>
          </w:p>
          <w:p w14:paraId="47602CB1" w14:textId="26F388DC" w:rsidR="00C1621C" w:rsidRPr="000665B0" w:rsidRDefault="00C1621C" w:rsidP="006D5A65">
            <w:pPr>
              <w:pStyle w:val="Heading1"/>
              <w:rPr>
                <w:bCs/>
              </w:rPr>
            </w:pPr>
            <w:r w:rsidRPr="000665B0">
              <w:t>Save and close the window.</w:t>
            </w:r>
            <w:r w:rsidR="00007D41" w:rsidRPr="000665B0">
              <w:t xml:space="preserve"> </w:t>
            </w:r>
          </w:p>
        </w:tc>
        <w:tc>
          <w:tcPr>
            <w:tcW w:w="6358" w:type="dxa"/>
            <w:tcBorders>
              <w:top w:val="nil"/>
              <w:left w:val="nil"/>
              <w:bottom w:val="single" w:sz="4" w:space="0" w:color="auto"/>
              <w:right w:val="single" w:sz="4" w:space="0" w:color="auto"/>
            </w:tcBorders>
          </w:tcPr>
          <w:p w14:paraId="4F9F5060" w14:textId="58B95479" w:rsidR="00C1621C" w:rsidRPr="000665B0" w:rsidRDefault="00C1621C" w:rsidP="00346248">
            <w:pPr>
              <w:spacing w:before="60" w:after="60" w:line="240" w:lineRule="auto"/>
              <w:rPr>
                <w:sz w:val="20"/>
              </w:rPr>
            </w:pPr>
            <w:r w:rsidRPr="000665B0">
              <w:rPr>
                <w:sz w:val="20"/>
              </w:rPr>
              <w:t xml:space="preserve">1. The list view is populated with the Platforms and Nodes from the selected </w:t>
            </w:r>
            <w:r w:rsidR="0098615F" w:rsidRPr="000665B0">
              <w:rPr>
                <w:sz w:val="20"/>
              </w:rPr>
              <w:t xml:space="preserve">Task </w:t>
            </w:r>
            <w:r w:rsidRPr="000665B0">
              <w:rPr>
                <w:sz w:val="20"/>
              </w:rPr>
              <w:t xml:space="preserve">Organization. The </w:t>
            </w:r>
            <w:r w:rsidRPr="000665B0">
              <w:rPr>
                <w:b/>
                <w:sz w:val="20"/>
              </w:rPr>
              <w:t>Missile Inventory</w:t>
            </w:r>
            <w:r w:rsidRPr="000665B0">
              <w:rPr>
                <w:sz w:val="20"/>
              </w:rPr>
              <w:t xml:space="preserve"> pane will also be updated to reflect the new missile counts from all of the Platforms in the </w:t>
            </w:r>
            <w:r w:rsidR="0098615F" w:rsidRPr="000665B0">
              <w:rPr>
                <w:sz w:val="20"/>
              </w:rPr>
              <w:t xml:space="preserve">Task </w:t>
            </w:r>
            <w:r w:rsidRPr="000665B0">
              <w:rPr>
                <w:sz w:val="20"/>
              </w:rPr>
              <w:t>Organization.</w:t>
            </w:r>
          </w:p>
          <w:p w14:paraId="2DDB570E" w14:textId="1DC69DB9" w:rsidR="00C1621C" w:rsidRPr="000665B0" w:rsidRDefault="00C1621C">
            <w:pPr>
              <w:spacing w:before="60" w:after="60" w:line="240" w:lineRule="auto"/>
              <w:rPr>
                <w:sz w:val="20"/>
              </w:rPr>
            </w:pPr>
            <w:r w:rsidRPr="000665B0">
              <w:rPr>
                <w:sz w:val="20"/>
              </w:rPr>
              <w:t>2. If a</w:t>
            </w:r>
            <w:r w:rsidR="00EF4ECE" w:rsidRPr="000665B0">
              <w:rPr>
                <w:sz w:val="20"/>
              </w:rPr>
              <w:t xml:space="preserve"> TED</w:t>
            </w:r>
            <w:r w:rsidRPr="000665B0">
              <w:rPr>
                <w:sz w:val="20"/>
              </w:rPr>
              <w:t xml:space="preserve"> with embedded TPS is not available, skip this step. The lack of a</w:t>
            </w:r>
            <w:r w:rsidR="00EF4ECE" w:rsidRPr="000665B0">
              <w:rPr>
                <w:sz w:val="20"/>
              </w:rPr>
              <w:t xml:space="preserve"> TED</w:t>
            </w:r>
            <w:r w:rsidRPr="000665B0">
              <w:rPr>
                <w:sz w:val="20"/>
              </w:rPr>
              <w:t xml:space="preserve"> with an embedded TPS only affects auto-generation of TMPRs and is not crucial to this exercise.</w:t>
            </w:r>
          </w:p>
        </w:tc>
      </w:tr>
      <w:tr w:rsidR="00C1621C" w:rsidRPr="000665B0" w14:paraId="3D9F80EF" w14:textId="77777777" w:rsidTr="00346248">
        <w:trPr>
          <w:cantSplit/>
          <w:trHeight w:val="1275"/>
        </w:trPr>
        <w:tc>
          <w:tcPr>
            <w:tcW w:w="863" w:type="dxa"/>
            <w:tcBorders>
              <w:top w:val="nil"/>
              <w:left w:val="single" w:sz="4" w:space="0" w:color="auto"/>
              <w:bottom w:val="single" w:sz="4" w:space="0" w:color="auto"/>
              <w:right w:val="single" w:sz="4" w:space="0" w:color="auto"/>
            </w:tcBorders>
          </w:tcPr>
          <w:p w14:paraId="0024F879" w14:textId="63DCC871" w:rsidR="00C1621C" w:rsidRPr="000665B0" w:rsidRDefault="00C1621C" w:rsidP="00346248">
            <w:pPr>
              <w:spacing w:before="60" w:after="60" w:line="240" w:lineRule="auto"/>
              <w:jc w:val="center"/>
              <w:rPr>
                <w:sz w:val="20"/>
              </w:rPr>
            </w:pPr>
            <w:r w:rsidRPr="000665B0">
              <w:rPr>
                <w:sz w:val="20"/>
              </w:rPr>
              <w:t>6</w:t>
            </w:r>
          </w:p>
        </w:tc>
        <w:tc>
          <w:tcPr>
            <w:tcW w:w="6358" w:type="dxa"/>
            <w:tcBorders>
              <w:top w:val="nil"/>
              <w:left w:val="nil"/>
              <w:bottom w:val="single" w:sz="4" w:space="0" w:color="auto"/>
              <w:right w:val="single" w:sz="4" w:space="0" w:color="auto"/>
            </w:tcBorders>
          </w:tcPr>
          <w:p w14:paraId="255CEF28" w14:textId="77777777" w:rsidR="00C1621C" w:rsidRPr="000665B0" w:rsidRDefault="00C1621C" w:rsidP="00346248">
            <w:pPr>
              <w:spacing w:before="60" w:after="60" w:line="240" w:lineRule="auto"/>
              <w:rPr>
                <w:bCs/>
                <w:sz w:val="20"/>
              </w:rPr>
            </w:pPr>
            <w:r w:rsidRPr="000665B0">
              <w:rPr>
                <w:bCs/>
                <w:sz w:val="20"/>
              </w:rPr>
              <w:t>Create a New Strike Option</w:t>
            </w:r>
          </w:p>
          <w:p w14:paraId="794FAA05" w14:textId="3E27EA1A" w:rsidR="00C1621C" w:rsidRPr="000665B0" w:rsidRDefault="0037038E" w:rsidP="006D5A65">
            <w:pPr>
              <w:pStyle w:val="Heading1"/>
              <w:rPr>
                <w:bCs/>
              </w:rPr>
            </w:pPr>
            <w:r w:rsidRPr="000665B0">
              <w:t>Double-click</w:t>
            </w:r>
            <w:r w:rsidR="00C1621C" w:rsidRPr="000665B0">
              <w:t xml:space="preserve"> the Options </w:t>
            </w:r>
            <w:r w:rsidR="00C1621C" w:rsidRPr="000665B0">
              <w:rPr>
                <w:bCs/>
                <w:noProof/>
              </w:rPr>
              <w:drawing>
                <wp:inline distT="0" distB="0" distL="0" distR="0" wp14:anchorId="07BEA478" wp14:editId="37B84BD6">
                  <wp:extent cx="152400" cy="152400"/>
                  <wp:effectExtent l="19050" t="0" r="0" b="0"/>
                  <wp:docPr id="421" name="Picture 421" descr="StrikeOption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StrikeOption_16"/>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C1621C" w:rsidRPr="000665B0">
              <w:t xml:space="preserve"> icon. The </w:t>
            </w:r>
            <w:r w:rsidR="00C1621C" w:rsidRPr="000665B0">
              <w:rPr>
                <w:i/>
              </w:rPr>
              <w:t>Strike Options for Strike Folder: xxxxx-xxxxx</w:t>
            </w:r>
            <w:r w:rsidR="00C1621C" w:rsidRPr="000665B0">
              <w:t xml:space="preserve"> window is displayed.</w:t>
            </w:r>
          </w:p>
          <w:p w14:paraId="003A7DE7" w14:textId="77777777" w:rsidR="00C1621C" w:rsidRPr="000665B0" w:rsidRDefault="00C1621C" w:rsidP="006D5A65">
            <w:pPr>
              <w:pStyle w:val="Heading1"/>
              <w:rPr>
                <w:bCs/>
              </w:rPr>
            </w:pPr>
            <w:r w:rsidRPr="000665B0">
              <w:rPr>
                <w:bCs/>
              </w:rPr>
              <w:t xml:space="preserve">Select File </w:t>
            </w:r>
            <w:r w:rsidRPr="000665B0">
              <w:sym w:font="Wingdings" w:char="F0E0"/>
            </w:r>
            <w:r w:rsidRPr="000665B0">
              <w:rPr>
                <w:bCs/>
              </w:rPr>
              <w:t xml:space="preserve"> New </w:t>
            </w:r>
            <w:r w:rsidRPr="000665B0">
              <w:t xml:space="preserve">or click the New </w:t>
            </w:r>
            <w:r w:rsidRPr="000665B0">
              <w:rPr>
                <w:noProof/>
              </w:rPr>
              <w:drawing>
                <wp:inline distT="0" distB="0" distL="0" distR="0" wp14:anchorId="34422C15" wp14:editId="69A1E536">
                  <wp:extent cx="152400" cy="152400"/>
                  <wp:effectExtent l="19050" t="0" r="0" b="0"/>
                  <wp:docPr id="422" name="Picture 422" descr="new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new toolbar"/>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w:t>
            </w:r>
            <w:r w:rsidRPr="000665B0">
              <w:rPr>
                <w:bCs/>
              </w:rPr>
              <w:t>.</w:t>
            </w:r>
          </w:p>
          <w:p w14:paraId="5EFCB299" w14:textId="77777777" w:rsidR="00C1621C" w:rsidRPr="000665B0" w:rsidRDefault="00C1621C" w:rsidP="006D5A65">
            <w:pPr>
              <w:pStyle w:val="Heading1"/>
              <w:rPr>
                <w:bCs/>
              </w:rPr>
            </w:pPr>
            <w:r w:rsidRPr="000665B0">
              <w:t>Enter a title for the new Strike Option.</w:t>
            </w:r>
          </w:p>
        </w:tc>
        <w:tc>
          <w:tcPr>
            <w:tcW w:w="6358" w:type="dxa"/>
            <w:tcBorders>
              <w:top w:val="nil"/>
              <w:left w:val="nil"/>
              <w:bottom w:val="single" w:sz="4" w:space="0" w:color="auto"/>
              <w:right w:val="single" w:sz="4" w:space="0" w:color="auto"/>
            </w:tcBorders>
          </w:tcPr>
          <w:p w14:paraId="1F5C93D1" w14:textId="77777777" w:rsidR="00C1621C" w:rsidRPr="000665B0" w:rsidRDefault="00C1621C" w:rsidP="00346248">
            <w:pPr>
              <w:spacing w:before="60" w:after="60" w:line="240" w:lineRule="auto"/>
              <w:rPr>
                <w:sz w:val="20"/>
              </w:rPr>
            </w:pPr>
            <w:r w:rsidRPr="000665B0">
              <w:rPr>
                <w:sz w:val="20"/>
              </w:rPr>
              <w:t> </w:t>
            </w:r>
          </w:p>
        </w:tc>
      </w:tr>
      <w:tr w:rsidR="00C1621C" w:rsidRPr="000665B0" w14:paraId="5A30F8A0" w14:textId="77777777" w:rsidTr="00346248">
        <w:trPr>
          <w:cantSplit/>
          <w:trHeight w:val="1275"/>
        </w:trPr>
        <w:tc>
          <w:tcPr>
            <w:tcW w:w="863" w:type="dxa"/>
            <w:tcBorders>
              <w:top w:val="nil"/>
              <w:left w:val="single" w:sz="4" w:space="0" w:color="auto"/>
              <w:bottom w:val="single" w:sz="4" w:space="0" w:color="auto"/>
              <w:right w:val="single" w:sz="4" w:space="0" w:color="auto"/>
            </w:tcBorders>
          </w:tcPr>
          <w:p w14:paraId="2B2219A8" w14:textId="77777777" w:rsidR="00C1621C" w:rsidRPr="000665B0" w:rsidRDefault="00C1621C" w:rsidP="00346248">
            <w:pPr>
              <w:spacing w:before="60" w:after="60" w:line="240" w:lineRule="auto"/>
              <w:jc w:val="center"/>
              <w:rPr>
                <w:sz w:val="20"/>
              </w:rPr>
            </w:pPr>
            <w:r w:rsidRPr="000665B0">
              <w:rPr>
                <w:sz w:val="20"/>
              </w:rPr>
              <w:lastRenderedPageBreak/>
              <w:t>7</w:t>
            </w:r>
          </w:p>
        </w:tc>
        <w:tc>
          <w:tcPr>
            <w:tcW w:w="6358" w:type="dxa"/>
            <w:tcBorders>
              <w:top w:val="nil"/>
              <w:left w:val="nil"/>
              <w:bottom w:val="single" w:sz="4" w:space="0" w:color="auto"/>
              <w:right w:val="single" w:sz="4" w:space="0" w:color="auto"/>
            </w:tcBorders>
          </w:tcPr>
          <w:p w14:paraId="563F0AC9" w14:textId="77777777" w:rsidR="00C1621C" w:rsidRPr="000665B0" w:rsidRDefault="00C1621C" w:rsidP="00346248">
            <w:pPr>
              <w:spacing w:before="60" w:after="60" w:line="240" w:lineRule="auto"/>
              <w:rPr>
                <w:bCs/>
                <w:sz w:val="20"/>
              </w:rPr>
            </w:pPr>
            <w:r w:rsidRPr="000665B0">
              <w:rPr>
                <w:bCs/>
                <w:sz w:val="20"/>
              </w:rPr>
              <w:t>Enter Notes in Strike Option (see Note)</w:t>
            </w:r>
          </w:p>
          <w:p w14:paraId="4B8DA92B" w14:textId="77777777" w:rsidR="00C1621C" w:rsidRPr="000665B0" w:rsidRDefault="00C1621C" w:rsidP="006D5A65">
            <w:pPr>
              <w:pStyle w:val="Heading1"/>
              <w:rPr>
                <w:bCs/>
              </w:rPr>
            </w:pPr>
            <w:r w:rsidRPr="000665B0">
              <w:t xml:space="preserve">Select the </w:t>
            </w:r>
            <w:r w:rsidRPr="000665B0">
              <w:rPr>
                <w:i/>
              </w:rPr>
              <w:t>Notes</w:t>
            </w:r>
            <w:r w:rsidRPr="000665B0">
              <w:t xml:space="preserve"> tab at the bottom of the </w:t>
            </w:r>
            <w:r w:rsidRPr="000665B0">
              <w:rPr>
                <w:i/>
              </w:rPr>
              <w:t>Strike Option</w:t>
            </w:r>
            <w:r w:rsidRPr="000665B0">
              <w:t xml:space="preserve"> window.</w:t>
            </w:r>
          </w:p>
          <w:p w14:paraId="149FC2E5" w14:textId="77777777" w:rsidR="00C1621C" w:rsidRPr="000665B0" w:rsidRDefault="00C1621C" w:rsidP="006D5A65">
            <w:pPr>
              <w:pStyle w:val="Heading1"/>
              <w:rPr>
                <w:bCs/>
              </w:rPr>
            </w:pPr>
            <w:r w:rsidRPr="000665B0">
              <w:t>Enter description: “Training Strike package for Training Use Only.”</w:t>
            </w:r>
          </w:p>
        </w:tc>
        <w:tc>
          <w:tcPr>
            <w:tcW w:w="6358" w:type="dxa"/>
            <w:tcBorders>
              <w:top w:val="nil"/>
              <w:left w:val="nil"/>
              <w:bottom w:val="single" w:sz="4" w:space="0" w:color="auto"/>
              <w:right w:val="single" w:sz="4" w:space="0" w:color="auto"/>
            </w:tcBorders>
          </w:tcPr>
          <w:p w14:paraId="500490B9" w14:textId="77777777" w:rsidR="00C1621C" w:rsidRPr="000665B0" w:rsidRDefault="00C1621C" w:rsidP="00346248">
            <w:pPr>
              <w:spacing w:before="60" w:after="60" w:line="240" w:lineRule="auto"/>
              <w:rPr>
                <w:sz w:val="20"/>
              </w:rPr>
            </w:pPr>
            <w:r w:rsidRPr="000665B0">
              <w:rPr>
                <w:bCs/>
                <w:sz w:val="20"/>
              </w:rPr>
              <w:t xml:space="preserve">This is an optional field; text can be added in the </w:t>
            </w:r>
            <w:r w:rsidRPr="000665B0">
              <w:rPr>
                <w:b/>
                <w:bCs/>
                <w:i/>
                <w:sz w:val="20"/>
              </w:rPr>
              <w:t>Notes</w:t>
            </w:r>
            <w:r w:rsidRPr="000665B0">
              <w:rPr>
                <w:bCs/>
                <w:sz w:val="20"/>
              </w:rPr>
              <w:t xml:space="preserve"> tab for referencing tasking and strike objectives.</w:t>
            </w:r>
          </w:p>
        </w:tc>
      </w:tr>
      <w:tr w:rsidR="00C1621C" w:rsidRPr="000665B0" w14:paraId="2FA720E7" w14:textId="77777777" w:rsidTr="00346248">
        <w:trPr>
          <w:cantSplit/>
          <w:trHeight w:val="971"/>
        </w:trPr>
        <w:tc>
          <w:tcPr>
            <w:tcW w:w="863" w:type="dxa"/>
            <w:tcBorders>
              <w:top w:val="nil"/>
              <w:left w:val="single" w:sz="4" w:space="0" w:color="auto"/>
              <w:bottom w:val="single" w:sz="4" w:space="0" w:color="auto"/>
              <w:right w:val="single" w:sz="4" w:space="0" w:color="auto"/>
            </w:tcBorders>
          </w:tcPr>
          <w:p w14:paraId="23BEEFCA" w14:textId="77777777" w:rsidR="00C1621C" w:rsidRPr="000665B0" w:rsidRDefault="00C1621C" w:rsidP="00346248">
            <w:pPr>
              <w:spacing w:before="60" w:after="60" w:line="240" w:lineRule="auto"/>
              <w:jc w:val="center"/>
              <w:rPr>
                <w:sz w:val="20"/>
              </w:rPr>
            </w:pPr>
            <w:r w:rsidRPr="000665B0">
              <w:rPr>
                <w:sz w:val="20"/>
              </w:rPr>
              <w:t>8</w:t>
            </w:r>
          </w:p>
        </w:tc>
        <w:tc>
          <w:tcPr>
            <w:tcW w:w="6358" w:type="dxa"/>
            <w:tcBorders>
              <w:top w:val="nil"/>
              <w:left w:val="nil"/>
              <w:bottom w:val="single" w:sz="4" w:space="0" w:color="auto"/>
              <w:right w:val="single" w:sz="4" w:space="0" w:color="auto"/>
            </w:tcBorders>
          </w:tcPr>
          <w:p w14:paraId="6F01CDCE" w14:textId="77777777" w:rsidR="00C1621C" w:rsidRPr="000665B0" w:rsidRDefault="00C1621C" w:rsidP="00346248">
            <w:pPr>
              <w:spacing w:before="60" w:after="60" w:line="240" w:lineRule="auto"/>
              <w:rPr>
                <w:bCs/>
                <w:sz w:val="20"/>
              </w:rPr>
            </w:pPr>
            <w:r w:rsidRPr="000665B0">
              <w:rPr>
                <w:bCs/>
                <w:sz w:val="20"/>
              </w:rPr>
              <w:t>Add Tasking</w:t>
            </w:r>
          </w:p>
          <w:p w14:paraId="3341453B" w14:textId="77777777" w:rsidR="00C1621C" w:rsidRPr="000665B0" w:rsidRDefault="00C1621C" w:rsidP="006D5A65">
            <w:pPr>
              <w:pStyle w:val="Heading1"/>
              <w:rPr>
                <w:bCs/>
              </w:rPr>
            </w:pPr>
            <w:r w:rsidRPr="000665B0">
              <w:t xml:space="preserve">Select the </w:t>
            </w:r>
            <w:r w:rsidRPr="000665B0">
              <w:rPr>
                <w:i/>
              </w:rPr>
              <w:t>Tasking</w:t>
            </w:r>
            <w:r w:rsidRPr="000665B0">
              <w:t xml:space="preserve"> tab at the bottom of the </w:t>
            </w:r>
            <w:r w:rsidRPr="000665B0">
              <w:rPr>
                <w:i/>
              </w:rPr>
              <w:t>Strike Option</w:t>
            </w:r>
            <w:r w:rsidRPr="000665B0">
              <w:t xml:space="preserve"> window.</w:t>
            </w:r>
          </w:p>
          <w:p w14:paraId="6A09C9C3" w14:textId="3D6E398A" w:rsidR="00C1621C" w:rsidRPr="000665B0" w:rsidRDefault="00D71804" w:rsidP="006D5A65">
            <w:pPr>
              <w:pStyle w:val="Heading1"/>
              <w:rPr>
                <w:bCs/>
              </w:rPr>
            </w:pPr>
            <w:r w:rsidRPr="000665B0">
              <w:t>Right-click</w:t>
            </w:r>
            <w:r w:rsidR="00C1621C" w:rsidRPr="000665B0">
              <w:t xml:space="preserve"> in the window and select Add </w:t>
            </w:r>
            <w:r w:rsidR="00C1621C" w:rsidRPr="000665B0">
              <w:sym w:font="Wingdings 3" w:char="F07D"/>
            </w:r>
            <w:r w:rsidR="00C1621C" w:rsidRPr="000665B0">
              <w:t xml:space="preserve"> All Tasking (see Note).</w:t>
            </w:r>
          </w:p>
        </w:tc>
        <w:tc>
          <w:tcPr>
            <w:tcW w:w="6358" w:type="dxa"/>
            <w:tcBorders>
              <w:top w:val="nil"/>
              <w:left w:val="nil"/>
              <w:bottom w:val="single" w:sz="4" w:space="0" w:color="auto"/>
              <w:right w:val="single" w:sz="4" w:space="0" w:color="auto"/>
            </w:tcBorders>
          </w:tcPr>
          <w:p w14:paraId="148E3C2C" w14:textId="77777777" w:rsidR="00C1621C" w:rsidRPr="000665B0" w:rsidRDefault="00C1621C" w:rsidP="00346248">
            <w:pPr>
              <w:spacing w:before="60" w:after="60" w:line="240" w:lineRule="auto"/>
              <w:rPr>
                <w:sz w:val="20"/>
              </w:rPr>
            </w:pPr>
            <w:r w:rsidRPr="000665B0">
              <w:rPr>
                <w:bCs/>
                <w:sz w:val="20"/>
              </w:rPr>
              <w:t xml:space="preserve">Selecting </w:t>
            </w:r>
            <w:r w:rsidRPr="000665B0">
              <w:rPr>
                <w:b/>
                <w:bCs/>
                <w:sz w:val="20"/>
              </w:rPr>
              <w:t>All Tasking</w:t>
            </w:r>
            <w:r w:rsidRPr="000665B0">
              <w:rPr>
                <w:bCs/>
                <w:sz w:val="20"/>
              </w:rPr>
              <w:t xml:space="preserve"> populates the </w:t>
            </w:r>
            <w:r w:rsidRPr="000665B0">
              <w:rPr>
                <w:b/>
                <w:bCs/>
                <w:i/>
                <w:sz w:val="20"/>
              </w:rPr>
              <w:t>Tasking</w:t>
            </w:r>
            <w:r w:rsidRPr="000665B0">
              <w:rPr>
                <w:bCs/>
                <w:sz w:val="20"/>
              </w:rPr>
              <w:t xml:space="preserve"> tab with the missions from the Strike Folder Missions Candidate Matrix above.</w:t>
            </w:r>
          </w:p>
        </w:tc>
      </w:tr>
      <w:tr w:rsidR="00C1621C" w:rsidRPr="000665B0" w14:paraId="51AB3029" w14:textId="77777777" w:rsidTr="00346248">
        <w:trPr>
          <w:cantSplit/>
          <w:trHeight w:val="1275"/>
        </w:trPr>
        <w:tc>
          <w:tcPr>
            <w:tcW w:w="863" w:type="dxa"/>
            <w:tcBorders>
              <w:top w:val="nil"/>
              <w:left w:val="single" w:sz="4" w:space="0" w:color="auto"/>
              <w:bottom w:val="single" w:sz="4" w:space="0" w:color="auto"/>
              <w:right w:val="single" w:sz="4" w:space="0" w:color="auto"/>
            </w:tcBorders>
          </w:tcPr>
          <w:p w14:paraId="39A60B3F" w14:textId="77777777" w:rsidR="00C1621C" w:rsidRPr="000665B0" w:rsidRDefault="00C1621C" w:rsidP="00346248">
            <w:pPr>
              <w:spacing w:before="60" w:after="60" w:line="240" w:lineRule="auto"/>
              <w:jc w:val="center"/>
              <w:rPr>
                <w:sz w:val="20"/>
              </w:rPr>
            </w:pPr>
            <w:r w:rsidRPr="000665B0">
              <w:rPr>
                <w:sz w:val="20"/>
              </w:rPr>
              <w:t>9</w:t>
            </w:r>
          </w:p>
        </w:tc>
        <w:tc>
          <w:tcPr>
            <w:tcW w:w="6358" w:type="dxa"/>
            <w:tcBorders>
              <w:top w:val="nil"/>
              <w:left w:val="nil"/>
              <w:bottom w:val="single" w:sz="4" w:space="0" w:color="auto"/>
              <w:right w:val="single" w:sz="4" w:space="0" w:color="auto"/>
            </w:tcBorders>
          </w:tcPr>
          <w:p w14:paraId="320A34BF" w14:textId="77777777" w:rsidR="00C1621C" w:rsidRPr="000665B0" w:rsidRDefault="00C1621C" w:rsidP="00346248">
            <w:pPr>
              <w:spacing w:before="60" w:after="60" w:line="240" w:lineRule="auto"/>
              <w:rPr>
                <w:bCs/>
                <w:sz w:val="20"/>
              </w:rPr>
            </w:pPr>
            <w:r w:rsidRPr="000665B0">
              <w:rPr>
                <w:bCs/>
                <w:sz w:val="20"/>
              </w:rPr>
              <w:t>Add Geographic Resources</w:t>
            </w:r>
          </w:p>
          <w:p w14:paraId="4C965A74" w14:textId="77777777" w:rsidR="00C1621C" w:rsidRPr="000665B0" w:rsidRDefault="00C1621C" w:rsidP="006D5A65">
            <w:pPr>
              <w:pStyle w:val="Heading1"/>
              <w:rPr>
                <w:bCs/>
              </w:rPr>
            </w:pPr>
            <w:r w:rsidRPr="000665B0">
              <w:t xml:space="preserve">Select the </w:t>
            </w:r>
            <w:r w:rsidRPr="000665B0">
              <w:rPr>
                <w:i/>
              </w:rPr>
              <w:t>Resources</w:t>
            </w:r>
            <w:r w:rsidRPr="000665B0">
              <w:t xml:space="preserve"> tab at the bottom of the </w:t>
            </w:r>
            <w:r w:rsidRPr="000665B0">
              <w:rPr>
                <w:i/>
              </w:rPr>
              <w:t>Strike Option</w:t>
            </w:r>
            <w:r w:rsidRPr="000665B0">
              <w:t xml:space="preserve"> window.</w:t>
            </w:r>
          </w:p>
          <w:p w14:paraId="3F18F087" w14:textId="135D4A62" w:rsidR="00C1621C" w:rsidRPr="000665B0" w:rsidRDefault="00D71804" w:rsidP="006D5A65">
            <w:pPr>
              <w:pStyle w:val="Heading1"/>
              <w:rPr>
                <w:bCs/>
              </w:rPr>
            </w:pPr>
            <w:r w:rsidRPr="000665B0">
              <w:t>Right-click</w:t>
            </w:r>
            <w:r w:rsidR="00C1621C" w:rsidRPr="000665B0">
              <w:t xml:space="preserve"> in the Geographic Resources pane and select Add </w:t>
            </w:r>
            <w:r w:rsidR="00C1621C" w:rsidRPr="000665B0">
              <w:sym w:font="Wingdings 3" w:char="F07D"/>
            </w:r>
            <w:r w:rsidR="00C1621C" w:rsidRPr="000665B0">
              <w:t xml:space="preserve"> From Folder (see Note).</w:t>
            </w:r>
          </w:p>
          <w:p w14:paraId="3AD04376" w14:textId="77777777" w:rsidR="00C1621C" w:rsidRPr="000665B0" w:rsidRDefault="00C1621C" w:rsidP="006D5A65">
            <w:pPr>
              <w:pStyle w:val="Heading1"/>
              <w:rPr>
                <w:bCs/>
              </w:rPr>
            </w:pPr>
            <w:r w:rsidRPr="000665B0">
              <w:t>The Choose Strike Folder Geographic Resources window is displayed.</w:t>
            </w:r>
          </w:p>
          <w:p w14:paraId="62B8C63B" w14:textId="77777777" w:rsidR="00C1621C" w:rsidRPr="000665B0" w:rsidRDefault="00C1621C" w:rsidP="006D5A65">
            <w:pPr>
              <w:pStyle w:val="Heading1"/>
              <w:rPr>
                <w:bCs/>
              </w:rPr>
            </w:pPr>
            <w:r w:rsidRPr="000665B0">
              <w:t>Highlight all desired Geographic Resources and click OK.</w:t>
            </w:r>
          </w:p>
        </w:tc>
        <w:tc>
          <w:tcPr>
            <w:tcW w:w="6358" w:type="dxa"/>
            <w:tcBorders>
              <w:top w:val="nil"/>
              <w:left w:val="nil"/>
              <w:bottom w:val="single" w:sz="4" w:space="0" w:color="auto"/>
              <w:right w:val="single" w:sz="4" w:space="0" w:color="auto"/>
            </w:tcBorders>
          </w:tcPr>
          <w:p w14:paraId="6599A065" w14:textId="77777777" w:rsidR="00C1621C" w:rsidRPr="000665B0" w:rsidRDefault="00C1621C" w:rsidP="00346248">
            <w:pPr>
              <w:spacing w:before="60" w:after="60" w:line="240" w:lineRule="auto"/>
              <w:rPr>
                <w:sz w:val="20"/>
              </w:rPr>
            </w:pPr>
            <w:r w:rsidRPr="000665B0">
              <w:rPr>
                <w:bCs/>
                <w:sz w:val="20"/>
              </w:rPr>
              <w:t xml:space="preserve">Selecting </w:t>
            </w:r>
            <w:r w:rsidRPr="000665B0">
              <w:rPr>
                <w:b/>
                <w:bCs/>
                <w:sz w:val="20"/>
              </w:rPr>
              <w:t>From Folder</w:t>
            </w:r>
            <w:r w:rsidRPr="000665B0">
              <w:rPr>
                <w:bCs/>
                <w:sz w:val="20"/>
              </w:rPr>
              <w:t xml:space="preserve"> populates the </w:t>
            </w:r>
            <w:r w:rsidRPr="000665B0">
              <w:rPr>
                <w:i/>
                <w:sz w:val="20"/>
              </w:rPr>
              <w:t>Choose Strike Folder Geographic Resources</w:t>
            </w:r>
            <w:r w:rsidRPr="000665B0">
              <w:rPr>
                <w:sz w:val="20"/>
              </w:rPr>
              <w:t xml:space="preserve"> window</w:t>
            </w:r>
            <w:r w:rsidRPr="000665B0">
              <w:rPr>
                <w:bCs/>
                <w:sz w:val="20"/>
              </w:rPr>
              <w:t xml:space="preserve"> with the Geographic Resources selected in the Strike Folder Geographic Resources above.</w:t>
            </w:r>
          </w:p>
        </w:tc>
      </w:tr>
      <w:tr w:rsidR="00C1621C" w:rsidRPr="000665B0" w14:paraId="493CC95A" w14:textId="77777777" w:rsidTr="00346248">
        <w:tc>
          <w:tcPr>
            <w:tcW w:w="863" w:type="dxa"/>
            <w:tcBorders>
              <w:top w:val="nil"/>
              <w:left w:val="single" w:sz="4" w:space="0" w:color="auto"/>
              <w:bottom w:val="single" w:sz="4" w:space="0" w:color="auto"/>
              <w:right w:val="single" w:sz="4" w:space="0" w:color="auto"/>
            </w:tcBorders>
          </w:tcPr>
          <w:p w14:paraId="2F637D32" w14:textId="77777777" w:rsidR="00C1621C" w:rsidRPr="000665B0" w:rsidRDefault="00C1621C" w:rsidP="00346248">
            <w:pPr>
              <w:spacing w:before="60" w:after="60" w:line="240" w:lineRule="auto"/>
              <w:jc w:val="center"/>
              <w:rPr>
                <w:sz w:val="20"/>
              </w:rPr>
            </w:pPr>
            <w:r w:rsidRPr="000665B0">
              <w:rPr>
                <w:sz w:val="20"/>
              </w:rPr>
              <w:t>10</w:t>
            </w:r>
          </w:p>
        </w:tc>
        <w:tc>
          <w:tcPr>
            <w:tcW w:w="6358" w:type="dxa"/>
            <w:tcBorders>
              <w:top w:val="nil"/>
              <w:left w:val="nil"/>
              <w:bottom w:val="single" w:sz="4" w:space="0" w:color="auto"/>
              <w:right w:val="single" w:sz="4" w:space="0" w:color="auto"/>
            </w:tcBorders>
          </w:tcPr>
          <w:p w14:paraId="16C6BB03" w14:textId="48F247EE" w:rsidR="00C1621C" w:rsidRPr="000665B0" w:rsidRDefault="00C1621C" w:rsidP="00346248">
            <w:pPr>
              <w:spacing w:before="60" w:after="60" w:line="240" w:lineRule="auto"/>
              <w:rPr>
                <w:bCs/>
                <w:sz w:val="20"/>
              </w:rPr>
            </w:pPr>
            <w:r w:rsidRPr="000665B0">
              <w:rPr>
                <w:bCs/>
                <w:sz w:val="20"/>
              </w:rPr>
              <w:t>Edit Mission Missile Reservation for 109E Missions</w:t>
            </w:r>
            <w:r w:rsidR="00642F83" w:rsidRPr="000665B0">
              <w:rPr>
                <w:bCs/>
                <w:sz w:val="20"/>
              </w:rPr>
              <w:t xml:space="preserve"> </w:t>
            </w:r>
            <w:r w:rsidR="00642F83" w:rsidRPr="000665B0">
              <w:rPr>
                <w:sz w:val="20"/>
              </w:rPr>
              <w:t xml:space="preserve">(see </w:t>
            </w:r>
            <w:hyperlink w:anchor="_Missions_Tab" w:history="1">
              <w:r w:rsidR="009326FE" w:rsidRPr="000665B0">
                <w:rPr>
                  <w:rStyle w:val="Hyperlink"/>
                  <w:sz w:val="20"/>
                </w:rPr>
                <w:t xml:space="preserve">Section </w:t>
              </w:r>
              <w:r w:rsidR="004231CC">
                <w:rPr>
                  <w:rStyle w:val="Hyperlink"/>
                  <w:sz w:val="20"/>
                </w:rPr>
                <w:t>5.34</w:t>
              </w:r>
              <w:r w:rsidR="00642F83" w:rsidRPr="000665B0">
                <w:rPr>
                  <w:rStyle w:val="Hyperlink"/>
                  <w:sz w:val="20"/>
                </w:rPr>
                <w:t>.7.1.4</w:t>
              </w:r>
            </w:hyperlink>
            <w:r w:rsidR="00642F83" w:rsidRPr="000665B0">
              <w:rPr>
                <w:sz w:val="20"/>
              </w:rPr>
              <w:t>)</w:t>
            </w:r>
            <w:r w:rsidRPr="000665B0">
              <w:rPr>
                <w:bCs/>
                <w:sz w:val="20"/>
              </w:rPr>
              <w:t xml:space="preserve"> (see Note</w:t>
            </w:r>
            <w:r w:rsidR="006B7533" w:rsidRPr="000665B0">
              <w:rPr>
                <w:bCs/>
                <w:sz w:val="20"/>
              </w:rPr>
              <w:t xml:space="preserve"> 1</w:t>
            </w:r>
            <w:r w:rsidRPr="000665B0">
              <w:rPr>
                <w:bCs/>
                <w:sz w:val="20"/>
              </w:rPr>
              <w:t>)</w:t>
            </w:r>
          </w:p>
          <w:p w14:paraId="61011F61" w14:textId="77777777" w:rsidR="00C1621C" w:rsidRPr="000665B0" w:rsidRDefault="00C1621C" w:rsidP="006D5A65">
            <w:pPr>
              <w:pStyle w:val="Heading1"/>
            </w:pPr>
            <w:r w:rsidRPr="000665B0">
              <w:t xml:space="preserve">Select the </w:t>
            </w:r>
            <w:r w:rsidRPr="000665B0">
              <w:rPr>
                <w:i/>
              </w:rPr>
              <w:t>Missions</w:t>
            </w:r>
            <w:r w:rsidRPr="000665B0">
              <w:t xml:space="preserve"> tab at the bottom of </w:t>
            </w:r>
            <w:r w:rsidRPr="000665B0">
              <w:rPr>
                <w:i/>
              </w:rPr>
              <w:t>Strike Option</w:t>
            </w:r>
            <w:r w:rsidRPr="000665B0">
              <w:t xml:space="preserve"> window.</w:t>
            </w:r>
          </w:p>
          <w:p w14:paraId="031DBC69" w14:textId="77777777" w:rsidR="00C1621C" w:rsidRPr="000665B0" w:rsidRDefault="00C1621C" w:rsidP="006D5A65">
            <w:pPr>
              <w:pStyle w:val="Heading1"/>
            </w:pPr>
            <w:r w:rsidRPr="000665B0">
              <w:t>Highlight the desired 109E mission in the Candidates pane.</w:t>
            </w:r>
          </w:p>
          <w:p w14:paraId="26D1B866" w14:textId="4DDB0A58" w:rsidR="00C1621C" w:rsidRPr="000665B0" w:rsidRDefault="00D71804" w:rsidP="006D5A65">
            <w:pPr>
              <w:pStyle w:val="Heading1"/>
            </w:pPr>
            <w:r w:rsidRPr="000665B0">
              <w:t>Right-click</w:t>
            </w:r>
            <w:r w:rsidR="00C1621C" w:rsidRPr="000665B0">
              <w:t xml:space="preserve"> on the highlighted mission and select Edit</w:t>
            </w:r>
            <w:r w:rsidR="00642F83" w:rsidRPr="000665B0">
              <w:t xml:space="preserve"> Missiles Required</w:t>
            </w:r>
            <w:r w:rsidR="00C1621C" w:rsidRPr="000665B0">
              <w:t xml:space="preserve">. The </w:t>
            </w:r>
            <w:r w:rsidR="00C1621C" w:rsidRPr="000665B0">
              <w:rPr>
                <w:i/>
              </w:rPr>
              <w:lastRenderedPageBreak/>
              <w:t xml:space="preserve">Missiles Required </w:t>
            </w:r>
            <w:r w:rsidR="00992437" w:rsidRPr="000665B0">
              <w:rPr>
                <w:i/>
              </w:rPr>
              <w:t xml:space="preserve">for </w:t>
            </w:r>
            <w:r w:rsidR="003E0FD1" w:rsidRPr="000665B0">
              <w:rPr>
                <w:i/>
              </w:rPr>
              <w:t>Mission</w:t>
            </w:r>
            <w:r w:rsidR="00992437" w:rsidRPr="000665B0">
              <w:rPr>
                <w:i/>
              </w:rPr>
              <w:t xml:space="preserve"> [XX]</w:t>
            </w:r>
            <w:r w:rsidR="00992437" w:rsidRPr="000665B0">
              <w:t xml:space="preserve"> </w:t>
            </w:r>
            <w:r w:rsidR="00C1621C" w:rsidRPr="000665B0">
              <w:t>window is displayed.</w:t>
            </w:r>
          </w:p>
          <w:p w14:paraId="569BF9FF" w14:textId="5B9EB6F5" w:rsidR="00C1621C" w:rsidRPr="000665B0" w:rsidRDefault="00C1621C" w:rsidP="006D5A65">
            <w:pPr>
              <w:pStyle w:val="Heading1"/>
            </w:pPr>
            <w:r w:rsidRPr="000665B0">
              <w:t>Edit the Missiles Required using the following</w:t>
            </w:r>
            <w:r w:rsidR="00642F83" w:rsidRPr="000665B0">
              <w:t xml:space="preserve"> for the DAMA network</w:t>
            </w:r>
            <w:r w:rsidRPr="000665B0">
              <w:t>:</w:t>
            </w:r>
          </w:p>
          <w:p w14:paraId="12F57F65" w14:textId="21C3C490" w:rsidR="00642F83" w:rsidRPr="000665B0" w:rsidRDefault="00642F83" w:rsidP="006D5A65">
            <w:pPr>
              <w:pStyle w:val="Heading1"/>
            </w:pPr>
            <w:r w:rsidRPr="000665B0">
              <w:t>Set the TSN Strategy to DAMA First.</w:t>
            </w:r>
          </w:p>
          <w:p w14:paraId="38D28D6B" w14:textId="77777777" w:rsidR="00C1621C" w:rsidRPr="000665B0" w:rsidRDefault="00C1621C" w:rsidP="006D5A65">
            <w:pPr>
              <w:pStyle w:val="Heading1"/>
            </w:pPr>
            <w:r w:rsidRPr="000665B0">
              <w:t>109E: 2 Primaries, 2 Backups, 1 Ready Spares, 1 Auto Ready Spares, 2 Backup Pools.</w:t>
            </w:r>
          </w:p>
          <w:p w14:paraId="00881D4A" w14:textId="77777777" w:rsidR="00C1621C" w:rsidRPr="000665B0" w:rsidRDefault="00C1621C" w:rsidP="006D5A65">
            <w:pPr>
              <w:pStyle w:val="Heading1"/>
              <w:rPr>
                <w:bCs/>
              </w:rPr>
            </w:pPr>
            <w:r w:rsidRPr="000665B0">
              <w:t>Click OK.</w:t>
            </w:r>
          </w:p>
          <w:p w14:paraId="76E5D197" w14:textId="6A349104" w:rsidR="00642F83" w:rsidRPr="000665B0" w:rsidRDefault="00642F83" w:rsidP="006D5A65">
            <w:pPr>
              <w:pStyle w:val="Heading1"/>
            </w:pPr>
            <w:r w:rsidRPr="000665B0">
              <w:t>Edit the Missiles Required using the following for the ACA network:</w:t>
            </w:r>
          </w:p>
          <w:p w14:paraId="69A67661" w14:textId="080AF0E7" w:rsidR="00642F83" w:rsidRPr="000665B0" w:rsidRDefault="00642F83" w:rsidP="006D5A65">
            <w:pPr>
              <w:pStyle w:val="Heading1"/>
            </w:pPr>
            <w:r w:rsidRPr="000665B0">
              <w:t>Set the TSN Strategy to ACA First.</w:t>
            </w:r>
          </w:p>
          <w:p w14:paraId="32185010" w14:textId="77777777" w:rsidR="00642F83" w:rsidRPr="000665B0" w:rsidRDefault="00642F83" w:rsidP="006D5A65">
            <w:pPr>
              <w:pStyle w:val="Heading1"/>
            </w:pPr>
            <w:r w:rsidRPr="000665B0">
              <w:t>109E: 2 Primaries, 2 Backups, 1 Ready Spares, 1 Auto Ready Spares, 2 Backup Pools.</w:t>
            </w:r>
          </w:p>
          <w:p w14:paraId="59EBF82D" w14:textId="69C45412" w:rsidR="00642F83" w:rsidRPr="000665B0" w:rsidRDefault="00642F83" w:rsidP="006D5A65">
            <w:pPr>
              <w:pStyle w:val="Heading1"/>
              <w:rPr>
                <w:bCs/>
              </w:rPr>
            </w:pPr>
            <w:r w:rsidRPr="000665B0">
              <w:t>Click OK.</w:t>
            </w:r>
          </w:p>
          <w:p w14:paraId="00D84414" w14:textId="77777777" w:rsidR="00C1621C" w:rsidRPr="000665B0" w:rsidRDefault="00C1621C" w:rsidP="00346248">
            <w:pPr>
              <w:spacing w:before="60" w:after="60" w:line="240" w:lineRule="auto"/>
              <w:rPr>
                <w:bCs/>
                <w:sz w:val="20"/>
              </w:rPr>
            </w:pPr>
            <w:r w:rsidRPr="000665B0">
              <w:rPr>
                <w:bCs/>
                <w:sz w:val="20"/>
              </w:rPr>
              <w:t>Edit Mission Missile Reservation for 109C</w:t>
            </w:r>
          </w:p>
          <w:p w14:paraId="03B85C7B" w14:textId="77777777" w:rsidR="00C1621C" w:rsidRPr="000665B0" w:rsidRDefault="00C1621C" w:rsidP="006D5A65">
            <w:pPr>
              <w:pStyle w:val="Heading1"/>
              <w:rPr>
                <w:bCs/>
              </w:rPr>
            </w:pPr>
            <w:r w:rsidRPr="000665B0">
              <w:t>Highlight the desired 109C mission</w:t>
            </w:r>
            <w:r w:rsidRPr="000665B0">
              <w:rPr>
                <w:bCs/>
              </w:rPr>
              <w:t xml:space="preserve"> in the Candidates pane.</w:t>
            </w:r>
          </w:p>
          <w:p w14:paraId="52C095E9" w14:textId="1E2BB7AF" w:rsidR="00C1621C" w:rsidRPr="000665B0" w:rsidRDefault="00D71804" w:rsidP="006D5A65">
            <w:pPr>
              <w:pStyle w:val="Heading1"/>
            </w:pPr>
            <w:r w:rsidRPr="000665B0">
              <w:t>Right-click</w:t>
            </w:r>
            <w:r w:rsidR="00C1621C" w:rsidRPr="000665B0">
              <w:t xml:space="preserve"> on the highlighted mission and select Edit</w:t>
            </w:r>
            <w:r w:rsidR="00642F83" w:rsidRPr="000665B0">
              <w:t xml:space="preserve"> Missiles Required</w:t>
            </w:r>
            <w:r w:rsidR="00C1621C" w:rsidRPr="000665B0">
              <w:t xml:space="preserve">. The </w:t>
            </w:r>
            <w:r w:rsidR="00C1621C" w:rsidRPr="000665B0">
              <w:rPr>
                <w:i/>
              </w:rPr>
              <w:t xml:space="preserve">Missiles Required </w:t>
            </w:r>
            <w:r w:rsidR="00992437" w:rsidRPr="000665B0">
              <w:rPr>
                <w:i/>
              </w:rPr>
              <w:t xml:space="preserve">for </w:t>
            </w:r>
            <w:r w:rsidR="003E0FD1" w:rsidRPr="000665B0">
              <w:rPr>
                <w:i/>
              </w:rPr>
              <w:t>Mission</w:t>
            </w:r>
            <w:r w:rsidR="00992437" w:rsidRPr="000665B0">
              <w:rPr>
                <w:i/>
              </w:rPr>
              <w:t xml:space="preserve"> [XX]</w:t>
            </w:r>
            <w:r w:rsidR="00992437" w:rsidRPr="000665B0">
              <w:t xml:space="preserve"> </w:t>
            </w:r>
            <w:r w:rsidR="00C1621C" w:rsidRPr="000665B0">
              <w:t>window is displayed.</w:t>
            </w:r>
          </w:p>
          <w:p w14:paraId="4143F830" w14:textId="77777777" w:rsidR="00C1621C" w:rsidRPr="000665B0" w:rsidRDefault="00C1621C" w:rsidP="006D5A65">
            <w:pPr>
              <w:pStyle w:val="Heading1"/>
            </w:pPr>
            <w:r w:rsidRPr="000665B0">
              <w:t>Edit the Missiles Required using the following:</w:t>
            </w:r>
          </w:p>
          <w:p w14:paraId="6795236D" w14:textId="77777777" w:rsidR="00C1621C" w:rsidRPr="000665B0" w:rsidRDefault="00C1621C" w:rsidP="006D5A65">
            <w:pPr>
              <w:pStyle w:val="Heading1"/>
              <w:rPr>
                <w:bCs/>
              </w:rPr>
            </w:pPr>
            <w:r w:rsidRPr="000665B0">
              <w:t>109C: 2 Primaries, 2 Backups, 1 Ready Spares, 1 Auto Ready Spares, 2 Backup Pools.</w:t>
            </w:r>
          </w:p>
          <w:p w14:paraId="5F7CEC34" w14:textId="77777777" w:rsidR="00C1621C" w:rsidRPr="000665B0" w:rsidRDefault="00C1621C" w:rsidP="006D5A65">
            <w:pPr>
              <w:pStyle w:val="Heading1"/>
              <w:rPr>
                <w:bCs/>
              </w:rPr>
            </w:pPr>
            <w:r w:rsidRPr="000665B0">
              <w:t>Click OK.</w:t>
            </w:r>
          </w:p>
          <w:p w14:paraId="567E7E66" w14:textId="2EBFF165" w:rsidR="00C1621C" w:rsidRPr="000665B0" w:rsidRDefault="00C1621C" w:rsidP="00346248">
            <w:pPr>
              <w:spacing w:before="60" w:after="60" w:line="240" w:lineRule="auto"/>
              <w:rPr>
                <w:bCs/>
                <w:sz w:val="20"/>
              </w:rPr>
            </w:pPr>
            <w:r w:rsidRPr="000665B0">
              <w:rPr>
                <w:bCs/>
                <w:sz w:val="20"/>
              </w:rPr>
              <w:t xml:space="preserve">Add Ghost Tasking (Optional; Required if Performing Case B in Appendix </w:t>
            </w:r>
            <w:r w:rsidR="00093C35" w:rsidRPr="000665B0">
              <w:rPr>
                <w:bCs/>
                <w:sz w:val="20"/>
              </w:rPr>
              <w:t>P</w:t>
            </w:r>
            <w:r w:rsidRPr="000665B0">
              <w:rPr>
                <w:bCs/>
                <w:sz w:val="20"/>
              </w:rPr>
              <w:t>)</w:t>
            </w:r>
            <w:r w:rsidR="006B7533" w:rsidRPr="000665B0">
              <w:rPr>
                <w:bCs/>
                <w:sz w:val="20"/>
              </w:rPr>
              <w:t xml:space="preserve"> (See Note 2)</w:t>
            </w:r>
          </w:p>
          <w:p w14:paraId="4DC40464" w14:textId="77777777" w:rsidR="00C1621C" w:rsidRPr="000665B0" w:rsidRDefault="00C1621C" w:rsidP="006D5A65">
            <w:pPr>
              <w:pStyle w:val="Heading1"/>
              <w:rPr>
                <w:bCs/>
              </w:rPr>
            </w:pPr>
            <w:r w:rsidRPr="000665B0">
              <w:t>Highlight the desired 109E mission</w:t>
            </w:r>
            <w:r w:rsidRPr="000665B0">
              <w:rPr>
                <w:bCs/>
              </w:rPr>
              <w:t xml:space="preserve"> in the Candidates pane.</w:t>
            </w:r>
          </w:p>
          <w:p w14:paraId="73E95B66" w14:textId="41A2EBCE" w:rsidR="00C1621C" w:rsidRPr="000665B0" w:rsidRDefault="00D71804" w:rsidP="006D5A65">
            <w:pPr>
              <w:pStyle w:val="Heading1"/>
            </w:pPr>
            <w:r w:rsidRPr="000665B0">
              <w:t>Right-click</w:t>
            </w:r>
            <w:r w:rsidR="00C1621C" w:rsidRPr="000665B0">
              <w:t xml:space="preserve"> on the highlighted mission and select Assign Ghost</w:t>
            </w:r>
            <w:r w:rsidR="00642F83" w:rsidRPr="000665B0">
              <w:t xml:space="preserve"> </w:t>
            </w:r>
            <w:r w:rsidR="006A4272" w:rsidRPr="000665B0">
              <w:sym w:font="Wingdings 3" w:char="F07D"/>
            </w:r>
            <w:r w:rsidR="006A4272" w:rsidRPr="000665B0">
              <w:t xml:space="preserve"> </w:t>
            </w:r>
            <w:r w:rsidR="00642F83" w:rsidRPr="000665B0">
              <w:t>ACA or DAMA</w:t>
            </w:r>
            <w:r w:rsidR="00C1621C" w:rsidRPr="000665B0">
              <w:t>.</w:t>
            </w:r>
          </w:p>
          <w:p w14:paraId="5A64478C" w14:textId="77777777" w:rsidR="00C1621C" w:rsidRPr="000665B0" w:rsidRDefault="00C1621C" w:rsidP="006D5A65">
            <w:pPr>
              <w:pStyle w:val="Heading1"/>
            </w:pPr>
            <w:r w:rsidRPr="000665B0">
              <w:t>Assign the Ghost a desired TOT time within the strike execution timeframe and click OK.</w:t>
            </w:r>
          </w:p>
          <w:p w14:paraId="5419AA7D" w14:textId="0415F84C" w:rsidR="00C1621C" w:rsidRPr="000665B0" w:rsidRDefault="00C1621C" w:rsidP="006D5A65">
            <w:pPr>
              <w:pStyle w:val="Heading1"/>
            </w:pPr>
            <w:r w:rsidRPr="000665B0">
              <w:t xml:space="preserve">The Ghosted column in the Candidates pane now displays </w:t>
            </w:r>
            <w:r w:rsidR="00E4608B" w:rsidRPr="00741172">
              <w:t>X</w:t>
            </w:r>
            <w:r w:rsidR="00E4608B">
              <w:t xml:space="preserve"> </w:t>
            </w:r>
            <w:r w:rsidRPr="000665B0">
              <w:t>to indicate that a ghost mission is associated with that mission.</w:t>
            </w:r>
          </w:p>
          <w:p w14:paraId="77AE5513" w14:textId="7916B255" w:rsidR="00C1621C" w:rsidRPr="000665B0" w:rsidRDefault="00C1621C" w:rsidP="00346248">
            <w:pPr>
              <w:spacing w:before="60" w:after="60" w:line="240" w:lineRule="auto"/>
              <w:rPr>
                <w:bCs/>
                <w:sz w:val="20"/>
              </w:rPr>
            </w:pPr>
            <w:r w:rsidRPr="000665B0">
              <w:rPr>
                <w:bCs/>
                <w:sz w:val="20"/>
              </w:rPr>
              <w:t xml:space="preserve">Edit Full LMO Missile Reservation (Optional; Required if Performing Case G in Appendix </w:t>
            </w:r>
            <w:r w:rsidR="00093C35" w:rsidRPr="000665B0">
              <w:rPr>
                <w:bCs/>
                <w:sz w:val="20"/>
              </w:rPr>
              <w:t>P</w:t>
            </w:r>
            <w:r w:rsidRPr="000665B0">
              <w:rPr>
                <w:bCs/>
                <w:sz w:val="20"/>
              </w:rPr>
              <w:t>)</w:t>
            </w:r>
          </w:p>
          <w:p w14:paraId="7602A7AB" w14:textId="77777777" w:rsidR="00C1621C" w:rsidRPr="000665B0" w:rsidRDefault="00C1621C" w:rsidP="006D5A65">
            <w:pPr>
              <w:pStyle w:val="Heading1"/>
            </w:pPr>
            <w:r w:rsidRPr="000665B0">
              <w:lastRenderedPageBreak/>
              <w:t xml:space="preserve">Select the </w:t>
            </w:r>
            <w:r w:rsidRPr="000665B0">
              <w:rPr>
                <w:i/>
              </w:rPr>
              <w:t>LMOs</w:t>
            </w:r>
            <w:r w:rsidRPr="000665B0">
              <w:t xml:space="preserve"> tab in the Candidates pane.</w:t>
            </w:r>
          </w:p>
          <w:p w14:paraId="5EE74F5E" w14:textId="1C495EF4" w:rsidR="00C1621C" w:rsidRPr="000665B0" w:rsidRDefault="00D71804" w:rsidP="006D5A65">
            <w:pPr>
              <w:pStyle w:val="Heading1"/>
            </w:pPr>
            <w:r w:rsidRPr="000665B0">
              <w:rPr>
                <w:bCs/>
              </w:rPr>
              <w:t>Right-click</w:t>
            </w:r>
            <w:r w:rsidR="00C1621C" w:rsidRPr="000665B0">
              <w:rPr>
                <w:bCs/>
              </w:rPr>
              <w:t xml:space="preserve"> on the highlighted Full LMO and select Edit</w:t>
            </w:r>
            <w:r w:rsidR="001A7489" w:rsidRPr="000665B0">
              <w:t xml:space="preserve"> Missiles Required</w:t>
            </w:r>
            <w:r w:rsidR="00C1621C" w:rsidRPr="000665B0">
              <w:rPr>
                <w:bCs/>
              </w:rPr>
              <w:t>. The</w:t>
            </w:r>
            <w:r w:rsidR="00C1621C" w:rsidRPr="000665B0">
              <w:t xml:space="preserve"> </w:t>
            </w:r>
            <w:r w:rsidR="00C1621C" w:rsidRPr="000665B0">
              <w:rPr>
                <w:i/>
                <w:iCs/>
              </w:rPr>
              <w:t xml:space="preserve">Missiles Required </w:t>
            </w:r>
            <w:r w:rsidR="00992437" w:rsidRPr="000665B0">
              <w:rPr>
                <w:i/>
                <w:iCs/>
              </w:rPr>
              <w:t xml:space="preserve">for </w:t>
            </w:r>
            <w:r w:rsidR="003E0FD1" w:rsidRPr="000665B0">
              <w:rPr>
                <w:i/>
                <w:iCs/>
              </w:rPr>
              <w:t>LMO</w:t>
            </w:r>
            <w:r w:rsidR="00992437" w:rsidRPr="000665B0">
              <w:rPr>
                <w:i/>
                <w:iCs/>
              </w:rPr>
              <w:t xml:space="preserve"> [XX]</w:t>
            </w:r>
            <w:r w:rsidR="00992437" w:rsidRPr="000665B0">
              <w:t xml:space="preserve"> </w:t>
            </w:r>
            <w:r w:rsidR="00C1621C" w:rsidRPr="000665B0">
              <w:t>window is displayed.</w:t>
            </w:r>
          </w:p>
          <w:p w14:paraId="6ADCB9EA" w14:textId="77777777" w:rsidR="00C1621C" w:rsidRPr="000665B0" w:rsidRDefault="00C1621C" w:rsidP="006D5A65">
            <w:pPr>
              <w:pStyle w:val="Heading1"/>
            </w:pPr>
            <w:r w:rsidRPr="000665B0">
              <w:t>Edit the Missiles required using the following:</w:t>
            </w:r>
          </w:p>
          <w:p w14:paraId="3A8566BC" w14:textId="77777777" w:rsidR="001A7489" w:rsidRPr="000665B0" w:rsidRDefault="001A7489" w:rsidP="006D5A65">
            <w:pPr>
              <w:pStyle w:val="Heading1"/>
            </w:pPr>
            <w:r w:rsidRPr="000665B0">
              <w:t>Set the TSN type.</w:t>
            </w:r>
          </w:p>
          <w:p w14:paraId="30D52E02" w14:textId="77777777" w:rsidR="00C1621C" w:rsidRPr="000665B0" w:rsidRDefault="00C1621C" w:rsidP="006D5A65">
            <w:pPr>
              <w:pStyle w:val="Heading1"/>
            </w:pPr>
            <w:r w:rsidRPr="000665B0">
              <w:t>109E: 1 Primary.</w:t>
            </w:r>
          </w:p>
          <w:p w14:paraId="7D52E10F" w14:textId="77777777" w:rsidR="00C1621C" w:rsidRPr="000665B0" w:rsidRDefault="00C1621C" w:rsidP="006D5A65">
            <w:pPr>
              <w:pStyle w:val="Heading1"/>
            </w:pPr>
            <w:r w:rsidRPr="000665B0">
              <w:t>Click OK.</w:t>
            </w:r>
          </w:p>
          <w:p w14:paraId="6F90F096" w14:textId="76C467FA" w:rsidR="00C1621C" w:rsidRPr="000665B0" w:rsidRDefault="00C1621C" w:rsidP="00346248">
            <w:pPr>
              <w:spacing w:before="60" w:after="60" w:line="240" w:lineRule="auto"/>
              <w:rPr>
                <w:bCs/>
                <w:sz w:val="20"/>
              </w:rPr>
            </w:pPr>
            <w:r w:rsidRPr="000665B0">
              <w:rPr>
                <w:rFonts w:eastAsiaTheme="minorHAnsi"/>
                <w:sz w:val="20"/>
              </w:rPr>
              <w:t>Edit the CFF Missile Reservation</w:t>
            </w:r>
            <w:r w:rsidRPr="000665B0">
              <w:rPr>
                <w:bCs/>
                <w:sz w:val="20"/>
              </w:rPr>
              <w:t xml:space="preserve"> (Optional; Required if Performing Case G in Appendix </w:t>
            </w:r>
            <w:r w:rsidR="00093C35" w:rsidRPr="000665B0">
              <w:rPr>
                <w:bCs/>
                <w:sz w:val="20"/>
              </w:rPr>
              <w:t>P</w:t>
            </w:r>
            <w:r w:rsidRPr="000665B0">
              <w:rPr>
                <w:bCs/>
                <w:sz w:val="20"/>
              </w:rPr>
              <w:t>)</w:t>
            </w:r>
          </w:p>
          <w:p w14:paraId="266A9950" w14:textId="77777777" w:rsidR="00C1621C" w:rsidRPr="000665B0" w:rsidRDefault="00C1621C" w:rsidP="006D5A65">
            <w:pPr>
              <w:pStyle w:val="Heading1"/>
              <w:rPr>
                <w:bCs/>
              </w:rPr>
            </w:pPr>
            <w:r w:rsidRPr="000665B0">
              <w:t>Select the CFF in the Tasking pane</w:t>
            </w:r>
            <w:r w:rsidRPr="000665B0">
              <w:rPr>
                <w:bCs/>
              </w:rPr>
              <w:t>.</w:t>
            </w:r>
          </w:p>
          <w:p w14:paraId="62885E6A" w14:textId="50EFB176" w:rsidR="00C1621C" w:rsidRPr="000665B0" w:rsidRDefault="00D71804" w:rsidP="006D5A65">
            <w:pPr>
              <w:pStyle w:val="Heading1"/>
            </w:pPr>
            <w:r w:rsidRPr="000665B0">
              <w:rPr>
                <w:bCs/>
              </w:rPr>
              <w:t>Right-click</w:t>
            </w:r>
            <w:r w:rsidR="00C1621C" w:rsidRPr="000665B0">
              <w:rPr>
                <w:bCs/>
              </w:rPr>
              <w:t xml:space="preserve"> on the highlighted CFF and select </w:t>
            </w:r>
            <w:r w:rsidR="00C1621C" w:rsidRPr="000665B0">
              <w:t xml:space="preserve">New </w:t>
            </w:r>
            <w:r w:rsidR="00C1621C" w:rsidRPr="000665B0">
              <w:sym w:font="Wingdings 3" w:char="F07D"/>
            </w:r>
            <w:r w:rsidR="00C1621C" w:rsidRPr="000665B0">
              <w:t xml:space="preserve"> LMO </w:t>
            </w:r>
            <w:r w:rsidR="00C1621C" w:rsidRPr="000665B0">
              <w:sym w:font="Wingdings 3" w:char="F07D"/>
            </w:r>
            <w:r w:rsidR="00C1621C" w:rsidRPr="000665B0">
              <w:t xml:space="preserve"> Call For Fire</w:t>
            </w:r>
            <w:r w:rsidR="00C1621C" w:rsidRPr="000665B0">
              <w:rPr>
                <w:bCs/>
              </w:rPr>
              <w:t>. The</w:t>
            </w:r>
            <w:r w:rsidR="00C1621C" w:rsidRPr="000665B0">
              <w:t xml:space="preserve"> </w:t>
            </w:r>
            <w:r w:rsidR="00C1621C" w:rsidRPr="000665B0">
              <w:rPr>
                <w:i/>
                <w:iCs/>
              </w:rPr>
              <w:t>LMO for Strike Folder</w:t>
            </w:r>
            <w:r w:rsidR="00C1621C" w:rsidRPr="000665B0">
              <w:t xml:space="preserve"> window is displayed.</w:t>
            </w:r>
          </w:p>
          <w:p w14:paraId="249AE5DF" w14:textId="77777777" w:rsidR="00C1621C" w:rsidRPr="000665B0" w:rsidRDefault="00C1621C" w:rsidP="006D5A65">
            <w:pPr>
              <w:pStyle w:val="Heading1"/>
            </w:pPr>
            <w:r w:rsidRPr="000665B0">
              <w:t xml:space="preserve">Select the </w:t>
            </w:r>
            <w:r w:rsidR="00051214" w:rsidRPr="000665B0">
              <w:t>109E</w:t>
            </w:r>
            <w:r w:rsidRPr="000665B0">
              <w:t xml:space="preserve"> Required from the Block Number pull down menu.</w:t>
            </w:r>
          </w:p>
          <w:p w14:paraId="65715BEC" w14:textId="77777777" w:rsidR="00C1621C" w:rsidRPr="000665B0" w:rsidRDefault="00C1621C" w:rsidP="006D5A65">
            <w:pPr>
              <w:pStyle w:val="Heading1"/>
            </w:pPr>
            <w:r w:rsidRPr="000665B0">
              <w:t xml:space="preserve">Save and close the window. The LMO now appears in the </w:t>
            </w:r>
            <w:r w:rsidRPr="000665B0">
              <w:rPr>
                <w:i/>
              </w:rPr>
              <w:t>LMOs</w:t>
            </w:r>
            <w:r w:rsidRPr="000665B0">
              <w:t xml:space="preserve"> tab in the Candidates pane.</w:t>
            </w:r>
          </w:p>
          <w:p w14:paraId="48E06A9D" w14:textId="111CF219" w:rsidR="00C1621C" w:rsidRPr="000665B0" w:rsidRDefault="00D71804" w:rsidP="006D5A65">
            <w:pPr>
              <w:pStyle w:val="Heading1"/>
            </w:pPr>
            <w:r w:rsidRPr="000665B0">
              <w:rPr>
                <w:bCs/>
              </w:rPr>
              <w:t>Right-click</w:t>
            </w:r>
            <w:r w:rsidR="00C1621C" w:rsidRPr="000665B0">
              <w:rPr>
                <w:bCs/>
              </w:rPr>
              <w:t xml:space="preserve"> on the highlighted Call for Fire LMO and select Edit</w:t>
            </w:r>
            <w:r w:rsidR="001A7489" w:rsidRPr="000665B0">
              <w:t xml:space="preserve"> Missiles Required</w:t>
            </w:r>
            <w:r w:rsidR="00C1621C" w:rsidRPr="000665B0">
              <w:rPr>
                <w:bCs/>
              </w:rPr>
              <w:t>. The</w:t>
            </w:r>
            <w:r w:rsidR="00C1621C" w:rsidRPr="000665B0">
              <w:t xml:space="preserve"> </w:t>
            </w:r>
            <w:r w:rsidR="00C1621C" w:rsidRPr="000665B0">
              <w:rPr>
                <w:i/>
                <w:iCs/>
              </w:rPr>
              <w:t xml:space="preserve">Missiles Required </w:t>
            </w:r>
            <w:r w:rsidR="00992437" w:rsidRPr="000665B0">
              <w:rPr>
                <w:i/>
                <w:iCs/>
              </w:rPr>
              <w:t xml:space="preserve">for </w:t>
            </w:r>
            <w:r w:rsidR="003E0FD1" w:rsidRPr="000665B0">
              <w:rPr>
                <w:i/>
                <w:iCs/>
              </w:rPr>
              <w:t>LMO</w:t>
            </w:r>
            <w:r w:rsidR="00992437" w:rsidRPr="000665B0">
              <w:rPr>
                <w:i/>
                <w:iCs/>
              </w:rPr>
              <w:t xml:space="preserve"> [XX]</w:t>
            </w:r>
            <w:r w:rsidR="00992437" w:rsidRPr="000665B0">
              <w:t xml:space="preserve"> </w:t>
            </w:r>
            <w:r w:rsidR="00C1621C" w:rsidRPr="000665B0">
              <w:t>window is displayed.</w:t>
            </w:r>
          </w:p>
          <w:p w14:paraId="6466E8DE" w14:textId="77777777" w:rsidR="00C1621C" w:rsidRPr="000665B0" w:rsidRDefault="00C1621C" w:rsidP="006D5A65">
            <w:pPr>
              <w:pStyle w:val="Heading1"/>
            </w:pPr>
            <w:r w:rsidRPr="000665B0">
              <w:t>Edit the Missiles required using the following:</w:t>
            </w:r>
          </w:p>
          <w:p w14:paraId="1F4C8FFE" w14:textId="573CC49C" w:rsidR="001A7489" w:rsidRPr="000665B0" w:rsidRDefault="001A7489" w:rsidP="006D5A65">
            <w:pPr>
              <w:pStyle w:val="Heading1"/>
            </w:pPr>
            <w:r w:rsidRPr="000665B0">
              <w:t>Set the TSN type.</w:t>
            </w:r>
          </w:p>
          <w:p w14:paraId="5B0072B3" w14:textId="77777777" w:rsidR="00C1621C" w:rsidRPr="000665B0" w:rsidRDefault="00C1621C" w:rsidP="006D5A65">
            <w:pPr>
              <w:pStyle w:val="Heading1"/>
            </w:pPr>
            <w:r w:rsidRPr="000665B0">
              <w:t>109E: 1 Primary.</w:t>
            </w:r>
          </w:p>
          <w:p w14:paraId="3B3D2601" w14:textId="77777777" w:rsidR="00C1621C" w:rsidRPr="000665B0" w:rsidRDefault="00C1621C" w:rsidP="006D5A65">
            <w:pPr>
              <w:pStyle w:val="Heading1"/>
            </w:pPr>
            <w:r w:rsidRPr="000665B0">
              <w:t>Click OK.</w:t>
            </w:r>
          </w:p>
          <w:p w14:paraId="33E7BA33" w14:textId="4D7C2891" w:rsidR="00C1621C" w:rsidRPr="000665B0" w:rsidRDefault="00C1621C" w:rsidP="00346248">
            <w:pPr>
              <w:spacing w:before="60" w:after="60" w:line="240" w:lineRule="auto"/>
              <w:rPr>
                <w:bCs/>
                <w:sz w:val="20"/>
              </w:rPr>
            </w:pPr>
            <w:r w:rsidRPr="000665B0">
              <w:rPr>
                <w:rFonts w:eastAsiaTheme="minorHAnsi"/>
                <w:sz w:val="20"/>
              </w:rPr>
              <w:t>Create TMPR from Mission</w:t>
            </w:r>
            <w:r w:rsidRPr="000665B0">
              <w:rPr>
                <w:bCs/>
                <w:sz w:val="20"/>
              </w:rPr>
              <w:t xml:space="preserve"> </w:t>
            </w:r>
            <w:r w:rsidRPr="000665B0">
              <w:rPr>
                <w:rFonts w:eastAsiaTheme="minorHAnsi"/>
                <w:sz w:val="20"/>
              </w:rPr>
              <w:t>(Optional</w:t>
            </w:r>
            <w:r w:rsidRPr="000665B0">
              <w:rPr>
                <w:bCs/>
                <w:sz w:val="20"/>
              </w:rPr>
              <w:t xml:space="preserve">; Required if Performing Case F in Appendix </w:t>
            </w:r>
            <w:r w:rsidR="00093C35" w:rsidRPr="000665B0">
              <w:rPr>
                <w:bCs/>
                <w:sz w:val="20"/>
              </w:rPr>
              <w:t>P</w:t>
            </w:r>
            <w:r w:rsidRPr="000665B0">
              <w:rPr>
                <w:rFonts w:eastAsiaTheme="minorHAnsi"/>
                <w:sz w:val="20"/>
              </w:rPr>
              <w:t xml:space="preserve">). For more information about TMPRs, see </w:t>
            </w:r>
            <w:hyperlink w:anchor="_5.36__MPRs_TOOL" w:history="1">
              <w:r w:rsidR="00650083" w:rsidRPr="000665B0">
                <w:rPr>
                  <w:rStyle w:val="Hyperlink"/>
                  <w:rFonts w:eastAsiaTheme="minorHAnsi"/>
                  <w:sz w:val="20"/>
                </w:rPr>
                <w:t xml:space="preserve">Section </w:t>
              </w:r>
              <w:r w:rsidR="004231CC">
                <w:rPr>
                  <w:rStyle w:val="Hyperlink"/>
                  <w:rFonts w:eastAsiaTheme="minorHAnsi"/>
                  <w:sz w:val="20"/>
                </w:rPr>
                <w:t>5.31</w:t>
              </w:r>
            </w:hyperlink>
            <w:r w:rsidRPr="000665B0">
              <w:rPr>
                <w:rFonts w:eastAsiaTheme="minorHAnsi"/>
                <w:sz w:val="20"/>
              </w:rPr>
              <w:t>.</w:t>
            </w:r>
          </w:p>
          <w:p w14:paraId="5BDEF517" w14:textId="77777777" w:rsidR="00C1621C" w:rsidRPr="000665B0" w:rsidRDefault="00C1621C" w:rsidP="006D5A65">
            <w:pPr>
              <w:pStyle w:val="Heading1"/>
              <w:rPr>
                <w:bCs/>
              </w:rPr>
            </w:pPr>
            <w:r w:rsidRPr="000665B0">
              <w:t>Select the desired mission in the Candidates pane</w:t>
            </w:r>
            <w:r w:rsidRPr="000665B0">
              <w:rPr>
                <w:bCs/>
              </w:rPr>
              <w:t>.</w:t>
            </w:r>
          </w:p>
          <w:p w14:paraId="136D66E6" w14:textId="3E2F22D4" w:rsidR="00C1621C" w:rsidRPr="000665B0" w:rsidRDefault="00D71804" w:rsidP="006D5A65">
            <w:pPr>
              <w:pStyle w:val="Heading1"/>
            </w:pPr>
            <w:r w:rsidRPr="000665B0">
              <w:t>Right-click</w:t>
            </w:r>
            <w:r w:rsidR="00C1621C" w:rsidRPr="000665B0">
              <w:t xml:space="preserve"> on the highlighted mission and select Create TMPR </w:t>
            </w:r>
            <w:r w:rsidR="00C1621C" w:rsidRPr="000665B0">
              <w:sym w:font="Wingdings 3" w:char="F07D"/>
            </w:r>
            <w:r w:rsidR="00C1621C" w:rsidRPr="000665B0">
              <w:t xml:space="preserve"> Create Mission. The </w:t>
            </w:r>
            <w:r w:rsidR="00C1621C" w:rsidRPr="000665B0">
              <w:rPr>
                <w:i/>
                <w:iCs/>
              </w:rPr>
              <w:t>TMPR</w:t>
            </w:r>
            <w:r w:rsidR="00C1621C" w:rsidRPr="000665B0">
              <w:t xml:space="preserve"> window is displayed.</w:t>
            </w:r>
          </w:p>
          <w:p w14:paraId="67113C7A" w14:textId="7F92DE44" w:rsidR="00C1621C" w:rsidRPr="000665B0" w:rsidRDefault="00C1621C" w:rsidP="006D5A65">
            <w:pPr>
              <w:pStyle w:val="Heading1"/>
            </w:pPr>
            <w:r w:rsidRPr="000665B0">
              <w:t xml:space="preserve">Complete the TMPR with desired mission outcomes. Ensure that the correct/desired FPPWP is selected from the </w:t>
            </w:r>
            <w:r w:rsidR="00D24B5E" w:rsidRPr="000665B0">
              <w:t>pull-down</w:t>
            </w:r>
            <w:r w:rsidRPr="000665B0">
              <w:t xml:space="preserve"> menu.</w:t>
            </w:r>
          </w:p>
          <w:p w14:paraId="1B49F3A2" w14:textId="77777777" w:rsidR="00C1621C" w:rsidRPr="000665B0" w:rsidRDefault="00C1621C" w:rsidP="006D5A65">
            <w:pPr>
              <w:pStyle w:val="Heading1"/>
            </w:pPr>
            <w:r w:rsidRPr="000665B0">
              <w:t xml:space="preserve">Save and close the window. </w:t>
            </w:r>
          </w:p>
        </w:tc>
        <w:tc>
          <w:tcPr>
            <w:tcW w:w="6358" w:type="dxa"/>
            <w:tcBorders>
              <w:top w:val="nil"/>
              <w:left w:val="nil"/>
              <w:bottom w:val="single" w:sz="4" w:space="0" w:color="auto"/>
              <w:right w:val="single" w:sz="4" w:space="0" w:color="auto"/>
            </w:tcBorders>
          </w:tcPr>
          <w:p w14:paraId="7F14431F" w14:textId="4065DC4D" w:rsidR="00C1621C" w:rsidRPr="000665B0" w:rsidRDefault="006B7533" w:rsidP="00346248">
            <w:pPr>
              <w:spacing w:before="60" w:after="60" w:line="240" w:lineRule="auto"/>
              <w:rPr>
                <w:rFonts w:eastAsia="Calibri"/>
                <w:bCs/>
                <w:sz w:val="20"/>
              </w:rPr>
            </w:pPr>
            <w:r w:rsidRPr="000665B0">
              <w:rPr>
                <w:rFonts w:eastAsia="Calibri"/>
                <w:bCs/>
                <w:sz w:val="20"/>
              </w:rPr>
              <w:lastRenderedPageBreak/>
              <w:t xml:space="preserve">1. </w:t>
            </w:r>
            <w:r w:rsidR="00C1621C" w:rsidRPr="000665B0">
              <w:rPr>
                <w:rFonts w:eastAsia="Calibri"/>
                <w:bCs/>
                <w:sz w:val="20"/>
              </w:rPr>
              <w:t xml:space="preserve">Not all missile reservations will be </w:t>
            </w:r>
            <w:r w:rsidR="00D24B5E" w:rsidRPr="000665B0">
              <w:rPr>
                <w:rFonts w:eastAsia="Calibri"/>
                <w:bCs/>
                <w:sz w:val="20"/>
              </w:rPr>
              <w:t>used but</w:t>
            </w:r>
            <w:r w:rsidR="00C1621C" w:rsidRPr="000665B0">
              <w:rPr>
                <w:rFonts w:eastAsia="Calibri"/>
                <w:bCs/>
                <w:sz w:val="20"/>
              </w:rPr>
              <w:t xml:space="preserve"> will provide the ability to customize the basic Strike Package to fit training needs.</w:t>
            </w:r>
          </w:p>
          <w:p w14:paraId="0CD027A5" w14:textId="08773900" w:rsidR="0038424D" w:rsidRPr="000665B0" w:rsidRDefault="006B7533" w:rsidP="0038424D">
            <w:pPr>
              <w:spacing w:before="60" w:after="60" w:line="240" w:lineRule="auto"/>
              <w:rPr>
                <w:rFonts w:eastAsia="Calibri"/>
                <w:bCs/>
                <w:sz w:val="20"/>
              </w:rPr>
            </w:pPr>
            <w:r w:rsidRPr="000665B0">
              <w:rPr>
                <w:rFonts w:eastAsia="Calibri"/>
                <w:bCs/>
                <w:sz w:val="20"/>
              </w:rPr>
              <w:t xml:space="preserve">2. </w:t>
            </w:r>
            <w:r w:rsidR="0038424D" w:rsidRPr="000665B0">
              <w:rPr>
                <w:rFonts w:eastAsia="Calibri"/>
                <w:bCs/>
                <w:sz w:val="20"/>
              </w:rPr>
              <w:t xml:space="preserve">There is a limitation associated with </w:t>
            </w:r>
            <w:r w:rsidR="001A107C" w:rsidRPr="000665B0">
              <w:rPr>
                <w:rFonts w:eastAsia="Calibri"/>
                <w:bCs/>
                <w:sz w:val="20"/>
              </w:rPr>
              <w:t xml:space="preserve">109E </w:t>
            </w:r>
            <w:r w:rsidR="0038424D" w:rsidRPr="000665B0">
              <w:rPr>
                <w:rFonts w:eastAsia="Calibri"/>
                <w:bCs/>
                <w:sz w:val="20"/>
              </w:rPr>
              <w:t>missions assigned to Ghost tasking under the following conditions:</w:t>
            </w:r>
          </w:p>
          <w:p w14:paraId="288D8ED4" w14:textId="1EC14AB8" w:rsidR="0038424D" w:rsidRPr="000665B0" w:rsidRDefault="0038424D" w:rsidP="0038424D">
            <w:pPr>
              <w:spacing w:before="60" w:after="60" w:line="240" w:lineRule="auto"/>
              <w:ind w:left="312"/>
              <w:rPr>
                <w:rFonts w:eastAsia="Calibri"/>
                <w:bCs/>
                <w:sz w:val="20"/>
              </w:rPr>
            </w:pPr>
            <w:r w:rsidRPr="000665B0">
              <w:rPr>
                <w:rFonts w:eastAsia="Calibri"/>
                <w:bCs/>
                <w:sz w:val="20"/>
              </w:rPr>
              <w:t>a. A 109E Mission is assigned to ghost tasking and a TSN Type is selected (</w:t>
            </w:r>
            <w:r w:rsidR="000201D0" w:rsidRPr="000665B0">
              <w:rPr>
                <w:rFonts w:eastAsia="Calibri"/>
                <w:bCs/>
                <w:sz w:val="20"/>
              </w:rPr>
              <w:t>e.g.,</w:t>
            </w:r>
            <w:r w:rsidRPr="000665B0">
              <w:rPr>
                <w:rFonts w:eastAsia="Calibri"/>
                <w:bCs/>
                <w:sz w:val="20"/>
              </w:rPr>
              <w:t xml:space="preserve"> DAMA).</w:t>
            </w:r>
          </w:p>
          <w:p w14:paraId="59AD2318" w14:textId="785C3906" w:rsidR="0038424D" w:rsidRPr="000665B0" w:rsidRDefault="0038424D" w:rsidP="0038424D">
            <w:pPr>
              <w:spacing w:before="60" w:after="60" w:line="240" w:lineRule="auto"/>
              <w:ind w:left="312"/>
              <w:rPr>
                <w:rFonts w:eastAsia="Calibri"/>
                <w:bCs/>
                <w:sz w:val="20"/>
              </w:rPr>
            </w:pPr>
            <w:r w:rsidRPr="000665B0">
              <w:rPr>
                <w:rFonts w:eastAsia="Calibri"/>
                <w:bCs/>
                <w:sz w:val="20"/>
              </w:rPr>
              <w:t>b. The TSN Type is later changed (</w:t>
            </w:r>
            <w:r w:rsidR="000201D0" w:rsidRPr="000665B0">
              <w:rPr>
                <w:rFonts w:eastAsia="Calibri"/>
                <w:bCs/>
                <w:sz w:val="20"/>
              </w:rPr>
              <w:t>e.g.,</w:t>
            </w:r>
            <w:r w:rsidRPr="000665B0">
              <w:rPr>
                <w:rFonts w:eastAsia="Calibri"/>
                <w:bCs/>
                <w:sz w:val="20"/>
              </w:rPr>
              <w:t xml:space="preserve"> switch</w:t>
            </w:r>
            <w:r w:rsidR="00A76EA5" w:rsidRPr="000665B0">
              <w:rPr>
                <w:rFonts w:eastAsia="Calibri"/>
                <w:bCs/>
                <w:sz w:val="20"/>
              </w:rPr>
              <w:t>ed</w:t>
            </w:r>
            <w:r w:rsidRPr="000665B0">
              <w:rPr>
                <w:rFonts w:eastAsia="Calibri"/>
                <w:bCs/>
                <w:sz w:val="20"/>
              </w:rPr>
              <w:t xml:space="preserve"> to ACA).</w:t>
            </w:r>
          </w:p>
          <w:p w14:paraId="77670A1D" w14:textId="5B52872E" w:rsidR="006B7533" w:rsidRPr="000665B0" w:rsidRDefault="0038424D" w:rsidP="0038424D">
            <w:pPr>
              <w:spacing w:before="60" w:after="60" w:line="240" w:lineRule="auto"/>
              <w:ind w:left="312"/>
              <w:rPr>
                <w:rFonts w:eastAsia="Calibri"/>
                <w:bCs/>
                <w:sz w:val="20"/>
              </w:rPr>
            </w:pPr>
            <w:r w:rsidRPr="000665B0">
              <w:rPr>
                <w:rFonts w:eastAsia="Calibri"/>
                <w:bCs/>
                <w:sz w:val="20"/>
              </w:rPr>
              <w:t>c. When the Ghost mission is assigned to a FRU, the TSN Type retains the original selection (e.g. DAMA).</w:t>
            </w:r>
          </w:p>
          <w:p w14:paraId="47600215" w14:textId="77777777" w:rsidR="00C1621C" w:rsidRPr="000665B0" w:rsidRDefault="00C1621C" w:rsidP="00346248">
            <w:pPr>
              <w:spacing w:before="60" w:after="60" w:line="240" w:lineRule="auto"/>
              <w:rPr>
                <w:sz w:val="20"/>
              </w:rPr>
            </w:pPr>
          </w:p>
        </w:tc>
      </w:tr>
      <w:tr w:rsidR="00C1621C" w:rsidRPr="000665B0" w14:paraId="701DBE88" w14:textId="77777777" w:rsidTr="00346248">
        <w:trPr>
          <w:cantSplit/>
          <w:trHeight w:val="1275"/>
        </w:trPr>
        <w:tc>
          <w:tcPr>
            <w:tcW w:w="863" w:type="dxa"/>
            <w:tcBorders>
              <w:top w:val="nil"/>
              <w:left w:val="single" w:sz="4" w:space="0" w:color="auto"/>
              <w:bottom w:val="single" w:sz="4" w:space="0" w:color="auto"/>
              <w:right w:val="single" w:sz="4" w:space="0" w:color="auto"/>
            </w:tcBorders>
          </w:tcPr>
          <w:p w14:paraId="3C0566D9" w14:textId="2AC32080" w:rsidR="00C1621C" w:rsidRPr="000665B0" w:rsidRDefault="00C1621C" w:rsidP="00346248">
            <w:pPr>
              <w:spacing w:before="60" w:after="60" w:line="240" w:lineRule="auto"/>
              <w:jc w:val="center"/>
              <w:rPr>
                <w:sz w:val="20"/>
              </w:rPr>
            </w:pPr>
            <w:r w:rsidRPr="000665B0">
              <w:rPr>
                <w:sz w:val="20"/>
              </w:rPr>
              <w:lastRenderedPageBreak/>
              <w:t>11</w:t>
            </w:r>
          </w:p>
        </w:tc>
        <w:tc>
          <w:tcPr>
            <w:tcW w:w="6358" w:type="dxa"/>
            <w:tcBorders>
              <w:top w:val="nil"/>
              <w:left w:val="nil"/>
              <w:bottom w:val="single" w:sz="4" w:space="0" w:color="auto"/>
              <w:right w:val="single" w:sz="4" w:space="0" w:color="auto"/>
            </w:tcBorders>
          </w:tcPr>
          <w:p w14:paraId="364774EA" w14:textId="77777777" w:rsidR="00C1621C" w:rsidRPr="000665B0" w:rsidRDefault="00C1621C" w:rsidP="00346248">
            <w:pPr>
              <w:spacing w:before="60" w:after="60" w:line="240" w:lineRule="auto"/>
              <w:rPr>
                <w:bCs/>
                <w:sz w:val="20"/>
              </w:rPr>
            </w:pPr>
            <w:r w:rsidRPr="000665B0">
              <w:rPr>
                <w:bCs/>
                <w:sz w:val="20"/>
              </w:rPr>
              <w:t>Set LPMP Area and PLP for Nodes</w:t>
            </w:r>
          </w:p>
          <w:p w14:paraId="6E5D05EE" w14:textId="77777777" w:rsidR="00C1621C" w:rsidRPr="000665B0" w:rsidRDefault="00C1621C" w:rsidP="006D5A65">
            <w:pPr>
              <w:pStyle w:val="Heading1"/>
              <w:rPr>
                <w:bCs/>
              </w:rPr>
            </w:pPr>
            <w:r w:rsidRPr="000665B0">
              <w:t xml:space="preserve">Select the </w:t>
            </w:r>
            <w:r w:rsidRPr="000665B0">
              <w:rPr>
                <w:i/>
              </w:rPr>
              <w:t>Arsenal</w:t>
            </w:r>
            <w:r w:rsidRPr="000665B0">
              <w:t xml:space="preserve"> tab at the bottom of </w:t>
            </w:r>
            <w:r w:rsidRPr="000665B0">
              <w:rPr>
                <w:i/>
              </w:rPr>
              <w:t>Strike Option</w:t>
            </w:r>
            <w:r w:rsidRPr="000665B0">
              <w:t xml:space="preserve"> window.</w:t>
            </w:r>
          </w:p>
          <w:p w14:paraId="514F7D7F" w14:textId="7F2F5E63" w:rsidR="001A7489" w:rsidRPr="000665B0" w:rsidRDefault="001A7489" w:rsidP="006D5A65">
            <w:pPr>
              <w:pStyle w:val="Heading1"/>
              <w:rPr>
                <w:bCs/>
              </w:rPr>
            </w:pPr>
            <w:r w:rsidRPr="000665B0">
              <w:t xml:space="preserve">Invoke the context menu and select Add </w:t>
            </w:r>
            <w:r w:rsidRPr="000665B0">
              <w:sym w:font="Wingdings 3" w:char="F07D"/>
            </w:r>
            <w:r w:rsidRPr="000665B0">
              <w:t xml:space="preserve"> All Nodes.</w:t>
            </w:r>
          </w:p>
          <w:p w14:paraId="01B95BE6" w14:textId="02CA1FDA" w:rsidR="00C1621C" w:rsidRPr="000665B0" w:rsidRDefault="00C1621C" w:rsidP="006D5A65">
            <w:pPr>
              <w:pStyle w:val="Heading1"/>
              <w:rPr>
                <w:bCs/>
              </w:rPr>
            </w:pPr>
            <w:r w:rsidRPr="000665B0">
              <w:t>Highlight the desired node</w:t>
            </w:r>
            <w:r w:rsidRPr="000665B0">
              <w:rPr>
                <w:bCs/>
              </w:rPr>
              <w:t xml:space="preserve"> in the </w:t>
            </w:r>
            <w:r w:rsidR="00007D41" w:rsidRPr="000665B0">
              <w:rPr>
                <w:bCs/>
              </w:rPr>
              <w:t xml:space="preserve">Arsenal </w:t>
            </w:r>
            <w:r w:rsidRPr="000665B0">
              <w:rPr>
                <w:bCs/>
              </w:rPr>
              <w:t>pane.</w:t>
            </w:r>
          </w:p>
          <w:p w14:paraId="3F073157" w14:textId="1521102F" w:rsidR="00C1621C" w:rsidRPr="000665B0" w:rsidRDefault="00D71804" w:rsidP="006D5A65">
            <w:pPr>
              <w:pStyle w:val="Heading1"/>
            </w:pPr>
            <w:r w:rsidRPr="000665B0">
              <w:t>Right-click</w:t>
            </w:r>
            <w:r w:rsidR="00C1621C" w:rsidRPr="000665B0">
              <w:t xml:space="preserve"> on the highlighted </w:t>
            </w:r>
            <w:r w:rsidR="001A7489" w:rsidRPr="000665B0">
              <w:t xml:space="preserve">platform </w:t>
            </w:r>
            <w:r w:rsidR="00C1621C" w:rsidRPr="000665B0">
              <w:t xml:space="preserve">and select Edit </w:t>
            </w:r>
            <w:r w:rsidR="00C1621C" w:rsidRPr="000665B0">
              <w:sym w:font="Wingdings 3" w:char="F07D"/>
            </w:r>
            <w:r w:rsidR="00C1621C" w:rsidRPr="000665B0">
              <w:t xml:space="preserve"> PLP/LPMP Op Area. The </w:t>
            </w:r>
            <w:r w:rsidR="00C1621C" w:rsidRPr="000665B0">
              <w:rPr>
                <w:i/>
                <w:iCs/>
              </w:rPr>
              <w:t>Edit PLP/LPMP Op Area</w:t>
            </w:r>
            <w:r w:rsidR="00C1621C" w:rsidRPr="000665B0">
              <w:t xml:space="preserve"> window is displayed.</w:t>
            </w:r>
          </w:p>
          <w:p w14:paraId="11FCA596" w14:textId="0504A6A0" w:rsidR="00C1621C" w:rsidRPr="000665B0" w:rsidRDefault="00C1621C" w:rsidP="006D5A65">
            <w:pPr>
              <w:pStyle w:val="Heading1"/>
            </w:pPr>
            <w:r w:rsidRPr="000665B0">
              <w:t xml:space="preserve">Select the PLP and LPMP Operation Area from the </w:t>
            </w:r>
            <w:r w:rsidR="00D24B5E" w:rsidRPr="000665B0">
              <w:t>pull-down</w:t>
            </w:r>
            <w:r w:rsidRPr="000665B0">
              <w:t xml:space="preserve"> menu in the </w:t>
            </w:r>
            <w:r w:rsidRPr="000665B0">
              <w:rPr>
                <w:i/>
                <w:iCs/>
              </w:rPr>
              <w:t>Edit PLP/LPMP Op Area</w:t>
            </w:r>
            <w:r w:rsidRPr="000665B0">
              <w:t xml:space="preserve"> window and click OK.</w:t>
            </w:r>
          </w:p>
        </w:tc>
        <w:tc>
          <w:tcPr>
            <w:tcW w:w="6358" w:type="dxa"/>
            <w:tcBorders>
              <w:top w:val="nil"/>
              <w:left w:val="nil"/>
              <w:bottom w:val="single" w:sz="4" w:space="0" w:color="auto"/>
              <w:right w:val="single" w:sz="4" w:space="0" w:color="auto"/>
            </w:tcBorders>
          </w:tcPr>
          <w:p w14:paraId="246920D8" w14:textId="77777777" w:rsidR="00C1621C" w:rsidRPr="000665B0" w:rsidRDefault="00C1621C" w:rsidP="00346248">
            <w:pPr>
              <w:spacing w:before="60" w:after="60" w:line="240" w:lineRule="auto"/>
              <w:rPr>
                <w:sz w:val="20"/>
              </w:rPr>
            </w:pPr>
          </w:p>
        </w:tc>
      </w:tr>
      <w:tr w:rsidR="00C1621C" w:rsidRPr="000665B0" w14:paraId="14AB0F35" w14:textId="77777777" w:rsidTr="00BD4482">
        <w:trPr>
          <w:trHeight w:val="1070"/>
        </w:trPr>
        <w:tc>
          <w:tcPr>
            <w:tcW w:w="863" w:type="dxa"/>
            <w:tcBorders>
              <w:top w:val="nil"/>
              <w:left w:val="single" w:sz="4" w:space="0" w:color="auto"/>
              <w:bottom w:val="single" w:sz="4" w:space="0" w:color="auto"/>
              <w:right w:val="single" w:sz="4" w:space="0" w:color="auto"/>
            </w:tcBorders>
          </w:tcPr>
          <w:p w14:paraId="40234CDC" w14:textId="77777777" w:rsidR="00C1621C" w:rsidRPr="000665B0" w:rsidRDefault="00C1621C" w:rsidP="00346248">
            <w:pPr>
              <w:spacing w:before="60" w:after="60" w:line="240" w:lineRule="auto"/>
              <w:jc w:val="center"/>
              <w:rPr>
                <w:sz w:val="20"/>
              </w:rPr>
            </w:pPr>
            <w:r w:rsidRPr="000665B0">
              <w:rPr>
                <w:sz w:val="20"/>
              </w:rPr>
              <w:t>12</w:t>
            </w:r>
          </w:p>
        </w:tc>
        <w:tc>
          <w:tcPr>
            <w:tcW w:w="6358" w:type="dxa"/>
            <w:tcBorders>
              <w:top w:val="single" w:sz="4" w:space="0" w:color="auto"/>
              <w:left w:val="nil"/>
              <w:bottom w:val="single" w:sz="4" w:space="0" w:color="auto"/>
              <w:right w:val="single" w:sz="4" w:space="0" w:color="auto"/>
            </w:tcBorders>
          </w:tcPr>
          <w:p w14:paraId="25486BAA" w14:textId="2036B603" w:rsidR="00C1621C" w:rsidRPr="000665B0" w:rsidRDefault="00C1621C" w:rsidP="00346248">
            <w:pPr>
              <w:spacing w:before="60" w:after="60" w:line="240" w:lineRule="auto"/>
              <w:rPr>
                <w:sz w:val="20"/>
              </w:rPr>
            </w:pPr>
            <w:r w:rsidRPr="000665B0">
              <w:rPr>
                <w:bCs/>
                <w:sz w:val="20"/>
              </w:rPr>
              <w:t>Make Missile Assignments</w:t>
            </w:r>
            <w:r w:rsidRPr="000665B0">
              <w:rPr>
                <w:sz w:val="20"/>
              </w:rPr>
              <w:t xml:space="preserve"> Using Manual PM3</w:t>
            </w:r>
            <w:r w:rsidR="001A7489" w:rsidRPr="000665B0">
              <w:rPr>
                <w:sz w:val="20"/>
              </w:rPr>
              <w:t xml:space="preserve"> </w:t>
            </w:r>
          </w:p>
          <w:p w14:paraId="66572721" w14:textId="77777777" w:rsidR="00C1621C" w:rsidRPr="000665B0" w:rsidRDefault="00C1621C" w:rsidP="006D5A65">
            <w:pPr>
              <w:pStyle w:val="Heading1"/>
            </w:pPr>
            <w:r w:rsidRPr="000665B0">
              <w:t xml:space="preserve">Select Tools </w:t>
            </w:r>
            <w:r w:rsidRPr="000665B0">
              <w:sym w:font="Wingdings" w:char="F0E0"/>
            </w:r>
            <w:r w:rsidRPr="000665B0">
              <w:t xml:space="preserve"> Manual PM3 or select the Manual PM3 </w:t>
            </w:r>
            <w:r w:rsidRPr="000665B0">
              <w:rPr>
                <w:noProof/>
              </w:rPr>
              <w:drawing>
                <wp:inline distT="0" distB="0" distL="0" distR="0" wp14:anchorId="02E342AE" wp14:editId="6381BC90">
                  <wp:extent cx="209550" cy="190500"/>
                  <wp:effectExtent l="0" t="0" r="0"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212793" cy="193448"/>
                          </a:xfrm>
                          <a:prstGeom prst="rect">
                            <a:avLst/>
                          </a:prstGeom>
                          <a:noFill/>
                          <a:ln w="9525">
                            <a:noFill/>
                            <a:miter lim="800000"/>
                            <a:headEnd/>
                            <a:tailEnd/>
                          </a:ln>
                        </pic:spPr>
                      </pic:pic>
                    </a:graphicData>
                  </a:graphic>
                </wp:inline>
              </w:drawing>
            </w:r>
            <w:r w:rsidRPr="000665B0">
              <w:t xml:space="preserve"> icon from the toolbar. The </w:t>
            </w:r>
            <w:r w:rsidRPr="000665B0">
              <w:rPr>
                <w:i/>
              </w:rPr>
              <w:t>PM3 for Strike Package: xxxxx-xxxxx-xxxxx</w:t>
            </w:r>
            <w:r w:rsidRPr="000665B0">
              <w:t xml:space="preserve"> window is displayed.</w:t>
            </w:r>
          </w:p>
          <w:p w14:paraId="38851D0B" w14:textId="77777777" w:rsidR="00C1621C" w:rsidRPr="000665B0" w:rsidRDefault="00C1621C" w:rsidP="00346248">
            <w:pPr>
              <w:pStyle w:val="ListParagraph"/>
              <w:spacing w:before="60" w:after="60"/>
              <w:rPr>
                <w:rFonts w:ascii="Times New Roman" w:hAnsi="Times New Roman"/>
                <w:sz w:val="20"/>
                <w:szCs w:val="20"/>
              </w:rPr>
            </w:pPr>
            <w:r w:rsidRPr="000665B0">
              <w:rPr>
                <w:rFonts w:ascii="Times New Roman" w:hAnsi="Times New Roman"/>
                <w:b/>
                <w:sz w:val="20"/>
                <w:szCs w:val="20"/>
              </w:rPr>
              <w:t>Note:</w:t>
            </w:r>
            <w:r w:rsidRPr="000665B0">
              <w:rPr>
                <w:rFonts w:ascii="Times New Roman" w:hAnsi="Times New Roman"/>
                <w:sz w:val="20"/>
                <w:szCs w:val="20"/>
              </w:rPr>
              <w:t xml:space="preserve"> Ghost Missions are displayed in the </w:t>
            </w:r>
            <w:r w:rsidRPr="000665B0">
              <w:rPr>
                <w:rFonts w:ascii="Times New Roman" w:hAnsi="Times New Roman"/>
                <w:b/>
                <w:i/>
                <w:sz w:val="20"/>
                <w:szCs w:val="20"/>
              </w:rPr>
              <w:t>Missiles</w:t>
            </w:r>
            <w:r w:rsidRPr="000665B0">
              <w:rPr>
                <w:rFonts w:ascii="Times New Roman" w:hAnsi="Times New Roman"/>
                <w:sz w:val="20"/>
                <w:szCs w:val="20"/>
              </w:rPr>
              <w:t xml:space="preserve"> tab under the Trigraph </w:t>
            </w:r>
            <w:r w:rsidRPr="000665B0">
              <w:rPr>
                <w:rFonts w:ascii="Times New Roman" w:hAnsi="Times New Roman"/>
                <w:b/>
                <w:sz w:val="20"/>
                <w:szCs w:val="20"/>
              </w:rPr>
              <w:t>BOO</w:t>
            </w:r>
            <w:r w:rsidRPr="000665B0">
              <w:rPr>
                <w:rFonts w:ascii="Times New Roman" w:hAnsi="Times New Roman"/>
                <w:sz w:val="20"/>
                <w:szCs w:val="20"/>
              </w:rPr>
              <w:t>.</w:t>
            </w:r>
          </w:p>
          <w:p w14:paraId="1B1D4901" w14:textId="7052A9A2" w:rsidR="001A7489" w:rsidRPr="000665B0" w:rsidRDefault="000C40FD" w:rsidP="006D5A65">
            <w:pPr>
              <w:pStyle w:val="Heading1"/>
            </w:pPr>
            <w:r w:rsidRPr="000665B0">
              <w:t xml:space="preserve">Set </w:t>
            </w:r>
            <w:r w:rsidR="001A7489" w:rsidRPr="000665B0">
              <w:t>the</w:t>
            </w:r>
            <w:r w:rsidR="001A7489" w:rsidRPr="000665B0">
              <w:rPr>
                <w:color w:val="4F81BD" w:themeColor="accent1"/>
              </w:rPr>
              <w:t xml:space="preserve"> </w:t>
            </w:r>
            <w:r w:rsidR="001A7489" w:rsidRPr="000665B0">
              <w:t xml:space="preserve">Expand To pulldown to Missions </w:t>
            </w:r>
            <w:r w:rsidRPr="000665B0">
              <w:t>(see</w:t>
            </w:r>
            <w:r w:rsidRPr="000665B0">
              <w:rPr>
                <w:color w:val="4F81BD" w:themeColor="accent1"/>
              </w:rPr>
              <w:t xml:space="preserve"> </w:t>
            </w:r>
            <w:hyperlink w:anchor="_Toolbar" w:history="1">
              <w:r w:rsidR="009326FE" w:rsidRPr="000665B0">
                <w:rPr>
                  <w:rStyle w:val="Hyperlink"/>
                  <w:rFonts w:ascii="Times New Roman" w:hAnsi="Times New Roman"/>
                  <w:sz w:val="20"/>
                </w:rPr>
                <w:t xml:space="preserve">Section </w:t>
              </w:r>
              <w:r w:rsidR="004231CC">
                <w:rPr>
                  <w:rStyle w:val="Hyperlink"/>
                  <w:rFonts w:ascii="Times New Roman" w:hAnsi="Times New Roman"/>
                  <w:sz w:val="20"/>
                </w:rPr>
                <w:t>5.34</w:t>
              </w:r>
              <w:r w:rsidRPr="000665B0">
                <w:rPr>
                  <w:rStyle w:val="Hyperlink"/>
                  <w:rFonts w:ascii="Times New Roman" w:hAnsi="Times New Roman"/>
                  <w:sz w:val="20"/>
                </w:rPr>
                <w:t>.7.1.17.2</w:t>
              </w:r>
            </w:hyperlink>
            <w:r w:rsidRPr="000665B0">
              <w:rPr>
                <w:color w:val="4F81BD" w:themeColor="accent1"/>
              </w:rPr>
              <w:t>).</w:t>
            </w:r>
          </w:p>
          <w:p w14:paraId="65B7F2BB" w14:textId="77777777" w:rsidR="00C1621C" w:rsidRPr="000665B0" w:rsidRDefault="00C1621C" w:rsidP="00346248">
            <w:pPr>
              <w:spacing w:before="60" w:after="60" w:line="240" w:lineRule="auto"/>
              <w:rPr>
                <w:sz w:val="20"/>
              </w:rPr>
            </w:pPr>
            <w:r w:rsidRPr="000665B0">
              <w:rPr>
                <w:sz w:val="20"/>
              </w:rPr>
              <w:t>Highlight a Mission and Assign Missiles</w:t>
            </w:r>
          </w:p>
          <w:p w14:paraId="5CE7D190" w14:textId="77777777" w:rsidR="00C1621C" w:rsidRPr="000665B0" w:rsidRDefault="00C1621C" w:rsidP="006D5A65">
            <w:pPr>
              <w:pStyle w:val="Heading1"/>
            </w:pPr>
            <w:r w:rsidRPr="000665B0">
              <w:t>Select a mission from the left side of the window and drag from left to right to the desired FRU.</w:t>
            </w:r>
          </w:p>
          <w:p w14:paraId="445F7527" w14:textId="77777777" w:rsidR="00C1621C" w:rsidRPr="000665B0" w:rsidRDefault="00C1621C" w:rsidP="006D5A65">
            <w:pPr>
              <w:pStyle w:val="Heading1"/>
            </w:pPr>
            <w:r w:rsidRPr="000665B0">
              <w:t xml:space="preserve">Make the following assignments (assign backups with different missions from the primaries): </w:t>
            </w:r>
          </w:p>
          <w:p w14:paraId="78808130" w14:textId="4AE4340B" w:rsidR="000C40FD" w:rsidRPr="000665B0" w:rsidRDefault="000C40FD" w:rsidP="006D5A65">
            <w:pPr>
              <w:pStyle w:val="Heading1"/>
            </w:pPr>
            <w:r w:rsidRPr="000665B0">
              <w:t>Set the Assign pulldown to</w:t>
            </w:r>
            <w:r w:rsidR="00D77836" w:rsidRPr="000665B0">
              <w:t xml:space="preserve"> the desired TSN Strategy for each reservation </w:t>
            </w:r>
            <w:r w:rsidRPr="000665B0">
              <w:t xml:space="preserve">(see </w:t>
            </w:r>
            <w:hyperlink w:anchor="_Toolbar" w:history="1">
              <w:r w:rsidR="009326FE" w:rsidRPr="000665B0">
                <w:rPr>
                  <w:rStyle w:val="Hyperlink"/>
                  <w:rFonts w:ascii="Times New Roman" w:hAnsi="Times New Roman"/>
                  <w:sz w:val="20"/>
                </w:rPr>
                <w:t xml:space="preserve">Section </w:t>
              </w:r>
              <w:r w:rsidR="004231CC">
                <w:rPr>
                  <w:rStyle w:val="Hyperlink"/>
                  <w:rFonts w:ascii="Times New Roman" w:hAnsi="Times New Roman"/>
                  <w:sz w:val="20"/>
                </w:rPr>
                <w:t>5.34</w:t>
              </w:r>
              <w:r w:rsidRPr="000665B0">
                <w:rPr>
                  <w:rStyle w:val="Hyperlink"/>
                  <w:rFonts w:ascii="Times New Roman" w:hAnsi="Times New Roman"/>
                  <w:sz w:val="20"/>
                </w:rPr>
                <w:t>.7.1.17.2</w:t>
              </w:r>
            </w:hyperlink>
            <w:r w:rsidRPr="000665B0">
              <w:t>)</w:t>
            </w:r>
            <w:r w:rsidR="001D340B" w:rsidRPr="000665B0">
              <w:t xml:space="preserve"> (see Note)</w:t>
            </w:r>
            <w:r w:rsidRPr="000665B0">
              <w:t>.</w:t>
            </w:r>
          </w:p>
          <w:p w14:paraId="1D1E2BF7" w14:textId="41029E08" w:rsidR="00C1621C" w:rsidRPr="000665B0" w:rsidRDefault="00C1621C" w:rsidP="006D5A65">
            <w:pPr>
              <w:pStyle w:val="Heading1"/>
            </w:pPr>
            <w:r w:rsidRPr="000665B0">
              <w:t xml:space="preserve">FRU1: </w:t>
            </w:r>
            <w:r w:rsidRPr="000665B0">
              <w:tab/>
              <w:t>109E</w:t>
            </w:r>
            <w:r w:rsidR="001A7489" w:rsidRPr="000665B0">
              <w:t xml:space="preserve"> DAMA</w:t>
            </w:r>
            <w:r w:rsidRPr="000665B0">
              <w:t xml:space="preserve"> – 1P, 1B (FRU2), 1RS, 1BP</w:t>
            </w:r>
            <w:r w:rsidR="001A7489" w:rsidRPr="000665B0">
              <w:br/>
            </w:r>
            <w:r w:rsidR="001A22DF" w:rsidRPr="000665B0">
              <w:tab/>
            </w:r>
            <w:r w:rsidR="00D77836" w:rsidRPr="000665B0">
              <w:t xml:space="preserve">109E </w:t>
            </w:r>
            <w:r w:rsidR="001A7489" w:rsidRPr="000665B0">
              <w:t>A</w:t>
            </w:r>
            <w:r w:rsidR="00D77836" w:rsidRPr="000665B0">
              <w:t>C</w:t>
            </w:r>
            <w:r w:rsidR="001A7489" w:rsidRPr="000665B0">
              <w:t>A – 1P, 1B (FRU2), 1ARS, 1BP</w:t>
            </w:r>
            <w:r w:rsidRPr="000665B0">
              <w:br/>
            </w:r>
            <w:r w:rsidRPr="000665B0">
              <w:tab/>
              <w:t>109C – 1P, 1B (FRU2), 1RS, 1BP</w:t>
            </w:r>
            <w:r w:rsidR="001A7489" w:rsidRPr="000665B0">
              <w:t>.</w:t>
            </w:r>
          </w:p>
          <w:p w14:paraId="7870CA0F" w14:textId="28F304E4" w:rsidR="001A7489" w:rsidRPr="000665B0" w:rsidRDefault="000C40FD" w:rsidP="006D5A65">
            <w:pPr>
              <w:pStyle w:val="Heading1"/>
            </w:pPr>
            <w:r w:rsidRPr="000665B0">
              <w:t>Set</w:t>
            </w:r>
            <w:r w:rsidR="001A7489" w:rsidRPr="000665B0">
              <w:t xml:space="preserve"> the Assign pulldown </w:t>
            </w:r>
            <w:r w:rsidR="00D77836" w:rsidRPr="000665B0">
              <w:t xml:space="preserve">to the desired TSN Strategy for each </w:t>
            </w:r>
            <w:r w:rsidR="00D77836" w:rsidRPr="000665B0">
              <w:lastRenderedPageBreak/>
              <w:t>reservation</w:t>
            </w:r>
            <w:r w:rsidRPr="000665B0">
              <w:t xml:space="preserve"> (see </w:t>
            </w:r>
            <w:hyperlink w:anchor="_Toolbar" w:history="1">
              <w:r w:rsidR="009326FE" w:rsidRPr="000665B0">
                <w:rPr>
                  <w:rStyle w:val="Hyperlink"/>
                  <w:rFonts w:ascii="Times New Roman" w:hAnsi="Times New Roman"/>
                  <w:sz w:val="20"/>
                </w:rPr>
                <w:t xml:space="preserve">Section </w:t>
              </w:r>
              <w:r w:rsidR="004231CC">
                <w:rPr>
                  <w:rStyle w:val="Hyperlink"/>
                  <w:rFonts w:ascii="Times New Roman" w:hAnsi="Times New Roman"/>
                  <w:sz w:val="20"/>
                </w:rPr>
                <w:t>5.34</w:t>
              </w:r>
              <w:r w:rsidRPr="000665B0">
                <w:rPr>
                  <w:rStyle w:val="Hyperlink"/>
                  <w:rFonts w:ascii="Times New Roman" w:hAnsi="Times New Roman"/>
                  <w:sz w:val="20"/>
                </w:rPr>
                <w:t>.7.1.17.2</w:t>
              </w:r>
            </w:hyperlink>
            <w:r w:rsidRPr="000665B0">
              <w:t>)</w:t>
            </w:r>
            <w:r w:rsidR="001D340B" w:rsidRPr="000665B0">
              <w:t xml:space="preserve"> (see Note)</w:t>
            </w:r>
            <w:r w:rsidRPr="000665B0">
              <w:t>.</w:t>
            </w:r>
          </w:p>
          <w:p w14:paraId="2989718F" w14:textId="5B9EB58E" w:rsidR="00C1621C" w:rsidRPr="000665B0" w:rsidRDefault="00C1621C" w:rsidP="006D5A65">
            <w:pPr>
              <w:pStyle w:val="Heading1"/>
            </w:pPr>
            <w:r w:rsidRPr="000665B0">
              <w:t xml:space="preserve">FRU2: </w:t>
            </w:r>
            <w:r w:rsidRPr="000665B0">
              <w:tab/>
              <w:t xml:space="preserve">109E </w:t>
            </w:r>
            <w:r w:rsidR="00D77836" w:rsidRPr="000665B0">
              <w:t>DAM</w:t>
            </w:r>
            <w:r w:rsidR="001A7489" w:rsidRPr="000665B0">
              <w:t xml:space="preserve">A </w:t>
            </w:r>
            <w:r w:rsidRPr="000665B0">
              <w:t>– 1P, 1B (FRU1), 1ARS, 1BP</w:t>
            </w:r>
            <w:r w:rsidR="001A7489" w:rsidRPr="000665B0">
              <w:br/>
            </w:r>
            <w:r w:rsidR="001A22DF" w:rsidRPr="000665B0">
              <w:tab/>
            </w:r>
            <w:r w:rsidR="001A7489" w:rsidRPr="000665B0">
              <w:t xml:space="preserve">109E ACA </w:t>
            </w:r>
            <w:r w:rsidR="00910AF1" w:rsidRPr="000665B0">
              <w:t>– 1P, 1B (FRU1), 1</w:t>
            </w:r>
            <w:r w:rsidR="001A7489" w:rsidRPr="000665B0">
              <w:t>RS, 1BP</w:t>
            </w:r>
            <w:r w:rsidRPr="000665B0">
              <w:br/>
            </w:r>
            <w:r w:rsidRPr="000665B0">
              <w:tab/>
              <w:t>109C – 1P, 1B (FRU1), 1ARS, 1BP</w:t>
            </w:r>
            <w:r w:rsidR="001A7489" w:rsidRPr="000665B0">
              <w:t>.</w:t>
            </w:r>
          </w:p>
          <w:p w14:paraId="18D631B9" w14:textId="77777777" w:rsidR="00C1621C" w:rsidRPr="000665B0" w:rsidRDefault="00C1621C" w:rsidP="006D5A65">
            <w:pPr>
              <w:pStyle w:val="Heading1"/>
            </w:pPr>
            <w:r w:rsidRPr="000665B0">
              <w:t>FRU3: (will be used for FRU reassignments).</w:t>
            </w:r>
          </w:p>
          <w:p w14:paraId="6C3E5794" w14:textId="77777777" w:rsidR="00C1621C" w:rsidRPr="000665B0" w:rsidRDefault="00C1621C" w:rsidP="00346248">
            <w:pPr>
              <w:pStyle w:val="ListParagraph"/>
              <w:tabs>
                <w:tab w:val="left" w:pos="1834"/>
              </w:tabs>
              <w:spacing w:before="60" w:after="60"/>
              <w:ind w:left="754"/>
              <w:rPr>
                <w:rFonts w:ascii="Times New Roman" w:eastAsiaTheme="minorHAnsi" w:hAnsi="Times New Roman"/>
                <w:sz w:val="20"/>
                <w:szCs w:val="20"/>
              </w:rPr>
            </w:pPr>
            <w:r w:rsidRPr="000665B0">
              <w:rPr>
                <w:rFonts w:ascii="Times New Roman" w:hAnsi="Times New Roman"/>
                <w:b/>
                <w:sz w:val="20"/>
                <w:szCs w:val="20"/>
              </w:rPr>
              <w:t>Note:</w:t>
            </w:r>
            <w:r w:rsidRPr="000665B0">
              <w:rPr>
                <w:rFonts w:ascii="Times New Roman" w:hAnsi="Times New Roman"/>
                <w:sz w:val="20"/>
                <w:szCs w:val="20"/>
              </w:rPr>
              <w:t xml:space="preserve"> </w:t>
            </w:r>
            <w:r w:rsidRPr="000665B0">
              <w:rPr>
                <w:rFonts w:ascii="Times New Roman" w:eastAsiaTheme="minorHAnsi" w:hAnsi="Times New Roman"/>
                <w:sz w:val="20"/>
                <w:szCs w:val="20"/>
              </w:rPr>
              <w:t>The missions are initially displayed in blue text. The text changes to black once tasking needs are met.</w:t>
            </w:r>
          </w:p>
          <w:p w14:paraId="2EB2ACA5" w14:textId="131ED400" w:rsidR="00C1621C" w:rsidRPr="000665B0" w:rsidRDefault="00C1621C" w:rsidP="00346248">
            <w:pPr>
              <w:spacing w:before="60" w:after="60" w:line="240" w:lineRule="auto"/>
              <w:rPr>
                <w:bCs/>
                <w:sz w:val="20"/>
              </w:rPr>
            </w:pPr>
            <w:r w:rsidRPr="000665B0">
              <w:rPr>
                <w:bCs/>
                <w:sz w:val="20"/>
              </w:rPr>
              <w:t xml:space="preserve">Assign CFF Tasking (Optional; Required if Performing Case G in Appendix </w:t>
            </w:r>
            <w:r w:rsidR="00093C35" w:rsidRPr="000665B0">
              <w:rPr>
                <w:bCs/>
                <w:sz w:val="20"/>
              </w:rPr>
              <w:t>P</w:t>
            </w:r>
            <w:r w:rsidRPr="000665B0">
              <w:rPr>
                <w:bCs/>
                <w:sz w:val="20"/>
              </w:rPr>
              <w:t>)</w:t>
            </w:r>
          </w:p>
          <w:p w14:paraId="179614BA" w14:textId="77777777" w:rsidR="00C1621C" w:rsidRPr="000665B0" w:rsidRDefault="00C1621C" w:rsidP="006D5A65">
            <w:pPr>
              <w:pStyle w:val="Heading1"/>
            </w:pPr>
            <w:r w:rsidRPr="000665B0">
              <w:t>Select the Call for Fire from the left side of the window and drag from left to right to the desired FRU.</w:t>
            </w:r>
          </w:p>
          <w:p w14:paraId="73A5F4CA" w14:textId="20B7B335" w:rsidR="00C1621C" w:rsidRPr="000665B0" w:rsidRDefault="00C1621C" w:rsidP="00F26AD4">
            <w:pPr>
              <w:keepNext/>
              <w:spacing w:before="60" w:after="60" w:line="240" w:lineRule="auto"/>
              <w:rPr>
                <w:bCs/>
                <w:sz w:val="20"/>
              </w:rPr>
            </w:pPr>
            <w:r w:rsidRPr="000665B0">
              <w:rPr>
                <w:bCs/>
                <w:sz w:val="20"/>
              </w:rPr>
              <w:t xml:space="preserve">Assign LMO Tasking (Optional; Required if Performing Case G in Appendix </w:t>
            </w:r>
            <w:r w:rsidR="00093C35" w:rsidRPr="000665B0">
              <w:rPr>
                <w:bCs/>
                <w:sz w:val="20"/>
              </w:rPr>
              <w:t>P</w:t>
            </w:r>
            <w:r w:rsidRPr="000665B0">
              <w:rPr>
                <w:bCs/>
                <w:sz w:val="20"/>
              </w:rPr>
              <w:t>)</w:t>
            </w:r>
          </w:p>
          <w:p w14:paraId="40ACE5B0" w14:textId="77777777" w:rsidR="00C1621C" w:rsidRPr="000665B0" w:rsidRDefault="00C1621C" w:rsidP="006D5A65">
            <w:pPr>
              <w:pStyle w:val="Heading1"/>
            </w:pPr>
            <w:r w:rsidRPr="000665B0">
              <w:t>Select the LMO from the left side of the window and drag from left to right to the desired FRU.</w:t>
            </w:r>
            <w:r w:rsidRPr="000665B0" w:rsidDel="004E3A3A">
              <w:t xml:space="preserve"> </w:t>
            </w:r>
          </w:p>
        </w:tc>
        <w:tc>
          <w:tcPr>
            <w:tcW w:w="6358" w:type="dxa"/>
            <w:tcBorders>
              <w:top w:val="nil"/>
              <w:left w:val="nil"/>
              <w:bottom w:val="single" w:sz="4" w:space="0" w:color="auto"/>
              <w:right w:val="single" w:sz="4" w:space="0" w:color="auto"/>
            </w:tcBorders>
          </w:tcPr>
          <w:p w14:paraId="43F477F7" w14:textId="7C1486D1" w:rsidR="00C1621C" w:rsidRPr="000665B0" w:rsidRDefault="001A7489" w:rsidP="00E95773">
            <w:pPr>
              <w:spacing w:before="60" w:after="60" w:line="240" w:lineRule="auto"/>
              <w:rPr>
                <w:sz w:val="20"/>
              </w:rPr>
            </w:pPr>
            <w:r w:rsidRPr="000665B0">
              <w:rPr>
                <w:sz w:val="20"/>
              </w:rPr>
              <w:lastRenderedPageBreak/>
              <w:t xml:space="preserve">For </w:t>
            </w:r>
            <w:r w:rsidRPr="000665B0">
              <w:rPr>
                <w:b/>
                <w:sz w:val="20"/>
              </w:rPr>
              <w:t>DAMA First</w:t>
            </w:r>
            <w:r w:rsidRPr="000665B0">
              <w:rPr>
                <w:sz w:val="20"/>
              </w:rPr>
              <w:t xml:space="preserve"> and </w:t>
            </w:r>
            <w:r w:rsidRPr="000665B0">
              <w:rPr>
                <w:b/>
                <w:sz w:val="20"/>
              </w:rPr>
              <w:t xml:space="preserve">ACA First </w:t>
            </w:r>
            <w:r w:rsidRPr="000665B0">
              <w:rPr>
                <w:sz w:val="20"/>
              </w:rPr>
              <w:t xml:space="preserve">reservations only, the TSN Network type can be switched during strike execution, but only if the missile </w:t>
            </w:r>
            <w:r w:rsidR="001D340B" w:rsidRPr="000665B0">
              <w:rPr>
                <w:sz w:val="20"/>
              </w:rPr>
              <w:t>has not</w:t>
            </w:r>
            <w:r w:rsidRPr="000665B0">
              <w:rPr>
                <w:sz w:val="20"/>
              </w:rPr>
              <w:t xml:space="preserve"> yet launched.</w:t>
            </w:r>
          </w:p>
        </w:tc>
      </w:tr>
      <w:tr w:rsidR="00C1621C" w:rsidRPr="000665B0" w14:paraId="1CD1293A" w14:textId="77777777" w:rsidTr="00346248">
        <w:trPr>
          <w:cantSplit/>
          <w:trHeight w:val="1530"/>
        </w:trPr>
        <w:tc>
          <w:tcPr>
            <w:tcW w:w="863" w:type="dxa"/>
            <w:tcBorders>
              <w:top w:val="nil"/>
              <w:left w:val="single" w:sz="4" w:space="0" w:color="auto"/>
              <w:bottom w:val="single" w:sz="4" w:space="0" w:color="auto"/>
              <w:right w:val="single" w:sz="4" w:space="0" w:color="auto"/>
            </w:tcBorders>
          </w:tcPr>
          <w:p w14:paraId="01731AE1" w14:textId="77777777" w:rsidR="00C1621C" w:rsidRPr="000665B0" w:rsidRDefault="00C1621C" w:rsidP="00346248">
            <w:pPr>
              <w:spacing w:before="60" w:after="60" w:line="240" w:lineRule="auto"/>
              <w:jc w:val="center"/>
              <w:rPr>
                <w:sz w:val="20"/>
              </w:rPr>
            </w:pPr>
            <w:r w:rsidRPr="000665B0">
              <w:rPr>
                <w:sz w:val="20"/>
              </w:rPr>
              <w:t>13</w:t>
            </w:r>
          </w:p>
        </w:tc>
        <w:tc>
          <w:tcPr>
            <w:tcW w:w="6358" w:type="dxa"/>
            <w:tcBorders>
              <w:top w:val="single" w:sz="4" w:space="0" w:color="auto"/>
              <w:left w:val="nil"/>
              <w:bottom w:val="single" w:sz="4" w:space="0" w:color="auto"/>
              <w:right w:val="single" w:sz="4" w:space="0" w:color="auto"/>
            </w:tcBorders>
          </w:tcPr>
          <w:p w14:paraId="37DAED2D" w14:textId="77777777" w:rsidR="00C1621C" w:rsidRPr="000665B0" w:rsidRDefault="00C1621C" w:rsidP="00346248">
            <w:pPr>
              <w:spacing w:before="60" w:after="60" w:line="240" w:lineRule="auto"/>
              <w:rPr>
                <w:bCs/>
                <w:sz w:val="20"/>
              </w:rPr>
            </w:pPr>
            <w:r w:rsidRPr="000665B0">
              <w:rPr>
                <w:bCs/>
                <w:sz w:val="20"/>
              </w:rPr>
              <w:t>Check CALA</w:t>
            </w:r>
          </w:p>
          <w:p w14:paraId="64C99D1B" w14:textId="77777777" w:rsidR="00C1621C" w:rsidRPr="000665B0" w:rsidRDefault="00C1621C" w:rsidP="006D5A65">
            <w:pPr>
              <w:pStyle w:val="Heading1"/>
              <w:rPr>
                <w:bCs/>
              </w:rPr>
            </w:pPr>
            <w:r w:rsidRPr="000665B0">
              <w:t xml:space="preserve">Select the </w:t>
            </w:r>
            <w:r w:rsidRPr="000665B0">
              <w:rPr>
                <w:i/>
              </w:rPr>
              <w:t>Missiles</w:t>
            </w:r>
            <w:r w:rsidRPr="000665B0">
              <w:t xml:space="preserve"> tab at the bottom of </w:t>
            </w:r>
            <w:r w:rsidRPr="000665B0">
              <w:rPr>
                <w:i/>
              </w:rPr>
              <w:t>Strike Option</w:t>
            </w:r>
            <w:r w:rsidRPr="000665B0">
              <w:t xml:space="preserve"> window.</w:t>
            </w:r>
          </w:p>
          <w:p w14:paraId="259CFE3C" w14:textId="51866F07" w:rsidR="00C1621C" w:rsidRPr="000665B0" w:rsidRDefault="00C1621C" w:rsidP="006D5A65">
            <w:pPr>
              <w:pStyle w:val="Heading1"/>
            </w:pPr>
            <w:r w:rsidRPr="000665B0">
              <w:t xml:space="preserve">Select all of the Mission reservations for a specific Platform, </w:t>
            </w:r>
            <w:r w:rsidR="00D71804" w:rsidRPr="000665B0">
              <w:t>right-click</w:t>
            </w:r>
            <w:r w:rsidRPr="000665B0">
              <w:t xml:space="preserve"> and select Display </w:t>
            </w:r>
            <w:r w:rsidRPr="000665B0">
              <w:sym w:font="Wingdings 3" w:char="F07D"/>
            </w:r>
            <w:r w:rsidRPr="000665B0">
              <w:t xml:space="preserve"> CALA Geographically (see Note).</w:t>
            </w:r>
          </w:p>
          <w:p w14:paraId="12D20D14" w14:textId="77777777" w:rsidR="00C1621C" w:rsidRPr="000665B0" w:rsidRDefault="00C1621C" w:rsidP="006D5A65">
            <w:pPr>
              <w:pStyle w:val="Heading1"/>
              <w:rPr>
                <w:bCs/>
              </w:rPr>
            </w:pPr>
            <w:r w:rsidRPr="000665B0">
              <w:t xml:space="preserve">Once the CALA is displayed, it can be used as a guide to create or select the appropriate PLP and/or Op Area for the Platform. </w:t>
            </w:r>
          </w:p>
          <w:p w14:paraId="1F4C8478" w14:textId="77777777" w:rsidR="00C1621C" w:rsidRPr="000665B0" w:rsidRDefault="00C1621C" w:rsidP="006D5A65">
            <w:pPr>
              <w:pStyle w:val="Heading1"/>
              <w:rPr>
                <w:bCs/>
              </w:rPr>
            </w:pPr>
            <w:r w:rsidRPr="000665B0">
              <w:t>Repeat for every Platform.</w:t>
            </w:r>
          </w:p>
        </w:tc>
        <w:tc>
          <w:tcPr>
            <w:tcW w:w="6358" w:type="dxa"/>
            <w:tcBorders>
              <w:top w:val="nil"/>
              <w:left w:val="nil"/>
              <w:bottom w:val="single" w:sz="4" w:space="0" w:color="auto"/>
              <w:right w:val="single" w:sz="4" w:space="0" w:color="auto"/>
            </w:tcBorders>
          </w:tcPr>
          <w:p w14:paraId="5582BF04" w14:textId="77777777" w:rsidR="00C1621C" w:rsidRPr="000665B0" w:rsidRDefault="00C1621C" w:rsidP="00346248">
            <w:pPr>
              <w:spacing w:before="60" w:after="60" w:line="240" w:lineRule="auto"/>
              <w:rPr>
                <w:bCs/>
                <w:sz w:val="20"/>
              </w:rPr>
            </w:pPr>
            <w:r w:rsidRPr="000665B0">
              <w:rPr>
                <w:bCs/>
                <w:sz w:val="20"/>
              </w:rPr>
              <w:t>The Geographic Display should display the CALAs (if any) for the selected Missions.</w:t>
            </w:r>
          </w:p>
          <w:p w14:paraId="13E6EAFA" w14:textId="77777777" w:rsidR="00C1621C" w:rsidRPr="000665B0" w:rsidRDefault="00C1621C" w:rsidP="00346248">
            <w:pPr>
              <w:spacing w:before="60" w:after="60" w:line="240" w:lineRule="auto"/>
              <w:rPr>
                <w:sz w:val="20"/>
              </w:rPr>
            </w:pPr>
            <w:r w:rsidRPr="000665B0">
              <w:rPr>
                <w:bCs/>
                <w:sz w:val="20"/>
              </w:rPr>
              <w:t>The CALA is used as a tool to position the PLP for the Platform.</w:t>
            </w:r>
          </w:p>
        </w:tc>
      </w:tr>
      <w:tr w:rsidR="00C1621C" w:rsidRPr="000665B0" w14:paraId="4D675556" w14:textId="77777777" w:rsidTr="00346248">
        <w:trPr>
          <w:cantSplit/>
        </w:trPr>
        <w:tc>
          <w:tcPr>
            <w:tcW w:w="863" w:type="dxa"/>
            <w:tcBorders>
              <w:top w:val="nil"/>
              <w:left w:val="single" w:sz="4" w:space="0" w:color="auto"/>
              <w:bottom w:val="single" w:sz="4" w:space="0" w:color="auto"/>
              <w:right w:val="single" w:sz="4" w:space="0" w:color="auto"/>
            </w:tcBorders>
          </w:tcPr>
          <w:p w14:paraId="1F275696" w14:textId="77777777" w:rsidR="00C1621C" w:rsidRPr="000665B0" w:rsidRDefault="00C1621C" w:rsidP="00346248">
            <w:pPr>
              <w:spacing w:before="60" w:after="60" w:line="240" w:lineRule="auto"/>
              <w:jc w:val="center"/>
              <w:rPr>
                <w:sz w:val="20"/>
              </w:rPr>
            </w:pPr>
            <w:r w:rsidRPr="000665B0">
              <w:rPr>
                <w:sz w:val="20"/>
              </w:rPr>
              <w:lastRenderedPageBreak/>
              <w:t>14</w:t>
            </w:r>
          </w:p>
        </w:tc>
        <w:tc>
          <w:tcPr>
            <w:tcW w:w="6358" w:type="dxa"/>
            <w:tcBorders>
              <w:top w:val="nil"/>
              <w:left w:val="nil"/>
              <w:bottom w:val="single" w:sz="4" w:space="0" w:color="auto"/>
              <w:right w:val="single" w:sz="4" w:space="0" w:color="auto"/>
            </w:tcBorders>
          </w:tcPr>
          <w:p w14:paraId="43317B07" w14:textId="77777777" w:rsidR="00C1621C" w:rsidRPr="000665B0" w:rsidRDefault="00C1621C" w:rsidP="00346248">
            <w:pPr>
              <w:spacing w:before="60" w:after="60" w:line="240" w:lineRule="auto"/>
              <w:rPr>
                <w:bCs/>
                <w:sz w:val="20"/>
              </w:rPr>
            </w:pPr>
            <w:r w:rsidRPr="000665B0">
              <w:rPr>
                <w:bCs/>
                <w:sz w:val="20"/>
              </w:rPr>
              <w:t>Add Crypto</w:t>
            </w:r>
          </w:p>
          <w:p w14:paraId="5C49A0C5" w14:textId="77777777" w:rsidR="00C1621C" w:rsidRPr="000665B0" w:rsidRDefault="00C1621C" w:rsidP="006D5A65">
            <w:pPr>
              <w:pStyle w:val="Heading1"/>
              <w:rPr>
                <w:bCs/>
              </w:rPr>
            </w:pPr>
            <w:r w:rsidRPr="000665B0">
              <w:t xml:space="preserve">Select the </w:t>
            </w:r>
            <w:r w:rsidRPr="000665B0">
              <w:rPr>
                <w:i/>
              </w:rPr>
              <w:t>TSN Comms</w:t>
            </w:r>
            <w:r w:rsidRPr="000665B0">
              <w:t xml:space="preserve"> tab at the bottom of </w:t>
            </w:r>
            <w:r w:rsidRPr="000665B0">
              <w:rPr>
                <w:i/>
              </w:rPr>
              <w:t>Strike Option</w:t>
            </w:r>
            <w:r w:rsidRPr="000665B0">
              <w:t xml:space="preserve"> window.</w:t>
            </w:r>
          </w:p>
          <w:p w14:paraId="118FBB69" w14:textId="54C30F66" w:rsidR="001A22DF" w:rsidRPr="000665B0" w:rsidRDefault="001A22DF" w:rsidP="006D5A65">
            <w:pPr>
              <w:pStyle w:val="Heading1"/>
              <w:rPr>
                <w:bCs/>
              </w:rPr>
            </w:pPr>
            <w:r w:rsidRPr="000665B0">
              <w:t xml:space="preserve">Select the </w:t>
            </w:r>
            <w:r w:rsidRPr="000665B0">
              <w:rPr>
                <w:i/>
              </w:rPr>
              <w:t>DAMA</w:t>
            </w:r>
            <w:r w:rsidRPr="000665B0">
              <w:t xml:space="preserve"> sub tab (see Note 1).</w:t>
            </w:r>
          </w:p>
          <w:p w14:paraId="192C47D1" w14:textId="1E78FCF4" w:rsidR="00C1621C" w:rsidRPr="000665B0" w:rsidRDefault="00C1621C" w:rsidP="006D5A65">
            <w:pPr>
              <w:pStyle w:val="Heading1"/>
            </w:pPr>
            <w:r w:rsidRPr="000665B0">
              <w:t xml:space="preserve">Select the COMSEC and TRANSEC keys that are valid for the Strike Package using the </w:t>
            </w:r>
            <w:r w:rsidR="00B50878" w:rsidRPr="000665B0">
              <w:t>pull-down</w:t>
            </w:r>
            <w:r w:rsidRPr="000665B0">
              <w:t xml:space="preserve"> menu (see Note</w:t>
            </w:r>
            <w:r w:rsidR="001A22DF" w:rsidRPr="000665B0">
              <w:t xml:space="preserve"> 1</w:t>
            </w:r>
            <w:r w:rsidRPr="000665B0">
              <w:t>).</w:t>
            </w:r>
          </w:p>
          <w:p w14:paraId="52CBCFA7" w14:textId="5C120A99" w:rsidR="001A22DF" w:rsidRPr="000665B0" w:rsidRDefault="001A22DF" w:rsidP="006D5A65">
            <w:pPr>
              <w:pStyle w:val="Heading1"/>
            </w:pPr>
            <w:r w:rsidRPr="000665B0">
              <w:t xml:space="preserve">Select the </w:t>
            </w:r>
            <w:r w:rsidRPr="000665B0">
              <w:rPr>
                <w:i/>
              </w:rPr>
              <w:t>ACA</w:t>
            </w:r>
            <w:r w:rsidRPr="000665B0">
              <w:t xml:space="preserve"> sub tab (see Note 2).</w:t>
            </w:r>
          </w:p>
          <w:p w14:paraId="28B61F11" w14:textId="0232FEBB" w:rsidR="001A22DF" w:rsidRPr="000665B0" w:rsidRDefault="001A22DF" w:rsidP="006D5A65">
            <w:pPr>
              <w:pStyle w:val="Heading1"/>
            </w:pPr>
            <w:r w:rsidRPr="000665B0">
              <w:t>Fill out the Frequency and Power Level Index, Select Crypto Keys, and check Extend COMSEC, if necessary.</w:t>
            </w:r>
          </w:p>
          <w:p w14:paraId="0FA98E9F" w14:textId="00CBFE5C" w:rsidR="001A22DF" w:rsidRPr="000665B0" w:rsidRDefault="001A22DF" w:rsidP="006D5A65">
            <w:pPr>
              <w:pStyle w:val="Heading1"/>
            </w:pPr>
            <w:r w:rsidRPr="000665B0">
              <w:t>Select the desired POB from the Planned Outcomes Boundary pulldown menu</w:t>
            </w:r>
            <w:r w:rsidR="00847ECF" w:rsidRPr="000665B0">
              <w:t xml:space="preserve"> or create a new POB (see </w:t>
            </w:r>
            <w:hyperlink w:anchor="_ACA_Tab" w:history="1">
              <w:r w:rsidR="009326FE" w:rsidRPr="000665B0">
                <w:rPr>
                  <w:rStyle w:val="Hyperlink"/>
                  <w:rFonts w:ascii="Times New Roman" w:hAnsi="Times New Roman"/>
                  <w:bCs/>
                  <w:sz w:val="20"/>
                </w:rPr>
                <w:t xml:space="preserve">Section </w:t>
              </w:r>
              <w:r w:rsidR="004231CC">
                <w:rPr>
                  <w:rStyle w:val="Hyperlink"/>
                  <w:rFonts w:ascii="Times New Roman" w:hAnsi="Times New Roman"/>
                  <w:bCs/>
                  <w:sz w:val="20"/>
                </w:rPr>
                <w:t>5.34</w:t>
              </w:r>
              <w:r w:rsidR="00847ECF" w:rsidRPr="000665B0">
                <w:rPr>
                  <w:rStyle w:val="Hyperlink"/>
                  <w:rFonts w:ascii="Times New Roman" w:hAnsi="Times New Roman"/>
                  <w:bCs/>
                  <w:sz w:val="20"/>
                </w:rPr>
                <w:t>.7.1.8.2</w:t>
              </w:r>
            </w:hyperlink>
            <w:r w:rsidR="00847ECF" w:rsidRPr="000665B0">
              <w:t>)</w:t>
            </w:r>
            <w:r w:rsidRPr="000665B0">
              <w:t>.</w:t>
            </w:r>
          </w:p>
        </w:tc>
        <w:tc>
          <w:tcPr>
            <w:tcW w:w="6358" w:type="dxa"/>
            <w:tcBorders>
              <w:top w:val="nil"/>
              <w:left w:val="nil"/>
              <w:bottom w:val="single" w:sz="4" w:space="0" w:color="auto"/>
              <w:right w:val="single" w:sz="4" w:space="0" w:color="auto"/>
            </w:tcBorders>
          </w:tcPr>
          <w:p w14:paraId="19D8FE8F" w14:textId="1F4B5EB4" w:rsidR="00EE2A85" w:rsidRPr="000665B0" w:rsidRDefault="001A22DF" w:rsidP="00346248">
            <w:pPr>
              <w:spacing w:before="60" w:after="60" w:line="240" w:lineRule="auto"/>
              <w:rPr>
                <w:color w:val="4F81BD" w:themeColor="accent1"/>
                <w:sz w:val="20"/>
              </w:rPr>
            </w:pPr>
            <w:r w:rsidRPr="000665B0">
              <w:rPr>
                <w:sz w:val="20"/>
              </w:rPr>
              <w:t xml:space="preserve">1. </w:t>
            </w:r>
            <w:r w:rsidR="00EE2A85" w:rsidRPr="000665B0">
              <w:rPr>
                <w:sz w:val="20"/>
              </w:rPr>
              <w:t xml:space="preserve">If the DAMA TSN Comms default preferences have been set beforehand (see </w:t>
            </w:r>
            <w:hyperlink w:anchor="_TSN_Comms_Tab" w:history="1">
              <w:r w:rsidR="009326FE" w:rsidRPr="000665B0">
                <w:rPr>
                  <w:rStyle w:val="Hyperlink"/>
                  <w:sz w:val="20"/>
                </w:rPr>
                <w:t xml:space="preserve">Section </w:t>
              </w:r>
              <w:r w:rsidR="004231CC">
                <w:rPr>
                  <w:rStyle w:val="Hyperlink"/>
                  <w:sz w:val="20"/>
                </w:rPr>
                <w:t>5.34</w:t>
              </w:r>
              <w:r w:rsidR="00EE2A85" w:rsidRPr="000665B0">
                <w:rPr>
                  <w:rStyle w:val="Hyperlink"/>
                  <w:sz w:val="20"/>
                </w:rPr>
                <w:t>.1.1.4.1.2</w:t>
              </w:r>
            </w:hyperlink>
            <w:r w:rsidR="00EE2A85" w:rsidRPr="000665B0">
              <w:rPr>
                <w:sz w:val="20"/>
              </w:rPr>
              <w:t xml:space="preserve">), all fields in the </w:t>
            </w:r>
            <w:r w:rsidR="00EE2A85" w:rsidRPr="000665B0">
              <w:rPr>
                <w:b/>
                <w:i/>
                <w:sz w:val="20"/>
              </w:rPr>
              <w:t>DAMA</w:t>
            </w:r>
            <w:r w:rsidR="00EE2A85" w:rsidRPr="000665B0">
              <w:rPr>
                <w:sz w:val="20"/>
              </w:rPr>
              <w:t xml:space="preserve"> tab will be prepopulated except for the DTA settings, which must be manually entered. If preferences have not been set, enter the Channel Number, DTA Settings, and Crypto Key.</w:t>
            </w:r>
          </w:p>
          <w:p w14:paraId="14703655" w14:textId="34AA6242" w:rsidR="00C1621C" w:rsidRPr="000665B0" w:rsidRDefault="00C1621C" w:rsidP="00346248">
            <w:pPr>
              <w:spacing w:before="60" w:after="60" w:line="240" w:lineRule="auto"/>
              <w:rPr>
                <w:sz w:val="20"/>
              </w:rPr>
            </w:pPr>
            <w:r w:rsidRPr="000665B0">
              <w:rPr>
                <w:sz w:val="20"/>
              </w:rPr>
              <w:t xml:space="preserve">Once the keys are selected, the </w:t>
            </w:r>
            <w:r w:rsidRPr="000665B0">
              <w:rPr>
                <w:b/>
                <w:sz w:val="20"/>
              </w:rPr>
              <w:t>Edition</w:t>
            </w:r>
            <w:r w:rsidRPr="000665B0">
              <w:rPr>
                <w:sz w:val="20"/>
              </w:rPr>
              <w:t xml:space="preserve"> and </w:t>
            </w:r>
            <w:r w:rsidRPr="000665B0">
              <w:rPr>
                <w:b/>
                <w:sz w:val="20"/>
              </w:rPr>
              <w:t>Segment</w:t>
            </w:r>
            <w:r w:rsidRPr="000665B0">
              <w:rPr>
                <w:sz w:val="20"/>
              </w:rPr>
              <w:t xml:space="preserve"> information should be populated with Edition and Segments based on the Strike Times. If the Editions and/or Segments do not get populated, then there are no valid Editions and Segments for the key(s). In this case a new key should be used.</w:t>
            </w:r>
          </w:p>
          <w:p w14:paraId="76D11032" w14:textId="37BBED57" w:rsidR="001A22DF" w:rsidRPr="000665B0" w:rsidRDefault="001A22DF" w:rsidP="00E95773">
            <w:pPr>
              <w:spacing w:before="60" w:after="60" w:line="240" w:lineRule="auto"/>
              <w:rPr>
                <w:sz w:val="20"/>
              </w:rPr>
            </w:pPr>
            <w:r w:rsidRPr="000665B0">
              <w:rPr>
                <w:sz w:val="20"/>
              </w:rPr>
              <w:t xml:space="preserve">2. If the ACA TSN Comms default preferences have been set beforehand (see </w:t>
            </w:r>
            <w:hyperlink w:anchor="_TSN_Comms_Tab_1" w:history="1">
              <w:r w:rsidR="009326FE" w:rsidRPr="000665B0">
                <w:rPr>
                  <w:rStyle w:val="Hyperlink"/>
                  <w:sz w:val="20"/>
                </w:rPr>
                <w:t xml:space="preserve">Section </w:t>
              </w:r>
              <w:r w:rsidR="004231CC">
                <w:rPr>
                  <w:rStyle w:val="Hyperlink"/>
                  <w:sz w:val="20"/>
                </w:rPr>
                <w:t>5.34</w:t>
              </w:r>
              <w:r w:rsidRPr="000665B0">
                <w:rPr>
                  <w:rStyle w:val="Hyperlink"/>
                  <w:sz w:val="20"/>
                </w:rPr>
                <w:t>.1.1.4.2.2</w:t>
              </w:r>
            </w:hyperlink>
            <w:r w:rsidRPr="000665B0">
              <w:rPr>
                <w:sz w:val="20"/>
              </w:rPr>
              <w:t xml:space="preserve">), the </w:t>
            </w:r>
            <w:r w:rsidR="00847ECF" w:rsidRPr="000665B0">
              <w:rPr>
                <w:sz w:val="20"/>
              </w:rPr>
              <w:t>C</w:t>
            </w:r>
            <w:r w:rsidRPr="000665B0">
              <w:rPr>
                <w:sz w:val="20"/>
              </w:rPr>
              <w:t xml:space="preserve">ryptos in the </w:t>
            </w:r>
            <w:r w:rsidRPr="000665B0">
              <w:rPr>
                <w:b/>
                <w:i/>
                <w:sz w:val="20"/>
              </w:rPr>
              <w:t>ACA</w:t>
            </w:r>
            <w:r w:rsidRPr="000665B0">
              <w:rPr>
                <w:sz w:val="20"/>
              </w:rPr>
              <w:t xml:space="preserve"> tab will be prepopulated. </w:t>
            </w:r>
          </w:p>
        </w:tc>
      </w:tr>
      <w:tr w:rsidR="00C1621C" w:rsidRPr="000665B0" w14:paraId="156158C2" w14:textId="77777777" w:rsidTr="00346248">
        <w:trPr>
          <w:cantSplit/>
          <w:trHeight w:val="255"/>
        </w:trPr>
        <w:tc>
          <w:tcPr>
            <w:tcW w:w="863" w:type="dxa"/>
            <w:tcBorders>
              <w:top w:val="nil"/>
              <w:left w:val="single" w:sz="4" w:space="0" w:color="auto"/>
              <w:bottom w:val="single" w:sz="4" w:space="0" w:color="auto"/>
              <w:right w:val="single" w:sz="4" w:space="0" w:color="auto"/>
            </w:tcBorders>
          </w:tcPr>
          <w:p w14:paraId="104191CC" w14:textId="6FEA1261" w:rsidR="00C1621C" w:rsidRPr="000665B0" w:rsidRDefault="00C1621C" w:rsidP="00346248">
            <w:pPr>
              <w:spacing w:before="60" w:after="60" w:line="240" w:lineRule="auto"/>
              <w:jc w:val="center"/>
              <w:rPr>
                <w:sz w:val="20"/>
              </w:rPr>
            </w:pPr>
            <w:r w:rsidRPr="000665B0">
              <w:rPr>
                <w:sz w:val="20"/>
              </w:rPr>
              <w:t>15</w:t>
            </w:r>
          </w:p>
        </w:tc>
        <w:tc>
          <w:tcPr>
            <w:tcW w:w="6358" w:type="dxa"/>
            <w:tcBorders>
              <w:top w:val="nil"/>
              <w:left w:val="nil"/>
              <w:bottom w:val="single" w:sz="4" w:space="0" w:color="auto"/>
              <w:right w:val="single" w:sz="4" w:space="0" w:color="auto"/>
            </w:tcBorders>
          </w:tcPr>
          <w:p w14:paraId="3E82F283" w14:textId="77777777" w:rsidR="00C1621C" w:rsidRPr="000665B0" w:rsidRDefault="00C1621C" w:rsidP="00346248">
            <w:pPr>
              <w:spacing w:before="60" w:after="60" w:line="240" w:lineRule="auto"/>
              <w:rPr>
                <w:bCs/>
                <w:sz w:val="20"/>
              </w:rPr>
            </w:pPr>
            <w:r w:rsidRPr="000665B0">
              <w:rPr>
                <w:bCs/>
                <w:sz w:val="20"/>
              </w:rPr>
              <w:t>Save the Strike Option.</w:t>
            </w:r>
          </w:p>
        </w:tc>
        <w:tc>
          <w:tcPr>
            <w:tcW w:w="6358" w:type="dxa"/>
            <w:tcBorders>
              <w:top w:val="nil"/>
              <w:left w:val="nil"/>
              <w:bottom w:val="single" w:sz="4" w:space="0" w:color="auto"/>
              <w:right w:val="single" w:sz="4" w:space="0" w:color="auto"/>
            </w:tcBorders>
          </w:tcPr>
          <w:p w14:paraId="409E564B" w14:textId="77777777" w:rsidR="00C1621C" w:rsidRPr="000665B0" w:rsidRDefault="00C1621C" w:rsidP="00346248">
            <w:pPr>
              <w:spacing w:before="60" w:after="60" w:line="240" w:lineRule="auto"/>
              <w:rPr>
                <w:sz w:val="20"/>
              </w:rPr>
            </w:pPr>
            <w:r w:rsidRPr="000665B0">
              <w:rPr>
                <w:sz w:val="20"/>
              </w:rPr>
              <w:t> </w:t>
            </w:r>
          </w:p>
        </w:tc>
      </w:tr>
      <w:tr w:rsidR="00C1621C" w:rsidRPr="000665B0" w14:paraId="112368DB" w14:textId="77777777" w:rsidTr="00346248">
        <w:trPr>
          <w:cantSplit/>
        </w:trPr>
        <w:tc>
          <w:tcPr>
            <w:tcW w:w="863" w:type="dxa"/>
            <w:tcBorders>
              <w:top w:val="nil"/>
              <w:left w:val="single" w:sz="4" w:space="0" w:color="auto"/>
              <w:bottom w:val="single" w:sz="4" w:space="0" w:color="auto"/>
              <w:right w:val="single" w:sz="4" w:space="0" w:color="auto"/>
            </w:tcBorders>
          </w:tcPr>
          <w:p w14:paraId="5296D854" w14:textId="77777777" w:rsidR="00C1621C" w:rsidRPr="000665B0" w:rsidRDefault="00C1621C" w:rsidP="00346248">
            <w:pPr>
              <w:spacing w:before="60" w:after="60" w:line="240" w:lineRule="auto"/>
              <w:jc w:val="center"/>
              <w:rPr>
                <w:sz w:val="20"/>
              </w:rPr>
            </w:pPr>
            <w:r w:rsidRPr="000665B0">
              <w:rPr>
                <w:sz w:val="20"/>
              </w:rPr>
              <w:t>16</w:t>
            </w:r>
          </w:p>
        </w:tc>
        <w:tc>
          <w:tcPr>
            <w:tcW w:w="6358" w:type="dxa"/>
            <w:tcBorders>
              <w:top w:val="nil"/>
              <w:left w:val="nil"/>
              <w:bottom w:val="single" w:sz="4" w:space="0" w:color="auto"/>
              <w:right w:val="single" w:sz="4" w:space="0" w:color="auto"/>
            </w:tcBorders>
          </w:tcPr>
          <w:p w14:paraId="7FF5DDC9" w14:textId="77777777" w:rsidR="00C1621C" w:rsidRPr="000665B0" w:rsidRDefault="00C1621C" w:rsidP="00346248">
            <w:pPr>
              <w:spacing w:before="60" w:after="60" w:line="240" w:lineRule="auto"/>
              <w:rPr>
                <w:bCs/>
                <w:sz w:val="20"/>
              </w:rPr>
            </w:pPr>
            <w:r w:rsidRPr="000665B0">
              <w:rPr>
                <w:bCs/>
                <w:sz w:val="20"/>
              </w:rPr>
              <w:t>Turn into Package with Use State</w:t>
            </w:r>
          </w:p>
          <w:p w14:paraId="164A6EF8" w14:textId="77777777" w:rsidR="00C1621C" w:rsidRPr="000665B0" w:rsidRDefault="00C1621C" w:rsidP="006D5A65">
            <w:pPr>
              <w:pStyle w:val="Heading1"/>
            </w:pPr>
            <w:r w:rsidRPr="000665B0">
              <w:t xml:space="preserve">Select </w:t>
            </w:r>
            <w:r w:rsidRPr="000665B0">
              <w:rPr>
                <w:iCs/>
              </w:rPr>
              <w:t>Edit</w:t>
            </w:r>
            <w:r w:rsidRPr="000665B0">
              <w:t xml:space="preserve"> </w:t>
            </w:r>
            <w:r w:rsidRPr="000665B0">
              <w:sym w:font="Wingdings" w:char="F0E0"/>
            </w:r>
            <w:r w:rsidRPr="000665B0">
              <w:t xml:space="preserve"> Turn into Package.</w:t>
            </w:r>
          </w:p>
          <w:p w14:paraId="408FD8D1" w14:textId="77777777" w:rsidR="00C1621C" w:rsidRPr="000665B0" w:rsidRDefault="00C1621C" w:rsidP="006D5A65">
            <w:pPr>
              <w:pStyle w:val="Heading1"/>
              <w:rPr>
                <w:bCs/>
              </w:rPr>
            </w:pPr>
            <w:r w:rsidRPr="000665B0">
              <w:t xml:space="preserve">Change the Use State to either </w:t>
            </w:r>
            <w:r w:rsidRPr="000665B0">
              <w:rPr>
                <w:iCs/>
              </w:rPr>
              <w:t>Launch Plan</w:t>
            </w:r>
            <w:r w:rsidRPr="000665B0">
              <w:t xml:space="preserve"> or </w:t>
            </w:r>
            <w:r w:rsidRPr="000665B0">
              <w:rPr>
                <w:iCs/>
              </w:rPr>
              <w:t>Execute</w:t>
            </w:r>
            <w:r w:rsidRPr="000665B0">
              <w:t xml:space="preserve"> (see Note).</w:t>
            </w:r>
          </w:p>
        </w:tc>
        <w:tc>
          <w:tcPr>
            <w:tcW w:w="6358" w:type="dxa"/>
            <w:tcBorders>
              <w:top w:val="nil"/>
              <w:left w:val="nil"/>
              <w:bottom w:val="single" w:sz="4" w:space="0" w:color="auto"/>
              <w:right w:val="single" w:sz="4" w:space="0" w:color="auto"/>
            </w:tcBorders>
          </w:tcPr>
          <w:p w14:paraId="697D90A8" w14:textId="77777777" w:rsidR="00C1621C" w:rsidRPr="000665B0" w:rsidRDefault="00C1621C" w:rsidP="00346248">
            <w:pPr>
              <w:spacing w:before="60" w:after="60" w:line="240" w:lineRule="auto"/>
              <w:rPr>
                <w:sz w:val="20"/>
              </w:rPr>
            </w:pPr>
            <w:r w:rsidRPr="000665B0">
              <w:rPr>
                <w:sz w:val="20"/>
              </w:rPr>
              <w:t xml:space="preserve">Once the Option has been turned into a Package, the window's name will change from </w:t>
            </w:r>
            <w:r w:rsidRPr="000665B0">
              <w:rPr>
                <w:i/>
                <w:sz w:val="20"/>
              </w:rPr>
              <w:t>Strike Option xxx</w:t>
            </w:r>
            <w:r w:rsidRPr="000665B0">
              <w:rPr>
                <w:sz w:val="20"/>
              </w:rPr>
              <w:t xml:space="preserve"> to </w:t>
            </w:r>
            <w:r w:rsidRPr="000665B0">
              <w:rPr>
                <w:i/>
                <w:sz w:val="20"/>
              </w:rPr>
              <w:t>Strike Package xxx</w:t>
            </w:r>
            <w:r w:rsidRPr="000665B0">
              <w:rPr>
                <w:sz w:val="20"/>
              </w:rPr>
              <w:t xml:space="preserve">. When the Use State is changed, the </w:t>
            </w:r>
            <w:r w:rsidRPr="000665B0">
              <w:rPr>
                <w:b/>
                <w:sz w:val="20"/>
              </w:rPr>
              <w:t>Use State</w:t>
            </w:r>
            <w:r w:rsidRPr="000665B0">
              <w:rPr>
                <w:sz w:val="20"/>
              </w:rPr>
              <w:t xml:space="preserve"> description under the </w:t>
            </w:r>
            <w:r w:rsidRPr="000665B0">
              <w:rPr>
                <w:b/>
                <w:sz w:val="20"/>
              </w:rPr>
              <w:t>Title</w:t>
            </w:r>
            <w:r w:rsidRPr="000665B0">
              <w:rPr>
                <w:sz w:val="20"/>
              </w:rPr>
              <w:t xml:space="preserve"> edit box is reflected with the changes. The Option must be in an unmodified (saved) state before the Use State can be changed.</w:t>
            </w:r>
          </w:p>
        </w:tc>
      </w:tr>
      <w:tr w:rsidR="00F763C6" w:rsidRPr="000665B0" w14:paraId="3DA0723B" w14:textId="77777777" w:rsidTr="00BA6B3A">
        <w:trPr>
          <w:cantSplit/>
          <w:trHeight w:val="1275"/>
        </w:trPr>
        <w:tc>
          <w:tcPr>
            <w:tcW w:w="863" w:type="dxa"/>
            <w:tcBorders>
              <w:top w:val="nil"/>
              <w:left w:val="single" w:sz="4" w:space="0" w:color="auto"/>
              <w:bottom w:val="single" w:sz="4" w:space="0" w:color="auto"/>
              <w:right w:val="single" w:sz="4" w:space="0" w:color="auto"/>
            </w:tcBorders>
          </w:tcPr>
          <w:p w14:paraId="6291933A" w14:textId="77777777" w:rsidR="00F763C6" w:rsidRPr="000665B0" w:rsidRDefault="00F763C6" w:rsidP="00BA6B3A">
            <w:pPr>
              <w:spacing w:before="60" w:after="60" w:line="240" w:lineRule="auto"/>
              <w:jc w:val="center"/>
              <w:rPr>
                <w:sz w:val="20"/>
              </w:rPr>
            </w:pPr>
            <w:r w:rsidRPr="000665B0">
              <w:rPr>
                <w:sz w:val="20"/>
              </w:rPr>
              <w:t>17</w:t>
            </w:r>
          </w:p>
        </w:tc>
        <w:tc>
          <w:tcPr>
            <w:tcW w:w="6358" w:type="dxa"/>
            <w:tcBorders>
              <w:top w:val="nil"/>
              <w:left w:val="nil"/>
              <w:bottom w:val="single" w:sz="4" w:space="0" w:color="auto"/>
              <w:right w:val="single" w:sz="4" w:space="0" w:color="auto"/>
            </w:tcBorders>
          </w:tcPr>
          <w:p w14:paraId="05CA137B" w14:textId="77777777" w:rsidR="00F763C6" w:rsidRPr="000665B0" w:rsidRDefault="00F763C6" w:rsidP="00BA6B3A">
            <w:pPr>
              <w:spacing w:before="60" w:after="60" w:line="240" w:lineRule="auto"/>
              <w:rPr>
                <w:bCs/>
                <w:sz w:val="20"/>
              </w:rPr>
            </w:pPr>
            <w:r w:rsidRPr="000665B0">
              <w:rPr>
                <w:bCs/>
                <w:sz w:val="20"/>
              </w:rPr>
              <w:t>Run Analysis (see Note)</w:t>
            </w:r>
          </w:p>
          <w:p w14:paraId="345A0F61" w14:textId="77777777" w:rsidR="00F763C6" w:rsidRPr="000665B0" w:rsidRDefault="00F763C6" w:rsidP="006D5A65">
            <w:pPr>
              <w:pStyle w:val="Heading1"/>
              <w:rPr>
                <w:bCs/>
              </w:rPr>
            </w:pPr>
            <w:r w:rsidRPr="000665B0">
              <w:t xml:space="preserve">Select </w:t>
            </w:r>
            <w:r w:rsidRPr="000665B0">
              <w:rPr>
                <w:iCs/>
              </w:rPr>
              <w:t>Tools</w:t>
            </w:r>
            <w:r w:rsidRPr="000665B0">
              <w:t xml:space="preserve"> </w:t>
            </w:r>
            <w:r w:rsidRPr="000665B0">
              <w:sym w:font="Wingdings" w:char="F0E0"/>
            </w:r>
            <w:r w:rsidRPr="000665B0">
              <w:t xml:space="preserve"> Run Analysis or click the Run Option Analysis </w:t>
            </w:r>
            <w:r w:rsidRPr="000665B0">
              <w:rPr>
                <w:noProof/>
              </w:rPr>
              <w:drawing>
                <wp:inline distT="0" distB="0" distL="0" distR="0" wp14:anchorId="4F4B1BCC" wp14:editId="0F763D33">
                  <wp:extent cx="152400" cy="152400"/>
                  <wp:effectExtent l="19050" t="0" r="0" b="0"/>
                  <wp:docPr id="1397" name="Picture 1397" descr="de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deconflict"/>
                          <pic:cNvPicPr>
                            <a:picLocks noChangeAspect="1" noChangeArrowheads="1"/>
                          </pic:cNvPicPr>
                        </pic:nvPicPr>
                        <pic:blipFill>
                          <a:blip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0665B0">
              <w:t xml:space="preserve"> icon from the toolbar. Correct any issues and save the Strike Package.</w:t>
            </w:r>
          </w:p>
        </w:tc>
        <w:tc>
          <w:tcPr>
            <w:tcW w:w="6358" w:type="dxa"/>
            <w:tcBorders>
              <w:top w:val="nil"/>
              <w:left w:val="nil"/>
              <w:bottom w:val="single" w:sz="4" w:space="0" w:color="auto"/>
              <w:right w:val="single" w:sz="4" w:space="0" w:color="auto"/>
            </w:tcBorders>
          </w:tcPr>
          <w:p w14:paraId="7E0CD0D4" w14:textId="77777777" w:rsidR="00F763C6" w:rsidRPr="000665B0" w:rsidRDefault="00F763C6" w:rsidP="00BA6B3A">
            <w:pPr>
              <w:spacing w:before="60" w:after="60" w:line="240" w:lineRule="auto"/>
              <w:rPr>
                <w:sz w:val="20"/>
              </w:rPr>
            </w:pPr>
            <w:r w:rsidRPr="000665B0">
              <w:rPr>
                <w:sz w:val="20"/>
              </w:rPr>
              <w:t xml:space="preserve">The Analysis tool is used to ensure that that there are no conflicts or issues with the Strike Package </w:t>
            </w:r>
          </w:p>
          <w:p w14:paraId="4CB457FD" w14:textId="77777777" w:rsidR="00F763C6" w:rsidRPr="000665B0" w:rsidRDefault="00F763C6" w:rsidP="00BA6B3A">
            <w:pPr>
              <w:spacing w:before="60" w:after="60" w:line="240" w:lineRule="auto"/>
              <w:rPr>
                <w:sz w:val="20"/>
              </w:rPr>
            </w:pPr>
            <w:r w:rsidRPr="000665B0">
              <w:rPr>
                <w:sz w:val="20"/>
              </w:rPr>
              <w:t>The analysis result should be a conflict-free Strike Package. Warnings in the TTWCS Requirement evaluations are acceptable, but the Critical items are not. Route deconflictions are only evaluated on Missions with C2X data.</w:t>
            </w:r>
          </w:p>
        </w:tc>
      </w:tr>
      <w:tr w:rsidR="00F763C6" w:rsidRPr="000665B0" w14:paraId="32E3A1D0" w14:textId="77777777" w:rsidTr="00BA6B3A">
        <w:trPr>
          <w:cantSplit/>
          <w:trHeight w:val="1275"/>
        </w:trPr>
        <w:tc>
          <w:tcPr>
            <w:tcW w:w="863" w:type="dxa"/>
            <w:tcBorders>
              <w:top w:val="nil"/>
              <w:left w:val="single" w:sz="4" w:space="0" w:color="auto"/>
              <w:bottom w:val="single" w:sz="4" w:space="0" w:color="auto"/>
              <w:right w:val="single" w:sz="4" w:space="0" w:color="auto"/>
            </w:tcBorders>
          </w:tcPr>
          <w:p w14:paraId="2E46DD26" w14:textId="6176C478" w:rsidR="00F763C6" w:rsidRPr="000665B0" w:rsidRDefault="00F763C6" w:rsidP="00F763C6">
            <w:pPr>
              <w:spacing w:before="60" w:after="60" w:line="240" w:lineRule="auto"/>
              <w:jc w:val="center"/>
              <w:rPr>
                <w:sz w:val="20"/>
              </w:rPr>
            </w:pPr>
            <w:r w:rsidRPr="000665B0">
              <w:rPr>
                <w:sz w:val="20"/>
              </w:rPr>
              <w:t>18</w:t>
            </w:r>
          </w:p>
        </w:tc>
        <w:tc>
          <w:tcPr>
            <w:tcW w:w="6358" w:type="dxa"/>
            <w:tcBorders>
              <w:top w:val="nil"/>
              <w:left w:val="nil"/>
              <w:bottom w:val="single" w:sz="4" w:space="0" w:color="auto"/>
              <w:right w:val="single" w:sz="4" w:space="0" w:color="auto"/>
            </w:tcBorders>
          </w:tcPr>
          <w:p w14:paraId="6F9ECCD9" w14:textId="228FE5DA" w:rsidR="00F763C6" w:rsidRPr="000665B0" w:rsidRDefault="00F763C6" w:rsidP="00BA6B3A">
            <w:pPr>
              <w:spacing w:before="60" w:after="60" w:line="240" w:lineRule="auto"/>
              <w:rPr>
                <w:bCs/>
                <w:sz w:val="20"/>
              </w:rPr>
            </w:pPr>
            <w:r w:rsidRPr="000665B0">
              <w:rPr>
                <w:bCs/>
                <w:sz w:val="20"/>
              </w:rPr>
              <w:t>Send ACA Filter Message (see Note)</w:t>
            </w:r>
          </w:p>
          <w:p w14:paraId="6D2784EC" w14:textId="446C3099" w:rsidR="00F763C6" w:rsidRPr="000665B0" w:rsidRDefault="00F763C6" w:rsidP="006D5A65">
            <w:pPr>
              <w:pStyle w:val="Heading1"/>
            </w:pPr>
            <w:r w:rsidRPr="000665B0">
              <w:t xml:space="preserve">Click the Send ACA Filter Message </w:t>
            </w:r>
            <w:r w:rsidRPr="000665B0">
              <w:rPr>
                <w:noProof/>
                <w:position w:val="-6"/>
              </w:rPr>
              <w:drawing>
                <wp:inline distT="0" distB="0" distL="0" distR="0" wp14:anchorId="5DF0B6FE" wp14:editId="6BBA99BC">
                  <wp:extent cx="182880" cy="182880"/>
                  <wp:effectExtent l="0" t="0" r="7620" b="7620"/>
                  <wp:docPr id="1423" name="Picture 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82880" cy="182880"/>
                          </a:xfrm>
                          <a:prstGeom prst="rect">
                            <a:avLst/>
                          </a:prstGeom>
                        </pic:spPr>
                      </pic:pic>
                    </a:graphicData>
                  </a:graphic>
                </wp:inline>
              </w:drawing>
            </w:r>
            <w:r w:rsidRPr="000665B0">
              <w:t xml:space="preserve"> icon from the toolbar.</w:t>
            </w:r>
          </w:p>
          <w:p w14:paraId="20234DF8" w14:textId="228CD24B" w:rsidR="00F763C6" w:rsidRPr="000665B0" w:rsidRDefault="00F763C6" w:rsidP="006D5A65">
            <w:pPr>
              <w:pStyle w:val="Heading1"/>
            </w:pPr>
            <w:r w:rsidRPr="000665B0">
              <w:t xml:space="preserve">Review the information in the </w:t>
            </w:r>
            <w:r w:rsidRPr="000665B0">
              <w:rPr>
                <w:i/>
              </w:rPr>
              <w:t>ACA Filter Message for Strike Option xxxxx-xxxxx-xxxxx</w:t>
            </w:r>
            <w:r w:rsidRPr="000665B0">
              <w:t xml:space="preserve"> </w:t>
            </w:r>
            <w:r w:rsidR="00B50878" w:rsidRPr="000665B0">
              <w:t>window and</w:t>
            </w:r>
            <w:r w:rsidRPr="000665B0">
              <w:t xml:space="preserve"> modify the strike option if necessary.</w:t>
            </w:r>
          </w:p>
          <w:p w14:paraId="3A259D10" w14:textId="47538FA5" w:rsidR="00F763C6" w:rsidRPr="000665B0" w:rsidRDefault="00F763C6" w:rsidP="006D5A65">
            <w:pPr>
              <w:pStyle w:val="Heading1"/>
            </w:pPr>
            <w:r w:rsidRPr="000665B0">
              <w:t xml:space="preserve">Select File </w:t>
            </w:r>
            <w:r w:rsidRPr="000665B0">
              <w:sym w:font="Wingdings" w:char="F0E0"/>
            </w:r>
            <w:r w:rsidRPr="000665B0">
              <w:t xml:space="preserve"> Send or click the Send </w:t>
            </w:r>
            <w:r w:rsidRPr="000665B0">
              <w:rPr>
                <w:noProof/>
                <w:position w:val="-4"/>
              </w:rPr>
              <w:drawing>
                <wp:inline distT="0" distB="0" distL="0" distR="0" wp14:anchorId="448D3F4A" wp14:editId="79C1DF68">
                  <wp:extent cx="158750" cy="158750"/>
                  <wp:effectExtent l="0" t="0" r="0" b="0"/>
                  <wp:docPr id="1430" name="Picture 1430"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icon.</w:t>
            </w:r>
          </w:p>
        </w:tc>
        <w:tc>
          <w:tcPr>
            <w:tcW w:w="6358" w:type="dxa"/>
            <w:tcBorders>
              <w:top w:val="nil"/>
              <w:left w:val="nil"/>
              <w:bottom w:val="single" w:sz="4" w:space="0" w:color="auto"/>
              <w:right w:val="single" w:sz="4" w:space="0" w:color="auto"/>
            </w:tcBorders>
          </w:tcPr>
          <w:p w14:paraId="436C757A" w14:textId="6C15FD56" w:rsidR="00F763C6" w:rsidRPr="000665B0" w:rsidRDefault="00F763C6" w:rsidP="00EE17B7">
            <w:pPr>
              <w:spacing w:before="60" w:after="60" w:line="240" w:lineRule="auto"/>
              <w:rPr>
                <w:sz w:val="20"/>
              </w:rPr>
            </w:pPr>
            <w:r w:rsidRPr="000665B0">
              <w:rPr>
                <w:sz w:val="20"/>
              </w:rPr>
              <w:t>The initial ACA filter message must be sent to the NSP</w:t>
            </w:r>
            <w:r w:rsidR="00286E7F" w:rsidRPr="000665B0">
              <w:rPr>
                <w:sz w:val="20"/>
              </w:rPr>
              <w:t xml:space="preserve"> within</w:t>
            </w:r>
            <w:r w:rsidRPr="000665B0">
              <w:rPr>
                <w:sz w:val="20"/>
              </w:rPr>
              <w:t xml:space="preserve"> 72 hours </w:t>
            </w:r>
            <w:r w:rsidR="00EE17B7" w:rsidRPr="000665B0">
              <w:rPr>
                <w:sz w:val="20"/>
              </w:rPr>
              <w:t>before</w:t>
            </w:r>
            <w:r w:rsidRPr="000665B0">
              <w:rPr>
                <w:sz w:val="20"/>
              </w:rPr>
              <w:t xml:space="preserve"> the ACA strike execution time.</w:t>
            </w:r>
          </w:p>
        </w:tc>
      </w:tr>
    </w:tbl>
    <w:p w14:paraId="7C784B56" w14:textId="77777777" w:rsidR="00A316EA" w:rsidRDefault="00A316EA" w:rsidP="000874C7">
      <w:pPr>
        <w:spacing w:after="240" w:line="240" w:lineRule="auto"/>
        <w:rPr>
          <w:rFonts w:ascii="Arial" w:hAnsi="Arial" w:cs="Arial"/>
          <w:szCs w:val="24"/>
        </w:rPr>
      </w:pPr>
      <w:r>
        <w:br w:type="page"/>
      </w:r>
    </w:p>
    <w:p w14:paraId="3679B108" w14:textId="1971EF35" w:rsidR="002527A7" w:rsidRPr="000665B0" w:rsidRDefault="009319FE" w:rsidP="003604C5">
      <w:pPr>
        <w:pStyle w:val="Appendix"/>
      </w:pPr>
      <w:bookmarkStart w:id="8052" w:name="_Appendix_Q_Strike"/>
      <w:bookmarkStart w:id="8053" w:name="_APPENDIX_P_"/>
      <w:bookmarkStart w:id="8054" w:name="Strike_Comms_Setup_Guidelines"/>
      <w:bookmarkStart w:id="8055" w:name="_Toc289329094"/>
      <w:bookmarkStart w:id="8056" w:name="_Toc312332203"/>
      <w:bookmarkEnd w:id="8050"/>
      <w:bookmarkEnd w:id="8052"/>
      <w:bookmarkEnd w:id="8053"/>
      <w:bookmarkEnd w:id="8054"/>
      <w:r w:rsidRPr="000665B0">
        <w:lastRenderedPageBreak/>
        <w:br/>
      </w:r>
      <w:bookmarkStart w:id="8057" w:name="_Toc214283724"/>
      <w:r w:rsidRPr="000665B0">
        <w:t>STRIKE COMMS SETUP GUIDELINES</w:t>
      </w:r>
      <w:bookmarkEnd w:id="8055"/>
      <w:bookmarkEnd w:id="8056"/>
      <w:bookmarkEnd w:id="8057"/>
    </w:p>
    <w:p w14:paraId="75894DAE" w14:textId="1B7788C0" w:rsidR="00C1621C" w:rsidRPr="000665B0" w:rsidRDefault="00C1621C" w:rsidP="00C1621C">
      <w:r w:rsidRPr="000665B0">
        <w:t xml:space="preserve">The objective of Appendix </w:t>
      </w:r>
      <w:r w:rsidR="00093C35" w:rsidRPr="000665B0">
        <w:t xml:space="preserve">O </w:t>
      </w:r>
      <w:r w:rsidRPr="000665B0">
        <w:t xml:space="preserve">is to set up Communications for the basic Strike Package that was created in Appendix </w:t>
      </w:r>
      <w:r w:rsidR="00093C35" w:rsidRPr="000665B0">
        <w:t>N</w:t>
      </w:r>
      <w:r w:rsidRPr="000665B0">
        <w:t xml:space="preserve">. Once Comms are set up, instructions are provided for executing/rehearsing the Strike Package (see </w:t>
      </w:r>
      <w:hyperlink w:anchor="Strike_Execution_Guidelines" w:history="1">
        <w:r w:rsidR="001E3F28" w:rsidRPr="000665B0">
          <w:rPr>
            <w:rStyle w:val="Hyperlink"/>
          </w:rPr>
          <w:t>Appendix P</w:t>
        </w:r>
      </w:hyperlink>
      <w:r w:rsidRPr="000665B0">
        <w:t xml:space="preserve">). Appendix </w:t>
      </w:r>
      <w:r w:rsidR="00093C35" w:rsidRPr="000665B0">
        <w:t xml:space="preserve">P </w:t>
      </w:r>
      <w:r w:rsidRPr="000665B0">
        <w:t>contains information for rehearsing a basic strike, as well as different case scenarios such as rehearsing a strike with time shifts, ad hoc options, aimpoint updates, etc.</w:t>
      </w:r>
    </w:p>
    <w:tbl>
      <w:tblPr>
        <w:tblStyle w:val="TableGrid"/>
        <w:tblW w:w="13579" w:type="dxa"/>
        <w:tblInd w:w="108" w:type="dxa"/>
        <w:tblLook w:val="04A0" w:firstRow="1" w:lastRow="0" w:firstColumn="1" w:lastColumn="0" w:noHBand="0" w:noVBand="1"/>
      </w:tblPr>
      <w:tblGrid>
        <w:gridCol w:w="13579"/>
      </w:tblGrid>
      <w:tr w:rsidR="00C1621C" w:rsidRPr="000665B0" w14:paraId="5C266E84" w14:textId="77777777" w:rsidTr="00935A52">
        <w:tc>
          <w:tcPr>
            <w:tcW w:w="13579" w:type="dxa"/>
            <w:shd w:val="clear" w:color="auto" w:fill="D9D9D9" w:themeFill="background1" w:themeFillShade="D9"/>
          </w:tcPr>
          <w:p w14:paraId="2F75FAE2" w14:textId="77777777" w:rsidR="00C1621C" w:rsidRPr="000665B0" w:rsidRDefault="00C1621C" w:rsidP="00346248">
            <w:pPr>
              <w:spacing w:before="60" w:after="60" w:line="240" w:lineRule="auto"/>
              <w:rPr>
                <w:b/>
                <w:bCs/>
                <w:sz w:val="20"/>
              </w:rPr>
            </w:pPr>
            <w:r w:rsidRPr="000665B0">
              <w:rPr>
                <w:b/>
                <w:bCs/>
                <w:sz w:val="20"/>
              </w:rPr>
              <w:t>Overview</w:t>
            </w:r>
          </w:p>
        </w:tc>
      </w:tr>
      <w:tr w:rsidR="00C1621C" w:rsidRPr="000665B0" w14:paraId="0EC1A366" w14:textId="77777777" w:rsidTr="00346248">
        <w:tc>
          <w:tcPr>
            <w:tcW w:w="13579" w:type="dxa"/>
          </w:tcPr>
          <w:p w14:paraId="496AA38E" w14:textId="77777777" w:rsidR="00C1621C" w:rsidRPr="000665B0" w:rsidRDefault="00C1621C" w:rsidP="006D5A65">
            <w:pPr>
              <w:pStyle w:val="Heading1"/>
            </w:pPr>
            <w:r w:rsidRPr="000665B0">
              <w:t>Verify VPL.</w:t>
            </w:r>
          </w:p>
          <w:p w14:paraId="1B11641E" w14:textId="77777777" w:rsidR="00C1621C" w:rsidRPr="000665B0" w:rsidRDefault="00C1621C" w:rsidP="006D5A65">
            <w:pPr>
              <w:pStyle w:val="Heading1"/>
            </w:pPr>
            <w:r w:rsidRPr="000665B0">
              <w:t>Verify/configure LINT.</w:t>
            </w:r>
          </w:p>
          <w:p w14:paraId="053A8B19" w14:textId="77777777" w:rsidR="00C1621C" w:rsidRPr="000665B0" w:rsidRDefault="00C1621C" w:rsidP="006D5A65">
            <w:pPr>
              <w:pStyle w:val="Heading1"/>
            </w:pPr>
            <w:r w:rsidRPr="000665B0">
              <w:t>Verify/configure Distribution Service.</w:t>
            </w:r>
          </w:p>
          <w:p w14:paraId="31F6FA67" w14:textId="77777777" w:rsidR="00C1621C" w:rsidRPr="000665B0" w:rsidRDefault="00C1621C" w:rsidP="006D5A65">
            <w:pPr>
              <w:pStyle w:val="Heading1"/>
            </w:pPr>
            <w:r w:rsidRPr="000665B0">
              <w:t>Verify/configure TSNIF.</w:t>
            </w:r>
            <w:r w:rsidRPr="000665B0" w:rsidDel="0027320F">
              <w:t xml:space="preserve"> </w:t>
            </w:r>
          </w:p>
          <w:p w14:paraId="6AF0FD5C" w14:textId="77777777" w:rsidR="00C1621C" w:rsidRPr="000665B0" w:rsidRDefault="00C1621C" w:rsidP="00346248">
            <w:pPr>
              <w:rPr>
                <w:rFonts w:eastAsia="Calibri"/>
                <w:sz w:val="20"/>
              </w:rPr>
            </w:pPr>
            <w:r w:rsidRPr="000665B0">
              <w:rPr>
                <w:rFonts w:eastAsia="Calibri"/>
                <w:b/>
                <w:sz w:val="20"/>
              </w:rPr>
              <w:t>Note:</w:t>
            </w:r>
            <w:r w:rsidRPr="000665B0">
              <w:rPr>
                <w:rFonts w:eastAsia="Calibri"/>
                <w:sz w:val="20"/>
              </w:rPr>
              <w:t xml:space="preserve"> The only case when HTTPS should be used is when a rehearsal is completely executed on one TED node. In this case, the own node’s </w:t>
            </w:r>
            <w:r w:rsidRPr="000665B0">
              <w:rPr>
                <w:rFonts w:eastAsia="Calibri"/>
                <w:b/>
                <w:sz w:val="20"/>
              </w:rPr>
              <w:t>Communication Capabilities</w:t>
            </w:r>
            <w:r w:rsidRPr="000665B0">
              <w:rPr>
                <w:rFonts w:eastAsia="Calibri"/>
                <w:sz w:val="20"/>
              </w:rPr>
              <w:t xml:space="preserve"> and </w:t>
            </w:r>
            <w:r w:rsidRPr="000665B0">
              <w:rPr>
                <w:rFonts w:eastAsia="Calibri"/>
                <w:b/>
                <w:sz w:val="20"/>
              </w:rPr>
              <w:t>Preferred Receive Method</w:t>
            </w:r>
            <w:r w:rsidRPr="000665B0">
              <w:rPr>
                <w:rFonts w:eastAsia="Calibri"/>
                <w:sz w:val="20"/>
              </w:rPr>
              <w:t xml:space="preserve"> should be set to </w:t>
            </w:r>
            <w:r w:rsidRPr="000665B0">
              <w:rPr>
                <w:rFonts w:eastAsia="Calibri"/>
                <w:b/>
                <w:sz w:val="20"/>
              </w:rPr>
              <w:t>HTTPS</w:t>
            </w:r>
            <w:r w:rsidRPr="000665B0">
              <w:rPr>
                <w:rFonts w:eastAsia="Calibri"/>
                <w:sz w:val="20"/>
              </w:rPr>
              <w:t xml:space="preserve">. In all other cases, nodes’ </w:t>
            </w:r>
            <w:r w:rsidRPr="000665B0">
              <w:rPr>
                <w:rFonts w:eastAsia="Calibri"/>
                <w:b/>
                <w:sz w:val="20"/>
              </w:rPr>
              <w:t>Communication Capabilities</w:t>
            </w:r>
            <w:r w:rsidRPr="000665B0">
              <w:rPr>
                <w:rFonts w:eastAsia="Calibri"/>
                <w:sz w:val="20"/>
              </w:rPr>
              <w:t xml:space="preserve"> and </w:t>
            </w:r>
            <w:r w:rsidRPr="000665B0">
              <w:rPr>
                <w:rFonts w:eastAsia="Calibri"/>
                <w:b/>
                <w:sz w:val="20"/>
              </w:rPr>
              <w:t>Preferred Receive Method</w:t>
            </w:r>
            <w:r w:rsidRPr="000665B0">
              <w:rPr>
                <w:rFonts w:eastAsia="Calibri"/>
                <w:sz w:val="20"/>
              </w:rPr>
              <w:t xml:space="preserve"> should be set to </w:t>
            </w:r>
            <w:r w:rsidRPr="000665B0">
              <w:rPr>
                <w:rFonts w:eastAsia="Calibri"/>
                <w:b/>
                <w:sz w:val="20"/>
              </w:rPr>
              <w:t>Legacy OTH</w:t>
            </w:r>
            <w:r w:rsidRPr="000665B0">
              <w:rPr>
                <w:rFonts w:eastAsia="Calibri"/>
                <w:sz w:val="20"/>
              </w:rPr>
              <w:t>.</w:t>
            </w:r>
          </w:p>
          <w:p w14:paraId="3A349840" w14:textId="6A94B1C6" w:rsidR="00C1621C" w:rsidRPr="000665B0" w:rsidRDefault="00C1621C" w:rsidP="00093C35">
            <w:pPr>
              <w:spacing w:before="60" w:after="60" w:line="240" w:lineRule="auto"/>
              <w:rPr>
                <w:sz w:val="20"/>
              </w:rPr>
            </w:pPr>
            <w:r w:rsidRPr="000665B0">
              <w:rPr>
                <w:sz w:val="20"/>
              </w:rPr>
              <w:t xml:space="preserve">See </w:t>
            </w:r>
            <w:hyperlink w:anchor="_APPENDIX_S_" w:history="1">
              <w:r w:rsidR="00093C35" w:rsidRPr="000665B0">
                <w:rPr>
                  <w:rStyle w:val="Hyperlink"/>
                  <w:sz w:val="20"/>
                </w:rPr>
                <w:t>Appendix R</w:t>
              </w:r>
            </w:hyperlink>
            <w:r w:rsidR="00093C35" w:rsidRPr="000665B0">
              <w:rPr>
                <w:sz w:val="20"/>
              </w:rPr>
              <w:t xml:space="preserve"> </w:t>
            </w:r>
            <w:r w:rsidRPr="000665B0">
              <w:rPr>
                <w:sz w:val="20"/>
              </w:rPr>
              <w:t>for additional information about configuring TSRT and Comms for a strike rehearsal.</w:t>
            </w:r>
          </w:p>
        </w:tc>
      </w:tr>
      <w:tr w:rsidR="00C1621C" w:rsidRPr="000665B0" w14:paraId="43F9DB3E" w14:textId="77777777" w:rsidTr="00935A52">
        <w:tc>
          <w:tcPr>
            <w:tcW w:w="13579" w:type="dxa"/>
            <w:shd w:val="clear" w:color="auto" w:fill="D9D9D9" w:themeFill="background1" w:themeFillShade="D9"/>
          </w:tcPr>
          <w:p w14:paraId="35A632DB" w14:textId="77777777" w:rsidR="00C1621C" w:rsidRPr="000665B0" w:rsidRDefault="00C1621C" w:rsidP="00346248">
            <w:pPr>
              <w:spacing w:before="60" w:after="60" w:line="240" w:lineRule="auto"/>
              <w:rPr>
                <w:b/>
                <w:bCs/>
                <w:sz w:val="20"/>
              </w:rPr>
            </w:pPr>
            <w:r w:rsidRPr="000665B0">
              <w:rPr>
                <w:b/>
                <w:bCs/>
                <w:sz w:val="20"/>
              </w:rPr>
              <w:t>Prerequisites</w:t>
            </w:r>
          </w:p>
        </w:tc>
      </w:tr>
      <w:tr w:rsidR="00C1621C" w:rsidRPr="000665B0" w14:paraId="18E92FE8" w14:textId="77777777" w:rsidTr="00346248">
        <w:tc>
          <w:tcPr>
            <w:tcW w:w="13579" w:type="dxa"/>
          </w:tcPr>
          <w:p w14:paraId="635CB1A3" w14:textId="77777777" w:rsidR="00C1621C" w:rsidRPr="000665B0" w:rsidRDefault="00C1621C" w:rsidP="006D5A65">
            <w:pPr>
              <w:pStyle w:val="Heading1"/>
            </w:pPr>
            <w:r w:rsidRPr="000665B0">
              <w:t>Working MDSs connected to working TEDs (perform a DB Connection Status check to ensure connectivity).</w:t>
            </w:r>
          </w:p>
          <w:p w14:paraId="7617AB6E" w14:textId="77777777" w:rsidR="00C1621C" w:rsidRPr="000665B0" w:rsidRDefault="00C1621C" w:rsidP="006D5A65">
            <w:pPr>
              <w:pStyle w:val="Heading1"/>
            </w:pPr>
            <w:r w:rsidRPr="000665B0">
              <w:t>Using MDS, ensure that TED has the latest official SSA Valid Platform List (VPL) and Extended Platform List (XPL). To check the current versions on TED, navigate to the Nodes tool. Click on the correct Node icon or select from the menu File</w:t>
            </w:r>
            <w:r w:rsidRPr="000665B0">
              <w:rPr>
                <w:i/>
              </w:rPr>
              <w:t xml:space="preserve"> </w:t>
            </w:r>
            <w:r w:rsidRPr="000665B0">
              <w:sym w:font="Wingdings" w:char="F0E0"/>
            </w:r>
            <w:r w:rsidRPr="000665B0">
              <w:t xml:space="preserve"> Display</w:t>
            </w:r>
            <w:r w:rsidRPr="000665B0">
              <w:rPr>
                <w:i/>
              </w:rPr>
              <w:t xml:space="preserve"> </w:t>
            </w:r>
            <w:r w:rsidRPr="000665B0">
              <w:sym w:font="Wingdings 3" w:char="F07D"/>
            </w:r>
            <w:r w:rsidRPr="000665B0">
              <w:t xml:space="preserve"> Own Node</w:t>
            </w:r>
            <w:r w:rsidRPr="000665B0">
              <w:rPr>
                <w:i/>
              </w:rPr>
              <w:t xml:space="preserve">. </w:t>
            </w:r>
            <w:r w:rsidRPr="000665B0">
              <w:t xml:space="preserve">On the </w:t>
            </w:r>
            <w:r w:rsidRPr="000665B0">
              <w:rPr>
                <w:i/>
              </w:rPr>
              <w:t>Node</w:t>
            </w:r>
            <w:r w:rsidRPr="000665B0">
              <w:t xml:space="preserve"> window, select the </w:t>
            </w:r>
            <w:r w:rsidRPr="000665B0">
              <w:rPr>
                <w:i/>
              </w:rPr>
              <w:t xml:space="preserve">Inventory </w:t>
            </w:r>
            <w:r w:rsidRPr="000665B0">
              <w:t>tab</w:t>
            </w:r>
            <w:r w:rsidRPr="000665B0">
              <w:rPr>
                <w:i/>
              </w:rPr>
              <w:t xml:space="preserve"> </w:t>
            </w:r>
            <w:r w:rsidRPr="000665B0">
              <w:t xml:space="preserve">in the upper tab, then select the </w:t>
            </w:r>
            <w:r w:rsidRPr="000665B0">
              <w:rPr>
                <w:i/>
              </w:rPr>
              <w:t>Versions</w:t>
            </w:r>
            <w:r w:rsidRPr="000665B0">
              <w:t xml:space="preserve"> tab at the bottom of the window. The versions of the VPL and XPL are displayed.</w:t>
            </w:r>
          </w:p>
          <w:p w14:paraId="05188669" w14:textId="77777777" w:rsidR="00C1621C" w:rsidRPr="000665B0" w:rsidRDefault="00C1621C" w:rsidP="006D5A65">
            <w:pPr>
              <w:pStyle w:val="Heading1"/>
            </w:pPr>
            <w:r w:rsidRPr="000665B0">
              <w:t>Single TCIP available for use.</w:t>
            </w:r>
          </w:p>
        </w:tc>
      </w:tr>
    </w:tbl>
    <w:p w14:paraId="44DF8EE1" w14:textId="77777777" w:rsidR="00C1621C" w:rsidRPr="000665B0" w:rsidRDefault="00C1621C" w:rsidP="00C1621C"/>
    <w:tbl>
      <w:tblPr>
        <w:tblW w:w="13579" w:type="dxa"/>
        <w:tblInd w:w="93" w:type="dxa"/>
        <w:tblLayout w:type="fixed"/>
        <w:tblLook w:val="0000" w:firstRow="0" w:lastRow="0" w:firstColumn="0" w:lastColumn="0" w:noHBand="0" w:noVBand="0"/>
      </w:tblPr>
      <w:tblGrid>
        <w:gridCol w:w="863"/>
        <w:gridCol w:w="6358"/>
        <w:gridCol w:w="6358"/>
      </w:tblGrid>
      <w:tr w:rsidR="00C1621C" w:rsidRPr="000665B0" w14:paraId="2176EA74" w14:textId="77777777" w:rsidTr="00935A52">
        <w:trPr>
          <w:cantSplit/>
          <w:tblHeader/>
        </w:trPr>
        <w:tc>
          <w:tcPr>
            <w:tcW w:w="8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F791F09" w14:textId="77777777" w:rsidR="00C1621C" w:rsidRPr="000665B0" w:rsidRDefault="00C1621C" w:rsidP="005A42A5">
            <w:pPr>
              <w:keepNext/>
              <w:tabs>
                <w:tab w:val="left" w:pos="717"/>
              </w:tabs>
              <w:spacing w:before="60" w:after="60" w:line="240" w:lineRule="auto"/>
              <w:jc w:val="center"/>
              <w:rPr>
                <w:b/>
                <w:bCs/>
                <w:sz w:val="20"/>
              </w:rPr>
            </w:pPr>
            <w:r w:rsidRPr="000665B0">
              <w:rPr>
                <w:b/>
                <w:bCs/>
                <w:sz w:val="20"/>
              </w:rPr>
              <w:lastRenderedPageBreak/>
              <w:t>Step</w:t>
            </w:r>
          </w:p>
        </w:tc>
        <w:tc>
          <w:tcPr>
            <w:tcW w:w="6358"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74A8792D" w14:textId="77777777" w:rsidR="00C1621C" w:rsidRPr="000665B0" w:rsidRDefault="00C1621C" w:rsidP="005A42A5">
            <w:pPr>
              <w:keepNext/>
              <w:pageBreakBefore/>
              <w:spacing w:before="60" w:after="60" w:line="240" w:lineRule="auto"/>
              <w:jc w:val="center"/>
              <w:rPr>
                <w:b/>
                <w:bCs/>
                <w:sz w:val="20"/>
              </w:rPr>
            </w:pPr>
            <w:r w:rsidRPr="000665B0">
              <w:rPr>
                <w:b/>
                <w:bCs/>
                <w:sz w:val="20"/>
              </w:rPr>
              <w:t>Operator Action</w:t>
            </w:r>
          </w:p>
        </w:tc>
        <w:tc>
          <w:tcPr>
            <w:tcW w:w="6358"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7E3DBC8A" w14:textId="77777777" w:rsidR="00C1621C" w:rsidRPr="000665B0" w:rsidRDefault="00C1621C" w:rsidP="005A42A5">
            <w:pPr>
              <w:keepNext/>
              <w:pageBreakBefore/>
              <w:spacing w:before="60" w:after="60" w:line="240" w:lineRule="auto"/>
              <w:jc w:val="center"/>
              <w:rPr>
                <w:b/>
                <w:bCs/>
                <w:sz w:val="20"/>
              </w:rPr>
            </w:pPr>
            <w:r w:rsidRPr="000665B0">
              <w:rPr>
                <w:b/>
                <w:bCs/>
                <w:sz w:val="20"/>
              </w:rPr>
              <w:t>Notes/Comments</w:t>
            </w:r>
          </w:p>
        </w:tc>
      </w:tr>
      <w:tr w:rsidR="00C1621C" w:rsidRPr="000665B0" w14:paraId="5D093EE2" w14:textId="77777777" w:rsidTr="00346248">
        <w:trPr>
          <w:cantSplit/>
        </w:trPr>
        <w:tc>
          <w:tcPr>
            <w:tcW w:w="863" w:type="dxa"/>
            <w:tcBorders>
              <w:top w:val="nil"/>
              <w:left w:val="single" w:sz="4" w:space="0" w:color="auto"/>
              <w:bottom w:val="single" w:sz="4" w:space="0" w:color="auto"/>
              <w:right w:val="single" w:sz="4" w:space="0" w:color="auto"/>
            </w:tcBorders>
          </w:tcPr>
          <w:p w14:paraId="6A0D2267" w14:textId="77777777" w:rsidR="00C1621C" w:rsidRPr="000665B0" w:rsidRDefault="00C1621C" w:rsidP="005A42A5">
            <w:pPr>
              <w:keepNext/>
              <w:spacing w:before="60" w:after="60" w:line="240" w:lineRule="auto"/>
              <w:jc w:val="center"/>
              <w:rPr>
                <w:sz w:val="20"/>
              </w:rPr>
            </w:pPr>
            <w:r w:rsidRPr="000665B0">
              <w:rPr>
                <w:sz w:val="20"/>
              </w:rPr>
              <w:t>1</w:t>
            </w:r>
          </w:p>
        </w:tc>
        <w:tc>
          <w:tcPr>
            <w:tcW w:w="6358" w:type="dxa"/>
            <w:tcBorders>
              <w:top w:val="nil"/>
              <w:left w:val="nil"/>
              <w:bottom w:val="single" w:sz="4" w:space="0" w:color="auto"/>
              <w:right w:val="single" w:sz="4" w:space="0" w:color="auto"/>
            </w:tcBorders>
          </w:tcPr>
          <w:p w14:paraId="14EDC773" w14:textId="64C468EC" w:rsidR="00C1621C" w:rsidRPr="000665B0" w:rsidRDefault="00C1621C" w:rsidP="005A42A5">
            <w:pPr>
              <w:keepNext/>
              <w:spacing w:before="60" w:after="60"/>
              <w:rPr>
                <w:bCs/>
                <w:sz w:val="20"/>
              </w:rPr>
            </w:pPr>
            <w:r w:rsidRPr="000665B0">
              <w:rPr>
                <w:bCs/>
                <w:sz w:val="20"/>
              </w:rPr>
              <w:t xml:space="preserve">Check </w:t>
            </w:r>
            <w:r w:rsidRPr="000665B0">
              <w:rPr>
                <w:sz w:val="20"/>
              </w:rPr>
              <w:t>all the</w:t>
            </w:r>
            <w:r w:rsidRPr="000665B0">
              <w:rPr>
                <w:bCs/>
                <w:sz w:val="20"/>
              </w:rPr>
              <w:t xml:space="preserve"> nodes</w:t>
            </w:r>
            <w:r w:rsidRPr="000665B0">
              <w:rPr>
                <w:sz w:val="20"/>
              </w:rPr>
              <w:t xml:space="preserve"> in the </w:t>
            </w:r>
            <w:r w:rsidR="0098615F" w:rsidRPr="000665B0">
              <w:rPr>
                <w:bCs/>
                <w:sz w:val="20"/>
              </w:rPr>
              <w:t xml:space="preserve">Task </w:t>
            </w:r>
            <w:r w:rsidRPr="000665B0">
              <w:rPr>
                <w:bCs/>
                <w:sz w:val="20"/>
              </w:rPr>
              <w:t xml:space="preserve">Organization </w:t>
            </w:r>
            <w:r w:rsidRPr="000665B0">
              <w:rPr>
                <w:sz w:val="20"/>
              </w:rPr>
              <w:t>to ensure that they are in the Valid Platform List (VPL)</w:t>
            </w:r>
          </w:p>
        </w:tc>
        <w:tc>
          <w:tcPr>
            <w:tcW w:w="6358" w:type="dxa"/>
            <w:tcBorders>
              <w:top w:val="nil"/>
              <w:left w:val="nil"/>
              <w:bottom w:val="single" w:sz="4" w:space="0" w:color="auto"/>
              <w:right w:val="single" w:sz="4" w:space="0" w:color="auto"/>
            </w:tcBorders>
          </w:tcPr>
          <w:p w14:paraId="01094E30" w14:textId="77777777" w:rsidR="00C1621C" w:rsidRPr="000665B0" w:rsidRDefault="00C1621C" w:rsidP="005A42A5">
            <w:pPr>
              <w:keepNext/>
              <w:spacing w:before="60" w:after="60" w:line="240" w:lineRule="auto"/>
              <w:rPr>
                <w:sz w:val="20"/>
              </w:rPr>
            </w:pPr>
          </w:p>
        </w:tc>
      </w:tr>
      <w:tr w:rsidR="00C1621C" w:rsidRPr="000665B0" w14:paraId="366F5735" w14:textId="77777777" w:rsidTr="00346248">
        <w:trPr>
          <w:cantSplit/>
        </w:trPr>
        <w:tc>
          <w:tcPr>
            <w:tcW w:w="863" w:type="dxa"/>
            <w:tcBorders>
              <w:top w:val="nil"/>
              <w:left w:val="single" w:sz="4" w:space="0" w:color="auto"/>
              <w:bottom w:val="single" w:sz="4" w:space="0" w:color="auto"/>
              <w:right w:val="single" w:sz="4" w:space="0" w:color="auto"/>
            </w:tcBorders>
          </w:tcPr>
          <w:p w14:paraId="46BE4DD4" w14:textId="77777777" w:rsidR="00C1621C" w:rsidRPr="000665B0" w:rsidRDefault="00C1621C" w:rsidP="00346248">
            <w:pPr>
              <w:spacing w:before="60" w:after="60" w:line="240" w:lineRule="auto"/>
              <w:jc w:val="center"/>
              <w:rPr>
                <w:sz w:val="20"/>
              </w:rPr>
            </w:pPr>
            <w:r w:rsidRPr="000665B0">
              <w:rPr>
                <w:sz w:val="20"/>
              </w:rPr>
              <w:t>2</w:t>
            </w:r>
          </w:p>
        </w:tc>
        <w:tc>
          <w:tcPr>
            <w:tcW w:w="6358" w:type="dxa"/>
            <w:tcBorders>
              <w:top w:val="nil"/>
              <w:left w:val="nil"/>
              <w:bottom w:val="single" w:sz="4" w:space="0" w:color="auto"/>
              <w:right w:val="single" w:sz="4" w:space="0" w:color="auto"/>
            </w:tcBorders>
          </w:tcPr>
          <w:p w14:paraId="0DBC8846" w14:textId="08883D12" w:rsidR="00C1621C" w:rsidRPr="000665B0" w:rsidRDefault="00C1621C" w:rsidP="00346248">
            <w:pPr>
              <w:spacing w:before="60" w:after="60"/>
              <w:rPr>
                <w:sz w:val="20"/>
              </w:rPr>
            </w:pPr>
            <w:r w:rsidRPr="000665B0">
              <w:rPr>
                <w:sz w:val="20"/>
              </w:rPr>
              <w:t xml:space="preserve">Verify/configure the LINT </w:t>
            </w:r>
            <w:r w:rsidR="0001018B" w:rsidRPr="000665B0">
              <w:rPr>
                <w:sz w:val="20"/>
              </w:rPr>
              <w:t>setup.</w:t>
            </w:r>
            <w:r w:rsidRPr="000665B0">
              <w:rPr>
                <w:sz w:val="20"/>
              </w:rPr>
              <w:t xml:space="preserve"> </w:t>
            </w:r>
          </w:p>
          <w:p w14:paraId="14C49922" w14:textId="673C8B1E" w:rsidR="00C1621C" w:rsidRPr="000665B0" w:rsidRDefault="00C1621C" w:rsidP="00346248">
            <w:pPr>
              <w:spacing w:before="60" w:after="60"/>
              <w:rPr>
                <w:bCs/>
                <w:sz w:val="20"/>
              </w:rPr>
            </w:pPr>
            <w:r w:rsidRPr="000665B0">
              <w:rPr>
                <w:sz w:val="20"/>
              </w:rPr>
              <w:t xml:space="preserve">Check to see if LINT is set up for the associated </w:t>
            </w:r>
            <w:r w:rsidR="00F14FEF">
              <w:rPr>
                <w:sz w:val="20"/>
              </w:rPr>
              <w:t>TSC</w:t>
            </w:r>
            <w:r w:rsidRPr="000665B0">
              <w:rPr>
                <w:sz w:val="20"/>
              </w:rPr>
              <w:t xml:space="preserve">, </w:t>
            </w:r>
            <w:r w:rsidR="00F14FEF">
              <w:rPr>
                <w:sz w:val="20"/>
              </w:rPr>
              <w:t>ATSC</w:t>
            </w:r>
            <w:r w:rsidRPr="000665B0">
              <w:rPr>
                <w:sz w:val="20"/>
              </w:rPr>
              <w:t>, and TSRT. It’s very important that LINT interfaces and routes are set up correctly in order to send/receive OTH Messages.</w:t>
            </w:r>
          </w:p>
          <w:p w14:paraId="55336D90" w14:textId="77777777" w:rsidR="00C1621C" w:rsidRPr="000665B0" w:rsidRDefault="00C1621C" w:rsidP="00346248">
            <w:pPr>
              <w:spacing w:before="60" w:after="60"/>
              <w:rPr>
                <w:sz w:val="20"/>
              </w:rPr>
            </w:pPr>
            <w:r w:rsidRPr="000665B0">
              <w:rPr>
                <w:sz w:val="20"/>
              </w:rPr>
              <w:t>If LINT is already set up (indicated by the presence of a timestamp in LINT), skip this step.</w:t>
            </w:r>
          </w:p>
          <w:p w14:paraId="30FF20B4" w14:textId="77777777" w:rsidR="00C1621C" w:rsidRPr="000665B0" w:rsidRDefault="00C1621C" w:rsidP="006D5A65">
            <w:pPr>
              <w:pStyle w:val="Heading1"/>
            </w:pPr>
            <w:r w:rsidRPr="000665B0">
              <w:t>Login to LINT in Administrator Mode.</w:t>
            </w:r>
          </w:p>
          <w:p w14:paraId="469668BD" w14:textId="7E00ED8A" w:rsidR="00C1621C" w:rsidRPr="000665B0" w:rsidRDefault="00C1621C" w:rsidP="006D5A65">
            <w:pPr>
              <w:pStyle w:val="Heading1"/>
            </w:pPr>
            <w:r w:rsidRPr="000665B0">
              <w:t>Add an interface for each MDS node (</w:t>
            </w:r>
            <w:r w:rsidR="00F14FEF">
              <w:t>TSC</w:t>
            </w:r>
            <w:r w:rsidRPr="000665B0">
              <w:t>,</w:t>
            </w:r>
            <w:r w:rsidR="00682338">
              <w:t xml:space="preserve"> </w:t>
            </w:r>
            <w:r w:rsidR="00F14FEF">
              <w:t>ATSC</w:t>
            </w:r>
            <w:r w:rsidRPr="000665B0">
              <w:t>, TSRT). If the interfaces already exist, ensure that they are valid.</w:t>
            </w:r>
          </w:p>
          <w:p w14:paraId="133D0237" w14:textId="64BDB881" w:rsidR="00C1621C" w:rsidRPr="000665B0" w:rsidRDefault="00C1621C" w:rsidP="006D5A65">
            <w:pPr>
              <w:pStyle w:val="Heading1"/>
            </w:pPr>
            <w:r w:rsidRPr="000665B0">
              <w:t xml:space="preserve">Create routes between LINT Interfaces for the associated MDS </w:t>
            </w:r>
            <w:r w:rsidR="00F14FEF">
              <w:t>TSC</w:t>
            </w:r>
            <w:r w:rsidRPr="000665B0">
              <w:t xml:space="preserve">, </w:t>
            </w:r>
            <w:r w:rsidR="00F14FEF">
              <w:t>ATSC</w:t>
            </w:r>
            <w:r w:rsidRPr="000665B0">
              <w:t>, and TSRT.</w:t>
            </w:r>
          </w:p>
          <w:p w14:paraId="268AAC82" w14:textId="77777777" w:rsidR="00C1621C" w:rsidRPr="000665B0" w:rsidRDefault="00C1621C" w:rsidP="006D5A65">
            <w:pPr>
              <w:pStyle w:val="Heading1"/>
            </w:pPr>
            <w:r w:rsidRPr="000665B0">
              <w:t>Save the LINT configuration and exit Administrator Mode.</w:t>
            </w:r>
          </w:p>
        </w:tc>
        <w:tc>
          <w:tcPr>
            <w:tcW w:w="6358" w:type="dxa"/>
            <w:tcBorders>
              <w:top w:val="nil"/>
              <w:left w:val="nil"/>
              <w:bottom w:val="single" w:sz="4" w:space="0" w:color="auto"/>
              <w:right w:val="single" w:sz="4" w:space="0" w:color="auto"/>
            </w:tcBorders>
          </w:tcPr>
          <w:p w14:paraId="3108B75E" w14:textId="77777777" w:rsidR="00C1621C" w:rsidRPr="000665B0" w:rsidRDefault="00C1621C" w:rsidP="00346248">
            <w:pPr>
              <w:spacing w:before="60" w:after="60" w:line="240" w:lineRule="auto"/>
              <w:rPr>
                <w:sz w:val="20"/>
              </w:rPr>
            </w:pPr>
          </w:p>
        </w:tc>
      </w:tr>
      <w:tr w:rsidR="00C1621C" w:rsidRPr="000665B0" w14:paraId="4E6DB376" w14:textId="77777777" w:rsidTr="00346248">
        <w:trPr>
          <w:cantSplit/>
        </w:trPr>
        <w:tc>
          <w:tcPr>
            <w:tcW w:w="863" w:type="dxa"/>
            <w:tcBorders>
              <w:top w:val="nil"/>
              <w:left w:val="single" w:sz="4" w:space="0" w:color="auto"/>
              <w:bottom w:val="single" w:sz="4" w:space="0" w:color="auto"/>
              <w:right w:val="single" w:sz="4" w:space="0" w:color="auto"/>
            </w:tcBorders>
          </w:tcPr>
          <w:p w14:paraId="68715FB9" w14:textId="77777777" w:rsidR="00C1621C" w:rsidRPr="000665B0" w:rsidRDefault="00C1621C" w:rsidP="00346248">
            <w:pPr>
              <w:spacing w:before="60" w:after="60" w:line="240" w:lineRule="auto"/>
              <w:jc w:val="center"/>
              <w:rPr>
                <w:sz w:val="20"/>
              </w:rPr>
            </w:pPr>
            <w:r w:rsidRPr="000665B0">
              <w:rPr>
                <w:sz w:val="20"/>
              </w:rPr>
              <w:t>3</w:t>
            </w:r>
          </w:p>
        </w:tc>
        <w:tc>
          <w:tcPr>
            <w:tcW w:w="6358" w:type="dxa"/>
            <w:tcBorders>
              <w:top w:val="nil"/>
              <w:left w:val="nil"/>
              <w:bottom w:val="single" w:sz="4" w:space="0" w:color="auto"/>
              <w:right w:val="single" w:sz="4" w:space="0" w:color="auto"/>
            </w:tcBorders>
          </w:tcPr>
          <w:p w14:paraId="60722362" w14:textId="2D48D213" w:rsidR="00C1621C" w:rsidRPr="000665B0" w:rsidRDefault="00C1621C" w:rsidP="00346248">
            <w:pPr>
              <w:spacing w:before="60" w:after="60"/>
              <w:rPr>
                <w:sz w:val="20"/>
              </w:rPr>
            </w:pPr>
            <w:r w:rsidRPr="000665B0">
              <w:rPr>
                <w:sz w:val="20"/>
              </w:rPr>
              <w:t>Verify/configure the Distribution Service on MDS and TSRT nodes to connect to the TCIP being used</w:t>
            </w:r>
            <w:r w:rsidR="001D340B" w:rsidRPr="000665B0">
              <w:rPr>
                <w:sz w:val="20"/>
              </w:rPr>
              <w:t xml:space="preserve"> (see Note)</w:t>
            </w:r>
          </w:p>
          <w:p w14:paraId="15C44504" w14:textId="77777777" w:rsidR="00C1621C" w:rsidRPr="000665B0" w:rsidRDefault="00C1621C" w:rsidP="00346248">
            <w:pPr>
              <w:spacing w:before="60" w:after="60"/>
              <w:rPr>
                <w:sz w:val="20"/>
              </w:rPr>
            </w:pPr>
            <w:r w:rsidRPr="000665B0">
              <w:rPr>
                <w:sz w:val="20"/>
              </w:rPr>
              <w:t>If Distribution Service is already set up (indicated by the presence of a satellite dish icon that is not red in color), skip this step.</w:t>
            </w:r>
          </w:p>
          <w:p w14:paraId="259858D6" w14:textId="77777777" w:rsidR="00C1621C" w:rsidRPr="000665B0" w:rsidRDefault="00C1621C" w:rsidP="006D5A65">
            <w:pPr>
              <w:pStyle w:val="Heading1"/>
            </w:pPr>
            <w:r w:rsidRPr="000665B0">
              <w:t>Verify the correct IP address in Distribution Service.</w:t>
            </w:r>
          </w:p>
          <w:p w14:paraId="6094CDED" w14:textId="77777777" w:rsidR="00C1621C" w:rsidRPr="000665B0" w:rsidRDefault="00C1621C" w:rsidP="006D5A65">
            <w:pPr>
              <w:pStyle w:val="Heading1"/>
              <w:rPr>
                <w:bCs/>
              </w:rPr>
            </w:pPr>
            <w:r w:rsidRPr="000665B0">
              <w:t>Send a DDO to participating nodes for a Comms Check.</w:t>
            </w:r>
          </w:p>
        </w:tc>
        <w:tc>
          <w:tcPr>
            <w:tcW w:w="6358" w:type="dxa"/>
            <w:tcBorders>
              <w:top w:val="nil"/>
              <w:left w:val="nil"/>
              <w:bottom w:val="single" w:sz="4" w:space="0" w:color="auto"/>
              <w:right w:val="single" w:sz="4" w:space="0" w:color="auto"/>
            </w:tcBorders>
          </w:tcPr>
          <w:p w14:paraId="47ACE22D" w14:textId="323CEDBD" w:rsidR="00C1621C" w:rsidRPr="000665B0" w:rsidRDefault="00C1621C" w:rsidP="00346248">
            <w:pPr>
              <w:spacing w:before="60" w:after="60" w:line="240" w:lineRule="auto"/>
              <w:rPr>
                <w:sz w:val="20"/>
              </w:rPr>
            </w:pPr>
            <w:r w:rsidRPr="000665B0">
              <w:rPr>
                <w:sz w:val="20"/>
              </w:rPr>
              <w:t xml:space="preserve">If TSRT is on the same TED node as the MDS </w:t>
            </w:r>
            <w:r w:rsidR="003016A9">
              <w:rPr>
                <w:sz w:val="20"/>
              </w:rPr>
              <w:t>TSC</w:t>
            </w:r>
            <w:r w:rsidR="003016A9" w:rsidRPr="000665B0">
              <w:rPr>
                <w:sz w:val="20"/>
              </w:rPr>
              <w:t xml:space="preserve"> </w:t>
            </w:r>
            <w:r w:rsidRPr="000665B0">
              <w:rPr>
                <w:sz w:val="20"/>
              </w:rPr>
              <w:t xml:space="preserve">node, then only the Distribution Service for the MDS </w:t>
            </w:r>
            <w:r w:rsidR="003016A9">
              <w:rPr>
                <w:sz w:val="20"/>
              </w:rPr>
              <w:t>TSC</w:t>
            </w:r>
            <w:r w:rsidR="003016A9" w:rsidRPr="000665B0">
              <w:rPr>
                <w:sz w:val="20"/>
              </w:rPr>
              <w:t xml:space="preserve"> </w:t>
            </w:r>
            <w:r w:rsidRPr="000665B0">
              <w:rPr>
                <w:sz w:val="20"/>
              </w:rPr>
              <w:t>node needs to be configured.</w:t>
            </w:r>
          </w:p>
        </w:tc>
      </w:tr>
      <w:tr w:rsidR="00C1621C" w:rsidRPr="000665B0" w14:paraId="4CF44385" w14:textId="77777777" w:rsidTr="00346248">
        <w:trPr>
          <w:cantSplit/>
        </w:trPr>
        <w:tc>
          <w:tcPr>
            <w:tcW w:w="863" w:type="dxa"/>
            <w:tcBorders>
              <w:top w:val="nil"/>
              <w:left w:val="single" w:sz="4" w:space="0" w:color="auto"/>
              <w:bottom w:val="single" w:sz="4" w:space="0" w:color="auto"/>
              <w:right w:val="single" w:sz="4" w:space="0" w:color="auto"/>
            </w:tcBorders>
          </w:tcPr>
          <w:p w14:paraId="618A8AE9" w14:textId="77777777" w:rsidR="00C1621C" w:rsidRPr="000665B0" w:rsidRDefault="00C1621C" w:rsidP="00346248">
            <w:pPr>
              <w:spacing w:before="60" w:after="60" w:line="240" w:lineRule="auto"/>
              <w:jc w:val="center"/>
              <w:rPr>
                <w:sz w:val="20"/>
              </w:rPr>
            </w:pPr>
            <w:r w:rsidRPr="000665B0">
              <w:rPr>
                <w:sz w:val="20"/>
              </w:rPr>
              <w:lastRenderedPageBreak/>
              <w:t>4</w:t>
            </w:r>
          </w:p>
        </w:tc>
        <w:tc>
          <w:tcPr>
            <w:tcW w:w="6358" w:type="dxa"/>
            <w:tcBorders>
              <w:top w:val="nil"/>
              <w:left w:val="nil"/>
              <w:bottom w:val="single" w:sz="4" w:space="0" w:color="auto"/>
              <w:right w:val="single" w:sz="4" w:space="0" w:color="auto"/>
            </w:tcBorders>
          </w:tcPr>
          <w:p w14:paraId="1AFFECB5" w14:textId="2AF7390E" w:rsidR="00C1621C" w:rsidRPr="000665B0" w:rsidRDefault="00C1621C" w:rsidP="00346248">
            <w:pPr>
              <w:spacing w:before="60" w:after="60"/>
              <w:rPr>
                <w:sz w:val="20"/>
              </w:rPr>
            </w:pPr>
            <w:r w:rsidRPr="000665B0">
              <w:rPr>
                <w:sz w:val="20"/>
              </w:rPr>
              <w:t xml:space="preserve">Verify/configure the TSNIF setup </w:t>
            </w:r>
            <w:r w:rsidR="00117A42" w:rsidRPr="000665B0">
              <w:rPr>
                <w:sz w:val="20"/>
              </w:rPr>
              <w:t>(see Note)</w:t>
            </w:r>
          </w:p>
          <w:p w14:paraId="672889FC" w14:textId="556EF10B" w:rsidR="00C1621C" w:rsidRPr="000665B0" w:rsidRDefault="00C1621C" w:rsidP="00346248">
            <w:pPr>
              <w:spacing w:before="60" w:after="60"/>
              <w:rPr>
                <w:bCs/>
                <w:sz w:val="20"/>
              </w:rPr>
            </w:pPr>
            <w:r w:rsidRPr="000665B0">
              <w:rPr>
                <w:sz w:val="20"/>
              </w:rPr>
              <w:t xml:space="preserve">Check to see if TSNIF is set up for the associated </w:t>
            </w:r>
            <w:r w:rsidR="003016A9">
              <w:rPr>
                <w:sz w:val="20"/>
              </w:rPr>
              <w:t>TSC</w:t>
            </w:r>
            <w:r w:rsidRPr="000665B0">
              <w:rPr>
                <w:sz w:val="20"/>
              </w:rPr>
              <w:t xml:space="preserve">, </w:t>
            </w:r>
            <w:r w:rsidR="003016A9">
              <w:rPr>
                <w:sz w:val="20"/>
              </w:rPr>
              <w:t>ATSC</w:t>
            </w:r>
            <w:r w:rsidRPr="000665B0">
              <w:rPr>
                <w:sz w:val="20"/>
              </w:rPr>
              <w:t>, and TSRT. It’s very important that TSNIF interfaces and routes are set up correctly in order to send/receive TSN Messages.</w:t>
            </w:r>
          </w:p>
          <w:p w14:paraId="19426529" w14:textId="77777777" w:rsidR="00C1621C" w:rsidRPr="000665B0" w:rsidRDefault="00C1621C" w:rsidP="00346248">
            <w:pPr>
              <w:spacing w:before="60" w:after="60"/>
              <w:rPr>
                <w:sz w:val="20"/>
              </w:rPr>
            </w:pPr>
            <w:r w:rsidRPr="000665B0">
              <w:rPr>
                <w:sz w:val="20"/>
              </w:rPr>
              <w:t>If TSNIF is already set up (indicated by the presence of a timestamp in TSNIF), skip this step.</w:t>
            </w:r>
          </w:p>
          <w:p w14:paraId="232F9CDB" w14:textId="77777777" w:rsidR="00C1621C" w:rsidRPr="000665B0" w:rsidRDefault="00C1621C" w:rsidP="006D5A65">
            <w:pPr>
              <w:pStyle w:val="Heading1"/>
            </w:pPr>
            <w:r w:rsidRPr="000665B0">
              <w:t>Login to TSNIF in Administrator Mode.</w:t>
            </w:r>
          </w:p>
          <w:p w14:paraId="1675C444" w14:textId="60A3E74D" w:rsidR="00001F08" w:rsidRPr="000665B0" w:rsidRDefault="00C1621C" w:rsidP="006D5A65">
            <w:pPr>
              <w:pStyle w:val="Heading1"/>
            </w:pPr>
            <w:r w:rsidRPr="000665B0">
              <w:t>Add an interface for each MDS node (</w:t>
            </w:r>
            <w:r w:rsidR="003016A9">
              <w:t>TSC</w:t>
            </w:r>
            <w:r w:rsidRPr="000665B0">
              <w:t xml:space="preserve">, </w:t>
            </w:r>
            <w:r w:rsidR="003016A9">
              <w:t>ATSC</w:t>
            </w:r>
            <w:r w:rsidRPr="000665B0">
              <w:t>, TSRT) using</w:t>
            </w:r>
            <w:r w:rsidR="00001F08" w:rsidRPr="000665B0">
              <w:t>:</w:t>
            </w:r>
          </w:p>
          <w:p w14:paraId="3E3F1356" w14:textId="43351A0F" w:rsidR="00001F08" w:rsidRPr="000665B0" w:rsidRDefault="00001F08" w:rsidP="006D5A65">
            <w:pPr>
              <w:pStyle w:val="Heading1"/>
            </w:pPr>
            <w:r w:rsidRPr="000665B0">
              <w:t>P</w:t>
            </w:r>
            <w:r w:rsidR="00C1621C" w:rsidRPr="000665B0">
              <w:t xml:space="preserve">ort 9601, </w:t>
            </w:r>
            <w:r w:rsidR="00897494" w:rsidRPr="000665B0">
              <w:t xml:space="preserve">with </w:t>
            </w:r>
            <w:r w:rsidR="00C1621C" w:rsidRPr="000665B0">
              <w:t>TSRT using port 9602</w:t>
            </w:r>
            <w:r w:rsidRPr="000665B0">
              <w:t xml:space="preserve"> for DAMA.</w:t>
            </w:r>
          </w:p>
          <w:p w14:paraId="334F1E83" w14:textId="403FFCD7" w:rsidR="00001F08" w:rsidRPr="000665B0" w:rsidRDefault="00001F08" w:rsidP="006D5A65">
            <w:pPr>
              <w:pStyle w:val="Heading1"/>
            </w:pPr>
            <w:r w:rsidRPr="000665B0">
              <w:t>Port</w:t>
            </w:r>
            <w:r w:rsidR="00117A42" w:rsidRPr="000665B0">
              <w:t xml:space="preserve"> 9609, </w:t>
            </w:r>
            <w:r w:rsidR="00897494" w:rsidRPr="000665B0">
              <w:t>with</w:t>
            </w:r>
            <w:r w:rsidR="00117A42" w:rsidRPr="000665B0">
              <w:t xml:space="preserve"> TSRT using port 9610 for ACA</w:t>
            </w:r>
            <w:r w:rsidR="00C1621C" w:rsidRPr="000665B0">
              <w:t xml:space="preserve">. </w:t>
            </w:r>
          </w:p>
          <w:p w14:paraId="74A1318E" w14:textId="7D525536" w:rsidR="00C1621C" w:rsidRPr="000665B0" w:rsidRDefault="00C1621C" w:rsidP="00F26AD4">
            <w:pPr>
              <w:pStyle w:val="ListParagraph"/>
              <w:spacing w:before="60" w:after="60"/>
              <w:rPr>
                <w:rFonts w:ascii="Times New Roman" w:hAnsi="Times New Roman"/>
                <w:sz w:val="20"/>
                <w:szCs w:val="20"/>
              </w:rPr>
            </w:pPr>
            <w:r w:rsidRPr="000665B0">
              <w:rPr>
                <w:rFonts w:ascii="Times New Roman" w:hAnsi="Times New Roman"/>
                <w:sz w:val="20"/>
                <w:szCs w:val="20"/>
              </w:rPr>
              <w:t>If the interfaces already exist, ensure that they are valid.</w:t>
            </w:r>
          </w:p>
          <w:p w14:paraId="66F71709" w14:textId="50118F69" w:rsidR="00C1621C" w:rsidRPr="000665B0" w:rsidRDefault="00C1621C" w:rsidP="006D5A65">
            <w:pPr>
              <w:pStyle w:val="Heading1"/>
            </w:pPr>
            <w:r w:rsidRPr="000665B0">
              <w:t xml:space="preserve">Create routes between TSNIF Interfaces for the associated MDS </w:t>
            </w:r>
            <w:r w:rsidR="003016A9">
              <w:t>TSC</w:t>
            </w:r>
            <w:r w:rsidRPr="000665B0">
              <w:t xml:space="preserve">, </w:t>
            </w:r>
            <w:r w:rsidR="003016A9">
              <w:t>ATSC</w:t>
            </w:r>
            <w:r w:rsidRPr="000665B0">
              <w:t>, and TSRT</w:t>
            </w:r>
            <w:r w:rsidR="00117A42" w:rsidRPr="000665B0">
              <w:t xml:space="preserve"> for DAMA and ACA</w:t>
            </w:r>
            <w:r w:rsidRPr="000665B0">
              <w:t>.</w:t>
            </w:r>
          </w:p>
          <w:p w14:paraId="303B9740" w14:textId="77777777" w:rsidR="00C1621C" w:rsidRPr="000665B0" w:rsidRDefault="00C1621C" w:rsidP="006D5A65">
            <w:pPr>
              <w:pStyle w:val="Heading1"/>
              <w:rPr>
                <w:bCs/>
              </w:rPr>
            </w:pPr>
            <w:r w:rsidRPr="000665B0">
              <w:t>Save the TSNIF configuration and exit Administrator Mode.</w:t>
            </w:r>
          </w:p>
        </w:tc>
        <w:tc>
          <w:tcPr>
            <w:tcW w:w="6358" w:type="dxa"/>
            <w:tcBorders>
              <w:top w:val="nil"/>
              <w:left w:val="nil"/>
              <w:bottom w:val="single" w:sz="4" w:space="0" w:color="auto"/>
              <w:right w:val="single" w:sz="4" w:space="0" w:color="auto"/>
            </w:tcBorders>
          </w:tcPr>
          <w:p w14:paraId="79264A10" w14:textId="1FE2CA13" w:rsidR="00C1621C" w:rsidRPr="000665B0" w:rsidRDefault="00117A42" w:rsidP="00346248">
            <w:pPr>
              <w:spacing w:before="60" w:after="60" w:line="240" w:lineRule="auto"/>
              <w:rPr>
                <w:sz w:val="20"/>
              </w:rPr>
            </w:pPr>
            <w:r w:rsidRPr="000665B0">
              <w:rPr>
                <w:sz w:val="20"/>
              </w:rPr>
              <w:t>This setup is based on TSRT simulating an NSP node.</w:t>
            </w:r>
          </w:p>
        </w:tc>
      </w:tr>
    </w:tbl>
    <w:p w14:paraId="14D68C08" w14:textId="77777777" w:rsidR="008E7085" w:rsidRPr="000665B0" w:rsidRDefault="008E7085" w:rsidP="002527A7"/>
    <w:p w14:paraId="70A6445F" w14:textId="77777777" w:rsidR="00A316EA" w:rsidRDefault="00A316EA" w:rsidP="00AC2F7D">
      <w:pPr>
        <w:rPr>
          <w:b/>
          <w:caps/>
        </w:rPr>
      </w:pPr>
      <w:r>
        <w:br w:type="page"/>
      </w:r>
    </w:p>
    <w:p w14:paraId="159B8A81" w14:textId="42F275DB" w:rsidR="002527A7" w:rsidRPr="000665B0" w:rsidRDefault="009319FE" w:rsidP="003604C5">
      <w:pPr>
        <w:pStyle w:val="Appendix"/>
      </w:pPr>
      <w:bookmarkStart w:id="8058" w:name="_Appendix_R_Strike"/>
      <w:bookmarkStart w:id="8059" w:name="_APPENDIX_Q_"/>
      <w:bookmarkStart w:id="8060" w:name="Strike_Execution_Guidelines"/>
      <w:bookmarkStart w:id="8061" w:name="_Toc289329095"/>
      <w:bookmarkStart w:id="8062" w:name="_Toc312332204"/>
      <w:bookmarkStart w:id="8063" w:name="_Hlk43292922"/>
      <w:bookmarkEnd w:id="8058"/>
      <w:bookmarkEnd w:id="8059"/>
      <w:bookmarkEnd w:id="8060"/>
      <w:r w:rsidRPr="000665B0">
        <w:lastRenderedPageBreak/>
        <w:br/>
      </w:r>
      <w:bookmarkStart w:id="8064" w:name="_Toc214283725"/>
      <w:r w:rsidRPr="000665B0">
        <w:t>STRIKE EXECUTION GUIDELINES</w:t>
      </w:r>
      <w:bookmarkEnd w:id="8061"/>
      <w:bookmarkEnd w:id="8062"/>
      <w:bookmarkEnd w:id="8064"/>
    </w:p>
    <w:p w14:paraId="0B1D3FFF" w14:textId="17278887" w:rsidR="00C1621C" w:rsidRPr="000665B0" w:rsidRDefault="00C1621C" w:rsidP="00C1621C">
      <w:r w:rsidRPr="000665B0">
        <w:t xml:space="preserve">The objective of Appendix </w:t>
      </w:r>
      <w:r w:rsidR="00093C35" w:rsidRPr="000665B0">
        <w:t xml:space="preserve">P </w:t>
      </w:r>
      <w:r w:rsidRPr="000665B0">
        <w:t xml:space="preserve">is to rehearse the basic Strike Package that was created in Appendix </w:t>
      </w:r>
      <w:r w:rsidR="00093C35" w:rsidRPr="000665B0">
        <w:t>N</w:t>
      </w:r>
      <w:r w:rsidRPr="000665B0">
        <w:t xml:space="preserve">, utilizing the Communications that were set up in Appendix </w:t>
      </w:r>
      <w:r w:rsidR="00093C35" w:rsidRPr="000665B0">
        <w:t>O</w:t>
      </w:r>
      <w:r w:rsidRPr="000665B0">
        <w:t xml:space="preserve">. In addition to providing guidelines for rehearsing a basic strike, Appendix </w:t>
      </w:r>
      <w:r w:rsidR="00093C35" w:rsidRPr="000665B0">
        <w:t xml:space="preserve">P </w:t>
      </w:r>
      <w:r w:rsidRPr="000665B0">
        <w:t>also contains different case scenarios such as executing/rehearsing a strike with time shifts, ad hoc options, aimpoint updates, etc.</w:t>
      </w:r>
    </w:p>
    <w:p w14:paraId="7C2CD7E6" w14:textId="5B4980DC" w:rsidR="00C1621C" w:rsidRPr="000665B0" w:rsidRDefault="00C1621C" w:rsidP="00C1621C">
      <w:r w:rsidRPr="000665B0">
        <w:t xml:space="preserve">For information about detailed tool/menu functionality and task methodology, see </w:t>
      </w:r>
      <w:hyperlink w:anchor="_5.38__STRIKE" w:history="1">
        <w:r w:rsidRPr="000665B0">
          <w:rPr>
            <w:rStyle w:val="Hyperlink"/>
          </w:rPr>
          <w:t xml:space="preserve">Section </w:t>
        </w:r>
        <w:r w:rsidR="004231CC">
          <w:rPr>
            <w:rStyle w:val="Hyperlink"/>
          </w:rPr>
          <w:t>5.35</w:t>
        </w:r>
      </w:hyperlink>
      <w:r w:rsidRPr="000665B0">
        <w:t xml:space="preserve">, </w:t>
      </w:r>
      <w:r w:rsidR="000A7E71" w:rsidRPr="000665B0">
        <w:t xml:space="preserve">see </w:t>
      </w:r>
      <w:hyperlink w:anchor="_TSRT__SCENARIO" w:history="1">
        <w:r w:rsidR="000A7E71" w:rsidRPr="000665B0">
          <w:rPr>
            <w:rStyle w:val="Hyperlink"/>
          </w:rPr>
          <w:t xml:space="preserve">Section </w:t>
        </w:r>
        <w:r w:rsidR="004231CC">
          <w:rPr>
            <w:rStyle w:val="Hyperlink"/>
          </w:rPr>
          <w:t>5.37</w:t>
        </w:r>
      </w:hyperlink>
      <w:r w:rsidR="000A7E71" w:rsidRPr="000665B0">
        <w:t xml:space="preserve">, </w:t>
      </w:r>
      <w:r w:rsidRPr="000665B0">
        <w:t xml:space="preserve">and </w:t>
      </w:r>
      <w:r w:rsidR="000A7E71" w:rsidRPr="000665B0">
        <w:t xml:space="preserve">see </w:t>
      </w:r>
      <w:hyperlink w:anchor="_5.40__TSRT" w:history="1">
        <w:r w:rsidR="000A7E71" w:rsidRPr="000665B0">
          <w:rPr>
            <w:rStyle w:val="Hyperlink"/>
          </w:rPr>
          <w:t xml:space="preserve">Section </w:t>
        </w:r>
        <w:r w:rsidR="004231CC">
          <w:rPr>
            <w:rStyle w:val="Hyperlink"/>
          </w:rPr>
          <w:t>5.38</w:t>
        </w:r>
      </w:hyperlink>
      <w:r w:rsidRPr="000665B0">
        <w:t>.</w:t>
      </w:r>
    </w:p>
    <w:p w14:paraId="6DB56297" w14:textId="37300157" w:rsidR="0002493C" w:rsidRPr="000665B0" w:rsidRDefault="0002493C" w:rsidP="006679E9">
      <w:pPr>
        <w:jc w:val="both"/>
      </w:pPr>
      <w:r w:rsidRPr="000665B0">
        <w:t xml:space="preserve">For information about how to transfer strike control between the </w:t>
      </w:r>
      <w:r w:rsidR="00B54FFB">
        <w:t>TSC</w:t>
      </w:r>
      <w:r w:rsidR="00682338">
        <w:t xml:space="preserve"> </w:t>
      </w:r>
      <w:r w:rsidRPr="000665B0">
        <w:t>and</w:t>
      </w:r>
      <w:r w:rsidR="00B54FFB">
        <w:t xml:space="preserve"> ATSC </w:t>
      </w:r>
      <w:r w:rsidRPr="000665B0">
        <w:t xml:space="preserve">(and vice versa), see </w:t>
      </w:r>
      <w:hyperlink w:anchor="_Transfer_Strike_Control" w:history="1">
        <w:r w:rsidR="00E036B6" w:rsidRPr="000665B0">
          <w:rPr>
            <w:rStyle w:val="Hyperlink"/>
          </w:rPr>
          <w:t xml:space="preserve">Section </w:t>
        </w:r>
        <w:r w:rsidR="004231CC">
          <w:rPr>
            <w:rStyle w:val="Hyperlink"/>
          </w:rPr>
          <w:t>5.35</w:t>
        </w:r>
        <w:r w:rsidRPr="000665B0">
          <w:rPr>
            <w:rStyle w:val="Hyperlink"/>
          </w:rPr>
          <w:t>.15.1</w:t>
        </w:r>
      </w:hyperlink>
      <w:r w:rsidRPr="000665B0">
        <w:t>.</w:t>
      </w:r>
    </w:p>
    <w:tbl>
      <w:tblPr>
        <w:tblStyle w:val="TableGrid"/>
        <w:tblW w:w="13579" w:type="dxa"/>
        <w:tblInd w:w="108" w:type="dxa"/>
        <w:tblLook w:val="04A0" w:firstRow="1" w:lastRow="0" w:firstColumn="1" w:lastColumn="0" w:noHBand="0" w:noVBand="1"/>
      </w:tblPr>
      <w:tblGrid>
        <w:gridCol w:w="13579"/>
      </w:tblGrid>
      <w:tr w:rsidR="00C1621C" w:rsidRPr="000665B0" w14:paraId="09AE920D" w14:textId="77777777" w:rsidTr="00935A52">
        <w:tc>
          <w:tcPr>
            <w:tcW w:w="13579" w:type="dxa"/>
            <w:shd w:val="clear" w:color="auto" w:fill="D9D9D9" w:themeFill="background1" w:themeFillShade="D9"/>
          </w:tcPr>
          <w:p w14:paraId="5F639095" w14:textId="77777777" w:rsidR="00C1621C" w:rsidRPr="000665B0" w:rsidRDefault="00C1621C" w:rsidP="00346248">
            <w:pPr>
              <w:spacing w:before="60" w:after="60" w:line="240" w:lineRule="auto"/>
              <w:rPr>
                <w:b/>
                <w:bCs/>
                <w:sz w:val="20"/>
              </w:rPr>
            </w:pPr>
            <w:r w:rsidRPr="000665B0">
              <w:rPr>
                <w:b/>
                <w:bCs/>
                <w:sz w:val="20"/>
              </w:rPr>
              <w:t>Overview</w:t>
            </w:r>
          </w:p>
        </w:tc>
      </w:tr>
      <w:tr w:rsidR="00C1621C" w:rsidRPr="000665B0" w14:paraId="4B4E8E8C" w14:textId="77777777" w:rsidTr="00346248">
        <w:tc>
          <w:tcPr>
            <w:tcW w:w="13579" w:type="dxa"/>
          </w:tcPr>
          <w:p w14:paraId="0925C21C" w14:textId="77777777" w:rsidR="00C1621C" w:rsidRPr="000665B0" w:rsidRDefault="00C1621C" w:rsidP="00346248">
            <w:pPr>
              <w:spacing w:before="60" w:after="60" w:line="240" w:lineRule="auto"/>
              <w:rPr>
                <w:sz w:val="20"/>
              </w:rPr>
            </w:pPr>
            <w:r w:rsidRPr="000665B0">
              <w:rPr>
                <w:sz w:val="20"/>
              </w:rPr>
              <w:t>Because of the complexity of each Strike Execution rehearsal case, each case has its own objectives and prerequisites. The objective lists the goals of what each case is intended to demonstrate. The prerequisites list the necessary requirements prior to executing/rehearsing the case.</w:t>
            </w:r>
          </w:p>
          <w:p w14:paraId="0894674B" w14:textId="77777777" w:rsidR="00C1621C" w:rsidRPr="000665B0" w:rsidRDefault="00C1621C" w:rsidP="00346248">
            <w:pPr>
              <w:spacing w:before="60" w:after="60" w:line="240" w:lineRule="auto"/>
              <w:rPr>
                <w:sz w:val="20"/>
              </w:rPr>
            </w:pPr>
            <w:r w:rsidRPr="000665B0">
              <w:rPr>
                <w:sz w:val="20"/>
              </w:rPr>
              <w:t>The following Strike Execution/Rehearsal Case Scenarios are provided:</w:t>
            </w:r>
          </w:p>
          <w:p w14:paraId="404B67C9" w14:textId="50855CFF" w:rsidR="00C1621C" w:rsidRPr="000665B0" w:rsidRDefault="00C1621C" w:rsidP="006D5A65">
            <w:pPr>
              <w:pStyle w:val="Heading1"/>
            </w:pPr>
            <w:hyperlink w:anchor="_Q-1__CASE" w:history="1">
              <w:r w:rsidRPr="000665B0">
                <w:rPr>
                  <w:rStyle w:val="Hyperlink"/>
                  <w:rFonts w:ascii="Times New Roman" w:hAnsi="Times New Roman"/>
                  <w:sz w:val="20"/>
                </w:rPr>
                <w:t>Case A: Simple Strike Rehearsal</w:t>
              </w:r>
              <w:r w:rsidR="00DA3F43" w:rsidRPr="000665B0">
                <w:rPr>
                  <w:rStyle w:val="Hyperlink"/>
                  <w:rFonts w:ascii="Times New Roman" w:hAnsi="Times New Roman"/>
                  <w:sz w:val="20"/>
                </w:rPr>
                <w:t xml:space="preserve"> with Filter Message Processes</w:t>
              </w:r>
              <w:r w:rsidRPr="000665B0">
                <w:rPr>
                  <w:rStyle w:val="Hyperlink"/>
                  <w:rFonts w:ascii="Times New Roman" w:hAnsi="Times New Roman"/>
                  <w:sz w:val="20"/>
                </w:rPr>
                <w:t>.</w:t>
              </w:r>
            </w:hyperlink>
          </w:p>
          <w:p w14:paraId="27D9650F" w14:textId="662DFDA4" w:rsidR="00C1621C" w:rsidRPr="000665B0" w:rsidRDefault="00C1621C" w:rsidP="006D5A65">
            <w:pPr>
              <w:pStyle w:val="Heading1"/>
            </w:pPr>
            <w:hyperlink w:anchor="_Q-2__CASE" w:history="1">
              <w:r w:rsidRPr="000665B0">
                <w:rPr>
                  <w:rStyle w:val="Hyperlink"/>
                  <w:rFonts w:ascii="Times New Roman" w:hAnsi="Times New Roman"/>
                  <w:sz w:val="20"/>
                </w:rPr>
                <w:t xml:space="preserve">Case B: </w:t>
              </w:r>
              <w:r w:rsidRPr="000665B0">
                <w:rPr>
                  <w:rStyle w:val="Hyperlink"/>
                  <w:rFonts w:ascii="Times New Roman" w:hAnsi="Times New Roman"/>
                  <w:bCs/>
                  <w:sz w:val="20"/>
                </w:rPr>
                <w:t>Strike Rehearsal with Time Shifts, Reassignments, and Ghost Assignment.</w:t>
              </w:r>
            </w:hyperlink>
          </w:p>
          <w:p w14:paraId="5A06BE86" w14:textId="797FB93E" w:rsidR="00C1621C" w:rsidRPr="000665B0" w:rsidRDefault="00C1621C" w:rsidP="006D5A65">
            <w:pPr>
              <w:pStyle w:val="Heading1"/>
            </w:pPr>
            <w:hyperlink w:anchor="_Q-3__CASE" w:history="1">
              <w:r w:rsidRPr="000665B0">
                <w:rPr>
                  <w:rStyle w:val="Hyperlink"/>
                  <w:rFonts w:ascii="Times New Roman" w:hAnsi="Times New Roman"/>
                  <w:bCs/>
                  <w:sz w:val="20"/>
                </w:rPr>
                <w:t>Case C: Strike Rehearsal with Time Edit, Launch of Backups, Send to Pool, and Complications.</w:t>
              </w:r>
            </w:hyperlink>
          </w:p>
          <w:p w14:paraId="4FC7FEDC" w14:textId="790F54D5" w:rsidR="00C1621C" w:rsidRPr="000665B0" w:rsidRDefault="00C1621C" w:rsidP="006D5A65">
            <w:pPr>
              <w:pStyle w:val="Heading1"/>
            </w:pPr>
            <w:hyperlink w:anchor="_Q-4:__CASE" w:history="1">
              <w:r w:rsidRPr="000665B0">
                <w:rPr>
                  <w:rStyle w:val="Hyperlink"/>
                  <w:rFonts w:ascii="Times New Roman" w:hAnsi="Times New Roman"/>
                  <w:bCs/>
                  <w:sz w:val="20"/>
                </w:rPr>
                <w:t>Case D: Create and Add an Ad-Hoc Option to an Executing Multi-Strike as the</w:t>
              </w:r>
              <w:r w:rsidR="00682338">
                <w:rPr>
                  <w:rStyle w:val="Hyperlink"/>
                  <w:rFonts w:ascii="Times New Roman" w:hAnsi="Times New Roman"/>
                  <w:bCs/>
                  <w:sz w:val="20"/>
                </w:rPr>
                <w:t xml:space="preserve"> </w:t>
              </w:r>
              <w:r w:rsidR="003016A9" w:rsidRPr="003016A9">
                <w:rPr>
                  <w:rStyle w:val="Hyperlink"/>
                  <w:rFonts w:ascii="Times New Roman" w:hAnsi="Times New Roman"/>
                  <w:bCs/>
                  <w:sz w:val="20"/>
                </w:rPr>
                <w:t>A</w:t>
              </w:r>
              <w:r w:rsidR="003016A9" w:rsidRPr="00B17338">
                <w:rPr>
                  <w:rStyle w:val="Hyperlink"/>
                  <w:rFonts w:ascii="Times New Roman" w:hAnsi="Times New Roman"/>
                  <w:bCs/>
                  <w:sz w:val="20"/>
                </w:rPr>
                <w:t>TSC</w:t>
              </w:r>
              <w:r w:rsidRPr="000665B0">
                <w:rPr>
                  <w:rStyle w:val="Hyperlink"/>
                  <w:rFonts w:ascii="Times New Roman" w:hAnsi="Times New Roman"/>
                  <w:bCs/>
                  <w:sz w:val="20"/>
                </w:rPr>
                <w:t>.</w:t>
              </w:r>
            </w:hyperlink>
          </w:p>
          <w:p w14:paraId="46891224" w14:textId="2D163377" w:rsidR="00C1621C" w:rsidRPr="000665B0" w:rsidRDefault="00C1621C" w:rsidP="006D5A65">
            <w:pPr>
              <w:pStyle w:val="Heading1"/>
            </w:pPr>
            <w:hyperlink w:anchor="_Q-5__CASE_1" w:history="1">
              <w:r w:rsidRPr="000665B0">
                <w:rPr>
                  <w:rStyle w:val="Hyperlink"/>
                  <w:rFonts w:ascii="Times New Roman" w:hAnsi="Times New Roman"/>
                  <w:sz w:val="20"/>
                </w:rPr>
                <w:t xml:space="preserve">Case E: </w:t>
              </w:r>
              <w:r w:rsidRPr="000665B0">
                <w:rPr>
                  <w:rStyle w:val="Hyperlink"/>
                  <w:rFonts w:ascii="Times New Roman" w:hAnsi="Times New Roman"/>
                  <w:bCs/>
                  <w:sz w:val="20"/>
                </w:rPr>
                <w:t>Strike Rehearsal with Flex (Change Outcome) and MDS Direct Aimpoint Update.</w:t>
              </w:r>
            </w:hyperlink>
          </w:p>
          <w:p w14:paraId="1389CF37" w14:textId="56A96BB9" w:rsidR="00C1621C" w:rsidRPr="000665B0" w:rsidRDefault="00C1621C" w:rsidP="006D5A65">
            <w:pPr>
              <w:pStyle w:val="Heading1"/>
            </w:pPr>
            <w:hyperlink w:anchor="_Q-6__CASE_1" w:history="1">
              <w:r w:rsidRPr="000665B0">
                <w:rPr>
                  <w:rStyle w:val="Hyperlink"/>
                  <w:rFonts w:ascii="Times New Roman" w:hAnsi="Times New Roman"/>
                  <w:sz w:val="20"/>
                </w:rPr>
                <w:t xml:space="preserve">Case F: </w:t>
              </w:r>
              <w:r w:rsidRPr="000665B0">
                <w:rPr>
                  <w:rStyle w:val="Hyperlink"/>
                  <w:rFonts w:ascii="Times New Roman" w:hAnsi="Times New Roman"/>
                  <w:bCs/>
                  <w:sz w:val="20"/>
                </w:rPr>
                <w:t>Strike Rehearsal with Retarget and Aimpoint Update Using TPS.</w:t>
              </w:r>
            </w:hyperlink>
          </w:p>
          <w:p w14:paraId="28DF262E" w14:textId="7556C8DC" w:rsidR="00C1621C" w:rsidRPr="000665B0" w:rsidRDefault="00C1621C" w:rsidP="006D5A65">
            <w:pPr>
              <w:pStyle w:val="Heading1"/>
            </w:pPr>
            <w:hyperlink w:anchor="_Q_-7_" w:history="1">
              <w:r w:rsidRPr="000665B0">
                <w:rPr>
                  <w:rStyle w:val="Hyperlink"/>
                  <w:rFonts w:ascii="Times New Roman" w:hAnsi="Times New Roman"/>
                  <w:bCs/>
                  <w:sz w:val="20"/>
                </w:rPr>
                <w:t>Case G: Strike Rehearsal with TTWCS Tactical Change LMO and Execute CFF Tasking</w:t>
              </w:r>
            </w:hyperlink>
            <w:r w:rsidRPr="000665B0">
              <w:t>.</w:t>
            </w:r>
          </w:p>
          <w:p w14:paraId="0F91113A" w14:textId="38F256DA" w:rsidR="00C1621C" w:rsidRPr="000665B0" w:rsidRDefault="00C1621C" w:rsidP="00093C35">
            <w:pPr>
              <w:spacing w:before="60" w:after="60" w:line="240" w:lineRule="auto"/>
              <w:rPr>
                <w:sz w:val="20"/>
              </w:rPr>
            </w:pPr>
            <w:r w:rsidRPr="000665B0">
              <w:rPr>
                <w:sz w:val="20"/>
              </w:rPr>
              <w:t xml:space="preserve">For additional information about configuring TSRT and comms for a strike rehearsal, see </w:t>
            </w:r>
            <w:hyperlink w:anchor="_APPENDIX_S_" w:history="1">
              <w:r w:rsidR="00093C35" w:rsidRPr="000665B0">
                <w:rPr>
                  <w:rStyle w:val="Hyperlink"/>
                  <w:sz w:val="20"/>
                </w:rPr>
                <w:t>Appendix R</w:t>
              </w:r>
            </w:hyperlink>
            <w:r w:rsidRPr="000665B0">
              <w:rPr>
                <w:sz w:val="20"/>
              </w:rPr>
              <w:t>.</w:t>
            </w:r>
          </w:p>
        </w:tc>
      </w:tr>
    </w:tbl>
    <w:p w14:paraId="1FBF7EB5" w14:textId="6AA035D6" w:rsidR="00C1621C" w:rsidRPr="000665B0" w:rsidRDefault="00C1621C" w:rsidP="0056739E">
      <w:pPr>
        <w:pStyle w:val="Appendix2"/>
        <w:keepNext/>
        <w:pageBreakBefore/>
      </w:pPr>
      <w:bookmarkStart w:id="8065" w:name="_Q-1__CASE"/>
      <w:bookmarkStart w:id="8066" w:name="_Toc214283726"/>
      <w:bookmarkEnd w:id="8065"/>
      <w:r w:rsidRPr="000665B0">
        <w:lastRenderedPageBreak/>
        <w:t>CASE A: SIMPLE STRIKE REHEARSAL</w:t>
      </w:r>
      <w:bookmarkEnd w:id="8066"/>
    </w:p>
    <w:tbl>
      <w:tblPr>
        <w:tblW w:w="13646" w:type="dxa"/>
        <w:tblInd w:w="108" w:type="dxa"/>
        <w:tblLook w:val="0000" w:firstRow="0" w:lastRow="0" w:firstColumn="0" w:lastColumn="0" w:noHBand="0" w:noVBand="0"/>
      </w:tblPr>
      <w:tblGrid>
        <w:gridCol w:w="13646"/>
      </w:tblGrid>
      <w:tr w:rsidR="00C1621C" w:rsidRPr="000665B0" w14:paraId="32E2EB3A" w14:textId="77777777" w:rsidTr="00935A52">
        <w:trPr>
          <w:cantSplit/>
        </w:trPr>
        <w:tc>
          <w:tcPr>
            <w:tcW w:w="13646" w:type="dxa"/>
            <w:tcBorders>
              <w:top w:val="single" w:sz="4" w:space="0" w:color="auto"/>
              <w:left w:val="single" w:sz="4" w:space="0" w:color="auto"/>
              <w:bottom w:val="single" w:sz="4" w:space="0" w:color="auto"/>
              <w:right w:val="single" w:sz="4" w:space="0" w:color="000000"/>
            </w:tcBorders>
            <w:shd w:val="clear" w:color="auto" w:fill="D9D9D9" w:themeFill="background1" w:themeFillShade="D9"/>
          </w:tcPr>
          <w:p w14:paraId="106CA42C" w14:textId="77777777" w:rsidR="00C1621C" w:rsidRPr="000665B0" w:rsidRDefault="00C1621C" w:rsidP="00346248">
            <w:pPr>
              <w:spacing w:before="60" w:after="60" w:line="240" w:lineRule="auto"/>
              <w:rPr>
                <w:b/>
                <w:bCs/>
                <w:sz w:val="20"/>
              </w:rPr>
            </w:pPr>
            <w:r w:rsidRPr="000665B0">
              <w:rPr>
                <w:b/>
                <w:bCs/>
                <w:sz w:val="20"/>
              </w:rPr>
              <w:t>Objective</w:t>
            </w:r>
          </w:p>
        </w:tc>
      </w:tr>
      <w:tr w:rsidR="00C1621C" w:rsidRPr="000665B0" w14:paraId="4F3EF8BD" w14:textId="77777777" w:rsidTr="00346248">
        <w:trPr>
          <w:cantSplit/>
        </w:trPr>
        <w:tc>
          <w:tcPr>
            <w:tcW w:w="13646" w:type="dxa"/>
            <w:tcBorders>
              <w:top w:val="single" w:sz="4" w:space="0" w:color="auto"/>
              <w:left w:val="single" w:sz="4" w:space="0" w:color="auto"/>
              <w:bottom w:val="single" w:sz="4" w:space="0" w:color="auto"/>
              <w:right w:val="single" w:sz="4" w:space="0" w:color="000000"/>
            </w:tcBorders>
          </w:tcPr>
          <w:p w14:paraId="4666CF3C" w14:textId="77777777" w:rsidR="00C1621C" w:rsidRPr="000665B0" w:rsidRDefault="00C1621C" w:rsidP="00346248">
            <w:pPr>
              <w:spacing w:before="60" w:after="60" w:line="240" w:lineRule="auto"/>
              <w:rPr>
                <w:sz w:val="20"/>
              </w:rPr>
            </w:pPr>
            <w:r w:rsidRPr="000665B0">
              <w:rPr>
                <w:sz w:val="20"/>
              </w:rPr>
              <w:t>The objective of this case is to run a simple Strike Rehearsal using the minimum requirements. This will only test the basic Strike Rehearsal functionalities with NO complications by observing each operator action and its result.</w:t>
            </w:r>
          </w:p>
          <w:p w14:paraId="71290F5B" w14:textId="673582E5" w:rsidR="00C1621C" w:rsidRPr="000665B0" w:rsidRDefault="00C1621C" w:rsidP="00DA3F43">
            <w:pPr>
              <w:spacing w:before="60" w:after="60" w:line="240" w:lineRule="auto"/>
              <w:rPr>
                <w:sz w:val="20"/>
              </w:rPr>
            </w:pPr>
            <w:r w:rsidRPr="000665B0">
              <w:rPr>
                <w:sz w:val="20"/>
              </w:rPr>
              <w:t xml:space="preserve">Some of the functionalities that will be shown are: </w:t>
            </w:r>
            <w:r w:rsidR="00026307" w:rsidRPr="000665B0">
              <w:rPr>
                <w:sz w:val="20"/>
              </w:rPr>
              <w:t xml:space="preserve">ACA Filter Message, </w:t>
            </w:r>
            <w:r w:rsidRPr="000665B0">
              <w:rPr>
                <w:sz w:val="20"/>
              </w:rPr>
              <w:t>SPEO, LER, OWR, H&amp;S, Pings, Edit/Swap Missile Controller, and IMMM.</w:t>
            </w:r>
          </w:p>
        </w:tc>
      </w:tr>
      <w:tr w:rsidR="00C1621C" w:rsidRPr="000665B0" w14:paraId="546D656E" w14:textId="77777777" w:rsidTr="00935A52">
        <w:trPr>
          <w:cantSplit/>
        </w:trPr>
        <w:tc>
          <w:tcPr>
            <w:tcW w:w="13646" w:type="dxa"/>
            <w:tcBorders>
              <w:top w:val="single" w:sz="4" w:space="0" w:color="auto"/>
              <w:left w:val="single" w:sz="4" w:space="0" w:color="auto"/>
              <w:bottom w:val="single" w:sz="4" w:space="0" w:color="auto"/>
              <w:right w:val="single" w:sz="4" w:space="0" w:color="000000"/>
            </w:tcBorders>
            <w:shd w:val="clear" w:color="auto" w:fill="D9D9D9" w:themeFill="background1" w:themeFillShade="D9"/>
            <w:noWrap/>
          </w:tcPr>
          <w:p w14:paraId="3DD94D0B" w14:textId="77777777" w:rsidR="00C1621C" w:rsidRPr="000665B0" w:rsidRDefault="00C1621C" w:rsidP="005A42A5">
            <w:pPr>
              <w:keepNext/>
              <w:spacing w:before="60" w:after="60" w:line="240" w:lineRule="auto"/>
              <w:rPr>
                <w:b/>
                <w:bCs/>
                <w:sz w:val="20"/>
              </w:rPr>
            </w:pPr>
            <w:r w:rsidRPr="000665B0">
              <w:rPr>
                <w:b/>
                <w:bCs/>
                <w:sz w:val="20"/>
              </w:rPr>
              <w:t xml:space="preserve">Prerequisites </w:t>
            </w:r>
          </w:p>
        </w:tc>
      </w:tr>
      <w:tr w:rsidR="00C1621C" w:rsidRPr="000665B0" w14:paraId="4CE4A343" w14:textId="77777777" w:rsidTr="00346248">
        <w:trPr>
          <w:cantSplit/>
        </w:trPr>
        <w:tc>
          <w:tcPr>
            <w:tcW w:w="13646" w:type="dxa"/>
            <w:tcBorders>
              <w:top w:val="single" w:sz="4" w:space="0" w:color="auto"/>
              <w:left w:val="single" w:sz="4" w:space="0" w:color="auto"/>
              <w:bottom w:val="single" w:sz="4" w:space="0" w:color="auto"/>
              <w:right w:val="single" w:sz="4" w:space="0" w:color="000000"/>
            </w:tcBorders>
          </w:tcPr>
          <w:p w14:paraId="03D8FCEA" w14:textId="2C6510CF" w:rsidR="00C1621C" w:rsidRPr="000665B0" w:rsidRDefault="00C1621C" w:rsidP="00346248">
            <w:pPr>
              <w:spacing w:before="60" w:after="60" w:line="240" w:lineRule="auto"/>
              <w:rPr>
                <w:sz w:val="20"/>
              </w:rPr>
            </w:pPr>
            <w:r w:rsidRPr="000665B0">
              <w:rPr>
                <w:sz w:val="20"/>
              </w:rPr>
              <w:t xml:space="preserve">1. Create the basic Strike Package (see </w:t>
            </w:r>
            <w:hyperlink w:anchor="_APPENDIX_O_" w:history="1">
              <w:r w:rsidR="00093C35" w:rsidRPr="000665B0">
                <w:rPr>
                  <w:rStyle w:val="Hyperlink"/>
                  <w:sz w:val="20"/>
                </w:rPr>
                <w:t>Appendix N</w:t>
              </w:r>
            </w:hyperlink>
            <w:r w:rsidRPr="000665B0">
              <w:rPr>
                <w:sz w:val="20"/>
              </w:rPr>
              <w:t xml:space="preserve">) (the optional steps in Appendix </w:t>
            </w:r>
            <w:r w:rsidR="00093C35" w:rsidRPr="000665B0">
              <w:rPr>
                <w:sz w:val="20"/>
              </w:rPr>
              <w:t xml:space="preserve">N </w:t>
            </w:r>
            <w:r w:rsidRPr="000665B0">
              <w:rPr>
                <w:sz w:val="20"/>
              </w:rPr>
              <w:t>are not required in this case</w:t>
            </w:r>
            <w:r w:rsidR="00986E97" w:rsidRPr="000665B0">
              <w:rPr>
                <w:sz w:val="20"/>
              </w:rPr>
              <w:t>) and</w:t>
            </w:r>
            <w:r w:rsidRPr="000665B0">
              <w:rPr>
                <w:sz w:val="20"/>
              </w:rPr>
              <w:t xml:space="preserve"> set up Comms (see </w:t>
            </w:r>
            <w:hyperlink w:anchor="Strike_Comms_Setup_Guidelines" w:history="1">
              <w:r w:rsidR="00093C35" w:rsidRPr="000665B0">
                <w:rPr>
                  <w:rStyle w:val="Hyperlink"/>
                  <w:sz w:val="20"/>
                </w:rPr>
                <w:t>Appendix O</w:t>
              </w:r>
            </w:hyperlink>
            <w:r w:rsidRPr="000665B0">
              <w:rPr>
                <w:sz w:val="20"/>
              </w:rPr>
              <w:t>).</w:t>
            </w:r>
          </w:p>
          <w:p w14:paraId="366B4937" w14:textId="77777777" w:rsidR="00C1621C" w:rsidRPr="000665B0" w:rsidRDefault="00C1621C" w:rsidP="00346248">
            <w:pPr>
              <w:spacing w:before="60" w:after="60" w:line="240" w:lineRule="auto"/>
              <w:rPr>
                <w:sz w:val="20"/>
              </w:rPr>
            </w:pPr>
            <w:r w:rsidRPr="000665B0">
              <w:rPr>
                <w:sz w:val="20"/>
              </w:rPr>
              <w:t xml:space="preserve">2. Perform a Comms Check by sending a small DDO to each node. </w:t>
            </w:r>
          </w:p>
        </w:tc>
      </w:tr>
    </w:tbl>
    <w:p w14:paraId="7A582AD6" w14:textId="77777777" w:rsidR="00C1621C" w:rsidRPr="000665B0" w:rsidRDefault="00C1621C" w:rsidP="00C1621C"/>
    <w:tbl>
      <w:tblPr>
        <w:tblW w:w="136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6"/>
        <w:gridCol w:w="7038"/>
        <w:gridCol w:w="6003"/>
      </w:tblGrid>
      <w:tr w:rsidR="00C1621C" w:rsidRPr="000665B0" w14:paraId="19883F44" w14:textId="77777777" w:rsidTr="00935A52">
        <w:trPr>
          <w:cantSplit/>
          <w:tblHeader/>
        </w:trPr>
        <w:tc>
          <w:tcPr>
            <w:tcW w:w="616" w:type="dxa"/>
            <w:shd w:val="clear" w:color="auto" w:fill="D9D9D9" w:themeFill="background1" w:themeFillShade="D9"/>
          </w:tcPr>
          <w:p w14:paraId="23704A5B" w14:textId="77777777" w:rsidR="00C1621C" w:rsidRPr="000665B0" w:rsidRDefault="00C1621C" w:rsidP="0056739E">
            <w:pPr>
              <w:spacing w:before="60" w:after="60" w:line="240" w:lineRule="auto"/>
              <w:jc w:val="center"/>
              <w:rPr>
                <w:b/>
                <w:bCs/>
                <w:sz w:val="20"/>
              </w:rPr>
            </w:pPr>
            <w:r w:rsidRPr="000665B0">
              <w:rPr>
                <w:b/>
                <w:bCs/>
                <w:sz w:val="20"/>
              </w:rPr>
              <w:t>Step</w:t>
            </w:r>
          </w:p>
        </w:tc>
        <w:tc>
          <w:tcPr>
            <w:tcW w:w="7038" w:type="dxa"/>
            <w:shd w:val="clear" w:color="auto" w:fill="D9D9D9" w:themeFill="background1" w:themeFillShade="D9"/>
          </w:tcPr>
          <w:p w14:paraId="25E14D37" w14:textId="77777777" w:rsidR="00C1621C" w:rsidRPr="000665B0" w:rsidRDefault="00C1621C" w:rsidP="0056739E">
            <w:pPr>
              <w:spacing w:before="60" w:after="60" w:line="240" w:lineRule="auto"/>
              <w:jc w:val="center"/>
              <w:rPr>
                <w:b/>
                <w:bCs/>
                <w:sz w:val="20"/>
              </w:rPr>
            </w:pPr>
            <w:r w:rsidRPr="000665B0">
              <w:rPr>
                <w:b/>
                <w:bCs/>
                <w:sz w:val="20"/>
              </w:rPr>
              <w:t>Operator Action</w:t>
            </w:r>
          </w:p>
        </w:tc>
        <w:tc>
          <w:tcPr>
            <w:tcW w:w="6003" w:type="dxa"/>
            <w:shd w:val="clear" w:color="auto" w:fill="D9D9D9" w:themeFill="background1" w:themeFillShade="D9"/>
          </w:tcPr>
          <w:p w14:paraId="4F5C0DBF" w14:textId="77777777" w:rsidR="00C1621C" w:rsidRPr="000665B0" w:rsidRDefault="00C1621C" w:rsidP="0056739E">
            <w:pPr>
              <w:spacing w:before="60" w:after="60" w:line="240" w:lineRule="auto"/>
              <w:jc w:val="center"/>
              <w:rPr>
                <w:b/>
                <w:bCs/>
                <w:sz w:val="20"/>
              </w:rPr>
            </w:pPr>
            <w:r w:rsidRPr="000665B0">
              <w:rPr>
                <w:b/>
                <w:bCs/>
                <w:sz w:val="20"/>
              </w:rPr>
              <w:t>Notes/Comments</w:t>
            </w:r>
          </w:p>
        </w:tc>
      </w:tr>
      <w:tr w:rsidR="00C1621C" w:rsidRPr="000665B0" w14:paraId="7FA32A75" w14:textId="77777777" w:rsidTr="00AC2F7D">
        <w:trPr>
          <w:cantSplit/>
        </w:trPr>
        <w:tc>
          <w:tcPr>
            <w:tcW w:w="616" w:type="dxa"/>
          </w:tcPr>
          <w:p w14:paraId="1AEFD63E" w14:textId="77777777" w:rsidR="00C1621C" w:rsidRPr="000665B0" w:rsidRDefault="00C1621C" w:rsidP="0056739E">
            <w:pPr>
              <w:widowControl w:val="0"/>
              <w:spacing w:before="60" w:after="60" w:line="240" w:lineRule="auto"/>
              <w:jc w:val="center"/>
              <w:rPr>
                <w:sz w:val="20"/>
              </w:rPr>
            </w:pPr>
            <w:r w:rsidRPr="000665B0">
              <w:rPr>
                <w:sz w:val="20"/>
              </w:rPr>
              <w:t>1</w:t>
            </w:r>
          </w:p>
        </w:tc>
        <w:tc>
          <w:tcPr>
            <w:tcW w:w="7038" w:type="dxa"/>
          </w:tcPr>
          <w:p w14:paraId="7DFAC763" w14:textId="5108F391" w:rsidR="00C1621C" w:rsidRPr="000665B0" w:rsidRDefault="00C1621C" w:rsidP="0056739E">
            <w:pPr>
              <w:widowControl w:val="0"/>
              <w:spacing w:before="60" w:after="60" w:line="240" w:lineRule="auto"/>
              <w:rPr>
                <w:bCs/>
                <w:sz w:val="20"/>
              </w:rPr>
            </w:pPr>
            <w:r w:rsidRPr="000665B0">
              <w:rPr>
                <w:bCs/>
                <w:sz w:val="20"/>
              </w:rPr>
              <w:t>Create a new Strike Execution Folder</w:t>
            </w:r>
            <w:r w:rsidR="001D340B" w:rsidRPr="000665B0">
              <w:rPr>
                <w:bCs/>
                <w:sz w:val="20"/>
              </w:rPr>
              <w:t xml:space="preserve"> (see Note)</w:t>
            </w:r>
          </w:p>
          <w:p w14:paraId="18C00A04" w14:textId="77777777" w:rsidR="00C1621C" w:rsidRPr="000665B0" w:rsidRDefault="00C1621C" w:rsidP="006D5A65">
            <w:pPr>
              <w:pStyle w:val="Heading1"/>
            </w:pPr>
            <w:r w:rsidRPr="000665B0">
              <w:t>Navigate to the Strike Execution Tool.</w:t>
            </w:r>
          </w:p>
          <w:p w14:paraId="1A4D0868" w14:textId="77777777" w:rsidR="00C1621C" w:rsidRPr="000665B0" w:rsidRDefault="00C1621C" w:rsidP="006D5A65">
            <w:pPr>
              <w:pStyle w:val="Heading1"/>
            </w:pPr>
            <w:r w:rsidRPr="000665B0">
              <w:t xml:space="preserve">Select File </w:t>
            </w:r>
            <w:r w:rsidRPr="000665B0">
              <w:sym w:font="Wingdings" w:char="F0E0"/>
            </w:r>
            <w:r w:rsidRPr="000665B0">
              <w:t xml:space="preserve"> New. The </w:t>
            </w:r>
            <w:r w:rsidRPr="000665B0">
              <w:rPr>
                <w:i/>
              </w:rPr>
              <w:t>Strike Execution Folder</w:t>
            </w:r>
            <w:r w:rsidRPr="000665B0">
              <w:t xml:space="preserve"> window is displayed.</w:t>
            </w:r>
          </w:p>
          <w:p w14:paraId="1848462A" w14:textId="15B1D4E9" w:rsidR="00C1621C" w:rsidRPr="000665B0" w:rsidRDefault="00D71804" w:rsidP="006D5A65">
            <w:pPr>
              <w:pStyle w:val="Heading1"/>
            </w:pPr>
            <w:r w:rsidRPr="000665B0">
              <w:t>Right-click</w:t>
            </w:r>
            <w:r w:rsidR="00C1621C" w:rsidRPr="000665B0">
              <w:t xml:space="preserve"> in the top pane and select Add. Select the Training Strike Package that was created in Appendix </w:t>
            </w:r>
            <w:r w:rsidR="00093C35" w:rsidRPr="000665B0">
              <w:t xml:space="preserve">N </w:t>
            </w:r>
            <w:r w:rsidR="00C1621C" w:rsidRPr="000665B0">
              <w:t>and click OK.</w:t>
            </w:r>
          </w:p>
          <w:p w14:paraId="27B87E91" w14:textId="77777777" w:rsidR="00C1621C" w:rsidRPr="000665B0" w:rsidRDefault="00C1621C" w:rsidP="006D5A65">
            <w:pPr>
              <w:pStyle w:val="Heading1"/>
            </w:pPr>
            <w:r w:rsidRPr="000665B0">
              <w:t>Save and proceed to the next step for TSRT setup.</w:t>
            </w:r>
          </w:p>
        </w:tc>
        <w:tc>
          <w:tcPr>
            <w:tcW w:w="6003" w:type="dxa"/>
          </w:tcPr>
          <w:p w14:paraId="6BDC5B30" w14:textId="77777777" w:rsidR="00C1621C" w:rsidRPr="000665B0" w:rsidRDefault="00C1621C" w:rsidP="0056739E">
            <w:pPr>
              <w:widowControl w:val="0"/>
              <w:spacing w:before="60" w:after="60" w:line="240" w:lineRule="auto"/>
              <w:rPr>
                <w:sz w:val="20"/>
              </w:rPr>
            </w:pPr>
            <w:r w:rsidRPr="000665B0">
              <w:rPr>
                <w:sz w:val="20"/>
              </w:rPr>
              <w:t>This step can be skipped if the Strike Execution Folder has already been created.</w:t>
            </w:r>
          </w:p>
        </w:tc>
      </w:tr>
      <w:tr w:rsidR="00C1621C" w:rsidRPr="000665B0" w14:paraId="164C8E91" w14:textId="77777777" w:rsidTr="00AC2F7D">
        <w:trPr>
          <w:cantSplit/>
        </w:trPr>
        <w:tc>
          <w:tcPr>
            <w:tcW w:w="616" w:type="dxa"/>
          </w:tcPr>
          <w:p w14:paraId="31A0CB9B" w14:textId="77777777" w:rsidR="00C1621C" w:rsidRPr="000665B0" w:rsidRDefault="00C1621C" w:rsidP="0056739E">
            <w:pPr>
              <w:spacing w:before="60" w:after="60" w:line="240" w:lineRule="auto"/>
              <w:jc w:val="center"/>
              <w:rPr>
                <w:sz w:val="20"/>
              </w:rPr>
            </w:pPr>
            <w:r w:rsidRPr="000665B0">
              <w:rPr>
                <w:sz w:val="20"/>
              </w:rPr>
              <w:t>2</w:t>
            </w:r>
          </w:p>
        </w:tc>
        <w:tc>
          <w:tcPr>
            <w:tcW w:w="7038" w:type="dxa"/>
          </w:tcPr>
          <w:p w14:paraId="00AFD1F4" w14:textId="5A37CA34" w:rsidR="00C1621C" w:rsidRPr="000665B0" w:rsidRDefault="00C1621C" w:rsidP="0056739E">
            <w:pPr>
              <w:spacing w:before="60" w:after="60" w:line="240" w:lineRule="auto"/>
              <w:rPr>
                <w:bCs/>
                <w:sz w:val="20"/>
              </w:rPr>
            </w:pPr>
            <w:r w:rsidRPr="000665B0">
              <w:rPr>
                <w:bCs/>
                <w:sz w:val="20"/>
              </w:rPr>
              <w:t>Set Up TSRT</w:t>
            </w:r>
            <w:r w:rsidR="001D340B" w:rsidRPr="000665B0">
              <w:rPr>
                <w:bCs/>
                <w:sz w:val="20"/>
              </w:rPr>
              <w:t xml:space="preserve"> (see Note)</w:t>
            </w:r>
          </w:p>
          <w:p w14:paraId="74162C8B" w14:textId="77777777" w:rsidR="00C1621C" w:rsidRPr="000665B0" w:rsidRDefault="00C1621C" w:rsidP="006D5A65">
            <w:pPr>
              <w:pStyle w:val="Heading1"/>
            </w:pPr>
            <w:r w:rsidRPr="000665B0">
              <w:t xml:space="preserve">Select Edit </w:t>
            </w:r>
            <w:r w:rsidRPr="000665B0">
              <w:sym w:font="Wingdings" w:char="F0E0"/>
            </w:r>
            <w:r w:rsidRPr="000665B0">
              <w:t xml:space="preserve"> TSRT Setup. The </w:t>
            </w:r>
            <w:r w:rsidRPr="000665B0">
              <w:rPr>
                <w:i/>
              </w:rPr>
              <w:t>Strike Simulation Setup</w:t>
            </w:r>
            <w:r w:rsidRPr="000665B0">
              <w:t xml:space="preserve"> window is displayed.</w:t>
            </w:r>
          </w:p>
          <w:p w14:paraId="11B7C577" w14:textId="77777777" w:rsidR="00C1621C" w:rsidRPr="000665B0" w:rsidRDefault="00C1621C" w:rsidP="006D5A65">
            <w:pPr>
              <w:pStyle w:val="Heading1"/>
            </w:pPr>
            <w:r w:rsidRPr="000665B0">
              <w:t xml:space="preserve">Leave the </w:t>
            </w:r>
            <w:r w:rsidRPr="000665B0">
              <w:rPr>
                <w:i/>
              </w:rPr>
              <w:t>Scenario Setup</w:t>
            </w:r>
            <w:r w:rsidRPr="000665B0">
              <w:t xml:space="preserve"> tab default settings as is for FRU Participants and Clock.</w:t>
            </w:r>
          </w:p>
          <w:p w14:paraId="25ECD0F3" w14:textId="55618941" w:rsidR="00C1621C" w:rsidRPr="0056739E" w:rsidRDefault="0056739E" w:rsidP="006D5A65">
            <w:pPr>
              <w:pStyle w:val="Heading1"/>
            </w:pPr>
            <w:r w:rsidRPr="000665B0">
              <w:t>If not already selected, check Simulate ACA Ground Segment to have TSRT simulate an NSP.</w:t>
            </w:r>
          </w:p>
        </w:tc>
        <w:tc>
          <w:tcPr>
            <w:tcW w:w="6003" w:type="dxa"/>
          </w:tcPr>
          <w:p w14:paraId="0918C50F" w14:textId="769D518B" w:rsidR="00417D05" w:rsidRPr="000665B0" w:rsidRDefault="00C1621C" w:rsidP="0056739E">
            <w:pPr>
              <w:spacing w:before="60" w:after="60" w:line="240" w:lineRule="auto"/>
              <w:rPr>
                <w:sz w:val="20"/>
              </w:rPr>
            </w:pPr>
            <w:r w:rsidRPr="000665B0">
              <w:rPr>
                <w:sz w:val="20"/>
              </w:rPr>
              <w:t>This step can be skipped if TSRT has already been set up.</w:t>
            </w:r>
          </w:p>
        </w:tc>
      </w:tr>
      <w:tr w:rsidR="0056739E" w:rsidRPr="000665B0" w14:paraId="7167B4D8" w14:textId="77777777" w:rsidTr="00AC2F7D">
        <w:trPr>
          <w:cantSplit/>
        </w:trPr>
        <w:tc>
          <w:tcPr>
            <w:tcW w:w="616" w:type="dxa"/>
          </w:tcPr>
          <w:p w14:paraId="7D464B31" w14:textId="77777777" w:rsidR="0056739E" w:rsidRPr="000665B0" w:rsidRDefault="0056739E" w:rsidP="0056739E">
            <w:pPr>
              <w:spacing w:before="60" w:after="60" w:line="240" w:lineRule="auto"/>
              <w:jc w:val="center"/>
              <w:rPr>
                <w:sz w:val="20"/>
              </w:rPr>
            </w:pPr>
          </w:p>
        </w:tc>
        <w:tc>
          <w:tcPr>
            <w:tcW w:w="7038" w:type="dxa"/>
          </w:tcPr>
          <w:p w14:paraId="3291B808" w14:textId="77777777" w:rsidR="0056739E" w:rsidRPr="0056739E" w:rsidRDefault="0056739E" w:rsidP="006D5A65">
            <w:pPr>
              <w:pStyle w:val="Heading1"/>
            </w:pPr>
            <w:r w:rsidRPr="000665B0">
              <w:t xml:space="preserve">Select the </w:t>
            </w:r>
            <w:r w:rsidRPr="000665B0">
              <w:rPr>
                <w:i/>
              </w:rPr>
              <w:t>TSRT</w:t>
            </w:r>
            <w:r w:rsidRPr="000665B0">
              <w:t xml:space="preserve"> tab.</w:t>
            </w:r>
          </w:p>
          <w:p w14:paraId="1B4DE499" w14:textId="77777777" w:rsidR="0056739E" w:rsidRPr="000665B0" w:rsidRDefault="0056739E" w:rsidP="006D5A65">
            <w:pPr>
              <w:pStyle w:val="Heading2"/>
            </w:pPr>
            <w:r w:rsidRPr="000665B0">
              <w:t>If TSRT will be executed on the same machine that the Strike Execution folder is on, leave the TSRT Location pane setting as Local.</w:t>
            </w:r>
          </w:p>
          <w:p w14:paraId="16478552" w14:textId="77777777" w:rsidR="0056739E" w:rsidRPr="000665B0" w:rsidRDefault="0056739E" w:rsidP="006D5A65">
            <w:pPr>
              <w:pStyle w:val="Heading2"/>
            </w:pPr>
            <w:r w:rsidRPr="000665B0">
              <w:t>If TSRT will be executed on a different machine than the Strike Execution folder is on, select Remote. Enter the IP Address of the remote machine that will execute TSRT.</w:t>
            </w:r>
          </w:p>
          <w:p w14:paraId="50D2560F" w14:textId="77777777" w:rsidR="0056739E" w:rsidRPr="000665B0" w:rsidRDefault="0056739E" w:rsidP="006D5A65">
            <w:pPr>
              <w:pStyle w:val="Heading2"/>
            </w:pPr>
            <w:r w:rsidRPr="000665B0">
              <w:t xml:space="preserve">In the Start Time pane, select Commence rehearsal 72 hours before first estimated launch. </w:t>
            </w:r>
          </w:p>
          <w:p w14:paraId="303C4AED" w14:textId="77777777" w:rsidR="0056739E" w:rsidRPr="000665B0" w:rsidRDefault="0056739E" w:rsidP="006D5A65">
            <w:pPr>
              <w:pStyle w:val="Heading2"/>
            </w:pPr>
            <w:r w:rsidRPr="000665B0">
              <w:t xml:space="preserve">Do not change the remainder of the </w:t>
            </w:r>
            <w:r w:rsidRPr="000665B0">
              <w:rPr>
                <w:i/>
              </w:rPr>
              <w:t>TSRT</w:t>
            </w:r>
            <w:r w:rsidRPr="000665B0">
              <w:t xml:space="preserve"> tab default settings and click OK.</w:t>
            </w:r>
          </w:p>
          <w:p w14:paraId="0CBF9FB3" w14:textId="141338E5" w:rsidR="0056739E" w:rsidRPr="000665B0" w:rsidRDefault="0056739E" w:rsidP="0056739E">
            <w:pPr>
              <w:spacing w:before="60" w:after="60" w:line="240" w:lineRule="auto"/>
              <w:rPr>
                <w:bCs/>
                <w:sz w:val="20"/>
              </w:rPr>
            </w:pPr>
            <w:r w:rsidRPr="000665B0">
              <w:rPr>
                <w:sz w:val="20"/>
              </w:rPr>
              <w:t>Save and close the window.</w:t>
            </w:r>
          </w:p>
        </w:tc>
        <w:tc>
          <w:tcPr>
            <w:tcW w:w="6003" w:type="dxa"/>
          </w:tcPr>
          <w:p w14:paraId="2E5E441C" w14:textId="77777777" w:rsidR="0056739E" w:rsidRPr="000665B0" w:rsidRDefault="0056739E" w:rsidP="0056739E">
            <w:pPr>
              <w:spacing w:before="60" w:after="60" w:line="240" w:lineRule="auto"/>
              <w:rPr>
                <w:sz w:val="20"/>
              </w:rPr>
            </w:pPr>
          </w:p>
        </w:tc>
      </w:tr>
      <w:tr w:rsidR="00C1621C" w:rsidRPr="000665B0" w14:paraId="33E34021" w14:textId="77777777" w:rsidTr="00AC2F7D">
        <w:trPr>
          <w:cantSplit/>
        </w:trPr>
        <w:tc>
          <w:tcPr>
            <w:tcW w:w="616" w:type="dxa"/>
          </w:tcPr>
          <w:p w14:paraId="12061A69" w14:textId="77777777" w:rsidR="00C1621C" w:rsidRPr="000665B0" w:rsidRDefault="00C1621C" w:rsidP="0056739E">
            <w:pPr>
              <w:spacing w:before="60" w:after="60" w:line="240" w:lineRule="auto"/>
              <w:jc w:val="center"/>
              <w:rPr>
                <w:sz w:val="20"/>
              </w:rPr>
            </w:pPr>
            <w:r w:rsidRPr="000665B0">
              <w:rPr>
                <w:sz w:val="20"/>
              </w:rPr>
              <w:t>3</w:t>
            </w:r>
          </w:p>
        </w:tc>
        <w:tc>
          <w:tcPr>
            <w:tcW w:w="7038" w:type="dxa"/>
          </w:tcPr>
          <w:p w14:paraId="0F2FD76F" w14:textId="77777777" w:rsidR="00C1621C" w:rsidRPr="000665B0" w:rsidRDefault="00C1621C" w:rsidP="0056739E">
            <w:pPr>
              <w:spacing w:before="60" w:after="60" w:line="240" w:lineRule="auto"/>
              <w:rPr>
                <w:bCs/>
                <w:sz w:val="20"/>
              </w:rPr>
            </w:pPr>
            <w:r w:rsidRPr="000665B0">
              <w:rPr>
                <w:bCs/>
                <w:sz w:val="20"/>
              </w:rPr>
              <w:t>Create a Rehearsal Copy of the Strike Execution Folder (see Note)</w:t>
            </w:r>
          </w:p>
          <w:p w14:paraId="39687406" w14:textId="573ED44D" w:rsidR="00C1621C" w:rsidRPr="000665B0" w:rsidRDefault="00D71804" w:rsidP="006D5A65">
            <w:pPr>
              <w:pStyle w:val="Heading1"/>
              <w:rPr>
                <w:bCs/>
              </w:rPr>
            </w:pPr>
            <w:r w:rsidRPr="000665B0">
              <w:t>Right-click</w:t>
            </w:r>
            <w:r w:rsidR="00C1621C" w:rsidRPr="000665B0">
              <w:t xml:space="preserve"> the </w:t>
            </w:r>
            <w:r w:rsidR="006A1F75" w:rsidRPr="000665B0">
              <w:t>newly created</w:t>
            </w:r>
            <w:r w:rsidR="00C1621C" w:rsidRPr="000665B0">
              <w:t xml:space="preserve"> Strike Execution folder and select Save As </w:t>
            </w:r>
            <w:r w:rsidR="00C1621C" w:rsidRPr="000665B0">
              <w:sym w:font="Wingdings 3" w:char="F07D"/>
            </w:r>
            <w:r w:rsidR="00C1621C" w:rsidRPr="000665B0">
              <w:t xml:space="preserve"> Rehearsal. A duplicate folder is created that displays Rehearse in the Class column.</w:t>
            </w:r>
          </w:p>
        </w:tc>
        <w:tc>
          <w:tcPr>
            <w:tcW w:w="6003" w:type="dxa"/>
          </w:tcPr>
          <w:p w14:paraId="7737D495" w14:textId="77777777" w:rsidR="00C1621C" w:rsidRPr="000665B0" w:rsidRDefault="00C1621C" w:rsidP="0056739E">
            <w:pPr>
              <w:spacing w:before="60" w:after="60" w:line="240" w:lineRule="auto"/>
              <w:rPr>
                <w:sz w:val="20"/>
              </w:rPr>
            </w:pPr>
            <w:r w:rsidRPr="000665B0">
              <w:rPr>
                <w:sz w:val="20"/>
              </w:rPr>
              <w:t>Creating a rehearsal copy preserves the state of the original strike.</w:t>
            </w:r>
          </w:p>
        </w:tc>
      </w:tr>
      <w:tr w:rsidR="00C1621C" w:rsidRPr="000665B0" w14:paraId="25E4192F" w14:textId="77777777" w:rsidTr="00AC2F7D">
        <w:trPr>
          <w:cantSplit/>
        </w:trPr>
        <w:tc>
          <w:tcPr>
            <w:tcW w:w="616" w:type="dxa"/>
          </w:tcPr>
          <w:p w14:paraId="30201053" w14:textId="77777777" w:rsidR="00C1621C" w:rsidRPr="000665B0" w:rsidRDefault="00C1621C" w:rsidP="0056739E">
            <w:pPr>
              <w:spacing w:before="60" w:after="60" w:line="240" w:lineRule="auto"/>
              <w:jc w:val="center"/>
              <w:rPr>
                <w:sz w:val="20"/>
              </w:rPr>
            </w:pPr>
            <w:r w:rsidRPr="000665B0">
              <w:rPr>
                <w:sz w:val="20"/>
              </w:rPr>
              <w:t>4</w:t>
            </w:r>
          </w:p>
        </w:tc>
        <w:tc>
          <w:tcPr>
            <w:tcW w:w="7038" w:type="dxa"/>
          </w:tcPr>
          <w:p w14:paraId="591F0DED" w14:textId="77777777" w:rsidR="00C1621C" w:rsidRPr="000665B0" w:rsidRDefault="00C1621C" w:rsidP="0056739E">
            <w:pPr>
              <w:spacing w:before="60" w:after="60" w:line="240" w:lineRule="auto"/>
              <w:rPr>
                <w:bCs/>
                <w:sz w:val="20"/>
              </w:rPr>
            </w:pPr>
            <w:r w:rsidRPr="000665B0">
              <w:rPr>
                <w:bCs/>
                <w:sz w:val="20"/>
              </w:rPr>
              <w:t>Distribute the Rehearsal Folder (see Note)</w:t>
            </w:r>
          </w:p>
          <w:p w14:paraId="17662BC5" w14:textId="69667A97" w:rsidR="00C1621C" w:rsidRPr="000665B0" w:rsidRDefault="00D71804" w:rsidP="006D5A65">
            <w:pPr>
              <w:pStyle w:val="Heading1"/>
            </w:pPr>
            <w:r w:rsidRPr="000665B0">
              <w:t>Right-click</w:t>
            </w:r>
            <w:r w:rsidR="00C1621C" w:rsidRPr="000665B0">
              <w:t xml:space="preserve"> the Rehearsal Folder and select Send. The </w:t>
            </w:r>
            <w:r w:rsidR="00C1621C" w:rsidRPr="000665B0">
              <w:rPr>
                <w:i/>
              </w:rPr>
              <w:t>DDO Template</w:t>
            </w:r>
            <w:r w:rsidR="00C1621C" w:rsidRPr="000665B0">
              <w:t xml:space="preserve"> window is displayed.</w:t>
            </w:r>
          </w:p>
          <w:p w14:paraId="45A9E2E8" w14:textId="77777777" w:rsidR="00C1621C" w:rsidRPr="000665B0" w:rsidRDefault="00C1621C" w:rsidP="006D5A65">
            <w:pPr>
              <w:pStyle w:val="Heading1"/>
            </w:pPr>
            <w:r w:rsidRPr="000665B0">
              <w:t>Verify/select the desired nodes for the DDO distribution.</w:t>
            </w:r>
          </w:p>
          <w:p w14:paraId="2172BCEB" w14:textId="77777777" w:rsidR="00C1621C" w:rsidRPr="000665B0" w:rsidRDefault="00C1621C" w:rsidP="006D5A65">
            <w:pPr>
              <w:pStyle w:val="Heading1"/>
            </w:pPr>
            <w:r w:rsidRPr="000665B0">
              <w:t xml:space="preserve">At the bottom of the window, select the </w:t>
            </w:r>
            <w:r w:rsidRPr="000665B0">
              <w:rPr>
                <w:i/>
              </w:rPr>
              <w:t xml:space="preserve">Strike Data </w:t>
            </w:r>
            <w:r w:rsidRPr="000665B0">
              <w:t>tab and select the Include All Strike Data checkbox.</w:t>
            </w:r>
          </w:p>
          <w:p w14:paraId="49C646A8" w14:textId="77777777" w:rsidR="00C1621C" w:rsidRPr="000665B0" w:rsidRDefault="00C1621C" w:rsidP="0056739E">
            <w:pPr>
              <w:pStyle w:val="ListParagraph"/>
              <w:spacing w:before="60" w:after="60"/>
              <w:rPr>
                <w:rFonts w:ascii="Times New Roman" w:hAnsi="Times New Roman"/>
                <w:bCs/>
                <w:sz w:val="20"/>
                <w:szCs w:val="20"/>
              </w:rPr>
            </w:pPr>
            <w:r w:rsidRPr="000665B0">
              <w:rPr>
                <w:rFonts w:ascii="Times New Roman" w:hAnsi="Times New Roman"/>
                <w:sz w:val="20"/>
                <w:szCs w:val="20"/>
              </w:rPr>
              <w:t xml:space="preserve">Select the </w:t>
            </w:r>
            <w:r w:rsidRPr="000665B0">
              <w:rPr>
                <w:rFonts w:ascii="Times New Roman" w:hAnsi="Times New Roman"/>
                <w:b/>
                <w:i/>
                <w:sz w:val="20"/>
                <w:szCs w:val="20"/>
              </w:rPr>
              <w:t>Platforms</w:t>
            </w:r>
            <w:r w:rsidRPr="000665B0">
              <w:rPr>
                <w:rFonts w:ascii="Times New Roman" w:hAnsi="Times New Roman"/>
                <w:sz w:val="20"/>
                <w:szCs w:val="20"/>
              </w:rPr>
              <w:t xml:space="preserve"> tab and select the </w:t>
            </w:r>
            <w:r w:rsidRPr="000665B0">
              <w:rPr>
                <w:rFonts w:ascii="Times New Roman" w:hAnsi="Times New Roman"/>
                <w:b/>
                <w:sz w:val="20"/>
                <w:szCs w:val="20"/>
              </w:rPr>
              <w:t>Platform Information</w:t>
            </w:r>
            <w:r w:rsidRPr="000665B0">
              <w:rPr>
                <w:rFonts w:ascii="Times New Roman" w:hAnsi="Times New Roman"/>
                <w:sz w:val="20"/>
                <w:szCs w:val="20"/>
              </w:rPr>
              <w:t xml:space="preserve"> and </w:t>
            </w:r>
            <w:r w:rsidRPr="000665B0">
              <w:rPr>
                <w:rFonts w:ascii="Times New Roman" w:hAnsi="Times New Roman"/>
                <w:b/>
                <w:sz w:val="20"/>
                <w:szCs w:val="20"/>
              </w:rPr>
              <w:t>Missile Inventory</w:t>
            </w:r>
            <w:r w:rsidRPr="000665B0">
              <w:rPr>
                <w:rFonts w:ascii="Times New Roman" w:hAnsi="Times New Roman"/>
                <w:sz w:val="20"/>
                <w:szCs w:val="20"/>
              </w:rPr>
              <w:t xml:space="preserve"> checkboxes.</w:t>
            </w:r>
          </w:p>
        </w:tc>
        <w:tc>
          <w:tcPr>
            <w:tcW w:w="6003" w:type="dxa"/>
          </w:tcPr>
          <w:p w14:paraId="1F35CE96" w14:textId="77777777" w:rsidR="00C1621C" w:rsidRDefault="00C1621C" w:rsidP="0056739E">
            <w:pPr>
              <w:spacing w:before="60" w:after="60" w:line="240" w:lineRule="auto"/>
              <w:rPr>
                <w:sz w:val="20"/>
              </w:rPr>
            </w:pPr>
            <w:r w:rsidRPr="000665B0">
              <w:rPr>
                <w:sz w:val="20"/>
              </w:rPr>
              <w:t>Distribute the Rehearsal Folder via DDO to the remote TSRT node only if TSRT is not on the same TED node as the MDS that is distributing the Rehearsal Folder, and to other participating MDS nodes (if any).</w:t>
            </w:r>
          </w:p>
          <w:p w14:paraId="56917937" w14:textId="2C23EE89" w:rsidR="00E14566" w:rsidRPr="000665B0" w:rsidRDefault="00E14566" w:rsidP="0056739E">
            <w:pPr>
              <w:spacing w:before="60" w:after="60" w:line="240" w:lineRule="auto"/>
              <w:rPr>
                <w:sz w:val="20"/>
              </w:rPr>
            </w:pPr>
          </w:p>
        </w:tc>
      </w:tr>
      <w:tr w:rsidR="00C1621C" w:rsidRPr="000665B0" w14:paraId="1D8B2AFC" w14:textId="77777777" w:rsidTr="00AC2F7D">
        <w:trPr>
          <w:cantSplit/>
        </w:trPr>
        <w:tc>
          <w:tcPr>
            <w:tcW w:w="616" w:type="dxa"/>
          </w:tcPr>
          <w:p w14:paraId="3AA6F09F" w14:textId="77777777" w:rsidR="00C1621C" w:rsidRPr="000665B0" w:rsidRDefault="00C1621C" w:rsidP="0056739E">
            <w:pPr>
              <w:spacing w:before="60" w:after="60" w:line="240" w:lineRule="auto"/>
              <w:jc w:val="center"/>
              <w:rPr>
                <w:sz w:val="20"/>
              </w:rPr>
            </w:pPr>
            <w:r w:rsidRPr="000665B0">
              <w:rPr>
                <w:sz w:val="20"/>
              </w:rPr>
              <w:t>5</w:t>
            </w:r>
          </w:p>
        </w:tc>
        <w:tc>
          <w:tcPr>
            <w:tcW w:w="7038" w:type="dxa"/>
          </w:tcPr>
          <w:p w14:paraId="3169E7B8" w14:textId="6AE4236A" w:rsidR="00C1621C" w:rsidRPr="000665B0" w:rsidRDefault="00C1621C" w:rsidP="0056739E">
            <w:pPr>
              <w:spacing w:before="60" w:after="60" w:line="240" w:lineRule="auto"/>
              <w:rPr>
                <w:bCs/>
                <w:sz w:val="20"/>
              </w:rPr>
            </w:pPr>
            <w:r w:rsidRPr="000665B0">
              <w:rPr>
                <w:bCs/>
                <w:sz w:val="20"/>
              </w:rPr>
              <w:t xml:space="preserve">Enable DDO Auto-Processing (see </w:t>
            </w:r>
            <w:hyperlink w:anchor="_5.23.4__Incoming_DDOs_Notifications" w:history="1">
              <w:r w:rsidRPr="000665B0">
                <w:rPr>
                  <w:rStyle w:val="Hyperlink"/>
                  <w:bCs/>
                  <w:sz w:val="20"/>
                </w:rPr>
                <w:t xml:space="preserve">Section </w:t>
              </w:r>
              <w:r w:rsidR="004231CC">
                <w:rPr>
                  <w:rStyle w:val="Hyperlink"/>
                  <w:bCs/>
                  <w:sz w:val="20"/>
                </w:rPr>
                <w:t>5.18</w:t>
              </w:r>
              <w:r w:rsidRPr="000665B0">
                <w:rPr>
                  <w:rStyle w:val="Hyperlink"/>
                  <w:bCs/>
                  <w:sz w:val="20"/>
                </w:rPr>
                <w:t>.4</w:t>
              </w:r>
            </w:hyperlink>
            <w:r w:rsidRPr="000665B0">
              <w:rPr>
                <w:bCs/>
                <w:sz w:val="20"/>
              </w:rPr>
              <w:t>)</w:t>
            </w:r>
          </w:p>
          <w:p w14:paraId="46EB3D28" w14:textId="00B28426" w:rsidR="00C1621C" w:rsidRPr="000665B0" w:rsidRDefault="00C1621C" w:rsidP="0056739E">
            <w:pPr>
              <w:spacing w:before="60" w:after="60" w:line="240" w:lineRule="auto"/>
              <w:rPr>
                <w:bCs/>
                <w:sz w:val="20"/>
              </w:rPr>
            </w:pPr>
            <w:r w:rsidRPr="000665B0">
              <w:rPr>
                <w:sz w:val="20"/>
              </w:rPr>
              <w:t>It’s highly recommended that Automatic DDO Processing is enabled for strike-related messages (</w:t>
            </w:r>
            <w:r w:rsidR="003509EA" w:rsidRPr="000665B0">
              <w:rPr>
                <w:sz w:val="20"/>
              </w:rPr>
              <w:t xml:space="preserve">e.g., </w:t>
            </w:r>
            <w:r w:rsidRPr="000665B0">
              <w:rPr>
                <w:sz w:val="20"/>
              </w:rPr>
              <w:t xml:space="preserve">Overwater Waypoint, Launch Event Report, Missile Status, Strike Package Exception, etc.). Typically, these messages are enabled for Auto Processing by default. Otherwise, all strike messages must be manually </w:t>
            </w:r>
            <w:r w:rsidR="00986E97" w:rsidRPr="000665B0">
              <w:rPr>
                <w:sz w:val="20"/>
              </w:rPr>
              <w:t>processed,</w:t>
            </w:r>
            <w:r w:rsidRPr="000665B0">
              <w:rPr>
                <w:sz w:val="20"/>
              </w:rPr>
              <w:t xml:space="preserve"> which is essentially impossible to monitor and increases the risk of not seeing important strike-related messages.</w:t>
            </w:r>
          </w:p>
        </w:tc>
        <w:tc>
          <w:tcPr>
            <w:tcW w:w="6003" w:type="dxa"/>
          </w:tcPr>
          <w:p w14:paraId="49961407" w14:textId="77777777" w:rsidR="00C1621C" w:rsidRPr="000665B0" w:rsidRDefault="00C1621C" w:rsidP="0056739E">
            <w:pPr>
              <w:spacing w:before="60" w:after="60" w:line="240" w:lineRule="auto"/>
              <w:rPr>
                <w:sz w:val="20"/>
              </w:rPr>
            </w:pPr>
            <w:r w:rsidRPr="000665B0">
              <w:rPr>
                <w:sz w:val="20"/>
              </w:rPr>
              <w:t> </w:t>
            </w:r>
          </w:p>
        </w:tc>
      </w:tr>
      <w:tr w:rsidR="00C1621C" w:rsidRPr="000665B0" w14:paraId="19B61D42" w14:textId="77777777" w:rsidTr="00AC2F7D">
        <w:trPr>
          <w:cantSplit/>
        </w:trPr>
        <w:tc>
          <w:tcPr>
            <w:tcW w:w="616" w:type="dxa"/>
          </w:tcPr>
          <w:p w14:paraId="7EFCC23C" w14:textId="77777777" w:rsidR="00C1621C" w:rsidRPr="000665B0" w:rsidRDefault="00C1621C" w:rsidP="0056739E">
            <w:pPr>
              <w:spacing w:before="60" w:after="60" w:line="240" w:lineRule="auto"/>
              <w:jc w:val="center"/>
              <w:rPr>
                <w:sz w:val="20"/>
              </w:rPr>
            </w:pPr>
            <w:r w:rsidRPr="000665B0">
              <w:rPr>
                <w:sz w:val="20"/>
              </w:rPr>
              <w:lastRenderedPageBreak/>
              <w:t>6</w:t>
            </w:r>
          </w:p>
        </w:tc>
        <w:tc>
          <w:tcPr>
            <w:tcW w:w="7038" w:type="dxa"/>
          </w:tcPr>
          <w:p w14:paraId="41B47CF2" w14:textId="77777777" w:rsidR="00C1621C" w:rsidRPr="000665B0" w:rsidRDefault="00C1621C" w:rsidP="0056739E">
            <w:pPr>
              <w:spacing w:before="60" w:after="60" w:line="240" w:lineRule="auto"/>
              <w:rPr>
                <w:bCs/>
                <w:sz w:val="20"/>
              </w:rPr>
            </w:pPr>
            <w:r w:rsidRPr="000665B0">
              <w:rPr>
                <w:bCs/>
                <w:sz w:val="20"/>
              </w:rPr>
              <w:t>Process the DDO</w:t>
            </w:r>
          </w:p>
          <w:p w14:paraId="442A2136" w14:textId="77777777" w:rsidR="00C1621C" w:rsidRPr="000665B0" w:rsidRDefault="00C1621C" w:rsidP="006D5A65">
            <w:pPr>
              <w:pStyle w:val="Heading1"/>
            </w:pPr>
            <w:r w:rsidRPr="000665B0">
              <w:t xml:space="preserve">Select File </w:t>
            </w:r>
            <w:r w:rsidRPr="000665B0">
              <w:sym w:font="Wingdings" w:char="F0E0"/>
            </w:r>
            <w:r w:rsidRPr="000665B0">
              <w:t xml:space="preserve"> Send or click the Send </w:t>
            </w:r>
            <w:r w:rsidRPr="000665B0">
              <w:rPr>
                <w:noProof/>
              </w:rPr>
              <w:drawing>
                <wp:inline distT="0" distB="0" distL="0" distR="0" wp14:anchorId="34D3D873" wp14:editId="3E23762A">
                  <wp:extent cx="158750" cy="158750"/>
                  <wp:effectExtent l="0" t="0" r="0" b="0"/>
                  <wp:docPr id="459" name="Picture 459"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8750" cy="158750"/>
                          </a:xfrm>
                          <a:prstGeom prst="rect">
                            <a:avLst/>
                          </a:prstGeom>
                          <a:noFill/>
                          <a:ln>
                            <a:noFill/>
                          </a:ln>
                        </pic:spPr>
                      </pic:pic>
                    </a:graphicData>
                  </a:graphic>
                </wp:inline>
              </w:drawing>
            </w:r>
            <w:r w:rsidRPr="000665B0">
              <w:t xml:space="preserve"> icon.</w:t>
            </w:r>
          </w:p>
          <w:p w14:paraId="1F48F188" w14:textId="36370C25" w:rsidR="00C1621C" w:rsidRPr="000665B0" w:rsidRDefault="00C1621C" w:rsidP="006D5A65">
            <w:pPr>
              <w:pStyle w:val="Heading1"/>
              <w:rPr>
                <w:bCs/>
              </w:rPr>
            </w:pPr>
            <w:r w:rsidRPr="000665B0">
              <w:t xml:space="preserve">Verify that all of the data contained in the DDO was processed (see </w:t>
            </w:r>
            <w:hyperlink w:anchor="_5.22__INCOMING_DDO_TOOL" w:history="1">
              <w:r w:rsidR="00BA593F" w:rsidRPr="000665B0">
                <w:rPr>
                  <w:rStyle w:val="Hyperlink"/>
                  <w:rFonts w:ascii="Times New Roman" w:hAnsi="Times New Roman"/>
                  <w:sz w:val="20"/>
                </w:rPr>
                <w:t xml:space="preserve">Section </w:t>
              </w:r>
              <w:r w:rsidR="004231CC">
                <w:rPr>
                  <w:rStyle w:val="Hyperlink"/>
                  <w:rFonts w:ascii="Times New Roman" w:hAnsi="Times New Roman"/>
                  <w:sz w:val="20"/>
                </w:rPr>
                <w:t>5.18</w:t>
              </w:r>
            </w:hyperlink>
            <w:r w:rsidRPr="000665B0">
              <w:t>).</w:t>
            </w:r>
            <w:r w:rsidRPr="000665B0" w:rsidDel="00936674">
              <w:t xml:space="preserve"> </w:t>
            </w:r>
          </w:p>
        </w:tc>
        <w:tc>
          <w:tcPr>
            <w:tcW w:w="6003" w:type="dxa"/>
          </w:tcPr>
          <w:p w14:paraId="4C66AADF" w14:textId="77777777" w:rsidR="00C1621C" w:rsidRPr="000665B0" w:rsidRDefault="00C1621C" w:rsidP="0056739E">
            <w:pPr>
              <w:spacing w:before="60" w:after="60" w:line="240" w:lineRule="auto"/>
              <w:rPr>
                <w:sz w:val="20"/>
              </w:rPr>
            </w:pPr>
            <w:r w:rsidRPr="000665B0">
              <w:rPr>
                <w:sz w:val="20"/>
              </w:rPr>
              <w:t> </w:t>
            </w:r>
          </w:p>
        </w:tc>
      </w:tr>
      <w:tr w:rsidR="00C1621C" w:rsidRPr="000665B0" w14:paraId="1CA941B8" w14:textId="77777777" w:rsidTr="00AC2F7D">
        <w:trPr>
          <w:cantSplit/>
        </w:trPr>
        <w:tc>
          <w:tcPr>
            <w:tcW w:w="616" w:type="dxa"/>
          </w:tcPr>
          <w:p w14:paraId="7A8D2432" w14:textId="77777777" w:rsidR="00C1621C" w:rsidRPr="000665B0" w:rsidRDefault="00C1621C" w:rsidP="0056739E">
            <w:pPr>
              <w:spacing w:before="60" w:after="60" w:line="240" w:lineRule="auto"/>
              <w:jc w:val="center"/>
              <w:rPr>
                <w:sz w:val="20"/>
              </w:rPr>
            </w:pPr>
            <w:r w:rsidRPr="000665B0">
              <w:rPr>
                <w:sz w:val="20"/>
              </w:rPr>
              <w:t>7</w:t>
            </w:r>
          </w:p>
        </w:tc>
        <w:tc>
          <w:tcPr>
            <w:tcW w:w="7038" w:type="dxa"/>
          </w:tcPr>
          <w:p w14:paraId="13B28D59" w14:textId="77777777" w:rsidR="00C1621C" w:rsidRPr="000665B0" w:rsidRDefault="00C1621C" w:rsidP="0056739E">
            <w:pPr>
              <w:spacing w:before="60" w:after="60" w:line="240" w:lineRule="auto"/>
              <w:rPr>
                <w:bCs/>
                <w:sz w:val="20"/>
              </w:rPr>
            </w:pPr>
            <w:r w:rsidRPr="000665B0">
              <w:rPr>
                <w:bCs/>
                <w:sz w:val="20"/>
              </w:rPr>
              <w:t>Rehearse the Strike</w:t>
            </w:r>
          </w:p>
          <w:p w14:paraId="43E55A7C" w14:textId="782329E3" w:rsidR="00C1621C" w:rsidRPr="000665B0" w:rsidRDefault="00C1621C" w:rsidP="006D5A65">
            <w:pPr>
              <w:pStyle w:val="Heading1"/>
            </w:pPr>
            <w:r w:rsidRPr="000665B0">
              <w:t xml:space="preserve">On the MDS </w:t>
            </w:r>
            <w:r w:rsidR="003016A9">
              <w:t>TSC</w:t>
            </w:r>
            <w:r w:rsidRPr="000665B0">
              <w:t xml:space="preserve"> node, </w:t>
            </w:r>
            <w:r w:rsidR="00D71804" w:rsidRPr="000665B0">
              <w:t>right-click</w:t>
            </w:r>
            <w:r w:rsidRPr="000665B0">
              <w:t xml:space="preserve"> on the Strike Execution Rehearsal Folder and select Rehearse </w:t>
            </w:r>
            <w:r w:rsidRPr="000665B0">
              <w:sym w:font="Wingdings 3" w:char="F07D"/>
            </w:r>
            <w:r w:rsidRPr="000665B0">
              <w:t xml:space="preserve"> With SMD.</w:t>
            </w:r>
          </w:p>
          <w:p w14:paraId="50CD2801" w14:textId="247BDFC1" w:rsidR="00C1621C" w:rsidRPr="000665B0" w:rsidRDefault="00C1621C" w:rsidP="006D5A65">
            <w:pPr>
              <w:pStyle w:val="Heading1"/>
            </w:pPr>
            <w:r w:rsidRPr="000665B0">
              <w:t>A Pre-Strike Analysis automatically run</w:t>
            </w:r>
            <w:r w:rsidR="000003BC" w:rsidRPr="000665B0">
              <w:t>s</w:t>
            </w:r>
            <w:r w:rsidRPr="000665B0">
              <w:t xml:space="preserve">. If the </w:t>
            </w:r>
            <w:r w:rsidRPr="000665B0">
              <w:rPr>
                <w:i/>
              </w:rPr>
              <w:t>Pre-Strike Analysis</w:t>
            </w:r>
            <w:r w:rsidRPr="000665B0">
              <w:t xml:space="preserve"> window is displayed with warnings, correct the issues within the Strike Package before proceeding. If the Strike Execution Folder passes the Pre-Strike Analysis, then the SMD will continue to load and the SMD and TSRT screens are displayed.</w:t>
            </w:r>
          </w:p>
        </w:tc>
        <w:tc>
          <w:tcPr>
            <w:tcW w:w="6003" w:type="dxa"/>
          </w:tcPr>
          <w:p w14:paraId="698489D9" w14:textId="77777777" w:rsidR="00C1621C" w:rsidRPr="000665B0" w:rsidRDefault="00C1621C" w:rsidP="0056739E">
            <w:pPr>
              <w:spacing w:before="60" w:after="60" w:line="240" w:lineRule="auto"/>
              <w:rPr>
                <w:sz w:val="20"/>
              </w:rPr>
            </w:pPr>
            <w:r w:rsidRPr="000665B0">
              <w:rPr>
                <w:sz w:val="20"/>
              </w:rPr>
              <w:t> </w:t>
            </w:r>
          </w:p>
        </w:tc>
      </w:tr>
      <w:tr w:rsidR="00C1621C" w:rsidRPr="000665B0" w14:paraId="3776ABDF" w14:textId="77777777" w:rsidTr="00AC2F7D">
        <w:trPr>
          <w:cantSplit/>
        </w:trPr>
        <w:tc>
          <w:tcPr>
            <w:tcW w:w="616" w:type="dxa"/>
          </w:tcPr>
          <w:p w14:paraId="244AFB4C" w14:textId="77777777" w:rsidR="00C1621C" w:rsidRPr="000665B0" w:rsidRDefault="00C1621C" w:rsidP="0056739E">
            <w:pPr>
              <w:spacing w:before="60" w:after="60" w:line="240" w:lineRule="auto"/>
              <w:jc w:val="center"/>
              <w:rPr>
                <w:sz w:val="20"/>
              </w:rPr>
            </w:pPr>
            <w:r w:rsidRPr="000665B0">
              <w:rPr>
                <w:sz w:val="20"/>
              </w:rPr>
              <w:t>8</w:t>
            </w:r>
          </w:p>
        </w:tc>
        <w:tc>
          <w:tcPr>
            <w:tcW w:w="7038" w:type="dxa"/>
          </w:tcPr>
          <w:p w14:paraId="6B976913" w14:textId="51B0FD2B" w:rsidR="00C1621C" w:rsidRPr="000665B0" w:rsidRDefault="00C1621C" w:rsidP="0056739E">
            <w:pPr>
              <w:spacing w:before="60" w:after="60" w:line="240" w:lineRule="auto"/>
              <w:rPr>
                <w:bCs/>
                <w:sz w:val="20"/>
              </w:rPr>
            </w:pPr>
            <w:r w:rsidRPr="000665B0">
              <w:rPr>
                <w:bCs/>
                <w:sz w:val="20"/>
              </w:rPr>
              <w:t>TSRT</w:t>
            </w:r>
            <w:r w:rsidR="00E812CC" w:rsidRPr="000665B0">
              <w:rPr>
                <w:bCs/>
                <w:sz w:val="20"/>
              </w:rPr>
              <w:t xml:space="preserve"> Scenario Director</w:t>
            </w:r>
            <w:r w:rsidRPr="000665B0">
              <w:rPr>
                <w:bCs/>
                <w:sz w:val="20"/>
              </w:rPr>
              <w:t xml:space="preserve"> (see </w:t>
            </w:r>
            <w:hyperlink w:anchor="_TSRT__SCENARIO" w:history="1">
              <w:r w:rsidR="005559D0" w:rsidRPr="000665B0">
                <w:rPr>
                  <w:rStyle w:val="Hyperlink"/>
                  <w:bCs/>
                  <w:sz w:val="20"/>
                </w:rPr>
                <w:t xml:space="preserve">Section </w:t>
              </w:r>
              <w:r w:rsidR="004231CC">
                <w:rPr>
                  <w:rStyle w:val="Hyperlink"/>
                  <w:bCs/>
                  <w:sz w:val="20"/>
                </w:rPr>
                <w:t>5.37</w:t>
              </w:r>
            </w:hyperlink>
            <w:r w:rsidRPr="000665B0">
              <w:rPr>
                <w:bCs/>
                <w:sz w:val="20"/>
              </w:rPr>
              <w:t>)</w:t>
            </w:r>
            <w:r w:rsidR="00E812CC" w:rsidRPr="000665B0">
              <w:rPr>
                <w:bCs/>
                <w:sz w:val="20"/>
              </w:rPr>
              <w:t xml:space="preserve"> automatically launches (but the rehearsal has not yet started)</w:t>
            </w:r>
          </w:p>
          <w:p w14:paraId="2AA6EF45" w14:textId="7F74C916" w:rsidR="00C1621C" w:rsidRPr="000665B0" w:rsidRDefault="00C175F8" w:rsidP="006D5A65">
            <w:pPr>
              <w:pStyle w:val="Heading1"/>
              <w:rPr>
                <w:bCs/>
              </w:rPr>
            </w:pPr>
            <w:r w:rsidRPr="000665B0">
              <w:t xml:space="preserve">Click </w:t>
            </w:r>
            <w:r w:rsidR="00C1621C" w:rsidRPr="000665B0">
              <w:t xml:space="preserve">the </w:t>
            </w:r>
            <w:r w:rsidR="00A3224D" w:rsidRPr="000665B0">
              <w:t xml:space="preserve">Run </w:t>
            </w:r>
            <w:r w:rsidR="00026307" w:rsidRPr="000665B0">
              <w:rPr>
                <w:noProof/>
                <w:position w:val="-2"/>
              </w:rPr>
              <w:drawing>
                <wp:inline distT="0" distB="0" distL="0" distR="0" wp14:anchorId="2562AACE" wp14:editId="326AAEC1">
                  <wp:extent cx="118872" cy="146304"/>
                  <wp:effectExtent l="0" t="0" r="0" b="6350"/>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118872" cy="146304"/>
                          </a:xfrm>
                          <a:prstGeom prst="rect">
                            <a:avLst/>
                          </a:prstGeom>
                        </pic:spPr>
                      </pic:pic>
                    </a:graphicData>
                  </a:graphic>
                </wp:inline>
              </w:drawing>
            </w:r>
            <w:r w:rsidR="00C1621C" w:rsidRPr="000665B0">
              <w:t xml:space="preserve"> button on TSRT’s </w:t>
            </w:r>
            <w:r w:rsidR="00026307" w:rsidRPr="000665B0">
              <w:t xml:space="preserve">Time </w:t>
            </w:r>
            <w:r w:rsidR="00C1621C" w:rsidRPr="000665B0">
              <w:t>Control</w:t>
            </w:r>
            <w:r w:rsidR="00026307" w:rsidRPr="000665B0">
              <w:t>s</w:t>
            </w:r>
            <w:r w:rsidR="00C1621C" w:rsidRPr="000665B0">
              <w:t>.</w:t>
            </w:r>
          </w:p>
          <w:p w14:paraId="6135FD29" w14:textId="77777777" w:rsidR="00C1621C" w:rsidRPr="000665B0" w:rsidRDefault="00C1621C" w:rsidP="006D5A65">
            <w:pPr>
              <w:pStyle w:val="Heading1"/>
              <w:rPr>
                <w:bCs/>
              </w:rPr>
            </w:pPr>
            <w:r w:rsidRPr="000665B0">
              <w:t>The simulated clock starts and progresses from left to right. Verify that the time progresses in both the SMD and TSRT.</w:t>
            </w:r>
          </w:p>
        </w:tc>
        <w:tc>
          <w:tcPr>
            <w:tcW w:w="6003" w:type="dxa"/>
          </w:tcPr>
          <w:p w14:paraId="6F3DF897" w14:textId="77777777" w:rsidR="00C1621C" w:rsidRPr="000665B0" w:rsidRDefault="00C1621C" w:rsidP="0056739E">
            <w:pPr>
              <w:spacing w:before="60" w:after="60" w:line="240" w:lineRule="auto"/>
              <w:rPr>
                <w:sz w:val="20"/>
              </w:rPr>
            </w:pPr>
            <w:r w:rsidRPr="000665B0">
              <w:rPr>
                <w:sz w:val="20"/>
              </w:rPr>
              <w:t> </w:t>
            </w:r>
          </w:p>
        </w:tc>
      </w:tr>
      <w:tr w:rsidR="00026307" w:rsidRPr="000665B0" w14:paraId="193E563F" w14:textId="77777777" w:rsidTr="00AC2F7D">
        <w:trPr>
          <w:cantSplit/>
        </w:trPr>
        <w:tc>
          <w:tcPr>
            <w:tcW w:w="616" w:type="dxa"/>
          </w:tcPr>
          <w:p w14:paraId="62DF3E4E" w14:textId="2631A1AD" w:rsidR="00026307" w:rsidRPr="000665B0" w:rsidRDefault="00BB6F00" w:rsidP="0056739E">
            <w:pPr>
              <w:spacing w:before="60" w:after="60" w:line="240" w:lineRule="auto"/>
              <w:jc w:val="center"/>
              <w:rPr>
                <w:sz w:val="20"/>
              </w:rPr>
            </w:pPr>
            <w:r w:rsidRPr="000665B0">
              <w:rPr>
                <w:sz w:val="20"/>
              </w:rPr>
              <w:lastRenderedPageBreak/>
              <w:t>9</w:t>
            </w:r>
          </w:p>
        </w:tc>
        <w:tc>
          <w:tcPr>
            <w:tcW w:w="7038" w:type="dxa"/>
          </w:tcPr>
          <w:p w14:paraId="22D750C7" w14:textId="49172C0C" w:rsidR="00026307" w:rsidRPr="000665B0" w:rsidRDefault="00026307" w:rsidP="0056739E">
            <w:pPr>
              <w:spacing w:before="60" w:after="60" w:line="240" w:lineRule="auto"/>
              <w:rPr>
                <w:bCs/>
                <w:sz w:val="20"/>
              </w:rPr>
            </w:pPr>
            <w:r w:rsidRPr="000665B0">
              <w:rPr>
                <w:bCs/>
                <w:sz w:val="20"/>
              </w:rPr>
              <w:t>Send ACA Filter Message</w:t>
            </w:r>
            <w:r w:rsidR="00BB6F00" w:rsidRPr="000665B0">
              <w:rPr>
                <w:bCs/>
                <w:sz w:val="20"/>
              </w:rPr>
              <w:t xml:space="preserve"> and Receive Response from NSP</w:t>
            </w:r>
          </w:p>
          <w:p w14:paraId="28AF282C" w14:textId="3D6C9C2F" w:rsidR="00BB6F00" w:rsidRPr="000665B0" w:rsidRDefault="00BB6F00" w:rsidP="006D5A65">
            <w:pPr>
              <w:pStyle w:val="Heading1"/>
              <w:rPr>
                <w:bCs/>
              </w:rPr>
            </w:pPr>
            <w:r w:rsidRPr="000665B0">
              <w:t>Select the Strike Package, invoke the context menu (</w:t>
            </w:r>
            <w:r w:rsidR="00D71804" w:rsidRPr="000665B0">
              <w:t>right-click</w:t>
            </w:r>
            <w:r w:rsidRPr="000665B0">
              <w:t xml:space="preserve"> the mouse), and select Send </w:t>
            </w:r>
            <w:r w:rsidRPr="000665B0">
              <w:sym w:font="Wingdings 3" w:char="F07D"/>
            </w:r>
            <w:r w:rsidRPr="000665B0">
              <w:t xml:space="preserve"> ACA Filter Message </w:t>
            </w:r>
            <w:r w:rsidRPr="000665B0">
              <w:sym w:font="Wingdings 3" w:char="F07D"/>
            </w:r>
            <w:r w:rsidRPr="000665B0">
              <w:t xml:space="preserve"> Execute.</w:t>
            </w:r>
          </w:p>
          <w:p w14:paraId="1901A07A" w14:textId="77777777" w:rsidR="00BB6F00" w:rsidRPr="000665B0" w:rsidRDefault="00BB6F00" w:rsidP="0056739E">
            <w:pPr>
              <w:spacing w:before="60" w:after="60" w:line="240" w:lineRule="auto"/>
              <w:ind w:left="701"/>
              <w:rPr>
                <w:bCs/>
                <w:sz w:val="20"/>
              </w:rPr>
            </w:pPr>
            <w:r w:rsidRPr="000665B0">
              <w:rPr>
                <w:noProof/>
                <w:sz w:val="20"/>
              </w:rPr>
              <w:drawing>
                <wp:inline distT="0" distB="0" distL="0" distR="0" wp14:anchorId="6E4A62BC" wp14:editId="7531F441">
                  <wp:extent cx="2716667" cy="1225435"/>
                  <wp:effectExtent l="0" t="0" r="7620" b="0"/>
                  <wp:docPr id="1996" name="Picture 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2747200" cy="1239208"/>
                          </a:xfrm>
                          <a:prstGeom prst="rect">
                            <a:avLst/>
                          </a:prstGeom>
                        </pic:spPr>
                      </pic:pic>
                    </a:graphicData>
                  </a:graphic>
                </wp:inline>
              </w:drawing>
            </w:r>
          </w:p>
          <w:p w14:paraId="51621907" w14:textId="4E62CE1E" w:rsidR="00696EB3" w:rsidRPr="000665B0" w:rsidRDefault="00BB6F00" w:rsidP="006D5A65">
            <w:pPr>
              <w:pStyle w:val="Heading1"/>
            </w:pPr>
            <w:r w:rsidRPr="000665B0">
              <w:t xml:space="preserve">The </w:t>
            </w:r>
            <w:r w:rsidRPr="000665B0">
              <w:rPr>
                <w:i/>
                <w:iCs/>
              </w:rPr>
              <w:t xml:space="preserve">ACA Log </w:t>
            </w:r>
            <w:r w:rsidRPr="000665B0">
              <w:t xml:space="preserve">tab is used to display the ACA </w:t>
            </w:r>
            <w:r w:rsidR="00B64719" w:rsidRPr="000665B0">
              <w:t>Filter</w:t>
            </w:r>
            <w:r w:rsidRPr="000665B0">
              <w:t xml:space="preserve"> Messages associated with the Strike Option</w:t>
            </w:r>
            <w:r w:rsidR="004C43B1" w:rsidRPr="000665B0">
              <w:t>. The ACA resp</w:t>
            </w:r>
            <w:r w:rsidR="00C175F8" w:rsidRPr="000665B0">
              <w:t>ons</w:t>
            </w:r>
            <w:r w:rsidR="004C43B1" w:rsidRPr="000665B0">
              <w:t>e message can be edited.</w:t>
            </w:r>
          </w:p>
          <w:p w14:paraId="1E88A888" w14:textId="6DCC9096" w:rsidR="00D672DE" w:rsidRPr="000665B0" w:rsidRDefault="00BB6F00" w:rsidP="0056739E">
            <w:pPr>
              <w:spacing w:before="60" w:after="60" w:line="240" w:lineRule="auto"/>
              <w:ind w:left="701"/>
              <w:rPr>
                <w:bCs/>
                <w:sz w:val="20"/>
              </w:rPr>
            </w:pPr>
            <w:r w:rsidRPr="000665B0">
              <w:rPr>
                <w:noProof/>
                <w:sz w:val="20"/>
              </w:rPr>
              <w:drawing>
                <wp:inline distT="0" distB="0" distL="0" distR="0" wp14:anchorId="145BAC5B" wp14:editId="20C4009D">
                  <wp:extent cx="3875012" cy="699655"/>
                  <wp:effectExtent l="0" t="0" r="0" b="5715"/>
                  <wp:docPr id="2077" name="Picture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cstate="screen">
                            <a:extLst>
                              <a:ext uri="{28A0092B-C50C-407E-A947-70E740481C1C}">
                                <a14:useLocalDpi xmlns:a14="http://schemas.microsoft.com/office/drawing/2010/main"/>
                              </a:ext>
                            </a:extLst>
                          </a:blip>
                          <a:stretch>
                            <a:fillRect/>
                          </a:stretch>
                        </pic:blipFill>
                        <pic:spPr>
                          <a:xfrm>
                            <a:off x="0" y="0"/>
                            <a:ext cx="3879590" cy="700482"/>
                          </a:xfrm>
                          <a:prstGeom prst="rect">
                            <a:avLst/>
                          </a:prstGeom>
                        </pic:spPr>
                      </pic:pic>
                    </a:graphicData>
                  </a:graphic>
                </wp:inline>
              </w:drawing>
            </w:r>
          </w:p>
          <w:p w14:paraId="29661FE9" w14:textId="5FBE1A15" w:rsidR="00BB6F00" w:rsidRPr="000665B0" w:rsidRDefault="00BB6F00" w:rsidP="006D5A65">
            <w:pPr>
              <w:pStyle w:val="Heading1"/>
            </w:pPr>
            <w:r w:rsidRPr="000665B0">
              <w:t xml:space="preserve">Once </w:t>
            </w:r>
            <w:r w:rsidR="00696EB3" w:rsidRPr="000665B0">
              <w:t>a WILCO NSP response has been received</w:t>
            </w:r>
            <w:r w:rsidR="004C43B1" w:rsidRPr="000665B0">
              <w:t xml:space="preserve"> in the SMD</w:t>
            </w:r>
            <w:r w:rsidR="00696EB3" w:rsidRPr="000665B0">
              <w:t xml:space="preserve"> for the referenced Filter Message, proceed with the next step.</w:t>
            </w:r>
          </w:p>
        </w:tc>
        <w:tc>
          <w:tcPr>
            <w:tcW w:w="6003" w:type="dxa"/>
          </w:tcPr>
          <w:p w14:paraId="126B5DA6" w14:textId="780AEE4F" w:rsidR="00026307" w:rsidRPr="000665B0" w:rsidRDefault="00696EB3" w:rsidP="0056739E">
            <w:pPr>
              <w:spacing w:before="60" w:after="60" w:line="240" w:lineRule="auto"/>
              <w:rPr>
                <w:sz w:val="20"/>
              </w:rPr>
            </w:pPr>
            <w:r w:rsidRPr="000665B0">
              <w:rPr>
                <w:sz w:val="20"/>
              </w:rPr>
              <w:t>Since TSRT is simulating an NSP, s</w:t>
            </w:r>
            <w:r w:rsidR="00BB6F00" w:rsidRPr="000665B0">
              <w:rPr>
                <w:sz w:val="20"/>
              </w:rPr>
              <w:t xml:space="preserve">etting up TSRT to </w:t>
            </w:r>
            <w:r w:rsidR="00BB6F00" w:rsidRPr="000665B0">
              <w:rPr>
                <w:b/>
                <w:sz w:val="20"/>
              </w:rPr>
              <w:t>Commence rehearsal 72 hours before first estimated launch</w:t>
            </w:r>
            <w:r w:rsidR="00BB6F00" w:rsidRPr="000665B0">
              <w:rPr>
                <w:sz w:val="20"/>
              </w:rPr>
              <w:t xml:space="preserve"> gives the </w:t>
            </w:r>
            <w:r w:rsidR="00A40DAA">
              <w:rPr>
                <w:sz w:val="20"/>
              </w:rPr>
              <w:t>TSC</w:t>
            </w:r>
            <w:r w:rsidR="00A40DAA" w:rsidRPr="000665B0">
              <w:rPr>
                <w:sz w:val="20"/>
              </w:rPr>
              <w:t xml:space="preserve"> </w:t>
            </w:r>
            <w:r w:rsidR="00BB6F00" w:rsidRPr="000665B0">
              <w:rPr>
                <w:sz w:val="20"/>
              </w:rPr>
              <w:t>the time to send the ACA Filter Message and receive a response from the NSP.</w:t>
            </w:r>
            <w:r w:rsidRPr="000665B0">
              <w:rPr>
                <w:sz w:val="20"/>
              </w:rPr>
              <w:t xml:space="preserve"> After filter message and response interactions have occurred, the rehearsal can be sped up as desired.</w:t>
            </w:r>
          </w:p>
          <w:p w14:paraId="4DE304DC" w14:textId="66E91F21" w:rsidR="00E812CC" w:rsidRPr="000665B0" w:rsidRDefault="00E812CC" w:rsidP="0056739E">
            <w:pPr>
              <w:spacing w:before="60" w:after="60" w:line="240" w:lineRule="auto"/>
              <w:rPr>
                <w:sz w:val="20"/>
              </w:rPr>
            </w:pPr>
          </w:p>
        </w:tc>
      </w:tr>
      <w:tr w:rsidR="00C1621C" w:rsidRPr="000665B0" w14:paraId="4FB4726F" w14:textId="77777777" w:rsidTr="00AC2F7D">
        <w:trPr>
          <w:cantSplit/>
        </w:trPr>
        <w:tc>
          <w:tcPr>
            <w:tcW w:w="616" w:type="dxa"/>
          </w:tcPr>
          <w:p w14:paraId="5EAC5CF5" w14:textId="679F7525" w:rsidR="00C1621C" w:rsidRPr="000665B0" w:rsidRDefault="00BB6F00" w:rsidP="0056739E">
            <w:pPr>
              <w:spacing w:before="60" w:after="60" w:line="240" w:lineRule="auto"/>
              <w:jc w:val="center"/>
              <w:rPr>
                <w:sz w:val="20"/>
              </w:rPr>
            </w:pPr>
            <w:r w:rsidRPr="000665B0">
              <w:rPr>
                <w:sz w:val="20"/>
              </w:rPr>
              <w:t>10</w:t>
            </w:r>
          </w:p>
        </w:tc>
        <w:tc>
          <w:tcPr>
            <w:tcW w:w="7038" w:type="dxa"/>
          </w:tcPr>
          <w:p w14:paraId="1576FFC5" w14:textId="6B5E0599" w:rsidR="00C1621C" w:rsidRPr="000665B0" w:rsidRDefault="00C1621C" w:rsidP="0056739E">
            <w:pPr>
              <w:spacing w:before="60" w:after="60" w:line="240" w:lineRule="auto"/>
              <w:rPr>
                <w:bCs/>
                <w:sz w:val="20"/>
              </w:rPr>
            </w:pPr>
            <w:r w:rsidRPr="000665B0">
              <w:rPr>
                <w:bCs/>
                <w:sz w:val="20"/>
              </w:rPr>
              <w:t xml:space="preserve">Speed Up </w:t>
            </w:r>
            <w:r w:rsidR="00974F53" w:rsidRPr="000665B0">
              <w:rPr>
                <w:bCs/>
                <w:sz w:val="20"/>
              </w:rPr>
              <w:t xml:space="preserve">the Clock </w:t>
            </w:r>
          </w:p>
          <w:p w14:paraId="1033AAD2" w14:textId="610518E6" w:rsidR="00BB6F00" w:rsidRPr="000665B0" w:rsidRDefault="00C1621C" w:rsidP="006D5A65">
            <w:pPr>
              <w:pStyle w:val="Heading1"/>
            </w:pPr>
            <w:r w:rsidRPr="000665B0">
              <w:t xml:space="preserve">Once ready to </w:t>
            </w:r>
            <w:r w:rsidR="00696EB3" w:rsidRPr="000665B0">
              <w:t>r</w:t>
            </w:r>
            <w:r w:rsidR="00CE0C7A" w:rsidRPr="000665B0">
              <w:t>e</w:t>
            </w:r>
            <w:r w:rsidR="00696EB3" w:rsidRPr="000665B0">
              <w:t xml:space="preserve">sume </w:t>
            </w:r>
            <w:r w:rsidRPr="000665B0">
              <w:t xml:space="preserve">the rehearsal, speed up the simulated clock to approximately </w:t>
            </w:r>
            <w:r w:rsidR="00E812CC" w:rsidRPr="000665B0">
              <w:t>one hour</w:t>
            </w:r>
            <w:r w:rsidRPr="000665B0">
              <w:t xml:space="preserve"> prior to launch, then slow the simulated clock down to real time (see </w:t>
            </w:r>
            <w:hyperlink w:anchor="_TSRT_Time_Controls" w:history="1">
              <w:r w:rsidRPr="000665B0">
                <w:rPr>
                  <w:rStyle w:val="Hyperlink"/>
                  <w:rFonts w:ascii="Times New Roman" w:hAnsi="Times New Roman"/>
                  <w:sz w:val="20"/>
                </w:rPr>
                <w:t xml:space="preserve">Section </w:t>
              </w:r>
              <w:r w:rsidR="004231CC">
                <w:rPr>
                  <w:rStyle w:val="Hyperlink"/>
                  <w:rFonts w:ascii="Times New Roman" w:hAnsi="Times New Roman"/>
                  <w:sz w:val="20"/>
                </w:rPr>
                <w:t>5.37</w:t>
              </w:r>
              <w:r w:rsidRPr="000665B0">
                <w:rPr>
                  <w:rStyle w:val="Hyperlink"/>
                  <w:rFonts w:ascii="Times New Roman" w:hAnsi="Times New Roman"/>
                  <w:sz w:val="20"/>
                </w:rPr>
                <w:t>.2</w:t>
              </w:r>
            </w:hyperlink>
            <w:r w:rsidRPr="000665B0">
              <w:t>)</w:t>
            </w:r>
            <w:r w:rsidR="00E812CC" w:rsidRPr="000665B0">
              <w:t xml:space="preserve"> (see Note)</w:t>
            </w:r>
            <w:r w:rsidRPr="000665B0">
              <w:t>.</w:t>
            </w:r>
          </w:p>
          <w:p w14:paraId="32CEAC34" w14:textId="77777777" w:rsidR="00C1621C" w:rsidRPr="000665B0" w:rsidRDefault="00C1621C" w:rsidP="006D5A65">
            <w:pPr>
              <w:pStyle w:val="Heading1"/>
              <w:rPr>
                <w:bCs/>
              </w:rPr>
            </w:pPr>
            <w:r w:rsidRPr="000665B0">
              <w:t>TSRT should send a SPEO for each simulated FRU. Additionally, the MDS should be receiving OWRs for each primary or backup missile assigned to a FRU with TTWCS V5 approximately 15 minutes prior to launch.</w:t>
            </w:r>
          </w:p>
        </w:tc>
        <w:tc>
          <w:tcPr>
            <w:tcW w:w="6003" w:type="dxa"/>
          </w:tcPr>
          <w:p w14:paraId="535900C0" w14:textId="56654ED9" w:rsidR="00C1621C" w:rsidRPr="000665B0" w:rsidRDefault="00EB5047" w:rsidP="0056739E">
            <w:pPr>
              <w:spacing w:before="60" w:after="60" w:line="240" w:lineRule="auto"/>
              <w:rPr>
                <w:sz w:val="20"/>
              </w:rPr>
            </w:pPr>
            <w:r w:rsidRPr="000665B0">
              <w:rPr>
                <w:sz w:val="20"/>
              </w:rPr>
              <w:t xml:space="preserve">Resuming </w:t>
            </w:r>
            <w:r w:rsidR="00C1621C" w:rsidRPr="000665B0">
              <w:rPr>
                <w:sz w:val="20"/>
              </w:rPr>
              <w:t xml:space="preserve">TSRT </w:t>
            </w:r>
            <w:r w:rsidR="00E812CC" w:rsidRPr="000665B0">
              <w:rPr>
                <w:sz w:val="20"/>
              </w:rPr>
              <w:t>one hour</w:t>
            </w:r>
            <w:r w:rsidR="00C1621C" w:rsidRPr="000665B0">
              <w:rPr>
                <w:sz w:val="20"/>
              </w:rPr>
              <w:t xml:space="preserve"> before the launch time gives the </w:t>
            </w:r>
            <w:r w:rsidR="00A40DAA">
              <w:rPr>
                <w:sz w:val="20"/>
              </w:rPr>
              <w:t>TSC</w:t>
            </w:r>
            <w:r w:rsidR="00A40DAA" w:rsidRPr="000665B0">
              <w:rPr>
                <w:sz w:val="20"/>
              </w:rPr>
              <w:t xml:space="preserve"> </w:t>
            </w:r>
            <w:r w:rsidR="00C1621C" w:rsidRPr="000665B0">
              <w:rPr>
                <w:sz w:val="20"/>
              </w:rPr>
              <w:t xml:space="preserve">the time to coordinate, </w:t>
            </w:r>
            <w:r w:rsidR="00C1621C" w:rsidRPr="000665B0">
              <w:rPr>
                <w:bCs/>
                <w:sz w:val="20"/>
              </w:rPr>
              <w:t>correct any issues within the Strike Package</w:t>
            </w:r>
            <w:r w:rsidR="00C1621C" w:rsidRPr="000665B0">
              <w:rPr>
                <w:sz w:val="20"/>
              </w:rPr>
              <w:t xml:space="preserve"> if necessary, and respond to SPEOs.</w:t>
            </w:r>
          </w:p>
          <w:p w14:paraId="3DB123BA" w14:textId="122D6429" w:rsidR="00117A42" w:rsidRPr="000665B0" w:rsidRDefault="00117A42" w:rsidP="0056739E">
            <w:pPr>
              <w:spacing w:before="60" w:after="60" w:line="240" w:lineRule="auto"/>
              <w:rPr>
                <w:sz w:val="20"/>
              </w:rPr>
            </w:pPr>
          </w:p>
        </w:tc>
      </w:tr>
      <w:tr w:rsidR="00C1621C" w:rsidRPr="000665B0" w14:paraId="5D1C30AF" w14:textId="77777777" w:rsidTr="00AC2F7D">
        <w:trPr>
          <w:cantSplit/>
        </w:trPr>
        <w:tc>
          <w:tcPr>
            <w:tcW w:w="616" w:type="dxa"/>
          </w:tcPr>
          <w:p w14:paraId="5896DA53" w14:textId="3D1C8F59" w:rsidR="00C1621C" w:rsidRPr="000665B0" w:rsidRDefault="00BB6F00" w:rsidP="0056739E">
            <w:pPr>
              <w:spacing w:before="60" w:after="60" w:line="240" w:lineRule="auto"/>
              <w:jc w:val="center"/>
              <w:rPr>
                <w:sz w:val="20"/>
              </w:rPr>
            </w:pPr>
            <w:r w:rsidRPr="000665B0">
              <w:rPr>
                <w:sz w:val="20"/>
              </w:rPr>
              <w:t>11</w:t>
            </w:r>
          </w:p>
        </w:tc>
        <w:tc>
          <w:tcPr>
            <w:tcW w:w="7038" w:type="dxa"/>
          </w:tcPr>
          <w:p w14:paraId="2E427F5D" w14:textId="5D63EA66" w:rsidR="00C1621C" w:rsidRPr="000665B0" w:rsidRDefault="00C1621C" w:rsidP="0056739E">
            <w:pPr>
              <w:spacing w:before="60" w:after="60" w:line="240" w:lineRule="auto"/>
              <w:rPr>
                <w:bCs/>
                <w:sz w:val="20"/>
              </w:rPr>
            </w:pPr>
            <w:r w:rsidRPr="000665B0">
              <w:rPr>
                <w:bCs/>
                <w:sz w:val="20"/>
              </w:rPr>
              <w:t>Ping Participants</w:t>
            </w:r>
            <w:r w:rsidR="00117A42" w:rsidRPr="000665B0">
              <w:rPr>
                <w:bCs/>
                <w:sz w:val="20"/>
              </w:rPr>
              <w:t xml:space="preserve"> (see Note)</w:t>
            </w:r>
          </w:p>
          <w:p w14:paraId="481CEB20" w14:textId="77777777" w:rsidR="00C1621C" w:rsidRPr="000665B0" w:rsidRDefault="00C1621C" w:rsidP="006D5A65">
            <w:pPr>
              <w:pStyle w:val="Heading1"/>
              <w:rPr>
                <w:bCs/>
              </w:rPr>
            </w:pPr>
            <w:r w:rsidRPr="000665B0">
              <w:t xml:space="preserve">From the SMD’s </w:t>
            </w:r>
            <w:r w:rsidRPr="000665B0">
              <w:rPr>
                <w:i/>
              </w:rPr>
              <w:t>TSN Ping</w:t>
            </w:r>
            <w:r w:rsidRPr="000665B0">
              <w:t xml:space="preserve"> tab, ping all of the strike participants (the TSRT and MDSs that are running the SMD).</w:t>
            </w:r>
          </w:p>
        </w:tc>
        <w:tc>
          <w:tcPr>
            <w:tcW w:w="6003" w:type="dxa"/>
          </w:tcPr>
          <w:p w14:paraId="18750A63" w14:textId="2985AE2D" w:rsidR="00C1621C" w:rsidRPr="000665B0" w:rsidRDefault="00117A42" w:rsidP="0056739E">
            <w:pPr>
              <w:spacing w:before="60" w:after="60" w:line="240" w:lineRule="auto"/>
              <w:rPr>
                <w:sz w:val="20"/>
              </w:rPr>
            </w:pPr>
            <w:r w:rsidRPr="000665B0">
              <w:rPr>
                <w:sz w:val="20"/>
              </w:rPr>
              <w:t>When an ACA capable strike participant initiates or receives a ping, the ping is sent over both DAMA and ACA networks.</w:t>
            </w:r>
          </w:p>
        </w:tc>
      </w:tr>
      <w:tr w:rsidR="00C1621C" w:rsidRPr="000665B0" w14:paraId="6FB31963" w14:textId="77777777" w:rsidTr="00AC2F7D">
        <w:trPr>
          <w:cantSplit/>
        </w:trPr>
        <w:tc>
          <w:tcPr>
            <w:tcW w:w="616" w:type="dxa"/>
          </w:tcPr>
          <w:p w14:paraId="1D8496AC" w14:textId="0BB4244C" w:rsidR="00C1621C" w:rsidRPr="000665B0" w:rsidRDefault="00BB6F00" w:rsidP="0056739E">
            <w:pPr>
              <w:spacing w:before="60" w:after="60" w:line="240" w:lineRule="auto"/>
              <w:jc w:val="center"/>
              <w:rPr>
                <w:sz w:val="20"/>
              </w:rPr>
            </w:pPr>
            <w:r w:rsidRPr="000665B0">
              <w:rPr>
                <w:sz w:val="20"/>
              </w:rPr>
              <w:lastRenderedPageBreak/>
              <w:t>12</w:t>
            </w:r>
          </w:p>
        </w:tc>
        <w:tc>
          <w:tcPr>
            <w:tcW w:w="7038" w:type="dxa"/>
          </w:tcPr>
          <w:p w14:paraId="029509F2" w14:textId="77777777" w:rsidR="00C1621C" w:rsidRPr="000665B0" w:rsidRDefault="00C1621C" w:rsidP="0056739E">
            <w:pPr>
              <w:spacing w:before="60" w:after="60" w:line="240" w:lineRule="auto"/>
              <w:rPr>
                <w:sz w:val="20"/>
              </w:rPr>
            </w:pPr>
            <w:r w:rsidRPr="000665B0">
              <w:rPr>
                <w:bCs/>
                <w:sz w:val="20"/>
              </w:rPr>
              <w:t>Check OWRs</w:t>
            </w:r>
          </w:p>
          <w:p w14:paraId="2AAB4B01" w14:textId="77777777" w:rsidR="00C1621C" w:rsidRPr="000665B0" w:rsidRDefault="00C1621C" w:rsidP="006D5A65">
            <w:pPr>
              <w:pStyle w:val="Heading1"/>
            </w:pPr>
            <w:r w:rsidRPr="000665B0">
              <w:t xml:space="preserve">Wait for some OWRs. Check TSRT’s FDU Log for when OWR are being sent. </w:t>
            </w:r>
          </w:p>
          <w:p w14:paraId="086920CA" w14:textId="078EC84E" w:rsidR="00C1621C" w:rsidRPr="000665B0" w:rsidRDefault="00C1621C" w:rsidP="006D5A65">
            <w:pPr>
              <w:pStyle w:val="Heading1"/>
              <w:rPr>
                <w:bCs/>
              </w:rPr>
            </w:pPr>
            <w:r w:rsidRPr="000665B0">
              <w:t xml:space="preserve">Once the MDS </w:t>
            </w:r>
            <w:r w:rsidR="00A40DAA">
              <w:t>TSC</w:t>
            </w:r>
            <w:r w:rsidRPr="000665B0">
              <w:t xml:space="preserve"> node has received and processed an OWR, verify the OWR message content. On the SMD, </w:t>
            </w:r>
            <w:r w:rsidR="0037038E" w:rsidRPr="000665B0">
              <w:t>double-click</w:t>
            </w:r>
            <w:r w:rsidRPr="000665B0">
              <w:t xml:space="preserve"> the OWR Event Message in the Event Message Log.</w:t>
            </w:r>
          </w:p>
        </w:tc>
        <w:tc>
          <w:tcPr>
            <w:tcW w:w="6003" w:type="dxa"/>
          </w:tcPr>
          <w:p w14:paraId="441B8B12" w14:textId="77777777" w:rsidR="00C1621C" w:rsidRPr="000665B0" w:rsidRDefault="00C1621C" w:rsidP="0056739E">
            <w:pPr>
              <w:spacing w:before="60" w:after="60" w:line="240" w:lineRule="auto"/>
              <w:rPr>
                <w:sz w:val="20"/>
              </w:rPr>
            </w:pPr>
          </w:p>
        </w:tc>
      </w:tr>
      <w:tr w:rsidR="00C1621C" w:rsidRPr="000665B0" w14:paraId="31BC28F9" w14:textId="77777777" w:rsidTr="00AC2F7D">
        <w:trPr>
          <w:cantSplit/>
        </w:trPr>
        <w:tc>
          <w:tcPr>
            <w:tcW w:w="616" w:type="dxa"/>
          </w:tcPr>
          <w:p w14:paraId="44E1E1BA" w14:textId="18E13EB8" w:rsidR="00C1621C" w:rsidRPr="000665B0" w:rsidRDefault="00BB6F00" w:rsidP="0056739E">
            <w:pPr>
              <w:spacing w:before="60" w:after="60" w:line="240" w:lineRule="auto"/>
              <w:jc w:val="center"/>
              <w:rPr>
                <w:sz w:val="20"/>
              </w:rPr>
            </w:pPr>
            <w:r w:rsidRPr="000665B0">
              <w:rPr>
                <w:sz w:val="20"/>
              </w:rPr>
              <w:t>13</w:t>
            </w:r>
          </w:p>
        </w:tc>
        <w:tc>
          <w:tcPr>
            <w:tcW w:w="7038" w:type="dxa"/>
          </w:tcPr>
          <w:p w14:paraId="289D72AA" w14:textId="77777777" w:rsidR="00C1621C" w:rsidRPr="000665B0" w:rsidRDefault="00C1621C" w:rsidP="0056739E">
            <w:pPr>
              <w:spacing w:before="60" w:after="60" w:line="240" w:lineRule="auto"/>
              <w:rPr>
                <w:bCs/>
                <w:sz w:val="20"/>
              </w:rPr>
            </w:pPr>
            <w:r w:rsidRPr="000665B0">
              <w:rPr>
                <w:bCs/>
                <w:sz w:val="20"/>
              </w:rPr>
              <w:t>Check LERs</w:t>
            </w:r>
          </w:p>
          <w:p w14:paraId="3B44B249" w14:textId="77777777" w:rsidR="00C1621C" w:rsidRPr="000665B0" w:rsidRDefault="00C1621C" w:rsidP="006D5A65">
            <w:pPr>
              <w:pStyle w:val="Heading1"/>
              <w:rPr>
                <w:bCs/>
              </w:rPr>
            </w:pPr>
            <w:r w:rsidRPr="000665B0">
              <w:t>Observe the SMD Event Log for events of type LER and OWR. When MDS processes the LER for a missile, two events are logged in the event logs: One for Missile Status and another for the final OWR that came from the LER.</w:t>
            </w:r>
          </w:p>
          <w:p w14:paraId="55785BC8" w14:textId="77777777" w:rsidR="00C1621C" w:rsidRPr="000665B0" w:rsidRDefault="00C1621C" w:rsidP="006D5A65">
            <w:pPr>
              <w:pStyle w:val="Heading1"/>
              <w:rPr>
                <w:bCs/>
              </w:rPr>
            </w:pPr>
            <w:r w:rsidRPr="000665B0">
              <w:t>Verify the Launch Time in the final OWR received from the LER. Ensure that the times are updated on the SMD.</w:t>
            </w:r>
          </w:p>
        </w:tc>
        <w:tc>
          <w:tcPr>
            <w:tcW w:w="6003" w:type="dxa"/>
          </w:tcPr>
          <w:p w14:paraId="0565E984" w14:textId="77777777" w:rsidR="00C1621C" w:rsidRPr="000665B0" w:rsidRDefault="00C1621C" w:rsidP="0056739E">
            <w:pPr>
              <w:spacing w:before="60" w:after="60" w:line="240" w:lineRule="auto"/>
              <w:rPr>
                <w:sz w:val="20"/>
              </w:rPr>
            </w:pPr>
          </w:p>
        </w:tc>
      </w:tr>
      <w:tr w:rsidR="00C1621C" w:rsidRPr="000665B0" w14:paraId="46A48E2D" w14:textId="77777777" w:rsidTr="00AC2F7D">
        <w:trPr>
          <w:cantSplit/>
        </w:trPr>
        <w:tc>
          <w:tcPr>
            <w:tcW w:w="616" w:type="dxa"/>
          </w:tcPr>
          <w:p w14:paraId="1A7C9EE4" w14:textId="142FDAC9" w:rsidR="00C1621C" w:rsidRPr="000665B0" w:rsidRDefault="00BB6F00" w:rsidP="0056739E">
            <w:pPr>
              <w:spacing w:before="60" w:after="60" w:line="240" w:lineRule="auto"/>
              <w:jc w:val="center"/>
              <w:rPr>
                <w:sz w:val="20"/>
              </w:rPr>
            </w:pPr>
            <w:r w:rsidRPr="000665B0">
              <w:rPr>
                <w:sz w:val="20"/>
              </w:rPr>
              <w:t>14</w:t>
            </w:r>
          </w:p>
        </w:tc>
        <w:tc>
          <w:tcPr>
            <w:tcW w:w="7038" w:type="dxa"/>
          </w:tcPr>
          <w:p w14:paraId="39E860C7" w14:textId="77777777" w:rsidR="00C1621C" w:rsidRPr="000665B0" w:rsidRDefault="00C1621C" w:rsidP="0056739E">
            <w:pPr>
              <w:spacing w:before="60" w:after="60" w:line="240" w:lineRule="auto"/>
              <w:rPr>
                <w:bCs/>
                <w:sz w:val="20"/>
              </w:rPr>
            </w:pPr>
            <w:r w:rsidRPr="000665B0">
              <w:rPr>
                <w:bCs/>
                <w:sz w:val="20"/>
              </w:rPr>
              <w:t>Verify Launch</w:t>
            </w:r>
          </w:p>
          <w:p w14:paraId="22D584DE" w14:textId="77777777" w:rsidR="00C1621C" w:rsidRPr="000665B0" w:rsidRDefault="00C1621C" w:rsidP="006D5A65">
            <w:pPr>
              <w:pStyle w:val="Heading1"/>
              <w:rPr>
                <w:bCs/>
              </w:rPr>
            </w:pPr>
            <w:r w:rsidRPr="000665B0">
              <w:t>Verify that the observed missiles launched successfully.</w:t>
            </w:r>
          </w:p>
        </w:tc>
        <w:tc>
          <w:tcPr>
            <w:tcW w:w="6003" w:type="dxa"/>
          </w:tcPr>
          <w:p w14:paraId="7456F291" w14:textId="77777777" w:rsidR="00C1621C" w:rsidRPr="000665B0" w:rsidRDefault="00C1621C" w:rsidP="0056739E">
            <w:pPr>
              <w:spacing w:before="60" w:after="60" w:line="240" w:lineRule="auto"/>
              <w:rPr>
                <w:sz w:val="20"/>
              </w:rPr>
            </w:pPr>
          </w:p>
        </w:tc>
      </w:tr>
      <w:tr w:rsidR="00C1621C" w:rsidRPr="000665B0" w14:paraId="1F33836C" w14:textId="77777777" w:rsidTr="00AC2F7D">
        <w:trPr>
          <w:cantSplit/>
        </w:trPr>
        <w:tc>
          <w:tcPr>
            <w:tcW w:w="616" w:type="dxa"/>
          </w:tcPr>
          <w:p w14:paraId="31EF2499" w14:textId="0AE8FE81" w:rsidR="00C1621C" w:rsidRPr="000665B0" w:rsidRDefault="00BB6F00" w:rsidP="0056739E">
            <w:pPr>
              <w:spacing w:before="60" w:after="60" w:line="240" w:lineRule="auto"/>
              <w:jc w:val="center"/>
              <w:rPr>
                <w:sz w:val="20"/>
              </w:rPr>
            </w:pPr>
            <w:r w:rsidRPr="000665B0">
              <w:rPr>
                <w:sz w:val="20"/>
              </w:rPr>
              <w:t>15</w:t>
            </w:r>
          </w:p>
        </w:tc>
        <w:tc>
          <w:tcPr>
            <w:tcW w:w="7038" w:type="dxa"/>
          </w:tcPr>
          <w:p w14:paraId="3E5BC9AA" w14:textId="77777777" w:rsidR="00C1621C" w:rsidRPr="000665B0" w:rsidRDefault="00C1621C" w:rsidP="0056739E">
            <w:pPr>
              <w:spacing w:before="60" w:after="60" w:line="240" w:lineRule="auto"/>
              <w:rPr>
                <w:bCs/>
                <w:sz w:val="20"/>
              </w:rPr>
            </w:pPr>
            <w:r w:rsidRPr="000665B0">
              <w:rPr>
                <w:bCs/>
                <w:sz w:val="20"/>
              </w:rPr>
              <w:t>Check H&amp;S</w:t>
            </w:r>
          </w:p>
          <w:p w14:paraId="62544E8E" w14:textId="77777777" w:rsidR="00C1621C" w:rsidRPr="000665B0" w:rsidRDefault="00C1621C" w:rsidP="006D5A65">
            <w:pPr>
              <w:pStyle w:val="Heading1"/>
              <w:rPr>
                <w:bCs/>
              </w:rPr>
            </w:pPr>
            <w:r w:rsidRPr="000665B0">
              <w:t>Wait until the launched missiles have passed their FPPWP and reach their scheduled H&amp;S.</w:t>
            </w:r>
          </w:p>
          <w:p w14:paraId="57568895" w14:textId="30EE0444" w:rsidR="00C1621C" w:rsidRPr="000665B0" w:rsidRDefault="00C1621C" w:rsidP="006D5A65">
            <w:pPr>
              <w:pStyle w:val="Heading1"/>
              <w:rPr>
                <w:bCs/>
              </w:rPr>
            </w:pPr>
            <w:r w:rsidRPr="000665B0">
              <w:t xml:space="preserve">Those missiles that have passed their scheduled H&amp;S should receive scheduled H&amp;S TSN messages (see Note). </w:t>
            </w:r>
            <w:r w:rsidR="00DB32AB">
              <w:t>T</w:t>
            </w:r>
            <w:r w:rsidR="00DB32AB" w:rsidRPr="000665B0">
              <w:t xml:space="preserve">here may be a lag on the TSN messages </w:t>
            </w:r>
            <w:r w:rsidR="00DB32AB">
              <w:t>d</w:t>
            </w:r>
            <w:r w:rsidRPr="000665B0">
              <w:t>epending on the TSN configuration</w:t>
            </w:r>
            <w:r w:rsidR="00DB32AB">
              <w:t>.</w:t>
            </w:r>
          </w:p>
        </w:tc>
        <w:tc>
          <w:tcPr>
            <w:tcW w:w="6003" w:type="dxa"/>
          </w:tcPr>
          <w:p w14:paraId="2DC2A4A8" w14:textId="34856596" w:rsidR="00C1621C" w:rsidRPr="000665B0" w:rsidRDefault="00C1621C" w:rsidP="0056739E">
            <w:pPr>
              <w:spacing w:before="60" w:after="60" w:line="240" w:lineRule="auto"/>
              <w:rPr>
                <w:sz w:val="20"/>
              </w:rPr>
            </w:pPr>
            <w:r w:rsidRPr="000665B0">
              <w:rPr>
                <w:sz w:val="20"/>
              </w:rPr>
              <w:t>If the TSN is not set up, or is configured incorrectly, TSN messages may not be received.</w:t>
            </w:r>
          </w:p>
        </w:tc>
      </w:tr>
      <w:tr w:rsidR="00C1621C" w:rsidRPr="000665B0" w14:paraId="1F3FA11E" w14:textId="77777777" w:rsidTr="00AC2F7D">
        <w:trPr>
          <w:cantSplit/>
        </w:trPr>
        <w:tc>
          <w:tcPr>
            <w:tcW w:w="616" w:type="dxa"/>
          </w:tcPr>
          <w:p w14:paraId="1645772A" w14:textId="27785828" w:rsidR="00C1621C" w:rsidRPr="000665B0" w:rsidRDefault="00BB6F00" w:rsidP="0056739E">
            <w:pPr>
              <w:spacing w:before="60" w:after="60" w:line="240" w:lineRule="auto"/>
              <w:jc w:val="center"/>
              <w:rPr>
                <w:sz w:val="20"/>
              </w:rPr>
            </w:pPr>
            <w:r w:rsidRPr="000665B0">
              <w:rPr>
                <w:sz w:val="20"/>
              </w:rPr>
              <w:lastRenderedPageBreak/>
              <w:t>16</w:t>
            </w:r>
          </w:p>
        </w:tc>
        <w:tc>
          <w:tcPr>
            <w:tcW w:w="7038" w:type="dxa"/>
          </w:tcPr>
          <w:p w14:paraId="01F95131" w14:textId="77777777" w:rsidR="00C1621C" w:rsidRPr="000665B0" w:rsidRDefault="00C1621C" w:rsidP="0056739E">
            <w:pPr>
              <w:spacing w:before="60" w:after="60" w:line="240" w:lineRule="auto"/>
              <w:rPr>
                <w:sz w:val="20"/>
              </w:rPr>
            </w:pPr>
            <w:r w:rsidRPr="000665B0">
              <w:rPr>
                <w:bCs/>
                <w:sz w:val="20"/>
              </w:rPr>
              <w:t>Request H&amp;S when Executing as the Primary Controller</w:t>
            </w:r>
          </w:p>
          <w:p w14:paraId="54AC6A7D" w14:textId="77777777" w:rsidR="00C1621C" w:rsidRPr="000665B0" w:rsidRDefault="00C1621C" w:rsidP="006D5A65">
            <w:pPr>
              <w:pStyle w:val="Heading1"/>
            </w:pPr>
            <w:r w:rsidRPr="000665B0">
              <w:t>Send an immediate PPO IMMM to a missile from the Gantt Chart.</w:t>
            </w:r>
          </w:p>
          <w:p w14:paraId="757E2543" w14:textId="3235B85F" w:rsidR="00C1621C" w:rsidRPr="000665B0" w:rsidRDefault="00D71804" w:rsidP="006D5A65">
            <w:pPr>
              <w:pStyle w:val="Heading1"/>
            </w:pPr>
            <w:r w:rsidRPr="000665B0">
              <w:t>Right-click</w:t>
            </w:r>
            <w:r w:rsidR="00C1621C" w:rsidRPr="000665B0">
              <w:t xml:space="preserve"> on the desired missile and select Send Pre-Planned Outcome IMMM.</w:t>
            </w:r>
          </w:p>
          <w:p w14:paraId="036862BF" w14:textId="77777777" w:rsidR="00C1621C" w:rsidRPr="000665B0" w:rsidRDefault="00C1621C" w:rsidP="006D5A65">
            <w:pPr>
              <w:pStyle w:val="Heading1"/>
            </w:pPr>
            <w:r w:rsidRPr="000665B0">
              <w:t>Ensure that Scheduled H&amp;S, Event H&amp;S, and Immediate H&amp;S Required are selected and click OK.</w:t>
            </w:r>
          </w:p>
          <w:p w14:paraId="56A0DFF9" w14:textId="77777777" w:rsidR="00C1621C" w:rsidRPr="000665B0" w:rsidRDefault="00C1621C" w:rsidP="006D5A65">
            <w:pPr>
              <w:pStyle w:val="Heading1"/>
            </w:pPr>
            <w:r w:rsidRPr="000665B0">
              <w:t xml:space="preserve">Ensure that a PPO IMMM icon </w:t>
            </w:r>
            <w:r w:rsidRPr="000665B0">
              <w:rPr>
                <w:noProof/>
              </w:rPr>
              <w:drawing>
                <wp:inline distT="0" distB="0" distL="0" distR="0" wp14:anchorId="6C6E6038" wp14:editId="616E2C31">
                  <wp:extent cx="180975" cy="133350"/>
                  <wp:effectExtent l="19050" t="0" r="9525"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cstate="print"/>
                          <a:srcRect/>
                          <a:stretch>
                            <a:fillRect/>
                          </a:stretch>
                        </pic:blipFill>
                        <pic:spPr bwMode="auto">
                          <a:xfrm>
                            <a:off x="0" y="0"/>
                            <a:ext cx="180975" cy="133350"/>
                          </a:xfrm>
                          <a:prstGeom prst="rect">
                            <a:avLst/>
                          </a:prstGeom>
                          <a:noFill/>
                          <a:ln w="9525">
                            <a:noFill/>
                            <a:miter lim="800000"/>
                            <a:headEnd/>
                            <a:tailEnd/>
                          </a:ln>
                        </pic:spPr>
                      </pic:pic>
                    </a:graphicData>
                  </a:graphic>
                </wp:inline>
              </w:drawing>
            </w:r>
            <w:r w:rsidRPr="000665B0">
              <w:t xml:space="preserve"> appears on the missile’s Gantt Chart line).</w:t>
            </w:r>
          </w:p>
          <w:p w14:paraId="74BD4233" w14:textId="77777777" w:rsidR="00C1621C" w:rsidRPr="000665B0" w:rsidRDefault="00C1621C" w:rsidP="006D5A65">
            <w:pPr>
              <w:pStyle w:val="Heading1"/>
              <w:rPr>
                <w:bCs/>
              </w:rPr>
            </w:pPr>
            <w:r w:rsidRPr="000665B0">
              <w:t>Ensure that the PPO IMMM is sent (</w:t>
            </w:r>
            <w:r w:rsidRPr="000665B0">
              <w:rPr>
                <w:noProof/>
              </w:rPr>
              <w:drawing>
                <wp:inline distT="0" distB="0" distL="0" distR="0" wp14:anchorId="5AA24AB6" wp14:editId="1F190C13">
                  <wp:extent cx="180975" cy="171450"/>
                  <wp:effectExtent l="19050" t="0" r="9525"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Pr="000665B0">
              <w:t xml:space="preserve"> icon) and an ACK H&amp;S response (</w:t>
            </w:r>
            <w:r w:rsidRPr="000665B0">
              <w:rPr>
                <w:noProof/>
              </w:rPr>
              <w:drawing>
                <wp:inline distT="0" distB="0" distL="0" distR="0" wp14:anchorId="1EF0F438" wp14:editId="1CD5CE7B">
                  <wp:extent cx="200025" cy="171450"/>
                  <wp:effectExtent l="19050" t="0" r="9525"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cstate="print"/>
                          <a:srcRect/>
                          <a:stretch>
                            <a:fillRect/>
                          </a:stretch>
                        </pic:blipFill>
                        <pic:spPr bwMode="auto">
                          <a:xfrm>
                            <a:off x="0" y="0"/>
                            <a:ext cx="200025" cy="171450"/>
                          </a:xfrm>
                          <a:prstGeom prst="rect">
                            <a:avLst/>
                          </a:prstGeom>
                          <a:noFill/>
                          <a:ln w="9525">
                            <a:noFill/>
                            <a:miter lim="800000"/>
                            <a:headEnd/>
                            <a:tailEnd/>
                          </a:ln>
                        </pic:spPr>
                      </pic:pic>
                    </a:graphicData>
                  </a:graphic>
                </wp:inline>
              </w:drawing>
            </w:r>
            <w:r w:rsidRPr="000665B0">
              <w:t xml:space="preserve"> icon) is received from the missile.</w:t>
            </w:r>
          </w:p>
        </w:tc>
        <w:tc>
          <w:tcPr>
            <w:tcW w:w="6003" w:type="dxa"/>
          </w:tcPr>
          <w:p w14:paraId="1BA18A34" w14:textId="77777777" w:rsidR="00C1621C" w:rsidRPr="000665B0" w:rsidRDefault="00C1621C" w:rsidP="0056739E">
            <w:pPr>
              <w:spacing w:before="60" w:after="60"/>
              <w:rPr>
                <w:sz w:val="20"/>
              </w:rPr>
            </w:pPr>
          </w:p>
        </w:tc>
      </w:tr>
      <w:tr w:rsidR="00C1621C" w:rsidRPr="000665B0" w14:paraId="5AACE9AB" w14:textId="77777777" w:rsidTr="00AC2F7D">
        <w:trPr>
          <w:cantSplit/>
        </w:trPr>
        <w:tc>
          <w:tcPr>
            <w:tcW w:w="616" w:type="dxa"/>
          </w:tcPr>
          <w:p w14:paraId="6714C686" w14:textId="4EDAC056" w:rsidR="00C1621C" w:rsidRPr="000665B0" w:rsidRDefault="00BB6F00" w:rsidP="0056739E">
            <w:pPr>
              <w:spacing w:before="60" w:after="60" w:line="240" w:lineRule="auto"/>
              <w:jc w:val="center"/>
              <w:rPr>
                <w:sz w:val="20"/>
              </w:rPr>
            </w:pPr>
            <w:r w:rsidRPr="000665B0">
              <w:rPr>
                <w:sz w:val="20"/>
              </w:rPr>
              <w:t>17</w:t>
            </w:r>
          </w:p>
        </w:tc>
        <w:tc>
          <w:tcPr>
            <w:tcW w:w="7038" w:type="dxa"/>
          </w:tcPr>
          <w:p w14:paraId="2310FF96" w14:textId="77777777" w:rsidR="00C1621C" w:rsidRPr="000665B0" w:rsidRDefault="00C1621C" w:rsidP="0056739E">
            <w:pPr>
              <w:spacing w:before="60" w:after="60" w:line="240" w:lineRule="auto"/>
              <w:rPr>
                <w:bCs/>
                <w:sz w:val="20"/>
              </w:rPr>
            </w:pPr>
            <w:r w:rsidRPr="000665B0">
              <w:rPr>
                <w:bCs/>
                <w:sz w:val="20"/>
              </w:rPr>
              <w:t xml:space="preserve">(Optional) Edit Alternate Controller </w:t>
            </w:r>
          </w:p>
          <w:p w14:paraId="5E29EF76" w14:textId="0BA71A47" w:rsidR="00C1621C" w:rsidRPr="000665B0" w:rsidRDefault="00C1621C" w:rsidP="006D5A65">
            <w:pPr>
              <w:pStyle w:val="Heading1"/>
              <w:rPr>
                <w:bCs/>
              </w:rPr>
            </w:pPr>
            <w:r w:rsidRPr="000665B0">
              <w:t>Select a comms-enabled missile that has already launched and change the Backup Missile Controller to the</w:t>
            </w:r>
            <w:r w:rsidR="00B54FFB">
              <w:t xml:space="preserve"> ATSC</w:t>
            </w:r>
            <w:r w:rsidR="00A40DAA">
              <w:t xml:space="preserve"> </w:t>
            </w:r>
            <w:r w:rsidRPr="000665B0">
              <w:t>node.</w:t>
            </w:r>
          </w:p>
          <w:p w14:paraId="09D47722" w14:textId="5497173F" w:rsidR="00C1621C" w:rsidRPr="000665B0" w:rsidRDefault="00D71804" w:rsidP="006D5A65">
            <w:pPr>
              <w:pStyle w:val="Heading1"/>
              <w:rPr>
                <w:bCs/>
              </w:rPr>
            </w:pPr>
            <w:r w:rsidRPr="000665B0">
              <w:t>Right-click</w:t>
            </w:r>
            <w:r w:rsidR="00C1621C" w:rsidRPr="000665B0">
              <w:t xml:space="preserve"> on the desired missile and select Edit Alternate Controller.</w:t>
            </w:r>
          </w:p>
          <w:p w14:paraId="36EB1118" w14:textId="24A7C347" w:rsidR="00C1621C" w:rsidRPr="000665B0" w:rsidRDefault="00C1621C" w:rsidP="006D5A65">
            <w:pPr>
              <w:pStyle w:val="Heading1"/>
              <w:rPr>
                <w:bCs/>
              </w:rPr>
            </w:pPr>
            <w:r w:rsidRPr="000665B0">
              <w:t>Ensure that the Swap Controller (to X) context menu for the missile’s Gantt Tree item shows the</w:t>
            </w:r>
            <w:r w:rsidR="00B54FFB">
              <w:t xml:space="preserve"> ATSC </w:t>
            </w:r>
            <w:r w:rsidRPr="000665B0">
              <w:t>node.</w:t>
            </w:r>
          </w:p>
          <w:p w14:paraId="72FB92F8" w14:textId="52FB3815" w:rsidR="00C1621C" w:rsidRPr="000665B0" w:rsidRDefault="00C1621C" w:rsidP="006D5A65">
            <w:pPr>
              <w:pStyle w:val="Heading1"/>
              <w:rPr>
                <w:bCs/>
              </w:rPr>
            </w:pPr>
            <w:r w:rsidRPr="000665B0">
              <w:t xml:space="preserve">Ensure that the Backup Msl Ctrl column, from the </w:t>
            </w:r>
            <w:r w:rsidRPr="000665B0">
              <w:rPr>
                <w:i/>
              </w:rPr>
              <w:t>Missile Assignments</w:t>
            </w:r>
            <w:r w:rsidRPr="000665B0">
              <w:t xml:space="preserve"> tab in the Strike Option, shows the</w:t>
            </w:r>
            <w:r w:rsidR="00B54FFB">
              <w:t xml:space="preserve"> ATSC </w:t>
            </w:r>
            <w:r w:rsidRPr="000665B0">
              <w:t>node.</w:t>
            </w:r>
          </w:p>
        </w:tc>
        <w:tc>
          <w:tcPr>
            <w:tcW w:w="6003" w:type="dxa"/>
          </w:tcPr>
          <w:p w14:paraId="38421859" w14:textId="77777777" w:rsidR="00C1621C" w:rsidRPr="000665B0" w:rsidRDefault="00C1621C" w:rsidP="0056739E">
            <w:pPr>
              <w:spacing w:before="60" w:after="60" w:line="240" w:lineRule="auto"/>
              <w:rPr>
                <w:sz w:val="20"/>
              </w:rPr>
            </w:pPr>
          </w:p>
        </w:tc>
      </w:tr>
      <w:tr w:rsidR="00C1621C" w:rsidRPr="000665B0" w14:paraId="4FD477C8" w14:textId="77777777" w:rsidTr="00AC2F7D">
        <w:trPr>
          <w:cantSplit/>
        </w:trPr>
        <w:tc>
          <w:tcPr>
            <w:tcW w:w="616" w:type="dxa"/>
          </w:tcPr>
          <w:p w14:paraId="368D2F12" w14:textId="391179DC" w:rsidR="00C1621C" w:rsidRPr="000665B0" w:rsidRDefault="00BB6F00" w:rsidP="0056739E">
            <w:pPr>
              <w:spacing w:before="60" w:after="60" w:line="240" w:lineRule="auto"/>
              <w:jc w:val="center"/>
              <w:rPr>
                <w:sz w:val="20"/>
              </w:rPr>
            </w:pPr>
            <w:r w:rsidRPr="000665B0">
              <w:rPr>
                <w:sz w:val="20"/>
              </w:rPr>
              <w:t>18</w:t>
            </w:r>
          </w:p>
        </w:tc>
        <w:tc>
          <w:tcPr>
            <w:tcW w:w="7038" w:type="dxa"/>
          </w:tcPr>
          <w:p w14:paraId="6153993B" w14:textId="77777777" w:rsidR="00C1621C" w:rsidRPr="000665B0" w:rsidRDefault="00C1621C" w:rsidP="0056739E">
            <w:pPr>
              <w:spacing w:before="60" w:after="60" w:line="240" w:lineRule="auto"/>
              <w:rPr>
                <w:bCs/>
                <w:sz w:val="20"/>
              </w:rPr>
            </w:pPr>
            <w:r w:rsidRPr="000665B0">
              <w:rPr>
                <w:bCs/>
                <w:sz w:val="20"/>
              </w:rPr>
              <w:t xml:space="preserve">(Optional) Swap Controller </w:t>
            </w:r>
          </w:p>
          <w:p w14:paraId="5F2A6883" w14:textId="0AA36DCD" w:rsidR="00C1621C" w:rsidRPr="000665B0" w:rsidRDefault="00C1621C" w:rsidP="006D5A65">
            <w:pPr>
              <w:pStyle w:val="Heading1"/>
              <w:rPr>
                <w:bCs/>
              </w:rPr>
            </w:pPr>
            <w:r w:rsidRPr="000665B0">
              <w:t>Select the same missile from the previous step and change the Controller to the</w:t>
            </w:r>
            <w:r w:rsidR="00B54FFB">
              <w:t xml:space="preserve"> ATSC </w:t>
            </w:r>
            <w:r w:rsidRPr="000665B0">
              <w:t>node</w:t>
            </w:r>
            <w:r w:rsidRPr="000665B0">
              <w:rPr>
                <w:bCs/>
              </w:rPr>
              <w:t>.</w:t>
            </w:r>
          </w:p>
          <w:p w14:paraId="78F861FF" w14:textId="64B675C1" w:rsidR="00C1621C" w:rsidRPr="000665B0" w:rsidRDefault="00D71804" w:rsidP="006D5A65">
            <w:pPr>
              <w:pStyle w:val="Heading1"/>
              <w:rPr>
                <w:bCs/>
              </w:rPr>
            </w:pPr>
            <w:r w:rsidRPr="000665B0">
              <w:t>Right-click</w:t>
            </w:r>
            <w:r w:rsidR="00C1621C" w:rsidRPr="000665B0">
              <w:t xml:space="preserve"> on the missile and select Swap Controller (to X).</w:t>
            </w:r>
          </w:p>
        </w:tc>
        <w:tc>
          <w:tcPr>
            <w:tcW w:w="6003" w:type="dxa"/>
          </w:tcPr>
          <w:p w14:paraId="6BD46FDE" w14:textId="77777777" w:rsidR="00C1621C" w:rsidRPr="000665B0" w:rsidRDefault="00C1621C" w:rsidP="0056739E">
            <w:pPr>
              <w:spacing w:before="60" w:after="60" w:line="240" w:lineRule="auto"/>
              <w:rPr>
                <w:sz w:val="20"/>
              </w:rPr>
            </w:pPr>
          </w:p>
        </w:tc>
      </w:tr>
      <w:tr w:rsidR="00117A42" w:rsidRPr="000665B0" w14:paraId="25B31F6D" w14:textId="77777777" w:rsidTr="00AC2F7D">
        <w:trPr>
          <w:cantSplit/>
        </w:trPr>
        <w:tc>
          <w:tcPr>
            <w:tcW w:w="616" w:type="dxa"/>
          </w:tcPr>
          <w:p w14:paraId="76903818" w14:textId="7C0E1905" w:rsidR="00117A42" w:rsidRPr="000665B0" w:rsidRDefault="00117A42" w:rsidP="0056739E">
            <w:pPr>
              <w:spacing w:before="60" w:after="60" w:line="240" w:lineRule="auto"/>
              <w:jc w:val="center"/>
              <w:rPr>
                <w:sz w:val="20"/>
              </w:rPr>
            </w:pPr>
            <w:r w:rsidRPr="000665B0">
              <w:rPr>
                <w:sz w:val="20"/>
              </w:rPr>
              <w:t>1</w:t>
            </w:r>
            <w:r w:rsidR="00BB6F00" w:rsidRPr="000665B0">
              <w:rPr>
                <w:sz w:val="20"/>
              </w:rPr>
              <w:t>9</w:t>
            </w:r>
          </w:p>
        </w:tc>
        <w:tc>
          <w:tcPr>
            <w:tcW w:w="7038" w:type="dxa"/>
          </w:tcPr>
          <w:p w14:paraId="15C4F904" w14:textId="1A481178" w:rsidR="00117A42" w:rsidRPr="000665B0" w:rsidRDefault="00117A42" w:rsidP="0056739E">
            <w:pPr>
              <w:spacing w:before="60" w:after="60" w:line="240" w:lineRule="auto"/>
              <w:rPr>
                <w:sz w:val="20"/>
              </w:rPr>
            </w:pPr>
            <w:r w:rsidRPr="000665B0">
              <w:rPr>
                <w:sz w:val="20"/>
              </w:rPr>
              <w:t>(Optional) Enabl</w:t>
            </w:r>
            <w:r w:rsidR="003960CA" w:rsidRPr="000665B0">
              <w:rPr>
                <w:sz w:val="20"/>
              </w:rPr>
              <w:t>e</w:t>
            </w:r>
            <w:r w:rsidRPr="000665B0">
              <w:rPr>
                <w:sz w:val="20"/>
              </w:rPr>
              <w:t>/Disab</w:t>
            </w:r>
            <w:r w:rsidR="003960CA" w:rsidRPr="000665B0">
              <w:rPr>
                <w:sz w:val="20"/>
              </w:rPr>
              <w:t>le</w:t>
            </w:r>
            <w:r w:rsidRPr="000665B0">
              <w:rPr>
                <w:sz w:val="20"/>
              </w:rPr>
              <w:t xml:space="preserve"> TSN C</w:t>
            </w:r>
            <w:r w:rsidR="003960CA" w:rsidRPr="000665B0">
              <w:rPr>
                <w:sz w:val="20"/>
              </w:rPr>
              <w:t>omm</w:t>
            </w:r>
            <w:r w:rsidRPr="000665B0">
              <w:rPr>
                <w:sz w:val="20"/>
              </w:rPr>
              <w:t>s</w:t>
            </w:r>
            <w:r w:rsidR="006851C5" w:rsidRPr="000665B0">
              <w:rPr>
                <w:sz w:val="20"/>
              </w:rPr>
              <w:t xml:space="preserve"> (109E Missiles Only)</w:t>
            </w:r>
          </w:p>
          <w:p w14:paraId="4091D184" w14:textId="3F728DFC" w:rsidR="00117A42" w:rsidRPr="000665B0" w:rsidRDefault="00D71804" w:rsidP="006D5A65">
            <w:pPr>
              <w:pStyle w:val="Heading1"/>
            </w:pPr>
            <w:r w:rsidRPr="000665B0">
              <w:t>Right-click</w:t>
            </w:r>
            <w:r w:rsidR="00117A42" w:rsidRPr="000665B0">
              <w:t xml:space="preserve"> on </w:t>
            </w:r>
            <w:r w:rsidR="003960CA" w:rsidRPr="000665B0">
              <w:t>the desired</w:t>
            </w:r>
            <w:r w:rsidR="00117A42" w:rsidRPr="000665B0">
              <w:t xml:space="preserve"> missile and </w:t>
            </w:r>
            <w:r w:rsidR="003960CA" w:rsidRPr="000665B0">
              <w:t xml:space="preserve">select </w:t>
            </w:r>
            <w:r w:rsidR="00117A42" w:rsidRPr="000665B0">
              <w:t xml:space="preserve">Edit </w:t>
            </w:r>
            <w:r w:rsidR="003960CA" w:rsidRPr="000665B0">
              <w:rPr>
                <w:rFonts w:eastAsiaTheme="minorHAnsi"/>
              </w:rPr>
              <w:sym w:font="Wingdings 3" w:char="F07D"/>
            </w:r>
            <w:r w:rsidR="003960CA" w:rsidRPr="000665B0">
              <w:rPr>
                <w:rFonts w:eastAsiaTheme="minorHAnsi"/>
              </w:rPr>
              <w:t xml:space="preserve"> </w:t>
            </w:r>
            <w:r w:rsidR="00117A42" w:rsidRPr="000665B0">
              <w:t xml:space="preserve">TSN Comms. </w:t>
            </w:r>
          </w:p>
          <w:p w14:paraId="351F7E3C" w14:textId="0984CEF3" w:rsidR="00117A42" w:rsidRPr="000665B0" w:rsidRDefault="00117A42" w:rsidP="006D5A65">
            <w:pPr>
              <w:pStyle w:val="Heading1"/>
            </w:pPr>
            <w:r w:rsidRPr="000665B0">
              <w:t xml:space="preserve">Select </w:t>
            </w:r>
            <w:r w:rsidR="003960CA" w:rsidRPr="000665B0">
              <w:t>either</w:t>
            </w:r>
            <w:r w:rsidRPr="000665B0">
              <w:t xml:space="preserve"> Enable</w:t>
            </w:r>
            <w:r w:rsidR="003960CA" w:rsidRPr="000665B0">
              <w:t xml:space="preserve"> or </w:t>
            </w:r>
            <w:r w:rsidRPr="000665B0">
              <w:t xml:space="preserve">Disable. </w:t>
            </w:r>
          </w:p>
        </w:tc>
        <w:tc>
          <w:tcPr>
            <w:tcW w:w="6003" w:type="dxa"/>
          </w:tcPr>
          <w:p w14:paraId="143A9000" w14:textId="77777777" w:rsidR="00117A42" w:rsidRPr="000665B0" w:rsidRDefault="00117A42" w:rsidP="0056739E">
            <w:pPr>
              <w:spacing w:before="60" w:after="60" w:line="240" w:lineRule="auto"/>
              <w:rPr>
                <w:sz w:val="20"/>
              </w:rPr>
            </w:pPr>
          </w:p>
        </w:tc>
      </w:tr>
      <w:tr w:rsidR="00117A42" w:rsidRPr="000665B0" w14:paraId="28BF78C6" w14:textId="77777777" w:rsidTr="00AC2F7D">
        <w:trPr>
          <w:cantSplit/>
        </w:trPr>
        <w:tc>
          <w:tcPr>
            <w:tcW w:w="616" w:type="dxa"/>
          </w:tcPr>
          <w:p w14:paraId="63C960C0" w14:textId="7ACBA78F" w:rsidR="00117A42" w:rsidRPr="000665B0" w:rsidRDefault="00BB6F00" w:rsidP="0056739E">
            <w:pPr>
              <w:spacing w:before="60" w:after="60" w:line="240" w:lineRule="auto"/>
              <w:jc w:val="center"/>
              <w:rPr>
                <w:sz w:val="20"/>
              </w:rPr>
            </w:pPr>
            <w:r w:rsidRPr="000665B0">
              <w:rPr>
                <w:sz w:val="20"/>
              </w:rPr>
              <w:lastRenderedPageBreak/>
              <w:t>20</w:t>
            </w:r>
          </w:p>
        </w:tc>
        <w:tc>
          <w:tcPr>
            <w:tcW w:w="7038" w:type="dxa"/>
          </w:tcPr>
          <w:p w14:paraId="3F91A2E1" w14:textId="1C560FEB" w:rsidR="00117A42" w:rsidRPr="000665B0" w:rsidRDefault="00236E4D" w:rsidP="0056739E">
            <w:pPr>
              <w:spacing w:before="60" w:after="60" w:line="240" w:lineRule="auto"/>
              <w:rPr>
                <w:sz w:val="20"/>
              </w:rPr>
            </w:pPr>
            <w:r w:rsidRPr="000665B0">
              <w:rPr>
                <w:sz w:val="20"/>
              </w:rPr>
              <w:t>(Optional) Change</w:t>
            </w:r>
            <w:r w:rsidR="00117A42" w:rsidRPr="000665B0">
              <w:rPr>
                <w:sz w:val="20"/>
              </w:rPr>
              <w:t xml:space="preserve"> TSN (Missile) Parameters </w:t>
            </w:r>
            <w:r w:rsidR="006851C5" w:rsidRPr="000665B0">
              <w:rPr>
                <w:sz w:val="20"/>
              </w:rPr>
              <w:t>(109E Missiles Only)</w:t>
            </w:r>
          </w:p>
          <w:p w14:paraId="5122789D" w14:textId="457A4457" w:rsidR="00117A42" w:rsidRPr="000665B0" w:rsidRDefault="00D71804" w:rsidP="006D5A65">
            <w:pPr>
              <w:pStyle w:val="Heading1"/>
            </w:pPr>
            <w:r w:rsidRPr="000665B0">
              <w:t>Right-click</w:t>
            </w:r>
            <w:r w:rsidR="00236E4D" w:rsidRPr="000665B0">
              <w:t xml:space="preserve"> on the desired missile</w:t>
            </w:r>
            <w:r w:rsidR="00117A42" w:rsidRPr="000665B0">
              <w:t xml:space="preserve"> and select </w:t>
            </w:r>
            <w:r w:rsidR="00236E4D" w:rsidRPr="000665B0">
              <w:t xml:space="preserve">Edit </w:t>
            </w:r>
            <w:r w:rsidR="00236E4D" w:rsidRPr="000665B0">
              <w:rPr>
                <w:rFonts w:eastAsiaTheme="minorHAnsi"/>
              </w:rPr>
              <w:sym w:font="Wingdings 3" w:char="F07D"/>
            </w:r>
            <w:r w:rsidR="00236E4D" w:rsidRPr="000665B0">
              <w:rPr>
                <w:rFonts w:eastAsiaTheme="minorHAnsi"/>
              </w:rPr>
              <w:t xml:space="preserve"> </w:t>
            </w:r>
            <w:r w:rsidR="00236E4D" w:rsidRPr="000665B0">
              <w:t>TSN Parameters.</w:t>
            </w:r>
            <w:r w:rsidR="00117A42" w:rsidRPr="000665B0">
              <w:t xml:space="preserve"> </w:t>
            </w:r>
            <w:r w:rsidR="00236E4D" w:rsidRPr="000665B0">
              <w:t xml:space="preserve">The </w:t>
            </w:r>
            <w:r w:rsidR="00117A42" w:rsidRPr="000665B0">
              <w:rPr>
                <w:i/>
              </w:rPr>
              <w:t>Missile Parameters</w:t>
            </w:r>
            <w:r w:rsidR="00117A42" w:rsidRPr="000665B0">
              <w:t xml:space="preserve"> window </w:t>
            </w:r>
            <w:r w:rsidR="00236E4D" w:rsidRPr="000665B0">
              <w:t>is</w:t>
            </w:r>
            <w:r w:rsidR="00117A42" w:rsidRPr="000665B0">
              <w:t xml:space="preserve"> displayed.</w:t>
            </w:r>
            <w:r w:rsidR="009651B0">
              <w:t xml:space="preserve"> </w:t>
            </w:r>
          </w:p>
          <w:p w14:paraId="327A07F0" w14:textId="1EF90264" w:rsidR="00117A42" w:rsidRPr="000665B0" w:rsidRDefault="00236E4D" w:rsidP="006D5A65">
            <w:pPr>
              <w:pStyle w:val="Heading1"/>
            </w:pPr>
            <w:r w:rsidRPr="000665B0">
              <w:t xml:space="preserve">Change to the desired parameters and click </w:t>
            </w:r>
            <w:r w:rsidR="00117A42" w:rsidRPr="000665B0">
              <w:t>OK.</w:t>
            </w:r>
          </w:p>
        </w:tc>
        <w:tc>
          <w:tcPr>
            <w:tcW w:w="6003" w:type="dxa"/>
          </w:tcPr>
          <w:p w14:paraId="0E8F410E" w14:textId="77777777" w:rsidR="00117A42" w:rsidRPr="000665B0" w:rsidRDefault="00117A42" w:rsidP="0056739E">
            <w:pPr>
              <w:spacing w:before="60" w:after="60" w:line="240" w:lineRule="auto"/>
              <w:rPr>
                <w:sz w:val="20"/>
              </w:rPr>
            </w:pPr>
          </w:p>
        </w:tc>
      </w:tr>
      <w:tr w:rsidR="00117A42" w:rsidRPr="000665B0" w14:paraId="0B340092" w14:textId="77777777" w:rsidTr="00AC2F7D">
        <w:trPr>
          <w:cantSplit/>
        </w:trPr>
        <w:tc>
          <w:tcPr>
            <w:tcW w:w="616" w:type="dxa"/>
          </w:tcPr>
          <w:p w14:paraId="548910BB" w14:textId="6C8D67C8" w:rsidR="00117A42" w:rsidRPr="000665B0" w:rsidRDefault="00117A42" w:rsidP="0056739E">
            <w:pPr>
              <w:spacing w:before="60" w:after="60" w:line="240" w:lineRule="auto"/>
              <w:jc w:val="center"/>
              <w:rPr>
                <w:sz w:val="20"/>
              </w:rPr>
            </w:pPr>
            <w:r w:rsidRPr="000665B0">
              <w:rPr>
                <w:sz w:val="20"/>
              </w:rPr>
              <w:t>2</w:t>
            </w:r>
            <w:r w:rsidR="00BB6F00" w:rsidRPr="000665B0">
              <w:rPr>
                <w:sz w:val="20"/>
              </w:rPr>
              <w:t>1</w:t>
            </w:r>
          </w:p>
        </w:tc>
        <w:tc>
          <w:tcPr>
            <w:tcW w:w="7038" w:type="dxa"/>
          </w:tcPr>
          <w:p w14:paraId="2953B6BE" w14:textId="23F250A3" w:rsidR="00117A42" w:rsidRPr="000665B0" w:rsidRDefault="00117A42" w:rsidP="0056739E">
            <w:pPr>
              <w:spacing w:before="60" w:after="60" w:line="240" w:lineRule="auto"/>
              <w:rPr>
                <w:sz w:val="20"/>
              </w:rPr>
            </w:pPr>
            <w:r w:rsidRPr="000665B0">
              <w:rPr>
                <w:sz w:val="20"/>
              </w:rPr>
              <w:t xml:space="preserve">(Optional) </w:t>
            </w:r>
            <w:r w:rsidR="00236E4D" w:rsidRPr="000665B0">
              <w:rPr>
                <w:sz w:val="20"/>
              </w:rPr>
              <w:t>Switch the</w:t>
            </w:r>
            <w:r w:rsidRPr="000665B0">
              <w:rPr>
                <w:sz w:val="20"/>
              </w:rPr>
              <w:t xml:space="preserve"> TSN Network Type</w:t>
            </w:r>
            <w:r w:rsidR="006851C5" w:rsidRPr="000665B0">
              <w:rPr>
                <w:sz w:val="20"/>
              </w:rPr>
              <w:t xml:space="preserve"> (109E Missiles Only)</w:t>
            </w:r>
            <w:r w:rsidR="00236E4D" w:rsidRPr="000665B0">
              <w:rPr>
                <w:sz w:val="20"/>
              </w:rPr>
              <w:t xml:space="preserve"> (see Note)</w:t>
            </w:r>
          </w:p>
          <w:p w14:paraId="0B966494" w14:textId="72D72035" w:rsidR="00117A42" w:rsidRPr="000665B0" w:rsidRDefault="00236E4D" w:rsidP="006D5A65">
            <w:pPr>
              <w:pStyle w:val="Heading1"/>
            </w:pPr>
            <w:r w:rsidRPr="000665B0">
              <w:t>B</w:t>
            </w:r>
            <w:r w:rsidR="00117A42" w:rsidRPr="000665B0">
              <w:t>efore the desired missile has been launched, select the missile on the G</w:t>
            </w:r>
            <w:r w:rsidRPr="000665B0">
              <w:t>antt Chart</w:t>
            </w:r>
            <w:r w:rsidR="00117A42" w:rsidRPr="000665B0">
              <w:t xml:space="preserve"> or in the Missile Assignment </w:t>
            </w:r>
            <w:r w:rsidRPr="000665B0">
              <w:t>pane for the</w:t>
            </w:r>
            <w:r w:rsidR="00117A42" w:rsidRPr="000665B0">
              <w:t xml:space="preserve"> selected FRU in </w:t>
            </w:r>
            <w:r w:rsidRPr="000665B0">
              <w:t xml:space="preserve">the </w:t>
            </w:r>
            <w:r w:rsidR="00117A42" w:rsidRPr="000665B0">
              <w:t>FRU Status</w:t>
            </w:r>
            <w:r w:rsidRPr="000665B0">
              <w:t xml:space="preserve"> pane</w:t>
            </w:r>
            <w:r w:rsidR="00117A42" w:rsidRPr="000665B0">
              <w:t>.</w:t>
            </w:r>
          </w:p>
          <w:p w14:paraId="239D352B" w14:textId="25518937" w:rsidR="00117A42" w:rsidRPr="000665B0" w:rsidRDefault="00D71804" w:rsidP="006D5A65">
            <w:pPr>
              <w:pStyle w:val="Heading1"/>
            </w:pPr>
            <w:r w:rsidRPr="000665B0">
              <w:t>Right-click</w:t>
            </w:r>
            <w:r w:rsidR="00117A42" w:rsidRPr="000665B0">
              <w:t xml:space="preserve"> on the </w:t>
            </w:r>
            <w:r w:rsidR="00236E4D" w:rsidRPr="000665B0">
              <w:t xml:space="preserve">desired missile and </w:t>
            </w:r>
            <w:r w:rsidR="00117A42" w:rsidRPr="000665B0">
              <w:t xml:space="preserve">select </w:t>
            </w:r>
            <w:r w:rsidR="00236E4D" w:rsidRPr="000665B0">
              <w:t>Switch Network to ACA or DAMA</w:t>
            </w:r>
            <w:r w:rsidR="00117A42" w:rsidRPr="000665B0">
              <w:t xml:space="preserve">. </w:t>
            </w:r>
            <w:r w:rsidR="00236E4D" w:rsidRPr="000665B0">
              <w:t>(The c</w:t>
            </w:r>
            <w:r w:rsidR="00117A42" w:rsidRPr="000665B0">
              <w:t xml:space="preserve">ontext menu </w:t>
            </w:r>
            <w:r w:rsidR="00236E4D" w:rsidRPr="000665B0">
              <w:t>only</w:t>
            </w:r>
            <w:r w:rsidR="00117A42" w:rsidRPr="000665B0">
              <w:t xml:space="preserve"> display</w:t>
            </w:r>
            <w:r w:rsidR="00236E4D" w:rsidRPr="000665B0">
              <w:t>s</w:t>
            </w:r>
            <w:r w:rsidR="00117A42" w:rsidRPr="000665B0">
              <w:t xml:space="preserve"> the </w:t>
            </w:r>
            <w:r w:rsidR="00236E4D" w:rsidRPr="000665B0">
              <w:t>network type that is not currently selected</w:t>
            </w:r>
            <w:r w:rsidR="001D340B" w:rsidRPr="000665B0">
              <w:t>.</w:t>
            </w:r>
            <w:r w:rsidR="00236E4D" w:rsidRPr="000665B0">
              <w:t>)</w:t>
            </w:r>
          </w:p>
        </w:tc>
        <w:tc>
          <w:tcPr>
            <w:tcW w:w="6003" w:type="dxa"/>
          </w:tcPr>
          <w:p w14:paraId="610D7D53" w14:textId="5E7A2810" w:rsidR="00117A42" w:rsidRPr="000665B0" w:rsidRDefault="00117A42" w:rsidP="0056739E">
            <w:pPr>
              <w:spacing w:before="60" w:after="60" w:line="240" w:lineRule="auto"/>
              <w:rPr>
                <w:bCs/>
                <w:sz w:val="20"/>
              </w:rPr>
            </w:pPr>
            <w:r w:rsidRPr="000665B0">
              <w:rPr>
                <w:bCs/>
                <w:sz w:val="20"/>
              </w:rPr>
              <w:t xml:space="preserve">Ready Spare or Auto Ready Spare </w:t>
            </w:r>
            <w:r w:rsidR="001D340B" w:rsidRPr="000665B0">
              <w:rPr>
                <w:bCs/>
                <w:sz w:val="20"/>
              </w:rPr>
              <w:t>have</w:t>
            </w:r>
            <w:r w:rsidRPr="000665B0">
              <w:rPr>
                <w:bCs/>
                <w:sz w:val="20"/>
              </w:rPr>
              <w:t xml:space="preserve"> the same TSN Network type as that of the primary; hence, switch network type is not available for these two reservation types.</w:t>
            </w:r>
          </w:p>
          <w:p w14:paraId="5D8DB6A9" w14:textId="2063809D" w:rsidR="00117A42" w:rsidRPr="000665B0" w:rsidRDefault="00117A42" w:rsidP="0056739E">
            <w:pPr>
              <w:spacing w:before="60" w:after="60" w:line="240" w:lineRule="auto"/>
              <w:rPr>
                <w:bCs/>
                <w:sz w:val="20"/>
              </w:rPr>
            </w:pPr>
            <w:r w:rsidRPr="000665B0">
              <w:rPr>
                <w:bCs/>
                <w:sz w:val="20"/>
              </w:rPr>
              <w:t xml:space="preserve">If </w:t>
            </w:r>
            <w:r w:rsidR="001D340B" w:rsidRPr="000665B0">
              <w:rPr>
                <w:bCs/>
                <w:sz w:val="20"/>
              </w:rPr>
              <w:t xml:space="preserve">the </w:t>
            </w:r>
            <w:r w:rsidRPr="000665B0">
              <w:rPr>
                <w:bCs/>
                <w:sz w:val="20"/>
              </w:rPr>
              <w:t xml:space="preserve">strike data does not have </w:t>
            </w:r>
            <w:r w:rsidR="001D340B" w:rsidRPr="000665B0">
              <w:rPr>
                <w:bCs/>
                <w:sz w:val="20"/>
              </w:rPr>
              <w:t>C</w:t>
            </w:r>
            <w:r w:rsidRPr="000665B0">
              <w:rPr>
                <w:bCs/>
                <w:sz w:val="20"/>
              </w:rPr>
              <w:t xml:space="preserve">omms data for the TSN network, </w:t>
            </w:r>
            <w:r w:rsidR="001D340B" w:rsidRPr="000665B0">
              <w:rPr>
                <w:bCs/>
                <w:sz w:val="20"/>
              </w:rPr>
              <w:t xml:space="preserve">an </w:t>
            </w:r>
            <w:r w:rsidRPr="000665B0">
              <w:rPr>
                <w:bCs/>
                <w:sz w:val="20"/>
              </w:rPr>
              <w:t xml:space="preserve">error message </w:t>
            </w:r>
            <w:r w:rsidR="001D340B" w:rsidRPr="000665B0">
              <w:rPr>
                <w:bCs/>
                <w:sz w:val="20"/>
              </w:rPr>
              <w:t>is</w:t>
            </w:r>
            <w:r w:rsidRPr="000665B0">
              <w:rPr>
                <w:bCs/>
                <w:sz w:val="20"/>
              </w:rPr>
              <w:t xml:space="preserve"> </w:t>
            </w:r>
            <w:r w:rsidR="006A1F75" w:rsidRPr="000665B0">
              <w:rPr>
                <w:bCs/>
                <w:sz w:val="20"/>
              </w:rPr>
              <w:t>displayed,</w:t>
            </w:r>
            <w:r w:rsidRPr="000665B0">
              <w:rPr>
                <w:bCs/>
                <w:sz w:val="20"/>
              </w:rPr>
              <w:t xml:space="preserve"> and the switch is prevented.</w:t>
            </w:r>
          </w:p>
          <w:p w14:paraId="20A5659C" w14:textId="2449DD6E" w:rsidR="00117A42" w:rsidRPr="000665B0" w:rsidRDefault="00117A42" w:rsidP="0056739E">
            <w:pPr>
              <w:spacing w:before="60" w:after="60" w:line="240" w:lineRule="auto"/>
              <w:rPr>
                <w:bCs/>
                <w:sz w:val="20"/>
              </w:rPr>
            </w:pPr>
            <w:r w:rsidRPr="000665B0">
              <w:rPr>
                <w:bCs/>
                <w:sz w:val="20"/>
              </w:rPr>
              <w:t xml:space="preserve">If there are not enough missiles (in multi-select) for the TSN network, </w:t>
            </w:r>
            <w:r w:rsidR="001D340B" w:rsidRPr="000665B0">
              <w:rPr>
                <w:bCs/>
                <w:sz w:val="20"/>
              </w:rPr>
              <w:t xml:space="preserve">an </w:t>
            </w:r>
            <w:r w:rsidRPr="000665B0">
              <w:rPr>
                <w:bCs/>
                <w:sz w:val="20"/>
              </w:rPr>
              <w:t xml:space="preserve">error message </w:t>
            </w:r>
            <w:r w:rsidR="001D340B" w:rsidRPr="000665B0">
              <w:rPr>
                <w:bCs/>
                <w:sz w:val="20"/>
              </w:rPr>
              <w:t>is</w:t>
            </w:r>
            <w:r w:rsidRPr="000665B0">
              <w:rPr>
                <w:bCs/>
                <w:sz w:val="20"/>
              </w:rPr>
              <w:t xml:space="preserve"> </w:t>
            </w:r>
            <w:r w:rsidR="006A1F75" w:rsidRPr="000665B0">
              <w:rPr>
                <w:bCs/>
                <w:sz w:val="20"/>
              </w:rPr>
              <w:t>displayed,</w:t>
            </w:r>
            <w:r w:rsidRPr="000665B0">
              <w:rPr>
                <w:bCs/>
                <w:sz w:val="20"/>
              </w:rPr>
              <w:t xml:space="preserve"> and the switch is prevented.</w:t>
            </w:r>
          </w:p>
          <w:p w14:paraId="7790DB25" w14:textId="40C088FF" w:rsidR="00117A42" w:rsidRPr="000665B0" w:rsidRDefault="00117A42" w:rsidP="0056739E">
            <w:pPr>
              <w:spacing w:before="60" w:after="60" w:line="240" w:lineRule="auto"/>
              <w:rPr>
                <w:sz w:val="20"/>
              </w:rPr>
            </w:pPr>
            <w:r w:rsidRPr="000665B0">
              <w:rPr>
                <w:bCs/>
                <w:sz w:val="20"/>
              </w:rPr>
              <w:t xml:space="preserve">If there are not enough subscriber IDs for the TSN network, </w:t>
            </w:r>
            <w:r w:rsidR="001D340B" w:rsidRPr="000665B0">
              <w:rPr>
                <w:bCs/>
                <w:sz w:val="20"/>
              </w:rPr>
              <w:t xml:space="preserve">an </w:t>
            </w:r>
            <w:r w:rsidRPr="000665B0">
              <w:rPr>
                <w:bCs/>
                <w:sz w:val="20"/>
              </w:rPr>
              <w:t xml:space="preserve">error message </w:t>
            </w:r>
            <w:r w:rsidR="001D340B" w:rsidRPr="000665B0">
              <w:rPr>
                <w:bCs/>
                <w:sz w:val="20"/>
              </w:rPr>
              <w:t>is</w:t>
            </w:r>
            <w:r w:rsidRPr="000665B0">
              <w:rPr>
                <w:bCs/>
                <w:sz w:val="20"/>
              </w:rPr>
              <w:t xml:space="preserve"> </w:t>
            </w:r>
            <w:r w:rsidR="006A1F75" w:rsidRPr="000665B0">
              <w:rPr>
                <w:bCs/>
                <w:sz w:val="20"/>
              </w:rPr>
              <w:t>displayed,</w:t>
            </w:r>
            <w:r w:rsidRPr="000665B0">
              <w:rPr>
                <w:bCs/>
                <w:sz w:val="20"/>
              </w:rPr>
              <w:t xml:space="preserve"> and the switch is prevented.</w:t>
            </w:r>
          </w:p>
        </w:tc>
      </w:tr>
      <w:tr w:rsidR="00C1621C" w:rsidRPr="000665B0" w14:paraId="70859D3C" w14:textId="77777777" w:rsidTr="00AC2F7D">
        <w:trPr>
          <w:cantSplit/>
        </w:trPr>
        <w:tc>
          <w:tcPr>
            <w:tcW w:w="616" w:type="dxa"/>
          </w:tcPr>
          <w:p w14:paraId="25040F4C" w14:textId="6E7CC5DC" w:rsidR="00C1621C" w:rsidRPr="000665B0" w:rsidRDefault="001D340B" w:rsidP="0056739E">
            <w:pPr>
              <w:spacing w:before="60" w:after="60" w:line="240" w:lineRule="auto"/>
              <w:jc w:val="center"/>
              <w:rPr>
                <w:sz w:val="20"/>
              </w:rPr>
            </w:pPr>
            <w:r w:rsidRPr="000665B0">
              <w:rPr>
                <w:sz w:val="20"/>
              </w:rPr>
              <w:t>2</w:t>
            </w:r>
            <w:r w:rsidR="00BB6F00" w:rsidRPr="000665B0">
              <w:rPr>
                <w:sz w:val="20"/>
              </w:rPr>
              <w:t>2</w:t>
            </w:r>
          </w:p>
        </w:tc>
        <w:tc>
          <w:tcPr>
            <w:tcW w:w="7038" w:type="dxa"/>
          </w:tcPr>
          <w:p w14:paraId="27CB8FB5" w14:textId="77777777" w:rsidR="00C1621C" w:rsidRPr="000665B0" w:rsidRDefault="00C1621C" w:rsidP="0056739E">
            <w:pPr>
              <w:spacing w:before="60" w:after="60" w:line="240" w:lineRule="auto"/>
              <w:rPr>
                <w:sz w:val="20"/>
              </w:rPr>
            </w:pPr>
            <w:r w:rsidRPr="000665B0">
              <w:rPr>
                <w:bCs/>
                <w:sz w:val="20"/>
              </w:rPr>
              <w:t>Verify that the Target is Hit</w:t>
            </w:r>
          </w:p>
          <w:p w14:paraId="4754D5F7" w14:textId="77777777" w:rsidR="00C1621C" w:rsidRPr="000665B0" w:rsidRDefault="00C1621C" w:rsidP="006D5A65">
            <w:pPr>
              <w:pStyle w:val="Heading1"/>
              <w:rPr>
                <w:bCs/>
              </w:rPr>
            </w:pPr>
            <w:r w:rsidRPr="000665B0">
              <w:t>Verify on the SMD and on TSRT that the missile hits the target.</w:t>
            </w:r>
          </w:p>
        </w:tc>
        <w:tc>
          <w:tcPr>
            <w:tcW w:w="6003" w:type="dxa"/>
          </w:tcPr>
          <w:p w14:paraId="1CA13BF3" w14:textId="77777777" w:rsidR="00C1621C" w:rsidRPr="000665B0" w:rsidRDefault="00C1621C" w:rsidP="0056739E">
            <w:pPr>
              <w:spacing w:before="60" w:after="60" w:line="240" w:lineRule="auto"/>
              <w:rPr>
                <w:sz w:val="20"/>
              </w:rPr>
            </w:pPr>
            <w:r w:rsidRPr="000665B0">
              <w:rPr>
                <w:sz w:val="20"/>
              </w:rPr>
              <w:t> </w:t>
            </w:r>
          </w:p>
        </w:tc>
      </w:tr>
      <w:tr w:rsidR="00C1621C" w:rsidRPr="000665B0" w14:paraId="07051F82" w14:textId="77777777" w:rsidTr="00AC2F7D">
        <w:trPr>
          <w:cantSplit/>
        </w:trPr>
        <w:tc>
          <w:tcPr>
            <w:tcW w:w="616" w:type="dxa"/>
          </w:tcPr>
          <w:p w14:paraId="50EDFD55" w14:textId="43BF7A10" w:rsidR="00C1621C" w:rsidRPr="000665B0" w:rsidRDefault="001D340B" w:rsidP="0056739E">
            <w:pPr>
              <w:spacing w:before="60" w:after="60" w:line="240" w:lineRule="auto"/>
              <w:jc w:val="center"/>
              <w:rPr>
                <w:sz w:val="20"/>
              </w:rPr>
            </w:pPr>
            <w:r w:rsidRPr="000665B0">
              <w:rPr>
                <w:sz w:val="20"/>
              </w:rPr>
              <w:t>2</w:t>
            </w:r>
            <w:r w:rsidR="00BB6F00" w:rsidRPr="000665B0">
              <w:rPr>
                <w:sz w:val="20"/>
              </w:rPr>
              <w:t>3</w:t>
            </w:r>
          </w:p>
        </w:tc>
        <w:tc>
          <w:tcPr>
            <w:tcW w:w="7038" w:type="dxa"/>
          </w:tcPr>
          <w:p w14:paraId="551C8D81" w14:textId="77777777" w:rsidR="00C1621C" w:rsidRPr="000665B0" w:rsidRDefault="00C1621C" w:rsidP="0056739E">
            <w:pPr>
              <w:spacing w:before="60" w:after="60" w:line="240" w:lineRule="auto"/>
              <w:rPr>
                <w:bCs/>
                <w:sz w:val="20"/>
              </w:rPr>
            </w:pPr>
            <w:r w:rsidRPr="000665B0">
              <w:rPr>
                <w:bCs/>
                <w:sz w:val="20"/>
              </w:rPr>
              <w:t>Wait for Completion</w:t>
            </w:r>
          </w:p>
          <w:p w14:paraId="436D6FB8" w14:textId="77777777" w:rsidR="00C1621C" w:rsidRPr="000665B0" w:rsidRDefault="00C1621C" w:rsidP="006D5A65">
            <w:pPr>
              <w:pStyle w:val="Heading1"/>
              <w:rPr>
                <w:bCs/>
              </w:rPr>
            </w:pPr>
            <w:r w:rsidRPr="000665B0">
              <w:t>Once the time bar has passed all targets on the SMD, check the SMD and TSRT Missile list view to verify that all missiles have hit their target. All missiles hitting their target indicates that the strike rehearsal has successfully completed.</w:t>
            </w:r>
          </w:p>
        </w:tc>
        <w:tc>
          <w:tcPr>
            <w:tcW w:w="6003" w:type="dxa"/>
          </w:tcPr>
          <w:p w14:paraId="5863C839" w14:textId="77777777" w:rsidR="00C1621C" w:rsidRPr="000665B0" w:rsidRDefault="00C1621C" w:rsidP="0056739E">
            <w:pPr>
              <w:spacing w:before="60" w:after="60" w:line="240" w:lineRule="auto"/>
              <w:rPr>
                <w:sz w:val="20"/>
              </w:rPr>
            </w:pPr>
            <w:r w:rsidRPr="000665B0">
              <w:rPr>
                <w:sz w:val="20"/>
              </w:rPr>
              <w:t> </w:t>
            </w:r>
          </w:p>
        </w:tc>
      </w:tr>
      <w:tr w:rsidR="00C1621C" w:rsidRPr="000665B0" w14:paraId="58F59091" w14:textId="77777777" w:rsidTr="00AC2F7D">
        <w:trPr>
          <w:cantSplit/>
        </w:trPr>
        <w:tc>
          <w:tcPr>
            <w:tcW w:w="616" w:type="dxa"/>
          </w:tcPr>
          <w:p w14:paraId="5CB74E6F" w14:textId="23BA9C71" w:rsidR="00C1621C" w:rsidRPr="000665B0" w:rsidRDefault="001D340B" w:rsidP="0056739E">
            <w:pPr>
              <w:spacing w:before="60" w:after="60" w:line="240" w:lineRule="auto"/>
              <w:jc w:val="center"/>
              <w:rPr>
                <w:sz w:val="20"/>
              </w:rPr>
            </w:pPr>
            <w:r w:rsidRPr="000665B0">
              <w:rPr>
                <w:sz w:val="20"/>
              </w:rPr>
              <w:t>2</w:t>
            </w:r>
            <w:r w:rsidR="00DA3F43" w:rsidRPr="000665B0">
              <w:rPr>
                <w:sz w:val="20"/>
              </w:rPr>
              <w:t>4</w:t>
            </w:r>
          </w:p>
        </w:tc>
        <w:tc>
          <w:tcPr>
            <w:tcW w:w="7038" w:type="dxa"/>
          </w:tcPr>
          <w:p w14:paraId="7F48E351" w14:textId="77777777" w:rsidR="00C1621C" w:rsidRPr="000665B0" w:rsidRDefault="00C1621C" w:rsidP="0056739E">
            <w:pPr>
              <w:spacing w:before="60" w:after="60" w:line="240" w:lineRule="auto"/>
              <w:rPr>
                <w:bCs/>
                <w:sz w:val="20"/>
              </w:rPr>
            </w:pPr>
            <w:r w:rsidRPr="000665B0">
              <w:rPr>
                <w:bCs/>
                <w:sz w:val="20"/>
              </w:rPr>
              <w:t>Properly Close Rehearsal</w:t>
            </w:r>
          </w:p>
          <w:p w14:paraId="2A45A951" w14:textId="77777777" w:rsidR="00C1621C" w:rsidRPr="000665B0" w:rsidRDefault="00C1621C" w:rsidP="006D5A65">
            <w:pPr>
              <w:pStyle w:val="Heading1"/>
            </w:pPr>
            <w:r w:rsidRPr="000665B0">
              <w:t xml:space="preserve">In the SMD, select File </w:t>
            </w:r>
            <w:r w:rsidRPr="000665B0">
              <w:sym w:font="Wingdings" w:char="F0E0"/>
            </w:r>
            <w:r w:rsidRPr="000665B0">
              <w:t xml:space="preserve"> Close.</w:t>
            </w:r>
          </w:p>
          <w:p w14:paraId="4D7D4AE3" w14:textId="77777777" w:rsidR="00C1621C" w:rsidRPr="000665B0" w:rsidRDefault="00C1621C" w:rsidP="006D5A65">
            <w:pPr>
              <w:pStyle w:val="Heading1"/>
            </w:pPr>
            <w:r w:rsidRPr="000665B0">
              <w:t xml:space="preserve">The </w:t>
            </w:r>
            <w:r w:rsidRPr="000665B0">
              <w:rPr>
                <w:i/>
              </w:rPr>
              <w:t>TED Strike Execution</w:t>
            </w:r>
            <w:r w:rsidRPr="000665B0">
              <w:t xml:space="preserve"> window is displayed with the prompt Do you want to stop TED execution? Selecting No will result in the Execution continuing to run in TED. </w:t>
            </w:r>
          </w:p>
          <w:p w14:paraId="5AAEC4B9" w14:textId="77777777" w:rsidR="00C1621C" w:rsidRPr="000665B0" w:rsidRDefault="00C1621C" w:rsidP="006D5A65">
            <w:pPr>
              <w:pStyle w:val="Heading1"/>
            </w:pPr>
            <w:r w:rsidRPr="000665B0">
              <w:t>Click Yes to close the SMD.</w:t>
            </w:r>
          </w:p>
          <w:p w14:paraId="7DBDDA60" w14:textId="77777777" w:rsidR="00C1621C" w:rsidRPr="000665B0" w:rsidRDefault="00C1621C" w:rsidP="006D5A65">
            <w:pPr>
              <w:pStyle w:val="Heading1"/>
            </w:pPr>
            <w:r w:rsidRPr="000665B0">
              <w:t xml:space="preserve">In the </w:t>
            </w:r>
            <w:r w:rsidRPr="000665B0">
              <w:rPr>
                <w:i/>
              </w:rPr>
              <w:t xml:space="preserve">TSRT Scenario Director </w:t>
            </w:r>
            <w:r w:rsidRPr="000665B0">
              <w:t xml:space="preserve">window, select File </w:t>
            </w:r>
            <w:r w:rsidRPr="000665B0">
              <w:sym w:font="Wingdings" w:char="F0E0"/>
            </w:r>
            <w:r w:rsidRPr="000665B0">
              <w:t xml:space="preserve"> Unload Rehearsal.</w:t>
            </w:r>
          </w:p>
          <w:p w14:paraId="776F87A9" w14:textId="355475C8" w:rsidR="00C1621C" w:rsidRPr="000665B0" w:rsidRDefault="00C1621C" w:rsidP="006D5A65">
            <w:pPr>
              <w:pStyle w:val="Heading1"/>
            </w:pPr>
            <w:r w:rsidRPr="000665B0">
              <w:t xml:space="preserve">The </w:t>
            </w:r>
            <w:r w:rsidRPr="000665B0">
              <w:rPr>
                <w:i/>
              </w:rPr>
              <w:t>Unload Rehearsal</w:t>
            </w:r>
            <w:r w:rsidRPr="000665B0">
              <w:t xml:space="preserve"> window is displayed with the prompt Are you sure you want to unload the rehearsal?</w:t>
            </w:r>
          </w:p>
          <w:p w14:paraId="0CB46917" w14:textId="77777777" w:rsidR="00C1621C" w:rsidRPr="000665B0" w:rsidRDefault="00C1621C" w:rsidP="006D5A65">
            <w:pPr>
              <w:pStyle w:val="Heading1"/>
            </w:pPr>
            <w:r w:rsidRPr="000665B0">
              <w:t>Click Yes to close TSRT.</w:t>
            </w:r>
          </w:p>
        </w:tc>
        <w:tc>
          <w:tcPr>
            <w:tcW w:w="6003" w:type="dxa"/>
          </w:tcPr>
          <w:p w14:paraId="0030533A" w14:textId="77777777" w:rsidR="00C1621C" w:rsidRPr="000665B0" w:rsidRDefault="00C1621C" w:rsidP="0056739E">
            <w:pPr>
              <w:spacing w:before="60" w:after="60" w:line="240" w:lineRule="auto"/>
              <w:rPr>
                <w:sz w:val="20"/>
              </w:rPr>
            </w:pPr>
          </w:p>
        </w:tc>
      </w:tr>
    </w:tbl>
    <w:p w14:paraId="5FB7E2DE" w14:textId="1F3E466F" w:rsidR="00C1621C" w:rsidRPr="000665B0" w:rsidRDefault="00C1621C" w:rsidP="0056739E">
      <w:pPr>
        <w:pStyle w:val="Appendix2"/>
        <w:keepNext/>
      </w:pPr>
      <w:bookmarkStart w:id="8067" w:name="_Q-2__CASE"/>
      <w:bookmarkStart w:id="8068" w:name="_Toc214283727"/>
      <w:bookmarkEnd w:id="8067"/>
      <w:r w:rsidRPr="000665B0">
        <w:lastRenderedPageBreak/>
        <w:t>CASE B: STRIKE REHEARSAL WITH TIME SHIFTS, REASSIGNMENTS, AND GHOST ASSIGNMENT</w:t>
      </w:r>
      <w:bookmarkEnd w:id="8068"/>
    </w:p>
    <w:tbl>
      <w:tblPr>
        <w:tblW w:w="13714" w:type="dxa"/>
        <w:tblInd w:w="108" w:type="dxa"/>
        <w:tblLook w:val="0000" w:firstRow="0" w:lastRow="0" w:firstColumn="0" w:lastColumn="0" w:noHBand="0" w:noVBand="0"/>
      </w:tblPr>
      <w:tblGrid>
        <w:gridCol w:w="13714"/>
      </w:tblGrid>
      <w:tr w:rsidR="00C1621C" w:rsidRPr="000665B0" w14:paraId="5B833A17" w14:textId="77777777" w:rsidTr="0056739E">
        <w:trPr>
          <w:cantSplit/>
        </w:trPr>
        <w:tc>
          <w:tcPr>
            <w:tcW w:w="13714" w:type="dxa"/>
            <w:tcBorders>
              <w:top w:val="single" w:sz="4" w:space="0" w:color="auto"/>
              <w:left w:val="single" w:sz="4" w:space="0" w:color="auto"/>
              <w:bottom w:val="single" w:sz="4" w:space="0" w:color="auto"/>
              <w:right w:val="single" w:sz="4" w:space="0" w:color="000000"/>
            </w:tcBorders>
            <w:shd w:val="clear" w:color="auto" w:fill="D9D9D9" w:themeFill="background1" w:themeFillShade="D9"/>
          </w:tcPr>
          <w:p w14:paraId="2C873EDC" w14:textId="77777777" w:rsidR="00C1621C" w:rsidRPr="000665B0" w:rsidRDefault="00C1621C" w:rsidP="00346248">
            <w:pPr>
              <w:keepNext/>
              <w:spacing w:before="60" w:after="60" w:line="240" w:lineRule="auto"/>
              <w:rPr>
                <w:b/>
                <w:bCs/>
                <w:sz w:val="20"/>
              </w:rPr>
            </w:pPr>
            <w:r w:rsidRPr="000665B0">
              <w:rPr>
                <w:b/>
                <w:bCs/>
                <w:sz w:val="20"/>
              </w:rPr>
              <w:t>Objective</w:t>
            </w:r>
          </w:p>
        </w:tc>
      </w:tr>
      <w:tr w:rsidR="00C1621C" w:rsidRPr="000665B0" w14:paraId="35C1E995" w14:textId="77777777" w:rsidTr="0056739E">
        <w:trPr>
          <w:cantSplit/>
        </w:trPr>
        <w:tc>
          <w:tcPr>
            <w:tcW w:w="13714" w:type="dxa"/>
            <w:tcBorders>
              <w:top w:val="single" w:sz="4" w:space="0" w:color="auto"/>
              <w:left w:val="single" w:sz="4" w:space="0" w:color="auto"/>
              <w:bottom w:val="single" w:sz="4" w:space="0" w:color="auto"/>
              <w:right w:val="single" w:sz="4" w:space="0" w:color="000000"/>
            </w:tcBorders>
          </w:tcPr>
          <w:p w14:paraId="545858B9" w14:textId="77777777" w:rsidR="00C1621C" w:rsidRPr="000665B0" w:rsidRDefault="00C1621C" w:rsidP="00346248">
            <w:pPr>
              <w:keepNext/>
              <w:spacing w:before="60" w:after="60" w:line="240" w:lineRule="auto"/>
              <w:rPr>
                <w:sz w:val="20"/>
              </w:rPr>
            </w:pPr>
            <w:r w:rsidRPr="000665B0">
              <w:rPr>
                <w:sz w:val="20"/>
              </w:rPr>
              <w:t>The objective of this case is to run a Strike Rehearsal to show the shifting of launch time of the missiles, the reassignment of missiles to different FRUs, and assigning Ghost missions.</w:t>
            </w:r>
          </w:p>
          <w:p w14:paraId="5C509F46" w14:textId="77777777" w:rsidR="00C1621C" w:rsidRPr="000665B0" w:rsidRDefault="00C1621C" w:rsidP="00346248">
            <w:pPr>
              <w:keepNext/>
              <w:spacing w:before="60" w:after="60" w:line="240" w:lineRule="auto"/>
              <w:rPr>
                <w:sz w:val="20"/>
              </w:rPr>
            </w:pPr>
            <w:r w:rsidRPr="000665B0">
              <w:rPr>
                <w:sz w:val="20"/>
              </w:rPr>
              <w:t>This case demonstrates the different methods (Option, FRU, and Missile) of time shifts.</w:t>
            </w:r>
          </w:p>
          <w:p w14:paraId="1BFB3A1E" w14:textId="77777777" w:rsidR="00C1621C" w:rsidRPr="000665B0" w:rsidRDefault="00C1621C" w:rsidP="00346248">
            <w:pPr>
              <w:keepNext/>
              <w:spacing w:before="60" w:after="60" w:line="240" w:lineRule="auto"/>
              <w:rPr>
                <w:sz w:val="20"/>
              </w:rPr>
            </w:pPr>
            <w:r w:rsidRPr="000665B0">
              <w:rPr>
                <w:sz w:val="20"/>
              </w:rPr>
              <w:t>This case demonstrates FRU Reassignment and Ghost Assignment.</w:t>
            </w:r>
          </w:p>
          <w:p w14:paraId="0FF143C7" w14:textId="40271583" w:rsidR="00C1621C" w:rsidRPr="000665B0" w:rsidRDefault="00C1621C" w:rsidP="00346248">
            <w:pPr>
              <w:keepNext/>
              <w:spacing w:before="60" w:after="60" w:line="240" w:lineRule="auto"/>
              <w:rPr>
                <w:sz w:val="20"/>
              </w:rPr>
            </w:pPr>
            <w:r w:rsidRPr="000665B0">
              <w:rPr>
                <w:sz w:val="20"/>
              </w:rPr>
              <w:t xml:space="preserve">This case needs to be run on both </w:t>
            </w:r>
            <w:r w:rsidR="00B54FFB">
              <w:rPr>
                <w:sz w:val="20"/>
              </w:rPr>
              <w:t xml:space="preserve">TSC </w:t>
            </w:r>
            <w:r w:rsidRPr="000665B0">
              <w:rPr>
                <w:sz w:val="20"/>
              </w:rPr>
              <w:t>and</w:t>
            </w:r>
            <w:r w:rsidR="00B54FFB">
              <w:rPr>
                <w:sz w:val="20"/>
              </w:rPr>
              <w:t xml:space="preserve"> ATSC </w:t>
            </w:r>
            <w:r w:rsidRPr="000665B0">
              <w:rPr>
                <w:sz w:val="20"/>
              </w:rPr>
              <w:t>machines to ensure that updates are occurring on both machines.</w:t>
            </w:r>
          </w:p>
        </w:tc>
      </w:tr>
      <w:tr w:rsidR="00C1621C" w:rsidRPr="000665B0" w14:paraId="640C0FDA" w14:textId="77777777" w:rsidTr="0056739E">
        <w:trPr>
          <w:cantSplit/>
        </w:trPr>
        <w:tc>
          <w:tcPr>
            <w:tcW w:w="13714" w:type="dxa"/>
            <w:tcBorders>
              <w:top w:val="single" w:sz="4" w:space="0" w:color="auto"/>
              <w:left w:val="single" w:sz="4" w:space="0" w:color="auto"/>
              <w:bottom w:val="single" w:sz="4" w:space="0" w:color="auto"/>
              <w:right w:val="single" w:sz="4" w:space="0" w:color="000000"/>
            </w:tcBorders>
            <w:shd w:val="clear" w:color="auto" w:fill="D9D9D9" w:themeFill="background1" w:themeFillShade="D9"/>
            <w:noWrap/>
          </w:tcPr>
          <w:p w14:paraId="6B2ACD1F" w14:textId="77777777" w:rsidR="00C1621C" w:rsidRPr="000665B0" w:rsidRDefault="00C1621C" w:rsidP="00346248">
            <w:pPr>
              <w:spacing w:before="60" w:after="60" w:line="240" w:lineRule="auto"/>
              <w:rPr>
                <w:b/>
                <w:bCs/>
                <w:sz w:val="20"/>
              </w:rPr>
            </w:pPr>
            <w:r w:rsidRPr="000665B0">
              <w:rPr>
                <w:b/>
                <w:bCs/>
                <w:sz w:val="20"/>
              </w:rPr>
              <w:t xml:space="preserve">Prerequisites </w:t>
            </w:r>
          </w:p>
        </w:tc>
      </w:tr>
      <w:tr w:rsidR="00C1621C" w:rsidRPr="000665B0" w14:paraId="63FCAAA0" w14:textId="77777777" w:rsidTr="0056739E">
        <w:trPr>
          <w:cantSplit/>
        </w:trPr>
        <w:tc>
          <w:tcPr>
            <w:tcW w:w="13714" w:type="dxa"/>
            <w:tcBorders>
              <w:top w:val="single" w:sz="4" w:space="0" w:color="auto"/>
              <w:left w:val="single" w:sz="4" w:space="0" w:color="auto"/>
              <w:bottom w:val="single" w:sz="4" w:space="0" w:color="auto"/>
              <w:right w:val="single" w:sz="4" w:space="0" w:color="000000"/>
            </w:tcBorders>
          </w:tcPr>
          <w:p w14:paraId="3DC9061F" w14:textId="77777777" w:rsidR="00C1621C" w:rsidRPr="000665B0" w:rsidRDefault="00C1621C" w:rsidP="00346248">
            <w:pPr>
              <w:spacing w:before="60" w:after="60" w:line="240" w:lineRule="auto"/>
              <w:rPr>
                <w:sz w:val="20"/>
              </w:rPr>
            </w:pPr>
            <w:r w:rsidRPr="000665B0">
              <w:rPr>
                <w:sz w:val="20"/>
              </w:rPr>
              <w:t>1. Ensure that the Pre</w:t>
            </w:r>
            <w:r w:rsidRPr="000665B0">
              <w:rPr>
                <w:bCs/>
                <w:sz w:val="20"/>
              </w:rPr>
              <w:t>requisites</w:t>
            </w:r>
            <w:r w:rsidRPr="000665B0">
              <w:rPr>
                <w:b/>
                <w:bCs/>
                <w:sz w:val="20"/>
              </w:rPr>
              <w:t xml:space="preserve"> </w:t>
            </w:r>
            <w:r w:rsidRPr="000665B0">
              <w:rPr>
                <w:sz w:val="20"/>
              </w:rPr>
              <w:t xml:space="preserve">from </w:t>
            </w:r>
            <w:r w:rsidRPr="000665B0">
              <w:rPr>
                <w:bCs/>
                <w:sz w:val="20"/>
              </w:rPr>
              <w:t>Case A have been met</w:t>
            </w:r>
            <w:r w:rsidRPr="000665B0">
              <w:rPr>
                <w:sz w:val="20"/>
              </w:rPr>
              <w:t>.</w:t>
            </w:r>
          </w:p>
        </w:tc>
      </w:tr>
    </w:tbl>
    <w:p w14:paraId="6F2AB462" w14:textId="77777777" w:rsidR="00C1621C" w:rsidRPr="000665B0" w:rsidRDefault="00C1621C" w:rsidP="00C1621C"/>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
        <w:gridCol w:w="7222"/>
        <w:gridCol w:w="5828"/>
      </w:tblGrid>
      <w:tr w:rsidR="00C1621C" w:rsidRPr="000665B0" w14:paraId="69E4AE29" w14:textId="77777777" w:rsidTr="0056739E">
        <w:trPr>
          <w:cantSplit/>
          <w:tblHeader/>
        </w:trPr>
        <w:tc>
          <w:tcPr>
            <w:tcW w:w="630" w:type="dxa"/>
            <w:shd w:val="clear" w:color="auto" w:fill="D9D9D9" w:themeFill="background1" w:themeFillShade="D9"/>
          </w:tcPr>
          <w:p w14:paraId="545701E5" w14:textId="77777777" w:rsidR="00C1621C" w:rsidRPr="000665B0" w:rsidRDefault="00C1621C" w:rsidP="00346248">
            <w:pPr>
              <w:spacing w:before="60" w:after="60" w:line="240" w:lineRule="auto"/>
              <w:jc w:val="center"/>
              <w:rPr>
                <w:b/>
                <w:bCs/>
                <w:sz w:val="20"/>
              </w:rPr>
            </w:pPr>
            <w:r w:rsidRPr="000665B0">
              <w:rPr>
                <w:b/>
                <w:bCs/>
                <w:sz w:val="20"/>
              </w:rPr>
              <w:t>Step</w:t>
            </w:r>
          </w:p>
        </w:tc>
        <w:tc>
          <w:tcPr>
            <w:tcW w:w="7222" w:type="dxa"/>
            <w:shd w:val="clear" w:color="auto" w:fill="D9D9D9" w:themeFill="background1" w:themeFillShade="D9"/>
          </w:tcPr>
          <w:p w14:paraId="28F0966B" w14:textId="77777777" w:rsidR="00C1621C" w:rsidRPr="000665B0" w:rsidRDefault="00C1621C" w:rsidP="00346248">
            <w:pPr>
              <w:spacing w:before="60" w:after="60" w:line="240" w:lineRule="auto"/>
              <w:jc w:val="center"/>
              <w:rPr>
                <w:b/>
                <w:bCs/>
                <w:sz w:val="20"/>
              </w:rPr>
            </w:pPr>
            <w:r w:rsidRPr="000665B0">
              <w:rPr>
                <w:b/>
                <w:bCs/>
                <w:sz w:val="20"/>
              </w:rPr>
              <w:t>Operator Action</w:t>
            </w:r>
          </w:p>
        </w:tc>
        <w:tc>
          <w:tcPr>
            <w:tcW w:w="5828" w:type="dxa"/>
            <w:shd w:val="clear" w:color="auto" w:fill="D9D9D9" w:themeFill="background1" w:themeFillShade="D9"/>
          </w:tcPr>
          <w:p w14:paraId="30C753C0" w14:textId="77777777" w:rsidR="00C1621C" w:rsidRPr="000665B0" w:rsidRDefault="00C1621C" w:rsidP="00346248">
            <w:pPr>
              <w:spacing w:before="60" w:after="60" w:line="240" w:lineRule="auto"/>
              <w:jc w:val="center"/>
              <w:rPr>
                <w:b/>
                <w:bCs/>
                <w:sz w:val="20"/>
              </w:rPr>
            </w:pPr>
            <w:r w:rsidRPr="000665B0">
              <w:rPr>
                <w:b/>
                <w:bCs/>
                <w:sz w:val="20"/>
              </w:rPr>
              <w:t>Notes/Comments</w:t>
            </w:r>
          </w:p>
        </w:tc>
      </w:tr>
      <w:tr w:rsidR="00C1621C" w:rsidRPr="000665B0" w14:paraId="288B6AA4" w14:textId="77777777" w:rsidTr="0056739E">
        <w:trPr>
          <w:cantSplit/>
        </w:trPr>
        <w:tc>
          <w:tcPr>
            <w:tcW w:w="630" w:type="dxa"/>
          </w:tcPr>
          <w:p w14:paraId="04FA4AB1" w14:textId="77777777" w:rsidR="00C1621C" w:rsidRPr="000665B0" w:rsidRDefault="00C1621C" w:rsidP="00346248">
            <w:pPr>
              <w:spacing w:before="60" w:after="60" w:line="240" w:lineRule="auto"/>
              <w:jc w:val="center"/>
              <w:rPr>
                <w:sz w:val="20"/>
              </w:rPr>
            </w:pPr>
            <w:r w:rsidRPr="000665B0">
              <w:rPr>
                <w:sz w:val="20"/>
              </w:rPr>
              <w:t>1</w:t>
            </w:r>
          </w:p>
        </w:tc>
        <w:tc>
          <w:tcPr>
            <w:tcW w:w="7222" w:type="dxa"/>
          </w:tcPr>
          <w:p w14:paraId="11101C14" w14:textId="77777777" w:rsidR="00C1621C" w:rsidRPr="000665B0" w:rsidRDefault="00C1621C" w:rsidP="00346248">
            <w:pPr>
              <w:spacing w:before="60" w:after="60" w:line="240" w:lineRule="auto"/>
              <w:rPr>
                <w:bCs/>
                <w:sz w:val="20"/>
              </w:rPr>
            </w:pPr>
            <w:r w:rsidRPr="000665B0">
              <w:rPr>
                <w:bCs/>
                <w:sz w:val="20"/>
              </w:rPr>
              <w:t>Start TSRT</w:t>
            </w:r>
          </w:p>
          <w:p w14:paraId="3211F273" w14:textId="77777777" w:rsidR="00C1621C" w:rsidRPr="000665B0" w:rsidRDefault="00C1621C" w:rsidP="006D5A65">
            <w:pPr>
              <w:pStyle w:val="Heading1"/>
            </w:pPr>
            <w:r w:rsidRPr="000665B0">
              <w:t>Perform Steps 1-8 from Case A.</w:t>
            </w:r>
          </w:p>
          <w:p w14:paraId="758EEEAE" w14:textId="77777777" w:rsidR="00C1621C" w:rsidRPr="000665B0" w:rsidRDefault="00C1621C" w:rsidP="006D5A65">
            <w:pPr>
              <w:pStyle w:val="Heading1"/>
              <w:rPr>
                <w:bCs/>
              </w:rPr>
            </w:pPr>
            <w:r w:rsidRPr="000665B0">
              <w:t>Verify that the SMD and TSRT are running at the slowest speed (1X) with the current time being about one hour before the first missile launch. No LERs or OWRs should have been sent or received at this point.</w:t>
            </w:r>
          </w:p>
        </w:tc>
        <w:tc>
          <w:tcPr>
            <w:tcW w:w="5828" w:type="dxa"/>
          </w:tcPr>
          <w:p w14:paraId="07677F4D" w14:textId="77777777" w:rsidR="00C1621C" w:rsidRPr="000665B0" w:rsidRDefault="00C1621C" w:rsidP="00346248">
            <w:pPr>
              <w:spacing w:before="60" w:after="60" w:line="240" w:lineRule="auto"/>
              <w:rPr>
                <w:sz w:val="20"/>
              </w:rPr>
            </w:pPr>
          </w:p>
        </w:tc>
      </w:tr>
      <w:tr w:rsidR="00C1621C" w:rsidRPr="000665B0" w14:paraId="34F67175" w14:textId="77777777" w:rsidTr="0056739E">
        <w:trPr>
          <w:cantSplit/>
        </w:trPr>
        <w:tc>
          <w:tcPr>
            <w:tcW w:w="630" w:type="dxa"/>
          </w:tcPr>
          <w:p w14:paraId="0786DBDD" w14:textId="77777777" w:rsidR="00C1621C" w:rsidRPr="000665B0" w:rsidRDefault="00C1621C" w:rsidP="00346248">
            <w:pPr>
              <w:spacing w:before="60" w:after="60" w:line="240" w:lineRule="auto"/>
              <w:jc w:val="center"/>
              <w:rPr>
                <w:sz w:val="20"/>
              </w:rPr>
            </w:pPr>
            <w:r w:rsidRPr="000665B0">
              <w:rPr>
                <w:sz w:val="20"/>
              </w:rPr>
              <w:t>2</w:t>
            </w:r>
          </w:p>
        </w:tc>
        <w:tc>
          <w:tcPr>
            <w:tcW w:w="7222" w:type="dxa"/>
          </w:tcPr>
          <w:p w14:paraId="5BAD6F4C" w14:textId="5AE1A427" w:rsidR="00C1621C" w:rsidRPr="000665B0" w:rsidRDefault="00C1621C" w:rsidP="00346248">
            <w:pPr>
              <w:spacing w:before="60" w:after="60" w:line="240" w:lineRule="auto"/>
              <w:rPr>
                <w:bCs/>
                <w:sz w:val="20"/>
              </w:rPr>
            </w:pPr>
            <w:r w:rsidRPr="000665B0">
              <w:rPr>
                <w:bCs/>
                <w:sz w:val="20"/>
              </w:rPr>
              <w:t>Shift Entire Strike Time (see</w:t>
            </w:r>
            <w:r w:rsidR="00BC0595" w:rsidRPr="000665B0">
              <w:rPr>
                <w:bCs/>
                <w:sz w:val="20"/>
              </w:rPr>
              <w:t xml:space="preserve"> </w:t>
            </w:r>
            <w:hyperlink w:anchor="_Shift_Strike_Times_1" w:history="1">
              <w:r w:rsidR="009326FE" w:rsidRPr="000665B0">
                <w:rPr>
                  <w:rStyle w:val="Hyperlink"/>
                  <w:bCs/>
                  <w:sz w:val="20"/>
                </w:rPr>
                <w:t xml:space="preserve">Section </w:t>
              </w:r>
              <w:r w:rsidR="004231CC">
                <w:rPr>
                  <w:rStyle w:val="Hyperlink"/>
                  <w:bCs/>
                  <w:sz w:val="20"/>
                </w:rPr>
                <w:t>5.34</w:t>
              </w:r>
              <w:r w:rsidR="00BC0595" w:rsidRPr="000665B0">
                <w:rPr>
                  <w:rStyle w:val="Hyperlink"/>
                  <w:bCs/>
                  <w:sz w:val="20"/>
                </w:rPr>
                <w:t>.7.1.19</w:t>
              </w:r>
            </w:hyperlink>
            <w:r w:rsidRPr="000665B0">
              <w:rPr>
                <w:bCs/>
                <w:sz w:val="20"/>
              </w:rPr>
              <w:t>)</w:t>
            </w:r>
            <w:r w:rsidR="00BC0595" w:rsidRPr="000665B0">
              <w:rPr>
                <w:bCs/>
                <w:sz w:val="20"/>
              </w:rPr>
              <w:t>.</w:t>
            </w:r>
          </w:p>
          <w:p w14:paraId="2793916D" w14:textId="4405740A" w:rsidR="00C1621C" w:rsidRPr="000665B0" w:rsidRDefault="00C1621C" w:rsidP="006D5A65">
            <w:pPr>
              <w:pStyle w:val="Heading1"/>
              <w:rPr>
                <w:bCs/>
              </w:rPr>
            </w:pPr>
            <w:r w:rsidRPr="000665B0">
              <w:t xml:space="preserve">In the </w:t>
            </w:r>
            <w:r w:rsidRPr="000665B0">
              <w:rPr>
                <w:i/>
              </w:rPr>
              <w:t>Options</w:t>
            </w:r>
            <w:r w:rsidRPr="000665B0">
              <w:t xml:space="preserve"> tab, </w:t>
            </w:r>
            <w:r w:rsidR="00D71804" w:rsidRPr="000665B0">
              <w:t>right-click</w:t>
            </w:r>
            <w:r w:rsidRPr="000665B0">
              <w:t xml:space="preserve"> on the Option and select Shift Strike Times. The </w:t>
            </w:r>
            <w:r w:rsidRPr="000665B0">
              <w:rPr>
                <w:i/>
              </w:rPr>
              <w:t>Shift Strike Times</w:t>
            </w:r>
            <w:r w:rsidRPr="000665B0">
              <w:t xml:space="preserve"> window is displayed.</w:t>
            </w:r>
          </w:p>
          <w:p w14:paraId="633EBBC4" w14:textId="77777777" w:rsidR="00C1621C" w:rsidRPr="000665B0" w:rsidRDefault="00C1621C" w:rsidP="006D5A65">
            <w:pPr>
              <w:pStyle w:val="Heading1"/>
              <w:rPr>
                <w:bCs/>
              </w:rPr>
            </w:pPr>
            <w:r w:rsidRPr="000665B0">
              <w:t>Select Later and then select 1 in the Hour pull down menu.</w:t>
            </w:r>
          </w:p>
          <w:p w14:paraId="78B63EBE" w14:textId="77777777" w:rsidR="00C1621C" w:rsidRPr="000665B0" w:rsidRDefault="00C1621C" w:rsidP="006D5A65">
            <w:pPr>
              <w:pStyle w:val="Heading1"/>
              <w:rPr>
                <w:bCs/>
              </w:rPr>
            </w:pPr>
            <w:r w:rsidRPr="000665B0">
              <w:t>On the Gantt Chart, verify that all missiles have shifted one hour to the right.</w:t>
            </w:r>
          </w:p>
        </w:tc>
        <w:tc>
          <w:tcPr>
            <w:tcW w:w="5828" w:type="dxa"/>
          </w:tcPr>
          <w:p w14:paraId="0291F87C" w14:textId="77777777" w:rsidR="00C1621C" w:rsidRPr="000665B0" w:rsidRDefault="00C1621C" w:rsidP="00346248">
            <w:pPr>
              <w:spacing w:before="60" w:after="60" w:line="240" w:lineRule="auto"/>
              <w:rPr>
                <w:sz w:val="20"/>
              </w:rPr>
            </w:pPr>
            <w:r w:rsidRPr="000665B0">
              <w:rPr>
                <w:sz w:val="20"/>
              </w:rPr>
              <w:t> </w:t>
            </w:r>
          </w:p>
        </w:tc>
      </w:tr>
      <w:tr w:rsidR="00C1621C" w:rsidRPr="000665B0" w14:paraId="16ACE5E8" w14:textId="77777777" w:rsidTr="0056739E">
        <w:trPr>
          <w:cantSplit/>
        </w:trPr>
        <w:tc>
          <w:tcPr>
            <w:tcW w:w="630" w:type="dxa"/>
          </w:tcPr>
          <w:p w14:paraId="6D6B6920" w14:textId="77777777" w:rsidR="00C1621C" w:rsidRPr="000665B0" w:rsidRDefault="00C1621C" w:rsidP="00346248">
            <w:pPr>
              <w:spacing w:before="60" w:after="60" w:line="240" w:lineRule="auto"/>
              <w:jc w:val="center"/>
              <w:rPr>
                <w:sz w:val="20"/>
              </w:rPr>
            </w:pPr>
            <w:r w:rsidRPr="000665B0">
              <w:rPr>
                <w:sz w:val="20"/>
              </w:rPr>
              <w:t>3</w:t>
            </w:r>
          </w:p>
        </w:tc>
        <w:tc>
          <w:tcPr>
            <w:tcW w:w="7222" w:type="dxa"/>
          </w:tcPr>
          <w:p w14:paraId="4CACD661" w14:textId="77777777" w:rsidR="00C1621C" w:rsidRPr="000665B0" w:rsidRDefault="00C1621C" w:rsidP="00346248">
            <w:pPr>
              <w:spacing w:before="60" w:after="60" w:line="240" w:lineRule="auto"/>
              <w:rPr>
                <w:bCs/>
                <w:sz w:val="20"/>
              </w:rPr>
            </w:pPr>
            <w:r w:rsidRPr="000665B0">
              <w:rPr>
                <w:bCs/>
                <w:sz w:val="20"/>
              </w:rPr>
              <w:t>Shift FRU Strike Time</w:t>
            </w:r>
          </w:p>
          <w:p w14:paraId="1DA9147E" w14:textId="08E23A61" w:rsidR="00C1621C" w:rsidRPr="000665B0" w:rsidRDefault="00C1621C" w:rsidP="006D5A65">
            <w:pPr>
              <w:pStyle w:val="Heading1"/>
              <w:rPr>
                <w:bCs/>
              </w:rPr>
            </w:pPr>
            <w:r w:rsidRPr="000665B0">
              <w:t xml:space="preserve">In the SMD’s FRU Status tab, </w:t>
            </w:r>
            <w:r w:rsidR="00D71804" w:rsidRPr="000665B0">
              <w:t>right-click</w:t>
            </w:r>
            <w:r w:rsidRPr="000665B0">
              <w:t xml:space="preserve"> on a FRU and select Shift Time. The </w:t>
            </w:r>
            <w:r w:rsidRPr="000665B0">
              <w:rPr>
                <w:i/>
              </w:rPr>
              <w:t>Shift Strike Times</w:t>
            </w:r>
            <w:r w:rsidRPr="000665B0">
              <w:t xml:space="preserve"> window is displayed.</w:t>
            </w:r>
          </w:p>
          <w:p w14:paraId="7A83E3A9" w14:textId="77777777" w:rsidR="00C1621C" w:rsidRPr="000665B0" w:rsidRDefault="00C1621C" w:rsidP="006D5A65">
            <w:pPr>
              <w:pStyle w:val="Heading1"/>
              <w:rPr>
                <w:bCs/>
              </w:rPr>
            </w:pPr>
            <w:r w:rsidRPr="000665B0">
              <w:t>Select Earlier and then select 1 in the Hour pull down menu.</w:t>
            </w:r>
          </w:p>
          <w:p w14:paraId="30C1CBF2" w14:textId="77777777" w:rsidR="00C1621C" w:rsidRPr="000665B0" w:rsidRDefault="00C1621C" w:rsidP="006D5A65">
            <w:pPr>
              <w:pStyle w:val="Heading1"/>
              <w:rPr>
                <w:bCs/>
              </w:rPr>
            </w:pPr>
            <w:r w:rsidRPr="000665B0">
              <w:t>On the Gantt Chart, verify that all missiles associated to the FRU have shifted one hour to the left.</w:t>
            </w:r>
          </w:p>
        </w:tc>
        <w:tc>
          <w:tcPr>
            <w:tcW w:w="5828" w:type="dxa"/>
          </w:tcPr>
          <w:p w14:paraId="15B9DF01" w14:textId="77777777" w:rsidR="00C1621C" w:rsidRPr="000665B0" w:rsidRDefault="00C1621C" w:rsidP="00346248">
            <w:pPr>
              <w:spacing w:before="60" w:after="60" w:line="240" w:lineRule="auto"/>
              <w:rPr>
                <w:sz w:val="20"/>
              </w:rPr>
            </w:pPr>
            <w:r w:rsidRPr="000665B0">
              <w:rPr>
                <w:sz w:val="20"/>
              </w:rPr>
              <w:t> </w:t>
            </w:r>
          </w:p>
        </w:tc>
      </w:tr>
      <w:tr w:rsidR="00C1621C" w:rsidRPr="000665B0" w14:paraId="45F80358" w14:textId="77777777" w:rsidTr="0056739E">
        <w:trPr>
          <w:cantSplit/>
        </w:trPr>
        <w:tc>
          <w:tcPr>
            <w:tcW w:w="630" w:type="dxa"/>
          </w:tcPr>
          <w:p w14:paraId="01FCC622" w14:textId="77777777" w:rsidR="00C1621C" w:rsidRPr="000665B0" w:rsidRDefault="00C1621C" w:rsidP="00346248">
            <w:pPr>
              <w:spacing w:before="60" w:after="60" w:line="240" w:lineRule="auto"/>
              <w:jc w:val="center"/>
              <w:rPr>
                <w:sz w:val="20"/>
              </w:rPr>
            </w:pPr>
            <w:r w:rsidRPr="000665B0">
              <w:rPr>
                <w:sz w:val="20"/>
              </w:rPr>
              <w:lastRenderedPageBreak/>
              <w:t>4</w:t>
            </w:r>
          </w:p>
        </w:tc>
        <w:tc>
          <w:tcPr>
            <w:tcW w:w="7222" w:type="dxa"/>
          </w:tcPr>
          <w:p w14:paraId="5949B974" w14:textId="77777777" w:rsidR="00C1621C" w:rsidRPr="000665B0" w:rsidRDefault="00C1621C" w:rsidP="00346248">
            <w:pPr>
              <w:spacing w:before="60" w:after="60" w:line="240" w:lineRule="auto"/>
              <w:rPr>
                <w:bCs/>
                <w:sz w:val="20"/>
              </w:rPr>
            </w:pPr>
            <w:r w:rsidRPr="000665B0">
              <w:rPr>
                <w:bCs/>
                <w:sz w:val="20"/>
              </w:rPr>
              <w:t>Shift Missile Strike Time</w:t>
            </w:r>
          </w:p>
          <w:p w14:paraId="7C5C6C55" w14:textId="41A62854" w:rsidR="00C1621C" w:rsidRPr="000665B0" w:rsidRDefault="00C1621C" w:rsidP="006D5A65">
            <w:pPr>
              <w:pStyle w:val="Heading1"/>
              <w:rPr>
                <w:bCs/>
              </w:rPr>
            </w:pPr>
            <w:r w:rsidRPr="000665B0">
              <w:t xml:space="preserve">In the SMD’s Gantt Chart, </w:t>
            </w:r>
            <w:r w:rsidR="00D71804" w:rsidRPr="000665B0">
              <w:t>right-click</w:t>
            </w:r>
            <w:r w:rsidRPr="000665B0">
              <w:t xml:space="preserve"> on the desired missile and select Shift Time. The </w:t>
            </w:r>
            <w:r w:rsidRPr="000665B0">
              <w:rPr>
                <w:i/>
              </w:rPr>
              <w:t>Shift Strike Times</w:t>
            </w:r>
            <w:r w:rsidRPr="000665B0">
              <w:t xml:space="preserve"> window is displayed.</w:t>
            </w:r>
          </w:p>
          <w:p w14:paraId="00B4FDE1" w14:textId="77777777" w:rsidR="00C1621C" w:rsidRPr="000665B0" w:rsidRDefault="00C1621C" w:rsidP="006D5A65">
            <w:pPr>
              <w:pStyle w:val="Heading1"/>
              <w:rPr>
                <w:bCs/>
              </w:rPr>
            </w:pPr>
            <w:r w:rsidRPr="000665B0">
              <w:t>Select Later and then select 15 in the Minute pull down menu.</w:t>
            </w:r>
          </w:p>
          <w:p w14:paraId="3A7C6419" w14:textId="77777777" w:rsidR="00C1621C" w:rsidRPr="000665B0" w:rsidRDefault="00C1621C" w:rsidP="006D5A65">
            <w:pPr>
              <w:pStyle w:val="Heading1"/>
              <w:rPr>
                <w:bCs/>
              </w:rPr>
            </w:pPr>
            <w:r w:rsidRPr="000665B0">
              <w:t>On the Gantt Chart, verify that all missiles have shifted 15 minutes to the right.</w:t>
            </w:r>
          </w:p>
        </w:tc>
        <w:tc>
          <w:tcPr>
            <w:tcW w:w="5828" w:type="dxa"/>
          </w:tcPr>
          <w:p w14:paraId="5118F83C" w14:textId="77777777" w:rsidR="00C1621C" w:rsidRPr="000665B0" w:rsidRDefault="00C1621C" w:rsidP="00346248">
            <w:pPr>
              <w:spacing w:before="60" w:after="60" w:line="240" w:lineRule="auto"/>
              <w:rPr>
                <w:sz w:val="20"/>
              </w:rPr>
            </w:pPr>
            <w:r w:rsidRPr="000665B0">
              <w:rPr>
                <w:sz w:val="20"/>
              </w:rPr>
              <w:t> </w:t>
            </w:r>
          </w:p>
        </w:tc>
      </w:tr>
      <w:tr w:rsidR="00C1621C" w:rsidRPr="000665B0" w14:paraId="43C8DF0A" w14:textId="77777777" w:rsidTr="0056739E">
        <w:trPr>
          <w:cantSplit/>
        </w:trPr>
        <w:tc>
          <w:tcPr>
            <w:tcW w:w="630" w:type="dxa"/>
          </w:tcPr>
          <w:p w14:paraId="56A50FDF" w14:textId="77777777" w:rsidR="00C1621C" w:rsidRPr="000665B0" w:rsidRDefault="00C1621C" w:rsidP="00346248">
            <w:pPr>
              <w:spacing w:before="60" w:after="60" w:line="240" w:lineRule="auto"/>
              <w:jc w:val="center"/>
              <w:rPr>
                <w:sz w:val="20"/>
              </w:rPr>
            </w:pPr>
            <w:r w:rsidRPr="000665B0">
              <w:rPr>
                <w:sz w:val="20"/>
              </w:rPr>
              <w:t>5</w:t>
            </w:r>
          </w:p>
        </w:tc>
        <w:tc>
          <w:tcPr>
            <w:tcW w:w="7222" w:type="dxa"/>
          </w:tcPr>
          <w:p w14:paraId="155ED41A" w14:textId="06A3B3D5" w:rsidR="00C1621C" w:rsidRPr="000665B0" w:rsidRDefault="00C1621C" w:rsidP="00346248">
            <w:pPr>
              <w:spacing w:before="60" w:after="60" w:line="240" w:lineRule="auto"/>
              <w:rPr>
                <w:bCs/>
                <w:sz w:val="20"/>
              </w:rPr>
            </w:pPr>
            <w:r w:rsidRPr="000665B0">
              <w:rPr>
                <w:bCs/>
                <w:sz w:val="20"/>
              </w:rPr>
              <w:t>Reassign One or All Missiles from a FRU to Another FRU</w:t>
            </w:r>
            <w:r w:rsidR="008354FF" w:rsidRPr="000665B0">
              <w:rPr>
                <w:bCs/>
                <w:sz w:val="20"/>
              </w:rPr>
              <w:t xml:space="preserve"> (see </w:t>
            </w:r>
            <w:hyperlink w:anchor="_Reassign_a_Missile" w:history="1">
              <w:r w:rsidR="0096111B" w:rsidRPr="000665B0">
                <w:rPr>
                  <w:rStyle w:val="Hyperlink"/>
                  <w:bCs/>
                  <w:sz w:val="20"/>
                </w:rPr>
                <w:t xml:space="preserve">Section </w:t>
              </w:r>
              <w:r w:rsidR="004231CC">
                <w:rPr>
                  <w:rStyle w:val="Hyperlink"/>
                  <w:bCs/>
                  <w:sz w:val="20"/>
                </w:rPr>
                <w:t>5.35</w:t>
              </w:r>
              <w:r w:rsidR="0096111B" w:rsidRPr="000665B0">
                <w:rPr>
                  <w:rStyle w:val="Hyperlink"/>
                  <w:bCs/>
                  <w:sz w:val="20"/>
                </w:rPr>
                <w:t>.3.1.9</w:t>
              </w:r>
              <w:r w:rsidR="00A406E4" w:rsidRPr="000665B0">
                <w:rPr>
                  <w:rStyle w:val="Hyperlink"/>
                  <w:bCs/>
                  <w:sz w:val="20"/>
                </w:rPr>
                <w:t>.2.3</w:t>
              </w:r>
            </w:hyperlink>
            <w:r w:rsidR="00A406E4" w:rsidRPr="000665B0">
              <w:rPr>
                <w:bCs/>
                <w:sz w:val="20"/>
              </w:rPr>
              <w:t>)</w:t>
            </w:r>
          </w:p>
          <w:p w14:paraId="71FBA71C" w14:textId="77777777" w:rsidR="00C1621C" w:rsidRPr="000665B0" w:rsidRDefault="00C1621C" w:rsidP="006D5A65">
            <w:pPr>
              <w:pStyle w:val="Heading1"/>
            </w:pPr>
            <w:r w:rsidRPr="000665B0">
              <w:t xml:space="preserve">In the SMD, select the </w:t>
            </w:r>
            <w:r w:rsidRPr="000665B0">
              <w:rPr>
                <w:i/>
              </w:rPr>
              <w:t>FRU Status</w:t>
            </w:r>
            <w:r w:rsidRPr="000665B0">
              <w:t xml:space="preserve"> tab and then the </w:t>
            </w:r>
            <w:r w:rsidRPr="000665B0">
              <w:rPr>
                <w:i/>
              </w:rPr>
              <w:t>Missile Assignments</w:t>
            </w:r>
            <w:r w:rsidRPr="000665B0">
              <w:t xml:space="preserve"> tab.</w:t>
            </w:r>
          </w:p>
          <w:p w14:paraId="5E46C9D1" w14:textId="477FDD8B" w:rsidR="00C1621C" w:rsidRPr="000665B0" w:rsidRDefault="00D71804" w:rsidP="006D5A65">
            <w:pPr>
              <w:pStyle w:val="Heading1"/>
            </w:pPr>
            <w:r w:rsidRPr="000665B0">
              <w:t>Right-click</w:t>
            </w:r>
            <w:r w:rsidR="00C1621C" w:rsidRPr="000665B0">
              <w:t xml:space="preserve"> on the desired missile(s) in the Option ID column and select Reassign FRU. The </w:t>
            </w:r>
            <w:r w:rsidR="00666AFF" w:rsidRPr="000665B0">
              <w:rPr>
                <w:i/>
              </w:rPr>
              <w:t xml:space="preserve">Candidate </w:t>
            </w:r>
            <w:r w:rsidR="00C1621C" w:rsidRPr="000665B0">
              <w:rPr>
                <w:i/>
              </w:rPr>
              <w:t>Selection</w:t>
            </w:r>
            <w:r w:rsidR="00C1621C" w:rsidRPr="000665B0">
              <w:t xml:space="preserve"> window is displayed.</w:t>
            </w:r>
          </w:p>
          <w:p w14:paraId="5CB93F73" w14:textId="77777777" w:rsidR="00C1621C" w:rsidRPr="000665B0" w:rsidRDefault="00C1621C" w:rsidP="006D5A65">
            <w:pPr>
              <w:pStyle w:val="Heading1"/>
            </w:pPr>
            <w:r w:rsidRPr="000665B0">
              <w:t>Select the FRU to reassign to and click OK.</w:t>
            </w:r>
          </w:p>
          <w:p w14:paraId="49C40787" w14:textId="77777777" w:rsidR="00C1621C" w:rsidRPr="000665B0" w:rsidRDefault="00C1621C" w:rsidP="006D5A65">
            <w:pPr>
              <w:pStyle w:val="Heading1"/>
            </w:pPr>
            <w:r w:rsidRPr="000665B0">
              <w:t>Distribute the Strike.</w:t>
            </w:r>
          </w:p>
          <w:p w14:paraId="00619D57" w14:textId="2A1AB3A1" w:rsidR="00C1621C" w:rsidRPr="000665B0" w:rsidRDefault="00C1621C" w:rsidP="006D5A65">
            <w:pPr>
              <w:pStyle w:val="Heading1"/>
            </w:pPr>
            <w:r w:rsidRPr="000665B0">
              <w:t xml:space="preserve">Verify that the missile(s) have been reassigned to the correct FRU on the </w:t>
            </w:r>
            <w:r w:rsidR="00A40DAA">
              <w:t>TSC</w:t>
            </w:r>
            <w:r w:rsidRPr="000665B0">
              <w:t xml:space="preserve">, </w:t>
            </w:r>
            <w:r w:rsidR="00A40DAA">
              <w:t>ATSC</w:t>
            </w:r>
            <w:r w:rsidRPr="000665B0">
              <w:t>, and TSRT machines.</w:t>
            </w:r>
          </w:p>
        </w:tc>
        <w:tc>
          <w:tcPr>
            <w:tcW w:w="5828" w:type="dxa"/>
          </w:tcPr>
          <w:p w14:paraId="3BDDB72C" w14:textId="5A8A2EC9" w:rsidR="00C1621C" w:rsidRPr="000665B0" w:rsidRDefault="008354FF">
            <w:pPr>
              <w:spacing w:before="60" w:after="60" w:line="240" w:lineRule="auto"/>
              <w:rPr>
                <w:sz w:val="20"/>
              </w:rPr>
            </w:pPr>
            <w:r w:rsidRPr="000665B0">
              <w:rPr>
                <w:bCs/>
                <w:sz w:val="20"/>
              </w:rPr>
              <w:t>.</w:t>
            </w:r>
          </w:p>
        </w:tc>
      </w:tr>
      <w:tr w:rsidR="00C1621C" w:rsidRPr="000665B0" w14:paraId="0D14F867" w14:textId="77777777" w:rsidTr="0056739E">
        <w:trPr>
          <w:cantSplit/>
        </w:trPr>
        <w:tc>
          <w:tcPr>
            <w:tcW w:w="630" w:type="dxa"/>
          </w:tcPr>
          <w:p w14:paraId="0C215283" w14:textId="77777777" w:rsidR="00C1621C" w:rsidRPr="000665B0" w:rsidRDefault="00C1621C" w:rsidP="00346248">
            <w:pPr>
              <w:spacing w:before="60" w:after="60" w:line="240" w:lineRule="auto"/>
              <w:jc w:val="center"/>
              <w:rPr>
                <w:sz w:val="20"/>
              </w:rPr>
            </w:pPr>
            <w:r w:rsidRPr="000665B0">
              <w:rPr>
                <w:sz w:val="20"/>
              </w:rPr>
              <w:t>6</w:t>
            </w:r>
          </w:p>
        </w:tc>
        <w:tc>
          <w:tcPr>
            <w:tcW w:w="7222" w:type="dxa"/>
          </w:tcPr>
          <w:p w14:paraId="756710D4" w14:textId="03E679AB" w:rsidR="00C1621C" w:rsidRPr="000665B0" w:rsidRDefault="00C1621C" w:rsidP="00346248">
            <w:pPr>
              <w:spacing w:before="60" w:after="60" w:line="240" w:lineRule="auto"/>
              <w:rPr>
                <w:bCs/>
                <w:sz w:val="20"/>
              </w:rPr>
            </w:pPr>
            <w:r w:rsidRPr="000665B0">
              <w:rPr>
                <w:bCs/>
                <w:sz w:val="20"/>
              </w:rPr>
              <w:t>Assign a Ghost Missile to a FRU</w:t>
            </w:r>
            <w:r w:rsidR="00F26FF4" w:rsidRPr="000665B0">
              <w:rPr>
                <w:bCs/>
                <w:sz w:val="20"/>
              </w:rPr>
              <w:t xml:space="preserve"> (see Note)</w:t>
            </w:r>
          </w:p>
          <w:p w14:paraId="0DFD796C" w14:textId="62727304" w:rsidR="00C1621C" w:rsidRPr="000665B0" w:rsidRDefault="00C1621C" w:rsidP="006D5A65">
            <w:pPr>
              <w:pStyle w:val="Heading1"/>
            </w:pPr>
            <w:r w:rsidRPr="000665B0">
              <w:t xml:space="preserve">In the SMD’s Gantt Chart, </w:t>
            </w:r>
            <w:r w:rsidR="00D71804" w:rsidRPr="000665B0">
              <w:t>right-click</w:t>
            </w:r>
            <w:r w:rsidRPr="000665B0">
              <w:t xml:space="preserve"> on the desired missile under the BOO trigraph and select Assign Ghost. The </w:t>
            </w:r>
            <w:r w:rsidRPr="000665B0">
              <w:rPr>
                <w:i/>
              </w:rPr>
              <w:t>Missile’s Time</w:t>
            </w:r>
            <w:r w:rsidRPr="000665B0">
              <w:t xml:space="preserve"> window is displayed.</w:t>
            </w:r>
          </w:p>
          <w:p w14:paraId="5027E6FF" w14:textId="5F582E95" w:rsidR="00C1621C" w:rsidRPr="000665B0" w:rsidRDefault="00C1621C" w:rsidP="006D5A65">
            <w:pPr>
              <w:pStyle w:val="Heading1"/>
            </w:pPr>
            <w:r w:rsidRPr="000665B0">
              <w:t xml:space="preserve">Select TOL from the Type pull down menu, and the desired time in the Assigned Time pull down menu, then click OK. </w:t>
            </w:r>
            <w:r w:rsidRPr="000665B0">
              <w:rPr>
                <w:bCs/>
              </w:rPr>
              <w:t xml:space="preserve">The </w:t>
            </w:r>
            <w:r w:rsidR="00666AFF" w:rsidRPr="000665B0">
              <w:rPr>
                <w:bCs/>
                <w:i/>
              </w:rPr>
              <w:t xml:space="preserve">Candidate </w:t>
            </w:r>
            <w:r w:rsidRPr="000665B0">
              <w:rPr>
                <w:bCs/>
                <w:i/>
              </w:rPr>
              <w:t>Selection</w:t>
            </w:r>
            <w:r w:rsidRPr="000665B0">
              <w:rPr>
                <w:bCs/>
              </w:rPr>
              <w:t xml:space="preserve"> window is displayed.</w:t>
            </w:r>
          </w:p>
          <w:p w14:paraId="25D59869" w14:textId="6581DC6C" w:rsidR="00C1621C" w:rsidRPr="000665B0" w:rsidRDefault="00C1621C" w:rsidP="006D5A65">
            <w:pPr>
              <w:pStyle w:val="Heading1"/>
            </w:pPr>
            <w:r w:rsidRPr="000665B0">
              <w:t xml:space="preserve">Select the desired FRU for the ghost tasking and click </w:t>
            </w:r>
            <w:r w:rsidR="00B6764D" w:rsidRPr="000665B0">
              <w:t>Continue</w:t>
            </w:r>
            <w:r w:rsidRPr="000665B0">
              <w:t xml:space="preserve">. The </w:t>
            </w:r>
            <w:r w:rsidRPr="000665B0">
              <w:rPr>
                <w:i/>
              </w:rPr>
              <w:t>Missile Reassignment</w:t>
            </w:r>
            <w:r w:rsidRPr="000665B0">
              <w:t xml:space="preserve"> window is displayed.</w:t>
            </w:r>
          </w:p>
          <w:p w14:paraId="0E44AA79" w14:textId="77777777" w:rsidR="00C1621C" w:rsidRPr="000665B0" w:rsidRDefault="00C1621C" w:rsidP="006D5A65">
            <w:pPr>
              <w:pStyle w:val="Heading1"/>
            </w:pPr>
            <w:r w:rsidRPr="000665B0">
              <w:t>Select the FRU in the upper right of the window. This populates the lower pane if the FRU is able to proceed with the tasking. Select the Option ID if Accept is populated with an X and click OK.</w:t>
            </w:r>
          </w:p>
          <w:p w14:paraId="7B4C8B84" w14:textId="77777777" w:rsidR="00C1621C" w:rsidRPr="000665B0" w:rsidRDefault="00C1621C" w:rsidP="006D5A65">
            <w:pPr>
              <w:pStyle w:val="Heading1"/>
            </w:pPr>
            <w:r w:rsidRPr="000665B0">
              <w:t>The missile now appears under the FRU in the Gantt tree.</w:t>
            </w:r>
          </w:p>
          <w:p w14:paraId="4291438F" w14:textId="77777777" w:rsidR="00C1621C" w:rsidRPr="000665B0" w:rsidRDefault="00C1621C" w:rsidP="006D5A65">
            <w:pPr>
              <w:pStyle w:val="Heading1"/>
              <w:rPr>
                <w:bCs/>
              </w:rPr>
            </w:pPr>
            <w:r w:rsidRPr="000665B0">
              <w:t>Distribute the Strike.</w:t>
            </w:r>
          </w:p>
        </w:tc>
        <w:tc>
          <w:tcPr>
            <w:tcW w:w="5828" w:type="dxa"/>
          </w:tcPr>
          <w:p w14:paraId="3BD64EF7" w14:textId="3246926E" w:rsidR="00F26FF4" w:rsidRPr="000665B0" w:rsidRDefault="00F26FF4" w:rsidP="00F26FF4">
            <w:pPr>
              <w:spacing w:before="60" w:after="60" w:line="240" w:lineRule="auto"/>
              <w:rPr>
                <w:rFonts w:eastAsia="Calibri"/>
                <w:bCs/>
                <w:sz w:val="20"/>
              </w:rPr>
            </w:pPr>
            <w:r w:rsidRPr="000665B0">
              <w:rPr>
                <w:rFonts w:eastAsia="Calibri"/>
                <w:bCs/>
                <w:sz w:val="20"/>
              </w:rPr>
              <w:t xml:space="preserve">There is a limitation associated with </w:t>
            </w:r>
            <w:r w:rsidR="001A107C" w:rsidRPr="000665B0">
              <w:rPr>
                <w:rFonts w:eastAsia="Calibri"/>
                <w:bCs/>
                <w:sz w:val="20"/>
              </w:rPr>
              <w:t xml:space="preserve">109E </w:t>
            </w:r>
            <w:r w:rsidRPr="000665B0">
              <w:rPr>
                <w:rFonts w:eastAsia="Calibri"/>
                <w:bCs/>
                <w:sz w:val="20"/>
              </w:rPr>
              <w:t>missions assigned to Ghost tasking under the following conditions:</w:t>
            </w:r>
          </w:p>
          <w:p w14:paraId="27A03C43" w14:textId="043736A7" w:rsidR="00F26FF4" w:rsidRPr="000665B0" w:rsidRDefault="00F26FF4" w:rsidP="00F26FF4">
            <w:pPr>
              <w:spacing w:before="60" w:after="60" w:line="240" w:lineRule="auto"/>
              <w:ind w:left="312"/>
              <w:rPr>
                <w:rFonts w:eastAsia="Calibri"/>
                <w:bCs/>
                <w:sz w:val="20"/>
              </w:rPr>
            </w:pPr>
            <w:r w:rsidRPr="000665B0">
              <w:rPr>
                <w:rFonts w:eastAsia="Calibri"/>
                <w:bCs/>
                <w:sz w:val="20"/>
              </w:rPr>
              <w:t>a. A 109E Mission is assigned to ghost tasking and a TSN Type is selected (</w:t>
            </w:r>
            <w:r w:rsidR="006A1F75" w:rsidRPr="000665B0">
              <w:rPr>
                <w:rFonts w:eastAsia="Calibri"/>
                <w:bCs/>
                <w:sz w:val="20"/>
              </w:rPr>
              <w:t>e.g.,</w:t>
            </w:r>
            <w:r w:rsidRPr="000665B0">
              <w:rPr>
                <w:rFonts w:eastAsia="Calibri"/>
                <w:bCs/>
                <w:sz w:val="20"/>
              </w:rPr>
              <w:t xml:space="preserve"> DAMA).</w:t>
            </w:r>
          </w:p>
          <w:p w14:paraId="4934AAB5" w14:textId="55385299" w:rsidR="00F26FF4" w:rsidRPr="000665B0" w:rsidRDefault="00F26FF4" w:rsidP="00F26FF4">
            <w:pPr>
              <w:spacing w:before="60" w:after="60" w:line="240" w:lineRule="auto"/>
              <w:ind w:left="312"/>
              <w:rPr>
                <w:rFonts w:eastAsia="Calibri"/>
                <w:bCs/>
                <w:sz w:val="20"/>
              </w:rPr>
            </w:pPr>
            <w:r w:rsidRPr="000665B0">
              <w:rPr>
                <w:rFonts w:eastAsia="Calibri"/>
                <w:bCs/>
                <w:sz w:val="20"/>
              </w:rPr>
              <w:t>b. The TSN Type is later changed (</w:t>
            </w:r>
            <w:r w:rsidR="006A1F75" w:rsidRPr="000665B0">
              <w:rPr>
                <w:rFonts w:eastAsia="Calibri"/>
                <w:bCs/>
                <w:sz w:val="20"/>
              </w:rPr>
              <w:t>e.g.,</w:t>
            </w:r>
            <w:r w:rsidRPr="000665B0">
              <w:rPr>
                <w:rFonts w:eastAsia="Calibri"/>
                <w:bCs/>
                <w:sz w:val="20"/>
              </w:rPr>
              <w:t xml:space="preserve"> switch</w:t>
            </w:r>
            <w:r w:rsidR="00A76EA5" w:rsidRPr="000665B0">
              <w:rPr>
                <w:rFonts w:eastAsia="Calibri"/>
                <w:bCs/>
                <w:sz w:val="20"/>
              </w:rPr>
              <w:t>ed</w:t>
            </w:r>
            <w:r w:rsidRPr="000665B0">
              <w:rPr>
                <w:rFonts w:eastAsia="Calibri"/>
                <w:bCs/>
                <w:sz w:val="20"/>
              </w:rPr>
              <w:t xml:space="preserve"> to ACA).</w:t>
            </w:r>
          </w:p>
          <w:p w14:paraId="0485CFD4" w14:textId="77777777" w:rsidR="00F26FF4" w:rsidRPr="000665B0" w:rsidRDefault="00F26FF4" w:rsidP="00F26FF4">
            <w:pPr>
              <w:spacing w:before="60" w:after="60" w:line="240" w:lineRule="auto"/>
              <w:ind w:left="312"/>
              <w:rPr>
                <w:rFonts w:eastAsia="Calibri"/>
                <w:bCs/>
                <w:sz w:val="20"/>
              </w:rPr>
            </w:pPr>
            <w:r w:rsidRPr="000665B0">
              <w:rPr>
                <w:rFonts w:eastAsia="Calibri"/>
                <w:bCs/>
                <w:sz w:val="20"/>
              </w:rPr>
              <w:t>c. When the Ghost mission is assigned to a FRU, the TSN Type retains the original selection (e.g. DAMA).</w:t>
            </w:r>
          </w:p>
          <w:p w14:paraId="59D9A17C" w14:textId="77777777" w:rsidR="00C1621C" w:rsidRPr="000665B0" w:rsidRDefault="00C1621C" w:rsidP="00346248">
            <w:pPr>
              <w:spacing w:before="60" w:after="60" w:line="240" w:lineRule="auto"/>
              <w:rPr>
                <w:sz w:val="20"/>
              </w:rPr>
            </w:pPr>
            <w:r w:rsidRPr="000665B0">
              <w:rPr>
                <w:sz w:val="20"/>
              </w:rPr>
              <w:t> </w:t>
            </w:r>
          </w:p>
        </w:tc>
      </w:tr>
      <w:tr w:rsidR="00C1621C" w:rsidRPr="000665B0" w14:paraId="421DB6A5" w14:textId="77777777" w:rsidTr="0056739E">
        <w:trPr>
          <w:cantSplit/>
        </w:trPr>
        <w:tc>
          <w:tcPr>
            <w:tcW w:w="630" w:type="dxa"/>
          </w:tcPr>
          <w:p w14:paraId="788A3F89" w14:textId="77777777" w:rsidR="00C1621C" w:rsidRPr="000665B0" w:rsidRDefault="00C1621C" w:rsidP="00346248">
            <w:pPr>
              <w:spacing w:before="60" w:after="60" w:line="240" w:lineRule="auto"/>
              <w:jc w:val="center"/>
              <w:rPr>
                <w:sz w:val="20"/>
              </w:rPr>
            </w:pPr>
            <w:r w:rsidRPr="000665B0">
              <w:rPr>
                <w:sz w:val="20"/>
              </w:rPr>
              <w:t>7</w:t>
            </w:r>
          </w:p>
        </w:tc>
        <w:tc>
          <w:tcPr>
            <w:tcW w:w="7222" w:type="dxa"/>
          </w:tcPr>
          <w:p w14:paraId="6AB46CD8" w14:textId="2058712A" w:rsidR="00C1621C" w:rsidRPr="000665B0" w:rsidRDefault="00C1621C" w:rsidP="00346248">
            <w:pPr>
              <w:spacing w:before="60" w:after="60" w:line="240" w:lineRule="auto"/>
              <w:rPr>
                <w:bCs/>
                <w:sz w:val="20"/>
              </w:rPr>
            </w:pPr>
            <w:r w:rsidRPr="000665B0">
              <w:rPr>
                <w:bCs/>
                <w:sz w:val="20"/>
              </w:rPr>
              <w:t>Perform Steps 9-13 and 19-21 from Case A</w:t>
            </w:r>
            <w:r w:rsidR="001D340B" w:rsidRPr="000665B0">
              <w:rPr>
                <w:bCs/>
                <w:sz w:val="20"/>
              </w:rPr>
              <w:t xml:space="preserve"> (see Note)</w:t>
            </w:r>
          </w:p>
        </w:tc>
        <w:tc>
          <w:tcPr>
            <w:tcW w:w="5828" w:type="dxa"/>
          </w:tcPr>
          <w:p w14:paraId="26C080E6" w14:textId="45B3EB29" w:rsidR="00C1621C" w:rsidRPr="000665B0" w:rsidRDefault="00C1621C" w:rsidP="00E01DBA">
            <w:pPr>
              <w:spacing w:before="60" w:after="60" w:line="240" w:lineRule="auto"/>
              <w:rPr>
                <w:sz w:val="20"/>
              </w:rPr>
            </w:pPr>
            <w:r w:rsidRPr="000665B0">
              <w:rPr>
                <w:sz w:val="20"/>
              </w:rPr>
              <w:t>Verify that the times on all machines are correct and that all LERs, OWRs, etc. are correct. Ensure that the reassigned FRU data is correct.</w:t>
            </w:r>
          </w:p>
        </w:tc>
      </w:tr>
    </w:tbl>
    <w:p w14:paraId="08F4AF89" w14:textId="31DF9877" w:rsidR="00C1621C" w:rsidRPr="000665B0" w:rsidRDefault="00C1621C" w:rsidP="00912CE8">
      <w:pPr>
        <w:pStyle w:val="Appendix2"/>
      </w:pPr>
      <w:bookmarkStart w:id="8069" w:name="_Q-3__CASE"/>
      <w:bookmarkStart w:id="8070" w:name="_Toc214283728"/>
      <w:bookmarkEnd w:id="8069"/>
      <w:r w:rsidRPr="000665B0">
        <w:lastRenderedPageBreak/>
        <w:t>CASE C: STRIKE REHEARSAL WITH TIME EDIT, LAUNCH OF BACKUPS, SEND TO POOL, AND COMPLICATIONS</w:t>
      </w:r>
      <w:bookmarkEnd w:id="8070"/>
    </w:p>
    <w:tbl>
      <w:tblPr>
        <w:tblW w:w="137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14"/>
      </w:tblGrid>
      <w:tr w:rsidR="00C1621C" w:rsidRPr="000665B0" w14:paraId="252C6230" w14:textId="77777777" w:rsidTr="00935A52">
        <w:trPr>
          <w:cantSplit/>
        </w:trPr>
        <w:tc>
          <w:tcPr>
            <w:tcW w:w="13714" w:type="dxa"/>
            <w:shd w:val="clear" w:color="auto" w:fill="D9D9D9" w:themeFill="background1" w:themeFillShade="D9"/>
          </w:tcPr>
          <w:p w14:paraId="2DFEDB36" w14:textId="77777777" w:rsidR="00C1621C" w:rsidRPr="000665B0" w:rsidRDefault="00C1621C" w:rsidP="005A42A5">
            <w:pPr>
              <w:keepNext/>
              <w:spacing w:before="60" w:after="60" w:line="240" w:lineRule="auto"/>
              <w:rPr>
                <w:b/>
                <w:bCs/>
                <w:sz w:val="20"/>
              </w:rPr>
            </w:pPr>
            <w:r w:rsidRPr="000665B0">
              <w:rPr>
                <w:b/>
                <w:bCs/>
                <w:sz w:val="20"/>
              </w:rPr>
              <w:t>Objective</w:t>
            </w:r>
          </w:p>
        </w:tc>
      </w:tr>
      <w:tr w:rsidR="00C1621C" w:rsidRPr="000665B0" w14:paraId="79C7ADE8" w14:textId="77777777" w:rsidTr="00346248">
        <w:trPr>
          <w:cantSplit/>
        </w:trPr>
        <w:tc>
          <w:tcPr>
            <w:tcW w:w="13714" w:type="dxa"/>
          </w:tcPr>
          <w:p w14:paraId="32BF8E6D" w14:textId="6CC59EAE" w:rsidR="00C1621C" w:rsidRPr="000665B0" w:rsidRDefault="00C1621C" w:rsidP="005A42A5">
            <w:pPr>
              <w:keepNext/>
              <w:spacing w:before="60" w:after="60" w:line="240" w:lineRule="auto"/>
              <w:rPr>
                <w:sz w:val="20"/>
              </w:rPr>
            </w:pPr>
            <w:r w:rsidRPr="000665B0">
              <w:rPr>
                <w:sz w:val="20"/>
              </w:rPr>
              <w:t xml:space="preserve">The objective of this case is to run a Strike Rehearsal to observe complications such as missiles launching late or </w:t>
            </w:r>
            <w:r w:rsidR="006A1F75" w:rsidRPr="000665B0">
              <w:rPr>
                <w:sz w:val="20"/>
              </w:rPr>
              <w:t>early and</w:t>
            </w:r>
            <w:r w:rsidRPr="000665B0">
              <w:rPr>
                <w:sz w:val="20"/>
              </w:rPr>
              <w:t xml:space="preserve"> failing launch. It also demonstrates the editing of missiles’ timing, assigning backups for recovery, and moving missiles to pool.</w:t>
            </w:r>
          </w:p>
        </w:tc>
      </w:tr>
      <w:tr w:rsidR="00C1621C" w:rsidRPr="000665B0" w14:paraId="2CA46025" w14:textId="77777777" w:rsidTr="00935A52">
        <w:trPr>
          <w:cantSplit/>
        </w:trPr>
        <w:tc>
          <w:tcPr>
            <w:tcW w:w="13714" w:type="dxa"/>
            <w:shd w:val="clear" w:color="auto" w:fill="D9D9D9" w:themeFill="background1" w:themeFillShade="D9"/>
            <w:noWrap/>
          </w:tcPr>
          <w:p w14:paraId="7C6793F7" w14:textId="77777777" w:rsidR="00C1621C" w:rsidRPr="000665B0" w:rsidRDefault="00C1621C" w:rsidP="00346248">
            <w:pPr>
              <w:spacing w:before="60" w:after="60" w:line="240" w:lineRule="auto"/>
              <w:rPr>
                <w:b/>
                <w:bCs/>
                <w:sz w:val="20"/>
              </w:rPr>
            </w:pPr>
            <w:r w:rsidRPr="000665B0">
              <w:rPr>
                <w:b/>
                <w:bCs/>
                <w:sz w:val="20"/>
              </w:rPr>
              <w:t xml:space="preserve">Prerequisites </w:t>
            </w:r>
          </w:p>
        </w:tc>
      </w:tr>
      <w:tr w:rsidR="00C1621C" w:rsidRPr="000665B0" w14:paraId="31974524" w14:textId="77777777" w:rsidTr="00346248">
        <w:trPr>
          <w:cantSplit/>
        </w:trPr>
        <w:tc>
          <w:tcPr>
            <w:tcW w:w="13714" w:type="dxa"/>
          </w:tcPr>
          <w:p w14:paraId="39093732" w14:textId="77777777" w:rsidR="00C1621C" w:rsidRPr="000665B0" w:rsidRDefault="00C1621C" w:rsidP="00346248">
            <w:pPr>
              <w:spacing w:before="60" w:after="60" w:line="240" w:lineRule="auto"/>
              <w:rPr>
                <w:sz w:val="20"/>
              </w:rPr>
            </w:pPr>
            <w:r w:rsidRPr="000665B0">
              <w:rPr>
                <w:sz w:val="20"/>
              </w:rPr>
              <w:t xml:space="preserve">1. Ensure that the Prerequisites from </w:t>
            </w:r>
            <w:r w:rsidRPr="000665B0">
              <w:rPr>
                <w:bCs/>
                <w:sz w:val="20"/>
              </w:rPr>
              <w:t>Case A have been met</w:t>
            </w:r>
            <w:r w:rsidRPr="000665B0">
              <w:rPr>
                <w:sz w:val="20"/>
              </w:rPr>
              <w:t>.</w:t>
            </w:r>
            <w:r w:rsidRPr="000665B0" w:rsidDel="001E382E">
              <w:rPr>
                <w:sz w:val="20"/>
              </w:rPr>
              <w:t xml:space="preserve"> </w:t>
            </w:r>
          </w:p>
        </w:tc>
      </w:tr>
    </w:tbl>
    <w:p w14:paraId="134456F7" w14:textId="77777777" w:rsidR="00C1621C" w:rsidRPr="000665B0" w:rsidRDefault="00C1621C" w:rsidP="00C1621C"/>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
        <w:gridCol w:w="6660"/>
        <w:gridCol w:w="6390"/>
      </w:tblGrid>
      <w:tr w:rsidR="00C1621C" w:rsidRPr="000665B0" w14:paraId="41302F3D" w14:textId="77777777" w:rsidTr="0056739E">
        <w:trPr>
          <w:cantSplit/>
          <w:tblHeader/>
        </w:trPr>
        <w:tc>
          <w:tcPr>
            <w:tcW w:w="630" w:type="dxa"/>
            <w:shd w:val="clear" w:color="auto" w:fill="D9D9D9" w:themeFill="background1" w:themeFillShade="D9"/>
          </w:tcPr>
          <w:p w14:paraId="3FC8EFE3" w14:textId="77777777" w:rsidR="00C1621C" w:rsidRPr="000665B0" w:rsidRDefault="00C1621C" w:rsidP="00346248">
            <w:pPr>
              <w:spacing w:before="60" w:after="60" w:line="240" w:lineRule="auto"/>
              <w:jc w:val="center"/>
              <w:rPr>
                <w:b/>
                <w:bCs/>
                <w:sz w:val="20"/>
              </w:rPr>
            </w:pPr>
            <w:r w:rsidRPr="000665B0">
              <w:rPr>
                <w:b/>
                <w:bCs/>
                <w:sz w:val="20"/>
              </w:rPr>
              <w:t>Step</w:t>
            </w:r>
          </w:p>
        </w:tc>
        <w:tc>
          <w:tcPr>
            <w:tcW w:w="6660" w:type="dxa"/>
            <w:shd w:val="clear" w:color="auto" w:fill="D9D9D9" w:themeFill="background1" w:themeFillShade="D9"/>
          </w:tcPr>
          <w:p w14:paraId="1AA7AD1C" w14:textId="77777777" w:rsidR="00C1621C" w:rsidRPr="000665B0" w:rsidRDefault="00C1621C" w:rsidP="00346248">
            <w:pPr>
              <w:spacing w:before="60" w:after="60" w:line="240" w:lineRule="auto"/>
              <w:jc w:val="center"/>
              <w:rPr>
                <w:b/>
                <w:bCs/>
                <w:sz w:val="20"/>
              </w:rPr>
            </w:pPr>
            <w:r w:rsidRPr="000665B0">
              <w:rPr>
                <w:b/>
                <w:bCs/>
                <w:sz w:val="20"/>
              </w:rPr>
              <w:t>Operator Action</w:t>
            </w:r>
          </w:p>
        </w:tc>
        <w:tc>
          <w:tcPr>
            <w:tcW w:w="6390" w:type="dxa"/>
            <w:shd w:val="clear" w:color="auto" w:fill="D9D9D9" w:themeFill="background1" w:themeFillShade="D9"/>
          </w:tcPr>
          <w:p w14:paraId="2DA8D640" w14:textId="77777777" w:rsidR="00C1621C" w:rsidRPr="000665B0" w:rsidRDefault="00C1621C" w:rsidP="00346248">
            <w:pPr>
              <w:spacing w:before="60" w:after="60" w:line="240" w:lineRule="auto"/>
              <w:jc w:val="center"/>
              <w:rPr>
                <w:b/>
                <w:bCs/>
                <w:sz w:val="20"/>
              </w:rPr>
            </w:pPr>
            <w:r w:rsidRPr="000665B0">
              <w:rPr>
                <w:b/>
                <w:bCs/>
                <w:sz w:val="20"/>
              </w:rPr>
              <w:t>Notes/Comments</w:t>
            </w:r>
          </w:p>
        </w:tc>
      </w:tr>
      <w:tr w:rsidR="00C1621C" w:rsidRPr="000665B0" w14:paraId="71416100" w14:textId="77777777" w:rsidTr="0056739E">
        <w:trPr>
          <w:cantSplit/>
        </w:trPr>
        <w:tc>
          <w:tcPr>
            <w:tcW w:w="630" w:type="dxa"/>
          </w:tcPr>
          <w:p w14:paraId="709116C4" w14:textId="77777777" w:rsidR="00C1621C" w:rsidRPr="000665B0" w:rsidRDefault="00C1621C" w:rsidP="00346248">
            <w:pPr>
              <w:spacing w:before="60" w:after="60" w:line="240" w:lineRule="auto"/>
              <w:jc w:val="center"/>
              <w:rPr>
                <w:sz w:val="20"/>
              </w:rPr>
            </w:pPr>
            <w:r w:rsidRPr="000665B0">
              <w:rPr>
                <w:sz w:val="20"/>
              </w:rPr>
              <w:t>1</w:t>
            </w:r>
          </w:p>
        </w:tc>
        <w:tc>
          <w:tcPr>
            <w:tcW w:w="6660" w:type="dxa"/>
          </w:tcPr>
          <w:p w14:paraId="092354B8" w14:textId="4A4B7EC7" w:rsidR="00C1621C" w:rsidRPr="000665B0" w:rsidRDefault="00C1621C" w:rsidP="00346248">
            <w:pPr>
              <w:spacing w:before="60" w:after="60" w:line="240" w:lineRule="auto"/>
              <w:rPr>
                <w:bCs/>
                <w:sz w:val="20"/>
              </w:rPr>
            </w:pPr>
            <w:r w:rsidRPr="000665B0">
              <w:rPr>
                <w:bCs/>
                <w:sz w:val="20"/>
              </w:rPr>
              <w:t>Set Timing Deviation to 0</w:t>
            </w:r>
            <w:r w:rsidR="00BC669C" w:rsidRPr="000665B0">
              <w:rPr>
                <w:bCs/>
                <w:sz w:val="20"/>
              </w:rPr>
              <w:t xml:space="preserve"> (see Note 1)</w:t>
            </w:r>
          </w:p>
          <w:p w14:paraId="2B75BF88" w14:textId="4457C0FE" w:rsidR="00C1621C" w:rsidRPr="000665B0" w:rsidRDefault="00C1621C" w:rsidP="006D5A65">
            <w:pPr>
              <w:pStyle w:val="Heading1"/>
              <w:rPr>
                <w:bCs/>
              </w:rPr>
            </w:pPr>
            <w:r w:rsidRPr="000665B0">
              <w:t>On all of the MDS machines in the strike (</w:t>
            </w:r>
            <w:r w:rsidR="00A40DAA">
              <w:t>TSC</w:t>
            </w:r>
            <w:r w:rsidRPr="000665B0">
              <w:t xml:space="preserve">, </w:t>
            </w:r>
            <w:r w:rsidR="00A40DAA">
              <w:t>ATSC</w:t>
            </w:r>
            <w:r w:rsidRPr="000665B0">
              <w:t xml:space="preserve">, and Monitor): Navigate to the Strike Folders tool and select View </w:t>
            </w:r>
            <w:r w:rsidRPr="000665B0">
              <w:sym w:font="Wingdings" w:char="F0E0"/>
            </w:r>
            <w:r w:rsidRPr="000665B0">
              <w:t xml:space="preserve"> Properties. The </w:t>
            </w:r>
            <w:r w:rsidRPr="000665B0">
              <w:rPr>
                <w:i/>
              </w:rPr>
              <w:t xml:space="preserve">Strike Properties </w:t>
            </w:r>
            <w:r w:rsidRPr="000665B0">
              <w:t xml:space="preserve">window is displayed. Click the TSN button; the </w:t>
            </w:r>
            <w:r w:rsidRPr="000665B0">
              <w:rPr>
                <w:i/>
              </w:rPr>
              <w:t xml:space="preserve">Planning/Execution Preferences </w:t>
            </w:r>
            <w:r w:rsidRPr="000665B0">
              <w:t>window is displayed.</w:t>
            </w:r>
            <w:r w:rsidRPr="000665B0">
              <w:rPr>
                <w:i/>
              </w:rPr>
              <w:t xml:space="preserve"> </w:t>
            </w:r>
            <w:r w:rsidRPr="000665B0">
              <w:t xml:space="preserve">Select the </w:t>
            </w:r>
            <w:r w:rsidRPr="000665B0">
              <w:rPr>
                <w:i/>
              </w:rPr>
              <w:t>Execution</w:t>
            </w:r>
            <w:r w:rsidRPr="000665B0">
              <w:t xml:space="preserve"> tab and enter 0 in the Timing Type Deviation field, then click OK </w:t>
            </w:r>
            <w:r w:rsidR="001D340B" w:rsidRPr="000665B0">
              <w:t xml:space="preserve">(see </w:t>
            </w:r>
            <w:r w:rsidRPr="000665B0">
              <w:t>Note</w:t>
            </w:r>
            <w:r w:rsidR="00BC669C" w:rsidRPr="000665B0">
              <w:t xml:space="preserve"> 2</w:t>
            </w:r>
            <w:r w:rsidR="001D340B" w:rsidRPr="000665B0">
              <w:t>)</w:t>
            </w:r>
            <w:r w:rsidRPr="000665B0">
              <w:t>.</w:t>
            </w:r>
          </w:p>
        </w:tc>
        <w:tc>
          <w:tcPr>
            <w:tcW w:w="6390" w:type="dxa"/>
          </w:tcPr>
          <w:p w14:paraId="0E4EE691" w14:textId="573679AC" w:rsidR="00C1621C" w:rsidRPr="000665B0" w:rsidRDefault="00BC669C">
            <w:pPr>
              <w:spacing w:before="60" w:after="60" w:line="240" w:lineRule="auto"/>
              <w:rPr>
                <w:sz w:val="20"/>
              </w:rPr>
            </w:pPr>
            <w:r w:rsidRPr="000665B0">
              <w:rPr>
                <w:sz w:val="20"/>
              </w:rPr>
              <w:t xml:space="preserve">1. </w:t>
            </w:r>
            <w:r w:rsidR="00C1621C" w:rsidRPr="000665B0">
              <w:rPr>
                <w:sz w:val="20"/>
              </w:rPr>
              <w:t>The default timing deviation is 10 minutes. In this exercise, missiles will launch early and late by a few minutes. Temporarily changing the Timing Deviation to 0 ensures that the system will generate the appropriate warnings.</w:t>
            </w:r>
          </w:p>
          <w:p w14:paraId="5F419015" w14:textId="2DD35005" w:rsidR="00AA4A63" w:rsidRPr="000665B0" w:rsidRDefault="00BC669C" w:rsidP="00DA3F43">
            <w:pPr>
              <w:spacing w:before="60" w:after="60" w:line="240" w:lineRule="auto"/>
              <w:rPr>
                <w:sz w:val="20"/>
              </w:rPr>
            </w:pPr>
            <w:r w:rsidRPr="000665B0">
              <w:rPr>
                <w:sz w:val="20"/>
              </w:rPr>
              <w:t xml:space="preserve">2. </w:t>
            </w:r>
            <w:r w:rsidR="00DE628C" w:rsidRPr="000665B0">
              <w:rPr>
                <w:sz w:val="20"/>
              </w:rPr>
              <w:t xml:space="preserve">All users should stop their SMD. The </w:t>
            </w:r>
            <w:r w:rsidR="00A40DAA">
              <w:rPr>
                <w:sz w:val="20"/>
              </w:rPr>
              <w:t>TSC</w:t>
            </w:r>
            <w:r w:rsidR="00DE628C" w:rsidRPr="000665B0">
              <w:rPr>
                <w:sz w:val="20"/>
              </w:rPr>
              <w:t xml:space="preserve"> should unload the rehearsal, stop TSRT, and close MDS. The </w:t>
            </w:r>
            <w:r w:rsidR="00A40DAA">
              <w:rPr>
                <w:sz w:val="20"/>
              </w:rPr>
              <w:t>TSC</w:t>
            </w:r>
            <w:r w:rsidR="00DE628C" w:rsidRPr="000665B0">
              <w:rPr>
                <w:sz w:val="20"/>
              </w:rPr>
              <w:t xml:space="preserve"> should run MDS as an admin and change the values. The </w:t>
            </w:r>
            <w:r w:rsidR="00A40DAA">
              <w:rPr>
                <w:sz w:val="20"/>
              </w:rPr>
              <w:t>TSC</w:t>
            </w:r>
            <w:r w:rsidR="00DE628C" w:rsidRPr="000665B0">
              <w:rPr>
                <w:sz w:val="20"/>
              </w:rPr>
              <w:t xml:space="preserve"> should close MDS, then run MDS as a user and restart the rehearsal. All other users should start their SMD.</w:t>
            </w:r>
          </w:p>
        </w:tc>
      </w:tr>
      <w:tr w:rsidR="00C1621C" w:rsidRPr="000665B0" w14:paraId="62C6A19F" w14:textId="77777777" w:rsidTr="0056739E">
        <w:trPr>
          <w:cantSplit/>
        </w:trPr>
        <w:tc>
          <w:tcPr>
            <w:tcW w:w="630" w:type="dxa"/>
          </w:tcPr>
          <w:p w14:paraId="74332200" w14:textId="77777777" w:rsidR="00C1621C" w:rsidRPr="000665B0" w:rsidRDefault="00C1621C" w:rsidP="00346248">
            <w:pPr>
              <w:spacing w:before="60" w:after="60" w:line="240" w:lineRule="auto"/>
              <w:jc w:val="center"/>
              <w:rPr>
                <w:sz w:val="20"/>
              </w:rPr>
            </w:pPr>
            <w:r w:rsidRPr="000665B0">
              <w:rPr>
                <w:sz w:val="20"/>
              </w:rPr>
              <w:t>2</w:t>
            </w:r>
          </w:p>
        </w:tc>
        <w:tc>
          <w:tcPr>
            <w:tcW w:w="6660" w:type="dxa"/>
          </w:tcPr>
          <w:p w14:paraId="68AC5481" w14:textId="77777777" w:rsidR="00C1621C" w:rsidRPr="000665B0" w:rsidRDefault="00C1621C" w:rsidP="00346248">
            <w:pPr>
              <w:spacing w:before="60" w:after="60" w:line="240" w:lineRule="auto"/>
              <w:rPr>
                <w:bCs/>
                <w:sz w:val="20"/>
              </w:rPr>
            </w:pPr>
            <w:r w:rsidRPr="000665B0">
              <w:rPr>
                <w:bCs/>
                <w:sz w:val="20"/>
              </w:rPr>
              <w:t>Start TSRT</w:t>
            </w:r>
          </w:p>
          <w:p w14:paraId="3632D878" w14:textId="77777777" w:rsidR="00C1621C" w:rsidRPr="000665B0" w:rsidRDefault="00C1621C" w:rsidP="006D5A65">
            <w:pPr>
              <w:pStyle w:val="Heading1"/>
            </w:pPr>
            <w:r w:rsidRPr="000665B0">
              <w:t>Perform Steps 1-8 from Case A.</w:t>
            </w:r>
          </w:p>
          <w:p w14:paraId="57A733E2" w14:textId="77777777" w:rsidR="00C1621C" w:rsidRPr="000665B0" w:rsidRDefault="00C1621C" w:rsidP="006D5A65">
            <w:pPr>
              <w:pStyle w:val="Heading1"/>
              <w:rPr>
                <w:bCs/>
              </w:rPr>
            </w:pPr>
            <w:r w:rsidRPr="000665B0">
              <w:t>Verify that the SMD and TSRT are running at the slowest speed (1X) with the current time being about one hour before the first missile launch. No LERs or OWRs should have been sent or received at this point.</w:t>
            </w:r>
          </w:p>
          <w:p w14:paraId="447E3919" w14:textId="77777777" w:rsidR="00C1621C" w:rsidRPr="000665B0" w:rsidRDefault="00C1621C" w:rsidP="006D5A65">
            <w:pPr>
              <w:pStyle w:val="Heading1"/>
              <w:rPr>
                <w:bCs/>
              </w:rPr>
            </w:pPr>
            <w:r w:rsidRPr="000665B0">
              <w:t>Write down all of the missiles’ timing information (TOL, FWP, and TOT).</w:t>
            </w:r>
          </w:p>
        </w:tc>
        <w:tc>
          <w:tcPr>
            <w:tcW w:w="6390" w:type="dxa"/>
          </w:tcPr>
          <w:p w14:paraId="39613F50" w14:textId="77777777" w:rsidR="00C1621C" w:rsidRPr="000665B0" w:rsidRDefault="00C1621C" w:rsidP="00346248">
            <w:pPr>
              <w:spacing w:before="60" w:after="60" w:line="240" w:lineRule="auto"/>
              <w:rPr>
                <w:sz w:val="20"/>
              </w:rPr>
            </w:pPr>
            <w:r w:rsidRPr="000665B0">
              <w:rPr>
                <w:sz w:val="20"/>
              </w:rPr>
              <w:t> </w:t>
            </w:r>
          </w:p>
        </w:tc>
      </w:tr>
      <w:tr w:rsidR="00C1621C" w:rsidRPr="000665B0" w14:paraId="7EE27D0D" w14:textId="77777777" w:rsidTr="0056739E">
        <w:trPr>
          <w:cantSplit/>
        </w:trPr>
        <w:tc>
          <w:tcPr>
            <w:tcW w:w="630" w:type="dxa"/>
          </w:tcPr>
          <w:p w14:paraId="79334E7D" w14:textId="77777777" w:rsidR="00C1621C" w:rsidRPr="000665B0" w:rsidRDefault="00C1621C" w:rsidP="00346248">
            <w:pPr>
              <w:spacing w:before="60" w:after="60" w:line="240" w:lineRule="auto"/>
              <w:jc w:val="center"/>
              <w:rPr>
                <w:sz w:val="20"/>
              </w:rPr>
            </w:pPr>
            <w:r w:rsidRPr="000665B0">
              <w:rPr>
                <w:sz w:val="20"/>
              </w:rPr>
              <w:lastRenderedPageBreak/>
              <w:t>3</w:t>
            </w:r>
          </w:p>
        </w:tc>
        <w:tc>
          <w:tcPr>
            <w:tcW w:w="6660" w:type="dxa"/>
          </w:tcPr>
          <w:p w14:paraId="405709AC" w14:textId="2A99EE07" w:rsidR="00C1621C" w:rsidRPr="000665B0" w:rsidRDefault="001D340B" w:rsidP="00346248">
            <w:pPr>
              <w:spacing w:before="60" w:after="60" w:line="240" w:lineRule="auto"/>
              <w:rPr>
                <w:bCs/>
                <w:sz w:val="20"/>
              </w:rPr>
            </w:pPr>
            <w:r w:rsidRPr="000665B0">
              <w:rPr>
                <w:bCs/>
                <w:sz w:val="20"/>
              </w:rPr>
              <w:t xml:space="preserve">Set Up </w:t>
            </w:r>
            <w:r w:rsidR="00C1621C" w:rsidRPr="000665B0">
              <w:rPr>
                <w:bCs/>
                <w:sz w:val="20"/>
              </w:rPr>
              <w:t>Complications</w:t>
            </w:r>
            <w:r w:rsidRPr="000665B0">
              <w:rPr>
                <w:bCs/>
                <w:sz w:val="20"/>
              </w:rPr>
              <w:t xml:space="preserve"> (see Note)</w:t>
            </w:r>
          </w:p>
          <w:p w14:paraId="661AD37D" w14:textId="3618B02A" w:rsidR="00C1621C" w:rsidRPr="000665B0" w:rsidRDefault="00C1621C" w:rsidP="00346248">
            <w:pPr>
              <w:spacing w:before="60" w:after="60" w:line="240" w:lineRule="auto"/>
              <w:rPr>
                <w:sz w:val="20"/>
              </w:rPr>
            </w:pPr>
            <w:r w:rsidRPr="000665B0">
              <w:rPr>
                <w:sz w:val="20"/>
              </w:rPr>
              <w:t xml:space="preserve">See </w:t>
            </w:r>
            <w:hyperlink w:anchor="_5.39.13__Complications" w:history="1">
              <w:r w:rsidR="002A4B19" w:rsidRPr="000665B0">
                <w:rPr>
                  <w:rStyle w:val="Hyperlink"/>
                  <w:sz w:val="20"/>
                </w:rPr>
                <w:t xml:space="preserve">Section </w:t>
              </w:r>
              <w:r w:rsidR="004231CC">
                <w:rPr>
                  <w:rStyle w:val="Hyperlink"/>
                  <w:sz w:val="20"/>
                </w:rPr>
                <w:t>5.37</w:t>
              </w:r>
              <w:r w:rsidR="002A4B19" w:rsidRPr="000665B0">
                <w:rPr>
                  <w:rStyle w:val="Hyperlink"/>
                  <w:sz w:val="20"/>
                </w:rPr>
                <w:t>.14</w:t>
              </w:r>
            </w:hyperlink>
            <w:r w:rsidR="002A4B19" w:rsidRPr="000665B0">
              <w:rPr>
                <w:sz w:val="20"/>
              </w:rPr>
              <w:t xml:space="preserve"> </w:t>
            </w:r>
            <w:r w:rsidRPr="000665B0">
              <w:rPr>
                <w:sz w:val="20"/>
              </w:rPr>
              <w:t xml:space="preserve">for </w:t>
            </w:r>
            <w:r w:rsidR="006A1F75" w:rsidRPr="000665B0">
              <w:rPr>
                <w:sz w:val="20"/>
              </w:rPr>
              <w:t>instructions and</w:t>
            </w:r>
            <w:r w:rsidRPr="000665B0">
              <w:rPr>
                <w:sz w:val="20"/>
              </w:rPr>
              <w:t xml:space="preserve"> create the following primary missile complications from the TSRT Scenario Director. </w:t>
            </w:r>
          </w:p>
          <w:p w14:paraId="2E30519B" w14:textId="77777777" w:rsidR="00C1621C" w:rsidRPr="000665B0" w:rsidRDefault="00C1621C" w:rsidP="006D5A65">
            <w:pPr>
              <w:pStyle w:val="Heading1"/>
            </w:pPr>
            <w:r w:rsidRPr="000665B0">
              <w:t>TOT-enabled missile to launch early.</w:t>
            </w:r>
          </w:p>
          <w:p w14:paraId="0EB77011" w14:textId="77777777" w:rsidR="00C1621C" w:rsidRPr="000665B0" w:rsidRDefault="00C1621C" w:rsidP="006D5A65">
            <w:pPr>
              <w:pStyle w:val="Heading1"/>
            </w:pPr>
            <w:r w:rsidRPr="000665B0">
              <w:t>Non TOT-enabled missile to launch early.</w:t>
            </w:r>
          </w:p>
          <w:p w14:paraId="2E52FDF7" w14:textId="77777777" w:rsidR="00C1621C" w:rsidRPr="000665B0" w:rsidRDefault="00C1621C" w:rsidP="006D5A65">
            <w:pPr>
              <w:pStyle w:val="Heading1"/>
            </w:pPr>
            <w:r w:rsidRPr="000665B0">
              <w:t>TOT-enabled missile to launch late.</w:t>
            </w:r>
          </w:p>
          <w:p w14:paraId="40E5B2A4" w14:textId="77777777" w:rsidR="00C1621C" w:rsidRPr="000665B0" w:rsidRDefault="00C1621C" w:rsidP="006D5A65">
            <w:pPr>
              <w:pStyle w:val="Heading1"/>
            </w:pPr>
            <w:r w:rsidRPr="000665B0">
              <w:t>Non TOT-enabled missile to launch late.</w:t>
            </w:r>
          </w:p>
          <w:p w14:paraId="4703031D" w14:textId="77777777" w:rsidR="00C1621C" w:rsidRPr="000665B0" w:rsidRDefault="00C1621C" w:rsidP="006D5A65">
            <w:pPr>
              <w:pStyle w:val="Heading1"/>
            </w:pPr>
            <w:r w:rsidRPr="000665B0">
              <w:t>Missile with a backup to fail at launch.</w:t>
            </w:r>
          </w:p>
          <w:p w14:paraId="599B3897" w14:textId="77777777" w:rsidR="00C1621C" w:rsidRPr="000665B0" w:rsidRDefault="00C1621C" w:rsidP="006D5A65">
            <w:pPr>
              <w:pStyle w:val="Heading1"/>
            </w:pPr>
            <w:r w:rsidRPr="000665B0">
              <w:t>Missile with ready spare to fail to transition to cruise.</w:t>
            </w:r>
          </w:p>
          <w:p w14:paraId="32D6D684" w14:textId="77777777" w:rsidR="00C1621C" w:rsidRPr="000665B0" w:rsidRDefault="00C1621C" w:rsidP="006D5A65">
            <w:pPr>
              <w:pStyle w:val="Heading1"/>
              <w:rPr>
                <w:bCs/>
              </w:rPr>
            </w:pPr>
            <w:r w:rsidRPr="000665B0">
              <w:t>Missile with auto ready spare to fail at launch.</w:t>
            </w:r>
          </w:p>
        </w:tc>
        <w:tc>
          <w:tcPr>
            <w:tcW w:w="6390" w:type="dxa"/>
          </w:tcPr>
          <w:p w14:paraId="76F061BD" w14:textId="77777777" w:rsidR="00C1621C" w:rsidRPr="000665B0" w:rsidRDefault="00C1621C" w:rsidP="00346248">
            <w:pPr>
              <w:spacing w:before="60" w:after="60" w:line="240" w:lineRule="auto"/>
              <w:rPr>
                <w:sz w:val="20"/>
              </w:rPr>
            </w:pPr>
            <w:r w:rsidRPr="000665B0">
              <w:rPr>
                <w:sz w:val="20"/>
              </w:rPr>
              <w:t>TSRT should accept the complications.</w:t>
            </w:r>
          </w:p>
        </w:tc>
      </w:tr>
      <w:tr w:rsidR="00C1621C" w:rsidRPr="000665B0" w14:paraId="3072E4BE" w14:textId="77777777" w:rsidTr="0056739E">
        <w:trPr>
          <w:cantSplit/>
        </w:trPr>
        <w:tc>
          <w:tcPr>
            <w:tcW w:w="630" w:type="dxa"/>
          </w:tcPr>
          <w:p w14:paraId="51E4636B" w14:textId="77777777" w:rsidR="00C1621C" w:rsidRPr="000665B0" w:rsidRDefault="00C1621C" w:rsidP="00346248">
            <w:pPr>
              <w:spacing w:before="60" w:after="60" w:line="240" w:lineRule="auto"/>
              <w:jc w:val="center"/>
              <w:rPr>
                <w:sz w:val="20"/>
              </w:rPr>
            </w:pPr>
            <w:r w:rsidRPr="000665B0">
              <w:rPr>
                <w:sz w:val="20"/>
              </w:rPr>
              <w:t>4</w:t>
            </w:r>
          </w:p>
        </w:tc>
        <w:tc>
          <w:tcPr>
            <w:tcW w:w="6660" w:type="dxa"/>
          </w:tcPr>
          <w:p w14:paraId="41C6D7E9" w14:textId="77777777" w:rsidR="00C1621C" w:rsidRPr="000665B0" w:rsidRDefault="00C1621C" w:rsidP="00346248">
            <w:pPr>
              <w:spacing w:before="60" w:after="60" w:line="240" w:lineRule="auto"/>
              <w:rPr>
                <w:bCs/>
                <w:sz w:val="20"/>
              </w:rPr>
            </w:pPr>
            <w:r w:rsidRPr="000665B0">
              <w:rPr>
                <w:bCs/>
                <w:sz w:val="20"/>
              </w:rPr>
              <w:t>Check Event Log in the SMD for Missiles Late/Early</w:t>
            </w:r>
          </w:p>
          <w:p w14:paraId="0455EFE6" w14:textId="77777777" w:rsidR="00C1621C" w:rsidRPr="000665B0" w:rsidRDefault="00C1621C" w:rsidP="006D5A65">
            <w:pPr>
              <w:pStyle w:val="Heading1"/>
            </w:pPr>
            <w:r w:rsidRPr="000665B0">
              <w:t xml:space="preserve">For the missiles that launch early/late, there should be an event in the Event Log that states this. </w:t>
            </w:r>
          </w:p>
          <w:p w14:paraId="6FE0ED65" w14:textId="77777777" w:rsidR="00C1621C" w:rsidRPr="000665B0" w:rsidRDefault="00C1621C" w:rsidP="006D5A65">
            <w:pPr>
              <w:pStyle w:val="Heading1"/>
            </w:pPr>
            <w:r w:rsidRPr="000665B0">
              <w:t xml:space="preserve">For the TOT-enabled missions, the TOA speed up/slow down should be present in the message and the missile should display a warning. </w:t>
            </w:r>
          </w:p>
          <w:p w14:paraId="2300274A" w14:textId="77777777" w:rsidR="00C1621C" w:rsidRPr="000665B0" w:rsidRDefault="00C1621C" w:rsidP="006D5A65">
            <w:pPr>
              <w:pStyle w:val="Heading1"/>
              <w:rPr>
                <w:bCs/>
              </w:rPr>
            </w:pPr>
            <w:r w:rsidRPr="000665B0">
              <w:t>These actions occur once the LER is received.</w:t>
            </w:r>
          </w:p>
        </w:tc>
        <w:tc>
          <w:tcPr>
            <w:tcW w:w="6390" w:type="dxa"/>
          </w:tcPr>
          <w:p w14:paraId="57F0156D" w14:textId="77777777" w:rsidR="00C1621C" w:rsidRPr="000665B0" w:rsidRDefault="00C1621C" w:rsidP="00346248">
            <w:pPr>
              <w:spacing w:before="60" w:after="60" w:line="240" w:lineRule="auto"/>
              <w:rPr>
                <w:sz w:val="20"/>
              </w:rPr>
            </w:pPr>
          </w:p>
        </w:tc>
      </w:tr>
      <w:tr w:rsidR="00C1621C" w:rsidRPr="000665B0" w14:paraId="5F45E4C1" w14:textId="77777777" w:rsidTr="0056739E">
        <w:trPr>
          <w:cantSplit/>
        </w:trPr>
        <w:tc>
          <w:tcPr>
            <w:tcW w:w="630" w:type="dxa"/>
          </w:tcPr>
          <w:p w14:paraId="42BE2750" w14:textId="77777777" w:rsidR="00C1621C" w:rsidRPr="000665B0" w:rsidRDefault="00C1621C" w:rsidP="00346248">
            <w:pPr>
              <w:spacing w:before="60" w:after="60" w:line="240" w:lineRule="auto"/>
              <w:jc w:val="center"/>
              <w:rPr>
                <w:sz w:val="20"/>
              </w:rPr>
            </w:pPr>
            <w:r w:rsidRPr="000665B0">
              <w:rPr>
                <w:sz w:val="20"/>
              </w:rPr>
              <w:t>5</w:t>
            </w:r>
          </w:p>
        </w:tc>
        <w:tc>
          <w:tcPr>
            <w:tcW w:w="6660" w:type="dxa"/>
          </w:tcPr>
          <w:p w14:paraId="13F6FD2F" w14:textId="77777777" w:rsidR="00C1621C" w:rsidRPr="000665B0" w:rsidRDefault="00C1621C" w:rsidP="00346248">
            <w:pPr>
              <w:spacing w:before="60" w:after="60" w:line="240" w:lineRule="auto"/>
              <w:rPr>
                <w:bCs/>
                <w:sz w:val="20"/>
              </w:rPr>
            </w:pPr>
            <w:r w:rsidRPr="000665B0">
              <w:rPr>
                <w:bCs/>
                <w:sz w:val="20"/>
              </w:rPr>
              <w:t>Launch Backups for Recovery</w:t>
            </w:r>
          </w:p>
          <w:p w14:paraId="055BB4BE" w14:textId="0911BB6B" w:rsidR="00C1621C" w:rsidRPr="000665B0" w:rsidRDefault="00C1621C" w:rsidP="006D5A65">
            <w:pPr>
              <w:pStyle w:val="Heading1"/>
            </w:pPr>
            <w:r w:rsidRPr="000665B0">
              <w:t xml:space="preserve">In the SMD’s Gantt Chart, </w:t>
            </w:r>
            <w:r w:rsidR="00D71804" w:rsidRPr="000665B0">
              <w:t>right-click</w:t>
            </w:r>
            <w:r w:rsidRPr="000665B0">
              <w:t xml:space="preserve"> on the desired missile and select Status </w:t>
            </w:r>
            <w:r w:rsidRPr="000665B0">
              <w:sym w:font="Wingdings 3" w:char="F07D"/>
            </w:r>
            <w:r w:rsidRPr="000665B0">
              <w:t xml:space="preserve"> Set to Failed.</w:t>
            </w:r>
          </w:p>
          <w:p w14:paraId="2A318723" w14:textId="727BD1DD" w:rsidR="00C1621C" w:rsidRPr="000665B0" w:rsidRDefault="00D71804" w:rsidP="006D5A65">
            <w:pPr>
              <w:pStyle w:val="Heading1"/>
            </w:pPr>
            <w:r w:rsidRPr="000665B0">
              <w:t>Right-click</w:t>
            </w:r>
            <w:r w:rsidR="00C1621C" w:rsidRPr="000665B0">
              <w:t xml:space="preserve"> the failed missile and select Recovery </w:t>
            </w:r>
            <w:r w:rsidR="00C1621C" w:rsidRPr="000665B0">
              <w:sym w:font="Wingdings 3" w:char="F07D"/>
            </w:r>
            <w:r w:rsidR="00C1621C" w:rsidRPr="000665B0">
              <w:t xml:space="preserve"> Launch Backup. Select the backup missile (identified as FRU, MS#, Mission ID, Missile).</w:t>
            </w:r>
          </w:p>
          <w:p w14:paraId="491A0056" w14:textId="236265A4" w:rsidR="00C1621C" w:rsidRPr="000665B0" w:rsidRDefault="00C1621C" w:rsidP="006D5A65">
            <w:pPr>
              <w:pStyle w:val="Heading1"/>
              <w:rPr>
                <w:bCs/>
              </w:rPr>
            </w:pPr>
            <w:r w:rsidRPr="000665B0">
              <w:t>Verify that the primary missile was removed and was replaced by the backup missile in the Gantt tree</w:t>
            </w:r>
            <w:r w:rsidR="001D340B" w:rsidRPr="000665B0">
              <w:t xml:space="preserve"> (see Note)</w:t>
            </w:r>
            <w:r w:rsidRPr="000665B0">
              <w:t>.</w:t>
            </w:r>
          </w:p>
        </w:tc>
        <w:tc>
          <w:tcPr>
            <w:tcW w:w="6390" w:type="dxa"/>
          </w:tcPr>
          <w:p w14:paraId="058BCD0B" w14:textId="77777777" w:rsidR="00C1621C" w:rsidRPr="000665B0" w:rsidRDefault="00C1621C" w:rsidP="00346248">
            <w:pPr>
              <w:spacing w:before="60" w:after="60" w:line="240" w:lineRule="auto"/>
              <w:rPr>
                <w:sz w:val="20"/>
              </w:rPr>
            </w:pPr>
            <w:r w:rsidRPr="000665B0">
              <w:rPr>
                <w:sz w:val="20"/>
              </w:rPr>
              <w:t>Backups/spares should appear on all machines as the primary.</w:t>
            </w:r>
          </w:p>
        </w:tc>
      </w:tr>
      <w:tr w:rsidR="00C1621C" w:rsidRPr="000665B0" w14:paraId="5F0E9991" w14:textId="77777777" w:rsidTr="0056739E">
        <w:trPr>
          <w:cantSplit/>
        </w:trPr>
        <w:tc>
          <w:tcPr>
            <w:tcW w:w="630" w:type="dxa"/>
          </w:tcPr>
          <w:p w14:paraId="17659E13" w14:textId="77777777" w:rsidR="00C1621C" w:rsidRPr="000665B0" w:rsidRDefault="00C1621C" w:rsidP="00346248">
            <w:pPr>
              <w:spacing w:before="60" w:after="60" w:line="240" w:lineRule="auto"/>
              <w:jc w:val="center"/>
              <w:rPr>
                <w:sz w:val="20"/>
              </w:rPr>
            </w:pPr>
            <w:r w:rsidRPr="000665B0">
              <w:rPr>
                <w:sz w:val="20"/>
              </w:rPr>
              <w:lastRenderedPageBreak/>
              <w:t>6</w:t>
            </w:r>
          </w:p>
        </w:tc>
        <w:tc>
          <w:tcPr>
            <w:tcW w:w="6660" w:type="dxa"/>
          </w:tcPr>
          <w:p w14:paraId="306E1033" w14:textId="4CEEE514" w:rsidR="00C1621C" w:rsidRPr="000665B0" w:rsidRDefault="00C1621C" w:rsidP="00346248">
            <w:pPr>
              <w:spacing w:before="60" w:after="60" w:line="240" w:lineRule="auto"/>
              <w:rPr>
                <w:bCs/>
                <w:sz w:val="20"/>
              </w:rPr>
            </w:pPr>
            <w:r w:rsidRPr="000665B0">
              <w:rPr>
                <w:bCs/>
                <w:sz w:val="20"/>
              </w:rPr>
              <w:t xml:space="preserve">Move a Missile to the Pool (see </w:t>
            </w:r>
            <w:hyperlink w:anchor="_5.38.3.1.8.2.4__Move" w:history="1">
              <w:r w:rsidR="0096111B" w:rsidRPr="000665B0">
                <w:rPr>
                  <w:rStyle w:val="Hyperlink"/>
                  <w:bCs/>
                  <w:sz w:val="20"/>
                </w:rPr>
                <w:t xml:space="preserve">Section </w:t>
              </w:r>
              <w:r w:rsidR="004231CC">
                <w:rPr>
                  <w:rStyle w:val="Hyperlink"/>
                  <w:bCs/>
                  <w:sz w:val="20"/>
                </w:rPr>
                <w:t>5.35</w:t>
              </w:r>
              <w:r w:rsidR="0096111B" w:rsidRPr="000665B0">
                <w:rPr>
                  <w:rStyle w:val="Hyperlink"/>
                  <w:bCs/>
                  <w:sz w:val="20"/>
                </w:rPr>
                <w:t>.3.1.9</w:t>
              </w:r>
              <w:r w:rsidRPr="000665B0">
                <w:rPr>
                  <w:rStyle w:val="Hyperlink"/>
                  <w:bCs/>
                  <w:sz w:val="20"/>
                </w:rPr>
                <w:t>.2.4</w:t>
              </w:r>
            </w:hyperlink>
            <w:r w:rsidRPr="000665B0">
              <w:rPr>
                <w:bCs/>
                <w:sz w:val="20"/>
              </w:rPr>
              <w:t>)</w:t>
            </w:r>
          </w:p>
          <w:p w14:paraId="09705171" w14:textId="0EE9CB62" w:rsidR="00C1621C" w:rsidRPr="000665B0" w:rsidRDefault="00D71804" w:rsidP="006D5A65">
            <w:pPr>
              <w:pStyle w:val="Heading1"/>
            </w:pPr>
            <w:r w:rsidRPr="000665B0">
              <w:t>Right-click</w:t>
            </w:r>
            <w:r w:rsidR="00C1621C" w:rsidRPr="000665B0">
              <w:t xml:space="preserve"> one of the primary missiles on the Gantt Chart and select Move to Pool.</w:t>
            </w:r>
          </w:p>
          <w:p w14:paraId="34F11885" w14:textId="77777777" w:rsidR="00C1621C" w:rsidRPr="000665B0" w:rsidRDefault="00C1621C" w:rsidP="006D5A65">
            <w:pPr>
              <w:pStyle w:val="Heading1"/>
            </w:pPr>
            <w:r w:rsidRPr="000665B0">
              <w:t>Distribute the strike.</w:t>
            </w:r>
          </w:p>
          <w:p w14:paraId="20467033" w14:textId="77777777" w:rsidR="00C1621C" w:rsidRPr="000665B0" w:rsidRDefault="00C1621C" w:rsidP="006D5A65">
            <w:pPr>
              <w:pStyle w:val="Heading1"/>
              <w:rPr>
                <w:bCs/>
              </w:rPr>
            </w:pPr>
            <w:r w:rsidRPr="000665B0">
              <w:t>On all MDS machines, ensure that the missile disappears from the Gantt Chart and that it becomes a pool in TSRT and all SMD list views.</w:t>
            </w:r>
          </w:p>
        </w:tc>
        <w:tc>
          <w:tcPr>
            <w:tcW w:w="6390" w:type="dxa"/>
          </w:tcPr>
          <w:p w14:paraId="494B0BC0" w14:textId="77777777" w:rsidR="00C1621C" w:rsidRPr="000665B0" w:rsidRDefault="00C1621C" w:rsidP="00346248">
            <w:pPr>
              <w:spacing w:before="60" w:after="60" w:line="240" w:lineRule="auto"/>
              <w:rPr>
                <w:sz w:val="20"/>
              </w:rPr>
            </w:pPr>
          </w:p>
        </w:tc>
      </w:tr>
      <w:tr w:rsidR="00C1621C" w:rsidRPr="000665B0" w14:paraId="493A2811" w14:textId="77777777" w:rsidTr="0056739E">
        <w:trPr>
          <w:cantSplit/>
        </w:trPr>
        <w:tc>
          <w:tcPr>
            <w:tcW w:w="630" w:type="dxa"/>
          </w:tcPr>
          <w:p w14:paraId="4E264131" w14:textId="77777777" w:rsidR="00C1621C" w:rsidRPr="000665B0" w:rsidRDefault="00C1621C" w:rsidP="00346248">
            <w:pPr>
              <w:spacing w:before="60" w:after="60" w:line="240" w:lineRule="auto"/>
              <w:jc w:val="center"/>
              <w:rPr>
                <w:sz w:val="20"/>
              </w:rPr>
            </w:pPr>
            <w:r w:rsidRPr="000665B0">
              <w:rPr>
                <w:sz w:val="20"/>
              </w:rPr>
              <w:t>7</w:t>
            </w:r>
          </w:p>
        </w:tc>
        <w:tc>
          <w:tcPr>
            <w:tcW w:w="6660" w:type="dxa"/>
          </w:tcPr>
          <w:p w14:paraId="2C9FD5C2" w14:textId="77777777" w:rsidR="00C1621C" w:rsidRPr="000665B0" w:rsidRDefault="00C1621C" w:rsidP="00346248">
            <w:pPr>
              <w:spacing w:before="60" w:after="60" w:line="240" w:lineRule="auto"/>
              <w:rPr>
                <w:bCs/>
                <w:sz w:val="20"/>
              </w:rPr>
            </w:pPr>
            <w:r w:rsidRPr="000665B0">
              <w:rPr>
                <w:bCs/>
                <w:sz w:val="20"/>
              </w:rPr>
              <w:t>Set Timing Deviation back to 10</w:t>
            </w:r>
          </w:p>
          <w:p w14:paraId="0AD84EF8" w14:textId="1CBE7222" w:rsidR="00C1621C" w:rsidRPr="000665B0" w:rsidRDefault="00C1621C" w:rsidP="006D5A65">
            <w:pPr>
              <w:pStyle w:val="Heading1"/>
              <w:rPr>
                <w:bCs/>
              </w:rPr>
            </w:pPr>
            <w:r w:rsidRPr="000665B0">
              <w:t>On all of the MDS machines in the strike (</w:t>
            </w:r>
            <w:r w:rsidR="00354C47">
              <w:t>TSC</w:t>
            </w:r>
            <w:r w:rsidRPr="000665B0">
              <w:t xml:space="preserve">, </w:t>
            </w:r>
            <w:r w:rsidR="00354C47">
              <w:t>ATSC</w:t>
            </w:r>
            <w:r w:rsidRPr="000665B0">
              <w:t xml:space="preserve">, and Monitor): Navigate to the Strike Folders tool and select View </w:t>
            </w:r>
            <w:r w:rsidRPr="000665B0">
              <w:sym w:font="Wingdings" w:char="F0E0"/>
            </w:r>
            <w:r w:rsidRPr="000665B0">
              <w:t xml:space="preserve"> Properties. The </w:t>
            </w:r>
            <w:r w:rsidRPr="000665B0">
              <w:rPr>
                <w:i/>
              </w:rPr>
              <w:t xml:space="preserve">Strike Properties </w:t>
            </w:r>
            <w:r w:rsidRPr="000665B0">
              <w:t xml:space="preserve">window is displayed. Click the TSN button; the </w:t>
            </w:r>
            <w:r w:rsidRPr="000665B0">
              <w:rPr>
                <w:i/>
              </w:rPr>
              <w:t xml:space="preserve">Planning/Execution Preferences </w:t>
            </w:r>
            <w:r w:rsidRPr="000665B0">
              <w:t>window is displayed.</w:t>
            </w:r>
            <w:r w:rsidRPr="000665B0">
              <w:rPr>
                <w:i/>
              </w:rPr>
              <w:t xml:space="preserve"> </w:t>
            </w:r>
            <w:r w:rsidRPr="000665B0">
              <w:t xml:space="preserve">Select the </w:t>
            </w:r>
            <w:r w:rsidRPr="000665B0">
              <w:rPr>
                <w:i/>
              </w:rPr>
              <w:t>Execution</w:t>
            </w:r>
            <w:r w:rsidRPr="000665B0">
              <w:t xml:space="preserve"> tab and enter 10 in the Timing Type Deviation field, then click OK.</w:t>
            </w:r>
          </w:p>
        </w:tc>
        <w:tc>
          <w:tcPr>
            <w:tcW w:w="6390" w:type="dxa"/>
          </w:tcPr>
          <w:p w14:paraId="275A2B41" w14:textId="77777777" w:rsidR="00C1621C" w:rsidRPr="000665B0" w:rsidRDefault="00C1621C" w:rsidP="00346248">
            <w:pPr>
              <w:spacing w:before="60" w:after="60" w:line="240" w:lineRule="auto"/>
              <w:rPr>
                <w:sz w:val="20"/>
              </w:rPr>
            </w:pPr>
          </w:p>
        </w:tc>
      </w:tr>
    </w:tbl>
    <w:p w14:paraId="571FEAA4" w14:textId="512D4B08" w:rsidR="00C1621C" w:rsidRPr="000665B0" w:rsidRDefault="00C1621C" w:rsidP="0056739E">
      <w:pPr>
        <w:pStyle w:val="Appendix2"/>
        <w:pageBreakBefore/>
      </w:pPr>
      <w:bookmarkStart w:id="8071" w:name="_Q-4:__CASE"/>
      <w:bookmarkStart w:id="8072" w:name="_Q-5__CASE"/>
      <w:bookmarkStart w:id="8073" w:name="_Q-6__CASE"/>
      <w:bookmarkStart w:id="8074" w:name="_Q-7__CASE"/>
      <w:bookmarkStart w:id="8075" w:name="_Q-8__CASE"/>
      <w:bookmarkStart w:id="8076" w:name="_Toc214283729"/>
      <w:bookmarkEnd w:id="8071"/>
      <w:bookmarkEnd w:id="8072"/>
      <w:bookmarkEnd w:id="8073"/>
      <w:bookmarkEnd w:id="8074"/>
      <w:bookmarkEnd w:id="8075"/>
      <w:r w:rsidRPr="000665B0">
        <w:lastRenderedPageBreak/>
        <w:t xml:space="preserve">CASE D: CREATE AND ADD AN AD-HOC OPTION TO AN EXECUTING MULTI-STRIKE AS THE </w:t>
      </w:r>
      <w:r w:rsidR="00354C47">
        <w:t>ATSC</w:t>
      </w:r>
      <w:bookmarkEnd w:id="8076"/>
    </w:p>
    <w:tbl>
      <w:tblPr>
        <w:tblW w:w="13714" w:type="dxa"/>
        <w:tblInd w:w="108" w:type="dxa"/>
        <w:tblLook w:val="0000" w:firstRow="0" w:lastRow="0" w:firstColumn="0" w:lastColumn="0" w:noHBand="0" w:noVBand="0"/>
      </w:tblPr>
      <w:tblGrid>
        <w:gridCol w:w="13714"/>
      </w:tblGrid>
      <w:tr w:rsidR="00C1621C" w:rsidRPr="000665B0" w14:paraId="173AC4F0" w14:textId="77777777" w:rsidTr="00935A52">
        <w:trPr>
          <w:cantSplit/>
        </w:trPr>
        <w:tc>
          <w:tcPr>
            <w:tcW w:w="13714" w:type="dxa"/>
            <w:tcBorders>
              <w:top w:val="single" w:sz="4" w:space="0" w:color="auto"/>
              <w:left w:val="single" w:sz="4" w:space="0" w:color="auto"/>
              <w:bottom w:val="single" w:sz="4" w:space="0" w:color="auto"/>
              <w:right w:val="single" w:sz="4" w:space="0" w:color="000000"/>
            </w:tcBorders>
            <w:shd w:val="clear" w:color="auto" w:fill="D9D9D9" w:themeFill="background1" w:themeFillShade="D9"/>
          </w:tcPr>
          <w:p w14:paraId="7E7986F1" w14:textId="77777777" w:rsidR="00C1621C" w:rsidRPr="000665B0" w:rsidRDefault="00C1621C" w:rsidP="00DA3F43">
            <w:pPr>
              <w:keepNext/>
              <w:spacing w:before="60" w:after="60" w:line="240" w:lineRule="auto"/>
              <w:rPr>
                <w:b/>
                <w:bCs/>
                <w:sz w:val="20"/>
              </w:rPr>
            </w:pPr>
            <w:r w:rsidRPr="000665B0">
              <w:rPr>
                <w:b/>
                <w:bCs/>
                <w:sz w:val="20"/>
              </w:rPr>
              <w:t>Objective</w:t>
            </w:r>
          </w:p>
        </w:tc>
      </w:tr>
      <w:tr w:rsidR="00C1621C" w:rsidRPr="000665B0" w14:paraId="1263605D" w14:textId="77777777" w:rsidTr="00346248">
        <w:trPr>
          <w:cantSplit/>
        </w:trPr>
        <w:tc>
          <w:tcPr>
            <w:tcW w:w="13714" w:type="dxa"/>
            <w:tcBorders>
              <w:top w:val="single" w:sz="4" w:space="0" w:color="auto"/>
              <w:left w:val="single" w:sz="4" w:space="0" w:color="auto"/>
              <w:bottom w:val="single" w:sz="4" w:space="0" w:color="auto"/>
              <w:right w:val="single" w:sz="4" w:space="0" w:color="000000"/>
            </w:tcBorders>
          </w:tcPr>
          <w:p w14:paraId="44A1E88E" w14:textId="51A45316" w:rsidR="00C1621C" w:rsidRPr="000665B0" w:rsidRDefault="00C1621C" w:rsidP="000C4033">
            <w:pPr>
              <w:keepNext/>
              <w:spacing w:before="60" w:after="60" w:line="240" w:lineRule="auto"/>
              <w:rPr>
                <w:sz w:val="20"/>
              </w:rPr>
            </w:pPr>
            <w:r w:rsidRPr="000665B0">
              <w:rPr>
                <w:sz w:val="20"/>
              </w:rPr>
              <w:t>The objective of this case is to add an Ad-</w:t>
            </w:r>
            <w:r w:rsidR="000C4033" w:rsidRPr="000665B0">
              <w:rPr>
                <w:sz w:val="20"/>
              </w:rPr>
              <w:t xml:space="preserve"> </w:t>
            </w:r>
            <w:r w:rsidRPr="000665B0">
              <w:rPr>
                <w:sz w:val="20"/>
              </w:rPr>
              <w:t>Hoc to an executing multi-strike while demonstrating the</w:t>
            </w:r>
            <w:r w:rsidR="00B54FFB">
              <w:rPr>
                <w:sz w:val="20"/>
              </w:rPr>
              <w:t xml:space="preserve"> ATSC </w:t>
            </w:r>
            <w:r w:rsidRPr="000665B0">
              <w:rPr>
                <w:sz w:val="20"/>
              </w:rPr>
              <w:t>taking over a strike.</w:t>
            </w:r>
          </w:p>
        </w:tc>
      </w:tr>
      <w:tr w:rsidR="00C1621C" w:rsidRPr="000665B0" w14:paraId="54C2BFAF" w14:textId="77777777" w:rsidTr="00935A52">
        <w:trPr>
          <w:cantSplit/>
        </w:trPr>
        <w:tc>
          <w:tcPr>
            <w:tcW w:w="13714" w:type="dxa"/>
            <w:tcBorders>
              <w:top w:val="single" w:sz="4" w:space="0" w:color="auto"/>
              <w:left w:val="single" w:sz="4" w:space="0" w:color="auto"/>
              <w:bottom w:val="single" w:sz="4" w:space="0" w:color="auto"/>
              <w:right w:val="single" w:sz="4" w:space="0" w:color="000000"/>
            </w:tcBorders>
            <w:shd w:val="clear" w:color="auto" w:fill="D9D9D9" w:themeFill="background1" w:themeFillShade="D9"/>
            <w:noWrap/>
          </w:tcPr>
          <w:p w14:paraId="09747BEC" w14:textId="77777777" w:rsidR="00C1621C" w:rsidRPr="000665B0" w:rsidRDefault="00C1621C" w:rsidP="00F26AD4">
            <w:pPr>
              <w:keepNext/>
              <w:spacing w:before="60" w:after="60" w:line="240" w:lineRule="auto"/>
              <w:rPr>
                <w:b/>
                <w:bCs/>
                <w:sz w:val="20"/>
              </w:rPr>
            </w:pPr>
            <w:r w:rsidRPr="000665B0">
              <w:rPr>
                <w:b/>
                <w:bCs/>
                <w:sz w:val="20"/>
              </w:rPr>
              <w:t xml:space="preserve">Prerequisites </w:t>
            </w:r>
          </w:p>
        </w:tc>
      </w:tr>
      <w:tr w:rsidR="00C1621C" w:rsidRPr="000665B0" w14:paraId="1D02700A" w14:textId="77777777" w:rsidTr="00346248">
        <w:trPr>
          <w:cantSplit/>
        </w:trPr>
        <w:tc>
          <w:tcPr>
            <w:tcW w:w="13714" w:type="dxa"/>
            <w:tcBorders>
              <w:top w:val="single" w:sz="4" w:space="0" w:color="auto"/>
              <w:left w:val="single" w:sz="4" w:space="0" w:color="auto"/>
              <w:bottom w:val="single" w:sz="4" w:space="0" w:color="auto"/>
              <w:right w:val="single" w:sz="4" w:space="0" w:color="000000"/>
            </w:tcBorders>
          </w:tcPr>
          <w:p w14:paraId="4E408A32" w14:textId="77777777" w:rsidR="00C1621C" w:rsidRPr="000665B0" w:rsidRDefault="00C1621C" w:rsidP="00F26AD4">
            <w:pPr>
              <w:keepNext/>
              <w:spacing w:before="60" w:after="60" w:line="240" w:lineRule="auto"/>
              <w:rPr>
                <w:sz w:val="20"/>
              </w:rPr>
            </w:pPr>
            <w:r w:rsidRPr="000665B0">
              <w:rPr>
                <w:sz w:val="20"/>
              </w:rPr>
              <w:t>1. Ensure that the Pre</w:t>
            </w:r>
            <w:r w:rsidRPr="000665B0">
              <w:rPr>
                <w:bCs/>
                <w:sz w:val="20"/>
              </w:rPr>
              <w:t>requisites</w:t>
            </w:r>
            <w:r w:rsidRPr="000665B0">
              <w:rPr>
                <w:b/>
                <w:bCs/>
                <w:sz w:val="20"/>
              </w:rPr>
              <w:t xml:space="preserve"> </w:t>
            </w:r>
            <w:r w:rsidRPr="000665B0">
              <w:rPr>
                <w:sz w:val="20"/>
              </w:rPr>
              <w:t xml:space="preserve">from </w:t>
            </w:r>
            <w:r w:rsidRPr="000665B0">
              <w:rPr>
                <w:bCs/>
                <w:sz w:val="20"/>
              </w:rPr>
              <w:t>Case A have been met</w:t>
            </w:r>
            <w:r w:rsidRPr="000665B0">
              <w:rPr>
                <w:sz w:val="20"/>
              </w:rPr>
              <w:t>.</w:t>
            </w:r>
          </w:p>
        </w:tc>
      </w:tr>
    </w:tbl>
    <w:p w14:paraId="622D2B26" w14:textId="1C6A10ED" w:rsidR="005E043D" w:rsidRDefault="005E043D">
      <w:pPr>
        <w:spacing w:after="0" w:line="240" w:lineRule="auto"/>
      </w:pP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
        <w:gridCol w:w="6840"/>
        <w:gridCol w:w="6210"/>
      </w:tblGrid>
      <w:tr w:rsidR="00C1621C" w:rsidRPr="000665B0" w14:paraId="1C861D7D" w14:textId="77777777" w:rsidTr="0056739E">
        <w:trPr>
          <w:cantSplit/>
          <w:tblHeader/>
        </w:trPr>
        <w:tc>
          <w:tcPr>
            <w:tcW w:w="630" w:type="dxa"/>
            <w:shd w:val="clear" w:color="auto" w:fill="D9D9D9" w:themeFill="background1" w:themeFillShade="D9"/>
          </w:tcPr>
          <w:p w14:paraId="32031134" w14:textId="77777777" w:rsidR="00C1621C" w:rsidRPr="000665B0" w:rsidRDefault="00C1621C" w:rsidP="0056739E">
            <w:pPr>
              <w:spacing w:before="60" w:after="60" w:line="240" w:lineRule="auto"/>
              <w:jc w:val="center"/>
              <w:rPr>
                <w:b/>
                <w:bCs/>
                <w:sz w:val="20"/>
              </w:rPr>
            </w:pPr>
            <w:r w:rsidRPr="000665B0">
              <w:rPr>
                <w:b/>
                <w:bCs/>
                <w:sz w:val="20"/>
              </w:rPr>
              <w:t>Step</w:t>
            </w:r>
          </w:p>
        </w:tc>
        <w:tc>
          <w:tcPr>
            <w:tcW w:w="6840" w:type="dxa"/>
            <w:shd w:val="clear" w:color="auto" w:fill="D9D9D9" w:themeFill="background1" w:themeFillShade="D9"/>
          </w:tcPr>
          <w:p w14:paraId="3AB7BAA7" w14:textId="77777777" w:rsidR="00C1621C" w:rsidRPr="000665B0" w:rsidRDefault="00C1621C" w:rsidP="00346248">
            <w:pPr>
              <w:spacing w:before="60" w:after="60" w:line="240" w:lineRule="auto"/>
              <w:jc w:val="center"/>
              <w:rPr>
                <w:b/>
                <w:bCs/>
                <w:sz w:val="20"/>
              </w:rPr>
            </w:pPr>
            <w:r w:rsidRPr="000665B0">
              <w:rPr>
                <w:b/>
                <w:bCs/>
                <w:sz w:val="20"/>
              </w:rPr>
              <w:t>Operator Action</w:t>
            </w:r>
          </w:p>
        </w:tc>
        <w:tc>
          <w:tcPr>
            <w:tcW w:w="6210" w:type="dxa"/>
            <w:shd w:val="clear" w:color="auto" w:fill="D9D9D9" w:themeFill="background1" w:themeFillShade="D9"/>
          </w:tcPr>
          <w:p w14:paraId="358077F1" w14:textId="77777777" w:rsidR="00C1621C" w:rsidRPr="000665B0" w:rsidRDefault="00C1621C" w:rsidP="00346248">
            <w:pPr>
              <w:spacing w:before="60" w:after="60" w:line="240" w:lineRule="auto"/>
              <w:jc w:val="center"/>
              <w:rPr>
                <w:b/>
                <w:bCs/>
                <w:sz w:val="20"/>
              </w:rPr>
            </w:pPr>
            <w:r w:rsidRPr="000665B0">
              <w:rPr>
                <w:b/>
                <w:bCs/>
                <w:sz w:val="20"/>
              </w:rPr>
              <w:t>Notes/Comments</w:t>
            </w:r>
          </w:p>
        </w:tc>
      </w:tr>
      <w:tr w:rsidR="00C1621C" w:rsidRPr="000665B0" w14:paraId="2C7A63B9" w14:textId="77777777" w:rsidTr="0056739E">
        <w:trPr>
          <w:cantSplit/>
        </w:trPr>
        <w:tc>
          <w:tcPr>
            <w:tcW w:w="630" w:type="dxa"/>
          </w:tcPr>
          <w:p w14:paraId="6025FC15" w14:textId="77777777" w:rsidR="00C1621C" w:rsidRPr="000665B0" w:rsidRDefault="00C1621C" w:rsidP="00346248">
            <w:pPr>
              <w:spacing w:before="60" w:after="60" w:line="240" w:lineRule="auto"/>
              <w:jc w:val="center"/>
              <w:rPr>
                <w:sz w:val="20"/>
              </w:rPr>
            </w:pPr>
            <w:r w:rsidRPr="000665B0">
              <w:rPr>
                <w:sz w:val="20"/>
              </w:rPr>
              <w:t>1</w:t>
            </w:r>
          </w:p>
        </w:tc>
        <w:tc>
          <w:tcPr>
            <w:tcW w:w="6840" w:type="dxa"/>
          </w:tcPr>
          <w:p w14:paraId="2C4489E5" w14:textId="77777777" w:rsidR="00C1621C" w:rsidRPr="000665B0" w:rsidRDefault="00C1621C" w:rsidP="00346248">
            <w:pPr>
              <w:spacing w:before="60" w:after="60" w:line="240" w:lineRule="auto"/>
              <w:rPr>
                <w:sz w:val="20"/>
              </w:rPr>
            </w:pPr>
            <w:r w:rsidRPr="000665B0">
              <w:rPr>
                <w:sz w:val="20"/>
              </w:rPr>
              <w:t>This Case Executes Multiple Strikes</w:t>
            </w:r>
          </w:p>
          <w:p w14:paraId="5C6AEEFB" w14:textId="77777777" w:rsidR="00C1621C" w:rsidRPr="000665B0" w:rsidRDefault="00C1621C" w:rsidP="006D5A65">
            <w:pPr>
              <w:pStyle w:val="Heading1"/>
            </w:pPr>
            <w:r w:rsidRPr="000665B0">
              <w:t>Perform Steps 1-8 from Case A.</w:t>
            </w:r>
          </w:p>
          <w:p w14:paraId="0D5EF664" w14:textId="77777777" w:rsidR="00C1621C" w:rsidRPr="000665B0" w:rsidRDefault="00C1621C" w:rsidP="006D5A65">
            <w:pPr>
              <w:pStyle w:val="Heading1"/>
              <w:rPr>
                <w:bCs/>
              </w:rPr>
            </w:pPr>
            <w:r w:rsidRPr="000665B0">
              <w:t>Verify that the SMD and TSRT are running at the slowest speed (1X) with the current time being about one hour before the first missile launch. No LERs or OWRs should have been sent or received at this point.</w:t>
            </w:r>
          </w:p>
          <w:p w14:paraId="0F1F20B0" w14:textId="77777777" w:rsidR="00C1621C" w:rsidRPr="000665B0" w:rsidRDefault="00C1621C" w:rsidP="006D5A65">
            <w:pPr>
              <w:pStyle w:val="Heading1"/>
              <w:rPr>
                <w:bCs/>
              </w:rPr>
            </w:pPr>
            <w:r w:rsidRPr="000665B0">
              <w:t>Write down all of the missiles’ timing information (TOL, FWP, and TOT).</w:t>
            </w:r>
          </w:p>
          <w:p w14:paraId="3835C8EB" w14:textId="7393AD64" w:rsidR="00C1621C" w:rsidRPr="000665B0" w:rsidRDefault="00C1621C" w:rsidP="006D5A65">
            <w:pPr>
              <w:pStyle w:val="Heading1"/>
              <w:rPr>
                <w:bCs/>
              </w:rPr>
            </w:pPr>
            <w:r w:rsidRPr="000665B0">
              <w:t xml:space="preserve">Add at least two Strike Packages (from different Strike Folders) to the Strike Execution Folder. </w:t>
            </w:r>
            <w:r w:rsidR="00436348" w:rsidRPr="000665B0">
              <w:t>E</w:t>
            </w:r>
            <w:r w:rsidRPr="000665B0">
              <w:t xml:space="preserve">nsure that the Subscriber IDs for all the missiles are different throughout all of the Strike Packages. This can be achieved by </w:t>
            </w:r>
            <w:r w:rsidR="00436348" w:rsidRPr="000665B0">
              <w:t xml:space="preserve">Tools </w:t>
            </w:r>
            <w:r w:rsidR="00436348" w:rsidRPr="000665B0">
              <w:sym w:font="Wingdings" w:char="F0E0"/>
            </w:r>
            <w:r w:rsidR="00436348" w:rsidRPr="000665B0">
              <w:t xml:space="preserve"> Run Multi Strike Analysis with Executing Strike</w:t>
            </w:r>
            <w:r w:rsidRPr="000665B0">
              <w:t>.</w:t>
            </w:r>
            <w:r w:rsidR="00436348" w:rsidRPr="000665B0">
              <w:t xml:space="preserve">, ensuring that the Subscriber ID checkbox is selected in the </w:t>
            </w:r>
            <w:r w:rsidR="00436348" w:rsidRPr="000665B0">
              <w:rPr>
                <w:i/>
              </w:rPr>
              <w:t>TSN Comms</w:t>
            </w:r>
            <w:r w:rsidR="00436348" w:rsidRPr="000665B0">
              <w:t xml:space="preserve"> tab of the </w:t>
            </w:r>
            <w:r w:rsidR="00436348" w:rsidRPr="000665B0">
              <w:rPr>
                <w:i/>
              </w:rPr>
              <w:t>Multi Strike Analysis</w:t>
            </w:r>
            <w:r w:rsidR="00436348" w:rsidRPr="000665B0">
              <w:t xml:space="preserve"> window. If </w:t>
            </w:r>
            <w:r w:rsidR="00925004" w:rsidRPr="000665B0">
              <w:t>Duplicate Subscriber ID errors</w:t>
            </w:r>
            <w:r w:rsidR="00436348" w:rsidRPr="000665B0">
              <w:t xml:space="preserve"> are returned, </w:t>
            </w:r>
            <w:r w:rsidR="00925004" w:rsidRPr="000665B0">
              <w:t xml:space="preserve">select the Option ID, </w:t>
            </w:r>
            <w:r w:rsidR="00436348" w:rsidRPr="000665B0">
              <w:t xml:space="preserve">invoke the context </w:t>
            </w:r>
            <w:r w:rsidR="006A1F75" w:rsidRPr="000665B0">
              <w:t>menu,</w:t>
            </w:r>
            <w:r w:rsidR="00436348" w:rsidRPr="000665B0">
              <w:t xml:space="preserve"> and select Fix Subscriber IDs.</w:t>
            </w:r>
            <w:r w:rsidR="00925004" w:rsidRPr="000665B0">
              <w:t xml:space="preserve"> If Out of Range error messages are returned, expand the DAMA subscriber ID range in the </w:t>
            </w:r>
            <w:r w:rsidR="00925004" w:rsidRPr="000665B0">
              <w:rPr>
                <w:i/>
              </w:rPr>
              <w:t>Capabilities</w:t>
            </w:r>
            <w:r w:rsidR="00925004" w:rsidRPr="000665B0">
              <w:t xml:space="preserve"> tab of the Nodes tool for Own Node.</w:t>
            </w:r>
          </w:p>
        </w:tc>
        <w:tc>
          <w:tcPr>
            <w:tcW w:w="6210" w:type="dxa"/>
          </w:tcPr>
          <w:p w14:paraId="0269B611" w14:textId="77777777" w:rsidR="00C1621C" w:rsidRPr="000665B0" w:rsidRDefault="00C1621C" w:rsidP="00346248">
            <w:pPr>
              <w:spacing w:before="60" w:after="60" w:line="240" w:lineRule="auto"/>
              <w:rPr>
                <w:sz w:val="20"/>
              </w:rPr>
            </w:pPr>
          </w:p>
        </w:tc>
      </w:tr>
      <w:tr w:rsidR="00C1621C" w:rsidRPr="000665B0" w14:paraId="4113102C" w14:textId="77777777" w:rsidTr="0056739E">
        <w:trPr>
          <w:cantSplit/>
        </w:trPr>
        <w:tc>
          <w:tcPr>
            <w:tcW w:w="630" w:type="dxa"/>
          </w:tcPr>
          <w:p w14:paraId="6E5076DD" w14:textId="77777777" w:rsidR="00C1621C" w:rsidRPr="000665B0" w:rsidRDefault="00C1621C" w:rsidP="00346248">
            <w:pPr>
              <w:spacing w:before="60" w:after="60" w:line="240" w:lineRule="auto"/>
              <w:jc w:val="center"/>
              <w:rPr>
                <w:sz w:val="20"/>
              </w:rPr>
            </w:pPr>
            <w:r w:rsidRPr="000665B0">
              <w:rPr>
                <w:sz w:val="20"/>
              </w:rPr>
              <w:t>2</w:t>
            </w:r>
          </w:p>
        </w:tc>
        <w:tc>
          <w:tcPr>
            <w:tcW w:w="6840" w:type="dxa"/>
          </w:tcPr>
          <w:p w14:paraId="1FECF825" w14:textId="6E51E0F5" w:rsidR="00C1621C" w:rsidRPr="000665B0" w:rsidRDefault="00C1621C" w:rsidP="00346248">
            <w:pPr>
              <w:spacing w:before="60" w:after="60" w:line="240" w:lineRule="auto"/>
              <w:rPr>
                <w:sz w:val="20"/>
              </w:rPr>
            </w:pPr>
            <w:r w:rsidRPr="000665B0">
              <w:rPr>
                <w:bCs/>
                <w:sz w:val="20"/>
              </w:rPr>
              <w:t>Have the</w:t>
            </w:r>
            <w:r w:rsidR="00B54FFB">
              <w:rPr>
                <w:bCs/>
                <w:sz w:val="20"/>
              </w:rPr>
              <w:t xml:space="preserve"> ATSC </w:t>
            </w:r>
            <w:r w:rsidRPr="000665B0">
              <w:rPr>
                <w:bCs/>
                <w:sz w:val="20"/>
              </w:rPr>
              <w:t>Assume Control of the Strike</w:t>
            </w:r>
            <w:r w:rsidR="00712065" w:rsidRPr="000665B0">
              <w:rPr>
                <w:bCs/>
                <w:sz w:val="20"/>
              </w:rPr>
              <w:t xml:space="preserve"> (see </w:t>
            </w:r>
            <w:hyperlink w:anchor="_Transfer__Strike" w:history="1">
              <w:r w:rsidR="00E036B6" w:rsidRPr="000665B0">
                <w:rPr>
                  <w:rStyle w:val="Hyperlink"/>
                  <w:bCs/>
                  <w:sz w:val="20"/>
                </w:rPr>
                <w:t xml:space="preserve">Section </w:t>
              </w:r>
              <w:r w:rsidR="004231CC">
                <w:rPr>
                  <w:rStyle w:val="Hyperlink"/>
                  <w:bCs/>
                  <w:sz w:val="20"/>
                </w:rPr>
                <w:t>5.35</w:t>
              </w:r>
              <w:r w:rsidR="00712065" w:rsidRPr="000665B0">
                <w:rPr>
                  <w:rStyle w:val="Hyperlink"/>
                  <w:bCs/>
                  <w:sz w:val="20"/>
                </w:rPr>
                <w:t>.</w:t>
              </w:r>
              <w:r w:rsidR="00346105" w:rsidRPr="000665B0">
                <w:rPr>
                  <w:rStyle w:val="Hyperlink"/>
                  <w:bCs/>
                  <w:sz w:val="20"/>
                </w:rPr>
                <w:t>15</w:t>
              </w:r>
              <w:r w:rsidR="00712065" w:rsidRPr="000665B0">
                <w:rPr>
                  <w:rStyle w:val="Hyperlink"/>
                  <w:bCs/>
                  <w:sz w:val="20"/>
                </w:rPr>
                <w:t>.1</w:t>
              </w:r>
            </w:hyperlink>
            <w:r w:rsidR="00712065" w:rsidRPr="000665B0">
              <w:rPr>
                <w:bCs/>
                <w:sz w:val="20"/>
              </w:rPr>
              <w:t>).</w:t>
            </w:r>
            <w:r w:rsidRPr="000665B0">
              <w:rPr>
                <w:bCs/>
                <w:sz w:val="20"/>
              </w:rPr>
              <w:t xml:space="preserve"> </w:t>
            </w:r>
          </w:p>
          <w:p w14:paraId="60F860A8" w14:textId="2AE270CB" w:rsidR="00C1621C" w:rsidRPr="000665B0" w:rsidRDefault="00C1621C" w:rsidP="006D5A65">
            <w:pPr>
              <w:pStyle w:val="Heading1"/>
            </w:pPr>
            <w:r w:rsidRPr="000665B0">
              <w:t xml:space="preserve">Assume the </w:t>
            </w:r>
            <w:r w:rsidR="00B54FFB">
              <w:t>TSC</w:t>
            </w:r>
            <w:r w:rsidRPr="000665B0">
              <w:t xml:space="preserve"> is unable to continue to monitor the strike. All changes will be made by the</w:t>
            </w:r>
            <w:r w:rsidR="00B54FFB">
              <w:t xml:space="preserve"> ATSC </w:t>
            </w:r>
            <w:r w:rsidR="003C2E66" w:rsidRPr="000665B0">
              <w:t>(see Note)</w:t>
            </w:r>
            <w:r w:rsidRPr="000665B0">
              <w:t>.</w:t>
            </w:r>
          </w:p>
        </w:tc>
        <w:tc>
          <w:tcPr>
            <w:tcW w:w="6210" w:type="dxa"/>
          </w:tcPr>
          <w:p w14:paraId="33A0F63B" w14:textId="708AD6E5" w:rsidR="00C1621C" w:rsidRPr="000665B0" w:rsidRDefault="00C1621C" w:rsidP="00346248">
            <w:pPr>
              <w:spacing w:before="60" w:after="60" w:line="240" w:lineRule="auto"/>
              <w:rPr>
                <w:sz w:val="20"/>
              </w:rPr>
            </w:pPr>
            <w:r w:rsidRPr="000665B0">
              <w:rPr>
                <w:sz w:val="20"/>
              </w:rPr>
              <w:t>The</w:t>
            </w:r>
            <w:r w:rsidR="00B54FFB">
              <w:rPr>
                <w:sz w:val="20"/>
              </w:rPr>
              <w:t xml:space="preserve"> ATSC </w:t>
            </w:r>
            <w:r w:rsidRPr="000665B0">
              <w:rPr>
                <w:sz w:val="20"/>
              </w:rPr>
              <w:t>can now edit the strike. (This does allow the</w:t>
            </w:r>
            <w:r w:rsidR="00B54FFB">
              <w:rPr>
                <w:sz w:val="20"/>
              </w:rPr>
              <w:t xml:space="preserve"> ATSC </w:t>
            </w:r>
            <w:r w:rsidRPr="000665B0">
              <w:rPr>
                <w:sz w:val="20"/>
              </w:rPr>
              <w:t>to edit the strike before assuming control, but procedurally the</w:t>
            </w:r>
            <w:r w:rsidR="00B54FFB">
              <w:rPr>
                <w:sz w:val="20"/>
              </w:rPr>
              <w:t xml:space="preserve"> ATSC </w:t>
            </w:r>
            <w:r w:rsidRPr="000665B0">
              <w:rPr>
                <w:sz w:val="20"/>
              </w:rPr>
              <w:t xml:space="preserve">should not make edits until the </w:t>
            </w:r>
            <w:r w:rsidR="00B54FFB">
              <w:rPr>
                <w:sz w:val="20"/>
              </w:rPr>
              <w:t xml:space="preserve">TSC </w:t>
            </w:r>
            <w:r w:rsidRPr="000665B0">
              <w:rPr>
                <w:sz w:val="20"/>
              </w:rPr>
              <w:t xml:space="preserve">is unable to monitor the strike and control is transferred to the </w:t>
            </w:r>
            <w:r w:rsidR="00B54FFB">
              <w:rPr>
                <w:sz w:val="20"/>
              </w:rPr>
              <w:t>ATSC</w:t>
            </w:r>
            <w:r w:rsidRPr="000665B0">
              <w:rPr>
                <w:sz w:val="20"/>
              </w:rPr>
              <w:t>.)</w:t>
            </w:r>
          </w:p>
        </w:tc>
      </w:tr>
      <w:tr w:rsidR="00C1621C" w:rsidRPr="000665B0" w14:paraId="2797A3B0" w14:textId="77777777" w:rsidTr="0056739E">
        <w:trPr>
          <w:cantSplit/>
        </w:trPr>
        <w:tc>
          <w:tcPr>
            <w:tcW w:w="630" w:type="dxa"/>
          </w:tcPr>
          <w:p w14:paraId="1360408D" w14:textId="77777777" w:rsidR="00C1621C" w:rsidRPr="000665B0" w:rsidRDefault="00C1621C" w:rsidP="00346248">
            <w:pPr>
              <w:spacing w:before="60" w:after="60" w:line="240" w:lineRule="auto"/>
              <w:jc w:val="center"/>
              <w:rPr>
                <w:sz w:val="20"/>
              </w:rPr>
            </w:pPr>
            <w:r w:rsidRPr="000665B0">
              <w:rPr>
                <w:sz w:val="20"/>
              </w:rPr>
              <w:lastRenderedPageBreak/>
              <w:t>3</w:t>
            </w:r>
          </w:p>
        </w:tc>
        <w:tc>
          <w:tcPr>
            <w:tcW w:w="6840" w:type="dxa"/>
          </w:tcPr>
          <w:p w14:paraId="6E992F85" w14:textId="77777777" w:rsidR="00C1621C" w:rsidRPr="000665B0" w:rsidRDefault="00C1621C" w:rsidP="00346248">
            <w:pPr>
              <w:spacing w:before="60" w:after="60" w:line="240" w:lineRule="auto"/>
              <w:rPr>
                <w:bCs/>
                <w:sz w:val="20"/>
              </w:rPr>
            </w:pPr>
            <w:r w:rsidRPr="000665B0">
              <w:rPr>
                <w:bCs/>
                <w:sz w:val="20"/>
              </w:rPr>
              <w:t>Add an Existing Target to the Execution Folder</w:t>
            </w:r>
          </w:p>
          <w:p w14:paraId="05C0FA68" w14:textId="4D296826" w:rsidR="00C1621C" w:rsidRPr="000665B0" w:rsidRDefault="00C1621C" w:rsidP="006D5A65">
            <w:pPr>
              <w:pStyle w:val="Heading1"/>
            </w:pPr>
            <w:r w:rsidRPr="000665B0">
              <w:t xml:space="preserve">In the SMD, </w:t>
            </w:r>
            <w:r w:rsidR="00D71804" w:rsidRPr="000665B0">
              <w:t>right-click</w:t>
            </w:r>
            <w:r w:rsidRPr="000665B0">
              <w:t xml:space="preserve"> in the Targets pane and select Add Targets </w:t>
            </w:r>
            <w:r w:rsidRPr="000665B0">
              <w:sym w:font="Wingdings" w:char="F0E0"/>
            </w:r>
            <w:r w:rsidRPr="000665B0">
              <w:t xml:space="preserve"> Existing. Select the desired target</w:t>
            </w:r>
            <w:r w:rsidR="003C2E66" w:rsidRPr="000665B0">
              <w:t xml:space="preserve"> (see Note)</w:t>
            </w:r>
            <w:r w:rsidRPr="000665B0">
              <w:t>.</w:t>
            </w:r>
          </w:p>
        </w:tc>
        <w:tc>
          <w:tcPr>
            <w:tcW w:w="6210" w:type="dxa"/>
          </w:tcPr>
          <w:p w14:paraId="6E44E61E" w14:textId="77777777" w:rsidR="00C66D5E" w:rsidRDefault="00C1621C" w:rsidP="00346248">
            <w:pPr>
              <w:spacing w:before="60" w:after="60" w:line="240" w:lineRule="auto"/>
              <w:rPr>
                <w:sz w:val="20"/>
              </w:rPr>
            </w:pPr>
            <w:r w:rsidRPr="000665B0">
              <w:rPr>
                <w:sz w:val="20"/>
              </w:rPr>
              <w:t xml:space="preserve">The new target appears in the SMD </w:t>
            </w:r>
            <w:r w:rsidRPr="000665B0">
              <w:rPr>
                <w:b/>
                <w:bCs/>
                <w:sz w:val="20"/>
              </w:rPr>
              <w:t>Targets</w:t>
            </w:r>
            <w:r w:rsidRPr="000665B0">
              <w:rPr>
                <w:bCs/>
                <w:sz w:val="20"/>
              </w:rPr>
              <w:t xml:space="preserve"> pane</w:t>
            </w:r>
            <w:r w:rsidRPr="000665B0">
              <w:rPr>
                <w:sz w:val="20"/>
              </w:rPr>
              <w:t>.</w:t>
            </w:r>
          </w:p>
          <w:p w14:paraId="57530946" w14:textId="0990563A" w:rsidR="00E14566" w:rsidRPr="000665B0" w:rsidRDefault="00E14566" w:rsidP="00346248">
            <w:pPr>
              <w:spacing w:before="60" w:after="60" w:line="240" w:lineRule="auto"/>
              <w:rPr>
                <w:sz w:val="20"/>
              </w:rPr>
            </w:pPr>
          </w:p>
        </w:tc>
      </w:tr>
      <w:tr w:rsidR="00C1621C" w:rsidRPr="000665B0" w14:paraId="43100DE6" w14:textId="77777777" w:rsidTr="0056739E">
        <w:trPr>
          <w:cantSplit/>
        </w:trPr>
        <w:tc>
          <w:tcPr>
            <w:tcW w:w="630" w:type="dxa"/>
          </w:tcPr>
          <w:p w14:paraId="7F6F67EE" w14:textId="77777777" w:rsidR="00C1621C" w:rsidRPr="000665B0" w:rsidRDefault="00C1621C" w:rsidP="00346248">
            <w:pPr>
              <w:spacing w:before="60" w:after="60" w:line="240" w:lineRule="auto"/>
              <w:jc w:val="center"/>
              <w:rPr>
                <w:sz w:val="20"/>
              </w:rPr>
            </w:pPr>
            <w:r w:rsidRPr="000665B0">
              <w:rPr>
                <w:sz w:val="20"/>
              </w:rPr>
              <w:t>4</w:t>
            </w:r>
          </w:p>
        </w:tc>
        <w:tc>
          <w:tcPr>
            <w:tcW w:w="6840" w:type="dxa"/>
          </w:tcPr>
          <w:p w14:paraId="6FF32339" w14:textId="77777777" w:rsidR="00C1621C" w:rsidRPr="000665B0" w:rsidRDefault="00C1621C" w:rsidP="00346248">
            <w:pPr>
              <w:spacing w:before="60" w:after="60" w:line="240" w:lineRule="auto"/>
              <w:rPr>
                <w:bCs/>
                <w:sz w:val="20"/>
              </w:rPr>
            </w:pPr>
            <w:r w:rsidRPr="000665B0">
              <w:rPr>
                <w:bCs/>
                <w:sz w:val="20"/>
              </w:rPr>
              <w:t>Create an Ad Hoc Option</w:t>
            </w:r>
          </w:p>
          <w:p w14:paraId="5D9B3505" w14:textId="7155CC88" w:rsidR="00C1621C" w:rsidRPr="000665B0" w:rsidRDefault="00C1621C" w:rsidP="006D5A65">
            <w:pPr>
              <w:pStyle w:val="Heading1"/>
            </w:pPr>
            <w:r w:rsidRPr="000665B0">
              <w:t xml:space="preserve">In the SMD in the lower portion of the Targets pane, </w:t>
            </w:r>
            <w:r w:rsidR="00D71804" w:rsidRPr="000665B0">
              <w:t>right-click</w:t>
            </w:r>
            <w:r w:rsidRPr="000665B0">
              <w:t xml:space="preserve"> on the target and select Create Option.</w:t>
            </w:r>
          </w:p>
          <w:p w14:paraId="264DEFA3" w14:textId="77777777" w:rsidR="00C1621C" w:rsidRPr="000665B0" w:rsidRDefault="00C1621C" w:rsidP="006D5A65">
            <w:pPr>
              <w:pStyle w:val="Heading1"/>
            </w:pPr>
            <w:r w:rsidRPr="000665B0">
              <w:t xml:space="preserve">A new </w:t>
            </w:r>
            <w:r w:rsidRPr="000665B0">
              <w:rPr>
                <w:i/>
              </w:rPr>
              <w:t>Strike Option</w:t>
            </w:r>
            <w:r w:rsidRPr="000665B0">
              <w:t xml:space="preserve"> window is displayed (see Note).</w:t>
            </w:r>
          </w:p>
          <w:p w14:paraId="16EF0C7F" w14:textId="0BE0760F" w:rsidR="00C1621C" w:rsidRPr="000665B0" w:rsidRDefault="00C1621C" w:rsidP="006D5A65">
            <w:pPr>
              <w:pStyle w:val="Heading1"/>
            </w:pPr>
            <w:r w:rsidRPr="000665B0">
              <w:t xml:space="preserve">In the </w:t>
            </w:r>
            <w:r w:rsidRPr="000665B0">
              <w:rPr>
                <w:i/>
              </w:rPr>
              <w:t>Missions</w:t>
            </w:r>
            <w:r w:rsidRPr="000665B0">
              <w:t xml:space="preserve"> tab, edit the missile reservation (for instructions, see </w:t>
            </w:r>
            <w:hyperlink w:anchor="_Appendix_P_Strike" w:history="1">
              <w:r w:rsidR="00093C35" w:rsidRPr="000665B0">
                <w:rPr>
                  <w:rStyle w:val="Hyperlink"/>
                  <w:rFonts w:ascii="Times New Roman" w:hAnsi="Times New Roman"/>
                  <w:bCs/>
                  <w:sz w:val="20"/>
                </w:rPr>
                <w:t>Appendix N</w:t>
              </w:r>
            </w:hyperlink>
            <w:r w:rsidR="00C513AB" w:rsidRPr="000665B0">
              <w:t>.</w:t>
            </w:r>
          </w:p>
          <w:p w14:paraId="1C7579A9" w14:textId="3CC23BD0" w:rsidR="00C1621C" w:rsidRPr="000665B0" w:rsidRDefault="00C1621C" w:rsidP="006D5A65">
            <w:pPr>
              <w:pStyle w:val="Heading1"/>
              <w:rPr>
                <w:bCs/>
              </w:rPr>
            </w:pPr>
            <w:r w:rsidRPr="000665B0">
              <w:rPr>
                <w:bCs/>
              </w:rPr>
              <w:t>In the Missiles tab, select Manual PM3 (</w:t>
            </w:r>
            <w:r w:rsidRPr="000665B0">
              <w:t xml:space="preserve">for instructions, see </w:t>
            </w:r>
            <w:hyperlink w:anchor="_Appendix_P_Strike" w:history="1">
              <w:r w:rsidR="00093C35" w:rsidRPr="000665B0">
                <w:rPr>
                  <w:rStyle w:val="Hyperlink"/>
                  <w:rFonts w:ascii="Times New Roman" w:hAnsi="Times New Roman"/>
                  <w:bCs/>
                  <w:sz w:val="20"/>
                </w:rPr>
                <w:t>Appendix N</w:t>
              </w:r>
            </w:hyperlink>
            <w:r w:rsidRPr="000665B0">
              <w:rPr>
                <w:bCs/>
              </w:rPr>
              <w:t>.</w:t>
            </w:r>
          </w:p>
        </w:tc>
        <w:tc>
          <w:tcPr>
            <w:tcW w:w="6210" w:type="dxa"/>
          </w:tcPr>
          <w:p w14:paraId="61C8F92C" w14:textId="77777777" w:rsidR="00C1621C" w:rsidRPr="000665B0" w:rsidRDefault="00C1621C" w:rsidP="00346248">
            <w:pPr>
              <w:spacing w:before="60" w:after="60" w:line="240" w:lineRule="auto"/>
              <w:rPr>
                <w:sz w:val="20"/>
              </w:rPr>
            </w:pPr>
            <w:r w:rsidRPr="000665B0">
              <w:rPr>
                <w:sz w:val="20"/>
              </w:rPr>
              <w:t xml:space="preserve">The window is pre-populated with the tasking, arsenal, crypto, etc. </w:t>
            </w:r>
          </w:p>
          <w:p w14:paraId="760BF056" w14:textId="77777777" w:rsidR="00C1621C" w:rsidRPr="000665B0" w:rsidRDefault="00C1621C" w:rsidP="00346248">
            <w:pPr>
              <w:spacing w:before="60" w:after="60" w:line="240" w:lineRule="auto"/>
              <w:rPr>
                <w:sz w:val="20"/>
              </w:rPr>
            </w:pPr>
          </w:p>
        </w:tc>
      </w:tr>
      <w:tr w:rsidR="00C1621C" w:rsidRPr="000665B0" w14:paraId="04132DD7" w14:textId="77777777" w:rsidTr="0056739E">
        <w:trPr>
          <w:cantSplit/>
        </w:trPr>
        <w:tc>
          <w:tcPr>
            <w:tcW w:w="630" w:type="dxa"/>
          </w:tcPr>
          <w:p w14:paraId="59F217BB" w14:textId="77777777" w:rsidR="00C1621C" w:rsidRPr="000665B0" w:rsidRDefault="00C1621C" w:rsidP="00346248">
            <w:pPr>
              <w:spacing w:before="60" w:after="60" w:line="240" w:lineRule="auto"/>
              <w:jc w:val="center"/>
              <w:rPr>
                <w:sz w:val="20"/>
              </w:rPr>
            </w:pPr>
            <w:r w:rsidRPr="000665B0">
              <w:rPr>
                <w:sz w:val="20"/>
              </w:rPr>
              <w:t>5</w:t>
            </w:r>
          </w:p>
        </w:tc>
        <w:tc>
          <w:tcPr>
            <w:tcW w:w="6840" w:type="dxa"/>
          </w:tcPr>
          <w:p w14:paraId="37853F58" w14:textId="77777777" w:rsidR="00C1621C" w:rsidRPr="000665B0" w:rsidRDefault="00C1621C" w:rsidP="00346248">
            <w:pPr>
              <w:spacing w:before="60" w:after="60" w:line="240" w:lineRule="auto"/>
              <w:rPr>
                <w:bCs/>
                <w:sz w:val="20"/>
              </w:rPr>
            </w:pPr>
            <w:r w:rsidRPr="000665B0">
              <w:rPr>
                <w:bCs/>
                <w:sz w:val="20"/>
              </w:rPr>
              <w:t>Save the Option</w:t>
            </w:r>
          </w:p>
          <w:p w14:paraId="0DDBE7B7" w14:textId="167339DC" w:rsidR="00C1621C" w:rsidRPr="000665B0" w:rsidRDefault="00C1621C" w:rsidP="006D5A65">
            <w:pPr>
              <w:pStyle w:val="Heading1"/>
              <w:rPr>
                <w:bCs/>
              </w:rPr>
            </w:pPr>
            <w:r w:rsidRPr="000665B0">
              <w:t>Turn the option into a package and save it</w:t>
            </w:r>
            <w:r w:rsidR="003C2E66" w:rsidRPr="000665B0">
              <w:t xml:space="preserve"> (see Note)</w:t>
            </w:r>
            <w:r w:rsidRPr="000665B0">
              <w:t>.</w:t>
            </w:r>
          </w:p>
        </w:tc>
        <w:tc>
          <w:tcPr>
            <w:tcW w:w="6210" w:type="dxa"/>
          </w:tcPr>
          <w:p w14:paraId="48551BAA" w14:textId="036FC68C" w:rsidR="00C1621C" w:rsidRPr="000665B0" w:rsidRDefault="00C1621C" w:rsidP="00346248">
            <w:pPr>
              <w:spacing w:before="60" w:after="60" w:line="240" w:lineRule="auto"/>
              <w:rPr>
                <w:sz w:val="20"/>
              </w:rPr>
            </w:pPr>
            <w:r w:rsidRPr="000665B0">
              <w:rPr>
                <w:sz w:val="20"/>
              </w:rPr>
              <w:t xml:space="preserve">The MS# should be one greater than the last one sent from the originator of the option. </w:t>
            </w:r>
            <w:r w:rsidR="006A1F75" w:rsidRPr="000665B0">
              <w:rPr>
                <w:sz w:val="20"/>
              </w:rPr>
              <w:t>Thus,</w:t>
            </w:r>
            <w:r w:rsidRPr="000665B0">
              <w:rPr>
                <w:sz w:val="20"/>
              </w:rPr>
              <w:t xml:space="preserve"> if the greatest MS# of any package sent from the originator is x, then the MS# should be x+1.</w:t>
            </w:r>
          </w:p>
        </w:tc>
      </w:tr>
      <w:tr w:rsidR="00C1621C" w:rsidRPr="000665B0" w14:paraId="00C02DD5" w14:textId="77777777" w:rsidTr="0056739E">
        <w:trPr>
          <w:cantSplit/>
        </w:trPr>
        <w:tc>
          <w:tcPr>
            <w:tcW w:w="630" w:type="dxa"/>
          </w:tcPr>
          <w:p w14:paraId="6ED245DA" w14:textId="77777777" w:rsidR="00C1621C" w:rsidRPr="000665B0" w:rsidRDefault="00C1621C" w:rsidP="00346248">
            <w:pPr>
              <w:spacing w:before="60" w:after="60" w:line="240" w:lineRule="auto"/>
              <w:jc w:val="center"/>
              <w:rPr>
                <w:sz w:val="20"/>
              </w:rPr>
            </w:pPr>
            <w:r w:rsidRPr="000665B0">
              <w:rPr>
                <w:sz w:val="20"/>
              </w:rPr>
              <w:t>6</w:t>
            </w:r>
          </w:p>
        </w:tc>
        <w:tc>
          <w:tcPr>
            <w:tcW w:w="6840" w:type="dxa"/>
          </w:tcPr>
          <w:p w14:paraId="13CEB79B" w14:textId="204697D8" w:rsidR="00C1621C" w:rsidRPr="000665B0" w:rsidRDefault="00C1621C" w:rsidP="00093C35">
            <w:pPr>
              <w:spacing w:before="60" w:after="60" w:line="240" w:lineRule="auto"/>
              <w:rPr>
                <w:bCs/>
                <w:sz w:val="20"/>
              </w:rPr>
            </w:pPr>
            <w:r w:rsidRPr="000665B0">
              <w:rPr>
                <w:bCs/>
                <w:sz w:val="20"/>
              </w:rPr>
              <w:t xml:space="preserve">Change the Use State to Match the Use State of the Strike Execution Folder (for instructions, see </w:t>
            </w:r>
            <w:hyperlink w:anchor="_Appendix_P_Strike" w:history="1">
              <w:r w:rsidR="00093C35" w:rsidRPr="000665B0">
                <w:rPr>
                  <w:rStyle w:val="Hyperlink"/>
                  <w:bCs/>
                  <w:sz w:val="20"/>
                </w:rPr>
                <w:t>Appendix N</w:t>
              </w:r>
            </w:hyperlink>
            <w:r w:rsidRPr="000665B0">
              <w:rPr>
                <w:bCs/>
                <w:sz w:val="20"/>
              </w:rPr>
              <w:t>)</w:t>
            </w:r>
            <w:r w:rsidR="003C2E66" w:rsidRPr="000665B0">
              <w:rPr>
                <w:sz w:val="20"/>
              </w:rPr>
              <w:t xml:space="preserve"> (see Note)</w:t>
            </w:r>
            <w:r w:rsidRPr="000665B0">
              <w:rPr>
                <w:bCs/>
                <w:sz w:val="20"/>
              </w:rPr>
              <w:t>.</w:t>
            </w:r>
          </w:p>
        </w:tc>
        <w:tc>
          <w:tcPr>
            <w:tcW w:w="6210" w:type="dxa"/>
          </w:tcPr>
          <w:p w14:paraId="7C666F13" w14:textId="77777777" w:rsidR="00C1621C" w:rsidRPr="000665B0" w:rsidRDefault="00C1621C" w:rsidP="00346248">
            <w:pPr>
              <w:spacing w:before="60" w:after="60" w:line="240" w:lineRule="auto"/>
              <w:rPr>
                <w:sz w:val="20"/>
              </w:rPr>
            </w:pPr>
            <w:r w:rsidRPr="000665B0">
              <w:rPr>
                <w:sz w:val="20"/>
              </w:rPr>
              <w:t>If the ad hoc Option is in null state, MDS will not allow the option to be added to the Strike Execution Folder.</w:t>
            </w:r>
          </w:p>
        </w:tc>
      </w:tr>
      <w:tr w:rsidR="00C1621C" w:rsidRPr="000665B0" w14:paraId="489AF3D9" w14:textId="77777777" w:rsidTr="0056739E">
        <w:trPr>
          <w:cantSplit/>
        </w:trPr>
        <w:tc>
          <w:tcPr>
            <w:tcW w:w="630" w:type="dxa"/>
          </w:tcPr>
          <w:p w14:paraId="67AAF6A7" w14:textId="77777777" w:rsidR="00C1621C" w:rsidRPr="000665B0" w:rsidRDefault="00C1621C" w:rsidP="00346248">
            <w:pPr>
              <w:spacing w:before="60" w:after="60" w:line="240" w:lineRule="auto"/>
              <w:jc w:val="center"/>
              <w:rPr>
                <w:sz w:val="20"/>
              </w:rPr>
            </w:pPr>
            <w:r w:rsidRPr="000665B0">
              <w:rPr>
                <w:sz w:val="20"/>
              </w:rPr>
              <w:t>7</w:t>
            </w:r>
          </w:p>
        </w:tc>
        <w:tc>
          <w:tcPr>
            <w:tcW w:w="6840" w:type="dxa"/>
          </w:tcPr>
          <w:p w14:paraId="24C5604E" w14:textId="4C3CA337" w:rsidR="00C1621C" w:rsidRPr="000665B0" w:rsidRDefault="00C1621C" w:rsidP="00093C35">
            <w:pPr>
              <w:spacing w:before="60" w:after="60" w:line="240" w:lineRule="auto"/>
              <w:rPr>
                <w:bCs/>
                <w:sz w:val="20"/>
              </w:rPr>
            </w:pPr>
            <w:r w:rsidRPr="000665B0">
              <w:rPr>
                <w:bCs/>
                <w:sz w:val="20"/>
              </w:rPr>
              <w:t xml:space="preserve">Run Analysis with Executing Strike (for instructions, see </w:t>
            </w:r>
            <w:hyperlink w:anchor="_Appendix_P_Strike" w:history="1">
              <w:r w:rsidR="00093C35" w:rsidRPr="000665B0">
                <w:rPr>
                  <w:rStyle w:val="Hyperlink"/>
                  <w:bCs/>
                  <w:sz w:val="20"/>
                </w:rPr>
                <w:t>Appendix N</w:t>
              </w:r>
            </w:hyperlink>
            <w:r w:rsidRPr="000665B0">
              <w:rPr>
                <w:bCs/>
                <w:sz w:val="20"/>
              </w:rPr>
              <w:t>)</w:t>
            </w:r>
            <w:r w:rsidR="003C2E66" w:rsidRPr="000665B0">
              <w:rPr>
                <w:sz w:val="20"/>
              </w:rPr>
              <w:t xml:space="preserve"> (see Note).</w:t>
            </w:r>
          </w:p>
        </w:tc>
        <w:tc>
          <w:tcPr>
            <w:tcW w:w="6210" w:type="dxa"/>
          </w:tcPr>
          <w:p w14:paraId="6FD44038" w14:textId="4E83735C" w:rsidR="00EC268C" w:rsidRPr="000665B0" w:rsidRDefault="00EC268C">
            <w:pPr>
              <w:spacing w:before="60" w:after="60" w:line="240" w:lineRule="auto"/>
              <w:rPr>
                <w:sz w:val="20"/>
              </w:rPr>
            </w:pPr>
            <w:r w:rsidRPr="000665B0">
              <w:rPr>
                <w:sz w:val="20"/>
              </w:rPr>
              <w:t xml:space="preserve">To improve analysis performance, ensure that the </w:t>
            </w:r>
            <w:r w:rsidRPr="00A26420">
              <w:rPr>
                <w:b/>
                <w:bCs/>
                <w:sz w:val="20"/>
              </w:rPr>
              <w:t>During Strike Execution, only Route Deconflict new assignments</w:t>
            </w:r>
            <w:r w:rsidRPr="000665B0">
              <w:rPr>
                <w:sz w:val="20"/>
              </w:rPr>
              <w:t xml:space="preserve"> checkbox is selected in Strike Properties (see </w:t>
            </w:r>
            <w:hyperlink w:anchor="_Deconfliction__Tab" w:history="1">
              <w:r w:rsidR="009326FE" w:rsidRPr="000665B0">
                <w:rPr>
                  <w:rStyle w:val="Hyperlink"/>
                  <w:bCs/>
                  <w:sz w:val="20"/>
                </w:rPr>
                <w:t xml:space="preserve">Section </w:t>
              </w:r>
              <w:r w:rsidR="004231CC">
                <w:rPr>
                  <w:rStyle w:val="Hyperlink"/>
                  <w:bCs/>
                  <w:sz w:val="20"/>
                </w:rPr>
                <w:t>5.34</w:t>
              </w:r>
              <w:r w:rsidRPr="000665B0">
                <w:rPr>
                  <w:rStyle w:val="Hyperlink"/>
                  <w:bCs/>
                  <w:sz w:val="20"/>
                </w:rPr>
                <w:t>.1.1.3.4</w:t>
              </w:r>
            </w:hyperlink>
            <w:r w:rsidRPr="000665B0">
              <w:rPr>
                <w:sz w:val="20"/>
              </w:rPr>
              <w:t>).</w:t>
            </w:r>
          </w:p>
          <w:p w14:paraId="430C4409" w14:textId="3CB093B0" w:rsidR="00EC268C" w:rsidRPr="000665B0" w:rsidRDefault="00C1621C">
            <w:pPr>
              <w:spacing w:before="60" w:after="60" w:line="240" w:lineRule="auto"/>
              <w:rPr>
                <w:sz w:val="20"/>
              </w:rPr>
            </w:pPr>
            <w:r w:rsidRPr="000665B0">
              <w:rPr>
                <w:sz w:val="20"/>
              </w:rPr>
              <w:t>The analysis result should be a conflict-free Strike Package. If errors exist, correct them before proceeding.</w:t>
            </w:r>
          </w:p>
        </w:tc>
      </w:tr>
      <w:tr w:rsidR="00C1621C" w:rsidRPr="000665B0" w14:paraId="32192529" w14:textId="77777777" w:rsidTr="0056739E">
        <w:trPr>
          <w:cantSplit/>
        </w:trPr>
        <w:tc>
          <w:tcPr>
            <w:tcW w:w="630" w:type="dxa"/>
          </w:tcPr>
          <w:p w14:paraId="7B8998DB" w14:textId="77777777" w:rsidR="00C1621C" w:rsidRPr="000665B0" w:rsidRDefault="00C1621C" w:rsidP="00346248">
            <w:pPr>
              <w:spacing w:before="60" w:after="60" w:line="240" w:lineRule="auto"/>
              <w:jc w:val="center"/>
              <w:rPr>
                <w:sz w:val="20"/>
              </w:rPr>
            </w:pPr>
            <w:r w:rsidRPr="000665B0">
              <w:rPr>
                <w:sz w:val="20"/>
              </w:rPr>
              <w:t>8</w:t>
            </w:r>
          </w:p>
        </w:tc>
        <w:tc>
          <w:tcPr>
            <w:tcW w:w="6840" w:type="dxa"/>
          </w:tcPr>
          <w:p w14:paraId="68B9FF45" w14:textId="6554B5E0" w:rsidR="00C1621C" w:rsidRPr="000665B0" w:rsidRDefault="00C1621C" w:rsidP="00346248">
            <w:pPr>
              <w:spacing w:before="60" w:after="60" w:line="240" w:lineRule="auto"/>
              <w:rPr>
                <w:bCs/>
                <w:sz w:val="20"/>
              </w:rPr>
            </w:pPr>
            <w:r w:rsidRPr="000665B0">
              <w:rPr>
                <w:bCs/>
                <w:sz w:val="20"/>
              </w:rPr>
              <w:t>Add the Ad Hoc option to the Executing Strike</w:t>
            </w:r>
            <w:r w:rsidR="003C2E66" w:rsidRPr="000665B0">
              <w:rPr>
                <w:sz w:val="20"/>
              </w:rPr>
              <w:t xml:space="preserve"> (see Note).</w:t>
            </w:r>
          </w:p>
        </w:tc>
        <w:tc>
          <w:tcPr>
            <w:tcW w:w="6210" w:type="dxa"/>
          </w:tcPr>
          <w:p w14:paraId="4282E1B1" w14:textId="77777777" w:rsidR="00C1621C" w:rsidRPr="000665B0" w:rsidRDefault="00C1621C" w:rsidP="00346248">
            <w:pPr>
              <w:spacing w:before="60" w:after="60" w:line="240" w:lineRule="auto"/>
              <w:rPr>
                <w:sz w:val="20"/>
              </w:rPr>
            </w:pPr>
            <w:r w:rsidRPr="000665B0">
              <w:rPr>
                <w:sz w:val="20"/>
              </w:rPr>
              <w:t>The ad hoc option is displayed in the SMD.</w:t>
            </w:r>
          </w:p>
        </w:tc>
      </w:tr>
      <w:tr w:rsidR="00D32F5E" w:rsidRPr="000665B0" w14:paraId="7D489991" w14:textId="77777777" w:rsidTr="0056739E">
        <w:trPr>
          <w:cantSplit/>
        </w:trPr>
        <w:tc>
          <w:tcPr>
            <w:tcW w:w="630" w:type="dxa"/>
          </w:tcPr>
          <w:p w14:paraId="09B351EA" w14:textId="77777777" w:rsidR="00D32F5E" w:rsidRPr="000665B0" w:rsidRDefault="00D32F5E" w:rsidP="00D32F5E">
            <w:pPr>
              <w:spacing w:before="60" w:after="60" w:line="240" w:lineRule="auto"/>
              <w:jc w:val="center"/>
              <w:rPr>
                <w:sz w:val="20"/>
              </w:rPr>
            </w:pPr>
            <w:r w:rsidRPr="000665B0">
              <w:rPr>
                <w:sz w:val="20"/>
              </w:rPr>
              <w:t>9</w:t>
            </w:r>
          </w:p>
        </w:tc>
        <w:tc>
          <w:tcPr>
            <w:tcW w:w="6840" w:type="dxa"/>
          </w:tcPr>
          <w:p w14:paraId="3F5A4471" w14:textId="5E5BBF29" w:rsidR="00D32F5E" w:rsidRPr="000665B0" w:rsidRDefault="00D32F5E" w:rsidP="00D32F5E">
            <w:pPr>
              <w:spacing w:before="60" w:after="60" w:line="240" w:lineRule="auto"/>
              <w:rPr>
                <w:bCs/>
                <w:sz w:val="20"/>
              </w:rPr>
            </w:pPr>
            <w:r w:rsidRPr="000665B0">
              <w:rPr>
                <w:bCs/>
                <w:sz w:val="20"/>
              </w:rPr>
              <w:t>Distribute the Option</w:t>
            </w:r>
            <w:r w:rsidRPr="000665B0">
              <w:rPr>
                <w:sz w:val="20"/>
              </w:rPr>
              <w:t>.</w:t>
            </w:r>
          </w:p>
        </w:tc>
        <w:tc>
          <w:tcPr>
            <w:tcW w:w="6210" w:type="dxa"/>
          </w:tcPr>
          <w:p w14:paraId="05007301" w14:textId="05D16435" w:rsidR="00D32F5E" w:rsidRPr="00C66D5E" w:rsidRDefault="00D32F5E" w:rsidP="001167C2">
            <w:pPr>
              <w:spacing w:before="60" w:after="60" w:line="240" w:lineRule="auto"/>
              <w:rPr>
                <w:sz w:val="20"/>
              </w:rPr>
            </w:pPr>
          </w:p>
        </w:tc>
      </w:tr>
      <w:tr w:rsidR="00D32F5E" w:rsidRPr="000665B0" w14:paraId="2D65B667" w14:textId="77777777" w:rsidTr="0056739E">
        <w:trPr>
          <w:cantSplit/>
        </w:trPr>
        <w:tc>
          <w:tcPr>
            <w:tcW w:w="630" w:type="dxa"/>
          </w:tcPr>
          <w:p w14:paraId="65385652" w14:textId="77777777" w:rsidR="00D32F5E" w:rsidRPr="000665B0" w:rsidRDefault="00D32F5E" w:rsidP="00D32F5E">
            <w:pPr>
              <w:spacing w:before="60" w:after="60" w:line="240" w:lineRule="auto"/>
              <w:jc w:val="center"/>
              <w:rPr>
                <w:sz w:val="20"/>
              </w:rPr>
            </w:pPr>
            <w:r w:rsidRPr="000665B0">
              <w:rPr>
                <w:sz w:val="20"/>
              </w:rPr>
              <w:t>10</w:t>
            </w:r>
          </w:p>
        </w:tc>
        <w:tc>
          <w:tcPr>
            <w:tcW w:w="6840" w:type="dxa"/>
          </w:tcPr>
          <w:p w14:paraId="3D54715D" w14:textId="77777777" w:rsidR="00D32F5E" w:rsidRPr="000665B0" w:rsidRDefault="00D32F5E" w:rsidP="00D32F5E">
            <w:pPr>
              <w:spacing w:before="60" w:after="60" w:line="240" w:lineRule="auto"/>
              <w:rPr>
                <w:bCs/>
                <w:sz w:val="20"/>
              </w:rPr>
            </w:pPr>
            <w:r w:rsidRPr="000665B0">
              <w:rPr>
                <w:bCs/>
                <w:sz w:val="20"/>
              </w:rPr>
              <w:t xml:space="preserve">Change the Ad Hoc Option </w:t>
            </w:r>
            <w:r w:rsidRPr="000665B0">
              <w:rPr>
                <w:sz w:val="20"/>
              </w:rPr>
              <w:t>to Another Option in the Execution Folder</w:t>
            </w:r>
          </w:p>
          <w:p w14:paraId="6B8DD400" w14:textId="32D7DACE" w:rsidR="00D32F5E" w:rsidRPr="000665B0" w:rsidRDefault="00D32F5E" w:rsidP="006D5A65">
            <w:pPr>
              <w:pStyle w:val="Heading1"/>
              <w:rPr>
                <w:bCs/>
              </w:rPr>
            </w:pPr>
            <w:r w:rsidRPr="000665B0">
              <w:t>Select a different option from the Option List View and click the Set as Ad Hoc Template menu item (see Note).</w:t>
            </w:r>
            <w:r w:rsidRPr="000665B0">
              <w:rPr>
                <w:bCs/>
              </w:rPr>
              <w:t xml:space="preserve"> </w:t>
            </w:r>
          </w:p>
        </w:tc>
        <w:tc>
          <w:tcPr>
            <w:tcW w:w="6210" w:type="dxa"/>
          </w:tcPr>
          <w:p w14:paraId="3B0AEE53" w14:textId="77777777" w:rsidR="00D32F5E" w:rsidRPr="000665B0" w:rsidRDefault="00D32F5E" w:rsidP="00D32F5E">
            <w:pPr>
              <w:spacing w:before="60" w:after="60" w:line="240" w:lineRule="auto"/>
              <w:rPr>
                <w:sz w:val="20"/>
              </w:rPr>
            </w:pPr>
            <w:r w:rsidRPr="000665B0">
              <w:rPr>
                <w:sz w:val="20"/>
              </w:rPr>
              <w:t xml:space="preserve">The ad hoc indicator moves to the new Option in the </w:t>
            </w:r>
            <w:r w:rsidRPr="000665B0">
              <w:rPr>
                <w:b/>
                <w:i/>
                <w:sz w:val="20"/>
              </w:rPr>
              <w:t>Options</w:t>
            </w:r>
            <w:r w:rsidRPr="000665B0">
              <w:rPr>
                <w:sz w:val="20"/>
              </w:rPr>
              <w:t xml:space="preserve"> tab.</w:t>
            </w:r>
          </w:p>
        </w:tc>
      </w:tr>
      <w:tr w:rsidR="00D32F5E" w:rsidRPr="000665B0" w14:paraId="1EF98FD6" w14:textId="77777777" w:rsidTr="0056739E">
        <w:trPr>
          <w:cantSplit/>
        </w:trPr>
        <w:tc>
          <w:tcPr>
            <w:tcW w:w="630" w:type="dxa"/>
          </w:tcPr>
          <w:p w14:paraId="32135580" w14:textId="77777777" w:rsidR="00D32F5E" w:rsidRPr="000665B0" w:rsidRDefault="00D32F5E" w:rsidP="00D32F5E">
            <w:pPr>
              <w:spacing w:before="60" w:after="60" w:line="240" w:lineRule="auto"/>
              <w:jc w:val="center"/>
              <w:rPr>
                <w:sz w:val="20"/>
              </w:rPr>
            </w:pPr>
            <w:r w:rsidRPr="000665B0">
              <w:rPr>
                <w:sz w:val="20"/>
              </w:rPr>
              <w:t>11</w:t>
            </w:r>
          </w:p>
        </w:tc>
        <w:tc>
          <w:tcPr>
            <w:tcW w:w="6840" w:type="dxa"/>
          </w:tcPr>
          <w:p w14:paraId="2AC3DF4D" w14:textId="77777777" w:rsidR="00D32F5E" w:rsidRPr="000665B0" w:rsidRDefault="00D32F5E" w:rsidP="00D32F5E">
            <w:pPr>
              <w:spacing w:before="60" w:after="60" w:line="240" w:lineRule="auto"/>
              <w:rPr>
                <w:bCs/>
                <w:sz w:val="20"/>
              </w:rPr>
            </w:pPr>
            <w:r w:rsidRPr="000665B0">
              <w:rPr>
                <w:bCs/>
                <w:sz w:val="20"/>
              </w:rPr>
              <w:t>Repeat Steps 3-8.</w:t>
            </w:r>
          </w:p>
        </w:tc>
        <w:tc>
          <w:tcPr>
            <w:tcW w:w="6210" w:type="dxa"/>
          </w:tcPr>
          <w:p w14:paraId="375A519C" w14:textId="77777777" w:rsidR="00D32F5E" w:rsidRPr="000665B0" w:rsidRDefault="00D32F5E" w:rsidP="00D32F5E">
            <w:pPr>
              <w:spacing w:before="60" w:after="60" w:line="240" w:lineRule="auto"/>
              <w:rPr>
                <w:sz w:val="20"/>
              </w:rPr>
            </w:pPr>
            <w:r w:rsidRPr="000665B0">
              <w:rPr>
                <w:sz w:val="20"/>
              </w:rPr>
              <w:t> </w:t>
            </w:r>
          </w:p>
        </w:tc>
      </w:tr>
      <w:tr w:rsidR="00D32F5E" w:rsidRPr="000665B0" w14:paraId="27E1ED0C" w14:textId="77777777" w:rsidTr="0056739E">
        <w:trPr>
          <w:cantSplit/>
        </w:trPr>
        <w:tc>
          <w:tcPr>
            <w:tcW w:w="630" w:type="dxa"/>
          </w:tcPr>
          <w:p w14:paraId="670FC720" w14:textId="77777777" w:rsidR="00D32F5E" w:rsidRPr="000665B0" w:rsidRDefault="00D32F5E" w:rsidP="00D32F5E">
            <w:pPr>
              <w:spacing w:before="60" w:after="60" w:line="240" w:lineRule="auto"/>
              <w:jc w:val="center"/>
              <w:rPr>
                <w:sz w:val="20"/>
              </w:rPr>
            </w:pPr>
            <w:r w:rsidRPr="000665B0">
              <w:rPr>
                <w:sz w:val="20"/>
              </w:rPr>
              <w:t>12</w:t>
            </w:r>
          </w:p>
        </w:tc>
        <w:tc>
          <w:tcPr>
            <w:tcW w:w="6840" w:type="dxa"/>
          </w:tcPr>
          <w:p w14:paraId="63571447" w14:textId="47A4F41A" w:rsidR="00D32F5E" w:rsidRPr="000665B0" w:rsidRDefault="00D32F5E" w:rsidP="00D32F5E">
            <w:pPr>
              <w:spacing w:before="60" w:after="60" w:line="240" w:lineRule="auto"/>
              <w:rPr>
                <w:bCs/>
                <w:sz w:val="20"/>
              </w:rPr>
            </w:pPr>
            <w:r w:rsidRPr="000665B0">
              <w:rPr>
                <w:bCs/>
                <w:sz w:val="20"/>
              </w:rPr>
              <w:t>Perform Steps 9-13 and 19-21 from Case A</w:t>
            </w:r>
            <w:r w:rsidRPr="000665B0">
              <w:rPr>
                <w:sz w:val="20"/>
              </w:rPr>
              <w:t xml:space="preserve"> (see Note)</w:t>
            </w:r>
            <w:r w:rsidRPr="000665B0">
              <w:rPr>
                <w:bCs/>
                <w:sz w:val="20"/>
              </w:rPr>
              <w:t>.</w:t>
            </w:r>
          </w:p>
        </w:tc>
        <w:tc>
          <w:tcPr>
            <w:tcW w:w="6210" w:type="dxa"/>
          </w:tcPr>
          <w:p w14:paraId="1EB1D916" w14:textId="5BA52CFB" w:rsidR="00D32F5E" w:rsidRPr="000665B0" w:rsidRDefault="00D32F5E" w:rsidP="00D32F5E">
            <w:pPr>
              <w:spacing w:before="60" w:after="60" w:line="240" w:lineRule="auto"/>
              <w:rPr>
                <w:sz w:val="20"/>
              </w:rPr>
            </w:pPr>
            <w:r w:rsidRPr="000665B0">
              <w:rPr>
                <w:sz w:val="20"/>
              </w:rPr>
              <w:t>Verify that the times on all machines are correct and that all LERs, OWRs, etc. are correct. Ensure that data is present for the ad hoc option.</w:t>
            </w:r>
          </w:p>
        </w:tc>
      </w:tr>
    </w:tbl>
    <w:p w14:paraId="214FA6D9" w14:textId="34502CE9" w:rsidR="00C1621C" w:rsidRPr="000665B0" w:rsidRDefault="00C1621C" w:rsidP="001C6098">
      <w:pPr>
        <w:pStyle w:val="Appendix2"/>
        <w:keepNext/>
        <w:keepLines/>
      </w:pPr>
      <w:bookmarkStart w:id="8077" w:name="_Q-5__CASE_1"/>
      <w:bookmarkStart w:id="8078" w:name="_Toc214283730"/>
      <w:bookmarkEnd w:id="8077"/>
      <w:r w:rsidRPr="000665B0">
        <w:lastRenderedPageBreak/>
        <w:t>CASE E: STRIKE REHEARSAL WITH FLEX (CHANGE OUTCOME) AND MDS DIRECT AIMPOINT UPDATE</w:t>
      </w:r>
      <w:bookmarkEnd w:id="8078"/>
    </w:p>
    <w:tbl>
      <w:tblPr>
        <w:tblW w:w="137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14"/>
      </w:tblGrid>
      <w:tr w:rsidR="00C1621C" w:rsidRPr="000665B0" w14:paraId="0442E475" w14:textId="77777777" w:rsidTr="00935A52">
        <w:trPr>
          <w:cantSplit/>
        </w:trPr>
        <w:tc>
          <w:tcPr>
            <w:tcW w:w="13714" w:type="dxa"/>
            <w:shd w:val="clear" w:color="auto" w:fill="D9D9D9" w:themeFill="background1" w:themeFillShade="D9"/>
          </w:tcPr>
          <w:p w14:paraId="07C0A33C" w14:textId="77777777" w:rsidR="00C1621C" w:rsidRPr="000665B0" w:rsidRDefault="00C1621C" w:rsidP="00F26AD4">
            <w:pPr>
              <w:keepNext/>
              <w:spacing w:before="60" w:after="60" w:line="240" w:lineRule="auto"/>
              <w:rPr>
                <w:b/>
                <w:bCs/>
                <w:sz w:val="20"/>
              </w:rPr>
            </w:pPr>
            <w:r w:rsidRPr="000665B0">
              <w:rPr>
                <w:b/>
                <w:bCs/>
                <w:sz w:val="20"/>
              </w:rPr>
              <w:t>Objective</w:t>
            </w:r>
          </w:p>
        </w:tc>
      </w:tr>
      <w:tr w:rsidR="00C1621C" w:rsidRPr="000665B0" w14:paraId="460B8169" w14:textId="77777777" w:rsidTr="00346248">
        <w:trPr>
          <w:cantSplit/>
        </w:trPr>
        <w:tc>
          <w:tcPr>
            <w:tcW w:w="13714" w:type="dxa"/>
          </w:tcPr>
          <w:p w14:paraId="1542FDB3" w14:textId="77777777" w:rsidR="00C1621C" w:rsidRPr="000665B0" w:rsidRDefault="00C1621C" w:rsidP="00F26AD4">
            <w:pPr>
              <w:keepNext/>
              <w:spacing w:before="60" w:after="60" w:line="240" w:lineRule="auto"/>
              <w:rPr>
                <w:sz w:val="20"/>
              </w:rPr>
            </w:pPr>
            <w:r w:rsidRPr="000665B0">
              <w:rPr>
                <w:sz w:val="20"/>
              </w:rPr>
              <w:t>The objective of this case is to exercise Flex (Change Outcome) using MDS and Tactical Change LMO. This case will also exercise MDS Direct Aimpoint Update</w:t>
            </w:r>
          </w:p>
        </w:tc>
      </w:tr>
      <w:tr w:rsidR="00C1621C" w:rsidRPr="000665B0" w14:paraId="701D3206" w14:textId="77777777" w:rsidTr="00935A52">
        <w:trPr>
          <w:cantSplit/>
        </w:trPr>
        <w:tc>
          <w:tcPr>
            <w:tcW w:w="13714" w:type="dxa"/>
            <w:shd w:val="clear" w:color="auto" w:fill="D9D9D9" w:themeFill="background1" w:themeFillShade="D9"/>
            <w:noWrap/>
          </w:tcPr>
          <w:p w14:paraId="42707AA0" w14:textId="77777777" w:rsidR="00C1621C" w:rsidRPr="000665B0" w:rsidRDefault="00C1621C" w:rsidP="00F26AD4">
            <w:pPr>
              <w:keepNext/>
              <w:spacing w:before="60" w:after="60" w:line="240" w:lineRule="auto"/>
              <w:rPr>
                <w:b/>
                <w:bCs/>
                <w:sz w:val="20"/>
              </w:rPr>
            </w:pPr>
            <w:r w:rsidRPr="000665B0">
              <w:rPr>
                <w:b/>
                <w:bCs/>
                <w:sz w:val="20"/>
              </w:rPr>
              <w:t xml:space="preserve">Prerequisites </w:t>
            </w:r>
          </w:p>
        </w:tc>
      </w:tr>
      <w:tr w:rsidR="00C1621C" w:rsidRPr="000665B0" w14:paraId="62504F47" w14:textId="77777777" w:rsidTr="00346248">
        <w:trPr>
          <w:cantSplit/>
        </w:trPr>
        <w:tc>
          <w:tcPr>
            <w:tcW w:w="13714" w:type="dxa"/>
          </w:tcPr>
          <w:p w14:paraId="2B151195" w14:textId="77777777" w:rsidR="00C1621C" w:rsidRPr="000665B0" w:rsidRDefault="00C1621C" w:rsidP="00346248">
            <w:pPr>
              <w:spacing w:before="60" w:after="60" w:line="240" w:lineRule="auto"/>
              <w:rPr>
                <w:sz w:val="20"/>
              </w:rPr>
            </w:pPr>
            <w:r w:rsidRPr="000665B0">
              <w:rPr>
                <w:sz w:val="20"/>
              </w:rPr>
              <w:t>1. Ensure that the Pre</w:t>
            </w:r>
            <w:r w:rsidRPr="000665B0">
              <w:rPr>
                <w:bCs/>
                <w:sz w:val="20"/>
              </w:rPr>
              <w:t>requisites</w:t>
            </w:r>
            <w:r w:rsidRPr="000665B0">
              <w:rPr>
                <w:b/>
                <w:bCs/>
                <w:sz w:val="20"/>
              </w:rPr>
              <w:t xml:space="preserve"> </w:t>
            </w:r>
            <w:r w:rsidRPr="000665B0">
              <w:rPr>
                <w:sz w:val="20"/>
              </w:rPr>
              <w:t xml:space="preserve">from </w:t>
            </w:r>
            <w:r w:rsidRPr="000665B0">
              <w:rPr>
                <w:bCs/>
                <w:sz w:val="20"/>
              </w:rPr>
              <w:t>Case A have been met</w:t>
            </w:r>
            <w:r w:rsidRPr="000665B0">
              <w:rPr>
                <w:sz w:val="20"/>
              </w:rPr>
              <w:t>.</w:t>
            </w:r>
          </w:p>
        </w:tc>
      </w:tr>
    </w:tbl>
    <w:p w14:paraId="3DFE41F1" w14:textId="77777777" w:rsidR="00C1621C" w:rsidRPr="000665B0" w:rsidRDefault="00C1621C" w:rsidP="00C1621C"/>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
        <w:gridCol w:w="6750"/>
        <w:gridCol w:w="6300"/>
      </w:tblGrid>
      <w:tr w:rsidR="00C1621C" w:rsidRPr="000665B0" w14:paraId="12CD8732" w14:textId="77777777" w:rsidTr="0056739E">
        <w:trPr>
          <w:cantSplit/>
          <w:tblHeader/>
        </w:trPr>
        <w:tc>
          <w:tcPr>
            <w:tcW w:w="630" w:type="dxa"/>
            <w:shd w:val="clear" w:color="auto" w:fill="D9D9D9" w:themeFill="background1" w:themeFillShade="D9"/>
          </w:tcPr>
          <w:p w14:paraId="5E348AA6" w14:textId="77777777" w:rsidR="00C1621C" w:rsidRPr="000665B0" w:rsidRDefault="00C1621C" w:rsidP="00346248">
            <w:pPr>
              <w:spacing w:before="60" w:after="60" w:line="240" w:lineRule="auto"/>
              <w:jc w:val="center"/>
              <w:rPr>
                <w:b/>
                <w:bCs/>
                <w:sz w:val="20"/>
              </w:rPr>
            </w:pPr>
            <w:r w:rsidRPr="000665B0">
              <w:rPr>
                <w:b/>
                <w:bCs/>
                <w:sz w:val="20"/>
              </w:rPr>
              <w:t>Step</w:t>
            </w:r>
          </w:p>
        </w:tc>
        <w:tc>
          <w:tcPr>
            <w:tcW w:w="6750" w:type="dxa"/>
            <w:shd w:val="clear" w:color="auto" w:fill="D9D9D9" w:themeFill="background1" w:themeFillShade="D9"/>
          </w:tcPr>
          <w:p w14:paraId="20B7E2D1" w14:textId="77777777" w:rsidR="00C1621C" w:rsidRPr="000665B0" w:rsidRDefault="00C1621C" w:rsidP="00346248">
            <w:pPr>
              <w:spacing w:before="60" w:after="60" w:line="240" w:lineRule="auto"/>
              <w:jc w:val="center"/>
              <w:rPr>
                <w:b/>
                <w:bCs/>
                <w:sz w:val="20"/>
              </w:rPr>
            </w:pPr>
            <w:r w:rsidRPr="000665B0">
              <w:rPr>
                <w:b/>
                <w:bCs/>
                <w:sz w:val="20"/>
              </w:rPr>
              <w:t>Operator Action</w:t>
            </w:r>
          </w:p>
        </w:tc>
        <w:tc>
          <w:tcPr>
            <w:tcW w:w="6300" w:type="dxa"/>
            <w:shd w:val="clear" w:color="auto" w:fill="D9D9D9" w:themeFill="background1" w:themeFillShade="D9"/>
          </w:tcPr>
          <w:p w14:paraId="49851D9A" w14:textId="77777777" w:rsidR="00C1621C" w:rsidRPr="000665B0" w:rsidRDefault="00C1621C" w:rsidP="00346248">
            <w:pPr>
              <w:spacing w:before="60" w:after="60" w:line="240" w:lineRule="auto"/>
              <w:jc w:val="center"/>
              <w:rPr>
                <w:b/>
                <w:bCs/>
                <w:sz w:val="20"/>
              </w:rPr>
            </w:pPr>
            <w:r w:rsidRPr="000665B0">
              <w:rPr>
                <w:b/>
                <w:bCs/>
                <w:sz w:val="20"/>
              </w:rPr>
              <w:t>Notes/Comments</w:t>
            </w:r>
          </w:p>
        </w:tc>
      </w:tr>
      <w:tr w:rsidR="00C1621C" w:rsidRPr="000665B0" w14:paraId="7A6398EF" w14:textId="77777777" w:rsidTr="0056739E">
        <w:trPr>
          <w:cantSplit/>
        </w:trPr>
        <w:tc>
          <w:tcPr>
            <w:tcW w:w="630" w:type="dxa"/>
          </w:tcPr>
          <w:p w14:paraId="71C8525E" w14:textId="77777777" w:rsidR="00C1621C" w:rsidRPr="000665B0" w:rsidRDefault="00C1621C" w:rsidP="00346248">
            <w:pPr>
              <w:spacing w:before="60" w:after="60" w:line="240" w:lineRule="auto"/>
              <w:jc w:val="center"/>
              <w:rPr>
                <w:sz w:val="20"/>
              </w:rPr>
            </w:pPr>
            <w:r w:rsidRPr="000665B0">
              <w:rPr>
                <w:sz w:val="20"/>
              </w:rPr>
              <w:t>1</w:t>
            </w:r>
          </w:p>
        </w:tc>
        <w:tc>
          <w:tcPr>
            <w:tcW w:w="6750" w:type="dxa"/>
          </w:tcPr>
          <w:p w14:paraId="2D0CCBBF" w14:textId="77777777" w:rsidR="00C1621C" w:rsidRPr="000665B0" w:rsidRDefault="00C1621C" w:rsidP="00346248">
            <w:pPr>
              <w:spacing w:before="60" w:after="60" w:line="240" w:lineRule="auto"/>
              <w:rPr>
                <w:sz w:val="20"/>
              </w:rPr>
            </w:pPr>
            <w:r w:rsidRPr="000665B0">
              <w:rPr>
                <w:sz w:val="20"/>
              </w:rPr>
              <w:t>This Case Retargets Missiles That Have Already Launched. There Are Several Ways to Flex a Missile.</w:t>
            </w:r>
          </w:p>
          <w:p w14:paraId="5EF131EE" w14:textId="77777777" w:rsidR="00C1621C" w:rsidRPr="000665B0" w:rsidRDefault="00C1621C" w:rsidP="006D5A65">
            <w:pPr>
              <w:pStyle w:val="Heading1"/>
            </w:pPr>
            <w:r w:rsidRPr="000665B0">
              <w:t>Perform Steps 1-8 from Case A.</w:t>
            </w:r>
          </w:p>
          <w:p w14:paraId="6615659B" w14:textId="66A7D749" w:rsidR="00C1621C" w:rsidRPr="000665B0" w:rsidRDefault="00C1621C" w:rsidP="006D5A65">
            <w:pPr>
              <w:pStyle w:val="Heading1"/>
            </w:pPr>
            <w:r w:rsidRPr="000665B0">
              <w:t xml:space="preserve">TSRT should be in </w:t>
            </w:r>
            <w:r w:rsidR="00974F53" w:rsidRPr="000665B0">
              <w:t xml:space="preserve">Run </w:t>
            </w:r>
            <w:r w:rsidRPr="000665B0">
              <w:t xml:space="preserve">mode. Recommend running TSRT in </w:t>
            </w:r>
            <w:r w:rsidR="00D15907" w:rsidRPr="000665B0">
              <w:t>3</w:t>
            </w:r>
            <w:r w:rsidR="00D15907">
              <w:t>5</w:t>
            </w:r>
            <w:r w:rsidR="00D15907" w:rsidRPr="000665B0">
              <w:t xml:space="preserve">X </w:t>
            </w:r>
            <w:r w:rsidRPr="000665B0">
              <w:t>speed</w:t>
            </w:r>
            <w:r w:rsidR="003D782D">
              <w:t xml:space="preserve"> (See </w:t>
            </w:r>
            <w:hyperlink w:anchor="Section_5_39_2_Tip" w:history="1">
              <w:r w:rsidR="005971F3" w:rsidRPr="005971F3">
                <w:rPr>
                  <w:rStyle w:val="Hyperlink"/>
                  <w:rFonts w:ascii="Times New Roman" w:hAnsi="Times New Roman"/>
                  <w:bCs/>
                  <w:sz w:val="20"/>
                </w:rPr>
                <w:t xml:space="preserve">Tip in Section </w:t>
              </w:r>
              <w:r w:rsidR="004231CC">
                <w:rPr>
                  <w:rStyle w:val="Hyperlink"/>
                  <w:rFonts w:ascii="Times New Roman" w:hAnsi="Times New Roman"/>
                  <w:bCs/>
                  <w:sz w:val="20"/>
                </w:rPr>
                <w:t>5.37</w:t>
              </w:r>
              <w:r w:rsidR="005971F3" w:rsidRPr="005971F3">
                <w:rPr>
                  <w:rStyle w:val="Hyperlink"/>
                  <w:rFonts w:ascii="Times New Roman" w:hAnsi="Times New Roman"/>
                  <w:bCs/>
                  <w:sz w:val="20"/>
                </w:rPr>
                <w:t>.2</w:t>
              </w:r>
            </w:hyperlink>
            <w:r w:rsidR="003D782D">
              <w:t>)</w:t>
            </w:r>
            <w:r w:rsidRPr="000665B0">
              <w:t xml:space="preserve"> until approximately 15 minutes prior to the first </w:t>
            </w:r>
            <w:r w:rsidR="003B11E5" w:rsidRPr="000665B0">
              <w:t>TOL.</w:t>
            </w:r>
            <w:r w:rsidRPr="000665B0" w:rsidDel="00282A0D">
              <w:t xml:space="preserve"> </w:t>
            </w:r>
          </w:p>
          <w:p w14:paraId="5DE7C598" w14:textId="7083C699" w:rsidR="00C1621C" w:rsidRPr="000665B0" w:rsidRDefault="00C1621C" w:rsidP="006D5A65">
            <w:pPr>
              <w:pStyle w:val="Heading1"/>
            </w:pPr>
            <w:r w:rsidRPr="000665B0">
              <w:t>Approximately 15 minutes before the first TOL, slow down the TSRT speed to 1X.</w:t>
            </w:r>
          </w:p>
          <w:p w14:paraId="1F9453B4" w14:textId="698DF173" w:rsidR="00C1621C" w:rsidRPr="000665B0" w:rsidRDefault="00C1621C" w:rsidP="006D5A65">
            <w:pPr>
              <w:pStyle w:val="Heading1"/>
              <w:rPr>
                <w:bCs/>
              </w:rPr>
            </w:pPr>
            <w:r w:rsidRPr="000665B0">
              <w:rPr>
                <w:bCs/>
              </w:rPr>
              <w:t xml:space="preserve">Wait until SPEOs, OWRs, and LERs are received. </w:t>
            </w:r>
            <w:r w:rsidRPr="000665B0">
              <w:t xml:space="preserve">SPEOs, OWRs, and LERs should have been previously processed. </w:t>
            </w:r>
            <w:r w:rsidR="00407041" w:rsidRPr="000665B0">
              <w:t xml:space="preserve">See </w:t>
            </w:r>
            <w:hyperlink w:anchor="_Q-1__CASE" w:history="1">
              <w:r w:rsidR="00407041" w:rsidRPr="000665B0">
                <w:rPr>
                  <w:rStyle w:val="Hyperlink"/>
                  <w:rFonts w:ascii="Times New Roman" w:hAnsi="Times New Roman"/>
                  <w:sz w:val="20"/>
                </w:rPr>
                <w:t>Case A</w:t>
              </w:r>
            </w:hyperlink>
            <w:r w:rsidRPr="000665B0">
              <w:t xml:space="preserve"> regarding how to view those messages in the SMD.</w:t>
            </w:r>
          </w:p>
          <w:p w14:paraId="185BE10E" w14:textId="7FEE68BD" w:rsidR="00C1621C" w:rsidRPr="000665B0" w:rsidRDefault="00C1621C" w:rsidP="006D5A65">
            <w:pPr>
              <w:pStyle w:val="Heading1"/>
            </w:pPr>
            <w:r w:rsidRPr="000665B0">
              <w:t xml:space="preserve">Wait until all 109E Missiles are launched and have passed the FPPWP. </w:t>
            </w:r>
            <w:r w:rsidRPr="000665B0">
              <w:rPr>
                <w:rFonts w:eastAsia="Times New Roman"/>
              </w:rPr>
              <w:t>Only missiles that have launched</w:t>
            </w:r>
            <w:r w:rsidRPr="000665B0">
              <w:t xml:space="preserve"> and have passed the FPPWP can be retargeted. The FPPWP is indicated by the </w:t>
            </w:r>
            <w:r w:rsidR="006258CD" w:rsidRPr="00802180">
              <w:rPr>
                <w:noProof/>
                <w:position w:val="-6"/>
              </w:rPr>
              <w:drawing>
                <wp:inline distT="0" distB="0" distL="0" distR="0" wp14:anchorId="42EED7DB" wp14:editId="5FDBD4A2">
                  <wp:extent cx="164592" cy="164592"/>
                  <wp:effectExtent l="0" t="0" r="6985" b="6985"/>
                  <wp:docPr id="633785759" name="Picture 63378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WP.ico"/>
                          <pic:cNvPicPr/>
                        </pic:nvPicPr>
                        <pic:blipFill>
                          <a:blip>
                            <a:extLst>
                              <a:ext uri="{28A0092B-C50C-407E-A947-70E740481C1C}">
                                <a14:useLocalDpi xmlns:a14="http://schemas.microsoft.com/office/drawing/2010/main"/>
                              </a:ext>
                            </a:extLst>
                          </a:blip>
                          <a:stretch>
                            <a:fillRect/>
                          </a:stretch>
                        </pic:blipFill>
                        <pic:spPr>
                          <a:xfrm>
                            <a:off x="0" y="0"/>
                            <a:ext cx="164592" cy="164592"/>
                          </a:xfrm>
                          <a:prstGeom prst="rect">
                            <a:avLst/>
                          </a:prstGeom>
                        </pic:spPr>
                      </pic:pic>
                    </a:graphicData>
                  </a:graphic>
                </wp:inline>
              </w:drawing>
            </w:r>
            <w:r w:rsidRPr="000665B0">
              <w:rPr>
                <w:rFonts w:eastAsia="Times New Roman"/>
              </w:rPr>
              <w:t xml:space="preserve"> symbol on the SMD Gantt Chart</w:t>
            </w:r>
            <w:r w:rsidRPr="000665B0">
              <w:t>.</w:t>
            </w:r>
          </w:p>
        </w:tc>
        <w:tc>
          <w:tcPr>
            <w:tcW w:w="6300" w:type="dxa"/>
          </w:tcPr>
          <w:p w14:paraId="17D5A690" w14:textId="77777777" w:rsidR="00C1621C" w:rsidRPr="000665B0" w:rsidRDefault="00C1621C" w:rsidP="00346248">
            <w:pPr>
              <w:spacing w:before="60" w:after="60" w:line="240" w:lineRule="auto"/>
              <w:rPr>
                <w:sz w:val="20"/>
              </w:rPr>
            </w:pPr>
          </w:p>
        </w:tc>
      </w:tr>
      <w:tr w:rsidR="00C1621C" w:rsidRPr="000665B0" w14:paraId="1F8D9351" w14:textId="77777777" w:rsidTr="0056739E">
        <w:tc>
          <w:tcPr>
            <w:tcW w:w="630" w:type="dxa"/>
          </w:tcPr>
          <w:p w14:paraId="59EEF29F" w14:textId="77777777" w:rsidR="00C1621C" w:rsidRPr="000665B0" w:rsidRDefault="00C1621C" w:rsidP="00346248">
            <w:pPr>
              <w:spacing w:before="60" w:after="60" w:line="240" w:lineRule="auto"/>
              <w:jc w:val="center"/>
              <w:rPr>
                <w:sz w:val="20"/>
              </w:rPr>
            </w:pPr>
            <w:r w:rsidRPr="000665B0">
              <w:rPr>
                <w:sz w:val="20"/>
              </w:rPr>
              <w:t>2</w:t>
            </w:r>
          </w:p>
        </w:tc>
        <w:tc>
          <w:tcPr>
            <w:tcW w:w="6750" w:type="dxa"/>
          </w:tcPr>
          <w:p w14:paraId="3EDEA9E2" w14:textId="1E356D54" w:rsidR="00C1621C" w:rsidRPr="000665B0" w:rsidRDefault="00C1621C" w:rsidP="00346248">
            <w:pPr>
              <w:spacing w:before="60" w:after="60" w:line="240" w:lineRule="auto"/>
              <w:rPr>
                <w:sz w:val="20"/>
              </w:rPr>
            </w:pPr>
            <w:r w:rsidRPr="000665B0">
              <w:rPr>
                <w:bCs/>
                <w:sz w:val="20"/>
              </w:rPr>
              <w:t>Flex</w:t>
            </w:r>
            <w:r w:rsidRPr="000665B0">
              <w:rPr>
                <w:b/>
                <w:bCs/>
                <w:sz w:val="20"/>
              </w:rPr>
              <w:t xml:space="preserve"> </w:t>
            </w:r>
            <w:r w:rsidRPr="000665B0">
              <w:rPr>
                <w:sz w:val="20"/>
              </w:rPr>
              <w:t>Using MDS To Send a Pre-Planned Outcome IMMM</w:t>
            </w:r>
            <w:r w:rsidR="003C2E66" w:rsidRPr="000665B0">
              <w:rPr>
                <w:sz w:val="20"/>
              </w:rPr>
              <w:t xml:space="preserve"> (see Note)</w:t>
            </w:r>
          </w:p>
          <w:p w14:paraId="7F28210F" w14:textId="724A7F5A" w:rsidR="00C1621C" w:rsidRPr="000665B0" w:rsidRDefault="00D71804" w:rsidP="006D5A65">
            <w:pPr>
              <w:pStyle w:val="Heading1"/>
              <w:rPr>
                <w:bCs/>
              </w:rPr>
            </w:pPr>
            <w:r w:rsidRPr="000665B0">
              <w:t>Right-click</w:t>
            </w:r>
            <w:r w:rsidR="00C1621C" w:rsidRPr="000665B0">
              <w:t xml:space="preserve"> on the desired missile in the Gantt Chart and select Send Pre-Planned Outcome (PPO) IMMM.</w:t>
            </w:r>
          </w:p>
          <w:p w14:paraId="4189341C" w14:textId="77777777" w:rsidR="00C1621C" w:rsidRPr="000665B0" w:rsidRDefault="00C1621C" w:rsidP="006D5A65">
            <w:pPr>
              <w:pStyle w:val="Heading1"/>
              <w:rPr>
                <w:bCs/>
              </w:rPr>
            </w:pPr>
            <w:r w:rsidRPr="000665B0">
              <w:t xml:space="preserve">The </w:t>
            </w:r>
            <w:r w:rsidRPr="000665B0">
              <w:rPr>
                <w:i/>
              </w:rPr>
              <w:t>Pre-planned Outcome IMMM</w:t>
            </w:r>
            <w:r w:rsidRPr="000665B0">
              <w:t xml:space="preserve"> window is displayed.</w:t>
            </w:r>
          </w:p>
          <w:p w14:paraId="47A0F328" w14:textId="77777777" w:rsidR="00C1621C" w:rsidRPr="000665B0" w:rsidRDefault="00C1621C" w:rsidP="006D5A65">
            <w:pPr>
              <w:pStyle w:val="Heading1"/>
              <w:rPr>
                <w:bCs/>
              </w:rPr>
            </w:pPr>
            <w:r w:rsidRPr="000665B0">
              <w:t>Select the desired outcome from the Branch at ID pull</w:t>
            </w:r>
            <w:r w:rsidR="008C751E" w:rsidRPr="000665B0">
              <w:t xml:space="preserve"> </w:t>
            </w:r>
            <w:r w:rsidRPr="000665B0">
              <w:t>down menu.</w:t>
            </w:r>
          </w:p>
          <w:p w14:paraId="049D2F55" w14:textId="77777777" w:rsidR="00C1621C" w:rsidRPr="000665B0" w:rsidRDefault="00C1621C" w:rsidP="006D5A65">
            <w:pPr>
              <w:pStyle w:val="Heading1"/>
            </w:pPr>
            <w:r w:rsidRPr="000665B0">
              <w:t>Edit the Transmission Time in the Transmission Time pull</w:t>
            </w:r>
            <w:r w:rsidR="008C751E" w:rsidRPr="000665B0">
              <w:t xml:space="preserve"> </w:t>
            </w:r>
            <w:r w:rsidRPr="000665B0">
              <w:t xml:space="preserve">down menu. The Branch at ID menu reflects the new </w:t>
            </w:r>
            <w:r w:rsidRPr="000665B0">
              <w:lastRenderedPageBreak/>
              <w:t>desired outcome and the IMMM will be sent at the selected Transmission Time.</w:t>
            </w:r>
          </w:p>
          <w:p w14:paraId="1D2D95A4" w14:textId="77777777" w:rsidR="00C1621C" w:rsidRPr="000665B0" w:rsidRDefault="00C1621C" w:rsidP="006D5A65">
            <w:pPr>
              <w:pStyle w:val="Heading1"/>
            </w:pPr>
            <w:r w:rsidRPr="000665B0">
              <w:t>Alternatively, select the Send Immediately checkbox to send the IMMM immediately.</w:t>
            </w:r>
          </w:p>
          <w:p w14:paraId="78D26C2C" w14:textId="783528DF" w:rsidR="00C1621C" w:rsidRPr="000665B0" w:rsidRDefault="00C1621C" w:rsidP="006D5A65">
            <w:pPr>
              <w:pStyle w:val="Heading1"/>
            </w:pPr>
            <w:r w:rsidRPr="000665B0">
              <w:t xml:space="preserve">Click OK. The IMMM will be sent at the scheduled Transmission </w:t>
            </w:r>
            <w:r w:rsidR="003B11E5" w:rsidRPr="000665B0">
              <w:t>Time or</w:t>
            </w:r>
            <w:r w:rsidRPr="000665B0">
              <w:t xml:space="preserve"> sent immediately based on the selection made. </w:t>
            </w:r>
          </w:p>
          <w:p w14:paraId="3B8CCBA5" w14:textId="77777777" w:rsidR="00C1621C" w:rsidRPr="000665B0" w:rsidRDefault="00C1621C" w:rsidP="006D5A65">
            <w:pPr>
              <w:pStyle w:val="Heading1"/>
              <w:rPr>
                <w:bCs/>
              </w:rPr>
            </w:pPr>
            <w:r w:rsidRPr="000665B0">
              <w:t xml:space="preserve">A Planned Pre-Planned Outcome IMMM icon </w:t>
            </w:r>
            <w:r w:rsidRPr="000665B0">
              <w:rPr>
                <w:noProof/>
              </w:rPr>
              <w:drawing>
                <wp:inline distT="0" distB="0" distL="0" distR="0" wp14:anchorId="3C65F931" wp14:editId="2F159E06">
                  <wp:extent cx="180975" cy="152400"/>
                  <wp:effectExtent l="19050" t="0" r="9525"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cstate="print"/>
                          <a:srcRect/>
                          <a:stretch>
                            <a:fillRect/>
                          </a:stretch>
                        </pic:blipFill>
                        <pic:spPr bwMode="auto">
                          <a:xfrm>
                            <a:off x="0" y="0"/>
                            <a:ext cx="180975" cy="152400"/>
                          </a:xfrm>
                          <a:prstGeom prst="rect">
                            <a:avLst/>
                          </a:prstGeom>
                          <a:noFill/>
                          <a:ln w="9525">
                            <a:noFill/>
                            <a:miter lim="800000"/>
                            <a:headEnd/>
                            <a:tailEnd/>
                          </a:ln>
                        </pic:spPr>
                      </pic:pic>
                    </a:graphicData>
                  </a:graphic>
                </wp:inline>
              </w:drawing>
            </w:r>
            <w:r w:rsidRPr="000665B0">
              <w:t xml:space="preserve"> is shown on the SMD Gantt. The Event Log and TSN Messages Log will show the IMMM scheduled/sent. If there is a problem, double check the missile assignment to ensure that this MDS is the </w:t>
            </w:r>
            <w:r w:rsidRPr="000665B0">
              <w:rPr>
                <w:bCs/>
              </w:rPr>
              <w:t xml:space="preserve">Primary MC </w:t>
            </w:r>
            <w:r w:rsidRPr="000665B0">
              <w:t>for the missile.</w:t>
            </w:r>
          </w:p>
          <w:p w14:paraId="236D55EE" w14:textId="77777777" w:rsidR="00C1621C" w:rsidRPr="000665B0" w:rsidRDefault="00C1621C" w:rsidP="006D5A65">
            <w:pPr>
              <w:pStyle w:val="Heading1"/>
              <w:rPr>
                <w:bCs/>
              </w:rPr>
            </w:pPr>
            <w:r w:rsidRPr="000665B0">
              <w:t>Once the IMMM has been sent and TSRT acts upon the IMMM, an IMMM Acked message is received. MDS will also flex the missile when it receives notification from the missile that it has changed outcome.</w:t>
            </w:r>
          </w:p>
        </w:tc>
        <w:tc>
          <w:tcPr>
            <w:tcW w:w="6300" w:type="dxa"/>
          </w:tcPr>
          <w:p w14:paraId="34864EE6" w14:textId="6B80202A" w:rsidR="00C1621C" w:rsidRPr="000665B0" w:rsidRDefault="00C1621C" w:rsidP="00346248">
            <w:pPr>
              <w:spacing w:before="60" w:after="60" w:line="240" w:lineRule="auto"/>
              <w:rPr>
                <w:sz w:val="20"/>
              </w:rPr>
            </w:pPr>
            <w:r w:rsidRPr="000665B0">
              <w:rPr>
                <w:sz w:val="20"/>
              </w:rPr>
              <w:lastRenderedPageBreak/>
              <w:t xml:space="preserve">See </w:t>
            </w:r>
            <w:hyperlink w:anchor="_5.38.3.1.1.3__Gantt" w:history="1">
              <w:r w:rsidR="00E036B6" w:rsidRPr="000665B0">
                <w:rPr>
                  <w:rStyle w:val="Hyperlink"/>
                  <w:sz w:val="20"/>
                </w:rPr>
                <w:t xml:space="preserve">Section </w:t>
              </w:r>
              <w:r w:rsidR="004231CC">
                <w:rPr>
                  <w:rStyle w:val="Hyperlink"/>
                  <w:sz w:val="20"/>
                </w:rPr>
                <w:t>5.35</w:t>
              </w:r>
              <w:r w:rsidRPr="000665B0">
                <w:rPr>
                  <w:rStyle w:val="Hyperlink"/>
                  <w:sz w:val="20"/>
                </w:rPr>
                <w:t>.3.1.1.3</w:t>
              </w:r>
            </w:hyperlink>
            <w:r w:rsidRPr="000665B0">
              <w:rPr>
                <w:sz w:val="20"/>
              </w:rPr>
              <w:t>.</w:t>
            </w:r>
          </w:p>
        </w:tc>
      </w:tr>
      <w:tr w:rsidR="00C1621C" w:rsidRPr="000665B0" w14:paraId="2C9F0364" w14:textId="77777777" w:rsidTr="0056739E">
        <w:tc>
          <w:tcPr>
            <w:tcW w:w="630" w:type="dxa"/>
          </w:tcPr>
          <w:p w14:paraId="15594207" w14:textId="77777777" w:rsidR="00C1621C" w:rsidRPr="000665B0" w:rsidRDefault="00C1621C" w:rsidP="00346248">
            <w:pPr>
              <w:spacing w:before="60" w:after="60" w:line="240" w:lineRule="auto"/>
              <w:jc w:val="center"/>
              <w:rPr>
                <w:sz w:val="20"/>
              </w:rPr>
            </w:pPr>
            <w:r w:rsidRPr="000665B0">
              <w:rPr>
                <w:sz w:val="20"/>
              </w:rPr>
              <w:t>3</w:t>
            </w:r>
          </w:p>
        </w:tc>
        <w:tc>
          <w:tcPr>
            <w:tcW w:w="6750" w:type="dxa"/>
          </w:tcPr>
          <w:p w14:paraId="1C46B17B" w14:textId="02AFE7DE" w:rsidR="00C1621C" w:rsidRPr="000665B0" w:rsidRDefault="00C1621C" w:rsidP="00346248">
            <w:pPr>
              <w:spacing w:before="60" w:after="60" w:line="240" w:lineRule="auto"/>
              <w:rPr>
                <w:sz w:val="20"/>
              </w:rPr>
            </w:pPr>
            <w:r w:rsidRPr="000665B0">
              <w:rPr>
                <w:sz w:val="20"/>
              </w:rPr>
              <w:t xml:space="preserve">To </w:t>
            </w:r>
            <w:r w:rsidRPr="000665B0">
              <w:rPr>
                <w:bCs/>
                <w:sz w:val="20"/>
              </w:rPr>
              <w:t>Flex</w:t>
            </w:r>
            <w:r w:rsidRPr="000665B0">
              <w:rPr>
                <w:b/>
                <w:bCs/>
                <w:sz w:val="20"/>
              </w:rPr>
              <w:t xml:space="preserve"> </w:t>
            </w:r>
            <w:r w:rsidRPr="000665B0">
              <w:rPr>
                <w:sz w:val="20"/>
              </w:rPr>
              <w:t>Using the Retarget Calculator</w:t>
            </w:r>
            <w:r w:rsidR="003C2E66" w:rsidRPr="000665B0">
              <w:rPr>
                <w:sz w:val="20"/>
              </w:rPr>
              <w:t xml:space="preserve"> (see Note)</w:t>
            </w:r>
          </w:p>
          <w:p w14:paraId="5F13723B" w14:textId="5B8BD982" w:rsidR="00C1621C" w:rsidRPr="000665B0" w:rsidRDefault="00C1621C" w:rsidP="006D5A65">
            <w:pPr>
              <w:pStyle w:val="Heading1"/>
              <w:rPr>
                <w:bCs/>
              </w:rPr>
            </w:pPr>
            <w:r w:rsidRPr="000665B0">
              <w:t xml:space="preserve">Navigate to the </w:t>
            </w:r>
            <w:r w:rsidRPr="000665B0">
              <w:rPr>
                <w:i/>
              </w:rPr>
              <w:t>Target</w:t>
            </w:r>
            <w:r w:rsidRPr="000665B0">
              <w:t xml:space="preserve"> tab’s bottom list view on the SMD. Select a target to flex to, </w:t>
            </w:r>
            <w:r w:rsidR="00D71804" w:rsidRPr="000665B0">
              <w:t>right-click</w:t>
            </w:r>
            <w:r w:rsidRPr="000665B0">
              <w:t>, and select Reroute Missile.</w:t>
            </w:r>
          </w:p>
          <w:p w14:paraId="08122445" w14:textId="77777777" w:rsidR="00C1621C" w:rsidRPr="000665B0" w:rsidRDefault="00C1621C" w:rsidP="006D5A65">
            <w:pPr>
              <w:pStyle w:val="Heading1"/>
            </w:pPr>
            <w:r w:rsidRPr="000665B0">
              <w:t xml:space="preserve">The Retarget Calculator displays the </w:t>
            </w:r>
            <w:r w:rsidRPr="000665B0">
              <w:rPr>
                <w:bCs/>
                <w:i/>
              </w:rPr>
              <w:t>Reroute</w:t>
            </w:r>
            <w:r w:rsidRPr="000665B0">
              <w:t xml:space="preserve"> tab which displays all of the candidate missiles that can be used to flex, retarget, or aimpoint update. The </w:t>
            </w:r>
            <w:r w:rsidRPr="000665B0">
              <w:rPr>
                <w:bCs/>
              </w:rPr>
              <w:t>top list view shows the flex candidates</w:t>
            </w:r>
            <w:r w:rsidRPr="000665B0">
              <w:t xml:space="preserve">. The </w:t>
            </w:r>
            <w:r w:rsidRPr="000665B0">
              <w:rPr>
                <w:bCs/>
              </w:rPr>
              <w:t xml:space="preserve">bottom list view shows the Retarget/Aimpoint Update </w:t>
            </w:r>
            <w:r w:rsidRPr="000665B0">
              <w:t>candidates.</w:t>
            </w:r>
          </w:p>
          <w:p w14:paraId="3B060E95" w14:textId="4E45881C" w:rsidR="00C1621C" w:rsidRPr="000665B0" w:rsidRDefault="00C1621C" w:rsidP="00346248">
            <w:pPr>
              <w:pStyle w:val="ListParagraph"/>
              <w:spacing w:before="60" w:after="60"/>
              <w:rPr>
                <w:rFonts w:ascii="Times New Roman" w:hAnsi="Times New Roman"/>
                <w:sz w:val="20"/>
                <w:szCs w:val="20"/>
              </w:rPr>
            </w:pPr>
            <w:r w:rsidRPr="000665B0">
              <w:rPr>
                <w:rFonts w:ascii="Times New Roman" w:hAnsi="Times New Roman"/>
                <w:sz w:val="20"/>
                <w:szCs w:val="20"/>
              </w:rPr>
              <w:t xml:space="preserve">Depending on which target was selected, there may not be any candidate missiles in the </w:t>
            </w:r>
            <w:r w:rsidRPr="000665B0">
              <w:rPr>
                <w:rFonts w:ascii="Times New Roman" w:hAnsi="Times New Roman"/>
                <w:b/>
                <w:i/>
                <w:sz w:val="20"/>
                <w:szCs w:val="20"/>
              </w:rPr>
              <w:t>Reroute</w:t>
            </w:r>
            <w:r w:rsidRPr="000665B0">
              <w:rPr>
                <w:rFonts w:ascii="Times New Roman" w:hAnsi="Times New Roman"/>
                <w:sz w:val="20"/>
                <w:szCs w:val="20"/>
              </w:rPr>
              <w:t xml:space="preserve"> tab. When that occurs, it means there aren’t any missiles in flight that can be rerouted to the selected target. To see why there are no available candidate missiles for Reroute, </w:t>
            </w:r>
            <w:r w:rsidR="00D71804" w:rsidRPr="000665B0">
              <w:rPr>
                <w:rFonts w:ascii="Times New Roman" w:hAnsi="Times New Roman"/>
                <w:sz w:val="20"/>
                <w:szCs w:val="20"/>
              </w:rPr>
              <w:t>right-click</w:t>
            </w:r>
            <w:r w:rsidRPr="000665B0">
              <w:rPr>
                <w:rFonts w:ascii="Times New Roman" w:hAnsi="Times New Roman"/>
                <w:sz w:val="20"/>
                <w:szCs w:val="20"/>
              </w:rPr>
              <w:t xml:space="preserve"> on the </w:t>
            </w:r>
            <w:r w:rsidRPr="000665B0">
              <w:rPr>
                <w:rFonts w:ascii="Times New Roman" w:hAnsi="Times New Roman"/>
                <w:b/>
                <w:bCs/>
                <w:sz w:val="20"/>
                <w:szCs w:val="20"/>
              </w:rPr>
              <w:t xml:space="preserve">Show Report </w:t>
            </w:r>
            <w:r w:rsidRPr="000665B0">
              <w:rPr>
                <w:rFonts w:ascii="Times New Roman" w:hAnsi="Times New Roman"/>
                <w:sz w:val="20"/>
                <w:szCs w:val="20"/>
              </w:rPr>
              <w:t xml:space="preserve">context menu in the Reroute (bottom) list view in the </w:t>
            </w:r>
            <w:r w:rsidRPr="000665B0">
              <w:rPr>
                <w:rFonts w:ascii="Times New Roman" w:hAnsi="Times New Roman"/>
                <w:b/>
                <w:i/>
                <w:sz w:val="20"/>
                <w:szCs w:val="20"/>
              </w:rPr>
              <w:t>Reroute</w:t>
            </w:r>
            <w:r w:rsidRPr="000665B0">
              <w:rPr>
                <w:rFonts w:ascii="Times New Roman" w:hAnsi="Times New Roman"/>
                <w:sz w:val="20"/>
                <w:szCs w:val="20"/>
              </w:rPr>
              <w:t xml:space="preserve"> tab.</w:t>
            </w:r>
          </w:p>
          <w:p w14:paraId="726A47B6" w14:textId="383D5D53" w:rsidR="00C1621C" w:rsidRPr="000665B0" w:rsidRDefault="00C1621C" w:rsidP="006D5A65">
            <w:pPr>
              <w:pStyle w:val="Heading1"/>
            </w:pPr>
            <w:r w:rsidRPr="000665B0">
              <w:t xml:space="preserve">On the </w:t>
            </w:r>
            <w:r w:rsidRPr="000665B0">
              <w:rPr>
                <w:i/>
              </w:rPr>
              <w:t>Reroute</w:t>
            </w:r>
            <w:r w:rsidRPr="000665B0">
              <w:t xml:space="preserve"> tab’s top list view (Flex candidates), </w:t>
            </w:r>
            <w:r w:rsidR="00D71804" w:rsidRPr="000665B0">
              <w:t>right-click</w:t>
            </w:r>
            <w:r w:rsidRPr="000665B0">
              <w:t xml:space="preserve"> on the desired missile to flex and select Flex Missile </w:t>
            </w:r>
            <w:r w:rsidRPr="000665B0">
              <w:sym w:font="Wingdings" w:char="F0E0"/>
            </w:r>
            <w:r w:rsidRPr="000665B0">
              <w:t xml:space="preserve"> By a Node or Flex Missile </w:t>
            </w:r>
            <w:r w:rsidRPr="000665B0">
              <w:sym w:font="Wingdings" w:char="F0E0"/>
            </w:r>
            <w:r w:rsidRPr="000665B0">
              <w:t xml:space="preserve"> TTWCS Node. NOTE: If Flex Missile </w:t>
            </w:r>
            <w:r w:rsidRPr="000665B0">
              <w:sym w:font="Wingdings" w:char="F0E0"/>
            </w:r>
            <w:r w:rsidRPr="000665B0">
              <w:t xml:space="preserve"> By a Node is selected, a PPO IMMM window titled </w:t>
            </w:r>
            <w:r w:rsidRPr="000665B0">
              <w:rPr>
                <w:i/>
              </w:rPr>
              <w:t>Pre-Planned Outcome - Local MDS Xmit</w:t>
            </w:r>
            <w:r w:rsidRPr="000665B0">
              <w:t xml:space="preserve"> is displayed. </w:t>
            </w:r>
            <w:r w:rsidRPr="000665B0">
              <w:lastRenderedPageBreak/>
              <w:t>Select a transmission time for this PPO IMMM. The Branch at ID pull</w:t>
            </w:r>
            <w:r w:rsidR="008C751E" w:rsidRPr="000665B0">
              <w:t xml:space="preserve"> </w:t>
            </w:r>
            <w:r w:rsidRPr="000665B0">
              <w:t>down menu only shows one possible Branch ID because the calculator has already determined which specific outcome of the selected missile can go to the desired target.</w:t>
            </w:r>
          </w:p>
          <w:p w14:paraId="724E0C4C" w14:textId="77777777" w:rsidR="00C1621C" w:rsidRPr="000665B0" w:rsidRDefault="00C1621C" w:rsidP="006D5A65">
            <w:pPr>
              <w:pStyle w:val="Heading1"/>
            </w:pPr>
            <w:r w:rsidRPr="000665B0">
              <w:t xml:space="preserve">A context menu is displayed with a list of possible nodes. The possible nodes are the FRU node, also indicated with “(TTWCS)” next to the node name or the node name of the PCs and BCs. Selecting either choice, a </w:t>
            </w:r>
            <w:r w:rsidRPr="000665B0">
              <w:rPr>
                <w:i/>
              </w:rPr>
              <w:t>PPO IMMM</w:t>
            </w:r>
            <w:r w:rsidRPr="000665B0">
              <w:t xml:space="preserve"> window is displayed with a prompt to select the desired Outcome to flex. Selecting a non-TTWCS node means MDS will generate and send the PPO IMMM, while the selection of a TTWCS node means MDS will create a Tactical Change LMO and send the Tactical Change LMO to TTWCS, and TTWCS will then send the actual IMMM.</w:t>
            </w:r>
          </w:p>
          <w:p w14:paraId="373AB120" w14:textId="77777777" w:rsidR="00C1621C" w:rsidRPr="000665B0" w:rsidRDefault="00C1621C" w:rsidP="006D5A65">
            <w:pPr>
              <w:pStyle w:val="Heading1"/>
            </w:pPr>
            <w:r w:rsidRPr="000665B0">
              <w:t>Set the desired Missile Reporting State and click OK to flex.</w:t>
            </w:r>
          </w:p>
          <w:p w14:paraId="61A9F9A8" w14:textId="77777777" w:rsidR="00C1621C" w:rsidRPr="000665B0" w:rsidRDefault="00C1621C" w:rsidP="006D5A65">
            <w:pPr>
              <w:pStyle w:val="Heading1"/>
              <w:rPr>
                <w:bCs/>
              </w:rPr>
            </w:pPr>
            <w:r w:rsidRPr="000665B0">
              <w:t xml:space="preserve">A Planned Pre-Planned Outcome IMMM icon </w:t>
            </w:r>
            <w:r w:rsidRPr="000665B0">
              <w:rPr>
                <w:noProof/>
              </w:rPr>
              <w:drawing>
                <wp:inline distT="0" distB="0" distL="0" distR="0" wp14:anchorId="6B5C221F" wp14:editId="4895E637">
                  <wp:extent cx="180975" cy="152400"/>
                  <wp:effectExtent l="19050" t="0" r="9525"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cstate="print"/>
                          <a:srcRect/>
                          <a:stretch>
                            <a:fillRect/>
                          </a:stretch>
                        </pic:blipFill>
                        <pic:spPr bwMode="auto">
                          <a:xfrm>
                            <a:off x="0" y="0"/>
                            <a:ext cx="180975" cy="152400"/>
                          </a:xfrm>
                          <a:prstGeom prst="rect">
                            <a:avLst/>
                          </a:prstGeom>
                          <a:noFill/>
                          <a:ln w="9525">
                            <a:noFill/>
                            <a:miter lim="800000"/>
                            <a:headEnd/>
                            <a:tailEnd/>
                          </a:ln>
                        </pic:spPr>
                      </pic:pic>
                    </a:graphicData>
                  </a:graphic>
                </wp:inline>
              </w:drawing>
            </w:r>
            <w:r w:rsidRPr="000665B0">
              <w:t xml:space="preserve"> is shown on the SMD Gantt. The Event Log and TSN Messages Log will show the IMMM scheduled/sent. If there is a problem, double check the missile assignment to ensure that this MDS is the </w:t>
            </w:r>
            <w:r w:rsidRPr="000665B0">
              <w:rPr>
                <w:bCs/>
              </w:rPr>
              <w:t xml:space="preserve">Primary MC </w:t>
            </w:r>
            <w:r w:rsidRPr="000665B0">
              <w:t>for the missile.</w:t>
            </w:r>
          </w:p>
          <w:p w14:paraId="50DB847C" w14:textId="77777777" w:rsidR="00C1621C" w:rsidRPr="000665B0" w:rsidRDefault="00C1621C" w:rsidP="006D5A65">
            <w:pPr>
              <w:pStyle w:val="Heading1"/>
              <w:rPr>
                <w:bCs/>
              </w:rPr>
            </w:pPr>
            <w:r w:rsidRPr="000665B0">
              <w:t>Once the IMMM has been sent and TSRT acts upon the IMMM, an IMMM Acked message is received. MDS will also flex the missile when it receives notification from the missile that it has changed outcome.</w:t>
            </w:r>
          </w:p>
        </w:tc>
        <w:tc>
          <w:tcPr>
            <w:tcW w:w="6300" w:type="dxa"/>
          </w:tcPr>
          <w:p w14:paraId="10767CD0" w14:textId="2BE3B1FB" w:rsidR="00C1621C" w:rsidRPr="000665B0" w:rsidRDefault="00C1621C" w:rsidP="00346248">
            <w:pPr>
              <w:spacing w:before="60" w:after="60" w:line="240" w:lineRule="auto"/>
              <w:rPr>
                <w:sz w:val="20"/>
              </w:rPr>
            </w:pPr>
            <w:r w:rsidRPr="000665B0">
              <w:rPr>
                <w:sz w:val="20"/>
              </w:rPr>
              <w:lastRenderedPageBreak/>
              <w:t xml:space="preserve">See </w:t>
            </w:r>
            <w:hyperlink w:anchor="_How_to_Reroute" w:history="1">
              <w:r w:rsidR="00985815" w:rsidRPr="00021321">
                <w:rPr>
                  <w:rStyle w:val="Hyperlink"/>
                  <w:sz w:val="20"/>
                </w:rPr>
                <w:t xml:space="preserve">Section </w:t>
              </w:r>
              <w:r w:rsidR="004231CC">
                <w:rPr>
                  <w:rStyle w:val="Hyperlink"/>
                  <w:sz w:val="20"/>
                </w:rPr>
                <w:t>5.35</w:t>
              </w:r>
              <w:r w:rsidR="00985815" w:rsidRPr="00021321">
                <w:rPr>
                  <w:rStyle w:val="Hyperlink"/>
                  <w:sz w:val="20"/>
                </w:rPr>
                <w:t>.3.1.8</w:t>
              </w:r>
              <w:r w:rsidRPr="00021321">
                <w:rPr>
                  <w:rStyle w:val="Hyperlink"/>
                  <w:sz w:val="20"/>
                </w:rPr>
                <w:t>.1.1</w:t>
              </w:r>
            </w:hyperlink>
            <w:r w:rsidRPr="000665B0">
              <w:rPr>
                <w:sz w:val="20"/>
              </w:rPr>
              <w:t>.</w:t>
            </w:r>
          </w:p>
        </w:tc>
      </w:tr>
      <w:tr w:rsidR="00C1621C" w:rsidRPr="000665B0" w14:paraId="149DA538" w14:textId="77777777" w:rsidTr="0056739E">
        <w:trPr>
          <w:cantSplit/>
        </w:trPr>
        <w:tc>
          <w:tcPr>
            <w:tcW w:w="630" w:type="dxa"/>
          </w:tcPr>
          <w:p w14:paraId="6B51E645" w14:textId="77777777" w:rsidR="00C1621C" w:rsidRPr="000665B0" w:rsidRDefault="00C1621C" w:rsidP="00346248">
            <w:pPr>
              <w:spacing w:before="60" w:after="60" w:line="240" w:lineRule="auto"/>
              <w:jc w:val="center"/>
              <w:rPr>
                <w:sz w:val="20"/>
              </w:rPr>
            </w:pPr>
            <w:r w:rsidRPr="000665B0">
              <w:rPr>
                <w:sz w:val="20"/>
              </w:rPr>
              <w:lastRenderedPageBreak/>
              <w:t>4</w:t>
            </w:r>
          </w:p>
        </w:tc>
        <w:tc>
          <w:tcPr>
            <w:tcW w:w="6750" w:type="dxa"/>
          </w:tcPr>
          <w:p w14:paraId="3FFBE831" w14:textId="315ED38A" w:rsidR="00C1621C" w:rsidRPr="000665B0" w:rsidRDefault="00C1621C" w:rsidP="00346248">
            <w:pPr>
              <w:spacing w:before="60" w:after="60" w:line="240" w:lineRule="auto"/>
              <w:rPr>
                <w:sz w:val="20"/>
              </w:rPr>
            </w:pPr>
            <w:r w:rsidRPr="000665B0">
              <w:rPr>
                <w:sz w:val="20"/>
              </w:rPr>
              <w:t xml:space="preserve">To </w:t>
            </w:r>
            <w:r w:rsidRPr="000665B0">
              <w:rPr>
                <w:bCs/>
                <w:sz w:val="20"/>
              </w:rPr>
              <w:t>Flex</w:t>
            </w:r>
            <w:r w:rsidRPr="000665B0">
              <w:rPr>
                <w:b/>
                <w:bCs/>
                <w:sz w:val="20"/>
              </w:rPr>
              <w:t xml:space="preserve"> </w:t>
            </w:r>
            <w:r w:rsidRPr="000665B0">
              <w:rPr>
                <w:sz w:val="20"/>
              </w:rPr>
              <w:t>Using Tactical Change LMO</w:t>
            </w:r>
            <w:r w:rsidR="003C2E66" w:rsidRPr="000665B0">
              <w:rPr>
                <w:sz w:val="20"/>
              </w:rPr>
              <w:t xml:space="preserve"> (see Note)</w:t>
            </w:r>
          </w:p>
          <w:p w14:paraId="3E0774D8" w14:textId="77777777" w:rsidR="00C1621C" w:rsidRPr="000665B0" w:rsidRDefault="00C1621C" w:rsidP="006D5A65">
            <w:pPr>
              <w:pStyle w:val="Heading1"/>
              <w:rPr>
                <w:bCs/>
              </w:rPr>
            </w:pPr>
            <w:r w:rsidRPr="000665B0">
              <w:t>Repeat steps 3a-3b.</w:t>
            </w:r>
          </w:p>
          <w:p w14:paraId="3F1A6287" w14:textId="0D74076C" w:rsidR="00C1621C" w:rsidRPr="000665B0" w:rsidRDefault="00C1621C" w:rsidP="006D5A65">
            <w:pPr>
              <w:pStyle w:val="Heading1"/>
            </w:pPr>
            <w:r w:rsidRPr="000665B0">
              <w:t xml:space="preserve">On the </w:t>
            </w:r>
            <w:r w:rsidRPr="000665B0">
              <w:rPr>
                <w:i/>
              </w:rPr>
              <w:t>Reroute</w:t>
            </w:r>
            <w:r w:rsidRPr="000665B0">
              <w:t xml:space="preserve"> tab’s top list view (Flex candidates), </w:t>
            </w:r>
            <w:r w:rsidR="00D71804" w:rsidRPr="000665B0">
              <w:t>right-click</w:t>
            </w:r>
            <w:r w:rsidRPr="000665B0">
              <w:t xml:space="preserve"> on the desired missile to flex and select Flex Missile </w:t>
            </w:r>
            <w:r w:rsidRPr="000665B0">
              <w:sym w:font="Wingdings" w:char="F0E0"/>
            </w:r>
            <w:r w:rsidRPr="000665B0">
              <w:t xml:space="preserve"> By MC. A PPO IMMM window titled </w:t>
            </w:r>
            <w:r w:rsidRPr="000665B0">
              <w:rPr>
                <w:i/>
              </w:rPr>
              <w:t>Pre-Planned Outcome - USS XXX [FRU] Xmit</w:t>
            </w:r>
            <w:r w:rsidRPr="000665B0">
              <w:t xml:space="preserve"> is displayed. The Branch at ID pull</w:t>
            </w:r>
            <w:r w:rsidR="008C751E" w:rsidRPr="000665B0">
              <w:t xml:space="preserve"> </w:t>
            </w:r>
            <w:r w:rsidRPr="000665B0">
              <w:t>down menu only shows one possible Branch ID because the calculator has already determined which specific outcome of the selected missile can go to the desired target. The Transmission Time does not matter since the TTWCS FRU is responsible for sending the PPO IMMM. This will only create and send the Tact LMO for the TTWCS FRU.</w:t>
            </w:r>
          </w:p>
          <w:p w14:paraId="7242A9A2" w14:textId="77777777" w:rsidR="00C1621C" w:rsidRPr="000665B0" w:rsidRDefault="00C1621C" w:rsidP="006D5A65">
            <w:pPr>
              <w:pStyle w:val="Heading1"/>
              <w:rPr>
                <w:bCs/>
              </w:rPr>
            </w:pPr>
            <w:r w:rsidRPr="000665B0">
              <w:rPr>
                <w:bCs/>
              </w:rPr>
              <w:t xml:space="preserve">Click OK to send the Tactical Change LMO to the TTWCS FRUs. </w:t>
            </w:r>
            <w:r w:rsidRPr="000665B0">
              <w:t>The Tactical Change LMO is saved on MDS and a Tactical LMO DDO is sent to all the TTWCS FRUs.</w:t>
            </w:r>
          </w:p>
          <w:p w14:paraId="0272AED5" w14:textId="77777777" w:rsidR="00C1621C" w:rsidRPr="000665B0" w:rsidRDefault="00C1621C" w:rsidP="006D5A65">
            <w:pPr>
              <w:pStyle w:val="Heading1"/>
            </w:pPr>
            <w:r w:rsidRPr="000665B0">
              <w:t>The Event Log will show the message Tactical LMO sent from X to Y.</w:t>
            </w:r>
          </w:p>
        </w:tc>
        <w:tc>
          <w:tcPr>
            <w:tcW w:w="6300" w:type="dxa"/>
          </w:tcPr>
          <w:p w14:paraId="04A9C1FA" w14:textId="152FF201" w:rsidR="00C1621C" w:rsidRPr="000665B0" w:rsidRDefault="00C1621C" w:rsidP="00346248">
            <w:pPr>
              <w:spacing w:before="60" w:after="60" w:line="240" w:lineRule="auto"/>
              <w:rPr>
                <w:sz w:val="20"/>
              </w:rPr>
            </w:pPr>
            <w:r w:rsidRPr="000665B0">
              <w:rPr>
                <w:sz w:val="20"/>
              </w:rPr>
              <w:t xml:space="preserve">See </w:t>
            </w:r>
            <w:hyperlink w:anchor="_5.38.3.1.7.1.2_How_to" w:history="1">
              <w:r w:rsidR="00985815" w:rsidRPr="000665B0">
                <w:rPr>
                  <w:rStyle w:val="Hyperlink"/>
                  <w:sz w:val="20"/>
                </w:rPr>
                <w:t xml:space="preserve">Section </w:t>
              </w:r>
              <w:r w:rsidR="004231CC">
                <w:rPr>
                  <w:rStyle w:val="Hyperlink"/>
                  <w:sz w:val="20"/>
                </w:rPr>
                <w:t>5.35</w:t>
              </w:r>
              <w:r w:rsidR="00985815" w:rsidRPr="000665B0">
                <w:rPr>
                  <w:rStyle w:val="Hyperlink"/>
                  <w:sz w:val="20"/>
                </w:rPr>
                <w:t>.3.1.8</w:t>
              </w:r>
              <w:r w:rsidRPr="000665B0">
                <w:rPr>
                  <w:rStyle w:val="Hyperlink"/>
                  <w:sz w:val="20"/>
                </w:rPr>
                <w:t>.1.2</w:t>
              </w:r>
            </w:hyperlink>
            <w:r w:rsidRPr="000665B0">
              <w:rPr>
                <w:sz w:val="20"/>
              </w:rPr>
              <w:t>.</w:t>
            </w:r>
          </w:p>
          <w:p w14:paraId="7F8347D2" w14:textId="77777777" w:rsidR="00C1621C" w:rsidRPr="000665B0" w:rsidRDefault="00C1621C" w:rsidP="00346248">
            <w:pPr>
              <w:spacing w:before="60" w:after="60" w:line="240" w:lineRule="auto"/>
              <w:rPr>
                <w:sz w:val="20"/>
              </w:rPr>
            </w:pPr>
            <w:r w:rsidRPr="000665B0">
              <w:rPr>
                <w:sz w:val="20"/>
              </w:rPr>
              <w:t>A Tactical LMO is created and sent to the TTWCS FRUs instead of MDS sending an IMMM. This means that MDS’ job is done once the Tact LMO is sent.</w:t>
            </w:r>
          </w:p>
          <w:p w14:paraId="6A67365E" w14:textId="77777777" w:rsidR="00C1621C" w:rsidRPr="000665B0" w:rsidRDefault="00C1621C" w:rsidP="00346248">
            <w:pPr>
              <w:spacing w:before="60" w:after="60" w:line="240" w:lineRule="auto"/>
              <w:rPr>
                <w:sz w:val="20"/>
              </w:rPr>
            </w:pPr>
            <w:r w:rsidRPr="000665B0">
              <w:rPr>
                <w:sz w:val="20"/>
              </w:rPr>
              <w:t>Ensuring that proper comms setup is important because the SMD needs all of the FRUs’ correct comms information to send anything. If problems are encountered sending a Tact LMO, double check all FRUs’ comms settings.</w:t>
            </w:r>
          </w:p>
        </w:tc>
      </w:tr>
      <w:tr w:rsidR="00C1621C" w:rsidRPr="000665B0" w14:paraId="0E884FE8" w14:textId="77777777" w:rsidTr="0056739E">
        <w:trPr>
          <w:cantSplit/>
        </w:trPr>
        <w:tc>
          <w:tcPr>
            <w:tcW w:w="630" w:type="dxa"/>
          </w:tcPr>
          <w:p w14:paraId="7ED80C7D" w14:textId="77777777" w:rsidR="00C1621C" w:rsidRPr="000665B0" w:rsidRDefault="00C1621C" w:rsidP="00346248">
            <w:pPr>
              <w:spacing w:before="60" w:after="60" w:line="240" w:lineRule="auto"/>
              <w:jc w:val="center"/>
              <w:rPr>
                <w:sz w:val="20"/>
              </w:rPr>
            </w:pPr>
            <w:r w:rsidRPr="000665B0">
              <w:rPr>
                <w:sz w:val="20"/>
              </w:rPr>
              <w:lastRenderedPageBreak/>
              <w:t>5</w:t>
            </w:r>
          </w:p>
        </w:tc>
        <w:tc>
          <w:tcPr>
            <w:tcW w:w="6750" w:type="dxa"/>
          </w:tcPr>
          <w:p w14:paraId="41640BA0" w14:textId="1DE62F34" w:rsidR="00C1621C" w:rsidRPr="000665B0" w:rsidRDefault="00C1621C" w:rsidP="00346248">
            <w:pPr>
              <w:spacing w:before="60" w:after="60" w:line="240" w:lineRule="auto"/>
              <w:rPr>
                <w:sz w:val="20"/>
              </w:rPr>
            </w:pPr>
            <w:r w:rsidRPr="000665B0">
              <w:rPr>
                <w:sz w:val="20"/>
              </w:rPr>
              <w:t xml:space="preserve">To </w:t>
            </w:r>
            <w:r w:rsidRPr="000665B0">
              <w:rPr>
                <w:bCs/>
                <w:sz w:val="20"/>
              </w:rPr>
              <w:t>Flex</w:t>
            </w:r>
            <w:r w:rsidRPr="000665B0">
              <w:rPr>
                <w:b/>
                <w:bCs/>
                <w:sz w:val="20"/>
              </w:rPr>
              <w:t xml:space="preserve"> </w:t>
            </w:r>
            <w:r w:rsidRPr="000665B0">
              <w:rPr>
                <w:sz w:val="20"/>
              </w:rPr>
              <w:t>Using MDS Direct Aimpoint Update</w:t>
            </w:r>
            <w:r w:rsidR="003C2E66" w:rsidRPr="000665B0">
              <w:rPr>
                <w:sz w:val="20"/>
              </w:rPr>
              <w:t xml:space="preserve"> (see Note)</w:t>
            </w:r>
          </w:p>
          <w:p w14:paraId="361EC87A" w14:textId="31C701A9" w:rsidR="00C1621C" w:rsidRPr="000665B0" w:rsidRDefault="00D71804" w:rsidP="006D5A65">
            <w:pPr>
              <w:pStyle w:val="Heading1"/>
              <w:rPr>
                <w:bCs/>
              </w:rPr>
            </w:pPr>
            <w:r w:rsidRPr="000665B0">
              <w:t>Right-click</w:t>
            </w:r>
            <w:r w:rsidR="00C1621C" w:rsidRPr="000665B0">
              <w:t xml:space="preserve"> on the desired missile in the Gantt Chart and select Send Aimpoint Update IMMM.</w:t>
            </w:r>
          </w:p>
          <w:p w14:paraId="55FDB182" w14:textId="77777777" w:rsidR="00C1621C" w:rsidRPr="000665B0" w:rsidRDefault="00C1621C" w:rsidP="006D5A65">
            <w:pPr>
              <w:pStyle w:val="Heading1"/>
              <w:rPr>
                <w:bCs/>
              </w:rPr>
            </w:pPr>
            <w:r w:rsidRPr="000665B0">
              <w:t xml:space="preserve">The </w:t>
            </w:r>
            <w:r w:rsidRPr="000665B0">
              <w:rPr>
                <w:i/>
              </w:rPr>
              <w:t>Aimpoint Update IMMM</w:t>
            </w:r>
            <w:r w:rsidRPr="000665B0">
              <w:t xml:space="preserve"> window is displayed.</w:t>
            </w:r>
          </w:p>
          <w:p w14:paraId="008FA31E" w14:textId="77777777" w:rsidR="00C1621C" w:rsidRPr="000665B0" w:rsidRDefault="00C1621C" w:rsidP="006D5A65">
            <w:pPr>
              <w:pStyle w:val="Heading1"/>
              <w:rPr>
                <w:bCs/>
              </w:rPr>
            </w:pPr>
            <w:r w:rsidRPr="000665B0">
              <w:t>Enter the target data and the desired Transmission Time. The IMMM can be scheduled by entering a future time.</w:t>
            </w:r>
          </w:p>
          <w:p w14:paraId="2171760A" w14:textId="77777777" w:rsidR="00C1621C" w:rsidRPr="000665B0" w:rsidRDefault="00C1621C" w:rsidP="006D5A65">
            <w:pPr>
              <w:pStyle w:val="Heading1"/>
              <w:rPr>
                <w:bCs/>
              </w:rPr>
            </w:pPr>
            <w:r w:rsidRPr="000665B0">
              <w:t xml:space="preserve">Click the </w:t>
            </w:r>
            <w:r w:rsidRPr="000665B0">
              <w:rPr>
                <w:bCs/>
              </w:rPr>
              <w:t xml:space="preserve">Refresh </w:t>
            </w:r>
            <w:r w:rsidRPr="000665B0">
              <w:t>button in the Route Validation Data to determine whether the missile can reach the desired target. Refresh will validate the new target to see if the missile can reach it. The Route Validate Data fields will be populated. If desired, click Refresh again to perform the check again.</w:t>
            </w:r>
          </w:p>
          <w:p w14:paraId="18CA23B2" w14:textId="77777777" w:rsidR="00C1621C" w:rsidRPr="000665B0" w:rsidRDefault="00C1621C" w:rsidP="006D5A65">
            <w:pPr>
              <w:pStyle w:val="Heading1"/>
            </w:pPr>
            <w:r w:rsidRPr="000665B0">
              <w:t xml:space="preserve">Click OK to send/schedule the IMMM. </w:t>
            </w:r>
          </w:p>
          <w:p w14:paraId="1DC81C46" w14:textId="77777777" w:rsidR="00C1621C" w:rsidRPr="000665B0" w:rsidRDefault="00C1621C" w:rsidP="006D5A65">
            <w:pPr>
              <w:pStyle w:val="Heading1"/>
              <w:rPr>
                <w:bCs/>
              </w:rPr>
            </w:pPr>
            <w:r w:rsidRPr="000665B0">
              <w:t xml:space="preserve">A Planned Aimpoint Update IMMM Message icon </w:t>
            </w:r>
            <w:r w:rsidRPr="000665B0">
              <w:rPr>
                <w:noProof/>
              </w:rPr>
              <w:drawing>
                <wp:inline distT="0" distB="0" distL="0" distR="0" wp14:anchorId="39AD95A3" wp14:editId="535256E5">
                  <wp:extent cx="171450" cy="171450"/>
                  <wp:effectExtent l="19050" t="0" r="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0665B0">
              <w:t xml:space="preserve"> is shown on the SMD Gantt. The SMD will be updated when TSRT AUs the missile and MDS receives the entire IMMM message.</w:t>
            </w:r>
          </w:p>
          <w:p w14:paraId="20F178E5" w14:textId="77777777" w:rsidR="00C1621C" w:rsidRPr="000665B0" w:rsidRDefault="00C1621C" w:rsidP="006D5A65">
            <w:pPr>
              <w:pStyle w:val="Heading1"/>
              <w:rPr>
                <w:bCs/>
              </w:rPr>
            </w:pPr>
            <w:r w:rsidRPr="000665B0">
              <w:t>Once the SMD receives indication of AU, it will show the AU as Outcome 16.</w:t>
            </w:r>
          </w:p>
          <w:p w14:paraId="6AB7A1A6" w14:textId="77777777" w:rsidR="00C1621C" w:rsidRPr="000665B0" w:rsidRDefault="00C1621C" w:rsidP="006D5A65">
            <w:pPr>
              <w:pStyle w:val="Heading1"/>
              <w:rPr>
                <w:bCs/>
              </w:rPr>
            </w:pPr>
            <w:r w:rsidRPr="000665B0">
              <w:t>For AU, the SMD will show the missile flying a straight line from the branch Action Point (AP) that the missile AUed.</w:t>
            </w:r>
          </w:p>
        </w:tc>
        <w:tc>
          <w:tcPr>
            <w:tcW w:w="6300" w:type="dxa"/>
          </w:tcPr>
          <w:p w14:paraId="50F32CA5" w14:textId="714253E6" w:rsidR="00C1621C" w:rsidRDefault="00C1621C" w:rsidP="00346248">
            <w:pPr>
              <w:spacing w:before="60" w:after="60" w:line="240" w:lineRule="auto"/>
              <w:rPr>
                <w:sz w:val="20"/>
              </w:rPr>
            </w:pPr>
            <w:r w:rsidRPr="000665B0">
              <w:rPr>
                <w:sz w:val="20"/>
              </w:rPr>
              <w:t xml:space="preserve">See </w:t>
            </w:r>
            <w:hyperlink w:anchor="_5.38.3.1.7.1.2_How_to" w:history="1">
              <w:r w:rsidR="00985815" w:rsidRPr="000665B0">
                <w:rPr>
                  <w:rStyle w:val="Hyperlink"/>
                  <w:sz w:val="20"/>
                </w:rPr>
                <w:t xml:space="preserve">Section </w:t>
              </w:r>
              <w:r w:rsidR="004231CC">
                <w:rPr>
                  <w:rStyle w:val="Hyperlink"/>
                  <w:sz w:val="20"/>
                </w:rPr>
                <w:t>5.35</w:t>
              </w:r>
              <w:r w:rsidR="00985815" w:rsidRPr="000665B0">
                <w:rPr>
                  <w:rStyle w:val="Hyperlink"/>
                  <w:sz w:val="20"/>
                </w:rPr>
                <w:t>.3.1.8</w:t>
              </w:r>
              <w:r w:rsidR="006C38AC" w:rsidRPr="000665B0">
                <w:rPr>
                  <w:rStyle w:val="Hyperlink"/>
                  <w:sz w:val="20"/>
                </w:rPr>
                <w:t>.1.2</w:t>
              </w:r>
            </w:hyperlink>
            <w:r w:rsidRPr="000665B0">
              <w:rPr>
                <w:sz w:val="20"/>
              </w:rPr>
              <w:t>.</w:t>
            </w:r>
          </w:p>
          <w:p w14:paraId="747A4F6E" w14:textId="77777777" w:rsidR="00A0151F" w:rsidRDefault="00A0151F" w:rsidP="00346248">
            <w:pPr>
              <w:spacing w:before="60" w:after="60" w:line="240" w:lineRule="auto"/>
              <w:rPr>
                <w:sz w:val="20"/>
              </w:rPr>
            </w:pPr>
          </w:p>
          <w:p w14:paraId="21C14532" w14:textId="13463037" w:rsidR="00A0151F" w:rsidRPr="000665B0" w:rsidRDefault="00A0151F" w:rsidP="00346248">
            <w:pPr>
              <w:spacing w:before="60" w:after="60" w:line="240" w:lineRule="auto"/>
              <w:rPr>
                <w:sz w:val="20"/>
              </w:rPr>
            </w:pPr>
            <w:r w:rsidRPr="00F563B3">
              <w:rPr>
                <w:b/>
                <w:bCs/>
                <w:sz w:val="20"/>
              </w:rPr>
              <w:t>Note:</w:t>
            </w:r>
            <w:r w:rsidRPr="005D15F8">
              <w:rPr>
                <w:sz w:val="20"/>
              </w:rPr>
              <w:t xml:space="preserve"> The calculations for the estimated TOT of a retarget may have a variation of up to </w:t>
            </w:r>
            <w:r>
              <w:rPr>
                <w:sz w:val="20"/>
              </w:rPr>
              <w:t>2</w:t>
            </w:r>
            <w:r w:rsidRPr="005D15F8">
              <w:rPr>
                <w:sz w:val="20"/>
              </w:rPr>
              <w:t xml:space="preserve"> minutes between TTWCS and SMD. This will cause the simulated missile position on the SMD to be out of sync with what TTWCS has calculated when the missile is on the new route for the retarget.</w:t>
            </w:r>
          </w:p>
        </w:tc>
      </w:tr>
    </w:tbl>
    <w:p w14:paraId="1E6E285D" w14:textId="02D7C249" w:rsidR="00C1621C" w:rsidRPr="000665B0" w:rsidRDefault="00C1621C" w:rsidP="0056739E">
      <w:pPr>
        <w:pStyle w:val="Appendix2"/>
        <w:pageBreakBefore/>
      </w:pPr>
      <w:bookmarkStart w:id="8079" w:name="_Q-6__CASE_1"/>
      <w:bookmarkStart w:id="8080" w:name="_Toc214283731"/>
      <w:bookmarkEnd w:id="8079"/>
      <w:r w:rsidRPr="000665B0">
        <w:lastRenderedPageBreak/>
        <w:t>CASE F: STRIKE REHEARSAL WITH RETARGET AND AIMPOINT UPDATE USING TPS</w:t>
      </w:r>
      <w:bookmarkEnd w:id="8080"/>
    </w:p>
    <w:tbl>
      <w:tblPr>
        <w:tblW w:w="137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14"/>
      </w:tblGrid>
      <w:tr w:rsidR="00C1621C" w:rsidRPr="000665B0" w14:paraId="77D61CB1" w14:textId="77777777" w:rsidTr="00935A52">
        <w:trPr>
          <w:cantSplit/>
        </w:trPr>
        <w:tc>
          <w:tcPr>
            <w:tcW w:w="13714" w:type="dxa"/>
            <w:shd w:val="clear" w:color="auto" w:fill="D9D9D9" w:themeFill="background1" w:themeFillShade="D9"/>
          </w:tcPr>
          <w:p w14:paraId="030F2A4A" w14:textId="77777777" w:rsidR="00C1621C" w:rsidRPr="000665B0" w:rsidRDefault="00C1621C" w:rsidP="005A42A5">
            <w:pPr>
              <w:keepNext/>
              <w:spacing w:before="60" w:after="60" w:line="240" w:lineRule="auto"/>
              <w:rPr>
                <w:b/>
                <w:bCs/>
                <w:sz w:val="20"/>
              </w:rPr>
            </w:pPr>
            <w:r w:rsidRPr="000665B0">
              <w:rPr>
                <w:b/>
                <w:bCs/>
                <w:sz w:val="20"/>
              </w:rPr>
              <w:t>Objective</w:t>
            </w:r>
          </w:p>
        </w:tc>
      </w:tr>
      <w:tr w:rsidR="00C1621C" w:rsidRPr="000665B0" w14:paraId="609E7059" w14:textId="77777777" w:rsidTr="00346248">
        <w:trPr>
          <w:cantSplit/>
        </w:trPr>
        <w:tc>
          <w:tcPr>
            <w:tcW w:w="13714" w:type="dxa"/>
          </w:tcPr>
          <w:p w14:paraId="6C179AE7" w14:textId="77777777" w:rsidR="00C1621C" w:rsidRPr="000665B0" w:rsidRDefault="00C1621C" w:rsidP="005A42A5">
            <w:pPr>
              <w:keepNext/>
              <w:spacing w:before="60" w:after="60" w:line="240" w:lineRule="auto"/>
              <w:rPr>
                <w:sz w:val="20"/>
              </w:rPr>
            </w:pPr>
            <w:r w:rsidRPr="000665B0">
              <w:rPr>
                <w:sz w:val="20"/>
              </w:rPr>
              <w:t>The objective of this case is to exercise retarget and aimpoint update using TPS.</w:t>
            </w:r>
          </w:p>
        </w:tc>
      </w:tr>
      <w:tr w:rsidR="00C1621C" w:rsidRPr="000665B0" w14:paraId="403F1672" w14:textId="77777777" w:rsidTr="00935A52">
        <w:trPr>
          <w:cantSplit/>
        </w:trPr>
        <w:tc>
          <w:tcPr>
            <w:tcW w:w="13714" w:type="dxa"/>
            <w:shd w:val="clear" w:color="auto" w:fill="D9D9D9" w:themeFill="background1" w:themeFillShade="D9"/>
            <w:noWrap/>
          </w:tcPr>
          <w:p w14:paraId="3948FDD8" w14:textId="77777777" w:rsidR="00C1621C" w:rsidRPr="000665B0" w:rsidRDefault="00C1621C" w:rsidP="005A42A5">
            <w:pPr>
              <w:keepNext/>
              <w:spacing w:before="60" w:after="60" w:line="240" w:lineRule="auto"/>
              <w:rPr>
                <w:b/>
                <w:bCs/>
                <w:sz w:val="20"/>
              </w:rPr>
            </w:pPr>
            <w:r w:rsidRPr="000665B0">
              <w:rPr>
                <w:b/>
                <w:bCs/>
                <w:sz w:val="20"/>
              </w:rPr>
              <w:t xml:space="preserve">Prerequisites </w:t>
            </w:r>
          </w:p>
        </w:tc>
      </w:tr>
      <w:tr w:rsidR="00C1621C" w:rsidRPr="000665B0" w14:paraId="520C0CC1" w14:textId="77777777" w:rsidTr="00346248">
        <w:trPr>
          <w:cantSplit/>
        </w:trPr>
        <w:tc>
          <w:tcPr>
            <w:tcW w:w="13714" w:type="dxa"/>
          </w:tcPr>
          <w:p w14:paraId="4F4CD81F" w14:textId="77777777" w:rsidR="00C1621C" w:rsidRPr="000665B0" w:rsidRDefault="00C1621C" w:rsidP="005A42A5">
            <w:pPr>
              <w:keepNext/>
              <w:spacing w:before="60" w:after="60" w:line="240" w:lineRule="auto"/>
              <w:rPr>
                <w:sz w:val="20"/>
              </w:rPr>
            </w:pPr>
            <w:r w:rsidRPr="000665B0">
              <w:rPr>
                <w:sz w:val="20"/>
              </w:rPr>
              <w:t>1. Ensure that the Pre</w:t>
            </w:r>
            <w:r w:rsidRPr="000665B0">
              <w:rPr>
                <w:bCs/>
                <w:sz w:val="20"/>
              </w:rPr>
              <w:t>requisites</w:t>
            </w:r>
            <w:r w:rsidRPr="000665B0">
              <w:rPr>
                <w:b/>
                <w:bCs/>
                <w:sz w:val="20"/>
              </w:rPr>
              <w:t xml:space="preserve"> </w:t>
            </w:r>
            <w:r w:rsidRPr="000665B0">
              <w:rPr>
                <w:sz w:val="20"/>
              </w:rPr>
              <w:t xml:space="preserve">from </w:t>
            </w:r>
            <w:r w:rsidRPr="000665B0">
              <w:rPr>
                <w:bCs/>
                <w:sz w:val="20"/>
              </w:rPr>
              <w:t>Case A have been met</w:t>
            </w:r>
            <w:r w:rsidRPr="000665B0">
              <w:rPr>
                <w:sz w:val="20"/>
              </w:rPr>
              <w:t>.</w:t>
            </w:r>
          </w:p>
        </w:tc>
      </w:tr>
    </w:tbl>
    <w:p w14:paraId="33522CBE" w14:textId="77777777" w:rsidR="00C1621C" w:rsidRPr="000665B0" w:rsidRDefault="00C1621C" w:rsidP="005A42A5">
      <w:pPr>
        <w:keepNext/>
      </w:pPr>
    </w:p>
    <w:tbl>
      <w:tblPr>
        <w:tblW w:w="135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
        <w:gridCol w:w="7380"/>
        <w:gridCol w:w="5580"/>
      </w:tblGrid>
      <w:tr w:rsidR="00C1621C" w:rsidRPr="000665B0" w14:paraId="650737E8" w14:textId="77777777" w:rsidTr="0056739E">
        <w:trPr>
          <w:cantSplit/>
          <w:tblHeader/>
        </w:trPr>
        <w:tc>
          <w:tcPr>
            <w:tcW w:w="630" w:type="dxa"/>
            <w:shd w:val="clear" w:color="auto" w:fill="D9D9D9" w:themeFill="background1" w:themeFillShade="D9"/>
          </w:tcPr>
          <w:p w14:paraId="728B4CB0" w14:textId="77777777" w:rsidR="00C1621C" w:rsidRPr="000665B0" w:rsidRDefault="00C1621C" w:rsidP="0056739E">
            <w:pPr>
              <w:spacing w:before="60" w:after="60" w:line="240" w:lineRule="auto"/>
              <w:jc w:val="center"/>
              <w:rPr>
                <w:b/>
                <w:bCs/>
                <w:sz w:val="20"/>
              </w:rPr>
            </w:pPr>
            <w:r w:rsidRPr="000665B0">
              <w:rPr>
                <w:b/>
                <w:bCs/>
                <w:sz w:val="20"/>
              </w:rPr>
              <w:t>Step</w:t>
            </w:r>
          </w:p>
        </w:tc>
        <w:tc>
          <w:tcPr>
            <w:tcW w:w="7380" w:type="dxa"/>
            <w:shd w:val="clear" w:color="auto" w:fill="D9D9D9" w:themeFill="background1" w:themeFillShade="D9"/>
          </w:tcPr>
          <w:p w14:paraId="6509E9B5" w14:textId="77777777" w:rsidR="00C1621C" w:rsidRPr="000665B0" w:rsidRDefault="00C1621C" w:rsidP="00346248">
            <w:pPr>
              <w:spacing w:before="60" w:after="60" w:line="240" w:lineRule="auto"/>
              <w:jc w:val="center"/>
              <w:rPr>
                <w:b/>
                <w:bCs/>
                <w:sz w:val="20"/>
              </w:rPr>
            </w:pPr>
            <w:r w:rsidRPr="000665B0">
              <w:rPr>
                <w:b/>
                <w:bCs/>
                <w:sz w:val="20"/>
              </w:rPr>
              <w:t>Operator Action</w:t>
            </w:r>
          </w:p>
        </w:tc>
        <w:tc>
          <w:tcPr>
            <w:tcW w:w="5580" w:type="dxa"/>
            <w:shd w:val="clear" w:color="auto" w:fill="D9D9D9" w:themeFill="background1" w:themeFillShade="D9"/>
          </w:tcPr>
          <w:p w14:paraId="4857A2A4" w14:textId="77777777" w:rsidR="00C1621C" w:rsidRPr="000665B0" w:rsidRDefault="00C1621C" w:rsidP="00346248">
            <w:pPr>
              <w:spacing w:before="60" w:after="60" w:line="240" w:lineRule="auto"/>
              <w:jc w:val="center"/>
              <w:rPr>
                <w:b/>
                <w:bCs/>
                <w:sz w:val="20"/>
              </w:rPr>
            </w:pPr>
            <w:r w:rsidRPr="000665B0">
              <w:rPr>
                <w:b/>
                <w:bCs/>
                <w:sz w:val="20"/>
              </w:rPr>
              <w:t>Notes/Comments</w:t>
            </w:r>
          </w:p>
        </w:tc>
      </w:tr>
      <w:tr w:rsidR="00C1621C" w:rsidRPr="000665B0" w14:paraId="4B326583" w14:textId="77777777" w:rsidTr="0056739E">
        <w:trPr>
          <w:cantSplit/>
        </w:trPr>
        <w:tc>
          <w:tcPr>
            <w:tcW w:w="630" w:type="dxa"/>
          </w:tcPr>
          <w:p w14:paraId="60F8A050" w14:textId="77777777" w:rsidR="00C1621C" w:rsidRPr="000665B0" w:rsidRDefault="00C1621C" w:rsidP="00346248">
            <w:pPr>
              <w:spacing w:before="60" w:after="60" w:line="240" w:lineRule="auto"/>
              <w:jc w:val="center"/>
              <w:rPr>
                <w:sz w:val="20"/>
              </w:rPr>
            </w:pPr>
            <w:r w:rsidRPr="000665B0">
              <w:rPr>
                <w:sz w:val="20"/>
              </w:rPr>
              <w:t>1</w:t>
            </w:r>
          </w:p>
        </w:tc>
        <w:tc>
          <w:tcPr>
            <w:tcW w:w="7380" w:type="dxa"/>
          </w:tcPr>
          <w:p w14:paraId="3D2AFF85" w14:textId="77777777" w:rsidR="00C1621C" w:rsidRPr="000665B0" w:rsidRDefault="00C1621C" w:rsidP="00346248">
            <w:pPr>
              <w:spacing w:before="60" w:after="60" w:line="240" w:lineRule="auto"/>
              <w:rPr>
                <w:sz w:val="20"/>
              </w:rPr>
            </w:pPr>
            <w:r w:rsidRPr="000665B0">
              <w:rPr>
                <w:sz w:val="20"/>
              </w:rPr>
              <w:t>This Case Retargets Missiles That Have Already Launched. There Are Several Ways to Flex a Missile.</w:t>
            </w:r>
          </w:p>
          <w:p w14:paraId="35995EB8" w14:textId="77777777" w:rsidR="00C1621C" w:rsidRPr="000665B0" w:rsidRDefault="00C1621C" w:rsidP="006D5A65">
            <w:pPr>
              <w:pStyle w:val="Heading1"/>
            </w:pPr>
            <w:r w:rsidRPr="000665B0">
              <w:t>Perform Steps 1-8 from Case A.</w:t>
            </w:r>
          </w:p>
          <w:p w14:paraId="57D384AC" w14:textId="56C89D1B" w:rsidR="00C1621C" w:rsidRPr="000665B0" w:rsidRDefault="00C1621C" w:rsidP="006D5A65">
            <w:pPr>
              <w:pStyle w:val="Heading1"/>
            </w:pPr>
            <w:r w:rsidRPr="000665B0">
              <w:t xml:space="preserve">TSRT should be in </w:t>
            </w:r>
            <w:r w:rsidR="00974F53" w:rsidRPr="000665B0">
              <w:t xml:space="preserve">Run </w:t>
            </w:r>
            <w:r w:rsidRPr="000665B0">
              <w:t xml:space="preserve">mode. Recommend running TSRT in </w:t>
            </w:r>
            <w:r w:rsidR="00D15907">
              <w:t>35</w:t>
            </w:r>
            <w:r w:rsidR="00D15907" w:rsidRPr="000665B0">
              <w:t xml:space="preserve">X </w:t>
            </w:r>
            <w:r w:rsidRPr="000665B0">
              <w:t xml:space="preserve">speed </w:t>
            </w:r>
            <w:r w:rsidR="003D782D">
              <w:t xml:space="preserve">(See </w:t>
            </w:r>
            <w:hyperlink w:anchor="Section_5_39_2_Tip" w:history="1">
              <w:r w:rsidR="005971F3" w:rsidRPr="005971F3">
                <w:rPr>
                  <w:rStyle w:val="Hyperlink"/>
                  <w:rFonts w:ascii="Times New Roman" w:hAnsi="Times New Roman"/>
                  <w:bCs/>
                  <w:sz w:val="20"/>
                </w:rPr>
                <w:t xml:space="preserve">Tip in Section </w:t>
              </w:r>
              <w:r w:rsidR="004231CC">
                <w:rPr>
                  <w:rStyle w:val="Hyperlink"/>
                  <w:rFonts w:ascii="Times New Roman" w:hAnsi="Times New Roman"/>
                  <w:bCs/>
                  <w:sz w:val="20"/>
                </w:rPr>
                <w:t>5.37</w:t>
              </w:r>
              <w:r w:rsidR="005971F3" w:rsidRPr="005971F3">
                <w:rPr>
                  <w:rStyle w:val="Hyperlink"/>
                  <w:rFonts w:ascii="Times New Roman" w:hAnsi="Times New Roman"/>
                  <w:bCs/>
                  <w:sz w:val="20"/>
                </w:rPr>
                <w:t>.2</w:t>
              </w:r>
            </w:hyperlink>
            <w:r w:rsidR="003D782D">
              <w:t>)</w:t>
            </w:r>
            <w:r w:rsidR="003D782D" w:rsidRPr="000665B0">
              <w:t xml:space="preserve"> </w:t>
            </w:r>
            <w:r w:rsidRPr="000665B0">
              <w:t xml:space="preserve">until approximately 15 minutes prior to the first </w:t>
            </w:r>
            <w:r w:rsidR="00A92702" w:rsidRPr="000665B0">
              <w:t>TOL.</w:t>
            </w:r>
            <w:r w:rsidRPr="000665B0" w:rsidDel="00282A0D">
              <w:t xml:space="preserve"> </w:t>
            </w:r>
          </w:p>
          <w:p w14:paraId="68958D6E" w14:textId="77777777" w:rsidR="00C1621C" w:rsidRPr="000665B0" w:rsidRDefault="00C1621C" w:rsidP="006D5A65">
            <w:pPr>
              <w:pStyle w:val="Heading1"/>
            </w:pPr>
            <w:r w:rsidRPr="000665B0">
              <w:t>Approximately 15 minutes before the first TOL, slow down the TSRT speed to 1X.</w:t>
            </w:r>
          </w:p>
          <w:p w14:paraId="4C5F91B9" w14:textId="53DB91AD" w:rsidR="00C1621C" w:rsidRPr="000665B0" w:rsidRDefault="00C1621C" w:rsidP="006D5A65">
            <w:pPr>
              <w:pStyle w:val="Heading1"/>
              <w:rPr>
                <w:bCs/>
              </w:rPr>
            </w:pPr>
            <w:r w:rsidRPr="000665B0">
              <w:rPr>
                <w:bCs/>
              </w:rPr>
              <w:t xml:space="preserve">Wait until SPEOs, OWRs, and LERs are received. </w:t>
            </w:r>
            <w:r w:rsidRPr="000665B0">
              <w:t xml:space="preserve">SPEOs, OWRs, and LERs should have been previously processed. See </w:t>
            </w:r>
            <w:hyperlink w:anchor="_Q-1__CASE" w:history="1">
              <w:r w:rsidRPr="000665B0">
                <w:rPr>
                  <w:rStyle w:val="Hyperlink"/>
                  <w:rFonts w:ascii="Times New Roman" w:hAnsi="Times New Roman"/>
                  <w:sz w:val="20"/>
                </w:rPr>
                <w:t>Case A</w:t>
              </w:r>
            </w:hyperlink>
            <w:r w:rsidRPr="000665B0">
              <w:t xml:space="preserve"> regarding how to view those messages in the SMD.</w:t>
            </w:r>
          </w:p>
          <w:p w14:paraId="09663B1B" w14:textId="71A8B37C" w:rsidR="00C1621C" w:rsidRPr="000665B0" w:rsidRDefault="00C1621C" w:rsidP="006D5A65">
            <w:pPr>
              <w:pStyle w:val="Heading1"/>
            </w:pPr>
            <w:r w:rsidRPr="000665B0">
              <w:t xml:space="preserve">Wait until all 109E missiles are launched and have passed the FPPWP. Only missiles that have launched and have passed the FPPWP can be retargeted. The FPPWP is indicated by the </w:t>
            </w:r>
            <w:r w:rsidR="006258CD" w:rsidRPr="00802180">
              <w:rPr>
                <w:noProof/>
                <w:position w:val="-6"/>
              </w:rPr>
              <w:drawing>
                <wp:inline distT="0" distB="0" distL="0" distR="0" wp14:anchorId="72201CE9" wp14:editId="55020C95">
                  <wp:extent cx="164592" cy="164592"/>
                  <wp:effectExtent l="0" t="0" r="6985" b="6985"/>
                  <wp:docPr id="2129966841" name="Picture 212996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WP.ico"/>
                          <pic:cNvPicPr/>
                        </pic:nvPicPr>
                        <pic:blipFill>
                          <a:blip>
                            <a:extLst>
                              <a:ext uri="{28A0092B-C50C-407E-A947-70E740481C1C}">
                                <a14:useLocalDpi xmlns:a14="http://schemas.microsoft.com/office/drawing/2010/main"/>
                              </a:ext>
                            </a:extLst>
                          </a:blip>
                          <a:stretch>
                            <a:fillRect/>
                          </a:stretch>
                        </pic:blipFill>
                        <pic:spPr>
                          <a:xfrm>
                            <a:off x="0" y="0"/>
                            <a:ext cx="164592" cy="164592"/>
                          </a:xfrm>
                          <a:prstGeom prst="rect">
                            <a:avLst/>
                          </a:prstGeom>
                        </pic:spPr>
                      </pic:pic>
                    </a:graphicData>
                  </a:graphic>
                </wp:inline>
              </w:drawing>
            </w:r>
            <w:r w:rsidRPr="000665B0">
              <w:t xml:space="preserve"> symbol on the SMD Gantt Chart.</w:t>
            </w:r>
          </w:p>
        </w:tc>
        <w:tc>
          <w:tcPr>
            <w:tcW w:w="5580" w:type="dxa"/>
          </w:tcPr>
          <w:p w14:paraId="31F62691" w14:textId="77777777" w:rsidR="00C1621C" w:rsidRPr="000665B0" w:rsidRDefault="00C1621C" w:rsidP="00346248">
            <w:pPr>
              <w:spacing w:before="60" w:after="60" w:line="240" w:lineRule="auto"/>
              <w:rPr>
                <w:sz w:val="20"/>
              </w:rPr>
            </w:pPr>
          </w:p>
        </w:tc>
      </w:tr>
      <w:tr w:rsidR="00C1621C" w:rsidRPr="000665B0" w14:paraId="305FFF03" w14:textId="77777777" w:rsidTr="0056739E">
        <w:tc>
          <w:tcPr>
            <w:tcW w:w="630" w:type="dxa"/>
          </w:tcPr>
          <w:p w14:paraId="676D2E73" w14:textId="77777777" w:rsidR="00C1621C" w:rsidRPr="000665B0" w:rsidRDefault="00C1621C" w:rsidP="00346248">
            <w:pPr>
              <w:spacing w:before="60" w:after="60" w:line="240" w:lineRule="auto"/>
              <w:jc w:val="center"/>
              <w:rPr>
                <w:sz w:val="20"/>
              </w:rPr>
            </w:pPr>
            <w:r w:rsidRPr="000665B0">
              <w:rPr>
                <w:sz w:val="20"/>
              </w:rPr>
              <w:t>2</w:t>
            </w:r>
          </w:p>
        </w:tc>
        <w:tc>
          <w:tcPr>
            <w:tcW w:w="7380" w:type="dxa"/>
          </w:tcPr>
          <w:p w14:paraId="629BE624" w14:textId="5F4937E0" w:rsidR="00C1621C" w:rsidRPr="000665B0" w:rsidRDefault="00C1621C" w:rsidP="006D5A65">
            <w:pPr>
              <w:pStyle w:val="Heading1"/>
              <w:rPr>
                <w:bCs/>
              </w:rPr>
            </w:pPr>
            <w:r w:rsidRPr="000665B0">
              <w:t xml:space="preserve">Navigate to the </w:t>
            </w:r>
            <w:r w:rsidRPr="000665B0">
              <w:rPr>
                <w:i/>
              </w:rPr>
              <w:t>Target</w:t>
            </w:r>
            <w:r w:rsidRPr="000665B0">
              <w:t xml:space="preserve"> tab’s bottom list view on the SMD. Select a target to flex to, </w:t>
            </w:r>
            <w:r w:rsidR="00D71804" w:rsidRPr="000665B0">
              <w:t>right-click</w:t>
            </w:r>
            <w:r w:rsidRPr="000665B0">
              <w:t>, and select Reroute Missile</w:t>
            </w:r>
            <w:r w:rsidR="003C2E66" w:rsidRPr="000665B0">
              <w:t xml:space="preserve"> (see Note)</w:t>
            </w:r>
            <w:r w:rsidRPr="000665B0">
              <w:t>.</w:t>
            </w:r>
          </w:p>
          <w:p w14:paraId="11D8D04B" w14:textId="77777777" w:rsidR="00C1621C" w:rsidRPr="000665B0" w:rsidRDefault="00C1621C" w:rsidP="006D5A65">
            <w:pPr>
              <w:pStyle w:val="Heading1"/>
            </w:pPr>
            <w:r w:rsidRPr="000665B0">
              <w:t xml:space="preserve">The Retarget Calculator displays the </w:t>
            </w:r>
            <w:r w:rsidRPr="000665B0">
              <w:rPr>
                <w:bCs/>
                <w:i/>
              </w:rPr>
              <w:t>Reroute</w:t>
            </w:r>
            <w:r w:rsidRPr="000665B0">
              <w:t xml:space="preserve"> tab which displays all of the candidate missiles that can be used to flex, retarget, or aimpoint update. The </w:t>
            </w:r>
            <w:r w:rsidRPr="000665B0">
              <w:rPr>
                <w:bCs/>
              </w:rPr>
              <w:t>top list view shows the Flex candidates</w:t>
            </w:r>
            <w:r w:rsidRPr="000665B0">
              <w:t xml:space="preserve">. The </w:t>
            </w:r>
            <w:r w:rsidRPr="000665B0">
              <w:rPr>
                <w:bCs/>
              </w:rPr>
              <w:t xml:space="preserve">bottom list view shows the Retarget/Aimpoint Update </w:t>
            </w:r>
            <w:r w:rsidRPr="000665B0">
              <w:t>candidates.</w:t>
            </w:r>
          </w:p>
          <w:p w14:paraId="45BB7F39" w14:textId="4B0CC28D" w:rsidR="00C1621C" w:rsidRPr="000665B0" w:rsidRDefault="00C1621C" w:rsidP="00346248">
            <w:pPr>
              <w:pStyle w:val="ListParagraph"/>
              <w:spacing w:before="60" w:after="60"/>
              <w:rPr>
                <w:rFonts w:ascii="Times New Roman" w:hAnsi="Times New Roman"/>
                <w:sz w:val="20"/>
                <w:szCs w:val="20"/>
              </w:rPr>
            </w:pPr>
            <w:r w:rsidRPr="000665B0">
              <w:rPr>
                <w:rFonts w:ascii="Times New Roman" w:hAnsi="Times New Roman"/>
                <w:sz w:val="20"/>
                <w:szCs w:val="20"/>
              </w:rPr>
              <w:t xml:space="preserve">Depending on which target was selected, there may not be any candidate missiles in the </w:t>
            </w:r>
            <w:r w:rsidRPr="000665B0">
              <w:rPr>
                <w:rFonts w:ascii="Times New Roman" w:hAnsi="Times New Roman"/>
                <w:b/>
                <w:i/>
                <w:sz w:val="20"/>
                <w:szCs w:val="20"/>
              </w:rPr>
              <w:t>Reroute</w:t>
            </w:r>
            <w:r w:rsidRPr="000665B0">
              <w:rPr>
                <w:rFonts w:ascii="Times New Roman" w:hAnsi="Times New Roman"/>
                <w:sz w:val="20"/>
                <w:szCs w:val="20"/>
              </w:rPr>
              <w:t xml:space="preserve"> tab. When that occurs, it means there aren’t any missiles in flight that can be rerouted to the selected target. To see why there are no available candidate missiles for Reroute, </w:t>
            </w:r>
            <w:r w:rsidR="00D71804" w:rsidRPr="000665B0">
              <w:rPr>
                <w:rFonts w:ascii="Times New Roman" w:hAnsi="Times New Roman"/>
                <w:sz w:val="20"/>
                <w:szCs w:val="20"/>
              </w:rPr>
              <w:t>right-click</w:t>
            </w:r>
            <w:r w:rsidRPr="000665B0">
              <w:rPr>
                <w:rFonts w:ascii="Times New Roman" w:hAnsi="Times New Roman"/>
                <w:sz w:val="20"/>
                <w:szCs w:val="20"/>
              </w:rPr>
              <w:t xml:space="preserve"> on the </w:t>
            </w:r>
            <w:r w:rsidRPr="000665B0">
              <w:rPr>
                <w:rFonts w:ascii="Times New Roman" w:hAnsi="Times New Roman"/>
                <w:b/>
                <w:bCs/>
                <w:sz w:val="20"/>
                <w:szCs w:val="20"/>
              </w:rPr>
              <w:t xml:space="preserve">Show Report </w:t>
            </w:r>
            <w:r w:rsidRPr="000665B0">
              <w:rPr>
                <w:rFonts w:ascii="Times New Roman" w:hAnsi="Times New Roman"/>
                <w:sz w:val="20"/>
                <w:szCs w:val="20"/>
              </w:rPr>
              <w:t xml:space="preserve">context menu in the Reroute (bottom) list view in the </w:t>
            </w:r>
            <w:r w:rsidRPr="000665B0">
              <w:rPr>
                <w:rFonts w:ascii="Times New Roman" w:hAnsi="Times New Roman"/>
                <w:b/>
                <w:i/>
                <w:sz w:val="20"/>
                <w:szCs w:val="20"/>
              </w:rPr>
              <w:t>Reroute</w:t>
            </w:r>
            <w:r w:rsidRPr="000665B0">
              <w:rPr>
                <w:rFonts w:ascii="Times New Roman" w:hAnsi="Times New Roman"/>
                <w:sz w:val="20"/>
                <w:szCs w:val="20"/>
              </w:rPr>
              <w:t xml:space="preserve"> tab.</w:t>
            </w:r>
          </w:p>
          <w:p w14:paraId="450C8D77" w14:textId="174F5F57" w:rsidR="00C1621C" w:rsidRPr="000665B0" w:rsidRDefault="00C1621C" w:rsidP="006D5A65">
            <w:pPr>
              <w:pStyle w:val="Heading1"/>
              <w:rPr>
                <w:bCs/>
              </w:rPr>
            </w:pPr>
            <w:r w:rsidRPr="000665B0">
              <w:lastRenderedPageBreak/>
              <w:t xml:space="preserve">On the </w:t>
            </w:r>
            <w:r w:rsidRPr="000665B0">
              <w:rPr>
                <w:bCs/>
                <w:i/>
              </w:rPr>
              <w:t>Reroute</w:t>
            </w:r>
            <w:r w:rsidRPr="000665B0">
              <w:rPr>
                <w:bCs/>
              </w:rPr>
              <w:t xml:space="preserve"> tab’s top list view </w:t>
            </w:r>
            <w:r w:rsidRPr="000665B0">
              <w:t>(</w:t>
            </w:r>
            <w:r w:rsidRPr="000665B0">
              <w:rPr>
                <w:bCs/>
              </w:rPr>
              <w:t>Flex candidates</w:t>
            </w:r>
            <w:r w:rsidRPr="000665B0">
              <w:t xml:space="preserve">), </w:t>
            </w:r>
            <w:r w:rsidR="00D71804" w:rsidRPr="000665B0">
              <w:t>right-click</w:t>
            </w:r>
            <w:r w:rsidRPr="000665B0">
              <w:t xml:space="preserve"> on the desired missile to flex. </w:t>
            </w:r>
            <w:r w:rsidRPr="000665B0">
              <w:rPr>
                <w:bCs/>
              </w:rPr>
              <w:t>A context menu is displayed with a list of MDS node Planning Organization</w:t>
            </w:r>
            <w:r w:rsidRPr="000665B0">
              <w:t xml:space="preserve"> (MDS nodes with PO roles in the Arsenal) and/or the </w:t>
            </w:r>
            <w:r w:rsidRPr="000665B0">
              <w:rPr>
                <w:bCs/>
              </w:rPr>
              <w:t>TTWCS FRUs</w:t>
            </w:r>
            <w:r w:rsidRPr="000665B0">
              <w:t xml:space="preserve"> (if TTWCS IMMM is allowed).</w:t>
            </w:r>
            <w:r w:rsidRPr="000665B0">
              <w:rPr>
                <w:bCs/>
              </w:rPr>
              <w:t xml:space="preserve"> </w:t>
            </w:r>
          </w:p>
          <w:p w14:paraId="0D9BED51" w14:textId="10D76A2B" w:rsidR="00C1621C" w:rsidRPr="000665B0" w:rsidRDefault="00C1621C" w:rsidP="006D5A65">
            <w:pPr>
              <w:pStyle w:val="Heading1"/>
            </w:pPr>
            <w:r w:rsidRPr="000665B0">
              <w:t xml:space="preserve">Select the desired PO node, </w:t>
            </w:r>
            <w:r w:rsidR="00D71804" w:rsidRPr="000665B0">
              <w:t>right-click</w:t>
            </w:r>
            <w:r w:rsidRPr="000665B0">
              <w:t xml:space="preserve"> and select Retarget (see Notes if an Aimpoint Update is desired). A Retarget TMPR is displayed with the selected target’s information already populated.</w:t>
            </w:r>
          </w:p>
          <w:p w14:paraId="31EC0329" w14:textId="77777777" w:rsidR="00C1621C" w:rsidRPr="000665B0" w:rsidRDefault="00C1621C" w:rsidP="006D5A65">
            <w:pPr>
              <w:pStyle w:val="Heading1"/>
              <w:rPr>
                <w:bCs/>
              </w:rPr>
            </w:pPr>
            <w:r w:rsidRPr="000665B0">
              <w:rPr>
                <w:bCs/>
              </w:rPr>
              <w:t xml:space="preserve">Fill out the TMPR. Ensure that the Auto-Generate </w:t>
            </w:r>
            <w:r w:rsidRPr="000665B0">
              <w:t xml:space="preserve">checkbox is selected. By default, the </w:t>
            </w:r>
            <w:r w:rsidRPr="000665B0">
              <w:rPr>
                <w:bCs/>
              </w:rPr>
              <w:t>Earliest Departure Action Point</w:t>
            </w:r>
            <w:r w:rsidRPr="000665B0">
              <w:t xml:space="preserve"> in the </w:t>
            </w:r>
            <w:r w:rsidRPr="000665B0">
              <w:rPr>
                <w:i/>
              </w:rPr>
              <w:t xml:space="preserve">Possible Retarget Departure Region </w:t>
            </w:r>
            <w:r w:rsidRPr="000665B0">
              <w:t>tab is the next earliest action point. It is recommended to change to an action point that is further down to add additional time. By setting the action point farther into the future, TPS will return a Retarget Segment that will have a Branch Action Point that is later, allowing more time for the mission to be planned, returned, and transmitted.</w:t>
            </w:r>
          </w:p>
          <w:p w14:paraId="4642015A" w14:textId="6FFA846B" w:rsidR="00C1621C" w:rsidRPr="000665B0" w:rsidRDefault="00C1621C" w:rsidP="006D5A65">
            <w:pPr>
              <w:pStyle w:val="Heading1"/>
              <w:rPr>
                <w:bCs/>
              </w:rPr>
            </w:pPr>
            <w:r w:rsidRPr="000665B0">
              <w:rPr>
                <w:bCs/>
              </w:rPr>
              <w:t xml:space="preserve">Click OK to save the TMPR. A Retarget Status is created for the pending TMPR on the SMD on the </w:t>
            </w:r>
            <w:r w:rsidRPr="000665B0">
              <w:rPr>
                <w:bCs/>
                <w:i/>
              </w:rPr>
              <w:t>Retarget Status</w:t>
            </w:r>
            <w:r w:rsidRPr="000665B0">
              <w:rPr>
                <w:bCs/>
              </w:rPr>
              <w:t xml:space="preserve"> tab. </w:t>
            </w:r>
            <w:r w:rsidRPr="000665B0">
              <w:t xml:space="preserve">Depending on which PO node (co-located TPS or remote PO) was selected, TPS (Standalone MDS TPS) will work on the TMPR immediately once it has been saved, provided that the Auto-Generate checkbox was selected. The TMPR will also be saved in the TMPR Tool's (co-located TPS) with the state of </w:t>
            </w:r>
            <w:r w:rsidRPr="001F4B14">
              <w:rPr>
                <w:i/>
                <w:iCs/>
              </w:rPr>
              <w:t>In</w:t>
            </w:r>
            <w:r w:rsidR="00352D71">
              <w:rPr>
                <w:i/>
                <w:iCs/>
              </w:rPr>
              <w:t xml:space="preserve"> </w:t>
            </w:r>
            <w:r w:rsidRPr="001F4B14">
              <w:rPr>
                <w:i/>
                <w:iCs/>
              </w:rPr>
              <w:t>Work</w:t>
            </w:r>
            <w:r w:rsidRPr="000665B0">
              <w:t>.</w:t>
            </w:r>
          </w:p>
          <w:p w14:paraId="6D3AC225" w14:textId="77777777" w:rsidR="00C1621C" w:rsidRPr="000665B0" w:rsidRDefault="00C1621C" w:rsidP="006D5A65">
            <w:pPr>
              <w:pStyle w:val="Heading1"/>
              <w:rPr>
                <w:bCs/>
              </w:rPr>
            </w:pPr>
            <w:r w:rsidRPr="000665B0">
              <w:rPr>
                <w:bCs/>
              </w:rPr>
              <w:t xml:space="preserve">Observe the </w:t>
            </w:r>
            <w:r w:rsidRPr="000665B0">
              <w:rPr>
                <w:bCs/>
                <w:i/>
              </w:rPr>
              <w:t>Retarget Status</w:t>
            </w:r>
            <w:r w:rsidRPr="000665B0">
              <w:rPr>
                <w:bCs/>
              </w:rPr>
              <w:t xml:space="preserve"> tab </w:t>
            </w:r>
            <w:r w:rsidRPr="000665B0">
              <w:t>for the TMPR Retarget Status to be in the state of TMPR Complete. When TPS is finished working on the TMPR, it will return a segment back and the Retarget Status on the SMD will change to TMPR Complete with a green icon.</w:t>
            </w:r>
            <w:r w:rsidRPr="000665B0">
              <w:br/>
              <w:t xml:space="preserve">Notice the </w:t>
            </w:r>
            <w:r w:rsidRPr="000665B0">
              <w:rPr>
                <w:bCs/>
              </w:rPr>
              <w:t>Sec to BAP</w:t>
            </w:r>
            <w:r w:rsidRPr="000665B0">
              <w:t xml:space="preserve"> countdown. The retarget/aimpoint update IMMM must be sent before the countdown goes to zero. </w:t>
            </w:r>
          </w:p>
          <w:p w14:paraId="0236E73A" w14:textId="23C43AC7" w:rsidR="00C1621C" w:rsidRPr="000665B0" w:rsidRDefault="00C1621C" w:rsidP="006D5A65">
            <w:pPr>
              <w:pStyle w:val="Heading1"/>
              <w:rPr>
                <w:bCs/>
              </w:rPr>
            </w:pPr>
            <w:r w:rsidRPr="000665B0">
              <w:t xml:space="preserve">If the TMPR Status is Failed, </w:t>
            </w:r>
            <w:r w:rsidR="00D71804" w:rsidRPr="000665B0">
              <w:t>right-click</w:t>
            </w:r>
            <w:r w:rsidRPr="000665B0">
              <w:t xml:space="preserve"> on the Retarget Status list view and select </w:t>
            </w:r>
            <w:r w:rsidRPr="000665B0">
              <w:rPr>
                <w:bCs/>
              </w:rPr>
              <w:t xml:space="preserve">Display </w:t>
            </w:r>
            <w:r w:rsidRPr="000665B0">
              <w:sym w:font="Wingdings" w:char="F0E0"/>
            </w:r>
            <w:r w:rsidRPr="000665B0">
              <w:t xml:space="preserve"> </w:t>
            </w:r>
            <w:r w:rsidRPr="000665B0">
              <w:rPr>
                <w:bCs/>
              </w:rPr>
              <w:t xml:space="preserve">Validation Results. </w:t>
            </w:r>
            <w:r w:rsidRPr="000665B0">
              <w:t xml:space="preserve">A window is displayed with the validation results with information about </w:t>
            </w:r>
            <w:r w:rsidRPr="000665B0">
              <w:lastRenderedPageBreak/>
              <w:t>why the return segment failed if MDS successfully received the segment from TPS.</w:t>
            </w:r>
            <w:r w:rsidRPr="000665B0">
              <w:br/>
              <w:t xml:space="preserve">TPS may also fail to generate a segment for a TMPR or reject a TMPR because of certain parameters. In this case, look at the </w:t>
            </w:r>
            <w:r w:rsidRPr="000665B0">
              <w:rPr>
                <w:i/>
              </w:rPr>
              <w:t>TMPR Status</w:t>
            </w:r>
            <w:r w:rsidRPr="000665B0">
              <w:t xml:space="preserve"> tab in the TMPR's </w:t>
            </w:r>
            <w:r w:rsidRPr="000665B0">
              <w:rPr>
                <w:i/>
              </w:rPr>
              <w:t>Advanced</w:t>
            </w:r>
            <w:r w:rsidRPr="000665B0">
              <w:t xml:space="preserve"> tab for information.</w:t>
            </w:r>
          </w:p>
          <w:p w14:paraId="0F515133" w14:textId="77777777" w:rsidR="00C1621C" w:rsidRPr="000665B0" w:rsidRDefault="00C1621C" w:rsidP="006D5A65">
            <w:pPr>
              <w:pStyle w:val="Heading1"/>
            </w:pPr>
            <w:r w:rsidRPr="000665B0">
              <w:t>(Optional) Select Preview Segment on the Retarget Status list view to preview the route without sending an IMMM to the missile. The SMD displays a preview route of the segment.</w:t>
            </w:r>
          </w:p>
          <w:p w14:paraId="3DA4BCB0" w14:textId="77777777" w:rsidR="00C1621C" w:rsidRPr="000665B0" w:rsidRDefault="00C1621C" w:rsidP="006D5A65">
            <w:pPr>
              <w:pStyle w:val="Heading1"/>
              <w:rPr>
                <w:bCs/>
              </w:rPr>
            </w:pPr>
            <w:r w:rsidRPr="000665B0">
              <w:t xml:space="preserve">Select </w:t>
            </w:r>
            <w:r w:rsidRPr="000665B0">
              <w:rPr>
                <w:bCs/>
              </w:rPr>
              <w:t xml:space="preserve">Send IMMM </w:t>
            </w:r>
            <w:r w:rsidRPr="000665B0">
              <w:t xml:space="preserve">on the Retarget Status list view. An </w:t>
            </w:r>
            <w:r w:rsidRPr="000665B0">
              <w:rPr>
                <w:i/>
              </w:rPr>
              <w:t>IMMM</w:t>
            </w:r>
            <w:r w:rsidRPr="000665B0">
              <w:t xml:space="preserve"> window is displayed showing the IMMM and the new route segment.</w:t>
            </w:r>
          </w:p>
          <w:p w14:paraId="73E78E64" w14:textId="77777777" w:rsidR="00C1621C" w:rsidRPr="000665B0" w:rsidRDefault="00C1621C" w:rsidP="006D5A65">
            <w:pPr>
              <w:pStyle w:val="Heading1"/>
            </w:pPr>
            <w:r w:rsidRPr="000665B0">
              <w:t xml:space="preserve">Click Send on the </w:t>
            </w:r>
            <w:r w:rsidRPr="000665B0">
              <w:rPr>
                <w:i/>
              </w:rPr>
              <w:t>IMMM</w:t>
            </w:r>
            <w:r w:rsidRPr="000665B0">
              <w:t xml:space="preserve"> window. The IMMM is sent and will appear on the Gantt Chart.</w:t>
            </w:r>
          </w:p>
          <w:p w14:paraId="154E8618" w14:textId="77777777" w:rsidR="00C1621C" w:rsidRPr="000665B0" w:rsidRDefault="00C1621C" w:rsidP="006D5A65">
            <w:pPr>
              <w:pStyle w:val="Heading1"/>
            </w:pPr>
            <w:r w:rsidRPr="000665B0">
              <w:t xml:space="preserve">(Optional) Repeat steps d-k for an Aimpoint Update using TPS. </w:t>
            </w:r>
          </w:p>
        </w:tc>
        <w:tc>
          <w:tcPr>
            <w:tcW w:w="5580" w:type="dxa"/>
          </w:tcPr>
          <w:p w14:paraId="007B12A0" w14:textId="5A5515A2" w:rsidR="00C1621C" w:rsidRPr="000665B0" w:rsidRDefault="00C1621C" w:rsidP="00346248">
            <w:pPr>
              <w:spacing w:before="60" w:after="60" w:line="240" w:lineRule="auto"/>
              <w:rPr>
                <w:sz w:val="20"/>
              </w:rPr>
            </w:pPr>
            <w:r w:rsidRPr="000665B0">
              <w:rPr>
                <w:sz w:val="20"/>
              </w:rPr>
              <w:lastRenderedPageBreak/>
              <w:t xml:space="preserve">See </w:t>
            </w:r>
            <w:hyperlink w:anchor="_5.38.3.1.7.1.2_How_to" w:history="1">
              <w:r w:rsidR="00985815" w:rsidRPr="000665B0">
                <w:rPr>
                  <w:rStyle w:val="Hyperlink"/>
                  <w:sz w:val="20"/>
                </w:rPr>
                <w:t xml:space="preserve">Section </w:t>
              </w:r>
              <w:r w:rsidR="004231CC">
                <w:rPr>
                  <w:rStyle w:val="Hyperlink"/>
                  <w:sz w:val="20"/>
                </w:rPr>
                <w:t>5.35</w:t>
              </w:r>
              <w:r w:rsidR="00985815" w:rsidRPr="000665B0">
                <w:rPr>
                  <w:rStyle w:val="Hyperlink"/>
                  <w:sz w:val="20"/>
                </w:rPr>
                <w:t>.3.1.8</w:t>
              </w:r>
              <w:r w:rsidRPr="000665B0">
                <w:rPr>
                  <w:rStyle w:val="Hyperlink"/>
                  <w:sz w:val="20"/>
                </w:rPr>
                <w:t>.1.2</w:t>
              </w:r>
            </w:hyperlink>
            <w:r w:rsidRPr="000665B0">
              <w:rPr>
                <w:sz w:val="20"/>
              </w:rPr>
              <w:t>.</w:t>
            </w:r>
          </w:p>
          <w:p w14:paraId="0C8637AE" w14:textId="06AAEACC" w:rsidR="00C1621C" w:rsidRPr="000665B0" w:rsidRDefault="00C1621C" w:rsidP="00346248">
            <w:pPr>
              <w:spacing w:before="60" w:after="60" w:line="240" w:lineRule="auto"/>
              <w:rPr>
                <w:bCs/>
                <w:sz w:val="20"/>
              </w:rPr>
            </w:pPr>
            <w:r w:rsidRPr="000665B0">
              <w:rPr>
                <w:sz w:val="20"/>
              </w:rPr>
              <w:t xml:space="preserve">For an Aimpoint Update, </w:t>
            </w:r>
            <w:r w:rsidRPr="000665B0">
              <w:rPr>
                <w:bCs/>
                <w:sz w:val="20"/>
              </w:rPr>
              <w:t xml:space="preserve">select the desired PO node, </w:t>
            </w:r>
            <w:r w:rsidR="00D71804" w:rsidRPr="000665B0">
              <w:rPr>
                <w:bCs/>
                <w:sz w:val="20"/>
              </w:rPr>
              <w:t>right-click</w:t>
            </w:r>
            <w:r w:rsidRPr="000665B0">
              <w:rPr>
                <w:bCs/>
                <w:sz w:val="20"/>
              </w:rPr>
              <w:t xml:space="preserve"> and select </w:t>
            </w:r>
            <w:r w:rsidRPr="000665B0">
              <w:rPr>
                <w:b/>
                <w:bCs/>
                <w:sz w:val="20"/>
              </w:rPr>
              <w:t>Aimpoint Update</w:t>
            </w:r>
            <w:r w:rsidRPr="000665B0">
              <w:rPr>
                <w:bCs/>
                <w:sz w:val="20"/>
              </w:rPr>
              <w:t>.</w:t>
            </w:r>
          </w:p>
          <w:p w14:paraId="1412C07E" w14:textId="77777777" w:rsidR="00C1621C" w:rsidRPr="000665B0" w:rsidRDefault="00C1621C" w:rsidP="00346248">
            <w:pPr>
              <w:spacing w:before="60" w:after="60" w:line="240" w:lineRule="auto"/>
              <w:rPr>
                <w:bCs/>
                <w:sz w:val="20"/>
              </w:rPr>
            </w:pPr>
            <w:r w:rsidRPr="000665B0">
              <w:rPr>
                <w:sz w:val="20"/>
              </w:rPr>
              <w:t xml:space="preserve">Select a </w:t>
            </w:r>
            <w:r w:rsidRPr="000665B0">
              <w:rPr>
                <w:bCs/>
                <w:sz w:val="20"/>
              </w:rPr>
              <w:t xml:space="preserve">PO </w:t>
            </w:r>
            <w:r w:rsidRPr="000665B0">
              <w:rPr>
                <w:sz w:val="20"/>
              </w:rPr>
              <w:t xml:space="preserve">node when you want to use </w:t>
            </w:r>
            <w:r w:rsidRPr="000665B0">
              <w:rPr>
                <w:bCs/>
                <w:sz w:val="20"/>
              </w:rPr>
              <w:t>TPS (</w:t>
            </w:r>
            <w:r w:rsidRPr="000665B0">
              <w:rPr>
                <w:sz w:val="20"/>
              </w:rPr>
              <w:t>Standalone MDS</w:t>
            </w:r>
            <w:r w:rsidRPr="000665B0">
              <w:rPr>
                <w:bCs/>
                <w:sz w:val="20"/>
              </w:rPr>
              <w:t xml:space="preserve"> TPS) </w:t>
            </w:r>
            <w:r w:rsidRPr="000665B0">
              <w:rPr>
                <w:sz w:val="20"/>
              </w:rPr>
              <w:t xml:space="preserve">and select a </w:t>
            </w:r>
            <w:r w:rsidRPr="000665B0">
              <w:rPr>
                <w:bCs/>
                <w:sz w:val="20"/>
              </w:rPr>
              <w:t>TTWCS</w:t>
            </w:r>
            <w:r w:rsidRPr="000665B0">
              <w:rPr>
                <w:sz w:val="20"/>
              </w:rPr>
              <w:t xml:space="preserve"> Node for a </w:t>
            </w:r>
            <w:r w:rsidRPr="000665B0">
              <w:rPr>
                <w:bCs/>
                <w:sz w:val="20"/>
              </w:rPr>
              <w:t>Tactical LMO</w:t>
            </w:r>
          </w:p>
          <w:p w14:paraId="2E6F5C2E" w14:textId="77777777" w:rsidR="00C1621C" w:rsidRPr="000665B0" w:rsidRDefault="00C1621C" w:rsidP="00346248">
            <w:pPr>
              <w:spacing w:before="60" w:after="60" w:line="240" w:lineRule="auto"/>
              <w:rPr>
                <w:sz w:val="20"/>
              </w:rPr>
            </w:pPr>
            <w:r w:rsidRPr="000665B0">
              <w:rPr>
                <w:sz w:val="20"/>
              </w:rPr>
              <w:t xml:space="preserve">PO node           </w:t>
            </w:r>
            <w:r w:rsidRPr="000665B0">
              <w:rPr>
                <w:sz w:val="20"/>
              </w:rPr>
              <w:sym w:font="Wingdings" w:char="F0E0"/>
            </w:r>
            <w:r w:rsidRPr="000665B0">
              <w:rPr>
                <w:sz w:val="20"/>
              </w:rPr>
              <w:t xml:space="preserve"> TMPR        </w:t>
            </w:r>
            <w:r w:rsidRPr="000665B0">
              <w:rPr>
                <w:sz w:val="20"/>
              </w:rPr>
              <w:sym w:font="Wingdings" w:char="F0E0"/>
            </w:r>
            <w:r w:rsidRPr="000665B0">
              <w:rPr>
                <w:sz w:val="20"/>
              </w:rPr>
              <w:t xml:space="preserve"> TPS</w:t>
            </w:r>
            <w:r w:rsidRPr="000665B0">
              <w:rPr>
                <w:sz w:val="20"/>
              </w:rPr>
              <w:br/>
              <w:t xml:space="preserve">TTWCS node   </w:t>
            </w:r>
            <w:r w:rsidRPr="000665B0">
              <w:rPr>
                <w:sz w:val="20"/>
              </w:rPr>
              <w:sym w:font="Wingdings" w:char="F0E0"/>
            </w:r>
            <w:r w:rsidRPr="000665B0">
              <w:rPr>
                <w:sz w:val="20"/>
              </w:rPr>
              <w:t xml:space="preserve"> Tact LMO </w:t>
            </w:r>
            <w:r w:rsidRPr="000665B0">
              <w:rPr>
                <w:sz w:val="20"/>
              </w:rPr>
              <w:sym w:font="Wingdings" w:char="F0E0"/>
            </w:r>
            <w:r w:rsidRPr="000665B0">
              <w:rPr>
                <w:sz w:val="20"/>
              </w:rPr>
              <w:t xml:space="preserve"> TTWCS</w:t>
            </w:r>
          </w:p>
          <w:p w14:paraId="382EF396" w14:textId="77777777" w:rsidR="00C1621C" w:rsidRDefault="00C1621C" w:rsidP="00346248">
            <w:pPr>
              <w:spacing w:before="60" w:after="60" w:line="240" w:lineRule="auto"/>
              <w:rPr>
                <w:sz w:val="20"/>
              </w:rPr>
            </w:pPr>
            <w:r w:rsidRPr="000665B0">
              <w:rPr>
                <w:sz w:val="20"/>
              </w:rPr>
              <w:t>The difference between Retarget and Aimpoint Update is that in Retarget, the missile will fly a specific retarget segment route after the BAP to the new target. For Aimpoint Update, the missile will branch from the BAP and fly directly to the new target.</w:t>
            </w:r>
          </w:p>
          <w:p w14:paraId="465D9810" w14:textId="77777777" w:rsidR="00A0151F" w:rsidRDefault="00A0151F" w:rsidP="00346248">
            <w:pPr>
              <w:spacing w:before="60" w:after="60" w:line="240" w:lineRule="auto"/>
              <w:rPr>
                <w:sz w:val="20"/>
              </w:rPr>
            </w:pPr>
          </w:p>
          <w:p w14:paraId="01302DF7" w14:textId="0F9F781B" w:rsidR="00A0151F" w:rsidRPr="000665B0" w:rsidRDefault="00A0151F" w:rsidP="00346248">
            <w:pPr>
              <w:spacing w:before="60" w:after="60" w:line="240" w:lineRule="auto"/>
              <w:rPr>
                <w:sz w:val="20"/>
              </w:rPr>
            </w:pPr>
            <w:r w:rsidRPr="0021310E">
              <w:rPr>
                <w:b/>
                <w:bCs/>
                <w:sz w:val="20"/>
              </w:rPr>
              <w:t>Note:</w:t>
            </w:r>
            <w:r w:rsidRPr="005D15F8">
              <w:rPr>
                <w:sz w:val="20"/>
              </w:rPr>
              <w:t xml:space="preserve"> The calculations for the estimated TOT of a retarget may have a variation of up to </w:t>
            </w:r>
            <w:r>
              <w:rPr>
                <w:sz w:val="20"/>
              </w:rPr>
              <w:t>2</w:t>
            </w:r>
            <w:r w:rsidRPr="005D15F8">
              <w:rPr>
                <w:sz w:val="20"/>
              </w:rPr>
              <w:t xml:space="preserve"> minutes between TTWCS and SMD. This will cause the simulated missile position on the SMD to be </w:t>
            </w:r>
            <w:r w:rsidRPr="005D15F8">
              <w:rPr>
                <w:sz w:val="20"/>
              </w:rPr>
              <w:lastRenderedPageBreak/>
              <w:t>out of sync with what TTWCS has calculated when the missile is on the new route for the retarget.</w:t>
            </w:r>
          </w:p>
        </w:tc>
      </w:tr>
    </w:tbl>
    <w:p w14:paraId="6DC6E09B" w14:textId="382079E4" w:rsidR="00C1621C" w:rsidRPr="000665B0" w:rsidRDefault="00C1621C" w:rsidP="00912CE8">
      <w:pPr>
        <w:pStyle w:val="Appendix2"/>
      </w:pPr>
      <w:bookmarkStart w:id="8081" w:name="_Q_-7_"/>
      <w:bookmarkStart w:id="8082" w:name="_Toc214283732"/>
      <w:bookmarkEnd w:id="8081"/>
      <w:r w:rsidRPr="000665B0">
        <w:lastRenderedPageBreak/>
        <w:t>CASE G: STRIKE REHEARSAL WITH TTWCS TACTICAL CHANGE LMO AND EXECUTE CFF TASKING</w:t>
      </w:r>
      <w:bookmarkEnd w:id="8082"/>
    </w:p>
    <w:tbl>
      <w:tblPr>
        <w:tblW w:w="137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14"/>
      </w:tblGrid>
      <w:tr w:rsidR="00C1621C" w:rsidRPr="000665B0" w14:paraId="79354A52" w14:textId="77777777" w:rsidTr="00935A52">
        <w:trPr>
          <w:cantSplit/>
        </w:trPr>
        <w:tc>
          <w:tcPr>
            <w:tcW w:w="13714" w:type="dxa"/>
            <w:shd w:val="clear" w:color="auto" w:fill="D9D9D9" w:themeFill="background1" w:themeFillShade="D9"/>
          </w:tcPr>
          <w:p w14:paraId="01A38516" w14:textId="77777777" w:rsidR="00C1621C" w:rsidRPr="000665B0" w:rsidRDefault="00C1621C" w:rsidP="00346248">
            <w:pPr>
              <w:spacing w:before="60" w:after="60" w:line="240" w:lineRule="auto"/>
              <w:rPr>
                <w:b/>
                <w:bCs/>
                <w:sz w:val="20"/>
              </w:rPr>
            </w:pPr>
            <w:r w:rsidRPr="000665B0">
              <w:rPr>
                <w:b/>
                <w:bCs/>
                <w:sz w:val="20"/>
              </w:rPr>
              <w:t>Objective</w:t>
            </w:r>
          </w:p>
        </w:tc>
      </w:tr>
      <w:tr w:rsidR="00C1621C" w:rsidRPr="000665B0" w14:paraId="6C137398" w14:textId="77777777" w:rsidTr="00346248">
        <w:trPr>
          <w:cantSplit/>
        </w:trPr>
        <w:tc>
          <w:tcPr>
            <w:tcW w:w="13714" w:type="dxa"/>
          </w:tcPr>
          <w:p w14:paraId="0C7127E0" w14:textId="77777777" w:rsidR="00C1621C" w:rsidRPr="000665B0" w:rsidRDefault="00C1621C" w:rsidP="00346248">
            <w:pPr>
              <w:spacing w:before="60" w:after="60" w:line="240" w:lineRule="auto"/>
              <w:rPr>
                <w:sz w:val="20"/>
              </w:rPr>
            </w:pPr>
            <w:r w:rsidRPr="000665B0">
              <w:rPr>
                <w:sz w:val="20"/>
              </w:rPr>
              <w:t>The objective of this case is to exercise retarget and aimpoint update using TTWCS Tactical LMO and execute CFF tasking.</w:t>
            </w:r>
          </w:p>
        </w:tc>
      </w:tr>
      <w:tr w:rsidR="00C1621C" w:rsidRPr="000665B0" w14:paraId="4A11FF92" w14:textId="77777777" w:rsidTr="00935A52">
        <w:trPr>
          <w:cantSplit/>
        </w:trPr>
        <w:tc>
          <w:tcPr>
            <w:tcW w:w="13714" w:type="dxa"/>
            <w:shd w:val="clear" w:color="auto" w:fill="D9D9D9" w:themeFill="background1" w:themeFillShade="D9"/>
            <w:noWrap/>
          </w:tcPr>
          <w:p w14:paraId="41468967" w14:textId="77777777" w:rsidR="00C1621C" w:rsidRPr="000665B0" w:rsidRDefault="00C1621C" w:rsidP="00346248">
            <w:pPr>
              <w:spacing w:before="60" w:after="60" w:line="240" w:lineRule="auto"/>
              <w:rPr>
                <w:b/>
                <w:bCs/>
                <w:sz w:val="20"/>
              </w:rPr>
            </w:pPr>
            <w:r w:rsidRPr="000665B0">
              <w:rPr>
                <w:b/>
                <w:bCs/>
                <w:sz w:val="20"/>
              </w:rPr>
              <w:t xml:space="preserve">Prerequisites </w:t>
            </w:r>
          </w:p>
        </w:tc>
      </w:tr>
      <w:tr w:rsidR="00C1621C" w:rsidRPr="000665B0" w14:paraId="51DD6620" w14:textId="77777777" w:rsidTr="00346248">
        <w:trPr>
          <w:cantSplit/>
        </w:trPr>
        <w:tc>
          <w:tcPr>
            <w:tcW w:w="13714" w:type="dxa"/>
          </w:tcPr>
          <w:p w14:paraId="2F8664FF" w14:textId="77777777" w:rsidR="00C1621C" w:rsidRPr="000665B0" w:rsidRDefault="00C1621C" w:rsidP="00346248">
            <w:pPr>
              <w:spacing w:before="60" w:after="60" w:line="240" w:lineRule="auto"/>
              <w:rPr>
                <w:sz w:val="20"/>
              </w:rPr>
            </w:pPr>
            <w:r w:rsidRPr="000665B0">
              <w:rPr>
                <w:sz w:val="20"/>
              </w:rPr>
              <w:t>1. Ensure that the Pre</w:t>
            </w:r>
            <w:r w:rsidRPr="000665B0">
              <w:rPr>
                <w:bCs/>
                <w:sz w:val="20"/>
              </w:rPr>
              <w:t>requisites</w:t>
            </w:r>
            <w:r w:rsidRPr="000665B0">
              <w:rPr>
                <w:b/>
                <w:bCs/>
                <w:sz w:val="20"/>
              </w:rPr>
              <w:t xml:space="preserve"> </w:t>
            </w:r>
            <w:r w:rsidRPr="000665B0">
              <w:rPr>
                <w:sz w:val="20"/>
              </w:rPr>
              <w:t xml:space="preserve">from </w:t>
            </w:r>
            <w:r w:rsidRPr="000665B0">
              <w:rPr>
                <w:bCs/>
                <w:sz w:val="20"/>
              </w:rPr>
              <w:t>Case A have been met</w:t>
            </w:r>
            <w:r w:rsidRPr="000665B0">
              <w:rPr>
                <w:sz w:val="20"/>
              </w:rPr>
              <w:t>.</w:t>
            </w:r>
          </w:p>
        </w:tc>
      </w:tr>
    </w:tbl>
    <w:p w14:paraId="35A3AB26" w14:textId="77777777" w:rsidR="00C1621C" w:rsidRPr="000665B0" w:rsidRDefault="00C1621C" w:rsidP="00C1621C"/>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
        <w:gridCol w:w="6660"/>
        <w:gridCol w:w="6390"/>
      </w:tblGrid>
      <w:tr w:rsidR="00C1621C" w:rsidRPr="000665B0" w14:paraId="3AD151E4" w14:textId="77777777" w:rsidTr="0056739E">
        <w:trPr>
          <w:cantSplit/>
          <w:tblHeader/>
        </w:trPr>
        <w:tc>
          <w:tcPr>
            <w:tcW w:w="630" w:type="dxa"/>
            <w:shd w:val="clear" w:color="auto" w:fill="D9D9D9" w:themeFill="background1" w:themeFillShade="D9"/>
          </w:tcPr>
          <w:p w14:paraId="62E99C41" w14:textId="77777777" w:rsidR="00C1621C" w:rsidRPr="000665B0" w:rsidRDefault="00C1621C" w:rsidP="00346248">
            <w:pPr>
              <w:spacing w:before="60" w:after="60" w:line="240" w:lineRule="auto"/>
              <w:jc w:val="center"/>
              <w:rPr>
                <w:b/>
                <w:bCs/>
                <w:sz w:val="20"/>
              </w:rPr>
            </w:pPr>
            <w:r w:rsidRPr="000665B0">
              <w:rPr>
                <w:b/>
                <w:bCs/>
                <w:sz w:val="20"/>
              </w:rPr>
              <w:t>Step</w:t>
            </w:r>
          </w:p>
        </w:tc>
        <w:tc>
          <w:tcPr>
            <w:tcW w:w="6660" w:type="dxa"/>
            <w:shd w:val="clear" w:color="auto" w:fill="D9D9D9" w:themeFill="background1" w:themeFillShade="D9"/>
          </w:tcPr>
          <w:p w14:paraId="371C6672" w14:textId="77777777" w:rsidR="00C1621C" w:rsidRPr="000665B0" w:rsidRDefault="00C1621C" w:rsidP="00346248">
            <w:pPr>
              <w:spacing w:before="60" w:after="60" w:line="240" w:lineRule="auto"/>
              <w:jc w:val="center"/>
              <w:rPr>
                <w:b/>
                <w:bCs/>
                <w:sz w:val="20"/>
              </w:rPr>
            </w:pPr>
            <w:r w:rsidRPr="000665B0">
              <w:rPr>
                <w:b/>
                <w:bCs/>
                <w:sz w:val="20"/>
              </w:rPr>
              <w:t>Operator Action</w:t>
            </w:r>
          </w:p>
        </w:tc>
        <w:tc>
          <w:tcPr>
            <w:tcW w:w="6390" w:type="dxa"/>
            <w:shd w:val="clear" w:color="auto" w:fill="D9D9D9" w:themeFill="background1" w:themeFillShade="D9"/>
          </w:tcPr>
          <w:p w14:paraId="5792EE6B" w14:textId="77777777" w:rsidR="00C1621C" w:rsidRPr="000665B0" w:rsidRDefault="00C1621C" w:rsidP="00346248">
            <w:pPr>
              <w:spacing w:before="60" w:after="60" w:line="240" w:lineRule="auto"/>
              <w:jc w:val="center"/>
              <w:rPr>
                <w:b/>
                <w:bCs/>
                <w:sz w:val="20"/>
              </w:rPr>
            </w:pPr>
            <w:r w:rsidRPr="000665B0">
              <w:rPr>
                <w:b/>
                <w:bCs/>
                <w:sz w:val="20"/>
              </w:rPr>
              <w:t>Notes/Comments</w:t>
            </w:r>
          </w:p>
        </w:tc>
      </w:tr>
      <w:tr w:rsidR="00C1621C" w:rsidRPr="000665B0" w14:paraId="50A51F8A" w14:textId="77777777" w:rsidTr="0056739E">
        <w:tc>
          <w:tcPr>
            <w:tcW w:w="630" w:type="dxa"/>
          </w:tcPr>
          <w:p w14:paraId="0B3F7B90" w14:textId="77777777" w:rsidR="00C1621C" w:rsidRPr="000665B0" w:rsidRDefault="00C1621C" w:rsidP="00346248">
            <w:pPr>
              <w:spacing w:before="60" w:after="60" w:line="240" w:lineRule="auto"/>
              <w:jc w:val="center"/>
              <w:rPr>
                <w:sz w:val="20"/>
              </w:rPr>
            </w:pPr>
            <w:r w:rsidRPr="000665B0">
              <w:rPr>
                <w:sz w:val="20"/>
              </w:rPr>
              <w:t>1</w:t>
            </w:r>
          </w:p>
        </w:tc>
        <w:tc>
          <w:tcPr>
            <w:tcW w:w="6660" w:type="dxa"/>
          </w:tcPr>
          <w:p w14:paraId="1D73EDB9" w14:textId="77777777" w:rsidR="00C1621C" w:rsidRPr="000665B0" w:rsidRDefault="00C1621C" w:rsidP="00346248">
            <w:pPr>
              <w:spacing w:before="60" w:after="60" w:line="240" w:lineRule="auto"/>
              <w:rPr>
                <w:sz w:val="20"/>
              </w:rPr>
            </w:pPr>
            <w:r w:rsidRPr="000665B0">
              <w:rPr>
                <w:sz w:val="20"/>
              </w:rPr>
              <w:t xml:space="preserve">This Case Retargets Missiles That Have Already Launched </w:t>
            </w:r>
          </w:p>
          <w:p w14:paraId="0373A4B5" w14:textId="6857A84A" w:rsidR="00C1621C" w:rsidRPr="000665B0" w:rsidRDefault="00C1621C" w:rsidP="006D5A65">
            <w:pPr>
              <w:pStyle w:val="Heading1"/>
              <w:rPr>
                <w:bCs/>
              </w:rPr>
            </w:pPr>
            <w:r w:rsidRPr="000665B0">
              <w:t xml:space="preserve">Navigate to the </w:t>
            </w:r>
            <w:r w:rsidRPr="000665B0">
              <w:rPr>
                <w:i/>
              </w:rPr>
              <w:t>Target</w:t>
            </w:r>
            <w:r w:rsidRPr="000665B0">
              <w:t xml:space="preserve"> tab’s bottom list view on the SMD. Select a target to flex to, </w:t>
            </w:r>
            <w:r w:rsidR="00D71804" w:rsidRPr="000665B0">
              <w:t>right-click</w:t>
            </w:r>
            <w:r w:rsidRPr="000665B0">
              <w:t>, and select Reroute Missile.</w:t>
            </w:r>
          </w:p>
          <w:p w14:paraId="068266B5" w14:textId="77777777" w:rsidR="00C1621C" w:rsidRPr="000665B0" w:rsidRDefault="00C1621C" w:rsidP="006D5A65">
            <w:pPr>
              <w:pStyle w:val="Heading1"/>
            </w:pPr>
            <w:r w:rsidRPr="000665B0">
              <w:t xml:space="preserve">The Retarget Calculator displays the </w:t>
            </w:r>
            <w:r w:rsidRPr="000665B0">
              <w:rPr>
                <w:bCs/>
                <w:i/>
              </w:rPr>
              <w:t>Reroute</w:t>
            </w:r>
            <w:r w:rsidRPr="000665B0">
              <w:t xml:space="preserve"> tab which displays all of the candidate missiles that can be used to flex, retarget, or aimpoint update. The </w:t>
            </w:r>
            <w:r w:rsidRPr="000665B0">
              <w:rPr>
                <w:bCs/>
              </w:rPr>
              <w:t>top list view shows the Flex candidates</w:t>
            </w:r>
            <w:r w:rsidRPr="000665B0">
              <w:t xml:space="preserve">. The </w:t>
            </w:r>
            <w:r w:rsidRPr="000665B0">
              <w:rPr>
                <w:bCs/>
              </w:rPr>
              <w:t xml:space="preserve">bottom list view shows the Retarget/Aimpoint Update </w:t>
            </w:r>
            <w:r w:rsidRPr="000665B0">
              <w:t>candidates.</w:t>
            </w:r>
          </w:p>
          <w:p w14:paraId="53AAF503" w14:textId="7FFBD8D8" w:rsidR="00C1621C" w:rsidRPr="000665B0" w:rsidRDefault="00C1621C" w:rsidP="00346248">
            <w:pPr>
              <w:pStyle w:val="ListParagraph"/>
              <w:spacing w:before="60" w:after="60"/>
              <w:rPr>
                <w:rFonts w:ascii="Times New Roman" w:hAnsi="Times New Roman"/>
                <w:sz w:val="20"/>
                <w:szCs w:val="20"/>
              </w:rPr>
            </w:pPr>
            <w:r w:rsidRPr="000665B0">
              <w:rPr>
                <w:rFonts w:ascii="Times New Roman" w:hAnsi="Times New Roman"/>
                <w:sz w:val="20"/>
                <w:szCs w:val="20"/>
              </w:rPr>
              <w:t xml:space="preserve">Depending on which target was selected, there may not be any candidate missiles in the </w:t>
            </w:r>
            <w:r w:rsidRPr="000665B0">
              <w:rPr>
                <w:rFonts w:ascii="Times New Roman" w:hAnsi="Times New Roman"/>
                <w:b/>
                <w:i/>
                <w:sz w:val="20"/>
                <w:szCs w:val="20"/>
              </w:rPr>
              <w:t>Reroute</w:t>
            </w:r>
            <w:r w:rsidRPr="000665B0">
              <w:rPr>
                <w:rFonts w:ascii="Times New Roman" w:hAnsi="Times New Roman"/>
                <w:sz w:val="20"/>
                <w:szCs w:val="20"/>
              </w:rPr>
              <w:t xml:space="preserve"> tab. When that occurs, it means there </w:t>
            </w:r>
            <w:r w:rsidRPr="000665B0">
              <w:rPr>
                <w:rFonts w:ascii="Times New Roman" w:hAnsi="Times New Roman"/>
                <w:sz w:val="20"/>
                <w:szCs w:val="20"/>
              </w:rPr>
              <w:lastRenderedPageBreak/>
              <w:t xml:space="preserve">aren’t any missiles in flight that can be rerouted to the selected target. To see why there are no available candidate missiles for Reroute, </w:t>
            </w:r>
            <w:r w:rsidR="00D71804" w:rsidRPr="000665B0">
              <w:rPr>
                <w:rFonts w:ascii="Times New Roman" w:hAnsi="Times New Roman"/>
                <w:sz w:val="20"/>
                <w:szCs w:val="20"/>
              </w:rPr>
              <w:t>right-click</w:t>
            </w:r>
            <w:r w:rsidRPr="000665B0">
              <w:rPr>
                <w:rFonts w:ascii="Times New Roman" w:hAnsi="Times New Roman"/>
                <w:sz w:val="20"/>
                <w:szCs w:val="20"/>
              </w:rPr>
              <w:t xml:space="preserve"> on the </w:t>
            </w:r>
            <w:r w:rsidRPr="000665B0">
              <w:rPr>
                <w:rFonts w:ascii="Times New Roman" w:hAnsi="Times New Roman"/>
                <w:b/>
                <w:bCs/>
                <w:sz w:val="20"/>
                <w:szCs w:val="20"/>
              </w:rPr>
              <w:t xml:space="preserve">Show Report </w:t>
            </w:r>
            <w:r w:rsidRPr="000665B0">
              <w:rPr>
                <w:rFonts w:ascii="Times New Roman" w:hAnsi="Times New Roman"/>
                <w:sz w:val="20"/>
                <w:szCs w:val="20"/>
              </w:rPr>
              <w:t xml:space="preserve">context menu in the Reroute (bottom) list view in the </w:t>
            </w:r>
            <w:r w:rsidRPr="000665B0">
              <w:rPr>
                <w:rFonts w:ascii="Times New Roman" w:hAnsi="Times New Roman"/>
                <w:b/>
                <w:i/>
                <w:sz w:val="20"/>
                <w:szCs w:val="20"/>
              </w:rPr>
              <w:t>Reroute</w:t>
            </w:r>
            <w:r w:rsidRPr="000665B0">
              <w:rPr>
                <w:rFonts w:ascii="Times New Roman" w:hAnsi="Times New Roman"/>
                <w:sz w:val="20"/>
                <w:szCs w:val="20"/>
              </w:rPr>
              <w:t xml:space="preserve"> tab.</w:t>
            </w:r>
          </w:p>
          <w:p w14:paraId="608643F6" w14:textId="4A3A7143" w:rsidR="00C1621C" w:rsidRPr="000665B0" w:rsidRDefault="00C1621C" w:rsidP="006D5A65">
            <w:pPr>
              <w:pStyle w:val="Heading1"/>
              <w:rPr>
                <w:bCs/>
              </w:rPr>
            </w:pPr>
            <w:r w:rsidRPr="000665B0">
              <w:t xml:space="preserve">On the </w:t>
            </w:r>
            <w:r w:rsidRPr="000665B0">
              <w:rPr>
                <w:bCs/>
                <w:i/>
              </w:rPr>
              <w:t>Reroute</w:t>
            </w:r>
            <w:r w:rsidRPr="000665B0">
              <w:rPr>
                <w:bCs/>
              </w:rPr>
              <w:t xml:space="preserve"> tab’s top list view </w:t>
            </w:r>
            <w:r w:rsidRPr="000665B0">
              <w:t>(</w:t>
            </w:r>
            <w:r w:rsidRPr="000665B0">
              <w:rPr>
                <w:bCs/>
              </w:rPr>
              <w:t>Flex candidates</w:t>
            </w:r>
            <w:r w:rsidRPr="000665B0">
              <w:t xml:space="preserve">), </w:t>
            </w:r>
            <w:r w:rsidR="00D71804" w:rsidRPr="000665B0">
              <w:t>right-click</w:t>
            </w:r>
            <w:r w:rsidRPr="000665B0">
              <w:t xml:space="preserve"> on the desired missile to flex. </w:t>
            </w:r>
            <w:r w:rsidRPr="000665B0">
              <w:rPr>
                <w:bCs/>
              </w:rPr>
              <w:t>A context menu is displayed with a list of MDS node Planning Organization</w:t>
            </w:r>
            <w:r w:rsidRPr="000665B0">
              <w:t xml:space="preserve"> (MDS nodes with PO roles in the Arsenal) and/or the </w:t>
            </w:r>
            <w:r w:rsidRPr="000665B0">
              <w:rPr>
                <w:bCs/>
              </w:rPr>
              <w:t>TTWCS FRUs</w:t>
            </w:r>
            <w:r w:rsidRPr="000665B0">
              <w:t xml:space="preserve"> (if TTWCS IMMM is allowed).</w:t>
            </w:r>
          </w:p>
          <w:p w14:paraId="19EA2656" w14:textId="157DB886" w:rsidR="00C1621C" w:rsidRPr="000665B0" w:rsidRDefault="00C1621C" w:rsidP="006D5A65">
            <w:pPr>
              <w:pStyle w:val="Heading1"/>
            </w:pPr>
            <w:r w:rsidRPr="000665B0">
              <w:t xml:space="preserve">Select the desired TTWCS node, </w:t>
            </w:r>
            <w:r w:rsidR="00D71804" w:rsidRPr="000665B0">
              <w:t>right-click</w:t>
            </w:r>
            <w:r w:rsidRPr="000665B0">
              <w:t xml:space="preserve"> and select Retarget (see Note 1 if an Aimpoint Update is desired). A Tactical Change LMO window is displayed with the selected target’s information already populated.</w:t>
            </w:r>
          </w:p>
          <w:p w14:paraId="46CD6F48" w14:textId="77777777" w:rsidR="00C1621C" w:rsidRPr="000665B0" w:rsidRDefault="00C1621C" w:rsidP="006D5A65">
            <w:pPr>
              <w:pStyle w:val="Heading1"/>
            </w:pPr>
            <w:r w:rsidRPr="000665B0">
              <w:t>Fill out the rest of the Tactical LMO. It’s recommended to select/enter the Run-in Azimuth, Dive Angle, and Fuze Setting.</w:t>
            </w:r>
          </w:p>
          <w:p w14:paraId="52330648" w14:textId="77777777" w:rsidR="00C1621C" w:rsidRPr="000665B0" w:rsidRDefault="00C1621C" w:rsidP="006D5A65">
            <w:pPr>
              <w:pStyle w:val="Heading1"/>
              <w:rPr>
                <w:bCs/>
              </w:rPr>
            </w:pPr>
            <w:r w:rsidRPr="000665B0">
              <w:rPr>
                <w:bCs/>
              </w:rPr>
              <w:t xml:space="preserve">Click Send to TTWCS on the Tactical LMO. </w:t>
            </w:r>
            <w:r w:rsidRPr="000665B0">
              <w:t>The Tactical Change LMO is saved on MDS and a Tactical LMO DDO is sent to all of the TTWCS FRUs. See Note 2.</w:t>
            </w:r>
          </w:p>
          <w:p w14:paraId="0A84CBEE" w14:textId="77777777" w:rsidR="00C1621C" w:rsidRPr="000665B0" w:rsidRDefault="00C1621C" w:rsidP="006D5A65">
            <w:pPr>
              <w:pStyle w:val="Heading1"/>
              <w:rPr>
                <w:bCs/>
              </w:rPr>
            </w:pPr>
            <w:r w:rsidRPr="000665B0">
              <w:t>The Event Log will show the message Tactical LMO sent from X to Y.</w:t>
            </w:r>
          </w:p>
          <w:p w14:paraId="23901FC9" w14:textId="77777777" w:rsidR="00C1621C" w:rsidRPr="000665B0" w:rsidRDefault="00C1621C" w:rsidP="006D5A65">
            <w:pPr>
              <w:pStyle w:val="Heading1"/>
            </w:pPr>
            <w:r w:rsidRPr="000665B0">
              <w:t>Repeat steps d-f for an Aimpoint Update via a Tactical Change LMO. A Tactical LMO DDO is sent to all of the TTWCS FRUs.</w:t>
            </w:r>
          </w:p>
        </w:tc>
        <w:tc>
          <w:tcPr>
            <w:tcW w:w="6390" w:type="dxa"/>
          </w:tcPr>
          <w:p w14:paraId="6B202FF1" w14:textId="4C053288" w:rsidR="00C1621C" w:rsidRPr="000665B0" w:rsidRDefault="00C1621C" w:rsidP="00346248">
            <w:pPr>
              <w:pStyle w:val="ListParagraph"/>
              <w:spacing w:before="60" w:after="60"/>
              <w:ind w:left="58"/>
              <w:rPr>
                <w:rFonts w:ascii="Times New Roman" w:hAnsi="Times New Roman"/>
                <w:bCs/>
                <w:sz w:val="20"/>
                <w:szCs w:val="20"/>
              </w:rPr>
            </w:pPr>
            <w:r w:rsidRPr="000665B0">
              <w:rPr>
                <w:rFonts w:ascii="Times New Roman" w:hAnsi="Times New Roman"/>
                <w:sz w:val="20"/>
                <w:szCs w:val="20"/>
              </w:rPr>
              <w:lastRenderedPageBreak/>
              <w:t xml:space="preserve">1. For an Aimpoint Update, </w:t>
            </w:r>
            <w:r w:rsidRPr="000665B0">
              <w:rPr>
                <w:rFonts w:ascii="Times New Roman" w:hAnsi="Times New Roman"/>
                <w:bCs/>
                <w:sz w:val="20"/>
                <w:szCs w:val="20"/>
              </w:rPr>
              <w:t xml:space="preserve">select the desired TTWCS node, </w:t>
            </w:r>
            <w:r w:rsidR="00D71804" w:rsidRPr="000665B0">
              <w:rPr>
                <w:rFonts w:ascii="Times New Roman" w:hAnsi="Times New Roman"/>
                <w:bCs/>
                <w:sz w:val="20"/>
                <w:szCs w:val="20"/>
              </w:rPr>
              <w:t>right-click</w:t>
            </w:r>
            <w:r w:rsidRPr="000665B0">
              <w:rPr>
                <w:rFonts w:ascii="Times New Roman" w:hAnsi="Times New Roman"/>
                <w:bCs/>
                <w:sz w:val="20"/>
                <w:szCs w:val="20"/>
              </w:rPr>
              <w:t xml:space="preserve"> and select </w:t>
            </w:r>
            <w:r w:rsidRPr="000665B0">
              <w:rPr>
                <w:rFonts w:ascii="Times New Roman" w:hAnsi="Times New Roman"/>
                <w:b/>
                <w:bCs/>
                <w:sz w:val="20"/>
                <w:szCs w:val="20"/>
              </w:rPr>
              <w:t>Aimpoint Update</w:t>
            </w:r>
            <w:r w:rsidRPr="000665B0">
              <w:rPr>
                <w:rFonts w:ascii="Times New Roman" w:hAnsi="Times New Roman"/>
                <w:bCs/>
                <w:sz w:val="20"/>
                <w:szCs w:val="20"/>
              </w:rPr>
              <w:t>.</w:t>
            </w:r>
          </w:p>
          <w:p w14:paraId="4CDC2D28" w14:textId="77777777" w:rsidR="00C1621C" w:rsidRPr="000665B0" w:rsidRDefault="00C1621C" w:rsidP="00346248">
            <w:pPr>
              <w:spacing w:before="60" w:after="60" w:line="240" w:lineRule="auto"/>
              <w:rPr>
                <w:bCs/>
                <w:sz w:val="20"/>
              </w:rPr>
            </w:pPr>
            <w:r w:rsidRPr="000665B0">
              <w:rPr>
                <w:sz w:val="20"/>
              </w:rPr>
              <w:t xml:space="preserve">Select a </w:t>
            </w:r>
            <w:r w:rsidRPr="000665B0">
              <w:rPr>
                <w:bCs/>
                <w:sz w:val="20"/>
              </w:rPr>
              <w:t xml:space="preserve">TTWCS </w:t>
            </w:r>
            <w:r w:rsidRPr="000665B0">
              <w:rPr>
                <w:sz w:val="20"/>
              </w:rPr>
              <w:t xml:space="preserve">node for a </w:t>
            </w:r>
            <w:r w:rsidRPr="000665B0">
              <w:rPr>
                <w:bCs/>
                <w:sz w:val="20"/>
              </w:rPr>
              <w:t>Tactical LMO:</w:t>
            </w:r>
          </w:p>
          <w:p w14:paraId="35BD3412" w14:textId="77777777" w:rsidR="00C1621C" w:rsidRPr="000665B0" w:rsidRDefault="00C1621C" w:rsidP="00346248">
            <w:pPr>
              <w:spacing w:before="60" w:after="60" w:line="240" w:lineRule="auto"/>
              <w:rPr>
                <w:sz w:val="20"/>
              </w:rPr>
            </w:pPr>
            <w:r w:rsidRPr="000665B0">
              <w:rPr>
                <w:sz w:val="20"/>
              </w:rPr>
              <w:t xml:space="preserve">TTWCS node   </w:t>
            </w:r>
            <w:r w:rsidRPr="000665B0">
              <w:rPr>
                <w:sz w:val="20"/>
              </w:rPr>
              <w:sym w:font="Wingdings" w:char="F0E0"/>
            </w:r>
            <w:r w:rsidRPr="000665B0">
              <w:rPr>
                <w:sz w:val="20"/>
              </w:rPr>
              <w:t xml:space="preserve"> Tact LMO </w:t>
            </w:r>
            <w:r w:rsidRPr="000665B0">
              <w:rPr>
                <w:sz w:val="20"/>
              </w:rPr>
              <w:sym w:font="Wingdings" w:char="F0E0"/>
            </w:r>
            <w:r w:rsidRPr="000665B0">
              <w:rPr>
                <w:sz w:val="20"/>
              </w:rPr>
              <w:t xml:space="preserve"> TTWCS </w:t>
            </w:r>
            <w:r w:rsidRPr="000665B0">
              <w:rPr>
                <w:sz w:val="20"/>
              </w:rPr>
              <w:br/>
              <w:t xml:space="preserve">PO node           </w:t>
            </w:r>
            <w:r w:rsidRPr="000665B0">
              <w:rPr>
                <w:sz w:val="20"/>
              </w:rPr>
              <w:sym w:font="Wingdings" w:char="F0E0"/>
            </w:r>
            <w:r w:rsidRPr="000665B0">
              <w:rPr>
                <w:sz w:val="20"/>
              </w:rPr>
              <w:t xml:space="preserve"> TMPR        </w:t>
            </w:r>
            <w:r w:rsidRPr="000665B0">
              <w:rPr>
                <w:sz w:val="20"/>
              </w:rPr>
              <w:sym w:font="Wingdings" w:char="F0E0"/>
            </w:r>
            <w:r w:rsidRPr="000665B0">
              <w:rPr>
                <w:sz w:val="20"/>
              </w:rPr>
              <w:t xml:space="preserve"> TPS.</w:t>
            </w:r>
          </w:p>
          <w:p w14:paraId="36835687" w14:textId="77777777" w:rsidR="00C1621C" w:rsidRPr="000665B0" w:rsidRDefault="00C1621C" w:rsidP="00346248">
            <w:pPr>
              <w:pStyle w:val="ListParagraph"/>
              <w:spacing w:before="60" w:after="60"/>
              <w:ind w:left="58"/>
              <w:rPr>
                <w:rFonts w:ascii="Times New Roman" w:hAnsi="Times New Roman"/>
                <w:sz w:val="20"/>
                <w:szCs w:val="20"/>
              </w:rPr>
            </w:pPr>
            <w:r w:rsidRPr="000665B0">
              <w:rPr>
                <w:rFonts w:ascii="Times New Roman" w:hAnsi="Times New Roman"/>
                <w:sz w:val="20"/>
                <w:szCs w:val="20"/>
              </w:rPr>
              <w:t>2. A Tactical LMO is created and sent to the TTWCS FRUs instead of MDS sending an IMMM. This means that MDS’ job is done once the Tact LMO is sent.</w:t>
            </w:r>
          </w:p>
          <w:p w14:paraId="679B5787" w14:textId="78B6FE1F" w:rsidR="00C1621C" w:rsidRPr="000665B0" w:rsidRDefault="00C1621C" w:rsidP="00346248">
            <w:pPr>
              <w:spacing w:before="60" w:after="60" w:line="240" w:lineRule="auto"/>
              <w:rPr>
                <w:sz w:val="20"/>
              </w:rPr>
            </w:pPr>
            <w:r w:rsidRPr="000665B0">
              <w:rPr>
                <w:sz w:val="20"/>
              </w:rPr>
              <w:t xml:space="preserve">Ensuring that proper comms setup is important because the SMD needs all of the FRUs’ correct comms information to send anything. If problems are encountered sending Tact LMO, double check all FRUs’ comms </w:t>
            </w:r>
            <w:r w:rsidR="00A92702" w:rsidRPr="000665B0">
              <w:rPr>
                <w:sz w:val="20"/>
              </w:rPr>
              <w:t>setting.</w:t>
            </w:r>
          </w:p>
          <w:p w14:paraId="4D79B1C1" w14:textId="77777777" w:rsidR="00C1621C" w:rsidRPr="000665B0" w:rsidRDefault="00C1621C" w:rsidP="00346248">
            <w:pPr>
              <w:spacing w:before="60" w:after="60" w:line="240" w:lineRule="auto"/>
              <w:rPr>
                <w:sz w:val="20"/>
              </w:rPr>
            </w:pPr>
          </w:p>
        </w:tc>
      </w:tr>
      <w:tr w:rsidR="00C1621C" w:rsidRPr="000665B0" w14:paraId="39BA3C2C" w14:textId="77777777" w:rsidTr="0056739E">
        <w:trPr>
          <w:cantSplit/>
        </w:trPr>
        <w:tc>
          <w:tcPr>
            <w:tcW w:w="630" w:type="dxa"/>
          </w:tcPr>
          <w:p w14:paraId="69B7D695" w14:textId="77777777" w:rsidR="00C1621C" w:rsidRPr="000665B0" w:rsidRDefault="00C1621C" w:rsidP="00346248">
            <w:pPr>
              <w:spacing w:before="60" w:after="60" w:line="240" w:lineRule="auto"/>
              <w:jc w:val="center"/>
              <w:rPr>
                <w:sz w:val="20"/>
              </w:rPr>
            </w:pPr>
            <w:r w:rsidRPr="000665B0">
              <w:rPr>
                <w:sz w:val="20"/>
              </w:rPr>
              <w:t>2</w:t>
            </w:r>
          </w:p>
        </w:tc>
        <w:tc>
          <w:tcPr>
            <w:tcW w:w="6660" w:type="dxa"/>
          </w:tcPr>
          <w:p w14:paraId="4CB01015" w14:textId="7749F958" w:rsidR="00C1621C" w:rsidRPr="000665B0" w:rsidRDefault="00C1621C" w:rsidP="00346248">
            <w:pPr>
              <w:spacing w:before="60" w:after="60" w:line="240" w:lineRule="auto"/>
              <w:rPr>
                <w:sz w:val="20"/>
              </w:rPr>
            </w:pPr>
            <w:r w:rsidRPr="000665B0">
              <w:rPr>
                <w:sz w:val="20"/>
              </w:rPr>
              <w:t>Execute CFF Tasking</w:t>
            </w:r>
            <w:r w:rsidR="003C2E66" w:rsidRPr="000665B0">
              <w:rPr>
                <w:sz w:val="20"/>
              </w:rPr>
              <w:t xml:space="preserve"> (see Note)</w:t>
            </w:r>
            <w:r w:rsidRPr="000665B0">
              <w:rPr>
                <w:sz w:val="20"/>
              </w:rPr>
              <w:t xml:space="preserve"> </w:t>
            </w:r>
          </w:p>
          <w:p w14:paraId="1965DC6F" w14:textId="77777777" w:rsidR="00C1621C" w:rsidRPr="000665B0" w:rsidRDefault="00C1621C" w:rsidP="006D5A65">
            <w:pPr>
              <w:pStyle w:val="Heading1"/>
              <w:rPr>
                <w:bCs/>
              </w:rPr>
            </w:pPr>
            <w:r w:rsidRPr="000665B0">
              <w:t>Send a DDO with CFF Tasking included.</w:t>
            </w:r>
          </w:p>
          <w:p w14:paraId="73C649E4" w14:textId="77777777" w:rsidR="00C1621C" w:rsidRPr="000665B0" w:rsidRDefault="00C1621C" w:rsidP="006D5A65">
            <w:pPr>
              <w:pStyle w:val="Heading1"/>
              <w:rPr>
                <w:bCs/>
              </w:rPr>
            </w:pPr>
            <w:r w:rsidRPr="000665B0">
              <w:t>Verify that the CFF Tasking appears in TTWCS</w:t>
            </w:r>
            <w:r w:rsidRPr="000665B0">
              <w:rPr>
                <w:bCs/>
              </w:rPr>
              <w:t>.</w:t>
            </w:r>
          </w:p>
        </w:tc>
        <w:tc>
          <w:tcPr>
            <w:tcW w:w="6390" w:type="dxa"/>
          </w:tcPr>
          <w:p w14:paraId="190D992E" w14:textId="77777777" w:rsidR="00C1621C" w:rsidRPr="000665B0" w:rsidRDefault="00C1621C" w:rsidP="00346248">
            <w:pPr>
              <w:spacing w:before="60" w:after="60" w:line="240" w:lineRule="auto"/>
              <w:rPr>
                <w:sz w:val="20"/>
              </w:rPr>
            </w:pPr>
            <w:r w:rsidRPr="000665B0">
              <w:rPr>
                <w:sz w:val="20"/>
              </w:rPr>
              <w:t>Execute the CFF Tasking in TTWCS. MDS is only able to send a CFF Tasking reservation.</w:t>
            </w:r>
          </w:p>
        </w:tc>
      </w:tr>
    </w:tbl>
    <w:p w14:paraId="096FF84E" w14:textId="77777777" w:rsidR="008C751E" w:rsidRPr="000665B0" w:rsidRDefault="008C751E" w:rsidP="000874C7">
      <w:pPr>
        <w:spacing w:after="240" w:line="240" w:lineRule="auto"/>
        <w:rPr>
          <w:rFonts w:ascii="Arial" w:hAnsi="Arial" w:cs="Arial"/>
          <w:szCs w:val="24"/>
        </w:rPr>
      </w:pPr>
      <w:bookmarkStart w:id="8083" w:name="_Q_-8_"/>
      <w:bookmarkEnd w:id="8083"/>
    </w:p>
    <w:p w14:paraId="3599D823" w14:textId="77777777" w:rsidR="00A316EA" w:rsidRDefault="00A316EA" w:rsidP="000874C7">
      <w:pPr>
        <w:spacing w:after="240" w:line="240" w:lineRule="auto"/>
        <w:rPr>
          <w:rFonts w:ascii="Arial" w:hAnsi="Arial" w:cs="Arial"/>
          <w:szCs w:val="24"/>
        </w:rPr>
      </w:pPr>
      <w:r>
        <w:br w:type="page"/>
      </w:r>
    </w:p>
    <w:p w14:paraId="5DCE0D51" w14:textId="33A1B81C" w:rsidR="00FA0CA1" w:rsidRPr="000665B0" w:rsidRDefault="009319FE" w:rsidP="003604C5">
      <w:pPr>
        <w:pStyle w:val="Appendix"/>
      </w:pPr>
      <w:bookmarkStart w:id="8084" w:name="_Appendix_R_Maintenance"/>
      <w:bookmarkStart w:id="8085" w:name="_Toc312332205"/>
      <w:bookmarkStart w:id="8086" w:name="_Hlk58305642"/>
      <w:bookmarkEnd w:id="8063"/>
      <w:bookmarkEnd w:id="8084"/>
      <w:r w:rsidRPr="000665B0">
        <w:lastRenderedPageBreak/>
        <w:br/>
      </w:r>
      <w:bookmarkStart w:id="8087" w:name="_Toc214283733"/>
      <w:r w:rsidRPr="000665B0">
        <w:t>MAINTENANCE GUIDANCE</w:t>
      </w:r>
      <w:bookmarkEnd w:id="8085"/>
      <w:bookmarkEnd w:id="8087"/>
    </w:p>
    <w:p w14:paraId="44E1CF37" w14:textId="5E20D878" w:rsidR="005B2CFB" w:rsidRPr="000665B0" w:rsidRDefault="005B2CFB" w:rsidP="00912CE8">
      <w:pPr>
        <w:pStyle w:val="Appendix2"/>
      </w:pPr>
      <w:bookmarkStart w:id="8088" w:name="_Toc280872546"/>
      <w:bookmarkStart w:id="8089" w:name="_Toc311470624"/>
      <w:bookmarkStart w:id="8090" w:name="_Toc214283734"/>
      <w:r w:rsidRPr="000665B0">
        <w:t>IDENTIFICATION</w:t>
      </w:r>
      <w:bookmarkEnd w:id="8088"/>
      <w:bookmarkEnd w:id="8089"/>
      <w:bookmarkEnd w:id="8090"/>
    </w:p>
    <w:p w14:paraId="25D75550" w14:textId="782C91D3" w:rsidR="00256CCA" w:rsidRPr="000665B0" w:rsidRDefault="00116FC7" w:rsidP="00256CCA">
      <w:pPr>
        <w:spacing w:before="120"/>
      </w:pPr>
      <w:r w:rsidRPr="000665B0">
        <w:t xml:space="preserve">The Maintenance Guidance is intended for use by all MDS Version </w:t>
      </w:r>
      <w:r w:rsidR="00654497" w:rsidRPr="000665B0">
        <w:t>7</w:t>
      </w:r>
      <w:r w:rsidR="00EA12C2" w:rsidRPr="000665B0">
        <w:t>.0</w:t>
      </w:r>
      <w:r w:rsidRPr="000665B0">
        <w:t xml:space="preserve"> </w:t>
      </w:r>
      <w:r w:rsidR="00C52C3E" w:rsidRPr="000665B0">
        <w:rPr>
          <w:rFonts w:eastAsia="Calibri"/>
          <w:szCs w:val="24"/>
        </w:rPr>
        <w:t xml:space="preserve">(and above) </w:t>
      </w:r>
      <w:r w:rsidRPr="000665B0">
        <w:t>sites and MDS system variants. The MDS system variants include the MDS with embedded TPS and MDS with co-located ISAT. MDS site configuration variants include the following:</w:t>
      </w:r>
    </w:p>
    <w:p w14:paraId="50F099DB" w14:textId="77777777" w:rsidR="00256CCA" w:rsidRPr="000665B0" w:rsidRDefault="00256CCA" w:rsidP="006D5A65">
      <w:pPr>
        <w:pStyle w:val="Heading1"/>
      </w:pPr>
      <w:r w:rsidRPr="000665B0">
        <w:t>Cruise Missile Support Activity (CMSA)</w:t>
      </w:r>
    </w:p>
    <w:p w14:paraId="394B3E73" w14:textId="77777777" w:rsidR="00256CCA" w:rsidRPr="000665B0" w:rsidRDefault="00256CCA" w:rsidP="006D5A65">
      <w:pPr>
        <w:pStyle w:val="Heading1"/>
      </w:pPr>
      <w:r w:rsidRPr="000665B0">
        <w:t xml:space="preserve">Tomahawk Strike and Mission Planning </w:t>
      </w:r>
      <w:r w:rsidR="00F25965" w:rsidRPr="000665B0">
        <w:t xml:space="preserve">Cell </w:t>
      </w:r>
      <w:r w:rsidRPr="000665B0">
        <w:t>(TSMPC)</w:t>
      </w:r>
    </w:p>
    <w:p w14:paraId="16A79E18" w14:textId="77777777" w:rsidR="00256CCA" w:rsidRPr="000665B0" w:rsidRDefault="00256CCA" w:rsidP="006D5A65">
      <w:pPr>
        <w:pStyle w:val="Heading1"/>
      </w:pPr>
      <w:r w:rsidRPr="000665B0">
        <w:t>Carrier Strike Group (CSG)</w:t>
      </w:r>
    </w:p>
    <w:p w14:paraId="3768A9CE" w14:textId="77777777" w:rsidR="00256CCA" w:rsidRPr="000665B0" w:rsidRDefault="007E707E" w:rsidP="006D5A65">
      <w:pPr>
        <w:pStyle w:val="Heading1"/>
      </w:pPr>
      <w:r w:rsidRPr="000665B0">
        <w:t xml:space="preserve">Standalone MDS </w:t>
      </w:r>
      <w:r w:rsidR="00256CCA" w:rsidRPr="000665B0">
        <w:t>Node</w:t>
      </w:r>
    </w:p>
    <w:p w14:paraId="45470852" w14:textId="77777777" w:rsidR="00256CCA" w:rsidRPr="000665B0" w:rsidRDefault="00256CCA" w:rsidP="006D5A65">
      <w:pPr>
        <w:pStyle w:val="Heading1"/>
      </w:pPr>
      <w:r w:rsidRPr="000665B0">
        <w:t>Firing Unit (FRU)</w:t>
      </w:r>
    </w:p>
    <w:p w14:paraId="51170C60" w14:textId="77777777" w:rsidR="00256CCA" w:rsidRPr="000665B0" w:rsidRDefault="00256CCA" w:rsidP="00B538DA">
      <w:pPr>
        <w:spacing w:after="0"/>
      </w:pPr>
      <w:r w:rsidRPr="000665B0">
        <w:t xml:space="preserve">The purpose of this </w:t>
      </w:r>
      <w:r w:rsidR="00116FC7" w:rsidRPr="000665B0">
        <w:t>appendix</w:t>
      </w:r>
      <w:r w:rsidRPr="000665B0">
        <w:t xml:space="preserve"> is to provide the security and system maintenance guidance necessary to support security requirements and system maintenance functions.</w:t>
      </w:r>
    </w:p>
    <w:p w14:paraId="7C42AFDD" w14:textId="7584C86E" w:rsidR="00256CCA" w:rsidRPr="000665B0" w:rsidRDefault="00256CCA" w:rsidP="00912CE8">
      <w:pPr>
        <w:pStyle w:val="Appendix2"/>
      </w:pPr>
      <w:bookmarkStart w:id="8091" w:name="_Toc286836358"/>
      <w:bookmarkStart w:id="8092" w:name="_Toc294009212"/>
      <w:bookmarkStart w:id="8093" w:name="_Toc311470626"/>
      <w:bookmarkStart w:id="8094" w:name="LoginTerminology"/>
      <w:bookmarkStart w:id="8095" w:name="_Toc214283735"/>
      <w:bookmarkStart w:id="8096" w:name="_Hlk103175226"/>
      <w:r w:rsidRPr="000665B0">
        <w:t xml:space="preserve">LOGIN </w:t>
      </w:r>
      <w:bookmarkEnd w:id="8091"/>
      <w:r w:rsidRPr="000665B0">
        <w:t>TERMINOLOGY</w:t>
      </w:r>
      <w:bookmarkEnd w:id="8092"/>
      <w:bookmarkEnd w:id="8093"/>
      <w:bookmarkEnd w:id="8094"/>
      <w:bookmarkEnd w:id="8095"/>
    </w:p>
    <w:p w14:paraId="2561AE31" w14:textId="77777777" w:rsidR="00256CCA" w:rsidRPr="000665B0" w:rsidRDefault="00256CCA" w:rsidP="00B538DA">
      <w:r w:rsidRPr="000665B0">
        <w:t>These procedures often specify what kind of user is needed to perform various procedures. This section describes what those terms mean.</w:t>
      </w:r>
    </w:p>
    <w:p w14:paraId="2F645FD9" w14:textId="1EB152C0" w:rsidR="00256CCA" w:rsidRPr="000665B0" w:rsidRDefault="00256CCA" w:rsidP="006D5A65">
      <w:pPr>
        <w:pStyle w:val="Heading3"/>
      </w:pPr>
      <w:r w:rsidRPr="000665B0">
        <w:t xml:space="preserve">auditor – A user who is allowed to view/modify the system audit logs. Users are considered auditors if </w:t>
      </w:r>
      <w:r w:rsidR="00C135FF" w:rsidRPr="000665B0">
        <w:t xml:space="preserve">they are </w:t>
      </w:r>
      <w:r w:rsidRPr="000665B0">
        <w:t>members of the Auditors Group</w:t>
      </w:r>
      <w:r w:rsidR="001B2A4C" w:rsidRPr="000665B0">
        <w:t>.</w:t>
      </w:r>
      <w:r w:rsidRPr="000665B0">
        <w:t xml:space="preserve"> (In a new/clean Windows installation “Admins” are considered auditors until the security procedures have been applied, which demote admins from their auditing status.)</w:t>
      </w:r>
    </w:p>
    <w:p w14:paraId="38BDDDB3" w14:textId="1F3FD1D7" w:rsidR="00256CCA" w:rsidRPr="000665B0" w:rsidRDefault="00256CCA" w:rsidP="006D5A65">
      <w:pPr>
        <w:pStyle w:val="Heading3"/>
      </w:pPr>
      <w:r w:rsidRPr="000665B0">
        <w:t xml:space="preserve">user with admin privileges – Any user who is a member of the local or domain </w:t>
      </w:r>
      <w:r w:rsidR="005D60D3" w:rsidRPr="000665B0">
        <w:t>auditors’</w:t>
      </w:r>
      <w:r w:rsidRPr="000665B0">
        <w:t xml:space="preserve"> groups should have adequate permissions to perform the tasks at hand.</w:t>
      </w:r>
    </w:p>
    <w:p w14:paraId="66EEFC02" w14:textId="6A0D9B04" w:rsidR="00256CCA" w:rsidRPr="000665B0" w:rsidRDefault="00256CCA" w:rsidP="006D5A65">
      <w:pPr>
        <w:pStyle w:val="Heading3"/>
      </w:pPr>
      <w:r w:rsidRPr="000665B0">
        <w:t>admin-auditor – A user who is both an admin and an auditor. To install most Microsoft Hotfixes requires both privilege sets. On domain machines, to get both privileges requires one to be a domain-administrator</w:t>
      </w:r>
      <w:r w:rsidR="00C135FF" w:rsidRPr="000665B0">
        <w:t>,</w:t>
      </w:r>
      <w:r w:rsidRPr="000665B0">
        <w:t xml:space="preserve"> not just a “local” administrator.</w:t>
      </w:r>
    </w:p>
    <w:p w14:paraId="7946CCB6" w14:textId="656204A0" w:rsidR="00256CCA" w:rsidRPr="000665B0" w:rsidRDefault="00256CCA" w:rsidP="00912CE8">
      <w:pPr>
        <w:pStyle w:val="Appendix2"/>
      </w:pPr>
      <w:bookmarkStart w:id="8097" w:name="_Toc294009214"/>
      <w:bookmarkStart w:id="8098" w:name="_Toc311470627"/>
      <w:bookmarkStart w:id="8099" w:name="_Toc214283736"/>
      <w:bookmarkEnd w:id="8096"/>
      <w:r w:rsidRPr="000665B0">
        <w:t>BASIC SKILLS</w:t>
      </w:r>
      <w:bookmarkEnd w:id="8097"/>
      <w:bookmarkEnd w:id="8098"/>
      <w:bookmarkEnd w:id="8099"/>
    </w:p>
    <w:p w14:paraId="2C286937" w14:textId="77777777" w:rsidR="00654546" w:rsidRPr="000665B0" w:rsidRDefault="00BF01D7" w:rsidP="00654546">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szCs w:val="24"/>
        </w:rPr>
      </w:pPr>
      <w:r w:rsidRPr="000665B0">
        <w:rPr>
          <w:b/>
          <w:bCs/>
          <w:szCs w:val="24"/>
        </w:rPr>
        <w:t>Note</w:t>
      </w:r>
      <w:r w:rsidR="00256CCA" w:rsidRPr="000665B0">
        <w:rPr>
          <w:b/>
          <w:bCs/>
          <w:szCs w:val="24"/>
        </w:rPr>
        <w:t xml:space="preserve">: </w:t>
      </w:r>
    </w:p>
    <w:p w14:paraId="255929A4" w14:textId="77777777" w:rsidR="00256CCA" w:rsidRPr="000665B0" w:rsidRDefault="00654546" w:rsidP="00654546">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line="240" w:lineRule="auto"/>
        <w:jc w:val="center"/>
        <w:rPr>
          <w:b/>
          <w:bCs/>
          <w:szCs w:val="24"/>
        </w:rPr>
      </w:pPr>
      <w:r w:rsidRPr="000665B0">
        <w:rPr>
          <w:b/>
          <w:bCs/>
          <w:szCs w:val="24"/>
        </w:rPr>
        <w:t xml:space="preserve">This </w:t>
      </w:r>
      <w:r w:rsidR="00B11C71" w:rsidRPr="000665B0">
        <w:rPr>
          <w:b/>
          <w:bCs/>
          <w:szCs w:val="24"/>
        </w:rPr>
        <w:t>s</w:t>
      </w:r>
      <w:r w:rsidR="00256CCA" w:rsidRPr="000665B0">
        <w:rPr>
          <w:b/>
          <w:bCs/>
          <w:szCs w:val="24"/>
        </w:rPr>
        <w:t xml:space="preserve">ection is for educational purposes. </w:t>
      </w:r>
      <w:r w:rsidR="00C135FF" w:rsidRPr="000665B0">
        <w:rPr>
          <w:b/>
          <w:bCs/>
          <w:szCs w:val="24"/>
        </w:rPr>
        <w:t>It</w:t>
      </w:r>
      <w:r w:rsidR="00256CCA" w:rsidRPr="000665B0">
        <w:rPr>
          <w:b/>
          <w:bCs/>
          <w:szCs w:val="24"/>
        </w:rPr>
        <w:t xml:space="preserve"> is meant for those </w:t>
      </w:r>
      <w:r w:rsidR="00FF56E8" w:rsidRPr="000665B0">
        <w:rPr>
          <w:b/>
          <w:bCs/>
          <w:szCs w:val="24"/>
        </w:rPr>
        <w:t>new to administering Windows since “User Access Control” (UAC) features were added for Windows Vista</w:t>
      </w:r>
      <w:r w:rsidR="00256CCA" w:rsidRPr="000665B0">
        <w:rPr>
          <w:b/>
          <w:bCs/>
          <w:szCs w:val="24"/>
        </w:rPr>
        <w:t>.</w:t>
      </w:r>
    </w:p>
    <w:p w14:paraId="689F3711" w14:textId="77777777" w:rsidR="00256CCA" w:rsidRPr="000665B0" w:rsidRDefault="00C135FF" w:rsidP="00654546">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line="240" w:lineRule="auto"/>
        <w:jc w:val="center"/>
        <w:rPr>
          <w:b/>
          <w:bCs/>
          <w:szCs w:val="24"/>
        </w:rPr>
      </w:pPr>
      <w:r w:rsidRPr="000665B0">
        <w:rPr>
          <w:b/>
          <w:bCs/>
          <w:szCs w:val="24"/>
        </w:rPr>
        <w:t>Do</w:t>
      </w:r>
      <w:r w:rsidR="00256CCA" w:rsidRPr="000665B0">
        <w:rPr>
          <w:b/>
          <w:bCs/>
          <w:szCs w:val="24"/>
        </w:rPr>
        <w:t xml:space="preserve"> not perform the steps in this section. They are for example only.</w:t>
      </w:r>
    </w:p>
    <w:p w14:paraId="3F1073BF" w14:textId="7C584962" w:rsidR="00256CCA" w:rsidRPr="000665B0" w:rsidRDefault="00654546" w:rsidP="00AE53CA">
      <w:pPr>
        <w:pStyle w:val="Appendix3"/>
        <w:ind w:left="360"/>
      </w:pPr>
      <w:bookmarkStart w:id="8100" w:name="_1.4.1_“Run_As”"/>
      <w:bookmarkStart w:id="8101" w:name="_1.5.1_“Run_As”"/>
      <w:bookmarkStart w:id="8102" w:name="_1.5.1_“Run_As”_1"/>
      <w:bookmarkStart w:id="8103" w:name="RunAsAdmiistrator"/>
      <w:bookmarkStart w:id="8104" w:name="_Toc311470628"/>
      <w:bookmarkEnd w:id="8100"/>
      <w:bookmarkEnd w:id="8101"/>
      <w:bookmarkEnd w:id="8102"/>
      <w:r w:rsidRPr="000665B0">
        <w:lastRenderedPageBreak/>
        <w:t xml:space="preserve"> </w:t>
      </w:r>
      <w:bookmarkStart w:id="8105" w:name="_Toc214283737"/>
      <w:r w:rsidR="00256CCA" w:rsidRPr="000665B0">
        <w:t>“Run As Administrator</w:t>
      </w:r>
      <w:bookmarkEnd w:id="8103"/>
      <w:bookmarkEnd w:id="8104"/>
      <w:r w:rsidR="006D1B36" w:rsidRPr="000665B0">
        <w:t>”</w:t>
      </w:r>
      <w:bookmarkEnd w:id="8105"/>
    </w:p>
    <w:p w14:paraId="753547CA" w14:textId="218C8A94" w:rsidR="00256CCA" w:rsidRPr="000665B0" w:rsidRDefault="00256CCA" w:rsidP="00256CCA">
      <w:bookmarkStart w:id="8106" w:name="_Hlk103175312"/>
      <w:r w:rsidRPr="000665B0">
        <w:t>When “administrative activities” are performed, the user is asked to verify said activity is desired</w:t>
      </w:r>
      <w:r w:rsidR="00C135FF" w:rsidRPr="000665B0">
        <w:t xml:space="preserve">, </w:t>
      </w:r>
      <w:r w:rsidRPr="000665B0">
        <w:t>even if you are an administrator</w:t>
      </w:r>
      <w:r w:rsidR="00555D3F" w:rsidRPr="000665B0">
        <w:t>.</w:t>
      </w:r>
      <w:r w:rsidRPr="000665B0">
        <w:t xml:space="preserve"> This is a safety feature to prevent malware from doing administrative activities without notice. Historically, once malware infects a</w:t>
      </w:r>
      <w:r w:rsidR="006D4898" w:rsidRPr="000665B0">
        <w:t xml:space="preserve"> Windows</w:t>
      </w:r>
      <w:r w:rsidRPr="000665B0">
        <w:t xml:space="preserve"> machine</w:t>
      </w:r>
      <w:r w:rsidR="001B2A4C" w:rsidRPr="000665B0">
        <w:t>,</w:t>
      </w:r>
      <w:r w:rsidRPr="000665B0">
        <w:t xml:space="preserve"> it thrives when you are an administrator and can utilize your credentials.</w:t>
      </w:r>
    </w:p>
    <w:bookmarkEnd w:id="8106"/>
    <w:p w14:paraId="181015AF" w14:textId="77777777" w:rsidR="00256CCA" w:rsidRPr="000665B0" w:rsidRDefault="00256CCA" w:rsidP="00256CCA">
      <w:r w:rsidRPr="000665B0">
        <w:t xml:space="preserve">Home computers are typically </w:t>
      </w:r>
      <w:r w:rsidR="006C5D57" w:rsidRPr="000665B0">
        <w:t xml:space="preserve">configured to request a simple </w:t>
      </w:r>
      <w:r w:rsidRPr="000665B0">
        <w:rPr>
          <w:b/>
        </w:rPr>
        <w:t>yes</w:t>
      </w:r>
      <w:r w:rsidR="006C5D57" w:rsidRPr="000665B0">
        <w:t xml:space="preserve"> or </w:t>
      </w:r>
      <w:r w:rsidRPr="000665B0">
        <w:rPr>
          <w:b/>
        </w:rPr>
        <w:t>no</w:t>
      </w:r>
      <w:r w:rsidRPr="000665B0">
        <w:t xml:space="preserve"> when </w:t>
      </w:r>
      <w:r w:rsidR="006C5D57" w:rsidRPr="000665B0">
        <w:t>performing</w:t>
      </w:r>
      <w:r w:rsidRPr="000665B0">
        <w:t xml:space="preserve"> administrative activities. Many people find </w:t>
      </w:r>
      <w:r w:rsidR="00E504EB" w:rsidRPr="000665B0">
        <w:t xml:space="preserve">this </w:t>
      </w:r>
      <w:r w:rsidRPr="000665B0">
        <w:t>feature a nuisance and turn it off</w:t>
      </w:r>
      <w:r w:rsidR="00E504EB" w:rsidRPr="000665B0">
        <w:t>.</w:t>
      </w:r>
    </w:p>
    <w:p w14:paraId="3C1C9372" w14:textId="3E95B192" w:rsidR="00256CCA" w:rsidRPr="000665B0" w:rsidRDefault="003D6207" w:rsidP="00256CCA">
      <w:r w:rsidRPr="000665B0">
        <w:t>TMPC</w:t>
      </w:r>
      <w:r w:rsidR="00256CCA" w:rsidRPr="000665B0">
        <w:t xml:space="preserve"> machines, once properly secured, are configured to require your administrative credentials (user ID and password</w:t>
      </w:r>
      <w:r w:rsidR="005D60D3" w:rsidRPr="000665B0">
        <w:t>),</w:t>
      </w:r>
      <w:r w:rsidR="00256CCA" w:rsidRPr="000665B0">
        <w:t xml:space="preserve"> </w:t>
      </w:r>
      <w:r w:rsidR="00256CCA" w:rsidRPr="000665B0">
        <w:rPr>
          <w:b/>
          <w:u w:val="single"/>
        </w:rPr>
        <w:t>and</w:t>
      </w:r>
      <w:r w:rsidR="00256CCA" w:rsidRPr="000665B0">
        <w:t xml:space="preserve"> require those credentials be input only from the “secure desktop</w:t>
      </w:r>
      <w:r w:rsidR="00555D3F" w:rsidRPr="000665B0">
        <w:t>.</w:t>
      </w:r>
      <w:r w:rsidR="00256CCA" w:rsidRPr="000665B0">
        <w:t xml:space="preserve">” The </w:t>
      </w:r>
      <w:r w:rsidR="005D60D3" w:rsidRPr="000665B0">
        <w:t>workflow</w:t>
      </w:r>
      <w:r w:rsidR="00256CCA" w:rsidRPr="000665B0">
        <w:t xml:space="preserve"> is </w:t>
      </w:r>
      <w:r w:rsidR="006C5D57" w:rsidRPr="000665B0">
        <w:t xml:space="preserve">similar to the </w:t>
      </w:r>
      <w:r w:rsidR="00E504EB" w:rsidRPr="000665B0">
        <w:t>procedure</w:t>
      </w:r>
      <w:r w:rsidR="006C5D57" w:rsidRPr="000665B0">
        <w:t xml:space="preserve"> in the following table</w:t>
      </w:r>
      <w:r w:rsidR="00E34259" w:rsidRPr="000665B0">
        <w:t>.</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7"/>
        <w:gridCol w:w="4568"/>
        <w:gridCol w:w="4230"/>
      </w:tblGrid>
      <w:tr w:rsidR="00C81CC7" w:rsidRPr="000665B0" w14:paraId="5DA07635" w14:textId="77777777" w:rsidTr="001F4B14">
        <w:trPr>
          <w:cantSplit/>
          <w:trHeight w:val="440"/>
          <w:tblHeader/>
        </w:trPr>
        <w:tc>
          <w:tcPr>
            <w:tcW w:w="9535" w:type="dxa"/>
            <w:gridSpan w:val="3"/>
            <w:shd w:val="clear" w:color="auto" w:fill="D9D9D9" w:themeFill="background1" w:themeFillShade="D9"/>
          </w:tcPr>
          <w:p w14:paraId="2F515116" w14:textId="2DDCD493" w:rsidR="00C81CC7" w:rsidRPr="000665B0" w:rsidRDefault="00093C35" w:rsidP="001E137B">
            <w:pPr>
              <w:spacing w:before="60" w:after="60"/>
              <w:rPr>
                <w:b/>
                <w:noProof/>
              </w:rPr>
            </w:pPr>
            <w:r w:rsidRPr="000665B0">
              <w:rPr>
                <w:b/>
              </w:rPr>
              <w:t>Q</w:t>
            </w:r>
            <w:r w:rsidR="001E137B" w:rsidRPr="000665B0">
              <w:rPr>
                <w:b/>
              </w:rPr>
              <w:t>.</w:t>
            </w:r>
            <w:r w:rsidR="00C81CC7" w:rsidRPr="000665B0">
              <w:rPr>
                <w:b/>
              </w:rPr>
              <w:t>3.1 “Run As Administrator</w:t>
            </w:r>
            <w:r w:rsidR="006D1B36" w:rsidRPr="000665B0">
              <w:rPr>
                <w:b/>
              </w:rPr>
              <w:t>”</w:t>
            </w:r>
          </w:p>
        </w:tc>
      </w:tr>
      <w:tr w:rsidR="00C81CC7" w:rsidRPr="000665B0" w14:paraId="04A16283" w14:textId="77777777" w:rsidTr="001F4B14">
        <w:trPr>
          <w:cantSplit/>
          <w:trHeight w:val="440"/>
          <w:tblHeader/>
        </w:trPr>
        <w:tc>
          <w:tcPr>
            <w:tcW w:w="737" w:type="dxa"/>
            <w:shd w:val="clear" w:color="auto" w:fill="D9D9D9" w:themeFill="background1" w:themeFillShade="D9"/>
          </w:tcPr>
          <w:p w14:paraId="6FE3B873" w14:textId="77777777" w:rsidR="00C81CC7" w:rsidRPr="000665B0" w:rsidRDefault="00C81CC7" w:rsidP="000C7B2F">
            <w:pPr>
              <w:spacing w:before="60" w:after="60"/>
              <w:rPr>
                <w:b/>
                <w:szCs w:val="24"/>
              </w:rPr>
            </w:pPr>
            <w:r w:rsidRPr="000665B0">
              <w:rPr>
                <w:b/>
                <w:szCs w:val="24"/>
              </w:rPr>
              <w:t>Step</w:t>
            </w:r>
          </w:p>
        </w:tc>
        <w:tc>
          <w:tcPr>
            <w:tcW w:w="4568" w:type="dxa"/>
            <w:shd w:val="clear" w:color="auto" w:fill="D9D9D9" w:themeFill="background1" w:themeFillShade="D9"/>
          </w:tcPr>
          <w:p w14:paraId="0E2814E2" w14:textId="77777777" w:rsidR="00C81CC7" w:rsidRPr="000665B0" w:rsidRDefault="00C81CC7" w:rsidP="005B2CFB">
            <w:pPr>
              <w:spacing w:before="60" w:after="60"/>
              <w:rPr>
                <w:b/>
              </w:rPr>
            </w:pPr>
            <w:r w:rsidRPr="000665B0">
              <w:rPr>
                <w:b/>
              </w:rPr>
              <w:t>Procedure</w:t>
            </w:r>
          </w:p>
        </w:tc>
        <w:tc>
          <w:tcPr>
            <w:tcW w:w="4230" w:type="dxa"/>
            <w:shd w:val="clear" w:color="auto" w:fill="D9D9D9" w:themeFill="background1" w:themeFillShade="D9"/>
          </w:tcPr>
          <w:p w14:paraId="32B5D461" w14:textId="77777777" w:rsidR="00C81CC7" w:rsidRPr="000665B0" w:rsidRDefault="00C81CC7" w:rsidP="005B2CFB">
            <w:pPr>
              <w:spacing w:before="60" w:after="60"/>
              <w:rPr>
                <w:b/>
                <w:noProof/>
              </w:rPr>
            </w:pPr>
            <w:r w:rsidRPr="000665B0">
              <w:rPr>
                <w:b/>
                <w:noProof/>
              </w:rPr>
              <w:t>Comments</w:t>
            </w:r>
          </w:p>
        </w:tc>
      </w:tr>
      <w:tr w:rsidR="00C81CC7" w:rsidRPr="000665B0" w14:paraId="10BF3085" w14:textId="77777777" w:rsidTr="001F4B14">
        <w:trPr>
          <w:cantSplit/>
        </w:trPr>
        <w:tc>
          <w:tcPr>
            <w:tcW w:w="737" w:type="dxa"/>
          </w:tcPr>
          <w:p w14:paraId="3E4CE3D4" w14:textId="77777777" w:rsidR="00C81CC7" w:rsidRPr="000665B0" w:rsidRDefault="00C81CC7" w:rsidP="006D5A65">
            <w:pPr>
              <w:pStyle w:val="Heading1"/>
            </w:pPr>
          </w:p>
        </w:tc>
        <w:tc>
          <w:tcPr>
            <w:tcW w:w="4568" w:type="dxa"/>
          </w:tcPr>
          <w:p w14:paraId="26CD0440" w14:textId="3875F8BB" w:rsidR="00C81CC7" w:rsidRPr="00757747" w:rsidRDefault="00D71804" w:rsidP="003D7B03">
            <w:pPr>
              <w:spacing w:before="60" w:after="60" w:line="240" w:lineRule="auto"/>
              <w:rPr>
                <w:sz w:val="20"/>
              </w:rPr>
            </w:pPr>
            <w:r w:rsidRPr="00757747">
              <w:rPr>
                <w:sz w:val="20"/>
              </w:rPr>
              <w:t>Right-click</w:t>
            </w:r>
            <w:r w:rsidR="00C81CC7" w:rsidRPr="00757747">
              <w:rPr>
                <w:sz w:val="20"/>
              </w:rPr>
              <w:t xml:space="preserve"> </w:t>
            </w:r>
            <w:r w:rsidR="00C81CC7" w:rsidRPr="00757747">
              <w:rPr>
                <w:b/>
                <w:sz w:val="20"/>
              </w:rPr>
              <w:t>SomeFile.bat</w:t>
            </w:r>
            <w:r w:rsidR="00C81CC7" w:rsidRPr="00757747">
              <w:rPr>
                <w:sz w:val="20"/>
              </w:rPr>
              <w:t xml:space="preserve"> and select </w:t>
            </w:r>
            <w:r w:rsidR="00C81CC7" w:rsidRPr="00757747">
              <w:rPr>
                <w:b/>
                <w:sz w:val="20"/>
              </w:rPr>
              <w:t>Run as administrator</w:t>
            </w:r>
            <w:r w:rsidR="00C81CC7" w:rsidRPr="00757747">
              <w:rPr>
                <w:sz w:val="20"/>
              </w:rPr>
              <w:t>.</w:t>
            </w:r>
          </w:p>
        </w:tc>
        <w:tc>
          <w:tcPr>
            <w:tcW w:w="4230" w:type="dxa"/>
          </w:tcPr>
          <w:p w14:paraId="2228C2A0" w14:textId="77777777" w:rsidR="00C81CC7" w:rsidRPr="000665B0" w:rsidRDefault="00FF56E8" w:rsidP="003D7B03">
            <w:pPr>
              <w:spacing w:before="60" w:after="60" w:line="240" w:lineRule="auto"/>
            </w:pPr>
            <w:r w:rsidRPr="000665B0">
              <w:rPr>
                <w:noProof/>
              </w:rPr>
              <w:drawing>
                <wp:inline distT="0" distB="0" distL="0" distR="0" wp14:anchorId="7396223A" wp14:editId="61ABF10C">
                  <wp:extent cx="2247900" cy="2155679"/>
                  <wp:effectExtent l="0" t="0" r="0" b="0"/>
                  <wp:docPr id="1404" name="Picture 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Run.png"/>
                          <pic:cNvPicPr/>
                        </pic:nvPicPr>
                        <pic:blipFill>
                          <a:blip cstate="screen">
                            <a:extLst>
                              <a:ext uri="{28A0092B-C50C-407E-A947-70E740481C1C}">
                                <a14:useLocalDpi xmlns:a14="http://schemas.microsoft.com/office/drawing/2010/main"/>
                              </a:ext>
                            </a:extLst>
                          </a:blip>
                          <a:stretch>
                            <a:fillRect/>
                          </a:stretch>
                        </pic:blipFill>
                        <pic:spPr>
                          <a:xfrm>
                            <a:off x="0" y="0"/>
                            <a:ext cx="2244391" cy="2152314"/>
                          </a:xfrm>
                          <a:prstGeom prst="rect">
                            <a:avLst/>
                          </a:prstGeom>
                        </pic:spPr>
                      </pic:pic>
                    </a:graphicData>
                  </a:graphic>
                </wp:inline>
              </w:drawing>
            </w:r>
          </w:p>
        </w:tc>
      </w:tr>
      <w:tr w:rsidR="00C81CC7" w:rsidRPr="000665B0" w14:paraId="00395F11" w14:textId="77777777" w:rsidTr="001F4B14">
        <w:trPr>
          <w:cantSplit/>
        </w:trPr>
        <w:tc>
          <w:tcPr>
            <w:tcW w:w="737" w:type="dxa"/>
          </w:tcPr>
          <w:p w14:paraId="11B5213B" w14:textId="77777777" w:rsidR="00C81CC7" w:rsidRPr="000665B0" w:rsidRDefault="00C81CC7" w:rsidP="006D5A65">
            <w:pPr>
              <w:pStyle w:val="Heading1"/>
            </w:pPr>
          </w:p>
        </w:tc>
        <w:tc>
          <w:tcPr>
            <w:tcW w:w="4568" w:type="dxa"/>
          </w:tcPr>
          <w:p w14:paraId="6CC88FC6" w14:textId="018F2355" w:rsidR="00C81CC7" w:rsidRPr="00757747" w:rsidRDefault="00C81CC7" w:rsidP="003D7B03">
            <w:pPr>
              <w:spacing w:before="60" w:after="60" w:line="240" w:lineRule="auto"/>
              <w:rPr>
                <w:sz w:val="20"/>
              </w:rPr>
            </w:pPr>
            <w:r w:rsidRPr="00757747">
              <w:rPr>
                <w:sz w:val="20"/>
              </w:rPr>
              <w:t xml:space="preserve">The system may prompt the user with </w:t>
            </w:r>
            <w:r w:rsidR="004D7717" w:rsidRPr="00757747">
              <w:rPr>
                <w:sz w:val="20"/>
              </w:rPr>
              <w:t xml:space="preserve">any </w:t>
            </w:r>
            <w:r w:rsidRPr="00757747">
              <w:rPr>
                <w:sz w:val="20"/>
              </w:rPr>
              <w:t>of the following:</w:t>
            </w:r>
          </w:p>
          <w:p w14:paraId="654099BC" w14:textId="3353D3D8" w:rsidR="00C81CC7" w:rsidRPr="00757747" w:rsidRDefault="00C81CC7" w:rsidP="006D5A65">
            <w:pPr>
              <w:pStyle w:val="Heading1"/>
            </w:pPr>
            <w:r w:rsidRPr="00757747">
              <w:t>Do you want to allow the following program to make changes to this computer?</w:t>
            </w:r>
          </w:p>
          <w:p w14:paraId="7A56B668" w14:textId="4AB32ACC" w:rsidR="00C81CC7" w:rsidRPr="00757747" w:rsidRDefault="00C81CC7" w:rsidP="006D5A65">
            <w:pPr>
              <w:pStyle w:val="Heading1"/>
            </w:pPr>
            <w:r w:rsidRPr="00757747">
              <w:t>Enter user &amp; password.</w:t>
            </w:r>
          </w:p>
          <w:p w14:paraId="6BA0B04F" w14:textId="77777777" w:rsidR="00C81CC7" w:rsidRPr="00757747" w:rsidRDefault="00C81CC7" w:rsidP="006D5A65">
            <w:pPr>
              <w:pStyle w:val="Heading1"/>
            </w:pPr>
            <w:r w:rsidRPr="00757747">
              <w:t>Press “Ctrl Alt Delete,” then “Enter user &amp; Password.”</w:t>
            </w:r>
          </w:p>
          <w:p w14:paraId="0E98C2B5" w14:textId="567DB178" w:rsidR="00C81CC7" w:rsidRPr="00757747" w:rsidRDefault="00C81CC7" w:rsidP="006D5A65">
            <w:pPr>
              <w:pStyle w:val="Heading1"/>
              <w:rPr>
                <w:rFonts w:eastAsia="Times New Roman"/>
              </w:rPr>
            </w:pPr>
            <w:r w:rsidRPr="00757747">
              <w:t xml:space="preserve">No </w:t>
            </w:r>
            <w:r w:rsidR="00A26420" w:rsidRPr="00757747">
              <w:t>p</w:t>
            </w:r>
            <w:r w:rsidRPr="00757747">
              <w:t>rompt</w:t>
            </w:r>
          </w:p>
          <w:p w14:paraId="157264E9" w14:textId="77777777" w:rsidR="00C81CC7" w:rsidRPr="00757747" w:rsidRDefault="00C81CC7" w:rsidP="003D7B03">
            <w:pPr>
              <w:pStyle w:val="ListParagraph"/>
              <w:spacing w:before="60" w:after="60"/>
              <w:rPr>
                <w:sz w:val="20"/>
                <w:szCs w:val="20"/>
              </w:rPr>
            </w:pPr>
          </w:p>
        </w:tc>
        <w:tc>
          <w:tcPr>
            <w:tcW w:w="4230" w:type="dxa"/>
          </w:tcPr>
          <w:p w14:paraId="6095F93D" w14:textId="77777777" w:rsidR="00C81CC7" w:rsidRPr="00757747" w:rsidRDefault="00C81CC7" w:rsidP="003D7B03">
            <w:pPr>
              <w:spacing w:before="60" w:after="60" w:line="240" w:lineRule="auto"/>
              <w:rPr>
                <w:sz w:val="20"/>
              </w:rPr>
            </w:pPr>
            <w:r w:rsidRPr="00757747">
              <w:rPr>
                <w:sz w:val="20"/>
              </w:rPr>
              <w:t xml:space="preserve">If A, then click </w:t>
            </w:r>
            <w:r w:rsidRPr="00757747">
              <w:rPr>
                <w:b/>
                <w:sz w:val="20"/>
              </w:rPr>
              <w:t>Yes</w:t>
            </w:r>
            <w:r w:rsidRPr="00757747">
              <w:rPr>
                <w:sz w:val="20"/>
              </w:rPr>
              <w:t>.</w:t>
            </w:r>
          </w:p>
          <w:p w14:paraId="748774A5" w14:textId="77777777" w:rsidR="00C81CC7" w:rsidRPr="00757747" w:rsidRDefault="00C81CC7" w:rsidP="003D7B03">
            <w:pPr>
              <w:spacing w:before="60" w:after="60" w:line="240" w:lineRule="auto"/>
              <w:rPr>
                <w:sz w:val="20"/>
              </w:rPr>
            </w:pPr>
            <w:r w:rsidRPr="00757747">
              <w:rPr>
                <w:sz w:val="20"/>
              </w:rPr>
              <w:t>If B, then enter your admin credentials (</w:t>
            </w:r>
            <w:r w:rsidRPr="00757747">
              <w:rPr>
                <w:b/>
                <w:sz w:val="20"/>
              </w:rPr>
              <w:t>name &amp; password</w:t>
            </w:r>
            <w:r w:rsidRPr="00757747">
              <w:rPr>
                <w:sz w:val="20"/>
              </w:rPr>
              <w:t>).</w:t>
            </w:r>
          </w:p>
          <w:p w14:paraId="0B92D5D5" w14:textId="77777777" w:rsidR="00C81CC7" w:rsidRPr="00757747" w:rsidRDefault="00C81CC7" w:rsidP="003D7B03">
            <w:pPr>
              <w:spacing w:before="60" w:after="60" w:line="240" w:lineRule="auto"/>
              <w:rPr>
                <w:sz w:val="20"/>
              </w:rPr>
            </w:pPr>
            <w:r w:rsidRPr="00757747">
              <w:rPr>
                <w:sz w:val="20"/>
              </w:rPr>
              <w:t xml:space="preserve">If C, then press </w:t>
            </w:r>
            <w:r w:rsidRPr="00757747">
              <w:rPr>
                <w:b/>
                <w:sz w:val="20"/>
              </w:rPr>
              <w:t>Ctrl Alt Delete</w:t>
            </w:r>
            <w:r w:rsidRPr="00757747">
              <w:rPr>
                <w:sz w:val="20"/>
              </w:rPr>
              <w:t xml:space="preserve"> to reach the “secure desktop.” Then enter your admin credentials (</w:t>
            </w:r>
            <w:r w:rsidRPr="00757747">
              <w:rPr>
                <w:b/>
                <w:sz w:val="20"/>
              </w:rPr>
              <w:t>name &amp; password</w:t>
            </w:r>
            <w:r w:rsidRPr="00757747">
              <w:rPr>
                <w:sz w:val="20"/>
              </w:rPr>
              <w:t>).</w:t>
            </w:r>
          </w:p>
          <w:p w14:paraId="1B21F179" w14:textId="77777777" w:rsidR="00C81CC7" w:rsidRPr="00757747" w:rsidRDefault="00C81CC7" w:rsidP="003D7B03">
            <w:pPr>
              <w:spacing w:before="60" w:after="60" w:line="240" w:lineRule="auto"/>
              <w:rPr>
                <w:sz w:val="20"/>
              </w:rPr>
            </w:pPr>
            <w:r w:rsidRPr="00757747">
              <w:rPr>
                <w:sz w:val="20"/>
              </w:rPr>
              <w:t>If you were not prompted (D), it merely means this system currently has a low security posture.</w:t>
            </w:r>
          </w:p>
        </w:tc>
      </w:tr>
    </w:tbl>
    <w:p w14:paraId="3400B3D1" w14:textId="77777777" w:rsidR="00654546" w:rsidRPr="000665B0" w:rsidRDefault="00BF01D7" w:rsidP="00654546">
      <w:pPr>
        <w:pBdr>
          <w:top w:val="single" w:sz="12" w:space="1" w:color="auto"/>
          <w:left w:val="single" w:sz="12" w:space="4" w:color="auto"/>
          <w:bottom w:val="single" w:sz="12" w:space="1" w:color="auto"/>
          <w:right w:val="single" w:sz="12" w:space="4" w:color="auto"/>
        </w:pBdr>
        <w:shd w:val="clear" w:color="auto" w:fill="D9D9D9" w:themeFill="background1" w:themeFillShade="D9"/>
        <w:spacing w:before="240" w:after="0"/>
        <w:jc w:val="center"/>
        <w:rPr>
          <w:b/>
          <w:bCs/>
          <w:szCs w:val="24"/>
        </w:rPr>
      </w:pPr>
      <w:r w:rsidRPr="000665B0">
        <w:rPr>
          <w:b/>
          <w:bCs/>
          <w:szCs w:val="24"/>
        </w:rPr>
        <w:t>Note</w:t>
      </w:r>
      <w:r w:rsidR="00256CCA" w:rsidRPr="000665B0">
        <w:rPr>
          <w:b/>
          <w:bCs/>
          <w:szCs w:val="24"/>
        </w:rPr>
        <w:t xml:space="preserve">: </w:t>
      </w:r>
    </w:p>
    <w:p w14:paraId="19FF2BF3" w14:textId="4E28F887" w:rsidR="00256CCA" w:rsidRPr="000665B0" w:rsidRDefault="00256CCA" w:rsidP="00654546">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szCs w:val="24"/>
        </w:rPr>
      </w:pPr>
      <w:r w:rsidRPr="000665B0">
        <w:rPr>
          <w:b/>
          <w:bCs/>
          <w:szCs w:val="24"/>
        </w:rPr>
        <w:t>As a rule, UserID and password should only be entered on a “secure desktop” and after the attention sequence Ctrl Alt Delete</w:t>
      </w:r>
      <w:r w:rsidR="00BF01D7" w:rsidRPr="000665B0">
        <w:rPr>
          <w:b/>
          <w:bCs/>
          <w:szCs w:val="24"/>
        </w:rPr>
        <w:t>.</w:t>
      </w:r>
      <w:r w:rsidRPr="000665B0">
        <w:rPr>
          <w:b/>
          <w:bCs/>
          <w:szCs w:val="24"/>
        </w:rPr>
        <w:t xml:space="preserve"> UserIDs and Passwords entered elsewhere are susceptible to interception by malware.</w:t>
      </w:r>
      <w:bookmarkStart w:id="8107" w:name="_1.4.1_Run_“PowerShell"/>
      <w:bookmarkStart w:id="8108" w:name="_1.4.2_Run_“PowerShell"/>
      <w:bookmarkStart w:id="8109" w:name="_1.5.2_Run_“PowerShell"/>
      <w:bookmarkEnd w:id="8107"/>
      <w:bookmarkEnd w:id="8108"/>
      <w:bookmarkEnd w:id="8109"/>
    </w:p>
    <w:p w14:paraId="6D45D507" w14:textId="62043DF2" w:rsidR="00256CCA" w:rsidRPr="000665B0" w:rsidRDefault="00256CCA" w:rsidP="00AE53CA">
      <w:pPr>
        <w:pStyle w:val="Appendix3"/>
        <w:ind w:left="360"/>
      </w:pPr>
      <w:bookmarkStart w:id="8110" w:name="_1.5.2_Run_“PowerShell_1"/>
      <w:bookmarkStart w:id="8111" w:name="_Toc311470629"/>
      <w:bookmarkStart w:id="8112" w:name="RunPowerShellAsAdmiistrator"/>
      <w:bookmarkStart w:id="8113" w:name="_Toc214283738"/>
      <w:bookmarkEnd w:id="8110"/>
      <w:r w:rsidRPr="000665B0">
        <w:lastRenderedPageBreak/>
        <w:t>Run “PowerShell As Administrator”</w:t>
      </w:r>
      <w:bookmarkEnd w:id="8111"/>
      <w:bookmarkEnd w:id="8112"/>
      <w:bookmarkEnd w:id="8113"/>
    </w:p>
    <w:p w14:paraId="2B0A5FE3" w14:textId="77777777" w:rsidR="00256CCA" w:rsidRPr="000665B0" w:rsidRDefault="00256CCA" w:rsidP="00AC3F85">
      <w:pPr>
        <w:keepNext/>
      </w:pPr>
      <w:r w:rsidRPr="000665B0">
        <w:t xml:space="preserve">PowerShell scripts (.ps1 files) can be right-clicked and run in PowerShell. However, there is no easy way to right-click </w:t>
      </w:r>
      <w:r w:rsidR="008C0487" w:rsidRPr="000665B0">
        <w:t xml:space="preserve">and </w:t>
      </w:r>
      <w:r w:rsidRPr="000665B0">
        <w:t xml:space="preserve">run in PowerShell </w:t>
      </w:r>
      <w:r w:rsidR="008C0487" w:rsidRPr="000665B0">
        <w:t>as an administrator.</w:t>
      </w:r>
    </w:p>
    <w:p w14:paraId="480D4222" w14:textId="77777777" w:rsidR="00256CCA" w:rsidRPr="000665B0" w:rsidRDefault="00256CCA" w:rsidP="00AC3F85">
      <w:pPr>
        <w:keepNext/>
      </w:pPr>
      <w:r w:rsidRPr="000665B0">
        <w:t>To run a PS1 file as an administrator, do the following:</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7"/>
        <w:gridCol w:w="4568"/>
        <w:gridCol w:w="4230"/>
      </w:tblGrid>
      <w:tr w:rsidR="00C81CC7" w:rsidRPr="000665B0" w14:paraId="35F2769A" w14:textId="77777777" w:rsidTr="001F4B14">
        <w:trPr>
          <w:cantSplit/>
          <w:tblHeader/>
        </w:trPr>
        <w:tc>
          <w:tcPr>
            <w:tcW w:w="9535" w:type="dxa"/>
            <w:gridSpan w:val="3"/>
            <w:shd w:val="clear" w:color="auto" w:fill="D9D9D9" w:themeFill="background1" w:themeFillShade="D9"/>
          </w:tcPr>
          <w:p w14:paraId="3FAEF4CF" w14:textId="14D332E1" w:rsidR="00C81CC7" w:rsidRPr="000665B0" w:rsidRDefault="00093C35" w:rsidP="003D7B03">
            <w:pPr>
              <w:keepNext/>
              <w:spacing w:before="60" w:after="60" w:line="240" w:lineRule="auto"/>
              <w:rPr>
                <w:b/>
                <w:noProof/>
              </w:rPr>
            </w:pPr>
            <w:r w:rsidRPr="000665B0">
              <w:rPr>
                <w:b/>
              </w:rPr>
              <w:t>Q</w:t>
            </w:r>
            <w:r w:rsidR="001E137B" w:rsidRPr="000665B0">
              <w:rPr>
                <w:b/>
              </w:rPr>
              <w:t>.</w:t>
            </w:r>
            <w:r w:rsidR="00C81CC7" w:rsidRPr="000665B0">
              <w:rPr>
                <w:b/>
              </w:rPr>
              <w:t>3.2</w:t>
            </w:r>
            <w:r w:rsidR="009651B0">
              <w:rPr>
                <w:b/>
              </w:rPr>
              <w:t xml:space="preserve"> </w:t>
            </w:r>
            <w:r w:rsidR="00C81CC7" w:rsidRPr="000665B0">
              <w:rPr>
                <w:b/>
              </w:rPr>
              <w:t>Run “PowerShell As Administrator”</w:t>
            </w:r>
          </w:p>
        </w:tc>
      </w:tr>
      <w:tr w:rsidR="00256CCA" w:rsidRPr="000665B0" w14:paraId="47FEA89C" w14:textId="77777777" w:rsidTr="001F4B14">
        <w:trPr>
          <w:cantSplit/>
          <w:tblHeader/>
        </w:trPr>
        <w:tc>
          <w:tcPr>
            <w:tcW w:w="737" w:type="dxa"/>
            <w:shd w:val="clear" w:color="auto" w:fill="D9D9D9" w:themeFill="background1" w:themeFillShade="D9"/>
          </w:tcPr>
          <w:p w14:paraId="31BCBDC6" w14:textId="77777777" w:rsidR="00256CCA" w:rsidRPr="000665B0" w:rsidRDefault="00256CCA" w:rsidP="003D7B03">
            <w:pPr>
              <w:keepNext/>
              <w:spacing w:before="60" w:after="60" w:line="240" w:lineRule="auto"/>
              <w:rPr>
                <w:b/>
              </w:rPr>
            </w:pPr>
            <w:r w:rsidRPr="000665B0">
              <w:rPr>
                <w:b/>
              </w:rPr>
              <w:t>Step</w:t>
            </w:r>
          </w:p>
        </w:tc>
        <w:tc>
          <w:tcPr>
            <w:tcW w:w="4568" w:type="dxa"/>
            <w:shd w:val="clear" w:color="auto" w:fill="D9D9D9" w:themeFill="background1" w:themeFillShade="D9"/>
          </w:tcPr>
          <w:p w14:paraId="30C927E0" w14:textId="77777777" w:rsidR="00256CCA" w:rsidRPr="000665B0" w:rsidRDefault="00256CCA" w:rsidP="003D7B03">
            <w:pPr>
              <w:keepNext/>
              <w:spacing w:before="60" w:after="60" w:line="240" w:lineRule="auto"/>
              <w:rPr>
                <w:b/>
              </w:rPr>
            </w:pPr>
            <w:r w:rsidRPr="000665B0">
              <w:rPr>
                <w:b/>
              </w:rPr>
              <w:t>Procedure</w:t>
            </w:r>
          </w:p>
        </w:tc>
        <w:tc>
          <w:tcPr>
            <w:tcW w:w="4230" w:type="dxa"/>
            <w:shd w:val="clear" w:color="auto" w:fill="D9D9D9" w:themeFill="background1" w:themeFillShade="D9"/>
          </w:tcPr>
          <w:p w14:paraId="300B9923" w14:textId="77777777" w:rsidR="00256CCA" w:rsidRPr="000665B0" w:rsidRDefault="00256CCA" w:rsidP="003D7B03">
            <w:pPr>
              <w:keepNext/>
              <w:spacing w:before="60" w:after="60" w:line="240" w:lineRule="auto"/>
              <w:rPr>
                <w:b/>
                <w:noProof/>
              </w:rPr>
            </w:pPr>
            <w:r w:rsidRPr="000665B0">
              <w:rPr>
                <w:b/>
                <w:noProof/>
              </w:rPr>
              <w:t>Comments</w:t>
            </w:r>
          </w:p>
        </w:tc>
      </w:tr>
      <w:tr w:rsidR="00256CCA" w:rsidRPr="000665B0" w14:paraId="725C9B45" w14:textId="77777777" w:rsidTr="001F4B14">
        <w:trPr>
          <w:cantSplit/>
        </w:trPr>
        <w:tc>
          <w:tcPr>
            <w:tcW w:w="737" w:type="dxa"/>
          </w:tcPr>
          <w:p w14:paraId="0F973ACC" w14:textId="77777777" w:rsidR="00256CCA" w:rsidRPr="000665B0" w:rsidRDefault="00256CCA" w:rsidP="006D5A65">
            <w:pPr>
              <w:pStyle w:val="Heading1"/>
            </w:pPr>
          </w:p>
        </w:tc>
        <w:tc>
          <w:tcPr>
            <w:tcW w:w="4568" w:type="dxa"/>
          </w:tcPr>
          <w:p w14:paraId="37B75A95" w14:textId="77777777" w:rsidR="00256CCA" w:rsidRPr="00757747" w:rsidRDefault="00256CCA" w:rsidP="003D7B03">
            <w:pPr>
              <w:spacing w:before="60" w:after="60" w:line="240" w:lineRule="auto"/>
              <w:rPr>
                <w:sz w:val="20"/>
              </w:rPr>
            </w:pPr>
            <w:r w:rsidRPr="00757747">
              <w:rPr>
                <w:sz w:val="20"/>
              </w:rPr>
              <w:t>Copy the path (identified in the procedure) into the clipboard.</w:t>
            </w:r>
          </w:p>
        </w:tc>
        <w:tc>
          <w:tcPr>
            <w:tcW w:w="4230" w:type="dxa"/>
          </w:tcPr>
          <w:p w14:paraId="101AE1FF" w14:textId="77777777" w:rsidR="00256CCA" w:rsidRPr="000665B0" w:rsidRDefault="00FF56E8" w:rsidP="003D7B03">
            <w:pPr>
              <w:spacing w:before="60" w:after="60" w:line="240" w:lineRule="auto"/>
            </w:pPr>
            <w:r w:rsidRPr="000665B0">
              <w:rPr>
                <w:noProof/>
              </w:rPr>
              <w:drawing>
                <wp:inline distT="0" distB="0" distL="0" distR="0" wp14:anchorId="1C4B3B71" wp14:editId="0D342EFA">
                  <wp:extent cx="2777490" cy="948917"/>
                  <wp:effectExtent l="0" t="0" r="3810" b="3810"/>
                  <wp:docPr id="1405" name="Picture 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1.png"/>
                          <pic:cNvPicPr/>
                        </pic:nvPicPr>
                        <pic:blipFill>
                          <a:blip cstate="screen">
                            <a:extLst>
                              <a:ext uri="{28A0092B-C50C-407E-A947-70E740481C1C}">
                                <a14:useLocalDpi xmlns:a14="http://schemas.microsoft.com/office/drawing/2010/main"/>
                              </a:ext>
                            </a:extLst>
                          </a:blip>
                          <a:stretch>
                            <a:fillRect/>
                          </a:stretch>
                        </pic:blipFill>
                        <pic:spPr>
                          <a:xfrm>
                            <a:off x="0" y="0"/>
                            <a:ext cx="2777490" cy="948917"/>
                          </a:xfrm>
                          <a:prstGeom prst="rect">
                            <a:avLst/>
                          </a:prstGeom>
                        </pic:spPr>
                      </pic:pic>
                    </a:graphicData>
                  </a:graphic>
                </wp:inline>
              </w:drawing>
            </w:r>
          </w:p>
        </w:tc>
      </w:tr>
      <w:tr w:rsidR="00256CCA" w:rsidRPr="000665B0" w14:paraId="58107C12" w14:textId="77777777" w:rsidTr="001F4B14">
        <w:trPr>
          <w:cantSplit/>
        </w:trPr>
        <w:tc>
          <w:tcPr>
            <w:tcW w:w="737" w:type="dxa"/>
          </w:tcPr>
          <w:p w14:paraId="65BDA9A3" w14:textId="77777777" w:rsidR="00256CCA" w:rsidRPr="000665B0" w:rsidRDefault="00256CCA" w:rsidP="006D5A65">
            <w:pPr>
              <w:pStyle w:val="Heading1"/>
            </w:pPr>
          </w:p>
        </w:tc>
        <w:tc>
          <w:tcPr>
            <w:tcW w:w="4568" w:type="dxa"/>
          </w:tcPr>
          <w:p w14:paraId="3821D0EB" w14:textId="77777777" w:rsidR="00256CCA" w:rsidRPr="00757747" w:rsidRDefault="00825522" w:rsidP="003D7B03">
            <w:pPr>
              <w:spacing w:before="60" w:after="60" w:line="240" w:lineRule="auto"/>
              <w:rPr>
                <w:sz w:val="20"/>
              </w:rPr>
            </w:pPr>
            <w:r w:rsidRPr="00757747">
              <w:rPr>
                <w:sz w:val="20"/>
              </w:rPr>
              <w:t xml:space="preserve">Right-click the </w:t>
            </w:r>
            <w:r w:rsidRPr="00757747">
              <w:rPr>
                <w:noProof/>
                <w:sz w:val="20"/>
              </w:rPr>
              <w:drawing>
                <wp:inline distT="0" distB="0" distL="0" distR="0" wp14:anchorId="25FAE6E4" wp14:editId="257889E7">
                  <wp:extent cx="182880" cy="178068"/>
                  <wp:effectExtent l="0" t="0" r="7620" b="0"/>
                  <wp:docPr id="1363" name="Picture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757747">
              <w:rPr>
                <w:sz w:val="20"/>
              </w:rPr>
              <w:t xml:space="preserve"> icon and select </w:t>
            </w:r>
            <w:r w:rsidRPr="00757747">
              <w:rPr>
                <w:b/>
                <w:sz w:val="20"/>
              </w:rPr>
              <w:t>Search</w:t>
            </w:r>
            <w:r w:rsidRPr="00757747">
              <w:rPr>
                <w:sz w:val="20"/>
              </w:rPr>
              <w:t xml:space="preserve"> from the pop-up menu. Type </w:t>
            </w:r>
            <w:r w:rsidRPr="00757747">
              <w:rPr>
                <w:b/>
                <w:sz w:val="20"/>
              </w:rPr>
              <w:t>Windows PowerShell</w:t>
            </w:r>
            <w:r w:rsidRPr="00757747">
              <w:rPr>
                <w:sz w:val="20"/>
              </w:rPr>
              <w:t xml:space="preserve"> in the </w:t>
            </w:r>
            <w:r w:rsidRPr="00757747">
              <w:rPr>
                <w:b/>
                <w:sz w:val="20"/>
              </w:rPr>
              <w:t>Search</w:t>
            </w:r>
            <w:r w:rsidRPr="00757747">
              <w:rPr>
                <w:sz w:val="20"/>
              </w:rPr>
              <w:t xml:space="preserve"> field, and then right-click </w:t>
            </w:r>
            <w:r w:rsidRPr="00757747">
              <w:rPr>
                <w:b/>
                <w:sz w:val="20"/>
              </w:rPr>
              <w:t>Windows PowerShell</w:t>
            </w:r>
            <w:r w:rsidRPr="00757747">
              <w:rPr>
                <w:sz w:val="20"/>
              </w:rPr>
              <w:t xml:space="preserve"> in the results list and select</w:t>
            </w:r>
            <w:r w:rsidRPr="00757747">
              <w:rPr>
                <w:b/>
                <w:sz w:val="20"/>
              </w:rPr>
              <w:t xml:space="preserve"> Run as administrator</w:t>
            </w:r>
            <w:r w:rsidRPr="00757747">
              <w:rPr>
                <w:sz w:val="20"/>
              </w:rPr>
              <w:t xml:space="preserve"> from the pop-up menu.</w:t>
            </w:r>
          </w:p>
        </w:tc>
        <w:tc>
          <w:tcPr>
            <w:tcW w:w="4230" w:type="dxa"/>
          </w:tcPr>
          <w:p w14:paraId="0458A722" w14:textId="77777777" w:rsidR="00256CCA" w:rsidRPr="000665B0" w:rsidRDefault="00825522" w:rsidP="003D7B03">
            <w:pPr>
              <w:spacing w:before="60" w:after="60" w:line="240" w:lineRule="auto"/>
            </w:pPr>
            <w:r w:rsidRPr="000665B0">
              <w:rPr>
                <w:noProof/>
              </w:rPr>
              <w:drawing>
                <wp:inline distT="0" distB="0" distL="0" distR="0" wp14:anchorId="1C4F2AED" wp14:editId="242E8EEE">
                  <wp:extent cx="1610595" cy="2266950"/>
                  <wp:effectExtent l="0" t="0" r="8890" b="0"/>
                  <wp:docPr id="1364"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screen">
                            <a:extLst>
                              <a:ext uri="{28A0092B-C50C-407E-A947-70E740481C1C}">
                                <a14:useLocalDpi xmlns:a14="http://schemas.microsoft.com/office/drawing/2010/main"/>
                              </a:ext>
                            </a:extLst>
                          </a:blip>
                          <a:stretch>
                            <a:fillRect/>
                          </a:stretch>
                        </pic:blipFill>
                        <pic:spPr>
                          <a:xfrm>
                            <a:off x="0" y="0"/>
                            <a:ext cx="1608293" cy="2263710"/>
                          </a:xfrm>
                          <a:prstGeom prst="rect">
                            <a:avLst/>
                          </a:prstGeom>
                        </pic:spPr>
                      </pic:pic>
                    </a:graphicData>
                  </a:graphic>
                </wp:inline>
              </w:drawing>
            </w:r>
          </w:p>
        </w:tc>
      </w:tr>
      <w:tr w:rsidR="00256CCA" w:rsidRPr="000665B0" w14:paraId="1A0F819C" w14:textId="77777777" w:rsidTr="001F4B14">
        <w:trPr>
          <w:cantSplit/>
        </w:trPr>
        <w:tc>
          <w:tcPr>
            <w:tcW w:w="737" w:type="dxa"/>
          </w:tcPr>
          <w:p w14:paraId="0B74ABA3" w14:textId="77777777" w:rsidR="00256CCA" w:rsidRPr="000665B0" w:rsidRDefault="00256CCA" w:rsidP="006D5A65">
            <w:pPr>
              <w:pStyle w:val="Heading1"/>
            </w:pPr>
          </w:p>
        </w:tc>
        <w:tc>
          <w:tcPr>
            <w:tcW w:w="4568" w:type="dxa"/>
          </w:tcPr>
          <w:p w14:paraId="15E951AD" w14:textId="17179D1E" w:rsidR="00256CCA" w:rsidRPr="00757747" w:rsidRDefault="003D40E8" w:rsidP="003D7B03">
            <w:pPr>
              <w:spacing w:before="60" w:after="60" w:line="240" w:lineRule="auto"/>
              <w:rPr>
                <w:sz w:val="20"/>
              </w:rPr>
            </w:pPr>
            <w:r w:rsidRPr="00757747">
              <w:rPr>
                <w:sz w:val="20"/>
              </w:rPr>
              <w:t xml:space="preserve">Authorize the </w:t>
            </w:r>
            <w:r w:rsidR="00256CCA" w:rsidRPr="00757747">
              <w:rPr>
                <w:b/>
                <w:sz w:val="20"/>
              </w:rPr>
              <w:t>run as</w:t>
            </w:r>
            <w:r w:rsidR="00256CCA" w:rsidRPr="00757747">
              <w:rPr>
                <w:sz w:val="20"/>
              </w:rPr>
              <w:t xml:space="preserve"> action </w:t>
            </w:r>
            <w:r w:rsidR="000A7E71" w:rsidRPr="00757747">
              <w:rPr>
                <w:sz w:val="20"/>
              </w:rPr>
              <w:t>(see</w:t>
            </w:r>
            <w:r w:rsidR="00256CCA" w:rsidRPr="00757747">
              <w:rPr>
                <w:sz w:val="20"/>
              </w:rPr>
              <w:t xml:space="preserve"> </w:t>
            </w:r>
            <w:hyperlink w:anchor="RunAsAdmiistrator" w:history="1">
              <w:r w:rsidR="00256CCA" w:rsidRPr="00757747">
                <w:rPr>
                  <w:rStyle w:val="Hyperlink"/>
                  <w:sz w:val="20"/>
                </w:rPr>
                <w:t xml:space="preserve">Section </w:t>
              </w:r>
              <w:r w:rsidR="00093C35" w:rsidRPr="00757747">
                <w:rPr>
                  <w:rStyle w:val="Hyperlink"/>
                  <w:sz w:val="20"/>
                </w:rPr>
                <w:t>Q</w:t>
              </w:r>
              <w:r w:rsidR="00313130" w:rsidRPr="00757747">
                <w:rPr>
                  <w:rStyle w:val="Hyperlink"/>
                  <w:sz w:val="20"/>
                </w:rPr>
                <w:t>.</w:t>
              </w:r>
              <w:r w:rsidR="00654546" w:rsidRPr="00757747">
                <w:rPr>
                  <w:rStyle w:val="Hyperlink"/>
                  <w:sz w:val="20"/>
                </w:rPr>
                <w:t>3.1</w:t>
              </w:r>
            </w:hyperlink>
            <w:r w:rsidR="001C6098">
              <w:rPr>
                <w:sz w:val="20"/>
              </w:rPr>
              <w:t>).</w:t>
            </w:r>
          </w:p>
        </w:tc>
        <w:tc>
          <w:tcPr>
            <w:tcW w:w="4230" w:type="dxa"/>
          </w:tcPr>
          <w:p w14:paraId="32EF1BEF" w14:textId="77777777" w:rsidR="00256CCA" w:rsidRPr="00757747" w:rsidRDefault="00256CCA" w:rsidP="003D7B03">
            <w:pPr>
              <w:spacing w:before="60" w:after="60" w:line="240" w:lineRule="auto"/>
              <w:rPr>
                <w:noProof/>
                <w:sz w:val="20"/>
              </w:rPr>
            </w:pPr>
          </w:p>
        </w:tc>
      </w:tr>
      <w:tr w:rsidR="00256CCA" w:rsidRPr="000665B0" w14:paraId="59C335C0" w14:textId="77777777" w:rsidTr="001F4B14">
        <w:trPr>
          <w:cantSplit/>
        </w:trPr>
        <w:tc>
          <w:tcPr>
            <w:tcW w:w="737" w:type="dxa"/>
          </w:tcPr>
          <w:p w14:paraId="5FEBF2B8" w14:textId="77777777" w:rsidR="00256CCA" w:rsidRPr="000665B0" w:rsidRDefault="00256CCA" w:rsidP="006D5A65">
            <w:pPr>
              <w:pStyle w:val="Heading1"/>
            </w:pPr>
          </w:p>
        </w:tc>
        <w:tc>
          <w:tcPr>
            <w:tcW w:w="4568" w:type="dxa"/>
          </w:tcPr>
          <w:p w14:paraId="79CB6DC2" w14:textId="77777777" w:rsidR="00256CCA" w:rsidRPr="00757747" w:rsidRDefault="00256CCA" w:rsidP="003D7B03">
            <w:pPr>
              <w:spacing w:before="60" w:after="60" w:line="240" w:lineRule="auto"/>
              <w:rPr>
                <w:sz w:val="20"/>
              </w:rPr>
            </w:pPr>
            <w:r w:rsidRPr="00757747">
              <w:rPr>
                <w:sz w:val="20"/>
              </w:rPr>
              <w:t>With</w:t>
            </w:r>
            <w:r w:rsidR="003D40E8" w:rsidRPr="00757747">
              <w:rPr>
                <w:sz w:val="20"/>
              </w:rPr>
              <w:t xml:space="preserve">in the </w:t>
            </w:r>
            <w:r w:rsidR="00825522" w:rsidRPr="00757747">
              <w:rPr>
                <w:i/>
                <w:sz w:val="20"/>
              </w:rPr>
              <w:t xml:space="preserve">Administrator: Windows </w:t>
            </w:r>
            <w:r w:rsidR="003D40E8" w:rsidRPr="00757747">
              <w:rPr>
                <w:i/>
                <w:sz w:val="20"/>
              </w:rPr>
              <w:t xml:space="preserve">PowerShell </w:t>
            </w:r>
            <w:r w:rsidR="003D40E8" w:rsidRPr="00757747">
              <w:rPr>
                <w:sz w:val="20"/>
              </w:rPr>
              <w:t xml:space="preserve">window, type </w:t>
            </w:r>
            <w:r w:rsidRPr="00757747">
              <w:rPr>
                <w:b/>
                <w:sz w:val="20"/>
              </w:rPr>
              <w:t>cd</w:t>
            </w:r>
            <w:r w:rsidRPr="00757747">
              <w:rPr>
                <w:sz w:val="20"/>
              </w:rPr>
              <w:t xml:space="preserve">, then </w:t>
            </w:r>
            <w:r w:rsidR="0066216C" w:rsidRPr="00757747">
              <w:rPr>
                <w:sz w:val="20"/>
              </w:rPr>
              <w:br/>
            </w:r>
            <w:r w:rsidR="00B11C71" w:rsidRPr="00757747">
              <w:rPr>
                <w:sz w:val="20"/>
              </w:rPr>
              <w:t>r</w:t>
            </w:r>
            <w:r w:rsidRPr="00757747">
              <w:rPr>
                <w:sz w:val="20"/>
              </w:rPr>
              <w:t>ight-</w:t>
            </w:r>
            <w:r w:rsidR="00B11C71" w:rsidRPr="00757747">
              <w:rPr>
                <w:sz w:val="20"/>
              </w:rPr>
              <w:t>c</w:t>
            </w:r>
            <w:r w:rsidRPr="00757747">
              <w:rPr>
                <w:sz w:val="20"/>
              </w:rPr>
              <w:t>lick</w:t>
            </w:r>
            <w:r w:rsidRPr="00757747">
              <w:rPr>
                <w:b/>
                <w:sz w:val="20"/>
              </w:rPr>
              <w:t xml:space="preserve"> Paste</w:t>
            </w:r>
            <w:r w:rsidRPr="00757747">
              <w:rPr>
                <w:sz w:val="20"/>
              </w:rPr>
              <w:t xml:space="preserve">, and </w:t>
            </w:r>
            <w:r w:rsidR="003D40E8" w:rsidRPr="00757747">
              <w:rPr>
                <w:sz w:val="20"/>
              </w:rPr>
              <w:t>press</w:t>
            </w:r>
            <w:r w:rsidRPr="00757747">
              <w:rPr>
                <w:sz w:val="20"/>
              </w:rPr>
              <w:t xml:space="preserve"> </w:t>
            </w:r>
            <w:r w:rsidR="003D40E8" w:rsidRPr="00757747">
              <w:rPr>
                <w:b/>
                <w:sz w:val="20"/>
              </w:rPr>
              <w:t>E</w:t>
            </w:r>
            <w:r w:rsidRPr="00757747">
              <w:rPr>
                <w:b/>
                <w:sz w:val="20"/>
              </w:rPr>
              <w:t>nter</w:t>
            </w:r>
            <w:r w:rsidRPr="00757747">
              <w:rPr>
                <w:sz w:val="20"/>
              </w:rPr>
              <w:t>.</w:t>
            </w:r>
          </w:p>
        </w:tc>
        <w:tc>
          <w:tcPr>
            <w:tcW w:w="4230" w:type="dxa"/>
          </w:tcPr>
          <w:p w14:paraId="0C3EA16B" w14:textId="77777777" w:rsidR="00256CCA" w:rsidRPr="00757747" w:rsidRDefault="00256CCA" w:rsidP="003D7B03">
            <w:pPr>
              <w:spacing w:before="60" w:after="60" w:line="240" w:lineRule="auto"/>
              <w:rPr>
                <w:noProof/>
                <w:sz w:val="20"/>
              </w:rPr>
            </w:pPr>
            <w:r w:rsidRPr="00757747">
              <w:rPr>
                <w:sz w:val="20"/>
              </w:rPr>
              <w:t>You are now in a PowerShell window with administrator privileges in the folder with the PS1 file.</w:t>
            </w:r>
          </w:p>
        </w:tc>
      </w:tr>
      <w:tr w:rsidR="00256CCA" w:rsidRPr="000665B0" w14:paraId="5586DCF7" w14:textId="77777777" w:rsidTr="001F4B14">
        <w:trPr>
          <w:cantSplit/>
        </w:trPr>
        <w:tc>
          <w:tcPr>
            <w:tcW w:w="737" w:type="dxa"/>
          </w:tcPr>
          <w:p w14:paraId="30F1E336" w14:textId="77777777" w:rsidR="00256CCA" w:rsidRPr="000665B0" w:rsidRDefault="00256CCA" w:rsidP="006D5A65">
            <w:pPr>
              <w:pStyle w:val="Heading1"/>
            </w:pPr>
          </w:p>
        </w:tc>
        <w:tc>
          <w:tcPr>
            <w:tcW w:w="4568" w:type="dxa"/>
          </w:tcPr>
          <w:p w14:paraId="4AA66E00" w14:textId="77777777" w:rsidR="00256CCA" w:rsidRPr="00757747" w:rsidRDefault="003D40E8" w:rsidP="003D7B03">
            <w:pPr>
              <w:spacing w:before="60" w:after="60" w:line="240" w:lineRule="auto"/>
              <w:rPr>
                <w:sz w:val="20"/>
              </w:rPr>
            </w:pPr>
            <w:r w:rsidRPr="00757747">
              <w:rPr>
                <w:sz w:val="20"/>
              </w:rPr>
              <w:t>Run the script, by entering</w:t>
            </w:r>
            <w:r w:rsidR="001B2A4C" w:rsidRPr="00757747">
              <w:rPr>
                <w:sz w:val="20"/>
              </w:rPr>
              <w:t>:</w:t>
            </w:r>
            <w:r w:rsidRPr="00757747">
              <w:rPr>
                <w:sz w:val="20"/>
              </w:rPr>
              <w:t xml:space="preserve"> </w:t>
            </w:r>
            <w:r w:rsidRPr="00757747">
              <w:rPr>
                <w:b/>
                <w:sz w:val="20"/>
              </w:rPr>
              <w:t>.\SomeScript.ps1</w:t>
            </w:r>
          </w:p>
        </w:tc>
        <w:tc>
          <w:tcPr>
            <w:tcW w:w="4230" w:type="dxa"/>
          </w:tcPr>
          <w:p w14:paraId="6DD6D89A" w14:textId="77777777" w:rsidR="00256CCA" w:rsidRPr="00757747" w:rsidRDefault="00256CCA" w:rsidP="003D7B03">
            <w:pPr>
              <w:spacing w:before="60" w:after="60" w:line="240" w:lineRule="auto"/>
              <w:rPr>
                <w:noProof/>
                <w:sz w:val="20"/>
              </w:rPr>
            </w:pPr>
            <w:r w:rsidRPr="00757747">
              <w:rPr>
                <w:noProof/>
                <w:sz w:val="20"/>
              </w:rPr>
              <w:t>Scripts alwa</w:t>
            </w:r>
            <w:r w:rsidR="003D40E8" w:rsidRPr="00757747">
              <w:rPr>
                <w:noProof/>
                <w:sz w:val="20"/>
              </w:rPr>
              <w:t xml:space="preserve">ys have to be preceeded with a </w:t>
            </w:r>
            <w:r w:rsidR="003D40E8" w:rsidRPr="00757747">
              <w:rPr>
                <w:b/>
                <w:noProof/>
                <w:sz w:val="20"/>
              </w:rPr>
              <w:t>.\</w:t>
            </w:r>
            <w:r w:rsidRPr="00757747">
              <w:rPr>
                <w:noProof/>
                <w:sz w:val="20"/>
              </w:rPr>
              <w:t xml:space="preserve">. </w:t>
            </w:r>
          </w:p>
          <w:p w14:paraId="66408DA5" w14:textId="77777777" w:rsidR="00256CCA" w:rsidRPr="00757747" w:rsidRDefault="00256CCA" w:rsidP="003D7B03">
            <w:pPr>
              <w:spacing w:before="60" w:after="60" w:line="240" w:lineRule="auto"/>
              <w:rPr>
                <w:noProof/>
                <w:sz w:val="20"/>
              </w:rPr>
            </w:pPr>
            <w:r w:rsidRPr="00757747">
              <w:rPr>
                <w:noProof/>
                <w:sz w:val="20"/>
              </w:rPr>
              <w:t xml:space="preserve">In this example it may be easiest to enter </w:t>
            </w:r>
            <w:r w:rsidR="003D40E8" w:rsidRPr="00757747">
              <w:rPr>
                <w:noProof/>
                <w:sz w:val="20"/>
              </w:rPr>
              <w:t>(</w:t>
            </w:r>
            <w:r w:rsidRPr="00757747">
              <w:rPr>
                <w:b/>
                <w:noProof/>
                <w:sz w:val="20"/>
              </w:rPr>
              <w:t>Some</w:t>
            </w:r>
            <w:r w:rsidR="003D40E8" w:rsidRPr="00757747">
              <w:rPr>
                <w:noProof/>
                <w:sz w:val="20"/>
              </w:rPr>
              <w:t>)</w:t>
            </w:r>
            <w:r w:rsidRPr="00757747">
              <w:rPr>
                <w:noProof/>
                <w:sz w:val="20"/>
              </w:rPr>
              <w:t xml:space="preserve"> &lt;</w:t>
            </w:r>
            <w:r w:rsidRPr="00757747">
              <w:rPr>
                <w:b/>
                <w:noProof/>
                <w:sz w:val="20"/>
              </w:rPr>
              <w:t>TAB</w:t>
            </w:r>
            <w:r w:rsidRPr="00757747">
              <w:rPr>
                <w:noProof/>
                <w:sz w:val="20"/>
              </w:rPr>
              <w:t xml:space="preserve">&gt;, and the powershell will guess the </w:t>
            </w:r>
            <w:r w:rsidR="003D40E8" w:rsidRPr="00757747">
              <w:rPr>
                <w:noProof/>
                <w:sz w:val="20"/>
              </w:rPr>
              <w:t xml:space="preserve">file you want, and prepend the </w:t>
            </w:r>
            <w:r w:rsidRPr="00757747">
              <w:rPr>
                <w:b/>
                <w:noProof/>
                <w:sz w:val="20"/>
              </w:rPr>
              <w:t>.\</w:t>
            </w:r>
            <w:r w:rsidRPr="00757747">
              <w:rPr>
                <w:noProof/>
                <w:sz w:val="20"/>
              </w:rPr>
              <w:t xml:space="preserve"> </w:t>
            </w:r>
            <w:r w:rsidR="001B2A4C" w:rsidRPr="00757747">
              <w:rPr>
                <w:noProof/>
                <w:sz w:val="20"/>
              </w:rPr>
              <w:t>.</w:t>
            </w:r>
          </w:p>
        </w:tc>
      </w:tr>
    </w:tbl>
    <w:p w14:paraId="31D7CA65" w14:textId="37F1D641" w:rsidR="00BF01D7" w:rsidRPr="000665B0" w:rsidRDefault="00BF01D7" w:rsidP="00D36D30">
      <w:pPr>
        <w:pStyle w:val="Appendix3"/>
        <w:ind w:left="360"/>
      </w:pPr>
      <w:bookmarkStart w:id="8114" w:name="Using_WinZip"/>
      <w:bookmarkStart w:id="8115" w:name="_Toc214283739"/>
      <w:bookmarkStart w:id="8116" w:name="_Toc280872553"/>
      <w:bookmarkStart w:id="8117" w:name="_Toc311470635"/>
      <w:r w:rsidRPr="000665B0">
        <w:t>Using WinZip</w:t>
      </w:r>
      <w:bookmarkEnd w:id="8114"/>
      <w:bookmarkEnd w:id="8115"/>
      <w:r w:rsidRPr="000665B0">
        <w:t xml:space="preserve"> </w:t>
      </w:r>
    </w:p>
    <w:p w14:paraId="3E7C564A" w14:textId="77777777" w:rsidR="00BF01D7" w:rsidRPr="007540A6" w:rsidRDefault="00BF01D7" w:rsidP="00BD2015">
      <w:pPr>
        <w:keepNext/>
        <w:rPr>
          <w:b/>
          <w:bCs/>
        </w:rPr>
      </w:pPr>
      <w:r w:rsidRPr="007540A6">
        <w:rPr>
          <w:b/>
          <w:bCs/>
        </w:rPr>
        <w:t>WinZip</w:t>
      </w:r>
      <w:r w:rsidRPr="007540A6">
        <w:t xml:space="preserve"> is a compression utility that can be used to archive one or more files into a single smaller file, making it more efficient for storage and transmission. </w:t>
      </w:r>
    </w:p>
    <w:tbl>
      <w:tblPr>
        <w:tblStyle w:val="StandardTable1"/>
        <w:tblW w:w="9535" w:type="dxa"/>
        <w:tblLayout w:type="fixed"/>
        <w:tblLook w:val="04A0" w:firstRow="1" w:lastRow="0" w:firstColumn="1" w:lastColumn="0" w:noHBand="0" w:noVBand="1"/>
      </w:tblPr>
      <w:tblGrid>
        <w:gridCol w:w="805"/>
        <w:gridCol w:w="4500"/>
        <w:gridCol w:w="4230"/>
      </w:tblGrid>
      <w:tr w:rsidR="00C81CC7" w:rsidRPr="007540A6" w14:paraId="047BADB0" w14:textId="77777777" w:rsidTr="00EC4990">
        <w:trPr>
          <w:cnfStyle w:val="100000000000" w:firstRow="1" w:lastRow="0" w:firstColumn="0" w:lastColumn="0" w:oddVBand="0" w:evenVBand="0" w:oddHBand="0" w:evenHBand="0" w:firstRowFirstColumn="0" w:firstRowLastColumn="0" w:lastRowFirstColumn="0" w:lastRowLastColumn="0"/>
          <w:cantSplit/>
          <w:tblHeader/>
        </w:trPr>
        <w:tc>
          <w:tcPr>
            <w:tcW w:w="9535" w:type="dxa"/>
            <w:gridSpan w:val="3"/>
            <w:vAlign w:val="center"/>
          </w:tcPr>
          <w:p w14:paraId="4307274E" w14:textId="0553A16E" w:rsidR="00C81CC7" w:rsidRPr="00450529" w:rsidRDefault="00093C35" w:rsidP="003D7B03">
            <w:pPr>
              <w:keepNext/>
              <w:spacing w:before="60" w:after="60" w:line="240" w:lineRule="auto"/>
              <w:rPr>
                <w:rFonts w:ascii="Times New Roman" w:hAnsi="Times New Roman"/>
              </w:rPr>
            </w:pPr>
            <w:r w:rsidRPr="00EC4990">
              <w:rPr>
                <w:rFonts w:ascii="Times New Roman" w:hAnsi="Times New Roman"/>
              </w:rPr>
              <w:lastRenderedPageBreak/>
              <w:t>Q</w:t>
            </w:r>
            <w:r w:rsidR="001E137B" w:rsidRPr="00EC4990">
              <w:rPr>
                <w:rFonts w:ascii="Times New Roman" w:hAnsi="Times New Roman"/>
              </w:rPr>
              <w:t>.</w:t>
            </w:r>
            <w:r w:rsidR="00C81CC7" w:rsidRPr="00EC4990">
              <w:rPr>
                <w:rFonts w:ascii="Times New Roman" w:hAnsi="Times New Roman"/>
              </w:rPr>
              <w:t>3.3</w:t>
            </w:r>
            <w:r w:rsidR="009651B0" w:rsidRPr="00EC4990">
              <w:rPr>
                <w:rFonts w:ascii="Times New Roman" w:hAnsi="Times New Roman"/>
              </w:rPr>
              <w:t xml:space="preserve"> </w:t>
            </w:r>
            <w:r w:rsidR="00C81CC7" w:rsidRPr="00EC4990">
              <w:rPr>
                <w:rFonts w:ascii="Times New Roman" w:hAnsi="Times New Roman"/>
              </w:rPr>
              <w:t>Using WinZip</w:t>
            </w:r>
          </w:p>
        </w:tc>
      </w:tr>
      <w:tr w:rsidR="00BF01D7" w:rsidRPr="007540A6" w14:paraId="6C843289" w14:textId="77777777" w:rsidTr="00EC4990">
        <w:trPr>
          <w:cnfStyle w:val="100000000000" w:firstRow="1" w:lastRow="0" w:firstColumn="0" w:lastColumn="0" w:oddVBand="0" w:evenVBand="0" w:oddHBand="0" w:evenHBand="0" w:firstRowFirstColumn="0" w:firstRowLastColumn="0" w:lastRowFirstColumn="0" w:lastRowLastColumn="0"/>
          <w:tblHeader/>
        </w:trPr>
        <w:tc>
          <w:tcPr>
            <w:tcW w:w="805" w:type="dxa"/>
            <w:vAlign w:val="center"/>
          </w:tcPr>
          <w:p w14:paraId="17C2DDF4" w14:textId="77777777" w:rsidR="00BF01D7" w:rsidRPr="00450529" w:rsidRDefault="00BF01D7" w:rsidP="003D7B03">
            <w:pPr>
              <w:keepNext/>
              <w:spacing w:before="60" w:after="60" w:line="240" w:lineRule="auto"/>
              <w:rPr>
                <w:rFonts w:ascii="Times New Roman" w:hAnsi="Times New Roman"/>
              </w:rPr>
            </w:pPr>
            <w:r w:rsidRPr="00EC4990">
              <w:rPr>
                <w:rFonts w:ascii="Times New Roman" w:hAnsi="Times New Roman"/>
              </w:rPr>
              <w:t>Step</w:t>
            </w:r>
          </w:p>
        </w:tc>
        <w:tc>
          <w:tcPr>
            <w:tcW w:w="4500" w:type="dxa"/>
            <w:vAlign w:val="center"/>
          </w:tcPr>
          <w:p w14:paraId="29C9A924" w14:textId="77777777" w:rsidR="00BF01D7" w:rsidRPr="00450529" w:rsidRDefault="00BF01D7" w:rsidP="003D7B03">
            <w:pPr>
              <w:keepNext/>
              <w:spacing w:before="60" w:after="60" w:line="240" w:lineRule="auto"/>
              <w:rPr>
                <w:rFonts w:ascii="Times New Roman" w:hAnsi="Times New Roman"/>
              </w:rPr>
            </w:pPr>
            <w:r w:rsidRPr="00EC4990">
              <w:rPr>
                <w:rFonts w:ascii="Times New Roman" w:hAnsi="Times New Roman"/>
              </w:rPr>
              <w:t>Procedure</w:t>
            </w:r>
          </w:p>
        </w:tc>
        <w:tc>
          <w:tcPr>
            <w:tcW w:w="4230" w:type="dxa"/>
            <w:vAlign w:val="center"/>
          </w:tcPr>
          <w:p w14:paraId="386A9934" w14:textId="77777777" w:rsidR="00BF01D7" w:rsidRPr="00450529" w:rsidRDefault="00BF01D7" w:rsidP="003D7B03">
            <w:pPr>
              <w:keepNext/>
              <w:spacing w:before="60" w:after="60" w:line="240" w:lineRule="auto"/>
              <w:rPr>
                <w:rFonts w:ascii="Times New Roman" w:hAnsi="Times New Roman"/>
              </w:rPr>
            </w:pPr>
            <w:r w:rsidRPr="00EC4990">
              <w:rPr>
                <w:rFonts w:ascii="Times New Roman" w:hAnsi="Times New Roman"/>
              </w:rPr>
              <w:t>Comments</w:t>
            </w:r>
          </w:p>
        </w:tc>
      </w:tr>
      <w:tr w:rsidR="00BF01D7" w:rsidRPr="007540A6" w14:paraId="689DBDB9" w14:textId="77777777" w:rsidTr="001F4B14">
        <w:trPr>
          <w:cantSplit/>
        </w:trPr>
        <w:tc>
          <w:tcPr>
            <w:tcW w:w="805" w:type="dxa"/>
          </w:tcPr>
          <w:p w14:paraId="26939906" w14:textId="77777777" w:rsidR="00BF01D7" w:rsidRPr="00757747" w:rsidRDefault="00BF01D7" w:rsidP="006D5A65">
            <w:pPr>
              <w:pStyle w:val="Heading1"/>
            </w:pPr>
          </w:p>
        </w:tc>
        <w:tc>
          <w:tcPr>
            <w:tcW w:w="4500" w:type="dxa"/>
          </w:tcPr>
          <w:p w14:paraId="07623A59" w14:textId="77777777" w:rsidR="00BF01D7" w:rsidRPr="00757747" w:rsidRDefault="00BF01D7" w:rsidP="003D7B03">
            <w:pPr>
              <w:spacing w:before="60" w:after="60" w:line="240" w:lineRule="auto"/>
              <w:rPr>
                <w:rFonts w:ascii="Times New Roman" w:hAnsi="Times New Roman"/>
                <w:sz w:val="20"/>
              </w:rPr>
            </w:pPr>
            <w:r w:rsidRPr="00757747">
              <w:rPr>
                <w:rFonts w:ascii="Times New Roman" w:hAnsi="Times New Roman"/>
                <w:sz w:val="20"/>
              </w:rPr>
              <w:t xml:space="preserve">If not already logged </w:t>
            </w:r>
            <w:r w:rsidR="007C19DC" w:rsidRPr="00757747">
              <w:rPr>
                <w:rFonts w:ascii="Times New Roman" w:hAnsi="Times New Roman"/>
                <w:sz w:val="20"/>
              </w:rPr>
              <w:t>in, logi</w:t>
            </w:r>
            <w:r w:rsidRPr="00757747">
              <w:rPr>
                <w:rFonts w:ascii="Times New Roman" w:hAnsi="Times New Roman"/>
                <w:sz w:val="20"/>
              </w:rPr>
              <w:t>n to the system.</w:t>
            </w:r>
          </w:p>
        </w:tc>
        <w:tc>
          <w:tcPr>
            <w:tcW w:w="4230" w:type="dxa"/>
          </w:tcPr>
          <w:p w14:paraId="5E652087" w14:textId="77777777" w:rsidR="00BF01D7" w:rsidRPr="00450529" w:rsidRDefault="00BF01D7" w:rsidP="003D7B03">
            <w:pPr>
              <w:spacing w:before="60" w:after="60" w:line="240" w:lineRule="auto"/>
              <w:rPr>
                <w:rFonts w:ascii="Times New Roman" w:hAnsi="Times New Roman"/>
                <w:szCs w:val="24"/>
              </w:rPr>
            </w:pPr>
          </w:p>
        </w:tc>
      </w:tr>
      <w:tr w:rsidR="00BF01D7" w:rsidRPr="007540A6" w14:paraId="483F2EBF" w14:textId="77777777" w:rsidTr="001F4B14">
        <w:trPr>
          <w:cantSplit/>
        </w:trPr>
        <w:tc>
          <w:tcPr>
            <w:tcW w:w="805" w:type="dxa"/>
          </w:tcPr>
          <w:p w14:paraId="06844484" w14:textId="77777777" w:rsidR="00BF01D7" w:rsidRPr="00757747" w:rsidRDefault="00BF01D7" w:rsidP="006D5A65">
            <w:pPr>
              <w:pStyle w:val="Heading1"/>
            </w:pPr>
          </w:p>
        </w:tc>
        <w:tc>
          <w:tcPr>
            <w:tcW w:w="4500" w:type="dxa"/>
          </w:tcPr>
          <w:p w14:paraId="1B453B6C" w14:textId="77777777" w:rsidR="00BF01D7" w:rsidRPr="00757747" w:rsidRDefault="00245CDB" w:rsidP="003D7B03">
            <w:pPr>
              <w:spacing w:before="60" w:after="60" w:line="240" w:lineRule="auto"/>
              <w:rPr>
                <w:rFonts w:ascii="Times New Roman" w:hAnsi="Times New Roman"/>
                <w:sz w:val="20"/>
              </w:rPr>
            </w:pPr>
            <w:r w:rsidRPr="00757747">
              <w:rPr>
                <w:rFonts w:ascii="Times New Roman" w:hAnsi="Times New Roman"/>
                <w:sz w:val="20"/>
              </w:rPr>
              <w:t xml:space="preserve">Right-click the </w:t>
            </w:r>
            <w:r w:rsidRPr="00757747">
              <w:rPr>
                <w:noProof/>
                <w:sz w:val="20"/>
              </w:rPr>
              <w:drawing>
                <wp:inline distT="0" distB="0" distL="0" distR="0" wp14:anchorId="292E0938" wp14:editId="66246B21">
                  <wp:extent cx="182880" cy="178068"/>
                  <wp:effectExtent l="0" t="0" r="7620" b="0"/>
                  <wp:docPr id="1365" name="Picture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757747">
              <w:rPr>
                <w:rFonts w:ascii="Times New Roman" w:hAnsi="Times New Roman"/>
                <w:sz w:val="20"/>
              </w:rPr>
              <w:t xml:space="preserve"> icon and select </w:t>
            </w:r>
            <w:r w:rsidRPr="00757747">
              <w:rPr>
                <w:rFonts w:ascii="Times New Roman" w:hAnsi="Times New Roman"/>
                <w:b/>
                <w:sz w:val="20"/>
              </w:rPr>
              <w:t>Search</w:t>
            </w:r>
            <w:r w:rsidRPr="00757747">
              <w:rPr>
                <w:rFonts w:ascii="Times New Roman" w:hAnsi="Times New Roman"/>
                <w:sz w:val="20"/>
              </w:rPr>
              <w:t xml:space="preserve"> from the pop-up menu. Type </w:t>
            </w:r>
            <w:r w:rsidRPr="00757747">
              <w:rPr>
                <w:rFonts w:ascii="Times New Roman" w:hAnsi="Times New Roman"/>
                <w:b/>
                <w:sz w:val="20"/>
              </w:rPr>
              <w:t>WinZip</w:t>
            </w:r>
            <w:r w:rsidRPr="00757747">
              <w:rPr>
                <w:rFonts w:ascii="Times New Roman" w:hAnsi="Times New Roman"/>
                <w:sz w:val="20"/>
              </w:rPr>
              <w:t xml:space="preserve"> in the </w:t>
            </w:r>
            <w:r w:rsidRPr="00757747">
              <w:rPr>
                <w:rFonts w:ascii="Times New Roman" w:hAnsi="Times New Roman"/>
                <w:b/>
                <w:sz w:val="20"/>
              </w:rPr>
              <w:t>Search</w:t>
            </w:r>
            <w:r w:rsidRPr="00757747">
              <w:rPr>
                <w:rFonts w:ascii="Times New Roman" w:hAnsi="Times New Roman"/>
                <w:sz w:val="20"/>
              </w:rPr>
              <w:t xml:space="preserve"> field, and then select </w:t>
            </w:r>
            <w:r w:rsidRPr="00757747">
              <w:rPr>
                <w:rFonts w:ascii="Times New Roman" w:hAnsi="Times New Roman"/>
                <w:b/>
                <w:sz w:val="20"/>
              </w:rPr>
              <w:t>WinZip</w:t>
            </w:r>
            <w:r w:rsidRPr="00757747">
              <w:rPr>
                <w:rFonts w:ascii="Times New Roman" w:hAnsi="Times New Roman"/>
                <w:sz w:val="20"/>
              </w:rPr>
              <w:t xml:space="preserve"> in the results list.</w:t>
            </w:r>
          </w:p>
        </w:tc>
        <w:tc>
          <w:tcPr>
            <w:tcW w:w="4230" w:type="dxa"/>
          </w:tcPr>
          <w:p w14:paraId="4A054BF1" w14:textId="77777777" w:rsidR="00BF01D7" w:rsidRPr="00450529" w:rsidRDefault="00FF56E8" w:rsidP="003D7B03">
            <w:pPr>
              <w:spacing w:before="60" w:after="60" w:line="240" w:lineRule="auto"/>
              <w:rPr>
                <w:rFonts w:ascii="Times New Roman" w:hAnsi="Times New Roman"/>
              </w:rPr>
            </w:pPr>
            <w:r w:rsidRPr="00EC4990">
              <w:rPr>
                <w:noProof/>
                <w:szCs w:val="24"/>
              </w:rPr>
              <w:drawing>
                <wp:inline distT="0" distB="0" distL="0" distR="0" wp14:anchorId="1E2EBD43" wp14:editId="021F78E1">
                  <wp:extent cx="1685925" cy="1817817"/>
                  <wp:effectExtent l="0" t="0" r="0" b="0"/>
                  <wp:docPr id="1406" name="Picture 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png"/>
                          <pic:cNvPicPr/>
                        </pic:nvPicPr>
                        <pic:blipFill>
                          <a:blip cstate="screen">
                            <a:extLst>
                              <a:ext uri="{28A0092B-C50C-407E-A947-70E740481C1C}">
                                <a14:useLocalDpi xmlns:a14="http://schemas.microsoft.com/office/drawing/2010/main"/>
                              </a:ext>
                            </a:extLst>
                          </a:blip>
                          <a:stretch>
                            <a:fillRect/>
                          </a:stretch>
                        </pic:blipFill>
                        <pic:spPr>
                          <a:xfrm>
                            <a:off x="0" y="0"/>
                            <a:ext cx="1682777" cy="1814423"/>
                          </a:xfrm>
                          <a:prstGeom prst="rect">
                            <a:avLst/>
                          </a:prstGeom>
                        </pic:spPr>
                      </pic:pic>
                    </a:graphicData>
                  </a:graphic>
                </wp:inline>
              </w:drawing>
            </w:r>
          </w:p>
        </w:tc>
      </w:tr>
      <w:tr w:rsidR="00BF01D7" w:rsidRPr="007540A6" w14:paraId="453C22B3" w14:textId="77777777" w:rsidTr="001F4B14">
        <w:trPr>
          <w:cantSplit/>
        </w:trPr>
        <w:tc>
          <w:tcPr>
            <w:tcW w:w="805" w:type="dxa"/>
          </w:tcPr>
          <w:p w14:paraId="3AF13931" w14:textId="77777777" w:rsidR="00BF01D7" w:rsidRPr="00757747" w:rsidRDefault="00BF01D7" w:rsidP="006D5A65">
            <w:pPr>
              <w:pStyle w:val="Heading1"/>
            </w:pPr>
          </w:p>
        </w:tc>
        <w:tc>
          <w:tcPr>
            <w:tcW w:w="4500" w:type="dxa"/>
          </w:tcPr>
          <w:p w14:paraId="532BE48A" w14:textId="77777777" w:rsidR="00BF01D7" w:rsidRPr="00757747" w:rsidRDefault="00EC4696" w:rsidP="003D7B03">
            <w:pPr>
              <w:spacing w:before="60" w:after="60" w:line="240" w:lineRule="auto"/>
              <w:rPr>
                <w:rFonts w:ascii="Times New Roman" w:hAnsi="Times New Roman"/>
                <w:sz w:val="20"/>
              </w:rPr>
            </w:pPr>
            <w:r w:rsidRPr="00757747">
              <w:rPr>
                <w:rFonts w:ascii="Times New Roman" w:hAnsi="Times New Roman"/>
                <w:sz w:val="20"/>
              </w:rPr>
              <w:t xml:space="preserve">Select the </w:t>
            </w:r>
            <w:r w:rsidRPr="00757747">
              <w:rPr>
                <w:rFonts w:ascii="Times New Roman" w:hAnsi="Times New Roman"/>
                <w:b/>
                <w:sz w:val="20"/>
              </w:rPr>
              <w:t>From PC or Cloud</w:t>
            </w:r>
            <w:r w:rsidRPr="00757747">
              <w:rPr>
                <w:rFonts w:ascii="Times New Roman" w:hAnsi="Times New Roman"/>
                <w:sz w:val="20"/>
              </w:rPr>
              <w:t xml:space="preserve"> button to add files.</w:t>
            </w:r>
          </w:p>
        </w:tc>
        <w:tc>
          <w:tcPr>
            <w:tcW w:w="4230" w:type="dxa"/>
          </w:tcPr>
          <w:p w14:paraId="55EB76DF" w14:textId="77777777" w:rsidR="00BF01D7" w:rsidRPr="00450529" w:rsidRDefault="00EC4696" w:rsidP="003D7B03">
            <w:pPr>
              <w:spacing w:before="60" w:after="60" w:line="240" w:lineRule="auto"/>
              <w:rPr>
                <w:rFonts w:ascii="Times New Roman" w:hAnsi="Times New Roman"/>
              </w:rPr>
            </w:pPr>
            <w:r w:rsidRPr="00EC4990">
              <w:rPr>
                <w:noProof/>
                <w:sz w:val="16"/>
                <w:szCs w:val="16"/>
              </w:rPr>
              <w:drawing>
                <wp:inline distT="0" distB="0" distL="0" distR="0" wp14:anchorId="0C6CF26F" wp14:editId="237476BF">
                  <wp:extent cx="2591153" cy="1722120"/>
                  <wp:effectExtent l="0" t="0" r="0" b="0"/>
                  <wp:docPr id="1350" name="Picture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png"/>
                          <pic:cNvPicPr/>
                        </pic:nvPicPr>
                        <pic:blipFill>
                          <a:blip cstate="screen">
                            <a:extLst>
                              <a:ext uri="{28A0092B-C50C-407E-A947-70E740481C1C}">
                                <a14:useLocalDpi xmlns:a14="http://schemas.microsoft.com/office/drawing/2010/main"/>
                              </a:ext>
                            </a:extLst>
                          </a:blip>
                          <a:stretch>
                            <a:fillRect/>
                          </a:stretch>
                        </pic:blipFill>
                        <pic:spPr>
                          <a:xfrm>
                            <a:off x="0" y="0"/>
                            <a:ext cx="2596105" cy="1725411"/>
                          </a:xfrm>
                          <a:prstGeom prst="rect">
                            <a:avLst/>
                          </a:prstGeom>
                        </pic:spPr>
                      </pic:pic>
                    </a:graphicData>
                  </a:graphic>
                </wp:inline>
              </w:drawing>
            </w:r>
          </w:p>
        </w:tc>
      </w:tr>
      <w:tr w:rsidR="00BF01D7" w:rsidRPr="007540A6" w14:paraId="169682AC" w14:textId="77777777" w:rsidTr="001F4B14">
        <w:trPr>
          <w:cantSplit/>
        </w:trPr>
        <w:tc>
          <w:tcPr>
            <w:tcW w:w="805" w:type="dxa"/>
          </w:tcPr>
          <w:p w14:paraId="2F0C1721" w14:textId="77777777" w:rsidR="00BF01D7" w:rsidRPr="00757747" w:rsidRDefault="00BF01D7" w:rsidP="006D5A65">
            <w:pPr>
              <w:pStyle w:val="Heading1"/>
            </w:pPr>
          </w:p>
        </w:tc>
        <w:tc>
          <w:tcPr>
            <w:tcW w:w="4500" w:type="dxa"/>
          </w:tcPr>
          <w:p w14:paraId="7DE00841" w14:textId="77777777" w:rsidR="00EC4696" w:rsidRPr="00757747" w:rsidRDefault="00EC4696" w:rsidP="003D7B03">
            <w:pPr>
              <w:spacing w:before="60" w:after="60" w:line="240" w:lineRule="auto"/>
              <w:rPr>
                <w:rFonts w:ascii="Times New Roman" w:eastAsia="Calibri" w:hAnsi="Times New Roman"/>
                <w:sz w:val="20"/>
              </w:rPr>
            </w:pPr>
            <w:r w:rsidRPr="00757747">
              <w:rPr>
                <w:rFonts w:ascii="Times New Roman" w:eastAsia="Calibri" w:hAnsi="Times New Roman"/>
                <w:sz w:val="20"/>
              </w:rPr>
              <w:t xml:space="preserve">From the </w:t>
            </w:r>
            <w:r w:rsidRPr="00757747">
              <w:rPr>
                <w:rFonts w:ascii="Times New Roman" w:eastAsia="Calibri" w:hAnsi="Times New Roman"/>
                <w:i/>
                <w:sz w:val="20"/>
              </w:rPr>
              <w:t>Add</w:t>
            </w:r>
            <w:r w:rsidRPr="00757747">
              <w:rPr>
                <w:rFonts w:ascii="Times New Roman" w:eastAsia="Calibri" w:hAnsi="Times New Roman"/>
                <w:sz w:val="20"/>
              </w:rPr>
              <w:t xml:space="preserve"> popup window: </w:t>
            </w:r>
          </w:p>
          <w:p w14:paraId="16A99975" w14:textId="77777777" w:rsidR="00EC4696" w:rsidRPr="00757747" w:rsidRDefault="00EC4696" w:rsidP="006D5A65">
            <w:pPr>
              <w:pStyle w:val="Heading1"/>
            </w:pPr>
            <w:r w:rsidRPr="00757747">
              <w:t xml:space="preserve">Navigate to the directory that contains the files to be zipped. </w:t>
            </w:r>
          </w:p>
          <w:p w14:paraId="0370CA17" w14:textId="77777777" w:rsidR="00EC4696" w:rsidRPr="00757747" w:rsidRDefault="00EC4696" w:rsidP="006D5A65">
            <w:pPr>
              <w:pStyle w:val="Heading1"/>
            </w:pPr>
            <w:r w:rsidRPr="00757747">
              <w:t>Select the files to be zipped.</w:t>
            </w:r>
          </w:p>
          <w:p w14:paraId="19058AC2" w14:textId="77777777" w:rsidR="00EC4696" w:rsidRPr="00757747" w:rsidRDefault="00EC4696" w:rsidP="006D5A65">
            <w:pPr>
              <w:pStyle w:val="Heading1"/>
            </w:pPr>
            <w:r w:rsidRPr="00757747">
              <w:t xml:space="preserve">Click the Add button to add the selected files. </w:t>
            </w:r>
          </w:p>
          <w:p w14:paraId="04A8E303" w14:textId="77777777" w:rsidR="00BF01D7" w:rsidRPr="00757747" w:rsidRDefault="00BF01D7" w:rsidP="003D7B03">
            <w:pPr>
              <w:spacing w:before="60" w:after="60" w:line="240" w:lineRule="auto"/>
              <w:rPr>
                <w:rFonts w:ascii="Times New Roman" w:hAnsi="Times New Roman"/>
                <w:sz w:val="20"/>
              </w:rPr>
            </w:pPr>
            <w:r w:rsidRPr="00757747">
              <w:rPr>
                <w:rFonts w:ascii="Times New Roman" w:hAnsi="Times New Roman"/>
                <w:sz w:val="20"/>
              </w:rPr>
              <w:t xml:space="preserve"> </w:t>
            </w:r>
          </w:p>
        </w:tc>
        <w:tc>
          <w:tcPr>
            <w:tcW w:w="4230" w:type="dxa"/>
          </w:tcPr>
          <w:p w14:paraId="5E1995D9" w14:textId="77777777" w:rsidR="00BF01D7" w:rsidRPr="00450529" w:rsidRDefault="00EC4696" w:rsidP="003D7B03">
            <w:pPr>
              <w:spacing w:before="60" w:after="60" w:line="240" w:lineRule="auto"/>
              <w:rPr>
                <w:rFonts w:ascii="Times New Roman" w:hAnsi="Times New Roman"/>
              </w:rPr>
            </w:pPr>
            <w:r w:rsidRPr="00EC4990">
              <w:rPr>
                <w:noProof/>
                <w:szCs w:val="24"/>
              </w:rPr>
              <w:drawing>
                <wp:inline distT="0" distB="0" distL="0" distR="0" wp14:anchorId="0E381D8C" wp14:editId="4878D0AB">
                  <wp:extent cx="2592258" cy="1805940"/>
                  <wp:effectExtent l="0" t="0" r="0" b="3810"/>
                  <wp:docPr id="1351" name="Picture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6.png"/>
                          <pic:cNvPicPr/>
                        </pic:nvPicPr>
                        <pic:blipFill>
                          <a:blip cstate="screen">
                            <a:extLst>
                              <a:ext uri="{28A0092B-C50C-407E-A947-70E740481C1C}">
                                <a14:useLocalDpi xmlns:a14="http://schemas.microsoft.com/office/drawing/2010/main"/>
                              </a:ext>
                            </a:extLst>
                          </a:blip>
                          <a:stretch>
                            <a:fillRect/>
                          </a:stretch>
                        </pic:blipFill>
                        <pic:spPr>
                          <a:xfrm>
                            <a:off x="0" y="0"/>
                            <a:ext cx="2598017" cy="1809952"/>
                          </a:xfrm>
                          <a:prstGeom prst="rect">
                            <a:avLst/>
                          </a:prstGeom>
                        </pic:spPr>
                      </pic:pic>
                    </a:graphicData>
                  </a:graphic>
                </wp:inline>
              </w:drawing>
            </w:r>
          </w:p>
        </w:tc>
      </w:tr>
      <w:tr w:rsidR="00BF01D7" w:rsidRPr="007540A6" w14:paraId="133264E2" w14:textId="77777777" w:rsidTr="001F4B14">
        <w:trPr>
          <w:cantSplit/>
        </w:trPr>
        <w:tc>
          <w:tcPr>
            <w:tcW w:w="805" w:type="dxa"/>
          </w:tcPr>
          <w:p w14:paraId="271FB5FC" w14:textId="77777777" w:rsidR="00BF01D7" w:rsidRPr="00757747" w:rsidRDefault="00BF01D7" w:rsidP="006D5A65">
            <w:pPr>
              <w:pStyle w:val="Heading1"/>
            </w:pPr>
          </w:p>
        </w:tc>
        <w:tc>
          <w:tcPr>
            <w:tcW w:w="4500" w:type="dxa"/>
          </w:tcPr>
          <w:p w14:paraId="0695528D" w14:textId="77777777" w:rsidR="00BF01D7" w:rsidRPr="00757747" w:rsidRDefault="00EC4696" w:rsidP="003D7B03">
            <w:pPr>
              <w:spacing w:before="60" w:after="60" w:line="240" w:lineRule="auto"/>
              <w:rPr>
                <w:rFonts w:ascii="Times New Roman" w:hAnsi="Times New Roman"/>
                <w:sz w:val="20"/>
              </w:rPr>
            </w:pPr>
            <w:r w:rsidRPr="00757747">
              <w:rPr>
                <w:rFonts w:ascii="Times New Roman" w:hAnsi="Times New Roman"/>
                <w:sz w:val="20"/>
              </w:rPr>
              <w:t xml:space="preserve">Select the </w:t>
            </w:r>
            <w:r w:rsidRPr="00757747">
              <w:rPr>
                <w:rFonts w:ascii="Times New Roman" w:hAnsi="Times New Roman"/>
                <w:b/>
                <w:sz w:val="20"/>
              </w:rPr>
              <w:t>Save As</w:t>
            </w:r>
            <w:r w:rsidRPr="00757747">
              <w:rPr>
                <w:rFonts w:ascii="Times New Roman" w:hAnsi="Times New Roman"/>
                <w:sz w:val="20"/>
              </w:rPr>
              <w:t xml:space="preserve"> button.</w:t>
            </w:r>
          </w:p>
        </w:tc>
        <w:tc>
          <w:tcPr>
            <w:tcW w:w="4230" w:type="dxa"/>
          </w:tcPr>
          <w:p w14:paraId="298CA212" w14:textId="77777777" w:rsidR="00BF01D7" w:rsidRPr="00450529" w:rsidRDefault="00EC4696" w:rsidP="003D7B03">
            <w:pPr>
              <w:spacing w:before="60" w:after="60" w:line="240" w:lineRule="auto"/>
              <w:rPr>
                <w:rFonts w:ascii="Times New Roman" w:hAnsi="Times New Roman"/>
                <w:szCs w:val="24"/>
              </w:rPr>
            </w:pPr>
            <w:r w:rsidRPr="00EC4990">
              <w:rPr>
                <w:noProof/>
                <w:szCs w:val="24"/>
              </w:rPr>
              <w:drawing>
                <wp:inline distT="0" distB="0" distL="0" distR="0" wp14:anchorId="2FE9B831" wp14:editId="2F375E07">
                  <wp:extent cx="2584899" cy="2362200"/>
                  <wp:effectExtent l="0" t="0" r="6350" b="0"/>
                  <wp:docPr id="1352" name="Picture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x.png"/>
                          <pic:cNvPicPr/>
                        </pic:nvPicPr>
                        <pic:blipFill>
                          <a:blip cstate="screen">
                            <a:extLst>
                              <a:ext uri="{28A0092B-C50C-407E-A947-70E740481C1C}">
                                <a14:useLocalDpi xmlns:a14="http://schemas.microsoft.com/office/drawing/2010/main"/>
                              </a:ext>
                            </a:extLst>
                          </a:blip>
                          <a:stretch>
                            <a:fillRect/>
                          </a:stretch>
                        </pic:blipFill>
                        <pic:spPr>
                          <a:xfrm>
                            <a:off x="0" y="0"/>
                            <a:ext cx="2595133" cy="2371552"/>
                          </a:xfrm>
                          <a:prstGeom prst="rect">
                            <a:avLst/>
                          </a:prstGeom>
                        </pic:spPr>
                      </pic:pic>
                    </a:graphicData>
                  </a:graphic>
                </wp:inline>
              </w:drawing>
            </w:r>
          </w:p>
        </w:tc>
      </w:tr>
      <w:tr w:rsidR="00BF01D7" w:rsidRPr="007540A6" w14:paraId="7542F087" w14:textId="77777777" w:rsidTr="001F4B14">
        <w:trPr>
          <w:cantSplit/>
        </w:trPr>
        <w:tc>
          <w:tcPr>
            <w:tcW w:w="805" w:type="dxa"/>
          </w:tcPr>
          <w:p w14:paraId="0F54EB80" w14:textId="77777777" w:rsidR="00BF01D7" w:rsidRPr="00757747" w:rsidRDefault="00BF01D7" w:rsidP="006D5A65">
            <w:pPr>
              <w:pStyle w:val="Heading1"/>
            </w:pPr>
          </w:p>
        </w:tc>
        <w:tc>
          <w:tcPr>
            <w:tcW w:w="4500" w:type="dxa"/>
          </w:tcPr>
          <w:p w14:paraId="47DB4638" w14:textId="77777777" w:rsidR="00EC4696" w:rsidRPr="00757747" w:rsidRDefault="00EC4696" w:rsidP="003D7B03">
            <w:pPr>
              <w:spacing w:before="60" w:after="60" w:line="240" w:lineRule="auto"/>
              <w:rPr>
                <w:rFonts w:ascii="Times New Roman" w:eastAsia="Calibri" w:hAnsi="Times New Roman"/>
                <w:sz w:val="20"/>
              </w:rPr>
            </w:pPr>
            <w:r w:rsidRPr="00757747">
              <w:rPr>
                <w:rFonts w:ascii="Times New Roman" w:eastAsia="Calibri" w:hAnsi="Times New Roman"/>
                <w:sz w:val="20"/>
              </w:rPr>
              <w:t>Navigate to the directory to store the zip file.</w:t>
            </w:r>
          </w:p>
          <w:p w14:paraId="4221BF71" w14:textId="7464BB92" w:rsidR="00EC4696" w:rsidRPr="00757747" w:rsidRDefault="00EC4696" w:rsidP="006D5A65">
            <w:pPr>
              <w:pStyle w:val="Heading1"/>
            </w:pPr>
            <w:r w:rsidRPr="00757747">
              <w:t>Enter the File name of the zip file.</w:t>
            </w:r>
            <w:r w:rsidR="009651B0" w:rsidRPr="00757747">
              <w:t xml:space="preserve"> </w:t>
            </w:r>
          </w:p>
          <w:p w14:paraId="23BA1783" w14:textId="77777777" w:rsidR="00EC4696" w:rsidRPr="00757747" w:rsidRDefault="00EC4696" w:rsidP="006D5A65">
            <w:pPr>
              <w:pStyle w:val="Heading1"/>
            </w:pPr>
            <w:r w:rsidRPr="00757747">
              <w:t>Set the Save as type to Zip files (*.zip).</w:t>
            </w:r>
          </w:p>
          <w:p w14:paraId="3524BEAD" w14:textId="77777777" w:rsidR="00EC4696" w:rsidRPr="00757747" w:rsidRDefault="00EC4696" w:rsidP="006D5A65">
            <w:pPr>
              <w:pStyle w:val="Heading1"/>
            </w:pPr>
            <w:r w:rsidRPr="00757747">
              <w:t>Select Save.</w:t>
            </w:r>
          </w:p>
          <w:p w14:paraId="5DB3D4A1" w14:textId="77777777" w:rsidR="00EC4696" w:rsidRPr="00757747" w:rsidRDefault="00EC4696" w:rsidP="006D5A65">
            <w:pPr>
              <w:pStyle w:val="Heading1"/>
            </w:pPr>
            <w:r w:rsidRPr="00757747">
              <w:t>Close WinZip.</w:t>
            </w:r>
          </w:p>
          <w:p w14:paraId="56F0FFE6" w14:textId="77777777" w:rsidR="00BF01D7" w:rsidRPr="00757747" w:rsidRDefault="00BF01D7" w:rsidP="003D7B03">
            <w:pPr>
              <w:spacing w:before="60" w:after="60" w:line="240" w:lineRule="auto"/>
              <w:rPr>
                <w:rFonts w:ascii="Times New Roman" w:hAnsi="Times New Roman"/>
                <w:sz w:val="20"/>
              </w:rPr>
            </w:pPr>
          </w:p>
        </w:tc>
        <w:tc>
          <w:tcPr>
            <w:tcW w:w="4230" w:type="dxa"/>
          </w:tcPr>
          <w:p w14:paraId="76960B78" w14:textId="77777777" w:rsidR="00BF01D7" w:rsidRPr="00450529" w:rsidRDefault="00EC4696" w:rsidP="003D7B03">
            <w:pPr>
              <w:spacing w:before="60" w:after="60" w:line="240" w:lineRule="auto"/>
              <w:rPr>
                <w:rFonts w:ascii="Times New Roman" w:hAnsi="Times New Roman"/>
              </w:rPr>
            </w:pPr>
            <w:r w:rsidRPr="00EC4990">
              <w:rPr>
                <w:noProof/>
                <w:szCs w:val="24"/>
              </w:rPr>
              <w:drawing>
                <wp:inline distT="0" distB="0" distL="0" distR="0" wp14:anchorId="6351734D" wp14:editId="4898D3C5">
                  <wp:extent cx="2593041" cy="2034540"/>
                  <wp:effectExtent l="0" t="0" r="0" b="3810"/>
                  <wp:docPr id="1353" name="Picture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y.png"/>
                          <pic:cNvPicPr/>
                        </pic:nvPicPr>
                        <pic:blipFill>
                          <a:blip cstate="screen">
                            <a:extLst>
                              <a:ext uri="{28A0092B-C50C-407E-A947-70E740481C1C}">
                                <a14:useLocalDpi xmlns:a14="http://schemas.microsoft.com/office/drawing/2010/main"/>
                              </a:ext>
                            </a:extLst>
                          </a:blip>
                          <a:stretch>
                            <a:fillRect/>
                          </a:stretch>
                        </pic:blipFill>
                        <pic:spPr>
                          <a:xfrm>
                            <a:off x="0" y="0"/>
                            <a:ext cx="2594453" cy="2035648"/>
                          </a:xfrm>
                          <a:prstGeom prst="rect">
                            <a:avLst/>
                          </a:prstGeom>
                        </pic:spPr>
                      </pic:pic>
                    </a:graphicData>
                  </a:graphic>
                </wp:inline>
              </w:drawing>
            </w:r>
          </w:p>
        </w:tc>
      </w:tr>
    </w:tbl>
    <w:p w14:paraId="241267A7" w14:textId="3073661D" w:rsidR="00BF01D7" w:rsidRPr="00C36B36" w:rsidRDefault="00BF01D7" w:rsidP="00AE53CA">
      <w:pPr>
        <w:pStyle w:val="Appendix3"/>
        <w:ind w:left="360"/>
        <w:rPr>
          <w:rFonts w:ascii="Times New Roman" w:hAnsi="Times New Roman"/>
        </w:rPr>
      </w:pPr>
      <w:bookmarkStart w:id="8118" w:name="Using_Event_Viewer"/>
      <w:bookmarkStart w:id="8119" w:name="_Toc214283740"/>
      <w:r w:rsidRPr="00C36B36">
        <w:rPr>
          <w:rFonts w:ascii="Times New Roman" w:hAnsi="Times New Roman"/>
        </w:rPr>
        <w:t>Using Event Viewer</w:t>
      </w:r>
      <w:bookmarkEnd w:id="8118"/>
      <w:bookmarkEnd w:id="8119"/>
    </w:p>
    <w:p w14:paraId="711F27D7" w14:textId="577CBC3C" w:rsidR="00BF01D7" w:rsidRPr="007540A6" w:rsidRDefault="00BF01D7" w:rsidP="00C93FB3">
      <w:pPr>
        <w:keepNext/>
      </w:pPr>
      <w:r w:rsidRPr="007540A6">
        <w:t>Event Vie</w:t>
      </w:r>
      <w:r w:rsidR="00A472F8" w:rsidRPr="007540A6">
        <w:t>wer is a component of Microsoft</w:t>
      </w:r>
      <w:r w:rsidRPr="007540A6">
        <w:t xml:space="preserve"> Windows that manages Event Logs.</w:t>
      </w:r>
      <w:r w:rsidR="009651B0" w:rsidRPr="007540A6">
        <w:t xml:space="preserve"> </w:t>
      </w:r>
    </w:p>
    <w:tbl>
      <w:tblPr>
        <w:tblStyle w:val="StandardTable1"/>
        <w:tblW w:w="9535" w:type="dxa"/>
        <w:tblLayout w:type="fixed"/>
        <w:tblLook w:val="04A0" w:firstRow="1" w:lastRow="0" w:firstColumn="1" w:lastColumn="0" w:noHBand="0" w:noVBand="1"/>
      </w:tblPr>
      <w:tblGrid>
        <w:gridCol w:w="805"/>
        <w:gridCol w:w="4500"/>
        <w:gridCol w:w="4230"/>
      </w:tblGrid>
      <w:tr w:rsidR="00C81CC7" w:rsidRPr="007540A6" w14:paraId="1736EC24" w14:textId="77777777" w:rsidTr="00EC4990">
        <w:trPr>
          <w:cnfStyle w:val="100000000000" w:firstRow="1" w:lastRow="0" w:firstColumn="0" w:lastColumn="0" w:oddVBand="0" w:evenVBand="0" w:oddHBand="0" w:evenHBand="0" w:firstRowFirstColumn="0" w:firstRowLastColumn="0" w:lastRowFirstColumn="0" w:lastRowLastColumn="0"/>
          <w:tblHeader/>
        </w:trPr>
        <w:tc>
          <w:tcPr>
            <w:tcW w:w="9535" w:type="dxa"/>
            <w:gridSpan w:val="3"/>
            <w:vAlign w:val="center"/>
          </w:tcPr>
          <w:p w14:paraId="53484975" w14:textId="674E2EB9" w:rsidR="00C81CC7" w:rsidRPr="00450529" w:rsidRDefault="00093C35" w:rsidP="003D7B03">
            <w:pPr>
              <w:keepNext/>
              <w:spacing w:before="60" w:after="60" w:line="240" w:lineRule="auto"/>
              <w:rPr>
                <w:rFonts w:ascii="Times New Roman" w:hAnsi="Times New Roman"/>
              </w:rPr>
            </w:pPr>
            <w:r w:rsidRPr="00EC4990">
              <w:rPr>
                <w:rFonts w:ascii="Times New Roman" w:hAnsi="Times New Roman"/>
              </w:rPr>
              <w:lastRenderedPageBreak/>
              <w:t>Q</w:t>
            </w:r>
            <w:r w:rsidR="001E137B" w:rsidRPr="00EC4990">
              <w:rPr>
                <w:rFonts w:ascii="Times New Roman" w:hAnsi="Times New Roman"/>
              </w:rPr>
              <w:t>.</w:t>
            </w:r>
            <w:r w:rsidR="00C81CC7" w:rsidRPr="00EC4990">
              <w:rPr>
                <w:rFonts w:ascii="Times New Roman" w:hAnsi="Times New Roman"/>
              </w:rPr>
              <w:t>3.4</w:t>
            </w:r>
            <w:r w:rsidR="009651B0" w:rsidRPr="00EC4990">
              <w:rPr>
                <w:rFonts w:ascii="Times New Roman" w:hAnsi="Times New Roman"/>
              </w:rPr>
              <w:t xml:space="preserve"> </w:t>
            </w:r>
            <w:r w:rsidR="00C81CC7" w:rsidRPr="00EC4990">
              <w:rPr>
                <w:rFonts w:ascii="Times New Roman" w:hAnsi="Times New Roman"/>
              </w:rPr>
              <w:t>Using Event Viewer</w:t>
            </w:r>
          </w:p>
        </w:tc>
      </w:tr>
      <w:tr w:rsidR="00BF01D7" w:rsidRPr="007540A6" w14:paraId="2A716D29" w14:textId="77777777" w:rsidTr="00EC4990">
        <w:trPr>
          <w:cnfStyle w:val="100000000000" w:firstRow="1" w:lastRow="0" w:firstColumn="0" w:lastColumn="0" w:oddVBand="0" w:evenVBand="0" w:oddHBand="0" w:evenHBand="0" w:firstRowFirstColumn="0" w:firstRowLastColumn="0" w:lastRowFirstColumn="0" w:lastRowLastColumn="0"/>
          <w:tblHeader/>
        </w:trPr>
        <w:tc>
          <w:tcPr>
            <w:tcW w:w="805" w:type="dxa"/>
            <w:shd w:val="clear" w:color="auto" w:fill="D9D9D9" w:themeFill="background1" w:themeFillShade="D9"/>
            <w:vAlign w:val="center"/>
          </w:tcPr>
          <w:p w14:paraId="310DE45D" w14:textId="77777777" w:rsidR="00BF01D7" w:rsidRPr="00450529" w:rsidRDefault="00BF01D7" w:rsidP="003D7B03">
            <w:pPr>
              <w:keepNext/>
              <w:spacing w:before="60" w:after="60" w:line="240" w:lineRule="auto"/>
              <w:rPr>
                <w:rFonts w:ascii="Times New Roman" w:hAnsi="Times New Roman"/>
              </w:rPr>
            </w:pPr>
            <w:r w:rsidRPr="00EC4990">
              <w:rPr>
                <w:rFonts w:ascii="Times New Roman" w:hAnsi="Times New Roman"/>
              </w:rPr>
              <w:t>Step</w:t>
            </w:r>
          </w:p>
        </w:tc>
        <w:tc>
          <w:tcPr>
            <w:tcW w:w="4500" w:type="dxa"/>
            <w:shd w:val="clear" w:color="auto" w:fill="D9D9D9" w:themeFill="background1" w:themeFillShade="D9"/>
            <w:vAlign w:val="center"/>
          </w:tcPr>
          <w:p w14:paraId="7CFEA1F7" w14:textId="77777777" w:rsidR="00BF01D7" w:rsidRPr="00450529" w:rsidRDefault="00BF01D7" w:rsidP="003D7B03">
            <w:pPr>
              <w:spacing w:before="60" w:after="60" w:line="240" w:lineRule="auto"/>
              <w:rPr>
                <w:rFonts w:ascii="Times New Roman" w:hAnsi="Times New Roman"/>
              </w:rPr>
            </w:pPr>
            <w:r w:rsidRPr="00EC4990">
              <w:rPr>
                <w:rFonts w:ascii="Times New Roman" w:hAnsi="Times New Roman"/>
              </w:rPr>
              <w:t>Procedure</w:t>
            </w:r>
          </w:p>
        </w:tc>
        <w:tc>
          <w:tcPr>
            <w:tcW w:w="4230" w:type="dxa"/>
            <w:shd w:val="clear" w:color="auto" w:fill="D9D9D9" w:themeFill="background1" w:themeFillShade="D9"/>
            <w:vAlign w:val="center"/>
          </w:tcPr>
          <w:p w14:paraId="4F988D4C" w14:textId="77777777" w:rsidR="00BF01D7" w:rsidRPr="00450529" w:rsidRDefault="00BF01D7" w:rsidP="003D7B03">
            <w:pPr>
              <w:spacing w:before="60" w:after="60" w:line="240" w:lineRule="auto"/>
              <w:rPr>
                <w:rFonts w:ascii="Times New Roman" w:hAnsi="Times New Roman"/>
              </w:rPr>
            </w:pPr>
            <w:r w:rsidRPr="00EC4990">
              <w:rPr>
                <w:rFonts w:ascii="Times New Roman" w:hAnsi="Times New Roman"/>
              </w:rPr>
              <w:t>Comments</w:t>
            </w:r>
          </w:p>
        </w:tc>
      </w:tr>
      <w:tr w:rsidR="00BF01D7" w:rsidRPr="007540A6" w14:paraId="0795F5D5" w14:textId="77777777" w:rsidTr="001F4B14">
        <w:tc>
          <w:tcPr>
            <w:tcW w:w="805" w:type="dxa"/>
          </w:tcPr>
          <w:p w14:paraId="5C757B7C" w14:textId="77777777" w:rsidR="00BF01D7" w:rsidRPr="00757747" w:rsidRDefault="00BF01D7" w:rsidP="006D5A65">
            <w:pPr>
              <w:pStyle w:val="Heading1"/>
            </w:pPr>
          </w:p>
        </w:tc>
        <w:tc>
          <w:tcPr>
            <w:tcW w:w="4500" w:type="dxa"/>
          </w:tcPr>
          <w:p w14:paraId="220F29BA" w14:textId="77777777" w:rsidR="00BF01D7" w:rsidRPr="00757747" w:rsidRDefault="00BF01D7" w:rsidP="003D7B03">
            <w:pPr>
              <w:spacing w:before="60" w:after="60" w:line="240" w:lineRule="auto"/>
              <w:rPr>
                <w:rFonts w:ascii="Times New Roman" w:hAnsi="Times New Roman"/>
                <w:sz w:val="20"/>
              </w:rPr>
            </w:pPr>
            <w:r w:rsidRPr="00757747">
              <w:rPr>
                <w:rFonts w:ascii="Times New Roman" w:hAnsi="Times New Roman"/>
                <w:sz w:val="20"/>
              </w:rPr>
              <w:t xml:space="preserve">If not already logged </w:t>
            </w:r>
            <w:r w:rsidR="00125676" w:rsidRPr="00757747">
              <w:rPr>
                <w:rFonts w:ascii="Times New Roman" w:hAnsi="Times New Roman"/>
                <w:sz w:val="20"/>
              </w:rPr>
              <w:t>i</w:t>
            </w:r>
            <w:r w:rsidRPr="00757747">
              <w:rPr>
                <w:rFonts w:ascii="Times New Roman" w:hAnsi="Times New Roman"/>
                <w:sz w:val="20"/>
              </w:rPr>
              <w:t>n, log</w:t>
            </w:r>
            <w:r w:rsidR="00125676" w:rsidRPr="00757747">
              <w:rPr>
                <w:rFonts w:ascii="Times New Roman" w:hAnsi="Times New Roman"/>
                <w:sz w:val="20"/>
              </w:rPr>
              <w:t>i</w:t>
            </w:r>
            <w:r w:rsidRPr="00757747">
              <w:rPr>
                <w:rFonts w:ascii="Times New Roman" w:hAnsi="Times New Roman"/>
                <w:sz w:val="20"/>
              </w:rPr>
              <w:t>n to the system as an Administrator.</w:t>
            </w:r>
          </w:p>
        </w:tc>
        <w:tc>
          <w:tcPr>
            <w:tcW w:w="4230" w:type="dxa"/>
          </w:tcPr>
          <w:p w14:paraId="3AC08AB4" w14:textId="77777777" w:rsidR="00BF01D7" w:rsidRPr="00450529" w:rsidRDefault="00BF01D7" w:rsidP="003D7B03">
            <w:pPr>
              <w:spacing w:before="60" w:after="60" w:line="240" w:lineRule="auto"/>
              <w:rPr>
                <w:rFonts w:ascii="Times New Roman" w:hAnsi="Times New Roman"/>
              </w:rPr>
            </w:pPr>
          </w:p>
        </w:tc>
      </w:tr>
      <w:tr w:rsidR="00BF01D7" w:rsidRPr="007540A6" w14:paraId="6F9367E0" w14:textId="77777777" w:rsidTr="001F4B14">
        <w:tc>
          <w:tcPr>
            <w:tcW w:w="805" w:type="dxa"/>
          </w:tcPr>
          <w:p w14:paraId="1F04A913" w14:textId="77777777" w:rsidR="00BF01D7" w:rsidRPr="00757747" w:rsidRDefault="00BF01D7" w:rsidP="006D5A65">
            <w:pPr>
              <w:pStyle w:val="Heading1"/>
            </w:pPr>
          </w:p>
        </w:tc>
        <w:tc>
          <w:tcPr>
            <w:tcW w:w="4500" w:type="dxa"/>
          </w:tcPr>
          <w:p w14:paraId="10D6F654" w14:textId="77777777" w:rsidR="00FF56E8" w:rsidRPr="00757747" w:rsidRDefault="00245CDB" w:rsidP="003D7B03">
            <w:pPr>
              <w:spacing w:before="60" w:after="60" w:line="240" w:lineRule="auto"/>
              <w:rPr>
                <w:rFonts w:ascii="Times New Roman" w:hAnsi="Times New Roman"/>
                <w:sz w:val="20"/>
              </w:rPr>
            </w:pPr>
            <w:r w:rsidRPr="00757747">
              <w:rPr>
                <w:rFonts w:ascii="Times New Roman" w:hAnsi="Times New Roman"/>
                <w:sz w:val="20"/>
              </w:rPr>
              <w:t xml:space="preserve">Right-click the </w:t>
            </w:r>
            <w:r w:rsidRPr="00757747">
              <w:rPr>
                <w:noProof/>
                <w:sz w:val="20"/>
              </w:rPr>
              <w:drawing>
                <wp:inline distT="0" distB="0" distL="0" distR="0" wp14:anchorId="7E7F9D9B" wp14:editId="00CE45C3">
                  <wp:extent cx="182880" cy="178068"/>
                  <wp:effectExtent l="0" t="0" r="7620" b="0"/>
                  <wp:docPr id="1367" name="Picture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757747">
              <w:rPr>
                <w:rFonts w:ascii="Times New Roman" w:hAnsi="Times New Roman"/>
                <w:sz w:val="20"/>
              </w:rPr>
              <w:t xml:space="preserve"> icon and select </w:t>
            </w:r>
            <w:r w:rsidRPr="00757747">
              <w:rPr>
                <w:rFonts w:ascii="Times New Roman" w:hAnsi="Times New Roman"/>
                <w:b/>
                <w:sz w:val="20"/>
              </w:rPr>
              <w:t>Search</w:t>
            </w:r>
            <w:r w:rsidRPr="00757747">
              <w:rPr>
                <w:rFonts w:ascii="Times New Roman" w:hAnsi="Times New Roman"/>
                <w:sz w:val="20"/>
              </w:rPr>
              <w:t xml:space="preserve"> from the pop-up menu. Type </w:t>
            </w:r>
            <w:r w:rsidR="00FF56E8" w:rsidRPr="00757747">
              <w:rPr>
                <w:rFonts w:ascii="Times New Roman" w:hAnsi="Times New Roman"/>
                <w:b/>
                <w:sz w:val="20"/>
              </w:rPr>
              <w:t>View</w:t>
            </w:r>
            <w:r w:rsidR="00FF56E8" w:rsidRPr="00757747">
              <w:rPr>
                <w:rFonts w:ascii="Times New Roman" w:hAnsi="Times New Roman"/>
                <w:sz w:val="20"/>
              </w:rPr>
              <w:t xml:space="preserve"> </w:t>
            </w:r>
            <w:r w:rsidRPr="00757747">
              <w:rPr>
                <w:rFonts w:ascii="Times New Roman" w:hAnsi="Times New Roman"/>
                <w:b/>
                <w:sz w:val="20"/>
              </w:rPr>
              <w:t xml:space="preserve">Event </w:t>
            </w:r>
            <w:r w:rsidRPr="00757747">
              <w:rPr>
                <w:rFonts w:ascii="Times New Roman" w:hAnsi="Times New Roman"/>
                <w:sz w:val="20"/>
              </w:rPr>
              <w:t xml:space="preserve">in the </w:t>
            </w:r>
            <w:r w:rsidRPr="00757747">
              <w:rPr>
                <w:rFonts w:ascii="Times New Roman" w:hAnsi="Times New Roman"/>
                <w:b/>
                <w:sz w:val="20"/>
              </w:rPr>
              <w:t>Search</w:t>
            </w:r>
            <w:r w:rsidRPr="00757747">
              <w:rPr>
                <w:rFonts w:ascii="Times New Roman" w:hAnsi="Times New Roman"/>
                <w:sz w:val="20"/>
              </w:rPr>
              <w:t xml:space="preserve"> field, and then select </w:t>
            </w:r>
            <w:r w:rsidR="00FF56E8" w:rsidRPr="00757747">
              <w:rPr>
                <w:rFonts w:ascii="Times New Roman" w:hAnsi="Times New Roman"/>
                <w:b/>
                <w:sz w:val="20"/>
              </w:rPr>
              <w:t>View</w:t>
            </w:r>
            <w:r w:rsidR="00FF56E8" w:rsidRPr="00757747">
              <w:rPr>
                <w:rFonts w:ascii="Times New Roman" w:hAnsi="Times New Roman"/>
                <w:sz w:val="20"/>
              </w:rPr>
              <w:t xml:space="preserve"> </w:t>
            </w:r>
            <w:r w:rsidRPr="00757747">
              <w:rPr>
                <w:rFonts w:ascii="Times New Roman" w:hAnsi="Times New Roman"/>
                <w:b/>
                <w:sz w:val="20"/>
              </w:rPr>
              <w:t xml:space="preserve">Event </w:t>
            </w:r>
            <w:r w:rsidR="00FF56E8" w:rsidRPr="00757747">
              <w:rPr>
                <w:rFonts w:ascii="Times New Roman" w:hAnsi="Times New Roman"/>
                <w:b/>
                <w:sz w:val="20"/>
              </w:rPr>
              <w:t>Logs</w:t>
            </w:r>
            <w:r w:rsidRPr="00757747">
              <w:rPr>
                <w:rFonts w:ascii="Times New Roman" w:hAnsi="Times New Roman"/>
                <w:sz w:val="20"/>
              </w:rPr>
              <w:t xml:space="preserve"> in the results list.</w:t>
            </w:r>
          </w:p>
          <w:p w14:paraId="21B49F60" w14:textId="77777777" w:rsidR="00BF01D7" w:rsidRPr="00757747" w:rsidRDefault="00FF56E8" w:rsidP="003D7B03">
            <w:pPr>
              <w:spacing w:before="60" w:after="60" w:line="240" w:lineRule="auto"/>
              <w:rPr>
                <w:rFonts w:ascii="Times New Roman" w:hAnsi="Times New Roman"/>
                <w:sz w:val="20"/>
              </w:rPr>
            </w:pPr>
            <w:r w:rsidRPr="00757747">
              <w:rPr>
                <w:rFonts w:ascii="Times New Roman" w:hAnsi="Times New Roman"/>
                <w:sz w:val="20"/>
              </w:rPr>
              <w:t xml:space="preserve">Click the </w:t>
            </w:r>
            <w:r w:rsidRPr="00757747">
              <w:rPr>
                <w:rFonts w:ascii="Times New Roman" w:hAnsi="Times New Roman"/>
                <w:b/>
                <w:sz w:val="20"/>
              </w:rPr>
              <w:t>Yes</w:t>
            </w:r>
            <w:r w:rsidRPr="00757747">
              <w:rPr>
                <w:rFonts w:ascii="Times New Roman" w:hAnsi="Times New Roman"/>
                <w:sz w:val="20"/>
              </w:rPr>
              <w:t xml:space="preserve"> button to acknowledge the </w:t>
            </w:r>
            <w:r w:rsidRPr="00757747">
              <w:rPr>
                <w:rFonts w:ascii="Times New Roman" w:hAnsi="Times New Roman"/>
                <w:i/>
                <w:sz w:val="20"/>
              </w:rPr>
              <w:t>User Account Control</w:t>
            </w:r>
            <w:r w:rsidRPr="00757747">
              <w:rPr>
                <w:rFonts w:ascii="Times New Roman" w:hAnsi="Times New Roman"/>
                <w:sz w:val="20"/>
              </w:rPr>
              <w:t xml:space="preserve"> window if displayed.</w:t>
            </w:r>
          </w:p>
        </w:tc>
        <w:tc>
          <w:tcPr>
            <w:tcW w:w="4230" w:type="dxa"/>
          </w:tcPr>
          <w:p w14:paraId="2952FBD2" w14:textId="77777777" w:rsidR="00BF01D7" w:rsidRPr="00450529" w:rsidRDefault="00FF56E8" w:rsidP="003D7B03">
            <w:pPr>
              <w:spacing w:before="60" w:after="60" w:line="240" w:lineRule="auto"/>
              <w:rPr>
                <w:rFonts w:ascii="Times New Roman" w:hAnsi="Times New Roman"/>
              </w:rPr>
            </w:pPr>
            <w:r w:rsidRPr="00EC4990">
              <w:rPr>
                <w:noProof/>
              </w:rPr>
              <w:drawing>
                <wp:inline distT="0" distB="0" distL="0" distR="0" wp14:anchorId="04570676" wp14:editId="199F8E53">
                  <wp:extent cx="1752600" cy="2062959"/>
                  <wp:effectExtent l="0" t="0" r="0" b="0"/>
                  <wp:docPr id="1407" name="Picture 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screen">
                            <a:extLst>
                              <a:ext uri="{28A0092B-C50C-407E-A947-70E740481C1C}">
                                <a14:useLocalDpi xmlns:a14="http://schemas.microsoft.com/office/drawing/2010/main"/>
                              </a:ext>
                            </a:extLst>
                          </a:blip>
                          <a:stretch>
                            <a:fillRect/>
                          </a:stretch>
                        </pic:blipFill>
                        <pic:spPr>
                          <a:xfrm>
                            <a:off x="0" y="0"/>
                            <a:ext cx="1746977" cy="2056340"/>
                          </a:xfrm>
                          <a:prstGeom prst="rect">
                            <a:avLst/>
                          </a:prstGeom>
                        </pic:spPr>
                      </pic:pic>
                    </a:graphicData>
                  </a:graphic>
                </wp:inline>
              </w:drawing>
            </w:r>
          </w:p>
        </w:tc>
      </w:tr>
      <w:tr w:rsidR="00BF01D7" w:rsidRPr="007540A6" w14:paraId="28E7E7B5" w14:textId="77777777" w:rsidTr="001F4B14">
        <w:tc>
          <w:tcPr>
            <w:tcW w:w="9535" w:type="dxa"/>
            <w:gridSpan w:val="3"/>
            <w:shd w:val="clear" w:color="auto" w:fill="B6DDE9"/>
          </w:tcPr>
          <w:p w14:paraId="0504EC3F" w14:textId="77777777" w:rsidR="00BF01D7" w:rsidRPr="00450529" w:rsidRDefault="00A472F8" w:rsidP="003D7B03">
            <w:pPr>
              <w:spacing w:before="60" w:after="60" w:line="240" w:lineRule="auto"/>
              <w:rPr>
                <w:rFonts w:ascii="Times New Roman" w:hAnsi="Times New Roman"/>
                <w:b/>
                <w:i/>
                <w:color w:val="0000FF"/>
                <w:szCs w:val="24"/>
              </w:rPr>
            </w:pPr>
            <w:r w:rsidRPr="00EC4990">
              <w:rPr>
                <w:rFonts w:ascii="Times New Roman" w:hAnsi="Times New Roman"/>
                <w:b/>
                <w:i/>
                <w:color w:val="0000FF"/>
                <w:szCs w:val="24"/>
              </w:rPr>
              <w:t xml:space="preserve">To </w:t>
            </w:r>
            <w:r w:rsidR="00E34259" w:rsidRPr="00EC4990">
              <w:rPr>
                <w:rFonts w:ascii="Times New Roman" w:hAnsi="Times New Roman"/>
                <w:b/>
                <w:i/>
                <w:color w:val="0000FF"/>
                <w:szCs w:val="24"/>
              </w:rPr>
              <w:t>A</w:t>
            </w:r>
            <w:r w:rsidR="00BF01D7" w:rsidRPr="00EC4990">
              <w:rPr>
                <w:rFonts w:ascii="Times New Roman" w:hAnsi="Times New Roman"/>
                <w:b/>
                <w:i/>
                <w:color w:val="0000FF"/>
                <w:szCs w:val="24"/>
              </w:rPr>
              <w:t>rchive the Event Log:</w:t>
            </w:r>
          </w:p>
        </w:tc>
      </w:tr>
      <w:tr w:rsidR="00BF01D7" w:rsidRPr="007540A6" w14:paraId="4C9A57C9" w14:textId="77777777" w:rsidTr="001F4B14">
        <w:tc>
          <w:tcPr>
            <w:tcW w:w="805" w:type="dxa"/>
          </w:tcPr>
          <w:p w14:paraId="63B0D4C8" w14:textId="77777777" w:rsidR="00BF01D7" w:rsidRPr="00757747" w:rsidRDefault="00BF01D7" w:rsidP="006D5A65">
            <w:pPr>
              <w:pStyle w:val="Heading1"/>
            </w:pPr>
          </w:p>
        </w:tc>
        <w:tc>
          <w:tcPr>
            <w:tcW w:w="4500" w:type="dxa"/>
          </w:tcPr>
          <w:p w14:paraId="11DFE82E" w14:textId="77777777" w:rsidR="00BF01D7" w:rsidRPr="00757747" w:rsidRDefault="005145EC" w:rsidP="003D7B03">
            <w:pPr>
              <w:spacing w:before="60" w:after="60" w:line="240" w:lineRule="auto"/>
              <w:rPr>
                <w:rFonts w:ascii="Times New Roman" w:hAnsi="Times New Roman"/>
                <w:sz w:val="22"/>
                <w:szCs w:val="22"/>
              </w:rPr>
            </w:pPr>
            <w:r w:rsidRPr="00757747">
              <w:rPr>
                <w:rFonts w:ascii="Times New Roman" w:hAnsi="Times New Roman"/>
                <w:sz w:val="22"/>
                <w:szCs w:val="22"/>
              </w:rPr>
              <w:t xml:space="preserve">In the left pane, expand down and open the </w:t>
            </w:r>
            <w:r w:rsidRPr="00757747">
              <w:rPr>
                <w:rFonts w:ascii="Times New Roman" w:hAnsi="Times New Roman"/>
                <w:b/>
                <w:sz w:val="22"/>
                <w:szCs w:val="22"/>
              </w:rPr>
              <w:t>Windows Logs</w:t>
            </w:r>
            <w:r w:rsidRPr="00757747">
              <w:rPr>
                <w:rFonts w:ascii="Times New Roman" w:hAnsi="Times New Roman"/>
                <w:sz w:val="22"/>
                <w:szCs w:val="22"/>
              </w:rPr>
              <w:t xml:space="preserve"> entry. </w:t>
            </w:r>
            <w:r w:rsidR="00BF01D7" w:rsidRPr="00757747">
              <w:rPr>
                <w:rFonts w:ascii="Times New Roman" w:hAnsi="Times New Roman"/>
                <w:sz w:val="22"/>
                <w:szCs w:val="22"/>
              </w:rPr>
              <w:t xml:space="preserve">Select the Event Log to be archived. </w:t>
            </w:r>
            <w:r w:rsidR="00A472F8" w:rsidRPr="00757747">
              <w:rPr>
                <w:rFonts w:ascii="Times New Roman" w:hAnsi="Times New Roman"/>
                <w:sz w:val="22"/>
                <w:szCs w:val="22"/>
              </w:rPr>
              <w:t>Invoke the Context</w:t>
            </w:r>
            <w:r w:rsidR="00985CEF" w:rsidRPr="00757747">
              <w:rPr>
                <w:rFonts w:ascii="Times New Roman" w:hAnsi="Times New Roman"/>
                <w:sz w:val="22"/>
                <w:szCs w:val="22"/>
              </w:rPr>
              <w:t xml:space="preserve"> </w:t>
            </w:r>
            <w:r w:rsidR="00A472F8" w:rsidRPr="00757747">
              <w:rPr>
                <w:rFonts w:ascii="Times New Roman" w:hAnsi="Times New Roman"/>
                <w:sz w:val="22"/>
                <w:szCs w:val="22"/>
              </w:rPr>
              <w:t>M</w:t>
            </w:r>
            <w:r w:rsidR="00BF01D7" w:rsidRPr="00757747">
              <w:rPr>
                <w:rFonts w:ascii="Times New Roman" w:hAnsi="Times New Roman"/>
                <w:sz w:val="22"/>
                <w:szCs w:val="22"/>
              </w:rPr>
              <w:t>enu</w:t>
            </w:r>
            <w:r w:rsidR="00A472F8" w:rsidRPr="00757747">
              <w:rPr>
                <w:rFonts w:ascii="Times New Roman" w:hAnsi="Times New Roman"/>
                <w:sz w:val="22"/>
                <w:szCs w:val="22"/>
              </w:rPr>
              <w:t xml:space="preserve"> and</w:t>
            </w:r>
            <w:r w:rsidR="00BF01D7" w:rsidRPr="00757747">
              <w:rPr>
                <w:rFonts w:ascii="Times New Roman" w:hAnsi="Times New Roman"/>
                <w:sz w:val="22"/>
                <w:szCs w:val="22"/>
              </w:rPr>
              <w:t xml:space="preserve"> select </w:t>
            </w:r>
            <w:r w:rsidR="00BF01D7" w:rsidRPr="00757747">
              <w:rPr>
                <w:rFonts w:ascii="Times New Roman" w:hAnsi="Times New Roman"/>
                <w:b/>
                <w:sz w:val="22"/>
                <w:szCs w:val="22"/>
              </w:rPr>
              <w:t>Save All Event</w:t>
            </w:r>
            <w:r w:rsidR="00A472F8" w:rsidRPr="00757747">
              <w:rPr>
                <w:rFonts w:ascii="Times New Roman" w:hAnsi="Times New Roman"/>
                <w:b/>
                <w:sz w:val="22"/>
                <w:szCs w:val="22"/>
              </w:rPr>
              <w:t>s</w:t>
            </w:r>
            <w:r w:rsidR="00BF01D7" w:rsidRPr="00757747">
              <w:rPr>
                <w:rFonts w:ascii="Times New Roman" w:hAnsi="Times New Roman"/>
                <w:b/>
                <w:sz w:val="22"/>
                <w:szCs w:val="22"/>
              </w:rPr>
              <w:t xml:space="preserve"> As…</w:t>
            </w:r>
            <w:r w:rsidR="00A472F8" w:rsidRPr="00757747">
              <w:rPr>
                <w:rFonts w:ascii="Times New Roman" w:hAnsi="Times New Roman"/>
                <w:sz w:val="22"/>
                <w:szCs w:val="22"/>
              </w:rPr>
              <w:t>.</w:t>
            </w:r>
          </w:p>
        </w:tc>
        <w:tc>
          <w:tcPr>
            <w:tcW w:w="4230" w:type="dxa"/>
          </w:tcPr>
          <w:p w14:paraId="55DAF949" w14:textId="77777777" w:rsidR="00BF01D7" w:rsidRPr="00450529" w:rsidRDefault="00FF56E8" w:rsidP="003D7B03">
            <w:pPr>
              <w:spacing w:before="60" w:after="60" w:line="240" w:lineRule="auto"/>
              <w:rPr>
                <w:rFonts w:ascii="Times New Roman" w:hAnsi="Times New Roman"/>
              </w:rPr>
            </w:pPr>
            <w:r w:rsidRPr="00EC4990">
              <w:rPr>
                <w:noProof/>
              </w:rPr>
              <w:drawing>
                <wp:inline distT="0" distB="0" distL="0" distR="0" wp14:anchorId="1923C0A2" wp14:editId="255E1308">
                  <wp:extent cx="2498224" cy="2598420"/>
                  <wp:effectExtent l="0" t="0" r="0" b="0"/>
                  <wp:docPr id="1408" name="Picture 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extLst>
                              <a:ext uri="{28A0092B-C50C-407E-A947-70E740481C1C}">
                                <a14:useLocalDpi xmlns:a14="http://schemas.microsoft.com/office/drawing/2010/main"/>
                              </a:ext>
                            </a:extLst>
                          </a:blip>
                          <a:stretch>
                            <a:fillRect/>
                          </a:stretch>
                        </pic:blipFill>
                        <pic:spPr bwMode="auto">
                          <a:xfrm>
                            <a:off x="0" y="0"/>
                            <a:ext cx="2506255" cy="2606774"/>
                          </a:xfrm>
                          <a:prstGeom prst="rect">
                            <a:avLst/>
                          </a:prstGeom>
                          <a:ln>
                            <a:noFill/>
                          </a:ln>
                          <a:extLst>
                            <a:ext uri="{53640926-AAD7-44D8-BBD7-CCE9431645EC}">
                              <a14:shadowObscured xmlns:a14="http://schemas.microsoft.com/office/drawing/2010/main"/>
                            </a:ext>
                          </a:extLst>
                        </pic:spPr>
                      </pic:pic>
                    </a:graphicData>
                  </a:graphic>
                </wp:inline>
              </w:drawing>
            </w:r>
          </w:p>
        </w:tc>
      </w:tr>
      <w:tr w:rsidR="00BF01D7" w:rsidRPr="007540A6" w14:paraId="71CADF86" w14:textId="77777777" w:rsidTr="001F4B14">
        <w:tc>
          <w:tcPr>
            <w:tcW w:w="805" w:type="dxa"/>
          </w:tcPr>
          <w:p w14:paraId="582693EF" w14:textId="77777777" w:rsidR="00BF01D7" w:rsidRPr="00757747" w:rsidRDefault="00BF01D7" w:rsidP="006D5A65">
            <w:pPr>
              <w:pStyle w:val="Heading1"/>
            </w:pPr>
          </w:p>
        </w:tc>
        <w:tc>
          <w:tcPr>
            <w:tcW w:w="4500" w:type="dxa"/>
          </w:tcPr>
          <w:p w14:paraId="5B061077" w14:textId="77777777" w:rsidR="00BF01D7" w:rsidRPr="00757747" w:rsidRDefault="00BF01D7" w:rsidP="003D7B03">
            <w:pPr>
              <w:spacing w:before="60" w:after="60" w:line="240" w:lineRule="auto"/>
              <w:rPr>
                <w:rFonts w:ascii="Times New Roman" w:hAnsi="Times New Roman"/>
                <w:sz w:val="22"/>
                <w:szCs w:val="22"/>
              </w:rPr>
            </w:pPr>
            <w:r w:rsidRPr="00757747">
              <w:rPr>
                <w:rFonts w:ascii="Times New Roman" w:hAnsi="Times New Roman"/>
                <w:sz w:val="22"/>
                <w:szCs w:val="22"/>
              </w:rPr>
              <w:t xml:space="preserve">Navigate to the storage location. Enter the Archive </w:t>
            </w:r>
            <w:r w:rsidR="001B2A4C" w:rsidRPr="00757747">
              <w:rPr>
                <w:rFonts w:ascii="Times New Roman" w:hAnsi="Times New Roman"/>
                <w:sz w:val="22"/>
                <w:szCs w:val="22"/>
              </w:rPr>
              <w:t>N</w:t>
            </w:r>
            <w:r w:rsidRPr="00757747">
              <w:rPr>
                <w:rFonts w:ascii="Times New Roman" w:hAnsi="Times New Roman"/>
                <w:sz w:val="22"/>
                <w:szCs w:val="22"/>
              </w:rPr>
              <w:t>ame</w:t>
            </w:r>
            <w:r w:rsidR="00A472F8" w:rsidRPr="00757747">
              <w:rPr>
                <w:rFonts w:ascii="Times New Roman" w:hAnsi="Times New Roman"/>
                <w:sz w:val="22"/>
                <w:szCs w:val="22"/>
              </w:rPr>
              <w:t xml:space="preserve"> and s</w:t>
            </w:r>
            <w:r w:rsidRPr="00757747">
              <w:rPr>
                <w:rFonts w:ascii="Times New Roman" w:hAnsi="Times New Roman"/>
                <w:sz w:val="22"/>
                <w:szCs w:val="22"/>
              </w:rPr>
              <w:t xml:space="preserve">elect </w:t>
            </w:r>
            <w:r w:rsidRPr="00757747">
              <w:rPr>
                <w:rFonts w:ascii="Times New Roman" w:hAnsi="Times New Roman"/>
                <w:b/>
                <w:sz w:val="22"/>
                <w:szCs w:val="22"/>
              </w:rPr>
              <w:t>Save</w:t>
            </w:r>
            <w:r w:rsidRPr="00757747">
              <w:rPr>
                <w:rFonts w:ascii="Times New Roman" w:hAnsi="Times New Roman"/>
                <w:sz w:val="22"/>
                <w:szCs w:val="22"/>
              </w:rPr>
              <w:t>.</w:t>
            </w:r>
          </w:p>
          <w:p w14:paraId="12B27A81" w14:textId="21600741" w:rsidR="00BF01D7" w:rsidRPr="00757747" w:rsidRDefault="00975FEA" w:rsidP="003D7B03">
            <w:pPr>
              <w:spacing w:before="60" w:after="60" w:line="240" w:lineRule="auto"/>
              <w:rPr>
                <w:rFonts w:ascii="Times New Roman" w:hAnsi="Times New Roman"/>
                <w:sz w:val="22"/>
                <w:szCs w:val="22"/>
              </w:rPr>
            </w:pPr>
            <w:r w:rsidRPr="00757747">
              <w:rPr>
                <w:rFonts w:ascii="Times New Roman" w:hAnsi="Times New Roman"/>
                <w:sz w:val="22"/>
                <w:szCs w:val="22"/>
              </w:rPr>
              <w:t>Recommended</w:t>
            </w:r>
            <w:r w:rsidR="00BF01D7" w:rsidRPr="00757747">
              <w:rPr>
                <w:rFonts w:ascii="Times New Roman" w:hAnsi="Times New Roman"/>
                <w:sz w:val="22"/>
                <w:szCs w:val="22"/>
              </w:rPr>
              <w:t xml:space="preserve"> format is</w:t>
            </w:r>
            <w:r w:rsidR="00BF01D7" w:rsidRPr="00757747">
              <w:rPr>
                <w:rFonts w:ascii="Times New Roman" w:hAnsi="Times New Roman"/>
                <w:b/>
                <w:sz w:val="22"/>
                <w:szCs w:val="22"/>
              </w:rPr>
              <w:t xml:space="preserve"> &lt;machine name&gt;_YYYYMMDD_LogType.evtx</w:t>
            </w:r>
            <w:r w:rsidR="00BF01D7" w:rsidRPr="00757747">
              <w:rPr>
                <w:rFonts w:ascii="Times New Roman" w:hAnsi="Times New Roman"/>
                <w:sz w:val="22"/>
                <w:szCs w:val="22"/>
              </w:rPr>
              <w:t>.</w:t>
            </w:r>
            <w:r w:rsidR="007D3BE7" w:rsidRPr="00757747">
              <w:rPr>
                <w:rFonts w:ascii="Times New Roman" w:hAnsi="Times New Roman"/>
                <w:sz w:val="22"/>
                <w:szCs w:val="22"/>
              </w:rPr>
              <w:t xml:space="preserve"> </w:t>
            </w:r>
          </w:p>
          <w:p w14:paraId="64124F19" w14:textId="1C5F4F92" w:rsidR="00BF01D7" w:rsidRPr="00757747" w:rsidRDefault="00BF01D7" w:rsidP="003D7B03">
            <w:pPr>
              <w:spacing w:before="60" w:after="60" w:line="240" w:lineRule="auto"/>
              <w:jc w:val="both"/>
              <w:rPr>
                <w:rFonts w:ascii="Times New Roman" w:hAnsi="Times New Roman"/>
                <w:sz w:val="22"/>
                <w:szCs w:val="22"/>
              </w:rPr>
            </w:pPr>
            <w:r w:rsidRPr="00757747">
              <w:rPr>
                <w:rFonts w:ascii="Times New Roman" w:hAnsi="Times New Roman"/>
                <w:sz w:val="22"/>
                <w:szCs w:val="22"/>
              </w:rPr>
              <w:t>Example:</w:t>
            </w:r>
            <w:r w:rsidR="007D3BE7" w:rsidRPr="00757747">
              <w:rPr>
                <w:rFonts w:ascii="Times New Roman" w:hAnsi="Times New Roman"/>
                <w:sz w:val="22"/>
                <w:szCs w:val="22"/>
              </w:rPr>
              <w:t xml:space="preserve"> </w:t>
            </w:r>
            <w:r w:rsidRPr="00757747">
              <w:rPr>
                <w:rFonts w:ascii="Times New Roman" w:hAnsi="Times New Roman"/>
                <w:b/>
                <w:sz w:val="22"/>
                <w:szCs w:val="22"/>
              </w:rPr>
              <w:t>MdsPc_</w:t>
            </w:r>
            <w:r w:rsidR="00245CDB" w:rsidRPr="00757747">
              <w:rPr>
                <w:rFonts w:ascii="Times New Roman" w:hAnsi="Times New Roman"/>
                <w:b/>
                <w:sz w:val="22"/>
                <w:szCs w:val="22"/>
              </w:rPr>
              <w:t>20151010</w:t>
            </w:r>
            <w:r w:rsidRPr="00757747">
              <w:rPr>
                <w:rFonts w:ascii="Times New Roman" w:hAnsi="Times New Roman"/>
                <w:b/>
                <w:sz w:val="22"/>
                <w:szCs w:val="22"/>
              </w:rPr>
              <w:t>_ApplicationEventLog.evtx</w:t>
            </w:r>
          </w:p>
          <w:p w14:paraId="2D7160AD" w14:textId="77777777" w:rsidR="00BF01D7" w:rsidRPr="00757747" w:rsidRDefault="00BF01D7" w:rsidP="003D7B03">
            <w:pPr>
              <w:spacing w:before="60" w:after="60" w:line="240" w:lineRule="auto"/>
              <w:rPr>
                <w:rFonts w:ascii="Times New Roman" w:hAnsi="Times New Roman"/>
                <w:sz w:val="22"/>
                <w:szCs w:val="22"/>
              </w:rPr>
            </w:pPr>
          </w:p>
          <w:p w14:paraId="7196AA95" w14:textId="77777777" w:rsidR="00BF01D7" w:rsidRPr="00757747" w:rsidRDefault="00BF01D7" w:rsidP="003D7B03">
            <w:pPr>
              <w:spacing w:before="60" w:after="60" w:line="240" w:lineRule="auto"/>
              <w:rPr>
                <w:rFonts w:ascii="Times New Roman" w:hAnsi="Times New Roman"/>
                <w:sz w:val="22"/>
                <w:szCs w:val="22"/>
              </w:rPr>
            </w:pPr>
          </w:p>
        </w:tc>
        <w:tc>
          <w:tcPr>
            <w:tcW w:w="4230" w:type="dxa"/>
          </w:tcPr>
          <w:p w14:paraId="3C1AF8E3" w14:textId="77777777" w:rsidR="00BF01D7" w:rsidRPr="00450529" w:rsidRDefault="00245CDB" w:rsidP="003D7B03">
            <w:pPr>
              <w:spacing w:before="60" w:after="60" w:line="240" w:lineRule="auto"/>
              <w:rPr>
                <w:rFonts w:ascii="Times New Roman" w:hAnsi="Times New Roman"/>
              </w:rPr>
            </w:pPr>
            <w:r w:rsidRPr="00EC4990">
              <w:rPr>
                <w:noProof/>
              </w:rPr>
              <w:drawing>
                <wp:inline distT="0" distB="0" distL="0" distR="0" wp14:anchorId="56DF9D6F" wp14:editId="47F1A9C5">
                  <wp:extent cx="2566470" cy="2217420"/>
                  <wp:effectExtent l="0" t="0" r="5715" b="0"/>
                  <wp:docPr id="1369"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screen">
                            <a:extLst>
                              <a:ext uri="{28A0092B-C50C-407E-A947-70E740481C1C}">
                                <a14:useLocalDpi xmlns:a14="http://schemas.microsoft.com/office/drawing/2010/main"/>
                              </a:ext>
                            </a:extLst>
                          </a:blip>
                          <a:stretch>
                            <a:fillRect/>
                          </a:stretch>
                        </pic:blipFill>
                        <pic:spPr>
                          <a:xfrm>
                            <a:off x="0" y="0"/>
                            <a:ext cx="2573938" cy="2223873"/>
                          </a:xfrm>
                          <a:prstGeom prst="rect">
                            <a:avLst/>
                          </a:prstGeom>
                        </pic:spPr>
                      </pic:pic>
                    </a:graphicData>
                  </a:graphic>
                </wp:inline>
              </w:drawing>
            </w:r>
          </w:p>
        </w:tc>
      </w:tr>
      <w:tr w:rsidR="00BF01D7" w:rsidRPr="007540A6" w14:paraId="6E6DD9FB" w14:textId="77777777" w:rsidTr="001F4B14">
        <w:tc>
          <w:tcPr>
            <w:tcW w:w="805" w:type="dxa"/>
          </w:tcPr>
          <w:p w14:paraId="0EEE0754" w14:textId="77777777" w:rsidR="00BF01D7" w:rsidRPr="00757747" w:rsidRDefault="00BF01D7" w:rsidP="006D5A65">
            <w:pPr>
              <w:pStyle w:val="Heading1"/>
            </w:pPr>
          </w:p>
        </w:tc>
        <w:tc>
          <w:tcPr>
            <w:tcW w:w="4500" w:type="dxa"/>
          </w:tcPr>
          <w:p w14:paraId="5C9BC781" w14:textId="77777777" w:rsidR="00BF01D7" w:rsidRPr="00757747" w:rsidRDefault="00BF01D7" w:rsidP="003D7B03">
            <w:pPr>
              <w:spacing w:before="60" w:after="60" w:line="240" w:lineRule="auto"/>
              <w:rPr>
                <w:rFonts w:ascii="Times New Roman" w:hAnsi="Times New Roman"/>
                <w:sz w:val="20"/>
              </w:rPr>
            </w:pPr>
            <w:r w:rsidRPr="00757747">
              <w:rPr>
                <w:rFonts w:ascii="Times New Roman" w:hAnsi="Times New Roman"/>
                <w:sz w:val="20"/>
              </w:rPr>
              <w:t xml:space="preserve">If the following window appears, select </w:t>
            </w:r>
            <w:r w:rsidRPr="00757747">
              <w:rPr>
                <w:rFonts w:ascii="Times New Roman" w:hAnsi="Times New Roman"/>
                <w:b/>
                <w:sz w:val="20"/>
              </w:rPr>
              <w:t>OK</w:t>
            </w:r>
            <w:r w:rsidRPr="00757747">
              <w:rPr>
                <w:rFonts w:ascii="Times New Roman" w:hAnsi="Times New Roman"/>
                <w:sz w:val="20"/>
              </w:rPr>
              <w:t>.</w:t>
            </w:r>
          </w:p>
        </w:tc>
        <w:tc>
          <w:tcPr>
            <w:tcW w:w="4230" w:type="dxa"/>
          </w:tcPr>
          <w:p w14:paraId="5F417D39" w14:textId="77777777" w:rsidR="00BF01D7" w:rsidRPr="007540A6" w:rsidRDefault="00245CDB" w:rsidP="003D7B03">
            <w:pPr>
              <w:spacing w:before="60" w:after="60" w:line="240" w:lineRule="auto"/>
              <w:rPr>
                <w:rFonts w:ascii="Times New Roman" w:hAnsi="Times New Roman"/>
              </w:rPr>
            </w:pPr>
            <w:r w:rsidRPr="002B02EB">
              <w:rPr>
                <w:noProof/>
              </w:rPr>
              <w:drawing>
                <wp:inline distT="0" distB="0" distL="0" distR="0" wp14:anchorId="465802B6" wp14:editId="5529A8EB">
                  <wp:extent cx="2551862" cy="2788920"/>
                  <wp:effectExtent l="0" t="0" r="1270" b="0"/>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551862" cy="2788920"/>
                          </a:xfrm>
                          <a:prstGeom prst="rect">
                            <a:avLst/>
                          </a:prstGeom>
                        </pic:spPr>
                      </pic:pic>
                    </a:graphicData>
                  </a:graphic>
                </wp:inline>
              </w:drawing>
            </w:r>
          </w:p>
        </w:tc>
      </w:tr>
      <w:tr w:rsidR="00BF01D7" w:rsidRPr="007540A6" w14:paraId="33E7F5A6" w14:textId="77777777" w:rsidTr="001F4B14">
        <w:tc>
          <w:tcPr>
            <w:tcW w:w="9535" w:type="dxa"/>
            <w:gridSpan w:val="3"/>
            <w:shd w:val="clear" w:color="auto" w:fill="B6DDE9"/>
          </w:tcPr>
          <w:p w14:paraId="07507011" w14:textId="77777777" w:rsidR="00BF01D7" w:rsidRPr="00450529" w:rsidRDefault="00BF01D7" w:rsidP="003D7B03">
            <w:pPr>
              <w:keepNext/>
              <w:spacing w:before="60" w:after="60" w:line="240" w:lineRule="auto"/>
              <w:rPr>
                <w:rFonts w:ascii="Times New Roman" w:hAnsi="Times New Roman"/>
                <w:b/>
                <w:i/>
                <w:color w:val="0000FF"/>
                <w:szCs w:val="24"/>
              </w:rPr>
            </w:pPr>
            <w:r w:rsidRPr="00EC4990">
              <w:rPr>
                <w:rFonts w:ascii="Times New Roman" w:hAnsi="Times New Roman"/>
                <w:b/>
                <w:i/>
                <w:color w:val="0000FF"/>
                <w:szCs w:val="24"/>
              </w:rPr>
              <w:t xml:space="preserve">To </w:t>
            </w:r>
            <w:r w:rsidR="00E34259" w:rsidRPr="00EC4990">
              <w:rPr>
                <w:rFonts w:ascii="Times New Roman" w:hAnsi="Times New Roman"/>
                <w:b/>
                <w:i/>
                <w:color w:val="0000FF"/>
                <w:szCs w:val="24"/>
              </w:rPr>
              <w:t>C</w:t>
            </w:r>
            <w:r w:rsidRPr="00EC4990">
              <w:rPr>
                <w:rFonts w:ascii="Times New Roman" w:hAnsi="Times New Roman"/>
                <w:b/>
                <w:i/>
                <w:color w:val="0000FF"/>
                <w:szCs w:val="24"/>
              </w:rPr>
              <w:t xml:space="preserve">lear the Event Log: </w:t>
            </w:r>
          </w:p>
        </w:tc>
      </w:tr>
      <w:tr w:rsidR="00BF01D7" w:rsidRPr="007540A6" w14:paraId="54BE748E" w14:textId="77777777" w:rsidTr="001F4B14">
        <w:tc>
          <w:tcPr>
            <w:tcW w:w="805" w:type="dxa"/>
          </w:tcPr>
          <w:p w14:paraId="64C7A0FE" w14:textId="77777777" w:rsidR="00BF01D7" w:rsidRPr="00757747" w:rsidRDefault="00BF01D7" w:rsidP="006D5A65">
            <w:pPr>
              <w:pStyle w:val="Heading1"/>
            </w:pPr>
          </w:p>
        </w:tc>
        <w:tc>
          <w:tcPr>
            <w:tcW w:w="4500" w:type="dxa"/>
          </w:tcPr>
          <w:p w14:paraId="5978193F" w14:textId="77777777" w:rsidR="00BF01D7" w:rsidRPr="00757747" w:rsidRDefault="005145EC" w:rsidP="003D7B03">
            <w:pPr>
              <w:keepNext/>
              <w:spacing w:before="60" w:after="60" w:line="240" w:lineRule="auto"/>
              <w:rPr>
                <w:rFonts w:ascii="Times New Roman" w:hAnsi="Times New Roman"/>
                <w:sz w:val="20"/>
              </w:rPr>
            </w:pPr>
            <w:r w:rsidRPr="00757747">
              <w:rPr>
                <w:rFonts w:ascii="Times New Roman" w:hAnsi="Times New Roman"/>
                <w:sz w:val="20"/>
              </w:rPr>
              <w:t xml:space="preserve">In the left pane, expand down and open the </w:t>
            </w:r>
            <w:r w:rsidRPr="00757747">
              <w:rPr>
                <w:rFonts w:ascii="Times New Roman" w:hAnsi="Times New Roman"/>
                <w:b/>
                <w:sz w:val="20"/>
              </w:rPr>
              <w:t>Windows Logs</w:t>
            </w:r>
            <w:r w:rsidRPr="00757747">
              <w:rPr>
                <w:rFonts w:ascii="Times New Roman" w:hAnsi="Times New Roman"/>
                <w:sz w:val="20"/>
              </w:rPr>
              <w:t xml:space="preserve"> entry. </w:t>
            </w:r>
            <w:r w:rsidR="00BF01D7" w:rsidRPr="00757747">
              <w:rPr>
                <w:rFonts w:ascii="Times New Roman" w:hAnsi="Times New Roman"/>
                <w:sz w:val="20"/>
              </w:rPr>
              <w:t xml:space="preserve">Select the Event Log to be cleared. </w:t>
            </w:r>
            <w:r w:rsidR="00BE13FB" w:rsidRPr="00757747">
              <w:rPr>
                <w:rFonts w:ascii="Times New Roman" w:hAnsi="Times New Roman"/>
                <w:sz w:val="20"/>
              </w:rPr>
              <w:t>Invoke</w:t>
            </w:r>
            <w:r w:rsidR="00BF01D7" w:rsidRPr="00757747">
              <w:rPr>
                <w:rFonts w:ascii="Times New Roman" w:hAnsi="Times New Roman"/>
                <w:sz w:val="20"/>
              </w:rPr>
              <w:t xml:space="preserve"> the </w:t>
            </w:r>
            <w:r w:rsidR="00BE13FB" w:rsidRPr="00757747">
              <w:rPr>
                <w:rFonts w:ascii="Times New Roman" w:hAnsi="Times New Roman"/>
                <w:sz w:val="20"/>
              </w:rPr>
              <w:t>C</w:t>
            </w:r>
            <w:r w:rsidR="00BF01D7" w:rsidRPr="00757747">
              <w:rPr>
                <w:rFonts w:ascii="Times New Roman" w:hAnsi="Times New Roman"/>
                <w:sz w:val="20"/>
              </w:rPr>
              <w:t xml:space="preserve">ontext </w:t>
            </w:r>
            <w:r w:rsidR="00BE13FB" w:rsidRPr="00757747">
              <w:rPr>
                <w:rFonts w:ascii="Times New Roman" w:hAnsi="Times New Roman"/>
                <w:sz w:val="20"/>
              </w:rPr>
              <w:t>M</w:t>
            </w:r>
            <w:r w:rsidR="00BF01D7" w:rsidRPr="00757747">
              <w:rPr>
                <w:rFonts w:ascii="Times New Roman" w:hAnsi="Times New Roman"/>
                <w:sz w:val="20"/>
              </w:rPr>
              <w:t>enu</w:t>
            </w:r>
            <w:r w:rsidR="00BE13FB" w:rsidRPr="00757747">
              <w:rPr>
                <w:rFonts w:ascii="Times New Roman" w:hAnsi="Times New Roman"/>
                <w:sz w:val="20"/>
              </w:rPr>
              <w:t xml:space="preserve"> and</w:t>
            </w:r>
            <w:r w:rsidR="00BF01D7" w:rsidRPr="00757747">
              <w:rPr>
                <w:rFonts w:ascii="Times New Roman" w:hAnsi="Times New Roman"/>
                <w:sz w:val="20"/>
              </w:rPr>
              <w:t xml:space="preserve"> select </w:t>
            </w:r>
            <w:r w:rsidR="00BF01D7" w:rsidRPr="00757747">
              <w:rPr>
                <w:rFonts w:ascii="Times New Roman" w:hAnsi="Times New Roman"/>
                <w:b/>
                <w:sz w:val="20"/>
              </w:rPr>
              <w:t>Clear Log…</w:t>
            </w:r>
            <w:r w:rsidR="00BE13FB" w:rsidRPr="00757747">
              <w:rPr>
                <w:rFonts w:ascii="Times New Roman" w:hAnsi="Times New Roman"/>
                <w:sz w:val="20"/>
              </w:rPr>
              <w:t>.</w:t>
            </w:r>
          </w:p>
        </w:tc>
        <w:tc>
          <w:tcPr>
            <w:tcW w:w="4230" w:type="dxa"/>
          </w:tcPr>
          <w:p w14:paraId="6F6D7215" w14:textId="77777777" w:rsidR="00BF01D7" w:rsidRPr="007540A6" w:rsidRDefault="00245CDB" w:rsidP="003D7B03">
            <w:pPr>
              <w:keepNext/>
              <w:spacing w:before="60" w:after="60" w:line="240" w:lineRule="auto"/>
              <w:rPr>
                <w:rFonts w:ascii="Times New Roman" w:hAnsi="Times New Roman"/>
              </w:rPr>
            </w:pPr>
            <w:r w:rsidRPr="002B02EB">
              <w:rPr>
                <w:noProof/>
              </w:rPr>
              <w:drawing>
                <wp:inline distT="0" distB="0" distL="0" distR="0" wp14:anchorId="2042DA0F" wp14:editId="33B0ECD2">
                  <wp:extent cx="2560054" cy="2453640"/>
                  <wp:effectExtent l="0" t="0" r="0" b="3810"/>
                  <wp:docPr id="1371"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cstate="screen">
                            <a:extLst>
                              <a:ext uri="{28A0092B-C50C-407E-A947-70E740481C1C}">
                                <a14:useLocalDpi xmlns:a14="http://schemas.microsoft.com/office/drawing/2010/main"/>
                              </a:ext>
                            </a:extLst>
                          </a:blip>
                          <a:srcRect/>
                          <a:stretch/>
                        </pic:blipFill>
                        <pic:spPr bwMode="auto">
                          <a:xfrm>
                            <a:off x="0" y="0"/>
                            <a:ext cx="2560054" cy="2453640"/>
                          </a:xfrm>
                          <a:prstGeom prst="rect">
                            <a:avLst/>
                          </a:prstGeom>
                          <a:ln>
                            <a:noFill/>
                          </a:ln>
                          <a:extLst>
                            <a:ext uri="{53640926-AAD7-44D8-BBD7-CCE9431645EC}">
                              <a14:shadowObscured xmlns:a14="http://schemas.microsoft.com/office/drawing/2010/main"/>
                            </a:ext>
                          </a:extLst>
                        </pic:spPr>
                      </pic:pic>
                    </a:graphicData>
                  </a:graphic>
                </wp:inline>
              </w:drawing>
            </w:r>
          </w:p>
        </w:tc>
      </w:tr>
      <w:tr w:rsidR="00BF01D7" w:rsidRPr="007540A6" w14:paraId="6F80847A" w14:textId="77777777" w:rsidTr="001F4B14">
        <w:tc>
          <w:tcPr>
            <w:tcW w:w="805" w:type="dxa"/>
          </w:tcPr>
          <w:p w14:paraId="298A5F34" w14:textId="77777777" w:rsidR="00BF01D7" w:rsidRPr="00757747" w:rsidRDefault="00BF01D7" w:rsidP="006D5A65">
            <w:pPr>
              <w:pStyle w:val="Heading1"/>
            </w:pPr>
          </w:p>
        </w:tc>
        <w:tc>
          <w:tcPr>
            <w:tcW w:w="4500" w:type="dxa"/>
          </w:tcPr>
          <w:p w14:paraId="3C730BC8" w14:textId="77777777" w:rsidR="00BF01D7" w:rsidRPr="00757747" w:rsidRDefault="00BF01D7" w:rsidP="003D7B03">
            <w:pPr>
              <w:spacing w:before="60" w:after="60" w:line="240" w:lineRule="auto"/>
              <w:rPr>
                <w:rFonts w:ascii="Times New Roman" w:hAnsi="Times New Roman"/>
                <w:sz w:val="20"/>
              </w:rPr>
            </w:pPr>
            <w:r w:rsidRPr="00757747">
              <w:rPr>
                <w:rFonts w:ascii="Times New Roman" w:hAnsi="Times New Roman"/>
                <w:sz w:val="20"/>
              </w:rPr>
              <w:t xml:space="preserve">From the confirmation window, select </w:t>
            </w:r>
            <w:r w:rsidRPr="00757747">
              <w:rPr>
                <w:rFonts w:ascii="Times New Roman" w:hAnsi="Times New Roman"/>
                <w:b/>
                <w:sz w:val="20"/>
              </w:rPr>
              <w:t>Clear</w:t>
            </w:r>
            <w:r w:rsidR="00A472F8" w:rsidRPr="00757747">
              <w:rPr>
                <w:rFonts w:ascii="Times New Roman" w:hAnsi="Times New Roman"/>
                <w:sz w:val="20"/>
              </w:rPr>
              <w:t>.</w:t>
            </w:r>
          </w:p>
        </w:tc>
        <w:tc>
          <w:tcPr>
            <w:tcW w:w="4230" w:type="dxa"/>
          </w:tcPr>
          <w:p w14:paraId="2497D2D9" w14:textId="77777777" w:rsidR="00BF01D7" w:rsidRPr="007540A6" w:rsidRDefault="00784703" w:rsidP="003D7B03">
            <w:pPr>
              <w:spacing w:before="60" w:after="60" w:line="240" w:lineRule="auto"/>
              <w:rPr>
                <w:rFonts w:ascii="Times New Roman" w:hAnsi="Times New Roman"/>
              </w:rPr>
            </w:pPr>
            <w:r w:rsidRPr="002B02EB">
              <w:rPr>
                <w:noProof/>
              </w:rPr>
              <w:drawing>
                <wp:inline distT="0" distB="0" distL="0" distR="0" wp14:anchorId="7CDCAB0F" wp14:editId="2F3213CE">
                  <wp:extent cx="2506980" cy="522487"/>
                  <wp:effectExtent l="0" t="0" r="0" b="0"/>
                  <wp:docPr id="1372"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cstate="screen">
                            <a:extLst>
                              <a:ext uri="{28A0092B-C50C-407E-A947-70E740481C1C}">
                                <a14:useLocalDpi xmlns:a14="http://schemas.microsoft.com/office/drawing/2010/main"/>
                              </a:ext>
                            </a:extLst>
                          </a:blip>
                          <a:stretch>
                            <a:fillRect/>
                          </a:stretch>
                        </pic:blipFill>
                        <pic:spPr>
                          <a:xfrm>
                            <a:off x="0" y="0"/>
                            <a:ext cx="2527685" cy="526802"/>
                          </a:xfrm>
                          <a:prstGeom prst="rect">
                            <a:avLst/>
                          </a:prstGeom>
                        </pic:spPr>
                      </pic:pic>
                    </a:graphicData>
                  </a:graphic>
                </wp:inline>
              </w:drawing>
            </w:r>
          </w:p>
        </w:tc>
      </w:tr>
    </w:tbl>
    <w:p w14:paraId="30673E9F" w14:textId="6ABB78D6" w:rsidR="00256CCA" w:rsidRPr="000665B0" w:rsidRDefault="002D0BF3" w:rsidP="00912CE8">
      <w:pPr>
        <w:pStyle w:val="Appendix2"/>
      </w:pPr>
      <w:bookmarkStart w:id="8120" w:name="_Toc214283741"/>
      <w:r w:rsidRPr="000665B0">
        <w:t>SECURITY MAINTENANCE</w:t>
      </w:r>
      <w:bookmarkEnd w:id="8116"/>
      <w:bookmarkEnd w:id="8117"/>
      <w:bookmarkEnd w:id="8120"/>
    </w:p>
    <w:p w14:paraId="03DA2ECF" w14:textId="35178E12" w:rsidR="00256CCA" w:rsidRPr="000665B0" w:rsidRDefault="00E43E5C" w:rsidP="00AE53CA">
      <w:pPr>
        <w:pStyle w:val="Appendix3"/>
        <w:ind w:left="360"/>
      </w:pPr>
      <w:bookmarkStart w:id="8121" w:name="_Toc311470636"/>
      <w:bookmarkStart w:id="8122" w:name="_Toc214283742"/>
      <w:r w:rsidRPr="000665B0">
        <w:t xml:space="preserve">Security </w:t>
      </w:r>
      <w:bookmarkEnd w:id="8121"/>
      <w:r w:rsidRPr="000665B0">
        <w:t>Updates</w:t>
      </w:r>
      <w:bookmarkEnd w:id="8122"/>
    </w:p>
    <w:p w14:paraId="644274E4" w14:textId="77777777" w:rsidR="00256CCA" w:rsidRPr="000665B0" w:rsidRDefault="00256CCA" w:rsidP="002D0BF3">
      <w:r w:rsidRPr="000665B0">
        <w:t>Strike Planning and Execution Systems Program (PMA-281) systems are required to comply with the security policies specified in the PEO(</w:t>
      </w:r>
      <w:r w:rsidR="00913D72" w:rsidRPr="000665B0">
        <w:t>U&amp;</w:t>
      </w:r>
      <w:r w:rsidRPr="000665B0">
        <w:t xml:space="preserve">W) 3900/133 </w:t>
      </w:r>
      <w:r w:rsidRPr="000665B0">
        <w:rPr>
          <w:b/>
          <w:i/>
        </w:rPr>
        <w:t xml:space="preserve">Security Policies and </w:t>
      </w:r>
      <w:r w:rsidRPr="000665B0">
        <w:rPr>
          <w:b/>
          <w:i/>
        </w:rPr>
        <w:lastRenderedPageBreak/>
        <w:t>Requirements for Strike Planning and Execution Systems Program (PMA-281) Systems and Sites</w:t>
      </w:r>
      <w:r w:rsidRPr="000665B0">
        <w:t xml:space="preserve"> document.</w:t>
      </w:r>
    </w:p>
    <w:p w14:paraId="648B49C9" w14:textId="77777777" w:rsidR="00256CCA" w:rsidRPr="000665B0" w:rsidRDefault="00256CCA" w:rsidP="002D0BF3">
      <w:r w:rsidRPr="000665B0">
        <w:t>The body of the 3900/133 document captures security requirements gathered from several guiding documents (foremost of which are the NSA security templates for Microsoft Windows operating systems). The 3900/133 document includes requirements that must be implemented in Information Systems (</w:t>
      </w:r>
      <w:r w:rsidRPr="000665B0">
        <w:rPr>
          <w:b/>
        </w:rPr>
        <w:t>ISs</w:t>
      </w:r>
      <w:r w:rsidRPr="000665B0">
        <w:t>) as well as requirements for physical security, administrative security, labeling of media, and other requirements.</w:t>
      </w:r>
    </w:p>
    <w:p w14:paraId="4E9A80A1" w14:textId="50E33586" w:rsidR="00DC7328" w:rsidRPr="000665B0" w:rsidRDefault="00DC7328" w:rsidP="00DC7328">
      <w:r w:rsidRPr="000665B0">
        <w:t xml:space="preserve">To comply with the implementation of security policies and procedures set forth in the 3900/133 document, </w:t>
      </w:r>
      <w:bookmarkStart w:id="8123" w:name="_Hlk146114233"/>
      <w:r w:rsidRPr="000665B0">
        <w:t xml:space="preserve">PMA-281 provides a </w:t>
      </w:r>
      <w:r w:rsidR="00102F89" w:rsidRPr="000665B0">
        <w:rPr>
          <w:i/>
        </w:rPr>
        <w:t xml:space="preserve">TMPC </w:t>
      </w:r>
      <w:r w:rsidR="005619C1" w:rsidRPr="000665B0">
        <w:rPr>
          <w:i/>
        </w:rPr>
        <w:t>7</w:t>
      </w:r>
      <w:r w:rsidRPr="000665B0">
        <w:rPr>
          <w:i/>
        </w:rPr>
        <w:t>.0</w:t>
      </w:r>
      <w:r w:rsidR="00C91AA6" w:rsidRPr="000665B0">
        <w:rPr>
          <w:i/>
        </w:rPr>
        <w:t xml:space="preserve"> </w:t>
      </w:r>
      <w:r w:rsidRPr="000665B0">
        <w:rPr>
          <w:i/>
        </w:rPr>
        <w:t>Security Disc</w:t>
      </w:r>
      <w:bookmarkEnd w:id="8123"/>
      <w:r w:rsidRPr="000665B0">
        <w:t xml:space="preserve">. The </w:t>
      </w:r>
      <w:r w:rsidR="00102F89" w:rsidRPr="000665B0">
        <w:rPr>
          <w:i/>
        </w:rPr>
        <w:t xml:space="preserve">TMPC </w:t>
      </w:r>
      <w:r w:rsidRPr="000665B0">
        <w:rPr>
          <w:i/>
        </w:rPr>
        <w:t>Security Disc</w:t>
      </w:r>
      <w:r w:rsidRPr="000665B0">
        <w:t xml:space="preserve"> contains the files and procedures necessary for the implementation of the security policies and procedures.</w:t>
      </w:r>
    </w:p>
    <w:p w14:paraId="18458DD0" w14:textId="2594AB9E" w:rsidR="00DC7328" w:rsidRPr="000665B0" w:rsidRDefault="00DC7328" w:rsidP="00DC7328">
      <w:r w:rsidRPr="000665B0">
        <w:t xml:space="preserve">The most current </w:t>
      </w:r>
      <w:r w:rsidR="00102F89" w:rsidRPr="000665B0">
        <w:rPr>
          <w:i/>
        </w:rPr>
        <w:t>TMPC</w:t>
      </w:r>
      <w:r w:rsidR="00102F89" w:rsidRPr="000665B0" w:rsidDel="00102F89">
        <w:rPr>
          <w:i/>
        </w:rPr>
        <w:t xml:space="preserve"> </w:t>
      </w:r>
      <w:r w:rsidR="005619C1" w:rsidRPr="000665B0">
        <w:rPr>
          <w:i/>
        </w:rPr>
        <w:t>7</w:t>
      </w:r>
      <w:r w:rsidRPr="000665B0">
        <w:rPr>
          <w:i/>
        </w:rPr>
        <w:t>.0</w:t>
      </w:r>
      <w:r w:rsidR="00C91AA6" w:rsidRPr="000665B0">
        <w:rPr>
          <w:i/>
        </w:rPr>
        <w:t xml:space="preserve"> </w:t>
      </w:r>
      <w:r w:rsidRPr="000665B0">
        <w:rPr>
          <w:i/>
        </w:rPr>
        <w:t>Security Disc</w:t>
      </w:r>
      <w:r w:rsidRPr="000665B0">
        <w:t xml:space="preserve"> at the time of the MDS installation will be applied as part of the software installation process. Quarterly updates of the </w:t>
      </w:r>
      <w:r w:rsidR="00102F89" w:rsidRPr="000665B0">
        <w:rPr>
          <w:i/>
        </w:rPr>
        <w:t>TMPC</w:t>
      </w:r>
      <w:r w:rsidR="00102F89" w:rsidRPr="000665B0" w:rsidDel="00102F89">
        <w:rPr>
          <w:i/>
        </w:rPr>
        <w:t xml:space="preserve"> </w:t>
      </w:r>
      <w:r w:rsidR="005619C1" w:rsidRPr="000665B0">
        <w:rPr>
          <w:i/>
        </w:rPr>
        <w:t>7</w:t>
      </w:r>
      <w:r w:rsidRPr="000665B0">
        <w:rPr>
          <w:i/>
        </w:rPr>
        <w:t>.0</w:t>
      </w:r>
      <w:r w:rsidR="00C91AA6" w:rsidRPr="000665B0">
        <w:rPr>
          <w:i/>
        </w:rPr>
        <w:t xml:space="preserve"> </w:t>
      </w:r>
      <w:r w:rsidRPr="000665B0">
        <w:rPr>
          <w:i/>
        </w:rPr>
        <w:t>Security Disc</w:t>
      </w:r>
      <w:r w:rsidRPr="000665B0">
        <w:t xml:space="preserve"> will be distributed to sites through each site</w:t>
      </w:r>
      <w:r w:rsidR="0063093A" w:rsidRPr="000665B0">
        <w:t>’</w:t>
      </w:r>
      <w:r w:rsidRPr="000665B0">
        <w:t>s responsible organization.</w:t>
      </w:r>
    </w:p>
    <w:p w14:paraId="3F5E1890" w14:textId="77777777" w:rsidR="00DC7328" w:rsidRPr="000665B0" w:rsidRDefault="00DC7328" w:rsidP="00DC7328">
      <w:r w:rsidRPr="000665B0">
        <w:t xml:space="preserve">For CMSA, TSMPC, CSG, and </w:t>
      </w:r>
      <w:r w:rsidR="00395432" w:rsidRPr="000665B0">
        <w:t xml:space="preserve">Standalone MDS </w:t>
      </w:r>
      <w:r w:rsidRPr="000665B0">
        <w:t xml:space="preserve">sites, the security updates will be provided by PMA-281 on a quarterly basis. Installation of the security updates at a CMSA and TSMPC will be conducted by the developer. At a CMSA, the onsite developer site rep will conduct the installation. Flyaway developer support will be provided for a TSMPC. Site administrator personnel </w:t>
      </w:r>
      <w:r w:rsidR="00F965D8" w:rsidRPr="000665B0">
        <w:t>are</w:t>
      </w:r>
      <w:r w:rsidRPr="000665B0">
        <w:t xml:space="preserve"> responsible for the updates at CSG and </w:t>
      </w:r>
      <w:r w:rsidR="00395432" w:rsidRPr="000665B0">
        <w:t>Standalone MDS</w:t>
      </w:r>
      <w:r w:rsidR="00395432" w:rsidRPr="000665B0" w:rsidDel="00395432">
        <w:t xml:space="preserve"> </w:t>
      </w:r>
      <w:r w:rsidRPr="000665B0">
        <w:t>sites.</w:t>
      </w:r>
    </w:p>
    <w:p w14:paraId="17E12867" w14:textId="77777777" w:rsidR="00DC7328" w:rsidRPr="000665B0" w:rsidRDefault="00DC7328" w:rsidP="00DC7328">
      <w:r w:rsidRPr="000665B0">
        <w:t xml:space="preserve">Security updates for FRUs will be distributed by PMA-280 on a </w:t>
      </w:r>
      <w:r w:rsidR="002F115A" w:rsidRPr="000665B0">
        <w:t>quarterly</w:t>
      </w:r>
      <w:r w:rsidRPr="000665B0">
        <w:t xml:space="preserve"> basis. Site administrator personnel </w:t>
      </w:r>
      <w:r w:rsidR="00F965D8" w:rsidRPr="000665B0">
        <w:t>are</w:t>
      </w:r>
      <w:r w:rsidRPr="000665B0">
        <w:t xml:space="preserve"> responsible for the installation of the security updates.</w:t>
      </w:r>
    </w:p>
    <w:p w14:paraId="33D7B3F6" w14:textId="3B97ECC2" w:rsidR="00DC7328" w:rsidRPr="000665B0" w:rsidRDefault="00DC7328" w:rsidP="00DC7328">
      <w:pPr>
        <w:spacing w:after="0"/>
      </w:pPr>
      <w:r w:rsidRPr="000665B0">
        <w:t xml:space="preserve">The </w:t>
      </w:r>
      <w:r w:rsidRPr="000665B0">
        <w:rPr>
          <w:b/>
          <w:i/>
        </w:rPr>
        <w:t xml:space="preserve">Security Procedures for </w:t>
      </w:r>
      <w:r w:rsidR="00102F89" w:rsidRPr="000665B0">
        <w:rPr>
          <w:b/>
          <w:i/>
        </w:rPr>
        <w:t>TMPC</w:t>
      </w:r>
      <w:r w:rsidR="00102F89" w:rsidRPr="000665B0" w:rsidDel="00102F89">
        <w:rPr>
          <w:b/>
          <w:i/>
        </w:rPr>
        <w:t xml:space="preserve"> </w:t>
      </w:r>
      <w:r w:rsidR="005619C1" w:rsidRPr="000665B0">
        <w:rPr>
          <w:b/>
          <w:i/>
        </w:rPr>
        <w:t>7</w:t>
      </w:r>
      <w:r w:rsidRPr="000665B0">
        <w:rPr>
          <w:b/>
          <w:i/>
        </w:rPr>
        <w:t>.0</w:t>
      </w:r>
      <w:r w:rsidR="00C91AA6" w:rsidRPr="000665B0">
        <w:t xml:space="preserve"> </w:t>
      </w:r>
      <w:r w:rsidRPr="000665B0">
        <w:t xml:space="preserve">document provides the procedures for the implementation of the security updates. This document will be provided with the </w:t>
      </w:r>
      <w:r w:rsidR="00102F89" w:rsidRPr="000665B0">
        <w:rPr>
          <w:i/>
        </w:rPr>
        <w:t>TMPC</w:t>
      </w:r>
      <w:r w:rsidR="00102F89" w:rsidRPr="000665B0" w:rsidDel="00102F89">
        <w:rPr>
          <w:i/>
        </w:rPr>
        <w:t xml:space="preserve"> </w:t>
      </w:r>
      <w:r w:rsidR="005619C1" w:rsidRPr="000665B0">
        <w:rPr>
          <w:i/>
        </w:rPr>
        <w:t>7</w:t>
      </w:r>
      <w:r w:rsidRPr="000665B0">
        <w:rPr>
          <w:i/>
        </w:rPr>
        <w:t>.0</w:t>
      </w:r>
      <w:r w:rsidR="00C91AA6" w:rsidRPr="000665B0">
        <w:rPr>
          <w:i/>
        </w:rPr>
        <w:t xml:space="preserve"> </w:t>
      </w:r>
      <w:r w:rsidRPr="000665B0">
        <w:rPr>
          <w:i/>
        </w:rPr>
        <w:t>Security Disc</w:t>
      </w:r>
      <w:r w:rsidRPr="000665B0">
        <w:t>.</w:t>
      </w:r>
    </w:p>
    <w:p w14:paraId="6324644A" w14:textId="77777777" w:rsidR="008B53AF" w:rsidRPr="000665B0" w:rsidRDefault="008B53AF" w:rsidP="00D36D30">
      <w:pPr>
        <w:pStyle w:val="Appendix4"/>
        <w:ind w:left="360"/>
      </w:pPr>
      <w:r w:rsidRPr="000665B0">
        <w:t>Target Attack Requirements List (TAR)</w:t>
      </w:r>
    </w:p>
    <w:p w14:paraId="072DB895" w14:textId="77777777" w:rsidR="005F65A6" w:rsidRPr="000665B0" w:rsidRDefault="008B53AF" w:rsidP="00AE53CA">
      <w:r w:rsidRPr="000665B0">
        <w:t xml:space="preserve">A </w:t>
      </w:r>
      <w:r w:rsidRPr="000665B0">
        <w:rPr>
          <w:i/>
        </w:rPr>
        <w:t>Target Attack Requirements (TAR) List</w:t>
      </w:r>
      <w:r w:rsidRPr="000665B0">
        <w:t xml:space="preserve"> file is used to import the Target Attack Requirements list, which is the set of requirements for an Attack Plan. This master file is a set of attack parameters (such as the number of missiles needed, dive angle, fuze setting, etc.) needed to prosecute a target of a particular type</w:t>
      </w:r>
      <w:r w:rsidR="005F65A6" w:rsidRPr="000665B0">
        <w:t xml:space="preserve">. </w:t>
      </w:r>
    </w:p>
    <w:p w14:paraId="54ADB05D" w14:textId="23E52652" w:rsidR="008B53AF" w:rsidRPr="000665B0" w:rsidRDefault="005F65A6" w:rsidP="00AE53CA">
      <w:r w:rsidRPr="000665B0">
        <w:t>The TAR List is initially installed with the MDS installation. Updates to the TAR List are rare but when needed, the updated list is delivered as part of the quarterly software update.</w:t>
      </w:r>
    </w:p>
    <w:p w14:paraId="751FB536" w14:textId="7BFA11E5" w:rsidR="00256CCA" w:rsidRPr="000665B0" w:rsidRDefault="00567EF5" w:rsidP="00D36D30">
      <w:pPr>
        <w:pStyle w:val="Appendix3"/>
        <w:ind w:left="360"/>
      </w:pPr>
      <w:bookmarkStart w:id="8124" w:name="_Toc311470637"/>
      <w:bookmarkStart w:id="8125" w:name="_Toc214283743"/>
      <w:r w:rsidRPr="000665B0">
        <w:t xml:space="preserve">McAfee </w:t>
      </w:r>
      <w:r w:rsidR="00E43E5C" w:rsidRPr="000665B0">
        <w:t xml:space="preserve">Antivirus Definition </w:t>
      </w:r>
      <w:bookmarkEnd w:id="8124"/>
      <w:r w:rsidR="00E43E5C" w:rsidRPr="000665B0">
        <w:t>Updates</w:t>
      </w:r>
      <w:bookmarkEnd w:id="8125"/>
    </w:p>
    <w:p w14:paraId="5C77D872" w14:textId="77777777" w:rsidR="00256CCA" w:rsidRPr="000665B0" w:rsidRDefault="00256CCA" w:rsidP="00AE53CA">
      <w:r w:rsidRPr="000665B0">
        <w:t>Per the PEO(</w:t>
      </w:r>
      <w:r w:rsidR="00913D72" w:rsidRPr="000665B0">
        <w:t>U&amp;</w:t>
      </w:r>
      <w:r w:rsidRPr="000665B0">
        <w:t>W) 3900/133 document, NSA and SSO Navy security guidelines dictate that all PMA-281 computer systems are to be protected from viral and malicious computer code (viruses, worms, Trojan horses, etc.).</w:t>
      </w:r>
    </w:p>
    <w:p w14:paraId="7CB762C1" w14:textId="4E629150" w:rsidR="00256CCA" w:rsidRPr="000665B0" w:rsidRDefault="00567EF5" w:rsidP="00AE53CA">
      <w:r w:rsidRPr="000665B0">
        <w:t xml:space="preserve">McAfee </w:t>
      </w:r>
      <w:r w:rsidR="001024C9" w:rsidRPr="000665B0">
        <w:t>Endpoint Security (ENS)</w:t>
      </w:r>
      <w:r w:rsidR="00256CCA" w:rsidRPr="000665B0">
        <w:t xml:space="preserve"> software is the approved antivirus software installed on </w:t>
      </w:r>
      <w:r w:rsidR="000C592E" w:rsidRPr="000665B0">
        <w:t xml:space="preserve">all </w:t>
      </w:r>
      <w:r w:rsidRPr="000665B0">
        <w:t>TMPC machines</w:t>
      </w:r>
      <w:r w:rsidR="00256CCA" w:rsidRPr="000665B0">
        <w:t xml:space="preserve">. Since the MDS computers do not have a connection to the public Internet, they are unable to receive their virus definition file updates via </w:t>
      </w:r>
      <w:r w:rsidRPr="000665B0">
        <w:t>automatic updates</w:t>
      </w:r>
      <w:r w:rsidR="00256CCA" w:rsidRPr="000665B0">
        <w:t xml:space="preserve">. Sites </w:t>
      </w:r>
      <w:r w:rsidR="00F965D8" w:rsidRPr="000665B0">
        <w:t>are</w:t>
      </w:r>
      <w:r w:rsidR="00256CCA" w:rsidRPr="000665B0">
        <w:t xml:space="preserve"> responsible for maintaining </w:t>
      </w:r>
      <w:r w:rsidR="0063093A" w:rsidRPr="000665B0">
        <w:t>up-to-</w:t>
      </w:r>
      <w:r w:rsidR="00256CCA" w:rsidRPr="000665B0">
        <w:t xml:space="preserve">date virus definition updates. Depending on site configuration, the method for the virus definition updates will </w:t>
      </w:r>
      <w:r w:rsidR="0063093A" w:rsidRPr="000665B0">
        <w:t>vary</w:t>
      </w:r>
      <w:r w:rsidR="00256CCA" w:rsidRPr="000665B0">
        <w:t xml:space="preserve">. </w:t>
      </w:r>
    </w:p>
    <w:p w14:paraId="2254820C" w14:textId="77777777" w:rsidR="00256CCA" w:rsidRPr="000665B0" w:rsidRDefault="00256CCA" w:rsidP="00AE53CA">
      <w:r w:rsidRPr="000665B0">
        <w:lastRenderedPageBreak/>
        <w:t>The MDS System Administrator should also configure the software to automatically perform a virus scan of the system</w:t>
      </w:r>
      <w:r w:rsidR="0063093A" w:rsidRPr="000665B0">
        <w:t>’</w:t>
      </w:r>
      <w:r w:rsidRPr="000665B0">
        <w:t>s hard drive(s). A weekly scan of all files on the local drive is required and meets current security requirements.</w:t>
      </w:r>
    </w:p>
    <w:p w14:paraId="1F0DCA9F" w14:textId="228C850A" w:rsidR="00256CCA" w:rsidRPr="000665B0" w:rsidRDefault="00256CCA" w:rsidP="00AE53CA">
      <w:pPr>
        <w:spacing w:after="0"/>
      </w:pPr>
      <w:r w:rsidRPr="000665B0">
        <w:t xml:space="preserve">To schedule a scan or verify if a scan is already scheduled, refer to the </w:t>
      </w:r>
      <w:r w:rsidRPr="000665B0">
        <w:rPr>
          <w:i/>
        </w:rPr>
        <w:t xml:space="preserve">Install/Upgrade to </w:t>
      </w:r>
      <w:r w:rsidR="000818F0" w:rsidRPr="000665B0">
        <w:rPr>
          <w:i/>
        </w:rPr>
        <w:t xml:space="preserve">McAfee </w:t>
      </w:r>
      <w:r w:rsidR="001024C9" w:rsidRPr="000665B0">
        <w:rPr>
          <w:i/>
        </w:rPr>
        <w:t>Endpoint Security</w:t>
      </w:r>
      <w:r w:rsidRPr="000665B0">
        <w:t xml:space="preserve"> section of the </w:t>
      </w:r>
      <w:r w:rsidRPr="000665B0">
        <w:rPr>
          <w:b/>
          <w:i/>
        </w:rPr>
        <w:t xml:space="preserve">Security Procedures for </w:t>
      </w:r>
      <w:r w:rsidR="00102F89" w:rsidRPr="000665B0">
        <w:rPr>
          <w:b/>
          <w:i/>
        </w:rPr>
        <w:t>TMPC</w:t>
      </w:r>
      <w:r w:rsidR="00102F89" w:rsidRPr="000665B0" w:rsidDel="00102F89">
        <w:rPr>
          <w:b/>
          <w:i/>
        </w:rPr>
        <w:t xml:space="preserve"> </w:t>
      </w:r>
      <w:r w:rsidR="005619C1" w:rsidRPr="000665B0">
        <w:rPr>
          <w:b/>
          <w:i/>
        </w:rPr>
        <w:t>7</w:t>
      </w:r>
      <w:r w:rsidR="00DC7328" w:rsidRPr="000665B0">
        <w:rPr>
          <w:b/>
          <w:i/>
        </w:rPr>
        <w:t>.0</w:t>
      </w:r>
      <w:r w:rsidRPr="000665B0">
        <w:t>.</w:t>
      </w:r>
    </w:p>
    <w:p w14:paraId="6F22FB71" w14:textId="3D136F8F" w:rsidR="00256CCA" w:rsidRPr="000665B0" w:rsidRDefault="00256CCA" w:rsidP="00D36D30">
      <w:pPr>
        <w:pStyle w:val="Appendix4"/>
        <w:ind w:left="360"/>
      </w:pPr>
      <w:bookmarkStart w:id="8126" w:name="_Toc311470638"/>
      <w:r w:rsidRPr="000665B0">
        <w:t xml:space="preserve">Workgroup (CSG, </w:t>
      </w:r>
      <w:r w:rsidR="00395432" w:rsidRPr="000665B0">
        <w:t>Standalone MDS</w:t>
      </w:r>
      <w:r w:rsidRPr="000665B0">
        <w:t>, and FRU)</w:t>
      </w:r>
      <w:bookmarkEnd w:id="8126"/>
    </w:p>
    <w:p w14:paraId="2C151B68" w14:textId="13DC636F" w:rsidR="00256CCA" w:rsidRPr="000665B0" w:rsidRDefault="00256CCA" w:rsidP="002D0BF3">
      <w:r w:rsidRPr="000665B0">
        <w:t xml:space="preserve">The </w:t>
      </w:r>
      <w:r w:rsidR="00567EF5" w:rsidRPr="000665B0">
        <w:t xml:space="preserve">McAfee </w:t>
      </w:r>
      <w:r w:rsidR="001024C9" w:rsidRPr="000665B0">
        <w:t>Endpoint Security (ENS</w:t>
      </w:r>
      <w:r w:rsidR="00567EF5" w:rsidRPr="000665B0">
        <w:t>)</w:t>
      </w:r>
      <w:r w:rsidRPr="000665B0">
        <w:t xml:space="preserve"> software on MDS computers in a Workgroup environment are configured as unmanaged clients. These would include CSG, </w:t>
      </w:r>
      <w:r w:rsidR="00395432" w:rsidRPr="000665B0">
        <w:t>Standalone MDS</w:t>
      </w:r>
      <w:r w:rsidRPr="000665B0">
        <w:t xml:space="preserve">, and FRU configurations. </w:t>
      </w:r>
      <w:r w:rsidR="007F0416" w:rsidRPr="000665B0">
        <w:t>(</w:t>
      </w:r>
      <w:r w:rsidR="007F0416" w:rsidRPr="000665B0">
        <w:rPr>
          <w:b/>
        </w:rPr>
        <w:t>Note:</w:t>
      </w:r>
      <w:r w:rsidR="007F0416" w:rsidRPr="000665B0">
        <w:t xml:space="preserve"> Some sites, particularly CSG installs, may have HBSS installed. If HBSS is a site capability, it will manage the </w:t>
      </w:r>
      <w:r w:rsidR="001024C9" w:rsidRPr="000665B0">
        <w:t xml:space="preserve">ENS </w:t>
      </w:r>
      <w:r w:rsidR="007F0416" w:rsidRPr="000665B0">
        <w:t xml:space="preserve">client, including providing antivirus definition updates.) </w:t>
      </w:r>
      <w:r w:rsidRPr="000665B0">
        <w:t xml:space="preserve">The latest virus definition update files for the </w:t>
      </w:r>
      <w:r w:rsidR="001024C9" w:rsidRPr="000665B0">
        <w:t xml:space="preserve">ENS </w:t>
      </w:r>
      <w:r w:rsidRPr="000665B0">
        <w:t xml:space="preserve">client will need to be manually downloaded and updated on each individual MDS computer. Virus definition update files are available via the </w:t>
      </w:r>
      <w:r w:rsidR="007F0416" w:rsidRPr="000665B0">
        <w:t>DoD Patch Repository</w:t>
      </w:r>
      <w:r w:rsidRPr="000665B0">
        <w:t xml:space="preserve"> website.</w:t>
      </w:r>
    </w:p>
    <w:p w14:paraId="40C93A46" w14:textId="77777777" w:rsidR="00256CCA" w:rsidRPr="000665B0" w:rsidRDefault="00256CCA" w:rsidP="002D0BF3">
      <w:r w:rsidRPr="000665B0">
        <w:t xml:space="preserve">Sites </w:t>
      </w:r>
      <w:r w:rsidR="00F965D8" w:rsidRPr="000665B0">
        <w:t>are</w:t>
      </w:r>
      <w:r w:rsidRPr="000665B0">
        <w:t xml:space="preserve"> responsible for maintaining </w:t>
      </w:r>
      <w:r w:rsidR="0063093A" w:rsidRPr="000665B0">
        <w:t>up-to-</w:t>
      </w:r>
      <w:r w:rsidRPr="000665B0">
        <w:t xml:space="preserve">date Antivirus definitions and should visit the </w:t>
      </w:r>
      <w:r w:rsidR="007F0416" w:rsidRPr="000665B0">
        <w:t xml:space="preserve">DoD Patch Repository </w:t>
      </w:r>
      <w:r w:rsidRPr="000665B0">
        <w:t>website on a weekly (if not daily) basis.</w:t>
      </w:r>
    </w:p>
    <w:p w14:paraId="02CD72F0" w14:textId="6C52D5A7" w:rsidR="00256CCA" w:rsidRPr="000665B0" w:rsidRDefault="00DC7328" w:rsidP="002D0BF3">
      <w:r w:rsidRPr="000665B0">
        <w:t>The latest “</w:t>
      </w:r>
      <w:r w:rsidR="00671F10" w:rsidRPr="000665B0">
        <w:rPr>
          <w:i/>
        </w:rPr>
        <w:t>self-extracting DAT file</w:t>
      </w:r>
      <w:r w:rsidR="00671F10" w:rsidRPr="000665B0">
        <w:t xml:space="preserve">” for </w:t>
      </w:r>
      <w:r w:rsidR="001024C9" w:rsidRPr="000665B0">
        <w:t xml:space="preserve">ENS </w:t>
      </w:r>
      <w:r w:rsidR="00671F10" w:rsidRPr="000665B0">
        <w:t>(</w:t>
      </w:r>
      <w:r w:rsidR="001024C9" w:rsidRPr="000665B0">
        <w:rPr>
          <w:b/>
        </w:rPr>
        <w:t>CM-######-V3_####dat.exe</w:t>
      </w:r>
      <w:r w:rsidR="00671F10" w:rsidRPr="000665B0">
        <w:t xml:space="preserve">) </w:t>
      </w:r>
      <w:r w:rsidRPr="000665B0">
        <w:t xml:space="preserve">can be downloaded from the following </w:t>
      </w:r>
      <w:r w:rsidR="007F0416" w:rsidRPr="000665B0">
        <w:t xml:space="preserve">DoD Patch Repository </w:t>
      </w:r>
      <w:r w:rsidRPr="000665B0">
        <w:t>URLs</w:t>
      </w:r>
      <w:r w:rsidR="00256CCA" w:rsidRPr="000665B0">
        <w:t>:</w:t>
      </w:r>
    </w:p>
    <w:p w14:paraId="1EBF1D0F" w14:textId="5D356189" w:rsidR="007F0416" w:rsidRPr="003D7B03" w:rsidRDefault="007F0416" w:rsidP="006D5A65">
      <w:pPr>
        <w:pStyle w:val="Heading1"/>
        <w:rPr>
          <w:lang w:val="fr-FR"/>
        </w:rPr>
      </w:pPr>
      <w:r w:rsidRPr="003D7B03">
        <w:t>https://patches.mont.disa.mil/CollectionInfo.aspx?ID=218</w:t>
      </w:r>
    </w:p>
    <w:p w14:paraId="24CA80F3" w14:textId="61645604" w:rsidR="007F0416" w:rsidRPr="003D7B03" w:rsidRDefault="007F0416" w:rsidP="006D5A65">
      <w:pPr>
        <w:pStyle w:val="Heading1"/>
        <w:rPr>
          <w:lang w:val="sv-SE"/>
        </w:rPr>
      </w:pPr>
      <w:r w:rsidRPr="003D7B03">
        <w:rPr>
          <w:lang w:val="fr-FR"/>
        </w:rPr>
        <w:t>https://patches.csd.disa.smil.mil/CollectionInfo.aspx?ID=218</w:t>
      </w:r>
    </w:p>
    <w:p w14:paraId="07C1B31D" w14:textId="23A2D84D" w:rsidR="00256CCA" w:rsidRPr="003D7B03" w:rsidRDefault="00256CCA" w:rsidP="006D5A65">
      <w:pPr>
        <w:pStyle w:val="Heading1"/>
        <w:rPr>
          <w:lang w:val="fr-FR"/>
        </w:rPr>
      </w:pPr>
      <w:r w:rsidRPr="000665B0">
        <w:rPr>
          <w:lang w:val="fr-FR"/>
        </w:rPr>
        <w:t xml:space="preserve">NIPRNet: </w:t>
      </w:r>
      <w:r w:rsidRPr="003D7B03">
        <w:rPr>
          <w:lang w:val="fr-FR"/>
        </w:rPr>
        <w:t>https://infosec.navy.mil/</w:t>
      </w:r>
    </w:p>
    <w:p w14:paraId="2D0101EE" w14:textId="68310FBE" w:rsidR="00256CCA" w:rsidRPr="000665B0" w:rsidRDefault="00256CCA" w:rsidP="006D5A65">
      <w:pPr>
        <w:pStyle w:val="Heading1"/>
        <w:rPr>
          <w:lang w:val="sv-SE"/>
        </w:rPr>
      </w:pPr>
      <w:r w:rsidRPr="000665B0">
        <w:rPr>
          <w:lang w:val="sv-SE"/>
        </w:rPr>
        <w:t xml:space="preserve">SIPRNet: </w:t>
      </w:r>
      <w:r w:rsidR="00EE65C1" w:rsidRPr="003D7B03">
        <w:rPr>
          <w:lang w:val="sv-SE"/>
        </w:rPr>
        <w:t>https://infosec.navy.smil.mil</w:t>
      </w:r>
    </w:p>
    <w:p w14:paraId="5DD160A2" w14:textId="77777777" w:rsidR="001024C9" w:rsidRPr="000665B0" w:rsidRDefault="001024C9" w:rsidP="001024C9">
      <w:pPr>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0665B0">
        <w:rPr>
          <w:b/>
        </w:rPr>
        <w:t>Note:</w:t>
      </w:r>
    </w:p>
    <w:p w14:paraId="447501F7" w14:textId="77777777" w:rsidR="001024C9" w:rsidRPr="000665B0" w:rsidRDefault="001024C9" w:rsidP="001024C9">
      <w:pPr>
        <w:pBdr>
          <w:top w:val="single" w:sz="12" w:space="1" w:color="auto"/>
          <w:left w:val="single" w:sz="12" w:space="4" w:color="auto"/>
          <w:bottom w:val="single" w:sz="12" w:space="0" w:color="auto"/>
          <w:right w:val="single" w:sz="12" w:space="4" w:color="auto"/>
        </w:pBdr>
        <w:shd w:val="clear" w:color="auto" w:fill="D9D9D9"/>
        <w:jc w:val="center"/>
        <w:rPr>
          <w:b/>
        </w:rPr>
      </w:pPr>
      <w:r w:rsidRPr="000665B0">
        <w:rPr>
          <w:b/>
        </w:rPr>
        <w:t>The filename must begin with “V3” when run.</w:t>
      </w:r>
    </w:p>
    <w:p w14:paraId="1AB3C940" w14:textId="451FA749" w:rsidR="00256CCA" w:rsidRPr="000665B0" w:rsidRDefault="00671F10" w:rsidP="002D0BF3">
      <w:r w:rsidRPr="000665B0">
        <w:t xml:space="preserve">The definitions are much smaller with McAfee than with the </w:t>
      </w:r>
      <w:r w:rsidR="00191621" w:rsidRPr="000665B0">
        <w:t>previous</w:t>
      </w:r>
      <w:r w:rsidRPr="000665B0">
        <w:t xml:space="preserve"> Symantec AV product. However,</w:t>
      </w:r>
      <w:r w:rsidR="00256CCA" w:rsidRPr="000665B0">
        <w:t xml:space="preserve"> downloading the virus definition update file while at sea may</w:t>
      </w:r>
      <w:r w:rsidRPr="000665B0">
        <w:t xml:space="preserve"> still</w:t>
      </w:r>
      <w:r w:rsidR="00256CCA" w:rsidRPr="000665B0">
        <w:t xml:space="preserve"> be difficult due to the large file size and bandwidth limitation while underway. Assistance should be requested from the IT department with obtaining the virus definition update file if problems persist with the download.</w:t>
      </w:r>
    </w:p>
    <w:p w14:paraId="7E3C6228" w14:textId="77777777" w:rsidR="00256CCA" w:rsidRPr="000665B0" w:rsidRDefault="00256CCA" w:rsidP="002D0BF3">
      <w:pPr>
        <w:spacing w:after="0"/>
      </w:pPr>
      <w:r w:rsidRPr="000665B0">
        <w:t xml:space="preserve">In a CSG configuration, the CSG DB Server will also require virus definition updates. Applying updates to the CSG DB Server </w:t>
      </w:r>
      <w:r w:rsidR="00671F10" w:rsidRPr="000665B0">
        <w:t xml:space="preserve">follows </w:t>
      </w:r>
      <w:r w:rsidRPr="000665B0">
        <w:t xml:space="preserve">the same </w:t>
      </w:r>
      <w:r w:rsidR="00671F10" w:rsidRPr="000665B0">
        <w:t xml:space="preserve">process </w:t>
      </w:r>
      <w:r w:rsidRPr="000665B0">
        <w:t>as the MDS computers since they both use the same client software.</w:t>
      </w:r>
    </w:p>
    <w:p w14:paraId="6D8E846D" w14:textId="699E9753" w:rsidR="00256CCA" w:rsidRPr="000665B0" w:rsidRDefault="00256CCA" w:rsidP="001F4B14">
      <w:pPr>
        <w:pStyle w:val="Appendix4"/>
        <w:ind w:left="360"/>
      </w:pPr>
      <w:bookmarkStart w:id="8127" w:name="_Toc311470639"/>
      <w:r w:rsidRPr="000665B0">
        <w:t>Domain (CMSA and TSMPC)</w:t>
      </w:r>
      <w:bookmarkEnd w:id="8127"/>
    </w:p>
    <w:p w14:paraId="0F7B3905" w14:textId="3C496677" w:rsidR="00256CCA" w:rsidRPr="000665B0" w:rsidRDefault="00256CCA" w:rsidP="00AE53CA">
      <w:r w:rsidRPr="000665B0">
        <w:t xml:space="preserve">The </w:t>
      </w:r>
      <w:r w:rsidR="001024C9" w:rsidRPr="000665B0">
        <w:t xml:space="preserve">ENS </w:t>
      </w:r>
      <w:r w:rsidRPr="000665B0">
        <w:t xml:space="preserve">software </w:t>
      </w:r>
      <w:r w:rsidR="00982A28" w:rsidRPr="000665B0">
        <w:t xml:space="preserve">resides </w:t>
      </w:r>
      <w:r w:rsidRPr="000665B0">
        <w:t xml:space="preserve">on MDS computers in a domain environment </w:t>
      </w:r>
      <w:r w:rsidR="00982A28" w:rsidRPr="000665B0">
        <w:t xml:space="preserve">(on the “low side”) which have HBSS and </w:t>
      </w:r>
      <w:r w:rsidRPr="000665B0">
        <w:t xml:space="preserve">are configured as managed clients. These would include CMSA and TSMPC </w:t>
      </w:r>
      <w:r w:rsidR="00982A28" w:rsidRPr="000665B0">
        <w:t xml:space="preserve">“low side” </w:t>
      </w:r>
      <w:r w:rsidRPr="000665B0">
        <w:t xml:space="preserve">configurations. </w:t>
      </w:r>
      <w:r w:rsidR="00982A28" w:rsidRPr="000665B0">
        <w:t>However, the “high side” configurations will need AV definitions to be supplied by Tapestry.</w:t>
      </w:r>
    </w:p>
    <w:p w14:paraId="05472C31" w14:textId="438D7600" w:rsidR="00256CCA" w:rsidRPr="000665B0" w:rsidRDefault="00E43E5C" w:rsidP="001F4B14">
      <w:pPr>
        <w:pStyle w:val="Appendix3"/>
        <w:ind w:left="360"/>
      </w:pPr>
      <w:bookmarkStart w:id="8128" w:name="_Toc311470640"/>
      <w:bookmarkStart w:id="8129" w:name="_Toc214283744"/>
      <w:r w:rsidRPr="000665B0">
        <w:lastRenderedPageBreak/>
        <w:t xml:space="preserve">Audit Logs </w:t>
      </w:r>
      <w:bookmarkEnd w:id="8128"/>
      <w:r w:rsidRPr="000665B0">
        <w:t>Archive</w:t>
      </w:r>
      <w:bookmarkEnd w:id="8129"/>
    </w:p>
    <w:p w14:paraId="16771032" w14:textId="223C51CB" w:rsidR="00256CCA" w:rsidRPr="000665B0" w:rsidRDefault="00256CCA" w:rsidP="00AE53CA">
      <w:r w:rsidRPr="000665B0">
        <w:t xml:space="preserve">Site policy should be created for the archival and review of system audit logs. If such policy does not yet exist, </w:t>
      </w:r>
      <w:r w:rsidR="00E43E5C" w:rsidRPr="000665B0">
        <w:t xml:space="preserve">see </w:t>
      </w:r>
      <w:hyperlink w:anchor="Archive_Audit_Logs" w:history="1">
        <w:r w:rsidR="00E43E5C" w:rsidRPr="000665B0">
          <w:rPr>
            <w:rStyle w:val="Hyperlink"/>
          </w:rPr>
          <w:t xml:space="preserve">Section </w:t>
        </w:r>
        <w:r w:rsidR="00093C35" w:rsidRPr="000665B0">
          <w:rPr>
            <w:rStyle w:val="Hyperlink"/>
          </w:rPr>
          <w:t>Q</w:t>
        </w:r>
        <w:r w:rsidR="00313130" w:rsidRPr="000665B0">
          <w:rPr>
            <w:rStyle w:val="Hyperlink"/>
          </w:rPr>
          <w:t>.</w:t>
        </w:r>
        <w:r w:rsidR="00E43E5C" w:rsidRPr="000665B0">
          <w:rPr>
            <w:rStyle w:val="Hyperlink"/>
          </w:rPr>
          <w:t>5.1.1</w:t>
        </w:r>
        <w:r w:rsidR="001E6C48" w:rsidRPr="000665B0">
          <w:rPr>
            <w:rStyle w:val="Hyperlink"/>
          </w:rPr>
          <w:t>.1</w:t>
        </w:r>
      </w:hyperlink>
      <w:r w:rsidR="00E43E5C" w:rsidRPr="000665B0">
        <w:t xml:space="preserve"> for guidance on developing a local process.</w:t>
      </w:r>
    </w:p>
    <w:p w14:paraId="1207EA6B" w14:textId="48C13908" w:rsidR="00256CCA" w:rsidRPr="000665B0" w:rsidRDefault="00CC1CAE" w:rsidP="00912CE8">
      <w:pPr>
        <w:pStyle w:val="Appendix2"/>
      </w:pPr>
      <w:bookmarkStart w:id="8130" w:name="_A.6__Automatic"/>
      <w:bookmarkStart w:id="8131" w:name="_Automatic_Audit_Log"/>
      <w:bookmarkStart w:id="8132" w:name="_Toc69208636"/>
      <w:bookmarkStart w:id="8133" w:name="_Toc70072205"/>
      <w:bookmarkStart w:id="8134" w:name="_Toc71012986"/>
      <w:bookmarkStart w:id="8135" w:name="_Toc71809655"/>
      <w:bookmarkStart w:id="8136" w:name="_3.2__HARDWARE"/>
      <w:bookmarkStart w:id="8137" w:name="_Toc69208637"/>
      <w:bookmarkStart w:id="8138" w:name="_Toc70072206"/>
      <w:bookmarkStart w:id="8139" w:name="_Toc71012987"/>
      <w:bookmarkStart w:id="8140" w:name="_Toc71809656"/>
      <w:bookmarkStart w:id="8141" w:name="_Toc69208638"/>
      <w:bookmarkStart w:id="8142" w:name="_Toc70072207"/>
      <w:bookmarkStart w:id="8143" w:name="_Toc71012988"/>
      <w:bookmarkStart w:id="8144" w:name="_Toc71809657"/>
      <w:bookmarkStart w:id="8145" w:name="_Toc69208639"/>
      <w:bookmarkStart w:id="8146" w:name="_Toc70072208"/>
      <w:bookmarkStart w:id="8147" w:name="_Toc71012989"/>
      <w:bookmarkStart w:id="8148" w:name="_Toc71809658"/>
      <w:bookmarkStart w:id="8149" w:name="_Toc69208640"/>
      <w:bookmarkStart w:id="8150" w:name="_Toc70072209"/>
      <w:bookmarkStart w:id="8151" w:name="_Toc71012990"/>
      <w:bookmarkStart w:id="8152" w:name="_Toc71809659"/>
      <w:bookmarkStart w:id="8153" w:name="_Toc69208641"/>
      <w:bookmarkStart w:id="8154" w:name="_Toc70072210"/>
      <w:bookmarkStart w:id="8155" w:name="_Toc71012991"/>
      <w:bookmarkStart w:id="8156" w:name="_Toc71809660"/>
      <w:bookmarkStart w:id="8157" w:name="_Toc69208642"/>
      <w:bookmarkStart w:id="8158" w:name="_Toc70072211"/>
      <w:bookmarkStart w:id="8159" w:name="_Toc71012992"/>
      <w:bookmarkStart w:id="8160" w:name="_Toc71809661"/>
      <w:bookmarkStart w:id="8161" w:name="_Toc69208643"/>
      <w:bookmarkStart w:id="8162" w:name="_Toc70072212"/>
      <w:bookmarkStart w:id="8163" w:name="_Toc71012993"/>
      <w:bookmarkStart w:id="8164" w:name="_Toc71809662"/>
      <w:bookmarkStart w:id="8165" w:name="_Toc69208644"/>
      <w:bookmarkStart w:id="8166" w:name="_Toc70072213"/>
      <w:bookmarkStart w:id="8167" w:name="_Toc71012994"/>
      <w:bookmarkStart w:id="8168" w:name="_Toc71809663"/>
      <w:bookmarkStart w:id="8169" w:name="_Toc69208645"/>
      <w:bookmarkStart w:id="8170" w:name="_Toc70072214"/>
      <w:bookmarkStart w:id="8171" w:name="_Toc71012995"/>
      <w:bookmarkStart w:id="8172" w:name="_Toc71809664"/>
      <w:bookmarkStart w:id="8173" w:name="_Toc69208646"/>
      <w:bookmarkStart w:id="8174" w:name="_Toc70072215"/>
      <w:bookmarkStart w:id="8175" w:name="_Toc71012996"/>
      <w:bookmarkStart w:id="8176" w:name="_Toc71809665"/>
      <w:bookmarkStart w:id="8177" w:name="_Toc69208647"/>
      <w:bookmarkStart w:id="8178" w:name="_Toc70072216"/>
      <w:bookmarkStart w:id="8179" w:name="_Toc71012997"/>
      <w:bookmarkStart w:id="8180" w:name="_Toc71809666"/>
      <w:bookmarkStart w:id="8181" w:name="_Toc69208648"/>
      <w:bookmarkStart w:id="8182" w:name="_Toc70072217"/>
      <w:bookmarkStart w:id="8183" w:name="_Toc71012998"/>
      <w:bookmarkStart w:id="8184" w:name="_Toc71809667"/>
      <w:bookmarkStart w:id="8185" w:name="_Toc69208649"/>
      <w:bookmarkStart w:id="8186" w:name="_Toc70072218"/>
      <w:bookmarkStart w:id="8187" w:name="_Toc71012999"/>
      <w:bookmarkStart w:id="8188" w:name="_Toc71809668"/>
      <w:bookmarkStart w:id="8189" w:name="_System_Maintenance"/>
      <w:bookmarkStart w:id="8190" w:name="_Toc311470650"/>
      <w:bookmarkStart w:id="8191" w:name="_Toc214283745"/>
      <w:bookmarkStart w:id="8192" w:name="_Toc492794155"/>
      <w:bookmarkStart w:id="8193" w:name="_Toc492794716"/>
      <w:bookmarkStart w:id="8194" w:name="_Toc492794899"/>
      <w:bookmarkStart w:id="8195" w:name="_Toc492795284"/>
      <w:bookmarkStart w:id="8196" w:name="_Toc492795387"/>
      <w:bookmarkStart w:id="8197" w:name="_Toc492795473"/>
      <w:bookmarkStart w:id="8198" w:name="_Toc492795559"/>
      <w:bookmarkStart w:id="8199" w:name="_Toc492795645"/>
      <w:bookmarkStart w:id="8200" w:name="_Toc492796175"/>
      <w:bookmarkStart w:id="8201" w:name="_Toc492796328"/>
      <w:bookmarkStart w:id="8202" w:name="_Toc492796819"/>
      <w:bookmarkStart w:id="8203" w:name="_Toc492797434"/>
      <w:bookmarkStart w:id="8204" w:name="_Toc492797905"/>
      <w:bookmarkStart w:id="8205" w:name="_Toc492797995"/>
      <w:bookmarkStart w:id="8206" w:name="_Toc492798082"/>
      <w:bookmarkStart w:id="8207" w:name="_Toc492798538"/>
      <w:bookmarkStart w:id="8208" w:name="_Toc492881914"/>
      <w:bookmarkStart w:id="8209" w:name="_Toc493009253"/>
      <w:bookmarkStart w:id="8210" w:name="_Toc493466441"/>
      <w:bookmarkStart w:id="8211" w:name="_Toc493466692"/>
      <w:bookmarkStart w:id="8212" w:name="_Toc493466901"/>
      <w:bookmarkStart w:id="8213" w:name="_Toc493467196"/>
      <w:bookmarkStart w:id="8214" w:name="_Toc493467334"/>
      <w:bookmarkStart w:id="8215" w:name="_Toc493467403"/>
      <w:bookmarkStart w:id="8216" w:name="_Toc493473565"/>
      <w:bookmarkStart w:id="8217" w:name="_Toc493474272"/>
      <w:bookmarkStart w:id="8218" w:name="_Toc493474449"/>
      <w:bookmarkStart w:id="8219" w:name="_Toc493486279"/>
      <w:bookmarkStart w:id="8220" w:name="_Toc493555471"/>
      <w:bookmarkStart w:id="8221" w:name="_Toc494170687"/>
      <w:bookmarkStart w:id="8222" w:name="_Toc494171225"/>
      <w:bookmarkStart w:id="8223" w:name="_Toc494171303"/>
      <w:bookmarkStart w:id="8224" w:name="_Toc494171381"/>
      <w:bookmarkStart w:id="8225" w:name="_Toc494905426"/>
      <w:bookmarkStart w:id="8226" w:name="_Toc495112330"/>
      <w:bookmarkStart w:id="8227" w:name="_Toc536597788"/>
      <w:bookmarkStart w:id="8228" w:name="_Toc11661058"/>
      <w:bookmarkStart w:id="8229" w:name="_Toc280872561"/>
      <w:bookmarkEnd w:id="8130"/>
      <w:bookmarkEnd w:id="8131"/>
      <w:bookmarkEnd w:id="8132"/>
      <w:bookmarkEnd w:id="8133"/>
      <w:bookmarkEnd w:id="8134"/>
      <w:bookmarkEnd w:id="8135"/>
      <w:bookmarkEnd w:id="8136"/>
      <w:bookmarkEnd w:id="8137"/>
      <w:bookmarkEnd w:id="8138"/>
      <w:bookmarkEnd w:id="8139"/>
      <w:bookmarkEnd w:id="8140"/>
      <w:bookmarkEnd w:id="8141"/>
      <w:bookmarkEnd w:id="8142"/>
      <w:bookmarkEnd w:id="8143"/>
      <w:bookmarkEnd w:id="8144"/>
      <w:bookmarkEnd w:id="8145"/>
      <w:bookmarkEnd w:id="8146"/>
      <w:bookmarkEnd w:id="8147"/>
      <w:bookmarkEnd w:id="8148"/>
      <w:bookmarkEnd w:id="8149"/>
      <w:bookmarkEnd w:id="8150"/>
      <w:bookmarkEnd w:id="8151"/>
      <w:bookmarkEnd w:id="8152"/>
      <w:bookmarkEnd w:id="8153"/>
      <w:bookmarkEnd w:id="8154"/>
      <w:bookmarkEnd w:id="8155"/>
      <w:bookmarkEnd w:id="8156"/>
      <w:bookmarkEnd w:id="8157"/>
      <w:bookmarkEnd w:id="8158"/>
      <w:bookmarkEnd w:id="8159"/>
      <w:bookmarkEnd w:id="8160"/>
      <w:bookmarkEnd w:id="8161"/>
      <w:bookmarkEnd w:id="8162"/>
      <w:bookmarkEnd w:id="8163"/>
      <w:bookmarkEnd w:id="8164"/>
      <w:bookmarkEnd w:id="8165"/>
      <w:bookmarkEnd w:id="8166"/>
      <w:bookmarkEnd w:id="8167"/>
      <w:bookmarkEnd w:id="8168"/>
      <w:bookmarkEnd w:id="8169"/>
      <w:bookmarkEnd w:id="8170"/>
      <w:bookmarkEnd w:id="8171"/>
      <w:bookmarkEnd w:id="8172"/>
      <w:bookmarkEnd w:id="8173"/>
      <w:bookmarkEnd w:id="8174"/>
      <w:bookmarkEnd w:id="8175"/>
      <w:bookmarkEnd w:id="8176"/>
      <w:bookmarkEnd w:id="8177"/>
      <w:bookmarkEnd w:id="8178"/>
      <w:bookmarkEnd w:id="8179"/>
      <w:bookmarkEnd w:id="8180"/>
      <w:bookmarkEnd w:id="8181"/>
      <w:bookmarkEnd w:id="8182"/>
      <w:bookmarkEnd w:id="8183"/>
      <w:bookmarkEnd w:id="8184"/>
      <w:bookmarkEnd w:id="8185"/>
      <w:bookmarkEnd w:id="8186"/>
      <w:bookmarkEnd w:id="8187"/>
      <w:bookmarkEnd w:id="8188"/>
      <w:bookmarkEnd w:id="8189"/>
      <w:r w:rsidRPr="000665B0">
        <w:t>SYSTEM MAINTENANCE</w:t>
      </w:r>
      <w:bookmarkEnd w:id="8190"/>
      <w:bookmarkEnd w:id="8191"/>
    </w:p>
    <w:p w14:paraId="54B8C6AA" w14:textId="1245CF76" w:rsidR="00932DDB" w:rsidRPr="000665B0" w:rsidRDefault="00932DDB" w:rsidP="001F4B14">
      <w:pPr>
        <w:pStyle w:val="Appendix3"/>
        <w:ind w:left="360"/>
      </w:pPr>
      <w:bookmarkStart w:id="8230" w:name="_Toc214283746"/>
      <w:bookmarkStart w:id="8231" w:name="_Toc311470651"/>
      <w:r w:rsidRPr="000665B0">
        <w:t>Log Files</w:t>
      </w:r>
      <w:bookmarkEnd w:id="8230"/>
    </w:p>
    <w:p w14:paraId="4FAA3FA6" w14:textId="77777777" w:rsidR="00932DDB" w:rsidRPr="000665B0" w:rsidRDefault="00932DDB" w:rsidP="00932DDB">
      <w:r w:rsidRPr="000665B0">
        <w:t>Site policy should be created for the archival and review of system logs. If such policy does not yet exist, the following section can be used to develop a local process.</w:t>
      </w:r>
    </w:p>
    <w:p w14:paraId="51589F9E" w14:textId="1D02DD0D" w:rsidR="00932DDB" w:rsidRPr="000665B0" w:rsidRDefault="00932DDB" w:rsidP="00AE53CA">
      <w:pPr>
        <w:pStyle w:val="Appendix4"/>
        <w:ind w:left="360"/>
      </w:pPr>
      <w:bookmarkStart w:id="8232" w:name="Audit_Log_Files"/>
      <w:r w:rsidRPr="000665B0">
        <w:t>Audit Log Files</w:t>
      </w:r>
      <w:bookmarkEnd w:id="8232"/>
    </w:p>
    <w:p w14:paraId="4FF041D8" w14:textId="77777777" w:rsidR="00932DDB" w:rsidRPr="000665B0" w:rsidRDefault="00932DDB" w:rsidP="00932DDB">
      <w:r w:rsidRPr="000665B0">
        <w:t>The audit logs provide a long-term history of system activity that may be needed to fully assess the consequences of security violation or system compromise.</w:t>
      </w:r>
    </w:p>
    <w:p w14:paraId="4F1AE651" w14:textId="77777777" w:rsidR="00932DDB" w:rsidRPr="000665B0" w:rsidRDefault="00932DDB" w:rsidP="00932DDB">
      <w:pPr>
        <w:spacing w:before="120"/>
      </w:pPr>
      <w:r w:rsidRPr="000665B0">
        <w:t>This section addresses DoD 5220.22-M (NISPOM) Section 8-603.</w:t>
      </w:r>
    </w:p>
    <w:tbl>
      <w:tblPr>
        <w:tblW w:w="100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3420"/>
        <w:gridCol w:w="2250"/>
        <w:gridCol w:w="418"/>
        <w:gridCol w:w="473"/>
        <w:gridCol w:w="473"/>
        <w:gridCol w:w="473"/>
        <w:gridCol w:w="473"/>
        <w:gridCol w:w="473"/>
      </w:tblGrid>
      <w:tr w:rsidR="00C93FB3" w:rsidRPr="000665B0" w14:paraId="3AC24015" w14:textId="77777777" w:rsidTr="003F5937">
        <w:trPr>
          <w:trHeight w:val="475"/>
          <w:tblHeader/>
        </w:trPr>
        <w:tc>
          <w:tcPr>
            <w:tcW w:w="10065" w:type="dxa"/>
            <w:gridSpan w:val="9"/>
            <w:shd w:val="clear" w:color="000000" w:fill="D9D9D9"/>
            <w:vAlign w:val="center"/>
          </w:tcPr>
          <w:p w14:paraId="56028C03" w14:textId="28D016AD" w:rsidR="00C93FB3" w:rsidRPr="000665B0" w:rsidRDefault="00093C35" w:rsidP="0056739E">
            <w:pPr>
              <w:keepNext/>
              <w:spacing w:before="60" w:after="60"/>
              <w:rPr>
                <w:b/>
                <w:szCs w:val="24"/>
              </w:rPr>
            </w:pPr>
            <w:r w:rsidRPr="000665B0">
              <w:rPr>
                <w:b/>
              </w:rPr>
              <w:t>Q</w:t>
            </w:r>
            <w:r w:rsidR="001E137B" w:rsidRPr="000665B0">
              <w:rPr>
                <w:b/>
              </w:rPr>
              <w:t>.</w:t>
            </w:r>
            <w:r w:rsidR="00C93FB3" w:rsidRPr="000665B0">
              <w:rPr>
                <w:b/>
              </w:rPr>
              <w:t>5.1.1</w:t>
            </w:r>
            <w:r w:rsidR="009651B0">
              <w:rPr>
                <w:b/>
              </w:rPr>
              <w:t xml:space="preserve"> </w:t>
            </w:r>
            <w:r w:rsidR="00C93FB3" w:rsidRPr="000665B0">
              <w:rPr>
                <w:b/>
              </w:rPr>
              <w:t>Audit Log Files</w:t>
            </w:r>
          </w:p>
        </w:tc>
      </w:tr>
      <w:tr w:rsidR="00932DDB" w:rsidRPr="000665B0" w14:paraId="0A030DC3" w14:textId="77777777" w:rsidTr="003F5937">
        <w:trPr>
          <w:trHeight w:val="2087"/>
          <w:tblHeader/>
        </w:trPr>
        <w:tc>
          <w:tcPr>
            <w:tcW w:w="1612" w:type="dxa"/>
            <w:shd w:val="clear" w:color="000000" w:fill="D9D9D9"/>
            <w:vAlign w:val="bottom"/>
            <w:hideMark/>
          </w:tcPr>
          <w:p w14:paraId="49213C2C" w14:textId="77777777" w:rsidR="00932DDB" w:rsidRPr="000665B0" w:rsidRDefault="00932DDB" w:rsidP="0056739E">
            <w:pPr>
              <w:spacing w:before="60" w:after="60" w:line="240" w:lineRule="auto"/>
              <w:rPr>
                <w:b/>
                <w:bCs/>
                <w:sz w:val="20"/>
              </w:rPr>
            </w:pPr>
            <w:r w:rsidRPr="000665B0">
              <w:rPr>
                <w:b/>
                <w:bCs/>
                <w:sz w:val="20"/>
              </w:rPr>
              <w:t>Description</w:t>
            </w:r>
          </w:p>
        </w:tc>
        <w:tc>
          <w:tcPr>
            <w:tcW w:w="3420" w:type="dxa"/>
            <w:shd w:val="clear" w:color="000000" w:fill="D9D9D9"/>
            <w:vAlign w:val="bottom"/>
            <w:hideMark/>
          </w:tcPr>
          <w:p w14:paraId="1B0E35F5" w14:textId="77777777" w:rsidR="00932DDB" w:rsidRPr="000665B0" w:rsidRDefault="00932DDB" w:rsidP="0056739E">
            <w:pPr>
              <w:spacing w:before="60" w:after="60" w:line="240" w:lineRule="auto"/>
              <w:rPr>
                <w:b/>
                <w:bCs/>
                <w:sz w:val="20"/>
              </w:rPr>
            </w:pPr>
            <w:r w:rsidRPr="000665B0">
              <w:rPr>
                <w:b/>
                <w:bCs/>
                <w:sz w:val="20"/>
              </w:rPr>
              <w:t>Path</w:t>
            </w:r>
          </w:p>
        </w:tc>
        <w:tc>
          <w:tcPr>
            <w:tcW w:w="2250" w:type="dxa"/>
            <w:shd w:val="clear" w:color="000000" w:fill="D9D9D9"/>
            <w:vAlign w:val="bottom"/>
          </w:tcPr>
          <w:p w14:paraId="0B38C6E8" w14:textId="77777777" w:rsidR="00932DDB" w:rsidRPr="000665B0" w:rsidRDefault="00932DDB" w:rsidP="0056739E">
            <w:pPr>
              <w:spacing w:before="60" w:after="60" w:line="240" w:lineRule="auto"/>
              <w:rPr>
                <w:b/>
                <w:bCs/>
                <w:sz w:val="20"/>
              </w:rPr>
            </w:pPr>
            <w:r w:rsidRPr="000665B0">
              <w:rPr>
                <w:b/>
                <w:bCs/>
                <w:sz w:val="20"/>
              </w:rPr>
              <w:t>Filename(s)</w:t>
            </w:r>
          </w:p>
        </w:tc>
        <w:tc>
          <w:tcPr>
            <w:tcW w:w="418" w:type="dxa"/>
            <w:shd w:val="clear" w:color="000000" w:fill="D9D9D9"/>
            <w:textDirection w:val="btLr"/>
            <w:vAlign w:val="bottom"/>
            <w:hideMark/>
          </w:tcPr>
          <w:p w14:paraId="1C337006" w14:textId="77777777" w:rsidR="00932DDB" w:rsidRPr="000665B0" w:rsidRDefault="00395432" w:rsidP="0056739E">
            <w:pPr>
              <w:spacing w:before="60" w:after="60" w:line="240" w:lineRule="auto"/>
              <w:rPr>
                <w:b/>
                <w:bCs/>
                <w:sz w:val="20"/>
              </w:rPr>
            </w:pPr>
            <w:r w:rsidRPr="000665B0">
              <w:rPr>
                <w:b/>
                <w:bCs/>
                <w:sz w:val="20"/>
              </w:rPr>
              <w:t>Standalone MDS</w:t>
            </w:r>
            <w:r w:rsidR="00932DDB" w:rsidRPr="000665B0">
              <w:rPr>
                <w:b/>
                <w:bCs/>
                <w:sz w:val="20"/>
              </w:rPr>
              <w:t>/FRU</w:t>
            </w:r>
          </w:p>
        </w:tc>
        <w:tc>
          <w:tcPr>
            <w:tcW w:w="473" w:type="dxa"/>
            <w:shd w:val="clear" w:color="000000" w:fill="D9D9D9"/>
            <w:textDirection w:val="btLr"/>
            <w:vAlign w:val="bottom"/>
            <w:hideMark/>
          </w:tcPr>
          <w:p w14:paraId="7C5D636D" w14:textId="77777777" w:rsidR="00932DDB" w:rsidRPr="000665B0" w:rsidRDefault="00932DDB" w:rsidP="0056739E">
            <w:pPr>
              <w:spacing w:before="60" w:after="60" w:line="240" w:lineRule="auto"/>
              <w:rPr>
                <w:b/>
                <w:bCs/>
                <w:sz w:val="20"/>
              </w:rPr>
            </w:pPr>
            <w:r w:rsidRPr="000665B0">
              <w:rPr>
                <w:b/>
                <w:bCs/>
                <w:sz w:val="20"/>
              </w:rPr>
              <w:t>CSG MDS</w:t>
            </w:r>
          </w:p>
        </w:tc>
        <w:tc>
          <w:tcPr>
            <w:tcW w:w="473" w:type="dxa"/>
            <w:shd w:val="clear" w:color="000000" w:fill="D9D9D9"/>
            <w:textDirection w:val="btLr"/>
            <w:vAlign w:val="bottom"/>
            <w:hideMark/>
          </w:tcPr>
          <w:p w14:paraId="25BC5738" w14:textId="77777777" w:rsidR="00932DDB" w:rsidRPr="000665B0" w:rsidRDefault="00932DDB" w:rsidP="0056739E">
            <w:pPr>
              <w:spacing w:before="60" w:after="60" w:line="240" w:lineRule="auto"/>
              <w:rPr>
                <w:b/>
                <w:bCs/>
                <w:sz w:val="20"/>
              </w:rPr>
            </w:pPr>
            <w:r w:rsidRPr="000665B0">
              <w:rPr>
                <w:b/>
                <w:bCs/>
                <w:sz w:val="20"/>
              </w:rPr>
              <w:t>CSG TED</w:t>
            </w:r>
          </w:p>
        </w:tc>
        <w:tc>
          <w:tcPr>
            <w:tcW w:w="473" w:type="dxa"/>
            <w:shd w:val="clear" w:color="000000" w:fill="D9D9D9"/>
            <w:textDirection w:val="btLr"/>
            <w:vAlign w:val="bottom"/>
            <w:hideMark/>
          </w:tcPr>
          <w:p w14:paraId="456AB451" w14:textId="77777777" w:rsidR="00932DDB" w:rsidRPr="000665B0" w:rsidRDefault="00932DDB" w:rsidP="0056739E">
            <w:pPr>
              <w:spacing w:before="60" w:after="60" w:line="240" w:lineRule="auto"/>
              <w:rPr>
                <w:b/>
                <w:bCs/>
                <w:sz w:val="20"/>
              </w:rPr>
            </w:pPr>
            <w:r w:rsidRPr="000665B0">
              <w:rPr>
                <w:b/>
                <w:bCs/>
                <w:sz w:val="20"/>
              </w:rPr>
              <w:t>CMSA/TSMPC MDS</w:t>
            </w:r>
          </w:p>
        </w:tc>
        <w:tc>
          <w:tcPr>
            <w:tcW w:w="473" w:type="dxa"/>
            <w:shd w:val="clear" w:color="000000" w:fill="D9D9D9"/>
            <w:textDirection w:val="btLr"/>
            <w:vAlign w:val="bottom"/>
            <w:hideMark/>
          </w:tcPr>
          <w:p w14:paraId="29947160" w14:textId="77777777" w:rsidR="00932DDB" w:rsidRPr="000665B0" w:rsidRDefault="00932DDB" w:rsidP="0056739E">
            <w:pPr>
              <w:spacing w:before="60" w:after="60" w:line="240" w:lineRule="auto"/>
              <w:rPr>
                <w:b/>
                <w:bCs/>
                <w:sz w:val="20"/>
              </w:rPr>
            </w:pPr>
            <w:r w:rsidRPr="000665B0">
              <w:rPr>
                <w:b/>
                <w:bCs/>
                <w:sz w:val="20"/>
              </w:rPr>
              <w:t>CMSA/TSMPC DB</w:t>
            </w:r>
          </w:p>
        </w:tc>
        <w:tc>
          <w:tcPr>
            <w:tcW w:w="473" w:type="dxa"/>
            <w:shd w:val="clear" w:color="000000" w:fill="D9D9D9"/>
            <w:textDirection w:val="btLr"/>
            <w:vAlign w:val="bottom"/>
            <w:hideMark/>
          </w:tcPr>
          <w:p w14:paraId="3ECE4392" w14:textId="77777777" w:rsidR="00932DDB" w:rsidRPr="000665B0" w:rsidRDefault="00932DDB" w:rsidP="0056739E">
            <w:pPr>
              <w:spacing w:before="60" w:after="60" w:line="240" w:lineRule="auto"/>
              <w:rPr>
                <w:b/>
                <w:bCs/>
                <w:sz w:val="20"/>
              </w:rPr>
            </w:pPr>
            <w:r w:rsidRPr="000665B0">
              <w:rPr>
                <w:b/>
                <w:bCs/>
                <w:sz w:val="20"/>
              </w:rPr>
              <w:t>CMSA/TSMPC TED</w:t>
            </w:r>
          </w:p>
        </w:tc>
      </w:tr>
      <w:tr w:rsidR="00932DDB" w:rsidRPr="000665B0" w14:paraId="642D5753" w14:textId="77777777" w:rsidTr="003F5937">
        <w:trPr>
          <w:trHeight w:val="765"/>
        </w:trPr>
        <w:tc>
          <w:tcPr>
            <w:tcW w:w="1612" w:type="dxa"/>
            <w:hideMark/>
          </w:tcPr>
          <w:p w14:paraId="32339D86" w14:textId="77777777" w:rsidR="00932DDB" w:rsidRPr="000665B0" w:rsidRDefault="00932DDB" w:rsidP="0056739E">
            <w:pPr>
              <w:spacing w:before="60" w:after="60" w:line="240" w:lineRule="auto"/>
              <w:rPr>
                <w:sz w:val="20"/>
              </w:rPr>
            </w:pPr>
            <w:r w:rsidRPr="000665B0">
              <w:rPr>
                <w:sz w:val="20"/>
              </w:rPr>
              <w:t>Event Log - Application</w:t>
            </w:r>
          </w:p>
        </w:tc>
        <w:tc>
          <w:tcPr>
            <w:tcW w:w="3420" w:type="dxa"/>
            <w:hideMark/>
          </w:tcPr>
          <w:p w14:paraId="012EF38D" w14:textId="77777777" w:rsidR="00932DDB" w:rsidRPr="000665B0" w:rsidRDefault="00932DDB" w:rsidP="0056739E">
            <w:pPr>
              <w:spacing w:before="60" w:after="60" w:line="240" w:lineRule="auto"/>
              <w:rPr>
                <w:sz w:val="20"/>
              </w:rPr>
            </w:pPr>
            <w:r w:rsidRPr="000665B0">
              <w:rPr>
                <w:sz w:val="20"/>
              </w:rPr>
              <w:t>C:\Windows\System32\winevt\Logs</w:t>
            </w:r>
          </w:p>
        </w:tc>
        <w:tc>
          <w:tcPr>
            <w:tcW w:w="2250" w:type="dxa"/>
          </w:tcPr>
          <w:p w14:paraId="014221D9" w14:textId="77777777" w:rsidR="00932DDB" w:rsidRPr="000665B0" w:rsidRDefault="00932DDB" w:rsidP="0056739E">
            <w:pPr>
              <w:spacing w:before="60" w:after="60" w:line="240" w:lineRule="auto"/>
              <w:rPr>
                <w:sz w:val="20"/>
              </w:rPr>
            </w:pPr>
            <w:r w:rsidRPr="000665B0">
              <w:rPr>
                <w:sz w:val="20"/>
              </w:rPr>
              <w:t>Application.evtxArchive_Application*.evtx</w:t>
            </w:r>
          </w:p>
        </w:tc>
        <w:tc>
          <w:tcPr>
            <w:tcW w:w="418" w:type="dxa"/>
            <w:hideMark/>
          </w:tcPr>
          <w:p w14:paraId="61192918"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1D4A69F4"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4ACF73E8"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139E62F3"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3E46CBAF"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3D00D663" w14:textId="77777777" w:rsidR="00932DDB" w:rsidRPr="000665B0" w:rsidRDefault="00932DDB" w:rsidP="0056739E">
            <w:pPr>
              <w:spacing w:before="60" w:after="60" w:line="240" w:lineRule="auto"/>
              <w:jc w:val="center"/>
              <w:rPr>
                <w:sz w:val="20"/>
              </w:rPr>
            </w:pPr>
            <w:r w:rsidRPr="000665B0">
              <w:rPr>
                <w:sz w:val="20"/>
              </w:rPr>
              <w:t>x</w:t>
            </w:r>
          </w:p>
        </w:tc>
      </w:tr>
      <w:tr w:rsidR="00932DDB" w:rsidRPr="000665B0" w14:paraId="16A3907D" w14:textId="77777777" w:rsidTr="003F5937">
        <w:trPr>
          <w:trHeight w:val="765"/>
        </w:trPr>
        <w:tc>
          <w:tcPr>
            <w:tcW w:w="1612" w:type="dxa"/>
            <w:hideMark/>
          </w:tcPr>
          <w:p w14:paraId="3A7BF04E" w14:textId="5D5507F1" w:rsidR="00932DDB" w:rsidRPr="000665B0" w:rsidRDefault="00932DDB" w:rsidP="0056739E">
            <w:pPr>
              <w:spacing w:before="60" w:after="60" w:line="240" w:lineRule="auto"/>
              <w:rPr>
                <w:sz w:val="20"/>
              </w:rPr>
            </w:pPr>
            <w:r w:rsidRPr="000665B0">
              <w:rPr>
                <w:sz w:val="20"/>
              </w:rPr>
              <w:t xml:space="preserve">Event Log - </w:t>
            </w:r>
            <w:r w:rsidR="00C9774E" w:rsidRPr="000665B0">
              <w:rPr>
                <w:sz w:val="20"/>
              </w:rPr>
              <w:br/>
            </w:r>
            <w:r w:rsidRPr="000665B0">
              <w:rPr>
                <w:sz w:val="20"/>
              </w:rPr>
              <w:t>Security</w:t>
            </w:r>
          </w:p>
        </w:tc>
        <w:tc>
          <w:tcPr>
            <w:tcW w:w="3420" w:type="dxa"/>
            <w:hideMark/>
          </w:tcPr>
          <w:p w14:paraId="3FBEC26B" w14:textId="77777777" w:rsidR="00932DDB" w:rsidRPr="000665B0" w:rsidRDefault="00932DDB" w:rsidP="0056739E">
            <w:pPr>
              <w:spacing w:before="60" w:after="60" w:line="240" w:lineRule="auto"/>
              <w:rPr>
                <w:sz w:val="20"/>
              </w:rPr>
            </w:pPr>
            <w:r w:rsidRPr="000665B0">
              <w:rPr>
                <w:sz w:val="20"/>
              </w:rPr>
              <w:t>C:\Windows\System32\Winevt\Logs</w:t>
            </w:r>
          </w:p>
        </w:tc>
        <w:tc>
          <w:tcPr>
            <w:tcW w:w="2250" w:type="dxa"/>
          </w:tcPr>
          <w:p w14:paraId="143553CC" w14:textId="77777777" w:rsidR="00932DDB" w:rsidRPr="000665B0" w:rsidRDefault="00932DDB" w:rsidP="0056739E">
            <w:pPr>
              <w:spacing w:before="60" w:after="60" w:line="240" w:lineRule="auto"/>
              <w:rPr>
                <w:sz w:val="20"/>
              </w:rPr>
            </w:pPr>
            <w:r w:rsidRPr="000665B0">
              <w:rPr>
                <w:sz w:val="20"/>
              </w:rPr>
              <w:t>Security.evtx Archive_Security*.evtx</w:t>
            </w:r>
          </w:p>
        </w:tc>
        <w:tc>
          <w:tcPr>
            <w:tcW w:w="418" w:type="dxa"/>
            <w:hideMark/>
          </w:tcPr>
          <w:p w14:paraId="5CDC732D"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103B7CC9"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552EF306"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052E1C61"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550357A1"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7C45A3A3" w14:textId="77777777" w:rsidR="00932DDB" w:rsidRPr="000665B0" w:rsidRDefault="00932DDB" w:rsidP="0056739E">
            <w:pPr>
              <w:spacing w:before="60" w:after="60" w:line="240" w:lineRule="auto"/>
              <w:jc w:val="center"/>
              <w:rPr>
                <w:sz w:val="20"/>
              </w:rPr>
            </w:pPr>
            <w:r w:rsidRPr="000665B0">
              <w:rPr>
                <w:sz w:val="20"/>
              </w:rPr>
              <w:t>x</w:t>
            </w:r>
          </w:p>
        </w:tc>
      </w:tr>
      <w:tr w:rsidR="00932DDB" w:rsidRPr="000665B0" w14:paraId="6E230674" w14:textId="77777777" w:rsidTr="003F5937">
        <w:trPr>
          <w:trHeight w:val="765"/>
        </w:trPr>
        <w:tc>
          <w:tcPr>
            <w:tcW w:w="1612" w:type="dxa"/>
            <w:hideMark/>
          </w:tcPr>
          <w:p w14:paraId="1BEAD105" w14:textId="221E9AE5" w:rsidR="00932DDB" w:rsidRPr="000665B0" w:rsidRDefault="00932DDB" w:rsidP="0056739E">
            <w:pPr>
              <w:spacing w:before="60" w:after="60" w:line="240" w:lineRule="auto"/>
              <w:rPr>
                <w:sz w:val="20"/>
              </w:rPr>
            </w:pPr>
            <w:r w:rsidRPr="000665B0">
              <w:rPr>
                <w:sz w:val="20"/>
              </w:rPr>
              <w:t xml:space="preserve">Event Log - </w:t>
            </w:r>
            <w:r w:rsidR="00C9774E" w:rsidRPr="000665B0">
              <w:rPr>
                <w:sz w:val="20"/>
              </w:rPr>
              <w:br/>
            </w:r>
            <w:r w:rsidRPr="000665B0">
              <w:rPr>
                <w:sz w:val="20"/>
              </w:rPr>
              <w:t>System</w:t>
            </w:r>
          </w:p>
        </w:tc>
        <w:tc>
          <w:tcPr>
            <w:tcW w:w="3420" w:type="dxa"/>
            <w:hideMark/>
          </w:tcPr>
          <w:p w14:paraId="1A617CD8" w14:textId="77777777" w:rsidR="00932DDB" w:rsidRPr="000665B0" w:rsidRDefault="00932DDB" w:rsidP="0056739E">
            <w:pPr>
              <w:spacing w:before="60" w:after="60" w:line="240" w:lineRule="auto"/>
              <w:rPr>
                <w:sz w:val="20"/>
              </w:rPr>
            </w:pPr>
            <w:r w:rsidRPr="000665B0">
              <w:rPr>
                <w:sz w:val="20"/>
              </w:rPr>
              <w:t>C:\Windows\System32\Winevt\Logs</w:t>
            </w:r>
          </w:p>
        </w:tc>
        <w:tc>
          <w:tcPr>
            <w:tcW w:w="2250" w:type="dxa"/>
          </w:tcPr>
          <w:p w14:paraId="28FF1DA6" w14:textId="77777777" w:rsidR="00932DDB" w:rsidRPr="000665B0" w:rsidRDefault="00932DDB" w:rsidP="0056739E">
            <w:pPr>
              <w:spacing w:before="60" w:after="60" w:line="240" w:lineRule="auto"/>
              <w:rPr>
                <w:sz w:val="20"/>
              </w:rPr>
            </w:pPr>
            <w:r w:rsidRPr="000665B0">
              <w:rPr>
                <w:sz w:val="20"/>
              </w:rPr>
              <w:t>System.evtx Archive_System*.evtx</w:t>
            </w:r>
          </w:p>
        </w:tc>
        <w:tc>
          <w:tcPr>
            <w:tcW w:w="418" w:type="dxa"/>
            <w:hideMark/>
          </w:tcPr>
          <w:p w14:paraId="5E211F1A"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37B31252"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6BD2A083"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0A64C1CC"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566B5A7E"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6F7B7421" w14:textId="77777777" w:rsidR="00932DDB" w:rsidRPr="000665B0" w:rsidRDefault="00932DDB" w:rsidP="0056739E">
            <w:pPr>
              <w:spacing w:before="60" w:after="60" w:line="240" w:lineRule="auto"/>
              <w:jc w:val="center"/>
              <w:rPr>
                <w:sz w:val="20"/>
              </w:rPr>
            </w:pPr>
            <w:r w:rsidRPr="000665B0">
              <w:rPr>
                <w:sz w:val="20"/>
              </w:rPr>
              <w:t>x</w:t>
            </w:r>
          </w:p>
        </w:tc>
      </w:tr>
      <w:tr w:rsidR="00932DDB" w:rsidRPr="000665B0" w14:paraId="1F4996EC" w14:textId="77777777" w:rsidTr="003F5937">
        <w:trPr>
          <w:trHeight w:val="510"/>
        </w:trPr>
        <w:tc>
          <w:tcPr>
            <w:tcW w:w="1612" w:type="dxa"/>
            <w:hideMark/>
          </w:tcPr>
          <w:p w14:paraId="50BB82B5" w14:textId="77777777" w:rsidR="00932DDB" w:rsidRPr="000665B0" w:rsidRDefault="00932DDB" w:rsidP="0056739E">
            <w:pPr>
              <w:spacing w:before="60" w:after="60" w:line="240" w:lineRule="auto"/>
              <w:rPr>
                <w:sz w:val="20"/>
              </w:rPr>
            </w:pPr>
            <w:r w:rsidRPr="000665B0">
              <w:rPr>
                <w:sz w:val="20"/>
              </w:rPr>
              <w:t>IIS - HTTP</w:t>
            </w:r>
          </w:p>
        </w:tc>
        <w:tc>
          <w:tcPr>
            <w:tcW w:w="3420" w:type="dxa"/>
            <w:hideMark/>
          </w:tcPr>
          <w:p w14:paraId="44922941" w14:textId="77777777" w:rsidR="00932DDB" w:rsidRPr="000665B0" w:rsidRDefault="00932DDB" w:rsidP="0056739E">
            <w:pPr>
              <w:spacing w:before="60" w:after="60" w:line="240" w:lineRule="auto"/>
              <w:rPr>
                <w:sz w:val="20"/>
              </w:rPr>
            </w:pPr>
            <w:r w:rsidRPr="000665B0">
              <w:rPr>
                <w:sz w:val="20"/>
              </w:rPr>
              <w:t>C:\inetpub\logs\LogFiles\HTTPERR</w:t>
            </w:r>
          </w:p>
        </w:tc>
        <w:tc>
          <w:tcPr>
            <w:tcW w:w="2250" w:type="dxa"/>
          </w:tcPr>
          <w:p w14:paraId="364571BD" w14:textId="77777777" w:rsidR="00932DDB" w:rsidRPr="000665B0" w:rsidRDefault="00932DDB" w:rsidP="0056739E">
            <w:pPr>
              <w:spacing w:before="60" w:after="60" w:line="240" w:lineRule="auto"/>
              <w:rPr>
                <w:sz w:val="20"/>
              </w:rPr>
            </w:pPr>
            <w:r w:rsidRPr="000665B0">
              <w:rPr>
                <w:sz w:val="20"/>
              </w:rPr>
              <w:t>*.log</w:t>
            </w:r>
          </w:p>
        </w:tc>
        <w:tc>
          <w:tcPr>
            <w:tcW w:w="418" w:type="dxa"/>
            <w:hideMark/>
          </w:tcPr>
          <w:p w14:paraId="2129324F"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447BC196" w14:textId="77777777" w:rsidR="00932DDB" w:rsidRPr="000665B0" w:rsidRDefault="00932DDB" w:rsidP="0056739E">
            <w:pPr>
              <w:spacing w:before="60" w:after="60" w:line="240" w:lineRule="auto"/>
              <w:jc w:val="center"/>
              <w:rPr>
                <w:sz w:val="20"/>
              </w:rPr>
            </w:pPr>
          </w:p>
        </w:tc>
        <w:tc>
          <w:tcPr>
            <w:tcW w:w="473" w:type="dxa"/>
            <w:hideMark/>
          </w:tcPr>
          <w:p w14:paraId="5ABE7CDE"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58C947A2" w14:textId="77777777" w:rsidR="00932DDB" w:rsidRPr="000665B0" w:rsidRDefault="00932DDB" w:rsidP="0056739E">
            <w:pPr>
              <w:spacing w:before="60" w:after="60" w:line="240" w:lineRule="auto"/>
              <w:jc w:val="center"/>
              <w:rPr>
                <w:sz w:val="20"/>
              </w:rPr>
            </w:pPr>
          </w:p>
        </w:tc>
        <w:tc>
          <w:tcPr>
            <w:tcW w:w="473" w:type="dxa"/>
            <w:hideMark/>
          </w:tcPr>
          <w:p w14:paraId="3CCDFCC6" w14:textId="77777777" w:rsidR="00932DDB" w:rsidRPr="000665B0" w:rsidRDefault="00932DDB" w:rsidP="0056739E">
            <w:pPr>
              <w:spacing w:before="60" w:after="60" w:line="240" w:lineRule="auto"/>
              <w:jc w:val="center"/>
              <w:rPr>
                <w:sz w:val="20"/>
              </w:rPr>
            </w:pPr>
          </w:p>
        </w:tc>
        <w:tc>
          <w:tcPr>
            <w:tcW w:w="473" w:type="dxa"/>
            <w:hideMark/>
          </w:tcPr>
          <w:p w14:paraId="4567197C" w14:textId="77777777" w:rsidR="00932DDB" w:rsidRPr="000665B0" w:rsidRDefault="00932DDB" w:rsidP="0056739E">
            <w:pPr>
              <w:spacing w:before="60" w:after="60" w:line="240" w:lineRule="auto"/>
              <w:jc w:val="center"/>
              <w:rPr>
                <w:sz w:val="20"/>
              </w:rPr>
            </w:pPr>
            <w:r w:rsidRPr="000665B0">
              <w:rPr>
                <w:sz w:val="20"/>
              </w:rPr>
              <w:t>x</w:t>
            </w:r>
          </w:p>
        </w:tc>
      </w:tr>
      <w:tr w:rsidR="00932DDB" w:rsidRPr="000665B0" w14:paraId="37DD8F20" w14:textId="77777777" w:rsidTr="003F5937">
        <w:trPr>
          <w:trHeight w:val="510"/>
        </w:trPr>
        <w:tc>
          <w:tcPr>
            <w:tcW w:w="1612" w:type="dxa"/>
            <w:hideMark/>
          </w:tcPr>
          <w:p w14:paraId="652F8C49" w14:textId="77777777" w:rsidR="00932DDB" w:rsidRPr="000665B0" w:rsidRDefault="00932DDB" w:rsidP="0056739E">
            <w:pPr>
              <w:spacing w:before="60" w:after="60" w:line="240" w:lineRule="auto"/>
              <w:rPr>
                <w:sz w:val="20"/>
              </w:rPr>
            </w:pPr>
            <w:r w:rsidRPr="000665B0">
              <w:rPr>
                <w:sz w:val="20"/>
              </w:rPr>
              <w:t>IIS - W3SVC</w:t>
            </w:r>
          </w:p>
        </w:tc>
        <w:tc>
          <w:tcPr>
            <w:tcW w:w="3420" w:type="dxa"/>
            <w:hideMark/>
          </w:tcPr>
          <w:p w14:paraId="6C25C155" w14:textId="77777777" w:rsidR="00932DDB" w:rsidRPr="000665B0" w:rsidRDefault="00932DDB" w:rsidP="0056739E">
            <w:pPr>
              <w:spacing w:before="60" w:after="60" w:line="240" w:lineRule="auto"/>
              <w:rPr>
                <w:sz w:val="20"/>
              </w:rPr>
            </w:pPr>
            <w:r w:rsidRPr="000665B0">
              <w:rPr>
                <w:sz w:val="20"/>
              </w:rPr>
              <w:t>C:\inetpub\logs\LogFiles\W3SVC1</w:t>
            </w:r>
          </w:p>
        </w:tc>
        <w:tc>
          <w:tcPr>
            <w:tcW w:w="2250" w:type="dxa"/>
          </w:tcPr>
          <w:p w14:paraId="7F76BA88" w14:textId="77777777" w:rsidR="00932DDB" w:rsidRPr="000665B0" w:rsidRDefault="00932DDB" w:rsidP="0056739E">
            <w:pPr>
              <w:spacing w:before="60" w:after="60" w:line="240" w:lineRule="auto"/>
              <w:rPr>
                <w:sz w:val="20"/>
              </w:rPr>
            </w:pPr>
            <w:r w:rsidRPr="000665B0">
              <w:rPr>
                <w:sz w:val="20"/>
              </w:rPr>
              <w:t>*.log</w:t>
            </w:r>
          </w:p>
        </w:tc>
        <w:tc>
          <w:tcPr>
            <w:tcW w:w="418" w:type="dxa"/>
            <w:hideMark/>
          </w:tcPr>
          <w:p w14:paraId="08DEFFE7"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6E0BE435" w14:textId="77777777" w:rsidR="00932DDB" w:rsidRPr="000665B0" w:rsidRDefault="00932DDB" w:rsidP="0056739E">
            <w:pPr>
              <w:spacing w:before="60" w:after="60" w:line="240" w:lineRule="auto"/>
              <w:jc w:val="center"/>
              <w:rPr>
                <w:sz w:val="20"/>
              </w:rPr>
            </w:pPr>
          </w:p>
        </w:tc>
        <w:tc>
          <w:tcPr>
            <w:tcW w:w="473" w:type="dxa"/>
            <w:hideMark/>
          </w:tcPr>
          <w:p w14:paraId="593EB44C"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5597A8F1" w14:textId="77777777" w:rsidR="00932DDB" w:rsidRPr="000665B0" w:rsidRDefault="00932DDB" w:rsidP="0056739E">
            <w:pPr>
              <w:spacing w:before="60" w:after="60" w:line="240" w:lineRule="auto"/>
              <w:jc w:val="center"/>
              <w:rPr>
                <w:sz w:val="20"/>
              </w:rPr>
            </w:pPr>
          </w:p>
        </w:tc>
        <w:tc>
          <w:tcPr>
            <w:tcW w:w="473" w:type="dxa"/>
            <w:hideMark/>
          </w:tcPr>
          <w:p w14:paraId="3638FD84" w14:textId="77777777" w:rsidR="00932DDB" w:rsidRPr="000665B0" w:rsidRDefault="00932DDB" w:rsidP="0056739E">
            <w:pPr>
              <w:spacing w:before="60" w:after="60" w:line="240" w:lineRule="auto"/>
              <w:jc w:val="center"/>
              <w:rPr>
                <w:sz w:val="20"/>
              </w:rPr>
            </w:pPr>
          </w:p>
        </w:tc>
        <w:tc>
          <w:tcPr>
            <w:tcW w:w="473" w:type="dxa"/>
            <w:hideMark/>
          </w:tcPr>
          <w:p w14:paraId="4362943C" w14:textId="77777777" w:rsidR="00932DDB" w:rsidRPr="000665B0" w:rsidRDefault="00932DDB" w:rsidP="0056739E">
            <w:pPr>
              <w:spacing w:before="60" w:after="60" w:line="240" w:lineRule="auto"/>
              <w:jc w:val="center"/>
              <w:rPr>
                <w:sz w:val="20"/>
              </w:rPr>
            </w:pPr>
            <w:r w:rsidRPr="000665B0">
              <w:rPr>
                <w:sz w:val="20"/>
              </w:rPr>
              <w:t>x</w:t>
            </w:r>
          </w:p>
        </w:tc>
      </w:tr>
      <w:tr w:rsidR="00673242" w:rsidRPr="000665B0" w14:paraId="20A606F1" w14:textId="77777777" w:rsidTr="003F5937">
        <w:trPr>
          <w:trHeight w:val="504"/>
        </w:trPr>
        <w:tc>
          <w:tcPr>
            <w:tcW w:w="1612" w:type="dxa"/>
            <w:tcBorders>
              <w:top w:val="single" w:sz="4" w:space="0" w:color="auto"/>
              <w:left w:val="single" w:sz="4" w:space="0" w:color="auto"/>
              <w:bottom w:val="single" w:sz="4" w:space="0" w:color="auto"/>
              <w:right w:val="single" w:sz="4" w:space="0" w:color="auto"/>
            </w:tcBorders>
            <w:hideMark/>
          </w:tcPr>
          <w:p w14:paraId="592C9D83" w14:textId="77777777" w:rsidR="00673242" w:rsidRPr="000665B0" w:rsidRDefault="00673242" w:rsidP="0056739E">
            <w:pPr>
              <w:spacing w:before="60" w:after="60" w:line="240" w:lineRule="auto"/>
              <w:rPr>
                <w:sz w:val="20"/>
              </w:rPr>
            </w:pPr>
            <w:r w:rsidRPr="000665B0">
              <w:rPr>
                <w:sz w:val="20"/>
              </w:rPr>
              <w:t>PowerShell Transcripts</w:t>
            </w:r>
          </w:p>
        </w:tc>
        <w:tc>
          <w:tcPr>
            <w:tcW w:w="3420" w:type="dxa"/>
            <w:tcBorders>
              <w:top w:val="single" w:sz="4" w:space="0" w:color="auto"/>
              <w:left w:val="single" w:sz="4" w:space="0" w:color="auto"/>
              <w:bottom w:val="single" w:sz="4" w:space="0" w:color="auto"/>
              <w:right w:val="single" w:sz="4" w:space="0" w:color="auto"/>
            </w:tcBorders>
            <w:hideMark/>
          </w:tcPr>
          <w:p w14:paraId="1FA3A254" w14:textId="77777777" w:rsidR="00673242" w:rsidRPr="000665B0" w:rsidRDefault="00673242" w:rsidP="0056739E">
            <w:pPr>
              <w:spacing w:before="60" w:after="60" w:line="240" w:lineRule="auto"/>
              <w:rPr>
                <w:sz w:val="20"/>
              </w:rPr>
            </w:pPr>
            <w:r w:rsidRPr="000665B0">
              <w:rPr>
                <w:sz w:val="20"/>
              </w:rPr>
              <w:t>C:\ProgramData\PS_Transcript\YYYYMMDD</w:t>
            </w:r>
          </w:p>
        </w:tc>
        <w:tc>
          <w:tcPr>
            <w:tcW w:w="2250" w:type="dxa"/>
            <w:tcBorders>
              <w:top w:val="single" w:sz="4" w:space="0" w:color="auto"/>
              <w:left w:val="single" w:sz="4" w:space="0" w:color="auto"/>
              <w:bottom w:val="single" w:sz="4" w:space="0" w:color="auto"/>
              <w:right w:val="single" w:sz="4" w:space="0" w:color="auto"/>
            </w:tcBorders>
            <w:hideMark/>
          </w:tcPr>
          <w:p w14:paraId="63972E08" w14:textId="77777777" w:rsidR="00673242" w:rsidRPr="000665B0" w:rsidRDefault="00673242" w:rsidP="0056739E">
            <w:pPr>
              <w:spacing w:before="60" w:after="60" w:line="240" w:lineRule="auto"/>
              <w:rPr>
                <w:sz w:val="20"/>
              </w:rPr>
            </w:pPr>
            <w:r w:rsidRPr="000665B0">
              <w:rPr>
                <w:sz w:val="20"/>
              </w:rPr>
              <w:t>*.txt</w:t>
            </w:r>
          </w:p>
        </w:tc>
        <w:tc>
          <w:tcPr>
            <w:tcW w:w="418" w:type="dxa"/>
            <w:tcBorders>
              <w:top w:val="single" w:sz="4" w:space="0" w:color="auto"/>
              <w:left w:val="single" w:sz="4" w:space="0" w:color="auto"/>
              <w:bottom w:val="single" w:sz="4" w:space="0" w:color="auto"/>
              <w:right w:val="single" w:sz="4" w:space="0" w:color="auto"/>
            </w:tcBorders>
            <w:hideMark/>
          </w:tcPr>
          <w:p w14:paraId="39CDC79E" w14:textId="77777777" w:rsidR="00673242" w:rsidRPr="000665B0" w:rsidRDefault="00673242" w:rsidP="0056739E">
            <w:pPr>
              <w:spacing w:before="60" w:after="60" w:line="240" w:lineRule="auto"/>
              <w:jc w:val="center"/>
              <w:rPr>
                <w:sz w:val="20"/>
              </w:rPr>
            </w:pPr>
            <w:r w:rsidRPr="000665B0">
              <w:rPr>
                <w:sz w:val="20"/>
              </w:rPr>
              <w:t>x</w:t>
            </w:r>
          </w:p>
        </w:tc>
        <w:tc>
          <w:tcPr>
            <w:tcW w:w="473" w:type="dxa"/>
            <w:tcBorders>
              <w:top w:val="single" w:sz="4" w:space="0" w:color="auto"/>
              <w:left w:val="single" w:sz="4" w:space="0" w:color="auto"/>
              <w:bottom w:val="single" w:sz="4" w:space="0" w:color="auto"/>
              <w:right w:val="single" w:sz="4" w:space="0" w:color="auto"/>
            </w:tcBorders>
            <w:hideMark/>
          </w:tcPr>
          <w:p w14:paraId="266FC2A7" w14:textId="77777777" w:rsidR="00673242" w:rsidRPr="000665B0" w:rsidRDefault="00673242" w:rsidP="0056739E">
            <w:pPr>
              <w:spacing w:before="60" w:after="60" w:line="240" w:lineRule="auto"/>
              <w:jc w:val="center"/>
              <w:rPr>
                <w:sz w:val="20"/>
              </w:rPr>
            </w:pPr>
            <w:r w:rsidRPr="000665B0">
              <w:rPr>
                <w:sz w:val="20"/>
              </w:rPr>
              <w:t>x</w:t>
            </w:r>
          </w:p>
        </w:tc>
        <w:tc>
          <w:tcPr>
            <w:tcW w:w="473" w:type="dxa"/>
            <w:tcBorders>
              <w:top w:val="single" w:sz="4" w:space="0" w:color="auto"/>
              <w:left w:val="single" w:sz="4" w:space="0" w:color="auto"/>
              <w:bottom w:val="single" w:sz="4" w:space="0" w:color="auto"/>
              <w:right w:val="single" w:sz="4" w:space="0" w:color="auto"/>
            </w:tcBorders>
            <w:hideMark/>
          </w:tcPr>
          <w:p w14:paraId="288B5ABC" w14:textId="77777777" w:rsidR="00673242" w:rsidRPr="000665B0" w:rsidRDefault="00673242" w:rsidP="0056739E">
            <w:pPr>
              <w:spacing w:before="60" w:after="60" w:line="240" w:lineRule="auto"/>
              <w:jc w:val="center"/>
              <w:rPr>
                <w:sz w:val="20"/>
              </w:rPr>
            </w:pPr>
            <w:r w:rsidRPr="000665B0">
              <w:rPr>
                <w:sz w:val="20"/>
              </w:rPr>
              <w:t>x</w:t>
            </w:r>
          </w:p>
        </w:tc>
        <w:tc>
          <w:tcPr>
            <w:tcW w:w="473" w:type="dxa"/>
            <w:tcBorders>
              <w:top w:val="single" w:sz="4" w:space="0" w:color="auto"/>
              <w:left w:val="single" w:sz="4" w:space="0" w:color="auto"/>
              <w:bottom w:val="single" w:sz="4" w:space="0" w:color="auto"/>
              <w:right w:val="single" w:sz="4" w:space="0" w:color="auto"/>
            </w:tcBorders>
            <w:hideMark/>
          </w:tcPr>
          <w:p w14:paraId="05249E84" w14:textId="77777777" w:rsidR="00673242" w:rsidRPr="000665B0" w:rsidRDefault="00673242" w:rsidP="0056739E">
            <w:pPr>
              <w:spacing w:before="60" w:after="60" w:line="240" w:lineRule="auto"/>
              <w:jc w:val="center"/>
              <w:rPr>
                <w:sz w:val="20"/>
              </w:rPr>
            </w:pPr>
            <w:r w:rsidRPr="000665B0">
              <w:rPr>
                <w:sz w:val="20"/>
              </w:rPr>
              <w:t>x</w:t>
            </w:r>
          </w:p>
        </w:tc>
        <w:tc>
          <w:tcPr>
            <w:tcW w:w="473" w:type="dxa"/>
            <w:tcBorders>
              <w:top w:val="single" w:sz="4" w:space="0" w:color="auto"/>
              <w:left w:val="single" w:sz="4" w:space="0" w:color="auto"/>
              <w:bottom w:val="single" w:sz="4" w:space="0" w:color="auto"/>
              <w:right w:val="single" w:sz="4" w:space="0" w:color="auto"/>
            </w:tcBorders>
            <w:hideMark/>
          </w:tcPr>
          <w:p w14:paraId="68E1D49D" w14:textId="77777777" w:rsidR="00673242" w:rsidRPr="000665B0" w:rsidRDefault="00673242" w:rsidP="0056739E">
            <w:pPr>
              <w:spacing w:before="60" w:after="60" w:line="240" w:lineRule="auto"/>
              <w:jc w:val="center"/>
              <w:rPr>
                <w:sz w:val="20"/>
              </w:rPr>
            </w:pPr>
            <w:r w:rsidRPr="000665B0">
              <w:rPr>
                <w:sz w:val="20"/>
              </w:rPr>
              <w:t>x</w:t>
            </w:r>
          </w:p>
        </w:tc>
        <w:tc>
          <w:tcPr>
            <w:tcW w:w="473" w:type="dxa"/>
            <w:tcBorders>
              <w:top w:val="single" w:sz="4" w:space="0" w:color="auto"/>
              <w:left w:val="single" w:sz="4" w:space="0" w:color="auto"/>
              <w:bottom w:val="single" w:sz="4" w:space="0" w:color="auto"/>
              <w:right w:val="single" w:sz="4" w:space="0" w:color="auto"/>
            </w:tcBorders>
            <w:hideMark/>
          </w:tcPr>
          <w:p w14:paraId="3AA680C0" w14:textId="77777777" w:rsidR="00673242" w:rsidRPr="000665B0" w:rsidRDefault="00673242" w:rsidP="0056739E">
            <w:pPr>
              <w:spacing w:before="60" w:after="60" w:line="240" w:lineRule="auto"/>
              <w:jc w:val="center"/>
              <w:rPr>
                <w:sz w:val="20"/>
              </w:rPr>
            </w:pPr>
            <w:r w:rsidRPr="000665B0">
              <w:rPr>
                <w:sz w:val="20"/>
              </w:rPr>
              <w:t>x</w:t>
            </w:r>
          </w:p>
        </w:tc>
      </w:tr>
      <w:tr w:rsidR="00932DDB" w:rsidRPr="000665B0" w14:paraId="7C8CC9BD" w14:textId="77777777" w:rsidTr="003F5937">
        <w:trPr>
          <w:trHeight w:val="765"/>
        </w:trPr>
        <w:tc>
          <w:tcPr>
            <w:tcW w:w="1612" w:type="dxa"/>
            <w:hideMark/>
          </w:tcPr>
          <w:p w14:paraId="49C8837C" w14:textId="694B5BC9" w:rsidR="00932DDB" w:rsidRPr="000665B0" w:rsidRDefault="00932DDB" w:rsidP="0056739E">
            <w:pPr>
              <w:spacing w:before="60" w:after="60" w:line="240" w:lineRule="auto"/>
              <w:rPr>
                <w:sz w:val="20"/>
              </w:rPr>
            </w:pPr>
            <w:r w:rsidRPr="000665B0">
              <w:rPr>
                <w:sz w:val="20"/>
              </w:rPr>
              <w:t xml:space="preserve">SQL </w:t>
            </w:r>
            <w:r w:rsidR="005036F6" w:rsidRPr="000665B0">
              <w:rPr>
                <w:sz w:val="20"/>
              </w:rPr>
              <w:t xml:space="preserve">Audit </w:t>
            </w:r>
            <w:r w:rsidRPr="000665B0">
              <w:rPr>
                <w:sz w:val="20"/>
              </w:rPr>
              <w:t xml:space="preserve">Log </w:t>
            </w:r>
            <w:r w:rsidR="00C9774E" w:rsidRPr="000665B0">
              <w:rPr>
                <w:sz w:val="20"/>
              </w:rPr>
              <w:t>-</w:t>
            </w:r>
            <w:r w:rsidRPr="000665B0">
              <w:rPr>
                <w:sz w:val="20"/>
              </w:rPr>
              <w:t xml:space="preserve"> ISAT</w:t>
            </w:r>
            <w:r w:rsidR="00132B82" w:rsidRPr="000665B0">
              <w:rPr>
                <w:sz w:val="20"/>
              </w:rPr>
              <w:br/>
              <w:t>(See Note 1)</w:t>
            </w:r>
          </w:p>
        </w:tc>
        <w:tc>
          <w:tcPr>
            <w:tcW w:w="3420" w:type="dxa"/>
            <w:hideMark/>
          </w:tcPr>
          <w:p w14:paraId="2C69031D" w14:textId="53AD2D85" w:rsidR="00932DDB" w:rsidRPr="000665B0" w:rsidRDefault="00132B82" w:rsidP="0056739E">
            <w:pPr>
              <w:spacing w:before="60" w:after="60" w:line="240" w:lineRule="auto"/>
              <w:rPr>
                <w:sz w:val="20"/>
              </w:rPr>
            </w:pPr>
            <w:r w:rsidRPr="000665B0">
              <w:rPr>
                <w:sz w:val="20"/>
              </w:rPr>
              <w:t>(</w:t>
            </w:r>
            <w:r w:rsidR="00932DDB" w:rsidRPr="000665B0">
              <w:rPr>
                <w:sz w:val="20"/>
              </w:rPr>
              <w:t>See Note 3</w:t>
            </w:r>
            <w:r w:rsidRPr="000665B0">
              <w:rPr>
                <w:sz w:val="20"/>
              </w:rPr>
              <w:t>)</w:t>
            </w:r>
          </w:p>
        </w:tc>
        <w:tc>
          <w:tcPr>
            <w:tcW w:w="2250" w:type="dxa"/>
          </w:tcPr>
          <w:p w14:paraId="53A94BEC" w14:textId="0B0D2E00" w:rsidR="00932DDB" w:rsidRPr="000665B0" w:rsidRDefault="00932DDB" w:rsidP="0056739E">
            <w:pPr>
              <w:spacing w:before="60" w:after="60" w:line="240" w:lineRule="auto"/>
              <w:rPr>
                <w:sz w:val="20"/>
              </w:rPr>
            </w:pPr>
            <w:r w:rsidRPr="000665B0">
              <w:rPr>
                <w:sz w:val="20"/>
              </w:rPr>
              <w:t>AuditTrace_*.</w:t>
            </w:r>
            <w:r w:rsidR="00C74B10" w:rsidRPr="000665B0">
              <w:rPr>
                <w:sz w:val="20"/>
              </w:rPr>
              <w:t>sqlaudit</w:t>
            </w:r>
          </w:p>
        </w:tc>
        <w:tc>
          <w:tcPr>
            <w:tcW w:w="418" w:type="dxa"/>
            <w:hideMark/>
          </w:tcPr>
          <w:p w14:paraId="20D27527" w14:textId="77777777" w:rsidR="00932DDB" w:rsidRPr="000665B0" w:rsidRDefault="00932DDB" w:rsidP="0056739E">
            <w:pPr>
              <w:spacing w:before="60" w:after="60" w:line="240" w:lineRule="auto"/>
              <w:jc w:val="center"/>
              <w:rPr>
                <w:sz w:val="20"/>
              </w:rPr>
            </w:pPr>
          </w:p>
        </w:tc>
        <w:tc>
          <w:tcPr>
            <w:tcW w:w="473" w:type="dxa"/>
            <w:hideMark/>
          </w:tcPr>
          <w:p w14:paraId="44E51988" w14:textId="77777777" w:rsidR="00932DDB" w:rsidRPr="000665B0" w:rsidRDefault="00932DDB" w:rsidP="0056739E">
            <w:pPr>
              <w:spacing w:before="60" w:after="60" w:line="240" w:lineRule="auto"/>
              <w:jc w:val="center"/>
              <w:rPr>
                <w:sz w:val="20"/>
              </w:rPr>
            </w:pPr>
          </w:p>
        </w:tc>
        <w:tc>
          <w:tcPr>
            <w:tcW w:w="473" w:type="dxa"/>
            <w:hideMark/>
          </w:tcPr>
          <w:p w14:paraId="2411515F" w14:textId="77777777" w:rsidR="00932DDB" w:rsidRPr="000665B0" w:rsidRDefault="00932DDB" w:rsidP="0056739E">
            <w:pPr>
              <w:spacing w:before="60" w:after="60" w:line="240" w:lineRule="auto"/>
              <w:jc w:val="center"/>
              <w:rPr>
                <w:sz w:val="20"/>
              </w:rPr>
            </w:pPr>
          </w:p>
        </w:tc>
        <w:tc>
          <w:tcPr>
            <w:tcW w:w="473" w:type="dxa"/>
            <w:hideMark/>
          </w:tcPr>
          <w:p w14:paraId="476B709E"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7FCC45B2" w14:textId="77777777" w:rsidR="00932DDB" w:rsidRPr="000665B0" w:rsidRDefault="00932DDB" w:rsidP="0056739E">
            <w:pPr>
              <w:spacing w:before="60" w:after="60" w:line="240" w:lineRule="auto"/>
              <w:jc w:val="center"/>
              <w:rPr>
                <w:sz w:val="20"/>
              </w:rPr>
            </w:pPr>
          </w:p>
        </w:tc>
        <w:tc>
          <w:tcPr>
            <w:tcW w:w="473" w:type="dxa"/>
            <w:hideMark/>
          </w:tcPr>
          <w:p w14:paraId="5A9AB7DF" w14:textId="77777777" w:rsidR="00932DDB" w:rsidRPr="000665B0" w:rsidRDefault="00932DDB" w:rsidP="0056739E">
            <w:pPr>
              <w:spacing w:before="60" w:after="60" w:line="240" w:lineRule="auto"/>
              <w:jc w:val="center"/>
              <w:rPr>
                <w:sz w:val="20"/>
              </w:rPr>
            </w:pPr>
          </w:p>
        </w:tc>
      </w:tr>
      <w:tr w:rsidR="00932DDB" w:rsidRPr="000665B0" w14:paraId="331D99A8" w14:textId="77777777" w:rsidTr="003F5937">
        <w:trPr>
          <w:trHeight w:val="647"/>
        </w:trPr>
        <w:tc>
          <w:tcPr>
            <w:tcW w:w="1612" w:type="dxa"/>
            <w:hideMark/>
          </w:tcPr>
          <w:p w14:paraId="40244ECC" w14:textId="0D01AEF6" w:rsidR="00932DDB" w:rsidRPr="000665B0" w:rsidRDefault="00932DDB" w:rsidP="0056739E">
            <w:pPr>
              <w:spacing w:before="60" w:after="60" w:line="240" w:lineRule="auto"/>
              <w:rPr>
                <w:sz w:val="20"/>
              </w:rPr>
            </w:pPr>
            <w:r w:rsidRPr="000665B0">
              <w:rPr>
                <w:sz w:val="20"/>
              </w:rPr>
              <w:t xml:space="preserve">SQL </w:t>
            </w:r>
            <w:r w:rsidR="005036F6" w:rsidRPr="000665B0">
              <w:rPr>
                <w:sz w:val="20"/>
              </w:rPr>
              <w:t xml:space="preserve">Audit </w:t>
            </w:r>
            <w:r w:rsidRPr="000665B0">
              <w:rPr>
                <w:sz w:val="20"/>
              </w:rPr>
              <w:t xml:space="preserve">Log </w:t>
            </w:r>
            <w:r w:rsidR="00C9774E" w:rsidRPr="000665B0">
              <w:rPr>
                <w:sz w:val="20"/>
              </w:rPr>
              <w:t>-</w:t>
            </w:r>
            <w:r w:rsidR="00C74B10" w:rsidRPr="000665B0">
              <w:rPr>
                <w:sz w:val="20"/>
              </w:rPr>
              <w:t xml:space="preserve"> </w:t>
            </w:r>
            <w:r w:rsidR="00017A2B" w:rsidRPr="000665B0">
              <w:rPr>
                <w:sz w:val="20"/>
              </w:rPr>
              <w:t>TC2S</w:t>
            </w:r>
          </w:p>
        </w:tc>
        <w:tc>
          <w:tcPr>
            <w:tcW w:w="3420" w:type="dxa"/>
            <w:hideMark/>
          </w:tcPr>
          <w:p w14:paraId="4BEFBAC1" w14:textId="7563BB9D" w:rsidR="00932DDB" w:rsidRPr="000665B0" w:rsidRDefault="00132B82" w:rsidP="0056739E">
            <w:pPr>
              <w:spacing w:before="60" w:after="60" w:line="240" w:lineRule="auto"/>
              <w:rPr>
                <w:sz w:val="20"/>
              </w:rPr>
            </w:pPr>
            <w:r w:rsidRPr="000665B0">
              <w:rPr>
                <w:sz w:val="20"/>
              </w:rPr>
              <w:t>(</w:t>
            </w:r>
            <w:r w:rsidR="00932DDB" w:rsidRPr="000665B0">
              <w:rPr>
                <w:sz w:val="20"/>
              </w:rPr>
              <w:t>See Note 3</w:t>
            </w:r>
            <w:r w:rsidRPr="000665B0">
              <w:rPr>
                <w:sz w:val="20"/>
              </w:rPr>
              <w:t>)</w:t>
            </w:r>
          </w:p>
        </w:tc>
        <w:tc>
          <w:tcPr>
            <w:tcW w:w="2250" w:type="dxa"/>
          </w:tcPr>
          <w:p w14:paraId="46DC655D" w14:textId="14A1BA1C" w:rsidR="00932DDB" w:rsidRPr="000665B0" w:rsidRDefault="00932DDB" w:rsidP="0056739E">
            <w:pPr>
              <w:spacing w:before="60" w:after="60" w:line="240" w:lineRule="auto"/>
              <w:rPr>
                <w:sz w:val="20"/>
              </w:rPr>
            </w:pPr>
            <w:r w:rsidRPr="000665B0">
              <w:rPr>
                <w:sz w:val="20"/>
              </w:rPr>
              <w:t>AuditTrace_*.</w:t>
            </w:r>
            <w:r w:rsidR="00C74B10" w:rsidRPr="000665B0">
              <w:rPr>
                <w:sz w:val="20"/>
              </w:rPr>
              <w:t>sqlaudit</w:t>
            </w:r>
          </w:p>
        </w:tc>
        <w:tc>
          <w:tcPr>
            <w:tcW w:w="418" w:type="dxa"/>
            <w:hideMark/>
          </w:tcPr>
          <w:p w14:paraId="1029862B"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240CC9E2" w14:textId="77777777" w:rsidR="00932DDB" w:rsidRPr="000665B0" w:rsidRDefault="00932DDB" w:rsidP="0056739E">
            <w:pPr>
              <w:spacing w:before="60" w:after="60" w:line="240" w:lineRule="auto"/>
              <w:jc w:val="center"/>
              <w:rPr>
                <w:sz w:val="20"/>
              </w:rPr>
            </w:pPr>
          </w:p>
        </w:tc>
        <w:tc>
          <w:tcPr>
            <w:tcW w:w="473" w:type="dxa"/>
            <w:hideMark/>
          </w:tcPr>
          <w:p w14:paraId="19A9A7AA"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1C91DFF4" w14:textId="77777777" w:rsidR="00932DDB" w:rsidRPr="000665B0" w:rsidRDefault="00932DDB" w:rsidP="0056739E">
            <w:pPr>
              <w:spacing w:before="60" w:after="60" w:line="240" w:lineRule="auto"/>
              <w:jc w:val="center"/>
              <w:rPr>
                <w:sz w:val="20"/>
              </w:rPr>
            </w:pPr>
          </w:p>
        </w:tc>
        <w:tc>
          <w:tcPr>
            <w:tcW w:w="473" w:type="dxa"/>
            <w:hideMark/>
          </w:tcPr>
          <w:p w14:paraId="23495A26"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50143AB9" w14:textId="77777777" w:rsidR="00932DDB" w:rsidRPr="000665B0" w:rsidRDefault="00932DDB" w:rsidP="0056739E">
            <w:pPr>
              <w:spacing w:before="60" w:after="60" w:line="240" w:lineRule="auto"/>
              <w:jc w:val="center"/>
              <w:rPr>
                <w:sz w:val="20"/>
              </w:rPr>
            </w:pPr>
          </w:p>
        </w:tc>
      </w:tr>
      <w:tr w:rsidR="00932DDB" w:rsidRPr="000665B0" w14:paraId="441987FA" w14:textId="77777777" w:rsidTr="003F5937">
        <w:trPr>
          <w:trHeight w:val="575"/>
        </w:trPr>
        <w:tc>
          <w:tcPr>
            <w:tcW w:w="1612" w:type="dxa"/>
            <w:hideMark/>
          </w:tcPr>
          <w:p w14:paraId="119CA2B1" w14:textId="74099B59" w:rsidR="00932DDB" w:rsidRPr="000665B0" w:rsidRDefault="00932DDB" w:rsidP="0056739E">
            <w:pPr>
              <w:spacing w:before="60" w:after="60" w:line="240" w:lineRule="auto"/>
              <w:rPr>
                <w:sz w:val="20"/>
              </w:rPr>
            </w:pPr>
            <w:r w:rsidRPr="000665B0">
              <w:rPr>
                <w:sz w:val="20"/>
              </w:rPr>
              <w:lastRenderedPageBreak/>
              <w:t xml:space="preserve">SQL </w:t>
            </w:r>
            <w:r w:rsidR="005036F6" w:rsidRPr="000665B0">
              <w:rPr>
                <w:sz w:val="20"/>
              </w:rPr>
              <w:t xml:space="preserve">Audit </w:t>
            </w:r>
            <w:r w:rsidRPr="000665B0">
              <w:rPr>
                <w:sz w:val="20"/>
              </w:rPr>
              <w:t xml:space="preserve">Log </w:t>
            </w:r>
            <w:r w:rsidR="00C9774E" w:rsidRPr="000665B0">
              <w:rPr>
                <w:sz w:val="20"/>
              </w:rPr>
              <w:t>-</w:t>
            </w:r>
            <w:r w:rsidR="00C74B10" w:rsidRPr="000665B0">
              <w:rPr>
                <w:sz w:val="20"/>
              </w:rPr>
              <w:t xml:space="preserve"> </w:t>
            </w:r>
            <w:r w:rsidR="00C9774E" w:rsidRPr="000665B0">
              <w:rPr>
                <w:sz w:val="20"/>
              </w:rPr>
              <w:br/>
            </w:r>
            <w:r w:rsidRPr="000665B0">
              <w:rPr>
                <w:sz w:val="20"/>
              </w:rPr>
              <w:t>TPS (Tape Backup)</w:t>
            </w:r>
            <w:r w:rsidR="00132B82" w:rsidRPr="000665B0">
              <w:rPr>
                <w:sz w:val="20"/>
                <w:vertAlign w:val="superscript"/>
              </w:rPr>
              <w:br/>
            </w:r>
            <w:r w:rsidR="00132B82" w:rsidRPr="000665B0">
              <w:rPr>
                <w:sz w:val="20"/>
              </w:rPr>
              <w:t>(See Note 2)</w:t>
            </w:r>
          </w:p>
        </w:tc>
        <w:tc>
          <w:tcPr>
            <w:tcW w:w="3420" w:type="dxa"/>
            <w:hideMark/>
          </w:tcPr>
          <w:p w14:paraId="411A1FEA" w14:textId="312FBD09" w:rsidR="00932DDB" w:rsidRPr="000665B0" w:rsidRDefault="00132B82" w:rsidP="0056739E">
            <w:pPr>
              <w:spacing w:before="60" w:after="60" w:line="240" w:lineRule="auto"/>
              <w:rPr>
                <w:sz w:val="20"/>
              </w:rPr>
            </w:pPr>
            <w:r w:rsidRPr="000665B0">
              <w:rPr>
                <w:sz w:val="20"/>
              </w:rPr>
              <w:t>(</w:t>
            </w:r>
            <w:r w:rsidR="00932DDB" w:rsidRPr="000665B0">
              <w:rPr>
                <w:sz w:val="20"/>
              </w:rPr>
              <w:t>See Note 3</w:t>
            </w:r>
            <w:r w:rsidRPr="000665B0">
              <w:rPr>
                <w:sz w:val="20"/>
              </w:rPr>
              <w:t>)</w:t>
            </w:r>
          </w:p>
        </w:tc>
        <w:tc>
          <w:tcPr>
            <w:tcW w:w="2250" w:type="dxa"/>
          </w:tcPr>
          <w:p w14:paraId="22473604" w14:textId="2F998850" w:rsidR="00932DDB" w:rsidRPr="000665B0" w:rsidRDefault="00932DDB" w:rsidP="0056739E">
            <w:pPr>
              <w:spacing w:before="60" w:after="60" w:line="240" w:lineRule="auto"/>
              <w:rPr>
                <w:sz w:val="20"/>
              </w:rPr>
            </w:pPr>
            <w:r w:rsidRPr="000665B0">
              <w:rPr>
                <w:sz w:val="20"/>
              </w:rPr>
              <w:t>AuditTrace_*.</w:t>
            </w:r>
            <w:r w:rsidR="00C74B10" w:rsidRPr="000665B0">
              <w:rPr>
                <w:sz w:val="20"/>
              </w:rPr>
              <w:t>sqlaudit</w:t>
            </w:r>
          </w:p>
        </w:tc>
        <w:tc>
          <w:tcPr>
            <w:tcW w:w="418" w:type="dxa"/>
            <w:hideMark/>
          </w:tcPr>
          <w:p w14:paraId="20F00169" w14:textId="77777777" w:rsidR="00932DDB" w:rsidRPr="000665B0" w:rsidRDefault="00932DDB" w:rsidP="0056739E">
            <w:pPr>
              <w:spacing w:before="60" w:after="60" w:line="240" w:lineRule="auto"/>
              <w:jc w:val="center"/>
              <w:rPr>
                <w:sz w:val="20"/>
              </w:rPr>
            </w:pPr>
          </w:p>
        </w:tc>
        <w:tc>
          <w:tcPr>
            <w:tcW w:w="473" w:type="dxa"/>
            <w:hideMark/>
          </w:tcPr>
          <w:p w14:paraId="3272D756" w14:textId="77777777" w:rsidR="00932DDB" w:rsidRPr="000665B0" w:rsidRDefault="00932DDB" w:rsidP="0056739E">
            <w:pPr>
              <w:spacing w:before="60" w:after="60" w:line="240" w:lineRule="auto"/>
              <w:jc w:val="center"/>
              <w:rPr>
                <w:sz w:val="20"/>
              </w:rPr>
            </w:pPr>
          </w:p>
        </w:tc>
        <w:tc>
          <w:tcPr>
            <w:tcW w:w="473" w:type="dxa"/>
            <w:hideMark/>
          </w:tcPr>
          <w:p w14:paraId="7ABBCEF0" w14:textId="77777777" w:rsidR="00932DDB" w:rsidRPr="000665B0" w:rsidRDefault="00932DDB" w:rsidP="0056739E">
            <w:pPr>
              <w:spacing w:before="60" w:after="60" w:line="240" w:lineRule="auto"/>
              <w:jc w:val="center"/>
              <w:rPr>
                <w:sz w:val="20"/>
              </w:rPr>
            </w:pPr>
            <w:r w:rsidRPr="000665B0">
              <w:rPr>
                <w:sz w:val="20"/>
              </w:rPr>
              <w:t>x</w:t>
            </w:r>
          </w:p>
        </w:tc>
        <w:tc>
          <w:tcPr>
            <w:tcW w:w="473" w:type="dxa"/>
            <w:hideMark/>
          </w:tcPr>
          <w:p w14:paraId="11FEBF15" w14:textId="77777777" w:rsidR="00932DDB" w:rsidRPr="000665B0" w:rsidRDefault="00932DDB" w:rsidP="0056739E">
            <w:pPr>
              <w:spacing w:before="60" w:after="60" w:line="240" w:lineRule="auto"/>
              <w:jc w:val="center"/>
              <w:rPr>
                <w:sz w:val="20"/>
              </w:rPr>
            </w:pPr>
          </w:p>
        </w:tc>
        <w:tc>
          <w:tcPr>
            <w:tcW w:w="473" w:type="dxa"/>
            <w:hideMark/>
          </w:tcPr>
          <w:p w14:paraId="74F53FB3" w14:textId="77777777" w:rsidR="00932DDB" w:rsidRPr="000665B0" w:rsidRDefault="00932DDB" w:rsidP="0056739E">
            <w:pPr>
              <w:spacing w:before="60" w:after="60" w:line="240" w:lineRule="auto"/>
              <w:jc w:val="center"/>
              <w:rPr>
                <w:sz w:val="20"/>
              </w:rPr>
            </w:pPr>
          </w:p>
        </w:tc>
        <w:tc>
          <w:tcPr>
            <w:tcW w:w="473" w:type="dxa"/>
            <w:hideMark/>
          </w:tcPr>
          <w:p w14:paraId="7F99A345" w14:textId="77777777" w:rsidR="00932DDB" w:rsidRPr="000665B0" w:rsidRDefault="00932DDB" w:rsidP="0056739E">
            <w:pPr>
              <w:spacing w:before="60" w:after="60" w:line="240" w:lineRule="auto"/>
              <w:jc w:val="center"/>
              <w:rPr>
                <w:sz w:val="20"/>
              </w:rPr>
            </w:pPr>
          </w:p>
        </w:tc>
      </w:tr>
      <w:tr w:rsidR="00673242" w:rsidRPr="000665B0" w14:paraId="00A650A8" w14:textId="77777777" w:rsidTr="003F5937">
        <w:trPr>
          <w:trHeight w:val="504"/>
        </w:trPr>
        <w:tc>
          <w:tcPr>
            <w:tcW w:w="1612" w:type="dxa"/>
            <w:tcBorders>
              <w:top w:val="single" w:sz="4" w:space="0" w:color="auto"/>
              <w:left w:val="single" w:sz="4" w:space="0" w:color="auto"/>
              <w:bottom w:val="single" w:sz="4" w:space="0" w:color="auto"/>
              <w:right w:val="single" w:sz="4" w:space="0" w:color="auto"/>
            </w:tcBorders>
            <w:hideMark/>
          </w:tcPr>
          <w:p w14:paraId="6A21FF2C" w14:textId="77777777" w:rsidR="00673242" w:rsidRPr="000665B0" w:rsidRDefault="00673242" w:rsidP="0056739E">
            <w:pPr>
              <w:spacing w:before="60" w:after="60" w:line="240" w:lineRule="auto"/>
              <w:rPr>
                <w:sz w:val="20"/>
              </w:rPr>
            </w:pPr>
            <w:r w:rsidRPr="000665B0">
              <w:rPr>
                <w:sz w:val="20"/>
              </w:rPr>
              <w:t>McAfee ENS Log</w:t>
            </w:r>
          </w:p>
        </w:tc>
        <w:tc>
          <w:tcPr>
            <w:tcW w:w="3420" w:type="dxa"/>
            <w:tcBorders>
              <w:top w:val="single" w:sz="4" w:space="0" w:color="auto"/>
              <w:left w:val="single" w:sz="4" w:space="0" w:color="auto"/>
              <w:bottom w:val="single" w:sz="4" w:space="0" w:color="auto"/>
              <w:right w:val="single" w:sz="4" w:space="0" w:color="auto"/>
            </w:tcBorders>
            <w:hideMark/>
          </w:tcPr>
          <w:p w14:paraId="3547254F" w14:textId="77777777" w:rsidR="00673242" w:rsidRPr="000665B0" w:rsidRDefault="00673242" w:rsidP="0056739E">
            <w:pPr>
              <w:spacing w:before="60" w:after="60" w:line="240" w:lineRule="auto"/>
              <w:rPr>
                <w:sz w:val="20"/>
              </w:rPr>
            </w:pPr>
            <w:r w:rsidRPr="000665B0">
              <w:rPr>
                <w:sz w:val="20"/>
              </w:rPr>
              <w:t>C:\ProgramData\McAfee\Endpoint Security\Logs</w:t>
            </w:r>
          </w:p>
        </w:tc>
        <w:tc>
          <w:tcPr>
            <w:tcW w:w="2250" w:type="dxa"/>
            <w:tcBorders>
              <w:top w:val="single" w:sz="4" w:space="0" w:color="auto"/>
              <w:left w:val="single" w:sz="4" w:space="0" w:color="auto"/>
              <w:bottom w:val="single" w:sz="4" w:space="0" w:color="auto"/>
              <w:right w:val="single" w:sz="4" w:space="0" w:color="auto"/>
            </w:tcBorders>
            <w:hideMark/>
          </w:tcPr>
          <w:p w14:paraId="056F2583" w14:textId="77777777" w:rsidR="00673242" w:rsidRPr="000665B0" w:rsidRDefault="00673242" w:rsidP="0056739E">
            <w:pPr>
              <w:spacing w:before="60" w:after="60" w:line="240" w:lineRule="auto"/>
              <w:rPr>
                <w:sz w:val="20"/>
              </w:rPr>
            </w:pPr>
            <w:r w:rsidRPr="000665B0">
              <w:rPr>
                <w:sz w:val="20"/>
              </w:rPr>
              <w:t>*_Activity.log</w:t>
            </w:r>
          </w:p>
        </w:tc>
        <w:tc>
          <w:tcPr>
            <w:tcW w:w="418" w:type="dxa"/>
            <w:tcBorders>
              <w:top w:val="single" w:sz="4" w:space="0" w:color="auto"/>
              <w:left w:val="single" w:sz="4" w:space="0" w:color="auto"/>
              <w:bottom w:val="single" w:sz="4" w:space="0" w:color="auto"/>
              <w:right w:val="single" w:sz="4" w:space="0" w:color="auto"/>
            </w:tcBorders>
            <w:hideMark/>
          </w:tcPr>
          <w:p w14:paraId="13FED5F4" w14:textId="77777777" w:rsidR="00673242" w:rsidRPr="000665B0" w:rsidRDefault="00673242" w:rsidP="0056739E">
            <w:pPr>
              <w:spacing w:before="60" w:after="60" w:line="240" w:lineRule="auto"/>
              <w:jc w:val="center"/>
              <w:rPr>
                <w:sz w:val="20"/>
              </w:rPr>
            </w:pPr>
            <w:r w:rsidRPr="000665B0">
              <w:rPr>
                <w:sz w:val="20"/>
              </w:rPr>
              <w:t>x</w:t>
            </w:r>
          </w:p>
        </w:tc>
        <w:tc>
          <w:tcPr>
            <w:tcW w:w="473" w:type="dxa"/>
            <w:tcBorders>
              <w:top w:val="single" w:sz="4" w:space="0" w:color="auto"/>
              <w:left w:val="single" w:sz="4" w:space="0" w:color="auto"/>
              <w:bottom w:val="single" w:sz="4" w:space="0" w:color="auto"/>
              <w:right w:val="single" w:sz="4" w:space="0" w:color="auto"/>
            </w:tcBorders>
            <w:hideMark/>
          </w:tcPr>
          <w:p w14:paraId="3262B06F" w14:textId="77777777" w:rsidR="00673242" w:rsidRPr="000665B0" w:rsidRDefault="00673242" w:rsidP="0056739E">
            <w:pPr>
              <w:spacing w:before="60" w:after="60" w:line="240" w:lineRule="auto"/>
              <w:jc w:val="center"/>
              <w:rPr>
                <w:sz w:val="20"/>
              </w:rPr>
            </w:pPr>
            <w:r w:rsidRPr="000665B0">
              <w:rPr>
                <w:sz w:val="20"/>
              </w:rPr>
              <w:t>x</w:t>
            </w:r>
          </w:p>
        </w:tc>
        <w:tc>
          <w:tcPr>
            <w:tcW w:w="473" w:type="dxa"/>
            <w:tcBorders>
              <w:top w:val="single" w:sz="4" w:space="0" w:color="auto"/>
              <w:left w:val="single" w:sz="4" w:space="0" w:color="auto"/>
              <w:bottom w:val="single" w:sz="4" w:space="0" w:color="auto"/>
              <w:right w:val="single" w:sz="4" w:space="0" w:color="auto"/>
            </w:tcBorders>
            <w:hideMark/>
          </w:tcPr>
          <w:p w14:paraId="0F174E0C" w14:textId="77777777" w:rsidR="00673242" w:rsidRPr="000665B0" w:rsidRDefault="00673242" w:rsidP="0056739E">
            <w:pPr>
              <w:spacing w:before="60" w:after="60" w:line="240" w:lineRule="auto"/>
              <w:jc w:val="center"/>
              <w:rPr>
                <w:sz w:val="20"/>
              </w:rPr>
            </w:pPr>
            <w:r w:rsidRPr="000665B0">
              <w:rPr>
                <w:sz w:val="20"/>
              </w:rPr>
              <w:t>x</w:t>
            </w:r>
          </w:p>
        </w:tc>
        <w:tc>
          <w:tcPr>
            <w:tcW w:w="473" w:type="dxa"/>
            <w:tcBorders>
              <w:top w:val="single" w:sz="4" w:space="0" w:color="auto"/>
              <w:left w:val="single" w:sz="4" w:space="0" w:color="auto"/>
              <w:bottom w:val="single" w:sz="4" w:space="0" w:color="auto"/>
              <w:right w:val="single" w:sz="4" w:space="0" w:color="auto"/>
            </w:tcBorders>
            <w:hideMark/>
          </w:tcPr>
          <w:p w14:paraId="0C19CCEC" w14:textId="77777777" w:rsidR="00673242" w:rsidRPr="000665B0" w:rsidRDefault="00673242" w:rsidP="0056739E">
            <w:pPr>
              <w:spacing w:before="60" w:after="60" w:line="240" w:lineRule="auto"/>
              <w:jc w:val="center"/>
              <w:rPr>
                <w:sz w:val="20"/>
              </w:rPr>
            </w:pPr>
            <w:r w:rsidRPr="000665B0">
              <w:rPr>
                <w:sz w:val="20"/>
              </w:rPr>
              <w:t>x</w:t>
            </w:r>
          </w:p>
        </w:tc>
        <w:tc>
          <w:tcPr>
            <w:tcW w:w="473" w:type="dxa"/>
            <w:tcBorders>
              <w:top w:val="single" w:sz="4" w:space="0" w:color="auto"/>
              <w:left w:val="single" w:sz="4" w:space="0" w:color="auto"/>
              <w:bottom w:val="single" w:sz="4" w:space="0" w:color="auto"/>
              <w:right w:val="single" w:sz="4" w:space="0" w:color="auto"/>
            </w:tcBorders>
            <w:hideMark/>
          </w:tcPr>
          <w:p w14:paraId="54D733CE" w14:textId="77777777" w:rsidR="00673242" w:rsidRPr="000665B0" w:rsidRDefault="00673242" w:rsidP="0056739E">
            <w:pPr>
              <w:spacing w:before="60" w:after="60" w:line="240" w:lineRule="auto"/>
              <w:jc w:val="center"/>
              <w:rPr>
                <w:sz w:val="20"/>
              </w:rPr>
            </w:pPr>
            <w:r w:rsidRPr="000665B0">
              <w:rPr>
                <w:sz w:val="20"/>
              </w:rPr>
              <w:t>x</w:t>
            </w:r>
          </w:p>
        </w:tc>
        <w:tc>
          <w:tcPr>
            <w:tcW w:w="473" w:type="dxa"/>
            <w:tcBorders>
              <w:top w:val="single" w:sz="4" w:space="0" w:color="auto"/>
              <w:left w:val="single" w:sz="4" w:space="0" w:color="auto"/>
              <w:bottom w:val="single" w:sz="4" w:space="0" w:color="auto"/>
              <w:right w:val="single" w:sz="4" w:space="0" w:color="auto"/>
            </w:tcBorders>
            <w:hideMark/>
          </w:tcPr>
          <w:p w14:paraId="5EEB36E8" w14:textId="77777777" w:rsidR="00673242" w:rsidRPr="000665B0" w:rsidRDefault="00673242" w:rsidP="0056739E">
            <w:pPr>
              <w:spacing w:before="60" w:after="60" w:line="240" w:lineRule="auto"/>
              <w:jc w:val="center"/>
              <w:rPr>
                <w:sz w:val="20"/>
              </w:rPr>
            </w:pPr>
            <w:r w:rsidRPr="000665B0">
              <w:rPr>
                <w:sz w:val="20"/>
              </w:rPr>
              <w:t>x</w:t>
            </w:r>
          </w:p>
        </w:tc>
      </w:tr>
      <w:tr w:rsidR="00932DDB" w:rsidRPr="000665B0" w14:paraId="01BCAA3F" w14:textId="77777777" w:rsidTr="003F5937">
        <w:trPr>
          <w:trHeight w:val="255"/>
        </w:trPr>
        <w:tc>
          <w:tcPr>
            <w:tcW w:w="1612" w:type="dxa"/>
            <w:tcBorders>
              <w:bottom w:val="single" w:sz="4" w:space="0" w:color="auto"/>
            </w:tcBorders>
            <w:hideMark/>
          </w:tcPr>
          <w:p w14:paraId="027829B5" w14:textId="77777777" w:rsidR="00932DDB" w:rsidRPr="000665B0" w:rsidRDefault="00932DDB" w:rsidP="0056739E">
            <w:pPr>
              <w:spacing w:before="60" w:after="60" w:line="240" w:lineRule="auto"/>
              <w:rPr>
                <w:sz w:val="20"/>
              </w:rPr>
            </w:pPr>
            <w:r w:rsidRPr="000665B0">
              <w:rPr>
                <w:sz w:val="20"/>
              </w:rPr>
              <w:t>TCIP Audit Log</w:t>
            </w:r>
          </w:p>
        </w:tc>
        <w:tc>
          <w:tcPr>
            <w:tcW w:w="3420" w:type="dxa"/>
            <w:tcBorders>
              <w:bottom w:val="single" w:sz="4" w:space="0" w:color="auto"/>
            </w:tcBorders>
            <w:hideMark/>
          </w:tcPr>
          <w:p w14:paraId="56E4AE1D" w14:textId="77777777" w:rsidR="00932DDB" w:rsidRPr="000665B0" w:rsidRDefault="00932DDB" w:rsidP="0056739E">
            <w:pPr>
              <w:spacing w:before="60" w:after="60" w:line="240" w:lineRule="auto"/>
              <w:rPr>
                <w:sz w:val="20"/>
              </w:rPr>
            </w:pPr>
            <w:r w:rsidRPr="000665B0">
              <w:rPr>
                <w:sz w:val="20"/>
              </w:rPr>
              <w:t>See TCIP SUM</w:t>
            </w:r>
          </w:p>
        </w:tc>
        <w:tc>
          <w:tcPr>
            <w:tcW w:w="2250" w:type="dxa"/>
            <w:tcBorders>
              <w:bottom w:val="single" w:sz="4" w:space="0" w:color="auto"/>
            </w:tcBorders>
          </w:tcPr>
          <w:p w14:paraId="1DF87292" w14:textId="77777777" w:rsidR="00932DDB" w:rsidRPr="000665B0" w:rsidRDefault="00932DDB" w:rsidP="0056739E">
            <w:pPr>
              <w:spacing w:before="60" w:after="60" w:line="240" w:lineRule="auto"/>
              <w:jc w:val="center"/>
              <w:rPr>
                <w:sz w:val="20"/>
              </w:rPr>
            </w:pPr>
          </w:p>
        </w:tc>
        <w:tc>
          <w:tcPr>
            <w:tcW w:w="418" w:type="dxa"/>
            <w:tcBorders>
              <w:bottom w:val="single" w:sz="4" w:space="0" w:color="auto"/>
            </w:tcBorders>
            <w:hideMark/>
          </w:tcPr>
          <w:p w14:paraId="5F5001F6" w14:textId="77777777" w:rsidR="00932DDB" w:rsidRPr="000665B0" w:rsidRDefault="00932DDB" w:rsidP="0056739E">
            <w:pPr>
              <w:spacing w:before="60" w:after="60" w:line="240" w:lineRule="auto"/>
              <w:jc w:val="center"/>
              <w:rPr>
                <w:sz w:val="20"/>
              </w:rPr>
            </w:pPr>
          </w:p>
        </w:tc>
        <w:tc>
          <w:tcPr>
            <w:tcW w:w="473" w:type="dxa"/>
            <w:tcBorders>
              <w:bottom w:val="single" w:sz="4" w:space="0" w:color="auto"/>
            </w:tcBorders>
            <w:hideMark/>
          </w:tcPr>
          <w:p w14:paraId="1B6819AE" w14:textId="77777777" w:rsidR="00932DDB" w:rsidRPr="000665B0" w:rsidRDefault="00932DDB" w:rsidP="0056739E">
            <w:pPr>
              <w:spacing w:before="60" w:after="60" w:line="240" w:lineRule="auto"/>
              <w:jc w:val="center"/>
              <w:rPr>
                <w:sz w:val="20"/>
              </w:rPr>
            </w:pPr>
          </w:p>
        </w:tc>
        <w:tc>
          <w:tcPr>
            <w:tcW w:w="473" w:type="dxa"/>
            <w:tcBorders>
              <w:bottom w:val="single" w:sz="4" w:space="0" w:color="auto"/>
            </w:tcBorders>
            <w:hideMark/>
          </w:tcPr>
          <w:p w14:paraId="03ADDD7D" w14:textId="77777777" w:rsidR="00932DDB" w:rsidRPr="000665B0" w:rsidRDefault="00932DDB" w:rsidP="0056739E">
            <w:pPr>
              <w:spacing w:before="60" w:after="60" w:line="240" w:lineRule="auto"/>
              <w:jc w:val="center"/>
              <w:rPr>
                <w:sz w:val="20"/>
              </w:rPr>
            </w:pPr>
          </w:p>
        </w:tc>
        <w:tc>
          <w:tcPr>
            <w:tcW w:w="473" w:type="dxa"/>
            <w:tcBorders>
              <w:bottom w:val="single" w:sz="4" w:space="0" w:color="auto"/>
            </w:tcBorders>
            <w:hideMark/>
          </w:tcPr>
          <w:p w14:paraId="4016BD81" w14:textId="77777777" w:rsidR="00932DDB" w:rsidRPr="000665B0" w:rsidRDefault="00932DDB" w:rsidP="0056739E">
            <w:pPr>
              <w:spacing w:before="60" w:after="60" w:line="240" w:lineRule="auto"/>
              <w:jc w:val="center"/>
              <w:rPr>
                <w:sz w:val="20"/>
              </w:rPr>
            </w:pPr>
          </w:p>
        </w:tc>
        <w:tc>
          <w:tcPr>
            <w:tcW w:w="473" w:type="dxa"/>
            <w:tcBorders>
              <w:bottom w:val="single" w:sz="4" w:space="0" w:color="auto"/>
            </w:tcBorders>
            <w:hideMark/>
          </w:tcPr>
          <w:p w14:paraId="4370E770" w14:textId="77777777" w:rsidR="00932DDB" w:rsidRPr="000665B0" w:rsidRDefault="00932DDB" w:rsidP="0056739E">
            <w:pPr>
              <w:spacing w:before="60" w:after="60" w:line="240" w:lineRule="auto"/>
              <w:jc w:val="center"/>
              <w:rPr>
                <w:sz w:val="20"/>
              </w:rPr>
            </w:pPr>
          </w:p>
        </w:tc>
        <w:tc>
          <w:tcPr>
            <w:tcW w:w="473" w:type="dxa"/>
            <w:tcBorders>
              <w:bottom w:val="single" w:sz="4" w:space="0" w:color="auto"/>
            </w:tcBorders>
            <w:hideMark/>
          </w:tcPr>
          <w:p w14:paraId="5D6B8AE7" w14:textId="77777777" w:rsidR="00932DDB" w:rsidRPr="000665B0" w:rsidRDefault="00932DDB" w:rsidP="0056739E">
            <w:pPr>
              <w:spacing w:before="60" w:after="60" w:line="240" w:lineRule="auto"/>
              <w:jc w:val="center"/>
              <w:rPr>
                <w:sz w:val="20"/>
              </w:rPr>
            </w:pPr>
          </w:p>
        </w:tc>
      </w:tr>
      <w:tr w:rsidR="00132B82" w:rsidRPr="000665B0" w14:paraId="7BEB048C" w14:textId="77777777" w:rsidTr="003F5937">
        <w:trPr>
          <w:trHeight w:val="255"/>
        </w:trPr>
        <w:tc>
          <w:tcPr>
            <w:tcW w:w="10065" w:type="dxa"/>
            <w:gridSpan w:val="9"/>
            <w:tcBorders>
              <w:left w:val="nil"/>
              <w:bottom w:val="nil"/>
              <w:right w:val="nil"/>
            </w:tcBorders>
          </w:tcPr>
          <w:p w14:paraId="63F9CC41" w14:textId="77777777" w:rsidR="00132B82" w:rsidRPr="000665B0" w:rsidRDefault="00132B82" w:rsidP="0056739E">
            <w:pPr>
              <w:spacing w:before="60" w:after="60" w:line="240" w:lineRule="auto"/>
              <w:rPr>
                <w:sz w:val="20"/>
              </w:rPr>
            </w:pPr>
            <w:r w:rsidRPr="000665B0">
              <w:rPr>
                <w:b/>
                <w:sz w:val="20"/>
              </w:rPr>
              <w:t>Notes</w:t>
            </w:r>
            <w:r w:rsidRPr="000665B0">
              <w:rPr>
                <w:sz w:val="20"/>
              </w:rPr>
              <w:t>:</w:t>
            </w:r>
          </w:p>
          <w:p w14:paraId="011DC584" w14:textId="77777777" w:rsidR="00132B82" w:rsidRPr="000665B0" w:rsidRDefault="00132B82" w:rsidP="0056739E">
            <w:pPr>
              <w:spacing w:before="60" w:after="60" w:line="240" w:lineRule="auto"/>
              <w:rPr>
                <w:sz w:val="20"/>
              </w:rPr>
            </w:pPr>
            <w:r w:rsidRPr="000665B0">
              <w:rPr>
                <w:sz w:val="20"/>
              </w:rPr>
              <w:t>1: If installed with co-located ISAT.</w:t>
            </w:r>
          </w:p>
          <w:p w14:paraId="6E2EFBA4" w14:textId="77777777" w:rsidR="00132B82" w:rsidRPr="000665B0" w:rsidRDefault="00132B82" w:rsidP="0056739E">
            <w:pPr>
              <w:spacing w:before="60" w:after="60" w:line="240" w:lineRule="auto"/>
              <w:rPr>
                <w:sz w:val="20"/>
              </w:rPr>
            </w:pPr>
            <w:r w:rsidRPr="000665B0">
              <w:rPr>
                <w:sz w:val="20"/>
              </w:rPr>
              <w:t>2: If installed in a CSG server configuration.</w:t>
            </w:r>
          </w:p>
          <w:p w14:paraId="1B78C69B" w14:textId="77777777" w:rsidR="00132B82" w:rsidRPr="000665B0" w:rsidRDefault="00132B82" w:rsidP="0056739E">
            <w:pPr>
              <w:spacing w:before="60" w:after="60" w:line="240" w:lineRule="auto"/>
              <w:rPr>
                <w:sz w:val="20"/>
              </w:rPr>
            </w:pPr>
            <w:r w:rsidRPr="000665B0">
              <w:rPr>
                <w:sz w:val="20"/>
              </w:rPr>
              <w:t>3: SQL trace file paths are located in the Registry:</w:t>
            </w:r>
          </w:p>
          <w:p w14:paraId="32C648FE" w14:textId="0367E947" w:rsidR="00132B82" w:rsidRPr="000665B0" w:rsidRDefault="00132B82" w:rsidP="0056739E">
            <w:pPr>
              <w:spacing w:before="60" w:after="60" w:line="240" w:lineRule="auto"/>
              <w:rPr>
                <w:sz w:val="20"/>
              </w:rPr>
            </w:pPr>
            <w:r w:rsidRPr="000665B0">
              <w:rPr>
                <w:b/>
                <w:sz w:val="20"/>
              </w:rPr>
              <w:t>HKLM\Software\ComGlobal Systems\Logging\SQLTraceLogDirs</w:t>
            </w:r>
            <w:r w:rsidRPr="000665B0">
              <w:rPr>
                <w:sz w:val="20"/>
              </w:rPr>
              <w:t>. There will be a value (string) for the named SQL instance: TC2S, TPS, ISAT, BKUPEXEC or SQLEXPRESS.</w:t>
            </w:r>
          </w:p>
        </w:tc>
      </w:tr>
    </w:tbl>
    <w:p w14:paraId="340F4175" w14:textId="77777777" w:rsidR="00932DDB" w:rsidRPr="000665B0" w:rsidRDefault="00932DDB" w:rsidP="00932DDB">
      <w:pPr>
        <w:spacing w:after="0" w:line="240" w:lineRule="auto"/>
        <w:rPr>
          <w:sz w:val="20"/>
        </w:rPr>
      </w:pPr>
    </w:p>
    <w:p w14:paraId="484EFC7F" w14:textId="46BD1D17" w:rsidR="00932DDB" w:rsidRPr="000665B0" w:rsidRDefault="00932DDB" w:rsidP="008B745E">
      <w:r w:rsidRPr="000665B0">
        <w:t xml:space="preserve">The Application, Security and System audit log files managed via Event Viewer are configured with the property </w:t>
      </w:r>
      <w:r w:rsidR="00400BC7" w:rsidRPr="000665B0">
        <w:t>“</w:t>
      </w:r>
      <w:r w:rsidRPr="000665B0">
        <w:t>Archive the log when full, do not overwrite events.</w:t>
      </w:r>
      <w:r w:rsidR="00400BC7" w:rsidRPr="000665B0">
        <w:t>”</w:t>
      </w:r>
      <w:r w:rsidRPr="000665B0">
        <w:t xml:space="preserve"> Every time the current audit log is full (</w:t>
      </w:r>
      <w:r w:rsidR="003509EA" w:rsidRPr="000665B0">
        <w:t xml:space="preserve">i.e., </w:t>
      </w:r>
      <w:r w:rsidRPr="000665B0">
        <w:t xml:space="preserve">reaches maximum size as by defined its properties), the log will automatically be archived to a new file named </w:t>
      </w:r>
      <w:r w:rsidRPr="000665B0">
        <w:rPr>
          <w:b/>
        </w:rPr>
        <w:t>Archive-&lt;event log name&gt;-YYYY-MM-DD-*.evt</w:t>
      </w:r>
      <w:r w:rsidRPr="000665B0">
        <w:t xml:space="preserve"> and the current event log </w:t>
      </w:r>
      <w:r w:rsidR="00B62DF8" w:rsidRPr="000665B0">
        <w:t>is</w:t>
      </w:r>
      <w:r w:rsidRPr="000665B0">
        <w:t xml:space="preserve"> cleared.</w:t>
      </w:r>
    </w:p>
    <w:p w14:paraId="1939698F" w14:textId="5034A7D7" w:rsidR="00932DDB" w:rsidRPr="000665B0" w:rsidRDefault="00932DDB" w:rsidP="00932DDB">
      <w:r w:rsidRPr="000665B0">
        <w:t xml:space="preserve">SQL Server auditing </w:t>
      </w:r>
      <w:r w:rsidR="001D5273" w:rsidRPr="000665B0">
        <w:t>is also configured for</w:t>
      </w:r>
      <w:r w:rsidRPr="000665B0">
        <w:t xml:space="preserve"> </w:t>
      </w:r>
      <w:r w:rsidR="00400BC7" w:rsidRPr="000665B0">
        <w:t>“</w:t>
      </w:r>
      <w:r w:rsidRPr="000665B0">
        <w:t>archive when full</w:t>
      </w:r>
      <w:r w:rsidR="00400BC7" w:rsidRPr="000665B0">
        <w:t>”</w:t>
      </w:r>
      <w:r w:rsidRPr="000665B0">
        <w:t xml:space="preserve"> behavior. Every time the current SQL </w:t>
      </w:r>
      <w:r w:rsidR="005036F6" w:rsidRPr="000665B0">
        <w:t xml:space="preserve">Server audit log reaches a maximum of 500MB, a new audit </w:t>
      </w:r>
      <w:r w:rsidR="001D5273" w:rsidRPr="000665B0">
        <w:t xml:space="preserve">log </w:t>
      </w:r>
      <w:r w:rsidR="005036F6" w:rsidRPr="000665B0">
        <w:t>file is created, until there are 25 audit log</w:t>
      </w:r>
      <w:r w:rsidR="001D5273" w:rsidRPr="000665B0">
        <w:t xml:space="preserve"> file</w:t>
      </w:r>
      <w:r w:rsidR="005036F6" w:rsidRPr="000665B0">
        <w:t>s. Once there are 25 audit log</w:t>
      </w:r>
      <w:r w:rsidR="001D5273" w:rsidRPr="000665B0">
        <w:t xml:space="preserve"> files</w:t>
      </w:r>
      <w:r w:rsidR="005036F6" w:rsidRPr="000665B0">
        <w:t xml:space="preserve">, each new audit log file replaces the oldest file (the oldest file is </w:t>
      </w:r>
      <w:r w:rsidR="001D5273" w:rsidRPr="000665B0">
        <w:t>deleted</w:t>
      </w:r>
      <w:r w:rsidR="00554552" w:rsidRPr="000665B0">
        <w:t xml:space="preserve"> to maintain a maximum of 25 audit log</w:t>
      </w:r>
      <w:r w:rsidR="001D5273" w:rsidRPr="000665B0">
        <w:t xml:space="preserve"> file</w:t>
      </w:r>
      <w:r w:rsidR="00554552" w:rsidRPr="000665B0">
        <w:t>s</w:t>
      </w:r>
      <w:r w:rsidR="005036F6" w:rsidRPr="000665B0">
        <w:t>). It is each site’s responsibility to monitor the SQL Server audit log</w:t>
      </w:r>
      <w:r w:rsidR="001D5273" w:rsidRPr="000665B0">
        <w:t xml:space="preserve"> file</w:t>
      </w:r>
      <w:r w:rsidR="005036F6" w:rsidRPr="000665B0">
        <w:t xml:space="preserve">s so that they can be archived and removed before they are </w:t>
      </w:r>
      <w:r w:rsidR="001D5273" w:rsidRPr="000665B0">
        <w:t>deleted</w:t>
      </w:r>
      <w:r w:rsidR="005036F6" w:rsidRPr="000665B0">
        <w:t>.</w:t>
      </w:r>
    </w:p>
    <w:p w14:paraId="4A93491F" w14:textId="58115446" w:rsidR="00932DDB" w:rsidRPr="000665B0" w:rsidRDefault="00932DDB" w:rsidP="00D62233">
      <w:pPr>
        <w:pStyle w:val="Appendix5"/>
      </w:pPr>
      <w:bookmarkStart w:id="8233" w:name="Archive_Audit_Logs"/>
      <w:bookmarkEnd w:id="8233"/>
      <w:r w:rsidRPr="000665B0">
        <w:t>Archive Audit Logs</w:t>
      </w:r>
    </w:p>
    <w:p w14:paraId="0F69109E" w14:textId="5202A3CB" w:rsidR="00932DDB" w:rsidRPr="000665B0" w:rsidRDefault="00932DDB" w:rsidP="00AE53CA">
      <w:pPr>
        <w:spacing w:after="0"/>
      </w:pPr>
      <w:r w:rsidRPr="000665B0">
        <w:t>Audit logs should be archived weekly. Archival of the logs on a weekly basis will minimize the risk of reaching a “file space full” condition.</w:t>
      </w:r>
      <w:r w:rsidR="009651B0">
        <w:t xml:space="preserve"> </w:t>
      </w:r>
    </w:p>
    <w:p w14:paraId="4CAF3585" w14:textId="4E7F24BB" w:rsidR="00932DDB" w:rsidRPr="000665B0" w:rsidRDefault="00932DDB" w:rsidP="00AE53CA">
      <w:pPr>
        <w:spacing w:before="240"/>
      </w:pPr>
      <w:r w:rsidRPr="000665B0">
        <w:rPr>
          <w:szCs w:val="24"/>
        </w:rPr>
        <w:t xml:space="preserve">The </w:t>
      </w:r>
      <w:r w:rsidRPr="000665B0">
        <w:rPr>
          <w:b/>
          <w:szCs w:val="24"/>
        </w:rPr>
        <w:t>C:\Windows\System32\Winevt\Logs</w:t>
      </w:r>
      <w:r w:rsidRPr="000665B0">
        <w:rPr>
          <w:szCs w:val="24"/>
        </w:rPr>
        <w:t xml:space="preserve"> </w:t>
      </w:r>
      <w:r w:rsidRPr="000665B0">
        <w:t>directory where these files are located has restricted permissions and cannot be accessed directly via WinZip. Copy the current event file and move the archived files to a directory that is accessible by WinZip</w:t>
      </w:r>
      <w:r w:rsidR="00400BC7" w:rsidRPr="000665B0">
        <w:t xml:space="preserve">; </w:t>
      </w:r>
      <w:r w:rsidRPr="000665B0">
        <w:t xml:space="preserve">then use WinZip to archive the </w:t>
      </w:r>
      <w:r w:rsidR="000A7E71" w:rsidRPr="000665B0">
        <w:t>Audit L</w:t>
      </w:r>
      <w:r w:rsidRPr="000665B0">
        <w:t>og</w:t>
      </w:r>
      <w:r w:rsidR="000A7E71" w:rsidRPr="000665B0">
        <w:t xml:space="preserve"> File</w:t>
      </w:r>
      <w:r w:rsidRPr="000665B0">
        <w:t xml:space="preserve">s </w:t>
      </w:r>
      <w:r w:rsidR="000A7E71" w:rsidRPr="000665B0">
        <w:t>(see</w:t>
      </w:r>
      <w:r w:rsidRPr="000665B0">
        <w:t xml:space="preserve"> </w:t>
      </w:r>
      <w:hyperlink w:anchor="Audit_Log_Files" w:history="1">
        <w:r w:rsidR="006E764B" w:rsidRPr="000665B0">
          <w:rPr>
            <w:rStyle w:val="Hyperlink"/>
          </w:rPr>
          <w:t xml:space="preserve">Section </w:t>
        </w:r>
        <w:r w:rsidR="00093C35" w:rsidRPr="000665B0">
          <w:rPr>
            <w:rStyle w:val="Hyperlink"/>
            <w:szCs w:val="24"/>
          </w:rPr>
          <w:t>Q</w:t>
        </w:r>
        <w:r w:rsidR="00313130" w:rsidRPr="000665B0">
          <w:rPr>
            <w:rStyle w:val="Hyperlink"/>
            <w:szCs w:val="24"/>
          </w:rPr>
          <w:t>.</w:t>
        </w:r>
        <w:r w:rsidR="006E764B" w:rsidRPr="000665B0">
          <w:rPr>
            <w:rStyle w:val="Hyperlink"/>
            <w:szCs w:val="24"/>
          </w:rPr>
          <w:t>5.1</w:t>
        </w:r>
        <w:r w:rsidR="006E764B" w:rsidRPr="000665B0">
          <w:rPr>
            <w:rStyle w:val="Hyperlink"/>
          </w:rPr>
          <w:t>.1</w:t>
        </w:r>
      </w:hyperlink>
      <w:r w:rsidR="001C6098">
        <w:t>).</w:t>
      </w:r>
      <w:r w:rsidRPr="000665B0">
        <w:t xml:space="preserve"> </w:t>
      </w:r>
      <w:r w:rsidR="000A7E71" w:rsidRPr="000665B0">
        <w:t xml:space="preserve">See </w:t>
      </w:r>
      <w:hyperlink w:anchor="Using_WinZip" w:history="1">
        <w:r w:rsidRPr="000665B0">
          <w:rPr>
            <w:rStyle w:val="Hyperlink"/>
          </w:rPr>
          <w:t xml:space="preserve">Section </w:t>
        </w:r>
        <w:r w:rsidR="00093C35" w:rsidRPr="000665B0">
          <w:rPr>
            <w:rStyle w:val="Hyperlink"/>
          </w:rPr>
          <w:t>Q</w:t>
        </w:r>
        <w:r w:rsidR="00313130" w:rsidRPr="000665B0">
          <w:rPr>
            <w:rStyle w:val="Hyperlink"/>
          </w:rPr>
          <w:t>.</w:t>
        </w:r>
        <w:r w:rsidRPr="000665B0">
          <w:rPr>
            <w:rStyle w:val="Hyperlink"/>
          </w:rPr>
          <w:t>3.3</w:t>
        </w:r>
      </w:hyperlink>
      <w:r w:rsidR="000A7E71" w:rsidRPr="000665B0">
        <w:t xml:space="preserve"> for information about using</w:t>
      </w:r>
      <w:r w:rsidR="000A7E71" w:rsidRPr="000665B0">
        <w:rPr>
          <w:rStyle w:val="Hyperlink"/>
          <w:u w:val="none"/>
        </w:rPr>
        <w:t xml:space="preserve"> </w:t>
      </w:r>
      <w:r w:rsidR="000A7E71" w:rsidRPr="000665B0">
        <w:t>WinZip</w:t>
      </w:r>
      <w:r w:rsidRPr="000665B0">
        <w:t>.</w:t>
      </w:r>
      <w:r w:rsidR="009651B0">
        <w:t xml:space="preserve"> </w:t>
      </w:r>
    </w:p>
    <w:p w14:paraId="78A50B07" w14:textId="5B44C8BB" w:rsidR="00932DDB" w:rsidRPr="000665B0" w:rsidRDefault="00932DDB" w:rsidP="001F4B14">
      <w:pPr>
        <w:pStyle w:val="Appendix5"/>
      </w:pPr>
      <w:r w:rsidRPr="000665B0">
        <w:lastRenderedPageBreak/>
        <w:t>Delete</w:t>
      </w:r>
      <w:r w:rsidR="00985CEF" w:rsidRPr="000665B0">
        <w:t>/</w:t>
      </w:r>
      <w:r w:rsidRPr="000665B0">
        <w:t>Clear Audit Logs</w:t>
      </w:r>
    </w:p>
    <w:p w14:paraId="6EA4F1F8" w14:textId="77777777" w:rsidR="00932DDB" w:rsidRPr="000665B0" w:rsidRDefault="00932DDB" w:rsidP="008C3FDE">
      <w:r w:rsidRPr="000665B0">
        <w:t>Once the audit logs have been successfully archived, the log files not currently in use can be deleted from the system to recover free disk space.</w:t>
      </w:r>
    </w:p>
    <w:p w14:paraId="48E39C9F" w14:textId="2CEBABDA" w:rsidR="00932DDB" w:rsidRPr="000665B0" w:rsidRDefault="00932DDB" w:rsidP="00932DDB">
      <w:pPr>
        <w:spacing w:after="0"/>
      </w:pPr>
      <w:r w:rsidRPr="000665B0">
        <w:t>Use Windows</w:t>
      </w:r>
      <w:r w:rsidR="00B75554" w:rsidRPr="000665B0">
        <w:t xml:space="preserve"> File</w:t>
      </w:r>
      <w:r w:rsidRPr="000665B0">
        <w:t xml:space="preserve"> Explorer to navigate to the path and delete the </w:t>
      </w:r>
      <w:r w:rsidR="000A7E71" w:rsidRPr="000665B0">
        <w:t>Audit Log Files (see</w:t>
      </w:r>
      <w:r w:rsidRPr="000665B0">
        <w:t xml:space="preserve"> </w:t>
      </w:r>
      <w:hyperlink w:anchor="Audit_Log_Files" w:history="1">
        <w:r w:rsidR="006E764B" w:rsidRPr="000665B0">
          <w:rPr>
            <w:rStyle w:val="Hyperlink"/>
          </w:rPr>
          <w:t xml:space="preserve">Section </w:t>
        </w:r>
        <w:r w:rsidR="00093C35" w:rsidRPr="000665B0">
          <w:rPr>
            <w:rStyle w:val="Hyperlink"/>
          </w:rPr>
          <w:t>Q</w:t>
        </w:r>
        <w:r w:rsidR="00313130" w:rsidRPr="000665B0">
          <w:rPr>
            <w:rStyle w:val="Hyperlink"/>
          </w:rPr>
          <w:t>.</w:t>
        </w:r>
        <w:r w:rsidR="006E764B" w:rsidRPr="000665B0">
          <w:rPr>
            <w:rStyle w:val="Hyperlink"/>
          </w:rPr>
          <w:t>5.1.1</w:t>
        </w:r>
      </w:hyperlink>
      <w:r w:rsidR="001C6098">
        <w:t>).</w:t>
      </w:r>
      <w:r w:rsidRPr="000665B0">
        <w:t xml:space="preserve"> If the log files were moved to a new directory for zipping, delete the files located in the new directory. Do not select/delete the current log file: </w:t>
      </w:r>
      <w:r w:rsidRPr="000665B0">
        <w:rPr>
          <w:b/>
        </w:rPr>
        <w:t>Application.evtx</w:t>
      </w:r>
      <w:r w:rsidRPr="000665B0">
        <w:t xml:space="preserve">, </w:t>
      </w:r>
      <w:r w:rsidRPr="000665B0">
        <w:rPr>
          <w:b/>
        </w:rPr>
        <w:t>Security.evtx</w:t>
      </w:r>
      <w:r w:rsidRPr="000665B0">
        <w:t xml:space="preserve">, </w:t>
      </w:r>
      <w:r w:rsidRPr="000665B0">
        <w:rPr>
          <w:b/>
        </w:rPr>
        <w:t>System.evtx</w:t>
      </w:r>
      <w:r w:rsidRPr="000665B0">
        <w:t xml:space="preserve">, most recently dated </w:t>
      </w:r>
      <w:r w:rsidRPr="000665B0">
        <w:rPr>
          <w:b/>
        </w:rPr>
        <w:t>AuditTrace*.</w:t>
      </w:r>
      <w:r w:rsidR="00C74B10" w:rsidRPr="000665B0">
        <w:rPr>
          <w:b/>
        </w:rPr>
        <w:t>sqlaudit</w:t>
      </w:r>
      <w:r w:rsidR="00400BC7" w:rsidRPr="000665B0">
        <w:t>,</w:t>
      </w:r>
      <w:r w:rsidRPr="000665B0">
        <w:t xml:space="preserve"> or most recently dated </w:t>
      </w:r>
      <w:r w:rsidRPr="000665B0">
        <w:rPr>
          <w:b/>
        </w:rPr>
        <w:t>*.log</w:t>
      </w:r>
      <w:r w:rsidRPr="000665B0">
        <w:t xml:space="preserve"> file located in </w:t>
      </w:r>
      <w:r w:rsidRPr="000665B0">
        <w:rPr>
          <w:b/>
          <w:szCs w:val="24"/>
        </w:rPr>
        <w:t>C:\Windows\System32\Winevt\Logs</w:t>
      </w:r>
      <w:r w:rsidRPr="000665B0">
        <w:rPr>
          <w:szCs w:val="24"/>
        </w:rPr>
        <w:t xml:space="preserve">. The data in </w:t>
      </w:r>
      <w:r w:rsidR="00167CB3" w:rsidRPr="000665B0">
        <w:rPr>
          <w:szCs w:val="24"/>
        </w:rPr>
        <w:t>the current event log</w:t>
      </w:r>
      <w:r w:rsidRPr="000665B0">
        <w:rPr>
          <w:szCs w:val="24"/>
        </w:rPr>
        <w:t xml:space="preserve"> files </w:t>
      </w:r>
      <w:r w:rsidR="00167CB3" w:rsidRPr="000665B0">
        <w:rPr>
          <w:szCs w:val="24"/>
        </w:rPr>
        <w:t>can</w:t>
      </w:r>
      <w:r w:rsidRPr="000665B0">
        <w:rPr>
          <w:szCs w:val="24"/>
        </w:rPr>
        <w:t xml:space="preserve"> be cleared using Event Viewer. </w:t>
      </w:r>
      <w:r w:rsidR="000A7E71" w:rsidRPr="000665B0">
        <w:t xml:space="preserve">See </w:t>
      </w:r>
      <w:hyperlink w:anchor="Using_Event_Viewer" w:history="1">
        <w:r w:rsidR="008D3E9F" w:rsidRPr="000665B0">
          <w:rPr>
            <w:rStyle w:val="Hyperlink"/>
          </w:rPr>
          <w:t>S</w:t>
        </w:r>
        <w:r w:rsidRPr="000665B0">
          <w:rPr>
            <w:rStyle w:val="Hyperlink"/>
          </w:rPr>
          <w:t xml:space="preserve">ection </w:t>
        </w:r>
        <w:r w:rsidR="00093C35" w:rsidRPr="000665B0">
          <w:rPr>
            <w:rStyle w:val="Hyperlink"/>
          </w:rPr>
          <w:t>Q</w:t>
        </w:r>
        <w:r w:rsidR="00313130" w:rsidRPr="000665B0">
          <w:rPr>
            <w:rStyle w:val="Hyperlink"/>
          </w:rPr>
          <w:t>.</w:t>
        </w:r>
        <w:r w:rsidRPr="000665B0">
          <w:rPr>
            <w:rStyle w:val="Hyperlink"/>
          </w:rPr>
          <w:t>3.4</w:t>
        </w:r>
      </w:hyperlink>
      <w:r w:rsidR="000A7E71" w:rsidRPr="000665B0">
        <w:t xml:space="preserve"> for information about using Event Viewer.</w:t>
      </w:r>
    </w:p>
    <w:p w14:paraId="5EFC5E65" w14:textId="78D59076" w:rsidR="00932DDB" w:rsidRPr="000665B0" w:rsidRDefault="00982A28" w:rsidP="001F4B14">
      <w:pPr>
        <w:pStyle w:val="Appendix4"/>
        <w:keepNext w:val="0"/>
        <w:ind w:left="360"/>
      </w:pPr>
      <w:bookmarkStart w:id="8234" w:name="Application_Log_Files"/>
      <w:bookmarkEnd w:id="8234"/>
      <w:r w:rsidRPr="000665B0">
        <w:t xml:space="preserve">TMPC </w:t>
      </w:r>
      <w:r w:rsidR="00932DDB" w:rsidRPr="000665B0">
        <w:t>Application Log Files</w:t>
      </w:r>
    </w:p>
    <w:p w14:paraId="12BE3258" w14:textId="59C7550F" w:rsidR="005145EC" w:rsidRPr="000665B0" w:rsidRDefault="00932DDB" w:rsidP="001F4B14">
      <w:r w:rsidRPr="000665B0">
        <w:t xml:space="preserve">The </w:t>
      </w:r>
      <w:r w:rsidR="00982A28" w:rsidRPr="000665B0">
        <w:t xml:space="preserve">TMPC </w:t>
      </w:r>
      <w:r w:rsidRPr="000665B0">
        <w:t>application logs describe an event or task. An event can be an error or a benign informational log describing an event that has occurred.</w:t>
      </w:r>
      <w:r w:rsidR="009651B0">
        <w:t xml:space="preserve"> </w:t>
      </w:r>
    </w:p>
    <w:p w14:paraId="259E11CB" w14:textId="77777777" w:rsidR="00932DDB" w:rsidRPr="000665B0" w:rsidRDefault="005145EC" w:rsidP="001F4B14">
      <w:r w:rsidRPr="000665B0">
        <w:t>The backup/deletion frequency of these files is discretionary; there is no DoD specified requirement. Each site may decide to retain these files for reconstruction purposes.</w:t>
      </w:r>
    </w:p>
    <w:tbl>
      <w:tblPr>
        <w:tblW w:w="953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3"/>
        <w:gridCol w:w="3489"/>
        <w:gridCol w:w="478"/>
        <w:gridCol w:w="6"/>
        <w:gridCol w:w="467"/>
        <w:gridCol w:w="6"/>
        <w:gridCol w:w="467"/>
        <w:gridCol w:w="6"/>
        <w:gridCol w:w="467"/>
        <w:gridCol w:w="6"/>
        <w:gridCol w:w="467"/>
        <w:gridCol w:w="6"/>
        <w:gridCol w:w="414"/>
      </w:tblGrid>
      <w:tr w:rsidR="00FF28DB" w:rsidRPr="000665B0" w14:paraId="4CDC430A" w14:textId="77777777" w:rsidTr="00536CE7">
        <w:trPr>
          <w:trHeight w:val="475"/>
          <w:tblHeader/>
        </w:trPr>
        <w:tc>
          <w:tcPr>
            <w:tcW w:w="9532" w:type="dxa"/>
            <w:gridSpan w:val="13"/>
            <w:shd w:val="clear" w:color="000000" w:fill="D9D9D9"/>
            <w:vAlign w:val="bottom"/>
          </w:tcPr>
          <w:p w14:paraId="3C1D5896" w14:textId="4F170A06" w:rsidR="00FF28DB" w:rsidRPr="000665B0" w:rsidRDefault="00093C35" w:rsidP="0056739E">
            <w:pPr>
              <w:spacing w:before="60" w:after="60"/>
              <w:rPr>
                <w:b/>
              </w:rPr>
            </w:pPr>
            <w:r w:rsidRPr="000665B0">
              <w:rPr>
                <w:b/>
              </w:rPr>
              <w:t>Q</w:t>
            </w:r>
            <w:r w:rsidR="001E137B" w:rsidRPr="000665B0">
              <w:rPr>
                <w:b/>
              </w:rPr>
              <w:t>.</w:t>
            </w:r>
            <w:r w:rsidR="00FF28DB" w:rsidRPr="000665B0">
              <w:rPr>
                <w:b/>
              </w:rPr>
              <w:t>5.1.2</w:t>
            </w:r>
            <w:r w:rsidR="009651B0">
              <w:rPr>
                <w:b/>
              </w:rPr>
              <w:t xml:space="preserve"> </w:t>
            </w:r>
            <w:r w:rsidR="00982A28" w:rsidRPr="000665B0">
              <w:rPr>
                <w:b/>
              </w:rPr>
              <w:t xml:space="preserve">TMPC </w:t>
            </w:r>
            <w:r w:rsidR="00FF28DB" w:rsidRPr="000665B0">
              <w:rPr>
                <w:b/>
              </w:rPr>
              <w:t>Application Log Files</w:t>
            </w:r>
          </w:p>
        </w:tc>
      </w:tr>
      <w:tr w:rsidR="00932DDB" w:rsidRPr="000665B0" w14:paraId="1F906761" w14:textId="77777777" w:rsidTr="00536CE7">
        <w:trPr>
          <w:trHeight w:val="1952"/>
          <w:tblHeader/>
        </w:trPr>
        <w:tc>
          <w:tcPr>
            <w:tcW w:w="3255" w:type="dxa"/>
            <w:shd w:val="clear" w:color="000000" w:fill="D9D9D9"/>
            <w:vAlign w:val="bottom"/>
            <w:hideMark/>
          </w:tcPr>
          <w:p w14:paraId="3904BA97" w14:textId="77777777" w:rsidR="00932DDB" w:rsidRPr="000665B0" w:rsidRDefault="00932DDB" w:rsidP="0056739E">
            <w:pPr>
              <w:spacing w:before="60" w:after="60" w:line="240" w:lineRule="auto"/>
              <w:rPr>
                <w:b/>
                <w:bCs/>
                <w:sz w:val="20"/>
              </w:rPr>
            </w:pPr>
            <w:r w:rsidRPr="000665B0">
              <w:rPr>
                <w:b/>
                <w:bCs/>
                <w:sz w:val="20"/>
              </w:rPr>
              <w:t>Description</w:t>
            </w:r>
          </w:p>
        </w:tc>
        <w:tc>
          <w:tcPr>
            <w:tcW w:w="3487" w:type="dxa"/>
            <w:shd w:val="clear" w:color="000000" w:fill="D9D9D9"/>
            <w:vAlign w:val="bottom"/>
            <w:hideMark/>
          </w:tcPr>
          <w:p w14:paraId="0576F22C" w14:textId="77777777" w:rsidR="00932DDB" w:rsidRPr="000665B0" w:rsidRDefault="00932DDB" w:rsidP="0056739E">
            <w:pPr>
              <w:spacing w:before="60" w:after="60" w:line="240" w:lineRule="auto"/>
              <w:rPr>
                <w:b/>
                <w:bCs/>
                <w:sz w:val="20"/>
              </w:rPr>
            </w:pPr>
            <w:r w:rsidRPr="000665B0">
              <w:rPr>
                <w:b/>
                <w:bCs/>
                <w:sz w:val="20"/>
              </w:rPr>
              <w:t>Path</w:t>
            </w:r>
          </w:p>
        </w:tc>
        <w:tc>
          <w:tcPr>
            <w:tcW w:w="484" w:type="dxa"/>
            <w:gridSpan w:val="2"/>
            <w:shd w:val="clear" w:color="000000" w:fill="D9D9D9"/>
            <w:textDirection w:val="btLr"/>
            <w:vAlign w:val="bottom"/>
            <w:hideMark/>
          </w:tcPr>
          <w:p w14:paraId="3F35481E" w14:textId="77777777" w:rsidR="00932DDB" w:rsidRPr="000665B0" w:rsidRDefault="00395432" w:rsidP="0056739E">
            <w:pPr>
              <w:spacing w:before="60" w:after="60" w:line="240" w:lineRule="auto"/>
              <w:rPr>
                <w:b/>
                <w:bCs/>
                <w:sz w:val="20"/>
              </w:rPr>
            </w:pPr>
            <w:r w:rsidRPr="000665B0">
              <w:rPr>
                <w:b/>
                <w:bCs/>
                <w:sz w:val="20"/>
              </w:rPr>
              <w:t>Standalone MDS</w:t>
            </w:r>
            <w:r w:rsidR="00932DDB" w:rsidRPr="000665B0">
              <w:rPr>
                <w:b/>
                <w:bCs/>
                <w:sz w:val="20"/>
              </w:rPr>
              <w:t>/FRU</w:t>
            </w:r>
          </w:p>
        </w:tc>
        <w:tc>
          <w:tcPr>
            <w:tcW w:w="473" w:type="dxa"/>
            <w:gridSpan w:val="2"/>
            <w:shd w:val="clear" w:color="000000" w:fill="D9D9D9"/>
            <w:textDirection w:val="btLr"/>
            <w:vAlign w:val="bottom"/>
            <w:hideMark/>
          </w:tcPr>
          <w:p w14:paraId="7A1C8155" w14:textId="77777777" w:rsidR="00932DDB" w:rsidRPr="000665B0" w:rsidRDefault="00932DDB" w:rsidP="0056739E">
            <w:pPr>
              <w:spacing w:before="60" w:after="60" w:line="240" w:lineRule="auto"/>
              <w:rPr>
                <w:b/>
                <w:bCs/>
                <w:sz w:val="20"/>
              </w:rPr>
            </w:pPr>
            <w:r w:rsidRPr="000665B0">
              <w:rPr>
                <w:b/>
                <w:bCs/>
                <w:sz w:val="20"/>
              </w:rPr>
              <w:t>CSG MDS</w:t>
            </w:r>
          </w:p>
        </w:tc>
        <w:tc>
          <w:tcPr>
            <w:tcW w:w="473" w:type="dxa"/>
            <w:gridSpan w:val="2"/>
            <w:shd w:val="clear" w:color="000000" w:fill="D9D9D9"/>
            <w:textDirection w:val="btLr"/>
            <w:vAlign w:val="bottom"/>
            <w:hideMark/>
          </w:tcPr>
          <w:p w14:paraId="329AA34C" w14:textId="77777777" w:rsidR="00932DDB" w:rsidRPr="000665B0" w:rsidRDefault="00932DDB" w:rsidP="0056739E">
            <w:pPr>
              <w:spacing w:before="60" w:after="60" w:line="240" w:lineRule="auto"/>
              <w:rPr>
                <w:b/>
                <w:bCs/>
                <w:sz w:val="20"/>
              </w:rPr>
            </w:pPr>
            <w:r w:rsidRPr="000665B0">
              <w:rPr>
                <w:b/>
                <w:bCs/>
                <w:sz w:val="20"/>
              </w:rPr>
              <w:t>CSG TED</w:t>
            </w:r>
          </w:p>
        </w:tc>
        <w:tc>
          <w:tcPr>
            <w:tcW w:w="473" w:type="dxa"/>
            <w:gridSpan w:val="2"/>
            <w:shd w:val="clear" w:color="000000" w:fill="D9D9D9"/>
            <w:textDirection w:val="btLr"/>
            <w:vAlign w:val="bottom"/>
            <w:hideMark/>
          </w:tcPr>
          <w:p w14:paraId="7177798A" w14:textId="77777777" w:rsidR="00932DDB" w:rsidRPr="000665B0" w:rsidRDefault="00932DDB" w:rsidP="0056739E">
            <w:pPr>
              <w:spacing w:before="60" w:after="60" w:line="240" w:lineRule="auto"/>
              <w:rPr>
                <w:b/>
                <w:bCs/>
                <w:sz w:val="20"/>
              </w:rPr>
            </w:pPr>
            <w:r w:rsidRPr="000665B0">
              <w:rPr>
                <w:b/>
                <w:bCs/>
                <w:sz w:val="20"/>
              </w:rPr>
              <w:t>CMSA/TSMPC MDS</w:t>
            </w:r>
          </w:p>
        </w:tc>
        <w:tc>
          <w:tcPr>
            <w:tcW w:w="473" w:type="dxa"/>
            <w:gridSpan w:val="2"/>
            <w:shd w:val="clear" w:color="000000" w:fill="D9D9D9"/>
            <w:textDirection w:val="btLr"/>
            <w:vAlign w:val="bottom"/>
            <w:hideMark/>
          </w:tcPr>
          <w:p w14:paraId="0F7EA8A9" w14:textId="77777777" w:rsidR="00932DDB" w:rsidRPr="000665B0" w:rsidRDefault="00932DDB" w:rsidP="0056739E">
            <w:pPr>
              <w:spacing w:before="60" w:after="60" w:line="240" w:lineRule="auto"/>
              <w:rPr>
                <w:b/>
                <w:bCs/>
                <w:sz w:val="20"/>
              </w:rPr>
            </w:pPr>
            <w:r w:rsidRPr="000665B0">
              <w:rPr>
                <w:b/>
                <w:bCs/>
                <w:sz w:val="20"/>
              </w:rPr>
              <w:t>CMSA/TSMPC DB</w:t>
            </w:r>
          </w:p>
        </w:tc>
        <w:tc>
          <w:tcPr>
            <w:tcW w:w="414" w:type="dxa"/>
            <w:shd w:val="clear" w:color="000000" w:fill="D9D9D9"/>
            <w:textDirection w:val="btLr"/>
            <w:vAlign w:val="bottom"/>
            <w:hideMark/>
          </w:tcPr>
          <w:p w14:paraId="091902E3" w14:textId="77777777" w:rsidR="00932DDB" w:rsidRPr="000665B0" w:rsidRDefault="00932DDB" w:rsidP="0056739E">
            <w:pPr>
              <w:spacing w:before="60" w:after="60" w:line="240" w:lineRule="auto"/>
              <w:rPr>
                <w:b/>
                <w:bCs/>
                <w:sz w:val="20"/>
              </w:rPr>
            </w:pPr>
            <w:r w:rsidRPr="000665B0">
              <w:rPr>
                <w:b/>
                <w:bCs/>
                <w:sz w:val="20"/>
              </w:rPr>
              <w:t>CMSA/TSMPC TED</w:t>
            </w:r>
          </w:p>
        </w:tc>
      </w:tr>
      <w:tr w:rsidR="00932DDB" w:rsidRPr="000665B0" w14:paraId="5F41167C" w14:textId="77777777" w:rsidTr="00536CE7">
        <w:trPr>
          <w:trHeight w:val="510"/>
        </w:trPr>
        <w:tc>
          <w:tcPr>
            <w:tcW w:w="3255" w:type="dxa"/>
            <w:hideMark/>
          </w:tcPr>
          <w:p w14:paraId="01DAAE76" w14:textId="77777777" w:rsidR="00932DDB" w:rsidRPr="000665B0" w:rsidRDefault="00932DDB" w:rsidP="0056739E">
            <w:pPr>
              <w:spacing w:before="60" w:after="60" w:line="240" w:lineRule="auto"/>
              <w:rPr>
                <w:sz w:val="20"/>
              </w:rPr>
            </w:pPr>
            <w:r w:rsidRPr="000665B0">
              <w:rPr>
                <w:sz w:val="20"/>
              </w:rPr>
              <w:t>Archived MdsErrorLog</w:t>
            </w:r>
          </w:p>
        </w:tc>
        <w:tc>
          <w:tcPr>
            <w:tcW w:w="3487" w:type="dxa"/>
            <w:hideMark/>
          </w:tcPr>
          <w:p w14:paraId="3D639D83" w14:textId="77777777" w:rsidR="00932DDB" w:rsidRPr="000665B0" w:rsidRDefault="00932DDB" w:rsidP="0056739E">
            <w:pPr>
              <w:spacing w:before="60" w:after="60" w:line="240" w:lineRule="auto"/>
              <w:rPr>
                <w:sz w:val="20"/>
              </w:rPr>
            </w:pPr>
            <w:r w:rsidRPr="000665B0">
              <w:rPr>
                <w:sz w:val="20"/>
              </w:rPr>
              <w:t>C:\ProgramData\ComGlobal Systems\MDS\SupportFiles\ErrorLogArchive\ErrorLog_&lt;timestamp&gt;.xml</w:t>
            </w:r>
          </w:p>
        </w:tc>
        <w:tc>
          <w:tcPr>
            <w:tcW w:w="484" w:type="dxa"/>
            <w:gridSpan w:val="2"/>
            <w:hideMark/>
          </w:tcPr>
          <w:p w14:paraId="319E90B8"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2B22C36E"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6FB00B9B" w14:textId="77777777" w:rsidR="00932DDB" w:rsidRPr="000665B0" w:rsidRDefault="00932DDB" w:rsidP="0056739E">
            <w:pPr>
              <w:spacing w:before="60" w:after="60" w:line="240" w:lineRule="auto"/>
              <w:jc w:val="center"/>
              <w:rPr>
                <w:sz w:val="20"/>
              </w:rPr>
            </w:pPr>
          </w:p>
        </w:tc>
        <w:tc>
          <w:tcPr>
            <w:tcW w:w="473" w:type="dxa"/>
            <w:gridSpan w:val="2"/>
            <w:hideMark/>
          </w:tcPr>
          <w:p w14:paraId="4FBA1F6F"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3254D558" w14:textId="77777777" w:rsidR="00932DDB" w:rsidRPr="000665B0" w:rsidRDefault="00932DDB" w:rsidP="0056739E">
            <w:pPr>
              <w:spacing w:before="60" w:after="60" w:line="240" w:lineRule="auto"/>
              <w:jc w:val="center"/>
              <w:rPr>
                <w:sz w:val="20"/>
              </w:rPr>
            </w:pPr>
          </w:p>
        </w:tc>
        <w:tc>
          <w:tcPr>
            <w:tcW w:w="414" w:type="dxa"/>
            <w:hideMark/>
          </w:tcPr>
          <w:p w14:paraId="7B8959A5" w14:textId="77777777" w:rsidR="00932DDB" w:rsidRPr="000665B0" w:rsidRDefault="00932DDB" w:rsidP="0056739E">
            <w:pPr>
              <w:spacing w:before="60" w:after="60" w:line="240" w:lineRule="auto"/>
              <w:jc w:val="center"/>
              <w:rPr>
                <w:sz w:val="20"/>
              </w:rPr>
            </w:pPr>
          </w:p>
        </w:tc>
      </w:tr>
      <w:tr w:rsidR="00932DDB" w:rsidRPr="000665B0" w14:paraId="70FA8CDE" w14:textId="77777777" w:rsidTr="00536CE7">
        <w:trPr>
          <w:trHeight w:val="510"/>
        </w:trPr>
        <w:tc>
          <w:tcPr>
            <w:tcW w:w="3255" w:type="dxa"/>
            <w:hideMark/>
          </w:tcPr>
          <w:p w14:paraId="5F088383" w14:textId="77777777" w:rsidR="00932DDB" w:rsidRPr="000665B0" w:rsidRDefault="00932DDB" w:rsidP="0056739E">
            <w:pPr>
              <w:spacing w:before="60" w:after="60" w:line="240" w:lineRule="auto"/>
              <w:rPr>
                <w:sz w:val="20"/>
              </w:rPr>
            </w:pPr>
            <w:r w:rsidRPr="000665B0">
              <w:rPr>
                <w:sz w:val="20"/>
              </w:rPr>
              <w:t>Event Log - MdsErrorLog</w:t>
            </w:r>
          </w:p>
        </w:tc>
        <w:tc>
          <w:tcPr>
            <w:tcW w:w="3487" w:type="dxa"/>
            <w:hideMark/>
          </w:tcPr>
          <w:p w14:paraId="64AA2B14" w14:textId="77777777" w:rsidR="00932DDB" w:rsidRPr="000665B0" w:rsidRDefault="00932DDB" w:rsidP="0056739E">
            <w:pPr>
              <w:spacing w:before="60" w:after="60" w:line="240" w:lineRule="auto"/>
              <w:rPr>
                <w:sz w:val="20"/>
              </w:rPr>
            </w:pPr>
            <w:r w:rsidRPr="000665B0">
              <w:rPr>
                <w:sz w:val="20"/>
              </w:rPr>
              <w:t>Event Viewer -&gt; Applications and Service Logs -&gt; MdsErrorLog</w:t>
            </w:r>
          </w:p>
        </w:tc>
        <w:tc>
          <w:tcPr>
            <w:tcW w:w="484" w:type="dxa"/>
            <w:gridSpan w:val="2"/>
            <w:hideMark/>
          </w:tcPr>
          <w:p w14:paraId="6F438D15"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0D885146"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41A29A9C" w14:textId="77777777" w:rsidR="00932DDB" w:rsidRPr="000665B0" w:rsidRDefault="00932DDB" w:rsidP="0056739E">
            <w:pPr>
              <w:spacing w:before="60" w:after="60" w:line="240" w:lineRule="auto"/>
              <w:jc w:val="center"/>
              <w:rPr>
                <w:sz w:val="20"/>
              </w:rPr>
            </w:pPr>
          </w:p>
        </w:tc>
        <w:tc>
          <w:tcPr>
            <w:tcW w:w="473" w:type="dxa"/>
            <w:gridSpan w:val="2"/>
            <w:hideMark/>
          </w:tcPr>
          <w:p w14:paraId="161224A5"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51149CD7" w14:textId="77777777" w:rsidR="00932DDB" w:rsidRPr="000665B0" w:rsidRDefault="00932DDB" w:rsidP="0056739E">
            <w:pPr>
              <w:spacing w:before="60" w:after="60" w:line="240" w:lineRule="auto"/>
              <w:jc w:val="center"/>
              <w:rPr>
                <w:sz w:val="20"/>
              </w:rPr>
            </w:pPr>
          </w:p>
        </w:tc>
        <w:tc>
          <w:tcPr>
            <w:tcW w:w="414" w:type="dxa"/>
            <w:hideMark/>
          </w:tcPr>
          <w:p w14:paraId="1ED1C836" w14:textId="77777777" w:rsidR="00932DDB" w:rsidRPr="000665B0" w:rsidRDefault="00932DDB" w:rsidP="0056739E">
            <w:pPr>
              <w:spacing w:before="60" w:after="60" w:line="240" w:lineRule="auto"/>
              <w:jc w:val="center"/>
              <w:rPr>
                <w:sz w:val="20"/>
              </w:rPr>
            </w:pPr>
          </w:p>
        </w:tc>
      </w:tr>
      <w:tr w:rsidR="00932DDB" w:rsidRPr="000665B0" w14:paraId="7F0D6A97" w14:textId="77777777" w:rsidTr="00536CE7">
        <w:trPr>
          <w:trHeight w:val="510"/>
        </w:trPr>
        <w:tc>
          <w:tcPr>
            <w:tcW w:w="3255" w:type="dxa"/>
            <w:hideMark/>
          </w:tcPr>
          <w:p w14:paraId="56FB04E7" w14:textId="77777777" w:rsidR="00932DDB" w:rsidRPr="000665B0" w:rsidRDefault="00932DDB" w:rsidP="0056739E">
            <w:pPr>
              <w:spacing w:before="60" w:after="60" w:line="240" w:lineRule="auto"/>
              <w:rPr>
                <w:sz w:val="20"/>
              </w:rPr>
            </w:pPr>
            <w:r w:rsidRPr="000665B0">
              <w:rPr>
                <w:sz w:val="20"/>
              </w:rPr>
              <w:t>Event Log - TED (Boeing)</w:t>
            </w:r>
          </w:p>
        </w:tc>
        <w:tc>
          <w:tcPr>
            <w:tcW w:w="3487" w:type="dxa"/>
            <w:hideMark/>
          </w:tcPr>
          <w:p w14:paraId="76F7ED41" w14:textId="3B15CDC2" w:rsidR="00932DDB" w:rsidRPr="000665B0" w:rsidRDefault="00932DDB" w:rsidP="0056739E">
            <w:pPr>
              <w:spacing w:before="60" w:after="60" w:line="240" w:lineRule="auto"/>
              <w:rPr>
                <w:sz w:val="20"/>
              </w:rPr>
            </w:pPr>
            <w:r w:rsidRPr="000665B0">
              <w:rPr>
                <w:sz w:val="20"/>
              </w:rPr>
              <w:t xml:space="preserve">Event Viewer -&gt; Applications and Service Logs -&gt; </w:t>
            </w:r>
            <w:r w:rsidR="006D4898" w:rsidRPr="000665B0">
              <w:rPr>
                <w:sz w:val="20"/>
              </w:rPr>
              <w:t>TED</w:t>
            </w:r>
          </w:p>
        </w:tc>
        <w:tc>
          <w:tcPr>
            <w:tcW w:w="484" w:type="dxa"/>
            <w:gridSpan w:val="2"/>
            <w:hideMark/>
          </w:tcPr>
          <w:p w14:paraId="2055C090"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14C92829" w14:textId="77777777" w:rsidR="00932DDB" w:rsidRPr="000665B0" w:rsidRDefault="00932DDB" w:rsidP="0056739E">
            <w:pPr>
              <w:spacing w:before="60" w:after="60" w:line="240" w:lineRule="auto"/>
              <w:jc w:val="center"/>
              <w:rPr>
                <w:sz w:val="20"/>
              </w:rPr>
            </w:pPr>
          </w:p>
        </w:tc>
        <w:tc>
          <w:tcPr>
            <w:tcW w:w="473" w:type="dxa"/>
            <w:gridSpan w:val="2"/>
            <w:hideMark/>
          </w:tcPr>
          <w:p w14:paraId="04166A31"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6AF47D3D" w14:textId="77777777" w:rsidR="00932DDB" w:rsidRPr="000665B0" w:rsidRDefault="00932DDB" w:rsidP="0056739E">
            <w:pPr>
              <w:spacing w:before="60" w:after="60" w:line="240" w:lineRule="auto"/>
              <w:jc w:val="center"/>
              <w:rPr>
                <w:sz w:val="20"/>
              </w:rPr>
            </w:pPr>
          </w:p>
        </w:tc>
        <w:tc>
          <w:tcPr>
            <w:tcW w:w="473" w:type="dxa"/>
            <w:gridSpan w:val="2"/>
            <w:hideMark/>
          </w:tcPr>
          <w:p w14:paraId="40758A24" w14:textId="77777777" w:rsidR="00932DDB" w:rsidRPr="000665B0" w:rsidRDefault="00932DDB" w:rsidP="0056739E">
            <w:pPr>
              <w:spacing w:before="60" w:after="60" w:line="240" w:lineRule="auto"/>
              <w:jc w:val="center"/>
              <w:rPr>
                <w:sz w:val="20"/>
              </w:rPr>
            </w:pPr>
          </w:p>
        </w:tc>
        <w:tc>
          <w:tcPr>
            <w:tcW w:w="414" w:type="dxa"/>
            <w:hideMark/>
          </w:tcPr>
          <w:p w14:paraId="78416004" w14:textId="77777777" w:rsidR="00932DDB" w:rsidRPr="000665B0" w:rsidRDefault="00932DDB" w:rsidP="0056739E">
            <w:pPr>
              <w:spacing w:before="60" w:after="60" w:line="240" w:lineRule="auto"/>
              <w:jc w:val="center"/>
              <w:rPr>
                <w:sz w:val="20"/>
              </w:rPr>
            </w:pPr>
          </w:p>
        </w:tc>
      </w:tr>
      <w:tr w:rsidR="00932DDB" w:rsidRPr="000665B0" w14:paraId="627D201F" w14:textId="77777777" w:rsidTr="00536CE7">
        <w:trPr>
          <w:trHeight w:val="510"/>
        </w:trPr>
        <w:tc>
          <w:tcPr>
            <w:tcW w:w="3255" w:type="dxa"/>
            <w:hideMark/>
          </w:tcPr>
          <w:p w14:paraId="40BF2DD9" w14:textId="09B49F7E" w:rsidR="00932DDB" w:rsidRPr="000665B0" w:rsidRDefault="00932DDB" w:rsidP="0056739E">
            <w:pPr>
              <w:spacing w:before="60" w:after="60" w:line="240" w:lineRule="auto"/>
              <w:rPr>
                <w:sz w:val="20"/>
              </w:rPr>
            </w:pPr>
            <w:r w:rsidRPr="000665B0">
              <w:rPr>
                <w:sz w:val="20"/>
              </w:rPr>
              <w:t>Event Log - Ted5_0</w:t>
            </w:r>
          </w:p>
        </w:tc>
        <w:tc>
          <w:tcPr>
            <w:tcW w:w="3487" w:type="dxa"/>
            <w:hideMark/>
          </w:tcPr>
          <w:p w14:paraId="014EB594" w14:textId="71575001" w:rsidR="00932DDB" w:rsidRPr="000665B0" w:rsidRDefault="00932DDB" w:rsidP="0056739E">
            <w:pPr>
              <w:spacing w:before="60" w:after="60" w:line="240" w:lineRule="auto"/>
              <w:rPr>
                <w:sz w:val="20"/>
              </w:rPr>
            </w:pPr>
            <w:r w:rsidRPr="000665B0">
              <w:rPr>
                <w:sz w:val="20"/>
              </w:rPr>
              <w:t xml:space="preserve">Event Viewer -&gt; Applications and Service Logs -&gt; </w:t>
            </w:r>
            <w:r w:rsidR="006D4898" w:rsidRPr="000665B0">
              <w:rPr>
                <w:sz w:val="20"/>
              </w:rPr>
              <w:t>Ted5_0</w:t>
            </w:r>
          </w:p>
        </w:tc>
        <w:tc>
          <w:tcPr>
            <w:tcW w:w="484" w:type="dxa"/>
            <w:gridSpan w:val="2"/>
            <w:hideMark/>
          </w:tcPr>
          <w:p w14:paraId="439896C7"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4FDD29FC" w14:textId="77777777" w:rsidR="00932DDB" w:rsidRPr="000665B0" w:rsidRDefault="00932DDB" w:rsidP="0056739E">
            <w:pPr>
              <w:spacing w:before="60" w:after="60" w:line="240" w:lineRule="auto"/>
              <w:jc w:val="center"/>
              <w:rPr>
                <w:sz w:val="20"/>
              </w:rPr>
            </w:pPr>
          </w:p>
        </w:tc>
        <w:tc>
          <w:tcPr>
            <w:tcW w:w="473" w:type="dxa"/>
            <w:gridSpan w:val="2"/>
            <w:hideMark/>
          </w:tcPr>
          <w:p w14:paraId="72A077BE"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111EB401" w14:textId="77777777" w:rsidR="00932DDB" w:rsidRPr="000665B0" w:rsidRDefault="00932DDB" w:rsidP="0056739E">
            <w:pPr>
              <w:spacing w:before="60" w:after="60" w:line="240" w:lineRule="auto"/>
              <w:jc w:val="center"/>
              <w:rPr>
                <w:sz w:val="20"/>
              </w:rPr>
            </w:pPr>
          </w:p>
        </w:tc>
        <w:tc>
          <w:tcPr>
            <w:tcW w:w="473" w:type="dxa"/>
            <w:gridSpan w:val="2"/>
            <w:hideMark/>
          </w:tcPr>
          <w:p w14:paraId="61EC4721" w14:textId="77777777" w:rsidR="00932DDB" w:rsidRPr="000665B0" w:rsidRDefault="00932DDB" w:rsidP="0056739E">
            <w:pPr>
              <w:spacing w:before="60" w:after="60" w:line="240" w:lineRule="auto"/>
              <w:jc w:val="center"/>
              <w:rPr>
                <w:sz w:val="20"/>
              </w:rPr>
            </w:pPr>
          </w:p>
        </w:tc>
        <w:tc>
          <w:tcPr>
            <w:tcW w:w="414" w:type="dxa"/>
            <w:hideMark/>
          </w:tcPr>
          <w:p w14:paraId="4071A2BE" w14:textId="77777777" w:rsidR="00932DDB" w:rsidRPr="000665B0" w:rsidRDefault="00932DDB" w:rsidP="0056739E">
            <w:pPr>
              <w:spacing w:before="60" w:after="60" w:line="240" w:lineRule="auto"/>
              <w:jc w:val="center"/>
              <w:rPr>
                <w:sz w:val="20"/>
              </w:rPr>
            </w:pPr>
            <w:r w:rsidRPr="000665B0">
              <w:rPr>
                <w:sz w:val="20"/>
              </w:rPr>
              <w:t>x</w:t>
            </w:r>
          </w:p>
        </w:tc>
      </w:tr>
      <w:tr w:rsidR="00932DDB" w:rsidRPr="000665B0" w14:paraId="0B3E6BED" w14:textId="77777777" w:rsidTr="00536CE7">
        <w:trPr>
          <w:trHeight w:val="510"/>
        </w:trPr>
        <w:tc>
          <w:tcPr>
            <w:tcW w:w="3255" w:type="dxa"/>
            <w:hideMark/>
          </w:tcPr>
          <w:p w14:paraId="754641F1" w14:textId="77777777" w:rsidR="00932DDB" w:rsidRPr="000665B0" w:rsidRDefault="00932DDB" w:rsidP="0056739E">
            <w:pPr>
              <w:spacing w:before="60" w:after="60" w:line="240" w:lineRule="auto"/>
              <w:rPr>
                <w:sz w:val="20"/>
              </w:rPr>
            </w:pPr>
            <w:r w:rsidRPr="000665B0">
              <w:rPr>
                <w:sz w:val="20"/>
              </w:rPr>
              <w:t>Event Log - TostErrorLog</w:t>
            </w:r>
          </w:p>
        </w:tc>
        <w:tc>
          <w:tcPr>
            <w:tcW w:w="3487" w:type="dxa"/>
            <w:hideMark/>
          </w:tcPr>
          <w:p w14:paraId="235C9DFC" w14:textId="3DA52F26" w:rsidR="00932DDB" w:rsidRPr="000665B0" w:rsidRDefault="00932DDB" w:rsidP="0056739E">
            <w:pPr>
              <w:spacing w:before="60" w:after="60" w:line="240" w:lineRule="auto"/>
              <w:rPr>
                <w:sz w:val="20"/>
              </w:rPr>
            </w:pPr>
            <w:r w:rsidRPr="000665B0">
              <w:rPr>
                <w:sz w:val="20"/>
              </w:rPr>
              <w:t xml:space="preserve">Event Viewer -&gt; Applications and Service Logs -&gt; </w:t>
            </w:r>
            <w:r w:rsidR="006D4898" w:rsidRPr="000665B0">
              <w:rPr>
                <w:sz w:val="20"/>
              </w:rPr>
              <w:t>TostErrorLog</w:t>
            </w:r>
          </w:p>
        </w:tc>
        <w:tc>
          <w:tcPr>
            <w:tcW w:w="484" w:type="dxa"/>
            <w:gridSpan w:val="2"/>
            <w:hideMark/>
          </w:tcPr>
          <w:p w14:paraId="33258186" w14:textId="77777777" w:rsidR="00932DDB" w:rsidRPr="000665B0" w:rsidRDefault="00932DDB" w:rsidP="0056739E">
            <w:pPr>
              <w:spacing w:before="60" w:after="60" w:line="240" w:lineRule="auto"/>
              <w:jc w:val="center"/>
              <w:rPr>
                <w:sz w:val="20"/>
              </w:rPr>
            </w:pPr>
          </w:p>
        </w:tc>
        <w:tc>
          <w:tcPr>
            <w:tcW w:w="473" w:type="dxa"/>
            <w:gridSpan w:val="2"/>
            <w:hideMark/>
          </w:tcPr>
          <w:p w14:paraId="40E6B544" w14:textId="77777777" w:rsidR="00932DDB" w:rsidRPr="000665B0" w:rsidRDefault="00932DDB" w:rsidP="0056739E">
            <w:pPr>
              <w:spacing w:before="60" w:after="60" w:line="240" w:lineRule="auto"/>
              <w:jc w:val="center"/>
              <w:rPr>
                <w:sz w:val="20"/>
              </w:rPr>
            </w:pPr>
          </w:p>
        </w:tc>
        <w:tc>
          <w:tcPr>
            <w:tcW w:w="473" w:type="dxa"/>
            <w:gridSpan w:val="2"/>
            <w:hideMark/>
          </w:tcPr>
          <w:p w14:paraId="6DC4C565" w14:textId="77777777" w:rsidR="00932DDB" w:rsidRPr="000665B0" w:rsidRDefault="00932DDB" w:rsidP="0056739E">
            <w:pPr>
              <w:spacing w:before="60" w:after="60" w:line="240" w:lineRule="auto"/>
              <w:jc w:val="center"/>
              <w:rPr>
                <w:sz w:val="20"/>
              </w:rPr>
            </w:pPr>
          </w:p>
        </w:tc>
        <w:tc>
          <w:tcPr>
            <w:tcW w:w="473" w:type="dxa"/>
            <w:gridSpan w:val="2"/>
            <w:hideMark/>
          </w:tcPr>
          <w:p w14:paraId="30D5AFC6" w14:textId="77777777" w:rsidR="00932DDB" w:rsidRPr="000665B0" w:rsidRDefault="00932DDB" w:rsidP="0056739E">
            <w:pPr>
              <w:spacing w:before="60" w:after="60" w:line="240" w:lineRule="auto"/>
              <w:jc w:val="center"/>
              <w:rPr>
                <w:sz w:val="20"/>
              </w:rPr>
            </w:pPr>
          </w:p>
        </w:tc>
        <w:tc>
          <w:tcPr>
            <w:tcW w:w="473" w:type="dxa"/>
            <w:gridSpan w:val="2"/>
            <w:hideMark/>
          </w:tcPr>
          <w:p w14:paraId="10C510FB" w14:textId="77777777" w:rsidR="00932DDB" w:rsidRPr="000665B0" w:rsidRDefault="00932DDB" w:rsidP="0056739E">
            <w:pPr>
              <w:spacing w:before="60" w:after="60" w:line="240" w:lineRule="auto"/>
              <w:jc w:val="center"/>
              <w:rPr>
                <w:sz w:val="20"/>
              </w:rPr>
            </w:pPr>
          </w:p>
        </w:tc>
        <w:tc>
          <w:tcPr>
            <w:tcW w:w="414" w:type="dxa"/>
            <w:hideMark/>
          </w:tcPr>
          <w:p w14:paraId="73291CAF" w14:textId="77777777" w:rsidR="00932DDB" w:rsidRPr="000665B0" w:rsidRDefault="00932DDB" w:rsidP="0056739E">
            <w:pPr>
              <w:spacing w:before="60" w:after="60" w:line="240" w:lineRule="auto"/>
              <w:jc w:val="center"/>
              <w:rPr>
                <w:sz w:val="20"/>
              </w:rPr>
            </w:pPr>
            <w:r w:rsidRPr="000665B0">
              <w:rPr>
                <w:sz w:val="20"/>
              </w:rPr>
              <w:t>x</w:t>
            </w:r>
          </w:p>
        </w:tc>
      </w:tr>
      <w:tr w:rsidR="00932DDB" w:rsidRPr="000665B0" w14:paraId="493182A6" w14:textId="77777777" w:rsidTr="00536CE7">
        <w:trPr>
          <w:trHeight w:val="510"/>
        </w:trPr>
        <w:tc>
          <w:tcPr>
            <w:tcW w:w="3255" w:type="dxa"/>
            <w:hideMark/>
          </w:tcPr>
          <w:p w14:paraId="74BF0A6F" w14:textId="77777777" w:rsidR="00932DDB" w:rsidRPr="000665B0" w:rsidRDefault="00932DDB" w:rsidP="0056739E">
            <w:pPr>
              <w:spacing w:before="60" w:after="60" w:line="240" w:lineRule="auto"/>
              <w:rPr>
                <w:sz w:val="20"/>
              </w:rPr>
            </w:pPr>
            <w:r w:rsidRPr="000665B0">
              <w:rPr>
                <w:sz w:val="20"/>
              </w:rPr>
              <w:t>Event Log - TPS (Boeing)</w:t>
            </w:r>
            <w:r w:rsidRPr="000665B0">
              <w:rPr>
                <w:sz w:val="20"/>
                <w:vertAlign w:val="superscript"/>
              </w:rPr>
              <w:t>1</w:t>
            </w:r>
          </w:p>
        </w:tc>
        <w:tc>
          <w:tcPr>
            <w:tcW w:w="3487" w:type="dxa"/>
            <w:hideMark/>
          </w:tcPr>
          <w:p w14:paraId="60002C06" w14:textId="050E9728" w:rsidR="00932DDB" w:rsidRPr="000665B0" w:rsidRDefault="00932DDB" w:rsidP="0056739E">
            <w:pPr>
              <w:spacing w:before="60" w:after="60" w:line="240" w:lineRule="auto"/>
              <w:rPr>
                <w:sz w:val="20"/>
              </w:rPr>
            </w:pPr>
            <w:r w:rsidRPr="000665B0">
              <w:rPr>
                <w:sz w:val="20"/>
              </w:rPr>
              <w:t xml:space="preserve">Event Viewer -&gt; Applications and Service Logs -&gt; </w:t>
            </w:r>
            <w:r w:rsidR="006D4898" w:rsidRPr="000665B0">
              <w:rPr>
                <w:sz w:val="20"/>
              </w:rPr>
              <w:t>TPS</w:t>
            </w:r>
          </w:p>
        </w:tc>
        <w:tc>
          <w:tcPr>
            <w:tcW w:w="484" w:type="dxa"/>
            <w:gridSpan w:val="2"/>
            <w:hideMark/>
          </w:tcPr>
          <w:p w14:paraId="01A5CB02"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5069C39F" w14:textId="77777777" w:rsidR="00932DDB" w:rsidRPr="000665B0" w:rsidRDefault="00932DDB" w:rsidP="0056739E">
            <w:pPr>
              <w:spacing w:before="60" w:after="60" w:line="240" w:lineRule="auto"/>
              <w:jc w:val="center"/>
              <w:rPr>
                <w:sz w:val="20"/>
              </w:rPr>
            </w:pPr>
          </w:p>
        </w:tc>
        <w:tc>
          <w:tcPr>
            <w:tcW w:w="473" w:type="dxa"/>
            <w:gridSpan w:val="2"/>
            <w:hideMark/>
          </w:tcPr>
          <w:p w14:paraId="048297F0"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210B83B8" w14:textId="77777777" w:rsidR="00932DDB" w:rsidRPr="000665B0" w:rsidRDefault="00932DDB" w:rsidP="0056739E">
            <w:pPr>
              <w:spacing w:before="60" w:after="60" w:line="240" w:lineRule="auto"/>
              <w:jc w:val="center"/>
              <w:rPr>
                <w:sz w:val="20"/>
              </w:rPr>
            </w:pPr>
          </w:p>
        </w:tc>
        <w:tc>
          <w:tcPr>
            <w:tcW w:w="473" w:type="dxa"/>
            <w:gridSpan w:val="2"/>
            <w:hideMark/>
          </w:tcPr>
          <w:p w14:paraId="51C8DFCB" w14:textId="77777777" w:rsidR="00932DDB" w:rsidRPr="000665B0" w:rsidRDefault="00932DDB" w:rsidP="0056739E">
            <w:pPr>
              <w:spacing w:before="60" w:after="60" w:line="240" w:lineRule="auto"/>
              <w:jc w:val="center"/>
              <w:rPr>
                <w:sz w:val="20"/>
              </w:rPr>
            </w:pPr>
            <w:r w:rsidRPr="000665B0">
              <w:rPr>
                <w:sz w:val="20"/>
              </w:rPr>
              <w:t>x</w:t>
            </w:r>
          </w:p>
        </w:tc>
        <w:tc>
          <w:tcPr>
            <w:tcW w:w="414" w:type="dxa"/>
            <w:hideMark/>
          </w:tcPr>
          <w:p w14:paraId="223E4032" w14:textId="77777777" w:rsidR="00932DDB" w:rsidRPr="000665B0" w:rsidRDefault="00932DDB" w:rsidP="0056739E">
            <w:pPr>
              <w:spacing w:before="60" w:after="60" w:line="240" w:lineRule="auto"/>
              <w:jc w:val="center"/>
              <w:rPr>
                <w:sz w:val="20"/>
              </w:rPr>
            </w:pPr>
          </w:p>
        </w:tc>
      </w:tr>
      <w:tr w:rsidR="00932DDB" w:rsidRPr="000665B0" w14:paraId="48CF6580" w14:textId="77777777" w:rsidTr="00536CE7">
        <w:trPr>
          <w:trHeight w:val="510"/>
        </w:trPr>
        <w:tc>
          <w:tcPr>
            <w:tcW w:w="3255" w:type="dxa"/>
            <w:hideMark/>
          </w:tcPr>
          <w:p w14:paraId="48B17F7F" w14:textId="77777777" w:rsidR="00932DDB" w:rsidRPr="000665B0" w:rsidRDefault="00932DDB" w:rsidP="0056739E">
            <w:pPr>
              <w:spacing w:before="60" w:after="60" w:line="240" w:lineRule="auto"/>
              <w:rPr>
                <w:sz w:val="20"/>
              </w:rPr>
            </w:pPr>
            <w:r w:rsidRPr="000665B0">
              <w:rPr>
                <w:sz w:val="20"/>
              </w:rPr>
              <w:t xml:space="preserve">TED </w:t>
            </w:r>
            <w:r w:rsidR="005145EC" w:rsidRPr="000665B0">
              <w:rPr>
                <w:sz w:val="20"/>
              </w:rPr>
              <w:t xml:space="preserve">DS </w:t>
            </w:r>
            <w:r w:rsidRPr="000665B0">
              <w:rPr>
                <w:sz w:val="20"/>
              </w:rPr>
              <w:t>OTH In Log</w:t>
            </w:r>
          </w:p>
        </w:tc>
        <w:tc>
          <w:tcPr>
            <w:tcW w:w="3487" w:type="dxa"/>
            <w:hideMark/>
          </w:tcPr>
          <w:p w14:paraId="5C750713" w14:textId="77777777" w:rsidR="00932DDB" w:rsidRPr="000665B0" w:rsidRDefault="00932DDB" w:rsidP="0056739E">
            <w:pPr>
              <w:spacing w:before="60" w:after="60" w:line="240" w:lineRule="auto"/>
              <w:rPr>
                <w:sz w:val="20"/>
              </w:rPr>
            </w:pPr>
            <w:r w:rsidRPr="000665B0">
              <w:rPr>
                <w:sz w:val="20"/>
              </w:rPr>
              <w:t>C:\ProgramData\ComGlobal Systems\TedDS\inOthLog\*.log</w:t>
            </w:r>
          </w:p>
        </w:tc>
        <w:tc>
          <w:tcPr>
            <w:tcW w:w="484" w:type="dxa"/>
            <w:gridSpan w:val="2"/>
            <w:hideMark/>
          </w:tcPr>
          <w:p w14:paraId="109D38E0"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7A9B9C19" w14:textId="77777777" w:rsidR="00932DDB" w:rsidRPr="000665B0" w:rsidRDefault="00932DDB" w:rsidP="0056739E">
            <w:pPr>
              <w:spacing w:before="60" w:after="60" w:line="240" w:lineRule="auto"/>
              <w:jc w:val="center"/>
              <w:rPr>
                <w:sz w:val="20"/>
              </w:rPr>
            </w:pPr>
          </w:p>
        </w:tc>
        <w:tc>
          <w:tcPr>
            <w:tcW w:w="473" w:type="dxa"/>
            <w:gridSpan w:val="2"/>
            <w:hideMark/>
          </w:tcPr>
          <w:p w14:paraId="3EC06A29"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76B58321" w14:textId="77777777" w:rsidR="00932DDB" w:rsidRPr="000665B0" w:rsidRDefault="00932DDB" w:rsidP="0056739E">
            <w:pPr>
              <w:spacing w:before="60" w:after="60" w:line="240" w:lineRule="auto"/>
              <w:jc w:val="center"/>
              <w:rPr>
                <w:sz w:val="20"/>
              </w:rPr>
            </w:pPr>
          </w:p>
        </w:tc>
        <w:tc>
          <w:tcPr>
            <w:tcW w:w="473" w:type="dxa"/>
            <w:gridSpan w:val="2"/>
            <w:hideMark/>
          </w:tcPr>
          <w:p w14:paraId="2C7479D5" w14:textId="77777777" w:rsidR="00932DDB" w:rsidRPr="000665B0" w:rsidRDefault="00932DDB" w:rsidP="0056739E">
            <w:pPr>
              <w:spacing w:before="60" w:after="60" w:line="240" w:lineRule="auto"/>
              <w:jc w:val="center"/>
              <w:rPr>
                <w:sz w:val="20"/>
              </w:rPr>
            </w:pPr>
          </w:p>
        </w:tc>
        <w:tc>
          <w:tcPr>
            <w:tcW w:w="414" w:type="dxa"/>
            <w:hideMark/>
          </w:tcPr>
          <w:p w14:paraId="0B72A923" w14:textId="77777777" w:rsidR="00932DDB" w:rsidRPr="000665B0" w:rsidRDefault="00932DDB" w:rsidP="0056739E">
            <w:pPr>
              <w:spacing w:before="60" w:after="60" w:line="240" w:lineRule="auto"/>
              <w:jc w:val="center"/>
              <w:rPr>
                <w:sz w:val="20"/>
              </w:rPr>
            </w:pPr>
            <w:r w:rsidRPr="000665B0">
              <w:rPr>
                <w:sz w:val="20"/>
              </w:rPr>
              <w:t>x</w:t>
            </w:r>
          </w:p>
        </w:tc>
      </w:tr>
      <w:tr w:rsidR="00932DDB" w:rsidRPr="000665B0" w14:paraId="24FC6E47" w14:textId="77777777" w:rsidTr="00536CE7">
        <w:trPr>
          <w:trHeight w:val="510"/>
        </w:trPr>
        <w:tc>
          <w:tcPr>
            <w:tcW w:w="3255" w:type="dxa"/>
            <w:hideMark/>
          </w:tcPr>
          <w:p w14:paraId="5775CBC5" w14:textId="77777777" w:rsidR="00932DDB" w:rsidRPr="000665B0" w:rsidRDefault="00932DDB" w:rsidP="0056739E">
            <w:pPr>
              <w:spacing w:before="60" w:after="60" w:line="240" w:lineRule="auto"/>
              <w:rPr>
                <w:sz w:val="20"/>
              </w:rPr>
            </w:pPr>
            <w:r w:rsidRPr="000665B0">
              <w:rPr>
                <w:sz w:val="20"/>
              </w:rPr>
              <w:t xml:space="preserve">TED </w:t>
            </w:r>
            <w:r w:rsidR="005145EC" w:rsidRPr="000665B0">
              <w:rPr>
                <w:sz w:val="20"/>
              </w:rPr>
              <w:t xml:space="preserve">DS </w:t>
            </w:r>
            <w:r w:rsidRPr="000665B0">
              <w:rPr>
                <w:sz w:val="20"/>
              </w:rPr>
              <w:t xml:space="preserve">OTH Out Log </w:t>
            </w:r>
          </w:p>
        </w:tc>
        <w:tc>
          <w:tcPr>
            <w:tcW w:w="3487" w:type="dxa"/>
            <w:hideMark/>
          </w:tcPr>
          <w:p w14:paraId="5D173076" w14:textId="77777777" w:rsidR="00932DDB" w:rsidRPr="000665B0" w:rsidRDefault="00932DDB" w:rsidP="0056739E">
            <w:pPr>
              <w:spacing w:before="60" w:after="60" w:line="240" w:lineRule="auto"/>
              <w:rPr>
                <w:sz w:val="20"/>
              </w:rPr>
            </w:pPr>
            <w:r w:rsidRPr="000665B0">
              <w:rPr>
                <w:sz w:val="20"/>
              </w:rPr>
              <w:t>C:\ProgramData\ComGlobal Systems\TedDS\outOthLog\*.log</w:t>
            </w:r>
          </w:p>
        </w:tc>
        <w:tc>
          <w:tcPr>
            <w:tcW w:w="484" w:type="dxa"/>
            <w:gridSpan w:val="2"/>
            <w:hideMark/>
          </w:tcPr>
          <w:p w14:paraId="5DAB0E49"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064FE42F" w14:textId="77777777" w:rsidR="00932DDB" w:rsidRPr="000665B0" w:rsidRDefault="00932DDB" w:rsidP="0056739E">
            <w:pPr>
              <w:spacing w:before="60" w:after="60" w:line="240" w:lineRule="auto"/>
              <w:jc w:val="center"/>
              <w:rPr>
                <w:sz w:val="20"/>
              </w:rPr>
            </w:pPr>
          </w:p>
        </w:tc>
        <w:tc>
          <w:tcPr>
            <w:tcW w:w="473" w:type="dxa"/>
            <w:gridSpan w:val="2"/>
            <w:hideMark/>
          </w:tcPr>
          <w:p w14:paraId="41F19480" w14:textId="77777777" w:rsidR="00932DDB" w:rsidRPr="000665B0" w:rsidRDefault="00932DDB" w:rsidP="0056739E">
            <w:pPr>
              <w:spacing w:before="60" w:after="60" w:line="240" w:lineRule="auto"/>
              <w:jc w:val="center"/>
              <w:rPr>
                <w:sz w:val="20"/>
              </w:rPr>
            </w:pPr>
            <w:r w:rsidRPr="000665B0">
              <w:rPr>
                <w:sz w:val="20"/>
              </w:rPr>
              <w:t>x</w:t>
            </w:r>
          </w:p>
        </w:tc>
        <w:tc>
          <w:tcPr>
            <w:tcW w:w="473" w:type="dxa"/>
            <w:gridSpan w:val="2"/>
            <w:hideMark/>
          </w:tcPr>
          <w:p w14:paraId="6BDAB988" w14:textId="77777777" w:rsidR="00932DDB" w:rsidRPr="000665B0" w:rsidRDefault="00932DDB" w:rsidP="0056739E">
            <w:pPr>
              <w:spacing w:before="60" w:after="60" w:line="240" w:lineRule="auto"/>
              <w:jc w:val="center"/>
              <w:rPr>
                <w:sz w:val="20"/>
              </w:rPr>
            </w:pPr>
          </w:p>
        </w:tc>
        <w:tc>
          <w:tcPr>
            <w:tcW w:w="473" w:type="dxa"/>
            <w:gridSpan w:val="2"/>
            <w:hideMark/>
          </w:tcPr>
          <w:p w14:paraId="410C77BD" w14:textId="77777777" w:rsidR="00932DDB" w:rsidRPr="000665B0" w:rsidRDefault="00932DDB" w:rsidP="0056739E">
            <w:pPr>
              <w:spacing w:before="60" w:after="60" w:line="240" w:lineRule="auto"/>
              <w:jc w:val="center"/>
              <w:rPr>
                <w:sz w:val="20"/>
              </w:rPr>
            </w:pPr>
          </w:p>
        </w:tc>
        <w:tc>
          <w:tcPr>
            <w:tcW w:w="414" w:type="dxa"/>
            <w:hideMark/>
          </w:tcPr>
          <w:p w14:paraId="165A65B4" w14:textId="77777777" w:rsidR="00932DDB" w:rsidRPr="000665B0" w:rsidRDefault="00932DDB" w:rsidP="0056739E">
            <w:pPr>
              <w:spacing w:before="60" w:after="60" w:line="240" w:lineRule="auto"/>
              <w:jc w:val="center"/>
              <w:rPr>
                <w:sz w:val="20"/>
              </w:rPr>
            </w:pPr>
            <w:r w:rsidRPr="000665B0">
              <w:rPr>
                <w:sz w:val="20"/>
              </w:rPr>
              <w:t>x</w:t>
            </w:r>
          </w:p>
        </w:tc>
      </w:tr>
      <w:tr w:rsidR="005145EC" w:rsidRPr="000665B0" w14:paraId="30391EE7" w14:textId="77777777" w:rsidTr="00536CE7">
        <w:trPr>
          <w:trHeight w:val="242"/>
        </w:trPr>
        <w:tc>
          <w:tcPr>
            <w:tcW w:w="3255" w:type="dxa"/>
          </w:tcPr>
          <w:p w14:paraId="031F6301" w14:textId="77777777" w:rsidR="005145EC" w:rsidRPr="000665B0" w:rsidRDefault="005145EC" w:rsidP="0056739E">
            <w:pPr>
              <w:spacing w:before="60" w:after="60" w:line="240" w:lineRule="auto"/>
              <w:rPr>
                <w:sz w:val="20"/>
              </w:rPr>
            </w:pPr>
            <w:r w:rsidRPr="000665B0">
              <w:rPr>
                <w:sz w:val="20"/>
              </w:rPr>
              <w:lastRenderedPageBreak/>
              <w:t>TED DS TSN In Log</w:t>
            </w:r>
          </w:p>
        </w:tc>
        <w:tc>
          <w:tcPr>
            <w:tcW w:w="3487" w:type="dxa"/>
          </w:tcPr>
          <w:p w14:paraId="6625BC3B" w14:textId="77777777" w:rsidR="005145EC" w:rsidRPr="000665B0" w:rsidRDefault="005145EC" w:rsidP="0056739E">
            <w:pPr>
              <w:spacing w:before="60" w:after="60" w:line="240" w:lineRule="auto"/>
              <w:rPr>
                <w:sz w:val="20"/>
              </w:rPr>
            </w:pPr>
            <w:r w:rsidRPr="000665B0">
              <w:rPr>
                <w:sz w:val="20"/>
              </w:rPr>
              <w:t>C:\ProgramData\ComGlobal Systems\TedDS\inTsnLog\*.log</w:t>
            </w:r>
          </w:p>
        </w:tc>
        <w:tc>
          <w:tcPr>
            <w:tcW w:w="484" w:type="dxa"/>
            <w:gridSpan w:val="2"/>
          </w:tcPr>
          <w:p w14:paraId="50B31D58" w14:textId="77777777" w:rsidR="005145EC" w:rsidRPr="000665B0" w:rsidRDefault="005145EC" w:rsidP="0056739E">
            <w:pPr>
              <w:spacing w:before="60" w:after="60" w:line="240" w:lineRule="auto"/>
              <w:rPr>
                <w:sz w:val="20"/>
              </w:rPr>
            </w:pPr>
            <w:r w:rsidRPr="000665B0">
              <w:rPr>
                <w:sz w:val="20"/>
              </w:rPr>
              <w:t>x</w:t>
            </w:r>
          </w:p>
        </w:tc>
        <w:tc>
          <w:tcPr>
            <w:tcW w:w="473" w:type="dxa"/>
            <w:gridSpan w:val="2"/>
          </w:tcPr>
          <w:p w14:paraId="027997C2" w14:textId="77777777" w:rsidR="005145EC" w:rsidRPr="000665B0" w:rsidRDefault="005145EC" w:rsidP="0056739E">
            <w:pPr>
              <w:spacing w:before="60" w:after="60" w:line="240" w:lineRule="auto"/>
              <w:rPr>
                <w:sz w:val="20"/>
              </w:rPr>
            </w:pPr>
          </w:p>
        </w:tc>
        <w:tc>
          <w:tcPr>
            <w:tcW w:w="473" w:type="dxa"/>
            <w:gridSpan w:val="2"/>
          </w:tcPr>
          <w:p w14:paraId="0DBF9857" w14:textId="77777777" w:rsidR="005145EC" w:rsidRPr="000665B0" w:rsidRDefault="005145EC" w:rsidP="0056739E">
            <w:pPr>
              <w:spacing w:before="60" w:after="60" w:line="240" w:lineRule="auto"/>
              <w:rPr>
                <w:sz w:val="20"/>
              </w:rPr>
            </w:pPr>
            <w:r w:rsidRPr="000665B0">
              <w:rPr>
                <w:sz w:val="20"/>
              </w:rPr>
              <w:t>x</w:t>
            </w:r>
          </w:p>
        </w:tc>
        <w:tc>
          <w:tcPr>
            <w:tcW w:w="473" w:type="dxa"/>
            <w:gridSpan w:val="2"/>
          </w:tcPr>
          <w:p w14:paraId="0A43F131" w14:textId="77777777" w:rsidR="005145EC" w:rsidRPr="000665B0" w:rsidRDefault="005145EC" w:rsidP="0056739E">
            <w:pPr>
              <w:spacing w:before="60" w:after="60" w:line="240" w:lineRule="auto"/>
              <w:rPr>
                <w:sz w:val="20"/>
              </w:rPr>
            </w:pPr>
          </w:p>
        </w:tc>
        <w:tc>
          <w:tcPr>
            <w:tcW w:w="473" w:type="dxa"/>
            <w:gridSpan w:val="2"/>
          </w:tcPr>
          <w:p w14:paraId="6B889607" w14:textId="77777777" w:rsidR="005145EC" w:rsidRPr="000665B0" w:rsidRDefault="005145EC" w:rsidP="0056739E">
            <w:pPr>
              <w:spacing w:before="60" w:after="60" w:line="240" w:lineRule="auto"/>
              <w:rPr>
                <w:sz w:val="20"/>
              </w:rPr>
            </w:pPr>
          </w:p>
        </w:tc>
        <w:tc>
          <w:tcPr>
            <w:tcW w:w="414" w:type="dxa"/>
          </w:tcPr>
          <w:p w14:paraId="71F07158" w14:textId="77777777" w:rsidR="005145EC" w:rsidRPr="000665B0" w:rsidRDefault="005145EC" w:rsidP="0056739E">
            <w:pPr>
              <w:spacing w:before="60" w:after="60" w:line="240" w:lineRule="auto"/>
              <w:rPr>
                <w:sz w:val="20"/>
              </w:rPr>
            </w:pPr>
            <w:r w:rsidRPr="000665B0">
              <w:rPr>
                <w:sz w:val="20"/>
              </w:rPr>
              <w:t>x</w:t>
            </w:r>
          </w:p>
        </w:tc>
      </w:tr>
      <w:tr w:rsidR="005145EC" w:rsidRPr="000665B0" w14:paraId="4E2BCBCC" w14:textId="77777777" w:rsidTr="00536CE7">
        <w:trPr>
          <w:trHeight w:val="242"/>
        </w:trPr>
        <w:tc>
          <w:tcPr>
            <w:tcW w:w="3255" w:type="dxa"/>
          </w:tcPr>
          <w:p w14:paraId="1A6346FB" w14:textId="77777777" w:rsidR="005145EC" w:rsidRPr="000665B0" w:rsidRDefault="005145EC" w:rsidP="0056739E">
            <w:pPr>
              <w:spacing w:before="60" w:after="60" w:line="240" w:lineRule="auto"/>
              <w:rPr>
                <w:sz w:val="20"/>
              </w:rPr>
            </w:pPr>
            <w:r w:rsidRPr="000665B0">
              <w:rPr>
                <w:sz w:val="20"/>
              </w:rPr>
              <w:t xml:space="preserve">TED DS TSN Out Log </w:t>
            </w:r>
          </w:p>
        </w:tc>
        <w:tc>
          <w:tcPr>
            <w:tcW w:w="3487" w:type="dxa"/>
          </w:tcPr>
          <w:p w14:paraId="6DA6D476" w14:textId="77777777" w:rsidR="005145EC" w:rsidRPr="000665B0" w:rsidRDefault="005145EC" w:rsidP="0056739E">
            <w:pPr>
              <w:spacing w:before="60" w:after="60" w:line="240" w:lineRule="auto"/>
              <w:rPr>
                <w:sz w:val="20"/>
              </w:rPr>
            </w:pPr>
            <w:r w:rsidRPr="000665B0">
              <w:rPr>
                <w:sz w:val="20"/>
              </w:rPr>
              <w:t>C:\ProgramData\ComGlobal Systems\TedDS\outTsnLog\*.log</w:t>
            </w:r>
          </w:p>
        </w:tc>
        <w:tc>
          <w:tcPr>
            <w:tcW w:w="484" w:type="dxa"/>
            <w:gridSpan w:val="2"/>
          </w:tcPr>
          <w:p w14:paraId="3431A56F" w14:textId="77777777" w:rsidR="005145EC" w:rsidRPr="000665B0" w:rsidRDefault="005145EC" w:rsidP="0056739E">
            <w:pPr>
              <w:spacing w:before="60" w:after="60" w:line="240" w:lineRule="auto"/>
              <w:rPr>
                <w:sz w:val="20"/>
              </w:rPr>
            </w:pPr>
            <w:r w:rsidRPr="000665B0">
              <w:rPr>
                <w:sz w:val="20"/>
              </w:rPr>
              <w:t>x</w:t>
            </w:r>
          </w:p>
        </w:tc>
        <w:tc>
          <w:tcPr>
            <w:tcW w:w="473" w:type="dxa"/>
            <w:gridSpan w:val="2"/>
          </w:tcPr>
          <w:p w14:paraId="6FA462D2" w14:textId="77777777" w:rsidR="005145EC" w:rsidRPr="000665B0" w:rsidRDefault="005145EC" w:rsidP="0056739E">
            <w:pPr>
              <w:spacing w:before="60" w:after="60" w:line="240" w:lineRule="auto"/>
              <w:rPr>
                <w:sz w:val="20"/>
              </w:rPr>
            </w:pPr>
          </w:p>
        </w:tc>
        <w:tc>
          <w:tcPr>
            <w:tcW w:w="473" w:type="dxa"/>
            <w:gridSpan w:val="2"/>
          </w:tcPr>
          <w:p w14:paraId="107007C8" w14:textId="77777777" w:rsidR="005145EC" w:rsidRPr="000665B0" w:rsidRDefault="005145EC" w:rsidP="0056739E">
            <w:pPr>
              <w:spacing w:before="60" w:after="60" w:line="240" w:lineRule="auto"/>
              <w:rPr>
                <w:sz w:val="20"/>
              </w:rPr>
            </w:pPr>
            <w:r w:rsidRPr="000665B0">
              <w:rPr>
                <w:sz w:val="20"/>
              </w:rPr>
              <w:t>x</w:t>
            </w:r>
          </w:p>
        </w:tc>
        <w:tc>
          <w:tcPr>
            <w:tcW w:w="473" w:type="dxa"/>
            <w:gridSpan w:val="2"/>
          </w:tcPr>
          <w:p w14:paraId="34E72FF1" w14:textId="77777777" w:rsidR="005145EC" w:rsidRPr="000665B0" w:rsidRDefault="005145EC" w:rsidP="0056739E">
            <w:pPr>
              <w:spacing w:before="60" w:after="60" w:line="240" w:lineRule="auto"/>
              <w:rPr>
                <w:sz w:val="20"/>
              </w:rPr>
            </w:pPr>
          </w:p>
        </w:tc>
        <w:tc>
          <w:tcPr>
            <w:tcW w:w="473" w:type="dxa"/>
            <w:gridSpan w:val="2"/>
          </w:tcPr>
          <w:p w14:paraId="2426F171" w14:textId="77777777" w:rsidR="005145EC" w:rsidRPr="000665B0" w:rsidRDefault="005145EC" w:rsidP="0056739E">
            <w:pPr>
              <w:spacing w:before="60" w:after="60" w:line="240" w:lineRule="auto"/>
              <w:rPr>
                <w:sz w:val="20"/>
              </w:rPr>
            </w:pPr>
          </w:p>
        </w:tc>
        <w:tc>
          <w:tcPr>
            <w:tcW w:w="414" w:type="dxa"/>
          </w:tcPr>
          <w:p w14:paraId="05093B12" w14:textId="77777777" w:rsidR="005145EC" w:rsidRPr="000665B0" w:rsidRDefault="005145EC" w:rsidP="0056739E">
            <w:pPr>
              <w:spacing w:before="60" w:after="60" w:line="240" w:lineRule="auto"/>
              <w:rPr>
                <w:sz w:val="20"/>
              </w:rPr>
            </w:pPr>
            <w:r w:rsidRPr="000665B0">
              <w:rPr>
                <w:sz w:val="20"/>
              </w:rPr>
              <w:t>x</w:t>
            </w:r>
          </w:p>
        </w:tc>
      </w:tr>
      <w:tr w:rsidR="00422623" w:rsidRPr="000665B0" w14:paraId="2D2617EA" w14:textId="77777777" w:rsidTr="00536CE7">
        <w:trPr>
          <w:trHeight w:val="242"/>
        </w:trPr>
        <w:tc>
          <w:tcPr>
            <w:tcW w:w="3255" w:type="dxa"/>
          </w:tcPr>
          <w:p w14:paraId="7E156323" w14:textId="77777777" w:rsidR="00422623" w:rsidRPr="000665B0" w:rsidRDefault="00422623" w:rsidP="0056739E">
            <w:pPr>
              <w:spacing w:before="60" w:after="60" w:line="240" w:lineRule="auto"/>
              <w:rPr>
                <w:sz w:val="20"/>
              </w:rPr>
            </w:pPr>
            <w:r w:rsidRPr="000665B0">
              <w:rPr>
                <w:sz w:val="20"/>
              </w:rPr>
              <w:t>TED Comms Logs</w:t>
            </w:r>
          </w:p>
        </w:tc>
        <w:tc>
          <w:tcPr>
            <w:tcW w:w="3487" w:type="dxa"/>
          </w:tcPr>
          <w:p w14:paraId="158935B2" w14:textId="77777777" w:rsidR="00422623" w:rsidRPr="000665B0" w:rsidRDefault="00422623" w:rsidP="0056739E">
            <w:pPr>
              <w:spacing w:before="60" w:after="60" w:line="240" w:lineRule="auto"/>
              <w:rPr>
                <w:sz w:val="20"/>
              </w:rPr>
            </w:pPr>
            <w:r w:rsidRPr="000665B0">
              <w:rPr>
                <w:color w:val="000000"/>
                <w:sz w:val="20"/>
              </w:rPr>
              <w:t>C:\Users\QQ_Ted5.0AppPool\AppData\Local\Temp\TedDS\*.xml</w:t>
            </w:r>
          </w:p>
        </w:tc>
        <w:tc>
          <w:tcPr>
            <w:tcW w:w="484" w:type="dxa"/>
            <w:gridSpan w:val="2"/>
          </w:tcPr>
          <w:p w14:paraId="4BDDAA6E" w14:textId="77777777" w:rsidR="00422623" w:rsidRPr="000665B0" w:rsidRDefault="00422623" w:rsidP="0056739E">
            <w:pPr>
              <w:spacing w:before="60" w:after="60" w:line="240" w:lineRule="auto"/>
              <w:rPr>
                <w:sz w:val="20"/>
              </w:rPr>
            </w:pPr>
            <w:r w:rsidRPr="000665B0">
              <w:rPr>
                <w:sz w:val="20"/>
              </w:rPr>
              <w:t>x</w:t>
            </w:r>
          </w:p>
        </w:tc>
        <w:tc>
          <w:tcPr>
            <w:tcW w:w="473" w:type="dxa"/>
            <w:gridSpan w:val="2"/>
          </w:tcPr>
          <w:p w14:paraId="11E023B7" w14:textId="77777777" w:rsidR="00422623" w:rsidRPr="000665B0" w:rsidRDefault="00422623" w:rsidP="0056739E">
            <w:pPr>
              <w:spacing w:before="60" w:after="60" w:line="240" w:lineRule="auto"/>
              <w:rPr>
                <w:sz w:val="20"/>
              </w:rPr>
            </w:pPr>
          </w:p>
        </w:tc>
        <w:tc>
          <w:tcPr>
            <w:tcW w:w="473" w:type="dxa"/>
            <w:gridSpan w:val="2"/>
          </w:tcPr>
          <w:p w14:paraId="5EC6F095" w14:textId="77777777" w:rsidR="00422623" w:rsidRPr="000665B0" w:rsidRDefault="00422623" w:rsidP="0056739E">
            <w:pPr>
              <w:spacing w:before="60" w:after="60" w:line="240" w:lineRule="auto"/>
              <w:rPr>
                <w:sz w:val="20"/>
              </w:rPr>
            </w:pPr>
            <w:r w:rsidRPr="000665B0">
              <w:rPr>
                <w:sz w:val="20"/>
              </w:rPr>
              <w:t>x</w:t>
            </w:r>
          </w:p>
        </w:tc>
        <w:tc>
          <w:tcPr>
            <w:tcW w:w="473" w:type="dxa"/>
            <w:gridSpan w:val="2"/>
          </w:tcPr>
          <w:p w14:paraId="11085A73" w14:textId="77777777" w:rsidR="00422623" w:rsidRPr="000665B0" w:rsidRDefault="00422623" w:rsidP="0056739E">
            <w:pPr>
              <w:spacing w:before="60" w:after="60" w:line="240" w:lineRule="auto"/>
              <w:rPr>
                <w:sz w:val="20"/>
              </w:rPr>
            </w:pPr>
          </w:p>
        </w:tc>
        <w:tc>
          <w:tcPr>
            <w:tcW w:w="473" w:type="dxa"/>
            <w:gridSpan w:val="2"/>
          </w:tcPr>
          <w:p w14:paraId="0882AAD9" w14:textId="77777777" w:rsidR="00422623" w:rsidRPr="000665B0" w:rsidRDefault="00422623" w:rsidP="0056739E">
            <w:pPr>
              <w:spacing w:before="60" w:after="60" w:line="240" w:lineRule="auto"/>
              <w:rPr>
                <w:sz w:val="20"/>
              </w:rPr>
            </w:pPr>
          </w:p>
        </w:tc>
        <w:tc>
          <w:tcPr>
            <w:tcW w:w="414" w:type="dxa"/>
          </w:tcPr>
          <w:p w14:paraId="17E0FBBC" w14:textId="77777777" w:rsidR="00422623" w:rsidRPr="000665B0" w:rsidRDefault="00422623" w:rsidP="0056739E">
            <w:pPr>
              <w:spacing w:before="60" w:after="60" w:line="240" w:lineRule="auto"/>
              <w:rPr>
                <w:sz w:val="20"/>
              </w:rPr>
            </w:pPr>
            <w:r w:rsidRPr="000665B0">
              <w:rPr>
                <w:sz w:val="20"/>
              </w:rPr>
              <w:t>x</w:t>
            </w:r>
          </w:p>
        </w:tc>
      </w:tr>
      <w:tr w:rsidR="00536CE7" w:rsidRPr="000665B0" w14:paraId="432E793E" w14:textId="77777777" w:rsidTr="00536CE7">
        <w:trPr>
          <w:trHeight w:val="242"/>
        </w:trPr>
        <w:tc>
          <w:tcPr>
            <w:tcW w:w="3252" w:type="dxa"/>
            <w:tcBorders>
              <w:top w:val="single" w:sz="4" w:space="0" w:color="auto"/>
              <w:left w:val="single" w:sz="4" w:space="0" w:color="auto"/>
              <w:bottom w:val="single" w:sz="4" w:space="0" w:color="auto"/>
              <w:right w:val="single" w:sz="4" w:space="0" w:color="auto"/>
            </w:tcBorders>
            <w:hideMark/>
          </w:tcPr>
          <w:p w14:paraId="20C3F137" w14:textId="77777777" w:rsidR="00536CE7" w:rsidRPr="000665B0" w:rsidRDefault="00536CE7" w:rsidP="0056739E">
            <w:pPr>
              <w:spacing w:before="60" w:after="60" w:line="240" w:lineRule="auto"/>
              <w:rPr>
                <w:sz w:val="20"/>
              </w:rPr>
            </w:pPr>
            <w:r w:rsidRPr="000665B0">
              <w:rPr>
                <w:sz w:val="20"/>
              </w:rPr>
              <w:t>TCIP LINT Log</w:t>
            </w:r>
          </w:p>
        </w:tc>
        <w:tc>
          <w:tcPr>
            <w:tcW w:w="3490" w:type="dxa"/>
            <w:tcBorders>
              <w:top w:val="single" w:sz="4" w:space="0" w:color="auto"/>
              <w:left w:val="single" w:sz="4" w:space="0" w:color="auto"/>
              <w:bottom w:val="single" w:sz="4" w:space="0" w:color="auto"/>
              <w:right w:val="single" w:sz="4" w:space="0" w:color="auto"/>
            </w:tcBorders>
            <w:hideMark/>
          </w:tcPr>
          <w:p w14:paraId="180990BE" w14:textId="77777777" w:rsidR="00536CE7" w:rsidRPr="000665B0" w:rsidRDefault="00536CE7" w:rsidP="0056739E">
            <w:pPr>
              <w:spacing w:before="60" w:after="60" w:line="240" w:lineRule="auto"/>
              <w:rPr>
                <w:sz w:val="20"/>
              </w:rPr>
            </w:pPr>
            <w:r w:rsidRPr="000665B0">
              <w:rPr>
                <w:sz w:val="20"/>
              </w:rPr>
              <w:t>See TCIP SUM</w:t>
            </w:r>
          </w:p>
        </w:tc>
        <w:tc>
          <w:tcPr>
            <w:tcW w:w="478" w:type="dxa"/>
            <w:tcBorders>
              <w:top w:val="single" w:sz="4" w:space="0" w:color="auto"/>
              <w:left w:val="single" w:sz="4" w:space="0" w:color="auto"/>
              <w:bottom w:val="single" w:sz="4" w:space="0" w:color="auto"/>
              <w:right w:val="single" w:sz="4" w:space="0" w:color="auto"/>
            </w:tcBorders>
          </w:tcPr>
          <w:p w14:paraId="4202809F"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750D250E"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14538D5D"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6462E540"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4101B87E" w14:textId="77777777" w:rsidR="00536CE7" w:rsidRPr="000665B0" w:rsidRDefault="00536CE7" w:rsidP="0056739E">
            <w:pPr>
              <w:spacing w:before="60" w:after="60" w:line="240" w:lineRule="auto"/>
              <w:rPr>
                <w:sz w:val="20"/>
              </w:rPr>
            </w:pPr>
          </w:p>
        </w:tc>
        <w:tc>
          <w:tcPr>
            <w:tcW w:w="420" w:type="dxa"/>
            <w:gridSpan w:val="2"/>
            <w:tcBorders>
              <w:top w:val="single" w:sz="4" w:space="0" w:color="auto"/>
              <w:left w:val="single" w:sz="4" w:space="0" w:color="auto"/>
              <w:bottom w:val="single" w:sz="4" w:space="0" w:color="auto"/>
              <w:right w:val="single" w:sz="4" w:space="0" w:color="auto"/>
            </w:tcBorders>
          </w:tcPr>
          <w:p w14:paraId="7A0F975B" w14:textId="77777777" w:rsidR="00536CE7" w:rsidRPr="000665B0" w:rsidRDefault="00536CE7" w:rsidP="0056739E">
            <w:pPr>
              <w:spacing w:before="60" w:after="60" w:line="240" w:lineRule="auto"/>
              <w:rPr>
                <w:sz w:val="20"/>
              </w:rPr>
            </w:pPr>
          </w:p>
        </w:tc>
      </w:tr>
      <w:tr w:rsidR="00536CE7" w:rsidRPr="000665B0" w14:paraId="3E643F8A" w14:textId="77777777" w:rsidTr="00536CE7">
        <w:trPr>
          <w:trHeight w:val="242"/>
        </w:trPr>
        <w:tc>
          <w:tcPr>
            <w:tcW w:w="3252" w:type="dxa"/>
            <w:tcBorders>
              <w:top w:val="single" w:sz="4" w:space="0" w:color="auto"/>
              <w:left w:val="single" w:sz="4" w:space="0" w:color="auto"/>
              <w:bottom w:val="single" w:sz="4" w:space="0" w:color="auto"/>
              <w:right w:val="single" w:sz="4" w:space="0" w:color="auto"/>
            </w:tcBorders>
            <w:hideMark/>
          </w:tcPr>
          <w:p w14:paraId="68EE0AAD" w14:textId="77777777" w:rsidR="00536CE7" w:rsidRPr="000665B0" w:rsidRDefault="00536CE7" w:rsidP="0056739E">
            <w:pPr>
              <w:spacing w:before="60" w:after="60" w:line="240" w:lineRule="auto"/>
              <w:rPr>
                <w:sz w:val="20"/>
              </w:rPr>
            </w:pPr>
            <w:r w:rsidRPr="000665B0">
              <w:rPr>
                <w:sz w:val="20"/>
              </w:rPr>
              <w:t>TCIP ACA Log</w:t>
            </w:r>
          </w:p>
        </w:tc>
        <w:tc>
          <w:tcPr>
            <w:tcW w:w="3490" w:type="dxa"/>
            <w:tcBorders>
              <w:top w:val="single" w:sz="4" w:space="0" w:color="auto"/>
              <w:left w:val="single" w:sz="4" w:space="0" w:color="auto"/>
              <w:bottom w:val="single" w:sz="4" w:space="0" w:color="auto"/>
              <w:right w:val="single" w:sz="4" w:space="0" w:color="auto"/>
            </w:tcBorders>
            <w:hideMark/>
          </w:tcPr>
          <w:p w14:paraId="0F1C6FCF" w14:textId="77777777" w:rsidR="00536CE7" w:rsidRPr="000665B0" w:rsidRDefault="00536CE7" w:rsidP="0056739E">
            <w:pPr>
              <w:spacing w:before="60" w:after="60" w:line="240" w:lineRule="auto"/>
              <w:rPr>
                <w:sz w:val="20"/>
              </w:rPr>
            </w:pPr>
            <w:r w:rsidRPr="000665B0">
              <w:rPr>
                <w:sz w:val="20"/>
              </w:rPr>
              <w:t>See TCIP SUM</w:t>
            </w:r>
          </w:p>
        </w:tc>
        <w:tc>
          <w:tcPr>
            <w:tcW w:w="478" w:type="dxa"/>
            <w:tcBorders>
              <w:top w:val="single" w:sz="4" w:space="0" w:color="auto"/>
              <w:left w:val="single" w:sz="4" w:space="0" w:color="auto"/>
              <w:bottom w:val="single" w:sz="4" w:space="0" w:color="auto"/>
              <w:right w:val="single" w:sz="4" w:space="0" w:color="auto"/>
            </w:tcBorders>
          </w:tcPr>
          <w:p w14:paraId="50FA0D53"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23DDFAAD"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15E68A4E"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48548271"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6D1CF40D" w14:textId="77777777" w:rsidR="00536CE7" w:rsidRPr="000665B0" w:rsidRDefault="00536CE7" w:rsidP="0056739E">
            <w:pPr>
              <w:spacing w:before="60" w:after="60" w:line="240" w:lineRule="auto"/>
              <w:rPr>
                <w:sz w:val="20"/>
              </w:rPr>
            </w:pPr>
          </w:p>
        </w:tc>
        <w:tc>
          <w:tcPr>
            <w:tcW w:w="420" w:type="dxa"/>
            <w:gridSpan w:val="2"/>
            <w:tcBorders>
              <w:top w:val="single" w:sz="4" w:space="0" w:color="auto"/>
              <w:left w:val="single" w:sz="4" w:space="0" w:color="auto"/>
              <w:bottom w:val="single" w:sz="4" w:space="0" w:color="auto"/>
              <w:right w:val="single" w:sz="4" w:space="0" w:color="auto"/>
            </w:tcBorders>
          </w:tcPr>
          <w:p w14:paraId="0ACB901C" w14:textId="77777777" w:rsidR="00536CE7" w:rsidRPr="000665B0" w:rsidRDefault="00536CE7" w:rsidP="0056739E">
            <w:pPr>
              <w:spacing w:before="60" w:after="60" w:line="240" w:lineRule="auto"/>
              <w:rPr>
                <w:sz w:val="20"/>
              </w:rPr>
            </w:pPr>
          </w:p>
        </w:tc>
      </w:tr>
      <w:tr w:rsidR="00536CE7" w:rsidRPr="000665B0" w14:paraId="22DE857D" w14:textId="77777777" w:rsidTr="00536CE7">
        <w:trPr>
          <w:trHeight w:val="242"/>
        </w:trPr>
        <w:tc>
          <w:tcPr>
            <w:tcW w:w="3252" w:type="dxa"/>
            <w:tcBorders>
              <w:top w:val="single" w:sz="4" w:space="0" w:color="auto"/>
              <w:left w:val="single" w:sz="4" w:space="0" w:color="auto"/>
              <w:bottom w:val="single" w:sz="4" w:space="0" w:color="auto"/>
              <w:right w:val="single" w:sz="4" w:space="0" w:color="auto"/>
            </w:tcBorders>
            <w:hideMark/>
          </w:tcPr>
          <w:p w14:paraId="26E661E8" w14:textId="77777777" w:rsidR="00536CE7" w:rsidRPr="000665B0" w:rsidRDefault="00536CE7" w:rsidP="0056739E">
            <w:pPr>
              <w:spacing w:before="60" w:after="60" w:line="240" w:lineRule="auto"/>
              <w:rPr>
                <w:sz w:val="20"/>
              </w:rPr>
            </w:pPr>
            <w:r w:rsidRPr="000665B0">
              <w:rPr>
                <w:sz w:val="20"/>
              </w:rPr>
              <w:t>TCIP DAMA Log</w:t>
            </w:r>
          </w:p>
        </w:tc>
        <w:tc>
          <w:tcPr>
            <w:tcW w:w="3490" w:type="dxa"/>
            <w:tcBorders>
              <w:top w:val="single" w:sz="4" w:space="0" w:color="auto"/>
              <w:left w:val="single" w:sz="4" w:space="0" w:color="auto"/>
              <w:bottom w:val="single" w:sz="4" w:space="0" w:color="auto"/>
              <w:right w:val="single" w:sz="4" w:space="0" w:color="auto"/>
            </w:tcBorders>
            <w:hideMark/>
          </w:tcPr>
          <w:p w14:paraId="6F46D3C6" w14:textId="77777777" w:rsidR="00536CE7" w:rsidRPr="000665B0" w:rsidRDefault="00536CE7" w:rsidP="0056739E">
            <w:pPr>
              <w:spacing w:before="60" w:after="60" w:line="240" w:lineRule="auto"/>
              <w:rPr>
                <w:sz w:val="20"/>
              </w:rPr>
            </w:pPr>
            <w:r w:rsidRPr="000665B0">
              <w:rPr>
                <w:sz w:val="20"/>
              </w:rPr>
              <w:t>See TCIP SUM</w:t>
            </w:r>
          </w:p>
        </w:tc>
        <w:tc>
          <w:tcPr>
            <w:tcW w:w="478" w:type="dxa"/>
            <w:tcBorders>
              <w:top w:val="single" w:sz="4" w:space="0" w:color="auto"/>
              <w:left w:val="single" w:sz="4" w:space="0" w:color="auto"/>
              <w:bottom w:val="single" w:sz="4" w:space="0" w:color="auto"/>
              <w:right w:val="single" w:sz="4" w:space="0" w:color="auto"/>
            </w:tcBorders>
          </w:tcPr>
          <w:p w14:paraId="0B37529C"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6468F1ED"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29160756"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4D2439D8" w14:textId="77777777" w:rsidR="00536CE7" w:rsidRPr="000665B0" w:rsidRDefault="00536CE7" w:rsidP="0056739E">
            <w:pPr>
              <w:spacing w:before="60" w:after="60" w:line="240" w:lineRule="auto"/>
              <w:rPr>
                <w:sz w:val="20"/>
              </w:rPr>
            </w:pPr>
          </w:p>
        </w:tc>
        <w:tc>
          <w:tcPr>
            <w:tcW w:w="473" w:type="dxa"/>
            <w:gridSpan w:val="2"/>
            <w:tcBorders>
              <w:top w:val="single" w:sz="4" w:space="0" w:color="auto"/>
              <w:left w:val="single" w:sz="4" w:space="0" w:color="auto"/>
              <w:bottom w:val="single" w:sz="4" w:space="0" w:color="auto"/>
              <w:right w:val="single" w:sz="4" w:space="0" w:color="auto"/>
            </w:tcBorders>
          </w:tcPr>
          <w:p w14:paraId="01CBF7E0" w14:textId="77777777" w:rsidR="00536CE7" w:rsidRPr="000665B0" w:rsidRDefault="00536CE7" w:rsidP="0056739E">
            <w:pPr>
              <w:spacing w:before="60" w:after="60" w:line="240" w:lineRule="auto"/>
              <w:rPr>
                <w:sz w:val="20"/>
              </w:rPr>
            </w:pPr>
          </w:p>
        </w:tc>
        <w:tc>
          <w:tcPr>
            <w:tcW w:w="420" w:type="dxa"/>
            <w:gridSpan w:val="2"/>
            <w:tcBorders>
              <w:top w:val="single" w:sz="4" w:space="0" w:color="auto"/>
              <w:left w:val="single" w:sz="4" w:space="0" w:color="auto"/>
              <w:bottom w:val="single" w:sz="4" w:space="0" w:color="auto"/>
              <w:right w:val="single" w:sz="4" w:space="0" w:color="auto"/>
            </w:tcBorders>
          </w:tcPr>
          <w:p w14:paraId="08F10F24" w14:textId="77777777" w:rsidR="00536CE7" w:rsidRPr="000665B0" w:rsidRDefault="00536CE7" w:rsidP="0056739E">
            <w:pPr>
              <w:spacing w:before="60" w:after="60" w:line="240" w:lineRule="auto"/>
              <w:rPr>
                <w:sz w:val="20"/>
              </w:rPr>
            </w:pPr>
          </w:p>
        </w:tc>
      </w:tr>
    </w:tbl>
    <w:p w14:paraId="348F182E" w14:textId="77777777" w:rsidR="00932DDB" w:rsidRPr="000665B0" w:rsidRDefault="00932DDB" w:rsidP="001F4B14">
      <w:pPr>
        <w:spacing w:before="120" w:after="0" w:line="240" w:lineRule="auto"/>
        <w:rPr>
          <w:sz w:val="20"/>
        </w:rPr>
      </w:pPr>
      <w:r w:rsidRPr="000665B0">
        <w:rPr>
          <w:sz w:val="20"/>
        </w:rPr>
        <w:t>Note 1: If installed with Embedded TPS.</w:t>
      </w:r>
    </w:p>
    <w:p w14:paraId="709F7DE4" w14:textId="77777777" w:rsidR="00932DDB" w:rsidRPr="000665B0" w:rsidRDefault="00932DDB" w:rsidP="00932DDB">
      <w:pPr>
        <w:spacing w:after="0" w:line="240" w:lineRule="auto"/>
        <w:rPr>
          <w:sz w:val="20"/>
        </w:rPr>
      </w:pPr>
    </w:p>
    <w:p w14:paraId="31AD8439" w14:textId="26182516" w:rsidR="00932DDB" w:rsidRPr="000665B0" w:rsidRDefault="00932DDB" w:rsidP="008C3FDE">
      <w:r w:rsidRPr="000665B0">
        <w:t xml:space="preserve">The MdsErrorLog is configured via the MDS application to automatically archive when it has 1,000 events. The MdsErrorLog archive </w:t>
      </w:r>
      <w:r w:rsidR="00B62DF8" w:rsidRPr="000665B0">
        <w:t>is</w:t>
      </w:r>
      <w:r w:rsidRPr="000665B0">
        <w:t xml:space="preserve"> saved as an XML file </w:t>
      </w:r>
      <w:r w:rsidR="001E0FF0" w:rsidRPr="000665B0">
        <w:t>(see</w:t>
      </w:r>
      <w:r w:rsidRPr="000665B0">
        <w:t xml:space="preserve"> </w:t>
      </w:r>
      <w:hyperlink w:anchor="Application_Log_Files" w:history="1">
        <w:r w:rsidR="006E764B" w:rsidRPr="000665B0">
          <w:rPr>
            <w:rStyle w:val="Hyperlink"/>
          </w:rPr>
          <w:t xml:space="preserve">Section </w:t>
        </w:r>
        <w:r w:rsidR="00093C35" w:rsidRPr="000665B0">
          <w:rPr>
            <w:rStyle w:val="Hyperlink"/>
          </w:rPr>
          <w:t>Q</w:t>
        </w:r>
        <w:r w:rsidR="00313130" w:rsidRPr="000665B0">
          <w:rPr>
            <w:rStyle w:val="Hyperlink"/>
          </w:rPr>
          <w:t>.</w:t>
        </w:r>
        <w:r w:rsidR="006E764B" w:rsidRPr="000665B0">
          <w:rPr>
            <w:rStyle w:val="Hyperlink"/>
          </w:rPr>
          <w:t>5.1.2</w:t>
        </w:r>
      </w:hyperlink>
      <w:r w:rsidR="001C6098">
        <w:t>).</w:t>
      </w:r>
      <w:r w:rsidRPr="000665B0">
        <w:t xml:space="preserve"> The current MdsErrorLog can be managed via the MDS Application or the Event Viewer. The archived MdsErrorLog logs can be deleted when deemed unnecessary to free up disk space. </w:t>
      </w:r>
    </w:p>
    <w:p w14:paraId="68B643DD" w14:textId="01EE4E49" w:rsidR="00932DDB" w:rsidRPr="000665B0" w:rsidRDefault="00932DDB" w:rsidP="008C3FDE">
      <w:r w:rsidRPr="000665B0">
        <w:t xml:space="preserve">The other </w:t>
      </w:r>
      <w:r w:rsidR="00982A28" w:rsidRPr="000665B0">
        <w:t xml:space="preserve">TMPC </w:t>
      </w:r>
      <w:r w:rsidRPr="000665B0">
        <w:t xml:space="preserve">Application logs </w:t>
      </w:r>
      <w:r w:rsidR="001E0FF0" w:rsidRPr="000665B0">
        <w:t>(see</w:t>
      </w:r>
      <w:r w:rsidRPr="000665B0">
        <w:t xml:space="preserve"> </w:t>
      </w:r>
      <w:hyperlink w:anchor="Application_Log_Files" w:history="1">
        <w:r w:rsidR="006E764B" w:rsidRPr="000665B0">
          <w:rPr>
            <w:rStyle w:val="Hyperlink"/>
          </w:rPr>
          <w:t xml:space="preserve">Section </w:t>
        </w:r>
        <w:r w:rsidR="00093C35" w:rsidRPr="000665B0">
          <w:rPr>
            <w:rStyle w:val="Hyperlink"/>
          </w:rPr>
          <w:t>Q</w:t>
        </w:r>
        <w:r w:rsidR="00313130" w:rsidRPr="000665B0">
          <w:rPr>
            <w:rStyle w:val="Hyperlink"/>
          </w:rPr>
          <w:t>.</w:t>
        </w:r>
        <w:r w:rsidR="006E764B" w:rsidRPr="000665B0">
          <w:rPr>
            <w:rStyle w:val="Hyperlink"/>
          </w:rPr>
          <w:t>5.1.2</w:t>
        </w:r>
      </w:hyperlink>
      <w:r w:rsidR="001E0FF0" w:rsidRPr="0056739E">
        <w:rPr>
          <w:rStyle w:val="Hyperlink"/>
          <w:color w:val="000000" w:themeColor="text1"/>
        </w:rPr>
        <w:t>)</w:t>
      </w:r>
      <w:r w:rsidRPr="000665B0">
        <w:t xml:space="preserve"> described as “Event Log - &lt;&gt;” are configured to </w:t>
      </w:r>
      <w:r w:rsidR="00400BC7" w:rsidRPr="000665B0">
        <w:t>“</w:t>
      </w:r>
      <w:r w:rsidRPr="000665B0">
        <w:t>Overwrite events as needed</w:t>
      </w:r>
      <w:r w:rsidR="00400BC7" w:rsidRPr="000665B0">
        <w:t>”</w:t>
      </w:r>
      <w:r w:rsidRPr="000665B0">
        <w:t xml:space="preserve"> so that the log will not grow indefinitely and will not automatically create archived log files.</w:t>
      </w:r>
    </w:p>
    <w:p w14:paraId="3356683A" w14:textId="77777777" w:rsidR="00932DDB" w:rsidRPr="000665B0" w:rsidRDefault="00932DDB" w:rsidP="00932DDB">
      <w:pPr>
        <w:spacing w:after="0" w:line="240" w:lineRule="auto"/>
      </w:pPr>
      <w:r w:rsidRPr="000665B0">
        <w:t xml:space="preserve">The OTH Logs are managed via the MDS Application </w:t>
      </w:r>
      <w:r w:rsidR="00507FDC" w:rsidRPr="000665B0">
        <w:rPr>
          <w:b/>
        </w:rPr>
        <w:t xml:space="preserve">Go </w:t>
      </w:r>
      <w:r w:rsidR="00507FDC" w:rsidRPr="000665B0">
        <w:rPr>
          <w:b/>
        </w:rPr>
        <w:sym w:font="Wingdings" w:char="F0E0"/>
      </w:r>
      <w:r w:rsidRPr="000665B0">
        <w:rPr>
          <w:b/>
        </w:rPr>
        <w:t xml:space="preserve"> TDM Message Log</w:t>
      </w:r>
      <w:r w:rsidRPr="000665B0">
        <w:t xml:space="preserve"> </w:t>
      </w:r>
      <w:r w:rsidR="008B745E" w:rsidRPr="000665B0">
        <w:t>t</w:t>
      </w:r>
      <w:r w:rsidRPr="000665B0">
        <w:t>ool. When deemed unnecessary, the OTH Message Logs should be cleared to free up disk space and (in some cases) improve performance of the initial display of the TDM Message Log.</w:t>
      </w:r>
    </w:p>
    <w:p w14:paraId="14E944FA" w14:textId="3413F99A" w:rsidR="00932DDB" w:rsidRPr="000665B0" w:rsidRDefault="00932DDB" w:rsidP="00D62233">
      <w:pPr>
        <w:pStyle w:val="Appendix5"/>
      </w:pPr>
      <w:r w:rsidRPr="000665B0">
        <w:t>A</w:t>
      </w:r>
      <w:r w:rsidR="00507FDC" w:rsidRPr="000665B0">
        <w:t>rchive</w:t>
      </w:r>
      <w:r w:rsidRPr="000665B0">
        <w:t xml:space="preserve"> </w:t>
      </w:r>
      <w:r w:rsidR="00982A28" w:rsidRPr="000665B0">
        <w:t xml:space="preserve">TMPC </w:t>
      </w:r>
      <w:r w:rsidRPr="000665B0">
        <w:t>A</w:t>
      </w:r>
      <w:r w:rsidR="00507FDC" w:rsidRPr="000665B0">
        <w:t>pplication</w:t>
      </w:r>
      <w:r w:rsidRPr="000665B0">
        <w:t xml:space="preserve"> L</w:t>
      </w:r>
      <w:r w:rsidR="00507FDC" w:rsidRPr="000665B0">
        <w:t>ogs</w:t>
      </w:r>
    </w:p>
    <w:p w14:paraId="5407DE5F" w14:textId="41E85F65" w:rsidR="00932DDB" w:rsidRPr="000665B0" w:rsidRDefault="00932DDB" w:rsidP="00AE53CA">
      <w:r w:rsidRPr="000665B0">
        <w:t xml:space="preserve">Archiving of the </w:t>
      </w:r>
      <w:r w:rsidR="00982A28" w:rsidRPr="000665B0">
        <w:t xml:space="preserve">TMPC </w:t>
      </w:r>
      <w:r w:rsidRPr="000665B0">
        <w:t xml:space="preserve">Application logs is not required. However, if desired, these logs </w:t>
      </w:r>
      <w:r w:rsidR="00975FEA" w:rsidRPr="000665B0">
        <w:t>can</w:t>
      </w:r>
      <w:r w:rsidRPr="000665B0">
        <w:t xml:space="preserve"> be archived on a weekly basis </w:t>
      </w:r>
      <w:r w:rsidR="00507FDC" w:rsidRPr="000665B0">
        <w:t>(</w:t>
      </w:r>
      <w:r w:rsidRPr="000665B0">
        <w:t>in addition to the audit log files</w:t>
      </w:r>
      <w:r w:rsidR="00507FDC" w:rsidRPr="000665B0">
        <w:t>)</w:t>
      </w:r>
      <w:r w:rsidRPr="000665B0">
        <w:t xml:space="preserve"> to provide more detailed information of system usage.</w:t>
      </w:r>
      <w:r w:rsidR="009651B0">
        <w:t xml:space="preserve"> </w:t>
      </w:r>
    </w:p>
    <w:p w14:paraId="4CEABB27" w14:textId="50F90833" w:rsidR="00932DDB" w:rsidRPr="000665B0" w:rsidRDefault="00932DDB" w:rsidP="00AE53CA">
      <w:r w:rsidRPr="000665B0">
        <w:t xml:space="preserve">Use Event Viewer to archive the </w:t>
      </w:r>
      <w:r w:rsidR="00982A28" w:rsidRPr="000665B0">
        <w:t xml:space="preserve">TMPC </w:t>
      </w:r>
      <w:r w:rsidRPr="000665B0">
        <w:t>Application logs</w:t>
      </w:r>
      <w:r w:rsidR="001E0FF0" w:rsidRPr="000665B0">
        <w:t xml:space="preserve"> (see </w:t>
      </w:r>
      <w:hyperlink w:anchor="Application_Log_Files" w:history="1">
        <w:r w:rsidR="001E0FF0" w:rsidRPr="000665B0">
          <w:rPr>
            <w:rStyle w:val="Hyperlink"/>
          </w:rPr>
          <w:t>Section Q.5.1.2</w:t>
        </w:r>
      </w:hyperlink>
      <w:r w:rsidR="001E0FF0" w:rsidRPr="0056739E">
        <w:rPr>
          <w:rStyle w:val="Hyperlink"/>
          <w:color w:val="000000" w:themeColor="text1"/>
        </w:rPr>
        <w:t>)</w:t>
      </w:r>
      <w:r w:rsidRPr="000665B0">
        <w:t xml:space="preserve"> described as </w:t>
      </w:r>
      <w:r w:rsidR="00975FEA" w:rsidRPr="000665B0">
        <w:t>“</w:t>
      </w:r>
      <w:r w:rsidRPr="000665B0">
        <w:t>Event Log - &lt;&gt;</w:t>
      </w:r>
      <w:r w:rsidR="00975FEA" w:rsidRPr="000665B0">
        <w:t>”</w:t>
      </w:r>
      <w:r w:rsidRPr="000665B0">
        <w:t xml:space="preserve">. </w:t>
      </w:r>
      <w:r w:rsidR="001E0FF0" w:rsidRPr="000665B0">
        <w:t xml:space="preserve">See </w:t>
      </w:r>
      <w:hyperlink w:anchor="Using_Event_Viewer" w:history="1">
        <w:r w:rsidR="001E0FF0" w:rsidRPr="000665B0">
          <w:rPr>
            <w:rStyle w:val="Hyperlink"/>
          </w:rPr>
          <w:t>Section Q.3.4</w:t>
        </w:r>
      </w:hyperlink>
      <w:r w:rsidR="001E0FF0" w:rsidRPr="000665B0">
        <w:t xml:space="preserve"> for information about using Event Viewer.</w:t>
      </w:r>
    </w:p>
    <w:p w14:paraId="641A9C6F" w14:textId="63FA86F2" w:rsidR="00932DDB" w:rsidRPr="000665B0" w:rsidRDefault="00932DDB" w:rsidP="00AE53CA">
      <w:r w:rsidRPr="000665B0">
        <w:t xml:space="preserve">Use WinZip to archive all other </w:t>
      </w:r>
      <w:r w:rsidR="00982A28" w:rsidRPr="000665B0">
        <w:t xml:space="preserve">TMPC </w:t>
      </w:r>
      <w:r w:rsidRPr="000665B0">
        <w:t>Application logs, including the archived MdsErrorLogs (</w:t>
      </w:r>
      <w:r w:rsidRPr="000665B0">
        <w:rPr>
          <w:b/>
        </w:rPr>
        <w:t>ErrorLog_*.xml</w:t>
      </w:r>
      <w:r w:rsidRPr="000665B0">
        <w:t xml:space="preserve">) files. </w:t>
      </w:r>
      <w:r w:rsidR="001E0FF0" w:rsidRPr="000665B0">
        <w:t xml:space="preserve">See </w:t>
      </w:r>
      <w:hyperlink w:anchor="Using_WinZip" w:history="1">
        <w:r w:rsidR="001E0FF0" w:rsidRPr="000665B0">
          <w:rPr>
            <w:rStyle w:val="Hyperlink"/>
          </w:rPr>
          <w:t>Section Q.3.3</w:t>
        </w:r>
      </w:hyperlink>
      <w:r w:rsidR="001E0FF0" w:rsidRPr="000665B0">
        <w:t xml:space="preserve"> for information about using</w:t>
      </w:r>
      <w:r w:rsidR="001E0FF0" w:rsidRPr="000665B0">
        <w:rPr>
          <w:rStyle w:val="Hyperlink"/>
        </w:rPr>
        <w:t xml:space="preserve"> </w:t>
      </w:r>
      <w:r w:rsidR="001E0FF0" w:rsidRPr="000665B0">
        <w:t>WinZip.</w:t>
      </w:r>
    </w:p>
    <w:p w14:paraId="6BF04349" w14:textId="79773C14" w:rsidR="00932DDB" w:rsidRPr="000665B0" w:rsidRDefault="00507FDC" w:rsidP="001F4B14">
      <w:pPr>
        <w:pStyle w:val="Appendix5"/>
      </w:pPr>
      <w:r w:rsidRPr="000665B0">
        <w:lastRenderedPageBreak/>
        <w:t>Delete/</w:t>
      </w:r>
      <w:r w:rsidR="00932DDB" w:rsidRPr="000665B0">
        <w:t>C</w:t>
      </w:r>
      <w:r w:rsidRPr="000665B0">
        <w:t>lear</w:t>
      </w:r>
      <w:r w:rsidR="00932DDB" w:rsidRPr="000665B0">
        <w:t xml:space="preserve"> </w:t>
      </w:r>
      <w:r w:rsidR="00982A28" w:rsidRPr="000665B0">
        <w:t xml:space="preserve">TMPC </w:t>
      </w:r>
      <w:r w:rsidR="00932DDB" w:rsidRPr="000665B0">
        <w:t>A</w:t>
      </w:r>
      <w:r w:rsidRPr="000665B0">
        <w:t>pplication</w:t>
      </w:r>
      <w:r w:rsidR="00932DDB" w:rsidRPr="000665B0">
        <w:t xml:space="preserve"> L</w:t>
      </w:r>
      <w:r w:rsidRPr="000665B0">
        <w:t>ogs</w:t>
      </w:r>
    </w:p>
    <w:p w14:paraId="7B52361C" w14:textId="77777777" w:rsidR="00932DDB" w:rsidRPr="000665B0" w:rsidRDefault="00932DDB" w:rsidP="00AE53CA">
      <w:r w:rsidRPr="000665B0">
        <w:t xml:space="preserve">Once the </w:t>
      </w:r>
      <w:r w:rsidR="00982A28" w:rsidRPr="000665B0">
        <w:t xml:space="preserve">TMPC </w:t>
      </w:r>
      <w:r w:rsidRPr="000665B0">
        <w:t>Application</w:t>
      </w:r>
      <w:r w:rsidR="008B745E" w:rsidRPr="000665B0">
        <w:t xml:space="preserve"> logs</w:t>
      </w:r>
      <w:r w:rsidRPr="000665B0">
        <w:t xml:space="preserve"> have been archived and/or deemed unnecessary, they can be deleted from the system to recover free disk space.</w:t>
      </w:r>
    </w:p>
    <w:p w14:paraId="1BF2D446" w14:textId="1DE1D3ED" w:rsidR="00932DDB" w:rsidRPr="000665B0" w:rsidRDefault="00932DDB" w:rsidP="00AE53CA">
      <w:r w:rsidRPr="000665B0">
        <w:t xml:space="preserve">Use Event Viewer to clear </w:t>
      </w:r>
      <w:r w:rsidR="00982A28" w:rsidRPr="000665B0">
        <w:t xml:space="preserve">TMPC </w:t>
      </w:r>
      <w:r w:rsidRPr="000665B0">
        <w:t>Application logs</w:t>
      </w:r>
      <w:r w:rsidR="00904380" w:rsidRPr="000665B0">
        <w:t xml:space="preserve"> (see </w:t>
      </w:r>
      <w:hyperlink w:anchor="Application_Log_Files" w:history="1">
        <w:r w:rsidR="00904380" w:rsidRPr="000665B0">
          <w:rPr>
            <w:rStyle w:val="Hyperlink"/>
          </w:rPr>
          <w:t>Section Q.5.1.2</w:t>
        </w:r>
      </w:hyperlink>
      <w:r w:rsidR="001C6098">
        <w:t xml:space="preserve">) </w:t>
      </w:r>
      <w:r w:rsidRPr="000665B0">
        <w:t xml:space="preserve">described as </w:t>
      </w:r>
      <w:r w:rsidR="00975FEA" w:rsidRPr="000665B0">
        <w:t>“</w:t>
      </w:r>
      <w:r w:rsidRPr="000665B0">
        <w:t>Event Log - &lt;&gt;</w:t>
      </w:r>
      <w:r w:rsidR="00975FEA" w:rsidRPr="000665B0">
        <w:t>”</w:t>
      </w:r>
      <w:r w:rsidRPr="000665B0">
        <w:t xml:space="preserve">. </w:t>
      </w:r>
      <w:r w:rsidR="00904380" w:rsidRPr="000665B0">
        <w:t xml:space="preserve">See </w:t>
      </w:r>
      <w:hyperlink w:anchor="Using_Event_Viewer" w:history="1">
        <w:r w:rsidR="00904380" w:rsidRPr="000665B0">
          <w:rPr>
            <w:rStyle w:val="Hyperlink"/>
          </w:rPr>
          <w:t>Section Q.3.4</w:t>
        </w:r>
      </w:hyperlink>
      <w:r w:rsidR="00904380" w:rsidRPr="000665B0">
        <w:t xml:space="preserve"> for information about using Event Viewer.</w:t>
      </w:r>
    </w:p>
    <w:p w14:paraId="4DC63DE5" w14:textId="77777777" w:rsidR="00932DDB" w:rsidRPr="000665B0" w:rsidRDefault="00932DDB" w:rsidP="00AE53CA">
      <w:r w:rsidRPr="000665B0">
        <w:t>Use Windows</w:t>
      </w:r>
      <w:r w:rsidR="00B75554" w:rsidRPr="000665B0">
        <w:t xml:space="preserve"> File</w:t>
      </w:r>
      <w:r w:rsidRPr="000665B0">
        <w:t xml:space="preserve"> Explorer to delete the Archived MdsErrorLog (</w:t>
      </w:r>
      <w:r w:rsidRPr="000665B0">
        <w:rPr>
          <w:b/>
        </w:rPr>
        <w:t>ErrorLog_*.xml</w:t>
      </w:r>
      <w:r w:rsidRPr="000665B0">
        <w:t>)</w:t>
      </w:r>
      <w:r w:rsidR="00400BC7" w:rsidRPr="000665B0">
        <w:t>.</w:t>
      </w:r>
      <w:r w:rsidRPr="000665B0">
        <w:t xml:space="preserve"> </w:t>
      </w:r>
    </w:p>
    <w:p w14:paraId="49416A6F" w14:textId="2DF8A2D1" w:rsidR="00932DDB" w:rsidRPr="000665B0" w:rsidRDefault="00932DDB" w:rsidP="00AE53CA">
      <w:r w:rsidRPr="000665B0">
        <w:t xml:space="preserve">Use MDS </w:t>
      </w:r>
      <w:r w:rsidR="008B745E" w:rsidRPr="000665B0">
        <w:rPr>
          <w:b/>
        </w:rPr>
        <w:t xml:space="preserve">Go </w:t>
      </w:r>
      <w:r w:rsidR="008B745E" w:rsidRPr="000665B0">
        <w:rPr>
          <w:b/>
        </w:rPr>
        <w:sym w:font="Wingdings" w:char="F0E0"/>
      </w:r>
      <w:r w:rsidRPr="000665B0">
        <w:t xml:space="preserve"> </w:t>
      </w:r>
      <w:r w:rsidRPr="000665B0">
        <w:rPr>
          <w:b/>
        </w:rPr>
        <w:t>TDM Message Log</w:t>
      </w:r>
      <w:r w:rsidRPr="000665B0">
        <w:t xml:space="preserve"> </w:t>
      </w:r>
      <w:r w:rsidR="008B745E" w:rsidRPr="000665B0">
        <w:rPr>
          <w:b/>
        </w:rPr>
        <w:sym w:font="Wingdings" w:char="F0E0"/>
      </w:r>
      <w:r w:rsidRPr="000665B0">
        <w:t xml:space="preserve"> </w:t>
      </w:r>
      <w:r w:rsidRPr="000665B0">
        <w:rPr>
          <w:b/>
          <w:i/>
        </w:rPr>
        <w:t>OTH</w:t>
      </w:r>
      <w:r w:rsidRPr="000665B0">
        <w:t xml:space="preserve"> tabs to delete the In </w:t>
      </w:r>
      <w:r w:rsidR="008B745E" w:rsidRPr="000665B0">
        <w:t>/</w:t>
      </w:r>
      <w:r w:rsidRPr="000665B0">
        <w:t xml:space="preserve"> Out Logs.</w:t>
      </w:r>
      <w:r w:rsidR="007D3BE7">
        <w:t xml:space="preserve"> </w:t>
      </w:r>
    </w:p>
    <w:p w14:paraId="6D9D01E8" w14:textId="1267A155" w:rsidR="00932DDB" w:rsidRPr="000665B0" w:rsidRDefault="00932DDB" w:rsidP="00D62233">
      <w:pPr>
        <w:pStyle w:val="Appendix4"/>
        <w:ind w:left="360"/>
      </w:pPr>
      <w:r w:rsidRPr="000665B0">
        <w:t>A</w:t>
      </w:r>
      <w:r w:rsidR="008B745E" w:rsidRPr="000665B0">
        <w:t>rchive</w:t>
      </w:r>
      <w:r w:rsidRPr="000665B0">
        <w:t xml:space="preserve"> L</w:t>
      </w:r>
      <w:r w:rsidR="008B745E" w:rsidRPr="000665B0">
        <w:t>og</w:t>
      </w:r>
      <w:r w:rsidRPr="000665B0">
        <w:t xml:space="preserve"> F</w:t>
      </w:r>
      <w:r w:rsidR="008B745E" w:rsidRPr="000665B0">
        <w:t>iles</w:t>
      </w:r>
      <w:r w:rsidRPr="000665B0">
        <w:t xml:space="preserve"> A</w:t>
      </w:r>
      <w:r w:rsidR="008B745E" w:rsidRPr="000665B0">
        <w:t>utomatically</w:t>
      </w:r>
    </w:p>
    <w:p w14:paraId="3B5F1C77" w14:textId="77777777" w:rsidR="00932DDB" w:rsidRPr="000665B0" w:rsidRDefault="00932DDB" w:rsidP="00932DDB">
      <w:r w:rsidRPr="000665B0">
        <w:t xml:space="preserve">Site administrators may desire to automatically backup and store the audits logs. A script and the installation procedures can be found on the </w:t>
      </w:r>
      <w:r w:rsidR="003D6207" w:rsidRPr="000665B0">
        <w:rPr>
          <w:i/>
        </w:rPr>
        <w:t>TMPC</w:t>
      </w:r>
      <w:r w:rsidR="003D6207" w:rsidRPr="000665B0" w:rsidDel="003D6207">
        <w:rPr>
          <w:i/>
        </w:rPr>
        <w:t xml:space="preserve"> </w:t>
      </w:r>
      <w:r w:rsidRPr="000665B0">
        <w:rPr>
          <w:i/>
        </w:rPr>
        <w:t>Security Disc</w:t>
      </w:r>
      <w:r w:rsidRPr="000665B0">
        <w:t xml:space="preserve">. </w:t>
      </w:r>
    </w:p>
    <w:p w14:paraId="4AD3CC62" w14:textId="07A6A51F" w:rsidR="00932DDB" w:rsidRPr="000665B0" w:rsidRDefault="00932DDB" w:rsidP="00D62233">
      <w:pPr>
        <w:pStyle w:val="Appendix4"/>
        <w:ind w:left="360"/>
      </w:pPr>
      <w:r w:rsidRPr="000665B0">
        <w:t>A</w:t>
      </w:r>
      <w:r w:rsidR="008B745E" w:rsidRPr="000665B0">
        <w:t>rchival</w:t>
      </w:r>
      <w:r w:rsidRPr="000665B0">
        <w:t xml:space="preserve"> M</w:t>
      </w:r>
      <w:r w:rsidR="008B745E" w:rsidRPr="000665B0">
        <w:t>edia</w:t>
      </w:r>
    </w:p>
    <w:p w14:paraId="3A54AC8F" w14:textId="77777777" w:rsidR="00932DDB" w:rsidRPr="000665B0" w:rsidRDefault="00932DDB" w:rsidP="008B745E">
      <w:r w:rsidRPr="000665B0">
        <w:t xml:space="preserve">Archived log files should be saved to media for long-term storage. </w:t>
      </w:r>
      <w:r w:rsidR="00167CB3" w:rsidRPr="000665B0">
        <w:t>The</w:t>
      </w:r>
      <w:r w:rsidRPr="000665B0">
        <w:t xml:space="preserve"> media should be placed in physically protected storage and handled in accordance with the sensitivity of the systems to which they are associated.</w:t>
      </w:r>
    </w:p>
    <w:p w14:paraId="5D6CC56F" w14:textId="77777777" w:rsidR="00932DDB" w:rsidRPr="000665B0" w:rsidRDefault="00932DDB" w:rsidP="008B745E">
      <w:r w:rsidRPr="000665B0">
        <w:t>For convenience, all archives of a specific type for a given workstation may be placed on a single media. Depending on the size of the archives and the capacity of the media, a single media may store several weeks of data.</w:t>
      </w:r>
    </w:p>
    <w:p w14:paraId="30DF2B36" w14:textId="77777777" w:rsidR="00932DDB" w:rsidRPr="000665B0" w:rsidRDefault="00932DDB" w:rsidP="00585646">
      <w:pPr>
        <w:keepNext/>
        <w:pBdr>
          <w:top w:val="single" w:sz="12" w:space="1" w:color="auto"/>
          <w:left w:val="single" w:sz="12" w:space="4" w:color="auto"/>
          <w:bottom w:val="single" w:sz="12" w:space="1" w:color="auto"/>
          <w:right w:val="single" w:sz="12" w:space="4" w:color="auto"/>
        </w:pBdr>
        <w:shd w:val="clear" w:color="auto" w:fill="D9D9D9"/>
        <w:spacing w:before="240" w:after="0"/>
        <w:jc w:val="center"/>
        <w:rPr>
          <w:b/>
          <w:bCs/>
          <w:szCs w:val="24"/>
        </w:rPr>
      </w:pPr>
      <w:r w:rsidRPr="000665B0">
        <w:rPr>
          <w:b/>
          <w:bCs/>
          <w:szCs w:val="24"/>
        </w:rPr>
        <w:t>N</w:t>
      </w:r>
      <w:r w:rsidR="008B745E" w:rsidRPr="000665B0">
        <w:rPr>
          <w:b/>
          <w:bCs/>
          <w:szCs w:val="24"/>
        </w:rPr>
        <w:t>ote</w:t>
      </w:r>
      <w:r w:rsidRPr="000665B0">
        <w:rPr>
          <w:b/>
          <w:bCs/>
          <w:szCs w:val="24"/>
        </w:rPr>
        <w:t xml:space="preserve">: </w:t>
      </w:r>
    </w:p>
    <w:p w14:paraId="7C898211" w14:textId="77777777" w:rsidR="00932DDB" w:rsidRPr="000665B0" w:rsidRDefault="00932DDB" w:rsidP="00932DDB">
      <w:pPr>
        <w:pBdr>
          <w:top w:val="single" w:sz="12" w:space="1" w:color="auto"/>
          <w:left w:val="single" w:sz="12" w:space="4" w:color="auto"/>
          <w:bottom w:val="single" w:sz="12" w:space="1" w:color="auto"/>
          <w:right w:val="single" w:sz="12" w:space="4" w:color="auto"/>
        </w:pBdr>
        <w:shd w:val="clear" w:color="auto" w:fill="D9D9D9"/>
        <w:jc w:val="center"/>
        <w:rPr>
          <w:b/>
          <w:bCs/>
          <w:szCs w:val="24"/>
        </w:rPr>
      </w:pPr>
      <w:r w:rsidRPr="000665B0">
        <w:rPr>
          <w:b/>
          <w:bCs/>
          <w:szCs w:val="24"/>
        </w:rPr>
        <w:t>Each site is responsible for developing local procedures to ensure that archives are conducted and stored in accordance with the requirements described in this manual.</w:t>
      </w:r>
    </w:p>
    <w:p w14:paraId="424FC302" w14:textId="27960FE0" w:rsidR="00932DDB" w:rsidRPr="000665B0" w:rsidRDefault="00932DDB" w:rsidP="00AE53CA">
      <w:pPr>
        <w:pStyle w:val="Appendix4"/>
        <w:ind w:left="360"/>
      </w:pPr>
      <w:r w:rsidRPr="000665B0">
        <w:t>A</w:t>
      </w:r>
      <w:r w:rsidR="008B745E" w:rsidRPr="000665B0">
        <w:t>rchival</w:t>
      </w:r>
      <w:r w:rsidRPr="000665B0">
        <w:t xml:space="preserve"> L</w:t>
      </w:r>
      <w:r w:rsidR="008B745E" w:rsidRPr="000665B0">
        <w:t>abels</w:t>
      </w:r>
    </w:p>
    <w:p w14:paraId="08F8EEE2" w14:textId="77777777" w:rsidR="00932DDB" w:rsidRPr="000665B0" w:rsidRDefault="00932DDB" w:rsidP="00CC5CE9">
      <w:pPr>
        <w:keepNext/>
      </w:pPr>
      <w:r w:rsidRPr="000665B0">
        <w:t>Each long-term storage media container must be marked with the following information:</w:t>
      </w:r>
    </w:p>
    <w:p w14:paraId="50F10EB2" w14:textId="77777777" w:rsidR="00932DDB" w:rsidRPr="000665B0" w:rsidRDefault="008B745E" w:rsidP="006D5A65">
      <w:pPr>
        <w:pStyle w:val="Heading1"/>
      </w:pPr>
      <w:r w:rsidRPr="000665B0">
        <w:t>System Name</w:t>
      </w:r>
    </w:p>
    <w:p w14:paraId="4ACD9E27" w14:textId="77777777" w:rsidR="00932DDB" w:rsidRPr="000665B0" w:rsidRDefault="008B745E" w:rsidP="006D5A65">
      <w:pPr>
        <w:pStyle w:val="Heading1"/>
      </w:pPr>
      <w:r w:rsidRPr="000665B0">
        <w:t>OS Version</w:t>
      </w:r>
    </w:p>
    <w:p w14:paraId="4D390FB1" w14:textId="77777777" w:rsidR="00932DDB" w:rsidRPr="000665B0" w:rsidRDefault="00932DDB" w:rsidP="006D5A65">
      <w:pPr>
        <w:pStyle w:val="Heading1"/>
      </w:pPr>
      <w:r w:rsidRPr="000665B0">
        <w:t>Start Date (if media contains more than one log – thi</w:t>
      </w:r>
      <w:r w:rsidR="008B745E" w:rsidRPr="000665B0">
        <w:t>s is the date of the first log)</w:t>
      </w:r>
    </w:p>
    <w:p w14:paraId="211BC4C1" w14:textId="77777777" w:rsidR="00932DDB" w:rsidRPr="000665B0" w:rsidRDefault="00932DDB" w:rsidP="006D5A65">
      <w:pPr>
        <w:pStyle w:val="Heading1"/>
      </w:pPr>
      <w:r w:rsidRPr="000665B0">
        <w:t>Stop Date (if media contains more than one log – th</w:t>
      </w:r>
      <w:r w:rsidR="008B745E" w:rsidRPr="000665B0">
        <w:t>is is the date of the last log)</w:t>
      </w:r>
    </w:p>
    <w:p w14:paraId="4157F695" w14:textId="77777777" w:rsidR="00932DDB" w:rsidRPr="000665B0" w:rsidRDefault="008B745E" w:rsidP="006D5A65">
      <w:pPr>
        <w:pStyle w:val="Heading1"/>
      </w:pPr>
      <w:r w:rsidRPr="000665B0">
        <w:t>Classification</w:t>
      </w:r>
    </w:p>
    <w:p w14:paraId="669B7D21" w14:textId="77777777" w:rsidR="00932DDB" w:rsidRPr="000665B0" w:rsidRDefault="00932DDB" w:rsidP="006D5A65">
      <w:pPr>
        <w:pStyle w:val="Heading1"/>
      </w:pPr>
      <w:r w:rsidRPr="000665B0">
        <w:t>Date Archived (if media contains more than one log – this is the date of the last archive).</w:t>
      </w:r>
    </w:p>
    <w:p w14:paraId="761C545E" w14:textId="42EBC9D5" w:rsidR="00932DDB" w:rsidRPr="000665B0" w:rsidRDefault="00932DDB" w:rsidP="003D7B03">
      <w:pPr>
        <w:pStyle w:val="Appendix4"/>
        <w:pageBreakBefore/>
        <w:spacing w:before="0"/>
        <w:ind w:left="360"/>
      </w:pPr>
      <w:r w:rsidRPr="000665B0">
        <w:lastRenderedPageBreak/>
        <w:t>A</w:t>
      </w:r>
      <w:r w:rsidR="008B745E" w:rsidRPr="000665B0">
        <w:t>rchival</w:t>
      </w:r>
      <w:r w:rsidRPr="000665B0">
        <w:t xml:space="preserve"> D</w:t>
      </w:r>
      <w:r w:rsidR="008B745E" w:rsidRPr="000665B0">
        <w:t>ata</w:t>
      </w:r>
      <w:r w:rsidRPr="000665B0">
        <w:t xml:space="preserve"> R</w:t>
      </w:r>
      <w:r w:rsidR="008B745E" w:rsidRPr="000665B0">
        <w:t>etention</w:t>
      </w:r>
    </w:p>
    <w:p w14:paraId="37DDA43E" w14:textId="77777777" w:rsidR="00932DDB" w:rsidRPr="000665B0" w:rsidRDefault="00932DDB" w:rsidP="00932DDB">
      <w:pPr>
        <w:pBdr>
          <w:top w:val="single" w:sz="12" w:space="1" w:color="auto"/>
          <w:left w:val="single" w:sz="12" w:space="4" w:color="auto"/>
          <w:bottom w:val="single" w:sz="12" w:space="1" w:color="auto"/>
          <w:right w:val="single" w:sz="12" w:space="4" w:color="auto"/>
        </w:pBdr>
        <w:shd w:val="clear" w:color="auto" w:fill="D9D9D9"/>
        <w:spacing w:after="0"/>
        <w:jc w:val="center"/>
        <w:rPr>
          <w:b/>
          <w:bCs/>
          <w:szCs w:val="24"/>
        </w:rPr>
      </w:pPr>
      <w:r w:rsidRPr="000665B0">
        <w:rPr>
          <w:b/>
          <w:bCs/>
          <w:szCs w:val="24"/>
        </w:rPr>
        <w:t>N</w:t>
      </w:r>
      <w:r w:rsidR="008B745E" w:rsidRPr="000665B0">
        <w:rPr>
          <w:b/>
          <w:bCs/>
          <w:szCs w:val="24"/>
        </w:rPr>
        <w:t>ote</w:t>
      </w:r>
      <w:r w:rsidRPr="000665B0">
        <w:rPr>
          <w:b/>
          <w:bCs/>
          <w:szCs w:val="24"/>
        </w:rPr>
        <w:t xml:space="preserve">: </w:t>
      </w:r>
    </w:p>
    <w:p w14:paraId="4CF2AF5F" w14:textId="77777777" w:rsidR="00932DDB" w:rsidRPr="000665B0" w:rsidRDefault="00932DDB" w:rsidP="00932DDB">
      <w:pPr>
        <w:pBdr>
          <w:top w:val="single" w:sz="12" w:space="1" w:color="auto"/>
          <w:left w:val="single" w:sz="12" w:space="4" w:color="auto"/>
          <w:bottom w:val="single" w:sz="12" w:space="1" w:color="auto"/>
          <w:right w:val="single" w:sz="12" w:space="4" w:color="auto"/>
        </w:pBdr>
        <w:shd w:val="clear" w:color="auto" w:fill="D9D9D9"/>
        <w:jc w:val="center"/>
        <w:rPr>
          <w:b/>
          <w:bCs/>
          <w:szCs w:val="24"/>
        </w:rPr>
      </w:pPr>
      <w:r w:rsidRPr="000665B0">
        <w:rPr>
          <w:b/>
          <w:bCs/>
          <w:szCs w:val="24"/>
        </w:rPr>
        <w:t>The time period that the audit log archive needs to be retained is site specific. The following is the recommended government standard guideline.</w:t>
      </w:r>
    </w:p>
    <w:p w14:paraId="153EA8FB" w14:textId="77777777" w:rsidR="00932DDB" w:rsidRPr="000665B0" w:rsidRDefault="00932DDB" w:rsidP="008C3FDE">
      <w:r w:rsidRPr="000665B0">
        <w:t xml:space="preserve">Audit data files must be retained for 12 months on the low side, 60 months on the high side to facilitate historical analysis in the event of a security incident or system compromise. When an intruder breaks into a system, </w:t>
      </w:r>
      <w:r w:rsidR="00975FEA" w:rsidRPr="000665B0">
        <w:t>it</w:t>
      </w:r>
      <w:r w:rsidRPr="000665B0">
        <w:t xml:space="preserve"> is rarely detected immediately. In many cases, intruder activity goes unnoticed for weeks and sometimes months before being identified. In these cases, a historical analysis of audit data must be conducted to determine when the system was compromised and to completely assess the damage.</w:t>
      </w:r>
    </w:p>
    <w:p w14:paraId="1FE55404" w14:textId="1CA3FB60" w:rsidR="00932DDB" w:rsidRPr="000665B0" w:rsidRDefault="00932DDB" w:rsidP="00AE53CA">
      <w:pPr>
        <w:pStyle w:val="Appendix3"/>
        <w:ind w:left="360"/>
      </w:pPr>
      <w:bookmarkStart w:id="8235" w:name="_Toc214283747"/>
      <w:r w:rsidRPr="000665B0">
        <w:t>T</w:t>
      </w:r>
      <w:r w:rsidR="001E01A1" w:rsidRPr="000665B0">
        <w:t>emporary</w:t>
      </w:r>
      <w:r w:rsidRPr="000665B0">
        <w:t xml:space="preserve"> F</w:t>
      </w:r>
      <w:r w:rsidR="001E01A1" w:rsidRPr="000665B0">
        <w:t>iles</w:t>
      </w:r>
      <w:bookmarkEnd w:id="8235"/>
    </w:p>
    <w:p w14:paraId="3BD4E516" w14:textId="4CC1B9A0" w:rsidR="00932DDB" w:rsidRPr="000665B0" w:rsidRDefault="00932DDB" w:rsidP="00932DDB">
      <w:r w:rsidRPr="000665B0">
        <w:t>Listed in the table below are the files</w:t>
      </w:r>
      <w:r w:rsidR="008B745E" w:rsidRPr="000665B0">
        <w:t>/</w:t>
      </w:r>
      <w:r w:rsidRPr="000665B0">
        <w:t xml:space="preserve">directories where the </w:t>
      </w:r>
      <w:r w:rsidR="003D6207" w:rsidRPr="000665B0">
        <w:t>TMPC</w:t>
      </w:r>
      <w:r w:rsidR="003D6207" w:rsidRPr="000665B0" w:rsidDel="003D6207">
        <w:t xml:space="preserve"> </w:t>
      </w:r>
      <w:r w:rsidRPr="000665B0">
        <w:t>Applications may temporarily write data onto the hard disk. The data in these directories may occasionally need to be deleted to free up disk space.</w:t>
      </w:r>
      <w:r w:rsidR="009651B0">
        <w:t xml:space="preserve"> </w:t>
      </w:r>
    </w:p>
    <w:p w14:paraId="71654957" w14:textId="77777777" w:rsidR="005145EC" w:rsidRPr="000665B0" w:rsidRDefault="005145EC" w:rsidP="00932DDB">
      <w:r w:rsidRPr="000665B0">
        <w:t>The deletion frequency of these files is discretionary; there is no DoD specified requirement.</w:t>
      </w:r>
    </w:p>
    <w:tbl>
      <w:tblPr>
        <w:tblW w:w="930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0"/>
        <w:gridCol w:w="4464"/>
        <w:gridCol w:w="579"/>
        <w:gridCol w:w="579"/>
        <w:gridCol w:w="579"/>
        <w:gridCol w:w="579"/>
        <w:gridCol w:w="579"/>
        <w:gridCol w:w="579"/>
      </w:tblGrid>
      <w:tr w:rsidR="00CD543E" w:rsidRPr="000665B0" w14:paraId="17E986F2" w14:textId="77777777" w:rsidTr="00CD543E">
        <w:trPr>
          <w:trHeight w:val="475"/>
          <w:tblHeader/>
        </w:trPr>
        <w:tc>
          <w:tcPr>
            <w:tcW w:w="9308" w:type="dxa"/>
            <w:gridSpan w:val="8"/>
            <w:shd w:val="clear" w:color="000000" w:fill="D9D9D9"/>
            <w:vAlign w:val="bottom"/>
          </w:tcPr>
          <w:p w14:paraId="55BB9254" w14:textId="3EFB169A" w:rsidR="00CD543E" w:rsidRPr="000665B0" w:rsidRDefault="00093C35" w:rsidP="0056739E">
            <w:pPr>
              <w:spacing w:before="60" w:after="60"/>
              <w:rPr>
                <w:b/>
              </w:rPr>
            </w:pPr>
            <w:r w:rsidRPr="000665B0">
              <w:rPr>
                <w:b/>
              </w:rPr>
              <w:t>Q</w:t>
            </w:r>
            <w:r w:rsidR="001E137B" w:rsidRPr="000665B0">
              <w:rPr>
                <w:b/>
              </w:rPr>
              <w:t>.</w:t>
            </w:r>
            <w:r w:rsidR="00CD543E" w:rsidRPr="000665B0">
              <w:rPr>
                <w:b/>
              </w:rPr>
              <w:t>5.2</w:t>
            </w:r>
            <w:r w:rsidR="009651B0">
              <w:rPr>
                <w:b/>
              </w:rPr>
              <w:t xml:space="preserve"> </w:t>
            </w:r>
            <w:r w:rsidR="00CD543E" w:rsidRPr="000665B0">
              <w:rPr>
                <w:b/>
              </w:rPr>
              <w:t>Temporary Files</w:t>
            </w:r>
          </w:p>
        </w:tc>
      </w:tr>
      <w:tr w:rsidR="00932DDB" w:rsidRPr="000665B0" w14:paraId="4B8D5B56" w14:textId="77777777" w:rsidTr="00932DDB">
        <w:trPr>
          <w:trHeight w:val="1970"/>
          <w:tblHeader/>
        </w:trPr>
        <w:tc>
          <w:tcPr>
            <w:tcW w:w="1932" w:type="dxa"/>
            <w:shd w:val="clear" w:color="000000" w:fill="D9D9D9"/>
            <w:vAlign w:val="bottom"/>
            <w:hideMark/>
          </w:tcPr>
          <w:p w14:paraId="74EAB100" w14:textId="77777777" w:rsidR="00932DDB" w:rsidRPr="000665B0" w:rsidRDefault="00932DDB" w:rsidP="0056739E">
            <w:pPr>
              <w:widowControl w:val="0"/>
              <w:spacing w:before="60" w:after="60" w:line="240" w:lineRule="auto"/>
              <w:rPr>
                <w:b/>
                <w:bCs/>
                <w:sz w:val="20"/>
              </w:rPr>
            </w:pPr>
            <w:r w:rsidRPr="000665B0">
              <w:rPr>
                <w:b/>
                <w:bCs/>
                <w:sz w:val="20"/>
              </w:rPr>
              <w:t>Description</w:t>
            </w:r>
          </w:p>
        </w:tc>
        <w:tc>
          <w:tcPr>
            <w:tcW w:w="4483" w:type="dxa"/>
            <w:shd w:val="clear" w:color="000000" w:fill="D9D9D9"/>
            <w:vAlign w:val="bottom"/>
            <w:hideMark/>
          </w:tcPr>
          <w:p w14:paraId="6A954AF4" w14:textId="77777777" w:rsidR="00932DDB" w:rsidRPr="000665B0" w:rsidRDefault="00932DDB" w:rsidP="0056739E">
            <w:pPr>
              <w:widowControl w:val="0"/>
              <w:spacing w:before="60" w:after="60" w:line="240" w:lineRule="auto"/>
              <w:rPr>
                <w:b/>
                <w:bCs/>
                <w:sz w:val="20"/>
              </w:rPr>
            </w:pPr>
            <w:r w:rsidRPr="000665B0">
              <w:rPr>
                <w:b/>
                <w:bCs/>
                <w:sz w:val="20"/>
              </w:rPr>
              <w:t>Path</w:t>
            </w:r>
          </w:p>
        </w:tc>
        <w:tc>
          <w:tcPr>
            <w:tcW w:w="473" w:type="dxa"/>
            <w:shd w:val="clear" w:color="000000" w:fill="D9D9D9"/>
            <w:textDirection w:val="btLr"/>
            <w:vAlign w:val="bottom"/>
            <w:hideMark/>
          </w:tcPr>
          <w:p w14:paraId="7C695984" w14:textId="77777777" w:rsidR="00932DDB" w:rsidRPr="000665B0" w:rsidRDefault="00395432" w:rsidP="0056739E">
            <w:pPr>
              <w:widowControl w:val="0"/>
              <w:spacing w:before="60" w:after="60" w:line="240" w:lineRule="auto"/>
              <w:rPr>
                <w:b/>
                <w:bCs/>
                <w:sz w:val="20"/>
              </w:rPr>
            </w:pPr>
            <w:r w:rsidRPr="000665B0">
              <w:rPr>
                <w:b/>
                <w:bCs/>
                <w:sz w:val="20"/>
              </w:rPr>
              <w:t>Standalone MDS</w:t>
            </w:r>
            <w:r w:rsidR="00C3627A" w:rsidRPr="000665B0">
              <w:rPr>
                <w:b/>
                <w:bCs/>
                <w:sz w:val="20"/>
              </w:rPr>
              <w:t>/</w:t>
            </w:r>
            <w:r w:rsidR="00932DDB" w:rsidRPr="000665B0">
              <w:rPr>
                <w:b/>
                <w:bCs/>
                <w:sz w:val="20"/>
              </w:rPr>
              <w:t>FRU</w:t>
            </w:r>
          </w:p>
        </w:tc>
        <w:tc>
          <w:tcPr>
            <w:tcW w:w="513" w:type="dxa"/>
            <w:shd w:val="clear" w:color="000000" w:fill="D9D9D9"/>
            <w:textDirection w:val="btLr"/>
            <w:vAlign w:val="bottom"/>
            <w:hideMark/>
          </w:tcPr>
          <w:p w14:paraId="709C05DA" w14:textId="77777777" w:rsidR="00932DDB" w:rsidRPr="000665B0" w:rsidRDefault="00932DDB" w:rsidP="0056739E">
            <w:pPr>
              <w:widowControl w:val="0"/>
              <w:spacing w:before="60" w:after="60" w:line="240" w:lineRule="auto"/>
              <w:rPr>
                <w:b/>
                <w:bCs/>
                <w:sz w:val="20"/>
              </w:rPr>
            </w:pPr>
            <w:r w:rsidRPr="000665B0">
              <w:rPr>
                <w:b/>
                <w:bCs/>
                <w:sz w:val="20"/>
              </w:rPr>
              <w:t>CSG MDS</w:t>
            </w:r>
          </w:p>
        </w:tc>
        <w:tc>
          <w:tcPr>
            <w:tcW w:w="473" w:type="dxa"/>
            <w:shd w:val="clear" w:color="000000" w:fill="D9D9D9"/>
            <w:textDirection w:val="btLr"/>
            <w:vAlign w:val="bottom"/>
            <w:hideMark/>
          </w:tcPr>
          <w:p w14:paraId="2C99616D" w14:textId="77777777" w:rsidR="00932DDB" w:rsidRPr="000665B0" w:rsidRDefault="00932DDB" w:rsidP="0056739E">
            <w:pPr>
              <w:widowControl w:val="0"/>
              <w:spacing w:before="60" w:after="60" w:line="240" w:lineRule="auto"/>
              <w:rPr>
                <w:b/>
                <w:bCs/>
                <w:sz w:val="20"/>
              </w:rPr>
            </w:pPr>
            <w:r w:rsidRPr="000665B0">
              <w:rPr>
                <w:b/>
                <w:bCs/>
                <w:sz w:val="20"/>
              </w:rPr>
              <w:t>CSG TED</w:t>
            </w:r>
          </w:p>
        </w:tc>
        <w:tc>
          <w:tcPr>
            <w:tcW w:w="473" w:type="dxa"/>
            <w:shd w:val="clear" w:color="000000" w:fill="D9D9D9"/>
            <w:textDirection w:val="btLr"/>
            <w:vAlign w:val="bottom"/>
            <w:hideMark/>
          </w:tcPr>
          <w:p w14:paraId="133B555D" w14:textId="77777777" w:rsidR="00932DDB" w:rsidRPr="000665B0" w:rsidRDefault="00932DDB" w:rsidP="0056739E">
            <w:pPr>
              <w:widowControl w:val="0"/>
              <w:spacing w:before="60" w:after="60" w:line="240" w:lineRule="auto"/>
              <w:rPr>
                <w:b/>
                <w:bCs/>
                <w:sz w:val="20"/>
              </w:rPr>
            </w:pPr>
            <w:r w:rsidRPr="000665B0">
              <w:rPr>
                <w:b/>
                <w:bCs/>
                <w:sz w:val="20"/>
              </w:rPr>
              <w:t>CMSA</w:t>
            </w:r>
            <w:r w:rsidR="00C3627A" w:rsidRPr="000665B0">
              <w:rPr>
                <w:b/>
                <w:bCs/>
                <w:sz w:val="20"/>
              </w:rPr>
              <w:t>/</w:t>
            </w:r>
            <w:r w:rsidRPr="000665B0">
              <w:rPr>
                <w:b/>
                <w:bCs/>
                <w:sz w:val="20"/>
              </w:rPr>
              <w:t>TSMPC MDS</w:t>
            </w:r>
          </w:p>
        </w:tc>
        <w:tc>
          <w:tcPr>
            <w:tcW w:w="488" w:type="dxa"/>
            <w:shd w:val="clear" w:color="000000" w:fill="D9D9D9"/>
            <w:textDirection w:val="btLr"/>
            <w:vAlign w:val="bottom"/>
            <w:hideMark/>
          </w:tcPr>
          <w:p w14:paraId="66467E31" w14:textId="77777777" w:rsidR="00932DDB" w:rsidRPr="000665B0" w:rsidRDefault="00932DDB" w:rsidP="0056739E">
            <w:pPr>
              <w:widowControl w:val="0"/>
              <w:spacing w:before="60" w:after="60" w:line="240" w:lineRule="auto"/>
              <w:rPr>
                <w:b/>
                <w:bCs/>
                <w:sz w:val="20"/>
              </w:rPr>
            </w:pPr>
            <w:r w:rsidRPr="000665B0">
              <w:rPr>
                <w:b/>
                <w:bCs/>
                <w:sz w:val="20"/>
              </w:rPr>
              <w:t>CMSA</w:t>
            </w:r>
            <w:r w:rsidR="00C3627A" w:rsidRPr="000665B0">
              <w:rPr>
                <w:b/>
                <w:bCs/>
                <w:sz w:val="20"/>
              </w:rPr>
              <w:t>/</w:t>
            </w:r>
            <w:r w:rsidRPr="000665B0">
              <w:rPr>
                <w:b/>
                <w:bCs/>
                <w:sz w:val="20"/>
              </w:rPr>
              <w:t>TSMPC DB</w:t>
            </w:r>
          </w:p>
        </w:tc>
        <w:tc>
          <w:tcPr>
            <w:tcW w:w="473" w:type="dxa"/>
            <w:shd w:val="clear" w:color="000000" w:fill="D9D9D9"/>
            <w:textDirection w:val="btLr"/>
            <w:vAlign w:val="bottom"/>
            <w:hideMark/>
          </w:tcPr>
          <w:p w14:paraId="3963FA7D" w14:textId="77777777" w:rsidR="00932DDB" w:rsidRPr="000665B0" w:rsidRDefault="00932DDB" w:rsidP="0056739E">
            <w:pPr>
              <w:widowControl w:val="0"/>
              <w:spacing w:before="60" w:after="60" w:line="240" w:lineRule="auto"/>
              <w:rPr>
                <w:b/>
                <w:bCs/>
                <w:sz w:val="20"/>
              </w:rPr>
            </w:pPr>
            <w:r w:rsidRPr="000665B0">
              <w:rPr>
                <w:b/>
                <w:bCs/>
                <w:sz w:val="20"/>
              </w:rPr>
              <w:t>CMSA</w:t>
            </w:r>
            <w:r w:rsidR="00C3627A" w:rsidRPr="000665B0">
              <w:rPr>
                <w:b/>
                <w:bCs/>
                <w:sz w:val="20"/>
              </w:rPr>
              <w:t>/</w:t>
            </w:r>
            <w:r w:rsidRPr="000665B0">
              <w:rPr>
                <w:b/>
                <w:bCs/>
                <w:sz w:val="20"/>
              </w:rPr>
              <w:t>TSMPC TED</w:t>
            </w:r>
          </w:p>
        </w:tc>
      </w:tr>
      <w:tr w:rsidR="00932DDB" w:rsidRPr="000665B0" w14:paraId="61B3BF55" w14:textId="77777777" w:rsidTr="00932DDB">
        <w:trPr>
          <w:trHeight w:val="255"/>
        </w:trPr>
        <w:tc>
          <w:tcPr>
            <w:tcW w:w="1932" w:type="dxa"/>
            <w:hideMark/>
          </w:tcPr>
          <w:p w14:paraId="08F5C87D" w14:textId="77777777" w:rsidR="00932DDB" w:rsidRPr="000665B0" w:rsidRDefault="00932DDB" w:rsidP="0056739E">
            <w:pPr>
              <w:widowControl w:val="0"/>
              <w:spacing w:before="60" w:after="60" w:line="240" w:lineRule="auto"/>
              <w:rPr>
                <w:sz w:val="20"/>
              </w:rPr>
            </w:pPr>
            <w:r w:rsidRPr="000665B0">
              <w:rPr>
                <w:sz w:val="20"/>
              </w:rPr>
              <w:t xml:space="preserve">MDS Temp Data </w:t>
            </w:r>
            <w:r w:rsidR="00167CB3" w:rsidRPr="000665B0">
              <w:rPr>
                <w:sz w:val="20"/>
              </w:rPr>
              <w:t>Misc</w:t>
            </w:r>
          </w:p>
        </w:tc>
        <w:tc>
          <w:tcPr>
            <w:tcW w:w="4483" w:type="dxa"/>
            <w:hideMark/>
          </w:tcPr>
          <w:p w14:paraId="58191982" w14:textId="77777777" w:rsidR="00932DDB" w:rsidRPr="000665B0" w:rsidRDefault="00932DDB" w:rsidP="0056739E">
            <w:pPr>
              <w:widowControl w:val="0"/>
              <w:spacing w:before="60" w:after="60" w:line="240" w:lineRule="auto"/>
              <w:rPr>
                <w:sz w:val="20"/>
              </w:rPr>
            </w:pPr>
            <w:r w:rsidRPr="000665B0">
              <w:rPr>
                <w:sz w:val="20"/>
              </w:rPr>
              <w:t>C:\ProgramData\ComGlobal Systems\MDS\SupportFiles\Temp\*.*</w:t>
            </w:r>
          </w:p>
        </w:tc>
        <w:tc>
          <w:tcPr>
            <w:tcW w:w="473" w:type="dxa"/>
            <w:hideMark/>
          </w:tcPr>
          <w:p w14:paraId="55F46F9C" w14:textId="77777777" w:rsidR="00932DDB" w:rsidRPr="000665B0" w:rsidRDefault="00932DDB" w:rsidP="0056739E">
            <w:pPr>
              <w:widowControl w:val="0"/>
              <w:spacing w:before="60" w:after="60" w:line="240" w:lineRule="auto"/>
              <w:jc w:val="center"/>
              <w:rPr>
                <w:sz w:val="20"/>
              </w:rPr>
            </w:pPr>
            <w:r w:rsidRPr="000665B0">
              <w:rPr>
                <w:sz w:val="20"/>
              </w:rPr>
              <w:t>x</w:t>
            </w:r>
          </w:p>
        </w:tc>
        <w:tc>
          <w:tcPr>
            <w:tcW w:w="513" w:type="dxa"/>
            <w:hideMark/>
          </w:tcPr>
          <w:p w14:paraId="1D6A9648" w14:textId="77777777" w:rsidR="00932DDB" w:rsidRPr="000665B0" w:rsidRDefault="00932DDB" w:rsidP="0056739E">
            <w:pPr>
              <w:widowControl w:val="0"/>
              <w:spacing w:before="60" w:after="60" w:line="240" w:lineRule="auto"/>
              <w:jc w:val="center"/>
              <w:rPr>
                <w:sz w:val="20"/>
              </w:rPr>
            </w:pPr>
            <w:r w:rsidRPr="000665B0">
              <w:rPr>
                <w:sz w:val="20"/>
              </w:rPr>
              <w:t>x</w:t>
            </w:r>
          </w:p>
        </w:tc>
        <w:tc>
          <w:tcPr>
            <w:tcW w:w="473" w:type="dxa"/>
            <w:hideMark/>
          </w:tcPr>
          <w:p w14:paraId="1D13FD22" w14:textId="77777777" w:rsidR="00932DDB" w:rsidRPr="000665B0" w:rsidRDefault="00932DDB" w:rsidP="0056739E">
            <w:pPr>
              <w:widowControl w:val="0"/>
              <w:spacing w:before="60" w:after="60" w:line="240" w:lineRule="auto"/>
              <w:jc w:val="center"/>
              <w:rPr>
                <w:sz w:val="20"/>
              </w:rPr>
            </w:pPr>
          </w:p>
        </w:tc>
        <w:tc>
          <w:tcPr>
            <w:tcW w:w="473" w:type="dxa"/>
            <w:hideMark/>
          </w:tcPr>
          <w:p w14:paraId="22E2C4F0" w14:textId="77777777" w:rsidR="00932DDB" w:rsidRPr="000665B0" w:rsidRDefault="00932DDB" w:rsidP="0056739E">
            <w:pPr>
              <w:widowControl w:val="0"/>
              <w:spacing w:before="60" w:after="60" w:line="240" w:lineRule="auto"/>
              <w:jc w:val="center"/>
              <w:rPr>
                <w:sz w:val="20"/>
              </w:rPr>
            </w:pPr>
            <w:r w:rsidRPr="000665B0">
              <w:rPr>
                <w:sz w:val="20"/>
              </w:rPr>
              <w:t>x</w:t>
            </w:r>
          </w:p>
        </w:tc>
        <w:tc>
          <w:tcPr>
            <w:tcW w:w="488" w:type="dxa"/>
            <w:hideMark/>
          </w:tcPr>
          <w:p w14:paraId="70A9FEE1" w14:textId="77777777" w:rsidR="00932DDB" w:rsidRPr="000665B0" w:rsidRDefault="00932DDB" w:rsidP="0056739E">
            <w:pPr>
              <w:widowControl w:val="0"/>
              <w:spacing w:before="60" w:after="60" w:line="240" w:lineRule="auto"/>
              <w:jc w:val="center"/>
              <w:rPr>
                <w:sz w:val="20"/>
              </w:rPr>
            </w:pPr>
          </w:p>
        </w:tc>
        <w:tc>
          <w:tcPr>
            <w:tcW w:w="473" w:type="dxa"/>
            <w:hideMark/>
          </w:tcPr>
          <w:p w14:paraId="44A3F9D2" w14:textId="77777777" w:rsidR="00932DDB" w:rsidRPr="000665B0" w:rsidRDefault="00932DDB" w:rsidP="0056739E">
            <w:pPr>
              <w:widowControl w:val="0"/>
              <w:spacing w:before="60" w:after="60" w:line="240" w:lineRule="auto"/>
              <w:jc w:val="center"/>
              <w:rPr>
                <w:sz w:val="20"/>
              </w:rPr>
            </w:pPr>
          </w:p>
        </w:tc>
      </w:tr>
      <w:tr w:rsidR="00932DDB" w:rsidRPr="000665B0" w14:paraId="50021659" w14:textId="77777777" w:rsidTr="00932DDB">
        <w:trPr>
          <w:trHeight w:val="255"/>
        </w:trPr>
        <w:tc>
          <w:tcPr>
            <w:tcW w:w="1932" w:type="dxa"/>
            <w:hideMark/>
          </w:tcPr>
          <w:p w14:paraId="47C01C1C" w14:textId="77777777" w:rsidR="00932DDB" w:rsidRPr="000665B0" w:rsidRDefault="00932DDB" w:rsidP="0056739E">
            <w:pPr>
              <w:widowControl w:val="0"/>
              <w:spacing w:before="60" w:after="60" w:line="240" w:lineRule="auto"/>
              <w:rPr>
                <w:sz w:val="20"/>
              </w:rPr>
            </w:pPr>
            <w:r w:rsidRPr="000665B0">
              <w:rPr>
                <w:sz w:val="20"/>
              </w:rPr>
              <w:t xml:space="preserve">MDS Temp Data </w:t>
            </w:r>
            <w:r w:rsidR="00167CB3" w:rsidRPr="000665B0">
              <w:rPr>
                <w:sz w:val="20"/>
              </w:rPr>
              <w:t>Misc</w:t>
            </w:r>
          </w:p>
        </w:tc>
        <w:tc>
          <w:tcPr>
            <w:tcW w:w="4483" w:type="dxa"/>
            <w:hideMark/>
          </w:tcPr>
          <w:p w14:paraId="30033E28" w14:textId="77777777" w:rsidR="00932DDB" w:rsidRPr="000665B0" w:rsidRDefault="00932DDB" w:rsidP="0056739E">
            <w:pPr>
              <w:widowControl w:val="0"/>
              <w:spacing w:before="60" w:after="60" w:line="240" w:lineRule="auto"/>
              <w:rPr>
                <w:sz w:val="20"/>
              </w:rPr>
            </w:pPr>
            <w:r w:rsidRPr="000665B0">
              <w:rPr>
                <w:sz w:val="20"/>
              </w:rPr>
              <w:t>C:\Users\&lt;username&gt;\AppData\Local\Temp\[*.OUT | *.ERR]</w:t>
            </w:r>
          </w:p>
        </w:tc>
        <w:tc>
          <w:tcPr>
            <w:tcW w:w="473" w:type="dxa"/>
            <w:hideMark/>
          </w:tcPr>
          <w:p w14:paraId="07745229" w14:textId="77777777" w:rsidR="00932DDB" w:rsidRPr="000665B0" w:rsidRDefault="00932DDB" w:rsidP="0056739E">
            <w:pPr>
              <w:widowControl w:val="0"/>
              <w:spacing w:before="60" w:after="60" w:line="240" w:lineRule="auto"/>
              <w:jc w:val="center"/>
              <w:rPr>
                <w:sz w:val="20"/>
              </w:rPr>
            </w:pPr>
            <w:r w:rsidRPr="000665B0">
              <w:rPr>
                <w:sz w:val="20"/>
              </w:rPr>
              <w:t>x</w:t>
            </w:r>
          </w:p>
        </w:tc>
        <w:tc>
          <w:tcPr>
            <w:tcW w:w="513" w:type="dxa"/>
            <w:hideMark/>
          </w:tcPr>
          <w:p w14:paraId="1480A944" w14:textId="77777777" w:rsidR="00932DDB" w:rsidRPr="000665B0" w:rsidRDefault="00932DDB" w:rsidP="0056739E">
            <w:pPr>
              <w:widowControl w:val="0"/>
              <w:spacing w:before="60" w:after="60" w:line="240" w:lineRule="auto"/>
              <w:jc w:val="center"/>
              <w:rPr>
                <w:sz w:val="20"/>
              </w:rPr>
            </w:pPr>
            <w:r w:rsidRPr="000665B0">
              <w:rPr>
                <w:sz w:val="20"/>
              </w:rPr>
              <w:t>x</w:t>
            </w:r>
          </w:p>
        </w:tc>
        <w:tc>
          <w:tcPr>
            <w:tcW w:w="473" w:type="dxa"/>
            <w:hideMark/>
          </w:tcPr>
          <w:p w14:paraId="26EA5C4A" w14:textId="77777777" w:rsidR="00932DDB" w:rsidRPr="000665B0" w:rsidRDefault="00932DDB" w:rsidP="0056739E">
            <w:pPr>
              <w:widowControl w:val="0"/>
              <w:spacing w:before="60" w:after="60" w:line="240" w:lineRule="auto"/>
              <w:jc w:val="center"/>
              <w:rPr>
                <w:sz w:val="20"/>
              </w:rPr>
            </w:pPr>
          </w:p>
        </w:tc>
        <w:tc>
          <w:tcPr>
            <w:tcW w:w="473" w:type="dxa"/>
            <w:hideMark/>
          </w:tcPr>
          <w:p w14:paraId="07E33A69" w14:textId="77777777" w:rsidR="00932DDB" w:rsidRPr="000665B0" w:rsidRDefault="00932DDB" w:rsidP="0056739E">
            <w:pPr>
              <w:widowControl w:val="0"/>
              <w:spacing w:before="60" w:after="60" w:line="240" w:lineRule="auto"/>
              <w:jc w:val="center"/>
              <w:rPr>
                <w:sz w:val="20"/>
              </w:rPr>
            </w:pPr>
            <w:r w:rsidRPr="000665B0">
              <w:rPr>
                <w:sz w:val="20"/>
              </w:rPr>
              <w:t>x</w:t>
            </w:r>
          </w:p>
        </w:tc>
        <w:tc>
          <w:tcPr>
            <w:tcW w:w="488" w:type="dxa"/>
            <w:hideMark/>
          </w:tcPr>
          <w:p w14:paraId="3344721C" w14:textId="77777777" w:rsidR="00932DDB" w:rsidRPr="000665B0" w:rsidRDefault="00932DDB" w:rsidP="0056739E">
            <w:pPr>
              <w:widowControl w:val="0"/>
              <w:spacing w:before="60" w:after="60" w:line="240" w:lineRule="auto"/>
              <w:jc w:val="center"/>
              <w:rPr>
                <w:sz w:val="20"/>
              </w:rPr>
            </w:pPr>
          </w:p>
        </w:tc>
        <w:tc>
          <w:tcPr>
            <w:tcW w:w="473" w:type="dxa"/>
            <w:hideMark/>
          </w:tcPr>
          <w:p w14:paraId="63DA7D34" w14:textId="77777777" w:rsidR="00932DDB" w:rsidRPr="000665B0" w:rsidRDefault="00932DDB" w:rsidP="0056739E">
            <w:pPr>
              <w:widowControl w:val="0"/>
              <w:spacing w:before="60" w:after="60" w:line="240" w:lineRule="auto"/>
              <w:jc w:val="center"/>
              <w:rPr>
                <w:sz w:val="20"/>
              </w:rPr>
            </w:pPr>
          </w:p>
        </w:tc>
      </w:tr>
      <w:tr w:rsidR="00932DDB" w:rsidRPr="000665B0" w14:paraId="194BEBA9" w14:textId="77777777" w:rsidTr="00932DDB">
        <w:trPr>
          <w:trHeight w:val="255"/>
        </w:trPr>
        <w:tc>
          <w:tcPr>
            <w:tcW w:w="1932" w:type="dxa"/>
            <w:hideMark/>
          </w:tcPr>
          <w:p w14:paraId="7B2021BB" w14:textId="77777777" w:rsidR="00932DDB" w:rsidRPr="000665B0" w:rsidRDefault="00932DDB" w:rsidP="0056739E">
            <w:pPr>
              <w:widowControl w:val="0"/>
              <w:spacing w:before="60" w:after="60" w:line="240" w:lineRule="auto"/>
              <w:rPr>
                <w:sz w:val="20"/>
              </w:rPr>
            </w:pPr>
            <w:r w:rsidRPr="000665B0">
              <w:rPr>
                <w:sz w:val="20"/>
              </w:rPr>
              <w:t>MDS Temp Data</w:t>
            </w:r>
            <w:r w:rsidR="00167CB3" w:rsidRPr="000665B0">
              <w:rPr>
                <w:sz w:val="20"/>
              </w:rPr>
              <w:t xml:space="preserve"> Strike</w:t>
            </w:r>
          </w:p>
        </w:tc>
        <w:tc>
          <w:tcPr>
            <w:tcW w:w="4483" w:type="dxa"/>
            <w:hideMark/>
          </w:tcPr>
          <w:p w14:paraId="1ABAF520" w14:textId="77777777" w:rsidR="00932DDB" w:rsidRPr="000665B0" w:rsidRDefault="00932DDB" w:rsidP="0056739E">
            <w:pPr>
              <w:widowControl w:val="0"/>
              <w:spacing w:before="60" w:after="60" w:line="240" w:lineRule="auto"/>
              <w:rPr>
                <w:sz w:val="20"/>
              </w:rPr>
            </w:pPr>
            <w:r w:rsidRPr="000665B0">
              <w:rPr>
                <w:sz w:val="20"/>
              </w:rPr>
              <w:t>C:\ProgramData\ComGlobal Systems\MDS\StrikeData\*.*</w:t>
            </w:r>
          </w:p>
        </w:tc>
        <w:tc>
          <w:tcPr>
            <w:tcW w:w="473" w:type="dxa"/>
            <w:hideMark/>
          </w:tcPr>
          <w:p w14:paraId="115A9F93" w14:textId="77777777" w:rsidR="00932DDB" w:rsidRPr="000665B0" w:rsidRDefault="00932DDB" w:rsidP="0056739E">
            <w:pPr>
              <w:widowControl w:val="0"/>
              <w:spacing w:before="60" w:after="60" w:line="240" w:lineRule="auto"/>
              <w:jc w:val="center"/>
              <w:rPr>
                <w:sz w:val="20"/>
              </w:rPr>
            </w:pPr>
            <w:r w:rsidRPr="000665B0">
              <w:rPr>
                <w:sz w:val="20"/>
              </w:rPr>
              <w:t>x</w:t>
            </w:r>
          </w:p>
        </w:tc>
        <w:tc>
          <w:tcPr>
            <w:tcW w:w="513" w:type="dxa"/>
            <w:hideMark/>
          </w:tcPr>
          <w:p w14:paraId="5CA880CD" w14:textId="77777777" w:rsidR="00932DDB" w:rsidRPr="000665B0" w:rsidRDefault="00932DDB" w:rsidP="0056739E">
            <w:pPr>
              <w:widowControl w:val="0"/>
              <w:spacing w:before="60" w:after="60" w:line="240" w:lineRule="auto"/>
              <w:jc w:val="center"/>
              <w:rPr>
                <w:sz w:val="20"/>
              </w:rPr>
            </w:pPr>
            <w:r w:rsidRPr="000665B0">
              <w:rPr>
                <w:sz w:val="20"/>
              </w:rPr>
              <w:t>x</w:t>
            </w:r>
          </w:p>
        </w:tc>
        <w:tc>
          <w:tcPr>
            <w:tcW w:w="473" w:type="dxa"/>
            <w:hideMark/>
          </w:tcPr>
          <w:p w14:paraId="47620D5E" w14:textId="77777777" w:rsidR="00932DDB" w:rsidRPr="000665B0" w:rsidRDefault="00932DDB" w:rsidP="0056739E">
            <w:pPr>
              <w:widowControl w:val="0"/>
              <w:spacing w:before="60" w:after="60" w:line="240" w:lineRule="auto"/>
              <w:jc w:val="center"/>
              <w:rPr>
                <w:sz w:val="20"/>
              </w:rPr>
            </w:pPr>
          </w:p>
        </w:tc>
        <w:tc>
          <w:tcPr>
            <w:tcW w:w="473" w:type="dxa"/>
            <w:hideMark/>
          </w:tcPr>
          <w:p w14:paraId="17A7A146" w14:textId="77777777" w:rsidR="00932DDB" w:rsidRPr="000665B0" w:rsidRDefault="00932DDB" w:rsidP="0056739E">
            <w:pPr>
              <w:widowControl w:val="0"/>
              <w:spacing w:before="60" w:after="60" w:line="240" w:lineRule="auto"/>
              <w:jc w:val="center"/>
              <w:rPr>
                <w:sz w:val="20"/>
              </w:rPr>
            </w:pPr>
            <w:r w:rsidRPr="000665B0">
              <w:rPr>
                <w:sz w:val="20"/>
              </w:rPr>
              <w:t>x</w:t>
            </w:r>
          </w:p>
        </w:tc>
        <w:tc>
          <w:tcPr>
            <w:tcW w:w="488" w:type="dxa"/>
            <w:hideMark/>
          </w:tcPr>
          <w:p w14:paraId="14E2B0E8" w14:textId="77777777" w:rsidR="00932DDB" w:rsidRPr="000665B0" w:rsidRDefault="00932DDB" w:rsidP="0056739E">
            <w:pPr>
              <w:widowControl w:val="0"/>
              <w:spacing w:before="60" w:after="60" w:line="240" w:lineRule="auto"/>
              <w:jc w:val="center"/>
              <w:rPr>
                <w:sz w:val="20"/>
              </w:rPr>
            </w:pPr>
          </w:p>
        </w:tc>
        <w:tc>
          <w:tcPr>
            <w:tcW w:w="473" w:type="dxa"/>
            <w:hideMark/>
          </w:tcPr>
          <w:p w14:paraId="57A969C7" w14:textId="77777777" w:rsidR="00932DDB" w:rsidRPr="000665B0" w:rsidRDefault="00932DDB" w:rsidP="0056739E">
            <w:pPr>
              <w:widowControl w:val="0"/>
              <w:spacing w:before="60" w:after="60" w:line="240" w:lineRule="auto"/>
              <w:jc w:val="center"/>
              <w:rPr>
                <w:sz w:val="20"/>
              </w:rPr>
            </w:pPr>
          </w:p>
        </w:tc>
      </w:tr>
      <w:tr w:rsidR="00932DDB" w:rsidRPr="000665B0" w14:paraId="0A366294" w14:textId="77777777" w:rsidTr="00932DDB">
        <w:trPr>
          <w:trHeight w:val="255"/>
        </w:trPr>
        <w:tc>
          <w:tcPr>
            <w:tcW w:w="1932" w:type="dxa"/>
            <w:hideMark/>
          </w:tcPr>
          <w:p w14:paraId="109C693F" w14:textId="77777777" w:rsidR="00932DDB" w:rsidRPr="000665B0" w:rsidRDefault="00932DDB" w:rsidP="0056739E">
            <w:pPr>
              <w:widowControl w:val="0"/>
              <w:spacing w:before="60" w:after="60" w:line="240" w:lineRule="auto"/>
              <w:rPr>
                <w:sz w:val="20"/>
              </w:rPr>
            </w:pPr>
            <w:r w:rsidRPr="000665B0">
              <w:rPr>
                <w:sz w:val="20"/>
              </w:rPr>
              <w:t>MDS Trace</w:t>
            </w:r>
          </w:p>
        </w:tc>
        <w:tc>
          <w:tcPr>
            <w:tcW w:w="4483" w:type="dxa"/>
            <w:hideMark/>
          </w:tcPr>
          <w:p w14:paraId="5B7E47DD" w14:textId="77777777" w:rsidR="00932DDB" w:rsidRPr="000665B0" w:rsidRDefault="00932DDB" w:rsidP="0056739E">
            <w:pPr>
              <w:widowControl w:val="0"/>
              <w:spacing w:before="60" w:after="60" w:line="240" w:lineRule="auto"/>
              <w:rPr>
                <w:sz w:val="20"/>
              </w:rPr>
            </w:pPr>
            <w:r w:rsidRPr="000665B0">
              <w:rPr>
                <w:sz w:val="20"/>
              </w:rPr>
              <w:t>C:\ProgramData\ComGlobal Systems\MDS\TRACE\MdsTrace*.txt</w:t>
            </w:r>
          </w:p>
        </w:tc>
        <w:tc>
          <w:tcPr>
            <w:tcW w:w="473" w:type="dxa"/>
            <w:hideMark/>
          </w:tcPr>
          <w:p w14:paraId="1697C90C" w14:textId="77777777" w:rsidR="00932DDB" w:rsidRPr="000665B0" w:rsidRDefault="00932DDB" w:rsidP="0056739E">
            <w:pPr>
              <w:widowControl w:val="0"/>
              <w:spacing w:before="60" w:after="60" w:line="240" w:lineRule="auto"/>
              <w:jc w:val="center"/>
              <w:rPr>
                <w:sz w:val="20"/>
              </w:rPr>
            </w:pPr>
            <w:r w:rsidRPr="000665B0">
              <w:rPr>
                <w:sz w:val="20"/>
              </w:rPr>
              <w:t>x</w:t>
            </w:r>
          </w:p>
        </w:tc>
        <w:tc>
          <w:tcPr>
            <w:tcW w:w="513" w:type="dxa"/>
            <w:hideMark/>
          </w:tcPr>
          <w:p w14:paraId="58088A14" w14:textId="77777777" w:rsidR="00932DDB" w:rsidRPr="000665B0" w:rsidRDefault="00932DDB" w:rsidP="0056739E">
            <w:pPr>
              <w:widowControl w:val="0"/>
              <w:spacing w:before="60" w:after="60" w:line="240" w:lineRule="auto"/>
              <w:jc w:val="center"/>
              <w:rPr>
                <w:sz w:val="20"/>
              </w:rPr>
            </w:pPr>
            <w:r w:rsidRPr="000665B0">
              <w:rPr>
                <w:sz w:val="20"/>
              </w:rPr>
              <w:t>x</w:t>
            </w:r>
          </w:p>
        </w:tc>
        <w:tc>
          <w:tcPr>
            <w:tcW w:w="473" w:type="dxa"/>
            <w:hideMark/>
          </w:tcPr>
          <w:p w14:paraId="5AA60E5C" w14:textId="77777777" w:rsidR="00932DDB" w:rsidRPr="000665B0" w:rsidRDefault="00932DDB" w:rsidP="0056739E">
            <w:pPr>
              <w:widowControl w:val="0"/>
              <w:spacing w:before="60" w:after="60" w:line="240" w:lineRule="auto"/>
              <w:jc w:val="center"/>
              <w:rPr>
                <w:sz w:val="20"/>
              </w:rPr>
            </w:pPr>
          </w:p>
        </w:tc>
        <w:tc>
          <w:tcPr>
            <w:tcW w:w="473" w:type="dxa"/>
            <w:hideMark/>
          </w:tcPr>
          <w:p w14:paraId="2F81CB3F" w14:textId="77777777" w:rsidR="00932DDB" w:rsidRPr="000665B0" w:rsidRDefault="00932DDB" w:rsidP="0056739E">
            <w:pPr>
              <w:widowControl w:val="0"/>
              <w:spacing w:before="60" w:after="60" w:line="240" w:lineRule="auto"/>
              <w:jc w:val="center"/>
              <w:rPr>
                <w:sz w:val="20"/>
              </w:rPr>
            </w:pPr>
            <w:r w:rsidRPr="000665B0">
              <w:rPr>
                <w:sz w:val="20"/>
              </w:rPr>
              <w:t>x</w:t>
            </w:r>
          </w:p>
        </w:tc>
        <w:tc>
          <w:tcPr>
            <w:tcW w:w="488" w:type="dxa"/>
            <w:hideMark/>
          </w:tcPr>
          <w:p w14:paraId="215EF1FA" w14:textId="77777777" w:rsidR="00932DDB" w:rsidRPr="000665B0" w:rsidRDefault="00932DDB" w:rsidP="0056739E">
            <w:pPr>
              <w:widowControl w:val="0"/>
              <w:spacing w:before="60" w:after="60" w:line="240" w:lineRule="auto"/>
              <w:jc w:val="center"/>
              <w:rPr>
                <w:sz w:val="20"/>
              </w:rPr>
            </w:pPr>
          </w:p>
        </w:tc>
        <w:tc>
          <w:tcPr>
            <w:tcW w:w="473" w:type="dxa"/>
            <w:hideMark/>
          </w:tcPr>
          <w:p w14:paraId="5275BF3D" w14:textId="77777777" w:rsidR="00932DDB" w:rsidRPr="000665B0" w:rsidRDefault="00932DDB" w:rsidP="0056739E">
            <w:pPr>
              <w:widowControl w:val="0"/>
              <w:spacing w:before="60" w:after="60" w:line="240" w:lineRule="auto"/>
              <w:jc w:val="center"/>
              <w:rPr>
                <w:sz w:val="20"/>
              </w:rPr>
            </w:pPr>
          </w:p>
        </w:tc>
      </w:tr>
      <w:tr w:rsidR="00932DDB" w:rsidRPr="000665B0" w14:paraId="5722B700" w14:textId="77777777" w:rsidTr="00932DDB">
        <w:trPr>
          <w:trHeight w:val="255"/>
        </w:trPr>
        <w:tc>
          <w:tcPr>
            <w:tcW w:w="1932" w:type="dxa"/>
            <w:hideMark/>
          </w:tcPr>
          <w:p w14:paraId="63706BF4" w14:textId="77777777" w:rsidR="00932DDB" w:rsidRPr="000665B0" w:rsidRDefault="00932DDB" w:rsidP="0056739E">
            <w:pPr>
              <w:widowControl w:val="0"/>
              <w:spacing w:before="60" w:after="60" w:line="240" w:lineRule="auto"/>
              <w:rPr>
                <w:sz w:val="20"/>
              </w:rPr>
            </w:pPr>
            <w:r w:rsidRPr="000665B0">
              <w:rPr>
                <w:sz w:val="20"/>
              </w:rPr>
              <w:t>TED Temp Data</w:t>
            </w:r>
            <w:r w:rsidR="00167CB3" w:rsidRPr="000665B0">
              <w:rPr>
                <w:sz w:val="20"/>
              </w:rPr>
              <w:t xml:space="preserve"> Misc</w:t>
            </w:r>
          </w:p>
        </w:tc>
        <w:tc>
          <w:tcPr>
            <w:tcW w:w="4483" w:type="dxa"/>
            <w:hideMark/>
          </w:tcPr>
          <w:p w14:paraId="6AEA6593" w14:textId="2365569A" w:rsidR="00932DDB" w:rsidRPr="000665B0" w:rsidRDefault="00932DDB" w:rsidP="0056739E">
            <w:pPr>
              <w:widowControl w:val="0"/>
              <w:spacing w:before="60" w:after="60" w:line="240" w:lineRule="auto"/>
              <w:rPr>
                <w:sz w:val="20"/>
              </w:rPr>
            </w:pPr>
            <w:r w:rsidRPr="000665B0">
              <w:rPr>
                <w:sz w:val="20"/>
              </w:rPr>
              <w:t>C:\Users\QQ T</w:t>
            </w:r>
            <w:r w:rsidR="00FA2441" w:rsidRPr="000665B0">
              <w:rPr>
                <w:sz w:val="20"/>
              </w:rPr>
              <w:t>ED</w:t>
            </w:r>
            <w:r w:rsidRPr="000665B0">
              <w:rPr>
                <w:sz w:val="20"/>
              </w:rPr>
              <w:t xml:space="preserve"> AppPool\AppData\Local\Temp\TedDS</w:t>
            </w:r>
          </w:p>
        </w:tc>
        <w:tc>
          <w:tcPr>
            <w:tcW w:w="473" w:type="dxa"/>
            <w:hideMark/>
          </w:tcPr>
          <w:p w14:paraId="3D47B4DC" w14:textId="77777777" w:rsidR="00932DDB" w:rsidRPr="000665B0" w:rsidRDefault="00932DDB" w:rsidP="0056739E">
            <w:pPr>
              <w:widowControl w:val="0"/>
              <w:spacing w:before="60" w:after="60" w:line="240" w:lineRule="auto"/>
              <w:jc w:val="center"/>
              <w:rPr>
                <w:sz w:val="20"/>
              </w:rPr>
            </w:pPr>
            <w:r w:rsidRPr="000665B0">
              <w:rPr>
                <w:sz w:val="20"/>
              </w:rPr>
              <w:t>x</w:t>
            </w:r>
          </w:p>
        </w:tc>
        <w:tc>
          <w:tcPr>
            <w:tcW w:w="513" w:type="dxa"/>
            <w:hideMark/>
          </w:tcPr>
          <w:p w14:paraId="02F22A87" w14:textId="77777777" w:rsidR="00932DDB" w:rsidRPr="000665B0" w:rsidRDefault="00932DDB" w:rsidP="0056739E">
            <w:pPr>
              <w:widowControl w:val="0"/>
              <w:spacing w:before="60" w:after="60" w:line="240" w:lineRule="auto"/>
              <w:jc w:val="center"/>
              <w:rPr>
                <w:sz w:val="20"/>
              </w:rPr>
            </w:pPr>
          </w:p>
        </w:tc>
        <w:tc>
          <w:tcPr>
            <w:tcW w:w="473" w:type="dxa"/>
            <w:hideMark/>
          </w:tcPr>
          <w:p w14:paraId="1F561EEA" w14:textId="77777777" w:rsidR="00932DDB" w:rsidRPr="000665B0" w:rsidRDefault="00932DDB" w:rsidP="0056739E">
            <w:pPr>
              <w:widowControl w:val="0"/>
              <w:spacing w:before="60" w:after="60" w:line="240" w:lineRule="auto"/>
              <w:jc w:val="center"/>
              <w:rPr>
                <w:sz w:val="20"/>
              </w:rPr>
            </w:pPr>
            <w:r w:rsidRPr="000665B0">
              <w:rPr>
                <w:sz w:val="20"/>
              </w:rPr>
              <w:t>x</w:t>
            </w:r>
          </w:p>
        </w:tc>
        <w:tc>
          <w:tcPr>
            <w:tcW w:w="473" w:type="dxa"/>
            <w:hideMark/>
          </w:tcPr>
          <w:p w14:paraId="45ECAE62" w14:textId="77777777" w:rsidR="00932DDB" w:rsidRPr="000665B0" w:rsidRDefault="00932DDB" w:rsidP="0056739E">
            <w:pPr>
              <w:widowControl w:val="0"/>
              <w:spacing w:before="60" w:after="60" w:line="240" w:lineRule="auto"/>
              <w:jc w:val="center"/>
              <w:rPr>
                <w:sz w:val="20"/>
              </w:rPr>
            </w:pPr>
          </w:p>
        </w:tc>
        <w:tc>
          <w:tcPr>
            <w:tcW w:w="488" w:type="dxa"/>
            <w:hideMark/>
          </w:tcPr>
          <w:p w14:paraId="23EAB900" w14:textId="77777777" w:rsidR="00932DDB" w:rsidRPr="000665B0" w:rsidRDefault="00932DDB" w:rsidP="0056739E">
            <w:pPr>
              <w:widowControl w:val="0"/>
              <w:spacing w:before="60" w:after="60" w:line="240" w:lineRule="auto"/>
              <w:jc w:val="center"/>
              <w:rPr>
                <w:sz w:val="20"/>
              </w:rPr>
            </w:pPr>
          </w:p>
        </w:tc>
        <w:tc>
          <w:tcPr>
            <w:tcW w:w="473" w:type="dxa"/>
            <w:hideMark/>
          </w:tcPr>
          <w:p w14:paraId="7EC7EED7" w14:textId="77777777" w:rsidR="00932DDB" w:rsidRPr="000665B0" w:rsidRDefault="00932DDB" w:rsidP="0056739E">
            <w:pPr>
              <w:widowControl w:val="0"/>
              <w:spacing w:before="60" w:after="60" w:line="240" w:lineRule="auto"/>
              <w:jc w:val="center"/>
              <w:rPr>
                <w:sz w:val="20"/>
              </w:rPr>
            </w:pPr>
            <w:r w:rsidRPr="000665B0">
              <w:rPr>
                <w:sz w:val="20"/>
              </w:rPr>
              <w:t>x</w:t>
            </w:r>
          </w:p>
        </w:tc>
      </w:tr>
      <w:tr w:rsidR="00932DDB" w:rsidRPr="000665B0" w14:paraId="7929C610" w14:textId="77777777" w:rsidTr="00932DDB">
        <w:trPr>
          <w:trHeight w:val="255"/>
        </w:trPr>
        <w:tc>
          <w:tcPr>
            <w:tcW w:w="1932" w:type="dxa"/>
            <w:hideMark/>
          </w:tcPr>
          <w:p w14:paraId="69D34F71" w14:textId="77777777" w:rsidR="00932DDB" w:rsidRPr="000665B0" w:rsidRDefault="00932DDB" w:rsidP="0056739E">
            <w:pPr>
              <w:widowControl w:val="0"/>
              <w:spacing w:before="60" w:after="60" w:line="240" w:lineRule="auto"/>
              <w:rPr>
                <w:sz w:val="20"/>
              </w:rPr>
            </w:pPr>
            <w:r w:rsidRPr="000665B0">
              <w:rPr>
                <w:sz w:val="20"/>
              </w:rPr>
              <w:t>TED Temp Data</w:t>
            </w:r>
            <w:r w:rsidR="00167CB3" w:rsidRPr="000665B0">
              <w:rPr>
                <w:sz w:val="20"/>
              </w:rPr>
              <w:t xml:space="preserve"> Misc</w:t>
            </w:r>
          </w:p>
        </w:tc>
        <w:tc>
          <w:tcPr>
            <w:tcW w:w="4483" w:type="dxa"/>
            <w:hideMark/>
          </w:tcPr>
          <w:p w14:paraId="6A9B9716" w14:textId="01B81D1A" w:rsidR="00932DDB" w:rsidRPr="000665B0" w:rsidRDefault="00932DDB" w:rsidP="0056739E">
            <w:pPr>
              <w:widowControl w:val="0"/>
              <w:spacing w:before="60" w:after="60" w:line="240" w:lineRule="auto"/>
              <w:rPr>
                <w:sz w:val="20"/>
              </w:rPr>
            </w:pPr>
            <w:r w:rsidRPr="000665B0">
              <w:rPr>
                <w:sz w:val="20"/>
              </w:rPr>
              <w:t>C:\Users\QQ T</w:t>
            </w:r>
            <w:r w:rsidR="00FA2441" w:rsidRPr="000665B0">
              <w:rPr>
                <w:sz w:val="20"/>
              </w:rPr>
              <w:t>ED</w:t>
            </w:r>
            <w:r w:rsidRPr="000665B0">
              <w:rPr>
                <w:sz w:val="20"/>
              </w:rPr>
              <w:t xml:space="preserve"> AppPool\AppData\Local\Temp\TsrtComms</w:t>
            </w:r>
          </w:p>
        </w:tc>
        <w:tc>
          <w:tcPr>
            <w:tcW w:w="473" w:type="dxa"/>
            <w:hideMark/>
          </w:tcPr>
          <w:p w14:paraId="6E001C8D" w14:textId="77777777" w:rsidR="00932DDB" w:rsidRPr="000665B0" w:rsidRDefault="00932DDB" w:rsidP="0056739E">
            <w:pPr>
              <w:widowControl w:val="0"/>
              <w:spacing w:before="60" w:after="60" w:line="240" w:lineRule="auto"/>
              <w:jc w:val="center"/>
              <w:rPr>
                <w:sz w:val="20"/>
              </w:rPr>
            </w:pPr>
            <w:r w:rsidRPr="000665B0">
              <w:rPr>
                <w:sz w:val="20"/>
              </w:rPr>
              <w:t>x</w:t>
            </w:r>
          </w:p>
        </w:tc>
        <w:tc>
          <w:tcPr>
            <w:tcW w:w="513" w:type="dxa"/>
            <w:hideMark/>
          </w:tcPr>
          <w:p w14:paraId="15544D34" w14:textId="77777777" w:rsidR="00932DDB" w:rsidRPr="000665B0" w:rsidRDefault="00932DDB" w:rsidP="0056739E">
            <w:pPr>
              <w:widowControl w:val="0"/>
              <w:spacing w:before="60" w:after="60" w:line="240" w:lineRule="auto"/>
              <w:jc w:val="center"/>
              <w:rPr>
                <w:sz w:val="20"/>
              </w:rPr>
            </w:pPr>
          </w:p>
        </w:tc>
        <w:tc>
          <w:tcPr>
            <w:tcW w:w="473" w:type="dxa"/>
            <w:hideMark/>
          </w:tcPr>
          <w:p w14:paraId="5E2280A8" w14:textId="77777777" w:rsidR="00932DDB" w:rsidRPr="000665B0" w:rsidRDefault="00932DDB" w:rsidP="0056739E">
            <w:pPr>
              <w:widowControl w:val="0"/>
              <w:spacing w:before="60" w:after="60" w:line="240" w:lineRule="auto"/>
              <w:jc w:val="center"/>
              <w:rPr>
                <w:sz w:val="20"/>
              </w:rPr>
            </w:pPr>
            <w:r w:rsidRPr="000665B0">
              <w:rPr>
                <w:sz w:val="20"/>
              </w:rPr>
              <w:t>x</w:t>
            </w:r>
          </w:p>
        </w:tc>
        <w:tc>
          <w:tcPr>
            <w:tcW w:w="473" w:type="dxa"/>
            <w:hideMark/>
          </w:tcPr>
          <w:p w14:paraId="6CAE92C8" w14:textId="77777777" w:rsidR="00932DDB" w:rsidRPr="000665B0" w:rsidRDefault="00932DDB" w:rsidP="0056739E">
            <w:pPr>
              <w:widowControl w:val="0"/>
              <w:spacing w:before="60" w:after="60" w:line="240" w:lineRule="auto"/>
              <w:jc w:val="center"/>
              <w:rPr>
                <w:sz w:val="20"/>
              </w:rPr>
            </w:pPr>
          </w:p>
        </w:tc>
        <w:tc>
          <w:tcPr>
            <w:tcW w:w="488" w:type="dxa"/>
            <w:hideMark/>
          </w:tcPr>
          <w:p w14:paraId="0041F620" w14:textId="77777777" w:rsidR="00932DDB" w:rsidRPr="000665B0" w:rsidRDefault="00932DDB" w:rsidP="0056739E">
            <w:pPr>
              <w:widowControl w:val="0"/>
              <w:spacing w:before="60" w:after="60" w:line="240" w:lineRule="auto"/>
              <w:jc w:val="center"/>
              <w:rPr>
                <w:sz w:val="20"/>
              </w:rPr>
            </w:pPr>
          </w:p>
        </w:tc>
        <w:tc>
          <w:tcPr>
            <w:tcW w:w="473" w:type="dxa"/>
            <w:hideMark/>
          </w:tcPr>
          <w:p w14:paraId="7D8BD9A7" w14:textId="77777777" w:rsidR="00932DDB" w:rsidRPr="000665B0" w:rsidRDefault="00932DDB" w:rsidP="0056739E">
            <w:pPr>
              <w:widowControl w:val="0"/>
              <w:spacing w:before="60" w:after="60" w:line="240" w:lineRule="auto"/>
              <w:jc w:val="center"/>
              <w:rPr>
                <w:sz w:val="20"/>
              </w:rPr>
            </w:pPr>
            <w:r w:rsidRPr="000665B0">
              <w:rPr>
                <w:sz w:val="20"/>
              </w:rPr>
              <w:t>x</w:t>
            </w:r>
          </w:p>
        </w:tc>
      </w:tr>
      <w:tr w:rsidR="005145EC" w:rsidRPr="000665B0" w14:paraId="119F3624" w14:textId="77777777" w:rsidTr="00962533">
        <w:trPr>
          <w:trHeight w:val="510"/>
        </w:trPr>
        <w:tc>
          <w:tcPr>
            <w:tcW w:w="1932" w:type="dxa"/>
          </w:tcPr>
          <w:p w14:paraId="52A05FB4" w14:textId="77777777" w:rsidR="005145EC" w:rsidRPr="000665B0" w:rsidRDefault="005145EC" w:rsidP="0056739E">
            <w:pPr>
              <w:widowControl w:val="0"/>
              <w:spacing w:before="60" w:after="60" w:line="240" w:lineRule="auto"/>
              <w:rPr>
                <w:sz w:val="20"/>
              </w:rPr>
            </w:pPr>
            <w:r w:rsidRPr="000665B0">
              <w:rPr>
                <w:sz w:val="20"/>
              </w:rPr>
              <w:t xml:space="preserve">TED DDO Files on disk (DDOs that have been received but </w:t>
            </w:r>
            <w:r w:rsidRPr="000665B0">
              <w:rPr>
                <w:sz w:val="20"/>
              </w:rPr>
              <w:lastRenderedPageBreak/>
              <w:t>not yet processed)</w:t>
            </w:r>
          </w:p>
        </w:tc>
        <w:tc>
          <w:tcPr>
            <w:tcW w:w="4483" w:type="dxa"/>
          </w:tcPr>
          <w:p w14:paraId="6D845B06" w14:textId="77777777" w:rsidR="005145EC" w:rsidRPr="000665B0" w:rsidRDefault="005145EC" w:rsidP="0056739E">
            <w:pPr>
              <w:widowControl w:val="0"/>
              <w:spacing w:before="60" w:after="60" w:line="240" w:lineRule="auto"/>
              <w:rPr>
                <w:sz w:val="20"/>
              </w:rPr>
            </w:pPr>
            <w:r w:rsidRPr="000665B0">
              <w:rPr>
                <w:sz w:val="20"/>
              </w:rPr>
              <w:lastRenderedPageBreak/>
              <w:t xml:space="preserve">To delete: </w:t>
            </w:r>
            <w:r w:rsidRPr="000665B0">
              <w:rPr>
                <w:sz w:val="20"/>
              </w:rPr>
              <w:br/>
              <w:t xml:space="preserve">1) </w:t>
            </w:r>
            <w:r w:rsidRPr="000665B0">
              <w:rPr>
                <w:b/>
                <w:sz w:val="20"/>
              </w:rPr>
              <w:t xml:space="preserve">MDS </w:t>
            </w:r>
            <w:r w:rsidRPr="000665B0">
              <w:rPr>
                <w:b/>
                <w:sz w:val="20"/>
              </w:rPr>
              <w:sym w:font="Wingdings" w:char="F0E0"/>
            </w:r>
            <w:r w:rsidRPr="000665B0">
              <w:rPr>
                <w:b/>
                <w:sz w:val="20"/>
              </w:rPr>
              <w:t xml:space="preserve"> Go </w:t>
            </w:r>
            <w:r w:rsidRPr="000665B0">
              <w:rPr>
                <w:b/>
                <w:sz w:val="20"/>
              </w:rPr>
              <w:sym w:font="Wingdings" w:char="F0E0"/>
            </w:r>
            <w:r w:rsidRPr="000665B0">
              <w:rPr>
                <w:b/>
                <w:sz w:val="20"/>
              </w:rPr>
              <w:t xml:space="preserve"> Incoming DDO </w:t>
            </w:r>
            <w:r w:rsidRPr="000665B0">
              <w:rPr>
                <w:b/>
                <w:sz w:val="20"/>
              </w:rPr>
              <w:sym w:font="Wingdings" w:char="F0E0"/>
            </w:r>
            <w:r w:rsidRPr="000665B0">
              <w:rPr>
                <w:b/>
                <w:sz w:val="20"/>
              </w:rPr>
              <w:t xml:space="preserve"> Select All </w:t>
            </w:r>
            <w:r w:rsidRPr="000665B0">
              <w:rPr>
                <w:b/>
                <w:sz w:val="20"/>
              </w:rPr>
              <w:sym w:font="Wingdings" w:char="F0E0"/>
            </w:r>
            <w:r w:rsidRPr="000665B0">
              <w:rPr>
                <w:b/>
                <w:sz w:val="20"/>
              </w:rPr>
              <w:t xml:space="preserve"> Delete </w:t>
            </w:r>
            <w:r w:rsidRPr="000665B0">
              <w:rPr>
                <w:sz w:val="20"/>
              </w:rPr>
              <w:br/>
              <w:t xml:space="preserve">2) Delete </w:t>
            </w:r>
            <w:r w:rsidRPr="000665B0">
              <w:rPr>
                <w:b/>
                <w:sz w:val="20"/>
              </w:rPr>
              <w:t>&lt;&gt;:\Program Files\ComGlobal Systems\TED\TED\DDOIn\*.*</w:t>
            </w:r>
          </w:p>
        </w:tc>
        <w:tc>
          <w:tcPr>
            <w:tcW w:w="473" w:type="dxa"/>
          </w:tcPr>
          <w:p w14:paraId="09A4DED5" w14:textId="77777777" w:rsidR="005145EC" w:rsidRPr="000665B0" w:rsidRDefault="005145EC" w:rsidP="0056739E">
            <w:pPr>
              <w:widowControl w:val="0"/>
              <w:spacing w:before="60" w:after="60" w:line="240" w:lineRule="auto"/>
              <w:jc w:val="center"/>
              <w:rPr>
                <w:sz w:val="20"/>
              </w:rPr>
            </w:pPr>
            <w:r w:rsidRPr="000665B0">
              <w:rPr>
                <w:sz w:val="20"/>
              </w:rPr>
              <w:t>x</w:t>
            </w:r>
          </w:p>
        </w:tc>
        <w:tc>
          <w:tcPr>
            <w:tcW w:w="513" w:type="dxa"/>
          </w:tcPr>
          <w:p w14:paraId="1505495A" w14:textId="77777777" w:rsidR="005145EC" w:rsidRPr="000665B0" w:rsidRDefault="005145EC" w:rsidP="0056739E">
            <w:pPr>
              <w:widowControl w:val="0"/>
              <w:spacing w:before="60" w:after="60" w:line="240" w:lineRule="auto"/>
              <w:jc w:val="center"/>
              <w:rPr>
                <w:sz w:val="20"/>
              </w:rPr>
            </w:pPr>
          </w:p>
        </w:tc>
        <w:tc>
          <w:tcPr>
            <w:tcW w:w="473" w:type="dxa"/>
          </w:tcPr>
          <w:p w14:paraId="06DBCF7A" w14:textId="77777777" w:rsidR="005145EC" w:rsidRPr="000665B0" w:rsidRDefault="005145EC" w:rsidP="0056739E">
            <w:pPr>
              <w:widowControl w:val="0"/>
              <w:spacing w:before="60" w:after="60" w:line="240" w:lineRule="auto"/>
              <w:jc w:val="center"/>
              <w:rPr>
                <w:sz w:val="20"/>
              </w:rPr>
            </w:pPr>
            <w:r w:rsidRPr="000665B0">
              <w:rPr>
                <w:sz w:val="20"/>
              </w:rPr>
              <w:t>x</w:t>
            </w:r>
          </w:p>
        </w:tc>
        <w:tc>
          <w:tcPr>
            <w:tcW w:w="473" w:type="dxa"/>
          </w:tcPr>
          <w:p w14:paraId="39B31D43" w14:textId="77777777" w:rsidR="005145EC" w:rsidRPr="000665B0" w:rsidRDefault="005145EC" w:rsidP="0056739E">
            <w:pPr>
              <w:widowControl w:val="0"/>
              <w:spacing w:before="60" w:after="60" w:line="240" w:lineRule="auto"/>
              <w:jc w:val="center"/>
              <w:rPr>
                <w:sz w:val="20"/>
              </w:rPr>
            </w:pPr>
          </w:p>
        </w:tc>
        <w:tc>
          <w:tcPr>
            <w:tcW w:w="488" w:type="dxa"/>
          </w:tcPr>
          <w:p w14:paraId="2776780C" w14:textId="77777777" w:rsidR="005145EC" w:rsidRPr="000665B0" w:rsidRDefault="005145EC" w:rsidP="0056739E">
            <w:pPr>
              <w:widowControl w:val="0"/>
              <w:spacing w:before="60" w:after="60" w:line="240" w:lineRule="auto"/>
              <w:jc w:val="center"/>
              <w:rPr>
                <w:sz w:val="20"/>
              </w:rPr>
            </w:pPr>
          </w:p>
        </w:tc>
        <w:tc>
          <w:tcPr>
            <w:tcW w:w="473" w:type="dxa"/>
          </w:tcPr>
          <w:p w14:paraId="06E81CA2" w14:textId="77777777" w:rsidR="005145EC" w:rsidRPr="000665B0" w:rsidRDefault="005145EC" w:rsidP="0056739E">
            <w:pPr>
              <w:widowControl w:val="0"/>
              <w:spacing w:before="60" w:after="60" w:line="240" w:lineRule="auto"/>
              <w:jc w:val="center"/>
              <w:rPr>
                <w:sz w:val="20"/>
              </w:rPr>
            </w:pPr>
            <w:r w:rsidRPr="000665B0">
              <w:rPr>
                <w:sz w:val="20"/>
              </w:rPr>
              <w:t>x</w:t>
            </w:r>
          </w:p>
        </w:tc>
      </w:tr>
      <w:tr w:rsidR="005145EC" w:rsidRPr="000665B0" w14:paraId="6E5E53DF" w14:textId="77777777" w:rsidTr="00962533">
        <w:trPr>
          <w:trHeight w:val="510"/>
        </w:trPr>
        <w:tc>
          <w:tcPr>
            <w:tcW w:w="1932" w:type="dxa"/>
          </w:tcPr>
          <w:p w14:paraId="23ECBAE7" w14:textId="77777777" w:rsidR="005145EC" w:rsidRPr="000665B0" w:rsidRDefault="005145EC" w:rsidP="0056739E">
            <w:pPr>
              <w:widowControl w:val="0"/>
              <w:spacing w:before="60" w:after="60" w:line="240" w:lineRule="auto"/>
              <w:rPr>
                <w:sz w:val="20"/>
              </w:rPr>
            </w:pPr>
            <w:r w:rsidRPr="000665B0">
              <w:rPr>
                <w:sz w:val="20"/>
              </w:rPr>
              <w:t>TED DDO Files on disk (DDOs that have been formatted but not yet sent)</w:t>
            </w:r>
          </w:p>
        </w:tc>
        <w:tc>
          <w:tcPr>
            <w:tcW w:w="4483" w:type="dxa"/>
          </w:tcPr>
          <w:p w14:paraId="4BCAEFC2" w14:textId="64A893D6" w:rsidR="005145EC" w:rsidRPr="000665B0" w:rsidRDefault="005145EC" w:rsidP="0056739E">
            <w:pPr>
              <w:widowControl w:val="0"/>
              <w:spacing w:before="60" w:after="60" w:line="240" w:lineRule="auto"/>
              <w:rPr>
                <w:sz w:val="20"/>
              </w:rPr>
            </w:pPr>
            <w:r w:rsidRPr="000665B0">
              <w:rPr>
                <w:sz w:val="20"/>
              </w:rPr>
              <w:t xml:space="preserve">To delete: </w:t>
            </w:r>
            <w:r w:rsidRPr="000665B0">
              <w:rPr>
                <w:sz w:val="20"/>
              </w:rPr>
              <w:br/>
              <w:t>1</w:t>
            </w:r>
            <w:r w:rsidRPr="000665B0">
              <w:rPr>
                <w:b/>
                <w:sz w:val="20"/>
              </w:rPr>
              <w:t xml:space="preserve">) MDS </w:t>
            </w:r>
            <w:r w:rsidRPr="000665B0">
              <w:rPr>
                <w:b/>
                <w:sz w:val="20"/>
              </w:rPr>
              <w:sym w:font="Wingdings" w:char="F0E0"/>
            </w:r>
            <w:r w:rsidRPr="000665B0">
              <w:rPr>
                <w:b/>
                <w:sz w:val="20"/>
              </w:rPr>
              <w:t xml:space="preserve"> Go </w:t>
            </w:r>
            <w:r w:rsidRPr="000665B0">
              <w:rPr>
                <w:b/>
                <w:sz w:val="20"/>
              </w:rPr>
              <w:sym w:font="Wingdings" w:char="F0E0"/>
            </w:r>
            <w:r w:rsidRPr="000665B0">
              <w:rPr>
                <w:b/>
                <w:sz w:val="20"/>
              </w:rPr>
              <w:t xml:space="preserve"> OutGoing DDO </w:t>
            </w:r>
            <w:r w:rsidRPr="000665B0">
              <w:rPr>
                <w:b/>
                <w:sz w:val="20"/>
              </w:rPr>
              <w:sym w:font="Wingdings" w:char="F0E0"/>
            </w:r>
            <w:r w:rsidRPr="000665B0">
              <w:rPr>
                <w:b/>
                <w:sz w:val="20"/>
              </w:rPr>
              <w:t xml:space="preserve"> Select All </w:t>
            </w:r>
            <w:r w:rsidRPr="000665B0">
              <w:rPr>
                <w:b/>
                <w:sz w:val="20"/>
              </w:rPr>
              <w:sym w:font="Wingdings" w:char="F0E0"/>
            </w:r>
            <w:r w:rsidRPr="000665B0">
              <w:rPr>
                <w:b/>
                <w:sz w:val="20"/>
              </w:rPr>
              <w:t xml:space="preserve"> Delete </w:t>
            </w:r>
            <w:r w:rsidRPr="000665B0">
              <w:rPr>
                <w:sz w:val="20"/>
              </w:rPr>
              <w:br/>
              <w:t xml:space="preserve">2) Delete </w:t>
            </w:r>
            <w:r w:rsidRPr="000665B0">
              <w:rPr>
                <w:b/>
                <w:sz w:val="20"/>
              </w:rPr>
              <w:t>&lt;&gt;:\Program Files\</w:t>
            </w:r>
            <w:r w:rsidR="006D4898" w:rsidRPr="000665B0">
              <w:rPr>
                <w:b/>
                <w:sz w:val="20"/>
              </w:rPr>
              <w:t>VENCORE</w:t>
            </w:r>
            <w:r w:rsidRPr="000665B0">
              <w:rPr>
                <w:b/>
                <w:sz w:val="20"/>
              </w:rPr>
              <w:t>\TED\TED\DDOOut\*.*</w:t>
            </w:r>
          </w:p>
        </w:tc>
        <w:tc>
          <w:tcPr>
            <w:tcW w:w="473" w:type="dxa"/>
          </w:tcPr>
          <w:p w14:paraId="435CB606" w14:textId="77777777" w:rsidR="005145EC" w:rsidRPr="000665B0" w:rsidRDefault="005145EC" w:rsidP="0056739E">
            <w:pPr>
              <w:widowControl w:val="0"/>
              <w:spacing w:before="60" w:after="60" w:line="240" w:lineRule="auto"/>
              <w:jc w:val="center"/>
              <w:rPr>
                <w:sz w:val="20"/>
              </w:rPr>
            </w:pPr>
            <w:r w:rsidRPr="000665B0">
              <w:rPr>
                <w:sz w:val="20"/>
              </w:rPr>
              <w:t>x</w:t>
            </w:r>
          </w:p>
        </w:tc>
        <w:tc>
          <w:tcPr>
            <w:tcW w:w="513" w:type="dxa"/>
          </w:tcPr>
          <w:p w14:paraId="56BFE822" w14:textId="77777777" w:rsidR="005145EC" w:rsidRPr="000665B0" w:rsidRDefault="005145EC" w:rsidP="0056739E">
            <w:pPr>
              <w:widowControl w:val="0"/>
              <w:spacing w:before="60" w:after="60" w:line="240" w:lineRule="auto"/>
              <w:jc w:val="center"/>
              <w:rPr>
                <w:sz w:val="20"/>
              </w:rPr>
            </w:pPr>
          </w:p>
        </w:tc>
        <w:tc>
          <w:tcPr>
            <w:tcW w:w="473" w:type="dxa"/>
          </w:tcPr>
          <w:p w14:paraId="1B394608" w14:textId="77777777" w:rsidR="005145EC" w:rsidRPr="000665B0" w:rsidRDefault="005145EC" w:rsidP="0056739E">
            <w:pPr>
              <w:widowControl w:val="0"/>
              <w:spacing w:before="60" w:after="60" w:line="240" w:lineRule="auto"/>
              <w:jc w:val="center"/>
              <w:rPr>
                <w:sz w:val="20"/>
              </w:rPr>
            </w:pPr>
            <w:r w:rsidRPr="000665B0">
              <w:rPr>
                <w:sz w:val="20"/>
              </w:rPr>
              <w:t>x</w:t>
            </w:r>
          </w:p>
        </w:tc>
        <w:tc>
          <w:tcPr>
            <w:tcW w:w="473" w:type="dxa"/>
          </w:tcPr>
          <w:p w14:paraId="7F406709" w14:textId="77777777" w:rsidR="005145EC" w:rsidRPr="000665B0" w:rsidRDefault="005145EC" w:rsidP="0056739E">
            <w:pPr>
              <w:widowControl w:val="0"/>
              <w:spacing w:before="60" w:after="60" w:line="240" w:lineRule="auto"/>
              <w:jc w:val="center"/>
              <w:rPr>
                <w:sz w:val="20"/>
              </w:rPr>
            </w:pPr>
          </w:p>
        </w:tc>
        <w:tc>
          <w:tcPr>
            <w:tcW w:w="488" w:type="dxa"/>
          </w:tcPr>
          <w:p w14:paraId="64BDC512" w14:textId="77777777" w:rsidR="005145EC" w:rsidRPr="000665B0" w:rsidRDefault="005145EC" w:rsidP="0056739E">
            <w:pPr>
              <w:widowControl w:val="0"/>
              <w:spacing w:before="60" w:after="60" w:line="240" w:lineRule="auto"/>
              <w:jc w:val="center"/>
              <w:rPr>
                <w:sz w:val="20"/>
              </w:rPr>
            </w:pPr>
          </w:p>
        </w:tc>
        <w:tc>
          <w:tcPr>
            <w:tcW w:w="473" w:type="dxa"/>
          </w:tcPr>
          <w:p w14:paraId="5F3E26AB" w14:textId="77777777" w:rsidR="005145EC" w:rsidRPr="000665B0" w:rsidRDefault="005145EC" w:rsidP="0056739E">
            <w:pPr>
              <w:widowControl w:val="0"/>
              <w:spacing w:before="60" w:after="60" w:line="240" w:lineRule="auto"/>
              <w:jc w:val="center"/>
              <w:rPr>
                <w:sz w:val="20"/>
              </w:rPr>
            </w:pPr>
            <w:r w:rsidRPr="000665B0">
              <w:rPr>
                <w:sz w:val="20"/>
              </w:rPr>
              <w:t>x</w:t>
            </w:r>
          </w:p>
        </w:tc>
      </w:tr>
      <w:tr w:rsidR="00932DDB" w:rsidRPr="000665B0" w14:paraId="7387344E" w14:textId="77777777" w:rsidTr="00932DDB">
        <w:trPr>
          <w:trHeight w:val="510"/>
        </w:trPr>
        <w:tc>
          <w:tcPr>
            <w:tcW w:w="1932" w:type="dxa"/>
            <w:hideMark/>
          </w:tcPr>
          <w:p w14:paraId="33C4857A" w14:textId="77777777" w:rsidR="00932DDB" w:rsidRPr="000665B0" w:rsidRDefault="00932DDB" w:rsidP="0056739E">
            <w:pPr>
              <w:widowControl w:val="0"/>
              <w:spacing w:before="60" w:after="60" w:line="240" w:lineRule="auto"/>
              <w:rPr>
                <w:sz w:val="20"/>
              </w:rPr>
            </w:pPr>
            <w:r w:rsidRPr="000665B0">
              <w:rPr>
                <w:sz w:val="20"/>
              </w:rPr>
              <w:t>TED Web Service Trace</w:t>
            </w:r>
          </w:p>
        </w:tc>
        <w:tc>
          <w:tcPr>
            <w:tcW w:w="4483" w:type="dxa"/>
            <w:hideMark/>
          </w:tcPr>
          <w:p w14:paraId="15416FB7" w14:textId="323C701B" w:rsidR="00932DDB" w:rsidRPr="000665B0" w:rsidRDefault="00932DDB" w:rsidP="0056739E">
            <w:pPr>
              <w:widowControl w:val="0"/>
              <w:spacing w:before="60" w:after="60" w:line="240" w:lineRule="auto"/>
              <w:rPr>
                <w:sz w:val="20"/>
              </w:rPr>
            </w:pPr>
            <w:r w:rsidRPr="000665B0">
              <w:rPr>
                <w:sz w:val="20"/>
              </w:rPr>
              <w:t>&lt;&gt;:\Program Files\</w:t>
            </w:r>
            <w:r w:rsidR="006D4898" w:rsidRPr="000665B0">
              <w:rPr>
                <w:sz w:val="20"/>
              </w:rPr>
              <w:t>VENCORE</w:t>
            </w:r>
            <w:r w:rsidRPr="000665B0">
              <w:rPr>
                <w:sz w:val="20"/>
              </w:rPr>
              <w:t>\TED\TED\QQ\&lt;web service&gt;\logs\*.txt</w:t>
            </w:r>
          </w:p>
        </w:tc>
        <w:tc>
          <w:tcPr>
            <w:tcW w:w="473" w:type="dxa"/>
            <w:hideMark/>
          </w:tcPr>
          <w:p w14:paraId="0A678385" w14:textId="77777777" w:rsidR="00932DDB" w:rsidRPr="000665B0" w:rsidRDefault="00932DDB" w:rsidP="0056739E">
            <w:pPr>
              <w:widowControl w:val="0"/>
              <w:spacing w:before="60" w:after="60" w:line="240" w:lineRule="auto"/>
              <w:jc w:val="center"/>
              <w:rPr>
                <w:sz w:val="20"/>
              </w:rPr>
            </w:pPr>
            <w:r w:rsidRPr="000665B0">
              <w:rPr>
                <w:sz w:val="20"/>
              </w:rPr>
              <w:t>x</w:t>
            </w:r>
          </w:p>
        </w:tc>
        <w:tc>
          <w:tcPr>
            <w:tcW w:w="513" w:type="dxa"/>
            <w:hideMark/>
          </w:tcPr>
          <w:p w14:paraId="402D3618" w14:textId="77777777" w:rsidR="00932DDB" w:rsidRPr="000665B0" w:rsidRDefault="00932DDB" w:rsidP="0056739E">
            <w:pPr>
              <w:widowControl w:val="0"/>
              <w:spacing w:before="60" w:after="60" w:line="240" w:lineRule="auto"/>
              <w:jc w:val="center"/>
              <w:rPr>
                <w:sz w:val="20"/>
              </w:rPr>
            </w:pPr>
          </w:p>
        </w:tc>
        <w:tc>
          <w:tcPr>
            <w:tcW w:w="473" w:type="dxa"/>
            <w:hideMark/>
          </w:tcPr>
          <w:p w14:paraId="21811A13" w14:textId="77777777" w:rsidR="00932DDB" w:rsidRPr="000665B0" w:rsidRDefault="00932DDB" w:rsidP="0056739E">
            <w:pPr>
              <w:widowControl w:val="0"/>
              <w:spacing w:before="60" w:after="60" w:line="240" w:lineRule="auto"/>
              <w:jc w:val="center"/>
              <w:rPr>
                <w:sz w:val="20"/>
              </w:rPr>
            </w:pPr>
            <w:r w:rsidRPr="000665B0">
              <w:rPr>
                <w:sz w:val="20"/>
              </w:rPr>
              <w:t>x</w:t>
            </w:r>
          </w:p>
        </w:tc>
        <w:tc>
          <w:tcPr>
            <w:tcW w:w="473" w:type="dxa"/>
            <w:hideMark/>
          </w:tcPr>
          <w:p w14:paraId="70D21F32" w14:textId="77777777" w:rsidR="00932DDB" w:rsidRPr="000665B0" w:rsidRDefault="00932DDB" w:rsidP="0056739E">
            <w:pPr>
              <w:widowControl w:val="0"/>
              <w:spacing w:before="60" w:after="60" w:line="240" w:lineRule="auto"/>
              <w:jc w:val="center"/>
              <w:rPr>
                <w:sz w:val="20"/>
              </w:rPr>
            </w:pPr>
          </w:p>
        </w:tc>
        <w:tc>
          <w:tcPr>
            <w:tcW w:w="488" w:type="dxa"/>
            <w:hideMark/>
          </w:tcPr>
          <w:p w14:paraId="4803A844" w14:textId="77777777" w:rsidR="00932DDB" w:rsidRPr="000665B0" w:rsidRDefault="00932DDB" w:rsidP="0056739E">
            <w:pPr>
              <w:widowControl w:val="0"/>
              <w:spacing w:before="60" w:after="60" w:line="240" w:lineRule="auto"/>
              <w:jc w:val="center"/>
              <w:rPr>
                <w:sz w:val="20"/>
              </w:rPr>
            </w:pPr>
          </w:p>
        </w:tc>
        <w:tc>
          <w:tcPr>
            <w:tcW w:w="473" w:type="dxa"/>
            <w:hideMark/>
          </w:tcPr>
          <w:p w14:paraId="4F5B1025" w14:textId="77777777" w:rsidR="00932DDB" w:rsidRPr="000665B0" w:rsidRDefault="00932DDB" w:rsidP="0056739E">
            <w:pPr>
              <w:widowControl w:val="0"/>
              <w:spacing w:before="60" w:after="60" w:line="240" w:lineRule="auto"/>
              <w:jc w:val="center"/>
              <w:rPr>
                <w:sz w:val="20"/>
              </w:rPr>
            </w:pPr>
            <w:r w:rsidRPr="000665B0">
              <w:rPr>
                <w:sz w:val="20"/>
              </w:rPr>
              <w:t>x</w:t>
            </w:r>
          </w:p>
        </w:tc>
      </w:tr>
      <w:tr w:rsidR="005145EC" w:rsidRPr="000665B0" w14:paraId="14A36DE0" w14:textId="77777777" w:rsidTr="00932DDB">
        <w:trPr>
          <w:trHeight w:val="510"/>
        </w:trPr>
        <w:tc>
          <w:tcPr>
            <w:tcW w:w="1932" w:type="dxa"/>
          </w:tcPr>
          <w:p w14:paraId="24EE7E83" w14:textId="53A57CD8" w:rsidR="005145EC" w:rsidRPr="000665B0" w:rsidRDefault="00596CE0" w:rsidP="0056739E">
            <w:pPr>
              <w:widowControl w:val="0"/>
              <w:spacing w:before="60" w:after="60" w:line="240" w:lineRule="auto"/>
              <w:rPr>
                <w:sz w:val="20"/>
              </w:rPr>
            </w:pPr>
            <w:r w:rsidRPr="000665B0">
              <w:rPr>
                <w:sz w:val="20"/>
              </w:rPr>
              <w:t xml:space="preserve">TM </w:t>
            </w:r>
            <w:r w:rsidR="005145EC" w:rsidRPr="000665B0">
              <w:rPr>
                <w:sz w:val="20"/>
              </w:rPr>
              <w:t>Archive</w:t>
            </w:r>
          </w:p>
        </w:tc>
        <w:tc>
          <w:tcPr>
            <w:tcW w:w="4483" w:type="dxa"/>
          </w:tcPr>
          <w:p w14:paraId="6C7829E6" w14:textId="1221B067" w:rsidR="005145EC" w:rsidRPr="000665B0" w:rsidRDefault="006D4898" w:rsidP="0056739E">
            <w:pPr>
              <w:widowControl w:val="0"/>
              <w:spacing w:before="60" w:after="60" w:line="240" w:lineRule="auto"/>
              <w:rPr>
                <w:sz w:val="20"/>
              </w:rPr>
            </w:pPr>
            <w:r w:rsidRPr="000665B0">
              <w:rPr>
                <w:sz w:val="20"/>
              </w:rPr>
              <w:t>&lt;&gt;:</w:t>
            </w:r>
            <w:r w:rsidR="005145EC" w:rsidRPr="000665B0">
              <w:rPr>
                <w:sz w:val="20"/>
              </w:rPr>
              <w:t>\Program Files\</w:t>
            </w:r>
            <w:r w:rsidRPr="000665B0">
              <w:rPr>
                <w:sz w:val="20"/>
              </w:rPr>
              <w:t>VENCORE\TM\TM_bin</w:t>
            </w:r>
            <w:r w:rsidR="005145EC" w:rsidRPr="000665B0">
              <w:rPr>
                <w:sz w:val="20"/>
              </w:rPr>
              <w:t>\Application Settings\&lt;username&gt;\archive_*.zip</w:t>
            </w:r>
          </w:p>
        </w:tc>
        <w:tc>
          <w:tcPr>
            <w:tcW w:w="473" w:type="dxa"/>
          </w:tcPr>
          <w:p w14:paraId="58EC533D" w14:textId="77777777" w:rsidR="005145EC" w:rsidRPr="000665B0" w:rsidRDefault="005145EC" w:rsidP="0056739E">
            <w:pPr>
              <w:widowControl w:val="0"/>
              <w:spacing w:before="60" w:after="60" w:line="240" w:lineRule="auto"/>
              <w:jc w:val="center"/>
              <w:rPr>
                <w:sz w:val="20"/>
              </w:rPr>
            </w:pPr>
          </w:p>
        </w:tc>
        <w:tc>
          <w:tcPr>
            <w:tcW w:w="513" w:type="dxa"/>
          </w:tcPr>
          <w:p w14:paraId="7D424092" w14:textId="77777777" w:rsidR="005145EC" w:rsidRPr="000665B0" w:rsidRDefault="005145EC" w:rsidP="0056739E">
            <w:pPr>
              <w:widowControl w:val="0"/>
              <w:spacing w:before="60" w:after="60" w:line="240" w:lineRule="auto"/>
              <w:jc w:val="center"/>
              <w:rPr>
                <w:sz w:val="20"/>
              </w:rPr>
            </w:pPr>
          </w:p>
        </w:tc>
        <w:tc>
          <w:tcPr>
            <w:tcW w:w="473" w:type="dxa"/>
          </w:tcPr>
          <w:p w14:paraId="71B41314" w14:textId="77777777" w:rsidR="005145EC" w:rsidRPr="000665B0" w:rsidRDefault="005145EC" w:rsidP="0056739E">
            <w:pPr>
              <w:widowControl w:val="0"/>
              <w:spacing w:before="60" w:after="60" w:line="240" w:lineRule="auto"/>
              <w:jc w:val="center"/>
              <w:rPr>
                <w:sz w:val="20"/>
              </w:rPr>
            </w:pPr>
          </w:p>
        </w:tc>
        <w:tc>
          <w:tcPr>
            <w:tcW w:w="473" w:type="dxa"/>
          </w:tcPr>
          <w:p w14:paraId="244CD1CA" w14:textId="77777777" w:rsidR="005145EC" w:rsidRPr="000665B0" w:rsidRDefault="005145EC" w:rsidP="0056739E">
            <w:pPr>
              <w:widowControl w:val="0"/>
              <w:spacing w:before="60" w:after="60" w:line="240" w:lineRule="auto"/>
              <w:jc w:val="center"/>
              <w:rPr>
                <w:sz w:val="20"/>
              </w:rPr>
            </w:pPr>
          </w:p>
        </w:tc>
        <w:tc>
          <w:tcPr>
            <w:tcW w:w="488" w:type="dxa"/>
          </w:tcPr>
          <w:p w14:paraId="3218FF09" w14:textId="77777777" w:rsidR="005145EC" w:rsidRPr="000665B0" w:rsidRDefault="005145EC" w:rsidP="0056739E">
            <w:pPr>
              <w:widowControl w:val="0"/>
              <w:spacing w:before="60" w:after="60" w:line="240" w:lineRule="auto"/>
              <w:jc w:val="center"/>
              <w:rPr>
                <w:sz w:val="20"/>
              </w:rPr>
            </w:pPr>
          </w:p>
        </w:tc>
        <w:tc>
          <w:tcPr>
            <w:tcW w:w="473" w:type="dxa"/>
          </w:tcPr>
          <w:p w14:paraId="03FCCF25" w14:textId="77777777" w:rsidR="005145EC" w:rsidRPr="000665B0" w:rsidRDefault="005145EC" w:rsidP="0056739E">
            <w:pPr>
              <w:widowControl w:val="0"/>
              <w:spacing w:before="60" w:after="60" w:line="240" w:lineRule="auto"/>
              <w:jc w:val="center"/>
              <w:rPr>
                <w:sz w:val="20"/>
              </w:rPr>
            </w:pPr>
            <w:r w:rsidRPr="000665B0">
              <w:rPr>
                <w:sz w:val="20"/>
              </w:rPr>
              <w:t>x</w:t>
            </w:r>
          </w:p>
        </w:tc>
      </w:tr>
      <w:tr w:rsidR="005145EC" w:rsidRPr="000665B0" w14:paraId="65921A7D" w14:textId="77777777" w:rsidTr="00932DDB">
        <w:trPr>
          <w:trHeight w:val="510"/>
        </w:trPr>
        <w:tc>
          <w:tcPr>
            <w:tcW w:w="1932" w:type="dxa"/>
          </w:tcPr>
          <w:p w14:paraId="5CBADD06" w14:textId="317924BA" w:rsidR="005145EC" w:rsidRPr="000665B0" w:rsidRDefault="00596CE0" w:rsidP="0056739E">
            <w:pPr>
              <w:widowControl w:val="0"/>
              <w:spacing w:before="60" w:after="60" w:line="240" w:lineRule="auto"/>
              <w:rPr>
                <w:sz w:val="20"/>
              </w:rPr>
            </w:pPr>
            <w:r w:rsidRPr="000665B0">
              <w:rPr>
                <w:sz w:val="20"/>
              </w:rPr>
              <w:t xml:space="preserve">TM </w:t>
            </w:r>
            <w:r w:rsidR="005145EC" w:rsidRPr="000665B0">
              <w:rPr>
                <w:sz w:val="20"/>
              </w:rPr>
              <w:t>Broker</w:t>
            </w:r>
          </w:p>
        </w:tc>
        <w:tc>
          <w:tcPr>
            <w:tcW w:w="4483" w:type="dxa"/>
          </w:tcPr>
          <w:p w14:paraId="07BE274B" w14:textId="2828E5A7" w:rsidR="005145EC" w:rsidRPr="000665B0" w:rsidRDefault="006D4898" w:rsidP="0056739E">
            <w:pPr>
              <w:widowControl w:val="0"/>
              <w:spacing w:before="60" w:after="60" w:line="240" w:lineRule="auto"/>
              <w:rPr>
                <w:sz w:val="20"/>
              </w:rPr>
            </w:pPr>
            <w:r w:rsidRPr="000665B0">
              <w:rPr>
                <w:sz w:val="20"/>
              </w:rPr>
              <w:t>&lt;&gt;:</w:t>
            </w:r>
            <w:r w:rsidR="005145EC" w:rsidRPr="000665B0">
              <w:rPr>
                <w:sz w:val="20"/>
              </w:rPr>
              <w:t>\Program Files\</w:t>
            </w:r>
            <w:r w:rsidRPr="000665B0">
              <w:rPr>
                <w:sz w:val="20"/>
              </w:rPr>
              <w:t>VENCORE\TM\TM_bin</w:t>
            </w:r>
            <w:r w:rsidR="005145EC" w:rsidRPr="000665B0">
              <w:rPr>
                <w:sz w:val="20"/>
              </w:rPr>
              <w:t>\Application Settings\&lt;username&gt;\broker_to_*.zip</w:t>
            </w:r>
          </w:p>
        </w:tc>
        <w:tc>
          <w:tcPr>
            <w:tcW w:w="473" w:type="dxa"/>
          </w:tcPr>
          <w:p w14:paraId="24F6223E" w14:textId="77777777" w:rsidR="005145EC" w:rsidRPr="000665B0" w:rsidRDefault="005145EC" w:rsidP="0056739E">
            <w:pPr>
              <w:widowControl w:val="0"/>
              <w:spacing w:before="60" w:after="60" w:line="240" w:lineRule="auto"/>
              <w:jc w:val="center"/>
              <w:rPr>
                <w:sz w:val="20"/>
              </w:rPr>
            </w:pPr>
          </w:p>
        </w:tc>
        <w:tc>
          <w:tcPr>
            <w:tcW w:w="513" w:type="dxa"/>
          </w:tcPr>
          <w:p w14:paraId="118C6EA1" w14:textId="77777777" w:rsidR="005145EC" w:rsidRPr="000665B0" w:rsidRDefault="005145EC" w:rsidP="0056739E">
            <w:pPr>
              <w:widowControl w:val="0"/>
              <w:spacing w:before="60" w:after="60" w:line="240" w:lineRule="auto"/>
              <w:jc w:val="center"/>
              <w:rPr>
                <w:sz w:val="20"/>
              </w:rPr>
            </w:pPr>
          </w:p>
        </w:tc>
        <w:tc>
          <w:tcPr>
            <w:tcW w:w="473" w:type="dxa"/>
          </w:tcPr>
          <w:p w14:paraId="537CE29D" w14:textId="77777777" w:rsidR="005145EC" w:rsidRPr="000665B0" w:rsidRDefault="005145EC" w:rsidP="0056739E">
            <w:pPr>
              <w:widowControl w:val="0"/>
              <w:spacing w:before="60" w:after="60" w:line="240" w:lineRule="auto"/>
              <w:jc w:val="center"/>
              <w:rPr>
                <w:sz w:val="20"/>
              </w:rPr>
            </w:pPr>
          </w:p>
        </w:tc>
        <w:tc>
          <w:tcPr>
            <w:tcW w:w="473" w:type="dxa"/>
          </w:tcPr>
          <w:p w14:paraId="790E8FDA" w14:textId="77777777" w:rsidR="005145EC" w:rsidRPr="000665B0" w:rsidRDefault="005145EC" w:rsidP="0056739E">
            <w:pPr>
              <w:widowControl w:val="0"/>
              <w:spacing w:before="60" w:after="60" w:line="240" w:lineRule="auto"/>
              <w:jc w:val="center"/>
              <w:rPr>
                <w:sz w:val="20"/>
              </w:rPr>
            </w:pPr>
          </w:p>
        </w:tc>
        <w:tc>
          <w:tcPr>
            <w:tcW w:w="488" w:type="dxa"/>
          </w:tcPr>
          <w:p w14:paraId="3EB190D6" w14:textId="77777777" w:rsidR="005145EC" w:rsidRPr="000665B0" w:rsidRDefault="005145EC" w:rsidP="0056739E">
            <w:pPr>
              <w:widowControl w:val="0"/>
              <w:spacing w:before="60" w:after="60" w:line="240" w:lineRule="auto"/>
              <w:jc w:val="center"/>
              <w:rPr>
                <w:sz w:val="20"/>
              </w:rPr>
            </w:pPr>
          </w:p>
        </w:tc>
        <w:tc>
          <w:tcPr>
            <w:tcW w:w="473" w:type="dxa"/>
          </w:tcPr>
          <w:p w14:paraId="3D0E3849" w14:textId="77777777" w:rsidR="005145EC" w:rsidRPr="000665B0" w:rsidRDefault="005145EC" w:rsidP="0056739E">
            <w:pPr>
              <w:widowControl w:val="0"/>
              <w:spacing w:before="60" w:after="60" w:line="240" w:lineRule="auto"/>
              <w:jc w:val="center"/>
              <w:rPr>
                <w:sz w:val="20"/>
              </w:rPr>
            </w:pPr>
            <w:r w:rsidRPr="000665B0">
              <w:rPr>
                <w:sz w:val="20"/>
              </w:rPr>
              <w:t>x</w:t>
            </w:r>
          </w:p>
        </w:tc>
      </w:tr>
    </w:tbl>
    <w:p w14:paraId="54790123" w14:textId="0F4AC402" w:rsidR="00932DDB" w:rsidRPr="000665B0" w:rsidRDefault="00932DDB" w:rsidP="00AE53CA">
      <w:pPr>
        <w:pStyle w:val="Appendix3"/>
        <w:ind w:left="360"/>
      </w:pPr>
      <w:bookmarkStart w:id="8236" w:name="_Toc214283748"/>
      <w:r w:rsidRPr="000665B0">
        <w:t>O</w:t>
      </w:r>
      <w:r w:rsidR="001E01A1" w:rsidRPr="000665B0">
        <w:t>ther</w:t>
      </w:r>
      <w:r w:rsidRPr="000665B0">
        <w:t xml:space="preserve"> F</w:t>
      </w:r>
      <w:r w:rsidR="001E01A1" w:rsidRPr="000665B0">
        <w:t>iles</w:t>
      </w:r>
      <w:bookmarkEnd w:id="8236"/>
    </w:p>
    <w:p w14:paraId="412D8D9B" w14:textId="77777777" w:rsidR="00932DDB" w:rsidRPr="000665B0" w:rsidRDefault="00932DDB" w:rsidP="00932DDB">
      <w:r w:rsidRPr="000665B0">
        <w:t>Listed in the table below are files</w:t>
      </w:r>
      <w:r w:rsidR="00C3627A" w:rsidRPr="000665B0">
        <w:t>/</w:t>
      </w:r>
      <w:r w:rsidRPr="000665B0">
        <w:t xml:space="preserve">directories where the </w:t>
      </w:r>
      <w:r w:rsidR="003D6207" w:rsidRPr="000665B0">
        <w:t>TMPC</w:t>
      </w:r>
      <w:r w:rsidRPr="000665B0">
        <w:t xml:space="preserve"> Applications may </w:t>
      </w:r>
      <w:r w:rsidR="00C3627A" w:rsidRPr="000665B0">
        <w:t>write data onto the hard disk</w:t>
      </w:r>
      <w:r w:rsidR="005145EC" w:rsidRPr="000665B0">
        <w:t xml:space="preserve"> for retaining user-customizations</w:t>
      </w:r>
      <w:r w:rsidR="00C3627A" w:rsidRPr="000665B0">
        <w:t xml:space="preserve">. </w:t>
      </w:r>
      <w:r w:rsidRPr="000665B0">
        <w:t xml:space="preserve">These files are used by the </w:t>
      </w:r>
      <w:r w:rsidR="003D6207" w:rsidRPr="000665B0">
        <w:t>TMPC</w:t>
      </w:r>
      <w:r w:rsidRPr="000665B0">
        <w:t xml:space="preserve"> application and normally should NOT be deleted while the </w:t>
      </w:r>
      <w:r w:rsidR="003D6207" w:rsidRPr="000665B0">
        <w:t>TMPC</w:t>
      </w:r>
      <w:r w:rsidRPr="000665B0">
        <w:t xml:space="preserve"> Application is installed</w:t>
      </w:r>
      <w:r w:rsidR="00C3627A" w:rsidRPr="000665B0">
        <w:t>/</w:t>
      </w:r>
      <w:r w:rsidRPr="000665B0">
        <w:t>executing. However, on occasion, between installs</w:t>
      </w:r>
      <w:r w:rsidR="00C3627A" w:rsidRPr="000665B0">
        <w:t>/</w:t>
      </w:r>
      <w:r w:rsidRPr="000665B0">
        <w:t xml:space="preserve">reinstalls or when a </w:t>
      </w:r>
      <w:r w:rsidR="00C3627A" w:rsidRPr="000665B0">
        <w:t>“</w:t>
      </w:r>
      <w:r w:rsidRPr="000665B0">
        <w:t>fresh start</w:t>
      </w:r>
      <w:r w:rsidR="00C3627A" w:rsidRPr="000665B0">
        <w:t>”</w:t>
      </w:r>
      <w:r w:rsidRPr="000665B0">
        <w:t xml:space="preserve"> is required, the data in these directories may need to be deleted.</w:t>
      </w:r>
    </w:p>
    <w:p w14:paraId="0B9E50BF" w14:textId="77777777" w:rsidR="005145EC" w:rsidRPr="000665B0" w:rsidRDefault="005145EC" w:rsidP="00932DDB">
      <w:r w:rsidRPr="000665B0">
        <w:t>The cleanup frequency of these files is discretionary; there is no DoD specified requirement.</w:t>
      </w:r>
    </w:p>
    <w:tbl>
      <w:tblPr>
        <w:tblW w:w="948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4410"/>
        <w:gridCol w:w="478"/>
        <w:gridCol w:w="376"/>
        <w:gridCol w:w="376"/>
        <w:gridCol w:w="376"/>
        <w:gridCol w:w="376"/>
        <w:gridCol w:w="376"/>
      </w:tblGrid>
      <w:tr w:rsidR="006C25D7" w:rsidRPr="000665B0" w14:paraId="4EA20876" w14:textId="77777777" w:rsidTr="006C25D7">
        <w:trPr>
          <w:trHeight w:val="475"/>
          <w:tblHeader/>
        </w:trPr>
        <w:tc>
          <w:tcPr>
            <w:tcW w:w="9483" w:type="dxa"/>
            <w:gridSpan w:val="8"/>
            <w:shd w:val="clear" w:color="000000" w:fill="D9D9D9"/>
            <w:vAlign w:val="center"/>
          </w:tcPr>
          <w:p w14:paraId="538C7645" w14:textId="419EE5DD" w:rsidR="006C25D7" w:rsidRPr="000665B0" w:rsidRDefault="00093C35" w:rsidP="0056739E">
            <w:pPr>
              <w:widowControl w:val="0"/>
              <w:spacing w:before="60" w:after="60" w:line="240" w:lineRule="auto"/>
              <w:rPr>
                <w:b/>
                <w:bCs/>
                <w:sz w:val="20"/>
              </w:rPr>
            </w:pPr>
            <w:r w:rsidRPr="000665B0">
              <w:rPr>
                <w:b/>
              </w:rPr>
              <w:t>Q</w:t>
            </w:r>
            <w:r w:rsidR="001E137B" w:rsidRPr="000665B0">
              <w:rPr>
                <w:b/>
              </w:rPr>
              <w:t>.</w:t>
            </w:r>
            <w:r w:rsidR="006C25D7" w:rsidRPr="000665B0">
              <w:rPr>
                <w:b/>
              </w:rPr>
              <w:t>5.3</w:t>
            </w:r>
            <w:r w:rsidR="009651B0">
              <w:rPr>
                <w:b/>
              </w:rPr>
              <w:t xml:space="preserve"> </w:t>
            </w:r>
            <w:r w:rsidR="006C25D7" w:rsidRPr="000665B0">
              <w:rPr>
                <w:b/>
              </w:rPr>
              <w:t>Other Files</w:t>
            </w:r>
          </w:p>
        </w:tc>
      </w:tr>
      <w:tr w:rsidR="00932DDB" w:rsidRPr="000665B0" w14:paraId="3A3AAB13" w14:textId="77777777" w:rsidTr="00932DDB">
        <w:trPr>
          <w:trHeight w:val="2015"/>
          <w:tblHeader/>
        </w:trPr>
        <w:tc>
          <w:tcPr>
            <w:tcW w:w="2715" w:type="dxa"/>
            <w:shd w:val="clear" w:color="000000" w:fill="D9D9D9"/>
            <w:vAlign w:val="bottom"/>
            <w:hideMark/>
          </w:tcPr>
          <w:p w14:paraId="392B7713" w14:textId="77777777" w:rsidR="00932DDB" w:rsidRPr="000665B0" w:rsidRDefault="00932DDB" w:rsidP="0056739E">
            <w:pPr>
              <w:widowControl w:val="0"/>
              <w:spacing w:before="60" w:after="60" w:line="240" w:lineRule="auto"/>
              <w:rPr>
                <w:b/>
                <w:bCs/>
                <w:sz w:val="20"/>
              </w:rPr>
            </w:pPr>
            <w:r w:rsidRPr="000665B0">
              <w:rPr>
                <w:b/>
                <w:bCs/>
                <w:sz w:val="20"/>
              </w:rPr>
              <w:t>Description</w:t>
            </w:r>
          </w:p>
        </w:tc>
        <w:tc>
          <w:tcPr>
            <w:tcW w:w="4410" w:type="dxa"/>
            <w:shd w:val="clear" w:color="000000" w:fill="D9D9D9"/>
            <w:vAlign w:val="bottom"/>
            <w:hideMark/>
          </w:tcPr>
          <w:p w14:paraId="5383F66F" w14:textId="77777777" w:rsidR="00932DDB" w:rsidRPr="000665B0" w:rsidRDefault="00932DDB" w:rsidP="0056739E">
            <w:pPr>
              <w:widowControl w:val="0"/>
              <w:spacing w:before="60" w:after="60" w:line="240" w:lineRule="auto"/>
              <w:rPr>
                <w:b/>
                <w:bCs/>
                <w:sz w:val="20"/>
              </w:rPr>
            </w:pPr>
            <w:r w:rsidRPr="000665B0">
              <w:rPr>
                <w:b/>
                <w:bCs/>
                <w:sz w:val="20"/>
              </w:rPr>
              <w:t>Comments</w:t>
            </w:r>
          </w:p>
        </w:tc>
        <w:tc>
          <w:tcPr>
            <w:tcW w:w="478" w:type="dxa"/>
            <w:shd w:val="clear" w:color="000000" w:fill="D9D9D9"/>
            <w:textDirection w:val="btLr"/>
            <w:vAlign w:val="bottom"/>
            <w:hideMark/>
          </w:tcPr>
          <w:p w14:paraId="0891D4B2" w14:textId="77777777" w:rsidR="00932DDB" w:rsidRPr="000665B0" w:rsidRDefault="00395432" w:rsidP="0056739E">
            <w:pPr>
              <w:widowControl w:val="0"/>
              <w:spacing w:before="60" w:after="60" w:line="240" w:lineRule="auto"/>
              <w:rPr>
                <w:b/>
                <w:bCs/>
                <w:sz w:val="20"/>
              </w:rPr>
            </w:pPr>
            <w:r w:rsidRPr="000665B0">
              <w:rPr>
                <w:b/>
                <w:bCs/>
                <w:sz w:val="20"/>
              </w:rPr>
              <w:t>Standalone MDS</w:t>
            </w:r>
            <w:r w:rsidR="00C3627A" w:rsidRPr="000665B0">
              <w:rPr>
                <w:b/>
                <w:bCs/>
                <w:sz w:val="20"/>
              </w:rPr>
              <w:t>/</w:t>
            </w:r>
            <w:r w:rsidR="00932DDB" w:rsidRPr="000665B0">
              <w:rPr>
                <w:b/>
                <w:bCs/>
                <w:sz w:val="20"/>
              </w:rPr>
              <w:t>FRU</w:t>
            </w:r>
          </w:p>
        </w:tc>
        <w:tc>
          <w:tcPr>
            <w:tcW w:w="376" w:type="dxa"/>
            <w:shd w:val="clear" w:color="000000" w:fill="D9D9D9"/>
            <w:textDirection w:val="btLr"/>
            <w:vAlign w:val="bottom"/>
            <w:hideMark/>
          </w:tcPr>
          <w:p w14:paraId="5D99785E" w14:textId="77777777" w:rsidR="00932DDB" w:rsidRPr="000665B0" w:rsidRDefault="00932DDB" w:rsidP="0056739E">
            <w:pPr>
              <w:widowControl w:val="0"/>
              <w:spacing w:before="60" w:after="60" w:line="240" w:lineRule="auto"/>
              <w:rPr>
                <w:b/>
                <w:bCs/>
                <w:sz w:val="20"/>
              </w:rPr>
            </w:pPr>
            <w:r w:rsidRPr="000665B0">
              <w:rPr>
                <w:b/>
                <w:bCs/>
                <w:sz w:val="20"/>
              </w:rPr>
              <w:t>CSG MDS</w:t>
            </w:r>
          </w:p>
        </w:tc>
        <w:tc>
          <w:tcPr>
            <w:tcW w:w="376" w:type="dxa"/>
            <w:shd w:val="clear" w:color="000000" w:fill="D9D9D9"/>
            <w:textDirection w:val="btLr"/>
            <w:vAlign w:val="bottom"/>
            <w:hideMark/>
          </w:tcPr>
          <w:p w14:paraId="63ABA7D5" w14:textId="77777777" w:rsidR="00932DDB" w:rsidRPr="000665B0" w:rsidRDefault="00932DDB" w:rsidP="0056739E">
            <w:pPr>
              <w:widowControl w:val="0"/>
              <w:spacing w:before="60" w:after="60" w:line="240" w:lineRule="auto"/>
              <w:rPr>
                <w:b/>
                <w:bCs/>
                <w:sz w:val="20"/>
              </w:rPr>
            </w:pPr>
            <w:r w:rsidRPr="000665B0">
              <w:rPr>
                <w:b/>
                <w:bCs/>
                <w:sz w:val="20"/>
              </w:rPr>
              <w:t>CSG TED</w:t>
            </w:r>
          </w:p>
        </w:tc>
        <w:tc>
          <w:tcPr>
            <w:tcW w:w="376" w:type="dxa"/>
            <w:shd w:val="clear" w:color="000000" w:fill="D9D9D9"/>
            <w:textDirection w:val="btLr"/>
            <w:vAlign w:val="bottom"/>
            <w:hideMark/>
          </w:tcPr>
          <w:p w14:paraId="4B526F9E" w14:textId="77777777" w:rsidR="00932DDB" w:rsidRPr="000665B0" w:rsidRDefault="00932DDB" w:rsidP="0056739E">
            <w:pPr>
              <w:widowControl w:val="0"/>
              <w:spacing w:before="60" w:after="60" w:line="240" w:lineRule="auto"/>
              <w:rPr>
                <w:b/>
                <w:bCs/>
                <w:sz w:val="20"/>
              </w:rPr>
            </w:pPr>
            <w:r w:rsidRPr="000665B0">
              <w:rPr>
                <w:b/>
                <w:bCs/>
                <w:sz w:val="20"/>
              </w:rPr>
              <w:t>CMSA</w:t>
            </w:r>
            <w:r w:rsidR="00C3627A" w:rsidRPr="000665B0">
              <w:rPr>
                <w:b/>
                <w:bCs/>
                <w:sz w:val="20"/>
              </w:rPr>
              <w:t>/</w:t>
            </w:r>
            <w:r w:rsidRPr="000665B0">
              <w:rPr>
                <w:b/>
                <w:bCs/>
                <w:sz w:val="20"/>
              </w:rPr>
              <w:t>TSMPC MDS</w:t>
            </w:r>
          </w:p>
        </w:tc>
        <w:tc>
          <w:tcPr>
            <w:tcW w:w="376" w:type="dxa"/>
            <w:shd w:val="clear" w:color="000000" w:fill="D9D9D9"/>
            <w:textDirection w:val="btLr"/>
            <w:vAlign w:val="bottom"/>
            <w:hideMark/>
          </w:tcPr>
          <w:p w14:paraId="3490E70D" w14:textId="77777777" w:rsidR="00932DDB" w:rsidRPr="000665B0" w:rsidRDefault="00932DDB" w:rsidP="0056739E">
            <w:pPr>
              <w:widowControl w:val="0"/>
              <w:spacing w:before="60" w:after="60" w:line="240" w:lineRule="auto"/>
              <w:rPr>
                <w:b/>
                <w:bCs/>
                <w:sz w:val="20"/>
              </w:rPr>
            </w:pPr>
            <w:r w:rsidRPr="000665B0">
              <w:rPr>
                <w:b/>
                <w:bCs/>
                <w:sz w:val="20"/>
              </w:rPr>
              <w:t>CMSA</w:t>
            </w:r>
            <w:r w:rsidR="00C3627A" w:rsidRPr="000665B0">
              <w:rPr>
                <w:b/>
                <w:bCs/>
                <w:sz w:val="20"/>
              </w:rPr>
              <w:t>/</w:t>
            </w:r>
            <w:r w:rsidRPr="000665B0">
              <w:rPr>
                <w:b/>
                <w:bCs/>
                <w:sz w:val="20"/>
              </w:rPr>
              <w:t>TSMPC DB</w:t>
            </w:r>
          </w:p>
        </w:tc>
        <w:tc>
          <w:tcPr>
            <w:tcW w:w="376" w:type="dxa"/>
            <w:shd w:val="clear" w:color="000000" w:fill="D9D9D9"/>
            <w:textDirection w:val="btLr"/>
            <w:vAlign w:val="bottom"/>
            <w:hideMark/>
          </w:tcPr>
          <w:p w14:paraId="35FCB1B8" w14:textId="77777777" w:rsidR="00932DDB" w:rsidRPr="000665B0" w:rsidRDefault="00932DDB" w:rsidP="0056739E">
            <w:pPr>
              <w:widowControl w:val="0"/>
              <w:spacing w:before="60" w:after="60" w:line="240" w:lineRule="auto"/>
              <w:rPr>
                <w:b/>
                <w:bCs/>
                <w:sz w:val="20"/>
              </w:rPr>
            </w:pPr>
            <w:r w:rsidRPr="000665B0">
              <w:rPr>
                <w:b/>
                <w:bCs/>
                <w:sz w:val="20"/>
              </w:rPr>
              <w:t>CMSA</w:t>
            </w:r>
            <w:r w:rsidR="00C3627A" w:rsidRPr="000665B0">
              <w:rPr>
                <w:b/>
                <w:bCs/>
                <w:sz w:val="20"/>
              </w:rPr>
              <w:t>/</w:t>
            </w:r>
            <w:r w:rsidRPr="000665B0">
              <w:rPr>
                <w:b/>
                <w:bCs/>
                <w:sz w:val="20"/>
              </w:rPr>
              <w:t>TSMPC TED</w:t>
            </w:r>
          </w:p>
        </w:tc>
      </w:tr>
      <w:tr w:rsidR="00932DDB" w:rsidRPr="000665B0" w14:paraId="558CA6E1" w14:textId="77777777" w:rsidTr="00932DDB">
        <w:trPr>
          <w:trHeight w:val="548"/>
        </w:trPr>
        <w:tc>
          <w:tcPr>
            <w:tcW w:w="2715" w:type="dxa"/>
          </w:tcPr>
          <w:p w14:paraId="77C1B976" w14:textId="77777777" w:rsidR="00932DDB" w:rsidRPr="000665B0" w:rsidRDefault="00932DDB" w:rsidP="0056739E">
            <w:pPr>
              <w:widowControl w:val="0"/>
              <w:spacing w:before="60" w:after="60" w:line="240" w:lineRule="auto"/>
              <w:rPr>
                <w:sz w:val="20"/>
              </w:rPr>
            </w:pPr>
            <w:r w:rsidRPr="000665B0">
              <w:rPr>
                <w:sz w:val="20"/>
              </w:rPr>
              <w:t xml:space="preserve">MDS User Preferences </w:t>
            </w:r>
          </w:p>
        </w:tc>
        <w:tc>
          <w:tcPr>
            <w:tcW w:w="4410" w:type="dxa"/>
          </w:tcPr>
          <w:p w14:paraId="5DF4E198" w14:textId="77777777" w:rsidR="00932DDB" w:rsidRPr="000665B0" w:rsidRDefault="00932DDB" w:rsidP="0056739E">
            <w:pPr>
              <w:widowControl w:val="0"/>
              <w:spacing w:before="60" w:after="60" w:line="240" w:lineRule="auto"/>
              <w:rPr>
                <w:sz w:val="20"/>
              </w:rPr>
            </w:pPr>
            <w:r w:rsidRPr="000665B0">
              <w:rPr>
                <w:sz w:val="20"/>
              </w:rPr>
              <w:t>C:\Users\&lt;username&gt;\AppData\Roaming\ComGlobal Systems</w:t>
            </w:r>
          </w:p>
        </w:tc>
        <w:tc>
          <w:tcPr>
            <w:tcW w:w="478" w:type="dxa"/>
          </w:tcPr>
          <w:p w14:paraId="167F7CA2" w14:textId="77777777" w:rsidR="00932DDB" w:rsidRPr="000665B0" w:rsidRDefault="00932DDB" w:rsidP="0056739E">
            <w:pPr>
              <w:widowControl w:val="0"/>
              <w:spacing w:before="60" w:after="60" w:line="240" w:lineRule="auto"/>
              <w:jc w:val="center"/>
              <w:rPr>
                <w:sz w:val="20"/>
              </w:rPr>
            </w:pPr>
            <w:r w:rsidRPr="000665B0">
              <w:rPr>
                <w:sz w:val="20"/>
              </w:rPr>
              <w:t>x</w:t>
            </w:r>
          </w:p>
        </w:tc>
        <w:tc>
          <w:tcPr>
            <w:tcW w:w="376" w:type="dxa"/>
          </w:tcPr>
          <w:p w14:paraId="33DD025B" w14:textId="77777777" w:rsidR="00932DDB" w:rsidRPr="000665B0" w:rsidRDefault="00932DDB" w:rsidP="0056739E">
            <w:pPr>
              <w:widowControl w:val="0"/>
              <w:spacing w:before="60" w:after="60" w:line="240" w:lineRule="auto"/>
              <w:jc w:val="center"/>
              <w:rPr>
                <w:sz w:val="20"/>
              </w:rPr>
            </w:pPr>
            <w:r w:rsidRPr="000665B0">
              <w:rPr>
                <w:sz w:val="20"/>
              </w:rPr>
              <w:t>x</w:t>
            </w:r>
          </w:p>
        </w:tc>
        <w:tc>
          <w:tcPr>
            <w:tcW w:w="376" w:type="dxa"/>
          </w:tcPr>
          <w:p w14:paraId="40B03D0B" w14:textId="77777777" w:rsidR="00932DDB" w:rsidRPr="000665B0" w:rsidRDefault="00932DDB" w:rsidP="0056739E">
            <w:pPr>
              <w:widowControl w:val="0"/>
              <w:spacing w:before="60" w:after="60" w:line="240" w:lineRule="auto"/>
              <w:jc w:val="center"/>
              <w:rPr>
                <w:sz w:val="20"/>
              </w:rPr>
            </w:pPr>
          </w:p>
        </w:tc>
        <w:tc>
          <w:tcPr>
            <w:tcW w:w="376" w:type="dxa"/>
          </w:tcPr>
          <w:p w14:paraId="44229C9F" w14:textId="77777777" w:rsidR="00932DDB" w:rsidRPr="000665B0" w:rsidRDefault="00932DDB" w:rsidP="0056739E">
            <w:pPr>
              <w:widowControl w:val="0"/>
              <w:spacing w:before="60" w:after="60" w:line="240" w:lineRule="auto"/>
              <w:jc w:val="center"/>
              <w:rPr>
                <w:sz w:val="20"/>
              </w:rPr>
            </w:pPr>
            <w:r w:rsidRPr="000665B0">
              <w:rPr>
                <w:sz w:val="20"/>
              </w:rPr>
              <w:t>x</w:t>
            </w:r>
          </w:p>
        </w:tc>
        <w:tc>
          <w:tcPr>
            <w:tcW w:w="376" w:type="dxa"/>
          </w:tcPr>
          <w:p w14:paraId="7EDF607E" w14:textId="77777777" w:rsidR="00932DDB" w:rsidRPr="000665B0" w:rsidRDefault="00932DDB" w:rsidP="0056739E">
            <w:pPr>
              <w:widowControl w:val="0"/>
              <w:spacing w:before="60" w:after="60" w:line="240" w:lineRule="auto"/>
              <w:jc w:val="center"/>
              <w:rPr>
                <w:sz w:val="20"/>
              </w:rPr>
            </w:pPr>
          </w:p>
        </w:tc>
        <w:tc>
          <w:tcPr>
            <w:tcW w:w="376" w:type="dxa"/>
          </w:tcPr>
          <w:p w14:paraId="5A85AEB8" w14:textId="77777777" w:rsidR="00932DDB" w:rsidRPr="000665B0" w:rsidRDefault="00932DDB" w:rsidP="0056739E">
            <w:pPr>
              <w:widowControl w:val="0"/>
              <w:spacing w:before="60" w:after="60" w:line="240" w:lineRule="auto"/>
              <w:jc w:val="center"/>
              <w:rPr>
                <w:sz w:val="20"/>
              </w:rPr>
            </w:pPr>
          </w:p>
        </w:tc>
      </w:tr>
      <w:tr w:rsidR="00932DDB" w:rsidRPr="000665B0" w14:paraId="443B66C0" w14:textId="77777777" w:rsidTr="00932DDB">
        <w:trPr>
          <w:trHeight w:val="255"/>
        </w:trPr>
        <w:tc>
          <w:tcPr>
            <w:tcW w:w="2715" w:type="dxa"/>
          </w:tcPr>
          <w:p w14:paraId="0FEADE02" w14:textId="1A43955F" w:rsidR="00932DDB" w:rsidRPr="000665B0" w:rsidRDefault="00596CE0" w:rsidP="0056739E">
            <w:pPr>
              <w:widowControl w:val="0"/>
              <w:spacing w:before="60" w:after="60" w:line="240" w:lineRule="auto"/>
              <w:rPr>
                <w:sz w:val="20"/>
              </w:rPr>
            </w:pPr>
            <w:r w:rsidRPr="000665B0">
              <w:rPr>
                <w:sz w:val="20"/>
              </w:rPr>
              <w:lastRenderedPageBreak/>
              <w:t xml:space="preserve">TM </w:t>
            </w:r>
            <w:r w:rsidR="00932DDB" w:rsidRPr="000665B0">
              <w:rPr>
                <w:sz w:val="20"/>
              </w:rPr>
              <w:t>- User Preferences Filter</w:t>
            </w:r>
          </w:p>
        </w:tc>
        <w:tc>
          <w:tcPr>
            <w:tcW w:w="4410" w:type="dxa"/>
          </w:tcPr>
          <w:p w14:paraId="4053A527" w14:textId="261B8254" w:rsidR="00932DDB" w:rsidRPr="000665B0" w:rsidRDefault="00596CE0" w:rsidP="0056739E">
            <w:pPr>
              <w:widowControl w:val="0"/>
              <w:spacing w:before="60" w:after="60"/>
              <w:rPr>
                <w:sz w:val="20"/>
              </w:rPr>
            </w:pPr>
            <w:r w:rsidRPr="000665B0">
              <w:rPr>
                <w:sz w:val="20"/>
              </w:rPr>
              <w:t>&lt;&gt;</w:t>
            </w:r>
            <w:r w:rsidR="00932DDB" w:rsidRPr="000665B0">
              <w:rPr>
                <w:sz w:val="20"/>
              </w:rPr>
              <w:t>:\Program Files\</w:t>
            </w:r>
            <w:r w:rsidRPr="000665B0">
              <w:rPr>
                <w:sz w:val="20"/>
              </w:rPr>
              <w:t>VENCORE\ TM\TM_bin</w:t>
            </w:r>
            <w:r w:rsidR="00932DDB" w:rsidRPr="000665B0">
              <w:rPr>
                <w:sz w:val="20"/>
              </w:rPr>
              <w:t>\Application Settings\&lt;username&gt;\FilterPreferences\*.xml</w:t>
            </w:r>
          </w:p>
        </w:tc>
        <w:tc>
          <w:tcPr>
            <w:tcW w:w="478" w:type="dxa"/>
          </w:tcPr>
          <w:p w14:paraId="63F3AC5F" w14:textId="77777777" w:rsidR="00932DDB" w:rsidRPr="000665B0" w:rsidRDefault="00932DDB" w:rsidP="0056739E">
            <w:pPr>
              <w:widowControl w:val="0"/>
              <w:spacing w:before="60" w:after="60" w:line="240" w:lineRule="auto"/>
              <w:jc w:val="center"/>
              <w:rPr>
                <w:sz w:val="20"/>
              </w:rPr>
            </w:pPr>
          </w:p>
        </w:tc>
        <w:tc>
          <w:tcPr>
            <w:tcW w:w="376" w:type="dxa"/>
          </w:tcPr>
          <w:p w14:paraId="1628A53C" w14:textId="77777777" w:rsidR="00932DDB" w:rsidRPr="000665B0" w:rsidRDefault="00932DDB" w:rsidP="0056739E">
            <w:pPr>
              <w:widowControl w:val="0"/>
              <w:spacing w:before="60" w:after="60" w:line="240" w:lineRule="auto"/>
              <w:jc w:val="center"/>
              <w:rPr>
                <w:sz w:val="20"/>
              </w:rPr>
            </w:pPr>
          </w:p>
        </w:tc>
        <w:tc>
          <w:tcPr>
            <w:tcW w:w="376" w:type="dxa"/>
          </w:tcPr>
          <w:p w14:paraId="3057B7C7" w14:textId="77777777" w:rsidR="00932DDB" w:rsidRPr="000665B0" w:rsidRDefault="00932DDB" w:rsidP="0056739E">
            <w:pPr>
              <w:widowControl w:val="0"/>
              <w:spacing w:before="60" w:after="60" w:line="240" w:lineRule="auto"/>
              <w:jc w:val="center"/>
              <w:rPr>
                <w:sz w:val="20"/>
              </w:rPr>
            </w:pPr>
          </w:p>
        </w:tc>
        <w:tc>
          <w:tcPr>
            <w:tcW w:w="376" w:type="dxa"/>
          </w:tcPr>
          <w:p w14:paraId="303223FC" w14:textId="77777777" w:rsidR="00932DDB" w:rsidRPr="000665B0" w:rsidRDefault="00932DDB" w:rsidP="0056739E">
            <w:pPr>
              <w:widowControl w:val="0"/>
              <w:spacing w:before="60" w:after="60" w:line="240" w:lineRule="auto"/>
              <w:jc w:val="center"/>
              <w:rPr>
                <w:sz w:val="20"/>
              </w:rPr>
            </w:pPr>
          </w:p>
        </w:tc>
        <w:tc>
          <w:tcPr>
            <w:tcW w:w="376" w:type="dxa"/>
          </w:tcPr>
          <w:p w14:paraId="0E9B5A75" w14:textId="77777777" w:rsidR="00932DDB" w:rsidRPr="000665B0" w:rsidRDefault="00932DDB" w:rsidP="0056739E">
            <w:pPr>
              <w:widowControl w:val="0"/>
              <w:spacing w:before="60" w:after="60" w:line="240" w:lineRule="auto"/>
              <w:jc w:val="center"/>
              <w:rPr>
                <w:sz w:val="20"/>
              </w:rPr>
            </w:pPr>
          </w:p>
        </w:tc>
        <w:tc>
          <w:tcPr>
            <w:tcW w:w="376" w:type="dxa"/>
          </w:tcPr>
          <w:p w14:paraId="78EA0128" w14:textId="77777777" w:rsidR="00932DDB" w:rsidRPr="000665B0" w:rsidRDefault="00932DDB" w:rsidP="0056739E">
            <w:pPr>
              <w:widowControl w:val="0"/>
              <w:spacing w:before="60" w:after="60" w:line="240" w:lineRule="auto"/>
              <w:jc w:val="center"/>
              <w:rPr>
                <w:sz w:val="20"/>
              </w:rPr>
            </w:pPr>
            <w:r w:rsidRPr="000665B0">
              <w:rPr>
                <w:sz w:val="20"/>
              </w:rPr>
              <w:t>x</w:t>
            </w:r>
          </w:p>
        </w:tc>
      </w:tr>
      <w:tr w:rsidR="00932DDB" w:rsidRPr="000665B0" w14:paraId="07AB3E3B" w14:textId="77777777" w:rsidTr="00932DDB">
        <w:trPr>
          <w:trHeight w:val="255"/>
        </w:trPr>
        <w:tc>
          <w:tcPr>
            <w:tcW w:w="2715" w:type="dxa"/>
          </w:tcPr>
          <w:p w14:paraId="35E19A1C" w14:textId="07E539E9" w:rsidR="00932DDB" w:rsidRPr="000665B0" w:rsidRDefault="00596CE0" w:rsidP="0056739E">
            <w:pPr>
              <w:widowControl w:val="0"/>
              <w:spacing w:before="60" w:after="60" w:line="240" w:lineRule="auto"/>
              <w:rPr>
                <w:sz w:val="20"/>
              </w:rPr>
            </w:pPr>
            <w:r w:rsidRPr="000665B0">
              <w:rPr>
                <w:sz w:val="20"/>
              </w:rPr>
              <w:t xml:space="preserve">TM </w:t>
            </w:r>
            <w:r w:rsidR="00932DDB" w:rsidRPr="000665B0">
              <w:rPr>
                <w:sz w:val="20"/>
              </w:rPr>
              <w:t>- User Preferences</w:t>
            </w:r>
            <w:r w:rsidR="009651B0">
              <w:rPr>
                <w:sz w:val="20"/>
              </w:rPr>
              <w:t xml:space="preserve"> </w:t>
            </w:r>
            <w:r w:rsidR="00932DDB" w:rsidRPr="000665B0">
              <w:rPr>
                <w:sz w:val="20"/>
              </w:rPr>
              <w:t>List View</w:t>
            </w:r>
          </w:p>
        </w:tc>
        <w:tc>
          <w:tcPr>
            <w:tcW w:w="4410" w:type="dxa"/>
          </w:tcPr>
          <w:p w14:paraId="2AE1ED27" w14:textId="486A56F5" w:rsidR="00932DDB" w:rsidRPr="000665B0" w:rsidRDefault="00596CE0" w:rsidP="0056739E">
            <w:pPr>
              <w:widowControl w:val="0"/>
              <w:spacing w:before="60" w:after="60" w:line="240" w:lineRule="auto"/>
              <w:rPr>
                <w:sz w:val="20"/>
              </w:rPr>
            </w:pPr>
            <w:r w:rsidRPr="000665B0">
              <w:rPr>
                <w:sz w:val="20"/>
              </w:rPr>
              <w:t>&lt;&gt;</w:t>
            </w:r>
            <w:r w:rsidR="00932DDB" w:rsidRPr="000665B0">
              <w:rPr>
                <w:sz w:val="20"/>
              </w:rPr>
              <w:t>:\Program Files\</w:t>
            </w:r>
            <w:r w:rsidRPr="000665B0">
              <w:rPr>
                <w:sz w:val="20"/>
              </w:rPr>
              <w:t>VENCORE\ TM\TM_bin</w:t>
            </w:r>
            <w:r w:rsidR="00932DDB" w:rsidRPr="000665B0">
              <w:rPr>
                <w:sz w:val="20"/>
              </w:rPr>
              <w:t>\Application Settings\&lt;username&gt;\\GridLayoutPreferences\*.xml</w:t>
            </w:r>
          </w:p>
        </w:tc>
        <w:tc>
          <w:tcPr>
            <w:tcW w:w="478" w:type="dxa"/>
          </w:tcPr>
          <w:p w14:paraId="3853C7DC" w14:textId="77777777" w:rsidR="00932DDB" w:rsidRPr="000665B0" w:rsidRDefault="00932DDB" w:rsidP="0056739E">
            <w:pPr>
              <w:widowControl w:val="0"/>
              <w:spacing w:before="60" w:after="60" w:line="240" w:lineRule="auto"/>
              <w:jc w:val="center"/>
              <w:rPr>
                <w:sz w:val="20"/>
              </w:rPr>
            </w:pPr>
          </w:p>
        </w:tc>
        <w:tc>
          <w:tcPr>
            <w:tcW w:w="376" w:type="dxa"/>
          </w:tcPr>
          <w:p w14:paraId="012722D6" w14:textId="77777777" w:rsidR="00932DDB" w:rsidRPr="000665B0" w:rsidRDefault="00932DDB" w:rsidP="0056739E">
            <w:pPr>
              <w:widowControl w:val="0"/>
              <w:spacing w:before="60" w:after="60" w:line="240" w:lineRule="auto"/>
              <w:jc w:val="center"/>
              <w:rPr>
                <w:sz w:val="20"/>
              </w:rPr>
            </w:pPr>
          </w:p>
        </w:tc>
        <w:tc>
          <w:tcPr>
            <w:tcW w:w="376" w:type="dxa"/>
          </w:tcPr>
          <w:p w14:paraId="55700C09" w14:textId="77777777" w:rsidR="00932DDB" w:rsidRPr="000665B0" w:rsidRDefault="00932DDB" w:rsidP="0056739E">
            <w:pPr>
              <w:widowControl w:val="0"/>
              <w:spacing w:before="60" w:after="60" w:line="240" w:lineRule="auto"/>
              <w:jc w:val="center"/>
              <w:rPr>
                <w:sz w:val="20"/>
              </w:rPr>
            </w:pPr>
          </w:p>
        </w:tc>
        <w:tc>
          <w:tcPr>
            <w:tcW w:w="376" w:type="dxa"/>
          </w:tcPr>
          <w:p w14:paraId="468A9A20" w14:textId="77777777" w:rsidR="00932DDB" w:rsidRPr="000665B0" w:rsidRDefault="00932DDB" w:rsidP="0056739E">
            <w:pPr>
              <w:widowControl w:val="0"/>
              <w:spacing w:before="60" w:after="60" w:line="240" w:lineRule="auto"/>
              <w:jc w:val="center"/>
              <w:rPr>
                <w:sz w:val="20"/>
              </w:rPr>
            </w:pPr>
          </w:p>
        </w:tc>
        <w:tc>
          <w:tcPr>
            <w:tcW w:w="376" w:type="dxa"/>
          </w:tcPr>
          <w:p w14:paraId="4E478F4C" w14:textId="77777777" w:rsidR="00932DDB" w:rsidRPr="000665B0" w:rsidRDefault="00932DDB" w:rsidP="0056739E">
            <w:pPr>
              <w:widowControl w:val="0"/>
              <w:spacing w:before="60" w:after="60" w:line="240" w:lineRule="auto"/>
              <w:jc w:val="center"/>
              <w:rPr>
                <w:sz w:val="20"/>
              </w:rPr>
            </w:pPr>
          </w:p>
        </w:tc>
        <w:tc>
          <w:tcPr>
            <w:tcW w:w="376" w:type="dxa"/>
          </w:tcPr>
          <w:p w14:paraId="2A513000" w14:textId="77777777" w:rsidR="00932DDB" w:rsidRPr="000665B0" w:rsidRDefault="00932DDB" w:rsidP="0056739E">
            <w:pPr>
              <w:widowControl w:val="0"/>
              <w:spacing w:before="60" w:after="60" w:line="240" w:lineRule="auto"/>
              <w:jc w:val="center"/>
              <w:rPr>
                <w:sz w:val="20"/>
              </w:rPr>
            </w:pPr>
            <w:r w:rsidRPr="000665B0">
              <w:rPr>
                <w:sz w:val="20"/>
              </w:rPr>
              <w:t>x</w:t>
            </w:r>
          </w:p>
        </w:tc>
      </w:tr>
      <w:tr w:rsidR="00932DDB" w:rsidRPr="000665B0" w14:paraId="57013CF7" w14:textId="77777777" w:rsidTr="00932DDB">
        <w:trPr>
          <w:trHeight w:val="255"/>
        </w:trPr>
        <w:tc>
          <w:tcPr>
            <w:tcW w:w="2715" w:type="dxa"/>
          </w:tcPr>
          <w:p w14:paraId="4F7F02D2" w14:textId="3296DA88" w:rsidR="00932DDB" w:rsidRPr="000665B0" w:rsidRDefault="00596CE0" w:rsidP="0056739E">
            <w:pPr>
              <w:widowControl w:val="0"/>
              <w:spacing w:before="60" w:after="60" w:line="240" w:lineRule="auto"/>
              <w:rPr>
                <w:sz w:val="20"/>
              </w:rPr>
            </w:pPr>
            <w:r w:rsidRPr="000665B0">
              <w:rPr>
                <w:sz w:val="20"/>
              </w:rPr>
              <w:t xml:space="preserve">TM </w:t>
            </w:r>
            <w:r w:rsidR="00932DDB" w:rsidRPr="000665B0">
              <w:rPr>
                <w:sz w:val="20"/>
              </w:rPr>
              <w:t>- TaskTree</w:t>
            </w:r>
          </w:p>
        </w:tc>
        <w:tc>
          <w:tcPr>
            <w:tcW w:w="4410" w:type="dxa"/>
          </w:tcPr>
          <w:p w14:paraId="569C24A1" w14:textId="4340E573" w:rsidR="00932DDB" w:rsidRPr="000665B0" w:rsidRDefault="00596CE0" w:rsidP="0056739E">
            <w:pPr>
              <w:widowControl w:val="0"/>
              <w:spacing w:before="60" w:after="60" w:line="240" w:lineRule="auto"/>
              <w:rPr>
                <w:sz w:val="20"/>
              </w:rPr>
            </w:pPr>
            <w:r w:rsidRPr="000665B0">
              <w:rPr>
                <w:sz w:val="20"/>
              </w:rPr>
              <w:t>&lt;&gt;</w:t>
            </w:r>
            <w:r w:rsidR="00932DDB" w:rsidRPr="000665B0">
              <w:rPr>
                <w:sz w:val="20"/>
              </w:rPr>
              <w:t>:\Program Files\</w:t>
            </w:r>
            <w:r w:rsidRPr="000665B0">
              <w:rPr>
                <w:sz w:val="20"/>
              </w:rPr>
              <w:t>VENCORE\ TM\TM_bin</w:t>
            </w:r>
            <w:r w:rsidR="00932DDB" w:rsidRPr="000665B0">
              <w:rPr>
                <w:sz w:val="20"/>
              </w:rPr>
              <w:t>\Application Settings\&lt;username&gt;\TaskTreeLayoutPreferences\TaskTree.xml</w:t>
            </w:r>
          </w:p>
        </w:tc>
        <w:tc>
          <w:tcPr>
            <w:tcW w:w="478" w:type="dxa"/>
          </w:tcPr>
          <w:p w14:paraId="3F36155F" w14:textId="77777777" w:rsidR="00932DDB" w:rsidRPr="000665B0" w:rsidRDefault="00932DDB" w:rsidP="0056739E">
            <w:pPr>
              <w:widowControl w:val="0"/>
              <w:spacing w:before="60" w:after="60" w:line="240" w:lineRule="auto"/>
              <w:jc w:val="center"/>
              <w:rPr>
                <w:sz w:val="20"/>
              </w:rPr>
            </w:pPr>
          </w:p>
        </w:tc>
        <w:tc>
          <w:tcPr>
            <w:tcW w:w="376" w:type="dxa"/>
          </w:tcPr>
          <w:p w14:paraId="18DEB209" w14:textId="77777777" w:rsidR="00932DDB" w:rsidRPr="000665B0" w:rsidRDefault="00932DDB" w:rsidP="0056739E">
            <w:pPr>
              <w:widowControl w:val="0"/>
              <w:spacing w:before="60" w:after="60" w:line="240" w:lineRule="auto"/>
              <w:jc w:val="center"/>
              <w:rPr>
                <w:sz w:val="20"/>
              </w:rPr>
            </w:pPr>
          </w:p>
        </w:tc>
        <w:tc>
          <w:tcPr>
            <w:tcW w:w="376" w:type="dxa"/>
          </w:tcPr>
          <w:p w14:paraId="3260B28D" w14:textId="77777777" w:rsidR="00932DDB" w:rsidRPr="000665B0" w:rsidRDefault="00932DDB" w:rsidP="0056739E">
            <w:pPr>
              <w:widowControl w:val="0"/>
              <w:spacing w:before="60" w:after="60" w:line="240" w:lineRule="auto"/>
              <w:jc w:val="center"/>
              <w:rPr>
                <w:sz w:val="20"/>
              </w:rPr>
            </w:pPr>
          </w:p>
        </w:tc>
        <w:tc>
          <w:tcPr>
            <w:tcW w:w="376" w:type="dxa"/>
          </w:tcPr>
          <w:p w14:paraId="42AE964D" w14:textId="77777777" w:rsidR="00932DDB" w:rsidRPr="000665B0" w:rsidRDefault="00932DDB" w:rsidP="0056739E">
            <w:pPr>
              <w:widowControl w:val="0"/>
              <w:spacing w:before="60" w:after="60" w:line="240" w:lineRule="auto"/>
              <w:jc w:val="center"/>
              <w:rPr>
                <w:sz w:val="20"/>
              </w:rPr>
            </w:pPr>
          </w:p>
        </w:tc>
        <w:tc>
          <w:tcPr>
            <w:tcW w:w="376" w:type="dxa"/>
          </w:tcPr>
          <w:p w14:paraId="3EC8E1F6" w14:textId="77777777" w:rsidR="00932DDB" w:rsidRPr="000665B0" w:rsidRDefault="00932DDB" w:rsidP="0056739E">
            <w:pPr>
              <w:widowControl w:val="0"/>
              <w:spacing w:before="60" w:after="60" w:line="240" w:lineRule="auto"/>
              <w:jc w:val="center"/>
              <w:rPr>
                <w:sz w:val="20"/>
              </w:rPr>
            </w:pPr>
          </w:p>
        </w:tc>
        <w:tc>
          <w:tcPr>
            <w:tcW w:w="376" w:type="dxa"/>
          </w:tcPr>
          <w:p w14:paraId="3B9179FA" w14:textId="77777777" w:rsidR="00932DDB" w:rsidRPr="000665B0" w:rsidRDefault="00932DDB" w:rsidP="0056739E">
            <w:pPr>
              <w:widowControl w:val="0"/>
              <w:spacing w:before="60" w:after="60" w:line="240" w:lineRule="auto"/>
              <w:jc w:val="center"/>
              <w:rPr>
                <w:sz w:val="20"/>
              </w:rPr>
            </w:pPr>
            <w:r w:rsidRPr="000665B0">
              <w:rPr>
                <w:sz w:val="20"/>
              </w:rPr>
              <w:t>x</w:t>
            </w:r>
          </w:p>
        </w:tc>
      </w:tr>
    </w:tbl>
    <w:p w14:paraId="658CC511" w14:textId="424E3C38" w:rsidR="00256CCA" w:rsidRPr="000665B0" w:rsidRDefault="001E01A1" w:rsidP="00AE53CA">
      <w:pPr>
        <w:pStyle w:val="Appendix3"/>
        <w:ind w:left="360"/>
      </w:pPr>
      <w:bookmarkStart w:id="8237" w:name="_Toc214283749"/>
      <w:r w:rsidRPr="000665B0">
        <w:t xml:space="preserve">Database </w:t>
      </w:r>
      <w:bookmarkEnd w:id="8231"/>
      <w:r w:rsidRPr="000665B0">
        <w:t>Backups</w:t>
      </w:r>
      <w:bookmarkEnd w:id="8237"/>
    </w:p>
    <w:p w14:paraId="6471083F" w14:textId="0F41290B" w:rsidR="00256CCA" w:rsidRPr="000665B0" w:rsidRDefault="00256CCA" w:rsidP="00923310">
      <w:r w:rsidRPr="000665B0">
        <w:t xml:space="preserve">The importance of proper backup, recovery and contingency procedures cannot be over emphasized. In order to effectively restore the MDS </w:t>
      </w:r>
      <w:r w:rsidR="005619C1" w:rsidRPr="000665B0">
        <w:t>7</w:t>
      </w:r>
      <w:r w:rsidR="00EA12C2" w:rsidRPr="000665B0">
        <w:t>.0</w:t>
      </w:r>
      <w:r w:rsidRPr="000665B0">
        <w:t xml:space="preserve"> </w:t>
      </w:r>
      <w:r w:rsidR="00C52C3E" w:rsidRPr="000665B0">
        <w:rPr>
          <w:rFonts w:eastAsia="Calibri"/>
          <w:szCs w:val="24"/>
        </w:rPr>
        <w:t xml:space="preserve">(and above) </w:t>
      </w:r>
      <w:r w:rsidRPr="000665B0">
        <w:t xml:space="preserve">system with the most current tactical data should a full software restoration be required, System Administrators must archive the </w:t>
      </w:r>
      <w:r w:rsidR="00DC7D18" w:rsidRPr="000665B0">
        <w:t>TMPC</w:t>
      </w:r>
      <w:r w:rsidRPr="000665B0">
        <w:t xml:space="preserve"> Databases </w:t>
      </w:r>
    </w:p>
    <w:p w14:paraId="5F564861" w14:textId="77777777" w:rsidR="00256CCA" w:rsidRPr="000665B0" w:rsidRDefault="00256CCA" w:rsidP="008C3FDE">
      <w:r w:rsidRPr="000665B0">
        <w:t>Backup policies are site specific. Each site should develop an archive strategy which describes when archives should occur and who should perform them. It is recommended that weekly archives are performed.</w:t>
      </w:r>
    </w:p>
    <w:p w14:paraId="0C2395DF" w14:textId="77777777" w:rsidR="00E35876" w:rsidRPr="000665B0" w:rsidRDefault="00E35876" w:rsidP="00E35876">
      <w:r w:rsidRPr="000665B0">
        <w:t xml:space="preserve">The </w:t>
      </w:r>
      <w:r w:rsidR="00DC7D18" w:rsidRPr="000665B0">
        <w:rPr>
          <w:b/>
        </w:rPr>
        <w:t xml:space="preserve">TMPC </w:t>
      </w:r>
      <w:r w:rsidRPr="000665B0">
        <w:rPr>
          <w:b/>
        </w:rPr>
        <w:t>Database Utility</w:t>
      </w:r>
      <w:r w:rsidRPr="000665B0">
        <w:t xml:space="preserve"> is a standalone application that should be used to manually or automatically backup the databases. All </w:t>
      </w:r>
      <w:r w:rsidR="00DC7D18" w:rsidRPr="000665B0">
        <w:t>TMPC</w:t>
      </w:r>
      <w:r w:rsidRPr="000665B0">
        <w:t xml:space="preserve"> managed databases should be backed up (archived). The list of </w:t>
      </w:r>
      <w:r w:rsidR="00DC7D18" w:rsidRPr="000665B0">
        <w:t>TMPC</w:t>
      </w:r>
      <w:r w:rsidRPr="000665B0">
        <w:t xml:space="preserve"> managed databases can be viewed in the </w:t>
      </w:r>
      <w:r w:rsidRPr="000665B0">
        <w:rPr>
          <w:i/>
        </w:rPr>
        <w:t>TC2S Database Utility/About TC2S Database Utility</w:t>
      </w:r>
      <w:r w:rsidRPr="000665B0">
        <w:t xml:space="preserve"> window.</w:t>
      </w:r>
    </w:p>
    <w:p w14:paraId="4C393D50" w14:textId="7AD348A6" w:rsidR="00E35876" w:rsidRPr="000665B0" w:rsidRDefault="00E35876" w:rsidP="008C3FDE">
      <w:r w:rsidRPr="000665B0">
        <w:t xml:space="preserve">On a </w:t>
      </w:r>
      <w:r w:rsidR="00395432" w:rsidRPr="000665B0">
        <w:t>Standalone MDS</w:t>
      </w:r>
      <w:r w:rsidRPr="000665B0">
        <w:t xml:space="preserve">/FRU configuration, the </w:t>
      </w:r>
      <w:r w:rsidR="00DC7D18" w:rsidRPr="000665B0">
        <w:t>TMPC</w:t>
      </w:r>
      <w:r w:rsidRPr="000665B0">
        <w:t xml:space="preserve"> Database Utility should be executed on the MDS workstation. On a CSG configuration, the </w:t>
      </w:r>
      <w:r w:rsidR="00DC7D18" w:rsidRPr="000665B0">
        <w:t>TMPC</w:t>
      </w:r>
      <w:r w:rsidR="00DC7D18" w:rsidRPr="000665B0" w:rsidDel="00DC7D18">
        <w:t xml:space="preserve"> </w:t>
      </w:r>
      <w:r w:rsidRPr="000665B0">
        <w:t xml:space="preserve">Database Utility should be executed on the remote TED Server. On a CMSA/TSMPC configuration, the </w:t>
      </w:r>
      <w:r w:rsidR="00DC7D18" w:rsidRPr="000665B0">
        <w:t>TMPC</w:t>
      </w:r>
      <w:r w:rsidRPr="000665B0">
        <w:t xml:space="preserve"> Database Utility should be executed on the remote DB Server. </w:t>
      </w:r>
      <w:r w:rsidR="00904380" w:rsidRPr="000665B0">
        <w:t>See</w:t>
      </w:r>
      <w:r w:rsidRPr="000665B0">
        <w:t xml:space="preserve"> </w:t>
      </w:r>
      <w:hyperlink w:anchor="_4.5.2.1.8__Archive" w:history="1">
        <w:r w:rsidR="00B14F4A" w:rsidRPr="000665B0">
          <w:rPr>
            <w:rStyle w:val="Hyperlink"/>
          </w:rPr>
          <w:t>Section 4.5.2.1.7</w:t>
        </w:r>
      </w:hyperlink>
      <w:r w:rsidR="00B14F4A" w:rsidRPr="000665B0">
        <w:t xml:space="preserve"> </w:t>
      </w:r>
      <w:r w:rsidRPr="000665B0">
        <w:t xml:space="preserve">for the procedures for </w:t>
      </w:r>
      <w:r w:rsidR="00D56272" w:rsidRPr="000665B0">
        <w:t xml:space="preserve">manually </w:t>
      </w:r>
      <w:r w:rsidRPr="000665B0">
        <w:t xml:space="preserve">archiving databases and </w:t>
      </w:r>
      <w:r w:rsidR="00904380" w:rsidRPr="000665B0">
        <w:t xml:space="preserve">see </w:t>
      </w:r>
      <w:hyperlink w:anchor="_4.5.4__Command" w:history="1">
        <w:r w:rsidR="006E764B" w:rsidRPr="000665B0">
          <w:rPr>
            <w:rStyle w:val="Hyperlink"/>
          </w:rPr>
          <w:t>Section 4.5.4</w:t>
        </w:r>
      </w:hyperlink>
      <w:r w:rsidR="006E764B" w:rsidRPr="000665B0">
        <w:t xml:space="preserve"> </w:t>
      </w:r>
      <w:r w:rsidRPr="000665B0">
        <w:t xml:space="preserve">for setting up automatic archives using the Microsoft Windows </w:t>
      </w:r>
      <w:r w:rsidR="00311D96" w:rsidRPr="000665B0">
        <w:t xml:space="preserve">Task </w:t>
      </w:r>
      <w:r w:rsidRPr="000665B0">
        <w:t>Scheduler.</w:t>
      </w:r>
    </w:p>
    <w:p w14:paraId="4AF213D5" w14:textId="4E6912B9" w:rsidR="00256CCA" w:rsidRPr="000665B0" w:rsidRDefault="001E01A1" w:rsidP="00D62233">
      <w:pPr>
        <w:pStyle w:val="Appendix3"/>
        <w:ind w:left="360"/>
      </w:pPr>
      <w:bookmarkStart w:id="8238" w:name="_Toc311470654"/>
      <w:bookmarkStart w:id="8239" w:name="_Toc214283750"/>
      <w:r w:rsidRPr="000665B0">
        <w:lastRenderedPageBreak/>
        <w:t xml:space="preserve">User Account </w:t>
      </w:r>
      <w:bookmarkEnd w:id="8238"/>
      <w:r w:rsidRPr="000665B0">
        <w:t>Management</w:t>
      </w:r>
      <w:bookmarkEnd w:id="8239"/>
    </w:p>
    <w:p w14:paraId="43EFB030" w14:textId="30003001" w:rsidR="00256CCA" w:rsidRPr="000665B0" w:rsidRDefault="00256CCA" w:rsidP="001F4B14">
      <w:pPr>
        <w:pStyle w:val="Appendix4"/>
        <w:ind w:left="360"/>
      </w:pPr>
      <w:bookmarkStart w:id="8240" w:name="_Toc311470655"/>
      <w:r w:rsidRPr="000665B0">
        <w:t>Local User</w:t>
      </w:r>
      <w:bookmarkEnd w:id="8240"/>
    </w:p>
    <w:p w14:paraId="5D470B29" w14:textId="269177D2" w:rsidR="00256CCA" w:rsidRPr="000665B0" w:rsidRDefault="00256CCA" w:rsidP="00AE53CA">
      <w:r w:rsidRPr="000665B0">
        <w:t>When not connected to a domain (</w:t>
      </w:r>
      <w:r w:rsidR="003509EA" w:rsidRPr="000665B0">
        <w:t xml:space="preserve">i.e., </w:t>
      </w:r>
      <w:r w:rsidRPr="000665B0">
        <w:t xml:space="preserve">CSG, </w:t>
      </w:r>
      <w:r w:rsidR="00395432" w:rsidRPr="000665B0">
        <w:t>Standalone MDS</w:t>
      </w:r>
      <w:r w:rsidRPr="000665B0">
        <w:t xml:space="preserve">, and FRU), user accounts are managed locally from the </w:t>
      </w:r>
      <w:r w:rsidRPr="000665B0">
        <w:rPr>
          <w:i/>
        </w:rPr>
        <w:t xml:space="preserve">Computer </w:t>
      </w:r>
      <w:r w:rsidR="00D66AB0" w:rsidRPr="000665B0">
        <w:rPr>
          <w:i/>
        </w:rPr>
        <w:t>Management</w:t>
      </w:r>
      <w:r w:rsidR="00D66AB0" w:rsidRPr="000665B0">
        <w:t xml:space="preserve"> </w:t>
      </w:r>
      <w:r w:rsidRPr="000665B0">
        <w:t>window.</w:t>
      </w:r>
    </w:p>
    <w:p w14:paraId="0984090D" w14:textId="77777777" w:rsidR="00256CCA" w:rsidRPr="000665B0" w:rsidRDefault="00256CCA" w:rsidP="00AE53CA">
      <w:pPr>
        <w:spacing w:after="0"/>
      </w:pPr>
      <w:r w:rsidRPr="000665B0">
        <w:t xml:space="preserve">Refer to the </w:t>
      </w:r>
      <w:r w:rsidRPr="000665B0">
        <w:rPr>
          <w:i/>
        </w:rPr>
        <w:t>Local User Creation</w:t>
      </w:r>
      <w:r w:rsidRPr="000665B0">
        <w:t xml:space="preserve"> section of the </w:t>
      </w:r>
      <w:r w:rsidR="00305308" w:rsidRPr="000665B0">
        <w:t xml:space="preserve">appropriate configuration </w:t>
      </w:r>
      <w:r w:rsidRPr="000665B0">
        <w:t>ISP for the steps required for the creation of Local User accounts.</w:t>
      </w:r>
    </w:p>
    <w:p w14:paraId="295BF371" w14:textId="123E6651" w:rsidR="00256CCA" w:rsidRPr="000665B0" w:rsidRDefault="00256CCA" w:rsidP="001F4B14">
      <w:pPr>
        <w:pStyle w:val="Appendix4"/>
        <w:ind w:left="360"/>
      </w:pPr>
      <w:bookmarkStart w:id="8241" w:name="_Toc311470656"/>
      <w:r w:rsidRPr="000665B0">
        <w:t>Domain User</w:t>
      </w:r>
      <w:bookmarkEnd w:id="8241"/>
    </w:p>
    <w:p w14:paraId="479706F9" w14:textId="77777777" w:rsidR="00256CCA" w:rsidRPr="000665B0" w:rsidRDefault="00256CCA" w:rsidP="00923310">
      <w:r w:rsidRPr="000665B0">
        <w:t>User accounts in a CMSA and TSMPC configuration are managed from a Domain Controller. In addition to the creation of the user account, the domain user must be added to the Domain MDS Users group.</w:t>
      </w:r>
    </w:p>
    <w:p w14:paraId="07F35EE5" w14:textId="77777777" w:rsidR="00256CCA" w:rsidRPr="000665B0" w:rsidRDefault="00256CCA" w:rsidP="00923310">
      <w:pPr>
        <w:spacing w:after="0"/>
      </w:pPr>
      <w:r w:rsidRPr="000665B0">
        <w:t xml:space="preserve">Refer to the </w:t>
      </w:r>
      <w:r w:rsidRPr="000665B0">
        <w:rPr>
          <w:i/>
        </w:rPr>
        <w:t>Domain User Creation</w:t>
      </w:r>
      <w:r w:rsidRPr="000665B0">
        <w:t xml:space="preserve"> section of the </w:t>
      </w:r>
      <w:r w:rsidR="00305308" w:rsidRPr="000665B0">
        <w:t xml:space="preserve">appropriate configuration </w:t>
      </w:r>
      <w:r w:rsidRPr="000665B0">
        <w:t>ISP for the steps required for the creation of Domain User accounts.</w:t>
      </w:r>
    </w:p>
    <w:p w14:paraId="1E8C21E7" w14:textId="77777777" w:rsidR="00256CCA" w:rsidRPr="000665B0" w:rsidRDefault="00256CCA" w:rsidP="00923310">
      <w:pPr>
        <w:spacing w:after="0"/>
      </w:pPr>
      <w:bookmarkStart w:id="8242" w:name="_COMMON_PRE-INSTALLATION_SETUP"/>
      <w:bookmarkStart w:id="8243" w:name="_Section_4_"/>
      <w:bookmarkStart w:id="8244" w:name="_Hlk56773979"/>
      <w:bookmarkEnd w:id="8192"/>
      <w:bookmarkEnd w:id="8193"/>
      <w:bookmarkEnd w:id="8194"/>
      <w:bookmarkEnd w:id="8195"/>
      <w:bookmarkEnd w:id="8196"/>
      <w:bookmarkEnd w:id="8197"/>
      <w:bookmarkEnd w:id="8198"/>
      <w:bookmarkEnd w:id="8199"/>
      <w:bookmarkEnd w:id="8200"/>
      <w:bookmarkEnd w:id="8201"/>
      <w:bookmarkEnd w:id="8202"/>
      <w:bookmarkEnd w:id="8203"/>
      <w:bookmarkEnd w:id="8204"/>
      <w:bookmarkEnd w:id="8205"/>
      <w:bookmarkEnd w:id="8206"/>
      <w:bookmarkEnd w:id="8207"/>
      <w:bookmarkEnd w:id="8208"/>
      <w:bookmarkEnd w:id="8209"/>
      <w:bookmarkEnd w:id="8210"/>
      <w:bookmarkEnd w:id="8211"/>
      <w:bookmarkEnd w:id="8212"/>
      <w:bookmarkEnd w:id="8213"/>
      <w:bookmarkEnd w:id="8214"/>
      <w:bookmarkEnd w:id="8215"/>
      <w:bookmarkEnd w:id="8216"/>
      <w:bookmarkEnd w:id="8217"/>
      <w:bookmarkEnd w:id="8218"/>
      <w:bookmarkEnd w:id="8219"/>
      <w:bookmarkEnd w:id="8220"/>
      <w:bookmarkEnd w:id="8221"/>
      <w:bookmarkEnd w:id="8222"/>
      <w:bookmarkEnd w:id="8223"/>
      <w:bookmarkEnd w:id="8224"/>
      <w:bookmarkEnd w:id="8225"/>
      <w:bookmarkEnd w:id="8226"/>
      <w:bookmarkEnd w:id="8227"/>
      <w:bookmarkEnd w:id="8228"/>
      <w:bookmarkEnd w:id="8229"/>
      <w:bookmarkEnd w:id="8242"/>
      <w:bookmarkEnd w:id="8243"/>
    </w:p>
    <w:p w14:paraId="5077B2CD" w14:textId="77777777" w:rsidR="00A316EA" w:rsidRDefault="00A316EA" w:rsidP="00256CCA">
      <w:r>
        <w:br w:type="page"/>
      </w:r>
      <w:bookmarkStart w:id="8245" w:name="_4.8__UNINSTALLING_PC-MDS_4.2.X"/>
      <w:bookmarkStart w:id="8246" w:name="_JSPEAR_INSTALLATION_AND"/>
      <w:bookmarkStart w:id="8247" w:name="_TOMAHAWK_PLANNING_SYSTEM"/>
      <w:bookmarkStart w:id="8248" w:name="_APPENDIX_B__SYMANTEC_ANTIVIRUS_INST"/>
      <w:bookmarkStart w:id="8249" w:name="_APPENDIX_B__INSTALLING_MICROSOFT_OF"/>
      <w:bookmarkStart w:id="8250" w:name="_APPENDIX_C__INSTALLING_MICROSOFT_OF"/>
      <w:bookmarkStart w:id="8251" w:name="_SECTION_5_"/>
      <w:bookmarkStart w:id="8252" w:name="_SECTION_8__TED_SERVER_INSTALLATION_"/>
      <w:bookmarkStart w:id="8253" w:name="_SECTION_6_"/>
      <w:bookmarkStart w:id="8254" w:name="_SECTION_9__SOFTWARE_UNINSTALLATION_"/>
      <w:bookmarkStart w:id="8255" w:name="_SOFTWARE_UNINSTALLATION_PROCEDURES"/>
      <w:bookmarkStart w:id="8256" w:name="_APPENDIX_A_"/>
      <w:bookmarkStart w:id="8257" w:name="_APPENDIX_C__"/>
      <w:bookmarkStart w:id="8258" w:name="_Toc280872656"/>
      <w:bookmarkStart w:id="8259" w:name="_Toc311470660"/>
      <w:bookmarkEnd w:id="8244"/>
      <w:bookmarkEnd w:id="8245"/>
      <w:bookmarkEnd w:id="8246"/>
      <w:bookmarkEnd w:id="8247"/>
      <w:bookmarkEnd w:id="8248"/>
      <w:bookmarkEnd w:id="8249"/>
      <w:bookmarkEnd w:id="8250"/>
      <w:bookmarkEnd w:id="8251"/>
      <w:bookmarkEnd w:id="8252"/>
      <w:bookmarkEnd w:id="8253"/>
      <w:bookmarkEnd w:id="8254"/>
      <w:bookmarkEnd w:id="8255"/>
      <w:bookmarkEnd w:id="8256"/>
      <w:bookmarkEnd w:id="8257"/>
    </w:p>
    <w:p w14:paraId="1D500138" w14:textId="7EE7DDA1" w:rsidR="0041588A" w:rsidRPr="000665B0" w:rsidRDefault="0041588A" w:rsidP="003604C5">
      <w:pPr>
        <w:pStyle w:val="Appendix"/>
      </w:pPr>
      <w:bookmarkStart w:id="8260" w:name="_APPENDIX_S_"/>
      <w:bookmarkStart w:id="8261" w:name="_APPENDIX__"/>
      <w:bookmarkStart w:id="8262" w:name="_Hlk55993965"/>
      <w:bookmarkEnd w:id="8086"/>
      <w:bookmarkEnd w:id="8260"/>
      <w:bookmarkEnd w:id="8261"/>
      <w:r w:rsidRPr="000665B0">
        <w:lastRenderedPageBreak/>
        <w:br/>
      </w:r>
      <w:bookmarkStart w:id="8263" w:name="_Toc214283751"/>
      <w:r w:rsidRPr="000665B0">
        <w:t>TSRT CONFIGURATION GUIDE</w:t>
      </w:r>
      <w:bookmarkEnd w:id="8263"/>
    </w:p>
    <w:p w14:paraId="6178C8A0" w14:textId="7FEB6553" w:rsidR="001C393B" w:rsidRPr="000665B0" w:rsidRDefault="001C393B" w:rsidP="00F8510B">
      <w:r w:rsidRPr="000665B0">
        <w:t>Tomahawk Strike Rehearsal Tool (TSRT) is a set of software tools, which operate in and support MDS, especially in strike planning and rehearsal. TSRT directly uses MDS data defining a strike package and simulates that strike, synthesizing those participants which are not real (live) players in the rehearsal. The results of such a strike rehearsal provide strike planners and strike controllers with insights to a particular strike plan's strengths and/or weaknesses, e</w:t>
      </w:r>
      <w:r w:rsidR="008076FC" w:rsidRPr="000665B0">
        <w:t>specially its controllability (e.g</w:t>
      </w:r>
      <w:r w:rsidRPr="000665B0">
        <w:t>., ability of the strike controller to respond to anomalies or failures effectively) and feasibility (</w:t>
      </w:r>
      <w:r w:rsidR="008076FC" w:rsidRPr="000665B0">
        <w:t>e.g</w:t>
      </w:r>
      <w:r w:rsidRPr="000665B0">
        <w:t>., ability to satisfy all tasking, including ability of the TSN to communicate with Tomahawk missiles). TSRT also supports simulating multiple strikes in support of MDS’ similar requirements to evaluate and execute multiple strikes.</w:t>
      </w:r>
      <w:r w:rsidR="009651B0">
        <w:t xml:space="preserve"> </w:t>
      </w:r>
    </w:p>
    <w:p w14:paraId="3E7B89DD" w14:textId="45E8935B" w:rsidR="001C393B" w:rsidRPr="000665B0" w:rsidRDefault="001C393B">
      <w:r w:rsidRPr="000665B0">
        <w:t xml:space="preserve">TSRT provides strike simulation services for training at a single machine, for a set of MDS machines on a local network, or within a distributed network of MDS systems (such as all the units in a strike group). TSRT strike simulation services also support training with one or more TTWCS ships in an independent unit, strike group, and joint task force exercises. Strike simulation services employ the appropriate communications paths </w:t>
      </w:r>
      <w:r w:rsidR="00EC06C1" w:rsidRPr="000665B0">
        <w:t xml:space="preserve">(as indicated in information in the respective missiles’ reservations) </w:t>
      </w:r>
      <w:r w:rsidRPr="000665B0">
        <w:t>via one of two TSN</w:t>
      </w:r>
      <w:r w:rsidR="00C45D14" w:rsidRPr="000665B0">
        <w:t xml:space="preserve"> type</w:t>
      </w:r>
      <w:r w:rsidRPr="000665B0">
        <w:t>s.</w:t>
      </w:r>
      <w:r w:rsidRPr="000665B0">
        <w:rPr>
          <w:rFonts w:eastAsia="Calibri"/>
        </w:rPr>
        <w:t xml:space="preserve"> The </w:t>
      </w:r>
      <w:r w:rsidR="00C45D14" w:rsidRPr="000665B0">
        <w:t>Demand Assigned Multiple Access (DAMA)</w:t>
      </w:r>
      <w:r w:rsidRPr="000665B0">
        <w:rPr>
          <w:rFonts w:eastAsia="Calibri"/>
        </w:rPr>
        <w:t xml:space="preserve"> TSN is the older TSN. Participants </w:t>
      </w:r>
      <w:r w:rsidR="00EC06C1" w:rsidRPr="000665B0">
        <w:rPr>
          <w:rFonts w:eastAsia="Calibri"/>
        </w:rPr>
        <w:t>using</w:t>
      </w:r>
      <w:r w:rsidRPr="000665B0">
        <w:rPr>
          <w:rFonts w:eastAsia="Calibri"/>
        </w:rPr>
        <w:t xml:space="preserve"> the DAMA TSN communicate directly with the </w:t>
      </w:r>
      <w:r w:rsidR="00EC06C1" w:rsidRPr="000665B0">
        <w:rPr>
          <w:rFonts w:eastAsia="Calibri"/>
        </w:rPr>
        <w:t xml:space="preserve">UHF </w:t>
      </w:r>
      <w:r w:rsidRPr="000665B0">
        <w:rPr>
          <w:rFonts w:eastAsia="Calibri"/>
        </w:rPr>
        <w:t>satellite providing the network</w:t>
      </w:r>
      <w:r w:rsidR="00EC06C1" w:rsidRPr="000665B0">
        <w:rPr>
          <w:rFonts w:eastAsia="Calibri"/>
        </w:rPr>
        <w:t xml:space="preserve"> connectivity</w:t>
      </w:r>
      <w:r w:rsidRPr="000665B0">
        <w:rPr>
          <w:rFonts w:eastAsia="Calibri"/>
        </w:rPr>
        <w:t xml:space="preserve">. The </w:t>
      </w:r>
      <w:r w:rsidR="00C45D14" w:rsidRPr="000665B0">
        <w:rPr>
          <w:iCs/>
        </w:rPr>
        <w:t>Advanced Communication Architecture (ACA)</w:t>
      </w:r>
      <w:r w:rsidRPr="000665B0">
        <w:rPr>
          <w:rFonts w:eastAsia="Calibri"/>
        </w:rPr>
        <w:t xml:space="preserve"> TSN is the modern</w:t>
      </w:r>
      <w:r w:rsidR="00EC06C1" w:rsidRPr="000665B0">
        <w:rPr>
          <w:rFonts w:eastAsia="Calibri"/>
        </w:rPr>
        <w:t>ized</w:t>
      </w:r>
      <w:r w:rsidRPr="000665B0">
        <w:rPr>
          <w:rFonts w:eastAsia="Calibri"/>
        </w:rPr>
        <w:t xml:space="preserve"> TSN and provides higher data rates. </w:t>
      </w:r>
      <w:r w:rsidR="00EC06C1" w:rsidRPr="000665B0">
        <w:rPr>
          <w:rFonts w:eastAsia="Calibri"/>
        </w:rPr>
        <w:t>When using the satellite portion of the network (</w:t>
      </w:r>
      <w:r w:rsidR="003509EA" w:rsidRPr="000665B0">
        <w:rPr>
          <w:rFonts w:eastAsia="Calibri"/>
        </w:rPr>
        <w:t xml:space="preserve">i.e., </w:t>
      </w:r>
      <w:r w:rsidR="00EC06C1" w:rsidRPr="000665B0">
        <w:rPr>
          <w:rFonts w:eastAsia="Calibri"/>
        </w:rPr>
        <w:t>to exchange data with missiles), p</w:t>
      </w:r>
      <w:r w:rsidRPr="000665B0">
        <w:rPr>
          <w:rFonts w:eastAsia="Calibri"/>
        </w:rPr>
        <w:t xml:space="preserve">articipants </w:t>
      </w:r>
      <w:r w:rsidR="00EC06C1" w:rsidRPr="000665B0">
        <w:rPr>
          <w:rFonts w:eastAsia="Calibri"/>
        </w:rPr>
        <w:t>using</w:t>
      </w:r>
      <w:r w:rsidRPr="000665B0">
        <w:rPr>
          <w:rFonts w:eastAsia="Calibri"/>
        </w:rPr>
        <w:t xml:space="preserve"> the ACA TSN communicate </w:t>
      </w:r>
      <w:r w:rsidR="00EC06C1" w:rsidRPr="000665B0">
        <w:rPr>
          <w:rFonts w:eastAsia="Calibri"/>
        </w:rPr>
        <w:t xml:space="preserve">via the </w:t>
      </w:r>
      <w:r w:rsidR="00354C47">
        <w:rPr>
          <w:rFonts w:eastAsia="Calibri"/>
        </w:rPr>
        <w:t>TSC</w:t>
      </w:r>
      <w:r w:rsidR="00354C47" w:rsidRPr="000665B0">
        <w:rPr>
          <w:rFonts w:eastAsia="Calibri"/>
        </w:rPr>
        <w:t xml:space="preserve">’s </w:t>
      </w:r>
      <w:r w:rsidR="00EC06C1" w:rsidRPr="000665B0">
        <w:rPr>
          <w:rFonts w:eastAsia="Calibri"/>
        </w:rPr>
        <w:t>TCIP, which has a TCIP interface to a ground station (NSP node), which in turn has a direct link to the satellite.</w:t>
      </w:r>
      <w:r w:rsidRPr="000665B0">
        <w:t xml:space="preserve"> </w:t>
      </w:r>
      <w:r w:rsidR="00EC06C1" w:rsidRPr="000665B0">
        <w:t xml:space="preserve">Otherwise, participants </w:t>
      </w:r>
      <w:r w:rsidR="00757FC3" w:rsidRPr="000665B0">
        <w:t>using</w:t>
      </w:r>
      <w:r w:rsidR="00EC06C1" w:rsidRPr="000665B0">
        <w:t xml:space="preserve"> the ACA TSN communicate through their </w:t>
      </w:r>
      <w:r w:rsidR="00354C47">
        <w:t>TSC</w:t>
      </w:r>
      <w:r w:rsidR="00354C47" w:rsidRPr="000665B0">
        <w:t xml:space="preserve"> </w:t>
      </w:r>
      <w:r w:rsidR="00EC06C1" w:rsidRPr="000665B0">
        <w:t>node.</w:t>
      </w:r>
    </w:p>
    <w:p w14:paraId="71B591B1" w14:textId="2464BA47" w:rsidR="001C393B" w:rsidRPr="000665B0" w:rsidRDefault="001C393B" w:rsidP="001C393B">
      <w:r w:rsidRPr="000665B0">
        <w:t>The configuration of TSRT matches available assets and the requirements of the training. TSRT can be configured so a central node provides all the simulation services for the entire training group, or it can be configured so MDS and TSRT at a central Problem Control location directs operations by a group of missile communications transmission nodes acting together as a distributed training services capability.</w:t>
      </w:r>
    </w:p>
    <w:p w14:paraId="5DA31EE5" w14:textId="77777777" w:rsidR="001C393B" w:rsidRPr="000665B0" w:rsidRDefault="001C393B" w:rsidP="001C393B">
      <w:r w:rsidRPr="000665B0">
        <w:t>In addition to supplying significant functionality to MDS, TSRT supports MDS in several other ways. TSRT supports:</w:t>
      </w:r>
    </w:p>
    <w:p w14:paraId="55E53119" w14:textId="77777777" w:rsidR="001C393B" w:rsidRPr="000665B0" w:rsidRDefault="001C393B" w:rsidP="006D5A65">
      <w:pPr>
        <w:pStyle w:val="Heading1"/>
      </w:pPr>
      <w:r w:rsidRPr="000665B0">
        <w:t>Developers as they develop the real-time strike control capabilities of MDS by providing a simulated test bed for synthetic strikes with simulated participants, especially including missiles, during software development.</w:t>
      </w:r>
    </w:p>
    <w:p w14:paraId="117117FF" w14:textId="77777777" w:rsidR="00CE2B30" w:rsidRDefault="001C393B" w:rsidP="006D5A65">
      <w:pPr>
        <w:pStyle w:val="Heading1"/>
      </w:pPr>
      <w:bookmarkStart w:id="8264" w:name="_Toc497808934"/>
      <w:bookmarkStart w:id="8265" w:name="_Toc514034275"/>
      <w:bookmarkStart w:id="8266" w:name="_Toc12081558"/>
      <w:bookmarkStart w:id="8267" w:name="_Toc27818420"/>
      <w:bookmarkStart w:id="8268" w:name="_Toc78606744"/>
      <w:bookmarkStart w:id="8269" w:name="_Toc87153748"/>
      <w:bookmarkStart w:id="8270" w:name="_Toc90957179"/>
      <w:bookmarkStart w:id="8271" w:name="_Toc96169697"/>
      <w:bookmarkStart w:id="8272" w:name="_Toc96233742"/>
      <w:bookmarkStart w:id="8273" w:name="_Toc112733157"/>
      <w:r w:rsidRPr="000665B0">
        <w:t xml:space="preserve">Systems testers as they test MDS’ real-time strike control capabilities and its interfaces with other systems, including </w:t>
      </w:r>
      <w:r w:rsidRPr="000665B0">
        <w:lastRenderedPageBreak/>
        <w:t>Tomahawk Planning System (TPS) and Tomahawk Strike Network (TSN).</w:t>
      </w:r>
    </w:p>
    <w:p w14:paraId="214B8EA2" w14:textId="3A06A851" w:rsidR="007837E1" w:rsidRPr="000665B0" w:rsidRDefault="00407041" w:rsidP="0056739E">
      <w:pPr>
        <w:pStyle w:val="Appendix2"/>
        <w:keepNext/>
      </w:pPr>
      <w:bookmarkStart w:id="8274" w:name="_Toc214283752"/>
      <w:bookmarkEnd w:id="8264"/>
      <w:bookmarkEnd w:id="8265"/>
      <w:bookmarkEnd w:id="8266"/>
      <w:bookmarkEnd w:id="8267"/>
      <w:bookmarkEnd w:id="8268"/>
      <w:bookmarkEnd w:id="8269"/>
      <w:bookmarkEnd w:id="8270"/>
      <w:bookmarkEnd w:id="8271"/>
      <w:bookmarkEnd w:id="8272"/>
      <w:bookmarkEnd w:id="8273"/>
      <w:r w:rsidRPr="000665B0">
        <w:t>TSRT CONFIGURATION OVERVIEW</w:t>
      </w:r>
      <w:bookmarkEnd w:id="8274"/>
    </w:p>
    <w:p w14:paraId="6AABB168" w14:textId="088C1C8F" w:rsidR="007837E1" w:rsidRPr="000665B0" w:rsidRDefault="007837E1" w:rsidP="00CE5CA5">
      <w:pPr>
        <w:keepLines/>
        <w:rPr>
          <w:rFonts w:eastAsia="Calibri"/>
        </w:rPr>
      </w:pPr>
      <w:r w:rsidRPr="000665B0">
        <w:rPr>
          <w:rFonts w:eastAsia="Calibri"/>
        </w:rPr>
        <w:t>This document covers the configuration necessary to use the TSRT to rehearse Tomahawk strikes.</w:t>
      </w:r>
    </w:p>
    <w:p w14:paraId="57C1CF17" w14:textId="2C73EF63" w:rsidR="007837E1" w:rsidRPr="000665B0" w:rsidRDefault="007837E1" w:rsidP="00E869EC">
      <w:pPr>
        <w:pStyle w:val="Appendix3"/>
        <w:ind w:left="0" w:firstLine="0"/>
      </w:pPr>
      <w:bookmarkStart w:id="8275" w:name="_Toc214283753"/>
      <w:r w:rsidRPr="000665B0">
        <w:t>TSRT Tool</w:t>
      </w:r>
      <w:bookmarkEnd w:id="8275"/>
    </w:p>
    <w:p w14:paraId="66A3DE0D" w14:textId="566073A6" w:rsidR="001C393B" w:rsidRPr="000665B0" w:rsidRDefault="007837E1" w:rsidP="00AE53CA">
      <w:pPr>
        <w:rPr>
          <w:rFonts w:eastAsia="Calibri"/>
        </w:rPr>
      </w:pPr>
      <w:r w:rsidRPr="000665B0">
        <w:rPr>
          <w:rFonts w:eastAsia="Calibri"/>
        </w:rPr>
        <w:t>The TSRT can be configured with general options applicable to all rehearsals</w:t>
      </w:r>
      <w:r w:rsidR="007E3392" w:rsidRPr="000665B0">
        <w:rPr>
          <w:rFonts w:eastAsia="Calibri"/>
        </w:rPr>
        <w:t xml:space="preserve">. </w:t>
      </w:r>
      <w:r w:rsidRPr="000665B0">
        <w:rPr>
          <w:rFonts w:eastAsia="Calibri"/>
        </w:rPr>
        <w:t>These include communication delays, representation on the geographic display of rehearsal entities (targets, routes, FRUs, missiles, etc.), and the treatment of live FRUs during rehearsal.</w:t>
      </w:r>
    </w:p>
    <w:p w14:paraId="499F8ED4" w14:textId="76B37923" w:rsidR="007837E1" w:rsidRPr="000665B0" w:rsidRDefault="007837E1" w:rsidP="00E869EC">
      <w:pPr>
        <w:pStyle w:val="Appendix3"/>
        <w:ind w:left="0" w:firstLine="0"/>
      </w:pPr>
      <w:bookmarkStart w:id="8276" w:name="_Toc214283754"/>
      <w:r w:rsidRPr="000665B0">
        <w:t>Strike Execution Folder</w:t>
      </w:r>
      <w:bookmarkEnd w:id="8276"/>
    </w:p>
    <w:p w14:paraId="093727BF" w14:textId="77777777" w:rsidR="007837E1" w:rsidRPr="000665B0" w:rsidRDefault="007837E1" w:rsidP="00AE53CA">
      <w:pPr>
        <w:rPr>
          <w:rFonts w:eastAsia="Calibri"/>
        </w:rPr>
      </w:pPr>
      <w:r w:rsidRPr="000665B0">
        <w:rPr>
          <w:rFonts w:eastAsia="Calibri"/>
        </w:rPr>
        <w:t>Each strike execution folder can be configured with TSRT options specific to that folder</w:t>
      </w:r>
      <w:r w:rsidR="007E3392" w:rsidRPr="000665B0">
        <w:rPr>
          <w:rFonts w:eastAsia="Calibri"/>
        </w:rPr>
        <w:t xml:space="preserve">. </w:t>
      </w:r>
      <w:r w:rsidRPr="000665B0">
        <w:rPr>
          <w:rFonts w:eastAsia="Calibri"/>
        </w:rPr>
        <w:t>These include which TSRT is to be used for rehearsal, various options that determine the fidelity of the rehearsal, the scenario (if any) to be used when the execution folder is rehearsed, which FRUs are to be live, and which are to be simulated, and whether a real-time or simulated clock is to be used during rehearsal.</w:t>
      </w:r>
    </w:p>
    <w:p w14:paraId="23FC7DDD" w14:textId="77777777" w:rsidR="007837E1" w:rsidRPr="000665B0" w:rsidRDefault="007837E1" w:rsidP="00AE53CA">
      <w:pPr>
        <w:rPr>
          <w:rFonts w:eastAsia="Calibri"/>
        </w:rPr>
      </w:pPr>
      <w:r w:rsidRPr="000665B0">
        <w:rPr>
          <w:rFonts w:eastAsia="Calibri"/>
        </w:rPr>
        <w:t>TSRT options for an execution folder are stored with the execution folder</w:t>
      </w:r>
      <w:r w:rsidR="007E3392" w:rsidRPr="000665B0">
        <w:rPr>
          <w:rFonts w:eastAsia="Calibri"/>
        </w:rPr>
        <w:t xml:space="preserve">. </w:t>
      </w:r>
      <w:r w:rsidRPr="000665B0">
        <w:rPr>
          <w:rFonts w:eastAsia="Calibri"/>
        </w:rPr>
        <w:t>When a folder is transmitted or received, its TSRT options are part of the data package.</w:t>
      </w:r>
    </w:p>
    <w:p w14:paraId="287558F5" w14:textId="5E3B1B30" w:rsidR="007837E1" w:rsidRPr="000665B0" w:rsidRDefault="007837E1" w:rsidP="00E869EC">
      <w:pPr>
        <w:pStyle w:val="Appendix3"/>
        <w:ind w:left="0" w:firstLine="0"/>
      </w:pPr>
      <w:bookmarkStart w:id="8277" w:name="_Toc214283755"/>
      <w:r w:rsidRPr="000665B0">
        <w:t>Communications</w:t>
      </w:r>
      <w:bookmarkEnd w:id="8277"/>
    </w:p>
    <w:p w14:paraId="38E28865" w14:textId="77777777" w:rsidR="007837E1" w:rsidRPr="000665B0" w:rsidRDefault="007837E1" w:rsidP="00AE53CA">
      <w:pPr>
        <w:rPr>
          <w:rFonts w:eastAsia="Calibri"/>
        </w:rPr>
      </w:pPr>
      <w:r w:rsidRPr="000665B0">
        <w:rPr>
          <w:rFonts w:eastAsia="Calibri"/>
        </w:rPr>
        <w:t>Proper configuration of communications, while not actually a part of TSRT, is critical to success with TSRT</w:t>
      </w:r>
      <w:r w:rsidR="007E3392" w:rsidRPr="000665B0">
        <w:rPr>
          <w:rFonts w:eastAsia="Calibri"/>
        </w:rPr>
        <w:t xml:space="preserve">. </w:t>
      </w:r>
      <w:r w:rsidRPr="000665B0">
        <w:rPr>
          <w:rFonts w:eastAsia="Calibri"/>
        </w:rPr>
        <w:t>A large part of this document is devoted to getting communications right.</w:t>
      </w:r>
    </w:p>
    <w:p w14:paraId="659758EA" w14:textId="77777777" w:rsidR="007837E1" w:rsidRPr="000665B0" w:rsidRDefault="007837E1" w:rsidP="00AE53CA">
      <w:pPr>
        <w:rPr>
          <w:rFonts w:eastAsia="Calibri"/>
        </w:rPr>
      </w:pPr>
      <w:r w:rsidRPr="000665B0">
        <w:rPr>
          <w:rFonts w:eastAsia="Calibri"/>
        </w:rPr>
        <w:t>Later sections provide an overview of the kinds of communication that take place during a rehearsal, a discussion of single- and multi-machine configurations, and step-by-step instructions for setting up and testing communications for each of the main configurations.</w:t>
      </w:r>
    </w:p>
    <w:p w14:paraId="7A3AFB1F" w14:textId="1C8EFACC" w:rsidR="007837E1" w:rsidRPr="000665B0" w:rsidRDefault="00407041" w:rsidP="00912CE8">
      <w:pPr>
        <w:pStyle w:val="Appendix2"/>
      </w:pPr>
      <w:bookmarkStart w:id="8278" w:name="_Toc214283756"/>
      <w:r w:rsidRPr="000665B0">
        <w:t>CONFIGURING THE TSRT TOOL</w:t>
      </w:r>
      <w:bookmarkEnd w:id="8278"/>
    </w:p>
    <w:p w14:paraId="43C0C69A" w14:textId="77777777" w:rsidR="007837E1" w:rsidRPr="000665B0" w:rsidRDefault="007837E1" w:rsidP="00FA1C56">
      <w:pPr>
        <w:rPr>
          <w:rFonts w:eastAsia="Calibri"/>
        </w:rPr>
      </w:pPr>
      <w:r w:rsidRPr="000665B0">
        <w:rPr>
          <w:rFonts w:eastAsia="Calibri"/>
        </w:rPr>
        <w:t>These configuration choices are used for all TSRT rehearsals.</w:t>
      </w:r>
    </w:p>
    <w:p w14:paraId="558FE2FA" w14:textId="77777777" w:rsidR="007837E1" w:rsidRPr="000665B0" w:rsidRDefault="007837E1" w:rsidP="00FA1C56">
      <w:pPr>
        <w:rPr>
          <w:rFonts w:eastAsia="Calibri"/>
        </w:rPr>
      </w:pPr>
      <w:r w:rsidRPr="000665B0">
        <w:rPr>
          <w:rFonts w:eastAsia="Calibri"/>
        </w:rPr>
        <w:t xml:space="preserve">Using an MDS connected to the TSRT’s TED, choose </w:t>
      </w:r>
      <w:r w:rsidRPr="000665B0">
        <w:rPr>
          <w:rFonts w:eastAsia="Calibri"/>
          <w:b/>
        </w:rPr>
        <w:t>Go</w:t>
      </w:r>
      <w:r w:rsidR="00B52A38" w:rsidRPr="000665B0">
        <w:rPr>
          <w:b/>
        </w:rPr>
        <w:t xml:space="preserve"> </w:t>
      </w:r>
      <w:r w:rsidR="00B52A38" w:rsidRPr="000665B0">
        <w:rPr>
          <w:b/>
        </w:rPr>
        <w:sym w:font="Wingdings" w:char="F0E0"/>
      </w:r>
      <w:r w:rsidR="00B52A38" w:rsidRPr="000665B0">
        <w:rPr>
          <w:b/>
        </w:rPr>
        <w:t xml:space="preserve"> </w:t>
      </w:r>
      <w:r w:rsidRPr="000665B0">
        <w:rPr>
          <w:rFonts w:eastAsia="Calibri"/>
          <w:b/>
        </w:rPr>
        <w:t>TSRT Activity</w:t>
      </w:r>
      <w:r w:rsidRPr="000665B0">
        <w:rPr>
          <w:rFonts w:eastAsia="Calibri"/>
        </w:rPr>
        <w:t xml:space="preserve"> from the menu.</w:t>
      </w:r>
    </w:p>
    <w:p w14:paraId="0C037348" w14:textId="77777777" w:rsidR="007837E1" w:rsidRPr="000665B0" w:rsidRDefault="007837E1" w:rsidP="00FA1C56">
      <w:pPr>
        <w:rPr>
          <w:rFonts w:eastAsia="Calibri"/>
        </w:rPr>
      </w:pPr>
      <w:r w:rsidRPr="000665B0">
        <w:rPr>
          <w:rFonts w:eastAsia="Calibri"/>
          <w:b/>
        </w:rPr>
        <w:t>TSRT Activity</w:t>
      </w:r>
      <w:r w:rsidRPr="000665B0">
        <w:rPr>
          <w:rFonts w:eastAsia="Calibri"/>
          <w:b/>
        </w:rPr>
        <w:br/>
      </w:r>
      <w:r w:rsidRPr="000665B0">
        <w:rPr>
          <w:rFonts w:eastAsia="Calibri"/>
        </w:rPr>
        <w:t xml:space="preserve">From the menu, choose </w:t>
      </w:r>
      <w:r w:rsidRPr="000665B0">
        <w:rPr>
          <w:rFonts w:eastAsia="Calibri"/>
          <w:b/>
        </w:rPr>
        <w:t>View</w:t>
      </w:r>
      <w:r w:rsidR="00B52A38" w:rsidRPr="000665B0">
        <w:rPr>
          <w:b/>
        </w:rPr>
        <w:t xml:space="preserve"> </w:t>
      </w:r>
      <w:r w:rsidR="00B52A38" w:rsidRPr="000665B0">
        <w:rPr>
          <w:b/>
        </w:rPr>
        <w:sym w:font="Wingdings" w:char="F0E0"/>
      </w:r>
      <w:r w:rsidR="00B52A38" w:rsidRPr="000665B0">
        <w:rPr>
          <w:b/>
        </w:rPr>
        <w:t xml:space="preserve"> </w:t>
      </w:r>
      <w:r w:rsidRPr="000665B0">
        <w:rPr>
          <w:rFonts w:eastAsia="Calibri"/>
          <w:b/>
        </w:rPr>
        <w:t>Properties</w:t>
      </w:r>
      <w:r w:rsidRPr="000665B0">
        <w:rPr>
          <w:rFonts w:eastAsia="Calibri"/>
        </w:rPr>
        <w:t>.</w:t>
      </w:r>
    </w:p>
    <w:p w14:paraId="7B6A3831" w14:textId="77777777" w:rsidR="007837E1" w:rsidRPr="000665B0" w:rsidRDefault="007837E1" w:rsidP="00FA1C56">
      <w:pPr>
        <w:rPr>
          <w:rFonts w:eastAsia="Calibri"/>
        </w:rPr>
      </w:pPr>
      <w:r w:rsidRPr="000665B0">
        <w:rPr>
          <w:rFonts w:eastAsia="Calibri"/>
          <w:b/>
        </w:rPr>
        <w:t>TSRT Activities Properties</w:t>
      </w:r>
      <w:r w:rsidRPr="000665B0">
        <w:rPr>
          <w:rFonts w:eastAsia="Calibri"/>
          <w:b/>
        </w:rPr>
        <w:br/>
      </w:r>
      <w:r w:rsidRPr="000665B0">
        <w:rPr>
          <w:rFonts w:eastAsia="Calibri"/>
        </w:rPr>
        <w:t xml:space="preserve">Select the </w:t>
      </w:r>
      <w:r w:rsidRPr="000665B0">
        <w:rPr>
          <w:rFonts w:eastAsia="Calibri"/>
          <w:b/>
        </w:rPr>
        <w:t>Strike Rehearsal</w:t>
      </w:r>
      <w:r w:rsidRPr="000665B0">
        <w:rPr>
          <w:rFonts w:eastAsia="Calibri"/>
        </w:rPr>
        <w:t xml:space="preserve"> button.</w:t>
      </w:r>
    </w:p>
    <w:p w14:paraId="34FAA1FE" w14:textId="5363EEFD" w:rsidR="007837E1" w:rsidRPr="000665B0" w:rsidRDefault="007837E1" w:rsidP="00AE53CA">
      <w:pPr>
        <w:pStyle w:val="Appendix3"/>
        <w:ind w:left="360"/>
      </w:pPr>
      <w:bookmarkStart w:id="8279" w:name="_S-2.1__TSRT"/>
      <w:bookmarkStart w:id="8280" w:name="_Toc214283757"/>
      <w:bookmarkEnd w:id="8279"/>
      <w:r w:rsidRPr="000665B0">
        <w:t>TSRT Comms Configuration</w:t>
      </w:r>
      <w:bookmarkEnd w:id="8280"/>
    </w:p>
    <w:p w14:paraId="0E256039" w14:textId="754FA9E9" w:rsidR="007837E1" w:rsidRPr="000665B0" w:rsidRDefault="007837E1" w:rsidP="00FA1C56">
      <w:pPr>
        <w:rPr>
          <w:rFonts w:eastAsia="Calibri"/>
        </w:rPr>
      </w:pPr>
      <w:r w:rsidRPr="000665B0">
        <w:rPr>
          <w:rFonts w:eastAsia="Calibri"/>
          <w:b/>
        </w:rPr>
        <w:t>Strike Rehearsal Options, Comm</w:t>
      </w:r>
      <w:r w:rsidR="00A964F0" w:rsidRPr="000665B0">
        <w:rPr>
          <w:rFonts w:eastAsia="Calibri"/>
          <w:b/>
        </w:rPr>
        <w:t>unication</w:t>
      </w:r>
      <w:r w:rsidRPr="000665B0">
        <w:rPr>
          <w:rFonts w:eastAsia="Calibri"/>
          <w:b/>
        </w:rPr>
        <w:t>s tab</w:t>
      </w:r>
      <w:r w:rsidRPr="000665B0">
        <w:rPr>
          <w:rFonts w:eastAsia="Calibri"/>
          <w:b/>
        </w:rPr>
        <w:br/>
      </w:r>
      <w:r w:rsidRPr="000665B0">
        <w:rPr>
          <w:rFonts w:eastAsia="Calibri"/>
        </w:rPr>
        <w:t xml:space="preserve">To increase the realism of strike rehearsals, TSRT can introduce communication lags between </w:t>
      </w:r>
      <w:r w:rsidRPr="000665B0">
        <w:rPr>
          <w:rFonts w:eastAsia="Calibri"/>
        </w:rPr>
        <w:lastRenderedPageBreak/>
        <w:t>the receipt of messages and the time they are processed by TSRT, and between the time simulated messages are created by TSRT and the time they are actually sent to other strike participants (including its own TED, when applicable).</w:t>
      </w:r>
    </w:p>
    <w:p w14:paraId="4AE9211B" w14:textId="1FED219F" w:rsidR="007837E1" w:rsidRPr="000665B0" w:rsidRDefault="007837E1" w:rsidP="00FA1C56">
      <w:pPr>
        <w:rPr>
          <w:rFonts w:eastAsia="Calibri"/>
        </w:rPr>
      </w:pPr>
      <w:r w:rsidRPr="000665B0">
        <w:rPr>
          <w:rFonts w:eastAsia="Calibri"/>
        </w:rPr>
        <w:t>Depending on whether a real or simulated TCIP is available, the lags for either real or simulated TCIP are enabled for configuration on this tab</w:t>
      </w:r>
      <w:r w:rsidR="007E3392" w:rsidRPr="000665B0">
        <w:rPr>
          <w:rFonts w:eastAsia="Calibri"/>
        </w:rPr>
        <w:t xml:space="preserve">. </w:t>
      </w:r>
      <w:r w:rsidRPr="000665B0">
        <w:rPr>
          <w:rFonts w:eastAsia="Calibri"/>
        </w:rPr>
        <w:t>Delays for DDO communications (legacy OTH or HTTPS) can be configured separately from delays for TSN communications</w:t>
      </w:r>
      <w:r w:rsidR="007E3392" w:rsidRPr="000665B0">
        <w:rPr>
          <w:rFonts w:eastAsia="Calibri"/>
        </w:rPr>
        <w:t xml:space="preserve">. </w:t>
      </w:r>
      <w:r w:rsidRPr="000665B0">
        <w:rPr>
          <w:rFonts w:eastAsia="Calibri"/>
        </w:rPr>
        <w:t xml:space="preserve">If using a real TCIP with </w:t>
      </w:r>
      <w:r w:rsidR="009461A5" w:rsidRPr="000665B0">
        <w:rPr>
          <w:rFonts w:eastAsia="Calibri"/>
        </w:rPr>
        <w:t xml:space="preserve">TSN </w:t>
      </w:r>
      <w:r w:rsidRPr="000665B0">
        <w:rPr>
          <w:rFonts w:eastAsia="Calibri"/>
        </w:rPr>
        <w:t xml:space="preserve">communications via satellite, configure the </w:t>
      </w:r>
      <w:r w:rsidR="009461A5" w:rsidRPr="000665B0">
        <w:rPr>
          <w:rFonts w:eastAsia="Calibri"/>
        </w:rPr>
        <w:t xml:space="preserve">TSN </w:t>
      </w:r>
      <w:r w:rsidRPr="000665B0">
        <w:rPr>
          <w:rFonts w:eastAsia="Calibri"/>
        </w:rPr>
        <w:t>networks to have 0 seconds of lag</w:t>
      </w:r>
      <w:r w:rsidR="007E3392" w:rsidRPr="000665B0">
        <w:rPr>
          <w:rFonts w:eastAsia="Calibri"/>
        </w:rPr>
        <w:t xml:space="preserve">. </w:t>
      </w:r>
      <w:r w:rsidRPr="000665B0">
        <w:rPr>
          <w:rFonts w:eastAsia="Calibri"/>
        </w:rPr>
        <w:t>If using a real TCIP with only local routes, or if using a simulated TCIP, configure a lag of 60 seconds</w:t>
      </w:r>
      <w:r w:rsidR="009461A5" w:rsidRPr="000665B0">
        <w:rPr>
          <w:rFonts w:eastAsia="Calibri"/>
        </w:rPr>
        <w:t xml:space="preserve"> for TSN over DAMA and 30 seconds for TSN over ACA</w:t>
      </w:r>
      <w:r w:rsidRPr="000665B0">
        <w:rPr>
          <w:rFonts w:eastAsia="Calibri"/>
        </w:rPr>
        <w:t xml:space="preserve">. </w:t>
      </w:r>
    </w:p>
    <w:p w14:paraId="6CA7DDB3" w14:textId="0FCA1179" w:rsidR="007837E1" w:rsidRPr="000665B0" w:rsidRDefault="007837E1" w:rsidP="00FA1C56">
      <w:pPr>
        <w:rPr>
          <w:rFonts w:eastAsia="Calibri"/>
        </w:rPr>
      </w:pPr>
      <w:r w:rsidRPr="000665B0">
        <w:rPr>
          <w:rFonts w:eastAsia="Calibri"/>
        </w:rPr>
        <w:t>TSRT always delays its own processing of an incoming DDO for 10 seconds to allow TED to process it first</w:t>
      </w:r>
      <w:r w:rsidR="007E3392" w:rsidRPr="000665B0">
        <w:rPr>
          <w:rFonts w:eastAsia="Calibri"/>
        </w:rPr>
        <w:t xml:space="preserve">. </w:t>
      </w:r>
      <w:r w:rsidRPr="000665B0">
        <w:rPr>
          <w:rFonts w:eastAsia="Calibri"/>
        </w:rPr>
        <w:t>The configurable DDO processing delays are in addition to the standard 10-second delay</w:t>
      </w:r>
      <w:r w:rsidR="007E3392" w:rsidRPr="000665B0">
        <w:rPr>
          <w:rFonts w:eastAsia="Calibri"/>
        </w:rPr>
        <w:t xml:space="preserve">. </w:t>
      </w:r>
      <w:r w:rsidRPr="000665B0">
        <w:rPr>
          <w:rFonts w:eastAsia="Calibri"/>
        </w:rPr>
        <w:t xml:space="preserve">If the TED becomes so bogged down during a particular rehearsal that the standard 10 seconds are not enough, symptoms will include simulated FRUs not updating to the latest strike </w:t>
      </w:r>
      <w:r w:rsidR="007940CD" w:rsidRPr="000665B0">
        <w:rPr>
          <w:rFonts w:eastAsia="Calibri"/>
        </w:rPr>
        <w:t>revision or</w:t>
      </w:r>
      <w:r w:rsidRPr="000665B0">
        <w:rPr>
          <w:rFonts w:eastAsia="Calibri"/>
        </w:rPr>
        <w:t xml:space="preserve"> failing to update their strike use states</w:t>
      </w:r>
      <w:r w:rsidR="007E3392" w:rsidRPr="000665B0">
        <w:rPr>
          <w:rFonts w:eastAsia="Calibri"/>
        </w:rPr>
        <w:t xml:space="preserve">. </w:t>
      </w:r>
      <w:r w:rsidRPr="000665B0">
        <w:rPr>
          <w:rFonts w:eastAsia="Calibri"/>
        </w:rPr>
        <w:t>If these symptoms are observed, you will need to halt the rehearsal, configure the applicable DDO processing delay to a larger value, then restart the rehearsal.</w:t>
      </w:r>
    </w:p>
    <w:p w14:paraId="7EF11482" w14:textId="3BD431CF" w:rsidR="007837E1" w:rsidRPr="000665B0" w:rsidRDefault="007837E1" w:rsidP="00AE53CA">
      <w:pPr>
        <w:pStyle w:val="Appendix3"/>
        <w:ind w:left="360"/>
      </w:pPr>
      <w:bookmarkStart w:id="8281" w:name="_S-2.2__TSRT"/>
      <w:bookmarkStart w:id="8282" w:name="_Toc214283758"/>
      <w:bookmarkEnd w:id="8281"/>
      <w:r w:rsidRPr="000665B0">
        <w:t>TSRT Geographic Display Configuration</w:t>
      </w:r>
      <w:bookmarkEnd w:id="8282"/>
    </w:p>
    <w:p w14:paraId="01ACC26E" w14:textId="23AB1284" w:rsidR="007837E1" w:rsidRPr="000665B0" w:rsidRDefault="007837E1" w:rsidP="00FA1C56">
      <w:pPr>
        <w:rPr>
          <w:rFonts w:eastAsia="Calibri"/>
        </w:rPr>
      </w:pPr>
      <w:r w:rsidRPr="000665B0">
        <w:rPr>
          <w:rFonts w:eastAsia="Calibri"/>
          <w:b/>
        </w:rPr>
        <w:t>Strike Rehearsal Options, Geographic Display tab, Missiles sub-tab</w:t>
      </w:r>
      <w:r w:rsidRPr="000665B0">
        <w:rPr>
          <w:rFonts w:eastAsia="Calibri"/>
        </w:rPr>
        <w:br/>
        <w:t xml:space="preserve">This tab controls the display of missiles, their routes, and their messages on the TSRT geographic display of the </w:t>
      </w:r>
      <w:r w:rsidRPr="000665B0">
        <w:rPr>
          <w:rFonts w:eastAsia="Calibri"/>
          <w:i/>
        </w:rPr>
        <w:t>Scenario Director</w:t>
      </w:r>
      <w:r w:rsidRPr="000665B0">
        <w:rPr>
          <w:rFonts w:eastAsia="Calibri"/>
        </w:rPr>
        <w:t xml:space="preserve"> window during rehearsal.</w:t>
      </w:r>
      <w:r w:rsidR="000C40B2">
        <w:rPr>
          <w:rFonts w:eastAsia="Calibri"/>
        </w:rPr>
        <w:t xml:space="preserve"> This tab also sets the simulation track polling time for missiles equipped with passive sensors.</w:t>
      </w:r>
    </w:p>
    <w:p w14:paraId="5BABAB89" w14:textId="4EAFF951" w:rsidR="007837E1" w:rsidRPr="000665B0" w:rsidRDefault="007837E1" w:rsidP="00FA1C56">
      <w:pPr>
        <w:rPr>
          <w:rFonts w:eastAsia="Calibri"/>
        </w:rPr>
      </w:pPr>
      <w:r w:rsidRPr="000665B0">
        <w:rPr>
          <w:rFonts w:eastAsia="Calibri"/>
          <w:b/>
        </w:rPr>
        <w:t>Strike Rehearsal Options, Geographic Display tab, FRUs sub-tab</w:t>
      </w:r>
      <w:r w:rsidRPr="000665B0">
        <w:rPr>
          <w:rFonts w:eastAsia="Calibri"/>
        </w:rPr>
        <w:br/>
        <w:t xml:space="preserve">This tab controls the display of FRUs, their PLPs, and their PIMs (if available) on the TSRT geographic display of the </w:t>
      </w:r>
      <w:r w:rsidRPr="000665B0">
        <w:rPr>
          <w:rFonts w:eastAsia="Calibri"/>
          <w:i/>
        </w:rPr>
        <w:t>Scenario Director</w:t>
      </w:r>
      <w:r w:rsidRPr="000665B0">
        <w:rPr>
          <w:rFonts w:eastAsia="Calibri"/>
        </w:rPr>
        <w:t xml:space="preserve"> window during rehearsal.</w:t>
      </w:r>
      <w:r w:rsidR="00C537C8">
        <w:rPr>
          <w:rFonts w:eastAsia="Calibri"/>
        </w:rPr>
        <w:t xml:space="preserve"> </w:t>
      </w:r>
    </w:p>
    <w:p w14:paraId="63E07BBD" w14:textId="77777777" w:rsidR="007837E1" w:rsidRPr="000665B0" w:rsidRDefault="007837E1" w:rsidP="00FA1C56">
      <w:pPr>
        <w:rPr>
          <w:rFonts w:eastAsia="Calibri"/>
        </w:rPr>
      </w:pPr>
      <w:r w:rsidRPr="000665B0">
        <w:rPr>
          <w:rFonts w:eastAsia="Calibri"/>
          <w:b/>
        </w:rPr>
        <w:t>Strike Rehearsal Options, Geographic Display tab, Symbology sub-tab</w:t>
      </w:r>
      <w:r w:rsidRPr="000665B0">
        <w:rPr>
          <w:rFonts w:eastAsia="Calibri"/>
        </w:rPr>
        <w:br/>
        <w:t>This tab displays the symbology used for targets, missiles, routes, messages, and FRUs.</w:t>
      </w:r>
    </w:p>
    <w:p w14:paraId="35F7F1C1" w14:textId="77777777" w:rsidR="007837E1" w:rsidRPr="000665B0" w:rsidRDefault="007837E1" w:rsidP="00FA1C56">
      <w:pPr>
        <w:rPr>
          <w:rFonts w:eastAsia="Calibri"/>
        </w:rPr>
      </w:pPr>
      <w:r w:rsidRPr="000665B0">
        <w:rPr>
          <w:rFonts w:eastAsia="Calibri"/>
        </w:rPr>
        <w:t>The symbology used for FRUs is selectable between the NTDS standard icons and a more pictorial set of icons.</w:t>
      </w:r>
    </w:p>
    <w:p w14:paraId="54BCE580" w14:textId="4FFC7E1A" w:rsidR="001871A7" w:rsidRPr="000665B0" w:rsidRDefault="004A00DE" w:rsidP="00787944">
      <w:pPr>
        <w:pStyle w:val="BodyText"/>
        <w:tabs>
          <w:tab w:val="left" w:pos="720"/>
        </w:tabs>
        <w:spacing w:after="120"/>
        <w:jc w:val="center"/>
      </w:pPr>
      <w:r w:rsidRPr="000665B0">
        <w:rPr>
          <w:noProof/>
        </w:rPr>
        <w:lastRenderedPageBreak/>
        <w:drawing>
          <wp:inline distT="0" distB="0" distL="0" distR="0" wp14:anchorId="1601E449" wp14:editId="5418026E">
            <wp:extent cx="2743200" cy="3666744"/>
            <wp:effectExtent l="0" t="0" r="0" b="0"/>
            <wp:docPr id="1433" name="Picture 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3666744"/>
                    </a:xfrm>
                    <a:prstGeom prst="rect">
                      <a:avLst/>
                    </a:prstGeom>
                  </pic:spPr>
                </pic:pic>
              </a:graphicData>
            </a:graphic>
          </wp:inline>
        </w:drawing>
      </w:r>
      <w:r w:rsidRPr="000665B0">
        <w:rPr>
          <w:noProof/>
        </w:rPr>
        <w:t xml:space="preserve"> </w:t>
      </w:r>
      <w:r w:rsidR="001871A7" w:rsidRPr="009F09B8">
        <w:rPr>
          <w:noProof/>
        </w:rPr>
        <w:drawing>
          <wp:inline distT="0" distB="0" distL="0" distR="0" wp14:anchorId="0FF728A6" wp14:editId="48EFF1CF">
            <wp:extent cx="2743200" cy="365760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3657600"/>
                    </a:xfrm>
                    <a:prstGeom prst="rect">
                      <a:avLst/>
                    </a:prstGeom>
                  </pic:spPr>
                </pic:pic>
              </a:graphicData>
            </a:graphic>
          </wp:inline>
        </w:drawing>
      </w:r>
    </w:p>
    <w:p w14:paraId="66AE3DE6" w14:textId="77777777" w:rsidR="007837E1" w:rsidRPr="000665B0" w:rsidRDefault="004A00DE" w:rsidP="00787944">
      <w:pPr>
        <w:pStyle w:val="BodyText"/>
        <w:tabs>
          <w:tab w:val="left" w:pos="720"/>
        </w:tabs>
        <w:spacing w:after="120"/>
        <w:jc w:val="center"/>
      </w:pPr>
      <w:r w:rsidRPr="000665B0">
        <w:rPr>
          <w:noProof/>
        </w:rPr>
        <w:drawing>
          <wp:inline distT="0" distB="0" distL="0" distR="0" wp14:anchorId="797398EF" wp14:editId="71A4AC95">
            <wp:extent cx="2743200" cy="3666744"/>
            <wp:effectExtent l="0" t="0" r="0" b="0"/>
            <wp:docPr id="1636" name="Picture 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3666744"/>
                    </a:xfrm>
                    <a:prstGeom prst="rect">
                      <a:avLst/>
                    </a:prstGeom>
                  </pic:spPr>
                </pic:pic>
              </a:graphicData>
            </a:graphic>
          </wp:inline>
        </w:drawing>
      </w:r>
      <w:r w:rsidRPr="000665B0">
        <w:t xml:space="preserve"> </w:t>
      </w:r>
      <w:r w:rsidRPr="000665B0">
        <w:rPr>
          <w:noProof/>
        </w:rPr>
        <w:drawing>
          <wp:inline distT="0" distB="0" distL="0" distR="0" wp14:anchorId="48E7918C" wp14:editId="39C39B8F">
            <wp:extent cx="2743200" cy="3666744"/>
            <wp:effectExtent l="0" t="0" r="0" b="0"/>
            <wp:docPr id="1639" name="Picture 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743200" cy="3666744"/>
                    </a:xfrm>
                    <a:prstGeom prst="rect">
                      <a:avLst/>
                    </a:prstGeom>
                  </pic:spPr>
                </pic:pic>
              </a:graphicData>
            </a:graphic>
          </wp:inline>
        </w:drawing>
      </w:r>
    </w:p>
    <w:p w14:paraId="45899152" w14:textId="56879A21" w:rsidR="007837E1" w:rsidRPr="000665B0" w:rsidRDefault="007837E1" w:rsidP="00AE53CA">
      <w:pPr>
        <w:pStyle w:val="Appendix3"/>
        <w:ind w:left="360"/>
      </w:pPr>
      <w:bookmarkStart w:id="8283" w:name="_S-2.3__TSRT"/>
      <w:bookmarkStart w:id="8284" w:name="_Toc214283759"/>
      <w:bookmarkEnd w:id="8283"/>
      <w:r w:rsidRPr="000665B0">
        <w:lastRenderedPageBreak/>
        <w:t>TSRT Live FRU Configuration</w:t>
      </w:r>
      <w:bookmarkEnd w:id="8284"/>
    </w:p>
    <w:p w14:paraId="4998DECA" w14:textId="77777777" w:rsidR="007837E1" w:rsidRPr="000665B0" w:rsidRDefault="007837E1" w:rsidP="00FA1C56">
      <w:pPr>
        <w:rPr>
          <w:rFonts w:eastAsia="Calibri"/>
        </w:rPr>
      </w:pPr>
      <w:r w:rsidRPr="000665B0">
        <w:rPr>
          <w:rFonts w:eastAsia="Calibri"/>
          <w:b/>
        </w:rPr>
        <w:t>Strike Rehearsal Options, Live FRU tab</w:t>
      </w:r>
      <w:r w:rsidRPr="000665B0">
        <w:rPr>
          <w:rFonts w:eastAsia="Calibri"/>
        </w:rPr>
        <w:br/>
        <w:t>This tab provides limited configuration of what TSRT will do when a live FRU fails to report launch success or failure within a specified time interval from the scheduled launch time.</w:t>
      </w:r>
    </w:p>
    <w:p w14:paraId="08A7C9B9" w14:textId="038E4271" w:rsidR="007837E1" w:rsidRPr="000665B0" w:rsidRDefault="007837E1" w:rsidP="00FA1C56">
      <w:pPr>
        <w:rPr>
          <w:rFonts w:eastAsia="Calibri"/>
        </w:rPr>
      </w:pPr>
      <w:r w:rsidRPr="000665B0">
        <w:rPr>
          <w:rFonts w:eastAsia="Calibri"/>
        </w:rPr>
        <w:t>Successful Launch Occurred</w:t>
      </w:r>
      <w:r w:rsidR="009F56FA" w:rsidRPr="000665B0">
        <w:rPr>
          <w:rFonts w:eastAsia="Calibri"/>
        </w:rPr>
        <w:t>:</w:t>
      </w:r>
      <w:r w:rsidRPr="000665B0">
        <w:rPr>
          <w:rFonts w:eastAsia="Calibri"/>
        </w:rPr>
        <w:br/>
        <w:t>This choice will automatically launch missiles at the scheduled launch time if the time interval elapses</w:t>
      </w:r>
      <w:r w:rsidR="007E3392" w:rsidRPr="000665B0">
        <w:rPr>
          <w:rFonts w:eastAsia="Calibri"/>
        </w:rPr>
        <w:t xml:space="preserve">. </w:t>
      </w:r>
      <w:r w:rsidRPr="000665B0">
        <w:rPr>
          <w:rFonts w:eastAsia="Calibri"/>
        </w:rPr>
        <w:t xml:space="preserve">If </w:t>
      </w:r>
      <w:r w:rsidR="009461A5" w:rsidRPr="000665B0">
        <w:rPr>
          <w:rFonts w:eastAsia="Calibri"/>
        </w:rPr>
        <w:t>an LER indicating launch failure is subsequently received from the</w:t>
      </w:r>
      <w:r w:rsidR="009461A5" w:rsidRPr="000665B0" w:rsidDel="009461A5">
        <w:rPr>
          <w:rFonts w:eastAsia="Calibri"/>
        </w:rPr>
        <w:t xml:space="preserve"> </w:t>
      </w:r>
      <w:r w:rsidRPr="000665B0">
        <w:rPr>
          <w:rFonts w:eastAsia="Calibri"/>
        </w:rPr>
        <w:t>live FRU, the missile is crashed.</w:t>
      </w:r>
    </w:p>
    <w:p w14:paraId="27F2659F" w14:textId="2314D906" w:rsidR="007837E1" w:rsidRPr="000665B0" w:rsidRDefault="007837E1" w:rsidP="00FA1C56">
      <w:pPr>
        <w:rPr>
          <w:rFonts w:eastAsia="Calibri"/>
        </w:rPr>
      </w:pPr>
      <w:r w:rsidRPr="000665B0">
        <w:rPr>
          <w:rFonts w:eastAsia="Calibri"/>
        </w:rPr>
        <w:t>Launches Failed</w:t>
      </w:r>
      <w:r w:rsidR="009F56FA" w:rsidRPr="000665B0">
        <w:rPr>
          <w:rFonts w:eastAsia="Calibri"/>
        </w:rPr>
        <w:t>:</w:t>
      </w:r>
      <w:r w:rsidRPr="000665B0">
        <w:rPr>
          <w:rFonts w:eastAsia="Calibri"/>
        </w:rPr>
        <w:br/>
        <w:t>This choice will automatically fail missiles at the scheduled launch time if the time interval elapses</w:t>
      </w:r>
      <w:r w:rsidR="007E3392" w:rsidRPr="000665B0">
        <w:rPr>
          <w:rFonts w:eastAsia="Calibri"/>
        </w:rPr>
        <w:t xml:space="preserve">. </w:t>
      </w:r>
      <w:r w:rsidRPr="000665B0">
        <w:rPr>
          <w:rFonts w:eastAsia="Calibri"/>
        </w:rPr>
        <w:t xml:space="preserve">If </w:t>
      </w:r>
      <w:r w:rsidR="009461A5" w:rsidRPr="000665B0">
        <w:rPr>
          <w:rFonts w:eastAsia="Calibri"/>
        </w:rPr>
        <w:t xml:space="preserve">an LER indicating launch success is subsequently received from </w:t>
      </w:r>
      <w:r w:rsidRPr="000665B0">
        <w:rPr>
          <w:rFonts w:eastAsia="Calibri"/>
        </w:rPr>
        <w:t>the live FRU, the missile is re-initialized and launched.</w:t>
      </w:r>
    </w:p>
    <w:p w14:paraId="19314D12" w14:textId="77777777" w:rsidR="00572E3A" w:rsidRPr="000665B0" w:rsidRDefault="00572E3A" w:rsidP="00FA1C56">
      <w:pPr>
        <w:rPr>
          <w:rFonts w:eastAsia="Calibri"/>
        </w:rPr>
      </w:pPr>
      <w:r w:rsidRPr="000665B0">
        <w:rPr>
          <w:szCs w:val="24"/>
        </w:rPr>
        <w:t xml:space="preserve">Current fleet practice is to </w:t>
      </w:r>
      <w:r w:rsidRPr="000665B0">
        <w:rPr>
          <w:b/>
          <w:szCs w:val="24"/>
        </w:rPr>
        <w:t>not</w:t>
      </w:r>
      <w:r w:rsidRPr="000665B0">
        <w:rPr>
          <w:szCs w:val="24"/>
        </w:rPr>
        <w:t xml:space="preserve"> send LERs when a launch fails. To properly emulate fleet practice, the control should be set to assume that launches </w:t>
      </w:r>
      <w:r w:rsidR="00F37F8B" w:rsidRPr="000665B0">
        <w:rPr>
          <w:szCs w:val="24"/>
        </w:rPr>
        <w:t xml:space="preserve">have </w:t>
      </w:r>
      <w:r w:rsidRPr="000665B0">
        <w:rPr>
          <w:szCs w:val="24"/>
        </w:rPr>
        <w:t>failed if an LER is not received.</w:t>
      </w:r>
    </w:p>
    <w:p w14:paraId="136669E2" w14:textId="71D6831C" w:rsidR="007837E1" w:rsidRPr="000665B0" w:rsidRDefault="009461A5" w:rsidP="00787944">
      <w:pPr>
        <w:pStyle w:val="BodyText"/>
        <w:tabs>
          <w:tab w:val="left" w:pos="720"/>
        </w:tabs>
        <w:spacing w:after="120"/>
        <w:jc w:val="center"/>
      </w:pPr>
      <w:r w:rsidRPr="000665B0">
        <w:rPr>
          <w:noProof/>
        </w:rPr>
        <w:drawing>
          <wp:inline distT="0" distB="0" distL="0" distR="0" wp14:anchorId="04D87BDB" wp14:editId="07495F01">
            <wp:extent cx="2743200" cy="3666744"/>
            <wp:effectExtent l="0" t="0" r="0" b="0"/>
            <wp:docPr id="2167" name="Picture 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veFRU-LaunchesFailed.PNG"/>
                    <pic:cNvPicPr/>
                  </pic:nvPicPr>
                  <pic:blipFill>
                    <a:blip cstate="screen">
                      <a:extLst>
                        <a:ext uri="{28A0092B-C50C-407E-A947-70E740481C1C}">
                          <a14:useLocalDpi xmlns:a14="http://schemas.microsoft.com/office/drawing/2010/main"/>
                        </a:ext>
                      </a:extLst>
                    </a:blip>
                    <a:stretch>
                      <a:fillRect/>
                    </a:stretch>
                  </pic:blipFill>
                  <pic:spPr>
                    <a:xfrm>
                      <a:off x="0" y="0"/>
                      <a:ext cx="2743200" cy="3666744"/>
                    </a:xfrm>
                    <a:prstGeom prst="rect">
                      <a:avLst/>
                    </a:prstGeom>
                  </pic:spPr>
                </pic:pic>
              </a:graphicData>
            </a:graphic>
          </wp:inline>
        </w:drawing>
      </w:r>
    </w:p>
    <w:p w14:paraId="5AF8BB5F" w14:textId="2B30CC37" w:rsidR="004A00DE" w:rsidRPr="000665B0" w:rsidRDefault="001F4E83" w:rsidP="00AE53CA">
      <w:pPr>
        <w:pStyle w:val="Appendix3"/>
        <w:ind w:left="360"/>
      </w:pPr>
      <w:bookmarkStart w:id="8285" w:name="_S-2.4__TSRT"/>
      <w:bookmarkStart w:id="8286" w:name="_Toc214283760"/>
      <w:bookmarkEnd w:id="8285"/>
      <w:r w:rsidRPr="000665B0">
        <w:t>TSRT Response Time</w:t>
      </w:r>
      <w:r w:rsidR="0007608B" w:rsidRPr="000665B0">
        <w:t>s</w:t>
      </w:r>
      <w:r w:rsidRPr="000665B0">
        <w:t xml:space="preserve"> Configuration</w:t>
      </w:r>
      <w:bookmarkEnd w:id="8286"/>
    </w:p>
    <w:p w14:paraId="1339152A" w14:textId="30C8492A" w:rsidR="0007608B" w:rsidRPr="000665B0" w:rsidRDefault="0007608B" w:rsidP="001A0CF2">
      <w:pPr>
        <w:rPr>
          <w:rFonts w:eastAsia="Calibri"/>
        </w:rPr>
      </w:pPr>
      <w:r w:rsidRPr="000665B0">
        <w:rPr>
          <w:rFonts w:eastAsia="Calibri"/>
          <w:b/>
        </w:rPr>
        <w:t>Strike Rehearsal Options, Response Times tab</w:t>
      </w:r>
      <w:r w:rsidRPr="000665B0">
        <w:rPr>
          <w:rFonts w:eastAsia="Calibri"/>
        </w:rPr>
        <w:br/>
        <w:t>This tab provides the ability to modify the nominal time</w:t>
      </w:r>
      <w:r w:rsidR="001A0CF2" w:rsidRPr="000665B0">
        <w:rPr>
          <w:rFonts w:eastAsia="Calibri"/>
        </w:rPr>
        <w:t xml:space="preserve"> (base time)</w:t>
      </w:r>
      <w:r w:rsidRPr="000665B0">
        <w:rPr>
          <w:rFonts w:eastAsia="Calibri"/>
        </w:rPr>
        <w:t xml:space="preserve"> and </w:t>
      </w:r>
      <w:r w:rsidR="0004144B" w:rsidRPr="000665B0">
        <w:rPr>
          <w:rFonts w:eastAsia="Calibri"/>
        </w:rPr>
        <w:t xml:space="preserve">an </w:t>
      </w:r>
      <w:r w:rsidRPr="000665B0">
        <w:rPr>
          <w:rFonts w:eastAsia="Calibri"/>
        </w:rPr>
        <w:t>allowable variation</w:t>
      </w:r>
      <w:r w:rsidR="001A0CF2" w:rsidRPr="000665B0">
        <w:rPr>
          <w:rFonts w:eastAsia="Calibri"/>
        </w:rPr>
        <w:t xml:space="preserve"> time</w:t>
      </w:r>
      <w:r w:rsidR="0004144B" w:rsidRPr="000665B0">
        <w:rPr>
          <w:rFonts w:eastAsia="Calibri"/>
        </w:rPr>
        <w:t xml:space="preserve"> using integer values in seconds</w:t>
      </w:r>
      <w:r w:rsidR="001A0CF2" w:rsidRPr="000665B0">
        <w:rPr>
          <w:rFonts w:eastAsia="Calibri"/>
        </w:rPr>
        <w:t xml:space="preserve"> (plus/minus),</w:t>
      </w:r>
      <w:r w:rsidRPr="000665B0">
        <w:rPr>
          <w:rFonts w:eastAsia="Calibri"/>
        </w:rPr>
        <w:t xml:space="preserve"> for these specific message types:</w:t>
      </w:r>
      <w:r w:rsidR="001A0CF2" w:rsidRPr="000665B0">
        <w:rPr>
          <w:rStyle w:val="CharChar1"/>
        </w:rPr>
        <w:t xml:space="preserve"> </w:t>
      </w:r>
    </w:p>
    <w:p w14:paraId="0FEDA415" w14:textId="77777777" w:rsidR="0007608B" w:rsidRPr="000665B0" w:rsidRDefault="0007608B" w:rsidP="006D5A65">
      <w:pPr>
        <w:pStyle w:val="Heading1"/>
      </w:pPr>
      <w:r w:rsidRPr="000665B0">
        <w:lastRenderedPageBreak/>
        <w:t>Sending a SPEO after receiving an ESP.</w:t>
      </w:r>
    </w:p>
    <w:p w14:paraId="2ABC7978" w14:textId="77777777" w:rsidR="0007608B" w:rsidRPr="000665B0" w:rsidRDefault="0007608B" w:rsidP="006D5A65">
      <w:pPr>
        <w:pStyle w:val="Heading1"/>
      </w:pPr>
      <w:r w:rsidRPr="000665B0">
        <w:t>Sending an OWR after receiving an ESP.</w:t>
      </w:r>
    </w:p>
    <w:p w14:paraId="1B8CC125" w14:textId="77777777" w:rsidR="0007608B" w:rsidRDefault="0007608B" w:rsidP="006D5A65">
      <w:pPr>
        <w:pStyle w:val="Heading1"/>
      </w:pPr>
      <w:r w:rsidRPr="000665B0">
        <w:t>Sending a LER after successful missile launch.</w:t>
      </w:r>
    </w:p>
    <w:p w14:paraId="2BE20399" w14:textId="219EFC6F" w:rsidR="0041482B" w:rsidRPr="000665B0" w:rsidRDefault="0041482B" w:rsidP="006D5A65">
      <w:pPr>
        <w:pStyle w:val="Heading1"/>
      </w:pPr>
      <w:r>
        <w:t>Move RS, ARS, B to Pool after Launch.</w:t>
      </w:r>
    </w:p>
    <w:p w14:paraId="01DA6609" w14:textId="77777777" w:rsidR="0007608B" w:rsidRPr="000665B0" w:rsidRDefault="0007608B" w:rsidP="006D5A65">
      <w:pPr>
        <w:pStyle w:val="Heading1"/>
      </w:pPr>
      <w:r w:rsidRPr="000665B0">
        <w:t>Sending a post-launch report after receiving a request.</w:t>
      </w:r>
    </w:p>
    <w:p w14:paraId="32892696" w14:textId="77777777" w:rsidR="0007608B" w:rsidRPr="000665B0" w:rsidRDefault="0007608B" w:rsidP="006D5A65">
      <w:pPr>
        <w:pStyle w:val="Heading1"/>
      </w:pPr>
      <w:r w:rsidRPr="000665B0">
        <w:t>Sending a missile inventory report after receiving a request.</w:t>
      </w:r>
    </w:p>
    <w:p w14:paraId="529A0EA0" w14:textId="77777777" w:rsidR="0007608B" w:rsidRPr="000665B0" w:rsidRDefault="0007608B" w:rsidP="006D5A65">
      <w:pPr>
        <w:pStyle w:val="Heading1"/>
      </w:pPr>
      <w:r w:rsidRPr="000665B0">
        <w:t>Launching a backup missile after receiving a SEM.</w:t>
      </w:r>
    </w:p>
    <w:p w14:paraId="4900E2A3" w14:textId="27964F0D" w:rsidR="006F2ABB" w:rsidRPr="00B17338" w:rsidRDefault="006F2ABB" w:rsidP="006D5A65">
      <w:pPr>
        <w:pStyle w:val="Heading1"/>
        <w:rPr>
          <w:lang w:val="da-DK"/>
        </w:rPr>
      </w:pPr>
      <w:r w:rsidRPr="00B17338">
        <w:rPr>
          <w:lang w:val="da-DK"/>
        </w:rPr>
        <w:t>Sending an NSP Filter Message.</w:t>
      </w:r>
    </w:p>
    <w:p w14:paraId="622D8B7D" w14:textId="57B3F4B5" w:rsidR="003C2E66" w:rsidRPr="000665B0" w:rsidRDefault="006F2ABB" w:rsidP="006D5A65">
      <w:pPr>
        <w:pStyle w:val="Heading1"/>
      </w:pPr>
      <w:r w:rsidRPr="000665B0">
        <w:t>Sending a</w:t>
      </w:r>
      <w:r w:rsidR="00EE17B7" w:rsidRPr="000665B0">
        <w:t>n</w:t>
      </w:r>
      <w:r w:rsidRPr="000665B0">
        <w:t xml:space="preserve"> NSP Acknowledgement ACA in response to receiving a</w:t>
      </w:r>
      <w:r w:rsidR="00EE17B7" w:rsidRPr="000665B0">
        <w:t>n</w:t>
      </w:r>
      <w:r w:rsidRPr="000665B0">
        <w:t xml:space="preserve"> NSP Filter Message.</w:t>
      </w:r>
    </w:p>
    <w:p w14:paraId="7B300190" w14:textId="1CC05E6D" w:rsidR="0007608B" w:rsidRPr="000665B0" w:rsidRDefault="009D4646" w:rsidP="0007608B">
      <w:pPr>
        <w:rPr>
          <w:rFonts w:eastAsia="Calibri"/>
        </w:rPr>
      </w:pPr>
      <w:r w:rsidRPr="000665B0">
        <w:rPr>
          <w:szCs w:val="24"/>
        </w:rPr>
        <w:t xml:space="preserve">The messages may be sent between the Nominal Time plus/minus the Allowable Variation. For example, if the Nominal Time is 300 seconds (5 minutes) with an allowable variation of 120 seconds (2 minutes), this results in a 3–7 minute window in which the message can be sent. The Nominal Time and Allowable Variation can be changed before initiating a rehearsal. </w:t>
      </w:r>
      <w:r w:rsidR="0007608B" w:rsidRPr="000665B0">
        <w:rPr>
          <w:rFonts w:eastAsia="Calibri"/>
        </w:rPr>
        <w:t xml:space="preserve">The settings are retained on a per-user basis. Each user’s set of response times is saved when the </w:t>
      </w:r>
      <w:r w:rsidR="0007608B" w:rsidRPr="000665B0">
        <w:rPr>
          <w:rFonts w:eastAsia="Calibri"/>
          <w:b/>
        </w:rPr>
        <w:t>OK</w:t>
      </w:r>
      <w:r w:rsidR="0007608B" w:rsidRPr="000665B0">
        <w:rPr>
          <w:rFonts w:eastAsia="Calibri"/>
        </w:rPr>
        <w:t xml:space="preserve"> button is clicked. When the </w:t>
      </w:r>
      <w:r w:rsidR="0007608B" w:rsidRPr="000665B0">
        <w:rPr>
          <w:rFonts w:eastAsia="Calibri"/>
          <w:i/>
        </w:rPr>
        <w:t>Strike Rehearsal Options</w:t>
      </w:r>
      <w:r w:rsidR="0007608B" w:rsidRPr="000665B0">
        <w:rPr>
          <w:rFonts w:eastAsia="Calibri"/>
        </w:rPr>
        <w:t xml:space="preserve"> window, </w:t>
      </w:r>
      <w:r w:rsidR="0007608B" w:rsidRPr="000665B0">
        <w:rPr>
          <w:rFonts w:eastAsia="Calibri"/>
          <w:b/>
        </w:rPr>
        <w:t>Response Times</w:t>
      </w:r>
      <w:r w:rsidR="0007608B" w:rsidRPr="000665B0">
        <w:rPr>
          <w:rFonts w:eastAsia="Calibri"/>
        </w:rPr>
        <w:t xml:space="preserve"> tab is opened in the future, the</w:t>
      </w:r>
      <w:r w:rsidR="00AB4958" w:rsidRPr="000665B0">
        <w:rPr>
          <w:rFonts w:eastAsia="Calibri"/>
        </w:rPr>
        <w:t xml:space="preserve"> user’s</w:t>
      </w:r>
      <w:r w:rsidR="0007608B" w:rsidRPr="000665B0">
        <w:rPr>
          <w:rFonts w:eastAsia="Calibri"/>
        </w:rPr>
        <w:t xml:space="preserve"> previous settings are automatically loaded.</w:t>
      </w:r>
      <w:r w:rsidRPr="000665B0">
        <w:rPr>
          <w:rFonts w:eastAsia="Calibri"/>
        </w:rPr>
        <w:t xml:space="preserve"> </w:t>
      </w:r>
    </w:p>
    <w:p w14:paraId="7BB8F1A9" w14:textId="783035EB" w:rsidR="001F4E83" w:rsidRPr="000665B0" w:rsidRDefault="0041482B" w:rsidP="0007608B">
      <w:pPr>
        <w:jc w:val="center"/>
        <w:rPr>
          <w:rFonts w:eastAsia="Calibri"/>
        </w:rPr>
      </w:pPr>
      <w:r>
        <w:rPr>
          <w:noProof/>
        </w:rPr>
        <w:drawing>
          <wp:inline distT="0" distB="0" distL="0" distR="0" wp14:anchorId="5C554C47" wp14:editId="77FB5B6B">
            <wp:extent cx="2737536" cy="3657755"/>
            <wp:effectExtent l="0" t="0" r="0" b="0"/>
            <wp:docPr id="252634548" name="Picture 25263454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4548" name="Picture 252634548" descr="Graphical user interface, application&#10;&#10;Description automatically generated"/>
                    <pic:cNvPicPr/>
                  </pic:nvPicPr>
                  <pic:blipFill>
                    <a:blip/>
                    <a:stretch>
                      <a:fillRect/>
                    </a:stretch>
                  </pic:blipFill>
                  <pic:spPr>
                    <a:xfrm>
                      <a:off x="0" y="0"/>
                      <a:ext cx="2767383" cy="3697635"/>
                    </a:xfrm>
                    <a:prstGeom prst="rect">
                      <a:avLst/>
                    </a:prstGeom>
                  </pic:spPr>
                </pic:pic>
              </a:graphicData>
            </a:graphic>
          </wp:inline>
        </w:drawing>
      </w:r>
    </w:p>
    <w:p w14:paraId="011BE672" w14:textId="0A1726DC" w:rsidR="007837E1" w:rsidRPr="000665B0" w:rsidRDefault="007837E1" w:rsidP="00B71F29">
      <w:pPr>
        <w:pStyle w:val="Appendix3"/>
        <w:ind w:left="360"/>
      </w:pPr>
      <w:bookmarkStart w:id="8287" w:name="_Toc214283761"/>
      <w:r w:rsidRPr="000665B0">
        <w:t>Finishing Up</w:t>
      </w:r>
      <w:bookmarkEnd w:id="8287"/>
    </w:p>
    <w:p w14:paraId="459C26D0" w14:textId="71410D63" w:rsidR="000874C7" w:rsidRDefault="007837E1" w:rsidP="00B71F29">
      <w:r w:rsidRPr="000665B0">
        <w:rPr>
          <w:rFonts w:eastAsia="Calibri"/>
        </w:rPr>
        <w:t xml:space="preserve">When done with configuration in this window, you will need to click </w:t>
      </w:r>
      <w:r w:rsidRPr="000665B0">
        <w:rPr>
          <w:rFonts w:eastAsia="Calibri"/>
          <w:b/>
        </w:rPr>
        <w:t>OK</w:t>
      </w:r>
      <w:r w:rsidRPr="000665B0">
        <w:rPr>
          <w:rFonts w:eastAsia="Calibri"/>
        </w:rPr>
        <w:t xml:space="preserve"> in both this window and the </w:t>
      </w:r>
      <w:r w:rsidRPr="000665B0">
        <w:rPr>
          <w:rFonts w:eastAsia="Calibri"/>
          <w:i/>
        </w:rPr>
        <w:t>TSRT Activities Properties</w:t>
      </w:r>
      <w:r w:rsidRPr="000665B0">
        <w:rPr>
          <w:rFonts w:eastAsia="Calibri"/>
        </w:rPr>
        <w:t xml:space="preserve"> window</w:t>
      </w:r>
      <w:r w:rsidR="007E3392" w:rsidRPr="000665B0">
        <w:rPr>
          <w:rFonts w:eastAsia="Calibri"/>
        </w:rPr>
        <w:t xml:space="preserve">. </w:t>
      </w:r>
      <w:r w:rsidRPr="000665B0">
        <w:rPr>
          <w:rFonts w:eastAsia="Calibri"/>
        </w:rPr>
        <w:t>Failure to do the latter will result in your changes not being saved.</w:t>
      </w:r>
      <w:bookmarkEnd w:id="9"/>
      <w:bookmarkEnd w:id="8258"/>
      <w:bookmarkEnd w:id="8259"/>
      <w:bookmarkEnd w:id="8262"/>
    </w:p>
    <w:p w14:paraId="3BF0E2B4" w14:textId="77777777" w:rsidR="00AD081E" w:rsidRPr="00AD081E" w:rsidRDefault="00AD081E" w:rsidP="00B71F29">
      <w:pPr>
        <w:pStyle w:val="Appendix3"/>
        <w:ind w:left="360"/>
      </w:pPr>
      <w:bookmarkStart w:id="8288" w:name="_Toc214283762"/>
      <w:r w:rsidRPr="00AD081E">
        <w:lastRenderedPageBreak/>
        <w:t>Configuring TSN SOM Header Type</w:t>
      </w:r>
      <w:bookmarkEnd w:id="8288"/>
    </w:p>
    <w:p w14:paraId="2335F5EC" w14:textId="77777777" w:rsidR="00AD081E" w:rsidRPr="00AD081E" w:rsidRDefault="00AD081E" w:rsidP="00AD081E">
      <w:pPr>
        <w:rPr>
          <w:rFonts w:eastAsia="Calibri"/>
        </w:rPr>
      </w:pPr>
      <w:r w:rsidRPr="00AD081E">
        <w:rPr>
          <w:rFonts w:eastAsia="Calibri"/>
        </w:rPr>
        <w:t>By default, TSRT-generated TSN messages (such as health and status messages sent by simulated missiles) include a start-of-message (SOM) header clearly identifying them as training messages. A training SOM header type prevents TSRT-generated TSN messages from being confused with TSN messages sent by real missiles during tactical operations.</w:t>
      </w:r>
    </w:p>
    <w:p w14:paraId="6828331A" w14:textId="77777777" w:rsidR="00AD081E" w:rsidRPr="00AD081E" w:rsidRDefault="00AD081E" w:rsidP="00AD081E">
      <w:pPr>
        <w:rPr>
          <w:rFonts w:eastAsia="Calibri"/>
        </w:rPr>
      </w:pPr>
      <w:r w:rsidRPr="00AD081E">
        <w:rPr>
          <w:rFonts w:eastAsia="Calibri"/>
        </w:rPr>
        <w:t>In very rare circumstances, it may be desirable to have TSRT send messages as though they came from real tactical missiles. This is accomplished by setting a particular Windows registry value and restarting MDS.</w:t>
      </w:r>
    </w:p>
    <w:p w14:paraId="693D5A83" w14:textId="77777777" w:rsidR="00AD081E" w:rsidRPr="00AD081E" w:rsidRDefault="00AD081E" w:rsidP="00AD081E">
      <w:pPr>
        <w:rPr>
          <w:rFonts w:eastAsia="Calibri"/>
        </w:rPr>
      </w:pPr>
      <w:r w:rsidRPr="00AD081E">
        <w:rPr>
          <w:rFonts w:eastAsia="Calibri"/>
        </w:rPr>
        <w:t>Ensure that the MDS on the TSRT host machine is not running.</w:t>
      </w:r>
    </w:p>
    <w:p w14:paraId="71C64D45" w14:textId="77777777" w:rsidR="00AD081E" w:rsidRPr="00AD081E" w:rsidRDefault="00AD081E" w:rsidP="00AD081E">
      <w:pPr>
        <w:rPr>
          <w:rFonts w:eastAsia="Calibri"/>
        </w:rPr>
      </w:pPr>
      <w:r w:rsidRPr="00AD081E">
        <w:rPr>
          <w:szCs w:val="24"/>
        </w:rPr>
        <w:t xml:space="preserve">Right-click the </w:t>
      </w:r>
      <w:r w:rsidRPr="00AD081E">
        <w:rPr>
          <w:noProof/>
          <w:szCs w:val="24"/>
        </w:rPr>
        <w:drawing>
          <wp:inline distT="0" distB="0" distL="0" distR="0" wp14:anchorId="1FF47BDD" wp14:editId="01409FDC">
            <wp:extent cx="182880" cy="178068"/>
            <wp:effectExtent l="0" t="0" r="7620" b="0"/>
            <wp:docPr id="1373" name="Pictur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 Icon.jpg"/>
                    <pic:cNvPicPr/>
                  </pic:nvPicPr>
                  <pic:blipFill>
                    <a:blip cstate="screen">
                      <a:extLst>
                        <a:ext uri="{28A0092B-C50C-407E-A947-70E740481C1C}">
                          <a14:useLocalDpi xmlns:a14="http://schemas.microsoft.com/office/drawing/2010/main"/>
                        </a:ext>
                      </a:extLst>
                    </a:blip>
                    <a:stretch>
                      <a:fillRect/>
                    </a:stretch>
                  </pic:blipFill>
                  <pic:spPr>
                    <a:xfrm>
                      <a:off x="0" y="0"/>
                      <a:ext cx="180975" cy="176213"/>
                    </a:xfrm>
                    <a:prstGeom prst="rect">
                      <a:avLst/>
                    </a:prstGeom>
                  </pic:spPr>
                </pic:pic>
              </a:graphicData>
            </a:graphic>
          </wp:inline>
        </w:drawing>
      </w:r>
      <w:r w:rsidRPr="00AD081E">
        <w:rPr>
          <w:szCs w:val="24"/>
        </w:rPr>
        <w:t xml:space="preserve"> icon and select </w:t>
      </w:r>
      <w:r w:rsidRPr="00AD081E">
        <w:rPr>
          <w:b/>
          <w:szCs w:val="24"/>
        </w:rPr>
        <w:t>Search</w:t>
      </w:r>
      <w:r w:rsidRPr="00AD081E">
        <w:rPr>
          <w:szCs w:val="24"/>
        </w:rPr>
        <w:t xml:space="preserve"> from the pop-up menu. Type </w:t>
      </w:r>
      <w:r w:rsidRPr="00AD081E">
        <w:rPr>
          <w:b/>
          <w:szCs w:val="24"/>
        </w:rPr>
        <w:t>regedit</w:t>
      </w:r>
      <w:r w:rsidRPr="00AD081E">
        <w:rPr>
          <w:szCs w:val="24"/>
        </w:rPr>
        <w:t xml:space="preserve"> in the </w:t>
      </w:r>
      <w:r w:rsidRPr="00AD081E">
        <w:rPr>
          <w:b/>
          <w:szCs w:val="24"/>
        </w:rPr>
        <w:t>Search</w:t>
      </w:r>
      <w:r w:rsidRPr="00AD081E">
        <w:rPr>
          <w:szCs w:val="24"/>
        </w:rPr>
        <w:t xml:space="preserve"> field, and then select </w:t>
      </w:r>
      <w:r w:rsidRPr="00AD081E">
        <w:rPr>
          <w:b/>
          <w:szCs w:val="24"/>
        </w:rPr>
        <w:t>regedit</w:t>
      </w:r>
      <w:r w:rsidRPr="00AD081E">
        <w:rPr>
          <w:szCs w:val="24"/>
        </w:rPr>
        <w:t xml:space="preserve"> in the results list. Click the </w:t>
      </w:r>
      <w:r w:rsidRPr="00AD081E">
        <w:rPr>
          <w:b/>
          <w:szCs w:val="24"/>
        </w:rPr>
        <w:t>Yes</w:t>
      </w:r>
      <w:r w:rsidRPr="00AD081E">
        <w:rPr>
          <w:szCs w:val="24"/>
        </w:rPr>
        <w:t xml:space="preserve"> button in the </w:t>
      </w:r>
      <w:r w:rsidRPr="00AD081E">
        <w:rPr>
          <w:i/>
          <w:szCs w:val="24"/>
        </w:rPr>
        <w:t>User Account Control</w:t>
      </w:r>
      <w:r w:rsidRPr="00AD081E">
        <w:rPr>
          <w:szCs w:val="24"/>
        </w:rPr>
        <w:t xml:space="preserve"> window. </w:t>
      </w:r>
    </w:p>
    <w:p w14:paraId="5F8F4FAB" w14:textId="77777777" w:rsidR="00AD081E" w:rsidRPr="00AD081E" w:rsidRDefault="00AD081E" w:rsidP="00AD081E">
      <w:pPr>
        <w:rPr>
          <w:rFonts w:eastAsia="Calibri"/>
        </w:rPr>
      </w:pPr>
      <w:r w:rsidRPr="00AD081E">
        <w:rPr>
          <w:rFonts w:eastAsia="Calibri"/>
          <w:b/>
        </w:rPr>
        <w:t>Registry Editor</w:t>
      </w:r>
      <w:r w:rsidRPr="00AD081E">
        <w:rPr>
          <w:rFonts w:eastAsia="Calibri"/>
        </w:rPr>
        <w:t xml:space="preserve"> (must be performed by a System Administrator)</w:t>
      </w:r>
      <w:r w:rsidRPr="00AD081E">
        <w:rPr>
          <w:rFonts w:eastAsia="Calibri"/>
          <w:b/>
        </w:rPr>
        <w:br/>
      </w:r>
      <w:r w:rsidRPr="00AD081E">
        <w:rPr>
          <w:rFonts w:eastAsia="Calibri"/>
        </w:rPr>
        <w:t xml:space="preserve">Using the navigation pane on the left of the registry editor window, navigate to </w:t>
      </w:r>
      <w:r w:rsidRPr="00AD081E">
        <w:rPr>
          <w:rFonts w:eastAsia="Calibri"/>
          <w:b/>
        </w:rPr>
        <w:t>Computer\HKEY_LOCAL_MACHINE\SOFTWARE\ComGlobal Systems</w:t>
      </w:r>
      <w:r w:rsidRPr="00AD081E">
        <w:rPr>
          <w:rFonts w:eastAsia="Calibri"/>
        </w:rPr>
        <w:t>.</w:t>
      </w:r>
    </w:p>
    <w:p w14:paraId="17F039DA" w14:textId="77777777" w:rsidR="00AD081E" w:rsidRPr="00AD081E" w:rsidRDefault="00AD081E" w:rsidP="00AD081E">
      <w:pPr>
        <w:rPr>
          <w:rFonts w:eastAsia="Calibri"/>
        </w:rPr>
      </w:pPr>
      <w:r w:rsidRPr="00AD081E">
        <w:rPr>
          <w:rFonts w:eastAsia="Calibri"/>
        </w:rPr>
        <w:t xml:space="preserve">If there is a TSRT entry under </w:t>
      </w:r>
      <w:r w:rsidRPr="00AD081E">
        <w:rPr>
          <w:rFonts w:eastAsia="Calibri"/>
          <w:b/>
        </w:rPr>
        <w:t>ComGlobal Systems</w:t>
      </w:r>
      <w:r w:rsidRPr="00AD081E">
        <w:rPr>
          <w:rFonts w:eastAsia="Calibri"/>
        </w:rPr>
        <w:t xml:space="preserve">, select it. Otherwise, right-click on </w:t>
      </w:r>
      <w:r w:rsidRPr="00AD081E">
        <w:rPr>
          <w:rFonts w:eastAsia="Calibri"/>
          <w:b/>
        </w:rPr>
        <w:t>ComGlobal Systems</w:t>
      </w:r>
      <w:r w:rsidRPr="00AD081E">
        <w:rPr>
          <w:rFonts w:eastAsia="Calibri"/>
        </w:rPr>
        <w:t xml:space="preserve"> and select </w:t>
      </w:r>
      <w:r w:rsidRPr="00AD081E">
        <w:rPr>
          <w:rFonts w:eastAsia="Calibri"/>
          <w:b/>
        </w:rPr>
        <w:t>New</w:t>
      </w:r>
      <w:r w:rsidRPr="00AD081E">
        <w:rPr>
          <w:b/>
        </w:rPr>
        <w:t xml:space="preserve"> </w:t>
      </w:r>
      <w:r w:rsidRPr="00AD081E">
        <w:rPr>
          <w:b/>
        </w:rPr>
        <w:sym w:font="Wingdings" w:char="F0E0"/>
      </w:r>
      <w:r w:rsidRPr="00AD081E">
        <w:rPr>
          <w:b/>
        </w:rPr>
        <w:t xml:space="preserve"> </w:t>
      </w:r>
      <w:r w:rsidRPr="00AD081E">
        <w:rPr>
          <w:rFonts w:eastAsia="Calibri"/>
          <w:b/>
        </w:rPr>
        <w:t>Key</w:t>
      </w:r>
      <w:r w:rsidRPr="00AD081E">
        <w:rPr>
          <w:rFonts w:eastAsia="Calibri"/>
        </w:rPr>
        <w:t xml:space="preserve"> from the context menu. Enter </w:t>
      </w:r>
      <w:r w:rsidRPr="00AD081E">
        <w:rPr>
          <w:rFonts w:eastAsia="Calibri"/>
          <w:b/>
        </w:rPr>
        <w:t>TSRT</w:t>
      </w:r>
      <w:r w:rsidRPr="00AD081E">
        <w:rPr>
          <w:rFonts w:eastAsia="Calibri"/>
        </w:rPr>
        <w:t xml:space="preserve"> as the name of the new key and press the </w:t>
      </w:r>
      <w:r w:rsidRPr="00AD081E">
        <w:rPr>
          <w:rFonts w:eastAsia="Calibri"/>
          <w:b/>
        </w:rPr>
        <w:t>Enter</w:t>
      </w:r>
      <w:r w:rsidRPr="00AD081E">
        <w:rPr>
          <w:rFonts w:eastAsia="Calibri"/>
        </w:rPr>
        <w:t xml:space="preserve"> key.</w:t>
      </w:r>
    </w:p>
    <w:p w14:paraId="75E814CB" w14:textId="77777777" w:rsidR="00AD081E" w:rsidRPr="00AD081E" w:rsidRDefault="00AD081E" w:rsidP="00AD081E">
      <w:pPr>
        <w:rPr>
          <w:rFonts w:eastAsia="Calibri"/>
        </w:rPr>
      </w:pPr>
      <w:r w:rsidRPr="00AD081E">
        <w:rPr>
          <w:rFonts w:eastAsia="Calibri"/>
        </w:rPr>
        <w:t xml:space="preserve">In the right-hand pane, check for an entry with the name </w:t>
      </w:r>
      <w:r w:rsidRPr="00AD081E">
        <w:rPr>
          <w:rFonts w:eastAsia="Calibri"/>
          <w:b/>
        </w:rPr>
        <w:t>SomHeaderType</w:t>
      </w:r>
      <w:r w:rsidRPr="00AD081E">
        <w:rPr>
          <w:rFonts w:eastAsia="Calibri"/>
        </w:rPr>
        <w:t xml:space="preserve">. If there is one, select it. Otherwise, right-click on the </w:t>
      </w:r>
      <w:r w:rsidRPr="00AD081E">
        <w:rPr>
          <w:rFonts w:eastAsia="Calibri"/>
          <w:b/>
        </w:rPr>
        <w:t>TSRT</w:t>
      </w:r>
      <w:r w:rsidRPr="00AD081E">
        <w:rPr>
          <w:rFonts w:eastAsia="Calibri"/>
        </w:rPr>
        <w:t xml:space="preserve"> key and select </w:t>
      </w:r>
      <w:r w:rsidRPr="00AD081E">
        <w:rPr>
          <w:rFonts w:eastAsia="Calibri"/>
          <w:b/>
        </w:rPr>
        <w:t>New</w:t>
      </w:r>
      <w:r w:rsidRPr="00AD081E">
        <w:rPr>
          <w:b/>
        </w:rPr>
        <w:t xml:space="preserve"> </w:t>
      </w:r>
      <w:r w:rsidRPr="00AD081E">
        <w:rPr>
          <w:b/>
        </w:rPr>
        <w:sym w:font="Wingdings" w:char="F0E0"/>
      </w:r>
      <w:r w:rsidRPr="00AD081E">
        <w:rPr>
          <w:b/>
        </w:rPr>
        <w:t xml:space="preserve"> </w:t>
      </w:r>
      <w:r w:rsidRPr="00AD081E">
        <w:rPr>
          <w:rFonts w:eastAsia="Calibri"/>
          <w:b/>
        </w:rPr>
        <w:t>String Value</w:t>
      </w:r>
      <w:r w:rsidRPr="00AD081E">
        <w:rPr>
          <w:rFonts w:eastAsia="Calibri"/>
        </w:rPr>
        <w:t xml:space="preserve"> from the context menu. Enter </w:t>
      </w:r>
      <w:r w:rsidRPr="00AD081E">
        <w:rPr>
          <w:rFonts w:eastAsia="Calibri"/>
          <w:b/>
        </w:rPr>
        <w:t>SomHeaderType</w:t>
      </w:r>
      <w:r w:rsidRPr="00AD081E">
        <w:rPr>
          <w:rFonts w:eastAsia="Calibri"/>
        </w:rPr>
        <w:t xml:space="preserve"> as the name of the value and press the </w:t>
      </w:r>
      <w:r w:rsidRPr="00AD081E">
        <w:rPr>
          <w:rFonts w:eastAsia="Calibri"/>
          <w:b/>
        </w:rPr>
        <w:t>Enter</w:t>
      </w:r>
      <w:r w:rsidRPr="00AD081E">
        <w:rPr>
          <w:rFonts w:eastAsia="Calibri"/>
        </w:rPr>
        <w:t xml:space="preserve"> key.</w:t>
      </w:r>
    </w:p>
    <w:p w14:paraId="63729D37" w14:textId="77777777" w:rsidR="00AD081E" w:rsidRPr="00AD081E" w:rsidRDefault="00AD081E" w:rsidP="00AD081E">
      <w:pPr>
        <w:rPr>
          <w:rFonts w:eastAsia="Calibri"/>
        </w:rPr>
      </w:pPr>
      <w:r w:rsidRPr="00AD081E">
        <w:rPr>
          <w:rFonts w:eastAsia="Calibri"/>
        </w:rPr>
        <w:t xml:space="preserve">Right-click on the value with the name </w:t>
      </w:r>
      <w:r w:rsidRPr="00AD081E">
        <w:rPr>
          <w:rFonts w:eastAsia="Calibri"/>
          <w:b/>
        </w:rPr>
        <w:t>SomHeaderType</w:t>
      </w:r>
      <w:r w:rsidRPr="00AD081E">
        <w:rPr>
          <w:rFonts w:eastAsia="Calibri"/>
        </w:rPr>
        <w:t xml:space="preserve"> and select </w:t>
      </w:r>
      <w:r w:rsidRPr="00AD081E">
        <w:rPr>
          <w:rFonts w:eastAsia="Calibri"/>
          <w:b/>
        </w:rPr>
        <w:t>Modify</w:t>
      </w:r>
      <w:r w:rsidRPr="00AD081E">
        <w:rPr>
          <w:rFonts w:eastAsia="Calibri"/>
        </w:rPr>
        <w:t xml:space="preserve"> from the context menu.</w:t>
      </w:r>
    </w:p>
    <w:p w14:paraId="3F062F5B" w14:textId="77777777" w:rsidR="00AD081E" w:rsidRPr="00AD081E" w:rsidRDefault="00AD081E" w:rsidP="00AD081E">
      <w:pPr>
        <w:tabs>
          <w:tab w:val="left" w:pos="720"/>
        </w:tabs>
        <w:jc w:val="center"/>
      </w:pPr>
      <w:r w:rsidRPr="00AD081E">
        <w:rPr>
          <w:noProof/>
        </w:rPr>
        <w:drawing>
          <wp:inline distT="0" distB="0" distL="0" distR="0" wp14:anchorId="274174D8" wp14:editId="1E7BE6D2">
            <wp:extent cx="4114800" cy="1581912"/>
            <wp:effectExtent l="0" t="0" r="0" b="0"/>
            <wp:docPr id="655" name="Picture 65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Picture 655" descr="Graphical user interface, text,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4114800" cy="1581912"/>
                    </a:xfrm>
                    <a:prstGeom prst="rect">
                      <a:avLst/>
                    </a:prstGeom>
                  </pic:spPr>
                </pic:pic>
              </a:graphicData>
            </a:graphic>
          </wp:inline>
        </w:drawing>
      </w:r>
    </w:p>
    <w:p w14:paraId="6B5390DF" w14:textId="77777777" w:rsidR="00AD081E" w:rsidRPr="00AD081E" w:rsidRDefault="00AD081E" w:rsidP="00AD081E">
      <w:pPr>
        <w:rPr>
          <w:rFonts w:eastAsia="Calibri"/>
        </w:rPr>
      </w:pPr>
      <w:r w:rsidRPr="00AD081E">
        <w:rPr>
          <w:rFonts w:eastAsia="Calibri"/>
          <w:b/>
        </w:rPr>
        <w:t>Edit String</w:t>
      </w:r>
      <w:r w:rsidRPr="00AD081E">
        <w:rPr>
          <w:rFonts w:eastAsia="Calibri"/>
          <w:b/>
        </w:rPr>
        <w:br/>
      </w:r>
      <w:r w:rsidRPr="00AD081E">
        <w:rPr>
          <w:rFonts w:eastAsia="Calibri"/>
        </w:rPr>
        <w:t xml:space="preserve">In the </w:t>
      </w:r>
      <w:r w:rsidRPr="00AD081E">
        <w:rPr>
          <w:rFonts w:eastAsia="Calibri"/>
          <w:b/>
        </w:rPr>
        <w:t>Value data</w:t>
      </w:r>
      <w:r w:rsidRPr="00AD081E">
        <w:rPr>
          <w:rFonts w:eastAsia="Calibri"/>
        </w:rPr>
        <w:t xml:space="preserve"> field, enter </w:t>
      </w:r>
      <w:r w:rsidRPr="00AD081E">
        <w:rPr>
          <w:rFonts w:eastAsia="Calibri"/>
          <w:b/>
        </w:rPr>
        <w:t>TACTICAL</w:t>
      </w:r>
      <w:r w:rsidRPr="00AD081E">
        <w:rPr>
          <w:rFonts w:eastAsia="Calibri"/>
        </w:rPr>
        <w:t xml:space="preserve"> or </w:t>
      </w:r>
      <w:r w:rsidRPr="00AD081E">
        <w:rPr>
          <w:rFonts w:eastAsia="Calibri"/>
          <w:b/>
        </w:rPr>
        <w:t>TRAINING</w:t>
      </w:r>
      <w:r w:rsidRPr="00AD081E">
        <w:rPr>
          <w:rFonts w:eastAsia="Calibri"/>
        </w:rPr>
        <w:t xml:space="preserve"> per the type of SOM header that TSRT should use for its TSN messages. Click the </w:t>
      </w:r>
      <w:r w:rsidRPr="00AD081E">
        <w:rPr>
          <w:rFonts w:eastAsia="Calibri"/>
          <w:b/>
        </w:rPr>
        <w:t>OK</w:t>
      </w:r>
      <w:r w:rsidRPr="00AD081E">
        <w:rPr>
          <w:rFonts w:eastAsia="Calibri"/>
        </w:rPr>
        <w:t xml:space="preserve"> button.</w:t>
      </w:r>
    </w:p>
    <w:p w14:paraId="7FE99A8B" w14:textId="77777777" w:rsidR="00AD081E" w:rsidRPr="00AD081E" w:rsidRDefault="00AD081E" w:rsidP="00AD081E">
      <w:pPr>
        <w:rPr>
          <w:rFonts w:eastAsia="Calibri"/>
        </w:rPr>
      </w:pPr>
      <w:r w:rsidRPr="00AD081E">
        <w:rPr>
          <w:rFonts w:eastAsia="Calibri"/>
          <w:b/>
        </w:rPr>
        <w:t>Registry Editor</w:t>
      </w:r>
      <w:r w:rsidRPr="00AD081E">
        <w:rPr>
          <w:rFonts w:eastAsia="Calibri"/>
          <w:b/>
        </w:rPr>
        <w:br/>
      </w:r>
      <w:r w:rsidRPr="00AD081E">
        <w:rPr>
          <w:rFonts w:eastAsia="Calibri"/>
        </w:rPr>
        <w:t>Close the registry editor.</w:t>
      </w:r>
    </w:p>
    <w:p w14:paraId="3FDAB71D" w14:textId="77777777" w:rsidR="00AD081E" w:rsidRPr="00AD081E" w:rsidRDefault="00AD081E" w:rsidP="00AD081E">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AD081E">
        <w:rPr>
          <w:b/>
        </w:rPr>
        <w:lastRenderedPageBreak/>
        <w:t>Note:</w:t>
      </w:r>
    </w:p>
    <w:p w14:paraId="44AFADAD" w14:textId="77777777" w:rsidR="00AD081E" w:rsidRPr="00AD081E" w:rsidRDefault="00AD081E" w:rsidP="00AD081E">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AD081E">
        <w:rPr>
          <w:b/>
        </w:rPr>
        <w:t>To prevent interference with tactical Tomahawk operations, the registry value should be set back to “TRAINING” as soon as practicable after the completion of whatever operation necessitated tactical SOM headers.</w:t>
      </w:r>
    </w:p>
    <w:p w14:paraId="22A68D08" w14:textId="77777777" w:rsidR="00AD081E" w:rsidRPr="00AD081E" w:rsidRDefault="00AD081E" w:rsidP="00912CE8">
      <w:pPr>
        <w:pStyle w:val="Appendix2"/>
      </w:pPr>
      <w:bookmarkStart w:id="8289" w:name="_S-3__Configuring"/>
      <w:bookmarkStart w:id="8290" w:name="_Toc214283763"/>
      <w:bookmarkEnd w:id="8289"/>
      <w:r w:rsidRPr="00AD081E">
        <w:t>CONFIGURING A STRIKE FOR TSRT</w:t>
      </w:r>
      <w:bookmarkEnd w:id="8290"/>
    </w:p>
    <w:p w14:paraId="6A7D34CF" w14:textId="77777777" w:rsidR="00AD081E" w:rsidRPr="00AD081E" w:rsidRDefault="00AD081E" w:rsidP="00AD081E">
      <w:pPr>
        <w:rPr>
          <w:rFonts w:eastAsia="Calibri"/>
        </w:rPr>
      </w:pPr>
      <w:r w:rsidRPr="00AD081E">
        <w:rPr>
          <w:rFonts w:eastAsia="Calibri"/>
        </w:rPr>
        <w:t>These configuration choices apply only to the execution folder that is configured. In particular, if you edit a rehearsal copy of an execution folder, the changes do not affect subsequent rehearsal copies of the original folder. To affect all subsequent rehearsal copies, you will need to edit the configuration for the original tactical or training execution folder.</w:t>
      </w:r>
    </w:p>
    <w:p w14:paraId="605FDF49" w14:textId="77777777" w:rsidR="00AD081E" w:rsidRPr="00AD081E" w:rsidRDefault="00AD081E" w:rsidP="00B71F29">
      <w:pPr>
        <w:pStyle w:val="Appendix3"/>
        <w:ind w:left="360"/>
      </w:pPr>
      <w:bookmarkStart w:id="8291" w:name="_Toc214283764"/>
      <w:r w:rsidRPr="00AD081E">
        <w:t>Before You Begin</w:t>
      </w:r>
      <w:bookmarkEnd w:id="8291"/>
    </w:p>
    <w:p w14:paraId="5905D78C" w14:textId="77777777" w:rsidR="00AD081E" w:rsidRPr="00AD081E" w:rsidRDefault="00AD081E" w:rsidP="00AD081E">
      <w:pPr>
        <w:rPr>
          <w:rFonts w:eastAsia="Calibri"/>
        </w:rPr>
      </w:pPr>
      <w:r w:rsidRPr="00AD081E">
        <w:rPr>
          <w:rFonts w:eastAsia="Calibri"/>
        </w:rPr>
        <w:t>Before starting strike configuration for TSRT, have the following available to you:</w:t>
      </w:r>
    </w:p>
    <w:p w14:paraId="502B0281" w14:textId="77777777" w:rsidR="00AD081E" w:rsidRPr="00AD081E" w:rsidRDefault="00AD081E" w:rsidP="006D5A65">
      <w:pPr>
        <w:pStyle w:val="Heading1"/>
      </w:pPr>
      <w:r w:rsidRPr="00AD081E">
        <w:t>The internet protocol (IP) address of the machine that hosts the TSRT’s MDS (the machine on which the Scenario Director interface will be run, not the TSRT’s TED, if different).</w:t>
      </w:r>
    </w:p>
    <w:p w14:paraId="1D0BF73E" w14:textId="77777777" w:rsidR="00AD081E" w:rsidRPr="00AD081E" w:rsidRDefault="00AD081E" w:rsidP="00AD081E">
      <w:pPr>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AD081E">
        <w:rPr>
          <w:b/>
        </w:rPr>
        <w:t>Note:</w:t>
      </w:r>
    </w:p>
    <w:p w14:paraId="6F18B9F8" w14:textId="77777777" w:rsidR="00AD081E" w:rsidRPr="00AD081E" w:rsidRDefault="00AD081E" w:rsidP="00AD081E">
      <w:pPr>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AD081E">
        <w:rPr>
          <w:b/>
        </w:rPr>
        <w:t>The TSRT should be run on a machine with an MDS version that is at least as high as the MDS version of the highest-versioned MDS that is participating in the rehearsal. Older TSRTs may not be forward-compatible with more current MDS versions.</w:t>
      </w:r>
    </w:p>
    <w:p w14:paraId="22A364FE" w14:textId="77777777" w:rsidR="00AD081E" w:rsidRPr="00AD081E" w:rsidRDefault="00AD081E" w:rsidP="00B71F29">
      <w:pPr>
        <w:pStyle w:val="Appendix3"/>
        <w:ind w:left="360"/>
      </w:pPr>
      <w:bookmarkStart w:id="8292" w:name="_Toc214283765"/>
      <w:r w:rsidRPr="00AD081E">
        <w:t>TSRT Strike Configuration</w:t>
      </w:r>
      <w:bookmarkEnd w:id="8292"/>
    </w:p>
    <w:p w14:paraId="71662E86" w14:textId="77777777" w:rsidR="00AD081E" w:rsidRPr="00AD081E" w:rsidRDefault="00AD081E" w:rsidP="00AD081E">
      <w:pPr>
        <w:rPr>
          <w:rFonts w:eastAsia="Calibri"/>
        </w:rPr>
      </w:pPr>
      <w:r w:rsidRPr="00AD081E">
        <w:rPr>
          <w:rFonts w:eastAsia="Calibri"/>
        </w:rPr>
        <w:t xml:space="preserve">Using an MDS connected to the TED designated as the owner of the strike execution folder,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Strike Execution</w:t>
      </w:r>
      <w:r w:rsidRPr="00AD081E">
        <w:rPr>
          <w:rFonts w:eastAsia="Calibri"/>
        </w:rPr>
        <w:t xml:space="preserve"> from the menu.</w:t>
      </w:r>
    </w:p>
    <w:p w14:paraId="7813CB1B" w14:textId="1EC30278" w:rsidR="00AD081E" w:rsidRPr="00AD081E" w:rsidRDefault="00AD081E" w:rsidP="00AD081E">
      <w:pPr>
        <w:rPr>
          <w:rFonts w:eastAsia="Calibri"/>
        </w:rPr>
      </w:pPr>
      <w:r w:rsidRPr="00AD081E">
        <w:rPr>
          <w:rFonts w:eastAsia="Calibri"/>
          <w:b/>
        </w:rPr>
        <w:t>Strike Execution</w:t>
      </w:r>
      <w:r w:rsidRPr="00AD081E">
        <w:rPr>
          <w:rFonts w:eastAsia="Calibri"/>
          <w:b/>
        </w:rPr>
        <w:br/>
      </w:r>
      <w:r w:rsidRPr="00AD081E">
        <w:rPr>
          <w:rFonts w:eastAsia="Calibri"/>
        </w:rPr>
        <w:t xml:space="preserve">Double-click on the execution folder to be </w:t>
      </w:r>
      <w:r w:rsidR="000D0CA9" w:rsidRPr="00AD081E">
        <w:rPr>
          <w:rFonts w:eastAsia="Calibri"/>
        </w:rPr>
        <w:t>configured or</w:t>
      </w:r>
      <w:r w:rsidRPr="00AD081E">
        <w:rPr>
          <w:rFonts w:eastAsia="Calibri"/>
        </w:rPr>
        <w:t xml:space="preserve"> select it and choose </w:t>
      </w:r>
      <w:r w:rsidRPr="00AD081E">
        <w:rPr>
          <w:rFonts w:eastAsia="Calibri"/>
          <w:b/>
        </w:rPr>
        <w:t>Display</w:t>
      </w:r>
      <w:r w:rsidRPr="00AD081E">
        <w:rPr>
          <w:b/>
        </w:rPr>
        <w:t xml:space="preserve"> </w:t>
      </w:r>
      <w:r w:rsidRPr="00AD081E">
        <w:rPr>
          <w:b/>
        </w:rPr>
        <w:sym w:font="Wingdings" w:char="F0E0"/>
      </w:r>
      <w:r w:rsidRPr="00AD081E">
        <w:rPr>
          <w:b/>
        </w:rPr>
        <w:t xml:space="preserve"> </w:t>
      </w:r>
      <w:r w:rsidRPr="00AD081E">
        <w:rPr>
          <w:rFonts w:eastAsia="Calibri"/>
          <w:b/>
        </w:rPr>
        <w:t>Textually</w:t>
      </w:r>
      <w:r w:rsidRPr="00AD081E">
        <w:rPr>
          <w:rFonts w:eastAsia="Calibri"/>
        </w:rPr>
        <w:t xml:space="preserve"> from either the main menu or the context menu.</w:t>
      </w:r>
    </w:p>
    <w:p w14:paraId="2A63B189" w14:textId="77777777" w:rsidR="00AD081E" w:rsidRPr="00AD081E" w:rsidRDefault="00AD081E" w:rsidP="00AD081E">
      <w:pPr>
        <w:rPr>
          <w:rFonts w:eastAsia="Calibri"/>
        </w:rPr>
      </w:pPr>
      <w:r w:rsidRPr="00AD081E">
        <w:rPr>
          <w:rFonts w:eastAsia="Calibri"/>
          <w:b/>
        </w:rPr>
        <w:t>Strike Execution Folder: &lt;FolderId&gt;</w:t>
      </w:r>
      <w:r w:rsidRPr="00AD081E">
        <w:rPr>
          <w:rFonts w:eastAsia="Calibri"/>
          <w:b/>
        </w:rPr>
        <w:br/>
      </w:r>
      <w:r w:rsidRPr="00AD081E">
        <w:rPr>
          <w:rFonts w:eastAsia="Calibri"/>
        </w:rPr>
        <w:t xml:space="preserve">From the menu, choose </w:t>
      </w:r>
      <w:r w:rsidRPr="00AD081E">
        <w:rPr>
          <w:rFonts w:eastAsia="Calibri"/>
          <w:b/>
        </w:rPr>
        <w:t>Edit</w:t>
      </w:r>
      <w:r w:rsidRPr="00AD081E">
        <w:rPr>
          <w:b/>
        </w:rPr>
        <w:t xml:space="preserve"> </w:t>
      </w:r>
      <w:r w:rsidRPr="00AD081E">
        <w:rPr>
          <w:b/>
        </w:rPr>
        <w:sym w:font="Wingdings" w:char="F0E0"/>
      </w:r>
      <w:r w:rsidRPr="00AD081E">
        <w:rPr>
          <w:b/>
        </w:rPr>
        <w:t xml:space="preserve"> </w:t>
      </w:r>
      <w:r w:rsidRPr="00AD081E">
        <w:rPr>
          <w:rFonts w:eastAsia="Calibri"/>
          <w:b/>
        </w:rPr>
        <w:t>TSRT Setup</w:t>
      </w:r>
      <w:r w:rsidRPr="00AD081E">
        <w:rPr>
          <w:rFonts w:eastAsia="Calibri"/>
        </w:rPr>
        <w:t>.</w:t>
      </w:r>
    </w:p>
    <w:p w14:paraId="4D9EAFCF" w14:textId="77777777" w:rsidR="00AD081E" w:rsidRPr="00AD081E" w:rsidRDefault="00AD081E" w:rsidP="00AD081E">
      <w:pPr>
        <w:rPr>
          <w:rFonts w:eastAsia="Calibri"/>
        </w:rPr>
      </w:pPr>
      <w:r w:rsidRPr="00AD081E">
        <w:rPr>
          <w:rFonts w:eastAsia="Calibri"/>
        </w:rPr>
        <w:t xml:space="preserve">Navigate to the </w:t>
      </w:r>
      <w:r w:rsidRPr="00AD081E">
        <w:rPr>
          <w:rFonts w:eastAsia="Calibri"/>
          <w:b/>
          <w:i/>
        </w:rPr>
        <w:t>Scenario Setup</w:t>
      </w:r>
      <w:r w:rsidRPr="00AD081E">
        <w:rPr>
          <w:rFonts w:eastAsia="Calibri"/>
        </w:rPr>
        <w:t xml:space="preserve"> and </w:t>
      </w:r>
      <w:r w:rsidRPr="00AD081E">
        <w:rPr>
          <w:rFonts w:eastAsia="Calibri"/>
          <w:b/>
          <w:i/>
        </w:rPr>
        <w:t>TSRT</w:t>
      </w:r>
      <w:r w:rsidRPr="00AD081E">
        <w:rPr>
          <w:rFonts w:eastAsia="Calibri"/>
        </w:rPr>
        <w:t xml:space="preserve"> tabs along with the following buttons to configure TSRT:</w:t>
      </w:r>
    </w:p>
    <w:p w14:paraId="5BCB6646" w14:textId="77777777" w:rsidR="00AD081E" w:rsidRPr="00AD081E" w:rsidRDefault="00AD081E" w:rsidP="006D5A65">
      <w:pPr>
        <w:pStyle w:val="Heading1"/>
      </w:pPr>
      <w:r w:rsidRPr="00AD081E">
        <w:t xml:space="preserve">OK – Incorporates the selected TSRT setup configuration selections for the current execution folder. Save the </w:t>
      </w:r>
      <w:r w:rsidRPr="00AD081E">
        <w:lastRenderedPageBreak/>
        <w:t>execution folder to save the configuration for the current folder.</w:t>
      </w:r>
    </w:p>
    <w:p w14:paraId="251F6F9C" w14:textId="77777777" w:rsidR="00AD081E" w:rsidRPr="00AD081E" w:rsidRDefault="00AD081E" w:rsidP="006D5A65">
      <w:pPr>
        <w:pStyle w:val="Heading1"/>
      </w:pPr>
      <w:r w:rsidRPr="00AD081E">
        <w:t>Restore Defaults – Restores the default TSRT setup configuration.</w:t>
      </w:r>
    </w:p>
    <w:p w14:paraId="420987E4" w14:textId="77777777" w:rsidR="00AD081E" w:rsidRPr="00AD081E" w:rsidRDefault="00AD081E" w:rsidP="006D5A65">
      <w:pPr>
        <w:pStyle w:val="Heading1"/>
      </w:pPr>
      <w:r w:rsidRPr="00AD081E">
        <w:t>Save Preferences – Saves the current TSRT setup configuration as a user-preference file in .xml format.</w:t>
      </w:r>
    </w:p>
    <w:p w14:paraId="02AF15F7" w14:textId="77777777" w:rsidR="00AD081E" w:rsidRPr="00AD081E" w:rsidRDefault="00AD081E" w:rsidP="006D5A65">
      <w:pPr>
        <w:pStyle w:val="Heading1"/>
      </w:pPr>
      <w:r w:rsidRPr="00AD081E">
        <w:t>Load Preferences – Invokes a window to select and load an existing TSRT setup configuration (user-preference file).</w:t>
      </w:r>
    </w:p>
    <w:p w14:paraId="11EA59EF" w14:textId="77777777" w:rsidR="00AD081E" w:rsidRPr="00AD081E" w:rsidRDefault="00AD081E" w:rsidP="00B71F29">
      <w:pPr>
        <w:pStyle w:val="Appendix4"/>
        <w:ind w:left="360"/>
      </w:pPr>
      <w:r w:rsidRPr="00AD081E">
        <w:t>TSRT Location and Fidelity</w:t>
      </w:r>
    </w:p>
    <w:p w14:paraId="6688D7F4" w14:textId="77777777" w:rsidR="00AD081E" w:rsidRPr="00AD081E" w:rsidRDefault="00AD081E" w:rsidP="00AD081E">
      <w:pPr>
        <w:rPr>
          <w:rFonts w:eastAsia="Calibri"/>
        </w:rPr>
      </w:pPr>
      <w:r w:rsidRPr="00AD081E">
        <w:rPr>
          <w:rFonts w:eastAsia="Calibri"/>
          <w:b/>
        </w:rPr>
        <w:t>Strike Simulation Setup</w:t>
      </w:r>
      <w:r w:rsidRPr="00AD081E">
        <w:rPr>
          <w:rFonts w:eastAsia="Calibri"/>
        </w:rPr>
        <w:br/>
        <w:t xml:space="preserve">Click on the </w:t>
      </w:r>
      <w:r w:rsidRPr="00AD081E">
        <w:rPr>
          <w:rFonts w:eastAsia="Calibri"/>
          <w:b/>
          <w:i/>
        </w:rPr>
        <w:t>TSRT</w:t>
      </w:r>
      <w:r w:rsidRPr="00AD081E">
        <w:rPr>
          <w:rFonts w:eastAsia="Calibri"/>
        </w:rPr>
        <w:t xml:space="preserve"> tab.</w:t>
      </w:r>
    </w:p>
    <w:p w14:paraId="2AD189FA" w14:textId="77777777" w:rsidR="00AD081E" w:rsidRPr="00AD081E" w:rsidRDefault="00AD081E" w:rsidP="00AD081E">
      <w:pPr>
        <w:keepNext/>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AD081E">
        <w:rPr>
          <w:b/>
        </w:rPr>
        <w:t>Note:</w:t>
      </w:r>
    </w:p>
    <w:p w14:paraId="43A70999" w14:textId="77777777" w:rsidR="00AD081E" w:rsidRPr="00AD081E" w:rsidRDefault="00AD081E" w:rsidP="00AD081E">
      <w:pPr>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AD081E">
        <w:rPr>
          <w:b/>
        </w:rPr>
        <w:t>If using scenarios, it is always best to specify the TSRT location on the TSRT tab before selecting a scenario on the Scenario Setup tab, since the scenarios available for an execution folder will depend on the TSRT that will be used for the rehearsal.</w:t>
      </w:r>
    </w:p>
    <w:p w14:paraId="7A27FAE2" w14:textId="77777777" w:rsidR="00AD081E" w:rsidRPr="00AD081E" w:rsidRDefault="00AD081E" w:rsidP="00B71F29">
      <w:pPr>
        <w:pStyle w:val="Appendix5"/>
      </w:pPr>
      <w:r w:rsidRPr="00AD081E">
        <w:t>TSRT Location</w:t>
      </w:r>
    </w:p>
    <w:p w14:paraId="6AD0BB2B" w14:textId="77777777" w:rsidR="00AD081E" w:rsidRPr="00AD081E" w:rsidRDefault="00AD081E" w:rsidP="00AD081E">
      <w:pPr>
        <w:rPr>
          <w:rFonts w:eastAsia="Calibri"/>
        </w:rPr>
      </w:pPr>
      <w:r w:rsidRPr="00AD081E">
        <w:rPr>
          <w:rFonts w:eastAsia="Calibri"/>
        </w:rPr>
        <w:t xml:space="preserve">It is best to get into the habit of always specifying </w:t>
      </w:r>
      <w:r w:rsidRPr="00AD081E">
        <w:rPr>
          <w:rFonts w:eastAsia="Calibri"/>
          <w:b/>
        </w:rPr>
        <w:t>Remote</w:t>
      </w:r>
      <w:r w:rsidRPr="00AD081E">
        <w:rPr>
          <w:rFonts w:eastAsia="Calibri"/>
        </w:rPr>
        <w:t xml:space="preserve"> and entering the TSRT machine’s IP address. This is the IP address of the machine that will be hosting the TSRT Scenario Director during the rehearsal, not the address of the TSRT’s TED (if different). </w:t>
      </w:r>
    </w:p>
    <w:p w14:paraId="64A93F41" w14:textId="77777777" w:rsidR="00AD081E" w:rsidRPr="00AD081E" w:rsidRDefault="00AD081E" w:rsidP="00AD081E">
      <w:pPr>
        <w:rPr>
          <w:rFonts w:eastAsia="Calibri"/>
        </w:rPr>
      </w:pPr>
      <w:r w:rsidRPr="00AD081E">
        <w:rPr>
          <w:rFonts w:eastAsia="Calibri"/>
        </w:rPr>
        <w:t>The advantage of doing this even when it is not strictly required (see Local in the next paragraph) is that if one later decides to add more MDSs to a rehearsal, the configuration need not be altered.</w:t>
      </w:r>
    </w:p>
    <w:p w14:paraId="4BEC8A56" w14:textId="77777777" w:rsidR="00AD081E" w:rsidRPr="00AD081E" w:rsidRDefault="00AD081E" w:rsidP="00AD081E">
      <w:pPr>
        <w:rPr>
          <w:rFonts w:eastAsia="Calibri"/>
        </w:rPr>
      </w:pPr>
      <w:r w:rsidRPr="00AD081E">
        <w:rPr>
          <w:rFonts w:eastAsia="Calibri"/>
          <w:b/>
        </w:rPr>
        <w:t>Local</w:t>
      </w:r>
      <w:r w:rsidRPr="00AD081E">
        <w:rPr>
          <w:rFonts w:eastAsia="Calibri"/>
        </w:rPr>
        <w:t xml:space="preserve"> should be used only if the MDS on the TSRT host is the only MDS that will be live during the rehearsal (and even then, we recommend the use of Remote, as stated above). If there are multiple MDS participants in a rehearsal for an execution folder that specifies the use of a local TSRT, each MDS will start its own TSRT, essentially running private rehearsals on each workstation.</w:t>
      </w:r>
    </w:p>
    <w:p w14:paraId="4C83EA65" w14:textId="77777777" w:rsidR="00AD081E" w:rsidRPr="00AD081E" w:rsidRDefault="00AD081E" w:rsidP="00AD081E">
      <w:pPr>
        <w:tabs>
          <w:tab w:val="left" w:pos="720"/>
        </w:tabs>
        <w:jc w:val="center"/>
      </w:pPr>
      <w:r w:rsidRPr="00AD081E">
        <w:rPr>
          <w:noProof/>
        </w:rPr>
        <w:lastRenderedPageBreak/>
        <w:drawing>
          <wp:inline distT="0" distB="0" distL="0" distR="0" wp14:anchorId="5E77270F" wp14:editId="6125B243">
            <wp:extent cx="2743200" cy="4471416"/>
            <wp:effectExtent l="0" t="0" r="0" b="5715"/>
            <wp:docPr id="311" name="Picture 3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311" descr="Graphical user interface, text, application, email&#10;&#10;Description automatically generated"/>
                    <pic:cNvPicPr/>
                  </pic:nvPicPr>
                  <pic:blipFill>
                    <a:blip/>
                    <a:stretch>
                      <a:fillRect/>
                    </a:stretch>
                  </pic:blipFill>
                  <pic:spPr>
                    <a:xfrm>
                      <a:off x="0" y="0"/>
                      <a:ext cx="2743200" cy="4471416"/>
                    </a:xfrm>
                    <a:prstGeom prst="rect">
                      <a:avLst/>
                    </a:prstGeom>
                  </pic:spPr>
                </pic:pic>
              </a:graphicData>
            </a:graphic>
          </wp:inline>
        </w:drawing>
      </w:r>
    </w:p>
    <w:p w14:paraId="7BC406C5" w14:textId="77777777" w:rsidR="00AD081E" w:rsidRPr="00AD081E" w:rsidRDefault="00AD081E" w:rsidP="00AD081E">
      <w:pPr>
        <w:pBdr>
          <w:top w:val="single" w:sz="12" w:space="1" w:color="auto"/>
          <w:left w:val="single" w:sz="12" w:space="4" w:color="auto"/>
          <w:bottom w:val="single" w:sz="12" w:space="1" w:color="auto"/>
          <w:right w:val="single" w:sz="12" w:space="4" w:color="auto"/>
        </w:pBdr>
        <w:shd w:val="clear" w:color="auto" w:fill="F3F3F3"/>
        <w:autoSpaceDE w:val="0"/>
        <w:autoSpaceDN w:val="0"/>
        <w:adjustRightInd w:val="0"/>
        <w:spacing w:after="0"/>
        <w:ind w:left="90" w:right="90"/>
        <w:rPr>
          <w:b/>
        </w:rPr>
      </w:pPr>
      <w:r w:rsidRPr="00AD081E">
        <w:rPr>
          <w:rFonts w:ascii="Arial" w:hAnsi="Arial" w:cs="Arial"/>
          <w:noProof/>
          <w:sz w:val="20"/>
        </w:rPr>
        <w:drawing>
          <wp:inline distT="0" distB="0" distL="0" distR="0" wp14:anchorId="692B51E2" wp14:editId="3DF13294">
            <wp:extent cx="352425" cy="38100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352425" cy="381000"/>
                    </a:xfrm>
                    <a:prstGeom prst="rect">
                      <a:avLst/>
                    </a:prstGeom>
                    <a:noFill/>
                    <a:ln>
                      <a:noFill/>
                    </a:ln>
                  </pic:spPr>
                </pic:pic>
              </a:graphicData>
            </a:graphic>
          </wp:inline>
        </w:drawing>
      </w:r>
      <w:r w:rsidRPr="00AD081E">
        <w:rPr>
          <w:b/>
        </w:rPr>
        <w:t>TIP: It is recommended that even if running locally, select “Remote” and enter the IP address of the local machine.</w:t>
      </w:r>
    </w:p>
    <w:p w14:paraId="2A44AADB" w14:textId="77777777" w:rsidR="00AD081E" w:rsidRPr="00AD081E" w:rsidRDefault="00AD081E" w:rsidP="00B71F29">
      <w:pPr>
        <w:pStyle w:val="Appendix5"/>
      </w:pPr>
      <w:r w:rsidRPr="00AD081E">
        <w:t>Simulation Fidelity</w:t>
      </w:r>
    </w:p>
    <w:p w14:paraId="275B4DA1" w14:textId="77777777" w:rsidR="00AD081E" w:rsidRPr="00AD081E" w:rsidRDefault="00AD081E" w:rsidP="00AD081E">
      <w:pPr>
        <w:rPr>
          <w:rFonts w:eastAsia="Calibri"/>
        </w:rPr>
      </w:pPr>
      <w:r w:rsidRPr="00AD081E">
        <w:rPr>
          <w:rFonts w:eastAsia="Calibri"/>
          <w:b/>
        </w:rPr>
        <w:t>Simulation Fidelity, Use realistic missile alignment times</w:t>
      </w:r>
      <w:r w:rsidRPr="00AD081E">
        <w:rPr>
          <w:rFonts w:eastAsia="Calibri"/>
          <w:b/>
        </w:rPr>
        <w:br/>
      </w:r>
      <w:r w:rsidRPr="00AD081E">
        <w:rPr>
          <w:rFonts w:eastAsia="Calibri"/>
        </w:rPr>
        <w:t>Unless there is a compelling reason to do otherwise, this option should be checked. If left unchecked, missiles power up and align instantly, which is highly unrealistic.</w:t>
      </w:r>
    </w:p>
    <w:p w14:paraId="74BDEA8F" w14:textId="77777777" w:rsidR="00AD081E" w:rsidRPr="00AD081E" w:rsidRDefault="00AD081E" w:rsidP="00AD081E">
      <w:pPr>
        <w:rPr>
          <w:rFonts w:eastAsia="Calibri"/>
        </w:rPr>
      </w:pPr>
      <w:r w:rsidRPr="00AD081E">
        <w:rPr>
          <w:rFonts w:eastAsia="Calibri"/>
        </w:rPr>
        <w:t>If you are just using TSRT to get a bunch of missiles in the air in order to test post-launch operations, this option can be unchecked.</w:t>
      </w:r>
    </w:p>
    <w:p w14:paraId="34DC5E52" w14:textId="77777777" w:rsidR="00AD081E" w:rsidRPr="00AD081E" w:rsidRDefault="00AD081E" w:rsidP="00AD081E">
      <w:pPr>
        <w:rPr>
          <w:rFonts w:eastAsia="Calibri"/>
        </w:rPr>
      </w:pPr>
      <w:r w:rsidRPr="00AD081E">
        <w:rPr>
          <w:rFonts w:eastAsia="Calibri"/>
        </w:rPr>
        <w:t>This option should not be unchecked when validating a strike’s timeline.</w:t>
      </w:r>
    </w:p>
    <w:p w14:paraId="051B38B3" w14:textId="77777777" w:rsidR="00AD081E" w:rsidRPr="00AD081E" w:rsidRDefault="00AD081E" w:rsidP="00AD081E">
      <w:pPr>
        <w:rPr>
          <w:rFonts w:eastAsia="Calibri"/>
        </w:rPr>
      </w:pPr>
      <w:r w:rsidRPr="00AD081E">
        <w:rPr>
          <w:rFonts w:eastAsia="Calibri"/>
          <w:b/>
        </w:rPr>
        <w:t>Simulation Fidelity, Check missile inventory when preparing SPEOs</w:t>
      </w:r>
      <w:r w:rsidRPr="00AD081E">
        <w:rPr>
          <w:rFonts w:eastAsia="Calibri"/>
          <w:b/>
        </w:rPr>
        <w:br/>
      </w:r>
      <w:r w:rsidRPr="00AD081E">
        <w:rPr>
          <w:rFonts w:eastAsia="Calibri"/>
        </w:rPr>
        <w:t>Unless there is a compelling reason to do otherwise, this option should be checked. If left unchecked, there is no simulation of mission missile matching and each FRU is assumed to have as many as called for of whatever kind of missile the engagements specify. Despite its name, this option really controls everything to do with simulating missile inventory.</w:t>
      </w:r>
    </w:p>
    <w:p w14:paraId="005AD464" w14:textId="77777777" w:rsidR="00AD081E" w:rsidRPr="00AD081E" w:rsidRDefault="00AD081E" w:rsidP="00AD081E">
      <w:pPr>
        <w:rPr>
          <w:rFonts w:eastAsia="Calibri"/>
        </w:rPr>
      </w:pPr>
      <w:r w:rsidRPr="00AD081E">
        <w:rPr>
          <w:rFonts w:eastAsia="Calibri"/>
        </w:rPr>
        <w:lastRenderedPageBreak/>
        <w:t>Examples of when it would be acceptable to uncheck this option include trying to reproduce a strike for which one does not have the platform missile inventory or just getting missiles in the air (as cited above).</w:t>
      </w:r>
    </w:p>
    <w:p w14:paraId="3792BDFF" w14:textId="77777777" w:rsidR="00AD081E" w:rsidRPr="00AD081E" w:rsidRDefault="00AD081E" w:rsidP="00AD081E">
      <w:pPr>
        <w:rPr>
          <w:rFonts w:eastAsia="Calibri"/>
        </w:rPr>
      </w:pPr>
      <w:r w:rsidRPr="00AD081E">
        <w:rPr>
          <w:rFonts w:eastAsia="Calibri"/>
          <w:b/>
        </w:rPr>
        <w:t>Simulation Fidelity, Allow missile launch in all use states…</w:t>
      </w:r>
      <w:r w:rsidRPr="00AD081E">
        <w:rPr>
          <w:rFonts w:eastAsia="Calibri"/>
        </w:rPr>
        <w:br/>
        <w:t>Unless there is a compelling reason to do otherwise, this option should be unchecked, especially if training to strike use states. If unchecked, a strike must be in the executing state for missiles to launch. If checked, TSRT will also launch missiles while the strike is in a holdfire state (or any other state).</w:t>
      </w:r>
    </w:p>
    <w:p w14:paraId="138FA5ED" w14:textId="77777777" w:rsidR="00AD081E" w:rsidRPr="00AD081E" w:rsidRDefault="00AD081E" w:rsidP="00AD081E">
      <w:pPr>
        <w:rPr>
          <w:rFonts w:eastAsia="Calibri"/>
        </w:rPr>
      </w:pPr>
      <w:r w:rsidRPr="00AD081E">
        <w:rPr>
          <w:rFonts w:eastAsia="Calibri"/>
        </w:rPr>
        <w:t>The original reason for this option was to allow a strike to be rehearsed without actually changing the strike use state. Since the introduction of rehearsal copies of execution folders, this concern is no longer valid, since only the rehearsal copies of the strike packages are changed during execution.</w:t>
      </w:r>
    </w:p>
    <w:p w14:paraId="08DD1F23" w14:textId="77777777" w:rsidR="00AD081E" w:rsidRPr="00AD081E" w:rsidRDefault="00AD081E" w:rsidP="00AD081E">
      <w:pPr>
        <w:rPr>
          <w:rFonts w:eastAsia="Calibri"/>
        </w:rPr>
      </w:pPr>
      <w:r w:rsidRPr="00AD081E">
        <w:rPr>
          <w:rFonts w:eastAsia="Calibri"/>
        </w:rPr>
        <w:t>If you are just using TSRT to get a bunch of missiles in the air in order to test post-launch operations, this option can be checked.</w:t>
      </w:r>
    </w:p>
    <w:p w14:paraId="2600315F" w14:textId="77777777" w:rsidR="00AD081E" w:rsidRPr="00AD081E" w:rsidRDefault="00AD081E" w:rsidP="00AD081E">
      <w:pPr>
        <w:rPr>
          <w:rFonts w:eastAsia="Calibri"/>
        </w:rPr>
      </w:pPr>
      <w:r w:rsidRPr="00AD081E">
        <w:rPr>
          <w:rFonts w:eastAsia="Calibri"/>
          <w:b/>
        </w:rPr>
        <w:t>Simulation Fidelity, Simulate FRU message transmission … for simulated TTWCS nodes</w:t>
      </w:r>
      <w:r w:rsidRPr="00AD081E">
        <w:rPr>
          <w:rFonts w:eastAsia="Calibri"/>
          <w:b/>
        </w:rPr>
        <w:br/>
      </w:r>
      <w:r w:rsidRPr="00AD081E">
        <w:rPr>
          <w:rFonts w:eastAsia="Calibri"/>
        </w:rPr>
        <w:t>Unless there is a compelling reason to do otherwise, this option should be checked. If TED/MDS doesn’t receive these messages during execution, the SMD may show inappropriate states, especially for missiles (things will be colored red that shouldn’t be).</w:t>
      </w:r>
    </w:p>
    <w:p w14:paraId="7072D111" w14:textId="77777777" w:rsidR="00AD081E" w:rsidRPr="00AD081E" w:rsidRDefault="00AD081E" w:rsidP="00AD081E">
      <w:pPr>
        <w:rPr>
          <w:rFonts w:eastAsia="Calibri"/>
        </w:rPr>
      </w:pPr>
      <w:r w:rsidRPr="00AD081E">
        <w:rPr>
          <w:rFonts w:eastAsia="Calibri"/>
        </w:rPr>
        <w:t>If you are just using TSRT to get a bunch of missiles in the air in order to test post-launch operations, this option can be unchecked.</w:t>
      </w:r>
    </w:p>
    <w:p w14:paraId="7FCB64EB" w14:textId="77777777" w:rsidR="00AD081E" w:rsidRPr="00AD081E" w:rsidRDefault="00AD081E" w:rsidP="00AD081E">
      <w:pPr>
        <w:rPr>
          <w:rFonts w:eastAsia="Calibri"/>
        </w:rPr>
      </w:pPr>
      <w:r w:rsidRPr="00AD081E">
        <w:rPr>
          <w:rFonts w:eastAsia="Calibri"/>
          <w:b/>
        </w:rPr>
        <w:t>Simulation Fidelity, Combine all OWR data for an option into one message</w:t>
      </w:r>
      <w:r w:rsidRPr="00AD081E">
        <w:rPr>
          <w:rFonts w:eastAsia="Calibri"/>
          <w:b/>
        </w:rPr>
        <w:br/>
      </w:r>
      <w:r w:rsidRPr="00AD081E">
        <w:rPr>
          <w:rFonts w:eastAsia="Calibri"/>
        </w:rPr>
        <w:t>Unless there is a compelling reason to do otherwise, this option should be unchecked. When unchecked the planned OWR for each engagement for a simulated FRU is sent in a separate message.</w:t>
      </w:r>
    </w:p>
    <w:p w14:paraId="38EB935E" w14:textId="7F117472" w:rsidR="00AD081E" w:rsidRPr="00AD081E" w:rsidRDefault="00AD081E" w:rsidP="00AD081E">
      <w:pPr>
        <w:rPr>
          <w:rFonts w:eastAsia="Calibri"/>
        </w:rPr>
      </w:pPr>
      <w:r w:rsidRPr="00AD081E">
        <w:rPr>
          <w:rFonts w:eastAsia="Calibri"/>
        </w:rPr>
        <w:t xml:space="preserve">TTWCS was originally going to combine the OWR messages for an </w:t>
      </w:r>
      <w:r w:rsidR="00986E97" w:rsidRPr="00AD081E">
        <w:rPr>
          <w:rFonts w:eastAsia="Calibri"/>
        </w:rPr>
        <w:t>option but</w:t>
      </w:r>
      <w:r w:rsidRPr="00AD081E">
        <w:rPr>
          <w:rFonts w:eastAsia="Calibri"/>
        </w:rPr>
        <w:t xml:space="preserve"> later chose not to. Even though they chose not to, they left open the possibility of doing so in the future, so TSRT supports both styles.</w:t>
      </w:r>
    </w:p>
    <w:p w14:paraId="40814AB3" w14:textId="77777777" w:rsidR="00AD081E" w:rsidRPr="00AD081E" w:rsidRDefault="00AD081E" w:rsidP="00AD081E">
      <w:pPr>
        <w:rPr>
          <w:rFonts w:eastAsia="Calibri"/>
        </w:rPr>
      </w:pPr>
      <w:r w:rsidRPr="00AD081E">
        <w:rPr>
          <w:rFonts w:eastAsia="Calibri"/>
        </w:rPr>
        <w:t>This option can be checked to reduce message traffic if realism of message traffic is not a consideration.</w:t>
      </w:r>
    </w:p>
    <w:p w14:paraId="3B1B8ECB" w14:textId="77777777" w:rsidR="00AD081E" w:rsidRPr="00AD081E" w:rsidRDefault="00AD081E" w:rsidP="00AD081E">
      <w:pPr>
        <w:rPr>
          <w:rFonts w:eastAsia="Calibri"/>
          <w:b/>
        </w:rPr>
      </w:pPr>
      <w:r w:rsidRPr="00AD081E">
        <w:rPr>
          <w:rFonts w:eastAsia="Calibri"/>
          <w:b/>
        </w:rPr>
        <w:t>Simulation Fidelity, Manage OWRs as a FRU does</w:t>
      </w:r>
    </w:p>
    <w:p w14:paraId="2B41CC74" w14:textId="77777777" w:rsidR="00AD081E" w:rsidRPr="00AD081E" w:rsidRDefault="00AD081E" w:rsidP="00AD081E">
      <w:pPr>
        <w:rPr>
          <w:rFonts w:eastAsia="Calibri"/>
        </w:rPr>
      </w:pPr>
      <w:r w:rsidRPr="00AD081E">
        <w:rPr>
          <w:rFonts w:eastAsia="Calibri"/>
        </w:rPr>
        <w:t>This option is enabled by default. When a strike revision is received and OWRs are being managed, simulated FRUs re-plan and re-send OWRs only in the case where there is a substantial change in the assignment, such as being launched from a different FRU. If unchecked, OWRs are sent by simulated FRUs for every engagement in response to each strike revision.</w:t>
      </w:r>
    </w:p>
    <w:p w14:paraId="164D354A" w14:textId="77777777" w:rsidR="00AD081E" w:rsidRPr="00AD081E" w:rsidRDefault="00AD081E" w:rsidP="00AD081E">
      <w:pPr>
        <w:rPr>
          <w:rFonts w:eastAsia="Calibri"/>
        </w:rPr>
      </w:pPr>
      <w:r w:rsidRPr="00AD081E">
        <w:rPr>
          <w:rFonts w:eastAsia="Calibri"/>
          <w:b/>
        </w:rPr>
        <w:t>Start Time, Commence rehearsal at first estimated launch time</w:t>
      </w:r>
      <w:r w:rsidRPr="00AD081E">
        <w:rPr>
          <w:rFonts w:eastAsia="Calibri"/>
          <w:b/>
        </w:rPr>
        <w:br/>
      </w:r>
      <w:r w:rsidRPr="00AD081E">
        <w:rPr>
          <w:rFonts w:eastAsia="Calibri"/>
        </w:rPr>
        <w:t xml:space="preserve">When selected, rehearsals of the execution folder will start right at the first estimated launch time. This should be checked only if the rehearsal is practiced for simplistic TSN message scenarios. </w:t>
      </w:r>
    </w:p>
    <w:p w14:paraId="2B0225BC" w14:textId="56857E07" w:rsidR="00AD081E" w:rsidRPr="00AD081E" w:rsidRDefault="00AD081E" w:rsidP="00AD081E">
      <w:pPr>
        <w:rPr>
          <w:rFonts w:eastAsia="Calibri"/>
        </w:rPr>
      </w:pPr>
      <w:r w:rsidRPr="00AD081E">
        <w:rPr>
          <w:rFonts w:eastAsia="Calibri"/>
          <w:b/>
        </w:rPr>
        <w:t>Start Time, Commence rehearsal one hour before first estimated launch</w:t>
      </w:r>
      <w:r w:rsidRPr="00AD081E">
        <w:rPr>
          <w:rFonts w:eastAsia="Calibri"/>
          <w:b/>
        </w:rPr>
        <w:br/>
      </w:r>
      <w:r w:rsidRPr="00AD081E">
        <w:rPr>
          <w:rFonts w:eastAsia="Calibri"/>
        </w:rPr>
        <w:t xml:space="preserve">When selected, rehearsals of the execution folder will start one hour before the first estimated </w:t>
      </w:r>
      <w:r w:rsidRPr="00AD081E">
        <w:rPr>
          <w:rFonts w:eastAsia="Calibri"/>
        </w:rPr>
        <w:lastRenderedPageBreak/>
        <w:t xml:space="preserve">launch time. Unless there is a compelling reason to do otherwise, this option should be checked for strikes containing only DAMA or comms-disabled missiles (including 109C). While it can save some time to start the strike at first launch, there is a risk that missiles launched from simulated FRUs during the earliest portion of the strike will arrive late at their targets. This is because without the simulation of final review (nominally 10 minutes before launch), overwater routes and missile launch times will not be adjusted for the FRU positions within their PLPs. Starting one hour before first launch also allows FRUs to respond with SPEOs and permits the </w:t>
      </w:r>
      <w:r w:rsidR="001603CA">
        <w:rPr>
          <w:rFonts w:eastAsia="Calibri"/>
        </w:rPr>
        <w:t>TSC</w:t>
      </w:r>
      <w:r w:rsidR="001603CA" w:rsidRPr="00AD081E">
        <w:rPr>
          <w:rFonts w:eastAsia="Calibri"/>
        </w:rPr>
        <w:t xml:space="preserve"> </w:t>
      </w:r>
      <w:r w:rsidRPr="00AD081E">
        <w:rPr>
          <w:rFonts w:eastAsia="Calibri"/>
        </w:rPr>
        <w:t>to reassign any reservations with exceptions to a different FRU before the first missile has to be in the air.</w:t>
      </w:r>
    </w:p>
    <w:p w14:paraId="0C6E6C93" w14:textId="37BBBC9A" w:rsidR="00AD081E" w:rsidRPr="00AD081E" w:rsidRDefault="00AD081E" w:rsidP="00AD081E">
      <w:pPr>
        <w:rPr>
          <w:rFonts w:eastAsia="Calibri"/>
          <w:b/>
        </w:rPr>
      </w:pPr>
      <w:r w:rsidRPr="00AD081E">
        <w:rPr>
          <w:rFonts w:eastAsia="Calibri"/>
          <w:b/>
        </w:rPr>
        <w:t>Start Time, Commence rehearsal 72 hours before first estimated launch</w:t>
      </w:r>
      <w:r w:rsidRPr="00AD081E">
        <w:rPr>
          <w:rFonts w:eastAsia="Calibri"/>
          <w:b/>
        </w:rPr>
        <w:br/>
      </w:r>
      <w:r w:rsidRPr="00AD081E">
        <w:rPr>
          <w:rFonts w:eastAsia="Calibri"/>
        </w:rPr>
        <w:t xml:space="preserve">When selected, rehearsals of the execution folder will start 72 hours before the first estimated launch time. Unless there is a compelling reason to do otherwise, this option should be checked for strikes containing ACA missile reservations. This is because the initial ACA filter message must be sent to the NSP within 72 hours before the ACA strike execution time to allow for simulation of coordination with NSP. After the 72-hour filter message is sent, provided that the rehearsal is not constrained to use the real-time clock (see </w:t>
      </w:r>
      <w:hyperlink w:anchor="Real_Time_and_Simulated_Clock" w:history="1">
        <w:r w:rsidRPr="00AD081E">
          <w:rPr>
            <w:rFonts w:eastAsia="Calibri"/>
            <w:color w:val="0000FF"/>
            <w:u w:val="single"/>
          </w:rPr>
          <w:t>Section R.3.2.2.4</w:t>
        </w:r>
      </w:hyperlink>
      <w:r w:rsidRPr="00AD081E">
        <w:rPr>
          <w:rFonts w:eastAsia="Calibri"/>
        </w:rPr>
        <w:t xml:space="preserve">), the TSRT operator can use the </w:t>
      </w:r>
      <w:r w:rsidRPr="00AD081E">
        <w:rPr>
          <w:rFonts w:eastAsia="Calibri"/>
          <w:b/>
        </w:rPr>
        <w:t>Jump to Time</w:t>
      </w:r>
      <w:r w:rsidRPr="00AD081E">
        <w:rPr>
          <w:rFonts w:eastAsia="Calibri"/>
        </w:rPr>
        <w:t xml:space="preserve"> feature of the </w:t>
      </w:r>
      <w:r w:rsidRPr="00AD081E">
        <w:rPr>
          <w:rFonts w:eastAsia="Calibri"/>
          <w:i/>
        </w:rPr>
        <w:t>Scenario Director</w:t>
      </w:r>
      <w:r w:rsidRPr="00AD081E">
        <w:rPr>
          <w:rFonts w:eastAsia="Calibri"/>
        </w:rPr>
        <w:t xml:space="preserve"> window to skip ahead to the 5-hour message time, then after that filter message is sent, jump to the usual starting time one hour before first launch.</w:t>
      </w:r>
    </w:p>
    <w:p w14:paraId="0347FDA0" w14:textId="77777777" w:rsidR="00AD081E" w:rsidRPr="00AD081E" w:rsidRDefault="00AD081E" w:rsidP="00AD081E">
      <w:pPr>
        <w:keepNext/>
        <w:rPr>
          <w:rFonts w:eastAsia="Calibri"/>
        </w:rPr>
      </w:pPr>
      <w:r w:rsidRPr="00AD081E">
        <w:rPr>
          <w:rFonts w:eastAsia="Calibri"/>
        </w:rPr>
        <w:t>In summary, the highest fidelity can be achieved by the following option selections:</w:t>
      </w:r>
    </w:p>
    <w:tbl>
      <w:tblPr>
        <w:tblStyle w:val="TableGrid11"/>
        <w:tblW w:w="0" w:type="auto"/>
        <w:tblLook w:val="04A0" w:firstRow="1" w:lastRow="0" w:firstColumn="1" w:lastColumn="0" w:noHBand="0" w:noVBand="1"/>
      </w:tblPr>
      <w:tblGrid>
        <w:gridCol w:w="395"/>
        <w:gridCol w:w="8516"/>
      </w:tblGrid>
      <w:tr w:rsidR="00AD081E" w:rsidRPr="00AD081E" w14:paraId="4FBC1F3F" w14:textId="77777777" w:rsidTr="0056739E">
        <w:tc>
          <w:tcPr>
            <w:tcW w:w="0" w:type="auto"/>
            <w:vAlign w:val="center"/>
          </w:tcPr>
          <w:p w14:paraId="7BD99BC4" w14:textId="77777777" w:rsidR="00AD081E" w:rsidRPr="00AD081E" w:rsidRDefault="00AD081E" w:rsidP="0056739E">
            <w:pPr>
              <w:keepNext/>
              <w:spacing w:before="60" w:after="60" w:line="240" w:lineRule="auto"/>
              <w:rPr>
                <w:rFonts w:cs="Arial"/>
                <w:b/>
                <w:sz w:val="20"/>
              </w:rPr>
            </w:pPr>
            <w:r w:rsidRPr="00AD081E">
              <w:rPr>
                <w:rFonts w:cs="Arial"/>
                <w:b/>
                <w:sz w:val="20"/>
              </w:rPr>
              <w:sym w:font="Wingdings" w:char="F0FE"/>
            </w:r>
          </w:p>
        </w:tc>
        <w:tc>
          <w:tcPr>
            <w:tcW w:w="0" w:type="auto"/>
            <w:vAlign w:val="center"/>
          </w:tcPr>
          <w:p w14:paraId="6639BAB2" w14:textId="77777777" w:rsidR="00AD081E" w:rsidRPr="00AD081E" w:rsidRDefault="00AD081E" w:rsidP="0056739E">
            <w:pPr>
              <w:keepNext/>
              <w:spacing w:before="60" w:after="60" w:line="240" w:lineRule="auto"/>
              <w:rPr>
                <w:rFonts w:cs="Arial"/>
                <w:sz w:val="20"/>
              </w:rPr>
            </w:pPr>
            <w:r w:rsidRPr="00AD081E">
              <w:rPr>
                <w:rFonts w:cs="Arial"/>
                <w:sz w:val="20"/>
              </w:rPr>
              <w:t>Use realistic missile alignment times</w:t>
            </w:r>
          </w:p>
        </w:tc>
      </w:tr>
      <w:tr w:rsidR="00AD081E" w:rsidRPr="00AD081E" w14:paraId="3F25B072" w14:textId="77777777" w:rsidTr="0056739E">
        <w:tc>
          <w:tcPr>
            <w:tcW w:w="0" w:type="auto"/>
            <w:vAlign w:val="center"/>
          </w:tcPr>
          <w:p w14:paraId="7F0792E4" w14:textId="77777777" w:rsidR="00AD081E" w:rsidRPr="00AD081E" w:rsidRDefault="00AD081E" w:rsidP="0056739E">
            <w:pPr>
              <w:keepNext/>
              <w:spacing w:before="60" w:after="60" w:line="240" w:lineRule="auto"/>
              <w:rPr>
                <w:rFonts w:cs="Arial"/>
                <w:b/>
                <w:sz w:val="20"/>
              </w:rPr>
            </w:pPr>
            <w:r w:rsidRPr="00AD081E">
              <w:rPr>
                <w:rFonts w:cs="Arial"/>
                <w:b/>
                <w:sz w:val="20"/>
              </w:rPr>
              <w:sym w:font="Wingdings" w:char="F0FE"/>
            </w:r>
          </w:p>
        </w:tc>
        <w:tc>
          <w:tcPr>
            <w:tcW w:w="0" w:type="auto"/>
            <w:vAlign w:val="center"/>
          </w:tcPr>
          <w:p w14:paraId="609B4151" w14:textId="77777777" w:rsidR="00AD081E" w:rsidRPr="00AD081E" w:rsidRDefault="00AD081E" w:rsidP="0056739E">
            <w:pPr>
              <w:keepNext/>
              <w:spacing w:before="60" w:after="60" w:line="240" w:lineRule="auto"/>
              <w:rPr>
                <w:rFonts w:cs="Arial"/>
                <w:sz w:val="20"/>
              </w:rPr>
            </w:pPr>
            <w:r w:rsidRPr="00AD081E">
              <w:rPr>
                <w:rFonts w:cs="Arial"/>
                <w:sz w:val="20"/>
              </w:rPr>
              <w:t>Check missile inventory when preparing SPEOs</w:t>
            </w:r>
          </w:p>
        </w:tc>
      </w:tr>
      <w:tr w:rsidR="00AD081E" w:rsidRPr="00AD081E" w14:paraId="18B71AF3" w14:textId="77777777" w:rsidTr="0056739E">
        <w:tc>
          <w:tcPr>
            <w:tcW w:w="0" w:type="auto"/>
            <w:vAlign w:val="center"/>
          </w:tcPr>
          <w:p w14:paraId="23EECE19" w14:textId="77777777" w:rsidR="00AD081E" w:rsidRPr="00AD081E" w:rsidRDefault="00AD081E" w:rsidP="0056739E">
            <w:pPr>
              <w:keepNext/>
              <w:spacing w:before="60" w:after="60" w:line="240" w:lineRule="auto"/>
              <w:rPr>
                <w:rFonts w:cs="Arial"/>
                <w:b/>
                <w:sz w:val="20"/>
              </w:rPr>
            </w:pPr>
            <w:r w:rsidRPr="00AD081E">
              <w:rPr>
                <w:rFonts w:cs="Arial"/>
                <w:b/>
                <w:sz w:val="20"/>
              </w:rPr>
              <w:sym w:font="Wingdings" w:char="F0A8"/>
            </w:r>
          </w:p>
        </w:tc>
        <w:tc>
          <w:tcPr>
            <w:tcW w:w="0" w:type="auto"/>
            <w:vAlign w:val="center"/>
          </w:tcPr>
          <w:p w14:paraId="1B654FE7" w14:textId="77777777" w:rsidR="00AD081E" w:rsidRPr="00AD081E" w:rsidRDefault="00AD081E" w:rsidP="0056739E">
            <w:pPr>
              <w:keepNext/>
              <w:spacing w:before="60" w:after="60" w:line="240" w:lineRule="auto"/>
              <w:rPr>
                <w:rFonts w:cs="Arial"/>
                <w:sz w:val="20"/>
              </w:rPr>
            </w:pPr>
            <w:r w:rsidRPr="00AD081E">
              <w:rPr>
                <w:rFonts w:cs="Arial"/>
                <w:sz w:val="20"/>
              </w:rPr>
              <w:t>Allow missile launch in all use states…</w:t>
            </w:r>
          </w:p>
        </w:tc>
      </w:tr>
      <w:tr w:rsidR="00AD081E" w:rsidRPr="00AD081E" w14:paraId="0928869C" w14:textId="77777777" w:rsidTr="0056739E">
        <w:tc>
          <w:tcPr>
            <w:tcW w:w="0" w:type="auto"/>
            <w:vAlign w:val="center"/>
          </w:tcPr>
          <w:p w14:paraId="4391A170" w14:textId="77777777" w:rsidR="00AD081E" w:rsidRPr="00AD081E" w:rsidRDefault="00AD081E" w:rsidP="0056739E">
            <w:pPr>
              <w:keepNext/>
              <w:spacing w:before="60" w:after="60" w:line="240" w:lineRule="auto"/>
              <w:rPr>
                <w:rFonts w:cs="Arial"/>
                <w:b/>
                <w:sz w:val="20"/>
              </w:rPr>
            </w:pPr>
            <w:r w:rsidRPr="00AD081E">
              <w:rPr>
                <w:rFonts w:cs="Arial"/>
                <w:b/>
                <w:sz w:val="20"/>
              </w:rPr>
              <w:sym w:font="Wingdings" w:char="F0FE"/>
            </w:r>
          </w:p>
        </w:tc>
        <w:tc>
          <w:tcPr>
            <w:tcW w:w="0" w:type="auto"/>
            <w:vAlign w:val="center"/>
          </w:tcPr>
          <w:p w14:paraId="44EB1244" w14:textId="77777777" w:rsidR="00AD081E" w:rsidRPr="00AD081E" w:rsidRDefault="00AD081E" w:rsidP="0056739E">
            <w:pPr>
              <w:keepNext/>
              <w:spacing w:before="60" w:after="60" w:line="240" w:lineRule="auto"/>
              <w:rPr>
                <w:rFonts w:cs="Arial"/>
                <w:sz w:val="20"/>
              </w:rPr>
            </w:pPr>
            <w:r w:rsidRPr="00AD081E">
              <w:rPr>
                <w:rFonts w:cs="Arial"/>
                <w:sz w:val="20"/>
              </w:rPr>
              <w:t>Simulate FRU message transmission … for simulated TTWCS nodes</w:t>
            </w:r>
          </w:p>
        </w:tc>
      </w:tr>
      <w:tr w:rsidR="00AD081E" w:rsidRPr="00AD081E" w14:paraId="452374AD" w14:textId="77777777" w:rsidTr="0056739E">
        <w:tc>
          <w:tcPr>
            <w:tcW w:w="0" w:type="auto"/>
            <w:vAlign w:val="center"/>
          </w:tcPr>
          <w:p w14:paraId="72C0C238" w14:textId="77777777" w:rsidR="00AD081E" w:rsidRPr="00AD081E" w:rsidRDefault="00AD081E" w:rsidP="0056739E">
            <w:pPr>
              <w:keepNext/>
              <w:spacing w:before="60" w:after="60" w:line="240" w:lineRule="auto"/>
              <w:rPr>
                <w:rFonts w:cs="Arial"/>
                <w:b/>
                <w:sz w:val="20"/>
              </w:rPr>
            </w:pPr>
            <w:r w:rsidRPr="00AD081E">
              <w:rPr>
                <w:rFonts w:cs="Arial"/>
                <w:b/>
                <w:sz w:val="20"/>
              </w:rPr>
              <w:sym w:font="Wingdings" w:char="F0FE"/>
            </w:r>
          </w:p>
        </w:tc>
        <w:tc>
          <w:tcPr>
            <w:tcW w:w="0" w:type="auto"/>
            <w:vAlign w:val="center"/>
          </w:tcPr>
          <w:p w14:paraId="67E7DD58" w14:textId="77777777" w:rsidR="00AD081E" w:rsidRPr="00AD081E" w:rsidRDefault="00AD081E" w:rsidP="0056739E">
            <w:pPr>
              <w:keepNext/>
              <w:spacing w:before="60" w:after="60" w:line="240" w:lineRule="auto"/>
              <w:rPr>
                <w:rFonts w:cs="Arial"/>
                <w:sz w:val="20"/>
              </w:rPr>
            </w:pPr>
            <w:r w:rsidRPr="00AD081E">
              <w:rPr>
                <w:rFonts w:cs="Arial"/>
                <w:sz w:val="20"/>
              </w:rPr>
              <w:t>Commence rehearsal one hour before first estimated launch…</w:t>
            </w:r>
          </w:p>
        </w:tc>
      </w:tr>
      <w:tr w:rsidR="00AD081E" w:rsidRPr="00AD081E" w14:paraId="0FEA2D5F" w14:textId="77777777" w:rsidTr="0056739E">
        <w:tc>
          <w:tcPr>
            <w:tcW w:w="0" w:type="auto"/>
            <w:vAlign w:val="center"/>
          </w:tcPr>
          <w:p w14:paraId="7C3FE66A" w14:textId="77777777" w:rsidR="00AD081E" w:rsidRPr="00AD081E" w:rsidRDefault="00AD081E" w:rsidP="0056739E">
            <w:pPr>
              <w:keepNext/>
              <w:spacing w:before="60" w:after="60" w:line="240" w:lineRule="auto"/>
              <w:rPr>
                <w:rFonts w:cs="Arial"/>
                <w:b/>
                <w:sz w:val="20"/>
              </w:rPr>
            </w:pPr>
            <w:r w:rsidRPr="00AD081E">
              <w:rPr>
                <w:rFonts w:cs="Arial"/>
                <w:b/>
                <w:sz w:val="20"/>
              </w:rPr>
              <w:sym w:font="Wingdings" w:char="F0A8"/>
            </w:r>
          </w:p>
        </w:tc>
        <w:tc>
          <w:tcPr>
            <w:tcW w:w="0" w:type="auto"/>
            <w:vAlign w:val="center"/>
          </w:tcPr>
          <w:p w14:paraId="3A775AFB" w14:textId="77777777" w:rsidR="00AD081E" w:rsidRPr="00AD081E" w:rsidRDefault="00AD081E" w:rsidP="0056739E">
            <w:pPr>
              <w:keepNext/>
              <w:spacing w:before="60" w:after="60" w:line="240" w:lineRule="auto"/>
              <w:rPr>
                <w:rFonts w:cs="Arial"/>
                <w:sz w:val="20"/>
              </w:rPr>
            </w:pPr>
            <w:r w:rsidRPr="00AD081E">
              <w:rPr>
                <w:rFonts w:cs="Arial"/>
                <w:sz w:val="20"/>
              </w:rPr>
              <w:t>Combine all OWR data for an option into one message</w:t>
            </w:r>
          </w:p>
        </w:tc>
      </w:tr>
      <w:tr w:rsidR="00AD081E" w:rsidRPr="00AD081E" w14:paraId="6D08E47A" w14:textId="77777777" w:rsidTr="0056739E">
        <w:tc>
          <w:tcPr>
            <w:tcW w:w="0" w:type="auto"/>
            <w:vAlign w:val="center"/>
          </w:tcPr>
          <w:p w14:paraId="25DB555A" w14:textId="77777777" w:rsidR="00AD081E" w:rsidRPr="00AD081E" w:rsidRDefault="00AD081E" w:rsidP="0056739E">
            <w:pPr>
              <w:keepNext/>
              <w:spacing w:before="60" w:after="60" w:line="240" w:lineRule="auto"/>
              <w:rPr>
                <w:rFonts w:cs="Arial"/>
                <w:b/>
                <w:sz w:val="20"/>
              </w:rPr>
            </w:pPr>
            <w:r w:rsidRPr="00AD081E">
              <w:rPr>
                <w:rFonts w:cs="Arial"/>
                <w:b/>
                <w:sz w:val="20"/>
              </w:rPr>
              <w:sym w:font="Wingdings" w:char="F0FE"/>
            </w:r>
          </w:p>
        </w:tc>
        <w:tc>
          <w:tcPr>
            <w:tcW w:w="0" w:type="auto"/>
            <w:vAlign w:val="center"/>
          </w:tcPr>
          <w:p w14:paraId="6A662E3E" w14:textId="77777777" w:rsidR="00AD081E" w:rsidRPr="00AD081E" w:rsidRDefault="00AD081E" w:rsidP="0056739E">
            <w:pPr>
              <w:keepNext/>
              <w:spacing w:before="60" w:after="60" w:line="240" w:lineRule="auto"/>
              <w:rPr>
                <w:rFonts w:cs="Arial"/>
                <w:sz w:val="20"/>
              </w:rPr>
            </w:pPr>
            <w:r w:rsidRPr="00AD081E">
              <w:rPr>
                <w:rFonts w:cs="Arial"/>
                <w:sz w:val="20"/>
              </w:rPr>
              <w:t>Manage OWRs as a FRU does</w:t>
            </w:r>
          </w:p>
        </w:tc>
      </w:tr>
      <w:tr w:rsidR="00AD081E" w:rsidRPr="00AD081E" w14:paraId="75DA52A8" w14:textId="77777777" w:rsidTr="0056739E">
        <w:tc>
          <w:tcPr>
            <w:tcW w:w="0" w:type="auto"/>
            <w:vAlign w:val="center"/>
          </w:tcPr>
          <w:p w14:paraId="09320200" w14:textId="77777777" w:rsidR="00AD081E" w:rsidRPr="00AD081E" w:rsidRDefault="00AD081E" w:rsidP="0056739E">
            <w:pPr>
              <w:keepNext/>
              <w:spacing w:before="60" w:after="60" w:line="240" w:lineRule="auto"/>
              <w:rPr>
                <w:rFonts w:cs="Arial"/>
                <w:b/>
                <w:sz w:val="20"/>
              </w:rPr>
            </w:pPr>
            <w:r w:rsidRPr="00AD081E">
              <w:rPr>
                <w:rFonts w:cs="Arial"/>
                <w:b/>
                <w:sz w:val="20"/>
              </w:rPr>
              <w:sym w:font="Wingdings" w:char="F0FE"/>
            </w:r>
          </w:p>
        </w:tc>
        <w:tc>
          <w:tcPr>
            <w:tcW w:w="0" w:type="auto"/>
            <w:vAlign w:val="center"/>
          </w:tcPr>
          <w:p w14:paraId="5E838035" w14:textId="77777777" w:rsidR="00AD081E" w:rsidRPr="00AD081E" w:rsidRDefault="00AD081E" w:rsidP="0056739E">
            <w:pPr>
              <w:keepNext/>
              <w:spacing w:before="60" w:after="60" w:line="240" w:lineRule="auto"/>
              <w:rPr>
                <w:rFonts w:cs="Arial"/>
                <w:sz w:val="20"/>
              </w:rPr>
            </w:pPr>
            <w:r w:rsidRPr="00AD081E">
              <w:rPr>
                <w:rFonts w:cs="Arial"/>
                <w:sz w:val="20"/>
              </w:rPr>
              <w:t>Commence rehearsal 72 hours before first estimated launch (for strikes with ACA missile reservations)</w:t>
            </w:r>
          </w:p>
        </w:tc>
      </w:tr>
    </w:tbl>
    <w:p w14:paraId="53A1FC54" w14:textId="77777777" w:rsidR="00AD081E" w:rsidRPr="00AD081E" w:rsidRDefault="00AD081E" w:rsidP="00B71F29">
      <w:pPr>
        <w:pStyle w:val="Appendix4"/>
        <w:ind w:left="360"/>
      </w:pPr>
      <w:r w:rsidRPr="00AD081E">
        <w:t>TSRT Scenario Setup</w:t>
      </w:r>
    </w:p>
    <w:p w14:paraId="085A01C1" w14:textId="77777777" w:rsidR="00AD081E" w:rsidRPr="00AD081E" w:rsidRDefault="00AD081E" w:rsidP="00AD081E">
      <w:pPr>
        <w:rPr>
          <w:rFonts w:eastAsia="Calibri"/>
        </w:rPr>
      </w:pPr>
      <w:r w:rsidRPr="00AD081E">
        <w:rPr>
          <w:rFonts w:eastAsia="Calibri"/>
        </w:rPr>
        <w:t>TSRT scenarios apply a pre-specified series of events (usually mishaps of various kinds) to be applied during a rehearsal. They are used during training to introduce a repeatable sequence of failures into a training exercise.</w:t>
      </w:r>
    </w:p>
    <w:p w14:paraId="0001F76C" w14:textId="77777777" w:rsidR="00AD081E" w:rsidRPr="00AD081E" w:rsidRDefault="00AD081E" w:rsidP="00AD081E">
      <w:pPr>
        <w:rPr>
          <w:rFonts w:eastAsia="Calibri"/>
        </w:rPr>
      </w:pPr>
      <w:r w:rsidRPr="00AD081E">
        <w:rPr>
          <w:rFonts w:eastAsia="Calibri"/>
        </w:rPr>
        <w:t>Scenarios can also be used during testing to force the exercise of TSRT features that would not ordinarily be exercised. For example, a PST (Precision Strike Tomahawk) failure can be introduced at a specific time to cause a simulated missile to change branch to a PST divert route in order to test how an MDS responds to receiving the associated branch change event health and status report from the missile.</w:t>
      </w:r>
    </w:p>
    <w:p w14:paraId="667DA773" w14:textId="77777777" w:rsidR="00AD081E" w:rsidRPr="00AD081E" w:rsidRDefault="00AD081E" w:rsidP="00AD081E">
      <w:pPr>
        <w:rPr>
          <w:rFonts w:eastAsia="Calibri"/>
        </w:rPr>
      </w:pPr>
      <w:r w:rsidRPr="00AD081E">
        <w:rPr>
          <w:rFonts w:eastAsia="Calibri"/>
        </w:rPr>
        <w:t xml:space="preserve">Scenarios are specific to a parent execution folder (a tactical or training execution folder) and collectively all of its rehearsal copies. Scenarios are stored on the TSRT’s TED, so the scenarios </w:t>
      </w:r>
      <w:r w:rsidRPr="00AD081E">
        <w:rPr>
          <w:rFonts w:eastAsia="Calibri"/>
        </w:rPr>
        <w:lastRenderedPageBreak/>
        <w:t xml:space="preserve">available for a particular execution folder depend on which TSRT will be used to rehearse the execution folder. For this reason, if scenarios are to be used, it is advisable to set the TSRT location on the </w:t>
      </w:r>
      <w:r w:rsidRPr="00AD081E">
        <w:rPr>
          <w:rFonts w:eastAsia="Calibri"/>
          <w:b/>
          <w:i/>
        </w:rPr>
        <w:t>TSRT</w:t>
      </w:r>
      <w:r w:rsidRPr="00AD081E">
        <w:rPr>
          <w:rFonts w:eastAsia="Calibri"/>
        </w:rPr>
        <w:t xml:space="preserve"> tab before specifying the scenario in the </w:t>
      </w:r>
      <w:r w:rsidRPr="00AD081E">
        <w:rPr>
          <w:rFonts w:eastAsia="Calibri"/>
          <w:b/>
          <w:i/>
        </w:rPr>
        <w:t>Scenario Setup</w:t>
      </w:r>
      <w:r w:rsidRPr="00AD081E">
        <w:rPr>
          <w:rFonts w:eastAsia="Calibri"/>
        </w:rPr>
        <w:t xml:space="preserve"> tab.</w:t>
      </w:r>
    </w:p>
    <w:p w14:paraId="7D8DCFFA" w14:textId="77777777" w:rsidR="00AD081E" w:rsidRPr="00AD081E" w:rsidRDefault="00AD081E" w:rsidP="00AD081E">
      <w:pPr>
        <w:rPr>
          <w:rFonts w:eastAsia="Calibri"/>
        </w:rPr>
      </w:pPr>
      <w:r w:rsidRPr="00AD081E">
        <w:rPr>
          <w:rFonts w:eastAsia="Calibri"/>
          <w:b/>
        </w:rPr>
        <w:t>Strike Simulation Setup</w:t>
      </w:r>
      <w:r w:rsidRPr="00AD081E">
        <w:rPr>
          <w:rFonts w:eastAsia="Calibri"/>
          <w:b/>
        </w:rPr>
        <w:br/>
      </w:r>
      <w:r w:rsidRPr="00AD081E">
        <w:rPr>
          <w:rFonts w:eastAsia="Calibri"/>
        </w:rPr>
        <w:t xml:space="preserve">Click on the </w:t>
      </w:r>
      <w:r w:rsidRPr="00AD081E">
        <w:rPr>
          <w:rFonts w:eastAsia="Calibri"/>
          <w:b/>
          <w:i/>
        </w:rPr>
        <w:t>Scenario Setup</w:t>
      </w:r>
      <w:r w:rsidRPr="00AD081E">
        <w:rPr>
          <w:rFonts w:eastAsia="Calibri"/>
        </w:rPr>
        <w:t xml:space="preserve"> tab.</w:t>
      </w:r>
    </w:p>
    <w:p w14:paraId="4470926C" w14:textId="77777777" w:rsidR="00AD081E" w:rsidRPr="00AD081E" w:rsidRDefault="00AD081E" w:rsidP="00B71F29">
      <w:pPr>
        <w:pStyle w:val="Appendix5"/>
      </w:pPr>
      <w:bookmarkStart w:id="8293" w:name="Scenario_Selection"/>
      <w:bookmarkEnd w:id="8293"/>
      <w:r w:rsidRPr="00AD081E">
        <w:t>Scenario Selection</w:t>
      </w:r>
    </w:p>
    <w:p w14:paraId="2DAE0297" w14:textId="77777777" w:rsidR="00AD081E" w:rsidRPr="00AD081E" w:rsidRDefault="00AD081E" w:rsidP="00AD081E">
      <w:pPr>
        <w:rPr>
          <w:rFonts w:eastAsia="Calibri"/>
        </w:rPr>
      </w:pPr>
      <w:r w:rsidRPr="00AD081E">
        <w:rPr>
          <w:rFonts w:eastAsia="Calibri"/>
        </w:rPr>
        <w:t xml:space="preserve">Unless you intend to use a previously established scenario, use the </w:t>
      </w:r>
      <w:r w:rsidRPr="00AD081E">
        <w:rPr>
          <w:rFonts w:eastAsia="Calibri"/>
          <w:b/>
        </w:rPr>
        <w:t>New</w:t>
      </w:r>
      <w:r w:rsidRPr="00AD081E">
        <w:rPr>
          <w:rFonts w:eastAsia="Calibri"/>
        </w:rPr>
        <w:t xml:space="preserve"> setting for this option.</w:t>
      </w:r>
    </w:p>
    <w:p w14:paraId="07A62E08" w14:textId="3A4279DB" w:rsidR="00AD081E" w:rsidRPr="00AD081E" w:rsidRDefault="00AD081E" w:rsidP="00AD081E">
      <w:pPr>
        <w:rPr>
          <w:rFonts w:eastAsia="Calibri"/>
        </w:rPr>
      </w:pPr>
      <w:r w:rsidRPr="00AD081E">
        <w:rPr>
          <w:rFonts w:eastAsia="Calibri"/>
        </w:rPr>
        <w:t xml:space="preserve">If a specific scenario is desired, select the </w:t>
      </w:r>
      <w:r w:rsidRPr="00AD081E">
        <w:rPr>
          <w:rFonts w:eastAsia="Calibri"/>
          <w:b/>
        </w:rPr>
        <w:t>Existing</w:t>
      </w:r>
      <w:r w:rsidRPr="00AD081E">
        <w:rPr>
          <w:rFonts w:eastAsia="Calibri"/>
        </w:rPr>
        <w:t xml:space="preserve"> radio button, then choose the scenario by name from the </w:t>
      </w:r>
      <w:r w:rsidR="000D0CA9" w:rsidRPr="00AD081E">
        <w:rPr>
          <w:rFonts w:eastAsia="Calibri"/>
        </w:rPr>
        <w:t>drop-down</w:t>
      </w:r>
      <w:r w:rsidRPr="00AD081E">
        <w:rPr>
          <w:rFonts w:eastAsia="Calibri"/>
        </w:rPr>
        <w:t xml:space="preserve"> list to the right of the </w:t>
      </w:r>
      <w:r w:rsidRPr="00AD081E">
        <w:rPr>
          <w:rFonts w:eastAsia="Calibri"/>
          <w:b/>
        </w:rPr>
        <w:t>Existing</w:t>
      </w:r>
      <w:r w:rsidRPr="00AD081E">
        <w:rPr>
          <w:rFonts w:eastAsia="Calibri"/>
        </w:rPr>
        <w:t xml:space="preserve"> radio button.</w:t>
      </w:r>
    </w:p>
    <w:p w14:paraId="0D408DD9" w14:textId="77777777" w:rsidR="00AD081E" w:rsidRPr="00AD081E" w:rsidRDefault="00AD081E" w:rsidP="00AD081E">
      <w:pPr>
        <w:tabs>
          <w:tab w:val="left" w:pos="720"/>
        </w:tabs>
        <w:jc w:val="center"/>
      </w:pPr>
      <w:r w:rsidRPr="00AD081E">
        <w:rPr>
          <w:noProof/>
        </w:rPr>
        <w:drawing>
          <wp:inline distT="0" distB="0" distL="0" distR="0" wp14:anchorId="692E2BAF" wp14:editId="6B3E1D44">
            <wp:extent cx="2743200" cy="4471416"/>
            <wp:effectExtent l="0" t="0" r="0" b="5715"/>
            <wp:docPr id="298" name="Picture 29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98" descr="Graphical user interface, text, application&#10;&#10;Description automatically generated"/>
                    <pic:cNvPicPr/>
                  </pic:nvPicPr>
                  <pic:blipFill rotWithShape="1">
                    <a:blip cstate="screen">
                      <a:extLst>
                        <a:ext uri="{28A0092B-C50C-407E-A947-70E740481C1C}">
                          <a14:useLocalDpi xmlns:a14="http://schemas.microsoft.com/office/drawing/2010/main"/>
                        </a:ext>
                      </a:extLst>
                    </a:blip>
                    <a:srcRect/>
                    <a:stretch/>
                  </pic:blipFill>
                  <pic:spPr bwMode="auto">
                    <a:xfrm>
                      <a:off x="0" y="0"/>
                      <a:ext cx="2743200" cy="4471416"/>
                    </a:xfrm>
                    <a:prstGeom prst="rect">
                      <a:avLst/>
                    </a:prstGeom>
                    <a:ln>
                      <a:noFill/>
                    </a:ln>
                    <a:extLst>
                      <a:ext uri="{53640926-AAD7-44D8-BBD7-CCE9431645EC}">
                        <a14:shadowObscured xmlns:a14="http://schemas.microsoft.com/office/drawing/2010/main"/>
                      </a:ext>
                    </a:extLst>
                  </pic:spPr>
                </pic:pic>
              </a:graphicData>
            </a:graphic>
          </wp:inline>
        </w:drawing>
      </w:r>
    </w:p>
    <w:p w14:paraId="008E865E" w14:textId="77777777" w:rsidR="00AD081E" w:rsidRPr="00AD081E" w:rsidRDefault="00AD081E" w:rsidP="00B71F29">
      <w:pPr>
        <w:pStyle w:val="Appendix5"/>
      </w:pPr>
      <w:r w:rsidRPr="00AD081E">
        <w:t>Live and S</w:t>
      </w:r>
      <w:bookmarkStart w:id="8294" w:name="Live"/>
      <w:bookmarkEnd w:id="8294"/>
      <w:r w:rsidRPr="00AD081E">
        <w:t>imulated FRUs</w:t>
      </w:r>
    </w:p>
    <w:p w14:paraId="76C57107" w14:textId="77777777" w:rsidR="00AD081E" w:rsidRPr="00AD081E" w:rsidRDefault="00AD081E" w:rsidP="00AD081E">
      <w:pPr>
        <w:rPr>
          <w:rFonts w:eastAsia="Calibri"/>
        </w:rPr>
      </w:pPr>
      <w:r w:rsidRPr="00AD081E">
        <w:rPr>
          <w:rFonts w:eastAsia="Calibri"/>
        </w:rPr>
        <w:t>Whether or not an existing scenario is used, each of the FRUs participating in the strikes contained in the strike execution folder may be designated as either simulated or live in the FRU Participants section of the dialog.</w:t>
      </w:r>
    </w:p>
    <w:p w14:paraId="0F8E122F" w14:textId="5A40B2F9" w:rsidR="00AD081E" w:rsidRPr="00AD081E" w:rsidRDefault="00AD081E" w:rsidP="00AD081E">
      <w:pPr>
        <w:rPr>
          <w:rFonts w:eastAsia="Calibri"/>
        </w:rPr>
      </w:pPr>
      <w:r w:rsidRPr="00AD081E">
        <w:rPr>
          <w:rFonts w:eastAsia="Calibri"/>
        </w:rPr>
        <w:t xml:space="preserve">Simulated FRUs are handled entirely by TSRT. TSRT assigns engagements to launch cells, plans overwater routes, sends strike exceptions on behalf of the simulated FRU, launches simulated </w:t>
      </w:r>
      <w:r w:rsidRPr="00AD081E">
        <w:rPr>
          <w:rFonts w:eastAsia="Calibri"/>
        </w:rPr>
        <w:lastRenderedPageBreak/>
        <w:t xml:space="preserve">missiles, and sends launch success (or failure) reports from the simulated FRU. To do this, TSRT needs to receive all messages sent to the simulated FRUs from live participants (the </w:t>
      </w:r>
      <w:r w:rsidR="001603CA">
        <w:rPr>
          <w:rFonts w:eastAsia="Calibri"/>
        </w:rPr>
        <w:t>TSC</w:t>
      </w:r>
      <w:r w:rsidRPr="00AD081E">
        <w:rPr>
          <w:rFonts w:eastAsia="Calibri"/>
        </w:rPr>
        <w:t>, etc.).</w:t>
      </w:r>
    </w:p>
    <w:p w14:paraId="585C3EA9" w14:textId="6C67C7E3" w:rsidR="00AD081E" w:rsidRDefault="00AD081E" w:rsidP="00AD081E">
      <w:pPr>
        <w:rPr>
          <w:rFonts w:eastAsia="Calibri"/>
        </w:rPr>
      </w:pPr>
      <w:r w:rsidRPr="00AD081E">
        <w:rPr>
          <w:rFonts w:eastAsia="Calibri"/>
        </w:rPr>
        <w:t xml:space="preserve">Live FRUs are not managed by TSRT. TSRT will launch simulated missiles on behalf of a live FRU when it receives a report of a launch success, or too much time elapses after a planned launch time without a report (see </w:t>
      </w:r>
      <w:hyperlink w:anchor="_S-2.3__TSRT" w:history="1">
        <w:r w:rsidRPr="00AD081E">
          <w:rPr>
            <w:rFonts w:eastAsia="Calibri"/>
            <w:color w:val="0000FF"/>
            <w:u w:val="single"/>
          </w:rPr>
          <w:t>Section R.2.3</w:t>
        </w:r>
      </w:hyperlink>
      <w:r w:rsidRPr="00AD081E">
        <w:rPr>
          <w:rFonts w:eastAsia="Calibri"/>
        </w:rPr>
        <w:t>), but TSRT will not transmit messages on behalf of the live FRU. To set up the missiles, TSRT needs to receive all messages sent to the live FRU (strike revisions, strike use state changes, SEMs, etc.) and all messages sent by the live FRU (SPEOs, OWRs, LERs, etc.).</w:t>
      </w:r>
    </w:p>
    <w:p w14:paraId="59D6B8BE" w14:textId="77777777" w:rsidR="00F220BD" w:rsidRDefault="00F220BD" w:rsidP="003D7B03">
      <w:pPr>
        <w:keepNext/>
        <w:pBdr>
          <w:top w:val="single" w:sz="12" w:space="1" w:color="auto"/>
          <w:left w:val="single" w:sz="12" w:space="4" w:color="auto"/>
          <w:bottom w:val="single" w:sz="12" w:space="1" w:color="auto"/>
          <w:right w:val="single" w:sz="12" w:space="4" w:color="auto"/>
        </w:pBdr>
        <w:shd w:val="clear" w:color="auto" w:fill="D9D9D9"/>
        <w:spacing w:after="0"/>
        <w:jc w:val="center"/>
        <w:rPr>
          <w:b/>
        </w:rPr>
      </w:pPr>
      <w:r>
        <w:rPr>
          <w:b/>
        </w:rPr>
        <w:t>Note:</w:t>
      </w:r>
    </w:p>
    <w:p w14:paraId="1D7A3761" w14:textId="77777777" w:rsidR="00F220BD" w:rsidRDefault="00F220BD" w:rsidP="003D7B03">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Pr>
          <w:b/>
          <w:bCs/>
        </w:rPr>
        <w:t xml:space="preserve">In scenarios where a Maritime Strike Execution Folder begins from an incoming SEP or MST H&amp;S message, the </w:t>
      </w:r>
      <w:r>
        <w:rPr>
          <w:b/>
          <w:bCs/>
          <w:i/>
          <w:iCs/>
        </w:rPr>
        <w:t xml:space="preserve">TSRT Strike Simulation Setup </w:t>
      </w:r>
      <w:r>
        <w:rPr>
          <w:b/>
          <w:bCs/>
        </w:rPr>
        <w:t xml:space="preserve">is automatically created and does not have knowledge of </w:t>
      </w:r>
      <w:r>
        <w:rPr>
          <w:b/>
          <w:bCs/>
          <w:i/>
          <w:iCs/>
        </w:rPr>
        <w:t>Strike Participants</w:t>
      </w:r>
      <w:r>
        <w:rPr>
          <w:b/>
          <w:bCs/>
        </w:rPr>
        <w:t xml:space="preserve"> as defined in the </w:t>
      </w:r>
      <w:r>
        <w:rPr>
          <w:b/>
          <w:bCs/>
          <w:i/>
          <w:iCs/>
        </w:rPr>
        <w:t>TSRT Scenario Setup</w:t>
      </w:r>
      <w:r>
        <w:rPr>
          <w:b/>
          <w:bCs/>
        </w:rPr>
        <w:t xml:space="preserve"> tab.</w:t>
      </w:r>
    </w:p>
    <w:p w14:paraId="74AB3C5B" w14:textId="77777777" w:rsidR="00F220BD" w:rsidRDefault="00F220BD" w:rsidP="003D7B03">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rPr>
      </w:pPr>
    </w:p>
    <w:p w14:paraId="68377122" w14:textId="77777777" w:rsidR="00F220BD" w:rsidRDefault="00F220BD" w:rsidP="003D7B03">
      <w:pPr>
        <w:pBdr>
          <w:top w:val="single" w:sz="12" w:space="1" w:color="auto"/>
          <w:left w:val="single" w:sz="12" w:space="4" w:color="auto"/>
          <w:bottom w:val="single" w:sz="12" w:space="1" w:color="auto"/>
          <w:right w:val="single" w:sz="12" w:space="4" w:color="auto"/>
        </w:pBdr>
        <w:shd w:val="clear" w:color="auto" w:fill="D9D9D9"/>
        <w:spacing w:after="0"/>
        <w:jc w:val="center"/>
        <w:rPr>
          <w:b/>
        </w:rPr>
      </w:pPr>
      <w:r>
        <w:rPr>
          <w:b/>
        </w:rPr>
        <w:t xml:space="preserve">Use the </w:t>
      </w:r>
      <w:r>
        <w:rPr>
          <w:b/>
          <w:i/>
          <w:iCs/>
        </w:rPr>
        <w:t>Nodes Tool &gt;</w:t>
      </w:r>
      <w:r>
        <w:rPr>
          <w:b/>
        </w:rPr>
        <w:t xml:space="preserve"> </w:t>
      </w:r>
      <w:r>
        <w:rPr>
          <w:b/>
          <w:i/>
          <w:iCs/>
        </w:rPr>
        <w:t>Own Node &gt; Maritime</w:t>
      </w:r>
      <w:r>
        <w:rPr>
          <w:b/>
        </w:rPr>
        <w:t xml:space="preserve"> tab to designate Live FRUs.</w:t>
      </w:r>
    </w:p>
    <w:p w14:paraId="5A3D9471" w14:textId="29281115" w:rsidR="003D7B03" w:rsidRPr="003D7B03" w:rsidRDefault="003D7B03" w:rsidP="003D7B03">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Pr>
          <w:b/>
          <w:bCs/>
        </w:rPr>
        <w:t xml:space="preserve">(See </w:t>
      </w:r>
      <w:hyperlink w:anchor="Simulated" w:history="1">
        <w:r w:rsidRPr="000E2A47">
          <w:rPr>
            <w:rStyle w:val="Hyperlink"/>
            <w:b/>
            <w:bCs/>
          </w:rPr>
          <w:t>Section R.3.2.4.2</w:t>
        </w:r>
      </w:hyperlink>
      <w:r>
        <w:rPr>
          <w:b/>
          <w:bCs/>
        </w:rPr>
        <w:t>)</w:t>
      </w:r>
    </w:p>
    <w:p w14:paraId="6937195E" w14:textId="77777777" w:rsidR="003D7B03" w:rsidRDefault="003D7B03" w:rsidP="003D7B03">
      <w:pPr>
        <w:spacing w:after="0"/>
        <w:jc w:val="center"/>
        <w:rPr>
          <w:b/>
          <w:bCs/>
        </w:rPr>
      </w:pPr>
    </w:p>
    <w:p w14:paraId="3935F487" w14:textId="7B593E54" w:rsidR="001603CA" w:rsidRDefault="001603CA" w:rsidP="003D7B03">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Pr>
          <w:b/>
          <w:bCs/>
        </w:rPr>
        <w:t>Note:</w:t>
      </w:r>
    </w:p>
    <w:p w14:paraId="0FBA3BFB" w14:textId="108DADA1" w:rsidR="001603CA" w:rsidRDefault="001603CA" w:rsidP="003D7B03">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Pr>
          <w:b/>
          <w:bCs/>
        </w:rPr>
        <w:t>A new Strike Execution Folder is automatically created when a SEP or MST H&amp;S message is received, and no Strike Execution Folder is Active.</w:t>
      </w:r>
    </w:p>
    <w:p w14:paraId="65DCABF7" w14:textId="77777777" w:rsidR="00AD081E" w:rsidRPr="00AD081E" w:rsidRDefault="00AD081E" w:rsidP="00B71F29">
      <w:pPr>
        <w:pStyle w:val="Appendix5"/>
      </w:pPr>
      <w:bookmarkStart w:id="8295" w:name="Simulate_ACA_Ground_Segment"/>
      <w:bookmarkEnd w:id="8295"/>
      <w:r w:rsidRPr="00AD081E">
        <w:t>Simulate ACA Ground Segment</w:t>
      </w:r>
    </w:p>
    <w:p w14:paraId="5DBE0303" w14:textId="77777777" w:rsidR="00AD081E" w:rsidRPr="00AD081E" w:rsidRDefault="00AD081E" w:rsidP="00AD081E">
      <w:r w:rsidRPr="00AD081E">
        <w:rPr>
          <w:szCs w:val="24"/>
        </w:rPr>
        <w:t xml:space="preserve">The </w:t>
      </w:r>
      <w:r w:rsidRPr="00AD081E">
        <w:rPr>
          <w:b/>
          <w:szCs w:val="24"/>
        </w:rPr>
        <w:t>Simulate ACA Ground Segment</w:t>
      </w:r>
      <w:r w:rsidRPr="00AD081E">
        <w:rPr>
          <w:szCs w:val="24"/>
        </w:rPr>
        <w:t xml:space="preserve"> checkbox determines whether TSRT should simulate the ACA Ground Segment or not. If checked, TSRT responds with NSP Ack and Filter Response messages upon receiving ACA Control (filter) messages. If unchecked, TSRT does not respond to these messages.</w:t>
      </w:r>
    </w:p>
    <w:p w14:paraId="5D867396" w14:textId="77777777" w:rsidR="00AD081E" w:rsidRPr="00AD081E" w:rsidRDefault="00AD081E" w:rsidP="00B71F29">
      <w:pPr>
        <w:pStyle w:val="Appendix5"/>
      </w:pPr>
      <w:r w:rsidRPr="00AD081E">
        <w:t>Real-Time and Sim</w:t>
      </w:r>
      <w:bookmarkStart w:id="8296" w:name="Real_Time_and_Simulated_Clock"/>
      <w:bookmarkEnd w:id="8296"/>
      <w:r w:rsidRPr="00AD081E">
        <w:t>ulated Clock</w:t>
      </w:r>
    </w:p>
    <w:p w14:paraId="0A0D381B" w14:textId="77777777" w:rsidR="00AD081E" w:rsidRPr="00AD081E" w:rsidRDefault="00AD081E" w:rsidP="00AD081E">
      <w:pPr>
        <w:rPr>
          <w:rFonts w:eastAsia="Calibri"/>
        </w:rPr>
      </w:pPr>
      <w:r w:rsidRPr="00AD081E">
        <w:rPr>
          <w:rFonts w:eastAsia="Calibri"/>
        </w:rPr>
        <w:t>If any FRUs are designated as live in the FRU Participants section of the dialog, the real-time clock must be used. It will be automatically selected, and the simulation clock option will be disabled.</w:t>
      </w:r>
    </w:p>
    <w:p w14:paraId="382E2BE4" w14:textId="77777777" w:rsidR="00AD081E" w:rsidRPr="00AD081E" w:rsidRDefault="00AD081E" w:rsidP="00AD081E">
      <w:pPr>
        <w:rPr>
          <w:rFonts w:eastAsia="Calibri"/>
        </w:rPr>
      </w:pPr>
      <w:r w:rsidRPr="00AD081E">
        <w:rPr>
          <w:rFonts w:eastAsia="Calibri"/>
        </w:rPr>
        <w:t xml:space="preserve">If all FRUs are simulated, you have the option of either a simulation clock or the real-time clock. A simulation clock may be speeded up, slowed down, or jumped ahead as the rehearsal progresses, while the real-time clock always proceeds at the same rate. The range of acceleration for a simulation clock allows between one and 35 seconds of simulated time to pass for each one second of real time. </w:t>
      </w:r>
    </w:p>
    <w:p w14:paraId="5E5699A0" w14:textId="23498C3E" w:rsidR="00AD081E" w:rsidRPr="00AD081E" w:rsidRDefault="00AD081E" w:rsidP="00AD081E">
      <w:pPr>
        <w:rPr>
          <w:rFonts w:eastAsia="Calibri"/>
        </w:rPr>
      </w:pPr>
      <w:r w:rsidRPr="00AD081E">
        <w:rPr>
          <w:rFonts w:eastAsia="Calibri"/>
        </w:rPr>
        <w:t>When you have the option, you should usually choose the simulation clock, since you can always decide to run the simulation clock in real-time mode (with a time ratio of 1:1</w:t>
      </w:r>
      <w:r w:rsidR="00115612" w:rsidRPr="00AD081E">
        <w:rPr>
          <w:rFonts w:eastAsia="Calibri"/>
        </w:rPr>
        <w:t>) but</w:t>
      </w:r>
      <w:r w:rsidRPr="00AD081E">
        <w:rPr>
          <w:rFonts w:eastAsia="Calibri"/>
        </w:rPr>
        <w:t xml:space="preserve"> will then have the option of speeding through or jumping over portions of the strike that are of less interest.</w:t>
      </w:r>
    </w:p>
    <w:p w14:paraId="3B507A20" w14:textId="77777777" w:rsidR="00AD081E" w:rsidRPr="00AD081E" w:rsidRDefault="00AD081E" w:rsidP="00AD081E">
      <w:pPr>
        <w:rPr>
          <w:rFonts w:eastAsia="Calibri"/>
        </w:rPr>
      </w:pPr>
      <w:r w:rsidRPr="00AD081E">
        <w:rPr>
          <w:rFonts w:eastAsia="Calibri"/>
        </w:rPr>
        <w:t>Situations that require the use of the real-time clock even when all FRUs are simulated include:</w:t>
      </w:r>
    </w:p>
    <w:p w14:paraId="1969DFCA" w14:textId="77777777" w:rsidR="00AD081E" w:rsidRPr="00AD081E" w:rsidRDefault="00AD081E" w:rsidP="006D5A65">
      <w:pPr>
        <w:pStyle w:val="Heading1"/>
      </w:pPr>
      <w:r w:rsidRPr="00AD081E">
        <w:t xml:space="preserve">There are live participants that do not have a TCP/IP network connection with the TSRT’s MDS machine. When this is </w:t>
      </w:r>
      <w:r w:rsidRPr="00AD081E">
        <w:lastRenderedPageBreak/>
        <w:t>the case, the remote participants will not be able to connect to the simulated clock. Because the routers in FRU configurations block most off-board TCP/IP connections, the real-time clock must always be used when a FRU MDS participates in a rehearsal that is hosted by an off-board TSRT, even if the FRU is not designated as live.</w:t>
      </w:r>
    </w:p>
    <w:p w14:paraId="0DBB0AC6" w14:textId="77777777" w:rsidR="00AD081E" w:rsidRPr="00AD081E" w:rsidRDefault="00AD081E" w:rsidP="006D5A65">
      <w:pPr>
        <w:pStyle w:val="Heading1"/>
      </w:pPr>
      <w:r w:rsidRPr="00AD081E">
        <w:t>DAMA TSN communications are via satellite, rather than being only over local routes. When this is the case, the legacy DAMA network cannot support the bandwidth required to rehearse a strike faster than real time. The ACA network, however, does support the required bandwidth and is capable of handling the message rates when the simulation clock is accelerated.</w:t>
      </w:r>
    </w:p>
    <w:p w14:paraId="5B98FEDB" w14:textId="5F279EAD" w:rsidR="00AD081E" w:rsidRPr="00AD081E" w:rsidRDefault="00AD081E" w:rsidP="00AD081E">
      <w:pPr>
        <w:rPr>
          <w:rFonts w:eastAsia="Calibri"/>
        </w:rPr>
      </w:pPr>
      <w:r w:rsidRPr="00AD081E">
        <w:rPr>
          <w:rFonts w:eastAsia="Calibri"/>
        </w:rPr>
        <w:t>Be aware that when using the time acceleration feature of the simulation clock, you can stress the system beyond its designed capacity. For example, at the extreme setting, the TEDs must send, receive, and process 35 times more messages in a given period of time than would be the case in the real world. This can lead to failures and anomalies during a rehearsal that would never be observed in actual tactical situations</w:t>
      </w:r>
      <w:r w:rsidR="005920DB">
        <w:rPr>
          <w:rFonts w:eastAsia="Calibri"/>
        </w:rPr>
        <w:t xml:space="preserve"> </w:t>
      </w:r>
      <w:r w:rsidR="005920DB" w:rsidRPr="0043211C">
        <w:rPr>
          <w:bCs/>
          <w:szCs w:val="24"/>
        </w:rPr>
        <w:t xml:space="preserve">(See </w:t>
      </w:r>
      <w:hyperlink w:anchor="Section_5_39_2_Tip" w:history="1">
        <w:r w:rsidR="005971F3" w:rsidRPr="0043211C">
          <w:rPr>
            <w:rStyle w:val="Hyperlink"/>
            <w:szCs w:val="24"/>
          </w:rPr>
          <w:t xml:space="preserve">Tip in Section </w:t>
        </w:r>
        <w:r w:rsidR="004231CC">
          <w:rPr>
            <w:rStyle w:val="Hyperlink"/>
            <w:szCs w:val="24"/>
          </w:rPr>
          <w:t>5.37</w:t>
        </w:r>
        <w:r w:rsidR="005971F3" w:rsidRPr="0043211C">
          <w:rPr>
            <w:rStyle w:val="Hyperlink"/>
            <w:szCs w:val="24"/>
          </w:rPr>
          <w:t>.2</w:t>
        </w:r>
      </w:hyperlink>
      <w:r w:rsidR="005920DB" w:rsidRPr="0043211C">
        <w:rPr>
          <w:bCs/>
          <w:szCs w:val="24"/>
        </w:rPr>
        <w:t xml:space="preserve">) </w:t>
      </w:r>
      <w:r w:rsidRPr="005971F3">
        <w:rPr>
          <w:rFonts w:eastAsia="Calibri"/>
          <w:szCs w:val="24"/>
        </w:rPr>
        <w:t>.</w:t>
      </w:r>
    </w:p>
    <w:p w14:paraId="177608DA" w14:textId="77777777" w:rsidR="00AD081E" w:rsidRPr="00AD081E" w:rsidRDefault="00AD081E" w:rsidP="00B71F29">
      <w:pPr>
        <w:pStyle w:val="Appendix5"/>
      </w:pPr>
      <w:r w:rsidRPr="00AD081E">
        <w:t>Start Time</w:t>
      </w:r>
    </w:p>
    <w:p w14:paraId="263E5F40" w14:textId="5795FD84" w:rsidR="00AD081E" w:rsidRPr="00AD081E" w:rsidRDefault="00AD081E" w:rsidP="00AD081E">
      <w:pPr>
        <w:rPr>
          <w:rFonts w:eastAsia="Calibri"/>
        </w:rPr>
      </w:pPr>
      <w:r w:rsidRPr="00AD081E">
        <w:rPr>
          <w:rFonts w:eastAsia="Calibri"/>
        </w:rPr>
        <w:t xml:space="preserve">If TSRT is simulating a strike that doesn’t have a start time, a start time can be selected in advance by selecting the </w:t>
      </w:r>
      <w:r w:rsidRPr="00AD081E">
        <w:rPr>
          <w:rFonts w:eastAsia="Calibri"/>
          <w:b/>
        </w:rPr>
        <w:t>Start Time</w:t>
      </w:r>
      <w:r w:rsidRPr="00AD081E">
        <w:rPr>
          <w:rFonts w:eastAsia="Calibri"/>
        </w:rPr>
        <w:t xml:space="preserve"> checkbox and selecting a start time from the </w:t>
      </w:r>
      <w:r w:rsidR="00115612" w:rsidRPr="00AD081E">
        <w:rPr>
          <w:rFonts w:eastAsia="Calibri"/>
        </w:rPr>
        <w:t>pull-down</w:t>
      </w:r>
      <w:r w:rsidRPr="00AD081E">
        <w:rPr>
          <w:rFonts w:eastAsia="Calibri"/>
        </w:rPr>
        <w:t xml:space="preserve"> menu. This is useful to match Track data times with the time of the strike in MST strikes.</w:t>
      </w:r>
    </w:p>
    <w:p w14:paraId="41D8DBBD" w14:textId="77777777" w:rsidR="00AD081E" w:rsidRPr="00AD081E" w:rsidRDefault="00AD081E" w:rsidP="00B71F29">
      <w:pPr>
        <w:pStyle w:val="Appendix4"/>
        <w:ind w:left="360"/>
      </w:pPr>
      <w:r w:rsidRPr="00AD081E">
        <w:t>Maritime Setup</w:t>
      </w:r>
    </w:p>
    <w:p w14:paraId="3772B20F" w14:textId="77777777" w:rsidR="00AD081E" w:rsidRPr="00AD081E" w:rsidRDefault="00AD081E" w:rsidP="00AD081E">
      <w:pPr>
        <w:rPr>
          <w:rFonts w:eastAsia="Calibri"/>
        </w:rPr>
      </w:pPr>
      <w:r w:rsidRPr="00AD081E">
        <w:rPr>
          <w:rFonts w:eastAsia="Calibri"/>
        </w:rPr>
        <w:t>Maritime strikes require setting the Task Org and the PLP of the TTWCS nodes. A Task Org used in maritime strikes must contain an NSP node to support ACA missiles.</w:t>
      </w:r>
    </w:p>
    <w:p w14:paraId="4625BF78" w14:textId="77777777" w:rsidR="00AD081E" w:rsidRPr="00AD081E" w:rsidRDefault="00AD081E" w:rsidP="00AD081E">
      <w:pPr>
        <w:rPr>
          <w:rFonts w:eastAsia="Calibri"/>
        </w:rPr>
      </w:pPr>
      <w:r w:rsidRPr="00AD081E">
        <w:rPr>
          <w:rFonts w:eastAsia="Calibri"/>
          <w:b/>
        </w:rPr>
        <w:t>Maritime Setup</w:t>
      </w:r>
      <w:r w:rsidRPr="00AD081E">
        <w:rPr>
          <w:rFonts w:eastAsia="Calibri"/>
          <w:b/>
        </w:rPr>
        <w:br/>
      </w:r>
      <w:r w:rsidRPr="00AD081E">
        <w:rPr>
          <w:rFonts w:eastAsia="Calibri"/>
        </w:rPr>
        <w:t xml:space="preserve">Click on the </w:t>
      </w:r>
      <w:r w:rsidRPr="00AD081E">
        <w:rPr>
          <w:rFonts w:eastAsia="Calibri"/>
          <w:b/>
          <w:i/>
        </w:rPr>
        <w:t>Maritime Setup</w:t>
      </w:r>
      <w:r w:rsidRPr="00AD081E">
        <w:rPr>
          <w:rFonts w:eastAsia="Calibri"/>
        </w:rPr>
        <w:t xml:space="preserve"> tab.</w:t>
      </w:r>
    </w:p>
    <w:p w14:paraId="312F2627" w14:textId="77777777" w:rsidR="00AD081E" w:rsidRPr="00AD081E" w:rsidRDefault="00AD081E" w:rsidP="00B71F29">
      <w:pPr>
        <w:pStyle w:val="Appendix5"/>
      </w:pPr>
      <w:r w:rsidRPr="00B71F29">
        <w:t>Task</w:t>
      </w:r>
      <w:r w:rsidRPr="00AD081E">
        <w:t xml:space="preserve"> Org Selection</w:t>
      </w:r>
    </w:p>
    <w:p w14:paraId="78D76B8C" w14:textId="77777777" w:rsidR="00AD081E" w:rsidRPr="00AD081E" w:rsidRDefault="00AD081E" w:rsidP="00AD081E">
      <w:pPr>
        <w:rPr>
          <w:rFonts w:eastAsia="Calibri"/>
        </w:rPr>
      </w:pPr>
      <w:r w:rsidRPr="00AD081E">
        <w:rPr>
          <w:rFonts w:eastAsia="Calibri"/>
        </w:rPr>
        <w:t xml:space="preserve">Select a Task Org from the </w:t>
      </w:r>
      <w:r w:rsidRPr="00AD081E">
        <w:rPr>
          <w:rFonts w:eastAsia="Calibri"/>
          <w:b/>
          <w:bCs/>
        </w:rPr>
        <w:t>Task Org</w:t>
      </w:r>
      <w:r w:rsidRPr="00AD081E">
        <w:rPr>
          <w:rFonts w:eastAsia="Calibri"/>
        </w:rPr>
        <w:t xml:space="preserve"> pull down menu. The nodes from the selected Task Org are added to the </w:t>
      </w:r>
      <w:r w:rsidRPr="00AD081E">
        <w:rPr>
          <w:rFonts w:eastAsia="Calibri"/>
          <w:b/>
        </w:rPr>
        <w:t>TMPC Nodes</w:t>
      </w:r>
      <w:r w:rsidRPr="00AD081E">
        <w:rPr>
          <w:rFonts w:eastAsia="Calibri"/>
        </w:rPr>
        <w:t xml:space="preserve"> pane </w:t>
      </w:r>
      <w:r w:rsidRPr="00AD081E">
        <w:rPr>
          <w:rFonts w:eastAsia="Calibri"/>
          <w:b/>
        </w:rPr>
        <w:t>TTWCS Nodes</w:t>
      </w:r>
      <w:r w:rsidRPr="00AD081E">
        <w:rPr>
          <w:rFonts w:eastAsia="Calibri"/>
        </w:rPr>
        <w:t xml:space="preserve"> panes. TTWCS nodes are listed in blue text until a PLP is assigned.</w:t>
      </w:r>
    </w:p>
    <w:p w14:paraId="7B45E1B3" w14:textId="77777777" w:rsidR="00AD081E" w:rsidRDefault="00AD081E" w:rsidP="00AD081E">
      <w:pPr>
        <w:jc w:val="center"/>
        <w:rPr>
          <w:rFonts w:eastAsia="Calibri"/>
        </w:rPr>
      </w:pPr>
      <w:r w:rsidRPr="00AD081E">
        <w:rPr>
          <w:rFonts w:eastAsia="Calibri"/>
          <w:noProof/>
        </w:rPr>
        <w:lastRenderedPageBreak/>
        <w:drawing>
          <wp:inline distT="0" distB="0" distL="0" distR="0" wp14:anchorId="07A34137" wp14:editId="1A2CACF0">
            <wp:extent cx="2286000" cy="3703320"/>
            <wp:effectExtent l="0" t="0" r="0" b="0"/>
            <wp:docPr id="299" name="Picture 29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Graphical user interface, text, application, email&#10;&#10;Description automatically generated"/>
                    <pic:cNvPicPr/>
                  </pic:nvPicPr>
                  <pic:blipFill>
                    <a:blip/>
                    <a:stretch>
                      <a:fillRect/>
                    </a:stretch>
                  </pic:blipFill>
                  <pic:spPr>
                    <a:xfrm>
                      <a:off x="0" y="0"/>
                      <a:ext cx="2286000" cy="3703320"/>
                    </a:xfrm>
                    <a:prstGeom prst="rect">
                      <a:avLst/>
                    </a:prstGeom>
                  </pic:spPr>
                </pic:pic>
              </a:graphicData>
            </a:graphic>
          </wp:inline>
        </w:drawing>
      </w:r>
    </w:p>
    <w:p w14:paraId="11729DD1" w14:textId="77777777" w:rsidR="00A15583" w:rsidRDefault="00A15583" w:rsidP="00A15583">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Pr>
          <w:b/>
          <w:bCs/>
        </w:rPr>
        <w:t>Note:</w:t>
      </w:r>
    </w:p>
    <w:p w14:paraId="751D1A2A" w14:textId="77777777" w:rsidR="00A15583" w:rsidRDefault="00A15583" w:rsidP="00A15583">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Pr>
          <w:b/>
          <w:bCs/>
        </w:rPr>
        <w:t>If the Task Org needs to be re-selected from the pull-down to process updates, this will reset all FRUs in the “Scenario Setup” tab and move them back to the “Simulated FRUs” list view column. Double-check the updates made in the setup tabs before saving the SEF.</w:t>
      </w:r>
    </w:p>
    <w:p w14:paraId="42F09C5E" w14:textId="77777777" w:rsidR="00AD081E" w:rsidRPr="00AD081E" w:rsidRDefault="00AD081E" w:rsidP="00B71F29">
      <w:pPr>
        <w:pStyle w:val="Appendix5"/>
      </w:pPr>
      <w:r w:rsidRPr="00AD081E">
        <w:t>PLP Selection</w:t>
      </w:r>
    </w:p>
    <w:p w14:paraId="23ABA43B" w14:textId="302B865F" w:rsidR="00AD081E" w:rsidRPr="00AD081E" w:rsidRDefault="00AD081E" w:rsidP="00AD081E">
      <w:pPr>
        <w:rPr>
          <w:rFonts w:eastAsia="Calibri"/>
        </w:rPr>
      </w:pPr>
      <w:r w:rsidRPr="00AD081E">
        <w:rPr>
          <w:rFonts w:eastAsia="Calibri"/>
        </w:rPr>
        <w:t xml:space="preserve">Select one or more nodes in the </w:t>
      </w:r>
      <w:r w:rsidRPr="00AD081E">
        <w:rPr>
          <w:rFonts w:eastAsia="Calibri"/>
          <w:b/>
        </w:rPr>
        <w:t>TTWCS Nodes</w:t>
      </w:r>
      <w:r w:rsidRPr="00AD081E">
        <w:rPr>
          <w:rFonts w:eastAsia="Calibri"/>
        </w:rPr>
        <w:t xml:space="preserve"> pane. </w:t>
      </w:r>
      <w:r w:rsidRPr="00AD081E">
        <w:t>Invoke the context menu (right-click the mouse) while the mouse is over the selected node(s</w:t>
      </w:r>
      <w:r w:rsidR="00DF639E" w:rsidRPr="00AD081E">
        <w:t>) and</w:t>
      </w:r>
      <w:r w:rsidRPr="00AD081E">
        <w:t xml:space="preserve"> click </w:t>
      </w:r>
      <w:r w:rsidRPr="00AD081E">
        <w:rPr>
          <w:rFonts w:eastAsia="Calibri"/>
          <w:b/>
          <w:bCs/>
        </w:rPr>
        <w:t>Select PLP</w:t>
      </w:r>
      <w:r w:rsidRPr="00AD081E">
        <w:rPr>
          <w:rFonts w:eastAsia="Calibri"/>
        </w:rPr>
        <w:t xml:space="preserve">. The </w:t>
      </w:r>
      <w:r w:rsidRPr="00AD081E">
        <w:rPr>
          <w:rFonts w:eastAsia="Calibri"/>
          <w:i/>
        </w:rPr>
        <w:t>Choose PLP ACMS</w:t>
      </w:r>
      <w:r w:rsidRPr="00AD081E">
        <w:rPr>
          <w:rFonts w:eastAsia="Calibri"/>
        </w:rPr>
        <w:t xml:space="preserve"> window is displayed. Select the desired PLP and click </w:t>
      </w:r>
      <w:r w:rsidRPr="00AD081E">
        <w:rPr>
          <w:rFonts w:eastAsia="Calibri"/>
          <w:b/>
        </w:rPr>
        <w:t>OK</w:t>
      </w:r>
      <w:r w:rsidRPr="00AD081E">
        <w:rPr>
          <w:rFonts w:eastAsia="Calibri"/>
        </w:rPr>
        <w:t>.</w:t>
      </w:r>
    </w:p>
    <w:p w14:paraId="0AC83C5C" w14:textId="77777777" w:rsidR="00AD081E" w:rsidRPr="00AD081E" w:rsidRDefault="00AD081E" w:rsidP="00AD081E">
      <w:pPr>
        <w:jc w:val="center"/>
        <w:rPr>
          <w:rFonts w:eastAsia="Calibri"/>
        </w:rPr>
      </w:pPr>
      <w:r w:rsidRPr="00AD081E">
        <w:rPr>
          <w:noProof/>
        </w:rPr>
        <w:drawing>
          <wp:inline distT="0" distB="0" distL="0" distR="0" wp14:anchorId="123DB518" wp14:editId="4CB908F3">
            <wp:extent cx="2286000" cy="2011680"/>
            <wp:effectExtent l="0" t="0" r="0" b="7620"/>
            <wp:docPr id="315" name="Picture 315"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315" descr="Graphical user interface, application, table&#10;&#10;Description automatically generated"/>
                    <pic:cNvPicPr/>
                  </pic:nvPicPr>
                  <pic:blipFill>
                    <a:blip/>
                    <a:stretch>
                      <a:fillRect/>
                    </a:stretch>
                  </pic:blipFill>
                  <pic:spPr>
                    <a:xfrm>
                      <a:off x="0" y="0"/>
                      <a:ext cx="2286000" cy="2011680"/>
                    </a:xfrm>
                    <a:prstGeom prst="rect">
                      <a:avLst/>
                    </a:prstGeom>
                  </pic:spPr>
                </pic:pic>
              </a:graphicData>
            </a:graphic>
          </wp:inline>
        </w:drawing>
      </w:r>
    </w:p>
    <w:p w14:paraId="3EC04F7E" w14:textId="77777777" w:rsidR="00AD081E" w:rsidRPr="00AD081E" w:rsidRDefault="00AD081E" w:rsidP="00AD081E">
      <w:r w:rsidRPr="00AD081E">
        <w:rPr>
          <w:rFonts w:eastAsia="Calibri"/>
        </w:rPr>
        <w:t xml:space="preserve">The selected TTWCS node(s) changes from blue text to black text in the </w:t>
      </w:r>
      <w:r w:rsidRPr="00AD081E">
        <w:rPr>
          <w:rFonts w:eastAsia="Calibri"/>
          <w:b/>
        </w:rPr>
        <w:t>TTWCS Nodes</w:t>
      </w:r>
      <w:r w:rsidRPr="00AD081E">
        <w:rPr>
          <w:rFonts w:eastAsia="Calibri"/>
        </w:rPr>
        <w:t xml:space="preserve"> pane. Click </w:t>
      </w:r>
      <w:r w:rsidRPr="00AD081E">
        <w:rPr>
          <w:rFonts w:eastAsia="Calibri"/>
          <w:b/>
        </w:rPr>
        <w:t>OK</w:t>
      </w:r>
      <w:r w:rsidRPr="00AD081E">
        <w:rPr>
          <w:rFonts w:eastAsia="Calibri"/>
        </w:rPr>
        <w:t xml:space="preserve"> in the </w:t>
      </w:r>
      <w:r w:rsidRPr="00AD081E">
        <w:rPr>
          <w:rFonts w:eastAsia="Calibri"/>
          <w:i/>
        </w:rPr>
        <w:t>Strike Simulation Setup</w:t>
      </w:r>
      <w:r w:rsidRPr="00AD081E">
        <w:rPr>
          <w:rFonts w:eastAsia="Calibri"/>
        </w:rPr>
        <w:t xml:space="preserve"> window to finalize the selections.</w:t>
      </w:r>
    </w:p>
    <w:p w14:paraId="6C505446" w14:textId="77777777" w:rsidR="00D96F43" w:rsidRDefault="00D96F43" w:rsidP="006D5A65">
      <w:pPr>
        <w:pStyle w:val="Heading4"/>
      </w:pPr>
      <w:bookmarkStart w:id="8297" w:name="MaritimeSetupforAutomaticSEFs"/>
      <w:bookmarkEnd w:id="8297"/>
      <w:r>
        <w:lastRenderedPageBreak/>
        <w:t>Maritime Setup for Automatic SEFs</w:t>
      </w:r>
    </w:p>
    <w:p w14:paraId="707D41C5" w14:textId="15DAE549" w:rsidR="00D96F43" w:rsidRDefault="00D96F43" w:rsidP="00D96F43">
      <w:r>
        <w:t>For Maritime strikes started from an incoming SEP or MST H&amp;S message (“No SEP Case”), its SEF and accompanying TSRT Strike Simulation are automatically created. Alternative setup for certain settings will need be taken into consideration.</w:t>
      </w:r>
    </w:p>
    <w:p w14:paraId="10512219" w14:textId="77777777" w:rsidR="00D96F43" w:rsidRDefault="00D96F43" w:rsidP="00D96F43">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sidRPr="3367B869">
        <w:rPr>
          <w:b/>
          <w:bCs/>
        </w:rPr>
        <w:t>Note:</w:t>
      </w:r>
    </w:p>
    <w:p w14:paraId="75BB5146" w14:textId="099ADBF8" w:rsidR="00D96F43" w:rsidRPr="00EB49E5" w:rsidRDefault="00D96F43" w:rsidP="00EB49E5">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b/>
          <w:bCs/>
        </w:rPr>
      </w:pPr>
      <w:r w:rsidRPr="3367B869">
        <w:rPr>
          <w:b/>
          <w:bCs/>
        </w:rPr>
        <w:t>A new Strike Execution Folder is automatically created when a SEP or MST H&amp;S message is received, and no Strike Execution Folder is Active.</w:t>
      </w:r>
    </w:p>
    <w:p w14:paraId="2E29D368" w14:textId="77777777" w:rsidR="00D96F43" w:rsidRDefault="00D96F43" w:rsidP="006D5A65">
      <w:pPr>
        <w:pStyle w:val="Heading5"/>
      </w:pPr>
      <w:r>
        <w:t>TSRT Default Settings</w:t>
      </w:r>
    </w:p>
    <w:p w14:paraId="15A002B1" w14:textId="77777777" w:rsidR="00D96F43" w:rsidRPr="001F4B14" w:rsidRDefault="00D96F43" w:rsidP="006D5A65">
      <w:pPr>
        <w:pStyle w:val="Heading1"/>
      </w:pPr>
      <w:r w:rsidRPr="001F4B14">
        <w:t>Execution Clock – Real-Time</w:t>
      </w:r>
    </w:p>
    <w:p w14:paraId="369405D6" w14:textId="77777777" w:rsidR="00D96F43" w:rsidRPr="001F4B14" w:rsidRDefault="00D96F43" w:rsidP="006D5A65">
      <w:pPr>
        <w:pStyle w:val="Heading1"/>
      </w:pPr>
      <w:r w:rsidRPr="001F4B14">
        <w:t>Use Local TSRT – True</w:t>
      </w:r>
    </w:p>
    <w:p w14:paraId="67B0ABCC" w14:textId="77777777" w:rsidR="00D96F43" w:rsidRPr="001F4B14" w:rsidRDefault="00D96F43" w:rsidP="006D5A65">
      <w:pPr>
        <w:pStyle w:val="Heading1"/>
      </w:pPr>
      <w:r w:rsidRPr="001F4B14">
        <w:t>Use FRU Inventory – True</w:t>
      </w:r>
    </w:p>
    <w:p w14:paraId="7FBB8EC4" w14:textId="77777777" w:rsidR="00D96F43" w:rsidRPr="001F4B14" w:rsidRDefault="00D96F43" w:rsidP="006D5A65">
      <w:pPr>
        <w:pStyle w:val="Heading1"/>
      </w:pPr>
      <w:r w:rsidRPr="001F4B14">
        <w:t>Simulate FRU Messages – True</w:t>
      </w:r>
    </w:p>
    <w:p w14:paraId="5960F75A" w14:textId="77777777" w:rsidR="00D96F43" w:rsidRPr="001F4B14" w:rsidRDefault="00D96F43" w:rsidP="006D5A65">
      <w:pPr>
        <w:pStyle w:val="Heading1"/>
      </w:pPr>
      <w:r w:rsidRPr="001F4B14">
        <w:t>Start At Execution Time – True</w:t>
      </w:r>
    </w:p>
    <w:p w14:paraId="77FE252A" w14:textId="77777777" w:rsidR="00D96F43" w:rsidRPr="001F4B14" w:rsidRDefault="00D96F43" w:rsidP="006D5A65">
      <w:pPr>
        <w:pStyle w:val="Heading1"/>
      </w:pPr>
      <w:r w:rsidRPr="001F4B14">
        <w:t>Start 72 Hours Before Launch Time – False</w:t>
      </w:r>
    </w:p>
    <w:p w14:paraId="6BE4A48E" w14:textId="77777777" w:rsidR="00D96F43" w:rsidRPr="001F4B14" w:rsidRDefault="00D96F43" w:rsidP="006D5A65">
      <w:pPr>
        <w:pStyle w:val="Heading1"/>
      </w:pPr>
      <w:r w:rsidRPr="001F4B14">
        <w:t>Use Combined OWR – False</w:t>
      </w:r>
    </w:p>
    <w:p w14:paraId="3D89D5CB" w14:textId="77777777" w:rsidR="00D96F43" w:rsidRPr="001F4B14" w:rsidRDefault="00D96F43" w:rsidP="006D5A65">
      <w:pPr>
        <w:pStyle w:val="Heading1"/>
      </w:pPr>
      <w:r w:rsidRPr="001F4B14">
        <w:t>Simulate ACA Ground Segment – True</w:t>
      </w:r>
    </w:p>
    <w:p w14:paraId="6BDBB079" w14:textId="77777777" w:rsidR="00D96F43" w:rsidRPr="001F4B14" w:rsidRDefault="00D96F43" w:rsidP="006D5A65">
      <w:pPr>
        <w:pStyle w:val="Heading1"/>
      </w:pPr>
      <w:r w:rsidRPr="001F4B14">
        <w:t>Enforce Use States – False</w:t>
      </w:r>
    </w:p>
    <w:p w14:paraId="660E0917" w14:textId="77777777" w:rsidR="00D96F43" w:rsidRPr="001F4B14" w:rsidRDefault="00D96F43" w:rsidP="006D5A65">
      <w:pPr>
        <w:pStyle w:val="Heading1"/>
      </w:pPr>
      <w:r w:rsidRPr="001F4B14">
        <w:t>Manage OWR – True</w:t>
      </w:r>
    </w:p>
    <w:p w14:paraId="437FB05D" w14:textId="77777777" w:rsidR="00D96F43" w:rsidRDefault="00D96F43" w:rsidP="006D5A65">
      <w:pPr>
        <w:pStyle w:val="Heading5"/>
      </w:pPr>
      <w:bookmarkStart w:id="8298" w:name="_Ref144306991"/>
      <w:r>
        <w:t>Live and Simu</w:t>
      </w:r>
      <w:bookmarkStart w:id="8299" w:name="Simulated"/>
      <w:bookmarkEnd w:id="8299"/>
      <w:r>
        <w:t>lated FRUs</w:t>
      </w:r>
      <w:bookmarkEnd w:id="8298"/>
    </w:p>
    <w:p w14:paraId="149DC70A" w14:textId="77777777" w:rsidR="00D96F43" w:rsidRDefault="00D96F43" w:rsidP="001F4B14">
      <w:r>
        <w:t xml:space="preserve">The </w:t>
      </w:r>
      <w:r w:rsidRPr="00EF3CAA">
        <w:rPr>
          <w:b/>
          <w:bCs/>
          <w:i/>
          <w:iCs/>
        </w:rPr>
        <w:t>TSRT Strike Simulation</w:t>
      </w:r>
      <w:r>
        <w:t xml:space="preserve"> for this scenario does not have a Task Org defined and thus will not have knowledge of which Strike Participants are to be simulated or live.</w:t>
      </w:r>
    </w:p>
    <w:p w14:paraId="4382F005" w14:textId="6F2C229E" w:rsidR="00D96F43" w:rsidRDefault="00D96F43" w:rsidP="00D96F43">
      <w:r>
        <w:t xml:space="preserve">The </w:t>
      </w:r>
      <w:r w:rsidRPr="00EF3CAA">
        <w:rPr>
          <w:b/>
          <w:bCs/>
          <w:i/>
          <w:iCs/>
        </w:rPr>
        <w:t>Nodes Tool &gt; Own Node &gt; Maritime</w:t>
      </w:r>
      <w:r>
        <w:t xml:space="preserve"> tab should be used to designate live FRUs for these scenarios. TSRT will build FRUs in this list as Live when receiving the first SEP or no SEP strike from a FRU new to the execution.</w:t>
      </w:r>
    </w:p>
    <w:p w14:paraId="113ED160" w14:textId="77777777" w:rsidR="00D96F43" w:rsidRPr="00A15686" w:rsidRDefault="00D96F43" w:rsidP="00EB49E5">
      <w:pPr>
        <w:spacing w:after="0"/>
        <w:jc w:val="center"/>
      </w:pPr>
      <w:r>
        <w:rPr>
          <w:noProof/>
        </w:rPr>
        <w:drawing>
          <wp:inline distT="0" distB="0" distL="0" distR="0" wp14:anchorId="31F31662" wp14:editId="1DF6C025">
            <wp:extent cx="2883056" cy="1953270"/>
            <wp:effectExtent l="0" t="0" r="0" b="8890"/>
            <wp:docPr id="291863790" name="Picture 29186379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2884038" cy="1953935"/>
                    </a:xfrm>
                    <a:prstGeom prst="rect">
                      <a:avLst/>
                    </a:prstGeom>
                    <a:noFill/>
                    <a:ln>
                      <a:noFill/>
                    </a:ln>
                  </pic:spPr>
                </pic:pic>
              </a:graphicData>
            </a:graphic>
          </wp:inline>
        </w:drawing>
      </w:r>
    </w:p>
    <w:p w14:paraId="72B665D8" w14:textId="77777777" w:rsidR="00AD081E" w:rsidRPr="00AD081E" w:rsidRDefault="00AD081E" w:rsidP="00B71F29">
      <w:pPr>
        <w:pStyle w:val="Appendix4"/>
        <w:ind w:left="360"/>
      </w:pPr>
      <w:r w:rsidRPr="00AD081E">
        <w:lastRenderedPageBreak/>
        <w:t>Finishing Up</w:t>
      </w:r>
    </w:p>
    <w:p w14:paraId="5A6DFDD6" w14:textId="77777777" w:rsidR="00AD081E" w:rsidRPr="00AD081E" w:rsidRDefault="00AD081E" w:rsidP="00AD081E">
      <w:pPr>
        <w:rPr>
          <w:rFonts w:eastAsia="Calibri"/>
        </w:rPr>
      </w:pPr>
      <w:r w:rsidRPr="00AD081E">
        <w:rPr>
          <w:rFonts w:eastAsia="Calibri"/>
        </w:rPr>
        <w:t xml:space="preserve">When done with TSRT configuration in this window, you will need to click </w:t>
      </w:r>
      <w:r w:rsidRPr="00AD081E">
        <w:rPr>
          <w:rFonts w:eastAsia="Calibri"/>
          <w:b/>
        </w:rPr>
        <w:t>OK</w:t>
      </w:r>
      <w:r w:rsidRPr="00AD081E">
        <w:rPr>
          <w:rFonts w:eastAsia="Calibri"/>
        </w:rPr>
        <w:t xml:space="preserve"> in this window and save the changes to the execution folder (click on the </w:t>
      </w:r>
      <w:r w:rsidRPr="00AD081E">
        <w:rPr>
          <w:rFonts w:eastAsia="Calibri"/>
          <w:b/>
        </w:rPr>
        <w:t>Save</w:t>
      </w:r>
      <w:r w:rsidRPr="00AD081E">
        <w:rPr>
          <w:rFonts w:eastAsia="Calibri"/>
        </w:rPr>
        <w:t xml:space="preserve"> icon in the toolbar or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w:t>
      </w:r>
      <w:r w:rsidRPr="00AD081E">
        <w:rPr>
          <w:rFonts w:eastAsia="Calibri"/>
        </w:rPr>
        <w:t xml:space="preserve"> from the menu). Failure to do the latter will result in your changes not being saved.</w:t>
      </w:r>
    </w:p>
    <w:p w14:paraId="48AFEA03" w14:textId="77777777" w:rsidR="00AD081E" w:rsidRPr="00AD081E" w:rsidRDefault="00AD081E" w:rsidP="00912CE8">
      <w:pPr>
        <w:pStyle w:val="Appendix2"/>
      </w:pPr>
      <w:bookmarkStart w:id="8300" w:name="_Toc214283766"/>
      <w:r w:rsidRPr="00AD081E">
        <w:t>CONFIGURING COMMUNICATIONS BETWEEN STRIKE PARTICIPANTS</w:t>
      </w:r>
      <w:bookmarkEnd w:id="8300"/>
    </w:p>
    <w:p w14:paraId="323C7170" w14:textId="7AD47EC7" w:rsidR="00943F47" w:rsidRPr="00B6111A" w:rsidRDefault="00AD081E" w:rsidP="00943F47">
      <w:pPr>
        <w:rPr>
          <w:rFonts w:eastAsia="Calibri"/>
        </w:rPr>
      </w:pPr>
      <w:r w:rsidRPr="00AD081E">
        <w:rPr>
          <w:rFonts w:eastAsia="Calibri"/>
        </w:rPr>
        <w:t xml:space="preserve">The vast majority of all problems encountered while rehearsing a strike using TSRT can be traced to </w:t>
      </w:r>
      <w:r w:rsidR="005344CA" w:rsidRPr="00AD081E">
        <w:rPr>
          <w:rFonts w:eastAsia="Calibri"/>
        </w:rPr>
        <w:t>misconfiguration</w:t>
      </w:r>
      <w:r w:rsidRPr="00AD081E">
        <w:rPr>
          <w:rFonts w:eastAsia="Calibri"/>
        </w:rPr>
        <w:t xml:space="preserve"> of communications between the strike participants. It is critical to success to have a good grasp on the kinds of communications that take place during the rehearsal of a strike, and the way in which they are configured.</w:t>
      </w:r>
    </w:p>
    <w:p w14:paraId="6EA9C397" w14:textId="77777777" w:rsidR="00AD081E" w:rsidRPr="00AD081E" w:rsidRDefault="00AD081E" w:rsidP="00B71F29">
      <w:pPr>
        <w:pStyle w:val="Appendix3"/>
        <w:ind w:left="360"/>
      </w:pPr>
      <w:bookmarkStart w:id="8301" w:name="_Toc214283767"/>
      <w:r w:rsidRPr="00AD081E">
        <w:t>Communications Overview</w:t>
      </w:r>
      <w:bookmarkEnd w:id="8301"/>
    </w:p>
    <w:p w14:paraId="01C16481" w14:textId="77777777" w:rsidR="00AD081E" w:rsidRPr="00AD081E" w:rsidRDefault="00AD081E" w:rsidP="00B71F29">
      <w:pPr>
        <w:pStyle w:val="Appendix4"/>
        <w:ind w:left="360"/>
      </w:pPr>
      <w:r w:rsidRPr="00AD081E">
        <w:t>OTH Communications</w:t>
      </w:r>
    </w:p>
    <w:p w14:paraId="73396B06" w14:textId="77777777" w:rsidR="00AD081E" w:rsidRPr="00AD081E" w:rsidRDefault="00AD081E" w:rsidP="00AD081E">
      <w:pPr>
        <w:rPr>
          <w:rFonts w:eastAsia="Calibri"/>
        </w:rPr>
      </w:pPr>
      <w:r w:rsidRPr="00AD081E">
        <w:rPr>
          <w:rFonts w:eastAsia="Calibri"/>
        </w:rPr>
        <w:t>Over-the-horizon (OTH) communications are the principal transport for data distribution orders (DDOs) containing strike data (ACMSs, missions, strike execution folders, strike packages, etc.) as well as strike execution messages (strike revisions, use state changes, strike exceptions, planned overwater routes, launch event reports, etc.) that indicate the status or plans of strike participants.</w:t>
      </w:r>
    </w:p>
    <w:p w14:paraId="7CCBADEE" w14:textId="77777777" w:rsidR="00AD081E" w:rsidRPr="00AD081E" w:rsidRDefault="00AD081E" w:rsidP="00AD081E">
      <w:pPr>
        <w:rPr>
          <w:rFonts w:eastAsia="Calibri"/>
        </w:rPr>
      </w:pPr>
      <w:r w:rsidRPr="00AD081E">
        <w:rPr>
          <w:rFonts w:eastAsia="Calibri"/>
        </w:rPr>
        <w:t>OTH communication connections are provided by a separate TCIP machine using server software called LINT. If a TED’s TDM Distribution Agent is not connected to LINT on a TCIP, the TED is not capable of sending or receiving OTH communications.</w:t>
      </w:r>
    </w:p>
    <w:p w14:paraId="2CDC71D5" w14:textId="77777777" w:rsidR="00AD081E" w:rsidRPr="00AD081E" w:rsidRDefault="00AD081E" w:rsidP="00B71F29">
      <w:pPr>
        <w:pStyle w:val="Appendix5"/>
      </w:pPr>
      <w:r w:rsidRPr="00AD081E">
        <w:t>Communications Nodes</w:t>
      </w:r>
    </w:p>
    <w:p w14:paraId="2007C149" w14:textId="77777777" w:rsidR="00AD081E" w:rsidRPr="00AD081E" w:rsidRDefault="00AD081E" w:rsidP="00AD081E">
      <w:pPr>
        <w:rPr>
          <w:rFonts w:eastAsia="Calibri"/>
        </w:rPr>
      </w:pPr>
      <w:r w:rsidRPr="00AD081E">
        <w:rPr>
          <w:rFonts w:eastAsia="Calibri"/>
        </w:rPr>
        <w:t xml:space="preserve">The senders and receivers of OTH messages are called </w:t>
      </w:r>
      <w:r w:rsidRPr="00AD081E">
        <w:rPr>
          <w:rFonts w:eastAsia="Calibri"/>
          <w:i/>
        </w:rPr>
        <w:t>nodes</w:t>
      </w:r>
      <w:r w:rsidRPr="00AD081E">
        <w:rPr>
          <w:rFonts w:eastAsia="Calibri"/>
        </w:rPr>
        <w:t>. There are currently four types of nodes defined in the XPL extension of the Valid Platform List.</w:t>
      </w:r>
    </w:p>
    <w:p w14:paraId="648EDD3E" w14:textId="77777777" w:rsidR="00AD081E" w:rsidRPr="00AD081E" w:rsidRDefault="00AD081E" w:rsidP="006D5A65">
      <w:pPr>
        <w:pStyle w:val="Heading1"/>
      </w:pPr>
      <w:r w:rsidRPr="00AD081E">
        <w:t>TTWCS nodes are the weapon control systems on the firing units.</w:t>
      </w:r>
    </w:p>
    <w:p w14:paraId="57CA778D" w14:textId="77777777" w:rsidR="00AD081E" w:rsidRPr="00AD081E" w:rsidRDefault="00AD081E" w:rsidP="006D5A65">
      <w:pPr>
        <w:pStyle w:val="Heading1"/>
      </w:pPr>
      <w:r w:rsidRPr="00AD081E">
        <w:t>TED nodes are TMPC systems of version TMPC 5.0 and higher.</w:t>
      </w:r>
    </w:p>
    <w:p w14:paraId="0D5948DF" w14:textId="77777777" w:rsidR="00AD081E" w:rsidRPr="00AD081E" w:rsidRDefault="00AD081E" w:rsidP="006D5A65">
      <w:pPr>
        <w:pStyle w:val="Heading1"/>
      </w:pPr>
      <w:r w:rsidRPr="00AD081E">
        <w:t>MDS nodes are TMPC</w:t>
      </w:r>
      <w:r w:rsidRPr="00AD081E" w:rsidDel="003D6207">
        <w:t xml:space="preserve"> </w:t>
      </w:r>
      <w:r w:rsidRPr="00AD081E">
        <w:t>systems of version TMPC</w:t>
      </w:r>
      <w:r w:rsidRPr="00AD081E" w:rsidDel="003D6207">
        <w:t xml:space="preserve"> </w:t>
      </w:r>
      <w:r w:rsidRPr="00AD081E">
        <w:t>4.3.x and lower (MDS version 4.5.x and lower).</w:t>
      </w:r>
    </w:p>
    <w:p w14:paraId="354D5506" w14:textId="136A81AB" w:rsidR="00AD081E" w:rsidRPr="00AD081E" w:rsidRDefault="00AD081E" w:rsidP="006D5A65">
      <w:pPr>
        <w:pStyle w:val="Heading1"/>
      </w:pPr>
      <w:r w:rsidRPr="00AD081E">
        <w:t xml:space="preserve">NSP nodes are gateways between the space segment (i.e., satellites and missiles) and participating surface units in the ACA TSN (see </w:t>
      </w:r>
      <w:hyperlink w:anchor="TSN_Communications" w:history="1">
        <w:r w:rsidRPr="00AD081E">
          <w:rPr>
            <w:rFonts w:eastAsia="Calibri"/>
            <w:color w:val="0000FF"/>
            <w:u w:val="single"/>
          </w:rPr>
          <w:t>Section R.4.1.3</w:t>
        </w:r>
      </w:hyperlink>
      <w:r w:rsidRPr="00AD081E">
        <w:t xml:space="preserve"> for more information about TSN communications). Although specified in the Valid Platform List along with the other nodes, NSP nodes do not actually send or receive OTH messages.</w:t>
      </w:r>
    </w:p>
    <w:p w14:paraId="72C3A1FD" w14:textId="77777777" w:rsidR="00AD081E" w:rsidRPr="00AD081E" w:rsidRDefault="00AD081E" w:rsidP="00AD081E">
      <w:pPr>
        <w:rPr>
          <w:rFonts w:eastAsia="Calibri"/>
        </w:rPr>
      </w:pPr>
      <w:r w:rsidRPr="00AD081E">
        <w:rPr>
          <w:rFonts w:eastAsia="Calibri"/>
        </w:rPr>
        <w:t>The nodes participating in a strike folder are identified in the Task Organization assigned to that strike folder. The nodes participating in a specific strike package are identified in the arsenal for that strike package.</w:t>
      </w:r>
    </w:p>
    <w:p w14:paraId="562A6CCE" w14:textId="77777777" w:rsidR="00AD081E" w:rsidRPr="00AD081E" w:rsidRDefault="00AD081E" w:rsidP="00AD081E">
      <w:pPr>
        <w:rPr>
          <w:rFonts w:eastAsia="Calibri"/>
        </w:rPr>
      </w:pPr>
      <w:r w:rsidRPr="00AD081E">
        <w:rPr>
          <w:rFonts w:eastAsia="Calibri"/>
        </w:rPr>
        <w:lastRenderedPageBreak/>
        <w:t>Throughout this Appendix, references to TED nodes, MDS nodes, NSP nodes, and TTWCS nodes refer to these types of communication nodes. Each node is uniquely identified by its assigned location code. The Valid Platform List (VPL), issued by the System Support Activity (SSA), is the official directory of nodes and their location codes.</w:t>
      </w:r>
    </w:p>
    <w:p w14:paraId="349D0B74" w14:textId="77777777" w:rsidR="00AD081E" w:rsidRPr="00AD081E" w:rsidRDefault="00AD081E" w:rsidP="00B71F29">
      <w:pPr>
        <w:pStyle w:val="Appendix5"/>
      </w:pPr>
      <w:r w:rsidRPr="00AD081E">
        <w:t>Subscriber Identifiers</w:t>
      </w:r>
    </w:p>
    <w:p w14:paraId="07CD3B35" w14:textId="02D6DAD4" w:rsidR="00AD081E" w:rsidRPr="00AD081E" w:rsidRDefault="00AD081E" w:rsidP="00AD081E">
      <w:pPr>
        <w:rPr>
          <w:rFonts w:eastAsia="Calibri"/>
        </w:rPr>
      </w:pPr>
      <w:r w:rsidRPr="00AD081E">
        <w:rPr>
          <w:rFonts w:eastAsia="Calibri"/>
        </w:rPr>
        <w:t xml:space="preserve">OTH communications identify participants using subscriber </w:t>
      </w:r>
      <w:r w:rsidR="00E9356E">
        <w:rPr>
          <w:rFonts w:eastAsia="Calibri"/>
        </w:rPr>
        <w:t>ID</w:t>
      </w:r>
      <w:r w:rsidR="00E9356E" w:rsidRPr="00AD081E">
        <w:rPr>
          <w:rFonts w:eastAsia="Calibri"/>
        </w:rPr>
        <w:t xml:space="preserve">s </w:t>
      </w:r>
      <w:r w:rsidRPr="00AD081E">
        <w:rPr>
          <w:rFonts w:eastAsia="Calibri"/>
        </w:rPr>
        <w:t xml:space="preserve">(SIDs). These are ordinary two-byte integers in the range from 1 to 16383 assigned to a communications node. SIDs are not guaranteed to be unique to a node. In fact, it is often the case that all nodes on a particular FRU, both TTWCS and TED (or TTWCS and MDS), are assigned a single SID. </w:t>
      </w:r>
    </w:p>
    <w:p w14:paraId="67652077" w14:textId="77777777" w:rsidR="00AD081E" w:rsidRPr="00AD081E" w:rsidRDefault="00AD081E" w:rsidP="00AD081E">
      <w:pPr>
        <w:rPr>
          <w:rFonts w:eastAsia="Calibri"/>
        </w:rPr>
      </w:pPr>
      <w:r w:rsidRPr="00AD081E">
        <w:rPr>
          <w:rFonts w:eastAsia="Calibri"/>
        </w:rPr>
        <w:t>OTH SIDs are not the same as the location codes which uniquely identify Tomahawk communications nodes.</w:t>
      </w:r>
    </w:p>
    <w:p w14:paraId="2D9B689F" w14:textId="77777777" w:rsidR="00AD081E" w:rsidRPr="00AD081E" w:rsidRDefault="00AD081E" w:rsidP="00B71F29">
      <w:pPr>
        <w:pStyle w:val="Appendix5"/>
      </w:pPr>
      <w:r w:rsidRPr="00AD081E">
        <w:t>Guard List</w:t>
      </w:r>
    </w:p>
    <w:p w14:paraId="3E096B1C" w14:textId="77777777" w:rsidR="00AD081E" w:rsidRPr="00AD081E" w:rsidRDefault="00AD081E" w:rsidP="00AD081E">
      <w:pPr>
        <w:rPr>
          <w:rFonts w:eastAsia="Calibri"/>
        </w:rPr>
      </w:pPr>
      <w:r w:rsidRPr="00AD081E">
        <w:rPr>
          <w:rFonts w:eastAsia="Calibri"/>
        </w:rPr>
        <w:t>Each interface between a LINT and a participant also has a guard list that can restrict the participants from which it can receive messages. There are three basic strategies for specifying the guard list.</w:t>
      </w:r>
    </w:p>
    <w:p w14:paraId="0A5EF8BA" w14:textId="0795A52D" w:rsidR="00AD081E" w:rsidRPr="00AD081E" w:rsidRDefault="00AD081E" w:rsidP="006D5A65">
      <w:pPr>
        <w:pStyle w:val="Heading1"/>
      </w:pPr>
      <w:r w:rsidRPr="00AD081E">
        <w:t xml:space="preserve">The entire range of subscriber </w:t>
      </w:r>
      <w:r w:rsidR="00E9356E">
        <w:t>ID</w:t>
      </w:r>
      <w:r w:rsidRPr="00AD081E">
        <w:t xml:space="preserve">s (1 to 16383) can be specified, meaning that the participant can receive messages from all other subscribers on the network. This setting is the easiest to set </w:t>
      </w:r>
      <w:r w:rsidR="000D0CA9" w:rsidRPr="00AD081E">
        <w:t>up but</w:t>
      </w:r>
      <w:r w:rsidRPr="00AD081E">
        <w:t xml:space="preserve"> is not recommended if there might be other strike operations sending messages to your TCIP.</w:t>
      </w:r>
    </w:p>
    <w:p w14:paraId="7878AC18" w14:textId="77777777" w:rsidR="00AD081E" w:rsidRPr="00AD081E" w:rsidRDefault="00AD081E" w:rsidP="006D5A65">
      <w:pPr>
        <w:pStyle w:val="Heading1"/>
      </w:pPr>
      <w:r w:rsidRPr="00AD081E">
        <w:t>An assigned sub-range of SIDs can be specified. If a particular exercise or strike group has an assigned range of SIDs, this ensures that messages are only received from other participants in the same exercise or strike group.</w:t>
      </w:r>
    </w:p>
    <w:p w14:paraId="486EFB38" w14:textId="747BC5F8" w:rsidR="00AD081E" w:rsidRPr="00AD081E" w:rsidRDefault="00AD081E" w:rsidP="006D5A65">
      <w:pPr>
        <w:pStyle w:val="Heading1"/>
      </w:pPr>
      <w:r w:rsidRPr="00AD081E">
        <w:t xml:space="preserve">Each of the specific SIDs of desired participants can be specified. This is the most controlled of the </w:t>
      </w:r>
      <w:r w:rsidR="000D0CA9" w:rsidRPr="00AD081E">
        <w:t>settings but</w:t>
      </w:r>
      <w:r w:rsidRPr="00AD081E">
        <w:t xml:space="preserve"> requires modification of the guard list configuration for each interface each time one or more participants are added or removed.</w:t>
      </w:r>
    </w:p>
    <w:p w14:paraId="64A87FC3" w14:textId="77777777" w:rsidR="00AD081E" w:rsidRPr="00AD081E" w:rsidRDefault="00AD081E" w:rsidP="00B71F29">
      <w:pPr>
        <w:pStyle w:val="Appendix4"/>
        <w:ind w:left="360"/>
      </w:pPr>
      <w:r w:rsidRPr="00AD081E">
        <w:t>HTTPS Communications</w:t>
      </w:r>
    </w:p>
    <w:p w14:paraId="2F3A55AD" w14:textId="77777777" w:rsidR="00AD081E" w:rsidRPr="00AD081E" w:rsidRDefault="00AD081E" w:rsidP="00AD081E">
      <w:pPr>
        <w:rPr>
          <w:rFonts w:eastAsia="Calibri"/>
        </w:rPr>
      </w:pPr>
      <w:r w:rsidRPr="00AD081E">
        <w:rPr>
          <w:rFonts w:eastAsia="Calibri"/>
        </w:rPr>
        <w:t>Secure Hypertext Transfer Protocol (HTTPS) can be used as an alternative to OTH for the sending and receiving of DDOs. In general, OTH communications are always to be preferred if a TCIP is available.</w:t>
      </w:r>
    </w:p>
    <w:p w14:paraId="6BF58EA9" w14:textId="77777777" w:rsidR="00AD081E" w:rsidRPr="00AD081E" w:rsidRDefault="00AD081E" w:rsidP="00AD081E">
      <w:pPr>
        <w:rPr>
          <w:rFonts w:eastAsia="Calibri"/>
        </w:rPr>
      </w:pPr>
      <w:r w:rsidRPr="00AD081E">
        <w:rPr>
          <w:rFonts w:eastAsia="Calibri"/>
        </w:rPr>
        <w:t xml:space="preserve">There is one circumstance, however, in which HTTPS communications are required. When TSRT is run on a TED node that is also an active participant in the strike (by which we mean that an MDS SMD will be running and attached to the TED node during the strike), the TED must be configured to communicate with itself using HTTPS rather than OTH. This is necessary because its single LINT port cannot send OTH messages to itself. While a rehearsal is running, however, </w:t>
      </w:r>
      <w:r w:rsidRPr="00AD081E">
        <w:rPr>
          <w:rFonts w:eastAsia="Calibri"/>
        </w:rPr>
        <w:lastRenderedPageBreak/>
        <w:t xml:space="preserve">the TSRT and the MDS have to be able to exchange messages. HTTPS is the alternate message path that makes this exchange possible. </w:t>
      </w:r>
    </w:p>
    <w:p w14:paraId="466EC7CE" w14:textId="77777777" w:rsidR="00AD081E" w:rsidRPr="00AD081E" w:rsidRDefault="00AD081E" w:rsidP="00AD081E">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AD081E">
        <w:rPr>
          <w:b/>
        </w:rPr>
        <w:t>Note:</w:t>
      </w:r>
    </w:p>
    <w:p w14:paraId="22F3FE95" w14:textId="77777777" w:rsidR="00AD081E" w:rsidRPr="00AD081E" w:rsidRDefault="00AD081E" w:rsidP="00AD081E">
      <w:pPr>
        <w:keepNext/>
        <w:keepLines/>
        <w:pBdr>
          <w:top w:val="single" w:sz="12" w:space="1" w:color="auto"/>
          <w:left w:val="single" w:sz="12" w:space="4" w:color="auto"/>
          <w:bottom w:val="single" w:sz="12" w:space="0" w:color="auto"/>
          <w:right w:val="single" w:sz="12" w:space="4" w:color="auto"/>
        </w:pBdr>
        <w:shd w:val="clear" w:color="auto" w:fill="D9D9D9"/>
        <w:spacing w:after="0"/>
        <w:jc w:val="center"/>
        <w:rPr>
          <w:b/>
        </w:rPr>
      </w:pPr>
      <w:r w:rsidRPr="00AD081E">
        <w:rPr>
          <w:b/>
        </w:rPr>
        <w:t>Only the TED node that is hosting TSRT should be configured to prefer HTTPS communications. All other strike participants should still be configured to prefer OTH to communicate with the TSRT’s TED.</w:t>
      </w:r>
    </w:p>
    <w:p w14:paraId="057A5E51" w14:textId="0355D404" w:rsidR="00AD081E" w:rsidRPr="00AD081E" w:rsidRDefault="00AD081E" w:rsidP="00AD081E">
      <w:pPr>
        <w:spacing w:before="120"/>
        <w:rPr>
          <w:rFonts w:eastAsia="Calibri"/>
        </w:rPr>
      </w:pPr>
      <w:r w:rsidRPr="00AD081E">
        <w:rPr>
          <w:rFonts w:eastAsia="Calibri"/>
        </w:rPr>
        <w:t xml:space="preserve">Ensure that when HTTPS is the preferred communications method specified in the Nodes tool, that both the </w:t>
      </w:r>
      <w:r w:rsidRPr="00AD081E">
        <w:rPr>
          <w:rFonts w:eastAsia="Calibri"/>
          <w:b/>
        </w:rPr>
        <w:t>HTTPS</w:t>
      </w:r>
      <w:r w:rsidRPr="00AD081E">
        <w:rPr>
          <w:rFonts w:eastAsia="Calibri"/>
        </w:rPr>
        <w:t xml:space="preserve"> checkbox is checked and that the </w:t>
      </w:r>
      <w:r w:rsidRPr="00AD081E">
        <w:rPr>
          <w:rFonts w:eastAsia="Calibri"/>
          <w:b/>
        </w:rPr>
        <w:t>Preferred Receive Method</w:t>
      </w:r>
      <w:r w:rsidRPr="00AD081E">
        <w:rPr>
          <w:rFonts w:eastAsia="Calibri"/>
        </w:rPr>
        <w:t xml:space="preserve"> pulldown is set to </w:t>
      </w:r>
      <w:r w:rsidRPr="00AD081E">
        <w:rPr>
          <w:rFonts w:eastAsia="Calibri"/>
          <w:b/>
        </w:rPr>
        <w:t>HTTPS</w:t>
      </w:r>
      <w:r w:rsidRPr="00AD081E">
        <w:rPr>
          <w:rFonts w:eastAsia="Calibri"/>
        </w:rPr>
        <w:t xml:space="preserve">. </w:t>
      </w:r>
    </w:p>
    <w:p w14:paraId="71A205C5" w14:textId="200AC538" w:rsidR="006E1503" w:rsidRPr="00AD081E" w:rsidRDefault="006E1503" w:rsidP="00AD081E">
      <w:pPr>
        <w:spacing w:before="120"/>
        <w:jc w:val="center"/>
        <w:rPr>
          <w:rFonts w:eastAsia="Calibri"/>
        </w:rPr>
      </w:pPr>
      <w:r>
        <w:rPr>
          <w:noProof/>
        </w:rPr>
        <w:drawing>
          <wp:inline distT="0" distB="0" distL="0" distR="0" wp14:anchorId="583CC285" wp14:editId="645A974F">
            <wp:extent cx="4114800" cy="2990088"/>
            <wp:effectExtent l="0" t="0" r="0" b="1270"/>
            <wp:docPr id="513" name="Picture 51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10;&#10;Description automatically generated"/>
                    <pic:cNvPicPr/>
                  </pic:nvPicPr>
                  <pic:blipFill>
                    <a:blip/>
                    <a:stretch>
                      <a:fillRect/>
                    </a:stretch>
                  </pic:blipFill>
                  <pic:spPr>
                    <a:xfrm>
                      <a:off x="0" y="0"/>
                      <a:ext cx="4114800" cy="2990088"/>
                    </a:xfrm>
                    <a:prstGeom prst="rect">
                      <a:avLst/>
                    </a:prstGeom>
                  </pic:spPr>
                </pic:pic>
              </a:graphicData>
            </a:graphic>
          </wp:inline>
        </w:drawing>
      </w:r>
    </w:p>
    <w:p w14:paraId="6B222830" w14:textId="77777777" w:rsidR="00AD081E" w:rsidRPr="00AD081E" w:rsidRDefault="00AD081E" w:rsidP="00B71F29">
      <w:pPr>
        <w:pStyle w:val="Appendix5"/>
      </w:pPr>
      <w:r w:rsidRPr="00AD081E">
        <w:t>IP Addresses</w:t>
      </w:r>
    </w:p>
    <w:p w14:paraId="186CB4D9" w14:textId="77777777" w:rsidR="00AD081E" w:rsidRPr="00AD081E" w:rsidRDefault="00AD081E" w:rsidP="00AD081E">
      <w:pPr>
        <w:rPr>
          <w:rFonts w:eastAsia="Calibri"/>
        </w:rPr>
      </w:pPr>
      <w:r w:rsidRPr="00AD081E">
        <w:rPr>
          <w:rFonts w:eastAsia="Calibri"/>
        </w:rPr>
        <w:t>HTTPS communications identify participants using internet protocol (IP) addresses. These addresses take the form of either 4 or 6 single-byte unsigned integers concatenated using dots, e.g., 10.28.7.56. While not guaranteed, IP addresses (with certain exceptions) are supposed to be unique on their IP network at any given time, identifying a particular network interface on a particular computer.</w:t>
      </w:r>
    </w:p>
    <w:p w14:paraId="1D62A29B" w14:textId="77777777" w:rsidR="00AD081E" w:rsidRPr="00AD081E" w:rsidRDefault="00AD081E" w:rsidP="00B71F29">
      <w:pPr>
        <w:pStyle w:val="Appendix4"/>
        <w:ind w:left="360"/>
      </w:pPr>
      <w:bookmarkStart w:id="8302" w:name="TSN_Communications"/>
      <w:bookmarkEnd w:id="8302"/>
      <w:r w:rsidRPr="00AD081E">
        <w:t>TSN Communications</w:t>
      </w:r>
    </w:p>
    <w:p w14:paraId="6C04C981" w14:textId="77777777" w:rsidR="00AD081E" w:rsidRPr="00AD081E" w:rsidRDefault="00AD081E" w:rsidP="00AD081E">
      <w:pPr>
        <w:rPr>
          <w:rFonts w:eastAsia="Calibri"/>
        </w:rPr>
      </w:pPr>
      <w:r w:rsidRPr="00AD081E">
        <w:rPr>
          <w:rFonts w:eastAsia="Calibri"/>
        </w:rPr>
        <w:t>The Tomahawk Strike Networks (TSNs) carry messages from 109E missiles to participating strike nodes and from strike nodes designated as missile controllers to the 109E missiles they control. They also carry coordination messages (pings, acknowledgements, filter messages, and filter response messages) between participating strike nodes.</w:t>
      </w:r>
    </w:p>
    <w:p w14:paraId="0EB358B8" w14:textId="7865C60E" w:rsidR="00AD081E" w:rsidRPr="00AD081E" w:rsidRDefault="00AD081E" w:rsidP="00AD081E">
      <w:pPr>
        <w:rPr>
          <w:rFonts w:eastAsia="Calibri"/>
        </w:rPr>
      </w:pPr>
      <w:r w:rsidRPr="00AD081E">
        <w:rPr>
          <w:rFonts w:eastAsia="Calibri"/>
        </w:rPr>
        <w:t xml:space="preserve">There are two TSNs. The DAMA TSN is the older TSN. Participants using the DAMA TSN communicate directly with the UHF satellite providing the network connectivity. The </w:t>
      </w:r>
      <w:r w:rsidRPr="00AD081E">
        <w:rPr>
          <w:iCs/>
        </w:rPr>
        <w:t>Advanced Communication Architecture (ACA)</w:t>
      </w:r>
      <w:r w:rsidRPr="00AD081E">
        <w:rPr>
          <w:rFonts w:eastAsia="Calibri"/>
        </w:rPr>
        <w:t xml:space="preserve"> TSN is the modernized TSN and provides higher data rates. </w:t>
      </w:r>
      <w:r w:rsidRPr="00AD081E">
        <w:rPr>
          <w:rFonts w:eastAsia="Calibri"/>
        </w:rPr>
        <w:lastRenderedPageBreak/>
        <w:t xml:space="preserve">When using the satellite portion of the network (i.e., to exchange data with missiles), participants using the ACA TSN communicate via the </w:t>
      </w:r>
      <w:r w:rsidR="001603CA">
        <w:rPr>
          <w:rFonts w:eastAsia="Calibri"/>
        </w:rPr>
        <w:t>TSC</w:t>
      </w:r>
      <w:r w:rsidR="001603CA" w:rsidRPr="00AD081E">
        <w:rPr>
          <w:rFonts w:eastAsia="Calibri"/>
        </w:rPr>
        <w:t xml:space="preserve">’s </w:t>
      </w:r>
      <w:r w:rsidRPr="00AD081E">
        <w:rPr>
          <w:rFonts w:eastAsia="Calibri"/>
        </w:rPr>
        <w:t>TCIP, which has a TCIP interface to a ground station (NSP node), which in turn has a direct link to the satellite.</w:t>
      </w:r>
      <w:r w:rsidRPr="00AD081E">
        <w:t xml:space="preserve"> Otherwise, participants using the ACA TSN communicate through their </w:t>
      </w:r>
      <w:r w:rsidR="001603CA">
        <w:t>TSC</w:t>
      </w:r>
      <w:r w:rsidR="001603CA" w:rsidRPr="00AD081E">
        <w:t xml:space="preserve"> </w:t>
      </w:r>
      <w:r w:rsidRPr="00AD081E">
        <w:t>node.</w:t>
      </w:r>
    </w:p>
    <w:p w14:paraId="115F5241" w14:textId="77777777" w:rsidR="00AD081E" w:rsidRPr="00AD081E" w:rsidRDefault="00AD081E" w:rsidP="00AD081E">
      <w:pPr>
        <w:rPr>
          <w:rFonts w:eastAsia="Calibri"/>
        </w:rPr>
      </w:pPr>
      <w:r w:rsidRPr="00AD081E">
        <w:rPr>
          <w:rFonts w:eastAsia="Calibri"/>
        </w:rPr>
        <w:t>TSN communication connections are provided by a separate TCIP machine using server software called TSNIF. If a TED’s TDM Distribution Agent is not connected to TSNIF on a TCIP, TSN communications must be simulated.</w:t>
      </w:r>
    </w:p>
    <w:p w14:paraId="10E33F10" w14:textId="4B66B1DB" w:rsidR="00AD081E" w:rsidRPr="00AD081E" w:rsidRDefault="00AD081E" w:rsidP="00AD081E">
      <w:pPr>
        <w:rPr>
          <w:rFonts w:eastAsia="Calibri"/>
        </w:rPr>
      </w:pPr>
      <w:r w:rsidRPr="00AD081E">
        <w:rPr>
          <w:rFonts w:eastAsia="Calibri"/>
        </w:rPr>
        <w:t>The DAMA TSN is a satellite-mediated network. Entities wishing to send a message request transmission slot from the satellite, and, if their request is granted, transmit messages to the satellite during their assigned time slots. The satellite then distributes the messages to the other strike participants.</w:t>
      </w:r>
    </w:p>
    <w:p w14:paraId="78F70C2B" w14:textId="77777777" w:rsidR="00AD081E" w:rsidRPr="00AD081E" w:rsidRDefault="00AD081E" w:rsidP="00AD081E">
      <w:pPr>
        <w:rPr>
          <w:rFonts w:eastAsia="Calibri"/>
        </w:rPr>
      </w:pPr>
      <w:r w:rsidRPr="00AD081E">
        <w:rPr>
          <w:rFonts w:eastAsia="Calibri"/>
        </w:rPr>
        <w:t>In laboratories, the satellite part of the DAMA TSN is often excluded by setting up direct routes between connected nodes on the same TSNIF. Unlike satellite operations, direct routes in the TSNIF never reject or fail to respond to transmission requests, and they are not limited by the actual bandwidth of the satellite.</w:t>
      </w:r>
    </w:p>
    <w:p w14:paraId="389AD923" w14:textId="5CAB7B08" w:rsidR="00AD081E" w:rsidRPr="00AD081E" w:rsidRDefault="00AD081E" w:rsidP="00E869EC">
      <w:pPr>
        <w:pStyle w:val="Appendix5"/>
        <w:ind w:left="0" w:firstLine="0"/>
      </w:pPr>
      <w:r w:rsidRPr="00AD081E">
        <w:t>Subscriber Identifiers</w:t>
      </w:r>
    </w:p>
    <w:p w14:paraId="2788F5F3" w14:textId="12EE6A21" w:rsidR="00AD081E" w:rsidRPr="00AD081E" w:rsidRDefault="00AD081E" w:rsidP="00B71F29">
      <w:pPr>
        <w:rPr>
          <w:rFonts w:eastAsia="Calibri"/>
        </w:rPr>
      </w:pPr>
      <w:r w:rsidRPr="00AD081E">
        <w:rPr>
          <w:rFonts w:eastAsia="Calibri"/>
        </w:rPr>
        <w:t xml:space="preserve">TSN communications identify participants using subscriber </w:t>
      </w:r>
      <w:r w:rsidR="00E9356E">
        <w:rPr>
          <w:rFonts w:eastAsia="Calibri"/>
        </w:rPr>
        <w:t>ID</w:t>
      </w:r>
      <w:r w:rsidR="00E9356E" w:rsidRPr="00AD081E">
        <w:rPr>
          <w:rFonts w:eastAsia="Calibri"/>
        </w:rPr>
        <w:t xml:space="preserve">s </w:t>
      </w:r>
      <w:r w:rsidRPr="00AD081E">
        <w:rPr>
          <w:rFonts w:eastAsia="Calibri"/>
        </w:rPr>
        <w:t>(SIDs). These are ordinary two-byte integers. SIDs are not guaranteed to be unique, but at any given time there should be only one participant with a given SID on its network. The same SIDs can be used by different missiles over the course of a strike, but correct practice is to not assign the same SID to two missiles that could possibly be in the air at the same time.</w:t>
      </w:r>
    </w:p>
    <w:p w14:paraId="4C5023C6" w14:textId="77777777" w:rsidR="00AD081E" w:rsidRPr="00AD081E" w:rsidRDefault="00AD081E" w:rsidP="00E869EC">
      <w:pPr>
        <w:pStyle w:val="Appendix4"/>
        <w:ind w:left="0" w:firstLine="0"/>
      </w:pPr>
      <w:r w:rsidRPr="00AD081E">
        <w:t>Interfaces and Routes</w:t>
      </w:r>
    </w:p>
    <w:p w14:paraId="39793B1F" w14:textId="77777777" w:rsidR="00AD081E" w:rsidRPr="00AD081E" w:rsidRDefault="00AD081E" w:rsidP="00B71F29">
      <w:pPr>
        <w:rPr>
          <w:rFonts w:eastAsia="Calibri"/>
        </w:rPr>
      </w:pPr>
      <w:r w:rsidRPr="00AD081E">
        <w:rPr>
          <w:rFonts w:eastAsia="Calibri"/>
        </w:rPr>
        <w:t xml:space="preserve">Configuration of LINT and TSNIF requires the definition of </w:t>
      </w:r>
      <w:r w:rsidRPr="00AD081E">
        <w:rPr>
          <w:rFonts w:eastAsia="Calibri"/>
          <w:i/>
        </w:rPr>
        <w:t>interfaces</w:t>
      </w:r>
      <w:r w:rsidRPr="00AD081E">
        <w:rPr>
          <w:rFonts w:eastAsia="Calibri"/>
        </w:rPr>
        <w:t xml:space="preserve"> and </w:t>
      </w:r>
      <w:r w:rsidRPr="00AD081E">
        <w:rPr>
          <w:rFonts w:eastAsia="Calibri"/>
          <w:i/>
        </w:rPr>
        <w:t>routes</w:t>
      </w:r>
      <w:r w:rsidRPr="00AD081E">
        <w:rPr>
          <w:rFonts w:eastAsia="Calibri"/>
        </w:rPr>
        <w:t>. A good way to think of these is that the interfaces are the paths from participating nodes or other TCIPs outside the LINT or TSNIF, while the routes are the paths inside the LINT or TSNIF that data must travel to get from one interface to another.</w:t>
      </w:r>
    </w:p>
    <w:p w14:paraId="7ADDE615" w14:textId="77777777" w:rsidR="00AD081E" w:rsidRPr="00AD081E" w:rsidRDefault="00AD081E" w:rsidP="00B71F29">
      <w:pPr>
        <w:rPr>
          <w:rFonts w:eastAsia="Calibri"/>
        </w:rPr>
      </w:pPr>
      <w:r w:rsidRPr="00AD081E">
        <w:rPr>
          <w:rFonts w:eastAsia="Calibri"/>
        </w:rPr>
        <w:t>A difference is that each interface is bidirectional, whereas data can travel each route in only one direction, from its source interface to its destination interface. While this allows a great deal of flexibility in defining data flows, rehearsing a strike almost always requires bidirectional data flow between each pair of interfaces. To accomplish this, for each possible pair of interfaces used during the rehearsal, two routes are defined, one in each direction.</w:t>
      </w:r>
    </w:p>
    <w:p w14:paraId="2DD09AF5" w14:textId="77777777" w:rsidR="00AD081E" w:rsidRPr="00AD081E" w:rsidRDefault="00AD081E" w:rsidP="00E869EC">
      <w:pPr>
        <w:pStyle w:val="Appendix3"/>
        <w:ind w:left="0" w:firstLine="0"/>
      </w:pPr>
      <w:bookmarkStart w:id="8303" w:name="_Toc214283768"/>
      <w:r w:rsidRPr="00AD081E">
        <w:t>Communications and Simulation</w:t>
      </w:r>
      <w:bookmarkEnd w:id="8303"/>
    </w:p>
    <w:p w14:paraId="36D56F10" w14:textId="77777777" w:rsidR="00AD081E" w:rsidRPr="00AD081E" w:rsidRDefault="00AD081E" w:rsidP="00E869EC">
      <w:pPr>
        <w:pStyle w:val="Appendix4"/>
        <w:ind w:left="0" w:firstLine="0"/>
      </w:pPr>
      <w:r w:rsidRPr="00AD081E">
        <w:t>Live Nodes and Simulated Nodes</w:t>
      </w:r>
    </w:p>
    <w:p w14:paraId="35128C49" w14:textId="77777777" w:rsidR="00AD081E" w:rsidRPr="00AD081E" w:rsidRDefault="00AD081E" w:rsidP="00AD081E">
      <w:pPr>
        <w:rPr>
          <w:rFonts w:eastAsia="Calibri"/>
        </w:rPr>
      </w:pPr>
      <w:r w:rsidRPr="00AD081E">
        <w:rPr>
          <w:rFonts w:eastAsia="Calibri"/>
        </w:rPr>
        <w:t>Live nodes are communications nodes that are physically present and able to receive messages during a rehearsal. Depending on their role in the strike, they may also be able to act on events and send messages as the rehearsal progresses. Live nodes may be of any node type: NSP, TTWCS, TED, or MDS. A rehearsal always has at least one live node; the TSRT’s TED node.</w:t>
      </w:r>
    </w:p>
    <w:p w14:paraId="239C8D56" w14:textId="77777777" w:rsidR="00AD081E" w:rsidRPr="00AD081E" w:rsidRDefault="00AD081E" w:rsidP="00AD081E">
      <w:pPr>
        <w:rPr>
          <w:rFonts w:eastAsia="Calibri"/>
        </w:rPr>
      </w:pPr>
      <w:r w:rsidRPr="00AD081E">
        <w:rPr>
          <w:rFonts w:eastAsia="Calibri"/>
        </w:rPr>
        <w:lastRenderedPageBreak/>
        <w:t>The TTWCS nodes of FRUs designated as simulated in the TSRT setup for the strike execution folder being rehearsed will be simulated by TSRT. During the rehearsal, TSRT’s TED will send and receive messages on behalf of these nodes to other strike participants. At present, only TTWCS nodes can be simulated; neither TED nor MDS nodes can currently be simulated by TSRT.</w:t>
      </w:r>
    </w:p>
    <w:p w14:paraId="47E6D44A" w14:textId="77777777" w:rsidR="00AD081E" w:rsidRPr="00AD081E" w:rsidRDefault="00AD081E" w:rsidP="00AD081E">
      <w:pPr>
        <w:rPr>
          <w:rFonts w:eastAsia="Calibri"/>
        </w:rPr>
      </w:pPr>
      <w:r w:rsidRPr="00AD081E">
        <w:rPr>
          <w:rFonts w:eastAsia="Calibri"/>
        </w:rPr>
        <w:t>Nodes identified in the strike arsenal which are neither simulated nor live are not able to participate in the rehearsal. These nodes are inert during the rehearsal, neither receiving nor sending messages. TED and MDS nodes of simulated FRUs are inert if they are not live. Even though they don’t do anything, their communications still require some minimal configuration to keep MDS and TSRT from issuing warnings about missing comms information.</w:t>
      </w:r>
    </w:p>
    <w:p w14:paraId="7D6AEFA0" w14:textId="77777777" w:rsidR="00AD081E" w:rsidRPr="00AD081E" w:rsidRDefault="00AD081E" w:rsidP="00B71F29">
      <w:pPr>
        <w:pStyle w:val="Appendix4"/>
        <w:ind w:left="360"/>
      </w:pPr>
      <w:r w:rsidRPr="00AD081E">
        <w:t>TSRT is the Rest of the World</w:t>
      </w:r>
    </w:p>
    <w:p w14:paraId="0A77B7AD" w14:textId="77777777" w:rsidR="00AD081E" w:rsidRPr="00AD081E" w:rsidRDefault="00AD081E" w:rsidP="00AD081E">
      <w:pPr>
        <w:rPr>
          <w:rFonts w:eastAsia="Calibri"/>
        </w:rPr>
      </w:pPr>
      <w:r w:rsidRPr="00AD081E">
        <w:rPr>
          <w:rFonts w:eastAsia="Calibri"/>
        </w:rPr>
        <w:t>TSRT’s role in a rehearsal is to represent the rest of the world; everything that is not one of the live participants. To do this job, TSRT must be aware of everything the live participants do that could affect the world. In the realm of communications, this means that TSRT’s TED must receive every message that is sent out from a live participant during the rehearsal.</w:t>
      </w:r>
    </w:p>
    <w:p w14:paraId="2DCE26B7" w14:textId="77777777" w:rsidR="00AD081E" w:rsidRPr="00AD081E" w:rsidRDefault="00AD081E" w:rsidP="00B71F29">
      <w:pPr>
        <w:pStyle w:val="Appendix4"/>
        <w:ind w:left="360"/>
      </w:pPr>
      <w:r w:rsidRPr="00AD081E">
        <w:t>TSRT Gets It or It Didn’t Happen</w:t>
      </w:r>
    </w:p>
    <w:p w14:paraId="58AFFD2A" w14:textId="77777777" w:rsidR="00AD081E" w:rsidRPr="00AD081E" w:rsidRDefault="00AD081E" w:rsidP="00AD081E">
      <w:pPr>
        <w:rPr>
          <w:rFonts w:eastAsia="Calibri"/>
        </w:rPr>
      </w:pPr>
      <w:r w:rsidRPr="00AD081E">
        <w:rPr>
          <w:rFonts w:eastAsia="Calibri"/>
        </w:rPr>
        <w:t>If TSRT does not receive a message for a particular FRU or missile, the state of the simulation will not reflect receipt and processing of the message by that FRU or missile so, in essence, the message never happened in the rest of the world that TSRT is.</w:t>
      </w:r>
    </w:p>
    <w:p w14:paraId="7290276B" w14:textId="77777777" w:rsidR="00AD081E" w:rsidRPr="00AD081E" w:rsidRDefault="00AD081E" w:rsidP="00AD081E">
      <w:pPr>
        <w:rPr>
          <w:rFonts w:eastAsia="Calibri"/>
        </w:rPr>
      </w:pPr>
      <w:r w:rsidRPr="00AD081E">
        <w:rPr>
          <w:rFonts w:eastAsia="Calibri"/>
        </w:rPr>
        <w:t>TSRT’s TED must receive at least one copy of every DDO sent by a live participant, which means that the LINT routes and SIDs or the HTTPS addresses must be set up so that there is a route to TSRT’s TED from every live participant. There must also be a route back from TSRT to each live participant so that messages from simulated FRUs and missiles reach their intended recipients.</w:t>
      </w:r>
    </w:p>
    <w:p w14:paraId="1F453B0B" w14:textId="77777777" w:rsidR="00AD081E" w:rsidRPr="00AD081E" w:rsidRDefault="00AD081E" w:rsidP="00AD081E">
      <w:pPr>
        <w:rPr>
          <w:rFonts w:eastAsia="Calibri"/>
        </w:rPr>
      </w:pPr>
      <w:r w:rsidRPr="00AD081E">
        <w:rPr>
          <w:rFonts w:eastAsia="Calibri"/>
        </w:rPr>
        <w:t>To receive all messages, the guard list for the LINT interface to the TSRT’s TED must include the SIDs of all intended participants, whether live or simulated. In addition, the LINT routes to the TSRT’s TED must be of the All Messages type; they must never include a To SID restriction.</w:t>
      </w:r>
    </w:p>
    <w:p w14:paraId="3DF6E28C" w14:textId="77777777" w:rsidR="00AD081E" w:rsidRPr="00AD081E" w:rsidRDefault="00AD081E" w:rsidP="00AD081E">
      <w:pPr>
        <w:rPr>
          <w:rFonts w:eastAsia="Calibri"/>
        </w:rPr>
      </w:pPr>
      <w:r w:rsidRPr="00AD081E">
        <w:rPr>
          <w:rFonts w:eastAsia="Calibri"/>
        </w:rPr>
        <w:t>(It is possible to apply a To SID restriction on the TSRT’s TED’s routes and get away with it most of the time, although it requires setting all simulated TTWCS nodes to use the TSRT’s TED’s SID. There are, however, a few specific kinds of messages for which this tactic fails utterly, so it is best entirely avoided. For example, a SEM to a live TTWCS is a message that goes only from the sender to the receiver; no copies are sent to other nodes, so if the sender is not the TSRT’s TED, and the To SID restriction prevents TSRT from receiving messages not specifically addressed to it, TSRT won’t see the message.)</w:t>
      </w:r>
    </w:p>
    <w:p w14:paraId="435DEEA0" w14:textId="77777777" w:rsidR="00AD081E" w:rsidRPr="00AD081E" w:rsidRDefault="00AD081E" w:rsidP="00AD081E">
      <w:pPr>
        <w:rPr>
          <w:rFonts w:eastAsia="Calibri"/>
        </w:rPr>
      </w:pPr>
      <w:r w:rsidRPr="00AD081E">
        <w:rPr>
          <w:rFonts w:eastAsia="Calibri"/>
        </w:rPr>
        <w:t>The TSNIF must also provide a route from each live participant to the interface for TSRT’s TED’s simulation port (usually 9602) and back, so that pings, IMMMs, and H&amp;S messages all get to where they are supposed to be.</w:t>
      </w:r>
    </w:p>
    <w:p w14:paraId="05983AD5" w14:textId="77777777" w:rsidR="00AD081E" w:rsidRPr="00AD081E" w:rsidRDefault="00AD081E" w:rsidP="00B71F29">
      <w:pPr>
        <w:pStyle w:val="Appendix3"/>
        <w:ind w:left="360"/>
      </w:pPr>
      <w:bookmarkStart w:id="8304" w:name="_Toc214283769"/>
      <w:r w:rsidRPr="00AD081E">
        <w:lastRenderedPageBreak/>
        <w:t>Rehearsal Configurations</w:t>
      </w:r>
      <w:bookmarkEnd w:id="8304"/>
    </w:p>
    <w:p w14:paraId="3C15B487" w14:textId="77777777" w:rsidR="00AD081E" w:rsidRPr="00AD081E" w:rsidRDefault="00AD081E" w:rsidP="00AD081E">
      <w:pPr>
        <w:rPr>
          <w:rFonts w:eastAsia="Calibri"/>
        </w:rPr>
      </w:pPr>
      <w:r w:rsidRPr="00AD081E">
        <w:rPr>
          <w:rFonts w:eastAsia="Calibri"/>
        </w:rPr>
        <w:t>There are a few basic rehearsal configurations. They are characterized by the number and connectivity of the live participant nodes.</w:t>
      </w:r>
    </w:p>
    <w:p w14:paraId="27BB6CE5" w14:textId="77777777" w:rsidR="00AD081E" w:rsidRPr="00AD081E" w:rsidRDefault="00AD081E" w:rsidP="006D5A65">
      <w:pPr>
        <w:pStyle w:val="Heading1"/>
      </w:pPr>
      <w:r w:rsidRPr="00AD081E">
        <w:t>Whether the TED hosting TSRT is the only live node able to participate in the rehearsal, and if so, whether the TED has TCIP connections available to it.</w:t>
      </w:r>
    </w:p>
    <w:p w14:paraId="5C4D5C77" w14:textId="77777777" w:rsidR="00AD081E" w:rsidRPr="00AD081E" w:rsidRDefault="00AD081E" w:rsidP="006D5A65">
      <w:pPr>
        <w:pStyle w:val="Heading1"/>
      </w:pPr>
      <w:r w:rsidRPr="00AD081E">
        <w:t>If there are multiple live nodes, whether they share a TCIP.</w:t>
      </w:r>
    </w:p>
    <w:p w14:paraId="1EE121D1" w14:textId="77777777" w:rsidR="00AD081E" w:rsidRPr="00AD081E" w:rsidRDefault="00AD081E" w:rsidP="006D5A65">
      <w:pPr>
        <w:pStyle w:val="Heading1"/>
      </w:pPr>
      <w:r w:rsidRPr="00AD081E">
        <w:t>If there are multiple TCIPs in the configuration, the manner in which they are interconnected.</w:t>
      </w:r>
    </w:p>
    <w:p w14:paraId="3DDB0792" w14:textId="77777777" w:rsidR="00AD081E" w:rsidRPr="00AD081E" w:rsidRDefault="00AD081E" w:rsidP="00B71F29">
      <w:pPr>
        <w:pStyle w:val="Appendix4"/>
        <w:ind w:left="360"/>
      </w:pPr>
      <w:r w:rsidRPr="00AD081E">
        <w:t>Rehearsal Configuration Types</w:t>
      </w:r>
    </w:p>
    <w:p w14:paraId="16BE522B" w14:textId="736BF694" w:rsidR="00AD081E" w:rsidRPr="00AD081E" w:rsidRDefault="00AD081E" w:rsidP="00AD081E">
      <w:pPr>
        <w:rPr>
          <w:rFonts w:eastAsia="Calibri"/>
        </w:rPr>
      </w:pPr>
      <w:r w:rsidRPr="00AD081E">
        <w:rPr>
          <w:rFonts w:eastAsia="Calibri"/>
        </w:rPr>
        <w:t xml:space="preserve">A rehearsal configuration is </w:t>
      </w:r>
      <w:r w:rsidRPr="00AD081E">
        <w:rPr>
          <w:rFonts w:eastAsia="Calibri"/>
          <w:i/>
        </w:rPr>
        <w:t>standalone</w:t>
      </w:r>
      <w:r w:rsidRPr="00AD081E">
        <w:rPr>
          <w:rFonts w:eastAsia="Calibri"/>
        </w:rPr>
        <w:t xml:space="preserve"> if the TSRT’s TED is the only live node in the rehearsal. Usually, TSRT’s TED is given the </w:t>
      </w:r>
      <w:r w:rsidR="001603CA">
        <w:rPr>
          <w:rFonts w:eastAsia="Calibri"/>
        </w:rPr>
        <w:t>TSC</w:t>
      </w:r>
      <w:r w:rsidR="001603CA" w:rsidRPr="00AD081E">
        <w:rPr>
          <w:rFonts w:eastAsia="Calibri"/>
        </w:rPr>
        <w:t xml:space="preserve"> </w:t>
      </w:r>
      <w:r w:rsidRPr="00AD081E">
        <w:rPr>
          <w:rFonts w:eastAsia="Calibri"/>
        </w:rPr>
        <w:t>strike role to allow operator control of the strike as it is rehearsed, and there is an MDS Strike Management Display (SMD) up and running during the rehearsal for the operator to interact with. A standalone rehearsal configuration may be operated either with or without a TCIP. If operated without a TCIP, TCIP communications are simulated within the single live node. These configurations are particularly useful for development, unit testing, and single-user training.</w:t>
      </w:r>
    </w:p>
    <w:p w14:paraId="1E630534" w14:textId="09E7AA70" w:rsidR="00AD081E" w:rsidRPr="00AD081E" w:rsidRDefault="00AD081E" w:rsidP="00AD081E">
      <w:pPr>
        <w:rPr>
          <w:rFonts w:eastAsia="Calibri"/>
        </w:rPr>
      </w:pPr>
      <w:r w:rsidRPr="00AD081E">
        <w:rPr>
          <w:rFonts w:eastAsia="Calibri"/>
        </w:rPr>
        <w:t xml:space="preserve">A rehearsal configuration is </w:t>
      </w:r>
      <w:r w:rsidRPr="00AD081E">
        <w:rPr>
          <w:rFonts w:eastAsia="Calibri"/>
          <w:i/>
        </w:rPr>
        <w:t>networked</w:t>
      </w:r>
      <w:r w:rsidRPr="00AD081E">
        <w:rPr>
          <w:rFonts w:eastAsia="Calibri"/>
        </w:rPr>
        <w:t xml:space="preserve"> if there are live TED, MDS, or TTWCS nodes in the rehearsal other than TSRT’s TED. Commonly, TSRT is run on its own TED and the active strike roles (</w:t>
      </w:r>
      <w:r w:rsidR="001603CA">
        <w:rPr>
          <w:rFonts w:eastAsia="Calibri"/>
        </w:rPr>
        <w:t>TSC</w:t>
      </w:r>
      <w:r w:rsidRPr="00AD081E">
        <w:rPr>
          <w:rFonts w:eastAsia="Calibri"/>
        </w:rPr>
        <w:t xml:space="preserve">, </w:t>
      </w:r>
      <w:r w:rsidR="001603CA">
        <w:rPr>
          <w:rFonts w:eastAsia="Calibri"/>
        </w:rPr>
        <w:t>ATSC</w:t>
      </w:r>
      <w:r w:rsidRPr="00AD081E">
        <w:rPr>
          <w:rFonts w:eastAsia="Calibri"/>
        </w:rPr>
        <w:t>, etc.) are allocated to nodes other than the TSRT’s TED; this provides the cleanest separation between TSRT and the other strike participants and the most realistic use of communication paths. Communications are provided by one or more TCIPs. These are the normal configurations used for integration testing, formal testing, and classroom training.</w:t>
      </w:r>
    </w:p>
    <w:p w14:paraId="57CB5D9A" w14:textId="77777777" w:rsidR="00AD081E" w:rsidRPr="00AD081E" w:rsidRDefault="00AD081E" w:rsidP="00B71F29">
      <w:pPr>
        <w:pStyle w:val="Appendix4"/>
        <w:ind w:left="360"/>
      </w:pPr>
      <w:r w:rsidRPr="00AD081E">
        <w:t>TMPC Configurations</w:t>
      </w:r>
    </w:p>
    <w:p w14:paraId="2FD2C240" w14:textId="77777777" w:rsidR="00AD081E" w:rsidRPr="00AD081E" w:rsidRDefault="00AD081E" w:rsidP="00AD081E">
      <w:pPr>
        <w:rPr>
          <w:rFonts w:eastAsia="Calibri"/>
        </w:rPr>
      </w:pPr>
      <w:r w:rsidRPr="00AD081E">
        <w:rPr>
          <w:rFonts w:eastAsia="Calibri"/>
        </w:rPr>
        <w:t xml:space="preserve">There are four primary configurations of TED nodes. These are principally characterized by function, but for our purposes here we will distinguish them by how many distinct machines there are in a node and which portions of the </w:t>
      </w:r>
      <w:r w:rsidRPr="00AD081E">
        <w:t>TMPC</w:t>
      </w:r>
      <w:r w:rsidRPr="00AD081E">
        <w:rPr>
          <w:rFonts w:eastAsia="Calibri"/>
        </w:rPr>
        <w:t xml:space="preserve"> software are run on which of the machines.</w:t>
      </w:r>
    </w:p>
    <w:p w14:paraId="4372DAE8" w14:textId="77777777" w:rsidR="00AD081E" w:rsidRPr="00AD081E" w:rsidRDefault="00AD081E" w:rsidP="00AD081E">
      <w:pPr>
        <w:rPr>
          <w:rFonts w:eastAsia="Calibri"/>
        </w:rPr>
      </w:pPr>
      <w:r w:rsidRPr="00AD081E">
        <w:rPr>
          <w:rFonts w:eastAsia="Calibri"/>
        </w:rPr>
        <w:t xml:space="preserve">A </w:t>
      </w:r>
      <w:r w:rsidRPr="00AD081E">
        <w:rPr>
          <w:rFonts w:eastAsia="Calibri"/>
          <w:b/>
        </w:rPr>
        <w:t>Standalone MDS</w:t>
      </w:r>
      <w:r w:rsidRPr="00AD081E">
        <w:rPr>
          <w:rFonts w:eastAsia="Calibri"/>
        </w:rPr>
        <w:t xml:space="preserve"> configuration consists of a single machine on which both TED and MDS are run. During a rehearsal, TSRT is also run on the machine.</w:t>
      </w:r>
    </w:p>
    <w:p w14:paraId="2844BEF7" w14:textId="77777777" w:rsidR="00AD081E" w:rsidRPr="00AD081E" w:rsidRDefault="00AD081E" w:rsidP="00AD081E">
      <w:pPr>
        <w:rPr>
          <w:rFonts w:eastAsia="Calibri"/>
        </w:rPr>
      </w:pPr>
      <w:r w:rsidRPr="00AD081E">
        <w:rPr>
          <w:rFonts w:eastAsia="Calibri"/>
        </w:rPr>
        <w:t xml:space="preserve">A </w:t>
      </w:r>
      <w:r w:rsidRPr="00AD081E">
        <w:rPr>
          <w:rFonts w:eastAsia="Calibri"/>
          <w:b/>
        </w:rPr>
        <w:t>FRU</w:t>
      </w:r>
      <w:r w:rsidRPr="00AD081E">
        <w:rPr>
          <w:rFonts w:eastAsia="Calibri"/>
        </w:rPr>
        <w:t xml:space="preserve"> configuration has two machines. Unless it has been switched over, both TED and MDS are run on the primary machine, while TED data is streamed to a backup TED on the secondary machine. During a rehearsal, TSRT is run on the primary machine. The FRU configuration is thus very like a Standalone MDS configuration with the addition of the backup TED.</w:t>
      </w:r>
    </w:p>
    <w:p w14:paraId="705EC48C" w14:textId="77777777" w:rsidR="00AD081E" w:rsidRPr="00AD081E" w:rsidRDefault="00AD081E" w:rsidP="00AD081E">
      <w:pPr>
        <w:rPr>
          <w:rFonts w:eastAsia="Calibri"/>
        </w:rPr>
      </w:pPr>
      <w:r w:rsidRPr="00AD081E">
        <w:rPr>
          <w:rFonts w:eastAsia="Calibri"/>
        </w:rPr>
        <w:t xml:space="preserve">A </w:t>
      </w:r>
      <w:r w:rsidRPr="00AD081E">
        <w:rPr>
          <w:rFonts w:eastAsia="Calibri"/>
          <w:b/>
        </w:rPr>
        <w:t>CSG</w:t>
      </w:r>
      <w:r w:rsidRPr="00AD081E">
        <w:rPr>
          <w:rFonts w:eastAsia="Calibri"/>
        </w:rPr>
        <w:t xml:space="preserve"> configuration has two or more machines in a client-server arrangement. The TED is run on one machine (designated as the server). MDS is run on the other machines (designated as client machines). During a rehearsal, TSRT is run on one of the client machines.</w:t>
      </w:r>
    </w:p>
    <w:p w14:paraId="7EA71F40" w14:textId="77777777" w:rsidR="00AD081E" w:rsidRPr="00AD081E" w:rsidRDefault="00AD081E" w:rsidP="00AD081E">
      <w:pPr>
        <w:rPr>
          <w:rFonts w:eastAsia="Calibri"/>
        </w:rPr>
      </w:pPr>
      <w:r w:rsidRPr="00AD081E">
        <w:rPr>
          <w:rFonts w:eastAsia="Calibri"/>
        </w:rPr>
        <w:t xml:space="preserve">A </w:t>
      </w:r>
      <w:r w:rsidRPr="00AD081E">
        <w:rPr>
          <w:rFonts w:eastAsia="Calibri"/>
          <w:b/>
        </w:rPr>
        <w:t>CMSA</w:t>
      </w:r>
      <w:r w:rsidRPr="00AD081E">
        <w:rPr>
          <w:rFonts w:eastAsia="Calibri"/>
        </w:rPr>
        <w:t xml:space="preserve"> configuration has at least three machines in a client-server arrangement. In the CMSA configuration there are two servers; one for the TED web services and one for the TED database. MDS is run on client machines that connect to the TED web services server. During a rehearsal, </w:t>
      </w:r>
      <w:r w:rsidRPr="00AD081E">
        <w:rPr>
          <w:rFonts w:eastAsia="Calibri"/>
        </w:rPr>
        <w:lastRenderedPageBreak/>
        <w:t>TSRT is run on one of the client machines. A CMSA configuration is thus very like a CSG configuration, except that the server consists of two machines instead of one.</w:t>
      </w:r>
    </w:p>
    <w:p w14:paraId="6C66C5C5" w14:textId="77777777" w:rsidR="00AD081E" w:rsidRPr="00AD081E" w:rsidRDefault="00AD081E" w:rsidP="00AD081E">
      <w:pPr>
        <w:rPr>
          <w:rFonts w:eastAsia="Calibri"/>
        </w:rPr>
      </w:pPr>
      <w:r w:rsidRPr="00AD081E">
        <w:rPr>
          <w:rFonts w:eastAsia="Calibri"/>
        </w:rPr>
        <w:t xml:space="preserve">In </w:t>
      </w:r>
      <w:r w:rsidRPr="00AD081E">
        <w:t>TMPC</w:t>
      </w:r>
      <w:r w:rsidRPr="00AD081E">
        <w:rPr>
          <w:rFonts w:eastAsia="Calibri"/>
        </w:rPr>
        <w:t xml:space="preserve"> 5 and forward (i.e., for all TED nodes), it is important to remember that the identity of the node resides in the TED web server. A rehearsal configuration is standalone if no other nodes are live participants in the rehearsal; if there’s just one live TED it doesn’t matter how many physical machines there are in the node or how many MDSs are connected to that one TED, it is just one node and thus is standalone.</w:t>
      </w:r>
    </w:p>
    <w:p w14:paraId="3DBE0995" w14:textId="77777777" w:rsidR="00AD081E" w:rsidRPr="00AD081E" w:rsidRDefault="00AD081E" w:rsidP="00E869EC">
      <w:pPr>
        <w:pStyle w:val="Appendix4"/>
        <w:ind w:left="0" w:firstLine="0"/>
      </w:pPr>
      <w:r w:rsidRPr="00AD081E">
        <w:t>Configuration Rules</w:t>
      </w:r>
    </w:p>
    <w:p w14:paraId="3E826C13" w14:textId="77777777" w:rsidR="00AD081E" w:rsidRPr="00AD081E" w:rsidRDefault="00AD081E" w:rsidP="00B71F29">
      <w:pPr>
        <w:rPr>
          <w:rFonts w:eastAsia="Calibri"/>
        </w:rPr>
      </w:pPr>
      <w:r w:rsidRPr="00AD081E">
        <w:rPr>
          <w:rFonts w:eastAsia="Calibri"/>
        </w:rPr>
        <w:t>Later sections provide step-by-step communications configuration instructions for the principal rehearsal configurations. Here, we present the rules that apply to those configurations. If your situation does not match one of the configurations described in the later sections, you should still be able to apply the rules in this section to achieve successful configuration of communications.</w:t>
      </w:r>
    </w:p>
    <w:p w14:paraId="2C78F1AA" w14:textId="77777777" w:rsidR="00AD081E" w:rsidRPr="00AD081E" w:rsidRDefault="00AD081E" w:rsidP="00E869EC">
      <w:pPr>
        <w:pStyle w:val="Appendix5"/>
        <w:ind w:left="0" w:firstLine="0"/>
      </w:pPr>
      <w:r w:rsidRPr="00AD081E">
        <w:t>Standalone Configuration Rules</w:t>
      </w:r>
    </w:p>
    <w:p w14:paraId="36DBDBA7" w14:textId="77777777" w:rsidR="00AD081E" w:rsidRPr="00AD081E" w:rsidRDefault="00AD081E" w:rsidP="00B71F29">
      <w:pPr>
        <w:rPr>
          <w:rFonts w:eastAsia="Calibri"/>
        </w:rPr>
      </w:pPr>
      <w:r w:rsidRPr="00AD081E">
        <w:rPr>
          <w:rFonts w:eastAsia="Calibri"/>
        </w:rPr>
        <w:t>If your configuration contains only one live TED, the following rules apply.</w:t>
      </w:r>
    </w:p>
    <w:p w14:paraId="2B8667CA" w14:textId="77777777" w:rsidR="00AD081E" w:rsidRPr="00AD081E" w:rsidRDefault="00AD081E" w:rsidP="003604C5">
      <w:pPr>
        <w:pStyle w:val="Appendix6"/>
      </w:pPr>
      <w:r w:rsidRPr="00AD081E">
        <w:t xml:space="preserve">Rules for Standalone Configurations without TCIP </w:t>
      </w:r>
    </w:p>
    <w:p w14:paraId="5E488D38" w14:textId="77777777" w:rsidR="00AD081E" w:rsidRPr="00AD081E" w:rsidRDefault="00AD081E" w:rsidP="00AD081E">
      <w:pPr>
        <w:keepNext/>
        <w:rPr>
          <w:rFonts w:eastAsia="Calibri"/>
        </w:rPr>
      </w:pPr>
      <w:r w:rsidRPr="00AD081E">
        <w:rPr>
          <w:rFonts w:eastAsia="Calibri"/>
        </w:rPr>
        <w:t>If you do not have a TCIP,</w:t>
      </w:r>
    </w:p>
    <w:p w14:paraId="205E7935" w14:textId="3DC1F4A7" w:rsidR="00AD081E" w:rsidRPr="00AD081E" w:rsidRDefault="00AD081E" w:rsidP="006D5A65">
      <w:pPr>
        <w:pStyle w:val="Heading1"/>
      </w:pPr>
      <w:r w:rsidRPr="00AD081E">
        <w:t xml:space="preserve">On the TED, the node configuration for the TED node specifies a capability of and a preference for HTTPS with the TED’s IP address (ensure that </w:t>
      </w:r>
      <w:r w:rsidRPr="00AD081E">
        <w:rPr>
          <w:rFonts w:eastAsia="Calibri"/>
        </w:rPr>
        <w:t>the HTTPS checkbox is checked and that the Preferred Receive Method pulldown is set to HTTPS)</w:t>
      </w:r>
      <w:r w:rsidRPr="00AD081E">
        <w:t xml:space="preserve">. This permits TSRT to receive messages sent by an MDS on its </w:t>
      </w:r>
      <w:r w:rsidR="007B3190" w:rsidRPr="00AD081E">
        <w:t>TED and</w:t>
      </w:r>
      <w:r w:rsidRPr="00AD081E">
        <w:t xml:space="preserve"> allows the TED to receive messages originated by TSRT on behalf of the simulated participants. </w:t>
      </w:r>
    </w:p>
    <w:p w14:paraId="635CB441" w14:textId="77777777" w:rsidR="00AD081E" w:rsidRPr="00AD081E" w:rsidRDefault="00AD081E" w:rsidP="006D5A65">
      <w:pPr>
        <w:pStyle w:val="Heading1"/>
      </w:pPr>
      <w:r w:rsidRPr="00AD081E">
        <w:t>TDM Distribution Agent connects to the TSRT workstation IP on port 9500. This connection can’t be used for OTH communications, but it triggers code that allows TSN simulation local to the TSRT workstation. (Note that if there are multiple workstations on the TED, the other workstations will not be able to receive or send TSN messages; the simulation only works for the TSRT workstation.)</w:t>
      </w:r>
    </w:p>
    <w:p w14:paraId="767BFED2" w14:textId="77777777" w:rsidR="00AD081E" w:rsidRPr="00AD081E" w:rsidRDefault="00AD081E" w:rsidP="00306174">
      <w:pPr>
        <w:pStyle w:val="Appendix6"/>
      </w:pPr>
      <w:r w:rsidRPr="00AD081E">
        <w:t xml:space="preserve">Rules for Standalone Configurations with TCIP </w:t>
      </w:r>
    </w:p>
    <w:p w14:paraId="0DEBBCFF" w14:textId="77777777" w:rsidR="00AD081E" w:rsidRPr="00AD081E" w:rsidRDefault="00AD081E" w:rsidP="00AD081E">
      <w:pPr>
        <w:keepNext/>
        <w:rPr>
          <w:rFonts w:eastAsia="Calibri"/>
        </w:rPr>
      </w:pPr>
      <w:r w:rsidRPr="00AD081E">
        <w:rPr>
          <w:rFonts w:eastAsia="Calibri"/>
        </w:rPr>
        <w:t>If you do have a TCIP,</w:t>
      </w:r>
    </w:p>
    <w:p w14:paraId="27BE3C1C" w14:textId="77777777" w:rsidR="00AD081E" w:rsidRPr="00AD081E" w:rsidRDefault="00AD081E" w:rsidP="006D5A65">
      <w:pPr>
        <w:pStyle w:val="Heading1"/>
      </w:pPr>
      <w:r w:rsidRPr="00AD081E">
        <w:t xml:space="preserve">LINT needs an OTH TCP interface for the TED on port 9500. In the standalone case, the LINT port isn’t used for OTH </w:t>
      </w:r>
      <w:r w:rsidRPr="00AD081E">
        <w:lastRenderedPageBreak/>
        <w:t>communications, but it allows the TDM</w:t>
      </w:r>
      <w:r w:rsidRPr="00AD081E">
        <w:rPr>
          <w:rFonts w:eastAsia="Calibri"/>
        </w:rPr>
        <w:t xml:space="preserve"> Distribution Agent</w:t>
      </w:r>
      <w:r w:rsidRPr="00AD081E">
        <w:t xml:space="preserve"> to connect so that TSN communications will work.</w:t>
      </w:r>
    </w:p>
    <w:p w14:paraId="4814BDDC" w14:textId="77777777" w:rsidR="00AD081E" w:rsidRPr="00AD081E" w:rsidRDefault="00AD081E" w:rsidP="006D5A65">
      <w:pPr>
        <w:pStyle w:val="Heading1"/>
      </w:pPr>
      <w:r w:rsidRPr="00AD081E">
        <w:t>For DAMA TSN, TSNIF needs TSN TCP interfaces for the TED on ports 9601 and 9602, and a route each way between the two interfaces for the TED.</w:t>
      </w:r>
    </w:p>
    <w:p w14:paraId="5EC489E5" w14:textId="77777777" w:rsidR="00AD081E" w:rsidRPr="00AD081E" w:rsidRDefault="00AD081E" w:rsidP="006D5A65">
      <w:pPr>
        <w:pStyle w:val="Heading1"/>
      </w:pPr>
      <w:r w:rsidRPr="00AD081E">
        <w:t>For ACA TSN, TSNIF needs TSN TCP interfaces for the TED on ports 9609 and 9610, and a route each way between the two interfaces for the TED.</w:t>
      </w:r>
    </w:p>
    <w:p w14:paraId="34EB0264" w14:textId="54D37931" w:rsidR="00AD081E" w:rsidRPr="00AD081E" w:rsidRDefault="00AD081E" w:rsidP="006D5A65">
      <w:pPr>
        <w:pStyle w:val="Heading1"/>
      </w:pPr>
      <w:r w:rsidRPr="00AD081E">
        <w:t xml:space="preserve">On the TED, the node configuration for the TED node specifies a capability of and a preference for HTTPS with the TED’s IP address (ensure that </w:t>
      </w:r>
      <w:r w:rsidRPr="00AD081E">
        <w:rPr>
          <w:rFonts w:eastAsia="Calibri"/>
        </w:rPr>
        <w:t>the HTTPS checkbox is checked and that the Preferred Receive Method pulldown is set to HTTPS)</w:t>
      </w:r>
      <w:r w:rsidRPr="00AD081E">
        <w:t xml:space="preserve">. A LINT port can’t talk to itself, but this is allowed for HTTPS. This permits TSRT to receive messages sent by an MDS on its </w:t>
      </w:r>
      <w:r w:rsidR="007B3190" w:rsidRPr="00AD081E">
        <w:t>TED and</w:t>
      </w:r>
      <w:r w:rsidRPr="00AD081E">
        <w:t xml:space="preserve"> allows the TED to receive messages originated by TSRT on behalf of the simulated participants.</w:t>
      </w:r>
    </w:p>
    <w:p w14:paraId="36C774E5" w14:textId="77777777" w:rsidR="00AD081E" w:rsidRPr="00AD081E" w:rsidRDefault="00AD081E" w:rsidP="006D5A65">
      <w:pPr>
        <w:pStyle w:val="Heading1"/>
      </w:pPr>
      <w:r w:rsidRPr="00AD081E">
        <w:t xml:space="preserve">TDM </w:t>
      </w:r>
      <w:r w:rsidRPr="00AD081E">
        <w:rPr>
          <w:rFonts w:eastAsia="Calibri"/>
        </w:rPr>
        <w:t>Distribution Agent</w:t>
      </w:r>
      <w:r w:rsidRPr="00AD081E">
        <w:t xml:space="preserve"> connects to the TCIP on port 9500.</w:t>
      </w:r>
    </w:p>
    <w:p w14:paraId="1CDC425F" w14:textId="77777777" w:rsidR="00AD081E" w:rsidRPr="00AD081E" w:rsidRDefault="00AD081E" w:rsidP="00E869EC">
      <w:pPr>
        <w:pStyle w:val="Appendix5"/>
        <w:ind w:left="0" w:firstLine="0"/>
      </w:pPr>
      <w:r w:rsidRPr="00AD081E">
        <w:t>Networked Configuration Rules</w:t>
      </w:r>
    </w:p>
    <w:p w14:paraId="48EAED6F" w14:textId="77777777" w:rsidR="00AD081E" w:rsidRPr="00AD081E" w:rsidRDefault="00AD081E" w:rsidP="00B71F29">
      <w:pPr>
        <w:rPr>
          <w:rFonts w:eastAsia="Calibri"/>
        </w:rPr>
      </w:pPr>
      <w:r w:rsidRPr="00AD081E">
        <w:rPr>
          <w:rFonts w:eastAsia="Calibri"/>
        </w:rPr>
        <w:t>If your configuration contains two or more live nodes and at least one TCIP, the following rules apply.</w:t>
      </w:r>
    </w:p>
    <w:p w14:paraId="77A39AA1" w14:textId="77777777" w:rsidR="00AD081E" w:rsidRPr="00AD081E" w:rsidRDefault="00AD081E" w:rsidP="00306174">
      <w:pPr>
        <w:pStyle w:val="Appendix6"/>
      </w:pPr>
      <w:r w:rsidRPr="00AD081E">
        <w:t>Rules for Networked Configurations with One TCIP</w:t>
      </w:r>
    </w:p>
    <w:p w14:paraId="5A70147D" w14:textId="77777777" w:rsidR="00AD081E" w:rsidRPr="00AD081E" w:rsidRDefault="00AD081E" w:rsidP="00AD081E">
      <w:pPr>
        <w:rPr>
          <w:rFonts w:eastAsia="Calibri"/>
        </w:rPr>
      </w:pPr>
      <w:r w:rsidRPr="00AD081E">
        <w:rPr>
          <w:rFonts w:eastAsia="Calibri"/>
        </w:rPr>
        <w:t>If you have only one TCIP,</w:t>
      </w:r>
    </w:p>
    <w:p w14:paraId="18CEDEF2" w14:textId="4FDD346D" w:rsidR="00AD081E" w:rsidRPr="00AD081E" w:rsidRDefault="00AD081E" w:rsidP="006D5A65">
      <w:pPr>
        <w:pStyle w:val="Heading1"/>
      </w:pPr>
      <w:r w:rsidRPr="00AD081E">
        <w:t xml:space="preserve">LINT needs an OTH TCP interface for each live participant node on port 9500. Though the interfaces can be </w:t>
      </w:r>
      <w:r w:rsidR="006D00D8" w:rsidRPr="00AD081E">
        <w:t>open guard</w:t>
      </w:r>
      <w:r w:rsidRPr="00AD081E">
        <w:t xml:space="preserve">, by preference the guard list for each interface is defined to </w:t>
      </w:r>
      <w:r w:rsidRPr="00AD081E">
        <w:lastRenderedPageBreak/>
        <w:t>include only the participant nodes (including simulated nodes).</w:t>
      </w:r>
    </w:p>
    <w:p w14:paraId="534BB418" w14:textId="77777777" w:rsidR="00AD081E" w:rsidRPr="00AD081E" w:rsidRDefault="00AD081E" w:rsidP="006D5A65">
      <w:pPr>
        <w:pStyle w:val="Heading1"/>
      </w:pPr>
      <w:r w:rsidRPr="00AD081E">
        <w:t>LINT needs a route each way between each pair of interfaces used during the rehearsal.</w:t>
      </w:r>
    </w:p>
    <w:p w14:paraId="1A48CFD1" w14:textId="77777777" w:rsidR="00AD081E" w:rsidRPr="00AD081E" w:rsidRDefault="00AD081E" w:rsidP="006D5A65">
      <w:pPr>
        <w:pStyle w:val="Heading1"/>
      </w:pPr>
      <w:r w:rsidRPr="00AD081E">
        <w:t>For DAMA TSN, TSNIF needs TSN TCP interfaces for each live participant node on port 9601 and an additional TSN TCP interface on port 9602 for the TSRT’s TED.</w:t>
      </w:r>
    </w:p>
    <w:p w14:paraId="76594942" w14:textId="77777777" w:rsidR="00AD081E" w:rsidRPr="00AD081E" w:rsidRDefault="00AD081E" w:rsidP="006D5A65">
      <w:pPr>
        <w:pStyle w:val="Heading1"/>
      </w:pPr>
      <w:r w:rsidRPr="00AD081E">
        <w:t>For DAMA TSN, TSNIF needs a route each way between each pair of interfaces on port 9601, and a route each way between each 9601 interface and the 9602 interface for the TSRT’s TED.</w:t>
      </w:r>
    </w:p>
    <w:p w14:paraId="5A5C5BFD" w14:textId="77777777" w:rsidR="00AD081E" w:rsidRPr="00AD081E" w:rsidRDefault="00AD081E" w:rsidP="006D5A65">
      <w:pPr>
        <w:pStyle w:val="Heading1"/>
      </w:pPr>
      <w:r w:rsidRPr="00AD081E">
        <w:t>For ACA TSN, TSNIF needs TSN TCP interfaces for each live participant node on port 9609 and an additional TSN TCP interface on port 9610 for the TSRT’s TED.</w:t>
      </w:r>
    </w:p>
    <w:p w14:paraId="2441F239" w14:textId="77777777" w:rsidR="00AD081E" w:rsidRPr="00AD081E" w:rsidRDefault="00AD081E" w:rsidP="006D5A65">
      <w:pPr>
        <w:pStyle w:val="Heading1"/>
      </w:pPr>
      <w:r w:rsidRPr="00AD081E">
        <w:t>For ACA TSN, TSNIF needs a route each way between each pair of interfaces on port 9609, and a route each way between each 9609 interface and the 9610 interface for the TSRT’s TED.</w:t>
      </w:r>
    </w:p>
    <w:p w14:paraId="10F62B1C" w14:textId="74311B73" w:rsidR="00AD081E" w:rsidRPr="00AD081E" w:rsidRDefault="00AD081E" w:rsidP="006D5A65">
      <w:pPr>
        <w:pStyle w:val="Heading1"/>
      </w:pPr>
      <w:r w:rsidRPr="00AD081E">
        <w:t xml:space="preserve">On the TSRT’s TED only, the node configuration for the TSRT’s TED node specifies a capability of and a preference for HTTPS with the TSRT’s TED’s IP address (ensure that </w:t>
      </w:r>
      <w:r w:rsidRPr="00AD081E">
        <w:rPr>
          <w:rFonts w:eastAsia="Calibri"/>
        </w:rPr>
        <w:t>the HTTPS checkbox is checked and that the Preferred Receive Method pulldown is set to HTTPS)</w:t>
      </w:r>
      <w:r w:rsidRPr="00AD081E">
        <w:t xml:space="preserve">. A LINT port can’t talk to itself, but this is allowed for HTTPS. This permits TSRT to receive messages sent by an MDS on its </w:t>
      </w:r>
      <w:r w:rsidR="007B3190" w:rsidRPr="00AD081E">
        <w:t>TED and</w:t>
      </w:r>
      <w:r w:rsidRPr="00AD081E">
        <w:t xml:space="preserve"> allows the TSRT’s TED to receive messages originated by TSRT on behalf of the simulated participants.</w:t>
      </w:r>
    </w:p>
    <w:p w14:paraId="4EE07FB4" w14:textId="77777777" w:rsidR="00AD081E" w:rsidRPr="00AD081E" w:rsidRDefault="00AD081E" w:rsidP="006D5A65">
      <w:pPr>
        <w:pStyle w:val="Heading1"/>
      </w:pPr>
      <w:r w:rsidRPr="00AD081E">
        <w:t xml:space="preserve">Each TDM </w:t>
      </w:r>
      <w:r w:rsidRPr="00AD081E">
        <w:rPr>
          <w:rFonts w:eastAsia="Calibri"/>
        </w:rPr>
        <w:t>Distribution Agent</w:t>
      </w:r>
      <w:r w:rsidRPr="00AD081E">
        <w:t xml:space="preserve"> connects to the TCIP on port 9500.</w:t>
      </w:r>
    </w:p>
    <w:p w14:paraId="158FEE84" w14:textId="77777777" w:rsidR="00AD081E" w:rsidRPr="00AD081E" w:rsidRDefault="00AD081E" w:rsidP="00306174">
      <w:pPr>
        <w:pStyle w:val="Appendix6"/>
      </w:pPr>
      <w:r w:rsidRPr="00AD081E">
        <w:t>Rules for Networked Configurations with Multiple TCIPs</w:t>
      </w:r>
    </w:p>
    <w:p w14:paraId="4DBDF46D" w14:textId="77777777" w:rsidR="00AD081E" w:rsidRPr="00AD081E" w:rsidRDefault="00AD081E" w:rsidP="00AD081E">
      <w:pPr>
        <w:keepNext/>
        <w:rPr>
          <w:rFonts w:eastAsia="Calibri"/>
        </w:rPr>
      </w:pPr>
      <w:r w:rsidRPr="00AD081E">
        <w:rPr>
          <w:rFonts w:eastAsia="Calibri"/>
        </w:rPr>
        <w:t>If you have more than one TCIP,</w:t>
      </w:r>
    </w:p>
    <w:p w14:paraId="0B56D577" w14:textId="1AF71386" w:rsidR="00AD081E" w:rsidRPr="00AD081E" w:rsidRDefault="00AD081E" w:rsidP="006D5A65">
      <w:pPr>
        <w:pStyle w:val="Heading1"/>
      </w:pPr>
      <w:r w:rsidRPr="00AD081E">
        <w:t xml:space="preserve">Each LINT needs an OTH TCP interface on port 9500 for each live participant node assigned to its TCIP. Though the interfaces can be </w:t>
      </w:r>
      <w:r w:rsidR="006D00D8" w:rsidRPr="00AD081E">
        <w:t>open guard</w:t>
      </w:r>
      <w:r w:rsidRPr="00AD081E">
        <w:t>, by preference the guard list for each interface is defined to include only the participant nodes (including simulated nodes).</w:t>
      </w:r>
    </w:p>
    <w:p w14:paraId="1D47DDDF" w14:textId="13B4C231" w:rsidR="00AD081E" w:rsidRPr="00AD081E" w:rsidRDefault="00AD081E" w:rsidP="006D5A65">
      <w:pPr>
        <w:pStyle w:val="Heading1"/>
      </w:pPr>
      <w:r w:rsidRPr="00AD081E">
        <w:t xml:space="preserve">Each LINT also needs either an OTH TCP interface or an OTH CLIENT interface to each other LINT to which it is supposed to be connected. For each connection between LINTs, one side of the connection must be specified as an OTH TCP </w:t>
      </w:r>
      <w:r w:rsidR="007B3190" w:rsidRPr="00AD081E">
        <w:t>interface,</w:t>
      </w:r>
      <w:r w:rsidRPr="00AD081E">
        <w:t xml:space="preserve"> and the other side of that connection must be specified as an OTH CLIENT interface.</w:t>
      </w:r>
    </w:p>
    <w:p w14:paraId="69176ADB" w14:textId="77777777" w:rsidR="00AD081E" w:rsidRPr="00AD081E" w:rsidRDefault="00AD081E" w:rsidP="006D5A65">
      <w:pPr>
        <w:pStyle w:val="Heading1"/>
      </w:pPr>
      <w:r w:rsidRPr="00AD081E">
        <w:t xml:space="preserve">Each LINT needs a route each way between each pair of interfaces used during the rehearsal, including routes </w:t>
      </w:r>
      <w:r w:rsidRPr="00AD081E">
        <w:lastRenderedPageBreak/>
        <w:t>between the interfaces for live participant nodes and the interfaces for other LINTs.</w:t>
      </w:r>
    </w:p>
    <w:p w14:paraId="426B5243" w14:textId="77777777" w:rsidR="00AD081E" w:rsidRPr="00AD081E" w:rsidRDefault="00AD081E" w:rsidP="006D5A65">
      <w:pPr>
        <w:pStyle w:val="Heading1"/>
      </w:pPr>
      <w:r w:rsidRPr="00AD081E">
        <w:t>Each TSNIF needs a TSN TCP interface on port 9601 for each live participant node assigned to its TCIP.</w:t>
      </w:r>
    </w:p>
    <w:p w14:paraId="2A3FB41A" w14:textId="77777777" w:rsidR="00AD081E" w:rsidRPr="00AD081E" w:rsidRDefault="00AD081E" w:rsidP="006D5A65">
      <w:pPr>
        <w:pStyle w:val="Heading1"/>
      </w:pPr>
      <w:r w:rsidRPr="00AD081E">
        <w:t>The TSNIF to which the TSRT’s TED is assigned needs an additional TSN TCP interface on port 9602 for the TSRT’s TED.</w:t>
      </w:r>
    </w:p>
    <w:p w14:paraId="68ED022A" w14:textId="188A825B" w:rsidR="00AD081E" w:rsidRPr="00AD081E" w:rsidRDefault="00AD081E" w:rsidP="006D5A65">
      <w:pPr>
        <w:pStyle w:val="Heading1"/>
      </w:pPr>
      <w:r w:rsidRPr="00AD081E">
        <w:t xml:space="preserve">Each TSNIF also needs either a TSN TCP interface or a TSN CLIENT interface to each other TSNIF to which it is supposed to be connected. For each connection between TSNIFs, one side of the connection must be specified as a TSN TCP </w:t>
      </w:r>
      <w:r w:rsidR="007B3190" w:rsidRPr="00AD081E">
        <w:t>interface,</w:t>
      </w:r>
      <w:r w:rsidRPr="00AD081E">
        <w:t xml:space="preserve"> and the other side of that connection must be specified as a TSN CLIENT interface.</w:t>
      </w:r>
    </w:p>
    <w:p w14:paraId="6778F25A" w14:textId="77777777" w:rsidR="00AD081E" w:rsidRPr="00AD081E" w:rsidRDefault="00AD081E" w:rsidP="006D5A65">
      <w:pPr>
        <w:pStyle w:val="Heading1"/>
      </w:pPr>
      <w:r w:rsidRPr="00AD081E">
        <w:t>Each TSNIF needs a route each way between each pair of interfaces used during the rehearsal, including routes between the interfaces for live participant nodes and the interfaces for other TSNIFs.</w:t>
      </w:r>
    </w:p>
    <w:p w14:paraId="25F65285" w14:textId="14B7AB83" w:rsidR="00AD081E" w:rsidRPr="00AD081E" w:rsidRDefault="00AD081E" w:rsidP="006D5A65">
      <w:pPr>
        <w:pStyle w:val="Heading1"/>
      </w:pPr>
      <w:r w:rsidRPr="00AD081E">
        <w:t xml:space="preserve">On the TSRT’s TED only, the node configuration for the TSRT’s TED node specifies a preference for HTTPS with the TSRT’s TED’s IP address. A LINT port can’t talk to itself, but this is allowed for HTTPS. This permits TSRT to receive messages sent by an MDS on its </w:t>
      </w:r>
      <w:r w:rsidR="007B3190" w:rsidRPr="00AD081E">
        <w:t>TED and</w:t>
      </w:r>
      <w:r w:rsidRPr="00AD081E">
        <w:t xml:space="preserve"> allows the TSRT’s TED to receive messages originated by TSRT on behalf of the simulated participants.</w:t>
      </w:r>
    </w:p>
    <w:p w14:paraId="75C87A66" w14:textId="77777777" w:rsidR="00AD081E" w:rsidRPr="00AD081E" w:rsidRDefault="00AD081E" w:rsidP="006D5A65">
      <w:pPr>
        <w:pStyle w:val="Heading1"/>
      </w:pPr>
      <w:r w:rsidRPr="00AD081E">
        <w:t xml:space="preserve">Each TDM </w:t>
      </w:r>
      <w:r w:rsidRPr="00AD081E">
        <w:rPr>
          <w:rFonts w:eastAsia="Calibri"/>
        </w:rPr>
        <w:t>Distribution Agent</w:t>
      </w:r>
      <w:r w:rsidRPr="00AD081E">
        <w:t xml:space="preserve"> connects to its assigned TCIP on port 9500.</w:t>
      </w:r>
    </w:p>
    <w:p w14:paraId="270CA334" w14:textId="77777777" w:rsidR="00AD081E" w:rsidRPr="00AD081E" w:rsidRDefault="00AD081E" w:rsidP="00C24A91">
      <w:pPr>
        <w:pStyle w:val="Appendix3"/>
        <w:keepNext w:val="0"/>
        <w:pageBreakBefore/>
        <w:ind w:left="360"/>
      </w:pPr>
      <w:bookmarkStart w:id="8305" w:name="_Toc214283770"/>
      <w:r w:rsidRPr="00AD081E">
        <w:lastRenderedPageBreak/>
        <w:t>Configuring Communications: Standalone without TCIP</w:t>
      </w:r>
      <w:bookmarkEnd w:id="8305"/>
    </w:p>
    <w:p w14:paraId="2ADDB704" w14:textId="77777777" w:rsidR="00AD081E" w:rsidRPr="00AD081E" w:rsidRDefault="00AD081E" w:rsidP="001F4B14">
      <w:pPr>
        <w:rPr>
          <w:rFonts w:eastAsia="Calibri"/>
          <w:b/>
        </w:rPr>
      </w:pPr>
      <w:r w:rsidRPr="00AD081E">
        <w:rPr>
          <w:rFonts w:eastAsia="Calibri"/>
          <w:b/>
        </w:rPr>
        <w:t>Typical Standalone Configurations without TCIP</w:t>
      </w:r>
    </w:p>
    <w:p w14:paraId="16C2E5FA" w14:textId="77777777" w:rsidR="00AD081E" w:rsidRPr="00AD081E" w:rsidRDefault="00AD081E" w:rsidP="00AD081E">
      <w:pPr>
        <w:tabs>
          <w:tab w:val="left" w:pos="720"/>
        </w:tabs>
        <w:jc w:val="center"/>
      </w:pPr>
      <w:r w:rsidRPr="00AD081E">
        <w:rPr>
          <w:noProof/>
        </w:rPr>
        <w:drawing>
          <wp:inline distT="0" distB="0" distL="0" distR="0" wp14:anchorId="0D2AD4E1" wp14:editId="2E75BA57">
            <wp:extent cx="2286000" cy="4672584"/>
            <wp:effectExtent l="0" t="0" r="0" b="0"/>
            <wp:docPr id="659" name="Picture 6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Picture 659" descr="Diagram&#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286000" cy="4672584"/>
                    </a:xfrm>
                    <a:prstGeom prst="rect">
                      <a:avLst/>
                    </a:prstGeom>
                  </pic:spPr>
                </pic:pic>
              </a:graphicData>
            </a:graphic>
          </wp:inline>
        </w:drawing>
      </w:r>
    </w:p>
    <w:p w14:paraId="4DFD7346" w14:textId="178232B4" w:rsidR="00AD081E" w:rsidRPr="00AD081E" w:rsidRDefault="00AD081E" w:rsidP="00AD081E">
      <w:pPr>
        <w:rPr>
          <w:rFonts w:eastAsia="Calibri"/>
        </w:rPr>
      </w:pPr>
      <w:r w:rsidRPr="00AD081E">
        <w:rPr>
          <w:rFonts w:eastAsia="Calibri"/>
        </w:rPr>
        <w:t xml:space="preserve">In this configuration, TSRT’s TED is the only live node in the rehearsal. Usually, TSRT’s TED is given the </w:t>
      </w:r>
      <w:r w:rsidR="009172F0">
        <w:rPr>
          <w:rFonts w:eastAsia="Calibri"/>
        </w:rPr>
        <w:t>TSC</w:t>
      </w:r>
      <w:r w:rsidR="009172F0" w:rsidRPr="00AD081E">
        <w:rPr>
          <w:rFonts w:eastAsia="Calibri"/>
        </w:rPr>
        <w:t xml:space="preserve"> </w:t>
      </w:r>
      <w:r w:rsidRPr="00AD081E">
        <w:rPr>
          <w:rFonts w:eastAsia="Calibri"/>
        </w:rPr>
        <w:t>strike role to allow operator control of the strike as it is rehearsed, and there is an MDS Strike Management Display (SMD) up and running during the rehearsal.</w:t>
      </w:r>
    </w:p>
    <w:p w14:paraId="0F3C1AE6" w14:textId="77777777" w:rsidR="00AD081E" w:rsidRPr="00AD081E" w:rsidRDefault="00AD081E" w:rsidP="00AD081E">
      <w:pPr>
        <w:rPr>
          <w:rFonts w:eastAsia="Calibri"/>
        </w:rPr>
      </w:pPr>
      <w:r w:rsidRPr="00AD081E">
        <w:rPr>
          <w:rFonts w:eastAsia="Calibri"/>
        </w:rPr>
        <w:t>Since there is no TCIP, there can be no LINT for OTH communications, so HTTPS must be used. With no TCIP, there is also no TSNIF, so TSN communications are simulated by TSRT. TDM Distribution Agent is configured to connect to the TSRT’s host machine (not to a TCIP).</w:t>
      </w:r>
    </w:p>
    <w:p w14:paraId="0FE0B490" w14:textId="77777777" w:rsidR="00AD081E" w:rsidRPr="00AD081E" w:rsidRDefault="00AD081E" w:rsidP="00AD081E">
      <w:pPr>
        <w:rPr>
          <w:rFonts w:eastAsia="Calibri"/>
        </w:rPr>
      </w:pPr>
      <w:r w:rsidRPr="00AD081E">
        <w:rPr>
          <w:rFonts w:eastAsia="Calibri"/>
        </w:rPr>
        <w:t>If all you have is a single TED node with no TCIP connectivity, this is the configuration for you. It has the virtue of being relatively simple to configure.</w:t>
      </w:r>
    </w:p>
    <w:p w14:paraId="3A7BA4F8" w14:textId="77777777" w:rsidR="00AD081E" w:rsidRPr="00AD081E" w:rsidRDefault="00AD081E" w:rsidP="00AD081E">
      <w:pPr>
        <w:rPr>
          <w:rFonts w:eastAsia="Calibri"/>
        </w:rPr>
      </w:pPr>
      <w:r w:rsidRPr="00AD081E">
        <w:rPr>
          <w:rFonts w:eastAsia="Calibri"/>
        </w:rPr>
        <w:t>This configuration can be applied only to a TED node. It is not applicable to MDS or TTWCS nodes.</w:t>
      </w:r>
    </w:p>
    <w:p w14:paraId="3474A1D3" w14:textId="77777777" w:rsidR="00AD081E" w:rsidRPr="00AD081E" w:rsidRDefault="00AD081E" w:rsidP="00C24A91">
      <w:pPr>
        <w:pStyle w:val="Appendix4"/>
        <w:pageBreakBefore/>
        <w:ind w:left="360"/>
      </w:pPr>
      <w:r w:rsidRPr="00AD081E">
        <w:lastRenderedPageBreak/>
        <w:t>Before You Begin</w:t>
      </w:r>
    </w:p>
    <w:p w14:paraId="7970EC6C" w14:textId="77777777" w:rsidR="00AD081E" w:rsidRPr="00AD081E" w:rsidRDefault="00AD081E" w:rsidP="00AD081E">
      <w:pPr>
        <w:rPr>
          <w:rFonts w:eastAsia="Calibri"/>
        </w:rPr>
      </w:pPr>
      <w:r w:rsidRPr="00AD081E">
        <w:rPr>
          <w:rFonts w:eastAsia="Calibri"/>
        </w:rPr>
        <w:t>Before starting communications configuration, have the following available to you:</w:t>
      </w:r>
    </w:p>
    <w:p w14:paraId="7C2AE417" w14:textId="77777777" w:rsidR="00AD081E" w:rsidRPr="00AD081E" w:rsidRDefault="00AD081E" w:rsidP="006D5A65">
      <w:pPr>
        <w:pStyle w:val="Heading1"/>
      </w:pPr>
      <w:r w:rsidRPr="00AD081E">
        <w:t>A list of the node names of participants in the strike. This should include all of the nodes from the strike arsenals of all of the strikes in the execution folder(s) you will be rehearsing.</w:t>
      </w:r>
    </w:p>
    <w:p w14:paraId="147D461C" w14:textId="77777777" w:rsidR="00AD081E" w:rsidRPr="00AD081E" w:rsidRDefault="00AD081E" w:rsidP="006D5A65">
      <w:pPr>
        <w:pStyle w:val="Heading1"/>
      </w:pPr>
      <w:r w:rsidRPr="00AD081E">
        <w:t>For each node, the TED, MDS, and TTWCS version numbers (as appropriate to the node type).</w:t>
      </w:r>
    </w:p>
    <w:p w14:paraId="24F76E79" w14:textId="77777777" w:rsidR="00AD081E" w:rsidRPr="00AD081E" w:rsidRDefault="00AD081E" w:rsidP="006D5A65">
      <w:pPr>
        <w:pStyle w:val="Heading1"/>
      </w:pPr>
      <w:r w:rsidRPr="00AD081E">
        <w:t>The OTH subscriber ID (SID) for each node in the strike.</w:t>
      </w:r>
    </w:p>
    <w:p w14:paraId="4355EAAE" w14:textId="77777777" w:rsidR="00AD081E" w:rsidRPr="00AD081E" w:rsidRDefault="00AD081E" w:rsidP="006D5A65">
      <w:pPr>
        <w:pStyle w:val="Heading1"/>
      </w:pPr>
      <w:r w:rsidRPr="00AD081E">
        <w:t>The internet protocol (IP) address of the machine that hosts the TSRT’s TED. If using a CMSA configuration (the TED web services [WS] are on a separate machine from the TED database [DB]), use the address for the machine hosting the TED web services.</w:t>
      </w:r>
    </w:p>
    <w:p w14:paraId="5218DD11" w14:textId="77777777" w:rsidR="00AD081E" w:rsidRPr="00AD081E" w:rsidRDefault="00AD081E" w:rsidP="006D5A65">
      <w:pPr>
        <w:pStyle w:val="Heading1"/>
      </w:pPr>
      <w:r w:rsidRPr="00AD081E">
        <w:t>The TDM</w:t>
      </w:r>
      <w:r w:rsidRPr="00AD081E">
        <w:rPr>
          <w:rFonts w:eastAsia="Calibri"/>
        </w:rPr>
        <w:t xml:space="preserve"> Distribution Agent</w:t>
      </w:r>
      <w:r w:rsidRPr="00AD081E">
        <w:t xml:space="preserve"> port number to be used by the TSRT’s TED (usually 9500).</w:t>
      </w:r>
    </w:p>
    <w:p w14:paraId="1EE5B66F" w14:textId="77777777" w:rsidR="00AD081E" w:rsidRPr="00AD081E" w:rsidRDefault="00AD081E" w:rsidP="006D5A65">
      <w:pPr>
        <w:pStyle w:val="Heading1"/>
      </w:pPr>
      <w:r w:rsidRPr="00AD081E">
        <w:t>The internet protocol (IP) address of the machine that hosts the TSRT’s MDS. For CSG and CMSA configurations, this will be different from the TED address.</w:t>
      </w:r>
    </w:p>
    <w:p w14:paraId="6D949152" w14:textId="77777777" w:rsidR="00AD081E" w:rsidRPr="00AD081E" w:rsidRDefault="00AD081E" w:rsidP="00B71F29">
      <w:pPr>
        <w:pStyle w:val="Appendix4"/>
        <w:ind w:left="360"/>
      </w:pPr>
      <w:r w:rsidRPr="00AD081E">
        <w:t>Configure Communications</w:t>
      </w:r>
    </w:p>
    <w:p w14:paraId="7797DE30" w14:textId="77777777" w:rsidR="00AD081E" w:rsidRPr="00AD081E" w:rsidRDefault="00AD081E" w:rsidP="00B71F29">
      <w:pPr>
        <w:pStyle w:val="Appendix5"/>
      </w:pPr>
      <w:r w:rsidRPr="00AD081E">
        <w:t>Configure Node Communications</w:t>
      </w:r>
    </w:p>
    <w:p w14:paraId="1833CAC1"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Nodes</w:t>
      </w:r>
      <w:r w:rsidRPr="00AD081E">
        <w:rPr>
          <w:rFonts w:eastAsia="Calibri"/>
        </w:rPr>
        <w:t xml:space="preserve"> from the menu. For each node in your list of participating nodes, configure the node as follows:</w:t>
      </w:r>
    </w:p>
    <w:p w14:paraId="15F61692" w14:textId="77777777" w:rsidR="00AD081E" w:rsidRPr="00AD081E" w:rsidRDefault="00AD081E" w:rsidP="00AD081E">
      <w:pPr>
        <w:rPr>
          <w:rFonts w:eastAsia="Calibri"/>
        </w:rPr>
      </w:pPr>
      <w:r w:rsidRPr="00AD081E">
        <w:rPr>
          <w:rFonts w:eastAsia="Calibri"/>
          <w:b/>
        </w:rPr>
        <w:t>Nodes</w:t>
      </w:r>
      <w:r w:rsidRPr="00AD081E">
        <w:rPr>
          <w:rFonts w:eastAsia="Calibri"/>
          <w:b/>
        </w:rPr>
        <w:br/>
      </w:r>
      <w:r w:rsidRPr="00AD081E">
        <w:rPr>
          <w:rFonts w:eastAsia="Calibri"/>
        </w:rPr>
        <w:t xml:space="preserve">Select the node in the list. Double-click on it, or right-click and choose </w:t>
      </w:r>
      <w:r w:rsidRPr="00AD081E">
        <w:rPr>
          <w:rFonts w:eastAsia="Calibri"/>
          <w:b/>
        </w:rPr>
        <w:t>Display</w:t>
      </w:r>
      <w:r w:rsidRPr="00AD081E">
        <w:rPr>
          <w:b/>
        </w:rPr>
        <w:t xml:space="preserve"> </w:t>
      </w:r>
      <w:r w:rsidRPr="00AD081E">
        <w:rPr>
          <w:b/>
        </w:rPr>
        <w:sym w:font="Wingdings" w:char="F0E0"/>
      </w:r>
      <w:r w:rsidRPr="00AD081E">
        <w:rPr>
          <w:b/>
        </w:rPr>
        <w:t xml:space="preserve"> </w:t>
      </w:r>
      <w:r w:rsidRPr="00AD081E">
        <w:rPr>
          <w:rFonts w:eastAsia="Calibri"/>
          <w:b/>
        </w:rPr>
        <w:t>Textually</w:t>
      </w:r>
      <w:r w:rsidRPr="00AD081E">
        <w:rPr>
          <w:rFonts w:eastAsia="Calibri"/>
        </w:rPr>
        <w:t xml:space="preserve"> from the context menu.</w:t>
      </w:r>
    </w:p>
    <w:p w14:paraId="1CCCAB52" w14:textId="77777777" w:rsidR="00AD081E" w:rsidRPr="00AD081E" w:rsidRDefault="00AD081E" w:rsidP="00AD081E">
      <w:pPr>
        <w:rPr>
          <w:rFonts w:eastAsia="Calibri"/>
        </w:rPr>
      </w:pPr>
      <w:r w:rsidRPr="00AD081E">
        <w:rPr>
          <w:rFonts w:eastAsia="Calibri"/>
          <w:b/>
        </w:rPr>
        <w:t xml:space="preserve">Node: </w:t>
      </w:r>
      <w:r w:rsidRPr="00AD081E">
        <w:rPr>
          <w:rFonts w:eastAsia="Calibri"/>
          <w:b/>
          <w:i/>
        </w:rPr>
        <w:t>Node Name</w:t>
      </w:r>
      <w:r w:rsidRPr="00AD081E">
        <w:rPr>
          <w:rFonts w:eastAsia="Calibri"/>
          <w:b/>
        </w:rPr>
        <w:br/>
      </w:r>
      <w:r w:rsidRPr="00AD081E">
        <w:rPr>
          <w:rFonts w:eastAsia="Calibri"/>
        </w:rPr>
        <w:t xml:space="preserve">On the </w:t>
      </w:r>
      <w:r w:rsidRPr="00AD081E">
        <w:rPr>
          <w:rFonts w:eastAsia="Calibri"/>
          <w:b/>
          <w:i/>
        </w:rPr>
        <w:t>Capabilities</w:t>
      </w:r>
      <w:r w:rsidRPr="00AD081E">
        <w:rPr>
          <w:rFonts w:eastAsia="Calibri"/>
        </w:rPr>
        <w:t xml:space="preserve"> tab, check the </w:t>
      </w:r>
      <w:r w:rsidRPr="00AD081E">
        <w:rPr>
          <w:rFonts w:eastAsia="Calibri"/>
          <w:b/>
        </w:rPr>
        <w:t>Legacy (OTH)</w:t>
      </w:r>
      <w:r w:rsidRPr="00AD081E">
        <w:rPr>
          <w:rFonts w:eastAsia="Calibri"/>
        </w:rPr>
        <w:t xml:space="preserve"> checkbox if it is not already checked. From the drop down labeled </w:t>
      </w:r>
      <w:r w:rsidRPr="00AD081E">
        <w:rPr>
          <w:rFonts w:eastAsia="Calibri"/>
          <w:b/>
        </w:rPr>
        <w:t>Preferred Receive Method</w:t>
      </w:r>
      <w:r w:rsidRPr="00AD081E">
        <w:rPr>
          <w:rFonts w:eastAsia="Calibri"/>
        </w:rPr>
        <w:t xml:space="preserve">, choose </w:t>
      </w:r>
      <w:r w:rsidRPr="00AD081E">
        <w:rPr>
          <w:rFonts w:eastAsia="Calibri"/>
          <w:b/>
        </w:rPr>
        <w:t>Legacy (OTH)</w:t>
      </w:r>
      <w:r w:rsidRPr="00AD081E">
        <w:rPr>
          <w:rFonts w:eastAsia="Calibri"/>
        </w:rPr>
        <w:t xml:space="preserve">. In the field labeled </w:t>
      </w:r>
      <w:r w:rsidRPr="00AD081E">
        <w:rPr>
          <w:rFonts w:eastAsia="Calibri"/>
          <w:b/>
        </w:rPr>
        <w:t>SID</w:t>
      </w:r>
      <w:r w:rsidRPr="00AD081E">
        <w:rPr>
          <w:rFonts w:eastAsia="Calibri"/>
        </w:rPr>
        <w:t>, enter the node’s OTH SID. Make sure that the TED and MDS version numbers are (or TTWCS version number is) set to the correct value (e.g., 7.0, or 5.4.0.2).</w:t>
      </w:r>
    </w:p>
    <w:p w14:paraId="72D518D1" w14:textId="77777777" w:rsidR="00AD081E" w:rsidRPr="00AD081E" w:rsidRDefault="00AD081E" w:rsidP="00AD081E">
      <w:pPr>
        <w:rPr>
          <w:rFonts w:eastAsia="Calibri"/>
        </w:rPr>
      </w:pPr>
      <w:r w:rsidRPr="00AD081E">
        <w:rPr>
          <w:rFonts w:eastAsia="Calibri"/>
          <w:b/>
        </w:rPr>
        <w:t>For the TSRT’s TED node only</w:t>
      </w:r>
      <w:r w:rsidRPr="00AD081E">
        <w:rPr>
          <w:rFonts w:eastAsia="Calibri"/>
        </w:rPr>
        <w:t xml:space="preserve">, also check the box labeled </w:t>
      </w:r>
      <w:r w:rsidRPr="00AD081E">
        <w:rPr>
          <w:rFonts w:eastAsia="Calibri"/>
          <w:b/>
        </w:rPr>
        <w:t>HTTPS</w:t>
      </w:r>
      <w:r w:rsidRPr="00AD081E">
        <w:rPr>
          <w:rFonts w:eastAsia="Calibri"/>
        </w:rPr>
        <w:t xml:space="preserve">. In the field labeled </w:t>
      </w:r>
      <w:r w:rsidRPr="00AD081E">
        <w:rPr>
          <w:rFonts w:eastAsia="Calibri"/>
          <w:b/>
        </w:rPr>
        <w:t>IP Address</w:t>
      </w:r>
      <w:r w:rsidRPr="00AD081E">
        <w:rPr>
          <w:rFonts w:eastAsia="Calibri"/>
        </w:rPr>
        <w:t xml:space="preserve">, enter the TED machine’s IP address. From the drop down labeled </w:t>
      </w:r>
      <w:r w:rsidRPr="00AD081E">
        <w:rPr>
          <w:rFonts w:eastAsia="Calibri"/>
          <w:b/>
        </w:rPr>
        <w:t>Preferred Receive Method</w:t>
      </w:r>
      <w:r w:rsidRPr="00AD081E">
        <w:rPr>
          <w:rFonts w:eastAsia="Calibri"/>
        </w:rPr>
        <w:t xml:space="preserve">, choose </w:t>
      </w:r>
      <w:r w:rsidRPr="00AD081E">
        <w:rPr>
          <w:rFonts w:eastAsia="Calibri"/>
          <w:b/>
        </w:rPr>
        <w:t>HTTPS</w:t>
      </w:r>
      <w:r w:rsidRPr="00AD081E">
        <w:rPr>
          <w:rFonts w:eastAsia="Calibri"/>
        </w:rPr>
        <w:t xml:space="preserve"> instead of </w:t>
      </w:r>
      <w:r w:rsidRPr="00AD081E">
        <w:rPr>
          <w:rFonts w:eastAsia="Calibri"/>
          <w:b/>
        </w:rPr>
        <w:t>Legacy (OTH)</w:t>
      </w:r>
      <w:r w:rsidRPr="00AD081E">
        <w:rPr>
          <w:rFonts w:eastAsia="Calibri"/>
        </w:rPr>
        <w:t>.</w:t>
      </w:r>
    </w:p>
    <w:p w14:paraId="7425F452" w14:textId="77777777" w:rsidR="00AD081E" w:rsidRPr="00AD081E" w:rsidRDefault="00AD081E" w:rsidP="00AD081E">
      <w:pPr>
        <w:spacing w:before="200" w:after="0" w:line="276" w:lineRule="auto"/>
        <w:rPr>
          <w:rFonts w:eastAsia="Calibri"/>
        </w:rPr>
      </w:pPr>
      <w:r w:rsidRPr="00AD081E">
        <w:rPr>
          <w:rFonts w:eastAsia="Calibri"/>
          <w:b/>
        </w:rPr>
        <w:t>Note:</w:t>
      </w:r>
      <w:r w:rsidRPr="00AD081E">
        <w:rPr>
          <w:rFonts w:eastAsia="Calibri"/>
        </w:rPr>
        <w:t xml:space="preserve"> It is not necessary to specify the TCIP address here.</w:t>
      </w:r>
    </w:p>
    <w:p w14:paraId="6F1AEB4B" w14:textId="77777777" w:rsidR="00AD081E" w:rsidRPr="00AD081E" w:rsidRDefault="00AD081E" w:rsidP="00AD081E">
      <w:pPr>
        <w:rPr>
          <w:rFonts w:eastAsia="Calibri"/>
        </w:rPr>
      </w:pPr>
      <w:r w:rsidRPr="00AD081E">
        <w:rPr>
          <w:rFonts w:eastAsia="Calibri"/>
        </w:rPr>
        <w:t xml:space="preserve">Click the </w:t>
      </w:r>
      <w:r w:rsidRPr="00AD081E">
        <w:rPr>
          <w:rFonts w:eastAsia="Calibri"/>
          <w:b/>
        </w:rPr>
        <w:t>Save</w:t>
      </w:r>
      <w:r w:rsidRPr="00AD081E">
        <w:rPr>
          <w:rFonts w:eastAsia="Calibri"/>
        </w:rPr>
        <w:t xml:space="preserve"> icon on the toolbar, or select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w:t>
      </w:r>
      <w:r w:rsidRPr="00AD081E">
        <w:rPr>
          <w:rFonts w:eastAsia="Calibri"/>
        </w:rPr>
        <w:t xml:space="preserve"> from the menu, to save your changes. Close the node dialog.</w:t>
      </w:r>
    </w:p>
    <w:p w14:paraId="76C17FAC" w14:textId="77777777" w:rsidR="00AD081E" w:rsidRPr="00AD081E" w:rsidRDefault="00AD081E" w:rsidP="00AD081E">
      <w:pPr>
        <w:keepNext/>
        <w:rPr>
          <w:rFonts w:eastAsia="Calibri"/>
          <w:b/>
        </w:rPr>
      </w:pPr>
      <w:r w:rsidRPr="00AD081E">
        <w:rPr>
          <w:rFonts w:eastAsia="Calibri"/>
          <w:b/>
        </w:rPr>
        <w:lastRenderedPageBreak/>
        <w:t>Node Configuration for TTWCS Node</w:t>
      </w:r>
    </w:p>
    <w:p w14:paraId="784BEB2F" w14:textId="77777777" w:rsidR="00AD081E" w:rsidRPr="00AD081E" w:rsidRDefault="00AD081E" w:rsidP="00AD081E">
      <w:pPr>
        <w:jc w:val="center"/>
      </w:pPr>
      <w:r w:rsidRPr="00AD081E">
        <w:rPr>
          <w:noProof/>
        </w:rPr>
        <w:drawing>
          <wp:inline distT="0" distB="0" distL="0" distR="0" wp14:anchorId="01DB4CEE" wp14:editId="3EF0A66F">
            <wp:extent cx="4114800" cy="2862072"/>
            <wp:effectExtent l="0" t="0" r="0" b="0"/>
            <wp:docPr id="616" name="Picture 616"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Picture 616" descr="Graphical user interface, tabl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114800" cy="2862072"/>
                    </a:xfrm>
                    <a:prstGeom prst="rect">
                      <a:avLst/>
                    </a:prstGeom>
                  </pic:spPr>
                </pic:pic>
              </a:graphicData>
            </a:graphic>
          </wp:inline>
        </w:drawing>
      </w:r>
    </w:p>
    <w:p w14:paraId="138A541A" w14:textId="77777777" w:rsidR="00AD081E" w:rsidRPr="00AD081E" w:rsidRDefault="00AD081E" w:rsidP="001F4B14">
      <w:pPr>
        <w:spacing w:before="120"/>
        <w:rPr>
          <w:rFonts w:eastAsia="Calibri"/>
          <w:b/>
        </w:rPr>
      </w:pPr>
      <w:r w:rsidRPr="00AD081E">
        <w:rPr>
          <w:rFonts w:eastAsia="Calibri"/>
          <w:b/>
        </w:rPr>
        <w:t>Node Configuration for Non-TSRT TED Node</w:t>
      </w:r>
    </w:p>
    <w:p w14:paraId="42838D51" w14:textId="28F4D9C1" w:rsidR="00D35773" w:rsidRPr="00AD081E" w:rsidRDefault="00D35773" w:rsidP="001F4B14">
      <w:pPr>
        <w:tabs>
          <w:tab w:val="left" w:pos="720"/>
        </w:tabs>
        <w:jc w:val="center"/>
      </w:pPr>
      <w:r>
        <w:rPr>
          <w:noProof/>
        </w:rPr>
        <w:drawing>
          <wp:inline distT="0" distB="0" distL="0" distR="0" wp14:anchorId="54529AA7" wp14:editId="57B5899B">
            <wp:extent cx="4114800" cy="2971800"/>
            <wp:effectExtent l="0" t="0" r="0" b="0"/>
            <wp:docPr id="649" name="Picture 64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Picture 649" descr="Graphical user interface&#10;&#10;Description automatically generated"/>
                    <pic:cNvPicPr/>
                  </pic:nvPicPr>
                  <pic:blipFill>
                    <a:blip/>
                    <a:stretch>
                      <a:fillRect/>
                    </a:stretch>
                  </pic:blipFill>
                  <pic:spPr>
                    <a:xfrm>
                      <a:off x="0" y="0"/>
                      <a:ext cx="4114800" cy="2971800"/>
                    </a:xfrm>
                    <a:prstGeom prst="rect">
                      <a:avLst/>
                    </a:prstGeom>
                  </pic:spPr>
                </pic:pic>
              </a:graphicData>
            </a:graphic>
          </wp:inline>
        </w:drawing>
      </w:r>
    </w:p>
    <w:p w14:paraId="0A89D9DC" w14:textId="77777777" w:rsidR="00AD081E" w:rsidRPr="00AD081E" w:rsidRDefault="00AD081E" w:rsidP="001F4B14">
      <w:pPr>
        <w:pageBreakBefore/>
        <w:spacing w:before="120"/>
        <w:rPr>
          <w:rFonts w:eastAsia="Calibri"/>
          <w:b/>
        </w:rPr>
      </w:pPr>
      <w:r w:rsidRPr="00AD081E">
        <w:rPr>
          <w:rFonts w:eastAsia="Calibri"/>
          <w:b/>
        </w:rPr>
        <w:lastRenderedPageBreak/>
        <w:t>Node Configuration for TSRT’s TED Node (Uses HTTPS)</w:t>
      </w:r>
    </w:p>
    <w:p w14:paraId="769513B2" w14:textId="0014B220" w:rsidR="00AF09AE" w:rsidRPr="00AD081E" w:rsidRDefault="00AF09AE" w:rsidP="00AD081E">
      <w:pPr>
        <w:tabs>
          <w:tab w:val="left" w:pos="720"/>
        </w:tabs>
        <w:jc w:val="center"/>
      </w:pPr>
      <w:r>
        <w:rPr>
          <w:noProof/>
        </w:rPr>
        <w:drawing>
          <wp:inline distT="0" distB="0" distL="0" distR="0" wp14:anchorId="35021BEA" wp14:editId="06253031">
            <wp:extent cx="4114800" cy="2971800"/>
            <wp:effectExtent l="0" t="0" r="0" b="0"/>
            <wp:docPr id="690" name="Picture 69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Picture 690" descr="Graphical user interface&#10;&#10;Description automatically generated"/>
                    <pic:cNvPicPr/>
                  </pic:nvPicPr>
                  <pic:blipFill>
                    <a:blip/>
                    <a:stretch>
                      <a:fillRect/>
                    </a:stretch>
                  </pic:blipFill>
                  <pic:spPr>
                    <a:xfrm>
                      <a:off x="0" y="0"/>
                      <a:ext cx="4114800" cy="2971800"/>
                    </a:xfrm>
                    <a:prstGeom prst="rect">
                      <a:avLst/>
                    </a:prstGeom>
                  </pic:spPr>
                </pic:pic>
              </a:graphicData>
            </a:graphic>
          </wp:inline>
        </w:drawing>
      </w:r>
    </w:p>
    <w:p w14:paraId="32CAEEA5" w14:textId="77777777" w:rsidR="00AD081E" w:rsidRPr="00AD081E" w:rsidRDefault="00AD081E" w:rsidP="00226406">
      <w:pPr>
        <w:pStyle w:val="Appendix5"/>
      </w:pPr>
      <w:r w:rsidRPr="00AD081E">
        <w:t>Configure TDM</w:t>
      </w:r>
      <w:r w:rsidRPr="00AD081E">
        <w:rPr>
          <w:rFonts w:eastAsia="Calibri"/>
        </w:rPr>
        <w:t xml:space="preserve"> Distribution Agent</w:t>
      </w:r>
      <w:r w:rsidRPr="00AD081E">
        <w:t xml:space="preserve"> Communications</w:t>
      </w:r>
    </w:p>
    <w:p w14:paraId="2E31F7CD" w14:textId="77777777" w:rsidR="00AD081E" w:rsidRPr="00AD081E" w:rsidRDefault="00AD081E" w:rsidP="00AD081E">
      <w:pPr>
        <w:rPr>
          <w:rFonts w:eastAsia="Calibri"/>
        </w:rPr>
      </w:pPr>
      <w:r w:rsidRPr="00AD081E">
        <w:rPr>
          <w:rFonts w:eastAsia="Calibri"/>
        </w:rPr>
        <w:t>With no TCIP, there is also no TSNIF, so TSN communications are simulated by TSRT. To accomplish this, TDM Distribution Agent is configured to connect to the TSRT’s MDS machine (not to a TCIP). (</w:t>
      </w:r>
      <w:r w:rsidRPr="00AD081E">
        <w:rPr>
          <w:rFonts w:eastAsia="Calibri"/>
          <w:b/>
        </w:rPr>
        <w:t>Note:</w:t>
      </w:r>
      <w:r w:rsidRPr="00AD081E">
        <w:rPr>
          <w:rFonts w:eastAsia="Calibri"/>
        </w:rPr>
        <w:t xml:space="preserve"> In the CSG and CMSA configurations, the simulated communications work only for the MDS client machine that is configured in this section; they will not work for other MDS clients connected to the same TED.)</w:t>
      </w:r>
    </w:p>
    <w:p w14:paraId="4DFC2E5E" w14:textId="653B7AE2" w:rsidR="00AD081E" w:rsidRPr="00AD081E" w:rsidRDefault="00AD081E" w:rsidP="00AD081E">
      <w:pPr>
        <w:rPr>
          <w:rFonts w:eastAsia="Calibri"/>
        </w:rPr>
      </w:pPr>
      <w:r w:rsidRPr="00AD081E">
        <w:rPr>
          <w:rFonts w:eastAsia="Calibri"/>
        </w:rPr>
        <w:t xml:space="preserve">While an MDS is connected to the TSRT’s TED, in the Windows system tray (usually at the bottom right of the Windows display), right-click on the icon that looks like a satellite dish and choose </w:t>
      </w:r>
      <w:r w:rsidRPr="00AD081E">
        <w:rPr>
          <w:rFonts w:eastAsia="Calibri"/>
          <w:b/>
        </w:rPr>
        <w:t>Configure</w:t>
      </w:r>
      <w:r w:rsidRPr="00AD081E">
        <w:rPr>
          <w:rFonts w:eastAsia="Calibri"/>
        </w:rPr>
        <w:t xml:space="preserve"> from the context menu. (If the system tray is configured to hide </w:t>
      </w:r>
      <w:r w:rsidR="00926837" w:rsidRPr="00AD081E">
        <w:rPr>
          <w:rFonts w:eastAsia="Calibri"/>
        </w:rPr>
        <w:t>infrequently used</w:t>
      </w:r>
      <w:r w:rsidRPr="00AD081E">
        <w:rPr>
          <w:rFonts w:eastAsia="Calibri"/>
        </w:rPr>
        <w:t xml:space="preserve"> icons, the </w:t>
      </w:r>
      <w:r w:rsidRPr="00AD081E">
        <w:rPr>
          <w:rFonts w:eastAsia="Calibri"/>
          <w:b/>
        </w:rPr>
        <w:t>Satellite</w:t>
      </w:r>
      <w:r w:rsidRPr="00AD081E">
        <w:rPr>
          <w:rFonts w:eastAsia="Calibri"/>
        </w:rPr>
        <w:t xml:space="preserve"> </w:t>
      </w:r>
      <w:r w:rsidRPr="00AD081E">
        <w:rPr>
          <w:rFonts w:eastAsia="Calibri"/>
          <w:b/>
        </w:rPr>
        <w:t xml:space="preserve">Dish </w:t>
      </w:r>
      <w:r w:rsidRPr="00AD081E">
        <w:rPr>
          <w:rFonts w:eastAsia="Calibri"/>
        </w:rPr>
        <w:t xml:space="preserve">icon may not be visible. If this is the case, select the </w:t>
      </w:r>
      <w:r w:rsidRPr="00AD081E">
        <w:rPr>
          <w:rFonts w:eastAsia="Calibri"/>
          <w:b/>
        </w:rPr>
        <w:t>Up</w:t>
      </w:r>
      <w:r w:rsidRPr="00AD081E">
        <w:rPr>
          <w:rFonts w:eastAsia="Calibri"/>
        </w:rPr>
        <w:t xml:space="preserve"> arrow icon to show the hidden icons, and right-click on the </w:t>
      </w:r>
      <w:r w:rsidRPr="00AD081E">
        <w:rPr>
          <w:rFonts w:eastAsia="Calibri"/>
          <w:b/>
        </w:rPr>
        <w:t>Satellite</w:t>
      </w:r>
      <w:r w:rsidRPr="00AD081E">
        <w:rPr>
          <w:rFonts w:eastAsia="Calibri"/>
        </w:rPr>
        <w:t xml:space="preserve"> </w:t>
      </w:r>
      <w:r w:rsidRPr="00AD081E">
        <w:rPr>
          <w:rFonts w:eastAsia="Calibri"/>
          <w:b/>
        </w:rPr>
        <w:t xml:space="preserve">Dish </w:t>
      </w:r>
      <w:r w:rsidRPr="00AD081E">
        <w:rPr>
          <w:rFonts w:eastAsia="Calibri"/>
        </w:rPr>
        <w:t>icon from the pop up box that appears.)</w:t>
      </w:r>
    </w:p>
    <w:p w14:paraId="5E8B9D25" w14:textId="77777777" w:rsidR="00AD081E" w:rsidRPr="00AD081E" w:rsidRDefault="00AD081E" w:rsidP="00AD081E">
      <w:pPr>
        <w:tabs>
          <w:tab w:val="left" w:pos="720"/>
        </w:tabs>
        <w:jc w:val="center"/>
      </w:pPr>
      <w:r w:rsidRPr="00AD081E">
        <w:rPr>
          <w:noProof/>
        </w:rPr>
        <w:drawing>
          <wp:inline distT="0" distB="0" distL="0" distR="0" wp14:anchorId="27F1EF40" wp14:editId="6F179229">
            <wp:extent cx="1828800" cy="2194560"/>
            <wp:effectExtent l="0" t="0" r="0" b="0"/>
            <wp:docPr id="663" name="Picture 66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Picture 663"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828800" cy="2194560"/>
                    </a:xfrm>
                    <a:prstGeom prst="rect">
                      <a:avLst/>
                    </a:prstGeom>
                  </pic:spPr>
                </pic:pic>
              </a:graphicData>
            </a:graphic>
          </wp:inline>
        </w:drawing>
      </w:r>
      <w:r w:rsidRPr="00AD081E">
        <w:rPr>
          <w:rFonts w:ascii="Calibri" w:eastAsia="Calibri" w:hAnsi="Calibri"/>
          <w:sz w:val="22"/>
          <w:szCs w:val="22"/>
        </w:rPr>
        <w:t xml:space="preserve">  </w:t>
      </w:r>
      <w:r w:rsidRPr="00AD081E">
        <w:rPr>
          <w:noProof/>
        </w:rPr>
        <w:drawing>
          <wp:inline distT="0" distB="0" distL="0" distR="0" wp14:anchorId="0FBBB6AE" wp14:editId="39D549A0">
            <wp:extent cx="1828800" cy="2203704"/>
            <wp:effectExtent l="0" t="0" r="0" b="6350"/>
            <wp:docPr id="664" name="Picture 66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Picture 664"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828800" cy="2203704"/>
                    </a:xfrm>
                    <a:prstGeom prst="rect">
                      <a:avLst/>
                    </a:prstGeom>
                  </pic:spPr>
                </pic:pic>
              </a:graphicData>
            </a:graphic>
          </wp:inline>
        </w:drawing>
      </w:r>
    </w:p>
    <w:p w14:paraId="2D187BD8" w14:textId="77777777" w:rsidR="00AD081E" w:rsidRPr="00AD081E" w:rsidRDefault="00AD081E" w:rsidP="00AD081E">
      <w:pPr>
        <w:rPr>
          <w:rFonts w:eastAsia="Calibri"/>
        </w:rPr>
      </w:pPr>
      <w:r w:rsidRPr="00AD081E">
        <w:rPr>
          <w:rFonts w:eastAsia="Calibri"/>
          <w:b/>
        </w:rPr>
        <w:lastRenderedPageBreak/>
        <w:t>TDM Communications Properties</w:t>
      </w:r>
      <w:r w:rsidRPr="00AD081E">
        <w:rPr>
          <w:rFonts w:eastAsia="Calibri"/>
          <w:b/>
        </w:rPr>
        <w:br/>
      </w:r>
      <w:r w:rsidRPr="00AD081E">
        <w:rPr>
          <w:rFonts w:eastAsia="Calibri"/>
        </w:rPr>
        <w:t xml:space="preserve">On the </w:t>
      </w:r>
      <w:r w:rsidRPr="00AD081E">
        <w:rPr>
          <w:rFonts w:eastAsia="Calibri"/>
          <w:b/>
          <w:i/>
        </w:rPr>
        <w:t>Legacy (OTH)</w:t>
      </w:r>
      <w:r w:rsidRPr="00AD081E">
        <w:rPr>
          <w:rFonts w:eastAsia="Calibri"/>
        </w:rPr>
        <w:t xml:space="preserve"> tab, in the </w:t>
      </w:r>
      <w:r w:rsidRPr="00AD081E">
        <w:rPr>
          <w:rFonts w:eastAsia="Calibri"/>
          <w:b/>
        </w:rPr>
        <w:t>TCIP Configuration</w:t>
      </w:r>
      <w:r w:rsidRPr="00AD081E">
        <w:rPr>
          <w:rFonts w:eastAsia="Calibri"/>
        </w:rPr>
        <w:t xml:space="preserve"> list near the bottom, look for a configuration with the same IP Address as the TSRT’s MDS machine and the same port number as the TED’s TDM Distribution Agent port.</w:t>
      </w:r>
    </w:p>
    <w:p w14:paraId="1F53DA6C" w14:textId="492C9902" w:rsidR="00AD081E" w:rsidRPr="00AD081E" w:rsidRDefault="00AD081E" w:rsidP="00AD081E">
      <w:pPr>
        <w:rPr>
          <w:rFonts w:eastAsia="Calibri"/>
        </w:rPr>
      </w:pPr>
      <w:r w:rsidRPr="00AD081E">
        <w:rPr>
          <w:rFonts w:eastAsia="Calibri"/>
        </w:rPr>
        <w:t xml:space="preserve">If there is such a configuration, check its name against the name of the Active TCIP Configuration. If the names are the same, there’s nothing further to be done. If the names differ, select the correct configuration in the </w:t>
      </w:r>
      <w:r w:rsidRPr="00AD081E">
        <w:rPr>
          <w:rFonts w:eastAsia="Calibri"/>
          <w:b/>
        </w:rPr>
        <w:t>TCIP Configuration</w:t>
      </w:r>
      <w:r w:rsidRPr="00AD081E">
        <w:rPr>
          <w:rFonts w:eastAsia="Calibri"/>
        </w:rPr>
        <w:t xml:space="preserve"> list, then click on the </w:t>
      </w:r>
      <w:r w:rsidRPr="00AD081E">
        <w:rPr>
          <w:rFonts w:eastAsia="Calibri"/>
          <w:b/>
        </w:rPr>
        <w:t>Set As Active</w:t>
      </w:r>
      <w:r w:rsidRPr="00AD081E">
        <w:rPr>
          <w:rFonts w:eastAsia="Calibri"/>
        </w:rPr>
        <w:t xml:space="preserve"> button on the bottom of the tab. The </w:t>
      </w:r>
      <w:r w:rsidRPr="00AD081E">
        <w:rPr>
          <w:rFonts w:eastAsia="Calibri"/>
          <w:b/>
        </w:rPr>
        <w:t>Connection Status</w:t>
      </w:r>
      <w:r w:rsidRPr="00AD081E">
        <w:rPr>
          <w:rFonts w:eastAsia="Calibri"/>
        </w:rPr>
        <w:t xml:space="preserve"> in the Active TCIP Configuration area near the top of the tab should read </w:t>
      </w:r>
      <w:r w:rsidRPr="00AD081E">
        <w:rPr>
          <w:rFonts w:eastAsia="Calibri"/>
          <w:b/>
        </w:rPr>
        <w:t>Disconnected</w:t>
      </w:r>
      <w:r w:rsidRPr="00AD081E">
        <w:rPr>
          <w:rFonts w:eastAsia="Calibri"/>
        </w:rPr>
        <w:t xml:space="preserve">. (While TSRT is running a rehearsal, the status will instead read </w:t>
      </w:r>
      <w:r w:rsidRPr="00AD081E">
        <w:rPr>
          <w:rFonts w:eastAsia="Calibri"/>
          <w:b/>
        </w:rPr>
        <w:t>ConnectedNoNetwork</w:t>
      </w:r>
      <w:r w:rsidRPr="00AD081E">
        <w:rPr>
          <w:rFonts w:eastAsia="Calibri"/>
        </w:rPr>
        <w:t xml:space="preserve">.) Click the </w:t>
      </w:r>
      <w:r w:rsidRPr="00AD081E">
        <w:rPr>
          <w:rFonts w:eastAsia="Calibri"/>
          <w:b/>
        </w:rPr>
        <w:t>OK</w:t>
      </w:r>
      <w:r w:rsidRPr="00AD081E">
        <w:rPr>
          <w:rFonts w:eastAsia="Calibri"/>
        </w:rPr>
        <w:t xml:space="preserve"> button, and you’re done. Skip to testing the configuration (see </w:t>
      </w:r>
      <w:hyperlink w:anchor="_S-4.4.3__Test" w:history="1">
        <w:r w:rsidRPr="00AD081E">
          <w:rPr>
            <w:rFonts w:eastAsia="Calibri"/>
            <w:color w:val="0000FF"/>
            <w:u w:val="single"/>
          </w:rPr>
          <w:t>Section R.4.4.3</w:t>
        </w:r>
      </w:hyperlink>
      <w:r w:rsidRPr="00AD081E">
        <w:rPr>
          <w:rFonts w:eastAsia="Calibri"/>
          <w:color w:val="0000FF"/>
          <w:u w:val="single"/>
        </w:rPr>
        <w:t>)</w:t>
      </w:r>
      <w:r w:rsidRPr="00AD081E">
        <w:rPr>
          <w:rFonts w:eastAsia="Calibri"/>
        </w:rPr>
        <w:t>.</w:t>
      </w:r>
    </w:p>
    <w:p w14:paraId="6EEF299D" w14:textId="77777777" w:rsidR="00AD081E" w:rsidRPr="00AD081E" w:rsidRDefault="00AD081E" w:rsidP="00AD081E">
      <w:pPr>
        <w:rPr>
          <w:rFonts w:eastAsia="Calibri"/>
        </w:rPr>
      </w:pPr>
      <w:r w:rsidRPr="00AD081E">
        <w:rPr>
          <w:rFonts w:eastAsia="Calibri"/>
        </w:rPr>
        <w:t xml:space="preserve">If there is no configuration with the correct IP address and port number, create one. Start by clicking on the </w:t>
      </w:r>
      <w:r w:rsidRPr="00AD081E">
        <w:rPr>
          <w:rFonts w:eastAsia="Calibri"/>
          <w:b/>
        </w:rPr>
        <w:t>Add</w:t>
      </w:r>
      <w:r w:rsidRPr="00AD081E">
        <w:rPr>
          <w:rFonts w:eastAsia="Calibri"/>
        </w:rPr>
        <w:t xml:space="preserve"> button at the bottom of the tab.</w:t>
      </w:r>
    </w:p>
    <w:p w14:paraId="681C57B4" w14:textId="77777777" w:rsidR="00AD081E" w:rsidRPr="00AD081E" w:rsidRDefault="00AD081E" w:rsidP="00AD081E">
      <w:pPr>
        <w:rPr>
          <w:rFonts w:eastAsia="Calibri"/>
          <w:noProof/>
        </w:rPr>
      </w:pPr>
      <w:r w:rsidRPr="00AD081E">
        <w:rPr>
          <w:rFonts w:eastAsia="Calibri"/>
          <w:b/>
          <w:noProof/>
        </w:rPr>
        <w:t>New Connection</w:t>
      </w:r>
      <w:r w:rsidRPr="00AD081E">
        <w:rPr>
          <w:rFonts w:eastAsia="Calibri"/>
          <w:b/>
          <w:noProof/>
        </w:rPr>
        <w:br/>
      </w:r>
      <w:r w:rsidRPr="00AD081E">
        <w:rPr>
          <w:rFonts w:eastAsia="Calibri"/>
          <w:noProof/>
        </w:rPr>
        <w:t xml:space="preserve">Enter a name for the connection. Specify the IP address of the TSRT’s MDS machine in the </w:t>
      </w:r>
      <w:r w:rsidRPr="00AD081E">
        <w:rPr>
          <w:rFonts w:eastAsia="Calibri"/>
          <w:b/>
          <w:noProof/>
        </w:rPr>
        <w:t>IP Address</w:t>
      </w:r>
      <w:r w:rsidRPr="00AD081E">
        <w:rPr>
          <w:rFonts w:eastAsia="Calibri"/>
          <w:noProof/>
        </w:rPr>
        <w:t xml:space="preserve"> field. If necessary, change the </w:t>
      </w:r>
      <w:r w:rsidRPr="00AD081E">
        <w:rPr>
          <w:rFonts w:eastAsia="Calibri"/>
          <w:b/>
          <w:noProof/>
        </w:rPr>
        <w:t>Port</w:t>
      </w:r>
      <w:r w:rsidRPr="00AD081E">
        <w:rPr>
          <w:rFonts w:eastAsia="Calibri"/>
          <w:noProof/>
        </w:rPr>
        <w:t xml:space="preserve"> number to the number of the TED’s TDM</w:t>
      </w:r>
      <w:r w:rsidRPr="00AD081E">
        <w:rPr>
          <w:rFonts w:eastAsia="Calibri"/>
        </w:rPr>
        <w:t xml:space="preserve"> Distribution Agent</w:t>
      </w:r>
      <w:r w:rsidRPr="00AD081E">
        <w:rPr>
          <w:rFonts w:eastAsia="Calibri"/>
          <w:noProof/>
        </w:rPr>
        <w:t xml:space="preserve"> port. Click </w:t>
      </w:r>
      <w:r w:rsidRPr="00AD081E">
        <w:rPr>
          <w:rFonts w:eastAsia="Calibri"/>
          <w:b/>
          <w:noProof/>
        </w:rPr>
        <w:t>OK</w:t>
      </w:r>
      <w:r w:rsidRPr="00AD081E">
        <w:rPr>
          <w:rFonts w:eastAsia="Calibri"/>
          <w:noProof/>
        </w:rPr>
        <w:t>.</w:t>
      </w:r>
    </w:p>
    <w:p w14:paraId="225D9558" w14:textId="77777777" w:rsidR="00AD081E" w:rsidRPr="00AD081E" w:rsidRDefault="00AD081E" w:rsidP="00AD081E">
      <w:pPr>
        <w:tabs>
          <w:tab w:val="left" w:pos="720"/>
        </w:tabs>
        <w:jc w:val="center"/>
      </w:pPr>
      <w:r w:rsidRPr="00AD081E">
        <w:rPr>
          <w:noProof/>
        </w:rPr>
        <w:drawing>
          <wp:inline distT="0" distB="0" distL="0" distR="0" wp14:anchorId="75F347FE" wp14:editId="406AFB79">
            <wp:extent cx="1828800" cy="2185416"/>
            <wp:effectExtent l="0" t="0" r="0" b="5715"/>
            <wp:docPr id="108" name="Picture 10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Graphical user interface, application&#10;&#10;Description automatically generated"/>
                    <pic:cNvPicPr/>
                  </pic:nvPicPr>
                  <pic:blipFill>
                    <a:blip/>
                    <a:stretch>
                      <a:fillRect/>
                    </a:stretch>
                  </pic:blipFill>
                  <pic:spPr>
                    <a:xfrm>
                      <a:off x="0" y="0"/>
                      <a:ext cx="1828800" cy="2185416"/>
                    </a:xfrm>
                    <a:prstGeom prst="rect">
                      <a:avLst/>
                    </a:prstGeom>
                  </pic:spPr>
                </pic:pic>
              </a:graphicData>
            </a:graphic>
          </wp:inline>
        </w:drawing>
      </w:r>
      <w:r w:rsidRPr="00AD081E">
        <w:rPr>
          <w:noProof/>
        </w:rPr>
        <w:t xml:space="preserve"> </w:t>
      </w:r>
    </w:p>
    <w:p w14:paraId="7B371B98" w14:textId="77777777" w:rsidR="00AD081E" w:rsidRPr="00AD081E" w:rsidRDefault="00AD081E" w:rsidP="00AD081E">
      <w:pPr>
        <w:rPr>
          <w:rFonts w:eastAsia="Calibri"/>
        </w:rPr>
      </w:pPr>
      <w:r w:rsidRPr="00AD081E">
        <w:rPr>
          <w:rFonts w:eastAsia="Calibri"/>
          <w:b/>
        </w:rPr>
        <w:t>TDM Communications Properties</w:t>
      </w:r>
      <w:r w:rsidRPr="00AD081E">
        <w:rPr>
          <w:rFonts w:eastAsia="Calibri"/>
          <w:b/>
        </w:rPr>
        <w:br/>
      </w:r>
      <w:r w:rsidRPr="00AD081E">
        <w:rPr>
          <w:rFonts w:eastAsia="Calibri"/>
        </w:rPr>
        <w:t xml:space="preserve">Select the new configuration in the </w:t>
      </w:r>
      <w:r w:rsidRPr="00AD081E">
        <w:rPr>
          <w:rFonts w:eastAsia="Calibri"/>
          <w:b/>
        </w:rPr>
        <w:t>TCIP Configuration</w:t>
      </w:r>
      <w:r w:rsidRPr="00AD081E">
        <w:rPr>
          <w:rFonts w:eastAsia="Calibri"/>
        </w:rPr>
        <w:t xml:space="preserve"> list, then click on the </w:t>
      </w:r>
      <w:r w:rsidRPr="00AD081E">
        <w:rPr>
          <w:rFonts w:eastAsia="Calibri"/>
          <w:b/>
        </w:rPr>
        <w:t>Set As Active</w:t>
      </w:r>
      <w:r w:rsidRPr="00AD081E">
        <w:rPr>
          <w:rFonts w:eastAsia="Calibri"/>
        </w:rPr>
        <w:t xml:space="preserve"> button on the bottom of the tab. The connection status in the </w:t>
      </w:r>
      <w:r w:rsidRPr="00AD081E">
        <w:rPr>
          <w:rFonts w:eastAsia="Calibri"/>
          <w:b/>
        </w:rPr>
        <w:t>Active TCIP Configuration</w:t>
      </w:r>
      <w:r w:rsidRPr="00AD081E">
        <w:rPr>
          <w:rFonts w:eastAsia="Calibri"/>
        </w:rPr>
        <w:t xml:space="preserve"> area near the top of the tab should read </w:t>
      </w:r>
      <w:r w:rsidRPr="00AD081E">
        <w:rPr>
          <w:rFonts w:eastAsia="Calibri"/>
          <w:b/>
        </w:rPr>
        <w:t>Disconnected</w:t>
      </w:r>
      <w:r w:rsidRPr="00AD081E">
        <w:rPr>
          <w:rFonts w:eastAsia="Calibri"/>
        </w:rPr>
        <w:t xml:space="preserve">. (While TSRT is running a rehearsal, the status will instead read </w:t>
      </w:r>
      <w:r w:rsidRPr="00AD081E">
        <w:rPr>
          <w:rFonts w:eastAsia="Calibri"/>
          <w:b/>
        </w:rPr>
        <w:t>ConnectedNoNetwork</w:t>
      </w:r>
      <w:r w:rsidRPr="00AD081E">
        <w:rPr>
          <w:rFonts w:eastAsia="Calibri"/>
        </w:rPr>
        <w:t xml:space="preserve">.) Click the </w:t>
      </w:r>
      <w:r w:rsidRPr="00AD081E">
        <w:rPr>
          <w:rFonts w:eastAsia="Calibri"/>
          <w:b/>
        </w:rPr>
        <w:t>OK</w:t>
      </w:r>
      <w:r w:rsidRPr="00AD081E">
        <w:rPr>
          <w:rFonts w:eastAsia="Calibri"/>
        </w:rPr>
        <w:t xml:space="preserve"> button, and you’re done.</w:t>
      </w:r>
    </w:p>
    <w:p w14:paraId="0C2A9321" w14:textId="77777777" w:rsidR="00AD081E" w:rsidRPr="00AD081E" w:rsidRDefault="00AD081E" w:rsidP="00226406">
      <w:pPr>
        <w:pStyle w:val="Appendix4"/>
        <w:ind w:left="360"/>
      </w:pPr>
      <w:bookmarkStart w:id="8306" w:name="_S-4.4.3__Test"/>
      <w:bookmarkEnd w:id="8306"/>
      <w:r w:rsidRPr="00AD081E">
        <w:t>Test the Configuration</w:t>
      </w:r>
    </w:p>
    <w:p w14:paraId="585B04AC" w14:textId="77777777" w:rsidR="00AD081E" w:rsidRPr="00AD081E" w:rsidRDefault="00AD081E" w:rsidP="00226406">
      <w:pPr>
        <w:pStyle w:val="Appendix5"/>
      </w:pPr>
      <w:bookmarkStart w:id="8307" w:name="_Hlk56768143"/>
      <w:r w:rsidRPr="00AD081E">
        <w:t>Test DDO Communications</w:t>
      </w:r>
    </w:p>
    <w:p w14:paraId="36CF105A" w14:textId="77777777" w:rsidR="00AD081E" w:rsidRPr="00AD081E" w:rsidRDefault="00AD081E" w:rsidP="00AD081E">
      <w:pPr>
        <w:rPr>
          <w:rFonts w:eastAsia="Calibri"/>
        </w:rPr>
      </w:pPr>
      <w:bookmarkStart w:id="8308" w:name="_Hlk56768116"/>
      <w:r w:rsidRPr="00AD081E">
        <w:rPr>
          <w:rFonts w:eastAsia="Calibri"/>
        </w:rPr>
        <w:t>Send a DDO to your own node to test the HTTPS path that will be used by DDOs during rehearsal.</w:t>
      </w:r>
    </w:p>
    <w:p w14:paraId="40B32CAE"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DDO Templates</w:t>
      </w:r>
      <w:r w:rsidRPr="00AD081E">
        <w:rPr>
          <w:rFonts w:eastAsia="Calibri"/>
        </w:rPr>
        <w:t xml:space="preserve"> from the menu.</w:t>
      </w:r>
    </w:p>
    <w:p w14:paraId="34C5DCD6" w14:textId="35E61614" w:rsidR="00AD081E" w:rsidRPr="00AD081E" w:rsidRDefault="00AD081E" w:rsidP="00AD081E">
      <w:pPr>
        <w:rPr>
          <w:rFonts w:eastAsia="Calibri"/>
        </w:rPr>
      </w:pPr>
      <w:r w:rsidRPr="00AD081E">
        <w:rPr>
          <w:rFonts w:eastAsia="Calibri"/>
          <w:b/>
        </w:rPr>
        <w:lastRenderedPageBreak/>
        <w:t>DDO Templates</w:t>
      </w:r>
      <w:r w:rsidRPr="00AD081E">
        <w:rPr>
          <w:rFonts w:eastAsia="Calibri"/>
          <w:b/>
        </w:rPr>
        <w:br/>
      </w:r>
      <w:r w:rsidRPr="00AD081E">
        <w:rPr>
          <w:rFonts w:eastAsia="Calibri"/>
        </w:rPr>
        <w:t xml:space="preserve">Click on the </w:t>
      </w:r>
      <w:r w:rsidRPr="00AD081E">
        <w:rPr>
          <w:rFonts w:eastAsia="Calibri"/>
          <w:b/>
        </w:rPr>
        <w:t>New</w:t>
      </w:r>
      <w:r w:rsidRPr="00AD081E">
        <w:rPr>
          <w:rFonts w:eastAsia="Calibri"/>
        </w:rPr>
        <w:t xml:space="preserve"> button on the </w:t>
      </w:r>
      <w:r w:rsidR="007B3190" w:rsidRPr="00AD081E">
        <w:rPr>
          <w:rFonts w:eastAsia="Calibri"/>
        </w:rPr>
        <w:t>toolbar or</w:t>
      </w:r>
      <w:r w:rsidRPr="00AD081E">
        <w:rPr>
          <w:rFonts w:eastAsia="Calibri"/>
        </w:rPr>
        <w:t xml:space="preserve">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New</w:t>
      </w:r>
      <w:r w:rsidRPr="00AD081E">
        <w:rPr>
          <w:rFonts w:eastAsia="Calibri"/>
        </w:rPr>
        <w:t xml:space="preserve"> from the menu.</w:t>
      </w:r>
    </w:p>
    <w:p w14:paraId="25B5DE7A" w14:textId="77777777" w:rsidR="00AD081E" w:rsidRPr="00AD081E" w:rsidRDefault="00AD081E" w:rsidP="00AD081E">
      <w:pPr>
        <w:rPr>
          <w:rFonts w:eastAsia="Calibri"/>
        </w:rPr>
      </w:pPr>
      <w:r w:rsidRPr="00AD081E">
        <w:rPr>
          <w:rFonts w:eastAsia="Calibri"/>
          <w:b/>
        </w:rPr>
        <w:t>Drafting DDO</w:t>
      </w:r>
      <w:r w:rsidRPr="00AD081E">
        <w:rPr>
          <w:rFonts w:eastAsia="Calibri"/>
          <w:b/>
        </w:rPr>
        <w:br/>
      </w:r>
      <w:r w:rsidRPr="00AD081E">
        <w:rPr>
          <w:rFonts w:eastAsia="Calibri"/>
        </w:rPr>
        <w:t xml:space="preserve">Enter something recognizable in the </w:t>
      </w:r>
      <w:r w:rsidRPr="00AD081E">
        <w:rPr>
          <w:rFonts w:eastAsia="Calibri"/>
          <w:b/>
        </w:rPr>
        <w:t>Objective</w:t>
      </w:r>
      <w:r w:rsidRPr="00AD081E">
        <w:rPr>
          <w:rFonts w:eastAsia="Calibri"/>
        </w:rPr>
        <w:t xml:space="preserve"> field, such as </w:t>
      </w:r>
      <w:r w:rsidRPr="00AD081E">
        <w:rPr>
          <w:rFonts w:eastAsia="Calibri"/>
          <w:b/>
        </w:rPr>
        <w:t xml:space="preserve">Self-texting test </w:t>
      </w:r>
      <w:r w:rsidRPr="00AD081E">
        <w:rPr>
          <w:rFonts w:eastAsia="Calibri"/>
        </w:rPr>
        <w:t xml:space="preserve">(optional). Click on the </w:t>
      </w:r>
      <w:r w:rsidRPr="00AD081E">
        <w:rPr>
          <w:rFonts w:eastAsia="Calibri"/>
          <w:b/>
        </w:rPr>
        <w:t>To…</w:t>
      </w:r>
      <w:r w:rsidRPr="00AD081E">
        <w:rPr>
          <w:rFonts w:eastAsia="Calibri"/>
        </w:rPr>
        <w:t xml:space="preserve"> button, double-click your desired node from the Address Book, then click on the </w:t>
      </w:r>
      <w:r w:rsidRPr="00AD081E">
        <w:rPr>
          <w:rFonts w:eastAsia="Calibri"/>
          <w:b/>
        </w:rPr>
        <w:t>OK</w:t>
      </w:r>
      <w:r w:rsidRPr="00AD081E">
        <w:rPr>
          <w:rFonts w:eastAsia="Calibri"/>
        </w:rPr>
        <w:t xml:space="preserve"> button.</w:t>
      </w:r>
    </w:p>
    <w:p w14:paraId="4D24B4E7" w14:textId="77777777" w:rsidR="00AD081E" w:rsidRPr="00AD081E" w:rsidRDefault="00AD081E" w:rsidP="00AD081E">
      <w:pPr>
        <w:rPr>
          <w:rFonts w:eastAsia="Calibri"/>
          <w:b/>
        </w:rPr>
      </w:pPr>
      <w:r w:rsidRPr="00AD081E">
        <w:rPr>
          <w:rFonts w:eastAsia="Calibri"/>
        </w:rPr>
        <w:t xml:space="preserve">Add the appropriate data items to be transmitted from the </w:t>
      </w:r>
      <w:r w:rsidRPr="00AD081E">
        <w:rPr>
          <w:rFonts w:eastAsia="Calibri"/>
          <w:b/>
          <w:i/>
        </w:rPr>
        <w:t>Data</w:t>
      </w:r>
      <w:r w:rsidRPr="00AD081E">
        <w:rPr>
          <w:rFonts w:eastAsia="Calibri"/>
        </w:rPr>
        <w:t xml:space="preserve"> tab at the bottom of the window (i.e., Missions, DSMACs, TERCOMs, etc.). It is suggested to select small data items, such as an ACMS to test DDO communications. Right-click in the white area of the DDO Template and select </w:t>
      </w:r>
      <w:r w:rsidRPr="00AD081E">
        <w:rPr>
          <w:rFonts w:eastAsia="Calibri"/>
          <w:b/>
        </w:rPr>
        <w:t>Add…</w:t>
      </w:r>
      <w:r w:rsidRPr="00AD081E">
        <w:rPr>
          <w:rFonts w:eastAsia="Calibri"/>
        </w:rPr>
        <w:t xml:space="preserve">. A selection window specific to the tool that is selected is displayed. Select the desired data item(s) and click </w:t>
      </w:r>
      <w:r w:rsidRPr="00AD081E">
        <w:rPr>
          <w:rFonts w:eastAsia="Calibri"/>
          <w:b/>
        </w:rPr>
        <w:t>OK.</w:t>
      </w:r>
    </w:p>
    <w:p w14:paraId="143CDFCE" w14:textId="77777777" w:rsidR="00AD081E" w:rsidRPr="00AD081E" w:rsidRDefault="00AD081E" w:rsidP="00AD081E">
      <w:r w:rsidRPr="00AD081E">
        <w:rPr>
          <w:rFonts w:eastAsia="Calibri"/>
          <w:b/>
        </w:rPr>
        <w:t>Sending</w:t>
      </w:r>
      <w:r w:rsidRPr="00AD081E">
        <w:rPr>
          <w:rFonts w:eastAsia="Calibri"/>
          <w:b/>
        </w:rPr>
        <w:br/>
      </w:r>
      <w:r w:rsidRPr="00AD081E">
        <w:t xml:space="preserve">From the </w:t>
      </w:r>
      <w:r w:rsidRPr="00AD081E">
        <w:rPr>
          <w:b/>
        </w:rPr>
        <w:t>File</w:t>
      </w:r>
      <w:r w:rsidRPr="00AD081E">
        <w:t xml:space="preserve"> menu select </w:t>
      </w:r>
      <w:r w:rsidRPr="00AD081E">
        <w:rPr>
          <w:b/>
        </w:rPr>
        <w:t>Send</w:t>
      </w:r>
      <w:r w:rsidRPr="00AD081E">
        <w:t xml:space="preserve"> or click the </w:t>
      </w:r>
      <w:r w:rsidRPr="00AD081E">
        <w:rPr>
          <w:b/>
        </w:rPr>
        <w:t>Send</w:t>
      </w:r>
      <w:r w:rsidRPr="00AD081E">
        <w:t xml:space="preserve"> </w:t>
      </w:r>
      <w:r w:rsidRPr="00AD081E">
        <w:rPr>
          <w:noProof/>
        </w:rPr>
        <w:drawing>
          <wp:inline distT="0" distB="0" distL="0" distR="0" wp14:anchorId="3DF5F19F" wp14:editId="1F4339A1">
            <wp:extent cx="152400" cy="152400"/>
            <wp:effectExtent l="0" t="0" r="0" b="0"/>
            <wp:docPr id="824" name="Picture 824"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AD081E">
        <w:t xml:space="preserve"> icon on the toolbar.</w:t>
      </w:r>
    </w:p>
    <w:p w14:paraId="7E62AC29" w14:textId="77777777" w:rsidR="00AD081E" w:rsidRPr="00AD081E" w:rsidRDefault="00AD081E" w:rsidP="00AD081E">
      <w:r w:rsidRPr="00AD081E">
        <w:rPr>
          <w:b/>
        </w:rPr>
        <w:t>Received DDO</w:t>
      </w:r>
      <w:r w:rsidRPr="00AD081E">
        <w:br/>
      </w:r>
      <w:r w:rsidRPr="00AD081E">
        <w:rPr>
          <w:rFonts w:eastAsia="Calibri"/>
        </w:rPr>
        <w:t xml:space="preserve">From the </w:t>
      </w:r>
      <w:r w:rsidRPr="00AD081E">
        <w:rPr>
          <w:rFonts w:eastAsia="Calibri"/>
          <w:b/>
        </w:rPr>
        <w:t>Go</w:t>
      </w:r>
      <w:r w:rsidRPr="00AD081E">
        <w:rPr>
          <w:rFonts w:eastAsia="Calibri"/>
        </w:rPr>
        <w:t xml:space="preserve"> menu, select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Incoming DDOs</w:t>
      </w:r>
      <w:r w:rsidRPr="00AD081E">
        <w:rPr>
          <w:rFonts w:eastAsia="Calibri"/>
        </w:rPr>
        <w:t xml:space="preserve">. </w:t>
      </w:r>
    </w:p>
    <w:p w14:paraId="2A73A84B" w14:textId="77777777" w:rsidR="00AD081E" w:rsidRPr="00AD081E" w:rsidRDefault="00AD081E" w:rsidP="00AD081E">
      <w:pPr>
        <w:rPr>
          <w:rFonts w:eastAsia="Calibri"/>
        </w:rPr>
      </w:pPr>
      <w:r w:rsidRPr="00AD081E">
        <w:rPr>
          <w:rFonts w:eastAsia="Calibri"/>
        </w:rPr>
        <w:t xml:space="preserve">If HTTPS configuration was successful, your message objective will be shown in the </w:t>
      </w:r>
      <w:r w:rsidRPr="00AD081E">
        <w:rPr>
          <w:rFonts w:eastAsia="Calibri"/>
          <w:b/>
        </w:rPr>
        <w:t>Incoming DDOs</w:t>
      </w:r>
      <w:r w:rsidRPr="00AD081E">
        <w:rPr>
          <w:rFonts w:eastAsia="Calibri"/>
        </w:rPr>
        <w:t xml:space="preserve"> list.</w:t>
      </w:r>
      <w:bookmarkEnd w:id="8308"/>
    </w:p>
    <w:bookmarkEnd w:id="8307"/>
    <w:p w14:paraId="320C016A" w14:textId="77777777" w:rsidR="00AD081E" w:rsidRPr="00AD081E" w:rsidRDefault="00AD081E" w:rsidP="00226406">
      <w:pPr>
        <w:pStyle w:val="Appendix5"/>
      </w:pPr>
      <w:r w:rsidRPr="00AD081E">
        <w:t>Test TSN Communications</w:t>
      </w:r>
    </w:p>
    <w:p w14:paraId="119F13E1" w14:textId="77777777" w:rsidR="00AD081E" w:rsidRPr="00AD081E" w:rsidRDefault="00AD081E" w:rsidP="00AD081E">
      <w:pPr>
        <w:rPr>
          <w:rFonts w:eastAsia="Calibri"/>
        </w:rPr>
      </w:pPr>
      <w:r w:rsidRPr="00AD081E">
        <w:rPr>
          <w:rFonts w:eastAsia="Calibri"/>
        </w:rPr>
        <w:t>Make a rehearsal copy of your strike, then start rehearsing the rehearsal copy with an SMD. With the rehearsal running, send a ping to a simulated node and verify the response.</w:t>
      </w:r>
    </w:p>
    <w:p w14:paraId="1ECA6672"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Strike Execution</w:t>
      </w:r>
      <w:r w:rsidRPr="00AD081E">
        <w:rPr>
          <w:rFonts w:eastAsia="Calibri"/>
        </w:rPr>
        <w:t xml:space="preserve"> from the menu.</w:t>
      </w:r>
    </w:p>
    <w:p w14:paraId="55C8F6BC" w14:textId="77777777" w:rsidR="00AD081E" w:rsidRPr="00AD081E" w:rsidRDefault="00AD081E" w:rsidP="00AD081E">
      <w:pPr>
        <w:rPr>
          <w:rFonts w:eastAsia="Calibri"/>
        </w:rPr>
      </w:pPr>
      <w:r w:rsidRPr="00AD081E">
        <w:rPr>
          <w:rFonts w:eastAsia="Calibri"/>
          <w:b/>
        </w:rPr>
        <w:t>Strike Execution</w:t>
      </w:r>
      <w:r w:rsidRPr="00AD081E">
        <w:rPr>
          <w:rFonts w:eastAsia="Calibri"/>
          <w:b/>
        </w:rPr>
        <w:br/>
      </w:r>
      <w:r w:rsidRPr="00AD081E">
        <w:rPr>
          <w:rFonts w:eastAsia="Calibri"/>
        </w:rPr>
        <w:t xml:space="preserve">Select your execution folder, right-click, and choose </w:t>
      </w:r>
      <w:r w:rsidRPr="00AD081E">
        <w:rPr>
          <w:rFonts w:eastAsia="Calibri"/>
          <w:b/>
        </w:rPr>
        <w:t>Save As</w:t>
      </w:r>
      <w:r w:rsidRPr="00AD081E">
        <w:rPr>
          <w:b/>
        </w:rPr>
        <w:t xml:space="preserve"> </w:t>
      </w:r>
      <w:r w:rsidRPr="00AD081E">
        <w:rPr>
          <w:b/>
        </w:rPr>
        <w:sym w:font="Wingdings" w:char="F0E0"/>
      </w:r>
      <w:r w:rsidRPr="00AD081E">
        <w:rPr>
          <w:b/>
        </w:rPr>
        <w:t xml:space="preserve"> </w:t>
      </w:r>
      <w:r w:rsidRPr="00AD081E">
        <w:rPr>
          <w:rFonts w:eastAsia="Calibri"/>
          <w:b/>
        </w:rPr>
        <w:t>Rehearsal</w:t>
      </w:r>
      <w:r w:rsidRPr="00AD081E">
        <w:rPr>
          <w:rFonts w:eastAsia="Calibri"/>
        </w:rPr>
        <w:t xml:space="preserve"> from the context menu.</w:t>
      </w:r>
    </w:p>
    <w:p w14:paraId="19AE638A" w14:textId="77777777" w:rsidR="00AD081E" w:rsidRPr="00AD081E" w:rsidRDefault="00AD081E" w:rsidP="00AD081E">
      <w:pPr>
        <w:rPr>
          <w:rFonts w:eastAsia="Calibri"/>
        </w:rPr>
      </w:pPr>
      <w:r w:rsidRPr="00AD081E">
        <w:rPr>
          <w:rFonts w:eastAsia="Calibri"/>
        </w:rPr>
        <w:t xml:space="preserve">Select the new rehearsal copy, right-click and choose </w:t>
      </w:r>
      <w:r w:rsidRPr="00AD081E">
        <w:rPr>
          <w:rFonts w:eastAsia="Calibri"/>
          <w:b/>
        </w:rPr>
        <w:t>Rehearse</w:t>
      </w:r>
      <w:r w:rsidRPr="00AD081E">
        <w:rPr>
          <w:b/>
        </w:rPr>
        <w:t xml:space="preserve"> </w:t>
      </w:r>
      <w:r w:rsidRPr="00AD081E">
        <w:rPr>
          <w:b/>
        </w:rPr>
        <w:sym w:font="Wingdings" w:char="F0E0"/>
      </w:r>
      <w:r w:rsidRPr="00AD081E">
        <w:rPr>
          <w:b/>
        </w:rPr>
        <w:t xml:space="preserve"> </w:t>
      </w:r>
      <w:r w:rsidRPr="00AD081E">
        <w:rPr>
          <w:rFonts w:eastAsia="Calibri"/>
          <w:b/>
        </w:rPr>
        <w:t>With SMD</w:t>
      </w:r>
      <w:r w:rsidRPr="00AD081E">
        <w:rPr>
          <w:rFonts w:eastAsia="Calibri"/>
        </w:rPr>
        <w:t xml:space="preserve"> from the context menu. Wait for the SMD and the TSRT Scenario Director to be displayed.</w:t>
      </w:r>
    </w:p>
    <w:p w14:paraId="522D656C" w14:textId="08C22390" w:rsidR="00AD081E" w:rsidRPr="00AD081E" w:rsidRDefault="00AD081E" w:rsidP="00AD081E">
      <w:pPr>
        <w:rPr>
          <w:rFonts w:eastAsia="Calibri"/>
        </w:rPr>
      </w:pPr>
      <w:r w:rsidRPr="00AD081E">
        <w:rPr>
          <w:rFonts w:eastAsia="Calibri"/>
          <w:b/>
        </w:rPr>
        <w:t xml:space="preserve">TSRT Scenario Director – </w:t>
      </w: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xml:space="preserve">– </w:t>
      </w:r>
      <w:r w:rsidRPr="00AD081E">
        <w:rPr>
          <w:rFonts w:eastAsia="Calibri"/>
          <w:b/>
          <w:i/>
        </w:rPr>
        <w:t>Execution Folder Name</w:t>
      </w:r>
      <w:r w:rsidRPr="00AD081E">
        <w:rPr>
          <w:rFonts w:eastAsia="Calibri"/>
          <w:b/>
        </w:rPr>
        <w:br/>
      </w:r>
      <w:r w:rsidRPr="00AD081E">
        <w:rPr>
          <w:rFonts w:eastAsia="Calibri"/>
        </w:rPr>
        <w:t xml:space="preserve">In the TSRT Scenario Director, leave the run rate at 1 and click on the </w:t>
      </w:r>
      <w:r w:rsidRPr="00AD081E">
        <w:rPr>
          <w:rFonts w:eastAsia="Calibri"/>
          <w:b/>
        </w:rPr>
        <w:t>Run</w:t>
      </w:r>
      <w:r w:rsidRPr="00AD081E">
        <w:rPr>
          <w:rFonts w:eastAsia="Calibri"/>
        </w:rPr>
        <w:t xml:space="preserve"> button.</w:t>
      </w:r>
    </w:p>
    <w:p w14:paraId="3298B43B" w14:textId="5EF476FA" w:rsidR="00AD081E" w:rsidRPr="00AD081E" w:rsidRDefault="00AD081E" w:rsidP="00AD081E">
      <w:pPr>
        <w:rPr>
          <w:rFonts w:eastAsia="Calibri"/>
        </w:rPr>
      </w:pP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Rehearse (</w:t>
      </w:r>
      <w:r w:rsidRPr="00AD081E">
        <w:rPr>
          <w:rFonts w:eastAsia="Calibri"/>
          <w:b/>
          <w:i/>
        </w:rPr>
        <w:t>Folder Type</w:t>
      </w:r>
      <w:r w:rsidRPr="00AD081E">
        <w:rPr>
          <w:rFonts w:eastAsia="Calibri"/>
          <w:b/>
        </w:rPr>
        <w:t xml:space="preserve">) – </w:t>
      </w:r>
      <w:r w:rsidRPr="00AD081E">
        <w:rPr>
          <w:rFonts w:eastAsia="Calibri"/>
          <w:b/>
          <w:i/>
        </w:rPr>
        <w:t>Execution Folder Name</w:t>
      </w:r>
      <w:r w:rsidRPr="00AD081E">
        <w:rPr>
          <w:rFonts w:eastAsia="Calibri"/>
          <w:b/>
        </w:rPr>
        <w:br/>
      </w:r>
      <w:r w:rsidRPr="00AD081E">
        <w:rPr>
          <w:rFonts w:eastAsia="Calibri"/>
        </w:rPr>
        <w:t xml:space="preserve">On the SMD, click on the </w:t>
      </w:r>
      <w:r w:rsidRPr="00AD081E">
        <w:rPr>
          <w:rFonts w:eastAsia="Calibri"/>
          <w:b/>
          <w:i/>
        </w:rPr>
        <w:t>TSN Ping</w:t>
      </w:r>
      <w:r w:rsidRPr="00AD081E">
        <w:rPr>
          <w:rFonts w:eastAsia="Calibri"/>
        </w:rPr>
        <w:t xml:space="preserve"> tab. </w:t>
      </w:r>
    </w:p>
    <w:p w14:paraId="274706AA" w14:textId="6D7D5934" w:rsidR="00AD081E" w:rsidRPr="00AD081E" w:rsidRDefault="00AD081E" w:rsidP="00AD081E">
      <w:pPr>
        <w:rPr>
          <w:rFonts w:eastAsia="Calibri"/>
        </w:rPr>
      </w:pPr>
      <w:r w:rsidRPr="00AD081E">
        <w:rPr>
          <w:rFonts w:eastAsia="Calibri"/>
          <w:b/>
        </w:rPr>
        <w:t>TSN Ping</w:t>
      </w:r>
      <w:r w:rsidRPr="00AD081E">
        <w:rPr>
          <w:rFonts w:eastAsia="Calibri"/>
        </w:rPr>
        <w:br/>
        <w:t>Choose one of the simulated TTWCS nodes in the list. Right-</w:t>
      </w:r>
      <w:r w:rsidR="007B3190" w:rsidRPr="00AD081E">
        <w:rPr>
          <w:rFonts w:eastAsia="Calibri"/>
        </w:rPr>
        <w:t>click and</w:t>
      </w:r>
      <w:r w:rsidRPr="00AD081E">
        <w:rPr>
          <w:rFonts w:eastAsia="Calibri"/>
        </w:rPr>
        <w:t xml:space="preserve"> choose </w:t>
      </w:r>
      <w:r w:rsidRPr="00AD081E">
        <w:rPr>
          <w:rFonts w:eastAsia="Calibri"/>
          <w:b/>
        </w:rPr>
        <w:t>Ping</w:t>
      </w:r>
      <w:r w:rsidRPr="00AD081E">
        <w:rPr>
          <w:rFonts w:eastAsia="Calibri"/>
        </w:rPr>
        <w:t xml:space="preserve"> from the context menu. A yellow dot will appear beside the TTWCS node in the list. If simulated TSN communications are working, the dot will eventually turn green. A mixed red and green dot for a strike that involves an ACA-capable platform indicates a partially successful and partially unsuccessful ping (see </w:t>
      </w:r>
      <w:hyperlink w:anchor="_How_to_Send" w:history="1">
        <w:r w:rsidRPr="00AD081E">
          <w:rPr>
            <w:rFonts w:eastAsia="Calibri"/>
            <w:color w:val="0000FF"/>
            <w:u w:val="single"/>
          </w:rPr>
          <w:t xml:space="preserve">Section </w:t>
        </w:r>
        <w:r w:rsidR="004231CC">
          <w:rPr>
            <w:rFonts w:eastAsia="Calibri"/>
            <w:color w:val="0000FF"/>
            <w:u w:val="single"/>
          </w:rPr>
          <w:t>5.35</w:t>
        </w:r>
        <w:r w:rsidRPr="00AD081E">
          <w:rPr>
            <w:rFonts w:eastAsia="Calibri"/>
            <w:color w:val="0000FF"/>
            <w:u w:val="single"/>
          </w:rPr>
          <w:t>.3.1.10.1</w:t>
        </w:r>
      </w:hyperlink>
      <w:r w:rsidRPr="00AD081E">
        <w:rPr>
          <w:rFonts w:eastAsia="Calibri"/>
        </w:rPr>
        <w:t>). Depending on the simulated TSN delay configuration, it could take a while (the default delay is 1 minute each way) to send the request and get a response.</w:t>
      </w:r>
    </w:p>
    <w:p w14:paraId="6AD76951" w14:textId="0702BF14" w:rsidR="00AD081E" w:rsidRPr="00AD081E" w:rsidRDefault="00AD081E" w:rsidP="00AD081E">
      <w:pPr>
        <w:rPr>
          <w:rFonts w:eastAsia="Calibri"/>
        </w:rPr>
      </w:pPr>
      <w:r w:rsidRPr="00AD081E">
        <w:rPr>
          <w:rFonts w:eastAsia="Calibri"/>
          <w:b/>
        </w:rPr>
        <w:lastRenderedPageBreak/>
        <w:t xml:space="preserve">TSRT Scenario Director – </w:t>
      </w: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xml:space="preserve">– </w:t>
      </w:r>
      <w:r w:rsidRPr="00AD081E">
        <w:rPr>
          <w:rFonts w:eastAsia="Calibri"/>
          <w:b/>
          <w:i/>
        </w:rPr>
        <w:t>Execution Folder Name</w:t>
      </w:r>
      <w:r w:rsidRPr="00AD081E">
        <w:rPr>
          <w:rFonts w:eastAsia="Calibri"/>
          <w:b/>
        </w:rPr>
        <w:br/>
      </w:r>
      <w:r w:rsidRPr="00AD081E">
        <w:rPr>
          <w:rFonts w:eastAsia="Calibri"/>
        </w:rPr>
        <w:t xml:space="preserve">In the TSRT Scenario Director, view the ping log. If the FRU being pinged is not ACA capable (ACA capable requires TTWCS version 5.6 or above), you should eventually see three messages: </w:t>
      </w:r>
      <w:r w:rsidRPr="00AD081E">
        <w:rPr>
          <w:rFonts w:eastAsia="Calibri"/>
          <w:b/>
        </w:rPr>
        <w:t>Ping</w:t>
      </w:r>
      <w:r w:rsidRPr="00AD081E">
        <w:rPr>
          <w:rFonts w:eastAsia="Calibri"/>
        </w:rPr>
        <w:t xml:space="preserve">, </w:t>
      </w:r>
      <w:r w:rsidRPr="00AD081E">
        <w:rPr>
          <w:rFonts w:eastAsia="Calibri"/>
          <w:b/>
        </w:rPr>
        <w:t>Ping Response</w:t>
      </w:r>
      <w:r w:rsidRPr="00AD081E">
        <w:rPr>
          <w:rFonts w:eastAsia="Calibri"/>
        </w:rPr>
        <w:t xml:space="preserve">, and </w:t>
      </w:r>
      <w:r w:rsidRPr="00AD081E">
        <w:rPr>
          <w:rFonts w:eastAsia="Calibri"/>
          <w:b/>
        </w:rPr>
        <w:t>Ping Verification</w:t>
      </w:r>
      <w:r w:rsidRPr="00AD081E">
        <w:rPr>
          <w:rFonts w:eastAsia="Calibri"/>
        </w:rPr>
        <w:t xml:space="preserve">, with statuses of </w:t>
      </w:r>
      <w:r w:rsidRPr="00AD081E">
        <w:rPr>
          <w:rFonts w:eastAsia="Calibri"/>
          <w:b/>
        </w:rPr>
        <w:t>Received</w:t>
      </w:r>
      <w:r w:rsidRPr="00AD081E">
        <w:rPr>
          <w:rFonts w:eastAsia="Calibri"/>
        </w:rPr>
        <w:t xml:space="preserve">, </w:t>
      </w:r>
      <w:r w:rsidRPr="00AD081E">
        <w:rPr>
          <w:rFonts w:eastAsia="Calibri"/>
          <w:b/>
        </w:rPr>
        <w:t>Transmitted</w:t>
      </w:r>
      <w:r w:rsidRPr="00AD081E">
        <w:rPr>
          <w:rFonts w:eastAsia="Calibri"/>
        </w:rPr>
        <w:t xml:space="preserve">, and </w:t>
      </w:r>
      <w:r w:rsidRPr="00AD081E">
        <w:rPr>
          <w:rFonts w:eastAsia="Calibri"/>
          <w:b/>
        </w:rPr>
        <w:t>Received</w:t>
      </w:r>
      <w:r w:rsidRPr="00AD081E">
        <w:rPr>
          <w:rFonts w:eastAsia="Calibri"/>
        </w:rPr>
        <w:t xml:space="preserve"> respectively. For an ACA capable FRU (regardless of whether the FRU has ACA missile tasking), you should see six messages: one each for ACA and one each for DAMA of </w:t>
      </w:r>
      <w:r w:rsidRPr="00AD081E">
        <w:rPr>
          <w:rFonts w:eastAsia="Calibri"/>
          <w:b/>
        </w:rPr>
        <w:t>Ping</w:t>
      </w:r>
      <w:r w:rsidRPr="00AD081E">
        <w:rPr>
          <w:rFonts w:eastAsia="Calibri"/>
        </w:rPr>
        <w:t xml:space="preserve">, </w:t>
      </w:r>
      <w:r w:rsidRPr="00AD081E">
        <w:rPr>
          <w:rFonts w:eastAsia="Calibri"/>
          <w:b/>
        </w:rPr>
        <w:t>Ping Response</w:t>
      </w:r>
      <w:r w:rsidRPr="00AD081E">
        <w:rPr>
          <w:rFonts w:eastAsia="Calibri"/>
        </w:rPr>
        <w:t xml:space="preserve">, and </w:t>
      </w:r>
      <w:r w:rsidRPr="00AD081E">
        <w:rPr>
          <w:rFonts w:eastAsia="Calibri"/>
          <w:b/>
        </w:rPr>
        <w:t xml:space="preserve">Ping Verification </w:t>
      </w:r>
      <w:r w:rsidRPr="00AD081E">
        <w:rPr>
          <w:rFonts w:eastAsia="Calibri"/>
        </w:rPr>
        <w:t xml:space="preserve">with statuses of </w:t>
      </w:r>
      <w:r w:rsidRPr="00AD081E">
        <w:rPr>
          <w:rFonts w:eastAsia="Calibri"/>
          <w:b/>
        </w:rPr>
        <w:t>Received</w:t>
      </w:r>
      <w:r w:rsidRPr="00AD081E">
        <w:rPr>
          <w:rFonts w:eastAsia="Calibri"/>
        </w:rPr>
        <w:t xml:space="preserve">, </w:t>
      </w:r>
      <w:r w:rsidRPr="00AD081E">
        <w:rPr>
          <w:rFonts w:eastAsia="Calibri"/>
          <w:b/>
        </w:rPr>
        <w:t>Transmitted</w:t>
      </w:r>
      <w:r w:rsidRPr="00AD081E">
        <w:rPr>
          <w:rFonts w:eastAsia="Calibri"/>
        </w:rPr>
        <w:t xml:space="preserve">, and </w:t>
      </w:r>
      <w:r w:rsidRPr="00AD081E">
        <w:rPr>
          <w:rFonts w:eastAsia="Calibri"/>
          <w:b/>
        </w:rPr>
        <w:t>Received</w:t>
      </w:r>
      <w:r w:rsidRPr="00AD081E">
        <w:rPr>
          <w:rFonts w:eastAsia="Calibri"/>
        </w:rPr>
        <w:t xml:space="preserve"> respectively</w:t>
      </w:r>
      <w:r w:rsidRPr="00AD081E">
        <w:rPr>
          <w:rFonts w:eastAsia="Calibri"/>
          <w:color w:val="548DD4"/>
        </w:rPr>
        <w:t xml:space="preserve">. </w:t>
      </w:r>
      <w:r w:rsidRPr="00AD081E">
        <w:rPr>
          <w:rFonts w:eastAsia="Calibri"/>
        </w:rPr>
        <w:t xml:space="preserve">A message status of </w:t>
      </w:r>
      <w:r w:rsidRPr="00AD081E">
        <w:rPr>
          <w:rFonts w:eastAsia="Calibri"/>
          <w:b/>
        </w:rPr>
        <w:t>Waiting</w:t>
      </w:r>
      <w:r w:rsidRPr="00AD081E">
        <w:rPr>
          <w:rFonts w:eastAsia="Calibri"/>
        </w:rPr>
        <w:t xml:space="preserve"> is shown whilst the simulated TSN delay is being applied to that message.</w:t>
      </w:r>
    </w:p>
    <w:p w14:paraId="64F04627" w14:textId="77777777" w:rsidR="00AD081E" w:rsidRPr="00AD081E" w:rsidRDefault="00AD081E" w:rsidP="00AD081E">
      <w:pPr>
        <w:rPr>
          <w:rFonts w:eastAsia="Calibri"/>
        </w:rPr>
      </w:pPr>
      <w:r w:rsidRPr="00AD081E">
        <w:rPr>
          <w:rFonts w:eastAsia="Calibri"/>
        </w:rPr>
        <w:t xml:space="preserve">If there is ACA tasking for an ACA capable FRU and the </w:t>
      </w:r>
      <w:r w:rsidRPr="00AD081E">
        <w:rPr>
          <w:rFonts w:eastAsia="Calibri"/>
          <w:b/>
        </w:rPr>
        <w:t>Automatic Sending of ACA Filter Messages</w:t>
      </w:r>
      <w:r w:rsidRPr="00AD081E">
        <w:rPr>
          <w:rFonts w:eastAsia="Calibri"/>
        </w:rPr>
        <w:t xml:space="preserve"> </w:t>
      </w:r>
      <w:r w:rsidRPr="00AD081E">
        <w:rPr>
          <w:noProof/>
          <w:position w:val="-2"/>
        </w:rPr>
        <w:drawing>
          <wp:inline distT="0" distB="0" distL="0" distR="0" wp14:anchorId="7106994C" wp14:editId="2533E136">
            <wp:extent cx="201168" cy="173736"/>
            <wp:effectExtent l="0" t="0" r="889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01168" cy="173736"/>
                    </a:xfrm>
                    <a:prstGeom prst="rect">
                      <a:avLst/>
                    </a:prstGeom>
                  </pic:spPr>
                </pic:pic>
              </a:graphicData>
            </a:graphic>
          </wp:inline>
        </w:drawing>
      </w:r>
      <w:r w:rsidRPr="00AD081E">
        <w:rPr>
          <w:rFonts w:eastAsia="Calibri"/>
        </w:rPr>
        <w:t xml:space="preserve"> icon is enabled on the SMD, then MDS will automatically send ACA filter messages when the strike package is distributed. The icon is on the </w:t>
      </w:r>
      <w:r w:rsidRPr="00AD081E">
        <w:rPr>
          <w:rFonts w:eastAsia="Calibri"/>
          <w:b/>
        </w:rPr>
        <w:t>Strike Packages</w:t>
      </w:r>
      <w:r w:rsidRPr="00AD081E">
        <w:rPr>
          <w:rFonts w:eastAsia="Calibri"/>
        </w:rPr>
        <w:t xml:space="preserve"> tab of the SMD and is surrounded by a box when enabled (</w:t>
      </w:r>
      <w:r w:rsidRPr="00AD081E">
        <w:rPr>
          <w:noProof/>
          <w:position w:val="-2"/>
        </w:rPr>
        <w:drawing>
          <wp:inline distT="0" distB="0" distL="0" distR="0" wp14:anchorId="52539DF9" wp14:editId="6CE02CA0">
            <wp:extent cx="201168" cy="173736"/>
            <wp:effectExtent l="0" t="0" r="889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201168" cy="173736"/>
                    </a:xfrm>
                    <a:prstGeom prst="rect">
                      <a:avLst/>
                    </a:prstGeom>
                  </pic:spPr>
                </pic:pic>
              </a:graphicData>
            </a:graphic>
          </wp:inline>
        </w:drawing>
      </w:r>
      <w:r w:rsidRPr="00AD081E">
        <w:rPr>
          <w:rFonts w:eastAsia="Calibri"/>
        </w:rPr>
        <w:t>); no box when disabled (</w:t>
      </w:r>
      <w:r w:rsidRPr="00AD081E">
        <w:rPr>
          <w:noProof/>
          <w:position w:val="-2"/>
        </w:rPr>
        <w:drawing>
          <wp:inline distT="0" distB="0" distL="0" distR="0" wp14:anchorId="6F1CE7CA" wp14:editId="42F51F5A">
            <wp:extent cx="164592" cy="164592"/>
            <wp:effectExtent l="0" t="0" r="6985" b="698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164592" cy="164592"/>
                    </a:xfrm>
                    <a:prstGeom prst="rect">
                      <a:avLst/>
                    </a:prstGeom>
                  </pic:spPr>
                </pic:pic>
              </a:graphicData>
            </a:graphic>
          </wp:inline>
        </w:drawing>
      </w:r>
      <w:r w:rsidRPr="00AD081E">
        <w:rPr>
          <w:rFonts w:eastAsia="Calibri"/>
        </w:rPr>
        <w:t xml:space="preserve">). </w:t>
      </w:r>
    </w:p>
    <w:p w14:paraId="70C03E93" w14:textId="77777777" w:rsidR="00AD081E" w:rsidRPr="00AD081E" w:rsidRDefault="00AD081E" w:rsidP="00AD081E">
      <w:pPr>
        <w:jc w:val="center"/>
        <w:rPr>
          <w:rFonts w:eastAsia="Calibri"/>
        </w:rPr>
      </w:pPr>
      <w:r w:rsidRPr="00AD081E">
        <w:rPr>
          <w:noProof/>
        </w:rPr>
        <w:drawing>
          <wp:inline distT="0" distB="0" distL="0" distR="0" wp14:anchorId="50C099FC" wp14:editId="43F419B5">
            <wp:extent cx="4572000" cy="978408"/>
            <wp:effectExtent l="0" t="0" r="0" b="0"/>
            <wp:docPr id="122" name="Picture 1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 text,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572000" cy="978408"/>
                    </a:xfrm>
                    <a:prstGeom prst="rect">
                      <a:avLst/>
                    </a:prstGeom>
                  </pic:spPr>
                </pic:pic>
              </a:graphicData>
            </a:graphic>
          </wp:inline>
        </w:drawing>
      </w:r>
    </w:p>
    <w:p w14:paraId="1A2D89A3" w14:textId="77777777" w:rsidR="00AD081E" w:rsidRPr="00AD081E" w:rsidRDefault="00AD081E" w:rsidP="00AD081E">
      <w:pPr>
        <w:rPr>
          <w:rFonts w:eastAsia="Calibri"/>
        </w:rPr>
      </w:pPr>
      <w:r w:rsidRPr="00AD081E">
        <w:rPr>
          <w:rFonts w:eastAsia="Calibri"/>
        </w:rPr>
        <w:t xml:space="preserve">Alternatively, the ACA Filter Message may be sent manually. Select the Strike Package, invoke the context menu (right-click the mouse), and select </w:t>
      </w:r>
      <w:r w:rsidRPr="00AD081E">
        <w:rPr>
          <w:rFonts w:eastAsia="Calibri"/>
          <w:b/>
        </w:rPr>
        <w:t xml:space="preserve">Send </w:t>
      </w:r>
      <w:r w:rsidRPr="00AD081E">
        <w:rPr>
          <w:b/>
        </w:rPr>
        <w:sym w:font="Wingdings 3" w:char="F07D"/>
      </w:r>
      <w:r w:rsidRPr="00AD081E">
        <w:rPr>
          <w:b/>
        </w:rPr>
        <w:t xml:space="preserve"> </w:t>
      </w:r>
      <w:r w:rsidRPr="00AD081E">
        <w:rPr>
          <w:rFonts w:eastAsia="Calibri"/>
          <w:b/>
        </w:rPr>
        <w:t xml:space="preserve">ACA Filter Message </w:t>
      </w:r>
      <w:r w:rsidRPr="00AD081E">
        <w:rPr>
          <w:b/>
        </w:rPr>
        <w:sym w:font="Wingdings 3" w:char="F07D"/>
      </w:r>
      <w:r w:rsidRPr="00AD081E">
        <w:rPr>
          <w:b/>
        </w:rPr>
        <w:t xml:space="preserve"> </w:t>
      </w:r>
      <w:r w:rsidRPr="00AD081E">
        <w:rPr>
          <w:rFonts w:eastAsia="Calibri"/>
          <w:b/>
        </w:rPr>
        <w:t>72 Hour</w:t>
      </w:r>
      <w:r w:rsidRPr="00AD081E">
        <w:rPr>
          <w:rFonts w:eastAsia="Calibri"/>
        </w:rPr>
        <w:t>.</w:t>
      </w:r>
    </w:p>
    <w:p w14:paraId="6005EBFC" w14:textId="77777777" w:rsidR="00AD081E" w:rsidRPr="00AD081E" w:rsidRDefault="00AD081E" w:rsidP="00AD081E">
      <w:pPr>
        <w:jc w:val="center"/>
        <w:rPr>
          <w:rFonts w:eastAsia="Calibri"/>
        </w:rPr>
      </w:pPr>
      <w:r w:rsidRPr="00AD081E">
        <w:rPr>
          <w:noProof/>
        </w:rPr>
        <w:drawing>
          <wp:inline distT="0" distB="0" distL="0" distR="0" wp14:anchorId="3E44B9C9" wp14:editId="54535256">
            <wp:extent cx="3657600" cy="1691640"/>
            <wp:effectExtent l="0" t="0" r="0" b="3810"/>
            <wp:docPr id="153" name="Picture 15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Graphical user interface, text,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1691640"/>
                    </a:xfrm>
                    <a:prstGeom prst="rect">
                      <a:avLst/>
                    </a:prstGeom>
                  </pic:spPr>
                </pic:pic>
              </a:graphicData>
            </a:graphic>
          </wp:inline>
        </w:drawing>
      </w:r>
    </w:p>
    <w:p w14:paraId="5E3AFE1C" w14:textId="77777777" w:rsidR="00AD081E" w:rsidRPr="00AD081E" w:rsidRDefault="00AD081E" w:rsidP="00AD081E">
      <w:pPr>
        <w:rPr>
          <w:rFonts w:eastAsia="Calibri"/>
        </w:rPr>
      </w:pPr>
      <w:r w:rsidRPr="00AD081E">
        <w:rPr>
          <w:rFonts w:eastAsia="Calibri"/>
        </w:rPr>
        <w:t xml:space="preserve">Close the TSRT Scenario Director, answering </w:t>
      </w:r>
      <w:r w:rsidRPr="00AD081E">
        <w:rPr>
          <w:rFonts w:eastAsia="Calibri"/>
          <w:b/>
        </w:rPr>
        <w:t>Yes</w:t>
      </w:r>
      <w:r w:rsidRPr="00AD081E">
        <w:rPr>
          <w:rFonts w:eastAsia="Calibri"/>
        </w:rPr>
        <w:t xml:space="preserve"> to the unload question.</w:t>
      </w:r>
    </w:p>
    <w:p w14:paraId="183350AA" w14:textId="4F48769D" w:rsidR="00AD081E" w:rsidRPr="00AD081E" w:rsidRDefault="00AD081E" w:rsidP="00AD081E">
      <w:pPr>
        <w:rPr>
          <w:rFonts w:eastAsia="Calibri"/>
        </w:rPr>
      </w:pP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Rehearse (</w:t>
      </w:r>
      <w:r w:rsidRPr="00AD081E">
        <w:rPr>
          <w:rFonts w:eastAsia="Calibri"/>
          <w:b/>
          <w:i/>
        </w:rPr>
        <w:t>Folder Type</w:t>
      </w:r>
      <w:r w:rsidRPr="00AD081E">
        <w:rPr>
          <w:rFonts w:eastAsia="Calibri"/>
          <w:b/>
        </w:rPr>
        <w:t xml:space="preserve">) – </w:t>
      </w:r>
      <w:r w:rsidRPr="00AD081E">
        <w:rPr>
          <w:rFonts w:eastAsia="Calibri"/>
          <w:b/>
          <w:i/>
        </w:rPr>
        <w:t>Execution Folder Name</w:t>
      </w:r>
      <w:r w:rsidRPr="00AD081E">
        <w:rPr>
          <w:rFonts w:eastAsia="Calibri"/>
          <w:b/>
        </w:rPr>
        <w:br/>
      </w:r>
      <w:r w:rsidRPr="00AD081E">
        <w:rPr>
          <w:rFonts w:eastAsia="Calibri"/>
        </w:rPr>
        <w:t xml:space="preserve">Close the SMD, answering </w:t>
      </w:r>
      <w:r w:rsidRPr="00AD081E">
        <w:rPr>
          <w:rFonts w:eastAsia="Calibri"/>
          <w:b/>
        </w:rPr>
        <w:t>Yes</w:t>
      </w:r>
      <w:r w:rsidRPr="00AD081E">
        <w:rPr>
          <w:rFonts w:eastAsia="Calibri"/>
        </w:rPr>
        <w:t xml:space="preserve"> to stop TED strike execution.</w:t>
      </w:r>
    </w:p>
    <w:p w14:paraId="03AA5118" w14:textId="77777777" w:rsidR="00AD081E" w:rsidRPr="00AD081E" w:rsidRDefault="00AD081E" w:rsidP="00226406">
      <w:pPr>
        <w:pStyle w:val="Appendix3"/>
        <w:ind w:left="360"/>
      </w:pPr>
      <w:bookmarkStart w:id="8309" w:name="_Toc214283771"/>
      <w:r w:rsidRPr="00AD081E">
        <w:lastRenderedPageBreak/>
        <w:t>Configuring Communications: Standalone with TCIP</w:t>
      </w:r>
      <w:bookmarkEnd w:id="8309"/>
    </w:p>
    <w:p w14:paraId="37F5B633" w14:textId="77777777" w:rsidR="00AD081E" w:rsidRPr="00AD081E" w:rsidRDefault="00AD081E" w:rsidP="00AD081E">
      <w:pPr>
        <w:keepNext/>
        <w:rPr>
          <w:rFonts w:eastAsia="Calibri"/>
          <w:b/>
        </w:rPr>
      </w:pPr>
      <w:r w:rsidRPr="00AD081E">
        <w:rPr>
          <w:rFonts w:eastAsia="Calibri"/>
          <w:b/>
        </w:rPr>
        <w:t>Typical Standalone Configurations with TCIP</w:t>
      </w:r>
    </w:p>
    <w:p w14:paraId="685B8A02" w14:textId="77777777" w:rsidR="00AD081E" w:rsidRPr="00AD081E" w:rsidRDefault="00AD081E" w:rsidP="00AD081E">
      <w:pPr>
        <w:tabs>
          <w:tab w:val="left" w:pos="720"/>
        </w:tabs>
        <w:jc w:val="center"/>
      </w:pPr>
      <w:r w:rsidRPr="00AD081E">
        <w:rPr>
          <w:noProof/>
        </w:rPr>
        <w:drawing>
          <wp:inline distT="0" distB="0" distL="0" distR="0" wp14:anchorId="00BCD2C3" wp14:editId="668E0E95">
            <wp:extent cx="3200400" cy="4489704"/>
            <wp:effectExtent l="0" t="0" r="0" b="6350"/>
            <wp:docPr id="669" name="Picture 66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 name="Picture 669" descr="Diagram&#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3200400" cy="4489704"/>
                    </a:xfrm>
                    <a:prstGeom prst="rect">
                      <a:avLst/>
                    </a:prstGeom>
                  </pic:spPr>
                </pic:pic>
              </a:graphicData>
            </a:graphic>
          </wp:inline>
        </w:drawing>
      </w:r>
    </w:p>
    <w:p w14:paraId="1ACA5382" w14:textId="78DFD6B7" w:rsidR="00AD081E" w:rsidRPr="00AD081E" w:rsidRDefault="00AD081E" w:rsidP="00AD081E">
      <w:pPr>
        <w:rPr>
          <w:rFonts w:eastAsia="Calibri"/>
        </w:rPr>
      </w:pPr>
      <w:r w:rsidRPr="00AD081E">
        <w:rPr>
          <w:rFonts w:eastAsia="Calibri"/>
        </w:rPr>
        <w:t xml:space="preserve">In this configuration, TSRT’s TED is the only live node in the rehearsal. Usually, TSRT’s TED is given the </w:t>
      </w:r>
      <w:r w:rsidR="009172F0">
        <w:rPr>
          <w:rFonts w:eastAsia="Calibri"/>
        </w:rPr>
        <w:t>TSC</w:t>
      </w:r>
      <w:r w:rsidR="009172F0" w:rsidRPr="00AD081E">
        <w:rPr>
          <w:rFonts w:eastAsia="Calibri"/>
        </w:rPr>
        <w:t xml:space="preserve"> </w:t>
      </w:r>
      <w:r w:rsidRPr="00AD081E">
        <w:rPr>
          <w:rFonts w:eastAsia="Calibri"/>
        </w:rPr>
        <w:t>strike role to allow operator control of the strike as it is rehearsed, and there is an MDS Strike Management Display (SMD) up and running during the rehearsal.</w:t>
      </w:r>
    </w:p>
    <w:p w14:paraId="5EF26177" w14:textId="77777777" w:rsidR="00AD081E" w:rsidRPr="00AD081E" w:rsidRDefault="00AD081E" w:rsidP="00AD081E">
      <w:pPr>
        <w:rPr>
          <w:rFonts w:eastAsia="Calibri"/>
        </w:rPr>
      </w:pPr>
      <w:r w:rsidRPr="00AD081E">
        <w:rPr>
          <w:rFonts w:eastAsia="Calibri"/>
        </w:rPr>
        <w:t>There is a TCIP, but its LINT can’t be used for OTH communications because the single LINT port can’t talk to itself, so HTTPS must be used for DDOs. Even though the TCIP’s LINT can’t be used for OTH communications, the TCIP’s TSNIF connections are used for TSN communications, so TDM Distribution Agent is configured to connect to the TCIP.</w:t>
      </w:r>
    </w:p>
    <w:p w14:paraId="1391F7C3" w14:textId="77777777" w:rsidR="00AD081E" w:rsidRPr="00AD081E" w:rsidRDefault="00AD081E" w:rsidP="00AD081E">
      <w:pPr>
        <w:rPr>
          <w:rFonts w:eastAsia="Calibri"/>
        </w:rPr>
      </w:pPr>
      <w:r w:rsidRPr="00AD081E">
        <w:rPr>
          <w:rFonts w:eastAsia="Calibri"/>
        </w:rPr>
        <w:t>In general, this configuration is to be preferred over Standalone without TCIP whenever a TCIP is actually available. It is particularly useful for development and unit testing.</w:t>
      </w:r>
    </w:p>
    <w:p w14:paraId="61DAAC09" w14:textId="77777777" w:rsidR="00AD081E" w:rsidRPr="00AD081E" w:rsidRDefault="00AD081E" w:rsidP="00AD081E">
      <w:pPr>
        <w:rPr>
          <w:rFonts w:eastAsia="Calibri"/>
        </w:rPr>
      </w:pPr>
      <w:r w:rsidRPr="00AD081E">
        <w:rPr>
          <w:rFonts w:eastAsia="Calibri"/>
        </w:rPr>
        <w:t>This configuration can be applied only to a TED node. It is not applicable to MDS or TTWCS nodes.</w:t>
      </w:r>
    </w:p>
    <w:p w14:paraId="1D06B7F4" w14:textId="77777777" w:rsidR="00AD081E" w:rsidRPr="00AD081E" w:rsidRDefault="00AD081E" w:rsidP="0056739E">
      <w:pPr>
        <w:pStyle w:val="Appendix4"/>
        <w:pageBreakBefore/>
        <w:ind w:left="360"/>
      </w:pPr>
      <w:r w:rsidRPr="00AD081E">
        <w:lastRenderedPageBreak/>
        <w:t>Before You Begin</w:t>
      </w:r>
    </w:p>
    <w:p w14:paraId="25CBC796" w14:textId="77777777" w:rsidR="00AD081E" w:rsidRPr="00AD081E" w:rsidRDefault="00AD081E" w:rsidP="00AD081E">
      <w:pPr>
        <w:rPr>
          <w:rFonts w:eastAsia="Calibri"/>
        </w:rPr>
      </w:pPr>
      <w:r w:rsidRPr="00AD081E">
        <w:rPr>
          <w:rFonts w:eastAsia="Calibri"/>
        </w:rPr>
        <w:t>Before starting communications configuration, have the following available to you:</w:t>
      </w:r>
    </w:p>
    <w:p w14:paraId="15B484F6" w14:textId="77777777" w:rsidR="00AD081E" w:rsidRPr="00AD081E" w:rsidRDefault="00AD081E" w:rsidP="006D5A65">
      <w:pPr>
        <w:pStyle w:val="Heading1"/>
      </w:pPr>
      <w:r w:rsidRPr="00AD081E">
        <w:t>A list of the node names of participants in the strike. This should include all of the nodes from the strike arsenals of all of the strikes in the execution folder(s) you will be rehearsing.</w:t>
      </w:r>
    </w:p>
    <w:p w14:paraId="495D7F13" w14:textId="77777777" w:rsidR="00AD081E" w:rsidRPr="00AD081E" w:rsidRDefault="00AD081E" w:rsidP="006D5A65">
      <w:pPr>
        <w:pStyle w:val="Heading1"/>
      </w:pPr>
      <w:r w:rsidRPr="00AD081E">
        <w:t>For each node, the TED, MDS, and TTWCS version numbers (as appropriate to the node type).</w:t>
      </w:r>
    </w:p>
    <w:p w14:paraId="22E0CE1A" w14:textId="77777777" w:rsidR="00AD081E" w:rsidRPr="00AD081E" w:rsidRDefault="00AD081E" w:rsidP="006D5A65">
      <w:pPr>
        <w:pStyle w:val="Heading1"/>
      </w:pPr>
      <w:r w:rsidRPr="00AD081E">
        <w:t>The OTH subscriber ID (SID) for each node in the strike.</w:t>
      </w:r>
    </w:p>
    <w:p w14:paraId="254F78E3" w14:textId="77777777" w:rsidR="00AD081E" w:rsidRPr="00AD081E" w:rsidRDefault="00AD081E" w:rsidP="006D5A65">
      <w:pPr>
        <w:pStyle w:val="Heading1"/>
      </w:pPr>
      <w:r w:rsidRPr="00AD081E">
        <w:t>The internet protocol (IP) address of the machine that hosts the TSRT’s TED. If using a CMSA configuration (the TED web services [IIS] are on a separate machine from the TED database [DB]), use the address for the machine hosting the TED web services.</w:t>
      </w:r>
    </w:p>
    <w:p w14:paraId="74DD7434" w14:textId="77777777" w:rsidR="00AD081E" w:rsidRPr="00AD081E" w:rsidRDefault="00AD081E" w:rsidP="006D5A65">
      <w:pPr>
        <w:pStyle w:val="Heading1"/>
      </w:pPr>
      <w:r w:rsidRPr="00AD081E">
        <w:t xml:space="preserve">The TDM </w:t>
      </w:r>
      <w:r w:rsidRPr="00AD081E">
        <w:rPr>
          <w:rFonts w:eastAsia="Calibri"/>
        </w:rPr>
        <w:t>Distribution Agent</w:t>
      </w:r>
      <w:r w:rsidRPr="00AD081E">
        <w:t xml:space="preserve"> port number to be used by the TSRT’s TED (usually 9500).</w:t>
      </w:r>
    </w:p>
    <w:p w14:paraId="6EBFE3A0" w14:textId="77777777" w:rsidR="00AD081E" w:rsidRPr="00AD081E" w:rsidRDefault="00AD081E" w:rsidP="006D5A65">
      <w:pPr>
        <w:pStyle w:val="Heading1"/>
      </w:pPr>
      <w:r w:rsidRPr="00AD081E">
        <w:t>The IP address of the TCIP.</w:t>
      </w:r>
    </w:p>
    <w:p w14:paraId="528C7154" w14:textId="77777777" w:rsidR="00AD081E" w:rsidRPr="00AD081E" w:rsidRDefault="00AD081E" w:rsidP="006D5A65">
      <w:pPr>
        <w:pStyle w:val="Heading1"/>
      </w:pPr>
      <w:r w:rsidRPr="00AD081E">
        <w:t>The administrator password for the LINT tool.</w:t>
      </w:r>
    </w:p>
    <w:p w14:paraId="70E47542" w14:textId="77777777" w:rsidR="00AD081E" w:rsidRPr="00AD081E" w:rsidRDefault="00AD081E" w:rsidP="006D5A65">
      <w:pPr>
        <w:pStyle w:val="Heading1"/>
      </w:pPr>
      <w:r w:rsidRPr="00AD081E">
        <w:t>The administrator password for the TSNIF tool.</w:t>
      </w:r>
    </w:p>
    <w:p w14:paraId="07736BB4" w14:textId="77777777" w:rsidR="00AD081E" w:rsidRPr="00AD081E" w:rsidRDefault="00AD081E" w:rsidP="00226406">
      <w:pPr>
        <w:pStyle w:val="Appendix4"/>
        <w:ind w:left="360"/>
      </w:pPr>
      <w:r w:rsidRPr="00AD081E">
        <w:t>Configure Communications</w:t>
      </w:r>
    </w:p>
    <w:p w14:paraId="71F77C47" w14:textId="77777777" w:rsidR="00AD081E" w:rsidRPr="00AD081E" w:rsidRDefault="00AD081E" w:rsidP="00226406">
      <w:pPr>
        <w:pStyle w:val="Appendix5"/>
      </w:pPr>
      <w:r w:rsidRPr="00AD081E">
        <w:t>Configure Node Communications</w:t>
      </w:r>
    </w:p>
    <w:p w14:paraId="3E67B038"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Nodes</w:t>
      </w:r>
      <w:r w:rsidRPr="00AD081E">
        <w:rPr>
          <w:rFonts w:eastAsia="Calibri"/>
        </w:rPr>
        <w:t xml:space="preserve"> from the menu. For each node in your list of participating nodes, configure the node as follows:</w:t>
      </w:r>
    </w:p>
    <w:p w14:paraId="2AE03B12" w14:textId="77777777" w:rsidR="00AD081E" w:rsidRPr="00AD081E" w:rsidRDefault="00AD081E" w:rsidP="00AD081E">
      <w:pPr>
        <w:rPr>
          <w:rFonts w:eastAsia="Calibri"/>
        </w:rPr>
      </w:pPr>
      <w:r w:rsidRPr="00AD081E">
        <w:rPr>
          <w:rFonts w:eastAsia="Calibri"/>
          <w:b/>
        </w:rPr>
        <w:t>Nodes</w:t>
      </w:r>
      <w:r w:rsidRPr="00AD081E">
        <w:rPr>
          <w:rFonts w:eastAsia="Calibri"/>
          <w:b/>
        </w:rPr>
        <w:br/>
      </w:r>
      <w:r w:rsidRPr="00AD081E">
        <w:rPr>
          <w:rFonts w:eastAsia="Calibri"/>
        </w:rPr>
        <w:t xml:space="preserve">Select the node in the list. Double-click on it, or right-click and choose </w:t>
      </w:r>
      <w:r w:rsidRPr="00AD081E">
        <w:rPr>
          <w:rFonts w:eastAsia="Calibri"/>
          <w:b/>
        </w:rPr>
        <w:t>Display</w:t>
      </w:r>
      <w:r w:rsidRPr="00AD081E">
        <w:rPr>
          <w:b/>
        </w:rPr>
        <w:t xml:space="preserve"> </w:t>
      </w:r>
      <w:r w:rsidRPr="00AD081E">
        <w:rPr>
          <w:b/>
        </w:rPr>
        <w:sym w:font="Wingdings" w:char="F0E0"/>
      </w:r>
      <w:r w:rsidRPr="00AD081E">
        <w:rPr>
          <w:b/>
        </w:rPr>
        <w:t xml:space="preserve"> </w:t>
      </w:r>
      <w:r w:rsidRPr="00AD081E">
        <w:rPr>
          <w:rFonts w:eastAsia="Calibri"/>
          <w:b/>
        </w:rPr>
        <w:t>Textually</w:t>
      </w:r>
      <w:r w:rsidRPr="00AD081E">
        <w:rPr>
          <w:rFonts w:eastAsia="Calibri"/>
        </w:rPr>
        <w:t xml:space="preserve"> from the context menu.</w:t>
      </w:r>
    </w:p>
    <w:p w14:paraId="7746FC80" w14:textId="77777777" w:rsidR="00AD081E" w:rsidRPr="00AD081E" w:rsidRDefault="00AD081E" w:rsidP="00AD081E">
      <w:pPr>
        <w:rPr>
          <w:rFonts w:eastAsia="Calibri"/>
        </w:rPr>
      </w:pPr>
      <w:r w:rsidRPr="00AD081E">
        <w:rPr>
          <w:rFonts w:eastAsia="Calibri"/>
          <w:b/>
        </w:rPr>
        <w:t xml:space="preserve">Node: </w:t>
      </w:r>
      <w:r w:rsidRPr="00AD081E">
        <w:rPr>
          <w:rFonts w:eastAsia="Calibri"/>
          <w:b/>
          <w:i/>
        </w:rPr>
        <w:t>Node Name</w:t>
      </w:r>
      <w:r w:rsidRPr="00AD081E">
        <w:rPr>
          <w:rFonts w:eastAsia="Calibri"/>
          <w:b/>
        </w:rPr>
        <w:br/>
      </w:r>
      <w:r w:rsidRPr="00AD081E">
        <w:rPr>
          <w:rFonts w:eastAsia="Calibri"/>
        </w:rPr>
        <w:t xml:space="preserve">On the </w:t>
      </w:r>
      <w:r w:rsidRPr="00AD081E">
        <w:rPr>
          <w:rFonts w:eastAsia="Calibri"/>
          <w:b/>
          <w:i/>
        </w:rPr>
        <w:t>Capabilities</w:t>
      </w:r>
      <w:r w:rsidRPr="00AD081E">
        <w:rPr>
          <w:rFonts w:eastAsia="Calibri"/>
        </w:rPr>
        <w:t xml:space="preserve"> tab, check the </w:t>
      </w:r>
      <w:r w:rsidRPr="00AD081E">
        <w:rPr>
          <w:rFonts w:eastAsia="Calibri"/>
          <w:b/>
        </w:rPr>
        <w:t>Legacy (OTH)</w:t>
      </w:r>
      <w:r w:rsidRPr="00AD081E">
        <w:rPr>
          <w:rFonts w:eastAsia="Calibri"/>
        </w:rPr>
        <w:t xml:space="preserve"> checkbox if it is not already checked. From the drop down labeled </w:t>
      </w:r>
      <w:r w:rsidRPr="00AD081E">
        <w:rPr>
          <w:rFonts w:eastAsia="Calibri"/>
          <w:b/>
        </w:rPr>
        <w:t>Preferred Receive Method</w:t>
      </w:r>
      <w:r w:rsidRPr="00AD081E">
        <w:rPr>
          <w:rFonts w:eastAsia="Calibri"/>
        </w:rPr>
        <w:t xml:space="preserve">, choose </w:t>
      </w:r>
      <w:r w:rsidRPr="00AD081E">
        <w:rPr>
          <w:rFonts w:eastAsia="Calibri"/>
          <w:b/>
        </w:rPr>
        <w:t>Legacy (OTH)</w:t>
      </w:r>
      <w:r w:rsidRPr="00AD081E">
        <w:rPr>
          <w:rFonts w:eastAsia="Calibri"/>
        </w:rPr>
        <w:t xml:space="preserve">. In the field labeled </w:t>
      </w:r>
      <w:r w:rsidRPr="00AD081E">
        <w:rPr>
          <w:rFonts w:eastAsia="Calibri"/>
          <w:b/>
        </w:rPr>
        <w:t>SID</w:t>
      </w:r>
      <w:r w:rsidRPr="00AD081E">
        <w:rPr>
          <w:rFonts w:eastAsia="Calibri"/>
        </w:rPr>
        <w:t>, enter the node’s OTH SID. Make sure that the TED and MDS version numbers are (or TTWCS version number is) set to the correct value (e.g., 7.0, or 5.4.0.2).</w:t>
      </w:r>
    </w:p>
    <w:p w14:paraId="7951A7F8" w14:textId="77777777" w:rsidR="00AD081E" w:rsidRPr="00AD081E" w:rsidRDefault="00AD081E" w:rsidP="00AD081E">
      <w:pPr>
        <w:rPr>
          <w:rFonts w:eastAsia="Calibri"/>
        </w:rPr>
      </w:pPr>
      <w:r w:rsidRPr="00AD081E">
        <w:rPr>
          <w:rFonts w:eastAsia="Calibri"/>
          <w:b/>
        </w:rPr>
        <w:t>For the TSRT’s TED node only</w:t>
      </w:r>
      <w:r w:rsidRPr="00AD081E">
        <w:rPr>
          <w:rFonts w:eastAsia="Calibri"/>
        </w:rPr>
        <w:t xml:space="preserve">, also check the box labeled </w:t>
      </w:r>
      <w:r w:rsidRPr="00AD081E">
        <w:rPr>
          <w:rFonts w:eastAsia="Calibri"/>
          <w:b/>
        </w:rPr>
        <w:t>HTTPS</w:t>
      </w:r>
      <w:r w:rsidRPr="00AD081E">
        <w:rPr>
          <w:rFonts w:eastAsia="Calibri"/>
        </w:rPr>
        <w:t xml:space="preserve">. In the field labeled </w:t>
      </w:r>
      <w:r w:rsidRPr="00AD081E">
        <w:rPr>
          <w:rFonts w:eastAsia="Calibri"/>
          <w:b/>
        </w:rPr>
        <w:t>IP Address</w:t>
      </w:r>
      <w:r w:rsidRPr="00AD081E">
        <w:rPr>
          <w:rFonts w:eastAsia="Calibri"/>
        </w:rPr>
        <w:t xml:space="preserve">, enter the TED machine’s IP address. From the drop down labeled </w:t>
      </w:r>
      <w:r w:rsidRPr="00AD081E">
        <w:rPr>
          <w:rFonts w:eastAsia="Calibri"/>
          <w:b/>
        </w:rPr>
        <w:t>Preferred Receive Method</w:t>
      </w:r>
      <w:r w:rsidRPr="00AD081E">
        <w:rPr>
          <w:rFonts w:eastAsia="Calibri"/>
        </w:rPr>
        <w:t xml:space="preserve">, choose </w:t>
      </w:r>
      <w:r w:rsidRPr="00AD081E">
        <w:rPr>
          <w:rFonts w:eastAsia="Calibri"/>
          <w:b/>
        </w:rPr>
        <w:t>HTTPS</w:t>
      </w:r>
      <w:r w:rsidRPr="00AD081E">
        <w:rPr>
          <w:rFonts w:eastAsia="Calibri"/>
        </w:rPr>
        <w:t xml:space="preserve"> instead of </w:t>
      </w:r>
      <w:r w:rsidRPr="00AD081E">
        <w:rPr>
          <w:rFonts w:eastAsia="Calibri"/>
          <w:b/>
        </w:rPr>
        <w:t>Legacy (OTH)</w:t>
      </w:r>
      <w:r w:rsidRPr="00AD081E">
        <w:rPr>
          <w:rFonts w:eastAsia="Calibri"/>
        </w:rPr>
        <w:t>.</w:t>
      </w:r>
    </w:p>
    <w:p w14:paraId="4CA5BD78" w14:textId="77777777" w:rsidR="00AD081E" w:rsidRPr="00AD081E" w:rsidRDefault="00AD081E" w:rsidP="00AD081E">
      <w:pPr>
        <w:rPr>
          <w:rFonts w:eastAsia="Calibri"/>
        </w:rPr>
      </w:pPr>
      <w:r w:rsidRPr="00AD081E">
        <w:rPr>
          <w:rFonts w:eastAsia="Calibri"/>
          <w:b/>
        </w:rPr>
        <w:t>Note:</w:t>
      </w:r>
      <w:r w:rsidRPr="00AD081E">
        <w:rPr>
          <w:rFonts w:eastAsia="Calibri"/>
        </w:rPr>
        <w:t xml:space="preserve"> It is not necessary to specify the TCIP address here.</w:t>
      </w:r>
    </w:p>
    <w:p w14:paraId="0D627F7C" w14:textId="77777777" w:rsidR="00AD081E" w:rsidRPr="00AD081E" w:rsidRDefault="00AD081E" w:rsidP="00AD081E">
      <w:pPr>
        <w:rPr>
          <w:rFonts w:eastAsia="Calibri"/>
        </w:rPr>
      </w:pPr>
      <w:r w:rsidRPr="00AD081E">
        <w:rPr>
          <w:rFonts w:eastAsia="Calibri"/>
        </w:rPr>
        <w:t xml:space="preserve">Click the </w:t>
      </w:r>
      <w:r w:rsidRPr="00AD081E">
        <w:rPr>
          <w:rFonts w:eastAsia="Calibri"/>
          <w:b/>
        </w:rPr>
        <w:t>Save</w:t>
      </w:r>
      <w:r w:rsidRPr="00AD081E">
        <w:rPr>
          <w:rFonts w:eastAsia="Calibri"/>
        </w:rPr>
        <w:t xml:space="preserve"> icon on the toolbar, or select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w:t>
      </w:r>
      <w:r w:rsidRPr="00AD081E">
        <w:rPr>
          <w:rFonts w:eastAsia="Calibri"/>
        </w:rPr>
        <w:t xml:space="preserve"> from the menu, to save your changes. Close the node dialog.</w:t>
      </w:r>
    </w:p>
    <w:p w14:paraId="16C17830" w14:textId="77777777" w:rsidR="00AD081E" w:rsidRPr="00AD081E" w:rsidRDefault="00AD081E" w:rsidP="00AD081E">
      <w:pPr>
        <w:keepNext/>
        <w:rPr>
          <w:rFonts w:eastAsia="Calibri"/>
          <w:b/>
        </w:rPr>
      </w:pPr>
      <w:r w:rsidRPr="00AD081E">
        <w:rPr>
          <w:rFonts w:eastAsia="Calibri"/>
          <w:b/>
        </w:rPr>
        <w:lastRenderedPageBreak/>
        <w:t>Node Configuration for TTWCS Node</w:t>
      </w:r>
    </w:p>
    <w:p w14:paraId="172C8F80" w14:textId="77777777" w:rsidR="00AD081E" w:rsidRPr="00AD081E" w:rsidRDefault="00AD081E" w:rsidP="00AD081E">
      <w:pPr>
        <w:tabs>
          <w:tab w:val="left" w:pos="720"/>
        </w:tabs>
        <w:jc w:val="center"/>
      </w:pPr>
      <w:r w:rsidRPr="00AD081E">
        <w:rPr>
          <w:noProof/>
        </w:rPr>
        <w:drawing>
          <wp:inline distT="0" distB="0" distL="0" distR="0" wp14:anchorId="5E0DB76C" wp14:editId="74CAE055">
            <wp:extent cx="4114800" cy="2862072"/>
            <wp:effectExtent l="0" t="0" r="0" b="0"/>
            <wp:docPr id="2087" name="Picture 2087"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 name="Picture 2087" descr="Graphical user interface, tabl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114800" cy="2862072"/>
                    </a:xfrm>
                    <a:prstGeom prst="rect">
                      <a:avLst/>
                    </a:prstGeom>
                  </pic:spPr>
                </pic:pic>
              </a:graphicData>
            </a:graphic>
          </wp:inline>
        </w:drawing>
      </w:r>
    </w:p>
    <w:p w14:paraId="2389CE9C" w14:textId="77777777" w:rsidR="00AD081E" w:rsidRPr="00AD081E" w:rsidRDefault="00AD081E" w:rsidP="001F4B14">
      <w:pPr>
        <w:keepNext/>
        <w:spacing w:before="120"/>
        <w:rPr>
          <w:rFonts w:eastAsia="Calibri"/>
          <w:b/>
        </w:rPr>
      </w:pPr>
      <w:r w:rsidRPr="00AD081E">
        <w:rPr>
          <w:rFonts w:eastAsia="Calibri"/>
          <w:b/>
        </w:rPr>
        <w:t>Node Configuration for Non-TSRT TED Node</w:t>
      </w:r>
    </w:p>
    <w:p w14:paraId="78C7F77B" w14:textId="77777777" w:rsidR="00AD081E" w:rsidRPr="00AD081E" w:rsidRDefault="00AD081E" w:rsidP="00AD081E">
      <w:pPr>
        <w:tabs>
          <w:tab w:val="left" w:pos="720"/>
        </w:tabs>
        <w:jc w:val="center"/>
      </w:pPr>
      <w:r w:rsidRPr="00AD081E">
        <w:rPr>
          <w:noProof/>
        </w:rPr>
        <w:drawing>
          <wp:inline distT="0" distB="0" distL="0" distR="0" wp14:anchorId="47896ACA" wp14:editId="408DB480">
            <wp:extent cx="4114800" cy="2871216"/>
            <wp:effectExtent l="0" t="0" r="0" b="5715"/>
            <wp:docPr id="2088" name="Picture 208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 name="Picture 2088" descr="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114800" cy="2871216"/>
                    </a:xfrm>
                    <a:prstGeom prst="rect">
                      <a:avLst/>
                    </a:prstGeom>
                  </pic:spPr>
                </pic:pic>
              </a:graphicData>
            </a:graphic>
          </wp:inline>
        </w:drawing>
      </w:r>
    </w:p>
    <w:p w14:paraId="2A6E2E75" w14:textId="77777777" w:rsidR="00AD081E" w:rsidRPr="00AD081E" w:rsidRDefault="00AD081E" w:rsidP="001F4B14">
      <w:pPr>
        <w:keepNext/>
        <w:spacing w:before="120"/>
        <w:rPr>
          <w:rFonts w:eastAsia="Calibri"/>
          <w:b/>
        </w:rPr>
      </w:pPr>
      <w:r w:rsidRPr="00AD081E">
        <w:rPr>
          <w:rFonts w:eastAsia="Calibri"/>
          <w:b/>
        </w:rPr>
        <w:lastRenderedPageBreak/>
        <w:t>Node Configuration for TSRT’s TED Node (Uses HTTPS)</w:t>
      </w:r>
    </w:p>
    <w:p w14:paraId="5FF9133F" w14:textId="77777777" w:rsidR="00AD081E" w:rsidRPr="00AD081E" w:rsidRDefault="00AD081E" w:rsidP="00AD081E">
      <w:pPr>
        <w:tabs>
          <w:tab w:val="left" w:pos="720"/>
        </w:tabs>
        <w:jc w:val="center"/>
      </w:pPr>
      <w:r w:rsidRPr="00AD081E">
        <w:rPr>
          <w:noProof/>
        </w:rPr>
        <w:drawing>
          <wp:inline distT="0" distB="0" distL="0" distR="0" wp14:anchorId="11ED96FF" wp14:editId="29A8D96F">
            <wp:extent cx="4114800" cy="2862072"/>
            <wp:effectExtent l="0" t="0" r="0" b="0"/>
            <wp:docPr id="2090" name="Picture 209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 name="Picture 2090" descr="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114800" cy="2862072"/>
                    </a:xfrm>
                    <a:prstGeom prst="rect">
                      <a:avLst/>
                    </a:prstGeom>
                  </pic:spPr>
                </pic:pic>
              </a:graphicData>
            </a:graphic>
          </wp:inline>
        </w:drawing>
      </w:r>
    </w:p>
    <w:p w14:paraId="7164426F" w14:textId="77777777" w:rsidR="00AD081E" w:rsidRPr="00AD081E" w:rsidRDefault="00AD081E" w:rsidP="00D81E5E">
      <w:pPr>
        <w:pStyle w:val="Appendix5"/>
        <w:ind w:left="0" w:firstLine="0"/>
      </w:pPr>
      <w:r w:rsidRPr="00AD081E">
        <w:t>Configure LINT Interface</w:t>
      </w:r>
    </w:p>
    <w:p w14:paraId="2E558167" w14:textId="6EBDE309" w:rsidR="00AD081E" w:rsidRPr="00AD081E" w:rsidRDefault="00AD081E" w:rsidP="00226406">
      <w:pPr>
        <w:rPr>
          <w:rFonts w:eastAsia="Calibri"/>
        </w:rPr>
      </w:pPr>
      <w:r w:rsidRPr="00AD081E">
        <w:rPr>
          <w:rFonts w:eastAsia="Calibri"/>
        </w:rPr>
        <w:t xml:space="preserve">Because this is a standalone configuration, requiring the use of HTTPS rather than LINT for DDO communications, no LINT routes need be defined. We do, however, define a LINT interface for the standalone TED so that the TDM Distribution Agent, when configured (see </w:t>
      </w:r>
      <w:hyperlink w:anchor="Configure_TDM_Distribution_Agent_Communi" w:history="1">
        <w:r w:rsidRPr="00AD081E">
          <w:rPr>
            <w:rFonts w:eastAsia="Calibri"/>
            <w:color w:val="0000FF"/>
            <w:u w:val="single"/>
          </w:rPr>
          <w:t>Section R.4.5.2.5</w:t>
        </w:r>
      </w:hyperlink>
      <w:r w:rsidRPr="00AD081E">
        <w:rPr>
          <w:rFonts w:eastAsia="Calibri"/>
        </w:rPr>
        <w:t>) will have an interface to connect to.</w:t>
      </w:r>
    </w:p>
    <w:p w14:paraId="2152279C" w14:textId="77777777" w:rsidR="00AD081E" w:rsidRPr="00AD081E" w:rsidRDefault="00AD081E" w:rsidP="00306174">
      <w:pPr>
        <w:pStyle w:val="Appendix6"/>
      </w:pPr>
      <w:r w:rsidRPr="00AD081E">
        <w:t>Determine Scope of Changes</w:t>
      </w:r>
    </w:p>
    <w:p w14:paraId="67C64152" w14:textId="77777777" w:rsidR="00AD081E" w:rsidRPr="00AD081E" w:rsidRDefault="00AD081E" w:rsidP="00AD081E">
      <w:pPr>
        <w:rPr>
          <w:rFonts w:eastAsia="Calibri"/>
        </w:rPr>
      </w:pPr>
      <w:r w:rsidRPr="00AD081E">
        <w:rPr>
          <w:rFonts w:eastAsia="Calibri"/>
        </w:rPr>
        <w:t>From Windows, start the LINT tool.</w:t>
      </w:r>
    </w:p>
    <w:p w14:paraId="3BC4C2BA"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At the bottom of the window, check the IP address labeled </w:t>
      </w:r>
      <w:r w:rsidRPr="00AD081E">
        <w:rPr>
          <w:rFonts w:eastAsia="Calibri"/>
          <w:b/>
        </w:rPr>
        <w:t>Server</w:t>
      </w:r>
      <w:r w:rsidRPr="00AD081E">
        <w:rPr>
          <w:rFonts w:eastAsia="Calibri"/>
        </w:rPr>
        <w:t xml:space="preserve"> against the IP address for your TCIP.</w:t>
      </w:r>
    </w:p>
    <w:p w14:paraId="066F2E8B" w14:textId="77777777" w:rsidR="00AD081E" w:rsidRPr="00AD081E" w:rsidRDefault="00AD081E" w:rsidP="00AD081E">
      <w:pPr>
        <w:rPr>
          <w:rFonts w:eastAsia="Calibri"/>
        </w:rPr>
      </w:pPr>
      <w:r w:rsidRPr="00AD081E">
        <w:rPr>
          <w:rFonts w:eastAsia="Calibri"/>
        </w:rPr>
        <w:t xml:space="preserve">If the IP addresses differ, you will have to change LINT to point to the correct server before proceeding. First, login as administrator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 xml:space="preserve">Administrator </w:t>
      </w:r>
      <w:r w:rsidRPr="00AD081E">
        <w:rPr>
          <w:rFonts w:eastAsia="Calibri"/>
          <w:b/>
        </w:rPr>
        <w:br/>
        <w:t>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LINT, then click </w:t>
      </w:r>
      <w:r w:rsidRPr="00AD081E">
        <w:rPr>
          <w:rFonts w:eastAsia="Calibri"/>
          <w:b/>
        </w:rPr>
        <w:t>OK</w:t>
      </w:r>
      <w:r w:rsidRPr="00AD081E">
        <w:rPr>
          <w:rFonts w:eastAsia="Calibri"/>
        </w:rPr>
        <w:t xml:space="preserve">. To change servers,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TCIP Server</w:t>
      </w:r>
      <w:r w:rsidRPr="00AD081E">
        <w:rPr>
          <w:rFonts w:eastAsia="Calibri"/>
        </w:rPr>
        <w:t xml:space="preserve"> from the menu. In the dialog that appears select the radio button to the left of your TCIP’s IP address (if it’s in the list) or select the radio button next to the blank text entry field and enter the TCIP’s IP address into the text field. Click on the </w:t>
      </w:r>
      <w:r w:rsidRPr="00AD081E">
        <w:rPr>
          <w:rFonts w:eastAsia="Calibri"/>
          <w:b/>
        </w:rPr>
        <w:t>Connect</w:t>
      </w:r>
      <w:r w:rsidRPr="00AD081E">
        <w:rPr>
          <w:rFonts w:eastAsia="Calibri"/>
        </w:rPr>
        <w:t xml:space="preserve"> button.</w:t>
      </w:r>
    </w:p>
    <w:p w14:paraId="72593D38" w14:textId="77777777" w:rsidR="00AD081E" w:rsidRPr="00AD081E" w:rsidRDefault="00AD081E" w:rsidP="00AD081E">
      <w:pPr>
        <w:tabs>
          <w:tab w:val="left" w:pos="720"/>
        </w:tabs>
        <w:jc w:val="center"/>
      </w:pPr>
      <w:r w:rsidRPr="00AD081E">
        <w:rPr>
          <w:noProof/>
        </w:rPr>
        <w:lastRenderedPageBreak/>
        <w:drawing>
          <wp:inline distT="0" distB="0" distL="0" distR="0" wp14:anchorId="73F90B26" wp14:editId="639B4AE9">
            <wp:extent cx="4114800" cy="3017520"/>
            <wp:effectExtent l="0" t="0" r="0" b="0"/>
            <wp:docPr id="2174" name="Picture 217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 name="Picture 2174" descr="Graphical user interface, text,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4114800" cy="3017520"/>
                    </a:xfrm>
                    <a:prstGeom prst="rect">
                      <a:avLst/>
                    </a:prstGeom>
                  </pic:spPr>
                </pic:pic>
              </a:graphicData>
            </a:graphic>
          </wp:inline>
        </w:drawing>
      </w:r>
    </w:p>
    <w:p w14:paraId="648E8C6C" w14:textId="70B469CD" w:rsidR="00AD081E" w:rsidRPr="00AD081E" w:rsidRDefault="00AD081E" w:rsidP="00AD081E">
      <w:pPr>
        <w:rPr>
          <w:rFonts w:eastAsia="Calibri"/>
        </w:rPr>
      </w:pPr>
      <w:r w:rsidRPr="00AD081E">
        <w:rPr>
          <w:rFonts w:eastAsia="Calibri"/>
        </w:rPr>
        <w:t xml:space="preserve">If you have a </w:t>
      </w:r>
      <w:r w:rsidR="007B3190" w:rsidRPr="00AD081E">
        <w:rPr>
          <w:rFonts w:eastAsia="Calibri"/>
        </w:rPr>
        <w:t>previously saved</w:t>
      </w:r>
      <w:r w:rsidRPr="00AD081E">
        <w:rPr>
          <w:rFonts w:eastAsia="Calibri"/>
        </w:rPr>
        <w:t xml:space="preserve"> LINT configuration that is close to what you need, load it now. First login as LINT administrator if you haven’t already.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LINT, then click </w:t>
      </w:r>
      <w:r w:rsidRPr="00AD081E">
        <w:rPr>
          <w:rFonts w:eastAsia="Calibri"/>
          <w:b/>
        </w:rPr>
        <w:t>OK</w:t>
      </w:r>
      <w:r w:rsidRPr="00AD081E">
        <w:rPr>
          <w:rFonts w:eastAsia="Calibri"/>
        </w:rPr>
        <w:t xml:space="preserve">.) 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Load Configuration</w:t>
      </w:r>
      <w:r w:rsidRPr="00AD081E">
        <w:rPr>
          <w:rFonts w:eastAsia="Calibri"/>
        </w:rPr>
        <w:t xml:space="preserve">. In the dialog that appears, select your configuration, then click the </w:t>
      </w:r>
      <w:r w:rsidRPr="00AD081E">
        <w:rPr>
          <w:rFonts w:eastAsia="Calibri"/>
          <w:b/>
        </w:rPr>
        <w:t>OK</w:t>
      </w:r>
      <w:r w:rsidRPr="00AD081E">
        <w:rPr>
          <w:rFonts w:eastAsia="Calibri"/>
        </w:rPr>
        <w:t xml:space="preserve"> button.</w:t>
      </w:r>
    </w:p>
    <w:p w14:paraId="4BADE779" w14:textId="77777777" w:rsidR="00AD081E" w:rsidRPr="00AD081E" w:rsidRDefault="00AD081E" w:rsidP="00AD081E">
      <w:pPr>
        <w:rPr>
          <w:rFonts w:eastAsia="Calibri"/>
        </w:rPr>
      </w:pPr>
      <w:r w:rsidRPr="00AD081E">
        <w:rPr>
          <w:rFonts w:eastAsia="Calibri"/>
        </w:rPr>
        <w:t xml:space="preserve">In the main LINT window, click on the </w:t>
      </w:r>
      <w:r w:rsidRPr="00AD081E">
        <w:rPr>
          <w:rFonts w:eastAsia="Calibri"/>
          <w:b/>
          <w:i/>
        </w:rPr>
        <w:t>Interfaces</w:t>
      </w:r>
      <w:r w:rsidRPr="00AD081E">
        <w:rPr>
          <w:rFonts w:eastAsia="Calibri"/>
        </w:rPr>
        <w:t xml:space="preserve"> tab. Verify that, for the TSRT’s TED node, there is an enabled interface defined with the correct IP address and port number and an interface type of OTH TCP. Check the interface for the following discrepancies, noting any that must be corrected:</w:t>
      </w:r>
    </w:p>
    <w:p w14:paraId="6995D76F" w14:textId="77777777" w:rsidR="00AD081E" w:rsidRPr="00AD081E" w:rsidRDefault="00AD081E" w:rsidP="006D5A65">
      <w:pPr>
        <w:pStyle w:val="Heading1"/>
      </w:pPr>
      <w:r w:rsidRPr="00AD081E">
        <w:t>The interface is missing.</w:t>
      </w:r>
    </w:p>
    <w:p w14:paraId="3476AC4B" w14:textId="77777777" w:rsidR="00AD081E" w:rsidRPr="00AD081E" w:rsidRDefault="00AD081E" w:rsidP="006D5A65">
      <w:pPr>
        <w:pStyle w:val="Heading1"/>
      </w:pPr>
      <w:r w:rsidRPr="00AD081E">
        <w:t>The interface has the correct IP address and port number, but the wrong SID.</w:t>
      </w:r>
    </w:p>
    <w:p w14:paraId="47BC9376" w14:textId="77777777" w:rsidR="00AD081E" w:rsidRPr="00AD081E" w:rsidRDefault="00AD081E" w:rsidP="006D5A65">
      <w:pPr>
        <w:pStyle w:val="Heading1"/>
      </w:pPr>
      <w:r w:rsidRPr="00AD081E">
        <w:t>The interface is correctly defined but is not enabled.</w:t>
      </w:r>
    </w:p>
    <w:p w14:paraId="2871E405" w14:textId="16C06677" w:rsidR="00AD081E" w:rsidRPr="00AD081E" w:rsidRDefault="00AD081E" w:rsidP="00AD081E">
      <w:pPr>
        <w:rPr>
          <w:rFonts w:eastAsia="Calibri"/>
        </w:rPr>
      </w:pPr>
      <w:r w:rsidRPr="00AD081E">
        <w:rPr>
          <w:rFonts w:eastAsia="Calibri"/>
        </w:rPr>
        <w:t xml:space="preserve">If the interface is enabled and correctly defined, there’s nothing further to do for LINT configuration. If you logged in as administrator, logout now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from the menu and close the LINT tool. Skip to configuring the DAMA TSNIF Interfaces and Routes (see </w:t>
      </w:r>
      <w:hyperlink w:anchor="_S-4.5.2.3__Configure" w:history="1">
        <w:r w:rsidRPr="00AD081E">
          <w:rPr>
            <w:rFonts w:eastAsia="Calibri"/>
            <w:color w:val="0000FF"/>
            <w:u w:val="single"/>
          </w:rPr>
          <w:t>Section R.4.5.2.3</w:t>
        </w:r>
      </w:hyperlink>
      <w:r w:rsidR="00550B73">
        <w:rPr>
          <w:rFonts w:eastAsia="Calibri"/>
        </w:rPr>
        <w:t>).</w:t>
      </w:r>
    </w:p>
    <w:p w14:paraId="3445589A" w14:textId="77777777" w:rsidR="00AD081E" w:rsidRPr="00AD081E" w:rsidRDefault="00AD081E" w:rsidP="00AD081E">
      <w:pPr>
        <w:rPr>
          <w:rFonts w:eastAsia="Calibri"/>
        </w:rPr>
      </w:pPr>
      <w:r w:rsidRPr="00AD081E">
        <w:rPr>
          <w:rFonts w:eastAsia="Calibri"/>
        </w:rPr>
        <w:t>Otherwise, keep going.</w:t>
      </w:r>
    </w:p>
    <w:p w14:paraId="6364DC0B" w14:textId="77777777" w:rsidR="00AD081E" w:rsidRPr="00AD081E" w:rsidRDefault="00AD081E" w:rsidP="00306174">
      <w:pPr>
        <w:pStyle w:val="Appendix6"/>
      </w:pPr>
      <w:r w:rsidRPr="00AD081E">
        <w:t>Login as Administrator</w:t>
      </w:r>
    </w:p>
    <w:p w14:paraId="2F5A7281" w14:textId="77777777" w:rsidR="00AD081E" w:rsidRPr="00AD081E" w:rsidRDefault="00AD081E" w:rsidP="00226406">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If you did not previously log in as LINT administrator (to change the LINT server or load a LINT configuration), log in as administrator now.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 xml:space="preserve">Administrator </w:t>
      </w:r>
      <w:r w:rsidRPr="00AD081E">
        <w:rPr>
          <w:rFonts w:eastAsia="Calibri"/>
          <w:b/>
        </w:rPr>
        <w:br/>
        <w:t>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LINT, then click </w:t>
      </w:r>
      <w:r w:rsidRPr="00AD081E">
        <w:rPr>
          <w:rFonts w:eastAsia="Calibri"/>
          <w:b/>
        </w:rPr>
        <w:t>OK</w:t>
      </w:r>
      <w:r w:rsidRPr="00AD081E">
        <w:rPr>
          <w:rFonts w:eastAsia="Calibri"/>
        </w:rPr>
        <w:t>.</w:t>
      </w:r>
    </w:p>
    <w:p w14:paraId="3BE796E8" w14:textId="77777777" w:rsidR="00AD081E" w:rsidRPr="00AD081E" w:rsidRDefault="00AD081E" w:rsidP="00306174">
      <w:pPr>
        <w:pStyle w:val="Appendix6"/>
      </w:pPr>
      <w:r w:rsidRPr="00AD081E">
        <w:lastRenderedPageBreak/>
        <w:t>Correct Interface with the Wrong SID or Disabled Interface</w:t>
      </w:r>
    </w:p>
    <w:p w14:paraId="3E95062B" w14:textId="77777777" w:rsidR="00AD081E" w:rsidRPr="00AD081E" w:rsidRDefault="00AD081E" w:rsidP="00226406">
      <w:pPr>
        <w:rPr>
          <w:rFonts w:eastAsia="Calibri"/>
        </w:rPr>
      </w:pPr>
      <w:r w:rsidRPr="00AD081E">
        <w:rPr>
          <w:rFonts w:eastAsia="Calibri"/>
        </w:rPr>
        <w:t>If the interface was defined with the correct IP address and port, but the wrong SID, or was correctly defined but disabled, or has an incorrect guard list, correct it as follows:</w:t>
      </w:r>
    </w:p>
    <w:p w14:paraId="761A68D3" w14:textId="77777777" w:rsidR="00AD081E" w:rsidRPr="00AD081E" w:rsidRDefault="00AD081E" w:rsidP="00226406">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Select the interface in the list. Click on the </w:t>
      </w:r>
      <w:r w:rsidRPr="00AD081E">
        <w:rPr>
          <w:rFonts w:eastAsia="Calibri"/>
          <w:b/>
        </w:rPr>
        <w:t>Modify</w:t>
      </w:r>
      <w:r w:rsidRPr="00AD081E">
        <w:rPr>
          <w:rFonts w:eastAsia="Calibri"/>
        </w:rPr>
        <w:t xml:space="preserve"> button at the bottom of the tab. In the dialog that appears, correct the value of the SID, if necessary (near the middle of the dialog). Ensure that the </w:t>
      </w:r>
      <w:r w:rsidRPr="00AD081E">
        <w:rPr>
          <w:rFonts w:eastAsia="Calibri"/>
          <w:b/>
        </w:rPr>
        <w:t>Enabled</w:t>
      </w:r>
      <w:r w:rsidRPr="00AD081E">
        <w:rPr>
          <w:rFonts w:eastAsia="Calibri"/>
        </w:rPr>
        <w:t xml:space="preserve"> radio button is selected. To complete your changes, click on the </w:t>
      </w:r>
      <w:r w:rsidRPr="00AD081E">
        <w:rPr>
          <w:rFonts w:eastAsia="Calibri"/>
          <w:b/>
        </w:rPr>
        <w:t>Apply</w:t>
      </w:r>
      <w:r w:rsidRPr="00AD081E">
        <w:rPr>
          <w:rFonts w:eastAsia="Calibri"/>
        </w:rPr>
        <w:t xml:space="preserve"> button at the bottom of the dialog (</w:t>
      </w:r>
      <w:r w:rsidRPr="00AD081E">
        <w:rPr>
          <w:rFonts w:eastAsia="Calibri"/>
          <w:i/>
        </w:rPr>
        <w:t>not</w:t>
      </w:r>
      <w:r w:rsidRPr="00AD081E">
        <w:rPr>
          <w:rFonts w:eastAsia="Calibri"/>
        </w:rPr>
        <w:t xml:space="preserve"> the </w:t>
      </w:r>
      <w:r w:rsidRPr="00AD081E">
        <w:rPr>
          <w:rFonts w:eastAsia="Calibri"/>
          <w:b/>
        </w:rPr>
        <w:t>Apply</w:t>
      </w:r>
      <w:r w:rsidRPr="00AD081E">
        <w:rPr>
          <w:rFonts w:eastAsia="Calibri"/>
        </w:rPr>
        <w:t xml:space="preserve"> button in the </w:t>
      </w:r>
      <w:r w:rsidRPr="00AD081E">
        <w:rPr>
          <w:rFonts w:eastAsia="Calibri"/>
          <w:b/>
        </w:rPr>
        <w:t>Guard List</w:t>
      </w:r>
      <w:r w:rsidRPr="00AD081E">
        <w:rPr>
          <w:rFonts w:eastAsia="Calibri"/>
        </w:rPr>
        <w:t xml:space="preserve"> area).</w:t>
      </w:r>
    </w:p>
    <w:p w14:paraId="6E34523F" w14:textId="77777777" w:rsidR="00AD081E" w:rsidRPr="00AD081E" w:rsidRDefault="00AD081E" w:rsidP="00306174">
      <w:pPr>
        <w:pStyle w:val="Appendix6"/>
      </w:pPr>
      <w:r w:rsidRPr="00AD081E">
        <w:t>Add Missing Interface</w:t>
      </w:r>
    </w:p>
    <w:p w14:paraId="684434CB" w14:textId="77777777" w:rsidR="00AD081E" w:rsidRPr="00AD081E" w:rsidRDefault="00AD081E" w:rsidP="00AD081E">
      <w:pPr>
        <w:rPr>
          <w:rFonts w:eastAsia="Calibri"/>
        </w:rPr>
      </w:pPr>
      <w:r w:rsidRPr="00AD081E">
        <w:rPr>
          <w:rFonts w:eastAsia="Calibri"/>
        </w:rPr>
        <w:t>If there was no interface with the correct IP address and port, create one as follows:</w:t>
      </w:r>
    </w:p>
    <w:p w14:paraId="1BAA3DF8"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6D180DFC" w14:textId="77777777" w:rsidR="00AD081E" w:rsidRPr="00AD081E" w:rsidRDefault="00AD081E" w:rsidP="00AD081E">
      <w:pPr>
        <w:rPr>
          <w:rFonts w:eastAsia="Calibri"/>
        </w:rPr>
      </w:pPr>
      <w:r w:rsidRPr="00AD081E">
        <w:rPr>
          <w:rFonts w:eastAsia="Calibri"/>
          <w:b/>
        </w:rPr>
        <w:t>Select Interface Type</w:t>
      </w:r>
      <w:r w:rsidRPr="00AD081E">
        <w:rPr>
          <w:rFonts w:eastAsia="Calibri"/>
          <w:b/>
        </w:rPr>
        <w:br/>
      </w:r>
      <w:r w:rsidRPr="00AD081E">
        <w:rPr>
          <w:rFonts w:eastAsia="Calibri"/>
        </w:rPr>
        <w:t xml:space="preserve">Select the </w:t>
      </w:r>
      <w:r w:rsidRPr="00AD081E">
        <w:rPr>
          <w:rFonts w:eastAsia="Calibri"/>
          <w:b/>
        </w:rPr>
        <w:t>OTH TCP</w:t>
      </w:r>
      <w:r w:rsidRPr="00AD081E">
        <w:rPr>
          <w:rFonts w:eastAsia="Calibri"/>
        </w:rPr>
        <w:t xml:space="preserve"> interface type from the list. Click on the </w:t>
      </w:r>
      <w:r w:rsidRPr="00AD081E">
        <w:rPr>
          <w:rFonts w:eastAsia="Calibri"/>
          <w:b/>
        </w:rPr>
        <w:t>OK</w:t>
      </w:r>
      <w:r w:rsidRPr="00AD081E">
        <w:rPr>
          <w:rFonts w:eastAsia="Calibri"/>
        </w:rPr>
        <w:t xml:space="preserve"> button.</w:t>
      </w:r>
    </w:p>
    <w:p w14:paraId="4EDD73E8" w14:textId="77777777" w:rsidR="00AD081E" w:rsidRPr="00AD081E" w:rsidRDefault="00AD081E" w:rsidP="00AD081E">
      <w:pPr>
        <w:tabs>
          <w:tab w:val="left" w:pos="720"/>
        </w:tabs>
        <w:jc w:val="center"/>
      </w:pPr>
      <w:r w:rsidRPr="00AD081E">
        <w:rPr>
          <w:noProof/>
        </w:rPr>
        <w:drawing>
          <wp:inline distT="0" distB="0" distL="0" distR="0" wp14:anchorId="5551897A" wp14:editId="3296CAE4">
            <wp:extent cx="2286000" cy="1417320"/>
            <wp:effectExtent l="0" t="0" r="0" b="0"/>
            <wp:docPr id="2175" name="Picture 217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 name="Picture 2175"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286000" cy="1417320"/>
                    </a:xfrm>
                    <a:prstGeom prst="rect">
                      <a:avLst/>
                    </a:prstGeom>
                  </pic:spPr>
                </pic:pic>
              </a:graphicData>
            </a:graphic>
          </wp:inline>
        </w:drawing>
      </w:r>
      <w:r w:rsidRPr="00AD081E">
        <w:t xml:space="preserve">  </w:t>
      </w:r>
      <w:r w:rsidRPr="00AD081E">
        <w:rPr>
          <w:noProof/>
        </w:rPr>
        <w:drawing>
          <wp:inline distT="0" distB="0" distL="0" distR="0" wp14:anchorId="7B1EFB7C" wp14:editId="364FD42F">
            <wp:extent cx="2286000" cy="2249424"/>
            <wp:effectExtent l="0" t="0" r="0" b="0"/>
            <wp:docPr id="790" name="Picture 79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 name="Picture 790"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2286000" cy="2249424"/>
                    </a:xfrm>
                    <a:prstGeom prst="rect">
                      <a:avLst/>
                    </a:prstGeom>
                  </pic:spPr>
                </pic:pic>
              </a:graphicData>
            </a:graphic>
          </wp:inline>
        </w:drawing>
      </w:r>
    </w:p>
    <w:p w14:paraId="45A35065" w14:textId="55C64AC5" w:rsidR="00AD081E" w:rsidRPr="00AD081E" w:rsidRDefault="00AD081E" w:rsidP="00AD081E">
      <w:pPr>
        <w:rPr>
          <w:rFonts w:eastAsia="Calibri"/>
        </w:rPr>
      </w:pPr>
      <w:r w:rsidRPr="00AD081E">
        <w:rPr>
          <w:rFonts w:eastAsia="Calibri"/>
          <w:b/>
        </w:rPr>
        <w:t>OTH TCP</w:t>
      </w:r>
      <w:r w:rsidRPr="00AD081E">
        <w:rPr>
          <w:rFonts w:eastAsia="Calibri"/>
        </w:rPr>
        <w:br/>
        <w:t xml:space="preserve">Enter a name for the interface. Select the </w:t>
      </w:r>
      <w:r w:rsidRPr="00AD081E">
        <w:rPr>
          <w:rFonts w:eastAsia="Calibri"/>
          <w:b/>
        </w:rPr>
        <w:t>Enabled</w:t>
      </w:r>
      <w:r w:rsidRPr="00AD081E">
        <w:rPr>
          <w:rFonts w:eastAsia="Calibri"/>
        </w:rPr>
        <w:t xml:space="preserve"> radio button. In the </w:t>
      </w:r>
      <w:r w:rsidRPr="00AD081E">
        <w:rPr>
          <w:rFonts w:eastAsia="Calibri"/>
          <w:b/>
        </w:rPr>
        <w:t>Internet Address</w:t>
      </w:r>
      <w:r w:rsidRPr="00AD081E">
        <w:rPr>
          <w:rFonts w:eastAsia="Calibri"/>
        </w:rPr>
        <w:t xml:space="preserve"> area, enter the IP address of the TSRT’s TED node (the four IP address components are each entered into a separate text area; you can tab from one to the next as you enter). In the field labeled </w:t>
      </w:r>
      <w:r w:rsidRPr="00AD081E">
        <w:rPr>
          <w:rFonts w:eastAsia="Calibri"/>
          <w:b/>
        </w:rPr>
        <w:t>SID</w:t>
      </w:r>
      <w:r w:rsidRPr="00AD081E">
        <w:rPr>
          <w:rFonts w:eastAsia="Calibri"/>
        </w:rPr>
        <w:t xml:space="preserve">, enter the OTH SID of the TSRT’s TED node. In the </w:t>
      </w:r>
      <w:r w:rsidRPr="00AD081E">
        <w:rPr>
          <w:rFonts w:eastAsia="Calibri"/>
          <w:b/>
        </w:rPr>
        <w:t>Guard List</w:t>
      </w:r>
      <w:r w:rsidRPr="00AD081E">
        <w:rPr>
          <w:rFonts w:eastAsia="Calibri"/>
        </w:rPr>
        <w:t xml:space="preserve"> region, enter the low and high SIDs of the range used for your rehearsal (or just enter 1 and 16383 to allow all SIDs), then click on the </w:t>
      </w:r>
      <w:r w:rsidRPr="00AD081E">
        <w:rPr>
          <w:rFonts w:eastAsia="Calibri"/>
          <w:b/>
        </w:rPr>
        <w:t>Apply</w:t>
      </w:r>
      <w:r w:rsidRPr="00AD081E">
        <w:rPr>
          <w:rFonts w:eastAsia="Calibri"/>
        </w:rPr>
        <w:t xml:space="preserve"> button in the</w:t>
      </w:r>
      <w:r w:rsidRPr="00AD081E">
        <w:rPr>
          <w:rFonts w:eastAsia="Calibri"/>
          <w:b/>
        </w:rPr>
        <w:t xml:space="preserve"> Guard List </w:t>
      </w:r>
      <w:r w:rsidRPr="00AD081E">
        <w:rPr>
          <w:rFonts w:eastAsia="Calibri"/>
        </w:rPr>
        <w:t>region (</w:t>
      </w:r>
      <w:r w:rsidRPr="00AD081E">
        <w:rPr>
          <w:rFonts w:eastAsia="Calibri"/>
          <w:i/>
        </w:rPr>
        <w:t>not</w:t>
      </w:r>
      <w:r w:rsidRPr="00AD081E">
        <w:rPr>
          <w:rFonts w:eastAsia="Calibri"/>
        </w:rPr>
        <w:t xml:space="preserve"> the </w:t>
      </w:r>
      <w:r w:rsidRPr="00AD081E">
        <w:rPr>
          <w:rFonts w:eastAsia="Calibri"/>
          <w:b/>
        </w:rPr>
        <w:t>Apply</w:t>
      </w:r>
      <w:r w:rsidRPr="00AD081E">
        <w:rPr>
          <w:rFonts w:eastAsia="Calibri"/>
        </w:rPr>
        <w:t xml:space="preserve"> button at the bottom of the dialog). If the SID range you wish to guard is discontinuous, you may enter as many SID ranges as necessary.</w:t>
      </w:r>
      <w:r w:rsidR="004A31B2">
        <w:rPr>
          <w:rFonts w:eastAsia="Calibri"/>
        </w:rPr>
        <w:t xml:space="preserve"> </w:t>
      </w:r>
      <w:r w:rsidRPr="00AD081E">
        <w:rPr>
          <w:rFonts w:eastAsia="Calibri"/>
        </w:rPr>
        <w:t xml:space="preserve">Click on the </w:t>
      </w:r>
      <w:r w:rsidRPr="00AD081E">
        <w:rPr>
          <w:rFonts w:eastAsia="Calibri"/>
          <w:b/>
        </w:rPr>
        <w:t>Apply</w:t>
      </w:r>
      <w:r w:rsidRPr="00AD081E">
        <w:rPr>
          <w:rFonts w:eastAsia="Calibri"/>
        </w:rPr>
        <w:t xml:space="preserve"> button at the bottom of the dialog to create the interface.</w:t>
      </w:r>
    </w:p>
    <w:p w14:paraId="25501D51" w14:textId="77777777" w:rsidR="00AD081E" w:rsidRPr="00AD081E" w:rsidRDefault="00AD081E" w:rsidP="00306174">
      <w:pPr>
        <w:pStyle w:val="Appendix6"/>
      </w:pPr>
      <w:r w:rsidRPr="00AD081E">
        <w:lastRenderedPageBreak/>
        <w:t>Save Your Changes</w:t>
      </w:r>
    </w:p>
    <w:p w14:paraId="0D81721D"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 Configuration</w:t>
      </w:r>
      <w:r w:rsidRPr="00AD081E">
        <w:rPr>
          <w:rFonts w:eastAsia="Calibri"/>
        </w:rPr>
        <w:t>.</w:t>
      </w:r>
    </w:p>
    <w:p w14:paraId="3A03732A" w14:textId="7AAFA82E" w:rsidR="00AD081E" w:rsidRPr="00AD081E" w:rsidRDefault="00AD081E" w:rsidP="00AD081E">
      <w:pPr>
        <w:rPr>
          <w:rFonts w:eastAsia="Calibri"/>
        </w:rPr>
      </w:pPr>
      <w:r w:rsidRPr="00AD081E">
        <w:rPr>
          <w:rFonts w:eastAsia="Calibri"/>
          <w:b/>
        </w:rPr>
        <w:t>Save Configuration</w:t>
      </w:r>
      <w:r w:rsidRPr="00AD081E">
        <w:rPr>
          <w:rFonts w:eastAsia="Calibri"/>
          <w:b/>
        </w:rPr>
        <w:br/>
      </w:r>
      <w:r w:rsidRPr="00AD081E">
        <w:rPr>
          <w:rFonts w:eastAsia="Calibri"/>
        </w:rPr>
        <w:t xml:space="preserve">Select an interface name from the list (the </w:t>
      </w:r>
      <w:r w:rsidR="007B3190" w:rsidRPr="00AD081E">
        <w:rPr>
          <w:rFonts w:eastAsia="Calibri"/>
        </w:rPr>
        <w:t>currently loaded</w:t>
      </w:r>
      <w:r w:rsidRPr="00AD081E">
        <w:rPr>
          <w:rFonts w:eastAsia="Calibri"/>
        </w:rPr>
        <w:t xml:space="preserve"> configuration is the one marked with an asterisk [</w:t>
      </w:r>
      <w:r w:rsidRPr="00AD081E">
        <w:rPr>
          <w:rFonts w:eastAsia="Calibri"/>
          <w:b/>
        </w:rPr>
        <w:t>*</w:t>
      </w:r>
      <w:r w:rsidRPr="00AD081E">
        <w:rPr>
          <w:rFonts w:eastAsia="Calibri"/>
        </w:rPr>
        <w:t>]</w:t>
      </w:r>
      <w:r w:rsidR="00926837" w:rsidRPr="00AD081E">
        <w:rPr>
          <w:rFonts w:eastAsia="Calibri"/>
        </w:rPr>
        <w:t>) or</w:t>
      </w:r>
      <w:r w:rsidRPr="00AD081E">
        <w:rPr>
          <w:rFonts w:eastAsia="Calibri"/>
        </w:rPr>
        <w:t xml:space="preserve"> enter a new configuration name in the text entry area at the bottom of the dialog. Click on the </w:t>
      </w:r>
      <w:r w:rsidRPr="00AD081E">
        <w:rPr>
          <w:rFonts w:eastAsia="Calibri"/>
          <w:b/>
        </w:rPr>
        <w:t>OK</w:t>
      </w:r>
      <w:r w:rsidRPr="00AD081E">
        <w:rPr>
          <w:rFonts w:eastAsia="Calibri"/>
        </w:rPr>
        <w:t xml:space="preserve"> button.</w:t>
      </w:r>
    </w:p>
    <w:p w14:paraId="3165E7AD" w14:textId="77777777" w:rsidR="00AD081E" w:rsidRPr="00AD081E" w:rsidRDefault="00AD081E" w:rsidP="00306174">
      <w:pPr>
        <w:pStyle w:val="Appendix6"/>
      </w:pPr>
      <w:r w:rsidRPr="00AD081E">
        <w:t>Logout and Close</w:t>
      </w:r>
    </w:p>
    <w:p w14:paraId="2D75B463"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Close the </w:t>
      </w:r>
      <w:r w:rsidRPr="00AD081E">
        <w:rPr>
          <w:rFonts w:eastAsia="Calibri"/>
          <w:i/>
        </w:rPr>
        <w:t>LINT</w:t>
      </w:r>
      <w:r w:rsidRPr="00AD081E">
        <w:rPr>
          <w:rFonts w:eastAsia="Calibri"/>
        </w:rPr>
        <w:t xml:space="preserve"> window.</w:t>
      </w:r>
    </w:p>
    <w:p w14:paraId="1795F9F5" w14:textId="77777777" w:rsidR="00AD081E" w:rsidRPr="00AD081E" w:rsidRDefault="00AD081E" w:rsidP="00226406">
      <w:pPr>
        <w:pStyle w:val="Appendix5"/>
      </w:pPr>
      <w:bookmarkStart w:id="8310" w:name="_S-4.5.2.3__Configure"/>
      <w:bookmarkEnd w:id="8310"/>
      <w:r w:rsidRPr="00AD081E">
        <w:t>Configure DAMA TSNIF Interfaces and Routes</w:t>
      </w:r>
    </w:p>
    <w:p w14:paraId="6FA2E41F" w14:textId="77777777" w:rsidR="00AD081E" w:rsidRPr="00AD081E" w:rsidRDefault="00AD081E" w:rsidP="00306174">
      <w:pPr>
        <w:pStyle w:val="Appendix6"/>
      </w:pPr>
      <w:r w:rsidRPr="00AD081E">
        <w:t>Determine Scope of Changes</w:t>
      </w:r>
    </w:p>
    <w:p w14:paraId="57167B56" w14:textId="77777777" w:rsidR="00AD081E" w:rsidRPr="00AD081E" w:rsidRDefault="00AD081E" w:rsidP="00AD081E">
      <w:pPr>
        <w:rPr>
          <w:rFonts w:eastAsia="Calibri"/>
        </w:rPr>
      </w:pPr>
      <w:r w:rsidRPr="00AD081E">
        <w:rPr>
          <w:rFonts w:eastAsia="Calibri"/>
        </w:rPr>
        <w:t>From Windows, start the TSN DAMA tool.</w:t>
      </w:r>
    </w:p>
    <w:p w14:paraId="148678AC"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At the bottom of the window, check the IP address labeled </w:t>
      </w:r>
      <w:r w:rsidRPr="00AD081E">
        <w:rPr>
          <w:rFonts w:eastAsia="Calibri"/>
          <w:b/>
        </w:rPr>
        <w:t>Server</w:t>
      </w:r>
      <w:r w:rsidRPr="00AD081E">
        <w:rPr>
          <w:rFonts w:eastAsia="Calibri"/>
        </w:rPr>
        <w:t xml:space="preserve"> against the IP address for your TCIP.</w:t>
      </w:r>
    </w:p>
    <w:p w14:paraId="05D01D94" w14:textId="77777777" w:rsidR="00AD081E" w:rsidRPr="00AD081E" w:rsidRDefault="00AD081E" w:rsidP="00AD081E">
      <w:pPr>
        <w:rPr>
          <w:rFonts w:eastAsia="Calibri"/>
        </w:rPr>
      </w:pPr>
      <w:r w:rsidRPr="00AD081E">
        <w:rPr>
          <w:rFonts w:eastAsia="Calibri"/>
        </w:rPr>
        <w:t xml:space="preserve">If the IP addresses differ, you will have to change TSNIF to point to the correct server before proceeding. First, login as administrator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 xml:space="preserve">Administrator </w:t>
      </w:r>
      <w:r w:rsidRPr="00AD081E">
        <w:rPr>
          <w:rFonts w:eastAsia="Calibri"/>
          <w:b/>
        </w:rPr>
        <w:br/>
        <w:t>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To change servers,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TCIP Server</w:t>
      </w:r>
      <w:r w:rsidRPr="00AD081E">
        <w:rPr>
          <w:rFonts w:eastAsia="Calibri"/>
        </w:rPr>
        <w:t xml:space="preserve"> from the menu. In the dialog that appears select the radio button to the left of your TCIP’s IP address (if it’s in the list) or select the radio button next to the blank text entry field and enter the TCIP’s IP address into the text field. Click on the </w:t>
      </w:r>
      <w:r w:rsidRPr="00AD081E">
        <w:rPr>
          <w:rFonts w:eastAsia="Calibri"/>
          <w:b/>
        </w:rPr>
        <w:t>Connect</w:t>
      </w:r>
      <w:r w:rsidRPr="00AD081E">
        <w:rPr>
          <w:rFonts w:eastAsia="Calibri"/>
        </w:rPr>
        <w:t xml:space="preserve"> button.</w:t>
      </w:r>
    </w:p>
    <w:p w14:paraId="1C0B67FF" w14:textId="3FD3F621" w:rsidR="00AD081E" w:rsidRPr="00AD081E" w:rsidRDefault="00AD081E" w:rsidP="00AD081E">
      <w:pPr>
        <w:rPr>
          <w:rFonts w:eastAsia="Calibri"/>
        </w:rPr>
      </w:pPr>
      <w:r w:rsidRPr="00AD081E">
        <w:rPr>
          <w:rFonts w:eastAsia="Calibri"/>
        </w:rPr>
        <w:t xml:space="preserve">If you have a </w:t>
      </w:r>
      <w:r w:rsidR="007B3190" w:rsidRPr="00AD081E">
        <w:rPr>
          <w:rFonts w:eastAsia="Calibri"/>
        </w:rPr>
        <w:t>previously saved</w:t>
      </w:r>
      <w:r w:rsidRPr="00AD081E">
        <w:rPr>
          <w:rFonts w:eastAsia="Calibri"/>
        </w:rPr>
        <w:t xml:space="preserve"> TSNIF configuration that is close to what you need, load it now. First login as TSNIF administrator if you haven’t already.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Load Configuration</w:t>
      </w:r>
      <w:r w:rsidRPr="00AD081E">
        <w:rPr>
          <w:rFonts w:eastAsia="Calibri"/>
        </w:rPr>
        <w:t xml:space="preserve">. In the dialog that appears, select your configuration, then click the </w:t>
      </w:r>
      <w:r w:rsidRPr="00AD081E">
        <w:rPr>
          <w:rFonts w:eastAsia="Calibri"/>
          <w:b/>
        </w:rPr>
        <w:t>OK</w:t>
      </w:r>
      <w:r w:rsidRPr="00AD081E">
        <w:rPr>
          <w:rFonts w:eastAsia="Calibri"/>
        </w:rPr>
        <w:t xml:space="preserve"> button.</w:t>
      </w:r>
    </w:p>
    <w:p w14:paraId="7CA16212" w14:textId="77777777" w:rsidR="00AD081E" w:rsidRPr="00AD081E" w:rsidRDefault="00AD081E" w:rsidP="00AD081E">
      <w:pPr>
        <w:tabs>
          <w:tab w:val="left" w:pos="720"/>
        </w:tabs>
        <w:jc w:val="center"/>
      </w:pPr>
      <w:r w:rsidRPr="00AD081E">
        <w:rPr>
          <w:noProof/>
        </w:rPr>
        <w:lastRenderedPageBreak/>
        <w:drawing>
          <wp:inline distT="0" distB="0" distL="0" distR="0" wp14:anchorId="74F680EE" wp14:editId="3A4FDB5F">
            <wp:extent cx="3657600" cy="3374136"/>
            <wp:effectExtent l="0" t="0" r="0" b="0"/>
            <wp:docPr id="801" name="Picture 80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Picture 801"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3374136"/>
                    </a:xfrm>
                    <a:prstGeom prst="rect">
                      <a:avLst/>
                    </a:prstGeom>
                  </pic:spPr>
                </pic:pic>
              </a:graphicData>
            </a:graphic>
          </wp:inline>
        </w:drawing>
      </w:r>
    </w:p>
    <w:p w14:paraId="563C54D5"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Interfaces</w:t>
      </w:r>
      <w:r w:rsidRPr="00AD081E">
        <w:rPr>
          <w:rFonts w:eastAsia="Calibri"/>
        </w:rPr>
        <w:t xml:space="preserve"> tab. Verify that, for the TSRT’s TED node, there are two enabled interfaces defined with the correct IP address and an interface type of TSN TCP, one for port 9601 and one for port 9602. For each matching interface, note the interface name. Note any missing interfaces as you will have to create these soon.</w:t>
      </w:r>
    </w:p>
    <w:p w14:paraId="638F58CD" w14:textId="77777777" w:rsidR="00AD081E" w:rsidRPr="00AD081E" w:rsidRDefault="00AD081E" w:rsidP="00AD081E">
      <w:pPr>
        <w:tabs>
          <w:tab w:val="left" w:pos="720"/>
        </w:tabs>
        <w:jc w:val="center"/>
      </w:pPr>
      <w:r w:rsidRPr="00AD081E">
        <w:rPr>
          <w:noProof/>
        </w:rPr>
        <w:drawing>
          <wp:inline distT="0" distB="0" distL="0" distR="0" wp14:anchorId="03323A84" wp14:editId="093042B2">
            <wp:extent cx="3657600" cy="3374136"/>
            <wp:effectExtent l="0" t="0" r="0" b="0"/>
            <wp:docPr id="802" name="Picture 80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Picture 802" descr="Tabl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3374136"/>
                    </a:xfrm>
                    <a:prstGeom prst="rect">
                      <a:avLst/>
                    </a:prstGeom>
                  </pic:spPr>
                </pic:pic>
              </a:graphicData>
            </a:graphic>
          </wp:inline>
        </w:drawing>
      </w:r>
    </w:p>
    <w:p w14:paraId="0D4EA01F"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Routes</w:t>
      </w:r>
      <w:r w:rsidRPr="00AD081E">
        <w:rPr>
          <w:rFonts w:eastAsia="Calibri"/>
        </w:rPr>
        <w:t xml:space="preserve"> tab, then click on the </w:t>
      </w:r>
      <w:r w:rsidRPr="00AD081E">
        <w:rPr>
          <w:rFonts w:eastAsia="Calibri"/>
          <w:b/>
        </w:rPr>
        <w:t>Source</w:t>
      </w:r>
      <w:r w:rsidRPr="00AD081E">
        <w:rPr>
          <w:rFonts w:eastAsia="Calibri"/>
        </w:rPr>
        <w:t xml:space="preserve"> column head to sort the list by source interface name. Verify that for the two interfaces, there is a route from the first to the second, and another </w:t>
      </w:r>
      <w:r w:rsidRPr="00AD081E">
        <w:rPr>
          <w:rFonts w:eastAsia="Calibri"/>
        </w:rPr>
        <w:lastRenderedPageBreak/>
        <w:t>route from the second back to the first. Note any missing routes, as you will have to create these soon. Also note any extra routes (with non-participants at one end), as you may wish to delete these.</w:t>
      </w:r>
    </w:p>
    <w:p w14:paraId="1C616B1A" w14:textId="780421A2" w:rsidR="00AD081E" w:rsidRPr="00AD081E" w:rsidRDefault="00AD081E" w:rsidP="00AD081E">
      <w:pPr>
        <w:rPr>
          <w:rFonts w:eastAsia="Calibri"/>
        </w:rPr>
      </w:pPr>
      <w:r w:rsidRPr="00AD081E">
        <w:rPr>
          <w:rFonts w:eastAsia="Calibri"/>
        </w:rPr>
        <w:t xml:space="preserve">If both interfaces are enabled and correctly defined, and there are routes back and forth between the interfaces, there’s nothing further to do for TSN DAMA configuration. If you logged in as administrator, logout now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from the menu and close the TSNIF tool. Skip to</w:t>
      </w:r>
      <w:r w:rsidRPr="00AD081E">
        <w:t xml:space="preserve"> configuring the TDM </w:t>
      </w:r>
      <w:r w:rsidRPr="00AD081E">
        <w:rPr>
          <w:rFonts w:eastAsia="Calibri"/>
        </w:rPr>
        <w:t>Distribution Agent</w:t>
      </w:r>
      <w:r w:rsidRPr="00AD081E">
        <w:t xml:space="preserve"> Communications</w:t>
      </w:r>
      <w:r w:rsidRPr="00AD081E">
        <w:rPr>
          <w:rFonts w:eastAsia="Calibri"/>
        </w:rPr>
        <w:t xml:space="preserve"> (see </w:t>
      </w:r>
      <w:hyperlink w:anchor="Configure_TDM_Distribution_Agent_Communi" w:history="1">
        <w:r w:rsidRPr="00AD081E">
          <w:rPr>
            <w:rFonts w:eastAsia="Calibri"/>
            <w:color w:val="0000FF"/>
            <w:u w:val="single"/>
          </w:rPr>
          <w:t>Section R.4.5.2.5</w:t>
        </w:r>
      </w:hyperlink>
      <w:r w:rsidR="00550B73">
        <w:rPr>
          <w:rFonts w:eastAsia="Calibri"/>
        </w:rPr>
        <w:t>).</w:t>
      </w:r>
    </w:p>
    <w:p w14:paraId="605693DE" w14:textId="77777777" w:rsidR="00AD081E" w:rsidRPr="00AD081E" w:rsidRDefault="00AD081E" w:rsidP="00AD081E">
      <w:pPr>
        <w:rPr>
          <w:rFonts w:eastAsia="Calibri"/>
        </w:rPr>
      </w:pPr>
      <w:r w:rsidRPr="00AD081E">
        <w:rPr>
          <w:rFonts w:eastAsia="Calibri"/>
        </w:rPr>
        <w:t>Otherwise, keep going.</w:t>
      </w:r>
    </w:p>
    <w:p w14:paraId="74739A2A" w14:textId="77777777" w:rsidR="00AD081E" w:rsidRPr="00AD081E" w:rsidRDefault="00AD081E" w:rsidP="00306174">
      <w:pPr>
        <w:pStyle w:val="Appendix6"/>
      </w:pPr>
      <w:r w:rsidRPr="00AD081E">
        <w:t>Login as Administrator</w:t>
      </w:r>
    </w:p>
    <w:p w14:paraId="11EE3A64" w14:textId="41962EEC"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If you did not previously log in as TSNIF administrator (to change the TCIP server or load a TSNIF configuration), log in as administrator now.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w:t>
      </w:r>
    </w:p>
    <w:p w14:paraId="7B42CEFD" w14:textId="77777777" w:rsidR="00AD081E" w:rsidRPr="00AD081E" w:rsidRDefault="00AD081E" w:rsidP="00306174">
      <w:pPr>
        <w:pStyle w:val="Appendix6"/>
      </w:pPr>
      <w:r w:rsidRPr="00AD081E">
        <w:t>Correct Disabled Interfaces</w:t>
      </w:r>
    </w:p>
    <w:p w14:paraId="4D0BB6BF" w14:textId="77777777" w:rsidR="00AD081E" w:rsidRPr="00AD081E" w:rsidRDefault="00AD081E" w:rsidP="00AD081E">
      <w:pPr>
        <w:keepNext/>
        <w:rPr>
          <w:rFonts w:eastAsia="Calibri"/>
        </w:rPr>
      </w:pPr>
      <w:r w:rsidRPr="00AD081E">
        <w:rPr>
          <w:rFonts w:eastAsia="Calibri"/>
        </w:rPr>
        <w:t>If there are interfaces with the correct IP address and port that are disabled, correct them as follows:</w:t>
      </w:r>
    </w:p>
    <w:p w14:paraId="556E9A86"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Select the interface in the list. Click on the </w:t>
      </w:r>
      <w:r w:rsidRPr="00AD081E">
        <w:rPr>
          <w:rFonts w:eastAsia="Calibri"/>
          <w:b/>
        </w:rPr>
        <w:t>Modify</w:t>
      </w:r>
      <w:r w:rsidRPr="00AD081E">
        <w:rPr>
          <w:rFonts w:eastAsia="Calibri"/>
        </w:rPr>
        <w:t xml:space="preserve"> button at the bottom of the tab. In the dialog that appears, ensure that the </w:t>
      </w:r>
      <w:r w:rsidRPr="00AD081E">
        <w:rPr>
          <w:rFonts w:eastAsia="Calibri"/>
          <w:b/>
        </w:rPr>
        <w:t>Enabled</w:t>
      </w:r>
      <w:r w:rsidRPr="00AD081E">
        <w:rPr>
          <w:rFonts w:eastAsia="Calibri"/>
        </w:rPr>
        <w:t xml:space="preserve"> radio button is selected. Click on the </w:t>
      </w:r>
      <w:r w:rsidRPr="00AD081E">
        <w:rPr>
          <w:rFonts w:eastAsia="Calibri"/>
          <w:b/>
        </w:rPr>
        <w:t>Apply</w:t>
      </w:r>
      <w:r w:rsidRPr="00AD081E">
        <w:rPr>
          <w:rFonts w:eastAsia="Calibri"/>
        </w:rPr>
        <w:t xml:space="preserve"> button at the bottom of the dialog.</w:t>
      </w:r>
    </w:p>
    <w:p w14:paraId="0F2AD80E" w14:textId="77777777" w:rsidR="00AD081E" w:rsidRPr="00AD081E" w:rsidRDefault="00AD081E" w:rsidP="00306174">
      <w:pPr>
        <w:pStyle w:val="Appendix6"/>
      </w:pPr>
      <w:r w:rsidRPr="00AD081E">
        <w:t>Add Missing Interfaces</w:t>
      </w:r>
    </w:p>
    <w:p w14:paraId="79AF4E99" w14:textId="77777777" w:rsidR="00AD081E" w:rsidRPr="00AD081E" w:rsidRDefault="00AD081E" w:rsidP="00AD081E">
      <w:pPr>
        <w:rPr>
          <w:rFonts w:eastAsia="Calibri"/>
        </w:rPr>
      </w:pPr>
      <w:r w:rsidRPr="00AD081E">
        <w:rPr>
          <w:rFonts w:eastAsia="Calibri"/>
        </w:rPr>
        <w:t>If there were not two interfaces with the correct IP address and port numbers, create the missing interface(s) as follows:</w:t>
      </w:r>
    </w:p>
    <w:p w14:paraId="556748A7"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765B1F48" w14:textId="77777777" w:rsidR="00AD081E" w:rsidRPr="00AD081E" w:rsidRDefault="00AD081E" w:rsidP="00AD081E">
      <w:pPr>
        <w:rPr>
          <w:rFonts w:eastAsia="Calibri"/>
        </w:rPr>
      </w:pPr>
      <w:r w:rsidRPr="00AD081E">
        <w:rPr>
          <w:rFonts w:eastAsia="Calibri"/>
          <w:b/>
        </w:rPr>
        <w:t>Select Interface Type</w:t>
      </w:r>
      <w:r w:rsidRPr="00AD081E">
        <w:rPr>
          <w:rFonts w:eastAsia="Calibri"/>
          <w:b/>
        </w:rPr>
        <w:br/>
      </w:r>
      <w:r w:rsidRPr="00AD081E">
        <w:rPr>
          <w:rFonts w:eastAsia="Calibri"/>
        </w:rPr>
        <w:t xml:space="preserve">Select the TSN TCP interface type from the list. Click on the </w:t>
      </w:r>
      <w:r w:rsidRPr="00AD081E">
        <w:rPr>
          <w:rFonts w:eastAsia="Calibri"/>
          <w:b/>
        </w:rPr>
        <w:t>OK</w:t>
      </w:r>
      <w:r w:rsidRPr="00AD081E">
        <w:rPr>
          <w:rFonts w:eastAsia="Calibri"/>
        </w:rPr>
        <w:t xml:space="preserve"> button.</w:t>
      </w:r>
    </w:p>
    <w:p w14:paraId="20CC0D96" w14:textId="77777777" w:rsidR="00AD081E" w:rsidRPr="00AD081E" w:rsidRDefault="00AD081E" w:rsidP="00AD081E">
      <w:pPr>
        <w:rPr>
          <w:rFonts w:eastAsia="Calibri"/>
        </w:rPr>
      </w:pPr>
      <w:r w:rsidRPr="00AD081E">
        <w:rPr>
          <w:rFonts w:eastAsia="Calibri"/>
          <w:b/>
        </w:rPr>
        <w:t>TSN TCP</w:t>
      </w:r>
      <w:r w:rsidRPr="00AD081E">
        <w:rPr>
          <w:rFonts w:eastAsia="Calibri"/>
        </w:rPr>
        <w:br/>
        <w:t xml:space="preserve">Enter a name for the interface. Select the </w:t>
      </w:r>
      <w:r w:rsidRPr="00AD081E">
        <w:rPr>
          <w:rFonts w:eastAsia="Calibri"/>
          <w:b/>
        </w:rPr>
        <w:t>Enabled</w:t>
      </w:r>
      <w:r w:rsidRPr="00AD081E">
        <w:rPr>
          <w:rFonts w:eastAsia="Calibri"/>
        </w:rPr>
        <w:t xml:space="preserve"> radio button. In the </w:t>
      </w:r>
      <w:r w:rsidRPr="00AD081E">
        <w:rPr>
          <w:rFonts w:eastAsia="Calibri"/>
          <w:b/>
        </w:rPr>
        <w:t>Internet Address</w:t>
      </w:r>
      <w:r w:rsidRPr="00AD081E">
        <w:rPr>
          <w:rFonts w:eastAsia="Calibri"/>
        </w:rPr>
        <w:t xml:space="preserve"> area, enter the IP address of the TSRT’s TED node (the four IP address components are each entered into a separate text area; you can tab from one to the next as you enter). If the </w:t>
      </w:r>
      <w:r w:rsidRPr="00AD081E">
        <w:rPr>
          <w:rFonts w:eastAsia="Calibri"/>
          <w:b/>
        </w:rPr>
        <w:t>Service Port ID</w:t>
      </w:r>
      <w:r w:rsidRPr="00AD081E">
        <w:rPr>
          <w:rFonts w:eastAsia="Calibri"/>
        </w:rPr>
        <w:t xml:space="preserve"> is not the correct port number, select the correct port number from the drop down.</w:t>
      </w:r>
    </w:p>
    <w:p w14:paraId="4F31F3DB"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rPr>
        <w:t>Apply</w:t>
      </w:r>
      <w:r w:rsidRPr="00AD081E">
        <w:rPr>
          <w:rFonts w:eastAsia="Calibri"/>
        </w:rPr>
        <w:t xml:space="preserve"> button at the bottom of the dialog to create the interface.</w:t>
      </w:r>
    </w:p>
    <w:p w14:paraId="4A64F385" w14:textId="77777777" w:rsidR="00AD081E" w:rsidRPr="00AD081E" w:rsidRDefault="00AD081E" w:rsidP="00AD081E">
      <w:pPr>
        <w:tabs>
          <w:tab w:val="left" w:pos="720"/>
        </w:tabs>
        <w:jc w:val="center"/>
      </w:pPr>
      <w:r w:rsidRPr="00AD081E">
        <w:rPr>
          <w:noProof/>
        </w:rPr>
        <w:lastRenderedPageBreak/>
        <w:drawing>
          <wp:inline distT="0" distB="0" distL="0" distR="0" wp14:anchorId="22DB4441" wp14:editId="2B8F66F2">
            <wp:extent cx="2286000" cy="1252728"/>
            <wp:effectExtent l="0" t="0" r="0" b="5080"/>
            <wp:docPr id="803" name="Picture 80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Picture 803"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286000" cy="1252728"/>
                    </a:xfrm>
                    <a:prstGeom prst="rect">
                      <a:avLst/>
                    </a:prstGeom>
                  </pic:spPr>
                </pic:pic>
              </a:graphicData>
            </a:graphic>
          </wp:inline>
        </w:drawing>
      </w:r>
      <w:r w:rsidRPr="00AD081E">
        <w:rPr>
          <w:rFonts w:ascii="Calibri" w:eastAsia="Calibri" w:hAnsi="Calibri"/>
          <w:noProof/>
          <w:sz w:val="22"/>
          <w:szCs w:val="22"/>
        </w:rPr>
        <w:t xml:space="preserve">  </w:t>
      </w:r>
      <w:r w:rsidRPr="00AD081E">
        <w:rPr>
          <w:noProof/>
        </w:rPr>
        <w:drawing>
          <wp:inline distT="0" distB="0" distL="0" distR="0" wp14:anchorId="436DA89D" wp14:editId="6A1CF2CC">
            <wp:extent cx="2340093" cy="1263650"/>
            <wp:effectExtent l="0" t="0" r="3175" b="0"/>
            <wp:docPr id="804" name="Picture 80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Picture 804"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341980" cy="1264669"/>
                    </a:xfrm>
                    <a:prstGeom prst="rect">
                      <a:avLst/>
                    </a:prstGeom>
                  </pic:spPr>
                </pic:pic>
              </a:graphicData>
            </a:graphic>
          </wp:inline>
        </w:drawing>
      </w:r>
    </w:p>
    <w:p w14:paraId="1DDF22CA" w14:textId="77777777" w:rsidR="00AD081E" w:rsidRPr="00AD081E" w:rsidRDefault="00AD081E" w:rsidP="00306174">
      <w:pPr>
        <w:pStyle w:val="Appendix6"/>
      </w:pPr>
      <w:r w:rsidRPr="00AD081E">
        <w:t>Add Missing Routes</w:t>
      </w:r>
    </w:p>
    <w:p w14:paraId="14466153" w14:textId="77777777" w:rsidR="00AD081E" w:rsidRPr="00AD081E" w:rsidRDefault="00AD081E" w:rsidP="00AD081E">
      <w:pPr>
        <w:rPr>
          <w:rFonts w:eastAsia="Calibri"/>
        </w:rPr>
      </w:pPr>
      <w:r w:rsidRPr="00AD081E">
        <w:rPr>
          <w:rFonts w:eastAsia="Calibri"/>
        </w:rPr>
        <w:t>If the pair of ports is without routes both back and forth, add routes as follows:</w:t>
      </w:r>
    </w:p>
    <w:p w14:paraId="6B105AA2"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Routes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6D71DC81" w14:textId="77777777" w:rsidR="00AD081E" w:rsidRPr="00AD081E" w:rsidRDefault="00AD081E" w:rsidP="00AD081E">
      <w:pPr>
        <w:tabs>
          <w:tab w:val="left" w:pos="720"/>
        </w:tabs>
        <w:jc w:val="center"/>
      </w:pPr>
      <w:r w:rsidRPr="00AD081E">
        <w:rPr>
          <w:noProof/>
        </w:rPr>
        <w:drawing>
          <wp:inline distT="0" distB="0" distL="0" distR="0" wp14:anchorId="19E90085" wp14:editId="4A8AFD94">
            <wp:extent cx="3657600" cy="2057400"/>
            <wp:effectExtent l="0" t="0" r="0" b="0"/>
            <wp:docPr id="811" name="Picture 8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 name="Picture 811" descr="Graphical user interface&#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3657600" cy="2057400"/>
                    </a:xfrm>
                    <a:prstGeom prst="rect">
                      <a:avLst/>
                    </a:prstGeom>
                  </pic:spPr>
                </pic:pic>
              </a:graphicData>
            </a:graphic>
          </wp:inline>
        </w:drawing>
      </w:r>
    </w:p>
    <w:p w14:paraId="4425312E" w14:textId="77777777" w:rsidR="00AD081E" w:rsidRPr="00AD081E" w:rsidRDefault="00AD081E" w:rsidP="00AD081E">
      <w:pPr>
        <w:rPr>
          <w:rFonts w:eastAsia="Calibri"/>
        </w:rPr>
      </w:pPr>
      <w:r w:rsidRPr="00AD081E">
        <w:rPr>
          <w:rFonts w:eastAsia="Calibri"/>
          <w:b/>
        </w:rPr>
        <w:t>Add/Modify Route</w:t>
      </w:r>
      <w:r w:rsidRPr="00AD081E">
        <w:rPr>
          <w:rFonts w:eastAsia="Calibri"/>
          <w:b/>
        </w:rPr>
        <w:br/>
      </w:r>
      <w:r w:rsidRPr="00AD081E">
        <w:rPr>
          <w:rFonts w:eastAsia="Calibri"/>
        </w:rPr>
        <w:t xml:space="preserve">Using the drop down labeled </w:t>
      </w:r>
      <w:r w:rsidRPr="00AD081E">
        <w:rPr>
          <w:rFonts w:eastAsia="Calibri"/>
          <w:b/>
        </w:rPr>
        <w:t>From</w:t>
      </w:r>
      <w:r w:rsidRPr="00AD081E">
        <w:rPr>
          <w:rFonts w:eastAsia="Calibri"/>
        </w:rPr>
        <w:t xml:space="preserve">, select the first interface of the pair that is missing a route. Find the second interface of the pair in the list to the right. Check the </w:t>
      </w:r>
      <w:r w:rsidRPr="00AD081E">
        <w:rPr>
          <w:rFonts w:eastAsia="Calibri"/>
          <w:b/>
        </w:rPr>
        <w:t>To</w:t>
      </w:r>
      <w:r w:rsidRPr="00AD081E">
        <w:rPr>
          <w:rFonts w:eastAsia="Calibri"/>
        </w:rPr>
        <w:t xml:space="preserve"> box next to the second interface name (if it is not already checked), then check the </w:t>
      </w:r>
      <w:r w:rsidRPr="00AD081E">
        <w:rPr>
          <w:rFonts w:eastAsia="Calibri"/>
          <w:b/>
        </w:rPr>
        <w:t>Back To</w:t>
      </w:r>
      <w:r w:rsidRPr="00AD081E">
        <w:rPr>
          <w:rFonts w:eastAsia="Calibri"/>
        </w:rPr>
        <w:t xml:space="preserve"> box on the same line. (If the back route was previously defined, there will not be a </w:t>
      </w:r>
      <w:r w:rsidRPr="00AD081E">
        <w:rPr>
          <w:rFonts w:eastAsia="Calibri"/>
          <w:b/>
        </w:rPr>
        <w:t>Back To</w:t>
      </w:r>
      <w:r w:rsidRPr="00AD081E">
        <w:rPr>
          <w:rFonts w:eastAsia="Calibri"/>
        </w:rPr>
        <w:t xml:space="preserve"> box on the same line.) Click on the </w:t>
      </w:r>
      <w:r w:rsidRPr="00AD081E">
        <w:rPr>
          <w:rFonts w:eastAsia="Calibri"/>
          <w:b/>
        </w:rPr>
        <w:t>Apply</w:t>
      </w:r>
      <w:r w:rsidRPr="00AD081E">
        <w:rPr>
          <w:rFonts w:eastAsia="Calibri"/>
        </w:rPr>
        <w:t xml:space="preserve"> button at the bottom of the dialog.</w:t>
      </w:r>
    </w:p>
    <w:p w14:paraId="61DC9657" w14:textId="77777777" w:rsidR="00AD081E" w:rsidRPr="00AD081E" w:rsidRDefault="00AD081E" w:rsidP="00306174">
      <w:pPr>
        <w:pStyle w:val="Appendix6"/>
      </w:pPr>
      <w:r w:rsidRPr="00AD081E">
        <w:t>Delete Extra Routes (Optional)</w:t>
      </w:r>
    </w:p>
    <w:p w14:paraId="66805F45" w14:textId="77777777" w:rsidR="00AD081E" w:rsidRPr="00AD081E" w:rsidRDefault="00AD081E" w:rsidP="00AD081E">
      <w:pPr>
        <w:rPr>
          <w:rFonts w:eastAsia="Calibri"/>
        </w:rPr>
      </w:pPr>
      <w:r w:rsidRPr="00AD081E">
        <w:rPr>
          <w:rFonts w:eastAsia="Calibri"/>
        </w:rPr>
        <w:t xml:space="preserve">To avoid receiving TSN messages from non-participants, you may wish to delete any extra routes from participants to non-participants, or vice versa. To do this, select each extra route in turn on the </w:t>
      </w:r>
      <w:r w:rsidRPr="00AD081E">
        <w:rPr>
          <w:rFonts w:eastAsia="Calibri"/>
          <w:b/>
          <w:i/>
        </w:rPr>
        <w:t>Routes</w:t>
      </w:r>
      <w:r w:rsidRPr="00AD081E">
        <w:rPr>
          <w:rFonts w:eastAsia="Calibri"/>
        </w:rPr>
        <w:t xml:space="preserve"> tab, then click on the </w:t>
      </w:r>
      <w:r w:rsidRPr="00AD081E">
        <w:rPr>
          <w:rFonts w:eastAsia="Calibri"/>
          <w:b/>
        </w:rPr>
        <w:t>Delete</w:t>
      </w:r>
      <w:r w:rsidRPr="00AD081E">
        <w:rPr>
          <w:rFonts w:eastAsia="Calibri"/>
        </w:rPr>
        <w:t xml:space="preserve"> button.</w:t>
      </w:r>
    </w:p>
    <w:p w14:paraId="65D3C7D6" w14:textId="77777777" w:rsidR="00AD081E" w:rsidRPr="00AD081E" w:rsidRDefault="00AD081E" w:rsidP="00306174">
      <w:pPr>
        <w:pStyle w:val="Appendix6"/>
      </w:pPr>
      <w:r w:rsidRPr="00AD081E">
        <w:t>Save Your Changes</w:t>
      </w:r>
    </w:p>
    <w:p w14:paraId="08A63A8E"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 Configuration</w:t>
      </w:r>
      <w:r w:rsidRPr="00AD081E">
        <w:rPr>
          <w:rFonts w:eastAsia="Calibri"/>
        </w:rPr>
        <w:t>.</w:t>
      </w:r>
    </w:p>
    <w:p w14:paraId="6C211CF2" w14:textId="557D08E4" w:rsidR="00AD081E" w:rsidRPr="00AD081E" w:rsidRDefault="00AD081E" w:rsidP="00AD081E">
      <w:pPr>
        <w:rPr>
          <w:rFonts w:eastAsia="Calibri"/>
        </w:rPr>
      </w:pPr>
      <w:r w:rsidRPr="00AD081E">
        <w:rPr>
          <w:rFonts w:eastAsia="Calibri"/>
          <w:b/>
        </w:rPr>
        <w:t>Save Configuration</w:t>
      </w:r>
      <w:r w:rsidRPr="00AD081E">
        <w:rPr>
          <w:rFonts w:eastAsia="Calibri"/>
          <w:b/>
        </w:rPr>
        <w:br/>
      </w:r>
      <w:r w:rsidRPr="00AD081E">
        <w:rPr>
          <w:rFonts w:eastAsia="Calibri"/>
        </w:rPr>
        <w:t xml:space="preserve">Select an interface name from the list (the </w:t>
      </w:r>
      <w:r w:rsidR="007B3190" w:rsidRPr="00AD081E">
        <w:rPr>
          <w:rFonts w:eastAsia="Calibri"/>
        </w:rPr>
        <w:t>currently loaded</w:t>
      </w:r>
      <w:r w:rsidRPr="00AD081E">
        <w:rPr>
          <w:rFonts w:eastAsia="Calibri"/>
        </w:rPr>
        <w:t xml:space="preserve"> configuration is the one marked with </w:t>
      </w:r>
      <w:r w:rsidRPr="00AD081E">
        <w:rPr>
          <w:rFonts w:eastAsia="Calibri"/>
        </w:rPr>
        <w:lastRenderedPageBreak/>
        <w:t>an asterisk [</w:t>
      </w:r>
      <w:r w:rsidRPr="00AD081E">
        <w:rPr>
          <w:rFonts w:eastAsia="Calibri"/>
          <w:b/>
        </w:rPr>
        <w:t>*</w:t>
      </w:r>
      <w:r w:rsidRPr="00AD081E">
        <w:rPr>
          <w:rFonts w:eastAsia="Calibri"/>
        </w:rPr>
        <w:t>]</w:t>
      </w:r>
      <w:r w:rsidR="00F27FF3" w:rsidRPr="00AD081E">
        <w:rPr>
          <w:rFonts w:eastAsia="Calibri"/>
        </w:rPr>
        <w:t>) or</w:t>
      </w:r>
      <w:r w:rsidRPr="00AD081E">
        <w:rPr>
          <w:rFonts w:eastAsia="Calibri"/>
        </w:rPr>
        <w:t xml:space="preserve"> enter a new configuration name in the text entry area at the bottom of the dialog. Click on the </w:t>
      </w:r>
      <w:r w:rsidRPr="00AD081E">
        <w:rPr>
          <w:rFonts w:eastAsia="Calibri"/>
          <w:b/>
        </w:rPr>
        <w:t>OK</w:t>
      </w:r>
      <w:r w:rsidRPr="00AD081E">
        <w:rPr>
          <w:rFonts w:eastAsia="Calibri"/>
        </w:rPr>
        <w:t xml:space="preserve"> button.</w:t>
      </w:r>
    </w:p>
    <w:p w14:paraId="4D605511" w14:textId="77777777" w:rsidR="00AD081E" w:rsidRPr="00DB5EBF" w:rsidRDefault="00AD081E" w:rsidP="00306174">
      <w:pPr>
        <w:pStyle w:val="Appendix6"/>
      </w:pPr>
      <w:r w:rsidRPr="00AD081E">
        <w:t xml:space="preserve">Logout </w:t>
      </w:r>
      <w:r w:rsidRPr="00DB5EBF">
        <w:t>and Close</w:t>
      </w:r>
    </w:p>
    <w:p w14:paraId="03AC4F69"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Close the </w:t>
      </w:r>
      <w:r w:rsidRPr="00AD081E">
        <w:rPr>
          <w:rFonts w:eastAsia="Calibri"/>
          <w:i/>
        </w:rPr>
        <w:t>TSNIF</w:t>
      </w:r>
      <w:r w:rsidRPr="00AD081E">
        <w:rPr>
          <w:rFonts w:eastAsia="Calibri"/>
        </w:rPr>
        <w:t xml:space="preserve"> window.</w:t>
      </w:r>
    </w:p>
    <w:p w14:paraId="046F27A5" w14:textId="146E1E6E" w:rsidR="00AD081E" w:rsidRDefault="00AD081E" w:rsidP="00FE534B">
      <w:pPr>
        <w:pStyle w:val="Appendix5"/>
      </w:pPr>
      <w:bookmarkStart w:id="8311" w:name="_S-4.5.2.4__Configure"/>
      <w:bookmarkEnd w:id="8311"/>
      <w:r w:rsidRPr="00AD081E">
        <w:t>Configure ACA TSNIF Interfaces and Routes</w:t>
      </w:r>
      <w:r w:rsidR="00DB5EBF">
        <w:t xml:space="preserve"> </w:t>
      </w:r>
    </w:p>
    <w:p w14:paraId="375096C5" w14:textId="77777777" w:rsidR="00AD081E" w:rsidRPr="00AD081E" w:rsidRDefault="00AD081E" w:rsidP="00306174">
      <w:pPr>
        <w:pStyle w:val="Appendix6"/>
      </w:pPr>
      <w:r w:rsidRPr="00AD081E">
        <w:t xml:space="preserve">Determine Scope of </w:t>
      </w:r>
      <w:r w:rsidRPr="003E7156">
        <w:t>Changes</w:t>
      </w:r>
    </w:p>
    <w:p w14:paraId="29B4D564" w14:textId="77777777" w:rsidR="00AD081E" w:rsidRPr="00AD081E" w:rsidRDefault="00AD081E" w:rsidP="00AD081E">
      <w:pPr>
        <w:rPr>
          <w:rFonts w:eastAsia="Calibri"/>
        </w:rPr>
      </w:pPr>
      <w:r w:rsidRPr="00AD081E">
        <w:rPr>
          <w:rFonts w:eastAsia="Calibri"/>
        </w:rPr>
        <w:t>From Windows, start the TSN ACA tool.</w:t>
      </w:r>
    </w:p>
    <w:p w14:paraId="196B1E4B"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At the bottom of the window, check the IP address labeled </w:t>
      </w:r>
      <w:r w:rsidRPr="00AD081E">
        <w:rPr>
          <w:rFonts w:eastAsia="Calibri"/>
          <w:b/>
        </w:rPr>
        <w:t>Server</w:t>
      </w:r>
      <w:r w:rsidRPr="00AD081E">
        <w:rPr>
          <w:rFonts w:eastAsia="Calibri"/>
        </w:rPr>
        <w:t xml:space="preserve"> against the IP address for your TCIP.</w:t>
      </w:r>
    </w:p>
    <w:p w14:paraId="3D75E93B" w14:textId="38CAFA88" w:rsidR="00AD081E" w:rsidRPr="00AD081E" w:rsidRDefault="00AD081E" w:rsidP="00AD081E">
      <w:pPr>
        <w:rPr>
          <w:rFonts w:eastAsia="Calibri"/>
        </w:rPr>
      </w:pPr>
      <w:r w:rsidRPr="00AD081E">
        <w:rPr>
          <w:rFonts w:eastAsia="Calibri"/>
        </w:rPr>
        <w:t xml:space="preserve">If the IP addresses differ, you will have to change TSNIF to point to the correct server before proceeding. First, login as administrator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To change servers,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TCIP Server</w:t>
      </w:r>
      <w:r w:rsidRPr="00AD081E">
        <w:rPr>
          <w:rFonts w:eastAsia="Calibri"/>
        </w:rPr>
        <w:t xml:space="preserve"> from the menu. In the dialog that appears select the radio button to the left of your TCIP’s IP address (if it’s in the list) or select the radio button next to the blank text entry field and enter the TCIP’s IP address into the text field. Click on the </w:t>
      </w:r>
      <w:r w:rsidRPr="00AD081E">
        <w:rPr>
          <w:rFonts w:eastAsia="Calibri"/>
          <w:b/>
        </w:rPr>
        <w:t>Connect</w:t>
      </w:r>
      <w:r w:rsidRPr="00AD081E">
        <w:rPr>
          <w:rFonts w:eastAsia="Calibri"/>
        </w:rPr>
        <w:t xml:space="preserve"> button.</w:t>
      </w:r>
    </w:p>
    <w:p w14:paraId="6F8148EF" w14:textId="5DF9F5DE" w:rsidR="00AD081E" w:rsidRPr="00AD081E" w:rsidRDefault="00AD081E" w:rsidP="00AD081E">
      <w:pPr>
        <w:rPr>
          <w:rFonts w:eastAsia="Calibri"/>
        </w:rPr>
      </w:pPr>
      <w:r w:rsidRPr="00AD081E">
        <w:rPr>
          <w:rFonts w:eastAsia="Calibri"/>
        </w:rPr>
        <w:t xml:space="preserve">If you have a </w:t>
      </w:r>
      <w:r w:rsidR="00585EAF" w:rsidRPr="00AD081E">
        <w:rPr>
          <w:rFonts w:eastAsia="Calibri"/>
        </w:rPr>
        <w:t>previously saved</w:t>
      </w:r>
      <w:r w:rsidRPr="00AD081E">
        <w:rPr>
          <w:rFonts w:eastAsia="Calibri"/>
        </w:rPr>
        <w:t xml:space="preserve"> TSNIF configuration that is close to what you need, load it now. First login as TSNIF administrator if you haven’t already.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Load Configuration</w:t>
      </w:r>
      <w:r w:rsidRPr="00AD081E">
        <w:rPr>
          <w:rFonts w:eastAsia="Calibri"/>
        </w:rPr>
        <w:t xml:space="preserve">. In the dialog that appears, select your configuration, then click the </w:t>
      </w:r>
      <w:r w:rsidRPr="00AD081E">
        <w:rPr>
          <w:rFonts w:eastAsia="Calibri"/>
          <w:b/>
        </w:rPr>
        <w:t>OK</w:t>
      </w:r>
      <w:r w:rsidRPr="00AD081E">
        <w:rPr>
          <w:rFonts w:eastAsia="Calibri"/>
        </w:rPr>
        <w:t xml:space="preserve"> button.</w:t>
      </w:r>
    </w:p>
    <w:p w14:paraId="4DD7E41F" w14:textId="77777777" w:rsidR="00AD081E" w:rsidRPr="00AD081E" w:rsidRDefault="00AD081E" w:rsidP="00AD081E">
      <w:pPr>
        <w:tabs>
          <w:tab w:val="left" w:pos="720"/>
        </w:tabs>
        <w:jc w:val="center"/>
      </w:pPr>
      <w:r w:rsidRPr="00AD081E">
        <w:rPr>
          <w:noProof/>
        </w:rPr>
        <w:lastRenderedPageBreak/>
        <w:drawing>
          <wp:inline distT="0" distB="0" distL="0" distR="0" wp14:anchorId="29D44651" wp14:editId="3AA68DA8">
            <wp:extent cx="3836231" cy="3537857"/>
            <wp:effectExtent l="0" t="0" r="0" b="0"/>
            <wp:docPr id="815" name="Picture 8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Picture 815"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857731" cy="3557685"/>
                    </a:xfrm>
                    <a:prstGeom prst="rect">
                      <a:avLst/>
                    </a:prstGeom>
                  </pic:spPr>
                </pic:pic>
              </a:graphicData>
            </a:graphic>
          </wp:inline>
        </w:drawing>
      </w:r>
    </w:p>
    <w:p w14:paraId="6E57574B"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Interfaces</w:t>
      </w:r>
      <w:r w:rsidRPr="00AD081E">
        <w:rPr>
          <w:rFonts w:eastAsia="Calibri"/>
        </w:rPr>
        <w:t xml:space="preserve"> tab. Verify that, for the TSRT’s TED node, there are two enabled interfaces defined with the correct IP address and an interface type of TSN TCP, one for port 9609 and one for port 9610. For each matching interface, note the interface name. Note any missing interfaces as you will have to create these soon.</w:t>
      </w:r>
    </w:p>
    <w:p w14:paraId="27BCD6E0" w14:textId="77777777" w:rsidR="00AD081E" w:rsidRPr="00AD081E" w:rsidRDefault="00AD081E" w:rsidP="00AD081E">
      <w:pPr>
        <w:tabs>
          <w:tab w:val="left" w:pos="720"/>
        </w:tabs>
        <w:jc w:val="center"/>
      </w:pPr>
      <w:r w:rsidRPr="00AD081E">
        <w:rPr>
          <w:noProof/>
        </w:rPr>
        <w:drawing>
          <wp:inline distT="0" distB="0" distL="0" distR="0" wp14:anchorId="715429E8" wp14:editId="71FD0AFC">
            <wp:extent cx="3869493" cy="3569607"/>
            <wp:effectExtent l="0" t="0" r="0" b="0"/>
            <wp:docPr id="816" name="Picture 816"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Picture 816" descr="Graphical user interface, application, tabl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898608" cy="3596466"/>
                    </a:xfrm>
                    <a:prstGeom prst="rect">
                      <a:avLst/>
                    </a:prstGeom>
                  </pic:spPr>
                </pic:pic>
              </a:graphicData>
            </a:graphic>
          </wp:inline>
        </w:drawing>
      </w:r>
    </w:p>
    <w:p w14:paraId="128C2851" w14:textId="77777777" w:rsidR="00AD081E" w:rsidRPr="00AD081E" w:rsidRDefault="00AD081E" w:rsidP="00AD081E">
      <w:pPr>
        <w:rPr>
          <w:rFonts w:eastAsia="Calibri"/>
        </w:rPr>
      </w:pPr>
      <w:r w:rsidRPr="00AD081E">
        <w:rPr>
          <w:rFonts w:eastAsia="Calibri"/>
        </w:rPr>
        <w:lastRenderedPageBreak/>
        <w:t xml:space="preserve">Click on the </w:t>
      </w:r>
      <w:r w:rsidRPr="00AD081E">
        <w:rPr>
          <w:rFonts w:eastAsia="Calibri"/>
          <w:b/>
          <w:i/>
        </w:rPr>
        <w:t>Routes</w:t>
      </w:r>
      <w:r w:rsidRPr="00AD081E">
        <w:rPr>
          <w:rFonts w:eastAsia="Calibri"/>
        </w:rPr>
        <w:t xml:space="preserve"> tab, then click on the </w:t>
      </w:r>
      <w:r w:rsidRPr="00AD081E">
        <w:rPr>
          <w:rFonts w:eastAsia="Calibri"/>
          <w:b/>
        </w:rPr>
        <w:t>Source</w:t>
      </w:r>
      <w:r w:rsidRPr="00AD081E">
        <w:rPr>
          <w:rFonts w:eastAsia="Calibri"/>
        </w:rPr>
        <w:t xml:space="preserve"> column head to sort the list by source interface name. Verify that for the two interfaces, there is a route from the first to the second, and another route from the second back to the first. Note any missing routes, as you will have to create these soon. Also note any extra routes (with non-participants at one end), as you may wish to delete these.</w:t>
      </w:r>
    </w:p>
    <w:p w14:paraId="25F37635" w14:textId="36F7A233" w:rsidR="00AD081E" w:rsidRPr="00AD081E" w:rsidRDefault="00AD081E" w:rsidP="00AD081E">
      <w:pPr>
        <w:rPr>
          <w:rFonts w:eastAsia="Calibri"/>
        </w:rPr>
      </w:pPr>
      <w:r w:rsidRPr="00AD081E">
        <w:rPr>
          <w:rFonts w:eastAsia="Calibri"/>
        </w:rPr>
        <w:t xml:space="preserve">If both interfaces are enabled and correctly defined, and there are routes back and forth between the interfaces, there’s nothing further to do for TSN ACA configuration. If you logged in as administrator, logout now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from the menu and close the TSNIF tool. Skip to </w:t>
      </w:r>
      <w:r w:rsidRPr="00AD081E">
        <w:t xml:space="preserve">configuring the TDM </w:t>
      </w:r>
      <w:r w:rsidRPr="00AD081E">
        <w:rPr>
          <w:rFonts w:eastAsia="Calibri"/>
        </w:rPr>
        <w:t>Distribution Agent</w:t>
      </w:r>
      <w:r w:rsidRPr="00AD081E">
        <w:t xml:space="preserve"> Communications (see </w:t>
      </w:r>
      <w:hyperlink w:anchor="Configure_TDM_Distribution_Agent_Communi" w:history="1">
        <w:r w:rsidRPr="00AD081E">
          <w:rPr>
            <w:rFonts w:eastAsia="Calibri"/>
            <w:color w:val="0000FF"/>
            <w:u w:val="single"/>
          </w:rPr>
          <w:t>Section R.4.5.2.5</w:t>
        </w:r>
      </w:hyperlink>
      <w:r w:rsidR="00550B73">
        <w:rPr>
          <w:rFonts w:eastAsia="Calibri"/>
        </w:rPr>
        <w:t>).</w:t>
      </w:r>
    </w:p>
    <w:p w14:paraId="080A8D60" w14:textId="77777777" w:rsidR="00AD081E" w:rsidRPr="00AD081E" w:rsidRDefault="00AD081E" w:rsidP="00AD081E">
      <w:pPr>
        <w:rPr>
          <w:rFonts w:eastAsia="Calibri"/>
        </w:rPr>
      </w:pPr>
      <w:r w:rsidRPr="00AD081E">
        <w:rPr>
          <w:rFonts w:eastAsia="Calibri"/>
        </w:rPr>
        <w:t>Otherwise, keep going.</w:t>
      </w:r>
    </w:p>
    <w:p w14:paraId="17DE3F3E" w14:textId="77777777" w:rsidR="00AD081E" w:rsidRPr="00AD081E" w:rsidRDefault="00AD081E" w:rsidP="00306174">
      <w:pPr>
        <w:pStyle w:val="Appendix6"/>
      </w:pPr>
      <w:r w:rsidRPr="00AD081E">
        <w:t>Login as Administrator</w:t>
      </w:r>
    </w:p>
    <w:p w14:paraId="442CFD2C" w14:textId="595A23E8"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If you did not previously log in as TSNIF administrator (to change the TCIP server or load a TSNIF configuration), log in as administrator now.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w:t>
      </w:r>
    </w:p>
    <w:p w14:paraId="0CF95E0C" w14:textId="77777777" w:rsidR="00AD081E" w:rsidRPr="00AD081E" w:rsidRDefault="00AD081E" w:rsidP="00306174">
      <w:pPr>
        <w:pStyle w:val="Appendix6"/>
      </w:pPr>
      <w:r w:rsidRPr="00AD081E">
        <w:t>Correct Disabled Interfaces</w:t>
      </w:r>
    </w:p>
    <w:p w14:paraId="5599BCC3" w14:textId="77777777" w:rsidR="00AD081E" w:rsidRPr="00AD081E" w:rsidRDefault="00AD081E" w:rsidP="00AD081E">
      <w:pPr>
        <w:rPr>
          <w:rFonts w:eastAsia="Calibri"/>
        </w:rPr>
      </w:pPr>
      <w:r w:rsidRPr="00AD081E">
        <w:rPr>
          <w:rFonts w:eastAsia="Calibri"/>
        </w:rPr>
        <w:t>If there are interfaces with the correct IP address and port that are disabled, correct them as follows:</w:t>
      </w:r>
    </w:p>
    <w:p w14:paraId="05EB6CD8"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Select the interface in the list. Click on the </w:t>
      </w:r>
      <w:r w:rsidRPr="00AD081E">
        <w:rPr>
          <w:rFonts w:eastAsia="Calibri"/>
          <w:b/>
        </w:rPr>
        <w:t>Modify</w:t>
      </w:r>
      <w:r w:rsidRPr="00AD081E">
        <w:rPr>
          <w:rFonts w:eastAsia="Calibri"/>
        </w:rPr>
        <w:t xml:space="preserve"> button at the bottom of the tab. In the dialog that appears, ensure that the </w:t>
      </w:r>
      <w:r w:rsidRPr="00AD081E">
        <w:rPr>
          <w:rFonts w:eastAsia="Calibri"/>
          <w:b/>
        </w:rPr>
        <w:t>Enabled</w:t>
      </w:r>
      <w:r w:rsidRPr="00AD081E">
        <w:rPr>
          <w:rFonts w:eastAsia="Calibri"/>
        </w:rPr>
        <w:t xml:space="preserve"> radio button is selected. Click on the </w:t>
      </w:r>
      <w:r w:rsidRPr="00AD081E">
        <w:rPr>
          <w:rFonts w:eastAsia="Calibri"/>
          <w:b/>
        </w:rPr>
        <w:t>Apply</w:t>
      </w:r>
      <w:r w:rsidRPr="00AD081E">
        <w:rPr>
          <w:rFonts w:eastAsia="Calibri"/>
        </w:rPr>
        <w:t xml:space="preserve"> button at the bottom of the dialog.</w:t>
      </w:r>
    </w:p>
    <w:p w14:paraId="33BB5271" w14:textId="77777777" w:rsidR="00AD081E" w:rsidRPr="00AD081E" w:rsidRDefault="00AD081E" w:rsidP="00306174">
      <w:pPr>
        <w:pStyle w:val="Appendix6"/>
      </w:pPr>
      <w:r w:rsidRPr="00AD081E">
        <w:t>Add Missing Interfaces</w:t>
      </w:r>
    </w:p>
    <w:p w14:paraId="345686D4" w14:textId="77777777" w:rsidR="00AD081E" w:rsidRPr="00AD081E" w:rsidRDefault="00AD081E" w:rsidP="00AD081E">
      <w:pPr>
        <w:rPr>
          <w:rFonts w:eastAsia="Calibri"/>
        </w:rPr>
      </w:pPr>
      <w:r w:rsidRPr="00AD081E">
        <w:rPr>
          <w:rFonts w:eastAsia="Calibri"/>
        </w:rPr>
        <w:t>If there were not two interfaces with the correct IP address and port numbers, create the missing interface(s) as follows:</w:t>
      </w:r>
    </w:p>
    <w:p w14:paraId="767F3B52"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0A139D7F" w14:textId="77777777" w:rsidR="00AD081E" w:rsidRPr="00AD081E" w:rsidRDefault="00AD081E" w:rsidP="00AD081E">
      <w:pPr>
        <w:rPr>
          <w:rFonts w:eastAsia="Calibri"/>
        </w:rPr>
      </w:pPr>
      <w:r w:rsidRPr="00AD081E">
        <w:rPr>
          <w:rFonts w:eastAsia="Calibri"/>
          <w:b/>
        </w:rPr>
        <w:t>Select Interface Type</w:t>
      </w:r>
      <w:r w:rsidRPr="00AD081E">
        <w:rPr>
          <w:rFonts w:eastAsia="Calibri"/>
          <w:b/>
        </w:rPr>
        <w:br/>
      </w:r>
      <w:r w:rsidRPr="00AD081E">
        <w:rPr>
          <w:rFonts w:eastAsia="Calibri"/>
        </w:rPr>
        <w:t xml:space="preserve">Select the TSN TCP interface type from the list. Click on the </w:t>
      </w:r>
      <w:r w:rsidRPr="00AD081E">
        <w:rPr>
          <w:rFonts w:eastAsia="Calibri"/>
          <w:b/>
        </w:rPr>
        <w:t>OK</w:t>
      </w:r>
      <w:r w:rsidRPr="00AD081E">
        <w:rPr>
          <w:rFonts w:eastAsia="Calibri"/>
        </w:rPr>
        <w:t xml:space="preserve"> button.</w:t>
      </w:r>
    </w:p>
    <w:p w14:paraId="2D8DC969" w14:textId="77777777" w:rsidR="00AD081E" w:rsidRPr="00AD081E" w:rsidRDefault="00AD081E" w:rsidP="00AD081E">
      <w:pPr>
        <w:rPr>
          <w:rFonts w:eastAsia="Calibri"/>
        </w:rPr>
      </w:pPr>
      <w:r w:rsidRPr="00AD081E">
        <w:rPr>
          <w:rFonts w:eastAsia="Calibri"/>
          <w:b/>
        </w:rPr>
        <w:t>TSN TCP</w:t>
      </w:r>
      <w:r w:rsidRPr="00AD081E">
        <w:rPr>
          <w:rFonts w:eastAsia="Calibri"/>
        </w:rPr>
        <w:br/>
        <w:t xml:space="preserve">Enter a name for the interface. Select the </w:t>
      </w:r>
      <w:r w:rsidRPr="00AD081E">
        <w:rPr>
          <w:rFonts w:eastAsia="Calibri"/>
          <w:b/>
        </w:rPr>
        <w:t>Enabled</w:t>
      </w:r>
      <w:r w:rsidRPr="00AD081E">
        <w:rPr>
          <w:rFonts w:eastAsia="Calibri"/>
        </w:rPr>
        <w:t xml:space="preserve"> radio button. In the </w:t>
      </w:r>
      <w:r w:rsidRPr="00AD081E">
        <w:rPr>
          <w:rFonts w:eastAsia="Calibri"/>
          <w:b/>
        </w:rPr>
        <w:t>Internet Address</w:t>
      </w:r>
      <w:r w:rsidRPr="00AD081E">
        <w:rPr>
          <w:rFonts w:eastAsia="Calibri"/>
        </w:rPr>
        <w:t xml:space="preserve"> area, enter the IP address of the TSRT’s TED node (the four IP address components are each entered into a separate text area; you can tab from one to the next as you enter). If the </w:t>
      </w:r>
      <w:r w:rsidRPr="00AD081E">
        <w:rPr>
          <w:rFonts w:eastAsia="Calibri"/>
          <w:b/>
        </w:rPr>
        <w:t>Service Port ID</w:t>
      </w:r>
      <w:r w:rsidRPr="00AD081E">
        <w:rPr>
          <w:rFonts w:eastAsia="Calibri"/>
        </w:rPr>
        <w:t xml:space="preserve"> is not the correct port number, select the correct port number from the drop down.</w:t>
      </w:r>
    </w:p>
    <w:p w14:paraId="3374846E"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rPr>
        <w:t>Apply</w:t>
      </w:r>
      <w:r w:rsidRPr="00AD081E">
        <w:rPr>
          <w:rFonts w:eastAsia="Calibri"/>
        </w:rPr>
        <w:t xml:space="preserve"> button at the bottom of the dialog to create the interface.</w:t>
      </w:r>
    </w:p>
    <w:p w14:paraId="18094E26" w14:textId="77777777" w:rsidR="00AD081E" w:rsidRPr="00AD081E" w:rsidRDefault="00AD081E" w:rsidP="00AD081E">
      <w:pPr>
        <w:tabs>
          <w:tab w:val="left" w:pos="720"/>
        </w:tabs>
        <w:jc w:val="center"/>
      </w:pPr>
      <w:r w:rsidRPr="00AD081E">
        <w:rPr>
          <w:rFonts w:ascii="Calibri" w:eastAsia="Calibri" w:hAnsi="Calibri"/>
          <w:noProof/>
          <w:sz w:val="22"/>
          <w:szCs w:val="22"/>
        </w:rPr>
        <w:lastRenderedPageBreak/>
        <w:drawing>
          <wp:inline distT="0" distB="0" distL="0" distR="0" wp14:anchorId="475DC69F" wp14:editId="0A2251E5">
            <wp:extent cx="2286000" cy="1097280"/>
            <wp:effectExtent l="0" t="0" r="0" b="7620"/>
            <wp:docPr id="817" name="Picture 8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Picture 817"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286000" cy="1097280"/>
                    </a:xfrm>
                    <a:prstGeom prst="rect">
                      <a:avLst/>
                    </a:prstGeom>
                  </pic:spPr>
                </pic:pic>
              </a:graphicData>
            </a:graphic>
          </wp:inline>
        </w:drawing>
      </w:r>
      <w:r w:rsidRPr="00AD081E">
        <w:rPr>
          <w:rFonts w:ascii="Calibri" w:eastAsia="Calibri" w:hAnsi="Calibri"/>
          <w:noProof/>
          <w:sz w:val="22"/>
          <w:szCs w:val="22"/>
        </w:rPr>
        <w:t xml:space="preserve">  </w:t>
      </w:r>
      <w:r w:rsidRPr="00AD081E">
        <w:rPr>
          <w:noProof/>
        </w:rPr>
        <w:drawing>
          <wp:inline distT="0" distB="0" distL="0" distR="0" wp14:anchorId="66385D05" wp14:editId="603E3F13">
            <wp:extent cx="1828800" cy="1508760"/>
            <wp:effectExtent l="0" t="0" r="0" b="0"/>
            <wp:docPr id="826" name="Picture 82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 name="Picture 826" descr="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1828800" cy="1508760"/>
                    </a:xfrm>
                    <a:prstGeom prst="rect">
                      <a:avLst/>
                    </a:prstGeom>
                  </pic:spPr>
                </pic:pic>
              </a:graphicData>
            </a:graphic>
          </wp:inline>
        </w:drawing>
      </w:r>
    </w:p>
    <w:p w14:paraId="3807C7A5" w14:textId="77777777" w:rsidR="00AD081E" w:rsidRPr="00AD081E" w:rsidRDefault="00AD081E" w:rsidP="00306174">
      <w:pPr>
        <w:pStyle w:val="Appendix6"/>
      </w:pPr>
      <w:r w:rsidRPr="00AD081E">
        <w:t>Add Missing Routes</w:t>
      </w:r>
    </w:p>
    <w:p w14:paraId="1D82D57E" w14:textId="77777777" w:rsidR="00AD081E" w:rsidRPr="00AD081E" w:rsidRDefault="00AD081E" w:rsidP="00AD081E">
      <w:pPr>
        <w:keepNext/>
        <w:rPr>
          <w:rFonts w:eastAsia="Calibri"/>
        </w:rPr>
      </w:pPr>
      <w:r w:rsidRPr="00AD081E">
        <w:rPr>
          <w:rFonts w:eastAsia="Calibri"/>
        </w:rPr>
        <w:t>If the pair of ports is without routes both back and forth, add routes as follows:</w:t>
      </w:r>
    </w:p>
    <w:p w14:paraId="3F45005D"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Routes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552BD576" w14:textId="77777777" w:rsidR="00AD081E" w:rsidRPr="00AD081E" w:rsidRDefault="00AD081E" w:rsidP="00AD081E">
      <w:pPr>
        <w:tabs>
          <w:tab w:val="left" w:pos="720"/>
        </w:tabs>
        <w:jc w:val="center"/>
      </w:pPr>
      <w:r w:rsidRPr="00AD081E">
        <w:rPr>
          <w:noProof/>
        </w:rPr>
        <w:drawing>
          <wp:inline distT="0" distB="0" distL="0" distR="0" wp14:anchorId="3B4E184D" wp14:editId="4F06B715">
            <wp:extent cx="2743200" cy="1545336"/>
            <wp:effectExtent l="0" t="0" r="0" b="0"/>
            <wp:docPr id="844" name="Picture 84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 name="Picture 844"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743200" cy="1545336"/>
                    </a:xfrm>
                    <a:prstGeom prst="rect">
                      <a:avLst/>
                    </a:prstGeom>
                  </pic:spPr>
                </pic:pic>
              </a:graphicData>
            </a:graphic>
          </wp:inline>
        </w:drawing>
      </w:r>
    </w:p>
    <w:p w14:paraId="0DA8FC5E" w14:textId="77777777" w:rsidR="00AD081E" w:rsidRPr="00AD081E" w:rsidRDefault="00AD081E" w:rsidP="00AD081E">
      <w:pPr>
        <w:rPr>
          <w:rFonts w:eastAsia="Calibri"/>
        </w:rPr>
      </w:pPr>
      <w:r w:rsidRPr="00AD081E">
        <w:rPr>
          <w:rFonts w:eastAsia="Calibri"/>
          <w:b/>
        </w:rPr>
        <w:t>Add/Modify Route</w:t>
      </w:r>
      <w:r w:rsidRPr="00AD081E">
        <w:rPr>
          <w:rFonts w:eastAsia="Calibri"/>
          <w:b/>
        </w:rPr>
        <w:br/>
      </w:r>
      <w:r w:rsidRPr="00AD081E">
        <w:rPr>
          <w:rFonts w:eastAsia="Calibri"/>
        </w:rPr>
        <w:t xml:space="preserve">Using the drop down labeled </w:t>
      </w:r>
      <w:r w:rsidRPr="00AD081E">
        <w:rPr>
          <w:rFonts w:eastAsia="Calibri"/>
          <w:b/>
        </w:rPr>
        <w:t>From</w:t>
      </w:r>
      <w:r w:rsidRPr="00AD081E">
        <w:rPr>
          <w:rFonts w:eastAsia="Calibri"/>
        </w:rPr>
        <w:t xml:space="preserve">, select the first interface of the pair that is missing a route. Find the second interface of the pair in the list to the right. Check the </w:t>
      </w:r>
      <w:r w:rsidRPr="00AD081E">
        <w:rPr>
          <w:rFonts w:eastAsia="Calibri"/>
          <w:b/>
        </w:rPr>
        <w:t>To</w:t>
      </w:r>
      <w:r w:rsidRPr="00AD081E">
        <w:rPr>
          <w:rFonts w:eastAsia="Calibri"/>
        </w:rPr>
        <w:t xml:space="preserve"> box next to the second interface name (if it is not already checked), then check the </w:t>
      </w:r>
      <w:r w:rsidRPr="00AD081E">
        <w:rPr>
          <w:rFonts w:eastAsia="Calibri"/>
          <w:b/>
        </w:rPr>
        <w:t>Back To</w:t>
      </w:r>
      <w:r w:rsidRPr="00AD081E">
        <w:rPr>
          <w:rFonts w:eastAsia="Calibri"/>
        </w:rPr>
        <w:t xml:space="preserve"> box on the same line. (If the back route was previously defined, there will not be a </w:t>
      </w:r>
      <w:r w:rsidRPr="00AD081E">
        <w:rPr>
          <w:rFonts w:eastAsia="Calibri"/>
          <w:b/>
        </w:rPr>
        <w:t>Back To</w:t>
      </w:r>
      <w:r w:rsidRPr="00AD081E">
        <w:rPr>
          <w:rFonts w:eastAsia="Calibri"/>
        </w:rPr>
        <w:t xml:space="preserve"> box on the same line.) Click on the </w:t>
      </w:r>
      <w:r w:rsidRPr="00AD081E">
        <w:rPr>
          <w:rFonts w:eastAsia="Calibri"/>
          <w:b/>
        </w:rPr>
        <w:t>Apply</w:t>
      </w:r>
      <w:r w:rsidRPr="00AD081E">
        <w:rPr>
          <w:rFonts w:eastAsia="Calibri"/>
        </w:rPr>
        <w:t xml:space="preserve"> button at the bottom of the dialog.</w:t>
      </w:r>
    </w:p>
    <w:p w14:paraId="26E6563A" w14:textId="77777777" w:rsidR="00AD081E" w:rsidRPr="00AD081E" w:rsidRDefault="00AD081E" w:rsidP="00306174">
      <w:pPr>
        <w:pStyle w:val="Appendix6"/>
      </w:pPr>
      <w:r w:rsidRPr="00AD081E">
        <w:t>Delete Extra Routes (Optional)</w:t>
      </w:r>
    </w:p>
    <w:p w14:paraId="6D86ABC3" w14:textId="77777777" w:rsidR="00AD081E" w:rsidRPr="00AD081E" w:rsidRDefault="00AD081E" w:rsidP="00AD081E">
      <w:pPr>
        <w:rPr>
          <w:rFonts w:eastAsia="Calibri"/>
        </w:rPr>
      </w:pPr>
      <w:r w:rsidRPr="00AD081E">
        <w:rPr>
          <w:rFonts w:eastAsia="Calibri"/>
        </w:rPr>
        <w:t xml:space="preserve">To avoid receiving TSN messages from non-participants, you may wish to delete any extra routes from participants to non-participants, or vice versa. To do this, select each extra route in turn on the </w:t>
      </w:r>
      <w:r w:rsidRPr="00AD081E">
        <w:rPr>
          <w:rFonts w:eastAsia="Calibri"/>
          <w:b/>
          <w:i/>
        </w:rPr>
        <w:t>Routes</w:t>
      </w:r>
      <w:r w:rsidRPr="00AD081E">
        <w:rPr>
          <w:rFonts w:eastAsia="Calibri"/>
        </w:rPr>
        <w:t xml:space="preserve"> tab, then click on the </w:t>
      </w:r>
      <w:r w:rsidRPr="00AD081E">
        <w:rPr>
          <w:rFonts w:eastAsia="Calibri"/>
          <w:b/>
        </w:rPr>
        <w:t>Delete</w:t>
      </w:r>
      <w:r w:rsidRPr="00AD081E">
        <w:rPr>
          <w:rFonts w:eastAsia="Calibri"/>
        </w:rPr>
        <w:t xml:space="preserve"> button.</w:t>
      </w:r>
    </w:p>
    <w:p w14:paraId="6278369F" w14:textId="77777777" w:rsidR="00AD081E" w:rsidRPr="00AD081E" w:rsidRDefault="00AD081E" w:rsidP="00306174">
      <w:pPr>
        <w:pStyle w:val="Appendix6"/>
      </w:pPr>
      <w:r w:rsidRPr="00AD081E">
        <w:t xml:space="preserve">Save Your </w:t>
      </w:r>
      <w:r w:rsidRPr="003E7156">
        <w:t>Changes</w:t>
      </w:r>
    </w:p>
    <w:p w14:paraId="38D4696C"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 Configuration</w:t>
      </w:r>
      <w:r w:rsidRPr="00AD081E">
        <w:rPr>
          <w:rFonts w:eastAsia="Calibri"/>
        </w:rPr>
        <w:t>.</w:t>
      </w:r>
    </w:p>
    <w:p w14:paraId="47DD3125" w14:textId="6053F691" w:rsidR="00AD081E" w:rsidRPr="00AD081E" w:rsidRDefault="00AD081E" w:rsidP="00AD081E">
      <w:pPr>
        <w:rPr>
          <w:rFonts w:eastAsia="Calibri"/>
        </w:rPr>
      </w:pPr>
      <w:r w:rsidRPr="00AD081E">
        <w:rPr>
          <w:rFonts w:eastAsia="Calibri"/>
          <w:b/>
        </w:rPr>
        <w:t>Save Configuration</w:t>
      </w:r>
      <w:r w:rsidRPr="00AD081E">
        <w:rPr>
          <w:rFonts w:eastAsia="Calibri"/>
          <w:b/>
        </w:rPr>
        <w:br/>
      </w:r>
      <w:r w:rsidRPr="00AD081E">
        <w:rPr>
          <w:rFonts w:eastAsia="Calibri"/>
        </w:rPr>
        <w:t xml:space="preserve">Select an interface name from the list (the </w:t>
      </w:r>
      <w:r w:rsidR="00585EAF" w:rsidRPr="00AD081E">
        <w:rPr>
          <w:rFonts w:eastAsia="Calibri"/>
        </w:rPr>
        <w:t>currently loaded</w:t>
      </w:r>
      <w:r w:rsidRPr="00AD081E">
        <w:rPr>
          <w:rFonts w:eastAsia="Calibri"/>
        </w:rPr>
        <w:t xml:space="preserve"> configuration is the one marked with an asterisk [</w:t>
      </w:r>
      <w:r w:rsidRPr="00AD081E">
        <w:rPr>
          <w:rFonts w:eastAsia="Calibri"/>
          <w:b/>
        </w:rPr>
        <w:t>*</w:t>
      </w:r>
      <w:r w:rsidRPr="00AD081E">
        <w:rPr>
          <w:rFonts w:eastAsia="Calibri"/>
        </w:rPr>
        <w:t>]</w:t>
      </w:r>
      <w:r w:rsidR="00F27FF3" w:rsidRPr="00AD081E">
        <w:rPr>
          <w:rFonts w:eastAsia="Calibri"/>
        </w:rPr>
        <w:t>) or</w:t>
      </w:r>
      <w:r w:rsidRPr="00AD081E">
        <w:rPr>
          <w:rFonts w:eastAsia="Calibri"/>
        </w:rPr>
        <w:t xml:space="preserve"> enter a new configuration name in the text entry area at the bottom of the dialog. Click on the </w:t>
      </w:r>
      <w:r w:rsidRPr="00AD081E">
        <w:rPr>
          <w:rFonts w:eastAsia="Calibri"/>
          <w:b/>
        </w:rPr>
        <w:t>OK</w:t>
      </w:r>
      <w:r w:rsidRPr="00AD081E">
        <w:rPr>
          <w:rFonts w:eastAsia="Calibri"/>
        </w:rPr>
        <w:t xml:space="preserve"> button.</w:t>
      </w:r>
    </w:p>
    <w:p w14:paraId="0BB33B46" w14:textId="77777777" w:rsidR="00AD081E" w:rsidRPr="00AD081E" w:rsidRDefault="00AD081E" w:rsidP="00306174">
      <w:pPr>
        <w:pStyle w:val="Appendix6"/>
      </w:pPr>
      <w:r w:rsidRPr="00AD081E">
        <w:lastRenderedPageBreak/>
        <w:t>Logout and Close</w:t>
      </w:r>
    </w:p>
    <w:p w14:paraId="75F5B64E"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Close the </w:t>
      </w:r>
      <w:r w:rsidRPr="00AD081E">
        <w:rPr>
          <w:rFonts w:eastAsia="Calibri"/>
          <w:i/>
        </w:rPr>
        <w:t>TSNIF</w:t>
      </w:r>
      <w:r w:rsidRPr="00AD081E">
        <w:rPr>
          <w:rFonts w:eastAsia="Calibri"/>
        </w:rPr>
        <w:t xml:space="preserve"> window.</w:t>
      </w:r>
    </w:p>
    <w:p w14:paraId="6E5FD248" w14:textId="77777777" w:rsidR="00AD081E" w:rsidRPr="00AD081E" w:rsidRDefault="00AD081E" w:rsidP="00FE534B">
      <w:pPr>
        <w:pStyle w:val="Appendix5"/>
      </w:pPr>
      <w:bookmarkStart w:id="8312" w:name="Configure_TDM_Distribution_Agent_Communi"/>
      <w:bookmarkEnd w:id="8312"/>
      <w:r w:rsidRPr="00AD081E">
        <w:t xml:space="preserve">Configure TDM </w:t>
      </w:r>
      <w:r w:rsidRPr="00AD081E">
        <w:rPr>
          <w:rFonts w:eastAsia="Calibri"/>
        </w:rPr>
        <w:t>Distribution Agent</w:t>
      </w:r>
      <w:r w:rsidRPr="00AD081E">
        <w:t xml:space="preserve"> Communications</w:t>
      </w:r>
    </w:p>
    <w:p w14:paraId="6D130F69" w14:textId="1026FD02" w:rsidR="00AD081E" w:rsidRPr="00AD081E" w:rsidRDefault="00AD081E" w:rsidP="00AD081E">
      <w:pPr>
        <w:rPr>
          <w:rFonts w:eastAsia="Calibri"/>
        </w:rPr>
      </w:pPr>
      <w:r w:rsidRPr="00AD081E">
        <w:rPr>
          <w:rFonts w:eastAsia="Calibri"/>
        </w:rPr>
        <w:t xml:space="preserve">While an MDS is connected to the TSRT’s TED, in the Windows system tray (usually at the bottom right of the Windows display), right-click on the icon that looks like a satellite dish and choose </w:t>
      </w:r>
      <w:r w:rsidRPr="00AD081E">
        <w:rPr>
          <w:rFonts w:eastAsia="Calibri"/>
          <w:b/>
        </w:rPr>
        <w:t>Configure</w:t>
      </w:r>
      <w:r w:rsidRPr="00AD081E">
        <w:rPr>
          <w:rFonts w:eastAsia="Calibri"/>
        </w:rPr>
        <w:t xml:space="preserve"> from the context menu. (If the system tray is configured to hide </w:t>
      </w:r>
      <w:r w:rsidR="00F27FF3" w:rsidRPr="00AD081E">
        <w:rPr>
          <w:rFonts w:eastAsia="Calibri"/>
        </w:rPr>
        <w:t>infrequently used</w:t>
      </w:r>
      <w:r w:rsidRPr="00AD081E">
        <w:rPr>
          <w:rFonts w:eastAsia="Calibri"/>
        </w:rPr>
        <w:t xml:space="preserve"> icons, the </w:t>
      </w:r>
      <w:r w:rsidRPr="00AD081E">
        <w:rPr>
          <w:rFonts w:eastAsia="Calibri"/>
          <w:b/>
        </w:rPr>
        <w:t>Satellite</w:t>
      </w:r>
      <w:r w:rsidRPr="00AD081E">
        <w:rPr>
          <w:rFonts w:eastAsia="Calibri"/>
        </w:rPr>
        <w:t xml:space="preserve"> </w:t>
      </w:r>
      <w:r w:rsidRPr="00AD081E">
        <w:rPr>
          <w:rFonts w:eastAsia="Calibri"/>
          <w:b/>
        </w:rPr>
        <w:t xml:space="preserve">Dish </w:t>
      </w:r>
      <w:r w:rsidRPr="00AD081E">
        <w:rPr>
          <w:rFonts w:eastAsia="Calibri"/>
        </w:rPr>
        <w:t xml:space="preserve">icon may not be visible. If this is the case, select the </w:t>
      </w:r>
      <w:r w:rsidRPr="00AD081E">
        <w:rPr>
          <w:rFonts w:eastAsia="Calibri"/>
          <w:b/>
        </w:rPr>
        <w:t>Up</w:t>
      </w:r>
      <w:r w:rsidRPr="00AD081E">
        <w:rPr>
          <w:rFonts w:eastAsia="Calibri"/>
        </w:rPr>
        <w:t xml:space="preserve"> arrow icon to show the hidden icons, and right-click on the </w:t>
      </w:r>
      <w:r w:rsidRPr="00AD081E">
        <w:rPr>
          <w:rFonts w:eastAsia="Calibri"/>
          <w:b/>
        </w:rPr>
        <w:t>Satellite</w:t>
      </w:r>
      <w:r w:rsidRPr="00AD081E">
        <w:rPr>
          <w:rFonts w:eastAsia="Calibri"/>
        </w:rPr>
        <w:t xml:space="preserve"> </w:t>
      </w:r>
      <w:r w:rsidRPr="00AD081E">
        <w:rPr>
          <w:rFonts w:eastAsia="Calibri"/>
          <w:b/>
        </w:rPr>
        <w:t xml:space="preserve">Dish </w:t>
      </w:r>
      <w:r w:rsidRPr="00AD081E">
        <w:rPr>
          <w:rFonts w:eastAsia="Calibri"/>
        </w:rPr>
        <w:t>icon from the pop up box that appears.)</w:t>
      </w:r>
    </w:p>
    <w:p w14:paraId="0F4327B5" w14:textId="77777777" w:rsidR="00AD081E" w:rsidRPr="00AD081E" w:rsidRDefault="00AD081E" w:rsidP="00AD081E">
      <w:pPr>
        <w:tabs>
          <w:tab w:val="left" w:pos="720"/>
        </w:tabs>
        <w:jc w:val="center"/>
      </w:pPr>
      <w:r w:rsidRPr="00AD081E">
        <w:rPr>
          <w:noProof/>
        </w:rPr>
        <w:drawing>
          <wp:inline distT="0" distB="0" distL="0" distR="0" wp14:anchorId="2ED76DDC" wp14:editId="5ADC4C9B">
            <wp:extent cx="1828800" cy="2194560"/>
            <wp:effectExtent l="0" t="0" r="0" b="0"/>
            <wp:docPr id="691" name="Picture 69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Picture 691"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828800" cy="2194560"/>
                    </a:xfrm>
                    <a:prstGeom prst="rect">
                      <a:avLst/>
                    </a:prstGeom>
                  </pic:spPr>
                </pic:pic>
              </a:graphicData>
            </a:graphic>
          </wp:inline>
        </w:drawing>
      </w:r>
      <w:r w:rsidRPr="00AD081E">
        <w:rPr>
          <w:rFonts w:ascii="Calibri" w:eastAsia="Calibri" w:hAnsi="Calibri"/>
          <w:sz w:val="22"/>
          <w:szCs w:val="22"/>
        </w:rPr>
        <w:t xml:space="preserve">  </w:t>
      </w:r>
      <w:r w:rsidRPr="00AD081E">
        <w:rPr>
          <w:noProof/>
        </w:rPr>
        <w:drawing>
          <wp:inline distT="0" distB="0" distL="0" distR="0" wp14:anchorId="6CF9D1F1" wp14:editId="5DB57666">
            <wp:extent cx="1828800" cy="2203704"/>
            <wp:effectExtent l="0" t="0" r="0" b="6350"/>
            <wp:docPr id="692" name="Picture 69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Picture 692"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828800" cy="2203704"/>
                    </a:xfrm>
                    <a:prstGeom prst="rect">
                      <a:avLst/>
                    </a:prstGeom>
                  </pic:spPr>
                </pic:pic>
              </a:graphicData>
            </a:graphic>
          </wp:inline>
        </w:drawing>
      </w:r>
    </w:p>
    <w:p w14:paraId="1E570846" w14:textId="77777777" w:rsidR="00AD081E" w:rsidRPr="00AD081E" w:rsidRDefault="00AD081E" w:rsidP="00AD081E">
      <w:pPr>
        <w:rPr>
          <w:rFonts w:eastAsia="Calibri"/>
        </w:rPr>
      </w:pPr>
      <w:r w:rsidRPr="00AD081E">
        <w:rPr>
          <w:rFonts w:eastAsia="Calibri"/>
          <w:b/>
        </w:rPr>
        <w:t>TDM Communications Properties</w:t>
      </w:r>
      <w:r w:rsidRPr="00AD081E">
        <w:rPr>
          <w:rFonts w:eastAsia="Calibri"/>
          <w:b/>
        </w:rPr>
        <w:br/>
      </w:r>
      <w:r w:rsidRPr="00AD081E">
        <w:rPr>
          <w:rFonts w:eastAsia="Calibri"/>
        </w:rPr>
        <w:t xml:space="preserve">On the </w:t>
      </w:r>
      <w:r w:rsidRPr="00AD081E">
        <w:rPr>
          <w:rFonts w:eastAsia="Calibri"/>
          <w:b/>
          <w:i/>
        </w:rPr>
        <w:t>Legacy (OTH)</w:t>
      </w:r>
      <w:r w:rsidRPr="00AD081E">
        <w:rPr>
          <w:rFonts w:eastAsia="Calibri"/>
        </w:rPr>
        <w:t xml:space="preserve"> tab, in the </w:t>
      </w:r>
      <w:r w:rsidRPr="00AD081E">
        <w:rPr>
          <w:rFonts w:eastAsia="Calibri"/>
          <w:b/>
        </w:rPr>
        <w:t>TCIP Configuration</w:t>
      </w:r>
      <w:r w:rsidRPr="00AD081E">
        <w:rPr>
          <w:rFonts w:eastAsia="Calibri"/>
        </w:rPr>
        <w:t xml:space="preserve"> list near the bottom, look for a configuration with the same IP Address as the TCIP’s IP address and the same port number as the TED’s TDM Distribution Agent port.</w:t>
      </w:r>
    </w:p>
    <w:p w14:paraId="0BE51DC7" w14:textId="5E6C208D" w:rsidR="00AD081E" w:rsidRPr="00AD081E" w:rsidRDefault="00AD081E" w:rsidP="00AD081E">
      <w:pPr>
        <w:rPr>
          <w:rFonts w:eastAsia="Calibri"/>
        </w:rPr>
      </w:pPr>
      <w:r w:rsidRPr="00AD081E">
        <w:rPr>
          <w:rFonts w:eastAsia="Calibri"/>
        </w:rPr>
        <w:t xml:space="preserve">If there is such a configuration, check its name against the name of the Active TCIP Configuration. If the names are the same, there’s nothing further to be done. If the names differ, select the correct configuration in the </w:t>
      </w:r>
      <w:r w:rsidRPr="00AD081E">
        <w:rPr>
          <w:rFonts w:eastAsia="Calibri"/>
          <w:b/>
        </w:rPr>
        <w:t>TCIP Configuration</w:t>
      </w:r>
      <w:r w:rsidRPr="00AD081E">
        <w:rPr>
          <w:rFonts w:eastAsia="Calibri"/>
        </w:rPr>
        <w:t xml:space="preserve"> list, then click on the </w:t>
      </w:r>
      <w:r w:rsidRPr="00AD081E">
        <w:rPr>
          <w:rFonts w:eastAsia="Calibri"/>
          <w:b/>
        </w:rPr>
        <w:t>Set As Active</w:t>
      </w:r>
      <w:r w:rsidRPr="00AD081E">
        <w:rPr>
          <w:rFonts w:eastAsia="Calibri"/>
        </w:rPr>
        <w:t xml:space="preserve"> button on the bottom of the tab. Click the </w:t>
      </w:r>
      <w:r w:rsidRPr="00AD081E">
        <w:rPr>
          <w:rFonts w:eastAsia="Calibri"/>
          <w:b/>
        </w:rPr>
        <w:t>OK</w:t>
      </w:r>
      <w:r w:rsidRPr="00AD081E">
        <w:rPr>
          <w:rFonts w:eastAsia="Calibri"/>
        </w:rPr>
        <w:t xml:space="preserve"> button, and you’re done. Skip to testing the configuration (see </w:t>
      </w:r>
      <w:hyperlink w:anchor="_S-4.5.3__Test" w:history="1">
        <w:r w:rsidRPr="00AD081E">
          <w:rPr>
            <w:rFonts w:eastAsia="Calibri"/>
            <w:color w:val="0000FF"/>
            <w:u w:val="single"/>
          </w:rPr>
          <w:t>Section R.4.5.3</w:t>
        </w:r>
      </w:hyperlink>
      <w:r w:rsidR="00550B73">
        <w:rPr>
          <w:rFonts w:eastAsia="Calibri"/>
        </w:rPr>
        <w:t>).</w:t>
      </w:r>
    </w:p>
    <w:p w14:paraId="6FB4258B" w14:textId="77777777" w:rsidR="00AD081E" w:rsidRPr="00AD081E" w:rsidRDefault="00AD081E" w:rsidP="00AD081E">
      <w:pPr>
        <w:rPr>
          <w:rFonts w:eastAsia="Calibri"/>
        </w:rPr>
      </w:pPr>
      <w:r w:rsidRPr="00AD081E">
        <w:rPr>
          <w:rFonts w:eastAsia="Calibri"/>
        </w:rPr>
        <w:t xml:space="preserve">If there is no configuration with the correct IP address and port number, create one. Start by clicking on the </w:t>
      </w:r>
      <w:r w:rsidRPr="00AD081E">
        <w:rPr>
          <w:rFonts w:eastAsia="Calibri"/>
          <w:b/>
        </w:rPr>
        <w:t>Add</w:t>
      </w:r>
      <w:r w:rsidRPr="00AD081E">
        <w:rPr>
          <w:rFonts w:eastAsia="Calibri"/>
        </w:rPr>
        <w:t xml:space="preserve"> button at the bottom of the tab.</w:t>
      </w:r>
    </w:p>
    <w:p w14:paraId="6D1145EC" w14:textId="77777777" w:rsidR="00AD081E" w:rsidRPr="00AD081E" w:rsidRDefault="00AD081E" w:rsidP="00AD081E">
      <w:pPr>
        <w:rPr>
          <w:rFonts w:eastAsia="Calibri"/>
          <w:noProof/>
        </w:rPr>
      </w:pPr>
      <w:r w:rsidRPr="00AD081E">
        <w:rPr>
          <w:rFonts w:eastAsia="Calibri"/>
          <w:b/>
          <w:noProof/>
        </w:rPr>
        <w:t>New Connection</w:t>
      </w:r>
      <w:r w:rsidRPr="00AD081E">
        <w:rPr>
          <w:rFonts w:eastAsia="Calibri"/>
          <w:b/>
          <w:noProof/>
        </w:rPr>
        <w:br/>
      </w:r>
      <w:r w:rsidRPr="00AD081E">
        <w:rPr>
          <w:rFonts w:eastAsia="Calibri"/>
          <w:noProof/>
        </w:rPr>
        <w:t xml:space="preserve">Enter a name for the connection. Specify the IP address of the </w:t>
      </w:r>
      <w:r w:rsidRPr="00AD081E">
        <w:rPr>
          <w:rFonts w:eastAsia="Calibri"/>
        </w:rPr>
        <w:t xml:space="preserve">TCIP </w:t>
      </w:r>
      <w:r w:rsidRPr="00AD081E">
        <w:rPr>
          <w:rFonts w:eastAsia="Calibri"/>
          <w:noProof/>
        </w:rPr>
        <w:t xml:space="preserve">in the </w:t>
      </w:r>
      <w:r w:rsidRPr="00AD081E">
        <w:rPr>
          <w:rFonts w:eastAsia="Calibri"/>
          <w:b/>
          <w:noProof/>
        </w:rPr>
        <w:t>IP Address</w:t>
      </w:r>
      <w:r w:rsidRPr="00AD081E">
        <w:rPr>
          <w:rFonts w:eastAsia="Calibri"/>
          <w:noProof/>
        </w:rPr>
        <w:t xml:space="preserve"> field. If necessary, change the </w:t>
      </w:r>
      <w:r w:rsidRPr="00AD081E">
        <w:rPr>
          <w:rFonts w:eastAsia="Calibri"/>
          <w:b/>
          <w:noProof/>
        </w:rPr>
        <w:t>Port</w:t>
      </w:r>
      <w:r w:rsidRPr="00AD081E">
        <w:rPr>
          <w:rFonts w:eastAsia="Calibri"/>
          <w:noProof/>
        </w:rPr>
        <w:t xml:space="preserve"> number to the TED’s TDM</w:t>
      </w:r>
      <w:r w:rsidRPr="00AD081E">
        <w:rPr>
          <w:rFonts w:eastAsia="Calibri"/>
        </w:rPr>
        <w:t xml:space="preserve"> Distribution Agent</w:t>
      </w:r>
      <w:r w:rsidRPr="00AD081E">
        <w:rPr>
          <w:rFonts w:eastAsia="Calibri"/>
          <w:noProof/>
        </w:rPr>
        <w:t xml:space="preserve"> port number. Click </w:t>
      </w:r>
      <w:r w:rsidRPr="00AD081E">
        <w:rPr>
          <w:rFonts w:eastAsia="Calibri"/>
          <w:b/>
          <w:noProof/>
        </w:rPr>
        <w:t>OK</w:t>
      </w:r>
      <w:r w:rsidRPr="00AD081E">
        <w:rPr>
          <w:rFonts w:eastAsia="Calibri"/>
          <w:noProof/>
        </w:rPr>
        <w:t>.</w:t>
      </w:r>
    </w:p>
    <w:p w14:paraId="4AB45576" w14:textId="77777777" w:rsidR="00AD081E" w:rsidRPr="00AD081E" w:rsidRDefault="00AD081E" w:rsidP="00AD081E">
      <w:pPr>
        <w:tabs>
          <w:tab w:val="left" w:pos="720"/>
        </w:tabs>
        <w:jc w:val="center"/>
      </w:pPr>
      <w:r w:rsidRPr="00AD081E">
        <w:rPr>
          <w:noProof/>
        </w:rPr>
        <w:lastRenderedPageBreak/>
        <w:drawing>
          <wp:inline distT="0" distB="0" distL="0" distR="0" wp14:anchorId="31E180F8" wp14:editId="0BD3C89D">
            <wp:extent cx="2286000" cy="2724912"/>
            <wp:effectExtent l="0" t="0" r="0" b="0"/>
            <wp:docPr id="116" name="Picture 1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Graphical user interface, application&#10;&#10;Description automatically generated"/>
                    <pic:cNvPicPr/>
                  </pic:nvPicPr>
                  <pic:blipFill>
                    <a:blip/>
                    <a:stretch>
                      <a:fillRect/>
                    </a:stretch>
                  </pic:blipFill>
                  <pic:spPr>
                    <a:xfrm>
                      <a:off x="0" y="0"/>
                      <a:ext cx="2286000" cy="2724912"/>
                    </a:xfrm>
                    <a:prstGeom prst="rect">
                      <a:avLst/>
                    </a:prstGeom>
                  </pic:spPr>
                </pic:pic>
              </a:graphicData>
            </a:graphic>
          </wp:inline>
        </w:drawing>
      </w:r>
    </w:p>
    <w:p w14:paraId="033F6AE9" w14:textId="77777777" w:rsidR="00AD081E" w:rsidRPr="00AD081E" w:rsidRDefault="00AD081E" w:rsidP="00AD081E">
      <w:pPr>
        <w:rPr>
          <w:rFonts w:eastAsia="Calibri"/>
        </w:rPr>
      </w:pPr>
      <w:r w:rsidRPr="00AD081E">
        <w:rPr>
          <w:rFonts w:eastAsia="Calibri"/>
          <w:b/>
        </w:rPr>
        <w:t>TDM Communications Properties</w:t>
      </w:r>
      <w:r w:rsidRPr="00AD081E">
        <w:rPr>
          <w:rFonts w:eastAsia="Calibri"/>
          <w:b/>
        </w:rPr>
        <w:br/>
      </w:r>
      <w:r w:rsidRPr="00AD081E">
        <w:rPr>
          <w:rFonts w:eastAsia="Calibri"/>
        </w:rPr>
        <w:t xml:space="preserve">Select the new configuration in the </w:t>
      </w:r>
      <w:r w:rsidRPr="00AD081E">
        <w:rPr>
          <w:rFonts w:eastAsia="Calibri"/>
          <w:b/>
        </w:rPr>
        <w:t>TCIP Configuration</w:t>
      </w:r>
      <w:r w:rsidRPr="00AD081E">
        <w:rPr>
          <w:rFonts w:eastAsia="Calibri"/>
        </w:rPr>
        <w:t xml:space="preserve"> list, then click on the </w:t>
      </w:r>
      <w:r w:rsidRPr="00AD081E">
        <w:rPr>
          <w:rFonts w:eastAsia="Calibri"/>
          <w:b/>
        </w:rPr>
        <w:t>Set As Active</w:t>
      </w:r>
      <w:r w:rsidRPr="00AD081E">
        <w:rPr>
          <w:rFonts w:eastAsia="Calibri"/>
        </w:rPr>
        <w:t xml:space="preserve"> button on the bottom of the tab. Click the </w:t>
      </w:r>
      <w:r w:rsidRPr="00AD081E">
        <w:rPr>
          <w:rFonts w:eastAsia="Calibri"/>
          <w:b/>
        </w:rPr>
        <w:t>OK</w:t>
      </w:r>
      <w:r w:rsidRPr="00AD081E">
        <w:rPr>
          <w:rFonts w:eastAsia="Calibri"/>
        </w:rPr>
        <w:t xml:space="preserve"> button, and you’re done.</w:t>
      </w:r>
    </w:p>
    <w:p w14:paraId="32F5145C" w14:textId="77777777" w:rsidR="00AD081E" w:rsidRPr="00AD081E" w:rsidRDefault="00AD081E" w:rsidP="00226406">
      <w:pPr>
        <w:pStyle w:val="Appendix4"/>
        <w:ind w:left="360"/>
      </w:pPr>
      <w:bookmarkStart w:id="8313" w:name="_S-4.5.3__Test"/>
      <w:bookmarkEnd w:id="8313"/>
      <w:r w:rsidRPr="00AD081E">
        <w:t>Test the Configuration</w:t>
      </w:r>
    </w:p>
    <w:p w14:paraId="7F1ACB3D" w14:textId="77777777" w:rsidR="00AD081E" w:rsidRPr="00AD081E" w:rsidRDefault="00AD081E" w:rsidP="00226406">
      <w:pPr>
        <w:pStyle w:val="Appendix5"/>
      </w:pPr>
      <w:r w:rsidRPr="00AD081E">
        <w:t>Test DDO Communications</w:t>
      </w:r>
    </w:p>
    <w:p w14:paraId="41F3CE62" w14:textId="77777777" w:rsidR="00AD081E" w:rsidRPr="00AD081E" w:rsidRDefault="00AD081E" w:rsidP="00AD081E">
      <w:pPr>
        <w:rPr>
          <w:rFonts w:eastAsia="Calibri"/>
        </w:rPr>
      </w:pPr>
      <w:r w:rsidRPr="00AD081E">
        <w:rPr>
          <w:rFonts w:eastAsia="Calibri"/>
        </w:rPr>
        <w:t>Send a DDO to your own node to test the HTTPS path that will be used by DDOs during rehearsal.</w:t>
      </w:r>
    </w:p>
    <w:p w14:paraId="41415CBE"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DDO Templates</w:t>
      </w:r>
      <w:r w:rsidRPr="00AD081E">
        <w:rPr>
          <w:rFonts w:eastAsia="Calibri"/>
        </w:rPr>
        <w:t xml:space="preserve"> from the menu.</w:t>
      </w:r>
    </w:p>
    <w:p w14:paraId="038FC862" w14:textId="42C4F185" w:rsidR="00AD081E" w:rsidRPr="00AD081E" w:rsidRDefault="00AD081E" w:rsidP="00AD081E">
      <w:pPr>
        <w:rPr>
          <w:rFonts w:eastAsia="Calibri"/>
        </w:rPr>
      </w:pPr>
      <w:r w:rsidRPr="00AD081E">
        <w:rPr>
          <w:rFonts w:eastAsia="Calibri"/>
          <w:b/>
        </w:rPr>
        <w:t>DDO Templates</w:t>
      </w:r>
      <w:r w:rsidRPr="00AD081E">
        <w:rPr>
          <w:rFonts w:eastAsia="Calibri"/>
          <w:b/>
        </w:rPr>
        <w:br/>
      </w:r>
      <w:r w:rsidRPr="00AD081E">
        <w:rPr>
          <w:rFonts w:eastAsia="Calibri"/>
        </w:rPr>
        <w:t xml:space="preserve">Click on the </w:t>
      </w:r>
      <w:r w:rsidRPr="00AD081E">
        <w:rPr>
          <w:rFonts w:eastAsia="Calibri"/>
          <w:b/>
        </w:rPr>
        <w:t>New</w:t>
      </w:r>
      <w:r w:rsidRPr="00AD081E">
        <w:rPr>
          <w:rFonts w:eastAsia="Calibri"/>
        </w:rPr>
        <w:t xml:space="preserve"> button on the </w:t>
      </w:r>
      <w:r w:rsidR="00585EAF" w:rsidRPr="00AD081E">
        <w:rPr>
          <w:rFonts w:eastAsia="Calibri"/>
        </w:rPr>
        <w:t>toolbar or</w:t>
      </w:r>
      <w:r w:rsidRPr="00AD081E">
        <w:rPr>
          <w:rFonts w:eastAsia="Calibri"/>
        </w:rPr>
        <w:t xml:space="preserve">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New</w:t>
      </w:r>
      <w:r w:rsidRPr="00AD081E">
        <w:rPr>
          <w:rFonts w:eastAsia="Calibri"/>
        </w:rPr>
        <w:t xml:space="preserve"> from the menu.</w:t>
      </w:r>
    </w:p>
    <w:p w14:paraId="3E070588" w14:textId="77777777" w:rsidR="00AD081E" w:rsidRPr="00AD081E" w:rsidRDefault="00AD081E" w:rsidP="00AD081E">
      <w:pPr>
        <w:rPr>
          <w:rFonts w:eastAsia="Calibri"/>
        </w:rPr>
      </w:pPr>
      <w:r w:rsidRPr="00AD081E">
        <w:rPr>
          <w:rFonts w:eastAsia="Calibri"/>
          <w:b/>
        </w:rPr>
        <w:t>Drafting DDO</w:t>
      </w:r>
      <w:r w:rsidRPr="00AD081E">
        <w:rPr>
          <w:rFonts w:eastAsia="Calibri"/>
          <w:b/>
        </w:rPr>
        <w:br/>
      </w:r>
      <w:r w:rsidRPr="00AD081E">
        <w:rPr>
          <w:rFonts w:eastAsia="Calibri"/>
        </w:rPr>
        <w:t xml:space="preserve">Enter something recognizable in the </w:t>
      </w:r>
      <w:r w:rsidRPr="00AD081E">
        <w:rPr>
          <w:rFonts w:eastAsia="Calibri"/>
          <w:b/>
        </w:rPr>
        <w:t>Objective</w:t>
      </w:r>
      <w:r w:rsidRPr="00AD081E">
        <w:rPr>
          <w:rFonts w:eastAsia="Calibri"/>
        </w:rPr>
        <w:t xml:space="preserve"> field, such as </w:t>
      </w:r>
      <w:r w:rsidRPr="00AD081E">
        <w:rPr>
          <w:rFonts w:eastAsia="Calibri"/>
          <w:b/>
        </w:rPr>
        <w:t xml:space="preserve">Self-texting test </w:t>
      </w:r>
      <w:r w:rsidRPr="00AD081E">
        <w:rPr>
          <w:rFonts w:eastAsia="Calibri"/>
        </w:rPr>
        <w:t xml:space="preserve">(optional). Click on the </w:t>
      </w:r>
      <w:r w:rsidRPr="00AD081E">
        <w:rPr>
          <w:rFonts w:eastAsia="Calibri"/>
          <w:b/>
        </w:rPr>
        <w:t>To…</w:t>
      </w:r>
      <w:r w:rsidRPr="00AD081E">
        <w:rPr>
          <w:rFonts w:eastAsia="Calibri"/>
        </w:rPr>
        <w:t xml:space="preserve"> button, double-click your desired node from the Address Book, then click on the </w:t>
      </w:r>
      <w:r w:rsidRPr="00AD081E">
        <w:rPr>
          <w:rFonts w:eastAsia="Calibri"/>
          <w:b/>
        </w:rPr>
        <w:t>OK</w:t>
      </w:r>
      <w:r w:rsidRPr="00AD081E">
        <w:rPr>
          <w:rFonts w:eastAsia="Calibri"/>
        </w:rPr>
        <w:t xml:space="preserve"> button.</w:t>
      </w:r>
    </w:p>
    <w:p w14:paraId="2E6C1982" w14:textId="77777777" w:rsidR="00AD081E" w:rsidRPr="00AD081E" w:rsidRDefault="00AD081E" w:rsidP="00AD081E">
      <w:pPr>
        <w:rPr>
          <w:rFonts w:eastAsia="Calibri"/>
          <w:b/>
        </w:rPr>
      </w:pPr>
      <w:r w:rsidRPr="00AD081E">
        <w:rPr>
          <w:rFonts w:eastAsia="Calibri"/>
        </w:rPr>
        <w:t xml:space="preserve">Add the appropriate data items to be transmitted from the </w:t>
      </w:r>
      <w:r w:rsidRPr="00AD081E">
        <w:rPr>
          <w:rFonts w:eastAsia="Calibri"/>
          <w:b/>
          <w:i/>
        </w:rPr>
        <w:t>Data</w:t>
      </w:r>
      <w:r w:rsidRPr="00AD081E">
        <w:rPr>
          <w:rFonts w:eastAsia="Calibri"/>
        </w:rPr>
        <w:t xml:space="preserve"> tab at the bottom of the window (i.e., Missions, DSMACs, TERCOMs, etc.). It is suggested to select small data items, such as an ACMS to test DDO communications. Right-click in the white area of the DDO Template and select </w:t>
      </w:r>
      <w:r w:rsidRPr="00AD081E">
        <w:rPr>
          <w:rFonts w:eastAsia="Calibri"/>
          <w:b/>
        </w:rPr>
        <w:t>Add…</w:t>
      </w:r>
      <w:r w:rsidRPr="00AD081E">
        <w:rPr>
          <w:rFonts w:eastAsia="Calibri"/>
        </w:rPr>
        <w:t xml:space="preserve">. A selection window specific to the tool that is selected is displayed. Select the desired data item(s) and click </w:t>
      </w:r>
      <w:r w:rsidRPr="00AD081E">
        <w:rPr>
          <w:rFonts w:eastAsia="Calibri"/>
          <w:b/>
        </w:rPr>
        <w:t>OK.</w:t>
      </w:r>
    </w:p>
    <w:p w14:paraId="041B67AC" w14:textId="77777777" w:rsidR="00AD081E" w:rsidRPr="00AD081E" w:rsidRDefault="00AD081E" w:rsidP="00AD081E">
      <w:r w:rsidRPr="00AD081E">
        <w:rPr>
          <w:rFonts w:eastAsia="Calibri"/>
          <w:b/>
        </w:rPr>
        <w:t>Sending</w:t>
      </w:r>
      <w:r w:rsidRPr="00AD081E">
        <w:rPr>
          <w:rFonts w:eastAsia="Calibri"/>
          <w:b/>
        </w:rPr>
        <w:br/>
      </w:r>
      <w:r w:rsidRPr="00AD081E">
        <w:t xml:space="preserve">From the </w:t>
      </w:r>
      <w:r w:rsidRPr="00AD081E">
        <w:rPr>
          <w:b/>
        </w:rPr>
        <w:t>File</w:t>
      </w:r>
      <w:r w:rsidRPr="00AD081E">
        <w:t xml:space="preserve"> menu select </w:t>
      </w:r>
      <w:r w:rsidRPr="00AD081E">
        <w:rPr>
          <w:b/>
        </w:rPr>
        <w:t>Send</w:t>
      </w:r>
      <w:r w:rsidRPr="00AD081E">
        <w:t xml:space="preserve"> or click the </w:t>
      </w:r>
      <w:r w:rsidRPr="00AD081E">
        <w:rPr>
          <w:b/>
        </w:rPr>
        <w:t>Send</w:t>
      </w:r>
      <w:r w:rsidRPr="00AD081E">
        <w:t xml:space="preserve"> </w:t>
      </w:r>
      <w:r w:rsidRPr="00AD081E">
        <w:rPr>
          <w:noProof/>
        </w:rPr>
        <w:drawing>
          <wp:inline distT="0" distB="0" distL="0" distR="0" wp14:anchorId="0C756F5B" wp14:editId="103DAF02">
            <wp:extent cx="152400" cy="152400"/>
            <wp:effectExtent l="0" t="0" r="0" b="0"/>
            <wp:docPr id="923" name="Picture 923"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AD081E">
        <w:t xml:space="preserve"> icon on the toolbar.</w:t>
      </w:r>
    </w:p>
    <w:p w14:paraId="2A64E3FD" w14:textId="77777777" w:rsidR="00AD081E" w:rsidRPr="00AD081E" w:rsidRDefault="00AD081E" w:rsidP="00AD081E">
      <w:r w:rsidRPr="00AD081E">
        <w:rPr>
          <w:b/>
        </w:rPr>
        <w:t>Received DDO</w:t>
      </w:r>
      <w:r w:rsidRPr="00AD081E">
        <w:br/>
      </w:r>
      <w:r w:rsidRPr="00AD081E">
        <w:rPr>
          <w:rFonts w:eastAsia="Calibri"/>
        </w:rPr>
        <w:t xml:space="preserve">From the </w:t>
      </w:r>
      <w:r w:rsidRPr="00AD081E">
        <w:rPr>
          <w:rFonts w:eastAsia="Calibri"/>
          <w:b/>
        </w:rPr>
        <w:t>Go</w:t>
      </w:r>
      <w:r w:rsidRPr="00AD081E">
        <w:rPr>
          <w:rFonts w:eastAsia="Calibri"/>
        </w:rPr>
        <w:t xml:space="preserve"> menu, select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Incoming DDOs</w:t>
      </w:r>
      <w:r w:rsidRPr="00AD081E">
        <w:rPr>
          <w:rFonts w:eastAsia="Calibri"/>
        </w:rPr>
        <w:t xml:space="preserve">. </w:t>
      </w:r>
    </w:p>
    <w:p w14:paraId="7B8B24B8" w14:textId="77777777" w:rsidR="00AD081E" w:rsidRPr="00AD081E" w:rsidRDefault="00AD081E" w:rsidP="00AD081E">
      <w:pPr>
        <w:rPr>
          <w:rFonts w:eastAsia="Calibri"/>
        </w:rPr>
      </w:pPr>
      <w:r w:rsidRPr="00AD081E">
        <w:rPr>
          <w:rFonts w:eastAsia="Calibri"/>
        </w:rPr>
        <w:lastRenderedPageBreak/>
        <w:t xml:space="preserve">If HTTPS configuration was successful, your message objective will be shown in the </w:t>
      </w:r>
      <w:r w:rsidRPr="00AD081E">
        <w:rPr>
          <w:rFonts w:eastAsia="Calibri"/>
          <w:b/>
        </w:rPr>
        <w:t>Incoming DDOs</w:t>
      </w:r>
      <w:r w:rsidRPr="00AD081E">
        <w:rPr>
          <w:rFonts w:eastAsia="Calibri"/>
        </w:rPr>
        <w:t xml:space="preserve"> list.</w:t>
      </w:r>
    </w:p>
    <w:p w14:paraId="240C8F72" w14:textId="77777777" w:rsidR="00AD081E" w:rsidRPr="00AD081E" w:rsidRDefault="00AD081E" w:rsidP="00226406">
      <w:pPr>
        <w:pStyle w:val="Appendix5"/>
      </w:pPr>
      <w:r w:rsidRPr="00AD081E">
        <w:t>Test TSN Communications</w:t>
      </w:r>
    </w:p>
    <w:p w14:paraId="10E7D1C6" w14:textId="77777777" w:rsidR="00AD081E" w:rsidRPr="00AD081E" w:rsidRDefault="00AD081E" w:rsidP="00AD081E">
      <w:pPr>
        <w:rPr>
          <w:rFonts w:eastAsia="Calibri"/>
        </w:rPr>
      </w:pPr>
      <w:r w:rsidRPr="00AD081E">
        <w:rPr>
          <w:rFonts w:eastAsia="Calibri"/>
        </w:rPr>
        <w:t>Make a rehearsal copy of your strike, then start rehearsing the rehearsal copy with an SMD. With the rehearsal running, send a ping to a simulated node and verify the response.</w:t>
      </w:r>
    </w:p>
    <w:p w14:paraId="286745BD"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Strike Execution</w:t>
      </w:r>
      <w:r w:rsidRPr="00AD081E">
        <w:rPr>
          <w:rFonts w:eastAsia="Calibri"/>
        </w:rPr>
        <w:t xml:space="preserve"> from the menu.</w:t>
      </w:r>
    </w:p>
    <w:p w14:paraId="1CEB2EF7" w14:textId="77777777" w:rsidR="00AD081E" w:rsidRPr="00AD081E" w:rsidRDefault="00AD081E" w:rsidP="00AD081E">
      <w:pPr>
        <w:rPr>
          <w:rFonts w:eastAsia="Calibri"/>
        </w:rPr>
      </w:pPr>
      <w:r w:rsidRPr="00AD081E">
        <w:rPr>
          <w:rFonts w:eastAsia="Calibri"/>
          <w:b/>
        </w:rPr>
        <w:t>Strike Execution</w:t>
      </w:r>
      <w:r w:rsidRPr="00AD081E">
        <w:rPr>
          <w:rFonts w:eastAsia="Calibri"/>
          <w:b/>
        </w:rPr>
        <w:br/>
      </w:r>
      <w:r w:rsidRPr="00AD081E">
        <w:rPr>
          <w:rFonts w:eastAsia="Calibri"/>
        </w:rPr>
        <w:t xml:space="preserve">Select your execution folder, right-click, and choose </w:t>
      </w:r>
      <w:r w:rsidRPr="00AD081E">
        <w:rPr>
          <w:rFonts w:eastAsia="Calibri"/>
          <w:b/>
        </w:rPr>
        <w:t>Save As</w:t>
      </w:r>
      <w:r w:rsidRPr="00AD081E">
        <w:rPr>
          <w:b/>
        </w:rPr>
        <w:t xml:space="preserve"> </w:t>
      </w:r>
      <w:r w:rsidRPr="00AD081E">
        <w:rPr>
          <w:b/>
        </w:rPr>
        <w:sym w:font="Wingdings" w:char="F0E0"/>
      </w:r>
      <w:r w:rsidRPr="00AD081E">
        <w:rPr>
          <w:b/>
        </w:rPr>
        <w:t xml:space="preserve"> </w:t>
      </w:r>
      <w:r w:rsidRPr="00AD081E">
        <w:rPr>
          <w:rFonts w:eastAsia="Calibri"/>
          <w:b/>
        </w:rPr>
        <w:t>Rehearsal</w:t>
      </w:r>
      <w:r w:rsidRPr="00AD081E">
        <w:rPr>
          <w:rFonts w:eastAsia="Calibri"/>
        </w:rPr>
        <w:t xml:space="preserve"> from the context menu.</w:t>
      </w:r>
    </w:p>
    <w:p w14:paraId="05758244" w14:textId="77777777" w:rsidR="00AD081E" w:rsidRPr="00AD081E" w:rsidRDefault="00AD081E" w:rsidP="00AD081E">
      <w:pPr>
        <w:rPr>
          <w:rFonts w:eastAsia="Calibri"/>
        </w:rPr>
      </w:pPr>
      <w:r w:rsidRPr="00AD081E">
        <w:rPr>
          <w:rFonts w:eastAsia="Calibri"/>
        </w:rPr>
        <w:t xml:space="preserve">Select the new rehearsal copy, right-click and choose </w:t>
      </w:r>
      <w:r w:rsidRPr="00AD081E">
        <w:rPr>
          <w:rFonts w:eastAsia="Calibri"/>
          <w:b/>
        </w:rPr>
        <w:t>Rehearse</w:t>
      </w:r>
      <w:r w:rsidRPr="00AD081E">
        <w:rPr>
          <w:b/>
        </w:rPr>
        <w:t xml:space="preserve"> </w:t>
      </w:r>
      <w:r w:rsidRPr="00AD081E">
        <w:rPr>
          <w:b/>
        </w:rPr>
        <w:sym w:font="Wingdings" w:char="F0E0"/>
      </w:r>
      <w:r w:rsidRPr="00AD081E">
        <w:rPr>
          <w:b/>
        </w:rPr>
        <w:t xml:space="preserve"> </w:t>
      </w:r>
      <w:r w:rsidRPr="00AD081E">
        <w:rPr>
          <w:rFonts w:eastAsia="Calibri"/>
          <w:b/>
        </w:rPr>
        <w:t>With SMD</w:t>
      </w:r>
      <w:r w:rsidRPr="00AD081E">
        <w:rPr>
          <w:rFonts w:eastAsia="Calibri"/>
        </w:rPr>
        <w:t xml:space="preserve"> from the context menu. Wait for the SMD and the TSRT Scenario Director to be displayed.</w:t>
      </w:r>
    </w:p>
    <w:p w14:paraId="08131797" w14:textId="2968295D" w:rsidR="00AD081E" w:rsidRPr="00AD081E" w:rsidRDefault="00AD081E" w:rsidP="00AD081E">
      <w:pPr>
        <w:rPr>
          <w:rFonts w:eastAsia="Calibri"/>
        </w:rPr>
      </w:pPr>
      <w:r w:rsidRPr="00AD081E">
        <w:rPr>
          <w:rFonts w:eastAsia="Calibri"/>
          <w:b/>
        </w:rPr>
        <w:t xml:space="preserve">TSRT Scenario Director – </w:t>
      </w: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xml:space="preserve">– </w:t>
      </w:r>
      <w:r w:rsidRPr="00AD081E">
        <w:rPr>
          <w:rFonts w:eastAsia="Calibri"/>
          <w:b/>
          <w:i/>
        </w:rPr>
        <w:t>Execution Folder Name</w:t>
      </w:r>
      <w:r w:rsidRPr="00AD081E">
        <w:rPr>
          <w:rFonts w:eastAsia="Calibri"/>
          <w:b/>
        </w:rPr>
        <w:br/>
      </w:r>
      <w:r w:rsidRPr="00AD081E">
        <w:rPr>
          <w:rFonts w:eastAsia="Calibri"/>
        </w:rPr>
        <w:t xml:space="preserve">In the TSRT Scenario Director, leave the run rate at 1 and click on the </w:t>
      </w:r>
      <w:r w:rsidRPr="00AD081E">
        <w:rPr>
          <w:rFonts w:eastAsia="Calibri"/>
          <w:b/>
        </w:rPr>
        <w:t>Run</w:t>
      </w:r>
      <w:r w:rsidRPr="00AD081E">
        <w:rPr>
          <w:rFonts w:eastAsia="Calibri"/>
        </w:rPr>
        <w:t xml:space="preserve"> button.</w:t>
      </w:r>
    </w:p>
    <w:p w14:paraId="5F7CA7C3" w14:textId="6BDD37A7" w:rsidR="00AD081E" w:rsidRPr="00AD081E" w:rsidRDefault="00AD081E" w:rsidP="00AD081E">
      <w:pPr>
        <w:rPr>
          <w:rFonts w:eastAsia="Calibri"/>
        </w:rPr>
      </w:pP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Rehearse (</w:t>
      </w:r>
      <w:r w:rsidRPr="00AD081E">
        <w:rPr>
          <w:rFonts w:eastAsia="Calibri"/>
          <w:b/>
          <w:i/>
        </w:rPr>
        <w:t>Folder Type</w:t>
      </w:r>
      <w:r w:rsidRPr="00AD081E">
        <w:rPr>
          <w:rFonts w:eastAsia="Calibri"/>
          <w:b/>
        </w:rPr>
        <w:t xml:space="preserve">) – </w:t>
      </w:r>
      <w:r w:rsidRPr="00AD081E">
        <w:rPr>
          <w:rFonts w:eastAsia="Calibri"/>
          <w:b/>
          <w:i/>
        </w:rPr>
        <w:t>Execution Folder Name</w:t>
      </w:r>
      <w:r w:rsidRPr="00AD081E">
        <w:rPr>
          <w:rFonts w:eastAsia="Calibri"/>
          <w:b/>
        </w:rPr>
        <w:br/>
      </w:r>
      <w:r w:rsidRPr="00AD081E">
        <w:rPr>
          <w:rFonts w:eastAsia="Calibri"/>
        </w:rPr>
        <w:t xml:space="preserve">On the SMD, click on the </w:t>
      </w:r>
      <w:r w:rsidRPr="00AD081E">
        <w:rPr>
          <w:rFonts w:eastAsia="Calibri"/>
          <w:b/>
          <w:i/>
        </w:rPr>
        <w:t>TSN Ping</w:t>
      </w:r>
      <w:r w:rsidRPr="00AD081E">
        <w:rPr>
          <w:rFonts w:eastAsia="Calibri"/>
        </w:rPr>
        <w:t xml:space="preserve"> tab.</w:t>
      </w:r>
    </w:p>
    <w:p w14:paraId="4C3CCE9D" w14:textId="617A4005" w:rsidR="00AD081E" w:rsidRPr="00AD081E" w:rsidRDefault="00AD081E" w:rsidP="00AD081E">
      <w:pPr>
        <w:rPr>
          <w:rFonts w:eastAsia="Calibri"/>
        </w:rPr>
      </w:pPr>
      <w:r w:rsidRPr="00AD081E">
        <w:rPr>
          <w:rFonts w:eastAsia="Calibri"/>
          <w:b/>
        </w:rPr>
        <w:t>TSN Ping</w:t>
      </w:r>
      <w:r w:rsidRPr="00AD081E">
        <w:rPr>
          <w:rFonts w:eastAsia="Calibri"/>
        </w:rPr>
        <w:br/>
        <w:t>Choose one of the simulated TTWCS nodes in the list. Right-</w:t>
      </w:r>
      <w:r w:rsidR="00585EAF" w:rsidRPr="00AD081E">
        <w:rPr>
          <w:rFonts w:eastAsia="Calibri"/>
        </w:rPr>
        <w:t>click and</w:t>
      </w:r>
      <w:r w:rsidRPr="00AD081E">
        <w:rPr>
          <w:rFonts w:eastAsia="Calibri"/>
        </w:rPr>
        <w:t xml:space="preserve"> choose </w:t>
      </w:r>
      <w:r w:rsidRPr="00AD081E">
        <w:rPr>
          <w:rFonts w:eastAsia="Calibri"/>
          <w:b/>
        </w:rPr>
        <w:t>Ping</w:t>
      </w:r>
      <w:r w:rsidRPr="00AD081E">
        <w:rPr>
          <w:rFonts w:eastAsia="Calibri"/>
        </w:rPr>
        <w:t xml:space="preserve"> from the context menu. A yellow dot will appear beside the TTWCS node in the list. If TSN communications are working, the dot will eventually turn green. A mixed red and green dot for a strike that involves an ACA-capable platform indicates a partially successful and partially unsuccessful ping (see </w:t>
      </w:r>
      <w:hyperlink w:anchor="_How_to_Send" w:history="1">
        <w:r w:rsidRPr="00AD081E">
          <w:rPr>
            <w:rFonts w:eastAsia="Calibri"/>
            <w:color w:val="0000FF"/>
            <w:u w:val="single"/>
          </w:rPr>
          <w:t xml:space="preserve">Section </w:t>
        </w:r>
        <w:r w:rsidR="004231CC">
          <w:rPr>
            <w:rFonts w:eastAsia="Calibri"/>
            <w:color w:val="0000FF"/>
            <w:u w:val="single"/>
          </w:rPr>
          <w:t>5.35</w:t>
        </w:r>
        <w:r w:rsidRPr="00AD081E">
          <w:rPr>
            <w:rFonts w:eastAsia="Calibri"/>
            <w:color w:val="0000FF"/>
            <w:u w:val="single"/>
          </w:rPr>
          <w:t>.3.1.10.1</w:t>
        </w:r>
      </w:hyperlink>
      <w:r w:rsidRPr="00AD081E">
        <w:rPr>
          <w:rFonts w:eastAsia="Calibri"/>
        </w:rPr>
        <w:t>). Depending on the network characteristics, it could take a while to send the request and get a response.</w:t>
      </w:r>
    </w:p>
    <w:p w14:paraId="53CF30A7" w14:textId="77777777" w:rsidR="00AD081E" w:rsidRPr="00AD081E" w:rsidRDefault="00AD081E" w:rsidP="00AD081E">
      <w:pPr>
        <w:rPr>
          <w:rFonts w:eastAsia="Calibri"/>
        </w:rPr>
      </w:pPr>
      <w:r w:rsidRPr="00AD081E">
        <w:rPr>
          <w:rFonts w:eastAsia="Calibri"/>
        </w:rPr>
        <w:t>If the dot turns red instead, there is likely something wrong with the TSNIF interface, the TDM Distribution Agent configuration, or possibly with the LINT or TSNIF server on the TCIP.</w:t>
      </w:r>
    </w:p>
    <w:p w14:paraId="4E8A6BC8" w14:textId="233FB276" w:rsidR="00AD081E" w:rsidRPr="00AD081E" w:rsidRDefault="00AD081E" w:rsidP="00AD081E">
      <w:pPr>
        <w:rPr>
          <w:rFonts w:eastAsia="Calibri"/>
        </w:rPr>
      </w:pPr>
      <w:r w:rsidRPr="00AD081E">
        <w:rPr>
          <w:rFonts w:eastAsia="Calibri"/>
          <w:b/>
        </w:rPr>
        <w:t xml:space="preserve">TSRT Scenario Director – </w:t>
      </w: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xml:space="preserve">– </w:t>
      </w:r>
      <w:r w:rsidRPr="00AD081E">
        <w:rPr>
          <w:rFonts w:eastAsia="Calibri"/>
          <w:b/>
          <w:i/>
        </w:rPr>
        <w:t>Execution Folder Name</w:t>
      </w:r>
      <w:r w:rsidRPr="00AD081E">
        <w:rPr>
          <w:rFonts w:eastAsia="Calibri"/>
          <w:b/>
        </w:rPr>
        <w:br/>
      </w:r>
      <w:r w:rsidRPr="00AD081E">
        <w:rPr>
          <w:rFonts w:eastAsia="Calibri"/>
        </w:rPr>
        <w:t xml:space="preserve">In the TSRT Scenario Director, view the ping log. You should eventually see three messages: </w:t>
      </w:r>
      <w:r w:rsidRPr="00AD081E">
        <w:rPr>
          <w:rFonts w:eastAsia="Calibri"/>
          <w:b/>
        </w:rPr>
        <w:t>Ping</w:t>
      </w:r>
      <w:r w:rsidRPr="00AD081E">
        <w:rPr>
          <w:rFonts w:eastAsia="Calibri"/>
        </w:rPr>
        <w:t xml:space="preserve">, </w:t>
      </w:r>
      <w:r w:rsidRPr="00AD081E">
        <w:rPr>
          <w:rFonts w:eastAsia="Calibri"/>
          <w:b/>
        </w:rPr>
        <w:t>Ping Response</w:t>
      </w:r>
      <w:r w:rsidRPr="00AD081E">
        <w:rPr>
          <w:rFonts w:eastAsia="Calibri"/>
        </w:rPr>
        <w:t xml:space="preserve">, and </w:t>
      </w:r>
      <w:r w:rsidRPr="00AD081E">
        <w:rPr>
          <w:rFonts w:eastAsia="Calibri"/>
          <w:b/>
        </w:rPr>
        <w:t>Ping Verification</w:t>
      </w:r>
      <w:r w:rsidRPr="00AD081E">
        <w:rPr>
          <w:rFonts w:eastAsia="Calibri"/>
        </w:rPr>
        <w:t xml:space="preserve">, with statuses of </w:t>
      </w:r>
      <w:r w:rsidRPr="00AD081E">
        <w:rPr>
          <w:rFonts w:eastAsia="Calibri"/>
          <w:b/>
        </w:rPr>
        <w:t>Received</w:t>
      </w:r>
      <w:r w:rsidRPr="00AD081E">
        <w:rPr>
          <w:rFonts w:eastAsia="Calibri"/>
        </w:rPr>
        <w:t xml:space="preserve">, </w:t>
      </w:r>
      <w:r w:rsidRPr="00AD081E">
        <w:rPr>
          <w:rFonts w:eastAsia="Calibri"/>
          <w:b/>
        </w:rPr>
        <w:t>Transmitted</w:t>
      </w:r>
      <w:r w:rsidRPr="00AD081E">
        <w:rPr>
          <w:rFonts w:eastAsia="Calibri"/>
        </w:rPr>
        <w:t xml:space="preserve">, and </w:t>
      </w:r>
      <w:r w:rsidRPr="00AD081E">
        <w:rPr>
          <w:rFonts w:eastAsia="Calibri"/>
          <w:b/>
        </w:rPr>
        <w:t>Received</w:t>
      </w:r>
      <w:r w:rsidRPr="00AD081E">
        <w:rPr>
          <w:rFonts w:eastAsia="Calibri"/>
        </w:rPr>
        <w:t xml:space="preserve"> respectively. A message status of </w:t>
      </w:r>
      <w:r w:rsidRPr="00AD081E">
        <w:rPr>
          <w:rFonts w:eastAsia="Calibri"/>
          <w:b/>
        </w:rPr>
        <w:t>Waiting</w:t>
      </w:r>
      <w:r w:rsidRPr="00AD081E">
        <w:rPr>
          <w:rFonts w:eastAsia="Calibri"/>
        </w:rPr>
        <w:t xml:space="preserve"> is shown whilst the TSN delay (if any) is being applied to that message.</w:t>
      </w:r>
    </w:p>
    <w:p w14:paraId="2F55ADD3" w14:textId="77777777" w:rsidR="00AD081E" w:rsidRPr="00AD081E" w:rsidRDefault="00AD081E" w:rsidP="00AD081E">
      <w:pPr>
        <w:rPr>
          <w:rFonts w:eastAsia="Calibri"/>
        </w:rPr>
      </w:pPr>
      <w:r w:rsidRPr="00AD081E">
        <w:rPr>
          <w:rFonts w:eastAsia="Calibri"/>
        </w:rPr>
        <w:t xml:space="preserve">Close the TSRT Scenario Director, answering </w:t>
      </w:r>
      <w:r w:rsidRPr="00AD081E">
        <w:rPr>
          <w:rFonts w:eastAsia="Calibri"/>
          <w:b/>
        </w:rPr>
        <w:t>Yes</w:t>
      </w:r>
      <w:r w:rsidRPr="00AD081E">
        <w:rPr>
          <w:rFonts w:eastAsia="Calibri"/>
        </w:rPr>
        <w:t xml:space="preserve"> to the unload question.</w:t>
      </w:r>
    </w:p>
    <w:p w14:paraId="04FA4D26" w14:textId="79F3F3F0" w:rsidR="00AD081E" w:rsidRPr="00AD081E" w:rsidRDefault="00AD081E" w:rsidP="00AD081E">
      <w:pPr>
        <w:rPr>
          <w:rFonts w:eastAsia="Calibri"/>
        </w:rPr>
      </w:pP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Rehearse (</w:t>
      </w:r>
      <w:r w:rsidRPr="00AD081E">
        <w:rPr>
          <w:rFonts w:eastAsia="Calibri"/>
          <w:b/>
          <w:i/>
        </w:rPr>
        <w:t>Folder Type</w:t>
      </w:r>
      <w:r w:rsidRPr="00AD081E">
        <w:rPr>
          <w:rFonts w:eastAsia="Calibri"/>
          <w:b/>
        </w:rPr>
        <w:t xml:space="preserve">) – </w:t>
      </w:r>
      <w:r w:rsidRPr="00AD081E">
        <w:rPr>
          <w:rFonts w:eastAsia="Calibri"/>
          <w:b/>
          <w:i/>
        </w:rPr>
        <w:t>Execution Folder Name</w:t>
      </w:r>
      <w:r w:rsidRPr="00AD081E">
        <w:rPr>
          <w:rFonts w:eastAsia="Calibri"/>
          <w:b/>
        </w:rPr>
        <w:br/>
      </w:r>
      <w:r w:rsidRPr="00AD081E">
        <w:rPr>
          <w:rFonts w:eastAsia="Calibri"/>
        </w:rPr>
        <w:t xml:space="preserve">Close the SMD, answering </w:t>
      </w:r>
      <w:r w:rsidRPr="00AD081E">
        <w:rPr>
          <w:rFonts w:eastAsia="Calibri"/>
          <w:b/>
        </w:rPr>
        <w:t>Yes</w:t>
      </w:r>
      <w:r w:rsidRPr="00AD081E">
        <w:rPr>
          <w:rFonts w:eastAsia="Calibri"/>
        </w:rPr>
        <w:t xml:space="preserve"> to stop TED strike execution.</w:t>
      </w:r>
    </w:p>
    <w:p w14:paraId="116E67F3" w14:textId="77777777" w:rsidR="00AD081E" w:rsidRPr="00AD081E" w:rsidRDefault="00AD081E" w:rsidP="001F4F64">
      <w:pPr>
        <w:pStyle w:val="Appendix3"/>
        <w:ind w:left="360"/>
      </w:pPr>
      <w:bookmarkStart w:id="8314" w:name="_Toc214283772"/>
      <w:r w:rsidRPr="00AD081E">
        <w:lastRenderedPageBreak/>
        <w:t>Configuring Communications: Networked with One TCIP</w:t>
      </w:r>
      <w:bookmarkEnd w:id="8314"/>
    </w:p>
    <w:p w14:paraId="53969125" w14:textId="77777777" w:rsidR="00AD081E" w:rsidRPr="00AD081E" w:rsidRDefault="00AD081E">
      <w:pPr>
        <w:keepNext/>
        <w:rPr>
          <w:rFonts w:eastAsia="Calibri"/>
          <w:b/>
        </w:rPr>
      </w:pPr>
      <w:r w:rsidRPr="00AD081E">
        <w:rPr>
          <w:rFonts w:eastAsia="Calibri"/>
          <w:b/>
        </w:rPr>
        <w:t>Networked Configuration with One TCIP (TSRT Running on Standalone MDS)</w:t>
      </w:r>
    </w:p>
    <w:p w14:paraId="524B174D" w14:textId="77777777" w:rsidR="00AD081E" w:rsidRPr="00AD081E" w:rsidRDefault="00AD081E" w:rsidP="00AD081E">
      <w:pPr>
        <w:tabs>
          <w:tab w:val="left" w:pos="720"/>
        </w:tabs>
        <w:jc w:val="center"/>
      </w:pPr>
      <w:r w:rsidRPr="00AD081E">
        <w:rPr>
          <w:noProof/>
        </w:rPr>
        <w:drawing>
          <wp:inline distT="0" distB="0" distL="0" distR="0" wp14:anchorId="296F9501" wp14:editId="17E726CB">
            <wp:extent cx="2743200" cy="3831336"/>
            <wp:effectExtent l="0" t="0" r="0" b="0"/>
            <wp:docPr id="694" name="Picture 69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Picture 694" descr="Diagram&#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743200" cy="3831336"/>
                    </a:xfrm>
                    <a:prstGeom prst="rect">
                      <a:avLst/>
                    </a:prstGeom>
                  </pic:spPr>
                </pic:pic>
              </a:graphicData>
            </a:graphic>
          </wp:inline>
        </w:drawing>
      </w:r>
    </w:p>
    <w:p w14:paraId="25C9BD2A" w14:textId="77777777" w:rsidR="00AD081E" w:rsidRPr="00AD081E" w:rsidRDefault="00AD081E" w:rsidP="00AD081E">
      <w:pPr>
        <w:rPr>
          <w:rFonts w:eastAsia="Calibri"/>
        </w:rPr>
      </w:pPr>
      <w:r w:rsidRPr="00AD081E">
        <w:rPr>
          <w:rFonts w:eastAsia="Calibri"/>
        </w:rPr>
        <w:t>In these configurations, there are live TED, MDS, or TTWCS nodes in the rehearsal other than TSRT’s TED. Communications between the live nodes are provided by a single TCIP to which all live participants are connected.</w:t>
      </w:r>
    </w:p>
    <w:p w14:paraId="476AC614" w14:textId="484B5366" w:rsidR="00AD081E" w:rsidRPr="00AD081E" w:rsidRDefault="00AD081E" w:rsidP="00AD081E">
      <w:pPr>
        <w:rPr>
          <w:rFonts w:eastAsia="Calibri"/>
        </w:rPr>
      </w:pPr>
      <w:r w:rsidRPr="00AD081E">
        <w:rPr>
          <w:rFonts w:eastAsia="Calibri"/>
        </w:rPr>
        <w:t>Commonly, TSRT is run on its own TED and the active strike roles (</w:t>
      </w:r>
      <w:r w:rsidR="009172F0">
        <w:rPr>
          <w:rFonts w:eastAsia="Calibri"/>
        </w:rPr>
        <w:t>TSC</w:t>
      </w:r>
      <w:r w:rsidRPr="00AD081E">
        <w:rPr>
          <w:rFonts w:eastAsia="Calibri"/>
        </w:rPr>
        <w:t xml:space="preserve">, </w:t>
      </w:r>
      <w:r w:rsidR="009172F0">
        <w:rPr>
          <w:rFonts w:eastAsia="Calibri"/>
        </w:rPr>
        <w:t>ATSC</w:t>
      </w:r>
      <w:r w:rsidRPr="00AD081E">
        <w:rPr>
          <w:rFonts w:eastAsia="Calibri"/>
        </w:rPr>
        <w:t>, etc.) are allocated to nodes other than the TSRT’s TED; this provides the cleanest separation between TSRT and the other strike participants and the most realistic use of communication paths.</w:t>
      </w:r>
    </w:p>
    <w:p w14:paraId="663DD497" w14:textId="74EEF490" w:rsidR="00AD081E" w:rsidRPr="00AD081E" w:rsidRDefault="00AD081E" w:rsidP="00AD081E">
      <w:pPr>
        <w:rPr>
          <w:rFonts w:eastAsia="Calibri"/>
        </w:rPr>
      </w:pPr>
      <w:r w:rsidRPr="00AD081E">
        <w:rPr>
          <w:rFonts w:eastAsia="Calibri"/>
        </w:rPr>
        <w:t xml:space="preserve">This configuration is used for classroom </w:t>
      </w:r>
      <w:r w:rsidR="00585EAF" w:rsidRPr="00AD081E">
        <w:rPr>
          <w:rFonts w:eastAsia="Calibri"/>
        </w:rPr>
        <w:t>training and</w:t>
      </w:r>
      <w:r w:rsidRPr="00AD081E">
        <w:rPr>
          <w:rFonts w:eastAsia="Calibri"/>
        </w:rPr>
        <w:t xml:space="preserve"> may also be used to support testing.</w:t>
      </w:r>
    </w:p>
    <w:p w14:paraId="6D119133" w14:textId="77777777" w:rsidR="00AD081E" w:rsidRPr="00AD081E" w:rsidRDefault="00AD081E" w:rsidP="00D06531">
      <w:pPr>
        <w:pStyle w:val="Appendix4"/>
        <w:ind w:left="360"/>
      </w:pPr>
      <w:r w:rsidRPr="00AD081E">
        <w:t>Before You Begin</w:t>
      </w:r>
    </w:p>
    <w:p w14:paraId="55FC4464" w14:textId="77777777" w:rsidR="00AD081E" w:rsidRPr="00AD081E" w:rsidRDefault="00AD081E" w:rsidP="00AD081E">
      <w:pPr>
        <w:rPr>
          <w:rFonts w:eastAsia="Calibri"/>
        </w:rPr>
      </w:pPr>
      <w:r w:rsidRPr="00AD081E">
        <w:rPr>
          <w:rFonts w:eastAsia="Calibri"/>
        </w:rPr>
        <w:t>Before starting communications configuration, have the following available to you:</w:t>
      </w:r>
    </w:p>
    <w:p w14:paraId="49D89BB3" w14:textId="77777777" w:rsidR="00AD081E" w:rsidRPr="00AD081E" w:rsidRDefault="00AD081E" w:rsidP="006D5A65">
      <w:pPr>
        <w:pStyle w:val="Heading1"/>
      </w:pPr>
      <w:r w:rsidRPr="00AD081E">
        <w:t>A list of the platform IDs of participants in the strike. This should include all of the platforms from the strike arsenals of all of the strikes in the execution folder(s) you will be rehearsing.</w:t>
      </w:r>
    </w:p>
    <w:p w14:paraId="15DA0709" w14:textId="77777777" w:rsidR="00AD081E" w:rsidRPr="00AD081E" w:rsidRDefault="00AD081E" w:rsidP="006D5A65">
      <w:pPr>
        <w:pStyle w:val="Heading1"/>
      </w:pPr>
      <w:r w:rsidRPr="00AD081E">
        <w:t xml:space="preserve">A list of the node names of participants in the strike. This should include all of the nodes from the strike arsenals of </w:t>
      </w:r>
      <w:r w:rsidRPr="00AD081E">
        <w:lastRenderedPageBreak/>
        <w:t>all of the strikes in the execution folder(s) you will be rehearsing.</w:t>
      </w:r>
    </w:p>
    <w:p w14:paraId="684C920C" w14:textId="77777777" w:rsidR="00AD081E" w:rsidRPr="00AD081E" w:rsidRDefault="00AD081E" w:rsidP="006D5A65">
      <w:pPr>
        <w:pStyle w:val="Heading1"/>
      </w:pPr>
      <w:r w:rsidRPr="00AD081E">
        <w:t>For each node, whether the node will be live or simulated.</w:t>
      </w:r>
    </w:p>
    <w:p w14:paraId="5C8BD5E3" w14:textId="77777777" w:rsidR="00AD081E" w:rsidRPr="00AD081E" w:rsidRDefault="00AD081E" w:rsidP="006D5A65">
      <w:pPr>
        <w:pStyle w:val="Heading1"/>
      </w:pPr>
      <w:r w:rsidRPr="00AD081E">
        <w:t>For each node, the TED, MDS, and TTWCS version numbers (as appropriate to the node type).</w:t>
      </w:r>
    </w:p>
    <w:p w14:paraId="7B994525" w14:textId="77777777" w:rsidR="00AD081E" w:rsidRPr="00AD081E" w:rsidRDefault="00AD081E" w:rsidP="006D5A65">
      <w:pPr>
        <w:pStyle w:val="Heading1"/>
      </w:pPr>
      <w:r w:rsidRPr="00AD081E">
        <w:t>The OTH subscriber ID (SID) for each node in the strike.</w:t>
      </w:r>
    </w:p>
    <w:p w14:paraId="41FE9AEC" w14:textId="77777777" w:rsidR="00AD081E" w:rsidRPr="00AD081E" w:rsidRDefault="00AD081E" w:rsidP="006D5A65">
      <w:pPr>
        <w:pStyle w:val="Heading1"/>
      </w:pPr>
      <w:r w:rsidRPr="00AD081E">
        <w:t>The internet protocol (IP) address of the machine that hosts the TSRT’s TED. If using a CMSA configuration (the TED web services [IIS] are on a separate machine from the TED database [DB]), use the address for the machine hosting the TED web services.</w:t>
      </w:r>
    </w:p>
    <w:p w14:paraId="5F8A1A96" w14:textId="77777777" w:rsidR="00AD081E" w:rsidRPr="00AD081E" w:rsidRDefault="00AD081E" w:rsidP="006D5A65">
      <w:pPr>
        <w:pStyle w:val="Heading1"/>
      </w:pPr>
      <w:r w:rsidRPr="00AD081E">
        <w:t>The internet protocol (IP) address of each live participating TED, MDS, or TTWCS node. If using a CMSA configuration (the TED web services [IIS] are on a separate machine from the TED database [DB]), use the address for the machine hosting the TED web services.</w:t>
      </w:r>
    </w:p>
    <w:p w14:paraId="502AD7F0" w14:textId="77777777" w:rsidR="00AD081E" w:rsidRPr="00AD081E" w:rsidRDefault="00AD081E" w:rsidP="006D5A65">
      <w:pPr>
        <w:pStyle w:val="Heading1"/>
      </w:pPr>
      <w:r w:rsidRPr="00AD081E">
        <w:t>The TDM</w:t>
      </w:r>
      <w:r w:rsidRPr="00AD081E">
        <w:rPr>
          <w:rFonts w:eastAsia="Calibri"/>
        </w:rPr>
        <w:t xml:space="preserve"> Distribution Agent</w:t>
      </w:r>
      <w:r w:rsidRPr="00AD081E">
        <w:t xml:space="preserve"> port number used by each live participating TED, MDS, or TTWCS node (usually 9500).</w:t>
      </w:r>
    </w:p>
    <w:p w14:paraId="16AAFE29" w14:textId="77777777" w:rsidR="00AD081E" w:rsidRPr="00AD081E" w:rsidRDefault="00AD081E" w:rsidP="006D5A65">
      <w:pPr>
        <w:pStyle w:val="Heading1"/>
      </w:pPr>
      <w:r w:rsidRPr="00AD081E">
        <w:t>The IP address of the TCIP.</w:t>
      </w:r>
    </w:p>
    <w:p w14:paraId="38E53AEB" w14:textId="77777777" w:rsidR="00AD081E" w:rsidRPr="00AD081E" w:rsidRDefault="00AD081E" w:rsidP="006D5A65">
      <w:pPr>
        <w:pStyle w:val="Heading1"/>
      </w:pPr>
      <w:r w:rsidRPr="00AD081E">
        <w:t>The administrator password for the LINT tool.</w:t>
      </w:r>
    </w:p>
    <w:p w14:paraId="4D1222E9" w14:textId="77777777" w:rsidR="00AD081E" w:rsidRPr="00AD081E" w:rsidRDefault="00AD081E" w:rsidP="006D5A65">
      <w:pPr>
        <w:pStyle w:val="Heading1"/>
      </w:pPr>
      <w:r w:rsidRPr="00AD081E">
        <w:t>The administrator password for the TSNIF tool.</w:t>
      </w:r>
    </w:p>
    <w:p w14:paraId="4BD220CE" w14:textId="77777777" w:rsidR="00AD081E" w:rsidRPr="00AD081E" w:rsidRDefault="00AD081E" w:rsidP="00D06531">
      <w:pPr>
        <w:pStyle w:val="Appendix4"/>
        <w:ind w:left="360"/>
      </w:pPr>
      <w:r w:rsidRPr="00AD081E">
        <w:t>Configure Communications</w:t>
      </w:r>
    </w:p>
    <w:p w14:paraId="574168B5" w14:textId="6C045D33" w:rsidR="00AD081E" w:rsidRPr="00AD081E" w:rsidRDefault="00AD081E" w:rsidP="00D06531">
      <w:pPr>
        <w:rPr>
          <w:rFonts w:eastAsia="Calibri"/>
        </w:rPr>
      </w:pPr>
      <w:r w:rsidRPr="00AD081E">
        <w:rPr>
          <w:rFonts w:eastAsia="Calibri"/>
        </w:rPr>
        <w:t xml:space="preserve">The approach here is to configure node communications correctly on one TED, set up the communications interfaces and routes, then to publish the node communications information to the other live systems. In the following instructions, we have chosen to set up the node communication on the TSRT’s TED (since it is already special in other ways), but it would be equally valid to configure the node communications on another TED (say, the </w:t>
      </w:r>
      <w:r w:rsidR="009172F0">
        <w:rPr>
          <w:rFonts w:eastAsia="Calibri"/>
        </w:rPr>
        <w:t>TSC</w:t>
      </w:r>
      <w:r w:rsidR="009172F0" w:rsidRPr="00AD081E">
        <w:rPr>
          <w:rFonts w:eastAsia="Calibri"/>
        </w:rPr>
        <w:t xml:space="preserve"> </w:t>
      </w:r>
      <w:r w:rsidRPr="00AD081E">
        <w:rPr>
          <w:rFonts w:eastAsia="Calibri"/>
        </w:rPr>
        <w:t>TED), then publish from the</w:t>
      </w:r>
      <w:r w:rsidR="009172F0">
        <w:rPr>
          <w:rFonts w:eastAsia="Calibri"/>
        </w:rPr>
        <w:t xml:space="preserve"> TSC</w:t>
      </w:r>
      <w:r w:rsidRPr="00AD081E">
        <w:rPr>
          <w:rFonts w:eastAsia="Calibri"/>
        </w:rPr>
        <w:t xml:space="preserve"> TED to TSRT’s TED and the other live nodes.</w:t>
      </w:r>
    </w:p>
    <w:p w14:paraId="035ADAD9" w14:textId="77777777" w:rsidR="00AD081E" w:rsidRPr="00AD081E" w:rsidRDefault="00AD081E" w:rsidP="00D06531">
      <w:pPr>
        <w:rPr>
          <w:rFonts w:eastAsia="Calibri"/>
        </w:rPr>
      </w:pPr>
      <w:r w:rsidRPr="00AD081E">
        <w:rPr>
          <w:rFonts w:eastAsia="Calibri"/>
        </w:rPr>
        <w:t>It would also be equally valid, but more work and more prone to error, to individually configure each node without sending a DDO with the configuration information.</w:t>
      </w:r>
    </w:p>
    <w:p w14:paraId="4F8A6A4F" w14:textId="77777777" w:rsidR="00AD081E" w:rsidRPr="00AD081E" w:rsidRDefault="00AD081E" w:rsidP="00D06531">
      <w:pPr>
        <w:pStyle w:val="Appendix5"/>
      </w:pPr>
      <w:r w:rsidRPr="00AD081E">
        <w:t>Configure Node Communications</w:t>
      </w:r>
    </w:p>
    <w:p w14:paraId="0C1D2A60"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Nodes</w:t>
      </w:r>
      <w:r w:rsidRPr="00AD081E">
        <w:rPr>
          <w:rFonts w:eastAsia="Calibri"/>
        </w:rPr>
        <w:t xml:space="preserve"> from the menu. For each node in your list of participating nodes, configure the node as follows:</w:t>
      </w:r>
    </w:p>
    <w:p w14:paraId="55EF57E6" w14:textId="77777777" w:rsidR="00AD081E" w:rsidRPr="00AD081E" w:rsidRDefault="00AD081E" w:rsidP="00AD081E">
      <w:pPr>
        <w:rPr>
          <w:rFonts w:eastAsia="Calibri"/>
        </w:rPr>
      </w:pPr>
      <w:r w:rsidRPr="00AD081E">
        <w:rPr>
          <w:rFonts w:eastAsia="Calibri"/>
          <w:b/>
        </w:rPr>
        <w:t>Nodes</w:t>
      </w:r>
      <w:r w:rsidRPr="00AD081E">
        <w:rPr>
          <w:rFonts w:eastAsia="Calibri"/>
          <w:b/>
        </w:rPr>
        <w:br/>
      </w:r>
      <w:r w:rsidRPr="00AD081E">
        <w:rPr>
          <w:rFonts w:eastAsia="Calibri"/>
        </w:rPr>
        <w:t xml:space="preserve">Select the node in the list. Double-click on it, or right-click and choose </w:t>
      </w:r>
      <w:r w:rsidRPr="00AD081E">
        <w:rPr>
          <w:rFonts w:eastAsia="Calibri"/>
          <w:b/>
        </w:rPr>
        <w:t>Display</w:t>
      </w:r>
      <w:r w:rsidRPr="00AD081E">
        <w:rPr>
          <w:b/>
        </w:rPr>
        <w:t xml:space="preserve"> </w:t>
      </w:r>
      <w:r w:rsidRPr="00AD081E">
        <w:rPr>
          <w:b/>
        </w:rPr>
        <w:sym w:font="Wingdings" w:char="F0E0"/>
      </w:r>
      <w:r w:rsidRPr="00AD081E">
        <w:rPr>
          <w:b/>
        </w:rPr>
        <w:t xml:space="preserve"> </w:t>
      </w:r>
      <w:r w:rsidRPr="00AD081E">
        <w:rPr>
          <w:rFonts w:eastAsia="Calibri"/>
          <w:b/>
        </w:rPr>
        <w:t>Textually</w:t>
      </w:r>
      <w:r w:rsidRPr="00AD081E">
        <w:rPr>
          <w:rFonts w:eastAsia="Calibri"/>
        </w:rPr>
        <w:t xml:space="preserve"> from the context menu.</w:t>
      </w:r>
    </w:p>
    <w:p w14:paraId="5A0C0724" w14:textId="77777777" w:rsidR="00AD081E" w:rsidRPr="00AD081E" w:rsidRDefault="00AD081E" w:rsidP="00AD081E">
      <w:pPr>
        <w:rPr>
          <w:rFonts w:eastAsia="Calibri"/>
        </w:rPr>
      </w:pPr>
      <w:r w:rsidRPr="00AD081E">
        <w:rPr>
          <w:rFonts w:eastAsia="Calibri"/>
          <w:b/>
        </w:rPr>
        <w:t xml:space="preserve">Node: </w:t>
      </w:r>
      <w:r w:rsidRPr="00AD081E">
        <w:rPr>
          <w:rFonts w:eastAsia="Calibri"/>
          <w:b/>
          <w:i/>
        </w:rPr>
        <w:t>Node Name</w:t>
      </w:r>
      <w:r w:rsidRPr="00AD081E">
        <w:rPr>
          <w:rFonts w:eastAsia="Calibri"/>
          <w:b/>
        </w:rPr>
        <w:br/>
      </w:r>
      <w:r w:rsidRPr="00AD081E">
        <w:rPr>
          <w:rFonts w:eastAsia="Calibri"/>
        </w:rPr>
        <w:t xml:space="preserve">On the </w:t>
      </w:r>
      <w:r w:rsidRPr="00AD081E">
        <w:rPr>
          <w:rFonts w:eastAsia="Calibri"/>
          <w:b/>
          <w:i/>
        </w:rPr>
        <w:t>Capabilities</w:t>
      </w:r>
      <w:r w:rsidRPr="00AD081E">
        <w:rPr>
          <w:rFonts w:eastAsia="Calibri"/>
        </w:rPr>
        <w:t xml:space="preserve"> tab, check the </w:t>
      </w:r>
      <w:r w:rsidRPr="00AD081E">
        <w:rPr>
          <w:rFonts w:eastAsia="Calibri"/>
          <w:b/>
        </w:rPr>
        <w:t>Legacy (OTH)</w:t>
      </w:r>
      <w:r w:rsidRPr="00AD081E">
        <w:rPr>
          <w:rFonts w:eastAsia="Calibri"/>
        </w:rPr>
        <w:t xml:space="preserve"> checkbox if it is not already checked. From the drop down labeled </w:t>
      </w:r>
      <w:r w:rsidRPr="00AD081E">
        <w:rPr>
          <w:rFonts w:eastAsia="Calibri"/>
          <w:b/>
        </w:rPr>
        <w:t>Preferred Receive Method</w:t>
      </w:r>
      <w:r w:rsidRPr="00AD081E">
        <w:rPr>
          <w:rFonts w:eastAsia="Calibri"/>
        </w:rPr>
        <w:t xml:space="preserve">, choose </w:t>
      </w:r>
      <w:r w:rsidRPr="00AD081E">
        <w:rPr>
          <w:rFonts w:eastAsia="Calibri"/>
          <w:b/>
        </w:rPr>
        <w:t>Legacy (OTH)</w:t>
      </w:r>
      <w:r w:rsidRPr="00AD081E">
        <w:rPr>
          <w:rFonts w:eastAsia="Calibri"/>
        </w:rPr>
        <w:t xml:space="preserve">. In the field labeled </w:t>
      </w:r>
      <w:r w:rsidRPr="00AD081E">
        <w:rPr>
          <w:rFonts w:eastAsia="Calibri"/>
          <w:b/>
        </w:rPr>
        <w:t>SID</w:t>
      </w:r>
      <w:r w:rsidRPr="00AD081E">
        <w:rPr>
          <w:rFonts w:eastAsia="Calibri"/>
        </w:rPr>
        <w:t>, enter the node’s OTH SID. Make sure that the TED and MDS version numbers are (or TTWCS version number is) set to the correct value (e.g., 7.0, or 5.4.0.2).</w:t>
      </w:r>
    </w:p>
    <w:p w14:paraId="1A7AE232" w14:textId="77777777" w:rsidR="00AD081E" w:rsidRPr="00AD081E" w:rsidRDefault="00AD081E" w:rsidP="00AD081E">
      <w:pPr>
        <w:rPr>
          <w:rFonts w:eastAsia="Calibri"/>
        </w:rPr>
      </w:pPr>
      <w:r w:rsidRPr="00AD081E">
        <w:rPr>
          <w:rFonts w:eastAsia="Calibri"/>
          <w:b/>
        </w:rPr>
        <w:lastRenderedPageBreak/>
        <w:t>Note:</w:t>
      </w:r>
      <w:r w:rsidRPr="00AD081E">
        <w:rPr>
          <w:rFonts w:eastAsia="Calibri"/>
        </w:rPr>
        <w:t xml:space="preserve"> It is not necessary to specify the TCIP address here.</w:t>
      </w:r>
    </w:p>
    <w:p w14:paraId="77446423" w14:textId="77777777" w:rsidR="00AD081E" w:rsidRPr="00AD081E" w:rsidRDefault="00AD081E" w:rsidP="00AD081E">
      <w:pPr>
        <w:rPr>
          <w:rFonts w:eastAsia="Calibri"/>
        </w:rPr>
      </w:pPr>
      <w:r w:rsidRPr="00AD081E">
        <w:rPr>
          <w:rFonts w:eastAsia="Calibri"/>
        </w:rPr>
        <w:t xml:space="preserve">Click </w:t>
      </w:r>
      <w:r w:rsidRPr="00AD081E">
        <w:rPr>
          <w:rFonts w:eastAsia="Calibri"/>
          <w:b/>
        </w:rPr>
        <w:t>t</w:t>
      </w:r>
      <w:r w:rsidRPr="00AD081E">
        <w:rPr>
          <w:rFonts w:eastAsia="Calibri"/>
        </w:rPr>
        <w:t xml:space="preserve">he </w:t>
      </w:r>
      <w:r w:rsidRPr="00AD081E">
        <w:rPr>
          <w:rFonts w:eastAsia="Calibri"/>
          <w:b/>
        </w:rPr>
        <w:t>Save</w:t>
      </w:r>
      <w:r w:rsidRPr="00AD081E">
        <w:rPr>
          <w:rFonts w:eastAsia="Calibri"/>
        </w:rPr>
        <w:t xml:space="preserve"> icon on the toolbar, or select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w:t>
      </w:r>
      <w:r w:rsidRPr="00AD081E">
        <w:rPr>
          <w:rFonts w:eastAsia="Calibri"/>
        </w:rPr>
        <w:t xml:space="preserve"> from the menu, to save your changes. Close the node dialog.</w:t>
      </w:r>
    </w:p>
    <w:p w14:paraId="15C299F7" w14:textId="77777777" w:rsidR="00AD081E" w:rsidRPr="00AD081E" w:rsidRDefault="00AD081E" w:rsidP="00AD081E">
      <w:pPr>
        <w:keepNext/>
        <w:rPr>
          <w:rFonts w:eastAsia="Calibri"/>
          <w:b/>
        </w:rPr>
      </w:pPr>
      <w:r w:rsidRPr="00AD081E">
        <w:rPr>
          <w:rFonts w:eastAsia="Calibri"/>
          <w:b/>
        </w:rPr>
        <w:t>Node Configuration for TED Node</w:t>
      </w:r>
    </w:p>
    <w:p w14:paraId="659946F6" w14:textId="77777777" w:rsidR="00AD081E" w:rsidRPr="00AD081E" w:rsidRDefault="00AD081E" w:rsidP="00AD081E">
      <w:pPr>
        <w:tabs>
          <w:tab w:val="left" w:pos="720"/>
        </w:tabs>
        <w:jc w:val="center"/>
      </w:pPr>
      <w:r w:rsidRPr="00AD081E">
        <w:rPr>
          <w:noProof/>
        </w:rPr>
        <w:drawing>
          <wp:inline distT="0" distB="0" distL="0" distR="0" wp14:anchorId="6C827213" wp14:editId="0F033AB5">
            <wp:extent cx="3657600" cy="2551176"/>
            <wp:effectExtent l="0" t="0" r="0" b="1905"/>
            <wp:docPr id="2100" name="Picture 210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 name="Picture 2100" descr="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2551176"/>
                    </a:xfrm>
                    <a:prstGeom prst="rect">
                      <a:avLst/>
                    </a:prstGeom>
                  </pic:spPr>
                </pic:pic>
              </a:graphicData>
            </a:graphic>
          </wp:inline>
        </w:drawing>
      </w:r>
    </w:p>
    <w:p w14:paraId="444427FB" w14:textId="77777777" w:rsidR="00AD081E" w:rsidRPr="00AD081E" w:rsidRDefault="00AD081E" w:rsidP="001F4B14">
      <w:pPr>
        <w:keepNext/>
        <w:spacing w:before="120"/>
        <w:rPr>
          <w:rFonts w:eastAsia="Calibri"/>
          <w:b/>
        </w:rPr>
      </w:pPr>
      <w:r w:rsidRPr="00AD081E">
        <w:rPr>
          <w:rFonts w:eastAsia="Calibri"/>
          <w:b/>
        </w:rPr>
        <w:t>Node Configuration for TTWCS Node</w:t>
      </w:r>
    </w:p>
    <w:p w14:paraId="05BE8F25" w14:textId="77777777" w:rsidR="00AD081E" w:rsidRPr="00AD081E" w:rsidRDefault="00AD081E" w:rsidP="00AD081E">
      <w:pPr>
        <w:tabs>
          <w:tab w:val="left" w:pos="720"/>
        </w:tabs>
        <w:jc w:val="center"/>
      </w:pPr>
      <w:r w:rsidRPr="00AD081E">
        <w:rPr>
          <w:noProof/>
        </w:rPr>
        <w:drawing>
          <wp:inline distT="0" distB="0" distL="0" distR="0" wp14:anchorId="58399901" wp14:editId="09EFF50B">
            <wp:extent cx="3657600" cy="2542032"/>
            <wp:effectExtent l="0" t="0" r="0" b="0"/>
            <wp:docPr id="2109" name="Picture 2109"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 name="Picture 2109" descr="Graphical user interface, tabl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2542032"/>
                    </a:xfrm>
                    <a:prstGeom prst="rect">
                      <a:avLst/>
                    </a:prstGeom>
                  </pic:spPr>
                </pic:pic>
              </a:graphicData>
            </a:graphic>
          </wp:inline>
        </w:drawing>
      </w:r>
    </w:p>
    <w:p w14:paraId="7A863270" w14:textId="77777777" w:rsidR="00AD081E" w:rsidRPr="00AD081E" w:rsidRDefault="00AD081E" w:rsidP="00D06531">
      <w:pPr>
        <w:pStyle w:val="Appendix5"/>
      </w:pPr>
      <w:r w:rsidRPr="00AD081E">
        <w:t>Configure LINT Interfaces and Routes</w:t>
      </w:r>
    </w:p>
    <w:p w14:paraId="0949F524" w14:textId="77777777" w:rsidR="00AD081E" w:rsidRPr="00AD081E" w:rsidRDefault="00AD081E" w:rsidP="00306174">
      <w:pPr>
        <w:pStyle w:val="Appendix6"/>
      </w:pPr>
      <w:r w:rsidRPr="00AD081E">
        <w:t>Determine Scope of Changes</w:t>
      </w:r>
    </w:p>
    <w:p w14:paraId="754E22B1" w14:textId="77777777" w:rsidR="00AD081E" w:rsidRPr="00AD081E" w:rsidRDefault="00AD081E" w:rsidP="00AD081E">
      <w:pPr>
        <w:rPr>
          <w:rFonts w:eastAsia="Calibri"/>
        </w:rPr>
      </w:pPr>
      <w:r w:rsidRPr="00AD081E">
        <w:rPr>
          <w:rFonts w:eastAsia="Calibri"/>
        </w:rPr>
        <w:t>From Windows, start the LINT tool.</w:t>
      </w:r>
    </w:p>
    <w:p w14:paraId="5195DE7B"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At the bottom of the window, check the IP address labeled </w:t>
      </w:r>
      <w:r w:rsidRPr="00AD081E">
        <w:rPr>
          <w:rFonts w:eastAsia="Calibri"/>
          <w:b/>
        </w:rPr>
        <w:t>Server</w:t>
      </w:r>
      <w:r w:rsidRPr="00AD081E">
        <w:rPr>
          <w:rFonts w:eastAsia="Calibri"/>
        </w:rPr>
        <w:t xml:space="preserve"> against the IP address for your TCIP.</w:t>
      </w:r>
    </w:p>
    <w:p w14:paraId="7D84EA06" w14:textId="0E293020" w:rsidR="00AD081E" w:rsidRPr="00AD081E" w:rsidRDefault="00AD081E" w:rsidP="00AD081E">
      <w:pPr>
        <w:rPr>
          <w:rFonts w:eastAsia="Calibri"/>
        </w:rPr>
      </w:pPr>
      <w:r w:rsidRPr="00AD081E">
        <w:rPr>
          <w:rFonts w:eastAsia="Calibri"/>
        </w:rPr>
        <w:lastRenderedPageBreak/>
        <w:t xml:space="preserve">If the IP addresses differ, you will have to change LINT to point to the correct server before proceeding. First, login as administrator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LINT, then click </w:t>
      </w:r>
      <w:r w:rsidRPr="00AD081E">
        <w:rPr>
          <w:rFonts w:eastAsia="Calibri"/>
          <w:b/>
        </w:rPr>
        <w:t>OK</w:t>
      </w:r>
      <w:r w:rsidRPr="00AD081E">
        <w:rPr>
          <w:rFonts w:eastAsia="Calibri"/>
        </w:rPr>
        <w:t xml:space="preserve">. To change servers,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TCIP Server</w:t>
      </w:r>
      <w:r w:rsidRPr="00AD081E">
        <w:rPr>
          <w:rFonts w:eastAsia="Calibri"/>
        </w:rPr>
        <w:t xml:space="preserve"> from the menu. In the dialog that appears select the radio button to the left of your TCIP’s IP address (if it’s in the list) or select the radio button next to the blank text entry field and enter the TCIP’s IP address into the text field. Click on the </w:t>
      </w:r>
      <w:r w:rsidRPr="00AD081E">
        <w:rPr>
          <w:rFonts w:eastAsia="Calibri"/>
          <w:b/>
        </w:rPr>
        <w:t>Connect</w:t>
      </w:r>
      <w:r w:rsidRPr="00AD081E">
        <w:rPr>
          <w:rFonts w:eastAsia="Calibri"/>
        </w:rPr>
        <w:t xml:space="preserve"> button.</w:t>
      </w:r>
    </w:p>
    <w:p w14:paraId="6F12E41C" w14:textId="5D28002F" w:rsidR="00AD081E" w:rsidRPr="00AD081E" w:rsidRDefault="00AD081E" w:rsidP="00AD081E">
      <w:pPr>
        <w:rPr>
          <w:rFonts w:eastAsia="Calibri"/>
        </w:rPr>
      </w:pPr>
      <w:r w:rsidRPr="00AD081E">
        <w:rPr>
          <w:rFonts w:eastAsia="Calibri"/>
        </w:rPr>
        <w:t xml:space="preserve">If you have a </w:t>
      </w:r>
      <w:r w:rsidR="00585EAF" w:rsidRPr="00AD081E">
        <w:rPr>
          <w:rFonts w:eastAsia="Calibri"/>
        </w:rPr>
        <w:t>previously saved</w:t>
      </w:r>
      <w:r w:rsidRPr="00AD081E">
        <w:rPr>
          <w:rFonts w:eastAsia="Calibri"/>
        </w:rPr>
        <w:t xml:space="preserve"> LINT configuration that is close to what you need, load it now. First login as LINT administrator if you haven’t already.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LINT, then click </w:t>
      </w:r>
      <w:r w:rsidRPr="00AD081E">
        <w:rPr>
          <w:rFonts w:eastAsia="Calibri"/>
          <w:b/>
        </w:rPr>
        <w:t>OK</w:t>
      </w:r>
      <w:r w:rsidRPr="00AD081E">
        <w:rPr>
          <w:rFonts w:eastAsia="Calibri"/>
        </w:rPr>
        <w:t xml:space="preserve">.) 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Load Configuration</w:t>
      </w:r>
      <w:r w:rsidRPr="00AD081E">
        <w:rPr>
          <w:rFonts w:eastAsia="Calibri"/>
        </w:rPr>
        <w:t xml:space="preserve">. In the dialog that appears, select your configuration, then click the </w:t>
      </w:r>
      <w:r w:rsidRPr="00AD081E">
        <w:rPr>
          <w:rFonts w:eastAsia="Calibri"/>
          <w:b/>
        </w:rPr>
        <w:t>OK</w:t>
      </w:r>
      <w:r w:rsidRPr="00AD081E">
        <w:rPr>
          <w:rFonts w:eastAsia="Calibri"/>
        </w:rPr>
        <w:t xml:space="preserve"> button.</w:t>
      </w:r>
    </w:p>
    <w:p w14:paraId="42C5F0CC"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Interfaces</w:t>
      </w:r>
      <w:r w:rsidRPr="00AD081E">
        <w:rPr>
          <w:rFonts w:eastAsia="Calibri"/>
        </w:rPr>
        <w:t xml:space="preserve"> tab. Verify that, for each live participating node, including the TSRT’s TED, there is an interface defined with the correct IP address and port number and an interface type of OTH TCP. For each matching interface, note the interface name on your list of participating nodes.</w:t>
      </w:r>
    </w:p>
    <w:p w14:paraId="3EB387DE" w14:textId="77777777" w:rsidR="00AD081E" w:rsidRPr="00AD081E" w:rsidRDefault="00AD081E" w:rsidP="00AD081E">
      <w:pPr>
        <w:rPr>
          <w:rFonts w:eastAsia="Calibri"/>
        </w:rPr>
      </w:pPr>
      <w:r w:rsidRPr="00AD081E">
        <w:rPr>
          <w:rFonts w:eastAsia="Calibri"/>
        </w:rPr>
        <w:t>The IP address, port number, and interface type of an interface cannot be changed once the interface has been defined. If any of these parameters are not correct, the interface is considered missing.</w:t>
      </w:r>
    </w:p>
    <w:p w14:paraId="08702D9D" w14:textId="77777777" w:rsidR="00AD081E" w:rsidRPr="00AD081E" w:rsidRDefault="00AD081E" w:rsidP="00AD081E">
      <w:pPr>
        <w:rPr>
          <w:rFonts w:eastAsia="Calibri"/>
        </w:rPr>
      </w:pPr>
      <w:r w:rsidRPr="00AD081E">
        <w:rPr>
          <w:rFonts w:eastAsia="Calibri"/>
        </w:rPr>
        <w:t>Check each interface for the following discrepancies, noting any that must be corrected:</w:t>
      </w:r>
    </w:p>
    <w:p w14:paraId="52928AF8" w14:textId="77777777" w:rsidR="00AD081E" w:rsidRPr="00AD081E" w:rsidRDefault="00AD081E" w:rsidP="006D5A65">
      <w:pPr>
        <w:pStyle w:val="Heading1"/>
      </w:pPr>
      <w:r w:rsidRPr="00AD081E">
        <w:t>Missing interfaces.</w:t>
      </w:r>
    </w:p>
    <w:p w14:paraId="5AEA2901" w14:textId="77777777" w:rsidR="00AD081E" w:rsidRPr="00AD081E" w:rsidRDefault="00AD081E" w:rsidP="006D5A65">
      <w:pPr>
        <w:pStyle w:val="Heading1"/>
      </w:pPr>
      <w:r w:rsidRPr="00AD081E">
        <w:t>Interfaces with the correct IP address and port number, but the wrong SID.</w:t>
      </w:r>
    </w:p>
    <w:p w14:paraId="6433EE31" w14:textId="77777777" w:rsidR="00AD081E" w:rsidRPr="00AD081E" w:rsidRDefault="00AD081E" w:rsidP="006D5A65">
      <w:pPr>
        <w:pStyle w:val="Heading1"/>
      </w:pPr>
      <w:r w:rsidRPr="00AD081E">
        <w:t>Correctly defined interfaces which are not enabled.</w:t>
      </w:r>
    </w:p>
    <w:p w14:paraId="3745BE0B" w14:textId="77777777" w:rsidR="00AD081E" w:rsidRPr="00AD081E" w:rsidRDefault="00AD081E" w:rsidP="006D5A65">
      <w:pPr>
        <w:pStyle w:val="Heading1"/>
      </w:pPr>
      <w:r w:rsidRPr="00AD081E">
        <w:t>Interfaces defined with the wrong guard list. To prevent stray messages from affecting the rehearsal, the guard list should include all participants and no non-participants.</w:t>
      </w:r>
    </w:p>
    <w:p w14:paraId="09988996" w14:textId="77777777" w:rsidR="00AD081E" w:rsidRPr="00AD081E" w:rsidRDefault="00AD081E" w:rsidP="00AD081E">
      <w:pPr>
        <w:tabs>
          <w:tab w:val="left" w:pos="720"/>
        </w:tabs>
        <w:jc w:val="center"/>
      </w:pPr>
      <w:r w:rsidRPr="00AD081E">
        <w:rPr>
          <w:noProof/>
        </w:rPr>
        <w:drawing>
          <wp:inline distT="0" distB="0" distL="0" distR="0" wp14:anchorId="5348AC08" wp14:editId="55985ED1">
            <wp:extent cx="3657600" cy="2679192"/>
            <wp:effectExtent l="0" t="0" r="0" b="6985"/>
            <wp:docPr id="845" name="Picture 84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 name="Picture 845" descr="Graphical user interface, text,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2679192"/>
                    </a:xfrm>
                    <a:prstGeom prst="rect">
                      <a:avLst/>
                    </a:prstGeom>
                  </pic:spPr>
                </pic:pic>
              </a:graphicData>
            </a:graphic>
          </wp:inline>
        </w:drawing>
      </w:r>
    </w:p>
    <w:p w14:paraId="3BE2EDF3" w14:textId="77777777" w:rsidR="00AD081E" w:rsidRPr="00AD081E" w:rsidRDefault="00AD081E" w:rsidP="00AD081E">
      <w:pPr>
        <w:rPr>
          <w:rFonts w:eastAsia="Calibri"/>
        </w:rPr>
      </w:pPr>
      <w:r w:rsidRPr="00AD081E">
        <w:rPr>
          <w:rFonts w:eastAsia="Calibri"/>
        </w:rPr>
        <w:lastRenderedPageBreak/>
        <w:t xml:space="preserve">Click on the </w:t>
      </w:r>
      <w:r w:rsidRPr="00AD081E">
        <w:rPr>
          <w:rFonts w:eastAsia="Calibri"/>
          <w:b/>
          <w:i/>
        </w:rPr>
        <w:t>Routes</w:t>
      </w:r>
      <w:r w:rsidRPr="00AD081E">
        <w:rPr>
          <w:rFonts w:eastAsia="Calibri"/>
        </w:rPr>
        <w:t xml:space="preserve"> tab, then click on the </w:t>
      </w:r>
      <w:r w:rsidRPr="00AD081E">
        <w:rPr>
          <w:rFonts w:eastAsia="Calibri"/>
          <w:b/>
        </w:rPr>
        <w:t>Source</w:t>
      </w:r>
      <w:r w:rsidRPr="00AD081E">
        <w:rPr>
          <w:rFonts w:eastAsia="Calibri"/>
        </w:rPr>
        <w:t xml:space="preserve"> column head to sort the list by source interface name. Verify that for each pair of live nodes in your rehearsal, including the TSRT’s TED, there is a route from the first to the second, and another route from the second back to the first. Note any missing routes, as you will have to create these soon.</w:t>
      </w:r>
    </w:p>
    <w:p w14:paraId="0BCF4E6F" w14:textId="77777777" w:rsidR="00AD081E" w:rsidRPr="00AD081E" w:rsidRDefault="00AD081E" w:rsidP="00AD081E">
      <w:pPr>
        <w:tabs>
          <w:tab w:val="left" w:pos="720"/>
        </w:tabs>
        <w:jc w:val="center"/>
      </w:pPr>
      <w:r w:rsidRPr="00AD081E">
        <w:rPr>
          <w:noProof/>
        </w:rPr>
        <w:drawing>
          <wp:inline distT="0" distB="0" distL="0" distR="0" wp14:anchorId="6333C346" wp14:editId="517A5E21">
            <wp:extent cx="3657600" cy="2679192"/>
            <wp:effectExtent l="0" t="0" r="0" b="6985"/>
            <wp:docPr id="869" name="Picture 869"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 name="Picture 869" descr="Graphical user interface, tabl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2679192"/>
                    </a:xfrm>
                    <a:prstGeom prst="rect">
                      <a:avLst/>
                    </a:prstGeom>
                  </pic:spPr>
                </pic:pic>
              </a:graphicData>
            </a:graphic>
          </wp:inline>
        </w:drawing>
      </w:r>
    </w:p>
    <w:p w14:paraId="2B00B2EB" w14:textId="6B6FE39D" w:rsidR="00AD081E" w:rsidRPr="00AD081E" w:rsidRDefault="00AD081E" w:rsidP="00AD081E">
      <w:pPr>
        <w:rPr>
          <w:rFonts w:eastAsia="Calibri"/>
        </w:rPr>
      </w:pPr>
      <w:r w:rsidRPr="00AD081E">
        <w:rPr>
          <w:rFonts w:eastAsia="Calibri"/>
        </w:rPr>
        <w:t xml:space="preserve">For example, suppose I have a TED node dedicated to TSRT, a TED node for the </w:t>
      </w:r>
      <w:r w:rsidR="009172F0">
        <w:rPr>
          <w:rFonts w:eastAsia="Calibri"/>
        </w:rPr>
        <w:t>TSC</w:t>
      </w:r>
      <w:r w:rsidRPr="00AD081E">
        <w:rPr>
          <w:rFonts w:eastAsia="Calibri"/>
        </w:rPr>
        <w:t xml:space="preserve">, a TED node for the </w:t>
      </w:r>
      <w:r w:rsidR="009172F0">
        <w:rPr>
          <w:rFonts w:eastAsia="Calibri"/>
        </w:rPr>
        <w:t>ATSC</w:t>
      </w:r>
      <w:r w:rsidRPr="00AD081E">
        <w:rPr>
          <w:rFonts w:eastAsia="Calibri"/>
        </w:rPr>
        <w:t>, and a live TTWCS node. I will need the following routes:</w:t>
      </w:r>
    </w:p>
    <w:tbl>
      <w:tblPr>
        <w:tblStyle w:val="TableGrid2"/>
        <w:tblW w:w="0" w:type="auto"/>
        <w:jc w:val="center"/>
        <w:tblLook w:val="04A0" w:firstRow="1" w:lastRow="0" w:firstColumn="1" w:lastColumn="0" w:noHBand="0" w:noVBand="1"/>
      </w:tblPr>
      <w:tblGrid>
        <w:gridCol w:w="1451"/>
        <w:gridCol w:w="1761"/>
      </w:tblGrid>
      <w:tr w:rsidR="00AD081E" w:rsidRPr="00AD081E" w14:paraId="22B181DE" w14:textId="77777777" w:rsidTr="00AC4F37">
        <w:trPr>
          <w:jc w:val="center"/>
        </w:trPr>
        <w:tc>
          <w:tcPr>
            <w:tcW w:w="1451" w:type="dxa"/>
            <w:shd w:val="clear" w:color="auto" w:fill="D9D9D9"/>
          </w:tcPr>
          <w:p w14:paraId="54DCBCDC" w14:textId="77777777" w:rsidR="00AD081E" w:rsidRPr="00AD081E" w:rsidRDefault="00AD081E" w:rsidP="0056739E">
            <w:pPr>
              <w:spacing w:before="60" w:after="60"/>
              <w:jc w:val="center"/>
              <w:rPr>
                <w:rFonts w:ascii="Arial" w:hAnsi="Arial" w:cs="Arial"/>
                <w:b/>
                <w:sz w:val="20"/>
              </w:rPr>
            </w:pPr>
            <w:r w:rsidRPr="00AD081E">
              <w:rPr>
                <w:rFonts w:ascii="Arial" w:hAnsi="Arial" w:cs="Arial"/>
                <w:b/>
                <w:sz w:val="20"/>
              </w:rPr>
              <w:t>Source</w:t>
            </w:r>
          </w:p>
        </w:tc>
        <w:tc>
          <w:tcPr>
            <w:tcW w:w="1761" w:type="dxa"/>
            <w:shd w:val="clear" w:color="auto" w:fill="D9D9D9"/>
          </w:tcPr>
          <w:p w14:paraId="33461572" w14:textId="77777777" w:rsidR="00AD081E" w:rsidRPr="00AD081E" w:rsidRDefault="00AD081E" w:rsidP="0056739E">
            <w:pPr>
              <w:spacing w:before="60" w:after="60"/>
              <w:jc w:val="center"/>
              <w:rPr>
                <w:rFonts w:ascii="Arial" w:hAnsi="Arial" w:cs="Arial"/>
                <w:b/>
                <w:sz w:val="20"/>
              </w:rPr>
            </w:pPr>
            <w:r w:rsidRPr="00AD081E">
              <w:rPr>
                <w:rFonts w:ascii="Arial" w:hAnsi="Arial" w:cs="Arial"/>
                <w:b/>
                <w:sz w:val="20"/>
              </w:rPr>
              <w:t>Destination</w:t>
            </w:r>
          </w:p>
        </w:tc>
      </w:tr>
      <w:tr w:rsidR="00AD081E" w:rsidRPr="00AD081E" w14:paraId="34AEADF1" w14:textId="77777777" w:rsidTr="00AC4F37">
        <w:trPr>
          <w:jc w:val="center"/>
        </w:trPr>
        <w:tc>
          <w:tcPr>
            <w:tcW w:w="1451" w:type="dxa"/>
          </w:tcPr>
          <w:p w14:paraId="0ECFF81E" w14:textId="77777777" w:rsidR="00AD081E" w:rsidRPr="00AD081E" w:rsidRDefault="00AD081E" w:rsidP="0056739E">
            <w:pPr>
              <w:spacing w:before="60" w:after="60"/>
              <w:rPr>
                <w:rFonts w:ascii="Arial" w:hAnsi="Arial" w:cs="Arial"/>
                <w:sz w:val="20"/>
              </w:rPr>
            </w:pPr>
            <w:r w:rsidRPr="00AD081E">
              <w:rPr>
                <w:rFonts w:ascii="Arial" w:hAnsi="Arial" w:cs="Arial"/>
                <w:sz w:val="20"/>
              </w:rPr>
              <w:t>TSRT</w:t>
            </w:r>
          </w:p>
        </w:tc>
        <w:tc>
          <w:tcPr>
            <w:tcW w:w="1761" w:type="dxa"/>
          </w:tcPr>
          <w:p w14:paraId="5B6E61E6" w14:textId="3E7BF5D9" w:rsidR="00AD081E" w:rsidRPr="00AD081E" w:rsidRDefault="009172F0" w:rsidP="0056739E">
            <w:pPr>
              <w:spacing w:before="60" w:after="60"/>
              <w:rPr>
                <w:rFonts w:ascii="Arial" w:hAnsi="Arial" w:cs="Arial"/>
                <w:sz w:val="20"/>
              </w:rPr>
            </w:pPr>
            <w:r>
              <w:rPr>
                <w:rFonts w:ascii="Arial" w:hAnsi="Arial" w:cs="Arial"/>
                <w:sz w:val="20"/>
              </w:rPr>
              <w:t>TSC</w:t>
            </w:r>
          </w:p>
        </w:tc>
      </w:tr>
      <w:tr w:rsidR="00AD081E" w:rsidRPr="00AD081E" w14:paraId="4293D0F0" w14:textId="77777777" w:rsidTr="00AC4F37">
        <w:trPr>
          <w:jc w:val="center"/>
        </w:trPr>
        <w:tc>
          <w:tcPr>
            <w:tcW w:w="1451" w:type="dxa"/>
          </w:tcPr>
          <w:p w14:paraId="2C53B3EB" w14:textId="77777777" w:rsidR="00AD081E" w:rsidRPr="00AD081E" w:rsidRDefault="00AD081E" w:rsidP="0056739E">
            <w:pPr>
              <w:spacing w:before="60" w:after="60"/>
              <w:rPr>
                <w:rFonts w:ascii="Arial" w:hAnsi="Arial" w:cs="Arial"/>
                <w:sz w:val="20"/>
              </w:rPr>
            </w:pPr>
            <w:r w:rsidRPr="00AD081E">
              <w:rPr>
                <w:rFonts w:ascii="Arial" w:hAnsi="Arial" w:cs="Arial"/>
                <w:sz w:val="20"/>
              </w:rPr>
              <w:t>TSRT</w:t>
            </w:r>
          </w:p>
        </w:tc>
        <w:tc>
          <w:tcPr>
            <w:tcW w:w="1761" w:type="dxa"/>
          </w:tcPr>
          <w:p w14:paraId="222A0F25" w14:textId="34934A64" w:rsidR="00AD081E" w:rsidRPr="00AD081E" w:rsidRDefault="009172F0" w:rsidP="0056739E">
            <w:pPr>
              <w:spacing w:before="60" w:after="60"/>
              <w:rPr>
                <w:rFonts w:ascii="Arial" w:hAnsi="Arial" w:cs="Arial"/>
                <w:sz w:val="20"/>
              </w:rPr>
            </w:pPr>
            <w:r>
              <w:rPr>
                <w:rFonts w:ascii="Arial" w:hAnsi="Arial" w:cs="Arial"/>
                <w:sz w:val="20"/>
              </w:rPr>
              <w:t>ATSC</w:t>
            </w:r>
          </w:p>
        </w:tc>
      </w:tr>
      <w:tr w:rsidR="00AD081E" w:rsidRPr="00AD081E" w14:paraId="042A0124" w14:textId="77777777" w:rsidTr="00AC4F37">
        <w:trPr>
          <w:jc w:val="center"/>
        </w:trPr>
        <w:tc>
          <w:tcPr>
            <w:tcW w:w="1451" w:type="dxa"/>
          </w:tcPr>
          <w:p w14:paraId="3BC36081" w14:textId="77777777" w:rsidR="00AD081E" w:rsidRPr="00AD081E" w:rsidRDefault="00AD081E" w:rsidP="0056739E">
            <w:pPr>
              <w:spacing w:before="60" w:after="60"/>
              <w:rPr>
                <w:rFonts w:ascii="Arial" w:hAnsi="Arial" w:cs="Arial"/>
                <w:sz w:val="20"/>
              </w:rPr>
            </w:pPr>
            <w:r w:rsidRPr="00AD081E">
              <w:rPr>
                <w:rFonts w:ascii="Arial" w:hAnsi="Arial" w:cs="Arial"/>
                <w:sz w:val="20"/>
              </w:rPr>
              <w:t>TSRT</w:t>
            </w:r>
          </w:p>
        </w:tc>
        <w:tc>
          <w:tcPr>
            <w:tcW w:w="1761" w:type="dxa"/>
          </w:tcPr>
          <w:p w14:paraId="5159FC1F" w14:textId="77777777" w:rsidR="00AD081E" w:rsidRPr="00AD081E" w:rsidRDefault="00AD081E" w:rsidP="0056739E">
            <w:pPr>
              <w:spacing w:before="60" w:after="60"/>
              <w:rPr>
                <w:rFonts w:ascii="Arial" w:hAnsi="Arial" w:cs="Arial"/>
                <w:sz w:val="20"/>
              </w:rPr>
            </w:pPr>
            <w:r w:rsidRPr="00AD081E">
              <w:rPr>
                <w:rFonts w:ascii="Arial" w:hAnsi="Arial" w:cs="Arial"/>
                <w:sz w:val="20"/>
              </w:rPr>
              <w:t>TTWCS</w:t>
            </w:r>
          </w:p>
        </w:tc>
      </w:tr>
      <w:tr w:rsidR="00AD081E" w:rsidRPr="00AD081E" w14:paraId="6B741823" w14:textId="77777777" w:rsidTr="00AC4F37">
        <w:trPr>
          <w:jc w:val="center"/>
        </w:trPr>
        <w:tc>
          <w:tcPr>
            <w:tcW w:w="1451" w:type="dxa"/>
          </w:tcPr>
          <w:p w14:paraId="5A7A6751" w14:textId="1199BFE3" w:rsidR="00AD081E" w:rsidRPr="00AD081E" w:rsidRDefault="009172F0" w:rsidP="0056739E">
            <w:pPr>
              <w:spacing w:before="60" w:after="60"/>
              <w:rPr>
                <w:rFonts w:ascii="Arial" w:hAnsi="Arial" w:cs="Arial"/>
                <w:sz w:val="20"/>
              </w:rPr>
            </w:pPr>
            <w:r>
              <w:rPr>
                <w:rFonts w:ascii="Arial" w:hAnsi="Arial" w:cs="Arial"/>
                <w:sz w:val="20"/>
              </w:rPr>
              <w:t>TSC</w:t>
            </w:r>
          </w:p>
        </w:tc>
        <w:tc>
          <w:tcPr>
            <w:tcW w:w="1761" w:type="dxa"/>
          </w:tcPr>
          <w:p w14:paraId="24DA72D5" w14:textId="77777777" w:rsidR="00AD081E" w:rsidRPr="00AD081E" w:rsidRDefault="00AD081E" w:rsidP="0056739E">
            <w:pPr>
              <w:spacing w:before="60" w:after="60"/>
              <w:rPr>
                <w:rFonts w:ascii="Arial" w:hAnsi="Arial" w:cs="Arial"/>
                <w:sz w:val="20"/>
              </w:rPr>
            </w:pPr>
            <w:r w:rsidRPr="00AD081E">
              <w:rPr>
                <w:rFonts w:ascii="Arial" w:hAnsi="Arial" w:cs="Arial"/>
                <w:sz w:val="20"/>
              </w:rPr>
              <w:t>TSRT</w:t>
            </w:r>
          </w:p>
        </w:tc>
      </w:tr>
      <w:tr w:rsidR="00AD081E" w:rsidRPr="00AD081E" w14:paraId="47B328FC" w14:textId="77777777" w:rsidTr="00AC4F37">
        <w:trPr>
          <w:jc w:val="center"/>
        </w:trPr>
        <w:tc>
          <w:tcPr>
            <w:tcW w:w="1451" w:type="dxa"/>
          </w:tcPr>
          <w:p w14:paraId="5FCEF0D9" w14:textId="52632DF9" w:rsidR="00AD081E" w:rsidRPr="00AD081E" w:rsidRDefault="009172F0" w:rsidP="0056739E">
            <w:pPr>
              <w:spacing w:before="60" w:after="60"/>
              <w:rPr>
                <w:rFonts w:ascii="Arial" w:hAnsi="Arial" w:cs="Arial"/>
                <w:sz w:val="20"/>
              </w:rPr>
            </w:pPr>
            <w:r>
              <w:rPr>
                <w:rFonts w:ascii="Arial" w:hAnsi="Arial" w:cs="Arial"/>
                <w:sz w:val="20"/>
              </w:rPr>
              <w:t>TSC</w:t>
            </w:r>
          </w:p>
        </w:tc>
        <w:tc>
          <w:tcPr>
            <w:tcW w:w="1761" w:type="dxa"/>
          </w:tcPr>
          <w:p w14:paraId="20FA91AC" w14:textId="41E78060" w:rsidR="00AD081E" w:rsidRPr="00AD081E" w:rsidRDefault="009172F0" w:rsidP="0056739E">
            <w:pPr>
              <w:spacing w:before="60" w:after="60"/>
              <w:rPr>
                <w:rFonts w:ascii="Arial" w:hAnsi="Arial" w:cs="Arial"/>
                <w:sz w:val="20"/>
              </w:rPr>
            </w:pPr>
            <w:r>
              <w:rPr>
                <w:rFonts w:ascii="Arial" w:hAnsi="Arial" w:cs="Arial"/>
                <w:sz w:val="20"/>
              </w:rPr>
              <w:t>ATSC</w:t>
            </w:r>
          </w:p>
        </w:tc>
      </w:tr>
      <w:tr w:rsidR="00AD081E" w:rsidRPr="00AD081E" w14:paraId="30EBA3E1" w14:textId="77777777" w:rsidTr="00AC4F37">
        <w:trPr>
          <w:jc w:val="center"/>
        </w:trPr>
        <w:tc>
          <w:tcPr>
            <w:tcW w:w="1451" w:type="dxa"/>
          </w:tcPr>
          <w:p w14:paraId="3F38198C" w14:textId="6934B153" w:rsidR="00AD081E" w:rsidRPr="00AD081E" w:rsidRDefault="009172F0" w:rsidP="0056739E">
            <w:pPr>
              <w:spacing w:before="60" w:after="60"/>
              <w:rPr>
                <w:rFonts w:ascii="Arial" w:hAnsi="Arial" w:cs="Arial"/>
                <w:sz w:val="20"/>
              </w:rPr>
            </w:pPr>
            <w:r>
              <w:rPr>
                <w:rFonts w:ascii="Arial" w:hAnsi="Arial" w:cs="Arial"/>
                <w:sz w:val="20"/>
              </w:rPr>
              <w:t>TSC</w:t>
            </w:r>
          </w:p>
        </w:tc>
        <w:tc>
          <w:tcPr>
            <w:tcW w:w="1761" w:type="dxa"/>
          </w:tcPr>
          <w:p w14:paraId="6638ED11" w14:textId="77777777" w:rsidR="00AD081E" w:rsidRPr="00AD081E" w:rsidRDefault="00AD081E" w:rsidP="0056739E">
            <w:pPr>
              <w:spacing w:before="60" w:after="60"/>
              <w:rPr>
                <w:rFonts w:ascii="Arial" w:hAnsi="Arial" w:cs="Arial"/>
                <w:sz w:val="20"/>
              </w:rPr>
            </w:pPr>
            <w:r w:rsidRPr="00AD081E">
              <w:rPr>
                <w:rFonts w:ascii="Arial" w:hAnsi="Arial" w:cs="Arial"/>
                <w:sz w:val="20"/>
              </w:rPr>
              <w:t>TTWCS</w:t>
            </w:r>
          </w:p>
        </w:tc>
      </w:tr>
      <w:tr w:rsidR="00AD081E" w:rsidRPr="00AD081E" w14:paraId="7CF7FA70" w14:textId="77777777" w:rsidTr="00AC4F37">
        <w:trPr>
          <w:jc w:val="center"/>
        </w:trPr>
        <w:tc>
          <w:tcPr>
            <w:tcW w:w="1451" w:type="dxa"/>
          </w:tcPr>
          <w:p w14:paraId="5AFACE7F" w14:textId="25839DD0" w:rsidR="00AD081E" w:rsidRPr="00AD081E" w:rsidRDefault="009172F0" w:rsidP="0056739E">
            <w:pPr>
              <w:spacing w:before="60" w:after="60"/>
              <w:rPr>
                <w:rFonts w:ascii="Arial" w:hAnsi="Arial" w:cs="Arial"/>
                <w:sz w:val="20"/>
              </w:rPr>
            </w:pPr>
            <w:r>
              <w:rPr>
                <w:rFonts w:ascii="Arial" w:hAnsi="Arial" w:cs="Arial"/>
                <w:sz w:val="20"/>
              </w:rPr>
              <w:t>ATSC</w:t>
            </w:r>
          </w:p>
        </w:tc>
        <w:tc>
          <w:tcPr>
            <w:tcW w:w="1761" w:type="dxa"/>
          </w:tcPr>
          <w:p w14:paraId="62D0BD38" w14:textId="77777777" w:rsidR="00AD081E" w:rsidRPr="00AD081E" w:rsidRDefault="00AD081E" w:rsidP="0056739E">
            <w:pPr>
              <w:spacing w:before="60" w:after="60"/>
              <w:rPr>
                <w:rFonts w:ascii="Arial" w:hAnsi="Arial" w:cs="Arial"/>
                <w:sz w:val="20"/>
              </w:rPr>
            </w:pPr>
            <w:r w:rsidRPr="00AD081E">
              <w:rPr>
                <w:rFonts w:ascii="Arial" w:hAnsi="Arial" w:cs="Arial"/>
                <w:sz w:val="20"/>
              </w:rPr>
              <w:t>TSRT</w:t>
            </w:r>
          </w:p>
        </w:tc>
      </w:tr>
      <w:tr w:rsidR="00AD081E" w:rsidRPr="00AD081E" w14:paraId="02FDDB81" w14:textId="77777777" w:rsidTr="00AC4F37">
        <w:trPr>
          <w:jc w:val="center"/>
        </w:trPr>
        <w:tc>
          <w:tcPr>
            <w:tcW w:w="1451" w:type="dxa"/>
          </w:tcPr>
          <w:p w14:paraId="504F8682" w14:textId="4549F42D" w:rsidR="00AD081E" w:rsidRPr="00AD081E" w:rsidRDefault="009172F0" w:rsidP="0056739E">
            <w:pPr>
              <w:spacing w:before="60" w:after="60"/>
              <w:rPr>
                <w:rFonts w:ascii="Arial" w:hAnsi="Arial" w:cs="Arial"/>
                <w:sz w:val="20"/>
              </w:rPr>
            </w:pPr>
            <w:r>
              <w:rPr>
                <w:rFonts w:ascii="Arial" w:hAnsi="Arial" w:cs="Arial"/>
                <w:sz w:val="20"/>
              </w:rPr>
              <w:t>ATSC</w:t>
            </w:r>
          </w:p>
        </w:tc>
        <w:tc>
          <w:tcPr>
            <w:tcW w:w="1761" w:type="dxa"/>
          </w:tcPr>
          <w:p w14:paraId="15E811C1" w14:textId="4129445B" w:rsidR="00AD081E" w:rsidRPr="00AD081E" w:rsidRDefault="009172F0" w:rsidP="0056739E">
            <w:pPr>
              <w:spacing w:before="60" w:after="60"/>
              <w:rPr>
                <w:rFonts w:ascii="Arial" w:hAnsi="Arial" w:cs="Arial"/>
                <w:sz w:val="20"/>
              </w:rPr>
            </w:pPr>
            <w:r>
              <w:rPr>
                <w:rFonts w:ascii="Arial" w:hAnsi="Arial" w:cs="Arial"/>
                <w:sz w:val="20"/>
              </w:rPr>
              <w:t>TSC</w:t>
            </w:r>
          </w:p>
        </w:tc>
      </w:tr>
      <w:tr w:rsidR="00AD081E" w:rsidRPr="00AD081E" w14:paraId="71BFA1E6" w14:textId="77777777" w:rsidTr="00AC4F37">
        <w:trPr>
          <w:jc w:val="center"/>
        </w:trPr>
        <w:tc>
          <w:tcPr>
            <w:tcW w:w="1451" w:type="dxa"/>
          </w:tcPr>
          <w:p w14:paraId="5FDA94CA" w14:textId="67302103" w:rsidR="00AD081E" w:rsidRPr="00AD081E" w:rsidRDefault="009172F0" w:rsidP="0056739E">
            <w:pPr>
              <w:spacing w:before="60" w:after="60"/>
              <w:rPr>
                <w:rFonts w:ascii="Arial" w:hAnsi="Arial" w:cs="Arial"/>
                <w:sz w:val="20"/>
              </w:rPr>
            </w:pPr>
            <w:r>
              <w:rPr>
                <w:rFonts w:ascii="Arial" w:hAnsi="Arial" w:cs="Arial"/>
                <w:sz w:val="20"/>
              </w:rPr>
              <w:t>ATSC</w:t>
            </w:r>
          </w:p>
        </w:tc>
        <w:tc>
          <w:tcPr>
            <w:tcW w:w="1761" w:type="dxa"/>
          </w:tcPr>
          <w:p w14:paraId="5F8AFAAD" w14:textId="77777777" w:rsidR="00AD081E" w:rsidRPr="00AD081E" w:rsidRDefault="00AD081E" w:rsidP="0056739E">
            <w:pPr>
              <w:spacing w:before="60" w:after="60"/>
              <w:rPr>
                <w:rFonts w:ascii="Arial" w:hAnsi="Arial" w:cs="Arial"/>
                <w:sz w:val="20"/>
              </w:rPr>
            </w:pPr>
            <w:r w:rsidRPr="00AD081E">
              <w:rPr>
                <w:rFonts w:ascii="Arial" w:hAnsi="Arial" w:cs="Arial"/>
                <w:sz w:val="20"/>
              </w:rPr>
              <w:t>TTWCS</w:t>
            </w:r>
          </w:p>
        </w:tc>
      </w:tr>
      <w:tr w:rsidR="00AD081E" w:rsidRPr="00AD081E" w14:paraId="6CF21FD9" w14:textId="77777777" w:rsidTr="00AC4F37">
        <w:trPr>
          <w:jc w:val="center"/>
        </w:trPr>
        <w:tc>
          <w:tcPr>
            <w:tcW w:w="1451" w:type="dxa"/>
          </w:tcPr>
          <w:p w14:paraId="5FB2F9B3" w14:textId="77777777" w:rsidR="00AD081E" w:rsidRPr="00AD081E" w:rsidRDefault="00AD081E" w:rsidP="0056739E">
            <w:pPr>
              <w:spacing w:before="60" w:after="60"/>
              <w:rPr>
                <w:rFonts w:ascii="Arial" w:hAnsi="Arial" w:cs="Arial"/>
                <w:sz w:val="20"/>
              </w:rPr>
            </w:pPr>
            <w:r w:rsidRPr="00AD081E">
              <w:rPr>
                <w:rFonts w:ascii="Arial" w:hAnsi="Arial" w:cs="Arial"/>
                <w:sz w:val="20"/>
              </w:rPr>
              <w:t>TTWCS</w:t>
            </w:r>
          </w:p>
        </w:tc>
        <w:tc>
          <w:tcPr>
            <w:tcW w:w="1761" w:type="dxa"/>
          </w:tcPr>
          <w:p w14:paraId="70223FAF" w14:textId="77777777" w:rsidR="00AD081E" w:rsidRPr="00AD081E" w:rsidRDefault="00AD081E" w:rsidP="0056739E">
            <w:pPr>
              <w:spacing w:before="60" w:after="60"/>
              <w:rPr>
                <w:rFonts w:ascii="Arial" w:hAnsi="Arial" w:cs="Arial"/>
                <w:sz w:val="20"/>
              </w:rPr>
            </w:pPr>
            <w:r w:rsidRPr="00AD081E">
              <w:rPr>
                <w:rFonts w:ascii="Arial" w:hAnsi="Arial" w:cs="Arial"/>
                <w:sz w:val="20"/>
              </w:rPr>
              <w:t>TSRT</w:t>
            </w:r>
          </w:p>
        </w:tc>
      </w:tr>
      <w:tr w:rsidR="00AD081E" w:rsidRPr="00AD081E" w14:paraId="30A3FBAC" w14:textId="77777777" w:rsidTr="00AC4F37">
        <w:trPr>
          <w:jc w:val="center"/>
        </w:trPr>
        <w:tc>
          <w:tcPr>
            <w:tcW w:w="1451" w:type="dxa"/>
          </w:tcPr>
          <w:p w14:paraId="1FBCAAAA" w14:textId="77777777" w:rsidR="00AD081E" w:rsidRPr="00AD081E" w:rsidRDefault="00AD081E" w:rsidP="0056739E">
            <w:pPr>
              <w:spacing w:before="60" w:after="60"/>
              <w:rPr>
                <w:rFonts w:ascii="Arial" w:hAnsi="Arial" w:cs="Arial"/>
                <w:sz w:val="20"/>
              </w:rPr>
            </w:pPr>
            <w:r w:rsidRPr="00AD081E">
              <w:rPr>
                <w:rFonts w:ascii="Arial" w:hAnsi="Arial" w:cs="Arial"/>
                <w:sz w:val="20"/>
              </w:rPr>
              <w:t>TTWCS</w:t>
            </w:r>
          </w:p>
        </w:tc>
        <w:tc>
          <w:tcPr>
            <w:tcW w:w="1761" w:type="dxa"/>
          </w:tcPr>
          <w:p w14:paraId="23EC05B7" w14:textId="3C6F54A5" w:rsidR="00AD081E" w:rsidRPr="00AD081E" w:rsidRDefault="009172F0" w:rsidP="0056739E">
            <w:pPr>
              <w:spacing w:before="60" w:after="60"/>
              <w:rPr>
                <w:rFonts w:ascii="Arial" w:hAnsi="Arial" w:cs="Arial"/>
                <w:sz w:val="20"/>
              </w:rPr>
            </w:pPr>
            <w:r>
              <w:rPr>
                <w:rFonts w:ascii="Arial" w:hAnsi="Arial" w:cs="Arial"/>
                <w:sz w:val="20"/>
              </w:rPr>
              <w:t>TSC</w:t>
            </w:r>
          </w:p>
        </w:tc>
      </w:tr>
      <w:tr w:rsidR="00AD081E" w:rsidRPr="00AD081E" w14:paraId="4B302561" w14:textId="77777777" w:rsidTr="00AC4F37">
        <w:trPr>
          <w:jc w:val="center"/>
        </w:trPr>
        <w:tc>
          <w:tcPr>
            <w:tcW w:w="1451" w:type="dxa"/>
          </w:tcPr>
          <w:p w14:paraId="1DFAC62F" w14:textId="77777777" w:rsidR="00AD081E" w:rsidRPr="00AD081E" w:rsidRDefault="00AD081E" w:rsidP="0056739E">
            <w:pPr>
              <w:spacing w:before="60" w:after="60"/>
              <w:rPr>
                <w:rFonts w:ascii="Arial" w:hAnsi="Arial" w:cs="Arial"/>
                <w:sz w:val="20"/>
              </w:rPr>
            </w:pPr>
            <w:r w:rsidRPr="00AD081E">
              <w:rPr>
                <w:rFonts w:ascii="Arial" w:hAnsi="Arial" w:cs="Arial"/>
                <w:sz w:val="20"/>
              </w:rPr>
              <w:t>TTWCS</w:t>
            </w:r>
          </w:p>
        </w:tc>
        <w:tc>
          <w:tcPr>
            <w:tcW w:w="1761" w:type="dxa"/>
          </w:tcPr>
          <w:p w14:paraId="3891C49A" w14:textId="160F0EA4" w:rsidR="00AD081E" w:rsidRPr="00AD081E" w:rsidRDefault="009172F0" w:rsidP="0056739E">
            <w:pPr>
              <w:spacing w:before="60" w:after="60"/>
              <w:rPr>
                <w:rFonts w:ascii="Arial" w:hAnsi="Arial" w:cs="Arial"/>
                <w:sz w:val="20"/>
              </w:rPr>
            </w:pPr>
            <w:r>
              <w:rPr>
                <w:rFonts w:ascii="Arial" w:hAnsi="Arial" w:cs="Arial"/>
                <w:sz w:val="20"/>
              </w:rPr>
              <w:t>ATSC</w:t>
            </w:r>
          </w:p>
        </w:tc>
      </w:tr>
    </w:tbl>
    <w:p w14:paraId="1116E77D" w14:textId="745ECBAD" w:rsidR="00AD081E" w:rsidRPr="00AD081E" w:rsidRDefault="00AD081E" w:rsidP="00AD081E">
      <w:pPr>
        <w:spacing w:before="240"/>
        <w:rPr>
          <w:rFonts w:eastAsia="Calibri"/>
        </w:rPr>
      </w:pPr>
      <w:r w:rsidRPr="00AD081E">
        <w:rPr>
          <w:rFonts w:eastAsia="Calibri"/>
        </w:rPr>
        <w:t xml:space="preserve">If there are no incorrect or missing interfaces, and there are no missing routes, there’s nothing further to do for LINT configuration. If you logged in as administrator, logout now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from the menu. Close the LINT tool. Skip to </w:t>
      </w:r>
      <w:r w:rsidRPr="00AD081E">
        <w:t xml:space="preserve">configuring the DAMA TSNIF Interfaces and Routes (see </w:t>
      </w:r>
      <w:hyperlink w:anchor="_S-4.6.2.3__Configure" w:history="1">
        <w:r w:rsidRPr="00AD081E">
          <w:rPr>
            <w:rFonts w:eastAsia="Calibri"/>
            <w:color w:val="0000FF"/>
            <w:u w:val="single"/>
          </w:rPr>
          <w:t>Section R.4.6.2.3</w:t>
        </w:r>
      </w:hyperlink>
      <w:r w:rsidR="000365F3">
        <w:rPr>
          <w:rFonts w:eastAsia="Calibri"/>
        </w:rPr>
        <w:t>).</w:t>
      </w:r>
    </w:p>
    <w:p w14:paraId="36BB5371" w14:textId="77777777" w:rsidR="00AD081E" w:rsidRPr="00AD081E" w:rsidRDefault="00AD081E" w:rsidP="00AD081E">
      <w:pPr>
        <w:rPr>
          <w:rFonts w:eastAsia="Calibri"/>
        </w:rPr>
      </w:pPr>
      <w:r w:rsidRPr="00AD081E">
        <w:rPr>
          <w:rFonts w:eastAsia="Calibri"/>
        </w:rPr>
        <w:lastRenderedPageBreak/>
        <w:t>Otherwise, keep going.</w:t>
      </w:r>
    </w:p>
    <w:p w14:paraId="4B7CF642" w14:textId="77777777" w:rsidR="00AD081E" w:rsidRPr="00AD081E" w:rsidRDefault="00AD081E" w:rsidP="00306174">
      <w:pPr>
        <w:pStyle w:val="Appendix6"/>
      </w:pPr>
      <w:r w:rsidRPr="00AD081E">
        <w:t xml:space="preserve">Login as </w:t>
      </w:r>
      <w:r w:rsidRPr="00D06531">
        <w:t>Administrator</w:t>
      </w:r>
    </w:p>
    <w:p w14:paraId="14002483" w14:textId="629BECA1"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If you did not previously log in as LINT administrator (to change the TCIP server or load a LINT configuration), log in as administrator now.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LINT, then click </w:t>
      </w:r>
      <w:r w:rsidRPr="00AD081E">
        <w:rPr>
          <w:rFonts w:eastAsia="Calibri"/>
          <w:b/>
        </w:rPr>
        <w:t>OK</w:t>
      </w:r>
      <w:r w:rsidRPr="00AD081E">
        <w:rPr>
          <w:rFonts w:eastAsia="Calibri"/>
        </w:rPr>
        <w:t>.</w:t>
      </w:r>
    </w:p>
    <w:p w14:paraId="64856398" w14:textId="77777777" w:rsidR="00AD081E" w:rsidRPr="00AD081E" w:rsidRDefault="00AD081E" w:rsidP="00306174">
      <w:pPr>
        <w:pStyle w:val="Appendix6"/>
      </w:pPr>
      <w:r w:rsidRPr="00AD081E">
        <w:t>Correct Interfaces with the Wrong SID, Disabled Interface, or Incorrect Guard List</w:t>
      </w:r>
    </w:p>
    <w:p w14:paraId="6C4AAC49" w14:textId="12D1C95D" w:rsidR="00AD081E" w:rsidRPr="00AD081E" w:rsidRDefault="00AD081E" w:rsidP="00AD081E">
      <w:pPr>
        <w:rPr>
          <w:rFonts w:eastAsia="Calibri"/>
        </w:rPr>
      </w:pPr>
      <w:r w:rsidRPr="00AD081E">
        <w:rPr>
          <w:rFonts w:eastAsia="Calibri"/>
        </w:rPr>
        <w:t xml:space="preserve">If there are interfaces with the correct IP address and port, but the wrong SID, or </w:t>
      </w:r>
      <w:r w:rsidR="00585EAF" w:rsidRPr="00AD081E">
        <w:rPr>
          <w:rFonts w:eastAsia="Calibri"/>
        </w:rPr>
        <w:t>correctly defined</w:t>
      </w:r>
      <w:r w:rsidRPr="00AD081E">
        <w:rPr>
          <w:rFonts w:eastAsia="Calibri"/>
        </w:rPr>
        <w:t xml:space="preserve"> interfaces that are disabled, or that have an incorrect guard list, correct them as follows:</w:t>
      </w:r>
    </w:p>
    <w:p w14:paraId="07C06635"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Select the interface in the list. Click on the </w:t>
      </w:r>
      <w:r w:rsidRPr="00AD081E">
        <w:rPr>
          <w:rFonts w:eastAsia="Calibri"/>
          <w:b/>
        </w:rPr>
        <w:t>Modify</w:t>
      </w:r>
      <w:r w:rsidRPr="00AD081E">
        <w:rPr>
          <w:rFonts w:eastAsia="Calibri"/>
        </w:rPr>
        <w:t xml:space="preserve"> button at the bottom of the tab. In the dialog that appears, correct the value of the SID, if necessary (near the middle of the dialog). Ensure that the </w:t>
      </w:r>
      <w:r w:rsidRPr="00AD081E">
        <w:rPr>
          <w:rFonts w:eastAsia="Calibri"/>
          <w:b/>
        </w:rPr>
        <w:t>Enabled</w:t>
      </w:r>
      <w:r w:rsidRPr="00AD081E">
        <w:rPr>
          <w:rFonts w:eastAsia="Calibri"/>
        </w:rPr>
        <w:t xml:space="preserve"> radio button is selected. Correct the guard list as necessary by adding, modifying, or deleting SID ranges. To complete your changes, click on the </w:t>
      </w:r>
      <w:r w:rsidRPr="00AD081E">
        <w:rPr>
          <w:rFonts w:eastAsia="Calibri"/>
          <w:b/>
        </w:rPr>
        <w:t>Apply</w:t>
      </w:r>
      <w:r w:rsidRPr="00AD081E">
        <w:rPr>
          <w:rFonts w:eastAsia="Calibri"/>
        </w:rPr>
        <w:t xml:space="preserve"> button at the bottom of the dialog (</w:t>
      </w:r>
      <w:r w:rsidRPr="00AD081E">
        <w:rPr>
          <w:rFonts w:eastAsia="Calibri"/>
          <w:i/>
        </w:rPr>
        <w:t>not</w:t>
      </w:r>
      <w:r w:rsidRPr="00AD081E">
        <w:rPr>
          <w:rFonts w:eastAsia="Calibri"/>
        </w:rPr>
        <w:t xml:space="preserve"> the </w:t>
      </w:r>
      <w:r w:rsidRPr="00AD081E">
        <w:rPr>
          <w:rFonts w:eastAsia="Calibri"/>
          <w:b/>
        </w:rPr>
        <w:t>Apply</w:t>
      </w:r>
      <w:r w:rsidRPr="00AD081E">
        <w:rPr>
          <w:rFonts w:eastAsia="Calibri"/>
        </w:rPr>
        <w:t xml:space="preserve"> button in the </w:t>
      </w:r>
      <w:r w:rsidRPr="00AD081E">
        <w:rPr>
          <w:rFonts w:eastAsia="Calibri"/>
          <w:b/>
        </w:rPr>
        <w:t>Guard List</w:t>
      </w:r>
      <w:r w:rsidRPr="00AD081E">
        <w:rPr>
          <w:rFonts w:eastAsia="Calibri"/>
        </w:rPr>
        <w:t xml:space="preserve"> area).</w:t>
      </w:r>
    </w:p>
    <w:p w14:paraId="7B1DB220" w14:textId="77777777" w:rsidR="00AD081E" w:rsidRPr="00AD081E" w:rsidRDefault="00AD081E" w:rsidP="00306174">
      <w:pPr>
        <w:pStyle w:val="Appendix6"/>
      </w:pPr>
      <w:r w:rsidRPr="00AD081E">
        <w:t>Add Missing Interfaces</w:t>
      </w:r>
    </w:p>
    <w:p w14:paraId="3D4782A4" w14:textId="77777777" w:rsidR="00AD081E" w:rsidRPr="00AD081E" w:rsidRDefault="00AD081E" w:rsidP="00AD081E">
      <w:pPr>
        <w:rPr>
          <w:rFonts w:eastAsia="Calibri"/>
        </w:rPr>
      </w:pPr>
      <w:r w:rsidRPr="00AD081E">
        <w:rPr>
          <w:rFonts w:eastAsia="Calibri"/>
        </w:rPr>
        <w:t>For each missing interface, create an interface as follows:</w:t>
      </w:r>
    </w:p>
    <w:p w14:paraId="7B6BA1B8"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6B280F5F" w14:textId="77777777" w:rsidR="00AD081E" w:rsidRPr="00AD081E" w:rsidRDefault="00AD081E" w:rsidP="00AD081E">
      <w:pPr>
        <w:rPr>
          <w:rFonts w:eastAsia="Calibri"/>
        </w:rPr>
      </w:pPr>
      <w:r w:rsidRPr="00AD081E">
        <w:rPr>
          <w:rFonts w:eastAsia="Calibri"/>
          <w:b/>
        </w:rPr>
        <w:t>Select Interface Type</w:t>
      </w:r>
      <w:r w:rsidRPr="00AD081E">
        <w:rPr>
          <w:rFonts w:eastAsia="Calibri"/>
          <w:b/>
        </w:rPr>
        <w:br/>
      </w:r>
      <w:r w:rsidRPr="00AD081E">
        <w:rPr>
          <w:rFonts w:eastAsia="Calibri"/>
        </w:rPr>
        <w:t xml:space="preserve">Select the </w:t>
      </w:r>
      <w:r w:rsidRPr="00AD081E">
        <w:rPr>
          <w:rFonts w:eastAsia="Calibri"/>
          <w:b/>
        </w:rPr>
        <w:t>OTH TCP</w:t>
      </w:r>
      <w:r w:rsidRPr="00AD081E">
        <w:rPr>
          <w:rFonts w:eastAsia="Calibri"/>
        </w:rPr>
        <w:t xml:space="preserve"> interface type from the list. Click on the </w:t>
      </w:r>
      <w:r w:rsidRPr="00AD081E">
        <w:rPr>
          <w:rFonts w:eastAsia="Calibri"/>
          <w:b/>
        </w:rPr>
        <w:t>OK</w:t>
      </w:r>
      <w:r w:rsidRPr="00AD081E">
        <w:rPr>
          <w:rFonts w:eastAsia="Calibri"/>
        </w:rPr>
        <w:t xml:space="preserve"> button.</w:t>
      </w:r>
    </w:p>
    <w:p w14:paraId="7AE28F57" w14:textId="77777777" w:rsidR="00AD081E" w:rsidRPr="00AD081E" w:rsidRDefault="00AD081E" w:rsidP="00AD081E">
      <w:pPr>
        <w:rPr>
          <w:rFonts w:eastAsia="Calibri"/>
        </w:rPr>
      </w:pPr>
      <w:r w:rsidRPr="00AD081E">
        <w:rPr>
          <w:rFonts w:eastAsia="Calibri"/>
          <w:b/>
        </w:rPr>
        <w:t>OTH TCP</w:t>
      </w:r>
      <w:r w:rsidRPr="00AD081E">
        <w:rPr>
          <w:rFonts w:eastAsia="Calibri"/>
        </w:rPr>
        <w:br/>
        <w:t xml:space="preserve">Enter a name for the interface. Select the </w:t>
      </w:r>
      <w:r w:rsidRPr="00AD081E">
        <w:rPr>
          <w:rFonts w:eastAsia="Calibri"/>
          <w:b/>
        </w:rPr>
        <w:t>Enabled</w:t>
      </w:r>
      <w:r w:rsidRPr="00AD081E">
        <w:rPr>
          <w:rFonts w:eastAsia="Calibri"/>
        </w:rPr>
        <w:t xml:space="preserve"> radio button. In the </w:t>
      </w:r>
      <w:r w:rsidRPr="00AD081E">
        <w:rPr>
          <w:rFonts w:eastAsia="Calibri"/>
          <w:b/>
        </w:rPr>
        <w:t>Internet Address</w:t>
      </w:r>
      <w:r w:rsidRPr="00AD081E">
        <w:rPr>
          <w:rFonts w:eastAsia="Calibri"/>
        </w:rPr>
        <w:t xml:space="preserve"> area, enter the IP address of the node (the four IP address components are each entered into a separate text area; you can tab from one to the next as you enter). In the field labeled </w:t>
      </w:r>
      <w:r w:rsidRPr="00AD081E">
        <w:rPr>
          <w:rFonts w:eastAsia="Calibri"/>
          <w:b/>
        </w:rPr>
        <w:t>SID</w:t>
      </w:r>
      <w:r w:rsidRPr="00AD081E">
        <w:rPr>
          <w:rFonts w:eastAsia="Calibri"/>
        </w:rPr>
        <w:t xml:space="preserve">, enter the OTH SID of the node. In the </w:t>
      </w:r>
      <w:r w:rsidRPr="00AD081E">
        <w:rPr>
          <w:rFonts w:eastAsia="Calibri"/>
          <w:b/>
        </w:rPr>
        <w:t>Guard List</w:t>
      </w:r>
      <w:r w:rsidRPr="00AD081E">
        <w:rPr>
          <w:rFonts w:eastAsia="Calibri"/>
        </w:rPr>
        <w:t xml:space="preserve"> region, enter the low and high SIDs of the range used for your rehearsal (or just enter 1 and 16383 to allow all SIDs), then click on the </w:t>
      </w:r>
      <w:r w:rsidRPr="00AD081E">
        <w:rPr>
          <w:rFonts w:eastAsia="Calibri"/>
          <w:b/>
        </w:rPr>
        <w:t>Apply</w:t>
      </w:r>
      <w:r w:rsidRPr="00AD081E">
        <w:rPr>
          <w:rFonts w:eastAsia="Calibri"/>
        </w:rPr>
        <w:t xml:space="preserve"> button in the </w:t>
      </w:r>
      <w:r w:rsidRPr="00AD081E">
        <w:rPr>
          <w:rFonts w:eastAsia="Calibri"/>
          <w:b/>
        </w:rPr>
        <w:t xml:space="preserve">Guard List </w:t>
      </w:r>
      <w:r w:rsidRPr="00AD081E">
        <w:rPr>
          <w:rFonts w:eastAsia="Calibri"/>
        </w:rPr>
        <w:t>region (</w:t>
      </w:r>
      <w:r w:rsidRPr="00AD081E">
        <w:rPr>
          <w:rFonts w:eastAsia="Calibri"/>
          <w:i/>
        </w:rPr>
        <w:t>not</w:t>
      </w:r>
      <w:r w:rsidRPr="00AD081E">
        <w:rPr>
          <w:rFonts w:eastAsia="Calibri"/>
        </w:rPr>
        <w:t xml:space="preserve"> the </w:t>
      </w:r>
      <w:r w:rsidRPr="00AD081E">
        <w:rPr>
          <w:rFonts w:eastAsia="Calibri"/>
          <w:b/>
        </w:rPr>
        <w:t>Apply</w:t>
      </w:r>
      <w:r w:rsidRPr="00AD081E">
        <w:rPr>
          <w:rFonts w:eastAsia="Calibri"/>
        </w:rPr>
        <w:t xml:space="preserve"> button at the bottom of the dialog). If the SID range you wish to guard is discontinuous, you may enter as many SID ranges as necessary.</w:t>
      </w:r>
    </w:p>
    <w:p w14:paraId="60A20918" w14:textId="77777777" w:rsidR="00AD081E" w:rsidRPr="00AD081E" w:rsidRDefault="00AD081E" w:rsidP="00AD081E">
      <w:pPr>
        <w:rPr>
          <w:rFonts w:eastAsia="Calibri"/>
        </w:rPr>
      </w:pPr>
      <w:r w:rsidRPr="00AD081E">
        <w:rPr>
          <w:rFonts w:eastAsia="Calibri"/>
        </w:rPr>
        <w:t>The guard list of the interface for the TSRT’s TED must include the SIDs of all participants, and the guard lists of the interfaces for other participants must include the SID of the TSRT’s TED.</w:t>
      </w:r>
    </w:p>
    <w:p w14:paraId="4343CDBD"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rPr>
        <w:t>Apply</w:t>
      </w:r>
      <w:r w:rsidRPr="00AD081E">
        <w:rPr>
          <w:rFonts w:eastAsia="Calibri"/>
        </w:rPr>
        <w:t xml:space="preserve"> button at the bottom of the dialog to create the interface.</w:t>
      </w:r>
    </w:p>
    <w:p w14:paraId="1B389458" w14:textId="77777777" w:rsidR="00AD081E" w:rsidRPr="00AD081E" w:rsidRDefault="00AD081E" w:rsidP="00AD081E">
      <w:pPr>
        <w:tabs>
          <w:tab w:val="left" w:pos="720"/>
        </w:tabs>
        <w:jc w:val="center"/>
      </w:pPr>
      <w:r w:rsidRPr="00AD081E">
        <w:rPr>
          <w:noProof/>
        </w:rPr>
        <w:lastRenderedPageBreak/>
        <w:drawing>
          <wp:inline distT="0" distB="0" distL="0" distR="0" wp14:anchorId="03D15F51" wp14:editId="0F38F898">
            <wp:extent cx="2286000" cy="1417320"/>
            <wp:effectExtent l="0" t="0" r="0" b="0"/>
            <wp:docPr id="870" name="Picture 87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 name="Picture 870"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286000" cy="1417320"/>
                    </a:xfrm>
                    <a:prstGeom prst="rect">
                      <a:avLst/>
                    </a:prstGeom>
                  </pic:spPr>
                </pic:pic>
              </a:graphicData>
            </a:graphic>
          </wp:inline>
        </w:drawing>
      </w:r>
      <w:r w:rsidRPr="00AD081E">
        <w:rPr>
          <w:rFonts w:ascii="Calibri" w:eastAsia="Calibri" w:hAnsi="Calibri"/>
          <w:noProof/>
          <w:sz w:val="22"/>
          <w:szCs w:val="22"/>
        </w:rPr>
        <w:t xml:space="preserve">  </w:t>
      </w:r>
      <w:r w:rsidRPr="00AD081E">
        <w:rPr>
          <w:noProof/>
        </w:rPr>
        <w:drawing>
          <wp:inline distT="0" distB="0" distL="0" distR="0" wp14:anchorId="15D62C39" wp14:editId="5E79E889">
            <wp:extent cx="2286000" cy="2249424"/>
            <wp:effectExtent l="0" t="0" r="0" b="0"/>
            <wp:docPr id="876" name="Picture 87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 name="Picture 876"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2286000" cy="2249424"/>
                    </a:xfrm>
                    <a:prstGeom prst="rect">
                      <a:avLst/>
                    </a:prstGeom>
                  </pic:spPr>
                </pic:pic>
              </a:graphicData>
            </a:graphic>
          </wp:inline>
        </w:drawing>
      </w:r>
    </w:p>
    <w:p w14:paraId="649FAEC9" w14:textId="77777777" w:rsidR="00AD081E" w:rsidRPr="00AD081E" w:rsidRDefault="00AD081E" w:rsidP="00306174">
      <w:pPr>
        <w:pStyle w:val="Appendix6"/>
      </w:pPr>
      <w:r w:rsidRPr="00AD081E">
        <w:t>Add Missing Routes</w:t>
      </w:r>
    </w:p>
    <w:p w14:paraId="5D014569" w14:textId="77777777" w:rsidR="00AD081E" w:rsidRPr="00AD081E" w:rsidRDefault="00AD081E" w:rsidP="00AD081E">
      <w:pPr>
        <w:rPr>
          <w:rFonts w:eastAsia="Calibri"/>
        </w:rPr>
      </w:pPr>
      <w:r w:rsidRPr="00AD081E">
        <w:rPr>
          <w:rFonts w:eastAsia="Calibri"/>
        </w:rPr>
        <w:t>If any routes are missing, add routes as follows:</w:t>
      </w:r>
    </w:p>
    <w:p w14:paraId="14D0B8AB"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Routes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264944B3" w14:textId="77777777" w:rsidR="00AD081E" w:rsidRPr="00AD081E" w:rsidRDefault="00AD081E" w:rsidP="00AD081E">
      <w:pPr>
        <w:tabs>
          <w:tab w:val="left" w:pos="720"/>
        </w:tabs>
        <w:jc w:val="center"/>
      </w:pPr>
      <w:r w:rsidRPr="00AD081E">
        <w:rPr>
          <w:noProof/>
        </w:rPr>
        <w:drawing>
          <wp:inline distT="0" distB="0" distL="0" distR="0" wp14:anchorId="3283F926" wp14:editId="05DAB3BA">
            <wp:extent cx="3657600" cy="3246120"/>
            <wp:effectExtent l="0" t="0" r="0" b="0"/>
            <wp:docPr id="888" name="Picture 88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 name="Picture 888" descr="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3246120"/>
                    </a:xfrm>
                    <a:prstGeom prst="rect">
                      <a:avLst/>
                    </a:prstGeom>
                  </pic:spPr>
                </pic:pic>
              </a:graphicData>
            </a:graphic>
          </wp:inline>
        </w:drawing>
      </w:r>
    </w:p>
    <w:p w14:paraId="63DD52EE" w14:textId="77777777" w:rsidR="00AD081E" w:rsidRPr="00AD081E" w:rsidRDefault="00AD081E" w:rsidP="00AD081E">
      <w:pPr>
        <w:rPr>
          <w:rFonts w:eastAsia="Calibri"/>
        </w:rPr>
      </w:pPr>
      <w:r w:rsidRPr="00AD081E">
        <w:rPr>
          <w:rFonts w:eastAsia="Calibri"/>
          <w:b/>
        </w:rPr>
        <w:t>Add/Modify Route</w:t>
      </w:r>
      <w:r w:rsidRPr="00AD081E">
        <w:rPr>
          <w:rFonts w:eastAsia="Calibri"/>
          <w:b/>
        </w:rPr>
        <w:br/>
      </w:r>
      <w:r w:rsidRPr="00AD081E">
        <w:rPr>
          <w:rFonts w:eastAsia="Calibri"/>
        </w:rPr>
        <w:t xml:space="preserve">Using the drop down labeled </w:t>
      </w:r>
      <w:r w:rsidRPr="00AD081E">
        <w:rPr>
          <w:rFonts w:eastAsia="Calibri"/>
          <w:b/>
        </w:rPr>
        <w:t>From</w:t>
      </w:r>
      <w:r w:rsidRPr="00AD081E">
        <w:rPr>
          <w:rFonts w:eastAsia="Calibri"/>
        </w:rPr>
        <w:t xml:space="preserve">, select the first interface of the pair that is missing a route. Find the second interface of the pair in the list to the right. Check the </w:t>
      </w:r>
      <w:r w:rsidRPr="00AD081E">
        <w:rPr>
          <w:rFonts w:eastAsia="Calibri"/>
          <w:b/>
        </w:rPr>
        <w:t>To</w:t>
      </w:r>
      <w:r w:rsidRPr="00AD081E">
        <w:rPr>
          <w:rFonts w:eastAsia="Calibri"/>
        </w:rPr>
        <w:t xml:space="preserve"> box next to the second interface name (if it is not already checked), then check the </w:t>
      </w:r>
      <w:r w:rsidRPr="00AD081E">
        <w:rPr>
          <w:rFonts w:eastAsia="Calibri"/>
          <w:b/>
        </w:rPr>
        <w:t>Back To</w:t>
      </w:r>
      <w:r w:rsidRPr="00AD081E">
        <w:rPr>
          <w:rFonts w:eastAsia="Calibri"/>
        </w:rPr>
        <w:t xml:space="preserve"> box on the same line. (If the back route was previously defined, there will not be a </w:t>
      </w:r>
      <w:r w:rsidRPr="00AD081E">
        <w:rPr>
          <w:rFonts w:eastAsia="Calibri"/>
          <w:b/>
        </w:rPr>
        <w:t>Back To</w:t>
      </w:r>
      <w:r w:rsidRPr="00AD081E">
        <w:rPr>
          <w:rFonts w:eastAsia="Calibri"/>
        </w:rPr>
        <w:t xml:space="preserve"> box on the same line.)</w:t>
      </w:r>
    </w:p>
    <w:p w14:paraId="3CC34E60" w14:textId="77777777" w:rsidR="00AD081E" w:rsidRPr="00AD081E" w:rsidRDefault="00AD081E" w:rsidP="00AD081E">
      <w:pPr>
        <w:rPr>
          <w:rFonts w:eastAsia="Calibri"/>
        </w:rPr>
      </w:pPr>
      <w:r w:rsidRPr="00AD081E">
        <w:rPr>
          <w:rFonts w:eastAsia="Calibri"/>
        </w:rPr>
        <w:t xml:space="preserve">To save time, while you have the first interface name in the </w:t>
      </w:r>
      <w:r w:rsidRPr="00AD081E">
        <w:rPr>
          <w:rFonts w:eastAsia="Calibri"/>
          <w:b/>
        </w:rPr>
        <w:t>From</w:t>
      </w:r>
      <w:r w:rsidRPr="00AD081E">
        <w:rPr>
          <w:rFonts w:eastAsia="Calibri"/>
        </w:rPr>
        <w:t xml:space="preserve"> box, use the right-hand list to find all of the other missing interfaces to/from the first interface and check them, too. When all </w:t>
      </w:r>
      <w:r w:rsidRPr="00AD081E">
        <w:rPr>
          <w:rFonts w:eastAsia="Calibri"/>
        </w:rPr>
        <w:lastRenderedPageBreak/>
        <w:t xml:space="preserve">needed interfaces to/from the first interface have been selected, click on the </w:t>
      </w:r>
      <w:r w:rsidRPr="00AD081E">
        <w:rPr>
          <w:rFonts w:eastAsia="Calibri"/>
          <w:b/>
        </w:rPr>
        <w:t>Apply</w:t>
      </w:r>
      <w:r w:rsidRPr="00AD081E">
        <w:rPr>
          <w:rFonts w:eastAsia="Calibri"/>
        </w:rPr>
        <w:t xml:space="preserve"> button at the bottom of the dialog.</w:t>
      </w:r>
    </w:p>
    <w:p w14:paraId="2BA29184" w14:textId="77777777" w:rsidR="00AD081E" w:rsidRPr="00AD081E" w:rsidRDefault="00AD081E" w:rsidP="00AD081E">
      <w:pPr>
        <w:rPr>
          <w:rFonts w:eastAsia="Calibri"/>
        </w:rPr>
      </w:pPr>
      <w:r w:rsidRPr="00AD081E">
        <w:rPr>
          <w:rFonts w:eastAsia="Calibri"/>
        </w:rPr>
        <w:t xml:space="preserve">Routes to the TSRT’s TED </w:t>
      </w:r>
      <w:r w:rsidRPr="00AD081E">
        <w:rPr>
          <w:rFonts w:eastAsia="Calibri"/>
          <w:b/>
        </w:rPr>
        <w:t>must</w:t>
      </w:r>
      <w:r w:rsidRPr="00AD081E">
        <w:rPr>
          <w:rFonts w:eastAsia="Calibri"/>
        </w:rPr>
        <w:t xml:space="preserve"> be of the </w:t>
      </w:r>
      <w:r w:rsidRPr="00AD081E">
        <w:rPr>
          <w:rFonts w:eastAsia="Calibri"/>
          <w:b/>
        </w:rPr>
        <w:t>All Messages</w:t>
      </w:r>
      <w:r w:rsidRPr="00AD081E">
        <w:rPr>
          <w:rFonts w:eastAsia="Calibri"/>
        </w:rPr>
        <w:t xml:space="preserve"> type (the default). They must never include a </w:t>
      </w:r>
      <w:r w:rsidRPr="00AD081E">
        <w:rPr>
          <w:rFonts w:eastAsia="Calibri"/>
          <w:b/>
        </w:rPr>
        <w:t>To SID</w:t>
      </w:r>
      <w:r w:rsidRPr="00AD081E">
        <w:rPr>
          <w:rFonts w:eastAsia="Calibri"/>
        </w:rPr>
        <w:t xml:space="preserve"> restriction.</w:t>
      </w:r>
    </w:p>
    <w:p w14:paraId="16B54A39" w14:textId="77777777" w:rsidR="00AD081E" w:rsidRPr="00AD081E" w:rsidRDefault="00AD081E" w:rsidP="00306174">
      <w:pPr>
        <w:pStyle w:val="Appendix6"/>
      </w:pPr>
      <w:r w:rsidRPr="00AD081E">
        <w:t>Save Your Changes</w:t>
      </w:r>
    </w:p>
    <w:p w14:paraId="43ED3B4F"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 Configuration</w:t>
      </w:r>
      <w:r w:rsidRPr="00AD081E">
        <w:rPr>
          <w:rFonts w:eastAsia="Calibri"/>
        </w:rPr>
        <w:t>.</w:t>
      </w:r>
    </w:p>
    <w:p w14:paraId="7F090DED" w14:textId="06A1C90F" w:rsidR="00AD081E" w:rsidRPr="00AD081E" w:rsidRDefault="00AD081E" w:rsidP="00AD081E">
      <w:pPr>
        <w:rPr>
          <w:rFonts w:eastAsia="Calibri"/>
        </w:rPr>
      </w:pPr>
      <w:r w:rsidRPr="00AD081E">
        <w:rPr>
          <w:rFonts w:eastAsia="Calibri"/>
          <w:b/>
        </w:rPr>
        <w:t>Save Configuration</w:t>
      </w:r>
      <w:r w:rsidRPr="00AD081E">
        <w:rPr>
          <w:rFonts w:eastAsia="Calibri"/>
          <w:b/>
        </w:rPr>
        <w:br/>
      </w:r>
      <w:r w:rsidRPr="00AD081E">
        <w:rPr>
          <w:rFonts w:eastAsia="Calibri"/>
        </w:rPr>
        <w:t xml:space="preserve">Select an interface name from the list (the </w:t>
      </w:r>
      <w:r w:rsidR="00585EAF" w:rsidRPr="00AD081E">
        <w:rPr>
          <w:rFonts w:eastAsia="Calibri"/>
        </w:rPr>
        <w:t>currently loaded</w:t>
      </w:r>
      <w:r w:rsidRPr="00AD081E">
        <w:rPr>
          <w:rFonts w:eastAsia="Calibri"/>
        </w:rPr>
        <w:t xml:space="preserve"> configuration is the one marked with an asterisk [</w:t>
      </w:r>
      <w:r w:rsidRPr="00AD081E">
        <w:rPr>
          <w:rFonts w:eastAsia="Calibri"/>
          <w:b/>
        </w:rPr>
        <w:t>*</w:t>
      </w:r>
      <w:r w:rsidRPr="00AD081E">
        <w:rPr>
          <w:rFonts w:eastAsia="Calibri"/>
        </w:rPr>
        <w:t>]</w:t>
      </w:r>
      <w:r w:rsidR="00F27FF3" w:rsidRPr="00AD081E">
        <w:rPr>
          <w:rFonts w:eastAsia="Calibri"/>
        </w:rPr>
        <w:t>) or</w:t>
      </w:r>
      <w:r w:rsidRPr="00AD081E">
        <w:rPr>
          <w:rFonts w:eastAsia="Calibri"/>
        </w:rPr>
        <w:t xml:space="preserve"> enter a new configuration name in the text entry area at the bottom of the dialog. Click on the </w:t>
      </w:r>
      <w:r w:rsidRPr="00AD081E">
        <w:rPr>
          <w:rFonts w:eastAsia="Calibri"/>
          <w:b/>
        </w:rPr>
        <w:t>OK</w:t>
      </w:r>
      <w:r w:rsidRPr="00AD081E">
        <w:rPr>
          <w:rFonts w:eastAsia="Calibri"/>
        </w:rPr>
        <w:t xml:space="preserve"> button.</w:t>
      </w:r>
    </w:p>
    <w:p w14:paraId="19684133" w14:textId="77777777" w:rsidR="00AD081E" w:rsidRPr="00AD081E" w:rsidRDefault="00AD081E" w:rsidP="00306174">
      <w:pPr>
        <w:pStyle w:val="Appendix6"/>
      </w:pPr>
      <w:r w:rsidRPr="00AD081E">
        <w:t xml:space="preserve">Logout </w:t>
      </w:r>
      <w:r w:rsidRPr="00D06531">
        <w:t>and</w:t>
      </w:r>
      <w:r w:rsidRPr="00AD081E">
        <w:t xml:space="preserve"> Close</w:t>
      </w:r>
    </w:p>
    <w:p w14:paraId="4F99FDFE" w14:textId="77777777" w:rsidR="00AD081E" w:rsidRPr="00AD081E" w:rsidRDefault="00AD081E" w:rsidP="00D06531">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Close the </w:t>
      </w:r>
      <w:r w:rsidRPr="00AD081E">
        <w:rPr>
          <w:rFonts w:eastAsia="Calibri"/>
          <w:i/>
        </w:rPr>
        <w:t>LINT</w:t>
      </w:r>
      <w:r w:rsidRPr="00AD081E">
        <w:rPr>
          <w:rFonts w:eastAsia="Calibri"/>
        </w:rPr>
        <w:t xml:space="preserve"> window.</w:t>
      </w:r>
    </w:p>
    <w:p w14:paraId="61B1E984" w14:textId="77777777" w:rsidR="00AD081E" w:rsidRPr="00AD081E" w:rsidRDefault="00AD081E" w:rsidP="00E869EC">
      <w:pPr>
        <w:pStyle w:val="Appendix5"/>
        <w:ind w:left="0" w:firstLine="0"/>
      </w:pPr>
      <w:bookmarkStart w:id="8315" w:name="_S-4.6.2.3__Configure"/>
      <w:bookmarkEnd w:id="8315"/>
      <w:r w:rsidRPr="00AD081E">
        <w:t>Configure DAMA TSNIF Interfaces and Routes</w:t>
      </w:r>
    </w:p>
    <w:p w14:paraId="01584A8B" w14:textId="77777777" w:rsidR="00AD081E" w:rsidRPr="00AD081E" w:rsidRDefault="00AD081E" w:rsidP="00306174">
      <w:pPr>
        <w:pStyle w:val="Appendix6"/>
      </w:pPr>
      <w:r w:rsidRPr="00AD081E">
        <w:t>Determine Scope of Changes</w:t>
      </w:r>
    </w:p>
    <w:p w14:paraId="333064F4" w14:textId="77777777" w:rsidR="00AD081E" w:rsidRPr="00AD081E" w:rsidRDefault="00AD081E" w:rsidP="00AD081E">
      <w:pPr>
        <w:rPr>
          <w:rFonts w:eastAsia="Calibri"/>
        </w:rPr>
      </w:pPr>
      <w:r w:rsidRPr="00AD081E">
        <w:rPr>
          <w:rFonts w:eastAsia="Calibri"/>
        </w:rPr>
        <w:t>From Windows, start the TSN DAMA tool.</w:t>
      </w:r>
    </w:p>
    <w:p w14:paraId="629DAFCB"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At the bottom of the window, check the IP address labeled </w:t>
      </w:r>
      <w:r w:rsidRPr="00AD081E">
        <w:rPr>
          <w:rFonts w:eastAsia="Calibri"/>
          <w:b/>
        </w:rPr>
        <w:t>Server</w:t>
      </w:r>
      <w:r w:rsidRPr="00AD081E">
        <w:rPr>
          <w:rFonts w:eastAsia="Calibri"/>
        </w:rPr>
        <w:t xml:space="preserve"> against the IP address for your TCIP.</w:t>
      </w:r>
    </w:p>
    <w:p w14:paraId="566DEB34" w14:textId="07AAFEBF" w:rsidR="00AD081E" w:rsidRPr="00AD081E" w:rsidRDefault="00AD081E" w:rsidP="00AD081E">
      <w:pPr>
        <w:rPr>
          <w:rFonts w:eastAsia="Calibri"/>
        </w:rPr>
      </w:pPr>
      <w:r w:rsidRPr="00AD081E">
        <w:rPr>
          <w:rFonts w:eastAsia="Calibri"/>
        </w:rPr>
        <w:t xml:space="preserve">If the IP addresses differ, you will have to change TSNIF to point to the correct server before proceeding. First, login as administrator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To change servers,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TCIP Server</w:t>
      </w:r>
      <w:r w:rsidRPr="00AD081E">
        <w:rPr>
          <w:rFonts w:eastAsia="Calibri"/>
        </w:rPr>
        <w:t xml:space="preserve"> from the menu. In the dialog that appears select the radio button to the left of your TCIP’s IP address (if it’s in the list) or select the radio button next to the blank text entry field and enter the TCIP’s IP address into the text field. Click on the </w:t>
      </w:r>
      <w:r w:rsidRPr="00AD081E">
        <w:rPr>
          <w:rFonts w:eastAsia="Calibri"/>
          <w:b/>
        </w:rPr>
        <w:t>Connect</w:t>
      </w:r>
      <w:r w:rsidRPr="00AD081E">
        <w:rPr>
          <w:rFonts w:eastAsia="Calibri"/>
        </w:rPr>
        <w:t xml:space="preserve"> button.</w:t>
      </w:r>
    </w:p>
    <w:p w14:paraId="51E513FD" w14:textId="45FBA500" w:rsidR="00AD081E" w:rsidRPr="00AD081E" w:rsidRDefault="00AD081E" w:rsidP="00AD081E">
      <w:pPr>
        <w:rPr>
          <w:rFonts w:eastAsia="Calibri"/>
        </w:rPr>
      </w:pPr>
      <w:r w:rsidRPr="00AD081E">
        <w:rPr>
          <w:rFonts w:eastAsia="Calibri"/>
        </w:rPr>
        <w:t xml:space="preserve">If you have a </w:t>
      </w:r>
      <w:r w:rsidR="00585EAF" w:rsidRPr="00AD081E">
        <w:rPr>
          <w:rFonts w:eastAsia="Calibri"/>
        </w:rPr>
        <w:t>previously saved</w:t>
      </w:r>
      <w:r w:rsidRPr="00AD081E">
        <w:rPr>
          <w:rFonts w:eastAsia="Calibri"/>
        </w:rPr>
        <w:t xml:space="preserve"> TSNIF configuration that is close to what you need, load it now. First login as TSNIF administrator if you haven’t already.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Load Configuration</w:t>
      </w:r>
      <w:r w:rsidRPr="00AD081E">
        <w:rPr>
          <w:rFonts w:eastAsia="Calibri"/>
        </w:rPr>
        <w:t xml:space="preserve">. In the dialog that appears, select your configuration, then click the </w:t>
      </w:r>
      <w:r w:rsidRPr="00AD081E">
        <w:rPr>
          <w:rFonts w:eastAsia="Calibri"/>
          <w:b/>
        </w:rPr>
        <w:t>OK</w:t>
      </w:r>
      <w:r w:rsidRPr="00AD081E">
        <w:rPr>
          <w:rFonts w:eastAsia="Calibri"/>
        </w:rPr>
        <w:t xml:space="preserve"> button.</w:t>
      </w:r>
    </w:p>
    <w:p w14:paraId="5C3CB28A" w14:textId="77777777" w:rsidR="00AD081E" w:rsidRPr="00AD081E" w:rsidRDefault="00AD081E" w:rsidP="00AD081E">
      <w:pPr>
        <w:tabs>
          <w:tab w:val="left" w:pos="720"/>
        </w:tabs>
        <w:jc w:val="center"/>
      </w:pPr>
      <w:r w:rsidRPr="00AD081E">
        <w:rPr>
          <w:noProof/>
        </w:rPr>
        <w:lastRenderedPageBreak/>
        <w:drawing>
          <wp:inline distT="0" distB="0" distL="0" distR="0" wp14:anchorId="113F6862" wp14:editId="322DA5E3">
            <wp:extent cx="3657600" cy="3374136"/>
            <wp:effectExtent l="0" t="0" r="0" b="0"/>
            <wp:docPr id="889" name="Picture 88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 name="Picture 889"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3374136"/>
                    </a:xfrm>
                    <a:prstGeom prst="rect">
                      <a:avLst/>
                    </a:prstGeom>
                  </pic:spPr>
                </pic:pic>
              </a:graphicData>
            </a:graphic>
          </wp:inline>
        </w:drawing>
      </w:r>
    </w:p>
    <w:p w14:paraId="1F9A4BF9"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Interfaces</w:t>
      </w:r>
      <w:r w:rsidRPr="00AD081E">
        <w:rPr>
          <w:rFonts w:eastAsia="Calibri"/>
        </w:rPr>
        <w:t xml:space="preserve"> tab. Verify that, for each live participating node, there is an interface defined with the correct IP address, port number 9601, and an interface type of TSN TCP. Verify that for the TSRT’s TED, there is also a second interface defined with the correct IP address, port number 9602, and an interface type of TSN TCP. For each matching interface, note the interface name on your list of participating nodes.</w:t>
      </w:r>
    </w:p>
    <w:p w14:paraId="7D616240" w14:textId="77777777" w:rsidR="00AD081E" w:rsidRPr="00AD081E" w:rsidRDefault="00AD081E" w:rsidP="00AD081E">
      <w:pPr>
        <w:rPr>
          <w:rFonts w:eastAsia="Calibri"/>
        </w:rPr>
      </w:pPr>
      <w:r w:rsidRPr="00AD081E">
        <w:rPr>
          <w:rFonts w:eastAsia="Calibri"/>
        </w:rPr>
        <w:t>The IP address, port number, and interface type of an interface cannot be changed once the interface has been defined. If any of these parameters are not correct, the interface is considered missing.</w:t>
      </w:r>
    </w:p>
    <w:p w14:paraId="1C032671" w14:textId="77777777" w:rsidR="00AD081E" w:rsidRPr="00AD081E" w:rsidRDefault="00AD081E" w:rsidP="00AD081E">
      <w:pPr>
        <w:rPr>
          <w:rFonts w:eastAsia="Calibri"/>
        </w:rPr>
      </w:pPr>
      <w:r w:rsidRPr="00AD081E">
        <w:rPr>
          <w:rFonts w:eastAsia="Calibri"/>
        </w:rPr>
        <w:t>Note any missing interfaces as you will have to create these soon. If an interface has the correct IP address and port number, but is not enabled, note that as well.</w:t>
      </w:r>
    </w:p>
    <w:p w14:paraId="3FE673D3"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Routes</w:t>
      </w:r>
      <w:r w:rsidRPr="00AD081E">
        <w:rPr>
          <w:rFonts w:eastAsia="Calibri"/>
        </w:rPr>
        <w:t xml:space="preserve"> tab, then click on the </w:t>
      </w:r>
      <w:r w:rsidRPr="00AD081E">
        <w:rPr>
          <w:rFonts w:eastAsia="Calibri"/>
          <w:b/>
        </w:rPr>
        <w:t>Source</w:t>
      </w:r>
      <w:r w:rsidRPr="00AD081E">
        <w:rPr>
          <w:rFonts w:eastAsia="Calibri"/>
        </w:rPr>
        <w:t xml:space="preserve"> column head to sort the list by source interface name. Verify that for each pair of interfaces, there is a route from the first to the second, and another route from the second back to the first. Note any missing routes, as you will have to create these soon. Also note any extra routes (with non-participants at one end), as you may wish to delete these.</w:t>
      </w:r>
    </w:p>
    <w:p w14:paraId="06F63707" w14:textId="77777777" w:rsidR="00AD081E" w:rsidRPr="00AD081E" w:rsidRDefault="00AD081E" w:rsidP="00AD081E">
      <w:pPr>
        <w:tabs>
          <w:tab w:val="left" w:pos="720"/>
        </w:tabs>
        <w:jc w:val="center"/>
      </w:pPr>
      <w:r w:rsidRPr="00AD081E">
        <w:rPr>
          <w:noProof/>
        </w:rPr>
        <w:lastRenderedPageBreak/>
        <w:drawing>
          <wp:inline distT="0" distB="0" distL="0" distR="0" wp14:anchorId="7902FBE4" wp14:editId="1C41BB9A">
            <wp:extent cx="3657600" cy="3374136"/>
            <wp:effectExtent l="0" t="0" r="0" b="0"/>
            <wp:docPr id="905" name="Picture 90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Picture 905" descr="Tabl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3374136"/>
                    </a:xfrm>
                    <a:prstGeom prst="rect">
                      <a:avLst/>
                    </a:prstGeom>
                  </pic:spPr>
                </pic:pic>
              </a:graphicData>
            </a:graphic>
          </wp:inline>
        </w:drawing>
      </w:r>
    </w:p>
    <w:p w14:paraId="2EA9C50F" w14:textId="52F06749" w:rsidR="00AD081E" w:rsidRPr="00AD081E" w:rsidRDefault="00AD081E" w:rsidP="00AD081E">
      <w:pPr>
        <w:rPr>
          <w:rFonts w:eastAsia="Calibri"/>
        </w:rPr>
      </w:pPr>
      <w:r w:rsidRPr="00AD081E">
        <w:rPr>
          <w:rFonts w:eastAsia="Calibri"/>
        </w:rPr>
        <w:t xml:space="preserve">If there are no missing or disabled interfaces, and there are no missing routes, there’s nothing further to do for TSN DAMA configuration. If you logged in as administrator, logout now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from the menu. Close the TSNIF tool. Skip to </w:t>
      </w:r>
      <w:r w:rsidRPr="00AD081E">
        <w:t>configuring the TDM</w:t>
      </w:r>
      <w:r w:rsidRPr="00AD081E">
        <w:rPr>
          <w:rFonts w:eastAsia="Calibri"/>
        </w:rPr>
        <w:t xml:space="preserve"> Distribution Agent</w:t>
      </w:r>
      <w:r w:rsidRPr="00AD081E">
        <w:t xml:space="preserve"> Communications (see </w:t>
      </w:r>
      <w:hyperlink w:anchor="Section_R_4_6_2_5" w:history="1">
        <w:r w:rsidRPr="00AD081E">
          <w:rPr>
            <w:rFonts w:eastAsia="Calibri"/>
            <w:color w:val="0000FF"/>
            <w:u w:val="single"/>
          </w:rPr>
          <w:t>Section R.4.6.2.5</w:t>
        </w:r>
      </w:hyperlink>
      <w:r w:rsidR="000365F3">
        <w:rPr>
          <w:rFonts w:eastAsia="Calibri"/>
        </w:rPr>
        <w:t>).</w:t>
      </w:r>
    </w:p>
    <w:p w14:paraId="41F9AF29" w14:textId="77777777" w:rsidR="00AD081E" w:rsidRPr="00AD081E" w:rsidRDefault="00AD081E" w:rsidP="00AD081E">
      <w:pPr>
        <w:rPr>
          <w:rFonts w:eastAsia="Calibri"/>
        </w:rPr>
      </w:pPr>
      <w:r w:rsidRPr="00AD081E">
        <w:rPr>
          <w:rFonts w:eastAsia="Calibri"/>
        </w:rPr>
        <w:t>Otherwise, keep going.</w:t>
      </w:r>
    </w:p>
    <w:p w14:paraId="22C18227" w14:textId="77777777" w:rsidR="00AD081E" w:rsidRPr="00AD081E" w:rsidRDefault="00AD081E" w:rsidP="00306174">
      <w:pPr>
        <w:pStyle w:val="Appendix6"/>
      </w:pPr>
      <w:r w:rsidRPr="00AD081E">
        <w:t>Login as Administrator</w:t>
      </w:r>
    </w:p>
    <w:p w14:paraId="74AAC5DE" w14:textId="61F5D301" w:rsidR="00AD081E" w:rsidRPr="00AD081E" w:rsidRDefault="00AD081E" w:rsidP="00D06531">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If you did not previously log in as TSNIF administrator (to change the TCIP server or load a TSNIF configuration), log in as administrator now.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w:t>
      </w:r>
    </w:p>
    <w:p w14:paraId="5675BC39" w14:textId="77777777" w:rsidR="00AD081E" w:rsidRPr="00AD081E" w:rsidRDefault="00AD081E" w:rsidP="00306174">
      <w:pPr>
        <w:pStyle w:val="Appendix6"/>
      </w:pPr>
      <w:r w:rsidRPr="00AD081E">
        <w:t>Correct Disabled Interfaces</w:t>
      </w:r>
    </w:p>
    <w:p w14:paraId="7DC2CA2B" w14:textId="77777777" w:rsidR="00AD081E" w:rsidRPr="00AD081E" w:rsidRDefault="00AD081E" w:rsidP="00D06531">
      <w:pPr>
        <w:rPr>
          <w:rFonts w:eastAsia="Calibri"/>
        </w:rPr>
      </w:pPr>
      <w:r w:rsidRPr="00AD081E">
        <w:rPr>
          <w:rFonts w:eastAsia="Calibri"/>
        </w:rPr>
        <w:t>If there are interfaces with the correct IP address and port that are disabled, correct them as follows:</w:t>
      </w:r>
    </w:p>
    <w:p w14:paraId="34D2D04E" w14:textId="77777777" w:rsidR="00AD081E" w:rsidRPr="00AD081E" w:rsidRDefault="00AD081E" w:rsidP="00D06531">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Select the interface in the list. Click on the </w:t>
      </w:r>
      <w:r w:rsidRPr="00AD081E">
        <w:rPr>
          <w:rFonts w:eastAsia="Calibri"/>
          <w:b/>
        </w:rPr>
        <w:t>Modify</w:t>
      </w:r>
      <w:r w:rsidRPr="00AD081E">
        <w:rPr>
          <w:rFonts w:eastAsia="Calibri"/>
        </w:rPr>
        <w:t xml:space="preserve"> button at the bottom of the tab. In the dialog that appears, ensure that the </w:t>
      </w:r>
      <w:r w:rsidRPr="00AD081E">
        <w:rPr>
          <w:rFonts w:eastAsia="Calibri"/>
          <w:b/>
        </w:rPr>
        <w:t>Enabled</w:t>
      </w:r>
      <w:r w:rsidRPr="00AD081E">
        <w:rPr>
          <w:rFonts w:eastAsia="Calibri"/>
        </w:rPr>
        <w:t xml:space="preserve"> radio button is selected. Click on the </w:t>
      </w:r>
      <w:r w:rsidRPr="00AD081E">
        <w:rPr>
          <w:rFonts w:eastAsia="Calibri"/>
          <w:b/>
        </w:rPr>
        <w:t>Apply</w:t>
      </w:r>
      <w:r w:rsidRPr="00AD081E">
        <w:rPr>
          <w:rFonts w:eastAsia="Calibri"/>
        </w:rPr>
        <w:t xml:space="preserve"> button at the bottom of the dialog.</w:t>
      </w:r>
    </w:p>
    <w:p w14:paraId="168DFD68" w14:textId="77777777" w:rsidR="00AD081E" w:rsidRPr="00AD081E" w:rsidRDefault="00AD081E" w:rsidP="00306174">
      <w:pPr>
        <w:pStyle w:val="Appendix6"/>
      </w:pPr>
      <w:r w:rsidRPr="00AD081E">
        <w:t>Add Missing Interfaces</w:t>
      </w:r>
    </w:p>
    <w:p w14:paraId="603F33AE" w14:textId="77777777" w:rsidR="00AD081E" w:rsidRPr="00AD081E" w:rsidRDefault="00AD081E" w:rsidP="00AD081E">
      <w:pPr>
        <w:rPr>
          <w:rFonts w:eastAsia="Calibri"/>
        </w:rPr>
      </w:pPr>
      <w:r w:rsidRPr="00AD081E">
        <w:rPr>
          <w:rFonts w:eastAsia="Calibri"/>
        </w:rPr>
        <w:t>For each missing interface, create an interface as follows:</w:t>
      </w:r>
    </w:p>
    <w:p w14:paraId="73AE7D30" w14:textId="77777777" w:rsidR="00AD081E" w:rsidRPr="00AD081E" w:rsidRDefault="00AD081E" w:rsidP="00AD081E">
      <w:pPr>
        <w:rPr>
          <w:rFonts w:eastAsia="Calibri"/>
        </w:rPr>
      </w:pPr>
      <w:r w:rsidRPr="00AD081E">
        <w:rPr>
          <w:rFonts w:eastAsia="Calibri"/>
          <w:b/>
        </w:rPr>
        <w:lastRenderedPageBreak/>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0805989F" w14:textId="77777777" w:rsidR="00AD081E" w:rsidRPr="00AD081E" w:rsidRDefault="00AD081E" w:rsidP="00AD081E">
      <w:pPr>
        <w:rPr>
          <w:rFonts w:eastAsia="Calibri"/>
        </w:rPr>
      </w:pPr>
      <w:r w:rsidRPr="00AD081E">
        <w:rPr>
          <w:rFonts w:eastAsia="Calibri"/>
          <w:b/>
        </w:rPr>
        <w:t>Select Interface Type</w:t>
      </w:r>
      <w:r w:rsidRPr="00AD081E">
        <w:rPr>
          <w:rFonts w:eastAsia="Calibri"/>
          <w:b/>
        </w:rPr>
        <w:br/>
      </w:r>
      <w:r w:rsidRPr="00AD081E">
        <w:rPr>
          <w:rFonts w:eastAsia="Calibri"/>
        </w:rPr>
        <w:t xml:space="preserve">Select the TSN TCP interface type from the list. Click on the </w:t>
      </w:r>
      <w:r w:rsidRPr="00AD081E">
        <w:rPr>
          <w:rFonts w:eastAsia="Calibri"/>
          <w:b/>
        </w:rPr>
        <w:t>OK</w:t>
      </w:r>
      <w:r w:rsidRPr="00AD081E">
        <w:rPr>
          <w:rFonts w:eastAsia="Calibri"/>
        </w:rPr>
        <w:t xml:space="preserve"> button.</w:t>
      </w:r>
    </w:p>
    <w:p w14:paraId="59BCBABE" w14:textId="77777777" w:rsidR="00AD081E" w:rsidRPr="00AD081E" w:rsidRDefault="00AD081E" w:rsidP="00AD081E">
      <w:pPr>
        <w:rPr>
          <w:rFonts w:eastAsia="Calibri"/>
        </w:rPr>
      </w:pPr>
      <w:r w:rsidRPr="00AD081E">
        <w:rPr>
          <w:rFonts w:eastAsia="Calibri"/>
          <w:b/>
        </w:rPr>
        <w:t>TSN TCP</w:t>
      </w:r>
      <w:r w:rsidRPr="00AD081E">
        <w:rPr>
          <w:rFonts w:eastAsia="Calibri"/>
        </w:rPr>
        <w:br/>
        <w:t xml:space="preserve">Enter a name for the interface. Select the </w:t>
      </w:r>
      <w:r w:rsidRPr="00AD081E">
        <w:rPr>
          <w:rFonts w:eastAsia="Calibri"/>
          <w:b/>
        </w:rPr>
        <w:t>Enabled</w:t>
      </w:r>
      <w:r w:rsidRPr="00AD081E">
        <w:rPr>
          <w:rFonts w:eastAsia="Calibri"/>
        </w:rPr>
        <w:t xml:space="preserve"> radio button. In the </w:t>
      </w:r>
      <w:r w:rsidRPr="00AD081E">
        <w:rPr>
          <w:rFonts w:eastAsia="Calibri"/>
          <w:b/>
        </w:rPr>
        <w:t>Internet Address</w:t>
      </w:r>
      <w:r w:rsidRPr="00AD081E">
        <w:rPr>
          <w:rFonts w:eastAsia="Calibri"/>
        </w:rPr>
        <w:t xml:space="preserve"> area, enter the IP address of the TSRT’s TED node (the four IP address components are each entered into a separate text area; you can tab from one to the next as you enter). If the </w:t>
      </w:r>
      <w:r w:rsidRPr="00AD081E">
        <w:rPr>
          <w:rFonts w:eastAsia="Calibri"/>
          <w:b/>
        </w:rPr>
        <w:t>Service Port ID</w:t>
      </w:r>
      <w:r w:rsidRPr="00AD081E">
        <w:rPr>
          <w:rFonts w:eastAsia="Calibri"/>
        </w:rPr>
        <w:t xml:space="preserve"> is not the correct port number, select the correct port number from the drop down.</w:t>
      </w:r>
    </w:p>
    <w:p w14:paraId="3854E098"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rPr>
        <w:t>Apply</w:t>
      </w:r>
      <w:r w:rsidRPr="00AD081E">
        <w:rPr>
          <w:rFonts w:eastAsia="Calibri"/>
        </w:rPr>
        <w:t xml:space="preserve"> button at the bottom of the dialog to create the interface.</w:t>
      </w:r>
    </w:p>
    <w:p w14:paraId="2B38EB55" w14:textId="77777777" w:rsidR="00AD081E" w:rsidRPr="00AD081E" w:rsidRDefault="00AD081E" w:rsidP="00AD081E">
      <w:pPr>
        <w:tabs>
          <w:tab w:val="left" w:pos="720"/>
        </w:tabs>
        <w:jc w:val="center"/>
      </w:pPr>
      <w:r w:rsidRPr="00AD081E">
        <w:rPr>
          <w:noProof/>
        </w:rPr>
        <w:drawing>
          <wp:inline distT="0" distB="0" distL="0" distR="0" wp14:anchorId="736A426B" wp14:editId="1C5B0487">
            <wp:extent cx="1470660" cy="805921"/>
            <wp:effectExtent l="0" t="0" r="0" b="0"/>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481384" cy="811798"/>
                    </a:xfrm>
                    <a:prstGeom prst="rect">
                      <a:avLst/>
                    </a:prstGeom>
                  </pic:spPr>
                </pic:pic>
              </a:graphicData>
            </a:graphic>
          </wp:inline>
        </w:drawing>
      </w:r>
      <w:r w:rsidRPr="00AD081E">
        <w:rPr>
          <w:rFonts w:ascii="Calibri" w:eastAsia="Calibri" w:hAnsi="Calibri"/>
          <w:noProof/>
          <w:sz w:val="22"/>
          <w:szCs w:val="22"/>
        </w:rPr>
        <w:t xml:space="preserve">  </w:t>
      </w:r>
      <w:r w:rsidRPr="00AD081E">
        <w:rPr>
          <w:noProof/>
        </w:rPr>
        <w:drawing>
          <wp:inline distT="0" distB="0" distL="0" distR="0" wp14:anchorId="0FAD201A" wp14:editId="1BA0CA88">
            <wp:extent cx="1509888" cy="815340"/>
            <wp:effectExtent l="0" t="0" r="0" b="0"/>
            <wp:docPr id="1421" name="Picture 14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 name="Picture 1421"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523548" cy="822717"/>
                    </a:xfrm>
                    <a:prstGeom prst="rect">
                      <a:avLst/>
                    </a:prstGeom>
                  </pic:spPr>
                </pic:pic>
              </a:graphicData>
            </a:graphic>
          </wp:inline>
        </w:drawing>
      </w:r>
    </w:p>
    <w:p w14:paraId="41A8D3A0" w14:textId="77777777" w:rsidR="00AD081E" w:rsidRPr="00AD081E" w:rsidRDefault="00AD081E" w:rsidP="00306174">
      <w:pPr>
        <w:pStyle w:val="Appendix6"/>
      </w:pPr>
      <w:r w:rsidRPr="00AD081E">
        <w:t>Add Missing Routes</w:t>
      </w:r>
    </w:p>
    <w:p w14:paraId="04CB805D" w14:textId="77777777" w:rsidR="00AD081E" w:rsidRPr="00AD081E" w:rsidRDefault="00AD081E" w:rsidP="00AD081E">
      <w:pPr>
        <w:rPr>
          <w:rFonts w:eastAsia="Calibri"/>
        </w:rPr>
      </w:pPr>
      <w:r w:rsidRPr="00AD081E">
        <w:rPr>
          <w:rFonts w:eastAsia="Calibri"/>
        </w:rPr>
        <w:t>If any routes are missing, add routes as follows:</w:t>
      </w:r>
    </w:p>
    <w:p w14:paraId="0E081E18"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Routes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68773BEF" w14:textId="77777777" w:rsidR="00AD081E" w:rsidRPr="00AD081E" w:rsidRDefault="00AD081E" w:rsidP="00AD081E">
      <w:pPr>
        <w:tabs>
          <w:tab w:val="left" w:pos="720"/>
        </w:tabs>
        <w:jc w:val="center"/>
      </w:pPr>
      <w:r w:rsidRPr="00AD081E">
        <w:rPr>
          <w:noProof/>
        </w:rPr>
        <w:drawing>
          <wp:inline distT="0" distB="0" distL="0" distR="0" wp14:anchorId="6497FB73" wp14:editId="3D106CA4">
            <wp:extent cx="2270760" cy="1277302"/>
            <wp:effectExtent l="0" t="0" r="0" b="0"/>
            <wp:docPr id="93" name="Picture 9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Graphical user interface&#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275543" cy="1279993"/>
                    </a:xfrm>
                    <a:prstGeom prst="rect">
                      <a:avLst/>
                    </a:prstGeom>
                  </pic:spPr>
                </pic:pic>
              </a:graphicData>
            </a:graphic>
          </wp:inline>
        </w:drawing>
      </w:r>
    </w:p>
    <w:p w14:paraId="41432906" w14:textId="77777777" w:rsidR="00AD081E" w:rsidRPr="00AD081E" w:rsidRDefault="00AD081E" w:rsidP="00AD081E">
      <w:pPr>
        <w:rPr>
          <w:rFonts w:eastAsia="Calibri"/>
        </w:rPr>
      </w:pPr>
      <w:r w:rsidRPr="00AD081E">
        <w:rPr>
          <w:rFonts w:eastAsia="Calibri"/>
          <w:b/>
        </w:rPr>
        <w:t>Add/Modify Route</w:t>
      </w:r>
      <w:r w:rsidRPr="00AD081E">
        <w:rPr>
          <w:rFonts w:eastAsia="Calibri"/>
          <w:b/>
        </w:rPr>
        <w:br/>
      </w:r>
      <w:r w:rsidRPr="00AD081E">
        <w:rPr>
          <w:rFonts w:eastAsia="Calibri"/>
        </w:rPr>
        <w:t xml:space="preserve">Using the drop down labeled </w:t>
      </w:r>
      <w:r w:rsidRPr="00AD081E">
        <w:rPr>
          <w:rFonts w:eastAsia="Calibri"/>
          <w:b/>
        </w:rPr>
        <w:t>From</w:t>
      </w:r>
      <w:r w:rsidRPr="00AD081E">
        <w:rPr>
          <w:rFonts w:eastAsia="Calibri"/>
        </w:rPr>
        <w:t xml:space="preserve">, select the first interface of the pair that is missing a route. Find the second interface of the pair in the list to the right. Check the </w:t>
      </w:r>
      <w:r w:rsidRPr="00AD081E">
        <w:rPr>
          <w:rFonts w:eastAsia="Calibri"/>
          <w:b/>
        </w:rPr>
        <w:t>To</w:t>
      </w:r>
      <w:r w:rsidRPr="00AD081E">
        <w:rPr>
          <w:rFonts w:eastAsia="Calibri"/>
        </w:rPr>
        <w:t xml:space="preserve"> box next to the second interface name (if it is not already checked), then check the </w:t>
      </w:r>
      <w:r w:rsidRPr="00AD081E">
        <w:rPr>
          <w:rFonts w:eastAsia="Calibri"/>
          <w:b/>
        </w:rPr>
        <w:t>Back To</w:t>
      </w:r>
      <w:r w:rsidRPr="00AD081E">
        <w:rPr>
          <w:rFonts w:eastAsia="Calibri"/>
        </w:rPr>
        <w:t xml:space="preserve"> box on the same line. (If the back route was previously defined, there will not be a </w:t>
      </w:r>
      <w:r w:rsidRPr="00AD081E">
        <w:rPr>
          <w:rFonts w:eastAsia="Calibri"/>
          <w:b/>
        </w:rPr>
        <w:t>Back To</w:t>
      </w:r>
      <w:r w:rsidRPr="00AD081E">
        <w:rPr>
          <w:rFonts w:eastAsia="Calibri"/>
        </w:rPr>
        <w:t xml:space="preserve"> box on the same line.)</w:t>
      </w:r>
    </w:p>
    <w:p w14:paraId="4889A5EB" w14:textId="77777777" w:rsidR="00AD081E" w:rsidRPr="00AD081E" w:rsidRDefault="00AD081E" w:rsidP="00AD081E">
      <w:pPr>
        <w:rPr>
          <w:rFonts w:eastAsia="Calibri"/>
        </w:rPr>
      </w:pPr>
      <w:r w:rsidRPr="00AD081E">
        <w:rPr>
          <w:rFonts w:eastAsia="Calibri"/>
        </w:rPr>
        <w:t xml:space="preserve">To save time, while you have the first interface name in the </w:t>
      </w:r>
      <w:r w:rsidRPr="00AD081E">
        <w:rPr>
          <w:rFonts w:eastAsia="Calibri"/>
          <w:b/>
        </w:rPr>
        <w:t>From</w:t>
      </w:r>
      <w:r w:rsidRPr="00AD081E">
        <w:rPr>
          <w:rFonts w:eastAsia="Calibri"/>
        </w:rPr>
        <w:t xml:space="preserve"> box, use the right-hand list to find all of the other missing interfaces to/from the first interface and check them, too. When all needed interfaces to/from the first interface have been selected, click on the </w:t>
      </w:r>
      <w:r w:rsidRPr="00AD081E">
        <w:rPr>
          <w:rFonts w:eastAsia="Calibri"/>
          <w:b/>
        </w:rPr>
        <w:t>Apply</w:t>
      </w:r>
      <w:r w:rsidRPr="00AD081E">
        <w:rPr>
          <w:rFonts w:eastAsia="Calibri"/>
        </w:rPr>
        <w:t xml:space="preserve"> button at the bottom of the dialog.</w:t>
      </w:r>
    </w:p>
    <w:p w14:paraId="63AF00EF" w14:textId="77777777" w:rsidR="00AD081E" w:rsidRPr="00AD081E" w:rsidRDefault="00AD081E" w:rsidP="00306174">
      <w:pPr>
        <w:pStyle w:val="Appendix6"/>
      </w:pPr>
      <w:r w:rsidRPr="00AD081E">
        <w:t>Delete Extra Routes (Optional)</w:t>
      </w:r>
    </w:p>
    <w:p w14:paraId="4BC3C57D" w14:textId="77777777" w:rsidR="00AD081E" w:rsidRPr="00AD081E" w:rsidRDefault="00AD081E" w:rsidP="00D06531">
      <w:pPr>
        <w:rPr>
          <w:rFonts w:eastAsia="Calibri"/>
        </w:rPr>
      </w:pPr>
      <w:r w:rsidRPr="00AD081E">
        <w:rPr>
          <w:rFonts w:eastAsia="Calibri"/>
        </w:rPr>
        <w:t xml:space="preserve">To avoid receiving TSN messages from non-participants, you may wish to delete any extra routes from participants to non-participants, or vice versa. To do this, select each extra route in turn on the </w:t>
      </w:r>
      <w:r w:rsidRPr="00AD081E">
        <w:rPr>
          <w:rFonts w:eastAsia="Calibri"/>
          <w:b/>
          <w:i/>
        </w:rPr>
        <w:t>Routes</w:t>
      </w:r>
      <w:r w:rsidRPr="00AD081E">
        <w:rPr>
          <w:rFonts w:eastAsia="Calibri"/>
        </w:rPr>
        <w:t xml:space="preserve"> tab, then click on the </w:t>
      </w:r>
      <w:r w:rsidRPr="00AD081E">
        <w:rPr>
          <w:rFonts w:eastAsia="Calibri"/>
          <w:b/>
        </w:rPr>
        <w:t>Delete</w:t>
      </w:r>
      <w:r w:rsidRPr="00AD081E">
        <w:rPr>
          <w:rFonts w:eastAsia="Calibri"/>
        </w:rPr>
        <w:t xml:space="preserve"> button.</w:t>
      </w:r>
    </w:p>
    <w:p w14:paraId="307C1F22" w14:textId="77777777" w:rsidR="00AD081E" w:rsidRPr="00AD081E" w:rsidRDefault="00AD081E" w:rsidP="00306174">
      <w:pPr>
        <w:pStyle w:val="Appendix6"/>
      </w:pPr>
      <w:r w:rsidRPr="00AD081E">
        <w:lastRenderedPageBreak/>
        <w:t>Save Your Changes</w:t>
      </w:r>
    </w:p>
    <w:p w14:paraId="24C32336"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 Configuration</w:t>
      </w:r>
      <w:r w:rsidRPr="00AD081E">
        <w:rPr>
          <w:rFonts w:eastAsia="Calibri"/>
        </w:rPr>
        <w:t>.</w:t>
      </w:r>
    </w:p>
    <w:p w14:paraId="6D2A8982" w14:textId="213A40B2" w:rsidR="00AD081E" w:rsidRPr="00AD081E" w:rsidRDefault="00AD081E" w:rsidP="00AD081E">
      <w:pPr>
        <w:rPr>
          <w:rFonts w:eastAsia="Calibri"/>
        </w:rPr>
      </w:pPr>
      <w:r w:rsidRPr="00AD081E">
        <w:rPr>
          <w:rFonts w:eastAsia="Calibri"/>
          <w:b/>
        </w:rPr>
        <w:t>Save Configuration</w:t>
      </w:r>
      <w:r w:rsidRPr="00AD081E">
        <w:rPr>
          <w:rFonts w:eastAsia="Calibri"/>
          <w:b/>
        </w:rPr>
        <w:br/>
      </w:r>
      <w:r w:rsidRPr="00AD081E">
        <w:rPr>
          <w:rFonts w:eastAsia="Calibri"/>
        </w:rPr>
        <w:t xml:space="preserve">Select an interface name from the list (the </w:t>
      </w:r>
      <w:r w:rsidR="00585EAF" w:rsidRPr="00AD081E">
        <w:rPr>
          <w:rFonts w:eastAsia="Calibri"/>
        </w:rPr>
        <w:t>currently loaded</w:t>
      </w:r>
      <w:r w:rsidRPr="00AD081E">
        <w:rPr>
          <w:rFonts w:eastAsia="Calibri"/>
        </w:rPr>
        <w:t xml:space="preserve"> configuration is the one marked with an asterisk [</w:t>
      </w:r>
      <w:r w:rsidRPr="00AD081E">
        <w:rPr>
          <w:rFonts w:eastAsia="Calibri"/>
          <w:b/>
        </w:rPr>
        <w:t>*</w:t>
      </w:r>
      <w:r w:rsidRPr="00AD081E">
        <w:rPr>
          <w:rFonts w:eastAsia="Calibri"/>
        </w:rPr>
        <w:t>]</w:t>
      </w:r>
      <w:r w:rsidR="00986E97" w:rsidRPr="00AD081E">
        <w:rPr>
          <w:rFonts w:eastAsia="Calibri"/>
        </w:rPr>
        <w:t>) or</w:t>
      </w:r>
      <w:r w:rsidRPr="00AD081E">
        <w:rPr>
          <w:rFonts w:eastAsia="Calibri"/>
        </w:rPr>
        <w:t xml:space="preserve"> enter a new configuration name in the text entry area at the bottom of the dialog. Click on the </w:t>
      </w:r>
      <w:r w:rsidRPr="00AD081E">
        <w:rPr>
          <w:rFonts w:eastAsia="Calibri"/>
          <w:b/>
        </w:rPr>
        <w:t>OK</w:t>
      </w:r>
      <w:r w:rsidRPr="00AD081E">
        <w:rPr>
          <w:rFonts w:eastAsia="Calibri"/>
        </w:rPr>
        <w:t xml:space="preserve"> button.</w:t>
      </w:r>
    </w:p>
    <w:p w14:paraId="13EA3797" w14:textId="77777777" w:rsidR="00AD081E" w:rsidRPr="00AD081E" w:rsidRDefault="00AD081E" w:rsidP="00306174">
      <w:pPr>
        <w:pStyle w:val="Appendix6"/>
      </w:pPr>
      <w:r w:rsidRPr="00AD081E">
        <w:t>Logout and Close</w:t>
      </w:r>
    </w:p>
    <w:p w14:paraId="1B635CF9" w14:textId="77777777" w:rsidR="00AD081E" w:rsidRPr="00AD081E" w:rsidRDefault="00AD081E" w:rsidP="00AD081E">
      <w:pPr>
        <w:rPr>
          <w:rFonts w:eastAsia="Calibri"/>
        </w:rPr>
      </w:pPr>
      <w:r w:rsidRPr="00AD081E">
        <w:rPr>
          <w:rFonts w:eastAsia="Calibri"/>
          <w:b/>
        </w:rPr>
        <w:t xml:space="preserve">TSNIF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Close the </w:t>
      </w:r>
      <w:r w:rsidRPr="00AD081E">
        <w:rPr>
          <w:rFonts w:eastAsia="Calibri"/>
          <w:i/>
        </w:rPr>
        <w:t>TSNIF</w:t>
      </w:r>
      <w:r w:rsidRPr="00AD081E">
        <w:rPr>
          <w:rFonts w:eastAsia="Calibri"/>
        </w:rPr>
        <w:t xml:space="preserve"> window.</w:t>
      </w:r>
    </w:p>
    <w:p w14:paraId="4DF26A03" w14:textId="77777777" w:rsidR="00AD081E" w:rsidRPr="00AD081E" w:rsidRDefault="00AD081E" w:rsidP="00D06531">
      <w:pPr>
        <w:pStyle w:val="Appendix5"/>
      </w:pPr>
      <w:bookmarkStart w:id="8316" w:name="_S-4.6.2.4__Configure"/>
      <w:bookmarkEnd w:id="8316"/>
      <w:r w:rsidRPr="00AD081E">
        <w:t>Configure ACA TSNIF Interfaces and Routes</w:t>
      </w:r>
    </w:p>
    <w:p w14:paraId="67D9DFB6" w14:textId="77777777" w:rsidR="00AD081E" w:rsidRPr="00AD081E" w:rsidRDefault="00AD081E" w:rsidP="00306174">
      <w:pPr>
        <w:pStyle w:val="Appendix6"/>
      </w:pPr>
      <w:r w:rsidRPr="00AD081E">
        <w:t>Determine Scope of Changes</w:t>
      </w:r>
    </w:p>
    <w:p w14:paraId="2C68352A" w14:textId="77777777" w:rsidR="00AD081E" w:rsidRPr="00AD081E" w:rsidRDefault="00AD081E" w:rsidP="00AD081E">
      <w:pPr>
        <w:rPr>
          <w:rFonts w:eastAsia="Calibri"/>
        </w:rPr>
      </w:pPr>
      <w:r w:rsidRPr="00AD081E">
        <w:rPr>
          <w:rFonts w:eastAsia="Calibri"/>
        </w:rPr>
        <w:t>From Windows, start the TSN ACA tool.</w:t>
      </w:r>
    </w:p>
    <w:p w14:paraId="34CC6340"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At the bottom of the window, check the IP address labeled </w:t>
      </w:r>
      <w:r w:rsidRPr="00AD081E">
        <w:rPr>
          <w:rFonts w:eastAsia="Calibri"/>
          <w:b/>
        </w:rPr>
        <w:t>Server</w:t>
      </w:r>
      <w:r w:rsidRPr="00AD081E">
        <w:rPr>
          <w:rFonts w:eastAsia="Calibri"/>
        </w:rPr>
        <w:t xml:space="preserve"> against the IP address for your TCIP.</w:t>
      </w:r>
    </w:p>
    <w:p w14:paraId="200863AC" w14:textId="33F5A0C4" w:rsidR="00AD081E" w:rsidRPr="00AD081E" w:rsidRDefault="00AD081E" w:rsidP="00AD081E">
      <w:pPr>
        <w:rPr>
          <w:rFonts w:eastAsia="Calibri"/>
        </w:rPr>
      </w:pPr>
      <w:r w:rsidRPr="00AD081E">
        <w:rPr>
          <w:rFonts w:eastAsia="Calibri"/>
        </w:rPr>
        <w:t xml:space="preserve">If the IP addresses differ, you will have to change TSNIF to point to the correct server before proceeding. First, login as administrator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To change servers,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TCIP Server</w:t>
      </w:r>
      <w:r w:rsidRPr="00AD081E">
        <w:rPr>
          <w:rFonts w:eastAsia="Calibri"/>
        </w:rPr>
        <w:t xml:space="preserve"> from the menu. In the dialog that appears select the radio button to the left of your TCIP’s IP address (if it’s in the list) or select the radio button next to the blank text entry field and enter the TCIP’s IP address into the text field. Click on the </w:t>
      </w:r>
      <w:r w:rsidRPr="00AD081E">
        <w:rPr>
          <w:rFonts w:eastAsia="Calibri"/>
          <w:b/>
        </w:rPr>
        <w:t>Connect</w:t>
      </w:r>
      <w:r w:rsidRPr="00AD081E">
        <w:rPr>
          <w:rFonts w:eastAsia="Calibri"/>
        </w:rPr>
        <w:t xml:space="preserve"> button.</w:t>
      </w:r>
    </w:p>
    <w:p w14:paraId="7CE473A7" w14:textId="71254FE6" w:rsidR="00AD081E" w:rsidRPr="00AD081E" w:rsidRDefault="00AD081E" w:rsidP="00AD081E">
      <w:pPr>
        <w:rPr>
          <w:rFonts w:eastAsia="Calibri"/>
        </w:rPr>
      </w:pPr>
      <w:r w:rsidRPr="00AD081E">
        <w:rPr>
          <w:rFonts w:eastAsia="Calibri"/>
        </w:rPr>
        <w:t xml:space="preserve">If you have a </w:t>
      </w:r>
      <w:r w:rsidR="00585EAF" w:rsidRPr="00AD081E">
        <w:rPr>
          <w:rFonts w:eastAsia="Calibri"/>
        </w:rPr>
        <w:t>previously saved</w:t>
      </w:r>
      <w:r w:rsidRPr="00AD081E">
        <w:rPr>
          <w:rFonts w:eastAsia="Calibri"/>
        </w:rPr>
        <w:t xml:space="preserve"> TSNIF configuration that is close to what you need, load it now. First login as TSNIF administrator if you haven’t already.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Load Configuration</w:t>
      </w:r>
      <w:r w:rsidRPr="00AD081E">
        <w:rPr>
          <w:rFonts w:eastAsia="Calibri"/>
        </w:rPr>
        <w:t xml:space="preserve">. In the dialog that appears, select your configuration, then click the </w:t>
      </w:r>
      <w:r w:rsidRPr="00AD081E">
        <w:rPr>
          <w:rFonts w:eastAsia="Calibri"/>
          <w:b/>
        </w:rPr>
        <w:t>OK</w:t>
      </w:r>
      <w:r w:rsidRPr="00AD081E">
        <w:rPr>
          <w:rFonts w:eastAsia="Calibri"/>
        </w:rPr>
        <w:t xml:space="preserve"> button.</w:t>
      </w:r>
    </w:p>
    <w:p w14:paraId="6335DA62" w14:textId="77777777" w:rsidR="00AD081E" w:rsidRPr="00AD081E" w:rsidRDefault="00AD081E" w:rsidP="00AD081E">
      <w:pPr>
        <w:tabs>
          <w:tab w:val="left" w:pos="720"/>
        </w:tabs>
        <w:jc w:val="center"/>
      </w:pPr>
      <w:r w:rsidRPr="00AD081E">
        <w:rPr>
          <w:noProof/>
        </w:rPr>
        <w:lastRenderedPageBreak/>
        <w:drawing>
          <wp:inline distT="0" distB="0" distL="0" distR="0" wp14:anchorId="648208A6" wp14:editId="3DF9AD56">
            <wp:extent cx="3657600" cy="3374136"/>
            <wp:effectExtent l="0" t="0" r="0" b="0"/>
            <wp:docPr id="912" name="Picture 9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Picture 912"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3374136"/>
                    </a:xfrm>
                    <a:prstGeom prst="rect">
                      <a:avLst/>
                    </a:prstGeom>
                  </pic:spPr>
                </pic:pic>
              </a:graphicData>
            </a:graphic>
          </wp:inline>
        </w:drawing>
      </w:r>
    </w:p>
    <w:p w14:paraId="2407C03D"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Interfaces</w:t>
      </w:r>
      <w:r w:rsidRPr="00AD081E">
        <w:rPr>
          <w:rFonts w:eastAsia="Calibri"/>
        </w:rPr>
        <w:t xml:space="preserve"> tab. Verify that, for each live participating node, there is an interface defined with the correct IP address, port number 9609, and an interface type of TSN TCP. Verify that for the TSRT’s TED, there is also a second interface defined with the correct IP address, port number 9610, and an interface type of TSN TCP. For each matching interface, note the interface name on your list of participating nodes.</w:t>
      </w:r>
    </w:p>
    <w:p w14:paraId="5866A772" w14:textId="77777777" w:rsidR="00AD081E" w:rsidRPr="00AD081E" w:rsidRDefault="00AD081E" w:rsidP="00AD081E">
      <w:pPr>
        <w:rPr>
          <w:rFonts w:eastAsia="Calibri"/>
        </w:rPr>
      </w:pPr>
      <w:r w:rsidRPr="00AD081E">
        <w:rPr>
          <w:rFonts w:eastAsia="Calibri"/>
        </w:rPr>
        <w:t>The IP address, port number, and interface type of an interface cannot be changed once the interface has been defined. If any of these parameters are not correct, the interface is considered missing.</w:t>
      </w:r>
    </w:p>
    <w:p w14:paraId="75329E99" w14:textId="77777777" w:rsidR="00AD081E" w:rsidRPr="00AD081E" w:rsidRDefault="00AD081E" w:rsidP="00AD081E">
      <w:pPr>
        <w:rPr>
          <w:rFonts w:eastAsia="Calibri"/>
        </w:rPr>
      </w:pPr>
      <w:r w:rsidRPr="00AD081E">
        <w:rPr>
          <w:rFonts w:eastAsia="Calibri"/>
        </w:rPr>
        <w:t>Note any missing interfaces as you will have to create these soon. If an interface has the correct IP address and port number, but is not enabled, note that as well.</w:t>
      </w:r>
    </w:p>
    <w:p w14:paraId="31FB39C9"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Routes</w:t>
      </w:r>
      <w:r w:rsidRPr="00AD081E">
        <w:rPr>
          <w:rFonts w:eastAsia="Calibri"/>
        </w:rPr>
        <w:t xml:space="preserve"> tab, then click on the </w:t>
      </w:r>
      <w:r w:rsidRPr="00AD081E">
        <w:rPr>
          <w:rFonts w:eastAsia="Calibri"/>
          <w:b/>
        </w:rPr>
        <w:t>Source</w:t>
      </w:r>
      <w:r w:rsidRPr="00AD081E">
        <w:rPr>
          <w:rFonts w:eastAsia="Calibri"/>
        </w:rPr>
        <w:t xml:space="preserve"> column head to sort the list by source interface name. Verify that for each pair of interfaces, there is a route from the first to the second, and another route from the second back to the first. Note any missing routes, as you will have to create these soon. Also note any extra routes (with non-participants at one end), as you may wish to delete these.</w:t>
      </w:r>
    </w:p>
    <w:p w14:paraId="0DE4A492" w14:textId="77777777" w:rsidR="00AD081E" w:rsidRPr="00AD081E" w:rsidRDefault="00AD081E" w:rsidP="00AD081E">
      <w:pPr>
        <w:tabs>
          <w:tab w:val="left" w:pos="720"/>
        </w:tabs>
        <w:jc w:val="center"/>
      </w:pPr>
      <w:r w:rsidRPr="00AD081E">
        <w:rPr>
          <w:noProof/>
        </w:rPr>
        <w:lastRenderedPageBreak/>
        <w:drawing>
          <wp:inline distT="0" distB="0" distL="0" distR="0" wp14:anchorId="77B8C531" wp14:editId="2E7B82E7">
            <wp:extent cx="3657600" cy="3374136"/>
            <wp:effectExtent l="0" t="0" r="0" b="0"/>
            <wp:docPr id="913" name="Picture 913"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Picture 913" descr="Graphical user interface, application, tabl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3374136"/>
                    </a:xfrm>
                    <a:prstGeom prst="rect">
                      <a:avLst/>
                    </a:prstGeom>
                  </pic:spPr>
                </pic:pic>
              </a:graphicData>
            </a:graphic>
          </wp:inline>
        </w:drawing>
      </w:r>
    </w:p>
    <w:p w14:paraId="178A32A2" w14:textId="1A0E729A" w:rsidR="00AD081E" w:rsidRPr="00AD081E" w:rsidRDefault="00AD081E" w:rsidP="00AD081E">
      <w:pPr>
        <w:rPr>
          <w:rFonts w:eastAsia="Calibri"/>
        </w:rPr>
      </w:pPr>
      <w:r w:rsidRPr="00AD081E">
        <w:rPr>
          <w:rFonts w:eastAsia="Calibri"/>
        </w:rPr>
        <w:t xml:space="preserve">If there are no missing or disabled interfaces, and there are no missing routes, there’s nothing further to do for TSN ACA configuration. If you logged in as administrator, logout now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from the menu. Close the TSNIF tool. Skip to </w:t>
      </w:r>
      <w:r w:rsidRPr="00AD081E">
        <w:t>configuring the TDM</w:t>
      </w:r>
      <w:r w:rsidRPr="00AD081E">
        <w:rPr>
          <w:rFonts w:eastAsia="Calibri"/>
        </w:rPr>
        <w:t xml:space="preserve"> Distribution Agent</w:t>
      </w:r>
      <w:r w:rsidRPr="00AD081E">
        <w:t xml:space="preserve"> Communications (see </w:t>
      </w:r>
      <w:hyperlink w:anchor="Section_R_4_6_2_5" w:history="1">
        <w:r w:rsidRPr="00AD081E">
          <w:rPr>
            <w:rFonts w:eastAsia="Calibri"/>
            <w:color w:val="0000FF"/>
            <w:u w:val="single"/>
          </w:rPr>
          <w:t>Section R.4.6.2.5</w:t>
        </w:r>
      </w:hyperlink>
      <w:r w:rsidR="000365F3">
        <w:rPr>
          <w:rFonts w:eastAsia="Calibri"/>
        </w:rPr>
        <w:t>).</w:t>
      </w:r>
    </w:p>
    <w:p w14:paraId="2BC5302B" w14:textId="77777777" w:rsidR="00AD081E" w:rsidRPr="00AD081E" w:rsidRDefault="00AD081E" w:rsidP="00AD081E">
      <w:pPr>
        <w:rPr>
          <w:rFonts w:eastAsia="Calibri"/>
        </w:rPr>
      </w:pPr>
      <w:r w:rsidRPr="00AD081E">
        <w:rPr>
          <w:rFonts w:eastAsia="Calibri"/>
        </w:rPr>
        <w:t>Otherwise, keep going.</w:t>
      </w:r>
    </w:p>
    <w:p w14:paraId="46D5A7C1" w14:textId="77777777" w:rsidR="00AD081E" w:rsidRPr="00AD081E" w:rsidRDefault="00AD081E" w:rsidP="00306174">
      <w:pPr>
        <w:pStyle w:val="Appendix6"/>
      </w:pPr>
      <w:r w:rsidRPr="00AD081E">
        <w:t>Login as Administrator</w:t>
      </w:r>
    </w:p>
    <w:p w14:paraId="0D91718E" w14:textId="3F771C72"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If you did not previously log in as TSNIF administrator (to change the TCIP server or load a TSNIF configuration), log in as administrator now.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w:t>
      </w:r>
    </w:p>
    <w:p w14:paraId="1FBE1148" w14:textId="77777777" w:rsidR="00AD081E" w:rsidRPr="00AD081E" w:rsidRDefault="00AD081E" w:rsidP="00306174">
      <w:pPr>
        <w:pStyle w:val="Appendix6"/>
      </w:pPr>
      <w:r w:rsidRPr="00AD081E">
        <w:t>Correct Disabled Interfaces</w:t>
      </w:r>
    </w:p>
    <w:p w14:paraId="59A9AF93" w14:textId="77777777" w:rsidR="00AD081E" w:rsidRPr="00AD081E" w:rsidRDefault="00AD081E" w:rsidP="00AD081E">
      <w:pPr>
        <w:rPr>
          <w:rFonts w:eastAsia="Calibri"/>
        </w:rPr>
      </w:pPr>
      <w:r w:rsidRPr="00AD081E">
        <w:rPr>
          <w:rFonts w:eastAsia="Calibri"/>
        </w:rPr>
        <w:t>If there are interfaces with the correct IP address and port that are disabled, correct them as follows:</w:t>
      </w:r>
    </w:p>
    <w:p w14:paraId="5DC191FD"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Select the interface in the list. Click on the </w:t>
      </w:r>
      <w:r w:rsidRPr="00AD081E">
        <w:rPr>
          <w:rFonts w:eastAsia="Calibri"/>
          <w:b/>
        </w:rPr>
        <w:t>Modify</w:t>
      </w:r>
      <w:r w:rsidRPr="00AD081E">
        <w:rPr>
          <w:rFonts w:eastAsia="Calibri"/>
        </w:rPr>
        <w:t xml:space="preserve"> button at the bottom of the tab. In the dialog that appears, ensure that the </w:t>
      </w:r>
      <w:r w:rsidRPr="00AD081E">
        <w:rPr>
          <w:rFonts w:eastAsia="Calibri"/>
          <w:b/>
        </w:rPr>
        <w:t>Enabled</w:t>
      </w:r>
      <w:r w:rsidRPr="00AD081E">
        <w:rPr>
          <w:rFonts w:eastAsia="Calibri"/>
        </w:rPr>
        <w:t xml:space="preserve"> radio button is selected. Click on the </w:t>
      </w:r>
      <w:r w:rsidRPr="00AD081E">
        <w:rPr>
          <w:rFonts w:eastAsia="Calibri"/>
          <w:b/>
        </w:rPr>
        <w:t>Apply</w:t>
      </w:r>
      <w:r w:rsidRPr="00AD081E">
        <w:rPr>
          <w:rFonts w:eastAsia="Calibri"/>
        </w:rPr>
        <w:t xml:space="preserve"> button at the bottom of the dialog.</w:t>
      </w:r>
    </w:p>
    <w:p w14:paraId="660A6CDA" w14:textId="77777777" w:rsidR="00AD081E" w:rsidRPr="00AD081E" w:rsidRDefault="00AD081E" w:rsidP="00306174">
      <w:pPr>
        <w:pStyle w:val="Appendix6"/>
      </w:pPr>
      <w:r w:rsidRPr="00AD081E">
        <w:t>Add Missing Interfaces</w:t>
      </w:r>
    </w:p>
    <w:p w14:paraId="38FECE26" w14:textId="77777777" w:rsidR="00AD081E" w:rsidRPr="00AD081E" w:rsidRDefault="00AD081E" w:rsidP="00AD081E">
      <w:pPr>
        <w:rPr>
          <w:rFonts w:eastAsia="Calibri"/>
        </w:rPr>
      </w:pPr>
      <w:r w:rsidRPr="00AD081E">
        <w:rPr>
          <w:rFonts w:eastAsia="Calibri"/>
        </w:rPr>
        <w:t>For each missing interface, create an interface as follows:</w:t>
      </w:r>
    </w:p>
    <w:p w14:paraId="22375150" w14:textId="77777777" w:rsidR="00AD081E" w:rsidRPr="00AD081E" w:rsidRDefault="00AD081E" w:rsidP="00AD081E">
      <w:pPr>
        <w:rPr>
          <w:rFonts w:eastAsia="Calibri"/>
        </w:rPr>
      </w:pPr>
      <w:r w:rsidRPr="00AD081E">
        <w:rPr>
          <w:rFonts w:eastAsia="Calibri"/>
          <w:b/>
        </w:rPr>
        <w:lastRenderedPageBreak/>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3F3724CF" w14:textId="77777777" w:rsidR="00AD081E" w:rsidRPr="00AD081E" w:rsidRDefault="00AD081E" w:rsidP="00AD081E">
      <w:pPr>
        <w:rPr>
          <w:rFonts w:eastAsia="Calibri"/>
        </w:rPr>
      </w:pPr>
      <w:r w:rsidRPr="00AD081E">
        <w:rPr>
          <w:rFonts w:eastAsia="Calibri"/>
          <w:b/>
        </w:rPr>
        <w:t>Select Interface Type</w:t>
      </w:r>
      <w:r w:rsidRPr="00AD081E">
        <w:rPr>
          <w:rFonts w:eastAsia="Calibri"/>
          <w:b/>
        </w:rPr>
        <w:br/>
      </w:r>
      <w:r w:rsidRPr="00AD081E">
        <w:rPr>
          <w:rFonts w:eastAsia="Calibri"/>
        </w:rPr>
        <w:t xml:space="preserve">Select the TSN TCP interface type from the list. Click on the </w:t>
      </w:r>
      <w:r w:rsidRPr="00AD081E">
        <w:rPr>
          <w:rFonts w:eastAsia="Calibri"/>
          <w:b/>
        </w:rPr>
        <w:t>OK</w:t>
      </w:r>
      <w:r w:rsidRPr="00AD081E">
        <w:rPr>
          <w:rFonts w:eastAsia="Calibri"/>
        </w:rPr>
        <w:t xml:space="preserve"> button.</w:t>
      </w:r>
    </w:p>
    <w:p w14:paraId="418BDC43" w14:textId="77777777" w:rsidR="00AD081E" w:rsidRPr="00AD081E" w:rsidRDefault="00AD081E" w:rsidP="00AD081E">
      <w:pPr>
        <w:rPr>
          <w:rFonts w:eastAsia="Calibri"/>
        </w:rPr>
      </w:pPr>
      <w:r w:rsidRPr="00AD081E">
        <w:rPr>
          <w:rFonts w:eastAsia="Calibri"/>
          <w:b/>
        </w:rPr>
        <w:t>TSN TCP</w:t>
      </w:r>
      <w:r w:rsidRPr="00AD081E">
        <w:rPr>
          <w:rFonts w:eastAsia="Calibri"/>
        </w:rPr>
        <w:br/>
        <w:t xml:space="preserve">Enter a name for the interface. Select the </w:t>
      </w:r>
      <w:r w:rsidRPr="00AD081E">
        <w:rPr>
          <w:rFonts w:eastAsia="Calibri"/>
          <w:b/>
        </w:rPr>
        <w:t>Enabled</w:t>
      </w:r>
      <w:r w:rsidRPr="00AD081E">
        <w:rPr>
          <w:rFonts w:eastAsia="Calibri"/>
        </w:rPr>
        <w:t xml:space="preserve"> radio button. In the </w:t>
      </w:r>
      <w:r w:rsidRPr="00AD081E">
        <w:rPr>
          <w:rFonts w:eastAsia="Calibri"/>
          <w:b/>
        </w:rPr>
        <w:t>Internet Address</w:t>
      </w:r>
      <w:r w:rsidRPr="00AD081E">
        <w:rPr>
          <w:rFonts w:eastAsia="Calibri"/>
        </w:rPr>
        <w:t xml:space="preserve"> area, enter the IP address of the TSRT’s TED node (the four IP address components are each entered into a separate text area; you can tab from one to the next as you enter). If the </w:t>
      </w:r>
      <w:r w:rsidRPr="00AD081E">
        <w:rPr>
          <w:rFonts w:eastAsia="Calibri"/>
          <w:b/>
        </w:rPr>
        <w:t>Service Port ID</w:t>
      </w:r>
      <w:r w:rsidRPr="00AD081E">
        <w:rPr>
          <w:rFonts w:eastAsia="Calibri"/>
        </w:rPr>
        <w:t xml:space="preserve"> is not the correct port number, select the correct port number from the drop down.</w:t>
      </w:r>
    </w:p>
    <w:p w14:paraId="2D8DBF9F"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rPr>
        <w:t>Apply</w:t>
      </w:r>
      <w:r w:rsidRPr="00AD081E">
        <w:rPr>
          <w:rFonts w:eastAsia="Calibri"/>
        </w:rPr>
        <w:t xml:space="preserve"> button at the bottom of the dialog to create the interface.</w:t>
      </w:r>
    </w:p>
    <w:p w14:paraId="31FD02F7" w14:textId="77777777" w:rsidR="00AD081E" w:rsidRPr="00AD081E" w:rsidRDefault="00AD081E" w:rsidP="00AD081E">
      <w:pPr>
        <w:tabs>
          <w:tab w:val="left" w:pos="720"/>
        </w:tabs>
        <w:jc w:val="center"/>
      </w:pPr>
      <w:r w:rsidRPr="00AD081E">
        <w:rPr>
          <w:rFonts w:ascii="Calibri" w:eastAsia="Calibri" w:hAnsi="Calibri"/>
          <w:noProof/>
          <w:sz w:val="22"/>
          <w:szCs w:val="22"/>
        </w:rPr>
        <w:drawing>
          <wp:inline distT="0" distB="0" distL="0" distR="0" wp14:anchorId="58473CAA" wp14:editId="219392E1">
            <wp:extent cx="2286000" cy="1097280"/>
            <wp:effectExtent l="0" t="0" r="0" b="7620"/>
            <wp:docPr id="914" name="Picture 9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Picture 914"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286000" cy="1097280"/>
                    </a:xfrm>
                    <a:prstGeom prst="rect">
                      <a:avLst/>
                    </a:prstGeom>
                  </pic:spPr>
                </pic:pic>
              </a:graphicData>
            </a:graphic>
          </wp:inline>
        </w:drawing>
      </w:r>
      <w:r w:rsidRPr="00AD081E">
        <w:rPr>
          <w:rFonts w:ascii="Calibri" w:eastAsia="Calibri" w:hAnsi="Calibri"/>
          <w:noProof/>
          <w:sz w:val="22"/>
          <w:szCs w:val="22"/>
        </w:rPr>
        <w:t xml:space="preserve">  </w:t>
      </w:r>
      <w:r w:rsidRPr="00AD081E">
        <w:rPr>
          <w:noProof/>
        </w:rPr>
        <w:drawing>
          <wp:inline distT="0" distB="0" distL="0" distR="0" wp14:anchorId="55CC8909" wp14:editId="53599668">
            <wp:extent cx="2286000" cy="1883664"/>
            <wp:effectExtent l="0" t="0" r="0" b="2540"/>
            <wp:docPr id="915" name="Picture 91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Picture 915" descr="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2286000" cy="1883664"/>
                    </a:xfrm>
                    <a:prstGeom prst="rect">
                      <a:avLst/>
                    </a:prstGeom>
                  </pic:spPr>
                </pic:pic>
              </a:graphicData>
            </a:graphic>
          </wp:inline>
        </w:drawing>
      </w:r>
    </w:p>
    <w:p w14:paraId="52678D27" w14:textId="77777777" w:rsidR="00AD081E" w:rsidRPr="00AD081E" w:rsidRDefault="00AD081E" w:rsidP="00306174">
      <w:pPr>
        <w:pStyle w:val="Appendix6"/>
      </w:pPr>
      <w:r w:rsidRPr="00AD081E">
        <w:t>Add Missing Routes</w:t>
      </w:r>
    </w:p>
    <w:p w14:paraId="699EFFAF" w14:textId="77777777" w:rsidR="00AD081E" w:rsidRPr="00AD081E" w:rsidRDefault="00AD081E" w:rsidP="00AD081E">
      <w:pPr>
        <w:keepNext/>
        <w:rPr>
          <w:rFonts w:eastAsia="Calibri"/>
        </w:rPr>
      </w:pPr>
      <w:r w:rsidRPr="00AD081E">
        <w:rPr>
          <w:rFonts w:eastAsia="Calibri"/>
        </w:rPr>
        <w:t>If any routes are missing, add routes as follows:</w:t>
      </w:r>
    </w:p>
    <w:p w14:paraId="13C3D9B5"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Routes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5B83B544" w14:textId="77777777" w:rsidR="00AD081E" w:rsidRPr="00AD081E" w:rsidRDefault="00AD081E" w:rsidP="00AD081E">
      <w:pPr>
        <w:tabs>
          <w:tab w:val="left" w:pos="720"/>
        </w:tabs>
        <w:jc w:val="center"/>
      </w:pPr>
      <w:r w:rsidRPr="00AD081E">
        <w:rPr>
          <w:noProof/>
        </w:rPr>
        <w:drawing>
          <wp:inline distT="0" distB="0" distL="0" distR="0" wp14:anchorId="20C47921" wp14:editId="2EEC005B">
            <wp:extent cx="3200400" cy="1801368"/>
            <wp:effectExtent l="0" t="0" r="0" b="8890"/>
            <wp:docPr id="916" name="Picture 9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Picture 916"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3200400" cy="1801368"/>
                    </a:xfrm>
                    <a:prstGeom prst="rect">
                      <a:avLst/>
                    </a:prstGeom>
                  </pic:spPr>
                </pic:pic>
              </a:graphicData>
            </a:graphic>
          </wp:inline>
        </w:drawing>
      </w:r>
    </w:p>
    <w:p w14:paraId="66CDDA9A" w14:textId="77777777" w:rsidR="00AD081E" w:rsidRPr="00AD081E" w:rsidRDefault="00AD081E" w:rsidP="00AD081E">
      <w:pPr>
        <w:rPr>
          <w:rFonts w:eastAsia="Calibri"/>
        </w:rPr>
      </w:pPr>
      <w:r w:rsidRPr="00AD081E">
        <w:rPr>
          <w:rFonts w:eastAsia="Calibri"/>
          <w:b/>
        </w:rPr>
        <w:t>Add/Modify Route</w:t>
      </w:r>
      <w:r w:rsidRPr="00AD081E">
        <w:rPr>
          <w:rFonts w:eastAsia="Calibri"/>
          <w:b/>
        </w:rPr>
        <w:br/>
      </w:r>
      <w:r w:rsidRPr="00AD081E">
        <w:rPr>
          <w:rFonts w:eastAsia="Calibri"/>
        </w:rPr>
        <w:t xml:space="preserve">Using the drop down labeled </w:t>
      </w:r>
      <w:r w:rsidRPr="00AD081E">
        <w:rPr>
          <w:rFonts w:eastAsia="Calibri"/>
          <w:b/>
        </w:rPr>
        <w:t>From</w:t>
      </w:r>
      <w:r w:rsidRPr="00AD081E">
        <w:rPr>
          <w:rFonts w:eastAsia="Calibri"/>
        </w:rPr>
        <w:t xml:space="preserve">, select the first interface of the pair that is missing a route. Find the second interface of the pair in the list to the right. Check the </w:t>
      </w:r>
      <w:r w:rsidRPr="00AD081E">
        <w:rPr>
          <w:rFonts w:eastAsia="Calibri"/>
          <w:b/>
        </w:rPr>
        <w:t>To</w:t>
      </w:r>
      <w:r w:rsidRPr="00AD081E">
        <w:rPr>
          <w:rFonts w:eastAsia="Calibri"/>
        </w:rPr>
        <w:t xml:space="preserve"> box next to the second interface name (if it is not already checked), then check the </w:t>
      </w:r>
      <w:r w:rsidRPr="00AD081E">
        <w:rPr>
          <w:rFonts w:eastAsia="Calibri"/>
          <w:b/>
        </w:rPr>
        <w:t>Back To</w:t>
      </w:r>
      <w:r w:rsidRPr="00AD081E">
        <w:rPr>
          <w:rFonts w:eastAsia="Calibri"/>
        </w:rPr>
        <w:t xml:space="preserve"> box on the same line. (If the back route was previously defined, there will not be a </w:t>
      </w:r>
      <w:r w:rsidRPr="00AD081E">
        <w:rPr>
          <w:rFonts w:eastAsia="Calibri"/>
          <w:b/>
        </w:rPr>
        <w:t>Back To</w:t>
      </w:r>
      <w:r w:rsidRPr="00AD081E">
        <w:rPr>
          <w:rFonts w:eastAsia="Calibri"/>
        </w:rPr>
        <w:t xml:space="preserve"> box on the same line.)</w:t>
      </w:r>
    </w:p>
    <w:p w14:paraId="02482B2D" w14:textId="77777777" w:rsidR="00AD081E" w:rsidRPr="00AD081E" w:rsidRDefault="00AD081E" w:rsidP="00AD081E">
      <w:pPr>
        <w:rPr>
          <w:rFonts w:eastAsia="Calibri"/>
        </w:rPr>
      </w:pPr>
      <w:r w:rsidRPr="00AD081E">
        <w:rPr>
          <w:rFonts w:eastAsia="Calibri"/>
        </w:rPr>
        <w:lastRenderedPageBreak/>
        <w:t xml:space="preserve">To save time, while you have the first interface name in the </w:t>
      </w:r>
      <w:r w:rsidRPr="00AD081E">
        <w:rPr>
          <w:rFonts w:eastAsia="Calibri"/>
          <w:b/>
        </w:rPr>
        <w:t>From</w:t>
      </w:r>
      <w:r w:rsidRPr="00AD081E">
        <w:rPr>
          <w:rFonts w:eastAsia="Calibri"/>
        </w:rPr>
        <w:t xml:space="preserve"> box, use the right-hand list to find all of the other missing interfaces to/from the first interface and check them, too. When all needed interfaces to/from the first interface have been selected, click on the </w:t>
      </w:r>
      <w:r w:rsidRPr="00AD081E">
        <w:rPr>
          <w:rFonts w:eastAsia="Calibri"/>
          <w:b/>
        </w:rPr>
        <w:t>Apply</w:t>
      </w:r>
      <w:r w:rsidRPr="00AD081E">
        <w:rPr>
          <w:rFonts w:eastAsia="Calibri"/>
        </w:rPr>
        <w:t xml:space="preserve"> button at the bottom of the dialog.</w:t>
      </w:r>
    </w:p>
    <w:p w14:paraId="25AD2009" w14:textId="77777777" w:rsidR="00AD081E" w:rsidRPr="00AD081E" w:rsidRDefault="00AD081E" w:rsidP="00306174">
      <w:pPr>
        <w:pStyle w:val="Appendix6"/>
      </w:pPr>
      <w:r w:rsidRPr="00AD081E">
        <w:t>Delete Extra Routes (Optional)</w:t>
      </w:r>
    </w:p>
    <w:p w14:paraId="7DB2C612" w14:textId="77777777" w:rsidR="00AD081E" w:rsidRPr="00AD081E" w:rsidRDefault="00AD081E" w:rsidP="00AD081E">
      <w:pPr>
        <w:rPr>
          <w:rFonts w:eastAsia="Calibri"/>
        </w:rPr>
      </w:pPr>
      <w:r w:rsidRPr="00AD081E">
        <w:rPr>
          <w:rFonts w:eastAsia="Calibri"/>
        </w:rPr>
        <w:t xml:space="preserve">To avoid receiving TSN messages from non-participants, you may wish to delete any extra routes from participants to non-participants, or vice versa. To do this, select each extra route in turn on the </w:t>
      </w:r>
      <w:r w:rsidRPr="00AD081E">
        <w:rPr>
          <w:rFonts w:eastAsia="Calibri"/>
          <w:b/>
          <w:i/>
        </w:rPr>
        <w:t>Routes</w:t>
      </w:r>
      <w:r w:rsidRPr="00AD081E">
        <w:rPr>
          <w:rFonts w:eastAsia="Calibri"/>
        </w:rPr>
        <w:t xml:space="preserve"> tab, then click on the </w:t>
      </w:r>
      <w:r w:rsidRPr="00AD081E">
        <w:rPr>
          <w:rFonts w:eastAsia="Calibri"/>
          <w:b/>
        </w:rPr>
        <w:t>Delete</w:t>
      </w:r>
      <w:r w:rsidRPr="00AD081E">
        <w:rPr>
          <w:rFonts w:eastAsia="Calibri"/>
        </w:rPr>
        <w:t xml:space="preserve"> button.</w:t>
      </w:r>
    </w:p>
    <w:p w14:paraId="4E659859" w14:textId="77777777" w:rsidR="00AD081E" w:rsidRPr="00AD081E" w:rsidRDefault="00AD081E" w:rsidP="00306174">
      <w:pPr>
        <w:pStyle w:val="Appendix6"/>
      </w:pPr>
      <w:r w:rsidRPr="00AD081E">
        <w:t>Save Your Changes</w:t>
      </w:r>
    </w:p>
    <w:p w14:paraId="2A927942"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 Configuration</w:t>
      </w:r>
      <w:r w:rsidRPr="00AD081E">
        <w:rPr>
          <w:rFonts w:eastAsia="Calibri"/>
        </w:rPr>
        <w:t>.</w:t>
      </w:r>
    </w:p>
    <w:p w14:paraId="5042942B" w14:textId="0F2B5815" w:rsidR="00AD081E" w:rsidRPr="00AD081E" w:rsidRDefault="00AD081E" w:rsidP="00AD081E">
      <w:pPr>
        <w:rPr>
          <w:rFonts w:eastAsia="Calibri"/>
        </w:rPr>
      </w:pPr>
      <w:r w:rsidRPr="00AD081E">
        <w:rPr>
          <w:rFonts w:eastAsia="Calibri"/>
          <w:b/>
        </w:rPr>
        <w:t>Save Configuration</w:t>
      </w:r>
      <w:r w:rsidRPr="00AD081E">
        <w:rPr>
          <w:rFonts w:eastAsia="Calibri"/>
          <w:b/>
        </w:rPr>
        <w:br/>
      </w:r>
      <w:r w:rsidRPr="00AD081E">
        <w:rPr>
          <w:rFonts w:eastAsia="Calibri"/>
        </w:rPr>
        <w:t xml:space="preserve">Select an interface name from the list (the </w:t>
      </w:r>
      <w:r w:rsidR="00585EAF" w:rsidRPr="00AD081E">
        <w:rPr>
          <w:rFonts w:eastAsia="Calibri"/>
        </w:rPr>
        <w:t>currently loaded</w:t>
      </w:r>
      <w:r w:rsidRPr="00AD081E">
        <w:rPr>
          <w:rFonts w:eastAsia="Calibri"/>
        </w:rPr>
        <w:t xml:space="preserve"> configuration is the one marked with an asterisk [</w:t>
      </w:r>
      <w:r w:rsidRPr="00AD081E">
        <w:rPr>
          <w:rFonts w:eastAsia="Calibri"/>
          <w:b/>
        </w:rPr>
        <w:t>*</w:t>
      </w:r>
      <w:r w:rsidRPr="00AD081E">
        <w:rPr>
          <w:rFonts w:eastAsia="Calibri"/>
        </w:rPr>
        <w:t>]</w:t>
      </w:r>
      <w:r w:rsidR="0049592C" w:rsidRPr="00AD081E">
        <w:rPr>
          <w:rFonts w:eastAsia="Calibri"/>
        </w:rPr>
        <w:t>) or</w:t>
      </w:r>
      <w:r w:rsidRPr="00AD081E">
        <w:rPr>
          <w:rFonts w:eastAsia="Calibri"/>
        </w:rPr>
        <w:t xml:space="preserve"> enter a new configuration name in the text entry area at the bottom of the dialog. Click on the </w:t>
      </w:r>
      <w:r w:rsidRPr="00AD081E">
        <w:rPr>
          <w:rFonts w:eastAsia="Calibri"/>
          <w:b/>
        </w:rPr>
        <w:t>OK</w:t>
      </w:r>
      <w:r w:rsidRPr="00AD081E">
        <w:rPr>
          <w:rFonts w:eastAsia="Calibri"/>
        </w:rPr>
        <w:t xml:space="preserve"> button.</w:t>
      </w:r>
    </w:p>
    <w:p w14:paraId="253B227E" w14:textId="77777777" w:rsidR="00AD081E" w:rsidRPr="00AD081E" w:rsidRDefault="00AD081E" w:rsidP="00306174">
      <w:pPr>
        <w:pStyle w:val="Appendix6"/>
      </w:pPr>
      <w:r w:rsidRPr="00AD081E">
        <w:t>Logout and Close</w:t>
      </w:r>
    </w:p>
    <w:p w14:paraId="68A712B0" w14:textId="77777777" w:rsidR="00AD081E" w:rsidRPr="00AD081E" w:rsidRDefault="00AD081E" w:rsidP="00AD081E">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rPr>
        <w:br/>
        <w:t xml:space="preserve">From the menu,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Close the </w:t>
      </w:r>
      <w:r w:rsidRPr="00AD081E">
        <w:rPr>
          <w:rFonts w:eastAsia="Calibri"/>
          <w:i/>
        </w:rPr>
        <w:t>TSNIF</w:t>
      </w:r>
      <w:r w:rsidRPr="00AD081E">
        <w:rPr>
          <w:rFonts w:eastAsia="Calibri"/>
        </w:rPr>
        <w:t xml:space="preserve"> window.</w:t>
      </w:r>
    </w:p>
    <w:p w14:paraId="6C84DEC0" w14:textId="77777777" w:rsidR="00AD081E" w:rsidRPr="00AD081E" w:rsidRDefault="00AD081E" w:rsidP="0026723B">
      <w:pPr>
        <w:pStyle w:val="Appendix5"/>
      </w:pPr>
      <w:bookmarkStart w:id="8317" w:name="Section_R_4_6_2_5"/>
      <w:bookmarkEnd w:id="8317"/>
      <w:r w:rsidRPr="00AD081E">
        <w:t>Configure TDM</w:t>
      </w:r>
      <w:r w:rsidRPr="00AD081E">
        <w:rPr>
          <w:rFonts w:eastAsia="Calibri"/>
        </w:rPr>
        <w:t xml:space="preserve"> Distribution Agent</w:t>
      </w:r>
      <w:r w:rsidRPr="00AD081E">
        <w:t xml:space="preserve"> Communications</w:t>
      </w:r>
    </w:p>
    <w:p w14:paraId="40624C68" w14:textId="77777777" w:rsidR="00AD081E" w:rsidRPr="00AD081E" w:rsidRDefault="00AD081E" w:rsidP="00AD081E">
      <w:pPr>
        <w:rPr>
          <w:rFonts w:eastAsia="Calibri"/>
        </w:rPr>
      </w:pPr>
      <w:r w:rsidRPr="00AD081E">
        <w:rPr>
          <w:rFonts w:eastAsia="Calibri"/>
        </w:rPr>
        <w:t>For each live TED or MDS node, configure the TDM Distribution Agent as follows:</w:t>
      </w:r>
    </w:p>
    <w:p w14:paraId="161A17E9" w14:textId="0CDECAAA" w:rsidR="00AD081E" w:rsidRPr="00AD081E" w:rsidRDefault="00AD081E" w:rsidP="00AD081E">
      <w:pPr>
        <w:rPr>
          <w:rFonts w:eastAsia="Calibri"/>
        </w:rPr>
      </w:pPr>
      <w:r w:rsidRPr="00AD081E">
        <w:rPr>
          <w:rFonts w:eastAsia="Calibri"/>
        </w:rPr>
        <w:t xml:space="preserve">While MDS is running, in the Windows system tray (usually at the bottom right of the Windows display), right-click on the icon that looks like a satellite dish and choose </w:t>
      </w:r>
      <w:r w:rsidRPr="00AD081E">
        <w:rPr>
          <w:rFonts w:eastAsia="Calibri"/>
          <w:b/>
        </w:rPr>
        <w:t>Configure</w:t>
      </w:r>
      <w:r w:rsidRPr="00AD081E">
        <w:rPr>
          <w:rFonts w:eastAsia="Calibri"/>
        </w:rPr>
        <w:t xml:space="preserve"> from the context menu. (If the system tray is configured to hide </w:t>
      </w:r>
      <w:r w:rsidR="00585EAF" w:rsidRPr="00AD081E">
        <w:rPr>
          <w:rFonts w:eastAsia="Calibri"/>
        </w:rPr>
        <w:t>infrequently used</w:t>
      </w:r>
      <w:r w:rsidRPr="00AD081E">
        <w:rPr>
          <w:rFonts w:eastAsia="Calibri"/>
        </w:rPr>
        <w:t xml:space="preserve"> icons, the </w:t>
      </w:r>
      <w:r w:rsidRPr="00AD081E">
        <w:rPr>
          <w:rFonts w:eastAsia="Calibri"/>
          <w:b/>
        </w:rPr>
        <w:t>Satellite</w:t>
      </w:r>
      <w:r w:rsidRPr="00AD081E">
        <w:rPr>
          <w:rFonts w:eastAsia="Calibri"/>
        </w:rPr>
        <w:t xml:space="preserve"> </w:t>
      </w:r>
      <w:r w:rsidRPr="00AD081E">
        <w:rPr>
          <w:rFonts w:eastAsia="Calibri"/>
          <w:b/>
        </w:rPr>
        <w:t xml:space="preserve">Dish </w:t>
      </w:r>
      <w:r w:rsidRPr="00AD081E">
        <w:rPr>
          <w:rFonts w:eastAsia="Calibri"/>
        </w:rPr>
        <w:t xml:space="preserve">icon may not be visible. If this is the case, select the </w:t>
      </w:r>
      <w:r w:rsidRPr="00AD081E">
        <w:rPr>
          <w:rFonts w:eastAsia="Calibri"/>
          <w:b/>
        </w:rPr>
        <w:t>Up</w:t>
      </w:r>
      <w:r w:rsidRPr="00AD081E">
        <w:rPr>
          <w:rFonts w:eastAsia="Calibri"/>
        </w:rPr>
        <w:t xml:space="preserve"> arrow icon to show the hidden icons, and right-click on the </w:t>
      </w:r>
      <w:r w:rsidRPr="00AD081E">
        <w:rPr>
          <w:rFonts w:eastAsia="Calibri"/>
          <w:b/>
        </w:rPr>
        <w:t>Satellite</w:t>
      </w:r>
      <w:r w:rsidRPr="00AD081E">
        <w:rPr>
          <w:rFonts w:eastAsia="Calibri"/>
        </w:rPr>
        <w:t xml:space="preserve"> </w:t>
      </w:r>
      <w:r w:rsidRPr="00AD081E">
        <w:rPr>
          <w:rFonts w:eastAsia="Calibri"/>
          <w:b/>
        </w:rPr>
        <w:t xml:space="preserve">Dish </w:t>
      </w:r>
      <w:r w:rsidRPr="00AD081E">
        <w:rPr>
          <w:rFonts w:eastAsia="Calibri"/>
        </w:rPr>
        <w:t>icon from the pop up box that appears.)</w:t>
      </w:r>
    </w:p>
    <w:p w14:paraId="02140F3A" w14:textId="77777777" w:rsidR="00AD081E" w:rsidRPr="00AD081E" w:rsidRDefault="00AD081E" w:rsidP="00AD081E">
      <w:pPr>
        <w:tabs>
          <w:tab w:val="left" w:pos="720"/>
        </w:tabs>
        <w:jc w:val="center"/>
      </w:pPr>
      <w:r w:rsidRPr="00AD081E">
        <w:rPr>
          <w:noProof/>
        </w:rPr>
        <w:lastRenderedPageBreak/>
        <w:drawing>
          <wp:inline distT="0" distB="0" distL="0" distR="0" wp14:anchorId="21D38868" wp14:editId="5E8909D4">
            <wp:extent cx="1691640" cy="2029968"/>
            <wp:effectExtent l="0" t="0" r="3810" b="8890"/>
            <wp:docPr id="712" name="Picture 7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 name="Picture 712"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691640" cy="2029968"/>
                    </a:xfrm>
                    <a:prstGeom prst="rect">
                      <a:avLst/>
                    </a:prstGeom>
                  </pic:spPr>
                </pic:pic>
              </a:graphicData>
            </a:graphic>
          </wp:inline>
        </w:drawing>
      </w:r>
      <w:r w:rsidRPr="00AD081E">
        <w:rPr>
          <w:rFonts w:ascii="Calibri" w:eastAsia="Calibri" w:hAnsi="Calibri"/>
          <w:sz w:val="22"/>
          <w:szCs w:val="22"/>
        </w:rPr>
        <w:t xml:space="preserve">  </w:t>
      </w:r>
      <w:r w:rsidRPr="00AD081E">
        <w:rPr>
          <w:noProof/>
        </w:rPr>
        <w:drawing>
          <wp:inline distT="0" distB="0" distL="0" distR="0" wp14:anchorId="5DBEB3F6" wp14:editId="6AB94E4D">
            <wp:extent cx="2286000" cy="2752344"/>
            <wp:effectExtent l="0" t="0" r="0" b="0"/>
            <wp:docPr id="713" name="Picture 7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Picture 713"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286000" cy="2752344"/>
                    </a:xfrm>
                    <a:prstGeom prst="rect">
                      <a:avLst/>
                    </a:prstGeom>
                  </pic:spPr>
                </pic:pic>
              </a:graphicData>
            </a:graphic>
          </wp:inline>
        </w:drawing>
      </w:r>
    </w:p>
    <w:p w14:paraId="5698E5C8" w14:textId="77777777" w:rsidR="00AD081E" w:rsidRPr="00AD081E" w:rsidRDefault="00AD081E" w:rsidP="00AD081E">
      <w:pPr>
        <w:rPr>
          <w:rFonts w:eastAsia="Calibri"/>
        </w:rPr>
      </w:pPr>
      <w:r w:rsidRPr="00AD081E">
        <w:rPr>
          <w:rFonts w:eastAsia="Calibri"/>
          <w:b/>
        </w:rPr>
        <w:t>TDM Communications Properties</w:t>
      </w:r>
      <w:r w:rsidRPr="00AD081E">
        <w:rPr>
          <w:rFonts w:eastAsia="Calibri"/>
          <w:b/>
        </w:rPr>
        <w:br/>
      </w:r>
      <w:r w:rsidRPr="00AD081E">
        <w:rPr>
          <w:rFonts w:eastAsia="Calibri"/>
        </w:rPr>
        <w:t xml:space="preserve">On the </w:t>
      </w:r>
      <w:r w:rsidRPr="00AD081E">
        <w:rPr>
          <w:rFonts w:eastAsia="Calibri"/>
          <w:b/>
          <w:i/>
        </w:rPr>
        <w:t>Legacy (OTH)</w:t>
      </w:r>
      <w:r w:rsidRPr="00AD081E">
        <w:rPr>
          <w:rFonts w:eastAsia="Calibri"/>
        </w:rPr>
        <w:t xml:space="preserve"> tab, in the </w:t>
      </w:r>
      <w:r w:rsidRPr="00AD081E">
        <w:rPr>
          <w:rFonts w:eastAsia="Calibri"/>
          <w:b/>
        </w:rPr>
        <w:t>TCIP Configuration</w:t>
      </w:r>
      <w:r w:rsidRPr="00AD081E">
        <w:rPr>
          <w:rFonts w:eastAsia="Calibri"/>
        </w:rPr>
        <w:t xml:space="preserve"> list near the bottom, look for a configuration with the same IP Address as the TCIP’s IP address and the same port number as the TED’s (or MDS’s) TDM Distribution Agent port.</w:t>
      </w:r>
    </w:p>
    <w:p w14:paraId="42B40EF6" w14:textId="05FF453A" w:rsidR="00AD081E" w:rsidRPr="00AD081E" w:rsidRDefault="00AD081E" w:rsidP="00AD081E">
      <w:pPr>
        <w:rPr>
          <w:rFonts w:eastAsia="Calibri"/>
        </w:rPr>
      </w:pPr>
      <w:r w:rsidRPr="00AD081E">
        <w:rPr>
          <w:rFonts w:eastAsia="Calibri"/>
        </w:rPr>
        <w:t xml:space="preserve">If there is such a configuration, check its name against the name of the Active TCIP Configuration. If the names are the same, there’s nothing further to be done. If the names differ, select the correct configuration in the </w:t>
      </w:r>
      <w:r w:rsidRPr="00AD081E">
        <w:rPr>
          <w:rFonts w:eastAsia="Calibri"/>
          <w:b/>
        </w:rPr>
        <w:t>TCIP Configuration</w:t>
      </w:r>
      <w:r w:rsidRPr="00AD081E">
        <w:rPr>
          <w:rFonts w:eastAsia="Calibri"/>
        </w:rPr>
        <w:t xml:space="preserve"> list, then click on the </w:t>
      </w:r>
      <w:r w:rsidRPr="00AD081E">
        <w:rPr>
          <w:rFonts w:eastAsia="Calibri"/>
          <w:b/>
        </w:rPr>
        <w:t>Set As Active</w:t>
      </w:r>
      <w:r w:rsidRPr="00AD081E">
        <w:rPr>
          <w:rFonts w:eastAsia="Calibri"/>
        </w:rPr>
        <w:t xml:space="preserve"> button on the bottom of the tab. Click the </w:t>
      </w:r>
      <w:r w:rsidRPr="00AD081E">
        <w:rPr>
          <w:rFonts w:eastAsia="Calibri"/>
          <w:b/>
        </w:rPr>
        <w:t>OK</w:t>
      </w:r>
      <w:r w:rsidRPr="00AD081E">
        <w:rPr>
          <w:rFonts w:eastAsia="Calibri"/>
        </w:rPr>
        <w:t xml:space="preserve"> button, and you’re done. Skip to </w:t>
      </w:r>
      <w:r w:rsidRPr="00AD081E">
        <w:t>distributing the Node Configuration</w:t>
      </w:r>
      <w:r w:rsidRPr="00AD081E">
        <w:rPr>
          <w:rFonts w:eastAsia="Calibri"/>
        </w:rPr>
        <w:t xml:space="preserve"> (see </w:t>
      </w:r>
      <w:hyperlink w:anchor="Distribute_Node_Configuration" w:history="1">
        <w:r w:rsidRPr="00AD081E">
          <w:rPr>
            <w:rFonts w:eastAsia="Calibri"/>
            <w:color w:val="0000FF"/>
            <w:u w:val="single"/>
          </w:rPr>
          <w:t>Section R.4.6.2.6</w:t>
        </w:r>
      </w:hyperlink>
      <w:r w:rsidRPr="00AD081E">
        <w:rPr>
          <w:rFonts w:eastAsia="Calibri"/>
          <w:color w:val="0000FF"/>
          <w:u w:val="single"/>
        </w:rPr>
        <w:t>)</w:t>
      </w:r>
      <w:r w:rsidRPr="00AD081E">
        <w:rPr>
          <w:rFonts w:eastAsia="Calibri"/>
        </w:rPr>
        <w:t>.</w:t>
      </w:r>
    </w:p>
    <w:p w14:paraId="10AED407" w14:textId="77777777" w:rsidR="00AD081E" w:rsidRPr="00AD081E" w:rsidRDefault="00AD081E" w:rsidP="00AD081E">
      <w:pPr>
        <w:rPr>
          <w:rFonts w:eastAsia="Calibri"/>
        </w:rPr>
      </w:pPr>
      <w:r w:rsidRPr="00AD081E">
        <w:rPr>
          <w:rFonts w:eastAsia="Calibri"/>
        </w:rPr>
        <w:t xml:space="preserve">If there is no configuration with the correct address and port number, create one. Start by clicking on the </w:t>
      </w:r>
      <w:r w:rsidRPr="00AD081E">
        <w:rPr>
          <w:rFonts w:eastAsia="Calibri"/>
          <w:b/>
        </w:rPr>
        <w:t>Add</w:t>
      </w:r>
      <w:r w:rsidRPr="00AD081E">
        <w:rPr>
          <w:rFonts w:eastAsia="Calibri"/>
        </w:rPr>
        <w:t xml:space="preserve"> button at the bottom of the tab.</w:t>
      </w:r>
    </w:p>
    <w:p w14:paraId="1E08D029" w14:textId="77777777" w:rsidR="00AD081E" w:rsidRPr="00AD081E" w:rsidRDefault="00AD081E" w:rsidP="00AD081E">
      <w:pPr>
        <w:rPr>
          <w:rFonts w:eastAsia="Calibri"/>
          <w:noProof/>
        </w:rPr>
      </w:pPr>
      <w:r w:rsidRPr="00AD081E">
        <w:rPr>
          <w:rFonts w:eastAsia="Calibri"/>
          <w:b/>
          <w:noProof/>
        </w:rPr>
        <w:t>New Connection</w:t>
      </w:r>
      <w:r w:rsidRPr="00AD081E">
        <w:rPr>
          <w:rFonts w:eastAsia="Calibri"/>
          <w:b/>
          <w:noProof/>
        </w:rPr>
        <w:br/>
      </w:r>
      <w:r w:rsidRPr="00AD081E">
        <w:rPr>
          <w:rFonts w:eastAsia="Calibri"/>
          <w:noProof/>
        </w:rPr>
        <w:t xml:space="preserve">Enter a name for the connection. Specify the IP address of the </w:t>
      </w:r>
      <w:r w:rsidRPr="00AD081E">
        <w:rPr>
          <w:rFonts w:eastAsia="Calibri"/>
        </w:rPr>
        <w:t xml:space="preserve">TCIP </w:t>
      </w:r>
      <w:r w:rsidRPr="00AD081E">
        <w:rPr>
          <w:rFonts w:eastAsia="Calibri"/>
          <w:noProof/>
        </w:rPr>
        <w:t xml:space="preserve">in the </w:t>
      </w:r>
      <w:r w:rsidRPr="00AD081E">
        <w:rPr>
          <w:rFonts w:eastAsia="Calibri"/>
          <w:b/>
          <w:noProof/>
        </w:rPr>
        <w:t>IP Address</w:t>
      </w:r>
      <w:r w:rsidRPr="00AD081E">
        <w:rPr>
          <w:rFonts w:eastAsia="Calibri"/>
          <w:noProof/>
        </w:rPr>
        <w:t xml:space="preserve"> field. If necessary, change the </w:t>
      </w:r>
      <w:r w:rsidRPr="00AD081E">
        <w:rPr>
          <w:rFonts w:eastAsia="Calibri"/>
          <w:b/>
          <w:noProof/>
        </w:rPr>
        <w:t>Port</w:t>
      </w:r>
      <w:r w:rsidRPr="00AD081E">
        <w:rPr>
          <w:rFonts w:eastAsia="Calibri"/>
          <w:noProof/>
        </w:rPr>
        <w:t xml:space="preserve"> number to the TED’s (or MDS’s) TDM</w:t>
      </w:r>
      <w:r w:rsidRPr="00AD081E">
        <w:rPr>
          <w:rFonts w:eastAsia="Calibri"/>
        </w:rPr>
        <w:t xml:space="preserve"> Distribution Agent</w:t>
      </w:r>
      <w:r w:rsidRPr="00AD081E">
        <w:rPr>
          <w:rFonts w:eastAsia="Calibri"/>
          <w:noProof/>
        </w:rPr>
        <w:t xml:space="preserve"> port number. Click </w:t>
      </w:r>
      <w:r w:rsidRPr="00AD081E">
        <w:rPr>
          <w:rFonts w:eastAsia="Calibri"/>
          <w:b/>
          <w:noProof/>
        </w:rPr>
        <w:t>OK</w:t>
      </w:r>
      <w:r w:rsidRPr="00AD081E">
        <w:rPr>
          <w:rFonts w:eastAsia="Calibri"/>
          <w:noProof/>
        </w:rPr>
        <w:t>.</w:t>
      </w:r>
    </w:p>
    <w:p w14:paraId="53267089" w14:textId="77777777" w:rsidR="00AD081E" w:rsidRPr="00AD081E" w:rsidRDefault="00AD081E" w:rsidP="00AD081E">
      <w:pPr>
        <w:tabs>
          <w:tab w:val="left" w:pos="720"/>
        </w:tabs>
        <w:jc w:val="center"/>
      </w:pPr>
      <w:r w:rsidRPr="00AD081E">
        <w:rPr>
          <w:noProof/>
        </w:rPr>
        <w:drawing>
          <wp:inline distT="0" distB="0" distL="0" distR="0" wp14:anchorId="50635B16" wp14:editId="70E4EA60">
            <wp:extent cx="1828800" cy="2185416"/>
            <wp:effectExtent l="0" t="0" r="0" b="5715"/>
            <wp:docPr id="131" name="Picture 1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Graphical user interface, application&#10;&#10;Description automatically generated"/>
                    <pic:cNvPicPr/>
                  </pic:nvPicPr>
                  <pic:blipFill>
                    <a:blip/>
                    <a:stretch>
                      <a:fillRect/>
                    </a:stretch>
                  </pic:blipFill>
                  <pic:spPr>
                    <a:xfrm>
                      <a:off x="0" y="0"/>
                      <a:ext cx="1828800" cy="2185416"/>
                    </a:xfrm>
                    <a:prstGeom prst="rect">
                      <a:avLst/>
                    </a:prstGeom>
                  </pic:spPr>
                </pic:pic>
              </a:graphicData>
            </a:graphic>
          </wp:inline>
        </w:drawing>
      </w:r>
    </w:p>
    <w:p w14:paraId="04B82817" w14:textId="77777777" w:rsidR="00AD081E" w:rsidRPr="00AD081E" w:rsidRDefault="00AD081E" w:rsidP="00AD081E">
      <w:pPr>
        <w:rPr>
          <w:rFonts w:eastAsia="Calibri"/>
        </w:rPr>
      </w:pPr>
      <w:r w:rsidRPr="00AD081E">
        <w:rPr>
          <w:rFonts w:eastAsia="Calibri"/>
          <w:b/>
        </w:rPr>
        <w:lastRenderedPageBreak/>
        <w:t>TDM Communications Properties</w:t>
      </w:r>
      <w:r w:rsidRPr="00AD081E">
        <w:rPr>
          <w:rFonts w:eastAsia="Calibri"/>
          <w:b/>
        </w:rPr>
        <w:br/>
      </w:r>
      <w:r w:rsidRPr="00AD081E">
        <w:rPr>
          <w:rFonts w:eastAsia="Calibri"/>
        </w:rPr>
        <w:t xml:space="preserve">Select the new configuration in the </w:t>
      </w:r>
      <w:r w:rsidRPr="00AD081E">
        <w:rPr>
          <w:rFonts w:eastAsia="Calibri"/>
          <w:b/>
        </w:rPr>
        <w:t>TCIP Configuration</w:t>
      </w:r>
      <w:r w:rsidRPr="00AD081E">
        <w:rPr>
          <w:rFonts w:eastAsia="Calibri"/>
        </w:rPr>
        <w:t xml:space="preserve"> list, then click on the </w:t>
      </w:r>
      <w:r w:rsidRPr="00AD081E">
        <w:rPr>
          <w:rFonts w:eastAsia="Calibri"/>
          <w:b/>
        </w:rPr>
        <w:t>Set As Active</w:t>
      </w:r>
      <w:r w:rsidRPr="00AD081E">
        <w:rPr>
          <w:rFonts w:eastAsia="Calibri"/>
        </w:rPr>
        <w:t xml:space="preserve"> button on the bottom of the tab. Click the </w:t>
      </w:r>
      <w:r w:rsidRPr="00AD081E">
        <w:rPr>
          <w:rFonts w:eastAsia="Calibri"/>
          <w:b/>
        </w:rPr>
        <w:t>OK</w:t>
      </w:r>
      <w:r w:rsidRPr="00AD081E">
        <w:rPr>
          <w:rFonts w:eastAsia="Calibri"/>
        </w:rPr>
        <w:t xml:space="preserve"> button, and you’re done.</w:t>
      </w:r>
    </w:p>
    <w:p w14:paraId="27E6B88C" w14:textId="77777777" w:rsidR="00AD081E" w:rsidRPr="00AD081E" w:rsidRDefault="00AD081E" w:rsidP="0026723B">
      <w:pPr>
        <w:pStyle w:val="Appendix5"/>
      </w:pPr>
      <w:bookmarkStart w:id="8318" w:name="_S-4.6.2.5__Distribute"/>
      <w:bookmarkStart w:id="8319" w:name="Distribute_Node_Configuration"/>
      <w:bookmarkEnd w:id="8318"/>
      <w:bookmarkEnd w:id="8319"/>
      <w:r w:rsidRPr="00AD081E">
        <w:t>Distribute Node Configuration</w:t>
      </w:r>
    </w:p>
    <w:p w14:paraId="5942A38E" w14:textId="77777777" w:rsidR="00AD081E" w:rsidRPr="00AD081E" w:rsidRDefault="00AD081E" w:rsidP="00AD081E">
      <w:pPr>
        <w:rPr>
          <w:rFonts w:eastAsia="Calibri"/>
        </w:rPr>
      </w:pPr>
      <w:r w:rsidRPr="00AD081E">
        <w:rPr>
          <w:rFonts w:eastAsia="Calibri"/>
        </w:rPr>
        <w:t>At this point, you should have the nodes configured correctly on one TED (the TSRT’s TED) and TDM Distribution Agent LINT connections to all other machines. The next step is to send your node configuration from the TSRT’s TED to the other TED and/or MDS nodes.</w:t>
      </w:r>
    </w:p>
    <w:p w14:paraId="6C897079" w14:textId="77777777" w:rsidR="00AD081E" w:rsidRPr="00AD081E" w:rsidRDefault="00AD081E" w:rsidP="00306174">
      <w:pPr>
        <w:pStyle w:val="Appendix6"/>
      </w:pPr>
      <w:r w:rsidRPr="00AD081E">
        <w:t>Send Platform Information</w:t>
      </w:r>
    </w:p>
    <w:p w14:paraId="6FACD5C1"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DDO Templates</w:t>
      </w:r>
      <w:r w:rsidRPr="00AD081E">
        <w:rPr>
          <w:rFonts w:eastAsia="Calibri"/>
        </w:rPr>
        <w:t>.</w:t>
      </w:r>
    </w:p>
    <w:p w14:paraId="54913A6F" w14:textId="77777777" w:rsidR="00AD081E" w:rsidRPr="00AD081E" w:rsidRDefault="00AD081E" w:rsidP="00AD081E">
      <w:pPr>
        <w:rPr>
          <w:rFonts w:eastAsia="Calibri"/>
        </w:rPr>
      </w:pPr>
      <w:r w:rsidRPr="00AD081E">
        <w:rPr>
          <w:rFonts w:eastAsia="Calibri"/>
          <w:b/>
        </w:rPr>
        <w:t>DDO Templates</w:t>
      </w:r>
      <w:r w:rsidRPr="00AD081E">
        <w:rPr>
          <w:rFonts w:eastAsia="Calibri"/>
          <w:b/>
        </w:rPr>
        <w:br/>
      </w:r>
      <w:r w:rsidRPr="00AD081E">
        <w:rPr>
          <w:rFonts w:eastAsia="Calibri"/>
        </w:rPr>
        <w:t xml:space="preserve">Click on the </w:t>
      </w:r>
      <w:r w:rsidRPr="00AD081E">
        <w:rPr>
          <w:rFonts w:eastAsia="Calibri"/>
          <w:b/>
        </w:rPr>
        <w:t>New</w:t>
      </w:r>
      <w:r w:rsidRPr="00AD081E">
        <w:rPr>
          <w:rFonts w:eastAsia="Calibri"/>
        </w:rPr>
        <w:t xml:space="preserve"> button or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New</w:t>
      </w:r>
      <w:r w:rsidRPr="00AD081E">
        <w:rPr>
          <w:rFonts w:eastAsia="Calibri"/>
        </w:rPr>
        <w:t xml:space="preserve"> from the menu.</w:t>
      </w:r>
    </w:p>
    <w:p w14:paraId="627B8EC3" w14:textId="77777777" w:rsidR="00AD081E" w:rsidRPr="00AD081E" w:rsidRDefault="00AD081E" w:rsidP="00AD081E">
      <w:pPr>
        <w:rPr>
          <w:rFonts w:eastAsia="Calibri"/>
        </w:rPr>
      </w:pPr>
      <w:r w:rsidRPr="00AD081E">
        <w:rPr>
          <w:rFonts w:eastAsia="Calibri"/>
          <w:b/>
        </w:rPr>
        <w:t>DDO Template</w:t>
      </w:r>
      <w:r w:rsidRPr="00AD081E">
        <w:rPr>
          <w:rFonts w:eastAsia="Calibri"/>
          <w:b/>
        </w:rPr>
        <w:br/>
      </w:r>
      <w:r w:rsidRPr="00AD081E">
        <w:rPr>
          <w:rFonts w:eastAsia="Calibri"/>
        </w:rPr>
        <w:t xml:space="preserve">Click on the </w:t>
      </w:r>
      <w:r w:rsidRPr="00AD081E">
        <w:rPr>
          <w:rFonts w:eastAsia="Calibri"/>
          <w:b/>
          <w:i/>
        </w:rPr>
        <w:t>Platforms</w:t>
      </w:r>
      <w:r w:rsidRPr="00AD081E">
        <w:rPr>
          <w:rFonts w:eastAsia="Calibri"/>
        </w:rPr>
        <w:t xml:space="preserve"> tab at the bottom of the dialog. Check the </w:t>
      </w:r>
      <w:r w:rsidRPr="00AD081E">
        <w:rPr>
          <w:rFonts w:eastAsia="Calibri"/>
          <w:b/>
        </w:rPr>
        <w:t>Platform Information</w:t>
      </w:r>
      <w:r w:rsidRPr="00AD081E">
        <w:rPr>
          <w:rFonts w:eastAsia="Calibri"/>
        </w:rPr>
        <w:t xml:space="preserve"> box above the main list. Right-click in the empty main list area and choose </w:t>
      </w:r>
      <w:r w:rsidRPr="00AD081E">
        <w:rPr>
          <w:rFonts w:eastAsia="Calibri"/>
          <w:b/>
        </w:rPr>
        <w:t>Add</w:t>
      </w:r>
      <w:r w:rsidRPr="00AD081E">
        <w:rPr>
          <w:rFonts w:eastAsia="Calibri"/>
        </w:rPr>
        <w:t xml:space="preserve"> from the context menu.</w:t>
      </w:r>
    </w:p>
    <w:p w14:paraId="3920B1E5" w14:textId="77777777" w:rsidR="00AD081E" w:rsidRPr="00AD081E" w:rsidRDefault="00AD081E" w:rsidP="00AD081E">
      <w:pPr>
        <w:rPr>
          <w:rFonts w:eastAsia="Calibri"/>
        </w:rPr>
      </w:pPr>
      <w:r w:rsidRPr="00AD081E">
        <w:rPr>
          <w:rFonts w:eastAsia="Calibri"/>
          <w:b/>
        </w:rPr>
        <w:t>Platforms</w:t>
      </w:r>
      <w:r w:rsidRPr="00AD081E">
        <w:rPr>
          <w:rFonts w:eastAsia="Calibri"/>
          <w:b/>
        </w:rPr>
        <w:br/>
      </w:r>
      <w:r w:rsidRPr="00AD081E">
        <w:rPr>
          <w:rFonts w:eastAsia="Calibri"/>
        </w:rPr>
        <w:t xml:space="preserve">In the list, select all of the platforms in your rehearsal. Click on the </w:t>
      </w:r>
      <w:r w:rsidRPr="00AD081E">
        <w:rPr>
          <w:rFonts w:eastAsia="Calibri"/>
          <w:b/>
        </w:rPr>
        <w:t>OK</w:t>
      </w:r>
      <w:r w:rsidRPr="00AD081E">
        <w:rPr>
          <w:rFonts w:eastAsia="Calibri"/>
        </w:rPr>
        <w:t xml:space="preserve"> button.</w:t>
      </w:r>
    </w:p>
    <w:p w14:paraId="36557CFA" w14:textId="77777777" w:rsidR="00AD081E" w:rsidRPr="00AD081E" w:rsidRDefault="00AD081E" w:rsidP="00AD081E">
      <w:pPr>
        <w:rPr>
          <w:rFonts w:eastAsia="Calibri"/>
        </w:rPr>
      </w:pPr>
      <w:r w:rsidRPr="00AD081E">
        <w:rPr>
          <w:rFonts w:eastAsia="Calibri"/>
          <w:b/>
        </w:rPr>
        <w:t>DDO Template</w:t>
      </w:r>
      <w:r w:rsidRPr="00AD081E">
        <w:rPr>
          <w:rFonts w:eastAsia="Calibri"/>
          <w:b/>
        </w:rPr>
        <w:br/>
      </w:r>
      <w:r w:rsidRPr="00AD081E">
        <w:rPr>
          <w:rFonts w:eastAsia="Calibri"/>
        </w:rPr>
        <w:t xml:space="preserve">Enter something recognizable in the </w:t>
      </w:r>
      <w:r w:rsidRPr="00AD081E">
        <w:rPr>
          <w:rFonts w:eastAsia="Calibri"/>
          <w:b/>
        </w:rPr>
        <w:t>Objective</w:t>
      </w:r>
      <w:r w:rsidRPr="00AD081E">
        <w:rPr>
          <w:rFonts w:eastAsia="Calibri"/>
        </w:rPr>
        <w:t xml:space="preserve"> field near the top of the dialog, such as </w:t>
      </w:r>
      <w:r w:rsidRPr="00AD081E">
        <w:rPr>
          <w:rFonts w:eastAsia="Calibri"/>
          <w:b/>
        </w:rPr>
        <w:t>Platform information for (</w:t>
      </w:r>
      <w:r w:rsidRPr="00AD081E">
        <w:rPr>
          <w:rFonts w:eastAsia="Calibri"/>
          <w:b/>
          <w:i/>
        </w:rPr>
        <w:t>x</w:t>
      </w:r>
      <w:r w:rsidRPr="00AD081E">
        <w:rPr>
          <w:rFonts w:eastAsia="Calibri"/>
          <w:b/>
        </w:rPr>
        <w:t>) rehearsal</w:t>
      </w:r>
      <w:r w:rsidRPr="00AD081E">
        <w:rPr>
          <w:rFonts w:eastAsia="Calibri"/>
        </w:rPr>
        <w:t>.</w:t>
      </w:r>
    </w:p>
    <w:p w14:paraId="08A8540C"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rPr>
        <w:t>To</w:t>
      </w:r>
      <w:r w:rsidRPr="00AD081E">
        <w:rPr>
          <w:rFonts w:eastAsia="Calibri"/>
        </w:rPr>
        <w:t xml:space="preserve"> button.</w:t>
      </w:r>
    </w:p>
    <w:p w14:paraId="3CACFFF0" w14:textId="5A11959A" w:rsidR="00AD081E" w:rsidRPr="00AD081E" w:rsidRDefault="00AD081E" w:rsidP="00AD081E">
      <w:pPr>
        <w:rPr>
          <w:rFonts w:eastAsia="Calibri"/>
        </w:rPr>
      </w:pPr>
      <w:r w:rsidRPr="00AD081E">
        <w:rPr>
          <w:rFonts w:eastAsia="Calibri"/>
          <w:b/>
        </w:rPr>
        <w:t>Address Book</w:t>
      </w:r>
      <w:r w:rsidRPr="00AD081E">
        <w:rPr>
          <w:rFonts w:eastAsia="Calibri"/>
          <w:b/>
        </w:rPr>
        <w:br/>
      </w:r>
      <w:r w:rsidRPr="00AD081E">
        <w:rPr>
          <w:rFonts w:eastAsia="Calibri"/>
        </w:rPr>
        <w:t xml:space="preserve">Select the names of all of the live nodes in the </w:t>
      </w:r>
      <w:r w:rsidR="0049592C" w:rsidRPr="00AD081E">
        <w:rPr>
          <w:rFonts w:eastAsia="Calibri"/>
        </w:rPr>
        <w:t>left-hand</w:t>
      </w:r>
      <w:r w:rsidRPr="00AD081E">
        <w:rPr>
          <w:rFonts w:eastAsia="Calibri"/>
        </w:rPr>
        <w:t xml:space="preserve"> list (except the TSRT’s TED). Click on the </w:t>
      </w:r>
      <w:r w:rsidRPr="00AD081E">
        <w:rPr>
          <w:rFonts w:eastAsia="Calibri"/>
          <w:b/>
        </w:rPr>
        <w:t>To</w:t>
      </w:r>
      <w:r w:rsidRPr="00AD081E">
        <w:rPr>
          <w:b/>
        </w:rPr>
        <w:t xml:space="preserve"> </w:t>
      </w:r>
      <w:r w:rsidRPr="00AD081E">
        <w:rPr>
          <w:b/>
        </w:rPr>
        <w:sym w:font="Wingdings" w:char="F0E0"/>
      </w:r>
      <w:r w:rsidRPr="00AD081E">
        <w:t xml:space="preserve"> </w:t>
      </w:r>
      <w:r w:rsidRPr="00AD081E">
        <w:rPr>
          <w:rFonts w:eastAsia="Calibri"/>
        </w:rPr>
        <w:t xml:space="preserve">button. Click on the </w:t>
      </w:r>
      <w:r w:rsidRPr="00AD081E">
        <w:rPr>
          <w:rFonts w:eastAsia="Calibri"/>
          <w:b/>
        </w:rPr>
        <w:t>OK</w:t>
      </w:r>
      <w:r w:rsidRPr="00AD081E">
        <w:rPr>
          <w:rFonts w:eastAsia="Calibri"/>
        </w:rPr>
        <w:t xml:space="preserve"> button.</w:t>
      </w:r>
    </w:p>
    <w:p w14:paraId="53E38123" w14:textId="6FA51779" w:rsidR="00AD081E" w:rsidRPr="00AD081E" w:rsidRDefault="00AD081E" w:rsidP="00AD081E">
      <w:pPr>
        <w:rPr>
          <w:rFonts w:eastAsia="Calibri"/>
        </w:rPr>
      </w:pPr>
      <w:r w:rsidRPr="00AD081E">
        <w:rPr>
          <w:rFonts w:eastAsia="Calibri"/>
          <w:b/>
        </w:rPr>
        <w:t>DDO Template</w:t>
      </w:r>
      <w:r w:rsidRPr="00AD081E">
        <w:rPr>
          <w:rFonts w:eastAsia="Calibri"/>
          <w:b/>
        </w:rPr>
        <w:br/>
      </w:r>
      <w:r w:rsidRPr="00AD081E">
        <w:rPr>
          <w:rFonts w:eastAsia="Calibri"/>
        </w:rPr>
        <w:t xml:space="preserve">Click on the </w:t>
      </w:r>
      <w:r w:rsidRPr="00AD081E">
        <w:rPr>
          <w:rFonts w:eastAsia="Calibri"/>
          <w:b/>
        </w:rPr>
        <w:t>Send</w:t>
      </w:r>
      <w:r w:rsidRPr="00AD081E">
        <w:rPr>
          <w:rFonts w:eastAsia="Calibri"/>
        </w:rPr>
        <w:t xml:space="preserve"> button in the </w:t>
      </w:r>
      <w:r w:rsidR="0049592C" w:rsidRPr="00AD081E">
        <w:rPr>
          <w:rFonts w:eastAsia="Calibri"/>
        </w:rPr>
        <w:t>toolbar or</w:t>
      </w:r>
      <w:r w:rsidRPr="00AD081E">
        <w:rPr>
          <w:rFonts w:eastAsia="Calibri"/>
        </w:rPr>
        <w:t xml:space="preserve">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Send</w:t>
      </w:r>
      <w:r w:rsidRPr="00AD081E">
        <w:rPr>
          <w:rFonts w:eastAsia="Calibri"/>
        </w:rPr>
        <w:t xml:space="preserve"> from the menu.</w:t>
      </w:r>
    </w:p>
    <w:p w14:paraId="59DE0B95" w14:textId="77777777" w:rsidR="00AD081E" w:rsidRPr="00AD081E" w:rsidRDefault="00AD081E" w:rsidP="00AD081E">
      <w:pPr>
        <w:rPr>
          <w:rFonts w:eastAsia="Calibri"/>
        </w:rPr>
      </w:pPr>
      <w:r w:rsidRPr="00AD081E">
        <w:rPr>
          <w:rFonts w:eastAsia="Calibri"/>
          <w:b/>
        </w:rPr>
        <w:t>Process DDO Template</w:t>
      </w:r>
      <w:r w:rsidRPr="00AD081E">
        <w:rPr>
          <w:rFonts w:eastAsia="Calibri"/>
          <w:b/>
        </w:rPr>
        <w:br/>
      </w:r>
      <w:r w:rsidRPr="00AD081E">
        <w:rPr>
          <w:rFonts w:eastAsia="Calibri"/>
        </w:rPr>
        <w:t xml:space="preserve">When all DDOs show a status of </w:t>
      </w:r>
      <w:r w:rsidRPr="00AD081E">
        <w:rPr>
          <w:rFonts w:eastAsia="Calibri"/>
          <w:b/>
        </w:rPr>
        <w:t>Ready to Send</w:t>
      </w:r>
      <w:r w:rsidRPr="00AD081E">
        <w:rPr>
          <w:rFonts w:eastAsia="Calibri"/>
        </w:rPr>
        <w:t xml:space="preserve">, click on the </w:t>
      </w:r>
      <w:r w:rsidRPr="00AD081E">
        <w:rPr>
          <w:rFonts w:eastAsia="Calibri"/>
          <w:b/>
        </w:rPr>
        <w:t>Approve</w:t>
      </w:r>
      <w:r w:rsidRPr="00AD081E">
        <w:rPr>
          <w:rFonts w:eastAsia="Calibri"/>
        </w:rPr>
        <w:t xml:space="preserve"> button.</w:t>
      </w:r>
    </w:p>
    <w:p w14:paraId="366F343D" w14:textId="77777777" w:rsidR="00AD081E" w:rsidRPr="00AD081E" w:rsidRDefault="00AD081E" w:rsidP="00AD081E">
      <w:pPr>
        <w:rPr>
          <w:rFonts w:eastAsia="Calibri"/>
        </w:rPr>
      </w:pPr>
      <w:r w:rsidRPr="00AD081E">
        <w:rPr>
          <w:rFonts w:eastAsia="Calibri"/>
          <w:b/>
        </w:rPr>
        <w:t>Confirmation</w:t>
      </w:r>
      <w:r w:rsidRPr="00AD081E">
        <w:rPr>
          <w:rFonts w:eastAsia="Calibri"/>
          <w:b/>
        </w:rPr>
        <w:br/>
      </w:r>
      <w:r w:rsidRPr="00AD081E">
        <w:rPr>
          <w:rFonts w:eastAsia="Calibri"/>
        </w:rPr>
        <w:t>Close the dialog.</w:t>
      </w:r>
    </w:p>
    <w:p w14:paraId="6333CB38" w14:textId="77777777" w:rsidR="00AD081E" w:rsidRPr="00AD081E" w:rsidRDefault="00AD081E" w:rsidP="00AD081E">
      <w:pPr>
        <w:rPr>
          <w:rFonts w:eastAsia="Calibri"/>
        </w:rPr>
      </w:pPr>
      <w:r w:rsidRPr="00AD081E">
        <w:rPr>
          <w:rFonts w:eastAsia="Calibri"/>
          <w:b/>
        </w:rPr>
        <w:t>DDO Template</w:t>
      </w:r>
      <w:r w:rsidRPr="00AD081E">
        <w:rPr>
          <w:rFonts w:eastAsia="Calibri"/>
          <w:b/>
        </w:rPr>
        <w:br/>
      </w:r>
      <w:r w:rsidRPr="00AD081E">
        <w:rPr>
          <w:rFonts w:eastAsia="Calibri"/>
        </w:rPr>
        <w:t>Close the dialog. You will be asked whether to save changes; either answer is fine.</w:t>
      </w:r>
    </w:p>
    <w:p w14:paraId="550812FC" w14:textId="77777777" w:rsidR="00AD081E" w:rsidRPr="00AD081E" w:rsidRDefault="00AD081E" w:rsidP="00306174">
      <w:pPr>
        <w:pStyle w:val="Appendix6"/>
      </w:pPr>
      <w:r w:rsidRPr="00AD081E">
        <w:t>Verify Receipt and Processing of Platform Information</w:t>
      </w:r>
    </w:p>
    <w:p w14:paraId="31CD401D" w14:textId="77777777" w:rsidR="00AD081E" w:rsidRPr="00AD081E" w:rsidRDefault="00AD081E" w:rsidP="00AD081E">
      <w:pPr>
        <w:rPr>
          <w:rFonts w:eastAsia="Calibri"/>
        </w:rPr>
      </w:pPr>
      <w:r w:rsidRPr="00AD081E">
        <w:rPr>
          <w:rFonts w:eastAsia="Calibri"/>
        </w:rPr>
        <w:t>With an MDS connected to each TED (other than the TSRT’s TED), verify that platform information was received and processed.</w:t>
      </w:r>
    </w:p>
    <w:p w14:paraId="2A2167F6" w14:textId="77777777" w:rsidR="00AD081E" w:rsidRPr="00AD081E" w:rsidRDefault="00AD081E" w:rsidP="00AD081E">
      <w:pPr>
        <w:rPr>
          <w:rFonts w:eastAsia="Calibri"/>
        </w:rPr>
      </w:pPr>
      <w:r w:rsidRPr="00AD081E">
        <w:rPr>
          <w:rFonts w:eastAsia="Calibri"/>
        </w:rPr>
        <w:t xml:space="preserve">From the menu,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Incoming DDOs</w:t>
      </w:r>
      <w:r w:rsidRPr="00AD081E">
        <w:rPr>
          <w:rFonts w:eastAsia="Calibri"/>
        </w:rPr>
        <w:t>.</w:t>
      </w:r>
    </w:p>
    <w:p w14:paraId="5E9E1086" w14:textId="77777777" w:rsidR="00AD081E" w:rsidRPr="00AD081E" w:rsidRDefault="00AD081E" w:rsidP="00AD081E">
      <w:pPr>
        <w:rPr>
          <w:rFonts w:eastAsia="Calibri"/>
        </w:rPr>
      </w:pPr>
      <w:r w:rsidRPr="00AD081E">
        <w:rPr>
          <w:rFonts w:eastAsia="Calibri"/>
          <w:b/>
        </w:rPr>
        <w:lastRenderedPageBreak/>
        <w:t>Incoming DDOs</w:t>
      </w:r>
      <w:r w:rsidRPr="00AD081E">
        <w:rPr>
          <w:rFonts w:eastAsia="Calibri"/>
          <w:b/>
        </w:rPr>
        <w:br/>
      </w:r>
      <w:r w:rsidRPr="00AD081E">
        <w:rPr>
          <w:rFonts w:eastAsia="Calibri"/>
        </w:rPr>
        <w:t xml:space="preserve">Find the DDO with the correct objective in the list. If the status is not </w:t>
      </w:r>
      <w:r w:rsidRPr="00AD081E">
        <w:rPr>
          <w:rFonts w:eastAsia="Calibri"/>
          <w:b/>
        </w:rPr>
        <w:t>Processed</w:t>
      </w:r>
      <w:r w:rsidRPr="00AD081E">
        <w:rPr>
          <w:rFonts w:eastAsia="Calibri"/>
        </w:rPr>
        <w:t xml:space="preserve">, select the DDO. Right-click and choose </w:t>
      </w:r>
      <w:r w:rsidRPr="00AD081E">
        <w:rPr>
          <w:rFonts w:eastAsia="Calibri"/>
          <w:b/>
        </w:rPr>
        <w:t>Process</w:t>
      </w:r>
      <w:r w:rsidRPr="00AD081E">
        <w:rPr>
          <w:rFonts w:eastAsia="Calibri"/>
        </w:rPr>
        <w:t xml:space="preserve"> from the context menu. Answer </w:t>
      </w:r>
      <w:r w:rsidRPr="00AD081E">
        <w:rPr>
          <w:rFonts w:eastAsia="Calibri"/>
          <w:b/>
        </w:rPr>
        <w:t>Yes</w:t>
      </w:r>
      <w:r w:rsidRPr="00AD081E">
        <w:rPr>
          <w:rFonts w:eastAsia="Calibri"/>
        </w:rPr>
        <w:t xml:space="preserve"> on the dialog that appears.</w:t>
      </w:r>
    </w:p>
    <w:p w14:paraId="70ECBB72" w14:textId="77777777" w:rsidR="00AD081E" w:rsidRPr="00AD081E" w:rsidRDefault="00AD081E" w:rsidP="00AD081E">
      <w:pPr>
        <w:rPr>
          <w:rFonts w:eastAsia="Calibri"/>
        </w:rPr>
      </w:pPr>
      <w:r w:rsidRPr="00AD081E">
        <w:rPr>
          <w:rFonts w:eastAsia="Calibri"/>
        </w:rPr>
        <w:t xml:space="preserve">If the status does not change to </w:t>
      </w:r>
      <w:r w:rsidRPr="00AD081E">
        <w:rPr>
          <w:rFonts w:eastAsia="Calibri"/>
          <w:b/>
        </w:rPr>
        <w:t>Processed</w:t>
      </w:r>
      <w:r w:rsidRPr="00AD081E">
        <w:rPr>
          <w:rFonts w:eastAsia="Calibri"/>
        </w:rPr>
        <w:t xml:space="preserve">, double-click on the DDO and use the </w:t>
      </w:r>
      <w:r w:rsidRPr="00AD081E">
        <w:rPr>
          <w:rFonts w:eastAsia="Calibri"/>
          <w:b/>
        </w:rPr>
        <w:t>Status</w:t>
      </w:r>
      <w:r w:rsidRPr="00AD081E">
        <w:rPr>
          <w:rFonts w:eastAsia="Calibri"/>
        </w:rPr>
        <w:t xml:space="preserve"> and </w:t>
      </w:r>
      <w:r w:rsidRPr="00AD081E">
        <w:rPr>
          <w:rFonts w:eastAsia="Calibri"/>
          <w:b/>
        </w:rPr>
        <w:t>Information</w:t>
      </w:r>
      <w:r w:rsidRPr="00AD081E">
        <w:rPr>
          <w:rFonts w:eastAsia="Calibri"/>
        </w:rPr>
        <w:t xml:space="preserve"> columns to determine whether there is a real problem and, if so, what the problem is. It is important for all participating nodes to have the same platform information for the platforms in the strike, so if the DDO can’t be processed, it may be necessary to configure node communications on the target system as you did for TSRT’s TED.</w:t>
      </w:r>
    </w:p>
    <w:p w14:paraId="44DFEB4A" w14:textId="77777777" w:rsidR="00AD081E" w:rsidRPr="00AD081E" w:rsidRDefault="00AD081E" w:rsidP="0026723B">
      <w:pPr>
        <w:pStyle w:val="Appendix4"/>
        <w:ind w:left="360"/>
      </w:pPr>
      <w:r w:rsidRPr="00AD081E">
        <w:t>Test the Configuration</w:t>
      </w:r>
    </w:p>
    <w:p w14:paraId="5D525EDB" w14:textId="77777777" w:rsidR="00AD081E" w:rsidRPr="00AD081E" w:rsidRDefault="00AD081E" w:rsidP="0026723B">
      <w:pPr>
        <w:pStyle w:val="Appendix5"/>
      </w:pPr>
      <w:r w:rsidRPr="00AD081E">
        <w:t>Test DDO Communications</w:t>
      </w:r>
    </w:p>
    <w:p w14:paraId="3C0DE3C1" w14:textId="2B8277B1" w:rsidR="00AD081E" w:rsidRPr="00AD081E" w:rsidRDefault="00AD081E" w:rsidP="00AD081E">
      <w:pPr>
        <w:rPr>
          <w:rFonts w:eastAsia="Calibri"/>
        </w:rPr>
      </w:pPr>
      <w:r w:rsidRPr="00AD081E">
        <w:rPr>
          <w:rFonts w:eastAsia="Calibri"/>
        </w:rPr>
        <w:t xml:space="preserve">To test the OTH communications paths that will be used for DDOs during rehearsal, we will send a DDO from each live node to each other live </w:t>
      </w:r>
      <w:r w:rsidR="0049592C" w:rsidRPr="00AD081E">
        <w:rPr>
          <w:rFonts w:eastAsia="Calibri"/>
        </w:rPr>
        <w:t>node and</w:t>
      </w:r>
      <w:r w:rsidRPr="00AD081E">
        <w:rPr>
          <w:rFonts w:eastAsia="Calibri"/>
        </w:rPr>
        <w:t xml:space="preserve"> receive a DDO back from each of the other live nodes.</w:t>
      </w:r>
    </w:p>
    <w:p w14:paraId="7BE7480A" w14:textId="77777777" w:rsidR="00AD081E" w:rsidRPr="00AD081E" w:rsidRDefault="00AD081E" w:rsidP="00AD081E">
      <w:pPr>
        <w:rPr>
          <w:rFonts w:eastAsia="Calibri"/>
        </w:rPr>
      </w:pPr>
      <w:r w:rsidRPr="00AD081E">
        <w:rPr>
          <w:rFonts w:eastAsia="Calibri"/>
        </w:rPr>
        <w:t>Send a DDO to a node that is not your own to test the HTTPS path that will be used by DDOs during rehearsal.</w:t>
      </w:r>
    </w:p>
    <w:p w14:paraId="72C39B2B"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DDO Templates</w:t>
      </w:r>
      <w:r w:rsidRPr="00AD081E">
        <w:rPr>
          <w:rFonts w:eastAsia="Calibri"/>
        </w:rPr>
        <w:t xml:space="preserve"> from the menu.</w:t>
      </w:r>
    </w:p>
    <w:p w14:paraId="5524C46B" w14:textId="47368928" w:rsidR="00AD081E" w:rsidRPr="00AD081E" w:rsidRDefault="00AD081E" w:rsidP="00AD081E">
      <w:pPr>
        <w:rPr>
          <w:rFonts w:eastAsia="Calibri"/>
        </w:rPr>
      </w:pPr>
      <w:r w:rsidRPr="00AD081E">
        <w:rPr>
          <w:rFonts w:eastAsia="Calibri"/>
          <w:b/>
        </w:rPr>
        <w:t>DDO Templates</w:t>
      </w:r>
      <w:r w:rsidRPr="00AD081E">
        <w:rPr>
          <w:rFonts w:eastAsia="Calibri"/>
          <w:b/>
        </w:rPr>
        <w:br/>
      </w:r>
      <w:r w:rsidRPr="00AD081E">
        <w:rPr>
          <w:rFonts w:eastAsia="Calibri"/>
        </w:rPr>
        <w:t xml:space="preserve">Click on the </w:t>
      </w:r>
      <w:r w:rsidRPr="00AD081E">
        <w:rPr>
          <w:rFonts w:eastAsia="Calibri"/>
          <w:b/>
        </w:rPr>
        <w:t>New</w:t>
      </w:r>
      <w:r w:rsidRPr="00AD081E">
        <w:rPr>
          <w:rFonts w:eastAsia="Calibri"/>
        </w:rPr>
        <w:t xml:space="preserve"> button on the </w:t>
      </w:r>
      <w:r w:rsidR="0049592C" w:rsidRPr="00AD081E">
        <w:rPr>
          <w:rFonts w:eastAsia="Calibri"/>
        </w:rPr>
        <w:t>toolbar or</w:t>
      </w:r>
      <w:r w:rsidRPr="00AD081E">
        <w:rPr>
          <w:rFonts w:eastAsia="Calibri"/>
        </w:rPr>
        <w:t xml:space="preserve">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New</w:t>
      </w:r>
      <w:r w:rsidRPr="00AD081E">
        <w:rPr>
          <w:rFonts w:eastAsia="Calibri"/>
        </w:rPr>
        <w:t xml:space="preserve"> from the menu.</w:t>
      </w:r>
    </w:p>
    <w:p w14:paraId="7E902A30" w14:textId="77777777" w:rsidR="00AD081E" w:rsidRPr="00AD081E" w:rsidRDefault="00AD081E" w:rsidP="00AD081E">
      <w:pPr>
        <w:rPr>
          <w:rFonts w:eastAsia="Calibri"/>
        </w:rPr>
      </w:pPr>
      <w:r w:rsidRPr="00AD081E">
        <w:rPr>
          <w:rFonts w:eastAsia="Calibri"/>
          <w:b/>
        </w:rPr>
        <w:t>Drafting DDO</w:t>
      </w:r>
      <w:r w:rsidRPr="00AD081E">
        <w:rPr>
          <w:rFonts w:eastAsia="Calibri"/>
          <w:b/>
        </w:rPr>
        <w:br/>
      </w:r>
      <w:r w:rsidRPr="00AD081E">
        <w:rPr>
          <w:rFonts w:eastAsia="Calibri"/>
        </w:rPr>
        <w:t xml:space="preserve">Enter something recognizable in the </w:t>
      </w:r>
      <w:r w:rsidRPr="00AD081E">
        <w:rPr>
          <w:rFonts w:eastAsia="Calibri"/>
          <w:b/>
        </w:rPr>
        <w:t>Objective</w:t>
      </w:r>
      <w:r w:rsidRPr="00AD081E">
        <w:rPr>
          <w:rFonts w:eastAsia="Calibri"/>
        </w:rPr>
        <w:t xml:space="preserve"> field, such as </w:t>
      </w:r>
      <w:r w:rsidRPr="00AD081E">
        <w:rPr>
          <w:rFonts w:eastAsia="Calibri"/>
          <w:b/>
        </w:rPr>
        <w:t xml:space="preserve">Self-texting test </w:t>
      </w:r>
      <w:r w:rsidRPr="00AD081E">
        <w:rPr>
          <w:rFonts w:eastAsia="Calibri"/>
        </w:rPr>
        <w:t xml:space="preserve">(optional). Click on the </w:t>
      </w:r>
      <w:r w:rsidRPr="00AD081E">
        <w:rPr>
          <w:rFonts w:eastAsia="Calibri"/>
          <w:b/>
        </w:rPr>
        <w:t>To…</w:t>
      </w:r>
      <w:r w:rsidRPr="00AD081E">
        <w:rPr>
          <w:rFonts w:eastAsia="Calibri"/>
        </w:rPr>
        <w:t xml:space="preserve"> button, double-click your desired node from the Address Book, then click on the </w:t>
      </w:r>
      <w:r w:rsidRPr="00AD081E">
        <w:rPr>
          <w:rFonts w:eastAsia="Calibri"/>
          <w:b/>
        </w:rPr>
        <w:t>OK</w:t>
      </w:r>
      <w:r w:rsidRPr="00AD081E">
        <w:rPr>
          <w:rFonts w:eastAsia="Calibri"/>
        </w:rPr>
        <w:t xml:space="preserve"> button.</w:t>
      </w:r>
    </w:p>
    <w:p w14:paraId="7BAF7429" w14:textId="77777777" w:rsidR="00AD081E" w:rsidRPr="00AD081E" w:rsidRDefault="00AD081E" w:rsidP="00AD081E">
      <w:pPr>
        <w:rPr>
          <w:rFonts w:eastAsia="Calibri"/>
          <w:b/>
        </w:rPr>
      </w:pPr>
      <w:r w:rsidRPr="00AD081E">
        <w:rPr>
          <w:rFonts w:eastAsia="Calibri"/>
        </w:rPr>
        <w:t xml:space="preserve">Add the appropriate data items to be transmitted from the </w:t>
      </w:r>
      <w:r w:rsidRPr="00AD081E">
        <w:rPr>
          <w:rFonts w:eastAsia="Calibri"/>
          <w:b/>
          <w:i/>
        </w:rPr>
        <w:t>Data</w:t>
      </w:r>
      <w:r w:rsidRPr="00AD081E">
        <w:rPr>
          <w:rFonts w:eastAsia="Calibri"/>
        </w:rPr>
        <w:t xml:space="preserve"> tab at the bottom of the window (i.e., Missions, DSMACs, TERCOMs, etc.). It is suggested to select small data items, such as an ACMS to test DDO communications. Right-click in the white area of the DDO Template and select </w:t>
      </w:r>
      <w:r w:rsidRPr="00AD081E">
        <w:rPr>
          <w:rFonts w:eastAsia="Calibri"/>
          <w:b/>
        </w:rPr>
        <w:t>Add…</w:t>
      </w:r>
      <w:r w:rsidRPr="00AD081E">
        <w:rPr>
          <w:rFonts w:eastAsia="Calibri"/>
        </w:rPr>
        <w:t xml:space="preserve">. A selection window specific to the tool that is selected is displayed. Select the desired data item(s) and click </w:t>
      </w:r>
      <w:r w:rsidRPr="00AD081E">
        <w:rPr>
          <w:rFonts w:eastAsia="Calibri"/>
          <w:b/>
        </w:rPr>
        <w:t>OK.</w:t>
      </w:r>
    </w:p>
    <w:p w14:paraId="15084B7F" w14:textId="77777777" w:rsidR="00AD081E" w:rsidRPr="00AD081E" w:rsidRDefault="00AD081E" w:rsidP="00AD081E">
      <w:r w:rsidRPr="00AD081E">
        <w:rPr>
          <w:rFonts w:eastAsia="Calibri"/>
          <w:b/>
        </w:rPr>
        <w:t>Sending</w:t>
      </w:r>
      <w:r w:rsidRPr="00AD081E">
        <w:rPr>
          <w:rFonts w:eastAsia="Calibri"/>
          <w:b/>
        </w:rPr>
        <w:br/>
      </w:r>
      <w:r w:rsidRPr="00AD081E">
        <w:t xml:space="preserve">From the </w:t>
      </w:r>
      <w:r w:rsidRPr="00AD081E">
        <w:rPr>
          <w:b/>
        </w:rPr>
        <w:t>File</w:t>
      </w:r>
      <w:r w:rsidRPr="00AD081E">
        <w:t xml:space="preserve"> menu select </w:t>
      </w:r>
      <w:r w:rsidRPr="00AD081E">
        <w:rPr>
          <w:b/>
        </w:rPr>
        <w:t>Send</w:t>
      </w:r>
      <w:r w:rsidRPr="00AD081E">
        <w:t xml:space="preserve"> or click the </w:t>
      </w:r>
      <w:r w:rsidRPr="00AD081E">
        <w:rPr>
          <w:b/>
        </w:rPr>
        <w:t>Send</w:t>
      </w:r>
      <w:r w:rsidRPr="00AD081E">
        <w:t xml:space="preserve"> </w:t>
      </w:r>
      <w:r w:rsidRPr="00AD081E">
        <w:rPr>
          <w:noProof/>
        </w:rPr>
        <w:drawing>
          <wp:inline distT="0" distB="0" distL="0" distR="0" wp14:anchorId="3593C034" wp14:editId="00415958">
            <wp:extent cx="152400" cy="152400"/>
            <wp:effectExtent l="0" t="0" r="0" b="0"/>
            <wp:docPr id="941" name="Picture 941"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AD081E">
        <w:t xml:space="preserve"> icon on the toolbar.</w:t>
      </w:r>
    </w:p>
    <w:p w14:paraId="7A4511B0" w14:textId="77777777" w:rsidR="00AD081E" w:rsidRPr="00AD081E" w:rsidRDefault="00AD081E" w:rsidP="00AD081E">
      <w:pPr>
        <w:rPr>
          <w:rFonts w:eastAsia="Calibri"/>
        </w:rPr>
      </w:pPr>
      <w:r w:rsidRPr="00AD081E">
        <w:rPr>
          <w:rFonts w:eastAsia="Calibri"/>
          <w:b/>
        </w:rPr>
        <w:t xml:space="preserve">On each receiving system, </w:t>
      </w:r>
      <w:r w:rsidRPr="00AD081E">
        <w:rPr>
          <w:rFonts w:eastAsia="Calibri"/>
        </w:rPr>
        <w:t>using MDS, choose</w:t>
      </w:r>
      <w:r w:rsidRPr="00AD081E">
        <w:rPr>
          <w:rFonts w:eastAsia="Calibri"/>
          <w:b/>
        </w:rPr>
        <w:t xml:space="preserve"> Go</w:t>
      </w:r>
      <w:r w:rsidRPr="00AD081E">
        <w:rPr>
          <w:b/>
        </w:rPr>
        <w:t xml:space="preserve"> </w:t>
      </w:r>
      <w:r w:rsidRPr="00AD081E">
        <w:rPr>
          <w:b/>
        </w:rPr>
        <w:sym w:font="Wingdings" w:char="F0E0"/>
      </w:r>
      <w:r w:rsidRPr="00AD081E">
        <w:rPr>
          <w:b/>
        </w:rPr>
        <w:t xml:space="preserve"> </w:t>
      </w:r>
      <w:r w:rsidRPr="00AD081E">
        <w:rPr>
          <w:rFonts w:eastAsia="Calibri"/>
          <w:b/>
        </w:rPr>
        <w:t>Incoming DDOs</w:t>
      </w:r>
      <w:r w:rsidRPr="00AD081E">
        <w:rPr>
          <w:rFonts w:eastAsia="Calibri"/>
        </w:rPr>
        <w:t xml:space="preserve"> from the menu to ensure the DDO was received.</w:t>
      </w:r>
    </w:p>
    <w:p w14:paraId="46C482E0" w14:textId="77777777" w:rsidR="00AD081E" w:rsidRPr="00AD081E" w:rsidRDefault="00AD081E" w:rsidP="00AD081E">
      <w:pPr>
        <w:rPr>
          <w:rFonts w:eastAsia="Calibri"/>
        </w:rPr>
      </w:pPr>
      <w:r w:rsidRPr="00AD081E">
        <w:rPr>
          <w:rFonts w:eastAsia="Calibri"/>
          <w:b/>
        </w:rPr>
        <w:t>On the original sending MDS</w:t>
      </w:r>
      <w:r w:rsidRPr="00AD081E">
        <w:rPr>
          <w:rFonts w:eastAsia="Calibri"/>
        </w:rPr>
        <w:t>, choose</w:t>
      </w:r>
      <w:r w:rsidRPr="00AD081E">
        <w:rPr>
          <w:rFonts w:eastAsia="Calibri"/>
          <w:b/>
        </w:rPr>
        <w:t xml:space="preserve"> Go</w:t>
      </w:r>
      <w:r w:rsidRPr="00AD081E">
        <w:rPr>
          <w:b/>
        </w:rPr>
        <w:t xml:space="preserve"> </w:t>
      </w:r>
      <w:r w:rsidRPr="00AD081E">
        <w:rPr>
          <w:b/>
        </w:rPr>
        <w:sym w:font="Wingdings" w:char="F0E0"/>
      </w:r>
      <w:r w:rsidRPr="00AD081E">
        <w:rPr>
          <w:b/>
        </w:rPr>
        <w:t xml:space="preserve"> </w:t>
      </w:r>
      <w:r w:rsidRPr="00AD081E">
        <w:rPr>
          <w:rFonts w:eastAsia="Calibri"/>
          <w:b/>
        </w:rPr>
        <w:t>Outgoing DDOs</w:t>
      </w:r>
      <w:r w:rsidRPr="00AD081E">
        <w:rPr>
          <w:rFonts w:eastAsia="Calibri"/>
        </w:rPr>
        <w:t xml:space="preserve"> from the menu to ensure the DDO was sent.</w:t>
      </w:r>
    </w:p>
    <w:p w14:paraId="7BDDA19D" w14:textId="77777777" w:rsidR="00AD081E" w:rsidRPr="00AD081E" w:rsidRDefault="00AD081E" w:rsidP="00AD081E">
      <w:pPr>
        <w:rPr>
          <w:rFonts w:eastAsia="Calibri"/>
        </w:rPr>
      </w:pPr>
      <w:r w:rsidRPr="00AD081E">
        <w:rPr>
          <w:rFonts w:eastAsia="Calibri"/>
          <w:b/>
        </w:rPr>
        <w:t>Received DDOs</w:t>
      </w:r>
      <w:r w:rsidRPr="00AD081E">
        <w:rPr>
          <w:rFonts w:eastAsia="Calibri"/>
          <w:b/>
        </w:rPr>
        <w:br/>
      </w:r>
      <w:r w:rsidRPr="00AD081E">
        <w:rPr>
          <w:rFonts w:eastAsia="Calibri"/>
        </w:rPr>
        <w:t>If configuration was successful, the list will contain a reply from each live node. If this is not the case, resolve problems with routes, etc. until the test produces the expected results.</w:t>
      </w:r>
    </w:p>
    <w:p w14:paraId="008E06DD" w14:textId="77777777" w:rsidR="00AD081E" w:rsidRPr="00AD081E" w:rsidRDefault="00AD081E" w:rsidP="00AD081E">
      <w:pPr>
        <w:rPr>
          <w:rFonts w:eastAsia="Calibri"/>
        </w:rPr>
      </w:pPr>
      <w:r w:rsidRPr="00AD081E">
        <w:rPr>
          <w:rFonts w:eastAsia="Calibri"/>
          <w:b/>
        </w:rPr>
        <w:lastRenderedPageBreak/>
        <w:t>Complete the test sequence by sending DDOs to, and receiving DDOs from, each pair of live nodes.</w:t>
      </w:r>
    </w:p>
    <w:p w14:paraId="63AA0574" w14:textId="77777777" w:rsidR="00AD081E" w:rsidRPr="00AD081E" w:rsidRDefault="00AD081E" w:rsidP="0026723B">
      <w:pPr>
        <w:pStyle w:val="Appendix5"/>
      </w:pPr>
      <w:r w:rsidRPr="00AD081E">
        <w:t>Test TSN Communications</w:t>
      </w:r>
    </w:p>
    <w:p w14:paraId="0CA023B0" w14:textId="77777777" w:rsidR="00AD081E" w:rsidRPr="00AD081E" w:rsidRDefault="00AD081E" w:rsidP="00AD081E">
      <w:pPr>
        <w:rPr>
          <w:rFonts w:eastAsia="Calibri"/>
        </w:rPr>
      </w:pPr>
      <w:r w:rsidRPr="00AD081E">
        <w:rPr>
          <w:rFonts w:eastAsia="Calibri"/>
        </w:rPr>
        <w:t>The approach here is to make a rehearsal copy of your strike, send it to all live participants, then start rehearsing the rehearsal copy with an SMD. With the rehearsal running, send pings from each live node to a simulated node and all other live nodes and verify the responses.</w:t>
      </w:r>
    </w:p>
    <w:p w14:paraId="7685CF21"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Strike Execution</w:t>
      </w:r>
      <w:r w:rsidRPr="00AD081E">
        <w:rPr>
          <w:rFonts w:eastAsia="Calibri"/>
        </w:rPr>
        <w:t xml:space="preserve"> from the menu.</w:t>
      </w:r>
    </w:p>
    <w:p w14:paraId="06682E09" w14:textId="77777777" w:rsidR="00AD081E" w:rsidRPr="00AD081E" w:rsidRDefault="00AD081E" w:rsidP="00AD081E">
      <w:pPr>
        <w:rPr>
          <w:rFonts w:eastAsia="Calibri"/>
        </w:rPr>
      </w:pPr>
      <w:r w:rsidRPr="00AD081E">
        <w:rPr>
          <w:rFonts w:eastAsia="Calibri"/>
          <w:b/>
        </w:rPr>
        <w:t>Strike Execution</w:t>
      </w:r>
      <w:r w:rsidRPr="00AD081E">
        <w:rPr>
          <w:rFonts w:eastAsia="Calibri"/>
          <w:b/>
        </w:rPr>
        <w:br/>
      </w:r>
      <w:r w:rsidRPr="00AD081E">
        <w:rPr>
          <w:rFonts w:eastAsia="Calibri"/>
        </w:rPr>
        <w:t xml:space="preserve">Select your execution folder, right-click, and choose </w:t>
      </w:r>
      <w:r w:rsidRPr="00AD081E">
        <w:rPr>
          <w:rFonts w:eastAsia="Calibri"/>
          <w:b/>
        </w:rPr>
        <w:t>Save As</w:t>
      </w:r>
      <w:r w:rsidRPr="00AD081E">
        <w:rPr>
          <w:b/>
        </w:rPr>
        <w:t xml:space="preserve"> </w:t>
      </w:r>
      <w:r w:rsidRPr="00AD081E">
        <w:rPr>
          <w:b/>
        </w:rPr>
        <w:sym w:font="Wingdings" w:char="F0E0"/>
      </w:r>
      <w:r w:rsidRPr="00AD081E">
        <w:rPr>
          <w:b/>
        </w:rPr>
        <w:t xml:space="preserve"> </w:t>
      </w:r>
      <w:r w:rsidRPr="00AD081E">
        <w:rPr>
          <w:rFonts w:eastAsia="Calibri"/>
          <w:b/>
        </w:rPr>
        <w:t>Rehearsal</w:t>
      </w:r>
      <w:r w:rsidRPr="00AD081E">
        <w:rPr>
          <w:rFonts w:eastAsia="Calibri"/>
        </w:rPr>
        <w:t xml:space="preserve"> from the context menu.</w:t>
      </w:r>
    </w:p>
    <w:p w14:paraId="65BACB49" w14:textId="77777777" w:rsidR="00AD081E" w:rsidRPr="00AD081E" w:rsidRDefault="00AD081E" w:rsidP="00AD081E">
      <w:pPr>
        <w:rPr>
          <w:rFonts w:eastAsia="Calibri"/>
        </w:rPr>
      </w:pPr>
      <w:r w:rsidRPr="00AD081E">
        <w:rPr>
          <w:rFonts w:eastAsia="Calibri"/>
        </w:rPr>
        <w:t xml:space="preserve">Select the new rehearsal copy, right-click and choose </w:t>
      </w:r>
      <w:r w:rsidRPr="00AD081E">
        <w:rPr>
          <w:rFonts w:eastAsia="Calibri"/>
          <w:b/>
        </w:rPr>
        <w:t>Send</w:t>
      </w:r>
      <w:r w:rsidRPr="00AD081E">
        <w:rPr>
          <w:rFonts w:eastAsia="Calibri"/>
        </w:rPr>
        <w:t xml:space="preserve"> from the context menu.</w:t>
      </w:r>
    </w:p>
    <w:p w14:paraId="4A159C51" w14:textId="1238A4CB" w:rsidR="00AD081E" w:rsidRPr="00AD081E" w:rsidRDefault="00AD081E" w:rsidP="00AD081E">
      <w:pPr>
        <w:rPr>
          <w:rFonts w:eastAsia="Calibri"/>
        </w:rPr>
      </w:pPr>
      <w:r w:rsidRPr="00AD081E">
        <w:rPr>
          <w:rFonts w:eastAsia="Calibri"/>
          <w:b/>
        </w:rPr>
        <w:t>DDO Template</w:t>
      </w:r>
      <w:r w:rsidRPr="00AD081E">
        <w:rPr>
          <w:rFonts w:eastAsia="Calibri"/>
        </w:rPr>
        <w:br/>
        <w:t xml:space="preserve">Click on the </w:t>
      </w:r>
      <w:r w:rsidRPr="00AD081E">
        <w:rPr>
          <w:rFonts w:eastAsia="Calibri"/>
          <w:b/>
          <w:i/>
        </w:rPr>
        <w:t>Strike Data</w:t>
      </w:r>
      <w:r w:rsidRPr="00AD081E">
        <w:rPr>
          <w:rFonts w:eastAsia="Calibri"/>
        </w:rPr>
        <w:t xml:space="preserve"> tab. In the </w:t>
      </w:r>
      <w:r w:rsidRPr="00AD081E">
        <w:rPr>
          <w:rFonts w:eastAsia="Calibri"/>
          <w:b/>
        </w:rPr>
        <w:t>Strike Data</w:t>
      </w:r>
      <w:r w:rsidRPr="00AD081E">
        <w:rPr>
          <w:rFonts w:eastAsia="Calibri"/>
        </w:rPr>
        <w:t xml:space="preserve"> area above the main list, check the box labeled </w:t>
      </w:r>
      <w:r w:rsidRPr="00AD081E">
        <w:rPr>
          <w:rFonts w:eastAsia="Calibri"/>
          <w:b/>
        </w:rPr>
        <w:t>Include All Strike Data</w:t>
      </w:r>
      <w:r w:rsidRPr="00AD081E">
        <w:rPr>
          <w:rFonts w:eastAsia="Calibri"/>
        </w:rPr>
        <w:t xml:space="preserve">. Click on the </w:t>
      </w:r>
      <w:r w:rsidRPr="00AD081E">
        <w:rPr>
          <w:rFonts w:eastAsia="Calibri"/>
          <w:b/>
        </w:rPr>
        <w:t>Send</w:t>
      </w:r>
      <w:r w:rsidRPr="00AD081E">
        <w:rPr>
          <w:rFonts w:eastAsia="Calibri"/>
        </w:rPr>
        <w:t xml:space="preserve"> button in the </w:t>
      </w:r>
      <w:r w:rsidR="0049592C" w:rsidRPr="00AD081E">
        <w:rPr>
          <w:rFonts w:eastAsia="Calibri"/>
        </w:rPr>
        <w:t>toolbar or</w:t>
      </w:r>
      <w:r w:rsidRPr="00AD081E">
        <w:rPr>
          <w:rFonts w:eastAsia="Calibri"/>
        </w:rPr>
        <w:t xml:space="preserve">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Send</w:t>
      </w:r>
      <w:r w:rsidRPr="00AD081E">
        <w:rPr>
          <w:rFonts w:eastAsia="Calibri"/>
        </w:rPr>
        <w:t xml:space="preserve"> from the menu.</w:t>
      </w:r>
    </w:p>
    <w:p w14:paraId="3A1A9F60" w14:textId="77777777" w:rsidR="00AD081E" w:rsidRPr="00AD081E" w:rsidRDefault="00AD081E" w:rsidP="00AD081E">
      <w:pPr>
        <w:rPr>
          <w:rFonts w:eastAsia="Calibri"/>
        </w:rPr>
      </w:pPr>
      <w:r w:rsidRPr="00AD081E">
        <w:rPr>
          <w:rFonts w:eastAsia="Calibri"/>
          <w:b/>
        </w:rPr>
        <w:t>Process DDO Template</w:t>
      </w:r>
      <w:r w:rsidRPr="00AD081E">
        <w:rPr>
          <w:rFonts w:eastAsia="Calibri"/>
          <w:b/>
        </w:rPr>
        <w:br/>
      </w:r>
      <w:r w:rsidRPr="00AD081E">
        <w:rPr>
          <w:rFonts w:eastAsia="Calibri"/>
        </w:rPr>
        <w:t xml:space="preserve">When the </w:t>
      </w:r>
      <w:r w:rsidRPr="00AD081E">
        <w:rPr>
          <w:rFonts w:eastAsia="Calibri"/>
          <w:b/>
        </w:rPr>
        <w:t>Approve</w:t>
      </w:r>
      <w:r w:rsidRPr="00AD081E">
        <w:rPr>
          <w:rFonts w:eastAsia="Calibri"/>
        </w:rPr>
        <w:t xml:space="preserve"> button is enabled, click on it.</w:t>
      </w:r>
    </w:p>
    <w:p w14:paraId="2A60F873" w14:textId="77777777" w:rsidR="00AD081E" w:rsidRPr="00AD081E" w:rsidRDefault="00AD081E" w:rsidP="00AD081E">
      <w:pPr>
        <w:rPr>
          <w:rFonts w:eastAsia="Calibri"/>
        </w:rPr>
      </w:pPr>
      <w:r w:rsidRPr="00AD081E">
        <w:rPr>
          <w:rFonts w:eastAsia="Calibri"/>
          <w:b/>
        </w:rPr>
        <w:t>Confirmation</w:t>
      </w:r>
      <w:r w:rsidRPr="00AD081E">
        <w:rPr>
          <w:rFonts w:eastAsia="Calibri"/>
          <w:b/>
        </w:rPr>
        <w:br/>
      </w:r>
      <w:r w:rsidRPr="00AD081E">
        <w:rPr>
          <w:rFonts w:eastAsia="Calibri"/>
        </w:rPr>
        <w:t>Close the dialog.</w:t>
      </w:r>
    </w:p>
    <w:p w14:paraId="65280DB2" w14:textId="77777777" w:rsidR="00AD081E" w:rsidRPr="00AD081E" w:rsidRDefault="00AD081E" w:rsidP="00AD081E">
      <w:pPr>
        <w:rPr>
          <w:rFonts w:eastAsia="Calibri"/>
        </w:rPr>
      </w:pPr>
      <w:r w:rsidRPr="00AD081E">
        <w:rPr>
          <w:rFonts w:eastAsia="Calibri"/>
          <w:b/>
        </w:rPr>
        <w:t>DDO Template</w:t>
      </w:r>
      <w:r w:rsidRPr="00AD081E">
        <w:rPr>
          <w:rFonts w:eastAsia="Calibri"/>
          <w:b/>
        </w:rPr>
        <w:br/>
      </w:r>
      <w:r w:rsidRPr="00AD081E">
        <w:rPr>
          <w:rFonts w:eastAsia="Calibri"/>
        </w:rPr>
        <w:t>Close the dialog. You will be asked whether to save changes; either answer is fine.</w:t>
      </w:r>
    </w:p>
    <w:p w14:paraId="4CA24F2A" w14:textId="77777777" w:rsidR="00AD081E" w:rsidRPr="00AD081E" w:rsidRDefault="00AD081E" w:rsidP="00AD081E">
      <w:pPr>
        <w:rPr>
          <w:rFonts w:eastAsia="Calibri"/>
        </w:rPr>
      </w:pPr>
      <w:r w:rsidRPr="00AD081E">
        <w:rPr>
          <w:rFonts w:eastAsia="Calibri"/>
          <w:b/>
        </w:rPr>
        <w:t>Strike Execution</w:t>
      </w:r>
      <w:r w:rsidRPr="00AD081E">
        <w:rPr>
          <w:rFonts w:eastAsia="Calibri"/>
          <w:b/>
        </w:rPr>
        <w:br/>
      </w:r>
      <w:r w:rsidRPr="00AD081E">
        <w:rPr>
          <w:rFonts w:eastAsia="Calibri"/>
        </w:rPr>
        <w:t xml:space="preserve">Select the new rehearsal copy, right-click and choose </w:t>
      </w:r>
      <w:r w:rsidRPr="00AD081E">
        <w:rPr>
          <w:rFonts w:eastAsia="Calibri"/>
          <w:b/>
        </w:rPr>
        <w:t>Rehearse</w:t>
      </w:r>
      <w:r w:rsidRPr="00AD081E">
        <w:rPr>
          <w:b/>
        </w:rPr>
        <w:t xml:space="preserve"> </w:t>
      </w:r>
      <w:r w:rsidRPr="00AD081E">
        <w:rPr>
          <w:b/>
        </w:rPr>
        <w:sym w:font="Wingdings" w:char="F0E0"/>
      </w:r>
      <w:r w:rsidRPr="00AD081E">
        <w:rPr>
          <w:b/>
        </w:rPr>
        <w:t xml:space="preserve"> </w:t>
      </w:r>
      <w:r w:rsidRPr="00AD081E">
        <w:rPr>
          <w:rFonts w:eastAsia="Calibri"/>
          <w:b/>
        </w:rPr>
        <w:t>With SMD</w:t>
      </w:r>
      <w:r w:rsidRPr="00AD081E">
        <w:rPr>
          <w:rFonts w:eastAsia="Calibri"/>
        </w:rPr>
        <w:t xml:space="preserve"> from the context menu. Wait for the SMD and the TSRT Scenario Director to be displayed.</w:t>
      </w:r>
    </w:p>
    <w:p w14:paraId="09C3CE82" w14:textId="681BB886" w:rsidR="00AD081E" w:rsidRPr="00AD081E" w:rsidRDefault="00AD081E" w:rsidP="00AD081E">
      <w:pPr>
        <w:rPr>
          <w:rFonts w:eastAsia="Calibri"/>
        </w:rPr>
      </w:pPr>
      <w:r w:rsidRPr="00AD081E">
        <w:rPr>
          <w:rFonts w:eastAsia="Calibri"/>
          <w:b/>
        </w:rPr>
        <w:t xml:space="preserve">TSRT Scenario Director – </w:t>
      </w:r>
      <w:r w:rsidRPr="00AD081E">
        <w:rPr>
          <w:rFonts w:eastAsia="Calibri"/>
          <w:b/>
          <w:i/>
        </w:rPr>
        <w:t xml:space="preserve">Execution Folder </w:t>
      </w:r>
      <w:r w:rsidR="00154CAE">
        <w:rPr>
          <w:rFonts w:eastAsia="Calibri"/>
          <w:b/>
          <w:i/>
        </w:rPr>
        <w:t>ID</w:t>
      </w:r>
      <w:r w:rsidR="00154CAE" w:rsidRPr="00AD081E">
        <w:rPr>
          <w:rFonts w:eastAsia="Calibri"/>
          <w:b/>
        </w:rPr>
        <w:t xml:space="preserve"> </w:t>
      </w:r>
      <w:r w:rsidRPr="00AD081E">
        <w:rPr>
          <w:rFonts w:eastAsia="Calibri"/>
          <w:b/>
        </w:rPr>
        <w:t xml:space="preserve">– </w:t>
      </w:r>
      <w:r w:rsidRPr="00AD081E">
        <w:rPr>
          <w:rFonts w:eastAsia="Calibri"/>
          <w:b/>
          <w:i/>
        </w:rPr>
        <w:t>Execution Folder Name</w:t>
      </w:r>
      <w:r w:rsidRPr="00AD081E">
        <w:rPr>
          <w:rFonts w:eastAsia="Calibri"/>
          <w:b/>
        </w:rPr>
        <w:br/>
      </w:r>
      <w:r w:rsidRPr="00AD081E">
        <w:rPr>
          <w:rFonts w:eastAsia="Calibri"/>
        </w:rPr>
        <w:t xml:space="preserve">In the Scenario Director, leave the run rate at 1 and click on the </w:t>
      </w:r>
      <w:r w:rsidRPr="00AD081E">
        <w:rPr>
          <w:rFonts w:eastAsia="Calibri"/>
          <w:b/>
        </w:rPr>
        <w:t>Run</w:t>
      </w:r>
      <w:r w:rsidRPr="00AD081E">
        <w:rPr>
          <w:rFonts w:eastAsia="Calibri"/>
        </w:rPr>
        <w:t xml:space="preserve"> button.</w:t>
      </w:r>
    </w:p>
    <w:p w14:paraId="37D6194F" w14:textId="5A539C75" w:rsidR="00AD081E" w:rsidRPr="00AD081E" w:rsidRDefault="00AD081E" w:rsidP="00AD081E">
      <w:pPr>
        <w:rPr>
          <w:rFonts w:eastAsia="Calibri"/>
        </w:rPr>
      </w:pP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Rehearse (</w:t>
      </w:r>
      <w:r w:rsidRPr="00AD081E">
        <w:rPr>
          <w:rFonts w:eastAsia="Calibri"/>
          <w:b/>
          <w:i/>
        </w:rPr>
        <w:t>Folder Type</w:t>
      </w:r>
      <w:r w:rsidRPr="00AD081E">
        <w:rPr>
          <w:rFonts w:eastAsia="Calibri"/>
          <w:b/>
        </w:rPr>
        <w:t xml:space="preserve">) – </w:t>
      </w:r>
      <w:r w:rsidRPr="00AD081E">
        <w:rPr>
          <w:rFonts w:eastAsia="Calibri"/>
          <w:b/>
          <w:i/>
        </w:rPr>
        <w:t>Execution Folder Name</w:t>
      </w:r>
      <w:r w:rsidRPr="00AD081E">
        <w:rPr>
          <w:rFonts w:eastAsia="Calibri"/>
          <w:b/>
        </w:rPr>
        <w:br/>
      </w:r>
      <w:r w:rsidRPr="00AD081E">
        <w:rPr>
          <w:rFonts w:eastAsia="Calibri"/>
        </w:rPr>
        <w:t xml:space="preserve">On the SMD, click on the </w:t>
      </w:r>
      <w:r w:rsidRPr="00AD081E">
        <w:rPr>
          <w:rFonts w:eastAsia="Calibri"/>
          <w:b/>
          <w:i/>
        </w:rPr>
        <w:t>TSN Ping</w:t>
      </w:r>
      <w:r w:rsidRPr="00AD081E">
        <w:rPr>
          <w:rFonts w:eastAsia="Calibri"/>
        </w:rPr>
        <w:t xml:space="preserve"> tab.</w:t>
      </w:r>
    </w:p>
    <w:p w14:paraId="2B95BB80" w14:textId="474534B3" w:rsidR="00AD081E" w:rsidRPr="00AD081E" w:rsidRDefault="00AD081E" w:rsidP="00AD081E">
      <w:pPr>
        <w:rPr>
          <w:rFonts w:eastAsia="Calibri"/>
        </w:rPr>
      </w:pPr>
      <w:r w:rsidRPr="00AD081E">
        <w:rPr>
          <w:rFonts w:eastAsia="Calibri"/>
          <w:b/>
        </w:rPr>
        <w:t>TSN Ping</w:t>
      </w:r>
      <w:r w:rsidRPr="00AD081E">
        <w:rPr>
          <w:rFonts w:eastAsia="Calibri"/>
        </w:rPr>
        <w:br/>
        <w:t>Choose one of the simulated TTWCS nodes in the list. Right-</w:t>
      </w:r>
      <w:r w:rsidR="0049592C" w:rsidRPr="00AD081E">
        <w:rPr>
          <w:rFonts w:eastAsia="Calibri"/>
        </w:rPr>
        <w:t>click and</w:t>
      </w:r>
      <w:r w:rsidRPr="00AD081E">
        <w:rPr>
          <w:rFonts w:eastAsia="Calibri"/>
        </w:rPr>
        <w:t xml:space="preserve"> choose </w:t>
      </w:r>
      <w:r w:rsidRPr="00AD081E">
        <w:rPr>
          <w:rFonts w:eastAsia="Calibri"/>
          <w:b/>
        </w:rPr>
        <w:t>Ping</w:t>
      </w:r>
      <w:r w:rsidRPr="00AD081E">
        <w:rPr>
          <w:rFonts w:eastAsia="Calibri"/>
        </w:rPr>
        <w:t xml:space="preserve"> from the context menu. A yellow dot will appear beside the TTWCS node in the list. If TSN communications are working, the dot will eventually turn green. A mixed red and green dot for a strike that involves an ACA-capable platform indicates a partially successful and partially unsuccessful ping (see </w:t>
      </w:r>
      <w:hyperlink w:anchor="_How_to_Send" w:history="1">
        <w:r w:rsidRPr="00AD081E">
          <w:rPr>
            <w:rFonts w:eastAsia="Calibri"/>
            <w:color w:val="0000FF"/>
            <w:u w:val="single"/>
          </w:rPr>
          <w:t xml:space="preserve">Section </w:t>
        </w:r>
        <w:r w:rsidR="004231CC">
          <w:rPr>
            <w:rFonts w:eastAsia="Calibri"/>
            <w:color w:val="0000FF"/>
            <w:u w:val="single"/>
          </w:rPr>
          <w:t>5.35</w:t>
        </w:r>
        <w:r w:rsidRPr="00AD081E">
          <w:rPr>
            <w:rFonts w:eastAsia="Calibri"/>
            <w:color w:val="0000FF"/>
            <w:u w:val="single"/>
          </w:rPr>
          <w:t>.3.1.10.1</w:t>
        </w:r>
      </w:hyperlink>
      <w:r w:rsidRPr="00AD081E">
        <w:rPr>
          <w:rFonts w:eastAsia="Calibri"/>
        </w:rPr>
        <w:t>). Depending on the network characteristics, it could take a while to send the request and get a response.</w:t>
      </w:r>
    </w:p>
    <w:p w14:paraId="2A46E223" w14:textId="5A9332A3" w:rsidR="00AD081E" w:rsidRPr="00AD081E" w:rsidRDefault="00AD081E" w:rsidP="00AD081E">
      <w:pPr>
        <w:rPr>
          <w:rFonts w:eastAsia="Calibri"/>
        </w:rPr>
      </w:pPr>
      <w:r w:rsidRPr="00AD081E">
        <w:rPr>
          <w:rFonts w:eastAsia="Calibri"/>
        </w:rPr>
        <w:t>For each live node, choose that node in the list. Right-</w:t>
      </w:r>
      <w:r w:rsidR="0049592C" w:rsidRPr="00AD081E">
        <w:rPr>
          <w:rFonts w:eastAsia="Calibri"/>
        </w:rPr>
        <w:t>click and</w:t>
      </w:r>
      <w:r w:rsidRPr="00AD081E">
        <w:rPr>
          <w:rFonts w:eastAsia="Calibri"/>
        </w:rPr>
        <w:t xml:space="preserve"> choose </w:t>
      </w:r>
      <w:r w:rsidRPr="00AD081E">
        <w:rPr>
          <w:rFonts w:eastAsia="Calibri"/>
          <w:b/>
        </w:rPr>
        <w:t>Ping</w:t>
      </w:r>
      <w:r w:rsidRPr="00AD081E">
        <w:rPr>
          <w:rFonts w:eastAsia="Calibri"/>
        </w:rPr>
        <w:t xml:space="preserve"> from the context menu. Observe whether the yellow dot that appears eventually turns green. </w:t>
      </w:r>
    </w:p>
    <w:p w14:paraId="7C5E1AE0" w14:textId="77777777" w:rsidR="00AD081E" w:rsidRPr="00AD081E" w:rsidRDefault="00AD081E" w:rsidP="00AD081E">
      <w:pPr>
        <w:rPr>
          <w:rFonts w:eastAsia="Calibri"/>
        </w:rPr>
      </w:pPr>
      <w:r w:rsidRPr="00AD081E">
        <w:rPr>
          <w:rFonts w:eastAsia="Calibri"/>
        </w:rPr>
        <w:lastRenderedPageBreak/>
        <w:t>If any dot turns red instead, there is likely something wrong with the TSNIF interface you are sending to, the routes between the interfaces, or the TDM Distribution Agent configuration on the machine you are sending to. If all of the dots turn red, there is likely something wrong with the TSNIF interface or TDM Distribution Agent configuration for the TED (or MDS) you are testing from, or possibly with the LINT or TSNIF server on the TCIP.</w:t>
      </w:r>
    </w:p>
    <w:p w14:paraId="4139EC20" w14:textId="5C0A8A87" w:rsidR="00AD081E" w:rsidRPr="00AD081E" w:rsidRDefault="00AD081E" w:rsidP="00AD081E">
      <w:pPr>
        <w:rPr>
          <w:rFonts w:eastAsia="Calibri"/>
        </w:rPr>
      </w:pPr>
      <w:r w:rsidRPr="00AD081E">
        <w:rPr>
          <w:rFonts w:eastAsia="Calibri"/>
          <w:b/>
        </w:rPr>
        <w:t xml:space="preserve">Complete the test sequence by sending pings to, and receiving replies from, each pair of live nodes. </w:t>
      </w:r>
      <w:r w:rsidRPr="00AD081E">
        <w:rPr>
          <w:rFonts w:eastAsia="Calibri"/>
        </w:rPr>
        <w:t xml:space="preserve">This will require joining the rehearsal from each live node’s </w:t>
      </w:r>
      <w:r w:rsidR="0049592C" w:rsidRPr="00AD081E">
        <w:rPr>
          <w:rFonts w:eastAsia="Calibri"/>
        </w:rPr>
        <w:t>MDS or</w:t>
      </w:r>
      <w:r w:rsidRPr="00AD081E">
        <w:rPr>
          <w:rFonts w:eastAsia="Calibri"/>
        </w:rPr>
        <w:t xml:space="preserve"> sending pings from each live TTWCS.</w:t>
      </w:r>
    </w:p>
    <w:p w14:paraId="66245F10" w14:textId="77777777" w:rsidR="00AD081E" w:rsidRPr="00AD081E" w:rsidRDefault="00AD081E" w:rsidP="00AD081E">
      <w:pPr>
        <w:keepNext/>
        <w:rPr>
          <w:rFonts w:eastAsia="Calibri"/>
          <w:b/>
        </w:rPr>
      </w:pPr>
      <w:r w:rsidRPr="00AD081E">
        <w:rPr>
          <w:rFonts w:eastAsia="Calibri"/>
          <w:b/>
        </w:rPr>
        <w:t>On each MDS:</w:t>
      </w:r>
    </w:p>
    <w:p w14:paraId="1C5FE80B" w14:textId="009E01DD" w:rsidR="00AD081E" w:rsidRPr="00AD081E" w:rsidRDefault="00AD081E" w:rsidP="00AD081E">
      <w:pPr>
        <w:rPr>
          <w:rFonts w:eastAsia="Calibri"/>
        </w:rPr>
      </w:pP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Rehearse (</w:t>
      </w:r>
      <w:r w:rsidRPr="00AD081E">
        <w:rPr>
          <w:rFonts w:eastAsia="Calibri"/>
          <w:b/>
          <w:i/>
        </w:rPr>
        <w:t>Folder Type</w:t>
      </w:r>
      <w:r w:rsidRPr="00AD081E">
        <w:rPr>
          <w:rFonts w:eastAsia="Calibri"/>
          <w:b/>
        </w:rPr>
        <w:t xml:space="preserve">) – </w:t>
      </w:r>
      <w:r w:rsidRPr="00AD081E">
        <w:rPr>
          <w:rFonts w:eastAsia="Calibri"/>
          <w:b/>
          <w:i/>
        </w:rPr>
        <w:t>Execution Folder Name</w:t>
      </w:r>
      <w:r w:rsidRPr="00AD081E">
        <w:rPr>
          <w:rFonts w:eastAsia="Calibri"/>
          <w:b/>
        </w:rPr>
        <w:br/>
      </w:r>
      <w:r w:rsidRPr="00AD081E">
        <w:rPr>
          <w:rFonts w:eastAsia="Calibri"/>
        </w:rPr>
        <w:t xml:space="preserve">Close the SMD, answering </w:t>
      </w:r>
      <w:r w:rsidRPr="00AD081E">
        <w:rPr>
          <w:rFonts w:eastAsia="Calibri"/>
          <w:b/>
        </w:rPr>
        <w:t>Yes</w:t>
      </w:r>
      <w:r w:rsidRPr="00AD081E">
        <w:rPr>
          <w:rFonts w:eastAsia="Calibri"/>
        </w:rPr>
        <w:t xml:space="preserve"> to stop TED strike execution.</w:t>
      </w:r>
    </w:p>
    <w:p w14:paraId="2655B1CF" w14:textId="77777777" w:rsidR="00AD081E" w:rsidRPr="00AD081E" w:rsidRDefault="00AD081E" w:rsidP="00AD081E">
      <w:pPr>
        <w:rPr>
          <w:rFonts w:eastAsia="Calibri"/>
          <w:b/>
        </w:rPr>
      </w:pPr>
      <w:r w:rsidRPr="00AD081E">
        <w:rPr>
          <w:rFonts w:eastAsia="Calibri"/>
          <w:b/>
        </w:rPr>
        <w:t>Back on the MDS connected to the TSRT’s TED:</w:t>
      </w:r>
    </w:p>
    <w:p w14:paraId="40931470" w14:textId="269B834E" w:rsidR="00AD081E" w:rsidRPr="00AD081E" w:rsidRDefault="00AD081E" w:rsidP="00AD081E">
      <w:pPr>
        <w:rPr>
          <w:rFonts w:eastAsia="Calibri"/>
        </w:rPr>
      </w:pPr>
      <w:r w:rsidRPr="00AD081E">
        <w:rPr>
          <w:rFonts w:eastAsia="Calibri"/>
          <w:b/>
        </w:rPr>
        <w:t xml:space="preserve">TSRT Scenario Director – </w:t>
      </w: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xml:space="preserve">– </w:t>
      </w:r>
      <w:r w:rsidRPr="00AD081E">
        <w:rPr>
          <w:rFonts w:eastAsia="Calibri"/>
          <w:b/>
          <w:i/>
        </w:rPr>
        <w:t>Execution Folder Name</w:t>
      </w:r>
      <w:r w:rsidRPr="00AD081E">
        <w:rPr>
          <w:rFonts w:eastAsia="Calibri"/>
          <w:b/>
        </w:rPr>
        <w:br/>
      </w:r>
      <w:r w:rsidRPr="00AD081E">
        <w:rPr>
          <w:rFonts w:eastAsia="Calibri"/>
        </w:rPr>
        <w:t xml:space="preserve">Close the Scenario Director, answering </w:t>
      </w:r>
      <w:r w:rsidRPr="00AD081E">
        <w:rPr>
          <w:rFonts w:eastAsia="Calibri"/>
          <w:b/>
        </w:rPr>
        <w:t>Yes</w:t>
      </w:r>
      <w:r w:rsidRPr="00AD081E">
        <w:rPr>
          <w:rFonts w:eastAsia="Calibri"/>
        </w:rPr>
        <w:t xml:space="preserve"> to the unload question.</w:t>
      </w:r>
    </w:p>
    <w:p w14:paraId="6583D60A" w14:textId="77777777" w:rsidR="00AD081E" w:rsidRPr="00AD081E" w:rsidRDefault="00AD081E" w:rsidP="0026723B">
      <w:pPr>
        <w:pStyle w:val="Appendix4"/>
        <w:ind w:left="360"/>
      </w:pPr>
      <w:r w:rsidRPr="00AD081E">
        <w:t>Post-Test Modifications</w:t>
      </w:r>
    </w:p>
    <w:p w14:paraId="0DB7372B" w14:textId="77777777" w:rsidR="00AD081E" w:rsidRPr="00AD081E" w:rsidRDefault="00AD081E" w:rsidP="0026723B">
      <w:pPr>
        <w:pStyle w:val="Appendix5"/>
      </w:pPr>
      <w:r w:rsidRPr="00AD081E">
        <w:t>Configure HTTPS (Only if Necessary)</w:t>
      </w:r>
    </w:p>
    <w:p w14:paraId="48CC37EC" w14:textId="77777777" w:rsidR="00AD081E" w:rsidRPr="00AD081E" w:rsidRDefault="00AD081E" w:rsidP="00AD081E">
      <w:pPr>
        <w:rPr>
          <w:rFonts w:eastAsia="Calibri"/>
        </w:rPr>
      </w:pPr>
      <w:r w:rsidRPr="00AD081E">
        <w:rPr>
          <w:rFonts w:eastAsia="Calibri"/>
        </w:rPr>
        <w:t>Since the TSRT’s TED can’t talk to itself using LINT, it is configured here to talk to itself using HTTPS.</w:t>
      </w:r>
    </w:p>
    <w:p w14:paraId="5D8A47A0" w14:textId="1B714BCA" w:rsidR="00AD081E" w:rsidRPr="00AD081E" w:rsidRDefault="00AD081E" w:rsidP="00AD081E">
      <w:pPr>
        <w:rPr>
          <w:rFonts w:eastAsia="Calibri"/>
        </w:rPr>
      </w:pPr>
      <w:r w:rsidRPr="00AD081E">
        <w:rPr>
          <w:rFonts w:eastAsia="Calibri"/>
        </w:rPr>
        <w:t xml:space="preserve">This step should only be done after distribution of platform information, so that all other live nodes are configured to talk to the TSRT’s TED using OTH through </w:t>
      </w:r>
      <w:r w:rsidR="0049592C" w:rsidRPr="00AD081E">
        <w:rPr>
          <w:rFonts w:eastAsia="Calibri"/>
        </w:rPr>
        <w:t>LINT and</w:t>
      </w:r>
      <w:r w:rsidRPr="00AD081E">
        <w:rPr>
          <w:rFonts w:eastAsia="Calibri"/>
        </w:rPr>
        <w:t xml:space="preserve"> is only necessary if the TSRT’s TED will also be connected to one or more MDSs running an SMD during the rehearsal.</w:t>
      </w:r>
    </w:p>
    <w:p w14:paraId="1CEABEBC"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Nodes</w:t>
      </w:r>
      <w:r w:rsidRPr="00AD081E">
        <w:rPr>
          <w:rFonts w:eastAsia="Calibri"/>
        </w:rPr>
        <w:t xml:space="preserve"> from the menu.</w:t>
      </w:r>
    </w:p>
    <w:p w14:paraId="74A40491" w14:textId="77777777" w:rsidR="00AD081E" w:rsidRPr="00AD081E" w:rsidRDefault="00AD081E" w:rsidP="00AD081E">
      <w:pPr>
        <w:rPr>
          <w:rFonts w:eastAsia="Calibri"/>
        </w:rPr>
      </w:pPr>
      <w:r w:rsidRPr="00AD081E">
        <w:rPr>
          <w:rFonts w:eastAsia="Calibri"/>
          <w:b/>
        </w:rPr>
        <w:t>Nodes</w:t>
      </w:r>
      <w:r w:rsidRPr="00AD081E">
        <w:rPr>
          <w:rFonts w:eastAsia="Calibri"/>
          <w:b/>
        </w:rPr>
        <w:br/>
      </w:r>
      <w:r w:rsidRPr="00AD081E">
        <w:rPr>
          <w:rFonts w:eastAsia="Calibri"/>
        </w:rPr>
        <w:t xml:space="preserve">Select the TSRT’s TED node in the list. Double-click on it, or right-click and choose </w:t>
      </w:r>
      <w:r w:rsidRPr="00AD081E">
        <w:rPr>
          <w:rFonts w:eastAsia="Calibri"/>
          <w:b/>
        </w:rPr>
        <w:t>Display</w:t>
      </w:r>
      <w:r w:rsidRPr="00AD081E">
        <w:rPr>
          <w:b/>
        </w:rPr>
        <w:t xml:space="preserve"> </w:t>
      </w:r>
      <w:r w:rsidRPr="00AD081E">
        <w:rPr>
          <w:b/>
        </w:rPr>
        <w:sym w:font="Wingdings" w:char="F0E0"/>
      </w:r>
      <w:r w:rsidRPr="00AD081E">
        <w:rPr>
          <w:b/>
        </w:rPr>
        <w:t xml:space="preserve"> </w:t>
      </w:r>
      <w:r w:rsidRPr="00AD081E">
        <w:rPr>
          <w:rFonts w:eastAsia="Calibri"/>
          <w:b/>
        </w:rPr>
        <w:t>Textually</w:t>
      </w:r>
      <w:r w:rsidRPr="00AD081E">
        <w:rPr>
          <w:rFonts w:eastAsia="Calibri"/>
        </w:rPr>
        <w:t xml:space="preserve"> from the context menu.</w:t>
      </w:r>
    </w:p>
    <w:p w14:paraId="53501973" w14:textId="77777777" w:rsidR="00AD081E" w:rsidRPr="00AD081E" w:rsidRDefault="00AD081E" w:rsidP="00AD081E">
      <w:pPr>
        <w:keepNext/>
        <w:rPr>
          <w:rFonts w:eastAsia="Calibri"/>
          <w:b/>
        </w:rPr>
      </w:pPr>
      <w:r w:rsidRPr="00AD081E">
        <w:rPr>
          <w:rFonts w:eastAsia="Calibri"/>
          <w:b/>
        </w:rPr>
        <w:lastRenderedPageBreak/>
        <w:t>Node Configuration for TSRT’s TED Node (Uses HTTPS)</w:t>
      </w:r>
    </w:p>
    <w:p w14:paraId="42ED2479" w14:textId="77777777" w:rsidR="00AD081E" w:rsidRPr="00AD081E" w:rsidRDefault="00AD081E" w:rsidP="00AD081E">
      <w:pPr>
        <w:tabs>
          <w:tab w:val="left" w:pos="720"/>
        </w:tabs>
        <w:jc w:val="center"/>
      </w:pPr>
      <w:r w:rsidRPr="00AD081E">
        <w:rPr>
          <w:noProof/>
        </w:rPr>
        <w:drawing>
          <wp:inline distT="0" distB="0" distL="0" distR="0" wp14:anchorId="660D3F43" wp14:editId="19006A66">
            <wp:extent cx="3657600" cy="2551176"/>
            <wp:effectExtent l="0" t="0" r="0" b="1905"/>
            <wp:docPr id="709" name="Picture 70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Picture 709" descr="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2551176"/>
                    </a:xfrm>
                    <a:prstGeom prst="rect">
                      <a:avLst/>
                    </a:prstGeom>
                  </pic:spPr>
                </pic:pic>
              </a:graphicData>
            </a:graphic>
          </wp:inline>
        </w:drawing>
      </w:r>
    </w:p>
    <w:p w14:paraId="1E9D0BAD" w14:textId="77777777" w:rsidR="00AD081E" w:rsidRPr="00AD081E" w:rsidRDefault="00AD081E" w:rsidP="00AD081E">
      <w:pPr>
        <w:rPr>
          <w:rFonts w:eastAsia="Calibri"/>
        </w:rPr>
      </w:pPr>
      <w:r w:rsidRPr="00AD081E">
        <w:rPr>
          <w:rFonts w:eastAsia="Calibri"/>
          <w:b/>
        </w:rPr>
        <w:t xml:space="preserve">Node: </w:t>
      </w:r>
      <w:r w:rsidRPr="00AD081E">
        <w:rPr>
          <w:rFonts w:eastAsia="Calibri"/>
          <w:b/>
          <w:i/>
        </w:rPr>
        <w:t>Node Name</w:t>
      </w:r>
      <w:r w:rsidRPr="00AD081E">
        <w:rPr>
          <w:rFonts w:eastAsia="Calibri"/>
          <w:b/>
        </w:rPr>
        <w:br/>
      </w:r>
      <w:r w:rsidRPr="00AD081E">
        <w:rPr>
          <w:rFonts w:eastAsia="Calibri"/>
        </w:rPr>
        <w:t xml:space="preserve">On the </w:t>
      </w:r>
      <w:r w:rsidRPr="00AD081E">
        <w:rPr>
          <w:rFonts w:eastAsia="Calibri"/>
          <w:b/>
          <w:i/>
        </w:rPr>
        <w:t>Capabilities</w:t>
      </w:r>
      <w:r w:rsidRPr="00AD081E">
        <w:rPr>
          <w:rFonts w:eastAsia="Calibri"/>
        </w:rPr>
        <w:t xml:space="preserve"> tab, in the </w:t>
      </w:r>
      <w:r w:rsidRPr="00AD081E">
        <w:rPr>
          <w:rFonts w:eastAsia="Calibri"/>
          <w:b/>
        </w:rPr>
        <w:t>Communication Capabilities</w:t>
      </w:r>
      <w:r w:rsidRPr="00AD081E">
        <w:rPr>
          <w:rFonts w:eastAsia="Calibri"/>
        </w:rPr>
        <w:t xml:space="preserve"> section, check the box labeled </w:t>
      </w:r>
      <w:r w:rsidRPr="00AD081E">
        <w:rPr>
          <w:rFonts w:eastAsia="Calibri"/>
          <w:b/>
        </w:rPr>
        <w:t>HTTPS</w:t>
      </w:r>
      <w:r w:rsidRPr="00AD081E">
        <w:rPr>
          <w:rFonts w:eastAsia="Calibri"/>
        </w:rPr>
        <w:t xml:space="preserve">. From the drop down labeled </w:t>
      </w:r>
      <w:r w:rsidRPr="00AD081E">
        <w:rPr>
          <w:rFonts w:eastAsia="Calibri"/>
          <w:b/>
        </w:rPr>
        <w:t>Preferred Receive Method</w:t>
      </w:r>
      <w:r w:rsidRPr="00AD081E">
        <w:rPr>
          <w:rFonts w:eastAsia="Calibri"/>
        </w:rPr>
        <w:t xml:space="preserve">, choose </w:t>
      </w:r>
      <w:r w:rsidRPr="00AD081E">
        <w:rPr>
          <w:rFonts w:eastAsia="Calibri"/>
          <w:b/>
        </w:rPr>
        <w:t>HTTPS</w:t>
      </w:r>
      <w:r w:rsidRPr="00AD081E">
        <w:rPr>
          <w:rFonts w:eastAsia="Calibri"/>
        </w:rPr>
        <w:t xml:space="preserve">. In the field labeled </w:t>
      </w:r>
      <w:r w:rsidRPr="00AD081E">
        <w:rPr>
          <w:rFonts w:eastAsia="Calibri"/>
          <w:b/>
        </w:rPr>
        <w:t>IP Address</w:t>
      </w:r>
      <w:r w:rsidRPr="00AD081E">
        <w:rPr>
          <w:rFonts w:eastAsia="Calibri"/>
        </w:rPr>
        <w:t>, enter the TED machine’s IP address. Make sure that the TED and MDS version numbers are set to the correct value (e.g., 7.0).</w:t>
      </w:r>
    </w:p>
    <w:p w14:paraId="09D5BDE6" w14:textId="77777777" w:rsidR="00AD081E" w:rsidRPr="00AD081E" w:rsidRDefault="00AD081E" w:rsidP="00AD081E">
      <w:pPr>
        <w:rPr>
          <w:rFonts w:eastAsia="Calibri"/>
        </w:rPr>
      </w:pPr>
      <w:r w:rsidRPr="00AD081E">
        <w:rPr>
          <w:rFonts w:eastAsia="Calibri"/>
        </w:rPr>
        <w:t xml:space="preserve">Click the </w:t>
      </w:r>
      <w:r w:rsidRPr="00AD081E">
        <w:rPr>
          <w:rFonts w:eastAsia="Calibri"/>
          <w:b/>
        </w:rPr>
        <w:t>Save</w:t>
      </w:r>
      <w:r w:rsidRPr="00AD081E">
        <w:rPr>
          <w:rFonts w:eastAsia="Calibri"/>
        </w:rPr>
        <w:t xml:space="preserve"> icon on the toolbar, or select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w:t>
      </w:r>
      <w:r w:rsidRPr="00AD081E">
        <w:rPr>
          <w:rFonts w:eastAsia="Calibri"/>
        </w:rPr>
        <w:t xml:space="preserve"> from the menu, to save your changes. Close the node dialog.</w:t>
      </w:r>
    </w:p>
    <w:p w14:paraId="67E2D00F" w14:textId="77777777" w:rsidR="00AD081E" w:rsidRPr="00AD081E" w:rsidRDefault="00AD081E" w:rsidP="0026723B">
      <w:pPr>
        <w:pStyle w:val="Appendix5"/>
      </w:pPr>
      <w:r w:rsidRPr="00AD081E">
        <w:t>Test HTTPS Communications (Only if HTTPS was Configured)</w:t>
      </w:r>
    </w:p>
    <w:p w14:paraId="0354AF70" w14:textId="77777777" w:rsidR="00AD081E" w:rsidRPr="00AD081E" w:rsidRDefault="00AD081E" w:rsidP="00AD081E">
      <w:pPr>
        <w:rPr>
          <w:rFonts w:eastAsia="Calibri"/>
        </w:rPr>
      </w:pPr>
      <w:r w:rsidRPr="00AD081E">
        <w:rPr>
          <w:rFonts w:eastAsia="Calibri"/>
        </w:rPr>
        <w:t>Send a DDO to your own node to test the HTTPS path that will be used by DDOs during rehearsal.</w:t>
      </w:r>
    </w:p>
    <w:p w14:paraId="62DB02F3"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DDO Templates</w:t>
      </w:r>
      <w:r w:rsidRPr="00AD081E">
        <w:rPr>
          <w:rFonts w:eastAsia="Calibri"/>
        </w:rPr>
        <w:t xml:space="preserve"> from the menu.</w:t>
      </w:r>
    </w:p>
    <w:p w14:paraId="070D0504" w14:textId="647549B1" w:rsidR="00AD081E" w:rsidRPr="00AD081E" w:rsidRDefault="00AD081E" w:rsidP="00AD081E">
      <w:pPr>
        <w:rPr>
          <w:rFonts w:eastAsia="Calibri"/>
        </w:rPr>
      </w:pPr>
      <w:r w:rsidRPr="00AD081E">
        <w:rPr>
          <w:rFonts w:eastAsia="Calibri"/>
          <w:b/>
        </w:rPr>
        <w:t>DDO Templates</w:t>
      </w:r>
      <w:r w:rsidRPr="00AD081E">
        <w:rPr>
          <w:rFonts w:eastAsia="Calibri"/>
          <w:b/>
        </w:rPr>
        <w:br/>
      </w:r>
      <w:r w:rsidRPr="00AD081E">
        <w:rPr>
          <w:rFonts w:eastAsia="Calibri"/>
        </w:rPr>
        <w:t xml:space="preserve">Click on the </w:t>
      </w:r>
      <w:r w:rsidRPr="00AD081E">
        <w:rPr>
          <w:rFonts w:eastAsia="Calibri"/>
          <w:b/>
        </w:rPr>
        <w:t>New</w:t>
      </w:r>
      <w:r w:rsidRPr="00AD081E">
        <w:rPr>
          <w:rFonts w:eastAsia="Calibri"/>
        </w:rPr>
        <w:t xml:space="preserve"> button on the </w:t>
      </w:r>
      <w:r w:rsidR="0049592C" w:rsidRPr="00AD081E">
        <w:rPr>
          <w:rFonts w:eastAsia="Calibri"/>
        </w:rPr>
        <w:t>toolbar or</w:t>
      </w:r>
      <w:r w:rsidRPr="00AD081E">
        <w:rPr>
          <w:rFonts w:eastAsia="Calibri"/>
        </w:rPr>
        <w:t xml:space="preserve">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New</w:t>
      </w:r>
      <w:r w:rsidRPr="00AD081E">
        <w:rPr>
          <w:rFonts w:eastAsia="Calibri"/>
        </w:rPr>
        <w:t xml:space="preserve"> from the menu.</w:t>
      </w:r>
    </w:p>
    <w:p w14:paraId="198621AE" w14:textId="77777777" w:rsidR="00AD081E" w:rsidRPr="00AD081E" w:rsidRDefault="00AD081E" w:rsidP="00AD081E">
      <w:pPr>
        <w:rPr>
          <w:rFonts w:eastAsia="Calibri"/>
        </w:rPr>
      </w:pPr>
      <w:r w:rsidRPr="00AD081E">
        <w:rPr>
          <w:rFonts w:eastAsia="Calibri"/>
          <w:b/>
        </w:rPr>
        <w:t>Drafting DDO</w:t>
      </w:r>
      <w:r w:rsidRPr="00AD081E">
        <w:rPr>
          <w:rFonts w:eastAsia="Calibri"/>
          <w:b/>
        </w:rPr>
        <w:br/>
      </w:r>
      <w:r w:rsidRPr="00AD081E">
        <w:rPr>
          <w:rFonts w:eastAsia="Calibri"/>
        </w:rPr>
        <w:t xml:space="preserve">Enter something recognizable in the </w:t>
      </w:r>
      <w:r w:rsidRPr="00AD081E">
        <w:rPr>
          <w:rFonts w:eastAsia="Calibri"/>
          <w:b/>
        </w:rPr>
        <w:t>Objective</w:t>
      </w:r>
      <w:r w:rsidRPr="00AD081E">
        <w:rPr>
          <w:rFonts w:eastAsia="Calibri"/>
        </w:rPr>
        <w:t xml:space="preserve"> field, such as </w:t>
      </w:r>
      <w:r w:rsidRPr="00AD081E">
        <w:rPr>
          <w:rFonts w:eastAsia="Calibri"/>
          <w:b/>
        </w:rPr>
        <w:t xml:space="preserve">Self-texting test </w:t>
      </w:r>
      <w:r w:rsidRPr="00AD081E">
        <w:rPr>
          <w:rFonts w:eastAsia="Calibri"/>
        </w:rPr>
        <w:t xml:space="preserve">(optional). Click on the </w:t>
      </w:r>
      <w:r w:rsidRPr="00AD081E">
        <w:rPr>
          <w:rFonts w:eastAsia="Calibri"/>
          <w:b/>
        </w:rPr>
        <w:t>To…</w:t>
      </w:r>
      <w:r w:rsidRPr="00AD081E">
        <w:rPr>
          <w:rFonts w:eastAsia="Calibri"/>
        </w:rPr>
        <w:t xml:space="preserve"> button, double-click your desired node from the Address Book, then click on the </w:t>
      </w:r>
      <w:r w:rsidRPr="00AD081E">
        <w:rPr>
          <w:rFonts w:eastAsia="Calibri"/>
          <w:b/>
        </w:rPr>
        <w:t>OK</w:t>
      </w:r>
      <w:r w:rsidRPr="00AD081E">
        <w:rPr>
          <w:rFonts w:eastAsia="Calibri"/>
        </w:rPr>
        <w:t xml:space="preserve"> button.</w:t>
      </w:r>
    </w:p>
    <w:p w14:paraId="49C6BEAB" w14:textId="77777777" w:rsidR="00AD081E" w:rsidRPr="00AD081E" w:rsidRDefault="00AD081E" w:rsidP="00AD081E">
      <w:pPr>
        <w:rPr>
          <w:rFonts w:eastAsia="Calibri"/>
          <w:b/>
        </w:rPr>
      </w:pPr>
      <w:r w:rsidRPr="00AD081E">
        <w:rPr>
          <w:rFonts w:eastAsia="Calibri"/>
        </w:rPr>
        <w:t xml:space="preserve">Add the appropriate data items to be transmitted from the </w:t>
      </w:r>
      <w:r w:rsidRPr="00AD081E">
        <w:rPr>
          <w:rFonts w:eastAsia="Calibri"/>
          <w:b/>
          <w:i/>
        </w:rPr>
        <w:t>Data</w:t>
      </w:r>
      <w:r w:rsidRPr="00AD081E">
        <w:rPr>
          <w:rFonts w:eastAsia="Calibri"/>
        </w:rPr>
        <w:t xml:space="preserve"> tab at the bottom of the window (i.e., Missions, DSMACs, TERCOMs, etc.). It is suggested to select small data items, such as an ACMS to test DDO communications. Right-click in the white area of the DDO Template and select </w:t>
      </w:r>
      <w:r w:rsidRPr="00AD081E">
        <w:rPr>
          <w:rFonts w:eastAsia="Calibri"/>
          <w:b/>
        </w:rPr>
        <w:t>Add…</w:t>
      </w:r>
      <w:r w:rsidRPr="00AD081E">
        <w:rPr>
          <w:rFonts w:eastAsia="Calibri"/>
        </w:rPr>
        <w:t xml:space="preserve">. A selection window specific to the tool that is selected is displayed. Select the desired data item(s) and click </w:t>
      </w:r>
      <w:r w:rsidRPr="00AD081E">
        <w:rPr>
          <w:rFonts w:eastAsia="Calibri"/>
          <w:b/>
        </w:rPr>
        <w:t>OK.</w:t>
      </w:r>
    </w:p>
    <w:p w14:paraId="688D7146" w14:textId="77777777" w:rsidR="00AD081E" w:rsidRPr="00AD081E" w:rsidRDefault="00AD081E" w:rsidP="00AD081E">
      <w:r w:rsidRPr="00AD081E">
        <w:rPr>
          <w:rFonts w:eastAsia="Calibri"/>
          <w:b/>
        </w:rPr>
        <w:t>Sending</w:t>
      </w:r>
      <w:r w:rsidRPr="00AD081E">
        <w:rPr>
          <w:rFonts w:eastAsia="Calibri"/>
          <w:b/>
        </w:rPr>
        <w:br/>
      </w:r>
      <w:r w:rsidRPr="00AD081E">
        <w:t xml:space="preserve">From the </w:t>
      </w:r>
      <w:r w:rsidRPr="00AD081E">
        <w:rPr>
          <w:b/>
        </w:rPr>
        <w:t>File</w:t>
      </w:r>
      <w:r w:rsidRPr="00AD081E">
        <w:t xml:space="preserve"> menu select </w:t>
      </w:r>
      <w:r w:rsidRPr="00AD081E">
        <w:rPr>
          <w:b/>
        </w:rPr>
        <w:t>Send</w:t>
      </w:r>
      <w:r w:rsidRPr="00AD081E">
        <w:t xml:space="preserve"> or click the </w:t>
      </w:r>
      <w:r w:rsidRPr="00AD081E">
        <w:rPr>
          <w:b/>
        </w:rPr>
        <w:t>Send</w:t>
      </w:r>
      <w:r w:rsidRPr="00AD081E">
        <w:t xml:space="preserve"> </w:t>
      </w:r>
      <w:r w:rsidRPr="00AD081E">
        <w:rPr>
          <w:noProof/>
        </w:rPr>
        <w:drawing>
          <wp:inline distT="0" distB="0" distL="0" distR="0" wp14:anchorId="42F7BAD2" wp14:editId="34C6CF73">
            <wp:extent cx="152400" cy="152400"/>
            <wp:effectExtent l="0" t="0" r="0" b="0"/>
            <wp:docPr id="985" name="Picture 985"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AD081E">
        <w:t xml:space="preserve"> icon on the toolbar.</w:t>
      </w:r>
    </w:p>
    <w:p w14:paraId="153F6B64" w14:textId="77777777" w:rsidR="00AD081E" w:rsidRPr="00AD081E" w:rsidRDefault="00AD081E" w:rsidP="00AD081E">
      <w:r w:rsidRPr="00AD081E">
        <w:rPr>
          <w:b/>
        </w:rPr>
        <w:lastRenderedPageBreak/>
        <w:t>Received DDO</w:t>
      </w:r>
      <w:r w:rsidRPr="00AD081E">
        <w:br/>
      </w:r>
      <w:r w:rsidRPr="00AD081E">
        <w:rPr>
          <w:rFonts w:eastAsia="Calibri"/>
        </w:rPr>
        <w:t xml:space="preserve">From the </w:t>
      </w:r>
      <w:r w:rsidRPr="00AD081E">
        <w:rPr>
          <w:rFonts w:eastAsia="Calibri"/>
          <w:b/>
        </w:rPr>
        <w:t>Go</w:t>
      </w:r>
      <w:r w:rsidRPr="00AD081E">
        <w:rPr>
          <w:rFonts w:eastAsia="Calibri"/>
        </w:rPr>
        <w:t xml:space="preserve"> menu, select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Incoming DDOs</w:t>
      </w:r>
      <w:r w:rsidRPr="00AD081E">
        <w:rPr>
          <w:rFonts w:eastAsia="Calibri"/>
        </w:rPr>
        <w:t xml:space="preserve">. </w:t>
      </w:r>
    </w:p>
    <w:p w14:paraId="3D079074" w14:textId="77777777" w:rsidR="00AD081E" w:rsidRPr="00AD081E" w:rsidRDefault="00AD081E" w:rsidP="00AD081E">
      <w:pPr>
        <w:rPr>
          <w:rFonts w:eastAsia="Calibri"/>
        </w:rPr>
      </w:pPr>
      <w:r w:rsidRPr="00AD081E">
        <w:rPr>
          <w:rFonts w:eastAsia="Calibri"/>
        </w:rPr>
        <w:t xml:space="preserve">If HTTPS configuration was successful, your message objective will be shown in the </w:t>
      </w:r>
      <w:r w:rsidRPr="00AD081E">
        <w:rPr>
          <w:rFonts w:eastAsia="Calibri"/>
          <w:b/>
        </w:rPr>
        <w:t>Incoming DDOs</w:t>
      </w:r>
      <w:r w:rsidRPr="00AD081E">
        <w:rPr>
          <w:rFonts w:eastAsia="Calibri"/>
        </w:rPr>
        <w:t xml:space="preserve"> list. </w:t>
      </w:r>
    </w:p>
    <w:p w14:paraId="663D83A9" w14:textId="77777777" w:rsidR="00AD081E" w:rsidRPr="00AD081E" w:rsidRDefault="00AD081E" w:rsidP="0026723B">
      <w:pPr>
        <w:pStyle w:val="Appendix3"/>
        <w:ind w:left="360"/>
      </w:pPr>
      <w:bookmarkStart w:id="8320" w:name="_Toc214283773"/>
      <w:r w:rsidRPr="00AD081E">
        <w:t>Configuring Communications: Networked with Different TCIPs</w:t>
      </w:r>
      <w:bookmarkEnd w:id="8320"/>
    </w:p>
    <w:p w14:paraId="60F0DC35" w14:textId="77777777" w:rsidR="00AD081E" w:rsidRPr="00AD081E" w:rsidRDefault="00AD081E" w:rsidP="00AD081E">
      <w:pPr>
        <w:rPr>
          <w:rFonts w:eastAsia="Calibri"/>
        </w:rPr>
      </w:pPr>
      <w:r w:rsidRPr="00AD081E">
        <w:rPr>
          <w:rFonts w:eastAsia="Calibri"/>
        </w:rPr>
        <w:t>In these configurations, there are live TED, MDS, or TTWCS nodes in the rehearsal other than TSRT’s TED. Communications between the live nodes are provided by two or more TCIPs.</w:t>
      </w:r>
    </w:p>
    <w:p w14:paraId="133CDA16" w14:textId="64E66A3E" w:rsidR="00AD081E" w:rsidRPr="00AD081E" w:rsidRDefault="00AD081E" w:rsidP="00AD081E">
      <w:pPr>
        <w:rPr>
          <w:rFonts w:eastAsia="Calibri"/>
        </w:rPr>
      </w:pPr>
      <w:r w:rsidRPr="00AD081E">
        <w:rPr>
          <w:rFonts w:eastAsia="Calibri"/>
        </w:rPr>
        <w:t>Commonly, TSRT is run on its own TED and the active strike roles (</w:t>
      </w:r>
      <w:r w:rsidR="009172F0">
        <w:rPr>
          <w:rFonts w:eastAsia="Calibri"/>
        </w:rPr>
        <w:t>TSC</w:t>
      </w:r>
      <w:r w:rsidRPr="00AD081E">
        <w:rPr>
          <w:rFonts w:eastAsia="Calibri"/>
        </w:rPr>
        <w:t xml:space="preserve">, </w:t>
      </w:r>
      <w:r w:rsidR="009172F0">
        <w:rPr>
          <w:rFonts w:eastAsia="Calibri"/>
        </w:rPr>
        <w:t>ATSC</w:t>
      </w:r>
      <w:r w:rsidRPr="00AD081E">
        <w:rPr>
          <w:rFonts w:eastAsia="Calibri"/>
        </w:rPr>
        <w:t>, etc.) are allocated to nodes other than the TSRT’s TED; this provides the cleanest separation between TSRT and the other strike participants and the most realistic use of communication paths.</w:t>
      </w:r>
    </w:p>
    <w:p w14:paraId="208748FF" w14:textId="0298E5D1" w:rsidR="00AD081E" w:rsidRPr="00AD081E" w:rsidRDefault="00AD081E" w:rsidP="00AD081E">
      <w:pPr>
        <w:rPr>
          <w:rFonts w:eastAsia="Calibri"/>
        </w:rPr>
      </w:pPr>
      <w:r w:rsidRPr="00AD081E">
        <w:rPr>
          <w:rFonts w:eastAsia="Calibri"/>
        </w:rPr>
        <w:t xml:space="preserve">These configurations are used for integration testing and formal </w:t>
      </w:r>
      <w:r w:rsidR="00B9771D" w:rsidRPr="00AD081E">
        <w:rPr>
          <w:rFonts w:eastAsia="Calibri"/>
        </w:rPr>
        <w:t>testing and</w:t>
      </w:r>
      <w:r w:rsidRPr="00AD081E">
        <w:rPr>
          <w:rFonts w:eastAsia="Calibri"/>
        </w:rPr>
        <w:t xml:space="preserve"> may be used for classroom training.</w:t>
      </w:r>
    </w:p>
    <w:p w14:paraId="010831A9" w14:textId="77777777" w:rsidR="00AD081E" w:rsidRPr="00AD081E" w:rsidRDefault="00AD081E" w:rsidP="0026723B">
      <w:pPr>
        <w:pStyle w:val="Appendix4"/>
        <w:ind w:left="360"/>
      </w:pPr>
      <w:r w:rsidRPr="00AD081E">
        <w:t>Connections Between TCIPs</w:t>
      </w:r>
    </w:p>
    <w:p w14:paraId="3265DDC3" w14:textId="77777777" w:rsidR="00AD081E" w:rsidRPr="00AD081E" w:rsidRDefault="00AD081E" w:rsidP="0026723B">
      <w:pPr>
        <w:pStyle w:val="Appendix5"/>
      </w:pPr>
      <w:r w:rsidRPr="00AD081E">
        <w:t>TCIP Connection Basics</w:t>
      </w:r>
    </w:p>
    <w:p w14:paraId="08F9529E" w14:textId="77777777" w:rsidR="00AD081E" w:rsidRPr="00AD081E" w:rsidRDefault="00AD081E" w:rsidP="00AD081E">
      <w:pPr>
        <w:rPr>
          <w:rFonts w:eastAsia="Calibri"/>
        </w:rPr>
      </w:pPr>
      <w:r w:rsidRPr="00AD081E">
        <w:rPr>
          <w:rFonts w:eastAsia="Calibri"/>
        </w:rPr>
        <w:t>Each connection between TCIPs is really two connections: one connection between the LINTs and one connection between the TSNIFs.</w:t>
      </w:r>
    </w:p>
    <w:p w14:paraId="5FE32F08" w14:textId="77777777" w:rsidR="00AD081E" w:rsidRPr="00AD081E" w:rsidRDefault="00AD081E" w:rsidP="00AD081E">
      <w:pPr>
        <w:rPr>
          <w:rFonts w:eastAsia="Calibri"/>
        </w:rPr>
      </w:pPr>
      <w:r w:rsidRPr="00AD081E">
        <w:rPr>
          <w:rFonts w:eastAsia="Calibri"/>
        </w:rPr>
        <w:t>Each connection between LINTs or TSNIFs requires the definition of two interfaces. To connect two LINTs, an interface is defined on the first LINT for the second LINT and an interface is defined on the second LINT for the first LINT. To connect two TSNIFs, an interface is defined on the first TSNIF for the second TSNIF and an interface is defined on the second TSNIF for the first TSNIF.</w:t>
      </w:r>
    </w:p>
    <w:p w14:paraId="29902DDF" w14:textId="77777777" w:rsidR="00AD081E" w:rsidRPr="00AD081E" w:rsidRDefault="00AD081E" w:rsidP="00AD081E">
      <w:pPr>
        <w:rPr>
          <w:rFonts w:eastAsia="Calibri"/>
        </w:rPr>
      </w:pPr>
      <w:r w:rsidRPr="00AD081E">
        <w:rPr>
          <w:rFonts w:eastAsia="Calibri"/>
        </w:rPr>
        <w:t>In each pair of interfaces, one must be designated as a TCP interface (the interface type is either OTH TCP or TSN TCP) and the other must be designated as a client interface (the interface type is either OTH CLIENT or TSN CLIENT). If the interface from the first to the second is defined as a TCP interface, the interface from the second to the first must be defined as a client interface. If the interface from the first to the second is defined as a client interface, the interface from the second to the first must be defined as a TCP interface.</w:t>
      </w:r>
    </w:p>
    <w:p w14:paraId="1B3C8BA5" w14:textId="77777777" w:rsidR="00AD081E" w:rsidRPr="00AD081E" w:rsidRDefault="00AD081E" w:rsidP="00F57DD0">
      <w:pPr>
        <w:pStyle w:val="Appendix5"/>
      </w:pPr>
      <w:r w:rsidRPr="00AD081E">
        <w:t>TCIP Interconnection Schemes</w:t>
      </w:r>
    </w:p>
    <w:p w14:paraId="7CC6054A" w14:textId="77777777" w:rsidR="00AD081E" w:rsidRPr="00AD081E" w:rsidRDefault="00AD081E" w:rsidP="00AD081E">
      <w:pPr>
        <w:rPr>
          <w:rFonts w:eastAsia="Calibri"/>
        </w:rPr>
      </w:pPr>
      <w:r w:rsidRPr="00AD081E">
        <w:rPr>
          <w:rFonts w:eastAsia="Calibri"/>
        </w:rPr>
        <w:t>These networked configurations are further distinguished by the way in which the TCIPs are interconnected. There are a few basic interconnection schemes.</w:t>
      </w:r>
    </w:p>
    <w:p w14:paraId="53C5EB9B" w14:textId="77777777" w:rsidR="00AD081E" w:rsidRPr="00AD081E" w:rsidRDefault="00AD081E" w:rsidP="006D5A65">
      <w:pPr>
        <w:pStyle w:val="Heading1"/>
      </w:pPr>
      <w:r w:rsidRPr="00AD081E">
        <w:lastRenderedPageBreak/>
        <w:t>Two TCIPs – There are only two TCIPs, each connected to the other. Each live participant is connected to either one or the other of the two TCIPs.</w:t>
      </w:r>
    </w:p>
    <w:p w14:paraId="6AEC7FBC" w14:textId="77777777" w:rsidR="00AD081E" w:rsidRPr="00AD081E" w:rsidRDefault="00AD081E" w:rsidP="006D5A65">
      <w:pPr>
        <w:pStyle w:val="Heading1"/>
      </w:pPr>
      <w:r w:rsidRPr="00AD081E">
        <w:t>Chain – The connections between TCIPs form a chain.</w:t>
      </w:r>
    </w:p>
    <w:p w14:paraId="0DED34C1" w14:textId="77777777" w:rsidR="00AD081E" w:rsidRPr="00AD081E" w:rsidRDefault="00AD081E" w:rsidP="006D5A65">
      <w:pPr>
        <w:pStyle w:val="Heading1"/>
      </w:pPr>
      <w:r w:rsidRPr="00AD081E">
        <w:t>Star – Each live participant’s TCIP connects only to a router TCIP, the router TCIP connects to all other TCIPs.</w:t>
      </w:r>
    </w:p>
    <w:p w14:paraId="600D817D" w14:textId="77777777" w:rsidR="00AD081E" w:rsidRPr="00AD081E" w:rsidRDefault="00AD081E" w:rsidP="006D5A65">
      <w:pPr>
        <w:pStyle w:val="Heading1"/>
      </w:pPr>
      <w:r w:rsidRPr="00AD081E">
        <w:t>Fully Interconnected – Each TCIP connects to each of the other TCIPs.</w:t>
      </w:r>
    </w:p>
    <w:p w14:paraId="012D8D27" w14:textId="77777777" w:rsidR="00AD081E" w:rsidRPr="00AD081E" w:rsidRDefault="00AD081E" w:rsidP="00AD081E">
      <w:pPr>
        <w:keepNext/>
        <w:rPr>
          <w:rFonts w:eastAsia="Calibri"/>
          <w:b/>
        </w:rPr>
      </w:pPr>
      <w:r w:rsidRPr="00AD081E">
        <w:rPr>
          <w:rFonts w:eastAsia="Calibri"/>
          <w:b/>
        </w:rPr>
        <w:t>Basic Interconnection Schemes</w:t>
      </w:r>
    </w:p>
    <w:p w14:paraId="4B8CC47E" w14:textId="77777777" w:rsidR="00AD081E" w:rsidRPr="00AD081E" w:rsidRDefault="00AD081E" w:rsidP="00AD081E">
      <w:pPr>
        <w:tabs>
          <w:tab w:val="left" w:pos="720"/>
        </w:tabs>
        <w:jc w:val="center"/>
      </w:pPr>
      <w:r w:rsidRPr="00AD081E">
        <w:rPr>
          <w:noProof/>
        </w:rPr>
        <w:drawing>
          <wp:inline distT="0" distB="0" distL="0" distR="0" wp14:anchorId="4A113B5B" wp14:editId="3FFE98E8">
            <wp:extent cx="3657600" cy="2139696"/>
            <wp:effectExtent l="0" t="0" r="0" b="0"/>
            <wp:docPr id="740" name="Picture 7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 name="Picture 740" descr="Diagram&#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3657600" cy="2139696"/>
                    </a:xfrm>
                    <a:prstGeom prst="rect">
                      <a:avLst/>
                    </a:prstGeom>
                  </pic:spPr>
                </pic:pic>
              </a:graphicData>
            </a:graphic>
          </wp:inline>
        </w:drawing>
      </w:r>
    </w:p>
    <w:p w14:paraId="725AFFDF" w14:textId="77777777" w:rsidR="00AD081E" w:rsidRPr="00AD081E" w:rsidRDefault="00AD081E" w:rsidP="00AD081E">
      <w:pPr>
        <w:rPr>
          <w:rFonts w:eastAsia="Calibri"/>
        </w:rPr>
      </w:pPr>
      <w:r w:rsidRPr="00AD081E">
        <w:rPr>
          <w:rFonts w:eastAsia="Calibri"/>
        </w:rPr>
        <w:t>Hybrid interconnection schemes are also possible. For example, a small-scale star can be configured with its central router as the client of a larger star, or with the central router participating in a chain or even in an otherwise fully connected network.</w:t>
      </w:r>
    </w:p>
    <w:p w14:paraId="2816FB1C" w14:textId="77777777" w:rsidR="00AD081E" w:rsidRPr="00AD081E" w:rsidRDefault="00AD081E" w:rsidP="00AD081E">
      <w:pPr>
        <w:keepNext/>
        <w:rPr>
          <w:rFonts w:eastAsia="Calibri"/>
          <w:b/>
        </w:rPr>
      </w:pPr>
      <w:r w:rsidRPr="00AD081E">
        <w:rPr>
          <w:rFonts w:eastAsia="Calibri"/>
          <w:b/>
        </w:rPr>
        <w:t>A Hybrid Interconnection Scheme</w:t>
      </w:r>
    </w:p>
    <w:p w14:paraId="14AC26A2" w14:textId="77777777" w:rsidR="00AD081E" w:rsidRPr="00AD081E" w:rsidRDefault="00AD081E" w:rsidP="00AD081E">
      <w:pPr>
        <w:tabs>
          <w:tab w:val="left" w:pos="720"/>
        </w:tabs>
        <w:jc w:val="center"/>
      </w:pPr>
      <w:r w:rsidRPr="00AD081E">
        <w:rPr>
          <w:noProof/>
        </w:rPr>
        <w:drawing>
          <wp:inline distT="0" distB="0" distL="0" distR="0" wp14:anchorId="45360048" wp14:editId="2859E72C">
            <wp:extent cx="4114800" cy="2002536"/>
            <wp:effectExtent l="0" t="0" r="0" b="0"/>
            <wp:docPr id="741" name="Picture 7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Picture 741" descr="Diagram&#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4114800" cy="2002536"/>
                    </a:xfrm>
                    <a:prstGeom prst="rect">
                      <a:avLst/>
                    </a:prstGeom>
                  </pic:spPr>
                </pic:pic>
              </a:graphicData>
            </a:graphic>
          </wp:inline>
        </w:drawing>
      </w:r>
    </w:p>
    <w:p w14:paraId="2B52D6F1" w14:textId="77777777" w:rsidR="00AD081E" w:rsidRPr="00AD081E" w:rsidRDefault="00AD081E" w:rsidP="00AD081E">
      <w:pPr>
        <w:keepNext/>
        <w:rPr>
          <w:rFonts w:eastAsia="Calibri"/>
          <w:b/>
        </w:rPr>
      </w:pPr>
      <w:r w:rsidRPr="00AD081E">
        <w:rPr>
          <w:rFonts w:eastAsia="Calibri"/>
          <w:b/>
        </w:rPr>
        <w:lastRenderedPageBreak/>
        <w:t>Networked Configuration with Two TCIPs (TSRT Running on Standalone MDS)</w:t>
      </w:r>
    </w:p>
    <w:p w14:paraId="240C96F9" w14:textId="77777777" w:rsidR="00AD081E" w:rsidRPr="00AD081E" w:rsidRDefault="00AD081E" w:rsidP="00AD081E">
      <w:pPr>
        <w:tabs>
          <w:tab w:val="left" w:pos="720"/>
        </w:tabs>
        <w:jc w:val="center"/>
      </w:pPr>
      <w:r w:rsidRPr="00AD081E">
        <w:rPr>
          <w:noProof/>
        </w:rPr>
        <w:drawing>
          <wp:inline distT="0" distB="0" distL="0" distR="0" wp14:anchorId="2A334161" wp14:editId="1C063BA2">
            <wp:extent cx="3200400" cy="4114800"/>
            <wp:effectExtent l="0" t="0" r="0" b="0"/>
            <wp:docPr id="742" name="Picture 7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Picture 742" descr="Diagram&#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3200400" cy="4114800"/>
                    </a:xfrm>
                    <a:prstGeom prst="rect">
                      <a:avLst/>
                    </a:prstGeom>
                  </pic:spPr>
                </pic:pic>
              </a:graphicData>
            </a:graphic>
          </wp:inline>
        </w:drawing>
      </w:r>
    </w:p>
    <w:p w14:paraId="12088382" w14:textId="1114F5D4" w:rsidR="00AD081E" w:rsidRPr="00AD081E" w:rsidRDefault="00AD081E" w:rsidP="00AD081E">
      <w:pPr>
        <w:keepNext/>
        <w:rPr>
          <w:rFonts w:eastAsia="Calibri"/>
          <w:b/>
        </w:rPr>
      </w:pPr>
      <w:r w:rsidRPr="00AD081E">
        <w:rPr>
          <w:rFonts w:eastAsia="Calibri"/>
          <w:b/>
        </w:rPr>
        <w:lastRenderedPageBreak/>
        <w:t>Networked Configuration with Chained TCIPs (TSRT Running on Standalone MDS)</w:t>
      </w:r>
    </w:p>
    <w:p w14:paraId="6BA9DCC7" w14:textId="77777777" w:rsidR="00AD081E" w:rsidRPr="00AD081E" w:rsidRDefault="00AD081E" w:rsidP="00AD081E">
      <w:pPr>
        <w:tabs>
          <w:tab w:val="left" w:pos="720"/>
        </w:tabs>
        <w:jc w:val="center"/>
      </w:pPr>
      <w:r w:rsidRPr="00AD081E">
        <w:rPr>
          <w:noProof/>
        </w:rPr>
        <w:drawing>
          <wp:inline distT="0" distB="0" distL="0" distR="0" wp14:anchorId="7B40A455" wp14:editId="362A759E">
            <wp:extent cx="3657600" cy="4773168"/>
            <wp:effectExtent l="0" t="0" r="0" b="8890"/>
            <wp:docPr id="743" name="Picture 7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Picture 743" descr="Diagram&#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3657600" cy="4773168"/>
                    </a:xfrm>
                    <a:prstGeom prst="rect">
                      <a:avLst/>
                    </a:prstGeom>
                  </pic:spPr>
                </pic:pic>
              </a:graphicData>
            </a:graphic>
          </wp:inline>
        </w:drawing>
      </w:r>
    </w:p>
    <w:p w14:paraId="6E87B43A" w14:textId="77777777" w:rsidR="00AD081E" w:rsidRPr="00AD081E" w:rsidRDefault="00AD081E" w:rsidP="00AD081E">
      <w:pPr>
        <w:keepNext/>
        <w:rPr>
          <w:rFonts w:eastAsia="Calibri"/>
          <w:b/>
        </w:rPr>
      </w:pPr>
      <w:r w:rsidRPr="00AD081E">
        <w:rPr>
          <w:rFonts w:eastAsia="Calibri"/>
          <w:b/>
        </w:rPr>
        <w:lastRenderedPageBreak/>
        <w:t>Networked Configuration with Central Router (Star Scheme)</w:t>
      </w:r>
    </w:p>
    <w:p w14:paraId="671A11AD" w14:textId="77777777" w:rsidR="00AD081E" w:rsidRPr="00AD081E" w:rsidRDefault="00AD081E" w:rsidP="00AD081E">
      <w:pPr>
        <w:tabs>
          <w:tab w:val="left" w:pos="720"/>
        </w:tabs>
        <w:jc w:val="center"/>
      </w:pPr>
      <w:r w:rsidRPr="00AD081E">
        <w:rPr>
          <w:noProof/>
        </w:rPr>
        <w:drawing>
          <wp:inline distT="0" distB="0" distL="0" distR="0" wp14:anchorId="20E1DDA7" wp14:editId="4BAC5134">
            <wp:extent cx="3657600" cy="4946904"/>
            <wp:effectExtent l="0" t="0" r="0" b="6350"/>
            <wp:docPr id="744" name="Picture 7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 name="Picture 744" descr="Diagram&#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3657600" cy="4946904"/>
                    </a:xfrm>
                    <a:prstGeom prst="rect">
                      <a:avLst/>
                    </a:prstGeom>
                  </pic:spPr>
                </pic:pic>
              </a:graphicData>
            </a:graphic>
          </wp:inline>
        </w:drawing>
      </w:r>
    </w:p>
    <w:p w14:paraId="6E24F662" w14:textId="77777777" w:rsidR="00AD081E" w:rsidRPr="00AD081E" w:rsidRDefault="00AD081E" w:rsidP="00AD081E">
      <w:pPr>
        <w:keepNext/>
        <w:rPr>
          <w:rFonts w:eastAsia="Calibri"/>
          <w:b/>
        </w:rPr>
      </w:pPr>
      <w:r w:rsidRPr="00AD081E">
        <w:rPr>
          <w:rFonts w:eastAsia="Calibri"/>
          <w:b/>
        </w:rPr>
        <w:lastRenderedPageBreak/>
        <w:t>Fully Interconnected Networked Configuration</w:t>
      </w:r>
    </w:p>
    <w:p w14:paraId="1B0CF3F5" w14:textId="77777777" w:rsidR="00AD081E" w:rsidRPr="00AD081E" w:rsidRDefault="00AD081E" w:rsidP="00AD081E">
      <w:pPr>
        <w:tabs>
          <w:tab w:val="left" w:pos="720"/>
        </w:tabs>
        <w:jc w:val="center"/>
      </w:pPr>
      <w:r w:rsidRPr="00AD081E">
        <w:rPr>
          <w:noProof/>
        </w:rPr>
        <w:drawing>
          <wp:inline distT="0" distB="0" distL="0" distR="0" wp14:anchorId="0940CD52" wp14:editId="2CB41E78">
            <wp:extent cx="3657600" cy="4846320"/>
            <wp:effectExtent l="0" t="0" r="0" b="0"/>
            <wp:docPr id="796" name="Picture 79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 name="Picture 796" descr="Diagram, schematic&#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3657600" cy="4846320"/>
                    </a:xfrm>
                    <a:prstGeom prst="rect">
                      <a:avLst/>
                    </a:prstGeom>
                  </pic:spPr>
                </pic:pic>
              </a:graphicData>
            </a:graphic>
          </wp:inline>
        </w:drawing>
      </w:r>
    </w:p>
    <w:p w14:paraId="5AF7B646" w14:textId="77777777" w:rsidR="00AD081E" w:rsidRPr="00AD081E" w:rsidRDefault="00AD081E" w:rsidP="00F57DD0">
      <w:pPr>
        <w:pStyle w:val="Appendix4"/>
        <w:ind w:left="360"/>
      </w:pPr>
      <w:r w:rsidRPr="00AD081E">
        <w:t>Before You Begin</w:t>
      </w:r>
    </w:p>
    <w:p w14:paraId="6C188514" w14:textId="77777777" w:rsidR="00AD081E" w:rsidRPr="00AD081E" w:rsidRDefault="00AD081E" w:rsidP="00AD081E">
      <w:pPr>
        <w:rPr>
          <w:rFonts w:eastAsia="Calibri"/>
        </w:rPr>
      </w:pPr>
      <w:r w:rsidRPr="00AD081E">
        <w:rPr>
          <w:rFonts w:eastAsia="Calibri"/>
        </w:rPr>
        <w:t>Before starting communications configuration, have the following available to you:</w:t>
      </w:r>
    </w:p>
    <w:p w14:paraId="03B62E74" w14:textId="77777777" w:rsidR="00AD081E" w:rsidRPr="00AD081E" w:rsidRDefault="00AD081E" w:rsidP="006D5A65">
      <w:pPr>
        <w:pStyle w:val="Heading1"/>
      </w:pPr>
      <w:r w:rsidRPr="00AD081E">
        <w:t>A list of the platform IDs of participants in the strike. This should include all of the platforms from the strike arsenals of all of the strikes in the execution folder(s) you will be rehearsing.</w:t>
      </w:r>
    </w:p>
    <w:p w14:paraId="7F20D80D" w14:textId="77777777" w:rsidR="00AD081E" w:rsidRPr="00AD081E" w:rsidRDefault="00AD081E" w:rsidP="006D5A65">
      <w:pPr>
        <w:pStyle w:val="Heading1"/>
      </w:pPr>
      <w:r w:rsidRPr="00AD081E">
        <w:t xml:space="preserve">A list of the node names of participants in the strike. This should include all of the nodes from the strike arsenals of </w:t>
      </w:r>
      <w:r w:rsidRPr="00AD081E">
        <w:lastRenderedPageBreak/>
        <w:t>all of the strikes in the execution folder(s) you will be rehearsing.</w:t>
      </w:r>
    </w:p>
    <w:p w14:paraId="2A0D689B" w14:textId="77777777" w:rsidR="00AD081E" w:rsidRPr="00AD081E" w:rsidRDefault="00AD081E" w:rsidP="006D5A65">
      <w:pPr>
        <w:pStyle w:val="Heading1"/>
      </w:pPr>
      <w:r w:rsidRPr="00AD081E">
        <w:t>For each node, whether the node will be live or simulated.</w:t>
      </w:r>
    </w:p>
    <w:p w14:paraId="5F72BBC7" w14:textId="77777777" w:rsidR="00AD081E" w:rsidRPr="00AD081E" w:rsidRDefault="00AD081E" w:rsidP="006D5A65">
      <w:pPr>
        <w:pStyle w:val="Heading1"/>
      </w:pPr>
      <w:r w:rsidRPr="00AD081E">
        <w:t>For each node, the TED, MDS, and TTWCS version numbers (as appropriate to the node type).</w:t>
      </w:r>
    </w:p>
    <w:p w14:paraId="4F9AA758" w14:textId="77777777" w:rsidR="00AD081E" w:rsidRPr="00AD081E" w:rsidRDefault="00AD081E" w:rsidP="006D5A65">
      <w:pPr>
        <w:pStyle w:val="Heading1"/>
      </w:pPr>
      <w:r w:rsidRPr="00AD081E">
        <w:t>The OTH subscriber ID (SID) for each node in the strike.</w:t>
      </w:r>
    </w:p>
    <w:p w14:paraId="7B12C3F1" w14:textId="77777777" w:rsidR="00AD081E" w:rsidRPr="00AD081E" w:rsidRDefault="00AD081E" w:rsidP="006D5A65">
      <w:pPr>
        <w:pStyle w:val="Heading1"/>
      </w:pPr>
      <w:r w:rsidRPr="00AD081E">
        <w:t>The internet protocol (IP) address of the machine that hosts the TSRT’s TED. If using a CMSA configuration (the TED web services [IIS] are on a separate machine from the TED database [DB]), use the address for the machine hosting the TED web services.</w:t>
      </w:r>
    </w:p>
    <w:p w14:paraId="19F3E0C0" w14:textId="77777777" w:rsidR="00AD081E" w:rsidRPr="00AD081E" w:rsidRDefault="00AD081E" w:rsidP="006D5A65">
      <w:pPr>
        <w:pStyle w:val="Heading1"/>
      </w:pPr>
      <w:r w:rsidRPr="00AD081E">
        <w:t>The internet protocol (IP) address of each live participating TED, MDS, or TTWCS node. If using a CMSA configuration (the TED web services [IIS] are on a separate machine from the TED database [DB]), use the address for the machine hosting the TED web services.</w:t>
      </w:r>
    </w:p>
    <w:p w14:paraId="3C01E451" w14:textId="77777777" w:rsidR="00AD081E" w:rsidRPr="00AD081E" w:rsidRDefault="00AD081E" w:rsidP="006D5A65">
      <w:pPr>
        <w:pStyle w:val="Heading1"/>
      </w:pPr>
      <w:r w:rsidRPr="00AD081E">
        <w:t>The TDM</w:t>
      </w:r>
      <w:r w:rsidRPr="00AD081E">
        <w:rPr>
          <w:rFonts w:eastAsia="Calibri"/>
        </w:rPr>
        <w:t xml:space="preserve"> Distribution Agent</w:t>
      </w:r>
      <w:r w:rsidRPr="00AD081E">
        <w:t xml:space="preserve"> port number used by each live participating TED, MDS, or TTWCS node (usually 9500).</w:t>
      </w:r>
    </w:p>
    <w:p w14:paraId="2FA0C49A" w14:textId="77777777" w:rsidR="00AD081E" w:rsidRPr="00AD081E" w:rsidRDefault="00AD081E" w:rsidP="006D5A65">
      <w:pPr>
        <w:pStyle w:val="Heading1"/>
      </w:pPr>
      <w:r w:rsidRPr="00AD081E">
        <w:t>The IP addresses of the TCIPs, and which of the live participating nodes are to use each TCIP.</w:t>
      </w:r>
    </w:p>
    <w:p w14:paraId="45A3253B" w14:textId="77777777" w:rsidR="00AD081E" w:rsidRPr="00AD081E" w:rsidRDefault="00AD081E" w:rsidP="006D5A65">
      <w:pPr>
        <w:pStyle w:val="Heading1"/>
      </w:pPr>
      <w:r w:rsidRPr="00AD081E">
        <w:t>The administrator passwords for the LINT tools of each TCIP.</w:t>
      </w:r>
    </w:p>
    <w:p w14:paraId="1ED827BF" w14:textId="77777777" w:rsidR="00AD081E" w:rsidRPr="00AD081E" w:rsidRDefault="00AD081E" w:rsidP="006D5A65">
      <w:pPr>
        <w:pStyle w:val="Heading1"/>
      </w:pPr>
      <w:r w:rsidRPr="00AD081E">
        <w:t>The administrator passwords for the TSNIF tools of each TCIP.</w:t>
      </w:r>
    </w:p>
    <w:p w14:paraId="65797FA9" w14:textId="77777777" w:rsidR="00AD081E" w:rsidRPr="00AD081E" w:rsidRDefault="00AD081E" w:rsidP="006D5A65">
      <w:pPr>
        <w:pStyle w:val="Heading1"/>
      </w:pPr>
      <w:r w:rsidRPr="00AD081E">
        <w:t>The way in which the TCIPs are to be connected, e.g., chain, star, or other arrangement.</w:t>
      </w:r>
    </w:p>
    <w:p w14:paraId="012355DB" w14:textId="77777777" w:rsidR="00AD081E" w:rsidRPr="00AD081E" w:rsidRDefault="00AD081E" w:rsidP="006D5A65">
      <w:pPr>
        <w:pStyle w:val="Heading1"/>
      </w:pPr>
      <w:r w:rsidRPr="00AD081E">
        <w:t>For each connection between TCIPs, which end is to be the client and which end is to be the TCP.</w:t>
      </w:r>
    </w:p>
    <w:p w14:paraId="43A175C5" w14:textId="77777777" w:rsidR="00AD081E" w:rsidRPr="00AD081E" w:rsidRDefault="00AD081E" w:rsidP="00F57DD0">
      <w:pPr>
        <w:pStyle w:val="Appendix4"/>
        <w:ind w:left="360"/>
      </w:pPr>
      <w:r w:rsidRPr="00AD081E">
        <w:t>Configure Communications</w:t>
      </w:r>
    </w:p>
    <w:p w14:paraId="242FDDC9" w14:textId="29918DF7" w:rsidR="00AD081E" w:rsidRPr="00AD081E" w:rsidRDefault="00AD081E" w:rsidP="00AD081E">
      <w:pPr>
        <w:rPr>
          <w:rFonts w:eastAsia="Calibri"/>
        </w:rPr>
      </w:pPr>
      <w:r w:rsidRPr="00AD081E">
        <w:rPr>
          <w:rFonts w:eastAsia="Calibri"/>
        </w:rPr>
        <w:t xml:space="preserve">The approach here is to configure node communications correctly on one TED, set up the communications interfaces and routes, then to publish the node communications information to the other live systems. In the following instructions, we have chosen to set up the node communication on the TSRT’s TED (since it is already special in other ways), but it would be equally valid to configure the node communications on another TED (say, the </w:t>
      </w:r>
      <w:r w:rsidR="009172F0">
        <w:rPr>
          <w:rFonts w:eastAsia="Calibri"/>
        </w:rPr>
        <w:t>TSC</w:t>
      </w:r>
      <w:r w:rsidR="009172F0" w:rsidRPr="00AD081E">
        <w:rPr>
          <w:rFonts w:eastAsia="Calibri"/>
        </w:rPr>
        <w:t xml:space="preserve"> </w:t>
      </w:r>
      <w:r w:rsidRPr="00AD081E">
        <w:rPr>
          <w:rFonts w:eastAsia="Calibri"/>
        </w:rPr>
        <w:t xml:space="preserve">TED), then publish from the </w:t>
      </w:r>
      <w:r w:rsidR="009172F0">
        <w:rPr>
          <w:rFonts w:eastAsia="Calibri"/>
        </w:rPr>
        <w:t>TSC</w:t>
      </w:r>
      <w:r w:rsidR="009172F0" w:rsidRPr="00AD081E">
        <w:rPr>
          <w:rFonts w:eastAsia="Calibri"/>
        </w:rPr>
        <w:t xml:space="preserve"> </w:t>
      </w:r>
      <w:r w:rsidRPr="00AD081E">
        <w:rPr>
          <w:rFonts w:eastAsia="Calibri"/>
        </w:rPr>
        <w:t>TED to TSRT’s TED and the other live nodes.</w:t>
      </w:r>
    </w:p>
    <w:p w14:paraId="5B5C3771" w14:textId="77777777" w:rsidR="00AD081E" w:rsidRPr="00AD081E" w:rsidRDefault="00AD081E" w:rsidP="00AD081E">
      <w:pPr>
        <w:rPr>
          <w:rFonts w:eastAsia="Calibri"/>
        </w:rPr>
      </w:pPr>
      <w:r w:rsidRPr="00AD081E">
        <w:rPr>
          <w:rFonts w:eastAsia="Calibri"/>
        </w:rPr>
        <w:t>It would also be equally valid, but more work and more prone to error, to individually configure each node without sending a DDO with the configuration information.</w:t>
      </w:r>
    </w:p>
    <w:p w14:paraId="7BC7D891" w14:textId="77777777" w:rsidR="00AD081E" w:rsidRPr="00AD081E" w:rsidRDefault="00AD081E" w:rsidP="00F57DD0">
      <w:pPr>
        <w:pStyle w:val="Appendix5"/>
      </w:pPr>
      <w:r w:rsidRPr="00AD081E">
        <w:t>Configure Node Communications</w:t>
      </w:r>
    </w:p>
    <w:p w14:paraId="3CCC2FCE"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Nodes</w:t>
      </w:r>
      <w:r w:rsidRPr="00AD081E">
        <w:rPr>
          <w:rFonts w:eastAsia="Calibri"/>
        </w:rPr>
        <w:t xml:space="preserve"> from the menu. For each node in your list of participating nodes, configure the node as follows:</w:t>
      </w:r>
    </w:p>
    <w:p w14:paraId="0052D8DE" w14:textId="77777777" w:rsidR="00AD081E" w:rsidRPr="00AD081E" w:rsidRDefault="00AD081E" w:rsidP="00AD081E">
      <w:pPr>
        <w:rPr>
          <w:rFonts w:eastAsia="Calibri"/>
        </w:rPr>
      </w:pPr>
      <w:r w:rsidRPr="00AD081E">
        <w:rPr>
          <w:rFonts w:eastAsia="Calibri"/>
          <w:b/>
        </w:rPr>
        <w:lastRenderedPageBreak/>
        <w:t>Nodes</w:t>
      </w:r>
      <w:r w:rsidRPr="00AD081E">
        <w:rPr>
          <w:rFonts w:eastAsia="Calibri"/>
          <w:b/>
        </w:rPr>
        <w:br/>
      </w:r>
      <w:r w:rsidRPr="00AD081E">
        <w:rPr>
          <w:rFonts w:eastAsia="Calibri"/>
        </w:rPr>
        <w:t xml:space="preserve">Select the node in the list. Double-click on it, or right-click and choose </w:t>
      </w:r>
      <w:r w:rsidRPr="00AD081E">
        <w:rPr>
          <w:rFonts w:eastAsia="Calibri"/>
          <w:b/>
        </w:rPr>
        <w:t>Display</w:t>
      </w:r>
      <w:r w:rsidRPr="00AD081E">
        <w:rPr>
          <w:b/>
        </w:rPr>
        <w:t xml:space="preserve"> </w:t>
      </w:r>
      <w:r w:rsidRPr="00AD081E">
        <w:rPr>
          <w:b/>
        </w:rPr>
        <w:sym w:font="Wingdings" w:char="F0E0"/>
      </w:r>
      <w:r w:rsidRPr="00AD081E">
        <w:rPr>
          <w:b/>
        </w:rPr>
        <w:t xml:space="preserve"> </w:t>
      </w:r>
      <w:r w:rsidRPr="00AD081E">
        <w:rPr>
          <w:rFonts w:eastAsia="Calibri"/>
          <w:b/>
        </w:rPr>
        <w:t>Textually</w:t>
      </w:r>
      <w:r w:rsidRPr="00AD081E">
        <w:rPr>
          <w:rFonts w:eastAsia="Calibri"/>
        </w:rPr>
        <w:t xml:space="preserve"> from the context menu.</w:t>
      </w:r>
    </w:p>
    <w:p w14:paraId="055666C3" w14:textId="77777777" w:rsidR="00AD081E" w:rsidRPr="00AD081E" w:rsidRDefault="00AD081E" w:rsidP="00AD081E">
      <w:pPr>
        <w:rPr>
          <w:rFonts w:eastAsia="Calibri"/>
        </w:rPr>
      </w:pPr>
      <w:r w:rsidRPr="00AD081E">
        <w:rPr>
          <w:rFonts w:eastAsia="Calibri"/>
          <w:b/>
        </w:rPr>
        <w:t xml:space="preserve">Node: </w:t>
      </w:r>
      <w:r w:rsidRPr="00AD081E">
        <w:rPr>
          <w:rFonts w:eastAsia="Calibri"/>
          <w:b/>
          <w:i/>
        </w:rPr>
        <w:t>Node Name</w:t>
      </w:r>
      <w:r w:rsidRPr="00AD081E">
        <w:rPr>
          <w:rFonts w:eastAsia="Calibri"/>
          <w:b/>
        </w:rPr>
        <w:br/>
      </w:r>
      <w:r w:rsidRPr="00AD081E">
        <w:rPr>
          <w:rFonts w:eastAsia="Calibri"/>
        </w:rPr>
        <w:t xml:space="preserve">On the </w:t>
      </w:r>
      <w:r w:rsidRPr="00AD081E">
        <w:rPr>
          <w:rFonts w:eastAsia="Calibri"/>
          <w:b/>
          <w:i/>
        </w:rPr>
        <w:t>Capabilities</w:t>
      </w:r>
      <w:r w:rsidRPr="00AD081E">
        <w:rPr>
          <w:rFonts w:eastAsia="Calibri"/>
        </w:rPr>
        <w:t xml:space="preserve"> tab, check the </w:t>
      </w:r>
      <w:r w:rsidRPr="00AD081E">
        <w:rPr>
          <w:rFonts w:eastAsia="Calibri"/>
          <w:b/>
        </w:rPr>
        <w:t>Legacy (OTH)</w:t>
      </w:r>
      <w:r w:rsidRPr="00AD081E">
        <w:rPr>
          <w:rFonts w:eastAsia="Calibri"/>
        </w:rPr>
        <w:t xml:space="preserve"> checkbox if it is not already checked. From the drop down labeled </w:t>
      </w:r>
      <w:r w:rsidRPr="00AD081E">
        <w:rPr>
          <w:rFonts w:eastAsia="Calibri"/>
          <w:b/>
        </w:rPr>
        <w:t>Preferred Receive Method</w:t>
      </w:r>
      <w:r w:rsidRPr="00AD081E">
        <w:rPr>
          <w:rFonts w:eastAsia="Calibri"/>
        </w:rPr>
        <w:t xml:space="preserve">, choose </w:t>
      </w:r>
      <w:r w:rsidRPr="00AD081E">
        <w:rPr>
          <w:rFonts w:eastAsia="Calibri"/>
          <w:b/>
        </w:rPr>
        <w:t>Legacy (OTH)</w:t>
      </w:r>
      <w:r w:rsidRPr="00AD081E">
        <w:rPr>
          <w:rFonts w:eastAsia="Calibri"/>
        </w:rPr>
        <w:t xml:space="preserve">. In the field labeled </w:t>
      </w:r>
      <w:r w:rsidRPr="00AD081E">
        <w:rPr>
          <w:rFonts w:eastAsia="Calibri"/>
          <w:b/>
        </w:rPr>
        <w:t>SID</w:t>
      </w:r>
      <w:r w:rsidRPr="00AD081E">
        <w:rPr>
          <w:rFonts w:eastAsia="Calibri"/>
        </w:rPr>
        <w:t>, enter the node’s OTH SID. Make sure that the TED and MDS version numbers are (or TTWCS version number is) set to the correct value (e.g., 7.0, or 5.4.0.2).</w:t>
      </w:r>
    </w:p>
    <w:p w14:paraId="36912DA4" w14:textId="77777777" w:rsidR="00BC3B71" w:rsidRPr="00BB4EBE" w:rsidRDefault="00AD081E" w:rsidP="001A5BF5">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rFonts w:eastAsia="Calibri"/>
          <w:b/>
        </w:rPr>
      </w:pPr>
      <w:r w:rsidRPr="00BC3B71">
        <w:rPr>
          <w:rFonts w:eastAsia="Calibri"/>
          <w:b/>
        </w:rPr>
        <w:t>Note:</w:t>
      </w:r>
    </w:p>
    <w:p w14:paraId="5EB0FD76" w14:textId="72C1B6B9" w:rsidR="00AD081E" w:rsidRPr="00BB4EBE" w:rsidRDefault="00AD081E" w:rsidP="001A5BF5">
      <w:pPr>
        <w:pBdr>
          <w:top w:val="single" w:sz="12" w:space="1" w:color="auto"/>
          <w:left w:val="single" w:sz="12" w:space="4" w:color="auto"/>
          <w:bottom w:val="single" w:sz="12" w:space="1" w:color="auto"/>
          <w:right w:val="single" w:sz="12" w:space="4" w:color="auto"/>
        </w:pBdr>
        <w:shd w:val="clear" w:color="auto" w:fill="D9D9D9" w:themeFill="background1" w:themeFillShade="D9"/>
        <w:spacing w:after="0"/>
        <w:jc w:val="center"/>
        <w:rPr>
          <w:rFonts w:eastAsia="Calibri"/>
          <w:b/>
        </w:rPr>
      </w:pPr>
      <w:r w:rsidRPr="00BB4EBE">
        <w:rPr>
          <w:rFonts w:eastAsia="Calibri"/>
          <w:b/>
        </w:rPr>
        <w:t>It is not necessary to specify the TCIP address here.</w:t>
      </w:r>
    </w:p>
    <w:p w14:paraId="46F8900A" w14:textId="77777777" w:rsidR="00AD081E" w:rsidRPr="00AD081E" w:rsidRDefault="00AD081E" w:rsidP="00BB4EBE">
      <w:pPr>
        <w:spacing w:before="120"/>
        <w:rPr>
          <w:rFonts w:eastAsia="Calibri"/>
        </w:rPr>
      </w:pPr>
      <w:r w:rsidRPr="00AD081E">
        <w:rPr>
          <w:rFonts w:eastAsia="Calibri"/>
        </w:rPr>
        <w:t xml:space="preserve">Click the </w:t>
      </w:r>
      <w:r w:rsidRPr="00AD081E">
        <w:rPr>
          <w:rFonts w:eastAsia="Calibri"/>
          <w:b/>
        </w:rPr>
        <w:t>Save</w:t>
      </w:r>
      <w:r w:rsidRPr="00AD081E">
        <w:rPr>
          <w:rFonts w:eastAsia="Calibri"/>
        </w:rPr>
        <w:t xml:space="preserve"> icon on the toolbar, or select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w:t>
      </w:r>
      <w:r w:rsidRPr="00AD081E">
        <w:rPr>
          <w:rFonts w:eastAsia="Calibri"/>
        </w:rPr>
        <w:t xml:space="preserve"> from the menu, to save your changes. Close the node dialog.</w:t>
      </w:r>
    </w:p>
    <w:p w14:paraId="48BAA01B" w14:textId="77777777" w:rsidR="00AD081E" w:rsidRPr="00AD081E" w:rsidRDefault="00AD081E" w:rsidP="00AD081E">
      <w:pPr>
        <w:keepNext/>
        <w:jc w:val="center"/>
        <w:rPr>
          <w:rFonts w:eastAsia="Calibri"/>
          <w:b/>
        </w:rPr>
      </w:pPr>
      <w:r w:rsidRPr="00AD081E">
        <w:rPr>
          <w:rFonts w:eastAsia="Calibri"/>
          <w:b/>
        </w:rPr>
        <w:t>Node Configuration for TED Node</w:t>
      </w:r>
    </w:p>
    <w:p w14:paraId="3A9D08CC" w14:textId="77777777" w:rsidR="00AD081E" w:rsidRPr="00AD081E" w:rsidRDefault="00AD081E" w:rsidP="00AD081E">
      <w:pPr>
        <w:tabs>
          <w:tab w:val="left" w:pos="720"/>
        </w:tabs>
        <w:jc w:val="center"/>
      </w:pPr>
      <w:r w:rsidRPr="00AD081E">
        <w:rPr>
          <w:noProof/>
        </w:rPr>
        <w:drawing>
          <wp:inline distT="0" distB="0" distL="0" distR="0" wp14:anchorId="35943027" wp14:editId="1501AE9F">
            <wp:extent cx="3657600" cy="2551176"/>
            <wp:effectExtent l="0" t="0" r="0" b="1905"/>
            <wp:docPr id="717" name="Picture 7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Picture 717" descr="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2551176"/>
                    </a:xfrm>
                    <a:prstGeom prst="rect">
                      <a:avLst/>
                    </a:prstGeom>
                  </pic:spPr>
                </pic:pic>
              </a:graphicData>
            </a:graphic>
          </wp:inline>
        </w:drawing>
      </w:r>
    </w:p>
    <w:p w14:paraId="35673D8C" w14:textId="77777777" w:rsidR="00AD081E" w:rsidRPr="00AD081E" w:rsidRDefault="00AD081E" w:rsidP="00AD081E">
      <w:pPr>
        <w:keepNext/>
        <w:rPr>
          <w:rFonts w:eastAsia="Calibri"/>
          <w:b/>
        </w:rPr>
      </w:pPr>
      <w:r w:rsidRPr="00AD081E">
        <w:rPr>
          <w:rFonts w:eastAsia="Calibri"/>
          <w:b/>
        </w:rPr>
        <w:lastRenderedPageBreak/>
        <w:t>Node Configuration for TTWCS Node</w:t>
      </w:r>
    </w:p>
    <w:p w14:paraId="54B0E99E" w14:textId="77777777" w:rsidR="00AD081E" w:rsidRPr="00AD081E" w:rsidRDefault="00AD081E" w:rsidP="00AD081E">
      <w:pPr>
        <w:tabs>
          <w:tab w:val="left" w:pos="720"/>
        </w:tabs>
        <w:jc w:val="center"/>
      </w:pPr>
      <w:r w:rsidRPr="00AD081E">
        <w:rPr>
          <w:noProof/>
        </w:rPr>
        <w:drawing>
          <wp:inline distT="0" distB="0" distL="0" distR="0" wp14:anchorId="00977232" wp14:editId="7C94D91B">
            <wp:extent cx="3657600" cy="2542032"/>
            <wp:effectExtent l="0" t="0" r="0" b="0"/>
            <wp:docPr id="2114" name="Picture 211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 name="Picture 2114" descr="Graphical user interface, tabl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2542032"/>
                    </a:xfrm>
                    <a:prstGeom prst="rect">
                      <a:avLst/>
                    </a:prstGeom>
                  </pic:spPr>
                </pic:pic>
              </a:graphicData>
            </a:graphic>
          </wp:inline>
        </w:drawing>
      </w:r>
    </w:p>
    <w:p w14:paraId="21FF305C" w14:textId="77777777" w:rsidR="00AD081E" w:rsidRPr="00AD081E" w:rsidRDefault="00AD081E" w:rsidP="00F57DD0">
      <w:pPr>
        <w:pStyle w:val="Appendix5"/>
      </w:pPr>
      <w:r w:rsidRPr="00AD081E">
        <w:t>Configure LINT Interfaces and Routes for Participants</w:t>
      </w:r>
    </w:p>
    <w:p w14:paraId="55EF0AB8" w14:textId="77777777" w:rsidR="00AD081E" w:rsidRPr="00AD081E" w:rsidRDefault="00AD081E" w:rsidP="00AD081E">
      <w:pPr>
        <w:rPr>
          <w:rFonts w:eastAsia="Calibri"/>
        </w:rPr>
      </w:pPr>
      <w:r w:rsidRPr="00AD081E">
        <w:rPr>
          <w:rFonts w:eastAsia="Calibri"/>
        </w:rPr>
        <w:t>From Windows, start the LINT tool. Perform the following for each TCIP to be used during the rehearsal.</w:t>
      </w:r>
    </w:p>
    <w:p w14:paraId="4E7B11C1" w14:textId="77777777" w:rsidR="00AD081E" w:rsidRPr="00AD081E" w:rsidRDefault="00AD081E" w:rsidP="00306174">
      <w:pPr>
        <w:pStyle w:val="Appendix6"/>
      </w:pPr>
      <w:bookmarkStart w:id="8321" w:name="_S-4.7.3.2.1__Determine"/>
      <w:bookmarkEnd w:id="8321"/>
      <w:r w:rsidRPr="00AD081E">
        <w:t>Determine Scope of Changes</w:t>
      </w:r>
    </w:p>
    <w:p w14:paraId="6264FBF1"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At the bottom of the window, check the IP address labeled </w:t>
      </w:r>
      <w:r w:rsidRPr="00AD081E">
        <w:rPr>
          <w:rFonts w:eastAsia="Calibri"/>
          <w:b/>
        </w:rPr>
        <w:t>Server</w:t>
      </w:r>
      <w:r w:rsidRPr="00AD081E">
        <w:rPr>
          <w:rFonts w:eastAsia="Calibri"/>
        </w:rPr>
        <w:t xml:space="preserve"> against the IP address for the TCIP to be configured.</w:t>
      </w:r>
    </w:p>
    <w:p w14:paraId="57223CCB" w14:textId="3EB54696" w:rsidR="00AD081E" w:rsidRPr="00AD081E" w:rsidRDefault="00AD081E" w:rsidP="00AD081E">
      <w:pPr>
        <w:rPr>
          <w:rFonts w:eastAsia="Calibri"/>
        </w:rPr>
      </w:pPr>
      <w:r w:rsidRPr="00AD081E">
        <w:rPr>
          <w:rFonts w:eastAsia="Calibri"/>
        </w:rPr>
        <w:t xml:space="preserve">If the IP addresses differ, you will have to change LINT to point to the correct server before proceeding. First, login as administrator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LINT, then click </w:t>
      </w:r>
      <w:r w:rsidRPr="00AD081E">
        <w:rPr>
          <w:rFonts w:eastAsia="Calibri"/>
          <w:b/>
        </w:rPr>
        <w:t>OK</w:t>
      </w:r>
      <w:r w:rsidRPr="00AD081E">
        <w:rPr>
          <w:rFonts w:eastAsia="Calibri"/>
        </w:rPr>
        <w:t xml:space="preserve">. To change servers,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TCIP Server</w:t>
      </w:r>
      <w:r w:rsidRPr="00AD081E">
        <w:rPr>
          <w:rFonts w:eastAsia="Calibri"/>
        </w:rPr>
        <w:t xml:space="preserve"> from the menu. In the dialog that appears select the radio button to the left of the TCIP’s IP address (if it’s in the list) or select the radio button next to the blank text entry field and enter the TCIP’s IP address into the text field. Click on the </w:t>
      </w:r>
      <w:r w:rsidRPr="00AD081E">
        <w:rPr>
          <w:rFonts w:eastAsia="Calibri"/>
          <w:b/>
        </w:rPr>
        <w:t>Connect</w:t>
      </w:r>
      <w:r w:rsidRPr="00AD081E">
        <w:rPr>
          <w:rFonts w:eastAsia="Calibri"/>
        </w:rPr>
        <w:t xml:space="preserve"> button.</w:t>
      </w:r>
    </w:p>
    <w:p w14:paraId="57831555" w14:textId="4B61C328" w:rsidR="00AD081E" w:rsidRPr="00AD081E" w:rsidRDefault="00AD081E" w:rsidP="00AD081E">
      <w:pPr>
        <w:rPr>
          <w:rFonts w:eastAsia="Calibri"/>
        </w:rPr>
      </w:pPr>
      <w:r w:rsidRPr="00AD081E">
        <w:rPr>
          <w:rFonts w:eastAsia="Calibri"/>
        </w:rPr>
        <w:t xml:space="preserve">If there is a </w:t>
      </w:r>
      <w:r w:rsidR="00B9771D" w:rsidRPr="00AD081E">
        <w:rPr>
          <w:rFonts w:eastAsia="Calibri"/>
        </w:rPr>
        <w:t>previously saved</w:t>
      </w:r>
      <w:r w:rsidRPr="00AD081E">
        <w:rPr>
          <w:rFonts w:eastAsia="Calibri"/>
        </w:rPr>
        <w:t xml:space="preserve"> LINT configuration that is close to what you need, load it now. First login as LINT administrator if you haven’t already.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LINT, then click </w:t>
      </w:r>
      <w:r w:rsidRPr="00AD081E">
        <w:rPr>
          <w:rFonts w:eastAsia="Calibri"/>
          <w:b/>
        </w:rPr>
        <w:t>OK</w:t>
      </w:r>
      <w:r w:rsidRPr="00AD081E">
        <w:rPr>
          <w:rFonts w:eastAsia="Calibri"/>
        </w:rPr>
        <w:t xml:space="preserve">.) 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Load Configuration</w:t>
      </w:r>
      <w:r w:rsidRPr="00AD081E">
        <w:rPr>
          <w:rFonts w:eastAsia="Calibri"/>
        </w:rPr>
        <w:t xml:space="preserve">. In the dialog that appears, select your configuration, then click the </w:t>
      </w:r>
      <w:r w:rsidRPr="00AD081E">
        <w:rPr>
          <w:rFonts w:eastAsia="Calibri"/>
          <w:b/>
        </w:rPr>
        <w:t>OK</w:t>
      </w:r>
      <w:r w:rsidRPr="00AD081E">
        <w:rPr>
          <w:rFonts w:eastAsia="Calibri"/>
        </w:rPr>
        <w:t xml:space="preserve"> button.</w:t>
      </w:r>
    </w:p>
    <w:p w14:paraId="5AD632B2"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Interfaces</w:t>
      </w:r>
      <w:r w:rsidRPr="00AD081E">
        <w:rPr>
          <w:rFonts w:eastAsia="Calibri"/>
        </w:rPr>
        <w:t xml:space="preserve"> tab. Verify that, for each participating node on the TCIP, there is an interface defined with the correct IP address and port number and an interface type of OTH TCP. For each matching interface, note the interface name on your list of participating nodes.</w:t>
      </w:r>
    </w:p>
    <w:p w14:paraId="6663C82E" w14:textId="77777777" w:rsidR="00AD081E" w:rsidRPr="00AD081E" w:rsidRDefault="00AD081E" w:rsidP="00AD081E">
      <w:pPr>
        <w:rPr>
          <w:rFonts w:eastAsia="Calibri"/>
        </w:rPr>
      </w:pPr>
      <w:r w:rsidRPr="00AD081E">
        <w:rPr>
          <w:rFonts w:eastAsia="Calibri"/>
        </w:rPr>
        <w:t xml:space="preserve">Verify that, for each TCIP that is to be connected to this TCIP, there is an interface defined with the correct IP address, port number, and interface type (OTH TCP or OTH CLIENT). For each </w:t>
      </w:r>
      <w:r w:rsidRPr="00AD081E">
        <w:rPr>
          <w:rFonts w:eastAsia="Calibri"/>
        </w:rPr>
        <w:lastRenderedPageBreak/>
        <w:t>matching interface, note the interface name at the appropriate end of your TCIP interconnection diagram.</w:t>
      </w:r>
    </w:p>
    <w:p w14:paraId="1D036DAC" w14:textId="77777777" w:rsidR="00AD081E" w:rsidRPr="00AD081E" w:rsidRDefault="00AD081E" w:rsidP="00AD081E">
      <w:pPr>
        <w:rPr>
          <w:rFonts w:eastAsia="Calibri"/>
        </w:rPr>
      </w:pPr>
      <w:r w:rsidRPr="00AD081E">
        <w:rPr>
          <w:rFonts w:eastAsia="Calibri"/>
        </w:rPr>
        <w:t>The IP address, port number, and interface type of an interface cannot be changed once the interface has been defined. If any of these parameters are not correct, the interface is considered missing.</w:t>
      </w:r>
    </w:p>
    <w:p w14:paraId="2793149C" w14:textId="77777777" w:rsidR="00AD081E" w:rsidRPr="00AD081E" w:rsidRDefault="00AD081E" w:rsidP="00AD081E">
      <w:pPr>
        <w:rPr>
          <w:rFonts w:eastAsia="Calibri"/>
        </w:rPr>
      </w:pPr>
      <w:r w:rsidRPr="00AD081E">
        <w:rPr>
          <w:rFonts w:eastAsia="Calibri"/>
        </w:rPr>
        <w:t>Check each interface for the following discrepancies, noting any that must be corrected:</w:t>
      </w:r>
    </w:p>
    <w:p w14:paraId="508A7631" w14:textId="77777777" w:rsidR="00AD081E" w:rsidRPr="00AD081E" w:rsidRDefault="00AD081E" w:rsidP="006D5A65">
      <w:pPr>
        <w:pStyle w:val="Heading1"/>
      </w:pPr>
      <w:r w:rsidRPr="00AD081E">
        <w:t>Missing interfaces.</w:t>
      </w:r>
    </w:p>
    <w:p w14:paraId="6AE5279D" w14:textId="77777777" w:rsidR="00AD081E" w:rsidRPr="00AD081E" w:rsidRDefault="00AD081E" w:rsidP="006D5A65">
      <w:pPr>
        <w:pStyle w:val="Heading1"/>
      </w:pPr>
      <w:r w:rsidRPr="00AD081E">
        <w:t>Interfaces with the correct IP address and port number, but the wrong SID.</w:t>
      </w:r>
    </w:p>
    <w:p w14:paraId="742DAEDD" w14:textId="77777777" w:rsidR="00AD081E" w:rsidRPr="00AD081E" w:rsidRDefault="00AD081E" w:rsidP="006D5A65">
      <w:pPr>
        <w:pStyle w:val="Heading1"/>
      </w:pPr>
      <w:r w:rsidRPr="00AD081E">
        <w:t>Correctly defined interfaces which are not enabled.</w:t>
      </w:r>
    </w:p>
    <w:p w14:paraId="179A45CE" w14:textId="77777777" w:rsidR="00AD081E" w:rsidRPr="00AD081E" w:rsidRDefault="00AD081E" w:rsidP="006D5A65">
      <w:pPr>
        <w:pStyle w:val="Heading1"/>
      </w:pPr>
      <w:r w:rsidRPr="00AD081E">
        <w:t>Interfaces defined with the wrong guard list. To prevent stray messages from affecting the rehearsal, the guard list should include all participants and no non-participants.</w:t>
      </w:r>
    </w:p>
    <w:p w14:paraId="1474AA82" w14:textId="77777777" w:rsidR="00AD081E" w:rsidRPr="00AD081E" w:rsidRDefault="00AD081E" w:rsidP="00AD081E">
      <w:pPr>
        <w:tabs>
          <w:tab w:val="left" w:pos="720"/>
        </w:tabs>
        <w:jc w:val="center"/>
      </w:pPr>
      <w:r w:rsidRPr="00AD081E">
        <w:rPr>
          <w:noProof/>
        </w:rPr>
        <w:drawing>
          <wp:inline distT="0" distB="0" distL="0" distR="0" wp14:anchorId="43DC7F60" wp14:editId="7559EEB8">
            <wp:extent cx="3657600" cy="2660904"/>
            <wp:effectExtent l="0" t="0" r="0" b="6350"/>
            <wp:docPr id="813" name="Picture 8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Picture 813" descr="Graphical user interface, text,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3657600" cy="2660904"/>
                    </a:xfrm>
                    <a:prstGeom prst="rect">
                      <a:avLst/>
                    </a:prstGeom>
                  </pic:spPr>
                </pic:pic>
              </a:graphicData>
            </a:graphic>
          </wp:inline>
        </w:drawing>
      </w:r>
    </w:p>
    <w:p w14:paraId="5ABDF951"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Routes</w:t>
      </w:r>
      <w:r w:rsidRPr="00AD081E">
        <w:rPr>
          <w:rFonts w:eastAsia="Calibri"/>
        </w:rPr>
        <w:t xml:space="preserve"> tab, then click on the </w:t>
      </w:r>
      <w:r w:rsidRPr="00AD081E">
        <w:rPr>
          <w:rFonts w:eastAsia="Calibri"/>
          <w:b/>
        </w:rPr>
        <w:t>Source</w:t>
      </w:r>
      <w:r w:rsidRPr="00AD081E">
        <w:rPr>
          <w:rFonts w:eastAsia="Calibri"/>
        </w:rPr>
        <w:t xml:space="preserve"> column head to sort the list by source interface name. Verify that for each pair of interfaces that will be used in your rehearsal, there is a route from the first to the second, and another route from the second back to the first. Note any missing routes, as you will have to create these soon.</w:t>
      </w:r>
    </w:p>
    <w:p w14:paraId="45128C31" w14:textId="4FFFF6A6" w:rsidR="00AD081E" w:rsidRPr="00AD081E" w:rsidRDefault="00AD081E" w:rsidP="00AD081E">
      <w:pPr>
        <w:rPr>
          <w:rFonts w:eastAsia="Calibri"/>
        </w:rPr>
      </w:pPr>
      <w:r w:rsidRPr="00AD081E">
        <w:rPr>
          <w:rFonts w:eastAsia="Calibri"/>
        </w:rPr>
        <w:t xml:space="preserve">For example, suppose that on LINT A I have an interface for TSRT’s TED, an interface for the </w:t>
      </w:r>
      <w:r w:rsidR="009172F0">
        <w:rPr>
          <w:rFonts w:eastAsia="Calibri"/>
        </w:rPr>
        <w:t>TSC</w:t>
      </w:r>
      <w:r w:rsidR="009172F0" w:rsidRPr="00AD081E">
        <w:rPr>
          <w:rFonts w:eastAsia="Calibri"/>
        </w:rPr>
        <w:t xml:space="preserve">’s </w:t>
      </w:r>
      <w:r w:rsidRPr="00AD081E">
        <w:rPr>
          <w:rFonts w:eastAsia="Calibri"/>
        </w:rPr>
        <w:t>TED, and an interface for my connection to LINT B. I will need the following routes on LINT A:</w:t>
      </w:r>
    </w:p>
    <w:tbl>
      <w:tblPr>
        <w:tblStyle w:val="TableGrid2"/>
        <w:tblW w:w="0" w:type="auto"/>
        <w:jc w:val="center"/>
        <w:tblLook w:val="04A0" w:firstRow="1" w:lastRow="0" w:firstColumn="1" w:lastColumn="0" w:noHBand="0" w:noVBand="1"/>
      </w:tblPr>
      <w:tblGrid>
        <w:gridCol w:w="1165"/>
        <w:gridCol w:w="1620"/>
      </w:tblGrid>
      <w:tr w:rsidR="00AD081E" w:rsidRPr="00AD081E" w14:paraId="6BFEFD28" w14:textId="77777777" w:rsidTr="00AC4F37">
        <w:trPr>
          <w:jc w:val="center"/>
        </w:trPr>
        <w:tc>
          <w:tcPr>
            <w:tcW w:w="1165" w:type="dxa"/>
            <w:shd w:val="clear" w:color="auto" w:fill="D9D9D9"/>
          </w:tcPr>
          <w:p w14:paraId="7398FFA0" w14:textId="77777777" w:rsidR="00AD081E" w:rsidRPr="00AD081E" w:rsidRDefault="00AD081E" w:rsidP="0056739E">
            <w:pPr>
              <w:spacing w:before="60" w:after="60" w:line="240" w:lineRule="auto"/>
              <w:rPr>
                <w:rFonts w:ascii="Arial" w:hAnsi="Arial" w:cs="Arial"/>
                <w:b/>
                <w:sz w:val="20"/>
              </w:rPr>
            </w:pPr>
            <w:r w:rsidRPr="00AD081E">
              <w:rPr>
                <w:rFonts w:ascii="Arial" w:hAnsi="Arial" w:cs="Arial"/>
                <w:b/>
                <w:sz w:val="20"/>
              </w:rPr>
              <w:t>Source</w:t>
            </w:r>
          </w:p>
        </w:tc>
        <w:tc>
          <w:tcPr>
            <w:tcW w:w="1620" w:type="dxa"/>
            <w:shd w:val="clear" w:color="auto" w:fill="D9D9D9"/>
          </w:tcPr>
          <w:p w14:paraId="4F93966F" w14:textId="77777777" w:rsidR="00AD081E" w:rsidRPr="00AD081E" w:rsidRDefault="00AD081E" w:rsidP="0056739E">
            <w:pPr>
              <w:spacing w:before="60" w:after="60" w:line="240" w:lineRule="auto"/>
              <w:rPr>
                <w:rFonts w:ascii="Arial" w:hAnsi="Arial" w:cs="Arial"/>
                <w:b/>
                <w:sz w:val="20"/>
              </w:rPr>
            </w:pPr>
            <w:r w:rsidRPr="00AD081E">
              <w:rPr>
                <w:rFonts w:ascii="Arial" w:hAnsi="Arial" w:cs="Arial"/>
                <w:b/>
                <w:sz w:val="20"/>
              </w:rPr>
              <w:t>Destination</w:t>
            </w:r>
          </w:p>
        </w:tc>
      </w:tr>
      <w:tr w:rsidR="00AD081E" w:rsidRPr="00AD081E" w14:paraId="52293646" w14:textId="77777777" w:rsidTr="00AC4F37">
        <w:trPr>
          <w:jc w:val="center"/>
        </w:trPr>
        <w:tc>
          <w:tcPr>
            <w:tcW w:w="1165" w:type="dxa"/>
          </w:tcPr>
          <w:p w14:paraId="3042E9C2" w14:textId="77777777" w:rsidR="00AD081E" w:rsidRPr="00AD081E" w:rsidRDefault="00AD081E" w:rsidP="0056739E">
            <w:pPr>
              <w:spacing w:before="60" w:after="60" w:line="240" w:lineRule="auto"/>
              <w:rPr>
                <w:rFonts w:ascii="Arial" w:hAnsi="Arial" w:cs="Arial"/>
                <w:sz w:val="20"/>
              </w:rPr>
            </w:pPr>
            <w:r w:rsidRPr="00AD081E">
              <w:rPr>
                <w:rFonts w:ascii="Arial" w:hAnsi="Arial" w:cs="Arial"/>
                <w:sz w:val="20"/>
              </w:rPr>
              <w:t>TSRT</w:t>
            </w:r>
          </w:p>
        </w:tc>
        <w:tc>
          <w:tcPr>
            <w:tcW w:w="1620" w:type="dxa"/>
          </w:tcPr>
          <w:p w14:paraId="120E85A1" w14:textId="29A627CE" w:rsidR="00AD081E" w:rsidRPr="00AD081E" w:rsidRDefault="009172F0" w:rsidP="0056739E">
            <w:pPr>
              <w:spacing w:before="60" w:after="60" w:line="240" w:lineRule="auto"/>
              <w:rPr>
                <w:rFonts w:ascii="Arial" w:hAnsi="Arial" w:cs="Arial"/>
                <w:sz w:val="20"/>
              </w:rPr>
            </w:pPr>
            <w:r>
              <w:rPr>
                <w:rFonts w:ascii="Arial" w:hAnsi="Arial" w:cs="Arial"/>
                <w:sz w:val="20"/>
              </w:rPr>
              <w:t>TSC</w:t>
            </w:r>
          </w:p>
        </w:tc>
      </w:tr>
      <w:tr w:rsidR="00AD081E" w:rsidRPr="00AD081E" w14:paraId="1B4D4B44" w14:textId="77777777" w:rsidTr="00AC4F37">
        <w:trPr>
          <w:jc w:val="center"/>
        </w:trPr>
        <w:tc>
          <w:tcPr>
            <w:tcW w:w="1165" w:type="dxa"/>
          </w:tcPr>
          <w:p w14:paraId="1213EB88" w14:textId="77777777" w:rsidR="00AD081E" w:rsidRPr="00AD081E" w:rsidRDefault="00AD081E" w:rsidP="0056739E">
            <w:pPr>
              <w:spacing w:before="60" w:after="60" w:line="240" w:lineRule="auto"/>
              <w:rPr>
                <w:rFonts w:ascii="Arial" w:hAnsi="Arial" w:cs="Arial"/>
                <w:sz w:val="20"/>
              </w:rPr>
            </w:pPr>
            <w:r w:rsidRPr="00AD081E">
              <w:rPr>
                <w:rFonts w:ascii="Arial" w:hAnsi="Arial" w:cs="Arial"/>
                <w:sz w:val="20"/>
              </w:rPr>
              <w:t>TSRT</w:t>
            </w:r>
          </w:p>
        </w:tc>
        <w:tc>
          <w:tcPr>
            <w:tcW w:w="1620" w:type="dxa"/>
          </w:tcPr>
          <w:p w14:paraId="213F7A8E" w14:textId="77777777" w:rsidR="00AD081E" w:rsidRPr="00AD081E" w:rsidRDefault="00AD081E" w:rsidP="0056739E">
            <w:pPr>
              <w:spacing w:before="60" w:after="60" w:line="240" w:lineRule="auto"/>
              <w:rPr>
                <w:rFonts w:ascii="Arial" w:hAnsi="Arial" w:cs="Arial"/>
                <w:sz w:val="20"/>
              </w:rPr>
            </w:pPr>
            <w:r w:rsidRPr="00AD081E">
              <w:rPr>
                <w:rFonts w:ascii="Arial" w:hAnsi="Arial" w:cs="Arial"/>
                <w:sz w:val="20"/>
              </w:rPr>
              <w:t>LINTB</w:t>
            </w:r>
          </w:p>
        </w:tc>
      </w:tr>
      <w:tr w:rsidR="00AD081E" w:rsidRPr="00AD081E" w14:paraId="37ECB81F" w14:textId="77777777" w:rsidTr="00AC4F37">
        <w:trPr>
          <w:jc w:val="center"/>
        </w:trPr>
        <w:tc>
          <w:tcPr>
            <w:tcW w:w="1165" w:type="dxa"/>
          </w:tcPr>
          <w:p w14:paraId="7F4D3396" w14:textId="6651DA15" w:rsidR="00AD081E" w:rsidRPr="00AD081E" w:rsidRDefault="009172F0" w:rsidP="0056739E">
            <w:pPr>
              <w:spacing w:before="60" w:after="60" w:line="240" w:lineRule="auto"/>
              <w:rPr>
                <w:rFonts w:ascii="Arial" w:hAnsi="Arial" w:cs="Arial"/>
                <w:sz w:val="20"/>
              </w:rPr>
            </w:pPr>
            <w:r>
              <w:rPr>
                <w:rFonts w:ascii="Arial" w:hAnsi="Arial" w:cs="Arial"/>
                <w:sz w:val="20"/>
              </w:rPr>
              <w:t>TSC</w:t>
            </w:r>
          </w:p>
        </w:tc>
        <w:tc>
          <w:tcPr>
            <w:tcW w:w="1620" w:type="dxa"/>
          </w:tcPr>
          <w:p w14:paraId="4FC0F10F" w14:textId="77777777" w:rsidR="00AD081E" w:rsidRPr="00AD081E" w:rsidRDefault="00AD081E" w:rsidP="0056739E">
            <w:pPr>
              <w:spacing w:before="60" w:after="60" w:line="240" w:lineRule="auto"/>
              <w:rPr>
                <w:rFonts w:ascii="Arial" w:hAnsi="Arial" w:cs="Arial"/>
                <w:sz w:val="20"/>
              </w:rPr>
            </w:pPr>
            <w:r w:rsidRPr="00AD081E">
              <w:rPr>
                <w:rFonts w:ascii="Arial" w:hAnsi="Arial" w:cs="Arial"/>
                <w:sz w:val="20"/>
              </w:rPr>
              <w:t>TSRT</w:t>
            </w:r>
          </w:p>
        </w:tc>
      </w:tr>
      <w:tr w:rsidR="00AD081E" w:rsidRPr="00AD081E" w14:paraId="67A6DB4D" w14:textId="77777777" w:rsidTr="00AC4F37">
        <w:trPr>
          <w:jc w:val="center"/>
        </w:trPr>
        <w:tc>
          <w:tcPr>
            <w:tcW w:w="1165" w:type="dxa"/>
          </w:tcPr>
          <w:p w14:paraId="0F6057C7" w14:textId="6D284612" w:rsidR="00AD081E" w:rsidRPr="00AD081E" w:rsidRDefault="009172F0" w:rsidP="0056739E">
            <w:pPr>
              <w:spacing w:before="60" w:after="60" w:line="240" w:lineRule="auto"/>
              <w:rPr>
                <w:rFonts w:ascii="Arial" w:hAnsi="Arial" w:cs="Arial"/>
                <w:sz w:val="20"/>
              </w:rPr>
            </w:pPr>
            <w:r>
              <w:rPr>
                <w:rFonts w:ascii="Arial" w:hAnsi="Arial" w:cs="Arial"/>
                <w:sz w:val="20"/>
              </w:rPr>
              <w:t>TSC</w:t>
            </w:r>
          </w:p>
        </w:tc>
        <w:tc>
          <w:tcPr>
            <w:tcW w:w="1620" w:type="dxa"/>
          </w:tcPr>
          <w:p w14:paraId="7E1430F3" w14:textId="77777777" w:rsidR="00AD081E" w:rsidRPr="00AD081E" w:rsidRDefault="00AD081E" w:rsidP="0056739E">
            <w:pPr>
              <w:spacing w:before="60" w:after="60" w:line="240" w:lineRule="auto"/>
              <w:rPr>
                <w:rFonts w:ascii="Arial" w:hAnsi="Arial" w:cs="Arial"/>
                <w:sz w:val="20"/>
              </w:rPr>
            </w:pPr>
            <w:r w:rsidRPr="00AD081E">
              <w:rPr>
                <w:rFonts w:ascii="Arial" w:hAnsi="Arial" w:cs="Arial"/>
                <w:sz w:val="20"/>
              </w:rPr>
              <w:t>LINTB</w:t>
            </w:r>
          </w:p>
        </w:tc>
      </w:tr>
      <w:tr w:rsidR="00AD081E" w:rsidRPr="00AD081E" w14:paraId="0F54DE04" w14:textId="77777777" w:rsidTr="00AC4F37">
        <w:trPr>
          <w:jc w:val="center"/>
        </w:trPr>
        <w:tc>
          <w:tcPr>
            <w:tcW w:w="1165" w:type="dxa"/>
          </w:tcPr>
          <w:p w14:paraId="07381116" w14:textId="77777777" w:rsidR="00AD081E" w:rsidRPr="00AD081E" w:rsidRDefault="00AD081E" w:rsidP="0056739E">
            <w:pPr>
              <w:spacing w:before="60" w:after="60" w:line="240" w:lineRule="auto"/>
              <w:rPr>
                <w:rFonts w:ascii="Arial" w:hAnsi="Arial" w:cs="Arial"/>
                <w:sz w:val="20"/>
              </w:rPr>
            </w:pPr>
            <w:r w:rsidRPr="00AD081E">
              <w:rPr>
                <w:rFonts w:ascii="Arial" w:hAnsi="Arial" w:cs="Arial"/>
                <w:sz w:val="20"/>
              </w:rPr>
              <w:t>LINTB</w:t>
            </w:r>
          </w:p>
        </w:tc>
        <w:tc>
          <w:tcPr>
            <w:tcW w:w="1620" w:type="dxa"/>
          </w:tcPr>
          <w:p w14:paraId="0CF432FD" w14:textId="77777777" w:rsidR="00AD081E" w:rsidRPr="00AD081E" w:rsidRDefault="00AD081E" w:rsidP="0056739E">
            <w:pPr>
              <w:spacing w:before="60" w:after="60" w:line="240" w:lineRule="auto"/>
              <w:rPr>
                <w:rFonts w:ascii="Arial" w:hAnsi="Arial" w:cs="Arial"/>
                <w:sz w:val="20"/>
              </w:rPr>
            </w:pPr>
            <w:r w:rsidRPr="00AD081E">
              <w:rPr>
                <w:rFonts w:ascii="Arial" w:hAnsi="Arial" w:cs="Arial"/>
                <w:sz w:val="20"/>
              </w:rPr>
              <w:t>TSRT</w:t>
            </w:r>
          </w:p>
        </w:tc>
      </w:tr>
      <w:tr w:rsidR="00AD081E" w:rsidRPr="00AD081E" w14:paraId="3D3A15C5" w14:textId="77777777" w:rsidTr="00AC4F37">
        <w:trPr>
          <w:jc w:val="center"/>
        </w:trPr>
        <w:tc>
          <w:tcPr>
            <w:tcW w:w="1165" w:type="dxa"/>
          </w:tcPr>
          <w:p w14:paraId="45D60B95" w14:textId="77777777" w:rsidR="00AD081E" w:rsidRPr="00AD081E" w:rsidRDefault="00AD081E" w:rsidP="0056739E">
            <w:pPr>
              <w:spacing w:before="60" w:after="60" w:line="240" w:lineRule="auto"/>
              <w:rPr>
                <w:rFonts w:ascii="Arial" w:hAnsi="Arial" w:cs="Arial"/>
                <w:sz w:val="20"/>
              </w:rPr>
            </w:pPr>
            <w:r w:rsidRPr="00AD081E">
              <w:rPr>
                <w:rFonts w:ascii="Arial" w:hAnsi="Arial" w:cs="Arial"/>
                <w:sz w:val="20"/>
              </w:rPr>
              <w:lastRenderedPageBreak/>
              <w:t>LINTB</w:t>
            </w:r>
          </w:p>
        </w:tc>
        <w:tc>
          <w:tcPr>
            <w:tcW w:w="1620" w:type="dxa"/>
          </w:tcPr>
          <w:p w14:paraId="3F871B96" w14:textId="3D1516B4" w:rsidR="00AD081E" w:rsidRPr="00AD081E" w:rsidRDefault="009172F0" w:rsidP="0056739E">
            <w:pPr>
              <w:spacing w:before="60" w:after="60" w:line="240" w:lineRule="auto"/>
              <w:rPr>
                <w:rFonts w:ascii="Arial" w:hAnsi="Arial" w:cs="Arial"/>
                <w:sz w:val="20"/>
              </w:rPr>
            </w:pPr>
            <w:r>
              <w:rPr>
                <w:rFonts w:ascii="Arial" w:hAnsi="Arial" w:cs="Arial"/>
                <w:sz w:val="20"/>
              </w:rPr>
              <w:t>TSC</w:t>
            </w:r>
          </w:p>
        </w:tc>
      </w:tr>
    </w:tbl>
    <w:p w14:paraId="7861FCF5" w14:textId="77777777" w:rsidR="00AD081E" w:rsidRPr="00AD081E" w:rsidRDefault="00AD081E" w:rsidP="00AD081E">
      <w:pPr>
        <w:tabs>
          <w:tab w:val="left" w:pos="720"/>
        </w:tabs>
        <w:spacing w:before="240"/>
        <w:jc w:val="center"/>
      </w:pPr>
      <w:r w:rsidRPr="00AD081E">
        <w:rPr>
          <w:noProof/>
        </w:rPr>
        <w:drawing>
          <wp:inline distT="0" distB="0" distL="0" distR="0" wp14:anchorId="4F1D4094" wp14:editId="70DF7142">
            <wp:extent cx="2942897" cy="2133600"/>
            <wp:effectExtent l="0" t="0" r="0" b="0"/>
            <wp:docPr id="818" name="Picture 818"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 name="Picture 818" descr="Graphical user interface, application, table&#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958665" cy="2145032"/>
                    </a:xfrm>
                    <a:prstGeom prst="rect">
                      <a:avLst/>
                    </a:prstGeom>
                  </pic:spPr>
                </pic:pic>
              </a:graphicData>
            </a:graphic>
          </wp:inline>
        </w:drawing>
      </w:r>
    </w:p>
    <w:p w14:paraId="62322D66" w14:textId="36F00E44" w:rsidR="00AD081E" w:rsidRPr="00AD081E" w:rsidRDefault="00AD081E" w:rsidP="00AD081E">
      <w:pPr>
        <w:rPr>
          <w:rFonts w:eastAsia="Calibri"/>
        </w:rPr>
      </w:pPr>
      <w:r w:rsidRPr="00AD081E">
        <w:rPr>
          <w:rFonts w:eastAsia="Calibri"/>
        </w:rPr>
        <w:t xml:space="preserve">If there are no incorrect or missing interfaces, and there are no missing routes, there’s nothing further to do for LINT configuration on this TCIP, and you can go on to the next TCIP. If there are no more TCIPs, and you logged in as administrator, logout now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from the menu. Close the LINT tool. Skip to </w:t>
      </w:r>
      <w:r w:rsidRPr="00AD081E">
        <w:t xml:space="preserve">configuring the DAMA TSNIF Interfaces and Routes for Participants (see </w:t>
      </w:r>
      <w:hyperlink w:anchor="_S-4.7.3.3__Configure" w:history="1">
        <w:r w:rsidRPr="00AD081E">
          <w:rPr>
            <w:rFonts w:eastAsia="Calibri"/>
            <w:color w:val="0000FF"/>
            <w:u w:val="single"/>
          </w:rPr>
          <w:t>Section R.4.7.3.3</w:t>
        </w:r>
      </w:hyperlink>
      <w:r w:rsidRPr="00AD081E">
        <w:rPr>
          <w:rFonts w:eastAsia="Calibri"/>
          <w:color w:val="0000FF"/>
          <w:u w:val="single"/>
        </w:rPr>
        <w:t>)</w:t>
      </w:r>
      <w:r w:rsidRPr="00AD081E">
        <w:rPr>
          <w:rFonts w:eastAsia="Calibri"/>
        </w:rPr>
        <w:t>.</w:t>
      </w:r>
    </w:p>
    <w:p w14:paraId="3A049F8F" w14:textId="77777777" w:rsidR="00AD081E" w:rsidRPr="00AD081E" w:rsidRDefault="00AD081E" w:rsidP="00AD081E">
      <w:pPr>
        <w:rPr>
          <w:rFonts w:eastAsia="Calibri"/>
        </w:rPr>
      </w:pPr>
      <w:r w:rsidRPr="00AD081E">
        <w:rPr>
          <w:rFonts w:eastAsia="Calibri"/>
        </w:rPr>
        <w:t>Otherwise, keep going.</w:t>
      </w:r>
    </w:p>
    <w:p w14:paraId="5E6A144D" w14:textId="77777777" w:rsidR="00AD081E" w:rsidRPr="00AD081E" w:rsidRDefault="00AD081E" w:rsidP="00306174">
      <w:pPr>
        <w:pStyle w:val="Appendix6"/>
      </w:pPr>
      <w:r w:rsidRPr="00AD081E">
        <w:t>Login as Administrator</w:t>
      </w:r>
    </w:p>
    <w:p w14:paraId="2699C8A2" w14:textId="0088BE23"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If you did not previously log in as LINT administrator (to change the TCIP server or load a LINT configuration), log in as administrator now.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LINT, then click </w:t>
      </w:r>
      <w:r w:rsidRPr="00AD081E">
        <w:rPr>
          <w:rFonts w:eastAsia="Calibri"/>
          <w:b/>
        </w:rPr>
        <w:t>OK</w:t>
      </w:r>
      <w:r w:rsidRPr="00AD081E">
        <w:rPr>
          <w:rFonts w:eastAsia="Calibri"/>
        </w:rPr>
        <w:t>.</w:t>
      </w:r>
    </w:p>
    <w:p w14:paraId="74B2AF96" w14:textId="77777777" w:rsidR="00AD081E" w:rsidRPr="00AD081E" w:rsidRDefault="00AD081E" w:rsidP="00306174">
      <w:pPr>
        <w:pStyle w:val="Appendix6"/>
      </w:pPr>
      <w:r w:rsidRPr="00AD081E">
        <w:t>Correct Interfaces with the Wrong SID, Disabled Interface, or Incorrect Guard List</w:t>
      </w:r>
    </w:p>
    <w:p w14:paraId="06070B4D" w14:textId="18F2E7B6" w:rsidR="00AD081E" w:rsidRPr="00AD081E" w:rsidRDefault="00AD081E" w:rsidP="00AD081E">
      <w:pPr>
        <w:rPr>
          <w:rFonts w:eastAsia="Calibri"/>
        </w:rPr>
      </w:pPr>
      <w:r w:rsidRPr="00AD081E">
        <w:rPr>
          <w:rFonts w:eastAsia="Calibri"/>
        </w:rPr>
        <w:t xml:space="preserve">If there are interfaces with the correct IP address and port, but the wrong SID, or </w:t>
      </w:r>
      <w:r w:rsidR="00B9771D" w:rsidRPr="00AD081E">
        <w:rPr>
          <w:rFonts w:eastAsia="Calibri"/>
        </w:rPr>
        <w:t>correctly defined</w:t>
      </w:r>
      <w:r w:rsidRPr="00AD081E">
        <w:rPr>
          <w:rFonts w:eastAsia="Calibri"/>
        </w:rPr>
        <w:t xml:space="preserve"> interfaces that are disabled, or that have an incorrect guard list, correct them as follows:</w:t>
      </w:r>
    </w:p>
    <w:p w14:paraId="57493B8C"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Select the interface in the list. Click on the </w:t>
      </w:r>
      <w:r w:rsidRPr="00AD081E">
        <w:rPr>
          <w:rFonts w:eastAsia="Calibri"/>
          <w:b/>
        </w:rPr>
        <w:t>Modify</w:t>
      </w:r>
      <w:r w:rsidRPr="00AD081E">
        <w:rPr>
          <w:rFonts w:eastAsia="Calibri"/>
        </w:rPr>
        <w:t xml:space="preserve"> button at the bottom of the tab. In the dialog that appears, correct the value of the SID, if necessary (near the middle of the dialog). Ensure that the </w:t>
      </w:r>
      <w:r w:rsidRPr="00AD081E">
        <w:rPr>
          <w:rFonts w:eastAsia="Calibri"/>
          <w:b/>
        </w:rPr>
        <w:t>Enabled</w:t>
      </w:r>
      <w:r w:rsidRPr="00AD081E">
        <w:rPr>
          <w:rFonts w:eastAsia="Calibri"/>
        </w:rPr>
        <w:t xml:space="preserve"> radio button is selected. Correct the guard list as necessary by adding, modifying, or deleting SID ranges. To complete your changes, click on the </w:t>
      </w:r>
      <w:r w:rsidRPr="00AD081E">
        <w:rPr>
          <w:rFonts w:eastAsia="Calibri"/>
          <w:b/>
        </w:rPr>
        <w:t>Apply</w:t>
      </w:r>
      <w:r w:rsidRPr="00AD081E">
        <w:rPr>
          <w:rFonts w:eastAsia="Calibri"/>
        </w:rPr>
        <w:t xml:space="preserve"> button at the bottom of the dialog (</w:t>
      </w:r>
      <w:r w:rsidRPr="00AD081E">
        <w:rPr>
          <w:rFonts w:eastAsia="Calibri"/>
          <w:i/>
        </w:rPr>
        <w:t>not</w:t>
      </w:r>
      <w:r w:rsidRPr="00AD081E">
        <w:rPr>
          <w:rFonts w:eastAsia="Calibri"/>
        </w:rPr>
        <w:t xml:space="preserve"> the </w:t>
      </w:r>
      <w:r w:rsidRPr="00AD081E">
        <w:rPr>
          <w:rFonts w:eastAsia="Calibri"/>
          <w:b/>
        </w:rPr>
        <w:t>Apply</w:t>
      </w:r>
      <w:r w:rsidRPr="00AD081E">
        <w:rPr>
          <w:rFonts w:eastAsia="Calibri"/>
        </w:rPr>
        <w:t xml:space="preserve"> button in the </w:t>
      </w:r>
      <w:r w:rsidRPr="00AD081E">
        <w:rPr>
          <w:rFonts w:eastAsia="Calibri"/>
          <w:b/>
        </w:rPr>
        <w:t>Guard List</w:t>
      </w:r>
      <w:r w:rsidRPr="00AD081E">
        <w:rPr>
          <w:rFonts w:eastAsia="Calibri"/>
        </w:rPr>
        <w:t xml:space="preserve"> area).</w:t>
      </w:r>
    </w:p>
    <w:p w14:paraId="2F7E5B01" w14:textId="77777777" w:rsidR="00AD081E" w:rsidRPr="00AD081E" w:rsidRDefault="00AD081E" w:rsidP="00306174">
      <w:pPr>
        <w:pStyle w:val="Appendix6"/>
      </w:pPr>
      <w:r w:rsidRPr="00AD081E">
        <w:t>Add Missing Interfaces</w:t>
      </w:r>
    </w:p>
    <w:p w14:paraId="1D75F37B" w14:textId="77777777" w:rsidR="00AD081E" w:rsidRPr="00AD081E" w:rsidRDefault="00AD081E" w:rsidP="00AD081E">
      <w:pPr>
        <w:rPr>
          <w:rFonts w:eastAsia="Calibri"/>
        </w:rPr>
      </w:pPr>
      <w:r w:rsidRPr="00AD081E">
        <w:rPr>
          <w:rFonts w:eastAsia="Calibri"/>
        </w:rPr>
        <w:t>For each missing interface, create an interface as follows:</w:t>
      </w:r>
    </w:p>
    <w:p w14:paraId="510A7F6A" w14:textId="77777777" w:rsidR="00AD081E" w:rsidRPr="00AD081E" w:rsidRDefault="00AD081E" w:rsidP="00AD081E">
      <w:pPr>
        <w:rPr>
          <w:rFonts w:eastAsia="Calibri"/>
        </w:rPr>
      </w:pPr>
      <w:r w:rsidRPr="00AD081E">
        <w:rPr>
          <w:rFonts w:eastAsia="Calibri"/>
          <w:b/>
        </w:rPr>
        <w:lastRenderedPageBreak/>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1AC6D529" w14:textId="77777777" w:rsidR="00AD081E" w:rsidRPr="00AD081E" w:rsidRDefault="00AD081E" w:rsidP="00AD081E">
      <w:pPr>
        <w:rPr>
          <w:rFonts w:eastAsia="Calibri"/>
        </w:rPr>
      </w:pPr>
      <w:r w:rsidRPr="00AD081E">
        <w:rPr>
          <w:rFonts w:eastAsia="Calibri"/>
          <w:b/>
        </w:rPr>
        <w:t>Select Interface Type</w:t>
      </w:r>
      <w:r w:rsidRPr="00AD081E">
        <w:rPr>
          <w:rFonts w:eastAsia="Calibri"/>
          <w:b/>
        </w:rPr>
        <w:br/>
      </w:r>
      <w:r w:rsidRPr="00AD081E">
        <w:rPr>
          <w:rFonts w:eastAsia="Calibri"/>
        </w:rPr>
        <w:t xml:space="preserve">Select the interface type from the list. This is </w:t>
      </w:r>
      <w:r w:rsidRPr="00AD081E">
        <w:rPr>
          <w:rFonts w:eastAsia="Calibri"/>
          <w:b/>
        </w:rPr>
        <w:t>OTH TCP</w:t>
      </w:r>
      <w:r w:rsidRPr="00AD081E">
        <w:rPr>
          <w:rFonts w:eastAsia="Calibri"/>
        </w:rPr>
        <w:t xml:space="preserve"> for participating nodes and for the TCP end of TCIP interconnections, </w:t>
      </w:r>
      <w:r w:rsidRPr="00AD081E">
        <w:rPr>
          <w:rFonts w:eastAsia="Calibri"/>
          <w:b/>
        </w:rPr>
        <w:t>OTH CLIENT</w:t>
      </w:r>
      <w:r w:rsidRPr="00AD081E">
        <w:rPr>
          <w:rFonts w:eastAsia="Calibri"/>
        </w:rPr>
        <w:t xml:space="preserve"> for the client end of TCIP interconnections. Click on the </w:t>
      </w:r>
      <w:r w:rsidRPr="00AD081E">
        <w:rPr>
          <w:rFonts w:eastAsia="Calibri"/>
          <w:b/>
        </w:rPr>
        <w:t>OK</w:t>
      </w:r>
      <w:r w:rsidRPr="00AD081E">
        <w:rPr>
          <w:rFonts w:eastAsia="Calibri"/>
        </w:rPr>
        <w:t xml:space="preserve"> button.</w:t>
      </w:r>
    </w:p>
    <w:p w14:paraId="58EC3C97" w14:textId="77777777" w:rsidR="00AD081E" w:rsidRPr="00AD081E" w:rsidRDefault="00AD081E" w:rsidP="00AD081E">
      <w:pPr>
        <w:rPr>
          <w:rFonts w:eastAsia="Calibri"/>
        </w:rPr>
      </w:pPr>
      <w:r w:rsidRPr="00AD081E">
        <w:rPr>
          <w:rFonts w:eastAsia="Calibri"/>
          <w:b/>
        </w:rPr>
        <w:t>OTH TCP</w:t>
      </w:r>
      <w:r w:rsidRPr="00AD081E">
        <w:rPr>
          <w:rFonts w:eastAsia="Calibri"/>
        </w:rPr>
        <w:t xml:space="preserve"> (or</w:t>
      </w:r>
      <w:r w:rsidRPr="00AD081E">
        <w:rPr>
          <w:rFonts w:eastAsia="Calibri"/>
          <w:b/>
        </w:rPr>
        <w:t xml:space="preserve"> OTH CLIENT</w:t>
      </w:r>
      <w:r w:rsidRPr="00AD081E">
        <w:rPr>
          <w:rFonts w:eastAsia="Calibri"/>
        </w:rPr>
        <w:t>)</w:t>
      </w:r>
      <w:r w:rsidRPr="00AD081E">
        <w:rPr>
          <w:rFonts w:eastAsia="Calibri"/>
        </w:rPr>
        <w:br/>
        <w:t xml:space="preserve">Enter a name for the interface. Select the </w:t>
      </w:r>
      <w:r w:rsidRPr="00AD081E">
        <w:rPr>
          <w:rFonts w:eastAsia="Calibri"/>
          <w:b/>
        </w:rPr>
        <w:t>Enabled</w:t>
      </w:r>
      <w:r w:rsidRPr="00AD081E">
        <w:rPr>
          <w:rFonts w:eastAsia="Calibri"/>
        </w:rPr>
        <w:t xml:space="preserve"> radio button. In the </w:t>
      </w:r>
      <w:r w:rsidRPr="00AD081E">
        <w:rPr>
          <w:rFonts w:eastAsia="Calibri"/>
          <w:b/>
        </w:rPr>
        <w:t>Internet Address</w:t>
      </w:r>
      <w:r w:rsidRPr="00AD081E">
        <w:rPr>
          <w:rFonts w:eastAsia="Calibri"/>
        </w:rPr>
        <w:t xml:space="preserve"> area, enter the IP address of the node (the four IP address components are each entered into a separate text area; you can tab from one to the next as you enter). In the field labeled </w:t>
      </w:r>
      <w:r w:rsidRPr="00AD081E">
        <w:rPr>
          <w:rFonts w:eastAsia="Calibri"/>
          <w:b/>
        </w:rPr>
        <w:t>SID</w:t>
      </w:r>
      <w:r w:rsidRPr="00AD081E">
        <w:rPr>
          <w:rFonts w:eastAsia="Calibri"/>
        </w:rPr>
        <w:t xml:space="preserve">, enter the OTH SID of the node. In the </w:t>
      </w:r>
      <w:r w:rsidRPr="00AD081E">
        <w:rPr>
          <w:rFonts w:eastAsia="Calibri"/>
          <w:b/>
        </w:rPr>
        <w:t>Guard List</w:t>
      </w:r>
      <w:r w:rsidRPr="00AD081E">
        <w:rPr>
          <w:rFonts w:eastAsia="Calibri"/>
        </w:rPr>
        <w:t xml:space="preserve"> region, enter the low and high SIDs of the range used for your rehearsal (or just enter 1 and 16383 to allow all SIDs), then click on the </w:t>
      </w:r>
      <w:r w:rsidRPr="00AD081E">
        <w:rPr>
          <w:rFonts w:eastAsia="Calibri"/>
          <w:b/>
        </w:rPr>
        <w:t>Apply</w:t>
      </w:r>
      <w:r w:rsidRPr="00AD081E">
        <w:rPr>
          <w:rFonts w:eastAsia="Calibri"/>
        </w:rPr>
        <w:t xml:space="preserve"> button in the</w:t>
      </w:r>
      <w:r w:rsidRPr="00AD081E">
        <w:rPr>
          <w:rFonts w:eastAsia="Calibri"/>
          <w:b/>
        </w:rPr>
        <w:t xml:space="preserve"> Guard List </w:t>
      </w:r>
      <w:r w:rsidRPr="00AD081E">
        <w:rPr>
          <w:rFonts w:eastAsia="Calibri"/>
        </w:rPr>
        <w:t>region (</w:t>
      </w:r>
      <w:r w:rsidRPr="00AD081E">
        <w:rPr>
          <w:rFonts w:eastAsia="Calibri"/>
          <w:i/>
        </w:rPr>
        <w:t>not</w:t>
      </w:r>
      <w:r w:rsidRPr="00AD081E">
        <w:rPr>
          <w:rFonts w:eastAsia="Calibri"/>
        </w:rPr>
        <w:t xml:space="preserve"> the </w:t>
      </w:r>
      <w:r w:rsidRPr="00AD081E">
        <w:rPr>
          <w:rFonts w:eastAsia="Calibri"/>
          <w:b/>
        </w:rPr>
        <w:t>Apply</w:t>
      </w:r>
      <w:r w:rsidRPr="00AD081E">
        <w:rPr>
          <w:rFonts w:eastAsia="Calibri"/>
        </w:rPr>
        <w:t xml:space="preserve"> button at the bottom of the dialog). If the SID range you wish to guard is discontinuous, you may enter as many SID ranges as necessary.</w:t>
      </w:r>
    </w:p>
    <w:p w14:paraId="79DD5D9F" w14:textId="77777777" w:rsidR="00AD081E" w:rsidRPr="00AD081E" w:rsidRDefault="00AD081E" w:rsidP="00AD081E">
      <w:pPr>
        <w:rPr>
          <w:rFonts w:eastAsia="Calibri"/>
        </w:rPr>
      </w:pPr>
      <w:r w:rsidRPr="00AD081E">
        <w:rPr>
          <w:rFonts w:eastAsia="Calibri"/>
        </w:rPr>
        <w:t>The guard list of the interface for the TSRT’s TED must include the SIDs of all participants, and the guard lists of the interfaces for other participants must include the SID of the TSRT’s TED.</w:t>
      </w:r>
    </w:p>
    <w:p w14:paraId="3C5D84C3"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rPr>
        <w:t>Apply</w:t>
      </w:r>
      <w:r w:rsidRPr="00AD081E">
        <w:rPr>
          <w:rFonts w:eastAsia="Calibri"/>
        </w:rPr>
        <w:t xml:space="preserve"> button at the bottom of the dialog to create the interface.</w:t>
      </w:r>
    </w:p>
    <w:p w14:paraId="6ABB0B2C" w14:textId="77777777" w:rsidR="00AD081E" w:rsidRPr="00AD081E" w:rsidRDefault="00AD081E" w:rsidP="00AD081E">
      <w:pPr>
        <w:tabs>
          <w:tab w:val="left" w:pos="720"/>
        </w:tabs>
        <w:jc w:val="center"/>
      </w:pPr>
      <w:r w:rsidRPr="00AD081E">
        <w:rPr>
          <w:noProof/>
        </w:rPr>
        <w:drawing>
          <wp:inline distT="0" distB="0" distL="0" distR="0" wp14:anchorId="20A8D0C6" wp14:editId="2166C055">
            <wp:extent cx="1859280" cy="2501441"/>
            <wp:effectExtent l="0" t="0" r="7620" b="0"/>
            <wp:docPr id="819" name="Picture 8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 name="Picture 819"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860790" cy="2503473"/>
                    </a:xfrm>
                    <a:prstGeom prst="rect">
                      <a:avLst/>
                    </a:prstGeom>
                  </pic:spPr>
                </pic:pic>
              </a:graphicData>
            </a:graphic>
          </wp:inline>
        </w:drawing>
      </w:r>
      <w:r w:rsidRPr="00AD081E">
        <w:rPr>
          <w:rFonts w:ascii="Calibri" w:eastAsia="Calibri" w:hAnsi="Calibri"/>
          <w:noProof/>
          <w:sz w:val="22"/>
          <w:szCs w:val="22"/>
        </w:rPr>
        <w:t xml:space="preserve">  </w:t>
      </w:r>
      <w:r w:rsidRPr="00AD081E">
        <w:rPr>
          <w:noProof/>
        </w:rPr>
        <w:drawing>
          <wp:inline distT="0" distB="0" distL="0" distR="0" wp14:anchorId="3E7EC35C" wp14:editId="09F8DE61">
            <wp:extent cx="2552700" cy="2471545"/>
            <wp:effectExtent l="0" t="0" r="0" b="5080"/>
            <wp:docPr id="820" name="Picture 8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 name="Picture 820"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559392" cy="2478024"/>
                    </a:xfrm>
                    <a:prstGeom prst="rect">
                      <a:avLst/>
                    </a:prstGeom>
                  </pic:spPr>
                </pic:pic>
              </a:graphicData>
            </a:graphic>
          </wp:inline>
        </w:drawing>
      </w:r>
    </w:p>
    <w:p w14:paraId="24A88B20" w14:textId="77777777" w:rsidR="00AD081E" w:rsidRPr="00AD081E" w:rsidRDefault="00AD081E" w:rsidP="00306174">
      <w:pPr>
        <w:pStyle w:val="Appendix6"/>
      </w:pPr>
      <w:r w:rsidRPr="00AD081E">
        <w:t>Add Missing Routes</w:t>
      </w:r>
    </w:p>
    <w:p w14:paraId="70EE12EE" w14:textId="77777777" w:rsidR="00AD081E" w:rsidRPr="00AD081E" w:rsidRDefault="00AD081E" w:rsidP="00AD081E">
      <w:pPr>
        <w:rPr>
          <w:rFonts w:eastAsia="Calibri"/>
        </w:rPr>
      </w:pPr>
      <w:r w:rsidRPr="00AD081E">
        <w:rPr>
          <w:rFonts w:eastAsia="Calibri"/>
        </w:rPr>
        <w:t>If any routes are missing, add routes as follows:</w:t>
      </w:r>
    </w:p>
    <w:p w14:paraId="78591929"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Routes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0D273EE5" w14:textId="77777777" w:rsidR="00AD081E" w:rsidRPr="00AD081E" w:rsidRDefault="00AD081E" w:rsidP="001F4B14">
      <w:pPr>
        <w:jc w:val="center"/>
      </w:pPr>
      <w:r w:rsidRPr="00AD081E">
        <w:rPr>
          <w:noProof/>
        </w:rPr>
        <w:lastRenderedPageBreak/>
        <w:drawing>
          <wp:inline distT="0" distB="0" distL="0" distR="0" wp14:anchorId="0DC19F03" wp14:editId="191DE10A">
            <wp:extent cx="2743200" cy="2404872"/>
            <wp:effectExtent l="0" t="0" r="0" b="0"/>
            <wp:docPr id="821" name="Picture 82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 name="Picture 821" descr="Graphical user interface, text&#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2743200" cy="2404872"/>
                    </a:xfrm>
                    <a:prstGeom prst="rect">
                      <a:avLst/>
                    </a:prstGeom>
                  </pic:spPr>
                </pic:pic>
              </a:graphicData>
            </a:graphic>
          </wp:inline>
        </w:drawing>
      </w:r>
    </w:p>
    <w:p w14:paraId="35A49A8E" w14:textId="77777777" w:rsidR="00AD081E" w:rsidRPr="00AD081E" w:rsidRDefault="00AD081E" w:rsidP="00AD081E">
      <w:pPr>
        <w:rPr>
          <w:rFonts w:eastAsia="Calibri"/>
        </w:rPr>
      </w:pPr>
      <w:r w:rsidRPr="00AD081E">
        <w:rPr>
          <w:rFonts w:eastAsia="Calibri"/>
          <w:b/>
        </w:rPr>
        <w:t>Add/Modify Route</w:t>
      </w:r>
      <w:r w:rsidRPr="00AD081E">
        <w:rPr>
          <w:rFonts w:eastAsia="Calibri"/>
          <w:b/>
        </w:rPr>
        <w:br/>
      </w:r>
      <w:r w:rsidRPr="00AD081E">
        <w:rPr>
          <w:rFonts w:eastAsia="Calibri"/>
        </w:rPr>
        <w:t xml:space="preserve">Using the drop down labeled </w:t>
      </w:r>
      <w:r w:rsidRPr="00AD081E">
        <w:rPr>
          <w:rFonts w:eastAsia="Calibri"/>
          <w:b/>
        </w:rPr>
        <w:t>From</w:t>
      </w:r>
      <w:r w:rsidRPr="00AD081E">
        <w:rPr>
          <w:rFonts w:eastAsia="Calibri"/>
        </w:rPr>
        <w:t xml:space="preserve">, select the first interface of the pair that is missing a route. Find the second interface of the pair in the list to the right. Check the </w:t>
      </w:r>
      <w:r w:rsidRPr="00AD081E">
        <w:rPr>
          <w:rFonts w:eastAsia="Calibri"/>
          <w:b/>
        </w:rPr>
        <w:t>To</w:t>
      </w:r>
      <w:r w:rsidRPr="00AD081E">
        <w:rPr>
          <w:rFonts w:eastAsia="Calibri"/>
        </w:rPr>
        <w:t xml:space="preserve"> box next to the second interface name (if it is not already checked), then check the </w:t>
      </w:r>
      <w:r w:rsidRPr="00AD081E">
        <w:rPr>
          <w:rFonts w:eastAsia="Calibri"/>
          <w:b/>
        </w:rPr>
        <w:t>Back To</w:t>
      </w:r>
      <w:r w:rsidRPr="00AD081E">
        <w:rPr>
          <w:rFonts w:eastAsia="Calibri"/>
        </w:rPr>
        <w:t xml:space="preserve"> box on the same line. (If the back route was previously defined, there will not be a </w:t>
      </w:r>
      <w:r w:rsidRPr="00AD081E">
        <w:rPr>
          <w:rFonts w:eastAsia="Calibri"/>
          <w:b/>
        </w:rPr>
        <w:t>Back To</w:t>
      </w:r>
      <w:r w:rsidRPr="00AD081E">
        <w:rPr>
          <w:rFonts w:eastAsia="Calibri"/>
        </w:rPr>
        <w:t xml:space="preserve"> box on the same line.)</w:t>
      </w:r>
    </w:p>
    <w:p w14:paraId="06C9F861" w14:textId="77777777" w:rsidR="00AD081E" w:rsidRPr="00AD081E" w:rsidRDefault="00AD081E" w:rsidP="00AD081E">
      <w:pPr>
        <w:rPr>
          <w:rFonts w:eastAsia="Calibri"/>
        </w:rPr>
      </w:pPr>
      <w:r w:rsidRPr="00AD081E">
        <w:rPr>
          <w:rFonts w:eastAsia="Calibri"/>
        </w:rPr>
        <w:t xml:space="preserve">To save time, while you have the first interface name in the </w:t>
      </w:r>
      <w:r w:rsidRPr="00AD081E">
        <w:rPr>
          <w:rFonts w:eastAsia="Calibri"/>
          <w:b/>
        </w:rPr>
        <w:t>From</w:t>
      </w:r>
      <w:r w:rsidRPr="00AD081E">
        <w:rPr>
          <w:rFonts w:eastAsia="Calibri"/>
        </w:rPr>
        <w:t xml:space="preserve"> box, use the right-hand list to find all of the other missing interfaces to/from the first interface and check them, too. When all needed interfaces to/from the first interface have been selected, click on the </w:t>
      </w:r>
      <w:r w:rsidRPr="00AD081E">
        <w:rPr>
          <w:rFonts w:eastAsia="Calibri"/>
          <w:b/>
        </w:rPr>
        <w:t>Apply</w:t>
      </w:r>
      <w:r w:rsidRPr="00AD081E">
        <w:rPr>
          <w:rFonts w:eastAsia="Calibri"/>
        </w:rPr>
        <w:t xml:space="preserve"> button at the bottom of the dialog.</w:t>
      </w:r>
    </w:p>
    <w:p w14:paraId="0D4A5CF6" w14:textId="77777777" w:rsidR="00AD081E" w:rsidRPr="00AD081E" w:rsidRDefault="00AD081E" w:rsidP="00AD081E">
      <w:pPr>
        <w:rPr>
          <w:rFonts w:eastAsia="Calibri"/>
        </w:rPr>
      </w:pPr>
      <w:r w:rsidRPr="00AD081E">
        <w:rPr>
          <w:rFonts w:eastAsia="Calibri"/>
        </w:rPr>
        <w:t xml:space="preserve">Routes to the TSRT’s TED </w:t>
      </w:r>
      <w:r w:rsidRPr="00AD081E">
        <w:rPr>
          <w:rFonts w:eastAsia="Calibri"/>
          <w:b/>
        </w:rPr>
        <w:t>must</w:t>
      </w:r>
      <w:r w:rsidRPr="00AD081E">
        <w:rPr>
          <w:rFonts w:eastAsia="Calibri"/>
        </w:rPr>
        <w:t xml:space="preserve"> be of the </w:t>
      </w:r>
      <w:r w:rsidRPr="00AD081E">
        <w:rPr>
          <w:rFonts w:eastAsia="Calibri"/>
          <w:b/>
        </w:rPr>
        <w:t>All Messages</w:t>
      </w:r>
      <w:r w:rsidRPr="00AD081E">
        <w:rPr>
          <w:rFonts w:eastAsia="Calibri"/>
        </w:rPr>
        <w:t xml:space="preserve"> type (the default). They must never include a </w:t>
      </w:r>
      <w:r w:rsidRPr="00AD081E">
        <w:rPr>
          <w:rFonts w:eastAsia="Calibri"/>
          <w:b/>
        </w:rPr>
        <w:t>To SID</w:t>
      </w:r>
      <w:r w:rsidRPr="00AD081E">
        <w:rPr>
          <w:rFonts w:eastAsia="Calibri"/>
        </w:rPr>
        <w:t xml:space="preserve"> restriction.</w:t>
      </w:r>
    </w:p>
    <w:p w14:paraId="78DCF3EC" w14:textId="77777777" w:rsidR="00AD081E" w:rsidRPr="00AD081E" w:rsidRDefault="00AD081E" w:rsidP="00306174">
      <w:pPr>
        <w:pStyle w:val="Appendix6"/>
      </w:pPr>
      <w:r w:rsidRPr="00AD081E">
        <w:t>Save Your Changes</w:t>
      </w:r>
    </w:p>
    <w:p w14:paraId="4F86AB88"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 Configuration</w:t>
      </w:r>
      <w:r w:rsidRPr="00AD081E">
        <w:rPr>
          <w:rFonts w:eastAsia="Calibri"/>
        </w:rPr>
        <w:t>.</w:t>
      </w:r>
    </w:p>
    <w:p w14:paraId="7C6F518D" w14:textId="2AE1A3E7" w:rsidR="00AD081E" w:rsidRPr="00AD081E" w:rsidRDefault="00AD081E" w:rsidP="00AD081E">
      <w:pPr>
        <w:rPr>
          <w:rFonts w:eastAsia="Calibri"/>
        </w:rPr>
      </w:pPr>
      <w:r w:rsidRPr="00AD081E">
        <w:rPr>
          <w:rFonts w:eastAsia="Calibri"/>
          <w:b/>
        </w:rPr>
        <w:t>Save Configuration</w:t>
      </w:r>
      <w:r w:rsidRPr="00AD081E">
        <w:rPr>
          <w:rFonts w:eastAsia="Calibri"/>
          <w:b/>
        </w:rPr>
        <w:br/>
      </w:r>
      <w:r w:rsidRPr="00AD081E">
        <w:rPr>
          <w:rFonts w:eastAsia="Calibri"/>
        </w:rPr>
        <w:t xml:space="preserve">Select an interface name from the list (the </w:t>
      </w:r>
      <w:r w:rsidR="00B9771D" w:rsidRPr="00AD081E">
        <w:rPr>
          <w:rFonts w:eastAsia="Calibri"/>
        </w:rPr>
        <w:t>currently loaded</w:t>
      </w:r>
      <w:r w:rsidRPr="00AD081E">
        <w:rPr>
          <w:rFonts w:eastAsia="Calibri"/>
        </w:rPr>
        <w:t xml:space="preserve"> configuration is the one marked with an asterisk [</w:t>
      </w:r>
      <w:r w:rsidRPr="00AD081E">
        <w:rPr>
          <w:rFonts w:eastAsia="Calibri"/>
          <w:b/>
        </w:rPr>
        <w:t>*</w:t>
      </w:r>
      <w:r w:rsidRPr="00AD081E">
        <w:rPr>
          <w:rFonts w:eastAsia="Calibri"/>
        </w:rPr>
        <w:t>]</w:t>
      </w:r>
      <w:r w:rsidR="0055238B" w:rsidRPr="00AD081E">
        <w:rPr>
          <w:rFonts w:eastAsia="Calibri"/>
        </w:rPr>
        <w:t>) or</w:t>
      </w:r>
      <w:r w:rsidRPr="00AD081E">
        <w:rPr>
          <w:rFonts w:eastAsia="Calibri"/>
        </w:rPr>
        <w:t xml:space="preserve"> enter a new configuration name in the text entry area at the bottom of the dialog. Click on the </w:t>
      </w:r>
      <w:r w:rsidRPr="00AD081E">
        <w:rPr>
          <w:rFonts w:eastAsia="Calibri"/>
          <w:b/>
        </w:rPr>
        <w:t>OK</w:t>
      </w:r>
      <w:r w:rsidRPr="00AD081E">
        <w:rPr>
          <w:rFonts w:eastAsia="Calibri"/>
        </w:rPr>
        <w:t xml:space="preserve"> button.</w:t>
      </w:r>
    </w:p>
    <w:p w14:paraId="5598838F" w14:textId="77777777" w:rsidR="00AD081E" w:rsidRPr="00AD081E" w:rsidRDefault="00AD081E" w:rsidP="00306174">
      <w:pPr>
        <w:pStyle w:val="Appendix6"/>
      </w:pPr>
      <w:r w:rsidRPr="00AD081E">
        <w:t>Configure the Next TCIP</w:t>
      </w:r>
    </w:p>
    <w:p w14:paraId="56FBF02C" w14:textId="6E0F96DB" w:rsidR="00AD081E" w:rsidRPr="00AD081E" w:rsidRDefault="00AD081E" w:rsidP="00AD081E">
      <w:pPr>
        <w:rPr>
          <w:rFonts w:eastAsia="Calibri"/>
        </w:rPr>
      </w:pPr>
      <w:r w:rsidRPr="00AD081E">
        <w:rPr>
          <w:rFonts w:eastAsia="Calibri"/>
        </w:rPr>
        <w:t xml:space="preserve">If there are more TCIP LINTs to configure, go on to the next, beginning the procedure again at determining the Scope of Changes (see </w:t>
      </w:r>
      <w:hyperlink w:anchor="_S-4.7.3.2.1__Determine" w:history="1">
        <w:r w:rsidRPr="00AD081E">
          <w:rPr>
            <w:rFonts w:eastAsia="Calibri"/>
            <w:color w:val="0000FF"/>
            <w:u w:val="single"/>
          </w:rPr>
          <w:t>Section R.4.7.3.2.1</w:t>
        </w:r>
      </w:hyperlink>
      <w:r w:rsidR="000365F3">
        <w:rPr>
          <w:rFonts w:eastAsia="Calibri"/>
        </w:rPr>
        <w:t>).</w:t>
      </w:r>
      <w:r w:rsidRPr="00AD081E">
        <w:rPr>
          <w:rFonts w:eastAsia="Calibri"/>
        </w:rPr>
        <w:t xml:space="preserve"> If all TCIP LINTs have been configured, proceed to the next step. </w:t>
      </w:r>
    </w:p>
    <w:p w14:paraId="1A399F0E" w14:textId="77777777" w:rsidR="00AD081E" w:rsidRPr="00AD081E" w:rsidRDefault="00AD081E" w:rsidP="00306174">
      <w:pPr>
        <w:pStyle w:val="Appendix6"/>
      </w:pPr>
      <w:r w:rsidRPr="00AD081E">
        <w:lastRenderedPageBreak/>
        <w:t>Logout and Close</w:t>
      </w:r>
    </w:p>
    <w:p w14:paraId="2F97921C" w14:textId="77777777" w:rsidR="00AD081E" w:rsidRPr="00AD081E" w:rsidRDefault="00AD081E" w:rsidP="00AD081E">
      <w:pPr>
        <w:rPr>
          <w:rFonts w:eastAsia="Calibri"/>
        </w:rPr>
      </w:pPr>
      <w:r w:rsidRPr="00AD081E">
        <w:rPr>
          <w:rFonts w:eastAsia="Calibri"/>
          <w:b/>
        </w:rPr>
        <w:t xml:space="preserve">LINT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Close the </w:t>
      </w:r>
      <w:r w:rsidRPr="00AD081E">
        <w:rPr>
          <w:rFonts w:eastAsia="Calibri"/>
          <w:i/>
        </w:rPr>
        <w:t>LINT</w:t>
      </w:r>
      <w:r w:rsidRPr="00AD081E">
        <w:rPr>
          <w:rFonts w:eastAsia="Calibri"/>
        </w:rPr>
        <w:t xml:space="preserve"> window.</w:t>
      </w:r>
    </w:p>
    <w:p w14:paraId="64CD1496" w14:textId="77777777" w:rsidR="00AD081E" w:rsidRPr="00AD081E" w:rsidRDefault="00AD081E" w:rsidP="006A75D6">
      <w:pPr>
        <w:pStyle w:val="Appendix5"/>
      </w:pPr>
      <w:bookmarkStart w:id="8322" w:name="_S-4.7.3.3__Configure"/>
      <w:bookmarkEnd w:id="8322"/>
      <w:r w:rsidRPr="00AD081E">
        <w:t>Configure DAMA TSNIF Interfaces and Routes for Participants</w:t>
      </w:r>
    </w:p>
    <w:p w14:paraId="2A9BA538" w14:textId="77777777" w:rsidR="00AD081E" w:rsidRPr="00AD081E" w:rsidRDefault="00AD081E" w:rsidP="00AD081E">
      <w:pPr>
        <w:rPr>
          <w:rFonts w:eastAsia="Calibri"/>
        </w:rPr>
      </w:pPr>
      <w:r w:rsidRPr="00AD081E">
        <w:rPr>
          <w:rFonts w:eastAsia="Calibri"/>
        </w:rPr>
        <w:t>From Windows, start the TSN DAMA tool. Perform the following for each TCIP to be used during the rehearsal.</w:t>
      </w:r>
    </w:p>
    <w:p w14:paraId="301E304F" w14:textId="77777777" w:rsidR="00AD081E" w:rsidRPr="00AD081E" w:rsidRDefault="00AD081E" w:rsidP="00306174">
      <w:pPr>
        <w:pStyle w:val="Appendix6"/>
      </w:pPr>
      <w:bookmarkStart w:id="8323" w:name="_S-4.7.3.3.1__Determine"/>
      <w:bookmarkEnd w:id="8323"/>
      <w:r w:rsidRPr="00AD081E">
        <w:t>Determine Scope of Changes</w:t>
      </w:r>
    </w:p>
    <w:p w14:paraId="11300DCF"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At the bottom of the window, check the IP address labeled </w:t>
      </w:r>
      <w:r w:rsidRPr="00AD081E">
        <w:rPr>
          <w:rFonts w:eastAsia="Calibri"/>
          <w:b/>
        </w:rPr>
        <w:t>Server</w:t>
      </w:r>
      <w:r w:rsidRPr="00AD081E">
        <w:rPr>
          <w:rFonts w:eastAsia="Calibri"/>
        </w:rPr>
        <w:t xml:space="preserve"> against the IP address for the TCIP to be configured.</w:t>
      </w:r>
    </w:p>
    <w:p w14:paraId="7B8E8022" w14:textId="2D59AC23" w:rsidR="00AD081E" w:rsidRPr="00AD081E" w:rsidRDefault="00AD081E" w:rsidP="00AD081E">
      <w:pPr>
        <w:rPr>
          <w:rFonts w:eastAsia="Calibri"/>
        </w:rPr>
      </w:pPr>
      <w:r w:rsidRPr="00AD081E">
        <w:rPr>
          <w:rFonts w:eastAsia="Calibri"/>
        </w:rPr>
        <w:t xml:space="preserve">If the IP addresses differ, you will have to change TSNIF to point to the correct server before proceeding. First, login as administrator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To change servers,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TCIP Server</w:t>
      </w:r>
      <w:r w:rsidRPr="00AD081E">
        <w:rPr>
          <w:rFonts w:eastAsia="Calibri"/>
        </w:rPr>
        <w:t xml:space="preserve"> from the menu. In the dialog that appears select the radio button to the left of the TCIP’s IP address (if it’s in the list) or select the radio button next to the blank text entry field and enter the TCIP’s IP address into the text field. Click on the </w:t>
      </w:r>
      <w:r w:rsidRPr="00AD081E">
        <w:rPr>
          <w:rFonts w:eastAsia="Calibri"/>
          <w:b/>
        </w:rPr>
        <w:t>Connect</w:t>
      </w:r>
      <w:r w:rsidRPr="00AD081E">
        <w:rPr>
          <w:rFonts w:eastAsia="Calibri"/>
        </w:rPr>
        <w:t xml:space="preserve"> button.</w:t>
      </w:r>
    </w:p>
    <w:p w14:paraId="24D69290" w14:textId="642D7EAC" w:rsidR="00AD081E" w:rsidRPr="00AD081E" w:rsidRDefault="00AD081E" w:rsidP="00AD081E">
      <w:pPr>
        <w:rPr>
          <w:rFonts w:eastAsia="Calibri"/>
        </w:rPr>
      </w:pPr>
      <w:r w:rsidRPr="00AD081E">
        <w:rPr>
          <w:rFonts w:eastAsia="Calibri"/>
        </w:rPr>
        <w:t xml:space="preserve">If there is a </w:t>
      </w:r>
      <w:r w:rsidR="00B9771D" w:rsidRPr="00AD081E">
        <w:rPr>
          <w:rFonts w:eastAsia="Calibri"/>
        </w:rPr>
        <w:t>previously saved</w:t>
      </w:r>
      <w:r w:rsidRPr="00AD081E">
        <w:rPr>
          <w:rFonts w:eastAsia="Calibri"/>
        </w:rPr>
        <w:t xml:space="preserve"> TSNIF configuration that is close to what you need, load it now. First login as TSNIF administrator if you haven’t already.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Load Configuration</w:t>
      </w:r>
      <w:r w:rsidRPr="00AD081E">
        <w:rPr>
          <w:rFonts w:eastAsia="Calibri"/>
        </w:rPr>
        <w:t xml:space="preserve">. In the dialog that appears, select your configuration, then click the </w:t>
      </w:r>
      <w:r w:rsidRPr="00AD081E">
        <w:rPr>
          <w:rFonts w:eastAsia="Calibri"/>
          <w:b/>
        </w:rPr>
        <w:t>OK</w:t>
      </w:r>
      <w:r w:rsidRPr="00AD081E">
        <w:rPr>
          <w:rFonts w:eastAsia="Calibri"/>
        </w:rPr>
        <w:t xml:space="preserve"> button.</w:t>
      </w:r>
    </w:p>
    <w:p w14:paraId="56C15BAD" w14:textId="77777777" w:rsidR="00AD081E" w:rsidRPr="00AD081E" w:rsidRDefault="00AD081E" w:rsidP="001F4B14">
      <w:pPr>
        <w:jc w:val="center"/>
      </w:pPr>
      <w:r w:rsidRPr="00AD081E">
        <w:rPr>
          <w:noProof/>
        </w:rPr>
        <w:lastRenderedPageBreak/>
        <w:drawing>
          <wp:inline distT="0" distB="0" distL="0" distR="0" wp14:anchorId="45FE4E6E" wp14:editId="2A4F016B">
            <wp:extent cx="3657600" cy="3374136"/>
            <wp:effectExtent l="0" t="0" r="0" b="0"/>
            <wp:docPr id="917" name="Picture 9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Picture 917"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3374136"/>
                    </a:xfrm>
                    <a:prstGeom prst="rect">
                      <a:avLst/>
                    </a:prstGeom>
                  </pic:spPr>
                </pic:pic>
              </a:graphicData>
            </a:graphic>
          </wp:inline>
        </w:drawing>
      </w:r>
    </w:p>
    <w:p w14:paraId="52E6F2FC"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Interfaces</w:t>
      </w:r>
      <w:r w:rsidRPr="00AD081E">
        <w:rPr>
          <w:rFonts w:eastAsia="Calibri"/>
        </w:rPr>
        <w:t xml:space="preserve"> tab. Verify that, for each live participating node on the TCIP, there is an interface defined with the correct IP address, port number 9601, and an interface type of TSN TCP. Verify that for the TSRT’s TED, there is also a second interface defined with the correct IP address, port number 9602, and an interface type of TSN TCP. For each matching interface, note the interface name on your list of participating nodes.</w:t>
      </w:r>
    </w:p>
    <w:p w14:paraId="0104800C" w14:textId="77777777" w:rsidR="00AD081E" w:rsidRPr="00AD081E" w:rsidRDefault="00AD081E" w:rsidP="00AD081E">
      <w:pPr>
        <w:rPr>
          <w:rFonts w:eastAsia="Calibri"/>
        </w:rPr>
      </w:pPr>
      <w:r w:rsidRPr="00AD081E">
        <w:rPr>
          <w:rFonts w:eastAsia="Calibri"/>
        </w:rPr>
        <w:t>Verify that, for each TCIP that is to be connected to this TCIP, there is an interface defined with the correct IP address, port number, and interface type (TSN TCP or TSN CLIENT). For each matching interface, note the interface name at the appropriate end of your TCIP interconnection diagram.</w:t>
      </w:r>
    </w:p>
    <w:p w14:paraId="24B0FF50" w14:textId="77777777" w:rsidR="00AD081E" w:rsidRPr="00AD081E" w:rsidRDefault="00AD081E" w:rsidP="00AD081E">
      <w:pPr>
        <w:rPr>
          <w:rFonts w:eastAsia="Calibri"/>
        </w:rPr>
      </w:pPr>
      <w:r w:rsidRPr="00AD081E">
        <w:rPr>
          <w:rFonts w:eastAsia="Calibri"/>
        </w:rPr>
        <w:t>The IP address, port number, and interface type of an interface cannot be changed once the interface has been defined. If any of these parameters are not correct, the interface is considered missing.</w:t>
      </w:r>
    </w:p>
    <w:p w14:paraId="353F6752" w14:textId="77777777" w:rsidR="00AD081E" w:rsidRPr="00AD081E" w:rsidRDefault="00AD081E" w:rsidP="00AD081E">
      <w:pPr>
        <w:rPr>
          <w:rFonts w:eastAsia="Calibri"/>
        </w:rPr>
      </w:pPr>
      <w:r w:rsidRPr="00AD081E">
        <w:rPr>
          <w:rFonts w:eastAsia="Calibri"/>
        </w:rPr>
        <w:t>Note any missing interfaces as you will have to create these soon. If an interface has the correct IP address, port number, and interface type, but is not enabled, note that as well.</w:t>
      </w:r>
    </w:p>
    <w:p w14:paraId="5C6B902A" w14:textId="77777777" w:rsidR="00AD081E" w:rsidRPr="00AD081E" w:rsidRDefault="00AD081E" w:rsidP="001F4B14">
      <w:pPr>
        <w:jc w:val="center"/>
      </w:pPr>
      <w:r w:rsidRPr="00AD081E">
        <w:rPr>
          <w:noProof/>
        </w:rPr>
        <w:lastRenderedPageBreak/>
        <w:drawing>
          <wp:inline distT="0" distB="0" distL="0" distR="0" wp14:anchorId="359BAA2E" wp14:editId="0018841E">
            <wp:extent cx="3657600" cy="3374136"/>
            <wp:effectExtent l="0" t="0" r="0" b="0"/>
            <wp:docPr id="919" name="Picture 9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Picture 919" descr="Tabl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3374136"/>
                    </a:xfrm>
                    <a:prstGeom prst="rect">
                      <a:avLst/>
                    </a:prstGeom>
                  </pic:spPr>
                </pic:pic>
              </a:graphicData>
            </a:graphic>
          </wp:inline>
        </w:drawing>
      </w:r>
    </w:p>
    <w:p w14:paraId="25867583"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Routes</w:t>
      </w:r>
      <w:r w:rsidRPr="00AD081E">
        <w:rPr>
          <w:rFonts w:eastAsia="Calibri"/>
        </w:rPr>
        <w:t xml:space="preserve"> tab, then click on the </w:t>
      </w:r>
      <w:r w:rsidRPr="00AD081E">
        <w:rPr>
          <w:rFonts w:eastAsia="Calibri"/>
          <w:b/>
        </w:rPr>
        <w:t>Source</w:t>
      </w:r>
      <w:r w:rsidRPr="00AD081E">
        <w:rPr>
          <w:rFonts w:eastAsia="Calibri"/>
        </w:rPr>
        <w:t xml:space="preserve"> column head to sort the list by source interface name. Verify that for each pair of interfaces on the TCIP, there is a route from the first to the second, and another route from the second back to the first. Note any missing routes, as you will have to create these soon. Also note any extra routes (with non-participants at one end), as you may wish to delete these.</w:t>
      </w:r>
    </w:p>
    <w:p w14:paraId="3256E115" w14:textId="77777777" w:rsidR="00AD081E" w:rsidRPr="00AD081E" w:rsidRDefault="00AD081E" w:rsidP="00AD081E">
      <w:pPr>
        <w:rPr>
          <w:rFonts w:eastAsia="Calibri"/>
        </w:rPr>
      </w:pPr>
      <w:r w:rsidRPr="00AD081E">
        <w:rPr>
          <w:rFonts w:eastAsia="Calibri"/>
        </w:rPr>
        <w:t xml:space="preserve">If there are no missing or disabled interfaces, and there are no missing routes, there’s nothing further to do for TSNIF configuration on this TCIP, and you can go on to the next TCIP. If there are no more TCIPs, and you logged in as administrator, logout now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from the menu. Close the TSNIF tool.</w:t>
      </w:r>
    </w:p>
    <w:p w14:paraId="4A05A8D6" w14:textId="77777777" w:rsidR="00AD081E" w:rsidRPr="00AD081E" w:rsidRDefault="00AD081E" w:rsidP="00AD081E">
      <w:pPr>
        <w:rPr>
          <w:rFonts w:eastAsia="Calibri"/>
        </w:rPr>
      </w:pPr>
      <w:r w:rsidRPr="00AD081E">
        <w:rPr>
          <w:rFonts w:eastAsia="Calibri"/>
        </w:rPr>
        <w:t>Otherwise, keep going.</w:t>
      </w:r>
    </w:p>
    <w:p w14:paraId="562AFB26" w14:textId="77777777" w:rsidR="00AD081E" w:rsidRPr="00AD081E" w:rsidRDefault="00AD081E" w:rsidP="00306174">
      <w:pPr>
        <w:pStyle w:val="Appendix6"/>
      </w:pPr>
      <w:r w:rsidRPr="00AD081E">
        <w:t>Login as Administrator</w:t>
      </w:r>
    </w:p>
    <w:p w14:paraId="49F1BFBD" w14:textId="40618305"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If you did not previously log in as TSNIF administrator (to change the TCIP server or load a TSNIF configuration), log in as administrator now.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w:t>
      </w:r>
    </w:p>
    <w:p w14:paraId="5A5594D1" w14:textId="77777777" w:rsidR="00AD081E" w:rsidRPr="00AD081E" w:rsidRDefault="00AD081E" w:rsidP="00306174">
      <w:pPr>
        <w:pStyle w:val="Appendix6"/>
      </w:pPr>
      <w:r w:rsidRPr="00AD081E">
        <w:t>Correct Disabled Interfaces</w:t>
      </w:r>
    </w:p>
    <w:p w14:paraId="203B09FE" w14:textId="77777777" w:rsidR="00AD081E" w:rsidRPr="00AD081E" w:rsidRDefault="00AD081E" w:rsidP="00AD081E">
      <w:pPr>
        <w:rPr>
          <w:rFonts w:eastAsia="Calibri"/>
        </w:rPr>
      </w:pPr>
      <w:r w:rsidRPr="00AD081E">
        <w:rPr>
          <w:rFonts w:eastAsia="Calibri"/>
        </w:rPr>
        <w:t>If there are interfaces with the correct IP address and port that are disabled, correct them as follows:</w:t>
      </w:r>
    </w:p>
    <w:p w14:paraId="13FB169D"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Select the interface in the list. Click on the </w:t>
      </w:r>
      <w:r w:rsidRPr="00AD081E">
        <w:rPr>
          <w:rFonts w:eastAsia="Calibri"/>
          <w:b/>
        </w:rPr>
        <w:t>Modify</w:t>
      </w:r>
      <w:r w:rsidRPr="00AD081E">
        <w:rPr>
          <w:rFonts w:eastAsia="Calibri"/>
        </w:rPr>
        <w:t xml:space="preserve"> button at the </w:t>
      </w:r>
      <w:r w:rsidRPr="00AD081E">
        <w:rPr>
          <w:rFonts w:eastAsia="Calibri"/>
        </w:rPr>
        <w:lastRenderedPageBreak/>
        <w:t xml:space="preserve">bottom of the tab. In the dialog that appears, ensure that the </w:t>
      </w:r>
      <w:r w:rsidRPr="00AD081E">
        <w:rPr>
          <w:rFonts w:eastAsia="Calibri"/>
          <w:b/>
        </w:rPr>
        <w:t>Enabled</w:t>
      </w:r>
      <w:r w:rsidRPr="00AD081E">
        <w:rPr>
          <w:rFonts w:eastAsia="Calibri"/>
        </w:rPr>
        <w:t xml:space="preserve"> radio button is selected. Click on the </w:t>
      </w:r>
      <w:r w:rsidRPr="00AD081E">
        <w:rPr>
          <w:rFonts w:eastAsia="Calibri"/>
          <w:b/>
        </w:rPr>
        <w:t>Apply</w:t>
      </w:r>
      <w:r w:rsidRPr="00AD081E">
        <w:rPr>
          <w:rFonts w:eastAsia="Calibri"/>
        </w:rPr>
        <w:t xml:space="preserve"> button at the bottom of the dialog.</w:t>
      </w:r>
    </w:p>
    <w:p w14:paraId="229F4780" w14:textId="77777777" w:rsidR="00AD081E" w:rsidRPr="00AD081E" w:rsidRDefault="00AD081E" w:rsidP="00306174">
      <w:pPr>
        <w:pStyle w:val="Appendix6"/>
      </w:pPr>
      <w:r w:rsidRPr="00AD081E">
        <w:t>Add Missing Interfaces</w:t>
      </w:r>
    </w:p>
    <w:p w14:paraId="5386B165" w14:textId="77777777" w:rsidR="00AD081E" w:rsidRPr="00AD081E" w:rsidRDefault="00AD081E" w:rsidP="00AD081E">
      <w:pPr>
        <w:rPr>
          <w:rFonts w:eastAsia="Calibri"/>
        </w:rPr>
      </w:pPr>
      <w:r w:rsidRPr="00AD081E">
        <w:rPr>
          <w:rFonts w:eastAsia="Calibri"/>
        </w:rPr>
        <w:t>For each missing interface, create an interface as follows:</w:t>
      </w:r>
    </w:p>
    <w:p w14:paraId="71505CDC"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330756B7" w14:textId="77777777" w:rsidR="00AD081E" w:rsidRPr="00AD081E" w:rsidRDefault="00AD081E" w:rsidP="00AD081E">
      <w:pPr>
        <w:rPr>
          <w:rFonts w:eastAsia="Calibri"/>
        </w:rPr>
      </w:pPr>
      <w:r w:rsidRPr="00AD081E">
        <w:rPr>
          <w:rFonts w:eastAsia="Calibri"/>
          <w:b/>
        </w:rPr>
        <w:t>Select Interface Type</w:t>
      </w:r>
      <w:r w:rsidRPr="00AD081E">
        <w:rPr>
          <w:rFonts w:eastAsia="Calibri"/>
          <w:b/>
        </w:rPr>
        <w:br/>
      </w:r>
      <w:r w:rsidRPr="00AD081E">
        <w:rPr>
          <w:rFonts w:eastAsia="Calibri"/>
        </w:rPr>
        <w:t xml:space="preserve">Select the interface type from the list. This is </w:t>
      </w:r>
      <w:r w:rsidRPr="00AD081E">
        <w:rPr>
          <w:rFonts w:eastAsia="Calibri"/>
          <w:b/>
        </w:rPr>
        <w:t>TSN TCP</w:t>
      </w:r>
      <w:r w:rsidRPr="00AD081E">
        <w:rPr>
          <w:rFonts w:eastAsia="Calibri"/>
        </w:rPr>
        <w:t xml:space="preserve"> for participating nodes and for the TCP end of TCIP interconnections, </w:t>
      </w:r>
      <w:r w:rsidRPr="00AD081E">
        <w:rPr>
          <w:rFonts w:eastAsia="Calibri"/>
          <w:b/>
        </w:rPr>
        <w:t>TSN CLIENT</w:t>
      </w:r>
      <w:r w:rsidRPr="00AD081E">
        <w:rPr>
          <w:rFonts w:eastAsia="Calibri"/>
        </w:rPr>
        <w:t xml:space="preserve"> for the client end of TCIP interconnections. Click on the </w:t>
      </w:r>
      <w:r w:rsidRPr="00AD081E">
        <w:rPr>
          <w:rFonts w:eastAsia="Calibri"/>
          <w:b/>
        </w:rPr>
        <w:t>OK</w:t>
      </w:r>
      <w:r w:rsidRPr="00AD081E">
        <w:rPr>
          <w:rFonts w:eastAsia="Calibri"/>
        </w:rPr>
        <w:t xml:space="preserve"> button.</w:t>
      </w:r>
    </w:p>
    <w:p w14:paraId="3B966872" w14:textId="77777777" w:rsidR="00AD081E" w:rsidRPr="00AD081E" w:rsidRDefault="00AD081E" w:rsidP="00AD081E">
      <w:pPr>
        <w:rPr>
          <w:rFonts w:eastAsia="Calibri"/>
        </w:rPr>
      </w:pPr>
      <w:r w:rsidRPr="00AD081E">
        <w:rPr>
          <w:rFonts w:eastAsia="Calibri"/>
          <w:b/>
        </w:rPr>
        <w:t>TSN TCP</w:t>
      </w:r>
      <w:r w:rsidRPr="00AD081E">
        <w:rPr>
          <w:rFonts w:eastAsia="Calibri"/>
        </w:rPr>
        <w:t xml:space="preserve"> (or </w:t>
      </w:r>
      <w:r w:rsidRPr="00AD081E">
        <w:rPr>
          <w:rFonts w:eastAsia="Calibri"/>
          <w:b/>
        </w:rPr>
        <w:t>TSN CLIENT</w:t>
      </w:r>
      <w:r w:rsidRPr="00AD081E">
        <w:rPr>
          <w:rFonts w:eastAsia="Calibri"/>
        </w:rPr>
        <w:t>)</w:t>
      </w:r>
      <w:r w:rsidRPr="00AD081E">
        <w:rPr>
          <w:rFonts w:eastAsia="Calibri"/>
        </w:rPr>
        <w:br/>
        <w:t xml:space="preserve">Enter a name for the interface. Select the </w:t>
      </w:r>
      <w:r w:rsidRPr="00AD081E">
        <w:rPr>
          <w:rFonts w:eastAsia="Calibri"/>
          <w:b/>
        </w:rPr>
        <w:t>Enabled</w:t>
      </w:r>
      <w:r w:rsidRPr="00AD081E">
        <w:rPr>
          <w:rFonts w:eastAsia="Calibri"/>
        </w:rPr>
        <w:t xml:space="preserve"> radio button. In the </w:t>
      </w:r>
      <w:r w:rsidRPr="00AD081E">
        <w:rPr>
          <w:rFonts w:eastAsia="Calibri"/>
          <w:b/>
        </w:rPr>
        <w:t>Internet Address</w:t>
      </w:r>
      <w:r w:rsidRPr="00AD081E">
        <w:rPr>
          <w:rFonts w:eastAsia="Calibri"/>
        </w:rPr>
        <w:t xml:space="preserve"> area, enter the IP address of the TSRT’s TED node (the four IP address components are each entered into a separate text area; you can tab from one to the next as you enter). If the </w:t>
      </w:r>
      <w:r w:rsidRPr="00AD081E">
        <w:rPr>
          <w:rFonts w:eastAsia="Calibri"/>
          <w:b/>
        </w:rPr>
        <w:t>Service Port ID</w:t>
      </w:r>
      <w:r w:rsidRPr="00AD081E">
        <w:rPr>
          <w:rFonts w:eastAsia="Calibri"/>
        </w:rPr>
        <w:t xml:space="preserve"> is not the correct port number, select the correct port number from the drop down.</w:t>
      </w:r>
    </w:p>
    <w:p w14:paraId="1431BF93"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rPr>
        <w:t>Apply</w:t>
      </w:r>
      <w:r w:rsidRPr="00AD081E">
        <w:rPr>
          <w:rFonts w:eastAsia="Calibri"/>
        </w:rPr>
        <w:t xml:space="preserve"> button at the bottom of the dialog to create the interface.</w:t>
      </w:r>
    </w:p>
    <w:p w14:paraId="538F1BEE" w14:textId="77777777" w:rsidR="00AD081E" w:rsidRPr="00AD081E" w:rsidRDefault="00AD081E" w:rsidP="00B74957">
      <w:pPr>
        <w:jc w:val="center"/>
      </w:pPr>
      <w:r w:rsidRPr="00AD081E">
        <w:rPr>
          <w:noProof/>
        </w:rPr>
        <w:drawing>
          <wp:inline distT="0" distB="0" distL="0" distR="0" wp14:anchorId="385C3CFC" wp14:editId="66AD0CEE">
            <wp:extent cx="2324100" cy="1275634"/>
            <wp:effectExtent l="0" t="0" r="0" b="1270"/>
            <wp:docPr id="920" name="Picture 9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Picture 920"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328874" cy="1278254"/>
                    </a:xfrm>
                    <a:prstGeom prst="rect">
                      <a:avLst/>
                    </a:prstGeom>
                  </pic:spPr>
                </pic:pic>
              </a:graphicData>
            </a:graphic>
          </wp:inline>
        </w:drawing>
      </w:r>
      <w:r w:rsidRPr="00AD081E">
        <w:rPr>
          <w:rFonts w:ascii="Calibri" w:eastAsia="Calibri" w:hAnsi="Calibri"/>
          <w:noProof/>
          <w:sz w:val="22"/>
          <w:szCs w:val="22"/>
        </w:rPr>
        <w:t xml:space="preserve">  </w:t>
      </w:r>
      <w:r w:rsidRPr="00AD081E">
        <w:rPr>
          <w:noProof/>
        </w:rPr>
        <w:drawing>
          <wp:inline distT="0" distB="0" distL="0" distR="0" wp14:anchorId="18E0768A" wp14:editId="1865A006">
            <wp:extent cx="2317750" cy="1251585"/>
            <wp:effectExtent l="0" t="0" r="6350" b="5715"/>
            <wp:docPr id="922" name="Picture 9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Picture 922"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320347" cy="1252987"/>
                    </a:xfrm>
                    <a:prstGeom prst="rect">
                      <a:avLst/>
                    </a:prstGeom>
                  </pic:spPr>
                </pic:pic>
              </a:graphicData>
            </a:graphic>
          </wp:inline>
        </w:drawing>
      </w:r>
    </w:p>
    <w:p w14:paraId="342F55C6" w14:textId="77777777" w:rsidR="00AD081E" w:rsidRPr="00AD081E" w:rsidRDefault="00AD081E" w:rsidP="00306174">
      <w:pPr>
        <w:pStyle w:val="Appendix6"/>
      </w:pPr>
      <w:r w:rsidRPr="00AD081E">
        <w:t>Add Missing Routes</w:t>
      </w:r>
    </w:p>
    <w:p w14:paraId="16FA5E61" w14:textId="77777777" w:rsidR="00AD081E" w:rsidRPr="00AD081E" w:rsidRDefault="00AD081E" w:rsidP="00AD081E">
      <w:pPr>
        <w:rPr>
          <w:rFonts w:eastAsia="Calibri"/>
        </w:rPr>
      </w:pPr>
      <w:r w:rsidRPr="00AD081E">
        <w:rPr>
          <w:rFonts w:eastAsia="Calibri"/>
        </w:rPr>
        <w:t>If any routes are missing, add routes as follows:</w:t>
      </w:r>
    </w:p>
    <w:p w14:paraId="1E0373BA"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Routes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057B5ACD" w14:textId="77777777" w:rsidR="00AD081E" w:rsidRPr="00AD081E" w:rsidRDefault="00AD081E" w:rsidP="001F4B14">
      <w:pPr>
        <w:jc w:val="center"/>
      </w:pPr>
      <w:r w:rsidRPr="00AD081E">
        <w:rPr>
          <w:noProof/>
        </w:rPr>
        <w:drawing>
          <wp:inline distT="0" distB="0" distL="0" distR="0" wp14:anchorId="389420D7" wp14:editId="0DB8CA38">
            <wp:extent cx="3200400" cy="1801368"/>
            <wp:effectExtent l="0" t="0" r="0" b="8890"/>
            <wp:docPr id="925" name="Picture 92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Picture 925" descr="Graphical user interface&#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3200400" cy="1801368"/>
                    </a:xfrm>
                    <a:prstGeom prst="rect">
                      <a:avLst/>
                    </a:prstGeom>
                  </pic:spPr>
                </pic:pic>
              </a:graphicData>
            </a:graphic>
          </wp:inline>
        </w:drawing>
      </w:r>
    </w:p>
    <w:p w14:paraId="68570EBC" w14:textId="77777777" w:rsidR="00AD081E" w:rsidRPr="00AD081E" w:rsidRDefault="00AD081E" w:rsidP="00AD081E">
      <w:pPr>
        <w:rPr>
          <w:rFonts w:eastAsia="Calibri"/>
        </w:rPr>
      </w:pPr>
      <w:r w:rsidRPr="00AD081E">
        <w:rPr>
          <w:rFonts w:eastAsia="Calibri"/>
          <w:b/>
        </w:rPr>
        <w:lastRenderedPageBreak/>
        <w:t>Add/Modify Route</w:t>
      </w:r>
      <w:r w:rsidRPr="00AD081E">
        <w:rPr>
          <w:rFonts w:eastAsia="Calibri"/>
          <w:b/>
        </w:rPr>
        <w:br/>
      </w:r>
      <w:r w:rsidRPr="00AD081E">
        <w:rPr>
          <w:rFonts w:eastAsia="Calibri"/>
        </w:rPr>
        <w:t xml:space="preserve">Using the drop down labeled </w:t>
      </w:r>
      <w:r w:rsidRPr="00AD081E">
        <w:rPr>
          <w:rFonts w:eastAsia="Calibri"/>
          <w:b/>
        </w:rPr>
        <w:t>From</w:t>
      </w:r>
      <w:r w:rsidRPr="00AD081E">
        <w:rPr>
          <w:rFonts w:eastAsia="Calibri"/>
        </w:rPr>
        <w:t xml:space="preserve">, select the first interface of the pair that is missing a route. Find the second interface of the pair in the list to the right. Check the </w:t>
      </w:r>
      <w:r w:rsidRPr="00AD081E">
        <w:rPr>
          <w:rFonts w:eastAsia="Calibri"/>
          <w:b/>
        </w:rPr>
        <w:t>To</w:t>
      </w:r>
      <w:r w:rsidRPr="00AD081E">
        <w:rPr>
          <w:rFonts w:eastAsia="Calibri"/>
        </w:rPr>
        <w:t xml:space="preserve"> box next to the second interface name (if it is not already checked), then check the </w:t>
      </w:r>
      <w:r w:rsidRPr="00AD081E">
        <w:rPr>
          <w:rFonts w:eastAsia="Calibri"/>
          <w:b/>
        </w:rPr>
        <w:t>Back To</w:t>
      </w:r>
      <w:r w:rsidRPr="00AD081E">
        <w:rPr>
          <w:rFonts w:eastAsia="Calibri"/>
        </w:rPr>
        <w:t xml:space="preserve"> box on the same line. (If the back route was previously defined, there will not be a </w:t>
      </w:r>
      <w:r w:rsidRPr="00AD081E">
        <w:rPr>
          <w:rFonts w:eastAsia="Calibri"/>
          <w:b/>
        </w:rPr>
        <w:t>Back To</w:t>
      </w:r>
      <w:r w:rsidRPr="00AD081E">
        <w:rPr>
          <w:rFonts w:eastAsia="Calibri"/>
        </w:rPr>
        <w:t xml:space="preserve"> box on the same line.)</w:t>
      </w:r>
    </w:p>
    <w:p w14:paraId="6EDD3F33" w14:textId="77777777" w:rsidR="00AD081E" w:rsidRPr="00AD081E" w:rsidRDefault="00AD081E" w:rsidP="00AD081E">
      <w:pPr>
        <w:rPr>
          <w:rFonts w:eastAsia="Calibri"/>
        </w:rPr>
      </w:pPr>
      <w:r w:rsidRPr="00AD081E">
        <w:rPr>
          <w:rFonts w:eastAsia="Calibri"/>
        </w:rPr>
        <w:t xml:space="preserve">To save time, while you have the first interface name in the </w:t>
      </w:r>
      <w:r w:rsidRPr="00AD081E">
        <w:rPr>
          <w:rFonts w:eastAsia="Calibri"/>
          <w:b/>
        </w:rPr>
        <w:t>From</w:t>
      </w:r>
      <w:r w:rsidRPr="00AD081E">
        <w:rPr>
          <w:rFonts w:eastAsia="Calibri"/>
        </w:rPr>
        <w:t xml:space="preserve"> box, use the right-hand list to find all of the other missing interfaces to/from the first interface and check them, too. When all needed interfaces to/from the first interface have been selected, click on the </w:t>
      </w:r>
      <w:r w:rsidRPr="00AD081E">
        <w:rPr>
          <w:rFonts w:eastAsia="Calibri"/>
          <w:b/>
        </w:rPr>
        <w:t>Apply</w:t>
      </w:r>
      <w:r w:rsidRPr="00AD081E">
        <w:rPr>
          <w:rFonts w:eastAsia="Calibri"/>
        </w:rPr>
        <w:t xml:space="preserve"> button at the bottom of the dialog.</w:t>
      </w:r>
    </w:p>
    <w:p w14:paraId="38CE7FDD" w14:textId="77777777" w:rsidR="00AD081E" w:rsidRPr="00AD081E" w:rsidRDefault="00AD081E" w:rsidP="00306174">
      <w:pPr>
        <w:pStyle w:val="Appendix6"/>
      </w:pPr>
      <w:r w:rsidRPr="00AD081E">
        <w:t>Delete Extra Routes (Optional)</w:t>
      </w:r>
    </w:p>
    <w:p w14:paraId="650C1055" w14:textId="77777777" w:rsidR="00AD081E" w:rsidRPr="00AD081E" w:rsidRDefault="00AD081E" w:rsidP="00AD081E">
      <w:pPr>
        <w:rPr>
          <w:rFonts w:eastAsia="Calibri"/>
        </w:rPr>
      </w:pPr>
      <w:r w:rsidRPr="00AD081E">
        <w:rPr>
          <w:rFonts w:eastAsia="Calibri"/>
        </w:rPr>
        <w:t xml:space="preserve">To avoid receiving TSN messages from non-participants, you may wish to delete any extra routes from participants to non-participants, or vice versa. To do this, select each extra route in turn on the </w:t>
      </w:r>
      <w:r w:rsidRPr="00AD081E">
        <w:rPr>
          <w:rFonts w:eastAsia="Calibri"/>
          <w:b/>
          <w:i/>
        </w:rPr>
        <w:t>Routes</w:t>
      </w:r>
      <w:r w:rsidRPr="00AD081E">
        <w:rPr>
          <w:rFonts w:eastAsia="Calibri"/>
        </w:rPr>
        <w:t xml:space="preserve"> tab, then click on the </w:t>
      </w:r>
      <w:r w:rsidRPr="00AD081E">
        <w:rPr>
          <w:rFonts w:eastAsia="Calibri"/>
          <w:b/>
        </w:rPr>
        <w:t>Delete</w:t>
      </w:r>
      <w:r w:rsidRPr="00AD081E">
        <w:rPr>
          <w:rFonts w:eastAsia="Calibri"/>
        </w:rPr>
        <w:t xml:space="preserve"> button.</w:t>
      </w:r>
    </w:p>
    <w:p w14:paraId="1ADB7EEC" w14:textId="77777777" w:rsidR="00AD081E" w:rsidRPr="00AD081E" w:rsidRDefault="00AD081E" w:rsidP="00306174">
      <w:pPr>
        <w:pStyle w:val="Appendix6"/>
      </w:pPr>
      <w:r w:rsidRPr="00AD081E">
        <w:t xml:space="preserve">Save Your </w:t>
      </w:r>
      <w:r w:rsidRPr="006A75D6">
        <w:t>Changes</w:t>
      </w:r>
    </w:p>
    <w:p w14:paraId="71A0E8BE" w14:textId="77777777" w:rsidR="00AD081E" w:rsidRPr="00AD081E" w:rsidRDefault="00AD081E" w:rsidP="00AD081E">
      <w:pPr>
        <w:rPr>
          <w:rFonts w:eastAsia="Calibri"/>
        </w:rPr>
      </w:pPr>
      <w:r w:rsidRPr="00AD081E">
        <w:rPr>
          <w:rFonts w:eastAsia="Calibri"/>
          <w:b/>
        </w:rPr>
        <w:t xml:space="preserve">TSN DAMA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 Configuration</w:t>
      </w:r>
      <w:r w:rsidRPr="00AD081E">
        <w:rPr>
          <w:rFonts w:eastAsia="Calibri"/>
        </w:rPr>
        <w:t>.</w:t>
      </w:r>
    </w:p>
    <w:p w14:paraId="450DA607" w14:textId="3D1E972B" w:rsidR="00AD081E" w:rsidRPr="00AD081E" w:rsidRDefault="00AD081E" w:rsidP="00AD081E">
      <w:pPr>
        <w:rPr>
          <w:rFonts w:eastAsia="Calibri"/>
        </w:rPr>
      </w:pPr>
      <w:r w:rsidRPr="00AD081E">
        <w:rPr>
          <w:rFonts w:eastAsia="Calibri"/>
          <w:b/>
        </w:rPr>
        <w:t>Save Configuration</w:t>
      </w:r>
      <w:r w:rsidRPr="00AD081E">
        <w:rPr>
          <w:rFonts w:eastAsia="Calibri"/>
          <w:b/>
        </w:rPr>
        <w:br/>
      </w:r>
      <w:r w:rsidRPr="00AD081E">
        <w:rPr>
          <w:rFonts w:eastAsia="Calibri"/>
        </w:rPr>
        <w:t xml:space="preserve">Select an interface name from the list (the </w:t>
      </w:r>
      <w:r w:rsidR="00B9771D" w:rsidRPr="00AD081E">
        <w:rPr>
          <w:rFonts w:eastAsia="Calibri"/>
        </w:rPr>
        <w:t>currently loaded</w:t>
      </w:r>
      <w:r w:rsidRPr="00AD081E">
        <w:rPr>
          <w:rFonts w:eastAsia="Calibri"/>
        </w:rPr>
        <w:t xml:space="preserve"> configuration is the one marked with an asterisk [</w:t>
      </w:r>
      <w:r w:rsidRPr="00AD081E">
        <w:rPr>
          <w:rFonts w:eastAsia="Calibri"/>
          <w:b/>
        </w:rPr>
        <w:t>*</w:t>
      </w:r>
      <w:r w:rsidRPr="00AD081E">
        <w:rPr>
          <w:rFonts w:eastAsia="Calibri"/>
        </w:rPr>
        <w:t>]</w:t>
      </w:r>
      <w:r w:rsidR="0055238B" w:rsidRPr="00AD081E">
        <w:rPr>
          <w:rFonts w:eastAsia="Calibri"/>
        </w:rPr>
        <w:t>) or</w:t>
      </w:r>
      <w:r w:rsidRPr="00AD081E">
        <w:rPr>
          <w:rFonts w:eastAsia="Calibri"/>
        </w:rPr>
        <w:t xml:space="preserve"> enter a new configuration name in the text entry area at the bottom of the dialog. Click on the </w:t>
      </w:r>
      <w:r w:rsidRPr="00AD081E">
        <w:rPr>
          <w:rFonts w:eastAsia="Calibri"/>
          <w:b/>
        </w:rPr>
        <w:t>OK</w:t>
      </w:r>
      <w:r w:rsidRPr="00AD081E">
        <w:rPr>
          <w:rFonts w:eastAsia="Calibri"/>
        </w:rPr>
        <w:t xml:space="preserve"> button.</w:t>
      </w:r>
    </w:p>
    <w:p w14:paraId="37A72EB0" w14:textId="77777777" w:rsidR="00AD081E" w:rsidRPr="00AD081E" w:rsidRDefault="00AD081E" w:rsidP="00306174">
      <w:pPr>
        <w:pStyle w:val="Appendix6"/>
      </w:pPr>
      <w:r w:rsidRPr="00AD081E">
        <w:t>Configure the Next TCIP</w:t>
      </w:r>
    </w:p>
    <w:p w14:paraId="23B6EF1B" w14:textId="75AB9C72" w:rsidR="00AD081E" w:rsidRPr="00AD081E" w:rsidRDefault="00AD081E" w:rsidP="00AD081E">
      <w:pPr>
        <w:rPr>
          <w:rFonts w:eastAsia="Calibri"/>
        </w:rPr>
      </w:pPr>
      <w:r w:rsidRPr="00AD081E">
        <w:rPr>
          <w:rFonts w:eastAsia="Calibri"/>
        </w:rPr>
        <w:t xml:space="preserve">If there are more TCIP TSNIFs to configure, go on to the next, beginning the procedure again at determining the Scope of Changes (see </w:t>
      </w:r>
      <w:hyperlink w:anchor="_S-4.7.3.3.1__Determine" w:history="1">
        <w:r w:rsidRPr="00AD081E">
          <w:rPr>
            <w:rFonts w:eastAsia="Calibri"/>
            <w:color w:val="0000FF"/>
            <w:u w:val="single"/>
          </w:rPr>
          <w:t>Section R.4.7.3.3.1</w:t>
        </w:r>
      </w:hyperlink>
      <w:r w:rsidR="000365F3">
        <w:rPr>
          <w:rFonts w:eastAsia="Calibri"/>
        </w:rPr>
        <w:t>).</w:t>
      </w:r>
      <w:r w:rsidRPr="00AD081E">
        <w:rPr>
          <w:rFonts w:eastAsia="Calibri"/>
        </w:rPr>
        <w:t xml:space="preserve"> If all TCIP TSNIFs have been configured, proceed to the next step. </w:t>
      </w:r>
    </w:p>
    <w:p w14:paraId="06B8ACAF" w14:textId="77777777" w:rsidR="00C04ECD" w:rsidRPr="00C04ECD" w:rsidRDefault="00AD081E" w:rsidP="00306174">
      <w:pPr>
        <w:pStyle w:val="Appendix6"/>
      </w:pPr>
      <w:r w:rsidRPr="00AD081E">
        <w:t>Logout and Close</w:t>
      </w:r>
      <w:r w:rsidR="00C04ECD">
        <w:t xml:space="preserve"> </w:t>
      </w:r>
      <w:r w:rsidRPr="00C04ECD">
        <w:t>TSN DAMA – (Configuration: ConfigurationName)</w:t>
      </w:r>
    </w:p>
    <w:p w14:paraId="577C021A" w14:textId="7F2D44E3" w:rsidR="00AD081E" w:rsidRPr="00C04ECD" w:rsidRDefault="00AD081E" w:rsidP="00C04ECD">
      <w:r w:rsidRPr="00C04ECD">
        <w:t xml:space="preserve">From the menu, choose Configure </w:t>
      </w:r>
      <w:r w:rsidRPr="00C04ECD">
        <w:sym w:font="Wingdings" w:char="F0E0"/>
      </w:r>
      <w:r w:rsidRPr="00C04ECD">
        <w:t xml:space="preserve"> Administrator Mode </w:t>
      </w:r>
      <w:r w:rsidRPr="00C04ECD">
        <w:sym w:font="Wingdings" w:char="F0E0"/>
      </w:r>
      <w:r w:rsidRPr="00C04ECD">
        <w:t xml:space="preserve"> Logout. Close the TSNIF window.</w:t>
      </w:r>
    </w:p>
    <w:p w14:paraId="2CB0479F" w14:textId="07AA9786" w:rsidR="008F68EE" w:rsidRPr="00AD081E" w:rsidRDefault="00AD081E" w:rsidP="008F68EE">
      <w:pPr>
        <w:pStyle w:val="Appendix5"/>
      </w:pPr>
      <w:r w:rsidRPr="008F68EE">
        <w:t>Configure ACA TSNIF Interfaces and Routes for Participants</w:t>
      </w:r>
    </w:p>
    <w:p w14:paraId="2BDF8ED8" w14:textId="06A9513F" w:rsidR="00AD081E" w:rsidRPr="00C04ECD" w:rsidRDefault="00AD081E" w:rsidP="00C04ECD">
      <w:r w:rsidRPr="00C04ECD">
        <w:t>From Windows, start the TSN ACA tool. Perform the following for</w:t>
      </w:r>
      <w:r w:rsidR="00C61C47" w:rsidRPr="00C04ECD">
        <w:t xml:space="preserve"> each </w:t>
      </w:r>
      <w:r w:rsidRPr="00C04ECD">
        <w:t>TCIP to be used during the rehearsal.</w:t>
      </w:r>
    </w:p>
    <w:p w14:paraId="3A77BA14" w14:textId="4E944BD2" w:rsidR="00AD081E" w:rsidRPr="00AD081E" w:rsidRDefault="00AD081E" w:rsidP="00306174">
      <w:pPr>
        <w:pStyle w:val="Appendix6"/>
      </w:pPr>
      <w:bookmarkStart w:id="8324" w:name="Determine_Scope_of_Changes"/>
      <w:bookmarkEnd w:id="8324"/>
      <w:r w:rsidRPr="00AD081E">
        <w:t>Determine Scope of Chang</w:t>
      </w:r>
      <w:r w:rsidR="001868DA">
        <w:t>e</w:t>
      </w:r>
    </w:p>
    <w:p w14:paraId="1E2A614B"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At the bottom of the window, check the IP address labeled </w:t>
      </w:r>
      <w:r w:rsidRPr="00AD081E">
        <w:rPr>
          <w:rFonts w:eastAsia="Calibri"/>
          <w:b/>
        </w:rPr>
        <w:t>Server</w:t>
      </w:r>
      <w:r w:rsidRPr="00AD081E">
        <w:rPr>
          <w:rFonts w:eastAsia="Calibri"/>
        </w:rPr>
        <w:t xml:space="preserve"> against the IP address for the TCIP to be configured.</w:t>
      </w:r>
    </w:p>
    <w:p w14:paraId="5AE32D6C" w14:textId="599A10E1" w:rsidR="00AD081E" w:rsidRPr="00AD081E" w:rsidRDefault="00AD081E" w:rsidP="00AD081E">
      <w:pPr>
        <w:rPr>
          <w:rFonts w:eastAsia="Calibri"/>
        </w:rPr>
      </w:pPr>
      <w:r w:rsidRPr="00AD081E">
        <w:rPr>
          <w:rFonts w:eastAsia="Calibri"/>
        </w:rPr>
        <w:lastRenderedPageBreak/>
        <w:t xml:space="preserve">If the IP addresses differ, you will have to change TSNIF to point to the correct server before proceeding. First, login as administrator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To change servers,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TCIP Server</w:t>
      </w:r>
      <w:r w:rsidRPr="00AD081E">
        <w:rPr>
          <w:rFonts w:eastAsia="Calibri"/>
        </w:rPr>
        <w:t xml:space="preserve"> from the menu. In the dialog that appears select the radio button to the left of the TCIP’s IP address (if it’s in the list) or select the radio button next to the blank text entry field and enter the TCIP’s IP address into the text field. Click on the </w:t>
      </w:r>
      <w:r w:rsidRPr="00AD081E">
        <w:rPr>
          <w:rFonts w:eastAsia="Calibri"/>
          <w:b/>
        </w:rPr>
        <w:t>Connect</w:t>
      </w:r>
      <w:r w:rsidRPr="00AD081E">
        <w:rPr>
          <w:rFonts w:eastAsia="Calibri"/>
        </w:rPr>
        <w:t xml:space="preserve"> button.</w:t>
      </w:r>
    </w:p>
    <w:p w14:paraId="58526465" w14:textId="068673CA" w:rsidR="00AD081E" w:rsidRPr="00AD081E" w:rsidRDefault="00AD081E" w:rsidP="00AD081E">
      <w:pPr>
        <w:rPr>
          <w:rFonts w:eastAsia="Calibri"/>
        </w:rPr>
      </w:pPr>
      <w:r w:rsidRPr="00AD081E">
        <w:rPr>
          <w:rFonts w:eastAsia="Calibri"/>
        </w:rPr>
        <w:t xml:space="preserve">If there is a </w:t>
      </w:r>
      <w:r w:rsidR="00B9771D" w:rsidRPr="00AD081E">
        <w:rPr>
          <w:rFonts w:eastAsia="Calibri"/>
        </w:rPr>
        <w:t>previously saved</w:t>
      </w:r>
      <w:r w:rsidRPr="00AD081E">
        <w:rPr>
          <w:rFonts w:eastAsia="Calibri"/>
        </w:rPr>
        <w:t xml:space="preserve"> TSNIF configuration that is close to what you need, load it now. First login as TSNIF administrator if you haven’t already.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 xml:space="preserve">.) 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Load Configuration</w:t>
      </w:r>
      <w:r w:rsidRPr="00AD081E">
        <w:rPr>
          <w:rFonts w:eastAsia="Calibri"/>
        </w:rPr>
        <w:t xml:space="preserve">. In the dialog that appears, select your configuration, then click the </w:t>
      </w:r>
      <w:r w:rsidRPr="00AD081E">
        <w:rPr>
          <w:rFonts w:eastAsia="Calibri"/>
          <w:b/>
        </w:rPr>
        <w:t>OK</w:t>
      </w:r>
      <w:r w:rsidRPr="00AD081E">
        <w:rPr>
          <w:rFonts w:eastAsia="Calibri"/>
        </w:rPr>
        <w:t xml:space="preserve"> button.</w:t>
      </w:r>
    </w:p>
    <w:p w14:paraId="6BE26090" w14:textId="77777777" w:rsidR="00AD081E" w:rsidRPr="00AD081E" w:rsidRDefault="00AD081E" w:rsidP="001F4B14">
      <w:pPr>
        <w:jc w:val="center"/>
      </w:pPr>
      <w:r w:rsidRPr="00AD081E">
        <w:rPr>
          <w:noProof/>
        </w:rPr>
        <w:drawing>
          <wp:inline distT="0" distB="0" distL="0" distR="0" wp14:anchorId="4F6B8BF8" wp14:editId="05327720">
            <wp:extent cx="3657600" cy="3374136"/>
            <wp:effectExtent l="0" t="0" r="0" b="0"/>
            <wp:docPr id="930" name="Picture 9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Picture 930" descr="Graphical user interface, application&#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3374136"/>
                    </a:xfrm>
                    <a:prstGeom prst="rect">
                      <a:avLst/>
                    </a:prstGeom>
                  </pic:spPr>
                </pic:pic>
              </a:graphicData>
            </a:graphic>
          </wp:inline>
        </w:drawing>
      </w:r>
    </w:p>
    <w:p w14:paraId="669F6766"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Interfaces</w:t>
      </w:r>
      <w:r w:rsidRPr="00AD081E">
        <w:rPr>
          <w:rFonts w:eastAsia="Calibri"/>
        </w:rPr>
        <w:t xml:space="preserve"> tab. Verify that, for each live participating node on the TCIP, there is an interface defined with the correct IP address, port number 9609, and an interface type of TSN TCP. Verify that for the TSRT’s TED, there is also a second interface defined with the correct IP address, port number 9610, and an interface type of TSN TCP. For each matching interface, note the interface name on your list of participating nodes.</w:t>
      </w:r>
    </w:p>
    <w:p w14:paraId="0C4EB443" w14:textId="77777777" w:rsidR="00AD081E" w:rsidRPr="00AD081E" w:rsidRDefault="00AD081E" w:rsidP="00AD081E">
      <w:pPr>
        <w:rPr>
          <w:rFonts w:eastAsia="Calibri"/>
        </w:rPr>
      </w:pPr>
      <w:r w:rsidRPr="00AD081E">
        <w:rPr>
          <w:rFonts w:eastAsia="Calibri"/>
        </w:rPr>
        <w:t>Verify that, for each TCIP that is to be connected to this TCIP, there is an interface defined with the correct IP address, port number, and interface type (TSN TCP or TSN CLIENT). For each matching interface, note the interface name at the appropriate end of your TCIP interconnection diagram.</w:t>
      </w:r>
    </w:p>
    <w:p w14:paraId="426619A6" w14:textId="77777777" w:rsidR="00AD081E" w:rsidRPr="00AD081E" w:rsidRDefault="00AD081E" w:rsidP="00AD081E">
      <w:pPr>
        <w:rPr>
          <w:rFonts w:eastAsia="Calibri"/>
        </w:rPr>
      </w:pPr>
      <w:r w:rsidRPr="00AD081E">
        <w:rPr>
          <w:rFonts w:eastAsia="Calibri"/>
        </w:rPr>
        <w:t>The IP address, port number, and interface type of an interface cannot be changed once the interface has been defined. If any of these parameters are not correct, the interface is considered missing.</w:t>
      </w:r>
    </w:p>
    <w:p w14:paraId="61F2CEB1" w14:textId="77777777" w:rsidR="00AD081E" w:rsidRPr="00AD081E" w:rsidRDefault="00AD081E" w:rsidP="00AD081E">
      <w:pPr>
        <w:rPr>
          <w:rFonts w:eastAsia="Calibri"/>
        </w:rPr>
      </w:pPr>
      <w:r w:rsidRPr="00AD081E">
        <w:rPr>
          <w:rFonts w:eastAsia="Calibri"/>
        </w:rPr>
        <w:lastRenderedPageBreak/>
        <w:t>Note any missing interfaces as you will have to create these soon. If an interface has the correct IP address, port number, and interface type, but is not enabled, note that as well.</w:t>
      </w:r>
    </w:p>
    <w:p w14:paraId="3AF050E4" w14:textId="77777777" w:rsidR="00AD081E" w:rsidRPr="00AD081E" w:rsidRDefault="00AD081E" w:rsidP="001F4B14">
      <w:pPr>
        <w:jc w:val="center"/>
      </w:pPr>
      <w:r w:rsidRPr="00AD081E">
        <w:rPr>
          <w:noProof/>
        </w:rPr>
        <w:drawing>
          <wp:inline distT="0" distB="0" distL="0" distR="0" wp14:anchorId="60F38471" wp14:editId="7C10C39D">
            <wp:extent cx="3657600" cy="3374136"/>
            <wp:effectExtent l="0" t="0" r="0" b="0"/>
            <wp:docPr id="931" name="Picture 93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Picture 931" descr="Graphical user interface, application, tabl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3657600" cy="3374136"/>
                    </a:xfrm>
                    <a:prstGeom prst="rect">
                      <a:avLst/>
                    </a:prstGeom>
                  </pic:spPr>
                </pic:pic>
              </a:graphicData>
            </a:graphic>
          </wp:inline>
        </w:drawing>
      </w:r>
    </w:p>
    <w:p w14:paraId="305C0695"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i/>
        </w:rPr>
        <w:t>Routes</w:t>
      </w:r>
      <w:r w:rsidRPr="00AD081E">
        <w:rPr>
          <w:rFonts w:eastAsia="Calibri"/>
        </w:rPr>
        <w:t xml:space="preserve"> tab, then click on the </w:t>
      </w:r>
      <w:r w:rsidRPr="00AD081E">
        <w:rPr>
          <w:rFonts w:eastAsia="Calibri"/>
          <w:b/>
        </w:rPr>
        <w:t>Source</w:t>
      </w:r>
      <w:r w:rsidRPr="00AD081E">
        <w:rPr>
          <w:rFonts w:eastAsia="Calibri"/>
        </w:rPr>
        <w:t xml:space="preserve"> column head to sort the list by source interface name. Verify that for each pair of interfaces on the TCIP, there is a route from the first to the second, and another route from the second back to the first. Note any missing routes, as you will have to create these soon. Also note any extra routes (with non-participants at one end), as you may wish to delete these.</w:t>
      </w:r>
    </w:p>
    <w:p w14:paraId="55754E1B" w14:textId="77777777" w:rsidR="00AD081E" w:rsidRPr="00AD081E" w:rsidRDefault="00AD081E" w:rsidP="00AD081E">
      <w:pPr>
        <w:rPr>
          <w:rFonts w:eastAsia="Calibri"/>
        </w:rPr>
      </w:pPr>
      <w:r w:rsidRPr="00AD081E">
        <w:rPr>
          <w:rFonts w:eastAsia="Calibri"/>
        </w:rPr>
        <w:t xml:space="preserve">If there are no missing or disabled interfaces, and there are no missing routes, there’s nothing further to do for TSNIF configuration on this TCIP, and you can go on to the next TCIP. If there are no more TCIPs, and you logged in as administrator, logout now by choosing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from the menu. Close the TSNIF tool.</w:t>
      </w:r>
    </w:p>
    <w:p w14:paraId="104242B2" w14:textId="77777777" w:rsidR="00AD081E" w:rsidRPr="00AD081E" w:rsidRDefault="00AD081E" w:rsidP="00AD081E">
      <w:pPr>
        <w:rPr>
          <w:rFonts w:eastAsia="Calibri"/>
        </w:rPr>
      </w:pPr>
      <w:r w:rsidRPr="00AD081E">
        <w:rPr>
          <w:rFonts w:eastAsia="Calibri"/>
        </w:rPr>
        <w:t>Otherwise, keep going.</w:t>
      </w:r>
    </w:p>
    <w:p w14:paraId="590554D2" w14:textId="77777777" w:rsidR="00AD081E" w:rsidRPr="00AD081E" w:rsidRDefault="00AD081E" w:rsidP="00306174">
      <w:pPr>
        <w:pStyle w:val="Appendix6"/>
      </w:pPr>
      <w:r w:rsidRPr="00AD081E">
        <w:t>Login as Administrator</w:t>
      </w:r>
    </w:p>
    <w:p w14:paraId="3C93D1EF" w14:textId="6F14BD02"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If you did not previously log in as TSNIF administrator (to change the TCIP server or load a TSNIF configuration), log in as administrator now.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Login</w:t>
      </w:r>
      <w:r w:rsidRPr="00AD081E">
        <w:rPr>
          <w:rFonts w:eastAsia="Calibri"/>
        </w:rPr>
        <w:t xml:space="preserve"> from the menu. In the dialog that appears, enter the administrator password for TSNIF, then click </w:t>
      </w:r>
      <w:r w:rsidRPr="00AD081E">
        <w:rPr>
          <w:rFonts w:eastAsia="Calibri"/>
          <w:b/>
        </w:rPr>
        <w:t>OK</w:t>
      </w:r>
      <w:r w:rsidRPr="00AD081E">
        <w:rPr>
          <w:rFonts w:eastAsia="Calibri"/>
        </w:rPr>
        <w:t>.</w:t>
      </w:r>
    </w:p>
    <w:p w14:paraId="0DE988E8" w14:textId="77777777" w:rsidR="00AD081E" w:rsidRPr="00AD081E" w:rsidRDefault="00AD081E" w:rsidP="00306174">
      <w:pPr>
        <w:pStyle w:val="Appendix6"/>
      </w:pPr>
      <w:r w:rsidRPr="00AD081E">
        <w:t>Correct Disabled Interfaces</w:t>
      </w:r>
    </w:p>
    <w:p w14:paraId="5335DFE8" w14:textId="77777777" w:rsidR="00AD081E" w:rsidRPr="00AD081E" w:rsidRDefault="00AD081E" w:rsidP="00AD081E">
      <w:pPr>
        <w:rPr>
          <w:rFonts w:eastAsia="Calibri"/>
        </w:rPr>
      </w:pPr>
      <w:r w:rsidRPr="00AD081E">
        <w:rPr>
          <w:rFonts w:eastAsia="Calibri"/>
        </w:rPr>
        <w:t>If there are interfaces with the correct IP address and port that are disabled, correct them as follows:</w:t>
      </w:r>
    </w:p>
    <w:p w14:paraId="54DBA6E4" w14:textId="77777777" w:rsidR="00AD081E" w:rsidRPr="00AD081E" w:rsidRDefault="00AD081E" w:rsidP="00AD081E">
      <w:pPr>
        <w:rPr>
          <w:rFonts w:eastAsia="Calibri"/>
        </w:rPr>
      </w:pPr>
      <w:r w:rsidRPr="00AD081E">
        <w:rPr>
          <w:rFonts w:eastAsia="Calibri"/>
          <w:b/>
        </w:rPr>
        <w:lastRenderedPageBreak/>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Select the interface in the list. Click on the </w:t>
      </w:r>
      <w:r w:rsidRPr="00AD081E">
        <w:rPr>
          <w:rFonts w:eastAsia="Calibri"/>
          <w:b/>
        </w:rPr>
        <w:t>Modify</w:t>
      </w:r>
      <w:r w:rsidRPr="00AD081E">
        <w:rPr>
          <w:rFonts w:eastAsia="Calibri"/>
        </w:rPr>
        <w:t xml:space="preserve"> button at the bottom of the tab. In the dialog that appears, ensure that the </w:t>
      </w:r>
      <w:r w:rsidRPr="00AD081E">
        <w:rPr>
          <w:rFonts w:eastAsia="Calibri"/>
          <w:b/>
        </w:rPr>
        <w:t>Enabled</w:t>
      </w:r>
      <w:r w:rsidRPr="00AD081E">
        <w:rPr>
          <w:rFonts w:eastAsia="Calibri"/>
        </w:rPr>
        <w:t xml:space="preserve"> radio button is selected. Click on the </w:t>
      </w:r>
      <w:r w:rsidRPr="00AD081E">
        <w:rPr>
          <w:rFonts w:eastAsia="Calibri"/>
          <w:b/>
        </w:rPr>
        <w:t>Apply</w:t>
      </w:r>
      <w:r w:rsidRPr="00AD081E">
        <w:rPr>
          <w:rFonts w:eastAsia="Calibri"/>
        </w:rPr>
        <w:t xml:space="preserve"> button at the bottom of the dialog.</w:t>
      </w:r>
    </w:p>
    <w:p w14:paraId="099E49FB" w14:textId="77777777" w:rsidR="00AD081E" w:rsidRPr="00AD081E" w:rsidRDefault="00AD081E" w:rsidP="00306174">
      <w:pPr>
        <w:pStyle w:val="Appendix6"/>
      </w:pPr>
      <w:r w:rsidRPr="00AD081E">
        <w:t>Add Missing Interfaces</w:t>
      </w:r>
    </w:p>
    <w:p w14:paraId="1888CACC" w14:textId="77777777" w:rsidR="00AD081E" w:rsidRPr="00AD081E" w:rsidRDefault="00AD081E" w:rsidP="00AD081E">
      <w:pPr>
        <w:rPr>
          <w:rFonts w:eastAsia="Calibri"/>
        </w:rPr>
      </w:pPr>
      <w:r w:rsidRPr="00AD081E">
        <w:rPr>
          <w:rFonts w:eastAsia="Calibri"/>
        </w:rPr>
        <w:t>For each missing interface, create an interface as follows:</w:t>
      </w:r>
    </w:p>
    <w:p w14:paraId="52D8B8D1"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Interfaces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5F37196B" w14:textId="77777777" w:rsidR="00AD081E" w:rsidRPr="00AD081E" w:rsidRDefault="00AD081E" w:rsidP="00AD081E">
      <w:pPr>
        <w:rPr>
          <w:rFonts w:eastAsia="Calibri"/>
        </w:rPr>
      </w:pPr>
      <w:r w:rsidRPr="00AD081E">
        <w:rPr>
          <w:rFonts w:eastAsia="Calibri"/>
          <w:b/>
        </w:rPr>
        <w:t>Select Interface Type</w:t>
      </w:r>
      <w:r w:rsidRPr="00AD081E">
        <w:rPr>
          <w:rFonts w:eastAsia="Calibri"/>
          <w:b/>
        </w:rPr>
        <w:br/>
      </w:r>
      <w:r w:rsidRPr="00AD081E">
        <w:rPr>
          <w:rFonts w:eastAsia="Calibri"/>
        </w:rPr>
        <w:t xml:space="preserve">Select the interface type from the list. This is </w:t>
      </w:r>
      <w:r w:rsidRPr="00AD081E">
        <w:rPr>
          <w:rFonts w:eastAsia="Calibri"/>
          <w:b/>
        </w:rPr>
        <w:t>TSN TCP</w:t>
      </w:r>
      <w:r w:rsidRPr="00AD081E">
        <w:rPr>
          <w:rFonts w:eastAsia="Calibri"/>
        </w:rPr>
        <w:t xml:space="preserve"> for participating nodes and for the TCP end of TCIP interconnections, </w:t>
      </w:r>
      <w:r w:rsidRPr="00AD081E">
        <w:rPr>
          <w:rFonts w:eastAsia="Calibri"/>
          <w:b/>
        </w:rPr>
        <w:t>TSN CLIENT</w:t>
      </w:r>
      <w:r w:rsidRPr="00AD081E">
        <w:rPr>
          <w:rFonts w:eastAsia="Calibri"/>
        </w:rPr>
        <w:t xml:space="preserve"> for the client end of TCIP interconnections. Click on the </w:t>
      </w:r>
      <w:r w:rsidRPr="00AD081E">
        <w:rPr>
          <w:rFonts w:eastAsia="Calibri"/>
          <w:b/>
        </w:rPr>
        <w:t>OK</w:t>
      </w:r>
      <w:r w:rsidRPr="00AD081E">
        <w:rPr>
          <w:rFonts w:eastAsia="Calibri"/>
        </w:rPr>
        <w:t xml:space="preserve"> button.</w:t>
      </w:r>
    </w:p>
    <w:p w14:paraId="5FD70280" w14:textId="77777777" w:rsidR="00AD081E" w:rsidRPr="00AD081E" w:rsidRDefault="00AD081E" w:rsidP="00AD081E">
      <w:pPr>
        <w:rPr>
          <w:rFonts w:eastAsia="Calibri"/>
        </w:rPr>
      </w:pPr>
      <w:r w:rsidRPr="00AD081E">
        <w:rPr>
          <w:rFonts w:eastAsia="Calibri"/>
          <w:b/>
        </w:rPr>
        <w:t>TSN TCP</w:t>
      </w:r>
      <w:r w:rsidRPr="00AD081E">
        <w:rPr>
          <w:rFonts w:eastAsia="Calibri"/>
        </w:rPr>
        <w:t xml:space="preserve"> (or </w:t>
      </w:r>
      <w:r w:rsidRPr="00AD081E">
        <w:rPr>
          <w:rFonts w:eastAsia="Calibri"/>
          <w:b/>
        </w:rPr>
        <w:t>TSN CLIENT</w:t>
      </w:r>
      <w:r w:rsidRPr="00AD081E">
        <w:rPr>
          <w:rFonts w:eastAsia="Calibri"/>
        </w:rPr>
        <w:t>)</w:t>
      </w:r>
      <w:r w:rsidRPr="00AD081E">
        <w:rPr>
          <w:rFonts w:eastAsia="Calibri"/>
        </w:rPr>
        <w:br/>
        <w:t xml:space="preserve">Enter a name for the interface. Select the </w:t>
      </w:r>
      <w:r w:rsidRPr="00AD081E">
        <w:rPr>
          <w:rFonts w:eastAsia="Calibri"/>
          <w:b/>
        </w:rPr>
        <w:t>Enabled</w:t>
      </w:r>
      <w:r w:rsidRPr="00AD081E">
        <w:rPr>
          <w:rFonts w:eastAsia="Calibri"/>
        </w:rPr>
        <w:t xml:space="preserve"> radio button. In the </w:t>
      </w:r>
      <w:r w:rsidRPr="00AD081E">
        <w:rPr>
          <w:rFonts w:eastAsia="Calibri"/>
          <w:b/>
        </w:rPr>
        <w:t>Internet Address</w:t>
      </w:r>
      <w:r w:rsidRPr="00AD081E">
        <w:rPr>
          <w:rFonts w:eastAsia="Calibri"/>
        </w:rPr>
        <w:t xml:space="preserve"> area, enter the IP address of the TSRT’s TED node (the four IP address components are each entered into a separate text area; you can tab from one to the next as you enter). If the </w:t>
      </w:r>
      <w:r w:rsidRPr="00AD081E">
        <w:rPr>
          <w:rFonts w:eastAsia="Calibri"/>
          <w:b/>
        </w:rPr>
        <w:t>Service Port ID</w:t>
      </w:r>
      <w:r w:rsidRPr="00AD081E">
        <w:rPr>
          <w:rFonts w:eastAsia="Calibri"/>
        </w:rPr>
        <w:t xml:space="preserve"> is not the correct port number, select the correct port number from the drop down.</w:t>
      </w:r>
    </w:p>
    <w:p w14:paraId="5687C02A"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rPr>
        <w:t>Apply</w:t>
      </w:r>
      <w:r w:rsidRPr="00AD081E">
        <w:rPr>
          <w:rFonts w:eastAsia="Calibri"/>
        </w:rPr>
        <w:t xml:space="preserve"> button at the bottom of the dialog to create the interface.</w:t>
      </w:r>
    </w:p>
    <w:p w14:paraId="30E3F907" w14:textId="77777777" w:rsidR="00AD081E" w:rsidRPr="00AD081E" w:rsidRDefault="00AD081E" w:rsidP="00357719">
      <w:pPr>
        <w:jc w:val="center"/>
      </w:pPr>
      <w:r w:rsidRPr="00AD081E">
        <w:rPr>
          <w:rFonts w:ascii="Calibri" w:eastAsia="Calibri" w:hAnsi="Calibri"/>
          <w:noProof/>
          <w:sz w:val="22"/>
          <w:szCs w:val="22"/>
        </w:rPr>
        <w:drawing>
          <wp:inline distT="0" distB="0" distL="0" distR="0" wp14:anchorId="4462C7FC" wp14:editId="54A7D0E9">
            <wp:extent cx="2286000" cy="1097280"/>
            <wp:effectExtent l="0" t="0" r="0" b="7620"/>
            <wp:docPr id="932" name="Picture 9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Picture 932"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2286000" cy="1097280"/>
                    </a:xfrm>
                    <a:prstGeom prst="rect">
                      <a:avLst/>
                    </a:prstGeom>
                  </pic:spPr>
                </pic:pic>
              </a:graphicData>
            </a:graphic>
          </wp:inline>
        </w:drawing>
      </w:r>
      <w:r w:rsidRPr="00AD081E">
        <w:rPr>
          <w:rFonts w:ascii="Calibri" w:eastAsia="Calibri" w:hAnsi="Calibri"/>
          <w:noProof/>
          <w:sz w:val="22"/>
          <w:szCs w:val="22"/>
        </w:rPr>
        <w:t xml:space="preserve">  </w:t>
      </w:r>
      <w:r w:rsidRPr="00AD081E">
        <w:rPr>
          <w:noProof/>
        </w:rPr>
        <w:drawing>
          <wp:inline distT="0" distB="0" distL="0" distR="0" wp14:anchorId="14C20C9C" wp14:editId="2A2D58B2">
            <wp:extent cx="2286000" cy="1892808"/>
            <wp:effectExtent l="0" t="0" r="0" b="0"/>
            <wp:docPr id="933" name="Picture 93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Picture 933" descr="Graphical user interface&#10;&#10;Description automatically generated"/>
                    <pic:cNvPicPr/>
                  </pic:nvPicPr>
                  <pic:blipFill>
                    <a:blip cstate="screen">
                      <a:extLst>
                        <a:ext uri="{28A0092B-C50C-407E-A947-70E740481C1C}">
                          <a14:useLocalDpi xmlns:a14="http://schemas.microsoft.com/office/drawing/2010/main"/>
                        </a:ext>
                      </a:extLst>
                    </a:blip>
                    <a:stretch>
                      <a:fillRect/>
                    </a:stretch>
                  </pic:blipFill>
                  <pic:spPr>
                    <a:xfrm>
                      <a:off x="0" y="0"/>
                      <a:ext cx="2286000" cy="1892808"/>
                    </a:xfrm>
                    <a:prstGeom prst="rect">
                      <a:avLst/>
                    </a:prstGeom>
                  </pic:spPr>
                </pic:pic>
              </a:graphicData>
            </a:graphic>
          </wp:inline>
        </w:drawing>
      </w:r>
    </w:p>
    <w:p w14:paraId="34D55F5B" w14:textId="77777777" w:rsidR="00AD081E" w:rsidRPr="00AD081E" w:rsidRDefault="00AD081E" w:rsidP="00306174">
      <w:pPr>
        <w:pStyle w:val="Appendix6"/>
      </w:pPr>
      <w:r w:rsidRPr="00AD081E">
        <w:t>Add Missing Routes</w:t>
      </w:r>
    </w:p>
    <w:p w14:paraId="78B7E96A" w14:textId="77777777" w:rsidR="00AD081E" w:rsidRPr="00AD081E" w:rsidRDefault="00AD081E" w:rsidP="00AD081E">
      <w:pPr>
        <w:rPr>
          <w:rFonts w:eastAsia="Calibri"/>
        </w:rPr>
      </w:pPr>
      <w:r w:rsidRPr="00AD081E">
        <w:rPr>
          <w:rFonts w:eastAsia="Calibri"/>
        </w:rPr>
        <w:t>If any routes are missing, add routes as follows:</w:t>
      </w:r>
    </w:p>
    <w:p w14:paraId="42829306"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Click on the </w:t>
      </w:r>
      <w:r w:rsidRPr="00AD081E">
        <w:rPr>
          <w:rFonts w:eastAsia="Calibri"/>
          <w:b/>
          <w:i/>
        </w:rPr>
        <w:t>Routes</w:t>
      </w:r>
      <w:r w:rsidRPr="00AD081E">
        <w:rPr>
          <w:rFonts w:eastAsia="Calibri"/>
        </w:rPr>
        <w:t xml:space="preserve"> tab. Click the </w:t>
      </w:r>
      <w:r w:rsidRPr="00AD081E">
        <w:rPr>
          <w:rFonts w:eastAsia="Calibri"/>
          <w:b/>
        </w:rPr>
        <w:t>Add</w:t>
      </w:r>
      <w:r w:rsidRPr="00AD081E">
        <w:rPr>
          <w:rFonts w:eastAsia="Calibri"/>
        </w:rPr>
        <w:t xml:space="preserve"> button at the bottom of the tab.</w:t>
      </w:r>
    </w:p>
    <w:p w14:paraId="264F2F6A" w14:textId="77777777" w:rsidR="00AD081E" w:rsidRPr="00AD081E" w:rsidRDefault="00AD081E" w:rsidP="001F4B14">
      <w:pPr>
        <w:jc w:val="center"/>
      </w:pPr>
      <w:r w:rsidRPr="00AD081E">
        <w:rPr>
          <w:noProof/>
        </w:rPr>
        <w:lastRenderedPageBreak/>
        <w:drawing>
          <wp:inline distT="0" distB="0" distL="0" distR="0" wp14:anchorId="55A7F01D" wp14:editId="28B0657B">
            <wp:extent cx="3200400" cy="1801368"/>
            <wp:effectExtent l="0" t="0" r="0" b="8890"/>
            <wp:docPr id="938" name="Picture 93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Picture 938"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3200400" cy="1801368"/>
                    </a:xfrm>
                    <a:prstGeom prst="rect">
                      <a:avLst/>
                    </a:prstGeom>
                  </pic:spPr>
                </pic:pic>
              </a:graphicData>
            </a:graphic>
          </wp:inline>
        </w:drawing>
      </w:r>
    </w:p>
    <w:p w14:paraId="46DAAE01" w14:textId="77777777" w:rsidR="00AD081E" w:rsidRPr="00AD081E" w:rsidRDefault="00AD081E" w:rsidP="00AD081E">
      <w:pPr>
        <w:rPr>
          <w:rFonts w:eastAsia="Calibri"/>
        </w:rPr>
      </w:pPr>
      <w:r w:rsidRPr="00AD081E">
        <w:rPr>
          <w:rFonts w:eastAsia="Calibri"/>
          <w:b/>
        </w:rPr>
        <w:t>Add/Modify Route</w:t>
      </w:r>
      <w:r w:rsidRPr="00AD081E">
        <w:rPr>
          <w:rFonts w:eastAsia="Calibri"/>
          <w:b/>
        </w:rPr>
        <w:br/>
      </w:r>
      <w:r w:rsidRPr="00AD081E">
        <w:rPr>
          <w:rFonts w:eastAsia="Calibri"/>
        </w:rPr>
        <w:t xml:space="preserve">Using the drop down labeled </w:t>
      </w:r>
      <w:r w:rsidRPr="00AD081E">
        <w:rPr>
          <w:rFonts w:eastAsia="Calibri"/>
          <w:b/>
        </w:rPr>
        <w:t>From</w:t>
      </w:r>
      <w:r w:rsidRPr="00AD081E">
        <w:rPr>
          <w:rFonts w:eastAsia="Calibri"/>
        </w:rPr>
        <w:t xml:space="preserve">, select the first interface of the pair that is missing a route. Find the second interface of the pair in the list to the right. Check the </w:t>
      </w:r>
      <w:r w:rsidRPr="00AD081E">
        <w:rPr>
          <w:rFonts w:eastAsia="Calibri"/>
          <w:b/>
        </w:rPr>
        <w:t>To</w:t>
      </w:r>
      <w:r w:rsidRPr="00AD081E">
        <w:rPr>
          <w:rFonts w:eastAsia="Calibri"/>
        </w:rPr>
        <w:t xml:space="preserve"> box next to the second interface name (if it is not already checked), then check the </w:t>
      </w:r>
      <w:r w:rsidRPr="00AD081E">
        <w:rPr>
          <w:rFonts w:eastAsia="Calibri"/>
          <w:b/>
        </w:rPr>
        <w:t>Back To</w:t>
      </w:r>
      <w:r w:rsidRPr="00AD081E">
        <w:rPr>
          <w:rFonts w:eastAsia="Calibri"/>
        </w:rPr>
        <w:t xml:space="preserve"> box on the same line. (If the back route was previously defined, there will not be a </w:t>
      </w:r>
      <w:r w:rsidRPr="00AD081E">
        <w:rPr>
          <w:rFonts w:eastAsia="Calibri"/>
          <w:b/>
        </w:rPr>
        <w:t>Back To</w:t>
      </w:r>
      <w:r w:rsidRPr="00AD081E">
        <w:rPr>
          <w:rFonts w:eastAsia="Calibri"/>
        </w:rPr>
        <w:t xml:space="preserve"> box on the same line.)</w:t>
      </w:r>
    </w:p>
    <w:p w14:paraId="4E52348E" w14:textId="77777777" w:rsidR="00AD081E" w:rsidRPr="00AD081E" w:rsidRDefault="00AD081E" w:rsidP="00AD081E">
      <w:pPr>
        <w:rPr>
          <w:rFonts w:eastAsia="Calibri"/>
        </w:rPr>
      </w:pPr>
      <w:r w:rsidRPr="00AD081E">
        <w:rPr>
          <w:rFonts w:eastAsia="Calibri"/>
        </w:rPr>
        <w:t xml:space="preserve">To save time, while you have the first interface name in the </w:t>
      </w:r>
      <w:r w:rsidRPr="00AD081E">
        <w:rPr>
          <w:rFonts w:eastAsia="Calibri"/>
          <w:b/>
        </w:rPr>
        <w:t>From</w:t>
      </w:r>
      <w:r w:rsidRPr="00AD081E">
        <w:rPr>
          <w:rFonts w:eastAsia="Calibri"/>
        </w:rPr>
        <w:t xml:space="preserve"> box, use the right-hand list to find all of the other missing interfaces to/from the first interface and check them, too. When all needed interfaces to/from the first interface have been selected, click on the </w:t>
      </w:r>
      <w:r w:rsidRPr="00AD081E">
        <w:rPr>
          <w:rFonts w:eastAsia="Calibri"/>
          <w:b/>
        </w:rPr>
        <w:t>Apply</w:t>
      </w:r>
      <w:r w:rsidRPr="00AD081E">
        <w:rPr>
          <w:rFonts w:eastAsia="Calibri"/>
        </w:rPr>
        <w:t xml:space="preserve"> button at the bottom of the dialog.</w:t>
      </w:r>
    </w:p>
    <w:p w14:paraId="42B6FD68" w14:textId="77777777" w:rsidR="00AD081E" w:rsidRPr="00AD081E" w:rsidRDefault="00AD081E" w:rsidP="00306174">
      <w:pPr>
        <w:pStyle w:val="Appendix6"/>
      </w:pPr>
      <w:r w:rsidRPr="00AD081E">
        <w:t>Delete Extra Routes (Optional)</w:t>
      </w:r>
    </w:p>
    <w:p w14:paraId="0124661D" w14:textId="77777777" w:rsidR="00AD081E" w:rsidRPr="00AD081E" w:rsidRDefault="00AD081E" w:rsidP="00AD081E">
      <w:pPr>
        <w:rPr>
          <w:rFonts w:eastAsia="Calibri"/>
        </w:rPr>
      </w:pPr>
      <w:r w:rsidRPr="00AD081E">
        <w:rPr>
          <w:rFonts w:eastAsia="Calibri"/>
        </w:rPr>
        <w:t xml:space="preserve">To avoid receiving TSN messages from non-participants, you may wish to delete any extra routes from participants to non-participants, or vice versa. To do this, select each extra route in turn on the </w:t>
      </w:r>
      <w:r w:rsidRPr="00AD081E">
        <w:rPr>
          <w:rFonts w:eastAsia="Calibri"/>
          <w:b/>
          <w:i/>
        </w:rPr>
        <w:t>Routes</w:t>
      </w:r>
      <w:r w:rsidRPr="00AD081E">
        <w:rPr>
          <w:rFonts w:eastAsia="Calibri"/>
        </w:rPr>
        <w:t xml:space="preserve"> tab, then click on the </w:t>
      </w:r>
      <w:r w:rsidRPr="00AD081E">
        <w:rPr>
          <w:rFonts w:eastAsia="Calibri"/>
          <w:b/>
        </w:rPr>
        <w:t>Delete</w:t>
      </w:r>
      <w:r w:rsidRPr="00AD081E">
        <w:rPr>
          <w:rFonts w:eastAsia="Calibri"/>
        </w:rPr>
        <w:t xml:space="preserve"> button.</w:t>
      </w:r>
    </w:p>
    <w:p w14:paraId="6C6E0627" w14:textId="77777777" w:rsidR="00AD081E" w:rsidRPr="00AD081E" w:rsidRDefault="00AD081E" w:rsidP="00306174">
      <w:pPr>
        <w:pStyle w:val="Appendix6"/>
      </w:pPr>
      <w:r w:rsidRPr="00AD081E">
        <w:t>Save Your Changes</w:t>
      </w:r>
    </w:p>
    <w:p w14:paraId="53EEF909"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 Configuration</w:t>
      </w:r>
      <w:r w:rsidRPr="00AD081E">
        <w:rPr>
          <w:rFonts w:eastAsia="Calibri"/>
        </w:rPr>
        <w:t>.</w:t>
      </w:r>
    </w:p>
    <w:p w14:paraId="11D49ED2" w14:textId="7174E4C3" w:rsidR="00AD081E" w:rsidRPr="00AD081E" w:rsidRDefault="00AD081E" w:rsidP="00AD081E">
      <w:pPr>
        <w:rPr>
          <w:rFonts w:eastAsia="Calibri"/>
        </w:rPr>
      </w:pPr>
      <w:r w:rsidRPr="00AD081E">
        <w:rPr>
          <w:rFonts w:eastAsia="Calibri"/>
          <w:b/>
        </w:rPr>
        <w:t>Save Configuration</w:t>
      </w:r>
      <w:r w:rsidRPr="00AD081E">
        <w:rPr>
          <w:rFonts w:eastAsia="Calibri"/>
          <w:b/>
        </w:rPr>
        <w:br/>
      </w:r>
      <w:r w:rsidRPr="00AD081E">
        <w:rPr>
          <w:rFonts w:eastAsia="Calibri"/>
        </w:rPr>
        <w:t xml:space="preserve">Select an interface name from the list (the </w:t>
      </w:r>
      <w:r w:rsidR="00B9771D" w:rsidRPr="00AD081E">
        <w:rPr>
          <w:rFonts w:eastAsia="Calibri"/>
        </w:rPr>
        <w:t>currently loaded</w:t>
      </w:r>
      <w:r w:rsidRPr="00AD081E">
        <w:rPr>
          <w:rFonts w:eastAsia="Calibri"/>
        </w:rPr>
        <w:t xml:space="preserve"> configuration is the one marked with an asterisk [</w:t>
      </w:r>
      <w:r w:rsidRPr="00AD081E">
        <w:rPr>
          <w:rFonts w:eastAsia="Calibri"/>
          <w:b/>
        </w:rPr>
        <w:t>*</w:t>
      </w:r>
      <w:r w:rsidRPr="00AD081E">
        <w:rPr>
          <w:rFonts w:eastAsia="Calibri"/>
        </w:rPr>
        <w:t>]</w:t>
      </w:r>
      <w:r w:rsidR="00215109" w:rsidRPr="00AD081E">
        <w:rPr>
          <w:rFonts w:eastAsia="Calibri"/>
        </w:rPr>
        <w:t>) or</w:t>
      </w:r>
      <w:r w:rsidRPr="00AD081E">
        <w:rPr>
          <w:rFonts w:eastAsia="Calibri"/>
        </w:rPr>
        <w:t xml:space="preserve"> enter a new configuration name in the text entry area at the bottom of the dialog. Click on the </w:t>
      </w:r>
      <w:r w:rsidRPr="00AD081E">
        <w:rPr>
          <w:rFonts w:eastAsia="Calibri"/>
          <w:b/>
        </w:rPr>
        <w:t>OK</w:t>
      </w:r>
      <w:r w:rsidRPr="00AD081E">
        <w:rPr>
          <w:rFonts w:eastAsia="Calibri"/>
        </w:rPr>
        <w:t xml:space="preserve"> button.</w:t>
      </w:r>
    </w:p>
    <w:p w14:paraId="24DD9BE2" w14:textId="77777777" w:rsidR="00AD081E" w:rsidRPr="00AD081E" w:rsidRDefault="00AD081E" w:rsidP="00306174">
      <w:pPr>
        <w:pStyle w:val="Appendix6"/>
      </w:pPr>
      <w:r w:rsidRPr="00AD081E">
        <w:t>Configure the Next TCIP</w:t>
      </w:r>
    </w:p>
    <w:p w14:paraId="64B1EC6A" w14:textId="21EC3BB5" w:rsidR="00AD081E" w:rsidRPr="00AD081E" w:rsidRDefault="00AD081E" w:rsidP="00AD081E">
      <w:pPr>
        <w:rPr>
          <w:rFonts w:eastAsia="Calibri"/>
        </w:rPr>
      </w:pPr>
      <w:r w:rsidRPr="00AD081E">
        <w:rPr>
          <w:rFonts w:eastAsia="Calibri"/>
        </w:rPr>
        <w:t xml:space="preserve">If there are more TCIP TSNIFs to configure, go on to the next, beginning the procedure again at determining the Scope of Changes (see </w:t>
      </w:r>
      <w:hyperlink w:anchor="Determine_Scope_of_Changes" w:history="1">
        <w:r w:rsidRPr="00AD081E">
          <w:rPr>
            <w:rFonts w:eastAsia="Calibri"/>
            <w:color w:val="0000FF"/>
            <w:u w:val="single"/>
          </w:rPr>
          <w:t>Section R.4.7.3.4.1</w:t>
        </w:r>
      </w:hyperlink>
      <w:r w:rsidR="000365F3">
        <w:rPr>
          <w:rFonts w:eastAsia="Calibri"/>
        </w:rPr>
        <w:t>).</w:t>
      </w:r>
      <w:r w:rsidRPr="00AD081E">
        <w:rPr>
          <w:rFonts w:eastAsia="Calibri"/>
        </w:rPr>
        <w:t xml:space="preserve"> If all TCIP TSNIFs have been configured, proceed to the next step. </w:t>
      </w:r>
    </w:p>
    <w:p w14:paraId="18C78B02" w14:textId="77777777" w:rsidR="00AD081E" w:rsidRPr="00AD081E" w:rsidRDefault="00AD081E" w:rsidP="00306174">
      <w:pPr>
        <w:pStyle w:val="Appendix6"/>
      </w:pPr>
      <w:r w:rsidRPr="00AD081E">
        <w:lastRenderedPageBreak/>
        <w:t>Logout and Close</w:t>
      </w:r>
    </w:p>
    <w:p w14:paraId="3A2C7FCD" w14:textId="77777777" w:rsidR="00AD081E" w:rsidRPr="00AD081E" w:rsidRDefault="00AD081E" w:rsidP="00AD081E">
      <w:pPr>
        <w:rPr>
          <w:rFonts w:eastAsia="Calibri"/>
        </w:rPr>
      </w:pPr>
      <w:r w:rsidRPr="00AD081E">
        <w:rPr>
          <w:rFonts w:eastAsia="Calibri"/>
          <w:b/>
        </w:rPr>
        <w:t xml:space="preserve">TSN ACA – (Configuration: </w:t>
      </w:r>
      <w:r w:rsidRPr="00AD081E">
        <w:rPr>
          <w:rFonts w:eastAsia="Calibri"/>
          <w:b/>
          <w:i/>
        </w:rPr>
        <w:t>ConfigurationName</w:t>
      </w:r>
      <w:r w:rsidRPr="00AD081E">
        <w:rPr>
          <w:rFonts w:eastAsia="Calibri"/>
          <w:b/>
        </w:rPr>
        <w:t>)</w:t>
      </w:r>
      <w:r w:rsidRPr="00AD081E">
        <w:rPr>
          <w:rFonts w:eastAsia="Calibri"/>
          <w:b/>
        </w:rPr>
        <w:br/>
      </w:r>
      <w:r w:rsidRPr="00AD081E">
        <w:rPr>
          <w:rFonts w:eastAsia="Calibri"/>
        </w:rPr>
        <w:t xml:space="preserve">From the menu, choose </w:t>
      </w:r>
      <w:r w:rsidRPr="00AD081E">
        <w:rPr>
          <w:rFonts w:eastAsia="Calibri"/>
          <w:b/>
        </w:rPr>
        <w:t>Configure</w:t>
      </w:r>
      <w:r w:rsidRPr="00AD081E">
        <w:rPr>
          <w:b/>
        </w:rPr>
        <w:t xml:space="preserve"> </w:t>
      </w:r>
      <w:r w:rsidRPr="00AD081E">
        <w:rPr>
          <w:b/>
        </w:rPr>
        <w:sym w:font="Wingdings" w:char="F0E0"/>
      </w:r>
      <w:r w:rsidRPr="00AD081E">
        <w:rPr>
          <w:b/>
        </w:rPr>
        <w:t xml:space="preserve"> </w:t>
      </w:r>
      <w:r w:rsidRPr="00AD081E">
        <w:rPr>
          <w:rFonts w:eastAsia="Calibri"/>
          <w:b/>
        </w:rPr>
        <w:t>Administrator Mode</w:t>
      </w:r>
      <w:r w:rsidRPr="00AD081E">
        <w:rPr>
          <w:b/>
        </w:rPr>
        <w:t xml:space="preserve"> </w:t>
      </w:r>
      <w:r w:rsidRPr="00AD081E">
        <w:rPr>
          <w:b/>
        </w:rPr>
        <w:sym w:font="Wingdings" w:char="F0E0"/>
      </w:r>
      <w:r w:rsidRPr="00AD081E">
        <w:rPr>
          <w:b/>
        </w:rPr>
        <w:t xml:space="preserve"> </w:t>
      </w:r>
      <w:r w:rsidRPr="00AD081E">
        <w:rPr>
          <w:rFonts w:eastAsia="Calibri"/>
          <w:b/>
        </w:rPr>
        <w:t>Logout</w:t>
      </w:r>
      <w:r w:rsidRPr="00AD081E">
        <w:rPr>
          <w:rFonts w:eastAsia="Calibri"/>
        </w:rPr>
        <w:t xml:space="preserve">. Close the </w:t>
      </w:r>
      <w:r w:rsidRPr="00AD081E">
        <w:rPr>
          <w:rFonts w:eastAsia="Calibri"/>
          <w:i/>
        </w:rPr>
        <w:t>TSNIF</w:t>
      </w:r>
      <w:r w:rsidRPr="00AD081E">
        <w:rPr>
          <w:rFonts w:eastAsia="Calibri"/>
        </w:rPr>
        <w:t xml:space="preserve"> window.</w:t>
      </w:r>
    </w:p>
    <w:p w14:paraId="582FBE87" w14:textId="77777777" w:rsidR="00AD081E" w:rsidRPr="00AD081E" w:rsidRDefault="00AD081E" w:rsidP="006A75D6">
      <w:pPr>
        <w:pStyle w:val="Appendix5"/>
      </w:pPr>
      <w:bookmarkStart w:id="8325" w:name="_Hlk136586103"/>
      <w:r w:rsidRPr="00AD081E">
        <w:t>Other Considerations</w:t>
      </w:r>
    </w:p>
    <w:bookmarkEnd w:id="8325"/>
    <w:p w14:paraId="3AAD1FD4" w14:textId="77777777" w:rsidR="00AD081E" w:rsidRPr="00AD081E" w:rsidRDefault="00AD081E" w:rsidP="00AD081E">
      <w:pPr>
        <w:rPr>
          <w:rFonts w:eastAsia="Calibri"/>
        </w:rPr>
      </w:pPr>
      <w:r w:rsidRPr="00AD081E">
        <w:rPr>
          <w:rFonts w:eastAsia="Calibri"/>
        </w:rPr>
        <w:t>At some sites, there may be no TCIP, or there may be a TCIP with no TSN connectivity. If this is the case, and the node is on the same network with some other site that does have a TCIP with TSN connectivity, the node’s TDM Distribution Agent can be configured to point to the remote TCIP that has TSN connectivity instead of its usual local TCIP.</w:t>
      </w:r>
    </w:p>
    <w:p w14:paraId="1EAAD93E" w14:textId="77777777" w:rsidR="00AD081E" w:rsidRPr="00AD081E" w:rsidRDefault="00AD081E" w:rsidP="00AD081E">
      <w:pPr>
        <w:rPr>
          <w:rFonts w:eastAsia="Calibri"/>
        </w:rPr>
      </w:pPr>
      <w:r w:rsidRPr="00AD081E">
        <w:rPr>
          <w:rFonts w:eastAsia="Calibri"/>
        </w:rPr>
        <w:t>To do this, follow the TDM Distribution Agent configuration instructions to add a TDM Distribution Agent TCIP configuration to the node that uses the remote TCIP’s IP address and the node’s TDM Distribution Agent port (usually 9500), and make it the active configuration for the node.</w:t>
      </w:r>
    </w:p>
    <w:p w14:paraId="1B5CCF1B" w14:textId="77777777" w:rsidR="00AD081E" w:rsidRPr="00AD081E" w:rsidRDefault="00AD081E" w:rsidP="00AD081E">
      <w:pPr>
        <w:rPr>
          <w:rFonts w:eastAsia="Calibri"/>
        </w:rPr>
      </w:pPr>
      <w:r w:rsidRPr="00AD081E">
        <w:rPr>
          <w:rFonts w:eastAsia="Calibri"/>
        </w:rPr>
        <w:t>Then, using LINT and TSNIF, configure interfaces on the remote TCIP for the node, and routes between the node and other nodes on the same TCIP (if any are participating in the rehearsal).</w:t>
      </w:r>
    </w:p>
    <w:p w14:paraId="5281FF65" w14:textId="77777777" w:rsidR="00AD081E" w:rsidRPr="00AD081E" w:rsidRDefault="00AD081E" w:rsidP="006A75D6">
      <w:pPr>
        <w:pStyle w:val="Appendix5"/>
      </w:pPr>
      <w:r w:rsidRPr="00AD081E">
        <w:t>Configure TDM</w:t>
      </w:r>
      <w:r w:rsidRPr="00AD081E">
        <w:rPr>
          <w:rFonts w:eastAsia="Calibri"/>
        </w:rPr>
        <w:t xml:space="preserve"> Distribution Agent</w:t>
      </w:r>
      <w:r w:rsidRPr="00AD081E">
        <w:t xml:space="preserve"> Communications</w:t>
      </w:r>
    </w:p>
    <w:p w14:paraId="602FB58F" w14:textId="77777777" w:rsidR="00AD081E" w:rsidRPr="00AD081E" w:rsidRDefault="00AD081E" w:rsidP="00AD081E">
      <w:pPr>
        <w:keepNext/>
        <w:rPr>
          <w:rFonts w:eastAsia="Calibri"/>
        </w:rPr>
      </w:pPr>
      <w:r w:rsidRPr="00AD081E">
        <w:rPr>
          <w:rFonts w:eastAsia="Calibri"/>
        </w:rPr>
        <w:t>For each live TED or MDS node, configure the TDM Distribution Agent as follows:</w:t>
      </w:r>
    </w:p>
    <w:p w14:paraId="2155100F" w14:textId="2C78F332" w:rsidR="00AD081E" w:rsidRPr="00AD081E" w:rsidRDefault="00AD081E" w:rsidP="00AD081E">
      <w:pPr>
        <w:rPr>
          <w:rFonts w:eastAsia="Calibri"/>
        </w:rPr>
      </w:pPr>
      <w:r w:rsidRPr="00AD081E">
        <w:rPr>
          <w:rFonts w:eastAsia="Calibri"/>
        </w:rPr>
        <w:t xml:space="preserve">While MDS is running, in the Windows system tray (usually at the bottom right of the Windows display), right-click on the icon that looks like a satellite dish and choose </w:t>
      </w:r>
      <w:r w:rsidRPr="00AD081E">
        <w:rPr>
          <w:rFonts w:eastAsia="Calibri"/>
          <w:b/>
        </w:rPr>
        <w:t>Configure</w:t>
      </w:r>
      <w:r w:rsidRPr="00AD081E">
        <w:rPr>
          <w:rFonts w:eastAsia="Calibri"/>
        </w:rPr>
        <w:t xml:space="preserve"> from the context menu. (If the system tray is configured to hide </w:t>
      </w:r>
      <w:r w:rsidR="00B9771D" w:rsidRPr="00AD081E">
        <w:rPr>
          <w:rFonts w:eastAsia="Calibri"/>
        </w:rPr>
        <w:t>infrequently used</w:t>
      </w:r>
      <w:r w:rsidRPr="00AD081E">
        <w:rPr>
          <w:rFonts w:eastAsia="Calibri"/>
        </w:rPr>
        <w:t xml:space="preserve"> icons, the </w:t>
      </w:r>
      <w:r w:rsidRPr="00AD081E">
        <w:rPr>
          <w:rFonts w:eastAsia="Calibri"/>
          <w:b/>
        </w:rPr>
        <w:t>Satellite</w:t>
      </w:r>
      <w:r w:rsidRPr="00AD081E">
        <w:rPr>
          <w:rFonts w:eastAsia="Calibri"/>
        </w:rPr>
        <w:t xml:space="preserve"> </w:t>
      </w:r>
      <w:r w:rsidRPr="00AD081E">
        <w:rPr>
          <w:rFonts w:eastAsia="Calibri"/>
          <w:b/>
        </w:rPr>
        <w:t xml:space="preserve">Dish </w:t>
      </w:r>
      <w:r w:rsidRPr="00AD081E">
        <w:rPr>
          <w:rFonts w:eastAsia="Calibri"/>
        </w:rPr>
        <w:t xml:space="preserve">icon may not be visible. If this is the case, select the </w:t>
      </w:r>
      <w:r w:rsidRPr="00AD081E">
        <w:rPr>
          <w:rFonts w:eastAsia="Calibri"/>
          <w:b/>
        </w:rPr>
        <w:t>Up</w:t>
      </w:r>
      <w:r w:rsidRPr="00AD081E">
        <w:rPr>
          <w:rFonts w:eastAsia="Calibri"/>
        </w:rPr>
        <w:t xml:space="preserve"> arrow icon to show the hidden icons, and right-click on the </w:t>
      </w:r>
      <w:r w:rsidRPr="00AD081E">
        <w:rPr>
          <w:rFonts w:eastAsia="Calibri"/>
          <w:b/>
        </w:rPr>
        <w:t>Satellite</w:t>
      </w:r>
      <w:r w:rsidRPr="00AD081E">
        <w:rPr>
          <w:rFonts w:eastAsia="Calibri"/>
        </w:rPr>
        <w:t xml:space="preserve"> </w:t>
      </w:r>
      <w:r w:rsidRPr="00AD081E">
        <w:rPr>
          <w:rFonts w:eastAsia="Calibri"/>
          <w:b/>
        </w:rPr>
        <w:t xml:space="preserve">Dish </w:t>
      </w:r>
      <w:r w:rsidRPr="00AD081E">
        <w:rPr>
          <w:rFonts w:eastAsia="Calibri"/>
        </w:rPr>
        <w:t>icon from the pop up box that appears.)</w:t>
      </w:r>
    </w:p>
    <w:p w14:paraId="5755D282" w14:textId="77777777" w:rsidR="00AD081E" w:rsidRPr="00AD081E" w:rsidRDefault="00AD081E" w:rsidP="00AD081E">
      <w:pPr>
        <w:rPr>
          <w:rFonts w:eastAsia="Calibri"/>
        </w:rPr>
      </w:pPr>
      <w:r w:rsidRPr="00AD081E">
        <w:rPr>
          <w:rFonts w:eastAsia="Calibri"/>
          <w:b/>
        </w:rPr>
        <w:t>TDM Communications Properties</w:t>
      </w:r>
      <w:r w:rsidRPr="00AD081E">
        <w:rPr>
          <w:rFonts w:eastAsia="Calibri"/>
          <w:b/>
        </w:rPr>
        <w:br/>
      </w:r>
      <w:r w:rsidRPr="00AD081E">
        <w:rPr>
          <w:rFonts w:eastAsia="Calibri"/>
        </w:rPr>
        <w:t xml:space="preserve">On the </w:t>
      </w:r>
      <w:r w:rsidRPr="00AD081E">
        <w:rPr>
          <w:rFonts w:eastAsia="Calibri"/>
          <w:b/>
          <w:i/>
        </w:rPr>
        <w:t>Legacy (OTH)</w:t>
      </w:r>
      <w:r w:rsidRPr="00AD081E">
        <w:rPr>
          <w:rFonts w:eastAsia="Calibri"/>
        </w:rPr>
        <w:t xml:space="preserve"> tab, in the </w:t>
      </w:r>
      <w:r w:rsidRPr="00AD081E">
        <w:rPr>
          <w:rFonts w:eastAsia="Calibri"/>
          <w:b/>
        </w:rPr>
        <w:t>TCIP Configuration</w:t>
      </w:r>
      <w:r w:rsidRPr="00AD081E">
        <w:rPr>
          <w:rFonts w:eastAsia="Calibri"/>
        </w:rPr>
        <w:t xml:space="preserve"> list near the bottom, look for a configuration with the same IP Address as the associated TCIP’s IP address and the same port number as the TED’s (or MDS’s) TDM Distribution Agent port.</w:t>
      </w:r>
    </w:p>
    <w:p w14:paraId="1279B4DF" w14:textId="77777777" w:rsidR="00AD081E" w:rsidRPr="00AD081E" w:rsidRDefault="00AD081E" w:rsidP="00AD081E">
      <w:pPr>
        <w:rPr>
          <w:rFonts w:eastAsia="Calibri"/>
        </w:rPr>
      </w:pPr>
      <w:r w:rsidRPr="00AD081E">
        <w:rPr>
          <w:rFonts w:eastAsia="Calibri"/>
        </w:rPr>
        <w:t xml:space="preserve">If there is such a configuration, check its name against the name of the Active TCIP Configuration. If the names are the same, there’s nothing further to be done. If the names differ, select the correct configuration in the </w:t>
      </w:r>
      <w:r w:rsidRPr="00AD081E">
        <w:rPr>
          <w:rFonts w:eastAsia="Calibri"/>
          <w:b/>
        </w:rPr>
        <w:t>TCIP Configuration</w:t>
      </w:r>
      <w:r w:rsidRPr="00AD081E">
        <w:rPr>
          <w:rFonts w:eastAsia="Calibri"/>
        </w:rPr>
        <w:t xml:space="preserve"> list, then click on the </w:t>
      </w:r>
      <w:r w:rsidRPr="00AD081E">
        <w:rPr>
          <w:rFonts w:eastAsia="Calibri"/>
          <w:b/>
        </w:rPr>
        <w:t>Set As Active</w:t>
      </w:r>
      <w:r w:rsidRPr="00AD081E">
        <w:rPr>
          <w:rFonts w:eastAsia="Calibri"/>
        </w:rPr>
        <w:t xml:space="preserve"> button on the bottom of the tab. Click the </w:t>
      </w:r>
      <w:r w:rsidRPr="00AD081E">
        <w:rPr>
          <w:rFonts w:eastAsia="Calibri"/>
          <w:b/>
        </w:rPr>
        <w:t>OK</w:t>
      </w:r>
      <w:r w:rsidRPr="00AD081E">
        <w:rPr>
          <w:rFonts w:eastAsia="Calibri"/>
        </w:rPr>
        <w:t xml:space="preserve"> button, and you’re done.</w:t>
      </w:r>
    </w:p>
    <w:p w14:paraId="621C9B36" w14:textId="77777777" w:rsidR="00AD081E" w:rsidRPr="00AD081E" w:rsidRDefault="00AD081E" w:rsidP="00AD081E">
      <w:pPr>
        <w:rPr>
          <w:rFonts w:eastAsia="Calibri"/>
        </w:rPr>
      </w:pPr>
      <w:r w:rsidRPr="00AD081E">
        <w:rPr>
          <w:rFonts w:eastAsia="Calibri"/>
        </w:rPr>
        <w:t xml:space="preserve">If there is no configuration with the correct address and port number, create one. Start by clicking on the </w:t>
      </w:r>
      <w:r w:rsidRPr="00AD081E">
        <w:rPr>
          <w:rFonts w:eastAsia="Calibri"/>
          <w:b/>
        </w:rPr>
        <w:t>Add</w:t>
      </w:r>
      <w:r w:rsidRPr="00AD081E">
        <w:rPr>
          <w:rFonts w:eastAsia="Calibri"/>
        </w:rPr>
        <w:t xml:space="preserve"> button at the bottom of the tab.</w:t>
      </w:r>
    </w:p>
    <w:p w14:paraId="7E7B5C67" w14:textId="77777777" w:rsidR="00AD081E" w:rsidRPr="00AD081E" w:rsidRDefault="00AD081E" w:rsidP="001F4B14">
      <w:pPr>
        <w:jc w:val="center"/>
      </w:pPr>
      <w:r w:rsidRPr="00AD081E">
        <w:rPr>
          <w:noProof/>
        </w:rPr>
        <w:lastRenderedPageBreak/>
        <w:drawing>
          <wp:inline distT="0" distB="0" distL="0" distR="0" wp14:anchorId="4BF1419D" wp14:editId="37AD1000">
            <wp:extent cx="1828800" cy="2194560"/>
            <wp:effectExtent l="0" t="0" r="0" b="0"/>
            <wp:docPr id="854" name="Picture 85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 name="Picture 854"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828800" cy="2194560"/>
                    </a:xfrm>
                    <a:prstGeom prst="rect">
                      <a:avLst/>
                    </a:prstGeom>
                  </pic:spPr>
                </pic:pic>
              </a:graphicData>
            </a:graphic>
          </wp:inline>
        </w:drawing>
      </w:r>
      <w:r w:rsidRPr="00AD081E">
        <w:rPr>
          <w:rFonts w:ascii="Calibri" w:eastAsia="Calibri" w:hAnsi="Calibri"/>
          <w:sz w:val="22"/>
          <w:szCs w:val="22"/>
        </w:rPr>
        <w:t xml:space="preserve">  </w:t>
      </w:r>
      <w:r w:rsidRPr="00AD081E">
        <w:rPr>
          <w:noProof/>
        </w:rPr>
        <w:drawing>
          <wp:inline distT="0" distB="0" distL="0" distR="0" wp14:anchorId="1B787BC1" wp14:editId="5E187FC5">
            <wp:extent cx="1828800" cy="2212848"/>
            <wp:effectExtent l="0" t="0" r="0" b="0"/>
            <wp:docPr id="868" name="Picture 86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 name="Picture 868" descr="Graphical user interface, application&#10;&#10;Description automatically generated"/>
                    <pic:cNvPicPr/>
                  </pic:nvPicPr>
                  <pic:blipFill>
                    <a:blip>
                      <a:extLst>
                        <a:ext uri="{28A0092B-C50C-407E-A947-70E740481C1C}">
                          <a14:useLocalDpi xmlns:a14="http://schemas.microsoft.com/office/drawing/2010/main"/>
                        </a:ext>
                      </a:extLst>
                    </a:blip>
                    <a:stretch>
                      <a:fillRect/>
                    </a:stretch>
                  </pic:blipFill>
                  <pic:spPr>
                    <a:xfrm>
                      <a:off x="0" y="0"/>
                      <a:ext cx="1828800" cy="2212848"/>
                    </a:xfrm>
                    <a:prstGeom prst="rect">
                      <a:avLst/>
                    </a:prstGeom>
                  </pic:spPr>
                </pic:pic>
              </a:graphicData>
            </a:graphic>
          </wp:inline>
        </w:drawing>
      </w:r>
    </w:p>
    <w:p w14:paraId="5D94C9F0" w14:textId="77777777" w:rsidR="00AD081E" w:rsidRPr="00AD081E" w:rsidRDefault="00AD081E" w:rsidP="00AD081E">
      <w:pPr>
        <w:rPr>
          <w:rFonts w:eastAsia="Calibri"/>
          <w:noProof/>
        </w:rPr>
      </w:pPr>
      <w:r w:rsidRPr="00AD081E">
        <w:rPr>
          <w:rFonts w:eastAsia="Calibri"/>
          <w:b/>
          <w:noProof/>
        </w:rPr>
        <w:t>New Connection</w:t>
      </w:r>
      <w:r w:rsidRPr="00AD081E">
        <w:rPr>
          <w:rFonts w:eastAsia="Calibri"/>
          <w:b/>
          <w:noProof/>
        </w:rPr>
        <w:br/>
      </w:r>
      <w:r w:rsidRPr="00AD081E">
        <w:rPr>
          <w:rFonts w:eastAsia="Calibri"/>
          <w:noProof/>
        </w:rPr>
        <w:t xml:space="preserve">Enter a name for the connection. Specify the IP address of the </w:t>
      </w:r>
      <w:r w:rsidRPr="00AD081E">
        <w:rPr>
          <w:rFonts w:eastAsia="Calibri"/>
        </w:rPr>
        <w:t xml:space="preserve">TCIP </w:t>
      </w:r>
      <w:r w:rsidRPr="00AD081E">
        <w:rPr>
          <w:rFonts w:eastAsia="Calibri"/>
          <w:noProof/>
        </w:rPr>
        <w:t xml:space="preserve">in the IP Address field. If necessary, change the </w:t>
      </w:r>
      <w:r w:rsidRPr="00AD081E">
        <w:rPr>
          <w:rFonts w:eastAsia="Calibri"/>
          <w:b/>
          <w:noProof/>
        </w:rPr>
        <w:t>Port</w:t>
      </w:r>
      <w:r w:rsidRPr="00AD081E">
        <w:rPr>
          <w:rFonts w:eastAsia="Calibri"/>
          <w:noProof/>
        </w:rPr>
        <w:t xml:space="preserve"> number to the TED’s (or MDS’s) TDM</w:t>
      </w:r>
      <w:r w:rsidRPr="00AD081E">
        <w:rPr>
          <w:rFonts w:eastAsia="Calibri"/>
        </w:rPr>
        <w:t xml:space="preserve"> Distribution Agent</w:t>
      </w:r>
      <w:r w:rsidRPr="00AD081E">
        <w:rPr>
          <w:rFonts w:eastAsia="Calibri"/>
          <w:noProof/>
        </w:rPr>
        <w:t xml:space="preserve"> port number. Click </w:t>
      </w:r>
      <w:r w:rsidRPr="00AD081E">
        <w:rPr>
          <w:rFonts w:eastAsia="Calibri"/>
          <w:b/>
          <w:noProof/>
        </w:rPr>
        <w:t>OK</w:t>
      </w:r>
      <w:r w:rsidRPr="00AD081E">
        <w:rPr>
          <w:rFonts w:eastAsia="Calibri"/>
          <w:noProof/>
        </w:rPr>
        <w:t>.</w:t>
      </w:r>
    </w:p>
    <w:p w14:paraId="3013D308" w14:textId="77777777" w:rsidR="00AD081E" w:rsidRPr="00AD081E" w:rsidRDefault="00AD081E" w:rsidP="001F4B14">
      <w:pPr>
        <w:jc w:val="center"/>
      </w:pPr>
      <w:r w:rsidRPr="00AD081E">
        <w:rPr>
          <w:noProof/>
        </w:rPr>
        <w:drawing>
          <wp:inline distT="0" distB="0" distL="0" distR="0" wp14:anchorId="72DEB606" wp14:editId="6CEA83AD">
            <wp:extent cx="1828800" cy="2185416"/>
            <wp:effectExtent l="0" t="0" r="0" b="5715"/>
            <wp:docPr id="137" name="Picture 1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Graphical user interface, application&#10;&#10;Description automatically generated"/>
                    <pic:cNvPicPr/>
                  </pic:nvPicPr>
                  <pic:blipFill>
                    <a:blip/>
                    <a:stretch>
                      <a:fillRect/>
                    </a:stretch>
                  </pic:blipFill>
                  <pic:spPr>
                    <a:xfrm>
                      <a:off x="0" y="0"/>
                      <a:ext cx="1828800" cy="2185416"/>
                    </a:xfrm>
                    <a:prstGeom prst="rect">
                      <a:avLst/>
                    </a:prstGeom>
                  </pic:spPr>
                </pic:pic>
              </a:graphicData>
            </a:graphic>
          </wp:inline>
        </w:drawing>
      </w:r>
    </w:p>
    <w:p w14:paraId="0393A164" w14:textId="77777777" w:rsidR="00AD081E" w:rsidRPr="00AD081E" w:rsidRDefault="00AD081E" w:rsidP="00AD081E">
      <w:pPr>
        <w:rPr>
          <w:rFonts w:eastAsia="Calibri"/>
        </w:rPr>
      </w:pPr>
      <w:r w:rsidRPr="00AD081E">
        <w:rPr>
          <w:rFonts w:eastAsia="Calibri"/>
          <w:b/>
        </w:rPr>
        <w:t>TDM Communications Properties</w:t>
      </w:r>
      <w:r w:rsidRPr="00AD081E">
        <w:rPr>
          <w:rFonts w:eastAsia="Calibri"/>
          <w:b/>
        </w:rPr>
        <w:br/>
      </w:r>
      <w:r w:rsidRPr="00AD081E">
        <w:rPr>
          <w:rFonts w:eastAsia="Calibri"/>
        </w:rPr>
        <w:t xml:space="preserve">Select the new configuration in the </w:t>
      </w:r>
      <w:r w:rsidRPr="00AD081E">
        <w:rPr>
          <w:rFonts w:eastAsia="Calibri"/>
          <w:b/>
        </w:rPr>
        <w:t>TCIP Configuration</w:t>
      </w:r>
      <w:r w:rsidRPr="00AD081E">
        <w:rPr>
          <w:rFonts w:eastAsia="Calibri"/>
        </w:rPr>
        <w:t xml:space="preserve"> list, then click on the </w:t>
      </w:r>
      <w:r w:rsidRPr="00AD081E">
        <w:rPr>
          <w:rFonts w:eastAsia="Calibri"/>
          <w:b/>
        </w:rPr>
        <w:t>Set As Active</w:t>
      </w:r>
      <w:r w:rsidRPr="00AD081E">
        <w:rPr>
          <w:rFonts w:eastAsia="Calibri"/>
        </w:rPr>
        <w:t xml:space="preserve"> button on the bottom of the tab. Click the </w:t>
      </w:r>
      <w:r w:rsidRPr="00AD081E">
        <w:rPr>
          <w:rFonts w:eastAsia="Calibri"/>
          <w:b/>
        </w:rPr>
        <w:t>OK</w:t>
      </w:r>
      <w:r w:rsidRPr="00AD081E">
        <w:rPr>
          <w:rFonts w:eastAsia="Calibri"/>
        </w:rPr>
        <w:t xml:space="preserve"> button, and you’re done.</w:t>
      </w:r>
    </w:p>
    <w:p w14:paraId="51A337BE" w14:textId="77777777" w:rsidR="00AD081E" w:rsidRPr="00AD081E" w:rsidRDefault="00AD081E" w:rsidP="00FE534B">
      <w:pPr>
        <w:pStyle w:val="Appendix5"/>
      </w:pPr>
      <w:r w:rsidRPr="00AD081E">
        <w:t xml:space="preserve">Distribute </w:t>
      </w:r>
      <w:r w:rsidRPr="00B425E0">
        <w:t>Node</w:t>
      </w:r>
      <w:r w:rsidRPr="00AD081E">
        <w:t xml:space="preserve"> Configuration</w:t>
      </w:r>
    </w:p>
    <w:p w14:paraId="7D9E599F" w14:textId="77777777" w:rsidR="00AD081E" w:rsidRPr="00AD081E" w:rsidRDefault="00AD081E" w:rsidP="00AD081E">
      <w:pPr>
        <w:rPr>
          <w:rFonts w:eastAsia="Calibri"/>
        </w:rPr>
      </w:pPr>
      <w:r w:rsidRPr="00AD081E">
        <w:rPr>
          <w:rFonts w:eastAsia="Calibri"/>
        </w:rPr>
        <w:t>At this point, you should have the nodes configured correctly on one TED (the TSRT’s TED) and TDM Distribution Agent LINT connections to all other machines. The next step is to send your node configuration from the TSRT’s TED to the other TED/MDS nodes.</w:t>
      </w:r>
    </w:p>
    <w:p w14:paraId="3EE134A7" w14:textId="77777777" w:rsidR="00AD081E" w:rsidRPr="00AD081E" w:rsidRDefault="00AD081E" w:rsidP="00306174">
      <w:pPr>
        <w:pStyle w:val="Appendix6"/>
      </w:pPr>
      <w:r w:rsidRPr="00AD081E">
        <w:t>Send Platform Information</w:t>
      </w:r>
    </w:p>
    <w:p w14:paraId="60ADC94D"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DDO Templates</w:t>
      </w:r>
      <w:r w:rsidRPr="00AD081E">
        <w:rPr>
          <w:rFonts w:eastAsia="Calibri"/>
        </w:rPr>
        <w:t>.</w:t>
      </w:r>
    </w:p>
    <w:p w14:paraId="061078A0" w14:textId="77777777" w:rsidR="00AD081E" w:rsidRPr="00AD081E" w:rsidRDefault="00AD081E" w:rsidP="00AD081E">
      <w:pPr>
        <w:rPr>
          <w:rFonts w:eastAsia="Calibri"/>
        </w:rPr>
      </w:pPr>
      <w:r w:rsidRPr="00AD081E">
        <w:rPr>
          <w:rFonts w:eastAsia="Calibri"/>
          <w:b/>
        </w:rPr>
        <w:t>DDO Templates</w:t>
      </w:r>
      <w:r w:rsidRPr="00AD081E">
        <w:rPr>
          <w:rFonts w:eastAsia="Calibri"/>
          <w:b/>
        </w:rPr>
        <w:br/>
      </w:r>
      <w:r w:rsidRPr="00AD081E">
        <w:rPr>
          <w:rFonts w:eastAsia="Calibri"/>
        </w:rPr>
        <w:t xml:space="preserve">Click on the </w:t>
      </w:r>
      <w:r w:rsidRPr="00AD081E">
        <w:rPr>
          <w:rFonts w:eastAsia="Calibri"/>
          <w:b/>
        </w:rPr>
        <w:t>New</w:t>
      </w:r>
      <w:r w:rsidRPr="00AD081E">
        <w:rPr>
          <w:rFonts w:eastAsia="Calibri"/>
        </w:rPr>
        <w:t xml:space="preserve"> button or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New</w:t>
      </w:r>
      <w:r w:rsidRPr="00AD081E">
        <w:rPr>
          <w:rFonts w:eastAsia="Calibri"/>
        </w:rPr>
        <w:t xml:space="preserve"> from the menu.</w:t>
      </w:r>
    </w:p>
    <w:p w14:paraId="40F049F2" w14:textId="77777777" w:rsidR="00AD081E" w:rsidRPr="00AD081E" w:rsidRDefault="00AD081E" w:rsidP="00AD081E">
      <w:pPr>
        <w:rPr>
          <w:rFonts w:eastAsia="Calibri"/>
        </w:rPr>
      </w:pPr>
      <w:r w:rsidRPr="00AD081E">
        <w:rPr>
          <w:rFonts w:eastAsia="Calibri"/>
          <w:b/>
        </w:rPr>
        <w:lastRenderedPageBreak/>
        <w:t>DDO Template</w:t>
      </w:r>
      <w:r w:rsidRPr="00AD081E">
        <w:rPr>
          <w:rFonts w:eastAsia="Calibri"/>
          <w:b/>
        </w:rPr>
        <w:br/>
      </w:r>
      <w:r w:rsidRPr="00AD081E">
        <w:rPr>
          <w:rFonts w:eastAsia="Calibri"/>
        </w:rPr>
        <w:t xml:space="preserve">Click on the </w:t>
      </w:r>
      <w:r w:rsidRPr="00AD081E">
        <w:rPr>
          <w:rFonts w:eastAsia="Calibri"/>
          <w:b/>
          <w:i/>
        </w:rPr>
        <w:t>Platforms</w:t>
      </w:r>
      <w:r w:rsidRPr="00AD081E">
        <w:rPr>
          <w:rFonts w:eastAsia="Calibri"/>
        </w:rPr>
        <w:t xml:space="preserve"> tab at the bottom of the dialog. Check the </w:t>
      </w:r>
      <w:r w:rsidRPr="00AD081E">
        <w:rPr>
          <w:rFonts w:eastAsia="Calibri"/>
          <w:b/>
        </w:rPr>
        <w:t>Platform Information</w:t>
      </w:r>
      <w:r w:rsidRPr="00AD081E">
        <w:rPr>
          <w:rFonts w:eastAsia="Calibri"/>
        </w:rPr>
        <w:t xml:space="preserve"> box above the main list. Right-click in the empty main list area and choose </w:t>
      </w:r>
      <w:r w:rsidRPr="00AD081E">
        <w:rPr>
          <w:rFonts w:eastAsia="Calibri"/>
          <w:b/>
        </w:rPr>
        <w:t>Add</w:t>
      </w:r>
      <w:r w:rsidRPr="00AD081E">
        <w:rPr>
          <w:rFonts w:eastAsia="Calibri"/>
        </w:rPr>
        <w:t xml:space="preserve"> from the context menu.</w:t>
      </w:r>
    </w:p>
    <w:p w14:paraId="5D51AF1D" w14:textId="77777777" w:rsidR="00AD081E" w:rsidRPr="00AD081E" w:rsidRDefault="00AD081E" w:rsidP="00AD081E">
      <w:pPr>
        <w:rPr>
          <w:rFonts w:eastAsia="Calibri"/>
        </w:rPr>
      </w:pPr>
      <w:r w:rsidRPr="00AD081E">
        <w:rPr>
          <w:rFonts w:eastAsia="Calibri"/>
          <w:b/>
        </w:rPr>
        <w:t>Platforms</w:t>
      </w:r>
      <w:r w:rsidRPr="00AD081E">
        <w:rPr>
          <w:rFonts w:eastAsia="Calibri"/>
          <w:b/>
        </w:rPr>
        <w:br/>
      </w:r>
      <w:r w:rsidRPr="00AD081E">
        <w:rPr>
          <w:rFonts w:eastAsia="Calibri"/>
        </w:rPr>
        <w:t xml:space="preserve">In the list, select all of the platforms in your rehearsal. Click on the </w:t>
      </w:r>
      <w:r w:rsidRPr="00AD081E">
        <w:rPr>
          <w:rFonts w:eastAsia="Calibri"/>
          <w:b/>
        </w:rPr>
        <w:t>OK</w:t>
      </w:r>
      <w:r w:rsidRPr="00AD081E">
        <w:rPr>
          <w:rFonts w:eastAsia="Calibri"/>
        </w:rPr>
        <w:t xml:space="preserve"> button.</w:t>
      </w:r>
    </w:p>
    <w:p w14:paraId="21B7E273" w14:textId="77777777" w:rsidR="00AD081E" w:rsidRPr="00AD081E" w:rsidRDefault="00AD081E" w:rsidP="00AD081E">
      <w:pPr>
        <w:rPr>
          <w:rFonts w:eastAsia="Calibri"/>
        </w:rPr>
      </w:pPr>
      <w:r w:rsidRPr="00AD081E">
        <w:rPr>
          <w:rFonts w:eastAsia="Calibri"/>
          <w:b/>
        </w:rPr>
        <w:t>DDO Template</w:t>
      </w:r>
      <w:r w:rsidRPr="00AD081E">
        <w:rPr>
          <w:rFonts w:eastAsia="Calibri"/>
          <w:b/>
        </w:rPr>
        <w:br/>
      </w:r>
      <w:r w:rsidRPr="00AD081E">
        <w:rPr>
          <w:rFonts w:eastAsia="Calibri"/>
        </w:rPr>
        <w:t xml:space="preserve">Enter a something recognizable in the </w:t>
      </w:r>
      <w:r w:rsidRPr="00AD081E">
        <w:rPr>
          <w:rFonts w:eastAsia="Calibri"/>
          <w:b/>
        </w:rPr>
        <w:t>Objective</w:t>
      </w:r>
      <w:r w:rsidRPr="00AD081E">
        <w:rPr>
          <w:rFonts w:eastAsia="Calibri"/>
        </w:rPr>
        <w:t xml:space="preserve"> field near the top of the dialog, such as </w:t>
      </w:r>
      <w:r w:rsidRPr="00AD081E">
        <w:rPr>
          <w:rFonts w:eastAsia="Calibri"/>
          <w:b/>
        </w:rPr>
        <w:t>Platform information for (</w:t>
      </w:r>
      <w:r w:rsidRPr="00AD081E">
        <w:rPr>
          <w:rFonts w:eastAsia="Calibri"/>
          <w:b/>
          <w:i/>
        </w:rPr>
        <w:t>x</w:t>
      </w:r>
      <w:r w:rsidRPr="00AD081E">
        <w:rPr>
          <w:rFonts w:eastAsia="Calibri"/>
          <w:b/>
        </w:rPr>
        <w:t>) rehearsal</w:t>
      </w:r>
      <w:r w:rsidRPr="00AD081E">
        <w:rPr>
          <w:rFonts w:eastAsia="Calibri"/>
        </w:rPr>
        <w:t>.</w:t>
      </w:r>
    </w:p>
    <w:p w14:paraId="2677135F" w14:textId="77777777" w:rsidR="00AD081E" w:rsidRPr="00AD081E" w:rsidRDefault="00AD081E" w:rsidP="00AD081E">
      <w:pPr>
        <w:rPr>
          <w:rFonts w:eastAsia="Calibri"/>
        </w:rPr>
      </w:pPr>
      <w:r w:rsidRPr="00AD081E">
        <w:rPr>
          <w:rFonts w:eastAsia="Calibri"/>
        </w:rPr>
        <w:t xml:space="preserve">Click on the </w:t>
      </w:r>
      <w:r w:rsidRPr="00AD081E">
        <w:rPr>
          <w:rFonts w:eastAsia="Calibri"/>
          <w:b/>
        </w:rPr>
        <w:t>To</w:t>
      </w:r>
      <w:r w:rsidRPr="00AD081E">
        <w:rPr>
          <w:rFonts w:eastAsia="Calibri"/>
        </w:rPr>
        <w:t xml:space="preserve"> button.</w:t>
      </w:r>
    </w:p>
    <w:p w14:paraId="412EE2D4" w14:textId="37167D70" w:rsidR="00AD081E" w:rsidRPr="00AD081E" w:rsidRDefault="00AD081E" w:rsidP="00AD081E">
      <w:pPr>
        <w:rPr>
          <w:rFonts w:eastAsia="Calibri"/>
        </w:rPr>
      </w:pPr>
      <w:r w:rsidRPr="00AD081E">
        <w:rPr>
          <w:rFonts w:eastAsia="Calibri"/>
          <w:b/>
        </w:rPr>
        <w:t>Address Book</w:t>
      </w:r>
      <w:r w:rsidRPr="00AD081E">
        <w:rPr>
          <w:rFonts w:eastAsia="Calibri"/>
          <w:b/>
        </w:rPr>
        <w:br/>
      </w:r>
      <w:r w:rsidRPr="00AD081E">
        <w:rPr>
          <w:rFonts w:eastAsia="Calibri"/>
        </w:rPr>
        <w:t xml:space="preserve">Select the names of all of the live nodes in the </w:t>
      </w:r>
      <w:r w:rsidR="0001018B" w:rsidRPr="00AD081E">
        <w:rPr>
          <w:rFonts w:eastAsia="Calibri"/>
        </w:rPr>
        <w:t>left-hand</w:t>
      </w:r>
      <w:r w:rsidRPr="00AD081E">
        <w:rPr>
          <w:rFonts w:eastAsia="Calibri"/>
        </w:rPr>
        <w:t xml:space="preserve"> list (except the TSRT’s TED). Click on the </w:t>
      </w:r>
      <w:r w:rsidRPr="00AD081E">
        <w:rPr>
          <w:rFonts w:eastAsia="Calibri"/>
          <w:b/>
        </w:rPr>
        <w:t xml:space="preserve">To </w:t>
      </w:r>
      <w:r w:rsidRPr="00AD081E">
        <w:rPr>
          <w:rFonts w:eastAsia="Calibri"/>
          <w:b/>
        </w:rPr>
        <w:sym w:font="Wingdings" w:char="F0E0"/>
      </w:r>
      <w:r w:rsidRPr="00AD081E">
        <w:rPr>
          <w:rFonts w:eastAsia="Calibri"/>
        </w:rPr>
        <w:t xml:space="preserve"> button. Click on the </w:t>
      </w:r>
      <w:r w:rsidRPr="00AD081E">
        <w:rPr>
          <w:rFonts w:eastAsia="Calibri"/>
          <w:b/>
        </w:rPr>
        <w:t>OK</w:t>
      </w:r>
      <w:r w:rsidRPr="00AD081E">
        <w:rPr>
          <w:rFonts w:eastAsia="Calibri"/>
        </w:rPr>
        <w:t xml:space="preserve"> button.</w:t>
      </w:r>
    </w:p>
    <w:p w14:paraId="3EC0A526" w14:textId="74D6F4F8" w:rsidR="00AD081E" w:rsidRPr="00AD081E" w:rsidRDefault="00AD081E" w:rsidP="00AD081E">
      <w:pPr>
        <w:rPr>
          <w:rFonts w:eastAsia="Calibri"/>
        </w:rPr>
      </w:pPr>
      <w:r w:rsidRPr="00AD081E">
        <w:rPr>
          <w:rFonts w:eastAsia="Calibri"/>
          <w:b/>
        </w:rPr>
        <w:t>DDO Template</w:t>
      </w:r>
      <w:r w:rsidRPr="00AD081E">
        <w:rPr>
          <w:rFonts w:eastAsia="Calibri"/>
          <w:b/>
        </w:rPr>
        <w:br/>
      </w:r>
      <w:r w:rsidRPr="00AD081E">
        <w:rPr>
          <w:rFonts w:eastAsia="Calibri"/>
        </w:rPr>
        <w:t xml:space="preserve">Click on the </w:t>
      </w:r>
      <w:r w:rsidRPr="00AD081E">
        <w:rPr>
          <w:rFonts w:eastAsia="Calibri"/>
          <w:b/>
        </w:rPr>
        <w:t>Send</w:t>
      </w:r>
      <w:r w:rsidRPr="00AD081E">
        <w:rPr>
          <w:rFonts w:eastAsia="Calibri"/>
        </w:rPr>
        <w:t xml:space="preserve"> button in the </w:t>
      </w:r>
      <w:r w:rsidR="0001018B" w:rsidRPr="00AD081E">
        <w:rPr>
          <w:rFonts w:eastAsia="Calibri"/>
        </w:rPr>
        <w:t>toolbar or</w:t>
      </w:r>
      <w:r w:rsidRPr="00AD081E">
        <w:rPr>
          <w:rFonts w:eastAsia="Calibri"/>
        </w:rPr>
        <w:t xml:space="preserve">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Send</w:t>
      </w:r>
      <w:r w:rsidRPr="00AD081E">
        <w:rPr>
          <w:rFonts w:eastAsia="Calibri"/>
        </w:rPr>
        <w:t xml:space="preserve"> from the menu.</w:t>
      </w:r>
    </w:p>
    <w:p w14:paraId="7F8C7D3D" w14:textId="77777777" w:rsidR="00AD081E" w:rsidRPr="00AD081E" w:rsidRDefault="00AD081E" w:rsidP="00AD081E">
      <w:pPr>
        <w:rPr>
          <w:rFonts w:eastAsia="Calibri"/>
        </w:rPr>
      </w:pPr>
      <w:r w:rsidRPr="00AD081E">
        <w:rPr>
          <w:rFonts w:eastAsia="Calibri"/>
          <w:b/>
        </w:rPr>
        <w:t>Process DDO Template</w:t>
      </w:r>
      <w:r w:rsidRPr="00AD081E">
        <w:rPr>
          <w:rFonts w:eastAsia="Calibri"/>
          <w:b/>
        </w:rPr>
        <w:br/>
      </w:r>
      <w:r w:rsidRPr="00AD081E">
        <w:rPr>
          <w:rFonts w:eastAsia="Calibri"/>
        </w:rPr>
        <w:t xml:space="preserve">When all DDOs show a status of </w:t>
      </w:r>
      <w:r w:rsidRPr="00AD081E">
        <w:rPr>
          <w:rFonts w:eastAsia="Calibri"/>
          <w:b/>
        </w:rPr>
        <w:t>Ready to Send</w:t>
      </w:r>
      <w:r w:rsidRPr="00AD081E">
        <w:rPr>
          <w:rFonts w:eastAsia="Calibri"/>
        </w:rPr>
        <w:t xml:space="preserve">, click on the </w:t>
      </w:r>
      <w:r w:rsidRPr="00AD081E">
        <w:rPr>
          <w:rFonts w:eastAsia="Calibri"/>
          <w:b/>
        </w:rPr>
        <w:t>Approve</w:t>
      </w:r>
      <w:r w:rsidRPr="00AD081E">
        <w:rPr>
          <w:rFonts w:eastAsia="Calibri"/>
        </w:rPr>
        <w:t xml:space="preserve"> button.</w:t>
      </w:r>
    </w:p>
    <w:p w14:paraId="4BAD9694" w14:textId="77777777" w:rsidR="00AD081E" w:rsidRPr="00AD081E" w:rsidRDefault="00AD081E" w:rsidP="00AD081E">
      <w:pPr>
        <w:rPr>
          <w:rFonts w:eastAsia="Calibri"/>
        </w:rPr>
      </w:pPr>
      <w:r w:rsidRPr="00AD081E">
        <w:rPr>
          <w:rFonts w:eastAsia="Calibri"/>
          <w:b/>
        </w:rPr>
        <w:t>Confirmation</w:t>
      </w:r>
      <w:r w:rsidRPr="00AD081E">
        <w:rPr>
          <w:rFonts w:eastAsia="Calibri"/>
          <w:b/>
        </w:rPr>
        <w:br/>
      </w:r>
      <w:r w:rsidRPr="00AD081E">
        <w:rPr>
          <w:rFonts w:eastAsia="Calibri"/>
        </w:rPr>
        <w:t>Close the dialog.</w:t>
      </w:r>
    </w:p>
    <w:p w14:paraId="5D768AB3" w14:textId="77777777" w:rsidR="00AD081E" w:rsidRPr="00AD081E" w:rsidRDefault="00AD081E" w:rsidP="00AD081E">
      <w:pPr>
        <w:rPr>
          <w:rFonts w:eastAsia="Calibri"/>
        </w:rPr>
      </w:pPr>
      <w:r w:rsidRPr="00AD081E">
        <w:rPr>
          <w:rFonts w:eastAsia="Calibri"/>
          <w:b/>
        </w:rPr>
        <w:t>DDO Template</w:t>
      </w:r>
      <w:r w:rsidRPr="00AD081E">
        <w:rPr>
          <w:rFonts w:eastAsia="Calibri"/>
          <w:b/>
        </w:rPr>
        <w:br/>
      </w:r>
      <w:r w:rsidRPr="00AD081E">
        <w:rPr>
          <w:rFonts w:eastAsia="Calibri"/>
        </w:rPr>
        <w:t>Close the dialog. You will be asked whether to save changes; either answer is fine.</w:t>
      </w:r>
    </w:p>
    <w:p w14:paraId="27B3D430" w14:textId="77777777" w:rsidR="00AD081E" w:rsidRPr="00AD081E" w:rsidRDefault="00AD081E" w:rsidP="00306174">
      <w:pPr>
        <w:pStyle w:val="Appendix6"/>
      </w:pPr>
      <w:r w:rsidRPr="00AD081E">
        <w:t>Verify Receipt and Processing of Platform Information</w:t>
      </w:r>
    </w:p>
    <w:p w14:paraId="38E00324" w14:textId="77777777" w:rsidR="00AD081E" w:rsidRPr="00AD081E" w:rsidRDefault="00AD081E" w:rsidP="00AD081E">
      <w:pPr>
        <w:rPr>
          <w:rFonts w:eastAsia="Calibri"/>
        </w:rPr>
      </w:pPr>
      <w:r w:rsidRPr="00AD081E">
        <w:rPr>
          <w:rFonts w:eastAsia="Calibri"/>
        </w:rPr>
        <w:t>With an MDS connected to each TED (other than the TSRT’s TED), verify that platform information was received and processed.</w:t>
      </w:r>
    </w:p>
    <w:p w14:paraId="04E53D6B" w14:textId="77777777" w:rsidR="00AD081E" w:rsidRPr="00AD081E" w:rsidRDefault="00AD081E" w:rsidP="00AD081E">
      <w:pPr>
        <w:rPr>
          <w:rFonts w:eastAsia="Calibri"/>
        </w:rPr>
      </w:pPr>
      <w:r w:rsidRPr="00AD081E">
        <w:rPr>
          <w:rFonts w:eastAsia="Calibri"/>
        </w:rPr>
        <w:t xml:space="preserve">From the menu,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Incoming DDOs</w:t>
      </w:r>
      <w:r w:rsidRPr="00AD081E">
        <w:rPr>
          <w:rFonts w:eastAsia="Calibri"/>
        </w:rPr>
        <w:t>.</w:t>
      </w:r>
    </w:p>
    <w:p w14:paraId="6971F455" w14:textId="77777777" w:rsidR="00AD081E" w:rsidRPr="00AD081E" w:rsidRDefault="00AD081E" w:rsidP="00AD081E">
      <w:pPr>
        <w:rPr>
          <w:rFonts w:eastAsia="Calibri"/>
        </w:rPr>
      </w:pPr>
      <w:r w:rsidRPr="00AD081E">
        <w:rPr>
          <w:rFonts w:eastAsia="Calibri"/>
          <w:b/>
        </w:rPr>
        <w:t>Incoming DDOs</w:t>
      </w:r>
      <w:r w:rsidRPr="00AD081E">
        <w:rPr>
          <w:rFonts w:eastAsia="Calibri"/>
          <w:b/>
        </w:rPr>
        <w:br/>
      </w:r>
      <w:r w:rsidRPr="00AD081E">
        <w:rPr>
          <w:rFonts w:eastAsia="Calibri"/>
        </w:rPr>
        <w:t xml:space="preserve">Find the DDO with the correct objective in the list. If the status is not </w:t>
      </w:r>
      <w:r w:rsidRPr="00AD081E">
        <w:rPr>
          <w:rFonts w:eastAsia="Calibri"/>
          <w:b/>
        </w:rPr>
        <w:t>Processed</w:t>
      </w:r>
      <w:r w:rsidRPr="00AD081E">
        <w:rPr>
          <w:rFonts w:eastAsia="Calibri"/>
        </w:rPr>
        <w:t xml:space="preserve">, select the DDO. Right-click and choose </w:t>
      </w:r>
      <w:r w:rsidRPr="00AD081E">
        <w:rPr>
          <w:rFonts w:eastAsia="Calibri"/>
          <w:b/>
        </w:rPr>
        <w:t>Process</w:t>
      </w:r>
      <w:r w:rsidRPr="00AD081E">
        <w:rPr>
          <w:rFonts w:eastAsia="Calibri"/>
        </w:rPr>
        <w:t xml:space="preserve"> from the context menu. Answer </w:t>
      </w:r>
      <w:r w:rsidRPr="00AD081E">
        <w:rPr>
          <w:rFonts w:eastAsia="Calibri"/>
          <w:b/>
        </w:rPr>
        <w:t>Yes</w:t>
      </w:r>
      <w:r w:rsidRPr="00AD081E">
        <w:rPr>
          <w:rFonts w:eastAsia="Calibri"/>
        </w:rPr>
        <w:t xml:space="preserve"> on the dialog that appears.</w:t>
      </w:r>
    </w:p>
    <w:p w14:paraId="53B73F23" w14:textId="77777777" w:rsidR="00AD081E" w:rsidRPr="00AD081E" w:rsidRDefault="00AD081E" w:rsidP="00AD081E">
      <w:pPr>
        <w:rPr>
          <w:rFonts w:eastAsia="Calibri"/>
        </w:rPr>
      </w:pPr>
      <w:r w:rsidRPr="00AD081E">
        <w:rPr>
          <w:rFonts w:eastAsia="Calibri"/>
        </w:rPr>
        <w:t xml:space="preserve">If the status does not change to Processed, double-click on the DDO and use the </w:t>
      </w:r>
      <w:r w:rsidRPr="00AD081E">
        <w:rPr>
          <w:rFonts w:eastAsia="Calibri"/>
          <w:b/>
        </w:rPr>
        <w:t>Status</w:t>
      </w:r>
      <w:r w:rsidRPr="00AD081E">
        <w:rPr>
          <w:rFonts w:eastAsia="Calibri"/>
        </w:rPr>
        <w:t xml:space="preserve"> and </w:t>
      </w:r>
      <w:r w:rsidRPr="00AD081E">
        <w:rPr>
          <w:rFonts w:eastAsia="Calibri"/>
          <w:b/>
        </w:rPr>
        <w:t>Information</w:t>
      </w:r>
      <w:r w:rsidRPr="00AD081E">
        <w:rPr>
          <w:rFonts w:eastAsia="Calibri"/>
        </w:rPr>
        <w:t xml:space="preserve"> columns to determine whether there is a real problem and, if so, what the problem is. It is important for all participating nodes to have the same platform information for the platforms in the strike, so if the DDO can’t be processed, it may be necessary to configure node communications on the target system as you did for TSRT’s TED.</w:t>
      </w:r>
    </w:p>
    <w:p w14:paraId="37FE0EE3" w14:textId="77777777" w:rsidR="00AD081E" w:rsidRPr="00AD081E" w:rsidRDefault="00AD081E" w:rsidP="006A75D6">
      <w:pPr>
        <w:pStyle w:val="Appendix4"/>
        <w:ind w:left="360"/>
      </w:pPr>
      <w:r w:rsidRPr="00AD081E">
        <w:lastRenderedPageBreak/>
        <w:t>Test the Configuration</w:t>
      </w:r>
    </w:p>
    <w:p w14:paraId="288DE6E5" w14:textId="77777777" w:rsidR="00AD081E" w:rsidRPr="00AD081E" w:rsidRDefault="00AD081E" w:rsidP="006A75D6">
      <w:pPr>
        <w:pStyle w:val="Appendix5"/>
      </w:pPr>
      <w:r w:rsidRPr="00AD081E">
        <w:t>Test DDO Communications</w:t>
      </w:r>
    </w:p>
    <w:p w14:paraId="66DF9D28" w14:textId="7580D2A4" w:rsidR="00AD081E" w:rsidRPr="00AD081E" w:rsidRDefault="00AD081E" w:rsidP="00AD081E">
      <w:pPr>
        <w:rPr>
          <w:rFonts w:eastAsia="Calibri"/>
        </w:rPr>
      </w:pPr>
      <w:r w:rsidRPr="00AD081E">
        <w:rPr>
          <w:rFonts w:eastAsia="Calibri"/>
        </w:rPr>
        <w:t xml:space="preserve">To test the OTH communications paths that will be used for DDOs during rehearsal, we will send a DDO from each live node to each other live </w:t>
      </w:r>
      <w:r w:rsidR="0001018B" w:rsidRPr="00AD081E">
        <w:rPr>
          <w:rFonts w:eastAsia="Calibri"/>
        </w:rPr>
        <w:t>node and</w:t>
      </w:r>
      <w:r w:rsidRPr="00AD081E">
        <w:rPr>
          <w:rFonts w:eastAsia="Calibri"/>
        </w:rPr>
        <w:t xml:space="preserve"> receive a DDO back from each of the other live nodes.</w:t>
      </w:r>
    </w:p>
    <w:p w14:paraId="2B9CE9B0" w14:textId="77777777" w:rsidR="00AD081E" w:rsidRPr="00AD081E" w:rsidRDefault="00AD081E" w:rsidP="00AD081E">
      <w:pPr>
        <w:rPr>
          <w:rFonts w:eastAsia="Calibri"/>
        </w:rPr>
      </w:pPr>
      <w:r w:rsidRPr="00AD081E">
        <w:rPr>
          <w:rFonts w:eastAsia="Calibri"/>
        </w:rPr>
        <w:t>Send a DDO to a node that is not your own to test the HTTPS path that will be used by DDOs during rehearsal.</w:t>
      </w:r>
    </w:p>
    <w:p w14:paraId="3DBDDCD4"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DDO Templates</w:t>
      </w:r>
      <w:r w:rsidRPr="00AD081E">
        <w:rPr>
          <w:rFonts w:eastAsia="Calibri"/>
        </w:rPr>
        <w:t xml:space="preserve"> from the menu.</w:t>
      </w:r>
    </w:p>
    <w:p w14:paraId="37CD8D54" w14:textId="6A1DC3DA" w:rsidR="00AD081E" w:rsidRPr="00AD081E" w:rsidRDefault="00AD081E" w:rsidP="00AD081E">
      <w:pPr>
        <w:rPr>
          <w:rFonts w:eastAsia="Calibri"/>
        </w:rPr>
      </w:pPr>
      <w:r w:rsidRPr="00AD081E">
        <w:rPr>
          <w:rFonts w:eastAsia="Calibri"/>
          <w:b/>
        </w:rPr>
        <w:t>DDO Templates</w:t>
      </w:r>
      <w:r w:rsidRPr="00AD081E">
        <w:rPr>
          <w:rFonts w:eastAsia="Calibri"/>
          <w:b/>
        </w:rPr>
        <w:br/>
      </w:r>
      <w:r w:rsidRPr="00AD081E">
        <w:rPr>
          <w:rFonts w:eastAsia="Calibri"/>
        </w:rPr>
        <w:t xml:space="preserve">Click on the </w:t>
      </w:r>
      <w:r w:rsidRPr="00AD081E">
        <w:rPr>
          <w:rFonts w:eastAsia="Calibri"/>
          <w:b/>
        </w:rPr>
        <w:t>New</w:t>
      </w:r>
      <w:r w:rsidRPr="00AD081E">
        <w:rPr>
          <w:rFonts w:eastAsia="Calibri"/>
        </w:rPr>
        <w:t xml:space="preserve"> button on the </w:t>
      </w:r>
      <w:r w:rsidR="0001018B" w:rsidRPr="00AD081E">
        <w:rPr>
          <w:rFonts w:eastAsia="Calibri"/>
        </w:rPr>
        <w:t>toolbar or</w:t>
      </w:r>
      <w:r w:rsidRPr="00AD081E">
        <w:rPr>
          <w:rFonts w:eastAsia="Calibri"/>
        </w:rPr>
        <w:t xml:space="preserve">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New</w:t>
      </w:r>
      <w:r w:rsidRPr="00AD081E">
        <w:rPr>
          <w:rFonts w:eastAsia="Calibri"/>
        </w:rPr>
        <w:t xml:space="preserve"> from the menu.</w:t>
      </w:r>
    </w:p>
    <w:p w14:paraId="63B3A0F6" w14:textId="77777777" w:rsidR="00AD081E" w:rsidRPr="00AD081E" w:rsidRDefault="00AD081E" w:rsidP="00AD081E">
      <w:pPr>
        <w:rPr>
          <w:rFonts w:eastAsia="Calibri"/>
        </w:rPr>
      </w:pPr>
      <w:r w:rsidRPr="00AD081E">
        <w:rPr>
          <w:rFonts w:eastAsia="Calibri"/>
          <w:b/>
        </w:rPr>
        <w:t>Drafting DDO</w:t>
      </w:r>
      <w:r w:rsidRPr="00AD081E">
        <w:rPr>
          <w:rFonts w:eastAsia="Calibri"/>
          <w:b/>
        </w:rPr>
        <w:br/>
      </w:r>
      <w:r w:rsidRPr="00AD081E">
        <w:rPr>
          <w:rFonts w:eastAsia="Calibri"/>
        </w:rPr>
        <w:t xml:space="preserve">Enter something recognizable in the </w:t>
      </w:r>
      <w:r w:rsidRPr="00AD081E">
        <w:rPr>
          <w:rFonts w:eastAsia="Calibri"/>
          <w:b/>
        </w:rPr>
        <w:t>Objective</w:t>
      </w:r>
      <w:r w:rsidRPr="00AD081E">
        <w:rPr>
          <w:rFonts w:eastAsia="Calibri"/>
        </w:rPr>
        <w:t xml:space="preserve"> field, such as </w:t>
      </w:r>
      <w:r w:rsidRPr="00AD081E">
        <w:rPr>
          <w:rFonts w:eastAsia="Calibri"/>
          <w:b/>
        </w:rPr>
        <w:t xml:space="preserve">Self-texting test </w:t>
      </w:r>
      <w:r w:rsidRPr="00AD081E">
        <w:rPr>
          <w:rFonts w:eastAsia="Calibri"/>
        </w:rPr>
        <w:t xml:space="preserve">(optional). Click on the </w:t>
      </w:r>
      <w:r w:rsidRPr="00AD081E">
        <w:rPr>
          <w:rFonts w:eastAsia="Calibri"/>
          <w:b/>
        </w:rPr>
        <w:t>To…</w:t>
      </w:r>
      <w:r w:rsidRPr="00AD081E">
        <w:rPr>
          <w:rFonts w:eastAsia="Calibri"/>
        </w:rPr>
        <w:t xml:space="preserve"> button, double-click your desired node from the Address Book, then click on the </w:t>
      </w:r>
      <w:r w:rsidRPr="00AD081E">
        <w:rPr>
          <w:rFonts w:eastAsia="Calibri"/>
          <w:b/>
        </w:rPr>
        <w:t>OK</w:t>
      </w:r>
      <w:r w:rsidRPr="00AD081E">
        <w:rPr>
          <w:rFonts w:eastAsia="Calibri"/>
        </w:rPr>
        <w:t xml:space="preserve"> button.</w:t>
      </w:r>
    </w:p>
    <w:p w14:paraId="7D32E836" w14:textId="77777777" w:rsidR="00AD081E" w:rsidRPr="00AD081E" w:rsidRDefault="00AD081E" w:rsidP="00AD081E">
      <w:pPr>
        <w:rPr>
          <w:rFonts w:eastAsia="Calibri"/>
          <w:b/>
        </w:rPr>
      </w:pPr>
      <w:r w:rsidRPr="00AD081E">
        <w:rPr>
          <w:rFonts w:eastAsia="Calibri"/>
        </w:rPr>
        <w:t xml:space="preserve">Add the appropriate data items to be transmitted from the </w:t>
      </w:r>
      <w:r w:rsidRPr="00AD081E">
        <w:rPr>
          <w:rFonts w:eastAsia="Calibri"/>
          <w:b/>
          <w:i/>
        </w:rPr>
        <w:t>Data</w:t>
      </w:r>
      <w:r w:rsidRPr="00AD081E">
        <w:rPr>
          <w:rFonts w:eastAsia="Calibri"/>
        </w:rPr>
        <w:t xml:space="preserve"> tab at the bottom of the window (i.e., Missions, DSMACs, TERCOMs, etc.). It is suggested to select small data items, such as an ACMS to test DDO communications. Right-click in the white area of the DDO Template and select </w:t>
      </w:r>
      <w:r w:rsidRPr="00AD081E">
        <w:rPr>
          <w:rFonts w:eastAsia="Calibri"/>
          <w:b/>
        </w:rPr>
        <w:t>Add…</w:t>
      </w:r>
      <w:r w:rsidRPr="00AD081E">
        <w:rPr>
          <w:rFonts w:eastAsia="Calibri"/>
        </w:rPr>
        <w:t xml:space="preserve">. A selection window specific to the tool that is selected is displayed. Select the desired data item(s) and click </w:t>
      </w:r>
      <w:r w:rsidRPr="00AD081E">
        <w:rPr>
          <w:rFonts w:eastAsia="Calibri"/>
          <w:b/>
        </w:rPr>
        <w:t>OK.</w:t>
      </w:r>
    </w:p>
    <w:p w14:paraId="25036092" w14:textId="77777777" w:rsidR="00AD081E" w:rsidRPr="00AD081E" w:rsidRDefault="00AD081E" w:rsidP="00AD081E">
      <w:r w:rsidRPr="00AD081E">
        <w:rPr>
          <w:rFonts w:eastAsia="Calibri"/>
          <w:b/>
        </w:rPr>
        <w:t>Sending</w:t>
      </w:r>
      <w:r w:rsidRPr="00AD081E">
        <w:rPr>
          <w:rFonts w:eastAsia="Calibri"/>
          <w:b/>
        </w:rPr>
        <w:br/>
      </w:r>
      <w:r w:rsidRPr="00AD081E">
        <w:t xml:space="preserve">From the </w:t>
      </w:r>
      <w:r w:rsidRPr="00AD081E">
        <w:rPr>
          <w:b/>
        </w:rPr>
        <w:t>File</w:t>
      </w:r>
      <w:r w:rsidRPr="00AD081E">
        <w:t xml:space="preserve"> menu select </w:t>
      </w:r>
      <w:r w:rsidRPr="00AD081E">
        <w:rPr>
          <w:b/>
        </w:rPr>
        <w:t>Send</w:t>
      </w:r>
      <w:r w:rsidRPr="00AD081E">
        <w:t xml:space="preserve"> or click the </w:t>
      </w:r>
      <w:r w:rsidRPr="00AD081E">
        <w:rPr>
          <w:b/>
        </w:rPr>
        <w:t>Send</w:t>
      </w:r>
      <w:r w:rsidRPr="00AD081E">
        <w:t xml:space="preserve"> </w:t>
      </w:r>
      <w:r w:rsidRPr="00AD081E">
        <w:rPr>
          <w:noProof/>
        </w:rPr>
        <w:drawing>
          <wp:inline distT="0" distB="0" distL="0" distR="0" wp14:anchorId="635C59D1" wp14:editId="68EE9285">
            <wp:extent cx="152400" cy="152400"/>
            <wp:effectExtent l="0" t="0" r="0" b="0"/>
            <wp:docPr id="1003" name="Picture 1003"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AD081E">
        <w:t xml:space="preserve"> icon on the toolbar.</w:t>
      </w:r>
    </w:p>
    <w:p w14:paraId="0D9C8BBF" w14:textId="77777777" w:rsidR="00AD081E" w:rsidRPr="00AD081E" w:rsidRDefault="00AD081E" w:rsidP="00AD081E">
      <w:pPr>
        <w:rPr>
          <w:rFonts w:eastAsia="Calibri"/>
        </w:rPr>
      </w:pPr>
      <w:r w:rsidRPr="00AD081E">
        <w:rPr>
          <w:rFonts w:eastAsia="Calibri"/>
          <w:b/>
        </w:rPr>
        <w:t xml:space="preserve">On each receiving system, </w:t>
      </w:r>
      <w:r w:rsidRPr="00AD081E">
        <w:rPr>
          <w:rFonts w:eastAsia="Calibri"/>
        </w:rPr>
        <w:t>using MDS, choose</w:t>
      </w:r>
      <w:r w:rsidRPr="00AD081E">
        <w:rPr>
          <w:rFonts w:eastAsia="Calibri"/>
          <w:b/>
        </w:rPr>
        <w:t xml:space="preserve"> Go</w:t>
      </w:r>
      <w:r w:rsidRPr="00AD081E">
        <w:rPr>
          <w:b/>
        </w:rPr>
        <w:t xml:space="preserve"> </w:t>
      </w:r>
      <w:r w:rsidRPr="00AD081E">
        <w:rPr>
          <w:b/>
        </w:rPr>
        <w:sym w:font="Wingdings" w:char="F0E0"/>
      </w:r>
      <w:r w:rsidRPr="00AD081E">
        <w:rPr>
          <w:b/>
        </w:rPr>
        <w:t xml:space="preserve"> </w:t>
      </w:r>
      <w:r w:rsidRPr="00AD081E">
        <w:rPr>
          <w:rFonts w:eastAsia="Calibri"/>
          <w:b/>
        </w:rPr>
        <w:t>Incoming DDOs</w:t>
      </w:r>
      <w:r w:rsidRPr="00AD081E">
        <w:rPr>
          <w:rFonts w:eastAsia="Calibri"/>
        </w:rPr>
        <w:t xml:space="preserve"> from the menu to ensure the DDO was received.</w:t>
      </w:r>
    </w:p>
    <w:p w14:paraId="49A9D589" w14:textId="77777777" w:rsidR="00AD081E" w:rsidRPr="00AD081E" w:rsidRDefault="00AD081E" w:rsidP="00AD081E">
      <w:pPr>
        <w:rPr>
          <w:rFonts w:eastAsia="Calibri"/>
        </w:rPr>
      </w:pPr>
      <w:r w:rsidRPr="00AD081E">
        <w:rPr>
          <w:rFonts w:eastAsia="Calibri"/>
          <w:b/>
        </w:rPr>
        <w:t>On the original sending MDS</w:t>
      </w:r>
      <w:r w:rsidRPr="00AD081E">
        <w:rPr>
          <w:rFonts w:eastAsia="Calibri"/>
        </w:rPr>
        <w:t>, choose</w:t>
      </w:r>
      <w:r w:rsidRPr="00AD081E">
        <w:rPr>
          <w:rFonts w:eastAsia="Calibri"/>
          <w:b/>
        </w:rPr>
        <w:t xml:space="preserve"> Go</w:t>
      </w:r>
      <w:r w:rsidRPr="00AD081E">
        <w:rPr>
          <w:b/>
        </w:rPr>
        <w:t xml:space="preserve"> </w:t>
      </w:r>
      <w:r w:rsidRPr="00AD081E">
        <w:rPr>
          <w:b/>
        </w:rPr>
        <w:sym w:font="Wingdings" w:char="F0E0"/>
      </w:r>
      <w:r w:rsidRPr="00AD081E">
        <w:rPr>
          <w:b/>
        </w:rPr>
        <w:t xml:space="preserve"> </w:t>
      </w:r>
      <w:r w:rsidRPr="00AD081E">
        <w:rPr>
          <w:rFonts w:eastAsia="Calibri"/>
          <w:b/>
        </w:rPr>
        <w:t>Outgoing DDOs</w:t>
      </w:r>
      <w:r w:rsidRPr="00AD081E">
        <w:rPr>
          <w:rFonts w:eastAsia="Calibri"/>
        </w:rPr>
        <w:t xml:space="preserve"> from the menu to ensure the DDO was sent.</w:t>
      </w:r>
    </w:p>
    <w:p w14:paraId="1371B6A0" w14:textId="77777777" w:rsidR="00AD081E" w:rsidRPr="00AD081E" w:rsidRDefault="00AD081E" w:rsidP="00AD081E">
      <w:pPr>
        <w:rPr>
          <w:rFonts w:eastAsia="Calibri"/>
        </w:rPr>
      </w:pPr>
      <w:r w:rsidRPr="00AD081E">
        <w:rPr>
          <w:rFonts w:eastAsia="Calibri"/>
          <w:b/>
        </w:rPr>
        <w:t>Received DDOs</w:t>
      </w:r>
      <w:r w:rsidRPr="00AD081E">
        <w:rPr>
          <w:rFonts w:eastAsia="Calibri"/>
          <w:b/>
        </w:rPr>
        <w:br/>
      </w:r>
      <w:r w:rsidRPr="00AD081E">
        <w:rPr>
          <w:rFonts w:eastAsia="Calibri"/>
        </w:rPr>
        <w:t>If configuration was successful, the list will contain a reply from each live node. If this is not the case, resolve problems with routes, etc. until the test produces the expected results.</w:t>
      </w:r>
    </w:p>
    <w:p w14:paraId="0C77C10A" w14:textId="77777777" w:rsidR="00AD081E" w:rsidRPr="00AD081E" w:rsidRDefault="00AD081E" w:rsidP="00AD081E">
      <w:pPr>
        <w:rPr>
          <w:rFonts w:eastAsia="Calibri"/>
          <w:b/>
        </w:rPr>
      </w:pPr>
      <w:r w:rsidRPr="00AD081E">
        <w:rPr>
          <w:rFonts w:eastAsia="Calibri"/>
          <w:b/>
        </w:rPr>
        <w:t>Complete the test sequence by sending DDOs to, and receiving DDOs from, each pair of live nodes.</w:t>
      </w:r>
    </w:p>
    <w:p w14:paraId="693556DA" w14:textId="77777777" w:rsidR="00AD081E" w:rsidRPr="00AD081E" w:rsidRDefault="00AD081E" w:rsidP="006A75D6">
      <w:pPr>
        <w:pStyle w:val="Appendix5"/>
      </w:pPr>
      <w:r w:rsidRPr="00AD081E">
        <w:t>Test TSN Communications</w:t>
      </w:r>
    </w:p>
    <w:p w14:paraId="3E51C834" w14:textId="77777777" w:rsidR="00AD081E" w:rsidRPr="00AD081E" w:rsidRDefault="00AD081E" w:rsidP="00AD081E">
      <w:pPr>
        <w:rPr>
          <w:rFonts w:eastAsia="Calibri"/>
        </w:rPr>
      </w:pPr>
      <w:r w:rsidRPr="00AD081E">
        <w:rPr>
          <w:rFonts w:eastAsia="Calibri"/>
        </w:rPr>
        <w:t>The approach here is to make a rehearsal copy of your strike, send it to all live participants, then start rehearsing the rehearsal copy with an SMD. With the rehearsal running, send pings from each live node to a simulated node and all other live nodes and verify the responses.</w:t>
      </w:r>
    </w:p>
    <w:p w14:paraId="627A5904"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Strike Execution</w:t>
      </w:r>
      <w:r w:rsidRPr="00AD081E">
        <w:rPr>
          <w:rFonts w:eastAsia="Calibri"/>
        </w:rPr>
        <w:t xml:space="preserve"> from the menu.</w:t>
      </w:r>
    </w:p>
    <w:p w14:paraId="0AB5DE66" w14:textId="77777777" w:rsidR="00AD081E" w:rsidRPr="00AD081E" w:rsidRDefault="00AD081E" w:rsidP="00AD081E">
      <w:pPr>
        <w:rPr>
          <w:rFonts w:eastAsia="Calibri"/>
        </w:rPr>
      </w:pPr>
      <w:r w:rsidRPr="00AD081E">
        <w:rPr>
          <w:rFonts w:eastAsia="Calibri"/>
          <w:b/>
        </w:rPr>
        <w:lastRenderedPageBreak/>
        <w:t>Strike Execution</w:t>
      </w:r>
      <w:r w:rsidRPr="00AD081E">
        <w:rPr>
          <w:rFonts w:eastAsia="Calibri"/>
          <w:b/>
        </w:rPr>
        <w:br/>
      </w:r>
      <w:r w:rsidRPr="00AD081E">
        <w:rPr>
          <w:rFonts w:eastAsia="Calibri"/>
        </w:rPr>
        <w:t xml:space="preserve">Select your execution folder, right-click, and choose </w:t>
      </w:r>
      <w:r w:rsidRPr="00AD081E">
        <w:rPr>
          <w:rFonts w:eastAsia="Calibri"/>
          <w:b/>
        </w:rPr>
        <w:t>Save As</w:t>
      </w:r>
      <w:r w:rsidRPr="00AD081E">
        <w:rPr>
          <w:b/>
        </w:rPr>
        <w:t xml:space="preserve"> </w:t>
      </w:r>
      <w:r w:rsidRPr="00AD081E">
        <w:rPr>
          <w:b/>
        </w:rPr>
        <w:sym w:font="Wingdings" w:char="F0E0"/>
      </w:r>
      <w:r w:rsidRPr="00AD081E">
        <w:rPr>
          <w:b/>
        </w:rPr>
        <w:t xml:space="preserve"> </w:t>
      </w:r>
      <w:r w:rsidRPr="00AD081E">
        <w:rPr>
          <w:rFonts w:eastAsia="Calibri"/>
          <w:b/>
        </w:rPr>
        <w:t>Rehearsal</w:t>
      </w:r>
      <w:r w:rsidRPr="00AD081E">
        <w:rPr>
          <w:rFonts w:eastAsia="Calibri"/>
        </w:rPr>
        <w:t xml:space="preserve"> from the context menu.</w:t>
      </w:r>
    </w:p>
    <w:p w14:paraId="7E21B0C3" w14:textId="77777777" w:rsidR="00AD081E" w:rsidRPr="00AD081E" w:rsidRDefault="00AD081E" w:rsidP="00AD081E">
      <w:pPr>
        <w:rPr>
          <w:rFonts w:eastAsia="Calibri"/>
        </w:rPr>
      </w:pPr>
      <w:r w:rsidRPr="00AD081E">
        <w:rPr>
          <w:rFonts w:eastAsia="Calibri"/>
        </w:rPr>
        <w:t xml:space="preserve">Select the new rehearsal copy, right-click and choose </w:t>
      </w:r>
      <w:r w:rsidRPr="00AD081E">
        <w:rPr>
          <w:rFonts w:eastAsia="Calibri"/>
          <w:b/>
        </w:rPr>
        <w:t>Send</w:t>
      </w:r>
      <w:r w:rsidRPr="00AD081E">
        <w:rPr>
          <w:rFonts w:eastAsia="Calibri"/>
        </w:rPr>
        <w:t xml:space="preserve"> from the context menu.</w:t>
      </w:r>
    </w:p>
    <w:p w14:paraId="6D873481" w14:textId="12EF8027" w:rsidR="00AD081E" w:rsidRPr="00AD081E" w:rsidRDefault="00AD081E" w:rsidP="00AD081E">
      <w:pPr>
        <w:rPr>
          <w:rFonts w:eastAsia="Calibri"/>
        </w:rPr>
      </w:pPr>
      <w:r w:rsidRPr="00AD081E">
        <w:rPr>
          <w:rFonts w:eastAsia="Calibri"/>
          <w:b/>
        </w:rPr>
        <w:t>DDO Template</w:t>
      </w:r>
      <w:r w:rsidRPr="00AD081E">
        <w:rPr>
          <w:rFonts w:eastAsia="Calibri"/>
        </w:rPr>
        <w:br/>
        <w:t xml:space="preserve">Click on the </w:t>
      </w:r>
      <w:r w:rsidRPr="00AD081E">
        <w:rPr>
          <w:rFonts w:eastAsia="Calibri"/>
          <w:b/>
          <w:i/>
        </w:rPr>
        <w:t>Strike Data</w:t>
      </w:r>
      <w:r w:rsidRPr="00AD081E">
        <w:rPr>
          <w:rFonts w:eastAsia="Calibri"/>
        </w:rPr>
        <w:t xml:space="preserve"> tab. In the </w:t>
      </w:r>
      <w:r w:rsidRPr="00AD081E">
        <w:rPr>
          <w:rFonts w:eastAsia="Calibri"/>
          <w:b/>
        </w:rPr>
        <w:t>Strike Data</w:t>
      </w:r>
      <w:r w:rsidRPr="00AD081E">
        <w:rPr>
          <w:rFonts w:eastAsia="Calibri"/>
        </w:rPr>
        <w:t xml:space="preserve"> area above the main list, check the box labeled </w:t>
      </w:r>
      <w:r w:rsidRPr="00AD081E">
        <w:rPr>
          <w:rFonts w:eastAsia="Calibri"/>
          <w:b/>
        </w:rPr>
        <w:t>Include All Strike Data</w:t>
      </w:r>
      <w:r w:rsidRPr="00AD081E">
        <w:rPr>
          <w:rFonts w:eastAsia="Calibri"/>
        </w:rPr>
        <w:t xml:space="preserve">. Click on the </w:t>
      </w:r>
      <w:r w:rsidRPr="00AD081E">
        <w:rPr>
          <w:rFonts w:eastAsia="Calibri"/>
          <w:b/>
        </w:rPr>
        <w:t>Send</w:t>
      </w:r>
      <w:r w:rsidRPr="00AD081E">
        <w:rPr>
          <w:rFonts w:eastAsia="Calibri"/>
        </w:rPr>
        <w:t xml:space="preserve"> button in the </w:t>
      </w:r>
      <w:r w:rsidR="0001018B" w:rsidRPr="00AD081E">
        <w:rPr>
          <w:rFonts w:eastAsia="Calibri"/>
        </w:rPr>
        <w:t>toolbar or</w:t>
      </w:r>
      <w:r w:rsidRPr="00AD081E">
        <w:rPr>
          <w:rFonts w:eastAsia="Calibri"/>
        </w:rPr>
        <w:t xml:space="preserve">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Send</w:t>
      </w:r>
      <w:r w:rsidRPr="00AD081E">
        <w:rPr>
          <w:rFonts w:eastAsia="Calibri"/>
        </w:rPr>
        <w:t xml:space="preserve"> from the menu.</w:t>
      </w:r>
    </w:p>
    <w:p w14:paraId="76F628E1" w14:textId="77777777" w:rsidR="00AD081E" w:rsidRPr="00AD081E" w:rsidRDefault="00AD081E" w:rsidP="00AD081E">
      <w:pPr>
        <w:rPr>
          <w:rFonts w:eastAsia="Calibri"/>
        </w:rPr>
      </w:pPr>
      <w:r w:rsidRPr="00AD081E">
        <w:rPr>
          <w:rFonts w:eastAsia="Calibri"/>
          <w:b/>
        </w:rPr>
        <w:t>Process DDO Template</w:t>
      </w:r>
      <w:r w:rsidRPr="00AD081E">
        <w:rPr>
          <w:rFonts w:eastAsia="Calibri"/>
          <w:b/>
        </w:rPr>
        <w:br/>
      </w:r>
      <w:r w:rsidRPr="00AD081E">
        <w:rPr>
          <w:rFonts w:eastAsia="Calibri"/>
        </w:rPr>
        <w:t xml:space="preserve">When the </w:t>
      </w:r>
      <w:r w:rsidRPr="00AD081E">
        <w:rPr>
          <w:rFonts w:eastAsia="Calibri"/>
          <w:b/>
        </w:rPr>
        <w:t>Approve</w:t>
      </w:r>
      <w:r w:rsidRPr="00AD081E">
        <w:rPr>
          <w:rFonts w:eastAsia="Calibri"/>
        </w:rPr>
        <w:t xml:space="preserve"> button is enabled, click on it.</w:t>
      </w:r>
    </w:p>
    <w:p w14:paraId="5C8B2EDB" w14:textId="77777777" w:rsidR="00AD081E" w:rsidRPr="00AD081E" w:rsidRDefault="00AD081E" w:rsidP="00AD081E">
      <w:pPr>
        <w:rPr>
          <w:rFonts w:eastAsia="Calibri"/>
        </w:rPr>
      </w:pPr>
      <w:r w:rsidRPr="00AD081E">
        <w:rPr>
          <w:rFonts w:eastAsia="Calibri"/>
          <w:b/>
        </w:rPr>
        <w:t>Confirmation</w:t>
      </w:r>
      <w:r w:rsidRPr="00AD081E">
        <w:rPr>
          <w:rFonts w:eastAsia="Calibri"/>
          <w:b/>
        </w:rPr>
        <w:br/>
      </w:r>
      <w:r w:rsidRPr="00AD081E">
        <w:rPr>
          <w:rFonts w:eastAsia="Calibri"/>
        </w:rPr>
        <w:t>Close the dialog.</w:t>
      </w:r>
    </w:p>
    <w:p w14:paraId="62916FC8" w14:textId="77777777" w:rsidR="00AD081E" w:rsidRPr="00AD081E" w:rsidRDefault="00AD081E" w:rsidP="00AD081E">
      <w:pPr>
        <w:rPr>
          <w:rFonts w:eastAsia="Calibri"/>
        </w:rPr>
      </w:pPr>
      <w:r w:rsidRPr="00AD081E">
        <w:rPr>
          <w:rFonts w:eastAsia="Calibri"/>
          <w:b/>
        </w:rPr>
        <w:t>DDO Template</w:t>
      </w:r>
      <w:r w:rsidRPr="00AD081E">
        <w:rPr>
          <w:rFonts w:eastAsia="Calibri"/>
          <w:b/>
        </w:rPr>
        <w:br/>
      </w:r>
      <w:r w:rsidRPr="00AD081E">
        <w:rPr>
          <w:rFonts w:eastAsia="Calibri"/>
        </w:rPr>
        <w:t>Close the dialog. You will be asked whether to save changes; either answer is fine.</w:t>
      </w:r>
    </w:p>
    <w:p w14:paraId="007A3EE6" w14:textId="77777777" w:rsidR="00AD081E" w:rsidRPr="00AD081E" w:rsidRDefault="00AD081E" w:rsidP="00AD081E">
      <w:pPr>
        <w:rPr>
          <w:rFonts w:eastAsia="Calibri"/>
        </w:rPr>
      </w:pPr>
      <w:r w:rsidRPr="00AD081E">
        <w:rPr>
          <w:rFonts w:eastAsia="Calibri"/>
          <w:b/>
        </w:rPr>
        <w:t>Strike Execution</w:t>
      </w:r>
      <w:r w:rsidRPr="00AD081E">
        <w:rPr>
          <w:rFonts w:eastAsia="Calibri"/>
          <w:b/>
        </w:rPr>
        <w:br/>
      </w:r>
      <w:r w:rsidRPr="00AD081E">
        <w:rPr>
          <w:rFonts w:eastAsia="Calibri"/>
        </w:rPr>
        <w:t xml:space="preserve">Select the new rehearsal copy, right-click and choose </w:t>
      </w:r>
      <w:r w:rsidRPr="00AD081E">
        <w:rPr>
          <w:rFonts w:eastAsia="Calibri"/>
          <w:b/>
        </w:rPr>
        <w:t>Rehearse</w:t>
      </w:r>
      <w:r w:rsidRPr="00AD081E">
        <w:rPr>
          <w:b/>
        </w:rPr>
        <w:t xml:space="preserve"> </w:t>
      </w:r>
      <w:r w:rsidRPr="00AD081E">
        <w:rPr>
          <w:b/>
        </w:rPr>
        <w:sym w:font="Wingdings" w:char="F0E0"/>
      </w:r>
      <w:r w:rsidRPr="00AD081E">
        <w:rPr>
          <w:b/>
        </w:rPr>
        <w:t xml:space="preserve"> </w:t>
      </w:r>
      <w:r w:rsidRPr="00AD081E">
        <w:rPr>
          <w:rFonts w:eastAsia="Calibri"/>
          <w:b/>
        </w:rPr>
        <w:t>With SMD</w:t>
      </w:r>
      <w:r w:rsidRPr="00AD081E">
        <w:rPr>
          <w:rFonts w:eastAsia="Calibri"/>
        </w:rPr>
        <w:t xml:space="preserve"> from the context menu. Wait for the SMD and the TSRT Scenario Director to be displayed.</w:t>
      </w:r>
    </w:p>
    <w:p w14:paraId="6CCBBEF7" w14:textId="6F990313" w:rsidR="00AD081E" w:rsidRPr="00AD081E" w:rsidRDefault="00AD081E" w:rsidP="00AD081E">
      <w:pPr>
        <w:rPr>
          <w:rFonts w:eastAsia="Calibri"/>
        </w:rPr>
      </w:pPr>
      <w:r w:rsidRPr="00AD081E">
        <w:rPr>
          <w:rFonts w:eastAsia="Calibri"/>
          <w:b/>
        </w:rPr>
        <w:t xml:space="preserve">TSRT Scenario Director – </w:t>
      </w: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xml:space="preserve">– </w:t>
      </w:r>
      <w:r w:rsidRPr="00AD081E">
        <w:rPr>
          <w:rFonts w:eastAsia="Calibri"/>
          <w:b/>
          <w:i/>
        </w:rPr>
        <w:t>Execution Folder Name</w:t>
      </w:r>
      <w:r w:rsidRPr="00AD081E">
        <w:rPr>
          <w:rFonts w:eastAsia="Calibri"/>
          <w:b/>
        </w:rPr>
        <w:br/>
      </w:r>
      <w:r w:rsidRPr="00AD081E">
        <w:rPr>
          <w:rFonts w:eastAsia="Calibri"/>
        </w:rPr>
        <w:t xml:space="preserve">In the Scenario Director, leave the run rate at 1 and click on the </w:t>
      </w:r>
      <w:r w:rsidRPr="00AD081E">
        <w:rPr>
          <w:rFonts w:eastAsia="Calibri"/>
          <w:b/>
        </w:rPr>
        <w:t>Run</w:t>
      </w:r>
      <w:r w:rsidRPr="00AD081E">
        <w:rPr>
          <w:rFonts w:eastAsia="Calibri"/>
        </w:rPr>
        <w:t xml:space="preserve"> button.</w:t>
      </w:r>
    </w:p>
    <w:p w14:paraId="5F69F986" w14:textId="1CC214CD" w:rsidR="00AD081E" w:rsidRPr="00AD081E" w:rsidRDefault="00AD081E" w:rsidP="00AD081E">
      <w:pPr>
        <w:rPr>
          <w:rFonts w:eastAsia="Calibri"/>
        </w:rPr>
      </w:pP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Rehearse (</w:t>
      </w:r>
      <w:r w:rsidRPr="00AD081E">
        <w:rPr>
          <w:rFonts w:eastAsia="Calibri"/>
          <w:b/>
          <w:i/>
        </w:rPr>
        <w:t>Folder Type</w:t>
      </w:r>
      <w:r w:rsidRPr="00AD081E">
        <w:rPr>
          <w:rFonts w:eastAsia="Calibri"/>
          <w:b/>
        </w:rPr>
        <w:t xml:space="preserve">) – </w:t>
      </w:r>
      <w:r w:rsidRPr="00AD081E">
        <w:rPr>
          <w:rFonts w:eastAsia="Calibri"/>
          <w:b/>
          <w:i/>
        </w:rPr>
        <w:t>Execution Folder Name</w:t>
      </w:r>
      <w:r w:rsidRPr="00AD081E">
        <w:rPr>
          <w:rFonts w:eastAsia="Calibri"/>
          <w:b/>
        </w:rPr>
        <w:br/>
      </w:r>
      <w:r w:rsidRPr="00AD081E">
        <w:rPr>
          <w:rFonts w:eastAsia="Calibri"/>
        </w:rPr>
        <w:t xml:space="preserve">On the SMD, click on the </w:t>
      </w:r>
      <w:r w:rsidRPr="00AD081E">
        <w:rPr>
          <w:rFonts w:eastAsia="Calibri"/>
          <w:b/>
          <w:i/>
        </w:rPr>
        <w:t>TSN Ping</w:t>
      </w:r>
      <w:r w:rsidRPr="00AD081E">
        <w:rPr>
          <w:rFonts w:eastAsia="Calibri"/>
        </w:rPr>
        <w:t xml:space="preserve"> tab.</w:t>
      </w:r>
    </w:p>
    <w:p w14:paraId="7F966F5B" w14:textId="5A9C7180" w:rsidR="00AD081E" w:rsidRPr="00AD081E" w:rsidRDefault="00AD081E" w:rsidP="00AD081E">
      <w:pPr>
        <w:rPr>
          <w:rFonts w:eastAsia="Calibri"/>
        </w:rPr>
      </w:pPr>
      <w:r w:rsidRPr="00AD081E">
        <w:rPr>
          <w:rFonts w:eastAsia="Calibri"/>
          <w:b/>
        </w:rPr>
        <w:t>TSN Ping</w:t>
      </w:r>
      <w:r w:rsidRPr="00AD081E">
        <w:rPr>
          <w:rFonts w:eastAsia="Calibri"/>
        </w:rPr>
        <w:br/>
        <w:t>Choose one of the simulated TTWCS nodes in the list. Right-</w:t>
      </w:r>
      <w:r w:rsidR="0001018B" w:rsidRPr="00AD081E">
        <w:rPr>
          <w:rFonts w:eastAsia="Calibri"/>
        </w:rPr>
        <w:t>click and</w:t>
      </w:r>
      <w:r w:rsidRPr="00AD081E">
        <w:rPr>
          <w:rFonts w:eastAsia="Calibri"/>
        </w:rPr>
        <w:t xml:space="preserve"> choose </w:t>
      </w:r>
      <w:r w:rsidRPr="00AD081E">
        <w:rPr>
          <w:rFonts w:eastAsia="Calibri"/>
          <w:b/>
        </w:rPr>
        <w:t>Ping</w:t>
      </w:r>
      <w:r w:rsidRPr="00AD081E">
        <w:rPr>
          <w:rFonts w:eastAsia="Calibri"/>
        </w:rPr>
        <w:t xml:space="preserve"> from the context menu. A yellow dot will appear beside the TTWCS node in the list. If TSN communications are working, the dot will eventually turn green. A mixed red and green dot for a strike that involves an ACA-capable platform indicates a partially successful and partially unsuccessful ping (see </w:t>
      </w:r>
      <w:hyperlink w:anchor="_How_to_Send" w:history="1">
        <w:r w:rsidRPr="00AD081E">
          <w:rPr>
            <w:rFonts w:eastAsia="Calibri"/>
            <w:color w:val="0000FF"/>
            <w:u w:val="single"/>
          </w:rPr>
          <w:t xml:space="preserve">Section </w:t>
        </w:r>
        <w:r w:rsidR="004231CC">
          <w:rPr>
            <w:rFonts w:eastAsia="Calibri"/>
            <w:color w:val="0000FF"/>
            <w:u w:val="single"/>
          </w:rPr>
          <w:t>5.35</w:t>
        </w:r>
        <w:r w:rsidRPr="00AD081E">
          <w:rPr>
            <w:rFonts w:eastAsia="Calibri"/>
            <w:color w:val="0000FF"/>
            <w:u w:val="single"/>
          </w:rPr>
          <w:t>.3.1.10.1</w:t>
        </w:r>
      </w:hyperlink>
      <w:r w:rsidRPr="00AD081E">
        <w:rPr>
          <w:rFonts w:eastAsia="Calibri"/>
        </w:rPr>
        <w:t>). Depending on the network characteristics, it could take a while to send the request and get a response.</w:t>
      </w:r>
    </w:p>
    <w:p w14:paraId="493AE28E" w14:textId="6300D43D" w:rsidR="00AD081E" w:rsidRPr="00AD081E" w:rsidRDefault="00AD081E" w:rsidP="00AD081E">
      <w:pPr>
        <w:rPr>
          <w:rFonts w:eastAsia="Calibri"/>
        </w:rPr>
      </w:pPr>
      <w:r w:rsidRPr="00AD081E">
        <w:rPr>
          <w:rFonts w:eastAsia="Calibri"/>
        </w:rPr>
        <w:t>For each live node, choose that node in the list. Right-</w:t>
      </w:r>
      <w:r w:rsidR="0001018B" w:rsidRPr="00AD081E">
        <w:rPr>
          <w:rFonts w:eastAsia="Calibri"/>
        </w:rPr>
        <w:t>click and</w:t>
      </w:r>
      <w:r w:rsidRPr="00AD081E">
        <w:rPr>
          <w:rFonts w:eastAsia="Calibri"/>
        </w:rPr>
        <w:t xml:space="preserve"> choose </w:t>
      </w:r>
      <w:r w:rsidRPr="00AD081E">
        <w:rPr>
          <w:rFonts w:eastAsia="Calibri"/>
          <w:b/>
        </w:rPr>
        <w:t>Ping</w:t>
      </w:r>
      <w:r w:rsidRPr="00AD081E">
        <w:rPr>
          <w:rFonts w:eastAsia="Calibri"/>
        </w:rPr>
        <w:t xml:space="preserve"> from the context menu. Observe whether the yellow dot that appears eventually turns green.</w:t>
      </w:r>
    </w:p>
    <w:p w14:paraId="73123C06" w14:textId="77777777" w:rsidR="00AD081E" w:rsidRPr="00AD081E" w:rsidRDefault="00AD081E" w:rsidP="00AD081E">
      <w:pPr>
        <w:rPr>
          <w:rFonts w:eastAsia="Calibri"/>
        </w:rPr>
      </w:pPr>
      <w:r w:rsidRPr="00AD081E">
        <w:rPr>
          <w:rFonts w:eastAsia="Calibri"/>
        </w:rPr>
        <w:t>If any dot turns red instead, there is likely something wrong with the TSNIF interface you are sending to, the routes between the interfaces, or the TDM Distribution Agent configuration on the machine you are sending to. If all of the dots turn red, there is likely something wrong with the TSNIF interface or TDM Distribution Agent configuration for the TED (or MDS) you are testing from, or possibly with the LINT or TSNIF server on the TCIP.</w:t>
      </w:r>
    </w:p>
    <w:p w14:paraId="1D95953D" w14:textId="31DB1183" w:rsidR="00AD081E" w:rsidRPr="00AD081E" w:rsidRDefault="00AD081E" w:rsidP="00AD081E">
      <w:pPr>
        <w:rPr>
          <w:rFonts w:eastAsia="Calibri"/>
        </w:rPr>
      </w:pPr>
      <w:r w:rsidRPr="00AD081E">
        <w:rPr>
          <w:rFonts w:eastAsia="Calibri"/>
          <w:b/>
        </w:rPr>
        <w:t xml:space="preserve">Complete the test sequence by sending pings to, and receiving replies from, each pair of live nodes. </w:t>
      </w:r>
      <w:r w:rsidRPr="00AD081E">
        <w:rPr>
          <w:rFonts w:eastAsia="Calibri"/>
        </w:rPr>
        <w:t xml:space="preserve">This will require joining the rehearsal from each live node’s </w:t>
      </w:r>
      <w:r w:rsidR="0001018B" w:rsidRPr="00AD081E">
        <w:rPr>
          <w:rFonts w:eastAsia="Calibri"/>
        </w:rPr>
        <w:t>MDS or</w:t>
      </w:r>
      <w:r w:rsidRPr="00AD081E">
        <w:rPr>
          <w:rFonts w:eastAsia="Calibri"/>
        </w:rPr>
        <w:t xml:space="preserve"> sending pings from each live TTWCS.</w:t>
      </w:r>
    </w:p>
    <w:p w14:paraId="0E8AFDBC" w14:textId="77777777" w:rsidR="00AD081E" w:rsidRPr="00AD081E" w:rsidRDefault="00AD081E" w:rsidP="001F4B14">
      <w:pPr>
        <w:keepNext/>
        <w:rPr>
          <w:rFonts w:eastAsia="Calibri"/>
          <w:b/>
        </w:rPr>
      </w:pPr>
      <w:r w:rsidRPr="00AD081E">
        <w:rPr>
          <w:rFonts w:eastAsia="Calibri"/>
          <w:b/>
        </w:rPr>
        <w:lastRenderedPageBreak/>
        <w:t>On each MDS:</w:t>
      </w:r>
    </w:p>
    <w:p w14:paraId="0534CE19" w14:textId="360FE2AA" w:rsidR="00AD081E" w:rsidRPr="00AD081E" w:rsidRDefault="00AD081E" w:rsidP="00AD081E">
      <w:pPr>
        <w:rPr>
          <w:rFonts w:eastAsia="Calibri"/>
        </w:rPr>
      </w:pP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Rehearse (</w:t>
      </w:r>
      <w:r w:rsidRPr="00AD081E">
        <w:rPr>
          <w:rFonts w:eastAsia="Calibri"/>
          <w:b/>
          <w:i/>
        </w:rPr>
        <w:t>Folder Type</w:t>
      </w:r>
      <w:r w:rsidRPr="00AD081E">
        <w:rPr>
          <w:rFonts w:eastAsia="Calibri"/>
          <w:b/>
        </w:rPr>
        <w:t xml:space="preserve">) – </w:t>
      </w:r>
      <w:r w:rsidRPr="00AD081E">
        <w:rPr>
          <w:rFonts w:eastAsia="Calibri"/>
          <w:b/>
          <w:i/>
        </w:rPr>
        <w:t>Execution Folder Name</w:t>
      </w:r>
      <w:r w:rsidRPr="00AD081E">
        <w:rPr>
          <w:rFonts w:eastAsia="Calibri"/>
          <w:b/>
        </w:rPr>
        <w:br/>
      </w:r>
      <w:r w:rsidRPr="00AD081E">
        <w:rPr>
          <w:rFonts w:eastAsia="Calibri"/>
        </w:rPr>
        <w:t xml:space="preserve">Close the SMD, answering </w:t>
      </w:r>
      <w:r w:rsidRPr="00AD081E">
        <w:rPr>
          <w:rFonts w:eastAsia="Calibri"/>
          <w:b/>
        </w:rPr>
        <w:t>Yes</w:t>
      </w:r>
      <w:r w:rsidRPr="00AD081E">
        <w:rPr>
          <w:rFonts w:eastAsia="Calibri"/>
        </w:rPr>
        <w:t xml:space="preserve"> to stop TED strike execution.</w:t>
      </w:r>
    </w:p>
    <w:p w14:paraId="55D33C6B" w14:textId="77777777" w:rsidR="00AD081E" w:rsidRPr="00AD081E" w:rsidRDefault="00AD081E" w:rsidP="00AD081E">
      <w:pPr>
        <w:rPr>
          <w:rFonts w:eastAsia="Calibri"/>
          <w:b/>
        </w:rPr>
      </w:pPr>
      <w:r w:rsidRPr="00AD081E">
        <w:rPr>
          <w:rFonts w:eastAsia="Calibri"/>
          <w:b/>
        </w:rPr>
        <w:t>Back on the MDS connected to the TSRT’s TED:</w:t>
      </w:r>
    </w:p>
    <w:p w14:paraId="23C1BC93" w14:textId="7175469B" w:rsidR="00AD081E" w:rsidRPr="00AD081E" w:rsidRDefault="00AD081E" w:rsidP="00AD081E">
      <w:pPr>
        <w:rPr>
          <w:rFonts w:eastAsia="Calibri"/>
        </w:rPr>
      </w:pPr>
      <w:r w:rsidRPr="00AD081E">
        <w:rPr>
          <w:rFonts w:eastAsia="Calibri"/>
          <w:b/>
        </w:rPr>
        <w:t xml:space="preserve">TSRT Scenario Director – </w:t>
      </w:r>
      <w:r w:rsidRPr="00AD081E">
        <w:rPr>
          <w:rFonts w:eastAsia="Calibri"/>
          <w:b/>
          <w:i/>
        </w:rPr>
        <w:t xml:space="preserve">Execution Folder </w:t>
      </w:r>
      <w:r w:rsidR="00154CAE" w:rsidRPr="00AD081E">
        <w:rPr>
          <w:rFonts w:eastAsia="Calibri"/>
          <w:b/>
          <w:i/>
        </w:rPr>
        <w:t>I</w:t>
      </w:r>
      <w:r w:rsidR="00154CAE">
        <w:rPr>
          <w:rFonts w:eastAsia="Calibri"/>
          <w:b/>
          <w:i/>
        </w:rPr>
        <w:t>D</w:t>
      </w:r>
      <w:r w:rsidR="00154CAE" w:rsidRPr="00AD081E">
        <w:rPr>
          <w:rFonts w:eastAsia="Calibri"/>
          <w:b/>
        </w:rPr>
        <w:t xml:space="preserve"> </w:t>
      </w:r>
      <w:r w:rsidRPr="00AD081E">
        <w:rPr>
          <w:rFonts w:eastAsia="Calibri"/>
          <w:b/>
        </w:rPr>
        <w:t xml:space="preserve">– </w:t>
      </w:r>
      <w:r w:rsidRPr="00AD081E">
        <w:rPr>
          <w:rFonts w:eastAsia="Calibri"/>
          <w:b/>
          <w:i/>
        </w:rPr>
        <w:t>Execution Folder Name</w:t>
      </w:r>
      <w:r w:rsidRPr="00AD081E">
        <w:rPr>
          <w:rFonts w:eastAsia="Calibri"/>
          <w:b/>
        </w:rPr>
        <w:br/>
      </w:r>
      <w:r w:rsidRPr="00AD081E">
        <w:rPr>
          <w:rFonts w:eastAsia="Calibri"/>
        </w:rPr>
        <w:t xml:space="preserve">Close the Scenario Director, answering </w:t>
      </w:r>
      <w:r w:rsidRPr="00AD081E">
        <w:rPr>
          <w:rFonts w:eastAsia="Calibri"/>
          <w:b/>
        </w:rPr>
        <w:t>Yes</w:t>
      </w:r>
      <w:r w:rsidRPr="00AD081E">
        <w:rPr>
          <w:rFonts w:eastAsia="Calibri"/>
        </w:rPr>
        <w:t xml:space="preserve"> to the unload question.</w:t>
      </w:r>
    </w:p>
    <w:p w14:paraId="5A6C15DD" w14:textId="77777777" w:rsidR="00AD081E" w:rsidRPr="00AD081E" w:rsidRDefault="00AD081E" w:rsidP="006A75D6">
      <w:pPr>
        <w:pStyle w:val="Appendix4"/>
        <w:ind w:left="360"/>
      </w:pPr>
      <w:r w:rsidRPr="00AD081E">
        <w:t>Post-Test Modifications</w:t>
      </w:r>
    </w:p>
    <w:p w14:paraId="7F8F9D8B" w14:textId="77777777" w:rsidR="00AD081E" w:rsidRPr="00AD081E" w:rsidRDefault="00AD081E" w:rsidP="006A75D6">
      <w:pPr>
        <w:pStyle w:val="Appendix5"/>
      </w:pPr>
      <w:bookmarkStart w:id="8326" w:name="_Hlk137815222"/>
      <w:r w:rsidRPr="00AD081E">
        <w:t>Configure HTTPS (Only if Necessary)</w:t>
      </w:r>
    </w:p>
    <w:p w14:paraId="439BCAAB" w14:textId="77777777" w:rsidR="00AD081E" w:rsidRPr="00AD081E" w:rsidRDefault="00AD081E" w:rsidP="00AD081E">
      <w:pPr>
        <w:rPr>
          <w:rFonts w:eastAsia="Calibri"/>
        </w:rPr>
      </w:pPr>
      <w:r w:rsidRPr="00AD081E">
        <w:rPr>
          <w:rFonts w:eastAsia="Calibri"/>
        </w:rPr>
        <w:t>Since the TSRT’s TED can’t talk to itself using LINT, it is configured here to talk to itself using HTTPS.</w:t>
      </w:r>
    </w:p>
    <w:p w14:paraId="4ABACE9F" w14:textId="3C3B90E7" w:rsidR="00AD081E" w:rsidRPr="00AD081E" w:rsidRDefault="00AD081E" w:rsidP="00AD081E">
      <w:pPr>
        <w:rPr>
          <w:rFonts w:eastAsia="Calibri"/>
        </w:rPr>
      </w:pPr>
      <w:r w:rsidRPr="00AD081E">
        <w:rPr>
          <w:rFonts w:eastAsia="Calibri"/>
        </w:rPr>
        <w:t xml:space="preserve">This step should only be done after distribution of platform information, so that all other live nodes are configured to talk to the TSRT’s TED using OTH through </w:t>
      </w:r>
      <w:r w:rsidR="0001018B" w:rsidRPr="00AD081E">
        <w:rPr>
          <w:rFonts w:eastAsia="Calibri"/>
        </w:rPr>
        <w:t>LINT and</w:t>
      </w:r>
      <w:r w:rsidRPr="00AD081E">
        <w:rPr>
          <w:rFonts w:eastAsia="Calibri"/>
        </w:rPr>
        <w:t xml:space="preserve"> is only necessary if the TSRT’s TED will also be connected to one or more MDSs running an SMD during the rehearsal.</w:t>
      </w:r>
    </w:p>
    <w:p w14:paraId="7B95950E"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Nodes</w:t>
      </w:r>
      <w:r w:rsidRPr="00AD081E">
        <w:rPr>
          <w:rFonts w:eastAsia="Calibri"/>
        </w:rPr>
        <w:t xml:space="preserve"> from the menu.</w:t>
      </w:r>
    </w:p>
    <w:p w14:paraId="34843E7C" w14:textId="77777777" w:rsidR="00AD081E" w:rsidRPr="00AD081E" w:rsidRDefault="00AD081E" w:rsidP="00AD081E">
      <w:pPr>
        <w:rPr>
          <w:rFonts w:eastAsia="Calibri"/>
        </w:rPr>
      </w:pPr>
      <w:r w:rsidRPr="00AD081E">
        <w:rPr>
          <w:rFonts w:eastAsia="Calibri"/>
          <w:b/>
        </w:rPr>
        <w:t>Nodes</w:t>
      </w:r>
      <w:r w:rsidRPr="00AD081E">
        <w:rPr>
          <w:rFonts w:eastAsia="Calibri"/>
          <w:b/>
        </w:rPr>
        <w:br/>
      </w:r>
      <w:r w:rsidRPr="00AD081E">
        <w:rPr>
          <w:rFonts w:eastAsia="Calibri"/>
        </w:rPr>
        <w:t xml:space="preserve">Select the TSRT’s TED node in the list. Double-click on it, or right-click and choose </w:t>
      </w:r>
      <w:r w:rsidRPr="00AD081E">
        <w:rPr>
          <w:rFonts w:eastAsia="Calibri"/>
          <w:b/>
        </w:rPr>
        <w:t>Display</w:t>
      </w:r>
      <w:r w:rsidRPr="00AD081E">
        <w:rPr>
          <w:b/>
        </w:rPr>
        <w:t xml:space="preserve"> </w:t>
      </w:r>
      <w:r w:rsidRPr="00AD081E">
        <w:rPr>
          <w:b/>
        </w:rPr>
        <w:sym w:font="Wingdings" w:char="F0E0"/>
      </w:r>
      <w:r w:rsidRPr="00AD081E">
        <w:rPr>
          <w:b/>
        </w:rPr>
        <w:t xml:space="preserve"> </w:t>
      </w:r>
      <w:r w:rsidRPr="00AD081E">
        <w:rPr>
          <w:rFonts w:eastAsia="Calibri"/>
          <w:b/>
        </w:rPr>
        <w:t>Textually</w:t>
      </w:r>
      <w:r w:rsidRPr="00AD081E">
        <w:rPr>
          <w:rFonts w:eastAsia="Calibri"/>
        </w:rPr>
        <w:t xml:space="preserve"> from the context menu.</w:t>
      </w:r>
    </w:p>
    <w:p w14:paraId="3F4EFCB9" w14:textId="4708F394" w:rsidR="00AD081E" w:rsidRPr="0056739E" w:rsidRDefault="00AD081E" w:rsidP="0056739E">
      <w:pPr>
        <w:keepNext/>
        <w:jc w:val="center"/>
        <w:rPr>
          <w:rFonts w:eastAsia="Calibri"/>
          <w:b/>
        </w:rPr>
      </w:pPr>
      <w:r w:rsidRPr="00AD081E">
        <w:rPr>
          <w:rFonts w:eastAsia="Calibri"/>
          <w:b/>
        </w:rPr>
        <w:t>Node Configuration for TSRT’s TED (Uses HTTPS)</w:t>
      </w:r>
    </w:p>
    <w:p w14:paraId="582070B5" w14:textId="3D753F52" w:rsidR="00BC6C61" w:rsidRPr="00AD081E" w:rsidRDefault="00BC6C61" w:rsidP="0056739E">
      <w:pPr>
        <w:jc w:val="center"/>
      </w:pPr>
      <w:r>
        <w:rPr>
          <w:noProof/>
        </w:rPr>
        <w:drawing>
          <wp:inline distT="0" distB="0" distL="0" distR="0" wp14:anchorId="7BCAB557" wp14:editId="3F24854D">
            <wp:extent cx="3657600" cy="2651760"/>
            <wp:effectExtent l="0" t="0" r="0" b="0"/>
            <wp:docPr id="645" name="Picture 64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Picture 645" descr="Graphical user interface&#10;&#10;Description automatically generated"/>
                    <pic:cNvPicPr/>
                  </pic:nvPicPr>
                  <pic:blipFill>
                    <a:blip/>
                    <a:stretch>
                      <a:fillRect/>
                    </a:stretch>
                  </pic:blipFill>
                  <pic:spPr>
                    <a:xfrm>
                      <a:off x="0" y="0"/>
                      <a:ext cx="3657600" cy="2651760"/>
                    </a:xfrm>
                    <a:prstGeom prst="rect">
                      <a:avLst/>
                    </a:prstGeom>
                  </pic:spPr>
                </pic:pic>
              </a:graphicData>
            </a:graphic>
          </wp:inline>
        </w:drawing>
      </w:r>
    </w:p>
    <w:p w14:paraId="5442244A" w14:textId="77777777" w:rsidR="00AD081E" w:rsidRPr="00AD081E" w:rsidRDefault="00AD081E" w:rsidP="00AD081E">
      <w:pPr>
        <w:rPr>
          <w:rFonts w:eastAsia="Calibri"/>
        </w:rPr>
      </w:pPr>
      <w:r w:rsidRPr="00AD081E">
        <w:rPr>
          <w:rFonts w:eastAsia="Calibri"/>
          <w:b/>
        </w:rPr>
        <w:t xml:space="preserve">Node: </w:t>
      </w:r>
      <w:r w:rsidRPr="00AD081E">
        <w:rPr>
          <w:rFonts w:eastAsia="Calibri"/>
          <w:b/>
          <w:i/>
        </w:rPr>
        <w:t>Node Name</w:t>
      </w:r>
      <w:r w:rsidRPr="00AD081E">
        <w:rPr>
          <w:rFonts w:eastAsia="Calibri"/>
          <w:b/>
        </w:rPr>
        <w:br/>
      </w:r>
      <w:r w:rsidRPr="00AD081E">
        <w:rPr>
          <w:rFonts w:eastAsia="Calibri"/>
        </w:rPr>
        <w:t xml:space="preserve">On the </w:t>
      </w:r>
      <w:r w:rsidRPr="00AD081E">
        <w:rPr>
          <w:rFonts w:eastAsia="Calibri"/>
          <w:b/>
          <w:i/>
        </w:rPr>
        <w:t>Capabilities</w:t>
      </w:r>
      <w:r w:rsidRPr="00AD081E">
        <w:rPr>
          <w:rFonts w:eastAsia="Calibri"/>
        </w:rPr>
        <w:t xml:space="preserve"> tab, in the </w:t>
      </w:r>
      <w:r w:rsidRPr="00AD081E">
        <w:rPr>
          <w:rFonts w:eastAsia="Calibri"/>
          <w:b/>
        </w:rPr>
        <w:t>Communication Capabilities</w:t>
      </w:r>
      <w:r w:rsidRPr="00AD081E">
        <w:rPr>
          <w:rFonts w:eastAsia="Calibri"/>
        </w:rPr>
        <w:t xml:space="preserve"> section, check the box labeled </w:t>
      </w:r>
      <w:bookmarkEnd w:id="8326"/>
      <w:r w:rsidRPr="00AD081E">
        <w:rPr>
          <w:rFonts w:eastAsia="Calibri"/>
          <w:b/>
        </w:rPr>
        <w:t>HTTPS</w:t>
      </w:r>
      <w:r w:rsidRPr="00AD081E">
        <w:rPr>
          <w:rFonts w:eastAsia="Calibri"/>
        </w:rPr>
        <w:t xml:space="preserve">. From the drop down labeled </w:t>
      </w:r>
      <w:r w:rsidRPr="00AD081E">
        <w:rPr>
          <w:rFonts w:eastAsia="Calibri"/>
          <w:b/>
        </w:rPr>
        <w:t>Preferred Receive Method</w:t>
      </w:r>
      <w:r w:rsidRPr="00AD081E">
        <w:rPr>
          <w:rFonts w:eastAsia="Calibri"/>
        </w:rPr>
        <w:t xml:space="preserve">, choose </w:t>
      </w:r>
      <w:r w:rsidRPr="00AD081E">
        <w:rPr>
          <w:rFonts w:eastAsia="Calibri"/>
          <w:b/>
        </w:rPr>
        <w:t>HTTPS</w:t>
      </w:r>
      <w:r w:rsidRPr="00AD081E">
        <w:rPr>
          <w:rFonts w:eastAsia="Calibri"/>
        </w:rPr>
        <w:t xml:space="preserve">. In the field labeled </w:t>
      </w:r>
      <w:r w:rsidRPr="00AD081E">
        <w:rPr>
          <w:rFonts w:eastAsia="Calibri"/>
          <w:b/>
        </w:rPr>
        <w:t>IP Address</w:t>
      </w:r>
      <w:r w:rsidRPr="00AD081E">
        <w:rPr>
          <w:rFonts w:eastAsia="Calibri"/>
        </w:rPr>
        <w:t>, enter the TED machine’s IP address. Make sure that the TED and MDS version numbers are set to the correct value (e.g., 7.0).</w:t>
      </w:r>
    </w:p>
    <w:p w14:paraId="087717FB" w14:textId="77777777" w:rsidR="00AD081E" w:rsidRPr="00AD081E" w:rsidRDefault="00AD081E" w:rsidP="00AD081E">
      <w:pPr>
        <w:rPr>
          <w:rFonts w:eastAsia="Calibri"/>
        </w:rPr>
      </w:pPr>
      <w:r w:rsidRPr="00AD081E">
        <w:rPr>
          <w:rFonts w:eastAsia="Calibri"/>
        </w:rPr>
        <w:lastRenderedPageBreak/>
        <w:t xml:space="preserve">Click the </w:t>
      </w:r>
      <w:r w:rsidRPr="00AD081E">
        <w:rPr>
          <w:rFonts w:eastAsia="Calibri"/>
          <w:b/>
        </w:rPr>
        <w:t>Save</w:t>
      </w:r>
      <w:r w:rsidRPr="00AD081E">
        <w:rPr>
          <w:rFonts w:eastAsia="Calibri"/>
        </w:rPr>
        <w:t xml:space="preserve"> button on the toolbar, or select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Save</w:t>
      </w:r>
      <w:r w:rsidRPr="00AD081E">
        <w:rPr>
          <w:rFonts w:eastAsia="Calibri"/>
        </w:rPr>
        <w:t xml:space="preserve"> from the menu, to save your changes. Close the node dialog.</w:t>
      </w:r>
    </w:p>
    <w:p w14:paraId="5BDFBDA4" w14:textId="77777777" w:rsidR="00AD081E" w:rsidRPr="00AD081E" w:rsidRDefault="00AD081E" w:rsidP="006A75D6">
      <w:pPr>
        <w:pStyle w:val="Appendix5"/>
      </w:pPr>
      <w:r w:rsidRPr="00AD081E">
        <w:t>Test HTTPS Communications (Only if HTTPS was Configured)</w:t>
      </w:r>
    </w:p>
    <w:p w14:paraId="317B2508" w14:textId="77777777" w:rsidR="00AD081E" w:rsidRPr="00AD081E" w:rsidRDefault="00AD081E" w:rsidP="00AD081E">
      <w:pPr>
        <w:rPr>
          <w:rFonts w:eastAsia="Calibri"/>
        </w:rPr>
      </w:pPr>
      <w:r w:rsidRPr="00AD081E">
        <w:rPr>
          <w:rFonts w:eastAsia="Calibri"/>
        </w:rPr>
        <w:t>Send a DDO to your own node to test the HTTPS path that will be used by DDOs during rehearsal.</w:t>
      </w:r>
    </w:p>
    <w:p w14:paraId="5C485F53" w14:textId="77777777" w:rsidR="00AD081E" w:rsidRPr="00AD081E" w:rsidRDefault="00AD081E" w:rsidP="00AD081E">
      <w:pPr>
        <w:rPr>
          <w:rFonts w:eastAsia="Calibri"/>
        </w:rPr>
      </w:pPr>
      <w:r w:rsidRPr="00AD081E">
        <w:rPr>
          <w:rFonts w:eastAsia="Calibri"/>
        </w:rPr>
        <w:t xml:space="preserve">Using an MDS connected to the TSRT’s TED, choose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DDO Templates</w:t>
      </w:r>
      <w:r w:rsidRPr="00AD081E">
        <w:rPr>
          <w:rFonts w:eastAsia="Calibri"/>
        </w:rPr>
        <w:t xml:space="preserve"> from the menu.</w:t>
      </w:r>
    </w:p>
    <w:p w14:paraId="5F7DCE90" w14:textId="0B9D9A39" w:rsidR="00AD081E" w:rsidRPr="00AD081E" w:rsidRDefault="00AD081E" w:rsidP="00AD081E">
      <w:pPr>
        <w:rPr>
          <w:rFonts w:eastAsia="Calibri"/>
        </w:rPr>
      </w:pPr>
      <w:r w:rsidRPr="00AD081E">
        <w:rPr>
          <w:rFonts w:eastAsia="Calibri"/>
          <w:b/>
        </w:rPr>
        <w:t>DDO Templates</w:t>
      </w:r>
      <w:r w:rsidRPr="00AD081E">
        <w:rPr>
          <w:rFonts w:eastAsia="Calibri"/>
          <w:b/>
        </w:rPr>
        <w:br/>
      </w:r>
      <w:r w:rsidRPr="00AD081E">
        <w:rPr>
          <w:rFonts w:eastAsia="Calibri"/>
        </w:rPr>
        <w:t xml:space="preserve">Click on the </w:t>
      </w:r>
      <w:r w:rsidRPr="00AD081E">
        <w:rPr>
          <w:rFonts w:eastAsia="Calibri"/>
          <w:b/>
        </w:rPr>
        <w:t>New</w:t>
      </w:r>
      <w:r w:rsidRPr="00AD081E">
        <w:rPr>
          <w:rFonts w:eastAsia="Calibri"/>
        </w:rPr>
        <w:t xml:space="preserve"> button on the </w:t>
      </w:r>
      <w:r w:rsidR="000E11E0" w:rsidRPr="00AD081E">
        <w:rPr>
          <w:rFonts w:eastAsia="Calibri"/>
        </w:rPr>
        <w:t>toolbar or</w:t>
      </w:r>
      <w:r w:rsidRPr="00AD081E">
        <w:rPr>
          <w:rFonts w:eastAsia="Calibri"/>
        </w:rPr>
        <w:t xml:space="preserve"> choose </w:t>
      </w:r>
      <w:r w:rsidRPr="00AD081E">
        <w:rPr>
          <w:rFonts w:eastAsia="Calibri"/>
          <w:b/>
        </w:rPr>
        <w:t>File</w:t>
      </w:r>
      <w:r w:rsidRPr="00AD081E">
        <w:rPr>
          <w:b/>
        </w:rPr>
        <w:t xml:space="preserve"> </w:t>
      </w:r>
      <w:r w:rsidRPr="00AD081E">
        <w:rPr>
          <w:b/>
        </w:rPr>
        <w:sym w:font="Wingdings" w:char="F0E0"/>
      </w:r>
      <w:r w:rsidRPr="00AD081E">
        <w:rPr>
          <w:b/>
        </w:rPr>
        <w:t xml:space="preserve"> </w:t>
      </w:r>
      <w:r w:rsidRPr="00AD081E">
        <w:rPr>
          <w:rFonts w:eastAsia="Calibri"/>
          <w:b/>
        </w:rPr>
        <w:t>New</w:t>
      </w:r>
      <w:r w:rsidRPr="00AD081E">
        <w:rPr>
          <w:rFonts w:eastAsia="Calibri"/>
        </w:rPr>
        <w:t xml:space="preserve"> from the menu.</w:t>
      </w:r>
    </w:p>
    <w:p w14:paraId="786A5B3A" w14:textId="77777777" w:rsidR="00AD081E" w:rsidRPr="00AD081E" w:rsidRDefault="00AD081E" w:rsidP="00AD081E">
      <w:pPr>
        <w:rPr>
          <w:rFonts w:eastAsia="Calibri"/>
        </w:rPr>
      </w:pPr>
      <w:r w:rsidRPr="00AD081E">
        <w:rPr>
          <w:rFonts w:eastAsia="Calibri"/>
          <w:b/>
        </w:rPr>
        <w:t>Drafting DDO</w:t>
      </w:r>
      <w:r w:rsidRPr="00AD081E">
        <w:rPr>
          <w:rFonts w:eastAsia="Calibri"/>
          <w:b/>
        </w:rPr>
        <w:br/>
      </w:r>
      <w:r w:rsidRPr="00AD081E">
        <w:rPr>
          <w:rFonts w:eastAsia="Calibri"/>
        </w:rPr>
        <w:t xml:space="preserve">Enter something recognizable in the </w:t>
      </w:r>
      <w:r w:rsidRPr="00AD081E">
        <w:rPr>
          <w:rFonts w:eastAsia="Calibri"/>
          <w:b/>
        </w:rPr>
        <w:t>Objective</w:t>
      </w:r>
      <w:r w:rsidRPr="00AD081E">
        <w:rPr>
          <w:rFonts w:eastAsia="Calibri"/>
        </w:rPr>
        <w:t xml:space="preserve"> field, such as </w:t>
      </w:r>
      <w:r w:rsidRPr="00AD081E">
        <w:rPr>
          <w:rFonts w:eastAsia="Calibri"/>
          <w:b/>
        </w:rPr>
        <w:t xml:space="preserve">Self-texting test </w:t>
      </w:r>
      <w:r w:rsidRPr="00AD081E">
        <w:rPr>
          <w:rFonts w:eastAsia="Calibri"/>
        </w:rPr>
        <w:t xml:space="preserve">(optional). Click on the </w:t>
      </w:r>
      <w:r w:rsidRPr="00AD081E">
        <w:rPr>
          <w:rFonts w:eastAsia="Calibri"/>
          <w:b/>
        </w:rPr>
        <w:t>To…</w:t>
      </w:r>
      <w:r w:rsidRPr="00AD081E">
        <w:rPr>
          <w:rFonts w:eastAsia="Calibri"/>
        </w:rPr>
        <w:t xml:space="preserve"> button, double-click your desired node from the Address Book, then click on the </w:t>
      </w:r>
      <w:r w:rsidRPr="00AD081E">
        <w:rPr>
          <w:rFonts w:eastAsia="Calibri"/>
          <w:b/>
        </w:rPr>
        <w:t>OK</w:t>
      </w:r>
      <w:r w:rsidRPr="00AD081E">
        <w:rPr>
          <w:rFonts w:eastAsia="Calibri"/>
        </w:rPr>
        <w:t xml:space="preserve"> button.</w:t>
      </w:r>
    </w:p>
    <w:p w14:paraId="233AB602" w14:textId="77777777" w:rsidR="00AD081E" w:rsidRPr="00AD081E" w:rsidRDefault="00AD081E" w:rsidP="00AD081E">
      <w:pPr>
        <w:rPr>
          <w:rFonts w:eastAsia="Calibri"/>
          <w:b/>
        </w:rPr>
      </w:pPr>
      <w:r w:rsidRPr="00AD081E">
        <w:rPr>
          <w:rFonts w:eastAsia="Calibri"/>
        </w:rPr>
        <w:t xml:space="preserve">Add the appropriate data items to be transmitted from the </w:t>
      </w:r>
      <w:r w:rsidRPr="00AD081E">
        <w:rPr>
          <w:rFonts w:eastAsia="Calibri"/>
          <w:b/>
          <w:i/>
        </w:rPr>
        <w:t>Data</w:t>
      </w:r>
      <w:r w:rsidRPr="00AD081E">
        <w:rPr>
          <w:rFonts w:eastAsia="Calibri"/>
        </w:rPr>
        <w:t xml:space="preserve"> tab at the bottom of the window (i.e., Missions, DSMACs, TERCOMs, etc.). It is suggested to select small data items, such as an ACMS to test DDO communications. Right-click in the white area of the DDO Template and select </w:t>
      </w:r>
      <w:r w:rsidRPr="00AD081E">
        <w:rPr>
          <w:rFonts w:eastAsia="Calibri"/>
          <w:b/>
        </w:rPr>
        <w:t>Add…</w:t>
      </w:r>
      <w:r w:rsidRPr="00AD081E">
        <w:rPr>
          <w:rFonts w:eastAsia="Calibri"/>
        </w:rPr>
        <w:t xml:space="preserve">. A selection window specific to the tool that is selected is displayed. Select the desired data item(s) and click </w:t>
      </w:r>
      <w:r w:rsidRPr="00AD081E">
        <w:rPr>
          <w:rFonts w:eastAsia="Calibri"/>
          <w:b/>
        </w:rPr>
        <w:t>OK.</w:t>
      </w:r>
    </w:p>
    <w:p w14:paraId="1E6540F9" w14:textId="77777777" w:rsidR="00AD081E" w:rsidRPr="00AD081E" w:rsidRDefault="00AD081E" w:rsidP="00AD081E">
      <w:r w:rsidRPr="00AD081E">
        <w:rPr>
          <w:rFonts w:eastAsia="Calibri"/>
          <w:b/>
        </w:rPr>
        <w:t>Sending</w:t>
      </w:r>
      <w:r w:rsidRPr="00AD081E">
        <w:rPr>
          <w:rFonts w:eastAsia="Calibri"/>
          <w:b/>
        </w:rPr>
        <w:br/>
      </w:r>
      <w:r w:rsidRPr="00AD081E">
        <w:t xml:space="preserve">From the </w:t>
      </w:r>
      <w:r w:rsidRPr="00AD081E">
        <w:rPr>
          <w:b/>
        </w:rPr>
        <w:t>File</w:t>
      </w:r>
      <w:r w:rsidRPr="00AD081E">
        <w:t xml:space="preserve"> menu select </w:t>
      </w:r>
      <w:r w:rsidRPr="00AD081E">
        <w:rPr>
          <w:b/>
        </w:rPr>
        <w:t>Send</w:t>
      </w:r>
      <w:r w:rsidRPr="00AD081E">
        <w:t xml:space="preserve"> or click the </w:t>
      </w:r>
      <w:r w:rsidRPr="00AD081E">
        <w:rPr>
          <w:b/>
        </w:rPr>
        <w:t>Send</w:t>
      </w:r>
      <w:r w:rsidRPr="00AD081E">
        <w:t xml:space="preserve"> </w:t>
      </w:r>
      <w:r w:rsidRPr="00AD081E">
        <w:rPr>
          <w:noProof/>
        </w:rPr>
        <w:drawing>
          <wp:inline distT="0" distB="0" distL="0" distR="0" wp14:anchorId="16A11F7D" wp14:editId="3E41AD2A">
            <wp:extent cx="152400" cy="152400"/>
            <wp:effectExtent l="0" t="0" r="0" b="0"/>
            <wp:docPr id="1023" name="Picture 1023" descr="Descripti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escription: Send"/>
                    <pic:cNvPicPr>
                      <a:picLocks noChangeAspect="1" noChangeArrowheads="1"/>
                    </pic:cNvPicPr>
                  </pic:nvPicPr>
                  <pic:blipFill>
                    <a:blip>
                      <a:extLst>
                        <a:ext uri="{28A0092B-C50C-407E-A947-70E740481C1C}">
                          <a14:useLocalDpi xmlns:a14="http://schemas.microsoft.com/office/drawing/2010/main"/>
                        </a:ext>
                      </a:extLst>
                    </a:blip>
                    <a:srcRect/>
                    <a:stretch>
                      <a:fillRect/>
                    </a:stretch>
                  </pic:blipFill>
                  <pic:spPr bwMode="auto">
                    <a:xfrm>
                      <a:off x="0" y="0"/>
                      <a:ext cx="152400" cy="152400"/>
                    </a:xfrm>
                    <a:prstGeom prst="rect">
                      <a:avLst/>
                    </a:prstGeom>
                    <a:noFill/>
                    <a:ln>
                      <a:noFill/>
                    </a:ln>
                  </pic:spPr>
                </pic:pic>
              </a:graphicData>
            </a:graphic>
          </wp:inline>
        </w:drawing>
      </w:r>
      <w:r w:rsidRPr="00AD081E">
        <w:t xml:space="preserve"> icon on the toolbar.</w:t>
      </w:r>
    </w:p>
    <w:p w14:paraId="2D7A468F" w14:textId="77777777" w:rsidR="00AD081E" w:rsidRPr="00AD081E" w:rsidRDefault="00AD081E" w:rsidP="00AD081E">
      <w:r w:rsidRPr="00AD081E">
        <w:rPr>
          <w:b/>
        </w:rPr>
        <w:t>Received DDO</w:t>
      </w:r>
      <w:r w:rsidRPr="00AD081E">
        <w:br/>
      </w:r>
      <w:r w:rsidRPr="00AD081E">
        <w:rPr>
          <w:rFonts w:eastAsia="Calibri"/>
        </w:rPr>
        <w:t xml:space="preserve">From the </w:t>
      </w:r>
      <w:r w:rsidRPr="00AD081E">
        <w:rPr>
          <w:rFonts w:eastAsia="Calibri"/>
          <w:b/>
        </w:rPr>
        <w:t>Go</w:t>
      </w:r>
      <w:r w:rsidRPr="00AD081E">
        <w:rPr>
          <w:rFonts w:eastAsia="Calibri"/>
        </w:rPr>
        <w:t xml:space="preserve"> menu, select </w:t>
      </w:r>
      <w:r w:rsidRPr="00AD081E">
        <w:rPr>
          <w:rFonts w:eastAsia="Calibri"/>
          <w:b/>
        </w:rPr>
        <w:t>Go</w:t>
      </w:r>
      <w:r w:rsidRPr="00AD081E">
        <w:rPr>
          <w:b/>
        </w:rPr>
        <w:t xml:space="preserve"> </w:t>
      </w:r>
      <w:r w:rsidRPr="00AD081E">
        <w:rPr>
          <w:b/>
        </w:rPr>
        <w:sym w:font="Wingdings" w:char="F0E0"/>
      </w:r>
      <w:r w:rsidRPr="00AD081E">
        <w:rPr>
          <w:b/>
        </w:rPr>
        <w:t xml:space="preserve"> </w:t>
      </w:r>
      <w:r w:rsidRPr="00AD081E">
        <w:rPr>
          <w:rFonts w:eastAsia="Calibri"/>
          <w:b/>
        </w:rPr>
        <w:t>Incoming DDOs</w:t>
      </w:r>
      <w:r w:rsidRPr="00AD081E">
        <w:rPr>
          <w:rFonts w:eastAsia="Calibri"/>
        </w:rPr>
        <w:t xml:space="preserve">. </w:t>
      </w:r>
    </w:p>
    <w:p w14:paraId="46F194F8" w14:textId="77777777" w:rsidR="00AD081E" w:rsidRPr="00AD081E" w:rsidRDefault="00AD081E" w:rsidP="00AD081E">
      <w:pPr>
        <w:rPr>
          <w:rFonts w:eastAsia="Calibri"/>
        </w:rPr>
      </w:pPr>
      <w:r w:rsidRPr="00AD081E">
        <w:rPr>
          <w:rFonts w:eastAsia="Calibri"/>
        </w:rPr>
        <w:t xml:space="preserve">If HTTPS configuration was successful, your message objective will be shown in the </w:t>
      </w:r>
      <w:r w:rsidRPr="00AD081E">
        <w:rPr>
          <w:rFonts w:eastAsia="Calibri"/>
          <w:b/>
        </w:rPr>
        <w:t>Incoming DDOs</w:t>
      </w:r>
      <w:r w:rsidRPr="00AD081E">
        <w:rPr>
          <w:rFonts w:eastAsia="Calibri"/>
        </w:rPr>
        <w:t xml:space="preserve"> list.</w:t>
      </w:r>
    </w:p>
    <w:p w14:paraId="3CECD0B3" w14:textId="77777777" w:rsidR="00AD081E" w:rsidRPr="00AD081E" w:rsidRDefault="00AD081E" w:rsidP="00AD081E"/>
    <w:p w14:paraId="1B133D83" w14:textId="77777777" w:rsidR="00A316EA" w:rsidRDefault="00A316EA" w:rsidP="00AD081E">
      <w:pPr>
        <w:numPr>
          <w:ilvl w:val="8"/>
          <w:numId w:val="0"/>
        </w:numPr>
        <w:spacing w:after="0" w:line="240" w:lineRule="auto"/>
        <w:ind w:left="360" w:hanging="360"/>
        <w:outlineLvl w:val="8"/>
        <w:rPr>
          <w:rFonts w:ascii="Arial" w:hAnsi="Arial"/>
          <w:vanish/>
          <w:sz w:val="18"/>
          <w:szCs w:val="18"/>
        </w:rPr>
      </w:pPr>
      <w:r>
        <w:br w:type="page"/>
      </w:r>
    </w:p>
    <w:p w14:paraId="02DD82FF" w14:textId="77777777" w:rsidR="00AD081E" w:rsidRPr="00AD081E" w:rsidRDefault="00AD081E" w:rsidP="003604C5">
      <w:pPr>
        <w:pStyle w:val="Appendix"/>
      </w:pPr>
      <w:bookmarkStart w:id="8327" w:name="Appendix_TSRT_MSTM_Model_Details"/>
      <w:bookmarkEnd w:id="8327"/>
      <w:r w:rsidRPr="00AD081E">
        <w:br/>
      </w:r>
      <w:bookmarkStart w:id="8328" w:name="_Toc214283774"/>
      <w:r w:rsidRPr="00AD081E">
        <w:t xml:space="preserve">TSRT MSTM </w:t>
      </w:r>
      <w:r w:rsidRPr="0029677C">
        <w:t>MODEL</w:t>
      </w:r>
      <w:r w:rsidRPr="00AD081E">
        <w:t xml:space="preserve"> DETAILS</w:t>
      </w:r>
      <w:bookmarkEnd w:id="8328"/>
    </w:p>
    <w:p w14:paraId="06F71FFF" w14:textId="682A112E" w:rsidR="00AD081E" w:rsidRPr="00AD081E" w:rsidRDefault="00AD081E" w:rsidP="00AD081E">
      <w:r w:rsidRPr="00AD081E">
        <w:t xml:space="preserve">This appendix is classified and published under separate cover. Reference </w:t>
      </w:r>
      <w:r w:rsidRPr="00AD081E">
        <w:rPr>
          <w:i/>
          <w:iCs/>
        </w:rPr>
        <w:t>SD</w:t>
      </w:r>
      <w:r w:rsidR="004C17D9">
        <w:rPr>
          <w:i/>
          <w:iCs/>
        </w:rPr>
        <w:t>-</w:t>
      </w:r>
      <w:r w:rsidR="00624EE7">
        <w:rPr>
          <w:i/>
          <w:iCs/>
        </w:rPr>
        <w:t>00345</w:t>
      </w:r>
      <w:r w:rsidRPr="00AD081E">
        <w:rPr>
          <w:i/>
          <w:iCs/>
        </w:rPr>
        <w:t>, Software User’s Manual (SUM) for MDS Version</w:t>
      </w:r>
      <w:r w:rsidR="004C17D9">
        <w:rPr>
          <w:i/>
          <w:iCs/>
        </w:rPr>
        <w:t xml:space="preserve"> 8</w:t>
      </w:r>
      <w:r w:rsidRPr="00AD081E">
        <w:rPr>
          <w:i/>
          <w:iCs/>
        </w:rPr>
        <w:t>.0, Appendix S: TSRT MSTM Model Details</w:t>
      </w:r>
      <w:r w:rsidRPr="00AD081E">
        <w:t>.</w:t>
      </w:r>
    </w:p>
    <w:p w14:paraId="51932552" w14:textId="77777777" w:rsidR="00AD081E" w:rsidRPr="00AD081E" w:rsidRDefault="00AD081E" w:rsidP="00AD081E"/>
    <w:p w14:paraId="4C2B98AA" w14:textId="77777777" w:rsidR="00A316EA" w:rsidRDefault="00A316EA" w:rsidP="00AD081E">
      <w:r>
        <w:br w:type="page"/>
      </w:r>
    </w:p>
    <w:p w14:paraId="4FC94BC1" w14:textId="7037FB7D" w:rsidR="00520EA5" w:rsidRDefault="00520EA5" w:rsidP="003604C5">
      <w:pPr>
        <w:pStyle w:val="Appendix"/>
      </w:pPr>
      <w:bookmarkStart w:id="8329" w:name="Appendix_T"/>
      <w:bookmarkEnd w:id="8329"/>
      <w:r>
        <w:lastRenderedPageBreak/>
        <w:br/>
      </w:r>
      <w:bookmarkStart w:id="8330" w:name="_Toc214283775"/>
      <w:r>
        <w:t>PULL DISTRIBUTION PROCEDURE</w:t>
      </w:r>
      <w:bookmarkEnd w:id="8330"/>
    </w:p>
    <w:p w14:paraId="786C1B5A" w14:textId="5E2A9664" w:rsidR="00520EA5" w:rsidRDefault="00520EA5" w:rsidP="00520EA5">
      <w:r>
        <w:t xml:space="preserve">The objective of Appendix </w:t>
      </w:r>
      <w:r w:rsidR="00762520">
        <w:t xml:space="preserve">T </w:t>
      </w:r>
      <w:r>
        <w:t>is to send and receive a DDO utilizing Pull Distribution capabilities.</w:t>
      </w:r>
    </w:p>
    <w:p w14:paraId="66624FA4" w14:textId="5DDD6DB5" w:rsidR="00520EA5" w:rsidRDefault="00520EA5" w:rsidP="00520EA5">
      <w:r>
        <w:t xml:space="preserve">This section will provide steps for utilizing Pull Distribution in two parts. First will be the steps required for the sending node. Second will be the steps required for the receiving node. This will be a compilation of the steps from </w:t>
      </w:r>
      <w:hyperlink w:anchor="_DDO_TEMPLATES_TOOL" w:history="1">
        <w:r w:rsidRPr="00762520">
          <w:rPr>
            <w:rStyle w:val="Hyperlink"/>
          </w:rPr>
          <w:t xml:space="preserve">Section </w:t>
        </w:r>
        <w:r w:rsidR="004231CC">
          <w:rPr>
            <w:rStyle w:val="Hyperlink"/>
          </w:rPr>
          <w:t>5.16</w:t>
        </w:r>
      </w:hyperlink>
      <w:r>
        <w:t xml:space="preserve"> for the sending node and from </w:t>
      </w:r>
      <w:hyperlink w:anchor="_5.23__COORDINATION_TEMPLATE_TOOL" w:history="1">
        <w:r w:rsidRPr="00762520">
          <w:rPr>
            <w:rStyle w:val="Hyperlink"/>
          </w:rPr>
          <w:t xml:space="preserve">Section </w:t>
        </w:r>
        <w:r w:rsidR="004231CC">
          <w:rPr>
            <w:rStyle w:val="Hyperlink"/>
          </w:rPr>
          <w:t>5.19</w:t>
        </w:r>
      </w:hyperlink>
      <w:r>
        <w:t xml:space="preserve"> for the receiving node.</w:t>
      </w:r>
    </w:p>
    <w:p w14:paraId="649641D5" w14:textId="1E061CB3" w:rsidR="00520EA5" w:rsidRDefault="00520EA5" w:rsidP="00520EA5">
      <w:r>
        <w:t xml:space="preserve">For more information about detailed tool/menu functionality and task methodology, see </w:t>
      </w:r>
      <w:hyperlink w:anchor="_DDO_TEMPLATES_TOOL" w:history="1">
        <w:r w:rsidR="00762520" w:rsidRPr="00762520">
          <w:rPr>
            <w:rStyle w:val="Hyperlink"/>
          </w:rPr>
          <w:t xml:space="preserve">Section </w:t>
        </w:r>
        <w:r w:rsidR="004231CC">
          <w:rPr>
            <w:rStyle w:val="Hyperlink"/>
          </w:rPr>
          <w:t>5.16</w:t>
        </w:r>
      </w:hyperlink>
      <w:r w:rsidR="00762520">
        <w:t xml:space="preserve"> and </w:t>
      </w:r>
      <w:hyperlink w:anchor="_5.23__COORDINATION_TEMPLATE_TOOL" w:history="1">
        <w:r w:rsidR="00762520" w:rsidRPr="00762520">
          <w:rPr>
            <w:rStyle w:val="Hyperlink"/>
          </w:rPr>
          <w:t xml:space="preserve">Section </w:t>
        </w:r>
        <w:r w:rsidR="004231CC">
          <w:rPr>
            <w:rStyle w:val="Hyperlink"/>
          </w:rPr>
          <w:t>5.19</w:t>
        </w:r>
      </w:hyperlink>
      <w:r>
        <w:t>.</w:t>
      </w:r>
    </w:p>
    <w:p w14:paraId="231E5C31" w14:textId="51C775D2" w:rsidR="00520EA5" w:rsidRDefault="00BE17E5" w:rsidP="00912CE8">
      <w:pPr>
        <w:pStyle w:val="Appendix2"/>
      </w:pPr>
      <w:bookmarkStart w:id="8331" w:name="_Toc214283776"/>
      <w:r>
        <w:t>PREREQUISITES</w:t>
      </w:r>
      <w:bookmarkEnd w:id="8331"/>
    </w:p>
    <w:p w14:paraId="6B9D6CE1" w14:textId="0B66A541" w:rsidR="00520EA5" w:rsidRPr="00B17338" w:rsidRDefault="00BE17E5" w:rsidP="006D5A65">
      <w:pPr>
        <w:pStyle w:val="Heading3"/>
      </w:pPr>
      <w:r w:rsidRPr="00B17338">
        <w:t>At least 2 TED Nodes with TMPC TED Version 7.0.0 or higher.</w:t>
      </w:r>
    </w:p>
    <w:p w14:paraId="497D64F1" w14:textId="77777777" w:rsidR="00363590" w:rsidRPr="00B17338" w:rsidRDefault="00BE17E5" w:rsidP="006D5A65">
      <w:pPr>
        <w:pStyle w:val="Heading3"/>
      </w:pPr>
      <w:r w:rsidRPr="00B17338">
        <w:t>A TCIP LINT Route set up connecting the 2 TED Nodes.</w:t>
      </w:r>
    </w:p>
    <w:p w14:paraId="4CF6F5F1" w14:textId="02E634BF" w:rsidR="00363590" w:rsidRPr="00363590" w:rsidRDefault="00363590" w:rsidP="006D5A65">
      <w:pPr>
        <w:pStyle w:val="Heading3"/>
      </w:pPr>
      <w:r w:rsidRPr="00B17338">
        <w:t xml:space="preserve">On the Sending Node, have the </w:t>
      </w:r>
      <w:r w:rsidRPr="00B17338">
        <w:rPr>
          <w:bCs/>
        </w:rPr>
        <w:t>IP Address</w:t>
      </w:r>
      <w:r w:rsidRPr="00B17338">
        <w:t xml:space="preserve"> field within the Destination Node’s Textual Display properly configured.</w:t>
      </w:r>
    </w:p>
    <w:p w14:paraId="47D2CD9E" w14:textId="5AB8ECEE" w:rsidR="00BE17E5" w:rsidRDefault="00BE17E5" w:rsidP="00912CE8">
      <w:pPr>
        <w:pStyle w:val="Appendix2"/>
      </w:pPr>
      <w:bookmarkStart w:id="8332" w:name="_Toc214283777"/>
      <w:r>
        <w:t>SENDING DDOS UTILIZING PULL DISTRIBUTION</w:t>
      </w:r>
      <w:bookmarkEnd w:id="8332"/>
    </w:p>
    <w:p w14:paraId="072CCEE0" w14:textId="77777777" w:rsidR="00BE17E5" w:rsidRDefault="00BE17E5" w:rsidP="006D5A65">
      <w:pPr>
        <w:pStyle w:val="Heading1"/>
      </w:pPr>
      <w:r w:rsidRPr="00394B80">
        <w:t>Enable Pull Distribution Capabilities from the DDO Templates Preferences</w:t>
      </w:r>
      <w:r>
        <w:t xml:space="preserve"> on the Sending Node.</w:t>
      </w:r>
    </w:p>
    <w:p w14:paraId="5D090C77" w14:textId="77777777" w:rsidR="00BE17E5" w:rsidRDefault="00BE17E5" w:rsidP="006D5A65">
      <w:pPr>
        <w:pStyle w:val="Heading2"/>
      </w:pPr>
      <w:r>
        <w:t>Navigate to the DDO Templates tool.</w:t>
      </w:r>
    </w:p>
    <w:p w14:paraId="3F3007B3" w14:textId="77777777" w:rsidR="00BE17E5" w:rsidRDefault="00BE17E5" w:rsidP="006D5A65">
      <w:pPr>
        <w:pStyle w:val="Heading2"/>
      </w:pPr>
      <w:r>
        <w:t xml:space="preserve">Select View </w:t>
      </w:r>
      <w:r w:rsidRPr="00394B80">
        <w:sym w:font="Wingdings" w:char="F0E0"/>
      </w:r>
      <w:r>
        <w:t xml:space="preserve"> Properties </w:t>
      </w:r>
      <w:r w:rsidRPr="00394B80">
        <w:sym w:font="Wingdings" w:char="F0E0"/>
      </w:r>
      <w:r>
        <w:t xml:space="preserve"> Pull Distribution…</w:t>
      </w:r>
    </w:p>
    <w:p w14:paraId="30A42908" w14:textId="77777777" w:rsidR="00BE17E5" w:rsidRDefault="00BE17E5" w:rsidP="006D5A65">
      <w:pPr>
        <w:pStyle w:val="Heading2"/>
      </w:pPr>
      <w:r>
        <w:t xml:space="preserve">Ensure that the </w:t>
      </w:r>
      <w:r>
        <w:rPr>
          <w:bCs/>
        </w:rPr>
        <w:t>Enable Pull Distribution Capabilities</w:t>
      </w:r>
      <w:r>
        <w:t xml:space="preserve"> checkbox is enabled.</w:t>
      </w:r>
    </w:p>
    <w:p w14:paraId="24C6EAEE" w14:textId="77777777" w:rsidR="00BE17E5" w:rsidRPr="001B4B6B" w:rsidRDefault="00BE17E5" w:rsidP="00B17338">
      <w:pPr>
        <w:spacing w:before="120"/>
        <w:jc w:val="center"/>
        <w:rPr>
          <w:szCs w:val="24"/>
        </w:rPr>
      </w:pPr>
      <w:r>
        <w:rPr>
          <w:noProof/>
          <w:szCs w:val="24"/>
        </w:rPr>
        <w:drawing>
          <wp:inline distT="0" distB="0" distL="0" distR="0" wp14:anchorId="4423F5BD" wp14:editId="23CBB80D">
            <wp:extent cx="3798253" cy="1501140"/>
            <wp:effectExtent l="0" t="0" r="0" b="3810"/>
            <wp:docPr id="1134644878"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44878" name="Picture 2" descr="Graphical user interface, application&#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3900980" cy="1541739"/>
                    </a:xfrm>
                    <a:prstGeom prst="rect">
                      <a:avLst/>
                    </a:prstGeom>
                    <a:noFill/>
                  </pic:spPr>
                </pic:pic>
              </a:graphicData>
            </a:graphic>
          </wp:inline>
        </w:drawing>
      </w:r>
    </w:p>
    <w:p w14:paraId="7E2F69D3" w14:textId="54611C49" w:rsidR="00BE17E5" w:rsidRDefault="00BE17E5" w:rsidP="006D5A65">
      <w:pPr>
        <w:pStyle w:val="Heading1"/>
      </w:pPr>
      <w:r>
        <w:t xml:space="preserve">Create a Comms DDO Template with at least one data item and addressed to one of the connected TED Nodes (See </w:t>
      </w:r>
      <w:hyperlink w:anchor="_5.21.2.1__Create" w:history="1">
        <w:r w:rsidRPr="00092CBE">
          <w:rPr>
            <w:rStyle w:val="Hyperlink"/>
            <w:rFonts w:ascii="Times New Roman" w:hAnsi="Times New Roman"/>
            <w:szCs w:val="24"/>
          </w:rPr>
          <w:t xml:space="preserve">Section </w:t>
        </w:r>
        <w:r w:rsidR="004231CC">
          <w:rPr>
            <w:rStyle w:val="Hyperlink"/>
            <w:rFonts w:ascii="Times New Roman" w:hAnsi="Times New Roman"/>
            <w:szCs w:val="24"/>
          </w:rPr>
          <w:lastRenderedPageBreak/>
          <w:t>5.16</w:t>
        </w:r>
        <w:r w:rsidRPr="00092CBE">
          <w:rPr>
            <w:rStyle w:val="Hyperlink"/>
            <w:rFonts w:ascii="Times New Roman" w:hAnsi="Times New Roman"/>
            <w:szCs w:val="24"/>
          </w:rPr>
          <w:t>.3.1</w:t>
        </w:r>
      </w:hyperlink>
      <w:r>
        <w:t xml:space="preserve"> for detailed instructions on creating a Comms DDO Template).</w:t>
      </w:r>
    </w:p>
    <w:p w14:paraId="7BFBBAC9" w14:textId="77777777" w:rsidR="00BE17E5" w:rsidRPr="00AA1F8A" w:rsidRDefault="00BE17E5" w:rsidP="006D5A65">
      <w:pPr>
        <w:pStyle w:val="Heading1"/>
      </w:pPr>
      <w:r>
        <w:t>Simulate the Destination Node being disconnected from the TCIP LINT Network, then send the DDO.</w:t>
      </w:r>
    </w:p>
    <w:p w14:paraId="0339AA08" w14:textId="77777777" w:rsidR="00BE17E5" w:rsidRPr="000665B0" w:rsidRDefault="00BE17E5" w:rsidP="00E4284B">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563CB5DE" w14:textId="77777777" w:rsidR="00BE17E5" w:rsidRDefault="00BE17E5" w:rsidP="00B17338">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Pr>
          <w:b/>
          <w:szCs w:val="24"/>
        </w:rPr>
        <w:t>Enabling the “Force Pull Mode” checkbox under the Comms Information section in the Comms DDO Template before sending is an alternative method to distribute the DDO via Pull Distribution. It will achieve the same result as performing steps 1-3.</w:t>
      </w:r>
    </w:p>
    <w:p w14:paraId="7219F1FF" w14:textId="77777777" w:rsidR="00BE17E5" w:rsidRPr="006327B6" w:rsidRDefault="00BE17E5" w:rsidP="00B17338">
      <w:pPr>
        <w:keepNext/>
        <w:keepLines/>
        <w:pBdr>
          <w:top w:val="single" w:sz="12" w:space="1" w:color="auto"/>
          <w:left w:val="single" w:sz="12" w:space="4" w:color="auto"/>
          <w:bottom w:val="single" w:sz="12" w:space="1" w:color="auto"/>
          <w:right w:val="single" w:sz="12" w:space="4" w:color="auto"/>
        </w:pBdr>
        <w:shd w:val="clear" w:color="auto" w:fill="D9D9D9"/>
        <w:spacing w:before="120"/>
        <w:jc w:val="center"/>
        <w:rPr>
          <w:b/>
          <w:szCs w:val="24"/>
        </w:rPr>
      </w:pPr>
      <w:r w:rsidRPr="001240D0">
        <w:rPr>
          <w:b/>
          <w:noProof/>
          <w:szCs w:val="24"/>
        </w:rPr>
        <w:drawing>
          <wp:inline distT="0" distB="0" distL="0" distR="0" wp14:anchorId="6CF5B674" wp14:editId="70E0B1FC">
            <wp:extent cx="3878580" cy="556924"/>
            <wp:effectExtent l="0" t="0" r="0" b="0"/>
            <wp:docPr id="40151492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14921" name="Picture 1" descr="Graphical user interface&#10;&#10;Description automatically generated with medium confidence"/>
                    <pic:cNvPicPr/>
                  </pic:nvPicPr>
                  <pic:blipFill>
                    <a:blip/>
                    <a:stretch>
                      <a:fillRect/>
                    </a:stretch>
                  </pic:blipFill>
                  <pic:spPr>
                    <a:xfrm>
                      <a:off x="0" y="0"/>
                      <a:ext cx="4019231" cy="577120"/>
                    </a:xfrm>
                    <a:prstGeom prst="rect">
                      <a:avLst/>
                    </a:prstGeom>
                  </pic:spPr>
                </pic:pic>
              </a:graphicData>
            </a:graphic>
          </wp:inline>
        </w:drawing>
      </w:r>
    </w:p>
    <w:p w14:paraId="6865A724" w14:textId="77777777" w:rsidR="00BE17E5" w:rsidRDefault="00BE17E5" w:rsidP="006D5A65">
      <w:pPr>
        <w:pStyle w:val="Heading1"/>
      </w:pPr>
      <w:r w:rsidRPr="003079EE">
        <w:t>In the Process DDO Template window</w:t>
      </w:r>
      <w:r>
        <w:t xml:space="preserve">, the status of the DDO should read “Priority Selection”. Invoke the context menu on the DDO to </w:t>
      </w:r>
      <w:r>
        <w:rPr>
          <w:bCs/>
        </w:rPr>
        <w:t>Set Priority</w:t>
      </w:r>
      <w:r>
        <w:t xml:space="preserve"> to either </w:t>
      </w:r>
      <w:r>
        <w:rPr>
          <w:bCs/>
        </w:rPr>
        <w:t>High</w:t>
      </w:r>
      <w:r>
        <w:t xml:space="preserve"> or </w:t>
      </w:r>
      <w:r>
        <w:rPr>
          <w:bCs/>
        </w:rPr>
        <w:t>Low</w:t>
      </w:r>
      <w:r>
        <w:t>. This priority has no impact on functionality but is rather an informational indicator for decision making for the receiving end user.</w:t>
      </w:r>
    </w:p>
    <w:p w14:paraId="1EC9F250" w14:textId="77777777" w:rsidR="00BE17E5" w:rsidRDefault="00BE17E5" w:rsidP="00B17338">
      <w:pPr>
        <w:spacing w:before="120"/>
        <w:jc w:val="center"/>
        <w:rPr>
          <w:szCs w:val="24"/>
        </w:rPr>
      </w:pPr>
      <w:r w:rsidRPr="001B4B6B">
        <w:rPr>
          <w:noProof/>
          <w:szCs w:val="24"/>
        </w:rPr>
        <w:drawing>
          <wp:inline distT="0" distB="0" distL="0" distR="0" wp14:anchorId="346FB382" wp14:editId="3C465EB0">
            <wp:extent cx="4000500" cy="3423078"/>
            <wp:effectExtent l="0" t="0" r="0" b="6350"/>
            <wp:docPr id="707514928" name="Picture 1"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14928" name="Picture 1" descr="Graphical user interface, table&#10;&#10;Description automatically generated with medium confidence"/>
                    <pic:cNvPicPr/>
                  </pic:nvPicPr>
                  <pic:blipFill>
                    <a:blip/>
                    <a:stretch>
                      <a:fillRect/>
                    </a:stretch>
                  </pic:blipFill>
                  <pic:spPr>
                    <a:xfrm>
                      <a:off x="0" y="0"/>
                      <a:ext cx="4027276" cy="3445989"/>
                    </a:xfrm>
                    <a:prstGeom prst="rect">
                      <a:avLst/>
                    </a:prstGeom>
                  </pic:spPr>
                </pic:pic>
              </a:graphicData>
            </a:graphic>
          </wp:inline>
        </w:drawing>
      </w:r>
    </w:p>
    <w:p w14:paraId="44619F8F" w14:textId="77777777" w:rsidR="00BE17E5" w:rsidRPr="00042E01" w:rsidRDefault="00BE17E5" w:rsidP="006D5A65">
      <w:pPr>
        <w:pStyle w:val="Heading1"/>
      </w:pPr>
      <w:r w:rsidRPr="00042E01">
        <w:t xml:space="preserve">Click </w:t>
      </w:r>
      <w:r w:rsidRPr="00042E01">
        <w:rPr>
          <w:bCs/>
        </w:rPr>
        <w:t>Approve</w:t>
      </w:r>
      <w:r w:rsidRPr="00042E01">
        <w:t xml:space="preserve"> once the status of the DDO reads “Ready To Send”.</w:t>
      </w:r>
      <w:r>
        <w:t xml:space="preserve"> The DDO should indicate that the pull is pending via an “X” attribute in the </w:t>
      </w:r>
      <w:r>
        <w:rPr>
          <w:bCs/>
        </w:rPr>
        <w:t>Pending Pull</w:t>
      </w:r>
      <w:r>
        <w:t xml:space="preserve"> column in the Confirmation window.</w:t>
      </w:r>
    </w:p>
    <w:p w14:paraId="70330923" w14:textId="564095E1" w:rsidR="00BE17E5" w:rsidRDefault="00BE17E5" w:rsidP="00912CE8">
      <w:pPr>
        <w:pStyle w:val="Appendix2"/>
      </w:pPr>
      <w:bookmarkStart w:id="8333" w:name="_Toc214283778"/>
      <w:r>
        <w:t>RECEIVING DDOS UTILIZING PULL DISTRIBUTION</w:t>
      </w:r>
      <w:bookmarkEnd w:id="8333"/>
    </w:p>
    <w:p w14:paraId="70F27BE6" w14:textId="77777777" w:rsidR="00BE17E5" w:rsidRDefault="00BE17E5" w:rsidP="006D5A65">
      <w:pPr>
        <w:pStyle w:val="Heading1"/>
      </w:pPr>
      <w:r>
        <w:lastRenderedPageBreak/>
        <w:t>Simulate</w:t>
      </w:r>
      <w:r w:rsidRPr="00D8264E">
        <w:t xml:space="preserve"> the Destination Node </w:t>
      </w:r>
      <w:r>
        <w:t>reconnecting to the TCIP LINT Network</w:t>
      </w:r>
      <w:r w:rsidRPr="00D8264E">
        <w:t>.</w:t>
      </w:r>
    </w:p>
    <w:p w14:paraId="21880DE2" w14:textId="77777777" w:rsidR="00BE17E5" w:rsidRDefault="00BE17E5" w:rsidP="006D5A65">
      <w:pPr>
        <w:pStyle w:val="Heading1"/>
      </w:pPr>
      <w:r>
        <w:t xml:space="preserve">Navigate to the </w:t>
      </w:r>
      <w:r>
        <w:rPr>
          <w:bCs/>
        </w:rPr>
        <w:t>Pull Distribution</w:t>
      </w:r>
      <w:r>
        <w:t xml:space="preserve"> tool.</w:t>
      </w:r>
    </w:p>
    <w:p w14:paraId="7B895D28" w14:textId="77777777" w:rsidR="00BE17E5" w:rsidRDefault="00BE17E5" w:rsidP="006D5A65">
      <w:pPr>
        <w:pStyle w:val="Heading1"/>
      </w:pPr>
      <w:r>
        <w:t>On the toolbar, select the Source Node from the dropdown box. The top of the Pull Distribution Query List View should read “Pull Distribution -- [Node Name]” where [Node Name] is the name of the Source Node selected from the dropdown menu.</w:t>
      </w:r>
    </w:p>
    <w:p w14:paraId="5FC7C15D" w14:textId="77777777" w:rsidR="00BE17E5" w:rsidRDefault="00BE17E5" w:rsidP="006D5A65">
      <w:pPr>
        <w:pStyle w:val="Heading1"/>
      </w:pPr>
      <w:r>
        <w:t xml:space="preserve">On the toolbar, click on the </w:t>
      </w:r>
      <w:r w:rsidRPr="00BB2A42">
        <w:rPr>
          <w:bCs/>
        </w:rPr>
        <w:t>Query Node for missing Available DDOs</w:t>
      </w:r>
      <w:r>
        <w:t xml:space="preserve"> icon </w:t>
      </w:r>
      <w:r w:rsidRPr="00BB2A42">
        <w:rPr>
          <w:noProof/>
        </w:rPr>
        <w:drawing>
          <wp:inline distT="0" distB="0" distL="0" distR="0" wp14:anchorId="72AB6552" wp14:editId="345ADD65">
            <wp:extent cx="180474" cy="180474"/>
            <wp:effectExtent l="0" t="0" r="0" b="0"/>
            <wp:docPr id="86098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87980" name=""/>
                    <pic:cNvPicPr/>
                  </pic:nvPicPr>
                  <pic:blipFill>
                    <a:blip/>
                    <a:stretch>
                      <a:fillRect/>
                    </a:stretch>
                  </pic:blipFill>
                  <pic:spPr>
                    <a:xfrm>
                      <a:off x="0" y="0"/>
                      <a:ext cx="183301" cy="183301"/>
                    </a:xfrm>
                    <a:prstGeom prst="rect">
                      <a:avLst/>
                    </a:prstGeom>
                  </pic:spPr>
                </pic:pic>
              </a:graphicData>
            </a:graphic>
          </wp:inline>
        </w:drawing>
      </w:r>
      <w:r>
        <w:t xml:space="preserve">. The top of the Pull Distribution Query List View should read “Pull Distribution -- [Node Name] (Waiting for Reply)” until the incoming DDOs are populated in the list view. The </w:t>
      </w:r>
      <w:r>
        <w:rPr>
          <w:bCs/>
        </w:rPr>
        <w:t>Query Node for missing Available DDOs</w:t>
      </w:r>
      <w:r>
        <w:t xml:space="preserve"> icon will fill in yellow during this process </w:t>
      </w:r>
      <w:r w:rsidRPr="00296E07">
        <w:rPr>
          <w:noProof/>
        </w:rPr>
        <w:drawing>
          <wp:inline distT="0" distB="0" distL="0" distR="0" wp14:anchorId="1CEC4708" wp14:editId="2F6DC17E">
            <wp:extent cx="172452" cy="140516"/>
            <wp:effectExtent l="0" t="0" r="0" b="0"/>
            <wp:docPr id="193172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27142" name=""/>
                    <pic:cNvPicPr/>
                  </pic:nvPicPr>
                  <pic:blipFill>
                    <a:blip/>
                    <a:stretch>
                      <a:fillRect/>
                    </a:stretch>
                  </pic:blipFill>
                  <pic:spPr>
                    <a:xfrm>
                      <a:off x="0" y="0"/>
                      <a:ext cx="184182" cy="150074"/>
                    </a:xfrm>
                    <a:prstGeom prst="rect">
                      <a:avLst/>
                    </a:prstGeom>
                  </pic:spPr>
                </pic:pic>
              </a:graphicData>
            </a:graphic>
          </wp:inline>
        </w:drawing>
      </w:r>
      <w:r>
        <w:t xml:space="preserve">. </w:t>
      </w:r>
      <w:bookmarkStart w:id="8334" w:name="_Hlk176947453"/>
      <w:r>
        <w:t xml:space="preserve">Once all incoming DDOs are populated, the top of the Pull Distribution Query List View should read “Pull Distribution -- [Node Name] (Request Completed)” and the </w:t>
      </w:r>
      <w:r>
        <w:rPr>
          <w:bCs/>
        </w:rPr>
        <w:t>Query Node for missing Available DDOs</w:t>
      </w:r>
      <w:r>
        <w:t xml:space="preserve"> icon will return to its original color.</w:t>
      </w:r>
      <w:bookmarkEnd w:id="8334"/>
    </w:p>
    <w:p w14:paraId="0D51F41D" w14:textId="77777777" w:rsidR="00BE17E5" w:rsidRDefault="00BE17E5" w:rsidP="00B17338">
      <w:pPr>
        <w:spacing w:before="120"/>
        <w:jc w:val="center"/>
        <w:rPr>
          <w:szCs w:val="24"/>
        </w:rPr>
      </w:pPr>
      <w:r>
        <w:rPr>
          <w:noProof/>
        </w:rPr>
        <w:drawing>
          <wp:inline distT="0" distB="0" distL="0" distR="0" wp14:anchorId="20A4D278" wp14:editId="13CE0FC8">
            <wp:extent cx="5928024" cy="1691640"/>
            <wp:effectExtent l="0" t="0" r="0" b="3810"/>
            <wp:docPr id="200360350"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0350" name="Picture 3" descr="Graphical user interface, text, application&#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951151" cy="1698240"/>
                    </a:xfrm>
                    <a:prstGeom prst="rect">
                      <a:avLst/>
                    </a:prstGeom>
                    <a:noFill/>
                    <a:ln>
                      <a:noFill/>
                    </a:ln>
                  </pic:spPr>
                </pic:pic>
              </a:graphicData>
            </a:graphic>
          </wp:inline>
        </w:drawing>
      </w:r>
    </w:p>
    <w:p w14:paraId="1C0EC285" w14:textId="77777777" w:rsidR="00BE17E5" w:rsidRPr="000665B0" w:rsidRDefault="00BE17E5" w:rsidP="00E4284B">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sidRPr="000665B0">
        <w:rPr>
          <w:b/>
          <w:szCs w:val="24"/>
        </w:rPr>
        <w:t>Note:</w:t>
      </w:r>
    </w:p>
    <w:p w14:paraId="7D4934D1" w14:textId="77777777" w:rsidR="00BE17E5" w:rsidRDefault="00BE17E5" w:rsidP="00B17338">
      <w:pPr>
        <w:keepNext/>
        <w:keepLines/>
        <w:pBdr>
          <w:top w:val="single" w:sz="12" w:space="1" w:color="auto"/>
          <w:left w:val="single" w:sz="12" w:space="4" w:color="auto"/>
          <w:bottom w:val="single" w:sz="12" w:space="1" w:color="auto"/>
          <w:right w:val="single" w:sz="12" w:space="4" w:color="auto"/>
        </w:pBdr>
        <w:shd w:val="clear" w:color="auto" w:fill="D9D9D9"/>
        <w:spacing w:after="0"/>
        <w:jc w:val="center"/>
        <w:rPr>
          <w:b/>
          <w:szCs w:val="24"/>
        </w:rPr>
      </w:pPr>
      <w:r>
        <w:rPr>
          <w:b/>
          <w:szCs w:val="24"/>
        </w:rPr>
        <w:t>Selecting “All” in the dropdown box in the toolbar will not allow the user to query for DDOs. If the user attempts to click on the Query for missing Available DDOs icon will result in the following modal message box to appear and the query will not be executed.</w:t>
      </w:r>
    </w:p>
    <w:p w14:paraId="7C7C2138" w14:textId="77777777" w:rsidR="00BE17E5" w:rsidRPr="001D6588" w:rsidRDefault="00BE17E5" w:rsidP="00B17338">
      <w:pPr>
        <w:keepNext/>
        <w:keepLines/>
        <w:pBdr>
          <w:top w:val="single" w:sz="12" w:space="1" w:color="auto"/>
          <w:left w:val="single" w:sz="12" w:space="4" w:color="auto"/>
          <w:bottom w:val="single" w:sz="12" w:space="1" w:color="auto"/>
          <w:right w:val="single" w:sz="12" w:space="4" w:color="auto"/>
        </w:pBdr>
        <w:shd w:val="clear" w:color="auto" w:fill="D9D9D9"/>
        <w:spacing w:before="120"/>
        <w:jc w:val="center"/>
        <w:rPr>
          <w:b/>
          <w:szCs w:val="24"/>
        </w:rPr>
      </w:pPr>
      <w:r w:rsidRPr="001D6588">
        <w:rPr>
          <w:b/>
          <w:noProof/>
          <w:szCs w:val="24"/>
        </w:rPr>
        <w:drawing>
          <wp:inline distT="0" distB="0" distL="0" distR="0" wp14:anchorId="06C39E1D" wp14:editId="6E9094E9">
            <wp:extent cx="2560320" cy="944584"/>
            <wp:effectExtent l="0" t="0" r="0" b="0"/>
            <wp:docPr id="1212813054"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3054" name="Picture 1" descr="Graphical user interface, text, application&#10;&#10;Description automatically generated"/>
                    <pic:cNvPicPr/>
                  </pic:nvPicPr>
                  <pic:blipFill>
                    <a:blip/>
                    <a:stretch>
                      <a:fillRect/>
                    </a:stretch>
                  </pic:blipFill>
                  <pic:spPr>
                    <a:xfrm>
                      <a:off x="0" y="0"/>
                      <a:ext cx="2570271" cy="948255"/>
                    </a:xfrm>
                    <a:prstGeom prst="rect">
                      <a:avLst/>
                    </a:prstGeom>
                  </pic:spPr>
                </pic:pic>
              </a:graphicData>
            </a:graphic>
          </wp:inline>
        </w:drawing>
      </w:r>
    </w:p>
    <w:p w14:paraId="411365BE" w14:textId="77777777" w:rsidR="00BE17E5" w:rsidRDefault="00BE17E5" w:rsidP="006D5A65">
      <w:pPr>
        <w:pStyle w:val="Heading1"/>
      </w:pPr>
      <w:r>
        <w:t>Once the DDOs have populated the list view, they can be queued for processing manually.</w:t>
      </w:r>
    </w:p>
    <w:p w14:paraId="2033025E" w14:textId="77777777" w:rsidR="00BE17E5" w:rsidRDefault="00BE17E5" w:rsidP="006D5A65">
      <w:pPr>
        <w:pStyle w:val="Heading2"/>
      </w:pPr>
      <w:r>
        <w:t>Select the desired DDO from the Pull Distribution Query List View.</w:t>
      </w:r>
    </w:p>
    <w:p w14:paraId="5FEE898B" w14:textId="77777777" w:rsidR="00BE17E5" w:rsidRDefault="00BE17E5" w:rsidP="006D5A65">
      <w:pPr>
        <w:pStyle w:val="Heading2"/>
      </w:pPr>
      <w:r>
        <w:lastRenderedPageBreak/>
        <w:t xml:space="preserve">Invoke the context menu and select </w:t>
      </w:r>
      <w:r>
        <w:rPr>
          <w:bCs/>
        </w:rPr>
        <w:t>Add to Queue</w:t>
      </w:r>
      <w:r>
        <w:t>. Alternatively click and drag the DDO from the Pull Distribution Query List View into the Queue List View.</w:t>
      </w:r>
    </w:p>
    <w:p w14:paraId="5D1F7894" w14:textId="77777777" w:rsidR="00BE17E5" w:rsidRPr="004616FB" w:rsidRDefault="00BE17E5" w:rsidP="00B17338">
      <w:pPr>
        <w:spacing w:before="120"/>
        <w:jc w:val="center"/>
        <w:rPr>
          <w:szCs w:val="24"/>
        </w:rPr>
      </w:pPr>
      <w:r>
        <w:rPr>
          <w:noProof/>
        </w:rPr>
        <w:drawing>
          <wp:inline distT="0" distB="0" distL="0" distR="0" wp14:anchorId="14AE357D" wp14:editId="7A46C5E9">
            <wp:extent cx="5917142" cy="1562100"/>
            <wp:effectExtent l="0" t="0" r="7620" b="0"/>
            <wp:docPr id="1890530148" name="Picture 4"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30148" name="Picture 4" descr="Graphical user interface, text, application&#10;&#10;Description automatically generated with medium confidence"/>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5956135" cy="1572394"/>
                    </a:xfrm>
                    <a:prstGeom prst="rect">
                      <a:avLst/>
                    </a:prstGeom>
                    <a:noFill/>
                    <a:ln>
                      <a:noFill/>
                    </a:ln>
                  </pic:spPr>
                </pic:pic>
              </a:graphicData>
            </a:graphic>
          </wp:inline>
        </w:drawing>
      </w:r>
    </w:p>
    <w:p w14:paraId="1B61B2DD" w14:textId="77777777" w:rsidR="00BE17E5" w:rsidRDefault="00BE17E5" w:rsidP="006D5A65">
      <w:pPr>
        <w:pStyle w:val="Heading1"/>
      </w:pPr>
      <w:r>
        <w:t xml:space="preserve">Once all the desired DDOs are in the Queue List View, the order in which they are processed can be optionally set by invoking the context menu and clicking on </w:t>
      </w:r>
      <w:r>
        <w:rPr>
          <w:bCs/>
        </w:rPr>
        <w:t>Set Order</w:t>
      </w:r>
      <w:r>
        <w:t xml:space="preserve">. This will bring up the </w:t>
      </w:r>
      <w:r>
        <w:rPr>
          <w:bCs/>
        </w:rPr>
        <w:t xml:space="preserve">Change </w:t>
      </w:r>
      <w:r w:rsidRPr="00EF772E">
        <w:t>Order</w:t>
      </w:r>
      <w:r>
        <w:t xml:space="preserve"> modal </w:t>
      </w:r>
      <w:r w:rsidRPr="00EF772E">
        <w:t>window</w:t>
      </w:r>
      <w:r>
        <w:t xml:space="preserve"> that allows the user to set a number value for the order in which the DDOs will be processed. If the </w:t>
      </w:r>
      <w:r w:rsidRPr="00EF5F77">
        <w:rPr>
          <w:bCs/>
        </w:rPr>
        <w:t>Order</w:t>
      </w:r>
      <w:r>
        <w:t xml:space="preserve"> is not set, the DDOs will process in the order they were queued in.</w:t>
      </w:r>
    </w:p>
    <w:p w14:paraId="0E178DBF" w14:textId="77777777" w:rsidR="00BE17E5" w:rsidRPr="00EF772E" w:rsidRDefault="00BE17E5" w:rsidP="00B17338">
      <w:pPr>
        <w:spacing w:before="120"/>
        <w:jc w:val="center"/>
        <w:rPr>
          <w:szCs w:val="24"/>
        </w:rPr>
      </w:pPr>
      <w:r>
        <w:rPr>
          <w:noProof/>
        </w:rPr>
        <w:drawing>
          <wp:inline distT="0" distB="0" distL="0" distR="0" wp14:anchorId="0823831E" wp14:editId="1B1F06E2">
            <wp:extent cx="1684020" cy="1008587"/>
            <wp:effectExtent l="0" t="0" r="0" b="0"/>
            <wp:docPr id="619345681"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45681" name="Picture 2" descr="Graphical user interface&#10;&#10;Description automatically generated"/>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694195" cy="1014681"/>
                    </a:xfrm>
                    <a:prstGeom prst="rect">
                      <a:avLst/>
                    </a:prstGeom>
                    <a:noFill/>
                    <a:ln>
                      <a:noFill/>
                    </a:ln>
                  </pic:spPr>
                </pic:pic>
              </a:graphicData>
            </a:graphic>
          </wp:inline>
        </w:drawing>
      </w:r>
    </w:p>
    <w:p w14:paraId="41E04217" w14:textId="17030A73" w:rsidR="00BE17E5" w:rsidRPr="00667778" w:rsidRDefault="00BE17E5" w:rsidP="006D5A65">
      <w:pPr>
        <w:pStyle w:val="Heading1"/>
      </w:pPr>
      <w:r>
        <w:t xml:space="preserve">To begin processing the DDOs, click </w:t>
      </w:r>
      <w:r>
        <w:rPr>
          <w:bCs/>
        </w:rPr>
        <w:t>Start</w:t>
      </w:r>
      <w:r>
        <w:t xml:space="preserve">. The DDOs will begin processing in order of the value indicated in the </w:t>
      </w:r>
      <w:r>
        <w:rPr>
          <w:bCs/>
        </w:rPr>
        <w:t>Order</w:t>
      </w:r>
      <w:r>
        <w:t xml:space="preserve"> column in the Queue List View. The progress will be indicated by the </w:t>
      </w:r>
      <w:r>
        <w:rPr>
          <w:bCs/>
        </w:rPr>
        <w:t>Percent Complete</w:t>
      </w:r>
      <w:r>
        <w:t xml:space="preserve"> column. Once the operation is complete, the DDOs will populate in the Incoming DDOs Tool.</w:t>
      </w:r>
    </w:p>
    <w:p w14:paraId="6A157960" w14:textId="77777777" w:rsidR="00520EA5" w:rsidRDefault="00520EA5" w:rsidP="00520EA5"/>
    <w:p w14:paraId="3F8C95F0" w14:textId="77777777" w:rsidR="00A316EA" w:rsidRDefault="00A316EA" w:rsidP="00520EA5">
      <w:r>
        <w:br w:type="page"/>
      </w:r>
    </w:p>
    <w:p w14:paraId="4DD94B53" w14:textId="1F024FBD" w:rsidR="00AD081E" w:rsidRPr="00AD081E" w:rsidRDefault="006D42A8" w:rsidP="00ED530A">
      <w:pPr>
        <w:pStyle w:val="Appendix"/>
      </w:pPr>
      <w:bookmarkStart w:id="8335" w:name="_APPENDIX_T_"/>
      <w:bookmarkStart w:id="8336" w:name="_4.5.2.1.14__TMPC"/>
      <w:bookmarkStart w:id="8337" w:name="_T-1__System"/>
      <w:bookmarkStart w:id="8338" w:name="_T-2__TMPC"/>
      <w:bookmarkStart w:id="8339" w:name="_T-3.10__Verify"/>
      <w:bookmarkStart w:id="8340" w:name="_4__.5.5"/>
      <w:bookmarkStart w:id="8341" w:name="_T-4__Database"/>
      <w:bookmarkStart w:id="8342" w:name="_T-1__SYSTEM_1"/>
      <w:bookmarkStart w:id="8343" w:name="_T-2__TMPC_1"/>
      <w:bookmarkStart w:id="8344" w:name="_T-3.10__Verify_1"/>
      <w:bookmarkStart w:id="8345" w:name="_T-4__DATABASE_1"/>
      <w:bookmarkStart w:id="8346" w:name="_APPENDIX_U_"/>
      <w:bookmarkStart w:id="8347" w:name="Appendix_U"/>
      <w:bookmarkStart w:id="8348" w:name="_Toc454982714"/>
      <w:bookmarkStart w:id="8349" w:name="_Hlk136847281"/>
      <w:bookmarkStart w:id="8350" w:name="_Hlk136601900"/>
      <w:bookmarkEnd w:id="8335"/>
      <w:bookmarkEnd w:id="8336"/>
      <w:bookmarkEnd w:id="8337"/>
      <w:bookmarkEnd w:id="8338"/>
      <w:bookmarkEnd w:id="8339"/>
      <w:bookmarkEnd w:id="8340"/>
      <w:bookmarkEnd w:id="8341"/>
      <w:bookmarkEnd w:id="8342"/>
      <w:bookmarkEnd w:id="8343"/>
      <w:bookmarkEnd w:id="8344"/>
      <w:bookmarkEnd w:id="8345"/>
      <w:bookmarkEnd w:id="8346"/>
      <w:bookmarkEnd w:id="8347"/>
      <w:r>
        <w:lastRenderedPageBreak/>
        <w:br/>
      </w:r>
      <w:bookmarkStart w:id="8351" w:name="_Toc214283779"/>
      <w:r w:rsidR="00052A7F">
        <w:t xml:space="preserve">TMPC </w:t>
      </w:r>
      <w:r w:rsidR="00AD081E" w:rsidRPr="00AD081E">
        <w:t>HELP DESK AND CONTACTS</w:t>
      </w:r>
      <w:bookmarkEnd w:id="8348"/>
      <w:bookmarkEnd w:id="8351"/>
    </w:p>
    <w:p w14:paraId="242B8C97" w14:textId="77777777" w:rsidR="00AD081E" w:rsidRPr="00AD081E" w:rsidRDefault="00AD081E" w:rsidP="00AD081E">
      <w:bookmarkStart w:id="8352" w:name="_Hlk136847693"/>
      <w:r w:rsidRPr="00AD081E">
        <w:t>Should you require further technical assistance with the maintenance of MDS, please contact:</w:t>
      </w:r>
    </w:p>
    <w:p w14:paraId="35BD43BD" w14:textId="05BE22BE" w:rsidR="00AD081E" w:rsidRPr="00AD081E" w:rsidRDefault="00AD081E" w:rsidP="00AD081E">
      <w:pPr>
        <w:tabs>
          <w:tab w:val="left" w:pos="2165"/>
        </w:tabs>
        <w:rPr>
          <w:rFonts w:ascii="Arial" w:hAnsi="Arial" w:cs="Arial"/>
          <w:b/>
          <w:bCs/>
          <w:iCs/>
          <w:lang w:val="da-DK"/>
        </w:rPr>
      </w:pPr>
      <w:r w:rsidRPr="00AD081E">
        <w:rPr>
          <w:i/>
          <w:noProof/>
        </w:rPr>
        <w:drawing>
          <wp:inline distT="0" distB="0" distL="0" distR="0" wp14:anchorId="789D0B48" wp14:editId="029FCAF5">
            <wp:extent cx="868680" cy="868680"/>
            <wp:effectExtent l="0" t="0" r="7620" b="7620"/>
            <wp:docPr id="1001" name="Picture 1001" descr="pma-281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281_logo"/>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868680" cy="868680"/>
                    </a:xfrm>
                    <a:prstGeom prst="rect">
                      <a:avLst/>
                    </a:prstGeom>
                    <a:noFill/>
                    <a:ln w="9525">
                      <a:noFill/>
                      <a:miter lim="800000"/>
                      <a:headEnd/>
                      <a:tailEnd/>
                    </a:ln>
                  </pic:spPr>
                </pic:pic>
              </a:graphicData>
            </a:graphic>
          </wp:inline>
        </w:drawing>
      </w:r>
      <w:bookmarkStart w:id="8353" w:name="_Hlk136848477"/>
      <w:r w:rsidRPr="00D06BB8">
        <w:rPr>
          <w:rFonts w:ascii="Arial" w:hAnsi="Arial" w:cs="Arial"/>
          <w:b/>
          <w:bCs/>
          <w:lang w:val="da-DK"/>
        </w:rPr>
        <w:t>T</w:t>
      </w:r>
      <w:r w:rsidR="00E74E42" w:rsidRPr="00D06BB8">
        <w:rPr>
          <w:rFonts w:ascii="Arial" w:hAnsi="Arial" w:cs="Arial"/>
          <w:b/>
          <w:bCs/>
          <w:lang w:val="da-DK"/>
        </w:rPr>
        <w:t>MPC</w:t>
      </w:r>
      <w:r w:rsidRPr="00D06BB8">
        <w:rPr>
          <w:rFonts w:ascii="Arial" w:hAnsi="Arial" w:cs="Arial"/>
          <w:b/>
          <w:bCs/>
          <w:lang w:val="da-DK"/>
        </w:rPr>
        <w:t xml:space="preserve"> Support Desk</w:t>
      </w:r>
      <w:r w:rsidRPr="0056739E">
        <w:rPr>
          <w:rFonts w:ascii="Arial" w:hAnsi="Arial" w:cs="Arial"/>
          <w:b/>
          <w:bCs/>
          <w:lang w:val="da-DK"/>
        </w:rPr>
        <w:t>:</w:t>
      </w:r>
    </w:p>
    <w:p w14:paraId="38DC7D0E" w14:textId="57023705" w:rsidR="00AD081E" w:rsidRDefault="00A80E8A" w:rsidP="006D5A65">
      <w:pPr>
        <w:pStyle w:val="Heading2"/>
      </w:pPr>
      <w:bookmarkStart w:id="8354" w:name="_Hlk136848380"/>
      <w:r>
        <w:rPr>
          <w:szCs w:val="24"/>
        </w:rPr>
        <w:t>Vectrus</w:t>
      </w:r>
      <w:r w:rsidR="00AD081E" w:rsidRPr="00741172">
        <w:rPr>
          <w:szCs w:val="24"/>
        </w:rPr>
        <w:t xml:space="preserve"> (</w:t>
      </w:r>
      <w:r w:rsidR="00A96555">
        <w:rPr>
          <w:szCs w:val="24"/>
        </w:rPr>
        <w:t>p</w:t>
      </w:r>
      <w:r w:rsidR="00AD081E" w:rsidRPr="00741172">
        <w:rPr>
          <w:szCs w:val="24"/>
        </w:rPr>
        <w:t>rimary)</w:t>
      </w:r>
      <w:r w:rsidR="00AD081E" w:rsidRPr="0019157E">
        <w:rPr>
          <w:color w:val="000000" w:themeColor="text1"/>
          <w:szCs w:val="24"/>
        </w:rPr>
        <w:t xml:space="preserve"> </w:t>
      </w:r>
      <w:r w:rsidR="00AD081E" w:rsidRPr="0019157E">
        <w:rPr>
          <w:color w:val="000000" w:themeColor="text1"/>
        </w:rPr>
        <w:t>– (888) 826-7748</w:t>
      </w:r>
      <w:r w:rsidR="00AD081E" w:rsidRPr="00741172">
        <w:t xml:space="preserve"> (24/7 phone support for emergency issues)</w:t>
      </w:r>
    </w:p>
    <w:p w14:paraId="4948B6E6" w14:textId="0732A7EF" w:rsidR="00A96555" w:rsidRPr="00D06BB8" w:rsidRDefault="005F7BFF" w:rsidP="00596584">
      <w:pPr>
        <w:spacing w:before="240" w:after="60" w:line="240" w:lineRule="auto"/>
        <w:ind w:left="1449" w:hanging="9"/>
        <w:rPr>
          <w:b/>
          <w:bCs/>
          <w:szCs w:val="24"/>
        </w:rPr>
      </w:pPr>
      <w:r w:rsidRPr="00D06BB8">
        <w:rPr>
          <w:szCs w:val="24"/>
        </w:rPr>
        <w:t>Email for non-emergency issues (response within 24 hrs)</w:t>
      </w:r>
      <w:r w:rsidR="00E804ED">
        <w:rPr>
          <w:szCs w:val="24"/>
        </w:rPr>
        <w:t>:</w:t>
      </w:r>
      <w:r w:rsidR="005E3AF3">
        <w:rPr>
          <w:szCs w:val="24"/>
        </w:rPr>
        <w:t xml:space="preserve"> </w:t>
      </w:r>
      <w:r w:rsidR="005E3AF3" w:rsidRPr="00D06BB8">
        <w:rPr>
          <w:b/>
          <w:bCs/>
          <w:szCs w:val="24"/>
        </w:rPr>
        <w:t>PMA281_HelpDesk@navy.mil</w:t>
      </w:r>
    </w:p>
    <w:p w14:paraId="7DB6624A" w14:textId="028E2EE5" w:rsidR="00AD081E" w:rsidRPr="00D06BB8" w:rsidRDefault="00AD081E" w:rsidP="006D5A65">
      <w:pPr>
        <w:pStyle w:val="Heading2"/>
      </w:pPr>
      <w:r w:rsidRPr="00741172">
        <w:rPr>
          <w:sz w:val="16"/>
          <w:szCs w:val="16"/>
        </w:rPr>
        <w:t xml:space="preserve"> </w:t>
      </w:r>
      <w:r w:rsidR="00C82793" w:rsidRPr="00C82793">
        <w:rPr>
          <w:szCs w:val="24"/>
        </w:rPr>
        <w:t>Peraton</w:t>
      </w:r>
      <w:r w:rsidR="00520A88">
        <w:rPr>
          <w:sz w:val="16"/>
          <w:szCs w:val="16"/>
        </w:rPr>
        <w:t xml:space="preserve"> </w:t>
      </w:r>
      <w:r w:rsidRPr="00520A88">
        <w:rPr>
          <w:szCs w:val="24"/>
        </w:rPr>
        <w:t>(</w:t>
      </w:r>
      <w:r w:rsidR="00A96555">
        <w:rPr>
          <w:szCs w:val="24"/>
        </w:rPr>
        <w:t>a</w:t>
      </w:r>
      <w:r w:rsidRPr="00520A88">
        <w:rPr>
          <w:szCs w:val="24"/>
        </w:rPr>
        <w:t>lternate)</w:t>
      </w:r>
      <w:r w:rsidRPr="00741172">
        <w:t xml:space="preserve"> </w:t>
      </w:r>
      <w:r w:rsidRPr="0019157E">
        <w:rPr>
          <w:color w:val="000000" w:themeColor="text1"/>
        </w:rPr>
        <w:t>– (757) 642-8772</w:t>
      </w:r>
      <w:r w:rsidRPr="00741172">
        <w:t xml:space="preserve"> (24/7 phone support for emergency issues)</w:t>
      </w:r>
    </w:p>
    <w:p w14:paraId="3D855CBA" w14:textId="4C807317" w:rsidR="00F05D2F" w:rsidRPr="00D06BB8" w:rsidRDefault="00F05D2F" w:rsidP="006D5A65">
      <w:pPr>
        <w:pStyle w:val="Heading9"/>
      </w:pPr>
      <w:r w:rsidRPr="00D06BB8">
        <w:rPr>
          <w:noProof/>
        </w:rPr>
        <w:t>Email</w:t>
      </w:r>
      <w:r w:rsidRPr="00D06BB8">
        <w:t>: TMPChelpdesk@Peraton.com</w:t>
      </w:r>
    </w:p>
    <w:p w14:paraId="0014DBBE" w14:textId="5E4D343F" w:rsidR="00AD081E" w:rsidRPr="00AD081E" w:rsidRDefault="00AD081E" w:rsidP="006D5A65">
      <w:pPr>
        <w:pStyle w:val="Heading2"/>
      </w:pPr>
      <w:r w:rsidRPr="00AD081E">
        <w:t>The MDS documentation is available at PMA-281’s TMPC Software Support Activity (SSA) SIPRNet web</w:t>
      </w:r>
      <w:r w:rsidRPr="00E74E42">
        <w:rPr>
          <w:color w:val="000000"/>
        </w:rPr>
        <w:t>site (</w:t>
      </w:r>
      <w:r w:rsidRPr="00D64C3F">
        <w:rPr>
          <w:bCs/>
          <w:color w:val="000000" w:themeColor="text1"/>
        </w:rPr>
        <w:t>https://www.tci.navy.smil.mil</w:t>
      </w:r>
      <w:r w:rsidRPr="00E74E42">
        <w:rPr>
          <w:color w:val="000000"/>
        </w:rPr>
        <w:t>).</w:t>
      </w:r>
    </w:p>
    <w:bookmarkEnd w:id="8354"/>
    <w:p w14:paraId="3B3EB056" w14:textId="77777777" w:rsidR="00AD081E" w:rsidRPr="00AD081E" w:rsidRDefault="00AD081E" w:rsidP="00AD081E"/>
    <w:bookmarkEnd w:id="8353"/>
    <w:p w14:paraId="6EFFA271" w14:textId="77777777" w:rsidR="00AD081E" w:rsidRPr="00AD081E" w:rsidRDefault="00AD081E" w:rsidP="00741172">
      <w:pPr>
        <w:ind w:left="288"/>
      </w:pPr>
      <w:r w:rsidRPr="00AD081E">
        <w:rPr>
          <w:b/>
          <w:noProof/>
        </w:rPr>
        <w:drawing>
          <wp:inline distT="0" distB="0" distL="0" distR="0" wp14:anchorId="557CB4D5" wp14:editId="797460D6">
            <wp:extent cx="856615" cy="843280"/>
            <wp:effectExtent l="0" t="0" r="635" b="0"/>
            <wp:docPr id="1004" name="Picture 1004" descr="CMSALA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MSALANT Logo"/>
                    <pic:cNvPicPr>
                      <a:picLocks noChangeAspect="1" noChangeArrowheads="1"/>
                    </pic:cNvPicPr>
                  </pic:nvPicPr>
                  <pic:blipFill>
                    <a:blip cstate="screen">
                      <a:extLst>
                        <a:ext uri="{28A0092B-C50C-407E-A947-70E740481C1C}">
                          <a14:useLocalDpi xmlns:a14="http://schemas.microsoft.com/office/drawing/2010/main"/>
                        </a:ext>
                      </a:extLst>
                    </a:blip>
                    <a:srcRect/>
                    <a:stretch>
                      <a:fillRect/>
                    </a:stretch>
                  </pic:blipFill>
                  <pic:spPr bwMode="auto">
                    <a:xfrm>
                      <a:off x="0" y="0"/>
                      <a:ext cx="856615" cy="843280"/>
                    </a:xfrm>
                    <a:prstGeom prst="rect">
                      <a:avLst/>
                    </a:prstGeom>
                    <a:noFill/>
                    <a:ln w="9525">
                      <a:noFill/>
                      <a:miter lim="800000"/>
                      <a:headEnd/>
                      <a:tailEnd/>
                    </a:ln>
                  </pic:spPr>
                </pic:pic>
              </a:graphicData>
            </a:graphic>
          </wp:inline>
        </w:drawing>
      </w:r>
      <w:r w:rsidRPr="00AD081E">
        <w:rPr>
          <w:b/>
        </w:rPr>
        <w:t>CMSALANT</w:t>
      </w:r>
    </w:p>
    <w:p w14:paraId="6007B04D" w14:textId="77777777" w:rsidR="00AD081E" w:rsidRPr="00AD081E" w:rsidRDefault="00AD081E" w:rsidP="006D5A65">
      <w:pPr>
        <w:pStyle w:val="Heading2"/>
      </w:pPr>
      <w:r w:rsidRPr="00741172">
        <w:rPr>
          <w:bCs/>
          <w:szCs w:val="24"/>
        </w:rPr>
        <w:t>Commercial</w:t>
      </w:r>
      <w:r w:rsidRPr="00AD081E">
        <w:t>: (757) 836-5056 / 5070 / 5054 / 7505 / 5065.</w:t>
      </w:r>
    </w:p>
    <w:p w14:paraId="22035F81" w14:textId="20F4CA98" w:rsidR="00AD081E" w:rsidRPr="00AD081E" w:rsidRDefault="00AD081E" w:rsidP="006D5A65">
      <w:pPr>
        <w:pStyle w:val="Heading2"/>
        <w:rPr>
          <w:u w:val="single"/>
        </w:rPr>
      </w:pPr>
      <w:r w:rsidRPr="00741172">
        <w:rPr>
          <w:bCs/>
        </w:rPr>
        <w:t>DSN</w:t>
      </w:r>
      <w:r w:rsidRPr="00AD081E">
        <w:t>: 312</w:t>
      </w:r>
      <w:r w:rsidRPr="00274F5E">
        <w:t>-</w:t>
      </w:r>
      <w:r w:rsidRPr="00274F5E">
        <w:rPr>
          <w:szCs w:val="24"/>
        </w:rPr>
        <w:t>836</w:t>
      </w:r>
      <w:r w:rsidRPr="00274F5E">
        <w:t>-5056</w:t>
      </w:r>
      <w:r w:rsidRPr="00AD081E">
        <w:t xml:space="preserve"> / 5070 / 5054 / 7505 / 5065</w:t>
      </w:r>
    </w:p>
    <w:p w14:paraId="7673900E" w14:textId="77777777" w:rsidR="00AD081E" w:rsidRPr="00AD081E" w:rsidRDefault="00AD081E" w:rsidP="00A96555">
      <w:pPr>
        <w:spacing w:after="0"/>
        <w:ind w:left="288"/>
        <w:rPr>
          <w:b/>
        </w:rPr>
      </w:pPr>
    </w:p>
    <w:p w14:paraId="4A6A7221" w14:textId="77777777" w:rsidR="00AD081E" w:rsidRPr="00AD081E" w:rsidRDefault="00AD081E" w:rsidP="00741172">
      <w:pPr>
        <w:ind w:left="288"/>
        <w:rPr>
          <w:b/>
        </w:rPr>
      </w:pPr>
      <w:r w:rsidRPr="00AD081E">
        <w:rPr>
          <w:b/>
          <w:noProof/>
        </w:rPr>
        <w:drawing>
          <wp:inline distT="0" distB="0" distL="0" distR="0" wp14:anchorId="1C1EF29D" wp14:editId="2484CD47">
            <wp:extent cx="872664" cy="853440"/>
            <wp:effectExtent l="0" t="0" r="3810" b="3810"/>
            <wp:docPr id="1005" name="Picture 1005" descr="CMSAPA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MSAPAC Logo"/>
                    <pic:cNvPicPr>
                      <a:picLocks noChangeAspect="1" noChangeArrowheads="1"/>
                    </pic:cNvPicPr>
                  </pic:nvPicPr>
                  <pic:blipFill rotWithShape="1">
                    <a:blip cstate="screen">
                      <a:extLst>
                        <a:ext uri="{28A0092B-C50C-407E-A947-70E740481C1C}">
                          <a14:useLocalDpi xmlns:a14="http://schemas.microsoft.com/office/drawing/2010/main"/>
                        </a:ext>
                      </a:extLst>
                    </a:blip>
                    <a:srcRect/>
                    <a:stretch/>
                  </pic:blipFill>
                  <pic:spPr bwMode="auto">
                    <a:xfrm>
                      <a:off x="0" y="0"/>
                      <a:ext cx="872664" cy="853440"/>
                    </a:xfrm>
                    <a:prstGeom prst="rect">
                      <a:avLst/>
                    </a:prstGeom>
                    <a:noFill/>
                    <a:ln>
                      <a:noFill/>
                    </a:ln>
                    <a:extLst>
                      <a:ext uri="{53640926-AAD7-44D8-BBD7-CCE9431645EC}">
                        <a14:shadowObscured xmlns:a14="http://schemas.microsoft.com/office/drawing/2010/main"/>
                      </a:ext>
                    </a:extLst>
                  </pic:spPr>
                </pic:pic>
              </a:graphicData>
            </a:graphic>
          </wp:inline>
        </w:drawing>
      </w:r>
      <w:r w:rsidRPr="00AD081E">
        <w:rPr>
          <w:b/>
        </w:rPr>
        <w:t xml:space="preserve">CMSAPAC </w:t>
      </w:r>
    </w:p>
    <w:p w14:paraId="70A93E5E" w14:textId="5ECE0724" w:rsidR="00AD081E" w:rsidRPr="00AD081E" w:rsidRDefault="00AD081E" w:rsidP="006D5A65">
      <w:pPr>
        <w:pStyle w:val="Heading2"/>
      </w:pPr>
      <w:r w:rsidRPr="00741172">
        <w:rPr>
          <w:bCs/>
        </w:rPr>
        <w:t>Commercial</w:t>
      </w:r>
      <w:r w:rsidRPr="00AD081E">
        <w:t>: (808) 477-3161 / 1575 / 1300</w:t>
      </w:r>
    </w:p>
    <w:p w14:paraId="6518EAD8" w14:textId="7042C63B" w:rsidR="00AD081E" w:rsidRPr="006A75D6" w:rsidRDefault="00AD081E" w:rsidP="006D5A65">
      <w:pPr>
        <w:pStyle w:val="Heading2"/>
        <w:rPr>
          <w:rFonts w:ascii="Calibri" w:eastAsia="Calibri" w:hAnsi="Calibri"/>
          <w:sz w:val="22"/>
          <w:szCs w:val="22"/>
        </w:rPr>
      </w:pPr>
      <w:r w:rsidRPr="00741172">
        <w:rPr>
          <w:bCs/>
        </w:rPr>
        <w:t>DSN</w:t>
      </w:r>
      <w:r w:rsidRPr="00AD081E">
        <w:t>: 315-477-3161 / 1575</w:t>
      </w:r>
      <w:r w:rsidR="006A75D6">
        <w:rPr>
          <w:rFonts w:ascii="Calibri" w:eastAsia="Calibri" w:hAnsi="Calibri"/>
          <w:sz w:val="22"/>
          <w:szCs w:val="22"/>
        </w:rPr>
        <w:t xml:space="preserve"> / </w:t>
      </w:r>
      <w:r w:rsidR="006A75D6" w:rsidRPr="00AD081E">
        <w:t>1300</w:t>
      </w:r>
      <w:bookmarkEnd w:id="8349"/>
      <w:bookmarkEnd w:id="8350"/>
      <w:bookmarkEnd w:id="8352"/>
    </w:p>
    <w:sectPr w:rsidR="00AD081E" w:rsidRPr="006A75D6" w:rsidSect="000242AB">
      <w:headerReference w:type="default" r:id="rId55"/>
      <w:footnotePr>
        <w:numRestart w:val="eachSect"/>
      </w:footnotePr>
      <w:pgSz w:w="12240" w:h="15840" w:code="1"/>
      <w:pgMar w:top="1440" w:right="1440" w:bottom="1440" w:left="1440" w:header="720" w:footer="720" w:gutter="0"/>
      <w:pgNumType w:start="1" w:chapStyle="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74A63" w14:textId="77777777" w:rsidR="00725805" w:rsidRDefault="00725805">
      <w:r>
        <w:separator/>
      </w:r>
    </w:p>
  </w:endnote>
  <w:endnote w:type="continuationSeparator" w:id="0">
    <w:p w14:paraId="7C8FCF7B" w14:textId="77777777" w:rsidR="00725805" w:rsidRDefault="00725805">
      <w:r>
        <w:continuationSeparator/>
      </w:r>
    </w:p>
  </w:endnote>
  <w:endnote w:type="continuationNotice" w:id="1">
    <w:p w14:paraId="09347898" w14:textId="77777777" w:rsidR="00725805" w:rsidRDefault="007258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C983" w14:textId="77777777" w:rsidR="00725805" w:rsidRDefault="00725805">
      <w:r>
        <w:separator/>
      </w:r>
    </w:p>
  </w:footnote>
  <w:footnote w:type="continuationSeparator" w:id="0">
    <w:p w14:paraId="75C8471C" w14:textId="77777777" w:rsidR="00725805" w:rsidRDefault="00725805">
      <w:r>
        <w:continuationSeparator/>
      </w:r>
    </w:p>
  </w:footnote>
  <w:footnote w:type="continuationNotice" w:id="1">
    <w:p w14:paraId="4EC72E4E" w14:textId="77777777" w:rsidR="00725805" w:rsidRDefault="007258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97D89" w14:textId="77777777" w:rsidR="004A564B" w:rsidRPr="00741172" w:rsidRDefault="004A564B" w:rsidP="00C4385E">
    <w:pPr>
      <w:pStyle w:val="Header"/>
      <w:pBdr>
        <w:bottom w:val="none" w:sz="0" w:space="0" w:color="auto"/>
      </w:pBdr>
      <w:tabs>
        <w:tab w:val="clear" w:pos="9360"/>
        <w:tab w:val="left" w:pos="7020"/>
      </w:tabs>
      <w:jc w:val="center"/>
      <w:rPr>
        <w:sz w:val="24"/>
        <w:szCs w:val="24"/>
      </w:rPr>
    </w:pPr>
    <w:r w:rsidRPr="00741172">
      <w:rPr>
        <w:b/>
        <w:sz w:val="24"/>
        <w:szCs w:val="24"/>
      </w:rPr>
      <w:t>CUI</w:t>
    </w:r>
  </w:p>
  <w:p w14:paraId="5A519841" w14:textId="4695D815" w:rsidR="004A564B" w:rsidRPr="00C4385E" w:rsidRDefault="004A564B" w:rsidP="00191404">
    <w:pPr>
      <w:pStyle w:val="Header"/>
      <w:pBdr>
        <w:bottom w:val="single" w:sz="4" w:space="1" w:color="auto"/>
      </w:pBdr>
      <w:spacing w:before="120" w:after="240"/>
    </w:pPr>
    <w:r w:rsidRPr="00190AB9">
      <w:rPr>
        <w:rFonts w:cs="Arial"/>
        <w:sz w:val="20"/>
      </w:rPr>
      <w:t xml:space="preserve">Software User’s Manual (SUM) for MDS Version </w:t>
    </w:r>
    <w:r w:rsidR="00BB1875">
      <w:rPr>
        <w:rFonts w:cs="Arial"/>
        <w:sz w:val="20"/>
      </w:rPr>
      <w:t>8</w:t>
    </w:r>
    <w:r>
      <w:rPr>
        <w:rFonts w:cs="Arial"/>
        <w:sz w:val="20"/>
      </w:rPr>
      <w:t>.0.x</w:t>
    </w:r>
    <w:r w:rsidRPr="00190AB9">
      <w:rPr>
        <w:rFonts w:cs="Arial"/>
        <w:sz w:val="20"/>
      </w:rPr>
      <w:tab/>
    </w:r>
    <w:r w:rsidR="00665B13">
      <w:rPr>
        <w:rFonts w:cs="Arial"/>
        <w:sz w:val="20"/>
      </w:rPr>
      <w:t>UD-05742-</w:t>
    </w:r>
    <w:r w:rsidR="0085749F">
      <w:rPr>
        <w:rFonts w:cs="Arial"/>
        <w:sz w:val="20"/>
      </w:rPr>
      <w: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D6F8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624238502">
    <w:abstractNumId w:val="0"/>
  </w:num>
  <w:num w:numId="2" w16cid:durableId="12944791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4711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86053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26171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6302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93382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75369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25401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465136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867115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730542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07530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440038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058436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30124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47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3884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255006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45743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815315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64421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46301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3197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7384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241399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62541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68339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505705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916731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6004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132679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30578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951993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09391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472965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002738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621003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772765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243191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398583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00123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08460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219482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443965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58929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483547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01504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767850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726804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489340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627362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85366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59448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027521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38673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97825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7234783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538618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23363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647942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14258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099379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585367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85677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231225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63542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212034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3359548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433569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6812077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1449595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887909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7434853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39090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799154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623110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899191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0342339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803771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76490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3500644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678391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962861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4195248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965542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650842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636603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8384957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587979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0928922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0390880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6064312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6278083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9328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799520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825587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05115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0841064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9002860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5034722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5847550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105126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9032538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7254460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912890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2439532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006915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908652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702260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3033899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8773494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7634559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503490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8329833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3157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1666733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1273879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2954040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4598341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730760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5309503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863158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654294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8476696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6494331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7589143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6295539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361007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0781332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810715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3807108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6474681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2904042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5856070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9917180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8716950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9043682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120958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2480793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098713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6887249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6559619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412476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9705515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1096911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4073137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8749277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1300098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220895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7489198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522478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7206372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20714212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75770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4678660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964343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6247307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377315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6140214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255819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357604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613906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7165412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1016782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1941474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6188737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2136097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3249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8450532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2066762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4784968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0939679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905803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062406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4832353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2112896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4846596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72639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6946234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0144591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6646286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9886361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1837376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6322955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5575501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9567606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8749311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0147993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1413892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8920804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659547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289410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820724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3567394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26010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20605895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645210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9729060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06598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290285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03623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3125661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66363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5222836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3729971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1526006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514027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8767733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6232754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0732387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4859749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2261868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8695599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787437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5142247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1035709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2859626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21395626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20679958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3713724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4471220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3132178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7544307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351951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0951732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934289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6357163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3229314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595702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4604155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6431949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1873327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544957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8807043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8467046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17654179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3888016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417363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3995970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6326337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20643324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1565870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3972890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9189775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398673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20923922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8578163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2791419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9583711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8575027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8790102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5063335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4088391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8425488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0179721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2692421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4642711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0499594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8797861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5832232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8324799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1219211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3866853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20022706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403211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855076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4892927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616256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81604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9376386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372340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2007126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6803088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19799164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898711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898275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3925804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516625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9792581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3432830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383605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990461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2402639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523976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0784756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849170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437484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2032488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3960079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0171247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9180089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1599305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629892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6648945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212765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5547353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9263537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0384313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17203978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668041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119440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4530640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5750882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708921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7741772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13361509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222565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7274634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2013481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4630402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154301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556964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452269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162164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4545605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19360162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467934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4651279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16cid:durableId="2512779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1348373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3932377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1956716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494234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10953951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0774820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2104105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10958988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4285433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603732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3129490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12629544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1252436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16cid:durableId="1668692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8965529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4221924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14570650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10561224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18032312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6049203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1839812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4330879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71759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13757375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20405430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4828910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16cid:durableId="15425223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329706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1458722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10548103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555237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686368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0141141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1579625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4967285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719129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827307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209537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4710507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164660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661696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12060210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9718561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16cid:durableId="10035116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4993499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619983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5786836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11808514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3735061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880049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7215655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026180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3211274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789518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6184937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12345099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1437371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17605602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3243553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20666379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18483243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11021457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17422863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18470925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4475554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8655627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2505049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11092051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16cid:durableId="12391693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16512049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1771887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15338831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16401899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21320902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16cid:durableId="16502857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16cid:durableId="1023835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951666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9474669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2085032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15581283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16cid:durableId="1078963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8941220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26949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16cid:durableId="11383822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1036349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4086172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11911398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6801591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19878516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19210586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3227048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6929502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1237938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7778722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16cid:durableId="15718845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5836149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16cid:durableId="12321559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16cid:durableId="7406410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16cid:durableId="21458103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3120266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921688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335822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16cid:durableId="11877161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3938170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16cid:durableId="648441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16cid:durableId="11091984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16cid:durableId="2939524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8940078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18433511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16cid:durableId="1405446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16cid:durableId="12957968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16cid:durableId="150799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19960338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16cid:durableId="3967070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16cid:durableId="17503425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4850984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16cid:durableId="403643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1773548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19943369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2136219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16cid:durableId="2287309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6598870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16cid:durableId="1881817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16cid:durableId="1714965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1982953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16cid:durableId="5802873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16cid:durableId="13296702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16cid:durableId="15699245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8139853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1806653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16cid:durableId="8808285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20575810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6372989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15338799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11212636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1281111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6130508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16cid:durableId="1490487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12935145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10198147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1852888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20400048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14932568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1280331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16cid:durableId="1755372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16cid:durableId="3732356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16cid:durableId="15250949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16cid:durableId="554973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795832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6336029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1905298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16cid:durableId="299655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19899414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20683399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16cid:durableId="3526081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7521675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531038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154077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16cid:durableId="18774987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14870916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4480130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17644954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509264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16cid:durableId="10012724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16cid:durableId="7557107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16cid:durableId="4212667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16cid:durableId="16433858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16cid:durableId="20804010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16cid:durableId="1588926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2722465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10402805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16cid:durableId="296641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16cid:durableId="3659083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16cid:durableId="17750514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16cid:durableId="1389585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15771311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14199790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16cid:durableId="812228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16cid:durableId="1314093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16cid:durableId="11070401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5486081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16cid:durableId="18123576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16cid:durableId="7323862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16cid:durableId="2572502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16cid:durableId="8721566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13570728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16cid:durableId="4560679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16cid:durableId="2225691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16cid:durableId="5229365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16cid:durableId="14813812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16cid:durableId="10978662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16cid:durableId="17057845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16cid:durableId="7873589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16cid:durableId="375122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16cid:durableId="12783689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16cid:durableId="14935966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16cid:durableId="32855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16cid:durableId="2054167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16cid:durableId="9825407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16cid:durableId="542766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16cid:durableId="1626155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16cid:durableId="9450376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16cid:durableId="12398272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16cid:durableId="931669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16cid:durableId="18072384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16cid:durableId="16512493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16cid:durableId="12376719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16cid:durableId="10129515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16cid:durableId="348206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16cid:durableId="9959126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16cid:durableId="9760364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439430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16cid:durableId="2119254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16cid:durableId="9658872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16cid:durableId="2167414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16843542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16cid:durableId="16525586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16cid:durableId="12810378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2533667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16cid:durableId="1773016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2179373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16cid:durableId="17244060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16cid:durableId="8797052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16cid:durableId="477693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16cid:durableId="2039350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21360254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2758699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16cid:durableId="8772033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16cid:durableId="2392182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16cid:durableId="1597859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16cid:durableId="1097849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16cid:durableId="18784721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16cid:durableId="16989696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16cid:durableId="226961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16cid:durableId="17423606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16cid:durableId="982346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 w16cid:durableId="10137239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16cid:durableId="20104013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16cid:durableId="9025636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 w16cid:durableId="13241598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20102143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16cid:durableId="14084546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16cid:durableId="1865556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16cid:durableId="6741896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 w16cid:durableId="19763757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 w16cid:durableId="1711570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16cid:durableId="1567760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 w16cid:durableId="7601808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16cid:durableId="538934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16cid:durableId="7955662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16cid:durableId="1560747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16cid:durableId="1010916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16cid:durableId="1734963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16cid:durableId="10016669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16cid:durableId="8568463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16cid:durableId="19788032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16cid:durableId="9042672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16cid:durableId="16095051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16cid:durableId="13383412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 w16cid:durableId="12690012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16cid:durableId="19290739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16cid:durableId="5461126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3" w16cid:durableId="11391085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4" w16cid:durableId="6536788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16cid:durableId="3753993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16cid:durableId="15370437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16cid:durableId="19575670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16cid:durableId="12170092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16cid:durableId="969467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16cid:durableId="20496009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16cid:durableId="16207973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16cid:durableId="16980437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3" w16cid:durableId="1003448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16cid:durableId="1814784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16cid:durableId="1415324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6" w16cid:durableId="6010310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20237059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16cid:durableId="2899422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16cid:durableId="11548759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16cid:durableId="1870340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16cid:durableId="6967801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16cid:durableId="3204754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16cid:durableId="2096517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16cid:durableId="5079908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16cid:durableId="10696944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16cid:durableId="1290588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7" w16cid:durableId="2022585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16cid:durableId="10456430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16cid:durableId="12383942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16cid:durableId="8144948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1" w16cid:durableId="7348572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2" w16cid:durableId="10738954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3" w16cid:durableId="15635621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4" w16cid:durableId="20468342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16cid:durableId="9276211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16cid:durableId="17760954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16cid:durableId="21367522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16cid:durableId="9359855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16cid:durableId="3748954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16cid:durableId="17481909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16cid:durableId="5211709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16cid:durableId="7549779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16cid:durableId="10235550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4" w16cid:durableId="6655969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16cid:durableId="5035156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16cid:durableId="9947185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7" w16cid:durableId="11806617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16cid:durableId="21172165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9" w16cid:durableId="614796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0" w16cid:durableId="522597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16cid:durableId="19611788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16cid:durableId="1816095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16cid:durableId="5469956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16cid:durableId="772096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16cid:durableId="80371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16cid:durableId="950090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16cid:durableId="1702049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16cid:durableId="951400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16cid:durableId="86119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0" w16cid:durableId="270334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16cid:durableId="12244416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16cid:durableId="16017656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16cid:durableId="18717235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4" w16cid:durableId="19552862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16cid:durableId="186995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16cid:durableId="19976080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7" w16cid:durableId="20113232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16cid:durableId="969527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16cid:durableId="855429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0" w16cid:durableId="114175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16cid:durableId="19448022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16cid:durableId="19832699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16cid:durableId="1939605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16cid:durableId="20293301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16cid:durableId="17173875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16cid:durableId="19381286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16cid:durableId="20336778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16cid:durableId="598101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15352684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0" w16cid:durableId="21219547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16cid:durableId="15951682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20998686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16cid:durableId="7511958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16cid:durableId="1032292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18445883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16cid:durableId="1364603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1666124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16cid:durableId="93744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16cid:durableId="2160947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16cid:durableId="1051346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16cid:durableId="1830636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16cid:durableId="17228286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21248866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16cid:durableId="10755131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5816436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16cid:durableId="1672534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282614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8" w16cid:durableId="8365325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16cid:durableId="1230309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16cid:durableId="20334124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1" w16cid:durableId="6106723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16cid:durableId="943653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3" w16cid:durableId="2061396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4" w16cid:durableId="8314844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16cid:durableId="17590570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16cid:durableId="13581233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16cid:durableId="1186931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8" w16cid:durableId="5170867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9" w16cid:durableId="10001540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16cid:durableId="5885823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1" w16cid:durableId="11662854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2" w16cid:durableId="6547190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16cid:durableId="14187491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4" w16cid:durableId="3364704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5" w16cid:durableId="12200196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16cid:durableId="8588587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7" w16cid:durableId="1702924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8" w16cid:durableId="658656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16cid:durableId="4127006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0" w16cid:durableId="17003556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1" w16cid:durableId="1726943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2" w16cid:durableId="9056484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3" w16cid:durableId="15928182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4" w16cid:durableId="16513988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5" w16cid:durableId="259260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16cid:durableId="19294574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7" w16cid:durableId="7905141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8" w16cid:durableId="13398484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9" w16cid:durableId="301526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16cid:durableId="18436610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1" w16cid:durableId="19558210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2" w16cid:durableId="8627452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16cid:durableId="4557609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16cid:durableId="302319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16cid:durableId="1957516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16cid:durableId="2085489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7" w16cid:durableId="17627499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16cid:durableId="11877915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9" w16cid:durableId="1642272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0" w16cid:durableId="7381348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1" w16cid:durableId="2119788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2" w16cid:durableId="4950761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3" w16cid:durableId="12635377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16cid:durableId="7584503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5" w16cid:durableId="8119475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6" w16cid:durableId="245961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7" w16cid:durableId="15256333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8" w16cid:durableId="1709197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9" w16cid:durableId="1876504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0" w16cid:durableId="669211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1" w16cid:durableId="40791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2" w16cid:durableId="943998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16cid:durableId="2043363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4" w16cid:durableId="1118522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16cid:durableId="2005595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16cid:durableId="1543978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7" w16cid:durableId="6743043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8" w16cid:durableId="9370622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1567260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16cid:durableId="2098774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1" w16cid:durableId="10172752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20961282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3" w16cid:durableId="1493907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16cid:durableId="18541078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10844942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6" w16cid:durableId="18842921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7" w16cid:durableId="15330337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16cid:durableId="10563937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16cid:durableId="1728532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0" w16cid:durableId="1429815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1" w16cid:durableId="12729324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2" w16cid:durableId="1778942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16cid:durableId="16692915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4" w16cid:durableId="2050447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5" w16cid:durableId="4925729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6" w16cid:durableId="1518108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16cid:durableId="14851965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16cid:durableId="890920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9" w16cid:durableId="1633440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16cid:durableId="19998460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16cid:durableId="686924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2" w16cid:durableId="545413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3" w16cid:durableId="14000580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4" w16cid:durableId="797213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5" w16cid:durableId="17736710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6" w16cid:durableId="6272462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7" w16cid:durableId="3573160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8" w16cid:durableId="17584789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9" w16cid:durableId="10579724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0" w16cid:durableId="2566446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1" w16cid:durableId="10343555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2" w16cid:durableId="3124918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3" w16cid:durableId="4110502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4" w16cid:durableId="12942927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5" w16cid:durableId="1056707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6" w16cid:durableId="9600652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7" w16cid:durableId="1078020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8" w16cid:durableId="1139768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9" w16cid:durableId="21416517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0" w16cid:durableId="136541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1" w16cid:durableId="20337261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2" w16cid:durableId="17319283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3" w16cid:durableId="15895828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4" w16cid:durableId="10147677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5" w16cid:durableId="16257654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6" w16cid:durableId="20865368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7" w16cid:durableId="6474412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8" w16cid:durableId="10139170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9" w16cid:durableId="12832266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0" w16cid:durableId="2815018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1" w16cid:durableId="12024792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2" w16cid:durableId="2911810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3" w16cid:durableId="1444690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4" w16cid:durableId="10898841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5" w16cid:durableId="7673145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16cid:durableId="12395131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7" w16cid:durableId="20425120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8" w16cid:durableId="7351297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16cid:durableId="19219375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0" w16cid:durableId="6096309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1" w16cid:durableId="14682034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2" w16cid:durableId="12306573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3" w16cid:durableId="3993337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4" w16cid:durableId="57370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5" w16cid:durableId="17790600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6" w16cid:durableId="12383231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7" w16cid:durableId="518568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8" w16cid:durableId="17772175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9" w16cid:durableId="15068956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0" w16cid:durableId="350184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1" w16cid:durableId="13634369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2" w16cid:durableId="4552990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3" w16cid:durableId="1895308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4" w16cid:durableId="2449928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5" w16cid:durableId="20232400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6" w16cid:durableId="1005936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7" w16cid:durableId="1433823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16cid:durableId="1649818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9" w16cid:durableId="20428251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0" w16cid:durableId="9654768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1" w16cid:durableId="904292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2" w16cid:durableId="16917590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16cid:durableId="6326369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4" w16cid:durableId="1482697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5" w16cid:durableId="4735696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6" w16cid:durableId="17493020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7" w16cid:durableId="16297026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8" w16cid:durableId="42848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9" w16cid:durableId="17346912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0" w16cid:durableId="15003851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1" w16cid:durableId="3928994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2" w16cid:durableId="4832051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3" w16cid:durableId="1248578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4" w16cid:durableId="8134543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5" w16cid:durableId="7249143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6" w16cid:durableId="7696610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7" w16cid:durableId="3022016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8" w16cid:durableId="5068721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9" w16cid:durableId="14098421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0" w16cid:durableId="15906246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1" w16cid:durableId="16575385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2" w16cid:durableId="99047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3" w16cid:durableId="7506164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4" w16cid:durableId="730538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5" w16cid:durableId="1557548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6" w16cid:durableId="10890431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7" w16cid:durableId="13560055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8" w16cid:durableId="1586038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9" w16cid:durableId="1078820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0" w16cid:durableId="8469896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1" w16cid:durableId="1522557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2" w16cid:durableId="8124049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3" w16cid:durableId="12494581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4" w16cid:durableId="12316929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5" w16cid:durableId="352023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6" w16cid:durableId="2532450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7" w16cid:durableId="9756407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8" w16cid:durableId="15360415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9" w16cid:durableId="8373096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16cid:durableId="9846240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1" w16cid:durableId="1119957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2" w16cid:durableId="2623414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3" w16cid:durableId="810093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4" w16cid:durableId="17558602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5" w16cid:durableId="529699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6" w16cid:durableId="17109135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7" w16cid:durableId="851723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8" w16cid:durableId="1673529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9" w16cid:durableId="20347204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0" w16cid:durableId="1217772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1" w16cid:durableId="9040323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2" w16cid:durableId="16788011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3" w16cid:durableId="17413659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4" w16cid:durableId="19290018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5" w16cid:durableId="5084453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6" w16cid:durableId="1029911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7" w16cid:durableId="1877934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8" w16cid:durableId="15390505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9" w16cid:durableId="16934583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0" w16cid:durableId="843030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1" w16cid:durableId="8865250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2" w16cid:durableId="15850719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3" w16cid:durableId="19288020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4" w16cid:durableId="7951742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5" w16cid:durableId="919785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6" w16cid:durableId="20293350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7" w16cid:durableId="10526597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8" w16cid:durableId="10999067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9" w16cid:durableId="105662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0" w16cid:durableId="7710550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1" w16cid:durableId="18282791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2" w16cid:durableId="1357657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3" w16cid:durableId="17875804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4" w16cid:durableId="6516381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5" w16cid:durableId="9270803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6" w16cid:durableId="3780951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7" w16cid:durableId="247887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8" w16cid:durableId="7866292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9" w16cid:durableId="16579537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 w16cid:durableId="12806440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1" w16cid:durableId="5634182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2" w16cid:durableId="19407989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3" w16cid:durableId="1171413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4" w16cid:durableId="355543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5" w16cid:durableId="13755394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6" w16cid:durableId="7527479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7" w16cid:durableId="18405831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8" w16cid:durableId="7656860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9" w16cid:durableId="20422462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0" w16cid:durableId="14464590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1" w16cid:durableId="19264554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2" w16cid:durableId="21367569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3" w16cid:durableId="13955467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4" w16cid:durableId="1192958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5" w16cid:durableId="861819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6" w16cid:durableId="13293645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7" w16cid:durableId="996149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8" w16cid:durableId="10491898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9" w16cid:durableId="17619526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0" w16cid:durableId="1573391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1" w16cid:durableId="131824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2" w16cid:durableId="1835563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3" w16cid:durableId="16054542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4" w16cid:durableId="17875763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5" w16cid:durableId="16549936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6" w16cid:durableId="6417409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7" w16cid:durableId="16702832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8" w16cid:durableId="949124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9" w16cid:durableId="8327683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0" w16cid:durableId="14724806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1" w16cid:durableId="908734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2" w16cid:durableId="8561146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3" w16cid:durableId="12742834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4" w16cid:durableId="17791360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5" w16cid:durableId="13121761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6" w16cid:durableId="16323222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7" w16cid:durableId="619606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8" w16cid:durableId="5338840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9" w16cid:durableId="4873313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0" w16cid:durableId="21191751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1" w16cid:durableId="11606594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2" w16cid:durableId="19031041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3" w16cid:durableId="1549032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4" w16cid:durableId="11628905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5" w16cid:durableId="12503870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6" w16cid:durableId="8654815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7" w16cid:durableId="12581270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8" w16cid:durableId="16517155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9" w16cid:durableId="352826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0" w16cid:durableId="9804248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1" w16cid:durableId="12626869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2" w16cid:durableId="7726768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3" w16cid:durableId="18297145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4" w16cid:durableId="13221932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5" w16cid:durableId="2129280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6" w16cid:durableId="19332712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7" w16cid:durableId="14661964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8" w16cid:durableId="2273032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9" w16cid:durableId="8749304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0" w16cid:durableId="465376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1" w16cid:durableId="9104292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2" w16cid:durableId="15203193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3" w16cid:durableId="8865737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4" w16cid:durableId="106198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5" w16cid:durableId="9399212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6" w16cid:durableId="15354642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7" w16cid:durableId="1943029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8" w16cid:durableId="1142036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9" w16cid:durableId="9901320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0" w16cid:durableId="5548583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1" w16cid:durableId="1084770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2" w16cid:durableId="141211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3" w16cid:durableId="1108230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4" w16cid:durableId="1429618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5" w16cid:durableId="9754480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6" w16cid:durableId="19745583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7" w16cid:durableId="15979760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8" w16cid:durableId="10954373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9" w16cid:durableId="635322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0" w16cid:durableId="14131170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1" w16cid:durableId="3410553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2" w16cid:durableId="17330456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3" w16cid:durableId="2333155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4" w16cid:durableId="3610586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5" w16cid:durableId="3678745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6" w16cid:durableId="1775708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7" w16cid:durableId="5058274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8" w16cid:durableId="259120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9" w16cid:durableId="18590826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0" w16cid:durableId="1346713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1" w16cid:durableId="9576433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2" w16cid:durableId="449857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3" w16cid:durableId="4004908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16cid:durableId="12727409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5" w16cid:durableId="21346398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6" w16cid:durableId="3462945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7" w16cid:durableId="16363695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8" w16cid:durableId="548109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9" w16cid:durableId="4929897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16cid:durableId="19298051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1" w16cid:durableId="18422349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16cid:durableId="13183429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16cid:durableId="5416752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16cid:durableId="16325128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16cid:durableId="14917968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16cid:durableId="1020426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16cid:durableId="11278976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16cid:durableId="16367910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16cid:durableId="16921480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16cid:durableId="15107550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16cid:durableId="14493966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16cid:durableId="11472861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16cid:durableId="18725756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16cid:durableId="20847898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16cid:durableId="20093645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16cid:durableId="15047831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16cid:durableId="19226360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16cid:durableId="16999689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16cid:durableId="658460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16cid:durableId="7241108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16cid:durableId="8008095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16cid:durableId="16636542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16cid:durableId="12945618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16cid:durableId="7247951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16cid:durableId="17029002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16cid:durableId="7467342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16cid:durableId="1192375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16cid:durableId="2659702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16cid:durableId="1523015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16cid:durableId="5338887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16cid:durableId="11390348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16cid:durableId="1045763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16cid:durableId="7051799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16cid:durableId="4347938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16cid:durableId="7463443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16cid:durableId="9973455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16cid:durableId="7945190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16cid:durableId="5714253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16cid:durableId="8392786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16cid:durableId="14705941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16cid:durableId="1225021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16cid:durableId="10777498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16cid:durableId="11056140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16cid:durableId="13376582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16cid:durableId="1112183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16cid:durableId="18412377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16cid:durableId="640967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16cid:durableId="7137763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16cid:durableId="5682758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16cid:durableId="13583856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16cid:durableId="9065758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16cid:durableId="8228964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16cid:durableId="1130783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16cid:durableId="17537002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16cid:durableId="10549629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16cid:durableId="10349610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16cid:durableId="4361034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16cid:durableId="5559001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16cid:durableId="4846627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16cid:durableId="93481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16cid:durableId="12644118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6" w:nlCheck="1" w:checkStyle="1"/>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stylePaneFormatFilter w:val="3A01" w:allStyles="1" w:customStyles="0" w:latentStyles="0" w:stylesInUse="0" w:headingStyles="0" w:numberingStyles="0" w:tableStyles="0" w:directFormattingOnRuns="0" w:directFormattingOnParagraphs="1" w:directFormattingOnNumbering="0" w:directFormattingOnTables="1" w:clearFormatting="1" w:top3HeadingStyles="1" w:visibleStyles="0" w:alternateStyleNames="0"/>
  <w:stylePaneSortMethod w:val="0000"/>
  <w:documentProtection w:edit="trackedChanges" w:enforcement="0"/>
  <w:defaultTabStop w:val="720"/>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A26"/>
    <w:rsid w:val="00000052"/>
    <w:rsid w:val="000001DE"/>
    <w:rsid w:val="00000323"/>
    <w:rsid w:val="000003BC"/>
    <w:rsid w:val="00000580"/>
    <w:rsid w:val="00000645"/>
    <w:rsid w:val="00000675"/>
    <w:rsid w:val="000007B2"/>
    <w:rsid w:val="00000948"/>
    <w:rsid w:val="00000A1C"/>
    <w:rsid w:val="00000A47"/>
    <w:rsid w:val="00000CE8"/>
    <w:rsid w:val="00000DD2"/>
    <w:rsid w:val="00000E94"/>
    <w:rsid w:val="00001469"/>
    <w:rsid w:val="00001501"/>
    <w:rsid w:val="000015CC"/>
    <w:rsid w:val="0000176E"/>
    <w:rsid w:val="0000184E"/>
    <w:rsid w:val="00001976"/>
    <w:rsid w:val="0000199D"/>
    <w:rsid w:val="000019A4"/>
    <w:rsid w:val="000019C3"/>
    <w:rsid w:val="00001A16"/>
    <w:rsid w:val="00001A69"/>
    <w:rsid w:val="00001AB0"/>
    <w:rsid w:val="00001D59"/>
    <w:rsid w:val="00001F08"/>
    <w:rsid w:val="00002090"/>
    <w:rsid w:val="0000227D"/>
    <w:rsid w:val="00002402"/>
    <w:rsid w:val="000025F1"/>
    <w:rsid w:val="00002656"/>
    <w:rsid w:val="00002724"/>
    <w:rsid w:val="00002804"/>
    <w:rsid w:val="0000296A"/>
    <w:rsid w:val="0000297E"/>
    <w:rsid w:val="00002D07"/>
    <w:rsid w:val="0000324F"/>
    <w:rsid w:val="0000334E"/>
    <w:rsid w:val="00003429"/>
    <w:rsid w:val="00003449"/>
    <w:rsid w:val="00003B53"/>
    <w:rsid w:val="00003BCA"/>
    <w:rsid w:val="00003ED7"/>
    <w:rsid w:val="00003F9D"/>
    <w:rsid w:val="00003FE2"/>
    <w:rsid w:val="000040D7"/>
    <w:rsid w:val="000041BF"/>
    <w:rsid w:val="00004644"/>
    <w:rsid w:val="000048DF"/>
    <w:rsid w:val="0000496F"/>
    <w:rsid w:val="000049AA"/>
    <w:rsid w:val="000049F2"/>
    <w:rsid w:val="00004A01"/>
    <w:rsid w:val="00004A8A"/>
    <w:rsid w:val="00004D7B"/>
    <w:rsid w:val="00004EC3"/>
    <w:rsid w:val="00005302"/>
    <w:rsid w:val="00005323"/>
    <w:rsid w:val="00005448"/>
    <w:rsid w:val="0000575D"/>
    <w:rsid w:val="000059A6"/>
    <w:rsid w:val="00005C31"/>
    <w:rsid w:val="0000617E"/>
    <w:rsid w:val="00006252"/>
    <w:rsid w:val="000063CD"/>
    <w:rsid w:val="000063D7"/>
    <w:rsid w:val="0000640B"/>
    <w:rsid w:val="0000675F"/>
    <w:rsid w:val="00006920"/>
    <w:rsid w:val="0000696A"/>
    <w:rsid w:val="00006AD2"/>
    <w:rsid w:val="00006BD2"/>
    <w:rsid w:val="0000713B"/>
    <w:rsid w:val="000072A2"/>
    <w:rsid w:val="000076DF"/>
    <w:rsid w:val="000077A9"/>
    <w:rsid w:val="00007983"/>
    <w:rsid w:val="00007C62"/>
    <w:rsid w:val="00007D41"/>
    <w:rsid w:val="00007DAA"/>
    <w:rsid w:val="00010129"/>
    <w:rsid w:val="0001018B"/>
    <w:rsid w:val="000103F2"/>
    <w:rsid w:val="00010641"/>
    <w:rsid w:val="00010B38"/>
    <w:rsid w:val="00010BA2"/>
    <w:rsid w:val="0001102A"/>
    <w:rsid w:val="00011223"/>
    <w:rsid w:val="000112DC"/>
    <w:rsid w:val="00011407"/>
    <w:rsid w:val="00011436"/>
    <w:rsid w:val="00011974"/>
    <w:rsid w:val="00011A2B"/>
    <w:rsid w:val="00011B7B"/>
    <w:rsid w:val="00011D23"/>
    <w:rsid w:val="00011E2F"/>
    <w:rsid w:val="00011E7B"/>
    <w:rsid w:val="00012138"/>
    <w:rsid w:val="00012242"/>
    <w:rsid w:val="000122BF"/>
    <w:rsid w:val="00012523"/>
    <w:rsid w:val="00012616"/>
    <w:rsid w:val="00012670"/>
    <w:rsid w:val="00012698"/>
    <w:rsid w:val="000127E3"/>
    <w:rsid w:val="00012E35"/>
    <w:rsid w:val="00012F7D"/>
    <w:rsid w:val="0001304A"/>
    <w:rsid w:val="00013169"/>
    <w:rsid w:val="00013540"/>
    <w:rsid w:val="0001378D"/>
    <w:rsid w:val="00013942"/>
    <w:rsid w:val="00013A87"/>
    <w:rsid w:val="00013D70"/>
    <w:rsid w:val="0001402C"/>
    <w:rsid w:val="0001412A"/>
    <w:rsid w:val="000142AD"/>
    <w:rsid w:val="0001431A"/>
    <w:rsid w:val="0001432A"/>
    <w:rsid w:val="0001459F"/>
    <w:rsid w:val="000145E7"/>
    <w:rsid w:val="000148DF"/>
    <w:rsid w:val="00014931"/>
    <w:rsid w:val="00014963"/>
    <w:rsid w:val="00014A83"/>
    <w:rsid w:val="00014ADB"/>
    <w:rsid w:val="00014B3C"/>
    <w:rsid w:val="00015122"/>
    <w:rsid w:val="00015238"/>
    <w:rsid w:val="00015444"/>
    <w:rsid w:val="000158C5"/>
    <w:rsid w:val="000159EC"/>
    <w:rsid w:val="00015B45"/>
    <w:rsid w:val="00015C22"/>
    <w:rsid w:val="00015C30"/>
    <w:rsid w:val="00015C70"/>
    <w:rsid w:val="00015C7A"/>
    <w:rsid w:val="00015DF8"/>
    <w:rsid w:val="00015F33"/>
    <w:rsid w:val="000163BF"/>
    <w:rsid w:val="000164C9"/>
    <w:rsid w:val="000167A9"/>
    <w:rsid w:val="00016ADF"/>
    <w:rsid w:val="00016AE8"/>
    <w:rsid w:val="00016C86"/>
    <w:rsid w:val="00016EFD"/>
    <w:rsid w:val="00017099"/>
    <w:rsid w:val="00017232"/>
    <w:rsid w:val="0001776F"/>
    <w:rsid w:val="00017806"/>
    <w:rsid w:val="00017A2B"/>
    <w:rsid w:val="00017B63"/>
    <w:rsid w:val="00017BC4"/>
    <w:rsid w:val="00017E68"/>
    <w:rsid w:val="00017EDD"/>
    <w:rsid w:val="00017FEF"/>
    <w:rsid w:val="000201D0"/>
    <w:rsid w:val="0002051A"/>
    <w:rsid w:val="00020E9F"/>
    <w:rsid w:val="00021321"/>
    <w:rsid w:val="00021785"/>
    <w:rsid w:val="0002185A"/>
    <w:rsid w:val="000218F2"/>
    <w:rsid w:val="00021AC8"/>
    <w:rsid w:val="00021C62"/>
    <w:rsid w:val="00021EB6"/>
    <w:rsid w:val="00021F27"/>
    <w:rsid w:val="00021FDC"/>
    <w:rsid w:val="00022002"/>
    <w:rsid w:val="000229C4"/>
    <w:rsid w:val="00022A20"/>
    <w:rsid w:val="00022C93"/>
    <w:rsid w:val="00023082"/>
    <w:rsid w:val="000237C4"/>
    <w:rsid w:val="0002384F"/>
    <w:rsid w:val="00023A14"/>
    <w:rsid w:val="00023E0F"/>
    <w:rsid w:val="00023E60"/>
    <w:rsid w:val="000242AB"/>
    <w:rsid w:val="000242C4"/>
    <w:rsid w:val="0002493C"/>
    <w:rsid w:val="000249BD"/>
    <w:rsid w:val="00024C80"/>
    <w:rsid w:val="00024E6A"/>
    <w:rsid w:val="00024F26"/>
    <w:rsid w:val="00025032"/>
    <w:rsid w:val="0002514C"/>
    <w:rsid w:val="00025340"/>
    <w:rsid w:val="00025469"/>
    <w:rsid w:val="0002554A"/>
    <w:rsid w:val="00025853"/>
    <w:rsid w:val="00025DC1"/>
    <w:rsid w:val="00025E5A"/>
    <w:rsid w:val="00025F3F"/>
    <w:rsid w:val="00025FB1"/>
    <w:rsid w:val="00026058"/>
    <w:rsid w:val="00026064"/>
    <w:rsid w:val="000260A4"/>
    <w:rsid w:val="00026114"/>
    <w:rsid w:val="00026307"/>
    <w:rsid w:val="00026674"/>
    <w:rsid w:val="000269AD"/>
    <w:rsid w:val="00026C92"/>
    <w:rsid w:val="00026D51"/>
    <w:rsid w:val="00026DC2"/>
    <w:rsid w:val="00026F69"/>
    <w:rsid w:val="00026FE4"/>
    <w:rsid w:val="0002717C"/>
    <w:rsid w:val="00027267"/>
    <w:rsid w:val="0002726C"/>
    <w:rsid w:val="000274D2"/>
    <w:rsid w:val="00027504"/>
    <w:rsid w:val="000275CF"/>
    <w:rsid w:val="00027AE2"/>
    <w:rsid w:val="00027E3F"/>
    <w:rsid w:val="000300DD"/>
    <w:rsid w:val="000301ED"/>
    <w:rsid w:val="00030549"/>
    <w:rsid w:val="00030658"/>
    <w:rsid w:val="00030749"/>
    <w:rsid w:val="0003074C"/>
    <w:rsid w:val="00030A9A"/>
    <w:rsid w:val="00030A9B"/>
    <w:rsid w:val="00030B7E"/>
    <w:rsid w:val="00030C05"/>
    <w:rsid w:val="00030E4F"/>
    <w:rsid w:val="00030E77"/>
    <w:rsid w:val="00030FBB"/>
    <w:rsid w:val="00031184"/>
    <w:rsid w:val="00031215"/>
    <w:rsid w:val="0003139C"/>
    <w:rsid w:val="000314F8"/>
    <w:rsid w:val="0003158A"/>
    <w:rsid w:val="00031659"/>
    <w:rsid w:val="000319B6"/>
    <w:rsid w:val="00031BEB"/>
    <w:rsid w:val="00031C1A"/>
    <w:rsid w:val="00031C25"/>
    <w:rsid w:val="0003201E"/>
    <w:rsid w:val="000321A4"/>
    <w:rsid w:val="0003228E"/>
    <w:rsid w:val="00032746"/>
    <w:rsid w:val="00033029"/>
    <w:rsid w:val="00033253"/>
    <w:rsid w:val="000338FE"/>
    <w:rsid w:val="00033ACB"/>
    <w:rsid w:val="00033ADC"/>
    <w:rsid w:val="00033D2C"/>
    <w:rsid w:val="00033D77"/>
    <w:rsid w:val="00033E6A"/>
    <w:rsid w:val="000340C1"/>
    <w:rsid w:val="0003416B"/>
    <w:rsid w:val="00034278"/>
    <w:rsid w:val="00034349"/>
    <w:rsid w:val="00034392"/>
    <w:rsid w:val="00034712"/>
    <w:rsid w:val="000347E4"/>
    <w:rsid w:val="00034830"/>
    <w:rsid w:val="000348D4"/>
    <w:rsid w:val="00034C63"/>
    <w:rsid w:val="00034ED0"/>
    <w:rsid w:val="00035016"/>
    <w:rsid w:val="0003526B"/>
    <w:rsid w:val="000352D0"/>
    <w:rsid w:val="00035614"/>
    <w:rsid w:val="000359D9"/>
    <w:rsid w:val="00035AF5"/>
    <w:rsid w:val="00035C29"/>
    <w:rsid w:val="00035C8F"/>
    <w:rsid w:val="00035D03"/>
    <w:rsid w:val="00035E28"/>
    <w:rsid w:val="00036462"/>
    <w:rsid w:val="000364E7"/>
    <w:rsid w:val="000365F3"/>
    <w:rsid w:val="000366A6"/>
    <w:rsid w:val="0003671B"/>
    <w:rsid w:val="000368F0"/>
    <w:rsid w:val="00036BF7"/>
    <w:rsid w:val="00036CAD"/>
    <w:rsid w:val="00036F52"/>
    <w:rsid w:val="00036F71"/>
    <w:rsid w:val="000370A0"/>
    <w:rsid w:val="000372DD"/>
    <w:rsid w:val="00037315"/>
    <w:rsid w:val="000375A7"/>
    <w:rsid w:val="000378FE"/>
    <w:rsid w:val="00037AC6"/>
    <w:rsid w:val="00037F76"/>
    <w:rsid w:val="00040780"/>
    <w:rsid w:val="000409E4"/>
    <w:rsid w:val="00040EA7"/>
    <w:rsid w:val="000411C8"/>
    <w:rsid w:val="00041406"/>
    <w:rsid w:val="0004144B"/>
    <w:rsid w:val="00041527"/>
    <w:rsid w:val="000417F2"/>
    <w:rsid w:val="00041874"/>
    <w:rsid w:val="0004196E"/>
    <w:rsid w:val="00041BCA"/>
    <w:rsid w:val="00042028"/>
    <w:rsid w:val="00042259"/>
    <w:rsid w:val="00042379"/>
    <w:rsid w:val="000424C9"/>
    <w:rsid w:val="000425D4"/>
    <w:rsid w:val="000425D6"/>
    <w:rsid w:val="00042712"/>
    <w:rsid w:val="000427BE"/>
    <w:rsid w:val="000427CF"/>
    <w:rsid w:val="00042AB6"/>
    <w:rsid w:val="00042B1C"/>
    <w:rsid w:val="00042C04"/>
    <w:rsid w:val="00042C08"/>
    <w:rsid w:val="00042C57"/>
    <w:rsid w:val="00042D3A"/>
    <w:rsid w:val="00042D73"/>
    <w:rsid w:val="0004308E"/>
    <w:rsid w:val="000431C1"/>
    <w:rsid w:val="000434E4"/>
    <w:rsid w:val="0004365B"/>
    <w:rsid w:val="00043712"/>
    <w:rsid w:val="000437E9"/>
    <w:rsid w:val="0004395D"/>
    <w:rsid w:val="00043E9A"/>
    <w:rsid w:val="00044101"/>
    <w:rsid w:val="0004425A"/>
    <w:rsid w:val="000443E3"/>
    <w:rsid w:val="00044571"/>
    <w:rsid w:val="00044736"/>
    <w:rsid w:val="00044A56"/>
    <w:rsid w:val="00044A82"/>
    <w:rsid w:val="00045270"/>
    <w:rsid w:val="000454A4"/>
    <w:rsid w:val="00045541"/>
    <w:rsid w:val="000455DB"/>
    <w:rsid w:val="00045B5E"/>
    <w:rsid w:val="00045D16"/>
    <w:rsid w:val="00045D88"/>
    <w:rsid w:val="000460F2"/>
    <w:rsid w:val="0004610C"/>
    <w:rsid w:val="0004643A"/>
    <w:rsid w:val="0004659E"/>
    <w:rsid w:val="0004678D"/>
    <w:rsid w:val="00046849"/>
    <w:rsid w:val="00046854"/>
    <w:rsid w:val="00046891"/>
    <w:rsid w:val="00046EAE"/>
    <w:rsid w:val="00046F7C"/>
    <w:rsid w:val="0004716C"/>
    <w:rsid w:val="00047536"/>
    <w:rsid w:val="00047701"/>
    <w:rsid w:val="00047829"/>
    <w:rsid w:val="00047903"/>
    <w:rsid w:val="000479A7"/>
    <w:rsid w:val="00047BA4"/>
    <w:rsid w:val="00047D3C"/>
    <w:rsid w:val="00047DE5"/>
    <w:rsid w:val="00047F65"/>
    <w:rsid w:val="000500E3"/>
    <w:rsid w:val="000501BA"/>
    <w:rsid w:val="000502A9"/>
    <w:rsid w:val="0005036E"/>
    <w:rsid w:val="00050372"/>
    <w:rsid w:val="0005043B"/>
    <w:rsid w:val="0005088D"/>
    <w:rsid w:val="00050AE2"/>
    <w:rsid w:val="00050BA3"/>
    <w:rsid w:val="00051214"/>
    <w:rsid w:val="00051412"/>
    <w:rsid w:val="000514F9"/>
    <w:rsid w:val="00051592"/>
    <w:rsid w:val="00051B4B"/>
    <w:rsid w:val="00051B67"/>
    <w:rsid w:val="00051CB3"/>
    <w:rsid w:val="00051CF3"/>
    <w:rsid w:val="00051EBE"/>
    <w:rsid w:val="00052007"/>
    <w:rsid w:val="00052038"/>
    <w:rsid w:val="00052057"/>
    <w:rsid w:val="000520B6"/>
    <w:rsid w:val="00052142"/>
    <w:rsid w:val="00052229"/>
    <w:rsid w:val="00052375"/>
    <w:rsid w:val="0005253E"/>
    <w:rsid w:val="000525ED"/>
    <w:rsid w:val="00052A7F"/>
    <w:rsid w:val="00052C0A"/>
    <w:rsid w:val="00052C4B"/>
    <w:rsid w:val="00052CD6"/>
    <w:rsid w:val="0005315B"/>
    <w:rsid w:val="00053167"/>
    <w:rsid w:val="00053549"/>
    <w:rsid w:val="0005381D"/>
    <w:rsid w:val="00053862"/>
    <w:rsid w:val="000538E0"/>
    <w:rsid w:val="00053950"/>
    <w:rsid w:val="00053A39"/>
    <w:rsid w:val="00053AEC"/>
    <w:rsid w:val="00053B99"/>
    <w:rsid w:val="00053CDF"/>
    <w:rsid w:val="00053E3E"/>
    <w:rsid w:val="00054039"/>
    <w:rsid w:val="000541A3"/>
    <w:rsid w:val="00054590"/>
    <w:rsid w:val="0005459D"/>
    <w:rsid w:val="000545EA"/>
    <w:rsid w:val="00054692"/>
    <w:rsid w:val="000547B4"/>
    <w:rsid w:val="00054845"/>
    <w:rsid w:val="000548F4"/>
    <w:rsid w:val="00054EF2"/>
    <w:rsid w:val="000550C7"/>
    <w:rsid w:val="00055409"/>
    <w:rsid w:val="000555F9"/>
    <w:rsid w:val="0005565E"/>
    <w:rsid w:val="00055803"/>
    <w:rsid w:val="00055811"/>
    <w:rsid w:val="000559BB"/>
    <w:rsid w:val="00055A2E"/>
    <w:rsid w:val="00055B6D"/>
    <w:rsid w:val="00055D26"/>
    <w:rsid w:val="00055D5F"/>
    <w:rsid w:val="00055D7D"/>
    <w:rsid w:val="00055DB8"/>
    <w:rsid w:val="00055F25"/>
    <w:rsid w:val="00056075"/>
    <w:rsid w:val="0005610D"/>
    <w:rsid w:val="0005611D"/>
    <w:rsid w:val="000561CE"/>
    <w:rsid w:val="00056604"/>
    <w:rsid w:val="000566E6"/>
    <w:rsid w:val="0005681A"/>
    <w:rsid w:val="000569E6"/>
    <w:rsid w:val="00056C46"/>
    <w:rsid w:val="00056D44"/>
    <w:rsid w:val="00056E74"/>
    <w:rsid w:val="00057127"/>
    <w:rsid w:val="0005721A"/>
    <w:rsid w:val="00057737"/>
    <w:rsid w:val="0005774B"/>
    <w:rsid w:val="0005796C"/>
    <w:rsid w:val="00057F00"/>
    <w:rsid w:val="00060125"/>
    <w:rsid w:val="00060251"/>
    <w:rsid w:val="00060286"/>
    <w:rsid w:val="000602BF"/>
    <w:rsid w:val="00060412"/>
    <w:rsid w:val="00060B42"/>
    <w:rsid w:val="00060B74"/>
    <w:rsid w:val="00060BB8"/>
    <w:rsid w:val="00060BF1"/>
    <w:rsid w:val="00060C79"/>
    <w:rsid w:val="0006102F"/>
    <w:rsid w:val="000610D1"/>
    <w:rsid w:val="000615EC"/>
    <w:rsid w:val="00061601"/>
    <w:rsid w:val="000616DC"/>
    <w:rsid w:val="000618C2"/>
    <w:rsid w:val="0006190B"/>
    <w:rsid w:val="0006197A"/>
    <w:rsid w:val="00061E85"/>
    <w:rsid w:val="000621E6"/>
    <w:rsid w:val="000623FA"/>
    <w:rsid w:val="00062473"/>
    <w:rsid w:val="0006253E"/>
    <w:rsid w:val="0006278E"/>
    <w:rsid w:val="000629B8"/>
    <w:rsid w:val="00062CC3"/>
    <w:rsid w:val="000631A6"/>
    <w:rsid w:val="00063498"/>
    <w:rsid w:val="0006356E"/>
    <w:rsid w:val="0006372F"/>
    <w:rsid w:val="00063758"/>
    <w:rsid w:val="000637F2"/>
    <w:rsid w:val="000639A2"/>
    <w:rsid w:val="000639A7"/>
    <w:rsid w:val="00063C9D"/>
    <w:rsid w:val="00063F79"/>
    <w:rsid w:val="00063FAE"/>
    <w:rsid w:val="00063FD2"/>
    <w:rsid w:val="0006426E"/>
    <w:rsid w:val="000643E1"/>
    <w:rsid w:val="00064529"/>
    <w:rsid w:val="00064692"/>
    <w:rsid w:val="00064694"/>
    <w:rsid w:val="000647F1"/>
    <w:rsid w:val="00064978"/>
    <w:rsid w:val="00064AF8"/>
    <w:rsid w:val="00064BB4"/>
    <w:rsid w:val="00064E0B"/>
    <w:rsid w:val="0006512D"/>
    <w:rsid w:val="00065388"/>
    <w:rsid w:val="000655FC"/>
    <w:rsid w:val="00065C6B"/>
    <w:rsid w:val="00065FB1"/>
    <w:rsid w:val="0006602E"/>
    <w:rsid w:val="0006630F"/>
    <w:rsid w:val="0006649A"/>
    <w:rsid w:val="000665B0"/>
    <w:rsid w:val="000665BE"/>
    <w:rsid w:val="00066715"/>
    <w:rsid w:val="00066767"/>
    <w:rsid w:val="00066AA4"/>
    <w:rsid w:val="00066AD9"/>
    <w:rsid w:val="00066B80"/>
    <w:rsid w:val="00066BF9"/>
    <w:rsid w:val="00066C0B"/>
    <w:rsid w:val="00066FAC"/>
    <w:rsid w:val="000671AC"/>
    <w:rsid w:val="00067371"/>
    <w:rsid w:val="00067622"/>
    <w:rsid w:val="00067666"/>
    <w:rsid w:val="00067674"/>
    <w:rsid w:val="00067852"/>
    <w:rsid w:val="000679C2"/>
    <w:rsid w:val="00067B19"/>
    <w:rsid w:val="00067C65"/>
    <w:rsid w:val="00067D77"/>
    <w:rsid w:val="00067EE1"/>
    <w:rsid w:val="00067F4E"/>
    <w:rsid w:val="00067F5D"/>
    <w:rsid w:val="0007010D"/>
    <w:rsid w:val="000702AF"/>
    <w:rsid w:val="000702D8"/>
    <w:rsid w:val="000706D7"/>
    <w:rsid w:val="00070816"/>
    <w:rsid w:val="00070929"/>
    <w:rsid w:val="00070E1D"/>
    <w:rsid w:val="00070EDC"/>
    <w:rsid w:val="00070F50"/>
    <w:rsid w:val="00070F9E"/>
    <w:rsid w:val="00071036"/>
    <w:rsid w:val="000710D2"/>
    <w:rsid w:val="000712FD"/>
    <w:rsid w:val="000714EF"/>
    <w:rsid w:val="00071543"/>
    <w:rsid w:val="00071837"/>
    <w:rsid w:val="00071A68"/>
    <w:rsid w:val="00071DC4"/>
    <w:rsid w:val="00071EA6"/>
    <w:rsid w:val="00071F2E"/>
    <w:rsid w:val="000725BC"/>
    <w:rsid w:val="00072699"/>
    <w:rsid w:val="000726B2"/>
    <w:rsid w:val="0007282F"/>
    <w:rsid w:val="00072A28"/>
    <w:rsid w:val="00072DDD"/>
    <w:rsid w:val="00072F82"/>
    <w:rsid w:val="00072FE7"/>
    <w:rsid w:val="0007313D"/>
    <w:rsid w:val="000732BE"/>
    <w:rsid w:val="0007331C"/>
    <w:rsid w:val="00073385"/>
    <w:rsid w:val="000734A3"/>
    <w:rsid w:val="000735EB"/>
    <w:rsid w:val="00073656"/>
    <w:rsid w:val="000737FC"/>
    <w:rsid w:val="00073804"/>
    <w:rsid w:val="00073922"/>
    <w:rsid w:val="0007393C"/>
    <w:rsid w:val="00073955"/>
    <w:rsid w:val="00073A62"/>
    <w:rsid w:val="00073ABE"/>
    <w:rsid w:val="00073D3B"/>
    <w:rsid w:val="00073E57"/>
    <w:rsid w:val="000741C5"/>
    <w:rsid w:val="00074274"/>
    <w:rsid w:val="00074332"/>
    <w:rsid w:val="0007459B"/>
    <w:rsid w:val="000745CD"/>
    <w:rsid w:val="00074880"/>
    <w:rsid w:val="00074B00"/>
    <w:rsid w:val="00074C0D"/>
    <w:rsid w:val="00074D79"/>
    <w:rsid w:val="00074DE4"/>
    <w:rsid w:val="00074F4F"/>
    <w:rsid w:val="00074FD2"/>
    <w:rsid w:val="000751D4"/>
    <w:rsid w:val="00075473"/>
    <w:rsid w:val="000754AE"/>
    <w:rsid w:val="00075666"/>
    <w:rsid w:val="00075784"/>
    <w:rsid w:val="00075AF5"/>
    <w:rsid w:val="00075B06"/>
    <w:rsid w:val="0007608B"/>
    <w:rsid w:val="000764CD"/>
    <w:rsid w:val="0007657F"/>
    <w:rsid w:val="00076A0B"/>
    <w:rsid w:val="00076B94"/>
    <w:rsid w:val="00076BD9"/>
    <w:rsid w:val="00076C9E"/>
    <w:rsid w:val="00076CBF"/>
    <w:rsid w:val="00076F6B"/>
    <w:rsid w:val="0007705A"/>
    <w:rsid w:val="000772A1"/>
    <w:rsid w:val="000773BF"/>
    <w:rsid w:val="00077681"/>
    <w:rsid w:val="00077813"/>
    <w:rsid w:val="00077872"/>
    <w:rsid w:val="00077B2C"/>
    <w:rsid w:val="00077E35"/>
    <w:rsid w:val="00077EC6"/>
    <w:rsid w:val="0008015E"/>
    <w:rsid w:val="00080283"/>
    <w:rsid w:val="00080427"/>
    <w:rsid w:val="000805CB"/>
    <w:rsid w:val="0008070B"/>
    <w:rsid w:val="000808E8"/>
    <w:rsid w:val="00080A0B"/>
    <w:rsid w:val="00080A43"/>
    <w:rsid w:val="00080B30"/>
    <w:rsid w:val="00080B9B"/>
    <w:rsid w:val="00080D4F"/>
    <w:rsid w:val="00080FCF"/>
    <w:rsid w:val="0008103D"/>
    <w:rsid w:val="000810A2"/>
    <w:rsid w:val="00081337"/>
    <w:rsid w:val="00081833"/>
    <w:rsid w:val="00081899"/>
    <w:rsid w:val="000818F0"/>
    <w:rsid w:val="00081AB0"/>
    <w:rsid w:val="00081C69"/>
    <w:rsid w:val="00081D60"/>
    <w:rsid w:val="00081FDF"/>
    <w:rsid w:val="0008209C"/>
    <w:rsid w:val="00082558"/>
    <w:rsid w:val="000825D0"/>
    <w:rsid w:val="000826C9"/>
    <w:rsid w:val="00082743"/>
    <w:rsid w:val="0008275C"/>
    <w:rsid w:val="00082782"/>
    <w:rsid w:val="0008284E"/>
    <w:rsid w:val="0008294C"/>
    <w:rsid w:val="00082AE0"/>
    <w:rsid w:val="00082C18"/>
    <w:rsid w:val="00082C4A"/>
    <w:rsid w:val="00082E20"/>
    <w:rsid w:val="00082F67"/>
    <w:rsid w:val="00082F69"/>
    <w:rsid w:val="00083005"/>
    <w:rsid w:val="000830EC"/>
    <w:rsid w:val="00083213"/>
    <w:rsid w:val="000836E1"/>
    <w:rsid w:val="00083752"/>
    <w:rsid w:val="000837D6"/>
    <w:rsid w:val="0008383E"/>
    <w:rsid w:val="00083869"/>
    <w:rsid w:val="0008399B"/>
    <w:rsid w:val="00083ABE"/>
    <w:rsid w:val="00083B29"/>
    <w:rsid w:val="00083C36"/>
    <w:rsid w:val="00083D63"/>
    <w:rsid w:val="000840E1"/>
    <w:rsid w:val="000840EC"/>
    <w:rsid w:val="000840FF"/>
    <w:rsid w:val="00084372"/>
    <w:rsid w:val="000843DB"/>
    <w:rsid w:val="0008441D"/>
    <w:rsid w:val="0008461A"/>
    <w:rsid w:val="00084A70"/>
    <w:rsid w:val="00084BAC"/>
    <w:rsid w:val="00084C36"/>
    <w:rsid w:val="00084FCE"/>
    <w:rsid w:val="000852D1"/>
    <w:rsid w:val="000854DC"/>
    <w:rsid w:val="000854EE"/>
    <w:rsid w:val="00085762"/>
    <w:rsid w:val="000857D5"/>
    <w:rsid w:val="00085881"/>
    <w:rsid w:val="00085A3C"/>
    <w:rsid w:val="00085AF0"/>
    <w:rsid w:val="00085C64"/>
    <w:rsid w:val="00085E8C"/>
    <w:rsid w:val="00086202"/>
    <w:rsid w:val="00086292"/>
    <w:rsid w:val="00086327"/>
    <w:rsid w:val="00086708"/>
    <w:rsid w:val="000868CE"/>
    <w:rsid w:val="00086D91"/>
    <w:rsid w:val="000873EF"/>
    <w:rsid w:val="000874C7"/>
    <w:rsid w:val="000876BC"/>
    <w:rsid w:val="00087716"/>
    <w:rsid w:val="00087C2C"/>
    <w:rsid w:val="00090226"/>
    <w:rsid w:val="0009055F"/>
    <w:rsid w:val="000905CC"/>
    <w:rsid w:val="000905F3"/>
    <w:rsid w:val="000907CC"/>
    <w:rsid w:val="00090959"/>
    <w:rsid w:val="00090B8D"/>
    <w:rsid w:val="00090C2C"/>
    <w:rsid w:val="00090D69"/>
    <w:rsid w:val="00090F8B"/>
    <w:rsid w:val="00090FE2"/>
    <w:rsid w:val="0009112A"/>
    <w:rsid w:val="000912D9"/>
    <w:rsid w:val="00091521"/>
    <w:rsid w:val="0009170B"/>
    <w:rsid w:val="00091789"/>
    <w:rsid w:val="00091A1E"/>
    <w:rsid w:val="00091A42"/>
    <w:rsid w:val="00091FEB"/>
    <w:rsid w:val="00092135"/>
    <w:rsid w:val="000928F2"/>
    <w:rsid w:val="00092B3C"/>
    <w:rsid w:val="00092BAE"/>
    <w:rsid w:val="00092CBE"/>
    <w:rsid w:val="00092D74"/>
    <w:rsid w:val="00092EA7"/>
    <w:rsid w:val="00093026"/>
    <w:rsid w:val="000930A1"/>
    <w:rsid w:val="0009329A"/>
    <w:rsid w:val="00093516"/>
    <w:rsid w:val="00093682"/>
    <w:rsid w:val="0009395E"/>
    <w:rsid w:val="00093977"/>
    <w:rsid w:val="00093A15"/>
    <w:rsid w:val="00093C35"/>
    <w:rsid w:val="00093ED0"/>
    <w:rsid w:val="00093EFC"/>
    <w:rsid w:val="0009454C"/>
    <w:rsid w:val="000945E8"/>
    <w:rsid w:val="000946B8"/>
    <w:rsid w:val="000947A4"/>
    <w:rsid w:val="000948D5"/>
    <w:rsid w:val="00094D21"/>
    <w:rsid w:val="00094E1E"/>
    <w:rsid w:val="00095191"/>
    <w:rsid w:val="000955E8"/>
    <w:rsid w:val="00095773"/>
    <w:rsid w:val="00095930"/>
    <w:rsid w:val="00095BEF"/>
    <w:rsid w:val="000967B9"/>
    <w:rsid w:val="0009681A"/>
    <w:rsid w:val="000969E7"/>
    <w:rsid w:val="000969F6"/>
    <w:rsid w:val="00096A14"/>
    <w:rsid w:val="00096AB3"/>
    <w:rsid w:val="00097090"/>
    <w:rsid w:val="000971A5"/>
    <w:rsid w:val="0009737E"/>
    <w:rsid w:val="0009743D"/>
    <w:rsid w:val="00097645"/>
    <w:rsid w:val="0009770D"/>
    <w:rsid w:val="0009791F"/>
    <w:rsid w:val="00097A14"/>
    <w:rsid w:val="00097A86"/>
    <w:rsid w:val="00097BB6"/>
    <w:rsid w:val="00097C00"/>
    <w:rsid w:val="000A0133"/>
    <w:rsid w:val="000A0A80"/>
    <w:rsid w:val="000A0A8C"/>
    <w:rsid w:val="000A0AEA"/>
    <w:rsid w:val="000A0B4A"/>
    <w:rsid w:val="000A0B98"/>
    <w:rsid w:val="000A0CD5"/>
    <w:rsid w:val="000A0E46"/>
    <w:rsid w:val="000A0E60"/>
    <w:rsid w:val="000A10C7"/>
    <w:rsid w:val="000A111A"/>
    <w:rsid w:val="000A11AA"/>
    <w:rsid w:val="000A13BA"/>
    <w:rsid w:val="000A16BD"/>
    <w:rsid w:val="000A177C"/>
    <w:rsid w:val="000A1B4C"/>
    <w:rsid w:val="000A1CAF"/>
    <w:rsid w:val="000A1E20"/>
    <w:rsid w:val="000A1EC0"/>
    <w:rsid w:val="000A20B4"/>
    <w:rsid w:val="000A22C7"/>
    <w:rsid w:val="000A280A"/>
    <w:rsid w:val="000A28F1"/>
    <w:rsid w:val="000A2A49"/>
    <w:rsid w:val="000A2AE8"/>
    <w:rsid w:val="000A2C95"/>
    <w:rsid w:val="000A2CA6"/>
    <w:rsid w:val="000A2F40"/>
    <w:rsid w:val="000A300F"/>
    <w:rsid w:val="000A3129"/>
    <w:rsid w:val="000A3212"/>
    <w:rsid w:val="000A32F8"/>
    <w:rsid w:val="000A3504"/>
    <w:rsid w:val="000A3708"/>
    <w:rsid w:val="000A39C5"/>
    <w:rsid w:val="000A3B05"/>
    <w:rsid w:val="000A3B1F"/>
    <w:rsid w:val="000A408B"/>
    <w:rsid w:val="000A414E"/>
    <w:rsid w:val="000A4549"/>
    <w:rsid w:val="000A47D1"/>
    <w:rsid w:val="000A4C79"/>
    <w:rsid w:val="000A5104"/>
    <w:rsid w:val="000A5120"/>
    <w:rsid w:val="000A5370"/>
    <w:rsid w:val="000A53A0"/>
    <w:rsid w:val="000A557F"/>
    <w:rsid w:val="000A5666"/>
    <w:rsid w:val="000A5752"/>
    <w:rsid w:val="000A586E"/>
    <w:rsid w:val="000A5902"/>
    <w:rsid w:val="000A5A48"/>
    <w:rsid w:val="000A5C16"/>
    <w:rsid w:val="000A5C49"/>
    <w:rsid w:val="000A5F4D"/>
    <w:rsid w:val="000A5F72"/>
    <w:rsid w:val="000A5FDF"/>
    <w:rsid w:val="000A607E"/>
    <w:rsid w:val="000A61C6"/>
    <w:rsid w:val="000A61FA"/>
    <w:rsid w:val="000A64C5"/>
    <w:rsid w:val="000A654D"/>
    <w:rsid w:val="000A67DE"/>
    <w:rsid w:val="000A698B"/>
    <w:rsid w:val="000A6AE4"/>
    <w:rsid w:val="000A6CFD"/>
    <w:rsid w:val="000A6D3A"/>
    <w:rsid w:val="000A6DE3"/>
    <w:rsid w:val="000A6E04"/>
    <w:rsid w:val="000A6ECF"/>
    <w:rsid w:val="000A7244"/>
    <w:rsid w:val="000A72D3"/>
    <w:rsid w:val="000A7370"/>
    <w:rsid w:val="000A73A8"/>
    <w:rsid w:val="000A73BD"/>
    <w:rsid w:val="000A74A9"/>
    <w:rsid w:val="000A770C"/>
    <w:rsid w:val="000A7721"/>
    <w:rsid w:val="000A774C"/>
    <w:rsid w:val="000A77E7"/>
    <w:rsid w:val="000A7B0E"/>
    <w:rsid w:val="000A7C0C"/>
    <w:rsid w:val="000A7C31"/>
    <w:rsid w:val="000A7D92"/>
    <w:rsid w:val="000A7E2A"/>
    <w:rsid w:val="000A7E71"/>
    <w:rsid w:val="000A7E7B"/>
    <w:rsid w:val="000A7F75"/>
    <w:rsid w:val="000B00DF"/>
    <w:rsid w:val="000B0427"/>
    <w:rsid w:val="000B04DD"/>
    <w:rsid w:val="000B0895"/>
    <w:rsid w:val="000B0AB5"/>
    <w:rsid w:val="000B0CC1"/>
    <w:rsid w:val="000B0EB5"/>
    <w:rsid w:val="000B10AC"/>
    <w:rsid w:val="000B12D5"/>
    <w:rsid w:val="000B191F"/>
    <w:rsid w:val="000B1992"/>
    <w:rsid w:val="000B1A81"/>
    <w:rsid w:val="000B1A82"/>
    <w:rsid w:val="000B1F84"/>
    <w:rsid w:val="000B203D"/>
    <w:rsid w:val="000B218D"/>
    <w:rsid w:val="000B2287"/>
    <w:rsid w:val="000B2345"/>
    <w:rsid w:val="000B25B3"/>
    <w:rsid w:val="000B2704"/>
    <w:rsid w:val="000B2764"/>
    <w:rsid w:val="000B2774"/>
    <w:rsid w:val="000B2873"/>
    <w:rsid w:val="000B2A43"/>
    <w:rsid w:val="000B2A5C"/>
    <w:rsid w:val="000B2BBA"/>
    <w:rsid w:val="000B2DD5"/>
    <w:rsid w:val="000B306D"/>
    <w:rsid w:val="000B31F0"/>
    <w:rsid w:val="000B340C"/>
    <w:rsid w:val="000B34B7"/>
    <w:rsid w:val="000B3770"/>
    <w:rsid w:val="000B38F9"/>
    <w:rsid w:val="000B397E"/>
    <w:rsid w:val="000B3980"/>
    <w:rsid w:val="000B3BF7"/>
    <w:rsid w:val="000B3CFC"/>
    <w:rsid w:val="000B3D7F"/>
    <w:rsid w:val="000B3F36"/>
    <w:rsid w:val="000B3FA9"/>
    <w:rsid w:val="000B3FCB"/>
    <w:rsid w:val="000B402C"/>
    <w:rsid w:val="000B4034"/>
    <w:rsid w:val="000B41D9"/>
    <w:rsid w:val="000B42E2"/>
    <w:rsid w:val="000B465F"/>
    <w:rsid w:val="000B47E5"/>
    <w:rsid w:val="000B4B8C"/>
    <w:rsid w:val="000B4D8A"/>
    <w:rsid w:val="000B4E76"/>
    <w:rsid w:val="000B4EC9"/>
    <w:rsid w:val="000B4FCD"/>
    <w:rsid w:val="000B52FA"/>
    <w:rsid w:val="000B53E1"/>
    <w:rsid w:val="000B54AB"/>
    <w:rsid w:val="000B565E"/>
    <w:rsid w:val="000B575E"/>
    <w:rsid w:val="000B57C5"/>
    <w:rsid w:val="000B5A0B"/>
    <w:rsid w:val="000B5D42"/>
    <w:rsid w:val="000B60D6"/>
    <w:rsid w:val="000B6180"/>
    <w:rsid w:val="000B625E"/>
    <w:rsid w:val="000B6345"/>
    <w:rsid w:val="000B63F3"/>
    <w:rsid w:val="000B642E"/>
    <w:rsid w:val="000B6498"/>
    <w:rsid w:val="000B6635"/>
    <w:rsid w:val="000B6716"/>
    <w:rsid w:val="000B6757"/>
    <w:rsid w:val="000B6947"/>
    <w:rsid w:val="000B6B35"/>
    <w:rsid w:val="000B6B74"/>
    <w:rsid w:val="000B6DD0"/>
    <w:rsid w:val="000B6F1A"/>
    <w:rsid w:val="000B6FBF"/>
    <w:rsid w:val="000B72DD"/>
    <w:rsid w:val="000B7374"/>
    <w:rsid w:val="000B7457"/>
    <w:rsid w:val="000B770E"/>
    <w:rsid w:val="000B797F"/>
    <w:rsid w:val="000B7A5A"/>
    <w:rsid w:val="000B7AC8"/>
    <w:rsid w:val="000B7ADE"/>
    <w:rsid w:val="000B7BDC"/>
    <w:rsid w:val="000B7C1A"/>
    <w:rsid w:val="000B7D70"/>
    <w:rsid w:val="000B7D7D"/>
    <w:rsid w:val="000B7D86"/>
    <w:rsid w:val="000B7E7C"/>
    <w:rsid w:val="000B7F9C"/>
    <w:rsid w:val="000C0101"/>
    <w:rsid w:val="000C01DE"/>
    <w:rsid w:val="000C02CF"/>
    <w:rsid w:val="000C0339"/>
    <w:rsid w:val="000C04BA"/>
    <w:rsid w:val="000C0996"/>
    <w:rsid w:val="000C09B3"/>
    <w:rsid w:val="000C0ACE"/>
    <w:rsid w:val="000C120F"/>
    <w:rsid w:val="000C13DD"/>
    <w:rsid w:val="000C197E"/>
    <w:rsid w:val="000C199B"/>
    <w:rsid w:val="000C1DAB"/>
    <w:rsid w:val="000C1F96"/>
    <w:rsid w:val="000C1FA1"/>
    <w:rsid w:val="000C23CE"/>
    <w:rsid w:val="000C2525"/>
    <w:rsid w:val="000C2628"/>
    <w:rsid w:val="000C29D8"/>
    <w:rsid w:val="000C2B36"/>
    <w:rsid w:val="000C2B4B"/>
    <w:rsid w:val="000C2C46"/>
    <w:rsid w:val="000C30F3"/>
    <w:rsid w:val="000C3648"/>
    <w:rsid w:val="000C39A4"/>
    <w:rsid w:val="000C39C2"/>
    <w:rsid w:val="000C39E3"/>
    <w:rsid w:val="000C3BF5"/>
    <w:rsid w:val="000C3C42"/>
    <w:rsid w:val="000C3C71"/>
    <w:rsid w:val="000C4033"/>
    <w:rsid w:val="000C40B2"/>
    <w:rsid w:val="000C40FD"/>
    <w:rsid w:val="000C4370"/>
    <w:rsid w:val="000C47D5"/>
    <w:rsid w:val="000C47E6"/>
    <w:rsid w:val="000C49EF"/>
    <w:rsid w:val="000C4A65"/>
    <w:rsid w:val="000C4B3F"/>
    <w:rsid w:val="000C4BE3"/>
    <w:rsid w:val="000C4C99"/>
    <w:rsid w:val="000C4CB0"/>
    <w:rsid w:val="000C4CCB"/>
    <w:rsid w:val="000C4D50"/>
    <w:rsid w:val="000C4E88"/>
    <w:rsid w:val="000C4FD2"/>
    <w:rsid w:val="000C504F"/>
    <w:rsid w:val="000C510A"/>
    <w:rsid w:val="000C5242"/>
    <w:rsid w:val="000C52C6"/>
    <w:rsid w:val="000C52D5"/>
    <w:rsid w:val="000C57EF"/>
    <w:rsid w:val="000C592E"/>
    <w:rsid w:val="000C5976"/>
    <w:rsid w:val="000C59DA"/>
    <w:rsid w:val="000C59E0"/>
    <w:rsid w:val="000C5A14"/>
    <w:rsid w:val="000C5B25"/>
    <w:rsid w:val="000C5D04"/>
    <w:rsid w:val="000C5D67"/>
    <w:rsid w:val="000C5D8C"/>
    <w:rsid w:val="000C6122"/>
    <w:rsid w:val="000C627C"/>
    <w:rsid w:val="000C6563"/>
    <w:rsid w:val="000C660D"/>
    <w:rsid w:val="000C677D"/>
    <w:rsid w:val="000C682D"/>
    <w:rsid w:val="000C6879"/>
    <w:rsid w:val="000C6C36"/>
    <w:rsid w:val="000C6EE2"/>
    <w:rsid w:val="000C6F5C"/>
    <w:rsid w:val="000C71C1"/>
    <w:rsid w:val="000C720D"/>
    <w:rsid w:val="000C72BB"/>
    <w:rsid w:val="000C73DF"/>
    <w:rsid w:val="000C746C"/>
    <w:rsid w:val="000C74C4"/>
    <w:rsid w:val="000C7794"/>
    <w:rsid w:val="000C7896"/>
    <w:rsid w:val="000C7953"/>
    <w:rsid w:val="000C7A23"/>
    <w:rsid w:val="000C7A8D"/>
    <w:rsid w:val="000C7B2F"/>
    <w:rsid w:val="000C7B3E"/>
    <w:rsid w:val="000C7B61"/>
    <w:rsid w:val="000C7ECB"/>
    <w:rsid w:val="000D0105"/>
    <w:rsid w:val="000D035D"/>
    <w:rsid w:val="000D047D"/>
    <w:rsid w:val="000D047E"/>
    <w:rsid w:val="000D0672"/>
    <w:rsid w:val="000D08A8"/>
    <w:rsid w:val="000D095A"/>
    <w:rsid w:val="000D0A2D"/>
    <w:rsid w:val="000D0C41"/>
    <w:rsid w:val="000D0CA9"/>
    <w:rsid w:val="000D0D1A"/>
    <w:rsid w:val="000D0D8A"/>
    <w:rsid w:val="000D1175"/>
    <w:rsid w:val="000D129C"/>
    <w:rsid w:val="000D1413"/>
    <w:rsid w:val="000D16AA"/>
    <w:rsid w:val="000D17B9"/>
    <w:rsid w:val="000D181B"/>
    <w:rsid w:val="000D1896"/>
    <w:rsid w:val="000D1A88"/>
    <w:rsid w:val="000D1B55"/>
    <w:rsid w:val="000D1D3B"/>
    <w:rsid w:val="000D1FE6"/>
    <w:rsid w:val="000D2044"/>
    <w:rsid w:val="000D217A"/>
    <w:rsid w:val="000D2195"/>
    <w:rsid w:val="000D21B1"/>
    <w:rsid w:val="000D22F7"/>
    <w:rsid w:val="000D235F"/>
    <w:rsid w:val="000D2362"/>
    <w:rsid w:val="000D2448"/>
    <w:rsid w:val="000D268C"/>
    <w:rsid w:val="000D2955"/>
    <w:rsid w:val="000D2B6B"/>
    <w:rsid w:val="000D2B9B"/>
    <w:rsid w:val="000D2FE6"/>
    <w:rsid w:val="000D38FD"/>
    <w:rsid w:val="000D39B7"/>
    <w:rsid w:val="000D39BB"/>
    <w:rsid w:val="000D3A01"/>
    <w:rsid w:val="000D3A14"/>
    <w:rsid w:val="000D3FBC"/>
    <w:rsid w:val="000D4036"/>
    <w:rsid w:val="000D4238"/>
    <w:rsid w:val="000D439F"/>
    <w:rsid w:val="000D45B8"/>
    <w:rsid w:val="000D4D89"/>
    <w:rsid w:val="000D4EA3"/>
    <w:rsid w:val="000D5145"/>
    <w:rsid w:val="000D53DC"/>
    <w:rsid w:val="000D550D"/>
    <w:rsid w:val="000D5730"/>
    <w:rsid w:val="000D59CB"/>
    <w:rsid w:val="000D5AC6"/>
    <w:rsid w:val="000D5B52"/>
    <w:rsid w:val="000D5F5A"/>
    <w:rsid w:val="000D5F7B"/>
    <w:rsid w:val="000D6036"/>
    <w:rsid w:val="000D63A6"/>
    <w:rsid w:val="000D6504"/>
    <w:rsid w:val="000D6577"/>
    <w:rsid w:val="000D66AA"/>
    <w:rsid w:val="000D6820"/>
    <w:rsid w:val="000D68FE"/>
    <w:rsid w:val="000D6C36"/>
    <w:rsid w:val="000D6E73"/>
    <w:rsid w:val="000D6FE6"/>
    <w:rsid w:val="000D70ED"/>
    <w:rsid w:val="000D7271"/>
    <w:rsid w:val="000D738E"/>
    <w:rsid w:val="000D76F8"/>
    <w:rsid w:val="000D775C"/>
    <w:rsid w:val="000D780C"/>
    <w:rsid w:val="000D790F"/>
    <w:rsid w:val="000D7C34"/>
    <w:rsid w:val="000D7C48"/>
    <w:rsid w:val="000D7CEF"/>
    <w:rsid w:val="000D7D0C"/>
    <w:rsid w:val="000D7DB5"/>
    <w:rsid w:val="000D7F84"/>
    <w:rsid w:val="000E0342"/>
    <w:rsid w:val="000E0575"/>
    <w:rsid w:val="000E0581"/>
    <w:rsid w:val="000E058E"/>
    <w:rsid w:val="000E09F9"/>
    <w:rsid w:val="000E0C39"/>
    <w:rsid w:val="000E0CB3"/>
    <w:rsid w:val="000E114A"/>
    <w:rsid w:val="000E11E0"/>
    <w:rsid w:val="000E141A"/>
    <w:rsid w:val="000E144F"/>
    <w:rsid w:val="000E151E"/>
    <w:rsid w:val="000E1560"/>
    <w:rsid w:val="000E17D8"/>
    <w:rsid w:val="000E17E6"/>
    <w:rsid w:val="000E183D"/>
    <w:rsid w:val="000E1929"/>
    <w:rsid w:val="000E21F8"/>
    <w:rsid w:val="000E224F"/>
    <w:rsid w:val="000E2610"/>
    <w:rsid w:val="000E2804"/>
    <w:rsid w:val="000E294A"/>
    <w:rsid w:val="000E29E2"/>
    <w:rsid w:val="000E2A47"/>
    <w:rsid w:val="000E2B35"/>
    <w:rsid w:val="000E2F85"/>
    <w:rsid w:val="000E3287"/>
    <w:rsid w:val="000E3319"/>
    <w:rsid w:val="000E34E1"/>
    <w:rsid w:val="000E36C5"/>
    <w:rsid w:val="000E3737"/>
    <w:rsid w:val="000E37B3"/>
    <w:rsid w:val="000E3AE4"/>
    <w:rsid w:val="000E3B5A"/>
    <w:rsid w:val="000E3E0B"/>
    <w:rsid w:val="000E409A"/>
    <w:rsid w:val="000E40F7"/>
    <w:rsid w:val="000E40FE"/>
    <w:rsid w:val="000E4136"/>
    <w:rsid w:val="000E4161"/>
    <w:rsid w:val="000E46CF"/>
    <w:rsid w:val="000E47A3"/>
    <w:rsid w:val="000E49CB"/>
    <w:rsid w:val="000E4C84"/>
    <w:rsid w:val="000E4CBD"/>
    <w:rsid w:val="000E4E14"/>
    <w:rsid w:val="000E4E36"/>
    <w:rsid w:val="000E507A"/>
    <w:rsid w:val="000E5080"/>
    <w:rsid w:val="000E585B"/>
    <w:rsid w:val="000E58FB"/>
    <w:rsid w:val="000E5973"/>
    <w:rsid w:val="000E5ACA"/>
    <w:rsid w:val="000E6436"/>
    <w:rsid w:val="000E6651"/>
    <w:rsid w:val="000E6835"/>
    <w:rsid w:val="000E6A3D"/>
    <w:rsid w:val="000E6E3E"/>
    <w:rsid w:val="000E6F6A"/>
    <w:rsid w:val="000E6FD0"/>
    <w:rsid w:val="000E7210"/>
    <w:rsid w:val="000E722B"/>
    <w:rsid w:val="000E73A2"/>
    <w:rsid w:val="000E7563"/>
    <w:rsid w:val="000E759D"/>
    <w:rsid w:val="000E75C7"/>
    <w:rsid w:val="000E779E"/>
    <w:rsid w:val="000E77EF"/>
    <w:rsid w:val="000E796D"/>
    <w:rsid w:val="000E7970"/>
    <w:rsid w:val="000E7AB4"/>
    <w:rsid w:val="000E7ADC"/>
    <w:rsid w:val="000E7CB4"/>
    <w:rsid w:val="000E7FBB"/>
    <w:rsid w:val="000F07CA"/>
    <w:rsid w:val="000F07F2"/>
    <w:rsid w:val="000F0892"/>
    <w:rsid w:val="000F08C4"/>
    <w:rsid w:val="000F08E0"/>
    <w:rsid w:val="000F0C6C"/>
    <w:rsid w:val="000F0EB0"/>
    <w:rsid w:val="000F1231"/>
    <w:rsid w:val="000F1346"/>
    <w:rsid w:val="000F1947"/>
    <w:rsid w:val="000F1975"/>
    <w:rsid w:val="000F19DC"/>
    <w:rsid w:val="000F1AC2"/>
    <w:rsid w:val="000F1C61"/>
    <w:rsid w:val="000F1E76"/>
    <w:rsid w:val="000F1EC8"/>
    <w:rsid w:val="000F1EDB"/>
    <w:rsid w:val="000F1F61"/>
    <w:rsid w:val="000F1FCF"/>
    <w:rsid w:val="000F204A"/>
    <w:rsid w:val="000F20A8"/>
    <w:rsid w:val="000F20B7"/>
    <w:rsid w:val="000F20CD"/>
    <w:rsid w:val="000F27BB"/>
    <w:rsid w:val="000F298C"/>
    <w:rsid w:val="000F2C94"/>
    <w:rsid w:val="000F2C99"/>
    <w:rsid w:val="000F2DD9"/>
    <w:rsid w:val="000F2EAB"/>
    <w:rsid w:val="000F3260"/>
    <w:rsid w:val="000F3281"/>
    <w:rsid w:val="000F3283"/>
    <w:rsid w:val="000F3311"/>
    <w:rsid w:val="000F342C"/>
    <w:rsid w:val="000F35BC"/>
    <w:rsid w:val="000F37E3"/>
    <w:rsid w:val="000F3AA3"/>
    <w:rsid w:val="000F3C90"/>
    <w:rsid w:val="000F3D74"/>
    <w:rsid w:val="000F3E2B"/>
    <w:rsid w:val="000F3F39"/>
    <w:rsid w:val="000F3F97"/>
    <w:rsid w:val="000F404B"/>
    <w:rsid w:val="000F40ED"/>
    <w:rsid w:val="000F43D3"/>
    <w:rsid w:val="000F45B8"/>
    <w:rsid w:val="000F46DF"/>
    <w:rsid w:val="000F4714"/>
    <w:rsid w:val="000F4750"/>
    <w:rsid w:val="000F4AD6"/>
    <w:rsid w:val="000F4C5E"/>
    <w:rsid w:val="000F4D75"/>
    <w:rsid w:val="000F4F04"/>
    <w:rsid w:val="000F4FB1"/>
    <w:rsid w:val="000F50AF"/>
    <w:rsid w:val="000F5178"/>
    <w:rsid w:val="000F54A5"/>
    <w:rsid w:val="000F55E5"/>
    <w:rsid w:val="000F56AA"/>
    <w:rsid w:val="000F56FA"/>
    <w:rsid w:val="000F5931"/>
    <w:rsid w:val="000F5A15"/>
    <w:rsid w:val="000F5A26"/>
    <w:rsid w:val="000F5B07"/>
    <w:rsid w:val="000F5BF3"/>
    <w:rsid w:val="000F5EBB"/>
    <w:rsid w:val="000F6058"/>
    <w:rsid w:val="000F60B4"/>
    <w:rsid w:val="000F6132"/>
    <w:rsid w:val="000F61B4"/>
    <w:rsid w:val="000F6439"/>
    <w:rsid w:val="000F64EF"/>
    <w:rsid w:val="000F668F"/>
    <w:rsid w:val="000F669B"/>
    <w:rsid w:val="000F67E8"/>
    <w:rsid w:val="000F6881"/>
    <w:rsid w:val="000F69D7"/>
    <w:rsid w:val="000F69F3"/>
    <w:rsid w:val="000F6C4E"/>
    <w:rsid w:val="000F6C98"/>
    <w:rsid w:val="000F7000"/>
    <w:rsid w:val="000F705C"/>
    <w:rsid w:val="000F7148"/>
    <w:rsid w:val="000F7158"/>
    <w:rsid w:val="000F73BA"/>
    <w:rsid w:val="000F7714"/>
    <w:rsid w:val="000F77ED"/>
    <w:rsid w:val="000F7825"/>
    <w:rsid w:val="000F7917"/>
    <w:rsid w:val="000F7920"/>
    <w:rsid w:val="000F797C"/>
    <w:rsid w:val="000F7EAE"/>
    <w:rsid w:val="000F7F11"/>
    <w:rsid w:val="00100255"/>
    <w:rsid w:val="0010066B"/>
    <w:rsid w:val="001008B7"/>
    <w:rsid w:val="0010095A"/>
    <w:rsid w:val="00100C89"/>
    <w:rsid w:val="00100DA3"/>
    <w:rsid w:val="00100DC3"/>
    <w:rsid w:val="00100F4E"/>
    <w:rsid w:val="00100FCA"/>
    <w:rsid w:val="00100FF8"/>
    <w:rsid w:val="00101299"/>
    <w:rsid w:val="00101367"/>
    <w:rsid w:val="001013F5"/>
    <w:rsid w:val="0010155F"/>
    <w:rsid w:val="001015EF"/>
    <w:rsid w:val="0010169F"/>
    <w:rsid w:val="001019FB"/>
    <w:rsid w:val="00101CF2"/>
    <w:rsid w:val="00101F7A"/>
    <w:rsid w:val="00102066"/>
    <w:rsid w:val="001022A8"/>
    <w:rsid w:val="001022D0"/>
    <w:rsid w:val="00102383"/>
    <w:rsid w:val="001023D5"/>
    <w:rsid w:val="001024C9"/>
    <w:rsid w:val="001026BE"/>
    <w:rsid w:val="00102709"/>
    <w:rsid w:val="00102901"/>
    <w:rsid w:val="00102A63"/>
    <w:rsid w:val="00102BF3"/>
    <w:rsid w:val="00102E6D"/>
    <w:rsid w:val="00102F89"/>
    <w:rsid w:val="001035C9"/>
    <w:rsid w:val="00103C83"/>
    <w:rsid w:val="00103E2B"/>
    <w:rsid w:val="00104786"/>
    <w:rsid w:val="0010479B"/>
    <w:rsid w:val="00104872"/>
    <w:rsid w:val="001048F8"/>
    <w:rsid w:val="00104A19"/>
    <w:rsid w:val="00104A6E"/>
    <w:rsid w:val="00104AF9"/>
    <w:rsid w:val="00104B6B"/>
    <w:rsid w:val="00104BA2"/>
    <w:rsid w:val="00104CAB"/>
    <w:rsid w:val="00105197"/>
    <w:rsid w:val="0010531F"/>
    <w:rsid w:val="001058C5"/>
    <w:rsid w:val="00105A93"/>
    <w:rsid w:val="00105ADA"/>
    <w:rsid w:val="00105CD8"/>
    <w:rsid w:val="0010612D"/>
    <w:rsid w:val="00106387"/>
    <w:rsid w:val="0010694B"/>
    <w:rsid w:val="00106CCB"/>
    <w:rsid w:val="00106EC2"/>
    <w:rsid w:val="00107032"/>
    <w:rsid w:val="0010714C"/>
    <w:rsid w:val="001073E4"/>
    <w:rsid w:val="001074AC"/>
    <w:rsid w:val="001075B1"/>
    <w:rsid w:val="001075B4"/>
    <w:rsid w:val="001077CA"/>
    <w:rsid w:val="0010780A"/>
    <w:rsid w:val="00107948"/>
    <w:rsid w:val="00107A3F"/>
    <w:rsid w:val="00107E6A"/>
    <w:rsid w:val="00107EDB"/>
    <w:rsid w:val="00110058"/>
    <w:rsid w:val="001103C4"/>
    <w:rsid w:val="00110416"/>
    <w:rsid w:val="00110492"/>
    <w:rsid w:val="0011070C"/>
    <w:rsid w:val="00110738"/>
    <w:rsid w:val="00110A83"/>
    <w:rsid w:val="00110AC3"/>
    <w:rsid w:val="00110B51"/>
    <w:rsid w:val="00110C42"/>
    <w:rsid w:val="00110C9B"/>
    <w:rsid w:val="001110A6"/>
    <w:rsid w:val="00111199"/>
    <w:rsid w:val="00111274"/>
    <w:rsid w:val="001114D5"/>
    <w:rsid w:val="00111510"/>
    <w:rsid w:val="001117FE"/>
    <w:rsid w:val="00111824"/>
    <w:rsid w:val="001118C3"/>
    <w:rsid w:val="001119DA"/>
    <w:rsid w:val="00111C3E"/>
    <w:rsid w:val="00111C60"/>
    <w:rsid w:val="00111CB2"/>
    <w:rsid w:val="00111EF8"/>
    <w:rsid w:val="00111FCB"/>
    <w:rsid w:val="0011238B"/>
    <w:rsid w:val="001123E3"/>
    <w:rsid w:val="001125AD"/>
    <w:rsid w:val="001125F6"/>
    <w:rsid w:val="00112910"/>
    <w:rsid w:val="001129FD"/>
    <w:rsid w:val="00112A9F"/>
    <w:rsid w:val="00112CC8"/>
    <w:rsid w:val="00112D24"/>
    <w:rsid w:val="00112D6B"/>
    <w:rsid w:val="00112DD7"/>
    <w:rsid w:val="001134A6"/>
    <w:rsid w:val="00113767"/>
    <w:rsid w:val="00113A3A"/>
    <w:rsid w:val="00113A4A"/>
    <w:rsid w:val="00113D4A"/>
    <w:rsid w:val="00113D58"/>
    <w:rsid w:val="00113DBF"/>
    <w:rsid w:val="00113E36"/>
    <w:rsid w:val="00113EC6"/>
    <w:rsid w:val="001143B3"/>
    <w:rsid w:val="00114830"/>
    <w:rsid w:val="00114918"/>
    <w:rsid w:val="001149DA"/>
    <w:rsid w:val="00114D78"/>
    <w:rsid w:val="00114DA6"/>
    <w:rsid w:val="00114DDE"/>
    <w:rsid w:val="00114EB6"/>
    <w:rsid w:val="00114EF8"/>
    <w:rsid w:val="00114F03"/>
    <w:rsid w:val="001150C1"/>
    <w:rsid w:val="00115251"/>
    <w:rsid w:val="00115423"/>
    <w:rsid w:val="0011543F"/>
    <w:rsid w:val="00115612"/>
    <w:rsid w:val="001156B6"/>
    <w:rsid w:val="00115AA3"/>
    <w:rsid w:val="00115D6F"/>
    <w:rsid w:val="00115D84"/>
    <w:rsid w:val="00115EA4"/>
    <w:rsid w:val="00115ED2"/>
    <w:rsid w:val="00115FA5"/>
    <w:rsid w:val="0011608D"/>
    <w:rsid w:val="0011613D"/>
    <w:rsid w:val="0011623E"/>
    <w:rsid w:val="001162B7"/>
    <w:rsid w:val="00116332"/>
    <w:rsid w:val="001166B6"/>
    <w:rsid w:val="00116724"/>
    <w:rsid w:val="001167C2"/>
    <w:rsid w:val="00116900"/>
    <w:rsid w:val="001169EE"/>
    <w:rsid w:val="00116BB5"/>
    <w:rsid w:val="00116C65"/>
    <w:rsid w:val="00116D9D"/>
    <w:rsid w:val="00116FC7"/>
    <w:rsid w:val="001170C4"/>
    <w:rsid w:val="00117133"/>
    <w:rsid w:val="0011716D"/>
    <w:rsid w:val="001171B8"/>
    <w:rsid w:val="0011727E"/>
    <w:rsid w:val="00117445"/>
    <w:rsid w:val="00117487"/>
    <w:rsid w:val="001174D9"/>
    <w:rsid w:val="00117575"/>
    <w:rsid w:val="00117700"/>
    <w:rsid w:val="00117783"/>
    <w:rsid w:val="001178E5"/>
    <w:rsid w:val="00117915"/>
    <w:rsid w:val="0011791F"/>
    <w:rsid w:val="00117A10"/>
    <w:rsid w:val="00117A42"/>
    <w:rsid w:val="00117A78"/>
    <w:rsid w:val="00117AB6"/>
    <w:rsid w:val="00117D4B"/>
    <w:rsid w:val="001203D0"/>
    <w:rsid w:val="00120592"/>
    <w:rsid w:val="00120719"/>
    <w:rsid w:val="001207BA"/>
    <w:rsid w:val="00120873"/>
    <w:rsid w:val="00120891"/>
    <w:rsid w:val="00120CD1"/>
    <w:rsid w:val="00120D17"/>
    <w:rsid w:val="00120F42"/>
    <w:rsid w:val="00120F68"/>
    <w:rsid w:val="00121037"/>
    <w:rsid w:val="001211A5"/>
    <w:rsid w:val="001212E1"/>
    <w:rsid w:val="001214CB"/>
    <w:rsid w:val="00121946"/>
    <w:rsid w:val="00121A7D"/>
    <w:rsid w:val="00121AFA"/>
    <w:rsid w:val="00121C6F"/>
    <w:rsid w:val="00121C79"/>
    <w:rsid w:val="00121EF3"/>
    <w:rsid w:val="00121FF5"/>
    <w:rsid w:val="00122193"/>
    <w:rsid w:val="0012220A"/>
    <w:rsid w:val="00122290"/>
    <w:rsid w:val="001223B4"/>
    <w:rsid w:val="00122686"/>
    <w:rsid w:val="00122865"/>
    <w:rsid w:val="00122900"/>
    <w:rsid w:val="00122E8E"/>
    <w:rsid w:val="00122FE1"/>
    <w:rsid w:val="00123116"/>
    <w:rsid w:val="00123442"/>
    <w:rsid w:val="0012380A"/>
    <w:rsid w:val="00123A1C"/>
    <w:rsid w:val="00123BAF"/>
    <w:rsid w:val="00123DC3"/>
    <w:rsid w:val="001240B6"/>
    <w:rsid w:val="0012412C"/>
    <w:rsid w:val="001242DE"/>
    <w:rsid w:val="0012432C"/>
    <w:rsid w:val="0012436A"/>
    <w:rsid w:val="001244CC"/>
    <w:rsid w:val="00124640"/>
    <w:rsid w:val="001246E0"/>
    <w:rsid w:val="00124B31"/>
    <w:rsid w:val="00124B61"/>
    <w:rsid w:val="00124C68"/>
    <w:rsid w:val="00124CDE"/>
    <w:rsid w:val="00124E63"/>
    <w:rsid w:val="0012538A"/>
    <w:rsid w:val="001254C0"/>
    <w:rsid w:val="00125676"/>
    <w:rsid w:val="0012567C"/>
    <w:rsid w:val="00125A71"/>
    <w:rsid w:val="00125A74"/>
    <w:rsid w:val="00125B96"/>
    <w:rsid w:val="00125C8D"/>
    <w:rsid w:val="00125DE9"/>
    <w:rsid w:val="00125E53"/>
    <w:rsid w:val="00125EA3"/>
    <w:rsid w:val="00126084"/>
    <w:rsid w:val="00126378"/>
    <w:rsid w:val="00126493"/>
    <w:rsid w:val="001264AA"/>
    <w:rsid w:val="00126560"/>
    <w:rsid w:val="00126628"/>
    <w:rsid w:val="00126788"/>
    <w:rsid w:val="00126BA2"/>
    <w:rsid w:val="00126C35"/>
    <w:rsid w:val="00126D2F"/>
    <w:rsid w:val="00126F05"/>
    <w:rsid w:val="00127006"/>
    <w:rsid w:val="001270C2"/>
    <w:rsid w:val="0012713B"/>
    <w:rsid w:val="001272DB"/>
    <w:rsid w:val="0012739F"/>
    <w:rsid w:val="001274D8"/>
    <w:rsid w:val="00127558"/>
    <w:rsid w:val="0012764A"/>
    <w:rsid w:val="0012769A"/>
    <w:rsid w:val="00127825"/>
    <w:rsid w:val="00127ADC"/>
    <w:rsid w:val="00127BB5"/>
    <w:rsid w:val="00127BD9"/>
    <w:rsid w:val="00127C6A"/>
    <w:rsid w:val="00127FE2"/>
    <w:rsid w:val="00127FEB"/>
    <w:rsid w:val="00130641"/>
    <w:rsid w:val="0013086E"/>
    <w:rsid w:val="00130A08"/>
    <w:rsid w:val="00130AF9"/>
    <w:rsid w:val="00130C8E"/>
    <w:rsid w:val="00130D02"/>
    <w:rsid w:val="00130D24"/>
    <w:rsid w:val="00130ED4"/>
    <w:rsid w:val="00130F60"/>
    <w:rsid w:val="0013139C"/>
    <w:rsid w:val="00131438"/>
    <w:rsid w:val="0013164F"/>
    <w:rsid w:val="001316FF"/>
    <w:rsid w:val="001318C8"/>
    <w:rsid w:val="00131A24"/>
    <w:rsid w:val="00131F6D"/>
    <w:rsid w:val="00131FF2"/>
    <w:rsid w:val="0013210C"/>
    <w:rsid w:val="00132349"/>
    <w:rsid w:val="00132658"/>
    <w:rsid w:val="001328C1"/>
    <w:rsid w:val="0013295E"/>
    <w:rsid w:val="00132B82"/>
    <w:rsid w:val="00132C73"/>
    <w:rsid w:val="00132D1A"/>
    <w:rsid w:val="00132E33"/>
    <w:rsid w:val="00132F1F"/>
    <w:rsid w:val="00133129"/>
    <w:rsid w:val="001331F0"/>
    <w:rsid w:val="001332A1"/>
    <w:rsid w:val="00133326"/>
    <w:rsid w:val="00133339"/>
    <w:rsid w:val="00133915"/>
    <w:rsid w:val="0013394A"/>
    <w:rsid w:val="001341C0"/>
    <w:rsid w:val="001341C2"/>
    <w:rsid w:val="0013439E"/>
    <w:rsid w:val="00134479"/>
    <w:rsid w:val="001344EF"/>
    <w:rsid w:val="0013452A"/>
    <w:rsid w:val="00134783"/>
    <w:rsid w:val="00134B05"/>
    <w:rsid w:val="00134B29"/>
    <w:rsid w:val="00134C75"/>
    <w:rsid w:val="00134E9A"/>
    <w:rsid w:val="00134F31"/>
    <w:rsid w:val="00134F69"/>
    <w:rsid w:val="00135371"/>
    <w:rsid w:val="00135398"/>
    <w:rsid w:val="0013558E"/>
    <w:rsid w:val="00135733"/>
    <w:rsid w:val="00135759"/>
    <w:rsid w:val="00135787"/>
    <w:rsid w:val="00135884"/>
    <w:rsid w:val="001359DA"/>
    <w:rsid w:val="00135AD2"/>
    <w:rsid w:val="00135B35"/>
    <w:rsid w:val="00135C74"/>
    <w:rsid w:val="00135E77"/>
    <w:rsid w:val="00135EA0"/>
    <w:rsid w:val="00136107"/>
    <w:rsid w:val="00136132"/>
    <w:rsid w:val="0013626B"/>
    <w:rsid w:val="00136567"/>
    <w:rsid w:val="001366C6"/>
    <w:rsid w:val="00136816"/>
    <w:rsid w:val="001368F4"/>
    <w:rsid w:val="0013696A"/>
    <w:rsid w:val="00136A81"/>
    <w:rsid w:val="00136EAF"/>
    <w:rsid w:val="0013732B"/>
    <w:rsid w:val="00137459"/>
    <w:rsid w:val="001376A0"/>
    <w:rsid w:val="001377D6"/>
    <w:rsid w:val="00137824"/>
    <w:rsid w:val="0013793E"/>
    <w:rsid w:val="00137DB0"/>
    <w:rsid w:val="00137DB6"/>
    <w:rsid w:val="00137E89"/>
    <w:rsid w:val="00137FF4"/>
    <w:rsid w:val="00140235"/>
    <w:rsid w:val="00140475"/>
    <w:rsid w:val="0014058D"/>
    <w:rsid w:val="00140940"/>
    <w:rsid w:val="00140970"/>
    <w:rsid w:val="00140ABC"/>
    <w:rsid w:val="00140B50"/>
    <w:rsid w:val="00140BBF"/>
    <w:rsid w:val="00140C97"/>
    <w:rsid w:val="00140CD0"/>
    <w:rsid w:val="001412DB"/>
    <w:rsid w:val="00141300"/>
    <w:rsid w:val="001414FB"/>
    <w:rsid w:val="0014164D"/>
    <w:rsid w:val="00141826"/>
    <w:rsid w:val="0014184A"/>
    <w:rsid w:val="00141DD8"/>
    <w:rsid w:val="00141EE8"/>
    <w:rsid w:val="00142028"/>
    <w:rsid w:val="00142226"/>
    <w:rsid w:val="001422FD"/>
    <w:rsid w:val="001425E2"/>
    <w:rsid w:val="0014265C"/>
    <w:rsid w:val="001426E6"/>
    <w:rsid w:val="001426F0"/>
    <w:rsid w:val="001428F9"/>
    <w:rsid w:val="00142940"/>
    <w:rsid w:val="00142ABF"/>
    <w:rsid w:val="00142BB5"/>
    <w:rsid w:val="00142C22"/>
    <w:rsid w:val="00142D54"/>
    <w:rsid w:val="00142D59"/>
    <w:rsid w:val="001436D3"/>
    <w:rsid w:val="00143B6C"/>
    <w:rsid w:val="00143E6F"/>
    <w:rsid w:val="00144081"/>
    <w:rsid w:val="001440AD"/>
    <w:rsid w:val="00144137"/>
    <w:rsid w:val="001446E2"/>
    <w:rsid w:val="001449AD"/>
    <w:rsid w:val="00144C08"/>
    <w:rsid w:val="00144D9E"/>
    <w:rsid w:val="00145256"/>
    <w:rsid w:val="00145507"/>
    <w:rsid w:val="001457AF"/>
    <w:rsid w:val="001457C8"/>
    <w:rsid w:val="00145C2D"/>
    <w:rsid w:val="00145CF5"/>
    <w:rsid w:val="00145ECC"/>
    <w:rsid w:val="00145EF2"/>
    <w:rsid w:val="00146018"/>
    <w:rsid w:val="0014647A"/>
    <w:rsid w:val="00146601"/>
    <w:rsid w:val="00146AD5"/>
    <w:rsid w:val="00146B79"/>
    <w:rsid w:val="00146C2D"/>
    <w:rsid w:val="00146EB9"/>
    <w:rsid w:val="001470EF"/>
    <w:rsid w:val="0014713B"/>
    <w:rsid w:val="00147516"/>
    <w:rsid w:val="00147611"/>
    <w:rsid w:val="00147967"/>
    <w:rsid w:val="00147A5A"/>
    <w:rsid w:val="00147A8E"/>
    <w:rsid w:val="00147DF8"/>
    <w:rsid w:val="00147E85"/>
    <w:rsid w:val="0015021F"/>
    <w:rsid w:val="0015035F"/>
    <w:rsid w:val="00150422"/>
    <w:rsid w:val="001508EC"/>
    <w:rsid w:val="00150E0F"/>
    <w:rsid w:val="00150E46"/>
    <w:rsid w:val="00150FB7"/>
    <w:rsid w:val="00151225"/>
    <w:rsid w:val="0015137E"/>
    <w:rsid w:val="001516A2"/>
    <w:rsid w:val="001519FB"/>
    <w:rsid w:val="00151A06"/>
    <w:rsid w:val="00151A59"/>
    <w:rsid w:val="00151B57"/>
    <w:rsid w:val="00151C40"/>
    <w:rsid w:val="00151EDC"/>
    <w:rsid w:val="00151F0B"/>
    <w:rsid w:val="00152383"/>
    <w:rsid w:val="001523DB"/>
    <w:rsid w:val="001523E2"/>
    <w:rsid w:val="00152413"/>
    <w:rsid w:val="001529E5"/>
    <w:rsid w:val="00152A6F"/>
    <w:rsid w:val="00152C10"/>
    <w:rsid w:val="00152CCE"/>
    <w:rsid w:val="00152D88"/>
    <w:rsid w:val="00152E8B"/>
    <w:rsid w:val="00152ED4"/>
    <w:rsid w:val="001534E0"/>
    <w:rsid w:val="00153502"/>
    <w:rsid w:val="0015358D"/>
    <w:rsid w:val="001537F1"/>
    <w:rsid w:val="00153962"/>
    <w:rsid w:val="0015397F"/>
    <w:rsid w:val="00153A7E"/>
    <w:rsid w:val="00153F94"/>
    <w:rsid w:val="00153FEF"/>
    <w:rsid w:val="0015440F"/>
    <w:rsid w:val="0015458D"/>
    <w:rsid w:val="00154809"/>
    <w:rsid w:val="0015498F"/>
    <w:rsid w:val="00154B54"/>
    <w:rsid w:val="00154BEE"/>
    <w:rsid w:val="00154C77"/>
    <w:rsid w:val="00154CA4"/>
    <w:rsid w:val="00154CAE"/>
    <w:rsid w:val="00154E75"/>
    <w:rsid w:val="00154F40"/>
    <w:rsid w:val="00155072"/>
    <w:rsid w:val="001554F8"/>
    <w:rsid w:val="0015567A"/>
    <w:rsid w:val="001556E2"/>
    <w:rsid w:val="0015593C"/>
    <w:rsid w:val="001559F5"/>
    <w:rsid w:val="00155A7B"/>
    <w:rsid w:val="00155CE1"/>
    <w:rsid w:val="00155D84"/>
    <w:rsid w:val="00155E82"/>
    <w:rsid w:val="00156017"/>
    <w:rsid w:val="0015613E"/>
    <w:rsid w:val="00156338"/>
    <w:rsid w:val="00156356"/>
    <w:rsid w:val="0015648E"/>
    <w:rsid w:val="0015652B"/>
    <w:rsid w:val="00156556"/>
    <w:rsid w:val="0015672D"/>
    <w:rsid w:val="00156904"/>
    <w:rsid w:val="00156DC2"/>
    <w:rsid w:val="00156FAB"/>
    <w:rsid w:val="00157415"/>
    <w:rsid w:val="0015763B"/>
    <w:rsid w:val="00157AF7"/>
    <w:rsid w:val="00157B2F"/>
    <w:rsid w:val="00157B8B"/>
    <w:rsid w:val="00157EB4"/>
    <w:rsid w:val="001601DF"/>
    <w:rsid w:val="001603CA"/>
    <w:rsid w:val="00160870"/>
    <w:rsid w:val="00160997"/>
    <w:rsid w:val="00160A1B"/>
    <w:rsid w:val="00160D37"/>
    <w:rsid w:val="00160FAC"/>
    <w:rsid w:val="00161150"/>
    <w:rsid w:val="00161179"/>
    <w:rsid w:val="00161183"/>
    <w:rsid w:val="00161327"/>
    <w:rsid w:val="00161414"/>
    <w:rsid w:val="00161461"/>
    <w:rsid w:val="00161466"/>
    <w:rsid w:val="001614C9"/>
    <w:rsid w:val="00161617"/>
    <w:rsid w:val="00161956"/>
    <w:rsid w:val="00161C1D"/>
    <w:rsid w:val="00161D1C"/>
    <w:rsid w:val="00161DA2"/>
    <w:rsid w:val="00161DAE"/>
    <w:rsid w:val="0016217E"/>
    <w:rsid w:val="0016286E"/>
    <w:rsid w:val="001629D7"/>
    <w:rsid w:val="00162A8B"/>
    <w:rsid w:val="00162B11"/>
    <w:rsid w:val="00162B24"/>
    <w:rsid w:val="00162DA0"/>
    <w:rsid w:val="00162E89"/>
    <w:rsid w:val="00162F0E"/>
    <w:rsid w:val="00163472"/>
    <w:rsid w:val="0016359B"/>
    <w:rsid w:val="001635EF"/>
    <w:rsid w:val="00163671"/>
    <w:rsid w:val="0016394B"/>
    <w:rsid w:val="00163B47"/>
    <w:rsid w:val="00163C2B"/>
    <w:rsid w:val="00163EDE"/>
    <w:rsid w:val="001641F1"/>
    <w:rsid w:val="001642F7"/>
    <w:rsid w:val="00164338"/>
    <w:rsid w:val="0016434F"/>
    <w:rsid w:val="0016468D"/>
    <w:rsid w:val="001646C6"/>
    <w:rsid w:val="001647A3"/>
    <w:rsid w:val="0016485F"/>
    <w:rsid w:val="001649EB"/>
    <w:rsid w:val="00164B41"/>
    <w:rsid w:val="00164B4A"/>
    <w:rsid w:val="00164CD7"/>
    <w:rsid w:val="00164EA2"/>
    <w:rsid w:val="00165382"/>
    <w:rsid w:val="00165561"/>
    <w:rsid w:val="00165906"/>
    <w:rsid w:val="0016597F"/>
    <w:rsid w:val="001659C4"/>
    <w:rsid w:val="00165B51"/>
    <w:rsid w:val="00165BD9"/>
    <w:rsid w:val="00165FBD"/>
    <w:rsid w:val="00166112"/>
    <w:rsid w:val="00166177"/>
    <w:rsid w:val="00166290"/>
    <w:rsid w:val="0016634D"/>
    <w:rsid w:val="001665D0"/>
    <w:rsid w:val="00166654"/>
    <w:rsid w:val="0016666B"/>
    <w:rsid w:val="00166704"/>
    <w:rsid w:val="0016676B"/>
    <w:rsid w:val="00166937"/>
    <w:rsid w:val="00166B7F"/>
    <w:rsid w:val="00166DDC"/>
    <w:rsid w:val="00166DF9"/>
    <w:rsid w:val="00166FC9"/>
    <w:rsid w:val="001670F1"/>
    <w:rsid w:val="0016710A"/>
    <w:rsid w:val="00167633"/>
    <w:rsid w:val="00167687"/>
    <w:rsid w:val="00167B73"/>
    <w:rsid w:val="00167CB3"/>
    <w:rsid w:val="00167D32"/>
    <w:rsid w:val="00167D50"/>
    <w:rsid w:val="00167DE4"/>
    <w:rsid w:val="00167F2B"/>
    <w:rsid w:val="00170016"/>
    <w:rsid w:val="001704C5"/>
    <w:rsid w:val="0017073A"/>
    <w:rsid w:val="00170A0C"/>
    <w:rsid w:val="00170B30"/>
    <w:rsid w:val="00170B8F"/>
    <w:rsid w:val="00170C18"/>
    <w:rsid w:val="00170C81"/>
    <w:rsid w:val="00170DC2"/>
    <w:rsid w:val="00170F53"/>
    <w:rsid w:val="00170FA9"/>
    <w:rsid w:val="00170FE6"/>
    <w:rsid w:val="00171139"/>
    <w:rsid w:val="0017147E"/>
    <w:rsid w:val="001714D4"/>
    <w:rsid w:val="001716ED"/>
    <w:rsid w:val="00171706"/>
    <w:rsid w:val="0017184D"/>
    <w:rsid w:val="0017194B"/>
    <w:rsid w:val="00171A05"/>
    <w:rsid w:val="00171A19"/>
    <w:rsid w:val="00171D04"/>
    <w:rsid w:val="00171D7D"/>
    <w:rsid w:val="00171FAE"/>
    <w:rsid w:val="00171FC0"/>
    <w:rsid w:val="00171FFE"/>
    <w:rsid w:val="001722C0"/>
    <w:rsid w:val="00172471"/>
    <w:rsid w:val="001724AC"/>
    <w:rsid w:val="00172587"/>
    <w:rsid w:val="0017263C"/>
    <w:rsid w:val="00172645"/>
    <w:rsid w:val="00172740"/>
    <w:rsid w:val="0017280F"/>
    <w:rsid w:val="00172865"/>
    <w:rsid w:val="001729C3"/>
    <w:rsid w:val="00172AD0"/>
    <w:rsid w:val="00172C5A"/>
    <w:rsid w:val="001730E4"/>
    <w:rsid w:val="00173185"/>
    <w:rsid w:val="001731B0"/>
    <w:rsid w:val="00173472"/>
    <w:rsid w:val="0017350F"/>
    <w:rsid w:val="001738B1"/>
    <w:rsid w:val="001739B9"/>
    <w:rsid w:val="00173BF4"/>
    <w:rsid w:val="00173DB7"/>
    <w:rsid w:val="0017409D"/>
    <w:rsid w:val="00174227"/>
    <w:rsid w:val="00174457"/>
    <w:rsid w:val="0017480E"/>
    <w:rsid w:val="00174CE9"/>
    <w:rsid w:val="00174D0E"/>
    <w:rsid w:val="00174D34"/>
    <w:rsid w:val="00174EDE"/>
    <w:rsid w:val="00175052"/>
    <w:rsid w:val="00175367"/>
    <w:rsid w:val="0017573E"/>
    <w:rsid w:val="001757A1"/>
    <w:rsid w:val="0017595E"/>
    <w:rsid w:val="00175C81"/>
    <w:rsid w:val="0017629E"/>
    <w:rsid w:val="0017647F"/>
    <w:rsid w:val="001768AC"/>
    <w:rsid w:val="00176B3A"/>
    <w:rsid w:val="001770D2"/>
    <w:rsid w:val="001772B0"/>
    <w:rsid w:val="00177625"/>
    <w:rsid w:val="00177918"/>
    <w:rsid w:val="00177AB4"/>
    <w:rsid w:val="00177B71"/>
    <w:rsid w:val="00177FC8"/>
    <w:rsid w:val="00180009"/>
    <w:rsid w:val="001800B4"/>
    <w:rsid w:val="00180135"/>
    <w:rsid w:val="0018056B"/>
    <w:rsid w:val="0018063B"/>
    <w:rsid w:val="00180825"/>
    <w:rsid w:val="00180A69"/>
    <w:rsid w:val="00180BE7"/>
    <w:rsid w:val="00180C81"/>
    <w:rsid w:val="00180D57"/>
    <w:rsid w:val="00180F28"/>
    <w:rsid w:val="00180F5F"/>
    <w:rsid w:val="00180FA8"/>
    <w:rsid w:val="00181269"/>
    <w:rsid w:val="00181509"/>
    <w:rsid w:val="00181653"/>
    <w:rsid w:val="001816D5"/>
    <w:rsid w:val="00181C12"/>
    <w:rsid w:val="00181D5A"/>
    <w:rsid w:val="00181F52"/>
    <w:rsid w:val="0018205F"/>
    <w:rsid w:val="0018212B"/>
    <w:rsid w:val="00182194"/>
    <w:rsid w:val="00182299"/>
    <w:rsid w:val="00182465"/>
    <w:rsid w:val="001825DA"/>
    <w:rsid w:val="001829AF"/>
    <w:rsid w:val="00182A0B"/>
    <w:rsid w:val="00182A60"/>
    <w:rsid w:val="00182B72"/>
    <w:rsid w:val="00182BD3"/>
    <w:rsid w:val="00182DC6"/>
    <w:rsid w:val="00182E2F"/>
    <w:rsid w:val="00183049"/>
    <w:rsid w:val="001833A1"/>
    <w:rsid w:val="001833C6"/>
    <w:rsid w:val="001838D2"/>
    <w:rsid w:val="001839C8"/>
    <w:rsid w:val="00183E12"/>
    <w:rsid w:val="00183E81"/>
    <w:rsid w:val="00183EE6"/>
    <w:rsid w:val="00183F73"/>
    <w:rsid w:val="0018418A"/>
    <w:rsid w:val="001841AC"/>
    <w:rsid w:val="0018437F"/>
    <w:rsid w:val="001847B3"/>
    <w:rsid w:val="00184A40"/>
    <w:rsid w:val="00184DF1"/>
    <w:rsid w:val="00184ED6"/>
    <w:rsid w:val="00184F1D"/>
    <w:rsid w:val="00184F81"/>
    <w:rsid w:val="001850AC"/>
    <w:rsid w:val="0018548A"/>
    <w:rsid w:val="00185502"/>
    <w:rsid w:val="00185616"/>
    <w:rsid w:val="0018570A"/>
    <w:rsid w:val="001857ED"/>
    <w:rsid w:val="0018593A"/>
    <w:rsid w:val="00185AB3"/>
    <w:rsid w:val="00185AC1"/>
    <w:rsid w:val="00185AE6"/>
    <w:rsid w:val="00185E33"/>
    <w:rsid w:val="00185E6D"/>
    <w:rsid w:val="00186531"/>
    <w:rsid w:val="001865C8"/>
    <w:rsid w:val="00186846"/>
    <w:rsid w:val="001868DA"/>
    <w:rsid w:val="0018691C"/>
    <w:rsid w:val="00186A06"/>
    <w:rsid w:val="00186A83"/>
    <w:rsid w:val="00186BBC"/>
    <w:rsid w:val="00186BCF"/>
    <w:rsid w:val="00186C2A"/>
    <w:rsid w:val="00186CAA"/>
    <w:rsid w:val="001871A7"/>
    <w:rsid w:val="00187284"/>
    <w:rsid w:val="001873CD"/>
    <w:rsid w:val="001873D9"/>
    <w:rsid w:val="00187484"/>
    <w:rsid w:val="00187740"/>
    <w:rsid w:val="00187B75"/>
    <w:rsid w:val="00187CD7"/>
    <w:rsid w:val="00187F6C"/>
    <w:rsid w:val="00190075"/>
    <w:rsid w:val="00190086"/>
    <w:rsid w:val="001900D8"/>
    <w:rsid w:val="001900E8"/>
    <w:rsid w:val="00190142"/>
    <w:rsid w:val="00190259"/>
    <w:rsid w:val="001905D3"/>
    <w:rsid w:val="001908EB"/>
    <w:rsid w:val="00190993"/>
    <w:rsid w:val="00190A55"/>
    <w:rsid w:val="00190A6C"/>
    <w:rsid w:val="00190AAE"/>
    <w:rsid w:val="00190AB9"/>
    <w:rsid w:val="00190BE3"/>
    <w:rsid w:val="00190C8D"/>
    <w:rsid w:val="00190E3D"/>
    <w:rsid w:val="001910DF"/>
    <w:rsid w:val="00191321"/>
    <w:rsid w:val="001913C1"/>
    <w:rsid w:val="00191404"/>
    <w:rsid w:val="001914B1"/>
    <w:rsid w:val="0019157E"/>
    <w:rsid w:val="00191621"/>
    <w:rsid w:val="00191668"/>
    <w:rsid w:val="00191754"/>
    <w:rsid w:val="001917AF"/>
    <w:rsid w:val="001917E9"/>
    <w:rsid w:val="001918F5"/>
    <w:rsid w:val="00191A84"/>
    <w:rsid w:val="00191ED4"/>
    <w:rsid w:val="0019254D"/>
    <w:rsid w:val="0019287B"/>
    <w:rsid w:val="00192AB4"/>
    <w:rsid w:val="00192B75"/>
    <w:rsid w:val="00192BA1"/>
    <w:rsid w:val="00192BCA"/>
    <w:rsid w:val="00192CC9"/>
    <w:rsid w:val="00192D64"/>
    <w:rsid w:val="001932B8"/>
    <w:rsid w:val="001934E6"/>
    <w:rsid w:val="001936AA"/>
    <w:rsid w:val="00193736"/>
    <w:rsid w:val="001937F3"/>
    <w:rsid w:val="001938FA"/>
    <w:rsid w:val="00193C7C"/>
    <w:rsid w:val="00193FC2"/>
    <w:rsid w:val="001940BD"/>
    <w:rsid w:val="00194105"/>
    <w:rsid w:val="0019421C"/>
    <w:rsid w:val="0019429A"/>
    <w:rsid w:val="001945D2"/>
    <w:rsid w:val="001946B5"/>
    <w:rsid w:val="00194764"/>
    <w:rsid w:val="00194838"/>
    <w:rsid w:val="00194841"/>
    <w:rsid w:val="001948FC"/>
    <w:rsid w:val="0019493F"/>
    <w:rsid w:val="001949B4"/>
    <w:rsid w:val="00194AC4"/>
    <w:rsid w:val="00194E80"/>
    <w:rsid w:val="00194EEF"/>
    <w:rsid w:val="00194F3C"/>
    <w:rsid w:val="0019507D"/>
    <w:rsid w:val="001951A9"/>
    <w:rsid w:val="001951B9"/>
    <w:rsid w:val="00195499"/>
    <w:rsid w:val="00195534"/>
    <w:rsid w:val="001957FF"/>
    <w:rsid w:val="0019584D"/>
    <w:rsid w:val="00195853"/>
    <w:rsid w:val="00195D58"/>
    <w:rsid w:val="00196357"/>
    <w:rsid w:val="00196709"/>
    <w:rsid w:val="0019679B"/>
    <w:rsid w:val="001967E4"/>
    <w:rsid w:val="00196A2F"/>
    <w:rsid w:val="00196B5A"/>
    <w:rsid w:val="00196BF4"/>
    <w:rsid w:val="00196D72"/>
    <w:rsid w:val="00196E0F"/>
    <w:rsid w:val="00196E16"/>
    <w:rsid w:val="00196F7D"/>
    <w:rsid w:val="00196FBE"/>
    <w:rsid w:val="0019704F"/>
    <w:rsid w:val="0019739B"/>
    <w:rsid w:val="00197486"/>
    <w:rsid w:val="00197C03"/>
    <w:rsid w:val="001A003F"/>
    <w:rsid w:val="001A004D"/>
    <w:rsid w:val="001A01AB"/>
    <w:rsid w:val="001A0267"/>
    <w:rsid w:val="001A0295"/>
    <w:rsid w:val="001A0621"/>
    <w:rsid w:val="001A0833"/>
    <w:rsid w:val="001A083D"/>
    <w:rsid w:val="001A0A44"/>
    <w:rsid w:val="001A0C99"/>
    <w:rsid w:val="001A0CBD"/>
    <w:rsid w:val="001A0CF2"/>
    <w:rsid w:val="001A0E57"/>
    <w:rsid w:val="001A107C"/>
    <w:rsid w:val="001A123C"/>
    <w:rsid w:val="001A1285"/>
    <w:rsid w:val="001A12FA"/>
    <w:rsid w:val="001A15A5"/>
    <w:rsid w:val="001A1709"/>
    <w:rsid w:val="001A17C2"/>
    <w:rsid w:val="001A1954"/>
    <w:rsid w:val="001A1D4E"/>
    <w:rsid w:val="001A1D95"/>
    <w:rsid w:val="001A1F32"/>
    <w:rsid w:val="001A1F82"/>
    <w:rsid w:val="001A2150"/>
    <w:rsid w:val="001A21B3"/>
    <w:rsid w:val="001A22DF"/>
    <w:rsid w:val="001A2366"/>
    <w:rsid w:val="001A248F"/>
    <w:rsid w:val="001A2ACC"/>
    <w:rsid w:val="001A2EF4"/>
    <w:rsid w:val="001A3128"/>
    <w:rsid w:val="001A3810"/>
    <w:rsid w:val="001A38CE"/>
    <w:rsid w:val="001A3A2F"/>
    <w:rsid w:val="001A3BF6"/>
    <w:rsid w:val="001A3C43"/>
    <w:rsid w:val="001A3C8D"/>
    <w:rsid w:val="001A3F3D"/>
    <w:rsid w:val="001A4205"/>
    <w:rsid w:val="001A431F"/>
    <w:rsid w:val="001A43A3"/>
    <w:rsid w:val="001A43ED"/>
    <w:rsid w:val="001A47D0"/>
    <w:rsid w:val="001A4890"/>
    <w:rsid w:val="001A49BD"/>
    <w:rsid w:val="001A4A7B"/>
    <w:rsid w:val="001A4A8A"/>
    <w:rsid w:val="001A4ABF"/>
    <w:rsid w:val="001A4D97"/>
    <w:rsid w:val="001A4DE0"/>
    <w:rsid w:val="001A53F2"/>
    <w:rsid w:val="001A5564"/>
    <w:rsid w:val="001A5579"/>
    <w:rsid w:val="001A55F4"/>
    <w:rsid w:val="001A56BB"/>
    <w:rsid w:val="001A56DD"/>
    <w:rsid w:val="001A57BF"/>
    <w:rsid w:val="001A57FB"/>
    <w:rsid w:val="001A589A"/>
    <w:rsid w:val="001A593B"/>
    <w:rsid w:val="001A594A"/>
    <w:rsid w:val="001A5A83"/>
    <w:rsid w:val="001A5AA4"/>
    <w:rsid w:val="001A5BF5"/>
    <w:rsid w:val="001A60B7"/>
    <w:rsid w:val="001A6282"/>
    <w:rsid w:val="001A655E"/>
    <w:rsid w:val="001A65B4"/>
    <w:rsid w:val="001A68CF"/>
    <w:rsid w:val="001A69D3"/>
    <w:rsid w:val="001A6B4D"/>
    <w:rsid w:val="001A6DA1"/>
    <w:rsid w:val="001A7000"/>
    <w:rsid w:val="001A70E7"/>
    <w:rsid w:val="001A7296"/>
    <w:rsid w:val="001A7489"/>
    <w:rsid w:val="001A76D7"/>
    <w:rsid w:val="001A7859"/>
    <w:rsid w:val="001A7A52"/>
    <w:rsid w:val="001A7EC4"/>
    <w:rsid w:val="001B01F0"/>
    <w:rsid w:val="001B0624"/>
    <w:rsid w:val="001B076D"/>
    <w:rsid w:val="001B07FB"/>
    <w:rsid w:val="001B0A25"/>
    <w:rsid w:val="001B0BEE"/>
    <w:rsid w:val="001B0C44"/>
    <w:rsid w:val="001B0F9F"/>
    <w:rsid w:val="001B14B3"/>
    <w:rsid w:val="001B14CE"/>
    <w:rsid w:val="001B16A0"/>
    <w:rsid w:val="001B1978"/>
    <w:rsid w:val="001B1A72"/>
    <w:rsid w:val="001B20EC"/>
    <w:rsid w:val="001B2899"/>
    <w:rsid w:val="001B28A4"/>
    <w:rsid w:val="001B29F5"/>
    <w:rsid w:val="001B2A25"/>
    <w:rsid w:val="001B2A4C"/>
    <w:rsid w:val="001B2E8B"/>
    <w:rsid w:val="001B30ED"/>
    <w:rsid w:val="001B310B"/>
    <w:rsid w:val="001B3195"/>
    <w:rsid w:val="001B31F7"/>
    <w:rsid w:val="001B3463"/>
    <w:rsid w:val="001B34CB"/>
    <w:rsid w:val="001B358B"/>
    <w:rsid w:val="001B369B"/>
    <w:rsid w:val="001B37FD"/>
    <w:rsid w:val="001B3859"/>
    <w:rsid w:val="001B38AC"/>
    <w:rsid w:val="001B3ADE"/>
    <w:rsid w:val="001B3B8F"/>
    <w:rsid w:val="001B3E68"/>
    <w:rsid w:val="001B405D"/>
    <w:rsid w:val="001B425D"/>
    <w:rsid w:val="001B44B2"/>
    <w:rsid w:val="001B458E"/>
    <w:rsid w:val="001B46AC"/>
    <w:rsid w:val="001B46FD"/>
    <w:rsid w:val="001B4723"/>
    <w:rsid w:val="001B47F3"/>
    <w:rsid w:val="001B48F2"/>
    <w:rsid w:val="001B4957"/>
    <w:rsid w:val="001B512C"/>
    <w:rsid w:val="001B516B"/>
    <w:rsid w:val="001B51AF"/>
    <w:rsid w:val="001B5252"/>
    <w:rsid w:val="001B52C1"/>
    <w:rsid w:val="001B53E9"/>
    <w:rsid w:val="001B54A8"/>
    <w:rsid w:val="001B54A9"/>
    <w:rsid w:val="001B54C5"/>
    <w:rsid w:val="001B58D3"/>
    <w:rsid w:val="001B5A3F"/>
    <w:rsid w:val="001B5CFA"/>
    <w:rsid w:val="001B60F7"/>
    <w:rsid w:val="001B619C"/>
    <w:rsid w:val="001B6947"/>
    <w:rsid w:val="001B6A4D"/>
    <w:rsid w:val="001B6B53"/>
    <w:rsid w:val="001B6B62"/>
    <w:rsid w:val="001B71B8"/>
    <w:rsid w:val="001B727B"/>
    <w:rsid w:val="001B742B"/>
    <w:rsid w:val="001B76CB"/>
    <w:rsid w:val="001B782A"/>
    <w:rsid w:val="001B7860"/>
    <w:rsid w:val="001B79BE"/>
    <w:rsid w:val="001B7AB2"/>
    <w:rsid w:val="001B7FC2"/>
    <w:rsid w:val="001C00CF"/>
    <w:rsid w:val="001C03B8"/>
    <w:rsid w:val="001C0518"/>
    <w:rsid w:val="001C06F9"/>
    <w:rsid w:val="001C0723"/>
    <w:rsid w:val="001C07F7"/>
    <w:rsid w:val="001C0BFE"/>
    <w:rsid w:val="001C0D05"/>
    <w:rsid w:val="001C0DF3"/>
    <w:rsid w:val="001C0F33"/>
    <w:rsid w:val="001C1063"/>
    <w:rsid w:val="001C10F2"/>
    <w:rsid w:val="001C1130"/>
    <w:rsid w:val="001C1336"/>
    <w:rsid w:val="001C14EF"/>
    <w:rsid w:val="001C1528"/>
    <w:rsid w:val="001C15C7"/>
    <w:rsid w:val="001C1666"/>
    <w:rsid w:val="001C17D4"/>
    <w:rsid w:val="001C1ED4"/>
    <w:rsid w:val="001C2006"/>
    <w:rsid w:val="001C2115"/>
    <w:rsid w:val="001C21DC"/>
    <w:rsid w:val="001C2283"/>
    <w:rsid w:val="001C22B4"/>
    <w:rsid w:val="001C22D7"/>
    <w:rsid w:val="001C231E"/>
    <w:rsid w:val="001C2565"/>
    <w:rsid w:val="001C26D5"/>
    <w:rsid w:val="001C26DE"/>
    <w:rsid w:val="001C27B2"/>
    <w:rsid w:val="001C28CF"/>
    <w:rsid w:val="001C2A74"/>
    <w:rsid w:val="001C2AA9"/>
    <w:rsid w:val="001C2BFA"/>
    <w:rsid w:val="001C3013"/>
    <w:rsid w:val="001C31CC"/>
    <w:rsid w:val="001C36A0"/>
    <w:rsid w:val="001C3778"/>
    <w:rsid w:val="001C393B"/>
    <w:rsid w:val="001C3950"/>
    <w:rsid w:val="001C3A6C"/>
    <w:rsid w:val="001C3D3A"/>
    <w:rsid w:val="001C3EC6"/>
    <w:rsid w:val="001C40DE"/>
    <w:rsid w:val="001C43DC"/>
    <w:rsid w:val="001C443B"/>
    <w:rsid w:val="001C443C"/>
    <w:rsid w:val="001C44A0"/>
    <w:rsid w:val="001C4B04"/>
    <w:rsid w:val="001C4B3B"/>
    <w:rsid w:val="001C4FE6"/>
    <w:rsid w:val="001C52C3"/>
    <w:rsid w:val="001C5374"/>
    <w:rsid w:val="001C5426"/>
    <w:rsid w:val="001C55CD"/>
    <w:rsid w:val="001C5634"/>
    <w:rsid w:val="001C574D"/>
    <w:rsid w:val="001C578F"/>
    <w:rsid w:val="001C58F9"/>
    <w:rsid w:val="001C5B1F"/>
    <w:rsid w:val="001C5E6B"/>
    <w:rsid w:val="001C5ED5"/>
    <w:rsid w:val="001C5F00"/>
    <w:rsid w:val="001C6098"/>
    <w:rsid w:val="001C6239"/>
    <w:rsid w:val="001C6245"/>
    <w:rsid w:val="001C6644"/>
    <w:rsid w:val="001C6AAB"/>
    <w:rsid w:val="001C6B00"/>
    <w:rsid w:val="001C6B90"/>
    <w:rsid w:val="001C6BD8"/>
    <w:rsid w:val="001C6C4F"/>
    <w:rsid w:val="001C6CD9"/>
    <w:rsid w:val="001C6D19"/>
    <w:rsid w:val="001C6DA3"/>
    <w:rsid w:val="001C6F06"/>
    <w:rsid w:val="001C6FDF"/>
    <w:rsid w:val="001C707A"/>
    <w:rsid w:val="001C7084"/>
    <w:rsid w:val="001C70C0"/>
    <w:rsid w:val="001C73B6"/>
    <w:rsid w:val="001C7413"/>
    <w:rsid w:val="001C748A"/>
    <w:rsid w:val="001C76BF"/>
    <w:rsid w:val="001C78C5"/>
    <w:rsid w:val="001C7D23"/>
    <w:rsid w:val="001C7EF0"/>
    <w:rsid w:val="001C7F22"/>
    <w:rsid w:val="001C7F52"/>
    <w:rsid w:val="001D0070"/>
    <w:rsid w:val="001D00D7"/>
    <w:rsid w:val="001D02B2"/>
    <w:rsid w:val="001D0417"/>
    <w:rsid w:val="001D05CF"/>
    <w:rsid w:val="001D0658"/>
    <w:rsid w:val="001D0682"/>
    <w:rsid w:val="001D08C6"/>
    <w:rsid w:val="001D0BFB"/>
    <w:rsid w:val="001D0C9C"/>
    <w:rsid w:val="001D0DB7"/>
    <w:rsid w:val="001D0DE6"/>
    <w:rsid w:val="001D0FF0"/>
    <w:rsid w:val="001D11E6"/>
    <w:rsid w:val="001D1549"/>
    <w:rsid w:val="001D1A03"/>
    <w:rsid w:val="001D1A62"/>
    <w:rsid w:val="001D1E05"/>
    <w:rsid w:val="001D1ED5"/>
    <w:rsid w:val="001D2290"/>
    <w:rsid w:val="001D23C5"/>
    <w:rsid w:val="001D2789"/>
    <w:rsid w:val="001D29B0"/>
    <w:rsid w:val="001D30A5"/>
    <w:rsid w:val="001D31AD"/>
    <w:rsid w:val="001D340B"/>
    <w:rsid w:val="001D39BF"/>
    <w:rsid w:val="001D3A57"/>
    <w:rsid w:val="001D3A94"/>
    <w:rsid w:val="001D3B6B"/>
    <w:rsid w:val="001D3CE4"/>
    <w:rsid w:val="001D3CF1"/>
    <w:rsid w:val="001D3D3D"/>
    <w:rsid w:val="001D40E1"/>
    <w:rsid w:val="001D429B"/>
    <w:rsid w:val="001D46CD"/>
    <w:rsid w:val="001D4990"/>
    <w:rsid w:val="001D4BA6"/>
    <w:rsid w:val="001D4C7B"/>
    <w:rsid w:val="001D4EC1"/>
    <w:rsid w:val="001D5273"/>
    <w:rsid w:val="001D5919"/>
    <w:rsid w:val="001D5929"/>
    <w:rsid w:val="001D5983"/>
    <w:rsid w:val="001D5D3D"/>
    <w:rsid w:val="001D5E3F"/>
    <w:rsid w:val="001D6253"/>
    <w:rsid w:val="001D6307"/>
    <w:rsid w:val="001D644F"/>
    <w:rsid w:val="001D6583"/>
    <w:rsid w:val="001D66E6"/>
    <w:rsid w:val="001D6940"/>
    <w:rsid w:val="001D6966"/>
    <w:rsid w:val="001D6DA7"/>
    <w:rsid w:val="001D6FAE"/>
    <w:rsid w:val="001D72C5"/>
    <w:rsid w:val="001D74B4"/>
    <w:rsid w:val="001D75BE"/>
    <w:rsid w:val="001D762F"/>
    <w:rsid w:val="001D7658"/>
    <w:rsid w:val="001D7817"/>
    <w:rsid w:val="001D7861"/>
    <w:rsid w:val="001D7988"/>
    <w:rsid w:val="001D79F1"/>
    <w:rsid w:val="001D7CDF"/>
    <w:rsid w:val="001D7DFC"/>
    <w:rsid w:val="001E0167"/>
    <w:rsid w:val="001E01A1"/>
    <w:rsid w:val="001E01FD"/>
    <w:rsid w:val="001E026C"/>
    <w:rsid w:val="001E037B"/>
    <w:rsid w:val="001E0411"/>
    <w:rsid w:val="001E0582"/>
    <w:rsid w:val="001E0ABE"/>
    <w:rsid w:val="001E0FF0"/>
    <w:rsid w:val="001E137B"/>
    <w:rsid w:val="001E1511"/>
    <w:rsid w:val="001E172D"/>
    <w:rsid w:val="001E1876"/>
    <w:rsid w:val="001E1B85"/>
    <w:rsid w:val="001E1FA7"/>
    <w:rsid w:val="001E20AA"/>
    <w:rsid w:val="001E20C9"/>
    <w:rsid w:val="001E214B"/>
    <w:rsid w:val="001E21F9"/>
    <w:rsid w:val="001E222A"/>
    <w:rsid w:val="001E23DB"/>
    <w:rsid w:val="001E261D"/>
    <w:rsid w:val="001E267B"/>
    <w:rsid w:val="001E27A7"/>
    <w:rsid w:val="001E2CB6"/>
    <w:rsid w:val="001E2D6C"/>
    <w:rsid w:val="001E2E50"/>
    <w:rsid w:val="001E3034"/>
    <w:rsid w:val="001E3633"/>
    <w:rsid w:val="001E3689"/>
    <w:rsid w:val="001E391C"/>
    <w:rsid w:val="001E3974"/>
    <w:rsid w:val="001E3B29"/>
    <w:rsid w:val="001E3C11"/>
    <w:rsid w:val="001E3F28"/>
    <w:rsid w:val="001E4518"/>
    <w:rsid w:val="001E45F2"/>
    <w:rsid w:val="001E4A59"/>
    <w:rsid w:val="001E4D8A"/>
    <w:rsid w:val="001E4E16"/>
    <w:rsid w:val="001E5163"/>
    <w:rsid w:val="001E53BE"/>
    <w:rsid w:val="001E5531"/>
    <w:rsid w:val="001E56DF"/>
    <w:rsid w:val="001E593A"/>
    <w:rsid w:val="001E5B6C"/>
    <w:rsid w:val="001E5F3E"/>
    <w:rsid w:val="001E5FAB"/>
    <w:rsid w:val="001E600C"/>
    <w:rsid w:val="001E6042"/>
    <w:rsid w:val="001E6092"/>
    <w:rsid w:val="001E6170"/>
    <w:rsid w:val="001E6441"/>
    <w:rsid w:val="001E6607"/>
    <w:rsid w:val="001E66F2"/>
    <w:rsid w:val="001E6972"/>
    <w:rsid w:val="001E6C48"/>
    <w:rsid w:val="001E6D10"/>
    <w:rsid w:val="001E6DB3"/>
    <w:rsid w:val="001E6E38"/>
    <w:rsid w:val="001E6E98"/>
    <w:rsid w:val="001E6ED9"/>
    <w:rsid w:val="001E6EFB"/>
    <w:rsid w:val="001E6F2E"/>
    <w:rsid w:val="001E6FA1"/>
    <w:rsid w:val="001E7034"/>
    <w:rsid w:val="001E706C"/>
    <w:rsid w:val="001E70ED"/>
    <w:rsid w:val="001E71EF"/>
    <w:rsid w:val="001E7288"/>
    <w:rsid w:val="001E745B"/>
    <w:rsid w:val="001E7504"/>
    <w:rsid w:val="001E760C"/>
    <w:rsid w:val="001E7652"/>
    <w:rsid w:val="001E777D"/>
    <w:rsid w:val="001E7D56"/>
    <w:rsid w:val="001E7F29"/>
    <w:rsid w:val="001F01CF"/>
    <w:rsid w:val="001F0247"/>
    <w:rsid w:val="001F03F5"/>
    <w:rsid w:val="001F04C9"/>
    <w:rsid w:val="001F061E"/>
    <w:rsid w:val="001F0648"/>
    <w:rsid w:val="001F0B6E"/>
    <w:rsid w:val="001F0ECA"/>
    <w:rsid w:val="001F10B6"/>
    <w:rsid w:val="001F11CE"/>
    <w:rsid w:val="001F130C"/>
    <w:rsid w:val="001F151F"/>
    <w:rsid w:val="001F177B"/>
    <w:rsid w:val="001F19C4"/>
    <w:rsid w:val="001F1A3E"/>
    <w:rsid w:val="001F1AC2"/>
    <w:rsid w:val="001F1D6D"/>
    <w:rsid w:val="001F1DD5"/>
    <w:rsid w:val="001F225E"/>
    <w:rsid w:val="001F2287"/>
    <w:rsid w:val="001F2580"/>
    <w:rsid w:val="001F2A39"/>
    <w:rsid w:val="001F2BD1"/>
    <w:rsid w:val="001F2D89"/>
    <w:rsid w:val="001F30B0"/>
    <w:rsid w:val="001F339F"/>
    <w:rsid w:val="001F37CB"/>
    <w:rsid w:val="001F392F"/>
    <w:rsid w:val="001F393C"/>
    <w:rsid w:val="001F39FF"/>
    <w:rsid w:val="001F3A46"/>
    <w:rsid w:val="001F3B10"/>
    <w:rsid w:val="001F3D16"/>
    <w:rsid w:val="001F3DE2"/>
    <w:rsid w:val="001F3F24"/>
    <w:rsid w:val="001F40BA"/>
    <w:rsid w:val="001F46D1"/>
    <w:rsid w:val="001F475B"/>
    <w:rsid w:val="001F47D5"/>
    <w:rsid w:val="001F47FE"/>
    <w:rsid w:val="001F4ACB"/>
    <w:rsid w:val="001F4B14"/>
    <w:rsid w:val="001F4CF3"/>
    <w:rsid w:val="001F4E83"/>
    <w:rsid w:val="001F4F64"/>
    <w:rsid w:val="001F51F6"/>
    <w:rsid w:val="001F52E3"/>
    <w:rsid w:val="001F5347"/>
    <w:rsid w:val="001F53FE"/>
    <w:rsid w:val="001F5436"/>
    <w:rsid w:val="001F55E6"/>
    <w:rsid w:val="001F55FF"/>
    <w:rsid w:val="001F5718"/>
    <w:rsid w:val="001F5859"/>
    <w:rsid w:val="001F590F"/>
    <w:rsid w:val="001F5AFA"/>
    <w:rsid w:val="001F5B4C"/>
    <w:rsid w:val="001F5B9C"/>
    <w:rsid w:val="001F5BDC"/>
    <w:rsid w:val="001F5C6D"/>
    <w:rsid w:val="001F60B3"/>
    <w:rsid w:val="001F6475"/>
    <w:rsid w:val="001F64F8"/>
    <w:rsid w:val="001F67C7"/>
    <w:rsid w:val="001F68EC"/>
    <w:rsid w:val="001F6B31"/>
    <w:rsid w:val="001F6C28"/>
    <w:rsid w:val="001F6CA5"/>
    <w:rsid w:val="001F737A"/>
    <w:rsid w:val="001F7470"/>
    <w:rsid w:val="001F7573"/>
    <w:rsid w:val="001F7669"/>
    <w:rsid w:val="001F77A2"/>
    <w:rsid w:val="001F77F3"/>
    <w:rsid w:val="001F77F6"/>
    <w:rsid w:val="001F79FD"/>
    <w:rsid w:val="001F7C08"/>
    <w:rsid w:val="001F7C12"/>
    <w:rsid w:val="0020016E"/>
    <w:rsid w:val="002003E6"/>
    <w:rsid w:val="00200553"/>
    <w:rsid w:val="00200C61"/>
    <w:rsid w:val="00200D78"/>
    <w:rsid w:val="00200E5E"/>
    <w:rsid w:val="00200EF7"/>
    <w:rsid w:val="00200EFA"/>
    <w:rsid w:val="00200F4B"/>
    <w:rsid w:val="002010EC"/>
    <w:rsid w:val="0020112F"/>
    <w:rsid w:val="002016E5"/>
    <w:rsid w:val="002018A6"/>
    <w:rsid w:val="002018B6"/>
    <w:rsid w:val="00201AA2"/>
    <w:rsid w:val="00201AF3"/>
    <w:rsid w:val="00201B56"/>
    <w:rsid w:val="00201D54"/>
    <w:rsid w:val="00202011"/>
    <w:rsid w:val="0020220B"/>
    <w:rsid w:val="0020230B"/>
    <w:rsid w:val="00202341"/>
    <w:rsid w:val="002025DA"/>
    <w:rsid w:val="00202716"/>
    <w:rsid w:val="00202774"/>
    <w:rsid w:val="002028F0"/>
    <w:rsid w:val="00202C3A"/>
    <w:rsid w:val="00202CF2"/>
    <w:rsid w:val="00202D8C"/>
    <w:rsid w:val="00202DD0"/>
    <w:rsid w:val="00202F5B"/>
    <w:rsid w:val="00203383"/>
    <w:rsid w:val="0020361B"/>
    <w:rsid w:val="002038FA"/>
    <w:rsid w:val="00203D20"/>
    <w:rsid w:val="00204216"/>
    <w:rsid w:val="0020421E"/>
    <w:rsid w:val="0020470E"/>
    <w:rsid w:val="00204B88"/>
    <w:rsid w:val="00204CB6"/>
    <w:rsid w:val="00204E27"/>
    <w:rsid w:val="00204E6F"/>
    <w:rsid w:val="0020504E"/>
    <w:rsid w:val="002050FF"/>
    <w:rsid w:val="00205337"/>
    <w:rsid w:val="002053B2"/>
    <w:rsid w:val="002055EC"/>
    <w:rsid w:val="0020562A"/>
    <w:rsid w:val="00205691"/>
    <w:rsid w:val="0020576F"/>
    <w:rsid w:val="00205863"/>
    <w:rsid w:val="0020592B"/>
    <w:rsid w:val="00205A61"/>
    <w:rsid w:val="00205AF1"/>
    <w:rsid w:val="00205B4E"/>
    <w:rsid w:val="00205B69"/>
    <w:rsid w:val="002061FE"/>
    <w:rsid w:val="00206258"/>
    <w:rsid w:val="002062D2"/>
    <w:rsid w:val="0020644A"/>
    <w:rsid w:val="002065D9"/>
    <w:rsid w:val="002068C5"/>
    <w:rsid w:val="00206A7C"/>
    <w:rsid w:val="00206EFB"/>
    <w:rsid w:val="0020705D"/>
    <w:rsid w:val="00207193"/>
    <w:rsid w:val="002075DE"/>
    <w:rsid w:val="00207895"/>
    <w:rsid w:val="00207A51"/>
    <w:rsid w:val="00207B31"/>
    <w:rsid w:val="00207CD1"/>
    <w:rsid w:val="00207DE6"/>
    <w:rsid w:val="00207EBB"/>
    <w:rsid w:val="00210036"/>
    <w:rsid w:val="00210276"/>
    <w:rsid w:val="00210325"/>
    <w:rsid w:val="002103DE"/>
    <w:rsid w:val="002103F4"/>
    <w:rsid w:val="00210421"/>
    <w:rsid w:val="002104AF"/>
    <w:rsid w:val="002105EE"/>
    <w:rsid w:val="002106FC"/>
    <w:rsid w:val="00210A44"/>
    <w:rsid w:val="00210BD9"/>
    <w:rsid w:val="00210D62"/>
    <w:rsid w:val="00210EB3"/>
    <w:rsid w:val="00210F88"/>
    <w:rsid w:val="002114D0"/>
    <w:rsid w:val="0021169E"/>
    <w:rsid w:val="002118BD"/>
    <w:rsid w:val="002118E4"/>
    <w:rsid w:val="00211CEA"/>
    <w:rsid w:val="0021212C"/>
    <w:rsid w:val="0021219E"/>
    <w:rsid w:val="00212205"/>
    <w:rsid w:val="0021220A"/>
    <w:rsid w:val="0021221F"/>
    <w:rsid w:val="002122D8"/>
    <w:rsid w:val="00212339"/>
    <w:rsid w:val="00212715"/>
    <w:rsid w:val="002128BC"/>
    <w:rsid w:val="00212A1B"/>
    <w:rsid w:val="00212A9A"/>
    <w:rsid w:val="00212BCC"/>
    <w:rsid w:val="00212C06"/>
    <w:rsid w:val="00212E9B"/>
    <w:rsid w:val="00213081"/>
    <w:rsid w:val="00213304"/>
    <w:rsid w:val="002134B3"/>
    <w:rsid w:val="00213790"/>
    <w:rsid w:val="0021399B"/>
    <w:rsid w:val="002139CB"/>
    <w:rsid w:val="00213F16"/>
    <w:rsid w:val="00213F42"/>
    <w:rsid w:val="00213F63"/>
    <w:rsid w:val="00214212"/>
    <w:rsid w:val="002143D3"/>
    <w:rsid w:val="0021441A"/>
    <w:rsid w:val="002144C1"/>
    <w:rsid w:val="00214619"/>
    <w:rsid w:val="00214691"/>
    <w:rsid w:val="00214732"/>
    <w:rsid w:val="00214BCC"/>
    <w:rsid w:val="00214DFD"/>
    <w:rsid w:val="00214FDF"/>
    <w:rsid w:val="0021503C"/>
    <w:rsid w:val="00215109"/>
    <w:rsid w:val="002152CA"/>
    <w:rsid w:val="002155A3"/>
    <w:rsid w:val="00215702"/>
    <w:rsid w:val="00215996"/>
    <w:rsid w:val="00215BE9"/>
    <w:rsid w:val="00215F32"/>
    <w:rsid w:val="00215F9D"/>
    <w:rsid w:val="00216076"/>
    <w:rsid w:val="002160AF"/>
    <w:rsid w:val="0021627A"/>
    <w:rsid w:val="002164BF"/>
    <w:rsid w:val="00216909"/>
    <w:rsid w:val="00216A39"/>
    <w:rsid w:val="00216AA1"/>
    <w:rsid w:val="00216D8D"/>
    <w:rsid w:val="00216F4A"/>
    <w:rsid w:val="002170A8"/>
    <w:rsid w:val="0021728B"/>
    <w:rsid w:val="002172EC"/>
    <w:rsid w:val="00217879"/>
    <w:rsid w:val="002178E8"/>
    <w:rsid w:val="002179C5"/>
    <w:rsid w:val="00217BDF"/>
    <w:rsid w:val="00217D32"/>
    <w:rsid w:val="00220006"/>
    <w:rsid w:val="00220015"/>
    <w:rsid w:val="00220266"/>
    <w:rsid w:val="00220340"/>
    <w:rsid w:val="002204F5"/>
    <w:rsid w:val="00220796"/>
    <w:rsid w:val="00220964"/>
    <w:rsid w:val="00220B1E"/>
    <w:rsid w:val="00220B81"/>
    <w:rsid w:val="00220C83"/>
    <w:rsid w:val="00220CD1"/>
    <w:rsid w:val="00220D1D"/>
    <w:rsid w:val="00220D91"/>
    <w:rsid w:val="00220FC7"/>
    <w:rsid w:val="002211F2"/>
    <w:rsid w:val="0022151D"/>
    <w:rsid w:val="0022158F"/>
    <w:rsid w:val="002217F0"/>
    <w:rsid w:val="00221A57"/>
    <w:rsid w:val="00221AFA"/>
    <w:rsid w:val="00221B92"/>
    <w:rsid w:val="00221BF0"/>
    <w:rsid w:val="00221E33"/>
    <w:rsid w:val="00221F71"/>
    <w:rsid w:val="002221D2"/>
    <w:rsid w:val="002222B4"/>
    <w:rsid w:val="00222307"/>
    <w:rsid w:val="002225D9"/>
    <w:rsid w:val="00222650"/>
    <w:rsid w:val="00222732"/>
    <w:rsid w:val="00222742"/>
    <w:rsid w:val="00222B82"/>
    <w:rsid w:val="00222DA4"/>
    <w:rsid w:val="002233E6"/>
    <w:rsid w:val="00223915"/>
    <w:rsid w:val="00223BC8"/>
    <w:rsid w:val="00223CD6"/>
    <w:rsid w:val="00223D02"/>
    <w:rsid w:val="00223E72"/>
    <w:rsid w:val="00223EFE"/>
    <w:rsid w:val="00223F3D"/>
    <w:rsid w:val="00224185"/>
    <w:rsid w:val="0022423A"/>
    <w:rsid w:val="00224306"/>
    <w:rsid w:val="002245C7"/>
    <w:rsid w:val="0022477D"/>
    <w:rsid w:val="00224A7F"/>
    <w:rsid w:val="00224B5D"/>
    <w:rsid w:val="00224BB4"/>
    <w:rsid w:val="00224F73"/>
    <w:rsid w:val="0022522C"/>
    <w:rsid w:val="0022546B"/>
    <w:rsid w:val="002254C3"/>
    <w:rsid w:val="00225936"/>
    <w:rsid w:val="002259CF"/>
    <w:rsid w:val="00225A90"/>
    <w:rsid w:val="00225B67"/>
    <w:rsid w:val="00225C4A"/>
    <w:rsid w:val="00225CAC"/>
    <w:rsid w:val="00225E37"/>
    <w:rsid w:val="00225FC6"/>
    <w:rsid w:val="00225FC9"/>
    <w:rsid w:val="00225FE0"/>
    <w:rsid w:val="0022612F"/>
    <w:rsid w:val="0022636E"/>
    <w:rsid w:val="00226406"/>
    <w:rsid w:val="00226780"/>
    <w:rsid w:val="00226C60"/>
    <w:rsid w:val="00226E34"/>
    <w:rsid w:val="0022719F"/>
    <w:rsid w:val="002273FD"/>
    <w:rsid w:val="0022752E"/>
    <w:rsid w:val="002275D0"/>
    <w:rsid w:val="00227702"/>
    <w:rsid w:val="0022770A"/>
    <w:rsid w:val="00227747"/>
    <w:rsid w:val="0022778E"/>
    <w:rsid w:val="00227A03"/>
    <w:rsid w:val="00227A52"/>
    <w:rsid w:val="00227DD0"/>
    <w:rsid w:val="00227F4A"/>
    <w:rsid w:val="00227F8B"/>
    <w:rsid w:val="00230109"/>
    <w:rsid w:val="00230309"/>
    <w:rsid w:val="00230328"/>
    <w:rsid w:val="00230356"/>
    <w:rsid w:val="00230647"/>
    <w:rsid w:val="00230786"/>
    <w:rsid w:val="0023079B"/>
    <w:rsid w:val="002307AD"/>
    <w:rsid w:val="002307F0"/>
    <w:rsid w:val="0023087D"/>
    <w:rsid w:val="00230996"/>
    <w:rsid w:val="00230F20"/>
    <w:rsid w:val="002310C6"/>
    <w:rsid w:val="00231120"/>
    <w:rsid w:val="00231136"/>
    <w:rsid w:val="0023117F"/>
    <w:rsid w:val="00231461"/>
    <w:rsid w:val="00231473"/>
    <w:rsid w:val="00231640"/>
    <w:rsid w:val="00231812"/>
    <w:rsid w:val="00231A58"/>
    <w:rsid w:val="00231A75"/>
    <w:rsid w:val="00231CE7"/>
    <w:rsid w:val="00231ED0"/>
    <w:rsid w:val="00231FFB"/>
    <w:rsid w:val="002323E0"/>
    <w:rsid w:val="002329AC"/>
    <w:rsid w:val="002329BD"/>
    <w:rsid w:val="00232DA9"/>
    <w:rsid w:val="00232DC4"/>
    <w:rsid w:val="00232E4B"/>
    <w:rsid w:val="00232F58"/>
    <w:rsid w:val="00232F8B"/>
    <w:rsid w:val="00232FDE"/>
    <w:rsid w:val="0023308C"/>
    <w:rsid w:val="002330BE"/>
    <w:rsid w:val="002331B0"/>
    <w:rsid w:val="00233313"/>
    <w:rsid w:val="00233529"/>
    <w:rsid w:val="002335B0"/>
    <w:rsid w:val="002336BA"/>
    <w:rsid w:val="002336BE"/>
    <w:rsid w:val="00233912"/>
    <w:rsid w:val="00233981"/>
    <w:rsid w:val="00233D96"/>
    <w:rsid w:val="00233E66"/>
    <w:rsid w:val="002341C0"/>
    <w:rsid w:val="00234270"/>
    <w:rsid w:val="0023442F"/>
    <w:rsid w:val="00234598"/>
    <w:rsid w:val="0023460D"/>
    <w:rsid w:val="002348EB"/>
    <w:rsid w:val="00234A5B"/>
    <w:rsid w:val="00234AAC"/>
    <w:rsid w:val="00234AE4"/>
    <w:rsid w:val="00234E1F"/>
    <w:rsid w:val="00234EAB"/>
    <w:rsid w:val="00234EB2"/>
    <w:rsid w:val="002350C8"/>
    <w:rsid w:val="00235135"/>
    <w:rsid w:val="002354A5"/>
    <w:rsid w:val="00235731"/>
    <w:rsid w:val="002359C6"/>
    <w:rsid w:val="00235EDD"/>
    <w:rsid w:val="00236067"/>
    <w:rsid w:val="00236228"/>
    <w:rsid w:val="002365E5"/>
    <w:rsid w:val="00236937"/>
    <w:rsid w:val="0023697F"/>
    <w:rsid w:val="00236A41"/>
    <w:rsid w:val="00236AB1"/>
    <w:rsid w:val="00236B6B"/>
    <w:rsid w:val="00236C4A"/>
    <w:rsid w:val="00236E4D"/>
    <w:rsid w:val="00236F6D"/>
    <w:rsid w:val="00237255"/>
    <w:rsid w:val="0023750F"/>
    <w:rsid w:val="00237731"/>
    <w:rsid w:val="002377CD"/>
    <w:rsid w:val="002378C0"/>
    <w:rsid w:val="00237D04"/>
    <w:rsid w:val="00237E61"/>
    <w:rsid w:val="00237E8E"/>
    <w:rsid w:val="00237F53"/>
    <w:rsid w:val="00240090"/>
    <w:rsid w:val="002405B6"/>
    <w:rsid w:val="00240F0E"/>
    <w:rsid w:val="002410C9"/>
    <w:rsid w:val="0024128B"/>
    <w:rsid w:val="0024135C"/>
    <w:rsid w:val="00241509"/>
    <w:rsid w:val="0024151F"/>
    <w:rsid w:val="0024171C"/>
    <w:rsid w:val="00241906"/>
    <w:rsid w:val="00241CEF"/>
    <w:rsid w:val="00241FB3"/>
    <w:rsid w:val="00241FDB"/>
    <w:rsid w:val="0024201A"/>
    <w:rsid w:val="00242041"/>
    <w:rsid w:val="002420C5"/>
    <w:rsid w:val="002420CE"/>
    <w:rsid w:val="0024213C"/>
    <w:rsid w:val="002423A1"/>
    <w:rsid w:val="002425E8"/>
    <w:rsid w:val="00242682"/>
    <w:rsid w:val="0024294A"/>
    <w:rsid w:val="00242A07"/>
    <w:rsid w:val="00242DEE"/>
    <w:rsid w:val="00242E04"/>
    <w:rsid w:val="00243398"/>
    <w:rsid w:val="002434A0"/>
    <w:rsid w:val="002437F5"/>
    <w:rsid w:val="0024387F"/>
    <w:rsid w:val="0024388C"/>
    <w:rsid w:val="00243B4C"/>
    <w:rsid w:val="00243B56"/>
    <w:rsid w:val="00243BD9"/>
    <w:rsid w:val="00243CC3"/>
    <w:rsid w:val="00243D93"/>
    <w:rsid w:val="00243EBA"/>
    <w:rsid w:val="0024420D"/>
    <w:rsid w:val="0024431B"/>
    <w:rsid w:val="002445A9"/>
    <w:rsid w:val="00244AC1"/>
    <w:rsid w:val="00244BAC"/>
    <w:rsid w:val="00244BC5"/>
    <w:rsid w:val="00244D5B"/>
    <w:rsid w:val="00244EEB"/>
    <w:rsid w:val="00245333"/>
    <w:rsid w:val="002454DE"/>
    <w:rsid w:val="002457A2"/>
    <w:rsid w:val="00245935"/>
    <w:rsid w:val="00245979"/>
    <w:rsid w:val="00245C37"/>
    <w:rsid w:val="00245CDB"/>
    <w:rsid w:val="00245FEA"/>
    <w:rsid w:val="00246131"/>
    <w:rsid w:val="0024677C"/>
    <w:rsid w:val="002467C5"/>
    <w:rsid w:val="002469B7"/>
    <w:rsid w:val="00246AE7"/>
    <w:rsid w:val="00246DAB"/>
    <w:rsid w:val="0024708F"/>
    <w:rsid w:val="00247246"/>
    <w:rsid w:val="0024740D"/>
    <w:rsid w:val="002475CF"/>
    <w:rsid w:val="002475DD"/>
    <w:rsid w:val="002476FF"/>
    <w:rsid w:val="0024776B"/>
    <w:rsid w:val="0024779F"/>
    <w:rsid w:val="00247C26"/>
    <w:rsid w:val="00247C57"/>
    <w:rsid w:val="00250123"/>
    <w:rsid w:val="00250357"/>
    <w:rsid w:val="002506DA"/>
    <w:rsid w:val="002508A9"/>
    <w:rsid w:val="00250923"/>
    <w:rsid w:val="00250B1F"/>
    <w:rsid w:val="00250B8F"/>
    <w:rsid w:val="00250C11"/>
    <w:rsid w:val="00250D83"/>
    <w:rsid w:val="00250DCD"/>
    <w:rsid w:val="00250DF3"/>
    <w:rsid w:val="002510C9"/>
    <w:rsid w:val="002512D5"/>
    <w:rsid w:val="0025165B"/>
    <w:rsid w:val="00251A13"/>
    <w:rsid w:val="00251B28"/>
    <w:rsid w:val="00251D2A"/>
    <w:rsid w:val="00252362"/>
    <w:rsid w:val="002524B8"/>
    <w:rsid w:val="00252523"/>
    <w:rsid w:val="002526E1"/>
    <w:rsid w:val="002526FE"/>
    <w:rsid w:val="002527A7"/>
    <w:rsid w:val="00252C31"/>
    <w:rsid w:val="00252E99"/>
    <w:rsid w:val="002530CA"/>
    <w:rsid w:val="00253110"/>
    <w:rsid w:val="00253383"/>
    <w:rsid w:val="002533D8"/>
    <w:rsid w:val="002534D5"/>
    <w:rsid w:val="002535B7"/>
    <w:rsid w:val="002539D3"/>
    <w:rsid w:val="00253CB7"/>
    <w:rsid w:val="00253F7D"/>
    <w:rsid w:val="00253FE5"/>
    <w:rsid w:val="002540C3"/>
    <w:rsid w:val="00254147"/>
    <w:rsid w:val="0025420B"/>
    <w:rsid w:val="00254337"/>
    <w:rsid w:val="002546AE"/>
    <w:rsid w:val="00254813"/>
    <w:rsid w:val="002548A4"/>
    <w:rsid w:val="00254A2E"/>
    <w:rsid w:val="00254AE9"/>
    <w:rsid w:val="00254AFD"/>
    <w:rsid w:val="00254C6F"/>
    <w:rsid w:val="00254DEF"/>
    <w:rsid w:val="002550C1"/>
    <w:rsid w:val="0025551B"/>
    <w:rsid w:val="002556EB"/>
    <w:rsid w:val="002558B3"/>
    <w:rsid w:val="00255A01"/>
    <w:rsid w:val="00255A14"/>
    <w:rsid w:val="00255A89"/>
    <w:rsid w:val="00255AD7"/>
    <w:rsid w:val="00255B79"/>
    <w:rsid w:val="00255F97"/>
    <w:rsid w:val="00256183"/>
    <w:rsid w:val="002568F6"/>
    <w:rsid w:val="00256B10"/>
    <w:rsid w:val="00256B32"/>
    <w:rsid w:val="00256CCA"/>
    <w:rsid w:val="00256CDF"/>
    <w:rsid w:val="00256D46"/>
    <w:rsid w:val="00256DB5"/>
    <w:rsid w:val="0025706A"/>
    <w:rsid w:val="002571CD"/>
    <w:rsid w:val="00257643"/>
    <w:rsid w:val="002578A6"/>
    <w:rsid w:val="0025796D"/>
    <w:rsid w:val="00257C59"/>
    <w:rsid w:val="00260432"/>
    <w:rsid w:val="002604F9"/>
    <w:rsid w:val="00260701"/>
    <w:rsid w:val="002609A4"/>
    <w:rsid w:val="002609F9"/>
    <w:rsid w:val="00260C4D"/>
    <w:rsid w:val="00260CF1"/>
    <w:rsid w:val="00260DEF"/>
    <w:rsid w:val="00260E1D"/>
    <w:rsid w:val="00260F19"/>
    <w:rsid w:val="00261673"/>
    <w:rsid w:val="002616D0"/>
    <w:rsid w:val="00261A47"/>
    <w:rsid w:val="00261E98"/>
    <w:rsid w:val="00261ED1"/>
    <w:rsid w:val="00261F99"/>
    <w:rsid w:val="002621C4"/>
    <w:rsid w:val="00262250"/>
    <w:rsid w:val="00262350"/>
    <w:rsid w:val="002626AB"/>
    <w:rsid w:val="00262855"/>
    <w:rsid w:val="00262AF1"/>
    <w:rsid w:val="00262B71"/>
    <w:rsid w:val="00263095"/>
    <w:rsid w:val="002630E8"/>
    <w:rsid w:val="002631DE"/>
    <w:rsid w:val="002633F5"/>
    <w:rsid w:val="00263474"/>
    <w:rsid w:val="0026363C"/>
    <w:rsid w:val="002636D1"/>
    <w:rsid w:val="002636DF"/>
    <w:rsid w:val="00263757"/>
    <w:rsid w:val="002637F2"/>
    <w:rsid w:val="00263893"/>
    <w:rsid w:val="0026389D"/>
    <w:rsid w:val="0026394C"/>
    <w:rsid w:val="00263964"/>
    <w:rsid w:val="00263B9C"/>
    <w:rsid w:val="00263BC5"/>
    <w:rsid w:val="00263C0E"/>
    <w:rsid w:val="00263CAB"/>
    <w:rsid w:val="0026403D"/>
    <w:rsid w:val="002640A6"/>
    <w:rsid w:val="002640CB"/>
    <w:rsid w:val="002641C2"/>
    <w:rsid w:val="00264225"/>
    <w:rsid w:val="002644B8"/>
    <w:rsid w:val="002647BB"/>
    <w:rsid w:val="00264900"/>
    <w:rsid w:val="00264AAA"/>
    <w:rsid w:val="00264EE4"/>
    <w:rsid w:val="002655DD"/>
    <w:rsid w:val="00265823"/>
    <w:rsid w:val="00265956"/>
    <w:rsid w:val="002659EF"/>
    <w:rsid w:val="00265A01"/>
    <w:rsid w:val="00265AC6"/>
    <w:rsid w:val="00265D26"/>
    <w:rsid w:val="00265FC5"/>
    <w:rsid w:val="00266064"/>
    <w:rsid w:val="002660E7"/>
    <w:rsid w:val="00266111"/>
    <w:rsid w:val="00266186"/>
    <w:rsid w:val="00266281"/>
    <w:rsid w:val="002662C1"/>
    <w:rsid w:val="00266696"/>
    <w:rsid w:val="002667A4"/>
    <w:rsid w:val="002667F3"/>
    <w:rsid w:val="00266B19"/>
    <w:rsid w:val="00266B9B"/>
    <w:rsid w:val="0026723B"/>
    <w:rsid w:val="00267926"/>
    <w:rsid w:val="00267EA0"/>
    <w:rsid w:val="0027034F"/>
    <w:rsid w:val="00270370"/>
    <w:rsid w:val="00270679"/>
    <w:rsid w:val="00270896"/>
    <w:rsid w:val="002708FD"/>
    <w:rsid w:val="00270915"/>
    <w:rsid w:val="00270A81"/>
    <w:rsid w:val="00270B24"/>
    <w:rsid w:val="00270FCF"/>
    <w:rsid w:val="00271282"/>
    <w:rsid w:val="00271428"/>
    <w:rsid w:val="002714DD"/>
    <w:rsid w:val="00271501"/>
    <w:rsid w:val="002716D8"/>
    <w:rsid w:val="002716E0"/>
    <w:rsid w:val="002718A4"/>
    <w:rsid w:val="00271A45"/>
    <w:rsid w:val="00271ABD"/>
    <w:rsid w:val="00271AD9"/>
    <w:rsid w:val="00271B66"/>
    <w:rsid w:val="00271D5A"/>
    <w:rsid w:val="00271DF1"/>
    <w:rsid w:val="00271E42"/>
    <w:rsid w:val="00271EED"/>
    <w:rsid w:val="00271F28"/>
    <w:rsid w:val="002721C1"/>
    <w:rsid w:val="00272515"/>
    <w:rsid w:val="00272516"/>
    <w:rsid w:val="00272770"/>
    <w:rsid w:val="002728F2"/>
    <w:rsid w:val="00272EC7"/>
    <w:rsid w:val="00272ED6"/>
    <w:rsid w:val="00273092"/>
    <w:rsid w:val="00273176"/>
    <w:rsid w:val="00273387"/>
    <w:rsid w:val="00273418"/>
    <w:rsid w:val="00273575"/>
    <w:rsid w:val="002735B6"/>
    <w:rsid w:val="002738BE"/>
    <w:rsid w:val="0027394F"/>
    <w:rsid w:val="00273AA6"/>
    <w:rsid w:val="00273F26"/>
    <w:rsid w:val="00273FA4"/>
    <w:rsid w:val="00273FEC"/>
    <w:rsid w:val="00274021"/>
    <w:rsid w:val="00274188"/>
    <w:rsid w:val="00274365"/>
    <w:rsid w:val="00274748"/>
    <w:rsid w:val="00274996"/>
    <w:rsid w:val="00274A7D"/>
    <w:rsid w:val="00274B26"/>
    <w:rsid w:val="00274DC2"/>
    <w:rsid w:val="00274DD0"/>
    <w:rsid w:val="00274DFB"/>
    <w:rsid w:val="00274DFF"/>
    <w:rsid w:val="00274F5E"/>
    <w:rsid w:val="00274FB7"/>
    <w:rsid w:val="002755BF"/>
    <w:rsid w:val="0027561B"/>
    <w:rsid w:val="0027569E"/>
    <w:rsid w:val="0027579C"/>
    <w:rsid w:val="00275A25"/>
    <w:rsid w:val="00275A78"/>
    <w:rsid w:val="00275E82"/>
    <w:rsid w:val="00275F7C"/>
    <w:rsid w:val="0027642F"/>
    <w:rsid w:val="00276551"/>
    <w:rsid w:val="002767F4"/>
    <w:rsid w:val="00276802"/>
    <w:rsid w:val="002769FE"/>
    <w:rsid w:val="00276C4D"/>
    <w:rsid w:val="00276CF1"/>
    <w:rsid w:val="00277338"/>
    <w:rsid w:val="00277581"/>
    <w:rsid w:val="002775F3"/>
    <w:rsid w:val="00277A30"/>
    <w:rsid w:val="00277ADB"/>
    <w:rsid w:val="00277BE6"/>
    <w:rsid w:val="00277D5B"/>
    <w:rsid w:val="00277DCD"/>
    <w:rsid w:val="00277F44"/>
    <w:rsid w:val="00280227"/>
    <w:rsid w:val="00280278"/>
    <w:rsid w:val="0028035C"/>
    <w:rsid w:val="00280436"/>
    <w:rsid w:val="002808DC"/>
    <w:rsid w:val="002809E0"/>
    <w:rsid w:val="002809E9"/>
    <w:rsid w:val="00280B27"/>
    <w:rsid w:val="00280B68"/>
    <w:rsid w:val="00280BAD"/>
    <w:rsid w:val="00280E3C"/>
    <w:rsid w:val="002812A7"/>
    <w:rsid w:val="002813F1"/>
    <w:rsid w:val="00281428"/>
    <w:rsid w:val="0028148C"/>
    <w:rsid w:val="00281633"/>
    <w:rsid w:val="00281840"/>
    <w:rsid w:val="00281934"/>
    <w:rsid w:val="00281B5D"/>
    <w:rsid w:val="00281F59"/>
    <w:rsid w:val="00282148"/>
    <w:rsid w:val="0028219F"/>
    <w:rsid w:val="002821E6"/>
    <w:rsid w:val="00282310"/>
    <w:rsid w:val="00282361"/>
    <w:rsid w:val="0028247D"/>
    <w:rsid w:val="00282578"/>
    <w:rsid w:val="002826B2"/>
    <w:rsid w:val="0028278E"/>
    <w:rsid w:val="00282792"/>
    <w:rsid w:val="0028280C"/>
    <w:rsid w:val="0028283C"/>
    <w:rsid w:val="0028288A"/>
    <w:rsid w:val="00282985"/>
    <w:rsid w:val="00282B4C"/>
    <w:rsid w:val="00282C3C"/>
    <w:rsid w:val="00282C4C"/>
    <w:rsid w:val="00282D87"/>
    <w:rsid w:val="00282DBB"/>
    <w:rsid w:val="00283106"/>
    <w:rsid w:val="00283326"/>
    <w:rsid w:val="002834E2"/>
    <w:rsid w:val="00283557"/>
    <w:rsid w:val="00283617"/>
    <w:rsid w:val="00283653"/>
    <w:rsid w:val="00283689"/>
    <w:rsid w:val="0028378C"/>
    <w:rsid w:val="00283939"/>
    <w:rsid w:val="002839AE"/>
    <w:rsid w:val="00283AD5"/>
    <w:rsid w:val="00283B3D"/>
    <w:rsid w:val="00283BBA"/>
    <w:rsid w:val="00283C2D"/>
    <w:rsid w:val="00283C92"/>
    <w:rsid w:val="00283CD9"/>
    <w:rsid w:val="00283D72"/>
    <w:rsid w:val="00283DDF"/>
    <w:rsid w:val="00283E74"/>
    <w:rsid w:val="00284254"/>
    <w:rsid w:val="0028441A"/>
    <w:rsid w:val="00284536"/>
    <w:rsid w:val="00284702"/>
    <w:rsid w:val="00284960"/>
    <w:rsid w:val="00284DBC"/>
    <w:rsid w:val="00285288"/>
    <w:rsid w:val="00285315"/>
    <w:rsid w:val="0028532E"/>
    <w:rsid w:val="002856C2"/>
    <w:rsid w:val="002857AB"/>
    <w:rsid w:val="00285BC7"/>
    <w:rsid w:val="00285C74"/>
    <w:rsid w:val="00285D61"/>
    <w:rsid w:val="00285D97"/>
    <w:rsid w:val="00285E01"/>
    <w:rsid w:val="00285E97"/>
    <w:rsid w:val="00286147"/>
    <w:rsid w:val="00286291"/>
    <w:rsid w:val="00286316"/>
    <w:rsid w:val="002865EA"/>
    <w:rsid w:val="002866EB"/>
    <w:rsid w:val="0028690D"/>
    <w:rsid w:val="00286C58"/>
    <w:rsid w:val="00286D1A"/>
    <w:rsid w:val="00286E7F"/>
    <w:rsid w:val="00286ED7"/>
    <w:rsid w:val="00287059"/>
    <w:rsid w:val="002870D9"/>
    <w:rsid w:val="00287184"/>
    <w:rsid w:val="00287435"/>
    <w:rsid w:val="0028774C"/>
    <w:rsid w:val="00287A95"/>
    <w:rsid w:val="00287B64"/>
    <w:rsid w:val="00287D25"/>
    <w:rsid w:val="00287E78"/>
    <w:rsid w:val="00290219"/>
    <w:rsid w:val="002902CA"/>
    <w:rsid w:val="00290528"/>
    <w:rsid w:val="00290751"/>
    <w:rsid w:val="00290991"/>
    <w:rsid w:val="00290A7F"/>
    <w:rsid w:val="00290A90"/>
    <w:rsid w:val="00290D2D"/>
    <w:rsid w:val="00290ECB"/>
    <w:rsid w:val="00290F74"/>
    <w:rsid w:val="0029114B"/>
    <w:rsid w:val="002912B7"/>
    <w:rsid w:val="002913A2"/>
    <w:rsid w:val="002913C3"/>
    <w:rsid w:val="002915ED"/>
    <w:rsid w:val="00291603"/>
    <w:rsid w:val="00291898"/>
    <w:rsid w:val="002919BA"/>
    <w:rsid w:val="00291A25"/>
    <w:rsid w:val="002923C1"/>
    <w:rsid w:val="00292551"/>
    <w:rsid w:val="002925E8"/>
    <w:rsid w:val="00292834"/>
    <w:rsid w:val="00292846"/>
    <w:rsid w:val="00292A4D"/>
    <w:rsid w:val="00292AB9"/>
    <w:rsid w:val="00292D1F"/>
    <w:rsid w:val="0029300D"/>
    <w:rsid w:val="00293051"/>
    <w:rsid w:val="00293134"/>
    <w:rsid w:val="00293198"/>
    <w:rsid w:val="00293425"/>
    <w:rsid w:val="00293536"/>
    <w:rsid w:val="00293551"/>
    <w:rsid w:val="0029376C"/>
    <w:rsid w:val="002937E0"/>
    <w:rsid w:val="002938D9"/>
    <w:rsid w:val="00293A39"/>
    <w:rsid w:val="00293BEF"/>
    <w:rsid w:val="00293C04"/>
    <w:rsid w:val="00293F13"/>
    <w:rsid w:val="00293F6D"/>
    <w:rsid w:val="00294000"/>
    <w:rsid w:val="00294110"/>
    <w:rsid w:val="002941DD"/>
    <w:rsid w:val="0029441E"/>
    <w:rsid w:val="0029447F"/>
    <w:rsid w:val="002944ED"/>
    <w:rsid w:val="0029461E"/>
    <w:rsid w:val="002949A5"/>
    <w:rsid w:val="00294D00"/>
    <w:rsid w:val="00294DBB"/>
    <w:rsid w:val="00294DE1"/>
    <w:rsid w:val="00294FEE"/>
    <w:rsid w:val="00295015"/>
    <w:rsid w:val="00295105"/>
    <w:rsid w:val="00295329"/>
    <w:rsid w:val="00295371"/>
    <w:rsid w:val="002953DF"/>
    <w:rsid w:val="00295507"/>
    <w:rsid w:val="002956EB"/>
    <w:rsid w:val="0029591E"/>
    <w:rsid w:val="00295C41"/>
    <w:rsid w:val="00295CA5"/>
    <w:rsid w:val="00295E65"/>
    <w:rsid w:val="002960D9"/>
    <w:rsid w:val="00296521"/>
    <w:rsid w:val="00296575"/>
    <w:rsid w:val="0029677C"/>
    <w:rsid w:val="00296912"/>
    <w:rsid w:val="00296A99"/>
    <w:rsid w:val="00296D17"/>
    <w:rsid w:val="00297102"/>
    <w:rsid w:val="0029723E"/>
    <w:rsid w:val="0029779F"/>
    <w:rsid w:val="002978CF"/>
    <w:rsid w:val="00297992"/>
    <w:rsid w:val="002A0022"/>
    <w:rsid w:val="002A0286"/>
    <w:rsid w:val="002A04BB"/>
    <w:rsid w:val="002A0578"/>
    <w:rsid w:val="002A062D"/>
    <w:rsid w:val="002A098E"/>
    <w:rsid w:val="002A0A00"/>
    <w:rsid w:val="002A0ED6"/>
    <w:rsid w:val="002A121A"/>
    <w:rsid w:val="002A12BD"/>
    <w:rsid w:val="002A1530"/>
    <w:rsid w:val="002A1672"/>
    <w:rsid w:val="002A1802"/>
    <w:rsid w:val="002A1893"/>
    <w:rsid w:val="002A1B92"/>
    <w:rsid w:val="002A1BED"/>
    <w:rsid w:val="002A1C75"/>
    <w:rsid w:val="002A1E14"/>
    <w:rsid w:val="002A1E8F"/>
    <w:rsid w:val="002A200F"/>
    <w:rsid w:val="002A2549"/>
    <w:rsid w:val="002A25BF"/>
    <w:rsid w:val="002A2805"/>
    <w:rsid w:val="002A28CD"/>
    <w:rsid w:val="002A2B3B"/>
    <w:rsid w:val="002A2C46"/>
    <w:rsid w:val="002A2CA3"/>
    <w:rsid w:val="002A2D69"/>
    <w:rsid w:val="002A2E1B"/>
    <w:rsid w:val="002A2E79"/>
    <w:rsid w:val="002A34A3"/>
    <w:rsid w:val="002A35BB"/>
    <w:rsid w:val="002A36FD"/>
    <w:rsid w:val="002A3A49"/>
    <w:rsid w:val="002A3C35"/>
    <w:rsid w:val="002A3CFA"/>
    <w:rsid w:val="002A3EF6"/>
    <w:rsid w:val="002A3F01"/>
    <w:rsid w:val="002A3F33"/>
    <w:rsid w:val="002A40E4"/>
    <w:rsid w:val="002A42E9"/>
    <w:rsid w:val="002A43A4"/>
    <w:rsid w:val="002A4514"/>
    <w:rsid w:val="002A45FD"/>
    <w:rsid w:val="002A49BE"/>
    <w:rsid w:val="002A4B19"/>
    <w:rsid w:val="002A4E3A"/>
    <w:rsid w:val="002A5161"/>
    <w:rsid w:val="002A5177"/>
    <w:rsid w:val="002A530E"/>
    <w:rsid w:val="002A531A"/>
    <w:rsid w:val="002A54B8"/>
    <w:rsid w:val="002A553E"/>
    <w:rsid w:val="002A5758"/>
    <w:rsid w:val="002A59BE"/>
    <w:rsid w:val="002A59F6"/>
    <w:rsid w:val="002A5F17"/>
    <w:rsid w:val="002A60DB"/>
    <w:rsid w:val="002A6248"/>
    <w:rsid w:val="002A62B9"/>
    <w:rsid w:val="002A6582"/>
    <w:rsid w:val="002A65D4"/>
    <w:rsid w:val="002A6662"/>
    <w:rsid w:val="002A66BF"/>
    <w:rsid w:val="002A66DA"/>
    <w:rsid w:val="002A67ED"/>
    <w:rsid w:val="002A6950"/>
    <w:rsid w:val="002A6AA5"/>
    <w:rsid w:val="002A6BC2"/>
    <w:rsid w:val="002A6CA9"/>
    <w:rsid w:val="002A6D65"/>
    <w:rsid w:val="002A6E56"/>
    <w:rsid w:val="002A6FE1"/>
    <w:rsid w:val="002A6FE9"/>
    <w:rsid w:val="002A7673"/>
    <w:rsid w:val="002A7FC5"/>
    <w:rsid w:val="002B02EB"/>
    <w:rsid w:val="002B032B"/>
    <w:rsid w:val="002B07CB"/>
    <w:rsid w:val="002B08DA"/>
    <w:rsid w:val="002B0B8A"/>
    <w:rsid w:val="002B0C1F"/>
    <w:rsid w:val="002B0CE7"/>
    <w:rsid w:val="002B0D7B"/>
    <w:rsid w:val="002B0E05"/>
    <w:rsid w:val="002B0E17"/>
    <w:rsid w:val="002B0E2F"/>
    <w:rsid w:val="002B0E4A"/>
    <w:rsid w:val="002B10EA"/>
    <w:rsid w:val="002B11F9"/>
    <w:rsid w:val="002B1475"/>
    <w:rsid w:val="002B1489"/>
    <w:rsid w:val="002B149D"/>
    <w:rsid w:val="002B15E7"/>
    <w:rsid w:val="002B1605"/>
    <w:rsid w:val="002B186D"/>
    <w:rsid w:val="002B196C"/>
    <w:rsid w:val="002B1BE3"/>
    <w:rsid w:val="002B1CC4"/>
    <w:rsid w:val="002B1FE4"/>
    <w:rsid w:val="002B203A"/>
    <w:rsid w:val="002B2183"/>
    <w:rsid w:val="002B21C0"/>
    <w:rsid w:val="002B227A"/>
    <w:rsid w:val="002B24DB"/>
    <w:rsid w:val="002B26DD"/>
    <w:rsid w:val="002B27A3"/>
    <w:rsid w:val="002B281F"/>
    <w:rsid w:val="002B2C5C"/>
    <w:rsid w:val="002B2DDF"/>
    <w:rsid w:val="002B3044"/>
    <w:rsid w:val="002B3108"/>
    <w:rsid w:val="002B3177"/>
    <w:rsid w:val="002B343D"/>
    <w:rsid w:val="002B3478"/>
    <w:rsid w:val="002B35B4"/>
    <w:rsid w:val="002B378E"/>
    <w:rsid w:val="002B3871"/>
    <w:rsid w:val="002B38E2"/>
    <w:rsid w:val="002B3AC2"/>
    <w:rsid w:val="002B3BAF"/>
    <w:rsid w:val="002B40BF"/>
    <w:rsid w:val="002B41C0"/>
    <w:rsid w:val="002B425D"/>
    <w:rsid w:val="002B4354"/>
    <w:rsid w:val="002B4495"/>
    <w:rsid w:val="002B450D"/>
    <w:rsid w:val="002B460E"/>
    <w:rsid w:val="002B46A2"/>
    <w:rsid w:val="002B481D"/>
    <w:rsid w:val="002B4E25"/>
    <w:rsid w:val="002B4FE2"/>
    <w:rsid w:val="002B53B8"/>
    <w:rsid w:val="002B53EA"/>
    <w:rsid w:val="002B5647"/>
    <w:rsid w:val="002B5789"/>
    <w:rsid w:val="002B5A4E"/>
    <w:rsid w:val="002B607E"/>
    <w:rsid w:val="002B617E"/>
    <w:rsid w:val="002B6718"/>
    <w:rsid w:val="002B676C"/>
    <w:rsid w:val="002B6966"/>
    <w:rsid w:val="002B6BDA"/>
    <w:rsid w:val="002B6C32"/>
    <w:rsid w:val="002B6EDC"/>
    <w:rsid w:val="002B7358"/>
    <w:rsid w:val="002B73CF"/>
    <w:rsid w:val="002B74F7"/>
    <w:rsid w:val="002B7715"/>
    <w:rsid w:val="002B777E"/>
    <w:rsid w:val="002B77A7"/>
    <w:rsid w:val="002B78EB"/>
    <w:rsid w:val="002B797D"/>
    <w:rsid w:val="002B7A29"/>
    <w:rsid w:val="002B7EC0"/>
    <w:rsid w:val="002B7F88"/>
    <w:rsid w:val="002C00F9"/>
    <w:rsid w:val="002C0686"/>
    <w:rsid w:val="002C06C2"/>
    <w:rsid w:val="002C0702"/>
    <w:rsid w:val="002C0963"/>
    <w:rsid w:val="002C0A3E"/>
    <w:rsid w:val="002C0C45"/>
    <w:rsid w:val="002C0FF4"/>
    <w:rsid w:val="002C1013"/>
    <w:rsid w:val="002C1183"/>
    <w:rsid w:val="002C1550"/>
    <w:rsid w:val="002C1582"/>
    <w:rsid w:val="002C16B8"/>
    <w:rsid w:val="002C1999"/>
    <w:rsid w:val="002C2061"/>
    <w:rsid w:val="002C20AC"/>
    <w:rsid w:val="002C217F"/>
    <w:rsid w:val="002C218D"/>
    <w:rsid w:val="002C21B4"/>
    <w:rsid w:val="002C21FE"/>
    <w:rsid w:val="002C22FA"/>
    <w:rsid w:val="002C2325"/>
    <w:rsid w:val="002C235F"/>
    <w:rsid w:val="002C2381"/>
    <w:rsid w:val="002C268F"/>
    <w:rsid w:val="002C2696"/>
    <w:rsid w:val="002C2783"/>
    <w:rsid w:val="002C2982"/>
    <w:rsid w:val="002C2E21"/>
    <w:rsid w:val="002C3165"/>
    <w:rsid w:val="002C32AA"/>
    <w:rsid w:val="002C3425"/>
    <w:rsid w:val="002C390D"/>
    <w:rsid w:val="002C3A47"/>
    <w:rsid w:val="002C3F19"/>
    <w:rsid w:val="002C4345"/>
    <w:rsid w:val="002C45F5"/>
    <w:rsid w:val="002C4A68"/>
    <w:rsid w:val="002C4C03"/>
    <w:rsid w:val="002C4C0E"/>
    <w:rsid w:val="002C4C43"/>
    <w:rsid w:val="002C4DEC"/>
    <w:rsid w:val="002C4FCD"/>
    <w:rsid w:val="002C5038"/>
    <w:rsid w:val="002C511F"/>
    <w:rsid w:val="002C5192"/>
    <w:rsid w:val="002C523E"/>
    <w:rsid w:val="002C52FA"/>
    <w:rsid w:val="002C5722"/>
    <w:rsid w:val="002C5953"/>
    <w:rsid w:val="002C59D7"/>
    <w:rsid w:val="002C5B28"/>
    <w:rsid w:val="002C5BFC"/>
    <w:rsid w:val="002C5CA3"/>
    <w:rsid w:val="002C6304"/>
    <w:rsid w:val="002C6500"/>
    <w:rsid w:val="002C668A"/>
    <w:rsid w:val="002C67AC"/>
    <w:rsid w:val="002C69E2"/>
    <w:rsid w:val="002C6A63"/>
    <w:rsid w:val="002C6D6F"/>
    <w:rsid w:val="002C72AD"/>
    <w:rsid w:val="002C7459"/>
    <w:rsid w:val="002C7473"/>
    <w:rsid w:val="002C74DF"/>
    <w:rsid w:val="002C7717"/>
    <w:rsid w:val="002C7AC7"/>
    <w:rsid w:val="002C7CAB"/>
    <w:rsid w:val="002C7E59"/>
    <w:rsid w:val="002C7E9C"/>
    <w:rsid w:val="002C7F99"/>
    <w:rsid w:val="002D03C3"/>
    <w:rsid w:val="002D03FF"/>
    <w:rsid w:val="002D0417"/>
    <w:rsid w:val="002D042D"/>
    <w:rsid w:val="002D0734"/>
    <w:rsid w:val="002D0866"/>
    <w:rsid w:val="002D088F"/>
    <w:rsid w:val="002D08A2"/>
    <w:rsid w:val="002D0949"/>
    <w:rsid w:val="002D09A1"/>
    <w:rsid w:val="002D09FB"/>
    <w:rsid w:val="002D0A09"/>
    <w:rsid w:val="002D0BC6"/>
    <w:rsid w:val="002D0BF3"/>
    <w:rsid w:val="002D0FBD"/>
    <w:rsid w:val="002D0FED"/>
    <w:rsid w:val="002D10F4"/>
    <w:rsid w:val="002D123F"/>
    <w:rsid w:val="002D140B"/>
    <w:rsid w:val="002D165A"/>
    <w:rsid w:val="002D180E"/>
    <w:rsid w:val="002D1B9C"/>
    <w:rsid w:val="002D1DB8"/>
    <w:rsid w:val="002D20C0"/>
    <w:rsid w:val="002D2225"/>
    <w:rsid w:val="002D23BF"/>
    <w:rsid w:val="002D2708"/>
    <w:rsid w:val="002D27BB"/>
    <w:rsid w:val="002D29C5"/>
    <w:rsid w:val="002D2AE3"/>
    <w:rsid w:val="002D2DB8"/>
    <w:rsid w:val="002D2E09"/>
    <w:rsid w:val="002D2FF2"/>
    <w:rsid w:val="002D3BE5"/>
    <w:rsid w:val="002D3C93"/>
    <w:rsid w:val="002D3D67"/>
    <w:rsid w:val="002D40EA"/>
    <w:rsid w:val="002D4633"/>
    <w:rsid w:val="002D4700"/>
    <w:rsid w:val="002D4E6F"/>
    <w:rsid w:val="002D4F82"/>
    <w:rsid w:val="002D5081"/>
    <w:rsid w:val="002D52E1"/>
    <w:rsid w:val="002D53D7"/>
    <w:rsid w:val="002D5665"/>
    <w:rsid w:val="002D58DB"/>
    <w:rsid w:val="002D58E4"/>
    <w:rsid w:val="002D59E9"/>
    <w:rsid w:val="002D5A37"/>
    <w:rsid w:val="002D5EA7"/>
    <w:rsid w:val="002D6034"/>
    <w:rsid w:val="002D6148"/>
    <w:rsid w:val="002D6848"/>
    <w:rsid w:val="002D69E7"/>
    <w:rsid w:val="002D6A32"/>
    <w:rsid w:val="002D6A54"/>
    <w:rsid w:val="002D6A5D"/>
    <w:rsid w:val="002D6D1F"/>
    <w:rsid w:val="002D6D50"/>
    <w:rsid w:val="002D6EB0"/>
    <w:rsid w:val="002D7101"/>
    <w:rsid w:val="002D725D"/>
    <w:rsid w:val="002D76D7"/>
    <w:rsid w:val="002D78A1"/>
    <w:rsid w:val="002D78FB"/>
    <w:rsid w:val="002D790E"/>
    <w:rsid w:val="002D79EA"/>
    <w:rsid w:val="002D7B41"/>
    <w:rsid w:val="002D7E7D"/>
    <w:rsid w:val="002D7F5D"/>
    <w:rsid w:val="002E0050"/>
    <w:rsid w:val="002E031A"/>
    <w:rsid w:val="002E0633"/>
    <w:rsid w:val="002E08C9"/>
    <w:rsid w:val="002E0A43"/>
    <w:rsid w:val="002E0F69"/>
    <w:rsid w:val="002E1165"/>
    <w:rsid w:val="002E1231"/>
    <w:rsid w:val="002E13EF"/>
    <w:rsid w:val="002E1A74"/>
    <w:rsid w:val="002E1BD2"/>
    <w:rsid w:val="002E1C7C"/>
    <w:rsid w:val="002E1E68"/>
    <w:rsid w:val="002E1E7D"/>
    <w:rsid w:val="002E20E3"/>
    <w:rsid w:val="002E2140"/>
    <w:rsid w:val="002E2173"/>
    <w:rsid w:val="002E2445"/>
    <w:rsid w:val="002E256C"/>
    <w:rsid w:val="002E274A"/>
    <w:rsid w:val="002E27B6"/>
    <w:rsid w:val="002E27D1"/>
    <w:rsid w:val="002E2829"/>
    <w:rsid w:val="002E2AB3"/>
    <w:rsid w:val="002E2DC5"/>
    <w:rsid w:val="002E2E81"/>
    <w:rsid w:val="002E2F08"/>
    <w:rsid w:val="002E2FB5"/>
    <w:rsid w:val="002E2FF3"/>
    <w:rsid w:val="002E315B"/>
    <w:rsid w:val="002E345D"/>
    <w:rsid w:val="002E3622"/>
    <w:rsid w:val="002E3693"/>
    <w:rsid w:val="002E39C7"/>
    <w:rsid w:val="002E39CE"/>
    <w:rsid w:val="002E3F92"/>
    <w:rsid w:val="002E41AC"/>
    <w:rsid w:val="002E430B"/>
    <w:rsid w:val="002E443D"/>
    <w:rsid w:val="002E4635"/>
    <w:rsid w:val="002E48BD"/>
    <w:rsid w:val="002E4987"/>
    <w:rsid w:val="002E4C6A"/>
    <w:rsid w:val="002E4E43"/>
    <w:rsid w:val="002E5056"/>
    <w:rsid w:val="002E5173"/>
    <w:rsid w:val="002E5250"/>
    <w:rsid w:val="002E5280"/>
    <w:rsid w:val="002E564A"/>
    <w:rsid w:val="002E56DA"/>
    <w:rsid w:val="002E5783"/>
    <w:rsid w:val="002E584B"/>
    <w:rsid w:val="002E596C"/>
    <w:rsid w:val="002E59D0"/>
    <w:rsid w:val="002E5A35"/>
    <w:rsid w:val="002E5AF5"/>
    <w:rsid w:val="002E5B8B"/>
    <w:rsid w:val="002E5BBB"/>
    <w:rsid w:val="002E5D98"/>
    <w:rsid w:val="002E5E2B"/>
    <w:rsid w:val="002E5EC5"/>
    <w:rsid w:val="002E60A7"/>
    <w:rsid w:val="002E64F0"/>
    <w:rsid w:val="002E6614"/>
    <w:rsid w:val="002E66C1"/>
    <w:rsid w:val="002E66E8"/>
    <w:rsid w:val="002E6857"/>
    <w:rsid w:val="002E68B3"/>
    <w:rsid w:val="002E68E5"/>
    <w:rsid w:val="002E6C28"/>
    <w:rsid w:val="002E6D96"/>
    <w:rsid w:val="002E6F39"/>
    <w:rsid w:val="002E7576"/>
    <w:rsid w:val="002E76E4"/>
    <w:rsid w:val="002E77F4"/>
    <w:rsid w:val="002E7DE0"/>
    <w:rsid w:val="002E7F6A"/>
    <w:rsid w:val="002E7FDC"/>
    <w:rsid w:val="002F0039"/>
    <w:rsid w:val="002F054D"/>
    <w:rsid w:val="002F0708"/>
    <w:rsid w:val="002F084E"/>
    <w:rsid w:val="002F08E2"/>
    <w:rsid w:val="002F0B57"/>
    <w:rsid w:val="002F0CC7"/>
    <w:rsid w:val="002F0F36"/>
    <w:rsid w:val="002F115A"/>
    <w:rsid w:val="002F1165"/>
    <w:rsid w:val="002F137C"/>
    <w:rsid w:val="002F1453"/>
    <w:rsid w:val="002F14DB"/>
    <w:rsid w:val="002F1603"/>
    <w:rsid w:val="002F170D"/>
    <w:rsid w:val="002F19F8"/>
    <w:rsid w:val="002F1AAE"/>
    <w:rsid w:val="002F1BB2"/>
    <w:rsid w:val="002F1C13"/>
    <w:rsid w:val="002F1F45"/>
    <w:rsid w:val="002F1FF3"/>
    <w:rsid w:val="002F2110"/>
    <w:rsid w:val="002F21B8"/>
    <w:rsid w:val="002F237B"/>
    <w:rsid w:val="002F259A"/>
    <w:rsid w:val="002F2735"/>
    <w:rsid w:val="002F2A16"/>
    <w:rsid w:val="002F2AB4"/>
    <w:rsid w:val="002F2BEF"/>
    <w:rsid w:val="002F2C23"/>
    <w:rsid w:val="002F30A5"/>
    <w:rsid w:val="002F3131"/>
    <w:rsid w:val="002F3219"/>
    <w:rsid w:val="002F326E"/>
    <w:rsid w:val="002F3393"/>
    <w:rsid w:val="002F36D9"/>
    <w:rsid w:val="002F38C1"/>
    <w:rsid w:val="002F3B22"/>
    <w:rsid w:val="002F3BEF"/>
    <w:rsid w:val="002F4027"/>
    <w:rsid w:val="002F40FC"/>
    <w:rsid w:val="002F4201"/>
    <w:rsid w:val="002F4216"/>
    <w:rsid w:val="002F43B8"/>
    <w:rsid w:val="002F480A"/>
    <w:rsid w:val="002F4860"/>
    <w:rsid w:val="002F48F1"/>
    <w:rsid w:val="002F4952"/>
    <w:rsid w:val="002F49FA"/>
    <w:rsid w:val="002F4ACB"/>
    <w:rsid w:val="002F4EE3"/>
    <w:rsid w:val="002F51FD"/>
    <w:rsid w:val="002F5242"/>
    <w:rsid w:val="002F5268"/>
    <w:rsid w:val="002F55A6"/>
    <w:rsid w:val="002F57E2"/>
    <w:rsid w:val="002F5949"/>
    <w:rsid w:val="002F5A51"/>
    <w:rsid w:val="002F5C5D"/>
    <w:rsid w:val="002F5DA0"/>
    <w:rsid w:val="002F61FF"/>
    <w:rsid w:val="002F623A"/>
    <w:rsid w:val="002F6291"/>
    <w:rsid w:val="002F6620"/>
    <w:rsid w:val="002F677E"/>
    <w:rsid w:val="002F6848"/>
    <w:rsid w:val="002F6D61"/>
    <w:rsid w:val="002F6D97"/>
    <w:rsid w:val="002F7115"/>
    <w:rsid w:val="002F7122"/>
    <w:rsid w:val="002F76EC"/>
    <w:rsid w:val="002F776F"/>
    <w:rsid w:val="002F7A84"/>
    <w:rsid w:val="002F7D2E"/>
    <w:rsid w:val="002F7DDA"/>
    <w:rsid w:val="002F7DF3"/>
    <w:rsid w:val="002F7E19"/>
    <w:rsid w:val="002F7E9C"/>
    <w:rsid w:val="003001B2"/>
    <w:rsid w:val="003005A0"/>
    <w:rsid w:val="00300605"/>
    <w:rsid w:val="003007BA"/>
    <w:rsid w:val="0030081E"/>
    <w:rsid w:val="00300C91"/>
    <w:rsid w:val="00300D58"/>
    <w:rsid w:val="00301218"/>
    <w:rsid w:val="0030127D"/>
    <w:rsid w:val="003016A9"/>
    <w:rsid w:val="0030174D"/>
    <w:rsid w:val="00301C61"/>
    <w:rsid w:val="00301CB5"/>
    <w:rsid w:val="00301E7F"/>
    <w:rsid w:val="00301F1B"/>
    <w:rsid w:val="003023EC"/>
    <w:rsid w:val="00302431"/>
    <w:rsid w:val="003024FD"/>
    <w:rsid w:val="0030279F"/>
    <w:rsid w:val="00302A10"/>
    <w:rsid w:val="00302C76"/>
    <w:rsid w:val="0030304C"/>
    <w:rsid w:val="003032EF"/>
    <w:rsid w:val="00303321"/>
    <w:rsid w:val="00303404"/>
    <w:rsid w:val="00303BEE"/>
    <w:rsid w:val="003045E3"/>
    <w:rsid w:val="00304927"/>
    <w:rsid w:val="00304E7A"/>
    <w:rsid w:val="00304FE7"/>
    <w:rsid w:val="00305308"/>
    <w:rsid w:val="0030539A"/>
    <w:rsid w:val="003054E7"/>
    <w:rsid w:val="00305A9D"/>
    <w:rsid w:val="00305BB4"/>
    <w:rsid w:val="00305D41"/>
    <w:rsid w:val="0030606E"/>
    <w:rsid w:val="00306174"/>
    <w:rsid w:val="003061FE"/>
    <w:rsid w:val="00306200"/>
    <w:rsid w:val="003062DE"/>
    <w:rsid w:val="003068A2"/>
    <w:rsid w:val="00306B59"/>
    <w:rsid w:val="00306BF7"/>
    <w:rsid w:val="00306D55"/>
    <w:rsid w:val="00306E14"/>
    <w:rsid w:val="00306FD3"/>
    <w:rsid w:val="00307185"/>
    <w:rsid w:val="003074BF"/>
    <w:rsid w:val="00307AF0"/>
    <w:rsid w:val="00307DE7"/>
    <w:rsid w:val="00307EDC"/>
    <w:rsid w:val="0031001B"/>
    <w:rsid w:val="0031007E"/>
    <w:rsid w:val="00310158"/>
    <w:rsid w:val="003103CC"/>
    <w:rsid w:val="0031046C"/>
    <w:rsid w:val="00310725"/>
    <w:rsid w:val="0031075C"/>
    <w:rsid w:val="0031085C"/>
    <w:rsid w:val="003108C3"/>
    <w:rsid w:val="00310B17"/>
    <w:rsid w:val="00310B70"/>
    <w:rsid w:val="00310C63"/>
    <w:rsid w:val="00310F16"/>
    <w:rsid w:val="00311106"/>
    <w:rsid w:val="0031133F"/>
    <w:rsid w:val="00311429"/>
    <w:rsid w:val="0031158F"/>
    <w:rsid w:val="00311649"/>
    <w:rsid w:val="0031180E"/>
    <w:rsid w:val="00311947"/>
    <w:rsid w:val="003119CC"/>
    <w:rsid w:val="00311C89"/>
    <w:rsid w:val="00311D96"/>
    <w:rsid w:val="00311F4E"/>
    <w:rsid w:val="0031205F"/>
    <w:rsid w:val="00312090"/>
    <w:rsid w:val="0031212B"/>
    <w:rsid w:val="0031230F"/>
    <w:rsid w:val="0031262F"/>
    <w:rsid w:val="00312750"/>
    <w:rsid w:val="0031298E"/>
    <w:rsid w:val="00312B5B"/>
    <w:rsid w:val="00312EFE"/>
    <w:rsid w:val="00313130"/>
    <w:rsid w:val="003132BC"/>
    <w:rsid w:val="00313446"/>
    <w:rsid w:val="003134FA"/>
    <w:rsid w:val="003135E3"/>
    <w:rsid w:val="0031360B"/>
    <w:rsid w:val="00313E5B"/>
    <w:rsid w:val="00314038"/>
    <w:rsid w:val="00314069"/>
    <w:rsid w:val="003142D0"/>
    <w:rsid w:val="00314424"/>
    <w:rsid w:val="00314CE0"/>
    <w:rsid w:val="00314D6E"/>
    <w:rsid w:val="00314DF5"/>
    <w:rsid w:val="00314F62"/>
    <w:rsid w:val="003150B3"/>
    <w:rsid w:val="003152DA"/>
    <w:rsid w:val="003154CC"/>
    <w:rsid w:val="003155F8"/>
    <w:rsid w:val="003157CB"/>
    <w:rsid w:val="00315954"/>
    <w:rsid w:val="00315A99"/>
    <w:rsid w:val="00315E9C"/>
    <w:rsid w:val="00316136"/>
    <w:rsid w:val="00316317"/>
    <w:rsid w:val="003163E2"/>
    <w:rsid w:val="00316420"/>
    <w:rsid w:val="003165E3"/>
    <w:rsid w:val="0031661A"/>
    <w:rsid w:val="003166D5"/>
    <w:rsid w:val="00316941"/>
    <w:rsid w:val="00316A0E"/>
    <w:rsid w:val="00316B88"/>
    <w:rsid w:val="00316D9B"/>
    <w:rsid w:val="00316DC4"/>
    <w:rsid w:val="00316E08"/>
    <w:rsid w:val="00316F08"/>
    <w:rsid w:val="003174BF"/>
    <w:rsid w:val="00317773"/>
    <w:rsid w:val="00317A4B"/>
    <w:rsid w:val="00317AAB"/>
    <w:rsid w:val="00317CE0"/>
    <w:rsid w:val="00317CEE"/>
    <w:rsid w:val="00317E79"/>
    <w:rsid w:val="00320108"/>
    <w:rsid w:val="003201CE"/>
    <w:rsid w:val="00320568"/>
    <w:rsid w:val="003208C0"/>
    <w:rsid w:val="00320A9A"/>
    <w:rsid w:val="00320ABA"/>
    <w:rsid w:val="00320C28"/>
    <w:rsid w:val="00320CD0"/>
    <w:rsid w:val="00320CE0"/>
    <w:rsid w:val="00320D29"/>
    <w:rsid w:val="00321179"/>
    <w:rsid w:val="003211AC"/>
    <w:rsid w:val="0032143E"/>
    <w:rsid w:val="003215F2"/>
    <w:rsid w:val="00321773"/>
    <w:rsid w:val="00321DB2"/>
    <w:rsid w:val="00321E8C"/>
    <w:rsid w:val="00322079"/>
    <w:rsid w:val="003220BA"/>
    <w:rsid w:val="0032215F"/>
    <w:rsid w:val="00322341"/>
    <w:rsid w:val="0032239A"/>
    <w:rsid w:val="003223A7"/>
    <w:rsid w:val="00322632"/>
    <w:rsid w:val="0032279F"/>
    <w:rsid w:val="00322ADF"/>
    <w:rsid w:val="00322D49"/>
    <w:rsid w:val="00322EB4"/>
    <w:rsid w:val="00323322"/>
    <w:rsid w:val="003233F7"/>
    <w:rsid w:val="00323460"/>
    <w:rsid w:val="0032359C"/>
    <w:rsid w:val="0032367B"/>
    <w:rsid w:val="0032380A"/>
    <w:rsid w:val="00323864"/>
    <w:rsid w:val="003239EF"/>
    <w:rsid w:val="00323CAF"/>
    <w:rsid w:val="00323CB4"/>
    <w:rsid w:val="00323D5F"/>
    <w:rsid w:val="00323E9A"/>
    <w:rsid w:val="00323FA3"/>
    <w:rsid w:val="0032409B"/>
    <w:rsid w:val="00324357"/>
    <w:rsid w:val="0032439F"/>
    <w:rsid w:val="00324444"/>
    <w:rsid w:val="003244B4"/>
    <w:rsid w:val="003244BE"/>
    <w:rsid w:val="003245EE"/>
    <w:rsid w:val="00324718"/>
    <w:rsid w:val="00324A77"/>
    <w:rsid w:val="00325084"/>
    <w:rsid w:val="003251AE"/>
    <w:rsid w:val="003251D5"/>
    <w:rsid w:val="003252AC"/>
    <w:rsid w:val="003254E8"/>
    <w:rsid w:val="0032570B"/>
    <w:rsid w:val="003257E8"/>
    <w:rsid w:val="00325934"/>
    <w:rsid w:val="00325A34"/>
    <w:rsid w:val="00325A76"/>
    <w:rsid w:val="00325E4A"/>
    <w:rsid w:val="00326016"/>
    <w:rsid w:val="003260B4"/>
    <w:rsid w:val="00326106"/>
    <w:rsid w:val="0032617B"/>
    <w:rsid w:val="00326194"/>
    <w:rsid w:val="0032695E"/>
    <w:rsid w:val="00326C30"/>
    <w:rsid w:val="00326F66"/>
    <w:rsid w:val="003271B6"/>
    <w:rsid w:val="00327419"/>
    <w:rsid w:val="003276B9"/>
    <w:rsid w:val="0032785D"/>
    <w:rsid w:val="00327866"/>
    <w:rsid w:val="003278C4"/>
    <w:rsid w:val="003278DB"/>
    <w:rsid w:val="00327ACD"/>
    <w:rsid w:val="00327B6A"/>
    <w:rsid w:val="003302EA"/>
    <w:rsid w:val="003303C6"/>
    <w:rsid w:val="00330400"/>
    <w:rsid w:val="003306B2"/>
    <w:rsid w:val="003308D4"/>
    <w:rsid w:val="00330965"/>
    <w:rsid w:val="00330A64"/>
    <w:rsid w:val="00330A77"/>
    <w:rsid w:val="00330BB6"/>
    <w:rsid w:val="003311D4"/>
    <w:rsid w:val="003314AE"/>
    <w:rsid w:val="00331511"/>
    <w:rsid w:val="0033164B"/>
    <w:rsid w:val="00331788"/>
    <w:rsid w:val="003318CB"/>
    <w:rsid w:val="00331933"/>
    <w:rsid w:val="00331A53"/>
    <w:rsid w:val="00331E79"/>
    <w:rsid w:val="0033244D"/>
    <w:rsid w:val="00332467"/>
    <w:rsid w:val="003325D2"/>
    <w:rsid w:val="0033275E"/>
    <w:rsid w:val="00332A51"/>
    <w:rsid w:val="00332AB7"/>
    <w:rsid w:val="00332E1B"/>
    <w:rsid w:val="00332E54"/>
    <w:rsid w:val="00333045"/>
    <w:rsid w:val="0033322F"/>
    <w:rsid w:val="0033337A"/>
    <w:rsid w:val="00333457"/>
    <w:rsid w:val="0033372B"/>
    <w:rsid w:val="003338EB"/>
    <w:rsid w:val="00333908"/>
    <w:rsid w:val="00333DB1"/>
    <w:rsid w:val="00333E98"/>
    <w:rsid w:val="00333FB4"/>
    <w:rsid w:val="00334014"/>
    <w:rsid w:val="0033420D"/>
    <w:rsid w:val="00334492"/>
    <w:rsid w:val="00334562"/>
    <w:rsid w:val="00334713"/>
    <w:rsid w:val="0033474E"/>
    <w:rsid w:val="00334819"/>
    <w:rsid w:val="00334A7B"/>
    <w:rsid w:val="00334BF0"/>
    <w:rsid w:val="00334CD5"/>
    <w:rsid w:val="00334E5D"/>
    <w:rsid w:val="00335941"/>
    <w:rsid w:val="00335EE7"/>
    <w:rsid w:val="00335F80"/>
    <w:rsid w:val="00336064"/>
    <w:rsid w:val="00336343"/>
    <w:rsid w:val="00336440"/>
    <w:rsid w:val="00336603"/>
    <w:rsid w:val="003366EC"/>
    <w:rsid w:val="00336888"/>
    <w:rsid w:val="0033690B"/>
    <w:rsid w:val="00336E8D"/>
    <w:rsid w:val="00336EB8"/>
    <w:rsid w:val="0033718D"/>
    <w:rsid w:val="00337361"/>
    <w:rsid w:val="00337385"/>
    <w:rsid w:val="003373E0"/>
    <w:rsid w:val="00337450"/>
    <w:rsid w:val="0033752B"/>
    <w:rsid w:val="00337686"/>
    <w:rsid w:val="003377BF"/>
    <w:rsid w:val="0033784A"/>
    <w:rsid w:val="003378DC"/>
    <w:rsid w:val="00337A27"/>
    <w:rsid w:val="00337B92"/>
    <w:rsid w:val="00337FF0"/>
    <w:rsid w:val="0034000A"/>
    <w:rsid w:val="00340176"/>
    <w:rsid w:val="0034019D"/>
    <w:rsid w:val="0034028E"/>
    <w:rsid w:val="0034029B"/>
    <w:rsid w:val="00340389"/>
    <w:rsid w:val="00340524"/>
    <w:rsid w:val="003406F0"/>
    <w:rsid w:val="00340753"/>
    <w:rsid w:val="003408E8"/>
    <w:rsid w:val="003409A8"/>
    <w:rsid w:val="00340A44"/>
    <w:rsid w:val="00340A83"/>
    <w:rsid w:val="0034125F"/>
    <w:rsid w:val="0034128C"/>
    <w:rsid w:val="00341293"/>
    <w:rsid w:val="00341420"/>
    <w:rsid w:val="0034166A"/>
    <w:rsid w:val="003416F4"/>
    <w:rsid w:val="00341725"/>
    <w:rsid w:val="003417E2"/>
    <w:rsid w:val="00341B2A"/>
    <w:rsid w:val="00341BF6"/>
    <w:rsid w:val="00341F7B"/>
    <w:rsid w:val="003420FA"/>
    <w:rsid w:val="003423A7"/>
    <w:rsid w:val="003428F9"/>
    <w:rsid w:val="00342B7F"/>
    <w:rsid w:val="00342B87"/>
    <w:rsid w:val="00342C30"/>
    <w:rsid w:val="00342CF2"/>
    <w:rsid w:val="00342D77"/>
    <w:rsid w:val="00342E85"/>
    <w:rsid w:val="00342ED6"/>
    <w:rsid w:val="00343092"/>
    <w:rsid w:val="00343434"/>
    <w:rsid w:val="003435B8"/>
    <w:rsid w:val="00343C74"/>
    <w:rsid w:val="003440CE"/>
    <w:rsid w:val="00344241"/>
    <w:rsid w:val="003446D4"/>
    <w:rsid w:val="003447B1"/>
    <w:rsid w:val="00344826"/>
    <w:rsid w:val="00344E19"/>
    <w:rsid w:val="00344F16"/>
    <w:rsid w:val="0034544D"/>
    <w:rsid w:val="003454C0"/>
    <w:rsid w:val="003454C1"/>
    <w:rsid w:val="00345716"/>
    <w:rsid w:val="003458AA"/>
    <w:rsid w:val="00345997"/>
    <w:rsid w:val="00345B16"/>
    <w:rsid w:val="00345D15"/>
    <w:rsid w:val="00345DB6"/>
    <w:rsid w:val="00345DB9"/>
    <w:rsid w:val="00345EC2"/>
    <w:rsid w:val="00345F13"/>
    <w:rsid w:val="00345F76"/>
    <w:rsid w:val="00345FB1"/>
    <w:rsid w:val="00346105"/>
    <w:rsid w:val="00346248"/>
    <w:rsid w:val="0034630C"/>
    <w:rsid w:val="00346490"/>
    <w:rsid w:val="0034668E"/>
    <w:rsid w:val="0034671B"/>
    <w:rsid w:val="003467FD"/>
    <w:rsid w:val="0034686B"/>
    <w:rsid w:val="00346A98"/>
    <w:rsid w:val="00346E61"/>
    <w:rsid w:val="00347013"/>
    <w:rsid w:val="00347082"/>
    <w:rsid w:val="0034734E"/>
    <w:rsid w:val="00347453"/>
    <w:rsid w:val="003479DF"/>
    <w:rsid w:val="00347A83"/>
    <w:rsid w:val="00347ADB"/>
    <w:rsid w:val="00347B20"/>
    <w:rsid w:val="00350053"/>
    <w:rsid w:val="0035005D"/>
    <w:rsid w:val="003500DF"/>
    <w:rsid w:val="003500F5"/>
    <w:rsid w:val="003501D3"/>
    <w:rsid w:val="003502EB"/>
    <w:rsid w:val="00350382"/>
    <w:rsid w:val="00350503"/>
    <w:rsid w:val="003509EA"/>
    <w:rsid w:val="00350A2A"/>
    <w:rsid w:val="00350DF9"/>
    <w:rsid w:val="00350E36"/>
    <w:rsid w:val="0035130F"/>
    <w:rsid w:val="00351313"/>
    <w:rsid w:val="0035156D"/>
    <w:rsid w:val="003517F4"/>
    <w:rsid w:val="00351ABF"/>
    <w:rsid w:val="00351BBD"/>
    <w:rsid w:val="00351D95"/>
    <w:rsid w:val="00351E53"/>
    <w:rsid w:val="00351FA2"/>
    <w:rsid w:val="00352304"/>
    <w:rsid w:val="00352384"/>
    <w:rsid w:val="003524E5"/>
    <w:rsid w:val="0035283E"/>
    <w:rsid w:val="00352947"/>
    <w:rsid w:val="003529BB"/>
    <w:rsid w:val="003529EE"/>
    <w:rsid w:val="00352AF3"/>
    <w:rsid w:val="00352D54"/>
    <w:rsid w:val="00352D71"/>
    <w:rsid w:val="00352D95"/>
    <w:rsid w:val="00352E8D"/>
    <w:rsid w:val="00352F76"/>
    <w:rsid w:val="003534B6"/>
    <w:rsid w:val="003534D8"/>
    <w:rsid w:val="00353508"/>
    <w:rsid w:val="00353729"/>
    <w:rsid w:val="00353753"/>
    <w:rsid w:val="003538F7"/>
    <w:rsid w:val="00353C16"/>
    <w:rsid w:val="00353CE2"/>
    <w:rsid w:val="00353E44"/>
    <w:rsid w:val="00353FB6"/>
    <w:rsid w:val="00354289"/>
    <w:rsid w:val="003543C2"/>
    <w:rsid w:val="00354571"/>
    <w:rsid w:val="0035457D"/>
    <w:rsid w:val="003545C4"/>
    <w:rsid w:val="00354631"/>
    <w:rsid w:val="003548A9"/>
    <w:rsid w:val="00354C47"/>
    <w:rsid w:val="00354D4A"/>
    <w:rsid w:val="003550A5"/>
    <w:rsid w:val="003552B4"/>
    <w:rsid w:val="00355831"/>
    <w:rsid w:val="00355D05"/>
    <w:rsid w:val="00355F30"/>
    <w:rsid w:val="00355F35"/>
    <w:rsid w:val="00356158"/>
    <w:rsid w:val="00356197"/>
    <w:rsid w:val="003561D2"/>
    <w:rsid w:val="00356206"/>
    <w:rsid w:val="0035640E"/>
    <w:rsid w:val="0035648B"/>
    <w:rsid w:val="003565C5"/>
    <w:rsid w:val="0035681A"/>
    <w:rsid w:val="003568F3"/>
    <w:rsid w:val="003569F8"/>
    <w:rsid w:val="00356AD6"/>
    <w:rsid w:val="00356BED"/>
    <w:rsid w:val="00356CBD"/>
    <w:rsid w:val="00356DC9"/>
    <w:rsid w:val="003570F0"/>
    <w:rsid w:val="003570F4"/>
    <w:rsid w:val="003572AC"/>
    <w:rsid w:val="0035767B"/>
    <w:rsid w:val="00357719"/>
    <w:rsid w:val="003577ED"/>
    <w:rsid w:val="0035787A"/>
    <w:rsid w:val="00357903"/>
    <w:rsid w:val="00357B1B"/>
    <w:rsid w:val="00357D7E"/>
    <w:rsid w:val="00357F5C"/>
    <w:rsid w:val="00357F9B"/>
    <w:rsid w:val="003602E5"/>
    <w:rsid w:val="003603F8"/>
    <w:rsid w:val="003604C5"/>
    <w:rsid w:val="003605EB"/>
    <w:rsid w:val="00360683"/>
    <w:rsid w:val="00360893"/>
    <w:rsid w:val="00360A9F"/>
    <w:rsid w:val="00360B29"/>
    <w:rsid w:val="00360D74"/>
    <w:rsid w:val="00360F6F"/>
    <w:rsid w:val="0036101C"/>
    <w:rsid w:val="003610A1"/>
    <w:rsid w:val="0036123F"/>
    <w:rsid w:val="003612CD"/>
    <w:rsid w:val="0036130B"/>
    <w:rsid w:val="003618A4"/>
    <w:rsid w:val="00361983"/>
    <w:rsid w:val="003619E0"/>
    <w:rsid w:val="00361AD5"/>
    <w:rsid w:val="00361C44"/>
    <w:rsid w:val="003621E4"/>
    <w:rsid w:val="003622FA"/>
    <w:rsid w:val="00362443"/>
    <w:rsid w:val="0036268F"/>
    <w:rsid w:val="00362710"/>
    <w:rsid w:val="003628DB"/>
    <w:rsid w:val="00362AEA"/>
    <w:rsid w:val="00362B0A"/>
    <w:rsid w:val="00362BC2"/>
    <w:rsid w:val="00362F55"/>
    <w:rsid w:val="00363092"/>
    <w:rsid w:val="0036326C"/>
    <w:rsid w:val="003632D2"/>
    <w:rsid w:val="003633E1"/>
    <w:rsid w:val="00363404"/>
    <w:rsid w:val="0036346B"/>
    <w:rsid w:val="00363590"/>
    <w:rsid w:val="003636CA"/>
    <w:rsid w:val="00363A3C"/>
    <w:rsid w:val="00363CD6"/>
    <w:rsid w:val="00363D5A"/>
    <w:rsid w:val="0036416A"/>
    <w:rsid w:val="003642A7"/>
    <w:rsid w:val="003642C5"/>
    <w:rsid w:val="003644EF"/>
    <w:rsid w:val="0036453D"/>
    <w:rsid w:val="00364790"/>
    <w:rsid w:val="003648C5"/>
    <w:rsid w:val="0036493C"/>
    <w:rsid w:val="00364A78"/>
    <w:rsid w:val="00364A90"/>
    <w:rsid w:val="00365286"/>
    <w:rsid w:val="003657A4"/>
    <w:rsid w:val="00365843"/>
    <w:rsid w:val="00365CDC"/>
    <w:rsid w:val="00365CE3"/>
    <w:rsid w:val="00365D04"/>
    <w:rsid w:val="00365D30"/>
    <w:rsid w:val="00365FF9"/>
    <w:rsid w:val="003661F9"/>
    <w:rsid w:val="003665E5"/>
    <w:rsid w:val="0036675D"/>
    <w:rsid w:val="00366C50"/>
    <w:rsid w:val="00366F58"/>
    <w:rsid w:val="00367084"/>
    <w:rsid w:val="0036743C"/>
    <w:rsid w:val="003676B6"/>
    <w:rsid w:val="003676F7"/>
    <w:rsid w:val="0036799E"/>
    <w:rsid w:val="00367AC4"/>
    <w:rsid w:val="00367C70"/>
    <w:rsid w:val="0037019B"/>
    <w:rsid w:val="003701AE"/>
    <w:rsid w:val="003702A6"/>
    <w:rsid w:val="00370378"/>
    <w:rsid w:val="00370383"/>
    <w:rsid w:val="0037038E"/>
    <w:rsid w:val="003709E3"/>
    <w:rsid w:val="00370B34"/>
    <w:rsid w:val="00370B40"/>
    <w:rsid w:val="00370CA2"/>
    <w:rsid w:val="00370DBF"/>
    <w:rsid w:val="00371104"/>
    <w:rsid w:val="003712C4"/>
    <w:rsid w:val="003716F5"/>
    <w:rsid w:val="0037185B"/>
    <w:rsid w:val="0037198F"/>
    <w:rsid w:val="0037199E"/>
    <w:rsid w:val="00371A2B"/>
    <w:rsid w:val="00371A56"/>
    <w:rsid w:val="00371BA0"/>
    <w:rsid w:val="00371F37"/>
    <w:rsid w:val="00371F99"/>
    <w:rsid w:val="003720F8"/>
    <w:rsid w:val="00372174"/>
    <w:rsid w:val="00372179"/>
    <w:rsid w:val="003724DC"/>
    <w:rsid w:val="00372720"/>
    <w:rsid w:val="00372996"/>
    <w:rsid w:val="00372BBE"/>
    <w:rsid w:val="00372EE3"/>
    <w:rsid w:val="00373045"/>
    <w:rsid w:val="00373253"/>
    <w:rsid w:val="00373B38"/>
    <w:rsid w:val="00373B3D"/>
    <w:rsid w:val="00373CAB"/>
    <w:rsid w:val="00373DC0"/>
    <w:rsid w:val="00373FF2"/>
    <w:rsid w:val="0037400E"/>
    <w:rsid w:val="00374142"/>
    <w:rsid w:val="0037416A"/>
    <w:rsid w:val="00374648"/>
    <w:rsid w:val="0037483F"/>
    <w:rsid w:val="00374A50"/>
    <w:rsid w:val="00374D47"/>
    <w:rsid w:val="00374E2E"/>
    <w:rsid w:val="00375010"/>
    <w:rsid w:val="0037515F"/>
    <w:rsid w:val="00375459"/>
    <w:rsid w:val="003759C7"/>
    <w:rsid w:val="00376494"/>
    <w:rsid w:val="003766BC"/>
    <w:rsid w:val="003766FA"/>
    <w:rsid w:val="00376746"/>
    <w:rsid w:val="0037688C"/>
    <w:rsid w:val="00376ADC"/>
    <w:rsid w:val="00376C35"/>
    <w:rsid w:val="00376E62"/>
    <w:rsid w:val="00376E7A"/>
    <w:rsid w:val="00377025"/>
    <w:rsid w:val="0037726F"/>
    <w:rsid w:val="0037736A"/>
    <w:rsid w:val="00377582"/>
    <w:rsid w:val="00377624"/>
    <w:rsid w:val="00377AB3"/>
    <w:rsid w:val="00377FA5"/>
    <w:rsid w:val="003802E3"/>
    <w:rsid w:val="0038031C"/>
    <w:rsid w:val="003803D5"/>
    <w:rsid w:val="0038044B"/>
    <w:rsid w:val="003804D1"/>
    <w:rsid w:val="00380661"/>
    <w:rsid w:val="00380903"/>
    <w:rsid w:val="00380B2C"/>
    <w:rsid w:val="00381015"/>
    <w:rsid w:val="003812CE"/>
    <w:rsid w:val="003812E7"/>
    <w:rsid w:val="003812FB"/>
    <w:rsid w:val="003813D2"/>
    <w:rsid w:val="003816B8"/>
    <w:rsid w:val="0038181F"/>
    <w:rsid w:val="00381953"/>
    <w:rsid w:val="0038243E"/>
    <w:rsid w:val="0038267A"/>
    <w:rsid w:val="003827DF"/>
    <w:rsid w:val="0038288D"/>
    <w:rsid w:val="00382975"/>
    <w:rsid w:val="00382ABC"/>
    <w:rsid w:val="00382ED9"/>
    <w:rsid w:val="00383203"/>
    <w:rsid w:val="003834E6"/>
    <w:rsid w:val="0038396C"/>
    <w:rsid w:val="00383A80"/>
    <w:rsid w:val="00383BCF"/>
    <w:rsid w:val="00383CA5"/>
    <w:rsid w:val="00383F18"/>
    <w:rsid w:val="0038404D"/>
    <w:rsid w:val="00384119"/>
    <w:rsid w:val="0038424D"/>
    <w:rsid w:val="003844D6"/>
    <w:rsid w:val="00384661"/>
    <w:rsid w:val="00384C1D"/>
    <w:rsid w:val="00384D12"/>
    <w:rsid w:val="00384D75"/>
    <w:rsid w:val="00384E44"/>
    <w:rsid w:val="00384F64"/>
    <w:rsid w:val="003853C7"/>
    <w:rsid w:val="0038586A"/>
    <w:rsid w:val="00385874"/>
    <w:rsid w:val="003858B7"/>
    <w:rsid w:val="00385BA7"/>
    <w:rsid w:val="00385C92"/>
    <w:rsid w:val="00385D39"/>
    <w:rsid w:val="00385F54"/>
    <w:rsid w:val="00385F91"/>
    <w:rsid w:val="00386242"/>
    <w:rsid w:val="00386268"/>
    <w:rsid w:val="003862E5"/>
    <w:rsid w:val="003864F7"/>
    <w:rsid w:val="00386683"/>
    <w:rsid w:val="0038673F"/>
    <w:rsid w:val="003868B5"/>
    <w:rsid w:val="00386B59"/>
    <w:rsid w:val="00386C27"/>
    <w:rsid w:val="00386C2A"/>
    <w:rsid w:val="00386C63"/>
    <w:rsid w:val="00386CCC"/>
    <w:rsid w:val="00386FDF"/>
    <w:rsid w:val="003871C2"/>
    <w:rsid w:val="00387253"/>
    <w:rsid w:val="0038736C"/>
    <w:rsid w:val="003874E5"/>
    <w:rsid w:val="003874EF"/>
    <w:rsid w:val="003876DA"/>
    <w:rsid w:val="003877A6"/>
    <w:rsid w:val="003879A6"/>
    <w:rsid w:val="00387A00"/>
    <w:rsid w:val="00387A68"/>
    <w:rsid w:val="00387BE4"/>
    <w:rsid w:val="00387D79"/>
    <w:rsid w:val="00387D84"/>
    <w:rsid w:val="00387E0F"/>
    <w:rsid w:val="00387FF5"/>
    <w:rsid w:val="0039006A"/>
    <w:rsid w:val="003903DD"/>
    <w:rsid w:val="00390497"/>
    <w:rsid w:val="003907FA"/>
    <w:rsid w:val="00390856"/>
    <w:rsid w:val="003909AE"/>
    <w:rsid w:val="003909C2"/>
    <w:rsid w:val="003909D3"/>
    <w:rsid w:val="00390DBB"/>
    <w:rsid w:val="00390E3E"/>
    <w:rsid w:val="00390EFE"/>
    <w:rsid w:val="00390F34"/>
    <w:rsid w:val="00390F70"/>
    <w:rsid w:val="003910F2"/>
    <w:rsid w:val="0039122A"/>
    <w:rsid w:val="00391347"/>
    <w:rsid w:val="003914AA"/>
    <w:rsid w:val="003914E3"/>
    <w:rsid w:val="0039163C"/>
    <w:rsid w:val="0039172F"/>
    <w:rsid w:val="0039176C"/>
    <w:rsid w:val="00391BFD"/>
    <w:rsid w:val="00391CCB"/>
    <w:rsid w:val="00391DBF"/>
    <w:rsid w:val="003920D5"/>
    <w:rsid w:val="00392127"/>
    <w:rsid w:val="003923A9"/>
    <w:rsid w:val="00392783"/>
    <w:rsid w:val="003927BC"/>
    <w:rsid w:val="003929C4"/>
    <w:rsid w:val="00392A15"/>
    <w:rsid w:val="00392B1C"/>
    <w:rsid w:val="00392B9D"/>
    <w:rsid w:val="00392C8E"/>
    <w:rsid w:val="00392C97"/>
    <w:rsid w:val="00392CF5"/>
    <w:rsid w:val="00392DC8"/>
    <w:rsid w:val="00393197"/>
    <w:rsid w:val="0039326C"/>
    <w:rsid w:val="0039354C"/>
    <w:rsid w:val="0039358A"/>
    <w:rsid w:val="00393595"/>
    <w:rsid w:val="003936EE"/>
    <w:rsid w:val="00393773"/>
    <w:rsid w:val="003938EA"/>
    <w:rsid w:val="00393A51"/>
    <w:rsid w:val="00393BA4"/>
    <w:rsid w:val="00393C94"/>
    <w:rsid w:val="00393DEE"/>
    <w:rsid w:val="00393E0F"/>
    <w:rsid w:val="00393E1D"/>
    <w:rsid w:val="00393F3C"/>
    <w:rsid w:val="00394013"/>
    <w:rsid w:val="0039403F"/>
    <w:rsid w:val="0039408C"/>
    <w:rsid w:val="003940A1"/>
    <w:rsid w:val="003944BF"/>
    <w:rsid w:val="003945A6"/>
    <w:rsid w:val="00394855"/>
    <w:rsid w:val="00394AAA"/>
    <w:rsid w:val="00394F82"/>
    <w:rsid w:val="00394FED"/>
    <w:rsid w:val="00395432"/>
    <w:rsid w:val="003955BB"/>
    <w:rsid w:val="003956FD"/>
    <w:rsid w:val="003958B5"/>
    <w:rsid w:val="00395981"/>
    <w:rsid w:val="00395AC6"/>
    <w:rsid w:val="00395B4B"/>
    <w:rsid w:val="00395E7B"/>
    <w:rsid w:val="00395F7C"/>
    <w:rsid w:val="003960CA"/>
    <w:rsid w:val="003961EA"/>
    <w:rsid w:val="0039634C"/>
    <w:rsid w:val="00396623"/>
    <w:rsid w:val="003966AF"/>
    <w:rsid w:val="003967B5"/>
    <w:rsid w:val="00396918"/>
    <w:rsid w:val="003969EB"/>
    <w:rsid w:val="00396B27"/>
    <w:rsid w:val="00396E9B"/>
    <w:rsid w:val="00396F0F"/>
    <w:rsid w:val="00396FDE"/>
    <w:rsid w:val="00397212"/>
    <w:rsid w:val="0039739F"/>
    <w:rsid w:val="003973B9"/>
    <w:rsid w:val="003974EC"/>
    <w:rsid w:val="0039754B"/>
    <w:rsid w:val="00397554"/>
    <w:rsid w:val="003975DF"/>
    <w:rsid w:val="00397797"/>
    <w:rsid w:val="003978DB"/>
    <w:rsid w:val="00397A03"/>
    <w:rsid w:val="00397BBF"/>
    <w:rsid w:val="00397D21"/>
    <w:rsid w:val="00397D48"/>
    <w:rsid w:val="00397E29"/>
    <w:rsid w:val="003A0132"/>
    <w:rsid w:val="003A0212"/>
    <w:rsid w:val="003A0473"/>
    <w:rsid w:val="003A06A4"/>
    <w:rsid w:val="003A07FA"/>
    <w:rsid w:val="003A0A61"/>
    <w:rsid w:val="003A0B1D"/>
    <w:rsid w:val="003A0B2C"/>
    <w:rsid w:val="003A0ED9"/>
    <w:rsid w:val="003A0F51"/>
    <w:rsid w:val="003A10BF"/>
    <w:rsid w:val="003A15CD"/>
    <w:rsid w:val="003A1801"/>
    <w:rsid w:val="003A1A07"/>
    <w:rsid w:val="003A1E05"/>
    <w:rsid w:val="003A20B3"/>
    <w:rsid w:val="003A21B1"/>
    <w:rsid w:val="003A223D"/>
    <w:rsid w:val="003A246C"/>
    <w:rsid w:val="003A25DD"/>
    <w:rsid w:val="003A295A"/>
    <w:rsid w:val="003A2C9A"/>
    <w:rsid w:val="003A2CEF"/>
    <w:rsid w:val="003A2D14"/>
    <w:rsid w:val="003A2D1D"/>
    <w:rsid w:val="003A317D"/>
    <w:rsid w:val="003A3373"/>
    <w:rsid w:val="003A3617"/>
    <w:rsid w:val="003A36AB"/>
    <w:rsid w:val="003A36D1"/>
    <w:rsid w:val="003A36DD"/>
    <w:rsid w:val="003A3800"/>
    <w:rsid w:val="003A3978"/>
    <w:rsid w:val="003A39DC"/>
    <w:rsid w:val="003A3A74"/>
    <w:rsid w:val="003A3ACA"/>
    <w:rsid w:val="003A3BD6"/>
    <w:rsid w:val="003A3FC3"/>
    <w:rsid w:val="003A4345"/>
    <w:rsid w:val="003A4504"/>
    <w:rsid w:val="003A4553"/>
    <w:rsid w:val="003A458C"/>
    <w:rsid w:val="003A4691"/>
    <w:rsid w:val="003A46BE"/>
    <w:rsid w:val="003A4903"/>
    <w:rsid w:val="003A4AAA"/>
    <w:rsid w:val="003A4F2D"/>
    <w:rsid w:val="003A4FB9"/>
    <w:rsid w:val="003A5284"/>
    <w:rsid w:val="003A564F"/>
    <w:rsid w:val="003A5719"/>
    <w:rsid w:val="003A5881"/>
    <w:rsid w:val="003A5A52"/>
    <w:rsid w:val="003A5AB8"/>
    <w:rsid w:val="003A5B5A"/>
    <w:rsid w:val="003A5DA5"/>
    <w:rsid w:val="003A5DD7"/>
    <w:rsid w:val="003A5E43"/>
    <w:rsid w:val="003A5E76"/>
    <w:rsid w:val="003A6453"/>
    <w:rsid w:val="003A6727"/>
    <w:rsid w:val="003A6D0B"/>
    <w:rsid w:val="003A6EFD"/>
    <w:rsid w:val="003A6F30"/>
    <w:rsid w:val="003A6F70"/>
    <w:rsid w:val="003A7056"/>
    <w:rsid w:val="003A7641"/>
    <w:rsid w:val="003A7A45"/>
    <w:rsid w:val="003A7B1D"/>
    <w:rsid w:val="003A7B25"/>
    <w:rsid w:val="003A7CD7"/>
    <w:rsid w:val="003A7DCD"/>
    <w:rsid w:val="003B01E7"/>
    <w:rsid w:val="003B027D"/>
    <w:rsid w:val="003B0527"/>
    <w:rsid w:val="003B06C4"/>
    <w:rsid w:val="003B07CE"/>
    <w:rsid w:val="003B0C92"/>
    <w:rsid w:val="003B0FF8"/>
    <w:rsid w:val="003B11D4"/>
    <w:rsid w:val="003B11E5"/>
    <w:rsid w:val="003B122C"/>
    <w:rsid w:val="003B141B"/>
    <w:rsid w:val="003B1446"/>
    <w:rsid w:val="003B1530"/>
    <w:rsid w:val="003B1610"/>
    <w:rsid w:val="003B1879"/>
    <w:rsid w:val="003B187B"/>
    <w:rsid w:val="003B1889"/>
    <w:rsid w:val="003B194C"/>
    <w:rsid w:val="003B19EA"/>
    <w:rsid w:val="003B1A6A"/>
    <w:rsid w:val="003B1AA6"/>
    <w:rsid w:val="003B2044"/>
    <w:rsid w:val="003B20F0"/>
    <w:rsid w:val="003B222D"/>
    <w:rsid w:val="003B226C"/>
    <w:rsid w:val="003B235D"/>
    <w:rsid w:val="003B23C4"/>
    <w:rsid w:val="003B26A0"/>
    <w:rsid w:val="003B2AF7"/>
    <w:rsid w:val="003B2B0F"/>
    <w:rsid w:val="003B2C54"/>
    <w:rsid w:val="003B2D57"/>
    <w:rsid w:val="003B2E42"/>
    <w:rsid w:val="003B2EFC"/>
    <w:rsid w:val="003B2F31"/>
    <w:rsid w:val="003B2F5A"/>
    <w:rsid w:val="003B31A7"/>
    <w:rsid w:val="003B320F"/>
    <w:rsid w:val="003B3266"/>
    <w:rsid w:val="003B3412"/>
    <w:rsid w:val="003B344B"/>
    <w:rsid w:val="003B378A"/>
    <w:rsid w:val="003B398F"/>
    <w:rsid w:val="003B3C61"/>
    <w:rsid w:val="003B3CBB"/>
    <w:rsid w:val="003B3F6B"/>
    <w:rsid w:val="003B4043"/>
    <w:rsid w:val="003B43FD"/>
    <w:rsid w:val="003B445A"/>
    <w:rsid w:val="003B446B"/>
    <w:rsid w:val="003B46C4"/>
    <w:rsid w:val="003B4815"/>
    <w:rsid w:val="003B48BB"/>
    <w:rsid w:val="003B48E6"/>
    <w:rsid w:val="003B493F"/>
    <w:rsid w:val="003B4B4F"/>
    <w:rsid w:val="003B4CF6"/>
    <w:rsid w:val="003B4E05"/>
    <w:rsid w:val="003B4E87"/>
    <w:rsid w:val="003B5343"/>
    <w:rsid w:val="003B53B2"/>
    <w:rsid w:val="003B55DC"/>
    <w:rsid w:val="003B57CE"/>
    <w:rsid w:val="003B5931"/>
    <w:rsid w:val="003B5A07"/>
    <w:rsid w:val="003B5A7D"/>
    <w:rsid w:val="003B5BBC"/>
    <w:rsid w:val="003B5ECF"/>
    <w:rsid w:val="003B63F5"/>
    <w:rsid w:val="003B6497"/>
    <w:rsid w:val="003B65FD"/>
    <w:rsid w:val="003B67EF"/>
    <w:rsid w:val="003B683B"/>
    <w:rsid w:val="003B6D7D"/>
    <w:rsid w:val="003B6DAE"/>
    <w:rsid w:val="003B7091"/>
    <w:rsid w:val="003B70FB"/>
    <w:rsid w:val="003B7165"/>
    <w:rsid w:val="003B7316"/>
    <w:rsid w:val="003B732B"/>
    <w:rsid w:val="003B7574"/>
    <w:rsid w:val="003B7585"/>
    <w:rsid w:val="003B7960"/>
    <w:rsid w:val="003B7AFC"/>
    <w:rsid w:val="003B7B52"/>
    <w:rsid w:val="003B7B88"/>
    <w:rsid w:val="003B7B98"/>
    <w:rsid w:val="003B7C37"/>
    <w:rsid w:val="003B7DA2"/>
    <w:rsid w:val="003B7E1B"/>
    <w:rsid w:val="003C01E4"/>
    <w:rsid w:val="003C02B9"/>
    <w:rsid w:val="003C0428"/>
    <w:rsid w:val="003C044B"/>
    <w:rsid w:val="003C0718"/>
    <w:rsid w:val="003C0A4A"/>
    <w:rsid w:val="003C0A69"/>
    <w:rsid w:val="003C0D33"/>
    <w:rsid w:val="003C106D"/>
    <w:rsid w:val="003C12D6"/>
    <w:rsid w:val="003C16C6"/>
    <w:rsid w:val="003C1785"/>
    <w:rsid w:val="003C17AA"/>
    <w:rsid w:val="003C18B6"/>
    <w:rsid w:val="003C1C99"/>
    <w:rsid w:val="003C1D52"/>
    <w:rsid w:val="003C2316"/>
    <w:rsid w:val="003C259C"/>
    <w:rsid w:val="003C286F"/>
    <w:rsid w:val="003C29D9"/>
    <w:rsid w:val="003C2A7F"/>
    <w:rsid w:val="003C2C5C"/>
    <w:rsid w:val="003C2C86"/>
    <w:rsid w:val="003C2E66"/>
    <w:rsid w:val="003C2F9F"/>
    <w:rsid w:val="003C3142"/>
    <w:rsid w:val="003C32BA"/>
    <w:rsid w:val="003C35B7"/>
    <w:rsid w:val="003C383B"/>
    <w:rsid w:val="003C3B7B"/>
    <w:rsid w:val="003C3C52"/>
    <w:rsid w:val="003C42B0"/>
    <w:rsid w:val="003C437F"/>
    <w:rsid w:val="003C489E"/>
    <w:rsid w:val="003C48CC"/>
    <w:rsid w:val="003C4A53"/>
    <w:rsid w:val="003C4B4B"/>
    <w:rsid w:val="003C4BCA"/>
    <w:rsid w:val="003C4E4D"/>
    <w:rsid w:val="003C5193"/>
    <w:rsid w:val="003C520D"/>
    <w:rsid w:val="003C58B4"/>
    <w:rsid w:val="003C5ACC"/>
    <w:rsid w:val="003C5ACF"/>
    <w:rsid w:val="003C5C49"/>
    <w:rsid w:val="003C5CFD"/>
    <w:rsid w:val="003C5F60"/>
    <w:rsid w:val="003C6570"/>
    <w:rsid w:val="003C65F3"/>
    <w:rsid w:val="003C66CF"/>
    <w:rsid w:val="003C6AE5"/>
    <w:rsid w:val="003C6D0B"/>
    <w:rsid w:val="003C6D95"/>
    <w:rsid w:val="003C6FAF"/>
    <w:rsid w:val="003C701B"/>
    <w:rsid w:val="003C724A"/>
    <w:rsid w:val="003C73CA"/>
    <w:rsid w:val="003C74C5"/>
    <w:rsid w:val="003C77A7"/>
    <w:rsid w:val="003C7984"/>
    <w:rsid w:val="003C7BD5"/>
    <w:rsid w:val="003C7D09"/>
    <w:rsid w:val="003C7DC9"/>
    <w:rsid w:val="003C7DFA"/>
    <w:rsid w:val="003C7EAB"/>
    <w:rsid w:val="003D0051"/>
    <w:rsid w:val="003D03D7"/>
    <w:rsid w:val="003D0539"/>
    <w:rsid w:val="003D0583"/>
    <w:rsid w:val="003D07C5"/>
    <w:rsid w:val="003D0891"/>
    <w:rsid w:val="003D0979"/>
    <w:rsid w:val="003D0A3C"/>
    <w:rsid w:val="003D0AC9"/>
    <w:rsid w:val="003D0C29"/>
    <w:rsid w:val="003D0C7D"/>
    <w:rsid w:val="003D0E2D"/>
    <w:rsid w:val="003D105F"/>
    <w:rsid w:val="003D113B"/>
    <w:rsid w:val="003D1147"/>
    <w:rsid w:val="003D14B6"/>
    <w:rsid w:val="003D14E0"/>
    <w:rsid w:val="003D169E"/>
    <w:rsid w:val="003D18B6"/>
    <w:rsid w:val="003D18B7"/>
    <w:rsid w:val="003D1AC3"/>
    <w:rsid w:val="003D1AE1"/>
    <w:rsid w:val="003D1C3B"/>
    <w:rsid w:val="003D1D7E"/>
    <w:rsid w:val="003D1DEB"/>
    <w:rsid w:val="003D21F3"/>
    <w:rsid w:val="003D231E"/>
    <w:rsid w:val="003D25F5"/>
    <w:rsid w:val="003D28D8"/>
    <w:rsid w:val="003D2968"/>
    <w:rsid w:val="003D29EC"/>
    <w:rsid w:val="003D2DF5"/>
    <w:rsid w:val="003D2F1B"/>
    <w:rsid w:val="003D2FEB"/>
    <w:rsid w:val="003D314B"/>
    <w:rsid w:val="003D32D1"/>
    <w:rsid w:val="003D3422"/>
    <w:rsid w:val="003D34D7"/>
    <w:rsid w:val="003D3739"/>
    <w:rsid w:val="003D380B"/>
    <w:rsid w:val="003D39B3"/>
    <w:rsid w:val="003D39F6"/>
    <w:rsid w:val="003D39FE"/>
    <w:rsid w:val="003D3A0B"/>
    <w:rsid w:val="003D3BCA"/>
    <w:rsid w:val="003D3E99"/>
    <w:rsid w:val="003D3EFE"/>
    <w:rsid w:val="003D40C7"/>
    <w:rsid w:val="003D40E8"/>
    <w:rsid w:val="003D42B8"/>
    <w:rsid w:val="003D43F8"/>
    <w:rsid w:val="003D44FB"/>
    <w:rsid w:val="003D4512"/>
    <w:rsid w:val="003D4847"/>
    <w:rsid w:val="003D4A95"/>
    <w:rsid w:val="003D4CAE"/>
    <w:rsid w:val="003D4D31"/>
    <w:rsid w:val="003D50B9"/>
    <w:rsid w:val="003D5195"/>
    <w:rsid w:val="003D54D2"/>
    <w:rsid w:val="003D54EF"/>
    <w:rsid w:val="003D54F0"/>
    <w:rsid w:val="003D59B0"/>
    <w:rsid w:val="003D5A80"/>
    <w:rsid w:val="003D5D01"/>
    <w:rsid w:val="003D601E"/>
    <w:rsid w:val="003D618C"/>
    <w:rsid w:val="003D6207"/>
    <w:rsid w:val="003D6576"/>
    <w:rsid w:val="003D66B9"/>
    <w:rsid w:val="003D6826"/>
    <w:rsid w:val="003D69F6"/>
    <w:rsid w:val="003D6A43"/>
    <w:rsid w:val="003D6C27"/>
    <w:rsid w:val="003D6EB9"/>
    <w:rsid w:val="003D7122"/>
    <w:rsid w:val="003D7130"/>
    <w:rsid w:val="003D782D"/>
    <w:rsid w:val="003D785E"/>
    <w:rsid w:val="003D7B03"/>
    <w:rsid w:val="003E013A"/>
    <w:rsid w:val="003E0149"/>
    <w:rsid w:val="003E015E"/>
    <w:rsid w:val="003E0454"/>
    <w:rsid w:val="003E074A"/>
    <w:rsid w:val="003E0B48"/>
    <w:rsid w:val="003E0C7A"/>
    <w:rsid w:val="003E0FCF"/>
    <w:rsid w:val="003E0FD1"/>
    <w:rsid w:val="003E1147"/>
    <w:rsid w:val="003E13C0"/>
    <w:rsid w:val="003E16DE"/>
    <w:rsid w:val="003E1855"/>
    <w:rsid w:val="003E1A53"/>
    <w:rsid w:val="003E1E75"/>
    <w:rsid w:val="003E1F51"/>
    <w:rsid w:val="003E2004"/>
    <w:rsid w:val="003E2090"/>
    <w:rsid w:val="003E20D0"/>
    <w:rsid w:val="003E2350"/>
    <w:rsid w:val="003E2423"/>
    <w:rsid w:val="003E2E2A"/>
    <w:rsid w:val="003E2FC0"/>
    <w:rsid w:val="003E300C"/>
    <w:rsid w:val="003E30B4"/>
    <w:rsid w:val="003E315C"/>
    <w:rsid w:val="003E33A0"/>
    <w:rsid w:val="003E33D7"/>
    <w:rsid w:val="003E341D"/>
    <w:rsid w:val="003E3507"/>
    <w:rsid w:val="003E3649"/>
    <w:rsid w:val="003E3938"/>
    <w:rsid w:val="003E3A79"/>
    <w:rsid w:val="003E3E09"/>
    <w:rsid w:val="003E420F"/>
    <w:rsid w:val="003E425A"/>
    <w:rsid w:val="003E4414"/>
    <w:rsid w:val="003E4433"/>
    <w:rsid w:val="003E4548"/>
    <w:rsid w:val="003E45ED"/>
    <w:rsid w:val="003E4697"/>
    <w:rsid w:val="003E4820"/>
    <w:rsid w:val="003E4A69"/>
    <w:rsid w:val="003E4C9E"/>
    <w:rsid w:val="003E4EFD"/>
    <w:rsid w:val="003E5103"/>
    <w:rsid w:val="003E520F"/>
    <w:rsid w:val="003E53A3"/>
    <w:rsid w:val="003E549D"/>
    <w:rsid w:val="003E5552"/>
    <w:rsid w:val="003E55AE"/>
    <w:rsid w:val="003E57B7"/>
    <w:rsid w:val="003E58AF"/>
    <w:rsid w:val="003E5AC1"/>
    <w:rsid w:val="003E5ADF"/>
    <w:rsid w:val="003E60D9"/>
    <w:rsid w:val="003E60F5"/>
    <w:rsid w:val="003E64AC"/>
    <w:rsid w:val="003E66DE"/>
    <w:rsid w:val="003E6C8E"/>
    <w:rsid w:val="003E6FEB"/>
    <w:rsid w:val="003E7156"/>
    <w:rsid w:val="003E744D"/>
    <w:rsid w:val="003E75C9"/>
    <w:rsid w:val="003E7791"/>
    <w:rsid w:val="003E7CBD"/>
    <w:rsid w:val="003E7D11"/>
    <w:rsid w:val="003F0157"/>
    <w:rsid w:val="003F020D"/>
    <w:rsid w:val="003F0369"/>
    <w:rsid w:val="003F0529"/>
    <w:rsid w:val="003F0743"/>
    <w:rsid w:val="003F097F"/>
    <w:rsid w:val="003F09DA"/>
    <w:rsid w:val="003F0C45"/>
    <w:rsid w:val="003F0D88"/>
    <w:rsid w:val="003F0F49"/>
    <w:rsid w:val="003F0F4B"/>
    <w:rsid w:val="003F117A"/>
    <w:rsid w:val="003F1314"/>
    <w:rsid w:val="003F15E2"/>
    <w:rsid w:val="003F1649"/>
    <w:rsid w:val="003F185D"/>
    <w:rsid w:val="003F1AC5"/>
    <w:rsid w:val="003F1B1D"/>
    <w:rsid w:val="003F1B3A"/>
    <w:rsid w:val="003F1B71"/>
    <w:rsid w:val="003F20B4"/>
    <w:rsid w:val="003F2144"/>
    <w:rsid w:val="003F22F5"/>
    <w:rsid w:val="003F23B5"/>
    <w:rsid w:val="003F2561"/>
    <w:rsid w:val="003F2726"/>
    <w:rsid w:val="003F277D"/>
    <w:rsid w:val="003F293B"/>
    <w:rsid w:val="003F2A8F"/>
    <w:rsid w:val="003F2AC3"/>
    <w:rsid w:val="003F2B42"/>
    <w:rsid w:val="003F2C04"/>
    <w:rsid w:val="003F2D06"/>
    <w:rsid w:val="003F2D2C"/>
    <w:rsid w:val="003F2E08"/>
    <w:rsid w:val="003F2F87"/>
    <w:rsid w:val="003F3025"/>
    <w:rsid w:val="003F33EE"/>
    <w:rsid w:val="003F3743"/>
    <w:rsid w:val="003F37B9"/>
    <w:rsid w:val="003F385D"/>
    <w:rsid w:val="003F3FF0"/>
    <w:rsid w:val="003F3FF1"/>
    <w:rsid w:val="003F401F"/>
    <w:rsid w:val="003F4214"/>
    <w:rsid w:val="003F4384"/>
    <w:rsid w:val="003F446D"/>
    <w:rsid w:val="003F4847"/>
    <w:rsid w:val="003F493A"/>
    <w:rsid w:val="003F4A06"/>
    <w:rsid w:val="003F4A34"/>
    <w:rsid w:val="003F4A92"/>
    <w:rsid w:val="003F4E71"/>
    <w:rsid w:val="003F4E90"/>
    <w:rsid w:val="003F4E93"/>
    <w:rsid w:val="003F5064"/>
    <w:rsid w:val="003F51F4"/>
    <w:rsid w:val="003F53D3"/>
    <w:rsid w:val="003F54BD"/>
    <w:rsid w:val="003F5587"/>
    <w:rsid w:val="003F5595"/>
    <w:rsid w:val="003F5881"/>
    <w:rsid w:val="003F5937"/>
    <w:rsid w:val="003F5AAB"/>
    <w:rsid w:val="003F5B04"/>
    <w:rsid w:val="003F5D7C"/>
    <w:rsid w:val="003F5E7C"/>
    <w:rsid w:val="003F5FAA"/>
    <w:rsid w:val="003F602A"/>
    <w:rsid w:val="003F61F6"/>
    <w:rsid w:val="003F622C"/>
    <w:rsid w:val="003F63A5"/>
    <w:rsid w:val="003F63CF"/>
    <w:rsid w:val="003F6569"/>
    <w:rsid w:val="003F6EB0"/>
    <w:rsid w:val="003F7475"/>
    <w:rsid w:val="003F75B7"/>
    <w:rsid w:val="003F770E"/>
    <w:rsid w:val="003F79FA"/>
    <w:rsid w:val="003F7A19"/>
    <w:rsid w:val="003F7BA6"/>
    <w:rsid w:val="003F7C32"/>
    <w:rsid w:val="003F7D3B"/>
    <w:rsid w:val="003F7EA6"/>
    <w:rsid w:val="003F7FE7"/>
    <w:rsid w:val="00400270"/>
    <w:rsid w:val="004002DF"/>
    <w:rsid w:val="00400343"/>
    <w:rsid w:val="0040079B"/>
    <w:rsid w:val="00400921"/>
    <w:rsid w:val="00400AF0"/>
    <w:rsid w:val="00400BC7"/>
    <w:rsid w:val="00400C45"/>
    <w:rsid w:val="00400D0F"/>
    <w:rsid w:val="00400DC5"/>
    <w:rsid w:val="0040101E"/>
    <w:rsid w:val="00401184"/>
    <w:rsid w:val="00401270"/>
    <w:rsid w:val="00401276"/>
    <w:rsid w:val="004012A1"/>
    <w:rsid w:val="004013DE"/>
    <w:rsid w:val="0040157F"/>
    <w:rsid w:val="004015C0"/>
    <w:rsid w:val="0040164B"/>
    <w:rsid w:val="00401661"/>
    <w:rsid w:val="004016C7"/>
    <w:rsid w:val="004017BC"/>
    <w:rsid w:val="00401AAD"/>
    <w:rsid w:val="00401CC4"/>
    <w:rsid w:val="00401F0B"/>
    <w:rsid w:val="00402141"/>
    <w:rsid w:val="004022CE"/>
    <w:rsid w:val="0040245A"/>
    <w:rsid w:val="004024F4"/>
    <w:rsid w:val="00402B48"/>
    <w:rsid w:val="00402DF6"/>
    <w:rsid w:val="00402E50"/>
    <w:rsid w:val="00402E99"/>
    <w:rsid w:val="00402F1D"/>
    <w:rsid w:val="00403162"/>
    <w:rsid w:val="004033A5"/>
    <w:rsid w:val="0040354B"/>
    <w:rsid w:val="004036B3"/>
    <w:rsid w:val="004036E7"/>
    <w:rsid w:val="00403900"/>
    <w:rsid w:val="00403BB5"/>
    <w:rsid w:val="00403FAB"/>
    <w:rsid w:val="00404081"/>
    <w:rsid w:val="004041AE"/>
    <w:rsid w:val="0040429E"/>
    <w:rsid w:val="004043E1"/>
    <w:rsid w:val="004045AC"/>
    <w:rsid w:val="004045CE"/>
    <w:rsid w:val="00404920"/>
    <w:rsid w:val="00404971"/>
    <w:rsid w:val="00404D05"/>
    <w:rsid w:val="00404F8E"/>
    <w:rsid w:val="00405147"/>
    <w:rsid w:val="004058EB"/>
    <w:rsid w:val="0040599B"/>
    <w:rsid w:val="00405D00"/>
    <w:rsid w:val="00405D46"/>
    <w:rsid w:val="00405EBA"/>
    <w:rsid w:val="00406030"/>
    <w:rsid w:val="004064A1"/>
    <w:rsid w:val="004064F0"/>
    <w:rsid w:val="00406508"/>
    <w:rsid w:val="0040652E"/>
    <w:rsid w:val="004065A5"/>
    <w:rsid w:val="00406691"/>
    <w:rsid w:val="004067A7"/>
    <w:rsid w:val="004067D0"/>
    <w:rsid w:val="00406862"/>
    <w:rsid w:val="00406CEB"/>
    <w:rsid w:val="00406E78"/>
    <w:rsid w:val="00406F14"/>
    <w:rsid w:val="00407041"/>
    <w:rsid w:val="0040753E"/>
    <w:rsid w:val="004076AF"/>
    <w:rsid w:val="004077AE"/>
    <w:rsid w:val="00407C4E"/>
    <w:rsid w:val="00407D65"/>
    <w:rsid w:val="00407E13"/>
    <w:rsid w:val="00407E3C"/>
    <w:rsid w:val="00407E4A"/>
    <w:rsid w:val="00407F7C"/>
    <w:rsid w:val="00410038"/>
    <w:rsid w:val="00410079"/>
    <w:rsid w:val="0041035B"/>
    <w:rsid w:val="00410668"/>
    <w:rsid w:val="004106FA"/>
    <w:rsid w:val="00410B3E"/>
    <w:rsid w:val="00410C15"/>
    <w:rsid w:val="00410D84"/>
    <w:rsid w:val="00410EA4"/>
    <w:rsid w:val="00411015"/>
    <w:rsid w:val="004114A2"/>
    <w:rsid w:val="00411567"/>
    <w:rsid w:val="00411663"/>
    <w:rsid w:val="00411705"/>
    <w:rsid w:val="0041195D"/>
    <w:rsid w:val="00411BB9"/>
    <w:rsid w:val="00411CB2"/>
    <w:rsid w:val="00412104"/>
    <w:rsid w:val="00412234"/>
    <w:rsid w:val="00412250"/>
    <w:rsid w:val="00412346"/>
    <w:rsid w:val="00412AF7"/>
    <w:rsid w:val="00412C3F"/>
    <w:rsid w:val="00412CCE"/>
    <w:rsid w:val="00412CE0"/>
    <w:rsid w:val="00412EFD"/>
    <w:rsid w:val="00412FBC"/>
    <w:rsid w:val="00413074"/>
    <w:rsid w:val="004132F3"/>
    <w:rsid w:val="00413333"/>
    <w:rsid w:val="004133C2"/>
    <w:rsid w:val="004133CC"/>
    <w:rsid w:val="00413465"/>
    <w:rsid w:val="0041381D"/>
    <w:rsid w:val="00413A37"/>
    <w:rsid w:val="00413A90"/>
    <w:rsid w:val="00413B53"/>
    <w:rsid w:val="00413B63"/>
    <w:rsid w:val="00413EDB"/>
    <w:rsid w:val="00414046"/>
    <w:rsid w:val="004141C1"/>
    <w:rsid w:val="00414518"/>
    <w:rsid w:val="0041461E"/>
    <w:rsid w:val="00414627"/>
    <w:rsid w:val="0041471D"/>
    <w:rsid w:val="0041482B"/>
    <w:rsid w:val="0041485C"/>
    <w:rsid w:val="00414A75"/>
    <w:rsid w:val="00414C26"/>
    <w:rsid w:val="00414C31"/>
    <w:rsid w:val="00414C41"/>
    <w:rsid w:val="00414CEB"/>
    <w:rsid w:val="00414DC1"/>
    <w:rsid w:val="00414E24"/>
    <w:rsid w:val="00415118"/>
    <w:rsid w:val="0041517B"/>
    <w:rsid w:val="0041535F"/>
    <w:rsid w:val="0041540D"/>
    <w:rsid w:val="0041551B"/>
    <w:rsid w:val="00415626"/>
    <w:rsid w:val="004157EF"/>
    <w:rsid w:val="0041588A"/>
    <w:rsid w:val="00415908"/>
    <w:rsid w:val="00415C4C"/>
    <w:rsid w:val="00415C95"/>
    <w:rsid w:val="00415FD1"/>
    <w:rsid w:val="00415FD5"/>
    <w:rsid w:val="00416008"/>
    <w:rsid w:val="00416438"/>
    <w:rsid w:val="004164F5"/>
    <w:rsid w:val="004166B8"/>
    <w:rsid w:val="0041684A"/>
    <w:rsid w:val="0041686C"/>
    <w:rsid w:val="00416D65"/>
    <w:rsid w:val="00416D96"/>
    <w:rsid w:val="00416E39"/>
    <w:rsid w:val="00417023"/>
    <w:rsid w:val="00417118"/>
    <w:rsid w:val="00417356"/>
    <w:rsid w:val="00417359"/>
    <w:rsid w:val="0041735B"/>
    <w:rsid w:val="004176B0"/>
    <w:rsid w:val="0041783A"/>
    <w:rsid w:val="00417A43"/>
    <w:rsid w:val="00417BB7"/>
    <w:rsid w:val="00417D05"/>
    <w:rsid w:val="004200B7"/>
    <w:rsid w:val="004203AC"/>
    <w:rsid w:val="004204C7"/>
    <w:rsid w:val="004204D2"/>
    <w:rsid w:val="00420772"/>
    <w:rsid w:val="00420837"/>
    <w:rsid w:val="00421057"/>
    <w:rsid w:val="004210E5"/>
    <w:rsid w:val="00421153"/>
    <w:rsid w:val="004213F6"/>
    <w:rsid w:val="004214A9"/>
    <w:rsid w:val="004216B5"/>
    <w:rsid w:val="0042192D"/>
    <w:rsid w:val="004219F2"/>
    <w:rsid w:val="00421AB2"/>
    <w:rsid w:val="00421B49"/>
    <w:rsid w:val="00421CE1"/>
    <w:rsid w:val="00421D17"/>
    <w:rsid w:val="00421D9C"/>
    <w:rsid w:val="00422237"/>
    <w:rsid w:val="004222AB"/>
    <w:rsid w:val="004224B7"/>
    <w:rsid w:val="00422623"/>
    <w:rsid w:val="00422816"/>
    <w:rsid w:val="00422944"/>
    <w:rsid w:val="0042299E"/>
    <w:rsid w:val="00422AD6"/>
    <w:rsid w:val="00422B01"/>
    <w:rsid w:val="00422CE9"/>
    <w:rsid w:val="00422D7F"/>
    <w:rsid w:val="00423102"/>
    <w:rsid w:val="00423173"/>
    <w:rsid w:val="004231CC"/>
    <w:rsid w:val="0042344C"/>
    <w:rsid w:val="004234D3"/>
    <w:rsid w:val="00423800"/>
    <w:rsid w:val="004239A3"/>
    <w:rsid w:val="00423DAB"/>
    <w:rsid w:val="00424137"/>
    <w:rsid w:val="00424286"/>
    <w:rsid w:val="004242BF"/>
    <w:rsid w:val="0042431A"/>
    <w:rsid w:val="004243FC"/>
    <w:rsid w:val="004245FA"/>
    <w:rsid w:val="00424610"/>
    <w:rsid w:val="00424753"/>
    <w:rsid w:val="00424B8E"/>
    <w:rsid w:val="00424FAB"/>
    <w:rsid w:val="004253D7"/>
    <w:rsid w:val="00425683"/>
    <w:rsid w:val="004258F1"/>
    <w:rsid w:val="004259EB"/>
    <w:rsid w:val="00425ED1"/>
    <w:rsid w:val="00425FCC"/>
    <w:rsid w:val="004261CF"/>
    <w:rsid w:val="00426705"/>
    <w:rsid w:val="00426F5C"/>
    <w:rsid w:val="004274BF"/>
    <w:rsid w:val="004274F3"/>
    <w:rsid w:val="00427900"/>
    <w:rsid w:val="00427C63"/>
    <w:rsid w:val="00427DCA"/>
    <w:rsid w:val="00427ED1"/>
    <w:rsid w:val="00430130"/>
    <w:rsid w:val="0043023F"/>
    <w:rsid w:val="0043042C"/>
    <w:rsid w:val="004307FC"/>
    <w:rsid w:val="00430B1F"/>
    <w:rsid w:val="00430B6B"/>
    <w:rsid w:val="00430C11"/>
    <w:rsid w:val="00430DEF"/>
    <w:rsid w:val="00430F6F"/>
    <w:rsid w:val="00430FCC"/>
    <w:rsid w:val="00431241"/>
    <w:rsid w:val="00431516"/>
    <w:rsid w:val="00431AA5"/>
    <w:rsid w:val="00431F3E"/>
    <w:rsid w:val="00431FD9"/>
    <w:rsid w:val="004320F1"/>
    <w:rsid w:val="0043211C"/>
    <w:rsid w:val="00432154"/>
    <w:rsid w:val="004323DE"/>
    <w:rsid w:val="004323E7"/>
    <w:rsid w:val="004325BD"/>
    <w:rsid w:val="00432765"/>
    <w:rsid w:val="00432B59"/>
    <w:rsid w:val="00432D4F"/>
    <w:rsid w:val="00432D54"/>
    <w:rsid w:val="00432F44"/>
    <w:rsid w:val="00432F7E"/>
    <w:rsid w:val="00433092"/>
    <w:rsid w:val="004330AC"/>
    <w:rsid w:val="004335AE"/>
    <w:rsid w:val="004337D9"/>
    <w:rsid w:val="0043387C"/>
    <w:rsid w:val="004338FE"/>
    <w:rsid w:val="00433C6F"/>
    <w:rsid w:val="00433CA2"/>
    <w:rsid w:val="00433ED7"/>
    <w:rsid w:val="00434201"/>
    <w:rsid w:val="004342EB"/>
    <w:rsid w:val="00434317"/>
    <w:rsid w:val="00434487"/>
    <w:rsid w:val="00434561"/>
    <w:rsid w:val="0043462C"/>
    <w:rsid w:val="0043477C"/>
    <w:rsid w:val="00434890"/>
    <w:rsid w:val="004349B2"/>
    <w:rsid w:val="00434BA9"/>
    <w:rsid w:val="00434C8E"/>
    <w:rsid w:val="00435071"/>
    <w:rsid w:val="00435229"/>
    <w:rsid w:val="004353AB"/>
    <w:rsid w:val="00435623"/>
    <w:rsid w:val="004356B1"/>
    <w:rsid w:val="00435772"/>
    <w:rsid w:val="004357E0"/>
    <w:rsid w:val="00435B0B"/>
    <w:rsid w:val="00435BB4"/>
    <w:rsid w:val="00435ECA"/>
    <w:rsid w:val="00435EDC"/>
    <w:rsid w:val="0043623E"/>
    <w:rsid w:val="00436348"/>
    <w:rsid w:val="004363E6"/>
    <w:rsid w:val="0043642B"/>
    <w:rsid w:val="004364A5"/>
    <w:rsid w:val="004364FA"/>
    <w:rsid w:val="00436633"/>
    <w:rsid w:val="0043664E"/>
    <w:rsid w:val="00436D15"/>
    <w:rsid w:val="00436D24"/>
    <w:rsid w:val="00436D50"/>
    <w:rsid w:val="00436D67"/>
    <w:rsid w:val="0043710D"/>
    <w:rsid w:val="0043768B"/>
    <w:rsid w:val="004376FD"/>
    <w:rsid w:val="00437A2E"/>
    <w:rsid w:val="00437A8E"/>
    <w:rsid w:val="00437A98"/>
    <w:rsid w:val="00437AF7"/>
    <w:rsid w:val="00437B92"/>
    <w:rsid w:val="00437DC1"/>
    <w:rsid w:val="00437E40"/>
    <w:rsid w:val="00437F36"/>
    <w:rsid w:val="00437F9D"/>
    <w:rsid w:val="0044029C"/>
    <w:rsid w:val="004404E5"/>
    <w:rsid w:val="00440682"/>
    <w:rsid w:val="00440B9F"/>
    <w:rsid w:val="00440CE0"/>
    <w:rsid w:val="00440D85"/>
    <w:rsid w:val="004411EA"/>
    <w:rsid w:val="004411F6"/>
    <w:rsid w:val="004412C3"/>
    <w:rsid w:val="00441433"/>
    <w:rsid w:val="004415BB"/>
    <w:rsid w:val="004417B1"/>
    <w:rsid w:val="00441800"/>
    <w:rsid w:val="0044183A"/>
    <w:rsid w:val="00441C07"/>
    <w:rsid w:val="00441F6C"/>
    <w:rsid w:val="00442152"/>
    <w:rsid w:val="0044239D"/>
    <w:rsid w:val="00442403"/>
    <w:rsid w:val="00442448"/>
    <w:rsid w:val="004428A6"/>
    <w:rsid w:val="004428E0"/>
    <w:rsid w:val="00442903"/>
    <w:rsid w:val="00442B47"/>
    <w:rsid w:val="00442BB3"/>
    <w:rsid w:val="00442E68"/>
    <w:rsid w:val="00442E8A"/>
    <w:rsid w:val="00442ECD"/>
    <w:rsid w:val="00442F16"/>
    <w:rsid w:val="00443BB7"/>
    <w:rsid w:val="00443DF6"/>
    <w:rsid w:val="00443E50"/>
    <w:rsid w:val="00443EB5"/>
    <w:rsid w:val="00443F38"/>
    <w:rsid w:val="0044403B"/>
    <w:rsid w:val="0044426E"/>
    <w:rsid w:val="0044449B"/>
    <w:rsid w:val="00444786"/>
    <w:rsid w:val="004448D1"/>
    <w:rsid w:val="00444A09"/>
    <w:rsid w:val="00444A60"/>
    <w:rsid w:val="00444BC4"/>
    <w:rsid w:val="00444BCF"/>
    <w:rsid w:val="00444D80"/>
    <w:rsid w:val="0044503D"/>
    <w:rsid w:val="004450FB"/>
    <w:rsid w:val="004452FB"/>
    <w:rsid w:val="0044533E"/>
    <w:rsid w:val="0044557D"/>
    <w:rsid w:val="0044558C"/>
    <w:rsid w:val="00445729"/>
    <w:rsid w:val="00445769"/>
    <w:rsid w:val="00445900"/>
    <w:rsid w:val="004459BA"/>
    <w:rsid w:val="00445D46"/>
    <w:rsid w:val="00445F3C"/>
    <w:rsid w:val="00445F59"/>
    <w:rsid w:val="004461DD"/>
    <w:rsid w:val="0044623C"/>
    <w:rsid w:val="00446351"/>
    <w:rsid w:val="004464F2"/>
    <w:rsid w:val="004464FF"/>
    <w:rsid w:val="0044652D"/>
    <w:rsid w:val="004465EE"/>
    <w:rsid w:val="00446685"/>
    <w:rsid w:val="00446820"/>
    <w:rsid w:val="00446AA1"/>
    <w:rsid w:val="00446B83"/>
    <w:rsid w:val="00446DBF"/>
    <w:rsid w:val="00446EA1"/>
    <w:rsid w:val="00446F6C"/>
    <w:rsid w:val="00446F97"/>
    <w:rsid w:val="00447069"/>
    <w:rsid w:val="00447080"/>
    <w:rsid w:val="004471A0"/>
    <w:rsid w:val="004472DA"/>
    <w:rsid w:val="0044763B"/>
    <w:rsid w:val="00447976"/>
    <w:rsid w:val="00447A66"/>
    <w:rsid w:val="00447BDE"/>
    <w:rsid w:val="00447C40"/>
    <w:rsid w:val="00450003"/>
    <w:rsid w:val="00450032"/>
    <w:rsid w:val="004501B9"/>
    <w:rsid w:val="0045029E"/>
    <w:rsid w:val="004504C3"/>
    <w:rsid w:val="00450529"/>
    <w:rsid w:val="00450795"/>
    <w:rsid w:val="004507C2"/>
    <w:rsid w:val="00450AA6"/>
    <w:rsid w:val="00450C88"/>
    <w:rsid w:val="00450CDA"/>
    <w:rsid w:val="00450CFC"/>
    <w:rsid w:val="00450DB5"/>
    <w:rsid w:val="00450DED"/>
    <w:rsid w:val="00450DF3"/>
    <w:rsid w:val="00450F1A"/>
    <w:rsid w:val="0045117E"/>
    <w:rsid w:val="004512A1"/>
    <w:rsid w:val="004513B6"/>
    <w:rsid w:val="004513F8"/>
    <w:rsid w:val="0045148D"/>
    <w:rsid w:val="004514E1"/>
    <w:rsid w:val="004516B8"/>
    <w:rsid w:val="00451953"/>
    <w:rsid w:val="00451D82"/>
    <w:rsid w:val="00451F70"/>
    <w:rsid w:val="00452153"/>
    <w:rsid w:val="004522D2"/>
    <w:rsid w:val="00452B1E"/>
    <w:rsid w:val="00452BF5"/>
    <w:rsid w:val="00452D29"/>
    <w:rsid w:val="00452DA4"/>
    <w:rsid w:val="00453260"/>
    <w:rsid w:val="004532A9"/>
    <w:rsid w:val="004532E5"/>
    <w:rsid w:val="0045354E"/>
    <w:rsid w:val="00453597"/>
    <w:rsid w:val="00453A2D"/>
    <w:rsid w:val="00453B06"/>
    <w:rsid w:val="00453B0D"/>
    <w:rsid w:val="00453B4B"/>
    <w:rsid w:val="00453D70"/>
    <w:rsid w:val="00453E66"/>
    <w:rsid w:val="00453FD6"/>
    <w:rsid w:val="00454A82"/>
    <w:rsid w:val="00454D25"/>
    <w:rsid w:val="00454EC8"/>
    <w:rsid w:val="0045507C"/>
    <w:rsid w:val="004550DC"/>
    <w:rsid w:val="00455199"/>
    <w:rsid w:val="0045528E"/>
    <w:rsid w:val="004552F3"/>
    <w:rsid w:val="004556A0"/>
    <w:rsid w:val="004557E0"/>
    <w:rsid w:val="004558F4"/>
    <w:rsid w:val="00455C60"/>
    <w:rsid w:val="00455D31"/>
    <w:rsid w:val="00455EF1"/>
    <w:rsid w:val="00455F4F"/>
    <w:rsid w:val="00455FCD"/>
    <w:rsid w:val="004560C4"/>
    <w:rsid w:val="00456748"/>
    <w:rsid w:val="00456749"/>
    <w:rsid w:val="004568BA"/>
    <w:rsid w:val="00456BE8"/>
    <w:rsid w:val="00456D75"/>
    <w:rsid w:val="00456DDE"/>
    <w:rsid w:val="00457071"/>
    <w:rsid w:val="00457089"/>
    <w:rsid w:val="004570F8"/>
    <w:rsid w:val="0045712C"/>
    <w:rsid w:val="00457486"/>
    <w:rsid w:val="004574E6"/>
    <w:rsid w:val="004575C8"/>
    <w:rsid w:val="004578F1"/>
    <w:rsid w:val="00457A00"/>
    <w:rsid w:val="00457AB7"/>
    <w:rsid w:val="00457FC2"/>
    <w:rsid w:val="00460151"/>
    <w:rsid w:val="0046022D"/>
    <w:rsid w:val="0046083D"/>
    <w:rsid w:val="00460951"/>
    <w:rsid w:val="004609A9"/>
    <w:rsid w:val="00460A85"/>
    <w:rsid w:val="00460CC7"/>
    <w:rsid w:val="00460E44"/>
    <w:rsid w:val="00461318"/>
    <w:rsid w:val="00461350"/>
    <w:rsid w:val="004613FB"/>
    <w:rsid w:val="00461423"/>
    <w:rsid w:val="00461624"/>
    <w:rsid w:val="00461898"/>
    <w:rsid w:val="004619DB"/>
    <w:rsid w:val="00461A19"/>
    <w:rsid w:val="00461BB0"/>
    <w:rsid w:val="00461C5A"/>
    <w:rsid w:val="00462197"/>
    <w:rsid w:val="004621FD"/>
    <w:rsid w:val="00462502"/>
    <w:rsid w:val="00462706"/>
    <w:rsid w:val="00462740"/>
    <w:rsid w:val="004627B7"/>
    <w:rsid w:val="0046286B"/>
    <w:rsid w:val="004628A1"/>
    <w:rsid w:val="0046295E"/>
    <w:rsid w:val="00462B70"/>
    <w:rsid w:val="00462F69"/>
    <w:rsid w:val="00462F6C"/>
    <w:rsid w:val="0046306A"/>
    <w:rsid w:val="004632C1"/>
    <w:rsid w:val="0046368C"/>
    <w:rsid w:val="004636AD"/>
    <w:rsid w:val="00463D30"/>
    <w:rsid w:val="00463DD1"/>
    <w:rsid w:val="00463DEF"/>
    <w:rsid w:val="00463E48"/>
    <w:rsid w:val="00464003"/>
    <w:rsid w:val="00464302"/>
    <w:rsid w:val="004643BA"/>
    <w:rsid w:val="00464601"/>
    <w:rsid w:val="00464619"/>
    <w:rsid w:val="00464B0C"/>
    <w:rsid w:val="00464C11"/>
    <w:rsid w:val="00464C5E"/>
    <w:rsid w:val="00464CD2"/>
    <w:rsid w:val="00464CED"/>
    <w:rsid w:val="00464D82"/>
    <w:rsid w:val="004650E4"/>
    <w:rsid w:val="004651C9"/>
    <w:rsid w:val="004651F5"/>
    <w:rsid w:val="00465254"/>
    <w:rsid w:val="00465574"/>
    <w:rsid w:val="00465660"/>
    <w:rsid w:val="004656B7"/>
    <w:rsid w:val="004657BD"/>
    <w:rsid w:val="0046583A"/>
    <w:rsid w:val="0046583C"/>
    <w:rsid w:val="004658CA"/>
    <w:rsid w:val="004659C8"/>
    <w:rsid w:val="00465AA6"/>
    <w:rsid w:val="00465B77"/>
    <w:rsid w:val="00466060"/>
    <w:rsid w:val="004663C6"/>
    <w:rsid w:val="00466457"/>
    <w:rsid w:val="0046646D"/>
    <w:rsid w:val="0046659E"/>
    <w:rsid w:val="00466A14"/>
    <w:rsid w:val="00466ADF"/>
    <w:rsid w:val="00466FAF"/>
    <w:rsid w:val="0046730C"/>
    <w:rsid w:val="0046750E"/>
    <w:rsid w:val="0046753F"/>
    <w:rsid w:val="004678CD"/>
    <w:rsid w:val="00467967"/>
    <w:rsid w:val="00467D08"/>
    <w:rsid w:val="00467E91"/>
    <w:rsid w:val="00467FF1"/>
    <w:rsid w:val="0047000B"/>
    <w:rsid w:val="004700F5"/>
    <w:rsid w:val="0047034D"/>
    <w:rsid w:val="00470366"/>
    <w:rsid w:val="004703A3"/>
    <w:rsid w:val="004703D1"/>
    <w:rsid w:val="00470431"/>
    <w:rsid w:val="00470505"/>
    <w:rsid w:val="004706B4"/>
    <w:rsid w:val="00470E93"/>
    <w:rsid w:val="004710FD"/>
    <w:rsid w:val="004712EC"/>
    <w:rsid w:val="0047133A"/>
    <w:rsid w:val="004713B0"/>
    <w:rsid w:val="0047143F"/>
    <w:rsid w:val="0047147F"/>
    <w:rsid w:val="004717BB"/>
    <w:rsid w:val="004717C9"/>
    <w:rsid w:val="00471B33"/>
    <w:rsid w:val="00471D39"/>
    <w:rsid w:val="00471E91"/>
    <w:rsid w:val="00471F97"/>
    <w:rsid w:val="0047200F"/>
    <w:rsid w:val="0047206E"/>
    <w:rsid w:val="004724E9"/>
    <w:rsid w:val="004727D2"/>
    <w:rsid w:val="00472A1F"/>
    <w:rsid w:val="00472AB0"/>
    <w:rsid w:val="00472C05"/>
    <w:rsid w:val="00472D14"/>
    <w:rsid w:val="00472DFC"/>
    <w:rsid w:val="00472F49"/>
    <w:rsid w:val="004730C6"/>
    <w:rsid w:val="00473453"/>
    <w:rsid w:val="004739E2"/>
    <w:rsid w:val="00473BA9"/>
    <w:rsid w:val="00473C8E"/>
    <w:rsid w:val="00473D8C"/>
    <w:rsid w:val="0047410E"/>
    <w:rsid w:val="00474140"/>
    <w:rsid w:val="004742D0"/>
    <w:rsid w:val="00474412"/>
    <w:rsid w:val="0047453C"/>
    <w:rsid w:val="00474561"/>
    <w:rsid w:val="00474638"/>
    <w:rsid w:val="0047465D"/>
    <w:rsid w:val="004746A5"/>
    <w:rsid w:val="00474A1F"/>
    <w:rsid w:val="00474B93"/>
    <w:rsid w:val="00474C31"/>
    <w:rsid w:val="00474E49"/>
    <w:rsid w:val="00474ECC"/>
    <w:rsid w:val="004750B5"/>
    <w:rsid w:val="00475240"/>
    <w:rsid w:val="00475354"/>
    <w:rsid w:val="0047535A"/>
    <w:rsid w:val="0047544F"/>
    <w:rsid w:val="0047548C"/>
    <w:rsid w:val="004754D8"/>
    <w:rsid w:val="0047558B"/>
    <w:rsid w:val="00475731"/>
    <w:rsid w:val="004757F0"/>
    <w:rsid w:val="0047580A"/>
    <w:rsid w:val="00475949"/>
    <w:rsid w:val="00475986"/>
    <w:rsid w:val="00475D59"/>
    <w:rsid w:val="00475EBC"/>
    <w:rsid w:val="00475F4F"/>
    <w:rsid w:val="004761B5"/>
    <w:rsid w:val="004762A1"/>
    <w:rsid w:val="004762F9"/>
    <w:rsid w:val="00476357"/>
    <w:rsid w:val="00476382"/>
    <w:rsid w:val="00476461"/>
    <w:rsid w:val="0047648E"/>
    <w:rsid w:val="00476733"/>
    <w:rsid w:val="0047695D"/>
    <w:rsid w:val="00476AC6"/>
    <w:rsid w:val="00476C76"/>
    <w:rsid w:val="00476DA4"/>
    <w:rsid w:val="0047716D"/>
    <w:rsid w:val="00477492"/>
    <w:rsid w:val="0047756E"/>
    <w:rsid w:val="00477584"/>
    <w:rsid w:val="004776D6"/>
    <w:rsid w:val="004777FB"/>
    <w:rsid w:val="004779E0"/>
    <w:rsid w:val="00477C48"/>
    <w:rsid w:val="00477DD8"/>
    <w:rsid w:val="00477F1E"/>
    <w:rsid w:val="00477F43"/>
    <w:rsid w:val="004800EC"/>
    <w:rsid w:val="00480667"/>
    <w:rsid w:val="0048071D"/>
    <w:rsid w:val="00480867"/>
    <w:rsid w:val="004808C5"/>
    <w:rsid w:val="004808C6"/>
    <w:rsid w:val="0048097D"/>
    <w:rsid w:val="00480DBE"/>
    <w:rsid w:val="00480E5B"/>
    <w:rsid w:val="0048136C"/>
    <w:rsid w:val="004813CA"/>
    <w:rsid w:val="0048145C"/>
    <w:rsid w:val="004815DE"/>
    <w:rsid w:val="004819AC"/>
    <w:rsid w:val="00481C2E"/>
    <w:rsid w:val="00481C8B"/>
    <w:rsid w:val="00481F4C"/>
    <w:rsid w:val="0048201D"/>
    <w:rsid w:val="00482380"/>
    <w:rsid w:val="0048238A"/>
    <w:rsid w:val="004825BA"/>
    <w:rsid w:val="004825C6"/>
    <w:rsid w:val="0048276B"/>
    <w:rsid w:val="004827A1"/>
    <w:rsid w:val="004829F2"/>
    <w:rsid w:val="00482C5F"/>
    <w:rsid w:val="00482D91"/>
    <w:rsid w:val="00482E6B"/>
    <w:rsid w:val="00482E73"/>
    <w:rsid w:val="00482F60"/>
    <w:rsid w:val="00482F8B"/>
    <w:rsid w:val="0048308D"/>
    <w:rsid w:val="004833C3"/>
    <w:rsid w:val="00483841"/>
    <w:rsid w:val="004839F8"/>
    <w:rsid w:val="00483A12"/>
    <w:rsid w:val="00483A3E"/>
    <w:rsid w:val="00483AFC"/>
    <w:rsid w:val="00483CAF"/>
    <w:rsid w:val="00483D5E"/>
    <w:rsid w:val="00483E4A"/>
    <w:rsid w:val="00483F61"/>
    <w:rsid w:val="00484237"/>
    <w:rsid w:val="00484250"/>
    <w:rsid w:val="00484349"/>
    <w:rsid w:val="00484548"/>
    <w:rsid w:val="00484608"/>
    <w:rsid w:val="00484742"/>
    <w:rsid w:val="00484902"/>
    <w:rsid w:val="00484934"/>
    <w:rsid w:val="00484A77"/>
    <w:rsid w:val="00484AB6"/>
    <w:rsid w:val="00484CA4"/>
    <w:rsid w:val="00484CAF"/>
    <w:rsid w:val="00484CD7"/>
    <w:rsid w:val="00484D76"/>
    <w:rsid w:val="00484EEE"/>
    <w:rsid w:val="00484F03"/>
    <w:rsid w:val="00484FE5"/>
    <w:rsid w:val="0048501E"/>
    <w:rsid w:val="00485326"/>
    <w:rsid w:val="004853FF"/>
    <w:rsid w:val="0048586E"/>
    <w:rsid w:val="00485C00"/>
    <w:rsid w:val="00485D12"/>
    <w:rsid w:val="00485EAC"/>
    <w:rsid w:val="00486138"/>
    <w:rsid w:val="0048640D"/>
    <w:rsid w:val="0048649C"/>
    <w:rsid w:val="004865F3"/>
    <w:rsid w:val="0048694E"/>
    <w:rsid w:val="00486C45"/>
    <w:rsid w:val="00486CA2"/>
    <w:rsid w:val="00486F3D"/>
    <w:rsid w:val="00486F62"/>
    <w:rsid w:val="00486FB2"/>
    <w:rsid w:val="00487038"/>
    <w:rsid w:val="00487314"/>
    <w:rsid w:val="0048741D"/>
    <w:rsid w:val="004874C5"/>
    <w:rsid w:val="004875E3"/>
    <w:rsid w:val="00487A07"/>
    <w:rsid w:val="00487C74"/>
    <w:rsid w:val="004900B3"/>
    <w:rsid w:val="00490180"/>
    <w:rsid w:val="004902D5"/>
    <w:rsid w:val="004902D6"/>
    <w:rsid w:val="00490393"/>
    <w:rsid w:val="00490426"/>
    <w:rsid w:val="00490447"/>
    <w:rsid w:val="00490460"/>
    <w:rsid w:val="004904D0"/>
    <w:rsid w:val="0049058F"/>
    <w:rsid w:val="004905F4"/>
    <w:rsid w:val="004907D4"/>
    <w:rsid w:val="00490937"/>
    <w:rsid w:val="00490C03"/>
    <w:rsid w:val="00490CE6"/>
    <w:rsid w:val="00490E45"/>
    <w:rsid w:val="004910AC"/>
    <w:rsid w:val="004910B5"/>
    <w:rsid w:val="004911B0"/>
    <w:rsid w:val="00491326"/>
    <w:rsid w:val="004918FD"/>
    <w:rsid w:val="00491DC5"/>
    <w:rsid w:val="00491FD2"/>
    <w:rsid w:val="0049270B"/>
    <w:rsid w:val="004927B8"/>
    <w:rsid w:val="00492806"/>
    <w:rsid w:val="004928AF"/>
    <w:rsid w:val="004928F4"/>
    <w:rsid w:val="00492B6E"/>
    <w:rsid w:val="00492DF9"/>
    <w:rsid w:val="00492E9C"/>
    <w:rsid w:val="00492FC3"/>
    <w:rsid w:val="004930FB"/>
    <w:rsid w:val="0049320A"/>
    <w:rsid w:val="0049323B"/>
    <w:rsid w:val="00493334"/>
    <w:rsid w:val="004936E4"/>
    <w:rsid w:val="00493AB7"/>
    <w:rsid w:val="00493E6A"/>
    <w:rsid w:val="00493F03"/>
    <w:rsid w:val="0049403E"/>
    <w:rsid w:val="00494124"/>
    <w:rsid w:val="004946A1"/>
    <w:rsid w:val="004946D8"/>
    <w:rsid w:val="004948A4"/>
    <w:rsid w:val="004948FB"/>
    <w:rsid w:val="00494A4C"/>
    <w:rsid w:val="00494AD6"/>
    <w:rsid w:val="00494E0F"/>
    <w:rsid w:val="004952F9"/>
    <w:rsid w:val="004954B8"/>
    <w:rsid w:val="0049555D"/>
    <w:rsid w:val="0049572D"/>
    <w:rsid w:val="004957B5"/>
    <w:rsid w:val="0049592C"/>
    <w:rsid w:val="004959D6"/>
    <w:rsid w:val="00495B2F"/>
    <w:rsid w:val="00495D1A"/>
    <w:rsid w:val="00495F69"/>
    <w:rsid w:val="004963AE"/>
    <w:rsid w:val="00496667"/>
    <w:rsid w:val="004966CB"/>
    <w:rsid w:val="0049678A"/>
    <w:rsid w:val="004968C3"/>
    <w:rsid w:val="004969D6"/>
    <w:rsid w:val="00496A53"/>
    <w:rsid w:val="00496A8E"/>
    <w:rsid w:val="00496AAC"/>
    <w:rsid w:val="00496CD8"/>
    <w:rsid w:val="00496D02"/>
    <w:rsid w:val="00496DF7"/>
    <w:rsid w:val="0049726C"/>
    <w:rsid w:val="0049745B"/>
    <w:rsid w:val="0049766D"/>
    <w:rsid w:val="004977AA"/>
    <w:rsid w:val="004977DA"/>
    <w:rsid w:val="00497981"/>
    <w:rsid w:val="00497BD7"/>
    <w:rsid w:val="00497CD6"/>
    <w:rsid w:val="00497F13"/>
    <w:rsid w:val="00497FC5"/>
    <w:rsid w:val="00497FE7"/>
    <w:rsid w:val="004A00DE"/>
    <w:rsid w:val="004A0154"/>
    <w:rsid w:val="004A02EB"/>
    <w:rsid w:val="004A04FF"/>
    <w:rsid w:val="004A0799"/>
    <w:rsid w:val="004A0A18"/>
    <w:rsid w:val="004A0BAF"/>
    <w:rsid w:val="004A0C50"/>
    <w:rsid w:val="004A0D95"/>
    <w:rsid w:val="004A0DE9"/>
    <w:rsid w:val="004A0E1F"/>
    <w:rsid w:val="004A0F7E"/>
    <w:rsid w:val="004A107F"/>
    <w:rsid w:val="004A12DD"/>
    <w:rsid w:val="004A13BD"/>
    <w:rsid w:val="004A145E"/>
    <w:rsid w:val="004A1487"/>
    <w:rsid w:val="004A14FC"/>
    <w:rsid w:val="004A1715"/>
    <w:rsid w:val="004A17F2"/>
    <w:rsid w:val="004A18E1"/>
    <w:rsid w:val="004A1C07"/>
    <w:rsid w:val="004A1E91"/>
    <w:rsid w:val="004A219D"/>
    <w:rsid w:val="004A220A"/>
    <w:rsid w:val="004A2297"/>
    <w:rsid w:val="004A2B19"/>
    <w:rsid w:val="004A2C6F"/>
    <w:rsid w:val="004A30DE"/>
    <w:rsid w:val="004A318D"/>
    <w:rsid w:val="004A31B2"/>
    <w:rsid w:val="004A31DB"/>
    <w:rsid w:val="004A32AE"/>
    <w:rsid w:val="004A331E"/>
    <w:rsid w:val="004A35D7"/>
    <w:rsid w:val="004A38E4"/>
    <w:rsid w:val="004A3941"/>
    <w:rsid w:val="004A396C"/>
    <w:rsid w:val="004A3BC6"/>
    <w:rsid w:val="004A3C95"/>
    <w:rsid w:val="004A40B7"/>
    <w:rsid w:val="004A40E9"/>
    <w:rsid w:val="004A4396"/>
    <w:rsid w:val="004A456A"/>
    <w:rsid w:val="004A4769"/>
    <w:rsid w:val="004A47CC"/>
    <w:rsid w:val="004A4DCC"/>
    <w:rsid w:val="004A51BB"/>
    <w:rsid w:val="004A52E7"/>
    <w:rsid w:val="004A536E"/>
    <w:rsid w:val="004A5569"/>
    <w:rsid w:val="004A556F"/>
    <w:rsid w:val="004A5648"/>
    <w:rsid w:val="004A564B"/>
    <w:rsid w:val="004A5776"/>
    <w:rsid w:val="004A5988"/>
    <w:rsid w:val="004A5E3A"/>
    <w:rsid w:val="004A5E50"/>
    <w:rsid w:val="004A5FD7"/>
    <w:rsid w:val="004A6038"/>
    <w:rsid w:val="004A637C"/>
    <w:rsid w:val="004A64FF"/>
    <w:rsid w:val="004A6554"/>
    <w:rsid w:val="004A65F6"/>
    <w:rsid w:val="004A680E"/>
    <w:rsid w:val="004A6D6A"/>
    <w:rsid w:val="004A71EA"/>
    <w:rsid w:val="004A7230"/>
    <w:rsid w:val="004A732B"/>
    <w:rsid w:val="004A739C"/>
    <w:rsid w:val="004A7427"/>
    <w:rsid w:val="004A74D4"/>
    <w:rsid w:val="004A7E1E"/>
    <w:rsid w:val="004A7EDF"/>
    <w:rsid w:val="004A7F82"/>
    <w:rsid w:val="004A7F8B"/>
    <w:rsid w:val="004B013C"/>
    <w:rsid w:val="004B01AF"/>
    <w:rsid w:val="004B01C5"/>
    <w:rsid w:val="004B01D0"/>
    <w:rsid w:val="004B0289"/>
    <w:rsid w:val="004B0407"/>
    <w:rsid w:val="004B0772"/>
    <w:rsid w:val="004B0831"/>
    <w:rsid w:val="004B0987"/>
    <w:rsid w:val="004B09FC"/>
    <w:rsid w:val="004B0B0B"/>
    <w:rsid w:val="004B0B19"/>
    <w:rsid w:val="004B0B93"/>
    <w:rsid w:val="004B0E82"/>
    <w:rsid w:val="004B0EE9"/>
    <w:rsid w:val="004B1275"/>
    <w:rsid w:val="004B1584"/>
    <w:rsid w:val="004B1C9D"/>
    <w:rsid w:val="004B1D0B"/>
    <w:rsid w:val="004B20F7"/>
    <w:rsid w:val="004B217D"/>
    <w:rsid w:val="004B2190"/>
    <w:rsid w:val="004B2237"/>
    <w:rsid w:val="004B2292"/>
    <w:rsid w:val="004B26A5"/>
    <w:rsid w:val="004B2C16"/>
    <w:rsid w:val="004B2E1A"/>
    <w:rsid w:val="004B2E7F"/>
    <w:rsid w:val="004B30E6"/>
    <w:rsid w:val="004B3488"/>
    <w:rsid w:val="004B3683"/>
    <w:rsid w:val="004B37E0"/>
    <w:rsid w:val="004B3A5F"/>
    <w:rsid w:val="004B3E89"/>
    <w:rsid w:val="004B3F79"/>
    <w:rsid w:val="004B4221"/>
    <w:rsid w:val="004B430C"/>
    <w:rsid w:val="004B4675"/>
    <w:rsid w:val="004B4682"/>
    <w:rsid w:val="004B4720"/>
    <w:rsid w:val="004B478F"/>
    <w:rsid w:val="004B498E"/>
    <w:rsid w:val="004B4D4E"/>
    <w:rsid w:val="004B4DD9"/>
    <w:rsid w:val="004B5024"/>
    <w:rsid w:val="004B510A"/>
    <w:rsid w:val="004B51D4"/>
    <w:rsid w:val="004B5378"/>
    <w:rsid w:val="004B53F9"/>
    <w:rsid w:val="004B56A8"/>
    <w:rsid w:val="004B5776"/>
    <w:rsid w:val="004B59EB"/>
    <w:rsid w:val="004B5A61"/>
    <w:rsid w:val="004B5B37"/>
    <w:rsid w:val="004B5CB7"/>
    <w:rsid w:val="004B5CF1"/>
    <w:rsid w:val="004B5D1D"/>
    <w:rsid w:val="004B5F09"/>
    <w:rsid w:val="004B5FCF"/>
    <w:rsid w:val="004B6278"/>
    <w:rsid w:val="004B6635"/>
    <w:rsid w:val="004B6760"/>
    <w:rsid w:val="004B681D"/>
    <w:rsid w:val="004B6A3C"/>
    <w:rsid w:val="004B6D50"/>
    <w:rsid w:val="004B6F8C"/>
    <w:rsid w:val="004B70BF"/>
    <w:rsid w:val="004B70ED"/>
    <w:rsid w:val="004B7234"/>
    <w:rsid w:val="004B7298"/>
    <w:rsid w:val="004B72F3"/>
    <w:rsid w:val="004B7354"/>
    <w:rsid w:val="004B73D7"/>
    <w:rsid w:val="004B7551"/>
    <w:rsid w:val="004B7658"/>
    <w:rsid w:val="004B7861"/>
    <w:rsid w:val="004B78AC"/>
    <w:rsid w:val="004B7933"/>
    <w:rsid w:val="004B7B27"/>
    <w:rsid w:val="004B7E2D"/>
    <w:rsid w:val="004C01D2"/>
    <w:rsid w:val="004C0337"/>
    <w:rsid w:val="004C03E7"/>
    <w:rsid w:val="004C05DE"/>
    <w:rsid w:val="004C088E"/>
    <w:rsid w:val="004C0986"/>
    <w:rsid w:val="004C0DBE"/>
    <w:rsid w:val="004C0E9C"/>
    <w:rsid w:val="004C0FB3"/>
    <w:rsid w:val="004C127C"/>
    <w:rsid w:val="004C15EA"/>
    <w:rsid w:val="004C1606"/>
    <w:rsid w:val="004C17D9"/>
    <w:rsid w:val="004C188B"/>
    <w:rsid w:val="004C1898"/>
    <w:rsid w:val="004C1E8C"/>
    <w:rsid w:val="004C1EA5"/>
    <w:rsid w:val="004C2087"/>
    <w:rsid w:val="004C20F0"/>
    <w:rsid w:val="004C2225"/>
    <w:rsid w:val="004C22EE"/>
    <w:rsid w:val="004C236E"/>
    <w:rsid w:val="004C23B3"/>
    <w:rsid w:val="004C248C"/>
    <w:rsid w:val="004C2538"/>
    <w:rsid w:val="004C2645"/>
    <w:rsid w:val="004C29FE"/>
    <w:rsid w:val="004C2A04"/>
    <w:rsid w:val="004C2F0D"/>
    <w:rsid w:val="004C2F16"/>
    <w:rsid w:val="004C30DE"/>
    <w:rsid w:val="004C32AB"/>
    <w:rsid w:val="004C34C6"/>
    <w:rsid w:val="004C3686"/>
    <w:rsid w:val="004C368D"/>
    <w:rsid w:val="004C37EA"/>
    <w:rsid w:val="004C3823"/>
    <w:rsid w:val="004C382A"/>
    <w:rsid w:val="004C3909"/>
    <w:rsid w:val="004C3DF9"/>
    <w:rsid w:val="004C406F"/>
    <w:rsid w:val="004C417F"/>
    <w:rsid w:val="004C43B1"/>
    <w:rsid w:val="004C43C1"/>
    <w:rsid w:val="004C4548"/>
    <w:rsid w:val="004C455A"/>
    <w:rsid w:val="004C455B"/>
    <w:rsid w:val="004C4B30"/>
    <w:rsid w:val="004C4D8A"/>
    <w:rsid w:val="004C4DC7"/>
    <w:rsid w:val="004C4DE1"/>
    <w:rsid w:val="004C4E87"/>
    <w:rsid w:val="004C4ECA"/>
    <w:rsid w:val="004C5041"/>
    <w:rsid w:val="004C50F9"/>
    <w:rsid w:val="004C510F"/>
    <w:rsid w:val="004C525A"/>
    <w:rsid w:val="004C52D6"/>
    <w:rsid w:val="004C5351"/>
    <w:rsid w:val="004C5437"/>
    <w:rsid w:val="004C545E"/>
    <w:rsid w:val="004C5464"/>
    <w:rsid w:val="004C5563"/>
    <w:rsid w:val="004C55A6"/>
    <w:rsid w:val="004C5794"/>
    <w:rsid w:val="004C5ACE"/>
    <w:rsid w:val="004C5B56"/>
    <w:rsid w:val="004C5BA6"/>
    <w:rsid w:val="004C5C05"/>
    <w:rsid w:val="004C5E14"/>
    <w:rsid w:val="004C5E32"/>
    <w:rsid w:val="004C5E40"/>
    <w:rsid w:val="004C5F08"/>
    <w:rsid w:val="004C614A"/>
    <w:rsid w:val="004C6199"/>
    <w:rsid w:val="004C619D"/>
    <w:rsid w:val="004C647E"/>
    <w:rsid w:val="004C658B"/>
    <w:rsid w:val="004C66F1"/>
    <w:rsid w:val="004C67B0"/>
    <w:rsid w:val="004C6A48"/>
    <w:rsid w:val="004C6D8C"/>
    <w:rsid w:val="004C6FCF"/>
    <w:rsid w:val="004C7262"/>
    <w:rsid w:val="004C7724"/>
    <w:rsid w:val="004C79AD"/>
    <w:rsid w:val="004C7BDE"/>
    <w:rsid w:val="004C7C69"/>
    <w:rsid w:val="004C7D53"/>
    <w:rsid w:val="004C7FF3"/>
    <w:rsid w:val="004D0025"/>
    <w:rsid w:val="004D03FF"/>
    <w:rsid w:val="004D06EF"/>
    <w:rsid w:val="004D08CA"/>
    <w:rsid w:val="004D0906"/>
    <w:rsid w:val="004D09D3"/>
    <w:rsid w:val="004D0BD1"/>
    <w:rsid w:val="004D0F8E"/>
    <w:rsid w:val="004D1043"/>
    <w:rsid w:val="004D12A2"/>
    <w:rsid w:val="004D134C"/>
    <w:rsid w:val="004D19DD"/>
    <w:rsid w:val="004D1C99"/>
    <w:rsid w:val="004D1CC9"/>
    <w:rsid w:val="004D1EDF"/>
    <w:rsid w:val="004D24FB"/>
    <w:rsid w:val="004D2535"/>
    <w:rsid w:val="004D2655"/>
    <w:rsid w:val="004D27FD"/>
    <w:rsid w:val="004D2883"/>
    <w:rsid w:val="004D2FFD"/>
    <w:rsid w:val="004D3037"/>
    <w:rsid w:val="004D3251"/>
    <w:rsid w:val="004D329D"/>
    <w:rsid w:val="004D351F"/>
    <w:rsid w:val="004D35A0"/>
    <w:rsid w:val="004D3605"/>
    <w:rsid w:val="004D36CF"/>
    <w:rsid w:val="004D372C"/>
    <w:rsid w:val="004D374C"/>
    <w:rsid w:val="004D3A33"/>
    <w:rsid w:val="004D3B08"/>
    <w:rsid w:val="004D3F47"/>
    <w:rsid w:val="004D40CE"/>
    <w:rsid w:val="004D4290"/>
    <w:rsid w:val="004D4473"/>
    <w:rsid w:val="004D45D3"/>
    <w:rsid w:val="004D4614"/>
    <w:rsid w:val="004D476C"/>
    <w:rsid w:val="004D49BD"/>
    <w:rsid w:val="004D4A19"/>
    <w:rsid w:val="004D4BF2"/>
    <w:rsid w:val="004D4CCA"/>
    <w:rsid w:val="004D4D2A"/>
    <w:rsid w:val="004D4D74"/>
    <w:rsid w:val="004D4EF9"/>
    <w:rsid w:val="004D5137"/>
    <w:rsid w:val="004D54B8"/>
    <w:rsid w:val="004D54FA"/>
    <w:rsid w:val="004D5695"/>
    <w:rsid w:val="004D56DA"/>
    <w:rsid w:val="004D576E"/>
    <w:rsid w:val="004D57A5"/>
    <w:rsid w:val="004D58CA"/>
    <w:rsid w:val="004D5BBC"/>
    <w:rsid w:val="004D5BD5"/>
    <w:rsid w:val="004D5DE3"/>
    <w:rsid w:val="004D5F02"/>
    <w:rsid w:val="004D5F0A"/>
    <w:rsid w:val="004D60F2"/>
    <w:rsid w:val="004D621A"/>
    <w:rsid w:val="004D63E8"/>
    <w:rsid w:val="004D64AB"/>
    <w:rsid w:val="004D6AF2"/>
    <w:rsid w:val="004D6B0C"/>
    <w:rsid w:val="004D6B8C"/>
    <w:rsid w:val="004D6C0C"/>
    <w:rsid w:val="004D6F8E"/>
    <w:rsid w:val="004D6FF6"/>
    <w:rsid w:val="004D6FF8"/>
    <w:rsid w:val="004D70D8"/>
    <w:rsid w:val="004D7105"/>
    <w:rsid w:val="004D72F9"/>
    <w:rsid w:val="004D75F6"/>
    <w:rsid w:val="004D7717"/>
    <w:rsid w:val="004D7925"/>
    <w:rsid w:val="004D794F"/>
    <w:rsid w:val="004D79E6"/>
    <w:rsid w:val="004D7CA6"/>
    <w:rsid w:val="004D7E48"/>
    <w:rsid w:val="004D7E98"/>
    <w:rsid w:val="004E006D"/>
    <w:rsid w:val="004E0137"/>
    <w:rsid w:val="004E04A8"/>
    <w:rsid w:val="004E0525"/>
    <w:rsid w:val="004E056C"/>
    <w:rsid w:val="004E070E"/>
    <w:rsid w:val="004E088D"/>
    <w:rsid w:val="004E0904"/>
    <w:rsid w:val="004E0D6C"/>
    <w:rsid w:val="004E0E32"/>
    <w:rsid w:val="004E0F32"/>
    <w:rsid w:val="004E1291"/>
    <w:rsid w:val="004E1564"/>
    <w:rsid w:val="004E16FB"/>
    <w:rsid w:val="004E17AF"/>
    <w:rsid w:val="004E195F"/>
    <w:rsid w:val="004E19F4"/>
    <w:rsid w:val="004E1B3B"/>
    <w:rsid w:val="004E1CA2"/>
    <w:rsid w:val="004E1DD6"/>
    <w:rsid w:val="004E1E2C"/>
    <w:rsid w:val="004E1FC5"/>
    <w:rsid w:val="004E1FD3"/>
    <w:rsid w:val="004E21B7"/>
    <w:rsid w:val="004E237F"/>
    <w:rsid w:val="004E2404"/>
    <w:rsid w:val="004E2624"/>
    <w:rsid w:val="004E2667"/>
    <w:rsid w:val="004E26D4"/>
    <w:rsid w:val="004E2823"/>
    <w:rsid w:val="004E283F"/>
    <w:rsid w:val="004E2A8C"/>
    <w:rsid w:val="004E2B1A"/>
    <w:rsid w:val="004E2C72"/>
    <w:rsid w:val="004E3316"/>
    <w:rsid w:val="004E33F3"/>
    <w:rsid w:val="004E37DF"/>
    <w:rsid w:val="004E3900"/>
    <w:rsid w:val="004E4003"/>
    <w:rsid w:val="004E41B6"/>
    <w:rsid w:val="004E43F9"/>
    <w:rsid w:val="004E44D3"/>
    <w:rsid w:val="004E4C76"/>
    <w:rsid w:val="004E4CC4"/>
    <w:rsid w:val="004E4DEC"/>
    <w:rsid w:val="004E5443"/>
    <w:rsid w:val="004E553C"/>
    <w:rsid w:val="004E57A1"/>
    <w:rsid w:val="004E58CD"/>
    <w:rsid w:val="004E5E33"/>
    <w:rsid w:val="004E60E1"/>
    <w:rsid w:val="004E614C"/>
    <w:rsid w:val="004E61BF"/>
    <w:rsid w:val="004E62CD"/>
    <w:rsid w:val="004E62F0"/>
    <w:rsid w:val="004E62F3"/>
    <w:rsid w:val="004E6682"/>
    <w:rsid w:val="004E676F"/>
    <w:rsid w:val="004E68B2"/>
    <w:rsid w:val="004E6958"/>
    <w:rsid w:val="004E6B22"/>
    <w:rsid w:val="004E6C13"/>
    <w:rsid w:val="004E6DE7"/>
    <w:rsid w:val="004E7017"/>
    <w:rsid w:val="004E711C"/>
    <w:rsid w:val="004E713A"/>
    <w:rsid w:val="004E75BA"/>
    <w:rsid w:val="004E788D"/>
    <w:rsid w:val="004E792A"/>
    <w:rsid w:val="004E7AC7"/>
    <w:rsid w:val="004E7DCC"/>
    <w:rsid w:val="004E7E0C"/>
    <w:rsid w:val="004E7E56"/>
    <w:rsid w:val="004E7F83"/>
    <w:rsid w:val="004E7FBD"/>
    <w:rsid w:val="004F0131"/>
    <w:rsid w:val="004F0274"/>
    <w:rsid w:val="004F04F0"/>
    <w:rsid w:val="004F063E"/>
    <w:rsid w:val="004F067A"/>
    <w:rsid w:val="004F07BB"/>
    <w:rsid w:val="004F08A3"/>
    <w:rsid w:val="004F0A27"/>
    <w:rsid w:val="004F0C22"/>
    <w:rsid w:val="004F0C94"/>
    <w:rsid w:val="004F0F47"/>
    <w:rsid w:val="004F11C4"/>
    <w:rsid w:val="004F12DD"/>
    <w:rsid w:val="004F1369"/>
    <w:rsid w:val="004F14B2"/>
    <w:rsid w:val="004F14D5"/>
    <w:rsid w:val="004F159B"/>
    <w:rsid w:val="004F1631"/>
    <w:rsid w:val="004F17A2"/>
    <w:rsid w:val="004F18FD"/>
    <w:rsid w:val="004F19EB"/>
    <w:rsid w:val="004F19F2"/>
    <w:rsid w:val="004F1A34"/>
    <w:rsid w:val="004F1D1A"/>
    <w:rsid w:val="004F20BA"/>
    <w:rsid w:val="004F21C4"/>
    <w:rsid w:val="004F2208"/>
    <w:rsid w:val="004F25A3"/>
    <w:rsid w:val="004F27AA"/>
    <w:rsid w:val="004F29CB"/>
    <w:rsid w:val="004F2C1A"/>
    <w:rsid w:val="004F2C8A"/>
    <w:rsid w:val="004F2CA7"/>
    <w:rsid w:val="004F2EFD"/>
    <w:rsid w:val="004F320C"/>
    <w:rsid w:val="004F34B8"/>
    <w:rsid w:val="004F3714"/>
    <w:rsid w:val="004F3F3B"/>
    <w:rsid w:val="004F40AB"/>
    <w:rsid w:val="004F42DC"/>
    <w:rsid w:val="004F4315"/>
    <w:rsid w:val="004F4339"/>
    <w:rsid w:val="004F4350"/>
    <w:rsid w:val="004F4388"/>
    <w:rsid w:val="004F4681"/>
    <w:rsid w:val="004F4A76"/>
    <w:rsid w:val="004F4A9E"/>
    <w:rsid w:val="004F4D57"/>
    <w:rsid w:val="004F4FCB"/>
    <w:rsid w:val="004F502C"/>
    <w:rsid w:val="004F50B5"/>
    <w:rsid w:val="004F5285"/>
    <w:rsid w:val="004F53CD"/>
    <w:rsid w:val="004F5546"/>
    <w:rsid w:val="004F56D8"/>
    <w:rsid w:val="004F578C"/>
    <w:rsid w:val="004F58F1"/>
    <w:rsid w:val="004F59BF"/>
    <w:rsid w:val="004F5A0E"/>
    <w:rsid w:val="004F5A8D"/>
    <w:rsid w:val="004F5A9E"/>
    <w:rsid w:val="004F5BB0"/>
    <w:rsid w:val="004F5BE0"/>
    <w:rsid w:val="004F5BE4"/>
    <w:rsid w:val="004F5C83"/>
    <w:rsid w:val="004F5F66"/>
    <w:rsid w:val="004F6807"/>
    <w:rsid w:val="004F6AE2"/>
    <w:rsid w:val="004F6B34"/>
    <w:rsid w:val="004F6B9A"/>
    <w:rsid w:val="004F6D8B"/>
    <w:rsid w:val="004F7226"/>
    <w:rsid w:val="004F7464"/>
    <w:rsid w:val="004F74E3"/>
    <w:rsid w:val="004F751C"/>
    <w:rsid w:val="004F7871"/>
    <w:rsid w:val="004F7910"/>
    <w:rsid w:val="004F7922"/>
    <w:rsid w:val="004F79DE"/>
    <w:rsid w:val="004F7A18"/>
    <w:rsid w:val="004F7C12"/>
    <w:rsid w:val="004F7CA5"/>
    <w:rsid w:val="004F7D7D"/>
    <w:rsid w:val="004F7DC6"/>
    <w:rsid w:val="004F7EAB"/>
    <w:rsid w:val="004F7ED3"/>
    <w:rsid w:val="004F7F8F"/>
    <w:rsid w:val="004F7FB0"/>
    <w:rsid w:val="0050013C"/>
    <w:rsid w:val="005004C3"/>
    <w:rsid w:val="0050062D"/>
    <w:rsid w:val="005006AC"/>
    <w:rsid w:val="00500AD9"/>
    <w:rsid w:val="00500CFA"/>
    <w:rsid w:val="00500D0E"/>
    <w:rsid w:val="00500D4C"/>
    <w:rsid w:val="00500D68"/>
    <w:rsid w:val="00500DBE"/>
    <w:rsid w:val="00500E14"/>
    <w:rsid w:val="00500E78"/>
    <w:rsid w:val="00500E86"/>
    <w:rsid w:val="00500F97"/>
    <w:rsid w:val="00500FFA"/>
    <w:rsid w:val="00501105"/>
    <w:rsid w:val="005011F2"/>
    <w:rsid w:val="005017BD"/>
    <w:rsid w:val="0050193B"/>
    <w:rsid w:val="005019C9"/>
    <w:rsid w:val="005019D2"/>
    <w:rsid w:val="00501AE1"/>
    <w:rsid w:val="00501FDF"/>
    <w:rsid w:val="005021FC"/>
    <w:rsid w:val="005027AA"/>
    <w:rsid w:val="005028D2"/>
    <w:rsid w:val="00502F30"/>
    <w:rsid w:val="00502FE0"/>
    <w:rsid w:val="005030B9"/>
    <w:rsid w:val="00503124"/>
    <w:rsid w:val="00503148"/>
    <w:rsid w:val="005031DD"/>
    <w:rsid w:val="005031E9"/>
    <w:rsid w:val="005031F3"/>
    <w:rsid w:val="0050340B"/>
    <w:rsid w:val="00503616"/>
    <w:rsid w:val="005036F6"/>
    <w:rsid w:val="00503A5C"/>
    <w:rsid w:val="00503A8B"/>
    <w:rsid w:val="00503AE4"/>
    <w:rsid w:val="00503AE7"/>
    <w:rsid w:val="00503D94"/>
    <w:rsid w:val="0050412B"/>
    <w:rsid w:val="0050416C"/>
    <w:rsid w:val="00504251"/>
    <w:rsid w:val="0050453F"/>
    <w:rsid w:val="0050455E"/>
    <w:rsid w:val="0050472E"/>
    <w:rsid w:val="00504805"/>
    <w:rsid w:val="005048C9"/>
    <w:rsid w:val="005048FD"/>
    <w:rsid w:val="00504AEC"/>
    <w:rsid w:val="00504D47"/>
    <w:rsid w:val="00504FE3"/>
    <w:rsid w:val="005052AF"/>
    <w:rsid w:val="005054F0"/>
    <w:rsid w:val="005059F5"/>
    <w:rsid w:val="005059FD"/>
    <w:rsid w:val="00505ADE"/>
    <w:rsid w:val="00505AF9"/>
    <w:rsid w:val="00505BAF"/>
    <w:rsid w:val="00505F92"/>
    <w:rsid w:val="00506098"/>
    <w:rsid w:val="00506384"/>
    <w:rsid w:val="0050641D"/>
    <w:rsid w:val="0050651E"/>
    <w:rsid w:val="0050669F"/>
    <w:rsid w:val="005067A0"/>
    <w:rsid w:val="00506C50"/>
    <w:rsid w:val="00506D92"/>
    <w:rsid w:val="00506E44"/>
    <w:rsid w:val="00506ED3"/>
    <w:rsid w:val="00507172"/>
    <w:rsid w:val="005071CF"/>
    <w:rsid w:val="005071F5"/>
    <w:rsid w:val="00507350"/>
    <w:rsid w:val="0050772A"/>
    <w:rsid w:val="005079C3"/>
    <w:rsid w:val="00507BFD"/>
    <w:rsid w:val="00507FDC"/>
    <w:rsid w:val="00510096"/>
    <w:rsid w:val="005100AF"/>
    <w:rsid w:val="00510145"/>
    <w:rsid w:val="00510230"/>
    <w:rsid w:val="005102C3"/>
    <w:rsid w:val="005104BA"/>
    <w:rsid w:val="005105F2"/>
    <w:rsid w:val="00510679"/>
    <w:rsid w:val="005106B6"/>
    <w:rsid w:val="005109A8"/>
    <w:rsid w:val="00510A3A"/>
    <w:rsid w:val="00510CAB"/>
    <w:rsid w:val="00510ED9"/>
    <w:rsid w:val="00511006"/>
    <w:rsid w:val="005110BD"/>
    <w:rsid w:val="005114C2"/>
    <w:rsid w:val="005114EE"/>
    <w:rsid w:val="0051157D"/>
    <w:rsid w:val="00511848"/>
    <w:rsid w:val="005118A6"/>
    <w:rsid w:val="005119E1"/>
    <w:rsid w:val="00511B03"/>
    <w:rsid w:val="00511C74"/>
    <w:rsid w:val="00511CE6"/>
    <w:rsid w:val="00511DDC"/>
    <w:rsid w:val="00511E09"/>
    <w:rsid w:val="00512095"/>
    <w:rsid w:val="005124C5"/>
    <w:rsid w:val="005125B4"/>
    <w:rsid w:val="0051265F"/>
    <w:rsid w:val="005127FC"/>
    <w:rsid w:val="00512856"/>
    <w:rsid w:val="00512AA2"/>
    <w:rsid w:val="00512B0A"/>
    <w:rsid w:val="005130C8"/>
    <w:rsid w:val="00513272"/>
    <w:rsid w:val="00513308"/>
    <w:rsid w:val="00513399"/>
    <w:rsid w:val="00513545"/>
    <w:rsid w:val="0051355E"/>
    <w:rsid w:val="00513711"/>
    <w:rsid w:val="00513759"/>
    <w:rsid w:val="00513816"/>
    <w:rsid w:val="00513BA5"/>
    <w:rsid w:val="00513D03"/>
    <w:rsid w:val="00513F0A"/>
    <w:rsid w:val="00513F3C"/>
    <w:rsid w:val="005140E4"/>
    <w:rsid w:val="005141CC"/>
    <w:rsid w:val="00514379"/>
    <w:rsid w:val="00514461"/>
    <w:rsid w:val="005145E6"/>
    <w:rsid w:val="005145EC"/>
    <w:rsid w:val="00514A30"/>
    <w:rsid w:val="00514B86"/>
    <w:rsid w:val="00514B96"/>
    <w:rsid w:val="00514D03"/>
    <w:rsid w:val="00514DA6"/>
    <w:rsid w:val="00514FA3"/>
    <w:rsid w:val="00514FBB"/>
    <w:rsid w:val="005153FB"/>
    <w:rsid w:val="0051543A"/>
    <w:rsid w:val="00515559"/>
    <w:rsid w:val="005155F2"/>
    <w:rsid w:val="005158AC"/>
    <w:rsid w:val="005158CB"/>
    <w:rsid w:val="00515BDF"/>
    <w:rsid w:val="00515E4A"/>
    <w:rsid w:val="00515E79"/>
    <w:rsid w:val="00515FB7"/>
    <w:rsid w:val="00516085"/>
    <w:rsid w:val="0051648E"/>
    <w:rsid w:val="005164B0"/>
    <w:rsid w:val="0051651F"/>
    <w:rsid w:val="005166BD"/>
    <w:rsid w:val="005169E8"/>
    <w:rsid w:val="00516B61"/>
    <w:rsid w:val="00516E96"/>
    <w:rsid w:val="0051701A"/>
    <w:rsid w:val="00517667"/>
    <w:rsid w:val="00517ACD"/>
    <w:rsid w:val="00517C72"/>
    <w:rsid w:val="00517CD5"/>
    <w:rsid w:val="00517DAC"/>
    <w:rsid w:val="00517ED9"/>
    <w:rsid w:val="00517EDE"/>
    <w:rsid w:val="005200E0"/>
    <w:rsid w:val="005202FB"/>
    <w:rsid w:val="00520304"/>
    <w:rsid w:val="0052038F"/>
    <w:rsid w:val="00520392"/>
    <w:rsid w:val="005204B9"/>
    <w:rsid w:val="005207EC"/>
    <w:rsid w:val="00520A88"/>
    <w:rsid w:val="00520B77"/>
    <w:rsid w:val="00520EA5"/>
    <w:rsid w:val="00521141"/>
    <w:rsid w:val="0052127B"/>
    <w:rsid w:val="0052146E"/>
    <w:rsid w:val="0052161B"/>
    <w:rsid w:val="00521721"/>
    <w:rsid w:val="00521797"/>
    <w:rsid w:val="005219B2"/>
    <w:rsid w:val="005219CA"/>
    <w:rsid w:val="005219CC"/>
    <w:rsid w:val="00521A3C"/>
    <w:rsid w:val="00521B05"/>
    <w:rsid w:val="00521C39"/>
    <w:rsid w:val="00521D80"/>
    <w:rsid w:val="00521DFA"/>
    <w:rsid w:val="005220C6"/>
    <w:rsid w:val="005222E5"/>
    <w:rsid w:val="005223AA"/>
    <w:rsid w:val="00522412"/>
    <w:rsid w:val="00522659"/>
    <w:rsid w:val="00522795"/>
    <w:rsid w:val="00522CC3"/>
    <w:rsid w:val="00522D2A"/>
    <w:rsid w:val="00522D53"/>
    <w:rsid w:val="0052336A"/>
    <w:rsid w:val="0052356B"/>
    <w:rsid w:val="00523B16"/>
    <w:rsid w:val="00523D00"/>
    <w:rsid w:val="00523D7A"/>
    <w:rsid w:val="00524065"/>
    <w:rsid w:val="005242FF"/>
    <w:rsid w:val="0052472A"/>
    <w:rsid w:val="00524871"/>
    <w:rsid w:val="00524B02"/>
    <w:rsid w:val="00524B39"/>
    <w:rsid w:val="00524C98"/>
    <w:rsid w:val="00524D9A"/>
    <w:rsid w:val="005250FC"/>
    <w:rsid w:val="005251B9"/>
    <w:rsid w:val="005251BE"/>
    <w:rsid w:val="005251E0"/>
    <w:rsid w:val="005256A4"/>
    <w:rsid w:val="00525750"/>
    <w:rsid w:val="0052586F"/>
    <w:rsid w:val="00525BCA"/>
    <w:rsid w:val="00525CA6"/>
    <w:rsid w:val="00525F2C"/>
    <w:rsid w:val="00526026"/>
    <w:rsid w:val="00526039"/>
    <w:rsid w:val="0052608D"/>
    <w:rsid w:val="005261D5"/>
    <w:rsid w:val="005262F2"/>
    <w:rsid w:val="005263DF"/>
    <w:rsid w:val="00526460"/>
    <w:rsid w:val="00526551"/>
    <w:rsid w:val="005266D9"/>
    <w:rsid w:val="0052673F"/>
    <w:rsid w:val="00526B8F"/>
    <w:rsid w:val="00526C02"/>
    <w:rsid w:val="00526CAD"/>
    <w:rsid w:val="0052700B"/>
    <w:rsid w:val="0052704B"/>
    <w:rsid w:val="00527248"/>
    <w:rsid w:val="0052737C"/>
    <w:rsid w:val="005277A5"/>
    <w:rsid w:val="00527832"/>
    <w:rsid w:val="00527A25"/>
    <w:rsid w:val="00527A6F"/>
    <w:rsid w:val="00527D2C"/>
    <w:rsid w:val="00527EC7"/>
    <w:rsid w:val="00530049"/>
    <w:rsid w:val="005301E6"/>
    <w:rsid w:val="005303A3"/>
    <w:rsid w:val="0053042C"/>
    <w:rsid w:val="005304B3"/>
    <w:rsid w:val="00530586"/>
    <w:rsid w:val="005305A8"/>
    <w:rsid w:val="00530821"/>
    <w:rsid w:val="00530925"/>
    <w:rsid w:val="00530A0F"/>
    <w:rsid w:val="00530A1A"/>
    <w:rsid w:val="00530F73"/>
    <w:rsid w:val="00531115"/>
    <w:rsid w:val="005311E3"/>
    <w:rsid w:val="005314BB"/>
    <w:rsid w:val="0053163A"/>
    <w:rsid w:val="00531801"/>
    <w:rsid w:val="00531871"/>
    <w:rsid w:val="005318BF"/>
    <w:rsid w:val="00531AD6"/>
    <w:rsid w:val="00531BEB"/>
    <w:rsid w:val="00531C8E"/>
    <w:rsid w:val="00531FC9"/>
    <w:rsid w:val="00532009"/>
    <w:rsid w:val="0053225B"/>
    <w:rsid w:val="00532325"/>
    <w:rsid w:val="00532403"/>
    <w:rsid w:val="00532875"/>
    <w:rsid w:val="00532A2B"/>
    <w:rsid w:val="00532B85"/>
    <w:rsid w:val="00532C01"/>
    <w:rsid w:val="00532D3F"/>
    <w:rsid w:val="00532DC0"/>
    <w:rsid w:val="00532E4B"/>
    <w:rsid w:val="00532EF3"/>
    <w:rsid w:val="00532F2E"/>
    <w:rsid w:val="0053322F"/>
    <w:rsid w:val="005333B1"/>
    <w:rsid w:val="005334F1"/>
    <w:rsid w:val="005335BC"/>
    <w:rsid w:val="0053360D"/>
    <w:rsid w:val="005336AE"/>
    <w:rsid w:val="00533740"/>
    <w:rsid w:val="005339C8"/>
    <w:rsid w:val="005339CF"/>
    <w:rsid w:val="00533B8A"/>
    <w:rsid w:val="00533D5A"/>
    <w:rsid w:val="00533D94"/>
    <w:rsid w:val="00534423"/>
    <w:rsid w:val="0053446F"/>
    <w:rsid w:val="005344CA"/>
    <w:rsid w:val="005345E2"/>
    <w:rsid w:val="005349CD"/>
    <w:rsid w:val="00534CE4"/>
    <w:rsid w:val="00534D71"/>
    <w:rsid w:val="00534E03"/>
    <w:rsid w:val="00534F4F"/>
    <w:rsid w:val="00535013"/>
    <w:rsid w:val="005355E5"/>
    <w:rsid w:val="005355F3"/>
    <w:rsid w:val="00535654"/>
    <w:rsid w:val="00535900"/>
    <w:rsid w:val="00535CAC"/>
    <w:rsid w:val="00535D3E"/>
    <w:rsid w:val="00536207"/>
    <w:rsid w:val="00536388"/>
    <w:rsid w:val="005364A9"/>
    <w:rsid w:val="005365B7"/>
    <w:rsid w:val="005367E0"/>
    <w:rsid w:val="00536951"/>
    <w:rsid w:val="005369BA"/>
    <w:rsid w:val="005369C2"/>
    <w:rsid w:val="00536B25"/>
    <w:rsid w:val="00536B3F"/>
    <w:rsid w:val="00536B7E"/>
    <w:rsid w:val="00536CE7"/>
    <w:rsid w:val="00536E69"/>
    <w:rsid w:val="00536FD1"/>
    <w:rsid w:val="00537090"/>
    <w:rsid w:val="005372EC"/>
    <w:rsid w:val="0053736B"/>
    <w:rsid w:val="00537464"/>
    <w:rsid w:val="00537483"/>
    <w:rsid w:val="00537672"/>
    <w:rsid w:val="00537950"/>
    <w:rsid w:val="005379FF"/>
    <w:rsid w:val="00537C1B"/>
    <w:rsid w:val="00537CB2"/>
    <w:rsid w:val="00537EB3"/>
    <w:rsid w:val="0054027E"/>
    <w:rsid w:val="005406CE"/>
    <w:rsid w:val="00540805"/>
    <w:rsid w:val="00540904"/>
    <w:rsid w:val="00540BCE"/>
    <w:rsid w:val="00540BE1"/>
    <w:rsid w:val="00540D73"/>
    <w:rsid w:val="00540E17"/>
    <w:rsid w:val="00540E7C"/>
    <w:rsid w:val="00540F26"/>
    <w:rsid w:val="0054111B"/>
    <w:rsid w:val="0054122B"/>
    <w:rsid w:val="0054131B"/>
    <w:rsid w:val="005414D8"/>
    <w:rsid w:val="00541840"/>
    <w:rsid w:val="005418B9"/>
    <w:rsid w:val="00541B49"/>
    <w:rsid w:val="00541B87"/>
    <w:rsid w:val="00542084"/>
    <w:rsid w:val="005421D4"/>
    <w:rsid w:val="005421FA"/>
    <w:rsid w:val="00542280"/>
    <w:rsid w:val="005428DD"/>
    <w:rsid w:val="00542AA0"/>
    <w:rsid w:val="00542C51"/>
    <w:rsid w:val="00542C68"/>
    <w:rsid w:val="00542DE2"/>
    <w:rsid w:val="0054324A"/>
    <w:rsid w:val="005432BB"/>
    <w:rsid w:val="00543346"/>
    <w:rsid w:val="0054359B"/>
    <w:rsid w:val="0054361B"/>
    <w:rsid w:val="00543814"/>
    <w:rsid w:val="00543A14"/>
    <w:rsid w:val="00543AB4"/>
    <w:rsid w:val="00543B6E"/>
    <w:rsid w:val="00543F3E"/>
    <w:rsid w:val="00543FD4"/>
    <w:rsid w:val="0054406A"/>
    <w:rsid w:val="005444BE"/>
    <w:rsid w:val="005444EA"/>
    <w:rsid w:val="0054452C"/>
    <w:rsid w:val="005446BA"/>
    <w:rsid w:val="00544885"/>
    <w:rsid w:val="005449B8"/>
    <w:rsid w:val="00544A81"/>
    <w:rsid w:val="00544BD6"/>
    <w:rsid w:val="00544C53"/>
    <w:rsid w:val="00544EA1"/>
    <w:rsid w:val="00544F73"/>
    <w:rsid w:val="005451E0"/>
    <w:rsid w:val="0054529A"/>
    <w:rsid w:val="005456B0"/>
    <w:rsid w:val="005457E9"/>
    <w:rsid w:val="00545994"/>
    <w:rsid w:val="00545AB9"/>
    <w:rsid w:val="00545B10"/>
    <w:rsid w:val="00545BA0"/>
    <w:rsid w:val="00545BF8"/>
    <w:rsid w:val="00545D49"/>
    <w:rsid w:val="00545DDD"/>
    <w:rsid w:val="00545E74"/>
    <w:rsid w:val="00545E79"/>
    <w:rsid w:val="00546342"/>
    <w:rsid w:val="005463E9"/>
    <w:rsid w:val="00546474"/>
    <w:rsid w:val="005465FD"/>
    <w:rsid w:val="0054660A"/>
    <w:rsid w:val="00546717"/>
    <w:rsid w:val="005467BD"/>
    <w:rsid w:val="005467CF"/>
    <w:rsid w:val="00546BAD"/>
    <w:rsid w:val="00546CF6"/>
    <w:rsid w:val="005472F1"/>
    <w:rsid w:val="005474CB"/>
    <w:rsid w:val="0054771B"/>
    <w:rsid w:val="00547A35"/>
    <w:rsid w:val="00547D0E"/>
    <w:rsid w:val="00547D3D"/>
    <w:rsid w:val="0055009B"/>
    <w:rsid w:val="005501AB"/>
    <w:rsid w:val="00550220"/>
    <w:rsid w:val="00550B58"/>
    <w:rsid w:val="00550B73"/>
    <w:rsid w:val="00550DB2"/>
    <w:rsid w:val="00550DC4"/>
    <w:rsid w:val="00551270"/>
    <w:rsid w:val="00551436"/>
    <w:rsid w:val="005514BF"/>
    <w:rsid w:val="0055168A"/>
    <w:rsid w:val="0055191A"/>
    <w:rsid w:val="005519BC"/>
    <w:rsid w:val="00551A99"/>
    <w:rsid w:val="00551B8E"/>
    <w:rsid w:val="00551C4F"/>
    <w:rsid w:val="00551E0A"/>
    <w:rsid w:val="00551E3E"/>
    <w:rsid w:val="00551E79"/>
    <w:rsid w:val="0055206C"/>
    <w:rsid w:val="00552125"/>
    <w:rsid w:val="00552161"/>
    <w:rsid w:val="0055223C"/>
    <w:rsid w:val="0055235F"/>
    <w:rsid w:val="0055238B"/>
    <w:rsid w:val="005525F3"/>
    <w:rsid w:val="0055299A"/>
    <w:rsid w:val="00552A94"/>
    <w:rsid w:val="00552BD2"/>
    <w:rsid w:val="00552D44"/>
    <w:rsid w:val="00552DFA"/>
    <w:rsid w:val="00552EEC"/>
    <w:rsid w:val="00552F30"/>
    <w:rsid w:val="00552F90"/>
    <w:rsid w:val="00553005"/>
    <w:rsid w:val="0055332C"/>
    <w:rsid w:val="0055373F"/>
    <w:rsid w:val="0055391D"/>
    <w:rsid w:val="00553AE1"/>
    <w:rsid w:val="00553AE7"/>
    <w:rsid w:val="00553BD2"/>
    <w:rsid w:val="00553E03"/>
    <w:rsid w:val="00554053"/>
    <w:rsid w:val="0055420E"/>
    <w:rsid w:val="00554552"/>
    <w:rsid w:val="00554683"/>
    <w:rsid w:val="0055469E"/>
    <w:rsid w:val="00554BE4"/>
    <w:rsid w:val="00554BE5"/>
    <w:rsid w:val="00554BF3"/>
    <w:rsid w:val="00554DE6"/>
    <w:rsid w:val="00554E09"/>
    <w:rsid w:val="0055516F"/>
    <w:rsid w:val="0055522A"/>
    <w:rsid w:val="00555259"/>
    <w:rsid w:val="0055537D"/>
    <w:rsid w:val="0055581E"/>
    <w:rsid w:val="005559D0"/>
    <w:rsid w:val="005559DB"/>
    <w:rsid w:val="00555A3B"/>
    <w:rsid w:val="00555A43"/>
    <w:rsid w:val="00555ADB"/>
    <w:rsid w:val="00555D3F"/>
    <w:rsid w:val="00555E3C"/>
    <w:rsid w:val="00555F38"/>
    <w:rsid w:val="00555FB0"/>
    <w:rsid w:val="00556400"/>
    <w:rsid w:val="005566F2"/>
    <w:rsid w:val="0055671C"/>
    <w:rsid w:val="00556ACC"/>
    <w:rsid w:val="00556AE1"/>
    <w:rsid w:val="00556F14"/>
    <w:rsid w:val="005570E0"/>
    <w:rsid w:val="005574F1"/>
    <w:rsid w:val="00557895"/>
    <w:rsid w:val="005578F4"/>
    <w:rsid w:val="00557A0C"/>
    <w:rsid w:val="00557D07"/>
    <w:rsid w:val="00557EDB"/>
    <w:rsid w:val="00557F93"/>
    <w:rsid w:val="005600D0"/>
    <w:rsid w:val="00560228"/>
    <w:rsid w:val="00560323"/>
    <w:rsid w:val="005603AF"/>
    <w:rsid w:val="0056049F"/>
    <w:rsid w:val="005605B0"/>
    <w:rsid w:val="005606F7"/>
    <w:rsid w:val="005607FD"/>
    <w:rsid w:val="00560875"/>
    <w:rsid w:val="00560B59"/>
    <w:rsid w:val="00560CFD"/>
    <w:rsid w:val="00560D5C"/>
    <w:rsid w:val="005610D0"/>
    <w:rsid w:val="00561243"/>
    <w:rsid w:val="005616C0"/>
    <w:rsid w:val="005619C1"/>
    <w:rsid w:val="00561AB9"/>
    <w:rsid w:val="00561BDF"/>
    <w:rsid w:val="00561C53"/>
    <w:rsid w:val="00561DE7"/>
    <w:rsid w:val="00561E00"/>
    <w:rsid w:val="00561FF8"/>
    <w:rsid w:val="00562067"/>
    <w:rsid w:val="0056215B"/>
    <w:rsid w:val="005622DF"/>
    <w:rsid w:val="00562BAA"/>
    <w:rsid w:val="00562DAC"/>
    <w:rsid w:val="00562E8E"/>
    <w:rsid w:val="00562F3F"/>
    <w:rsid w:val="00562F83"/>
    <w:rsid w:val="00563068"/>
    <w:rsid w:val="005630AB"/>
    <w:rsid w:val="005635A4"/>
    <w:rsid w:val="00563681"/>
    <w:rsid w:val="0056385B"/>
    <w:rsid w:val="00563AB5"/>
    <w:rsid w:val="00563C03"/>
    <w:rsid w:val="00563C34"/>
    <w:rsid w:val="00563D30"/>
    <w:rsid w:val="00563F68"/>
    <w:rsid w:val="00564048"/>
    <w:rsid w:val="00564086"/>
    <w:rsid w:val="005642BF"/>
    <w:rsid w:val="00564306"/>
    <w:rsid w:val="0056440F"/>
    <w:rsid w:val="00564539"/>
    <w:rsid w:val="005645AE"/>
    <w:rsid w:val="005645B7"/>
    <w:rsid w:val="005645E2"/>
    <w:rsid w:val="00564B8B"/>
    <w:rsid w:val="00564D9B"/>
    <w:rsid w:val="0056551C"/>
    <w:rsid w:val="005655B5"/>
    <w:rsid w:val="0056560F"/>
    <w:rsid w:val="00565771"/>
    <w:rsid w:val="005657EF"/>
    <w:rsid w:val="005658F1"/>
    <w:rsid w:val="005659D2"/>
    <w:rsid w:val="00565B0A"/>
    <w:rsid w:val="00565B94"/>
    <w:rsid w:val="00565BED"/>
    <w:rsid w:val="00565C56"/>
    <w:rsid w:val="00565F53"/>
    <w:rsid w:val="00565FDD"/>
    <w:rsid w:val="0056619E"/>
    <w:rsid w:val="00566356"/>
    <w:rsid w:val="005663F0"/>
    <w:rsid w:val="0056660D"/>
    <w:rsid w:val="00566628"/>
    <w:rsid w:val="005666ED"/>
    <w:rsid w:val="00566AD9"/>
    <w:rsid w:val="00566AFF"/>
    <w:rsid w:val="00566C66"/>
    <w:rsid w:val="00566DD2"/>
    <w:rsid w:val="00566EB3"/>
    <w:rsid w:val="0056701E"/>
    <w:rsid w:val="00567051"/>
    <w:rsid w:val="005671AE"/>
    <w:rsid w:val="0056739E"/>
    <w:rsid w:val="005673B5"/>
    <w:rsid w:val="005677A0"/>
    <w:rsid w:val="00567974"/>
    <w:rsid w:val="00567E7E"/>
    <w:rsid w:val="00567EF5"/>
    <w:rsid w:val="00570279"/>
    <w:rsid w:val="005702A9"/>
    <w:rsid w:val="00570338"/>
    <w:rsid w:val="005705D3"/>
    <w:rsid w:val="00570842"/>
    <w:rsid w:val="00570B73"/>
    <w:rsid w:val="00570DEC"/>
    <w:rsid w:val="00570FE6"/>
    <w:rsid w:val="005710F0"/>
    <w:rsid w:val="00571114"/>
    <w:rsid w:val="005712CE"/>
    <w:rsid w:val="0057152A"/>
    <w:rsid w:val="0057154D"/>
    <w:rsid w:val="00571B0A"/>
    <w:rsid w:val="00571F5A"/>
    <w:rsid w:val="00571FB1"/>
    <w:rsid w:val="005720E2"/>
    <w:rsid w:val="005722BD"/>
    <w:rsid w:val="0057235E"/>
    <w:rsid w:val="00572557"/>
    <w:rsid w:val="00572639"/>
    <w:rsid w:val="0057271F"/>
    <w:rsid w:val="00572833"/>
    <w:rsid w:val="00572C7B"/>
    <w:rsid w:val="00572E3A"/>
    <w:rsid w:val="005731DE"/>
    <w:rsid w:val="0057321F"/>
    <w:rsid w:val="0057351E"/>
    <w:rsid w:val="0057360D"/>
    <w:rsid w:val="00573753"/>
    <w:rsid w:val="00573CA3"/>
    <w:rsid w:val="00573CC0"/>
    <w:rsid w:val="00573D37"/>
    <w:rsid w:val="00573EC3"/>
    <w:rsid w:val="00573F3C"/>
    <w:rsid w:val="00574053"/>
    <w:rsid w:val="00574123"/>
    <w:rsid w:val="00574179"/>
    <w:rsid w:val="0057422D"/>
    <w:rsid w:val="005742B3"/>
    <w:rsid w:val="00574444"/>
    <w:rsid w:val="005745A4"/>
    <w:rsid w:val="00574692"/>
    <w:rsid w:val="00574768"/>
    <w:rsid w:val="0057487F"/>
    <w:rsid w:val="00574A23"/>
    <w:rsid w:val="00574A5F"/>
    <w:rsid w:val="00574AF2"/>
    <w:rsid w:val="00574D03"/>
    <w:rsid w:val="00574F75"/>
    <w:rsid w:val="0057511B"/>
    <w:rsid w:val="00575308"/>
    <w:rsid w:val="00575489"/>
    <w:rsid w:val="00575541"/>
    <w:rsid w:val="00575FD5"/>
    <w:rsid w:val="00576080"/>
    <w:rsid w:val="005760C1"/>
    <w:rsid w:val="00576375"/>
    <w:rsid w:val="0057678C"/>
    <w:rsid w:val="0057679E"/>
    <w:rsid w:val="00576C13"/>
    <w:rsid w:val="00576C41"/>
    <w:rsid w:val="00576D22"/>
    <w:rsid w:val="00576E7F"/>
    <w:rsid w:val="0057729A"/>
    <w:rsid w:val="00577447"/>
    <w:rsid w:val="00577482"/>
    <w:rsid w:val="00577540"/>
    <w:rsid w:val="00577642"/>
    <w:rsid w:val="005778CD"/>
    <w:rsid w:val="005778EB"/>
    <w:rsid w:val="00577A7F"/>
    <w:rsid w:val="00577C60"/>
    <w:rsid w:val="00580070"/>
    <w:rsid w:val="0058007E"/>
    <w:rsid w:val="0058039C"/>
    <w:rsid w:val="005807F6"/>
    <w:rsid w:val="005808AA"/>
    <w:rsid w:val="00580DCE"/>
    <w:rsid w:val="00580F06"/>
    <w:rsid w:val="005811A4"/>
    <w:rsid w:val="005811B1"/>
    <w:rsid w:val="005813D5"/>
    <w:rsid w:val="00581493"/>
    <w:rsid w:val="005814B0"/>
    <w:rsid w:val="00581618"/>
    <w:rsid w:val="005816CB"/>
    <w:rsid w:val="005816E5"/>
    <w:rsid w:val="00581814"/>
    <w:rsid w:val="00581815"/>
    <w:rsid w:val="00581840"/>
    <w:rsid w:val="00581B43"/>
    <w:rsid w:val="00581DDD"/>
    <w:rsid w:val="00581E9A"/>
    <w:rsid w:val="005820E3"/>
    <w:rsid w:val="005826FF"/>
    <w:rsid w:val="005827A3"/>
    <w:rsid w:val="005827A6"/>
    <w:rsid w:val="00582A56"/>
    <w:rsid w:val="00582B70"/>
    <w:rsid w:val="00582B77"/>
    <w:rsid w:val="00582CE6"/>
    <w:rsid w:val="00582F0E"/>
    <w:rsid w:val="00582F34"/>
    <w:rsid w:val="0058307F"/>
    <w:rsid w:val="00583230"/>
    <w:rsid w:val="005835D3"/>
    <w:rsid w:val="00583670"/>
    <w:rsid w:val="0058373F"/>
    <w:rsid w:val="005839F3"/>
    <w:rsid w:val="00583B2E"/>
    <w:rsid w:val="00583B42"/>
    <w:rsid w:val="00583D7C"/>
    <w:rsid w:val="00583ED3"/>
    <w:rsid w:val="00583EF6"/>
    <w:rsid w:val="00584108"/>
    <w:rsid w:val="005841AB"/>
    <w:rsid w:val="005841B1"/>
    <w:rsid w:val="0058425F"/>
    <w:rsid w:val="0058484E"/>
    <w:rsid w:val="005849D5"/>
    <w:rsid w:val="00584AC5"/>
    <w:rsid w:val="00584B71"/>
    <w:rsid w:val="00584C84"/>
    <w:rsid w:val="00584E77"/>
    <w:rsid w:val="00585161"/>
    <w:rsid w:val="005852E6"/>
    <w:rsid w:val="00585646"/>
    <w:rsid w:val="005858CE"/>
    <w:rsid w:val="005859DD"/>
    <w:rsid w:val="00585C5C"/>
    <w:rsid w:val="00585DA8"/>
    <w:rsid w:val="00585EAF"/>
    <w:rsid w:val="00585F42"/>
    <w:rsid w:val="00585FBB"/>
    <w:rsid w:val="00585FE6"/>
    <w:rsid w:val="00586182"/>
    <w:rsid w:val="0058621E"/>
    <w:rsid w:val="005862D0"/>
    <w:rsid w:val="0058648B"/>
    <w:rsid w:val="0058689E"/>
    <w:rsid w:val="00586A01"/>
    <w:rsid w:val="00586C3B"/>
    <w:rsid w:val="00586D33"/>
    <w:rsid w:val="00587376"/>
    <w:rsid w:val="0058780D"/>
    <w:rsid w:val="00587A33"/>
    <w:rsid w:val="00587B75"/>
    <w:rsid w:val="00587BC2"/>
    <w:rsid w:val="00587E1A"/>
    <w:rsid w:val="00587F05"/>
    <w:rsid w:val="00590657"/>
    <w:rsid w:val="0059077D"/>
    <w:rsid w:val="0059080C"/>
    <w:rsid w:val="005909C1"/>
    <w:rsid w:val="00590A2F"/>
    <w:rsid w:val="00590A9A"/>
    <w:rsid w:val="00590C1E"/>
    <w:rsid w:val="00590E38"/>
    <w:rsid w:val="00591085"/>
    <w:rsid w:val="005910D0"/>
    <w:rsid w:val="00591353"/>
    <w:rsid w:val="0059150E"/>
    <w:rsid w:val="00591562"/>
    <w:rsid w:val="00591604"/>
    <w:rsid w:val="0059167C"/>
    <w:rsid w:val="00591BB8"/>
    <w:rsid w:val="00591DC1"/>
    <w:rsid w:val="00591EE1"/>
    <w:rsid w:val="0059206C"/>
    <w:rsid w:val="005920DB"/>
    <w:rsid w:val="00592311"/>
    <w:rsid w:val="005923BA"/>
    <w:rsid w:val="0059261C"/>
    <w:rsid w:val="00592632"/>
    <w:rsid w:val="00592762"/>
    <w:rsid w:val="00592852"/>
    <w:rsid w:val="00592BF9"/>
    <w:rsid w:val="00592D4D"/>
    <w:rsid w:val="00592E0B"/>
    <w:rsid w:val="00592E8B"/>
    <w:rsid w:val="00592F90"/>
    <w:rsid w:val="00592FC6"/>
    <w:rsid w:val="0059310B"/>
    <w:rsid w:val="005931CD"/>
    <w:rsid w:val="0059324F"/>
    <w:rsid w:val="00593264"/>
    <w:rsid w:val="005935F4"/>
    <w:rsid w:val="005938C7"/>
    <w:rsid w:val="005939A6"/>
    <w:rsid w:val="00593AE5"/>
    <w:rsid w:val="00593DA3"/>
    <w:rsid w:val="00593F31"/>
    <w:rsid w:val="005940B4"/>
    <w:rsid w:val="005941BF"/>
    <w:rsid w:val="00594A06"/>
    <w:rsid w:val="00594BEB"/>
    <w:rsid w:val="00594D31"/>
    <w:rsid w:val="00594DB0"/>
    <w:rsid w:val="00595066"/>
    <w:rsid w:val="005950C4"/>
    <w:rsid w:val="00595222"/>
    <w:rsid w:val="00595457"/>
    <w:rsid w:val="00595464"/>
    <w:rsid w:val="005955C4"/>
    <w:rsid w:val="005955F6"/>
    <w:rsid w:val="0059566D"/>
    <w:rsid w:val="00595742"/>
    <w:rsid w:val="00595904"/>
    <w:rsid w:val="00595B16"/>
    <w:rsid w:val="00595C06"/>
    <w:rsid w:val="00595C94"/>
    <w:rsid w:val="00595CE0"/>
    <w:rsid w:val="00595F09"/>
    <w:rsid w:val="005960C3"/>
    <w:rsid w:val="005960F5"/>
    <w:rsid w:val="005961FE"/>
    <w:rsid w:val="00596584"/>
    <w:rsid w:val="00596790"/>
    <w:rsid w:val="00596CE0"/>
    <w:rsid w:val="00596D3C"/>
    <w:rsid w:val="00597170"/>
    <w:rsid w:val="005971F3"/>
    <w:rsid w:val="005974D0"/>
    <w:rsid w:val="00597636"/>
    <w:rsid w:val="00597674"/>
    <w:rsid w:val="00597688"/>
    <w:rsid w:val="005976C2"/>
    <w:rsid w:val="005978AF"/>
    <w:rsid w:val="005978C8"/>
    <w:rsid w:val="00597ADD"/>
    <w:rsid w:val="00597D64"/>
    <w:rsid w:val="00597DB0"/>
    <w:rsid w:val="00597FEC"/>
    <w:rsid w:val="005A03CD"/>
    <w:rsid w:val="005A04DD"/>
    <w:rsid w:val="005A0531"/>
    <w:rsid w:val="005A0673"/>
    <w:rsid w:val="005A0962"/>
    <w:rsid w:val="005A0B50"/>
    <w:rsid w:val="005A0EA9"/>
    <w:rsid w:val="005A1195"/>
    <w:rsid w:val="005A12AE"/>
    <w:rsid w:val="005A1370"/>
    <w:rsid w:val="005A1442"/>
    <w:rsid w:val="005A1506"/>
    <w:rsid w:val="005A1539"/>
    <w:rsid w:val="005A1A98"/>
    <w:rsid w:val="005A1B14"/>
    <w:rsid w:val="005A1C30"/>
    <w:rsid w:val="005A1D0C"/>
    <w:rsid w:val="005A1D6C"/>
    <w:rsid w:val="005A1D94"/>
    <w:rsid w:val="005A20C7"/>
    <w:rsid w:val="005A2145"/>
    <w:rsid w:val="005A21C1"/>
    <w:rsid w:val="005A2283"/>
    <w:rsid w:val="005A241A"/>
    <w:rsid w:val="005A270E"/>
    <w:rsid w:val="005A271A"/>
    <w:rsid w:val="005A2894"/>
    <w:rsid w:val="005A291C"/>
    <w:rsid w:val="005A29A2"/>
    <w:rsid w:val="005A2C76"/>
    <w:rsid w:val="005A2F98"/>
    <w:rsid w:val="005A3038"/>
    <w:rsid w:val="005A320B"/>
    <w:rsid w:val="005A32E7"/>
    <w:rsid w:val="005A33EB"/>
    <w:rsid w:val="005A35BB"/>
    <w:rsid w:val="005A36D3"/>
    <w:rsid w:val="005A390A"/>
    <w:rsid w:val="005A3944"/>
    <w:rsid w:val="005A3952"/>
    <w:rsid w:val="005A3A0F"/>
    <w:rsid w:val="005A3F30"/>
    <w:rsid w:val="005A4040"/>
    <w:rsid w:val="005A41AD"/>
    <w:rsid w:val="005A42A5"/>
    <w:rsid w:val="005A4633"/>
    <w:rsid w:val="005A493C"/>
    <w:rsid w:val="005A4B1C"/>
    <w:rsid w:val="005A4BA0"/>
    <w:rsid w:val="005A4F68"/>
    <w:rsid w:val="005A4FF1"/>
    <w:rsid w:val="005A51BE"/>
    <w:rsid w:val="005A528A"/>
    <w:rsid w:val="005A53B4"/>
    <w:rsid w:val="005A55F1"/>
    <w:rsid w:val="005A5660"/>
    <w:rsid w:val="005A5BD2"/>
    <w:rsid w:val="005A5C1E"/>
    <w:rsid w:val="005A5D7E"/>
    <w:rsid w:val="005A6030"/>
    <w:rsid w:val="005A6092"/>
    <w:rsid w:val="005A61BC"/>
    <w:rsid w:val="005A6224"/>
    <w:rsid w:val="005A63D0"/>
    <w:rsid w:val="005A6493"/>
    <w:rsid w:val="005A65D8"/>
    <w:rsid w:val="005A69BA"/>
    <w:rsid w:val="005A6AA0"/>
    <w:rsid w:val="005A6BE7"/>
    <w:rsid w:val="005A6CB9"/>
    <w:rsid w:val="005A6CFA"/>
    <w:rsid w:val="005A6F78"/>
    <w:rsid w:val="005A7250"/>
    <w:rsid w:val="005A7795"/>
    <w:rsid w:val="005A79E6"/>
    <w:rsid w:val="005A7D3C"/>
    <w:rsid w:val="005A7D42"/>
    <w:rsid w:val="005B0056"/>
    <w:rsid w:val="005B015B"/>
    <w:rsid w:val="005B0524"/>
    <w:rsid w:val="005B0619"/>
    <w:rsid w:val="005B0768"/>
    <w:rsid w:val="005B07A4"/>
    <w:rsid w:val="005B0B8A"/>
    <w:rsid w:val="005B0D94"/>
    <w:rsid w:val="005B0DB9"/>
    <w:rsid w:val="005B0E50"/>
    <w:rsid w:val="005B1053"/>
    <w:rsid w:val="005B11CE"/>
    <w:rsid w:val="005B1299"/>
    <w:rsid w:val="005B1559"/>
    <w:rsid w:val="005B1682"/>
    <w:rsid w:val="005B16B5"/>
    <w:rsid w:val="005B199C"/>
    <w:rsid w:val="005B1B2A"/>
    <w:rsid w:val="005B1C38"/>
    <w:rsid w:val="005B1C90"/>
    <w:rsid w:val="005B1EE7"/>
    <w:rsid w:val="005B1F4D"/>
    <w:rsid w:val="005B1FEC"/>
    <w:rsid w:val="005B24F5"/>
    <w:rsid w:val="005B2588"/>
    <w:rsid w:val="005B28BC"/>
    <w:rsid w:val="005B2BFA"/>
    <w:rsid w:val="005B2CFB"/>
    <w:rsid w:val="005B2D09"/>
    <w:rsid w:val="005B2DFC"/>
    <w:rsid w:val="005B2EFE"/>
    <w:rsid w:val="005B2F0C"/>
    <w:rsid w:val="005B3089"/>
    <w:rsid w:val="005B344D"/>
    <w:rsid w:val="005B3473"/>
    <w:rsid w:val="005B3651"/>
    <w:rsid w:val="005B365C"/>
    <w:rsid w:val="005B36E6"/>
    <w:rsid w:val="005B37EF"/>
    <w:rsid w:val="005B38B5"/>
    <w:rsid w:val="005B3E50"/>
    <w:rsid w:val="005B423D"/>
    <w:rsid w:val="005B46D2"/>
    <w:rsid w:val="005B4779"/>
    <w:rsid w:val="005B4A96"/>
    <w:rsid w:val="005B5020"/>
    <w:rsid w:val="005B5069"/>
    <w:rsid w:val="005B5189"/>
    <w:rsid w:val="005B520F"/>
    <w:rsid w:val="005B52A3"/>
    <w:rsid w:val="005B53DD"/>
    <w:rsid w:val="005B5499"/>
    <w:rsid w:val="005B5790"/>
    <w:rsid w:val="005B5B45"/>
    <w:rsid w:val="005B5C73"/>
    <w:rsid w:val="005B5D4F"/>
    <w:rsid w:val="005B5F60"/>
    <w:rsid w:val="005B67C1"/>
    <w:rsid w:val="005B6B5F"/>
    <w:rsid w:val="005B6F00"/>
    <w:rsid w:val="005B6F39"/>
    <w:rsid w:val="005B72B0"/>
    <w:rsid w:val="005B74D8"/>
    <w:rsid w:val="005B762F"/>
    <w:rsid w:val="005B7844"/>
    <w:rsid w:val="005B7C7C"/>
    <w:rsid w:val="005B7D2E"/>
    <w:rsid w:val="005B7D59"/>
    <w:rsid w:val="005C01D1"/>
    <w:rsid w:val="005C01E6"/>
    <w:rsid w:val="005C0220"/>
    <w:rsid w:val="005C026F"/>
    <w:rsid w:val="005C034D"/>
    <w:rsid w:val="005C04AE"/>
    <w:rsid w:val="005C0526"/>
    <w:rsid w:val="005C08D2"/>
    <w:rsid w:val="005C0AA2"/>
    <w:rsid w:val="005C0CD5"/>
    <w:rsid w:val="005C0DF3"/>
    <w:rsid w:val="005C0E1D"/>
    <w:rsid w:val="005C0E45"/>
    <w:rsid w:val="005C0E8F"/>
    <w:rsid w:val="005C106D"/>
    <w:rsid w:val="005C1123"/>
    <w:rsid w:val="005C1467"/>
    <w:rsid w:val="005C14C4"/>
    <w:rsid w:val="005C14DE"/>
    <w:rsid w:val="005C1523"/>
    <w:rsid w:val="005C1607"/>
    <w:rsid w:val="005C1681"/>
    <w:rsid w:val="005C16EB"/>
    <w:rsid w:val="005C1896"/>
    <w:rsid w:val="005C193B"/>
    <w:rsid w:val="005C1B3B"/>
    <w:rsid w:val="005C1B98"/>
    <w:rsid w:val="005C1BEE"/>
    <w:rsid w:val="005C20D9"/>
    <w:rsid w:val="005C2128"/>
    <w:rsid w:val="005C213F"/>
    <w:rsid w:val="005C215F"/>
    <w:rsid w:val="005C2192"/>
    <w:rsid w:val="005C22A5"/>
    <w:rsid w:val="005C247C"/>
    <w:rsid w:val="005C2598"/>
    <w:rsid w:val="005C2705"/>
    <w:rsid w:val="005C2759"/>
    <w:rsid w:val="005C276D"/>
    <w:rsid w:val="005C2858"/>
    <w:rsid w:val="005C2A87"/>
    <w:rsid w:val="005C2A9B"/>
    <w:rsid w:val="005C2B52"/>
    <w:rsid w:val="005C2E31"/>
    <w:rsid w:val="005C3202"/>
    <w:rsid w:val="005C3211"/>
    <w:rsid w:val="005C3294"/>
    <w:rsid w:val="005C38F0"/>
    <w:rsid w:val="005C3924"/>
    <w:rsid w:val="005C3CED"/>
    <w:rsid w:val="005C3D38"/>
    <w:rsid w:val="005C3DA7"/>
    <w:rsid w:val="005C3F07"/>
    <w:rsid w:val="005C4297"/>
    <w:rsid w:val="005C4347"/>
    <w:rsid w:val="005C43E6"/>
    <w:rsid w:val="005C45BE"/>
    <w:rsid w:val="005C4861"/>
    <w:rsid w:val="005C4BBE"/>
    <w:rsid w:val="005C4D24"/>
    <w:rsid w:val="005C4E80"/>
    <w:rsid w:val="005C5106"/>
    <w:rsid w:val="005C5204"/>
    <w:rsid w:val="005C528C"/>
    <w:rsid w:val="005C5333"/>
    <w:rsid w:val="005C53EE"/>
    <w:rsid w:val="005C5538"/>
    <w:rsid w:val="005C5727"/>
    <w:rsid w:val="005C5C62"/>
    <w:rsid w:val="005C5D72"/>
    <w:rsid w:val="005C5EF2"/>
    <w:rsid w:val="005C6061"/>
    <w:rsid w:val="005C615B"/>
    <w:rsid w:val="005C6475"/>
    <w:rsid w:val="005C6610"/>
    <w:rsid w:val="005C6C8F"/>
    <w:rsid w:val="005C70BD"/>
    <w:rsid w:val="005C71B9"/>
    <w:rsid w:val="005C7294"/>
    <w:rsid w:val="005C72AE"/>
    <w:rsid w:val="005C72C6"/>
    <w:rsid w:val="005C7371"/>
    <w:rsid w:val="005C75AC"/>
    <w:rsid w:val="005C7708"/>
    <w:rsid w:val="005C7A52"/>
    <w:rsid w:val="005C7D67"/>
    <w:rsid w:val="005D0239"/>
    <w:rsid w:val="005D0383"/>
    <w:rsid w:val="005D0391"/>
    <w:rsid w:val="005D041D"/>
    <w:rsid w:val="005D05CF"/>
    <w:rsid w:val="005D0623"/>
    <w:rsid w:val="005D075E"/>
    <w:rsid w:val="005D0B94"/>
    <w:rsid w:val="005D0BDA"/>
    <w:rsid w:val="005D0DC5"/>
    <w:rsid w:val="005D0E18"/>
    <w:rsid w:val="005D0EF1"/>
    <w:rsid w:val="005D1277"/>
    <w:rsid w:val="005D14B7"/>
    <w:rsid w:val="005D15C0"/>
    <w:rsid w:val="005D1A26"/>
    <w:rsid w:val="005D1C25"/>
    <w:rsid w:val="005D1DC5"/>
    <w:rsid w:val="005D1E65"/>
    <w:rsid w:val="005D1EBA"/>
    <w:rsid w:val="005D2153"/>
    <w:rsid w:val="005D2235"/>
    <w:rsid w:val="005D24A8"/>
    <w:rsid w:val="005D27DC"/>
    <w:rsid w:val="005D27FF"/>
    <w:rsid w:val="005D2810"/>
    <w:rsid w:val="005D28F0"/>
    <w:rsid w:val="005D2900"/>
    <w:rsid w:val="005D2A40"/>
    <w:rsid w:val="005D2ADB"/>
    <w:rsid w:val="005D2B9A"/>
    <w:rsid w:val="005D2E6C"/>
    <w:rsid w:val="005D2EA6"/>
    <w:rsid w:val="005D2F40"/>
    <w:rsid w:val="005D3064"/>
    <w:rsid w:val="005D306B"/>
    <w:rsid w:val="005D311B"/>
    <w:rsid w:val="005D3284"/>
    <w:rsid w:val="005D366E"/>
    <w:rsid w:val="005D3835"/>
    <w:rsid w:val="005D38E9"/>
    <w:rsid w:val="005D4183"/>
    <w:rsid w:val="005D41C1"/>
    <w:rsid w:val="005D4235"/>
    <w:rsid w:val="005D42A0"/>
    <w:rsid w:val="005D43D3"/>
    <w:rsid w:val="005D46B5"/>
    <w:rsid w:val="005D4783"/>
    <w:rsid w:val="005D487E"/>
    <w:rsid w:val="005D48EE"/>
    <w:rsid w:val="005D49CB"/>
    <w:rsid w:val="005D4A5F"/>
    <w:rsid w:val="005D4C5C"/>
    <w:rsid w:val="005D4CCE"/>
    <w:rsid w:val="005D4D3F"/>
    <w:rsid w:val="005D4D9C"/>
    <w:rsid w:val="005D4F75"/>
    <w:rsid w:val="005D5173"/>
    <w:rsid w:val="005D5231"/>
    <w:rsid w:val="005D54CB"/>
    <w:rsid w:val="005D574F"/>
    <w:rsid w:val="005D5887"/>
    <w:rsid w:val="005D5A08"/>
    <w:rsid w:val="005D5AFF"/>
    <w:rsid w:val="005D5E0F"/>
    <w:rsid w:val="005D5FE0"/>
    <w:rsid w:val="005D60D3"/>
    <w:rsid w:val="005D6482"/>
    <w:rsid w:val="005D653F"/>
    <w:rsid w:val="005D65C3"/>
    <w:rsid w:val="005D68D3"/>
    <w:rsid w:val="005D6959"/>
    <w:rsid w:val="005D69B3"/>
    <w:rsid w:val="005D6A33"/>
    <w:rsid w:val="005D6BC0"/>
    <w:rsid w:val="005D6CFF"/>
    <w:rsid w:val="005D6E8E"/>
    <w:rsid w:val="005D732C"/>
    <w:rsid w:val="005D735E"/>
    <w:rsid w:val="005D779B"/>
    <w:rsid w:val="005D77E6"/>
    <w:rsid w:val="005D7D09"/>
    <w:rsid w:val="005E0062"/>
    <w:rsid w:val="005E0347"/>
    <w:rsid w:val="005E037B"/>
    <w:rsid w:val="005E0387"/>
    <w:rsid w:val="005E043D"/>
    <w:rsid w:val="005E055C"/>
    <w:rsid w:val="005E0663"/>
    <w:rsid w:val="005E06F4"/>
    <w:rsid w:val="005E074F"/>
    <w:rsid w:val="005E07C0"/>
    <w:rsid w:val="005E08B6"/>
    <w:rsid w:val="005E090D"/>
    <w:rsid w:val="005E0AEE"/>
    <w:rsid w:val="005E0B61"/>
    <w:rsid w:val="005E0D96"/>
    <w:rsid w:val="005E0E97"/>
    <w:rsid w:val="005E0EC3"/>
    <w:rsid w:val="005E0EEA"/>
    <w:rsid w:val="005E0F19"/>
    <w:rsid w:val="005E116D"/>
    <w:rsid w:val="005E118C"/>
    <w:rsid w:val="005E1372"/>
    <w:rsid w:val="005E13D0"/>
    <w:rsid w:val="005E1430"/>
    <w:rsid w:val="005E1628"/>
    <w:rsid w:val="005E16CA"/>
    <w:rsid w:val="005E1ED9"/>
    <w:rsid w:val="005E1F12"/>
    <w:rsid w:val="005E23EB"/>
    <w:rsid w:val="005E25DF"/>
    <w:rsid w:val="005E275C"/>
    <w:rsid w:val="005E2803"/>
    <w:rsid w:val="005E2A24"/>
    <w:rsid w:val="005E2B9E"/>
    <w:rsid w:val="005E30EE"/>
    <w:rsid w:val="005E3370"/>
    <w:rsid w:val="005E3510"/>
    <w:rsid w:val="005E3593"/>
    <w:rsid w:val="005E373A"/>
    <w:rsid w:val="005E3779"/>
    <w:rsid w:val="005E383F"/>
    <w:rsid w:val="005E3A60"/>
    <w:rsid w:val="005E3AF3"/>
    <w:rsid w:val="005E3B9E"/>
    <w:rsid w:val="005E3F11"/>
    <w:rsid w:val="005E405E"/>
    <w:rsid w:val="005E40B1"/>
    <w:rsid w:val="005E4123"/>
    <w:rsid w:val="005E41D3"/>
    <w:rsid w:val="005E4236"/>
    <w:rsid w:val="005E4276"/>
    <w:rsid w:val="005E4303"/>
    <w:rsid w:val="005E4801"/>
    <w:rsid w:val="005E4857"/>
    <w:rsid w:val="005E48D8"/>
    <w:rsid w:val="005E4D74"/>
    <w:rsid w:val="005E5264"/>
    <w:rsid w:val="005E533D"/>
    <w:rsid w:val="005E5347"/>
    <w:rsid w:val="005E55A3"/>
    <w:rsid w:val="005E5768"/>
    <w:rsid w:val="005E5A2F"/>
    <w:rsid w:val="005E5AB3"/>
    <w:rsid w:val="005E5F03"/>
    <w:rsid w:val="005E620F"/>
    <w:rsid w:val="005E6251"/>
    <w:rsid w:val="005E63FC"/>
    <w:rsid w:val="005E64E8"/>
    <w:rsid w:val="005E671D"/>
    <w:rsid w:val="005E6743"/>
    <w:rsid w:val="005E6A69"/>
    <w:rsid w:val="005E6AA4"/>
    <w:rsid w:val="005E6AF9"/>
    <w:rsid w:val="005E6BDA"/>
    <w:rsid w:val="005E6F29"/>
    <w:rsid w:val="005E7037"/>
    <w:rsid w:val="005E731C"/>
    <w:rsid w:val="005E745B"/>
    <w:rsid w:val="005E74DB"/>
    <w:rsid w:val="005E75A5"/>
    <w:rsid w:val="005E75FA"/>
    <w:rsid w:val="005E7675"/>
    <w:rsid w:val="005E770E"/>
    <w:rsid w:val="005E79A5"/>
    <w:rsid w:val="005E7A61"/>
    <w:rsid w:val="005E7A89"/>
    <w:rsid w:val="005E7AF6"/>
    <w:rsid w:val="005E7C9B"/>
    <w:rsid w:val="005E7E15"/>
    <w:rsid w:val="005E7E88"/>
    <w:rsid w:val="005F001A"/>
    <w:rsid w:val="005F003C"/>
    <w:rsid w:val="005F01BC"/>
    <w:rsid w:val="005F03F9"/>
    <w:rsid w:val="005F0501"/>
    <w:rsid w:val="005F0510"/>
    <w:rsid w:val="005F053F"/>
    <w:rsid w:val="005F07E6"/>
    <w:rsid w:val="005F080D"/>
    <w:rsid w:val="005F0A3D"/>
    <w:rsid w:val="005F0AA4"/>
    <w:rsid w:val="005F0AB1"/>
    <w:rsid w:val="005F0B89"/>
    <w:rsid w:val="005F0D4D"/>
    <w:rsid w:val="005F0D64"/>
    <w:rsid w:val="005F0DD1"/>
    <w:rsid w:val="005F0F17"/>
    <w:rsid w:val="005F0FA1"/>
    <w:rsid w:val="005F0FA8"/>
    <w:rsid w:val="005F10AF"/>
    <w:rsid w:val="005F140E"/>
    <w:rsid w:val="005F1660"/>
    <w:rsid w:val="005F18EF"/>
    <w:rsid w:val="005F18F3"/>
    <w:rsid w:val="005F194A"/>
    <w:rsid w:val="005F1A81"/>
    <w:rsid w:val="005F1B18"/>
    <w:rsid w:val="005F1C4D"/>
    <w:rsid w:val="005F1D2E"/>
    <w:rsid w:val="005F1DFB"/>
    <w:rsid w:val="005F1FBB"/>
    <w:rsid w:val="005F239D"/>
    <w:rsid w:val="005F26EF"/>
    <w:rsid w:val="005F2788"/>
    <w:rsid w:val="005F27EB"/>
    <w:rsid w:val="005F29E7"/>
    <w:rsid w:val="005F2A6E"/>
    <w:rsid w:val="005F2B17"/>
    <w:rsid w:val="005F2BAC"/>
    <w:rsid w:val="005F2C46"/>
    <w:rsid w:val="005F2EB1"/>
    <w:rsid w:val="005F318A"/>
    <w:rsid w:val="005F32C1"/>
    <w:rsid w:val="005F343C"/>
    <w:rsid w:val="005F35A5"/>
    <w:rsid w:val="005F377F"/>
    <w:rsid w:val="005F391B"/>
    <w:rsid w:val="005F397B"/>
    <w:rsid w:val="005F3AB3"/>
    <w:rsid w:val="005F3AFA"/>
    <w:rsid w:val="005F3D46"/>
    <w:rsid w:val="005F3F6F"/>
    <w:rsid w:val="005F4034"/>
    <w:rsid w:val="005F40C4"/>
    <w:rsid w:val="005F42B5"/>
    <w:rsid w:val="005F44FB"/>
    <w:rsid w:val="005F4504"/>
    <w:rsid w:val="005F45BF"/>
    <w:rsid w:val="005F47F1"/>
    <w:rsid w:val="005F4879"/>
    <w:rsid w:val="005F48C6"/>
    <w:rsid w:val="005F4A78"/>
    <w:rsid w:val="005F4D7D"/>
    <w:rsid w:val="005F50E3"/>
    <w:rsid w:val="005F5324"/>
    <w:rsid w:val="005F5364"/>
    <w:rsid w:val="005F5695"/>
    <w:rsid w:val="005F576C"/>
    <w:rsid w:val="005F57F5"/>
    <w:rsid w:val="005F57F6"/>
    <w:rsid w:val="005F58F8"/>
    <w:rsid w:val="005F591C"/>
    <w:rsid w:val="005F5962"/>
    <w:rsid w:val="005F59E7"/>
    <w:rsid w:val="005F59FC"/>
    <w:rsid w:val="005F5AC2"/>
    <w:rsid w:val="005F5FA5"/>
    <w:rsid w:val="005F600B"/>
    <w:rsid w:val="005F6270"/>
    <w:rsid w:val="005F6368"/>
    <w:rsid w:val="005F649A"/>
    <w:rsid w:val="005F64E1"/>
    <w:rsid w:val="005F65A6"/>
    <w:rsid w:val="005F6723"/>
    <w:rsid w:val="005F677F"/>
    <w:rsid w:val="005F685B"/>
    <w:rsid w:val="005F6A1A"/>
    <w:rsid w:val="005F6A44"/>
    <w:rsid w:val="005F6B51"/>
    <w:rsid w:val="005F6CA6"/>
    <w:rsid w:val="005F6CB7"/>
    <w:rsid w:val="005F6CDC"/>
    <w:rsid w:val="005F6F7A"/>
    <w:rsid w:val="005F6FA3"/>
    <w:rsid w:val="005F70D6"/>
    <w:rsid w:val="005F7116"/>
    <w:rsid w:val="005F71AE"/>
    <w:rsid w:val="005F734C"/>
    <w:rsid w:val="005F7387"/>
    <w:rsid w:val="005F7528"/>
    <w:rsid w:val="005F7567"/>
    <w:rsid w:val="005F757E"/>
    <w:rsid w:val="005F78BD"/>
    <w:rsid w:val="005F7A03"/>
    <w:rsid w:val="005F7B8B"/>
    <w:rsid w:val="005F7BFF"/>
    <w:rsid w:val="005F7C03"/>
    <w:rsid w:val="005F7C30"/>
    <w:rsid w:val="005F7DE8"/>
    <w:rsid w:val="005F7F59"/>
    <w:rsid w:val="006000D2"/>
    <w:rsid w:val="006003B6"/>
    <w:rsid w:val="006006A9"/>
    <w:rsid w:val="0060072F"/>
    <w:rsid w:val="00600CFD"/>
    <w:rsid w:val="00600F27"/>
    <w:rsid w:val="0060105C"/>
    <w:rsid w:val="006010BE"/>
    <w:rsid w:val="0060115B"/>
    <w:rsid w:val="00601276"/>
    <w:rsid w:val="00601929"/>
    <w:rsid w:val="00601C2B"/>
    <w:rsid w:val="00601CF1"/>
    <w:rsid w:val="00601FA2"/>
    <w:rsid w:val="00601FE2"/>
    <w:rsid w:val="0060207E"/>
    <w:rsid w:val="00602341"/>
    <w:rsid w:val="0060246D"/>
    <w:rsid w:val="006025AA"/>
    <w:rsid w:val="0060262F"/>
    <w:rsid w:val="006027DB"/>
    <w:rsid w:val="006029E7"/>
    <w:rsid w:val="00602C47"/>
    <w:rsid w:val="00602C61"/>
    <w:rsid w:val="00602CE4"/>
    <w:rsid w:val="00603228"/>
    <w:rsid w:val="00603238"/>
    <w:rsid w:val="0060329A"/>
    <w:rsid w:val="0060331E"/>
    <w:rsid w:val="00603462"/>
    <w:rsid w:val="00603701"/>
    <w:rsid w:val="006038AD"/>
    <w:rsid w:val="00603A24"/>
    <w:rsid w:val="00603ABB"/>
    <w:rsid w:val="00603B4B"/>
    <w:rsid w:val="00603F66"/>
    <w:rsid w:val="0060417D"/>
    <w:rsid w:val="0060427F"/>
    <w:rsid w:val="006042EF"/>
    <w:rsid w:val="006045AC"/>
    <w:rsid w:val="006045CE"/>
    <w:rsid w:val="006046DC"/>
    <w:rsid w:val="00604824"/>
    <w:rsid w:val="0060489B"/>
    <w:rsid w:val="006048DC"/>
    <w:rsid w:val="00604DCE"/>
    <w:rsid w:val="006053CE"/>
    <w:rsid w:val="0060542D"/>
    <w:rsid w:val="006054D4"/>
    <w:rsid w:val="00605BEF"/>
    <w:rsid w:val="00605C90"/>
    <w:rsid w:val="006065A3"/>
    <w:rsid w:val="00606641"/>
    <w:rsid w:val="0060686B"/>
    <w:rsid w:val="00606B2B"/>
    <w:rsid w:val="00606B48"/>
    <w:rsid w:val="00606B72"/>
    <w:rsid w:val="00606FE1"/>
    <w:rsid w:val="0060713E"/>
    <w:rsid w:val="0060715F"/>
    <w:rsid w:val="00607247"/>
    <w:rsid w:val="00607718"/>
    <w:rsid w:val="0060789D"/>
    <w:rsid w:val="00607999"/>
    <w:rsid w:val="00607BAA"/>
    <w:rsid w:val="00607BB3"/>
    <w:rsid w:val="00607CE0"/>
    <w:rsid w:val="00607D2E"/>
    <w:rsid w:val="00607ECA"/>
    <w:rsid w:val="00610202"/>
    <w:rsid w:val="00610508"/>
    <w:rsid w:val="00610A00"/>
    <w:rsid w:val="00610A13"/>
    <w:rsid w:val="00610E93"/>
    <w:rsid w:val="00611059"/>
    <w:rsid w:val="0061130E"/>
    <w:rsid w:val="006113D1"/>
    <w:rsid w:val="00611452"/>
    <w:rsid w:val="006114D1"/>
    <w:rsid w:val="006115CC"/>
    <w:rsid w:val="006117AD"/>
    <w:rsid w:val="00611937"/>
    <w:rsid w:val="00611C7D"/>
    <w:rsid w:val="00611C96"/>
    <w:rsid w:val="00611E21"/>
    <w:rsid w:val="00611F47"/>
    <w:rsid w:val="006123D3"/>
    <w:rsid w:val="006124B1"/>
    <w:rsid w:val="00612633"/>
    <w:rsid w:val="006127A4"/>
    <w:rsid w:val="006127CE"/>
    <w:rsid w:val="006129B3"/>
    <w:rsid w:val="00612B36"/>
    <w:rsid w:val="00612D4D"/>
    <w:rsid w:val="00612E57"/>
    <w:rsid w:val="0061303A"/>
    <w:rsid w:val="006134AA"/>
    <w:rsid w:val="006136F0"/>
    <w:rsid w:val="006138B0"/>
    <w:rsid w:val="00613A39"/>
    <w:rsid w:val="00613AE4"/>
    <w:rsid w:val="00613C3F"/>
    <w:rsid w:val="00613C41"/>
    <w:rsid w:val="00613C8A"/>
    <w:rsid w:val="00613CBE"/>
    <w:rsid w:val="00613D78"/>
    <w:rsid w:val="00613EB9"/>
    <w:rsid w:val="00613F1D"/>
    <w:rsid w:val="00613FA8"/>
    <w:rsid w:val="00614029"/>
    <w:rsid w:val="0061403D"/>
    <w:rsid w:val="0061446A"/>
    <w:rsid w:val="00614624"/>
    <w:rsid w:val="00614952"/>
    <w:rsid w:val="00615134"/>
    <w:rsid w:val="00615483"/>
    <w:rsid w:val="00615533"/>
    <w:rsid w:val="00615661"/>
    <w:rsid w:val="00615766"/>
    <w:rsid w:val="00615927"/>
    <w:rsid w:val="00615AED"/>
    <w:rsid w:val="00615E83"/>
    <w:rsid w:val="00616028"/>
    <w:rsid w:val="00616227"/>
    <w:rsid w:val="0061624A"/>
    <w:rsid w:val="0061648C"/>
    <w:rsid w:val="006168F7"/>
    <w:rsid w:val="00616B12"/>
    <w:rsid w:val="00616E26"/>
    <w:rsid w:val="00616FDF"/>
    <w:rsid w:val="00617193"/>
    <w:rsid w:val="0061781B"/>
    <w:rsid w:val="0061794F"/>
    <w:rsid w:val="00617E86"/>
    <w:rsid w:val="00617E97"/>
    <w:rsid w:val="00617F1C"/>
    <w:rsid w:val="0062019A"/>
    <w:rsid w:val="0062039C"/>
    <w:rsid w:val="0062060B"/>
    <w:rsid w:val="0062088F"/>
    <w:rsid w:val="00620E74"/>
    <w:rsid w:val="006210F3"/>
    <w:rsid w:val="0062120A"/>
    <w:rsid w:val="00621B94"/>
    <w:rsid w:val="00621C61"/>
    <w:rsid w:val="00621F24"/>
    <w:rsid w:val="00621F6F"/>
    <w:rsid w:val="00622039"/>
    <w:rsid w:val="006229B9"/>
    <w:rsid w:val="00622A36"/>
    <w:rsid w:val="00622AFB"/>
    <w:rsid w:val="00622B85"/>
    <w:rsid w:val="00622E66"/>
    <w:rsid w:val="00622F44"/>
    <w:rsid w:val="00623090"/>
    <w:rsid w:val="006230C8"/>
    <w:rsid w:val="00623512"/>
    <w:rsid w:val="006235B5"/>
    <w:rsid w:val="00623772"/>
    <w:rsid w:val="00623776"/>
    <w:rsid w:val="00623972"/>
    <w:rsid w:val="00623C0F"/>
    <w:rsid w:val="00623DBE"/>
    <w:rsid w:val="00623E93"/>
    <w:rsid w:val="00623EE7"/>
    <w:rsid w:val="00624001"/>
    <w:rsid w:val="00624100"/>
    <w:rsid w:val="0062413F"/>
    <w:rsid w:val="0062424B"/>
    <w:rsid w:val="0062439A"/>
    <w:rsid w:val="006244F0"/>
    <w:rsid w:val="006245CA"/>
    <w:rsid w:val="006245E6"/>
    <w:rsid w:val="006247FA"/>
    <w:rsid w:val="006248A0"/>
    <w:rsid w:val="00624B9F"/>
    <w:rsid w:val="00624C19"/>
    <w:rsid w:val="00624C45"/>
    <w:rsid w:val="00624D10"/>
    <w:rsid w:val="00624EA6"/>
    <w:rsid w:val="00624EE7"/>
    <w:rsid w:val="00624F0B"/>
    <w:rsid w:val="00624F74"/>
    <w:rsid w:val="006251FC"/>
    <w:rsid w:val="00625314"/>
    <w:rsid w:val="006255F0"/>
    <w:rsid w:val="00625603"/>
    <w:rsid w:val="006256D1"/>
    <w:rsid w:val="006258CD"/>
    <w:rsid w:val="00625B7E"/>
    <w:rsid w:val="00625BEA"/>
    <w:rsid w:val="00625C00"/>
    <w:rsid w:val="00625CFC"/>
    <w:rsid w:val="00625D86"/>
    <w:rsid w:val="0062629F"/>
    <w:rsid w:val="00626396"/>
    <w:rsid w:val="00626CD7"/>
    <w:rsid w:val="00626E0C"/>
    <w:rsid w:val="00626F54"/>
    <w:rsid w:val="00626FF3"/>
    <w:rsid w:val="00627267"/>
    <w:rsid w:val="00627528"/>
    <w:rsid w:val="00627680"/>
    <w:rsid w:val="00627942"/>
    <w:rsid w:val="00627998"/>
    <w:rsid w:val="00627A40"/>
    <w:rsid w:val="00627C04"/>
    <w:rsid w:val="00627DD2"/>
    <w:rsid w:val="00630060"/>
    <w:rsid w:val="00630161"/>
    <w:rsid w:val="006305BF"/>
    <w:rsid w:val="0063093A"/>
    <w:rsid w:val="00630AD9"/>
    <w:rsid w:val="00630C1E"/>
    <w:rsid w:val="00630DAF"/>
    <w:rsid w:val="0063110F"/>
    <w:rsid w:val="006312DE"/>
    <w:rsid w:val="0063178A"/>
    <w:rsid w:val="00631837"/>
    <w:rsid w:val="00631911"/>
    <w:rsid w:val="0063193C"/>
    <w:rsid w:val="006320FF"/>
    <w:rsid w:val="00632183"/>
    <w:rsid w:val="0063231D"/>
    <w:rsid w:val="00632368"/>
    <w:rsid w:val="00632406"/>
    <w:rsid w:val="00632418"/>
    <w:rsid w:val="00632474"/>
    <w:rsid w:val="006326C0"/>
    <w:rsid w:val="006326FE"/>
    <w:rsid w:val="00632728"/>
    <w:rsid w:val="0063273B"/>
    <w:rsid w:val="006327C8"/>
    <w:rsid w:val="006328F7"/>
    <w:rsid w:val="00632940"/>
    <w:rsid w:val="00632AB1"/>
    <w:rsid w:val="00632D58"/>
    <w:rsid w:val="00632E39"/>
    <w:rsid w:val="006335E0"/>
    <w:rsid w:val="006336CE"/>
    <w:rsid w:val="00633906"/>
    <w:rsid w:val="00633A82"/>
    <w:rsid w:val="00633D17"/>
    <w:rsid w:val="00633E97"/>
    <w:rsid w:val="006340BE"/>
    <w:rsid w:val="00634175"/>
    <w:rsid w:val="0063454D"/>
    <w:rsid w:val="00634573"/>
    <w:rsid w:val="006349CF"/>
    <w:rsid w:val="00634D1F"/>
    <w:rsid w:val="00634E59"/>
    <w:rsid w:val="006353E5"/>
    <w:rsid w:val="0063551E"/>
    <w:rsid w:val="006356CF"/>
    <w:rsid w:val="0063588F"/>
    <w:rsid w:val="00635BAC"/>
    <w:rsid w:val="00635CC8"/>
    <w:rsid w:val="00635CD9"/>
    <w:rsid w:val="00635DE6"/>
    <w:rsid w:val="00636408"/>
    <w:rsid w:val="006364AB"/>
    <w:rsid w:val="006366C0"/>
    <w:rsid w:val="006366ED"/>
    <w:rsid w:val="00636741"/>
    <w:rsid w:val="0063676C"/>
    <w:rsid w:val="006367D6"/>
    <w:rsid w:val="006368BE"/>
    <w:rsid w:val="0063699F"/>
    <w:rsid w:val="00636ABC"/>
    <w:rsid w:val="00636AE0"/>
    <w:rsid w:val="00636BFE"/>
    <w:rsid w:val="00636C0F"/>
    <w:rsid w:val="00636C12"/>
    <w:rsid w:val="00636C73"/>
    <w:rsid w:val="00636DB1"/>
    <w:rsid w:val="0063709E"/>
    <w:rsid w:val="0063730B"/>
    <w:rsid w:val="006374FC"/>
    <w:rsid w:val="00637730"/>
    <w:rsid w:val="006377E4"/>
    <w:rsid w:val="006378C2"/>
    <w:rsid w:val="00637B60"/>
    <w:rsid w:val="00637C51"/>
    <w:rsid w:val="0064001F"/>
    <w:rsid w:val="00640116"/>
    <w:rsid w:val="006402B2"/>
    <w:rsid w:val="00640470"/>
    <w:rsid w:val="006404A4"/>
    <w:rsid w:val="006406CB"/>
    <w:rsid w:val="0064075B"/>
    <w:rsid w:val="00640C82"/>
    <w:rsid w:val="00640D0A"/>
    <w:rsid w:val="006410F7"/>
    <w:rsid w:val="00641253"/>
    <w:rsid w:val="00641324"/>
    <w:rsid w:val="0064142D"/>
    <w:rsid w:val="00641557"/>
    <w:rsid w:val="006415DE"/>
    <w:rsid w:val="00641628"/>
    <w:rsid w:val="00641653"/>
    <w:rsid w:val="006418D1"/>
    <w:rsid w:val="006418FC"/>
    <w:rsid w:val="00641B40"/>
    <w:rsid w:val="00641B49"/>
    <w:rsid w:val="00642209"/>
    <w:rsid w:val="006423CB"/>
    <w:rsid w:val="00642570"/>
    <w:rsid w:val="006425FE"/>
    <w:rsid w:val="0064295B"/>
    <w:rsid w:val="00642A3B"/>
    <w:rsid w:val="00642B68"/>
    <w:rsid w:val="00642BE1"/>
    <w:rsid w:val="00642C0D"/>
    <w:rsid w:val="00642CF7"/>
    <w:rsid w:val="00642EA8"/>
    <w:rsid w:val="00642F83"/>
    <w:rsid w:val="00642FB5"/>
    <w:rsid w:val="006432D6"/>
    <w:rsid w:val="006436E8"/>
    <w:rsid w:val="006438B4"/>
    <w:rsid w:val="00643C46"/>
    <w:rsid w:val="00643D72"/>
    <w:rsid w:val="00643E16"/>
    <w:rsid w:val="00644295"/>
    <w:rsid w:val="00644405"/>
    <w:rsid w:val="00644451"/>
    <w:rsid w:val="006445B8"/>
    <w:rsid w:val="0064474D"/>
    <w:rsid w:val="00644891"/>
    <w:rsid w:val="00644BDE"/>
    <w:rsid w:val="00644CC7"/>
    <w:rsid w:val="00645132"/>
    <w:rsid w:val="006456A1"/>
    <w:rsid w:val="006457DC"/>
    <w:rsid w:val="006458CE"/>
    <w:rsid w:val="00645DEF"/>
    <w:rsid w:val="00645DF7"/>
    <w:rsid w:val="00646112"/>
    <w:rsid w:val="00646183"/>
    <w:rsid w:val="006461DB"/>
    <w:rsid w:val="006464C4"/>
    <w:rsid w:val="006465B7"/>
    <w:rsid w:val="00646673"/>
    <w:rsid w:val="006467A7"/>
    <w:rsid w:val="0064698C"/>
    <w:rsid w:val="00646C04"/>
    <w:rsid w:val="00646CF8"/>
    <w:rsid w:val="006472CC"/>
    <w:rsid w:val="00647586"/>
    <w:rsid w:val="00647593"/>
    <w:rsid w:val="006475F6"/>
    <w:rsid w:val="00647678"/>
    <w:rsid w:val="006476A2"/>
    <w:rsid w:val="00647839"/>
    <w:rsid w:val="00647937"/>
    <w:rsid w:val="00647960"/>
    <w:rsid w:val="00647DC5"/>
    <w:rsid w:val="00647E49"/>
    <w:rsid w:val="00650083"/>
    <w:rsid w:val="006500E6"/>
    <w:rsid w:val="0065026D"/>
    <w:rsid w:val="00650292"/>
    <w:rsid w:val="006502F7"/>
    <w:rsid w:val="00650685"/>
    <w:rsid w:val="006507B0"/>
    <w:rsid w:val="00651324"/>
    <w:rsid w:val="006514C2"/>
    <w:rsid w:val="006514F0"/>
    <w:rsid w:val="00651758"/>
    <w:rsid w:val="0065183D"/>
    <w:rsid w:val="00651A20"/>
    <w:rsid w:val="00651A6F"/>
    <w:rsid w:val="00651B4C"/>
    <w:rsid w:val="00651BBF"/>
    <w:rsid w:val="00651CC3"/>
    <w:rsid w:val="00651D01"/>
    <w:rsid w:val="00651D7F"/>
    <w:rsid w:val="00651E2B"/>
    <w:rsid w:val="00652013"/>
    <w:rsid w:val="00652103"/>
    <w:rsid w:val="0065210E"/>
    <w:rsid w:val="0065212A"/>
    <w:rsid w:val="006522B6"/>
    <w:rsid w:val="006526B7"/>
    <w:rsid w:val="00652740"/>
    <w:rsid w:val="00652A4A"/>
    <w:rsid w:val="00652BFE"/>
    <w:rsid w:val="00652C5D"/>
    <w:rsid w:val="00652D54"/>
    <w:rsid w:val="00652EF7"/>
    <w:rsid w:val="00653015"/>
    <w:rsid w:val="00653042"/>
    <w:rsid w:val="00653381"/>
    <w:rsid w:val="006535B8"/>
    <w:rsid w:val="00653783"/>
    <w:rsid w:val="006537BB"/>
    <w:rsid w:val="006539AE"/>
    <w:rsid w:val="00653A30"/>
    <w:rsid w:val="00653F93"/>
    <w:rsid w:val="006541D7"/>
    <w:rsid w:val="0065425A"/>
    <w:rsid w:val="00654497"/>
    <w:rsid w:val="00654546"/>
    <w:rsid w:val="006546B1"/>
    <w:rsid w:val="00654C2B"/>
    <w:rsid w:val="00654D97"/>
    <w:rsid w:val="00654DE8"/>
    <w:rsid w:val="00654E65"/>
    <w:rsid w:val="00654E93"/>
    <w:rsid w:val="00654FEE"/>
    <w:rsid w:val="0065503E"/>
    <w:rsid w:val="006551B5"/>
    <w:rsid w:val="00655336"/>
    <w:rsid w:val="0065560E"/>
    <w:rsid w:val="006558A1"/>
    <w:rsid w:val="00655DC9"/>
    <w:rsid w:val="00655E4B"/>
    <w:rsid w:val="0065601E"/>
    <w:rsid w:val="0065603B"/>
    <w:rsid w:val="0065615C"/>
    <w:rsid w:val="0065625D"/>
    <w:rsid w:val="006562CD"/>
    <w:rsid w:val="0065661D"/>
    <w:rsid w:val="00656634"/>
    <w:rsid w:val="006566A3"/>
    <w:rsid w:val="0065671A"/>
    <w:rsid w:val="0065682A"/>
    <w:rsid w:val="00656B62"/>
    <w:rsid w:val="00656B7D"/>
    <w:rsid w:val="0065711E"/>
    <w:rsid w:val="00657166"/>
    <w:rsid w:val="0065723E"/>
    <w:rsid w:val="0065764B"/>
    <w:rsid w:val="006579EE"/>
    <w:rsid w:val="00657B92"/>
    <w:rsid w:val="00657F14"/>
    <w:rsid w:val="0066005D"/>
    <w:rsid w:val="0066009E"/>
    <w:rsid w:val="0066019B"/>
    <w:rsid w:val="00660284"/>
    <w:rsid w:val="00660902"/>
    <w:rsid w:val="006609CD"/>
    <w:rsid w:val="00660B00"/>
    <w:rsid w:val="00660B0A"/>
    <w:rsid w:val="00660BA1"/>
    <w:rsid w:val="00660BB2"/>
    <w:rsid w:val="00660C1F"/>
    <w:rsid w:val="00660F44"/>
    <w:rsid w:val="00660FC0"/>
    <w:rsid w:val="006610B1"/>
    <w:rsid w:val="00661565"/>
    <w:rsid w:val="006615B5"/>
    <w:rsid w:val="006617B1"/>
    <w:rsid w:val="00661809"/>
    <w:rsid w:val="00661890"/>
    <w:rsid w:val="00661B08"/>
    <w:rsid w:val="00661C28"/>
    <w:rsid w:val="00661D75"/>
    <w:rsid w:val="00661E60"/>
    <w:rsid w:val="00661E6D"/>
    <w:rsid w:val="00662081"/>
    <w:rsid w:val="0066216C"/>
    <w:rsid w:val="00662220"/>
    <w:rsid w:val="006622AB"/>
    <w:rsid w:val="00662311"/>
    <w:rsid w:val="00662A1D"/>
    <w:rsid w:val="00662AB2"/>
    <w:rsid w:val="00662D39"/>
    <w:rsid w:val="006636EC"/>
    <w:rsid w:val="006637BA"/>
    <w:rsid w:val="00663876"/>
    <w:rsid w:val="006638BF"/>
    <w:rsid w:val="00663AE1"/>
    <w:rsid w:val="00663F2E"/>
    <w:rsid w:val="00664004"/>
    <w:rsid w:val="00664158"/>
    <w:rsid w:val="006641F5"/>
    <w:rsid w:val="006642D1"/>
    <w:rsid w:val="0066431F"/>
    <w:rsid w:val="00664493"/>
    <w:rsid w:val="00664588"/>
    <w:rsid w:val="00664787"/>
    <w:rsid w:val="006651C7"/>
    <w:rsid w:val="006652AA"/>
    <w:rsid w:val="006652DD"/>
    <w:rsid w:val="00665449"/>
    <w:rsid w:val="006654C6"/>
    <w:rsid w:val="00665528"/>
    <w:rsid w:val="0066562A"/>
    <w:rsid w:val="006658AF"/>
    <w:rsid w:val="00665B13"/>
    <w:rsid w:val="00665D3B"/>
    <w:rsid w:val="00665D58"/>
    <w:rsid w:val="00665E65"/>
    <w:rsid w:val="00666019"/>
    <w:rsid w:val="00666120"/>
    <w:rsid w:val="00666474"/>
    <w:rsid w:val="0066667A"/>
    <w:rsid w:val="00666A64"/>
    <w:rsid w:val="00666AFF"/>
    <w:rsid w:val="00666DEC"/>
    <w:rsid w:val="00666E17"/>
    <w:rsid w:val="00666F47"/>
    <w:rsid w:val="00666F6B"/>
    <w:rsid w:val="006671AB"/>
    <w:rsid w:val="006676C0"/>
    <w:rsid w:val="00667778"/>
    <w:rsid w:val="006677BD"/>
    <w:rsid w:val="006677E6"/>
    <w:rsid w:val="006677FD"/>
    <w:rsid w:val="006679E9"/>
    <w:rsid w:val="00667C0A"/>
    <w:rsid w:val="00667C85"/>
    <w:rsid w:val="00667D1A"/>
    <w:rsid w:val="00667F0D"/>
    <w:rsid w:val="006702CB"/>
    <w:rsid w:val="0067069C"/>
    <w:rsid w:val="0067076E"/>
    <w:rsid w:val="006707A8"/>
    <w:rsid w:val="006709EF"/>
    <w:rsid w:val="00670B7E"/>
    <w:rsid w:val="00670BBB"/>
    <w:rsid w:val="00670E4D"/>
    <w:rsid w:val="00670E4E"/>
    <w:rsid w:val="00670ECC"/>
    <w:rsid w:val="00670EE8"/>
    <w:rsid w:val="006710EC"/>
    <w:rsid w:val="006713FB"/>
    <w:rsid w:val="006715CC"/>
    <w:rsid w:val="006717E5"/>
    <w:rsid w:val="00671A54"/>
    <w:rsid w:val="00671AC4"/>
    <w:rsid w:val="00671AD4"/>
    <w:rsid w:val="00671B30"/>
    <w:rsid w:val="00671BC5"/>
    <w:rsid w:val="00671BCC"/>
    <w:rsid w:val="00671C85"/>
    <w:rsid w:val="00671D10"/>
    <w:rsid w:val="00671D4B"/>
    <w:rsid w:val="00671EF6"/>
    <w:rsid w:val="00671F0D"/>
    <w:rsid w:val="00671F10"/>
    <w:rsid w:val="00671F24"/>
    <w:rsid w:val="0067206F"/>
    <w:rsid w:val="00672354"/>
    <w:rsid w:val="0067237D"/>
    <w:rsid w:val="006723C6"/>
    <w:rsid w:val="00672499"/>
    <w:rsid w:val="006725E8"/>
    <w:rsid w:val="00672668"/>
    <w:rsid w:val="00672912"/>
    <w:rsid w:val="00672943"/>
    <w:rsid w:val="006729BA"/>
    <w:rsid w:val="00672BBD"/>
    <w:rsid w:val="00672C8B"/>
    <w:rsid w:val="00672C9C"/>
    <w:rsid w:val="00673242"/>
    <w:rsid w:val="00673282"/>
    <w:rsid w:val="00673380"/>
    <w:rsid w:val="0067339F"/>
    <w:rsid w:val="00673868"/>
    <w:rsid w:val="006738A8"/>
    <w:rsid w:val="00673A36"/>
    <w:rsid w:val="00673A8A"/>
    <w:rsid w:val="00673AC8"/>
    <w:rsid w:val="00673B39"/>
    <w:rsid w:val="00673D55"/>
    <w:rsid w:val="00673D70"/>
    <w:rsid w:val="00673DB0"/>
    <w:rsid w:val="00673FCA"/>
    <w:rsid w:val="00674127"/>
    <w:rsid w:val="006741DD"/>
    <w:rsid w:val="006744A0"/>
    <w:rsid w:val="00674501"/>
    <w:rsid w:val="00674804"/>
    <w:rsid w:val="00674A46"/>
    <w:rsid w:val="00674CBB"/>
    <w:rsid w:val="00674F50"/>
    <w:rsid w:val="00674F8F"/>
    <w:rsid w:val="00674FAC"/>
    <w:rsid w:val="006752F4"/>
    <w:rsid w:val="006754C7"/>
    <w:rsid w:val="0067580C"/>
    <w:rsid w:val="00675C39"/>
    <w:rsid w:val="00675C3A"/>
    <w:rsid w:val="00675D80"/>
    <w:rsid w:val="00675E35"/>
    <w:rsid w:val="00675EDA"/>
    <w:rsid w:val="00675EF9"/>
    <w:rsid w:val="00675F05"/>
    <w:rsid w:val="00675F35"/>
    <w:rsid w:val="00675F50"/>
    <w:rsid w:val="006760E5"/>
    <w:rsid w:val="00676209"/>
    <w:rsid w:val="00676381"/>
    <w:rsid w:val="006763F3"/>
    <w:rsid w:val="00676489"/>
    <w:rsid w:val="00676499"/>
    <w:rsid w:val="006765ED"/>
    <w:rsid w:val="006767CF"/>
    <w:rsid w:val="00676996"/>
    <w:rsid w:val="006769D3"/>
    <w:rsid w:val="00676ACB"/>
    <w:rsid w:val="00676CDC"/>
    <w:rsid w:val="00676D74"/>
    <w:rsid w:val="00676E5F"/>
    <w:rsid w:val="00676E7E"/>
    <w:rsid w:val="0067713F"/>
    <w:rsid w:val="006771AE"/>
    <w:rsid w:val="006772C2"/>
    <w:rsid w:val="0067733E"/>
    <w:rsid w:val="00677467"/>
    <w:rsid w:val="00677493"/>
    <w:rsid w:val="00677690"/>
    <w:rsid w:val="006778D8"/>
    <w:rsid w:val="0067792B"/>
    <w:rsid w:val="00677AA5"/>
    <w:rsid w:val="00677B9A"/>
    <w:rsid w:val="00677DFA"/>
    <w:rsid w:val="00677EAB"/>
    <w:rsid w:val="00677F6A"/>
    <w:rsid w:val="006800F6"/>
    <w:rsid w:val="00680137"/>
    <w:rsid w:val="0068038C"/>
    <w:rsid w:val="0068040B"/>
    <w:rsid w:val="0068065E"/>
    <w:rsid w:val="00680ABE"/>
    <w:rsid w:val="00680AE4"/>
    <w:rsid w:val="0068108A"/>
    <w:rsid w:val="00681095"/>
    <w:rsid w:val="006811F5"/>
    <w:rsid w:val="0068122B"/>
    <w:rsid w:val="0068124B"/>
    <w:rsid w:val="00681297"/>
    <w:rsid w:val="006813F9"/>
    <w:rsid w:val="00681412"/>
    <w:rsid w:val="00681524"/>
    <w:rsid w:val="00681762"/>
    <w:rsid w:val="00681786"/>
    <w:rsid w:val="00681A79"/>
    <w:rsid w:val="00681A7E"/>
    <w:rsid w:val="00681FA6"/>
    <w:rsid w:val="0068207D"/>
    <w:rsid w:val="00682113"/>
    <w:rsid w:val="006821B8"/>
    <w:rsid w:val="00682338"/>
    <w:rsid w:val="006824B1"/>
    <w:rsid w:val="00682713"/>
    <w:rsid w:val="00682A8B"/>
    <w:rsid w:val="00682A8E"/>
    <w:rsid w:val="00682CBB"/>
    <w:rsid w:val="00682E20"/>
    <w:rsid w:val="006830F1"/>
    <w:rsid w:val="00683122"/>
    <w:rsid w:val="006837F7"/>
    <w:rsid w:val="006838C4"/>
    <w:rsid w:val="006839A5"/>
    <w:rsid w:val="00683B7D"/>
    <w:rsid w:val="00683C95"/>
    <w:rsid w:val="00684095"/>
    <w:rsid w:val="00684153"/>
    <w:rsid w:val="0068415E"/>
    <w:rsid w:val="006843E1"/>
    <w:rsid w:val="006844B4"/>
    <w:rsid w:val="006848E7"/>
    <w:rsid w:val="006849EA"/>
    <w:rsid w:val="00684F22"/>
    <w:rsid w:val="00684F68"/>
    <w:rsid w:val="006851C5"/>
    <w:rsid w:val="006852BD"/>
    <w:rsid w:val="00685488"/>
    <w:rsid w:val="00685524"/>
    <w:rsid w:val="00685618"/>
    <w:rsid w:val="00685AED"/>
    <w:rsid w:val="00685B3F"/>
    <w:rsid w:val="00685CBD"/>
    <w:rsid w:val="00685FC3"/>
    <w:rsid w:val="006860BD"/>
    <w:rsid w:val="00686199"/>
    <w:rsid w:val="006868AE"/>
    <w:rsid w:val="00686A9B"/>
    <w:rsid w:val="00687282"/>
    <w:rsid w:val="0068729E"/>
    <w:rsid w:val="00687322"/>
    <w:rsid w:val="00687459"/>
    <w:rsid w:val="00687657"/>
    <w:rsid w:val="006879AE"/>
    <w:rsid w:val="00687B8F"/>
    <w:rsid w:val="00687C11"/>
    <w:rsid w:val="00687F10"/>
    <w:rsid w:val="0069002C"/>
    <w:rsid w:val="006901A4"/>
    <w:rsid w:val="0069027C"/>
    <w:rsid w:val="006907B4"/>
    <w:rsid w:val="00690A0F"/>
    <w:rsid w:val="00690AA0"/>
    <w:rsid w:val="00690B14"/>
    <w:rsid w:val="00690B61"/>
    <w:rsid w:val="00690D8F"/>
    <w:rsid w:val="00690F35"/>
    <w:rsid w:val="00691218"/>
    <w:rsid w:val="0069125B"/>
    <w:rsid w:val="0069163A"/>
    <w:rsid w:val="0069172C"/>
    <w:rsid w:val="00691839"/>
    <w:rsid w:val="00691919"/>
    <w:rsid w:val="00691C6A"/>
    <w:rsid w:val="00691D79"/>
    <w:rsid w:val="00691EFD"/>
    <w:rsid w:val="00691FCC"/>
    <w:rsid w:val="00692268"/>
    <w:rsid w:val="006923C3"/>
    <w:rsid w:val="00692568"/>
    <w:rsid w:val="006925BE"/>
    <w:rsid w:val="00692A14"/>
    <w:rsid w:val="00692A8E"/>
    <w:rsid w:val="00692DEA"/>
    <w:rsid w:val="00692E56"/>
    <w:rsid w:val="0069320E"/>
    <w:rsid w:val="00693602"/>
    <w:rsid w:val="00693719"/>
    <w:rsid w:val="00693A80"/>
    <w:rsid w:val="006943F7"/>
    <w:rsid w:val="0069462D"/>
    <w:rsid w:val="006949EE"/>
    <w:rsid w:val="00694B6A"/>
    <w:rsid w:val="00694C9C"/>
    <w:rsid w:val="00694C9E"/>
    <w:rsid w:val="00694E4A"/>
    <w:rsid w:val="00694EC2"/>
    <w:rsid w:val="00694EFD"/>
    <w:rsid w:val="006953BA"/>
    <w:rsid w:val="006954F8"/>
    <w:rsid w:val="00695561"/>
    <w:rsid w:val="006956E6"/>
    <w:rsid w:val="00695888"/>
    <w:rsid w:val="00695A0D"/>
    <w:rsid w:val="00695A1D"/>
    <w:rsid w:val="00695BEA"/>
    <w:rsid w:val="00695E0F"/>
    <w:rsid w:val="00695E5A"/>
    <w:rsid w:val="006960D1"/>
    <w:rsid w:val="006966D9"/>
    <w:rsid w:val="00696733"/>
    <w:rsid w:val="006968A8"/>
    <w:rsid w:val="0069691E"/>
    <w:rsid w:val="00696953"/>
    <w:rsid w:val="00696995"/>
    <w:rsid w:val="00696D44"/>
    <w:rsid w:val="00696DBF"/>
    <w:rsid w:val="00696EB3"/>
    <w:rsid w:val="00696F45"/>
    <w:rsid w:val="006971E0"/>
    <w:rsid w:val="00697416"/>
    <w:rsid w:val="00697526"/>
    <w:rsid w:val="00697624"/>
    <w:rsid w:val="00697842"/>
    <w:rsid w:val="00697895"/>
    <w:rsid w:val="00697A5E"/>
    <w:rsid w:val="00697B9C"/>
    <w:rsid w:val="00697CBB"/>
    <w:rsid w:val="00697CCD"/>
    <w:rsid w:val="00697CDB"/>
    <w:rsid w:val="00697D56"/>
    <w:rsid w:val="00697F0A"/>
    <w:rsid w:val="00697F24"/>
    <w:rsid w:val="00697FE1"/>
    <w:rsid w:val="006A0277"/>
    <w:rsid w:val="006A03CE"/>
    <w:rsid w:val="006A0504"/>
    <w:rsid w:val="006A0547"/>
    <w:rsid w:val="006A0A1A"/>
    <w:rsid w:val="006A0B47"/>
    <w:rsid w:val="006A0D2B"/>
    <w:rsid w:val="006A0E02"/>
    <w:rsid w:val="006A0FA0"/>
    <w:rsid w:val="006A1027"/>
    <w:rsid w:val="006A10FE"/>
    <w:rsid w:val="006A115C"/>
    <w:rsid w:val="006A1436"/>
    <w:rsid w:val="006A17AA"/>
    <w:rsid w:val="006A1898"/>
    <w:rsid w:val="006A198E"/>
    <w:rsid w:val="006A1A6A"/>
    <w:rsid w:val="006A1BC9"/>
    <w:rsid w:val="006A1C09"/>
    <w:rsid w:val="006A1D0B"/>
    <w:rsid w:val="006A1D21"/>
    <w:rsid w:val="006A1F75"/>
    <w:rsid w:val="006A209E"/>
    <w:rsid w:val="006A22D2"/>
    <w:rsid w:val="006A24F2"/>
    <w:rsid w:val="006A28DC"/>
    <w:rsid w:val="006A2994"/>
    <w:rsid w:val="006A2B44"/>
    <w:rsid w:val="006A3269"/>
    <w:rsid w:val="006A3515"/>
    <w:rsid w:val="006A3568"/>
    <w:rsid w:val="006A39CC"/>
    <w:rsid w:val="006A3DB9"/>
    <w:rsid w:val="006A41C8"/>
    <w:rsid w:val="006A41F4"/>
    <w:rsid w:val="006A4272"/>
    <w:rsid w:val="006A44F2"/>
    <w:rsid w:val="006A4643"/>
    <w:rsid w:val="006A4691"/>
    <w:rsid w:val="006A46B5"/>
    <w:rsid w:val="006A4AC3"/>
    <w:rsid w:val="006A4B18"/>
    <w:rsid w:val="006A4DAB"/>
    <w:rsid w:val="006A4E37"/>
    <w:rsid w:val="006A5264"/>
    <w:rsid w:val="006A5541"/>
    <w:rsid w:val="006A55E7"/>
    <w:rsid w:val="006A58F5"/>
    <w:rsid w:val="006A5CBD"/>
    <w:rsid w:val="006A5D46"/>
    <w:rsid w:val="006A5D81"/>
    <w:rsid w:val="006A5E85"/>
    <w:rsid w:val="006A6182"/>
    <w:rsid w:val="006A670A"/>
    <w:rsid w:val="006A6987"/>
    <w:rsid w:val="006A6A44"/>
    <w:rsid w:val="006A6DBC"/>
    <w:rsid w:val="006A6E8D"/>
    <w:rsid w:val="006A6FA2"/>
    <w:rsid w:val="006A740C"/>
    <w:rsid w:val="006A7497"/>
    <w:rsid w:val="006A756F"/>
    <w:rsid w:val="006A75D6"/>
    <w:rsid w:val="006A76B3"/>
    <w:rsid w:val="006A789E"/>
    <w:rsid w:val="006A7980"/>
    <w:rsid w:val="006A7CA5"/>
    <w:rsid w:val="006A7E05"/>
    <w:rsid w:val="006A7E0A"/>
    <w:rsid w:val="006B00C4"/>
    <w:rsid w:val="006B0378"/>
    <w:rsid w:val="006B0537"/>
    <w:rsid w:val="006B05C6"/>
    <w:rsid w:val="006B0726"/>
    <w:rsid w:val="006B0786"/>
    <w:rsid w:val="006B0840"/>
    <w:rsid w:val="006B0FEA"/>
    <w:rsid w:val="006B1090"/>
    <w:rsid w:val="006B10EB"/>
    <w:rsid w:val="006B1373"/>
    <w:rsid w:val="006B14D9"/>
    <w:rsid w:val="006B1822"/>
    <w:rsid w:val="006B182C"/>
    <w:rsid w:val="006B1E1C"/>
    <w:rsid w:val="006B1EAD"/>
    <w:rsid w:val="006B21DF"/>
    <w:rsid w:val="006B241D"/>
    <w:rsid w:val="006B2AA7"/>
    <w:rsid w:val="006B2AD7"/>
    <w:rsid w:val="006B2DF8"/>
    <w:rsid w:val="006B31B6"/>
    <w:rsid w:val="006B3213"/>
    <w:rsid w:val="006B33D6"/>
    <w:rsid w:val="006B3413"/>
    <w:rsid w:val="006B3590"/>
    <w:rsid w:val="006B361A"/>
    <w:rsid w:val="006B3783"/>
    <w:rsid w:val="006B378A"/>
    <w:rsid w:val="006B39A1"/>
    <w:rsid w:val="006B39E3"/>
    <w:rsid w:val="006B3A72"/>
    <w:rsid w:val="006B3B88"/>
    <w:rsid w:val="006B3C1A"/>
    <w:rsid w:val="006B3D56"/>
    <w:rsid w:val="006B4411"/>
    <w:rsid w:val="006B449B"/>
    <w:rsid w:val="006B4683"/>
    <w:rsid w:val="006B46E7"/>
    <w:rsid w:val="006B4913"/>
    <w:rsid w:val="006B4AE5"/>
    <w:rsid w:val="006B4C22"/>
    <w:rsid w:val="006B4C98"/>
    <w:rsid w:val="006B4CA9"/>
    <w:rsid w:val="006B4CAB"/>
    <w:rsid w:val="006B4D4A"/>
    <w:rsid w:val="006B4F5D"/>
    <w:rsid w:val="006B5240"/>
    <w:rsid w:val="006B5370"/>
    <w:rsid w:val="006B54FB"/>
    <w:rsid w:val="006B5629"/>
    <w:rsid w:val="006B5725"/>
    <w:rsid w:val="006B599E"/>
    <w:rsid w:val="006B5A01"/>
    <w:rsid w:val="006B5BA1"/>
    <w:rsid w:val="006B5C1C"/>
    <w:rsid w:val="006B5CCC"/>
    <w:rsid w:val="006B5DCE"/>
    <w:rsid w:val="006B5F42"/>
    <w:rsid w:val="006B655E"/>
    <w:rsid w:val="006B66AF"/>
    <w:rsid w:val="006B6737"/>
    <w:rsid w:val="006B686C"/>
    <w:rsid w:val="006B6E98"/>
    <w:rsid w:val="006B6EEC"/>
    <w:rsid w:val="006B6F7E"/>
    <w:rsid w:val="006B6FCB"/>
    <w:rsid w:val="006B70BA"/>
    <w:rsid w:val="006B719E"/>
    <w:rsid w:val="006B719F"/>
    <w:rsid w:val="006B727D"/>
    <w:rsid w:val="006B72D9"/>
    <w:rsid w:val="006B730C"/>
    <w:rsid w:val="006B73C3"/>
    <w:rsid w:val="006B7533"/>
    <w:rsid w:val="006B75CE"/>
    <w:rsid w:val="006B7637"/>
    <w:rsid w:val="006B76C7"/>
    <w:rsid w:val="006B77EF"/>
    <w:rsid w:val="006B7AD1"/>
    <w:rsid w:val="006B7D61"/>
    <w:rsid w:val="006B7E4D"/>
    <w:rsid w:val="006B7FAC"/>
    <w:rsid w:val="006C0296"/>
    <w:rsid w:val="006C02C4"/>
    <w:rsid w:val="006C0557"/>
    <w:rsid w:val="006C0699"/>
    <w:rsid w:val="006C07EB"/>
    <w:rsid w:val="006C08FC"/>
    <w:rsid w:val="006C0A06"/>
    <w:rsid w:val="006C0D16"/>
    <w:rsid w:val="006C0D41"/>
    <w:rsid w:val="006C12AA"/>
    <w:rsid w:val="006C148C"/>
    <w:rsid w:val="006C1569"/>
    <w:rsid w:val="006C19B1"/>
    <w:rsid w:val="006C1A5D"/>
    <w:rsid w:val="006C1D8B"/>
    <w:rsid w:val="006C248F"/>
    <w:rsid w:val="006C25D7"/>
    <w:rsid w:val="006C27C2"/>
    <w:rsid w:val="006C2911"/>
    <w:rsid w:val="006C2974"/>
    <w:rsid w:val="006C2C4F"/>
    <w:rsid w:val="006C2CF7"/>
    <w:rsid w:val="006C2D63"/>
    <w:rsid w:val="006C2EC9"/>
    <w:rsid w:val="006C312D"/>
    <w:rsid w:val="006C3455"/>
    <w:rsid w:val="006C3632"/>
    <w:rsid w:val="006C3643"/>
    <w:rsid w:val="006C38AC"/>
    <w:rsid w:val="006C3991"/>
    <w:rsid w:val="006C3A9A"/>
    <w:rsid w:val="006C3C34"/>
    <w:rsid w:val="006C40C9"/>
    <w:rsid w:val="006C42DC"/>
    <w:rsid w:val="006C4328"/>
    <w:rsid w:val="006C4541"/>
    <w:rsid w:val="006C4637"/>
    <w:rsid w:val="006C46E7"/>
    <w:rsid w:val="006C4883"/>
    <w:rsid w:val="006C4B14"/>
    <w:rsid w:val="006C4B9A"/>
    <w:rsid w:val="006C4CC8"/>
    <w:rsid w:val="006C4D85"/>
    <w:rsid w:val="006C4EAF"/>
    <w:rsid w:val="006C51F5"/>
    <w:rsid w:val="006C522A"/>
    <w:rsid w:val="006C53F1"/>
    <w:rsid w:val="006C55CC"/>
    <w:rsid w:val="006C596D"/>
    <w:rsid w:val="006C5ACC"/>
    <w:rsid w:val="006C5CE8"/>
    <w:rsid w:val="006C5D57"/>
    <w:rsid w:val="006C5F9C"/>
    <w:rsid w:val="006C6258"/>
    <w:rsid w:val="006C643C"/>
    <w:rsid w:val="006C649D"/>
    <w:rsid w:val="006C6630"/>
    <w:rsid w:val="006C679C"/>
    <w:rsid w:val="006C6954"/>
    <w:rsid w:val="006C6AF5"/>
    <w:rsid w:val="006C6DFB"/>
    <w:rsid w:val="006C6E06"/>
    <w:rsid w:val="006C6EA8"/>
    <w:rsid w:val="006C6FFD"/>
    <w:rsid w:val="006C71B7"/>
    <w:rsid w:val="006C71EF"/>
    <w:rsid w:val="006C72D9"/>
    <w:rsid w:val="006C731B"/>
    <w:rsid w:val="006C747F"/>
    <w:rsid w:val="006C7734"/>
    <w:rsid w:val="006C7A93"/>
    <w:rsid w:val="006C7B59"/>
    <w:rsid w:val="006C7C35"/>
    <w:rsid w:val="006C7DBA"/>
    <w:rsid w:val="006C7E01"/>
    <w:rsid w:val="006C7E56"/>
    <w:rsid w:val="006C7EB1"/>
    <w:rsid w:val="006C7ECA"/>
    <w:rsid w:val="006C7ED9"/>
    <w:rsid w:val="006D00D8"/>
    <w:rsid w:val="006D0285"/>
    <w:rsid w:val="006D053D"/>
    <w:rsid w:val="006D07DE"/>
    <w:rsid w:val="006D0A8B"/>
    <w:rsid w:val="006D0B03"/>
    <w:rsid w:val="006D0F35"/>
    <w:rsid w:val="006D0F4B"/>
    <w:rsid w:val="006D12CF"/>
    <w:rsid w:val="006D12E8"/>
    <w:rsid w:val="006D142C"/>
    <w:rsid w:val="006D1435"/>
    <w:rsid w:val="006D1B36"/>
    <w:rsid w:val="006D1BF8"/>
    <w:rsid w:val="006D1CA6"/>
    <w:rsid w:val="006D1F33"/>
    <w:rsid w:val="006D1F9F"/>
    <w:rsid w:val="006D1FC2"/>
    <w:rsid w:val="006D2097"/>
    <w:rsid w:val="006D20C9"/>
    <w:rsid w:val="006D2113"/>
    <w:rsid w:val="006D2234"/>
    <w:rsid w:val="006D22F9"/>
    <w:rsid w:val="006D2359"/>
    <w:rsid w:val="006D2436"/>
    <w:rsid w:val="006D2476"/>
    <w:rsid w:val="006D25C5"/>
    <w:rsid w:val="006D2651"/>
    <w:rsid w:val="006D265C"/>
    <w:rsid w:val="006D276B"/>
    <w:rsid w:val="006D28C9"/>
    <w:rsid w:val="006D2C4D"/>
    <w:rsid w:val="006D2C4E"/>
    <w:rsid w:val="006D2DF6"/>
    <w:rsid w:val="006D3033"/>
    <w:rsid w:val="006D329B"/>
    <w:rsid w:val="006D3494"/>
    <w:rsid w:val="006D3507"/>
    <w:rsid w:val="006D365B"/>
    <w:rsid w:val="006D36F6"/>
    <w:rsid w:val="006D3C61"/>
    <w:rsid w:val="006D3C81"/>
    <w:rsid w:val="006D3CB6"/>
    <w:rsid w:val="006D3CC5"/>
    <w:rsid w:val="006D3D38"/>
    <w:rsid w:val="006D3D68"/>
    <w:rsid w:val="006D3F36"/>
    <w:rsid w:val="006D3FE3"/>
    <w:rsid w:val="006D41A9"/>
    <w:rsid w:val="006D42A8"/>
    <w:rsid w:val="006D430D"/>
    <w:rsid w:val="006D44A9"/>
    <w:rsid w:val="006D4832"/>
    <w:rsid w:val="006D4898"/>
    <w:rsid w:val="006D4978"/>
    <w:rsid w:val="006D4CB4"/>
    <w:rsid w:val="006D4D34"/>
    <w:rsid w:val="006D4D9A"/>
    <w:rsid w:val="006D53B5"/>
    <w:rsid w:val="006D5A65"/>
    <w:rsid w:val="006D5A95"/>
    <w:rsid w:val="006D5D9E"/>
    <w:rsid w:val="006D5F65"/>
    <w:rsid w:val="006D5F99"/>
    <w:rsid w:val="006D620B"/>
    <w:rsid w:val="006D628D"/>
    <w:rsid w:val="006D65CB"/>
    <w:rsid w:val="006D6890"/>
    <w:rsid w:val="006D6BDA"/>
    <w:rsid w:val="006D6D26"/>
    <w:rsid w:val="006D6D41"/>
    <w:rsid w:val="006D714E"/>
    <w:rsid w:val="006D73BC"/>
    <w:rsid w:val="006D73D2"/>
    <w:rsid w:val="006D7648"/>
    <w:rsid w:val="006D7A50"/>
    <w:rsid w:val="006D7AB1"/>
    <w:rsid w:val="006D7B19"/>
    <w:rsid w:val="006D7F29"/>
    <w:rsid w:val="006D7FF9"/>
    <w:rsid w:val="006E039B"/>
    <w:rsid w:val="006E0516"/>
    <w:rsid w:val="006E0560"/>
    <w:rsid w:val="006E0608"/>
    <w:rsid w:val="006E0620"/>
    <w:rsid w:val="006E06C8"/>
    <w:rsid w:val="006E06CE"/>
    <w:rsid w:val="006E07AA"/>
    <w:rsid w:val="006E0927"/>
    <w:rsid w:val="006E0990"/>
    <w:rsid w:val="006E0F0D"/>
    <w:rsid w:val="006E12F3"/>
    <w:rsid w:val="006E133F"/>
    <w:rsid w:val="006E1503"/>
    <w:rsid w:val="006E1603"/>
    <w:rsid w:val="006E16FB"/>
    <w:rsid w:val="006E1783"/>
    <w:rsid w:val="006E178E"/>
    <w:rsid w:val="006E17EF"/>
    <w:rsid w:val="006E1A11"/>
    <w:rsid w:val="006E1D1B"/>
    <w:rsid w:val="006E2142"/>
    <w:rsid w:val="006E219C"/>
    <w:rsid w:val="006E219F"/>
    <w:rsid w:val="006E2268"/>
    <w:rsid w:val="006E2271"/>
    <w:rsid w:val="006E246F"/>
    <w:rsid w:val="006E255A"/>
    <w:rsid w:val="006E294F"/>
    <w:rsid w:val="006E2B81"/>
    <w:rsid w:val="006E2B8A"/>
    <w:rsid w:val="006E2BFD"/>
    <w:rsid w:val="006E2C60"/>
    <w:rsid w:val="006E2CDD"/>
    <w:rsid w:val="006E2D14"/>
    <w:rsid w:val="006E2D66"/>
    <w:rsid w:val="006E2D76"/>
    <w:rsid w:val="006E2ECE"/>
    <w:rsid w:val="006E2FFE"/>
    <w:rsid w:val="006E3180"/>
    <w:rsid w:val="006E3370"/>
    <w:rsid w:val="006E337A"/>
    <w:rsid w:val="006E363C"/>
    <w:rsid w:val="006E38C1"/>
    <w:rsid w:val="006E39B6"/>
    <w:rsid w:val="006E419D"/>
    <w:rsid w:val="006E426D"/>
    <w:rsid w:val="006E4526"/>
    <w:rsid w:val="006E45E8"/>
    <w:rsid w:val="006E4B14"/>
    <w:rsid w:val="006E4B35"/>
    <w:rsid w:val="006E4C2E"/>
    <w:rsid w:val="006E50B2"/>
    <w:rsid w:val="006E51F3"/>
    <w:rsid w:val="006E5379"/>
    <w:rsid w:val="006E5590"/>
    <w:rsid w:val="006E560E"/>
    <w:rsid w:val="006E574D"/>
    <w:rsid w:val="006E577D"/>
    <w:rsid w:val="006E589E"/>
    <w:rsid w:val="006E5913"/>
    <w:rsid w:val="006E59C8"/>
    <w:rsid w:val="006E5AA9"/>
    <w:rsid w:val="006E5C85"/>
    <w:rsid w:val="006E5C86"/>
    <w:rsid w:val="006E6218"/>
    <w:rsid w:val="006E635F"/>
    <w:rsid w:val="006E6369"/>
    <w:rsid w:val="006E639B"/>
    <w:rsid w:val="006E642A"/>
    <w:rsid w:val="006E6474"/>
    <w:rsid w:val="006E6AFE"/>
    <w:rsid w:val="006E6BDA"/>
    <w:rsid w:val="006E6FA5"/>
    <w:rsid w:val="006E72D1"/>
    <w:rsid w:val="006E7412"/>
    <w:rsid w:val="006E764B"/>
    <w:rsid w:val="006E76E5"/>
    <w:rsid w:val="006E7812"/>
    <w:rsid w:val="006E7851"/>
    <w:rsid w:val="006E790A"/>
    <w:rsid w:val="006E7911"/>
    <w:rsid w:val="006E7DB4"/>
    <w:rsid w:val="006E7FE8"/>
    <w:rsid w:val="006F04FE"/>
    <w:rsid w:val="006F0663"/>
    <w:rsid w:val="006F0698"/>
    <w:rsid w:val="006F0699"/>
    <w:rsid w:val="006F0739"/>
    <w:rsid w:val="006F0845"/>
    <w:rsid w:val="006F0995"/>
    <w:rsid w:val="006F0B1C"/>
    <w:rsid w:val="006F0CA5"/>
    <w:rsid w:val="006F0D25"/>
    <w:rsid w:val="006F11A8"/>
    <w:rsid w:val="006F1378"/>
    <w:rsid w:val="006F1451"/>
    <w:rsid w:val="006F1453"/>
    <w:rsid w:val="006F1503"/>
    <w:rsid w:val="006F1552"/>
    <w:rsid w:val="006F158A"/>
    <w:rsid w:val="006F1748"/>
    <w:rsid w:val="006F187B"/>
    <w:rsid w:val="006F1891"/>
    <w:rsid w:val="006F1946"/>
    <w:rsid w:val="006F1A19"/>
    <w:rsid w:val="006F1C27"/>
    <w:rsid w:val="006F2052"/>
    <w:rsid w:val="006F2168"/>
    <w:rsid w:val="006F217B"/>
    <w:rsid w:val="006F23D0"/>
    <w:rsid w:val="006F23E1"/>
    <w:rsid w:val="006F2473"/>
    <w:rsid w:val="006F2522"/>
    <w:rsid w:val="006F2645"/>
    <w:rsid w:val="006F289F"/>
    <w:rsid w:val="006F2925"/>
    <w:rsid w:val="006F2ABB"/>
    <w:rsid w:val="006F2BFC"/>
    <w:rsid w:val="006F2E69"/>
    <w:rsid w:val="006F2F35"/>
    <w:rsid w:val="006F31DF"/>
    <w:rsid w:val="006F31F8"/>
    <w:rsid w:val="006F3AEB"/>
    <w:rsid w:val="006F3EC6"/>
    <w:rsid w:val="006F449A"/>
    <w:rsid w:val="006F46F3"/>
    <w:rsid w:val="006F4711"/>
    <w:rsid w:val="006F4862"/>
    <w:rsid w:val="006F4ACA"/>
    <w:rsid w:val="006F4ACC"/>
    <w:rsid w:val="006F4B6D"/>
    <w:rsid w:val="006F4FD6"/>
    <w:rsid w:val="006F5018"/>
    <w:rsid w:val="006F50D8"/>
    <w:rsid w:val="006F523E"/>
    <w:rsid w:val="006F52B2"/>
    <w:rsid w:val="006F52DA"/>
    <w:rsid w:val="006F5321"/>
    <w:rsid w:val="006F54EA"/>
    <w:rsid w:val="006F55AA"/>
    <w:rsid w:val="006F57EE"/>
    <w:rsid w:val="006F5927"/>
    <w:rsid w:val="006F5959"/>
    <w:rsid w:val="006F5BC0"/>
    <w:rsid w:val="006F5C6E"/>
    <w:rsid w:val="006F5E78"/>
    <w:rsid w:val="006F6121"/>
    <w:rsid w:val="006F62F6"/>
    <w:rsid w:val="006F647B"/>
    <w:rsid w:val="006F64AB"/>
    <w:rsid w:val="006F659E"/>
    <w:rsid w:val="006F6670"/>
    <w:rsid w:val="006F6793"/>
    <w:rsid w:val="006F6855"/>
    <w:rsid w:val="006F6CC8"/>
    <w:rsid w:val="006F6E82"/>
    <w:rsid w:val="006F6EB2"/>
    <w:rsid w:val="006F707F"/>
    <w:rsid w:val="006F710C"/>
    <w:rsid w:val="006F72AB"/>
    <w:rsid w:val="006F7451"/>
    <w:rsid w:val="006F7488"/>
    <w:rsid w:val="006F75B7"/>
    <w:rsid w:val="006F75CF"/>
    <w:rsid w:val="006F772C"/>
    <w:rsid w:val="006F77AF"/>
    <w:rsid w:val="006F7841"/>
    <w:rsid w:val="006F7884"/>
    <w:rsid w:val="006F78AB"/>
    <w:rsid w:val="006F79CB"/>
    <w:rsid w:val="006F79EE"/>
    <w:rsid w:val="006F7A43"/>
    <w:rsid w:val="006F7D96"/>
    <w:rsid w:val="0070018C"/>
    <w:rsid w:val="00700211"/>
    <w:rsid w:val="00700243"/>
    <w:rsid w:val="007002B4"/>
    <w:rsid w:val="0070045A"/>
    <w:rsid w:val="0070048B"/>
    <w:rsid w:val="00700510"/>
    <w:rsid w:val="00700625"/>
    <w:rsid w:val="007008C5"/>
    <w:rsid w:val="00700D29"/>
    <w:rsid w:val="00700E14"/>
    <w:rsid w:val="00700E19"/>
    <w:rsid w:val="00700F09"/>
    <w:rsid w:val="007010CA"/>
    <w:rsid w:val="0070111F"/>
    <w:rsid w:val="0070115B"/>
    <w:rsid w:val="007012A6"/>
    <w:rsid w:val="00701664"/>
    <w:rsid w:val="0070166F"/>
    <w:rsid w:val="00701A8A"/>
    <w:rsid w:val="00701C13"/>
    <w:rsid w:val="00701C19"/>
    <w:rsid w:val="00701C75"/>
    <w:rsid w:val="00701E8C"/>
    <w:rsid w:val="00701FA9"/>
    <w:rsid w:val="00701FE6"/>
    <w:rsid w:val="00702188"/>
    <w:rsid w:val="00702286"/>
    <w:rsid w:val="0070258C"/>
    <w:rsid w:val="00702651"/>
    <w:rsid w:val="00702809"/>
    <w:rsid w:val="007028A5"/>
    <w:rsid w:val="00702977"/>
    <w:rsid w:val="00702DDA"/>
    <w:rsid w:val="00702DEA"/>
    <w:rsid w:val="00702E73"/>
    <w:rsid w:val="007032F9"/>
    <w:rsid w:val="0070395E"/>
    <w:rsid w:val="00703A23"/>
    <w:rsid w:val="00703A5F"/>
    <w:rsid w:val="00703B98"/>
    <w:rsid w:val="00703D05"/>
    <w:rsid w:val="00703FAD"/>
    <w:rsid w:val="0070401D"/>
    <w:rsid w:val="00704164"/>
    <w:rsid w:val="00704500"/>
    <w:rsid w:val="00704712"/>
    <w:rsid w:val="00704A81"/>
    <w:rsid w:val="00704AFC"/>
    <w:rsid w:val="00704C2D"/>
    <w:rsid w:val="00704E60"/>
    <w:rsid w:val="007050B9"/>
    <w:rsid w:val="00705110"/>
    <w:rsid w:val="00705358"/>
    <w:rsid w:val="007057EB"/>
    <w:rsid w:val="007058E9"/>
    <w:rsid w:val="00705943"/>
    <w:rsid w:val="00705A69"/>
    <w:rsid w:val="00705B0E"/>
    <w:rsid w:val="00705C86"/>
    <w:rsid w:val="007062F4"/>
    <w:rsid w:val="007063B3"/>
    <w:rsid w:val="00706666"/>
    <w:rsid w:val="0070677D"/>
    <w:rsid w:val="0070682A"/>
    <w:rsid w:val="0070686A"/>
    <w:rsid w:val="0070686D"/>
    <w:rsid w:val="0070692E"/>
    <w:rsid w:val="00706942"/>
    <w:rsid w:val="00706AD8"/>
    <w:rsid w:val="00706BF6"/>
    <w:rsid w:val="00706D78"/>
    <w:rsid w:val="00706F1E"/>
    <w:rsid w:val="00706F4C"/>
    <w:rsid w:val="00706FDA"/>
    <w:rsid w:val="00707021"/>
    <w:rsid w:val="0070732E"/>
    <w:rsid w:val="007074A6"/>
    <w:rsid w:val="00707507"/>
    <w:rsid w:val="007075A2"/>
    <w:rsid w:val="00707789"/>
    <w:rsid w:val="007077B3"/>
    <w:rsid w:val="00707877"/>
    <w:rsid w:val="007078E3"/>
    <w:rsid w:val="00707A7B"/>
    <w:rsid w:val="00707B2A"/>
    <w:rsid w:val="00707BCF"/>
    <w:rsid w:val="00707E0C"/>
    <w:rsid w:val="00707E71"/>
    <w:rsid w:val="00710014"/>
    <w:rsid w:val="0071010C"/>
    <w:rsid w:val="00710371"/>
    <w:rsid w:val="007103D6"/>
    <w:rsid w:val="0071057F"/>
    <w:rsid w:val="0071076D"/>
    <w:rsid w:val="007107FA"/>
    <w:rsid w:val="007108F0"/>
    <w:rsid w:val="00710A8B"/>
    <w:rsid w:val="00710B7E"/>
    <w:rsid w:val="00711257"/>
    <w:rsid w:val="00711ADF"/>
    <w:rsid w:val="00711C7D"/>
    <w:rsid w:val="00711E89"/>
    <w:rsid w:val="00712065"/>
    <w:rsid w:val="0071222B"/>
    <w:rsid w:val="00712245"/>
    <w:rsid w:val="007128AA"/>
    <w:rsid w:val="007128DC"/>
    <w:rsid w:val="00712A61"/>
    <w:rsid w:val="00712B05"/>
    <w:rsid w:val="00712CF8"/>
    <w:rsid w:val="00712E6F"/>
    <w:rsid w:val="00712E87"/>
    <w:rsid w:val="00712EEE"/>
    <w:rsid w:val="00712F45"/>
    <w:rsid w:val="00713285"/>
    <w:rsid w:val="00713590"/>
    <w:rsid w:val="0071377A"/>
    <w:rsid w:val="007137A7"/>
    <w:rsid w:val="007137DE"/>
    <w:rsid w:val="00713917"/>
    <w:rsid w:val="0071397A"/>
    <w:rsid w:val="00713A0D"/>
    <w:rsid w:val="00713FAC"/>
    <w:rsid w:val="0071401A"/>
    <w:rsid w:val="00714139"/>
    <w:rsid w:val="00714744"/>
    <w:rsid w:val="0071486D"/>
    <w:rsid w:val="007149A9"/>
    <w:rsid w:val="00714AAF"/>
    <w:rsid w:val="00714B53"/>
    <w:rsid w:val="00714BD0"/>
    <w:rsid w:val="00714C80"/>
    <w:rsid w:val="00714E1E"/>
    <w:rsid w:val="00714FDD"/>
    <w:rsid w:val="00715142"/>
    <w:rsid w:val="007152DB"/>
    <w:rsid w:val="007153B1"/>
    <w:rsid w:val="007155BF"/>
    <w:rsid w:val="007156F4"/>
    <w:rsid w:val="007157E7"/>
    <w:rsid w:val="00715E96"/>
    <w:rsid w:val="00715F42"/>
    <w:rsid w:val="00716185"/>
    <w:rsid w:val="00716350"/>
    <w:rsid w:val="00716903"/>
    <w:rsid w:val="00716C50"/>
    <w:rsid w:val="00716EF5"/>
    <w:rsid w:val="00716FB2"/>
    <w:rsid w:val="0071703D"/>
    <w:rsid w:val="00717334"/>
    <w:rsid w:val="00717476"/>
    <w:rsid w:val="00717E71"/>
    <w:rsid w:val="00720003"/>
    <w:rsid w:val="007202A7"/>
    <w:rsid w:val="007202CD"/>
    <w:rsid w:val="00720503"/>
    <w:rsid w:val="0072051F"/>
    <w:rsid w:val="007205A8"/>
    <w:rsid w:val="00720661"/>
    <w:rsid w:val="007208F5"/>
    <w:rsid w:val="00720A00"/>
    <w:rsid w:val="00720A30"/>
    <w:rsid w:val="00720A94"/>
    <w:rsid w:val="00720B3B"/>
    <w:rsid w:val="00720EA8"/>
    <w:rsid w:val="00720F3D"/>
    <w:rsid w:val="00720F76"/>
    <w:rsid w:val="007210E7"/>
    <w:rsid w:val="007211EF"/>
    <w:rsid w:val="00721452"/>
    <w:rsid w:val="007215A6"/>
    <w:rsid w:val="00721830"/>
    <w:rsid w:val="007219AE"/>
    <w:rsid w:val="00721AEE"/>
    <w:rsid w:val="00721BEE"/>
    <w:rsid w:val="00721CEF"/>
    <w:rsid w:val="00721D64"/>
    <w:rsid w:val="00721D9C"/>
    <w:rsid w:val="00721DC8"/>
    <w:rsid w:val="00721E82"/>
    <w:rsid w:val="00721F24"/>
    <w:rsid w:val="0072214F"/>
    <w:rsid w:val="007222A6"/>
    <w:rsid w:val="007225C2"/>
    <w:rsid w:val="007227DD"/>
    <w:rsid w:val="00722CF9"/>
    <w:rsid w:val="0072309A"/>
    <w:rsid w:val="00723571"/>
    <w:rsid w:val="0072367E"/>
    <w:rsid w:val="007237CE"/>
    <w:rsid w:val="0072384C"/>
    <w:rsid w:val="007239DA"/>
    <w:rsid w:val="00723C47"/>
    <w:rsid w:val="00723E6E"/>
    <w:rsid w:val="00724207"/>
    <w:rsid w:val="00724253"/>
    <w:rsid w:val="007242A5"/>
    <w:rsid w:val="007245BE"/>
    <w:rsid w:val="007245C5"/>
    <w:rsid w:val="00724798"/>
    <w:rsid w:val="00724953"/>
    <w:rsid w:val="00724983"/>
    <w:rsid w:val="00724AEC"/>
    <w:rsid w:val="00724E7B"/>
    <w:rsid w:val="0072502F"/>
    <w:rsid w:val="007251E6"/>
    <w:rsid w:val="007251FE"/>
    <w:rsid w:val="00725805"/>
    <w:rsid w:val="00725933"/>
    <w:rsid w:val="00725F72"/>
    <w:rsid w:val="00725FB3"/>
    <w:rsid w:val="00726003"/>
    <w:rsid w:val="0072617E"/>
    <w:rsid w:val="00726665"/>
    <w:rsid w:val="0072677C"/>
    <w:rsid w:val="00726A8D"/>
    <w:rsid w:val="00726B4F"/>
    <w:rsid w:val="00726BD5"/>
    <w:rsid w:val="00726C4B"/>
    <w:rsid w:val="007271FA"/>
    <w:rsid w:val="007272F6"/>
    <w:rsid w:val="0072737B"/>
    <w:rsid w:val="007277EF"/>
    <w:rsid w:val="00727E22"/>
    <w:rsid w:val="0073003A"/>
    <w:rsid w:val="0073008B"/>
    <w:rsid w:val="0073034F"/>
    <w:rsid w:val="00730461"/>
    <w:rsid w:val="0073056B"/>
    <w:rsid w:val="00730723"/>
    <w:rsid w:val="00730912"/>
    <w:rsid w:val="007309EC"/>
    <w:rsid w:val="00730A95"/>
    <w:rsid w:val="00730EA3"/>
    <w:rsid w:val="00730EEB"/>
    <w:rsid w:val="00731007"/>
    <w:rsid w:val="00731094"/>
    <w:rsid w:val="00731159"/>
    <w:rsid w:val="00731355"/>
    <w:rsid w:val="00731485"/>
    <w:rsid w:val="007314C0"/>
    <w:rsid w:val="007315DE"/>
    <w:rsid w:val="00731613"/>
    <w:rsid w:val="007316F4"/>
    <w:rsid w:val="0073172F"/>
    <w:rsid w:val="007318F3"/>
    <w:rsid w:val="007319C9"/>
    <w:rsid w:val="007319D3"/>
    <w:rsid w:val="00731A05"/>
    <w:rsid w:val="00731C63"/>
    <w:rsid w:val="00731E49"/>
    <w:rsid w:val="00732067"/>
    <w:rsid w:val="007321E4"/>
    <w:rsid w:val="007321EE"/>
    <w:rsid w:val="007325F5"/>
    <w:rsid w:val="0073261F"/>
    <w:rsid w:val="0073266D"/>
    <w:rsid w:val="00732925"/>
    <w:rsid w:val="007329AB"/>
    <w:rsid w:val="00732BF6"/>
    <w:rsid w:val="00732CD8"/>
    <w:rsid w:val="00732DEA"/>
    <w:rsid w:val="00732F97"/>
    <w:rsid w:val="0073339A"/>
    <w:rsid w:val="007333BF"/>
    <w:rsid w:val="007333DC"/>
    <w:rsid w:val="007333EE"/>
    <w:rsid w:val="00733439"/>
    <w:rsid w:val="0073354A"/>
    <w:rsid w:val="00733558"/>
    <w:rsid w:val="00733A9C"/>
    <w:rsid w:val="00733D08"/>
    <w:rsid w:val="00733ED3"/>
    <w:rsid w:val="00733F1A"/>
    <w:rsid w:val="007342A3"/>
    <w:rsid w:val="0073432D"/>
    <w:rsid w:val="007345C2"/>
    <w:rsid w:val="00735192"/>
    <w:rsid w:val="00735C8B"/>
    <w:rsid w:val="00735D3E"/>
    <w:rsid w:val="00735ECF"/>
    <w:rsid w:val="007360B8"/>
    <w:rsid w:val="007362D7"/>
    <w:rsid w:val="00736307"/>
    <w:rsid w:val="007364C0"/>
    <w:rsid w:val="007366BC"/>
    <w:rsid w:val="007366D2"/>
    <w:rsid w:val="00736758"/>
    <w:rsid w:val="00736998"/>
    <w:rsid w:val="00736C8B"/>
    <w:rsid w:val="00736C8D"/>
    <w:rsid w:val="00737331"/>
    <w:rsid w:val="007374DB"/>
    <w:rsid w:val="00737C73"/>
    <w:rsid w:val="00737CE9"/>
    <w:rsid w:val="00737E25"/>
    <w:rsid w:val="0074003F"/>
    <w:rsid w:val="0074005A"/>
    <w:rsid w:val="007400AD"/>
    <w:rsid w:val="00740617"/>
    <w:rsid w:val="00740A8F"/>
    <w:rsid w:val="00740BDB"/>
    <w:rsid w:val="00740C98"/>
    <w:rsid w:val="00740CAC"/>
    <w:rsid w:val="00740D81"/>
    <w:rsid w:val="00740DE1"/>
    <w:rsid w:val="00740E95"/>
    <w:rsid w:val="0074101C"/>
    <w:rsid w:val="00741037"/>
    <w:rsid w:val="0074105C"/>
    <w:rsid w:val="007410E2"/>
    <w:rsid w:val="00741172"/>
    <w:rsid w:val="00741459"/>
    <w:rsid w:val="00741687"/>
    <w:rsid w:val="00741A3D"/>
    <w:rsid w:val="00741AAF"/>
    <w:rsid w:val="00741B0C"/>
    <w:rsid w:val="00741C88"/>
    <w:rsid w:val="00741FB2"/>
    <w:rsid w:val="00741FBE"/>
    <w:rsid w:val="00742062"/>
    <w:rsid w:val="00742138"/>
    <w:rsid w:val="007423D7"/>
    <w:rsid w:val="0074255A"/>
    <w:rsid w:val="007425AF"/>
    <w:rsid w:val="007427D1"/>
    <w:rsid w:val="00742813"/>
    <w:rsid w:val="007428A4"/>
    <w:rsid w:val="00742969"/>
    <w:rsid w:val="00742BED"/>
    <w:rsid w:val="00742EF8"/>
    <w:rsid w:val="00743015"/>
    <w:rsid w:val="007431E8"/>
    <w:rsid w:val="007432AB"/>
    <w:rsid w:val="007434FF"/>
    <w:rsid w:val="00743590"/>
    <w:rsid w:val="00743773"/>
    <w:rsid w:val="00743942"/>
    <w:rsid w:val="00743E38"/>
    <w:rsid w:val="0074429D"/>
    <w:rsid w:val="0074450A"/>
    <w:rsid w:val="007445EA"/>
    <w:rsid w:val="00744643"/>
    <w:rsid w:val="007447D4"/>
    <w:rsid w:val="007449FF"/>
    <w:rsid w:val="00744AFF"/>
    <w:rsid w:val="00744CA8"/>
    <w:rsid w:val="00744D80"/>
    <w:rsid w:val="00744E5B"/>
    <w:rsid w:val="00744E70"/>
    <w:rsid w:val="0074564F"/>
    <w:rsid w:val="00745805"/>
    <w:rsid w:val="00745B51"/>
    <w:rsid w:val="00745DA2"/>
    <w:rsid w:val="00745E87"/>
    <w:rsid w:val="00746110"/>
    <w:rsid w:val="00746343"/>
    <w:rsid w:val="00746548"/>
    <w:rsid w:val="00746568"/>
    <w:rsid w:val="00746574"/>
    <w:rsid w:val="00746E08"/>
    <w:rsid w:val="00746FF2"/>
    <w:rsid w:val="00747048"/>
    <w:rsid w:val="007471B5"/>
    <w:rsid w:val="00747522"/>
    <w:rsid w:val="007475EA"/>
    <w:rsid w:val="00747792"/>
    <w:rsid w:val="00747A68"/>
    <w:rsid w:val="00747BFB"/>
    <w:rsid w:val="00747CF2"/>
    <w:rsid w:val="00747D3F"/>
    <w:rsid w:val="00747F1E"/>
    <w:rsid w:val="0075044B"/>
    <w:rsid w:val="00750770"/>
    <w:rsid w:val="00750AEF"/>
    <w:rsid w:val="00750E0A"/>
    <w:rsid w:val="00750ED4"/>
    <w:rsid w:val="00751193"/>
    <w:rsid w:val="00751757"/>
    <w:rsid w:val="00751CDD"/>
    <w:rsid w:val="00751E63"/>
    <w:rsid w:val="00752138"/>
    <w:rsid w:val="00752325"/>
    <w:rsid w:val="00752646"/>
    <w:rsid w:val="00752875"/>
    <w:rsid w:val="00752B9B"/>
    <w:rsid w:val="00752EA5"/>
    <w:rsid w:val="00752EA6"/>
    <w:rsid w:val="00752F7F"/>
    <w:rsid w:val="00752FF6"/>
    <w:rsid w:val="007530CC"/>
    <w:rsid w:val="00753258"/>
    <w:rsid w:val="0075333C"/>
    <w:rsid w:val="00753465"/>
    <w:rsid w:val="0075347C"/>
    <w:rsid w:val="00753682"/>
    <w:rsid w:val="007536FB"/>
    <w:rsid w:val="0075396A"/>
    <w:rsid w:val="00753BDA"/>
    <w:rsid w:val="00753E7B"/>
    <w:rsid w:val="007540A6"/>
    <w:rsid w:val="00754256"/>
    <w:rsid w:val="007542B6"/>
    <w:rsid w:val="007545DB"/>
    <w:rsid w:val="007547D7"/>
    <w:rsid w:val="00754A34"/>
    <w:rsid w:val="00754A36"/>
    <w:rsid w:val="00754A50"/>
    <w:rsid w:val="00754E8B"/>
    <w:rsid w:val="00754ECC"/>
    <w:rsid w:val="0075522D"/>
    <w:rsid w:val="00755516"/>
    <w:rsid w:val="007559F8"/>
    <w:rsid w:val="00755C13"/>
    <w:rsid w:val="00755C1F"/>
    <w:rsid w:val="00756265"/>
    <w:rsid w:val="007562F1"/>
    <w:rsid w:val="007564D4"/>
    <w:rsid w:val="007565C6"/>
    <w:rsid w:val="00756C77"/>
    <w:rsid w:val="00756CFB"/>
    <w:rsid w:val="00756D99"/>
    <w:rsid w:val="007570D1"/>
    <w:rsid w:val="007571D4"/>
    <w:rsid w:val="00757321"/>
    <w:rsid w:val="007575ED"/>
    <w:rsid w:val="00757747"/>
    <w:rsid w:val="00757829"/>
    <w:rsid w:val="00757B23"/>
    <w:rsid w:val="00757E45"/>
    <w:rsid w:val="00757F84"/>
    <w:rsid w:val="00757FC3"/>
    <w:rsid w:val="007606DE"/>
    <w:rsid w:val="0076086E"/>
    <w:rsid w:val="00760B7D"/>
    <w:rsid w:val="00760BC7"/>
    <w:rsid w:val="00760C7C"/>
    <w:rsid w:val="0076111E"/>
    <w:rsid w:val="00761180"/>
    <w:rsid w:val="0076134E"/>
    <w:rsid w:val="00761365"/>
    <w:rsid w:val="00761433"/>
    <w:rsid w:val="0076150D"/>
    <w:rsid w:val="007616EE"/>
    <w:rsid w:val="00761D55"/>
    <w:rsid w:val="00761DA4"/>
    <w:rsid w:val="00761FA9"/>
    <w:rsid w:val="00761FD3"/>
    <w:rsid w:val="00762031"/>
    <w:rsid w:val="0076233A"/>
    <w:rsid w:val="0076247A"/>
    <w:rsid w:val="007624A6"/>
    <w:rsid w:val="00762520"/>
    <w:rsid w:val="0076260B"/>
    <w:rsid w:val="007627A3"/>
    <w:rsid w:val="00762AFA"/>
    <w:rsid w:val="00762E15"/>
    <w:rsid w:val="00762E2D"/>
    <w:rsid w:val="00762F01"/>
    <w:rsid w:val="0076312D"/>
    <w:rsid w:val="007631A5"/>
    <w:rsid w:val="007631B1"/>
    <w:rsid w:val="007632FF"/>
    <w:rsid w:val="00763676"/>
    <w:rsid w:val="007638FF"/>
    <w:rsid w:val="007639DF"/>
    <w:rsid w:val="00763B42"/>
    <w:rsid w:val="00763BDC"/>
    <w:rsid w:val="00763CF9"/>
    <w:rsid w:val="00764187"/>
    <w:rsid w:val="00764407"/>
    <w:rsid w:val="007644B2"/>
    <w:rsid w:val="007644FD"/>
    <w:rsid w:val="00764523"/>
    <w:rsid w:val="0076452C"/>
    <w:rsid w:val="007645B4"/>
    <w:rsid w:val="007645FA"/>
    <w:rsid w:val="007648BA"/>
    <w:rsid w:val="0076490F"/>
    <w:rsid w:val="007649DB"/>
    <w:rsid w:val="00764A6C"/>
    <w:rsid w:val="00764AB5"/>
    <w:rsid w:val="00764C99"/>
    <w:rsid w:val="00764CEF"/>
    <w:rsid w:val="00764FB2"/>
    <w:rsid w:val="007651C0"/>
    <w:rsid w:val="00765296"/>
    <w:rsid w:val="007652A7"/>
    <w:rsid w:val="00765516"/>
    <w:rsid w:val="00765571"/>
    <w:rsid w:val="0076566C"/>
    <w:rsid w:val="0076566E"/>
    <w:rsid w:val="00765CA2"/>
    <w:rsid w:val="00765CEC"/>
    <w:rsid w:val="00765DDD"/>
    <w:rsid w:val="00765EEC"/>
    <w:rsid w:val="00766174"/>
    <w:rsid w:val="007663B2"/>
    <w:rsid w:val="007664D9"/>
    <w:rsid w:val="00766681"/>
    <w:rsid w:val="0076688D"/>
    <w:rsid w:val="007668C9"/>
    <w:rsid w:val="007668EC"/>
    <w:rsid w:val="00766962"/>
    <w:rsid w:val="00766A26"/>
    <w:rsid w:val="00766A96"/>
    <w:rsid w:val="00766B8F"/>
    <w:rsid w:val="00766C7E"/>
    <w:rsid w:val="00766CE4"/>
    <w:rsid w:val="007672CB"/>
    <w:rsid w:val="00767607"/>
    <w:rsid w:val="0076798E"/>
    <w:rsid w:val="00767BD1"/>
    <w:rsid w:val="00767C65"/>
    <w:rsid w:val="00767CCE"/>
    <w:rsid w:val="00767E16"/>
    <w:rsid w:val="00767EA3"/>
    <w:rsid w:val="00767FBF"/>
    <w:rsid w:val="0077017A"/>
    <w:rsid w:val="00770223"/>
    <w:rsid w:val="00770245"/>
    <w:rsid w:val="007704A4"/>
    <w:rsid w:val="0077064D"/>
    <w:rsid w:val="007707D6"/>
    <w:rsid w:val="0077095B"/>
    <w:rsid w:val="00770AF2"/>
    <w:rsid w:val="00770CB7"/>
    <w:rsid w:val="00770D36"/>
    <w:rsid w:val="00770D5A"/>
    <w:rsid w:val="007710D8"/>
    <w:rsid w:val="00771253"/>
    <w:rsid w:val="007712A4"/>
    <w:rsid w:val="00771480"/>
    <w:rsid w:val="0077173C"/>
    <w:rsid w:val="00771A7E"/>
    <w:rsid w:val="00771AC1"/>
    <w:rsid w:val="00771E3C"/>
    <w:rsid w:val="00771E5C"/>
    <w:rsid w:val="00772198"/>
    <w:rsid w:val="00772ACD"/>
    <w:rsid w:val="00773147"/>
    <w:rsid w:val="007731DB"/>
    <w:rsid w:val="0077322B"/>
    <w:rsid w:val="00773293"/>
    <w:rsid w:val="00773354"/>
    <w:rsid w:val="007734C6"/>
    <w:rsid w:val="007734F5"/>
    <w:rsid w:val="0077356D"/>
    <w:rsid w:val="007735CE"/>
    <w:rsid w:val="00773668"/>
    <w:rsid w:val="00773810"/>
    <w:rsid w:val="00773892"/>
    <w:rsid w:val="007738E8"/>
    <w:rsid w:val="007739B7"/>
    <w:rsid w:val="00773A04"/>
    <w:rsid w:val="00773A66"/>
    <w:rsid w:val="00773C1D"/>
    <w:rsid w:val="007740BF"/>
    <w:rsid w:val="0077439C"/>
    <w:rsid w:val="00774ABD"/>
    <w:rsid w:val="00774CA9"/>
    <w:rsid w:val="00774CB6"/>
    <w:rsid w:val="00774F0E"/>
    <w:rsid w:val="007751B7"/>
    <w:rsid w:val="007752E8"/>
    <w:rsid w:val="00775576"/>
    <w:rsid w:val="00775A5D"/>
    <w:rsid w:val="00775BF6"/>
    <w:rsid w:val="00775D43"/>
    <w:rsid w:val="00775E84"/>
    <w:rsid w:val="00775EA0"/>
    <w:rsid w:val="00776055"/>
    <w:rsid w:val="007761DC"/>
    <w:rsid w:val="007764C4"/>
    <w:rsid w:val="00776531"/>
    <w:rsid w:val="00776613"/>
    <w:rsid w:val="007768AA"/>
    <w:rsid w:val="0077693E"/>
    <w:rsid w:val="00776D1D"/>
    <w:rsid w:val="00776DDB"/>
    <w:rsid w:val="00776DFC"/>
    <w:rsid w:val="00776EDE"/>
    <w:rsid w:val="00776EED"/>
    <w:rsid w:val="007771D6"/>
    <w:rsid w:val="0077729E"/>
    <w:rsid w:val="00777411"/>
    <w:rsid w:val="0077754D"/>
    <w:rsid w:val="007775E6"/>
    <w:rsid w:val="007776F2"/>
    <w:rsid w:val="00777823"/>
    <w:rsid w:val="0077788E"/>
    <w:rsid w:val="00777E5F"/>
    <w:rsid w:val="00777EC1"/>
    <w:rsid w:val="0078051C"/>
    <w:rsid w:val="007806A8"/>
    <w:rsid w:val="007808E4"/>
    <w:rsid w:val="007809DC"/>
    <w:rsid w:val="00780D75"/>
    <w:rsid w:val="00780E53"/>
    <w:rsid w:val="00780F78"/>
    <w:rsid w:val="00781134"/>
    <w:rsid w:val="007811B5"/>
    <w:rsid w:val="00781641"/>
    <w:rsid w:val="00781699"/>
    <w:rsid w:val="00781880"/>
    <w:rsid w:val="007818B7"/>
    <w:rsid w:val="00781B92"/>
    <w:rsid w:val="00781BFC"/>
    <w:rsid w:val="00781DDD"/>
    <w:rsid w:val="00782171"/>
    <w:rsid w:val="007821F9"/>
    <w:rsid w:val="00782308"/>
    <w:rsid w:val="007823F9"/>
    <w:rsid w:val="00782573"/>
    <w:rsid w:val="00782709"/>
    <w:rsid w:val="00782A9A"/>
    <w:rsid w:val="00782AAD"/>
    <w:rsid w:val="00782B3D"/>
    <w:rsid w:val="00783027"/>
    <w:rsid w:val="00783063"/>
    <w:rsid w:val="007833E5"/>
    <w:rsid w:val="00783502"/>
    <w:rsid w:val="007837E1"/>
    <w:rsid w:val="00783CF6"/>
    <w:rsid w:val="007841DC"/>
    <w:rsid w:val="00784532"/>
    <w:rsid w:val="007845D2"/>
    <w:rsid w:val="007845DD"/>
    <w:rsid w:val="00784703"/>
    <w:rsid w:val="00784772"/>
    <w:rsid w:val="00784843"/>
    <w:rsid w:val="00784C43"/>
    <w:rsid w:val="00784D41"/>
    <w:rsid w:val="00784DD1"/>
    <w:rsid w:val="0078503C"/>
    <w:rsid w:val="007855BD"/>
    <w:rsid w:val="0078565F"/>
    <w:rsid w:val="007857EB"/>
    <w:rsid w:val="00785BD5"/>
    <w:rsid w:val="00785D6C"/>
    <w:rsid w:val="00785E0D"/>
    <w:rsid w:val="00785F92"/>
    <w:rsid w:val="00786108"/>
    <w:rsid w:val="0078669D"/>
    <w:rsid w:val="007867FE"/>
    <w:rsid w:val="00786878"/>
    <w:rsid w:val="00786B08"/>
    <w:rsid w:val="00786CE5"/>
    <w:rsid w:val="00787809"/>
    <w:rsid w:val="00787944"/>
    <w:rsid w:val="00787A71"/>
    <w:rsid w:val="00787B49"/>
    <w:rsid w:val="00787B53"/>
    <w:rsid w:val="00790231"/>
    <w:rsid w:val="00790313"/>
    <w:rsid w:val="00790368"/>
    <w:rsid w:val="007903C7"/>
    <w:rsid w:val="0079073D"/>
    <w:rsid w:val="00790AA7"/>
    <w:rsid w:val="00790B77"/>
    <w:rsid w:val="00790BF1"/>
    <w:rsid w:val="00790C96"/>
    <w:rsid w:val="00790CB5"/>
    <w:rsid w:val="00790CFE"/>
    <w:rsid w:val="00790DE6"/>
    <w:rsid w:val="00790E08"/>
    <w:rsid w:val="00790FD9"/>
    <w:rsid w:val="007911D0"/>
    <w:rsid w:val="00791379"/>
    <w:rsid w:val="0079177D"/>
    <w:rsid w:val="00791B2E"/>
    <w:rsid w:val="00791D58"/>
    <w:rsid w:val="00791E94"/>
    <w:rsid w:val="00792163"/>
    <w:rsid w:val="007924B0"/>
    <w:rsid w:val="0079262A"/>
    <w:rsid w:val="0079269A"/>
    <w:rsid w:val="007927D0"/>
    <w:rsid w:val="0079292B"/>
    <w:rsid w:val="00792A00"/>
    <w:rsid w:val="00792A8B"/>
    <w:rsid w:val="00792B1C"/>
    <w:rsid w:val="00792D45"/>
    <w:rsid w:val="00792F59"/>
    <w:rsid w:val="0079317B"/>
    <w:rsid w:val="00793396"/>
    <w:rsid w:val="007934CF"/>
    <w:rsid w:val="007936FC"/>
    <w:rsid w:val="007939F7"/>
    <w:rsid w:val="00793ABF"/>
    <w:rsid w:val="00793E3C"/>
    <w:rsid w:val="00793EC0"/>
    <w:rsid w:val="00793F57"/>
    <w:rsid w:val="00794089"/>
    <w:rsid w:val="007940CD"/>
    <w:rsid w:val="007942D7"/>
    <w:rsid w:val="007942F9"/>
    <w:rsid w:val="007943DE"/>
    <w:rsid w:val="007943FD"/>
    <w:rsid w:val="007946C7"/>
    <w:rsid w:val="00794703"/>
    <w:rsid w:val="007947C3"/>
    <w:rsid w:val="00794977"/>
    <w:rsid w:val="00794A5D"/>
    <w:rsid w:val="00794D55"/>
    <w:rsid w:val="00794F1D"/>
    <w:rsid w:val="00794F1E"/>
    <w:rsid w:val="00794F7C"/>
    <w:rsid w:val="00794FAC"/>
    <w:rsid w:val="00795295"/>
    <w:rsid w:val="00795774"/>
    <w:rsid w:val="007957C3"/>
    <w:rsid w:val="00795914"/>
    <w:rsid w:val="00795E46"/>
    <w:rsid w:val="00795F99"/>
    <w:rsid w:val="00796249"/>
    <w:rsid w:val="0079657D"/>
    <w:rsid w:val="0079662C"/>
    <w:rsid w:val="0079685A"/>
    <w:rsid w:val="007969CB"/>
    <w:rsid w:val="00796BCF"/>
    <w:rsid w:val="00796F33"/>
    <w:rsid w:val="00797013"/>
    <w:rsid w:val="00797127"/>
    <w:rsid w:val="007971D1"/>
    <w:rsid w:val="007972FF"/>
    <w:rsid w:val="00797422"/>
    <w:rsid w:val="007974C6"/>
    <w:rsid w:val="007979AB"/>
    <w:rsid w:val="00797BEC"/>
    <w:rsid w:val="00797DE2"/>
    <w:rsid w:val="00797DEE"/>
    <w:rsid w:val="00797ED9"/>
    <w:rsid w:val="007A0294"/>
    <w:rsid w:val="007A04C2"/>
    <w:rsid w:val="007A0637"/>
    <w:rsid w:val="007A069E"/>
    <w:rsid w:val="007A0E06"/>
    <w:rsid w:val="007A164E"/>
    <w:rsid w:val="007A1992"/>
    <w:rsid w:val="007A19E2"/>
    <w:rsid w:val="007A19E8"/>
    <w:rsid w:val="007A1E4C"/>
    <w:rsid w:val="007A20C3"/>
    <w:rsid w:val="007A2165"/>
    <w:rsid w:val="007A2203"/>
    <w:rsid w:val="007A22E1"/>
    <w:rsid w:val="007A246A"/>
    <w:rsid w:val="007A2631"/>
    <w:rsid w:val="007A2739"/>
    <w:rsid w:val="007A274D"/>
    <w:rsid w:val="007A2967"/>
    <w:rsid w:val="007A2D5A"/>
    <w:rsid w:val="007A2DC2"/>
    <w:rsid w:val="007A2F6E"/>
    <w:rsid w:val="007A2F8A"/>
    <w:rsid w:val="007A2FC0"/>
    <w:rsid w:val="007A3231"/>
    <w:rsid w:val="007A3356"/>
    <w:rsid w:val="007A33FA"/>
    <w:rsid w:val="007A3623"/>
    <w:rsid w:val="007A364B"/>
    <w:rsid w:val="007A36BA"/>
    <w:rsid w:val="007A37E4"/>
    <w:rsid w:val="007A38FE"/>
    <w:rsid w:val="007A3B2D"/>
    <w:rsid w:val="007A3C51"/>
    <w:rsid w:val="007A3ECD"/>
    <w:rsid w:val="007A42D5"/>
    <w:rsid w:val="007A4836"/>
    <w:rsid w:val="007A4D04"/>
    <w:rsid w:val="007A4F37"/>
    <w:rsid w:val="007A51A4"/>
    <w:rsid w:val="007A53CA"/>
    <w:rsid w:val="007A5413"/>
    <w:rsid w:val="007A568E"/>
    <w:rsid w:val="007A5E26"/>
    <w:rsid w:val="007A6098"/>
    <w:rsid w:val="007A60AC"/>
    <w:rsid w:val="007A61DF"/>
    <w:rsid w:val="007A64BE"/>
    <w:rsid w:val="007A6659"/>
    <w:rsid w:val="007A66EC"/>
    <w:rsid w:val="007A6729"/>
    <w:rsid w:val="007A690B"/>
    <w:rsid w:val="007A6DC7"/>
    <w:rsid w:val="007A71A5"/>
    <w:rsid w:val="007A728A"/>
    <w:rsid w:val="007A75CC"/>
    <w:rsid w:val="007A767B"/>
    <w:rsid w:val="007A76EA"/>
    <w:rsid w:val="007A7712"/>
    <w:rsid w:val="007A7744"/>
    <w:rsid w:val="007A77C0"/>
    <w:rsid w:val="007A78D4"/>
    <w:rsid w:val="007A7DB3"/>
    <w:rsid w:val="007A7DCA"/>
    <w:rsid w:val="007A7E3D"/>
    <w:rsid w:val="007A7EF7"/>
    <w:rsid w:val="007A7F22"/>
    <w:rsid w:val="007B0181"/>
    <w:rsid w:val="007B0243"/>
    <w:rsid w:val="007B04C7"/>
    <w:rsid w:val="007B0506"/>
    <w:rsid w:val="007B064A"/>
    <w:rsid w:val="007B07FE"/>
    <w:rsid w:val="007B0888"/>
    <w:rsid w:val="007B0B96"/>
    <w:rsid w:val="007B0F18"/>
    <w:rsid w:val="007B1128"/>
    <w:rsid w:val="007B12FE"/>
    <w:rsid w:val="007B14E7"/>
    <w:rsid w:val="007B15D2"/>
    <w:rsid w:val="007B1957"/>
    <w:rsid w:val="007B1ACC"/>
    <w:rsid w:val="007B1D67"/>
    <w:rsid w:val="007B1E32"/>
    <w:rsid w:val="007B1E59"/>
    <w:rsid w:val="007B2226"/>
    <w:rsid w:val="007B2316"/>
    <w:rsid w:val="007B2362"/>
    <w:rsid w:val="007B241F"/>
    <w:rsid w:val="007B3013"/>
    <w:rsid w:val="007B3181"/>
    <w:rsid w:val="007B3190"/>
    <w:rsid w:val="007B31CC"/>
    <w:rsid w:val="007B32B6"/>
    <w:rsid w:val="007B3446"/>
    <w:rsid w:val="007B35B5"/>
    <w:rsid w:val="007B3852"/>
    <w:rsid w:val="007B392B"/>
    <w:rsid w:val="007B3996"/>
    <w:rsid w:val="007B39AE"/>
    <w:rsid w:val="007B3A8F"/>
    <w:rsid w:val="007B3B76"/>
    <w:rsid w:val="007B3BA9"/>
    <w:rsid w:val="007B3BFC"/>
    <w:rsid w:val="007B3CDF"/>
    <w:rsid w:val="007B3CEE"/>
    <w:rsid w:val="007B3D9D"/>
    <w:rsid w:val="007B3FE1"/>
    <w:rsid w:val="007B419B"/>
    <w:rsid w:val="007B480D"/>
    <w:rsid w:val="007B494A"/>
    <w:rsid w:val="007B4F09"/>
    <w:rsid w:val="007B5273"/>
    <w:rsid w:val="007B550E"/>
    <w:rsid w:val="007B5680"/>
    <w:rsid w:val="007B5987"/>
    <w:rsid w:val="007B5A2F"/>
    <w:rsid w:val="007B5DF3"/>
    <w:rsid w:val="007B5E25"/>
    <w:rsid w:val="007B636D"/>
    <w:rsid w:val="007B6A29"/>
    <w:rsid w:val="007B6AB1"/>
    <w:rsid w:val="007B6C93"/>
    <w:rsid w:val="007B6DDB"/>
    <w:rsid w:val="007B6FAA"/>
    <w:rsid w:val="007B72AC"/>
    <w:rsid w:val="007B72AD"/>
    <w:rsid w:val="007B731A"/>
    <w:rsid w:val="007B737C"/>
    <w:rsid w:val="007B7566"/>
    <w:rsid w:val="007B77CB"/>
    <w:rsid w:val="007B77D0"/>
    <w:rsid w:val="007B7ABC"/>
    <w:rsid w:val="007B7B59"/>
    <w:rsid w:val="007B7EB9"/>
    <w:rsid w:val="007B7F58"/>
    <w:rsid w:val="007C006C"/>
    <w:rsid w:val="007C0242"/>
    <w:rsid w:val="007C0B5E"/>
    <w:rsid w:val="007C0C23"/>
    <w:rsid w:val="007C0DD4"/>
    <w:rsid w:val="007C0F92"/>
    <w:rsid w:val="007C1014"/>
    <w:rsid w:val="007C1069"/>
    <w:rsid w:val="007C11B8"/>
    <w:rsid w:val="007C11EF"/>
    <w:rsid w:val="007C12B5"/>
    <w:rsid w:val="007C146B"/>
    <w:rsid w:val="007C1732"/>
    <w:rsid w:val="007C19DC"/>
    <w:rsid w:val="007C1ACE"/>
    <w:rsid w:val="007C1C07"/>
    <w:rsid w:val="007C1D64"/>
    <w:rsid w:val="007C1E18"/>
    <w:rsid w:val="007C1E5B"/>
    <w:rsid w:val="007C21E4"/>
    <w:rsid w:val="007C235A"/>
    <w:rsid w:val="007C23EF"/>
    <w:rsid w:val="007C2536"/>
    <w:rsid w:val="007C2547"/>
    <w:rsid w:val="007C2684"/>
    <w:rsid w:val="007C2E4D"/>
    <w:rsid w:val="007C2EB8"/>
    <w:rsid w:val="007C2F69"/>
    <w:rsid w:val="007C2FCD"/>
    <w:rsid w:val="007C31B0"/>
    <w:rsid w:val="007C322A"/>
    <w:rsid w:val="007C3729"/>
    <w:rsid w:val="007C377D"/>
    <w:rsid w:val="007C388F"/>
    <w:rsid w:val="007C3AD1"/>
    <w:rsid w:val="007C3B34"/>
    <w:rsid w:val="007C3E5F"/>
    <w:rsid w:val="007C403C"/>
    <w:rsid w:val="007C41DB"/>
    <w:rsid w:val="007C4428"/>
    <w:rsid w:val="007C4576"/>
    <w:rsid w:val="007C463E"/>
    <w:rsid w:val="007C4735"/>
    <w:rsid w:val="007C47E3"/>
    <w:rsid w:val="007C4974"/>
    <w:rsid w:val="007C4A72"/>
    <w:rsid w:val="007C4A7D"/>
    <w:rsid w:val="007C4D74"/>
    <w:rsid w:val="007C4DCD"/>
    <w:rsid w:val="007C4E14"/>
    <w:rsid w:val="007C52FE"/>
    <w:rsid w:val="007C5476"/>
    <w:rsid w:val="007C55F5"/>
    <w:rsid w:val="007C5772"/>
    <w:rsid w:val="007C5986"/>
    <w:rsid w:val="007C5B71"/>
    <w:rsid w:val="007C5D58"/>
    <w:rsid w:val="007C5E4D"/>
    <w:rsid w:val="007C5ED7"/>
    <w:rsid w:val="007C6026"/>
    <w:rsid w:val="007C60F3"/>
    <w:rsid w:val="007C631A"/>
    <w:rsid w:val="007C631D"/>
    <w:rsid w:val="007C63AD"/>
    <w:rsid w:val="007C64D8"/>
    <w:rsid w:val="007C6502"/>
    <w:rsid w:val="007C67B0"/>
    <w:rsid w:val="007C681E"/>
    <w:rsid w:val="007C695E"/>
    <w:rsid w:val="007C6A17"/>
    <w:rsid w:val="007C6AE9"/>
    <w:rsid w:val="007C6F5E"/>
    <w:rsid w:val="007C70A9"/>
    <w:rsid w:val="007C70CC"/>
    <w:rsid w:val="007C70F0"/>
    <w:rsid w:val="007C7195"/>
    <w:rsid w:val="007C71AB"/>
    <w:rsid w:val="007C71B8"/>
    <w:rsid w:val="007C71D0"/>
    <w:rsid w:val="007C72C6"/>
    <w:rsid w:val="007C79BF"/>
    <w:rsid w:val="007C7F46"/>
    <w:rsid w:val="007D0014"/>
    <w:rsid w:val="007D0914"/>
    <w:rsid w:val="007D097D"/>
    <w:rsid w:val="007D0A2B"/>
    <w:rsid w:val="007D0B87"/>
    <w:rsid w:val="007D0F14"/>
    <w:rsid w:val="007D103D"/>
    <w:rsid w:val="007D1545"/>
    <w:rsid w:val="007D190E"/>
    <w:rsid w:val="007D1BF6"/>
    <w:rsid w:val="007D1DA2"/>
    <w:rsid w:val="007D1E4C"/>
    <w:rsid w:val="007D22D2"/>
    <w:rsid w:val="007D24E1"/>
    <w:rsid w:val="007D2990"/>
    <w:rsid w:val="007D2E01"/>
    <w:rsid w:val="007D2F09"/>
    <w:rsid w:val="007D2F7D"/>
    <w:rsid w:val="007D30B5"/>
    <w:rsid w:val="007D3269"/>
    <w:rsid w:val="007D34BA"/>
    <w:rsid w:val="007D374F"/>
    <w:rsid w:val="007D3856"/>
    <w:rsid w:val="007D38D3"/>
    <w:rsid w:val="007D393C"/>
    <w:rsid w:val="007D3BCD"/>
    <w:rsid w:val="007D3BE7"/>
    <w:rsid w:val="007D3E78"/>
    <w:rsid w:val="007D4240"/>
    <w:rsid w:val="007D42D6"/>
    <w:rsid w:val="007D440F"/>
    <w:rsid w:val="007D4537"/>
    <w:rsid w:val="007D47B5"/>
    <w:rsid w:val="007D4808"/>
    <w:rsid w:val="007D4834"/>
    <w:rsid w:val="007D48BE"/>
    <w:rsid w:val="007D4985"/>
    <w:rsid w:val="007D499A"/>
    <w:rsid w:val="007D4CB0"/>
    <w:rsid w:val="007D4D4A"/>
    <w:rsid w:val="007D50ED"/>
    <w:rsid w:val="007D5292"/>
    <w:rsid w:val="007D56A7"/>
    <w:rsid w:val="007D56B6"/>
    <w:rsid w:val="007D5A10"/>
    <w:rsid w:val="007D670C"/>
    <w:rsid w:val="007D6775"/>
    <w:rsid w:val="007D6934"/>
    <w:rsid w:val="007D6941"/>
    <w:rsid w:val="007D6AC5"/>
    <w:rsid w:val="007D6C57"/>
    <w:rsid w:val="007D6CAF"/>
    <w:rsid w:val="007D718F"/>
    <w:rsid w:val="007D72A6"/>
    <w:rsid w:val="007D72B2"/>
    <w:rsid w:val="007D7372"/>
    <w:rsid w:val="007D772B"/>
    <w:rsid w:val="007D7BAA"/>
    <w:rsid w:val="007D7BF8"/>
    <w:rsid w:val="007E03C4"/>
    <w:rsid w:val="007E052C"/>
    <w:rsid w:val="007E072B"/>
    <w:rsid w:val="007E077D"/>
    <w:rsid w:val="007E093B"/>
    <w:rsid w:val="007E09E6"/>
    <w:rsid w:val="007E0A5C"/>
    <w:rsid w:val="007E0B9E"/>
    <w:rsid w:val="007E0C86"/>
    <w:rsid w:val="007E0ECA"/>
    <w:rsid w:val="007E0ED5"/>
    <w:rsid w:val="007E1172"/>
    <w:rsid w:val="007E129A"/>
    <w:rsid w:val="007E135D"/>
    <w:rsid w:val="007E141E"/>
    <w:rsid w:val="007E1749"/>
    <w:rsid w:val="007E1763"/>
    <w:rsid w:val="007E19D8"/>
    <w:rsid w:val="007E1B8A"/>
    <w:rsid w:val="007E1FFB"/>
    <w:rsid w:val="007E2287"/>
    <w:rsid w:val="007E248F"/>
    <w:rsid w:val="007E273C"/>
    <w:rsid w:val="007E29E2"/>
    <w:rsid w:val="007E3392"/>
    <w:rsid w:val="007E3944"/>
    <w:rsid w:val="007E3B9D"/>
    <w:rsid w:val="007E3D55"/>
    <w:rsid w:val="007E3D58"/>
    <w:rsid w:val="007E3D82"/>
    <w:rsid w:val="007E3EE9"/>
    <w:rsid w:val="007E3F99"/>
    <w:rsid w:val="007E4160"/>
    <w:rsid w:val="007E42BA"/>
    <w:rsid w:val="007E4399"/>
    <w:rsid w:val="007E450D"/>
    <w:rsid w:val="007E45BC"/>
    <w:rsid w:val="007E45D7"/>
    <w:rsid w:val="007E46B2"/>
    <w:rsid w:val="007E46EA"/>
    <w:rsid w:val="007E4E70"/>
    <w:rsid w:val="007E4E8F"/>
    <w:rsid w:val="007E4EDD"/>
    <w:rsid w:val="007E5598"/>
    <w:rsid w:val="007E5678"/>
    <w:rsid w:val="007E582B"/>
    <w:rsid w:val="007E5985"/>
    <w:rsid w:val="007E59E6"/>
    <w:rsid w:val="007E601C"/>
    <w:rsid w:val="007E60BD"/>
    <w:rsid w:val="007E62A0"/>
    <w:rsid w:val="007E6374"/>
    <w:rsid w:val="007E6597"/>
    <w:rsid w:val="007E6A87"/>
    <w:rsid w:val="007E6BD5"/>
    <w:rsid w:val="007E6D74"/>
    <w:rsid w:val="007E707E"/>
    <w:rsid w:val="007E70B5"/>
    <w:rsid w:val="007E7272"/>
    <w:rsid w:val="007E727D"/>
    <w:rsid w:val="007E750F"/>
    <w:rsid w:val="007E754D"/>
    <w:rsid w:val="007E75B0"/>
    <w:rsid w:val="007E76D7"/>
    <w:rsid w:val="007E7738"/>
    <w:rsid w:val="007E7958"/>
    <w:rsid w:val="007E7959"/>
    <w:rsid w:val="007E7AF7"/>
    <w:rsid w:val="007E7D72"/>
    <w:rsid w:val="007E7D99"/>
    <w:rsid w:val="007E7EE4"/>
    <w:rsid w:val="007E7F0E"/>
    <w:rsid w:val="007F0094"/>
    <w:rsid w:val="007F0405"/>
    <w:rsid w:val="007F0416"/>
    <w:rsid w:val="007F0490"/>
    <w:rsid w:val="007F04B3"/>
    <w:rsid w:val="007F0548"/>
    <w:rsid w:val="007F06DA"/>
    <w:rsid w:val="007F08F9"/>
    <w:rsid w:val="007F09DD"/>
    <w:rsid w:val="007F0AD4"/>
    <w:rsid w:val="007F10D3"/>
    <w:rsid w:val="007F1284"/>
    <w:rsid w:val="007F13FA"/>
    <w:rsid w:val="007F1495"/>
    <w:rsid w:val="007F157A"/>
    <w:rsid w:val="007F1581"/>
    <w:rsid w:val="007F17B2"/>
    <w:rsid w:val="007F18BF"/>
    <w:rsid w:val="007F18F9"/>
    <w:rsid w:val="007F1ADD"/>
    <w:rsid w:val="007F1D37"/>
    <w:rsid w:val="007F1F06"/>
    <w:rsid w:val="007F20E8"/>
    <w:rsid w:val="007F2211"/>
    <w:rsid w:val="007F232F"/>
    <w:rsid w:val="007F23FA"/>
    <w:rsid w:val="007F256D"/>
    <w:rsid w:val="007F2872"/>
    <w:rsid w:val="007F2980"/>
    <w:rsid w:val="007F2AAC"/>
    <w:rsid w:val="007F2EE5"/>
    <w:rsid w:val="007F305A"/>
    <w:rsid w:val="007F307C"/>
    <w:rsid w:val="007F30A5"/>
    <w:rsid w:val="007F363E"/>
    <w:rsid w:val="007F3661"/>
    <w:rsid w:val="007F3B81"/>
    <w:rsid w:val="007F3C42"/>
    <w:rsid w:val="007F3C85"/>
    <w:rsid w:val="007F3EC9"/>
    <w:rsid w:val="007F3FF4"/>
    <w:rsid w:val="007F42CC"/>
    <w:rsid w:val="007F42EF"/>
    <w:rsid w:val="007F45D9"/>
    <w:rsid w:val="007F45E3"/>
    <w:rsid w:val="007F46E2"/>
    <w:rsid w:val="007F485C"/>
    <w:rsid w:val="007F490B"/>
    <w:rsid w:val="007F4AD2"/>
    <w:rsid w:val="007F4E2C"/>
    <w:rsid w:val="007F4E71"/>
    <w:rsid w:val="007F4EDA"/>
    <w:rsid w:val="007F4EE2"/>
    <w:rsid w:val="007F4FDD"/>
    <w:rsid w:val="007F5215"/>
    <w:rsid w:val="007F52E1"/>
    <w:rsid w:val="007F532F"/>
    <w:rsid w:val="007F5517"/>
    <w:rsid w:val="007F55D3"/>
    <w:rsid w:val="007F5908"/>
    <w:rsid w:val="007F59A3"/>
    <w:rsid w:val="007F5BD8"/>
    <w:rsid w:val="007F5CC1"/>
    <w:rsid w:val="007F5E00"/>
    <w:rsid w:val="007F5E53"/>
    <w:rsid w:val="007F5E89"/>
    <w:rsid w:val="007F6057"/>
    <w:rsid w:val="007F6255"/>
    <w:rsid w:val="007F630B"/>
    <w:rsid w:val="007F6466"/>
    <w:rsid w:val="007F66EC"/>
    <w:rsid w:val="007F68AD"/>
    <w:rsid w:val="007F6AE9"/>
    <w:rsid w:val="007F6E48"/>
    <w:rsid w:val="007F6FC2"/>
    <w:rsid w:val="007F71DD"/>
    <w:rsid w:val="007F7372"/>
    <w:rsid w:val="007F76AE"/>
    <w:rsid w:val="007F7859"/>
    <w:rsid w:val="007F7862"/>
    <w:rsid w:val="007F7904"/>
    <w:rsid w:val="007F7916"/>
    <w:rsid w:val="007F7957"/>
    <w:rsid w:val="007F7A55"/>
    <w:rsid w:val="007F7ACA"/>
    <w:rsid w:val="007F7D79"/>
    <w:rsid w:val="00800092"/>
    <w:rsid w:val="008006E2"/>
    <w:rsid w:val="00800751"/>
    <w:rsid w:val="0080098E"/>
    <w:rsid w:val="00800D22"/>
    <w:rsid w:val="00800DD0"/>
    <w:rsid w:val="00800E90"/>
    <w:rsid w:val="0080101B"/>
    <w:rsid w:val="00801716"/>
    <w:rsid w:val="00801D50"/>
    <w:rsid w:val="00801ECA"/>
    <w:rsid w:val="00801FD7"/>
    <w:rsid w:val="00802180"/>
    <w:rsid w:val="008022D8"/>
    <w:rsid w:val="0080246F"/>
    <w:rsid w:val="00802689"/>
    <w:rsid w:val="00802958"/>
    <w:rsid w:val="00802C15"/>
    <w:rsid w:val="00802C7C"/>
    <w:rsid w:val="00802D7C"/>
    <w:rsid w:val="008030FC"/>
    <w:rsid w:val="008033A8"/>
    <w:rsid w:val="008033FF"/>
    <w:rsid w:val="008034F7"/>
    <w:rsid w:val="008035A3"/>
    <w:rsid w:val="0080381E"/>
    <w:rsid w:val="00803855"/>
    <w:rsid w:val="00803C14"/>
    <w:rsid w:val="00803D1B"/>
    <w:rsid w:val="00803DF0"/>
    <w:rsid w:val="008040CC"/>
    <w:rsid w:val="00804220"/>
    <w:rsid w:val="008046DE"/>
    <w:rsid w:val="008048CC"/>
    <w:rsid w:val="00804A84"/>
    <w:rsid w:val="00804B1F"/>
    <w:rsid w:val="00804C2D"/>
    <w:rsid w:val="00804EC5"/>
    <w:rsid w:val="0080508F"/>
    <w:rsid w:val="0080515E"/>
    <w:rsid w:val="008053BB"/>
    <w:rsid w:val="0080554B"/>
    <w:rsid w:val="008056A6"/>
    <w:rsid w:val="008056F1"/>
    <w:rsid w:val="00805A98"/>
    <w:rsid w:val="00805ACE"/>
    <w:rsid w:val="00805C2B"/>
    <w:rsid w:val="00805F98"/>
    <w:rsid w:val="00806284"/>
    <w:rsid w:val="008062F9"/>
    <w:rsid w:val="00806500"/>
    <w:rsid w:val="0080668D"/>
    <w:rsid w:val="0080678A"/>
    <w:rsid w:val="0080691A"/>
    <w:rsid w:val="00806BC1"/>
    <w:rsid w:val="00806F6C"/>
    <w:rsid w:val="0080707A"/>
    <w:rsid w:val="008076FC"/>
    <w:rsid w:val="008079A5"/>
    <w:rsid w:val="00807B9C"/>
    <w:rsid w:val="00807C1B"/>
    <w:rsid w:val="00807C95"/>
    <w:rsid w:val="00807D36"/>
    <w:rsid w:val="00807D84"/>
    <w:rsid w:val="00807DA8"/>
    <w:rsid w:val="00807E1B"/>
    <w:rsid w:val="00807F0A"/>
    <w:rsid w:val="00807FAB"/>
    <w:rsid w:val="0081031F"/>
    <w:rsid w:val="008107F4"/>
    <w:rsid w:val="008108D4"/>
    <w:rsid w:val="00810B3B"/>
    <w:rsid w:val="00810BC2"/>
    <w:rsid w:val="00810CB9"/>
    <w:rsid w:val="00810D8F"/>
    <w:rsid w:val="00810E62"/>
    <w:rsid w:val="00811163"/>
    <w:rsid w:val="00811524"/>
    <w:rsid w:val="00811640"/>
    <w:rsid w:val="00811682"/>
    <w:rsid w:val="00811706"/>
    <w:rsid w:val="00811725"/>
    <w:rsid w:val="00811A8B"/>
    <w:rsid w:val="00811D46"/>
    <w:rsid w:val="00811DD6"/>
    <w:rsid w:val="00812031"/>
    <w:rsid w:val="0081273E"/>
    <w:rsid w:val="00812A54"/>
    <w:rsid w:val="008131F7"/>
    <w:rsid w:val="00813265"/>
    <w:rsid w:val="0081355E"/>
    <w:rsid w:val="0081376B"/>
    <w:rsid w:val="00813906"/>
    <w:rsid w:val="00813D5D"/>
    <w:rsid w:val="00813DB3"/>
    <w:rsid w:val="00813EC7"/>
    <w:rsid w:val="00813F09"/>
    <w:rsid w:val="00813FA6"/>
    <w:rsid w:val="00813FCF"/>
    <w:rsid w:val="008147FD"/>
    <w:rsid w:val="0081490D"/>
    <w:rsid w:val="00814A18"/>
    <w:rsid w:val="0081535A"/>
    <w:rsid w:val="00815391"/>
    <w:rsid w:val="0081545E"/>
    <w:rsid w:val="008157D0"/>
    <w:rsid w:val="00815826"/>
    <w:rsid w:val="00815AB8"/>
    <w:rsid w:val="00815ACD"/>
    <w:rsid w:val="00815B0B"/>
    <w:rsid w:val="00815C2E"/>
    <w:rsid w:val="00815C82"/>
    <w:rsid w:val="00815CF5"/>
    <w:rsid w:val="00815D34"/>
    <w:rsid w:val="00816181"/>
    <w:rsid w:val="008161ED"/>
    <w:rsid w:val="008163A1"/>
    <w:rsid w:val="0081647A"/>
    <w:rsid w:val="00816638"/>
    <w:rsid w:val="008167ED"/>
    <w:rsid w:val="008168B7"/>
    <w:rsid w:val="0081698D"/>
    <w:rsid w:val="008169B1"/>
    <w:rsid w:val="00816A88"/>
    <w:rsid w:val="00816DB8"/>
    <w:rsid w:val="00816F45"/>
    <w:rsid w:val="00817242"/>
    <w:rsid w:val="00817330"/>
    <w:rsid w:val="0081774C"/>
    <w:rsid w:val="00817915"/>
    <w:rsid w:val="0081791E"/>
    <w:rsid w:val="0081792F"/>
    <w:rsid w:val="00817950"/>
    <w:rsid w:val="00817BD6"/>
    <w:rsid w:val="00817CEE"/>
    <w:rsid w:val="00817D2B"/>
    <w:rsid w:val="00817E8E"/>
    <w:rsid w:val="008200AA"/>
    <w:rsid w:val="00820191"/>
    <w:rsid w:val="00820357"/>
    <w:rsid w:val="008203E3"/>
    <w:rsid w:val="0082044D"/>
    <w:rsid w:val="00820752"/>
    <w:rsid w:val="00820941"/>
    <w:rsid w:val="008209B5"/>
    <w:rsid w:val="008209DB"/>
    <w:rsid w:val="00820B9D"/>
    <w:rsid w:val="00820C6A"/>
    <w:rsid w:val="00820CD2"/>
    <w:rsid w:val="00820D82"/>
    <w:rsid w:val="00821703"/>
    <w:rsid w:val="0082182B"/>
    <w:rsid w:val="00821960"/>
    <w:rsid w:val="00821DFC"/>
    <w:rsid w:val="00822099"/>
    <w:rsid w:val="008221CF"/>
    <w:rsid w:val="008222AC"/>
    <w:rsid w:val="00822352"/>
    <w:rsid w:val="008223B8"/>
    <w:rsid w:val="008226BE"/>
    <w:rsid w:val="00822722"/>
    <w:rsid w:val="00822830"/>
    <w:rsid w:val="0082285B"/>
    <w:rsid w:val="008229BE"/>
    <w:rsid w:val="00822CEE"/>
    <w:rsid w:val="00822E70"/>
    <w:rsid w:val="00822F2D"/>
    <w:rsid w:val="00822F88"/>
    <w:rsid w:val="00823055"/>
    <w:rsid w:val="008231A3"/>
    <w:rsid w:val="008233B1"/>
    <w:rsid w:val="008233E0"/>
    <w:rsid w:val="00823522"/>
    <w:rsid w:val="008237AB"/>
    <w:rsid w:val="00823A2C"/>
    <w:rsid w:val="00823B21"/>
    <w:rsid w:val="00823BB8"/>
    <w:rsid w:val="00823C5E"/>
    <w:rsid w:val="0082417E"/>
    <w:rsid w:val="00824651"/>
    <w:rsid w:val="00824735"/>
    <w:rsid w:val="008248F3"/>
    <w:rsid w:val="00824B3A"/>
    <w:rsid w:val="00824D1C"/>
    <w:rsid w:val="0082545C"/>
    <w:rsid w:val="008254C4"/>
    <w:rsid w:val="00825522"/>
    <w:rsid w:val="0082553E"/>
    <w:rsid w:val="00825678"/>
    <w:rsid w:val="008256A0"/>
    <w:rsid w:val="00825745"/>
    <w:rsid w:val="008257A9"/>
    <w:rsid w:val="00825970"/>
    <w:rsid w:val="00825991"/>
    <w:rsid w:val="00825A96"/>
    <w:rsid w:val="00825B31"/>
    <w:rsid w:val="00825BB7"/>
    <w:rsid w:val="00825C6A"/>
    <w:rsid w:val="00825C9C"/>
    <w:rsid w:val="00825CBA"/>
    <w:rsid w:val="00825CF2"/>
    <w:rsid w:val="0082624F"/>
    <w:rsid w:val="00826324"/>
    <w:rsid w:val="00826345"/>
    <w:rsid w:val="00826368"/>
    <w:rsid w:val="008263B6"/>
    <w:rsid w:val="0082641E"/>
    <w:rsid w:val="008264B4"/>
    <w:rsid w:val="008267EF"/>
    <w:rsid w:val="00826A9D"/>
    <w:rsid w:val="00826CC3"/>
    <w:rsid w:val="0082704E"/>
    <w:rsid w:val="008272BC"/>
    <w:rsid w:val="008272D2"/>
    <w:rsid w:val="0082743D"/>
    <w:rsid w:val="008276E3"/>
    <w:rsid w:val="00827961"/>
    <w:rsid w:val="008279E4"/>
    <w:rsid w:val="00827C45"/>
    <w:rsid w:val="00830357"/>
    <w:rsid w:val="00830564"/>
    <w:rsid w:val="00830695"/>
    <w:rsid w:val="008306ED"/>
    <w:rsid w:val="0083073D"/>
    <w:rsid w:val="00830B98"/>
    <w:rsid w:val="00830E0C"/>
    <w:rsid w:val="00830EBB"/>
    <w:rsid w:val="00831375"/>
    <w:rsid w:val="00831384"/>
    <w:rsid w:val="008313CC"/>
    <w:rsid w:val="008315EB"/>
    <w:rsid w:val="008317AE"/>
    <w:rsid w:val="00831D18"/>
    <w:rsid w:val="00831F7D"/>
    <w:rsid w:val="00832048"/>
    <w:rsid w:val="0083219C"/>
    <w:rsid w:val="008321DF"/>
    <w:rsid w:val="00832391"/>
    <w:rsid w:val="008325F3"/>
    <w:rsid w:val="00832848"/>
    <w:rsid w:val="0083290C"/>
    <w:rsid w:val="00832AD6"/>
    <w:rsid w:val="00832C26"/>
    <w:rsid w:val="00832C6B"/>
    <w:rsid w:val="0083302A"/>
    <w:rsid w:val="008332EC"/>
    <w:rsid w:val="008334DA"/>
    <w:rsid w:val="0083355B"/>
    <w:rsid w:val="008338BD"/>
    <w:rsid w:val="00833925"/>
    <w:rsid w:val="00833940"/>
    <w:rsid w:val="00833C33"/>
    <w:rsid w:val="00833C6A"/>
    <w:rsid w:val="00833CE0"/>
    <w:rsid w:val="00833D1B"/>
    <w:rsid w:val="00833F58"/>
    <w:rsid w:val="00833F66"/>
    <w:rsid w:val="00833FC9"/>
    <w:rsid w:val="008342FF"/>
    <w:rsid w:val="008343C1"/>
    <w:rsid w:val="00834677"/>
    <w:rsid w:val="00834692"/>
    <w:rsid w:val="008347E7"/>
    <w:rsid w:val="0083492D"/>
    <w:rsid w:val="00834AC9"/>
    <w:rsid w:val="0083519C"/>
    <w:rsid w:val="00835208"/>
    <w:rsid w:val="008353DC"/>
    <w:rsid w:val="008354FF"/>
    <w:rsid w:val="0083579E"/>
    <w:rsid w:val="00835955"/>
    <w:rsid w:val="00835A69"/>
    <w:rsid w:val="00835AFB"/>
    <w:rsid w:val="00835B18"/>
    <w:rsid w:val="00835B6C"/>
    <w:rsid w:val="00835D16"/>
    <w:rsid w:val="00835E05"/>
    <w:rsid w:val="0083620C"/>
    <w:rsid w:val="00836237"/>
    <w:rsid w:val="0083634E"/>
    <w:rsid w:val="008363B1"/>
    <w:rsid w:val="008364DA"/>
    <w:rsid w:val="008365B9"/>
    <w:rsid w:val="00836603"/>
    <w:rsid w:val="00836A6A"/>
    <w:rsid w:val="00836E37"/>
    <w:rsid w:val="00836EA2"/>
    <w:rsid w:val="00836ED6"/>
    <w:rsid w:val="0083723B"/>
    <w:rsid w:val="008376B8"/>
    <w:rsid w:val="0083784F"/>
    <w:rsid w:val="00837882"/>
    <w:rsid w:val="00837B43"/>
    <w:rsid w:val="00837C71"/>
    <w:rsid w:val="00837DC0"/>
    <w:rsid w:val="00837F8C"/>
    <w:rsid w:val="00840235"/>
    <w:rsid w:val="008402CB"/>
    <w:rsid w:val="00840318"/>
    <w:rsid w:val="00840484"/>
    <w:rsid w:val="008405F5"/>
    <w:rsid w:val="008406BC"/>
    <w:rsid w:val="0084097B"/>
    <w:rsid w:val="00840A99"/>
    <w:rsid w:val="00840C46"/>
    <w:rsid w:val="00840CF8"/>
    <w:rsid w:val="00840D43"/>
    <w:rsid w:val="00840E5B"/>
    <w:rsid w:val="00840FBA"/>
    <w:rsid w:val="008416AE"/>
    <w:rsid w:val="008416DD"/>
    <w:rsid w:val="008418BA"/>
    <w:rsid w:val="008419FF"/>
    <w:rsid w:val="00841EF7"/>
    <w:rsid w:val="00841FDE"/>
    <w:rsid w:val="00842307"/>
    <w:rsid w:val="008423F0"/>
    <w:rsid w:val="00842576"/>
    <w:rsid w:val="0084259D"/>
    <w:rsid w:val="00842711"/>
    <w:rsid w:val="00842967"/>
    <w:rsid w:val="00842997"/>
    <w:rsid w:val="008429BF"/>
    <w:rsid w:val="00842B43"/>
    <w:rsid w:val="00842B81"/>
    <w:rsid w:val="00842BCA"/>
    <w:rsid w:val="00842C1D"/>
    <w:rsid w:val="00842CC8"/>
    <w:rsid w:val="0084301B"/>
    <w:rsid w:val="0084306F"/>
    <w:rsid w:val="0084315F"/>
    <w:rsid w:val="008431B2"/>
    <w:rsid w:val="00843386"/>
    <w:rsid w:val="008435A4"/>
    <w:rsid w:val="0084364A"/>
    <w:rsid w:val="0084368E"/>
    <w:rsid w:val="00843D5F"/>
    <w:rsid w:val="00844053"/>
    <w:rsid w:val="00844297"/>
    <w:rsid w:val="00844428"/>
    <w:rsid w:val="00844912"/>
    <w:rsid w:val="00844BC5"/>
    <w:rsid w:val="00844CFE"/>
    <w:rsid w:val="00844DEA"/>
    <w:rsid w:val="00844F25"/>
    <w:rsid w:val="008450D0"/>
    <w:rsid w:val="008455BB"/>
    <w:rsid w:val="00845806"/>
    <w:rsid w:val="0084582A"/>
    <w:rsid w:val="00845A35"/>
    <w:rsid w:val="00845BF4"/>
    <w:rsid w:val="00845C25"/>
    <w:rsid w:val="00845F0B"/>
    <w:rsid w:val="008465CD"/>
    <w:rsid w:val="00846672"/>
    <w:rsid w:val="008467A1"/>
    <w:rsid w:val="008467E0"/>
    <w:rsid w:val="0084680F"/>
    <w:rsid w:val="0084697E"/>
    <w:rsid w:val="00846A0A"/>
    <w:rsid w:val="00846AF2"/>
    <w:rsid w:val="00846E66"/>
    <w:rsid w:val="008470A4"/>
    <w:rsid w:val="0084727C"/>
    <w:rsid w:val="00847352"/>
    <w:rsid w:val="00847543"/>
    <w:rsid w:val="00847613"/>
    <w:rsid w:val="00847ECF"/>
    <w:rsid w:val="00850043"/>
    <w:rsid w:val="008500E5"/>
    <w:rsid w:val="008505A4"/>
    <w:rsid w:val="00850620"/>
    <w:rsid w:val="0085076D"/>
    <w:rsid w:val="0085083A"/>
    <w:rsid w:val="00850872"/>
    <w:rsid w:val="008508D8"/>
    <w:rsid w:val="0085093A"/>
    <w:rsid w:val="0085097A"/>
    <w:rsid w:val="00850C91"/>
    <w:rsid w:val="00850CE7"/>
    <w:rsid w:val="00850E8E"/>
    <w:rsid w:val="008511F2"/>
    <w:rsid w:val="00851539"/>
    <w:rsid w:val="00851571"/>
    <w:rsid w:val="0085178E"/>
    <w:rsid w:val="00851AEA"/>
    <w:rsid w:val="00851D00"/>
    <w:rsid w:val="00851DB0"/>
    <w:rsid w:val="00851DCA"/>
    <w:rsid w:val="00851F3B"/>
    <w:rsid w:val="00851F9D"/>
    <w:rsid w:val="0085207D"/>
    <w:rsid w:val="008520DA"/>
    <w:rsid w:val="00852408"/>
    <w:rsid w:val="00852843"/>
    <w:rsid w:val="008529D9"/>
    <w:rsid w:val="00852BC1"/>
    <w:rsid w:val="00852EA1"/>
    <w:rsid w:val="00852EC5"/>
    <w:rsid w:val="00852EE4"/>
    <w:rsid w:val="00852F0C"/>
    <w:rsid w:val="00852FB8"/>
    <w:rsid w:val="00853015"/>
    <w:rsid w:val="0085328F"/>
    <w:rsid w:val="008533DE"/>
    <w:rsid w:val="00853635"/>
    <w:rsid w:val="0085381D"/>
    <w:rsid w:val="008538B6"/>
    <w:rsid w:val="008538D4"/>
    <w:rsid w:val="00853A06"/>
    <w:rsid w:val="00853C90"/>
    <w:rsid w:val="00853D99"/>
    <w:rsid w:val="00853F9F"/>
    <w:rsid w:val="0085419F"/>
    <w:rsid w:val="00854225"/>
    <w:rsid w:val="0085431E"/>
    <w:rsid w:val="00854322"/>
    <w:rsid w:val="008545F3"/>
    <w:rsid w:val="008546AB"/>
    <w:rsid w:val="008548FE"/>
    <w:rsid w:val="00854964"/>
    <w:rsid w:val="00854E63"/>
    <w:rsid w:val="0085521C"/>
    <w:rsid w:val="0085522C"/>
    <w:rsid w:val="0085523C"/>
    <w:rsid w:val="0085566B"/>
    <w:rsid w:val="008557E8"/>
    <w:rsid w:val="00855983"/>
    <w:rsid w:val="008559CD"/>
    <w:rsid w:val="00855BFC"/>
    <w:rsid w:val="00855E4E"/>
    <w:rsid w:val="0085615C"/>
    <w:rsid w:val="008562CF"/>
    <w:rsid w:val="008563BD"/>
    <w:rsid w:val="00856AED"/>
    <w:rsid w:val="0085709F"/>
    <w:rsid w:val="008571F7"/>
    <w:rsid w:val="00857347"/>
    <w:rsid w:val="00857404"/>
    <w:rsid w:val="0085749F"/>
    <w:rsid w:val="008574AA"/>
    <w:rsid w:val="00857505"/>
    <w:rsid w:val="00857597"/>
    <w:rsid w:val="00857681"/>
    <w:rsid w:val="00857CDE"/>
    <w:rsid w:val="00857D18"/>
    <w:rsid w:val="00857E6B"/>
    <w:rsid w:val="00857FE7"/>
    <w:rsid w:val="008601E1"/>
    <w:rsid w:val="00860245"/>
    <w:rsid w:val="0086029A"/>
    <w:rsid w:val="008604B8"/>
    <w:rsid w:val="00860755"/>
    <w:rsid w:val="008607B9"/>
    <w:rsid w:val="00860862"/>
    <w:rsid w:val="00860B78"/>
    <w:rsid w:val="00860BDD"/>
    <w:rsid w:val="00860C2A"/>
    <w:rsid w:val="00860E68"/>
    <w:rsid w:val="00860E86"/>
    <w:rsid w:val="00860ECE"/>
    <w:rsid w:val="008611B9"/>
    <w:rsid w:val="00861477"/>
    <w:rsid w:val="00861578"/>
    <w:rsid w:val="0086165B"/>
    <w:rsid w:val="00861828"/>
    <w:rsid w:val="00861988"/>
    <w:rsid w:val="00861A22"/>
    <w:rsid w:val="00861A24"/>
    <w:rsid w:val="00861B1F"/>
    <w:rsid w:val="00861B91"/>
    <w:rsid w:val="00861E0A"/>
    <w:rsid w:val="00862111"/>
    <w:rsid w:val="00862534"/>
    <w:rsid w:val="008627D7"/>
    <w:rsid w:val="0086287C"/>
    <w:rsid w:val="0086294E"/>
    <w:rsid w:val="00862A5F"/>
    <w:rsid w:val="00862CF7"/>
    <w:rsid w:val="00862D23"/>
    <w:rsid w:val="00862D41"/>
    <w:rsid w:val="0086324C"/>
    <w:rsid w:val="008633B4"/>
    <w:rsid w:val="008635B3"/>
    <w:rsid w:val="00863633"/>
    <w:rsid w:val="00863730"/>
    <w:rsid w:val="00863A30"/>
    <w:rsid w:val="00863B02"/>
    <w:rsid w:val="00863CE3"/>
    <w:rsid w:val="00863EEA"/>
    <w:rsid w:val="0086411C"/>
    <w:rsid w:val="00864A56"/>
    <w:rsid w:val="00864C79"/>
    <w:rsid w:val="00864D3E"/>
    <w:rsid w:val="00865081"/>
    <w:rsid w:val="008651A6"/>
    <w:rsid w:val="008651E8"/>
    <w:rsid w:val="008652F2"/>
    <w:rsid w:val="0086537B"/>
    <w:rsid w:val="00865446"/>
    <w:rsid w:val="0086579B"/>
    <w:rsid w:val="00865A44"/>
    <w:rsid w:val="00865A74"/>
    <w:rsid w:val="00865A9C"/>
    <w:rsid w:val="00865AE2"/>
    <w:rsid w:val="00865F9D"/>
    <w:rsid w:val="00865FD1"/>
    <w:rsid w:val="008664DC"/>
    <w:rsid w:val="00866AA6"/>
    <w:rsid w:val="00866BA9"/>
    <w:rsid w:val="00866BEC"/>
    <w:rsid w:val="00866F59"/>
    <w:rsid w:val="0086704C"/>
    <w:rsid w:val="00867063"/>
    <w:rsid w:val="00867308"/>
    <w:rsid w:val="008676FB"/>
    <w:rsid w:val="00867998"/>
    <w:rsid w:val="008679CF"/>
    <w:rsid w:val="00867B47"/>
    <w:rsid w:val="00867C1B"/>
    <w:rsid w:val="00867E1B"/>
    <w:rsid w:val="00867F79"/>
    <w:rsid w:val="00870138"/>
    <w:rsid w:val="00870270"/>
    <w:rsid w:val="008705E1"/>
    <w:rsid w:val="008708AE"/>
    <w:rsid w:val="00870B94"/>
    <w:rsid w:val="00870E6A"/>
    <w:rsid w:val="00870FBA"/>
    <w:rsid w:val="00871133"/>
    <w:rsid w:val="008711E0"/>
    <w:rsid w:val="008713B7"/>
    <w:rsid w:val="008716A4"/>
    <w:rsid w:val="008718FB"/>
    <w:rsid w:val="00871E5E"/>
    <w:rsid w:val="00871E64"/>
    <w:rsid w:val="00871FDA"/>
    <w:rsid w:val="008721B3"/>
    <w:rsid w:val="00872224"/>
    <w:rsid w:val="008722C5"/>
    <w:rsid w:val="00872507"/>
    <w:rsid w:val="008725A9"/>
    <w:rsid w:val="00872621"/>
    <w:rsid w:val="00872E86"/>
    <w:rsid w:val="00872EEF"/>
    <w:rsid w:val="00872F50"/>
    <w:rsid w:val="00873009"/>
    <w:rsid w:val="00873044"/>
    <w:rsid w:val="0087315C"/>
    <w:rsid w:val="008733B8"/>
    <w:rsid w:val="00873631"/>
    <w:rsid w:val="0087376E"/>
    <w:rsid w:val="00873975"/>
    <w:rsid w:val="008739D5"/>
    <w:rsid w:val="00873A72"/>
    <w:rsid w:val="00873CC9"/>
    <w:rsid w:val="00873ED5"/>
    <w:rsid w:val="00873F91"/>
    <w:rsid w:val="00874120"/>
    <w:rsid w:val="00874248"/>
    <w:rsid w:val="00874477"/>
    <w:rsid w:val="0087454C"/>
    <w:rsid w:val="00874828"/>
    <w:rsid w:val="00874B1F"/>
    <w:rsid w:val="00874C2C"/>
    <w:rsid w:val="00874C5C"/>
    <w:rsid w:val="00874E53"/>
    <w:rsid w:val="00875066"/>
    <w:rsid w:val="00875187"/>
    <w:rsid w:val="0087528A"/>
    <w:rsid w:val="008752D7"/>
    <w:rsid w:val="008753BB"/>
    <w:rsid w:val="008753E2"/>
    <w:rsid w:val="0087541B"/>
    <w:rsid w:val="008754A9"/>
    <w:rsid w:val="008755E3"/>
    <w:rsid w:val="008758F2"/>
    <w:rsid w:val="00875983"/>
    <w:rsid w:val="008759FC"/>
    <w:rsid w:val="00875CB3"/>
    <w:rsid w:val="00875CD4"/>
    <w:rsid w:val="00875DD1"/>
    <w:rsid w:val="00875E97"/>
    <w:rsid w:val="00876250"/>
    <w:rsid w:val="008764C3"/>
    <w:rsid w:val="008764CF"/>
    <w:rsid w:val="008766E0"/>
    <w:rsid w:val="0087673B"/>
    <w:rsid w:val="00876800"/>
    <w:rsid w:val="008768C8"/>
    <w:rsid w:val="00876A55"/>
    <w:rsid w:val="00876DB1"/>
    <w:rsid w:val="008770CA"/>
    <w:rsid w:val="0087710F"/>
    <w:rsid w:val="008773AF"/>
    <w:rsid w:val="008776D7"/>
    <w:rsid w:val="008777A7"/>
    <w:rsid w:val="008777B1"/>
    <w:rsid w:val="00877A09"/>
    <w:rsid w:val="00877B4B"/>
    <w:rsid w:val="00877D11"/>
    <w:rsid w:val="00880619"/>
    <w:rsid w:val="00880633"/>
    <w:rsid w:val="008806FD"/>
    <w:rsid w:val="00880B74"/>
    <w:rsid w:val="00880C84"/>
    <w:rsid w:val="00880D29"/>
    <w:rsid w:val="00880D7C"/>
    <w:rsid w:val="00880E00"/>
    <w:rsid w:val="00880EE4"/>
    <w:rsid w:val="008810E4"/>
    <w:rsid w:val="008813BF"/>
    <w:rsid w:val="008813C7"/>
    <w:rsid w:val="00881584"/>
    <w:rsid w:val="008817F9"/>
    <w:rsid w:val="00881815"/>
    <w:rsid w:val="00881ABF"/>
    <w:rsid w:val="00881CBE"/>
    <w:rsid w:val="008820DB"/>
    <w:rsid w:val="0088221B"/>
    <w:rsid w:val="0088223D"/>
    <w:rsid w:val="00882472"/>
    <w:rsid w:val="0088253B"/>
    <w:rsid w:val="00882779"/>
    <w:rsid w:val="0088299A"/>
    <w:rsid w:val="00882C40"/>
    <w:rsid w:val="00882C5A"/>
    <w:rsid w:val="00882F56"/>
    <w:rsid w:val="008831FA"/>
    <w:rsid w:val="0088358D"/>
    <w:rsid w:val="00883811"/>
    <w:rsid w:val="00883C59"/>
    <w:rsid w:val="00883E4C"/>
    <w:rsid w:val="00883FA6"/>
    <w:rsid w:val="00884163"/>
    <w:rsid w:val="00884224"/>
    <w:rsid w:val="00884456"/>
    <w:rsid w:val="008845E3"/>
    <w:rsid w:val="008846DF"/>
    <w:rsid w:val="0088474D"/>
    <w:rsid w:val="008848D5"/>
    <w:rsid w:val="00884970"/>
    <w:rsid w:val="0088499C"/>
    <w:rsid w:val="008849EF"/>
    <w:rsid w:val="00884A2E"/>
    <w:rsid w:val="00884AD6"/>
    <w:rsid w:val="00884DE6"/>
    <w:rsid w:val="00884EE5"/>
    <w:rsid w:val="008851B0"/>
    <w:rsid w:val="00885375"/>
    <w:rsid w:val="008856C8"/>
    <w:rsid w:val="00885749"/>
    <w:rsid w:val="00885773"/>
    <w:rsid w:val="008857E5"/>
    <w:rsid w:val="00885879"/>
    <w:rsid w:val="008858E3"/>
    <w:rsid w:val="00885DB6"/>
    <w:rsid w:val="00885DC7"/>
    <w:rsid w:val="00885F8C"/>
    <w:rsid w:val="0088618F"/>
    <w:rsid w:val="008862AA"/>
    <w:rsid w:val="0088638E"/>
    <w:rsid w:val="008864BA"/>
    <w:rsid w:val="0088651C"/>
    <w:rsid w:val="00886731"/>
    <w:rsid w:val="00886866"/>
    <w:rsid w:val="00886C23"/>
    <w:rsid w:val="00886F80"/>
    <w:rsid w:val="00887494"/>
    <w:rsid w:val="008874E7"/>
    <w:rsid w:val="008876A0"/>
    <w:rsid w:val="008877A7"/>
    <w:rsid w:val="008877AD"/>
    <w:rsid w:val="008877B7"/>
    <w:rsid w:val="008877C8"/>
    <w:rsid w:val="0088780A"/>
    <w:rsid w:val="008878B2"/>
    <w:rsid w:val="008878BF"/>
    <w:rsid w:val="0088793D"/>
    <w:rsid w:val="008879F1"/>
    <w:rsid w:val="00887A07"/>
    <w:rsid w:val="00887B29"/>
    <w:rsid w:val="00890260"/>
    <w:rsid w:val="008902C3"/>
    <w:rsid w:val="008902F8"/>
    <w:rsid w:val="008903AD"/>
    <w:rsid w:val="0089054E"/>
    <w:rsid w:val="00890837"/>
    <w:rsid w:val="0089087B"/>
    <w:rsid w:val="00890B16"/>
    <w:rsid w:val="00890B87"/>
    <w:rsid w:val="00890F88"/>
    <w:rsid w:val="0089103C"/>
    <w:rsid w:val="00891090"/>
    <w:rsid w:val="008914DC"/>
    <w:rsid w:val="008914EC"/>
    <w:rsid w:val="008914F5"/>
    <w:rsid w:val="008915B5"/>
    <w:rsid w:val="00891741"/>
    <w:rsid w:val="00891855"/>
    <w:rsid w:val="00891BBF"/>
    <w:rsid w:val="00891C3F"/>
    <w:rsid w:val="00891CF3"/>
    <w:rsid w:val="00891EA2"/>
    <w:rsid w:val="00892122"/>
    <w:rsid w:val="0089238E"/>
    <w:rsid w:val="008924BD"/>
    <w:rsid w:val="00892647"/>
    <w:rsid w:val="0089269C"/>
    <w:rsid w:val="008927CA"/>
    <w:rsid w:val="008927D7"/>
    <w:rsid w:val="00892832"/>
    <w:rsid w:val="00892914"/>
    <w:rsid w:val="00892A77"/>
    <w:rsid w:val="00892C26"/>
    <w:rsid w:val="00892C9C"/>
    <w:rsid w:val="00892D39"/>
    <w:rsid w:val="0089302C"/>
    <w:rsid w:val="0089318F"/>
    <w:rsid w:val="008931B1"/>
    <w:rsid w:val="00893223"/>
    <w:rsid w:val="00893390"/>
    <w:rsid w:val="0089344A"/>
    <w:rsid w:val="0089350C"/>
    <w:rsid w:val="00893656"/>
    <w:rsid w:val="00893850"/>
    <w:rsid w:val="008939EA"/>
    <w:rsid w:val="00893B8E"/>
    <w:rsid w:val="00893EE0"/>
    <w:rsid w:val="0089400A"/>
    <w:rsid w:val="008940FC"/>
    <w:rsid w:val="00894AC1"/>
    <w:rsid w:val="00894AE3"/>
    <w:rsid w:val="00894E04"/>
    <w:rsid w:val="00895039"/>
    <w:rsid w:val="0089506C"/>
    <w:rsid w:val="00895158"/>
    <w:rsid w:val="008951AB"/>
    <w:rsid w:val="00895252"/>
    <w:rsid w:val="008952FD"/>
    <w:rsid w:val="0089542D"/>
    <w:rsid w:val="0089550A"/>
    <w:rsid w:val="00895584"/>
    <w:rsid w:val="00896206"/>
    <w:rsid w:val="008963B0"/>
    <w:rsid w:val="008964E2"/>
    <w:rsid w:val="00896601"/>
    <w:rsid w:val="00896613"/>
    <w:rsid w:val="008969BC"/>
    <w:rsid w:val="00896CCA"/>
    <w:rsid w:val="00896DB9"/>
    <w:rsid w:val="00896EB1"/>
    <w:rsid w:val="00896FCB"/>
    <w:rsid w:val="00896FF6"/>
    <w:rsid w:val="00897106"/>
    <w:rsid w:val="008971DF"/>
    <w:rsid w:val="0089729B"/>
    <w:rsid w:val="008973A7"/>
    <w:rsid w:val="0089743D"/>
    <w:rsid w:val="00897486"/>
    <w:rsid w:val="00897494"/>
    <w:rsid w:val="008974FA"/>
    <w:rsid w:val="008977DC"/>
    <w:rsid w:val="008977FE"/>
    <w:rsid w:val="00897998"/>
    <w:rsid w:val="00897C7A"/>
    <w:rsid w:val="00897D41"/>
    <w:rsid w:val="008A026A"/>
    <w:rsid w:val="008A0329"/>
    <w:rsid w:val="008A07A2"/>
    <w:rsid w:val="008A0A12"/>
    <w:rsid w:val="008A0CC0"/>
    <w:rsid w:val="008A0F1E"/>
    <w:rsid w:val="008A0F21"/>
    <w:rsid w:val="008A0F68"/>
    <w:rsid w:val="008A112F"/>
    <w:rsid w:val="008A1307"/>
    <w:rsid w:val="008A1408"/>
    <w:rsid w:val="008A140B"/>
    <w:rsid w:val="008A1719"/>
    <w:rsid w:val="008A1924"/>
    <w:rsid w:val="008A1CDC"/>
    <w:rsid w:val="008A1E6A"/>
    <w:rsid w:val="008A1ED2"/>
    <w:rsid w:val="008A20CC"/>
    <w:rsid w:val="008A24D4"/>
    <w:rsid w:val="008A2B14"/>
    <w:rsid w:val="008A2DDD"/>
    <w:rsid w:val="008A2E7F"/>
    <w:rsid w:val="008A32A6"/>
    <w:rsid w:val="008A32BD"/>
    <w:rsid w:val="008A33D9"/>
    <w:rsid w:val="008A341C"/>
    <w:rsid w:val="008A3576"/>
    <w:rsid w:val="008A3853"/>
    <w:rsid w:val="008A38B0"/>
    <w:rsid w:val="008A3C03"/>
    <w:rsid w:val="008A3E62"/>
    <w:rsid w:val="008A3FE0"/>
    <w:rsid w:val="008A40DC"/>
    <w:rsid w:val="008A4236"/>
    <w:rsid w:val="008A4270"/>
    <w:rsid w:val="008A439B"/>
    <w:rsid w:val="008A46AF"/>
    <w:rsid w:val="008A4F65"/>
    <w:rsid w:val="008A4F84"/>
    <w:rsid w:val="008A4FA1"/>
    <w:rsid w:val="008A4FCD"/>
    <w:rsid w:val="008A5254"/>
    <w:rsid w:val="008A54B7"/>
    <w:rsid w:val="008A5500"/>
    <w:rsid w:val="008A550A"/>
    <w:rsid w:val="008A557B"/>
    <w:rsid w:val="008A56A2"/>
    <w:rsid w:val="008A586F"/>
    <w:rsid w:val="008A5ADE"/>
    <w:rsid w:val="008A5AF5"/>
    <w:rsid w:val="008A637A"/>
    <w:rsid w:val="008A6703"/>
    <w:rsid w:val="008A67AC"/>
    <w:rsid w:val="008A67C2"/>
    <w:rsid w:val="008A6BAA"/>
    <w:rsid w:val="008A6BBE"/>
    <w:rsid w:val="008A6FB2"/>
    <w:rsid w:val="008A72A3"/>
    <w:rsid w:val="008A7492"/>
    <w:rsid w:val="008A768B"/>
    <w:rsid w:val="008A7723"/>
    <w:rsid w:val="008A788D"/>
    <w:rsid w:val="008A78D9"/>
    <w:rsid w:val="008A78F9"/>
    <w:rsid w:val="008A7B33"/>
    <w:rsid w:val="008A7B90"/>
    <w:rsid w:val="008B0000"/>
    <w:rsid w:val="008B02D9"/>
    <w:rsid w:val="008B04CA"/>
    <w:rsid w:val="008B04FA"/>
    <w:rsid w:val="008B0534"/>
    <w:rsid w:val="008B06E8"/>
    <w:rsid w:val="008B06FA"/>
    <w:rsid w:val="008B075D"/>
    <w:rsid w:val="008B09BD"/>
    <w:rsid w:val="008B1227"/>
    <w:rsid w:val="008B1358"/>
    <w:rsid w:val="008B1631"/>
    <w:rsid w:val="008B17A6"/>
    <w:rsid w:val="008B1965"/>
    <w:rsid w:val="008B1AEE"/>
    <w:rsid w:val="008B1D50"/>
    <w:rsid w:val="008B1D8F"/>
    <w:rsid w:val="008B268F"/>
    <w:rsid w:val="008B26CB"/>
    <w:rsid w:val="008B26D3"/>
    <w:rsid w:val="008B270F"/>
    <w:rsid w:val="008B287D"/>
    <w:rsid w:val="008B2977"/>
    <w:rsid w:val="008B2AC4"/>
    <w:rsid w:val="008B2C72"/>
    <w:rsid w:val="008B2DF3"/>
    <w:rsid w:val="008B2E10"/>
    <w:rsid w:val="008B3046"/>
    <w:rsid w:val="008B30ED"/>
    <w:rsid w:val="008B328A"/>
    <w:rsid w:val="008B32C0"/>
    <w:rsid w:val="008B331D"/>
    <w:rsid w:val="008B3379"/>
    <w:rsid w:val="008B33E0"/>
    <w:rsid w:val="008B3541"/>
    <w:rsid w:val="008B3720"/>
    <w:rsid w:val="008B38E5"/>
    <w:rsid w:val="008B397A"/>
    <w:rsid w:val="008B39BE"/>
    <w:rsid w:val="008B39F9"/>
    <w:rsid w:val="008B3CB8"/>
    <w:rsid w:val="008B3EFB"/>
    <w:rsid w:val="008B4070"/>
    <w:rsid w:val="008B4113"/>
    <w:rsid w:val="008B418B"/>
    <w:rsid w:val="008B41BA"/>
    <w:rsid w:val="008B43D5"/>
    <w:rsid w:val="008B43E7"/>
    <w:rsid w:val="008B43E9"/>
    <w:rsid w:val="008B4438"/>
    <w:rsid w:val="008B490F"/>
    <w:rsid w:val="008B4AA0"/>
    <w:rsid w:val="008B521E"/>
    <w:rsid w:val="008B53AF"/>
    <w:rsid w:val="008B56A5"/>
    <w:rsid w:val="008B57A7"/>
    <w:rsid w:val="008B5C6D"/>
    <w:rsid w:val="008B5D4F"/>
    <w:rsid w:val="008B5E60"/>
    <w:rsid w:val="008B5E79"/>
    <w:rsid w:val="008B5F16"/>
    <w:rsid w:val="008B653D"/>
    <w:rsid w:val="008B6573"/>
    <w:rsid w:val="008B66D8"/>
    <w:rsid w:val="008B66E0"/>
    <w:rsid w:val="008B673A"/>
    <w:rsid w:val="008B67B9"/>
    <w:rsid w:val="008B6A96"/>
    <w:rsid w:val="008B6C25"/>
    <w:rsid w:val="008B6DC4"/>
    <w:rsid w:val="008B6FB4"/>
    <w:rsid w:val="008B6FED"/>
    <w:rsid w:val="008B702E"/>
    <w:rsid w:val="008B73D8"/>
    <w:rsid w:val="008B743F"/>
    <w:rsid w:val="008B745E"/>
    <w:rsid w:val="008B74FB"/>
    <w:rsid w:val="008B755A"/>
    <w:rsid w:val="008B7619"/>
    <w:rsid w:val="008B76CB"/>
    <w:rsid w:val="008B78AA"/>
    <w:rsid w:val="008B798C"/>
    <w:rsid w:val="008B798D"/>
    <w:rsid w:val="008B7B12"/>
    <w:rsid w:val="008B7C1C"/>
    <w:rsid w:val="008C0059"/>
    <w:rsid w:val="008C01DA"/>
    <w:rsid w:val="008C0203"/>
    <w:rsid w:val="008C028E"/>
    <w:rsid w:val="008C0399"/>
    <w:rsid w:val="008C0487"/>
    <w:rsid w:val="008C04D2"/>
    <w:rsid w:val="008C05CB"/>
    <w:rsid w:val="008C0624"/>
    <w:rsid w:val="008C0649"/>
    <w:rsid w:val="008C0686"/>
    <w:rsid w:val="008C077D"/>
    <w:rsid w:val="008C07A5"/>
    <w:rsid w:val="008C07FD"/>
    <w:rsid w:val="008C09AE"/>
    <w:rsid w:val="008C0B67"/>
    <w:rsid w:val="008C0D57"/>
    <w:rsid w:val="008C0DA1"/>
    <w:rsid w:val="008C13BC"/>
    <w:rsid w:val="008C1444"/>
    <w:rsid w:val="008C1446"/>
    <w:rsid w:val="008C1511"/>
    <w:rsid w:val="008C17B9"/>
    <w:rsid w:val="008C1978"/>
    <w:rsid w:val="008C1A6E"/>
    <w:rsid w:val="008C1BB4"/>
    <w:rsid w:val="008C1D2C"/>
    <w:rsid w:val="008C2050"/>
    <w:rsid w:val="008C2464"/>
    <w:rsid w:val="008C2629"/>
    <w:rsid w:val="008C2727"/>
    <w:rsid w:val="008C2954"/>
    <w:rsid w:val="008C2AA7"/>
    <w:rsid w:val="008C2CE1"/>
    <w:rsid w:val="008C2DD8"/>
    <w:rsid w:val="008C2EE7"/>
    <w:rsid w:val="008C2F7D"/>
    <w:rsid w:val="008C333E"/>
    <w:rsid w:val="008C3773"/>
    <w:rsid w:val="008C37FD"/>
    <w:rsid w:val="008C3832"/>
    <w:rsid w:val="008C3A2F"/>
    <w:rsid w:val="008C3C27"/>
    <w:rsid w:val="008C3D9F"/>
    <w:rsid w:val="008C3FDE"/>
    <w:rsid w:val="008C424E"/>
    <w:rsid w:val="008C4525"/>
    <w:rsid w:val="008C4925"/>
    <w:rsid w:val="008C4BA5"/>
    <w:rsid w:val="008C4C1D"/>
    <w:rsid w:val="008C4C5C"/>
    <w:rsid w:val="008C4DED"/>
    <w:rsid w:val="008C4F3E"/>
    <w:rsid w:val="008C5040"/>
    <w:rsid w:val="008C509B"/>
    <w:rsid w:val="008C53E6"/>
    <w:rsid w:val="008C57FC"/>
    <w:rsid w:val="008C58A4"/>
    <w:rsid w:val="008C598E"/>
    <w:rsid w:val="008C5B8E"/>
    <w:rsid w:val="008C5D29"/>
    <w:rsid w:val="008C6178"/>
    <w:rsid w:val="008C629E"/>
    <w:rsid w:val="008C632C"/>
    <w:rsid w:val="008C63C4"/>
    <w:rsid w:val="008C649C"/>
    <w:rsid w:val="008C6520"/>
    <w:rsid w:val="008C6571"/>
    <w:rsid w:val="008C6580"/>
    <w:rsid w:val="008C6733"/>
    <w:rsid w:val="008C68A4"/>
    <w:rsid w:val="008C6ACD"/>
    <w:rsid w:val="008C6C68"/>
    <w:rsid w:val="008C6CBD"/>
    <w:rsid w:val="008C6CEA"/>
    <w:rsid w:val="008C7013"/>
    <w:rsid w:val="008C71CB"/>
    <w:rsid w:val="008C72D0"/>
    <w:rsid w:val="008C751E"/>
    <w:rsid w:val="008C75BF"/>
    <w:rsid w:val="008C7B26"/>
    <w:rsid w:val="008C7B56"/>
    <w:rsid w:val="008C7CE9"/>
    <w:rsid w:val="008C7E00"/>
    <w:rsid w:val="008C7E96"/>
    <w:rsid w:val="008C7EC8"/>
    <w:rsid w:val="008D0080"/>
    <w:rsid w:val="008D00EB"/>
    <w:rsid w:val="008D011A"/>
    <w:rsid w:val="008D01CC"/>
    <w:rsid w:val="008D029C"/>
    <w:rsid w:val="008D04EF"/>
    <w:rsid w:val="008D0568"/>
    <w:rsid w:val="008D0738"/>
    <w:rsid w:val="008D07DB"/>
    <w:rsid w:val="008D08D1"/>
    <w:rsid w:val="008D094B"/>
    <w:rsid w:val="008D0959"/>
    <w:rsid w:val="008D0A1F"/>
    <w:rsid w:val="008D0B68"/>
    <w:rsid w:val="008D0EC7"/>
    <w:rsid w:val="008D1003"/>
    <w:rsid w:val="008D10BB"/>
    <w:rsid w:val="008D12B4"/>
    <w:rsid w:val="008D1761"/>
    <w:rsid w:val="008D17DC"/>
    <w:rsid w:val="008D1803"/>
    <w:rsid w:val="008D1C14"/>
    <w:rsid w:val="008D1FAA"/>
    <w:rsid w:val="008D2010"/>
    <w:rsid w:val="008D2056"/>
    <w:rsid w:val="008D20DC"/>
    <w:rsid w:val="008D21E6"/>
    <w:rsid w:val="008D21F1"/>
    <w:rsid w:val="008D2335"/>
    <w:rsid w:val="008D23BA"/>
    <w:rsid w:val="008D2610"/>
    <w:rsid w:val="008D2881"/>
    <w:rsid w:val="008D288B"/>
    <w:rsid w:val="008D2960"/>
    <w:rsid w:val="008D2BC2"/>
    <w:rsid w:val="008D2D35"/>
    <w:rsid w:val="008D2EFA"/>
    <w:rsid w:val="008D2F62"/>
    <w:rsid w:val="008D32C3"/>
    <w:rsid w:val="008D35A0"/>
    <w:rsid w:val="008D3930"/>
    <w:rsid w:val="008D3B85"/>
    <w:rsid w:val="008D3BEA"/>
    <w:rsid w:val="008D3BF3"/>
    <w:rsid w:val="008D3D8B"/>
    <w:rsid w:val="008D3E55"/>
    <w:rsid w:val="008D3E9F"/>
    <w:rsid w:val="008D3ECB"/>
    <w:rsid w:val="008D42C3"/>
    <w:rsid w:val="008D45B1"/>
    <w:rsid w:val="008D4947"/>
    <w:rsid w:val="008D4F05"/>
    <w:rsid w:val="008D50A2"/>
    <w:rsid w:val="008D50DC"/>
    <w:rsid w:val="008D5235"/>
    <w:rsid w:val="008D532B"/>
    <w:rsid w:val="008D5502"/>
    <w:rsid w:val="008D58F2"/>
    <w:rsid w:val="008D5BAE"/>
    <w:rsid w:val="008D5C7C"/>
    <w:rsid w:val="008D5DCB"/>
    <w:rsid w:val="008D5E21"/>
    <w:rsid w:val="008D5F48"/>
    <w:rsid w:val="008D631B"/>
    <w:rsid w:val="008D6601"/>
    <w:rsid w:val="008D6684"/>
    <w:rsid w:val="008D693F"/>
    <w:rsid w:val="008D6955"/>
    <w:rsid w:val="008D697E"/>
    <w:rsid w:val="008D69A9"/>
    <w:rsid w:val="008D69E8"/>
    <w:rsid w:val="008D6B92"/>
    <w:rsid w:val="008D6C10"/>
    <w:rsid w:val="008D711A"/>
    <w:rsid w:val="008D7443"/>
    <w:rsid w:val="008D7980"/>
    <w:rsid w:val="008D7B84"/>
    <w:rsid w:val="008D7E93"/>
    <w:rsid w:val="008E05A9"/>
    <w:rsid w:val="008E0611"/>
    <w:rsid w:val="008E0853"/>
    <w:rsid w:val="008E09B6"/>
    <w:rsid w:val="008E0E04"/>
    <w:rsid w:val="008E0F2F"/>
    <w:rsid w:val="008E1052"/>
    <w:rsid w:val="008E122F"/>
    <w:rsid w:val="008E140E"/>
    <w:rsid w:val="008E1566"/>
    <w:rsid w:val="008E1AB7"/>
    <w:rsid w:val="008E1E30"/>
    <w:rsid w:val="008E1E35"/>
    <w:rsid w:val="008E1F29"/>
    <w:rsid w:val="008E227F"/>
    <w:rsid w:val="008E22D0"/>
    <w:rsid w:val="008E23EC"/>
    <w:rsid w:val="008E2484"/>
    <w:rsid w:val="008E24E7"/>
    <w:rsid w:val="008E2517"/>
    <w:rsid w:val="008E2922"/>
    <w:rsid w:val="008E303E"/>
    <w:rsid w:val="008E323E"/>
    <w:rsid w:val="008E3416"/>
    <w:rsid w:val="008E34D5"/>
    <w:rsid w:val="008E34E6"/>
    <w:rsid w:val="008E356B"/>
    <w:rsid w:val="008E36B8"/>
    <w:rsid w:val="008E3869"/>
    <w:rsid w:val="008E3895"/>
    <w:rsid w:val="008E3BA2"/>
    <w:rsid w:val="008E3CA2"/>
    <w:rsid w:val="008E3D35"/>
    <w:rsid w:val="008E3DA7"/>
    <w:rsid w:val="008E3E4D"/>
    <w:rsid w:val="008E4328"/>
    <w:rsid w:val="008E4635"/>
    <w:rsid w:val="008E4674"/>
    <w:rsid w:val="008E46B5"/>
    <w:rsid w:val="008E4915"/>
    <w:rsid w:val="008E4B72"/>
    <w:rsid w:val="008E4C76"/>
    <w:rsid w:val="008E5521"/>
    <w:rsid w:val="008E563F"/>
    <w:rsid w:val="008E56A9"/>
    <w:rsid w:val="008E577F"/>
    <w:rsid w:val="008E5842"/>
    <w:rsid w:val="008E5A9C"/>
    <w:rsid w:val="008E5B82"/>
    <w:rsid w:val="008E5B98"/>
    <w:rsid w:val="008E5C6C"/>
    <w:rsid w:val="008E5C7D"/>
    <w:rsid w:val="008E5DB6"/>
    <w:rsid w:val="008E5DFE"/>
    <w:rsid w:val="008E61EE"/>
    <w:rsid w:val="008E629C"/>
    <w:rsid w:val="008E634E"/>
    <w:rsid w:val="008E63A3"/>
    <w:rsid w:val="008E63B0"/>
    <w:rsid w:val="008E6649"/>
    <w:rsid w:val="008E667C"/>
    <w:rsid w:val="008E68DA"/>
    <w:rsid w:val="008E691C"/>
    <w:rsid w:val="008E6CDD"/>
    <w:rsid w:val="008E6DBB"/>
    <w:rsid w:val="008E6F04"/>
    <w:rsid w:val="008E6F3F"/>
    <w:rsid w:val="008E7085"/>
    <w:rsid w:val="008E7099"/>
    <w:rsid w:val="008E7349"/>
    <w:rsid w:val="008E73E6"/>
    <w:rsid w:val="008E7461"/>
    <w:rsid w:val="008E7613"/>
    <w:rsid w:val="008E76B3"/>
    <w:rsid w:val="008E7D3F"/>
    <w:rsid w:val="008F051F"/>
    <w:rsid w:val="008F0575"/>
    <w:rsid w:val="008F0ABD"/>
    <w:rsid w:val="008F0E9A"/>
    <w:rsid w:val="008F11B8"/>
    <w:rsid w:val="008F12F0"/>
    <w:rsid w:val="008F15F0"/>
    <w:rsid w:val="008F16CC"/>
    <w:rsid w:val="008F17BD"/>
    <w:rsid w:val="008F1BDF"/>
    <w:rsid w:val="008F1C48"/>
    <w:rsid w:val="008F2004"/>
    <w:rsid w:val="008F2076"/>
    <w:rsid w:val="008F220E"/>
    <w:rsid w:val="008F22C4"/>
    <w:rsid w:val="008F2376"/>
    <w:rsid w:val="008F241B"/>
    <w:rsid w:val="008F2464"/>
    <w:rsid w:val="008F24D6"/>
    <w:rsid w:val="008F28ED"/>
    <w:rsid w:val="008F2929"/>
    <w:rsid w:val="008F2A3F"/>
    <w:rsid w:val="008F2B1D"/>
    <w:rsid w:val="008F2BAE"/>
    <w:rsid w:val="008F2DC8"/>
    <w:rsid w:val="008F2DD5"/>
    <w:rsid w:val="008F2F9E"/>
    <w:rsid w:val="008F3889"/>
    <w:rsid w:val="008F38EE"/>
    <w:rsid w:val="008F3B94"/>
    <w:rsid w:val="008F3C3B"/>
    <w:rsid w:val="008F41EA"/>
    <w:rsid w:val="008F4231"/>
    <w:rsid w:val="008F436B"/>
    <w:rsid w:val="008F4810"/>
    <w:rsid w:val="008F48F3"/>
    <w:rsid w:val="008F4F4B"/>
    <w:rsid w:val="008F4F8D"/>
    <w:rsid w:val="008F4F97"/>
    <w:rsid w:val="008F53F6"/>
    <w:rsid w:val="008F564A"/>
    <w:rsid w:val="008F58BF"/>
    <w:rsid w:val="008F5C14"/>
    <w:rsid w:val="008F5C78"/>
    <w:rsid w:val="008F5D6B"/>
    <w:rsid w:val="008F5E5A"/>
    <w:rsid w:val="008F634C"/>
    <w:rsid w:val="008F63E4"/>
    <w:rsid w:val="008F6433"/>
    <w:rsid w:val="008F64ED"/>
    <w:rsid w:val="008F6540"/>
    <w:rsid w:val="008F68EE"/>
    <w:rsid w:val="008F6A0B"/>
    <w:rsid w:val="008F6A38"/>
    <w:rsid w:val="008F6D0F"/>
    <w:rsid w:val="008F6EDD"/>
    <w:rsid w:val="008F7095"/>
    <w:rsid w:val="008F7145"/>
    <w:rsid w:val="008F733F"/>
    <w:rsid w:val="008F75D6"/>
    <w:rsid w:val="008F7629"/>
    <w:rsid w:val="008F7722"/>
    <w:rsid w:val="008F7909"/>
    <w:rsid w:val="008F7991"/>
    <w:rsid w:val="008F79E7"/>
    <w:rsid w:val="008F7A66"/>
    <w:rsid w:val="008F7A8C"/>
    <w:rsid w:val="008F7B5B"/>
    <w:rsid w:val="008F7B66"/>
    <w:rsid w:val="008F7DED"/>
    <w:rsid w:val="00900034"/>
    <w:rsid w:val="0090009F"/>
    <w:rsid w:val="009001FF"/>
    <w:rsid w:val="00900501"/>
    <w:rsid w:val="0090065E"/>
    <w:rsid w:val="009007AE"/>
    <w:rsid w:val="00900855"/>
    <w:rsid w:val="0090085A"/>
    <w:rsid w:val="00900C28"/>
    <w:rsid w:val="00900F42"/>
    <w:rsid w:val="00900FF3"/>
    <w:rsid w:val="009012DB"/>
    <w:rsid w:val="00901316"/>
    <w:rsid w:val="00901525"/>
    <w:rsid w:val="00901924"/>
    <w:rsid w:val="0090199B"/>
    <w:rsid w:val="009019C3"/>
    <w:rsid w:val="00901ACA"/>
    <w:rsid w:val="00901BDA"/>
    <w:rsid w:val="00901CEA"/>
    <w:rsid w:val="00901F2E"/>
    <w:rsid w:val="009021B1"/>
    <w:rsid w:val="0090252E"/>
    <w:rsid w:val="00902BBE"/>
    <w:rsid w:val="00902C35"/>
    <w:rsid w:val="00902E08"/>
    <w:rsid w:val="009031CB"/>
    <w:rsid w:val="009036CE"/>
    <w:rsid w:val="00903B2E"/>
    <w:rsid w:val="00903CBD"/>
    <w:rsid w:val="00904380"/>
    <w:rsid w:val="00904496"/>
    <w:rsid w:val="00904E11"/>
    <w:rsid w:val="00905042"/>
    <w:rsid w:val="009051A7"/>
    <w:rsid w:val="00905594"/>
    <w:rsid w:val="00905658"/>
    <w:rsid w:val="0090565A"/>
    <w:rsid w:val="0090577E"/>
    <w:rsid w:val="009059A4"/>
    <w:rsid w:val="00905BD6"/>
    <w:rsid w:val="00905D11"/>
    <w:rsid w:val="00905E1A"/>
    <w:rsid w:val="00905EAB"/>
    <w:rsid w:val="00906033"/>
    <w:rsid w:val="009063D3"/>
    <w:rsid w:val="0090650E"/>
    <w:rsid w:val="009065AA"/>
    <w:rsid w:val="009065CD"/>
    <w:rsid w:val="009065F0"/>
    <w:rsid w:val="00906651"/>
    <w:rsid w:val="009067A2"/>
    <w:rsid w:val="00906897"/>
    <w:rsid w:val="009069D4"/>
    <w:rsid w:val="00906E11"/>
    <w:rsid w:val="00907366"/>
    <w:rsid w:val="00907368"/>
    <w:rsid w:val="00907455"/>
    <w:rsid w:val="00907ABB"/>
    <w:rsid w:val="00907AD2"/>
    <w:rsid w:val="00907DC3"/>
    <w:rsid w:val="00907FA0"/>
    <w:rsid w:val="00910113"/>
    <w:rsid w:val="0091013B"/>
    <w:rsid w:val="009102C4"/>
    <w:rsid w:val="0091046F"/>
    <w:rsid w:val="0091047B"/>
    <w:rsid w:val="009104E4"/>
    <w:rsid w:val="00910539"/>
    <w:rsid w:val="0091094A"/>
    <w:rsid w:val="00910AF1"/>
    <w:rsid w:val="00910BC1"/>
    <w:rsid w:val="00910C71"/>
    <w:rsid w:val="00910CC6"/>
    <w:rsid w:val="00910D51"/>
    <w:rsid w:val="0091107B"/>
    <w:rsid w:val="009112FF"/>
    <w:rsid w:val="00911336"/>
    <w:rsid w:val="00911378"/>
    <w:rsid w:val="0091179E"/>
    <w:rsid w:val="009117DD"/>
    <w:rsid w:val="00911F43"/>
    <w:rsid w:val="00912176"/>
    <w:rsid w:val="00912358"/>
    <w:rsid w:val="009126C9"/>
    <w:rsid w:val="00912C2D"/>
    <w:rsid w:val="00912CE8"/>
    <w:rsid w:val="00912E64"/>
    <w:rsid w:val="00912F60"/>
    <w:rsid w:val="00913053"/>
    <w:rsid w:val="00913322"/>
    <w:rsid w:val="009136BE"/>
    <w:rsid w:val="009137DC"/>
    <w:rsid w:val="00913812"/>
    <w:rsid w:val="0091398A"/>
    <w:rsid w:val="00913A1F"/>
    <w:rsid w:val="00913A25"/>
    <w:rsid w:val="00913A56"/>
    <w:rsid w:val="00913BC5"/>
    <w:rsid w:val="00913D04"/>
    <w:rsid w:val="00913D72"/>
    <w:rsid w:val="00913D7B"/>
    <w:rsid w:val="00913EFB"/>
    <w:rsid w:val="00913EFC"/>
    <w:rsid w:val="00913F48"/>
    <w:rsid w:val="0091438F"/>
    <w:rsid w:val="0091463F"/>
    <w:rsid w:val="00914782"/>
    <w:rsid w:val="009148F1"/>
    <w:rsid w:val="0091494F"/>
    <w:rsid w:val="00914C0E"/>
    <w:rsid w:val="00914C87"/>
    <w:rsid w:val="009151CE"/>
    <w:rsid w:val="00915251"/>
    <w:rsid w:val="00915632"/>
    <w:rsid w:val="00915787"/>
    <w:rsid w:val="00915BBD"/>
    <w:rsid w:val="0091627F"/>
    <w:rsid w:val="009163E5"/>
    <w:rsid w:val="009165D5"/>
    <w:rsid w:val="00916818"/>
    <w:rsid w:val="0091699F"/>
    <w:rsid w:val="00916AC3"/>
    <w:rsid w:val="00916B65"/>
    <w:rsid w:val="00916C4F"/>
    <w:rsid w:val="00916CCC"/>
    <w:rsid w:val="00916E9C"/>
    <w:rsid w:val="0091728F"/>
    <w:rsid w:val="009172F0"/>
    <w:rsid w:val="009173F4"/>
    <w:rsid w:val="00917AC2"/>
    <w:rsid w:val="00917D32"/>
    <w:rsid w:val="00917EAC"/>
    <w:rsid w:val="00917F6A"/>
    <w:rsid w:val="00920126"/>
    <w:rsid w:val="009202D0"/>
    <w:rsid w:val="00920358"/>
    <w:rsid w:val="009209DA"/>
    <w:rsid w:val="00920A64"/>
    <w:rsid w:val="00920B53"/>
    <w:rsid w:val="00920D3C"/>
    <w:rsid w:val="00920D6E"/>
    <w:rsid w:val="0092117A"/>
    <w:rsid w:val="0092137B"/>
    <w:rsid w:val="009216F0"/>
    <w:rsid w:val="009219CF"/>
    <w:rsid w:val="00921BE8"/>
    <w:rsid w:val="00921EC9"/>
    <w:rsid w:val="00921F85"/>
    <w:rsid w:val="009220A5"/>
    <w:rsid w:val="0092217E"/>
    <w:rsid w:val="0092234E"/>
    <w:rsid w:val="00922412"/>
    <w:rsid w:val="00922448"/>
    <w:rsid w:val="009225DC"/>
    <w:rsid w:val="00922857"/>
    <w:rsid w:val="00922AA8"/>
    <w:rsid w:val="00922AF2"/>
    <w:rsid w:val="00922E21"/>
    <w:rsid w:val="00922FBE"/>
    <w:rsid w:val="00922FC2"/>
    <w:rsid w:val="00923019"/>
    <w:rsid w:val="00923167"/>
    <w:rsid w:val="009232F3"/>
    <w:rsid w:val="00923301"/>
    <w:rsid w:val="00923310"/>
    <w:rsid w:val="00923424"/>
    <w:rsid w:val="00923667"/>
    <w:rsid w:val="00923736"/>
    <w:rsid w:val="00923E12"/>
    <w:rsid w:val="00924301"/>
    <w:rsid w:val="00924448"/>
    <w:rsid w:val="00924602"/>
    <w:rsid w:val="009246BB"/>
    <w:rsid w:val="00924AC4"/>
    <w:rsid w:val="00924CCA"/>
    <w:rsid w:val="00924DD3"/>
    <w:rsid w:val="00924FDC"/>
    <w:rsid w:val="00925004"/>
    <w:rsid w:val="0092503F"/>
    <w:rsid w:val="00925145"/>
    <w:rsid w:val="009251DD"/>
    <w:rsid w:val="00925272"/>
    <w:rsid w:val="009253B4"/>
    <w:rsid w:val="00925483"/>
    <w:rsid w:val="009256A5"/>
    <w:rsid w:val="00925706"/>
    <w:rsid w:val="00925920"/>
    <w:rsid w:val="00925A3C"/>
    <w:rsid w:val="00925AFF"/>
    <w:rsid w:val="00925C23"/>
    <w:rsid w:val="00925DBE"/>
    <w:rsid w:val="00926020"/>
    <w:rsid w:val="00926246"/>
    <w:rsid w:val="00926336"/>
    <w:rsid w:val="00926376"/>
    <w:rsid w:val="00926553"/>
    <w:rsid w:val="00926837"/>
    <w:rsid w:val="0092687F"/>
    <w:rsid w:val="009268A3"/>
    <w:rsid w:val="009268B1"/>
    <w:rsid w:val="009269A6"/>
    <w:rsid w:val="009269C1"/>
    <w:rsid w:val="00926A0D"/>
    <w:rsid w:val="00926B74"/>
    <w:rsid w:val="00926BA3"/>
    <w:rsid w:val="00926E99"/>
    <w:rsid w:val="00926FA0"/>
    <w:rsid w:val="009270E5"/>
    <w:rsid w:val="009271B2"/>
    <w:rsid w:val="00927326"/>
    <w:rsid w:val="0092744E"/>
    <w:rsid w:val="00927BB3"/>
    <w:rsid w:val="009300F7"/>
    <w:rsid w:val="009302EE"/>
    <w:rsid w:val="009303EA"/>
    <w:rsid w:val="00930723"/>
    <w:rsid w:val="00930A8D"/>
    <w:rsid w:val="00930BD8"/>
    <w:rsid w:val="00930CD6"/>
    <w:rsid w:val="00930D53"/>
    <w:rsid w:val="00930E58"/>
    <w:rsid w:val="0093131D"/>
    <w:rsid w:val="00931397"/>
    <w:rsid w:val="00931531"/>
    <w:rsid w:val="00931661"/>
    <w:rsid w:val="00931728"/>
    <w:rsid w:val="00931829"/>
    <w:rsid w:val="0093198A"/>
    <w:rsid w:val="009319FE"/>
    <w:rsid w:val="00931AB5"/>
    <w:rsid w:val="00931B38"/>
    <w:rsid w:val="00931B91"/>
    <w:rsid w:val="00931BB8"/>
    <w:rsid w:val="00931CE0"/>
    <w:rsid w:val="00931D14"/>
    <w:rsid w:val="00931DB2"/>
    <w:rsid w:val="00931EC6"/>
    <w:rsid w:val="00931F69"/>
    <w:rsid w:val="00931FBF"/>
    <w:rsid w:val="00931FC9"/>
    <w:rsid w:val="009320DD"/>
    <w:rsid w:val="009324E8"/>
    <w:rsid w:val="009326C2"/>
    <w:rsid w:val="009326FE"/>
    <w:rsid w:val="0093284C"/>
    <w:rsid w:val="00932952"/>
    <w:rsid w:val="00932988"/>
    <w:rsid w:val="009329D6"/>
    <w:rsid w:val="00932DDB"/>
    <w:rsid w:val="00932FD2"/>
    <w:rsid w:val="00933202"/>
    <w:rsid w:val="00933605"/>
    <w:rsid w:val="00933644"/>
    <w:rsid w:val="009336D6"/>
    <w:rsid w:val="00933735"/>
    <w:rsid w:val="00933A18"/>
    <w:rsid w:val="009341FC"/>
    <w:rsid w:val="00934361"/>
    <w:rsid w:val="00934A2F"/>
    <w:rsid w:val="00934BC1"/>
    <w:rsid w:val="00934C18"/>
    <w:rsid w:val="00934CC7"/>
    <w:rsid w:val="00934D48"/>
    <w:rsid w:val="00934E89"/>
    <w:rsid w:val="00935093"/>
    <w:rsid w:val="00935095"/>
    <w:rsid w:val="00935107"/>
    <w:rsid w:val="009352C6"/>
    <w:rsid w:val="009353A3"/>
    <w:rsid w:val="009353C0"/>
    <w:rsid w:val="00935443"/>
    <w:rsid w:val="00935598"/>
    <w:rsid w:val="009355D2"/>
    <w:rsid w:val="009358CC"/>
    <w:rsid w:val="00935A52"/>
    <w:rsid w:val="00935E11"/>
    <w:rsid w:val="00935ECE"/>
    <w:rsid w:val="0093619F"/>
    <w:rsid w:val="00936601"/>
    <w:rsid w:val="00936636"/>
    <w:rsid w:val="00936B94"/>
    <w:rsid w:val="00936CC4"/>
    <w:rsid w:val="00936E18"/>
    <w:rsid w:val="00936E1E"/>
    <w:rsid w:val="0093705A"/>
    <w:rsid w:val="009370AA"/>
    <w:rsid w:val="009370EF"/>
    <w:rsid w:val="0093795A"/>
    <w:rsid w:val="00937A8F"/>
    <w:rsid w:val="00937AB0"/>
    <w:rsid w:val="00937B12"/>
    <w:rsid w:val="00940246"/>
    <w:rsid w:val="00940363"/>
    <w:rsid w:val="009404BC"/>
    <w:rsid w:val="009404EB"/>
    <w:rsid w:val="009408BA"/>
    <w:rsid w:val="009408F3"/>
    <w:rsid w:val="00940955"/>
    <w:rsid w:val="00940EBE"/>
    <w:rsid w:val="00940F27"/>
    <w:rsid w:val="00940F5D"/>
    <w:rsid w:val="00940F60"/>
    <w:rsid w:val="0094130A"/>
    <w:rsid w:val="00941414"/>
    <w:rsid w:val="0094151D"/>
    <w:rsid w:val="00941746"/>
    <w:rsid w:val="0094184C"/>
    <w:rsid w:val="00941894"/>
    <w:rsid w:val="009419A6"/>
    <w:rsid w:val="009419E6"/>
    <w:rsid w:val="00941E64"/>
    <w:rsid w:val="00941EE8"/>
    <w:rsid w:val="0094213A"/>
    <w:rsid w:val="009422AF"/>
    <w:rsid w:val="009422D6"/>
    <w:rsid w:val="00942678"/>
    <w:rsid w:val="00942BC2"/>
    <w:rsid w:val="00942E49"/>
    <w:rsid w:val="00942F6F"/>
    <w:rsid w:val="00943238"/>
    <w:rsid w:val="009434EC"/>
    <w:rsid w:val="009434F1"/>
    <w:rsid w:val="009434FD"/>
    <w:rsid w:val="009435BB"/>
    <w:rsid w:val="009435D8"/>
    <w:rsid w:val="009437C3"/>
    <w:rsid w:val="009438CD"/>
    <w:rsid w:val="00943BD6"/>
    <w:rsid w:val="00943E0C"/>
    <w:rsid w:val="00943F47"/>
    <w:rsid w:val="00943F90"/>
    <w:rsid w:val="009443FA"/>
    <w:rsid w:val="00944E16"/>
    <w:rsid w:val="00944E64"/>
    <w:rsid w:val="00944FB2"/>
    <w:rsid w:val="009452A0"/>
    <w:rsid w:val="009454BC"/>
    <w:rsid w:val="009458FF"/>
    <w:rsid w:val="00945982"/>
    <w:rsid w:val="00945A57"/>
    <w:rsid w:val="00946004"/>
    <w:rsid w:val="00946128"/>
    <w:rsid w:val="009461A5"/>
    <w:rsid w:val="0094628C"/>
    <w:rsid w:val="0094634F"/>
    <w:rsid w:val="009463B2"/>
    <w:rsid w:val="0094696C"/>
    <w:rsid w:val="00947186"/>
    <w:rsid w:val="00947574"/>
    <w:rsid w:val="00947892"/>
    <w:rsid w:val="00947D05"/>
    <w:rsid w:val="00947EBD"/>
    <w:rsid w:val="00947FFC"/>
    <w:rsid w:val="00950787"/>
    <w:rsid w:val="00950ADE"/>
    <w:rsid w:val="00950B80"/>
    <w:rsid w:val="00950BF3"/>
    <w:rsid w:val="00950D81"/>
    <w:rsid w:val="00950ED1"/>
    <w:rsid w:val="00951171"/>
    <w:rsid w:val="00951C0D"/>
    <w:rsid w:val="00951D5A"/>
    <w:rsid w:val="00951E62"/>
    <w:rsid w:val="00952245"/>
    <w:rsid w:val="009522F2"/>
    <w:rsid w:val="0095232D"/>
    <w:rsid w:val="00952422"/>
    <w:rsid w:val="00952739"/>
    <w:rsid w:val="0095277A"/>
    <w:rsid w:val="00952892"/>
    <w:rsid w:val="00952921"/>
    <w:rsid w:val="0095350A"/>
    <w:rsid w:val="00953BF9"/>
    <w:rsid w:val="00953CDA"/>
    <w:rsid w:val="00953F79"/>
    <w:rsid w:val="009540A2"/>
    <w:rsid w:val="009541DA"/>
    <w:rsid w:val="009541DB"/>
    <w:rsid w:val="00954227"/>
    <w:rsid w:val="00954356"/>
    <w:rsid w:val="00954409"/>
    <w:rsid w:val="00954420"/>
    <w:rsid w:val="009544DE"/>
    <w:rsid w:val="00954871"/>
    <w:rsid w:val="009549EF"/>
    <w:rsid w:val="00954AC6"/>
    <w:rsid w:val="00954D0B"/>
    <w:rsid w:val="00955117"/>
    <w:rsid w:val="009552E7"/>
    <w:rsid w:val="009555D5"/>
    <w:rsid w:val="0095565E"/>
    <w:rsid w:val="0095571D"/>
    <w:rsid w:val="00955732"/>
    <w:rsid w:val="00955782"/>
    <w:rsid w:val="00955C0E"/>
    <w:rsid w:val="00955D0F"/>
    <w:rsid w:val="00955D85"/>
    <w:rsid w:val="0095606A"/>
    <w:rsid w:val="009561A5"/>
    <w:rsid w:val="009563FF"/>
    <w:rsid w:val="00956402"/>
    <w:rsid w:val="00956877"/>
    <w:rsid w:val="009569A8"/>
    <w:rsid w:val="00956F9B"/>
    <w:rsid w:val="00957009"/>
    <w:rsid w:val="009570CA"/>
    <w:rsid w:val="00957301"/>
    <w:rsid w:val="00957357"/>
    <w:rsid w:val="009573A4"/>
    <w:rsid w:val="0095784F"/>
    <w:rsid w:val="00957BCC"/>
    <w:rsid w:val="00957BE3"/>
    <w:rsid w:val="00957CD3"/>
    <w:rsid w:val="009600D5"/>
    <w:rsid w:val="009603DB"/>
    <w:rsid w:val="009603F4"/>
    <w:rsid w:val="00960508"/>
    <w:rsid w:val="0096051F"/>
    <w:rsid w:val="00960CCE"/>
    <w:rsid w:val="00960D05"/>
    <w:rsid w:val="00960DBF"/>
    <w:rsid w:val="00960F30"/>
    <w:rsid w:val="0096111B"/>
    <w:rsid w:val="00961140"/>
    <w:rsid w:val="009612A8"/>
    <w:rsid w:val="009612DF"/>
    <w:rsid w:val="00961517"/>
    <w:rsid w:val="0096174B"/>
    <w:rsid w:val="0096192A"/>
    <w:rsid w:val="00961981"/>
    <w:rsid w:val="00961A29"/>
    <w:rsid w:val="00961C71"/>
    <w:rsid w:val="00961CB3"/>
    <w:rsid w:val="00961CD6"/>
    <w:rsid w:val="00961D1C"/>
    <w:rsid w:val="00961FD3"/>
    <w:rsid w:val="009623AA"/>
    <w:rsid w:val="0096247C"/>
    <w:rsid w:val="00962533"/>
    <w:rsid w:val="0096253B"/>
    <w:rsid w:val="009625FE"/>
    <w:rsid w:val="00962AB1"/>
    <w:rsid w:val="00962B2A"/>
    <w:rsid w:val="00962CC9"/>
    <w:rsid w:val="00963070"/>
    <w:rsid w:val="009633ED"/>
    <w:rsid w:val="00963507"/>
    <w:rsid w:val="00963581"/>
    <w:rsid w:val="0096362D"/>
    <w:rsid w:val="00963956"/>
    <w:rsid w:val="00963BE4"/>
    <w:rsid w:val="00963E0A"/>
    <w:rsid w:val="00963F77"/>
    <w:rsid w:val="00963FE1"/>
    <w:rsid w:val="009642DF"/>
    <w:rsid w:val="0096454D"/>
    <w:rsid w:val="00964B1B"/>
    <w:rsid w:val="00964BD1"/>
    <w:rsid w:val="00964D40"/>
    <w:rsid w:val="00964E7F"/>
    <w:rsid w:val="00964F34"/>
    <w:rsid w:val="009650A8"/>
    <w:rsid w:val="00965106"/>
    <w:rsid w:val="0096512D"/>
    <w:rsid w:val="0096517C"/>
    <w:rsid w:val="009651B0"/>
    <w:rsid w:val="009654A8"/>
    <w:rsid w:val="0096551B"/>
    <w:rsid w:val="0096552C"/>
    <w:rsid w:val="009656C7"/>
    <w:rsid w:val="0096581C"/>
    <w:rsid w:val="00965AB6"/>
    <w:rsid w:val="00965B1C"/>
    <w:rsid w:val="00965C3A"/>
    <w:rsid w:val="00965D62"/>
    <w:rsid w:val="009661EF"/>
    <w:rsid w:val="009664A2"/>
    <w:rsid w:val="00966867"/>
    <w:rsid w:val="009668B1"/>
    <w:rsid w:val="009668BE"/>
    <w:rsid w:val="009668E3"/>
    <w:rsid w:val="00966959"/>
    <w:rsid w:val="00966B12"/>
    <w:rsid w:val="00966CBD"/>
    <w:rsid w:val="00966DA6"/>
    <w:rsid w:val="00966E37"/>
    <w:rsid w:val="00967007"/>
    <w:rsid w:val="00967228"/>
    <w:rsid w:val="009674EB"/>
    <w:rsid w:val="00967529"/>
    <w:rsid w:val="009675BD"/>
    <w:rsid w:val="009679E1"/>
    <w:rsid w:val="00967B2B"/>
    <w:rsid w:val="00967C91"/>
    <w:rsid w:val="00967C92"/>
    <w:rsid w:val="00967E8D"/>
    <w:rsid w:val="009703F9"/>
    <w:rsid w:val="009705F3"/>
    <w:rsid w:val="0097060B"/>
    <w:rsid w:val="00970AEF"/>
    <w:rsid w:val="00970FE9"/>
    <w:rsid w:val="009710BF"/>
    <w:rsid w:val="009710D0"/>
    <w:rsid w:val="00971818"/>
    <w:rsid w:val="00971A93"/>
    <w:rsid w:val="00971B48"/>
    <w:rsid w:val="00971CE8"/>
    <w:rsid w:val="00971D99"/>
    <w:rsid w:val="00971F18"/>
    <w:rsid w:val="0097207F"/>
    <w:rsid w:val="00972154"/>
    <w:rsid w:val="0097234C"/>
    <w:rsid w:val="00972D66"/>
    <w:rsid w:val="00973009"/>
    <w:rsid w:val="009732DE"/>
    <w:rsid w:val="009735B6"/>
    <w:rsid w:val="009735E9"/>
    <w:rsid w:val="0097394A"/>
    <w:rsid w:val="00973B0C"/>
    <w:rsid w:val="00974037"/>
    <w:rsid w:val="00974204"/>
    <w:rsid w:val="0097429F"/>
    <w:rsid w:val="00974780"/>
    <w:rsid w:val="009747AE"/>
    <w:rsid w:val="009747C2"/>
    <w:rsid w:val="009747DA"/>
    <w:rsid w:val="009748C6"/>
    <w:rsid w:val="00974F53"/>
    <w:rsid w:val="009751C3"/>
    <w:rsid w:val="009753B2"/>
    <w:rsid w:val="009756A2"/>
    <w:rsid w:val="00975736"/>
    <w:rsid w:val="00975787"/>
    <w:rsid w:val="00975885"/>
    <w:rsid w:val="009759AF"/>
    <w:rsid w:val="009759E2"/>
    <w:rsid w:val="00975C03"/>
    <w:rsid w:val="00975C85"/>
    <w:rsid w:val="00975F2C"/>
    <w:rsid w:val="00975FEA"/>
    <w:rsid w:val="00976077"/>
    <w:rsid w:val="00976212"/>
    <w:rsid w:val="00976222"/>
    <w:rsid w:val="009762F2"/>
    <w:rsid w:val="009766D9"/>
    <w:rsid w:val="0097673C"/>
    <w:rsid w:val="00976787"/>
    <w:rsid w:val="00976912"/>
    <w:rsid w:val="0097695D"/>
    <w:rsid w:val="009769E6"/>
    <w:rsid w:val="00976C96"/>
    <w:rsid w:val="00976E1E"/>
    <w:rsid w:val="00976E95"/>
    <w:rsid w:val="009770E1"/>
    <w:rsid w:val="0097711E"/>
    <w:rsid w:val="009772D2"/>
    <w:rsid w:val="009776F7"/>
    <w:rsid w:val="00977723"/>
    <w:rsid w:val="0097776A"/>
    <w:rsid w:val="00977960"/>
    <w:rsid w:val="00977A49"/>
    <w:rsid w:val="00977A80"/>
    <w:rsid w:val="00977E2F"/>
    <w:rsid w:val="00980102"/>
    <w:rsid w:val="0098012E"/>
    <w:rsid w:val="0098022B"/>
    <w:rsid w:val="0098037E"/>
    <w:rsid w:val="009803A5"/>
    <w:rsid w:val="009804AF"/>
    <w:rsid w:val="009805EB"/>
    <w:rsid w:val="00980795"/>
    <w:rsid w:val="009807FA"/>
    <w:rsid w:val="009808B9"/>
    <w:rsid w:val="00980C9B"/>
    <w:rsid w:val="00980DFA"/>
    <w:rsid w:val="00980E23"/>
    <w:rsid w:val="00980F83"/>
    <w:rsid w:val="009810C6"/>
    <w:rsid w:val="009811EC"/>
    <w:rsid w:val="00981277"/>
    <w:rsid w:val="00981378"/>
    <w:rsid w:val="009813ED"/>
    <w:rsid w:val="0098154A"/>
    <w:rsid w:val="009815D4"/>
    <w:rsid w:val="00981647"/>
    <w:rsid w:val="00981867"/>
    <w:rsid w:val="0098192C"/>
    <w:rsid w:val="00981B4E"/>
    <w:rsid w:val="00981BE4"/>
    <w:rsid w:val="00981E06"/>
    <w:rsid w:val="00981E6E"/>
    <w:rsid w:val="00981E87"/>
    <w:rsid w:val="009822D1"/>
    <w:rsid w:val="00982470"/>
    <w:rsid w:val="009824E5"/>
    <w:rsid w:val="0098252D"/>
    <w:rsid w:val="00982593"/>
    <w:rsid w:val="009826B1"/>
    <w:rsid w:val="00982762"/>
    <w:rsid w:val="0098282A"/>
    <w:rsid w:val="00982926"/>
    <w:rsid w:val="00982A28"/>
    <w:rsid w:val="00982AD3"/>
    <w:rsid w:val="00982C98"/>
    <w:rsid w:val="00982E3C"/>
    <w:rsid w:val="00982F90"/>
    <w:rsid w:val="00982FC6"/>
    <w:rsid w:val="0098308B"/>
    <w:rsid w:val="0098331C"/>
    <w:rsid w:val="009834E9"/>
    <w:rsid w:val="00983689"/>
    <w:rsid w:val="00983BE0"/>
    <w:rsid w:val="00984175"/>
    <w:rsid w:val="009842F4"/>
    <w:rsid w:val="00984302"/>
    <w:rsid w:val="0098443D"/>
    <w:rsid w:val="0098449F"/>
    <w:rsid w:val="00984588"/>
    <w:rsid w:val="00984718"/>
    <w:rsid w:val="00984911"/>
    <w:rsid w:val="00984A42"/>
    <w:rsid w:val="00984D2D"/>
    <w:rsid w:val="00984DFB"/>
    <w:rsid w:val="0098511D"/>
    <w:rsid w:val="0098512D"/>
    <w:rsid w:val="009853D0"/>
    <w:rsid w:val="00985413"/>
    <w:rsid w:val="00985815"/>
    <w:rsid w:val="00985A27"/>
    <w:rsid w:val="00985C1B"/>
    <w:rsid w:val="00985CEF"/>
    <w:rsid w:val="00985D13"/>
    <w:rsid w:val="009860F4"/>
    <w:rsid w:val="0098615F"/>
    <w:rsid w:val="00986193"/>
    <w:rsid w:val="00986263"/>
    <w:rsid w:val="009862D6"/>
    <w:rsid w:val="0098645D"/>
    <w:rsid w:val="009865AF"/>
    <w:rsid w:val="0098676D"/>
    <w:rsid w:val="0098683B"/>
    <w:rsid w:val="00986A1B"/>
    <w:rsid w:val="00986A38"/>
    <w:rsid w:val="00986CDF"/>
    <w:rsid w:val="00986D06"/>
    <w:rsid w:val="00986D08"/>
    <w:rsid w:val="00986E97"/>
    <w:rsid w:val="00986EF0"/>
    <w:rsid w:val="00987493"/>
    <w:rsid w:val="009875C4"/>
    <w:rsid w:val="00987990"/>
    <w:rsid w:val="00987B70"/>
    <w:rsid w:val="00987BB1"/>
    <w:rsid w:val="00987C89"/>
    <w:rsid w:val="00987CBA"/>
    <w:rsid w:val="00987E38"/>
    <w:rsid w:val="00987F2A"/>
    <w:rsid w:val="0099025E"/>
    <w:rsid w:val="009903E2"/>
    <w:rsid w:val="009903E9"/>
    <w:rsid w:val="00990480"/>
    <w:rsid w:val="0099054D"/>
    <w:rsid w:val="00990594"/>
    <w:rsid w:val="00990596"/>
    <w:rsid w:val="00990761"/>
    <w:rsid w:val="0099099C"/>
    <w:rsid w:val="00990BFD"/>
    <w:rsid w:val="00990D2D"/>
    <w:rsid w:val="00990F74"/>
    <w:rsid w:val="0099101C"/>
    <w:rsid w:val="0099136B"/>
    <w:rsid w:val="00991540"/>
    <w:rsid w:val="009918A8"/>
    <w:rsid w:val="009918B9"/>
    <w:rsid w:val="00991AD1"/>
    <w:rsid w:val="00992293"/>
    <w:rsid w:val="00992437"/>
    <w:rsid w:val="009925A2"/>
    <w:rsid w:val="009928CD"/>
    <w:rsid w:val="00992907"/>
    <w:rsid w:val="00992A60"/>
    <w:rsid w:val="00992B06"/>
    <w:rsid w:val="00992C9D"/>
    <w:rsid w:val="00992EDA"/>
    <w:rsid w:val="00993259"/>
    <w:rsid w:val="009938FC"/>
    <w:rsid w:val="00993ADB"/>
    <w:rsid w:val="00993B03"/>
    <w:rsid w:val="00993CC5"/>
    <w:rsid w:val="00993D63"/>
    <w:rsid w:val="00993E44"/>
    <w:rsid w:val="0099430A"/>
    <w:rsid w:val="009947A2"/>
    <w:rsid w:val="009948F7"/>
    <w:rsid w:val="0099491E"/>
    <w:rsid w:val="009949E6"/>
    <w:rsid w:val="00994F21"/>
    <w:rsid w:val="00994FD0"/>
    <w:rsid w:val="00995A4D"/>
    <w:rsid w:val="00995A7D"/>
    <w:rsid w:val="00995BCE"/>
    <w:rsid w:val="00995D6B"/>
    <w:rsid w:val="00995D6F"/>
    <w:rsid w:val="00995F51"/>
    <w:rsid w:val="00996413"/>
    <w:rsid w:val="0099672E"/>
    <w:rsid w:val="00996864"/>
    <w:rsid w:val="00996AD7"/>
    <w:rsid w:val="00996C6D"/>
    <w:rsid w:val="00996D6C"/>
    <w:rsid w:val="00996E1C"/>
    <w:rsid w:val="009970F7"/>
    <w:rsid w:val="00997162"/>
    <w:rsid w:val="0099717F"/>
    <w:rsid w:val="00997256"/>
    <w:rsid w:val="00997485"/>
    <w:rsid w:val="0099754D"/>
    <w:rsid w:val="009975B6"/>
    <w:rsid w:val="00997646"/>
    <w:rsid w:val="00997664"/>
    <w:rsid w:val="009977CC"/>
    <w:rsid w:val="0099782A"/>
    <w:rsid w:val="00997965"/>
    <w:rsid w:val="00997A92"/>
    <w:rsid w:val="00997C7E"/>
    <w:rsid w:val="00997EF9"/>
    <w:rsid w:val="009A013B"/>
    <w:rsid w:val="009A01F1"/>
    <w:rsid w:val="009A0742"/>
    <w:rsid w:val="009A098E"/>
    <w:rsid w:val="009A0C22"/>
    <w:rsid w:val="009A0F3F"/>
    <w:rsid w:val="009A0FBA"/>
    <w:rsid w:val="009A1164"/>
    <w:rsid w:val="009A117E"/>
    <w:rsid w:val="009A129E"/>
    <w:rsid w:val="009A16B6"/>
    <w:rsid w:val="009A1974"/>
    <w:rsid w:val="009A1B67"/>
    <w:rsid w:val="009A1DC5"/>
    <w:rsid w:val="009A1FDF"/>
    <w:rsid w:val="009A2002"/>
    <w:rsid w:val="009A2063"/>
    <w:rsid w:val="009A2178"/>
    <w:rsid w:val="009A2232"/>
    <w:rsid w:val="009A2342"/>
    <w:rsid w:val="009A25F3"/>
    <w:rsid w:val="009A2987"/>
    <w:rsid w:val="009A2A74"/>
    <w:rsid w:val="009A2BA6"/>
    <w:rsid w:val="009A2F05"/>
    <w:rsid w:val="009A2FBC"/>
    <w:rsid w:val="009A321E"/>
    <w:rsid w:val="009A3508"/>
    <w:rsid w:val="009A388C"/>
    <w:rsid w:val="009A39BD"/>
    <w:rsid w:val="009A3AB5"/>
    <w:rsid w:val="009A3F37"/>
    <w:rsid w:val="009A40A9"/>
    <w:rsid w:val="009A412D"/>
    <w:rsid w:val="009A46BE"/>
    <w:rsid w:val="009A4A04"/>
    <w:rsid w:val="009A4A7B"/>
    <w:rsid w:val="009A4BCD"/>
    <w:rsid w:val="009A4DBF"/>
    <w:rsid w:val="009A4EAB"/>
    <w:rsid w:val="009A51C8"/>
    <w:rsid w:val="009A5351"/>
    <w:rsid w:val="009A5367"/>
    <w:rsid w:val="009A540D"/>
    <w:rsid w:val="009A549E"/>
    <w:rsid w:val="009A55A7"/>
    <w:rsid w:val="009A5666"/>
    <w:rsid w:val="009A5699"/>
    <w:rsid w:val="009A5952"/>
    <w:rsid w:val="009A5D5C"/>
    <w:rsid w:val="009A5DDC"/>
    <w:rsid w:val="009A62B2"/>
    <w:rsid w:val="009A6B53"/>
    <w:rsid w:val="009A6C8C"/>
    <w:rsid w:val="009A703C"/>
    <w:rsid w:val="009A728D"/>
    <w:rsid w:val="009A762D"/>
    <w:rsid w:val="009A76F2"/>
    <w:rsid w:val="009A7899"/>
    <w:rsid w:val="009A7F26"/>
    <w:rsid w:val="009B0267"/>
    <w:rsid w:val="009B0352"/>
    <w:rsid w:val="009B037F"/>
    <w:rsid w:val="009B047F"/>
    <w:rsid w:val="009B0649"/>
    <w:rsid w:val="009B064C"/>
    <w:rsid w:val="009B0CB2"/>
    <w:rsid w:val="009B11F6"/>
    <w:rsid w:val="009B13A9"/>
    <w:rsid w:val="009B13E5"/>
    <w:rsid w:val="009B1479"/>
    <w:rsid w:val="009B148E"/>
    <w:rsid w:val="009B168C"/>
    <w:rsid w:val="009B1CCC"/>
    <w:rsid w:val="009B1CFB"/>
    <w:rsid w:val="009B1E59"/>
    <w:rsid w:val="009B1FEB"/>
    <w:rsid w:val="009B206D"/>
    <w:rsid w:val="009B20C9"/>
    <w:rsid w:val="009B229C"/>
    <w:rsid w:val="009B23AC"/>
    <w:rsid w:val="009B2433"/>
    <w:rsid w:val="009B2641"/>
    <w:rsid w:val="009B26AA"/>
    <w:rsid w:val="009B2701"/>
    <w:rsid w:val="009B294F"/>
    <w:rsid w:val="009B2A28"/>
    <w:rsid w:val="009B2A6A"/>
    <w:rsid w:val="009B2B57"/>
    <w:rsid w:val="009B2BF2"/>
    <w:rsid w:val="009B2D31"/>
    <w:rsid w:val="009B2DD7"/>
    <w:rsid w:val="009B2EDE"/>
    <w:rsid w:val="009B30F7"/>
    <w:rsid w:val="009B3138"/>
    <w:rsid w:val="009B3228"/>
    <w:rsid w:val="009B329E"/>
    <w:rsid w:val="009B32F3"/>
    <w:rsid w:val="009B3524"/>
    <w:rsid w:val="009B363B"/>
    <w:rsid w:val="009B366E"/>
    <w:rsid w:val="009B37AD"/>
    <w:rsid w:val="009B3863"/>
    <w:rsid w:val="009B38E0"/>
    <w:rsid w:val="009B39AB"/>
    <w:rsid w:val="009B3BCB"/>
    <w:rsid w:val="009B3BF7"/>
    <w:rsid w:val="009B4355"/>
    <w:rsid w:val="009B4491"/>
    <w:rsid w:val="009B4494"/>
    <w:rsid w:val="009B4726"/>
    <w:rsid w:val="009B4A1D"/>
    <w:rsid w:val="009B4DBE"/>
    <w:rsid w:val="009B4DE9"/>
    <w:rsid w:val="009B4E16"/>
    <w:rsid w:val="009B5409"/>
    <w:rsid w:val="009B54A6"/>
    <w:rsid w:val="009B5A15"/>
    <w:rsid w:val="009B5B17"/>
    <w:rsid w:val="009B5BD8"/>
    <w:rsid w:val="009B5E84"/>
    <w:rsid w:val="009B5ED2"/>
    <w:rsid w:val="009B5F14"/>
    <w:rsid w:val="009B5F7D"/>
    <w:rsid w:val="009B64D1"/>
    <w:rsid w:val="009B66AB"/>
    <w:rsid w:val="009B679A"/>
    <w:rsid w:val="009B6803"/>
    <w:rsid w:val="009B6AD0"/>
    <w:rsid w:val="009B6BD4"/>
    <w:rsid w:val="009B70DE"/>
    <w:rsid w:val="009B723D"/>
    <w:rsid w:val="009B7361"/>
    <w:rsid w:val="009B7425"/>
    <w:rsid w:val="009B7950"/>
    <w:rsid w:val="009B7B0A"/>
    <w:rsid w:val="009B7D67"/>
    <w:rsid w:val="009B7DCE"/>
    <w:rsid w:val="009B7E00"/>
    <w:rsid w:val="009B7F62"/>
    <w:rsid w:val="009C00F6"/>
    <w:rsid w:val="009C0732"/>
    <w:rsid w:val="009C0A5E"/>
    <w:rsid w:val="009C0A9E"/>
    <w:rsid w:val="009C0B73"/>
    <w:rsid w:val="009C0C0B"/>
    <w:rsid w:val="009C1341"/>
    <w:rsid w:val="009C13D9"/>
    <w:rsid w:val="009C14B7"/>
    <w:rsid w:val="009C165F"/>
    <w:rsid w:val="009C16DF"/>
    <w:rsid w:val="009C1788"/>
    <w:rsid w:val="009C1998"/>
    <w:rsid w:val="009C1C1D"/>
    <w:rsid w:val="009C1D38"/>
    <w:rsid w:val="009C1E90"/>
    <w:rsid w:val="009C1E98"/>
    <w:rsid w:val="009C1EBB"/>
    <w:rsid w:val="009C1FCC"/>
    <w:rsid w:val="009C20FA"/>
    <w:rsid w:val="009C21A8"/>
    <w:rsid w:val="009C21A9"/>
    <w:rsid w:val="009C21B3"/>
    <w:rsid w:val="009C2319"/>
    <w:rsid w:val="009C299A"/>
    <w:rsid w:val="009C2A3C"/>
    <w:rsid w:val="009C2AC6"/>
    <w:rsid w:val="009C2AD1"/>
    <w:rsid w:val="009C2F90"/>
    <w:rsid w:val="009C31A5"/>
    <w:rsid w:val="009C32B1"/>
    <w:rsid w:val="009C336C"/>
    <w:rsid w:val="009C356E"/>
    <w:rsid w:val="009C35ED"/>
    <w:rsid w:val="009C38DA"/>
    <w:rsid w:val="009C3DA9"/>
    <w:rsid w:val="009C3E6F"/>
    <w:rsid w:val="009C3F3F"/>
    <w:rsid w:val="009C4077"/>
    <w:rsid w:val="009C443D"/>
    <w:rsid w:val="009C4565"/>
    <w:rsid w:val="009C45C4"/>
    <w:rsid w:val="009C4767"/>
    <w:rsid w:val="009C4BB1"/>
    <w:rsid w:val="009C4BC0"/>
    <w:rsid w:val="009C4BF4"/>
    <w:rsid w:val="009C4BFF"/>
    <w:rsid w:val="009C4C69"/>
    <w:rsid w:val="009C4C7E"/>
    <w:rsid w:val="009C515B"/>
    <w:rsid w:val="009C520A"/>
    <w:rsid w:val="009C52BC"/>
    <w:rsid w:val="009C5496"/>
    <w:rsid w:val="009C54C8"/>
    <w:rsid w:val="009C551F"/>
    <w:rsid w:val="009C55D6"/>
    <w:rsid w:val="009C5A5D"/>
    <w:rsid w:val="009C5EE5"/>
    <w:rsid w:val="009C5F0F"/>
    <w:rsid w:val="009C5FFB"/>
    <w:rsid w:val="009C61E1"/>
    <w:rsid w:val="009C6220"/>
    <w:rsid w:val="009C6288"/>
    <w:rsid w:val="009C637B"/>
    <w:rsid w:val="009C65AC"/>
    <w:rsid w:val="009C6640"/>
    <w:rsid w:val="009C684C"/>
    <w:rsid w:val="009C6C12"/>
    <w:rsid w:val="009C6CEB"/>
    <w:rsid w:val="009C6EB5"/>
    <w:rsid w:val="009C6FF5"/>
    <w:rsid w:val="009C70DB"/>
    <w:rsid w:val="009C71E8"/>
    <w:rsid w:val="009C724E"/>
    <w:rsid w:val="009C727F"/>
    <w:rsid w:val="009C7420"/>
    <w:rsid w:val="009C76A5"/>
    <w:rsid w:val="009C76B6"/>
    <w:rsid w:val="009C7966"/>
    <w:rsid w:val="009C7C63"/>
    <w:rsid w:val="009C7E2B"/>
    <w:rsid w:val="009C7F08"/>
    <w:rsid w:val="009D0269"/>
    <w:rsid w:val="009D0399"/>
    <w:rsid w:val="009D0484"/>
    <w:rsid w:val="009D04B6"/>
    <w:rsid w:val="009D078C"/>
    <w:rsid w:val="009D0BDF"/>
    <w:rsid w:val="009D0EB3"/>
    <w:rsid w:val="009D0F02"/>
    <w:rsid w:val="009D1168"/>
    <w:rsid w:val="009D1364"/>
    <w:rsid w:val="009D14C0"/>
    <w:rsid w:val="009D1630"/>
    <w:rsid w:val="009D17B6"/>
    <w:rsid w:val="009D2212"/>
    <w:rsid w:val="009D2460"/>
    <w:rsid w:val="009D2524"/>
    <w:rsid w:val="009D25F4"/>
    <w:rsid w:val="009D2D28"/>
    <w:rsid w:val="009D2EF2"/>
    <w:rsid w:val="009D2F16"/>
    <w:rsid w:val="009D315E"/>
    <w:rsid w:val="009D3225"/>
    <w:rsid w:val="009D3297"/>
    <w:rsid w:val="009D351D"/>
    <w:rsid w:val="009D3AF1"/>
    <w:rsid w:val="009D3CB2"/>
    <w:rsid w:val="009D3CFE"/>
    <w:rsid w:val="009D3D97"/>
    <w:rsid w:val="009D3E22"/>
    <w:rsid w:val="009D3E7A"/>
    <w:rsid w:val="009D3EF0"/>
    <w:rsid w:val="009D410D"/>
    <w:rsid w:val="009D444F"/>
    <w:rsid w:val="009D44C8"/>
    <w:rsid w:val="009D45CF"/>
    <w:rsid w:val="009D4646"/>
    <w:rsid w:val="009D489D"/>
    <w:rsid w:val="009D4C74"/>
    <w:rsid w:val="009D5091"/>
    <w:rsid w:val="009D51E9"/>
    <w:rsid w:val="009D522F"/>
    <w:rsid w:val="009D53CF"/>
    <w:rsid w:val="009D5536"/>
    <w:rsid w:val="009D588A"/>
    <w:rsid w:val="009D58A7"/>
    <w:rsid w:val="009D590E"/>
    <w:rsid w:val="009D59BC"/>
    <w:rsid w:val="009D59CC"/>
    <w:rsid w:val="009D5A0D"/>
    <w:rsid w:val="009D5AF4"/>
    <w:rsid w:val="009D5D64"/>
    <w:rsid w:val="009D5DC1"/>
    <w:rsid w:val="009D5F8F"/>
    <w:rsid w:val="009D6066"/>
    <w:rsid w:val="009D60F6"/>
    <w:rsid w:val="009D613F"/>
    <w:rsid w:val="009D6156"/>
    <w:rsid w:val="009D63A4"/>
    <w:rsid w:val="009D6448"/>
    <w:rsid w:val="009D6883"/>
    <w:rsid w:val="009D68EB"/>
    <w:rsid w:val="009D69EA"/>
    <w:rsid w:val="009D6C73"/>
    <w:rsid w:val="009D7002"/>
    <w:rsid w:val="009D7017"/>
    <w:rsid w:val="009D7224"/>
    <w:rsid w:val="009D7324"/>
    <w:rsid w:val="009D73D4"/>
    <w:rsid w:val="009D77FB"/>
    <w:rsid w:val="009D792B"/>
    <w:rsid w:val="009D79B7"/>
    <w:rsid w:val="009D7F38"/>
    <w:rsid w:val="009D7F3F"/>
    <w:rsid w:val="009E0906"/>
    <w:rsid w:val="009E0C7D"/>
    <w:rsid w:val="009E0CD7"/>
    <w:rsid w:val="009E0D8C"/>
    <w:rsid w:val="009E0DC3"/>
    <w:rsid w:val="009E10AB"/>
    <w:rsid w:val="009E1127"/>
    <w:rsid w:val="009E12D7"/>
    <w:rsid w:val="009E1324"/>
    <w:rsid w:val="009E141E"/>
    <w:rsid w:val="009E1538"/>
    <w:rsid w:val="009E1556"/>
    <w:rsid w:val="009E16B9"/>
    <w:rsid w:val="009E1873"/>
    <w:rsid w:val="009E1FD5"/>
    <w:rsid w:val="009E20E3"/>
    <w:rsid w:val="009E2209"/>
    <w:rsid w:val="009E226B"/>
    <w:rsid w:val="009E2291"/>
    <w:rsid w:val="009E2579"/>
    <w:rsid w:val="009E258C"/>
    <w:rsid w:val="009E25F7"/>
    <w:rsid w:val="009E27A9"/>
    <w:rsid w:val="009E286F"/>
    <w:rsid w:val="009E2970"/>
    <w:rsid w:val="009E2BD7"/>
    <w:rsid w:val="009E2CCC"/>
    <w:rsid w:val="009E2CF9"/>
    <w:rsid w:val="009E2E0F"/>
    <w:rsid w:val="009E2ED1"/>
    <w:rsid w:val="009E2EF7"/>
    <w:rsid w:val="009E3034"/>
    <w:rsid w:val="009E3073"/>
    <w:rsid w:val="009E3248"/>
    <w:rsid w:val="009E32D8"/>
    <w:rsid w:val="009E33C3"/>
    <w:rsid w:val="009E3424"/>
    <w:rsid w:val="009E35B8"/>
    <w:rsid w:val="009E3A2F"/>
    <w:rsid w:val="009E41E1"/>
    <w:rsid w:val="009E4212"/>
    <w:rsid w:val="009E42AF"/>
    <w:rsid w:val="009E4935"/>
    <w:rsid w:val="009E4A1B"/>
    <w:rsid w:val="009E4B04"/>
    <w:rsid w:val="009E4B58"/>
    <w:rsid w:val="009E4C51"/>
    <w:rsid w:val="009E4EDB"/>
    <w:rsid w:val="009E52B2"/>
    <w:rsid w:val="009E5398"/>
    <w:rsid w:val="009E54C9"/>
    <w:rsid w:val="009E5666"/>
    <w:rsid w:val="009E57EC"/>
    <w:rsid w:val="009E5967"/>
    <w:rsid w:val="009E5B89"/>
    <w:rsid w:val="009E5CA5"/>
    <w:rsid w:val="009E6035"/>
    <w:rsid w:val="009E60FD"/>
    <w:rsid w:val="009E6164"/>
    <w:rsid w:val="009E627A"/>
    <w:rsid w:val="009E6448"/>
    <w:rsid w:val="009E6743"/>
    <w:rsid w:val="009E67A1"/>
    <w:rsid w:val="009E680B"/>
    <w:rsid w:val="009E6AE1"/>
    <w:rsid w:val="009E6AF7"/>
    <w:rsid w:val="009E6C1B"/>
    <w:rsid w:val="009E6ED4"/>
    <w:rsid w:val="009E70EA"/>
    <w:rsid w:val="009E7537"/>
    <w:rsid w:val="009E7566"/>
    <w:rsid w:val="009E7582"/>
    <w:rsid w:val="009E7616"/>
    <w:rsid w:val="009E7768"/>
    <w:rsid w:val="009E7BE1"/>
    <w:rsid w:val="009E7CA4"/>
    <w:rsid w:val="009E7CDB"/>
    <w:rsid w:val="009E7F72"/>
    <w:rsid w:val="009F006D"/>
    <w:rsid w:val="009F01AF"/>
    <w:rsid w:val="009F01C3"/>
    <w:rsid w:val="009F01DD"/>
    <w:rsid w:val="009F0265"/>
    <w:rsid w:val="009F0587"/>
    <w:rsid w:val="009F06CC"/>
    <w:rsid w:val="009F0923"/>
    <w:rsid w:val="009F0AE6"/>
    <w:rsid w:val="009F0AEC"/>
    <w:rsid w:val="009F0F5A"/>
    <w:rsid w:val="009F1274"/>
    <w:rsid w:val="009F133D"/>
    <w:rsid w:val="009F1635"/>
    <w:rsid w:val="009F16A9"/>
    <w:rsid w:val="009F191C"/>
    <w:rsid w:val="009F1A3D"/>
    <w:rsid w:val="009F1B7E"/>
    <w:rsid w:val="009F1DB4"/>
    <w:rsid w:val="009F1E9A"/>
    <w:rsid w:val="009F223E"/>
    <w:rsid w:val="009F2363"/>
    <w:rsid w:val="009F2816"/>
    <w:rsid w:val="009F2932"/>
    <w:rsid w:val="009F2A39"/>
    <w:rsid w:val="009F2F23"/>
    <w:rsid w:val="009F3071"/>
    <w:rsid w:val="009F33B0"/>
    <w:rsid w:val="009F33DA"/>
    <w:rsid w:val="009F33F0"/>
    <w:rsid w:val="009F3598"/>
    <w:rsid w:val="009F38AE"/>
    <w:rsid w:val="009F39D6"/>
    <w:rsid w:val="009F3A3A"/>
    <w:rsid w:val="009F3BA6"/>
    <w:rsid w:val="009F3DAC"/>
    <w:rsid w:val="009F4091"/>
    <w:rsid w:val="009F4421"/>
    <w:rsid w:val="009F4B88"/>
    <w:rsid w:val="009F4C47"/>
    <w:rsid w:val="009F4D80"/>
    <w:rsid w:val="009F5441"/>
    <w:rsid w:val="009F5641"/>
    <w:rsid w:val="009F566D"/>
    <w:rsid w:val="009F5697"/>
    <w:rsid w:val="009F56FA"/>
    <w:rsid w:val="009F571A"/>
    <w:rsid w:val="009F5994"/>
    <w:rsid w:val="009F5A5F"/>
    <w:rsid w:val="009F5DA1"/>
    <w:rsid w:val="009F5DDD"/>
    <w:rsid w:val="009F5F33"/>
    <w:rsid w:val="009F6394"/>
    <w:rsid w:val="009F64A9"/>
    <w:rsid w:val="009F64AA"/>
    <w:rsid w:val="009F678C"/>
    <w:rsid w:val="009F67A5"/>
    <w:rsid w:val="009F695C"/>
    <w:rsid w:val="009F6C3C"/>
    <w:rsid w:val="009F6EFF"/>
    <w:rsid w:val="009F7086"/>
    <w:rsid w:val="009F72A0"/>
    <w:rsid w:val="009F745C"/>
    <w:rsid w:val="009F758F"/>
    <w:rsid w:val="009F7726"/>
    <w:rsid w:val="009F778A"/>
    <w:rsid w:val="009F791E"/>
    <w:rsid w:val="009F7E18"/>
    <w:rsid w:val="009F7E74"/>
    <w:rsid w:val="009F7E97"/>
    <w:rsid w:val="009F7EDD"/>
    <w:rsid w:val="009F7FE6"/>
    <w:rsid w:val="00A0019E"/>
    <w:rsid w:val="00A002C9"/>
    <w:rsid w:val="00A00586"/>
    <w:rsid w:val="00A0082B"/>
    <w:rsid w:val="00A0099C"/>
    <w:rsid w:val="00A00B69"/>
    <w:rsid w:val="00A00C50"/>
    <w:rsid w:val="00A00DE5"/>
    <w:rsid w:val="00A00E7C"/>
    <w:rsid w:val="00A00EBE"/>
    <w:rsid w:val="00A0125D"/>
    <w:rsid w:val="00A0146A"/>
    <w:rsid w:val="00A0151F"/>
    <w:rsid w:val="00A0163E"/>
    <w:rsid w:val="00A01676"/>
    <w:rsid w:val="00A01695"/>
    <w:rsid w:val="00A01892"/>
    <w:rsid w:val="00A0197A"/>
    <w:rsid w:val="00A01A43"/>
    <w:rsid w:val="00A01B48"/>
    <w:rsid w:val="00A01D6B"/>
    <w:rsid w:val="00A020E1"/>
    <w:rsid w:val="00A0212A"/>
    <w:rsid w:val="00A02147"/>
    <w:rsid w:val="00A0227C"/>
    <w:rsid w:val="00A0229D"/>
    <w:rsid w:val="00A02539"/>
    <w:rsid w:val="00A02B9E"/>
    <w:rsid w:val="00A02C9E"/>
    <w:rsid w:val="00A02CFE"/>
    <w:rsid w:val="00A02D7E"/>
    <w:rsid w:val="00A02DCD"/>
    <w:rsid w:val="00A02E28"/>
    <w:rsid w:val="00A03106"/>
    <w:rsid w:val="00A03408"/>
    <w:rsid w:val="00A03530"/>
    <w:rsid w:val="00A03C79"/>
    <w:rsid w:val="00A03EA4"/>
    <w:rsid w:val="00A0403D"/>
    <w:rsid w:val="00A042D7"/>
    <w:rsid w:val="00A04882"/>
    <w:rsid w:val="00A048A8"/>
    <w:rsid w:val="00A04983"/>
    <w:rsid w:val="00A049A4"/>
    <w:rsid w:val="00A04A7F"/>
    <w:rsid w:val="00A04AC5"/>
    <w:rsid w:val="00A04EF3"/>
    <w:rsid w:val="00A0505A"/>
    <w:rsid w:val="00A05189"/>
    <w:rsid w:val="00A054AC"/>
    <w:rsid w:val="00A0599A"/>
    <w:rsid w:val="00A059BF"/>
    <w:rsid w:val="00A05A5A"/>
    <w:rsid w:val="00A05B06"/>
    <w:rsid w:val="00A05D53"/>
    <w:rsid w:val="00A05D58"/>
    <w:rsid w:val="00A05E0B"/>
    <w:rsid w:val="00A06091"/>
    <w:rsid w:val="00A0634A"/>
    <w:rsid w:val="00A063AB"/>
    <w:rsid w:val="00A06442"/>
    <w:rsid w:val="00A06562"/>
    <w:rsid w:val="00A06B04"/>
    <w:rsid w:val="00A06B4D"/>
    <w:rsid w:val="00A06C62"/>
    <w:rsid w:val="00A06E6E"/>
    <w:rsid w:val="00A07101"/>
    <w:rsid w:val="00A072AB"/>
    <w:rsid w:val="00A07336"/>
    <w:rsid w:val="00A07465"/>
    <w:rsid w:val="00A077AB"/>
    <w:rsid w:val="00A07982"/>
    <w:rsid w:val="00A07D9B"/>
    <w:rsid w:val="00A07E7E"/>
    <w:rsid w:val="00A07F9D"/>
    <w:rsid w:val="00A07FC8"/>
    <w:rsid w:val="00A1024B"/>
    <w:rsid w:val="00A10327"/>
    <w:rsid w:val="00A10392"/>
    <w:rsid w:val="00A10796"/>
    <w:rsid w:val="00A107E2"/>
    <w:rsid w:val="00A10A0C"/>
    <w:rsid w:val="00A10B19"/>
    <w:rsid w:val="00A10C49"/>
    <w:rsid w:val="00A10C7E"/>
    <w:rsid w:val="00A10D4D"/>
    <w:rsid w:val="00A10FC0"/>
    <w:rsid w:val="00A11095"/>
    <w:rsid w:val="00A1110C"/>
    <w:rsid w:val="00A111DB"/>
    <w:rsid w:val="00A111EE"/>
    <w:rsid w:val="00A1141E"/>
    <w:rsid w:val="00A11549"/>
    <w:rsid w:val="00A115BA"/>
    <w:rsid w:val="00A117D5"/>
    <w:rsid w:val="00A117E1"/>
    <w:rsid w:val="00A119BA"/>
    <w:rsid w:val="00A11F0A"/>
    <w:rsid w:val="00A12110"/>
    <w:rsid w:val="00A122AA"/>
    <w:rsid w:val="00A12620"/>
    <w:rsid w:val="00A1290D"/>
    <w:rsid w:val="00A1292F"/>
    <w:rsid w:val="00A12A38"/>
    <w:rsid w:val="00A12DB1"/>
    <w:rsid w:val="00A12E2F"/>
    <w:rsid w:val="00A1306F"/>
    <w:rsid w:val="00A13320"/>
    <w:rsid w:val="00A13429"/>
    <w:rsid w:val="00A135AF"/>
    <w:rsid w:val="00A136C9"/>
    <w:rsid w:val="00A13A83"/>
    <w:rsid w:val="00A13ED8"/>
    <w:rsid w:val="00A1429B"/>
    <w:rsid w:val="00A144B9"/>
    <w:rsid w:val="00A14A2C"/>
    <w:rsid w:val="00A14AD0"/>
    <w:rsid w:val="00A14C07"/>
    <w:rsid w:val="00A14D07"/>
    <w:rsid w:val="00A14ED0"/>
    <w:rsid w:val="00A14F6C"/>
    <w:rsid w:val="00A14FF8"/>
    <w:rsid w:val="00A1506D"/>
    <w:rsid w:val="00A15273"/>
    <w:rsid w:val="00A15583"/>
    <w:rsid w:val="00A1558A"/>
    <w:rsid w:val="00A156D9"/>
    <w:rsid w:val="00A156E6"/>
    <w:rsid w:val="00A15737"/>
    <w:rsid w:val="00A158B8"/>
    <w:rsid w:val="00A159E0"/>
    <w:rsid w:val="00A15D74"/>
    <w:rsid w:val="00A16177"/>
    <w:rsid w:val="00A16354"/>
    <w:rsid w:val="00A1644B"/>
    <w:rsid w:val="00A164A9"/>
    <w:rsid w:val="00A165F2"/>
    <w:rsid w:val="00A16644"/>
    <w:rsid w:val="00A1685D"/>
    <w:rsid w:val="00A169FA"/>
    <w:rsid w:val="00A16DC3"/>
    <w:rsid w:val="00A16F60"/>
    <w:rsid w:val="00A17008"/>
    <w:rsid w:val="00A17031"/>
    <w:rsid w:val="00A1729B"/>
    <w:rsid w:val="00A172CF"/>
    <w:rsid w:val="00A17782"/>
    <w:rsid w:val="00A17BA4"/>
    <w:rsid w:val="00A203C2"/>
    <w:rsid w:val="00A20418"/>
    <w:rsid w:val="00A2053B"/>
    <w:rsid w:val="00A206D7"/>
    <w:rsid w:val="00A209B7"/>
    <w:rsid w:val="00A209E1"/>
    <w:rsid w:val="00A20D9E"/>
    <w:rsid w:val="00A20F4C"/>
    <w:rsid w:val="00A20F78"/>
    <w:rsid w:val="00A211C4"/>
    <w:rsid w:val="00A2132F"/>
    <w:rsid w:val="00A2147F"/>
    <w:rsid w:val="00A21549"/>
    <w:rsid w:val="00A217E3"/>
    <w:rsid w:val="00A217E4"/>
    <w:rsid w:val="00A217FE"/>
    <w:rsid w:val="00A22578"/>
    <w:rsid w:val="00A225E1"/>
    <w:rsid w:val="00A22699"/>
    <w:rsid w:val="00A22A6A"/>
    <w:rsid w:val="00A22AB3"/>
    <w:rsid w:val="00A22DAF"/>
    <w:rsid w:val="00A22E2B"/>
    <w:rsid w:val="00A22E30"/>
    <w:rsid w:val="00A2329E"/>
    <w:rsid w:val="00A23330"/>
    <w:rsid w:val="00A2338A"/>
    <w:rsid w:val="00A2361B"/>
    <w:rsid w:val="00A23B65"/>
    <w:rsid w:val="00A23CA2"/>
    <w:rsid w:val="00A23D66"/>
    <w:rsid w:val="00A23D6F"/>
    <w:rsid w:val="00A23FAF"/>
    <w:rsid w:val="00A23FEE"/>
    <w:rsid w:val="00A24064"/>
    <w:rsid w:val="00A248D5"/>
    <w:rsid w:val="00A24B99"/>
    <w:rsid w:val="00A24CCB"/>
    <w:rsid w:val="00A24E4A"/>
    <w:rsid w:val="00A24EA1"/>
    <w:rsid w:val="00A253E5"/>
    <w:rsid w:val="00A2540E"/>
    <w:rsid w:val="00A25437"/>
    <w:rsid w:val="00A2549D"/>
    <w:rsid w:val="00A255BB"/>
    <w:rsid w:val="00A2563A"/>
    <w:rsid w:val="00A25693"/>
    <w:rsid w:val="00A258B6"/>
    <w:rsid w:val="00A25999"/>
    <w:rsid w:val="00A25BB7"/>
    <w:rsid w:val="00A25C49"/>
    <w:rsid w:val="00A25C79"/>
    <w:rsid w:val="00A25E53"/>
    <w:rsid w:val="00A26420"/>
    <w:rsid w:val="00A2683A"/>
    <w:rsid w:val="00A26843"/>
    <w:rsid w:val="00A26AA2"/>
    <w:rsid w:val="00A26B05"/>
    <w:rsid w:val="00A26BA5"/>
    <w:rsid w:val="00A26CD5"/>
    <w:rsid w:val="00A26D28"/>
    <w:rsid w:val="00A26E80"/>
    <w:rsid w:val="00A271D7"/>
    <w:rsid w:val="00A27265"/>
    <w:rsid w:val="00A273E8"/>
    <w:rsid w:val="00A2751E"/>
    <w:rsid w:val="00A2768F"/>
    <w:rsid w:val="00A27A4A"/>
    <w:rsid w:val="00A27B09"/>
    <w:rsid w:val="00A27EB3"/>
    <w:rsid w:val="00A27F1B"/>
    <w:rsid w:val="00A27F45"/>
    <w:rsid w:val="00A27FAE"/>
    <w:rsid w:val="00A30349"/>
    <w:rsid w:val="00A304B0"/>
    <w:rsid w:val="00A3060E"/>
    <w:rsid w:val="00A30652"/>
    <w:rsid w:val="00A306BD"/>
    <w:rsid w:val="00A309F5"/>
    <w:rsid w:val="00A30A00"/>
    <w:rsid w:val="00A30BCB"/>
    <w:rsid w:val="00A30C04"/>
    <w:rsid w:val="00A30C49"/>
    <w:rsid w:val="00A30D86"/>
    <w:rsid w:val="00A30E87"/>
    <w:rsid w:val="00A31064"/>
    <w:rsid w:val="00A31115"/>
    <w:rsid w:val="00A3123A"/>
    <w:rsid w:val="00A313D0"/>
    <w:rsid w:val="00A314CC"/>
    <w:rsid w:val="00A316EA"/>
    <w:rsid w:val="00A3190C"/>
    <w:rsid w:val="00A31968"/>
    <w:rsid w:val="00A31B55"/>
    <w:rsid w:val="00A31B74"/>
    <w:rsid w:val="00A31C41"/>
    <w:rsid w:val="00A31D2A"/>
    <w:rsid w:val="00A31D81"/>
    <w:rsid w:val="00A31E1B"/>
    <w:rsid w:val="00A31FB4"/>
    <w:rsid w:val="00A31FCC"/>
    <w:rsid w:val="00A320F5"/>
    <w:rsid w:val="00A3224D"/>
    <w:rsid w:val="00A322A6"/>
    <w:rsid w:val="00A32391"/>
    <w:rsid w:val="00A32561"/>
    <w:rsid w:val="00A32621"/>
    <w:rsid w:val="00A32654"/>
    <w:rsid w:val="00A32888"/>
    <w:rsid w:val="00A32E96"/>
    <w:rsid w:val="00A32F2C"/>
    <w:rsid w:val="00A32F33"/>
    <w:rsid w:val="00A33038"/>
    <w:rsid w:val="00A331E4"/>
    <w:rsid w:val="00A3339F"/>
    <w:rsid w:val="00A333E3"/>
    <w:rsid w:val="00A33AAF"/>
    <w:rsid w:val="00A33ABF"/>
    <w:rsid w:val="00A33B5C"/>
    <w:rsid w:val="00A33F53"/>
    <w:rsid w:val="00A34057"/>
    <w:rsid w:val="00A34111"/>
    <w:rsid w:val="00A34193"/>
    <w:rsid w:val="00A3422F"/>
    <w:rsid w:val="00A342C9"/>
    <w:rsid w:val="00A342CD"/>
    <w:rsid w:val="00A344B4"/>
    <w:rsid w:val="00A344CF"/>
    <w:rsid w:val="00A34668"/>
    <w:rsid w:val="00A347D5"/>
    <w:rsid w:val="00A34933"/>
    <w:rsid w:val="00A34A6F"/>
    <w:rsid w:val="00A34B29"/>
    <w:rsid w:val="00A34C12"/>
    <w:rsid w:val="00A34C4C"/>
    <w:rsid w:val="00A34C7E"/>
    <w:rsid w:val="00A34DEA"/>
    <w:rsid w:val="00A3508C"/>
    <w:rsid w:val="00A350CB"/>
    <w:rsid w:val="00A35123"/>
    <w:rsid w:val="00A351AC"/>
    <w:rsid w:val="00A352A2"/>
    <w:rsid w:val="00A35413"/>
    <w:rsid w:val="00A35777"/>
    <w:rsid w:val="00A35814"/>
    <w:rsid w:val="00A35880"/>
    <w:rsid w:val="00A35894"/>
    <w:rsid w:val="00A3601E"/>
    <w:rsid w:val="00A36368"/>
    <w:rsid w:val="00A364F4"/>
    <w:rsid w:val="00A36619"/>
    <w:rsid w:val="00A36A23"/>
    <w:rsid w:val="00A36B1F"/>
    <w:rsid w:val="00A36C05"/>
    <w:rsid w:val="00A36D39"/>
    <w:rsid w:val="00A36FDC"/>
    <w:rsid w:val="00A37029"/>
    <w:rsid w:val="00A370CF"/>
    <w:rsid w:val="00A371C5"/>
    <w:rsid w:val="00A37205"/>
    <w:rsid w:val="00A37233"/>
    <w:rsid w:val="00A3732F"/>
    <w:rsid w:val="00A37404"/>
    <w:rsid w:val="00A376F3"/>
    <w:rsid w:val="00A37768"/>
    <w:rsid w:val="00A377A2"/>
    <w:rsid w:val="00A378B2"/>
    <w:rsid w:val="00A3796E"/>
    <w:rsid w:val="00A37A84"/>
    <w:rsid w:val="00A37DC9"/>
    <w:rsid w:val="00A37E82"/>
    <w:rsid w:val="00A37ED3"/>
    <w:rsid w:val="00A37FD0"/>
    <w:rsid w:val="00A4024F"/>
    <w:rsid w:val="00A406E4"/>
    <w:rsid w:val="00A40822"/>
    <w:rsid w:val="00A40966"/>
    <w:rsid w:val="00A40B78"/>
    <w:rsid w:val="00A40D44"/>
    <w:rsid w:val="00A40DAA"/>
    <w:rsid w:val="00A40EAB"/>
    <w:rsid w:val="00A40ED9"/>
    <w:rsid w:val="00A41195"/>
    <w:rsid w:val="00A413A4"/>
    <w:rsid w:val="00A414C3"/>
    <w:rsid w:val="00A416B3"/>
    <w:rsid w:val="00A4192C"/>
    <w:rsid w:val="00A41AD1"/>
    <w:rsid w:val="00A41AF4"/>
    <w:rsid w:val="00A41B56"/>
    <w:rsid w:val="00A41C70"/>
    <w:rsid w:val="00A41E22"/>
    <w:rsid w:val="00A41ED2"/>
    <w:rsid w:val="00A4224B"/>
    <w:rsid w:val="00A42299"/>
    <w:rsid w:val="00A42456"/>
    <w:rsid w:val="00A427A7"/>
    <w:rsid w:val="00A42822"/>
    <w:rsid w:val="00A42970"/>
    <w:rsid w:val="00A42E25"/>
    <w:rsid w:val="00A42E9E"/>
    <w:rsid w:val="00A43264"/>
    <w:rsid w:val="00A43362"/>
    <w:rsid w:val="00A435DF"/>
    <w:rsid w:val="00A439C6"/>
    <w:rsid w:val="00A43D76"/>
    <w:rsid w:val="00A440E0"/>
    <w:rsid w:val="00A443DC"/>
    <w:rsid w:val="00A44428"/>
    <w:rsid w:val="00A4483C"/>
    <w:rsid w:val="00A4485D"/>
    <w:rsid w:val="00A44865"/>
    <w:rsid w:val="00A44B66"/>
    <w:rsid w:val="00A44BC3"/>
    <w:rsid w:val="00A44BE6"/>
    <w:rsid w:val="00A44C56"/>
    <w:rsid w:val="00A44E90"/>
    <w:rsid w:val="00A44FD8"/>
    <w:rsid w:val="00A45294"/>
    <w:rsid w:val="00A453D3"/>
    <w:rsid w:val="00A45501"/>
    <w:rsid w:val="00A457F9"/>
    <w:rsid w:val="00A45A86"/>
    <w:rsid w:val="00A45B03"/>
    <w:rsid w:val="00A45D71"/>
    <w:rsid w:val="00A45D81"/>
    <w:rsid w:val="00A45E07"/>
    <w:rsid w:val="00A45F58"/>
    <w:rsid w:val="00A4636E"/>
    <w:rsid w:val="00A4670A"/>
    <w:rsid w:val="00A4670B"/>
    <w:rsid w:val="00A46B71"/>
    <w:rsid w:val="00A46C82"/>
    <w:rsid w:val="00A46CDE"/>
    <w:rsid w:val="00A46D17"/>
    <w:rsid w:val="00A47094"/>
    <w:rsid w:val="00A472F8"/>
    <w:rsid w:val="00A47475"/>
    <w:rsid w:val="00A477EB"/>
    <w:rsid w:val="00A477ED"/>
    <w:rsid w:val="00A479DB"/>
    <w:rsid w:val="00A47B35"/>
    <w:rsid w:val="00A47B3E"/>
    <w:rsid w:val="00A47BB5"/>
    <w:rsid w:val="00A47BFF"/>
    <w:rsid w:val="00A47D09"/>
    <w:rsid w:val="00A47E6A"/>
    <w:rsid w:val="00A47E86"/>
    <w:rsid w:val="00A50120"/>
    <w:rsid w:val="00A50270"/>
    <w:rsid w:val="00A5049C"/>
    <w:rsid w:val="00A50599"/>
    <w:rsid w:val="00A507D5"/>
    <w:rsid w:val="00A50807"/>
    <w:rsid w:val="00A5080A"/>
    <w:rsid w:val="00A50A9D"/>
    <w:rsid w:val="00A50C38"/>
    <w:rsid w:val="00A50D9D"/>
    <w:rsid w:val="00A50E75"/>
    <w:rsid w:val="00A50ECF"/>
    <w:rsid w:val="00A50F7D"/>
    <w:rsid w:val="00A50FEC"/>
    <w:rsid w:val="00A51226"/>
    <w:rsid w:val="00A514FC"/>
    <w:rsid w:val="00A5184C"/>
    <w:rsid w:val="00A51928"/>
    <w:rsid w:val="00A51D21"/>
    <w:rsid w:val="00A51E70"/>
    <w:rsid w:val="00A520B3"/>
    <w:rsid w:val="00A522F2"/>
    <w:rsid w:val="00A524C6"/>
    <w:rsid w:val="00A5263C"/>
    <w:rsid w:val="00A529D5"/>
    <w:rsid w:val="00A52A07"/>
    <w:rsid w:val="00A53069"/>
    <w:rsid w:val="00A53266"/>
    <w:rsid w:val="00A533A3"/>
    <w:rsid w:val="00A5357D"/>
    <w:rsid w:val="00A5379E"/>
    <w:rsid w:val="00A53884"/>
    <w:rsid w:val="00A538BE"/>
    <w:rsid w:val="00A53992"/>
    <w:rsid w:val="00A53A77"/>
    <w:rsid w:val="00A53AC1"/>
    <w:rsid w:val="00A53D05"/>
    <w:rsid w:val="00A53D41"/>
    <w:rsid w:val="00A540E8"/>
    <w:rsid w:val="00A54352"/>
    <w:rsid w:val="00A546B6"/>
    <w:rsid w:val="00A54771"/>
    <w:rsid w:val="00A548CB"/>
    <w:rsid w:val="00A54A23"/>
    <w:rsid w:val="00A54EC6"/>
    <w:rsid w:val="00A54F60"/>
    <w:rsid w:val="00A550DE"/>
    <w:rsid w:val="00A55133"/>
    <w:rsid w:val="00A55173"/>
    <w:rsid w:val="00A55299"/>
    <w:rsid w:val="00A55782"/>
    <w:rsid w:val="00A557AE"/>
    <w:rsid w:val="00A5590D"/>
    <w:rsid w:val="00A55A91"/>
    <w:rsid w:val="00A55B90"/>
    <w:rsid w:val="00A55EE9"/>
    <w:rsid w:val="00A56052"/>
    <w:rsid w:val="00A56138"/>
    <w:rsid w:val="00A56254"/>
    <w:rsid w:val="00A56843"/>
    <w:rsid w:val="00A56860"/>
    <w:rsid w:val="00A5697C"/>
    <w:rsid w:val="00A56C0D"/>
    <w:rsid w:val="00A56F31"/>
    <w:rsid w:val="00A57104"/>
    <w:rsid w:val="00A57309"/>
    <w:rsid w:val="00A57450"/>
    <w:rsid w:val="00A57458"/>
    <w:rsid w:val="00A5774A"/>
    <w:rsid w:val="00A577AC"/>
    <w:rsid w:val="00A57901"/>
    <w:rsid w:val="00A57DC9"/>
    <w:rsid w:val="00A57E74"/>
    <w:rsid w:val="00A57F59"/>
    <w:rsid w:val="00A60113"/>
    <w:rsid w:val="00A60284"/>
    <w:rsid w:val="00A60397"/>
    <w:rsid w:val="00A603CD"/>
    <w:rsid w:val="00A604AB"/>
    <w:rsid w:val="00A60534"/>
    <w:rsid w:val="00A60A0D"/>
    <w:rsid w:val="00A60AF5"/>
    <w:rsid w:val="00A60C04"/>
    <w:rsid w:val="00A60CD9"/>
    <w:rsid w:val="00A60D3E"/>
    <w:rsid w:val="00A6125A"/>
    <w:rsid w:val="00A614A7"/>
    <w:rsid w:val="00A6167E"/>
    <w:rsid w:val="00A61B1B"/>
    <w:rsid w:val="00A61CAA"/>
    <w:rsid w:val="00A61CFA"/>
    <w:rsid w:val="00A61EDA"/>
    <w:rsid w:val="00A62130"/>
    <w:rsid w:val="00A624B3"/>
    <w:rsid w:val="00A62716"/>
    <w:rsid w:val="00A62C20"/>
    <w:rsid w:val="00A62D8B"/>
    <w:rsid w:val="00A62FD6"/>
    <w:rsid w:val="00A63278"/>
    <w:rsid w:val="00A63340"/>
    <w:rsid w:val="00A63392"/>
    <w:rsid w:val="00A6356E"/>
    <w:rsid w:val="00A636AC"/>
    <w:rsid w:val="00A63992"/>
    <w:rsid w:val="00A639C3"/>
    <w:rsid w:val="00A63A04"/>
    <w:rsid w:val="00A63BAD"/>
    <w:rsid w:val="00A63DD3"/>
    <w:rsid w:val="00A63E6C"/>
    <w:rsid w:val="00A63E74"/>
    <w:rsid w:val="00A63ED4"/>
    <w:rsid w:val="00A64216"/>
    <w:rsid w:val="00A64328"/>
    <w:rsid w:val="00A643B5"/>
    <w:rsid w:val="00A647CE"/>
    <w:rsid w:val="00A64A07"/>
    <w:rsid w:val="00A64B14"/>
    <w:rsid w:val="00A64F10"/>
    <w:rsid w:val="00A65089"/>
    <w:rsid w:val="00A651BE"/>
    <w:rsid w:val="00A65440"/>
    <w:rsid w:val="00A658C7"/>
    <w:rsid w:val="00A659D7"/>
    <w:rsid w:val="00A65ACF"/>
    <w:rsid w:val="00A65CF6"/>
    <w:rsid w:val="00A65DD1"/>
    <w:rsid w:val="00A65EBB"/>
    <w:rsid w:val="00A65F28"/>
    <w:rsid w:val="00A66048"/>
    <w:rsid w:val="00A662FE"/>
    <w:rsid w:val="00A66307"/>
    <w:rsid w:val="00A6647B"/>
    <w:rsid w:val="00A66893"/>
    <w:rsid w:val="00A66906"/>
    <w:rsid w:val="00A66981"/>
    <w:rsid w:val="00A66AB9"/>
    <w:rsid w:val="00A66BDB"/>
    <w:rsid w:val="00A66D4D"/>
    <w:rsid w:val="00A66DC5"/>
    <w:rsid w:val="00A66F2C"/>
    <w:rsid w:val="00A66FAB"/>
    <w:rsid w:val="00A6705B"/>
    <w:rsid w:val="00A6721A"/>
    <w:rsid w:val="00A67491"/>
    <w:rsid w:val="00A67626"/>
    <w:rsid w:val="00A67788"/>
    <w:rsid w:val="00A67BA9"/>
    <w:rsid w:val="00A67BBF"/>
    <w:rsid w:val="00A67BCF"/>
    <w:rsid w:val="00A67C75"/>
    <w:rsid w:val="00A67D48"/>
    <w:rsid w:val="00A67FA2"/>
    <w:rsid w:val="00A70275"/>
    <w:rsid w:val="00A70357"/>
    <w:rsid w:val="00A70361"/>
    <w:rsid w:val="00A703EB"/>
    <w:rsid w:val="00A70489"/>
    <w:rsid w:val="00A70596"/>
    <w:rsid w:val="00A705E1"/>
    <w:rsid w:val="00A70671"/>
    <w:rsid w:val="00A708E0"/>
    <w:rsid w:val="00A70AAB"/>
    <w:rsid w:val="00A70E8C"/>
    <w:rsid w:val="00A7165B"/>
    <w:rsid w:val="00A71670"/>
    <w:rsid w:val="00A71734"/>
    <w:rsid w:val="00A717EB"/>
    <w:rsid w:val="00A7181B"/>
    <w:rsid w:val="00A7194E"/>
    <w:rsid w:val="00A71A26"/>
    <w:rsid w:val="00A71B8A"/>
    <w:rsid w:val="00A71C6D"/>
    <w:rsid w:val="00A720EA"/>
    <w:rsid w:val="00A72179"/>
    <w:rsid w:val="00A72464"/>
    <w:rsid w:val="00A72888"/>
    <w:rsid w:val="00A72D41"/>
    <w:rsid w:val="00A72D74"/>
    <w:rsid w:val="00A72DA7"/>
    <w:rsid w:val="00A72E6F"/>
    <w:rsid w:val="00A731A2"/>
    <w:rsid w:val="00A73289"/>
    <w:rsid w:val="00A73296"/>
    <w:rsid w:val="00A7336C"/>
    <w:rsid w:val="00A7346B"/>
    <w:rsid w:val="00A73792"/>
    <w:rsid w:val="00A739DC"/>
    <w:rsid w:val="00A73D3A"/>
    <w:rsid w:val="00A73DAD"/>
    <w:rsid w:val="00A73FDB"/>
    <w:rsid w:val="00A74052"/>
    <w:rsid w:val="00A740DB"/>
    <w:rsid w:val="00A7426A"/>
    <w:rsid w:val="00A74555"/>
    <w:rsid w:val="00A7492F"/>
    <w:rsid w:val="00A7493D"/>
    <w:rsid w:val="00A7498E"/>
    <w:rsid w:val="00A74CC1"/>
    <w:rsid w:val="00A74D1D"/>
    <w:rsid w:val="00A74E1B"/>
    <w:rsid w:val="00A75317"/>
    <w:rsid w:val="00A753E3"/>
    <w:rsid w:val="00A75813"/>
    <w:rsid w:val="00A759D1"/>
    <w:rsid w:val="00A75BA6"/>
    <w:rsid w:val="00A75D5D"/>
    <w:rsid w:val="00A75EF4"/>
    <w:rsid w:val="00A75F28"/>
    <w:rsid w:val="00A75F67"/>
    <w:rsid w:val="00A76075"/>
    <w:rsid w:val="00A7616C"/>
    <w:rsid w:val="00A768F4"/>
    <w:rsid w:val="00A76BB8"/>
    <w:rsid w:val="00A76D64"/>
    <w:rsid w:val="00A76EA5"/>
    <w:rsid w:val="00A76F16"/>
    <w:rsid w:val="00A77005"/>
    <w:rsid w:val="00A7742C"/>
    <w:rsid w:val="00A77478"/>
    <w:rsid w:val="00A77620"/>
    <w:rsid w:val="00A77661"/>
    <w:rsid w:val="00A776F3"/>
    <w:rsid w:val="00A77B99"/>
    <w:rsid w:val="00A77BAD"/>
    <w:rsid w:val="00A77FE8"/>
    <w:rsid w:val="00A8013A"/>
    <w:rsid w:val="00A80237"/>
    <w:rsid w:val="00A80292"/>
    <w:rsid w:val="00A802E2"/>
    <w:rsid w:val="00A803D1"/>
    <w:rsid w:val="00A80444"/>
    <w:rsid w:val="00A80491"/>
    <w:rsid w:val="00A805B6"/>
    <w:rsid w:val="00A80605"/>
    <w:rsid w:val="00A80868"/>
    <w:rsid w:val="00A80970"/>
    <w:rsid w:val="00A80AC8"/>
    <w:rsid w:val="00A80E8A"/>
    <w:rsid w:val="00A8100A"/>
    <w:rsid w:val="00A81173"/>
    <w:rsid w:val="00A811AB"/>
    <w:rsid w:val="00A815FC"/>
    <w:rsid w:val="00A81746"/>
    <w:rsid w:val="00A81858"/>
    <w:rsid w:val="00A8192D"/>
    <w:rsid w:val="00A81A4C"/>
    <w:rsid w:val="00A81CA2"/>
    <w:rsid w:val="00A81CAA"/>
    <w:rsid w:val="00A81D38"/>
    <w:rsid w:val="00A81DEA"/>
    <w:rsid w:val="00A821D9"/>
    <w:rsid w:val="00A82296"/>
    <w:rsid w:val="00A82714"/>
    <w:rsid w:val="00A827F8"/>
    <w:rsid w:val="00A82926"/>
    <w:rsid w:val="00A82984"/>
    <w:rsid w:val="00A82B77"/>
    <w:rsid w:val="00A82D86"/>
    <w:rsid w:val="00A82DF0"/>
    <w:rsid w:val="00A82ECC"/>
    <w:rsid w:val="00A82F05"/>
    <w:rsid w:val="00A82F81"/>
    <w:rsid w:val="00A830F2"/>
    <w:rsid w:val="00A831C8"/>
    <w:rsid w:val="00A83332"/>
    <w:rsid w:val="00A839BE"/>
    <w:rsid w:val="00A83A90"/>
    <w:rsid w:val="00A83BA5"/>
    <w:rsid w:val="00A83C34"/>
    <w:rsid w:val="00A83D13"/>
    <w:rsid w:val="00A83F29"/>
    <w:rsid w:val="00A84168"/>
    <w:rsid w:val="00A841D5"/>
    <w:rsid w:val="00A84349"/>
    <w:rsid w:val="00A84550"/>
    <w:rsid w:val="00A845A2"/>
    <w:rsid w:val="00A84870"/>
    <w:rsid w:val="00A84D16"/>
    <w:rsid w:val="00A84D66"/>
    <w:rsid w:val="00A84F2C"/>
    <w:rsid w:val="00A85769"/>
    <w:rsid w:val="00A857BF"/>
    <w:rsid w:val="00A85823"/>
    <w:rsid w:val="00A85962"/>
    <w:rsid w:val="00A859E5"/>
    <w:rsid w:val="00A85B1C"/>
    <w:rsid w:val="00A85BC8"/>
    <w:rsid w:val="00A860E0"/>
    <w:rsid w:val="00A863F3"/>
    <w:rsid w:val="00A86465"/>
    <w:rsid w:val="00A86770"/>
    <w:rsid w:val="00A86834"/>
    <w:rsid w:val="00A8693B"/>
    <w:rsid w:val="00A86993"/>
    <w:rsid w:val="00A86AD3"/>
    <w:rsid w:val="00A86D11"/>
    <w:rsid w:val="00A86E68"/>
    <w:rsid w:val="00A87439"/>
    <w:rsid w:val="00A87446"/>
    <w:rsid w:val="00A875EC"/>
    <w:rsid w:val="00A8783E"/>
    <w:rsid w:val="00A8790B"/>
    <w:rsid w:val="00A87B75"/>
    <w:rsid w:val="00A87BB1"/>
    <w:rsid w:val="00A87C31"/>
    <w:rsid w:val="00A87D18"/>
    <w:rsid w:val="00A87FAA"/>
    <w:rsid w:val="00A90089"/>
    <w:rsid w:val="00A902FA"/>
    <w:rsid w:val="00A90333"/>
    <w:rsid w:val="00A9038E"/>
    <w:rsid w:val="00A90569"/>
    <w:rsid w:val="00A906EE"/>
    <w:rsid w:val="00A90DE2"/>
    <w:rsid w:val="00A90E30"/>
    <w:rsid w:val="00A91212"/>
    <w:rsid w:val="00A91560"/>
    <w:rsid w:val="00A917CB"/>
    <w:rsid w:val="00A918C4"/>
    <w:rsid w:val="00A91C25"/>
    <w:rsid w:val="00A91C89"/>
    <w:rsid w:val="00A91E06"/>
    <w:rsid w:val="00A91E41"/>
    <w:rsid w:val="00A91F35"/>
    <w:rsid w:val="00A92083"/>
    <w:rsid w:val="00A92702"/>
    <w:rsid w:val="00A92870"/>
    <w:rsid w:val="00A928C2"/>
    <w:rsid w:val="00A92977"/>
    <w:rsid w:val="00A92A2B"/>
    <w:rsid w:val="00A92A67"/>
    <w:rsid w:val="00A92B8D"/>
    <w:rsid w:val="00A92C28"/>
    <w:rsid w:val="00A92CC0"/>
    <w:rsid w:val="00A92F65"/>
    <w:rsid w:val="00A92F7C"/>
    <w:rsid w:val="00A930B7"/>
    <w:rsid w:val="00A931D6"/>
    <w:rsid w:val="00A9336A"/>
    <w:rsid w:val="00A936EB"/>
    <w:rsid w:val="00A93A0B"/>
    <w:rsid w:val="00A93D14"/>
    <w:rsid w:val="00A93DCC"/>
    <w:rsid w:val="00A93E3C"/>
    <w:rsid w:val="00A94255"/>
    <w:rsid w:val="00A94487"/>
    <w:rsid w:val="00A949D0"/>
    <w:rsid w:val="00A94C21"/>
    <w:rsid w:val="00A95153"/>
    <w:rsid w:val="00A95165"/>
    <w:rsid w:val="00A9519C"/>
    <w:rsid w:val="00A951C5"/>
    <w:rsid w:val="00A953BB"/>
    <w:rsid w:val="00A953FC"/>
    <w:rsid w:val="00A95461"/>
    <w:rsid w:val="00A95766"/>
    <w:rsid w:val="00A958D1"/>
    <w:rsid w:val="00A95BAF"/>
    <w:rsid w:val="00A95BE6"/>
    <w:rsid w:val="00A95CF6"/>
    <w:rsid w:val="00A95DCD"/>
    <w:rsid w:val="00A95E50"/>
    <w:rsid w:val="00A95EA6"/>
    <w:rsid w:val="00A96225"/>
    <w:rsid w:val="00A9625C"/>
    <w:rsid w:val="00A9630A"/>
    <w:rsid w:val="00A964F0"/>
    <w:rsid w:val="00A96555"/>
    <w:rsid w:val="00A965BF"/>
    <w:rsid w:val="00A966B2"/>
    <w:rsid w:val="00A9686D"/>
    <w:rsid w:val="00A969F4"/>
    <w:rsid w:val="00A96B02"/>
    <w:rsid w:val="00A96B22"/>
    <w:rsid w:val="00A96BC3"/>
    <w:rsid w:val="00A96BCF"/>
    <w:rsid w:val="00A96C53"/>
    <w:rsid w:val="00A96EC4"/>
    <w:rsid w:val="00A96F85"/>
    <w:rsid w:val="00A97002"/>
    <w:rsid w:val="00A9720F"/>
    <w:rsid w:val="00A97276"/>
    <w:rsid w:val="00A97452"/>
    <w:rsid w:val="00A97B30"/>
    <w:rsid w:val="00A97C4C"/>
    <w:rsid w:val="00A97C4F"/>
    <w:rsid w:val="00A97ED9"/>
    <w:rsid w:val="00A97F9B"/>
    <w:rsid w:val="00AA004C"/>
    <w:rsid w:val="00AA013A"/>
    <w:rsid w:val="00AA0158"/>
    <w:rsid w:val="00AA016C"/>
    <w:rsid w:val="00AA017C"/>
    <w:rsid w:val="00AA01DB"/>
    <w:rsid w:val="00AA022A"/>
    <w:rsid w:val="00AA022D"/>
    <w:rsid w:val="00AA03BC"/>
    <w:rsid w:val="00AA0460"/>
    <w:rsid w:val="00AA0467"/>
    <w:rsid w:val="00AA052F"/>
    <w:rsid w:val="00AA05F2"/>
    <w:rsid w:val="00AA07A2"/>
    <w:rsid w:val="00AA08CF"/>
    <w:rsid w:val="00AA0A43"/>
    <w:rsid w:val="00AA0B13"/>
    <w:rsid w:val="00AA0BBF"/>
    <w:rsid w:val="00AA0DEE"/>
    <w:rsid w:val="00AA1079"/>
    <w:rsid w:val="00AA1461"/>
    <w:rsid w:val="00AA155D"/>
    <w:rsid w:val="00AA1902"/>
    <w:rsid w:val="00AA1BB4"/>
    <w:rsid w:val="00AA1CF4"/>
    <w:rsid w:val="00AA2046"/>
    <w:rsid w:val="00AA20BF"/>
    <w:rsid w:val="00AA21A0"/>
    <w:rsid w:val="00AA21BB"/>
    <w:rsid w:val="00AA21FC"/>
    <w:rsid w:val="00AA2347"/>
    <w:rsid w:val="00AA24E3"/>
    <w:rsid w:val="00AA2535"/>
    <w:rsid w:val="00AA2675"/>
    <w:rsid w:val="00AA2B33"/>
    <w:rsid w:val="00AA2B62"/>
    <w:rsid w:val="00AA2C5C"/>
    <w:rsid w:val="00AA2D52"/>
    <w:rsid w:val="00AA2E4A"/>
    <w:rsid w:val="00AA2F29"/>
    <w:rsid w:val="00AA3078"/>
    <w:rsid w:val="00AA31FD"/>
    <w:rsid w:val="00AA3254"/>
    <w:rsid w:val="00AA39E6"/>
    <w:rsid w:val="00AA3BBD"/>
    <w:rsid w:val="00AA3E2C"/>
    <w:rsid w:val="00AA3F8E"/>
    <w:rsid w:val="00AA4102"/>
    <w:rsid w:val="00AA4150"/>
    <w:rsid w:val="00AA426E"/>
    <w:rsid w:val="00AA437D"/>
    <w:rsid w:val="00AA4A63"/>
    <w:rsid w:val="00AA4D07"/>
    <w:rsid w:val="00AA4D23"/>
    <w:rsid w:val="00AA5538"/>
    <w:rsid w:val="00AA5550"/>
    <w:rsid w:val="00AA56E8"/>
    <w:rsid w:val="00AA5A4D"/>
    <w:rsid w:val="00AA5A92"/>
    <w:rsid w:val="00AA5C80"/>
    <w:rsid w:val="00AA6156"/>
    <w:rsid w:val="00AA63F3"/>
    <w:rsid w:val="00AA6439"/>
    <w:rsid w:val="00AA64B8"/>
    <w:rsid w:val="00AA65AE"/>
    <w:rsid w:val="00AA665C"/>
    <w:rsid w:val="00AA66C1"/>
    <w:rsid w:val="00AA68DC"/>
    <w:rsid w:val="00AA6DCB"/>
    <w:rsid w:val="00AA6F47"/>
    <w:rsid w:val="00AA7197"/>
    <w:rsid w:val="00AA72AC"/>
    <w:rsid w:val="00AA73CD"/>
    <w:rsid w:val="00AA74A8"/>
    <w:rsid w:val="00AA75CA"/>
    <w:rsid w:val="00AA77C0"/>
    <w:rsid w:val="00AA78FF"/>
    <w:rsid w:val="00AA7CC8"/>
    <w:rsid w:val="00AA7F76"/>
    <w:rsid w:val="00AA7FD2"/>
    <w:rsid w:val="00AB02D1"/>
    <w:rsid w:val="00AB0501"/>
    <w:rsid w:val="00AB07C6"/>
    <w:rsid w:val="00AB07DF"/>
    <w:rsid w:val="00AB089B"/>
    <w:rsid w:val="00AB0930"/>
    <w:rsid w:val="00AB0C8A"/>
    <w:rsid w:val="00AB0F5C"/>
    <w:rsid w:val="00AB10D6"/>
    <w:rsid w:val="00AB110B"/>
    <w:rsid w:val="00AB16D6"/>
    <w:rsid w:val="00AB1889"/>
    <w:rsid w:val="00AB198A"/>
    <w:rsid w:val="00AB2109"/>
    <w:rsid w:val="00AB2119"/>
    <w:rsid w:val="00AB227A"/>
    <w:rsid w:val="00AB236A"/>
    <w:rsid w:val="00AB23CD"/>
    <w:rsid w:val="00AB26CC"/>
    <w:rsid w:val="00AB28F9"/>
    <w:rsid w:val="00AB2C31"/>
    <w:rsid w:val="00AB2D6A"/>
    <w:rsid w:val="00AB2EBA"/>
    <w:rsid w:val="00AB2F77"/>
    <w:rsid w:val="00AB3039"/>
    <w:rsid w:val="00AB34C4"/>
    <w:rsid w:val="00AB3548"/>
    <w:rsid w:val="00AB3567"/>
    <w:rsid w:val="00AB3586"/>
    <w:rsid w:val="00AB3629"/>
    <w:rsid w:val="00AB36FF"/>
    <w:rsid w:val="00AB3919"/>
    <w:rsid w:val="00AB3BD2"/>
    <w:rsid w:val="00AB3DC7"/>
    <w:rsid w:val="00AB3EA9"/>
    <w:rsid w:val="00AB3FB1"/>
    <w:rsid w:val="00AB455D"/>
    <w:rsid w:val="00AB4958"/>
    <w:rsid w:val="00AB49C0"/>
    <w:rsid w:val="00AB4A27"/>
    <w:rsid w:val="00AB4C2D"/>
    <w:rsid w:val="00AB4FF4"/>
    <w:rsid w:val="00AB513C"/>
    <w:rsid w:val="00AB5252"/>
    <w:rsid w:val="00AB530A"/>
    <w:rsid w:val="00AB5435"/>
    <w:rsid w:val="00AB55DE"/>
    <w:rsid w:val="00AB579B"/>
    <w:rsid w:val="00AB57BB"/>
    <w:rsid w:val="00AB5AD5"/>
    <w:rsid w:val="00AB5B64"/>
    <w:rsid w:val="00AB5E8C"/>
    <w:rsid w:val="00AB6015"/>
    <w:rsid w:val="00AB60EB"/>
    <w:rsid w:val="00AB60FC"/>
    <w:rsid w:val="00AB617B"/>
    <w:rsid w:val="00AB6216"/>
    <w:rsid w:val="00AB6243"/>
    <w:rsid w:val="00AB62D2"/>
    <w:rsid w:val="00AB6461"/>
    <w:rsid w:val="00AB647A"/>
    <w:rsid w:val="00AB6564"/>
    <w:rsid w:val="00AB658B"/>
    <w:rsid w:val="00AB6923"/>
    <w:rsid w:val="00AB6C40"/>
    <w:rsid w:val="00AB71E5"/>
    <w:rsid w:val="00AB71F7"/>
    <w:rsid w:val="00AB7245"/>
    <w:rsid w:val="00AB72BD"/>
    <w:rsid w:val="00AB7322"/>
    <w:rsid w:val="00AB761E"/>
    <w:rsid w:val="00AB770F"/>
    <w:rsid w:val="00AB77AE"/>
    <w:rsid w:val="00AB7884"/>
    <w:rsid w:val="00AB79FF"/>
    <w:rsid w:val="00AB7A37"/>
    <w:rsid w:val="00AB7A55"/>
    <w:rsid w:val="00AB7A58"/>
    <w:rsid w:val="00AB7C74"/>
    <w:rsid w:val="00AB7DE2"/>
    <w:rsid w:val="00AB7E3F"/>
    <w:rsid w:val="00AC02E9"/>
    <w:rsid w:val="00AC0481"/>
    <w:rsid w:val="00AC04E8"/>
    <w:rsid w:val="00AC072E"/>
    <w:rsid w:val="00AC0875"/>
    <w:rsid w:val="00AC0AF7"/>
    <w:rsid w:val="00AC0BBB"/>
    <w:rsid w:val="00AC0DE2"/>
    <w:rsid w:val="00AC0ECE"/>
    <w:rsid w:val="00AC0FB5"/>
    <w:rsid w:val="00AC10FF"/>
    <w:rsid w:val="00AC1195"/>
    <w:rsid w:val="00AC1355"/>
    <w:rsid w:val="00AC1493"/>
    <w:rsid w:val="00AC1683"/>
    <w:rsid w:val="00AC1698"/>
    <w:rsid w:val="00AC1B77"/>
    <w:rsid w:val="00AC1CF3"/>
    <w:rsid w:val="00AC1E9D"/>
    <w:rsid w:val="00AC1EB0"/>
    <w:rsid w:val="00AC1EB6"/>
    <w:rsid w:val="00AC1F1A"/>
    <w:rsid w:val="00AC1FA7"/>
    <w:rsid w:val="00AC2055"/>
    <w:rsid w:val="00AC20EB"/>
    <w:rsid w:val="00AC2148"/>
    <w:rsid w:val="00AC2303"/>
    <w:rsid w:val="00AC254C"/>
    <w:rsid w:val="00AC260C"/>
    <w:rsid w:val="00AC267E"/>
    <w:rsid w:val="00AC26A5"/>
    <w:rsid w:val="00AC2742"/>
    <w:rsid w:val="00AC28E0"/>
    <w:rsid w:val="00AC2A0C"/>
    <w:rsid w:val="00AC2F7D"/>
    <w:rsid w:val="00AC3012"/>
    <w:rsid w:val="00AC31AF"/>
    <w:rsid w:val="00AC326F"/>
    <w:rsid w:val="00AC34D8"/>
    <w:rsid w:val="00AC35E8"/>
    <w:rsid w:val="00AC36F1"/>
    <w:rsid w:val="00AC3784"/>
    <w:rsid w:val="00AC38AC"/>
    <w:rsid w:val="00AC3D79"/>
    <w:rsid w:val="00AC3D92"/>
    <w:rsid w:val="00AC3F04"/>
    <w:rsid w:val="00AC3F85"/>
    <w:rsid w:val="00AC4005"/>
    <w:rsid w:val="00AC41AB"/>
    <w:rsid w:val="00AC425E"/>
    <w:rsid w:val="00AC4547"/>
    <w:rsid w:val="00AC4CED"/>
    <w:rsid w:val="00AC4F37"/>
    <w:rsid w:val="00AC508A"/>
    <w:rsid w:val="00AC51B8"/>
    <w:rsid w:val="00AC53B3"/>
    <w:rsid w:val="00AC5424"/>
    <w:rsid w:val="00AC572D"/>
    <w:rsid w:val="00AC5857"/>
    <w:rsid w:val="00AC5AED"/>
    <w:rsid w:val="00AC5CA0"/>
    <w:rsid w:val="00AC5F75"/>
    <w:rsid w:val="00AC6001"/>
    <w:rsid w:val="00AC6098"/>
    <w:rsid w:val="00AC647F"/>
    <w:rsid w:val="00AC661C"/>
    <w:rsid w:val="00AC672E"/>
    <w:rsid w:val="00AC6819"/>
    <w:rsid w:val="00AC682B"/>
    <w:rsid w:val="00AC6873"/>
    <w:rsid w:val="00AC6903"/>
    <w:rsid w:val="00AC6A42"/>
    <w:rsid w:val="00AC6AC8"/>
    <w:rsid w:val="00AC6B63"/>
    <w:rsid w:val="00AC6D04"/>
    <w:rsid w:val="00AC6D9D"/>
    <w:rsid w:val="00AC6E1B"/>
    <w:rsid w:val="00AC71D6"/>
    <w:rsid w:val="00AC72C3"/>
    <w:rsid w:val="00AC7788"/>
    <w:rsid w:val="00AC77D1"/>
    <w:rsid w:val="00AC787C"/>
    <w:rsid w:val="00AC7A9E"/>
    <w:rsid w:val="00AC7AE1"/>
    <w:rsid w:val="00AC7B98"/>
    <w:rsid w:val="00AC7B9E"/>
    <w:rsid w:val="00AD00DF"/>
    <w:rsid w:val="00AD01E1"/>
    <w:rsid w:val="00AD0320"/>
    <w:rsid w:val="00AD0367"/>
    <w:rsid w:val="00AD0445"/>
    <w:rsid w:val="00AD04B4"/>
    <w:rsid w:val="00AD0586"/>
    <w:rsid w:val="00AD0678"/>
    <w:rsid w:val="00AD081E"/>
    <w:rsid w:val="00AD0975"/>
    <w:rsid w:val="00AD0A28"/>
    <w:rsid w:val="00AD0E69"/>
    <w:rsid w:val="00AD0F18"/>
    <w:rsid w:val="00AD119A"/>
    <w:rsid w:val="00AD11AC"/>
    <w:rsid w:val="00AD11B6"/>
    <w:rsid w:val="00AD1263"/>
    <w:rsid w:val="00AD150B"/>
    <w:rsid w:val="00AD1548"/>
    <w:rsid w:val="00AD164D"/>
    <w:rsid w:val="00AD19A5"/>
    <w:rsid w:val="00AD19D4"/>
    <w:rsid w:val="00AD1D68"/>
    <w:rsid w:val="00AD1DCE"/>
    <w:rsid w:val="00AD1E33"/>
    <w:rsid w:val="00AD20D9"/>
    <w:rsid w:val="00AD2433"/>
    <w:rsid w:val="00AD24C1"/>
    <w:rsid w:val="00AD24E2"/>
    <w:rsid w:val="00AD2CE6"/>
    <w:rsid w:val="00AD30C3"/>
    <w:rsid w:val="00AD3121"/>
    <w:rsid w:val="00AD3597"/>
    <w:rsid w:val="00AD38AE"/>
    <w:rsid w:val="00AD3A33"/>
    <w:rsid w:val="00AD3DA3"/>
    <w:rsid w:val="00AD42F0"/>
    <w:rsid w:val="00AD43F3"/>
    <w:rsid w:val="00AD44EB"/>
    <w:rsid w:val="00AD47C6"/>
    <w:rsid w:val="00AD49A8"/>
    <w:rsid w:val="00AD49AE"/>
    <w:rsid w:val="00AD4AD2"/>
    <w:rsid w:val="00AD4C4B"/>
    <w:rsid w:val="00AD4D62"/>
    <w:rsid w:val="00AD4DA1"/>
    <w:rsid w:val="00AD4F00"/>
    <w:rsid w:val="00AD500C"/>
    <w:rsid w:val="00AD5151"/>
    <w:rsid w:val="00AD552E"/>
    <w:rsid w:val="00AD5738"/>
    <w:rsid w:val="00AD586D"/>
    <w:rsid w:val="00AD59C2"/>
    <w:rsid w:val="00AD5C65"/>
    <w:rsid w:val="00AD6267"/>
    <w:rsid w:val="00AD6369"/>
    <w:rsid w:val="00AD6A56"/>
    <w:rsid w:val="00AD6D28"/>
    <w:rsid w:val="00AD7306"/>
    <w:rsid w:val="00AD759D"/>
    <w:rsid w:val="00AD77AA"/>
    <w:rsid w:val="00AD7826"/>
    <w:rsid w:val="00AD7901"/>
    <w:rsid w:val="00AD7BBE"/>
    <w:rsid w:val="00AD7F82"/>
    <w:rsid w:val="00AE0303"/>
    <w:rsid w:val="00AE049E"/>
    <w:rsid w:val="00AE04C8"/>
    <w:rsid w:val="00AE0805"/>
    <w:rsid w:val="00AE08C3"/>
    <w:rsid w:val="00AE091D"/>
    <w:rsid w:val="00AE0B4E"/>
    <w:rsid w:val="00AE0C5D"/>
    <w:rsid w:val="00AE0CAF"/>
    <w:rsid w:val="00AE0CB7"/>
    <w:rsid w:val="00AE0EF6"/>
    <w:rsid w:val="00AE10F4"/>
    <w:rsid w:val="00AE116E"/>
    <w:rsid w:val="00AE1424"/>
    <w:rsid w:val="00AE1498"/>
    <w:rsid w:val="00AE15E3"/>
    <w:rsid w:val="00AE160F"/>
    <w:rsid w:val="00AE169C"/>
    <w:rsid w:val="00AE19FF"/>
    <w:rsid w:val="00AE1A24"/>
    <w:rsid w:val="00AE1AF2"/>
    <w:rsid w:val="00AE1BE6"/>
    <w:rsid w:val="00AE1D83"/>
    <w:rsid w:val="00AE1DBF"/>
    <w:rsid w:val="00AE1E32"/>
    <w:rsid w:val="00AE1E80"/>
    <w:rsid w:val="00AE1F5E"/>
    <w:rsid w:val="00AE1FC6"/>
    <w:rsid w:val="00AE2057"/>
    <w:rsid w:val="00AE212D"/>
    <w:rsid w:val="00AE2147"/>
    <w:rsid w:val="00AE2913"/>
    <w:rsid w:val="00AE2CFD"/>
    <w:rsid w:val="00AE2D32"/>
    <w:rsid w:val="00AE2D5C"/>
    <w:rsid w:val="00AE2DBF"/>
    <w:rsid w:val="00AE2E15"/>
    <w:rsid w:val="00AE311A"/>
    <w:rsid w:val="00AE34F3"/>
    <w:rsid w:val="00AE370A"/>
    <w:rsid w:val="00AE385C"/>
    <w:rsid w:val="00AE38D3"/>
    <w:rsid w:val="00AE3959"/>
    <w:rsid w:val="00AE399F"/>
    <w:rsid w:val="00AE3BE5"/>
    <w:rsid w:val="00AE3D4A"/>
    <w:rsid w:val="00AE40E0"/>
    <w:rsid w:val="00AE4182"/>
    <w:rsid w:val="00AE4328"/>
    <w:rsid w:val="00AE43CF"/>
    <w:rsid w:val="00AE44E8"/>
    <w:rsid w:val="00AE45B2"/>
    <w:rsid w:val="00AE4605"/>
    <w:rsid w:val="00AE4612"/>
    <w:rsid w:val="00AE48A4"/>
    <w:rsid w:val="00AE4E01"/>
    <w:rsid w:val="00AE5071"/>
    <w:rsid w:val="00AE53CA"/>
    <w:rsid w:val="00AE5432"/>
    <w:rsid w:val="00AE569F"/>
    <w:rsid w:val="00AE5701"/>
    <w:rsid w:val="00AE5995"/>
    <w:rsid w:val="00AE6044"/>
    <w:rsid w:val="00AE6357"/>
    <w:rsid w:val="00AE6920"/>
    <w:rsid w:val="00AE6D66"/>
    <w:rsid w:val="00AE6D6B"/>
    <w:rsid w:val="00AE6F3E"/>
    <w:rsid w:val="00AE77ED"/>
    <w:rsid w:val="00AE7819"/>
    <w:rsid w:val="00AE789C"/>
    <w:rsid w:val="00AE7946"/>
    <w:rsid w:val="00AE7A92"/>
    <w:rsid w:val="00AE7C08"/>
    <w:rsid w:val="00AE7F76"/>
    <w:rsid w:val="00AF0518"/>
    <w:rsid w:val="00AF053E"/>
    <w:rsid w:val="00AF09AE"/>
    <w:rsid w:val="00AF0A0F"/>
    <w:rsid w:val="00AF0A1B"/>
    <w:rsid w:val="00AF0B2C"/>
    <w:rsid w:val="00AF0F54"/>
    <w:rsid w:val="00AF1173"/>
    <w:rsid w:val="00AF1318"/>
    <w:rsid w:val="00AF15B4"/>
    <w:rsid w:val="00AF1656"/>
    <w:rsid w:val="00AF16B9"/>
    <w:rsid w:val="00AF1757"/>
    <w:rsid w:val="00AF189F"/>
    <w:rsid w:val="00AF2286"/>
    <w:rsid w:val="00AF23BC"/>
    <w:rsid w:val="00AF25F1"/>
    <w:rsid w:val="00AF2600"/>
    <w:rsid w:val="00AF283D"/>
    <w:rsid w:val="00AF28EE"/>
    <w:rsid w:val="00AF2CC5"/>
    <w:rsid w:val="00AF2EC0"/>
    <w:rsid w:val="00AF30EE"/>
    <w:rsid w:val="00AF319F"/>
    <w:rsid w:val="00AF31E7"/>
    <w:rsid w:val="00AF3237"/>
    <w:rsid w:val="00AF32BC"/>
    <w:rsid w:val="00AF3361"/>
    <w:rsid w:val="00AF3983"/>
    <w:rsid w:val="00AF3DC7"/>
    <w:rsid w:val="00AF3F61"/>
    <w:rsid w:val="00AF404B"/>
    <w:rsid w:val="00AF44AB"/>
    <w:rsid w:val="00AF46AF"/>
    <w:rsid w:val="00AF4AC2"/>
    <w:rsid w:val="00AF4B76"/>
    <w:rsid w:val="00AF4C41"/>
    <w:rsid w:val="00AF4F15"/>
    <w:rsid w:val="00AF51B9"/>
    <w:rsid w:val="00AF543A"/>
    <w:rsid w:val="00AF5578"/>
    <w:rsid w:val="00AF55EB"/>
    <w:rsid w:val="00AF58F4"/>
    <w:rsid w:val="00AF59A1"/>
    <w:rsid w:val="00AF59D6"/>
    <w:rsid w:val="00AF5FE1"/>
    <w:rsid w:val="00AF6111"/>
    <w:rsid w:val="00AF64E6"/>
    <w:rsid w:val="00AF67F4"/>
    <w:rsid w:val="00AF683F"/>
    <w:rsid w:val="00AF6962"/>
    <w:rsid w:val="00AF6A27"/>
    <w:rsid w:val="00AF6B66"/>
    <w:rsid w:val="00AF6E83"/>
    <w:rsid w:val="00AF6EA3"/>
    <w:rsid w:val="00AF7147"/>
    <w:rsid w:val="00AF726B"/>
    <w:rsid w:val="00AF72A9"/>
    <w:rsid w:val="00AF7327"/>
    <w:rsid w:val="00AF735D"/>
    <w:rsid w:val="00AF7414"/>
    <w:rsid w:val="00AF74DB"/>
    <w:rsid w:val="00AF7599"/>
    <w:rsid w:val="00AF759F"/>
    <w:rsid w:val="00AF7B1E"/>
    <w:rsid w:val="00AF7BEA"/>
    <w:rsid w:val="00AF7D43"/>
    <w:rsid w:val="00AF7D4E"/>
    <w:rsid w:val="00AF7E82"/>
    <w:rsid w:val="00AF7F92"/>
    <w:rsid w:val="00B0062A"/>
    <w:rsid w:val="00B008A4"/>
    <w:rsid w:val="00B008C3"/>
    <w:rsid w:val="00B009AC"/>
    <w:rsid w:val="00B00C39"/>
    <w:rsid w:val="00B00C82"/>
    <w:rsid w:val="00B00E9D"/>
    <w:rsid w:val="00B0104D"/>
    <w:rsid w:val="00B01102"/>
    <w:rsid w:val="00B01217"/>
    <w:rsid w:val="00B01632"/>
    <w:rsid w:val="00B0165D"/>
    <w:rsid w:val="00B017D9"/>
    <w:rsid w:val="00B01AFE"/>
    <w:rsid w:val="00B01E19"/>
    <w:rsid w:val="00B01F2D"/>
    <w:rsid w:val="00B01F4F"/>
    <w:rsid w:val="00B01FA0"/>
    <w:rsid w:val="00B01FFF"/>
    <w:rsid w:val="00B02050"/>
    <w:rsid w:val="00B02167"/>
    <w:rsid w:val="00B021C1"/>
    <w:rsid w:val="00B02262"/>
    <w:rsid w:val="00B02381"/>
    <w:rsid w:val="00B02AE7"/>
    <w:rsid w:val="00B02CBA"/>
    <w:rsid w:val="00B02D78"/>
    <w:rsid w:val="00B02D93"/>
    <w:rsid w:val="00B02EEC"/>
    <w:rsid w:val="00B02FA7"/>
    <w:rsid w:val="00B02FBC"/>
    <w:rsid w:val="00B03071"/>
    <w:rsid w:val="00B030A1"/>
    <w:rsid w:val="00B0337E"/>
    <w:rsid w:val="00B034F9"/>
    <w:rsid w:val="00B03610"/>
    <w:rsid w:val="00B03680"/>
    <w:rsid w:val="00B036D3"/>
    <w:rsid w:val="00B0379E"/>
    <w:rsid w:val="00B03E4A"/>
    <w:rsid w:val="00B040AE"/>
    <w:rsid w:val="00B04359"/>
    <w:rsid w:val="00B044B7"/>
    <w:rsid w:val="00B04584"/>
    <w:rsid w:val="00B04A23"/>
    <w:rsid w:val="00B04D3C"/>
    <w:rsid w:val="00B04DC8"/>
    <w:rsid w:val="00B05094"/>
    <w:rsid w:val="00B052BF"/>
    <w:rsid w:val="00B052ED"/>
    <w:rsid w:val="00B053C4"/>
    <w:rsid w:val="00B0544E"/>
    <w:rsid w:val="00B0546D"/>
    <w:rsid w:val="00B056E8"/>
    <w:rsid w:val="00B056FF"/>
    <w:rsid w:val="00B05909"/>
    <w:rsid w:val="00B05BE6"/>
    <w:rsid w:val="00B05C86"/>
    <w:rsid w:val="00B05CF7"/>
    <w:rsid w:val="00B0614D"/>
    <w:rsid w:val="00B06781"/>
    <w:rsid w:val="00B06A90"/>
    <w:rsid w:val="00B06E8B"/>
    <w:rsid w:val="00B06FFD"/>
    <w:rsid w:val="00B07114"/>
    <w:rsid w:val="00B071DC"/>
    <w:rsid w:val="00B07701"/>
    <w:rsid w:val="00B077FE"/>
    <w:rsid w:val="00B07920"/>
    <w:rsid w:val="00B07AAB"/>
    <w:rsid w:val="00B07C11"/>
    <w:rsid w:val="00B07C34"/>
    <w:rsid w:val="00B07EAE"/>
    <w:rsid w:val="00B102D1"/>
    <w:rsid w:val="00B10581"/>
    <w:rsid w:val="00B10641"/>
    <w:rsid w:val="00B10702"/>
    <w:rsid w:val="00B10A82"/>
    <w:rsid w:val="00B10AA1"/>
    <w:rsid w:val="00B10B2D"/>
    <w:rsid w:val="00B10BC5"/>
    <w:rsid w:val="00B10CEE"/>
    <w:rsid w:val="00B10E79"/>
    <w:rsid w:val="00B10E83"/>
    <w:rsid w:val="00B10E93"/>
    <w:rsid w:val="00B114D9"/>
    <w:rsid w:val="00B1161C"/>
    <w:rsid w:val="00B11927"/>
    <w:rsid w:val="00B11945"/>
    <w:rsid w:val="00B119BC"/>
    <w:rsid w:val="00B11C53"/>
    <w:rsid w:val="00B11C71"/>
    <w:rsid w:val="00B11D3B"/>
    <w:rsid w:val="00B11DC7"/>
    <w:rsid w:val="00B11FC8"/>
    <w:rsid w:val="00B12037"/>
    <w:rsid w:val="00B120FB"/>
    <w:rsid w:val="00B120FF"/>
    <w:rsid w:val="00B1224B"/>
    <w:rsid w:val="00B124FB"/>
    <w:rsid w:val="00B128DC"/>
    <w:rsid w:val="00B129ED"/>
    <w:rsid w:val="00B12A83"/>
    <w:rsid w:val="00B12BD6"/>
    <w:rsid w:val="00B12BE4"/>
    <w:rsid w:val="00B12D18"/>
    <w:rsid w:val="00B12D7B"/>
    <w:rsid w:val="00B13037"/>
    <w:rsid w:val="00B133CF"/>
    <w:rsid w:val="00B13410"/>
    <w:rsid w:val="00B136F3"/>
    <w:rsid w:val="00B13703"/>
    <w:rsid w:val="00B13715"/>
    <w:rsid w:val="00B138BB"/>
    <w:rsid w:val="00B13B07"/>
    <w:rsid w:val="00B13D81"/>
    <w:rsid w:val="00B13DF1"/>
    <w:rsid w:val="00B13E66"/>
    <w:rsid w:val="00B13E7A"/>
    <w:rsid w:val="00B141D6"/>
    <w:rsid w:val="00B14249"/>
    <w:rsid w:val="00B1470D"/>
    <w:rsid w:val="00B14898"/>
    <w:rsid w:val="00B148A8"/>
    <w:rsid w:val="00B14B5F"/>
    <w:rsid w:val="00B14C1B"/>
    <w:rsid w:val="00B14C21"/>
    <w:rsid w:val="00B14D5C"/>
    <w:rsid w:val="00B14F4A"/>
    <w:rsid w:val="00B14FA0"/>
    <w:rsid w:val="00B15312"/>
    <w:rsid w:val="00B157B8"/>
    <w:rsid w:val="00B157F6"/>
    <w:rsid w:val="00B159FF"/>
    <w:rsid w:val="00B15A10"/>
    <w:rsid w:val="00B15BC1"/>
    <w:rsid w:val="00B15DEF"/>
    <w:rsid w:val="00B15F52"/>
    <w:rsid w:val="00B16143"/>
    <w:rsid w:val="00B161C8"/>
    <w:rsid w:val="00B1629B"/>
    <w:rsid w:val="00B162E1"/>
    <w:rsid w:val="00B16417"/>
    <w:rsid w:val="00B16527"/>
    <w:rsid w:val="00B16945"/>
    <w:rsid w:val="00B1694B"/>
    <w:rsid w:val="00B16A3E"/>
    <w:rsid w:val="00B16CF7"/>
    <w:rsid w:val="00B16D2C"/>
    <w:rsid w:val="00B16E12"/>
    <w:rsid w:val="00B17321"/>
    <w:rsid w:val="00B17338"/>
    <w:rsid w:val="00B17450"/>
    <w:rsid w:val="00B1775C"/>
    <w:rsid w:val="00B1776F"/>
    <w:rsid w:val="00B1783F"/>
    <w:rsid w:val="00B17969"/>
    <w:rsid w:val="00B17983"/>
    <w:rsid w:val="00B17C4C"/>
    <w:rsid w:val="00B17E3C"/>
    <w:rsid w:val="00B17E7D"/>
    <w:rsid w:val="00B17F64"/>
    <w:rsid w:val="00B2007D"/>
    <w:rsid w:val="00B20132"/>
    <w:rsid w:val="00B203C0"/>
    <w:rsid w:val="00B204E2"/>
    <w:rsid w:val="00B20764"/>
    <w:rsid w:val="00B207C4"/>
    <w:rsid w:val="00B20818"/>
    <w:rsid w:val="00B20952"/>
    <w:rsid w:val="00B20AE6"/>
    <w:rsid w:val="00B20B2F"/>
    <w:rsid w:val="00B20D8F"/>
    <w:rsid w:val="00B20F3B"/>
    <w:rsid w:val="00B210FE"/>
    <w:rsid w:val="00B211D7"/>
    <w:rsid w:val="00B21222"/>
    <w:rsid w:val="00B214A4"/>
    <w:rsid w:val="00B214AE"/>
    <w:rsid w:val="00B21794"/>
    <w:rsid w:val="00B218DE"/>
    <w:rsid w:val="00B21B59"/>
    <w:rsid w:val="00B21F76"/>
    <w:rsid w:val="00B21F8F"/>
    <w:rsid w:val="00B220BF"/>
    <w:rsid w:val="00B223D7"/>
    <w:rsid w:val="00B22432"/>
    <w:rsid w:val="00B2255B"/>
    <w:rsid w:val="00B2265F"/>
    <w:rsid w:val="00B22890"/>
    <w:rsid w:val="00B228CB"/>
    <w:rsid w:val="00B22CB3"/>
    <w:rsid w:val="00B22FC9"/>
    <w:rsid w:val="00B230D0"/>
    <w:rsid w:val="00B2357A"/>
    <w:rsid w:val="00B235A1"/>
    <w:rsid w:val="00B235EF"/>
    <w:rsid w:val="00B237E2"/>
    <w:rsid w:val="00B2383D"/>
    <w:rsid w:val="00B23B3D"/>
    <w:rsid w:val="00B23B46"/>
    <w:rsid w:val="00B23B87"/>
    <w:rsid w:val="00B23C8C"/>
    <w:rsid w:val="00B23D2D"/>
    <w:rsid w:val="00B23DCF"/>
    <w:rsid w:val="00B23E43"/>
    <w:rsid w:val="00B2400D"/>
    <w:rsid w:val="00B2401B"/>
    <w:rsid w:val="00B24081"/>
    <w:rsid w:val="00B241AC"/>
    <w:rsid w:val="00B2498D"/>
    <w:rsid w:val="00B24A1D"/>
    <w:rsid w:val="00B24B74"/>
    <w:rsid w:val="00B24BA0"/>
    <w:rsid w:val="00B24DA1"/>
    <w:rsid w:val="00B24E73"/>
    <w:rsid w:val="00B2521C"/>
    <w:rsid w:val="00B253FD"/>
    <w:rsid w:val="00B2548B"/>
    <w:rsid w:val="00B255A2"/>
    <w:rsid w:val="00B25604"/>
    <w:rsid w:val="00B25669"/>
    <w:rsid w:val="00B25842"/>
    <w:rsid w:val="00B25B45"/>
    <w:rsid w:val="00B25B8D"/>
    <w:rsid w:val="00B25C2D"/>
    <w:rsid w:val="00B25DC7"/>
    <w:rsid w:val="00B25FC2"/>
    <w:rsid w:val="00B2605C"/>
    <w:rsid w:val="00B260C9"/>
    <w:rsid w:val="00B260EB"/>
    <w:rsid w:val="00B26124"/>
    <w:rsid w:val="00B261B5"/>
    <w:rsid w:val="00B26206"/>
    <w:rsid w:val="00B2635E"/>
    <w:rsid w:val="00B26395"/>
    <w:rsid w:val="00B267E2"/>
    <w:rsid w:val="00B26912"/>
    <w:rsid w:val="00B26C95"/>
    <w:rsid w:val="00B26C9F"/>
    <w:rsid w:val="00B26D27"/>
    <w:rsid w:val="00B26F53"/>
    <w:rsid w:val="00B2724E"/>
    <w:rsid w:val="00B273B5"/>
    <w:rsid w:val="00B27643"/>
    <w:rsid w:val="00B2765F"/>
    <w:rsid w:val="00B277D1"/>
    <w:rsid w:val="00B277DA"/>
    <w:rsid w:val="00B27850"/>
    <w:rsid w:val="00B27DAE"/>
    <w:rsid w:val="00B27DE0"/>
    <w:rsid w:val="00B27E6B"/>
    <w:rsid w:val="00B30369"/>
    <w:rsid w:val="00B303FE"/>
    <w:rsid w:val="00B3046C"/>
    <w:rsid w:val="00B307C5"/>
    <w:rsid w:val="00B30900"/>
    <w:rsid w:val="00B30952"/>
    <w:rsid w:val="00B30990"/>
    <w:rsid w:val="00B30B7D"/>
    <w:rsid w:val="00B30BFF"/>
    <w:rsid w:val="00B30D32"/>
    <w:rsid w:val="00B30FCA"/>
    <w:rsid w:val="00B310BF"/>
    <w:rsid w:val="00B310F2"/>
    <w:rsid w:val="00B3120E"/>
    <w:rsid w:val="00B314BB"/>
    <w:rsid w:val="00B315C3"/>
    <w:rsid w:val="00B31683"/>
    <w:rsid w:val="00B31730"/>
    <w:rsid w:val="00B31826"/>
    <w:rsid w:val="00B3191A"/>
    <w:rsid w:val="00B31AE8"/>
    <w:rsid w:val="00B31D6F"/>
    <w:rsid w:val="00B31DF3"/>
    <w:rsid w:val="00B31E50"/>
    <w:rsid w:val="00B31F29"/>
    <w:rsid w:val="00B3207C"/>
    <w:rsid w:val="00B32085"/>
    <w:rsid w:val="00B32656"/>
    <w:rsid w:val="00B32AC5"/>
    <w:rsid w:val="00B32B5F"/>
    <w:rsid w:val="00B32C8E"/>
    <w:rsid w:val="00B32DA4"/>
    <w:rsid w:val="00B33052"/>
    <w:rsid w:val="00B330FA"/>
    <w:rsid w:val="00B3317B"/>
    <w:rsid w:val="00B332F9"/>
    <w:rsid w:val="00B33351"/>
    <w:rsid w:val="00B333EF"/>
    <w:rsid w:val="00B33477"/>
    <w:rsid w:val="00B334BE"/>
    <w:rsid w:val="00B3387F"/>
    <w:rsid w:val="00B338AD"/>
    <w:rsid w:val="00B33908"/>
    <w:rsid w:val="00B33A10"/>
    <w:rsid w:val="00B33AD2"/>
    <w:rsid w:val="00B33B97"/>
    <w:rsid w:val="00B33FD7"/>
    <w:rsid w:val="00B34016"/>
    <w:rsid w:val="00B3443A"/>
    <w:rsid w:val="00B34552"/>
    <w:rsid w:val="00B34925"/>
    <w:rsid w:val="00B3499E"/>
    <w:rsid w:val="00B34B2F"/>
    <w:rsid w:val="00B34C41"/>
    <w:rsid w:val="00B34C9B"/>
    <w:rsid w:val="00B3526C"/>
    <w:rsid w:val="00B355A9"/>
    <w:rsid w:val="00B3593C"/>
    <w:rsid w:val="00B35A2D"/>
    <w:rsid w:val="00B35C1D"/>
    <w:rsid w:val="00B35D36"/>
    <w:rsid w:val="00B35E58"/>
    <w:rsid w:val="00B35E91"/>
    <w:rsid w:val="00B35EE5"/>
    <w:rsid w:val="00B35F56"/>
    <w:rsid w:val="00B36203"/>
    <w:rsid w:val="00B3637D"/>
    <w:rsid w:val="00B36838"/>
    <w:rsid w:val="00B369BD"/>
    <w:rsid w:val="00B36BD3"/>
    <w:rsid w:val="00B36C09"/>
    <w:rsid w:val="00B36D98"/>
    <w:rsid w:val="00B36DF0"/>
    <w:rsid w:val="00B36E6C"/>
    <w:rsid w:val="00B36FAB"/>
    <w:rsid w:val="00B37473"/>
    <w:rsid w:val="00B37535"/>
    <w:rsid w:val="00B3756F"/>
    <w:rsid w:val="00B37634"/>
    <w:rsid w:val="00B376A1"/>
    <w:rsid w:val="00B37A3C"/>
    <w:rsid w:val="00B37AA6"/>
    <w:rsid w:val="00B37C25"/>
    <w:rsid w:val="00B4003F"/>
    <w:rsid w:val="00B40BF5"/>
    <w:rsid w:val="00B40C2C"/>
    <w:rsid w:val="00B40CA6"/>
    <w:rsid w:val="00B40D5B"/>
    <w:rsid w:val="00B40FB7"/>
    <w:rsid w:val="00B411AF"/>
    <w:rsid w:val="00B4139D"/>
    <w:rsid w:val="00B4199D"/>
    <w:rsid w:val="00B419B2"/>
    <w:rsid w:val="00B41A1A"/>
    <w:rsid w:val="00B41A8C"/>
    <w:rsid w:val="00B41DC9"/>
    <w:rsid w:val="00B4207F"/>
    <w:rsid w:val="00B4223A"/>
    <w:rsid w:val="00B4234E"/>
    <w:rsid w:val="00B42462"/>
    <w:rsid w:val="00B42571"/>
    <w:rsid w:val="00B425E0"/>
    <w:rsid w:val="00B42767"/>
    <w:rsid w:val="00B428DA"/>
    <w:rsid w:val="00B428EC"/>
    <w:rsid w:val="00B42D82"/>
    <w:rsid w:val="00B42D8E"/>
    <w:rsid w:val="00B42E76"/>
    <w:rsid w:val="00B42E88"/>
    <w:rsid w:val="00B42F21"/>
    <w:rsid w:val="00B430BB"/>
    <w:rsid w:val="00B432EB"/>
    <w:rsid w:val="00B43467"/>
    <w:rsid w:val="00B434BB"/>
    <w:rsid w:val="00B439BC"/>
    <w:rsid w:val="00B43ABB"/>
    <w:rsid w:val="00B43D59"/>
    <w:rsid w:val="00B43DB0"/>
    <w:rsid w:val="00B43F33"/>
    <w:rsid w:val="00B440F2"/>
    <w:rsid w:val="00B445AF"/>
    <w:rsid w:val="00B44649"/>
    <w:rsid w:val="00B446AE"/>
    <w:rsid w:val="00B447D1"/>
    <w:rsid w:val="00B44811"/>
    <w:rsid w:val="00B4489D"/>
    <w:rsid w:val="00B448EB"/>
    <w:rsid w:val="00B44C25"/>
    <w:rsid w:val="00B44FC0"/>
    <w:rsid w:val="00B450CF"/>
    <w:rsid w:val="00B45430"/>
    <w:rsid w:val="00B45458"/>
    <w:rsid w:val="00B45860"/>
    <w:rsid w:val="00B45C6E"/>
    <w:rsid w:val="00B45F9A"/>
    <w:rsid w:val="00B461D1"/>
    <w:rsid w:val="00B463CA"/>
    <w:rsid w:val="00B468D5"/>
    <w:rsid w:val="00B46D94"/>
    <w:rsid w:val="00B46E86"/>
    <w:rsid w:val="00B46ED9"/>
    <w:rsid w:val="00B470E4"/>
    <w:rsid w:val="00B471E2"/>
    <w:rsid w:val="00B47264"/>
    <w:rsid w:val="00B4776C"/>
    <w:rsid w:val="00B47889"/>
    <w:rsid w:val="00B47890"/>
    <w:rsid w:val="00B47958"/>
    <w:rsid w:val="00B5003E"/>
    <w:rsid w:val="00B50122"/>
    <w:rsid w:val="00B50244"/>
    <w:rsid w:val="00B502F6"/>
    <w:rsid w:val="00B5033E"/>
    <w:rsid w:val="00B503BE"/>
    <w:rsid w:val="00B505DD"/>
    <w:rsid w:val="00B5060D"/>
    <w:rsid w:val="00B506FA"/>
    <w:rsid w:val="00B507D5"/>
    <w:rsid w:val="00B50878"/>
    <w:rsid w:val="00B50BFD"/>
    <w:rsid w:val="00B50D02"/>
    <w:rsid w:val="00B50D1A"/>
    <w:rsid w:val="00B50FC5"/>
    <w:rsid w:val="00B51177"/>
    <w:rsid w:val="00B5120A"/>
    <w:rsid w:val="00B5120D"/>
    <w:rsid w:val="00B51401"/>
    <w:rsid w:val="00B51585"/>
    <w:rsid w:val="00B515B9"/>
    <w:rsid w:val="00B515C3"/>
    <w:rsid w:val="00B5196F"/>
    <w:rsid w:val="00B51BAF"/>
    <w:rsid w:val="00B51DD4"/>
    <w:rsid w:val="00B51E0C"/>
    <w:rsid w:val="00B51E98"/>
    <w:rsid w:val="00B51EC2"/>
    <w:rsid w:val="00B51EE5"/>
    <w:rsid w:val="00B52024"/>
    <w:rsid w:val="00B520D0"/>
    <w:rsid w:val="00B5225A"/>
    <w:rsid w:val="00B52414"/>
    <w:rsid w:val="00B5264A"/>
    <w:rsid w:val="00B52804"/>
    <w:rsid w:val="00B52A06"/>
    <w:rsid w:val="00B52A38"/>
    <w:rsid w:val="00B52A84"/>
    <w:rsid w:val="00B52B18"/>
    <w:rsid w:val="00B52C86"/>
    <w:rsid w:val="00B538DA"/>
    <w:rsid w:val="00B53C7E"/>
    <w:rsid w:val="00B53CB0"/>
    <w:rsid w:val="00B53EC4"/>
    <w:rsid w:val="00B54054"/>
    <w:rsid w:val="00B54189"/>
    <w:rsid w:val="00B5419E"/>
    <w:rsid w:val="00B541EB"/>
    <w:rsid w:val="00B54681"/>
    <w:rsid w:val="00B5489F"/>
    <w:rsid w:val="00B54AF5"/>
    <w:rsid w:val="00B54B8C"/>
    <w:rsid w:val="00B54CA9"/>
    <w:rsid w:val="00B54DBF"/>
    <w:rsid w:val="00B54EC9"/>
    <w:rsid w:val="00B54EFC"/>
    <w:rsid w:val="00B54FFB"/>
    <w:rsid w:val="00B550A7"/>
    <w:rsid w:val="00B55159"/>
    <w:rsid w:val="00B553F2"/>
    <w:rsid w:val="00B55423"/>
    <w:rsid w:val="00B5554D"/>
    <w:rsid w:val="00B55642"/>
    <w:rsid w:val="00B5568F"/>
    <w:rsid w:val="00B55712"/>
    <w:rsid w:val="00B55B51"/>
    <w:rsid w:val="00B55B58"/>
    <w:rsid w:val="00B55B73"/>
    <w:rsid w:val="00B55BA8"/>
    <w:rsid w:val="00B55D80"/>
    <w:rsid w:val="00B55D9F"/>
    <w:rsid w:val="00B55DE3"/>
    <w:rsid w:val="00B55EE2"/>
    <w:rsid w:val="00B5645F"/>
    <w:rsid w:val="00B56813"/>
    <w:rsid w:val="00B568CF"/>
    <w:rsid w:val="00B56931"/>
    <w:rsid w:val="00B569DE"/>
    <w:rsid w:val="00B56E48"/>
    <w:rsid w:val="00B56FB1"/>
    <w:rsid w:val="00B57137"/>
    <w:rsid w:val="00B57263"/>
    <w:rsid w:val="00B574A8"/>
    <w:rsid w:val="00B575C7"/>
    <w:rsid w:val="00B577C3"/>
    <w:rsid w:val="00B577F8"/>
    <w:rsid w:val="00B57858"/>
    <w:rsid w:val="00B57878"/>
    <w:rsid w:val="00B579C7"/>
    <w:rsid w:val="00B57DB0"/>
    <w:rsid w:val="00B57F1F"/>
    <w:rsid w:val="00B601F9"/>
    <w:rsid w:val="00B60527"/>
    <w:rsid w:val="00B6075E"/>
    <w:rsid w:val="00B60A1B"/>
    <w:rsid w:val="00B60AFC"/>
    <w:rsid w:val="00B60C8A"/>
    <w:rsid w:val="00B6111A"/>
    <w:rsid w:val="00B6146B"/>
    <w:rsid w:val="00B615C4"/>
    <w:rsid w:val="00B616BD"/>
    <w:rsid w:val="00B617D9"/>
    <w:rsid w:val="00B61817"/>
    <w:rsid w:val="00B61D13"/>
    <w:rsid w:val="00B6215C"/>
    <w:rsid w:val="00B62767"/>
    <w:rsid w:val="00B62A58"/>
    <w:rsid w:val="00B62D09"/>
    <w:rsid w:val="00B62D4D"/>
    <w:rsid w:val="00B62DA0"/>
    <w:rsid w:val="00B62DF8"/>
    <w:rsid w:val="00B62DFC"/>
    <w:rsid w:val="00B62E55"/>
    <w:rsid w:val="00B62F69"/>
    <w:rsid w:val="00B63106"/>
    <w:rsid w:val="00B6359B"/>
    <w:rsid w:val="00B63603"/>
    <w:rsid w:val="00B6360F"/>
    <w:rsid w:val="00B636B4"/>
    <w:rsid w:val="00B6383D"/>
    <w:rsid w:val="00B63868"/>
    <w:rsid w:val="00B639EE"/>
    <w:rsid w:val="00B63CC1"/>
    <w:rsid w:val="00B63D34"/>
    <w:rsid w:val="00B63EFD"/>
    <w:rsid w:val="00B64719"/>
    <w:rsid w:val="00B64744"/>
    <w:rsid w:val="00B64A32"/>
    <w:rsid w:val="00B64BBD"/>
    <w:rsid w:val="00B64D2E"/>
    <w:rsid w:val="00B64D68"/>
    <w:rsid w:val="00B6504D"/>
    <w:rsid w:val="00B650D9"/>
    <w:rsid w:val="00B651B0"/>
    <w:rsid w:val="00B65210"/>
    <w:rsid w:val="00B65E7C"/>
    <w:rsid w:val="00B66017"/>
    <w:rsid w:val="00B660EC"/>
    <w:rsid w:val="00B66148"/>
    <w:rsid w:val="00B662EA"/>
    <w:rsid w:val="00B668CF"/>
    <w:rsid w:val="00B66DA0"/>
    <w:rsid w:val="00B66DFC"/>
    <w:rsid w:val="00B6764D"/>
    <w:rsid w:val="00B67FCD"/>
    <w:rsid w:val="00B7029A"/>
    <w:rsid w:val="00B704AC"/>
    <w:rsid w:val="00B705A7"/>
    <w:rsid w:val="00B706D4"/>
    <w:rsid w:val="00B707F5"/>
    <w:rsid w:val="00B70899"/>
    <w:rsid w:val="00B7089F"/>
    <w:rsid w:val="00B70979"/>
    <w:rsid w:val="00B70A38"/>
    <w:rsid w:val="00B70C98"/>
    <w:rsid w:val="00B70F44"/>
    <w:rsid w:val="00B7125A"/>
    <w:rsid w:val="00B71674"/>
    <w:rsid w:val="00B71781"/>
    <w:rsid w:val="00B71A00"/>
    <w:rsid w:val="00B71D68"/>
    <w:rsid w:val="00B71F29"/>
    <w:rsid w:val="00B72516"/>
    <w:rsid w:val="00B725D2"/>
    <w:rsid w:val="00B727CA"/>
    <w:rsid w:val="00B729C8"/>
    <w:rsid w:val="00B72A29"/>
    <w:rsid w:val="00B72B4D"/>
    <w:rsid w:val="00B72B6C"/>
    <w:rsid w:val="00B72B9E"/>
    <w:rsid w:val="00B7309E"/>
    <w:rsid w:val="00B730B7"/>
    <w:rsid w:val="00B7312D"/>
    <w:rsid w:val="00B7313D"/>
    <w:rsid w:val="00B73144"/>
    <w:rsid w:val="00B732D9"/>
    <w:rsid w:val="00B732FF"/>
    <w:rsid w:val="00B737A9"/>
    <w:rsid w:val="00B737C8"/>
    <w:rsid w:val="00B7391D"/>
    <w:rsid w:val="00B739DF"/>
    <w:rsid w:val="00B73B99"/>
    <w:rsid w:val="00B73C78"/>
    <w:rsid w:val="00B742D5"/>
    <w:rsid w:val="00B74391"/>
    <w:rsid w:val="00B74394"/>
    <w:rsid w:val="00B74674"/>
    <w:rsid w:val="00B747E2"/>
    <w:rsid w:val="00B74957"/>
    <w:rsid w:val="00B749BA"/>
    <w:rsid w:val="00B749E5"/>
    <w:rsid w:val="00B74A57"/>
    <w:rsid w:val="00B74C31"/>
    <w:rsid w:val="00B74D17"/>
    <w:rsid w:val="00B74E4A"/>
    <w:rsid w:val="00B74EB2"/>
    <w:rsid w:val="00B75554"/>
    <w:rsid w:val="00B7556C"/>
    <w:rsid w:val="00B75B18"/>
    <w:rsid w:val="00B75B7D"/>
    <w:rsid w:val="00B75F40"/>
    <w:rsid w:val="00B760D6"/>
    <w:rsid w:val="00B76250"/>
    <w:rsid w:val="00B76253"/>
    <w:rsid w:val="00B764F1"/>
    <w:rsid w:val="00B765A5"/>
    <w:rsid w:val="00B768EB"/>
    <w:rsid w:val="00B76A7A"/>
    <w:rsid w:val="00B76B29"/>
    <w:rsid w:val="00B76B4D"/>
    <w:rsid w:val="00B76FAE"/>
    <w:rsid w:val="00B777B4"/>
    <w:rsid w:val="00B779CE"/>
    <w:rsid w:val="00B77A5C"/>
    <w:rsid w:val="00B77F8E"/>
    <w:rsid w:val="00B801A5"/>
    <w:rsid w:val="00B803E9"/>
    <w:rsid w:val="00B80546"/>
    <w:rsid w:val="00B807DA"/>
    <w:rsid w:val="00B80B71"/>
    <w:rsid w:val="00B80B98"/>
    <w:rsid w:val="00B80C3B"/>
    <w:rsid w:val="00B80CF1"/>
    <w:rsid w:val="00B80E67"/>
    <w:rsid w:val="00B81229"/>
    <w:rsid w:val="00B8122F"/>
    <w:rsid w:val="00B814ED"/>
    <w:rsid w:val="00B815EF"/>
    <w:rsid w:val="00B816A1"/>
    <w:rsid w:val="00B8183E"/>
    <w:rsid w:val="00B81917"/>
    <w:rsid w:val="00B819B8"/>
    <w:rsid w:val="00B81AAD"/>
    <w:rsid w:val="00B81F76"/>
    <w:rsid w:val="00B82085"/>
    <w:rsid w:val="00B8219D"/>
    <w:rsid w:val="00B82285"/>
    <w:rsid w:val="00B82689"/>
    <w:rsid w:val="00B82817"/>
    <w:rsid w:val="00B82925"/>
    <w:rsid w:val="00B829DC"/>
    <w:rsid w:val="00B82A95"/>
    <w:rsid w:val="00B82BA4"/>
    <w:rsid w:val="00B82FB4"/>
    <w:rsid w:val="00B8345F"/>
    <w:rsid w:val="00B83600"/>
    <w:rsid w:val="00B8379C"/>
    <w:rsid w:val="00B838F4"/>
    <w:rsid w:val="00B8396C"/>
    <w:rsid w:val="00B8396F"/>
    <w:rsid w:val="00B83ADD"/>
    <w:rsid w:val="00B83DE6"/>
    <w:rsid w:val="00B83EB7"/>
    <w:rsid w:val="00B83FB1"/>
    <w:rsid w:val="00B8407C"/>
    <w:rsid w:val="00B84123"/>
    <w:rsid w:val="00B843DA"/>
    <w:rsid w:val="00B84573"/>
    <w:rsid w:val="00B84697"/>
    <w:rsid w:val="00B846F2"/>
    <w:rsid w:val="00B849FD"/>
    <w:rsid w:val="00B84AE1"/>
    <w:rsid w:val="00B84E85"/>
    <w:rsid w:val="00B84FC6"/>
    <w:rsid w:val="00B85035"/>
    <w:rsid w:val="00B853CB"/>
    <w:rsid w:val="00B85662"/>
    <w:rsid w:val="00B85777"/>
    <w:rsid w:val="00B859C7"/>
    <w:rsid w:val="00B85C16"/>
    <w:rsid w:val="00B85EC4"/>
    <w:rsid w:val="00B862FB"/>
    <w:rsid w:val="00B863A7"/>
    <w:rsid w:val="00B8647F"/>
    <w:rsid w:val="00B864D8"/>
    <w:rsid w:val="00B8669B"/>
    <w:rsid w:val="00B8673A"/>
    <w:rsid w:val="00B869AE"/>
    <w:rsid w:val="00B86AD8"/>
    <w:rsid w:val="00B86D16"/>
    <w:rsid w:val="00B86DFC"/>
    <w:rsid w:val="00B86F8F"/>
    <w:rsid w:val="00B8718F"/>
    <w:rsid w:val="00B87310"/>
    <w:rsid w:val="00B8758F"/>
    <w:rsid w:val="00B875AE"/>
    <w:rsid w:val="00B8767C"/>
    <w:rsid w:val="00B879D8"/>
    <w:rsid w:val="00B87B72"/>
    <w:rsid w:val="00B87CE0"/>
    <w:rsid w:val="00B87E15"/>
    <w:rsid w:val="00B87F09"/>
    <w:rsid w:val="00B87F88"/>
    <w:rsid w:val="00B87FE0"/>
    <w:rsid w:val="00B90060"/>
    <w:rsid w:val="00B90275"/>
    <w:rsid w:val="00B902C5"/>
    <w:rsid w:val="00B9043A"/>
    <w:rsid w:val="00B90451"/>
    <w:rsid w:val="00B904BB"/>
    <w:rsid w:val="00B9057F"/>
    <w:rsid w:val="00B9067E"/>
    <w:rsid w:val="00B90994"/>
    <w:rsid w:val="00B90B44"/>
    <w:rsid w:val="00B90CBA"/>
    <w:rsid w:val="00B90CC1"/>
    <w:rsid w:val="00B90E55"/>
    <w:rsid w:val="00B90F35"/>
    <w:rsid w:val="00B9102F"/>
    <w:rsid w:val="00B913B4"/>
    <w:rsid w:val="00B913BF"/>
    <w:rsid w:val="00B914C1"/>
    <w:rsid w:val="00B91C4B"/>
    <w:rsid w:val="00B91CE1"/>
    <w:rsid w:val="00B91F12"/>
    <w:rsid w:val="00B92019"/>
    <w:rsid w:val="00B92166"/>
    <w:rsid w:val="00B92276"/>
    <w:rsid w:val="00B9227C"/>
    <w:rsid w:val="00B92412"/>
    <w:rsid w:val="00B9276F"/>
    <w:rsid w:val="00B92811"/>
    <w:rsid w:val="00B92856"/>
    <w:rsid w:val="00B929D8"/>
    <w:rsid w:val="00B92B08"/>
    <w:rsid w:val="00B930BD"/>
    <w:rsid w:val="00B93224"/>
    <w:rsid w:val="00B93633"/>
    <w:rsid w:val="00B9364F"/>
    <w:rsid w:val="00B93969"/>
    <w:rsid w:val="00B93B08"/>
    <w:rsid w:val="00B93D14"/>
    <w:rsid w:val="00B93D25"/>
    <w:rsid w:val="00B93DBC"/>
    <w:rsid w:val="00B93EBC"/>
    <w:rsid w:val="00B93F6D"/>
    <w:rsid w:val="00B9408C"/>
    <w:rsid w:val="00B94107"/>
    <w:rsid w:val="00B94408"/>
    <w:rsid w:val="00B9445A"/>
    <w:rsid w:val="00B9463B"/>
    <w:rsid w:val="00B94822"/>
    <w:rsid w:val="00B94B3F"/>
    <w:rsid w:val="00B94C81"/>
    <w:rsid w:val="00B94D4C"/>
    <w:rsid w:val="00B9525F"/>
    <w:rsid w:val="00B95570"/>
    <w:rsid w:val="00B9576A"/>
    <w:rsid w:val="00B95803"/>
    <w:rsid w:val="00B958E0"/>
    <w:rsid w:val="00B95A4F"/>
    <w:rsid w:val="00B95A9E"/>
    <w:rsid w:val="00B95ACB"/>
    <w:rsid w:val="00B95B5A"/>
    <w:rsid w:val="00B95B65"/>
    <w:rsid w:val="00B95BDB"/>
    <w:rsid w:val="00B95E66"/>
    <w:rsid w:val="00B95EA7"/>
    <w:rsid w:val="00B960C8"/>
    <w:rsid w:val="00B96289"/>
    <w:rsid w:val="00B96760"/>
    <w:rsid w:val="00B9688C"/>
    <w:rsid w:val="00B96892"/>
    <w:rsid w:val="00B968E8"/>
    <w:rsid w:val="00B96D2B"/>
    <w:rsid w:val="00B96F33"/>
    <w:rsid w:val="00B96F3B"/>
    <w:rsid w:val="00B9720D"/>
    <w:rsid w:val="00B973D7"/>
    <w:rsid w:val="00B9754E"/>
    <w:rsid w:val="00B975DB"/>
    <w:rsid w:val="00B9771D"/>
    <w:rsid w:val="00B97A50"/>
    <w:rsid w:val="00B97A7A"/>
    <w:rsid w:val="00BA0034"/>
    <w:rsid w:val="00BA00AD"/>
    <w:rsid w:val="00BA023E"/>
    <w:rsid w:val="00BA03E0"/>
    <w:rsid w:val="00BA06AF"/>
    <w:rsid w:val="00BA08D7"/>
    <w:rsid w:val="00BA09AE"/>
    <w:rsid w:val="00BA09B9"/>
    <w:rsid w:val="00BA0AF8"/>
    <w:rsid w:val="00BA0D1F"/>
    <w:rsid w:val="00BA0E75"/>
    <w:rsid w:val="00BA114C"/>
    <w:rsid w:val="00BA116F"/>
    <w:rsid w:val="00BA12A0"/>
    <w:rsid w:val="00BA12DA"/>
    <w:rsid w:val="00BA13DC"/>
    <w:rsid w:val="00BA141D"/>
    <w:rsid w:val="00BA1584"/>
    <w:rsid w:val="00BA188E"/>
    <w:rsid w:val="00BA1906"/>
    <w:rsid w:val="00BA1912"/>
    <w:rsid w:val="00BA1C5F"/>
    <w:rsid w:val="00BA1C61"/>
    <w:rsid w:val="00BA1CC5"/>
    <w:rsid w:val="00BA20AF"/>
    <w:rsid w:val="00BA224E"/>
    <w:rsid w:val="00BA2440"/>
    <w:rsid w:val="00BA2477"/>
    <w:rsid w:val="00BA29BB"/>
    <w:rsid w:val="00BA29F8"/>
    <w:rsid w:val="00BA2C68"/>
    <w:rsid w:val="00BA2F0E"/>
    <w:rsid w:val="00BA2F77"/>
    <w:rsid w:val="00BA3021"/>
    <w:rsid w:val="00BA3053"/>
    <w:rsid w:val="00BA309A"/>
    <w:rsid w:val="00BA311A"/>
    <w:rsid w:val="00BA31E4"/>
    <w:rsid w:val="00BA3339"/>
    <w:rsid w:val="00BA33ED"/>
    <w:rsid w:val="00BA3551"/>
    <w:rsid w:val="00BA36BF"/>
    <w:rsid w:val="00BA3A39"/>
    <w:rsid w:val="00BA3AD5"/>
    <w:rsid w:val="00BA3C44"/>
    <w:rsid w:val="00BA3E34"/>
    <w:rsid w:val="00BA3F93"/>
    <w:rsid w:val="00BA433B"/>
    <w:rsid w:val="00BA435D"/>
    <w:rsid w:val="00BA4539"/>
    <w:rsid w:val="00BA4907"/>
    <w:rsid w:val="00BA4915"/>
    <w:rsid w:val="00BA4A3C"/>
    <w:rsid w:val="00BA4AB7"/>
    <w:rsid w:val="00BA4D72"/>
    <w:rsid w:val="00BA4E2C"/>
    <w:rsid w:val="00BA51EC"/>
    <w:rsid w:val="00BA5239"/>
    <w:rsid w:val="00BA53DE"/>
    <w:rsid w:val="00BA53FD"/>
    <w:rsid w:val="00BA5659"/>
    <w:rsid w:val="00BA5691"/>
    <w:rsid w:val="00BA593F"/>
    <w:rsid w:val="00BA5D96"/>
    <w:rsid w:val="00BA5F33"/>
    <w:rsid w:val="00BA5F7D"/>
    <w:rsid w:val="00BA5FFA"/>
    <w:rsid w:val="00BA623E"/>
    <w:rsid w:val="00BA6354"/>
    <w:rsid w:val="00BA64F3"/>
    <w:rsid w:val="00BA662D"/>
    <w:rsid w:val="00BA6633"/>
    <w:rsid w:val="00BA66AC"/>
    <w:rsid w:val="00BA6B3A"/>
    <w:rsid w:val="00BA6B75"/>
    <w:rsid w:val="00BA6C6B"/>
    <w:rsid w:val="00BA6D8D"/>
    <w:rsid w:val="00BA6D9D"/>
    <w:rsid w:val="00BA7366"/>
    <w:rsid w:val="00BA73D7"/>
    <w:rsid w:val="00BA744F"/>
    <w:rsid w:val="00BA761A"/>
    <w:rsid w:val="00BA7772"/>
    <w:rsid w:val="00BA77D5"/>
    <w:rsid w:val="00BA7AAC"/>
    <w:rsid w:val="00BA7C13"/>
    <w:rsid w:val="00BA7CB4"/>
    <w:rsid w:val="00BA7D93"/>
    <w:rsid w:val="00BB0255"/>
    <w:rsid w:val="00BB03E2"/>
    <w:rsid w:val="00BB05EA"/>
    <w:rsid w:val="00BB063B"/>
    <w:rsid w:val="00BB0A59"/>
    <w:rsid w:val="00BB0B2A"/>
    <w:rsid w:val="00BB0B5B"/>
    <w:rsid w:val="00BB0FAD"/>
    <w:rsid w:val="00BB1048"/>
    <w:rsid w:val="00BB10F7"/>
    <w:rsid w:val="00BB111D"/>
    <w:rsid w:val="00BB1289"/>
    <w:rsid w:val="00BB12EB"/>
    <w:rsid w:val="00BB15E1"/>
    <w:rsid w:val="00BB167E"/>
    <w:rsid w:val="00BB1875"/>
    <w:rsid w:val="00BB197D"/>
    <w:rsid w:val="00BB1A5F"/>
    <w:rsid w:val="00BB1BF4"/>
    <w:rsid w:val="00BB1F5A"/>
    <w:rsid w:val="00BB1F74"/>
    <w:rsid w:val="00BB1FFB"/>
    <w:rsid w:val="00BB216F"/>
    <w:rsid w:val="00BB21E7"/>
    <w:rsid w:val="00BB2212"/>
    <w:rsid w:val="00BB2249"/>
    <w:rsid w:val="00BB2346"/>
    <w:rsid w:val="00BB2562"/>
    <w:rsid w:val="00BB2640"/>
    <w:rsid w:val="00BB2836"/>
    <w:rsid w:val="00BB2A00"/>
    <w:rsid w:val="00BB2A0E"/>
    <w:rsid w:val="00BB2E5D"/>
    <w:rsid w:val="00BB2F53"/>
    <w:rsid w:val="00BB3034"/>
    <w:rsid w:val="00BB305F"/>
    <w:rsid w:val="00BB310D"/>
    <w:rsid w:val="00BB3222"/>
    <w:rsid w:val="00BB3736"/>
    <w:rsid w:val="00BB3B02"/>
    <w:rsid w:val="00BB3CFE"/>
    <w:rsid w:val="00BB3DE6"/>
    <w:rsid w:val="00BB3F15"/>
    <w:rsid w:val="00BB40A6"/>
    <w:rsid w:val="00BB4159"/>
    <w:rsid w:val="00BB427E"/>
    <w:rsid w:val="00BB4301"/>
    <w:rsid w:val="00BB4943"/>
    <w:rsid w:val="00BB4A06"/>
    <w:rsid w:val="00BB4A5C"/>
    <w:rsid w:val="00BB4EBE"/>
    <w:rsid w:val="00BB504D"/>
    <w:rsid w:val="00BB504F"/>
    <w:rsid w:val="00BB50EF"/>
    <w:rsid w:val="00BB5138"/>
    <w:rsid w:val="00BB51E2"/>
    <w:rsid w:val="00BB53FC"/>
    <w:rsid w:val="00BB54B5"/>
    <w:rsid w:val="00BB5550"/>
    <w:rsid w:val="00BB59A6"/>
    <w:rsid w:val="00BB5A1D"/>
    <w:rsid w:val="00BB5A36"/>
    <w:rsid w:val="00BB5ED2"/>
    <w:rsid w:val="00BB6049"/>
    <w:rsid w:val="00BB6053"/>
    <w:rsid w:val="00BB6098"/>
    <w:rsid w:val="00BB6161"/>
    <w:rsid w:val="00BB62BE"/>
    <w:rsid w:val="00BB6BE5"/>
    <w:rsid w:val="00BB6C1D"/>
    <w:rsid w:val="00BB6CBA"/>
    <w:rsid w:val="00BB6F00"/>
    <w:rsid w:val="00BB70A3"/>
    <w:rsid w:val="00BB72BC"/>
    <w:rsid w:val="00BB7537"/>
    <w:rsid w:val="00BB75EF"/>
    <w:rsid w:val="00BB7A02"/>
    <w:rsid w:val="00BB7BD7"/>
    <w:rsid w:val="00BB7F37"/>
    <w:rsid w:val="00BC0164"/>
    <w:rsid w:val="00BC0252"/>
    <w:rsid w:val="00BC0265"/>
    <w:rsid w:val="00BC0316"/>
    <w:rsid w:val="00BC0595"/>
    <w:rsid w:val="00BC0825"/>
    <w:rsid w:val="00BC08BC"/>
    <w:rsid w:val="00BC0AB5"/>
    <w:rsid w:val="00BC0B09"/>
    <w:rsid w:val="00BC11A7"/>
    <w:rsid w:val="00BC11D1"/>
    <w:rsid w:val="00BC11F7"/>
    <w:rsid w:val="00BC124F"/>
    <w:rsid w:val="00BC1299"/>
    <w:rsid w:val="00BC1A21"/>
    <w:rsid w:val="00BC1A70"/>
    <w:rsid w:val="00BC1CA9"/>
    <w:rsid w:val="00BC1D34"/>
    <w:rsid w:val="00BC1D37"/>
    <w:rsid w:val="00BC1ED4"/>
    <w:rsid w:val="00BC2442"/>
    <w:rsid w:val="00BC2664"/>
    <w:rsid w:val="00BC294A"/>
    <w:rsid w:val="00BC2A1A"/>
    <w:rsid w:val="00BC2D7B"/>
    <w:rsid w:val="00BC30AF"/>
    <w:rsid w:val="00BC3158"/>
    <w:rsid w:val="00BC32B4"/>
    <w:rsid w:val="00BC3435"/>
    <w:rsid w:val="00BC352B"/>
    <w:rsid w:val="00BC3653"/>
    <w:rsid w:val="00BC37DA"/>
    <w:rsid w:val="00BC39AC"/>
    <w:rsid w:val="00BC3B71"/>
    <w:rsid w:val="00BC3C5E"/>
    <w:rsid w:val="00BC3D1C"/>
    <w:rsid w:val="00BC3DAA"/>
    <w:rsid w:val="00BC3F22"/>
    <w:rsid w:val="00BC3FC9"/>
    <w:rsid w:val="00BC41FE"/>
    <w:rsid w:val="00BC4265"/>
    <w:rsid w:val="00BC43F2"/>
    <w:rsid w:val="00BC448D"/>
    <w:rsid w:val="00BC44DE"/>
    <w:rsid w:val="00BC48C2"/>
    <w:rsid w:val="00BC4989"/>
    <w:rsid w:val="00BC4C8E"/>
    <w:rsid w:val="00BC5086"/>
    <w:rsid w:val="00BC5567"/>
    <w:rsid w:val="00BC5893"/>
    <w:rsid w:val="00BC597C"/>
    <w:rsid w:val="00BC5A45"/>
    <w:rsid w:val="00BC5AD3"/>
    <w:rsid w:val="00BC5B58"/>
    <w:rsid w:val="00BC5C94"/>
    <w:rsid w:val="00BC5D18"/>
    <w:rsid w:val="00BC5DB0"/>
    <w:rsid w:val="00BC6071"/>
    <w:rsid w:val="00BC61C4"/>
    <w:rsid w:val="00BC61C5"/>
    <w:rsid w:val="00BC628A"/>
    <w:rsid w:val="00BC63DE"/>
    <w:rsid w:val="00BC646D"/>
    <w:rsid w:val="00BC6541"/>
    <w:rsid w:val="00BC6572"/>
    <w:rsid w:val="00BC6664"/>
    <w:rsid w:val="00BC669C"/>
    <w:rsid w:val="00BC6755"/>
    <w:rsid w:val="00BC677F"/>
    <w:rsid w:val="00BC683B"/>
    <w:rsid w:val="00BC6887"/>
    <w:rsid w:val="00BC6C52"/>
    <w:rsid w:val="00BC6C61"/>
    <w:rsid w:val="00BC6FCB"/>
    <w:rsid w:val="00BC6FE8"/>
    <w:rsid w:val="00BC70A4"/>
    <w:rsid w:val="00BC743A"/>
    <w:rsid w:val="00BC75F3"/>
    <w:rsid w:val="00BC767D"/>
    <w:rsid w:val="00BC77AA"/>
    <w:rsid w:val="00BC780E"/>
    <w:rsid w:val="00BC7850"/>
    <w:rsid w:val="00BC79C5"/>
    <w:rsid w:val="00BC7B51"/>
    <w:rsid w:val="00BC7BE1"/>
    <w:rsid w:val="00BC7FE5"/>
    <w:rsid w:val="00BD0254"/>
    <w:rsid w:val="00BD0282"/>
    <w:rsid w:val="00BD081B"/>
    <w:rsid w:val="00BD0857"/>
    <w:rsid w:val="00BD0931"/>
    <w:rsid w:val="00BD0A6F"/>
    <w:rsid w:val="00BD0AA6"/>
    <w:rsid w:val="00BD0AD4"/>
    <w:rsid w:val="00BD0CBC"/>
    <w:rsid w:val="00BD0FCA"/>
    <w:rsid w:val="00BD1309"/>
    <w:rsid w:val="00BD13DA"/>
    <w:rsid w:val="00BD13E0"/>
    <w:rsid w:val="00BD1D32"/>
    <w:rsid w:val="00BD1E04"/>
    <w:rsid w:val="00BD1E97"/>
    <w:rsid w:val="00BD1EE6"/>
    <w:rsid w:val="00BD1F06"/>
    <w:rsid w:val="00BD1F2A"/>
    <w:rsid w:val="00BD1F2D"/>
    <w:rsid w:val="00BD1FC6"/>
    <w:rsid w:val="00BD2015"/>
    <w:rsid w:val="00BD2051"/>
    <w:rsid w:val="00BD213B"/>
    <w:rsid w:val="00BD2193"/>
    <w:rsid w:val="00BD2382"/>
    <w:rsid w:val="00BD247B"/>
    <w:rsid w:val="00BD277C"/>
    <w:rsid w:val="00BD2A27"/>
    <w:rsid w:val="00BD2DAC"/>
    <w:rsid w:val="00BD31A2"/>
    <w:rsid w:val="00BD325A"/>
    <w:rsid w:val="00BD3294"/>
    <w:rsid w:val="00BD332C"/>
    <w:rsid w:val="00BD351D"/>
    <w:rsid w:val="00BD35FF"/>
    <w:rsid w:val="00BD37D1"/>
    <w:rsid w:val="00BD3898"/>
    <w:rsid w:val="00BD38C0"/>
    <w:rsid w:val="00BD3AAC"/>
    <w:rsid w:val="00BD3D08"/>
    <w:rsid w:val="00BD40A1"/>
    <w:rsid w:val="00BD417B"/>
    <w:rsid w:val="00BD4239"/>
    <w:rsid w:val="00BD4246"/>
    <w:rsid w:val="00BD42EE"/>
    <w:rsid w:val="00BD4336"/>
    <w:rsid w:val="00BD442E"/>
    <w:rsid w:val="00BD4482"/>
    <w:rsid w:val="00BD45CB"/>
    <w:rsid w:val="00BD4766"/>
    <w:rsid w:val="00BD4980"/>
    <w:rsid w:val="00BD4A1D"/>
    <w:rsid w:val="00BD4ADE"/>
    <w:rsid w:val="00BD4E24"/>
    <w:rsid w:val="00BD4F60"/>
    <w:rsid w:val="00BD4F6D"/>
    <w:rsid w:val="00BD5066"/>
    <w:rsid w:val="00BD50CC"/>
    <w:rsid w:val="00BD5180"/>
    <w:rsid w:val="00BD537A"/>
    <w:rsid w:val="00BD53E6"/>
    <w:rsid w:val="00BD5438"/>
    <w:rsid w:val="00BD5443"/>
    <w:rsid w:val="00BD5895"/>
    <w:rsid w:val="00BD5B23"/>
    <w:rsid w:val="00BD5ECD"/>
    <w:rsid w:val="00BD6336"/>
    <w:rsid w:val="00BD6584"/>
    <w:rsid w:val="00BD675C"/>
    <w:rsid w:val="00BD6822"/>
    <w:rsid w:val="00BD6B23"/>
    <w:rsid w:val="00BD6B4E"/>
    <w:rsid w:val="00BD6D0D"/>
    <w:rsid w:val="00BD6DDA"/>
    <w:rsid w:val="00BD6E81"/>
    <w:rsid w:val="00BD6EA9"/>
    <w:rsid w:val="00BD6F59"/>
    <w:rsid w:val="00BD6F8F"/>
    <w:rsid w:val="00BD7327"/>
    <w:rsid w:val="00BD74DF"/>
    <w:rsid w:val="00BD7593"/>
    <w:rsid w:val="00BD763A"/>
    <w:rsid w:val="00BD767A"/>
    <w:rsid w:val="00BD7707"/>
    <w:rsid w:val="00BD7836"/>
    <w:rsid w:val="00BD7CDD"/>
    <w:rsid w:val="00BD7E8F"/>
    <w:rsid w:val="00BE0160"/>
    <w:rsid w:val="00BE03CD"/>
    <w:rsid w:val="00BE045B"/>
    <w:rsid w:val="00BE0474"/>
    <w:rsid w:val="00BE04BD"/>
    <w:rsid w:val="00BE04C0"/>
    <w:rsid w:val="00BE05A6"/>
    <w:rsid w:val="00BE06CC"/>
    <w:rsid w:val="00BE0ACF"/>
    <w:rsid w:val="00BE0BCF"/>
    <w:rsid w:val="00BE10AE"/>
    <w:rsid w:val="00BE13FB"/>
    <w:rsid w:val="00BE148B"/>
    <w:rsid w:val="00BE1584"/>
    <w:rsid w:val="00BE1722"/>
    <w:rsid w:val="00BE17E5"/>
    <w:rsid w:val="00BE1959"/>
    <w:rsid w:val="00BE1AB0"/>
    <w:rsid w:val="00BE1B29"/>
    <w:rsid w:val="00BE1B96"/>
    <w:rsid w:val="00BE1FA8"/>
    <w:rsid w:val="00BE208D"/>
    <w:rsid w:val="00BE2295"/>
    <w:rsid w:val="00BE255F"/>
    <w:rsid w:val="00BE259B"/>
    <w:rsid w:val="00BE269E"/>
    <w:rsid w:val="00BE28A0"/>
    <w:rsid w:val="00BE293D"/>
    <w:rsid w:val="00BE2976"/>
    <w:rsid w:val="00BE2A0E"/>
    <w:rsid w:val="00BE2B76"/>
    <w:rsid w:val="00BE2CC2"/>
    <w:rsid w:val="00BE2D5F"/>
    <w:rsid w:val="00BE2FF3"/>
    <w:rsid w:val="00BE32D7"/>
    <w:rsid w:val="00BE350A"/>
    <w:rsid w:val="00BE3650"/>
    <w:rsid w:val="00BE3C50"/>
    <w:rsid w:val="00BE3CA9"/>
    <w:rsid w:val="00BE3D1C"/>
    <w:rsid w:val="00BE3D2F"/>
    <w:rsid w:val="00BE40EE"/>
    <w:rsid w:val="00BE414F"/>
    <w:rsid w:val="00BE4580"/>
    <w:rsid w:val="00BE4756"/>
    <w:rsid w:val="00BE5280"/>
    <w:rsid w:val="00BE53AF"/>
    <w:rsid w:val="00BE53EB"/>
    <w:rsid w:val="00BE5747"/>
    <w:rsid w:val="00BE58CC"/>
    <w:rsid w:val="00BE592F"/>
    <w:rsid w:val="00BE5B87"/>
    <w:rsid w:val="00BE5C17"/>
    <w:rsid w:val="00BE5C89"/>
    <w:rsid w:val="00BE5CC6"/>
    <w:rsid w:val="00BE5E4D"/>
    <w:rsid w:val="00BE607B"/>
    <w:rsid w:val="00BE62F5"/>
    <w:rsid w:val="00BE642D"/>
    <w:rsid w:val="00BE658C"/>
    <w:rsid w:val="00BE692D"/>
    <w:rsid w:val="00BE6DF0"/>
    <w:rsid w:val="00BE6ECE"/>
    <w:rsid w:val="00BE724B"/>
    <w:rsid w:val="00BE7394"/>
    <w:rsid w:val="00BE74DC"/>
    <w:rsid w:val="00BE75AD"/>
    <w:rsid w:val="00BE7644"/>
    <w:rsid w:val="00BE7E74"/>
    <w:rsid w:val="00BE7F32"/>
    <w:rsid w:val="00BE7FEA"/>
    <w:rsid w:val="00BF0017"/>
    <w:rsid w:val="00BF0096"/>
    <w:rsid w:val="00BF01D7"/>
    <w:rsid w:val="00BF02BF"/>
    <w:rsid w:val="00BF03E4"/>
    <w:rsid w:val="00BF0580"/>
    <w:rsid w:val="00BF0650"/>
    <w:rsid w:val="00BF0AD9"/>
    <w:rsid w:val="00BF0E3F"/>
    <w:rsid w:val="00BF101A"/>
    <w:rsid w:val="00BF1228"/>
    <w:rsid w:val="00BF14FD"/>
    <w:rsid w:val="00BF16E1"/>
    <w:rsid w:val="00BF18F1"/>
    <w:rsid w:val="00BF1C3D"/>
    <w:rsid w:val="00BF1D32"/>
    <w:rsid w:val="00BF1D50"/>
    <w:rsid w:val="00BF1DD4"/>
    <w:rsid w:val="00BF1EF5"/>
    <w:rsid w:val="00BF2066"/>
    <w:rsid w:val="00BF20FD"/>
    <w:rsid w:val="00BF2123"/>
    <w:rsid w:val="00BF2367"/>
    <w:rsid w:val="00BF23CF"/>
    <w:rsid w:val="00BF2443"/>
    <w:rsid w:val="00BF27CA"/>
    <w:rsid w:val="00BF2844"/>
    <w:rsid w:val="00BF2B61"/>
    <w:rsid w:val="00BF2D02"/>
    <w:rsid w:val="00BF3028"/>
    <w:rsid w:val="00BF3254"/>
    <w:rsid w:val="00BF34B6"/>
    <w:rsid w:val="00BF34B9"/>
    <w:rsid w:val="00BF3542"/>
    <w:rsid w:val="00BF3552"/>
    <w:rsid w:val="00BF3570"/>
    <w:rsid w:val="00BF3737"/>
    <w:rsid w:val="00BF38FB"/>
    <w:rsid w:val="00BF3E1E"/>
    <w:rsid w:val="00BF40C1"/>
    <w:rsid w:val="00BF411B"/>
    <w:rsid w:val="00BF411D"/>
    <w:rsid w:val="00BF44A9"/>
    <w:rsid w:val="00BF4549"/>
    <w:rsid w:val="00BF46A1"/>
    <w:rsid w:val="00BF48C8"/>
    <w:rsid w:val="00BF49E2"/>
    <w:rsid w:val="00BF4B09"/>
    <w:rsid w:val="00BF4BD2"/>
    <w:rsid w:val="00BF4D7E"/>
    <w:rsid w:val="00BF5005"/>
    <w:rsid w:val="00BF5245"/>
    <w:rsid w:val="00BF52AC"/>
    <w:rsid w:val="00BF53F2"/>
    <w:rsid w:val="00BF5AA2"/>
    <w:rsid w:val="00BF5B51"/>
    <w:rsid w:val="00BF5C5A"/>
    <w:rsid w:val="00BF5CE3"/>
    <w:rsid w:val="00BF5DBD"/>
    <w:rsid w:val="00BF5F35"/>
    <w:rsid w:val="00BF5F3A"/>
    <w:rsid w:val="00BF64ED"/>
    <w:rsid w:val="00BF64F8"/>
    <w:rsid w:val="00BF6861"/>
    <w:rsid w:val="00BF6AEF"/>
    <w:rsid w:val="00BF6C1F"/>
    <w:rsid w:val="00BF6C56"/>
    <w:rsid w:val="00BF7572"/>
    <w:rsid w:val="00BF75CF"/>
    <w:rsid w:val="00BF7680"/>
    <w:rsid w:val="00BF7732"/>
    <w:rsid w:val="00BF77FB"/>
    <w:rsid w:val="00BF7831"/>
    <w:rsid w:val="00BF7918"/>
    <w:rsid w:val="00BF7AC6"/>
    <w:rsid w:val="00BF7BB3"/>
    <w:rsid w:val="00BF7D8A"/>
    <w:rsid w:val="00C00081"/>
    <w:rsid w:val="00C000C5"/>
    <w:rsid w:val="00C001DC"/>
    <w:rsid w:val="00C00336"/>
    <w:rsid w:val="00C00600"/>
    <w:rsid w:val="00C0082E"/>
    <w:rsid w:val="00C00908"/>
    <w:rsid w:val="00C0095D"/>
    <w:rsid w:val="00C00DEF"/>
    <w:rsid w:val="00C00E13"/>
    <w:rsid w:val="00C00E3A"/>
    <w:rsid w:val="00C00EEB"/>
    <w:rsid w:val="00C0113E"/>
    <w:rsid w:val="00C011F2"/>
    <w:rsid w:val="00C013E6"/>
    <w:rsid w:val="00C01491"/>
    <w:rsid w:val="00C016B1"/>
    <w:rsid w:val="00C016C1"/>
    <w:rsid w:val="00C01911"/>
    <w:rsid w:val="00C01A2E"/>
    <w:rsid w:val="00C01B1E"/>
    <w:rsid w:val="00C01B83"/>
    <w:rsid w:val="00C01BB9"/>
    <w:rsid w:val="00C01CAF"/>
    <w:rsid w:val="00C01DE2"/>
    <w:rsid w:val="00C02034"/>
    <w:rsid w:val="00C02063"/>
    <w:rsid w:val="00C020CD"/>
    <w:rsid w:val="00C0216A"/>
    <w:rsid w:val="00C02266"/>
    <w:rsid w:val="00C02529"/>
    <w:rsid w:val="00C02545"/>
    <w:rsid w:val="00C02814"/>
    <w:rsid w:val="00C02EA6"/>
    <w:rsid w:val="00C0311C"/>
    <w:rsid w:val="00C03355"/>
    <w:rsid w:val="00C0350A"/>
    <w:rsid w:val="00C03BD1"/>
    <w:rsid w:val="00C04091"/>
    <w:rsid w:val="00C043DB"/>
    <w:rsid w:val="00C049EB"/>
    <w:rsid w:val="00C04C49"/>
    <w:rsid w:val="00C04ECD"/>
    <w:rsid w:val="00C0530F"/>
    <w:rsid w:val="00C0533E"/>
    <w:rsid w:val="00C05381"/>
    <w:rsid w:val="00C054B2"/>
    <w:rsid w:val="00C055D6"/>
    <w:rsid w:val="00C05782"/>
    <w:rsid w:val="00C058E1"/>
    <w:rsid w:val="00C0594D"/>
    <w:rsid w:val="00C059FA"/>
    <w:rsid w:val="00C05DFE"/>
    <w:rsid w:val="00C061B8"/>
    <w:rsid w:val="00C063C4"/>
    <w:rsid w:val="00C0673F"/>
    <w:rsid w:val="00C067EC"/>
    <w:rsid w:val="00C068AD"/>
    <w:rsid w:val="00C06A07"/>
    <w:rsid w:val="00C06CDF"/>
    <w:rsid w:val="00C06D10"/>
    <w:rsid w:val="00C06D82"/>
    <w:rsid w:val="00C06F89"/>
    <w:rsid w:val="00C0706D"/>
    <w:rsid w:val="00C070CF"/>
    <w:rsid w:val="00C07352"/>
    <w:rsid w:val="00C073C6"/>
    <w:rsid w:val="00C07542"/>
    <w:rsid w:val="00C077C4"/>
    <w:rsid w:val="00C0781E"/>
    <w:rsid w:val="00C07928"/>
    <w:rsid w:val="00C07A0C"/>
    <w:rsid w:val="00C07C56"/>
    <w:rsid w:val="00C07CA6"/>
    <w:rsid w:val="00C07E50"/>
    <w:rsid w:val="00C101C6"/>
    <w:rsid w:val="00C10238"/>
    <w:rsid w:val="00C102D1"/>
    <w:rsid w:val="00C103D0"/>
    <w:rsid w:val="00C10ECD"/>
    <w:rsid w:val="00C1111C"/>
    <w:rsid w:val="00C11130"/>
    <w:rsid w:val="00C11157"/>
    <w:rsid w:val="00C111B9"/>
    <w:rsid w:val="00C111DB"/>
    <w:rsid w:val="00C1136F"/>
    <w:rsid w:val="00C11660"/>
    <w:rsid w:val="00C11718"/>
    <w:rsid w:val="00C117D8"/>
    <w:rsid w:val="00C117DF"/>
    <w:rsid w:val="00C119DA"/>
    <w:rsid w:val="00C11A3C"/>
    <w:rsid w:val="00C11BE2"/>
    <w:rsid w:val="00C11C3B"/>
    <w:rsid w:val="00C11E68"/>
    <w:rsid w:val="00C11FE8"/>
    <w:rsid w:val="00C12185"/>
    <w:rsid w:val="00C12736"/>
    <w:rsid w:val="00C127FB"/>
    <w:rsid w:val="00C12D59"/>
    <w:rsid w:val="00C12D85"/>
    <w:rsid w:val="00C12DC3"/>
    <w:rsid w:val="00C12FAE"/>
    <w:rsid w:val="00C130E5"/>
    <w:rsid w:val="00C133A3"/>
    <w:rsid w:val="00C1342A"/>
    <w:rsid w:val="00C135FF"/>
    <w:rsid w:val="00C136A9"/>
    <w:rsid w:val="00C13AA4"/>
    <w:rsid w:val="00C13AE9"/>
    <w:rsid w:val="00C13F83"/>
    <w:rsid w:val="00C13FE9"/>
    <w:rsid w:val="00C13FF3"/>
    <w:rsid w:val="00C14016"/>
    <w:rsid w:val="00C141F5"/>
    <w:rsid w:val="00C142A4"/>
    <w:rsid w:val="00C14320"/>
    <w:rsid w:val="00C14654"/>
    <w:rsid w:val="00C14840"/>
    <w:rsid w:val="00C14B54"/>
    <w:rsid w:val="00C14C3E"/>
    <w:rsid w:val="00C14EAE"/>
    <w:rsid w:val="00C1518F"/>
    <w:rsid w:val="00C15419"/>
    <w:rsid w:val="00C15580"/>
    <w:rsid w:val="00C1561C"/>
    <w:rsid w:val="00C15636"/>
    <w:rsid w:val="00C156A6"/>
    <w:rsid w:val="00C15790"/>
    <w:rsid w:val="00C158F5"/>
    <w:rsid w:val="00C159B3"/>
    <w:rsid w:val="00C15CCF"/>
    <w:rsid w:val="00C15DAF"/>
    <w:rsid w:val="00C15F7C"/>
    <w:rsid w:val="00C1605D"/>
    <w:rsid w:val="00C16209"/>
    <w:rsid w:val="00C1621C"/>
    <w:rsid w:val="00C16253"/>
    <w:rsid w:val="00C162AB"/>
    <w:rsid w:val="00C16605"/>
    <w:rsid w:val="00C1683F"/>
    <w:rsid w:val="00C1691E"/>
    <w:rsid w:val="00C16925"/>
    <w:rsid w:val="00C16AB0"/>
    <w:rsid w:val="00C16C4A"/>
    <w:rsid w:val="00C1707A"/>
    <w:rsid w:val="00C17380"/>
    <w:rsid w:val="00C17598"/>
    <w:rsid w:val="00C175F8"/>
    <w:rsid w:val="00C17746"/>
    <w:rsid w:val="00C177BE"/>
    <w:rsid w:val="00C17925"/>
    <w:rsid w:val="00C17A6B"/>
    <w:rsid w:val="00C17CEA"/>
    <w:rsid w:val="00C17F23"/>
    <w:rsid w:val="00C17F64"/>
    <w:rsid w:val="00C2003B"/>
    <w:rsid w:val="00C20161"/>
    <w:rsid w:val="00C20172"/>
    <w:rsid w:val="00C2022D"/>
    <w:rsid w:val="00C20474"/>
    <w:rsid w:val="00C20528"/>
    <w:rsid w:val="00C205EB"/>
    <w:rsid w:val="00C2083D"/>
    <w:rsid w:val="00C2090A"/>
    <w:rsid w:val="00C20ACE"/>
    <w:rsid w:val="00C212CC"/>
    <w:rsid w:val="00C21368"/>
    <w:rsid w:val="00C213C0"/>
    <w:rsid w:val="00C21527"/>
    <w:rsid w:val="00C2165B"/>
    <w:rsid w:val="00C216DD"/>
    <w:rsid w:val="00C21740"/>
    <w:rsid w:val="00C2185D"/>
    <w:rsid w:val="00C218A7"/>
    <w:rsid w:val="00C218D6"/>
    <w:rsid w:val="00C21BB2"/>
    <w:rsid w:val="00C21E7D"/>
    <w:rsid w:val="00C2221A"/>
    <w:rsid w:val="00C2233B"/>
    <w:rsid w:val="00C223B9"/>
    <w:rsid w:val="00C223D7"/>
    <w:rsid w:val="00C224DC"/>
    <w:rsid w:val="00C2271B"/>
    <w:rsid w:val="00C22724"/>
    <w:rsid w:val="00C228C8"/>
    <w:rsid w:val="00C2295B"/>
    <w:rsid w:val="00C22A13"/>
    <w:rsid w:val="00C22AD7"/>
    <w:rsid w:val="00C22BAB"/>
    <w:rsid w:val="00C22CAB"/>
    <w:rsid w:val="00C22F0D"/>
    <w:rsid w:val="00C22FDA"/>
    <w:rsid w:val="00C230B2"/>
    <w:rsid w:val="00C231A7"/>
    <w:rsid w:val="00C23591"/>
    <w:rsid w:val="00C2361B"/>
    <w:rsid w:val="00C23BFE"/>
    <w:rsid w:val="00C23C8A"/>
    <w:rsid w:val="00C23D89"/>
    <w:rsid w:val="00C24334"/>
    <w:rsid w:val="00C24449"/>
    <w:rsid w:val="00C24575"/>
    <w:rsid w:val="00C24A91"/>
    <w:rsid w:val="00C24B58"/>
    <w:rsid w:val="00C24C25"/>
    <w:rsid w:val="00C24D69"/>
    <w:rsid w:val="00C24D75"/>
    <w:rsid w:val="00C24DA6"/>
    <w:rsid w:val="00C24DD4"/>
    <w:rsid w:val="00C24FA5"/>
    <w:rsid w:val="00C24FBE"/>
    <w:rsid w:val="00C251F9"/>
    <w:rsid w:val="00C253EB"/>
    <w:rsid w:val="00C253ED"/>
    <w:rsid w:val="00C256B6"/>
    <w:rsid w:val="00C2585F"/>
    <w:rsid w:val="00C25B14"/>
    <w:rsid w:val="00C25B24"/>
    <w:rsid w:val="00C25C4A"/>
    <w:rsid w:val="00C25D12"/>
    <w:rsid w:val="00C25DEA"/>
    <w:rsid w:val="00C25F2E"/>
    <w:rsid w:val="00C26014"/>
    <w:rsid w:val="00C261BE"/>
    <w:rsid w:val="00C262C8"/>
    <w:rsid w:val="00C26339"/>
    <w:rsid w:val="00C26352"/>
    <w:rsid w:val="00C26524"/>
    <w:rsid w:val="00C26585"/>
    <w:rsid w:val="00C26775"/>
    <w:rsid w:val="00C2685A"/>
    <w:rsid w:val="00C269D4"/>
    <w:rsid w:val="00C26E9D"/>
    <w:rsid w:val="00C2730B"/>
    <w:rsid w:val="00C27382"/>
    <w:rsid w:val="00C27605"/>
    <w:rsid w:val="00C27893"/>
    <w:rsid w:val="00C2789D"/>
    <w:rsid w:val="00C27A2B"/>
    <w:rsid w:val="00C27BE3"/>
    <w:rsid w:val="00C27C81"/>
    <w:rsid w:val="00C27CB4"/>
    <w:rsid w:val="00C27E4C"/>
    <w:rsid w:val="00C27EA1"/>
    <w:rsid w:val="00C30455"/>
    <w:rsid w:val="00C306F6"/>
    <w:rsid w:val="00C307DD"/>
    <w:rsid w:val="00C3088A"/>
    <w:rsid w:val="00C30B99"/>
    <w:rsid w:val="00C30C71"/>
    <w:rsid w:val="00C30D9E"/>
    <w:rsid w:val="00C31163"/>
    <w:rsid w:val="00C31288"/>
    <w:rsid w:val="00C316CF"/>
    <w:rsid w:val="00C318DD"/>
    <w:rsid w:val="00C318F7"/>
    <w:rsid w:val="00C31989"/>
    <w:rsid w:val="00C31C6D"/>
    <w:rsid w:val="00C32096"/>
    <w:rsid w:val="00C320C7"/>
    <w:rsid w:val="00C322D8"/>
    <w:rsid w:val="00C3241B"/>
    <w:rsid w:val="00C3245B"/>
    <w:rsid w:val="00C325C9"/>
    <w:rsid w:val="00C32665"/>
    <w:rsid w:val="00C32884"/>
    <w:rsid w:val="00C328ED"/>
    <w:rsid w:val="00C32917"/>
    <w:rsid w:val="00C3295F"/>
    <w:rsid w:val="00C32B53"/>
    <w:rsid w:val="00C32E1C"/>
    <w:rsid w:val="00C32ED9"/>
    <w:rsid w:val="00C32FB9"/>
    <w:rsid w:val="00C333A2"/>
    <w:rsid w:val="00C334D5"/>
    <w:rsid w:val="00C33B33"/>
    <w:rsid w:val="00C33FF2"/>
    <w:rsid w:val="00C34062"/>
    <w:rsid w:val="00C343E4"/>
    <w:rsid w:val="00C34435"/>
    <w:rsid w:val="00C3445B"/>
    <w:rsid w:val="00C344BA"/>
    <w:rsid w:val="00C349B8"/>
    <w:rsid w:val="00C34BCE"/>
    <w:rsid w:val="00C34DFB"/>
    <w:rsid w:val="00C35164"/>
    <w:rsid w:val="00C3536C"/>
    <w:rsid w:val="00C35436"/>
    <w:rsid w:val="00C3546D"/>
    <w:rsid w:val="00C3549D"/>
    <w:rsid w:val="00C355A6"/>
    <w:rsid w:val="00C355ED"/>
    <w:rsid w:val="00C357A5"/>
    <w:rsid w:val="00C357D7"/>
    <w:rsid w:val="00C35803"/>
    <w:rsid w:val="00C36174"/>
    <w:rsid w:val="00C361E0"/>
    <w:rsid w:val="00C3627A"/>
    <w:rsid w:val="00C36A00"/>
    <w:rsid w:val="00C36B36"/>
    <w:rsid w:val="00C36D10"/>
    <w:rsid w:val="00C370DB"/>
    <w:rsid w:val="00C3722B"/>
    <w:rsid w:val="00C376CE"/>
    <w:rsid w:val="00C3785A"/>
    <w:rsid w:val="00C37A36"/>
    <w:rsid w:val="00C37AC4"/>
    <w:rsid w:val="00C37FE4"/>
    <w:rsid w:val="00C37FF2"/>
    <w:rsid w:val="00C401D9"/>
    <w:rsid w:val="00C40204"/>
    <w:rsid w:val="00C4022C"/>
    <w:rsid w:val="00C4048D"/>
    <w:rsid w:val="00C4068A"/>
    <w:rsid w:val="00C407D2"/>
    <w:rsid w:val="00C40AD7"/>
    <w:rsid w:val="00C40CFA"/>
    <w:rsid w:val="00C41102"/>
    <w:rsid w:val="00C41513"/>
    <w:rsid w:val="00C4165E"/>
    <w:rsid w:val="00C4179D"/>
    <w:rsid w:val="00C4199F"/>
    <w:rsid w:val="00C41ABD"/>
    <w:rsid w:val="00C41C40"/>
    <w:rsid w:val="00C41D24"/>
    <w:rsid w:val="00C41E46"/>
    <w:rsid w:val="00C41F64"/>
    <w:rsid w:val="00C4207A"/>
    <w:rsid w:val="00C42611"/>
    <w:rsid w:val="00C4289B"/>
    <w:rsid w:val="00C428CE"/>
    <w:rsid w:val="00C42A58"/>
    <w:rsid w:val="00C42CEB"/>
    <w:rsid w:val="00C432F6"/>
    <w:rsid w:val="00C435C1"/>
    <w:rsid w:val="00C4367F"/>
    <w:rsid w:val="00C436B1"/>
    <w:rsid w:val="00C436C5"/>
    <w:rsid w:val="00C43745"/>
    <w:rsid w:val="00C43810"/>
    <w:rsid w:val="00C4385E"/>
    <w:rsid w:val="00C43963"/>
    <w:rsid w:val="00C439DA"/>
    <w:rsid w:val="00C43A2C"/>
    <w:rsid w:val="00C43C12"/>
    <w:rsid w:val="00C43E35"/>
    <w:rsid w:val="00C43EA9"/>
    <w:rsid w:val="00C43FEC"/>
    <w:rsid w:val="00C44170"/>
    <w:rsid w:val="00C4429B"/>
    <w:rsid w:val="00C443D5"/>
    <w:rsid w:val="00C443F0"/>
    <w:rsid w:val="00C445AE"/>
    <w:rsid w:val="00C44992"/>
    <w:rsid w:val="00C44AD1"/>
    <w:rsid w:val="00C44AEF"/>
    <w:rsid w:val="00C44B2E"/>
    <w:rsid w:val="00C44C0A"/>
    <w:rsid w:val="00C44C1A"/>
    <w:rsid w:val="00C44DB3"/>
    <w:rsid w:val="00C44F3E"/>
    <w:rsid w:val="00C4524E"/>
    <w:rsid w:val="00C453A4"/>
    <w:rsid w:val="00C45693"/>
    <w:rsid w:val="00C45809"/>
    <w:rsid w:val="00C45ACD"/>
    <w:rsid w:val="00C45B1B"/>
    <w:rsid w:val="00C45D03"/>
    <w:rsid w:val="00C45D14"/>
    <w:rsid w:val="00C45EE2"/>
    <w:rsid w:val="00C4604D"/>
    <w:rsid w:val="00C460D7"/>
    <w:rsid w:val="00C462F8"/>
    <w:rsid w:val="00C4631D"/>
    <w:rsid w:val="00C4641A"/>
    <w:rsid w:val="00C46510"/>
    <w:rsid w:val="00C46D3E"/>
    <w:rsid w:val="00C47042"/>
    <w:rsid w:val="00C47194"/>
    <w:rsid w:val="00C471CD"/>
    <w:rsid w:val="00C47205"/>
    <w:rsid w:val="00C4742C"/>
    <w:rsid w:val="00C4777B"/>
    <w:rsid w:val="00C47A24"/>
    <w:rsid w:val="00C47A64"/>
    <w:rsid w:val="00C47BB5"/>
    <w:rsid w:val="00C47BBD"/>
    <w:rsid w:val="00C47D5D"/>
    <w:rsid w:val="00C47F0E"/>
    <w:rsid w:val="00C47FA5"/>
    <w:rsid w:val="00C500DB"/>
    <w:rsid w:val="00C50299"/>
    <w:rsid w:val="00C5030A"/>
    <w:rsid w:val="00C50579"/>
    <w:rsid w:val="00C507E6"/>
    <w:rsid w:val="00C50908"/>
    <w:rsid w:val="00C50E01"/>
    <w:rsid w:val="00C50ED1"/>
    <w:rsid w:val="00C5129B"/>
    <w:rsid w:val="00C513AB"/>
    <w:rsid w:val="00C513E9"/>
    <w:rsid w:val="00C51553"/>
    <w:rsid w:val="00C51615"/>
    <w:rsid w:val="00C51694"/>
    <w:rsid w:val="00C51877"/>
    <w:rsid w:val="00C51D80"/>
    <w:rsid w:val="00C51DDA"/>
    <w:rsid w:val="00C51E4A"/>
    <w:rsid w:val="00C51F22"/>
    <w:rsid w:val="00C51F39"/>
    <w:rsid w:val="00C52039"/>
    <w:rsid w:val="00C521AF"/>
    <w:rsid w:val="00C521DE"/>
    <w:rsid w:val="00C52494"/>
    <w:rsid w:val="00C526BF"/>
    <w:rsid w:val="00C52A53"/>
    <w:rsid w:val="00C52B0F"/>
    <w:rsid w:val="00C52B5B"/>
    <w:rsid w:val="00C52C3E"/>
    <w:rsid w:val="00C52E1C"/>
    <w:rsid w:val="00C52E4C"/>
    <w:rsid w:val="00C52F4E"/>
    <w:rsid w:val="00C52F75"/>
    <w:rsid w:val="00C53735"/>
    <w:rsid w:val="00C53738"/>
    <w:rsid w:val="00C537C8"/>
    <w:rsid w:val="00C537E4"/>
    <w:rsid w:val="00C53E5D"/>
    <w:rsid w:val="00C540A0"/>
    <w:rsid w:val="00C542DB"/>
    <w:rsid w:val="00C543AF"/>
    <w:rsid w:val="00C54843"/>
    <w:rsid w:val="00C5494D"/>
    <w:rsid w:val="00C54A05"/>
    <w:rsid w:val="00C54C6A"/>
    <w:rsid w:val="00C54D61"/>
    <w:rsid w:val="00C54DF2"/>
    <w:rsid w:val="00C54F21"/>
    <w:rsid w:val="00C55183"/>
    <w:rsid w:val="00C5530C"/>
    <w:rsid w:val="00C55383"/>
    <w:rsid w:val="00C55584"/>
    <w:rsid w:val="00C55615"/>
    <w:rsid w:val="00C557DA"/>
    <w:rsid w:val="00C55845"/>
    <w:rsid w:val="00C558E6"/>
    <w:rsid w:val="00C559AC"/>
    <w:rsid w:val="00C55A01"/>
    <w:rsid w:val="00C55AF5"/>
    <w:rsid w:val="00C55C07"/>
    <w:rsid w:val="00C55C11"/>
    <w:rsid w:val="00C55F3A"/>
    <w:rsid w:val="00C561E2"/>
    <w:rsid w:val="00C56317"/>
    <w:rsid w:val="00C5657D"/>
    <w:rsid w:val="00C567CD"/>
    <w:rsid w:val="00C568A7"/>
    <w:rsid w:val="00C5698C"/>
    <w:rsid w:val="00C56C78"/>
    <w:rsid w:val="00C56CAD"/>
    <w:rsid w:val="00C56E11"/>
    <w:rsid w:val="00C56F7D"/>
    <w:rsid w:val="00C56F8F"/>
    <w:rsid w:val="00C57111"/>
    <w:rsid w:val="00C57185"/>
    <w:rsid w:val="00C57584"/>
    <w:rsid w:val="00C576E9"/>
    <w:rsid w:val="00C5774E"/>
    <w:rsid w:val="00C57819"/>
    <w:rsid w:val="00C5787B"/>
    <w:rsid w:val="00C57DE2"/>
    <w:rsid w:val="00C57F5E"/>
    <w:rsid w:val="00C60051"/>
    <w:rsid w:val="00C6020C"/>
    <w:rsid w:val="00C607C5"/>
    <w:rsid w:val="00C607E4"/>
    <w:rsid w:val="00C60872"/>
    <w:rsid w:val="00C60895"/>
    <w:rsid w:val="00C609FF"/>
    <w:rsid w:val="00C60BDD"/>
    <w:rsid w:val="00C60C45"/>
    <w:rsid w:val="00C60CEE"/>
    <w:rsid w:val="00C60D36"/>
    <w:rsid w:val="00C60D45"/>
    <w:rsid w:val="00C61043"/>
    <w:rsid w:val="00C6107E"/>
    <w:rsid w:val="00C6108A"/>
    <w:rsid w:val="00C611A1"/>
    <w:rsid w:val="00C61477"/>
    <w:rsid w:val="00C61502"/>
    <w:rsid w:val="00C6150B"/>
    <w:rsid w:val="00C6181D"/>
    <w:rsid w:val="00C61947"/>
    <w:rsid w:val="00C61A46"/>
    <w:rsid w:val="00C61A5A"/>
    <w:rsid w:val="00C61C47"/>
    <w:rsid w:val="00C61C8B"/>
    <w:rsid w:val="00C61CE8"/>
    <w:rsid w:val="00C61E01"/>
    <w:rsid w:val="00C62099"/>
    <w:rsid w:val="00C62366"/>
    <w:rsid w:val="00C6253B"/>
    <w:rsid w:val="00C625FE"/>
    <w:rsid w:val="00C62A45"/>
    <w:rsid w:val="00C62C7E"/>
    <w:rsid w:val="00C62CB0"/>
    <w:rsid w:val="00C62D8E"/>
    <w:rsid w:val="00C62F44"/>
    <w:rsid w:val="00C6300F"/>
    <w:rsid w:val="00C630CA"/>
    <w:rsid w:val="00C63160"/>
    <w:rsid w:val="00C63237"/>
    <w:rsid w:val="00C6329F"/>
    <w:rsid w:val="00C633FA"/>
    <w:rsid w:val="00C6353F"/>
    <w:rsid w:val="00C635EC"/>
    <w:rsid w:val="00C63A18"/>
    <w:rsid w:val="00C63EF0"/>
    <w:rsid w:val="00C63FF9"/>
    <w:rsid w:val="00C6422E"/>
    <w:rsid w:val="00C645DF"/>
    <w:rsid w:val="00C64602"/>
    <w:rsid w:val="00C6477C"/>
    <w:rsid w:val="00C647A5"/>
    <w:rsid w:val="00C649EA"/>
    <w:rsid w:val="00C64A40"/>
    <w:rsid w:val="00C64B1D"/>
    <w:rsid w:val="00C64B41"/>
    <w:rsid w:val="00C64E1E"/>
    <w:rsid w:val="00C6503C"/>
    <w:rsid w:val="00C65140"/>
    <w:rsid w:val="00C652CD"/>
    <w:rsid w:val="00C653DB"/>
    <w:rsid w:val="00C6551A"/>
    <w:rsid w:val="00C65686"/>
    <w:rsid w:val="00C658BB"/>
    <w:rsid w:val="00C658DB"/>
    <w:rsid w:val="00C65AF6"/>
    <w:rsid w:val="00C65F20"/>
    <w:rsid w:val="00C660F3"/>
    <w:rsid w:val="00C661CE"/>
    <w:rsid w:val="00C66305"/>
    <w:rsid w:val="00C66418"/>
    <w:rsid w:val="00C6649C"/>
    <w:rsid w:val="00C6651C"/>
    <w:rsid w:val="00C66555"/>
    <w:rsid w:val="00C6670C"/>
    <w:rsid w:val="00C66835"/>
    <w:rsid w:val="00C66D5E"/>
    <w:rsid w:val="00C66DEF"/>
    <w:rsid w:val="00C6703D"/>
    <w:rsid w:val="00C67048"/>
    <w:rsid w:val="00C67525"/>
    <w:rsid w:val="00C6773F"/>
    <w:rsid w:val="00C679D4"/>
    <w:rsid w:val="00C67A23"/>
    <w:rsid w:val="00C67D35"/>
    <w:rsid w:val="00C67DEC"/>
    <w:rsid w:val="00C70338"/>
    <w:rsid w:val="00C70348"/>
    <w:rsid w:val="00C703E4"/>
    <w:rsid w:val="00C70767"/>
    <w:rsid w:val="00C70985"/>
    <w:rsid w:val="00C70A6C"/>
    <w:rsid w:val="00C70AD7"/>
    <w:rsid w:val="00C70C91"/>
    <w:rsid w:val="00C710A1"/>
    <w:rsid w:val="00C71108"/>
    <w:rsid w:val="00C712F2"/>
    <w:rsid w:val="00C71553"/>
    <w:rsid w:val="00C717AB"/>
    <w:rsid w:val="00C717F7"/>
    <w:rsid w:val="00C719D9"/>
    <w:rsid w:val="00C71A3F"/>
    <w:rsid w:val="00C71AEC"/>
    <w:rsid w:val="00C71B07"/>
    <w:rsid w:val="00C71BDC"/>
    <w:rsid w:val="00C7216A"/>
    <w:rsid w:val="00C72182"/>
    <w:rsid w:val="00C7222B"/>
    <w:rsid w:val="00C7226F"/>
    <w:rsid w:val="00C722B4"/>
    <w:rsid w:val="00C722C3"/>
    <w:rsid w:val="00C7249B"/>
    <w:rsid w:val="00C7263B"/>
    <w:rsid w:val="00C726CB"/>
    <w:rsid w:val="00C72742"/>
    <w:rsid w:val="00C7278C"/>
    <w:rsid w:val="00C72CE9"/>
    <w:rsid w:val="00C72FA4"/>
    <w:rsid w:val="00C73197"/>
    <w:rsid w:val="00C731CE"/>
    <w:rsid w:val="00C73364"/>
    <w:rsid w:val="00C7354B"/>
    <w:rsid w:val="00C73565"/>
    <w:rsid w:val="00C7374A"/>
    <w:rsid w:val="00C737E2"/>
    <w:rsid w:val="00C738B5"/>
    <w:rsid w:val="00C73A99"/>
    <w:rsid w:val="00C73C39"/>
    <w:rsid w:val="00C73E1A"/>
    <w:rsid w:val="00C7406F"/>
    <w:rsid w:val="00C740AB"/>
    <w:rsid w:val="00C740D2"/>
    <w:rsid w:val="00C741FF"/>
    <w:rsid w:val="00C74262"/>
    <w:rsid w:val="00C742C8"/>
    <w:rsid w:val="00C743A1"/>
    <w:rsid w:val="00C748BC"/>
    <w:rsid w:val="00C74B10"/>
    <w:rsid w:val="00C74C0D"/>
    <w:rsid w:val="00C74E4F"/>
    <w:rsid w:val="00C74EF6"/>
    <w:rsid w:val="00C74F3C"/>
    <w:rsid w:val="00C75426"/>
    <w:rsid w:val="00C755F0"/>
    <w:rsid w:val="00C75898"/>
    <w:rsid w:val="00C759ED"/>
    <w:rsid w:val="00C75A69"/>
    <w:rsid w:val="00C75E81"/>
    <w:rsid w:val="00C7608A"/>
    <w:rsid w:val="00C7608E"/>
    <w:rsid w:val="00C76422"/>
    <w:rsid w:val="00C765E5"/>
    <w:rsid w:val="00C76780"/>
    <w:rsid w:val="00C768A2"/>
    <w:rsid w:val="00C76A7A"/>
    <w:rsid w:val="00C76A97"/>
    <w:rsid w:val="00C76AFA"/>
    <w:rsid w:val="00C76C3B"/>
    <w:rsid w:val="00C76F8D"/>
    <w:rsid w:val="00C770D3"/>
    <w:rsid w:val="00C7723F"/>
    <w:rsid w:val="00C77246"/>
    <w:rsid w:val="00C773CF"/>
    <w:rsid w:val="00C773DD"/>
    <w:rsid w:val="00C77544"/>
    <w:rsid w:val="00C77653"/>
    <w:rsid w:val="00C777CF"/>
    <w:rsid w:val="00C77A5E"/>
    <w:rsid w:val="00C77B59"/>
    <w:rsid w:val="00C77DC6"/>
    <w:rsid w:val="00C77E31"/>
    <w:rsid w:val="00C77E9C"/>
    <w:rsid w:val="00C80483"/>
    <w:rsid w:val="00C80571"/>
    <w:rsid w:val="00C805DD"/>
    <w:rsid w:val="00C80839"/>
    <w:rsid w:val="00C80AB0"/>
    <w:rsid w:val="00C80EC9"/>
    <w:rsid w:val="00C80F8C"/>
    <w:rsid w:val="00C81048"/>
    <w:rsid w:val="00C81241"/>
    <w:rsid w:val="00C8139C"/>
    <w:rsid w:val="00C81504"/>
    <w:rsid w:val="00C81565"/>
    <w:rsid w:val="00C816C6"/>
    <w:rsid w:val="00C8179F"/>
    <w:rsid w:val="00C81806"/>
    <w:rsid w:val="00C81C37"/>
    <w:rsid w:val="00C81CC7"/>
    <w:rsid w:val="00C81F1F"/>
    <w:rsid w:val="00C82021"/>
    <w:rsid w:val="00C82454"/>
    <w:rsid w:val="00C82577"/>
    <w:rsid w:val="00C82624"/>
    <w:rsid w:val="00C8274C"/>
    <w:rsid w:val="00C82793"/>
    <w:rsid w:val="00C82845"/>
    <w:rsid w:val="00C82952"/>
    <w:rsid w:val="00C82AAD"/>
    <w:rsid w:val="00C82D2E"/>
    <w:rsid w:val="00C82EA1"/>
    <w:rsid w:val="00C833B1"/>
    <w:rsid w:val="00C833EE"/>
    <w:rsid w:val="00C836A9"/>
    <w:rsid w:val="00C83B83"/>
    <w:rsid w:val="00C83D59"/>
    <w:rsid w:val="00C83E4B"/>
    <w:rsid w:val="00C842DF"/>
    <w:rsid w:val="00C843BA"/>
    <w:rsid w:val="00C84694"/>
    <w:rsid w:val="00C846A0"/>
    <w:rsid w:val="00C84AD5"/>
    <w:rsid w:val="00C84C4B"/>
    <w:rsid w:val="00C84E18"/>
    <w:rsid w:val="00C850C1"/>
    <w:rsid w:val="00C85466"/>
    <w:rsid w:val="00C854B3"/>
    <w:rsid w:val="00C8572A"/>
    <w:rsid w:val="00C85827"/>
    <w:rsid w:val="00C85A0A"/>
    <w:rsid w:val="00C85A6F"/>
    <w:rsid w:val="00C85C65"/>
    <w:rsid w:val="00C85D17"/>
    <w:rsid w:val="00C85F47"/>
    <w:rsid w:val="00C86644"/>
    <w:rsid w:val="00C8685A"/>
    <w:rsid w:val="00C868CD"/>
    <w:rsid w:val="00C8691C"/>
    <w:rsid w:val="00C869E5"/>
    <w:rsid w:val="00C870C8"/>
    <w:rsid w:val="00C8760A"/>
    <w:rsid w:val="00C877CC"/>
    <w:rsid w:val="00C87A7C"/>
    <w:rsid w:val="00C87C35"/>
    <w:rsid w:val="00C87DA3"/>
    <w:rsid w:val="00C90085"/>
    <w:rsid w:val="00C9022C"/>
    <w:rsid w:val="00C9033F"/>
    <w:rsid w:val="00C9047A"/>
    <w:rsid w:val="00C90669"/>
    <w:rsid w:val="00C907B8"/>
    <w:rsid w:val="00C90836"/>
    <w:rsid w:val="00C909C4"/>
    <w:rsid w:val="00C90A0E"/>
    <w:rsid w:val="00C90A11"/>
    <w:rsid w:val="00C90EEC"/>
    <w:rsid w:val="00C9104E"/>
    <w:rsid w:val="00C91340"/>
    <w:rsid w:val="00C9149E"/>
    <w:rsid w:val="00C91799"/>
    <w:rsid w:val="00C9187E"/>
    <w:rsid w:val="00C918E2"/>
    <w:rsid w:val="00C91AA6"/>
    <w:rsid w:val="00C91C88"/>
    <w:rsid w:val="00C91E8D"/>
    <w:rsid w:val="00C91ED2"/>
    <w:rsid w:val="00C91FC8"/>
    <w:rsid w:val="00C92086"/>
    <w:rsid w:val="00C92485"/>
    <w:rsid w:val="00C9249A"/>
    <w:rsid w:val="00C926F0"/>
    <w:rsid w:val="00C927D3"/>
    <w:rsid w:val="00C928EE"/>
    <w:rsid w:val="00C92934"/>
    <w:rsid w:val="00C92A5B"/>
    <w:rsid w:val="00C92CD6"/>
    <w:rsid w:val="00C92DD6"/>
    <w:rsid w:val="00C930EB"/>
    <w:rsid w:val="00C9316B"/>
    <w:rsid w:val="00C93288"/>
    <w:rsid w:val="00C93598"/>
    <w:rsid w:val="00C93882"/>
    <w:rsid w:val="00C9398D"/>
    <w:rsid w:val="00C93A40"/>
    <w:rsid w:val="00C93AE5"/>
    <w:rsid w:val="00C93DB4"/>
    <w:rsid w:val="00C93F41"/>
    <w:rsid w:val="00C93FA9"/>
    <w:rsid w:val="00C93FB3"/>
    <w:rsid w:val="00C94182"/>
    <w:rsid w:val="00C9427A"/>
    <w:rsid w:val="00C94536"/>
    <w:rsid w:val="00C94569"/>
    <w:rsid w:val="00C94611"/>
    <w:rsid w:val="00C94806"/>
    <w:rsid w:val="00C94854"/>
    <w:rsid w:val="00C948BD"/>
    <w:rsid w:val="00C94992"/>
    <w:rsid w:val="00C94B73"/>
    <w:rsid w:val="00C94E2C"/>
    <w:rsid w:val="00C9502A"/>
    <w:rsid w:val="00C950C3"/>
    <w:rsid w:val="00C951DE"/>
    <w:rsid w:val="00C95320"/>
    <w:rsid w:val="00C9550F"/>
    <w:rsid w:val="00C95713"/>
    <w:rsid w:val="00C95857"/>
    <w:rsid w:val="00C958F6"/>
    <w:rsid w:val="00C95BE3"/>
    <w:rsid w:val="00C95CE5"/>
    <w:rsid w:val="00C95F8B"/>
    <w:rsid w:val="00C96449"/>
    <w:rsid w:val="00C9647A"/>
    <w:rsid w:val="00C9665E"/>
    <w:rsid w:val="00C96769"/>
    <w:rsid w:val="00C96843"/>
    <w:rsid w:val="00C968AA"/>
    <w:rsid w:val="00C969E4"/>
    <w:rsid w:val="00C96A82"/>
    <w:rsid w:val="00C96B78"/>
    <w:rsid w:val="00C96DD4"/>
    <w:rsid w:val="00C96F80"/>
    <w:rsid w:val="00C9714B"/>
    <w:rsid w:val="00C971BE"/>
    <w:rsid w:val="00C97246"/>
    <w:rsid w:val="00C975F8"/>
    <w:rsid w:val="00C97631"/>
    <w:rsid w:val="00C97638"/>
    <w:rsid w:val="00C97640"/>
    <w:rsid w:val="00C9773A"/>
    <w:rsid w:val="00C9774C"/>
    <w:rsid w:val="00C9774E"/>
    <w:rsid w:val="00C978A8"/>
    <w:rsid w:val="00C978FD"/>
    <w:rsid w:val="00C97B43"/>
    <w:rsid w:val="00C97C43"/>
    <w:rsid w:val="00C97C61"/>
    <w:rsid w:val="00C97DD2"/>
    <w:rsid w:val="00C97E8E"/>
    <w:rsid w:val="00C97F50"/>
    <w:rsid w:val="00CA01B4"/>
    <w:rsid w:val="00CA01C4"/>
    <w:rsid w:val="00CA0320"/>
    <w:rsid w:val="00CA0677"/>
    <w:rsid w:val="00CA0778"/>
    <w:rsid w:val="00CA0803"/>
    <w:rsid w:val="00CA0852"/>
    <w:rsid w:val="00CA0929"/>
    <w:rsid w:val="00CA0956"/>
    <w:rsid w:val="00CA0E72"/>
    <w:rsid w:val="00CA0E84"/>
    <w:rsid w:val="00CA1238"/>
    <w:rsid w:val="00CA128D"/>
    <w:rsid w:val="00CA1321"/>
    <w:rsid w:val="00CA1390"/>
    <w:rsid w:val="00CA1435"/>
    <w:rsid w:val="00CA18B0"/>
    <w:rsid w:val="00CA18FC"/>
    <w:rsid w:val="00CA197D"/>
    <w:rsid w:val="00CA1A23"/>
    <w:rsid w:val="00CA1AC4"/>
    <w:rsid w:val="00CA1C73"/>
    <w:rsid w:val="00CA1EF3"/>
    <w:rsid w:val="00CA1F45"/>
    <w:rsid w:val="00CA1F60"/>
    <w:rsid w:val="00CA2030"/>
    <w:rsid w:val="00CA23A9"/>
    <w:rsid w:val="00CA27B5"/>
    <w:rsid w:val="00CA2E86"/>
    <w:rsid w:val="00CA2E95"/>
    <w:rsid w:val="00CA34B7"/>
    <w:rsid w:val="00CA356F"/>
    <w:rsid w:val="00CA385B"/>
    <w:rsid w:val="00CA3988"/>
    <w:rsid w:val="00CA3B19"/>
    <w:rsid w:val="00CA3EAD"/>
    <w:rsid w:val="00CA3ED1"/>
    <w:rsid w:val="00CA3FA1"/>
    <w:rsid w:val="00CA405F"/>
    <w:rsid w:val="00CA4323"/>
    <w:rsid w:val="00CA44EE"/>
    <w:rsid w:val="00CA4534"/>
    <w:rsid w:val="00CA4651"/>
    <w:rsid w:val="00CA486B"/>
    <w:rsid w:val="00CA494A"/>
    <w:rsid w:val="00CA4ABC"/>
    <w:rsid w:val="00CA4AC6"/>
    <w:rsid w:val="00CA4C6D"/>
    <w:rsid w:val="00CA4E59"/>
    <w:rsid w:val="00CA4F26"/>
    <w:rsid w:val="00CA5080"/>
    <w:rsid w:val="00CA5248"/>
    <w:rsid w:val="00CA5784"/>
    <w:rsid w:val="00CA5991"/>
    <w:rsid w:val="00CA5DAB"/>
    <w:rsid w:val="00CA5E0F"/>
    <w:rsid w:val="00CA5E26"/>
    <w:rsid w:val="00CA5F1C"/>
    <w:rsid w:val="00CA5F9E"/>
    <w:rsid w:val="00CA6207"/>
    <w:rsid w:val="00CA6222"/>
    <w:rsid w:val="00CA6462"/>
    <w:rsid w:val="00CA64EB"/>
    <w:rsid w:val="00CA6645"/>
    <w:rsid w:val="00CA681D"/>
    <w:rsid w:val="00CA6832"/>
    <w:rsid w:val="00CA6AB7"/>
    <w:rsid w:val="00CA6C7B"/>
    <w:rsid w:val="00CA6CCC"/>
    <w:rsid w:val="00CA70DF"/>
    <w:rsid w:val="00CA7178"/>
    <w:rsid w:val="00CA71BC"/>
    <w:rsid w:val="00CA7212"/>
    <w:rsid w:val="00CA728D"/>
    <w:rsid w:val="00CA7381"/>
    <w:rsid w:val="00CA7887"/>
    <w:rsid w:val="00CA7A3B"/>
    <w:rsid w:val="00CA7A95"/>
    <w:rsid w:val="00CA7BDE"/>
    <w:rsid w:val="00CA7C39"/>
    <w:rsid w:val="00CA7ED5"/>
    <w:rsid w:val="00CB0126"/>
    <w:rsid w:val="00CB0158"/>
    <w:rsid w:val="00CB0557"/>
    <w:rsid w:val="00CB0FB8"/>
    <w:rsid w:val="00CB11E7"/>
    <w:rsid w:val="00CB15F2"/>
    <w:rsid w:val="00CB1647"/>
    <w:rsid w:val="00CB17EA"/>
    <w:rsid w:val="00CB1950"/>
    <w:rsid w:val="00CB1A9D"/>
    <w:rsid w:val="00CB1CDB"/>
    <w:rsid w:val="00CB1EF8"/>
    <w:rsid w:val="00CB1F78"/>
    <w:rsid w:val="00CB20AB"/>
    <w:rsid w:val="00CB211D"/>
    <w:rsid w:val="00CB216F"/>
    <w:rsid w:val="00CB2474"/>
    <w:rsid w:val="00CB24AF"/>
    <w:rsid w:val="00CB270D"/>
    <w:rsid w:val="00CB292B"/>
    <w:rsid w:val="00CB293D"/>
    <w:rsid w:val="00CB2987"/>
    <w:rsid w:val="00CB29D3"/>
    <w:rsid w:val="00CB2AC3"/>
    <w:rsid w:val="00CB2BD6"/>
    <w:rsid w:val="00CB2E4E"/>
    <w:rsid w:val="00CB2EB8"/>
    <w:rsid w:val="00CB2F97"/>
    <w:rsid w:val="00CB33D9"/>
    <w:rsid w:val="00CB340B"/>
    <w:rsid w:val="00CB347A"/>
    <w:rsid w:val="00CB35FB"/>
    <w:rsid w:val="00CB36CC"/>
    <w:rsid w:val="00CB3ABF"/>
    <w:rsid w:val="00CB3BB6"/>
    <w:rsid w:val="00CB3D8D"/>
    <w:rsid w:val="00CB3D9B"/>
    <w:rsid w:val="00CB3E29"/>
    <w:rsid w:val="00CB3E94"/>
    <w:rsid w:val="00CB3FE3"/>
    <w:rsid w:val="00CB42B4"/>
    <w:rsid w:val="00CB42C0"/>
    <w:rsid w:val="00CB42EF"/>
    <w:rsid w:val="00CB4477"/>
    <w:rsid w:val="00CB4597"/>
    <w:rsid w:val="00CB46D1"/>
    <w:rsid w:val="00CB4A04"/>
    <w:rsid w:val="00CB4E4C"/>
    <w:rsid w:val="00CB5065"/>
    <w:rsid w:val="00CB517B"/>
    <w:rsid w:val="00CB53E4"/>
    <w:rsid w:val="00CB5422"/>
    <w:rsid w:val="00CB55FC"/>
    <w:rsid w:val="00CB562A"/>
    <w:rsid w:val="00CB5699"/>
    <w:rsid w:val="00CB56BA"/>
    <w:rsid w:val="00CB56F3"/>
    <w:rsid w:val="00CB5DA6"/>
    <w:rsid w:val="00CB619B"/>
    <w:rsid w:val="00CB645A"/>
    <w:rsid w:val="00CB65BE"/>
    <w:rsid w:val="00CB71F9"/>
    <w:rsid w:val="00CB7365"/>
    <w:rsid w:val="00CB748A"/>
    <w:rsid w:val="00CB77E6"/>
    <w:rsid w:val="00CB7970"/>
    <w:rsid w:val="00CB7AE8"/>
    <w:rsid w:val="00CB7C36"/>
    <w:rsid w:val="00CB7DEA"/>
    <w:rsid w:val="00CC006E"/>
    <w:rsid w:val="00CC00AB"/>
    <w:rsid w:val="00CC01E2"/>
    <w:rsid w:val="00CC03F5"/>
    <w:rsid w:val="00CC0406"/>
    <w:rsid w:val="00CC0428"/>
    <w:rsid w:val="00CC0568"/>
    <w:rsid w:val="00CC06D7"/>
    <w:rsid w:val="00CC0A94"/>
    <w:rsid w:val="00CC0B80"/>
    <w:rsid w:val="00CC0CDE"/>
    <w:rsid w:val="00CC0D78"/>
    <w:rsid w:val="00CC0EB5"/>
    <w:rsid w:val="00CC14FE"/>
    <w:rsid w:val="00CC17A8"/>
    <w:rsid w:val="00CC19E4"/>
    <w:rsid w:val="00CC1AFE"/>
    <w:rsid w:val="00CC1C9C"/>
    <w:rsid w:val="00CC1CAE"/>
    <w:rsid w:val="00CC1EDF"/>
    <w:rsid w:val="00CC20CF"/>
    <w:rsid w:val="00CC2358"/>
    <w:rsid w:val="00CC266D"/>
    <w:rsid w:val="00CC2A7E"/>
    <w:rsid w:val="00CC2B28"/>
    <w:rsid w:val="00CC3079"/>
    <w:rsid w:val="00CC3787"/>
    <w:rsid w:val="00CC38CB"/>
    <w:rsid w:val="00CC398D"/>
    <w:rsid w:val="00CC3A2D"/>
    <w:rsid w:val="00CC3B6B"/>
    <w:rsid w:val="00CC3D70"/>
    <w:rsid w:val="00CC3EDA"/>
    <w:rsid w:val="00CC4031"/>
    <w:rsid w:val="00CC40A0"/>
    <w:rsid w:val="00CC427B"/>
    <w:rsid w:val="00CC4312"/>
    <w:rsid w:val="00CC43FA"/>
    <w:rsid w:val="00CC456F"/>
    <w:rsid w:val="00CC45BF"/>
    <w:rsid w:val="00CC4730"/>
    <w:rsid w:val="00CC4792"/>
    <w:rsid w:val="00CC48B2"/>
    <w:rsid w:val="00CC4E80"/>
    <w:rsid w:val="00CC5415"/>
    <w:rsid w:val="00CC546E"/>
    <w:rsid w:val="00CC557F"/>
    <w:rsid w:val="00CC559D"/>
    <w:rsid w:val="00CC5696"/>
    <w:rsid w:val="00CC5A33"/>
    <w:rsid w:val="00CC5C19"/>
    <w:rsid w:val="00CC5CE9"/>
    <w:rsid w:val="00CC5F85"/>
    <w:rsid w:val="00CC62B8"/>
    <w:rsid w:val="00CC6419"/>
    <w:rsid w:val="00CC6674"/>
    <w:rsid w:val="00CC66C9"/>
    <w:rsid w:val="00CC66FE"/>
    <w:rsid w:val="00CC67F3"/>
    <w:rsid w:val="00CC6874"/>
    <w:rsid w:val="00CC68AA"/>
    <w:rsid w:val="00CC6C63"/>
    <w:rsid w:val="00CC6CAE"/>
    <w:rsid w:val="00CC70A3"/>
    <w:rsid w:val="00CC724A"/>
    <w:rsid w:val="00CC72C5"/>
    <w:rsid w:val="00CC769C"/>
    <w:rsid w:val="00CC7A0A"/>
    <w:rsid w:val="00CC7B6B"/>
    <w:rsid w:val="00CC7C25"/>
    <w:rsid w:val="00CC7D98"/>
    <w:rsid w:val="00CC7DD5"/>
    <w:rsid w:val="00CC7EA6"/>
    <w:rsid w:val="00CD0017"/>
    <w:rsid w:val="00CD02D2"/>
    <w:rsid w:val="00CD039E"/>
    <w:rsid w:val="00CD03FB"/>
    <w:rsid w:val="00CD056F"/>
    <w:rsid w:val="00CD08E2"/>
    <w:rsid w:val="00CD08E7"/>
    <w:rsid w:val="00CD0989"/>
    <w:rsid w:val="00CD0A06"/>
    <w:rsid w:val="00CD0EDC"/>
    <w:rsid w:val="00CD0F27"/>
    <w:rsid w:val="00CD149C"/>
    <w:rsid w:val="00CD163B"/>
    <w:rsid w:val="00CD1764"/>
    <w:rsid w:val="00CD1776"/>
    <w:rsid w:val="00CD17EF"/>
    <w:rsid w:val="00CD18FC"/>
    <w:rsid w:val="00CD1989"/>
    <w:rsid w:val="00CD1992"/>
    <w:rsid w:val="00CD19DF"/>
    <w:rsid w:val="00CD1AB8"/>
    <w:rsid w:val="00CD1BC4"/>
    <w:rsid w:val="00CD1BD3"/>
    <w:rsid w:val="00CD1E0E"/>
    <w:rsid w:val="00CD1EA8"/>
    <w:rsid w:val="00CD21B3"/>
    <w:rsid w:val="00CD254D"/>
    <w:rsid w:val="00CD263E"/>
    <w:rsid w:val="00CD2682"/>
    <w:rsid w:val="00CD284E"/>
    <w:rsid w:val="00CD2871"/>
    <w:rsid w:val="00CD2AB8"/>
    <w:rsid w:val="00CD2AE5"/>
    <w:rsid w:val="00CD2CFE"/>
    <w:rsid w:val="00CD2D23"/>
    <w:rsid w:val="00CD3326"/>
    <w:rsid w:val="00CD343F"/>
    <w:rsid w:val="00CD34C0"/>
    <w:rsid w:val="00CD3612"/>
    <w:rsid w:val="00CD3AF7"/>
    <w:rsid w:val="00CD3C6D"/>
    <w:rsid w:val="00CD3D8F"/>
    <w:rsid w:val="00CD3E0B"/>
    <w:rsid w:val="00CD3ECB"/>
    <w:rsid w:val="00CD3F98"/>
    <w:rsid w:val="00CD4468"/>
    <w:rsid w:val="00CD49B1"/>
    <w:rsid w:val="00CD4B25"/>
    <w:rsid w:val="00CD4B30"/>
    <w:rsid w:val="00CD51A1"/>
    <w:rsid w:val="00CD526C"/>
    <w:rsid w:val="00CD543E"/>
    <w:rsid w:val="00CD56E0"/>
    <w:rsid w:val="00CD570F"/>
    <w:rsid w:val="00CD57A1"/>
    <w:rsid w:val="00CD5B0B"/>
    <w:rsid w:val="00CD5BA0"/>
    <w:rsid w:val="00CD5BD7"/>
    <w:rsid w:val="00CD5DE3"/>
    <w:rsid w:val="00CD60BA"/>
    <w:rsid w:val="00CD6108"/>
    <w:rsid w:val="00CD66DF"/>
    <w:rsid w:val="00CD6791"/>
    <w:rsid w:val="00CD6CFF"/>
    <w:rsid w:val="00CD6D67"/>
    <w:rsid w:val="00CD6DBC"/>
    <w:rsid w:val="00CD6E77"/>
    <w:rsid w:val="00CD7115"/>
    <w:rsid w:val="00CD7325"/>
    <w:rsid w:val="00CD75FA"/>
    <w:rsid w:val="00CD7B33"/>
    <w:rsid w:val="00CD7E13"/>
    <w:rsid w:val="00CE0164"/>
    <w:rsid w:val="00CE0547"/>
    <w:rsid w:val="00CE06C4"/>
    <w:rsid w:val="00CE08A2"/>
    <w:rsid w:val="00CE09E9"/>
    <w:rsid w:val="00CE0A59"/>
    <w:rsid w:val="00CE0C0F"/>
    <w:rsid w:val="00CE0C7A"/>
    <w:rsid w:val="00CE0D43"/>
    <w:rsid w:val="00CE0EC4"/>
    <w:rsid w:val="00CE102B"/>
    <w:rsid w:val="00CE1201"/>
    <w:rsid w:val="00CE1594"/>
    <w:rsid w:val="00CE15B7"/>
    <w:rsid w:val="00CE1624"/>
    <w:rsid w:val="00CE1699"/>
    <w:rsid w:val="00CE16B2"/>
    <w:rsid w:val="00CE18D7"/>
    <w:rsid w:val="00CE25BB"/>
    <w:rsid w:val="00CE2734"/>
    <w:rsid w:val="00CE28C6"/>
    <w:rsid w:val="00CE28E0"/>
    <w:rsid w:val="00CE2B30"/>
    <w:rsid w:val="00CE2C1C"/>
    <w:rsid w:val="00CE2C35"/>
    <w:rsid w:val="00CE2CBA"/>
    <w:rsid w:val="00CE2D56"/>
    <w:rsid w:val="00CE2F55"/>
    <w:rsid w:val="00CE30A3"/>
    <w:rsid w:val="00CE31BE"/>
    <w:rsid w:val="00CE3518"/>
    <w:rsid w:val="00CE3538"/>
    <w:rsid w:val="00CE357F"/>
    <w:rsid w:val="00CE359E"/>
    <w:rsid w:val="00CE3887"/>
    <w:rsid w:val="00CE3CE5"/>
    <w:rsid w:val="00CE3ECC"/>
    <w:rsid w:val="00CE411D"/>
    <w:rsid w:val="00CE423C"/>
    <w:rsid w:val="00CE4261"/>
    <w:rsid w:val="00CE4317"/>
    <w:rsid w:val="00CE461B"/>
    <w:rsid w:val="00CE49DB"/>
    <w:rsid w:val="00CE4A94"/>
    <w:rsid w:val="00CE4F0C"/>
    <w:rsid w:val="00CE5833"/>
    <w:rsid w:val="00CE58A8"/>
    <w:rsid w:val="00CE5C34"/>
    <w:rsid w:val="00CE5CA5"/>
    <w:rsid w:val="00CE5E0F"/>
    <w:rsid w:val="00CE6234"/>
    <w:rsid w:val="00CE6337"/>
    <w:rsid w:val="00CE63D3"/>
    <w:rsid w:val="00CE6514"/>
    <w:rsid w:val="00CE65E9"/>
    <w:rsid w:val="00CE66DB"/>
    <w:rsid w:val="00CE6722"/>
    <w:rsid w:val="00CE6B00"/>
    <w:rsid w:val="00CE7024"/>
    <w:rsid w:val="00CE7135"/>
    <w:rsid w:val="00CE72AF"/>
    <w:rsid w:val="00CE73D6"/>
    <w:rsid w:val="00CE77A7"/>
    <w:rsid w:val="00CE790E"/>
    <w:rsid w:val="00CE7C43"/>
    <w:rsid w:val="00CE7E74"/>
    <w:rsid w:val="00CE7F63"/>
    <w:rsid w:val="00CE7FC6"/>
    <w:rsid w:val="00CE7FFC"/>
    <w:rsid w:val="00CF00B5"/>
    <w:rsid w:val="00CF05B7"/>
    <w:rsid w:val="00CF05E2"/>
    <w:rsid w:val="00CF0863"/>
    <w:rsid w:val="00CF09A7"/>
    <w:rsid w:val="00CF0E03"/>
    <w:rsid w:val="00CF0E19"/>
    <w:rsid w:val="00CF0E8E"/>
    <w:rsid w:val="00CF0F80"/>
    <w:rsid w:val="00CF0FF4"/>
    <w:rsid w:val="00CF134B"/>
    <w:rsid w:val="00CF13B8"/>
    <w:rsid w:val="00CF1403"/>
    <w:rsid w:val="00CF155F"/>
    <w:rsid w:val="00CF1655"/>
    <w:rsid w:val="00CF194C"/>
    <w:rsid w:val="00CF1A24"/>
    <w:rsid w:val="00CF1A6B"/>
    <w:rsid w:val="00CF1C2C"/>
    <w:rsid w:val="00CF1ED4"/>
    <w:rsid w:val="00CF2330"/>
    <w:rsid w:val="00CF234F"/>
    <w:rsid w:val="00CF238B"/>
    <w:rsid w:val="00CF23F9"/>
    <w:rsid w:val="00CF275B"/>
    <w:rsid w:val="00CF279F"/>
    <w:rsid w:val="00CF2AB6"/>
    <w:rsid w:val="00CF2C5A"/>
    <w:rsid w:val="00CF2EEC"/>
    <w:rsid w:val="00CF31FB"/>
    <w:rsid w:val="00CF331B"/>
    <w:rsid w:val="00CF3333"/>
    <w:rsid w:val="00CF335B"/>
    <w:rsid w:val="00CF3501"/>
    <w:rsid w:val="00CF3729"/>
    <w:rsid w:val="00CF3A43"/>
    <w:rsid w:val="00CF3C56"/>
    <w:rsid w:val="00CF3CDA"/>
    <w:rsid w:val="00CF3D77"/>
    <w:rsid w:val="00CF3EFB"/>
    <w:rsid w:val="00CF4074"/>
    <w:rsid w:val="00CF4297"/>
    <w:rsid w:val="00CF4841"/>
    <w:rsid w:val="00CF4959"/>
    <w:rsid w:val="00CF4B99"/>
    <w:rsid w:val="00CF4E06"/>
    <w:rsid w:val="00CF4EF8"/>
    <w:rsid w:val="00CF50A1"/>
    <w:rsid w:val="00CF510B"/>
    <w:rsid w:val="00CF5271"/>
    <w:rsid w:val="00CF54B1"/>
    <w:rsid w:val="00CF5504"/>
    <w:rsid w:val="00CF554A"/>
    <w:rsid w:val="00CF5568"/>
    <w:rsid w:val="00CF580F"/>
    <w:rsid w:val="00CF5893"/>
    <w:rsid w:val="00CF59E1"/>
    <w:rsid w:val="00CF5C5B"/>
    <w:rsid w:val="00CF64A0"/>
    <w:rsid w:val="00CF6BA8"/>
    <w:rsid w:val="00CF6C28"/>
    <w:rsid w:val="00CF703C"/>
    <w:rsid w:val="00CF703F"/>
    <w:rsid w:val="00CF70F8"/>
    <w:rsid w:val="00CF7112"/>
    <w:rsid w:val="00CF744F"/>
    <w:rsid w:val="00CF754F"/>
    <w:rsid w:val="00CF7552"/>
    <w:rsid w:val="00CF766A"/>
    <w:rsid w:val="00CF772A"/>
    <w:rsid w:val="00CF7807"/>
    <w:rsid w:val="00CF78A5"/>
    <w:rsid w:val="00CF7B42"/>
    <w:rsid w:val="00CF7C91"/>
    <w:rsid w:val="00CF7D07"/>
    <w:rsid w:val="00D0009C"/>
    <w:rsid w:val="00D002B0"/>
    <w:rsid w:val="00D00310"/>
    <w:rsid w:val="00D00331"/>
    <w:rsid w:val="00D0049D"/>
    <w:rsid w:val="00D00698"/>
    <w:rsid w:val="00D00926"/>
    <w:rsid w:val="00D00B0F"/>
    <w:rsid w:val="00D00B88"/>
    <w:rsid w:val="00D00BC4"/>
    <w:rsid w:val="00D00D41"/>
    <w:rsid w:val="00D0106B"/>
    <w:rsid w:val="00D015EF"/>
    <w:rsid w:val="00D01671"/>
    <w:rsid w:val="00D0173F"/>
    <w:rsid w:val="00D01886"/>
    <w:rsid w:val="00D0189D"/>
    <w:rsid w:val="00D01C1E"/>
    <w:rsid w:val="00D01C5A"/>
    <w:rsid w:val="00D01E99"/>
    <w:rsid w:val="00D0254A"/>
    <w:rsid w:val="00D0261A"/>
    <w:rsid w:val="00D02903"/>
    <w:rsid w:val="00D0292E"/>
    <w:rsid w:val="00D02C79"/>
    <w:rsid w:val="00D02DBE"/>
    <w:rsid w:val="00D02E70"/>
    <w:rsid w:val="00D031C0"/>
    <w:rsid w:val="00D0334C"/>
    <w:rsid w:val="00D033D4"/>
    <w:rsid w:val="00D036B5"/>
    <w:rsid w:val="00D03888"/>
    <w:rsid w:val="00D03890"/>
    <w:rsid w:val="00D03B1E"/>
    <w:rsid w:val="00D03C65"/>
    <w:rsid w:val="00D03F6F"/>
    <w:rsid w:val="00D03F7E"/>
    <w:rsid w:val="00D0451D"/>
    <w:rsid w:val="00D0486F"/>
    <w:rsid w:val="00D04A54"/>
    <w:rsid w:val="00D04CC2"/>
    <w:rsid w:val="00D04D54"/>
    <w:rsid w:val="00D04E50"/>
    <w:rsid w:val="00D04F77"/>
    <w:rsid w:val="00D05069"/>
    <w:rsid w:val="00D0555E"/>
    <w:rsid w:val="00D059B6"/>
    <w:rsid w:val="00D05A66"/>
    <w:rsid w:val="00D05C96"/>
    <w:rsid w:val="00D05D55"/>
    <w:rsid w:val="00D05E7C"/>
    <w:rsid w:val="00D060EE"/>
    <w:rsid w:val="00D0612B"/>
    <w:rsid w:val="00D0619D"/>
    <w:rsid w:val="00D061F9"/>
    <w:rsid w:val="00D06238"/>
    <w:rsid w:val="00D06531"/>
    <w:rsid w:val="00D066F2"/>
    <w:rsid w:val="00D06BB8"/>
    <w:rsid w:val="00D06C3E"/>
    <w:rsid w:val="00D06CED"/>
    <w:rsid w:val="00D06E67"/>
    <w:rsid w:val="00D06F38"/>
    <w:rsid w:val="00D06FD5"/>
    <w:rsid w:val="00D07021"/>
    <w:rsid w:val="00D07041"/>
    <w:rsid w:val="00D07342"/>
    <w:rsid w:val="00D075B2"/>
    <w:rsid w:val="00D07624"/>
    <w:rsid w:val="00D0791D"/>
    <w:rsid w:val="00D07BC6"/>
    <w:rsid w:val="00D07C2E"/>
    <w:rsid w:val="00D07E00"/>
    <w:rsid w:val="00D07F48"/>
    <w:rsid w:val="00D10233"/>
    <w:rsid w:val="00D10652"/>
    <w:rsid w:val="00D1070E"/>
    <w:rsid w:val="00D108CE"/>
    <w:rsid w:val="00D1091C"/>
    <w:rsid w:val="00D10A35"/>
    <w:rsid w:val="00D10AA6"/>
    <w:rsid w:val="00D10B91"/>
    <w:rsid w:val="00D10BDF"/>
    <w:rsid w:val="00D10BE7"/>
    <w:rsid w:val="00D10DB1"/>
    <w:rsid w:val="00D10E2E"/>
    <w:rsid w:val="00D1106B"/>
    <w:rsid w:val="00D1109E"/>
    <w:rsid w:val="00D1111F"/>
    <w:rsid w:val="00D11129"/>
    <w:rsid w:val="00D112DC"/>
    <w:rsid w:val="00D11328"/>
    <w:rsid w:val="00D1145B"/>
    <w:rsid w:val="00D114EE"/>
    <w:rsid w:val="00D114F7"/>
    <w:rsid w:val="00D11664"/>
    <w:rsid w:val="00D116F1"/>
    <w:rsid w:val="00D118EC"/>
    <w:rsid w:val="00D119EC"/>
    <w:rsid w:val="00D11C24"/>
    <w:rsid w:val="00D11C64"/>
    <w:rsid w:val="00D11CA6"/>
    <w:rsid w:val="00D120EB"/>
    <w:rsid w:val="00D12389"/>
    <w:rsid w:val="00D12497"/>
    <w:rsid w:val="00D126E0"/>
    <w:rsid w:val="00D127E7"/>
    <w:rsid w:val="00D129F4"/>
    <w:rsid w:val="00D12A19"/>
    <w:rsid w:val="00D12D76"/>
    <w:rsid w:val="00D12DCE"/>
    <w:rsid w:val="00D12EAA"/>
    <w:rsid w:val="00D12EE1"/>
    <w:rsid w:val="00D12F76"/>
    <w:rsid w:val="00D12F8B"/>
    <w:rsid w:val="00D12FA7"/>
    <w:rsid w:val="00D1358A"/>
    <w:rsid w:val="00D13E7A"/>
    <w:rsid w:val="00D13EFE"/>
    <w:rsid w:val="00D14038"/>
    <w:rsid w:val="00D142FB"/>
    <w:rsid w:val="00D14363"/>
    <w:rsid w:val="00D14450"/>
    <w:rsid w:val="00D144F3"/>
    <w:rsid w:val="00D145E3"/>
    <w:rsid w:val="00D14744"/>
    <w:rsid w:val="00D1480F"/>
    <w:rsid w:val="00D148F5"/>
    <w:rsid w:val="00D14B1A"/>
    <w:rsid w:val="00D14BD4"/>
    <w:rsid w:val="00D14C29"/>
    <w:rsid w:val="00D14D94"/>
    <w:rsid w:val="00D14F2A"/>
    <w:rsid w:val="00D14F52"/>
    <w:rsid w:val="00D14F71"/>
    <w:rsid w:val="00D1525C"/>
    <w:rsid w:val="00D15484"/>
    <w:rsid w:val="00D154B1"/>
    <w:rsid w:val="00D15599"/>
    <w:rsid w:val="00D155F6"/>
    <w:rsid w:val="00D15907"/>
    <w:rsid w:val="00D1591C"/>
    <w:rsid w:val="00D15947"/>
    <w:rsid w:val="00D1594B"/>
    <w:rsid w:val="00D15A7E"/>
    <w:rsid w:val="00D15B7A"/>
    <w:rsid w:val="00D15D7F"/>
    <w:rsid w:val="00D15FA0"/>
    <w:rsid w:val="00D161AC"/>
    <w:rsid w:val="00D161E4"/>
    <w:rsid w:val="00D168F5"/>
    <w:rsid w:val="00D1703B"/>
    <w:rsid w:val="00D1705B"/>
    <w:rsid w:val="00D1711D"/>
    <w:rsid w:val="00D171C8"/>
    <w:rsid w:val="00D1722C"/>
    <w:rsid w:val="00D174CD"/>
    <w:rsid w:val="00D175A3"/>
    <w:rsid w:val="00D1760E"/>
    <w:rsid w:val="00D177C7"/>
    <w:rsid w:val="00D17C92"/>
    <w:rsid w:val="00D17D1E"/>
    <w:rsid w:val="00D20156"/>
    <w:rsid w:val="00D201A0"/>
    <w:rsid w:val="00D202DA"/>
    <w:rsid w:val="00D203E7"/>
    <w:rsid w:val="00D20508"/>
    <w:rsid w:val="00D206AA"/>
    <w:rsid w:val="00D20801"/>
    <w:rsid w:val="00D20915"/>
    <w:rsid w:val="00D20A53"/>
    <w:rsid w:val="00D20B05"/>
    <w:rsid w:val="00D20B16"/>
    <w:rsid w:val="00D20C17"/>
    <w:rsid w:val="00D20CA9"/>
    <w:rsid w:val="00D20DCE"/>
    <w:rsid w:val="00D20F14"/>
    <w:rsid w:val="00D20F78"/>
    <w:rsid w:val="00D21185"/>
    <w:rsid w:val="00D211FB"/>
    <w:rsid w:val="00D213C2"/>
    <w:rsid w:val="00D216BE"/>
    <w:rsid w:val="00D2174C"/>
    <w:rsid w:val="00D21837"/>
    <w:rsid w:val="00D21D86"/>
    <w:rsid w:val="00D21DA9"/>
    <w:rsid w:val="00D21E84"/>
    <w:rsid w:val="00D22181"/>
    <w:rsid w:val="00D22251"/>
    <w:rsid w:val="00D223C4"/>
    <w:rsid w:val="00D22447"/>
    <w:rsid w:val="00D225B5"/>
    <w:rsid w:val="00D22A51"/>
    <w:rsid w:val="00D22BD8"/>
    <w:rsid w:val="00D22BDB"/>
    <w:rsid w:val="00D22CEC"/>
    <w:rsid w:val="00D22E62"/>
    <w:rsid w:val="00D22E6C"/>
    <w:rsid w:val="00D22E90"/>
    <w:rsid w:val="00D22F5C"/>
    <w:rsid w:val="00D22FED"/>
    <w:rsid w:val="00D2301F"/>
    <w:rsid w:val="00D230CE"/>
    <w:rsid w:val="00D231B0"/>
    <w:rsid w:val="00D2325F"/>
    <w:rsid w:val="00D23270"/>
    <w:rsid w:val="00D233FC"/>
    <w:rsid w:val="00D2356D"/>
    <w:rsid w:val="00D23E30"/>
    <w:rsid w:val="00D23E6C"/>
    <w:rsid w:val="00D2411D"/>
    <w:rsid w:val="00D241BB"/>
    <w:rsid w:val="00D24215"/>
    <w:rsid w:val="00D24233"/>
    <w:rsid w:val="00D2431E"/>
    <w:rsid w:val="00D248B3"/>
    <w:rsid w:val="00D24909"/>
    <w:rsid w:val="00D249B3"/>
    <w:rsid w:val="00D24AFF"/>
    <w:rsid w:val="00D24B5E"/>
    <w:rsid w:val="00D24B73"/>
    <w:rsid w:val="00D24BA2"/>
    <w:rsid w:val="00D24BEE"/>
    <w:rsid w:val="00D24D74"/>
    <w:rsid w:val="00D24F91"/>
    <w:rsid w:val="00D25133"/>
    <w:rsid w:val="00D25306"/>
    <w:rsid w:val="00D25462"/>
    <w:rsid w:val="00D25551"/>
    <w:rsid w:val="00D258EA"/>
    <w:rsid w:val="00D259B9"/>
    <w:rsid w:val="00D25A5A"/>
    <w:rsid w:val="00D25DF7"/>
    <w:rsid w:val="00D26033"/>
    <w:rsid w:val="00D26150"/>
    <w:rsid w:val="00D26230"/>
    <w:rsid w:val="00D2631D"/>
    <w:rsid w:val="00D263AB"/>
    <w:rsid w:val="00D268D1"/>
    <w:rsid w:val="00D2691A"/>
    <w:rsid w:val="00D26E62"/>
    <w:rsid w:val="00D26FC5"/>
    <w:rsid w:val="00D276D6"/>
    <w:rsid w:val="00D27A3A"/>
    <w:rsid w:val="00D27A59"/>
    <w:rsid w:val="00D27D29"/>
    <w:rsid w:val="00D27E7A"/>
    <w:rsid w:val="00D27FA9"/>
    <w:rsid w:val="00D302B3"/>
    <w:rsid w:val="00D30498"/>
    <w:rsid w:val="00D304FD"/>
    <w:rsid w:val="00D30677"/>
    <w:rsid w:val="00D30793"/>
    <w:rsid w:val="00D307CF"/>
    <w:rsid w:val="00D3081B"/>
    <w:rsid w:val="00D30BFF"/>
    <w:rsid w:val="00D30DB7"/>
    <w:rsid w:val="00D30E77"/>
    <w:rsid w:val="00D310FE"/>
    <w:rsid w:val="00D3135A"/>
    <w:rsid w:val="00D3135E"/>
    <w:rsid w:val="00D313B6"/>
    <w:rsid w:val="00D3169C"/>
    <w:rsid w:val="00D316AC"/>
    <w:rsid w:val="00D31B57"/>
    <w:rsid w:val="00D31B66"/>
    <w:rsid w:val="00D31D23"/>
    <w:rsid w:val="00D31D26"/>
    <w:rsid w:val="00D31E78"/>
    <w:rsid w:val="00D31FDA"/>
    <w:rsid w:val="00D3232E"/>
    <w:rsid w:val="00D3246C"/>
    <w:rsid w:val="00D32519"/>
    <w:rsid w:val="00D329D8"/>
    <w:rsid w:val="00D32A0F"/>
    <w:rsid w:val="00D32B9F"/>
    <w:rsid w:val="00D32DA9"/>
    <w:rsid w:val="00D32DC3"/>
    <w:rsid w:val="00D32E18"/>
    <w:rsid w:val="00D32F5E"/>
    <w:rsid w:val="00D32FE8"/>
    <w:rsid w:val="00D33883"/>
    <w:rsid w:val="00D339ED"/>
    <w:rsid w:val="00D33A08"/>
    <w:rsid w:val="00D33C84"/>
    <w:rsid w:val="00D33CF1"/>
    <w:rsid w:val="00D33E92"/>
    <w:rsid w:val="00D34151"/>
    <w:rsid w:val="00D34239"/>
    <w:rsid w:val="00D3447B"/>
    <w:rsid w:val="00D34528"/>
    <w:rsid w:val="00D34709"/>
    <w:rsid w:val="00D34896"/>
    <w:rsid w:val="00D34946"/>
    <w:rsid w:val="00D34C09"/>
    <w:rsid w:val="00D34C79"/>
    <w:rsid w:val="00D34CAC"/>
    <w:rsid w:val="00D34F29"/>
    <w:rsid w:val="00D34FE4"/>
    <w:rsid w:val="00D351B2"/>
    <w:rsid w:val="00D35616"/>
    <w:rsid w:val="00D35651"/>
    <w:rsid w:val="00D356DF"/>
    <w:rsid w:val="00D356F6"/>
    <w:rsid w:val="00D35773"/>
    <w:rsid w:val="00D357C0"/>
    <w:rsid w:val="00D35CD0"/>
    <w:rsid w:val="00D35E55"/>
    <w:rsid w:val="00D3602D"/>
    <w:rsid w:val="00D3626E"/>
    <w:rsid w:val="00D3646E"/>
    <w:rsid w:val="00D36494"/>
    <w:rsid w:val="00D36883"/>
    <w:rsid w:val="00D3695B"/>
    <w:rsid w:val="00D36A71"/>
    <w:rsid w:val="00D36B41"/>
    <w:rsid w:val="00D36D1C"/>
    <w:rsid w:val="00D36D30"/>
    <w:rsid w:val="00D36E9A"/>
    <w:rsid w:val="00D36F9E"/>
    <w:rsid w:val="00D3729E"/>
    <w:rsid w:val="00D374DF"/>
    <w:rsid w:val="00D3777E"/>
    <w:rsid w:val="00D37912"/>
    <w:rsid w:val="00D379D8"/>
    <w:rsid w:val="00D37D55"/>
    <w:rsid w:val="00D37E64"/>
    <w:rsid w:val="00D37FE3"/>
    <w:rsid w:val="00D402AC"/>
    <w:rsid w:val="00D402EF"/>
    <w:rsid w:val="00D40354"/>
    <w:rsid w:val="00D4040B"/>
    <w:rsid w:val="00D405E5"/>
    <w:rsid w:val="00D405EE"/>
    <w:rsid w:val="00D408B7"/>
    <w:rsid w:val="00D40A86"/>
    <w:rsid w:val="00D40AED"/>
    <w:rsid w:val="00D40C87"/>
    <w:rsid w:val="00D40D05"/>
    <w:rsid w:val="00D40F3F"/>
    <w:rsid w:val="00D4144B"/>
    <w:rsid w:val="00D4177D"/>
    <w:rsid w:val="00D417A2"/>
    <w:rsid w:val="00D41A4E"/>
    <w:rsid w:val="00D41A73"/>
    <w:rsid w:val="00D41C28"/>
    <w:rsid w:val="00D41C7C"/>
    <w:rsid w:val="00D41D4B"/>
    <w:rsid w:val="00D41FBB"/>
    <w:rsid w:val="00D421E6"/>
    <w:rsid w:val="00D422F5"/>
    <w:rsid w:val="00D4256A"/>
    <w:rsid w:val="00D42754"/>
    <w:rsid w:val="00D429C3"/>
    <w:rsid w:val="00D42BE1"/>
    <w:rsid w:val="00D42FB2"/>
    <w:rsid w:val="00D43001"/>
    <w:rsid w:val="00D4341C"/>
    <w:rsid w:val="00D437B8"/>
    <w:rsid w:val="00D4395F"/>
    <w:rsid w:val="00D43A6D"/>
    <w:rsid w:val="00D43D24"/>
    <w:rsid w:val="00D43E1E"/>
    <w:rsid w:val="00D43F9C"/>
    <w:rsid w:val="00D443AA"/>
    <w:rsid w:val="00D44736"/>
    <w:rsid w:val="00D44E6E"/>
    <w:rsid w:val="00D45038"/>
    <w:rsid w:val="00D450D4"/>
    <w:rsid w:val="00D458CB"/>
    <w:rsid w:val="00D45B9F"/>
    <w:rsid w:val="00D45E91"/>
    <w:rsid w:val="00D45E92"/>
    <w:rsid w:val="00D45F2A"/>
    <w:rsid w:val="00D465A1"/>
    <w:rsid w:val="00D465CE"/>
    <w:rsid w:val="00D46813"/>
    <w:rsid w:val="00D46918"/>
    <w:rsid w:val="00D46A03"/>
    <w:rsid w:val="00D46B5F"/>
    <w:rsid w:val="00D46E30"/>
    <w:rsid w:val="00D46F18"/>
    <w:rsid w:val="00D470DE"/>
    <w:rsid w:val="00D47657"/>
    <w:rsid w:val="00D4771E"/>
    <w:rsid w:val="00D47725"/>
    <w:rsid w:val="00D4782D"/>
    <w:rsid w:val="00D479C3"/>
    <w:rsid w:val="00D47A58"/>
    <w:rsid w:val="00D47A8C"/>
    <w:rsid w:val="00D47C08"/>
    <w:rsid w:val="00D47C35"/>
    <w:rsid w:val="00D47F55"/>
    <w:rsid w:val="00D501D7"/>
    <w:rsid w:val="00D50274"/>
    <w:rsid w:val="00D50308"/>
    <w:rsid w:val="00D504CE"/>
    <w:rsid w:val="00D505DD"/>
    <w:rsid w:val="00D50799"/>
    <w:rsid w:val="00D50AA9"/>
    <w:rsid w:val="00D50AEE"/>
    <w:rsid w:val="00D50C5B"/>
    <w:rsid w:val="00D50D1C"/>
    <w:rsid w:val="00D50D25"/>
    <w:rsid w:val="00D50D75"/>
    <w:rsid w:val="00D50DF4"/>
    <w:rsid w:val="00D511D4"/>
    <w:rsid w:val="00D51574"/>
    <w:rsid w:val="00D515A2"/>
    <w:rsid w:val="00D515EC"/>
    <w:rsid w:val="00D51761"/>
    <w:rsid w:val="00D517C7"/>
    <w:rsid w:val="00D51917"/>
    <w:rsid w:val="00D51AF6"/>
    <w:rsid w:val="00D51DFA"/>
    <w:rsid w:val="00D51E9F"/>
    <w:rsid w:val="00D52741"/>
    <w:rsid w:val="00D52861"/>
    <w:rsid w:val="00D52914"/>
    <w:rsid w:val="00D52AFD"/>
    <w:rsid w:val="00D52EC7"/>
    <w:rsid w:val="00D52F81"/>
    <w:rsid w:val="00D52FA2"/>
    <w:rsid w:val="00D5319B"/>
    <w:rsid w:val="00D534B2"/>
    <w:rsid w:val="00D53874"/>
    <w:rsid w:val="00D539C2"/>
    <w:rsid w:val="00D53C9B"/>
    <w:rsid w:val="00D53F0B"/>
    <w:rsid w:val="00D53F4A"/>
    <w:rsid w:val="00D54228"/>
    <w:rsid w:val="00D542B2"/>
    <w:rsid w:val="00D5439A"/>
    <w:rsid w:val="00D544E9"/>
    <w:rsid w:val="00D54518"/>
    <w:rsid w:val="00D545FF"/>
    <w:rsid w:val="00D5496E"/>
    <w:rsid w:val="00D549D0"/>
    <w:rsid w:val="00D54AA7"/>
    <w:rsid w:val="00D54B67"/>
    <w:rsid w:val="00D54B6A"/>
    <w:rsid w:val="00D54F3A"/>
    <w:rsid w:val="00D55045"/>
    <w:rsid w:val="00D550DA"/>
    <w:rsid w:val="00D55133"/>
    <w:rsid w:val="00D5539A"/>
    <w:rsid w:val="00D5545F"/>
    <w:rsid w:val="00D555C2"/>
    <w:rsid w:val="00D55618"/>
    <w:rsid w:val="00D556E6"/>
    <w:rsid w:val="00D5597B"/>
    <w:rsid w:val="00D55AA3"/>
    <w:rsid w:val="00D55B73"/>
    <w:rsid w:val="00D55C9F"/>
    <w:rsid w:val="00D55ED1"/>
    <w:rsid w:val="00D56272"/>
    <w:rsid w:val="00D56500"/>
    <w:rsid w:val="00D56649"/>
    <w:rsid w:val="00D56821"/>
    <w:rsid w:val="00D5684A"/>
    <w:rsid w:val="00D56911"/>
    <w:rsid w:val="00D56AB4"/>
    <w:rsid w:val="00D56E99"/>
    <w:rsid w:val="00D57022"/>
    <w:rsid w:val="00D57A54"/>
    <w:rsid w:val="00D57DAB"/>
    <w:rsid w:val="00D57E33"/>
    <w:rsid w:val="00D60017"/>
    <w:rsid w:val="00D601C1"/>
    <w:rsid w:val="00D6057D"/>
    <w:rsid w:val="00D60714"/>
    <w:rsid w:val="00D607B8"/>
    <w:rsid w:val="00D60914"/>
    <w:rsid w:val="00D6094C"/>
    <w:rsid w:val="00D6097C"/>
    <w:rsid w:val="00D60DD3"/>
    <w:rsid w:val="00D6117D"/>
    <w:rsid w:val="00D6133C"/>
    <w:rsid w:val="00D6140D"/>
    <w:rsid w:val="00D6153D"/>
    <w:rsid w:val="00D616A9"/>
    <w:rsid w:val="00D61A8B"/>
    <w:rsid w:val="00D62233"/>
    <w:rsid w:val="00D6261F"/>
    <w:rsid w:val="00D6264D"/>
    <w:rsid w:val="00D6276F"/>
    <w:rsid w:val="00D62772"/>
    <w:rsid w:val="00D627BB"/>
    <w:rsid w:val="00D62A6D"/>
    <w:rsid w:val="00D62C75"/>
    <w:rsid w:val="00D62DF0"/>
    <w:rsid w:val="00D62F04"/>
    <w:rsid w:val="00D630DD"/>
    <w:rsid w:val="00D63175"/>
    <w:rsid w:val="00D6345D"/>
    <w:rsid w:val="00D63465"/>
    <w:rsid w:val="00D63511"/>
    <w:rsid w:val="00D637D1"/>
    <w:rsid w:val="00D6380B"/>
    <w:rsid w:val="00D639E2"/>
    <w:rsid w:val="00D63DBA"/>
    <w:rsid w:val="00D64413"/>
    <w:rsid w:val="00D645F9"/>
    <w:rsid w:val="00D64C3F"/>
    <w:rsid w:val="00D64D19"/>
    <w:rsid w:val="00D64D62"/>
    <w:rsid w:val="00D64F78"/>
    <w:rsid w:val="00D64FBD"/>
    <w:rsid w:val="00D6504D"/>
    <w:rsid w:val="00D65056"/>
    <w:rsid w:val="00D65196"/>
    <w:rsid w:val="00D65408"/>
    <w:rsid w:val="00D6559D"/>
    <w:rsid w:val="00D656A5"/>
    <w:rsid w:val="00D65780"/>
    <w:rsid w:val="00D65BF9"/>
    <w:rsid w:val="00D65C4C"/>
    <w:rsid w:val="00D65EEE"/>
    <w:rsid w:val="00D66027"/>
    <w:rsid w:val="00D6611E"/>
    <w:rsid w:val="00D662A1"/>
    <w:rsid w:val="00D662E0"/>
    <w:rsid w:val="00D6675A"/>
    <w:rsid w:val="00D6675D"/>
    <w:rsid w:val="00D66886"/>
    <w:rsid w:val="00D66AB0"/>
    <w:rsid w:val="00D66C07"/>
    <w:rsid w:val="00D66D1C"/>
    <w:rsid w:val="00D66E25"/>
    <w:rsid w:val="00D67220"/>
    <w:rsid w:val="00D6726A"/>
    <w:rsid w:val="00D672DE"/>
    <w:rsid w:val="00D67516"/>
    <w:rsid w:val="00D67691"/>
    <w:rsid w:val="00D67731"/>
    <w:rsid w:val="00D6777D"/>
    <w:rsid w:val="00D678CE"/>
    <w:rsid w:val="00D67A05"/>
    <w:rsid w:val="00D67D33"/>
    <w:rsid w:val="00D67DCE"/>
    <w:rsid w:val="00D67F43"/>
    <w:rsid w:val="00D7022D"/>
    <w:rsid w:val="00D70877"/>
    <w:rsid w:val="00D709FC"/>
    <w:rsid w:val="00D70CF6"/>
    <w:rsid w:val="00D710FE"/>
    <w:rsid w:val="00D71141"/>
    <w:rsid w:val="00D712B0"/>
    <w:rsid w:val="00D71437"/>
    <w:rsid w:val="00D7143C"/>
    <w:rsid w:val="00D7153A"/>
    <w:rsid w:val="00D71656"/>
    <w:rsid w:val="00D71717"/>
    <w:rsid w:val="00D71759"/>
    <w:rsid w:val="00D71804"/>
    <w:rsid w:val="00D718DC"/>
    <w:rsid w:val="00D71ADA"/>
    <w:rsid w:val="00D71C71"/>
    <w:rsid w:val="00D71E17"/>
    <w:rsid w:val="00D71E8F"/>
    <w:rsid w:val="00D71F9C"/>
    <w:rsid w:val="00D7221C"/>
    <w:rsid w:val="00D723CA"/>
    <w:rsid w:val="00D724B1"/>
    <w:rsid w:val="00D72CAB"/>
    <w:rsid w:val="00D72D1B"/>
    <w:rsid w:val="00D72D99"/>
    <w:rsid w:val="00D72E3F"/>
    <w:rsid w:val="00D72EE8"/>
    <w:rsid w:val="00D72F8F"/>
    <w:rsid w:val="00D72FE8"/>
    <w:rsid w:val="00D731DF"/>
    <w:rsid w:val="00D732EE"/>
    <w:rsid w:val="00D734FC"/>
    <w:rsid w:val="00D736A0"/>
    <w:rsid w:val="00D7379C"/>
    <w:rsid w:val="00D737EE"/>
    <w:rsid w:val="00D739A3"/>
    <w:rsid w:val="00D739C3"/>
    <w:rsid w:val="00D73B83"/>
    <w:rsid w:val="00D73DDC"/>
    <w:rsid w:val="00D73E41"/>
    <w:rsid w:val="00D73ECC"/>
    <w:rsid w:val="00D73F62"/>
    <w:rsid w:val="00D74185"/>
    <w:rsid w:val="00D74204"/>
    <w:rsid w:val="00D744FF"/>
    <w:rsid w:val="00D74547"/>
    <w:rsid w:val="00D7468A"/>
    <w:rsid w:val="00D7470F"/>
    <w:rsid w:val="00D74924"/>
    <w:rsid w:val="00D74951"/>
    <w:rsid w:val="00D74B12"/>
    <w:rsid w:val="00D74B26"/>
    <w:rsid w:val="00D74B41"/>
    <w:rsid w:val="00D74E74"/>
    <w:rsid w:val="00D75098"/>
    <w:rsid w:val="00D750A0"/>
    <w:rsid w:val="00D75294"/>
    <w:rsid w:val="00D7536E"/>
    <w:rsid w:val="00D754C9"/>
    <w:rsid w:val="00D7559A"/>
    <w:rsid w:val="00D75685"/>
    <w:rsid w:val="00D7579B"/>
    <w:rsid w:val="00D757AD"/>
    <w:rsid w:val="00D757BC"/>
    <w:rsid w:val="00D7582E"/>
    <w:rsid w:val="00D7587F"/>
    <w:rsid w:val="00D758D8"/>
    <w:rsid w:val="00D75A3E"/>
    <w:rsid w:val="00D75ABE"/>
    <w:rsid w:val="00D75CC8"/>
    <w:rsid w:val="00D75D93"/>
    <w:rsid w:val="00D75E9C"/>
    <w:rsid w:val="00D75FC3"/>
    <w:rsid w:val="00D761B9"/>
    <w:rsid w:val="00D7621C"/>
    <w:rsid w:val="00D76269"/>
    <w:rsid w:val="00D7668F"/>
    <w:rsid w:val="00D7675D"/>
    <w:rsid w:val="00D76789"/>
    <w:rsid w:val="00D7685A"/>
    <w:rsid w:val="00D76B11"/>
    <w:rsid w:val="00D76C57"/>
    <w:rsid w:val="00D76D32"/>
    <w:rsid w:val="00D76E65"/>
    <w:rsid w:val="00D76F55"/>
    <w:rsid w:val="00D76F84"/>
    <w:rsid w:val="00D77529"/>
    <w:rsid w:val="00D776BC"/>
    <w:rsid w:val="00D77836"/>
    <w:rsid w:val="00D77C04"/>
    <w:rsid w:val="00D77C55"/>
    <w:rsid w:val="00D77D00"/>
    <w:rsid w:val="00D77E64"/>
    <w:rsid w:val="00D8008D"/>
    <w:rsid w:val="00D80187"/>
    <w:rsid w:val="00D80438"/>
    <w:rsid w:val="00D80468"/>
    <w:rsid w:val="00D805D5"/>
    <w:rsid w:val="00D806CA"/>
    <w:rsid w:val="00D8083E"/>
    <w:rsid w:val="00D80CA8"/>
    <w:rsid w:val="00D80DBE"/>
    <w:rsid w:val="00D80E44"/>
    <w:rsid w:val="00D80E84"/>
    <w:rsid w:val="00D80E92"/>
    <w:rsid w:val="00D80F37"/>
    <w:rsid w:val="00D8103F"/>
    <w:rsid w:val="00D81057"/>
    <w:rsid w:val="00D8119F"/>
    <w:rsid w:val="00D812DC"/>
    <w:rsid w:val="00D814B5"/>
    <w:rsid w:val="00D81519"/>
    <w:rsid w:val="00D81592"/>
    <w:rsid w:val="00D81768"/>
    <w:rsid w:val="00D81969"/>
    <w:rsid w:val="00D81E5E"/>
    <w:rsid w:val="00D81F36"/>
    <w:rsid w:val="00D82027"/>
    <w:rsid w:val="00D820FB"/>
    <w:rsid w:val="00D821CF"/>
    <w:rsid w:val="00D823B3"/>
    <w:rsid w:val="00D824A2"/>
    <w:rsid w:val="00D824F4"/>
    <w:rsid w:val="00D8260B"/>
    <w:rsid w:val="00D82A53"/>
    <w:rsid w:val="00D82D25"/>
    <w:rsid w:val="00D831DB"/>
    <w:rsid w:val="00D83392"/>
    <w:rsid w:val="00D83462"/>
    <w:rsid w:val="00D838AB"/>
    <w:rsid w:val="00D83A56"/>
    <w:rsid w:val="00D83C7A"/>
    <w:rsid w:val="00D83F4E"/>
    <w:rsid w:val="00D83FB1"/>
    <w:rsid w:val="00D83FDB"/>
    <w:rsid w:val="00D8447B"/>
    <w:rsid w:val="00D846B0"/>
    <w:rsid w:val="00D8479C"/>
    <w:rsid w:val="00D84872"/>
    <w:rsid w:val="00D84A23"/>
    <w:rsid w:val="00D84A49"/>
    <w:rsid w:val="00D84B56"/>
    <w:rsid w:val="00D84B6D"/>
    <w:rsid w:val="00D84CA5"/>
    <w:rsid w:val="00D84D18"/>
    <w:rsid w:val="00D84EF6"/>
    <w:rsid w:val="00D85193"/>
    <w:rsid w:val="00D858CD"/>
    <w:rsid w:val="00D85B96"/>
    <w:rsid w:val="00D85CEE"/>
    <w:rsid w:val="00D85ED1"/>
    <w:rsid w:val="00D85EDF"/>
    <w:rsid w:val="00D85FC3"/>
    <w:rsid w:val="00D8602B"/>
    <w:rsid w:val="00D861D9"/>
    <w:rsid w:val="00D86393"/>
    <w:rsid w:val="00D863FB"/>
    <w:rsid w:val="00D864DA"/>
    <w:rsid w:val="00D86591"/>
    <w:rsid w:val="00D866A9"/>
    <w:rsid w:val="00D86797"/>
    <w:rsid w:val="00D86BBD"/>
    <w:rsid w:val="00D86C4D"/>
    <w:rsid w:val="00D86CD2"/>
    <w:rsid w:val="00D87B46"/>
    <w:rsid w:val="00D87C6D"/>
    <w:rsid w:val="00D87E5E"/>
    <w:rsid w:val="00D87F8E"/>
    <w:rsid w:val="00D901E9"/>
    <w:rsid w:val="00D9057C"/>
    <w:rsid w:val="00D90B32"/>
    <w:rsid w:val="00D90B75"/>
    <w:rsid w:val="00D90BA6"/>
    <w:rsid w:val="00D90BBF"/>
    <w:rsid w:val="00D90DF5"/>
    <w:rsid w:val="00D90FEF"/>
    <w:rsid w:val="00D91019"/>
    <w:rsid w:val="00D911D1"/>
    <w:rsid w:val="00D91388"/>
    <w:rsid w:val="00D914F6"/>
    <w:rsid w:val="00D916B0"/>
    <w:rsid w:val="00D92125"/>
    <w:rsid w:val="00D9215A"/>
    <w:rsid w:val="00D921A0"/>
    <w:rsid w:val="00D922BD"/>
    <w:rsid w:val="00D923AC"/>
    <w:rsid w:val="00D92426"/>
    <w:rsid w:val="00D92587"/>
    <w:rsid w:val="00D92591"/>
    <w:rsid w:val="00D92854"/>
    <w:rsid w:val="00D9289C"/>
    <w:rsid w:val="00D92E04"/>
    <w:rsid w:val="00D92E56"/>
    <w:rsid w:val="00D93087"/>
    <w:rsid w:val="00D93295"/>
    <w:rsid w:val="00D93607"/>
    <w:rsid w:val="00D93AF6"/>
    <w:rsid w:val="00D93B55"/>
    <w:rsid w:val="00D93C0B"/>
    <w:rsid w:val="00D93C39"/>
    <w:rsid w:val="00D93C5B"/>
    <w:rsid w:val="00D93CDC"/>
    <w:rsid w:val="00D93DCA"/>
    <w:rsid w:val="00D93F93"/>
    <w:rsid w:val="00D93FA7"/>
    <w:rsid w:val="00D94036"/>
    <w:rsid w:val="00D94211"/>
    <w:rsid w:val="00D94375"/>
    <w:rsid w:val="00D943D5"/>
    <w:rsid w:val="00D94524"/>
    <w:rsid w:val="00D9475C"/>
    <w:rsid w:val="00D94811"/>
    <w:rsid w:val="00D948BE"/>
    <w:rsid w:val="00D94D4D"/>
    <w:rsid w:val="00D94D8D"/>
    <w:rsid w:val="00D94DE0"/>
    <w:rsid w:val="00D94DF0"/>
    <w:rsid w:val="00D94F2A"/>
    <w:rsid w:val="00D95077"/>
    <w:rsid w:val="00D953A2"/>
    <w:rsid w:val="00D953A4"/>
    <w:rsid w:val="00D95517"/>
    <w:rsid w:val="00D9593D"/>
    <w:rsid w:val="00D95C6E"/>
    <w:rsid w:val="00D95D1C"/>
    <w:rsid w:val="00D95EA2"/>
    <w:rsid w:val="00D95F7F"/>
    <w:rsid w:val="00D96072"/>
    <w:rsid w:val="00D962F1"/>
    <w:rsid w:val="00D9633C"/>
    <w:rsid w:val="00D9663D"/>
    <w:rsid w:val="00D96A6B"/>
    <w:rsid w:val="00D96B2A"/>
    <w:rsid w:val="00D96BED"/>
    <w:rsid w:val="00D96F43"/>
    <w:rsid w:val="00D96FE7"/>
    <w:rsid w:val="00D9704E"/>
    <w:rsid w:val="00D970AE"/>
    <w:rsid w:val="00D970C8"/>
    <w:rsid w:val="00D970DD"/>
    <w:rsid w:val="00D974FF"/>
    <w:rsid w:val="00D976C9"/>
    <w:rsid w:val="00D977A5"/>
    <w:rsid w:val="00D979CD"/>
    <w:rsid w:val="00D97B10"/>
    <w:rsid w:val="00D97B31"/>
    <w:rsid w:val="00D97BEA"/>
    <w:rsid w:val="00D97C2F"/>
    <w:rsid w:val="00D97D0C"/>
    <w:rsid w:val="00D97DAA"/>
    <w:rsid w:val="00D97E92"/>
    <w:rsid w:val="00DA01F7"/>
    <w:rsid w:val="00DA0459"/>
    <w:rsid w:val="00DA071C"/>
    <w:rsid w:val="00DA07D2"/>
    <w:rsid w:val="00DA07D3"/>
    <w:rsid w:val="00DA0803"/>
    <w:rsid w:val="00DA0A5C"/>
    <w:rsid w:val="00DA0AED"/>
    <w:rsid w:val="00DA0FA4"/>
    <w:rsid w:val="00DA172B"/>
    <w:rsid w:val="00DA1B71"/>
    <w:rsid w:val="00DA2358"/>
    <w:rsid w:val="00DA2455"/>
    <w:rsid w:val="00DA2700"/>
    <w:rsid w:val="00DA282C"/>
    <w:rsid w:val="00DA28D2"/>
    <w:rsid w:val="00DA2966"/>
    <w:rsid w:val="00DA2C9B"/>
    <w:rsid w:val="00DA2D89"/>
    <w:rsid w:val="00DA2E41"/>
    <w:rsid w:val="00DA2F88"/>
    <w:rsid w:val="00DA2F91"/>
    <w:rsid w:val="00DA3372"/>
    <w:rsid w:val="00DA3398"/>
    <w:rsid w:val="00DA35B2"/>
    <w:rsid w:val="00DA3B6C"/>
    <w:rsid w:val="00DA3DD1"/>
    <w:rsid w:val="00DA3F43"/>
    <w:rsid w:val="00DA43BC"/>
    <w:rsid w:val="00DA445A"/>
    <w:rsid w:val="00DA447D"/>
    <w:rsid w:val="00DA453E"/>
    <w:rsid w:val="00DA46F5"/>
    <w:rsid w:val="00DA47DB"/>
    <w:rsid w:val="00DA4990"/>
    <w:rsid w:val="00DA4A4C"/>
    <w:rsid w:val="00DA4D49"/>
    <w:rsid w:val="00DA557F"/>
    <w:rsid w:val="00DA57B3"/>
    <w:rsid w:val="00DA5A8B"/>
    <w:rsid w:val="00DA5AC9"/>
    <w:rsid w:val="00DA626A"/>
    <w:rsid w:val="00DA65A0"/>
    <w:rsid w:val="00DA67FC"/>
    <w:rsid w:val="00DA682E"/>
    <w:rsid w:val="00DA68CB"/>
    <w:rsid w:val="00DA68DB"/>
    <w:rsid w:val="00DA6945"/>
    <w:rsid w:val="00DA6E6C"/>
    <w:rsid w:val="00DA7203"/>
    <w:rsid w:val="00DA7294"/>
    <w:rsid w:val="00DA7398"/>
    <w:rsid w:val="00DA758B"/>
    <w:rsid w:val="00DA7626"/>
    <w:rsid w:val="00DA7852"/>
    <w:rsid w:val="00DA7D86"/>
    <w:rsid w:val="00DA7D93"/>
    <w:rsid w:val="00DA7FF3"/>
    <w:rsid w:val="00DB0113"/>
    <w:rsid w:val="00DB0281"/>
    <w:rsid w:val="00DB0376"/>
    <w:rsid w:val="00DB0437"/>
    <w:rsid w:val="00DB0508"/>
    <w:rsid w:val="00DB05AD"/>
    <w:rsid w:val="00DB076D"/>
    <w:rsid w:val="00DB07C2"/>
    <w:rsid w:val="00DB0CBC"/>
    <w:rsid w:val="00DB0CDF"/>
    <w:rsid w:val="00DB10BC"/>
    <w:rsid w:val="00DB1126"/>
    <w:rsid w:val="00DB1205"/>
    <w:rsid w:val="00DB162B"/>
    <w:rsid w:val="00DB16F2"/>
    <w:rsid w:val="00DB17A8"/>
    <w:rsid w:val="00DB1A7F"/>
    <w:rsid w:val="00DB1CA2"/>
    <w:rsid w:val="00DB1DDB"/>
    <w:rsid w:val="00DB1FC0"/>
    <w:rsid w:val="00DB20A8"/>
    <w:rsid w:val="00DB2264"/>
    <w:rsid w:val="00DB2348"/>
    <w:rsid w:val="00DB2828"/>
    <w:rsid w:val="00DB284C"/>
    <w:rsid w:val="00DB291A"/>
    <w:rsid w:val="00DB2A08"/>
    <w:rsid w:val="00DB2A65"/>
    <w:rsid w:val="00DB2A7D"/>
    <w:rsid w:val="00DB2A90"/>
    <w:rsid w:val="00DB3116"/>
    <w:rsid w:val="00DB32AB"/>
    <w:rsid w:val="00DB35DF"/>
    <w:rsid w:val="00DB393F"/>
    <w:rsid w:val="00DB39E9"/>
    <w:rsid w:val="00DB3B2D"/>
    <w:rsid w:val="00DB3B47"/>
    <w:rsid w:val="00DB400F"/>
    <w:rsid w:val="00DB40C0"/>
    <w:rsid w:val="00DB4164"/>
    <w:rsid w:val="00DB4790"/>
    <w:rsid w:val="00DB48BF"/>
    <w:rsid w:val="00DB4A6F"/>
    <w:rsid w:val="00DB4BEE"/>
    <w:rsid w:val="00DB4D33"/>
    <w:rsid w:val="00DB4FC0"/>
    <w:rsid w:val="00DB506C"/>
    <w:rsid w:val="00DB5232"/>
    <w:rsid w:val="00DB52A6"/>
    <w:rsid w:val="00DB52D9"/>
    <w:rsid w:val="00DB536E"/>
    <w:rsid w:val="00DB5552"/>
    <w:rsid w:val="00DB563F"/>
    <w:rsid w:val="00DB5644"/>
    <w:rsid w:val="00DB56B9"/>
    <w:rsid w:val="00DB56C9"/>
    <w:rsid w:val="00DB5754"/>
    <w:rsid w:val="00DB5837"/>
    <w:rsid w:val="00DB59B3"/>
    <w:rsid w:val="00DB5AEE"/>
    <w:rsid w:val="00DB5BC9"/>
    <w:rsid w:val="00DB5E52"/>
    <w:rsid w:val="00DB5EBF"/>
    <w:rsid w:val="00DB5F81"/>
    <w:rsid w:val="00DB605F"/>
    <w:rsid w:val="00DB6206"/>
    <w:rsid w:val="00DB62B2"/>
    <w:rsid w:val="00DB64A9"/>
    <w:rsid w:val="00DB6540"/>
    <w:rsid w:val="00DB6713"/>
    <w:rsid w:val="00DB71F5"/>
    <w:rsid w:val="00DB72F1"/>
    <w:rsid w:val="00DB73F2"/>
    <w:rsid w:val="00DB74C2"/>
    <w:rsid w:val="00DB7541"/>
    <w:rsid w:val="00DB7C64"/>
    <w:rsid w:val="00DB7D87"/>
    <w:rsid w:val="00DB7DA1"/>
    <w:rsid w:val="00DB7ECF"/>
    <w:rsid w:val="00DB7F38"/>
    <w:rsid w:val="00DC0013"/>
    <w:rsid w:val="00DC007B"/>
    <w:rsid w:val="00DC0467"/>
    <w:rsid w:val="00DC05B0"/>
    <w:rsid w:val="00DC078C"/>
    <w:rsid w:val="00DC0790"/>
    <w:rsid w:val="00DC0880"/>
    <w:rsid w:val="00DC0B53"/>
    <w:rsid w:val="00DC0D1D"/>
    <w:rsid w:val="00DC0D7F"/>
    <w:rsid w:val="00DC0DFE"/>
    <w:rsid w:val="00DC1223"/>
    <w:rsid w:val="00DC13BD"/>
    <w:rsid w:val="00DC1489"/>
    <w:rsid w:val="00DC14D9"/>
    <w:rsid w:val="00DC178E"/>
    <w:rsid w:val="00DC183A"/>
    <w:rsid w:val="00DC1A5F"/>
    <w:rsid w:val="00DC1BAE"/>
    <w:rsid w:val="00DC1C11"/>
    <w:rsid w:val="00DC1D03"/>
    <w:rsid w:val="00DC1E0C"/>
    <w:rsid w:val="00DC1EC6"/>
    <w:rsid w:val="00DC1F10"/>
    <w:rsid w:val="00DC231B"/>
    <w:rsid w:val="00DC23A5"/>
    <w:rsid w:val="00DC24F1"/>
    <w:rsid w:val="00DC258A"/>
    <w:rsid w:val="00DC2763"/>
    <w:rsid w:val="00DC29AE"/>
    <w:rsid w:val="00DC2E5E"/>
    <w:rsid w:val="00DC3241"/>
    <w:rsid w:val="00DC343E"/>
    <w:rsid w:val="00DC34B7"/>
    <w:rsid w:val="00DC36BA"/>
    <w:rsid w:val="00DC36E6"/>
    <w:rsid w:val="00DC37ED"/>
    <w:rsid w:val="00DC38FB"/>
    <w:rsid w:val="00DC39EA"/>
    <w:rsid w:val="00DC3A52"/>
    <w:rsid w:val="00DC3AA7"/>
    <w:rsid w:val="00DC3AF4"/>
    <w:rsid w:val="00DC3BA1"/>
    <w:rsid w:val="00DC3C23"/>
    <w:rsid w:val="00DC3E78"/>
    <w:rsid w:val="00DC41C4"/>
    <w:rsid w:val="00DC433E"/>
    <w:rsid w:val="00DC4362"/>
    <w:rsid w:val="00DC455B"/>
    <w:rsid w:val="00DC456C"/>
    <w:rsid w:val="00DC462C"/>
    <w:rsid w:val="00DC48E9"/>
    <w:rsid w:val="00DC49A2"/>
    <w:rsid w:val="00DC4B55"/>
    <w:rsid w:val="00DC4CA2"/>
    <w:rsid w:val="00DC4DD7"/>
    <w:rsid w:val="00DC4F40"/>
    <w:rsid w:val="00DC4FD3"/>
    <w:rsid w:val="00DC51A1"/>
    <w:rsid w:val="00DC51EE"/>
    <w:rsid w:val="00DC52CA"/>
    <w:rsid w:val="00DC53AF"/>
    <w:rsid w:val="00DC53E0"/>
    <w:rsid w:val="00DC565A"/>
    <w:rsid w:val="00DC5AA2"/>
    <w:rsid w:val="00DC5AD2"/>
    <w:rsid w:val="00DC5C9B"/>
    <w:rsid w:val="00DC5DE2"/>
    <w:rsid w:val="00DC632D"/>
    <w:rsid w:val="00DC6586"/>
    <w:rsid w:val="00DC68F2"/>
    <w:rsid w:val="00DC690B"/>
    <w:rsid w:val="00DC6D71"/>
    <w:rsid w:val="00DC6EE9"/>
    <w:rsid w:val="00DC6EEC"/>
    <w:rsid w:val="00DC6F1B"/>
    <w:rsid w:val="00DC7328"/>
    <w:rsid w:val="00DC7440"/>
    <w:rsid w:val="00DC7762"/>
    <w:rsid w:val="00DC7831"/>
    <w:rsid w:val="00DC78ED"/>
    <w:rsid w:val="00DC7D18"/>
    <w:rsid w:val="00DC7DD8"/>
    <w:rsid w:val="00DC7E43"/>
    <w:rsid w:val="00DD01C1"/>
    <w:rsid w:val="00DD01D7"/>
    <w:rsid w:val="00DD02D0"/>
    <w:rsid w:val="00DD03A9"/>
    <w:rsid w:val="00DD050B"/>
    <w:rsid w:val="00DD0C68"/>
    <w:rsid w:val="00DD0F9E"/>
    <w:rsid w:val="00DD0FE4"/>
    <w:rsid w:val="00DD107B"/>
    <w:rsid w:val="00DD1465"/>
    <w:rsid w:val="00DD17BC"/>
    <w:rsid w:val="00DD1868"/>
    <w:rsid w:val="00DD1878"/>
    <w:rsid w:val="00DD18DE"/>
    <w:rsid w:val="00DD1989"/>
    <w:rsid w:val="00DD1C91"/>
    <w:rsid w:val="00DD1D7A"/>
    <w:rsid w:val="00DD1F1A"/>
    <w:rsid w:val="00DD1F8E"/>
    <w:rsid w:val="00DD215F"/>
    <w:rsid w:val="00DD2348"/>
    <w:rsid w:val="00DD2577"/>
    <w:rsid w:val="00DD25D4"/>
    <w:rsid w:val="00DD3184"/>
    <w:rsid w:val="00DD31A3"/>
    <w:rsid w:val="00DD3413"/>
    <w:rsid w:val="00DD3760"/>
    <w:rsid w:val="00DD3967"/>
    <w:rsid w:val="00DD3ABB"/>
    <w:rsid w:val="00DD3B8F"/>
    <w:rsid w:val="00DD3BB3"/>
    <w:rsid w:val="00DD3BF8"/>
    <w:rsid w:val="00DD400C"/>
    <w:rsid w:val="00DD4A17"/>
    <w:rsid w:val="00DD4F70"/>
    <w:rsid w:val="00DD4F92"/>
    <w:rsid w:val="00DD4FF7"/>
    <w:rsid w:val="00DD5335"/>
    <w:rsid w:val="00DD542E"/>
    <w:rsid w:val="00DD57BF"/>
    <w:rsid w:val="00DD57FF"/>
    <w:rsid w:val="00DD5945"/>
    <w:rsid w:val="00DD59DC"/>
    <w:rsid w:val="00DD5A9E"/>
    <w:rsid w:val="00DD5AEA"/>
    <w:rsid w:val="00DD5CA4"/>
    <w:rsid w:val="00DD5D0B"/>
    <w:rsid w:val="00DD5F6E"/>
    <w:rsid w:val="00DD615A"/>
    <w:rsid w:val="00DD6218"/>
    <w:rsid w:val="00DD6230"/>
    <w:rsid w:val="00DD6311"/>
    <w:rsid w:val="00DD657B"/>
    <w:rsid w:val="00DD664F"/>
    <w:rsid w:val="00DD66F5"/>
    <w:rsid w:val="00DD6703"/>
    <w:rsid w:val="00DD6742"/>
    <w:rsid w:val="00DD6875"/>
    <w:rsid w:val="00DD6960"/>
    <w:rsid w:val="00DD6D64"/>
    <w:rsid w:val="00DD6EC5"/>
    <w:rsid w:val="00DD6F17"/>
    <w:rsid w:val="00DD6F50"/>
    <w:rsid w:val="00DD709F"/>
    <w:rsid w:val="00DD712F"/>
    <w:rsid w:val="00DD74B6"/>
    <w:rsid w:val="00DD752C"/>
    <w:rsid w:val="00DD7605"/>
    <w:rsid w:val="00DD7617"/>
    <w:rsid w:val="00DD778C"/>
    <w:rsid w:val="00DD77A1"/>
    <w:rsid w:val="00DD7BFC"/>
    <w:rsid w:val="00DD7DCF"/>
    <w:rsid w:val="00DE01FD"/>
    <w:rsid w:val="00DE0693"/>
    <w:rsid w:val="00DE0842"/>
    <w:rsid w:val="00DE0A5A"/>
    <w:rsid w:val="00DE0ACF"/>
    <w:rsid w:val="00DE0DE5"/>
    <w:rsid w:val="00DE0F55"/>
    <w:rsid w:val="00DE10AA"/>
    <w:rsid w:val="00DE111B"/>
    <w:rsid w:val="00DE112C"/>
    <w:rsid w:val="00DE13FD"/>
    <w:rsid w:val="00DE164F"/>
    <w:rsid w:val="00DE1819"/>
    <w:rsid w:val="00DE1B39"/>
    <w:rsid w:val="00DE1CD1"/>
    <w:rsid w:val="00DE1D20"/>
    <w:rsid w:val="00DE2122"/>
    <w:rsid w:val="00DE2161"/>
    <w:rsid w:val="00DE22FD"/>
    <w:rsid w:val="00DE24E0"/>
    <w:rsid w:val="00DE2507"/>
    <w:rsid w:val="00DE2516"/>
    <w:rsid w:val="00DE26B5"/>
    <w:rsid w:val="00DE2781"/>
    <w:rsid w:val="00DE2983"/>
    <w:rsid w:val="00DE2ABC"/>
    <w:rsid w:val="00DE2B47"/>
    <w:rsid w:val="00DE2C3B"/>
    <w:rsid w:val="00DE2D75"/>
    <w:rsid w:val="00DE2DBB"/>
    <w:rsid w:val="00DE2DC1"/>
    <w:rsid w:val="00DE2E04"/>
    <w:rsid w:val="00DE30F9"/>
    <w:rsid w:val="00DE3130"/>
    <w:rsid w:val="00DE33C7"/>
    <w:rsid w:val="00DE33CE"/>
    <w:rsid w:val="00DE3457"/>
    <w:rsid w:val="00DE3928"/>
    <w:rsid w:val="00DE3A5D"/>
    <w:rsid w:val="00DE3B6C"/>
    <w:rsid w:val="00DE3D6E"/>
    <w:rsid w:val="00DE3E5E"/>
    <w:rsid w:val="00DE3F0C"/>
    <w:rsid w:val="00DE3FDC"/>
    <w:rsid w:val="00DE43E7"/>
    <w:rsid w:val="00DE44BC"/>
    <w:rsid w:val="00DE4516"/>
    <w:rsid w:val="00DE4587"/>
    <w:rsid w:val="00DE45F4"/>
    <w:rsid w:val="00DE4C07"/>
    <w:rsid w:val="00DE5A22"/>
    <w:rsid w:val="00DE5F06"/>
    <w:rsid w:val="00DE5F42"/>
    <w:rsid w:val="00DE5F63"/>
    <w:rsid w:val="00DE60FF"/>
    <w:rsid w:val="00DE615E"/>
    <w:rsid w:val="00DE628C"/>
    <w:rsid w:val="00DE6305"/>
    <w:rsid w:val="00DE6317"/>
    <w:rsid w:val="00DE6651"/>
    <w:rsid w:val="00DE6695"/>
    <w:rsid w:val="00DE6721"/>
    <w:rsid w:val="00DE6820"/>
    <w:rsid w:val="00DE6ACD"/>
    <w:rsid w:val="00DE6BF6"/>
    <w:rsid w:val="00DE6C74"/>
    <w:rsid w:val="00DE701D"/>
    <w:rsid w:val="00DE7189"/>
    <w:rsid w:val="00DE721E"/>
    <w:rsid w:val="00DE72FA"/>
    <w:rsid w:val="00DE74E4"/>
    <w:rsid w:val="00DE76C0"/>
    <w:rsid w:val="00DE797D"/>
    <w:rsid w:val="00DE799D"/>
    <w:rsid w:val="00DE7C48"/>
    <w:rsid w:val="00DF03BF"/>
    <w:rsid w:val="00DF04EA"/>
    <w:rsid w:val="00DF0529"/>
    <w:rsid w:val="00DF064F"/>
    <w:rsid w:val="00DF083F"/>
    <w:rsid w:val="00DF0B85"/>
    <w:rsid w:val="00DF0CE2"/>
    <w:rsid w:val="00DF0DED"/>
    <w:rsid w:val="00DF0EB9"/>
    <w:rsid w:val="00DF0F7A"/>
    <w:rsid w:val="00DF0FFA"/>
    <w:rsid w:val="00DF11F2"/>
    <w:rsid w:val="00DF13FE"/>
    <w:rsid w:val="00DF17A5"/>
    <w:rsid w:val="00DF1848"/>
    <w:rsid w:val="00DF2053"/>
    <w:rsid w:val="00DF2086"/>
    <w:rsid w:val="00DF231E"/>
    <w:rsid w:val="00DF240B"/>
    <w:rsid w:val="00DF29D7"/>
    <w:rsid w:val="00DF2A45"/>
    <w:rsid w:val="00DF2ADA"/>
    <w:rsid w:val="00DF2C6D"/>
    <w:rsid w:val="00DF2C95"/>
    <w:rsid w:val="00DF2FAE"/>
    <w:rsid w:val="00DF3071"/>
    <w:rsid w:val="00DF316D"/>
    <w:rsid w:val="00DF31E6"/>
    <w:rsid w:val="00DF3456"/>
    <w:rsid w:val="00DF3551"/>
    <w:rsid w:val="00DF35BA"/>
    <w:rsid w:val="00DF3A1A"/>
    <w:rsid w:val="00DF3AF2"/>
    <w:rsid w:val="00DF3BBB"/>
    <w:rsid w:val="00DF3D0D"/>
    <w:rsid w:val="00DF3E0B"/>
    <w:rsid w:val="00DF40E0"/>
    <w:rsid w:val="00DF41CB"/>
    <w:rsid w:val="00DF4332"/>
    <w:rsid w:val="00DF489F"/>
    <w:rsid w:val="00DF50B4"/>
    <w:rsid w:val="00DF532E"/>
    <w:rsid w:val="00DF5C60"/>
    <w:rsid w:val="00DF5D54"/>
    <w:rsid w:val="00DF5D5D"/>
    <w:rsid w:val="00DF5DD2"/>
    <w:rsid w:val="00DF5E68"/>
    <w:rsid w:val="00DF5F1C"/>
    <w:rsid w:val="00DF62F5"/>
    <w:rsid w:val="00DF639E"/>
    <w:rsid w:val="00DF63E7"/>
    <w:rsid w:val="00DF6414"/>
    <w:rsid w:val="00DF649E"/>
    <w:rsid w:val="00DF67E7"/>
    <w:rsid w:val="00DF6A66"/>
    <w:rsid w:val="00DF6AD7"/>
    <w:rsid w:val="00DF6B18"/>
    <w:rsid w:val="00DF6D88"/>
    <w:rsid w:val="00DF6F97"/>
    <w:rsid w:val="00DF7260"/>
    <w:rsid w:val="00DF726D"/>
    <w:rsid w:val="00DF732A"/>
    <w:rsid w:val="00DF73CC"/>
    <w:rsid w:val="00DF74FC"/>
    <w:rsid w:val="00DF758B"/>
    <w:rsid w:val="00DF75E5"/>
    <w:rsid w:val="00DF75FA"/>
    <w:rsid w:val="00DF7778"/>
    <w:rsid w:val="00DF7B01"/>
    <w:rsid w:val="00DF7D87"/>
    <w:rsid w:val="00DF7F0D"/>
    <w:rsid w:val="00DF7F3D"/>
    <w:rsid w:val="00E00101"/>
    <w:rsid w:val="00E00235"/>
    <w:rsid w:val="00E00244"/>
    <w:rsid w:val="00E002BF"/>
    <w:rsid w:val="00E003E0"/>
    <w:rsid w:val="00E005F5"/>
    <w:rsid w:val="00E00600"/>
    <w:rsid w:val="00E00653"/>
    <w:rsid w:val="00E006B8"/>
    <w:rsid w:val="00E007A5"/>
    <w:rsid w:val="00E00982"/>
    <w:rsid w:val="00E00AC2"/>
    <w:rsid w:val="00E00BB1"/>
    <w:rsid w:val="00E00C2C"/>
    <w:rsid w:val="00E00F43"/>
    <w:rsid w:val="00E0118C"/>
    <w:rsid w:val="00E01247"/>
    <w:rsid w:val="00E01498"/>
    <w:rsid w:val="00E014C6"/>
    <w:rsid w:val="00E014C8"/>
    <w:rsid w:val="00E0151E"/>
    <w:rsid w:val="00E01581"/>
    <w:rsid w:val="00E01A90"/>
    <w:rsid w:val="00E01DBA"/>
    <w:rsid w:val="00E02348"/>
    <w:rsid w:val="00E023CC"/>
    <w:rsid w:val="00E025E2"/>
    <w:rsid w:val="00E029BA"/>
    <w:rsid w:val="00E029CE"/>
    <w:rsid w:val="00E02B5C"/>
    <w:rsid w:val="00E02B88"/>
    <w:rsid w:val="00E02C30"/>
    <w:rsid w:val="00E02C54"/>
    <w:rsid w:val="00E02CC2"/>
    <w:rsid w:val="00E02CF4"/>
    <w:rsid w:val="00E02D17"/>
    <w:rsid w:val="00E03242"/>
    <w:rsid w:val="00E034B2"/>
    <w:rsid w:val="00E03590"/>
    <w:rsid w:val="00E03666"/>
    <w:rsid w:val="00E036B6"/>
    <w:rsid w:val="00E0393C"/>
    <w:rsid w:val="00E03B33"/>
    <w:rsid w:val="00E03BEC"/>
    <w:rsid w:val="00E03E09"/>
    <w:rsid w:val="00E040B3"/>
    <w:rsid w:val="00E040D4"/>
    <w:rsid w:val="00E0427F"/>
    <w:rsid w:val="00E045B7"/>
    <w:rsid w:val="00E04629"/>
    <w:rsid w:val="00E046B8"/>
    <w:rsid w:val="00E049A7"/>
    <w:rsid w:val="00E04C21"/>
    <w:rsid w:val="00E04CD8"/>
    <w:rsid w:val="00E04DA7"/>
    <w:rsid w:val="00E05147"/>
    <w:rsid w:val="00E057CF"/>
    <w:rsid w:val="00E05A5F"/>
    <w:rsid w:val="00E05DF6"/>
    <w:rsid w:val="00E05F5C"/>
    <w:rsid w:val="00E05F8B"/>
    <w:rsid w:val="00E060C1"/>
    <w:rsid w:val="00E06248"/>
    <w:rsid w:val="00E06267"/>
    <w:rsid w:val="00E06372"/>
    <w:rsid w:val="00E069C7"/>
    <w:rsid w:val="00E069E9"/>
    <w:rsid w:val="00E07199"/>
    <w:rsid w:val="00E071C8"/>
    <w:rsid w:val="00E07257"/>
    <w:rsid w:val="00E0726B"/>
    <w:rsid w:val="00E074DC"/>
    <w:rsid w:val="00E07598"/>
    <w:rsid w:val="00E07603"/>
    <w:rsid w:val="00E0767B"/>
    <w:rsid w:val="00E07C32"/>
    <w:rsid w:val="00E07E96"/>
    <w:rsid w:val="00E10022"/>
    <w:rsid w:val="00E1003C"/>
    <w:rsid w:val="00E104FD"/>
    <w:rsid w:val="00E1053D"/>
    <w:rsid w:val="00E10684"/>
    <w:rsid w:val="00E10A05"/>
    <w:rsid w:val="00E10A3D"/>
    <w:rsid w:val="00E10C55"/>
    <w:rsid w:val="00E10D9F"/>
    <w:rsid w:val="00E11248"/>
    <w:rsid w:val="00E117E7"/>
    <w:rsid w:val="00E11966"/>
    <w:rsid w:val="00E11970"/>
    <w:rsid w:val="00E11A05"/>
    <w:rsid w:val="00E11D08"/>
    <w:rsid w:val="00E11D43"/>
    <w:rsid w:val="00E11D92"/>
    <w:rsid w:val="00E11E69"/>
    <w:rsid w:val="00E1215F"/>
    <w:rsid w:val="00E12B48"/>
    <w:rsid w:val="00E12BDA"/>
    <w:rsid w:val="00E12DE7"/>
    <w:rsid w:val="00E12EEB"/>
    <w:rsid w:val="00E13012"/>
    <w:rsid w:val="00E13531"/>
    <w:rsid w:val="00E1358B"/>
    <w:rsid w:val="00E138C4"/>
    <w:rsid w:val="00E138DD"/>
    <w:rsid w:val="00E13BF8"/>
    <w:rsid w:val="00E13E2E"/>
    <w:rsid w:val="00E13E80"/>
    <w:rsid w:val="00E13FE3"/>
    <w:rsid w:val="00E14103"/>
    <w:rsid w:val="00E1414A"/>
    <w:rsid w:val="00E14281"/>
    <w:rsid w:val="00E14390"/>
    <w:rsid w:val="00E14566"/>
    <w:rsid w:val="00E145BB"/>
    <w:rsid w:val="00E14638"/>
    <w:rsid w:val="00E14995"/>
    <w:rsid w:val="00E149FA"/>
    <w:rsid w:val="00E14A6D"/>
    <w:rsid w:val="00E15151"/>
    <w:rsid w:val="00E15230"/>
    <w:rsid w:val="00E1526F"/>
    <w:rsid w:val="00E153AB"/>
    <w:rsid w:val="00E156F4"/>
    <w:rsid w:val="00E15817"/>
    <w:rsid w:val="00E15B3D"/>
    <w:rsid w:val="00E15BE3"/>
    <w:rsid w:val="00E15C06"/>
    <w:rsid w:val="00E15C58"/>
    <w:rsid w:val="00E15E22"/>
    <w:rsid w:val="00E15EBF"/>
    <w:rsid w:val="00E161E7"/>
    <w:rsid w:val="00E1624D"/>
    <w:rsid w:val="00E16283"/>
    <w:rsid w:val="00E16300"/>
    <w:rsid w:val="00E16392"/>
    <w:rsid w:val="00E165B1"/>
    <w:rsid w:val="00E1676B"/>
    <w:rsid w:val="00E16982"/>
    <w:rsid w:val="00E169AA"/>
    <w:rsid w:val="00E16A82"/>
    <w:rsid w:val="00E16A9E"/>
    <w:rsid w:val="00E16AFC"/>
    <w:rsid w:val="00E16DAF"/>
    <w:rsid w:val="00E16DC3"/>
    <w:rsid w:val="00E16DEF"/>
    <w:rsid w:val="00E16DF1"/>
    <w:rsid w:val="00E16E36"/>
    <w:rsid w:val="00E172CE"/>
    <w:rsid w:val="00E172DC"/>
    <w:rsid w:val="00E17422"/>
    <w:rsid w:val="00E175E9"/>
    <w:rsid w:val="00E1776F"/>
    <w:rsid w:val="00E1777D"/>
    <w:rsid w:val="00E177C8"/>
    <w:rsid w:val="00E178C8"/>
    <w:rsid w:val="00E179D2"/>
    <w:rsid w:val="00E179F8"/>
    <w:rsid w:val="00E17C70"/>
    <w:rsid w:val="00E17CE9"/>
    <w:rsid w:val="00E17DEF"/>
    <w:rsid w:val="00E17E06"/>
    <w:rsid w:val="00E17E8A"/>
    <w:rsid w:val="00E20001"/>
    <w:rsid w:val="00E20191"/>
    <w:rsid w:val="00E20333"/>
    <w:rsid w:val="00E203EA"/>
    <w:rsid w:val="00E20478"/>
    <w:rsid w:val="00E20516"/>
    <w:rsid w:val="00E205DB"/>
    <w:rsid w:val="00E205DD"/>
    <w:rsid w:val="00E20AEC"/>
    <w:rsid w:val="00E20C79"/>
    <w:rsid w:val="00E20DCD"/>
    <w:rsid w:val="00E20E67"/>
    <w:rsid w:val="00E20F9D"/>
    <w:rsid w:val="00E212FE"/>
    <w:rsid w:val="00E2141F"/>
    <w:rsid w:val="00E214EE"/>
    <w:rsid w:val="00E215B6"/>
    <w:rsid w:val="00E2186F"/>
    <w:rsid w:val="00E219B2"/>
    <w:rsid w:val="00E21AB0"/>
    <w:rsid w:val="00E21BC2"/>
    <w:rsid w:val="00E21C8E"/>
    <w:rsid w:val="00E21D24"/>
    <w:rsid w:val="00E21D30"/>
    <w:rsid w:val="00E21F75"/>
    <w:rsid w:val="00E22278"/>
    <w:rsid w:val="00E2237D"/>
    <w:rsid w:val="00E22582"/>
    <w:rsid w:val="00E22810"/>
    <w:rsid w:val="00E229F9"/>
    <w:rsid w:val="00E229FB"/>
    <w:rsid w:val="00E22A05"/>
    <w:rsid w:val="00E22BFB"/>
    <w:rsid w:val="00E22C47"/>
    <w:rsid w:val="00E22CC1"/>
    <w:rsid w:val="00E22ED5"/>
    <w:rsid w:val="00E22EFC"/>
    <w:rsid w:val="00E23014"/>
    <w:rsid w:val="00E2312D"/>
    <w:rsid w:val="00E231AF"/>
    <w:rsid w:val="00E23294"/>
    <w:rsid w:val="00E233A3"/>
    <w:rsid w:val="00E2370C"/>
    <w:rsid w:val="00E23DED"/>
    <w:rsid w:val="00E23E06"/>
    <w:rsid w:val="00E246C0"/>
    <w:rsid w:val="00E248E5"/>
    <w:rsid w:val="00E24FF5"/>
    <w:rsid w:val="00E2554E"/>
    <w:rsid w:val="00E2569B"/>
    <w:rsid w:val="00E2576D"/>
    <w:rsid w:val="00E2585E"/>
    <w:rsid w:val="00E25ACC"/>
    <w:rsid w:val="00E25F00"/>
    <w:rsid w:val="00E25FE6"/>
    <w:rsid w:val="00E2618D"/>
    <w:rsid w:val="00E26296"/>
    <w:rsid w:val="00E26324"/>
    <w:rsid w:val="00E264B7"/>
    <w:rsid w:val="00E26658"/>
    <w:rsid w:val="00E2677D"/>
    <w:rsid w:val="00E267F6"/>
    <w:rsid w:val="00E26971"/>
    <w:rsid w:val="00E269A3"/>
    <w:rsid w:val="00E269CE"/>
    <w:rsid w:val="00E26AFC"/>
    <w:rsid w:val="00E26AFD"/>
    <w:rsid w:val="00E26F4E"/>
    <w:rsid w:val="00E2707D"/>
    <w:rsid w:val="00E274CC"/>
    <w:rsid w:val="00E2757D"/>
    <w:rsid w:val="00E279DF"/>
    <w:rsid w:val="00E27D85"/>
    <w:rsid w:val="00E300C3"/>
    <w:rsid w:val="00E30227"/>
    <w:rsid w:val="00E30231"/>
    <w:rsid w:val="00E30317"/>
    <w:rsid w:val="00E3051E"/>
    <w:rsid w:val="00E30709"/>
    <w:rsid w:val="00E30886"/>
    <w:rsid w:val="00E309A2"/>
    <w:rsid w:val="00E309FB"/>
    <w:rsid w:val="00E30B22"/>
    <w:rsid w:val="00E30DBF"/>
    <w:rsid w:val="00E30DE5"/>
    <w:rsid w:val="00E30E23"/>
    <w:rsid w:val="00E30FFD"/>
    <w:rsid w:val="00E311B3"/>
    <w:rsid w:val="00E3126E"/>
    <w:rsid w:val="00E3132C"/>
    <w:rsid w:val="00E31341"/>
    <w:rsid w:val="00E3141D"/>
    <w:rsid w:val="00E314E3"/>
    <w:rsid w:val="00E315ED"/>
    <w:rsid w:val="00E316CC"/>
    <w:rsid w:val="00E31891"/>
    <w:rsid w:val="00E31A4A"/>
    <w:rsid w:val="00E31AA4"/>
    <w:rsid w:val="00E31D86"/>
    <w:rsid w:val="00E31FAA"/>
    <w:rsid w:val="00E31FAB"/>
    <w:rsid w:val="00E31FCA"/>
    <w:rsid w:val="00E322C4"/>
    <w:rsid w:val="00E3247D"/>
    <w:rsid w:val="00E324E9"/>
    <w:rsid w:val="00E327B0"/>
    <w:rsid w:val="00E32823"/>
    <w:rsid w:val="00E32A0D"/>
    <w:rsid w:val="00E32A79"/>
    <w:rsid w:val="00E32C4E"/>
    <w:rsid w:val="00E32CD9"/>
    <w:rsid w:val="00E32E13"/>
    <w:rsid w:val="00E32FE2"/>
    <w:rsid w:val="00E33239"/>
    <w:rsid w:val="00E332FE"/>
    <w:rsid w:val="00E33373"/>
    <w:rsid w:val="00E3375C"/>
    <w:rsid w:val="00E338BF"/>
    <w:rsid w:val="00E33AA7"/>
    <w:rsid w:val="00E33AB7"/>
    <w:rsid w:val="00E33BBE"/>
    <w:rsid w:val="00E33EFD"/>
    <w:rsid w:val="00E34259"/>
    <w:rsid w:val="00E348F5"/>
    <w:rsid w:val="00E349B7"/>
    <w:rsid w:val="00E349D5"/>
    <w:rsid w:val="00E349FC"/>
    <w:rsid w:val="00E34CF7"/>
    <w:rsid w:val="00E34FD7"/>
    <w:rsid w:val="00E3530C"/>
    <w:rsid w:val="00E35386"/>
    <w:rsid w:val="00E353EF"/>
    <w:rsid w:val="00E354F8"/>
    <w:rsid w:val="00E35876"/>
    <w:rsid w:val="00E3599E"/>
    <w:rsid w:val="00E35A06"/>
    <w:rsid w:val="00E35AF2"/>
    <w:rsid w:val="00E3612B"/>
    <w:rsid w:val="00E3635D"/>
    <w:rsid w:val="00E366D6"/>
    <w:rsid w:val="00E36788"/>
    <w:rsid w:val="00E36BF3"/>
    <w:rsid w:val="00E36D03"/>
    <w:rsid w:val="00E36E36"/>
    <w:rsid w:val="00E36ECA"/>
    <w:rsid w:val="00E3731C"/>
    <w:rsid w:val="00E37584"/>
    <w:rsid w:val="00E375B7"/>
    <w:rsid w:val="00E376F9"/>
    <w:rsid w:val="00E377A1"/>
    <w:rsid w:val="00E37864"/>
    <w:rsid w:val="00E37B14"/>
    <w:rsid w:val="00E37C9A"/>
    <w:rsid w:val="00E37D8F"/>
    <w:rsid w:val="00E37DDE"/>
    <w:rsid w:val="00E4000C"/>
    <w:rsid w:val="00E401DC"/>
    <w:rsid w:val="00E40251"/>
    <w:rsid w:val="00E40272"/>
    <w:rsid w:val="00E402D7"/>
    <w:rsid w:val="00E404FF"/>
    <w:rsid w:val="00E40526"/>
    <w:rsid w:val="00E406E7"/>
    <w:rsid w:val="00E40840"/>
    <w:rsid w:val="00E408BC"/>
    <w:rsid w:val="00E40D2D"/>
    <w:rsid w:val="00E40D91"/>
    <w:rsid w:val="00E40FBD"/>
    <w:rsid w:val="00E4100F"/>
    <w:rsid w:val="00E4106B"/>
    <w:rsid w:val="00E4122E"/>
    <w:rsid w:val="00E413CE"/>
    <w:rsid w:val="00E413E6"/>
    <w:rsid w:val="00E4152E"/>
    <w:rsid w:val="00E417AA"/>
    <w:rsid w:val="00E4195B"/>
    <w:rsid w:val="00E41E73"/>
    <w:rsid w:val="00E42014"/>
    <w:rsid w:val="00E4212F"/>
    <w:rsid w:val="00E42184"/>
    <w:rsid w:val="00E422B5"/>
    <w:rsid w:val="00E423E8"/>
    <w:rsid w:val="00E4284B"/>
    <w:rsid w:val="00E42A88"/>
    <w:rsid w:val="00E42ABE"/>
    <w:rsid w:val="00E42F0A"/>
    <w:rsid w:val="00E42F24"/>
    <w:rsid w:val="00E430A0"/>
    <w:rsid w:val="00E436AD"/>
    <w:rsid w:val="00E43A14"/>
    <w:rsid w:val="00E43A3E"/>
    <w:rsid w:val="00E43B9C"/>
    <w:rsid w:val="00E43BD8"/>
    <w:rsid w:val="00E43E5C"/>
    <w:rsid w:val="00E43FFE"/>
    <w:rsid w:val="00E4414C"/>
    <w:rsid w:val="00E4416D"/>
    <w:rsid w:val="00E44197"/>
    <w:rsid w:val="00E4425F"/>
    <w:rsid w:val="00E4470E"/>
    <w:rsid w:val="00E44712"/>
    <w:rsid w:val="00E44885"/>
    <w:rsid w:val="00E448A6"/>
    <w:rsid w:val="00E448CA"/>
    <w:rsid w:val="00E449C9"/>
    <w:rsid w:val="00E44C87"/>
    <w:rsid w:val="00E44EED"/>
    <w:rsid w:val="00E44F3B"/>
    <w:rsid w:val="00E44FD6"/>
    <w:rsid w:val="00E453CF"/>
    <w:rsid w:val="00E45700"/>
    <w:rsid w:val="00E457B5"/>
    <w:rsid w:val="00E458BF"/>
    <w:rsid w:val="00E45C68"/>
    <w:rsid w:val="00E45C85"/>
    <w:rsid w:val="00E45CF3"/>
    <w:rsid w:val="00E45D19"/>
    <w:rsid w:val="00E45D2D"/>
    <w:rsid w:val="00E45ECE"/>
    <w:rsid w:val="00E45FE9"/>
    <w:rsid w:val="00E4608B"/>
    <w:rsid w:val="00E46196"/>
    <w:rsid w:val="00E4620D"/>
    <w:rsid w:val="00E46530"/>
    <w:rsid w:val="00E46643"/>
    <w:rsid w:val="00E46928"/>
    <w:rsid w:val="00E46B39"/>
    <w:rsid w:val="00E46D1E"/>
    <w:rsid w:val="00E46F49"/>
    <w:rsid w:val="00E4704A"/>
    <w:rsid w:val="00E4716C"/>
    <w:rsid w:val="00E4753E"/>
    <w:rsid w:val="00E4769C"/>
    <w:rsid w:val="00E477EE"/>
    <w:rsid w:val="00E47B2D"/>
    <w:rsid w:val="00E47C27"/>
    <w:rsid w:val="00E47EA6"/>
    <w:rsid w:val="00E5047F"/>
    <w:rsid w:val="00E504EB"/>
    <w:rsid w:val="00E5067E"/>
    <w:rsid w:val="00E50A91"/>
    <w:rsid w:val="00E50B8E"/>
    <w:rsid w:val="00E50C49"/>
    <w:rsid w:val="00E50CA5"/>
    <w:rsid w:val="00E50DD1"/>
    <w:rsid w:val="00E50FF0"/>
    <w:rsid w:val="00E511CA"/>
    <w:rsid w:val="00E51273"/>
    <w:rsid w:val="00E512C0"/>
    <w:rsid w:val="00E5149D"/>
    <w:rsid w:val="00E516A6"/>
    <w:rsid w:val="00E51AB4"/>
    <w:rsid w:val="00E51D67"/>
    <w:rsid w:val="00E51E9B"/>
    <w:rsid w:val="00E51F1D"/>
    <w:rsid w:val="00E51FE6"/>
    <w:rsid w:val="00E525E4"/>
    <w:rsid w:val="00E5288A"/>
    <w:rsid w:val="00E529F0"/>
    <w:rsid w:val="00E52A15"/>
    <w:rsid w:val="00E52B8D"/>
    <w:rsid w:val="00E52E5A"/>
    <w:rsid w:val="00E532F0"/>
    <w:rsid w:val="00E532FB"/>
    <w:rsid w:val="00E534B5"/>
    <w:rsid w:val="00E5375C"/>
    <w:rsid w:val="00E53886"/>
    <w:rsid w:val="00E5392E"/>
    <w:rsid w:val="00E53957"/>
    <w:rsid w:val="00E53B30"/>
    <w:rsid w:val="00E53B3C"/>
    <w:rsid w:val="00E53B93"/>
    <w:rsid w:val="00E53E4F"/>
    <w:rsid w:val="00E53F56"/>
    <w:rsid w:val="00E541D5"/>
    <w:rsid w:val="00E54321"/>
    <w:rsid w:val="00E5435C"/>
    <w:rsid w:val="00E54433"/>
    <w:rsid w:val="00E5466B"/>
    <w:rsid w:val="00E546F1"/>
    <w:rsid w:val="00E54979"/>
    <w:rsid w:val="00E54A39"/>
    <w:rsid w:val="00E54BC6"/>
    <w:rsid w:val="00E54C60"/>
    <w:rsid w:val="00E54D4A"/>
    <w:rsid w:val="00E54DDE"/>
    <w:rsid w:val="00E54F12"/>
    <w:rsid w:val="00E553BA"/>
    <w:rsid w:val="00E5541C"/>
    <w:rsid w:val="00E559B1"/>
    <w:rsid w:val="00E55E91"/>
    <w:rsid w:val="00E55FC7"/>
    <w:rsid w:val="00E55FD9"/>
    <w:rsid w:val="00E56068"/>
    <w:rsid w:val="00E563B6"/>
    <w:rsid w:val="00E5640D"/>
    <w:rsid w:val="00E56458"/>
    <w:rsid w:val="00E56742"/>
    <w:rsid w:val="00E56991"/>
    <w:rsid w:val="00E56CF0"/>
    <w:rsid w:val="00E56E4C"/>
    <w:rsid w:val="00E56E5C"/>
    <w:rsid w:val="00E56ECB"/>
    <w:rsid w:val="00E56F56"/>
    <w:rsid w:val="00E56FC4"/>
    <w:rsid w:val="00E57049"/>
    <w:rsid w:val="00E571AF"/>
    <w:rsid w:val="00E571B4"/>
    <w:rsid w:val="00E57276"/>
    <w:rsid w:val="00E5758C"/>
    <w:rsid w:val="00E578BA"/>
    <w:rsid w:val="00E579B7"/>
    <w:rsid w:val="00E57D5B"/>
    <w:rsid w:val="00E6012E"/>
    <w:rsid w:val="00E60213"/>
    <w:rsid w:val="00E603D6"/>
    <w:rsid w:val="00E606E3"/>
    <w:rsid w:val="00E60815"/>
    <w:rsid w:val="00E60C48"/>
    <w:rsid w:val="00E60D12"/>
    <w:rsid w:val="00E60F2A"/>
    <w:rsid w:val="00E60FA2"/>
    <w:rsid w:val="00E61157"/>
    <w:rsid w:val="00E61388"/>
    <w:rsid w:val="00E614A0"/>
    <w:rsid w:val="00E61681"/>
    <w:rsid w:val="00E616F8"/>
    <w:rsid w:val="00E617A8"/>
    <w:rsid w:val="00E618B3"/>
    <w:rsid w:val="00E61916"/>
    <w:rsid w:val="00E61AAD"/>
    <w:rsid w:val="00E61F39"/>
    <w:rsid w:val="00E61F8E"/>
    <w:rsid w:val="00E6202F"/>
    <w:rsid w:val="00E62078"/>
    <w:rsid w:val="00E62139"/>
    <w:rsid w:val="00E62172"/>
    <w:rsid w:val="00E62297"/>
    <w:rsid w:val="00E62468"/>
    <w:rsid w:val="00E62D32"/>
    <w:rsid w:val="00E62EF0"/>
    <w:rsid w:val="00E62F85"/>
    <w:rsid w:val="00E630EB"/>
    <w:rsid w:val="00E6310D"/>
    <w:rsid w:val="00E63188"/>
    <w:rsid w:val="00E632E7"/>
    <w:rsid w:val="00E6366C"/>
    <w:rsid w:val="00E63706"/>
    <w:rsid w:val="00E63B68"/>
    <w:rsid w:val="00E63C13"/>
    <w:rsid w:val="00E63CF3"/>
    <w:rsid w:val="00E63E3E"/>
    <w:rsid w:val="00E641C4"/>
    <w:rsid w:val="00E6436F"/>
    <w:rsid w:val="00E64552"/>
    <w:rsid w:val="00E6484E"/>
    <w:rsid w:val="00E64933"/>
    <w:rsid w:val="00E64C30"/>
    <w:rsid w:val="00E64C9E"/>
    <w:rsid w:val="00E64D50"/>
    <w:rsid w:val="00E64F32"/>
    <w:rsid w:val="00E64F3A"/>
    <w:rsid w:val="00E650FC"/>
    <w:rsid w:val="00E6539F"/>
    <w:rsid w:val="00E6594F"/>
    <w:rsid w:val="00E65975"/>
    <w:rsid w:val="00E65BB6"/>
    <w:rsid w:val="00E65C34"/>
    <w:rsid w:val="00E660A9"/>
    <w:rsid w:val="00E66396"/>
    <w:rsid w:val="00E666A9"/>
    <w:rsid w:val="00E667B1"/>
    <w:rsid w:val="00E66865"/>
    <w:rsid w:val="00E66916"/>
    <w:rsid w:val="00E66976"/>
    <w:rsid w:val="00E66A14"/>
    <w:rsid w:val="00E66A59"/>
    <w:rsid w:val="00E66B98"/>
    <w:rsid w:val="00E66BB0"/>
    <w:rsid w:val="00E66C2F"/>
    <w:rsid w:val="00E66C6A"/>
    <w:rsid w:val="00E66D24"/>
    <w:rsid w:val="00E66DFC"/>
    <w:rsid w:val="00E66E77"/>
    <w:rsid w:val="00E67108"/>
    <w:rsid w:val="00E6715D"/>
    <w:rsid w:val="00E676D6"/>
    <w:rsid w:val="00E67C43"/>
    <w:rsid w:val="00E67C88"/>
    <w:rsid w:val="00E702C0"/>
    <w:rsid w:val="00E7035A"/>
    <w:rsid w:val="00E7059F"/>
    <w:rsid w:val="00E7065F"/>
    <w:rsid w:val="00E70804"/>
    <w:rsid w:val="00E70E83"/>
    <w:rsid w:val="00E7111D"/>
    <w:rsid w:val="00E7138E"/>
    <w:rsid w:val="00E715DD"/>
    <w:rsid w:val="00E7187C"/>
    <w:rsid w:val="00E71885"/>
    <w:rsid w:val="00E71B2F"/>
    <w:rsid w:val="00E71B6B"/>
    <w:rsid w:val="00E71C13"/>
    <w:rsid w:val="00E71FF6"/>
    <w:rsid w:val="00E720AF"/>
    <w:rsid w:val="00E720E0"/>
    <w:rsid w:val="00E7224E"/>
    <w:rsid w:val="00E722FE"/>
    <w:rsid w:val="00E7237A"/>
    <w:rsid w:val="00E726E5"/>
    <w:rsid w:val="00E72A66"/>
    <w:rsid w:val="00E72B30"/>
    <w:rsid w:val="00E72BBE"/>
    <w:rsid w:val="00E72BF9"/>
    <w:rsid w:val="00E72BFB"/>
    <w:rsid w:val="00E72C35"/>
    <w:rsid w:val="00E73146"/>
    <w:rsid w:val="00E733F5"/>
    <w:rsid w:val="00E734CE"/>
    <w:rsid w:val="00E734E6"/>
    <w:rsid w:val="00E735B2"/>
    <w:rsid w:val="00E73C62"/>
    <w:rsid w:val="00E73DF8"/>
    <w:rsid w:val="00E73E1E"/>
    <w:rsid w:val="00E74061"/>
    <w:rsid w:val="00E741BF"/>
    <w:rsid w:val="00E741E0"/>
    <w:rsid w:val="00E74586"/>
    <w:rsid w:val="00E745A8"/>
    <w:rsid w:val="00E74628"/>
    <w:rsid w:val="00E747FF"/>
    <w:rsid w:val="00E7491E"/>
    <w:rsid w:val="00E74938"/>
    <w:rsid w:val="00E74C23"/>
    <w:rsid w:val="00E74CFB"/>
    <w:rsid w:val="00E74E42"/>
    <w:rsid w:val="00E74E84"/>
    <w:rsid w:val="00E74EED"/>
    <w:rsid w:val="00E75124"/>
    <w:rsid w:val="00E75454"/>
    <w:rsid w:val="00E75569"/>
    <w:rsid w:val="00E75703"/>
    <w:rsid w:val="00E75976"/>
    <w:rsid w:val="00E75AC3"/>
    <w:rsid w:val="00E75CB3"/>
    <w:rsid w:val="00E7617E"/>
    <w:rsid w:val="00E76304"/>
    <w:rsid w:val="00E76332"/>
    <w:rsid w:val="00E763EC"/>
    <w:rsid w:val="00E7672C"/>
    <w:rsid w:val="00E767D1"/>
    <w:rsid w:val="00E76844"/>
    <w:rsid w:val="00E76C03"/>
    <w:rsid w:val="00E7707A"/>
    <w:rsid w:val="00E771D7"/>
    <w:rsid w:val="00E77236"/>
    <w:rsid w:val="00E772CE"/>
    <w:rsid w:val="00E77327"/>
    <w:rsid w:val="00E7772F"/>
    <w:rsid w:val="00E7774E"/>
    <w:rsid w:val="00E77795"/>
    <w:rsid w:val="00E779D3"/>
    <w:rsid w:val="00E779F2"/>
    <w:rsid w:val="00E77BD0"/>
    <w:rsid w:val="00E77CA9"/>
    <w:rsid w:val="00E77EBD"/>
    <w:rsid w:val="00E77EC5"/>
    <w:rsid w:val="00E77FD3"/>
    <w:rsid w:val="00E801CF"/>
    <w:rsid w:val="00E8029B"/>
    <w:rsid w:val="00E802D6"/>
    <w:rsid w:val="00E8043E"/>
    <w:rsid w:val="00E804C5"/>
    <w:rsid w:val="00E804ED"/>
    <w:rsid w:val="00E806E8"/>
    <w:rsid w:val="00E80919"/>
    <w:rsid w:val="00E80983"/>
    <w:rsid w:val="00E80BC2"/>
    <w:rsid w:val="00E80CCC"/>
    <w:rsid w:val="00E81028"/>
    <w:rsid w:val="00E810CE"/>
    <w:rsid w:val="00E81185"/>
    <w:rsid w:val="00E812C7"/>
    <w:rsid w:val="00E812CC"/>
    <w:rsid w:val="00E81586"/>
    <w:rsid w:val="00E81669"/>
    <w:rsid w:val="00E81745"/>
    <w:rsid w:val="00E81779"/>
    <w:rsid w:val="00E819B9"/>
    <w:rsid w:val="00E81BDA"/>
    <w:rsid w:val="00E81D2A"/>
    <w:rsid w:val="00E81DFC"/>
    <w:rsid w:val="00E81F7D"/>
    <w:rsid w:val="00E82472"/>
    <w:rsid w:val="00E824AD"/>
    <w:rsid w:val="00E82656"/>
    <w:rsid w:val="00E82815"/>
    <w:rsid w:val="00E82851"/>
    <w:rsid w:val="00E82917"/>
    <w:rsid w:val="00E82ABE"/>
    <w:rsid w:val="00E82C69"/>
    <w:rsid w:val="00E82DB8"/>
    <w:rsid w:val="00E82EC6"/>
    <w:rsid w:val="00E832C9"/>
    <w:rsid w:val="00E834F1"/>
    <w:rsid w:val="00E8363A"/>
    <w:rsid w:val="00E838EC"/>
    <w:rsid w:val="00E83FEE"/>
    <w:rsid w:val="00E8408C"/>
    <w:rsid w:val="00E841AA"/>
    <w:rsid w:val="00E84202"/>
    <w:rsid w:val="00E84218"/>
    <w:rsid w:val="00E84527"/>
    <w:rsid w:val="00E8487F"/>
    <w:rsid w:val="00E84ABF"/>
    <w:rsid w:val="00E84B6C"/>
    <w:rsid w:val="00E84BA7"/>
    <w:rsid w:val="00E84CB7"/>
    <w:rsid w:val="00E84D12"/>
    <w:rsid w:val="00E84E1F"/>
    <w:rsid w:val="00E852AD"/>
    <w:rsid w:val="00E8546F"/>
    <w:rsid w:val="00E8561D"/>
    <w:rsid w:val="00E8568C"/>
    <w:rsid w:val="00E859C5"/>
    <w:rsid w:val="00E85C62"/>
    <w:rsid w:val="00E85F9B"/>
    <w:rsid w:val="00E8601F"/>
    <w:rsid w:val="00E8605D"/>
    <w:rsid w:val="00E86369"/>
    <w:rsid w:val="00E86476"/>
    <w:rsid w:val="00E869DF"/>
    <w:rsid w:val="00E869EC"/>
    <w:rsid w:val="00E86B08"/>
    <w:rsid w:val="00E86DC3"/>
    <w:rsid w:val="00E86DE5"/>
    <w:rsid w:val="00E87100"/>
    <w:rsid w:val="00E87115"/>
    <w:rsid w:val="00E871A4"/>
    <w:rsid w:val="00E8770A"/>
    <w:rsid w:val="00E877F6"/>
    <w:rsid w:val="00E8796A"/>
    <w:rsid w:val="00E87D59"/>
    <w:rsid w:val="00E87DED"/>
    <w:rsid w:val="00E87E18"/>
    <w:rsid w:val="00E87EAE"/>
    <w:rsid w:val="00E87F3B"/>
    <w:rsid w:val="00E90156"/>
    <w:rsid w:val="00E9020A"/>
    <w:rsid w:val="00E9024B"/>
    <w:rsid w:val="00E902A1"/>
    <w:rsid w:val="00E904FC"/>
    <w:rsid w:val="00E90701"/>
    <w:rsid w:val="00E909BF"/>
    <w:rsid w:val="00E90B02"/>
    <w:rsid w:val="00E91113"/>
    <w:rsid w:val="00E9116D"/>
    <w:rsid w:val="00E912FA"/>
    <w:rsid w:val="00E91485"/>
    <w:rsid w:val="00E917A2"/>
    <w:rsid w:val="00E91891"/>
    <w:rsid w:val="00E918E0"/>
    <w:rsid w:val="00E91C48"/>
    <w:rsid w:val="00E91CA2"/>
    <w:rsid w:val="00E92557"/>
    <w:rsid w:val="00E927B7"/>
    <w:rsid w:val="00E92922"/>
    <w:rsid w:val="00E92A93"/>
    <w:rsid w:val="00E92CAA"/>
    <w:rsid w:val="00E92CEB"/>
    <w:rsid w:val="00E92F19"/>
    <w:rsid w:val="00E932C2"/>
    <w:rsid w:val="00E932CE"/>
    <w:rsid w:val="00E932D3"/>
    <w:rsid w:val="00E93388"/>
    <w:rsid w:val="00E9356E"/>
    <w:rsid w:val="00E935DE"/>
    <w:rsid w:val="00E936B1"/>
    <w:rsid w:val="00E937B1"/>
    <w:rsid w:val="00E938D1"/>
    <w:rsid w:val="00E93B13"/>
    <w:rsid w:val="00E93C41"/>
    <w:rsid w:val="00E93C5B"/>
    <w:rsid w:val="00E93C72"/>
    <w:rsid w:val="00E93EC1"/>
    <w:rsid w:val="00E94103"/>
    <w:rsid w:val="00E9421E"/>
    <w:rsid w:val="00E944BD"/>
    <w:rsid w:val="00E945DC"/>
    <w:rsid w:val="00E94653"/>
    <w:rsid w:val="00E9474B"/>
    <w:rsid w:val="00E9498F"/>
    <w:rsid w:val="00E949B6"/>
    <w:rsid w:val="00E94A07"/>
    <w:rsid w:val="00E94A56"/>
    <w:rsid w:val="00E94CF4"/>
    <w:rsid w:val="00E9510C"/>
    <w:rsid w:val="00E95489"/>
    <w:rsid w:val="00E95773"/>
    <w:rsid w:val="00E95954"/>
    <w:rsid w:val="00E95A70"/>
    <w:rsid w:val="00E95A9E"/>
    <w:rsid w:val="00E95B51"/>
    <w:rsid w:val="00E95B74"/>
    <w:rsid w:val="00E960FD"/>
    <w:rsid w:val="00E9617D"/>
    <w:rsid w:val="00E9618B"/>
    <w:rsid w:val="00E96243"/>
    <w:rsid w:val="00E962DA"/>
    <w:rsid w:val="00E9646D"/>
    <w:rsid w:val="00E964B6"/>
    <w:rsid w:val="00E966BF"/>
    <w:rsid w:val="00E966FD"/>
    <w:rsid w:val="00E96A60"/>
    <w:rsid w:val="00E96AEA"/>
    <w:rsid w:val="00E96C41"/>
    <w:rsid w:val="00E96F0C"/>
    <w:rsid w:val="00E96F55"/>
    <w:rsid w:val="00E97122"/>
    <w:rsid w:val="00E9716A"/>
    <w:rsid w:val="00E971E8"/>
    <w:rsid w:val="00E97245"/>
    <w:rsid w:val="00E97482"/>
    <w:rsid w:val="00E977D9"/>
    <w:rsid w:val="00E97857"/>
    <w:rsid w:val="00E97A33"/>
    <w:rsid w:val="00E97A9A"/>
    <w:rsid w:val="00E97D26"/>
    <w:rsid w:val="00E97EE9"/>
    <w:rsid w:val="00EA0070"/>
    <w:rsid w:val="00EA009B"/>
    <w:rsid w:val="00EA05B2"/>
    <w:rsid w:val="00EA05D9"/>
    <w:rsid w:val="00EA0662"/>
    <w:rsid w:val="00EA082B"/>
    <w:rsid w:val="00EA098C"/>
    <w:rsid w:val="00EA0AE9"/>
    <w:rsid w:val="00EA0BBD"/>
    <w:rsid w:val="00EA0C4B"/>
    <w:rsid w:val="00EA11F0"/>
    <w:rsid w:val="00EA12C2"/>
    <w:rsid w:val="00EA13E3"/>
    <w:rsid w:val="00EA185E"/>
    <w:rsid w:val="00EA1B11"/>
    <w:rsid w:val="00EA1E73"/>
    <w:rsid w:val="00EA1F37"/>
    <w:rsid w:val="00EA1FCB"/>
    <w:rsid w:val="00EA20BA"/>
    <w:rsid w:val="00EA2169"/>
    <w:rsid w:val="00EA2215"/>
    <w:rsid w:val="00EA2420"/>
    <w:rsid w:val="00EA2534"/>
    <w:rsid w:val="00EA2971"/>
    <w:rsid w:val="00EA29E5"/>
    <w:rsid w:val="00EA2B44"/>
    <w:rsid w:val="00EA2CF1"/>
    <w:rsid w:val="00EA2D3C"/>
    <w:rsid w:val="00EA2EF9"/>
    <w:rsid w:val="00EA3034"/>
    <w:rsid w:val="00EA3277"/>
    <w:rsid w:val="00EA3A00"/>
    <w:rsid w:val="00EA3D03"/>
    <w:rsid w:val="00EA4131"/>
    <w:rsid w:val="00EA4295"/>
    <w:rsid w:val="00EA43AC"/>
    <w:rsid w:val="00EA4434"/>
    <w:rsid w:val="00EA45FD"/>
    <w:rsid w:val="00EA4687"/>
    <w:rsid w:val="00EA4B29"/>
    <w:rsid w:val="00EA4BE5"/>
    <w:rsid w:val="00EA4E52"/>
    <w:rsid w:val="00EA4FFB"/>
    <w:rsid w:val="00EA5097"/>
    <w:rsid w:val="00EA51F4"/>
    <w:rsid w:val="00EA5282"/>
    <w:rsid w:val="00EA52F1"/>
    <w:rsid w:val="00EA5478"/>
    <w:rsid w:val="00EA58D8"/>
    <w:rsid w:val="00EA5B74"/>
    <w:rsid w:val="00EA5BE6"/>
    <w:rsid w:val="00EA5F29"/>
    <w:rsid w:val="00EA5FE2"/>
    <w:rsid w:val="00EA60AE"/>
    <w:rsid w:val="00EA613D"/>
    <w:rsid w:val="00EA61F4"/>
    <w:rsid w:val="00EA66C8"/>
    <w:rsid w:val="00EA66FC"/>
    <w:rsid w:val="00EA695B"/>
    <w:rsid w:val="00EA695D"/>
    <w:rsid w:val="00EA6A58"/>
    <w:rsid w:val="00EA6BA3"/>
    <w:rsid w:val="00EA6C46"/>
    <w:rsid w:val="00EA713B"/>
    <w:rsid w:val="00EA7156"/>
    <w:rsid w:val="00EA729A"/>
    <w:rsid w:val="00EA735F"/>
    <w:rsid w:val="00EA766F"/>
    <w:rsid w:val="00EA7704"/>
    <w:rsid w:val="00EA7840"/>
    <w:rsid w:val="00EA796B"/>
    <w:rsid w:val="00EA7AF1"/>
    <w:rsid w:val="00EA7B46"/>
    <w:rsid w:val="00EA7D53"/>
    <w:rsid w:val="00EA7D68"/>
    <w:rsid w:val="00EA7F5D"/>
    <w:rsid w:val="00EA7FAB"/>
    <w:rsid w:val="00EB016E"/>
    <w:rsid w:val="00EB034F"/>
    <w:rsid w:val="00EB0386"/>
    <w:rsid w:val="00EB0464"/>
    <w:rsid w:val="00EB05B7"/>
    <w:rsid w:val="00EB07E7"/>
    <w:rsid w:val="00EB0E3B"/>
    <w:rsid w:val="00EB1053"/>
    <w:rsid w:val="00EB11A2"/>
    <w:rsid w:val="00EB14F2"/>
    <w:rsid w:val="00EB150F"/>
    <w:rsid w:val="00EB168C"/>
    <w:rsid w:val="00EB1C7F"/>
    <w:rsid w:val="00EB2033"/>
    <w:rsid w:val="00EB28B7"/>
    <w:rsid w:val="00EB2A3C"/>
    <w:rsid w:val="00EB2ACF"/>
    <w:rsid w:val="00EB2B7A"/>
    <w:rsid w:val="00EB2B84"/>
    <w:rsid w:val="00EB2DA4"/>
    <w:rsid w:val="00EB2DB5"/>
    <w:rsid w:val="00EB3483"/>
    <w:rsid w:val="00EB3B6F"/>
    <w:rsid w:val="00EB3DC2"/>
    <w:rsid w:val="00EB4091"/>
    <w:rsid w:val="00EB41A6"/>
    <w:rsid w:val="00EB41F3"/>
    <w:rsid w:val="00EB4333"/>
    <w:rsid w:val="00EB44B1"/>
    <w:rsid w:val="00EB45C5"/>
    <w:rsid w:val="00EB46E2"/>
    <w:rsid w:val="00EB4756"/>
    <w:rsid w:val="00EB47C5"/>
    <w:rsid w:val="00EB49E2"/>
    <w:rsid w:val="00EB49E5"/>
    <w:rsid w:val="00EB4A7A"/>
    <w:rsid w:val="00EB4B12"/>
    <w:rsid w:val="00EB4BA8"/>
    <w:rsid w:val="00EB4E3B"/>
    <w:rsid w:val="00EB5047"/>
    <w:rsid w:val="00EB5239"/>
    <w:rsid w:val="00EB543F"/>
    <w:rsid w:val="00EB54F7"/>
    <w:rsid w:val="00EB57E6"/>
    <w:rsid w:val="00EB5B5E"/>
    <w:rsid w:val="00EB5C7D"/>
    <w:rsid w:val="00EB5D89"/>
    <w:rsid w:val="00EB5E52"/>
    <w:rsid w:val="00EB5ED6"/>
    <w:rsid w:val="00EB6103"/>
    <w:rsid w:val="00EB6312"/>
    <w:rsid w:val="00EB63C4"/>
    <w:rsid w:val="00EB646C"/>
    <w:rsid w:val="00EB660C"/>
    <w:rsid w:val="00EB6627"/>
    <w:rsid w:val="00EB675D"/>
    <w:rsid w:val="00EB6776"/>
    <w:rsid w:val="00EB697E"/>
    <w:rsid w:val="00EB69A6"/>
    <w:rsid w:val="00EB69F7"/>
    <w:rsid w:val="00EB6AC6"/>
    <w:rsid w:val="00EB6B40"/>
    <w:rsid w:val="00EB6E3F"/>
    <w:rsid w:val="00EB6FA0"/>
    <w:rsid w:val="00EB723A"/>
    <w:rsid w:val="00EB72AE"/>
    <w:rsid w:val="00EB74E2"/>
    <w:rsid w:val="00EB7653"/>
    <w:rsid w:val="00EB7763"/>
    <w:rsid w:val="00EB798E"/>
    <w:rsid w:val="00EC009F"/>
    <w:rsid w:val="00EC031A"/>
    <w:rsid w:val="00EC0411"/>
    <w:rsid w:val="00EC04E6"/>
    <w:rsid w:val="00EC0555"/>
    <w:rsid w:val="00EC0615"/>
    <w:rsid w:val="00EC06C1"/>
    <w:rsid w:val="00EC0751"/>
    <w:rsid w:val="00EC08D3"/>
    <w:rsid w:val="00EC0AE5"/>
    <w:rsid w:val="00EC0C97"/>
    <w:rsid w:val="00EC11BC"/>
    <w:rsid w:val="00EC1A06"/>
    <w:rsid w:val="00EC1D52"/>
    <w:rsid w:val="00EC1D7E"/>
    <w:rsid w:val="00EC1F33"/>
    <w:rsid w:val="00EC2041"/>
    <w:rsid w:val="00EC2163"/>
    <w:rsid w:val="00EC22EF"/>
    <w:rsid w:val="00EC268C"/>
    <w:rsid w:val="00EC2A63"/>
    <w:rsid w:val="00EC2AE9"/>
    <w:rsid w:val="00EC2EC4"/>
    <w:rsid w:val="00EC3098"/>
    <w:rsid w:val="00EC30AF"/>
    <w:rsid w:val="00EC321E"/>
    <w:rsid w:val="00EC3700"/>
    <w:rsid w:val="00EC3708"/>
    <w:rsid w:val="00EC388D"/>
    <w:rsid w:val="00EC3D68"/>
    <w:rsid w:val="00EC4559"/>
    <w:rsid w:val="00EC4696"/>
    <w:rsid w:val="00EC4990"/>
    <w:rsid w:val="00EC4CB0"/>
    <w:rsid w:val="00EC4CD8"/>
    <w:rsid w:val="00EC4E91"/>
    <w:rsid w:val="00EC507C"/>
    <w:rsid w:val="00EC51FD"/>
    <w:rsid w:val="00EC5217"/>
    <w:rsid w:val="00EC528B"/>
    <w:rsid w:val="00EC533C"/>
    <w:rsid w:val="00EC55ED"/>
    <w:rsid w:val="00EC567E"/>
    <w:rsid w:val="00EC5690"/>
    <w:rsid w:val="00EC593A"/>
    <w:rsid w:val="00EC5A0A"/>
    <w:rsid w:val="00EC5A42"/>
    <w:rsid w:val="00EC5A60"/>
    <w:rsid w:val="00EC5BA0"/>
    <w:rsid w:val="00EC5D70"/>
    <w:rsid w:val="00EC5FB2"/>
    <w:rsid w:val="00EC6075"/>
    <w:rsid w:val="00EC61C3"/>
    <w:rsid w:val="00EC6298"/>
    <w:rsid w:val="00EC6388"/>
    <w:rsid w:val="00EC64BA"/>
    <w:rsid w:val="00EC6531"/>
    <w:rsid w:val="00EC6613"/>
    <w:rsid w:val="00EC6793"/>
    <w:rsid w:val="00EC67F3"/>
    <w:rsid w:val="00EC6935"/>
    <w:rsid w:val="00EC69E2"/>
    <w:rsid w:val="00EC6A5A"/>
    <w:rsid w:val="00EC6C27"/>
    <w:rsid w:val="00EC6C69"/>
    <w:rsid w:val="00EC6C96"/>
    <w:rsid w:val="00EC6D91"/>
    <w:rsid w:val="00EC6FDB"/>
    <w:rsid w:val="00EC7106"/>
    <w:rsid w:val="00EC72C7"/>
    <w:rsid w:val="00EC7382"/>
    <w:rsid w:val="00EC73E8"/>
    <w:rsid w:val="00EC751C"/>
    <w:rsid w:val="00EC7B1D"/>
    <w:rsid w:val="00EC7E3E"/>
    <w:rsid w:val="00ED001C"/>
    <w:rsid w:val="00ED01D2"/>
    <w:rsid w:val="00ED0296"/>
    <w:rsid w:val="00ED033A"/>
    <w:rsid w:val="00ED0380"/>
    <w:rsid w:val="00ED05A2"/>
    <w:rsid w:val="00ED071A"/>
    <w:rsid w:val="00ED0789"/>
    <w:rsid w:val="00ED09C5"/>
    <w:rsid w:val="00ED09C8"/>
    <w:rsid w:val="00ED0A08"/>
    <w:rsid w:val="00ED0B8E"/>
    <w:rsid w:val="00ED0F47"/>
    <w:rsid w:val="00ED0F92"/>
    <w:rsid w:val="00ED1406"/>
    <w:rsid w:val="00ED145B"/>
    <w:rsid w:val="00ED15A0"/>
    <w:rsid w:val="00ED15D6"/>
    <w:rsid w:val="00ED15DA"/>
    <w:rsid w:val="00ED186D"/>
    <w:rsid w:val="00ED18E7"/>
    <w:rsid w:val="00ED19E9"/>
    <w:rsid w:val="00ED1C21"/>
    <w:rsid w:val="00ED1C58"/>
    <w:rsid w:val="00ED1ED2"/>
    <w:rsid w:val="00ED21F6"/>
    <w:rsid w:val="00ED249D"/>
    <w:rsid w:val="00ED259F"/>
    <w:rsid w:val="00ED25D1"/>
    <w:rsid w:val="00ED2A2C"/>
    <w:rsid w:val="00ED2A36"/>
    <w:rsid w:val="00ED2C99"/>
    <w:rsid w:val="00ED2D14"/>
    <w:rsid w:val="00ED2EFB"/>
    <w:rsid w:val="00ED31E8"/>
    <w:rsid w:val="00ED3233"/>
    <w:rsid w:val="00ED323E"/>
    <w:rsid w:val="00ED3370"/>
    <w:rsid w:val="00ED33F3"/>
    <w:rsid w:val="00ED3593"/>
    <w:rsid w:val="00ED35C8"/>
    <w:rsid w:val="00ED367D"/>
    <w:rsid w:val="00ED3820"/>
    <w:rsid w:val="00ED4015"/>
    <w:rsid w:val="00ED4134"/>
    <w:rsid w:val="00ED41D9"/>
    <w:rsid w:val="00ED42D8"/>
    <w:rsid w:val="00ED43B4"/>
    <w:rsid w:val="00ED44D5"/>
    <w:rsid w:val="00ED45A7"/>
    <w:rsid w:val="00ED484B"/>
    <w:rsid w:val="00ED497A"/>
    <w:rsid w:val="00ED4B78"/>
    <w:rsid w:val="00ED5111"/>
    <w:rsid w:val="00ED530A"/>
    <w:rsid w:val="00ED53BF"/>
    <w:rsid w:val="00ED55BE"/>
    <w:rsid w:val="00ED574B"/>
    <w:rsid w:val="00ED5858"/>
    <w:rsid w:val="00ED58B8"/>
    <w:rsid w:val="00ED5AAF"/>
    <w:rsid w:val="00ED5D0A"/>
    <w:rsid w:val="00ED5D35"/>
    <w:rsid w:val="00ED5F4D"/>
    <w:rsid w:val="00ED5F6D"/>
    <w:rsid w:val="00ED64CA"/>
    <w:rsid w:val="00ED6646"/>
    <w:rsid w:val="00ED6980"/>
    <w:rsid w:val="00ED69FA"/>
    <w:rsid w:val="00ED6A1C"/>
    <w:rsid w:val="00ED6AD6"/>
    <w:rsid w:val="00ED6B38"/>
    <w:rsid w:val="00ED70FE"/>
    <w:rsid w:val="00ED7204"/>
    <w:rsid w:val="00ED7583"/>
    <w:rsid w:val="00ED7630"/>
    <w:rsid w:val="00ED79FF"/>
    <w:rsid w:val="00ED7A0A"/>
    <w:rsid w:val="00ED7C1F"/>
    <w:rsid w:val="00ED7D9F"/>
    <w:rsid w:val="00EE028A"/>
    <w:rsid w:val="00EE0310"/>
    <w:rsid w:val="00EE06DB"/>
    <w:rsid w:val="00EE06ED"/>
    <w:rsid w:val="00EE076C"/>
    <w:rsid w:val="00EE09B4"/>
    <w:rsid w:val="00EE0D4A"/>
    <w:rsid w:val="00EE0D8C"/>
    <w:rsid w:val="00EE0E72"/>
    <w:rsid w:val="00EE0EDF"/>
    <w:rsid w:val="00EE104B"/>
    <w:rsid w:val="00EE11BE"/>
    <w:rsid w:val="00EE11D2"/>
    <w:rsid w:val="00EE14E2"/>
    <w:rsid w:val="00EE1656"/>
    <w:rsid w:val="00EE17B7"/>
    <w:rsid w:val="00EE193E"/>
    <w:rsid w:val="00EE1AE6"/>
    <w:rsid w:val="00EE1AF6"/>
    <w:rsid w:val="00EE1E85"/>
    <w:rsid w:val="00EE2046"/>
    <w:rsid w:val="00EE21D6"/>
    <w:rsid w:val="00EE241C"/>
    <w:rsid w:val="00EE25DF"/>
    <w:rsid w:val="00EE27CF"/>
    <w:rsid w:val="00EE28AB"/>
    <w:rsid w:val="00EE2932"/>
    <w:rsid w:val="00EE29FF"/>
    <w:rsid w:val="00EE2A85"/>
    <w:rsid w:val="00EE2C5B"/>
    <w:rsid w:val="00EE2E46"/>
    <w:rsid w:val="00EE346F"/>
    <w:rsid w:val="00EE36B5"/>
    <w:rsid w:val="00EE377A"/>
    <w:rsid w:val="00EE382D"/>
    <w:rsid w:val="00EE3893"/>
    <w:rsid w:val="00EE38DC"/>
    <w:rsid w:val="00EE401E"/>
    <w:rsid w:val="00EE40BD"/>
    <w:rsid w:val="00EE4221"/>
    <w:rsid w:val="00EE4326"/>
    <w:rsid w:val="00EE4587"/>
    <w:rsid w:val="00EE45CA"/>
    <w:rsid w:val="00EE4661"/>
    <w:rsid w:val="00EE4676"/>
    <w:rsid w:val="00EE4760"/>
    <w:rsid w:val="00EE491E"/>
    <w:rsid w:val="00EE498D"/>
    <w:rsid w:val="00EE4996"/>
    <w:rsid w:val="00EE4A65"/>
    <w:rsid w:val="00EE4A68"/>
    <w:rsid w:val="00EE4D9D"/>
    <w:rsid w:val="00EE4F60"/>
    <w:rsid w:val="00EE510F"/>
    <w:rsid w:val="00EE5200"/>
    <w:rsid w:val="00EE52A5"/>
    <w:rsid w:val="00EE55AD"/>
    <w:rsid w:val="00EE5835"/>
    <w:rsid w:val="00EE587A"/>
    <w:rsid w:val="00EE5897"/>
    <w:rsid w:val="00EE5AD7"/>
    <w:rsid w:val="00EE5B1B"/>
    <w:rsid w:val="00EE5B66"/>
    <w:rsid w:val="00EE5FD5"/>
    <w:rsid w:val="00EE5FDE"/>
    <w:rsid w:val="00EE6021"/>
    <w:rsid w:val="00EE62C4"/>
    <w:rsid w:val="00EE646B"/>
    <w:rsid w:val="00EE651A"/>
    <w:rsid w:val="00EE65C1"/>
    <w:rsid w:val="00EE68D1"/>
    <w:rsid w:val="00EE6A9C"/>
    <w:rsid w:val="00EE6C4C"/>
    <w:rsid w:val="00EE6C56"/>
    <w:rsid w:val="00EE7293"/>
    <w:rsid w:val="00EE73DF"/>
    <w:rsid w:val="00EE77C6"/>
    <w:rsid w:val="00EE7909"/>
    <w:rsid w:val="00EE7995"/>
    <w:rsid w:val="00EE7A53"/>
    <w:rsid w:val="00EE7B4E"/>
    <w:rsid w:val="00EE7EB3"/>
    <w:rsid w:val="00EF04D2"/>
    <w:rsid w:val="00EF0710"/>
    <w:rsid w:val="00EF0820"/>
    <w:rsid w:val="00EF0E3A"/>
    <w:rsid w:val="00EF0ED0"/>
    <w:rsid w:val="00EF0F91"/>
    <w:rsid w:val="00EF0FA1"/>
    <w:rsid w:val="00EF0FCF"/>
    <w:rsid w:val="00EF10FB"/>
    <w:rsid w:val="00EF132D"/>
    <w:rsid w:val="00EF1355"/>
    <w:rsid w:val="00EF1544"/>
    <w:rsid w:val="00EF1A81"/>
    <w:rsid w:val="00EF1B82"/>
    <w:rsid w:val="00EF1C38"/>
    <w:rsid w:val="00EF1C9A"/>
    <w:rsid w:val="00EF1CAE"/>
    <w:rsid w:val="00EF265A"/>
    <w:rsid w:val="00EF2662"/>
    <w:rsid w:val="00EF26F0"/>
    <w:rsid w:val="00EF2840"/>
    <w:rsid w:val="00EF2893"/>
    <w:rsid w:val="00EF2A55"/>
    <w:rsid w:val="00EF2CE3"/>
    <w:rsid w:val="00EF2F76"/>
    <w:rsid w:val="00EF2F95"/>
    <w:rsid w:val="00EF312C"/>
    <w:rsid w:val="00EF3151"/>
    <w:rsid w:val="00EF31DE"/>
    <w:rsid w:val="00EF325C"/>
    <w:rsid w:val="00EF32EB"/>
    <w:rsid w:val="00EF336D"/>
    <w:rsid w:val="00EF3735"/>
    <w:rsid w:val="00EF378F"/>
    <w:rsid w:val="00EF3BD2"/>
    <w:rsid w:val="00EF3C0F"/>
    <w:rsid w:val="00EF3F26"/>
    <w:rsid w:val="00EF400E"/>
    <w:rsid w:val="00EF40CF"/>
    <w:rsid w:val="00EF4330"/>
    <w:rsid w:val="00EF4508"/>
    <w:rsid w:val="00EF4AE7"/>
    <w:rsid w:val="00EF4C53"/>
    <w:rsid w:val="00EF4ECE"/>
    <w:rsid w:val="00EF4F4F"/>
    <w:rsid w:val="00EF5148"/>
    <w:rsid w:val="00EF5245"/>
    <w:rsid w:val="00EF526E"/>
    <w:rsid w:val="00EF5393"/>
    <w:rsid w:val="00EF53B6"/>
    <w:rsid w:val="00EF5462"/>
    <w:rsid w:val="00EF55A3"/>
    <w:rsid w:val="00EF55A9"/>
    <w:rsid w:val="00EF567A"/>
    <w:rsid w:val="00EF5B42"/>
    <w:rsid w:val="00EF5D26"/>
    <w:rsid w:val="00EF5F14"/>
    <w:rsid w:val="00EF5FCE"/>
    <w:rsid w:val="00EF617F"/>
    <w:rsid w:val="00EF63F8"/>
    <w:rsid w:val="00EF642F"/>
    <w:rsid w:val="00EF64DB"/>
    <w:rsid w:val="00EF6920"/>
    <w:rsid w:val="00EF6CFB"/>
    <w:rsid w:val="00EF732D"/>
    <w:rsid w:val="00EF7581"/>
    <w:rsid w:val="00EF79A8"/>
    <w:rsid w:val="00EF7C5E"/>
    <w:rsid w:val="00F00266"/>
    <w:rsid w:val="00F00385"/>
    <w:rsid w:val="00F003A6"/>
    <w:rsid w:val="00F0091C"/>
    <w:rsid w:val="00F00A3A"/>
    <w:rsid w:val="00F00CF8"/>
    <w:rsid w:val="00F0106F"/>
    <w:rsid w:val="00F01376"/>
    <w:rsid w:val="00F013D7"/>
    <w:rsid w:val="00F016AA"/>
    <w:rsid w:val="00F01AAF"/>
    <w:rsid w:val="00F01AB6"/>
    <w:rsid w:val="00F01BC7"/>
    <w:rsid w:val="00F01BE5"/>
    <w:rsid w:val="00F01F38"/>
    <w:rsid w:val="00F020C7"/>
    <w:rsid w:val="00F021F6"/>
    <w:rsid w:val="00F022CB"/>
    <w:rsid w:val="00F02458"/>
    <w:rsid w:val="00F02526"/>
    <w:rsid w:val="00F02529"/>
    <w:rsid w:val="00F02618"/>
    <w:rsid w:val="00F0267F"/>
    <w:rsid w:val="00F029DE"/>
    <w:rsid w:val="00F02F03"/>
    <w:rsid w:val="00F02FA5"/>
    <w:rsid w:val="00F0311D"/>
    <w:rsid w:val="00F034F3"/>
    <w:rsid w:val="00F03542"/>
    <w:rsid w:val="00F036EC"/>
    <w:rsid w:val="00F039C9"/>
    <w:rsid w:val="00F03AFC"/>
    <w:rsid w:val="00F03E38"/>
    <w:rsid w:val="00F044E5"/>
    <w:rsid w:val="00F045F7"/>
    <w:rsid w:val="00F0474A"/>
    <w:rsid w:val="00F04A99"/>
    <w:rsid w:val="00F04BBD"/>
    <w:rsid w:val="00F04C8D"/>
    <w:rsid w:val="00F04CA9"/>
    <w:rsid w:val="00F04D68"/>
    <w:rsid w:val="00F04E8D"/>
    <w:rsid w:val="00F052C0"/>
    <w:rsid w:val="00F05566"/>
    <w:rsid w:val="00F05581"/>
    <w:rsid w:val="00F05858"/>
    <w:rsid w:val="00F05AB4"/>
    <w:rsid w:val="00F05AC2"/>
    <w:rsid w:val="00F05B05"/>
    <w:rsid w:val="00F05D2F"/>
    <w:rsid w:val="00F05ED8"/>
    <w:rsid w:val="00F06171"/>
    <w:rsid w:val="00F06316"/>
    <w:rsid w:val="00F06726"/>
    <w:rsid w:val="00F0674A"/>
    <w:rsid w:val="00F06A02"/>
    <w:rsid w:val="00F06A26"/>
    <w:rsid w:val="00F06B46"/>
    <w:rsid w:val="00F06EEA"/>
    <w:rsid w:val="00F06FCB"/>
    <w:rsid w:val="00F06FE4"/>
    <w:rsid w:val="00F074D2"/>
    <w:rsid w:val="00F07561"/>
    <w:rsid w:val="00F07740"/>
    <w:rsid w:val="00F0788A"/>
    <w:rsid w:val="00F078C3"/>
    <w:rsid w:val="00F07A35"/>
    <w:rsid w:val="00F07B52"/>
    <w:rsid w:val="00F07D1C"/>
    <w:rsid w:val="00F07FD7"/>
    <w:rsid w:val="00F101C1"/>
    <w:rsid w:val="00F1031D"/>
    <w:rsid w:val="00F10AC1"/>
    <w:rsid w:val="00F10AF6"/>
    <w:rsid w:val="00F10C9B"/>
    <w:rsid w:val="00F10FA4"/>
    <w:rsid w:val="00F10FCD"/>
    <w:rsid w:val="00F11087"/>
    <w:rsid w:val="00F113AB"/>
    <w:rsid w:val="00F113E9"/>
    <w:rsid w:val="00F1149D"/>
    <w:rsid w:val="00F115AA"/>
    <w:rsid w:val="00F11A99"/>
    <w:rsid w:val="00F11BA3"/>
    <w:rsid w:val="00F11C1D"/>
    <w:rsid w:val="00F11C4C"/>
    <w:rsid w:val="00F11C72"/>
    <w:rsid w:val="00F11D50"/>
    <w:rsid w:val="00F120CB"/>
    <w:rsid w:val="00F121A4"/>
    <w:rsid w:val="00F12267"/>
    <w:rsid w:val="00F1235E"/>
    <w:rsid w:val="00F1239D"/>
    <w:rsid w:val="00F12400"/>
    <w:rsid w:val="00F1254D"/>
    <w:rsid w:val="00F12651"/>
    <w:rsid w:val="00F1287B"/>
    <w:rsid w:val="00F12915"/>
    <w:rsid w:val="00F12B54"/>
    <w:rsid w:val="00F12C1A"/>
    <w:rsid w:val="00F12DF2"/>
    <w:rsid w:val="00F1317C"/>
    <w:rsid w:val="00F131AC"/>
    <w:rsid w:val="00F131F1"/>
    <w:rsid w:val="00F13271"/>
    <w:rsid w:val="00F132C5"/>
    <w:rsid w:val="00F133BF"/>
    <w:rsid w:val="00F13418"/>
    <w:rsid w:val="00F138FD"/>
    <w:rsid w:val="00F13CF1"/>
    <w:rsid w:val="00F13ED8"/>
    <w:rsid w:val="00F14769"/>
    <w:rsid w:val="00F14780"/>
    <w:rsid w:val="00F1487B"/>
    <w:rsid w:val="00F14BA2"/>
    <w:rsid w:val="00F14C01"/>
    <w:rsid w:val="00F14CB9"/>
    <w:rsid w:val="00F14FEF"/>
    <w:rsid w:val="00F1509F"/>
    <w:rsid w:val="00F15446"/>
    <w:rsid w:val="00F154FB"/>
    <w:rsid w:val="00F15510"/>
    <w:rsid w:val="00F155D0"/>
    <w:rsid w:val="00F156DD"/>
    <w:rsid w:val="00F1581A"/>
    <w:rsid w:val="00F15963"/>
    <w:rsid w:val="00F15C2C"/>
    <w:rsid w:val="00F15CA0"/>
    <w:rsid w:val="00F16160"/>
    <w:rsid w:val="00F164B3"/>
    <w:rsid w:val="00F167A9"/>
    <w:rsid w:val="00F167CA"/>
    <w:rsid w:val="00F16BC6"/>
    <w:rsid w:val="00F16DAD"/>
    <w:rsid w:val="00F17106"/>
    <w:rsid w:val="00F17143"/>
    <w:rsid w:val="00F1733A"/>
    <w:rsid w:val="00F17507"/>
    <w:rsid w:val="00F175B7"/>
    <w:rsid w:val="00F175E5"/>
    <w:rsid w:val="00F1771E"/>
    <w:rsid w:val="00F1783C"/>
    <w:rsid w:val="00F17868"/>
    <w:rsid w:val="00F17A3E"/>
    <w:rsid w:val="00F17C13"/>
    <w:rsid w:val="00F17D84"/>
    <w:rsid w:val="00F17E64"/>
    <w:rsid w:val="00F17F63"/>
    <w:rsid w:val="00F20247"/>
    <w:rsid w:val="00F2028C"/>
    <w:rsid w:val="00F20304"/>
    <w:rsid w:val="00F206AF"/>
    <w:rsid w:val="00F206CB"/>
    <w:rsid w:val="00F20965"/>
    <w:rsid w:val="00F20F76"/>
    <w:rsid w:val="00F21691"/>
    <w:rsid w:val="00F2187D"/>
    <w:rsid w:val="00F21A8A"/>
    <w:rsid w:val="00F21B1D"/>
    <w:rsid w:val="00F21B60"/>
    <w:rsid w:val="00F21BCE"/>
    <w:rsid w:val="00F21D75"/>
    <w:rsid w:val="00F21F19"/>
    <w:rsid w:val="00F22007"/>
    <w:rsid w:val="00F220BD"/>
    <w:rsid w:val="00F22139"/>
    <w:rsid w:val="00F22165"/>
    <w:rsid w:val="00F222AD"/>
    <w:rsid w:val="00F222F4"/>
    <w:rsid w:val="00F227CE"/>
    <w:rsid w:val="00F22954"/>
    <w:rsid w:val="00F22989"/>
    <w:rsid w:val="00F22A00"/>
    <w:rsid w:val="00F22C7E"/>
    <w:rsid w:val="00F22CB4"/>
    <w:rsid w:val="00F22CDE"/>
    <w:rsid w:val="00F22EF4"/>
    <w:rsid w:val="00F237DF"/>
    <w:rsid w:val="00F239F8"/>
    <w:rsid w:val="00F23B8D"/>
    <w:rsid w:val="00F23BCD"/>
    <w:rsid w:val="00F2419F"/>
    <w:rsid w:val="00F2451C"/>
    <w:rsid w:val="00F247AC"/>
    <w:rsid w:val="00F24831"/>
    <w:rsid w:val="00F2483C"/>
    <w:rsid w:val="00F24A48"/>
    <w:rsid w:val="00F24B82"/>
    <w:rsid w:val="00F24C00"/>
    <w:rsid w:val="00F24C1A"/>
    <w:rsid w:val="00F24CD8"/>
    <w:rsid w:val="00F24D13"/>
    <w:rsid w:val="00F24E0C"/>
    <w:rsid w:val="00F24F44"/>
    <w:rsid w:val="00F2505E"/>
    <w:rsid w:val="00F25088"/>
    <w:rsid w:val="00F25398"/>
    <w:rsid w:val="00F2541A"/>
    <w:rsid w:val="00F25707"/>
    <w:rsid w:val="00F25965"/>
    <w:rsid w:val="00F25A09"/>
    <w:rsid w:val="00F25BD1"/>
    <w:rsid w:val="00F25E7C"/>
    <w:rsid w:val="00F26207"/>
    <w:rsid w:val="00F26245"/>
    <w:rsid w:val="00F2632C"/>
    <w:rsid w:val="00F2677F"/>
    <w:rsid w:val="00F26896"/>
    <w:rsid w:val="00F268D8"/>
    <w:rsid w:val="00F269DC"/>
    <w:rsid w:val="00F26A80"/>
    <w:rsid w:val="00F26AD4"/>
    <w:rsid w:val="00F26BB5"/>
    <w:rsid w:val="00F26D47"/>
    <w:rsid w:val="00F26D98"/>
    <w:rsid w:val="00F26FF4"/>
    <w:rsid w:val="00F272E7"/>
    <w:rsid w:val="00F273B9"/>
    <w:rsid w:val="00F275AA"/>
    <w:rsid w:val="00F27A34"/>
    <w:rsid w:val="00F27A91"/>
    <w:rsid w:val="00F27EF9"/>
    <w:rsid w:val="00F27FF3"/>
    <w:rsid w:val="00F30233"/>
    <w:rsid w:val="00F302D1"/>
    <w:rsid w:val="00F3036B"/>
    <w:rsid w:val="00F303DA"/>
    <w:rsid w:val="00F305D3"/>
    <w:rsid w:val="00F308EE"/>
    <w:rsid w:val="00F30B2F"/>
    <w:rsid w:val="00F30BD3"/>
    <w:rsid w:val="00F30C2A"/>
    <w:rsid w:val="00F30D8D"/>
    <w:rsid w:val="00F30E2A"/>
    <w:rsid w:val="00F30E2B"/>
    <w:rsid w:val="00F30E62"/>
    <w:rsid w:val="00F30E89"/>
    <w:rsid w:val="00F3114B"/>
    <w:rsid w:val="00F3117D"/>
    <w:rsid w:val="00F3141C"/>
    <w:rsid w:val="00F316B1"/>
    <w:rsid w:val="00F317A5"/>
    <w:rsid w:val="00F318BB"/>
    <w:rsid w:val="00F31A6D"/>
    <w:rsid w:val="00F31CD4"/>
    <w:rsid w:val="00F32324"/>
    <w:rsid w:val="00F32392"/>
    <w:rsid w:val="00F323C7"/>
    <w:rsid w:val="00F3246E"/>
    <w:rsid w:val="00F32494"/>
    <w:rsid w:val="00F324FC"/>
    <w:rsid w:val="00F32552"/>
    <w:rsid w:val="00F32795"/>
    <w:rsid w:val="00F328F7"/>
    <w:rsid w:val="00F32A60"/>
    <w:rsid w:val="00F32D5D"/>
    <w:rsid w:val="00F32EB8"/>
    <w:rsid w:val="00F32FC0"/>
    <w:rsid w:val="00F33045"/>
    <w:rsid w:val="00F33076"/>
    <w:rsid w:val="00F33093"/>
    <w:rsid w:val="00F33399"/>
    <w:rsid w:val="00F336E2"/>
    <w:rsid w:val="00F338E2"/>
    <w:rsid w:val="00F34009"/>
    <w:rsid w:val="00F34058"/>
    <w:rsid w:val="00F34233"/>
    <w:rsid w:val="00F3440B"/>
    <w:rsid w:val="00F344BE"/>
    <w:rsid w:val="00F345BD"/>
    <w:rsid w:val="00F34A42"/>
    <w:rsid w:val="00F34D01"/>
    <w:rsid w:val="00F35064"/>
    <w:rsid w:val="00F35124"/>
    <w:rsid w:val="00F352B1"/>
    <w:rsid w:val="00F353CA"/>
    <w:rsid w:val="00F3559C"/>
    <w:rsid w:val="00F35B5A"/>
    <w:rsid w:val="00F35BF2"/>
    <w:rsid w:val="00F35CB7"/>
    <w:rsid w:val="00F36110"/>
    <w:rsid w:val="00F36252"/>
    <w:rsid w:val="00F362AC"/>
    <w:rsid w:val="00F362F2"/>
    <w:rsid w:val="00F36378"/>
    <w:rsid w:val="00F363FF"/>
    <w:rsid w:val="00F3640C"/>
    <w:rsid w:val="00F367A1"/>
    <w:rsid w:val="00F36826"/>
    <w:rsid w:val="00F3687C"/>
    <w:rsid w:val="00F3693E"/>
    <w:rsid w:val="00F36985"/>
    <w:rsid w:val="00F36C54"/>
    <w:rsid w:val="00F36DA6"/>
    <w:rsid w:val="00F36DBA"/>
    <w:rsid w:val="00F36E0D"/>
    <w:rsid w:val="00F36F75"/>
    <w:rsid w:val="00F36F89"/>
    <w:rsid w:val="00F3703D"/>
    <w:rsid w:val="00F37551"/>
    <w:rsid w:val="00F376A7"/>
    <w:rsid w:val="00F376FE"/>
    <w:rsid w:val="00F37843"/>
    <w:rsid w:val="00F37898"/>
    <w:rsid w:val="00F37910"/>
    <w:rsid w:val="00F37B0E"/>
    <w:rsid w:val="00F37D73"/>
    <w:rsid w:val="00F37F8B"/>
    <w:rsid w:val="00F4012D"/>
    <w:rsid w:val="00F4019F"/>
    <w:rsid w:val="00F401D2"/>
    <w:rsid w:val="00F4025C"/>
    <w:rsid w:val="00F40447"/>
    <w:rsid w:val="00F40454"/>
    <w:rsid w:val="00F404CC"/>
    <w:rsid w:val="00F404E4"/>
    <w:rsid w:val="00F405DC"/>
    <w:rsid w:val="00F406C8"/>
    <w:rsid w:val="00F4098B"/>
    <w:rsid w:val="00F40B81"/>
    <w:rsid w:val="00F41039"/>
    <w:rsid w:val="00F410A2"/>
    <w:rsid w:val="00F4152E"/>
    <w:rsid w:val="00F41594"/>
    <w:rsid w:val="00F41648"/>
    <w:rsid w:val="00F416D6"/>
    <w:rsid w:val="00F41752"/>
    <w:rsid w:val="00F417B9"/>
    <w:rsid w:val="00F4182D"/>
    <w:rsid w:val="00F41A3C"/>
    <w:rsid w:val="00F41AC8"/>
    <w:rsid w:val="00F41D6B"/>
    <w:rsid w:val="00F4217F"/>
    <w:rsid w:val="00F42193"/>
    <w:rsid w:val="00F4224D"/>
    <w:rsid w:val="00F42469"/>
    <w:rsid w:val="00F42661"/>
    <w:rsid w:val="00F4267F"/>
    <w:rsid w:val="00F42B9B"/>
    <w:rsid w:val="00F42D7E"/>
    <w:rsid w:val="00F42F84"/>
    <w:rsid w:val="00F437BA"/>
    <w:rsid w:val="00F43856"/>
    <w:rsid w:val="00F43894"/>
    <w:rsid w:val="00F438DC"/>
    <w:rsid w:val="00F43B15"/>
    <w:rsid w:val="00F43BB1"/>
    <w:rsid w:val="00F43BC1"/>
    <w:rsid w:val="00F44114"/>
    <w:rsid w:val="00F441BA"/>
    <w:rsid w:val="00F44400"/>
    <w:rsid w:val="00F44516"/>
    <w:rsid w:val="00F445A8"/>
    <w:rsid w:val="00F44677"/>
    <w:rsid w:val="00F447D1"/>
    <w:rsid w:val="00F448B0"/>
    <w:rsid w:val="00F44B60"/>
    <w:rsid w:val="00F44C59"/>
    <w:rsid w:val="00F44D9D"/>
    <w:rsid w:val="00F44DB5"/>
    <w:rsid w:val="00F44F66"/>
    <w:rsid w:val="00F44F6B"/>
    <w:rsid w:val="00F451CF"/>
    <w:rsid w:val="00F45233"/>
    <w:rsid w:val="00F454D3"/>
    <w:rsid w:val="00F45558"/>
    <w:rsid w:val="00F4585F"/>
    <w:rsid w:val="00F458D9"/>
    <w:rsid w:val="00F45920"/>
    <w:rsid w:val="00F45A55"/>
    <w:rsid w:val="00F45A7C"/>
    <w:rsid w:val="00F45EB9"/>
    <w:rsid w:val="00F460C6"/>
    <w:rsid w:val="00F460DF"/>
    <w:rsid w:val="00F4615B"/>
    <w:rsid w:val="00F46341"/>
    <w:rsid w:val="00F463CD"/>
    <w:rsid w:val="00F4662F"/>
    <w:rsid w:val="00F46687"/>
    <w:rsid w:val="00F466C3"/>
    <w:rsid w:val="00F46E28"/>
    <w:rsid w:val="00F470CA"/>
    <w:rsid w:val="00F47262"/>
    <w:rsid w:val="00F4734E"/>
    <w:rsid w:val="00F473FE"/>
    <w:rsid w:val="00F4762B"/>
    <w:rsid w:val="00F4774F"/>
    <w:rsid w:val="00F47836"/>
    <w:rsid w:val="00F47AD0"/>
    <w:rsid w:val="00F47AE4"/>
    <w:rsid w:val="00F47B7F"/>
    <w:rsid w:val="00F47B80"/>
    <w:rsid w:val="00F47BDB"/>
    <w:rsid w:val="00F47C1A"/>
    <w:rsid w:val="00F47F7A"/>
    <w:rsid w:val="00F47FA9"/>
    <w:rsid w:val="00F50092"/>
    <w:rsid w:val="00F501DA"/>
    <w:rsid w:val="00F503A9"/>
    <w:rsid w:val="00F504CE"/>
    <w:rsid w:val="00F50528"/>
    <w:rsid w:val="00F505E1"/>
    <w:rsid w:val="00F50767"/>
    <w:rsid w:val="00F50E98"/>
    <w:rsid w:val="00F50EED"/>
    <w:rsid w:val="00F51024"/>
    <w:rsid w:val="00F510AF"/>
    <w:rsid w:val="00F51261"/>
    <w:rsid w:val="00F512B0"/>
    <w:rsid w:val="00F513D4"/>
    <w:rsid w:val="00F515C0"/>
    <w:rsid w:val="00F515CB"/>
    <w:rsid w:val="00F51646"/>
    <w:rsid w:val="00F51656"/>
    <w:rsid w:val="00F516CF"/>
    <w:rsid w:val="00F51B72"/>
    <w:rsid w:val="00F51B77"/>
    <w:rsid w:val="00F51B91"/>
    <w:rsid w:val="00F51DA0"/>
    <w:rsid w:val="00F51F98"/>
    <w:rsid w:val="00F51F9E"/>
    <w:rsid w:val="00F52070"/>
    <w:rsid w:val="00F521BC"/>
    <w:rsid w:val="00F52291"/>
    <w:rsid w:val="00F52323"/>
    <w:rsid w:val="00F523A9"/>
    <w:rsid w:val="00F52555"/>
    <w:rsid w:val="00F5271C"/>
    <w:rsid w:val="00F52B8C"/>
    <w:rsid w:val="00F52E55"/>
    <w:rsid w:val="00F53132"/>
    <w:rsid w:val="00F53471"/>
    <w:rsid w:val="00F537B8"/>
    <w:rsid w:val="00F53850"/>
    <w:rsid w:val="00F53AB3"/>
    <w:rsid w:val="00F53D39"/>
    <w:rsid w:val="00F53D59"/>
    <w:rsid w:val="00F53E3E"/>
    <w:rsid w:val="00F5423E"/>
    <w:rsid w:val="00F5427E"/>
    <w:rsid w:val="00F54288"/>
    <w:rsid w:val="00F54401"/>
    <w:rsid w:val="00F54484"/>
    <w:rsid w:val="00F545B2"/>
    <w:rsid w:val="00F54690"/>
    <w:rsid w:val="00F548F5"/>
    <w:rsid w:val="00F54A2C"/>
    <w:rsid w:val="00F54D74"/>
    <w:rsid w:val="00F54E36"/>
    <w:rsid w:val="00F54EED"/>
    <w:rsid w:val="00F5521D"/>
    <w:rsid w:val="00F55492"/>
    <w:rsid w:val="00F55538"/>
    <w:rsid w:val="00F5589E"/>
    <w:rsid w:val="00F558F1"/>
    <w:rsid w:val="00F55ADB"/>
    <w:rsid w:val="00F55F98"/>
    <w:rsid w:val="00F56305"/>
    <w:rsid w:val="00F56375"/>
    <w:rsid w:val="00F567E0"/>
    <w:rsid w:val="00F56A4B"/>
    <w:rsid w:val="00F57152"/>
    <w:rsid w:val="00F57401"/>
    <w:rsid w:val="00F57431"/>
    <w:rsid w:val="00F576CA"/>
    <w:rsid w:val="00F57AD2"/>
    <w:rsid w:val="00F57C8D"/>
    <w:rsid w:val="00F57CE1"/>
    <w:rsid w:val="00F57D5E"/>
    <w:rsid w:val="00F57DD0"/>
    <w:rsid w:val="00F57F13"/>
    <w:rsid w:val="00F60364"/>
    <w:rsid w:val="00F60405"/>
    <w:rsid w:val="00F605E5"/>
    <w:rsid w:val="00F6064D"/>
    <w:rsid w:val="00F607BE"/>
    <w:rsid w:val="00F60853"/>
    <w:rsid w:val="00F60984"/>
    <w:rsid w:val="00F60A08"/>
    <w:rsid w:val="00F60B5E"/>
    <w:rsid w:val="00F60BF9"/>
    <w:rsid w:val="00F60E27"/>
    <w:rsid w:val="00F60F23"/>
    <w:rsid w:val="00F60F91"/>
    <w:rsid w:val="00F610F5"/>
    <w:rsid w:val="00F61225"/>
    <w:rsid w:val="00F6133C"/>
    <w:rsid w:val="00F6167A"/>
    <w:rsid w:val="00F617DE"/>
    <w:rsid w:val="00F618F0"/>
    <w:rsid w:val="00F61D03"/>
    <w:rsid w:val="00F61DCC"/>
    <w:rsid w:val="00F61FFA"/>
    <w:rsid w:val="00F62150"/>
    <w:rsid w:val="00F62A87"/>
    <w:rsid w:val="00F62C0C"/>
    <w:rsid w:val="00F62D92"/>
    <w:rsid w:val="00F62F84"/>
    <w:rsid w:val="00F62FA6"/>
    <w:rsid w:val="00F630C5"/>
    <w:rsid w:val="00F633C2"/>
    <w:rsid w:val="00F634CA"/>
    <w:rsid w:val="00F63566"/>
    <w:rsid w:val="00F636EC"/>
    <w:rsid w:val="00F63745"/>
    <w:rsid w:val="00F637A2"/>
    <w:rsid w:val="00F638DD"/>
    <w:rsid w:val="00F638FE"/>
    <w:rsid w:val="00F639F3"/>
    <w:rsid w:val="00F63B76"/>
    <w:rsid w:val="00F63C77"/>
    <w:rsid w:val="00F63ED9"/>
    <w:rsid w:val="00F6402E"/>
    <w:rsid w:val="00F640E2"/>
    <w:rsid w:val="00F6415F"/>
    <w:rsid w:val="00F641E2"/>
    <w:rsid w:val="00F64399"/>
    <w:rsid w:val="00F64473"/>
    <w:rsid w:val="00F64480"/>
    <w:rsid w:val="00F646EA"/>
    <w:rsid w:val="00F64AD6"/>
    <w:rsid w:val="00F65039"/>
    <w:rsid w:val="00F65175"/>
    <w:rsid w:val="00F656B9"/>
    <w:rsid w:val="00F657C0"/>
    <w:rsid w:val="00F65F12"/>
    <w:rsid w:val="00F660B4"/>
    <w:rsid w:val="00F66154"/>
    <w:rsid w:val="00F6619D"/>
    <w:rsid w:val="00F661BC"/>
    <w:rsid w:val="00F66260"/>
    <w:rsid w:val="00F662D0"/>
    <w:rsid w:val="00F662EB"/>
    <w:rsid w:val="00F66336"/>
    <w:rsid w:val="00F66383"/>
    <w:rsid w:val="00F663B5"/>
    <w:rsid w:val="00F66688"/>
    <w:rsid w:val="00F666E3"/>
    <w:rsid w:val="00F667BA"/>
    <w:rsid w:val="00F668E3"/>
    <w:rsid w:val="00F669DD"/>
    <w:rsid w:val="00F66A80"/>
    <w:rsid w:val="00F66EEA"/>
    <w:rsid w:val="00F66FA1"/>
    <w:rsid w:val="00F671D0"/>
    <w:rsid w:val="00F671F3"/>
    <w:rsid w:val="00F6729B"/>
    <w:rsid w:val="00F67559"/>
    <w:rsid w:val="00F67655"/>
    <w:rsid w:val="00F6773B"/>
    <w:rsid w:val="00F67A4A"/>
    <w:rsid w:val="00F67A7A"/>
    <w:rsid w:val="00F67CCD"/>
    <w:rsid w:val="00F7017D"/>
    <w:rsid w:val="00F70230"/>
    <w:rsid w:val="00F702E3"/>
    <w:rsid w:val="00F703EB"/>
    <w:rsid w:val="00F704EB"/>
    <w:rsid w:val="00F705A6"/>
    <w:rsid w:val="00F70936"/>
    <w:rsid w:val="00F70BD7"/>
    <w:rsid w:val="00F70C1D"/>
    <w:rsid w:val="00F70E5E"/>
    <w:rsid w:val="00F7100E"/>
    <w:rsid w:val="00F711AA"/>
    <w:rsid w:val="00F711E5"/>
    <w:rsid w:val="00F71219"/>
    <w:rsid w:val="00F71280"/>
    <w:rsid w:val="00F714F1"/>
    <w:rsid w:val="00F7153E"/>
    <w:rsid w:val="00F71722"/>
    <w:rsid w:val="00F71EE6"/>
    <w:rsid w:val="00F722F8"/>
    <w:rsid w:val="00F723CC"/>
    <w:rsid w:val="00F72586"/>
    <w:rsid w:val="00F725EF"/>
    <w:rsid w:val="00F726C9"/>
    <w:rsid w:val="00F728AD"/>
    <w:rsid w:val="00F7293D"/>
    <w:rsid w:val="00F72965"/>
    <w:rsid w:val="00F72979"/>
    <w:rsid w:val="00F729F1"/>
    <w:rsid w:val="00F72D29"/>
    <w:rsid w:val="00F733EC"/>
    <w:rsid w:val="00F73415"/>
    <w:rsid w:val="00F73416"/>
    <w:rsid w:val="00F7398A"/>
    <w:rsid w:val="00F73A77"/>
    <w:rsid w:val="00F73F8D"/>
    <w:rsid w:val="00F740F2"/>
    <w:rsid w:val="00F74481"/>
    <w:rsid w:val="00F7448C"/>
    <w:rsid w:val="00F744F7"/>
    <w:rsid w:val="00F7453C"/>
    <w:rsid w:val="00F7458A"/>
    <w:rsid w:val="00F74602"/>
    <w:rsid w:val="00F74786"/>
    <w:rsid w:val="00F74B2D"/>
    <w:rsid w:val="00F74C97"/>
    <w:rsid w:val="00F74E68"/>
    <w:rsid w:val="00F74ECC"/>
    <w:rsid w:val="00F75022"/>
    <w:rsid w:val="00F75030"/>
    <w:rsid w:val="00F75062"/>
    <w:rsid w:val="00F753E9"/>
    <w:rsid w:val="00F758C7"/>
    <w:rsid w:val="00F75B4B"/>
    <w:rsid w:val="00F75E88"/>
    <w:rsid w:val="00F75F3C"/>
    <w:rsid w:val="00F763C6"/>
    <w:rsid w:val="00F7642F"/>
    <w:rsid w:val="00F7644A"/>
    <w:rsid w:val="00F76632"/>
    <w:rsid w:val="00F767FA"/>
    <w:rsid w:val="00F768A7"/>
    <w:rsid w:val="00F76DA4"/>
    <w:rsid w:val="00F76F24"/>
    <w:rsid w:val="00F77360"/>
    <w:rsid w:val="00F7738D"/>
    <w:rsid w:val="00F773AF"/>
    <w:rsid w:val="00F775B9"/>
    <w:rsid w:val="00F775C9"/>
    <w:rsid w:val="00F77616"/>
    <w:rsid w:val="00F776F0"/>
    <w:rsid w:val="00F77714"/>
    <w:rsid w:val="00F7781B"/>
    <w:rsid w:val="00F779C6"/>
    <w:rsid w:val="00F779D6"/>
    <w:rsid w:val="00F77B96"/>
    <w:rsid w:val="00F77BCA"/>
    <w:rsid w:val="00F77D60"/>
    <w:rsid w:val="00F77E28"/>
    <w:rsid w:val="00F77F94"/>
    <w:rsid w:val="00F77FE3"/>
    <w:rsid w:val="00F80082"/>
    <w:rsid w:val="00F800DE"/>
    <w:rsid w:val="00F80253"/>
    <w:rsid w:val="00F80275"/>
    <w:rsid w:val="00F802D0"/>
    <w:rsid w:val="00F80372"/>
    <w:rsid w:val="00F804AE"/>
    <w:rsid w:val="00F8075A"/>
    <w:rsid w:val="00F80C7F"/>
    <w:rsid w:val="00F80D0B"/>
    <w:rsid w:val="00F80E95"/>
    <w:rsid w:val="00F80EC6"/>
    <w:rsid w:val="00F80EF9"/>
    <w:rsid w:val="00F8103F"/>
    <w:rsid w:val="00F811C8"/>
    <w:rsid w:val="00F81300"/>
    <w:rsid w:val="00F816F4"/>
    <w:rsid w:val="00F8172D"/>
    <w:rsid w:val="00F81861"/>
    <w:rsid w:val="00F818A5"/>
    <w:rsid w:val="00F819A7"/>
    <w:rsid w:val="00F81ADF"/>
    <w:rsid w:val="00F822CE"/>
    <w:rsid w:val="00F822E9"/>
    <w:rsid w:val="00F8230F"/>
    <w:rsid w:val="00F823A2"/>
    <w:rsid w:val="00F823AE"/>
    <w:rsid w:val="00F8243D"/>
    <w:rsid w:val="00F82620"/>
    <w:rsid w:val="00F8276B"/>
    <w:rsid w:val="00F82953"/>
    <w:rsid w:val="00F82E40"/>
    <w:rsid w:val="00F82F8F"/>
    <w:rsid w:val="00F830EF"/>
    <w:rsid w:val="00F83221"/>
    <w:rsid w:val="00F833F4"/>
    <w:rsid w:val="00F83C15"/>
    <w:rsid w:val="00F83C19"/>
    <w:rsid w:val="00F83DE1"/>
    <w:rsid w:val="00F83EA6"/>
    <w:rsid w:val="00F83FE7"/>
    <w:rsid w:val="00F84103"/>
    <w:rsid w:val="00F84A52"/>
    <w:rsid w:val="00F84AAB"/>
    <w:rsid w:val="00F84B55"/>
    <w:rsid w:val="00F84B83"/>
    <w:rsid w:val="00F84C11"/>
    <w:rsid w:val="00F84C17"/>
    <w:rsid w:val="00F84DD3"/>
    <w:rsid w:val="00F84E50"/>
    <w:rsid w:val="00F8501B"/>
    <w:rsid w:val="00F8510B"/>
    <w:rsid w:val="00F85726"/>
    <w:rsid w:val="00F85919"/>
    <w:rsid w:val="00F85A98"/>
    <w:rsid w:val="00F85D4A"/>
    <w:rsid w:val="00F85E03"/>
    <w:rsid w:val="00F85EA8"/>
    <w:rsid w:val="00F85EAE"/>
    <w:rsid w:val="00F85F07"/>
    <w:rsid w:val="00F8616F"/>
    <w:rsid w:val="00F862E6"/>
    <w:rsid w:val="00F864E1"/>
    <w:rsid w:val="00F86506"/>
    <w:rsid w:val="00F8656E"/>
    <w:rsid w:val="00F86685"/>
    <w:rsid w:val="00F866B4"/>
    <w:rsid w:val="00F86772"/>
    <w:rsid w:val="00F867FF"/>
    <w:rsid w:val="00F8687D"/>
    <w:rsid w:val="00F86988"/>
    <w:rsid w:val="00F869BD"/>
    <w:rsid w:val="00F86B36"/>
    <w:rsid w:val="00F86F04"/>
    <w:rsid w:val="00F86F77"/>
    <w:rsid w:val="00F86FE2"/>
    <w:rsid w:val="00F86FFD"/>
    <w:rsid w:val="00F871E5"/>
    <w:rsid w:val="00F87467"/>
    <w:rsid w:val="00F877CA"/>
    <w:rsid w:val="00F877FE"/>
    <w:rsid w:val="00F8787A"/>
    <w:rsid w:val="00F8789F"/>
    <w:rsid w:val="00F87A43"/>
    <w:rsid w:val="00F87B01"/>
    <w:rsid w:val="00F87BD1"/>
    <w:rsid w:val="00F87DF3"/>
    <w:rsid w:val="00F87FB0"/>
    <w:rsid w:val="00F90253"/>
    <w:rsid w:val="00F903D8"/>
    <w:rsid w:val="00F906DD"/>
    <w:rsid w:val="00F90825"/>
    <w:rsid w:val="00F9093C"/>
    <w:rsid w:val="00F90940"/>
    <w:rsid w:val="00F90B5E"/>
    <w:rsid w:val="00F90CEF"/>
    <w:rsid w:val="00F90E53"/>
    <w:rsid w:val="00F90EDA"/>
    <w:rsid w:val="00F90F0B"/>
    <w:rsid w:val="00F90F2D"/>
    <w:rsid w:val="00F910D8"/>
    <w:rsid w:val="00F91195"/>
    <w:rsid w:val="00F91358"/>
    <w:rsid w:val="00F9141C"/>
    <w:rsid w:val="00F91862"/>
    <w:rsid w:val="00F9189C"/>
    <w:rsid w:val="00F918A3"/>
    <w:rsid w:val="00F918AB"/>
    <w:rsid w:val="00F9196F"/>
    <w:rsid w:val="00F919D7"/>
    <w:rsid w:val="00F91A96"/>
    <w:rsid w:val="00F91DAD"/>
    <w:rsid w:val="00F91ED6"/>
    <w:rsid w:val="00F91F23"/>
    <w:rsid w:val="00F9212D"/>
    <w:rsid w:val="00F92149"/>
    <w:rsid w:val="00F923AF"/>
    <w:rsid w:val="00F92496"/>
    <w:rsid w:val="00F92503"/>
    <w:rsid w:val="00F9252F"/>
    <w:rsid w:val="00F92B55"/>
    <w:rsid w:val="00F92C34"/>
    <w:rsid w:val="00F92C5C"/>
    <w:rsid w:val="00F92CBE"/>
    <w:rsid w:val="00F92FDF"/>
    <w:rsid w:val="00F93370"/>
    <w:rsid w:val="00F9343F"/>
    <w:rsid w:val="00F935A0"/>
    <w:rsid w:val="00F93679"/>
    <w:rsid w:val="00F936B2"/>
    <w:rsid w:val="00F938A6"/>
    <w:rsid w:val="00F938AF"/>
    <w:rsid w:val="00F93ED3"/>
    <w:rsid w:val="00F94052"/>
    <w:rsid w:val="00F9417A"/>
    <w:rsid w:val="00F942DF"/>
    <w:rsid w:val="00F945CA"/>
    <w:rsid w:val="00F94623"/>
    <w:rsid w:val="00F94636"/>
    <w:rsid w:val="00F948CB"/>
    <w:rsid w:val="00F949F2"/>
    <w:rsid w:val="00F94D94"/>
    <w:rsid w:val="00F94DD9"/>
    <w:rsid w:val="00F953B9"/>
    <w:rsid w:val="00F9551F"/>
    <w:rsid w:val="00F95BC9"/>
    <w:rsid w:val="00F95C0D"/>
    <w:rsid w:val="00F95DAC"/>
    <w:rsid w:val="00F95E0F"/>
    <w:rsid w:val="00F9605E"/>
    <w:rsid w:val="00F9632D"/>
    <w:rsid w:val="00F9642F"/>
    <w:rsid w:val="00F9645E"/>
    <w:rsid w:val="00F96499"/>
    <w:rsid w:val="00F965A4"/>
    <w:rsid w:val="00F965D8"/>
    <w:rsid w:val="00F96865"/>
    <w:rsid w:val="00F968D8"/>
    <w:rsid w:val="00F969A9"/>
    <w:rsid w:val="00F96AAF"/>
    <w:rsid w:val="00F96AD0"/>
    <w:rsid w:val="00F96DC1"/>
    <w:rsid w:val="00F96FB3"/>
    <w:rsid w:val="00F96FF4"/>
    <w:rsid w:val="00F97449"/>
    <w:rsid w:val="00F9749B"/>
    <w:rsid w:val="00F9796B"/>
    <w:rsid w:val="00F97AEA"/>
    <w:rsid w:val="00F97E18"/>
    <w:rsid w:val="00F97F29"/>
    <w:rsid w:val="00F97F95"/>
    <w:rsid w:val="00FA00CB"/>
    <w:rsid w:val="00FA01EC"/>
    <w:rsid w:val="00FA021E"/>
    <w:rsid w:val="00FA0282"/>
    <w:rsid w:val="00FA0663"/>
    <w:rsid w:val="00FA0CA1"/>
    <w:rsid w:val="00FA0E3A"/>
    <w:rsid w:val="00FA0E95"/>
    <w:rsid w:val="00FA1280"/>
    <w:rsid w:val="00FA1325"/>
    <w:rsid w:val="00FA1405"/>
    <w:rsid w:val="00FA1415"/>
    <w:rsid w:val="00FA171F"/>
    <w:rsid w:val="00FA1767"/>
    <w:rsid w:val="00FA17A2"/>
    <w:rsid w:val="00FA17FE"/>
    <w:rsid w:val="00FA189F"/>
    <w:rsid w:val="00FA1B18"/>
    <w:rsid w:val="00FA1BF5"/>
    <w:rsid w:val="00FA1C56"/>
    <w:rsid w:val="00FA1C60"/>
    <w:rsid w:val="00FA1CAD"/>
    <w:rsid w:val="00FA1F88"/>
    <w:rsid w:val="00FA1FFB"/>
    <w:rsid w:val="00FA2192"/>
    <w:rsid w:val="00FA22A3"/>
    <w:rsid w:val="00FA2441"/>
    <w:rsid w:val="00FA2568"/>
    <w:rsid w:val="00FA25D2"/>
    <w:rsid w:val="00FA2792"/>
    <w:rsid w:val="00FA2C3E"/>
    <w:rsid w:val="00FA2D01"/>
    <w:rsid w:val="00FA324A"/>
    <w:rsid w:val="00FA3392"/>
    <w:rsid w:val="00FA33ED"/>
    <w:rsid w:val="00FA3483"/>
    <w:rsid w:val="00FA34FF"/>
    <w:rsid w:val="00FA3672"/>
    <w:rsid w:val="00FA37B2"/>
    <w:rsid w:val="00FA37F5"/>
    <w:rsid w:val="00FA382B"/>
    <w:rsid w:val="00FA3945"/>
    <w:rsid w:val="00FA3AAD"/>
    <w:rsid w:val="00FA3B9A"/>
    <w:rsid w:val="00FA3CBA"/>
    <w:rsid w:val="00FA3D01"/>
    <w:rsid w:val="00FA3EAD"/>
    <w:rsid w:val="00FA44BC"/>
    <w:rsid w:val="00FA4CE9"/>
    <w:rsid w:val="00FA4E3B"/>
    <w:rsid w:val="00FA50EB"/>
    <w:rsid w:val="00FA522B"/>
    <w:rsid w:val="00FA56D3"/>
    <w:rsid w:val="00FA579C"/>
    <w:rsid w:val="00FA586C"/>
    <w:rsid w:val="00FA5B48"/>
    <w:rsid w:val="00FA5B61"/>
    <w:rsid w:val="00FA5F72"/>
    <w:rsid w:val="00FA6103"/>
    <w:rsid w:val="00FA61E1"/>
    <w:rsid w:val="00FA6319"/>
    <w:rsid w:val="00FA64AB"/>
    <w:rsid w:val="00FA6587"/>
    <w:rsid w:val="00FA6590"/>
    <w:rsid w:val="00FA668D"/>
    <w:rsid w:val="00FA683E"/>
    <w:rsid w:val="00FA6B73"/>
    <w:rsid w:val="00FA6C1D"/>
    <w:rsid w:val="00FA6E01"/>
    <w:rsid w:val="00FA6FCD"/>
    <w:rsid w:val="00FA70DA"/>
    <w:rsid w:val="00FA7174"/>
    <w:rsid w:val="00FA729F"/>
    <w:rsid w:val="00FA72D7"/>
    <w:rsid w:val="00FA741A"/>
    <w:rsid w:val="00FA772E"/>
    <w:rsid w:val="00FA791B"/>
    <w:rsid w:val="00FA7949"/>
    <w:rsid w:val="00FA7ABA"/>
    <w:rsid w:val="00FB03AD"/>
    <w:rsid w:val="00FB040A"/>
    <w:rsid w:val="00FB055D"/>
    <w:rsid w:val="00FB0B80"/>
    <w:rsid w:val="00FB0E29"/>
    <w:rsid w:val="00FB154B"/>
    <w:rsid w:val="00FB1CA2"/>
    <w:rsid w:val="00FB1F4E"/>
    <w:rsid w:val="00FB2040"/>
    <w:rsid w:val="00FB23FD"/>
    <w:rsid w:val="00FB243E"/>
    <w:rsid w:val="00FB258F"/>
    <w:rsid w:val="00FB26A4"/>
    <w:rsid w:val="00FB2743"/>
    <w:rsid w:val="00FB2A2F"/>
    <w:rsid w:val="00FB2AE3"/>
    <w:rsid w:val="00FB2AFA"/>
    <w:rsid w:val="00FB2B6A"/>
    <w:rsid w:val="00FB2C86"/>
    <w:rsid w:val="00FB2D3E"/>
    <w:rsid w:val="00FB2D64"/>
    <w:rsid w:val="00FB2E58"/>
    <w:rsid w:val="00FB2E74"/>
    <w:rsid w:val="00FB3063"/>
    <w:rsid w:val="00FB3162"/>
    <w:rsid w:val="00FB321E"/>
    <w:rsid w:val="00FB3238"/>
    <w:rsid w:val="00FB32EF"/>
    <w:rsid w:val="00FB3539"/>
    <w:rsid w:val="00FB363A"/>
    <w:rsid w:val="00FB3661"/>
    <w:rsid w:val="00FB374C"/>
    <w:rsid w:val="00FB383A"/>
    <w:rsid w:val="00FB393F"/>
    <w:rsid w:val="00FB39D3"/>
    <w:rsid w:val="00FB3C3E"/>
    <w:rsid w:val="00FB3D02"/>
    <w:rsid w:val="00FB3DE0"/>
    <w:rsid w:val="00FB3E39"/>
    <w:rsid w:val="00FB3E7E"/>
    <w:rsid w:val="00FB40F8"/>
    <w:rsid w:val="00FB415B"/>
    <w:rsid w:val="00FB4190"/>
    <w:rsid w:val="00FB4285"/>
    <w:rsid w:val="00FB4493"/>
    <w:rsid w:val="00FB4545"/>
    <w:rsid w:val="00FB4834"/>
    <w:rsid w:val="00FB4912"/>
    <w:rsid w:val="00FB4B04"/>
    <w:rsid w:val="00FB4BA0"/>
    <w:rsid w:val="00FB4DE9"/>
    <w:rsid w:val="00FB50ED"/>
    <w:rsid w:val="00FB51FF"/>
    <w:rsid w:val="00FB5398"/>
    <w:rsid w:val="00FB54A3"/>
    <w:rsid w:val="00FB554A"/>
    <w:rsid w:val="00FB55B9"/>
    <w:rsid w:val="00FB57A3"/>
    <w:rsid w:val="00FB59E9"/>
    <w:rsid w:val="00FB5D8A"/>
    <w:rsid w:val="00FB5EB7"/>
    <w:rsid w:val="00FB650C"/>
    <w:rsid w:val="00FB6940"/>
    <w:rsid w:val="00FB69AD"/>
    <w:rsid w:val="00FB69DE"/>
    <w:rsid w:val="00FB6C75"/>
    <w:rsid w:val="00FB6F79"/>
    <w:rsid w:val="00FB754F"/>
    <w:rsid w:val="00FB756D"/>
    <w:rsid w:val="00FB7963"/>
    <w:rsid w:val="00FB7998"/>
    <w:rsid w:val="00FB7B93"/>
    <w:rsid w:val="00FB7B9B"/>
    <w:rsid w:val="00FB7BEE"/>
    <w:rsid w:val="00FB7EB8"/>
    <w:rsid w:val="00FC035E"/>
    <w:rsid w:val="00FC05DB"/>
    <w:rsid w:val="00FC06D2"/>
    <w:rsid w:val="00FC0770"/>
    <w:rsid w:val="00FC07B6"/>
    <w:rsid w:val="00FC0983"/>
    <w:rsid w:val="00FC09B8"/>
    <w:rsid w:val="00FC0AC6"/>
    <w:rsid w:val="00FC0C3C"/>
    <w:rsid w:val="00FC0CBC"/>
    <w:rsid w:val="00FC0D4C"/>
    <w:rsid w:val="00FC0F75"/>
    <w:rsid w:val="00FC1346"/>
    <w:rsid w:val="00FC1410"/>
    <w:rsid w:val="00FC1653"/>
    <w:rsid w:val="00FC1869"/>
    <w:rsid w:val="00FC1D81"/>
    <w:rsid w:val="00FC20C9"/>
    <w:rsid w:val="00FC22E3"/>
    <w:rsid w:val="00FC25FC"/>
    <w:rsid w:val="00FC2679"/>
    <w:rsid w:val="00FC283E"/>
    <w:rsid w:val="00FC2CF1"/>
    <w:rsid w:val="00FC2E1A"/>
    <w:rsid w:val="00FC2EC7"/>
    <w:rsid w:val="00FC2FC6"/>
    <w:rsid w:val="00FC3120"/>
    <w:rsid w:val="00FC32DB"/>
    <w:rsid w:val="00FC33B8"/>
    <w:rsid w:val="00FC34D3"/>
    <w:rsid w:val="00FC3571"/>
    <w:rsid w:val="00FC35F6"/>
    <w:rsid w:val="00FC3641"/>
    <w:rsid w:val="00FC3AA0"/>
    <w:rsid w:val="00FC3C69"/>
    <w:rsid w:val="00FC3CD2"/>
    <w:rsid w:val="00FC3D9F"/>
    <w:rsid w:val="00FC40E3"/>
    <w:rsid w:val="00FC4106"/>
    <w:rsid w:val="00FC4258"/>
    <w:rsid w:val="00FC42A3"/>
    <w:rsid w:val="00FC4324"/>
    <w:rsid w:val="00FC44A5"/>
    <w:rsid w:val="00FC46CF"/>
    <w:rsid w:val="00FC474B"/>
    <w:rsid w:val="00FC4845"/>
    <w:rsid w:val="00FC4E85"/>
    <w:rsid w:val="00FC510A"/>
    <w:rsid w:val="00FC5609"/>
    <w:rsid w:val="00FC561B"/>
    <w:rsid w:val="00FC58EB"/>
    <w:rsid w:val="00FC5A35"/>
    <w:rsid w:val="00FC5AD8"/>
    <w:rsid w:val="00FC5AEA"/>
    <w:rsid w:val="00FC5AED"/>
    <w:rsid w:val="00FC5C00"/>
    <w:rsid w:val="00FC60A3"/>
    <w:rsid w:val="00FC616F"/>
    <w:rsid w:val="00FC621E"/>
    <w:rsid w:val="00FC6362"/>
    <w:rsid w:val="00FC6414"/>
    <w:rsid w:val="00FC6465"/>
    <w:rsid w:val="00FC6670"/>
    <w:rsid w:val="00FC6685"/>
    <w:rsid w:val="00FC67B7"/>
    <w:rsid w:val="00FC6827"/>
    <w:rsid w:val="00FC69EE"/>
    <w:rsid w:val="00FC6A1E"/>
    <w:rsid w:val="00FC6A3A"/>
    <w:rsid w:val="00FC6B75"/>
    <w:rsid w:val="00FC6D69"/>
    <w:rsid w:val="00FC6E8E"/>
    <w:rsid w:val="00FC701C"/>
    <w:rsid w:val="00FC701E"/>
    <w:rsid w:val="00FC75C0"/>
    <w:rsid w:val="00FC778F"/>
    <w:rsid w:val="00FC7CDD"/>
    <w:rsid w:val="00FC7DD2"/>
    <w:rsid w:val="00FC7EAA"/>
    <w:rsid w:val="00FC7EB0"/>
    <w:rsid w:val="00FD00CA"/>
    <w:rsid w:val="00FD0223"/>
    <w:rsid w:val="00FD0402"/>
    <w:rsid w:val="00FD064C"/>
    <w:rsid w:val="00FD0935"/>
    <w:rsid w:val="00FD0A5E"/>
    <w:rsid w:val="00FD0AC4"/>
    <w:rsid w:val="00FD0C6A"/>
    <w:rsid w:val="00FD0C7B"/>
    <w:rsid w:val="00FD0C86"/>
    <w:rsid w:val="00FD0CF7"/>
    <w:rsid w:val="00FD0E68"/>
    <w:rsid w:val="00FD113C"/>
    <w:rsid w:val="00FD146A"/>
    <w:rsid w:val="00FD1739"/>
    <w:rsid w:val="00FD1746"/>
    <w:rsid w:val="00FD1AEB"/>
    <w:rsid w:val="00FD1B68"/>
    <w:rsid w:val="00FD2108"/>
    <w:rsid w:val="00FD25A0"/>
    <w:rsid w:val="00FD2736"/>
    <w:rsid w:val="00FD2A14"/>
    <w:rsid w:val="00FD2BB3"/>
    <w:rsid w:val="00FD2D20"/>
    <w:rsid w:val="00FD2E0F"/>
    <w:rsid w:val="00FD30AB"/>
    <w:rsid w:val="00FD31AC"/>
    <w:rsid w:val="00FD37EC"/>
    <w:rsid w:val="00FD3CAB"/>
    <w:rsid w:val="00FD3E2E"/>
    <w:rsid w:val="00FD3E9A"/>
    <w:rsid w:val="00FD3F59"/>
    <w:rsid w:val="00FD3F8A"/>
    <w:rsid w:val="00FD3FC3"/>
    <w:rsid w:val="00FD3FC8"/>
    <w:rsid w:val="00FD405F"/>
    <w:rsid w:val="00FD43F3"/>
    <w:rsid w:val="00FD4743"/>
    <w:rsid w:val="00FD48D1"/>
    <w:rsid w:val="00FD4A08"/>
    <w:rsid w:val="00FD4A60"/>
    <w:rsid w:val="00FD4D09"/>
    <w:rsid w:val="00FD4D1B"/>
    <w:rsid w:val="00FD4D7F"/>
    <w:rsid w:val="00FD4E78"/>
    <w:rsid w:val="00FD508F"/>
    <w:rsid w:val="00FD5212"/>
    <w:rsid w:val="00FD5380"/>
    <w:rsid w:val="00FD546A"/>
    <w:rsid w:val="00FD548E"/>
    <w:rsid w:val="00FD595D"/>
    <w:rsid w:val="00FD6204"/>
    <w:rsid w:val="00FD63B2"/>
    <w:rsid w:val="00FD63BE"/>
    <w:rsid w:val="00FD6408"/>
    <w:rsid w:val="00FD64AF"/>
    <w:rsid w:val="00FD64B9"/>
    <w:rsid w:val="00FD650A"/>
    <w:rsid w:val="00FD6548"/>
    <w:rsid w:val="00FD6699"/>
    <w:rsid w:val="00FD67D3"/>
    <w:rsid w:val="00FD6875"/>
    <w:rsid w:val="00FD6910"/>
    <w:rsid w:val="00FD6949"/>
    <w:rsid w:val="00FD6A0B"/>
    <w:rsid w:val="00FD6C65"/>
    <w:rsid w:val="00FD6CCD"/>
    <w:rsid w:val="00FD6E80"/>
    <w:rsid w:val="00FD6F32"/>
    <w:rsid w:val="00FD7405"/>
    <w:rsid w:val="00FD7431"/>
    <w:rsid w:val="00FD7521"/>
    <w:rsid w:val="00FD75BF"/>
    <w:rsid w:val="00FD7896"/>
    <w:rsid w:val="00FD7BE3"/>
    <w:rsid w:val="00FD7CC3"/>
    <w:rsid w:val="00FD7E87"/>
    <w:rsid w:val="00FD7EB8"/>
    <w:rsid w:val="00FD7F2F"/>
    <w:rsid w:val="00FE0043"/>
    <w:rsid w:val="00FE00BF"/>
    <w:rsid w:val="00FE041E"/>
    <w:rsid w:val="00FE055B"/>
    <w:rsid w:val="00FE0570"/>
    <w:rsid w:val="00FE073C"/>
    <w:rsid w:val="00FE07FD"/>
    <w:rsid w:val="00FE08D0"/>
    <w:rsid w:val="00FE0903"/>
    <w:rsid w:val="00FE0D60"/>
    <w:rsid w:val="00FE0F58"/>
    <w:rsid w:val="00FE101A"/>
    <w:rsid w:val="00FE1098"/>
    <w:rsid w:val="00FE10AB"/>
    <w:rsid w:val="00FE13A7"/>
    <w:rsid w:val="00FE1455"/>
    <w:rsid w:val="00FE17AD"/>
    <w:rsid w:val="00FE19C5"/>
    <w:rsid w:val="00FE1A9C"/>
    <w:rsid w:val="00FE1ACB"/>
    <w:rsid w:val="00FE1CF1"/>
    <w:rsid w:val="00FE1E2A"/>
    <w:rsid w:val="00FE1FB1"/>
    <w:rsid w:val="00FE1FB5"/>
    <w:rsid w:val="00FE2121"/>
    <w:rsid w:val="00FE2595"/>
    <w:rsid w:val="00FE28CB"/>
    <w:rsid w:val="00FE2A66"/>
    <w:rsid w:val="00FE2B5F"/>
    <w:rsid w:val="00FE2BF9"/>
    <w:rsid w:val="00FE316A"/>
    <w:rsid w:val="00FE31F6"/>
    <w:rsid w:val="00FE327C"/>
    <w:rsid w:val="00FE3511"/>
    <w:rsid w:val="00FE3719"/>
    <w:rsid w:val="00FE3881"/>
    <w:rsid w:val="00FE39EA"/>
    <w:rsid w:val="00FE3A6D"/>
    <w:rsid w:val="00FE3E4A"/>
    <w:rsid w:val="00FE3F44"/>
    <w:rsid w:val="00FE414D"/>
    <w:rsid w:val="00FE4258"/>
    <w:rsid w:val="00FE44A6"/>
    <w:rsid w:val="00FE477D"/>
    <w:rsid w:val="00FE47C3"/>
    <w:rsid w:val="00FE4AB8"/>
    <w:rsid w:val="00FE4AFB"/>
    <w:rsid w:val="00FE4DDA"/>
    <w:rsid w:val="00FE5077"/>
    <w:rsid w:val="00FE507C"/>
    <w:rsid w:val="00FE534B"/>
    <w:rsid w:val="00FE5564"/>
    <w:rsid w:val="00FE5909"/>
    <w:rsid w:val="00FE5973"/>
    <w:rsid w:val="00FE5981"/>
    <w:rsid w:val="00FE5DBD"/>
    <w:rsid w:val="00FE5DC1"/>
    <w:rsid w:val="00FE5E7C"/>
    <w:rsid w:val="00FE60A0"/>
    <w:rsid w:val="00FE6491"/>
    <w:rsid w:val="00FE65CE"/>
    <w:rsid w:val="00FE67D4"/>
    <w:rsid w:val="00FE6813"/>
    <w:rsid w:val="00FE6885"/>
    <w:rsid w:val="00FE6A75"/>
    <w:rsid w:val="00FE6CA8"/>
    <w:rsid w:val="00FE6CC8"/>
    <w:rsid w:val="00FE6DF2"/>
    <w:rsid w:val="00FE6F63"/>
    <w:rsid w:val="00FE713D"/>
    <w:rsid w:val="00FE7186"/>
    <w:rsid w:val="00FE72BF"/>
    <w:rsid w:val="00FE74B2"/>
    <w:rsid w:val="00FE770A"/>
    <w:rsid w:val="00FE7726"/>
    <w:rsid w:val="00FE7901"/>
    <w:rsid w:val="00FE7A10"/>
    <w:rsid w:val="00FE7AFD"/>
    <w:rsid w:val="00FE7AFE"/>
    <w:rsid w:val="00FE7BAF"/>
    <w:rsid w:val="00FE7C2E"/>
    <w:rsid w:val="00FE7DDE"/>
    <w:rsid w:val="00FF01A6"/>
    <w:rsid w:val="00FF029C"/>
    <w:rsid w:val="00FF042B"/>
    <w:rsid w:val="00FF0541"/>
    <w:rsid w:val="00FF05EA"/>
    <w:rsid w:val="00FF068D"/>
    <w:rsid w:val="00FF07D3"/>
    <w:rsid w:val="00FF0A2F"/>
    <w:rsid w:val="00FF10F2"/>
    <w:rsid w:val="00FF158A"/>
    <w:rsid w:val="00FF164D"/>
    <w:rsid w:val="00FF1887"/>
    <w:rsid w:val="00FF195C"/>
    <w:rsid w:val="00FF1A34"/>
    <w:rsid w:val="00FF1B03"/>
    <w:rsid w:val="00FF1BD6"/>
    <w:rsid w:val="00FF1DC5"/>
    <w:rsid w:val="00FF206B"/>
    <w:rsid w:val="00FF2336"/>
    <w:rsid w:val="00FF2506"/>
    <w:rsid w:val="00FF2514"/>
    <w:rsid w:val="00FF2856"/>
    <w:rsid w:val="00FF28DB"/>
    <w:rsid w:val="00FF2A5B"/>
    <w:rsid w:val="00FF2A98"/>
    <w:rsid w:val="00FF2E81"/>
    <w:rsid w:val="00FF2F64"/>
    <w:rsid w:val="00FF30E2"/>
    <w:rsid w:val="00FF3158"/>
    <w:rsid w:val="00FF31FD"/>
    <w:rsid w:val="00FF365D"/>
    <w:rsid w:val="00FF3A56"/>
    <w:rsid w:val="00FF3AD8"/>
    <w:rsid w:val="00FF3D9B"/>
    <w:rsid w:val="00FF3DAF"/>
    <w:rsid w:val="00FF41F7"/>
    <w:rsid w:val="00FF424A"/>
    <w:rsid w:val="00FF4831"/>
    <w:rsid w:val="00FF484F"/>
    <w:rsid w:val="00FF48A6"/>
    <w:rsid w:val="00FF48AD"/>
    <w:rsid w:val="00FF48FB"/>
    <w:rsid w:val="00FF4A5F"/>
    <w:rsid w:val="00FF4E28"/>
    <w:rsid w:val="00FF4F16"/>
    <w:rsid w:val="00FF4FAA"/>
    <w:rsid w:val="00FF517E"/>
    <w:rsid w:val="00FF52DF"/>
    <w:rsid w:val="00FF54DF"/>
    <w:rsid w:val="00FF56CC"/>
    <w:rsid w:val="00FF56E8"/>
    <w:rsid w:val="00FF579D"/>
    <w:rsid w:val="00FF5829"/>
    <w:rsid w:val="00FF596D"/>
    <w:rsid w:val="00FF5AC7"/>
    <w:rsid w:val="00FF5E33"/>
    <w:rsid w:val="00FF66D0"/>
    <w:rsid w:val="00FF66D1"/>
    <w:rsid w:val="00FF68CF"/>
    <w:rsid w:val="00FF69C2"/>
    <w:rsid w:val="00FF6C44"/>
    <w:rsid w:val="00FF709B"/>
    <w:rsid w:val="00FF72C8"/>
    <w:rsid w:val="00FF7616"/>
    <w:rsid w:val="00FF7806"/>
    <w:rsid w:val="00FF7916"/>
    <w:rsid w:val="00FF7AC3"/>
    <w:rsid w:val="00FF7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30328"/>
  <w15:docId w15:val="{0EBCEC72-2A92-496D-940F-194063353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019"/>
    <w:pPr>
      <w:spacing w:after="120" w:line="240" w:lineRule="atLeast"/>
    </w:pPr>
    <w:rPr>
      <w:sz w:val="24"/>
    </w:rPr>
  </w:style>
  <w:style w:type="paragraph" w:styleId="Heading1">
    <w:name w:val="heading 1"/>
    <w:basedOn w:val="Normal"/>
    <w:next w:val="Heading2"/>
    <w:link w:val="Heading1Char1"/>
    <w:qFormat/>
    <w:rsid w:val="003604C5"/>
    <w:pPr>
      <w:keepNext/>
      <w:numPr>
        <w:numId w:val="1"/>
      </w:numPr>
      <w:contextualSpacing/>
      <w:outlineLvl w:val="0"/>
    </w:pPr>
    <w:rPr>
      <w:rFonts w:ascii="Arial" w:hAnsi="Arial"/>
      <w:b/>
      <w:caps/>
      <w:kern w:val="28"/>
    </w:rPr>
  </w:style>
  <w:style w:type="paragraph" w:styleId="Heading2">
    <w:name w:val="heading 2"/>
    <w:basedOn w:val="Normal"/>
    <w:next w:val="Normal"/>
    <w:link w:val="Heading2Char4"/>
    <w:qFormat/>
    <w:rsid w:val="006966D9"/>
    <w:pPr>
      <w:numPr>
        <w:ilvl w:val="1"/>
        <w:numId w:val="1"/>
      </w:numPr>
      <w:spacing w:after="240"/>
      <w:outlineLvl w:val="1"/>
    </w:pPr>
    <w:rPr>
      <w:rFonts w:ascii="Arial" w:hAnsi="Arial"/>
      <w:b/>
      <w:caps/>
    </w:rPr>
  </w:style>
  <w:style w:type="paragraph" w:styleId="Heading3">
    <w:name w:val="heading 3"/>
    <w:basedOn w:val="Normal"/>
    <w:next w:val="Normal"/>
    <w:link w:val="Heading3Char"/>
    <w:qFormat/>
    <w:rsid w:val="00FC0D4C"/>
    <w:pPr>
      <w:keepNext/>
      <w:numPr>
        <w:ilvl w:val="2"/>
        <w:numId w:val="1"/>
      </w:numPr>
      <w:spacing w:before="240" w:after="240"/>
      <w:outlineLvl w:val="2"/>
    </w:pPr>
    <w:rPr>
      <w:rFonts w:ascii="Arial" w:hAnsi="Arial"/>
      <w:b/>
    </w:rPr>
  </w:style>
  <w:style w:type="paragraph" w:styleId="Heading4">
    <w:name w:val="heading 4"/>
    <w:basedOn w:val="Normal"/>
    <w:next w:val="Normal"/>
    <w:link w:val="Heading4Char"/>
    <w:qFormat/>
    <w:rsid w:val="00C9427A"/>
    <w:pPr>
      <w:keepNext/>
      <w:numPr>
        <w:ilvl w:val="3"/>
        <w:numId w:val="1"/>
      </w:numPr>
      <w:tabs>
        <w:tab w:val="num" w:pos="2880"/>
      </w:tabs>
      <w:spacing w:before="240" w:after="240"/>
      <w:outlineLvl w:val="3"/>
    </w:pPr>
    <w:rPr>
      <w:rFonts w:ascii="Arial" w:hAnsi="Arial"/>
      <w:b/>
      <w:i/>
    </w:rPr>
  </w:style>
  <w:style w:type="paragraph" w:styleId="Heading5">
    <w:name w:val="heading 5"/>
    <w:basedOn w:val="Normal"/>
    <w:next w:val="Normal"/>
    <w:qFormat/>
    <w:rsid w:val="00C9427A"/>
    <w:pPr>
      <w:keepNext/>
      <w:numPr>
        <w:ilvl w:val="4"/>
        <w:numId w:val="1"/>
      </w:numPr>
      <w:spacing w:before="240" w:after="240"/>
      <w:outlineLvl w:val="4"/>
    </w:pPr>
    <w:rPr>
      <w:b/>
    </w:rPr>
  </w:style>
  <w:style w:type="paragraph" w:styleId="Heading6">
    <w:name w:val="heading 6"/>
    <w:basedOn w:val="Normal"/>
    <w:next w:val="Normal"/>
    <w:link w:val="Heading6Char"/>
    <w:qFormat/>
    <w:rsid w:val="00306174"/>
    <w:pPr>
      <w:keepNext/>
      <w:numPr>
        <w:ilvl w:val="5"/>
        <w:numId w:val="1"/>
      </w:numPr>
      <w:spacing w:before="240" w:after="240"/>
      <w:outlineLvl w:val="5"/>
    </w:pPr>
    <w:rPr>
      <w:b/>
      <w:bCs/>
      <w:szCs w:val="24"/>
    </w:rPr>
  </w:style>
  <w:style w:type="paragraph" w:styleId="Heading7">
    <w:name w:val="heading 7"/>
    <w:basedOn w:val="Normal"/>
    <w:next w:val="Normal"/>
    <w:link w:val="Heading7Char1"/>
    <w:uiPriority w:val="99"/>
    <w:qFormat/>
    <w:rsid w:val="00C9427A"/>
    <w:pPr>
      <w:keepNext/>
      <w:numPr>
        <w:ilvl w:val="6"/>
        <w:numId w:val="1"/>
      </w:numPr>
      <w:spacing w:before="240" w:after="240"/>
      <w:outlineLvl w:val="6"/>
    </w:pPr>
    <w:rPr>
      <w:b/>
      <w:szCs w:val="24"/>
    </w:rPr>
  </w:style>
  <w:style w:type="paragraph" w:styleId="Heading8">
    <w:name w:val="heading 8"/>
    <w:basedOn w:val="Normal"/>
    <w:next w:val="Normal"/>
    <w:link w:val="Heading8Char"/>
    <w:qFormat/>
    <w:rsid w:val="00C9427A"/>
    <w:pPr>
      <w:keepNext/>
      <w:numPr>
        <w:ilvl w:val="7"/>
        <w:numId w:val="1"/>
      </w:numPr>
      <w:spacing w:before="240" w:after="60"/>
      <w:outlineLvl w:val="7"/>
    </w:pPr>
    <w:rPr>
      <w:i/>
      <w:iCs/>
      <w:szCs w:val="24"/>
    </w:rPr>
  </w:style>
  <w:style w:type="paragraph" w:styleId="Heading9">
    <w:name w:val="heading 9"/>
    <w:basedOn w:val="Normal"/>
    <w:next w:val="Normal"/>
    <w:link w:val="Heading9Char"/>
    <w:qFormat/>
    <w:rsid w:val="00C9427A"/>
    <w:pPr>
      <w:numPr>
        <w:ilvl w:val="8"/>
        <w:numId w:val="1"/>
      </w:numPr>
      <w:spacing w:after="0" w:line="240" w:lineRule="auto"/>
      <w:outlineLvl w:val="8"/>
    </w:pPr>
    <w:rPr>
      <w:rFonts w:ascii="Arial" w:hAnsi="Arial"/>
      <w:vanish/>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FC0D4C"/>
    <w:rPr>
      <w:rFonts w:ascii="Arial" w:hAnsi="Arial"/>
      <w:b/>
      <w:sz w:val="24"/>
    </w:rPr>
  </w:style>
  <w:style w:type="character" w:customStyle="1" w:styleId="Heading4Char">
    <w:name w:val="Heading 4 Char"/>
    <w:link w:val="Heading4"/>
    <w:rsid w:val="001B46AC"/>
    <w:rPr>
      <w:rFonts w:ascii="Arial" w:hAnsi="Arial"/>
      <w:b/>
      <w:i/>
      <w:sz w:val="24"/>
    </w:rPr>
  </w:style>
  <w:style w:type="character" w:customStyle="1" w:styleId="Heading7Char">
    <w:name w:val="Heading 7 Char"/>
    <w:rsid w:val="0096174B"/>
    <w:rPr>
      <w:rFonts w:cs="Arial"/>
      <w:b/>
      <w:sz w:val="24"/>
      <w:szCs w:val="22"/>
    </w:rPr>
  </w:style>
  <w:style w:type="character" w:customStyle="1" w:styleId="H3CharChar">
    <w:name w:val="H3 Char Char"/>
    <w:rsid w:val="000F1FCF"/>
    <w:rPr>
      <w:rFonts w:ascii="Arial" w:hAnsi="Arial"/>
      <w:b/>
      <w:sz w:val="24"/>
      <w:lang w:val="en-US" w:eastAsia="en-US" w:bidi="ar-SA"/>
    </w:rPr>
  </w:style>
  <w:style w:type="character" w:customStyle="1" w:styleId="CharChar1">
    <w:name w:val="Char Char1"/>
    <w:rsid w:val="000F1FCF"/>
    <w:rPr>
      <w:rFonts w:ascii="Arial" w:hAnsi="Arial"/>
      <w:b/>
      <w:i/>
      <w:sz w:val="24"/>
      <w:lang w:val="en-US" w:eastAsia="en-US" w:bidi="ar-SA"/>
    </w:rPr>
  </w:style>
  <w:style w:type="paragraph" w:styleId="Footer">
    <w:name w:val="footer"/>
    <w:basedOn w:val="Normal"/>
    <w:link w:val="FooterChar"/>
    <w:uiPriority w:val="99"/>
    <w:rsid w:val="000F1FCF"/>
    <w:pPr>
      <w:spacing w:line="240" w:lineRule="exact"/>
      <w:jc w:val="center"/>
    </w:pPr>
    <w:rPr>
      <w:rFonts w:ascii="Helvetica" w:hAnsi="Helvetica"/>
      <w:sz w:val="22"/>
    </w:rPr>
  </w:style>
  <w:style w:type="paragraph" w:styleId="Header">
    <w:name w:val="header"/>
    <w:aliases w:val="Odd Header,oh,h"/>
    <w:basedOn w:val="Normal"/>
    <w:link w:val="HeaderChar"/>
    <w:uiPriority w:val="99"/>
    <w:rsid w:val="000F1FCF"/>
    <w:pPr>
      <w:pBdr>
        <w:bottom w:val="single" w:sz="12" w:space="4" w:color="auto"/>
      </w:pBdr>
      <w:tabs>
        <w:tab w:val="right" w:pos="9360"/>
      </w:tabs>
      <w:spacing w:after="0" w:line="240" w:lineRule="auto"/>
    </w:pPr>
    <w:rPr>
      <w:rFonts w:ascii="Arial" w:hAnsi="Arial"/>
      <w:sz w:val="22"/>
    </w:rPr>
  </w:style>
  <w:style w:type="character" w:styleId="PageNumber">
    <w:name w:val="page number"/>
    <w:rsid w:val="000F1FCF"/>
    <w:rPr>
      <w:rFonts w:ascii="Arial" w:hAnsi="Arial"/>
      <w:sz w:val="22"/>
    </w:rPr>
  </w:style>
  <w:style w:type="paragraph" w:customStyle="1" w:styleId="Graphic">
    <w:name w:val="Graphic"/>
    <w:basedOn w:val="Normal"/>
    <w:uiPriority w:val="99"/>
    <w:qFormat/>
    <w:rsid w:val="000F1FCF"/>
    <w:pPr>
      <w:keepNext/>
      <w:jc w:val="center"/>
    </w:pPr>
    <w:rPr>
      <w:rFonts w:ascii="Arial" w:hAnsi="Arial"/>
    </w:rPr>
  </w:style>
  <w:style w:type="paragraph" w:customStyle="1" w:styleId="Bullet">
    <w:name w:val="Bullet"/>
    <w:basedOn w:val="Normal"/>
    <w:uiPriority w:val="99"/>
    <w:rsid w:val="000F1FCF"/>
  </w:style>
  <w:style w:type="paragraph" w:customStyle="1" w:styleId="Number0205">
    <w:name w:val="Number0205"/>
    <w:basedOn w:val="Normal"/>
    <w:link w:val="Number0205Char1"/>
    <w:rsid w:val="000F1FCF"/>
    <w:pPr>
      <w:ind w:left="1080" w:hanging="360"/>
    </w:pPr>
  </w:style>
  <w:style w:type="character" w:styleId="Strong">
    <w:name w:val="Strong"/>
    <w:uiPriority w:val="22"/>
    <w:qFormat/>
    <w:rsid w:val="000F1FCF"/>
    <w:rPr>
      <w:b/>
    </w:rPr>
  </w:style>
  <w:style w:type="character" w:styleId="Hyperlink">
    <w:name w:val="Hyperlink"/>
    <w:uiPriority w:val="99"/>
    <w:rsid w:val="000F1FCF"/>
    <w:rPr>
      <w:color w:val="0000FF"/>
      <w:u w:val="single"/>
    </w:rPr>
  </w:style>
  <w:style w:type="paragraph" w:customStyle="1" w:styleId="number1">
    <w:name w:val="number1"/>
    <w:basedOn w:val="Normal"/>
    <w:uiPriority w:val="99"/>
    <w:rsid w:val="000F1FCF"/>
    <w:pPr>
      <w:spacing w:before="100" w:beforeAutospacing="1" w:after="100" w:afterAutospacing="1" w:line="240" w:lineRule="auto"/>
    </w:pPr>
    <w:rPr>
      <w:szCs w:val="24"/>
    </w:rPr>
  </w:style>
  <w:style w:type="paragraph" w:customStyle="1" w:styleId="MainParaNoSpace">
    <w:name w:val="Main Para No Space"/>
    <w:basedOn w:val="Normal"/>
    <w:rsid w:val="000F1FCF"/>
    <w:pPr>
      <w:ind w:left="576" w:hanging="288"/>
    </w:pPr>
    <w:rPr>
      <w:rFonts w:ascii="Times" w:hAnsi="Times"/>
    </w:rPr>
  </w:style>
  <w:style w:type="paragraph" w:customStyle="1" w:styleId="note">
    <w:name w:val="note"/>
    <w:basedOn w:val="Para1"/>
    <w:next w:val="Normal"/>
    <w:autoRedefine/>
    <w:rsid w:val="000F1FCF"/>
    <w:pPr>
      <w:keepLines/>
      <w:shd w:val="pct20" w:color="auto" w:fill="auto"/>
      <w:spacing w:before="120"/>
      <w:jc w:val="center"/>
    </w:pPr>
    <w:rPr>
      <w:b/>
    </w:rPr>
  </w:style>
  <w:style w:type="paragraph" w:customStyle="1" w:styleId="Para1">
    <w:name w:val="Para1"/>
    <w:basedOn w:val="Normal"/>
    <w:link w:val="Para1Char"/>
    <w:rsid w:val="000F1FCF"/>
  </w:style>
  <w:style w:type="paragraph" w:styleId="BodyText">
    <w:name w:val="Body Text"/>
    <w:basedOn w:val="Normal"/>
    <w:rsid w:val="000F1FCF"/>
    <w:pPr>
      <w:spacing w:after="0"/>
    </w:pPr>
  </w:style>
  <w:style w:type="character" w:customStyle="1" w:styleId="Heading1Char">
    <w:name w:val="Heading 1 Char"/>
    <w:uiPriority w:val="9"/>
    <w:rsid w:val="000F1FCF"/>
    <w:rPr>
      <w:rFonts w:ascii="Arial" w:hAnsi="Arial"/>
      <w:b/>
      <w:caps/>
      <w:kern w:val="28"/>
      <w:sz w:val="24"/>
      <w:lang w:val="en-US" w:eastAsia="en-US" w:bidi="ar-SA"/>
    </w:rPr>
  </w:style>
  <w:style w:type="character" w:styleId="FollowedHyperlink">
    <w:name w:val="FollowedHyperlink"/>
    <w:rsid w:val="000F1FCF"/>
    <w:rPr>
      <w:color w:val="800080"/>
      <w:u w:val="single"/>
    </w:rPr>
  </w:style>
  <w:style w:type="paragraph" w:styleId="TOC1">
    <w:name w:val="toc 1"/>
    <w:basedOn w:val="Normal"/>
    <w:next w:val="Normal"/>
    <w:uiPriority w:val="39"/>
    <w:rsid w:val="00EC7B1D"/>
    <w:pPr>
      <w:tabs>
        <w:tab w:val="right" w:leader="dot" w:pos="9360"/>
      </w:tabs>
      <w:spacing w:before="120"/>
      <w:ind w:right="1080"/>
    </w:pPr>
    <w:rPr>
      <w:b/>
      <w:caps/>
      <w:noProof/>
    </w:rPr>
  </w:style>
  <w:style w:type="paragraph" w:customStyle="1" w:styleId="Notes">
    <w:name w:val="Notes"/>
    <w:basedOn w:val="Normal"/>
    <w:rsid w:val="000F1FCF"/>
  </w:style>
  <w:style w:type="paragraph" w:styleId="BodyTextIndent2">
    <w:name w:val="Body Text Indent 2"/>
    <w:basedOn w:val="Normal"/>
    <w:link w:val="BodyTextIndent2Char"/>
    <w:rsid w:val="000F1FCF"/>
    <w:pPr>
      <w:spacing w:line="480" w:lineRule="auto"/>
      <w:ind w:left="360"/>
    </w:pPr>
  </w:style>
  <w:style w:type="paragraph" w:styleId="ListBullet4">
    <w:name w:val="List Bullet 4"/>
    <w:basedOn w:val="Normal"/>
    <w:autoRedefine/>
    <w:rsid w:val="000F1FCF"/>
    <w:pPr>
      <w:ind w:left="720" w:hanging="360"/>
    </w:pPr>
  </w:style>
  <w:style w:type="paragraph" w:styleId="BodyText2">
    <w:name w:val="Body Text 2"/>
    <w:basedOn w:val="Normal"/>
    <w:link w:val="BodyText2Char"/>
    <w:rsid w:val="000F1FCF"/>
    <w:pPr>
      <w:spacing w:line="480" w:lineRule="auto"/>
    </w:pPr>
  </w:style>
  <w:style w:type="character" w:customStyle="1" w:styleId="NoteHead">
    <w:name w:val="Note Head"/>
    <w:rsid w:val="000F1FCF"/>
    <w:rPr>
      <w:rFonts w:ascii="Arial" w:hAnsi="Arial"/>
      <w:b/>
    </w:rPr>
  </w:style>
  <w:style w:type="paragraph" w:customStyle="1" w:styleId="List1">
    <w:name w:val="List1"/>
    <w:basedOn w:val="Normal"/>
    <w:next w:val="Normal"/>
    <w:rsid w:val="000F1FCF"/>
    <w:pPr>
      <w:spacing w:after="0"/>
      <w:ind w:left="1080" w:hanging="360"/>
    </w:pPr>
  </w:style>
  <w:style w:type="paragraph" w:styleId="NormalIndent">
    <w:name w:val="Normal Indent"/>
    <w:basedOn w:val="Normal"/>
    <w:rsid w:val="000F1FCF"/>
    <w:pPr>
      <w:tabs>
        <w:tab w:val="left" w:pos="288"/>
      </w:tabs>
      <w:ind w:left="2880" w:hanging="2880"/>
    </w:pPr>
  </w:style>
  <w:style w:type="paragraph" w:styleId="List">
    <w:name w:val="List"/>
    <w:basedOn w:val="Normal"/>
    <w:rsid w:val="000F1FCF"/>
    <w:pPr>
      <w:ind w:left="360" w:hanging="360"/>
    </w:pPr>
  </w:style>
  <w:style w:type="paragraph" w:customStyle="1" w:styleId="Figure">
    <w:name w:val="Figure"/>
    <w:basedOn w:val="Table"/>
    <w:next w:val="Normal"/>
    <w:autoRedefine/>
    <w:rsid w:val="006A1D21"/>
    <w:rPr>
      <w:rFonts w:cs="Arial"/>
      <w:b w:val="0"/>
      <w:noProof/>
      <w:sz w:val="16"/>
      <w:szCs w:val="16"/>
    </w:rPr>
  </w:style>
  <w:style w:type="paragraph" w:customStyle="1" w:styleId="Table">
    <w:name w:val="Table"/>
    <w:basedOn w:val="Normal"/>
    <w:autoRedefine/>
    <w:rsid w:val="00A63DD3"/>
    <w:pPr>
      <w:spacing w:before="120" w:after="0"/>
      <w:jc w:val="center"/>
    </w:pPr>
    <w:rPr>
      <w:rFonts w:ascii="Arial" w:hAnsi="Arial"/>
      <w:b/>
    </w:rPr>
  </w:style>
  <w:style w:type="character" w:customStyle="1" w:styleId="TableChar">
    <w:name w:val="Table Char"/>
    <w:rsid w:val="000F1FCF"/>
    <w:rPr>
      <w:rFonts w:ascii="Arial" w:hAnsi="Arial"/>
      <w:b/>
      <w:sz w:val="24"/>
      <w:lang w:val="en-US" w:eastAsia="en-US" w:bidi="ar-SA"/>
    </w:rPr>
  </w:style>
  <w:style w:type="character" w:customStyle="1" w:styleId="FigureChar">
    <w:name w:val="Figure Char"/>
    <w:rsid w:val="000F1FCF"/>
    <w:rPr>
      <w:b/>
      <w:noProof/>
      <w:sz w:val="24"/>
      <w:u w:val="single"/>
      <w:lang w:val="en-US" w:eastAsia="en-US" w:bidi="ar-SA"/>
    </w:rPr>
  </w:style>
  <w:style w:type="paragraph" w:customStyle="1" w:styleId="screen">
    <w:name w:val="screen"/>
    <w:basedOn w:val="Para1"/>
    <w:rsid w:val="000F1FCF"/>
    <w:rPr>
      <w:rFonts w:ascii="Courier" w:hAnsi="Courier"/>
      <w:sz w:val="20"/>
    </w:rPr>
  </w:style>
  <w:style w:type="paragraph" w:customStyle="1" w:styleId="Style1">
    <w:name w:val="Style1"/>
    <w:basedOn w:val="TOC1"/>
    <w:rsid w:val="000F1FCF"/>
    <w:pPr>
      <w:spacing w:before="240"/>
    </w:pPr>
  </w:style>
  <w:style w:type="paragraph" w:customStyle="1" w:styleId="Bullet04">
    <w:name w:val="Bullet04"/>
    <w:basedOn w:val="Bullet"/>
    <w:rsid w:val="000F1FCF"/>
    <w:pPr>
      <w:tabs>
        <w:tab w:val="num" w:pos="360"/>
        <w:tab w:val="num" w:pos="720"/>
      </w:tabs>
    </w:pPr>
  </w:style>
  <w:style w:type="paragraph" w:customStyle="1" w:styleId="Heading32">
    <w:name w:val="Heading 32"/>
    <w:basedOn w:val="Para1"/>
    <w:rsid w:val="000F1FCF"/>
    <w:pPr>
      <w:spacing w:before="60" w:after="60"/>
    </w:pPr>
    <w:rPr>
      <w:rFonts w:ascii="Times" w:hAnsi="Times"/>
    </w:rPr>
  </w:style>
  <w:style w:type="paragraph" w:styleId="BodyTextIndent">
    <w:name w:val="Body Text Indent"/>
    <w:basedOn w:val="Normal"/>
    <w:link w:val="BodyTextIndentChar"/>
    <w:rsid w:val="000F1FCF"/>
    <w:pPr>
      <w:widowControl w:val="0"/>
    </w:pPr>
    <w:rPr>
      <w:i/>
      <w:snapToGrid w:val="0"/>
    </w:rPr>
  </w:style>
  <w:style w:type="paragraph" w:styleId="BodyTextIndent3">
    <w:name w:val="Body Text Indent 3"/>
    <w:basedOn w:val="Normal"/>
    <w:link w:val="BodyTextIndent3Char"/>
    <w:rsid w:val="000F1FCF"/>
    <w:pPr>
      <w:widowControl w:val="0"/>
      <w:pBdr>
        <w:top w:val="single" w:sz="18" w:space="1" w:color="auto"/>
        <w:left w:val="single" w:sz="18" w:space="4" w:color="auto"/>
        <w:bottom w:val="single" w:sz="18" w:space="1" w:color="auto"/>
        <w:right w:val="single" w:sz="18" w:space="4" w:color="auto"/>
      </w:pBdr>
      <w:ind w:left="1440"/>
    </w:pPr>
    <w:rPr>
      <w:rFonts w:ascii="Courier New" w:hAnsi="Courier New"/>
      <w:snapToGrid w:val="0"/>
    </w:rPr>
  </w:style>
  <w:style w:type="paragraph" w:styleId="PlainText">
    <w:name w:val="Plain Text"/>
    <w:basedOn w:val="Normal"/>
    <w:link w:val="PlainTextChar"/>
    <w:rsid w:val="000F1FCF"/>
    <w:rPr>
      <w:rFonts w:ascii="Courier New" w:hAnsi="Courier New"/>
    </w:rPr>
  </w:style>
  <w:style w:type="paragraph" w:customStyle="1" w:styleId="Glossary">
    <w:name w:val="Glossary"/>
    <w:basedOn w:val="BodyText"/>
    <w:rsid w:val="000F1FCF"/>
    <w:pPr>
      <w:tabs>
        <w:tab w:val="left" w:pos="2880"/>
      </w:tabs>
      <w:spacing w:after="120"/>
      <w:ind w:left="2880" w:hanging="2880"/>
    </w:pPr>
  </w:style>
  <w:style w:type="paragraph" w:customStyle="1" w:styleId="Listing">
    <w:name w:val="Listing"/>
    <w:basedOn w:val="Para1"/>
    <w:next w:val="Normal"/>
    <w:rsid w:val="000F1FCF"/>
    <w:rPr>
      <w:rFonts w:ascii="Courier New" w:hAnsi="Courier New"/>
      <w:sz w:val="20"/>
    </w:rPr>
  </w:style>
  <w:style w:type="paragraph" w:customStyle="1" w:styleId="console">
    <w:name w:val="console"/>
    <w:basedOn w:val="Normal"/>
    <w:autoRedefine/>
    <w:rsid w:val="000F1FCF"/>
    <w:pPr>
      <w:spacing w:after="0" w:line="240" w:lineRule="auto"/>
      <w:ind w:left="288"/>
    </w:pPr>
  </w:style>
  <w:style w:type="paragraph" w:styleId="BodyText3">
    <w:name w:val="Body Text 3"/>
    <w:basedOn w:val="Normal"/>
    <w:link w:val="BodyText3Char"/>
    <w:rsid w:val="000F1FCF"/>
    <w:rPr>
      <w:color w:val="FF0000"/>
    </w:rPr>
  </w:style>
  <w:style w:type="paragraph" w:customStyle="1" w:styleId="MainPara">
    <w:name w:val="Main Para"/>
    <w:basedOn w:val="Para1"/>
    <w:autoRedefine/>
    <w:rsid w:val="000F1FCF"/>
    <w:rPr>
      <w:rFonts w:ascii="Times" w:hAnsi="Times"/>
    </w:rPr>
  </w:style>
  <w:style w:type="paragraph" w:styleId="BlockText">
    <w:name w:val="Block Text"/>
    <w:basedOn w:val="Normal"/>
    <w:rsid w:val="000F1FCF"/>
    <w:pPr>
      <w:ind w:left="1440" w:right="1440"/>
    </w:pPr>
  </w:style>
  <w:style w:type="paragraph" w:styleId="BodyTextFirstIndent">
    <w:name w:val="Body Text First Indent"/>
    <w:basedOn w:val="BodyText"/>
    <w:link w:val="BodyTextFirstIndentChar"/>
    <w:rsid w:val="000F1FCF"/>
    <w:pPr>
      <w:spacing w:after="120"/>
      <w:ind w:firstLine="210"/>
    </w:pPr>
  </w:style>
  <w:style w:type="paragraph" w:styleId="BodyTextFirstIndent2">
    <w:name w:val="Body Text First Indent 2"/>
    <w:basedOn w:val="BodyTextIndent"/>
    <w:link w:val="BodyTextFirstIndent2Char"/>
    <w:rsid w:val="000F1FCF"/>
    <w:pPr>
      <w:widowControl/>
      <w:ind w:left="360" w:firstLine="210"/>
    </w:pPr>
    <w:rPr>
      <w:i w:val="0"/>
      <w:snapToGrid/>
    </w:rPr>
  </w:style>
  <w:style w:type="paragraph" w:styleId="Closing">
    <w:name w:val="Closing"/>
    <w:basedOn w:val="Normal"/>
    <w:link w:val="ClosingChar"/>
    <w:rsid w:val="000F1FCF"/>
    <w:pPr>
      <w:ind w:left="4320"/>
    </w:pPr>
  </w:style>
  <w:style w:type="paragraph" w:styleId="Date">
    <w:name w:val="Date"/>
    <w:basedOn w:val="Normal"/>
    <w:next w:val="Normal"/>
    <w:link w:val="DateChar"/>
    <w:rsid w:val="000F1FCF"/>
  </w:style>
  <w:style w:type="paragraph" w:styleId="E-mailSignature">
    <w:name w:val="E-mail Signature"/>
    <w:basedOn w:val="Normal"/>
    <w:link w:val="E-mailSignatureChar"/>
    <w:rsid w:val="000F1FCF"/>
  </w:style>
  <w:style w:type="paragraph" w:styleId="EnvelopeAddress">
    <w:name w:val="envelope address"/>
    <w:basedOn w:val="Normal"/>
    <w:rsid w:val="000F1FCF"/>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0F1FCF"/>
    <w:rPr>
      <w:rFonts w:ascii="Arial" w:hAnsi="Arial"/>
      <w:sz w:val="20"/>
    </w:rPr>
  </w:style>
  <w:style w:type="paragraph" w:styleId="HTMLAddress">
    <w:name w:val="HTML Address"/>
    <w:basedOn w:val="Normal"/>
    <w:link w:val="HTMLAddressChar"/>
    <w:rsid w:val="000F1FCF"/>
    <w:rPr>
      <w:i/>
      <w:iCs/>
    </w:rPr>
  </w:style>
  <w:style w:type="paragraph" w:styleId="HTMLPreformatted">
    <w:name w:val="HTML Preformatted"/>
    <w:basedOn w:val="Normal"/>
    <w:link w:val="HTMLPreformattedChar"/>
    <w:rsid w:val="000F1FCF"/>
    <w:rPr>
      <w:rFonts w:ascii="Courier New" w:hAnsi="Courier New"/>
      <w:sz w:val="20"/>
    </w:rPr>
  </w:style>
  <w:style w:type="paragraph" w:styleId="List2">
    <w:name w:val="List 2"/>
    <w:basedOn w:val="Normal"/>
    <w:rsid w:val="000F1FCF"/>
    <w:pPr>
      <w:ind w:left="720" w:hanging="360"/>
    </w:pPr>
  </w:style>
  <w:style w:type="paragraph" w:styleId="List3">
    <w:name w:val="List 3"/>
    <w:basedOn w:val="Normal"/>
    <w:rsid w:val="000F1FCF"/>
    <w:pPr>
      <w:ind w:left="1080" w:hanging="360"/>
    </w:pPr>
  </w:style>
  <w:style w:type="paragraph" w:styleId="List4">
    <w:name w:val="List 4"/>
    <w:basedOn w:val="Normal"/>
    <w:rsid w:val="000F1FCF"/>
    <w:pPr>
      <w:ind w:left="1440" w:hanging="360"/>
    </w:pPr>
  </w:style>
  <w:style w:type="paragraph" w:styleId="List5">
    <w:name w:val="List 5"/>
    <w:basedOn w:val="Normal"/>
    <w:rsid w:val="000F1FCF"/>
    <w:pPr>
      <w:ind w:left="1800" w:hanging="360"/>
    </w:pPr>
  </w:style>
  <w:style w:type="paragraph" w:styleId="ListBullet">
    <w:name w:val="List Bullet"/>
    <w:basedOn w:val="Normal"/>
    <w:autoRedefine/>
    <w:rsid w:val="000F1FCF"/>
    <w:pPr>
      <w:tabs>
        <w:tab w:val="num" w:pos="360"/>
      </w:tabs>
      <w:ind w:left="360" w:hanging="360"/>
    </w:pPr>
  </w:style>
  <w:style w:type="paragraph" w:styleId="ListBullet2">
    <w:name w:val="List Bullet 2"/>
    <w:basedOn w:val="Normal"/>
    <w:autoRedefine/>
    <w:rsid w:val="000F1FCF"/>
    <w:pPr>
      <w:tabs>
        <w:tab w:val="num" w:pos="720"/>
      </w:tabs>
      <w:ind w:left="720" w:hanging="360"/>
    </w:pPr>
  </w:style>
  <w:style w:type="paragraph" w:styleId="ListBullet3">
    <w:name w:val="List Bullet 3"/>
    <w:basedOn w:val="Normal"/>
    <w:autoRedefine/>
    <w:rsid w:val="000F1FCF"/>
    <w:pPr>
      <w:tabs>
        <w:tab w:val="num" w:pos="1080"/>
      </w:tabs>
      <w:ind w:left="1080" w:hanging="360"/>
    </w:pPr>
  </w:style>
  <w:style w:type="paragraph" w:styleId="ListBullet5">
    <w:name w:val="List Bullet 5"/>
    <w:basedOn w:val="Normal"/>
    <w:autoRedefine/>
    <w:rsid w:val="000F1FCF"/>
    <w:pPr>
      <w:tabs>
        <w:tab w:val="num" w:pos="1800"/>
      </w:tabs>
      <w:ind w:left="1800" w:hanging="360"/>
    </w:pPr>
  </w:style>
  <w:style w:type="paragraph" w:styleId="ListContinue">
    <w:name w:val="List Continue"/>
    <w:basedOn w:val="Normal"/>
    <w:rsid w:val="000F1FCF"/>
    <w:pPr>
      <w:ind w:left="360"/>
    </w:pPr>
  </w:style>
  <w:style w:type="paragraph" w:styleId="ListContinue2">
    <w:name w:val="List Continue 2"/>
    <w:basedOn w:val="Normal"/>
    <w:rsid w:val="000F1FCF"/>
    <w:pPr>
      <w:ind w:left="720"/>
    </w:pPr>
  </w:style>
  <w:style w:type="paragraph" w:styleId="ListContinue3">
    <w:name w:val="List Continue 3"/>
    <w:basedOn w:val="Normal"/>
    <w:rsid w:val="000F1FCF"/>
    <w:pPr>
      <w:ind w:left="1080"/>
    </w:pPr>
  </w:style>
  <w:style w:type="paragraph" w:styleId="ListContinue4">
    <w:name w:val="List Continue 4"/>
    <w:basedOn w:val="Normal"/>
    <w:rsid w:val="000F1FCF"/>
    <w:pPr>
      <w:ind w:left="1440"/>
    </w:pPr>
  </w:style>
  <w:style w:type="paragraph" w:styleId="ListContinue5">
    <w:name w:val="List Continue 5"/>
    <w:basedOn w:val="Normal"/>
    <w:rsid w:val="000F1FCF"/>
    <w:pPr>
      <w:ind w:left="1800"/>
    </w:pPr>
  </w:style>
  <w:style w:type="paragraph" w:styleId="ListNumber">
    <w:name w:val="List Number"/>
    <w:basedOn w:val="Normal"/>
    <w:rsid w:val="000F1FCF"/>
    <w:pPr>
      <w:tabs>
        <w:tab w:val="num" w:pos="360"/>
      </w:tabs>
      <w:ind w:left="360" w:hanging="360"/>
    </w:pPr>
  </w:style>
  <w:style w:type="paragraph" w:styleId="ListNumber2">
    <w:name w:val="List Number 2"/>
    <w:basedOn w:val="Normal"/>
    <w:rsid w:val="000F1FCF"/>
    <w:pPr>
      <w:tabs>
        <w:tab w:val="num" w:pos="720"/>
      </w:tabs>
      <w:ind w:left="720" w:hanging="360"/>
    </w:pPr>
  </w:style>
  <w:style w:type="paragraph" w:styleId="ListNumber3">
    <w:name w:val="List Number 3"/>
    <w:basedOn w:val="Normal"/>
    <w:rsid w:val="000F1FCF"/>
    <w:pPr>
      <w:tabs>
        <w:tab w:val="num" w:pos="1080"/>
      </w:tabs>
      <w:ind w:left="1080" w:hanging="360"/>
    </w:pPr>
  </w:style>
  <w:style w:type="paragraph" w:styleId="ListNumber4">
    <w:name w:val="List Number 4"/>
    <w:basedOn w:val="Normal"/>
    <w:rsid w:val="000F1FCF"/>
    <w:pPr>
      <w:tabs>
        <w:tab w:val="num" w:pos="1440"/>
      </w:tabs>
      <w:ind w:left="1440" w:hanging="360"/>
    </w:pPr>
  </w:style>
  <w:style w:type="paragraph" w:styleId="ListNumber5">
    <w:name w:val="List Number 5"/>
    <w:basedOn w:val="Normal"/>
    <w:rsid w:val="000F1FCF"/>
    <w:pPr>
      <w:tabs>
        <w:tab w:val="num" w:pos="1800"/>
      </w:tabs>
      <w:ind w:left="1800" w:hanging="360"/>
    </w:pPr>
  </w:style>
  <w:style w:type="paragraph" w:styleId="MessageHeader">
    <w:name w:val="Message Header"/>
    <w:basedOn w:val="Normal"/>
    <w:link w:val="MessageHeaderChar"/>
    <w:rsid w:val="000F1FCF"/>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4"/>
    </w:rPr>
  </w:style>
  <w:style w:type="paragraph" w:styleId="NormalWeb">
    <w:name w:val="Normal (Web)"/>
    <w:basedOn w:val="Normal"/>
    <w:uiPriority w:val="99"/>
    <w:rsid w:val="000F1FCF"/>
    <w:rPr>
      <w:szCs w:val="24"/>
    </w:rPr>
  </w:style>
  <w:style w:type="paragraph" w:styleId="NoteHeading">
    <w:name w:val="Note Heading"/>
    <w:basedOn w:val="Normal"/>
    <w:next w:val="Normal"/>
    <w:link w:val="NoteHeadingChar"/>
    <w:rsid w:val="000F1FCF"/>
  </w:style>
  <w:style w:type="paragraph" w:styleId="Salutation">
    <w:name w:val="Salutation"/>
    <w:basedOn w:val="Normal"/>
    <w:next w:val="Normal"/>
    <w:link w:val="SalutationChar"/>
    <w:rsid w:val="000F1FCF"/>
  </w:style>
  <w:style w:type="paragraph" w:styleId="Signature">
    <w:name w:val="Signature"/>
    <w:basedOn w:val="Normal"/>
    <w:link w:val="SignatureChar"/>
    <w:rsid w:val="000F1FCF"/>
    <w:pPr>
      <w:ind w:left="4320"/>
    </w:pPr>
  </w:style>
  <w:style w:type="paragraph" w:styleId="Subtitle">
    <w:name w:val="Subtitle"/>
    <w:basedOn w:val="Normal"/>
    <w:link w:val="SubtitleChar"/>
    <w:qFormat/>
    <w:rsid w:val="000F1FCF"/>
    <w:pPr>
      <w:spacing w:after="60"/>
      <w:jc w:val="center"/>
      <w:outlineLvl w:val="1"/>
    </w:pPr>
    <w:rPr>
      <w:rFonts w:ascii="Arial" w:hAnsi="Arial"/>
      <w:szCs w:val="24"/>
    </w:rPr>
  </w:style>
  <w:style w:type="paragraph" w:styleId="Title">
    <w:name w:val="Title"/>
    <w:basedOn w:val="Normal"/>
    <w:link w:val="TitleChar"/>
    <w:uiPriority w:val="10"/>
    <w:qFormat/>
    <w:rsid w:val="000F1FCF"/>
    <w:pPr>
      <w:spacing w:before="240" w:after="60"/>
      <w:jc w:val="center"/>
      <w:outlineLvl w:val="0"/>
    </w:pPr>
    <w:rPr>
      <w:rFonts w:ascii="Arial" w:hAnsi="Arial"/>
      <w:b/>
      <w:bCs/>
      <w:kern w:val="28"/>
      <w:sz w:val="32"/>
      <w:szCs w:val="32"/>
    </w:rPr>
  </w:style>
  <w:style w:type="paragraph" w:customStyle="1" w:styleId="H4">
    <w:name w:val="H4"/>
    <w:basedOn w:val="Normal"/>
    <w:next w:val="Normal"/>
    <w:rsid w:val="000F1FCF"/>
    <w:pPr>
      <w:keepNext/>
      <w:spacing w:before="100" w:after="100" w:line="240" w:lineRule="auto"/>
      <w:outlineLvl w:val="4"/>
    </w:pPr>
    <w:rPr>
      <w:b/>
      <w:snapToGrid w:val="0"/>
    </w:rPr>
  </w:style>
  <w:style w:type="paragraph" w:customStyle="1" w:styleId="TableHead">
    <w:name w:val="TableHead"/>
    <w:basedOn w:val="Normal"/>
    <w:rsid w:val="000F1FCF"/>
    <w:pPr>
      <w:keepNext/>
      <w:spacing w:before="60" w:after="60"/>
    </w:pPr>
    <w:rPr>
      <w:rFonts w:ascii="Arial" w:hAnsi="Arial" w:cs="Arial"/>
      <w:b/>
      <w:bCs/>
      <w:sz w:val="22"/>
    </w:rPr>
  </w:style>
  <w:style w:type="paragraph" w:customStyle="1" w:styleId="sansserif">
    <w:name w:val="sansserif"/>
    <w:basedOn w:val="Normal"/>
    <w:rsid w:val="000F1FCF"/>
    <w:pPr>
      <w:spacing w:before="100" w:beforeAutospacing="1" w:after="100" w:afterAutospacing="1" w:line="240" w:lineRule="auto"/>
    </w:pPr>
    <w:rPr>
      <w:szCs w:val="24"/>
    </w:rPr>
  </w:style>
  <w:style w:type="paragraph" w:customStyle="1" w:styleId="sansserifbold">
    <w:name w:val="sansserifbold"/>
    <w:basedOn w:val="Normal"/>
    <w:rsid w:val="000F1FCF"/>
    <w:pPr>
      <w:spacing w:before="100" w:beforeAutospacing="1" w:after="100" w:afterAutospacing="1" w:line="240" w:lineRule="auto"/>
    </w:pPr>
    <w:rPr>
      <w:szCs w:val="24"/>
    </w:rPr>
  </w:style>
  <w:style w:type="paragraph" w:customStyle="1" w:styleId="Appendix2">
    <w:name w:val="Appendix 2"/>
    <w:basedOn w:val="Heading2"/>
    <w:next w:val="Normal"/>
    <w:qFormat/>
    <w:rsid w:val="00912CE8"/>
    <w:pPr>
      <w:numPr>
        <w:ilvl w:val="0"/>
        <w:numId w:val="0"/>
      </w:numPr>
      <w:tabs>
        <w:tab w:val="num" w:pos="1440"/>
      </w:tabs>
      <w:spacing w:before="240"/>
      <w:ind w:left="720" w:hanging="720"/>
    </w:pPr>
  </w:style>
  <w:style w:type="paragraph" w:customStyle="1" w:styleId="xl24">
    <w:name w:val="xl24"/>
    <w:basedOn w:val="Normal"/>
    <w:rsid w:val="000F1FCF"/>
    <w:pPr>
      <w:pBdr>
        <w:left w:val="single" w:sz="12" w:space="0" w:color="auto"/>
        <w:bottom w:val="single" w:sz="12" w:space="0" w:color="auto"/>
      </w:pBdr>
      <w:spacing w:before="100" w:beforeAutospacing="1" w:after="100" w:afterAutospacing="1" w:line="240" w:lineRule="auto"/>
      <w:jc w:val="center"/>
      <w:textAlignment w:val="top"/>
    </w:pPr>
    <w:rPr>
      <w:rFonts w:ascii="Arial" w:eastAsia="Arial Unicode MS" w:hAnsi="Arial" w:cs="Arial"/>
      <w:b/>
      <w:bCs/>
      <w:szCs w:val="24"/>
    </w:rPr>
  </w:style>
  <w:style w:type="paragraph" w:customStyle="1" w:styleId="xl25">
    <w:name w:val="xl25"/>
    <w:basedOn w:val="Normal"/>
    <w:rsid w:val="000F1F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Wingdings 2" w:eastAsia="Arial Unicode MS" w:hAnsi="Wingdings 2" w:cs="Arial Unicode MS"/>
      <w:b/>
      <w:bCs/>
      <w:szCs w:val="24"/>
    </w:rPr>
  </w:style>
  <w:style w:type="paragraph" w:customStyle="1" w:styleId="xl26">
    <w:name w:val="xl26"/>
    <w:basedOn w:val="Normal"/>
    <w:rsid w:val="000F1FCF"/>
    <w:pPr>
      <w:pBdr>
        <w:top w:val="single" w:sz="4" w:space="0" w:color="auto"/>
        <w:left w:val="single" w:sz="4" w:space="0" w:color="auto"/>
        <w:bottom w:val="single" w:sz="4" w:space="0" w:color="auto"/>
      </w:pBdr>
      <w:spacing w:before="100" w:beforeAutospacing="1" w:after="100" w:afterAutospacing="1" w:line="240" w:lineRule="auto"/>
    </w:pPr>
    <w:rPr>
      <w:rFonts w:eastAsia="Arial Unicode MS"/>
      <w:szCs w:val="24"/>
    </w:rPr>
  </w:style>
  <w:style w:type="paragraph" w:customStyle="1" w:styleId="xl27">
    <w:name w:val="xl27"/>
    <w:basedOn w:val="Normal"/>
    <w:rsid w:val="000F1FC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Arial Unicode MS"/>
      <w:b/>
      <w:bCs/>
      <w:szCs w:val="24"/>
    </w:rPr>
  </w:style>
  <w:style w:type="paragraph" w:customStyle="1" w:styleId="xl28">
    <w:name w:val="xl28"/>
    <w:basedOn w:val="Normal"/>
    <w:rsid w:val="000F1FCF"/>
    <w:pPr>
      <w:pBdr>
        <w:top w:val="single" w:sz="4" w:space="0" w:color="auto"/>
        <w:left w:val="single" w:sz="4" w:space="0" w:color="auto"/>
        <w:bottom w:val="single" w:sz="4" w:space="0" w:color="auto"/>
      </w:pBdr>
      <w:spacing w:before="100" w:beforeAutospacing="1" w:after="100" w:afterAutospacing="1" w:line="240" w:lineRule="auto"/>
      <w:jc w:val="center"/>
    </w:pPr>
    <w:rPr>
      <w:rFonts w:ascii="Wingdings 2" w:eastAsia="Arial Unicode MS" w:hAnsi="Wingdings 2" w:cs="Arial Unicode MS"/>
      <w:b/>
      <w:bCs/>
      <w:szCs w:val="24"/>
    </w:rPr>
  </w:style>
  <w:style w:type="paragraph" w:customStyle="1" w:styleId="xl29">
    <w:name w:val="xl29"/>
    <w:basedOn w:val="Normal"/>
    <w:rsid w:val="000F1FCF"/>
    <w:pPr>
      <w:pBdr>
        <w:top w:val="single" w:sz="4" w:space="0" w:color="auto"/>
        <w:left w:val="single" w:sz="12"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szCs w:val="24"/>
    </w:rPr>
  </w:style>
  <w:style w:type="paragraph" w:customStyle="1" w:styleId="xl30">
    <w:name w:val="xl30"/>
    <w:basedOn w:val="Normal"/>
    <w:rsid w:val="000F1FCF"/>
    <w:pPr>
      <w:pBdr>
        <w:top w:val="single" w:sz="4" w:space="0" w:color="auto"/>
        <w:left w:val="single" w:sz="12" w:space="0" w:color="auto"/>
        <w:bottom w:val="single" w:sz="4" w:space="0" w:color="auto"/>
        <w:right w:val="single" w:sz="4" w:space="0" w:color="auto"/>
      </w:pBdr>
      <w:spacing w:before="100" w:beforeAutospacing="1" w:after="100" w:afterAutospacing="1" w:line="240" w:lineRule="auto"/>
      <w:jc w:val="center"/>
    </w:pPr>
    <w:rPr>
      <w:rFonts w:ascii="Wingdings 2" w:eastAsia="Arial Unicode MS" w:hAnsi="Wingdings 2" w:cs="Arial Unicode MS"/>
      <w:b/>
      <w:bCs/>
      <w:szCs w:val="24"/>
    </w:rPr>
  </w:style>
  <w:style w:type="paragraph" w:customStyle="1" w:styleId="xl31">
    <w:name w:val="xl31"/>
    <w:basedOn w:val="Normal"/>
    <w:rsid w:val="000F1FCF"/>
    <w:pPr>
      <w:pBdr>
        <w:top w:val="single" w:sz="4" w:space="0" w:color="auto"/>
        <w:left w:val="single" w:sz="12"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szCs w:val="24"/>
    </w:rPr>
  </w:style>
  <w:style w:type="paragraph" w:customStyle="1" w:styleId="xl32">
    <w:name w:val="xl32"/>
    <w:basedOn w:val="Normal"/>
    <w:rsid w:val="000F1FCF"/>
    <w:pPr>
      <w:pBdr>
        <w:top w:val="single" w:sz="4" w:space="0" w:color="auto"/>
        <w:bottom w:val="single" w:sz="4" w:space="0" w:color="auto"/>
      </w:pBdr>
      <w:spacing w:before="100" w:beforeAutospacing="1" w:after="100" w:afterAutospacing="1" w:line="240" w:lineRule="auto"/>
    </w:pPr>
    <w:rPr>
      <w:rFonts w:eastAsia="Arial Unicode MS"/>
      <w:szCs w:val="24"/>
    </w:rPr>
  </w:style>
  <w:style w:type="paragraph" w:customStyle="1" w:styleId="xl33">
    <w:name w:val="xl33"/>
    <w:basedOn w:val="Normal"/>
    <w:rsid w:val="000F1FCF"/>
    <w:pPr>
      <w:pBdr>
        <w:top w:val="single" w:sz="4" w:space="0" w:color="auto"/>
        <w:bottom w:val="single" w:sz="4" w:space="0" w:color="auto"/>
        <w:right w:val="single" w:sz="4" w:space="0" w:color="auto"/>
      </w:pBdr>
      <w:spacing w:before="100" w:beforeAutospacing="1" w:after="100" w:afterAutospacing="1" w:line="240" w:lineRule="auto"/>
    </w:pPr>
    <w:rPr>
      <w:rFonts w:eastAsia="Arial Unicode MS"/>
      <w:szCs w:val="24"/>
    </w:rPr>
  </w:style>
  <w:style w:type="paragraph" w:customStyle="1" w:styleId="xl34">
    <w:name w:val="xl34"/>
    <w:basedOn w:val="Normal"/>
    <w:rsid w:val="000F1FCF"/>
    <w:pPr>
      <w:pBdr>
        <w:top w:val="single" w:sz="4" w:space="0" w:color="auto"/>
        <w:left w:val="single" w:sz="4" w:space="0" w:color="auto"/>
        <w:right w:val="single" w:sz="4" w:space="0" w:color="auto"/>
      </w:pBdr>
      <w:spacing w:before="100" w:beforeAutospacing="1" w:after="100" w:afterAutospacing="1" w:line="240" w:lineRule="auto"/>
    </w:pPr>
    <w:rPr>
      <w:rFonts w:eastAsia="Arial Unicode MS"/>
      <w:szCs w:val="24"/>
    </w:rPr>
  </w:style>
  <w:style w:type="paragraph" w:customStyle="1" w:styleId="xl35">
    <w:name w:val="xl35"/>
    <w:basedOn w:val="Normal"/>
    <w:rsid w:val="000F1FCF"/>
    <w:pPr>
      <w:pBdr>
        <w:left w:val="single" w:sz="4" w:space="0" w:color="auto"/>
        <w:right w:val="single" w:sz="4" w:space="0" w:color="auto"/>
      </w:pBdr>
      <w:spacing w:before="100" w:beforeAutospacing="1" w:after="100" w:afterAutospacing="1" w:line="240" w:lineRule="auto"/>
    </w:pPr>
    <w:rPr>
      <w:rFonts w:eastAsia="Arial Unicode MS"/>
      <w:szCs w:val="24"/>
    </w:rPr>
  </w:style>
  <w:style w:type="paragraph" w:customStyle="1" w:styleId="xl36">
    <w:name w:val="xl36"/>
    <w:basedOn w:val="Normal"/>
    <w:rsid w:val="000F1FCF"/>
    <w:pPr>
      <w:pBdr>
        <w:left w:val="single" w:sz="4" w:space="0" w:color="auto"/>
        <w:bottom w:val="single" w:sz="4" w:space="0" w:color="auto"/>
        <w:right w:val="single" w:sz="4" w:space="0" w:color="auto"/>
      </w:pBdr>
      <w:spacing w:before="100" w:beforeAutospacing="1" w:after="100" w:afterAutospacing="1" w:line="240" w:lineRule="auto"/>
    </w:pPr>
    <w:rPr>
      <w:rFonts w:eastAsia="Arial Unicode MS"/>
      <w:szCs w:val="24"/>
    </w:rPr>
  </w:style>
  <w:style w:type="paragraph" w:customStyle="1" w:styleId="xl37">
    <w:name w:val="xl37"/>
    <w:basedOn w:val="Normal"/>
    <w:rsid w:val="000F1FCF"/>
    <w:pPr>
      <w:pBdr>
        <w:left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Cs w:val="24"/>
    </w:rPr>
  </w:style>
  <w:style w:type="paragraph" w:customStyle="1" w:styleId="xl38">
    <w:name w:val="xl38"/>
    <w:basedOn w:val="Normal"/>
    <w:rsid w:val="000F1FCF"/>
    <w:pPr>
      <w:pBdr>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Cs w:val="24"/>
    </w:rPr>
  </w:style>
  <w:style w:type="paragraph" w:customStyle="1" w:styleId="xl39">
    <w:name w:val="xl39"/>
    <w:basedOn w:val="Normal"/>
    <w:rsid w:val="000F1FCF"/>
    <w:pPr>
      <w:pBdr>
        <w:bottom w:val="single" w:sz="4" w:space="0" w:color="auto"/>
        <w:right w:val="single" w:sz="4" w:space="0" w:color="auto"/>
      </w:pBdr>
      <w:spacing w:before="100" w:beforeAutospacing="1" w:after="100" w:afterAutospacing="1" w:line="240" w:lineRule="auto"/>
      <w:jc w:val="center"/>
      <w:textAlignment w:val="center"/>
    </w:pPr>
    <w:rPr>
      <w:rFonts w:eastAsia="Arial Unicode MS"/>
      <w:b/>
      <w:bCs/>
      <w:sz w:val="28"/>
      <w:szCs w:val="28"/>
    </w:rPr>
  </w:style>
  <w:style w:type="paragraph" w:customStyle="1" w:styleId="xl40">
    <w:name w:val="xl40"/>
    <w:basedOn w:val="Normal"/>
    <w:rsid w:val="000F1F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sz w:val="28"/>
      <w:szCs w:val="28"/>
    </w:rPr>
  </w:style>
  <w:style w:type="paragraph" w:customStyle="1" w:styleId="xl41">
    <w:name w:val="xl41"/>
    <w:basedOn w:val="Normal"/>
    <w:rsid w:val="000F1FCF"/>
    <w:pPr>
      <w:pBdr>
        <w:left w:val="single" w:sz="4" w:space="0" w:color="auto"/>
        <w:bottom w:val="single" w:sz="4" w:space="0" w:color="auto"/>
      </w:pBdr>
      <w:spacing w:before="100" w:beforeAutospacing="1" w:after="100" w:afterAutospacing="1" w:line="240" w:lineRule="auto"/>
      <w:jc w:val="center"/>
      <w:textAlignment w:val="center"/>
    </w:pPr>
    <w:rPr>
      <w:rFonts w:eastAsia="Arial Unicode MS"/>
      <w:sz w:val="28"/>
      <w:szCs w:val="28"/>
    </w:rPr>
  </w:style>
  <w:style w:type="paragraph" w:customStyle="1" w:styleId="xl42">
    <w:name w:val="xl42"/>
    <w:basedOn w:val="Normal"/>
    <w:rsid w:val="000F1FC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sz w:val="28"/>
      <w:szCs w:val="28"/>
    </w:rPr>
  </w:style>
  <w:style w:type="paragraph" w:customStyle="1" w:styleId="xl43">
    <w:name w:val="xl43"/>
    <w:basedOn w:val="Normal"/>
    <w:rsid w:val="000F1F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sz w:val="28"/>
      <w:szCs w:val="28"/>
    </w:rPr>
  </w:style>
  <w:style w:type="paragraph" w:customStyle="1" w:styleId="xl44">
    <w:name w:val="xl44"/>
    <w:basedOn w:val="Normal"/>
    <w:rsid w:val="000F1FC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Arial Unicode MS"/>
      <w:sz w:val="28"/>
      <w:szCs w:val="28"/>
    </w:rPr>
  </w:style>
  <w:style w:type="paragraph" w:customStyle="1" w:styleId="xl45">
    <w:name w:val="xl45"/>
    <w:basedOn w:val="Normal"/>
    <w:rsid w:val="000F1F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szCs w:val="24"/>
    </w:rPr>
  </w:style>
  <w:style w:type="paragraph" w:customStyle="1" w:styleId="xl46">
    <w:name w:val="xl46"/>
    <w:basedOn w:val="Normal"/>
    <w:rsid w:val="000F1FCF"/>
    <w:pPr>
      <w:pBdr>
        <w:top w:val="single" w:sz="4" w:space="0" w:color="auto"/>
        <w:left w:val="single" w:sz="4" w:space="0" w:color="auto"/>
        <w:bottom w:val="single" w:sz="4" w:space="0" w:color="auto"/>
        <w:right w:val="single" w:sz="12" w:space="0" w:color="auto"/>
      </w:pBdr>
      <w:spacing w:before="100" w:beforeAutospacing="1" w:after="100" w:afterAutospacing="1" w:line="240" w:lineRule="auto"/>
      <w:jc w:val="center"/>
      <w:textAlignment w:val="center"/>
    </w:pPr>
    <w:rPr>
      <w:rFonts w:eastAsia="Arial Unicode MS"/>
      <w:szCs w:val="24"/>
    </w:rPr>
  </w:style>
  <w:style w:type="paragraph" w:customStyle="1" w:styleId="xl47">
    <w:name w:val="xl47"/>
    <w:basedOn w:val="Normal"/>
    <w:rsid w:val="000F1FCF"/>
    <w:pPr>
      <w:pBdr>
        <w:top w:val="single" w:sz="4" w:space="0" w:color="auto"/>
        <w:left w:val="single" w:sz="12"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szCs w:val="24"/>
    </w:rPr>
  </w:style>
  <w:style w:type="paragraph" w:customStyle="1" w:styleId="xl48">
    <w:name w:val="xl48"/>
    <w:basedOn w:val="Normal"/>
    <w:rsid w:val="000F1FCF"/>
    <w:pPr>
      <w:pBdr>
        <w:top w:val="single" w:sz="4" w:space="0" w:color="auto"/>
        <w:left w:val="single" w:sz="4" w:space="0" w:color="auto"/>
        <w:bottom w:val="single" w:sz="4" w:space="0" w:color="auto"/>
      </w:pBdr>
      <w:spacing w:before="100" w:beforeAutospacing="1" w:after="100" w:afterAutospacing="1" w:line="240" w:lineRule="auto"/>
    </w:pPr>
    <w:rPr>
      <w:rFonts w:eastAsia="Arial Unicode MS"/>
      <w:b/>
      <w:bCs/>
      <w:szCs w:val="24"/>
    </w:rPr>
  </w:style>
  <w:style w:type="paragraph" w:customStyle="1" w:styleId="xl49">
    <w:name w:val="xl49"/>
    <w:basedOn w:val="Normal"/>
    <w:rsid w:val="000F1FCF"/>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Cs w:val="24"/>
    </w:rPr>
  </w:style>
  <w:style w:type="paragraph" w:customStyle="1" w:styleId="xl50">
    <w:name w:val="xl50"/>
    <w:basedOn w:val="Normal"/>
    <w:rsid w:val="000F1F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szCs w:val="24"/>
    </w:rPr>
  </w:style>
  <w:style w:type="paragraph" w:customStyle="1" w:styleId="xl51">
    <w:name w:val="xl51"/>
    <w:basedOn w:val="Normal"/>
    <w:rsid w:val="000F1FCF"/>
    <w:pPr>
      <w:pBdr>
        <w:top w:val="single" w:sz="4" w:space="0" w:color="auto"/>
        <w:left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Cs w:val="24"/>
    </w:rPr>
  </w:style>
  <w:style w:type="paragraph" w:customStyle="1" w:styleId="xl52">
    <w:name w:val="xl52"/>
    <w:basedOn w:val="Normal"/>
    <w:rsid w:val="000F1F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Cs w:val="24"/>
    </w:rPr>
  </w:style>
  <w:style w:type="paragraph" w:customStyle="1" w:styleId="base">
    <w:name w:val="base"/>
    <w:basedOn w:val="Normal"/>
    <w:rsid w:val="000F1FCF"/>
    <w:pPr>
      <w:spacing w:before="100" w:beforeAutospacing="1" w:after="100" w:afterAutospacing="1" w:line="240" w:lineRule="auto"/>
    </w:pPr>
    <w:rPr>
      <w:rFonts w:ascii="Arial Unicode MS" w:eastAsia="Arial Unicode MS" w:hAnsi="Arial Unicode MS" w:cs="Arial Unicode MS"/>
      <w:szCs w:val="24"/>
    </w:rPr>
  </w:style>
  <w:style w:type="paragraph" w:customStyle="1" w:styleId="bullet2">
    <w:name w:val="bullet2"/>
    <w:basedOn w:val="Normal"/>
    <w:rsid w:val="000F1FCF"/>
    <w:pPr>
      <w:spacing w:before="100" w:beforeAutospacing="1" w:after="100" w:afterAutospacing="1" w:line="240" w:lineRule="auto"/>
    </w:pPr>
    <w:rPr>
      <w:rFonts w:ascii="Arial Unicode MS" w:eastAsia="Arial Unicode MS" w:hAnsi="Arial Unicode MS" w:cs="Arial Unicode MS"/>
      <w:szCs w:val="24"/>
    </w:rPr>
  </w:style>
  <w:style w:type="paragraph" w:customStyle="1" w:styleId="bullet1">
    <w:name w:val="bullet1"/>
    <w:basedOn w:val="Normal"/>
    <w:rsid w:val="000F1FCF"/>
    <w:pPr>
      <w:spacing w:before="100" w:beforeAutospacing="1" w:after="100" w:afterAutospacing="1" w:line="240" w:lineRule="auto"/>
    </w:pPr>
    <w:rPr>
      <w:rFonts w:ascii="Arial Unicode MS" w:eastAsia="Arial Unicode MS" w:hAnsi="Arial Unicode MS" w:cs="Arial Unicode MS"/>
      <w:szCs w:val="24"/>
    </w:rPr>
  </w:style>
  <w:style w:type="paragraph" w:customStyle="1" w:styleId="mainpara0">
    <w:name w:val="main para"/>
    <w:link w:val="mainparaChar"/>
    <w:qFormat/>
    <w:rsid w:val="000F1FCF"/>
    <w:pPr>
      <w:tabs>
        <w:tab w:val="left" w:pos="900"/>
      </w:tabs>
      <w:spacing w:after="240"/>
      <w:ind w:left="504"/>
    </w:pPr>
    <w:rPr>
      <w:sz w:val="24"/>
      <w:lang w:bidi="he-IL"/>
    </w:rPr>
  </w:style>
  <w:style w:type="paragraph" w:customStyle="1" w:styleId="Style2">
    <w:name w:val="Style2"/>
    <w:basedOn w:val="Heading1"/>
    <w:rsid w:val="000F1FCF"/>
  </w:style>
  <w:style w:type="paragraph" w:customStyle="1" w:styleId="SUMheading1Char">
    <w:name w:val="SUM heading 1 Char"/>
    <w:basedOn w:val="Heading1"/>
    <w:next w:val="Normal"/>
    <w:autoRedefine/>
    <w:rsid w:val="000F1FCF"/>
  </w:style>
  <w:style w:type="character" w:customStyle="1" w:styleId="SUMheading1CharChar">
    <w:name w:val="SUM heading 1 Char Char"/>
    <w:basedOn w:val="Heading1Char"/>
    <w:rsid w:val="000F1FCF"/>
    <w:rPr>
      <w:rFonts w:ascii="Arial" w:hAnsi="Arial"/>
      <w:b/>
      <w:caps/>
      <w:kern w:val="28"/>
      <w:sz w:val="24"/>
      <w:lang w:val="en-US" w:eastAsia="en-US" w:bidi="ar-SA"/>
    </w:rPr>
  </w:style>
  <w:style w:type="character" w:customStyle="1" w:styleId="Char">
    <w:name w:val="Char"/>
    <w:rsid w:val="000F1FCF"/>
    <w:rPr>
      <w:rFonts w:ascii="Arial" w:hAnsi="Arial"/>
      <w:b/>
      <w:caps/>
      <w:kern w:val="28"/>
      <w:sz w:val="24"/>
      <w:lang w:val="en-US" w:eastAsia="en-US" w:bidi="ar-SA"/>
    </w:rPr>
  </w:style>
  <w:style w:type="paragraph" w:customStyle="1" w:styleId="SUMheading1">
    <w:name w:val="SUM heading 1"/>
    <w:basedOn w:val="Heading1"/>
    <w:next w:val="Normal"/>
    <w:autoRedefine/>
    <w:rsid w:val="000F1FCF"/>
    <w:pPr>
      <w:tabs>
        <w:tab w:val="num" w:pos="432"/>
      </w:tabs>
    </w:pPr>
  </w:style>
  <w:style w:type="paragraph" w:customStyle="1" w:styleId="PageNumber2">
    <w:name w:val="Page Number 2"/>
    <w:basedOn w:val="Footer"/>
    <w:rsid w:val="000F1FCF"/>
  </w:style>
  <w:style w:type="paragraph" w:customStyle="1" w:styleId="StyleHeading2Left0Firstline0">
    <w:name w:val="Style Heading 2 + Left:  0&quot; First line:  0&quot;"/>
    <w:basedOn w:val="Normal"/>
    <w:autoRedefine/>
    <w:rsid w:val="000F1FCF"/>
    <w:pPr>
      <w:tabs>
        <w:tab w:val="left" w:pos="720"/>
      </w:tabs>
    </w:pPr>
    <w:rPr>
      <w:bCs/>
    </w:rPr>
  </w:style>
  <w:style w:type="paragraph" w:customStyle="1" w:styleId="StyleHeading5Allcaps">
    <w:name w:val="Style Heading 5 + All caps"/>
    <w:basedOn w:val="Heading5"/>
    <w:autoRedefine/>
    <w:rsid w:val="000F1FCF"/>
    <w:rPr>
      <w:caps/>
    </w:rPr>
  </w:style>
  <w:style w:type="character" w:customStyle="1" w:styleId="Heading5Char">
    <w:name w:val="Heading 5 Char"/>
    <w:rsid w:val="000F1FCF"/>
    <w:rPr>
      <w:b/>
      <w:bCs/>
      <w:i/>
      <w:iCs/>
      <w:sz w:val="26"/>
      <w:szCs w:val="26"/>
      <w:lang w:val="en-US" w:eastAsia="en-US" w:bidi="ar-SA"/>
    </w:rPr>
  </w:style>
  <w:style w:type="character" w:customStyle="1" w:styleId="StyleHeading5AllcapsChar">
    <w:name w:val="Style Heading 5 + All caps Char"/>
    <w:rsid w:val="000F1FCF"/>
    <w:rPr>
      <w:b/>
      <w:bCs/>
      <w:i/>
      <w:iCs/>
      <w:caps/>
      <w:sz w:val="26"/>
      <w:szCs w:val="26"/>
      <w:lang w:val="en-US" w:eastAsia="en-US" w:bidi="ar-SA"/>
    </w:rPr>
  </w:style>
  <w:style w:type="paragraph" w:customStyle="1" w:styleId="LeftClassification">
    <w:name w:val="Left Classification"/>
    <w:next w:val="Normal"/>
    <w:rsid w:val="000F1FCF"/>
    <w:pPr>
      <w:keepNext/>
      <w:pBdr>
        <w:top w:val="single" w:sz="12" w:space="1" w:color="auto"/>
      </w:pBdr>
      <w:spacing w:after="72"/>
    </w:pPr>
    <w:rPr>
      <w:rFonts w:ascii="Arial" w:hAnsi="Arial"/>
      <w:b/>
      <w:lang w:bidi="he-IL"/>
    </w:rPr>
  </w:style>
  <w:style w:type="paragraph" w:customStyle="1" w:styleId="RightClassification">
    <w:name w:val="Right Classification"/>
    <w:next w:val="Normal"/>
    <w:rsid w:val="000F1FCF"/>
    <w:pPr>
      <w:pBdr>
        <w:bottom w:val="single" w:sz="12" w:space="1" w:color="auto"/>
      </w:pBdr>
      <w:overflowPunct w:val="0"/>
      <w:autoSpaceDE w:val="0"/>
      <w:autoSpaceDN w:val="0"/>
      <w:adjustRightInd w:val="0"/>
      <w:spacing w:before="48" w:after="240"/>
      <w:jc w:val="right"/>
      <w:textAlignment w:val="baseline"/>
    </w:pPr>
    <w:rPr>
      <w:rFonts w:ascii="Arial" w:hAnsi="Arial"/>
      <w:b/>
      <w:caps/>
    </w:rPr>
  </w:style>
  <w:style w:type="character" w:customStyle="1" w:styleId="BodyTextChar">
    <w:name w:val="Body Text Char"/>
    <w:rsid w:val="000F1FCF"/>
    <w:rPr>
      <w:sz w:val="24"/>
      <w:lang w:val="en-US" w:eastAsia="en-US" w:bidi="ar-SA"/>
    </w:rPr>
  </w:style>
  <w:style w:type="character" w:customStyle="1" w:styleId="Number0205Char">
    <w:name w:val="Number0205 Char"/>
    <w:rsid w:val="000F1FCF"/>
    <w:rPr>
      <w:sz w:val="24"/>
      <w:lang w:val="en-US" w:eastAsia="en-US" w:bidi="ar-SA"/>
    </w:rPr>
  </w:style>
  <w:style w:type="paragraph" w:customStyle="1" w:styleId="StyleCenteredAfter6pt">
    <w:name w:val="Style Centered After:  6 pt"/>
    <w:basedOn w:val="Normal"/>
    <w:rsid w:val="000F1FCF"/>
    <w:pPr>
      <w:jc w:val="center"/>
    </w:pPr>
  </w:style>
  <w:style w:type="paragraph" w:customStyle="1" w:styleId="Style3">
    <w:name w:val="Style3"/>
    <w:basedOn w:val="Heading4"/>
    <w:autoRedefine/>
    <w:rsid w:val="000F1FCF"/>
    <w:rPr>
      <w:i w:val="0"/>
      <w:szCs w:val="24"/>
    </w:rPr>
  </w:style>
  <w:style w:type="paragraph" w:customStyle="1" w:styleId="StyleRequirementAuto1">
    <w:name w:val="Style Requirement + Auto1"/>
    <w:basedOn w:val="Normal"/>
    <w:autoRedefine/>
    <w:rsid w:val="000F1FCF"/>
    <w:rPr>
      <w:bCs/>
    </w:rPr>
  </w:style>
  <w:style w:type="paragraph" w:customStyle="1" w:styleId="StyleNumber0205Bold">
    <w:name w:val="Style Number0205 + Bold"/>
    <w:basedOn w:val="Number0205"/>
    <w:rsid w:val="000F1FCF"/>
    <w:pPr>
      <w:tabs>
        <w:tab w:val="left" w:pos="720"/>
      </w:tabs>
      <w:ind w:left="720"/>
    </w:pPr>
    <w:rPr>
      <w:b/>
      <w:bCs/>
    </w:rPr>
  </w:style>
  <w:style w:type="character" w:customStyle="1" w:styleId="StyleNumber0205BoldChar">
    <w:name w:val="Style Number0205 + Bold Char"/>
    <w:rsid w:val="000F1FCF"/>
    <w:rPr>
      <w:b/>
      <w:bCs/>
      <w:sz w:val="24"/>
      <w:lang w:val="en-US" w:eastAsia="en-US" w:bidi="ar-SA"/>
    </w:rPr>
  </w:style>
  <w:style w:type="paragraph" w:customStyle="1" w:styleId="StyleAfter6pt">
    <w:name w:val="Style After:  6 pt"/>
    <w:basedOn w:val="Normal"/>
    <w:autoRedefine/>
    <w:rsid w:val="000F1FCF"/>
  </w:style>
  <w:style w:type="paragraph" w:customStyle="1" w:styleId="StylenoteBoxSinglesolidlineAuto1ptLinewidth">
    <w:name w:val="Style note + Box: (Single solid line Auto  1 pt Line width)"/>
    <w:basedOn w:val="note"/>
    <w:autoRedefine/>
    <w:rsid w:val="000F1FCF"/>
    <w:pPr>
      <w:pBdr>
        <w:top w:val="single" w:sz="8" w:space="1" w:color="auto"/>
        <w:left w:val="single" w:sz="8" w:space="0" w:color="auto"/>
        <w:bottom w:val="single" w:sz="8" w:space="1" w:color="auto"/>
        <w:right w:val="single" w:sz="8" w:space="4" w:color="auto"/>
      </w:pBdr>
      <w:shd w:val="clear" w:color="auto" w:fill="CCCCCC"/>
      <w:spacing w:before="240"/>
      <w:ind w:left="720"/>
    </w:pPr>
    <w:rPr>
      <w:bCs/>
    </w:rPr>
  </w:style>
  <w:style w:type="character" w:customStyle="1" w:styleId="Heading2Char">
    <w:name w:val="Heading 2 Char"/>
    <w:uiPriority w:val="9"/>
    <w:rsid w:val="000F1FCF"/>
    <w:rPr>
      <w:rFonts w:ascii="Arial" w:hAnsi="Arial"/>
      <w:b/>
      <w:caps/>
      <w:sz w:val="24"/>
      <w:lang w:val="en-US" w:eastAsia="en-US" w:bidi="ar-SA"/>
    </w:rPr>
  </w:style>
  <w:style w:type="paragraph" w:customStyle="1" w:styleId="sansserif1">
    <w:name w:val="sansserif1"/>
    <w:basedOn w:val="Normal"/>
    <w:rsid w:val="000F1FCF"/>
    <w:pPr>
      <w:spacing w:before="100" w:beforeAutospacing="1" w:after="100" w:afterAutospacing="1" w:line="240" w:lineRule="auto"/>
    </w:pPr>
    <w:rPr>
      <w:szCs w:val="24"/>
    </w:rPr>
  </w:style>
  <w:style w:type="paragraph" w:customStyle="1" w:styleId="bullet11">
    <w:name w:val="bullet11"/>
    <w:basedOn w:val="Normal"/>
    <w:rsid w:val="000F1FCF"/>
    <w:pPr>
      <w:spacing w:before="100" w:beforeAutospacing="1" w:after="100" w:afterAutospacing="1" w:line="240" w:lineRule="auto"/>
    </w:pPr>
    <w:rPr>
      <w:szCs w:val="24"/>
    </w:rPr>
  </w:style>
  <w:style w:type="paragraph" w:styleId="TOC3">
    <w:name w:val="toc 3"/>
    <w:basedOn w:val="Normal"/>
    <w:next w:val="Normal"/>
    <w:uiPriority w:val="39"/>
    <w:rsid w:val="00F131AC"/>
    <w:pPr>
      <w:tabs>
        <w:tab w:val="left" w:pos="1080"/>
        <w:tab w:val="right" w:leader="dot" w:pos="9360"/>
      </w:tabs>
      <w:spacing w:after="0"/>
      <w:ind w:left="245"/>
    </w:pPr>
    <w:rPr>
      <w:noProof/>
      <w:sz w:val="20"/>
    </w:rPr>
  </w:style>
  <w:style w:type="paragraph" w:styleId="TOC2">
    <w:name w:val="toc 2"/>
    <w:basedOn w:val="Normal"/>
    <w:next w:val="Normal"/>
    <w:uiPriority w:val="39"/>
    <w:rsid w:val="00282985"/>
    <w:pPr>
      <w:tabs>
        <w:tab w:val="left" w:pos="720"/>
        <w:tab w:val="right" w:leader="dot" w:pos="9360"/>
      </w:tabs>
      <w:spacing w:after="0"/>
      <w:ind w:left="720" w:right="547" w:hanging="720"/>
    </w:pPr>
    <w:rPr>
      <w:smallCaps/>
      <w:noProof/>
    </w:rPr>
  </w:style>
  <w:style w:type="paragraph" w:styleId="TOC4">
    <w:name w:val="toc 4"/>
    <w:basedOn w:val="Normal"/>
    <w:next w:val="Normal"/>
    <w:uiPriority w:val="39"/>
    <w:rsid w:val="000F1FCF"/>
    <w:pPr>
      <w:tabs>
        <w:tab w:val="right" w:leader="dot" w:pos="9360"/>
      </w:tabs>
      <w:spacing w:after="0"/>
      <w:ind w:left="475"/>
    </w:pPr>
    <w:rPr>
      <w:sz w:val="20"/>
    </w:rPr>
  </w:style>
  <w:style w:type="paragraph" w:styleId="TOC5">
    <w:name w:val="toc 5"/>
    <w:basedOn w:val="Normal"/>
    <w:next w:val="Normal"/>
    <w:uiPriority w:val="39"/>
    <w:rsid w:val="000F1FCF"/>
    <w:pPr>
      <w:tabs>
        <w:tab w:val="right" w:leader="dot" w:pos="9360"/>
      </w:tabs>
      <w:spacing w:after="0"/>
      <w:ind w:left="720"/>
    </w:pPr>
    <w:rPr>
      <w:sz w:val="20"/>
    </w:rPr>
  </w:style>
  <w:style w:type="paragraph" w:styleId="BalloonText">
    <w:name w:val="Balloon Text"/>
    <w:basedOn w:val="Normal"/>
    <w:link w:val="BalloonTextChar"/>
    <w:uiPriority w:val="99"/>
    <w:semiHidden/>
    <w:rsid w:val="000F1FCF"/>
    <w:rPr>
      <w:rFonts w:ascii="Tahoma" w:hAnsi="Tahoma" w:cs="Tahoma"/>
      <w:sz w:val="16"/>
      <w:szCs w:val="16"/>
    </w:rPr>
  </w:style>
  <w:style w:type="character" w:customStyle="1" w:styleId="bodystyle1">
    <w:name w:val="bodystyle1"/>
    <w:rsid w:val="000F1FCF"/>
    <w:rPr>
      <w:rFonts w:ascii="Verdana" w:hAnsi="Verdana" w:hint="default"/>
      <w:sz w:val="18"/>
      <w:szCs w:val="18"/>
    </w:rPr>
  </w:style>
  <w:style w:type="paragraph" w:customStyle="1" w:styleId="1paragraph">
    <w:name w:val="1. paragraph"/>
    <w:autoRedefine/>
    <w:rsid w:val="000F1FCF"/>
    <w:pPr>
      <w:spacing w:before="240"/>
    </w:pPr>
    <w:rPr>
      <w:sz w:val="24"/>
    </w:rPr>
  </w:style>
  <w:style w:type="paragraph" w:customStyle="1" w:styleId="StyleTableTextArial9pt">
    <w:name w:val="Style Table Text Arial 9pt"/>
    <w:aliases w:val="1pt b 1pt a"/>
    <w:basedOn w:val="Normal"/>
    <w:rsid w:val="000F1FCF"/>
    <w:pPr>
      <w:keepNext/>
      <w:spacing w:before="20" w:after="20" w:line="240" w:lineRule="auto"/>
    </w:pPr>
    <w:rPr>
      <w:rFonts w:ascii="Arial" w:hAnsi="Arial"/>
      <w:color w:val="000000"/>
      <w:sz w:val="18"/>
    </w:rPr>
  </w:style>
  <w:style w:type="paragraph" w:styleId="FootnoteText">
    <w:name w:val="footnote text"/>
    <w:basedOn w:val="Normal"/>
    <w:link w:val="FootnoteTextChar"/>
    <w:rsid w:val="000F1FCF"/>
    <w:pPr>
      <w:keepNext/>
      <w:spacing w:before="240" w:after="0" w:line="240" w:lineRule="auto"/>
    </w:pPr>
    <w:rPr>
      <w:color w:val="000000"/>
      <w:sz w:val="20"/>
      <w:szCs w:val="24"/>
    </w:rPr>
  </w:style>
  <w:style w:type="character" w:styleId="FootnoteReference">
    <w:name w:val="footnote reference"/>
    <w:rsid w:val="000F1FCF"/>
    <w:rPr>
      <w:position w:val="6"/>
      <w:sz w:val="16"/>
    </w:rPr>
  </w:style>
  <w:style w:type="paragraph" w:customStyle="1" w:styleId="StyleaparagraphAfter12pt">
    <w:name w:val="Style a. paragraph + After:  12 pt"/>
    <w:basedOn w:val="Normal"/>
    <w:rsid w:val="000F1FCF"/>
    <w:pPr>
      <w:keepNext/>
      <w:tabs>
        <w:tab w:val="left" w:pos="1080"/>
        <w:tab w:val="left" w:pos="1656"/>
        <w:tab w:val="num" w:pos="1800"/>
      </w:tabs>
      <w:spacing w:before="120" w:after="0" w:line="240" w:lineRule="auto"/>
      <w:ind w:left="1080" w:hanging="360"/>
    </w:pPr>
  </w:style>
  <w:style w:type="character" w:customStyle="1" w:styleId="Style">
    <w:name w:val="Style"/>
    <w:rsid w:val="000F1FCF"/>
    <w:rPr>
      <w:position w:val="6"/>
      <w:sz w:val="20"/>
      <w:szCs w:val="20"/>
    </w:rPr>
  </w:style>
  <w:style w:type="character" w:styleId="CommentReference">
    <w:name w:val="annotation reference"/>
    <w:uiPriority w:val="99"/>
    <w:rsid w:val="000F1FCF"/>
    <w:rPr>
      <w:sz w:val="16"/>
      <w:szCs w:val="16"/>
    </w:rPr>
  </w:style>
  <w:style w:type="paragraph" w:customStyle="1" w:styleId="Normal1">
    <w:name w:val="Normal1"/>
    <w:basedOn w:val="Normal"/>
    <w:link w:val="normalChar"/>
    <w:rsid w:val="000F1FCF"/>
    <w:pPr>
      <w:spacing w:before="100" w:beforeAutospacing="1" w:after="100" w:afterAutospacing="1" w:line="240" w:lineRule="auto"/>
    </w:pPr>
    <w:rPr>
      <w:szCs w:val="24"/>
    </w:rPr>
  </w:style>
  <w:style w:type="character" w:customStyle="1" w:styleId="normalChar">
    <w:name w:val="normal Char"/>
    <w:link w:val="Normal1"/>
    <w:rsid w:val="00F77D60"/>
    <w:rPr>
      <w:sz w:val="24"/>
      <w:szCs w:val="24"/>
      <w:lang w:val="en-US" w:eastAsia="en-US" w:bidi="ar-SA"/>
    </w:rPr>
  </w:style>
  <w:style w:type="paragraph" w:styleId="CommentText">
    <w:name w:val="annotation text"/>
    <w:basedOn w:val="Normal"/>
    <w:link w:val="CommentTextChar"/>
    <w:uiPriority w:val="99"/>
    <w:rsid w:val="000F1FCF"/>
    <w:rPr>
      <w:sz w:val="20"/>
    </w:rPr>
  </w:style>
  <w:style w:type="paragraph" w:styleId="TableofFigures">
    <w:name w:val="table of figures"/>
    <w:basedOn w:val="Normal"/>
    <w:next w:val="Normal"/>
    <w:rsid w:val="000F1FCF"/>
  </w:style>
  <w:style w:type="paragraph" w:styleId="TOC6">
    <w:name w:val="toc 6"/>
    <w:basedOn w:val="Normal"/>
    <w:next w:val="Normal"/>
    <w:autoRedefine/>
    <w:uiPriority w:val="39"/>
    <w:rsid w:val="003914E3"/>
    <w:pPr>
      <w:tabs>
        <w:tab w:val="right" w:leader="dot" w:pos="9360"/>
      </w:tabs>
      <w:spacing w:after="0"/>
      <w:ind w:left="965"/>
    </w:pPr>
    <w:rPr>
      <w:sz w:val="20"/>
    </w:rPr>
  </w:style>
  <w:style w:type="paragraph" w:styleId="TOC7">
    <w:name w:val="toc 7"/>
    <w:basedOn w:val="Normal"/>
    <w:next w:val="Normal"/>
    <w:autoRedefine/>
    <w:uiPriority w:val="39"/>
    <w:rsid w:val="003914E3"/>
    <w:pPr>
      <w:tabs>
        <w:tab w:val="right" w:leader="dot" w:pos="9360"/>
      </w:tabs>
      <w:spacing w:after="0"/>
      <w:ind w:left="1224"/>
    </w:pPr>
    <w:rPr>
      <w:sz w:val="20"/>
    </w:rPr>
  </w:style>
  <w:style w:type="paragraph" w:styleId="TOC8">
    <w:name w:val="toc 8"/>
    <w:basedOn w:val="Normal"/>
    <w:next w:val="Normal"/>
    <w:autoRedefine/>
    <w:uiPriority w:val="39"/>
    <w:rsid w:val="000F1FCF"/>
    <w:pPr>
      <w:ind w:left="1680"/>
    </w:pPr>
  </w:style>
  <w:style w:type="paragraph" w:styleId="TOC9">
    <w:name w:val="toc 9"/>
    <w:basedOn w:val="Normal"/>
    <w:next w:val="Normal"/>
    <w:autoRedefine/>
    <w:uiPriority w:val="39"/>
    <w:rsid w:val="000F1FCF"/>
    <w:pPr>
      <w:ind w:left="1920"/>
    </w:pPr>
  </w:style>
  <w:style w:type="paragraph" w:customStyle="1" w:styleId="Acronym">
    <w:name w:val="Acronym"/>
    <w:basedOn w:val="Normal"/>
    <w:rsid w:val="000F1FCF"/>
    <w:pPr>
      <w:spacing w:before="120" w:after="0" w:line="240" w:lineRule="auto"/>
      <w:ind w:left="2880" w:hanging="2880"/>
    </w:pPr>
  </w:style>
  <w:style w:type="table" w:styleId="TableGrid">
    <w:name w:val="Table Grid"/>
    <w:basedOn w:val="TableNormal"/>
    <w:uiPriority w:val="39"/>
    <w:rsid w:val="00B53E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02050">
    <w:name w:val="number0205"/>
    <w:basedOn w:val="Normal"/>
    <w:link w:val="number0205Char0"/>
    <w:rsid w:val="00DE112C"/>
    <w:pPr>
      <w:ind w:left="1080" w:hanging="360"/>
    </w:pPr>
    <w:rPr>
      <w:szCs w:val="24"/>
    </w:rPr>
  </w:style>
  <w:style w:type="character" w:customStyle="1" w:styleId="number0205Char0">
    <w:name w:val="number0205 Char"/>
    <w:link w:val="number02050"/>
    <w:rsid w:val="002B53EA"/>
    <w:rPr>
      <w:sz w:val="24"/>
      <w:szCs w:val="24"/>
      <w:lang w:val="en-US" w:eastAsia="en-US" w:bidi="ar-SA"/>
    </w:rPr>
  </w:style>
  <w:style w:type="paragraph" w:customStyle="1" w:styleId="number020500">
    <w:name w:val="number02050"/>
    <w:basedOn w:val="Normal"/>
    <w:rsid w:val="001D02B2"/>
    <w:pPr>
      <w:ind w:left="1080" w:hanging="360"/>
    </w:pPr>
    <w:rPr>
      <w:szCs w:val="24"/>
    </w:rPr>
  </w:style>
  <w:style w:type="character" w:customStyle="1" w:styleId="RED">
    <w:name w:val="RED"/>
    <w:rsid w:val="00720F3D"/>
    <w:rPr>
      <w:color w:val="FF0000"/>
    </w:rPr>
  </w:style>
  <w:style w:type="paragraph" w:customStyle="1" w:styleId="aparagraph">
    <w:name w:val="a. paragraph"/>
    <w:basedOn w:val="1paragraph"/>
    <w:rsid w:val="00B87F88"/>
    <w:pPr>
      <w:tabs>
        <w:tab w:val="num" w:pos="1656"/>
      </w:tabs>
      <w:spacing w:before="0" w:after="240"/>
      <w:ind w:left="1656" w:hanging="360"/>
    </w:pPr>
  </w:style>
  <w:style w:type="paragraph" w:customStyle="1" w:styleId="1para">
    <w:name w:val="1) para"/>
    <w:basedOn w:val="Normal"/>
    <w:rsid w:val="00B87F88"/>
    <w:pPr>
      <w:tabs>
        <w:tab w:val="num" w:pos="2016"/>
      </w:tabs>
      <w:spacing w:after="240" w:line="240" w:lineRule="auto"/>
      <w:ind w:left="2016" w:hanging="360"/>
    </w:pPr>
  </w:style>
  <w:style w:type="paragraph" w:customStyle="1" w:styleId="dbdd2">
    <w:name w:val="dbdd_2"/>
    <w:basedOn w:val="Normal"/>
    <w:rsid w:val="00332A51"/>
    <w:pPr>
      <w:tabs>
        <w:tab w:val="left" w:pos="360"/>
        <w:tab w:val="left" w:pos="720"/>
        <w:tab w:val="left" w:pos="2880"/>
        <w:tab w:val="left" w:pos="3780"/>
      </w:tabs>
      <w:spacing w:after="0" w:line="240" w:lineRule="auto"/>
      <w:ind w:left="2880" w:hanging="2880"/>
    </w:pPr>
    <w:rPr>
      <w:rFonts w:ascii="Arial" w:hAnsi="Arial"/>
      <w:sz w:val="16"/>
    </w:rPr>
  </w:style>
  <w:style w:type="character" w:customStyle="1" w:styleId="Hyperlink1">
    <w:name w:val="Hyperlink1"/>
    <w:basedOn w:val="DefaultParagraphFont"/>
    <w:rsid w:val="003C2316"/>
  </w:style>
  <w:style w:type="paragraph" w:customStyle="1" w:styleId="StyleHeading7Left0Firstline0">
    <w:name w:val="Style Heading 7 + Left:  0&quot; First line:  0&quot;"/>
    <w:basedOn w:val="Normal"/>
    <w:autoRedefine/>
    <w:rsid w:val="00E3530C"/>
    <w:rPr>
      <w:b/>
      <w:bCs/>
    </w:rPr>
  </w:style>
  <w:style w:type="paragraph" w:customStyle="1" w:styleId="NormalBold">
    <w:name w:val="Normal + Bold"/>
    <w:aliases w:val="Centered,After:  0 pt,Box: (Single solid line,Auto,0.5 pt..."/>
    <w:basedOn w:val="Heading4"/>
    <w:rsid w:val="003D18B7"/>
    <w:pPr>
      <w:keepNext w:val="0"/>
    </w:pPr>
  </w:style>
  <w:style w:type="character" w:customStyle="1" w:styleId="bodycopy">
    <w:name w:val="bodycopy"/>
    <w:basedOn w:val="DefaultParagraphFont"/>
    <w:rsid w:val="00761433"/>
  </w:style>
  <w:style w:type="character" w:customStyle="1" w:styleId="mainparaChar2">
    <w:name w:val="main.para Char2"/>
    <w:rsid w:val="002E5A35"/>
    <w:rPr>
      <w:rFonts w:cs="Arial"/>
      <w:iCs/>
      <w:sz w:val="24"/>
      <w:szCs w:val="24"/>
    </w:rPr>
  </w:style>
  <w:style w:type="paragraph" w:customStyle="1" w:styleId="highlight">
    <w:name w:val="highlight"/>
    <w:basedOn w:val="Normal"/>
    <w:next w:val="Normal"/>
    <w:rsid w:val="000A607E"/>
    <w:pPr>
      <w:keepNext/>
      <w:pBdr>
        <w:top w:val="single" w:sz="24" w:space="2" w:color="C0C0C0"/>
      </w:pBdr>
      <w:spacing w:after="0" w:line="240" w:lineRule="auto"/>
      <w:ind w:right="2700"/>
    </w:pPr>
    <w:rPr>
      <w:sz w:val="8"/>
    </w:rPr>
  </w:style>
  <w:style w:type="paragraph" w:customStyle="1" w:styleId="tblheading">
    <w:name w:val="tbl.heading"/>
    <w:basedOn w:val="Normal"/>
    <w:rsid w:val="000A607E"/>
    <w:pPr>
      <w:keepNext/>
      <w:spacing w:before="80" w:after="40" w:line="240" w:lineRule="auto"/>
    </w:pPr>
    <w:rPr>
      <w:rFonts w:ascii="Arial" w:hAnsi="Arial"/>
      <w:b/>
      <w:sz w:val="18"/>
    </w:rPr>
  </w:style>
  <w:style w:type="paragraph" w:customStyle="1" w:styleId="tblrow">
    <w:name w:val="tbl.row"/>
    <w:basedOn w:val="tblheading"/>
    <w:rsid w:val="000A607E"/>
    <w:pPr>
      <w:keepNext w:val="0"/>
      <w:spacing w:before="60" w:after="20"/>
    </w:pPr>
    <w:rPr>
      <w:b w:val="0"/>
    </w:rPr>
  </w:style>
  <w:style w:type="character" w:customStyle="1" w:styleId="Heading1Char1">
    <w:name w:val="Heading 1 Char1"/>
    <w:link w:val="Heading1"/>
    <w:rsid w:val="003604C5"/>
    <w:rPr>
      <w:rFonts w:ascii="Arial" w:hAnsi="Arial"/>
      <w:b/>
      <w:caps/>
      <w:kern w:val="28"/>
      <w:sz w:val="24"/>
    </w:rPr>
  </w:style>
  <w:style w:type="paragraph" w:styleId="DocumentMap">
    <w:name w:val="Document Map"/>
    <w:basedOn w:val="Normal"/>
    <w:link w:val="DocumentMapChar"/>
    <w:semiHidden/>
    <w:rsid w:val="00A97C4C"/>
    <w:pPr>
      <w:shd w:val="clear" w:color="auto" w:fill="000080"/>
    </w:pPr>
    <w:rPr>
      <w:rFonts w:ascii="Tahoma" w:hAnsi="Tahoma" w:cs="Tahoma"/>
      <w:sz w:val="20"/>
    </w:rPr>
  </w:style>
  <w:style w:type="paragraph" w:customStyle="1" w:styleId="number02051">
    <w:name w:val="number02051"/>
    <w:basedOn w:val="Normal"/>
    <w:rsid w:val="00192B75"/>
    <w:pPr>
      <w:ind w:left="1080" w:hanging="360"/>
    </w:pPr>
    <w:rPr>
      <w:szCs w:val="24"/>
    </w:rPr>
  </w:style>
  <w:style w:type="paragraph" w:styleId="ListParagraph">
    <w:name w:val="List Paragraph"/>
    <w:basedOn w:val="Normal"/>
    <w:uiPriority w:val="34"/>
    <w:qFormat/>
    <w:rsid w:val="005207EC"/>
    <w:pPr>
      <w:spacing w:after="0" w:line="240" w:lineRule="auto"/>
      <w:ind w:left="720"/>
    </w:pPr>
    <w:rPr>
      <w:rFonts w:ascii="Calibri" w:eastAsia="Calibri" w:hAnsi="Calibri"/>
      <w:sz w:val="22"/>
      <w:szCs w:val="22"/>
    </w:rPr>
  </w:style>
  <w:style w:type="character" w:customStyle="1" w:styleId="mainparaChar">
    <w:name w:val="main para Char"/>
    <w:link w:val="mainpara0"/>
    <w:locked/>
    <w:rsid w:val="00626E0C"/>
    <w:rPr>
      <w:sz w:val="24"/>
      <w:lang w:bidi="he-IL"/>
    </w:rPr>
  </w:style>
  <w:style w:type="paragraph" w:customStyle="1" w:styleId="10paraauto">
    <w:name w:val="10. para auto#"/>
    <w:basedOn w:val="Normal"/>
    <w:rsid w:val="00B70C98"/>
    <w:pPr>
      <w:spacing w:after="240" w:line="240" w:lineRule="auto"/>
      <w:ind w:left="1296" w:hanging="504"/>
    </w:pPr>
  </w:style>
  <w:style w:type="character" w:customStyle="1" w:styleId="FootnoteTextChar">
    <w:name w:val="Footnote Text Char"/>
    <w:link w:val="FootnoteText"/>
    <w:rsid w:val="00B70C98"/>
    <w:rPr>
      <w:color w:val="000000"/>
      <w:szCs w:val="24"/>
    </w:rPr>
  </w:style>
  <w:style w:type="paragraph" w:styleId="CommentSubject">
    <w:name w:val="annotation subject"/>
    <w:basedOn w:val="CommentText"/>
    <w:next w:val="CommentText"/>
    <w:link w:val="CommentSubjectChar"/>
    <w:uiPriority w:val="99"/>
    <w:rsid w:val="004F27AA"/>
    <w:rPr>
      <w:b/>
      <w:bCs/>
    </w:rPr>
  </w:style>
  <w:style w:type="character" w:customStyle="1" w:styleId="CommentTextChar">
    <w:name w:val="Comment Text Char"/>
    <w:basedOn w:val="DefaultParagraphFont"/>
    <w:link w:val="CommentText"/>
    <w:uiPriority w:val="99"/>
    <w:rsid w:val="004F27AA"/>
  </w:style>
  <w:style w:type="character" w:customStyle="1" w:styleId="CommentSubjectChar">
    <w:name w:val="Comment Subject Char"/>
    <w:basedOn w:val="CommentTextChar"/>
    <w:link w:val="CommentSubject"/>
    <w:uiPriority w:val="99"/>
    <w:rsid w:val="004F27AA"/>
  </w:style>
  <w:style w:type="character" w:customStyle="1" w:styleId="BodyTextIndent2Char">
    <w:name w:val="Body Text Indent 2 Char"/>
    <w:link w:val="BodyTextIndent2"/>
    <w:rsid w:val="008F75D6"/>
    <w:rPr>
      <w:sz w:val="24"/>
    </w:rPr>
  </w:style>
  <w:style w:type="character" w:customStyle="1" w:styleId="Heading9Char">
    <w:name w:val="Heading 9 Char"/>
    <w:basedOn w:val="DefaultParagraphFont"/>
    <w:link w:val="Heading9"/>
    <w:locked/>
    <w:rsid w:val="008C04D2"/>
    <w:rPr>
      <w:rFonts w:ascii="Arial" w:hAnsi="Arial"/>
      <w:vanish/>
      <w:sz w:val="18"/>
      <w:szCs w:val="18"/>
    </w:rPr>
  </w:style>
  <w:style w:type="character" w:customStyle="1" w:styleId="HeaderChar">
    <w:name w:val="Header Char"/>
    <w:aliases w:val="Odd Header Char,oh Char,h Char"/>
    <w:basedOn w:val="DefaultParagraphFont"/>
    <w:link w:val="Header"/>
    <w:uiPriority w:val="99"/>
    <w:locked/>
    <w:rsid w:val="00256CCA"/>
    <w:rPr>
      <w:rFonts w:ascii="Arial" w:hAnsi="Arial"/>
      <w:sz w:val="22"/>
    </w:rPr>
  </w:style>
  <w:style w:type="character" w:customStyle="1" w:styleId="FooterChar">
    <w:name w:val="Footer Char"/>
    <w:basedOn w:val="DefaultParagraphFont"/>
    <w:link w:val="Footer"/>
    <w:uiPriority w:val="99"/>
    <w:locked/>
    <w:rsid w:val="00256CCA"/>
    <w:rPr>
      <w:rFonts w:ascii="Helvetica" w:hAnsi="Helvetica"/>
      <w:sz w:val="22"/>
    </w:rPr>
  </w:style>
  <w:style w:type="character" w:styleId="Emphasis">
    <w:name w:val="Emphasis"/>
    <w:basedOn w:val="DefaultParagraphFont"/>
    <w:qFormat/>
    <w:rsid w:val="00256CCA"/>
    <w:rPr>
      <w:rFonts w:cs="Times New Roman"/>
      <w:b/>
      <w:i/>
      <w:iCs/>
    </w:rPr>
  </w:style>
  <w:style w:type="paragraph" w:customStyle="1" w:styleId="Appendix">
    <w:name w:val="Appendix"/>
    <w:basedOn w:val="Heading1"/>
    <w:next w:val="Normal"/>
    <w:qFormat/>
    <w:rsid w:val="004C22EE"/>
    <w:pPr>
      <w:numPr>
        <w:numId w:val="0"/>
      </w:numPr>
      <w:tabs>
        <w:tab w:val="num" w:pos="720"/>
      </w:tabs>
      <w:spacing w:before="360" w:after="240"/>
      <w:ind w:hanging="720"/>
      <w:jc w:val="center"/>
    </w:pPr>
    <w:rPr>
      <w:caps w:val="0"/>
      <w:szCs w:val="24"/>
    </w:rPr>
  </w:style>
  <w:style w:type="paragraph" w:styleId="Revision">
    <w:name w:val="Revision"/>
    <w:hidden/>
    <w:uiPriority w:val="99"/>
    <w:semiHidden/>
    <w:rsid w:val="00D3135A"/>
    <w:rPr>
      <w:sz w:val="24"/>
    </w:rPr>
  </w:style>
  <w:style w:type="paragraph" w:customStyle="1" w:styleId="para">
    <w:name w:val="para"/>
    <w:basedOn w:val="Normal"/>
    <w:rsid w:val="00A74555"/>
    <w:pPr>
      <w:spacing w:before="100" w:beforeAutospacing="1" w:after="100" w:afterAutospacing="1" w:line="240" w:lineRule="auto"/>
    </w:pPr>
    <w:rPr>
      <w:szCs w:val="24"/>
    </w:rPr>
  </w:style>
  <w:style w:type="character" w:customStyle="1" w:styleId="Heading8Char">
    <w:name w:val="Heading 8 Char"/>
    <w:link w:val="Heading8"/>
    <w:rsid w:val="00092EA7"/>
    <w:rPr>
      <w:i/>
      <w:iCs/>
      <w:sz w:val="24"/>
      <w:szCs w:val="24"/>
    </w:rPr>
  </w:style>
  <w:style w:type="character" w:customStyle="1" w:styleId="BodyText2Char">
    <w:name w:val="Body Text 2 Char"/>
    <w:link w:val="BodyText2"/>
    <w:rsid w:val="00092EA7"/>
    <w:rPr>
      <w:sz w:val="24"/>
    </w:rPr>
  </w:style>
  <w:style w:type="character" w:customStyle="1" w:styleId="BodyTextIndentChar">
    <w:name w:val="Body Text Indent Char"/>
    <w:link w:val="BodyTextIndent"/>
    <w:rsid w:val="00092EA7"/>
    <w:rPr>
      <w:i/>
      <w:snapToGrid w:val="0"/>
      <w:sz w:val="24"/>
    </w:rPr>
  </w:style>
  <w:style w:type="character" w:customStyle="1" w:styleId="BodyTextIndent3Char">
    <w:name w:val="Body Text Indent 3 Char"/>
    <w:link w:val="BodyTextIndent3"/>
    <w:rsid w:val="00092EA7"/>
    <w:rPr>
      <w:rFonts w:ascii="Courier New" w:hAnsi="Courier New"/>
      <w:snapToGrid w:val="0"/>
      <w:sz w:val="24"/>
    </w:rPr>
  </w:style>
  <w:style w:type="character" w:customStyle="1" w:styleId="PlainTextChar">
    <w:name w:val="Plain Text Char"/>
    <w:link w:val="PlainText"/>
    <w:rsid w:val="00092EA7"/>
    <w:rPr>
      <w:rFonts w:ascii="Courier New" w:hAnsi="Courier New"/>
      <w:sz w:val="24"/>
    </w:rPr>
  </w:style>
  <w:style w:type="character" w:customStyle="1" w:styleId="BodyText3Char">
    <w:name w:val="Body Text 3 Char"/>
    <w:link w:val="BodyText3"/>
    <w:rsid w:val="00092EA7"/>
    <w:rPr>
      <w:color w:val="FF0000"/>
      <w:sz w:val="24"/>
    </w:rPr>
  </w:style>
  <w:style w:type="character" w:customStyle="1" w:styleId="BodyTextFirstIndentChar">
    <w:name w:val="Body Text First Indent Char"/>
    <w:basedOn w:val="BodyTextChar"/>
    <w:link w:val="BodyTextFirstIndent"/>
    <w:rsid w:val="00092EA7"/>
    <w:rPr>
      <w:sz w:val="24"/>
      <w:lang w:val="en-US" w:eastAsia="en-US" w:bidi="ar-SA"/>
    </w:rPr>
  </w:style>
  <w:style w:type="character" w:customStyle="1" w:styleId="BodyTextFirstIndent2Char">
    <w:name w:val="Body Text First Indent 2 Char"/>
    <w:link w:val="BodyTextFirstIndent2"/>
    <w:rsid w:val="00092EA7"/>
    <w:rPr>
      <w:sz w:val="24"/>
    </w:rPr>
  </w:style>
  <w:style w:type="character" w:customStyle="1" w:styleId="ClosingChar">
    <w:name w:val="Closing Char"/>
    <w:link w:val="Closing"/>
    <w:rsid w:val="00092EA7"/>
    <w:rPr>
      <w:sz w:val="24"/>
    </w:rPr>
  </w:style>
  <w:style w:type="character" w:customStyle="1" w:styleId="DateChar">
    <w:name w:val="Date Char"/>
    <w:link w:val="Date"/>
    <w:rsid w:val="00092EA7"/>
    <w:rPr>
      <w:sz w:val="24"/>
    </w:rPr>
  </w:style>
  <w:style w:type="character" w:customStyle="1" w:styleId="E-mailSignatureChar">
    <w:name w:val="E-mail Signature Char"/>
    <w:link w:val="E-mailSignature"/>
    <w:rsid w:val="00092EA7"/>
    <w:rPr>
      <w:sz w:val="24"/>
    </w:rPr>
  </w:style>
  <w:style w:type="character" w:customStyle="1" w:styleId="HTMLAddressChar">
    <w:name w:val="HTML Address Char"/>
    <w:link w:val="HTMLAddress"/>
    <w:rsid w:val="00092EA7"/>
    <w:rPr>
      <w:i/>
      <w:iCs/>
      <w:sz w:val="24"/>
    </w:rPr>
  </w:style>
  <w:style w:type="character" w:customStyle="1" w:styleId="HTMLPreformattedChar">
    <w:name w:val="HTML Preformatted Char"/>
    <w:link w:val="HTMLPreformatted"/>
    <w:rsid w:val="00092EA7"/>
    <w:rPr>
      <w:rFonts w:ascii="Courier New" w:hAnsi="Courier New"/>
    </w:rPr>
  </w:style>
  <w:style w:type="character" w:customStyle="1" w:styleId="MessageHeaderChar">
    <w:name w:val="Message Header Char"/>
    <w:link w:val="MessageHeader"/>
    <w:rsid w:val="00092EA7"/>
    <w:rPr>
      <w:rFonts w:ascii="Arial" w:hAnsi="Arial"/>
      <w:sz w:val="24"/>
      <w:szCs w:val="24"/>
      <w:shd w:val="pct20" w:color="auto" w:fill="auto"/>
    </w:rPr>
  </w:style>
  <w:style w:type="character" w:customStyle="1" w:styleId="NoteHeadingChar">
    <w:name w:val="Note Heading Char"/>
    <w:link w:val="NoteHeading"/>
    <w:rsid w:val="00092EA7"/>
    <w:rPr>
      <w:sz w:val="24"/>
    </w:rPr>
  </w:style>
  <w:style w:type="character" w:customStyle="1" w:styleId="SalutationChar">
    <w:name w:val="Salutation Char"/>
    <w:link w:val="Salutation"/>
    <w:rsid w:val="00092EA7"/>
    <w:rPr>
      <w:sz w:val="24"/>
    </w:rPr>
  </w:style>
  <w:style w:type="character" w:customStyle="1" w:styleId="SignatureChar">
    <w:name w:val="Signature Char"/>
    <w:link w:val="Signature"/>
    <w:rsid w:val="00092EA7"/>
    <w:rPr>
      <w:sz w:val="24"/>
    </w:rPr>
  </w:style>
  <w:style w:type="character" w:customStyle="1" w:styleId="SubtitleChar">
    <w:name w:val="Subtitle Char"/>
    <w:link w:val="Subtitle"/>
    <w:rsid w:val="00092EA7"/>
    <w:rPr>
      <w:rFonts w:ascii="Arial" w:hAnsi="Arial"/>
      <w:sz w:val="24"/>
      <w:szCs w:val="24"/>
    </w:rPr>
  </w:style>
  <w:style w:type="character" w:customStyle="1" w:styleId="TitleChar">
    <w:name w:val="Title Char"/>
    <w:link w:val="Title"/>
    <w:uiPriority w:val="10"/>
    <w:rsid w:val="00092EA7"/>
    <w:rPr>
      <w:rFonts w:ascii="Arial" w:hAnsi="Arial"/>
      <w:b/>
      <w:bCs/>
      <w:kern w:val="28"/>
      <w:sz w:val="32"/>
      <w:szCs w:val="32"/>
    </w:rPr>
  </w:style>
  <w:style w:type="paragraph" w:customStyle="1" w:styleId="Normal2">
    <w:name w:val="Normal2"/>
    <w:basedOn w:val="Normal"/>
    <w:rsid w:val="001077CA"/>
    <w:pPr>
      <w:spacing w:before="100" w:beforeAutospacing="1" w:after="100" w:afterAutospacing="1" w:line="240" w:lineRule="auto"/>
    </w:pPr>
    <w:rPr>
      <w:szCs w:val="24"/>
    </w:rPr>
  </w:style>
  <w:style w:type="character" w:customStyle="1" w:styleId="Heading6Char">
    <w:name w:val="Heading 6 Char"/>
    <w:basedOn w:val="DefaultParagraphFont"/>
    <w:link w:val="Heading6"/>
    <w:rsid w:val="00306174"/>
    <w:rPr>
      <w:b/>
      <w:bCs/>
      <w:sz w:val="24"/>
      <w:szCs w:val="24"/>
    </w:rPr>
  </w:style>
  <w:style w:type="character" w:customStyle="1" w:styleId="CharChar">
    <w:name w:val="Char Char"/>
    <w:rsid w:val="008168B7"/>
    <w:rPr>
      <w:rFonts w:ascii="Arial" w:hAnsi="Arial"/>
      <w:b/>
      <w:i/>
      <w:sz w:val="24"/>
      <w:lang w:val="en-US" w:eastAsia="en-US" w:bidi="ar-SA"/>
    </w:rPr>
  </w:style>
  <w:style w:type="paragraph" w:customStyle="1" w:styleId="List20">
    <w:name w:val="List2"/>
    <w:basedOn w:val="Normal"/>
    <w:next w:val="Normal"/>
    <w:rsid w:val="008168B7"/>
    <w:pPr>
      <w:spacing w:after="0"/>
      <w:ind w:left="1080" w:hanging="360"/>
    </w:pPr>
  </w:style>
  <w:style w:type="character" w:customStyle="1" w:styleId="Char1">
    <w:name w:val="Char1"/>
    <w:rsid w:val="008168B7"/>
    <w:rPr>
      <w:rFonts w:ascii="Arial" w:hAnsi="Arial"/>
      <w:b/>
      <w:caps/>
      <w:kern w:val="28"/>
      <w:sz w:val="24"/>
      <w:lang w:val="en-US" w:eastAsia="en-US" w:bidi="ar-SA"/>
    </w:rPr>
  </w:style>
  <w:style w:type="character" w:customStyle="1" w:styleId="BalloonTextChar">
    <w:name w:val="Balloon Text Char"/>
    <w:basedOn w:val="DefaultParagraphFont"/>
    <w:link w:val="BalloonText"/>
    <w:uiPriority w:val="99"/>
    <w:semiHidden/>
    <w:rsid w:val="008168B7"/>
    <w:rPr>
      <w:rFonts w:ascii="Tahoma" w:hAnsi="Tahoma" w:cs="Tahoma"/>
      <w:sz w:val="16"/>
      <w:szCs w:val="16"/>
    </w:rPr>
  </w:style>
  <w:style w:type="paragraph" w:customStyle="1" w:styleId="Normal3">
    <w:name w:val="Normal3"/>
    <w:basedOn w:val="Normal"/>
    <w:rsid w:val="008168B7"/>
    <w:pPr>
      <w:spacing w:before="100" w:beforeAutospacing="1" w:after="100" w:afterAutospacing="1" w:line="240" w:lineRule="auto"/>
    </w:pPr>
    <w:rPr>
      <w:szCs w:val="24"/>
    </w:rPr>
  </w:style>
  <w:style w:type="character" w:customStyle="1" w:styleId="Hyperlink2">
    <w:name w:val="Hyperlink2"/>
    <w:basedOn w:val="DefaultParagraphFont"/>
    <w:rsid w:val="008168B7"/>
  </w:style>
  <w:style w:type="paragraph" w:customStyle="1" w:styleId="List30">
    <w:name w:val="List3"/>
    <w:basedOn w:val="Normal"/>
    <w:next w:val="Normal"/>
    <w:rsid w:val="00FE0570"/>
    <w:pPr>
      <w:spacing w:after="0"/>
      <w:ind w:left="1080" w:hanging="360"/>
    </w:pPr>
  </w:style>
  <w:style w:type="paragraph" w:customStyle="1" w:styleId="Normal4">
    <w:name w:val="Normal4"/>
    <w:basedOn w:val="Normal"/>
    <w:rsid w:val="00FE0570"/>
    <w:pPr>
      <w:spacing w:before="100" w:beforeAutospacing="1" w:after="100" w:afterAutospacing="1" w:line="240" w:lineRule="auto"/>
    </w:pPr>
    <w:rPr>
      <w:szCs w:val="24"/>
    </w:rPr>
  </w:style>
  <w:style w:type="paragraph" w:customStyle="1" w:styleId="List40">
    <w:name w:val="List4"/>
    <w:basedOn w:val="Normal"/>
    <w:next w:val="Normal"/>
    <w:rsid w:val="009679E1"/>
    <w:pPr>
      <w:spacing w:after="0"/>
      <w:ind w:left="1080" w:hanging="360"/>
    </w:pPr>
  </w:style>
  <w:style w:type="character" w:customStyle="1" w:styleId="C1HGroupLink">
    <w:name w:val="C1H Group Link"/>
    <w:rsid w:val="005355E5"/>
    <w:rPr>
      <w:rFonts w:cs="Times New Roman"/>
      <w:i/>
      <w:color w:val="808000"/>
      <w:u w:val="single"/>
    </w:rPr>
  </w:style>
  <w:style w:type="paragraph" w:customStyle="1" w:styleId="List50">
    <w:name w:val="List5"/>
    <w:basedOn w:val="Normal"/>
    <w:next w:val="Normal"/>
    <w:rsid w:val="00260DEF"/>
    <w:pPr>
      <w:spacing w:after="0"/>
      <w:ind w:left="1080" w:hanging="360"/>
    </w:pPr>
  </w:style>
  <w:style w:type="character" w:customStyle="1" w:styleId="Heading2Char1">
    <w:name w:val="Heading 2 Char1"/>
    <w:basedOn w:val="DefaultParagraphFont"/>
    <w:rsid w:val="00190E3D"/>
    <w:rPr>
      <w:rFonts w:ascii="Arial" w:eastAsiaTheme="majorEastAsia" w:hAnsi="Arial" w:cstheme="majorBidi"/>
      <w:b/>
      <w:bCs/>
      <w:caps/>
      <w:sz w:val="24"/>
      <w:szCs w:val="26"/>
    </w:rPr>
  </w:style>
  <w:style w:type="character" w:customStyle="1" w:styleId="Heading2Char2">
    <w:name w:val="Heading 2 Char2"/>
    <w:basedOn w:val="DefaultParagraphFont"/>
    <w:rsid w:val="008F2929"/>
    <w:rPr>
      <w:rFonts w:ascii="Arial" w:eastAsiaTheme="majorEastAsia" w:hAnsi="Arial" w:cstheme="majorBidi"/>
      <w:b/>
      <w:bCs/>
      <w:caps/>
      <w:sz w:val="24"/>
      <w:szCs w:val="26"/>
    </w:rPr>
  </w:style>
  <w:style w:type="character" w:customStyle="1" w:styleId="Heading2Char3">
    <w:name w:val="Heading 2 Char3"/>
    <w:basedOn w:val="DefaultParagraphFont"/>
    <w:rsid w:val="002B460E"/>
    <w:rPr>
      <w:rFonts w:ascii="Arial" w:eastAsiaTheme="majorEastAsia" w:hAnsi="Arial" w:cstheme="majorBidi"/>
      <w:b/>
      <w:bCs/>
      <w:caps/>
      <w:sz w:val="24"/>
      <w:szCs w:val="26"/>
    </w:rPr>
  </w:style>
  <w:style w:type="character" w:customStyle="1" w:styleId="Heading7Char1">
    <w:name w:val="Heading 7 Char1"/>
    <w:basedOn w:val="DefaultParagraphFont"/>
    <w:link w:val="Heading7"/>
    <w:uiPriority w:val="99"/>
    <w:rsid w:val="008B6A96"/>
    <w:rPr>
      <w:b/>
      <w:sz w:val="24"/>
      <w:szCs w:val="24"/>
    </w:rPr>
  </w:style>
  <w:style w:type="character" w:customStyle="1" w:styleId="Heading2Char4">
    <w:name w:val="Heading 2 Char4"/>
    <w:basedOn w:val="DefaultParagraphFont"/>
    <w:link w:val="Heading2"/>
    <w:rsid w:val="006966D9"/>
    <w:rPr>
      <w:rFonts w:ascii="Arial" w:hAnsi="Arial"/>
      <w:b/>
      <w:caps/>
      <w:sz w:val="24"/>
    </w:rPr>
  </w:style>
  <w:style w:type="table" w:customStyle="1" w:styleId="StandardTable1">
    <w:name w:val="Standard Table1"/>
    <w:basedOn w:val="TableNormal"/>
    <w:next w:val="TableGrid"/>
    <w:uiPriority w:val="59"/>
    <w:rsid w:val="00BF01D7"/>
    <w:pPr>
      <w:spacing w:before="40" w:after="40"/>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cs="Times New Roman"/>
        <w:b/>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styleId="NoSpacing">
    <w:name w:val="No Spacing"/>
    <w:link w:val="NoSpacingChar"/>
    <w:uiPriority w:val="1"/>
    <w:qFormat/>
    <w:rsid w:val="00CE09E9"/>
    <w:rPr>
      <w:rFonts w:ascii="Calibri" w:eastAsia="Calibri" w:hAnsi="Calibri"/>
      <w:sz w:val="22"/>
      <w:szCs w:val="22"/>
    </w:rPr>
  </w:style>
  <w:style w:type="table" w:customStyle="1" w:styleId="TableGrid1">
    <w:name w:val="Table Grid1"/>
    <w:basedOn w:val="TableNormal"/>
    <w:next w:val="TableGrid"/>
    <w:uiPriority w:val="59"/>
    <w:rsid w:val="007837E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37E1"/>
    <w:pPr>
      <w:widowControl w:val="0"/>
      <w:spacing w:before="240" w:after="200" w:line="240" w:lineRule="auto"/>
      <w:jc w:val="center"/>
    </w:pPr>
    <w:rPr>
      <w:rFonts w:ascii="Cambria" w:eastAsia="Calibri" w:hAnsi="Cambria"/>
      <w:b/>
      <w:bCs/>
      <w:szCs w:val="18"/>
    </w:rPr>
  </w:style>
  <w:style w:type="paragraph" w:customStyle="1" w:styleId="mainpara1">
    <w:name w:val="mainpara"/>
    <w:basedOn w:val="Normal"/>
    <w:rsid w:val="00A413A4"/>
    <w:pPr>
      <w:spacing w:before="100" w:beforeAutospacing="1" w:after="100" w:afterAutospacing="1" w:line="240" w:lineRule="auto"/>
    </w:pPr>
    <w:rPr>
      <w:rFonts w:eastAsia="Calibri"/>
      <w:szCs w:val="24"/>
    </w:rPr>
  </w:style>
  <w:style w:type="paragraph" w:customStyle="1" w:styleId="BodyTextBefore6pt">
    <w:name w:val="Body Text + Before:  6 pt"/>
    <w:basedOn w:val="BodyText"/>
    <w:link w:val="BodyTextBefore6ptChar"/>
    <w:rsid w:val="00A413A4"/>
    <w:pPr>
      <w:spacing w:before="120" w:after="120" w:line="240" w:lineRule="auto"/>
    </w:pPr>
    <w:rPr>
      <w:rFonts w:ascii="Arial" w:hAnsi="Arial"/>
    </w:rPr>
  </w:style>
  <w:style w:type="character" w:customStyle="1" w:styleId="BodyTextBefore6ptChar">
    <w:name w:val="Body Text + Before:  6 pt Char"/>
    <w:link w:val="BodyTextBefore6pt"/>
    <w:rsid w:val="00A413A4"/>
    <w:rPr>
      <w:rFonts w:ascii="Arial" w:hAnsi="Arial"/>
      <w:sz w:val="24"/>
    </w:rPr>
  </w:style>
  <w:style w:type="character" w:customStyle="1" w:styleId="NoSpacingChar">
    <w:name w:val="No Spacing Char"/>
    <w:basedOn w:val="DefaultParagraphFont"/>
    <w:link w:val="NoSpacing"/>
    <w:uiPriority w:val="1"/>
    <w:rsid w:val="00C1621C"/>
    <w:rPr>
      <w:rFonts w:ascii="Calibri" w:eastAsia="Calibri" w:hAnsi="Calibri"/>
      <w:sz w:val="22"/>
      <w:szCs w:val="22"/>
    </w:rPr>
  </w:style>
  <w:style w:type="paragraph" w:styleId="IntenseQuote">
    <w:name w:val="Intense Quote"/>
    <w:basedOn w:val="Normal"/>
    <w:next w:val="Normal"/>
    <w:link w:val="IntenseQuoteChar"/>
    <w:uiPriority w:val="30"/>
    <w:qFormat/>
    <w:rsid w:val="00C1621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1621C"/>
    <w:rPr>
      <w:i/>
      <w:iCs/>
      <w:color w:val="4F81BD" w:themeColor="accent1"/>
      <w:sz w:val="24"/>
    </w:rPr>
  </w:style>
  <w:style w:type="character" w:customStyle="1" w:styleId="DocumentMapChar">
    <w:name w:val="Document Map Char"/>
    <w:basedOn w:val="DefaultParagraphFont"/>
    <w:link w:val="DocumentMap"/>
    <w:semiHidden/>
    <w:rsid w:val="00C1621C"/>
    <w:rPr>
      <w:rFonts w:ascii="Tahoma" w:hAnsi="Tahoma" w:cs="Tahoma"/>
      <w:shd w:val="clear" w:color="auto" w:fill="000080"/>
    </w:rPr>
  </w:style>
  <w:style w:type="character" w:customStyle="1" w:styleId="Para1Char">
    <w:name w:val="Para1 Char"/>
    <w:basedOn w:val="DefaultParagraphFont"/>
    <w:link w:val="Para1"/>
    <w:rsid w:val="001B6B62"/>
    <w:rPr>
      <w:sz w:val="24"/>
    </w:rPr>
  </w:style>
  <w:style w:type="paragraph" w:customStyle="1" w:styleId="Appendix3">
    <w:name w:val="Appendix 3"/>
    <w:basedOn w:val="Heading3"/>
    <w:next w:val="Normal"/>
    <w:qFormat/>
    <w:rsid w:val="00712B05"/>
    <w:pPr>
      <w:numPr>
        <w:ilvl w:val="0"/>
        <w:numId w:val="0"/>
      </w:numPr>
      <w:tabs>
        <w:tab w:val="num" w:pos="2160"/>
      </w:tabs>
      <w:ind w:left="2160" w:hanging="720"/>
    </w:pPr>
    <w:rPr>
      <w:caps/>
    </w:rPr>
  </w:style>
  <w:style w:type="paragraph" w:customStyle="1" w:styleId="Appendix4">
    <w:name w:val="Appendix 4"/>
    <w:basedOn w:val="Heading4"/>
    <w:next w:val="Normal"/>
    <w:qFormat/>
    <w:rsid w:val="00712B05"/>
    <w:pPr>
      <w:numPr>
        <w:ilvl w:val="0"/>
        <w:numId w:val="0"/>
      </w:numPr>
      <w:tabs>
        <w:tab w:val="num" w:pos="2160"/>
      </w:tabs>
      <w:ind w:left="2880" w:hanging="720"/>
    </w:pPr>
    <w:rPr>
      <w:i w:val="0"/>
    </w:rPr>
  </w:style>
  <w:style w:type="paragraph" w:customStyle="1" w:styleId="Appendix5">
    <w:name w:val="Appendix 5"/>
    <w:basedOn w:val="Heading5"/>
    <w:next w:val="Normal"/>
    <w:qFormat/>
    <w:rsid w:val="00712B05"/>
    <w:pPr>
      <w:numPr>
        <w:ilvl w:val="0"/>
        <w:numId w:val="0"/>
      </w:numPr>
      <w:tabs>
        <w:tab w:val="num" w:pos="3600"/>
      </w:tabs>
      <w:ind w:left="3600" w:hanging="720"/>
    </w:pPr>
  </w:style>
  <w:style w:type="paragraph" w:customStyle="1" w:styleId="Appendix6">
    <w:name w:val="Appendix 6"/>
    <w:basedOn w:val="Heading6"/>
    <w:qFormat/>
    <w:rsid w:val="003604C5"/>
    <w:pPr>
      <w:numPr>
        <w:ilvl w:val="0"/>
        <w:numId w:val="0"/>
      </w:numPr>
      <w:tabs>
        <w:tab w:val="num" w:pos="4320"/>
      </w:tabs>
    </w:pPr>
  </w:style>
  <w:style w:type="paragraph" w:customStyle="1" w:styleId="Appendix7">
    <w:name w:val="Appendix 7"/>
    <w:basedOn w:val="Heading7"/>
    <w:qFormat/>
    <w:rsid w:val="00712B05"/>
    <w:pPr>
      <w:numPr>
        <w:ilvl w:val="0"/>
        <w:numId w:val="0"/>
      </w:numPr>
      <w:tabs>
        <w:tab w:val="num" w:pos="5040"/>
      </w:tabs>
      <w:ind w:left="5040" w:hanging="720"/>
    </w:pPr>
  </w:style>
  <w:style w:type="paragraph" w:customStyle="1" w:styleId="Appendix8">
    <w:name w:val="Appendix 8"/>
    <w:basedOn w:val="Heading8"/>
    <w:next w:val="Normal"/>
    <w:qFormat/>
    <w:rsid w:val="00712B05"/>
    <w:pPr>
      <w:tabs>
        <w:tab w:val="left" w:pos="1980"/>
      </w:tabs>
      <w:spacing w:after="0"/>
    </w:pPr>
  </w:style>
  <w:style w:type="character" w:styleId="SubtleEmphasis">
    <w:name w:val="Subtle Emphasis"/>
    <w:basedOn w:val="DefaultParagraphFont"/>
    <w:uiPriority w:val="19"/>
    <w:qFormat/>
    <w:rsid w:val="00A6167E"/>
    <w:rPr>
      <w:i/>
      <w:iCs/>
      <w:color w:val="808080" w:themeColor="text1" w:themeTint="7F"/>
    </w:rPr>
  </w:style>
  <w:style w:type="paragraph" w:styleId="Index1">
    <w:name w:val="index 1"/>
    <w:basedOn w:val="Normal"/>
    <w:next w:val="Normal"/>
    <w:autoRedefine/>
    <w:semiHidden/>
    <w:unhideWhenUsed/>
    <w:rsid w:val="00AF4F15"/>
    <w:pPr>
      <w:spacing w:after="0" w:line="240" w:lineRule="auto"/>
      <w:ind w:left="240" w:hanging="240"/>
    </w:pPr>
  </w:style>
  <w:style w:type="character" w:customStyle="1" w:styleId="UnresolvedMention1">
    <w:name w:val="Unresolved Mention1"/>
    <w:basedOn w:val="DefaultParagraphFont"/>
    <w:uiPriority w:val="99"/>
    <w:semiHidden/>
    <w:unhideWhenUsed/>
    <w:rsid w:val="008A7723"/>
    <w:rPr>
      <w:color w:val="605E5C"/>
      <w:shd w:val="clear" w:color="auto" w:fill="E1DFDD"/>
    </w:rPr>
  </w:style>
  <w:style w:type="character" w:customStyle="1" w:styleId="UnresolvedMention2">
    <w:name w:val="Unresolved Mention2"/>
    <w:basedOn w:val="DefaultParagraphFont"/>
    <w:uiPriority w:val="99"/>
    <w:semiHidden/>
    <w:unhideWhenUsed/>
    <w:rsid w:val="00706D78"/>
    <w:rPr>
      <w:color w:val="605E5C"/>
      <w:shd w:val="clear" w:color="auto" w:fill="E1DFDD"/>
    </w:rPr>
  </w:style>
  <w:style w:type="character" w:styleId="UnresolvedMention">
    <w:name w:val="Unresolved Mention"/>
    <w:basedOn w:val="DefaultParagraphFont"/>
    <w:uiPriority w:val="99"/>
    <w:semiHidden/>
    <w:unhideWhenUsed/>
    <w:rsid w:val="00F7458A"/>
    <w:rPr>
      <w:color w:val="605E5C"/>
      <w:shd w:val="clear" w:color="auto" w:fill="E1DFDD"/>
    </w:rPr>
  </w:style>
  <w:style w:type="character" w:styleId="Mention">
    <w:name w:val="Mention"/>
    <w:basedOn w:val="DefaultParagraphFont"/>
    <w:uiPriority w:val="99"/>
    <w:unhideWhenUsed/>
    <w:rsid w:val="007B6C93"/>
    <w:rPr>
      <w:color w:val="2B579A"/>
      <w:shd w:val="clear" w:color="auto" w:fill="E1DFDD"/>
    </w:rPr>
  </w:style>
  <w:style w:type="numbering" w:customStyle="1" w:styleId="NoList1">
    <w:name w:val="No List1"/>
    <w:next w:val="NoList"/>
    <w:uiPriority w:val="99"/>
    <w:semiHidden/>
    <w:unhideWhenUsed/>
    <w:rsid w:val="00AD081E"/>
  </w:style>
  <w:style w:type="paragraph" w:customStyle="1" w:styleId="NoteboxesforSUMs">
    <w:name w:val="Note boxes for SUMs"/>
    <w:basedOn w:val="Normal"/>
    <w:qFormat/>
    <w:rsid w:val="00AD081E"/>
    <w:pPr>
      <w:shd w:val="clear" w:color="auto" w:fill="CCCCCC"/>
      <w:spacing w:before="120" w:after="240" w:line="240" w:lineRule="auto"/>
      <w:jc w:val="center"/>
    </w:pPr>
    <w:rPr>
      <w:rFonts w:ascii="Arial" w:eastAsia="Calibri" w:hAnsi="Arial" w:cs="Arial"/>
      <w:szCs w:val="24"/>
    </w:rPr>
  </w:style>
  <w:style w:type="numbering" w:customStyle="1" w:styleId="NoList11">
    <w:name w:val="No List11"/>
    <w:next w:val="NoList"/>
    <w:uiPriority w:val="99"/>
    <w:semiHidden/>
    <w:unhideWhenUsed/>
    <w:rsid w:val="00AD081E"/>
  </w:style>
  <w:style w:type="table" w:customStyle="1" w:styleId="TableGrid2">
    <w:name w:val="Table Grid2"/>
    <w:basedOn w:val="TableNormal"/>
    <w:next w:val="TableGrid"/>
    <w:uiPriority w:val="39"/>
    <w:rsid w:val="00AD08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andardTable11">
    <w:name w:val="Standard Table11"/>
    <w:basedOn w:val="TableNormal"/>
    <w:next w:val="TableGrid"/>
    <w:uiPriority w:val="59"/>
    <w:rsid w:val="00AD081E"/>
    <w:pPr>
      <w:spacing w:before="40" w:after="40"/>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cs="Times New Roman"/>
        <w:b/>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TableGrid11">
    <w:name w:val="Table Grid11"/>
    <w:basedOn w:val="TableNormal"/>
    <w:next w:val="TableGrid"/>
    <w:uiPriority w:val="59"/>
    <w:rsid w:val="00AD081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nseQuote1">
    <w:name w:val="Intense Quote1"/>
    <w:basedOn w:val="Normal"/>
    <w:next w:val="Normal"/>
    <w:uiPriority w:val="30"/>
    <w:qFormat/>
    <w:rsid w:val="00AD081E"/>
    <w:pPr>
      <w:pBdr>
        <w:top w:val="single" w:sz="4" w:space="10" w:color="4F81BD"/>
        <w:bottom w:val="single" w:sz="4" w:space="10" w:color="4F81BD"/>
      </w:pBdr>
      <w:spacing w:before="360" w:after="360"/>
      <w:ind w:left="864" w:right="864"/>
      <w:jc w:val="center"/>
    </w:pPr>
    <w:rPr>
      <w:i/>
      <w:iCs/>
      <w:color w:val="4F81BD"/>
    </w:rPr>
  </w:style>
  <w:style w:type="character" w:customStyle="1" w:styleId="SubtleEmphasis1">
    <w:name w:val="Subtle Emphasis1"/>
    <w:basedOn w:val="DefaultParagraphFont"/>
    <w:uiPriority w:val="19"/>
    <w:qFormat/>
    <w:rsid w:val="00AD081E"/>
    <w:rPr>
      <w:i/>
      <w:iCs/>
      <w:color w:val="808080"/>
    </w:rPr>
  </w:style>
  <w:style w:type="character" w:customStyle="1" w:styleId="IntenseQuoteChar1">
    <w:name w:val="Intense Quote Char1"/>
    <w:basedOn w:val="DefaultParagraphFont"/>
    <w:uiPriority w:val="30"/>
    <w:rsid w:val="00AD081E"/>
    <w:rPr>
      <w:i/>
      <w:iCs/>
      <w:color w:val="4472C4"/>
    </w:rPr>
  </w:style>
  <w:style w:type="paragraph" w:customStyle="1" w:styleId="Note0">
    <w:name w:val="Note"/>
    <w:basedOn w:val="Normal"/>
    <w:rsid w:val="00B40BF5"/>
    <w:pPr>
      <w:shd w:val="clear" w:color="auto" w:fill="D9D9D9"/>
      <w:spacing w:before="240" w:after="240" w:line="240" w:lineRule="auto"/>
      <w:jc w:val="center"/>
    </w:pPr>
    <w:rPr>
      <w:rFonts w:ascii="Arial" w:eastAsiaTheme="minorHAnsi" w:hAnsi="Arial" w:cs="Arial"/>
      <w:szCs w:val="24"/>
    </w:rPr>
  </w:style>
  <w:style w:type="character" w:customStyle="1" w:styleId="cf01">
    <w:name w:val="cf01"/>
    <w:basedOn w:val="DefaultParagraphFont"/>
    <w:rsid w:val="00B40BF5"/>
    <w:rPr>
      <w:rFonts w:ascii="Segoe UI" w:hAnsi="Segoe UI" w:cs="Segoe UI" w:hint="default"/>
      <w:sz w:val="18"/>
      <w:szCs w:val="18"/>
    </w:rPr>
  </w:style>
  <w:style w:type="paragraph" w:customStyle="1" w:styleId="pf0">
    <w:name w:val="pf0"/>
    <w:basedOn w:val="Normal"/>
    <w:rsid w:val="00163671"/>
    <w:pPr>
      <w:spacing w:before="100" w:beforeAutospacing="1" w:after="100" w:afterAutospacing="1" w:line="240" w:lineRule="auto"/>
    </w:pPr>
    <w:rPr>
      <w:rFonts w:eastAsia="Times New Roman"/>
      <w:szCs w:val="24"/>
    </w:rPr>
  </w:style>
  <w:style w:type="character" w:customStyle="1" w:styleId="normaltextrun">
    <w:name w:val="normaltextrun"/>
    <w:basedOn w:val="DefaultParagraphFont"/>
    <w:rsid w:val="00A30D86"/>
  </w:style>
  <w:style w:type="character" w:customStyle="1" w:styleId="eop">
    <w:name w:val="eop"/>
    <w:basedOn w:val="DefaultParagraphFont"/>
    <w:rsid w:val="00A30D86"/>
  </w:style>
  <w:style w:type="paragraph" w:customStyle="1" w:styleId="paragraph">
    <w:name w:val="paragraph"/>
    <w:basedOn w:val="Normal"/>
    <w:rsid w:val="00E10022"/>
    <w:pPr>
      <w:spacing w:before="100" w:beforeAutospacing="1" w:after="100" w:afterAutospacing="1" w:line="240" w:lineRule="auto"/>
    </w:pPr>
    <w:rPr>
      <w:rFonts w:eastAsia="Times New Roman"/>
      <w:szCs w:val="24"/>
    </w:rPr>
  </w:style>
  <w:style w:type="paragraph" w:styleId="TOCHeading">
    <w:name w:val="TOC Heading"/>
    <w:basedOn w:val="Heading1"/>
    <w:next w:val="Normal"/>
    <w:uiPriority w:val="39"/>
    <w:unhideWhenUsed/>
    <w:qFormat/>
    <w:rsid w:val="005F6CDC"/>
    <w:pPr>
      <w:keepLines/>
      <w:numPr>
        <w:numId w:val="0"/>
      </w:numPr>
      <w:spacing w:after="0" w:line="259" w:lineRule="auto"/>
      <w:contextualSpacing w:val="0"/>
      <w:outlineLvl w:val="9"/>
    </w:pPr>
    <w:rPr>
      <w:rFonts w:asciiTheme="majorHAnsi" w:eastAsiaTheme="majorEastAsia" w:hAnsiTheme="majorHAnsi" w:cstheme="majorBidi"/>
      <w:b w:val="0"/>
      <w:caps w:val="0"/>
      <w:color w:val="365F91" w:themeColor="accent1" w:themeShade="BF"/>
      <w:kern w:val="0"/>
      <w:sz w:val="32"/>
      <w:szCs w:val="32"/>
    </w:rPr>
  </w:style>
  <w:style w:type="character" w:customStyle="1" w:styleId="ui-provider">
    <w:name w:val="ui-provider"/>
    <w:basedOn w:val="DefaultParagraphFont"/>
    <w:rsid w:val="004A331E"/>
  </w:style>
  <w:style w:type="character" w:customStyle="1" w:styleId="findhit">
    <w:name w:val="findhit"/>
    <w:basedOn w:val="DefaultParagraphFont"/>
    <w:rsid w:val="00002724"/>
  </w:style>
  <w:style w:type="character" w:customStyle="1" w:styleId="Number0205Char1">
    <w:name w:val="Number0205 Char1"/>
    <w:link w:val="Number0205"/>
    <w:locked/>
    <w:rsid w:val="0069163A"/>
    <w:rPr>
      <w:sz w:val="24"/>
    </w:rPr>
  </w:style>
  <w:style w:type="character" w:customStyle="1" w:styleId="wacimagecontainer">
    <w:name w:val="wacimagecontainer"/>
    <w:basedOn w:val="DefaultParagraphFont"/>
    <w:rsid w:val="006B7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9887">
      <w:bodyDiv w:val="1"/>
      <w:marLeft w:val="0"/>
      <w:marRight w:val="0"/>
      <w:marTop w:val="0"/>
      <w:marBottom w:val="0"/>
      <w:divBdr>
        <w:top w:val="none" w:sz="0" w:space="0" w:color="auto"/>
        <w:left w:val="none" w:sz="0" w:space="0" w:color="auto"/>
        <w:bottom w:val="none" w:sz="0" w:space="0" w:color="auto"/>
        <w:right w:val="none" w:sz="0" w:space="0" w:color="auto"/>
      </w:divBdr>
    </w:div>
    <w:div w:id="15694347">
      <w:bodyDiv w:val="1"/>
      <w:marLeft w:val="0"/>
      <w:marRight w:val="0"/>
      <w:marTop w:val="0"/>
      <w:marBottom w:val="0"/>
      <w:divBdr>
        <w:top w:val="none" w:sz="0" w:space="0" w:color="auto"/>
        <w:left w:val="none" w:sz="0" w:space="0" w:color="auto"/>
        <w:bottom w:val="none" w:sz="0" w:space="0" w:color="auto"/>
        <w:right w:val="none" w:sz="0" w:space="0" w:color="auto"/>
      </w:divBdr>
    </w:div>
    <w:div w:id="16741077">
      <w:bodyDiv w:val="1"/>
      <w:marLeft w:val="0"/>
      <w:marRight w:val="0"/>
      <w:marTop w:val="0"/>
      <w:marBottom w:val="0"/>
      <w:divBdr>
        <w:top w:val="none" w:sz="0" w:space="0" w:color="auto"/>
        <w:left w:val="none" w:sz="0" w:space="0" w:color="auto"/>
        <w:bottom w:val="none" w:sz="0" w:space="0" w:color="auto"/>
        <w:right w:val="none" w:sz="0" w:space="0" w:color="auto"/>
      </w:divBdr>
    </w:div>
    <w:div w:id="19862634">
      <w:bodyDiv w:val="1"/>
      <w:marLeft w:val="0"/>
      <w:marRight w:val="0"/>
      <w:marTop w:val="0"/>
      <w:marBottom w:val="0"/>
      <w:divBdr>
        <w:top w:val="none" w:sz="0" w:space="0" w:color="auto"/>
        <w:left w:val="none" w:sz="0" w:space="0" w:color="auto"/>
        <w:bottom w:val="none" w:sz="0" w:space="0" w:color="auto"/>
        <w:right w:val="none" w:sz="0" w:space="0" w:color="auto"/>
      </w:divBdr>
      <w:divsChild>
        <w:div w:id="782303682">
          <w:marLeft w:val="0"/>
          <w:marRight w:val="0"/>
          <w:marTop w:val="0"/>
          <w:marBottom w:val="0"/>
          <w:divBdr>
            <w:top w:val="none" w:sz="0" w:space="0" w:color="auto"/>
            <w:left w:val="none" w:sz="0" w:space="0" w:color="auto"/>
            <w:bottom w:val="none" w:sz="0" w:space="0" w:color="auto"/>
            <w:right w:val="none" w:sz="0" w:space="0" w:color="auto"/>
          </w:divBdr>
        </w:div>
      </w:divsChild>
    </w:div>
    <w:div w:id="20673755">
      <w:bodyDiv w:val="1"/>
      <w:marLeft w:val="0"/>
      <w:marRight w:val="0"/>
      <w:marTop w:val="0"/>
      <w:marBottom w:val="0"/>
      <w:divBdr>
        <w:top w:val="none" w:sz="0" w:space="0" w:color="auto"/>
        <w:left w:val="none" w:sz="0" w:space="0" w:color="auto"/>
        <w:bottom w:val="none" w:sz="0" w:space="0" w:color="auto"/>
        <w:right w:val="none" w:sz="0" w:space="0" w:color="auto"/>
      </w:divBdr>
    </w:div>
    <w:div w:id="40445636">
      <w:bodyDiv w:val="1"/>
      <w:marLeft w:val="0"/>
      <w:marRight w:val="0"/>
      <w:marTop w:val="0"/>
      <w:marBottom w:val="0"/>
      <w:divBdr>
        <w:top w:val="none" w:sz="0" w:space="0" w:color="auto"/>
        <w:left w:val="none" w:sz="0" w:space="0" w:color="auto"/>
        <w:bottom w:val="none" w:sz="0" w:space="0" w:color="auto"/>
        <w:right w:val="none" w:sz="0" w:space="0" w:color="auto"/>
      </w:divBdr>
    </w:div>
    <w:div w:id="47842603">
      <w:bodyDiv w:val="1"/>
      <w:marLeft w:val="0"/>
      <w:marRight w:val="0"/>
      <w:marTop w:val="0"/>
      <w:marBottom w:val="0"/>
      <w:divBdr>
        <w:top w:val="none" w:sz="0" w:space="0" w:color="auto"/>
        <w:left w:val="none" w:sz="0" w:space="0" w:color="auto"/>
        <w:bottom w:val="none" w:sz="0" w:space="0" w:color="auto"/>
        <w:right w:val="none" w:sz="0" w:space="0" w:color="auto"/>
      </w:divBdr>
    </w:div>
    <w:div w:id="50659801">
      <w:bodyDiv w:val="1"/>
      <w:marLeft w:val="0"/>
      <w:marRight w:val="0"/>
      <w:marTop w:val="0"/>
      <w:marBottom w:val="0"/>
      <w:divBdr>
        <w:top w:val="none" w:sz="0" w:space="0" w:color="auto"/>
        <w:left w:val="none" w:sz="0" w:space="0" w:color="auto"/>
        <w:bottom w:val="none" w:sz="0" w:space="0" w:color="auto"/>
        <w:right w:val="none" w:sz="0" w:space="0" w:color="auto"/>
      </w:divBdr>
    </w:div>
    <w:div w:id="80688049">
      <w:bodyDiv w:val="1"/>
      <w:marLeft w:val="0"/>
      <w:marRight w:val="0"/>
      <w:marTop w:val="0"/>
      <w:marBottom w:val="0"/>
      <w:divBdr>
        <w:top w:val="none" w:sz="0" w:space="0" w:color="auto"/>
        <w:left w:val="none" w:sz="0" w:space="0" w:color="auto"/>
        <w:bottom w:val="none" w:sz="0" w:space="0" w:color="auto"/>
        <w:right w:val="none" w:sz="0" w:space="0" w:color="auto"/>
      </w:divBdr>
    </w:div>
    <w:div w:id="81612299">
      <w:bodyDiv w:val="1"/>
      <w:marLeft w:val="0"/>
      <w:marRight w:val="0"/>
      <w:marTop w:val="0"/>
      <w:marBottom w:val="0"/>
      <w:divBdr>
        <w:top w:val="none" w:sz="0" w:space="0" w:color="auto"/>
        <w:left w:val="none" w:sz="0" w:space="0" w:color="auto"/>
        <w:bottom w:val="none" w:sz="0" w:space="0" w:color="auto"/>
        <w:right w:val="none" w:sz="0" w:space="0" w:color="auto"/>
      </w:divBdr>
    </w:div>
    <w:div w:id="95910601">
      <w:bodyDiv w:val="1"/>
      <w:marLeft w:val="0"/>
      <w:marRight w:val="0"/>
      <w:marTop w:val="0"/>
      <w:marBottom w:val="0"/>
      <w:divBdr>
        <w:top w:val="none" w:sz="0" w:space="0" w:color="auto"/>
        <w:left w:val="none" w:sz="0" w:space="0" w:color="auto"/>
        <w:bottom w:val="none" w:sz="0" w:space="0" w:color="auto"/>
        <w:right w:val="none" w:sz="0" w:space="0" w:color="auto"/>
      </w:divBdr>
    </w:div>
    <w:div w:id="97071464">
      <w:bodyDiv w:val="1"/>
      <w:marLeft w:val="0"/>
      <w:marRight w:val="0"/>
      <w:marTop w:val="0"/>
      <w:marBottom w:val="0"/>
      <w:divBdr>
        <w:top w:val="none" w:sz="0" w:space="0" w:color="auto"/>
        <w:left w:val="none" w:sz="0" w:space="0" w:color="auto"/>
        <w:bottom w:val="none" w:sz="0" w:space="0" w:color="auto"/>
        <w:right w:val="none" w:sz="0" w:space="0" w:color="auto"/>
      </w:divBdr>
    </w:div>
    <w:div w:id="112863924">
      <w:bodyDiv w:val="1"/>
      <w:marLeft w:val="0"/>
      <w:marRight w:val="0"/>
      <w:marTop w:val="0"/>
      <w:marBottom w:val="0"/>
      <w:divBdr>
        <w:top w:val="none" w:sz="0" w:space="0" w:color="auto"/>
        <w:left w:val="none" w:sz="0" w:space="0" w:color="auto"/>
        <w:bottom w:val="none" w:sz="0" w:space="0" w:color="auto"/>
        <w:right w:val="none" w:sz="0" w:space="0" w:color="auto"/>
      </w:divBdr>
    </w:div>
    <w:div w:id="113057240">
      <w:bodyDiv w:val="1"/>
      <w:marLeft w:val="0"/>
      <w:marRight w:val="0"/>
      <w:marTop w:val="0"/>
      <w:marBottom w:val="0"/>
      <w:divBdr>
        <w:top w:val="none" w:sz="0" w:space="0" w:color="auto"/>
        <w:left w:val="none" w:sz="0" w:space="0" w:color="auto"/>
        <w:bottom w:val="none" w:sz="0" w:space="0" w:color="auto"/>
        <w:right w:val="none" w:sz="0" w:space="0" w:color="auto"/>
      </w:divBdr>
    </w:div>
    <w:div w:id="122575735">
      <w:bodyDiv w:val="1"/>
      <w:marLeft w:val="0"/>
      <w:marRight w:val="0"/>
      <w:marTop w:val="0"/>
      <w:marBottom w:val="0"/>
      <w:divBdr>
        <w:top w:val="none" w:sz="0" w:space="0" w:color="auto"/>
        <w:left w:val="none" w:sz="0" w:space="0" w:color="auto"/>
        <w:bottom w:val="none" w:sz="0" w:space="0" w:color="auto"/>
        <w:right w:val="none" w:sz="0" w:space="0" w:color="auto"/>
      </w:divBdr>
    </w:div>
    <w:div w:id="148795099">
      <w:bodyDiv w:val="1"/>
      <w:marLeft w:val="0"/>
      <w:marRight w:val="0"/>
      <w:marTop w:val="0"/>
      <w:marBottom w:val="0"/>
      <w:divBdr>
        <w:top w:val="none" w:sz="0" w:space="0" w:color="auto"/>
        <w:left w:val="none" w:sz="0" w:space="0" w:color="auto"/>
        <w:bottom w:val="none" w:sz="0" w:space="0" w:color="auto"/>
        <w:right w:val="none" w:sz="0" w:space="0" w:color="auto"/>
      </w:divBdr>
      <w:divsChild>
        <w:div w:id="874466466">
          <w:marLeft w:val="0"/>
          <w:marRight w:val="0"/>
          <w:marTop w:val="0"/>
          <w:marBottom w:val="0"/>
          <w:divBdr>
            <w:top w:val="none" w:sz="0" w:space="0" w:color="auto"/>
            <w:left w:val="none" w:sz="0" w:space="0" w:color="auto"/>
            <w:bottom w:val="none" w:sz="0" w:space="0" w:color="auto"/>
            <w:right w:val="none" w:sz="0" w:space="0" w:color="auto"/>
          </w:divBdr>
        </w:div>
      </w:divsChild>
    </w:div>
    <w:div w:id="150173504">
      <w:bodyDiv w:val="1"/>
      <w:marLeft w:val="0"/>
      <w:marRight w:val="0"/>
      <w:marTop w:val="0"/>
      <w:marBottom w:val="0"/>
      <w:divBdr>
        <w:top w:val="none" w:sz="0" w:space="0" w:color="auto"/>
        <w:left w:val="none" w:sz="0" w:space="0" w:color="auto"/>
        <w:bottom w:val="none" w:sz="0" w:space="0" w:color="auto"/>
        <w:right w:val="none" w:sz="0" w:space="0" w:color="auto"/>
      </w:divBdr>
    </w:div>
    <w:div w:id="160126278">
      <w:bodyDiv w:val="1"/>
      <w:marLeft w:val="0"/>
      <w:marRight w:val="0"/>
      <w:marTop w:val="0"/>
      <w:marBottom w:val="0"/>
      <w:divBdr>
        <w:top w:val="none" w:sz="0" w:space="0" w:color="auto"/>
        <w:left w:val="none" w:sz="0" w:space="0" w:color="auto"/>
        <w:bottom w:val="none" w:sz="0" w:space="0" w:color="auto"/>
        <w:right w:val="none" w:sz="0" w:space="0" w:color="auto"/>
      </w:divBdr>
    </w:div>
    <w:div w:id="175653667">
      <w:bodyDiv w:val="1"/>
      <w:marLeft w:val="0"/>
      <w:marRight w:val="0"/>
      <w:marTop w:val="0"/>
      <w:marBottom w:val="0"/>
      <w:divBdr>
        <w:top w:val="none" w:sz="0" w:space="0" w:color="auto"/>
        <w:left w:val="none" w:sz="0" w:space="0" w:color="auto"/>
        <w:bottom w:val="none" w:sz="0" w:space="0" w:color="auto"/>
        <w:right w:val="none" w:sz="0" w:space="0" w:color="auto"/>
      </w:divBdr>
    </w:div>
    <w:div w:id="176385215">
      <w:bodyDiv w:val="1"/>
      <w:marLeft w:val="0"/>
      <w:marRight w:val="0"/>
      <w:marTop w:val="0"/>
      <w:marBottom w:val="0"/>
      <w:divBdr>
        <w:top w:val="none" w:sz="0" w:space="0" w:color="auto"/>
        <w:left w:val="none" w:sz="0" w:space="0" w:color="auto"/>
        <w:bottom w:val="none" w:sz="0" w:space="0" w:color="auto"/>
        <w:right w:val="none" w:sz="0" w:space="0" w:color="auto"/>
      </w:divBdr>
      <w:divsChild>
        <w:div w:id="1557426918">
          <w:marLeft w:val="0"/>
          <w:marRight w:val="0"/>
          <w:marTop w:val="0"/>
          <w:marBottom w:val="0"/>
          <w:divBdr>
            <w:top w:val="none" w:sz="0" w:space="0" w:color="auto"/>
            <w:left w:val="none" w:sz="0" w:space="0" w:color="auto"/>
            <w:bottom w:val="none" w:sz="0" w:space="0" w:color="auto"/>
            <w:right w:val="none" w:sz="0" w:space="0" w:color="auto"/>
          </w:divBdr>
        </w:div>
      </w:divsChild>
    </w:div>
    <w:div w:id="194200991">
      <w:bodyDiv w:val="1"/>
      <w:marLeft w:val="0"/>
      <w:marRight w:val="0"/>
      <w:marTop w:val="0"/>
      <w:marBottom w:val="0"/>
      <w:divBdr>
        <w:top w:val="none" w:sz="0" w:space="0" w:color="auto"/>
        <w:left w:val="none" w:sz="0" w:space="0" w:color="auto"/>
        <w:bottom w:val="none" w:sz="0" w:space="0" w:color="auto"/>
        <w:right w:val="none" w:sz="0" w:space="0" w:color="auto"/>
      </w:divBdr>
    </w:div>
    <w:div w:id="201796317">
      <w:bodyDiv w:val="1"/>
      <w:marLeft w:val="0"/>
      <w:marRight w:val="0"/>
      <w:marTop w:val="0"/>
      <w:marBottom w:val="0"/>
      <w:divBdr>
        <w:top w:val="none" w:sz="0" w:space="0" w:color="auto"/>
        <w:left w:val="none" w:sz="0" w:space="0" w:color="auto"/>
        <w:bottom w:val="none" w:sz="0" w:space="0" w:color="auto"/>
        <w:right w:val="none" w:sz="0" w:space="0" w:color="auto"/>
      </w:divBdr>
    </w:div>
    <w:div w:id="202791533">
      <w:bodyDiv w:val="1"/>
      <w:marLeft w:val="0"/>
      <w:marRight w:val="0"/>
      <w:marTop w:val="0"/>
      <w:marBottom w:val="0"/>
      <w:divBdr>
        <w:top w:val="none" w:sz="0" w:space="0" w:color="auto"/>
        <w:left w:val="none" w:sz="0" w:space="0" w:color="auto"/>
        <w:bottom w:val="none" w:sz="0" w:space="0" w:color="auto"/>
        <w:right w:val="none" w:sz="0" w:space="0" w:color="auto"/>
      </w:divBdr>
    </w:div>
    <w:div w:id="247463956">
      <w:bodyDiv w:val="1"/>
      <w:marLeft w:val="0"/>
      <w:marRight w:val="0"/>
      <w:marTop w:val="0"/>
      <w:marBottom w:val="0"/>
      <w:divBdr>
        <w:top w:val="none" w:sz="0" w:space="0" w:color="auto"/>
        <w:left w:val="none" w:sz="0" w:space="0" w:color="auto"/>
        <w:bottom w:val="none" w:sz="0" w:space="0" w:color="auto"/>
        <w:right w:val="none" w:sz="0" w:space="0" w:color="auto"/>
      </w:divBdr>
    </w:div>
    <w:div w:id="252251598">
      <w:bodyDiv w:val="1"/>
      <w:marLeft w:val="0"/>
      <w:marRight w:val="0"/>
      <w:marTop w:val="0"/>
      <w:marBottom w:val="0"/>
      <w:divBdr>
        <w:top w:val="none" w:sz="0" w:space="0" w:color="auto"/>
        <w:left w:val="none" w:sz="0" w:space="0" w:color="auto"/>
        <w:bottom w:val="none" w:sz="0" w:space="0" w:color="auto"/>
        <w:right w:val="none" w:sz="0" w:space="0" w:color="auto"/>
      </w:divBdr>
    </w:div>
    <w:div w:id="256014244">
      <w:bodyDiv w:val="1"/>
      <w:marLeft w:val="0"/>
      <w:marRight w:val="0"/>
      <w:marTop w:val="0"/>
      <w:marBottom w:val="0"/>
      <w:divBdr>
        <w:top w:val="none" w:sz="0" w:space="0" w:color="auto"/>
        <w:left w:val="none" w:sz="0" w:space="0" w:color="auto"/>
        <w:bottom w:val="none" w:sz="0" w:space="0" w:color="auto"/>
        <w:right w:val="none" w:sz="0" w:space="0" w:color="auto"/>
      </w:divBdr>
    </w:div>
    <w:div w:id="257830156">
      <w:bodyDiv w:val="1"/>
      <w:marLeft w:val="0"/>
      <w:marRight w:val="0"/>
      <w:marTop w:val="0"/>
      <w:marBottom w:val="0"/>
      <w:divBdr>
        <w:top w:val="none" w:sz="0" w:space="0" w:color="auto"/>
        <w:left w:val="none" w:sz="0" w:space="0" w:color="auto"/>
        <w:bottom w:val="none" w:sz="0" w:space="0" w:color="auto"/>
        <w:right w:val="none" w:sz="0" w:space="0" w:color="auto"/>
      </w:divBdr>
    </w:div>
    <w:div w:id="263268263">
      <w:bodyDiv w:val="1"/>
      <w:marLeft w:val="0"/>
      <w:marRight w:val="0"/>
      <w:marTop w:val="0"/>
      <w:marBottom w:val="0"/>
      <w:divBdr>
        <w:top w:val="none" w:sz="0" w:space="0" w:color="auto"/>
        <w:left w:val="none" w:sz="0" w:space="0" w:color="auto"/>
        <w:bottom w:val="none" w:sz="0" w:space="0" w:color="auto"/>
        <w:right w:val="none" w:sz="0" w:space="0" w:color="auto"/>
      </w:divBdr>
    </w:div>
    <w:div w:id="266278567">
      <w:bodyDiv w:val="1"/>
      <w:marLeft w:val="0"/>
      <w:marRight w:val="0"/>
      <w:marTop w:val="0"/>
      <w:marBottom w:val="0"/>
      <w:divBdr>
        <w:top w:val="none" w:sz="0" w:space="0" w:color="auto"/>
        <w:left w:val="none" w:sz="0" w:space="0" w:color="auto"/>
        <w:bottom w:val="none" w:sz="0" w:space="0" w:color="auto"/>
        <w:right w:val="none" w:sz="0" w:space="0" w:color="auto"/>
      </w:divBdr>
    </w:div>
    <w:div w:id="284502991">
      <w:bodyDiv w:val="1"/>
      <w:marLeft w:val="0"/>
      <w:marRight w:val="0"/>
      <w:marTop w:val="0"/>
      <w:marBottom w:val="0"/>
      <w:divBdr>
        <w:top w:val="none" w:sz="0" w:space="0" w:color="auto"/>
        <w:left w:val="none" w:sz="0" w:space="0" w:color="auto"/>
        <w:bottom w:val="none" w:sz="0" w:space="0" w:color="auto"/>
        <w:right w:val="none" w:sz="0" w:space="0" w:color="auto"/>
      </w:divBdr>
    </w:div>
    <w:div w:id="303003509">
      <w:bodyDiv w:val="1"/>
      <w:marLeft w:val="0"/>
      <w:marRight w:val="0"/>
      <w:marTop w:val="0"/>
      <w:marBottom w:val="0"/>
      <w:divBdr>
        <w:top w:val="none" w:sz="0" w:space="0" w:color="auto"/>
        <w:left w:val="none" w:sz="0" w:space="0" w:color="auto"/>
        <w:bottom w:val="none" w:sz="0" w:space="0" w:color="auto"/>
        <w:right w:val="none" w:sz="0" w:space="0" w:color="auto"/>
      </w:divBdr>
    </w:div>
    <w:div w:id="308630209">
      <w:bodyDiv w:val="1"/>
      <w:marLeft w:val="0"/>
      <w:marRight w:val="0"/>
      <w:marTop w:val="0"/>
      <w:marBottom w:val="0"/>
      <w:divBdr>
        <w:top w:val="none" w:sz="0" w:space="0" w:color="auto"/>
        <w:left w:val="none" w:sz="0" w:space="0" w:color="auto"/>
        <w:bottom w:val="none" w:sz="0" w:space="0" w:color="auto"/>
        <w:right w:val="none" w:sz="0" w:space="0" w:color="auto"/>
      </w:divBdr>
    </w:div>
    <w:div w:id="322006507">
      <w:bodyDiv w:val="1"/>
      <w:marLeft w:val="0"/>
      <w:marRight w:val="0"/>
      <w:marTop w:val="0"/>
      <w:marBottom w:val="0"/>
      <w:divBdr>
        <w:top w:val="none" w:sz="0" w:space="0" w:color="auto"/>
        <w:left w:val="none" w:sz="0" w:space="0" w:color="auto"/>
        <w:bottom w:val="none" w:sz="0" w:space="0" w:color="auto"/>
        <w:right w:val="none" w:sz="0" w:space="0" w:color="auto"/>
      </w:divBdr>
    </w:div>
    <w:div w:id="333144221">
      <w:bodyDiv w:val="1"/>
      <w:marLeft w:val="0"/>
      <w:marRight w:val="0"/>
      <w:marTop w:val="0"/>
      <w:marBottom w:val="0"/>
      <w:divBdr>
        <w:top w:val="none" w:sz="0" w:space="0" w:color="auto"/>
        <w:left w:val="none" w:sz="0" w:space="0" w:color="auto"/>
        <w:bottom w:val="none" w:sz="0" w:space="0" w:color="auto"/>
        <w:right w:val="none" w:sz="0" w:space="0" w:color="auto"/>
      </w:divBdr>
    </w:div>
    <w:div w:id="343284580">
      <w:bodyDiv w:val="1"/>
      <w:marLeft w:val="0"/>
      <w:marRight w:val="0"/>
      <w:marTop w:val="0"/>
      <w:marBottom w:val="0"/>
      <w:divBdr>
        <w:top w:val="none" w:sz="0" w:space="0" w:color="auto"/>
        <w:left w:val="none" w:sz="0" w:space="0" w:color="auto"/>
        <w:bottom w:val="none" w:sz="0" w:space="0" w:color="auto"/>
        <w:right w:val="none" w:sz="0" w:space="0" w:color="auto"/>
      </w:divBdr>
      <w:divsChild>
        <w:div w:id="2093970767">
          <w:marLeft w:val="0"/>
          <w:marRight w:val="0"/>
          <w:marTop w:val="0"/>
          <w:marBottom w:val="0"/>
          <w:divBdr>
            <w:top w:val="none" w:sz="0" w:space="0" w:color="auto"/>
            <w:left w:val="none" w:sz="0" w:space="0" w:color="auto"/>
            <w:bottom w:val="none" w:sz="0" w:space="0" w:color="auto"/>
            <w:right w:val="none" w:sz="0" w:space="0" w:color="auto"/>
          </w:divBdr>
        </w:div>
      </w:divsChild>
    </w:div>
    <w:div w:id="349336917">
      <w:bodyDiv w:val="1"/>
      <w:marLeft w:val="0"/>
      <w:marRight w:val="0"/>
      <w:marTop w:val="0"/>
      <w:marBottom w:val="0"/>
      <w:divBdr>
        <w:top w:val="none" w:sz="0" w:space="0" w:color="auto"/>
        <w:left w:val="none" w:sz="0" w:space="0" w:color="auto"/>
        <w:bottom w:val="none" w:sz="0" w:space="0" w:color="auto"/>
        <w:right w:val="none" w:sz="0" w:space="0" w:color="auto"/>
      </w:divBdr>
    </w:div>
    <w:div w:id="353313086">
      <w:bodyDiv w:val="1"/>
      <w:marLeft w:val="0"/>
      <w:marRight w:val="0"/>
      <w:marTop w:val="0"/>
      <w:marBottom w:val="0"/>
      <w:divBdr>
        <w:top w:val="none" w:sz="0" w:space="0" w:color="auto"/>
        <w:left w:val="none" w:sz="0" w:space="0" w:color="auto"/>
        <w:bottom w:val="none" w:sz="0" w:space="0" w:color="auto"/>
        <w:right w:val="none" w:sz="0" w:space="0" w:color="auto"/>
      </w:divBdr>
    </w:div>
    <w:div w:id="369300548">
      <w:bodyDiv w:val="1"/>
      <w:marLeft w:val="0"/>
      <w:marRight w:val="0"/>
      <w:marTop w:val="0"/>
      <w:marBottom w:val="0"/>
      <w:divBdr>
        <w:top w:val="none" w:sz="0" w:space="0" w:color="auto"/>
        <w:left w:val="none" w:sz="0" w:space="0" w:color="auto"/>
        <w:bottom w:val="none" w:sz="0" w:space="0" w:color="auto"/>
        <w:right w:val="none" w:sz="0" w:space="0" w:color="auto"/>
      </w:divBdr>
    </w:div>
    <w:div w:id="369916251">
      <w:bodyDiv w:val="1"/>
      <w:marLeft w:val="0"/>
      <w:marRight w:val="0"/>
      <w:marTop w:val="0"/>
      <w:marBottom w:val="0"/>
      <w:divBdr>
        <w:top w:val="none" w:sz="0" w:space="0" w:color="auto"/>
        <w:left w:val="none" w:sz="0" w:space="0" w:color="auto"/>
        <w:bottom w:val="none" w:sz="0" w:space="0" w:color="auto"/>
        <w:right w:val="none" w:sz="0" w:space="0" w:color="auto"/>
      </w:divBdr>
    </w:div>
    <w:div w:id="382292101">
      <w:bodyDiv w:val="1"/>
      <w:marLeft w:val="0"/>
      <w:marRight w:val="0"/>
      <w:marTop w:val="0"/>
      <w:marBottom w:val="0"/>
      <w:divBdr>
        <w:top w:val="none" w:sz="0" w:space="0" w:color="auto"/>
        <w:left w:val="none" w:sz="0" w:space="0" w:color="auto"/>
        <w:bottom w:val="none" w:sz="0" w:space="0" w:color="auto"/>
        <w:right w:val="none" w:sz="0" w:space="0" w:color="auto"/>
      </w:divBdr>
    </w:div>
    <w:div w:id="382407137">
      <w:bodyDiv w:val="1"/>
      <w:marLeft w:val="0"/>
      <w:marRight w:val="0"/>
      <w:marTop w:val="0"/>
      <w:marBottom w:val="0"/>
      <w:divBdr>
        <w:top w:val="none" w:sz="0" w:space="0" w:color="auto"/>
        <w:left w:val="none" w:sz="0" w:space="0" w:color="auto"/>
        <w:bottom w:val="none" w:sz="0" w:space="0" w:color="auto"/>
        <w:right w:val="none" w:sz="0" w:space="0" w:color="auto"/>
      </w:divBdr>
    </w:div>
    <w:div w:id="388261826">
      <w:bodyDiv w:val="1"/>
      <w:marLeft w:val="0"/>
      <w:marRight w:val="0"/>
      <w:marTop w:val="0"/>
      <w:marBottom w:val="0"/>
      <w:divBdr>
        <w:top w:val="none" w:sz="0" w:space="0" w:color="auto"/>
        <w:left w:val="none" w:sz="0" w:space="0" w:color="auto"/>
        <w:bottom w:val="none" w:sz="0" w:space="0" w:color="auto"/>
        <w:right w:val="none" w:sz="0" w:space="0" w:color="auto"/>
      </w:divBdr>
    </w:div>
    <w:div w:id="390275257">
      <w:bodyDiv w:val="1"/>
      <w:marLeft w:val="0"/>
      <w:marRight w:val="0"/>
      <w:marTop w:val="0"/>
      <w:marBottom w:val="0"/>
      <w:divBdr>
        <w:top w:val="none" w:sz="0" w:space="0" w:color="auto"/>
        <w:left w:val="none" w:sz="0" w:space="0" w:color="auto"/>
        <w:bottom w:val="none" w:sz="0" w:space="0" w:color="auto"/>
        <w:right w:val="none" w:sz="0" w:space="0" w:color="auto"/>
      </w:divBdr>
    </w:div>
    <w:div w:id="410010180">
      <w:bodyDiv w:val="1"/>
      <w:marLeft w:val="0"/>
      <w:marRight w:val="0"/>
      <w:marTop w:val="0"/>
      <w:marBottom w:val="0"/>
      <w:divBdr>
        <w:top w:val="none" w:sz="0" w:space="0" w:color="auto"/>
        <w:left w:val="none" w:sz="0" w:space="0" w:color="auto"/>
        <w:bottom w:val="none" w:sz="0" w:space="0" w:color="auto"/>
        <w:right w:val="none" w:sz="0" w:space="0" w:color="auto"/>
      </w:divBdr>
    </w:div>
    <w:div w:id="413010960">
      <w:bodyDiv w:val="1"/>
      <w:marLeft w:val="0"/>
      <w:marRight w:val="0"/>
      <w:marTop w:val="0"/>
      <w:marBottom w:val="0"/>
      <w:divBdr>
        <w:top w:val="none" w:sz="0" w:space="0" w:color="auto"/>
        <w:left w:val="none" w:sz="0" w:space="0" w:color="auto"/>
        <w:bottom w:val="none" w:sz="0" w:space="0" w:color="auto"/>
        <w:right w:val="none" w:sz="0" w:space="0" w:color="auto"/>
      </w:divBdr>
    </w:div>
    <w:div w:id="432627847">
      <w:bodyDiv w:val="1"/>
      <w:marLeft w:val="0"/>
      <w:marRight w:val="0"/>
      <w:marTop w:val="0"/>
      <w:marBottom w:val="0"/>
      <w:divBdr>
        <w:top w:val="none" w:sz="0" w:space="0" w:color="auto"/>
        <w:left w:val="none" w:sz="0" w:space="0" w:color="auto"/>
        <w:bottom w:val="none" w:sz="0" w:space="0" w:color="auto"/>
        <w:right w:val="none" w:sz="0" w:space="0" w:color="auto"/>
      </w:divBdr>
    </w:div>
    <w:div w:id="448664577">
      <w:bodyDiv w:val="1"/>
      <w:marLeft w:val="0"/>
      <w:marRight w:val="0"/>
      <w:marTop w:val="0"/>
      <w:marBottom w:val="0"/>
      <w:divBdr>
        <w:top w:val="none" w:sz="0" w:space="0" w:color="auto"/>
        <w:left w:val="none" w:sz="0" w:space="0" w:color="auto"/>
        <w:bottom w:val="none" w:sz="0" w:space="0" w:color="auto"/>
        <w:right w:val="none" w:sz="0" w:space="0" w:color="auto"/>
      </w:divBdr>
    </w:div>
    <w:div w:id="455297666">
      <w:bodyDiv w:val="1"/>
      <w:marLeft w:val="0"/>
      <w:marRight w:val="0"/>
      <w:marTop w:val="0"/>
      <w:marBottom w:val="0"/>
      <w:divBdr>
        <w:top w:val="none" w:sz="0" w:space="0" w:color="auto"/>
        <w:left w:val="none" w:sz="0" w:space="0" w:color="auto"/>
        <w:bottom w:val="none" w:sz="0" w:space="0" w:color="auto"/>
        <w:right w:val="none" w:sz="0" w:space="0" w:color="auto"/>
      </w:divBdr>
      <w:divsChild>
        <w:div w:id="1386024777">
          <w:marLeft w:val="0"/>
          <w:marRight w:val="0"/>
          <w:marTop w:val="0"/>
          <w:marBottom w:val="0"/>
          <w:divBdr>
            <w:top w:val="none" w:sz="0" w:space="0" w:color="auto"/>
            <w:left w:val="none" w:sz="0" w:space="0" w:color="auto"/>
            <w:bottom w:val="none" w:sz="0" w:space="0" w:color="auto"/>
            <w:right w:val="none" w:sz="0" w:space="0" w:color="auto"/>
          </w:divBdr>
        </w:div>
      </w:divsChild>
    </w:div>
    <w:div w:id="458761814">
      <w:bodyDiv w:val="1"/>
      <w:marLeft w:val="0"/>
      <w:marRight w:val="0"/>
      <w:marTop w:val="0"/>
      <w:marBottom w:val="0"/>
      <w:divBdr>
        <w:top w:val="none" w:sz="0" w:space="0" w:color="auto"/>
        <w:left w:val="none" w:sz="0" w:space="0" w:color="auto"/>
        <w:bottom w:val="none" w:sz="0" w:space="0" w:color="auto"/>
        <w:right w:val="none" w:sz="0" w:space="0" w:color="auto"/>
      </w:divBdr>
    </w:div>
    <w:div w:id="467816784">
      <w:bodyDiv w:val="1"/>
      <w:marLeft w:val="0"/>
      <w:marRight w:val="0"/>
      <w:marTop w:val="0"/>
      <w:marBottom w:val="0"/>
      <w:divBdr>
        <w:top w:val="none" w:sz="0" w:space="0" w:color="auto"/>
        <w:left w:val="none" w:sz="0" w:space="0" w:color="auto"/>
        <w:bottom w:val="none" w:sz="0" w:space="0" w:color="auto"/>
        <w:right w:val="none" w:sz="0" w:space="0" w:color="auto"/>
      </w:divBdr>
    </w:div>
    <w:div w:id="473645414">
      <w:bodyDiv w:val="1"/>
      <w:marLeft w:val="0"/>
      <w:marRight w:val="0"/>
      <w:marTop w:val="0"/>
      <w:marBottom w:val="0"/>
      <w:divBdr>
        <w:top w:val="none" w:sz="0" w:space="0" w:color="auto"/>
        <w:left w:val="none" w:sz="0" w:space="0" w:color="auto"/>
        <w:bottom w:val="none" w:sz="0" w:space="0" w:color="auto"/>
        <w:right w:val="none" w:sz="0" w:space="0" w:color="auto"/>
      </w:divBdr>
    </w:div>
    <w:div w:id="474294198">
      <w:bodyDiv w:val="1"/>
      <w:marLeft w:val="0"/>
      <w:marRight w:val="0"/>
      <w:marTop w:val="0"/>
      <w:marBottom w:val="0"/>
      <w:divBdr>
        <w:top w:val="none" w:sz="0" w:space="0" w:color="auto"/>
        <w:left w:val="none" w:sz="0" w:space="0" w:color="auto"/>
        <w:bottom w:val="none" w:sz="0" w:space="0" w:color="auto"/>
        <w:right w:val="none" w:sz="0" w:space="0" w:color="auto"/>
      </w:divBdr>
    </w:div>
    <w:div w:id="474563239">
      <w:bodyDiv w:val="1"/>
      <w:marLeft w:val="0"/>
      <w:marRight w:val="0"/>
      <w:marTop w:val="0"/>
      <w:marBottom w:val="0"/>
      <w:divBdr>
        <w:top w:val="none" w:sz="0" w:space="0" w:color="auto"/>
        <w:left w:val="none" w:sz="0" w:space="0" w:color="auto"/>
        <w:bottom w:val="none" w:sz="0" w:space="0" w:color="auto"/>
        <w:right w:val="none" w:sz="0" w:space="0" w:color="auto"/>
      </w:divBdr>
      <w:divsChild>
        <w:div w:id="1206212688">
          <w:marLeft w:val="0"/>
          <w:marRight w:val="0"/>
          <w:marTop w:val="0"/>
          <w:marBottom w:val="0"/>
          <w:divBdr>
            <w:top w:val="none" w:sz="0" w:space="0" w:color="auto"/>
            <w:left w:val="none" w:sz="0" w:space="0" w:color="auto"/>
            <w:bottom w:val="none" w:sz="0" w:space="0" w:color="auto"/>
            <w:right w:val="none" w:sz="0" w:space="0" w:color="auto"/>
          </w:divBdr>
        </w:div>
      </w:divsChild>
    </w:div>
    <w:div w:id="502167790">
      <w:bodyDiv w:val="1"/>
      <w:marLeft w:val="0"/>
      <w:marRight w:val="0"/>
      <w:marTop w:val="0"/>
      <w:marBottom w:val="0"/>
      <w:divBdr>
        <w:top w:val="none" w:sz="0" w:space="0" w:color="auto"/>
        <w:left w:val="none" w:sz="0" w:space="0" w:color="auto"/>
        <w:bottom w:val="none" w:sz="0" w:space="0" w:color="auto"/>
        <w:right w:val="none" w:sz="0" w:space="0" w:color="auto"/>
      </w:divBdr>
    </w:div>
    <w:div w:id="516694425">
      <w:bodyDiv w:val="1"/>
      <w:marLeft w:val="0"/>
      <w:marRight w:val="0"/>
      <w:marTop w:val="0"/>
      <w:marBottom w:val="0"/>
      <w:divBdr>
        <w:top w:val="none" w:sz="0" w:space="0" w:color="auto"/>
        <w:left w:val="none" w:sz="0" w:space="0" w:color="auto"/>
        <w:bottom w:val="none" w:sz="0" w:space="0" w:color="auto"/>
        <w:right w:val="none" w:sz="0" w:space="0" w:color="auto"/>
      </w:divBdr>
    </w:div>
    <w:div w:id="527180356">
      <w:bodyDiv w:val="1"/>
      <w:marLeft w:val="0"/>
      <w:marRight w:val="0"/>
      <w:marTop w:val="0"/>
      <w:marBottom w:val="0"/>
      <w:divBdr>
        <w:top w:val="none" w:sz="0" w:space="0" w:color="auto"/>
        <w:left w:val="none" w:sz="0" w:space="0" w:color="auto"/>
        <w:bottom w:val="none" w:sz="0" w:space="0" w:color="auto"/>
        <w:right w:val="none" w:sz="0" w:space="0" w:color="auto"/>
      </w:divBdr>
    </w:div>
    <w:div w:id="542134829">
      <w:bodyDiv w:val="1"/>
      <w:marLeft w:val="0"/>
      <w:marRight w:val="0"/>
      <w:marTop w:val="0"/>
      <w:marBottom w:val="0"/>
      <w:divBdr>
        <w:top w:val="none" w:sz="0" w:space="0" w:color="auto"/>
        <w:left w:val="none" w:sz="0" w:space="0" w:color="auto"/>
        <w:bottom w:val="none" w:sz="0" w:space="0" w:color="auto"/>
        <w:right w:val="none" w:sz="0" w:space="0" w:color="auto"/>
      </w:divBdr>
    </w:div>
    <w:div w:id="548538535">
      <w:bodyDiv w:val="1"/>
      <w:marLeft w:val="0"/>
      <w:marRight w:val="0"/>
      <w:marTop w:val="0"/>
      <w:marBottom w:val="0"/>
      <w:divBdr>
        <w:top w:val="none" w:sz="0" w:space="0" w:color="auto"/>
        <w:left w:val="none" w:sz="0" w:space="0" w:color="auto"/>
        <w:bottom w:val="none" w:sz="0" w:space="0" w:color="auto"/>
        <w:right w:val="none" w:sz="0" w:space="0" w:color="auto"/>
      </w:divBdr>
    </w:div>
    <w:div w:id="555287093">
      <w:bodyDiv w:val="1"/>
      <w:marLeft w:val="0"/>
      <w:marRight w:val="0"/>
      <w:marTop w:val="0"/>
      <w:marBottom w:val="0"/>
      <w:divBdr>
        <w:top w:val="none" w:sz="0" w:space="0" w:color="auto"/>
        <w:left w:val="none" w:sz="0" w:space="0" w:color="auto"/>
        <w:bottom w:val="none" w:sz="0" w:space="0" w:color="auto"/>
        <w:right w:val="none" w:sz="0" w:space="0" w:color="auto"/>
      </w:divBdr>
    </w:div>
    <w:div w:id="558444798">
      <w:bodyDiv w:val="1"/>
      <w:marLeft w:val="0"/>
      <w:marRight w:val="0"/>
      <w:marTop w:val="0"/>
      <w:marBottom w:val="0"/>
      <w:divBdr>
        <w:top w:val="none" w:sz="0" w:space="0" w:color="auto"/>
        <w:left w:val="none" w:sz="0" w:space="0" w:color="auto"/>
        <w:bottom w:val="none" w:sz="0" w:space="0" w:color="auto"/>
        <w:right w:val="none" w:sz="0" w:space="0" w:color="auto"/>
      </w:divBdr>
    </w:div>
    <w:div w:id="565799272">
      <w:bodyDiv w:val="1"/>
      <w:marLeft w:val="0"/>
      <w:marRight w:val="0"/>
      <w:marTop w:val="0"/>
      <w:marBottom w:val="0"/>
      <w:divBdr>
        <w:top w:val="none" w:sz="0" w:space="0" w:color="auto"/>
        <w:left w:val="none" w:sz="0" w:space="0" w:color="auto"/>
        <w:bottom w:val="none" w:sz="0" w:space="0" w:color="auto"/>
        <w:right w:val="none" w:sz="0" w:space="0" w:color="auto"/>
      </w:divBdr>
    </w:div>
    <w:div w:id="584924315">
      <w:bodyDiv w:val="1"/>
      <w:marLeft w:val="0"/>
      <w:marRight w:val="0"/>
      <w:marTop w:val="0"/>
      <w:marBottom w:val="0"/>
      <w:divBdr>
        <w:top w:val="none" w:sz="0" w:space="0" w:color="auto"/>
        <w:left w:val="none" w:sz="0" w:space="0" w:color="auto"/>
        <w:bottom w:val="none" w:sz="0" w:space="0" w:color="auto"/>
        <w:right w:val="none" w:sz="0" w:space="0" w:color="auto"/>
      </w:divBdr>
    </w:div>
    <w:div w:id="598299599">
      <w:bodyDiv w:val="1"/>
      <w:marLeft w:val="0"/>
      <w:marRight w:val="0"/>
      <w:marTop w:val="0"/>
      <w:marBottom w:val="0"/>
      <w:divBdr>
        <w:top w:val="none" w:sz="0" w:space="0" w:color="auto"/>
        <w:left w:val="none" w:sz="0" w:space="0" w:color="auto"/>
        <w:bottom w:val="none" w:sz="0" w:space="0" w:color="auto"/>
        <w:right w:val="none" w:sz="0" w:space="0" w:color="auto"/>
      </w:divBdr>
    </w:div>
    <w:div w:id="603654369">
      <w:bodyDiv w:val="1"/>
      <w:marLeft w:val="0"/>
      <w:marRight w:val="0"/>
      <w:marTop w:val="0"/>
      <w:marBottom w:val="0"/>
      <w:divBdr>
        <w:top w:val="none" w:sz="0" w:space="0" w:color="auto"/>
        <w:left w:val="none" w:sz="0" w:space="0" w:color="auto"/>
        <w:bottom w:val="none" w:sz="0" w:space="0" w:color="auto"/>
        <w:right w:val="none" w:sz="0" w:space="0" w:color="auto"/>
      </w:divBdr>
    </w:div>
    <w:div w:id="607470716">
      <w:bodyDiv w:val="1"/>
      <w:marLeft w:val="0"/>
      <w:marRight w:val="0"/>
      <w:marTop w:val="0"/>
      <w:marBottom w:val="0"/>
      <w:divBdr>
        <w:top w:val="none" w:sz="0" w:space="0" w:color="auto"/>
        <w:left w:val="none" w:sz="0" w:space="0" w:color="auto"/>
        <w:bottom w:val="none" w:sz="0" w:space="0" w:color="auto"/>
        <w:right w:val="none" w:sz="0" w:space="0" w:color="auto"/>
      </w:divBdr>
    </w:div>
    <w:div w:id="617680733">
      <w:bodyDiv w:val="1"/>
      <w:marLeft w:val="0"/>
      <w:marRight w:val="0"/>
      <w:marTop w:val="0"/>
      <w:marBottom w:val="0"/>
      <w:divBdr>
        <w:top w:val="none" w:sz="0" w:space="0" w:color="auto"/>
        <w:left w:val="none" w:sz="0" w:space="0" w:color="auto"/>
        <w:bottom w:val="none" w:sz="0" w:space="0" w:color="auto"/>
        <w:right w:val="none" w:sz="0" w:space="0" w:color="auto"/>
      </w:divBdr>
    </w:div>
    <w:div w:id="632364665">
      <w:bodyDiv w:val="1"/>
      <w:marLeft w:val="0"/>
      <w:marRight w:val="0"/>
      <w:marTop w:val="0"/>
      <w:marBottom w:val="0"/>
      <w:divBdr>
        <w:top w:val="none" w:sz="0" w:space="0" w:color="auto"/>
        <w:left w:val="none" w:sz="0" w:space="0" w:color="auto"/>
        <w:bottom w:val="none" w:sz="0" w:space="0" w:color="auto"/>
        <w:right w:val="none" w:sz="0" w:space="0" w:color="auto"/>
      </w:divBdr>
    </w:div>
    <w:div w:id="680819315">
      <w:bodyDiv w:val="1"/>
      <w:marLeft w:val="0"/>
      <w:marRight w:val="0"/>
      <w:marTop w:val="0"/>
      <w:marBottom w:val="0"/>
      <w:divBdr>
        <w:top w:val="none" w:sz="0" w:space="0" w:color="auto"/>
        <w:left w:val="none" w:sz="0" w:space="0" w:color="auto"/>
        <w:bottom w:val="none" w:sz="0" w:space="0" w:color="auto"/>
        <w:right w:val="none" w:sz="0" w:space="0" w:color="auto"/>
      </w:divBdr>
      <w:divsChild>
        <w:div w:id="235437843">
          <w:marLeft w:val="547"/>
          <w:marRight w:val="0"/>
          <w:marTop w:val="200"/>
          <w:marBottom w:val="0"/>
          <w:divBdr>
            <w:top w:val="none" w:sz="0" w:space="0" w:color="auto"/>
            <w:left w:val="none" w:sz="0" w:space="0" w:color="auto"/>
            <w:bottom w:val="none" w:sz="0" w:space="0" w:color="auto"/>
            <w:right w:val="none" w:sz="0" w:space="0" w:color="auto"/>
          </w:divBdr>
        </w:div>
        <w:div w:id="288320991">
          <w:marLeft w:val="547"/>
          <w:marRight w:val="0"/>
          <w:marTop w:val="200"/>
          <w:marBottom w:val="0"/>
          <w:divBdr>
            <w:top w:val="none" w:sz="0" w:space="0" w:color="auto"/>
            <w:left w:val="none" w:sz="0" w:space="0" w:color="auto"/>
            <w:bottom w:val="none" w:sz="0" w:space="0" w:color="auto"/>
            <w:right w:val="none" w:sz="0" w:space="0" w:color="auto"/>
          </w:divBdr>
        </w:div>
        <w:div w:id="497186099">
          <w:marLeft w:val="547"/>
          <w:marRight w:val="0"/>
          <w:marTop w:val="200"/>
          <w:marBottom w:val="0"/>
          <w:divBdr>
            <w:top w:val="none" w:sz="0" w:space="0" w:color="auto"/>
            <w:left w:val="none" w:sz="0" w:space="0" w:color="auto"/>
            <w:bottom w:val="none" w:sz="0" w:space="0" w:color="auto"/>
            <w:right w:val="none" w:sz="0" w:space="0" w:color="auto"/>
          </w:divBdr>
        </w:div>
        <w:div w:id="1002900282">
          <w:marLeft w:val="547"/>
          <w:marRight w:val="0"/>
          <w:marTop w:val="200"/>
          <w:marBottom w:val="0"/>
          <w:divBdr>
            <w:top w:val="none" w:sz="0" w:space="0" w:color="auto"/>
            <w:left w:val="none" w:sz="0" w:space="0" w:color="auto"/>
            <w:bottom w:val="none" w:sz="0" w:space="0" w:color="auto"/>
            <w:right w:val="none" w:sz="0" w:space="0" w:color="auto"/>
          </w:divBdr>
        </w:div>
        <w:div w:id="1126661486">
          <w:marLeft w:val="547"/>
          <w:marRight w:val="0"/>
          <w:marTop w:val="200"/>
          <w:marBottom w:val="0"/>
          <w:divBdr>
            <w:top w:val="none" w:sz="0" w:space="0" w:color="auto"/>
            <w:left w:val="none" w:sz="0" w:space="0" w:color="auto"/>
            <w:bottom w:val="none" w:sz="0" w:space="0" w:color="auto"/>
            <w:right w:val="none" w:sz="0" w:space="0" w:color="auto"/>
          </w:divBdr>
        </w:div>
        <w:div w:id="1574005986">
          <w:marLeft w:val="547"/>
          <w:marRight w:val="0"/>
          <w:marTop w:val="200"/>
          <w:marBottom w:val="0"/>
          <w:divBdr>
            <w:top w:val="none" w:sz="0" w:space="0" w:color="auto"/>
            <w:left w:val="none" w:sz="0" w:space="0" w:color="auto"/>
            <w:bottom w:val="none" w:sz="0" w:space="0" w:color="auto"/>
            <w:right w:val="none" w:sz="0" w:space="0" w:color="auto"/>
          </w:divBdr>
        </w:div>
      </w:divsChild>
    </w:div>
    <w:div w:id="682169902">
      <w:bodyDiv w:val="1"/>
      <w:marLeft w:val="0"/>
      <w:marRight w:val="0"/>
      <w:marTop w:val="0"/>
      <w:marBottom w:val="0"/>
      <w:divBdr>
        <w:top w:val="none" w:sz="0" w:space="0" w:color="auto"/>
        <w:left w:val="none" w:sz="0" w:space="0" w:color="auto"/>
        <w:bottom w:val="none" w:sz="0" w:space="0" w:color="auto"/>
        <w:right w:val="none" w:sz="0" w:space="0" w:color="auto"/>
      </w:divBdr>
    </w:div>
    <w:div w:id="699820300">
      <w:bodyDiv w:val="1"/>
      <w:marLeft w:val="0"/>
      <w:marRight w:val="0"/>
      <w:marTop w:val="0"/>
      <w:marBottom w:val="0"/>
      <w:divBdr>
        <w:top w:val="none" w:sz="0" w:space="0" w:color="auto"/>
        <w:left w:val="none" w:sz="0" w:space="0" w:color="auto"/>
        <w:bottom w:val="none" w:sz="0" w:space="0" w:color="auto"/>
        <w:right w:val="none" w:sz="0" w:space="0" w:color="auto"/>
      </w:divBdr>
    </w:div>
    <w:div w:id="714813075">
      <w:bodyDiv w:val="1"/>
      <w:marLeft w:val="0"/>
      <w:marRight w:val="0"/>
      <w:marTop w:val="0"/>
      <w:marBottom w:val="0"/>
      <w:divBdr>
        <w:top w:val="none" w:sz="0" w:space="0" w:color="auto"/>
        <w:left w:val="none" w:sz="0" w:space="0" w:color="auto"/>
        <w:bottom w:val="none" w:sz="0" w:space="0" w:color="auto"/>
        <w:right w:val="none" w:sz="0" w:space="0" w:color="auto"/>
      </w:divBdr>
    </w:div>
    <w:div w:id="733161455">
      <w:bodyDiv w:val="1"/>
      <w:marLeft w:val="0"/>
      <w:marRight w:val="0"/>
      <w:marTop w:val="0"/>
      <w:marBottom w:val="0"/>
      <w:divBdr>
        <w:top w:val="none" w:sz="0" w:space="0" w:color="auto"/>
        <w:left w:val="none" w:sz="0" w:space="0" w:color="auto"/>
        <w:bottom w:val="none" w:sz="0" w:space="0" w:color="auto"/>
        <w:right w:val="none" w:sz="0" w:space="0" w:color="auto"/>
      </w:divBdr>
    </w:div>
    <w:div w:id="735857608">
      <w:bodyDiv w:val="1"/>
      <w:marLeft w:val="0"/>
      <w:marRight w:val="0"/>
      <w:marTop w:val="0"/>
      <w:marBottom w:val="0"/>
      <w:divBdr>
        <w:top w:val="none" w:sz="0" w:space="0" w:color="auto"/>
        <w:left w:val="none" w:sz="0" w:space="0" w:color="auto"/>
        <w:bottom w:val="none" w:sz="0" w:space="0" w:color="auto"/>
        <w:right w:val="none" w:sz="0" w:space="0" w:color="auto"/>
      </w:divBdr>
    </w:div>
    <w:div w:id="735980099">
      <w:bodyDiv w:val="1"/>
      <w:marLeft w:val="0"/>
      <w:marRight w:val="0"/>
      <w:marTop w:val="0"/>
      <w:marBottom w:val="0"/>
      <w:divBdr>
        <w:top w:val="none" w:sz="0" w:space="0" w:color="auto"/>
        <w:left w:val="none" w:sz="0" w:space="0" w:color="auto"/>
        <w:bottom w:val="none" w:sz="0" w:space="0" w:color="auto"/>
        <w:right w:val="none" w:sz="0" w:space="0" w:color="auto"/>
      </w:divBdr>
    </w:div>
    <w:div w:id="742601493">
      <w:bodyDiv w:val="1"/>
      <w:marLeft w:val="0"/>
      <w:marRight w:val="0"/>
      <w:marTop w:val="0"/>
      <w:marBottom w:val="0"/>
      <w:divBdr>
        <w:top w:val="none" w:sz="0" w:space="0" w:color="auto"/>
        <w:left w:val="none" w:sz="0" w:space="0" w:color="auto"/>
        <w:bottom w:val="none" w:sz="0" w:space="0" w:color="auto"/>
        <w:right w:val="none" w:sz="0" w:space="0" w:color="auto"/>
      </w:divBdr>
    </w:div>
    <w:div w:id="743451997">
      <w:bodyDiv w:val="1"/>
      <w:marLeft w:val="0"/>
      <w:marRight w:val="0"/>
      <w:marTop w:val="0"/>
      <w:marBottom w:val="0"/>
      <w:divBdr>
        <w:top w:val="none" w:sz="0" w:space="0" w:color="auto"/>
        <w:left w:val="none" w:sz="0" w:space="0" w:color="auto"/>
        <w:bottom w:val="none" w:sz="0" w:space="0" w:color="auto"/>
        <w:right w:val="none" w:sz="0" w:space="0" w:color="auto"/>
      </w:divBdr>
      <w:divsChild>
        <w:div w:id="449275755">
          <w:marLeft w:val="0"/>
          <w:marRight w:val="0"/>
          <w:marTop w:val="0"/>
          <w:marBottom w:val="0"/>
          <w:divBdr>
            <w:top w:val="none" w:sz="0" w:space="0" w:color="auto"/>
            <w:left w:val="none" w:sz="0" w:space="0" w:color="auto"/>
            <w:bottom w:val="none" w:sz="0" w:space="0" w:color="auto"/>
            <w:right w:val="none" w:sz="0" w:space="0" w:color="auto"/>
          </w:divBdr>
        </w:div>
      </w:divsChild>
    </w:div>
    <w:div w:id="771903059">
      <w:bodyDiv w:val="1"/>
      <w:marLeft w:val="0"/>
      <w:marRight w:val="0"/>
      <w:marTop w:val="0"/>
      <w:marBottom w:val="0"/>
      <w:divBdr>
        <w:top w:val="none" w:sz="0" w:space="0" w:color="auto"/>
        <w:left w:val="none" w:sz="0" w:space="0" w:color="auto"/>
        <w:bottom w:val="none" w:sz="0" w:space="0" w:color="auto"/>
        <w:right w:val="none" w:sz="0" w:space="0" w:color="auto"/>
      </w:divBdr>
      <w:divsChild>
        <w:div w:id="653799620">
          <w:marLeft w:val="0"/>
          <w:marRight w:val="0"/>
          <w:marTop w:val="0"/>
          <w:marBottom w:val="0"/>
          <w:divBdr>
            <w:top w:val="none" w:sz="0" w:space="0" w:color="auto"/>
            <w:left w:val="none" w:sz="0" w:space="0" w:color="auto"/>
            <w:bottom w:val="none" w:sz="0" w:space="0" w:color="auto"/>
            <w:right w:val="none" w:sz="0" w:space="0" w:color="auto"/>
          </w:divBdr>
        </w:div>
        <w:div w:id="1425104173">
          <w:marLeft w:val="0"/>
          <w:marRight w:val="0"/>
          <w:marTop w:val="0"/>
          <w:marBottom w:val="0"/>
          <w:divBdr>
            <w:top w:val="none" w:sz="0" w:space="0" w:color="auto"/>
            <w:left w:val="none" w:sz="0" w:space="0" w:color="auto"/>
            <w:bottom w:val="none" w:sz="0" w:space="0" w:color="auto"/>
            <w:right w:val="none" w:sz="0" w:space="0" w:color="auto"/>
          </w:divBdr>
        </w:div>
      </w:divsChild>
    </w:div>
    <w:div w:id="784930541">
      <w:bodyDiv w:val="1"/>
      <w:marLeft w:val="0"/>
      <w:marRight w:val="0"/>
      <w:marTop w:val="0"/>
      <w:marBottom w:val="0"/>
      <w:divBdr>
        <w:top w:val="none" w:sz="0" w:space="0" w:color="auto"/>
        <w:left w:val="none" w:sz="0" w:space="0" w:color="auto"/>
        <w:bottom w:val="none" w:sz="0" w:space="0" w:color="auto"/>
        <w:right w:val="none" w:sz="0" w:space="0" w:color="auto"/>
      </w:divBdr>
      <w:divsChild>
        <w:div w:id="869033705">
          <w:marLeft w:val="0"/>
          <w:marRight w:val="0"/>
          <w:marTop w:val="0"/>
          <w:marBottom w:val="0"/>
          <w:divBdr>
            <w:top w:val="none" w:sz="0" w:space="0" w:color="auto"/>
            <w:left w:val="none" w:sz="0" w:space="0" w:color="auto"/>
            <w:bottom w:val="none" w:sz="0" w:space="0" w:color="auto"/>
            <w:right w:val="none" w:sz="0" w:space="0" w:color="auto"/>
          </w:divBdr>
        </w:div>
        <w:div w:id="1026248682">
          <w:marLeft w:val="0"/>
          <w:marRight w:val="0"/>
          <w:marTop w:val="0"/>
          <w:marBottom w:val="0"/>
          <w:divBdr>
            <w:top w:val="none" w:sz="0" w:space="0" w:color="auto"/>
            <w:left w:val="none" w:sz="0" w:space="0" w:color="auto"/>
            <w:bottom w:val="none" w:sz="0" w:space="0" w:color="auto"/>
            <w:right w:val="none" w:sz="0" w:space="0" w:color="auto"/>
          </w:divBdr>
        </w:div>
        <w:div w:id="1651907694">
          <w:marLeft w:val="0"/>
          <w:marRight w:val="0"/>
          <w:marTop w:val="0"/>
          <w:marBottom w:val="0"/>
          <w:divBdr>
            <w:top w:val="none" w:sz="0" w:space="0" w:color="auto"/>
            <w:left w:val="none" w:sz="0" w:space="0" w:color="auto"/>
            <w:bottom w:val="none" w:sz="0" w:space="0" w:color="auto"/>
            <w:right w:val="none" w:sz="0" w:space="0" w:color="auto"/>
          </w:divBdr>
        </w:div>
      </w:divsChild>
    </w:div>
    <w:div w:id="786776494">
      <w:bodyDiv w:val="1"/>
      <w:marLeft w:val="0"/>
      <w:marRight w:val="0"/>
      <w:marTop w:val="0"/>
      <w:marBottom w:val="0"/>
      <w:divBdr>
        <w:top w:val="none" w:sz="0" w:space="0" w:color="auto"/>
        <w:left w:val="none" w:sz="0" w:space="0" w:color="auto"/>
        <w:bottom w:val="none" w:sz="0" w:space="0" w:color="auto"/>
        <w:right w:val="none" w:sz="0" w:space="0" w:color="auto"/>
      </w:divBdr>
    </w:div>
    <w:div w:id="787242675">
      <w:bodyDiv w:val="1"/>
      <w:marLeft w:val="0"/>
      <w:marRight w:val="0"/>
      <w:marTop w:val="0"/>
      <w:marBottom w:val="0"/>
      <w:divBdr>
        <w:top w:val="none" w:sz="0" w:space="0" w:color="auto"/>
        <w:left w:val="none" w:sz="0" w:space="0" w:color="auto"/>
        <w:bottom w:val="none" w:sz="0" w:space="0" w:color="auto"/>
        <w:right w:val="none" w:sz="0" w:space="0" w:color="auto"/>
      </w:divBdr>
    </w:div>
    <w:div w:id="800340954">
      <w:bodyDiv w:val="1"/>
      <w:marLeft w:val="0"/>
      <w:marRight w:val="0"/>
      <w:marTop w:val="0"/>
      <w:marBottom w:val="0"/>
      <w:divBdr>
        <w:top w:val="none" w:sz="0" w:space="0" w:color="auto"/>
        <w:left w:val="none" w:sz="0" w:space="0" w:color="auto"/>
        <w:bottom w:val="none" w:sz="0" w:space="0" w:color="auto"/>
        <w:right w:val="none" w:sz="0" w:space="0" w:color="auto"/>
      </w:divBdr>
    </w:div>
    <w:div w:id="800995067">
      <w:bodyDiv w:val="1"/>
      <w:marLeft w:val="0"/>
      <w:marRight w:val="0"/>
      <w:marTop w:val="0"/>
      <w:marBottom w:val="0"/>
      <w:divBdr>
        <w:top w:val="none" w:sz="0" w:space="0" w:color="auto"/>
        <w:left w:val="none" w:sz="0" w:space="0" w:color="auto"/>
        <w:bottom w:val="none" w:sz="0" w:space="0" w:color="auto"/>
        <w:right w:val="none" w:sz="0" w:space="0" w:color="auto"/>
      </w:divBdr>
    </w:div>
    <w:div w:id="801651008">
      <w:bodyDiv w:val="1"/>
      <w:marLeft w:val="0"/>
      <w:marRight w:val="0"/>
      <w:marTop w:val="0"/>
      <w:marBottom w:val="0"/>
      <w:divBdr>
        <w:top w:val="none" w:sz="0" w:space="0" w:color="auto"/>
        <w:left w:val="none" w:sz="0" w:space="0" w:color="auto"/>
        <w:bottom w:val="none" w:sz="0" w:space="0" w:color="auto"/>
        <w:right w:val="none" w:sz="0" w:space="0" w:color="auto"/>
      </w:divBdr>
    </w:div>
    <w:div w:id="802120403">
      <w:bodyDiv w:val="1"/>
      <w:marLeft w:val="0"/>
      <w:marRight w:val="0"/>
      <w:marTop w:val="0"/>
      <w:marBottom w:val="0"/>
      <w:divBdr>
        <w:top w:val="none" w:sz="0" w:space="0" w:color="auto"/>
        <w:left w:val="none" w:sz="0" w:space="0" w:color="auto"/>
        <w:bottom w:val="none" w:sz="0" w:space="0" w:color="auto"/>
        <w:right w:val="none" w:sz="0" w:space="0" w:color="auto"/>
      </w:divBdr>
    </w:div>
    <w:div w:id="812410955">
      <w:bodyDiv w:val="1"/>
      <w:marLeft w:val="0"/>
      <w:marRight w:val="0"/>
      <w:marTop w:val="0"/>
      <w:marBottom w:val="0"/>
      <w:divBdr>
        <w:top w:val="none" w:sz="0" w:space="0" w:color="auto"/>
        <w:left w:val="none" w:sz="0" w:space="0" w:color="auto"/>
        <w:bottom w:val="none" w:sz="0" w:space="0" w:color="auto"/>
        <w:right w:val="none" w:sz="0" w:space="0" w:color="auto"/>
      </w:divBdr>
    </w:div>
    <w:div w:id="812453265">
      <w:bodyDiv w:val="1"/>
      <w:marLeft w:val="0"/>
      <w:marRight w:val="0"/>
      <w:marTop w:val="0"/>
      <w:marBottom w:val="0"/>
      <w:divBdr>
        <w:top w:val="none" w:sz="0" w:space="0" w:color="auto"/>
        <w:left w:val="none" w:sz="0" w:space="0" w:color="auto"/>
        <w:bottom w:val="none" w:sz="0" w:space="0" w:color="auto"/>
        <w:right w:val="none" w:sz="0" w:space="0" w:color="auto"/>
      </w:divBdr>
    </w:div>
    <w:div w:id="815605905">
      <w:bodyDiv w:val="1"/>
      <w:marLeft w:val="0"/>
      <w:marRight w:val="0"/>
      <w:marTop w:val="0"/>
      <w:marBottom w:val="0"/>
      <w:divBdr>
        <w:top w:val="none" w:sz="0" w:space="0" w:color="auto"/>
        <w:left w:val="none" w:sz="0" w:space="0" w:color="auto"/>
        <w:bottom w:val="none" w:sz="0" w:space="0" w:color="auto"/>
        <w:right w:val="none" w:sz="0" w:space="0" w:color="auto"/>
      </w:divBdr>
      <w:divsChild>
        <w:div w:id="629169894">
          <w:marLeft w:val="0"/>
          <w:marRight w:val="0"/>
          <w:marTop w:val="0"/>
          <w:marBottom w:val="0"/>
          <w:divBdr>
            <w:top w:val="none" w:sz="0" w:space="0" w:color="auto"/>
            <w:left w:val="none" w:sz="0" w:space="0" w:color="auto"/>
            <w:bottom w:val="none" w:sz="0" w:space="0" w:color="auto"/>
            <w:right w:val="none" w:sz="0" w:space="0" w:color="auto"/>
          </w:divBdr>
        </w:div>
      </w:divsChild>
    </w:div>
    <w:div w:id="818116035">
      <w:bodyDiv w:val="1"/>
      <w:marLeft w:val="0"/>
      <w:marRight w:val="0"/>
      <w:marTop w:val="0"/>
      <w:marBottom w:val="0"/>
      <w:divBdr>
        <w:top w:val="none" w:sz="0" w:space="0" w:color="auto"/>
        <w:left w:val="none" w:sz="0" w:space="0" w:color="auto"/>
        <w:bottom w:val="none" w:sz="0" w:space="0" w:color="auto"/>
        <w:right w:val="none" w:sz="0" w:space="0" w:color="auto"/>
      </w:divBdr>
    </w:div>
    <w:div w:id="823352979">
      <w:bodyDiv w:val="1"/>
      <w:marLeft w:val="0"/>
      <w:marRight w:val="0"/>
      <w:marTop w:val="0"/>
      <w:marBottom w:val="0"/>
      <w:divBdr>
        <w:top w:val="none" w:sz="0" w:space="0" w:color="auto"/>
        <w:left w:val="none" w:sz="0" w:space="0" w:color="auto"/>
        <w:bottom w:val="none" w:sz="0" w:space="0" w:color="auto"/>
        <w:right w:val="none" w:sz="0" w:space="0" w:color="auto"/>
      </w:divBdr>
    </w:div>
    <w:div w:id="835463985">
      <w:bodyDiv w:val="1"/>
      <w:marLeft w:val="0"/>
      <w:marRight w:val="0"/>
      <w:marTop w:val="0"/>
      <w:marBottom w:val="0"/>
      <w:divBdr>
        <w:top w:val="none" w:sz="0" w:space="0" w:color="auto"/>
        <w:left w:val="none" w:sz="0" w:space="0" w:color="auto"/>
        <w:bottom w:val="none" w:sz="0" w:space="0" w:color="auto"/>
        <w:right w:val="none" w:sz="0" w:space="0" w:color="auto"/>
      </w:divBdr>
    </w:div>
    <w:div w:id="862203867">
      <w:bodyDiv w:val="1"/>
      <w:marLeft w:val="0"/>
      <w:marRight w:val="0"/>
      <w:marTop w:val="0"/>
      <w:marBottom w:val="0"/>
      <w:divBdr>
        <w:top w:val="none" w:sz="0" w:space="0" w:color="auto"/>
        <w:left w:val="none" w:sz="0" w:space="0" w:color="auto"/>
        <w:bottom w:val="none" w:sz="0" w:space="0" w:color="auto"/>
        <w:right w:val="none" w:sz="0" w:space="0" w:color="auto"/>
      </w:divBdr>
    </w:div>
    <w:div w:id="868955144">
      <w:bodyDiv w:val="1"/>
      <w:marLeft w:val="0"/>
      <w:marRight w:val="0"/>
      <w:marTop w:val="0"/>
      <w:marBottom w:val="0"/>
      <w:divBdr>
        <w:top w:val="none" w:sz="0" w:space="0" w:color="auto"/>
        <w:left w:val="none" w:sz="0" w:space="0" w:color="auto"/>
        <w:bottom w:val="none" w:sz="0" w:space="0" w:color="auto"/>
        <w:right w:val="none" w:sz="0" w:space="0" w:color="auto"/>
      </w:divBdr>
    </w:div>
    <w:div w:id="869953405">
      <w:bodyDiv w:val="1"/>
      <w:marLeft w:val="0"/>
      <w:marRight w:val="0"/>
      <w:marTop w:val="0"/>
      <w:marBottom w:val="0"/>
      <w:divBdr>
        <w:top w:val="none" w:sz="0" w:space="0" w:color="auto"/>
        <w:left w:val="none" w:sz="0" w:space="0" w:color="auto"/>
        <w:bottom w:val="none" w:sz="0" w:space="0" w:color="auto"/>
        <w:right w:val="none" w:sz="0" w:space="0" w:color="auto"/>
      </w:divBdr>
    </w:div>
    <w:div w:id="883054265">
      <w:bodyDiv w:val="1"/>
      <w:marLeft w:val="0"/>
      <w:marRight w:val="0"/>
      <w:marTop w:val="0"/>
      <w:marBottom w:val="0"/>
      <w:divBdr>
        <w:top w:val="none" w:sz="0" w:space="0" w:color="auto"/>
        <w:left w:val="none" w:sz="0" w:space="0" w:color="auto"/>
        <w:bottom w:val="none" w:sz="0" w:space="0" w:color="auto"/>
        <w:right w:val="none" w:sz="0" w:space="0" w:color="auto"/>
      </w:divBdr>
    </w:div>
    <w:div w:id="883757776">
      <w:bodyDiv w:val="1"/>
      <w:marLeft w:val="0"/>
      <w:marRight w:val="0"/>
      <w:marTop w:val="0"/>
      <w:marBottom w:val="0"/>
      <w:divBdr>
        <w:top w:val="none" w:sz="0" w:space="0" w:color="auto"/>
        <w:left w:val="none" w:sz="0" w:space="0" w:color="auto"/>
        <w:bottom w:val="none" w:sz="0" w:space="0" w:color="auto"/>
        <w:right w:val="none" w:sz="0" w:space="0" w:color="auto"/>
      </w:divBdr>
    </w:div>
    <w:div w:id="894706464">
      <w:bodyDiv w:val="1"/>
      <w:marLeft w:val="0"/>
      <w:marRight w:val="0"/>
      <w:marTop w:val="0"/>
      <w:marBottom w:val="0"/>
      <w:divBdr>
        <w:top w:val="none" w:sz="0" w:space="0" w:color="auto"/>
        <w:left w:val="none" w:sz="0" w:space="0" w:color="auto"/>
        <w:bottom w:val="none" w:sz="0" w:space="0" w:color="auto"/>
        <w:right w:val="none" w:sz="0" w:space="0" w:color="auto"/>
      </w:divBdr>
    </w:div>
    <w:div w:id="901477224">
      <w:bodyDiv w:val="1"/>
      <w:marLeft w:val="0"/>
      <w:marRight w:val="0"/>
      <w:marTop w:val="0"/>
      <w:marBottom w:val="0"/>
      <w:divBdr>
        <w:top w:val="none" w:sz="0" w:space="0" w:color="auto"/>
        <w:left w:val="none" w:sz="0" w:space="0" w:color="auto"/>
        <w:bottom w:val="none" w:sz="0" w:space="0" w:color="auto"/>
        <w:right w:val="none" w:sz="0" w:space="0" w:color="auto"/>
      </w:divBdr>
    </w:div>
    <w:div w:id="901522558">
      <w:bodyDiv w:val="1"/>
      <w:marLeft w:val="0"/>
      <w:marRight w:val="0"/>
      <w:marTop w:val="0"/>
      <w:marBottom w:val="0"/>
      <w:divBdr>
        <w:top w:val="none" w:sz="0" w:space="0" w:color="auto"/>
        <w:left w:val="none" w:sz="0" w:space="0" w:color="auto"/>
        <w:bottom w:val="none" w:sz="0" w:space="0" w:color="auto"/>
        <w:right w:val="none" w:sz="0" w:space="0" w:color="auto"/>
      </w:divBdr>
      <w:divsChild>
        <w:div w:id="1864711801">
          <w:marLeft w:val="0"/>
          <w:marRight w:val="0"/>
          <w:marTop w:val="0"/>
          <w:marBottom w:val="0"/>
          <w:divBdr>
            <w:top w:val="none" w:sz="0" w:space="0" w:color="auto"/>
            <w:left w:val="none" w:sz="0" w:space="0" w:color="auto"/>
            <w:bottom w:val="none" w:sz="0" w:space="0" w:color="auto"/>
            <w:right w:val="none" w:sz="0" w:space="0" w:color="auto"/>
          </w:divBdr>
        </w:div>
      </w:divsChild>
    </w:div>
    <w:div w:id="907572658">
      <w:bodyDiv w:val="1"/>
      <w:marLeft w:val="0"/>
      <w:marRight w:val="0"/>
      <w:marTop w:val="0"/>
      <w:marBottom w:val="0"/>
      <w:divBdr>
        <w:top w:val="none" w:sz="0" w:space="0" w:color="auto"/>
        <w:left w:val="none" w:sz="0" w:space="0" w:color="auto"/>
        <w:bottom w:val="none" w:sz="0" w:space="0" w:color="auto"/>
        <w:right w:val="none" w:sz="0" w:space="0" w:color="auto"/>
      </w:divBdr>
    </w:div>
    <w:div w:id="913390955">
      <w:bodyDiv w:val="1"/>
      <w:marLeft w:val="0"/>
      <w:marRight w:val="0"/>
      <w:marTop w:val="0"/>
      <w:marBottom w:val="0"/>
      <w:divBdr>
        <w:top w:val="none" w:sz="0" w:space="0" w:color="auto"/>
        <w:left w:val="none" w:sz="0" w:space="0" w:color="auto"/>
        <w:bottom w:val="none" w:sz="0" w:space="0" w:color="auto"/>
        <w:right w:val="none" w:sz="0" w:space="0" w:color="auto"/>
      </w:divBdr>
    </w:div>
    <w:div w:id="924457531">
      <w:bodyDiv w:val="1"/>
      <w:marLeft w:val="0"/>
      <w:marRight w:val="0"/>
      <w:marTop w:val="0"/>
      <w:marBottom w:val="0"/>
      <w:divBdr>
        <w:top w:val="none" w:sz="0" w:space="0" w:color="auto"/>
        <w:left w:val="none" w:sz="0" w:space="0" w:color="auto"/>
        <w:bottom w:val="none" w:sz="0" w:space="0" w:color="auto"/>
        <w:right w:val="none" w:sz="0" w:space="0" w:color="auto"/>
      </w:divBdr>
    </w:div>
    <w:div w:id="929238961">
      <w:bodyDiv w:val="1"/>
      <w:marLeft w:val="0"/>
      <w:marRight w:val="0"/>
      <w:marTop w:val="0"/>
      <w:marBottom w:val="0"/>
      <w:divBdr>
        <w:top w:val="none" w:sz="0" w:space="0" w:color="auto"/>
        <w:left w:val="none" w:sz="0" w:space="0" w:color="auto"/>
        <w:bottom w:val="none" w:sz="0" w:space="0" w:color="auto"/>
        <w:right w:val="none" w:sz="0" w:space="0" w:color="auto"/>
      </w:divBdr>
    </w:div>
    <w:div w:id="941037833">
      <w:bodyDiv w:val="1"/>
      <w:marLeft w:val="0"/>
      <w:marRight w:val="0"/>
      <w:marTop w:val="0"/>
      <w:marBottom w:val="0"/>
      <w:divBdr>
        <w:top w:val="none" w:sz="0" w:space="0" w:color="auto"/>
        <w:left w:val="none" w:sz="0" w:space="0" w:color="auto"/>
        <w:bottom w:val="none" w:sz="0" w:space="0" w:color="auto"/>
        <w:right w:val="none" w:sz="0" w:space="0" w:color="auto"/>
      </w:divBdr>
    </w:div>
    <w:div w:id="949629492">
      <w:bodyDiv w:val="1"/>
      <w:marLeft w:val="0"/>
      <w:marRight w:val="0"/>
      <w:marTop w:val="0"/>
      <w:marBottom w:val="0"/>
      <w:divBdr>
        <w:top w:val="none" w:sz="0" w:space="0" w:color="auto"/>
        <w:left w:val="none" w:sz="0" w:space="0" w:color="auto"/>
        <w:bottom w:val="none" w:sz="0" w:space="0" w:color="auto"/>
        <w:right w:val="none" w:sz="0" w:space="0" w:color="auto"/>
      </w:divBdr>
    </w:div>
    <w:div w:id="952631421">
      <w:bodyDiv w:val="1"/>
      <w:marLeft w:val="0"/>
      <w:marRight w:val="0"/>
      <w:marTop w:val="0"/>
      <w:marBottom w:val="0"/>
      <w:divBdr>
        <w:top w:val="none" w:sz="0" w:space="0" w:color="auto"/>
        <w:left w:val="none" w:sz="0" w:space="0" w:color="auto"/>
        <w:bottom w:val="none" w:sz="0" w:space="0" w:color="auto"/>
        <w:right w:val="none" w:sz="0" w:space="0" w:color="auto"/>
      </w:divBdr>
      <w:divsChild>
        <w:div w:id="942735868">
          <w:marLeft w:val="0"/>
          <w:marRight w:val="0"/>
          <w:marTop w:val="0"/>
          <w:marBottom w:val="0"/>
          <w:divBdr>
            <w:top w:val="none" w:sz="0" w:space="0" w:color="auto"/>
            <w:left w:val="none" w:sz="0" w:space="0" w:color="auto"/>
            <w:bottom w:val="none" w:sz="0" w:space="0" w:color="auto"/>
            <w:right w:val="none" w:sz="0" w:space="0" w:color="auto"/>
          </w:divBdr>
        </w:div>
      </w:divsChild>
    </w:div>
    <w:div w:id="963265992">
      <w:bodyDiv w:val="1"/>
      <w:marLeft w:val="0"/>
      <w:marRight w:val="0"/>
      <w:marTop w:val="0"/>
      <w:marBottom w:val="0"/>
      <w:divBdr>
        <w:top w:val="none" w:sz="0" w:space="0" w:color="auto"/>
        <w:left w:val="none" w:sz="0" w:space="0" w:color="auto"/>
        <w:bottom w:val="none" w:sz="0" w:space="0" w:color="auto"/>
        <w:right w:val="none" w:sz="0" w:space="0" w:color="auto"/>
      </w:divBdr>
    </w:div>
    <w:div w:id="967592146">
      <w:bodyDiv w:val="1"/>
      <w:marLeft w:val="0"/>
      <w:marRight w:val="0"/>
      <w:marTop w:val="0"/>
      <w:marBottom w:val="0"/>
      <w:divBdr>
        <w:top w:val="none" w:sz="0" w:space="0" w:color="auto"/>
        <w:left w:val="none" w:sz="0" w:space="0" w:color="auto"/>
        <w:bottom w:val="none" w:sz="0" w:space="0" w:color="auto"/>
        <w:right w:val="none" w:sz="0" w:space="0" w:color="auto"/>
      </w:divBdr>
    </w:div>
    <w:div w:id="979270256">
      <w:bodyDiv w:val="1"/>
      <w:marLeft w:val="0"/>
      <w:marRight w:val="0"/>
      <w:marTop w:val="0"/>
      <w:marBottom w:val="0"/>
      <w:divBdr>
        <w:top w:val="none" w:sz="0" w:space="0" w:color="auto"/>
        <w:left w:val="none" w:sz="0" w:space="0" w:color="auto"/>
        <w:bottom w:val="none" w:sz="0" w:space="0" w:color="auto"/>
        <w:right w:val="none" w:sz="0" w:space="0" w:color="auto"/>
      </w:divBdr>
    </w:div>
    <w:div w:id="985208506">
      <w:bodyDiv w:val="1"/>
      <w:marLeft w:val="0"/>
      <w:marRight w:val="0"/>
      <w:marTop w:val="0"/>
      <w:marBottom w:val="0"/>
      <w:divBdr>
        <w:top w:val="none" w:sz="0" w:space="0" w:color="auto"/>
        <w:left w:val="none" w:sz="0" w:space="0" w:color="auto"/>
        <w:bottom w:val="none" w:sz="0" w:space="0" w:color="auto"/>
        <w:right w:val="none" w:sz="0" w:space="0" w:color="auto"/>
      </w:divBdr>
    </w:div>
    <w:div w:id="993754745">
      <w:bodyDiv w:val="1"/>
      <w:marLeft w:val="0"/>
      <w:marRight w:val="0"/>
      <w:marTop w:val="0"/>
      <w:marBottom w:val="0"/>
      <w:divBdr>
        <w:top w:val="none" w:sz="0" w:space="0" w:color="auto"/>
        <w:left w:val="none" w:sz="0" w:space="0" w:color="auto"/>
        <w:bottom w:val="none" w:sz="0" w:space="0" w:color="auto"/>
        <w:right w:val="none" w:sz="0" w:space="0" w:color="auto"/>
      </w:divBdr>
    </w:div>
    <w:div w:id="995037516">
      <w:bodyDiv w:val="1"/>
      <w:marLeft w:val="0"/>
      <w:marRight w:val="0"/>
      <w:marTop w:val="0"/>
      <w:marBottom w:val="0"/>
      <w:divBdr>
        <w:top w:val="none" w:sz="0" w:space="0" w:color="auto"/>
        <w:left w:val="none" w:sz="0" w:space="0" w:color="auto"/>
        <w:bottom w:val="none" w:sz="0" w:space="0" w:color="auto"/>
        <w:right w:val="none" w:sz="0" w:space="0" w:color="auto"/>
      </w:divBdr>
    </w:div>
    <w:div w:id="996148310">
      <w:bodyDiv w:val="1"/>
      <w:marLeft w:val="0"/>
      <w:marRight w:val="0"/>
      <w:marTop w:val="0"/>
      <w:marBottom w:val="0"/>
      <w:divBdr>
        <w:top w:val="none" w:sz="0" w:space="0" w:color="auto"/>
        <w:left w:val="none" w:sz="0" w:space="0" w:color="auto"/>
        <w:bottom w:val="none" w:sz="0" w:space="0" w:color="auto"/>
        <w:right w:val="none" w:sz="0" w:space="0" w:color="auto"/>
      </w:divBdr>
    </w:div>
    <w:div w:id="1000432170">
      <w:bodyDiv w:val="1"/>
      <w:marLeft w:val="0"/>
      <w:marRight w:val="0"/>
      <w:marTop w:val="0"/>
      <w:marBottom w:val="0"/>
      <w:divBdr>
        <w:top w:val="none" w:sz="0" w:space="0" w:color="auto"/>
        <w:left w:val="none" w:sz="0" w:space="0" w:color="auto"/>
        <w:bottom w:val="none" w:sz="0" w:space="0" w:color="auto"/>
        <w:right w:val="none" w:sz="0" w:space="0" w:color="auto"/>
      </w:divBdr>
    </w:div>
    <w:div w:id="1003244449">
      <w:bodyDiv w:val="1"/>
      <w:marLeft w:val="0"/>
      <w:marRight w:val="0"/>
      <w:marTop w:val="0"/>
      <w:marBottom w:val="0"/>
      <w:divBdr>
        <w:top w:val="none" w:sz="0" w:space="0" w:color="auto"/>
        <w:left w:val="none" w:sz="0" w:space="0" w:color="auto"/>
        <w:bottom w:val="none" w:sz="0" w:space="0" w:color="auto"/>
        <w:right w:val="none" w:sz="0" w:space="0" w:color="auto"/>
      </w:divBdr>
    </w:div>
    <w:div w:id="1035036456">
      <w:bodyDiv w:val="1"/>
      <w:marLeft w:val="0"/>
      <w:marRight w:val="0"/>
      <w:marTop w:val="0"/>
      <w:marBottom w:val="0"/>
      <w:divBdr>
        <w:top w:val="none" w:sz="0" w:space="0" w:color="auto"/>
        <w:left w:val="none" w:sz="0" w:space="0" w:color="auto"/>
        <w:bottom w:val="none" w:sz="0" w:space="0" w:color="auto"/>
        <w:right w:val="none" w:sz="0" w:space="0" w:color="auto"/>
      </w:divBdr>
    </w:div>
    <w:div w:id="1037780296">
      <w:bodyDiv w:val="1"/>
      <w:marLeft w:val="0"/>
      <w:marRight w:val="0"/>
      <w:marTop w:val="0"/>
      <w:marBottom w:val="0"/>
      <w:divBdr>
        <w:top w:val="none" w:sz="0" w:space="0" w:color="auto"/>
        <w:left w:val="none" w:sz="0" w:space="0" w:color="auto"/>
        <w:bottom w:val="none" w:sz="0" w:space="0" w:color="auto"/>
        <w:right w:val="none" w:sz="0" w:space="0" w:color="auto"/>
      </w:divBdr>
    </w:div>
    <w:div w:id="1047797113">
      <w:bodyDiv w:val="1"/>
      <w:marLeft w:val="0"/>
      <w:marRight w:val="0"/>
      <w:marTop w:val="0"/>
      <w:marBottom w:val="0"/>
      <w:divBdr>
        <w:top w:val="none" w:sz="0" w:space="0" w:color="auto"/>
        <w:left w:val="none" w:sz="0" w:space="0" w:color="auto"/>
        <w:bottom w:val="none" w:sz="0" w:space="0" w:color="auto"/>
        <w:right w:val="none" w:sz="0" w:space="0" w:color="auto"/>
      </w:divBdr>
    </w:div>
    <w:div w:id="1053582019">
      <w:bodyDiv w:val="1"/>
      <w:marLeft w:val="0"/>
      <w:marRight w:val="0"/>
      <w:marTop w:val="0"/>
      <w:marBottom w:val="0"/>
      <w:divBdr>
        <w:top w:val="none" w:sz="0" w:space="0" w:color="auto"/>
        <w:left w:val="none" w:sz="0" w:space="0" w:color="auto"/>
        <w:bottom w:val="none" w:sz="0" w:space="0" w:color="auto"/>
        <w:right w:val="none" w:sz="0" w:space="0" w:color="auto"/>
      </w:divBdr>
    </w:div>
    <w:div w:id="1054500191">
      <w:bodyDiv w:val="1"/>
      <w:marLeft w:val="0"/>
      <w:marRight w:val="0"/>
      <w:marTop w:val="0"/>
      <w:marBottom w:val="0"/>
      <w:divBdr>
        <w:top w:val="none" w:sz="0" w:space="0" w:color="auto"/>
        <w:left w:val="none" w:sz="0" w:space="0" w:color="auto"/>
        <w:bottom w:val="none" w:sz="0" w:space="0" w:color="auto"/>
        <w:right w:val="none" w:sz="0" w:space="0" w:color="auto"/>
      </w:divBdr>
    </w:div>
    <w:div w:id="1056858312">
      <w:bodyDiv w:val="1"/>
      <w:marLeft w:val="0"/>
      <w:marRight w:val="0"/>
      <w:marTop w:val="0"/>
      <w:marBottom w:val="0"/>
      <w:divBdr>
        <w:top w:val="none" w:sz="0" w:space="0" w:color="auto"/>
        <w:left w:val="none" w:sz="0" w:space="0" w:color="auto"/>
        <w:bottom w:val="none" w:sz="0" w:space="0" w:color="auto"/>
        <w:right w:val="none" w:sz="0" w:space="0" w:color="auto"/>
      </w:divBdr>
    </w:div>
    <w:div w:id="1060514013">
      <w:bodyDiv w:val="1"/>
      <w:marLeft w:val="0"/>
      <w:marRight w:val="0"/>
      <w:marTop w:val="0"/>
      <w:marBottom w:val="0"/>
      <w:divBdr>
        <w:top w:val="none" w:sz="0" w:space="0" w:color="auto"/>
        <w:left w:val="none" w:sz="0" w:space="0" w:color="auto"/>
        <w:bottom w:val="none" w:sz="0" w:space="0" w:color="auto"/>
        <w:right w:val="none" w:sz="0" w:space="0" w:color="auto"/>
      </w:divBdr>
    </w:div>
    <w:div w:id="1060715354">
      <w:bodyDiv w:val="1"/>
      <w:marLeft w:val="0"/>
      <w:marRight w:val="0"/>
      <w:marTop w:val="0"/>
      <w:marBottom w:val="0"/>
      <w:divBdr>
        <w:top w:val="none" w:sz="0" w:space="0" w:color="auto"/>
        <w:left w:val="none" w:sz="0" w:space="0" w:color="auto"/>
        <w:bottom w:val="none" w:sz="0" w:space="0" w:color="auto"/>
        <w:right w:val="none" w:sz="0" w:space="0" w:color="auto"/>
      </w:divBdr>
    </w:div>
    <w:div w:id="1066104486">
      <w:bodyDiv w:val="1"/>
      <w:marLeft w:val="0"/>
      <w:marRight w:val="0"/>
      <w:marTop w:val="0"/>
      <w:marBottom w:val="0"/>
      <w:divBdr>
        <w:top w:val="none" w:sz="0" w:space="0" w:color="auto"/>
        <w:left w:val="none" w:sz="0" w:space="0" w:color="auto"/>
        <w:bottom w:val="none" w:sz="0" w:space="0" w:color="auto"/>
        <w:right w:val="none" w:sz="0" w:space="0" w:color="auto"/>
      </w:divBdr>
    </w:div>
    <w:div w:id="1072580052">
      <w:bodyDiv w:val="1"/>
      <w:marLeft w:val="0"/>
      <w:marRight w:val="0"/>
      <w:marTop w:val="0"/>
      <w:marBottom w:val="0"/>
      <w:divBdr>
        <w:top w:val="none" w:sz="0" w:space="0" w:color="auto"/>
        <w:left w:val="none" w:sz="0" w:space="0" w:color="auto"/>
        <w:bottom w:val="none" w:sz="0" w:space="0" w:color="auto"/>
        <w:right w:val="none" w:sz="0" w:space="0" w:color="auto"/>
      </w:divBdr>
    </w:div>
    <w:div w:id="1076705557">
      <w:bodyDiv w:val="1"/>
      <w:marLeft w:val="0"/>
      <w:marRight w:val="0"/>
      <w:marTop w:val="0"/>
      <w:marBottom w:val="0"/>
      <w:divBdr>
        <w:top w:val="none" w:sz="0" w:space="0" w:color="auto"/>
        <w:left w:val="none" w:sz="0" w:space="0" w:color="auto"/>
        <w:bottom w:val="none" w:sz="0" w:space="0" w:color="auto"/>
        <w:right w:val="none" w:sz="0" w:space="0" w:color="auto"/>
      </w:divBdr>
    </w:div>
    <w:div w:id="1088580113">
      <w:bodyDiv w:val="1"/>
      <w:marLeft w:val="0"/>
      <w:marRight w:val="0"/>
      <w:marTop w:val="0"/>
      <w:marBottom w:val="0"/>
      <w:divBdr>
        <w:top w:val="none" w:sz="0" w:space="0" w:color="auto"/>
        <w:left w:val="none" w:sz="0" w:space="0" w:color="auto"/>
        <w:bottom w:val="none" w:sz="0" w:space="0" w:color="auto"/>
        <w:right w:val="none" w:sz="0" w:space="0" w:color="auto"/>
      </w:divBdr>
    </w:div>
    <w:div w:id="1113131001">
      <w:bodyDiv w:val="1"/>
      <w:marLeft w:val="0"/>
      <w:marRight w:val="0"/>
      <w:marTop w:val="0"/>
      <w:marBottom w:val="0"/>
      <w:divBdr>
        <w:top w:val="none" w:sz="0" w:space="0" w:color="auto"/>
        <w:left w:val="none" w:sz="0" w:space="0" w:color="auto"/>
        <w:bottom w:val="none" w:sz="0" w:space="0" w:color="auto"/>
        <w:right w:val="none" w:sz="0" w:space="0" w:color="auto"/>
      </w:divBdr>
    </w:div>
    <w:div w:id="1114865181">
      <w:bodyDiv w:val="1"/>
      <w:marLeft w:val="0"/>
      <w:marRight w:val="0"/>
      <w:marTop w:val="0"/>
      <w:marBottom w:val="0"/>
      <w:divBdr>
        <w:top w:val="none" w:sz="0" w:space="0" w:color="auto"/>
        <w:left w:val="none" w:sz="0" w:space="0" w:color="auto"/>
        <w:bottom w:val="none" w:sz="0" w:space="0" w:color="auto"/>
        <w:right w:val="none" w:sz="0" w:space="0" w:color="auto"/>
      </w:divBdr>
    </w:div>
    <w:div w:id="1118455307">
      <w:bodyDiv w:val="1"/>
      <w:marLeft w:val="0"/>
      <w:marRight w:val="0"/>
      <w:marTop w:val="0"/>
      <w:marBottom w:val="0"/>
      <w:divBdr>
        <w:top w:val="none" w:sz="0" w:space="0" w:color="auto"/>
        <w:left w:val="none" w:sz="0" w:space="0" w:color="auto"/>
        <w:bottom w:val="none" w:sz="0" w:space="0" w:color="auto"/>
        <w:right w:val="none" w:sz="0" w:space="0" w:color="auto"/>
      </w:divBdr>
    </w:div>
    <w:div w:id="1123185030">
      <w:bodyDiv w:val="1"/>
      <w:marLeft w:val="0"/>
      <w:marRight w:val="0"/>
      <w:marTop w:val="0"/>
      <w:marBottom w:val="0"/>
      <w:divBdr>
        <w:top w:val="none" w:sz="0" w:space="0" w:color="auto"/>
        <w:left w:val="none" w:sz="0" w:space="0" w:color="auto"/>
        <w:bottom w:val="none" w:sz="0" w:space="0" w:color="auto"/>
        <w:right w:val="none" w:sz="0" w:space="0" w:color="auto"/>
      </w:divBdr>
    </w:div>
    <w:div w:id="1125195735">
      <w:bodyDiv w:val="1"/>
      <w:marLeft w:val="0"/>
      <w:marRight w:val="0"/>
      <w:marTop w:val="0"/>
      <w:marBottom w:val="0"/>
      <w:divBdr>
        <w:top w:val="none" w:sz="0" w:space="0" w:color="auto"/>
        <w:left w:val="none" w:sz="0" w:space="0" w:color="auto"/>
        <w:bottom w:val="none" w:sz="0" w:space="0" w:color="auto"/>
        <w:right w:val="none" w:sz="0" w:space="0" w:color="auto"/>
      </w:divBdr>
    </w:div>
    <w:div w:id="1130704053">
      <w:bodyDiv w:val="1"/>
      <w:marLeft w:val="0"/>
      <w:marRight w:val="0"/>
      <w:marTop w:val="0"/>
      <w:marBottom w:val="0"/>
      <w:divBdr>
        <w:top w:val="none" w:sz="0" w:space="0" w:color="auto"/>
        <w:left w:val="none" w:sz="0" w:space="0" w:color="auto"/>
        <w:bottom w:val="none" w:sz="0" w:space="0" w:color="auto"/>
        <w:right w:val="none" w:sz="0" w:space="0" w:color="auto"/>
      </w:divBdr>
    </w:div>
    <w:div w:id="1131553127">
      <w:bodyDiv w:val="1"/>
      <w:marLeft w:val="0"/>
      <w:marRight w:val="0"/>
      <w:marTop w:val="0"/>
      <w:marBottom w:val="0"/>
      <w:divBdr>
        <w:top w:val="none" w:sz="0" w:space="0" w:color="auto"/>
        <w:left w:val="none" w:sz="0" w:space="0" w:color="auto"/>
        <w:bottom w:val="none" w:sz="0" w:space="0" w:color="auto"/>
        <w:right w:val="none" w:sz="0" w:space="0" w:color="auto"/>
      </w:divBdr>
    </w:div>
    <w:div w:id="1135023932">
      <w:bodyDiv w:val="1"/>
      <w:marLeft w:val="0"/>
      <w:marRight w:val="0"/>
      <w:marTop w:val="0"/>
      <w:marBottom w:val="0"/>
      <w:divBdr>
        <w:top w:val="none" w:sz="0" w:space="0" w:color="auto"/>
        <w:left w:val="none" w:sz="0" w:space="0" w:color="auto"/>
        <w:bottom w:val="none" w:sz="0" w:space="0" w:color="auto"/>
        <w:right w:val="none" w:sz="0" w:space="0" w:color="auto"/>
      </w:divBdr>
    </w:div>
    <w:div w:id="1138841070">
      <w:bodyDiv w:val="1"/>
      <w:marLeft w:val="0"/>
      <w:marRight w:val="0"/>
      <w:marTop w:val="0"/>
      <w:marBottom w:val="0"/>
      <w:divBdr>
        <w:top w:val="none" w:sz="0" w:space="0" w:color="auto"/>
        <w:left w:val="none" w:sz="0" w:space="0" w:color="auto"/>
        <w:bottom w:val="none" w:sz="0" w:space="0" w:color="auto"/>
        <w:right w:val="none" w:sz="0" w:space="0" w:color="auto"/>
      </w:divBdr>
    </w:div>
    <w:div w:id="1152066103">
      <w:bodyDiv w:val="1"/>
      <w:marLeft w:val="0"/>
      <w:marRight w:val="0"/>
      <w:marTop w:val="0"/>
      <w:marBottom w:val="0"/>
      <w:divBdr>
        <w:top w:val="none" w:sz="0" w:space="0" w:color="auto"/>
        <w:left w:val="none" w:sz="0" w:space="0" w:color="auto"/>
        <w:bottom w:val="none" w:sz="0" w:space="0" w:color="auto"/>
        <w:right w:val="none" w:sz="0" w:space="0" w:color="auto"/>
      </w:divBdr>
    </w:div>
    <w:div w:id="1153371036">
      <w:bodyDiv w:val="1"/>
      <w:marLeft w:val="0"/>
      <w:marRight w:val="0"/>
      <w:marTop w:val="0"/>
      <w:marBottom w:val="0"/>
      <w:divBdr>
        <w:top w:val="none" w:sz="0" w:space="0" w:color="auto"/>
        <w:left w:val="none" w:sz="0" w:space="0" w:color="auto"/>
        <w:bottom w:val="none" w:sz="0" w:space="0" w:color="auto"/>
        <w:right w:val="none" w:sz="0" w:space="0" w:color="auto"/>
      </w:divBdr>
      <w:divsChild>
        <w:div w:id="340207042">
          <w:marLeft w:val="360"/>
          <w:marRight w:val="0"/>
          <w:marTop w:val="0"/>
          <w:marBottom w:val="120"/>
          <w:divBdr>
            <w:top w:val="none" w:sz="0" w:space="0" w:color="auto"/>
            <w:left w:val="none" w:sz="0" w:space="0" w:color="auto"/>
            <w:bottom w:val="none" w:sz="0" w:space="0" w:color="auto"/>
            <w:right w:val="none" w:sz="0" w:space="0" w:color="auto"/>
          </w:divBdr>
        </w:div>
        <w:div w:id="623847108">
          <w:marLeft w:val="360"/>
          <w:marRight w:val="0"/>
          <w:marTop w:val="0"/>
          <w:marBottom w:val="120"/>
          <w:divBdr>
            <w:top w:val="none" w:sz="0" w:space="0" w:color="auto"/>
            <w:left w:val="none" w:sz="0" w:space="0" w:color="auto"/>
            <w:bottom w:val="none" w:sz="0" w:space="0" w:color="auto"/>
            <w:right w:val="none" w:sz="0" w:space="0" w:color="auto"/>
          </w:divBdr>
        </w:div>
        <w:div w:id="1000308046">
          <w:marLeft w:val="360"/>
          <w:marRight w:val="0"/>
          <w:marTop w:val="0"/>
          <w:marBottom w:val="120"/>
          <w:divBdr>
            <w:top w:val="none" w:sz="0" w:space="0" w:color="auto"/>
            <w:left w:val="none" w:sz="0" w:space="0" w:color="auto"/>
            <w:bottom w:val="none" w:sz="0" w:space="0" w:color="auto"/>
            <w:right w:val="none" w:sz="0" w:space="0" w:color="auto"/>
          </w:divBdr>
        </w:div>
        <w:div w:id="1003819708">
          <w:marLeft w:val="360"/>
          <w:marRight w:val="0"/>
          <w:marTop w:val="0"/>
          <w:marBottom w:val="120"/>
          <w:divBdr>
            <w:top w:val="none" w:sz="0" w:space="0" w:color="auto"/>
            <w:left w:val="none" w:sz="0" w:space="0" w:color="auto"/>
            <w:bottom w:val="none" w:sz="0" w:space="0" w:color="auto"/>
            <w:right w:val="none" w:sz="0" w:space="0" w:color="auto"/>
          </w:divBdr>
        </w:div>
        <w:div w:id="1793161865">
          <w:marLeft w:val="360"/>
          <w:marRight w:val="0"/>
          <w:marTop w:val="0"/>
          <w:marBottom w:val="120"/>
          <w:divBdr>
            <w:top w:val="none" w:sz="0" w:space="0" w:color="auto"/>
            <w:left w:val="none" w:sz="0" w:space="0" w:color="auto"/>
            <w:bottom w:val="none" w:sz="0" w:space="0" w:color="auto"/>
            <w:right w:val="none" w:sz="0" w:space="0" w:color="auto"/>
          </w:divBdr>
        </w:div>
        <w:div w:id="1977955784">
          <w:marLeft w:val="360"/>
          <w:marRight w:val="0"/>
          <w:marTop w:val="0"/>
          <w:marBottom w:val="120"/>
          <w:divBdr>
            <w:top w:val="none" w:sz="0" w:space="0" w:color="auto"/>
            <w:left w:val="none" w:sz="0" w:space="0" w:color="auto"/>
            <w:bottom w:val="none" w:sz="0" w:space="0" w:color="auto"/>
            <w:right w:val="none" w:sz="0" w:space="0" w:color="auto"/>
          </w:divBdr>
        </w:div>
        <w:div w:id="1988631971">
          <w:marLeft w:val="360"/>
          <w:marRight w:val="0"/>
          <w:marTop w:val="0"/>
          <w:marBottom w:val="120"/>
          <w:divBdr>
            <w:top w:val="none" w:sz="0" w:space="0" w:color="auto"/>
            <w:left w:val="none" w:sz="0" w:space="0" w:color="auto"/>
            <w:bottom w:val="none" w:sz="0" w:space="0" w:color="auto"/>
            <w:right w:val="none" w:sz="0" w:space="0" w:color="auto"/>
          </w:divBdr>
        </w:div>
      </w:divsChild>
    </w:div>
    <w:div w:id="1154033925">
      <w:bodyDiv w:val="1"/>
      <w:marLeft w:val="0"/>
      <w:marRight w:val="0"/>
      <w:marTop w:val="0"/>
      <w:marBottom w:val="0"/>
      <w:divBdr>
        <w:top w:val="none" w:sz="0" w:space="0" w:color="auto"/>
        <w:left w:val="none" w:sz="0" w:space="0" w:color="auto"/>
        <w:bottom w:val="none" w:sz="0" w:space="0" w:color="auto"/>
        <w:right w:val="none" w:sz="0" w:space="0" w:color="auto"/>
      </w:divBdr>
    </w:div>
    <w:div w:id="1174878324">
      <w:bodyDiv w:val="1"/>
      <w:marLeft w:val="0"/>
      <w:marRight w:val="0"/>
      <w:marTop w:val="0"/>
      <w:marBottom w:val="0"/>
      <w:divBdr>
        <w:top w:val="none" w:sz="0" w:space="0" w:color="auto"/>
        <w:left w:val="none" w:sz="0" w:space="0" w:color="auto"/>
        <w:bottom w:val="none" w:sz="0" w:space="0" w:color="auto"/>
        <w:right w:val="none" w:sz="0" w:space="0" w:color="auto"/>
      </w:divBdr>
    </w:div>
    <w:div w:id="1190408747">
      <w:bodyDiv w:val="1"/>
      <w:marLeft w:val="0"/>
      <w:marRight w:val="0"/>
      <w:marTop w:val="0"/>
      <w:marBottom w:val="0"/>
      <w:divBdr>
        <w:top w:val="none" w:sz="0" w:space="0" w:color="auto"/>
        <w:left w:val="none" w:sz="0" w:space="0" w:color="auto"/>
        <w:bottom w:val="none" w:sz="0" w:space="0" w:color="auto"/>
        <w:right w:val="none" w:sz="0" w:space="0" w:color="auto"/>
      </w:divBdr>
    </w:div>
    <w:div w:id="1206330228">
      <w:bodyDiv w:val="1"/>
      <w:marLeft w:val="0"/>
      <w:marRight w:val="0"/>
      <w:marTop w:val="0"/>
      <w:marBottom w:val="0"/>
      <w:divBdr>
        <w:top w:val="none" w:sz="0" w:space="0" w:color="auto"/>
        <w:left w:val="none" w:sz="0" w:space="0" w:color="auto"/>
        <w:bottom w:val="none" w:sz="0" w:space="0" w:color="auto"/>
        <w:right w:val="none" w:sz="0" w:space="0" w:color="auto"/>
      </w:divBdr>
    </w:div>
    <w:div w:id="1228800285">
      <w:bodyDiv w:val="1"/>
      <w:marLeft w:val="0"/>
      <w:marRight w:val="0"/>
      <w:marTop w:val="0"/>
      <w:marBottom w:val="0"/>
      <w:divBdr>
        <w:top w:val="none" w:sz="0" w:space="0" w:color="auto"/>
        <w:left w:val="none" w:sz="0" w:space="0" w:color="auto"/>
        <w:bottom w:val="none" w:sz="0" w:space="0" w:color="auto"/>
        <w:right w:val="none" w:sz="0" w:space="0" w:color="auto"/>
      </w:divBdr>
    </w:div>
    <w:div w:id="1251234392">
      <w:bodyDiv w:val="1"/>
      <w:marLeft w:val="0"/>
      <w:marRight w:val="0"/>
      <w:marTop w:val="0"/>
      <w:marBottom w:val="0"/>
      <w:divBdr>
        <w:top w:val="none" w:sz="0" w:space="0" w:color="auto"/>
        <w:left w:val="none" w:sz="0" w:space="0" w:color="auto"/>
        <w:bottom w:val="none" w:sz="0" w:space="0" w:color="auto"/>
        <w:right w:val="none" w:sz="0" w:space="0" w:color="auto"/>
      </w:divBdr>
    </w:div>
    <w:div w:id="1258173282">
      <w:bodyDiv w:val="1"/>
      <w:marLeft w:val="0"/>
      <w:marRight w:val="0"/>
      <w:marTop w:val="0"/>
      <w:marBottom w:val="0"/>
      <w:divBdr>
        <w:top w:val="none" w:sz="0" w:space="0" w:color="auto"/>
        <w:left w:val="none" w:sz="0" w:space="0" w:color="auto"/>
        <w:bottom w:val="none" w:sz="0" w:space="0" w:color="auto"/>
        <w:right w:val="none" w:sz="0" w:space="0" w:color="auto"/>
      </w:divBdr>
    </w:div>
    <w:div w:id="1260217158">
      <w:bodyDiv w:val="1"/>
      <w:marLeft w:val="0"/>
      <w:marRight w:val="0"/>
      <w:marTop w:val="0"/>
      <w:marBottom w:val="0"/>
      <w:divBdr>
        <w:top w:val="none" w:sz="0" w:space="0" w:color="auto"/>
        <w:left w:val="none" w:sz="0" w:space="0" w:color="auto"/>
        <w:bottom w:val="none" w:sz="0" w:space="0" w:color="auto"/>
        <w:right w:val="none" w:sz="0" w:space="0" w:color="auto"/>
      </w:divBdr>
    </w:div>
    <w:div w:id="1265185217">
      <w:bodyDiv w:val="1"/>
      <w:marLeft w:val="0"/>
      <w:marRight w:val="0"/>
      <w:marTop w:val="0"/>
      <w:marBottom w:val="0"/>
      <w:divBdr>
        <w:top w:val="none" w:sz="0" w:space="0" w:color="auto"/>
        <w:left w:val="none" w:sz="0" w:space="0" w:color="auto"/>
        <w:bottom w:val="none" w:sz="0" w:space="0" w:color="auto"/>
        <w:right w:val="none" w:sz="0" w:space="0" w:color="auto"/>
      </w:divBdr>
      <w:divsChild>
        <w:div w:id="2049333353">
          <w:marLeft w:val="0"/>
          <w:marRight w:val="0"/>
          <w:marTop w:val="0"/>
          <w:marBottom w:val="0"/>
          <w:divBdr>
            <w:top w:val="none" w:sz="0" w:space="0" w:color="auto"/>
            <w:left w:val="none" w:sz="0" w:space="0" w:color="auto"/>
            <w:bottom w:val="none" w:sz="0" w:space="0" w:color="auto"/>
            <w:right w:val="none" w:sz="0" w:space="0" w:color="auto"/>
          </w:divBdr>
        </w:div>
      </w:divsChild>
    </w:div>
    <w:div w:id="1271086682">
      <w:bodyDiv w:val="1"/>
      <w:marLeft w:val="0"/>
      <w:marRight w:val="0"/>
      <w:marTop w:val="0"/>
      <w:marBottom w:val="0"/>
      <w:divBdr>
        <w:top w:val="none" w:sz="0" w:space="0" w:color="auto"/>
        <w:left w:val="none" w:sz="0" w:space="0" w:color="auto"/>
        <w:bottom w:val="none" w:sz="0" w:space="0" w:color="auto"/>
        <w:right w:val="none" w:sz="0" w:space="0" w:color="auto"/>
      </w:divBdr>
    </w:div>
    <w:div w:id="1286500959">
      <w:bodyDiv w:val="1"/>
      <w:marLeft w:val="0"/>
      <w:marRight w:val="0"/>
      <w:marTop w:val="0"/>
      <w:marBottom w:val="0"/>
      <w:divBdr>
        <w:top w:val="none" w:sz="0" w:space="0" w:color="auto"/>
        <w:left w:val="none" w:sz="0" w:space="0" w:color="auto"/>
        <w:bottom w:val="none" w:sz="0" w:space="0" w:color="auto"/>
        <w:right w:val="none" w:sz="0" w:space="0" w:color="auto"/>
      </w:divBdr>
    </w:div>
    <w:div w:id="1293750993">
      <w:bodyDiv w:val="1"/>
      <w:marLeft w:val="0"/>
      <w:marRight w:val="0"/>
      <w:marTop w:val="0"/>
      <w:marBottom w:val="0"/>
      <w:divBdr>
        <w:top w:val="none" w:sz="0" w:space="0" w:color="auto"/>
        <w:left w:val="none" w:sz="0" w:space="0" w:color="auto"/>
        <w:bottom w:val="none" w:sz="0" w:space="0" w:color="auto"/>
        <w:right w:val="none" w:sz="0" w:space="0" w:color="auto"/>
      </w:divBdr>
    </w:div>
    <w:div w:id="1296451354">
      <w:bodyDiv w:val="1"/>
      <w:marLeft w:val="0"/>
      <w:marRight w:val="0"/>
      <w:marTop w:val="0"/>
      <w:marBottom w:val="0"/>
      <w:divBdr>
        <w:top w:val="none" w:sz="0" w:space="0" w:color="auto"/>
        <w:left w:val="none" w:sz="0" w:space="0" w:color="auto"/>
        <w:bottom w:val="none" w:sz="0" w:space="0" w:color="auto"/>
        <w:right w:val="none" w:sz="0" w:space="0" w:color="auto"/>
      </w:divBdr>
    </w:div>
    <w:div w:id="1304433195">
      <w:bodyDiv w:val="1"/>
      <w:marLeft w:val="0"/>
      <w:marRight w:val="0"/>
      <w:marTop w:val="0"/>
      <w:marBottom w:val="0"/>
      <w:divBdr>
        <w:top w:val="none" w:sz="0" w:space="0" w:color="auto"/>
        <w:left w:val="none" w:sz="0" w:space="0" w:color="auto"/>
        <w:bottom w:val="none" w:sz="0" w:space="0" w:color="auto"/>
        <w:right w:val="none" w:sz="0" w:space="0" w:color="auto"/>
      </w:divBdr>
    </w:div>
    <w:div w:id="1304893474">
      <w:bodyDiv w:val="1"/>
      <w:marLeft w:val="0"/>
      <w:marRight w:val="0"/>
      <w:marTop w:val="0"/>
      <w:marBottom w:val="0"/>
      <w:divBdr>
        <w:top w:val="none" w:sz="0" w:space="0" w:color="auto"/>
        <w:left w:val="none" w:sz="0" w:space="0" w:color="auto"/>
        <w:bottom w:val="none" w:sz="0" w:space="0" w:color="auto"/>
        <w:right w:val="none" w:sz="0" w:space="0" w:color="auto"/>
      </w:divBdr>
    </w:div>
    <w:div w:id="1312564730">
      <w:bodyDiv w:val="1"/>
      <w:marLeft w:val="0"/>
      <w:marRight w:val="0"/>
      <w:marTop w:val="0"/>
      <w:marBottom w:val="0"/>
      <w:divBdr>
        <w:top w:val="none" w:sz="0" w:space="0" w:color="auto"/>
        <w:left w:val="none" w:sz="0" w:space="0" w:color="auto"/>
        <w:bottom w:val="none" w:sz="0" w:space="0" w:color="auto"/>
        <w:right w:val="none" w:sz="0" w:space="0" w:color="auto"/>
      </w:divBdr>
    </w:div>
    <w:div w:id="1325861084">
      <w:bodyDiv w:val="1"/>
      <w:marLeft w:val="0"/>
      <w:marRight w:val="0"/>
      <w:marTop w:val="0"/>
      <w:marBottom w:val="0"/>
      <w:divBdr>
        <w:top w:val="none" w:sz="0" w:space="0" w:color="auto"/>
        <w:left w:val="none" w:sz="0" w:space="0" w:color="auto"/>
        <w:bottom w:val="none" w:sz="0" w:space="0" w:color="auto"/>
        <w:right w:val="none" w:sz="0" w:space="0" w:color="auto"/>
      </w:divBdr>
    </w:div>
    <w:div w:id="1330061760">
      <w:bodyDiv w:val="1"/>
      <w:marLeft w:val="0"/>
      <w:marRight w:val="0"/>
      <w:marTop w:val="0"/>
      <w:marBottom w:val="0"/>
      <w:divBdr>
        <w:top w:val="none" w:sz="0" w:space="0" w:color="auto"/>
        <w:left w:val="none" w:sz="0" w:space="0" w:color="auto"/>
        <w:bottom w:val="none" w:sz="0" w:space="0" w:color="auto"/>
        <w:right w:val="none" w:sz="0" w:space="0" w:color="auto"/>
      </w:divBdr>
    </w:div>
    <w:div w:id="1334797022">
      <w:bodyDiv w:val="1"/>
      <w:marLeft w:val="0"/>
      <w:marRight w:val="0"/>
      <w:marTop w:val="0"/>
      <w:marBottom w:val="0"/>
      <w:divBdr>
        <w:top w:val="none" w:sz="0" w:space="0" w:color="auto"/>
        <w:left w:val="none" w:sz="0" w:space="0" w:color="auto"/>
        <w:bottom w:val="none" w:sz="0" w:space="0" w:color="auto"/>
        <w:right w:val="none" w:sz="0" w:space="0" w:color="auto"/>
      </w:divBdr>
    </w:div>
    <w:div w:id="1335455218">
      <w:bodyDiv w:val="1"/>
      <w:marLeft w:val="0"/>
      <w:marRight w:val="0"/>
      <w:marTop w:val="0"/>
      <w:marBottom w:val="0"/>
      <w:divBdr>
        <w:top w:val="none" w:sz="0" w:space="0" w:color="auto"/>
        <w:left w:val="none" w:sz="0" w:space="0" w:color="auto"/>
        <w:bottom w:val="none" w:sz="0" w:space="0" w:color="auto"/>
        <w:right w:val="none" w:sz="0" w:space="0" w:color="auto"/>
      </w:divBdr>
    </w:div>
    <w:div w:id="1337536143">
      <w:bodyDiv w:val="1"/>
      <w:marLeft w:val="0"/>
      <w:marRight w:val="0"/>
      <w:marTop w:val="0"/>
      <w:marBottom w:val="0"/>
      <w:divBdr>
        <w:top w:val="none" w:sz="0" w:space="0" w:color="auto"/>
        <w:left w:val="none" w:sz="0" w:space="0" w:color="auto"/>
        <w:bottom w:val="none" w:sz="0" w:space="0" w:color="auto"/>
        <w:right w:val="none" w:sz="0" w:space="0" w:color="auto"/>
      </w:divBdr>
    </w:div>
    <w:div w:id="1342506444">
      <w:bodyDiv w:val="1"/>
      <w:marLeft w:val="0"/>
      <w:marRight w:val="0"/>
      <w:marTop w:val="0"/>
      <w:marBottom w:val="0"/>
      <w:divBdr>
        <w:top w:val="none" w:sz="0" w:space="0" w:color="auto"/>
        <w:left w:val="none" w:sz="0" w:space="0" w:color="auto"/>
        <w:bottom w:val="none" w:sz="0" w:space="0" w:color="auto"/>
        <w:right w:val="none" w:sz="0" w:space="0" w:color="auto"/>
      </w:divBdr>
    </w:div>
    <w:div w:id="1346711785">
      <w:bodyDiv w:val="1"/>
      <w:marLeft w:val="0"/>
      <w:marRight w:val="0"/>
      <w:marTop w:val="0"/>
      <w:marBottom w:val="0"/>
      <w:divBdr>
        <w:top w:val="none" w:sz="0" w:space="0" w:color="auto"/>
        <w:left w:val="none" w:sz="0" w:space="0" w:color="auto"/>
        <w:bottom w:val="none" w:sz="0" w:space="0" w:color="auto"/>
        <w:right w:val="none" w:sz="0" w:space="0" w:color="auto"/>
      </w:divBdr>
    </w:div>
    <w:div w:id="1362052708">
      <w:bodyDiv w:val="1"/>
      <w:marLeft w:val="0"/>
      <w:marRight w:val="0"/>
      <w:marTop w:val="0"/>
      <w:marBottom w:val="0"/>
      <w:divBdr>
        <w:top w:val="none" w:sz="0" w:space="0" w:color="auto"/>
        <w:left w:val="none" w:sz="0" w:space="0" w:color="auto"/>
        <w:bottom w:val="none" w:sz="0" w:space="0" w:color="auto"/>
        <w:right w:val="none" w:sz="0" w:space="0" w:color="auto"/>
      </w:divBdr>
    </w:div>
    <w:div w:id="1362584619">
      <w:bodyDiv w:val="1"/>
      <w:marLeft w:val="0"/>
      <w:marRight w:val="0"/>
      <w:marTop w:val="0"/>
      <w:marBottom w:val="0"/>
      <w:divBdr>
        <w:top w:val="none" w:sz="0" w:space="0" w:color="auto"/>
        <w:left w:val="none" w:sz="0" w:space="0" w:color="auto"/>
        <w:bottom w:val="none" w:sz="0" w:space="0" w:color="auto"/>
        <w:right w:val="none" w:sz="0" w:space="0" w:color="auto"/>
      </w:divBdr>
    </w:div>
    <w:div w:id="1394279781">
      <w:bodyDiv w:val="1"/>
      <w:marLeft w:val="0"/>
      <w:marRight w:val="0"/>
      <w:marTop w:val="0"/>
      <w:marBottom w:val="0"/>
      <w:divBdr>
        <w:top w:val="none" w:sz="0" w:space="0" w:color="auto"/>
        <w:left w:val="none" w:sz="0" w:space="0" w:color="auto"/>
        <w:bottom w:val="none" w:sz="0" w:space="0" w:color="auto"/>
        <w:right w:val="none" w:sz="0" w:space="0" w:color="auto"/>
      </w:divBdr>
    </w:div>
    <w:div w:id="1399207129">
      <w:bodyDiv w:val="1"/>
      <w:marLeft w:val="0"/>
      <w:marRight w:val="0"/>
      <w:marTop w:val="0"/>
      <w:marBottom w:val="0"/>
      <w:divBdr>
        <w:top w:val="none" w:sz="0" w:space="0" w:color="auto"/>
        <w:left w:val="none" w:sz="0" w:space="0" w:color="auto"/>
        <w:bottom w:val="none" w:sz="0" w:space="0" w:color="auto"/>
        <w:right w:val="none" w:sz="0" w:space="0" w:color="auto"/>
      </w:divBdr>
    </w:div>
    <w:div w:id="1399745560">
      <w:bodyDiv w:val="1"/>
      <w:marLeft w:val="0"/>
      <w:marRight w:val="0"/>
      <w:marTop w:val="0"/>
      <w:marBottom w:val="0"/>
      <w:divBdr>
        <w:top w:val="none" w:sz="0" w:space="0" w:color="auto"/>
        <w:left w:val="none" w:sz="0" w:space="0" w:color="auto"/>
        <w:bottom w:val="none" w:sz="0" w:space="0" w:color="auto"/>
        <w:right w:val="none" w:sz="0" w:space="0" w:color="auto"/>
      </w:divBdr>
      <w:divsChild>
        <w:div w:id="117258920">
          <w:marLeft w:val="0"/>
          <w:marRight w:val="0"/>
          <w:marTop w:val="0"/>
          <w:marBottom w:val="0"/>
          <w:divBdr>
            <w:top w:val="none" w:sz="0" w:space="0" w:color="auto"/>
            <w:left w:val="none" w:sz="0" w:space="0" w:color="auto"/>
            <w:bottom w:val="none" w:sz="0" w:space="0" w:color="auto"/>
            <w:right w:val="none" w:sz="0" w:space="0" w:color="auto"/>
          </w:divBdr>
        </w:div>
      </w:divsChild>
    </w:div>
    <w:div w:id="1403412674">
      <w:bodyDiv w:val="1"/>
      <w:marLeft w:val="0"/>
      <w:marRight w:val="0"/>
      <w:marTop w:val="0"/>
      <w:marBottom w:val="0"/>
      <w:divBdr>
        <w:top w:val="none" w:sz="0" w:space="0" w:color="auto"/>
        <w:left w:val="none" w:sz="0" w:space="0" w:color="auto"/>
        <w:bottom w:val="none" w:sz="0" w:space="0" w:color="auto"/>
        <w:right w:val="none" w:sz="0" w:space="0" w:color="auto"/>
      </w:divBdr>
    </w:div>
    <w:div w:id="1403990077">
      <w:bodyDiv w:val="1"/>
      <w:marLeft w:val="0"/>
      <w:marRight w:val="0"/>
      <w:marTop w:val="0"/>
      <w:marBottom w:val="0"/>
      <w:divBdr>
        <w:top w:val="none" w:sz="0" w:space="0" w:color="auto"/>
        <w:left w:val="none" w:sz="0" w:space="0" w:color="auto"/>
        <w:bottom w:val="none" w:sz="0" w:space="0" w:color="auto"/>
        <w:right w:val="none" w:sz="0" w:space="0" w:color="auto"/>
      </w:divBdr>
    </w:div>
    <w:div w:id="1404717217">
      <w:bodyDiv w:val="1"/>
      <w:marLeft w:val="0"/>
      <w:marRight w:val="0"/>
      <w:marTop w:val="0"/>
      <w:marBottom w:val="0"/>
      <w:divBdr>
        <w:top w:val="none" w:sz="0" w:space="0" w:color="auto"/>
        <w:left w:val="none" w:sz="0" w:space="0" w:color="auto"/>
        <w:bottom w:val="none" w:sz="0" w:space="0" w:color="auto"/>
        <w:right w:val="none" w:sz="0" w:space="0" w:color="auto"/>
      </w:divBdr>
      <w:divsChild>
        <w:div w:id="49380576">
          <w:marLeft w:val="0"/>
          <w:marRight w:val="0"/>
          <w:marTop w:val="0"/>
          <w:marBottom w:val="0"/>
          <w:divBdr>
            <w:top w:val="none" w:sz="0" w:space="0" w:color="auto"/>
            <w:left w:val="none" w:sz="0" w:space="0" w:color="auto"/>
            <w:bottom w:val="none" w:sz="0" w:space="0" w:color="auto"/>
            <w:right w:val="none" w:sz="0" w:space="0" w:color="auto"/>
          </w:divBdr>
        </w:div>
        <w:div w:id="1216039404">
          <w:marLeft w:val="0"/>
          <w:marRight w:val="0"/>
          <w:marTop w:val="0"/>
          <w:marBottom w:val="0"/>
          <w:divBdr>
            <w:top w:val="none" w:sz="0" w:space="0" w:color="auto"/>
            <w:left w:val="none" w:sz="0" w:space="0" w:color="auto"/>
            <w:bottom w:val="none" w:sz="0" w:space="0" w:color="auto"/>
            <w:right w:val="none" w:sz="0" w:space="0" w:color="auto"/>
          </w:divBdr>
        </w:div>
      </w:divsChild>
    </w:div>
    <w:div w:id="1438215465">
      <w:bodyDiv w:val="1"/>
      <w:marLeft w:val="0"/>
      <w:marRight w:val="0"/>
      <w:marTop w:val="0"/>
      <w:marBottom w:val="0"/>
      <w:divBdr>
        <w:top w:val="none" w:sz="0" w:space="0" w:color="auto"/>
        <w:left w:val="none" w:sz="0" w:space="0" w:color="auto"/>
        <w:bottom w:val="none" w:sz="0" w:space="0" w:color="auto"/>
        <w:right w:val="none" w:sz="0" w:space="0" w:color="auto"/>
      </w:divBdr>
    </w:div>
    <w:div w:id="1454514690">
      <w:bodyDiv w:val="1"/>
      <w:marLeft w:val="0"/>
      <w:marRight w:val="0"/>
      <w:marTop w:val="0"/>
      <w:marBottom w:val="0"/>
      <w:divBdr>
        <w:top w:val="none" w:sz="0" w:space="0" w:color="auto"/>
        <w:left w:val="none" w:sz="0" w:space="0" w:color="auto"/>
        <w:bottom w:val="none" w:sz="0" w:space="0" w:color="auto"/>
        <w:right w:val="none" w:sz="0" w:space="0" w:color="auto"/>
      </w:divBdr>
    </w:div>
    <w:div w:id="1462577537">
      <w:bodyDiv w:val="1"/>
      <w:marLeft w:val="0"/>
      <w:marRight w:val="0"/>
      <w:marTop w:val="0"/>
      <w:marBottom w:val="0"/>
      <w:divBdr>
        <w:top w:val="none" w:sz="0" w:space="0" w:color="auto"/>
        <w:left w:val="none" w:sz="0" w:space="0" w:color="auto"/>
        <w:bottom w:val="none" w:sz="0" w:space="0" w:color="auto"/>
        <w:right w:val="none" w:sz="0" w:space="0" w:color="auto"/>
      </w:divBdr>
    </w:div>
    <w:div w:id="1469588476">
      <w:bodyDiv w:val="1"/>
      <w:marLeft w:val="0"/>
      <w:marRight w:val="0"/>
      <w:marTop w:val="0"/>
      <w:marBottom w:val="0"/>
      <w:divBdr>
        <w:top w:val="none" w:sz="0" w:space="0" w:color="auto"/>
        <w:left w:val="none" w:sz="0" w:space="0" w:color="auto"/>
        <w:bottom w:val="none" w:sz="0" w:space="0" w:color="auto"/>
        <w:right w:val="none" w:sz="0" w:space="0" w:color="auto"/>
      </w:divBdr>
    </w:div>
    <w:div w:id="1470245372">
      <w:bodyDiv w:val="1"/>
      <w:marLeft w:val="0"/>
      <w:marRight w:val="0"/>
      <w:marTop w:val="0"/>
      <w:marBottom w:val="0"/>
      <w:divBdr>
        <w:top w:val="none" w:sz="0" w:space="0" w:color="auto"/>
        <w:left w:val="none" w:sz="0" w:space="0" w:color="auto"/>
        <w:bottom w:val="none" w:sz="0" w:space="0" w:color="auto"/>
        <w:right w:val="none" w:sz="0" w:space="0" w:color="auto"/>
      </w:divBdr>
    </w:div>
    <w:div w:id="1471362952">
      <w:bodyDiv w:val="1"/>
      <w:marLeft w:val="0"/>
      <w:marRight w:val="0"/>
      <w:marTop w:val="0"/>
      <w:marBottom w:val="0"/>
      <w:divBdr>
        <w:top w:val="none" w:sz="0" w:space="0" w:color="auto"/>
        <w:left w:val="none" w:sz="0" w:space="0" w:color="auto"/>
        <w:bottom w:val="none" w:sz="0" w:space="0" w:color="auto"/>
        <w:right w:val="none" w:sz="0" w:space="0" w:color="auto"/>
      </w:divBdr>
    </w:div>
    <w:div w:id="1476332392">
      <w:bodyDiv w:val="1"/>
      <w:marLeft w:val="0"/>
      <w:marRight w:val="0"/>
      <w:marTop w:val="0"/>
      <w:marBottom w:val="0"/>
      <w:divBdr>
        <w:top w:val="none" w:sz="0" w:space="0" w:color="auto"/>
        <w:left w:val="none" w:sz="0" w:space="0" w:color="auto"/>
        <w:bottom w:val="none" w:sz="0" w:space="0" w:color="auto"/>
        <w:right w:val="none" w:sz="0" w:space="0" w:color="auto"/>
      </w:divBdr>
      <w:divsChild>
        <w:div w:id="1303996045">
          <w:marLeft w:val="0"/>
          <w:marRight w:val="0"/>
          <w:marTop w:val="0"/>
          <w:marBottom w:val="0"/>
          <w:divBdr>
            <w:top w:val="none" w:sz="0" w:space="0" w:color="auto"/>
            <w:left w:val="none" w:sz="0" w:space="0" w:color="auto"/>
            <w:bottom w:val="none" w:sz="0" w:space="0" w:color="auto"/>
            <w:right w:val="none" w:sz="0" w:space="0" w:color="auto"/>
          </w:divBdr>
        </w:div>
      </w:divsChild>
    </w:div>
    <w:div w:id="1476415890">
      <w:bodyDiv w:val="1"/>
      <w:marLeft w:val="0"/>
      <w:marRight w:val="0"/>
      <w:marTop w:val="0"/>
      <w:marBottom w:val="0"/>
      <w:divBdr>
        <w:top w:val="none" w:sz="0" w:space="0" w:color="auto"/>
        <w:left w:val="none" w:sz="0" w:space="0" w:color="auto"/>
        <w:bottom w:val="none" w:sz="0" w:space="0" w:color="auto"/>
        <w:right w:val="none" w:sz="0" w:space="0" w:color="auto"/>
      </w:divBdr>
    </w:div>
    <w:div w:id="1478451376">
      <w:bodyDiv w:val="1"/>
      <w:marLeft w:val="0"/>
      <w:marRight w:val="0"/>
      <w:marTop w:val="0"/>
      <w:marBottom w:val="0"/>
      <w:divBdr>
        <w:top w:val="none" w:sz="0" w:space="0" w:color="auto"/>
        <w:left w:val="none" w:sz="0" w:space="0" w:color="auto"/>
        <w:bottom w:val="none" w:sz="0" w:space="0" w:color="auto"/>
        <w:right w:val="none" w:sz="0" w:space="0" w:color="auto"/>
      </w:divBdr>
    </w:div>
    <w:div w:id="1484931761">
      <w:bodyDiv w:val="1"/>
      <w:marLeft w:val="0"/>
      <w:marRight w:val="0"/>
      <w:marTop w:val="0"/>
      <w:marBottom w:val="0"/>
      <w:divBdr>
        <w:top w:val="none" w:sz="0" w:space="0" w:color="auto"/>
        <w:left w:val="none" w:sz="0" w:space="0" w:color="auto"/>
        <w:bottom w:val="none" w:sz="0" w:space="0" w:color="auto"/>
        <w:right w:val="none" w:sz="0" w:space="0" w:color="auto"/>
      </w:divBdr>
    </w:div>
    <w:div w:id="1518153408">
      <w:bodyDiv w:val="1"/>
      <w:marLeft w:val="0"/>
      <w:marRight w:val="0"/>
      <w:marTop w:val="0"/>
      <w:marBottom w:val="0"/>
      <w:divBdr>
        <w:top w:val="none" w:sz="0" w:space="0" w:color="auto"/>
        <w:left w:val="none" w:sz="0" w:space="0" w:color="auto"/>
        <w:bottom w:val="none" w:sz="0" w:space="0" w:color="auto"/>
        <w:right w:val="none" w:sz="0" w:space="0" w:color="auto"/>
      </w:divBdr>
      <w:divsChild>
        <w:div w:id="1910456760">
          <w:marLeft w:val="0"/>
          <w:marRight w:val="0"/>
          <w:marTop w:val="0"/>
          <w:marBottom w:val="0"/>
          <w:divBdr>
            <w:top w:val="none" w:sz="0" w:space="0" w:color="auto"/>
            <w:left w:val="none" w:sz="0" w:space="0" w:color="auto"/>
            <w:bottom w:val="none" w:sz="0" w:space="0" w:color="auto"/>
            <w:right w:val="none" w:sz="0" w:space="0" w:color="auto"/>
          </w:divBdr>
        </w:div>
      </w:divsChild>
    </w:div>
    <w:div w:id="1523544208">
      <w:bodyDiv w:val="1"/>
      <w:marLeft w:val="0"/>
      <w:marRight w:val="0"/>
      <w:marTop w:val="0"/>
      <w:marBottom w:val="0"/>
      <w:divBdr>
        <w:top w:val="none" w:sz="0" w:space="0" w:color="auto"/>
        <w:left w:val="none" w:sz="0" w:space="0" w:color="auto"/>
        <w:bottom w:val="none" w:sz="0" w:space="0" w:color="auto"/>
        <w:right w:val="none" w:sz="0" w:space="0" w:color="auto"/>
      </w:divBdr>
    </w:div>
    <w:div w:id="1529564460">
      <w:bodyDiv w:val="1"/>
      <w:marLeft w:val="0"/>
      <w:marRight w:val="0"/>
      <w:marTop w:val="0"/>
      <w:marBottom w:val="0"/>
      <w:divBdr>
        <w:top w:val="none" w:sz="0" w:space="0" w:color="auto"/>
        <w:left w:val="none" w:sz="0" w:space="0" w:color="auto"/>
        <w:bottom w:val="none" w:sz="0" w:space="0" w:color="auto"/>
        <w:right w:val="none" w:sz="0" w:space="0" w:color="auto"/>
      </w:divBdr>
    </w:div>
    <w:div w:id="1529954009">
      <w:bodyDiv w:val="1"/>
      <w:marLeft w:val="0"/>
      <w:marRight w:val="0"/>
      <w:marTop w:val="0"/>
      <w:marBottom w:val="0"/>
      <w:divBdr>
        <w:top w:val="none" w:sz="0" w:space="0" w:color="auto"/>
        <w:left w:val="none" w:sz="0" w:space="0" w:color="auto"/>
        <w:bottom w:val="none" w:sz="0" w:space="0" w:color="auto"/>
        <w:right w:val="none" w:sz="0" w:space="0" w:color="auto"/>
      </w:divBdr>
    </w:div>
    <w:div w:id="1531644852">
      <w:bodyDiv w:val="1"/>
      <w:marLeft w:val="0"/>
      <w:marRight w:val="0"/>
      <w:marTop w:val="0"/>
      <w:marBottom w:val="0"/>
      <w:divBdr>
        <w:top w:val="none" w:sz="0" w:space="0" w:color="auto"/>
        <w:left w:val="none" w:sz="0" w:space="0" w:color="auto"/>
        <w:bottom w:val="none" w:sz="0" w:space="0" w:color="auto"/>
        <w:right w:val="none" w:sz="0" w:space="0" w:color="auto"/>
      </w:divBdr>
    </w:div>
    <w:div w:id="1533030591">
      <w:bodyDiv w:val="1"/>
      <w:marLeft w:val="0"/>
      <w:marRight w:val="0"/>
      <w:marTop w:val="0"/>
      <w:marBottom w:val="0"/>
      <w:divBdr>
        <w:top w:val="none" w:sz="0" w:space="0" w:color="auto"/>
        <w:left w:val="none" w:sz="0" w:space="0" w:color="auto"/>
        <w:bottom w:val="none" w:sz="0" w:space="0" w:color="auto"/>
        <w:right w:val="none" w:sz="0" w:space="0" w:color="auto"/>
      </w:divBdr>
    </w:div>
    <w:div w:id="1536655172">
      <w:bodyDiv w:val="1"/>
      <w:marLeft w:val="0"/>
      <w:marRight w:val="0"/>
      <w:marTop w:val="0"/>
      <w:marBottom w:val="0"/>
      <w:divBdr>
        <w:top w:val="none" w:sz="0" w:space="0" w:color="auto"/>
        <w:left w:val="none" w:sz="0" w:space="0" w:color="auto"/>
        <w:bottom w:val="none" w:sz="0" w:space="0" w:color="auto"/>
        <w:right w:val="none" w:sz="0" w:space="0" w:color="auto"/>
      </w:divBdr>
    </w:div>
    <w:div w:id="1543904210">
      <w:bodyDiv w:val="1"/>
      <w:marLeft w:val="0"/>
      <w:marRight w:val="0"/>
      <w:marTop w:val="0"/>
      <w:marBottom w:val="0"/>
      <w:divBdr>
        <w:top w:val="none" w:sz="0" w:space="0" w:color="auto"/>
        <w:left w:val="none" w:sz="0" w:space="0" w:color="auto"/>
        <w:bottom w:val="none" w:sz="0" w:space="0" w:color="auto"/>
        <w:right w:val="none" w:sz="0" w:space="0" w:color="auto"/>
      </w:divBdr>
    </w:div>
    <w:div w:id="1544946207">
      <w:bodyDiv w:val="1"/>
      <w:marLeft w:val="0"/>
      <w:marRight w:val="0"/>
      <w:marTop w:val="0"/>
      <w:marBottom w:val="0"/>
      <w:divBdr>
        <w:top w:val="none" w:sz="0" w:space="0" w:color="auto"/>
        <w:left w:val="none" w:sz="0" w:space="0" w:color="auto"/>
        <w:bottom w:val="none" w:sz="0" w:space="0" w:color="auto"/>
        <w:right w:val="none" w:sz="0" w:space="0" w:color="auto"/>
      </w:divBdr>
    </w:div>
    <w:div w:id="1574703605">
      <w:bodyDiv w:val="1"/>
      <w:marLeft w:val="0"/>
      <w:marRight w:val="0"/>
      <w:marTop w:val="0"/>
      <w:marBottom w:val="0"/>
      <w:divBdr>
        <w:top w:val="none" w:sz="0" w:space="0" w:color="auto"/>
        <w:left w:val="none" w:sz="0" w:space="0" w:color="auto"/>
        <w:bottom w:val="none" w:sz="0" w:space="0" w:color="auto"/>
        <w:right w:val="none" w:sz="0" w:space="0" w:color="auto"/>
      </w:divBdr>
    </w:div>
    <w:div w:id="1587105415">
      <w:bodyDiv w:val="1"/>
      <w:marLeft w:val="0"/>
      <w:marRight w:val="0"/>
      <w:marTop w:val="0"/>
      <w:marBottom w:val="0"/>
      <w:divBdr>
        <w:top w:val="none" w:sz="0" w:space="0" w:color="auto"/>
        <w:left w:val="none" w:sz="0" w:space="0" w:color="auto"/>
        <w:bottom w:val="none" w:sz="0" w:space="0" w:color="auto"/>
        <w:right w:val="none" w:sz="0" w:space="0" w:color="auto"/>
      </w:divBdr>
    </w:div>
    <w:div w:id="1591234428">
      <w:bodyDiv w:val="1"/>
      <w:marLeft w:val="0"/>
      <w:marRight w:val="0"/>
      <w:marTop w:val="0"/>
      <w:marBottom w:val="0"/>
      <w:divBdr>
        <w:top w:val="none" w:sz="0" w:space="0" w:color="auto"/>
        <w:left w:val="none" w:sz="0" w:space="0" w:color="auto"/>
        <w:bottom w:val="none" w:sz="0" w:space="0" w:color="auto"/>
        <w:right w:val="none" w:sz="0" w:space="0" w:color="auto"/>
      </w:divBdr>
    </w:div>
    <w:div w:id="1591692589">
      <w:bodyDiv w:val="1"/>
      <w:marLeft w:val="0"/>
      <w:marRight w:val="0"/>
      <w:marTop w:val="0"/>
      <w:marBottom w:val="0"/>
      <w:divBdr>
        <w:top w:val="none" w:sz="0" w:space="0" w:color="auto"/>
        <w:left w:val="none" w:sz="0" w:space="0" w:color="auto"/>
        <w:bottom w:val="none" w:sz="0" w:space="0" w:color="auto"/>
        <w:right w:val="none" w:sz="0" w:space="0" w:color="auto"/>
      </w:divBdr>
    </w:div>
    <w:div w:id="1600989558">
      <w:bodyDiv w:val="1"/>
      <w:marLeft w:val="0"/>
      <w:marRight w:val="0"/>
      <w:marTop w:val="0"/>
      <w:marBottom w:val="0"/>
      <w:divBdr>
        <w:top w:val="none" w:sz="0" w:space="0" w:color="auto"/>
        <w:left w:val="none" w:sz="0" w:space="0" w:color="auto"/>
        <w:bottom w:val="none" w:sz="0" w:space="0" w:color="auto"/>
        <w:right w:val="none" w:sz="0" w:space="0" w:color="auto"/>
      </w:divBdr>
    </w:div>
    <w:div w:id="1610623518">
      <w:bodyDiv w:val="1"/>
      <w:marLeft w:val="0"/>
      <w:marRight w:val="0"/>
      <w:marTop w:val="0"/>
      <w:marBottom w:val="0"/>
      <w:divBdr>
        <w:top w:val="none" w:sz="0" w:space="0" w:color="auto"/>
        <w:left w:val="none" w:sz="0" w:space="0" w:color="auto"/>
        <w:bottom w:val="none" w:sz="0" w:space="0" w:color="auto"/>
        <w:right w:val="none" w:sz="0" w:space="0" w:color="auto"/>
      </w:divBdr>
    </w:div>
    <w:div w:id="1617829409">
      <w:bodyDiv w:val="1"/>
      <w:marLeft w:val="0"/>
      <w:marRight w:val="0"/>
      <w:marTop w:val="0"/>
      <w:marBottom w:val="0"/>
      <w:divBdr>
        <w:top w:val="none" w:sz="0" w:space="0" w:color="auto"/>
        <w:left w:val="none" w:sz="0" w:space="0" w:color="auto"/>
        <w:bottom w:val="none" w:sz="0" w:space="0" w:color="auto"/>
        <w:right w:val="none" w:sz="0" w:space="0" w:color="auto"/>
      </w:divBdr>
    </w:div>
    <w:div w:id="1631939807">
      <w:bodyDiv w:val="1"/>
      <w:marLeft w:val="0"/>
      <w:marRight w:val="0"/>
      <w:marTop w:val="0"/>
      <w:marBottom w:val="0"/>
      <w:divBdr>
        <w:top w:val="none" w:sz="0" w:space="0" w:color="auto"/>
        <w:left w:val="none" w:sz="0" w:space="0" w:color="auto"/>
        <w:bottom w:val="none" w:sz="0" w:space="0" w:color="auto"/>
        <w:right w:val="none" w:sz="0" w:space="0" w:color="auto"/>
      </w:divBdr>
      <w:divsChild>
        <w:div w:id="363790849">
          <w:marLeft w:val="0"/>
          <w:marRight w:val="0"/>
          <w:marTop w:val="0"/>
          <w:marBottom w:val="0"/>
          <w:divBdr>
            <w:top w:val="none" w:sz="0" w:space="0" w:color="auto"/>
            <w:left w:val="none" w:sz="0" w:space="0" w:color="auto"/>
            <w:bottom w:val="none" w:sz="0" w:space="0" w:color="auto"/>
            <w:right w:val="none" w:sz="0" w:space="0" w:color="auto"/>
          </w:divBdr>
        </w:div>
      </w:divsChild>
    </w:div>
    <w:div w:id="1652520049">
      <w:bodyDiv w:val="1"/>
      <w:marLeft w:val="0"/>
      <w:marRight w:val="0"/>
      <w:marTop w:val="0"/>
      <w:marBottom w:val="0"/>
      <w:divBdr>
        <w:top w:val="none" w:sz="0" w:space="0" w:color="auto"/>
        <w:left w:val="none" w:sz="0" w:space="0" w:color="auto"/>
        <w:bottom w:val="none" w:sz="0" w:space="0" w:color="auto"/>
        <w:right w:val="none" w:sz="0" w:space="0" w:color="auto"/>
      </w:divBdr>
    </w:div>
    <w:div w:id="1654798232">
      <w:bodyDiv w:val="1"/>
      <w:marLeft w:val="0"/>
      <w:marRight w:val="0"/>
      <w:marTop w:val="0"/>
      <w:marBottom w:val="0"/>
      <w:divBdr>
        <w:top w:val="none" w:sz="0" w:space="0" w:color="auto"/>
        <w:left w:val="none" w:sz="0" w:space="0" w:color="auto"/>
        <w:bottom w:val="none" w:sz="0" w:space="0" w:color="auto"/>
        <w:right w:val="none" w:sz="0" w:space="0" w:color="auto"/>
      </w:divBdr>
      <w:divsChild>
        <w:div w:id="891311823">
          <w:marLeft w:val="0"/>
          <w:marRight w:val="0"/>
          <w:marTop w:val="0"/>
          <w:marBottom w:val="0"/>
          <w:divBdr>
            <w:top w:val="none" w:sz="0" w:space="0" w:color="auto"/>
            <w:left w:val="none" w:sz="0" w:space="0" w:color="auto"/>
            <w:bottom w:val="none" w:sz="0" w:space="0" w:color="auto"/>
            <w:right w:val="none" w:sz="0" w:space="0" w:color="auto"/>
          </w:divBdr>
        </w:div>
      </w:divsChild>
    </w:div>
    <w:div w:id="1664772627">
      <w:bodyDiv w:val="1"/>
      <w:marLeft w:val="0"/>
      <w:marRight w:val="0"/>
      <w:marTop w:val="0"/>
      <w:marBottom w:val="0"/>
      <w:divBdr>
        <w:top w:val="none" w:sz="0" w:space="0" w:color="auto"/>
        <w:left w:val="none" w:sz="0" w:space="0" w:color="auto"/>
        <w:bottom w:val="none" w:sz="0" w:space="0" w:color="auto"/>
        <w:right w:val="none" w:sz="0" w:space="0" w:color="auto"/>
      </w:divBdr>
    </w:div>
    <w:div w:id="1675497883">
      <w:bodyDiv w:val="1"/>
      <w:marLeft w:val="0"/>
      <w:marRight w:val="0"/>
      <w:marTop w:val="0"/>
      <w:marBottom w:val="0"/>
      <w:divBdr>
        <w:top w:val="none" w:sz="0" w:space="0" w:color="auto"/>
        <w:left w:val="none" w:sz="0" w:space="0" w:color="auto"/>
        <w:bottom w:val="none" w:sz="0" w:space="0" w:color="auto"/>
        <w:right w:val="none" w:sz="0" w:space="0" w:color="auto"/>
      </w:divBdr>
      <w:divsChild>
        <w:div w:id="1856923858">
          <w:marLeft w:val="0"/>
          <w:marRight w:val="0"/>
          <w:marTop w:val="0"/>
          <w:marBottom w:val="0"/>
          <w:divBdr>
            <w:top w:val="none" w:sz="0" w:space="0" w:color="auto"/>
            <w:left w:val="none" w:sz="0" w:space="0" w:color="auto"/>
            <w:bottom w:val="none" w:sz="0" w:space="0" w:color="auto"/>
            <w:right w:val="none" w:sz="0" w:space="0" w:color="auto"/>
          </w:divBdr>
          <w:divsChild>
            <w:div w:id="442305683">
              <w:marLeft w:val="0"/>
              <w:marRight w:val="0"/>
              <w:marTop w:val="0"/>
              <w:marBottom w:val="0"/>
              <w:divBdr>
                <w:top w:val="none" w:sz="0" w:space="0" w:color="auto"/>
                <w:left w:val="none" w:sz="0" w:space="0" w:color="auto"/>
                <w:bottom w:val="none" w:sz="0" w:space="0" w:color="auto"/>
                <w:right w:val="none" w:sz="0" w:space="0" w:color="auto"/>
              </w:divBdr>
              <w:divsChild>
                <w:div w:id="1137183445">
                  <w:marLeft w:val="0"/>
                  <w:marRight w:val="0"/>
                  <w:marTop w:val="0"/>
                  <w:marBottom w:val="0"/>
                  <w:divBdr>
                    <w:top w:val="none" w:sz="0" w:space="0" w:color="auto"/>
                    <w:left w:val="none" w:sz="0" w:space="0" w:color="auto"/>
                    <w:bottom w:val="none" w:sz="0" w:space="0" w:color="auto"/>
                    <w:right w:val="none" w:sz="0" w:space="0" w:color="auto"/>
                  </w:divBdr>
                  <w:divsChild>
                    <w:div w:id="1272398217">
                      <w:marLeft w:val="0"/>
                      <w:marRight w:val="0"/>
                      <w:marTop w:val="0"/>
                      <w:marBottom w:val="0"/>
                      <w:divBdr>
                        <w:top w:val="none" w:sz="0" w:space="0" w:color="auto"/>
                        <w:left w:val="none" w:sz="0" w:space="0" w:color="auto"/>
                        <w:bottom w:val="none" w:sz="0" w:space="0" w:color="auto"/>
                        <w:right w:val="none" w:sz="0" w:space="0" w:color="auto"/>
                      </w:divBdr>
                      <w:divsChild>
                        <w:div w:id="1539925445">
                          <w:marLeft w:val="0"/>
                          <w:marRight w:val="0"/>
                          <w:marTop w:val="0"/>
                          <w:marBottom w:val="0"/>
                          <w:divBdr>
                            <w:top w:val="none" w:sz="0" w:space="0" w:color="auto"/>
                            <w:left w:val="none" w:sz="0" w:space="0" w:color="auto"/>
                            <w:bottom w:val="none" w:sz="0" w:space="0" w:color="auto"/>
                            <w:right w:val="none" w:sz="0" w:space="0" w:color="auto"/>
                          </w:divBdr>
                          <w:divsChild>
                            <w:div w:id="800919365">
                              <w:marLeft w:val="0"/>
                              <w:marRight w:val="0"/>
                              <w:marTop w:val="0"/>
                              <w:marBottom w:val="0"/>
                              <w:divBdr>
                                <w:top w:val="none" w:sz="0" w:space="0" w:color="auto"/>
                                <w:left w:val="none" w:sz="0" w:space="0" w:color="auto"/>
                                <w:bottom w:val="single" w:sz="6" w:space="0" w:color="969696"/>
                                <w:right w:val="none" w:sz="0" w:space="0" w:color="auto"/>
                              </w:divBdr>
                              <w:divsChild>
                                <w:div w:id="66416078">
                                  <w:marLeft w:val="0"/>
                                  <w:marRight w:val="0"/>
                                  <w:marTop w:val="0"/>
                                  <w:marBottom w:val="300"/>
                                  <w:divBdr>
                                    <w:top w:val="none" w:sz="0" w:space="0" w:color="auto"/>
                                    <w:left w:val="none" w:sz="0" w:space="0" w:color="auto"/>
                                    <w:bottom w:val="none" w:sz="0" w:space="0" w:color="auto"/>
                                    <w:right w:val="none" w:sz="0" w:space="0" w:color="auto"/>
                                  </w:divBdr>
                                  <w:divsChild>
                                    <w:div w:id="1517889816">
                                      <w:marLeft w:val="0"/>
                                      <w:marRight w:val="0"/>
                                      <w:marTop w:val="0"/>
                                      <w:marBottom w:val="0"/>
                                      <w:divBdr>
                                        <w:top w:val="none" w:sz="0" w:space="0" w:color="auto"/>
                                        <w:left w:val="none" w:sz="0" w:space="0" w:color="auto"/>
                                        <w:bottom w:val="none" w:sz="0" w:space="0" w:color="auto"/>
                                        <w:right w:val="none" w:sz="0" w:space="0" w:color="auto"/>
                                      </w:divBdr>
                                      <w:divsChild>
                                        <w:div w:id="83519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8562647">
      <w:bodyDiv w:val="1"/>
      <w:marLeft w:val="0"/>
      <w:marRight w:val="0"/>
      <w:marTop w:val="0"/>
      <w:marBottom w:val="0"/>
      <w:divBdr>
        <w:top w:val="none" w:sz="0" w:space="0" w:color="auto"/>
        <w:left w:val="none" w:sz="0" w:space="0" w:color="auto"/>
        <w:bottom w:val="none" w:sz="0" w:space="0" w:color="auto"/>
        <w:right w:val="none" w:sz="0" w:space="0" w:color="auto"/>
      </w:divBdr>
    </w:div>
    <w:div w:id="1709991681">
      <w:bodyDiv w:val="1"/>
      <w:marLeft w:val="0"/>
      <w:marRight w:val="0"/>
      <w:marTop w:val="0"/>
      <w:marBottom w:val="0"/>
      <w:divBdr>
        <w:top w:val="none" w:sz="0" w:space="0" w:color="auto"/>
        <w:left w:val="none" w:sz="0" w:space="0" w:color="auto"/>
        <w:bottom w:val="none" w:sz="0" w:space="0" w:color="auto"/>
        <w:right w:val="none" w:sz="0" w:space="0" w:color="auto"/>
      </w:divBdr>
    </w:div>
    <w:div w:id="1710304877">
      <w:bodyDiv w:val="1"/>
      <w:marLeft w:val="0"/>
      <w:marRight w:val="0"/>
      <w:marTop w:val="0"/>
      <w:marBottom w:val="0"/>
      <w:divBdr>
        <w:top w:val="none" w:sz="0" w:space="0" w:color="auto"/>
        <w:left w:val="none" w:sz="0" w:space="0" w:color="auto"/>
        <w:bottom w:val="none" w:sz="0" w:space="0" w:color="auto"/>
        <w:right w:val="none" w:sz="0" w:space="0" w:color="auto"/>
      </w:divBdr>
    </w:div>
    <w:div w:id="1723362212">
      <w:bodyDiv w:val="1"/>
      <w:marLeft w:val="0"/>
      <w:marRight w:val="0"/>
      <w:marTop w:val="0"/>
      <w:marBottom w:val="0"/>
      <w:divBdr>
        <w:top w:val="none" w:sz="0" w:space="0" w:color="auto"/>
        <w:left w:val="none" w:sz="0" w:space="0" w:color="auto"/>
        <w:bottom w:val="none" w:sz="0" w:space="0" w:color="auto"/>
        <w:right w:val="none" w:sz="0" w:space="0" w:color="auto"/>
      </w:divBdr>
    </w:div>
    <w:div w:id="1735160103">
      <w:bodyDiv w:val="1"/>
      <w:marLeft w:val="0"/>
      <w:marRight w:val="0"/>
      <w:marTop w:val="0"/>
      <w:marBottom w:val="0"/>
      <w:divBdr>
        <w:top w:val="none" w:sz="0" w:space="0" w:color="auto"/>
        <w:left w:val="none" w:sz="0" w:space="0" w:color="auto"/>
        <w:bottom w:val="none" w:sz="0" w:space="0" w:color="auto"/>
        <w:right w:val="none" w:sz="0" w:space="0" w:color="auto"/>
      </w:divBdr>
    </w:div>
    <w:div w:id="1749231142">
      <w:bodyDiv w:val="1"/>
      <w:marLeft w:val="0"/>
      <w:marRight w:val="0"/>
      <w:marTop w:val="0"/>
      <w:marBottom w:val="0"/>
      <w:divBdr>
        <w:top w:val="none" w:sz="0" w:space="0" w:color="auto"/>
        <w:left w:val="none" w:sz="0" w:space="0" w:color="auto"/>
        <w:bottom w:val="none" w:sz="0" w:space="0" w:color="auto"/>
        <w:right w:val="none" w:sz="0" w:space="0" w:color="auto"/>
      </w:divBdr>
    </w:div>
    <w:div w:id="1750538871">
      <w:bodyDiv w:val="1"/>
      <w:marLeft w:val="0"/>
      <w:marRight w:val="0"/>
      <w:marTop w:val="0"/>
      <w:marBottom w:val="0"/>
      <w:divBdr>
        <w:top w:val="none" w:sz="0" w:space="0" w:color="auto"/>
        <w:left w:val="none" w:sz="0" w:space="0" w:color="auto"/>
        <w:bottom w:val="none" w:sz="0" w:space="0" w:color="auto"/>
        <w:right w:val="none" w:sz="0" w:space="0" w:color="auto"/>
      </w:divBdr>
    </w:div>
    <w:div w:id="1751194965">
      <w:bodyDiv w:val="1"/>
      <w:marLeft w:val="0"/>
      <w:marRight w:val="0"/>
      <w:marTop w:val="0"/>
      <w:marBottom w:val="0"/>
      <w:divBdr>
        <w:top w:val="none" w:sz="0" w:space="0" w:color="auto"/>
        <w:left w:val="none" w:sz="0" w:space="0" w:color="auto"/>
        <w:bottom w:val="none" w:sz="0" w:space="0" w:color="auto"/>
        <w:right w:val="none" w:sz="0" w:space="0" w:color="auto"/>
      </w:divBdr>
      <w:divsChild>
        <w:div w:id="1922716060">
          <w:marLeft w:val="0"/>
          <w:marRight w:val="0"/>
          <w:marTop w:val="0"/>
          <w:marBottom w:val="0"/>
          <w:divBdr>
            <w:top w:val="none" w:sz="0" w:space="0" w:color="auto"/>
            <w:left w:val="none" w:sz="0" w:space="0" w:color="auto"/>
            <w:bottom w:val="none" w:sz="0" w:space="0" w:color="auto"/>
            <w:right w:val="none" w:sz="0" w:space="0" w:color="auto"/>
          </w:divBdr>
        </w:div>
      </w:divsChild>
    </w:div>
    <w:div w:id="1756127118">
      <w:bodyDiv w:val="1"/>
      <w:marLeft w:val="0"/>
      <w:marRight w:val="0"/>
      <w:marTop w:val="0"/>
      <w:marBottom w:val="0"/>
      <w:divBdr>
        <w:top w:val="none" w:sz="0" w:space="0" w:color="auto"/>
        <w:left w:val="none" w:sz="0" w:space="0" w:color="auto"/>
        <w:bottom w:val="none" w:sz="0" w:space="0" w:color="auto"/>
        <w:right w:val="none" w:sz="0" w:space="0" w:color="auto"/>
      </w:divBdr>
      <w:divsChild>
        <w:div w:id="136381626">
          <w:marLeft w:val="0"/>
          <w:marRight w:val="0"/>
          <w:marTop w:val="0"/>
          <w:marBottom w:val="0"/>
          <w:divBdr>
            <w:top w:val="none" w:sz="0" w:space="0" w:color="auto"/>
            <w:left w:val="none" w:sz="0" w:space="0" w:color="auto"/>
            <w:bottom w:val="none" w:sz="0" w:space="0" w:color="auto"/>
            <w:right w:val="none" w:sz="0" w:space="0" w:color="auto"/>
          </w:divBdr>
        </w:div>
      </w:divsChild>
    </w:div>
    <w:div w:id="1760906623">
      <w:bodyDiv w:val="1"/>
      <w:marLeft w:val="0"/>
      <w:marRight w:val="0"/>
      <w:marTop w:val="0"/>
      <w:marBottom w:val="0"/>
      <w:divBdr>
        <w:top w:val="none" w:sz="0" w:space="0" w:color="auto"/>
        <w:left w:val="none" w:sz="0" w:space="0" w:color="auto"/>
        <w:bottom w:val="none" w:sz="0" w:space="0" w:color="auto"/>
        <w:right w:val="none" w:sz="0" w:space="0" w:color="auto"/>
      </w:divBdr>
    </w:div>
    <w:div w:id="1769039711">
      <w:bodyDiv w:val="1"/>
      <w:marLeft w:val="0"/>
      <w:marRight w:val="0"/>
      <w:marTop w:val="0"/>
      <w:marBottom w:val="0"/>
      <w:divBdr>
        <w:top w:val="none" w:sz="0" w:space="0" w:color="auto"/>
        <w:left w:val="none" w:sz="0" w:space="0" w:color="auto"/>
        <w:bottom w:val="none" w:sz="0" w:space="0" w:color="auto"/>
        <w:right w:val="none" w:sz="0" w:space="0" w:color="auto"/>
      </w:divBdr>
    </w:div>
    <w:div w:id="1770278272">
      <w:bodyDiv w:val="1"/>
      <w:marLeft w:val="0"/>
      <w:marRight w:val="0"/>
      <w:marTop w:val="0"/>
      <w:marBottom w:val="0"/>
      <w:divBdr>
        <w:top w:val="none" w:sz="0" w:space="0" w:color="auto"/>
        <w:left w:val="none" w:sz="0" w:space="0" w:color="auto"/>
        <w:bottom w:val="none" w:sz="0" w:space="0" w:color="auto"/>
        <w:right w:val="none" w:sz="0" w:space="0" w:color="auto"/>
      </w:divBdr>
    </w:div>
    <w:div w:id="1771317858">
      <w:bodyDiv w:val="1"/>
      <w:marLeft w:val="0"/>
      <w:marRight w:val="0"/>
      <w:marTop w:val="0"/>
      <w:marBottom w:val="0"/>
      <w:divBdr>
        <w:top w:val="none" w:sz="0" w:space="0" w:color="auto"/>
        <w:left w:val="none" w:sz="0" w:space="0" w:color="auto"/>
        <w:bottom w:val="none" w:sz="0" w:space="0" w:color="auto"/>
        <w:right w:val="none" w:sz="0" w:space="0" w:color="auto"/>
      </w:divBdr>
    </w:div>
    <w:div w:id="1772823395">
      <w:bodyDiv w:val="1"/>
      <w:marLeft w:val="0"/>
      <w:marRight w:val="0"/>
      <w:marTop w:val="0"/>
      <w:marBottom w:val="0"/>
      <w:divBdr>
        <w:top w:val="none" w:sz="0" w:space="0" w:color="auto"/>
        <w:left w:val="none" w:sz="0" w:space="0" w:color="auto"/>
        <w:bottom w:val="none" w:sz="0" w:space="0" w:color="auto"/>
        <w:right w:val="none" w:sz="0" w:space="0" w:color="auto"/>
      </w:divBdr>
    </w:div>
    <w:div w:id="1776707243">
      <w:bodyDiv w:val="1"/>
      <w:marLeft w:val="0"/>
      <w:marRight w:val="0"/>
      <w:marTop w:val="0"/>
      <w:marBottom w:val="0"/>
      <w:divBdr>
        <w:top w:val="none" w:sz="0" w:space="0" w:color="auto"/>
        <w:left w:val="none" w:sz="0" w:space="0" w:color="auto"/>
        <w:bottom w:val="none" w:sz="0" w:space="0" w:color="auto"/>
        <w:right w:val="none" w:sz="0" w:space="0" w:color="auto"/>
      </w:divBdr>
    </w:div>
    <w:div w:id="1782450703">
      <w:bodyDiv w:val="1"/>
      <w:marLeft w:val="0"/>
      <w:marRight w:val="0"/>
      <w:marTop w:val="0"/>
      <w:marBottom w:val="0"/>
      <w:divBdr>
        <w:top w:val="none" w:sz="0" w:space="0" w:color="auto"/>
        <w:left w:val="none" w:sz="0" w:space="0" w:color="auto"/>
        <w:bottom w:val="none" w:sz="0" w:space="0" w:color="auto"/>
        <w:right w:val="none" w:sz="0" w:space="0" w:color="auto"/>
      </w:divBdr>
    </w:div>
    <w:div w:id="1786998169">
      <w:bodyDiv w:val="1"/>
      <w:marLeft w:val="0"/>
      <w:marRight w:val="0"/>
      <w:marTop w:val="0"/>
      <w:marBottom w:val="0"/>
      <w:divBdr>
        <w:top w:val="none" w:sz="0" w:space="0" w:color="auto"/>
        <w:left w:val="none" w:sz="0" w:space="0" w:color="auto"/>
        <w:bottom w:val="none" w:sz="0" w:space="0" w:color="auto"/>
        <w:right w:val="none" w:sz="0" w:space="0" w:color="auto"/>
      </w:divBdr>
    </w:div>
    <w:div w:id="1793665967">
      <w:bodyDiv w:val="1"/>
      <w:marLeft w:val="0"/>
      <w:marRight w:val="0"/>
      <w:marTop w:val="0"/>
      <w:marBottom w:val="0"/>
      <w:divBdr>
        <w:top w:val="none" w:sz="0" w:space="0" w:color="auto"/>
        <w:left w:val="none" w:sz="0" w:space="0" w:color="auto"/>
        <w:bottom w:val="none" w:sz="0" w:space="0" w:color="auto"/>
        <w:right w:val="none" w:sz="0" w:space="0" w:color="auto"/>
      </w:divBdr>
    </w:div>
    <w:div w:id="1798331470">
      <w:bodyDiv w:val="1"/>
      <w:marLeft w:val="0"/>
      <w:marRight w:val="0"/>
      <w:marTop w:val="0"/>
      <w:marBottom w:val="0"/>
      <w:divBdr>
        <w:top w:val="none" w:sz="0" w:space="0" w:color="auto"/>
        <w:left w:val="none" w:sz="0" w:space="0" w:color="auto"/>
        <w:bottom w:val="none" w:sz="0" w:space="0" w:color="auto"/>
        <w:right w:val="none" w:sz="0" w:space="0" w:color="auto"/>
      </w:divBdr>
    </w:div>
    <w:div w:id="1826817622">
      <w:bodyDiv w:val="1"/>
      <w:marLeft w:val="0"/>
      <w:marRight w:val="0"/>
      <w:marTop w:val="0"/>
      <w:marBottom w:val="0"/>
      <w:divBdr>
        <w:top w:val="none" w:sz="0" w:space="0" w:color="auto"/>
        <w:left w:val="none" w:sz="0" w:space="0" w:color="auto"/>
        <w:bottom w:val="none" w:sz="0" w:space="0" w:color="auto"/>
        <w:right w:val="none" w:sz="0" w:space="0" w:color="auto"/>
      </w:divBdr>
    </w:div>
    <w:div w:id="1847017622">
      <w:bodyDiv w:val="1"/>
      <w:marLeft w:val="0"/>
      <w:marRight w:val="0"/>
      <w:marTop w:val="0"/>
      <w:marBottom w:val="0"/>
      <w:divBdr>
        <w:top w:val="none" w:sz="0" w:space="0" w:color="auto"/>
        <w:left w:val="none" w:sz="0" w:space="0" w:color="auto"/>
        <w:bottom w:val="none" w:sz="0" w:space="0" w:color="auto"/>
        <w:right w:val="none" w:sz="0" w:space="0" w:color="auto"/>
      </w:divBdr>
    </w:div>
    <w:div w:id="1863083694">
      <w:bodyDiv w:val="1"/>
      <w:marLeft w:val="0"/>
      <w:marRight w:val="0"/>
      <w:marTop w:val="0"/>
      <w:marBottom w:val="0"/>
      <w:divBdr>
        <w:top w:val="none" w:sz="0" w:space="0" w:color="auto"/>
        <w:left w:val="none" w:sz="0" w:space="0" w:color="auto"/>
        <w:bottom w:val="none" w:sz="0" w:space="0" w:color="auto"/>
        <w:right w:val="none" w:sz="0" w:space="0" w:color="auto"/>
      </w:divBdr>
    </w:div>
    <w:div w:id="1874730473">
      <w:bodyDiv w:val="1"/>
      <w:marLeft w:val="0"/>
      <w:marRight w:val="0"/>
      <w:marTop w:val="0"/>
      <w:marBottom w:val="0"/>
      <w:divBdr>
        <w:top w:val="none" w:sz="0" w:space="0" w:color="auto"/>
        <w:left w:val="none" w:sz="0" w:space="0" w:color="auto"/>
        <w:bottom w:val="none" w:sz="0" w:space="0" w:color="auto"/>
        <w:right w:val="none" w:sz="0" w:space="0" w:color="auto"/>
      </w:divBdr>
    </w:div>
    <w:div w:id="1884321358">
      <w:bodyDiv w:val="1"/>
      <w:marLeft w:val="0"/>
      <w:marRight w:val="0"/>
      <w:marTop w:val="0"/>
      <w:marBottom w:val="0"/>
      <w:divBdr>
        <w:top w:val="none" w:sz="0" w:space="0" w:color="auto"/>
        <w:left w:val="none" w:sz="0" w:space="0" w:color="auto"/>
        <w:bottom w:val="none" w:sz="0" w:space="0" w:color="auto"/>
        <w:right w:val="none" w:sz="0" w:space="0" w:color="auto"/>
      </w:divBdr>
    </w:div>
    <w:div w:id="1903591016">
      <w:bodyDiv w:val="1"/>
      <w:marLeft w:val="0"/>
      <w:marRight w:val="0"/>
      <w:marTop w:val="0"/>
      <w:marBottom w:val="0"/>
      <w:divBdr>
        <w:top w:val="none" w:sz="0" w:space="0" w:color="auto"/>
        <w:left w:val="none" w:sz="0" w:space="0" w:color="auto"/>
        <w:bottom w:val="none" w:sz="0" w:space="0" w:color="auto"/>
        <w:right w:val="none" w:sz="0" w:space="0" w:color="auto"/>
      </w:divBdr>
    </w:div>
    <w:div w:id="1905288963">
      <w:bodyDiv w:val="1"/>
      <w:marLeft w:val="0"/>
      <w:marRight w:val="0"/>
      <w:marTop w:val="0"/>
      <w:marBottom w:val="0"/>
      <w:divBdr>
        <w:top w:val="none" w:sz="0" w:space="0" w:color="auto"/>
        <w:left w:val="none" w:sz="0" w:space="0" w:color="auto"/>
        <w:bottom w:val="none" w:sz="0" w:space="0" w:color="auto"/>
        <w:right w:val="none" w:sz="0" w:space="0" w:color="auto"/>
      </w:divBdr>
    </w:div>
    <w:div w:id="1909538372">
      <w:bodyDiv w:val="1"/>
      <w:marLeft w:val="0"/>
      <w:marRight w:val="0"/>
      <w:marTop w:val="0"/>
      <w:marBottom w:val="0"/>
      <w:divBdr>
        <w:top w:val="none" w:sz="0" w:space="0" w:color="auto"/>
        <w:left w:val="none" w:sz="0" w:space="0" w:color="auto"/>
        <w:bottom w:val="none" w:sz="0" w:space="0" w:color="auto"/>
        <w:right w:val="none" w:sz="0" w:space="0" w:color="auto"/>
      </w:divBdr>
    </w:div>
    <w:div w:id="1925337730">
      <w:bodyDiv w:val="1"/>
      <w:marLeft w:val="0"/>
      <w:marRight w:val="0"/>
      <w:marTop w:val="0"/>
      <w:marBottom w:val="0"/>
      <w:divBdr>
        <w:top w:val="none" w:sz="0" w:space="0" w:color="auto"/>
        <w:left w:val="none" w:sz="0" w:space="0" w:color="auto"/>
        <w:bottom w:val="none" w:sz="0" w:space="0" w:color="auto"/>
        <w:right w:val="none" w:sz="0" w:space="0" w:color="auto"/>
      </w:divBdr>
    </w:div>
    <w:div w:id="1930113297">
      <w:bodyDiv w:val="1"/>
      <w:marLeft w:val="0"/>
      <w:marRight w:val="0"/>
      <w:marTop w:val="0"/>
      <w:marBottom w:val="0"/>
      <w:divBdr>
        <w:top w:val="none" w:sz="0" w:space="0" w:color="auto"/>
        <w:left w:val="none" w:sz="0" w:space="0" w:color="auto"/>
        <w:bottom w:val="none" w:sz="0" w:space="0" w:color="auto"/>
        <w:right w:val="none" w:sz="0" w:space="0" w:color="auto"/>
      </w:divBdr>
    </w:div>
    <w:div w:id="1932230527">
      <w:bodyDiv w:val="1"/>
      <w:marLeft w:val="0"/>
      <w:marRight w:val="0"/>
      <w:marTop w:val="0"/>
      <w:marBottom w:val="0"/>
      <w:divBdr>
        <w:top w:val="none" w:sz="0" w:space="0" w:color="auto"/>
        <w:left w:val="none" w:sz="0" w:space="0" w:color="auto"/>
        <w:bottom w:val="none" w:sz="0" w:space="0" w:color="auto"/>
        <w:right w:val="none" w:sz="0" w:space="0" w:color="auto"/>
      </w:divBdr>
      <w:divsChild>
        <w:div w:id="592586351">
          <w:marLeft w:val="0"/>
          <w:marRight w:val="0"/>
          <w:marTop w:val="0"/>
          <w:marBottom w:val="0"/>
          <w:divBdr>
            <w:top w:val="none" w:sz="0" w:space="0" w:color="auto"/>
            <w:left w:val="none" w:sz="0" w:space="0" w:color="auto"/>
            <w:bottom w:val="none" w:sz="0" w:space="0" w:color="auto"/>
            <w:right w:val="none" w:sz="0" w:space="0" w:color="auto"/>
          </w:divBdr>
          <w:divsChild>
            <w:div w:id="497888820">
              <w:marLeft w:val="0"/>
              <w:marRight w:val="0"/>
              <w:marTop w:val="0"/>
              <w:marBottom w:val="0"/>
              <w:divBdr>
                <w:top w:val="none" w:sz="0" w:space="0" w:color="auto"/>
                <w:left w:val="none" w:sz="0" w:space="0" w:color="auto"/>
                <w:bottom w:val="none" w:sz="0" w:space="0" w:color="auto"/>
                <w:right w:val="none" w:sz="0" w:space="0" w:color="auto"/>
              </w:divBdr>
              <w:divsChild>
                <w:div w:id="873076015">
                  <w:marLeft w:val="0"/>
                  <w:marRight w:val="0"/>
                  <w:marTop w:val="0"/>
                  <w:marBottom w:val="0"/>
                  <w:divBdr>
                    <w:top w:val="none" w:sz="0" w:space="0" w:color="auto"/>
                    <w:left w:val="none" w:sz="0" w:space="0" w:color="auto"/>
                    <w:bottom w:val="none" w:sz="0" w:space="0" w:color="auto"/>
                    <w:right w:val="none" w:sz="0" w:space="0" w:color="auto"/>
                  </w:divBdr>
                </w:div>
                <w:div w:id="1172641671">
                  <w:marLeft w:val="0"/>
                  <w:marRight w:val="0"/>
                  <w:marTop w:val="0"/>
                  <w:marBottom w:val="0"/>
                  <w:divBdr>
                    <w:top w:val="none" w:sz="0" w:space="0" w:color="auto"/>
                    <w:left w:val="none" w:sz="0" w:space="0" w:color="auto"/>
                    <w:bottom w:val="none" w:sz="0" w:space="0" w:color="auto"/>
                    <w:right w:val="none" w:sz="0" w:space="0" w:color="auto"/>
                  </w:divBdr>
                </w:div>
                <w:div w:id="1256938674">
                  <w:marLeft w:val="0"/>
                  <w:marRight w:val="0"/>
                  <w:marTop w:val="0"/>
                  <w:marBottom w:val="0"/>
                  <w:divBdr>
                    <w:top w:val="none" w:sz="0" w:space="0" w:color="auto"/>
                    <w:left w:val="none" w:sz="0" w:space="0" w:color="auto"/>
                    <w:bottom w:val="none" w:sz="0" w:space="0" w:color="auto"/>
                    <w:right w:val="none" w:sz="0" w:space="0" w:color="auto"/>
                  </w:divBdr>
                </w:div>
              </w:divsChild>
            </w:div>
            <w:div w:id="785121731">
              <w:marLeft w:val="0"/>
              <w:marRight w:val="0"/>
              <w:marTop w:val="0"/>
              <w:marBottom w:val="0"/>
              <w:divBdr>
                <w:top w:val="none" w:sz="0" w:space="0" w:color="auto"/>
                <w:left w:val="none" w:sz="0" w:space="0" w:color="auto"/>
                <w:bottom w:val="none" w:sz="0" w:space="0" w:color="auto"/>
                <w:right w:val="none" w:sz="0" w:space="0" w:color="auto"/>
              </w:divBdr>
              <w:divsChild>
                <w:div w:id="137459855">
                  <w:marLeft w:val="0"/>
                  <w:marRight w:val="0"/>
                  <w:marTop w:val="0"/>
                  <w:marBottom w:val="0"/>
                  <w:divBdr>
                    <w:top w:val="none" w:sz="0" w:space="0" w:color="auto"/>
                    <w:left w:val="none" w:sz="0" w:space="0" w:color="auto"/>
                    <w:bottom w:val="none" w:sz="0" w:space="0" w:color="auto"/>
                    <w:right w:val="none" w:sz="0" w:space="0" w:color="auto"/>
                  </w:divBdr>
                  <w:divsChild>
                    <w:div w:id="1809743577">
                      <w:marLeft w:val="0"/>
                      <w:marRight w:val="0"/>
                      <w:marTop w:val="0"/>
                      <w:marBottom w:val="0"/>
                      <w:divBdr>
                        <w:top w:val="none" w:sz="0" w:space="0" w:color="auto"/>
                        <w:left w:val="none" w:sz="0" w:space="0" w:color="auto"/>
                        <w:bottom w:val="none" w:sz="0" w:space="0" w:color="auto"/>
                        <w:right w:val="none" w:sz="0" w:space="0" w:color="auto"/>
                      </w:divBdr>
                      <w:divsChild>
                        <w:div w:id="224611532">
                          <w:marLeft w:val="0"/>
                          <w:marRight w:val="0"/>
                          <w:marTop w:val="0"/>
                          <w:marBottom w:val="0"/>
                          <w:divBdr>
                            <w:top w:val="none" w:sz="0" w:space="0" w:color="auto"/>
                            <w:left w:val="none" w:sz="0" w:space="0" w:color="auto"/>
                            <w:bottom w:val="none" w:sz="0" w:space="0" w:color="auto"/>
                            <w:right w:val="none" w:sz="0" w:space="0" w:color="auto"/>
                          </w:divBdr>
                          <w:divsChild>
                            <w:div w:id="217782311">
                              <w:marLeft w:val="0"/>
                              <w:marRight w:val="0"/>
                              <w:marTop w:val="0"/>
                              <w:marBottom w:val="0"/>
                              <w:divBdr>
                                <w:top w:val="none" w:sz="0" w:space="0" w:color="auto"/>
                                <w:left w:val="none" w:sz="0" w:space="0" w:color="auto"/>
                                <w:bottom w:val="none" w:sz="0" w:space="0" w:color="auto"/>
                                <w:right w:val="none" w:sz="0" w:space="0" w:color="auto"/>
                              </w:divBdr>
                              <w:divsChild>
                                <w:div w:id="235552963">
                                  <w:marLeft w:val="0"/>
                                  <w:marRight w:val="0"/>
                                  <w:marTop w:val="0"/>
                                  <w:marBottom w:val="0"/>
                                  <w:divBdr>
                                    <w:top w:val="none" w:sz="0" w:space="0" w:color="auto"/>
                                    <w:left w:val="none" w:sz="0" w:space="0" w:color="auto"/>
                                    <w:bottom w:val="none" w:sz="0" w:space="0" w:color="auto"/>
                                    <w:right w:val="none" w:sz="0" w:space="0" w:color="auto"/>
                                  </w:divBdr>
                                  <w:divsChild>
                                    <w:div w:id="1053886188">
                                      <w:marLeft w:val="0"/>
                                      <w:marRight w:val="0"/>
                                      <w:marTop w:val="0"/>
                                      <w:marBottom w:val="0"/>
                                      <w:divBdr>
                                        <w:top w:val="none" w:sz="0" w:space="0" w:color="auto"/>
                                        <w:left w:val="none" w:sz="0" w:space="0" w:color="auto"/>
                                        <w:bottom w:val="none" w:sz="0" w:space="0" w:color="auto"/>
                                        <w:right w:val="none" w:sz="0" w:space="0" w:color="auto"/>
                                      </w:divBdr>
                                      <w:divsChild>
                                        <w:div w:id="1058549548">
                                          <w:marLeft w:val="0"/>
                                          <w:marRight w:val="0"/>
                                          <w:marTop w:val="0"/>
                                          <w:marBottom w:val="0"/>
                                          <w:divBdr>
                                            <w:top w:val="single" w:sz="6" w:space="6" w:color="CCCCCC"/>
                                            <w:left w:val="single" w:sz="6" w:space="6" w:color="CCCCCC"/>
                                            <w:bottom w:val="single" w:sz="6" w:space="11" w:color="CCCCCC"/>
                                            <w:right w:val="single" w:sz="6" w:space="6" w:color="CCCCCC"/>
                                          </w:divBdr>
                                          <w:divsChild>
                                            <w:div w:id="81343092">
                                              <w:marLeft w:val="0"/>
                                              <w:marRight w:val="0"/>
                                              <w:marTop w:val="0"/>
                                              <w:marBottom w:val="0"/>
                                              <w:divBdr>
                                                <w:top w:val="none" w:sz="0" w:space="0" w:color="auto"/>
                                                <w:left w:val="none" w:sz="0" w:space="0" w:color="auto"/>
                                                <w:bottom w:val="none" w:sz="0" w:space="0" w:color="auto"/>
                                                <w:right w:val="none" w:sz="0" w:space="0" w:color="auto"/>
                                              </w:divBdr>
                                              <w:divsChild>
                                                <w:div w:id="5140049">
                                                  <w:marLeft w:val="0"/>
                                                  <w:marRight w:val="0"/>
                                                  <w:marTop w:val="0"/>
                                                  <w:marBottom w:val="0"/>
                                                  <w:divBdr>
                                                    <w:top w:val="none" w:sz="0" w:space="0" w:color="auto"/>
                                                    <w:left w:val="none" w:sz="0" w:space="0" w:color="auto"/>
                                                    <w:bottom w:val="none" w:sz="0" w:space="0" w:color="auto"/>
                                                    <w:right w:val="none" w:sz="0" w:space="0" w:color="auto"/>
                                                  </w:divBdr>
                                                </w:div>
                                                <w:div w:id="884097542">
                                                  <w:marLeft w:val="0"/>
                                                  <w:marRight w:val="0"/>
                                                  <w:marTop w:val="0"/>
                                                  <w:marBottom w:val="0"/>
                                                  <w:divBdr>
                                                    <w:top w:val="none" w:sz="0" w:space="0" w:color="auto"/>
                                                    <w:left w:val="none" w:sz="0" w:space="0" w:color="auto"/>
                                                    <w:bottom w:val="none" w:sz="0" w:space="0" w:color="auto"/>
                                                    <w:right w:val="none" w:sz="0" w:space="0" w:color="auto"/>
                                                  </w:divBdr>
                                                  <w:divsChild>
                                                    <w:div w:id="726882238">
                                                      <w:marLeft w:val="0"/>
                                                      <w:marRight w:val="0"/>
                                                      <w:marTop w:val="0"/>
                                                      <w:marBottom w:val="0"/>
                                                      <w:divBdr>
                                                        <w:top w:val="none" w:sz="0" w:space="0" w:color="auto"/>
                                                        <w:left w:val="none" w:sz="0" w:space="0" w:color="auto"/>
                                                        <w:bottom w:val="none" w:sz="0" w:space="0" w:color="auto"/>
                                                        <w:right w:val="none" w:sz="0" w:space="0" w:color="auto"/>
                                                      </w:divBdr>
                                                      <w:divsChild>
                                                        <w:div w:id="574317606">
                                                          <w:marLeft w:val="0"/>
                                                          <w:marRight w:val="0"/>
                                                          <w:marTop w:val="0"/>
                                                          <w:marBottom w:val="0"/>
                                                          <w:divBdr>
                                                            <w:top w:val="none" w:sz="0" w:space="0" w:color="auto"/>
                                                            <w:left w:val="none" w:sz="0" w:space="0" w:color="auto"/>
                                                            <w:bottom w:val="none" w:sz="0" w:space="0" w:color="auto"/>
                                                            <w:right w:val="none" w:sz="0" w:space="0" w:color="auto"/>
                                                          </w:divBdr>
                                                          <w:divsChild>
                                                            <w:div w:id="931667450">
                                                              <w:marLeft w:val="0"/>
                                                              <w:marRight w:val="0"/>
                                                              <w:marTop w:val="0"/>
                                                              <w:marBottom w:val="0"/>
                                                              <w:divBdr>
                                                                <w:top w:val="none" w:sz="0" w:space="0" w:color="auto"/>
                                                                <w:left w:val="none" w:sz="0" w:space="0" w:color="auto"/>
                                                                <w:bottom w:val="none" w:sz="0" w:space="0" w:color="auto"/>
                                                                <w:right w:val="none" w:sz="0" w:space="0" w:color="auto"/>
                                                              </w:divBdr>
                                                            </w:div>
                                                          </w:divsChild>
                                                        </w:div>
                                                        <w:div w:id="881017225">
                                                          <w:marLeft w:val="0"/>
                                                          <w:marRight w:val="0"/>
                                                          <w:marTop w:val="0"/>
                                                          <w:marBottom w:val="0"/>
                                                          <w:divBdr>
                                                            <w:top w:val="none" w:sz="0" w:space="0" w:color="auto"/>
                                                            <w:left w:val="none" w:sz="0" w:space="0" w:color="auto"/>
                                                            <w:bottom w:val="none" w:sz="0" w:space="0" w:color="auto"/>
                                                            <w:right w:val="none" w:sz="0" w:space="0" w:color="auto"/>
                                                          </w:divBdr>
                                                        </w:div>
                                                        <w:div w:id="2144229807">
                                                          <w:marLeft w:val="0"/>
                                                          <w:marRight w:val="0"/>
                                                          <w:marTop w:val="0"/>
                                                          <w:marBottom w:val="0"/>
                                                          <w:divBdr>
                                                            <w:top w:val="none" w:sz="0" w:space="0" w:color="auto"/>
                                                            <w:left w:val="none" w:sz="0" w:space="0" w:color="auto"/>
                                                            <w:bottom w:val="none" w:sz="0" w:space="0" w:color="auto"/>
                                                            <w:right w:val="none" w:sz="0" w:space="0" w:color="auto"/>
                                                          </w:divBdr>
                                                        </w:div>
                                                      </w:divsChild>
                                                    </w:div>
                                                    <w:div w:id="851190376">
                                                      <w:marLeft w:val="0"/>
                                                      <w:marRight w:val="0"/>
                                                      <w:marTop w:val="0"/>
                                                      <w:marBottom w:val="0"/>
                                                      <w:divBdr>
                                                        <w:top w:val="none" w:sz="0" w:space="0" w:color="auto"/>
                                                        <w:left w:val="none" w:sz="0" w:space="0" w:color="auto"/>
                                                        <w:bottom w:val="none" w:sz="0" w:space="0" w:color="auto"/>
                                                        <w:right w:val="none" w:sz="0" w:space="0" w:color="auto"/>
                                                      </w:divBdr>
                                                      <w:divsChild>
                                                        <w:div w:id="19742162">
                                                          <w:marLeft w:val="0"/>
                                                          <w:marRight w:val="0"/>
                                                          <w:marTop w:val="0"/>
                                                          <w:marBottom w:val="75"/>
                                                          <w:divBdr>
                                                            <w:top w:val="single" w:sz="6" w:space="8" w:color="CBCFD0"/>
                                                            <w:left w:val="single" w:sz="6" w:space="11" w:color="CBCFD0"/>
                                                            <w:bottom w:val="single" w:sz="6" w:space="8" w:color="CBCFD0"/>
                                                            <w:right w:val="single" w:sz="6" w:space="11" w:color="CBCFD0"/>
                                                          </w:divBdr>
                                                        </w:div>
                                                        <w:div w:id="521868010">
                                                          <w:marLeft w:val="0"/>
                                                          <w:marRight w:val="0"/>
                                                          <w:marTop w:val="0"/>
                                                          <w:marBottom w:val="0"/>
                                                          <w:divBdr>
                                                            <w:top w:val="none" w:sz="0" w:space="0" w:color="auto"/>
                                                            <w:left w:val="none" w:sz="0" w:space="0" w:color="auto"/>
                                                            <w:bottom w:val="none" w:sz="0" w:space="0" w:color="auto"/>
                                                            <w:right w:val="none" w:sz="0" w:space="0" w:color="auto"/>
                                                          </w:divBdr>
                                                        </w:div>
                                                        <w:div w:id="958415895">
                                                          <w:marLeft w:val="0"/>
                                                          <w:marRight w:val="0"/>
                                                          <w:marTop w:val="0"/>
                                                          <w:marBottom w:val="0"/>
                                                          <w:divBdr>
                                                            <w:top w:val="none" w:sz="0" w:space="0" w:color="auto"/>
                                                            <w:left w:val="none" w:sz="0" w:space="0" w:color="auto"/>
                                                            <w:bottom w:val="none" w:sz="0" w:space="0" w:color="auto"/>
                                                            <w:right w:val="none" w:sz="0" w:space="0" w:color="auto"/>
                                                          </w:divBdr>
                                                        </w:div>
                                                        <w:div w:id="1123958279">
                                                          <w:marLeft w:val="0"/>
                                                          <w:marRight w:val="0"/>
                                                          <w:marTop w:val="0"/>
                                                          <w:marBottom w:val="0"/>
                                                          <w:divBdr>
                                                            <w:top w:val="none" w:sz="0" w:space="0" w:color="auto"/>
                                                            <w:left w:val="none" w:sz="0" w:space="0" w:color="auto"/>
                                                            <w:bottom w:val="none" w:sz="0" w:space="0" w:color="auto"/>
                                                            <w:right w:val="none" w:sz="0" w:space="0" w:color="auto"/>
                                                          </w:divBdr>
                                                        </w:div>
                                                        <w:div w:id="1522665980">
                                                          <w:marLeft w:val="0"/>
                                                          <w:marRight w:val="0"/>
                                                          <w:marTop w:val="0"/>
                                                          <w:marBottom w:val="0"/>
                                                          <w:divBdr>
                                                            <w:top w:val="none" w:sz="0" w:space="0" w:color="auto"/>
                                                            <w:left w:val="none" w:sz="0" w:space="0" w:color="auto"/>
                                                            <w:bottom w:val="none" w:sz="0" w:space="0" w:color="auto"/>
                                                            <w:right w:val="none" w:sz="0" w:space="0" w:color="auto"/>
                                                          </w:divBdr>
                                                          <w:divsChild>
                                                            <w:div w:id="255600879">
                                                              <w:marLeft w:val="0"/>
                                                              <w:marRight w:val="0"/>
                                                              <w:marTop w:val="0"/>
                                                              <w:marBottom w:val="0"/>
                                                              <w:divBdr>
                                                                <w:top w:val="none" w:sz="0" w:space="0" w:color="auto"/>
                                                                <w:left w:val="none" w:sz="0" w:space="0" w:color="auto"/>
                                                                <w:bottom w:val="none" w:sz="0" w:space="0" w:color="auto"/>
                                                                <w:right w:val="none" w:sz="0" w:space="0" w:color="auto"/>
                                                              </w:divBdr>
                                                            </w:div>
                                                            <w:div w:id="1800219504">
                                                              <w:marLeft w:val="0"/>
                                                              <w:marRight w:val="0"/>
                                                              <w:marTop w:val="0"/>
                                                              <w:marBottom w:val="0"/>
                                                              <w:divBdr>
                                                                <w:top w:val="none" w:sz="0" w:space="0" w:color="auto"/>
                                                                <w:left w:val="none" w:sz="0" w:space="0" w:color="auto"/>
                                                                <w:bottom w:val="none" w:sz="0" w:space="0" w:color="auto"/>
                                                                <w:right w:val="none" w:sz="0" w:space="0" w:color="auto"/>
                                                              </w:divBdr>
                                                              <w:divsChild>
                                                                <w:div w:id="79061222">
                                                                  <w:marLeft w:val="0"/>
                                                                  <w:marRight w:val="0"/>
                                                                  <w:marTop w:val="0"/>
                                                                  <w:marBottom w:val="0"/>
                                                                  <w:divBdr>
                                                                    <w:top w:val="none" w:sz="0" w:space="0" w:color="auto"/>
                                                                    <w:left w:val="none" w:sz="0" w:space="0" w:color="auto"/>
                                                                    <w:bottom w:val="none" w:sz="0" w:space="0" w:color="auto"/>
                                                                    <w:right w:val="none" w:sz="0" w:space="0" w:color="auto"/>
                                                                  </w:divBdr>
                                                                  <w:divsChild>
                                                                    <w:div w:id="97603186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957827912">
                                                      <w:marLeft w:val="0"/>
                                                      <w:marRight w:val="0"/>
                                                      <w:marTop w:val="0"/>
                                                      <w:marBottom w:val="0"/>
                                                      <w:divBdr>
                                                        <w:top w:val="none" w:sz="0" w:space="0" w:color="auto"/>
                                                        <w:left w:val="none" w:sz="0" w:space="0" w:color="auto"/>
                                                        <w:bottom w:val="none" w:sz="0" w:space="0" w:color="auto"/>
                                                        <w:right w:val="none" w:sz="0" w:space="0" w:color="auto"/>
                                                      </w:divBdr>
                                                    </w:div>
                                                  </w:divsChild>
                                                </w:div>
                                                <w:div w:id="2004310823">
                                                  <w:marLeft w:val="0"/>
                                                  <w:marRight w:val="0"/>
                                                  <w:marTop w:val="0"/>
                                                  <w:marBottom w:val="0"/>
                                                  <w:divBdr>
                                                    <w:top w:val="none" w:sz="0" w:space="0" w:color="auto"/>
                                                    <w:left w:val="none" w:sz="0" w:space="0" w:color="auto"/>
                                                    <w:bottom w:val="none" w:sz="0" w:space="0" w:color="auto"/>
                                                    <w:right w:val="none" w:sz="0" w:space="0" w:color="auto"/>
                                                  </w:divBdr>
                                                </w:div>
                                              </w:divsChild>
                                            </w:div>
                                            <w:div w:id="12743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886211">
                              <w:marLeft w:val="0"/>
                              <w:marRight w:val="0"/>
                              <w:marTop w:val="0"/>
                              <w:marBottom w:val="0"/>
                              <w:divBdr>
                                <w:top w:val="none" w:sz="0" w:space="0" w:color="auto"/>
                                <w:left w:val="none" w:sz="0" w:space="0" w:color="auto"/>
                                <w:bottom w:val="none" w:sz="0" w:space="0" w:color="auto"/>
                                <w:right w:val="none" w:sz="0" w:space="0" w:color="auto"/>
                              </w:divBdr>
                            </w:div>
                          </w:divsChild>
                        </w:div>
                        <w:div w:id="1507162143">
                          <w:marLeft w:val="0"/>
                          <w:marRight w:val="0"/>
                          <w:marTop w:val="0"/>
                          <w:marBottom w:val="0"/>
                          <w:divBdr>
                            <w:top w:val="none" w:sz="0" w:space="0" w:color="auto"/>
                            <w:left w:val="none" w:sz="0" w:space="0" w:color="auto"/>
                            <w:bottom w:val="none" w:sz="0" w:space="0" w:color="auto"/>
                            <w:right w:val="none" w:sz="0" w:space="0" w:color="auto"/>
                          </w:divBdr>
                          <w:divsChild>
                            <w:div w:id="1199856612">
                              <w:marLeft w:val="0"/>
                              <w:marRight w:val="0"/>
                              <w:marTop w:val="100"/>
                              <w:marBottom w:val="100"/>
                              <w:divBdr>
                                <w:top w:val="none" w:sz="0" w:space="0" w:color="auto"/>
                                <w:left w:val="none" w:sz="0" w:space="0" w:color="auto"/>
                                <w:bottom w:val="none" w:sz="0" w:space="0" w:color="auto"/>
                                <w:right w:val="none" w:sz="0" w:space="0" w:color="auto"/>
                              </w:divBdr>
                              <w:divsChild>
                                <w:div w:id="762148551">
                                  <w:marLeft w:val="0"/>
                                  <w:marRight w:val="0"/>
                                  <w:marTop w:val="0"/>
                                  <w:marBottom w:val="225"/>
                                  <w:divBdr>
                                    <w:top w:val="none" w:sz="0" w:space="0" w:color="auto"/>
                                    <w:left w:val="none" w:sz="0" w:space="0" w:color="auto"/>
                                    <w:bottom w:val="none" w:sz="0" w:space="0" w:color="auto"/>
                                    <w:right w:val="none" w:sz="0" w:space="0" w:color="auto"/>
                                  </w:divBdr>
                                  <w:divsChild>
                                    <w:div w:id="1305239263">
                                      <w:marLeft w:val="0"/>
                                      <w:marRight w:val="0"/>
                                      <w:marTop w:val="0"/>
                                      <w:marBottom w:val="0"/>
                                      <w:divBdr>
                                        <w:top w:val="none" w:sz="0" w:space="0" w:color="auto"/>
                                        <w:left w:val="none" w:sz="0" w:space="0" w:color="auto"/>
                                        <w:bottom w:val="none" w:sz="0" w:space="0" w:color="auto"/>
                                        <w:right w:val="none" w:sz="0" w:space="0" w:color="auto"/>
                                      </w:divBdr>
                                      <w:divsChild>
                                        <w:div w:id="18986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20219">
                                  <w:marLeft w:val="0"/>
                                  <w:marRight w:val="0"/>
                                  <w:marTop w:val="0"/>
                                  <w:marBottom w:val="0"/>
                                  <w:divBdr>
                                    <w:top w:val="none" w:sz="0" w:space="0" w:color="auto"/>
                                    <w:left w:val="none" w:sz="0" w:space="0" w:color="auto"/>
                                    <w:bottom w:val="none" w:sz="0" w:space="0" w:color="auto"/>
                                    <w:right w:val="none" w:sz="0" w:space="0" w:color="auto"/>
                                  </w:divBdr>
                                  <w:divsChild>
                                    <w:div w:id="1108504050">
                                      <w:marLeft w:val="0"/>
                                      <w:marRight w:val="0"/>
                                      <w:marTop w:val="0"/>
                                      <w:marBottom w:val="0"/>
                                      <w:divBdr>
                                        <w:top w:val="none" w:sz="0" w:space="0" w:color="auto"/>
                                        <w:left w:val="none" w:sz="0" w:space="0" w:color="auto"/>
                                        <w:bottom w:val="none" w:sz="0" w:space="0" w:color="auto"/>
                                        <w:right w:val="none" w:sz="0" w:space="0" w:color="auto"/>
                                      </w:divBdr>
                                      <w:divsChild>
                                        <w:div w:id="2121609421">
                                          <w:marLeft w:val="0"/>
                                          <w:marRight w:val="0"/>
                                          <w:marTop w:val="0"/>
                                          <w:marBottom w:val="0"/>
                                          <w:divBdr>
                                            <w:top w:val="none" w:sz="0" w:space="0" w:color="auto"/>
                                            <w:left w:val="none" w:sz="0" w:space="0" w:color="auto"/>
                                            <w:bottom w:val="none" w:sz="0" w:space="0" w:color="auto"/>
                                            <w:right w:val="none" w:sz="0" w:space="0" w:color="auto"/>
                                          </w:divBdr>
                                          <w:divsChild>
                                            <w:div w:id="771054074">
                                              <w:marLeft w:val="0"/>
                                              <w:marRight w:val="0"/>
                                              <w:marTop w:val="0"/>
                                              <w:marBottom w:val="120"/>
                                              <w:divBdr>
                                                <w:top w:val="none" w:sz="0" w:space="0" w:color="auto"/>
                                                <w:left w:val="none" w:sz="0" w:space="0" w:color="auto"/>
                                                <w:bottom w:val="none" w:sz="0" w:space="0" w:color="auto"/>
                                                <w:right w:val="none" w:sz="0" w:space="0" w:color="auto"/>
                                              </w:divBdr>
                                              <w:divsChild>
                                                <w:div w:id="1238393827">
                                                  <w:marLeft w:val="0"/>
                                                  <w:marRight w:val="0"/>
                                                  <w:marTop w:val="0"/>
                                                  <w:marBottom w:val="0"/>
                                                  <w:divBdr>
                                                    <w:top w:val="none" w:sz="0" w:space="0" w:color="auto"/>
                                                    <w:left w:val="none" w:sz="0" w:space="0" w:color="auto"/>
                                                    <w:bottom w:val="none" w:sz="0" w:space="0" w:color="auto"/>
                                                    <w:right w:val="none" w:sz="0" w:space="0" w:color="auto"/>
                                                  </w:divBdr>
                                                </w:div>
                                              </w:divsChild>
                                            </w:div>
                                            <w:div w:id="1087578044">
                                              <w:marLeft w:val="0"/>
                                              <w:marRight w:val="0"/>
                                              <w:marTop w:val="0"/>
                                              <w:marBottom w:val="120"/>
                                              <w:divBdr>
                                                <w:top w:val="none" w:sz="0" w:space="0" w:color="auto"/>
                                                <w:left w:val="none" w:sz="0" w:space="0" w:color="auto"/>
                                                <w:bottom w:val="none" w:sz="0" w:space="0" w:color="auto"/>
                                                <w:right w:val="none" w:sz="0" w:space="0" w:color="auto"/>
                                              </w:divBdr>
                                              <w:divsChild>
                                                <w:div w:id="1789426865">
                                                  <w:marLeft w:val="0"/>
                                                  <w:marRight w:val="0"/>
                                                  <w:marTop w:val="0"/>
                                                  <w:marBottom w:val="0"/>
                                                  <w:divBdr>
                                                    <w:top w:val="none" w:sz="0" w:space="0" w:color="auto"/>
                                                    <w:left w:val="none" w:sz="0" w:space="0" w:color="auto"/>
                                                    <w:bottom w:val="none" w:sz="0" w:space="0" w:color="auto"/>
                                                    <w:right w:val="none" w:sz="0" w:space="0" w:color="auto"/>
                                                  </w:divBdr>
                                                  <w:divsChild>
                                                    <w:div w:id="564727505">
                                                      <w:marLeft w:val="0"/>
                                                      <w:marRight w:val="0"/>
                                                      <w:marTop w:val="0"/>
                                                      <w:marBottom w:val="0"/>
                                                      <w:divBdr>
                                                        <w:top w:val="none" w:sz="0" w:space="0" w:color="auto"/>
                                                        <w:left w:val="none" w:sz="0" w:space="0" w:color="auto"/>
                                                        <w:bottom w:val="none" w:sz="0" w:space="0" w:color="auto"/>
                                                        <w:right w:val="none" w:sz="0" w:space="0" w:color="auto"/>
                                                      </w:divBdr>
                                                      <w:divsChild>
                                                        <w:div w:id="110632960">
                                                          <w:marLeft w:val="0"/>
                                                          <w:marRight w:val="0"/>
                                                          <w:marTop w:val="0"/>
                                                          <w:marBottom w:val="0"/>
                                                          <w:divBdr>
                                                            <w:top w:val="none" w:sz="0" w:space="0" w:color="auto"/>
                                                            <w:left w:val="none" w:sz="0" w:space="0" w:color="auto"/>
                                                            <w:bottom w:val="none" w:sz="0" w:space="0" w:color="auto"/>
                                                            <w:right w:val="none" w:sz="0" w:space="0" w:color="auto"/>
                                                          </w:divBdr>
                                                        </w:div>
                                                        <w:div w:id="825508972">
                                                          <w:marLeft w:val="0"/>
                                                          <w:marRight w:val="0"/>
                                                          <w:marTop w:val="0"/>
                                                          <w:marBottom w:val="0"/>
                                                          <w:divBdr>
                                                            <w:top w:val="none" w:sz="0" w:space="0" w:color="auto"/>
                                                            <w:left w:val="none" w:sz="0" w:space="0" w:color="auto"/>
                                                            <w:bottom w:val="none" w:sz="0" w:space="0" w:color="auto"/>
                                                            <w:right w:val="none" w:sz="0" w:space="0" w:color="auto"/>
                                                          </w:divBdr>
                                                          <w:divsChild>
                                                            <w:div w:id="824475468">
                                                              <w:marLeft w:val="0"/>
                                                              <w:marRight w:val="0"/>
                                                              <w:marTop w:val="0"/>
                                                              <w:marBottom w:val="0"/>
                                                              <w:divBdr>
                                                                <w:top w:val="none" w:sz="0" w:space="0" w:color="auto"/>
                                                                <w:left w:val="none" w:sz="0" w:space="0" w:color="auto"/>
                                                                <w:bottom w:val="none" w:sz="0" w:space="0" w:color="auto"/>
                                                                <w:right w:val="none" w:sz="0" w:space="0" w:color="auto"/>
                                                              </w:divBdr>
                                                            </w:div>
                                                          </w:divsChild>
                                                        </w:div>
                                                        <w:div w:id="1355382251">
                                                          <w:marLeft w:val="0"/>
                                                          <w:marRight w:val="0"/>
                                                          <w:marTop w:val="150"/>
                                                          <w:marBottom w:val="300"/>
                                                          <w:divBdr>
                                                            <w:top w:val="none" w:sz="0" w:space="0" w:color="auto"/>
                                                            <w:left w:val="none" w:sz="0" w:space="0" w:color="auto"/>
                                                            <w:bottom w:val="none" w:sz="0" w:space="0" w:color="auto"/>
                                                            <w:right w:val="none" w:sz="0" w:space="0" w:color="auto"/>
                                                          </w:divBdr>
                                                          <w:divsChild>
                                                            <w:div w:id="487095470">
                                                              <w:marLeft w:val="0"/>
                                                              <w:marRight w:val="0"/>
                                                              <w:marTop w:val="0"/>
                                                              <w:marBottom w:val="0"/>
                                                              <w:divBdr>
                                                                <w:top w:val="none" w:sz="0" w:space="0" w:color="auto"/>
                                                                <w:left w:val="none" w:sz="0" w:space="0" w:color="auto"/>
                                                                <w:bottom w:val="none" w:sz="0" w:space="0" w:color="auto"/>
                                                                <w:right w:val="none" w:sz="0" w:space="0" w:color="auto"/>
                                                              </w:divBdr>
                                                            </w:div>
                                                            <w:div w:id="12865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24666">
                                                      <w:marLeft w:val="0"/>
                                                      <w:marRight w:val="0"/>
                                                      <w:marTop w:val="0"/>
                                                      <w:marBottom w:val="0"/>
                                                      <w:divBdr>
                                                        <w:top w:val="none" w:sz="0" w:space="0" w:color="auto"/>
                                                        <w:left w:val="none" w:sz="0" w:space="0" w:color="auto"/>
                                                        <w:bottom w:val="none" w:sz="0" w:space="0" w:color="auto"/>
                                                        <w:right w:val="none" w:sz="0" w:space="0" w:color="auto"/>
                                                      </w:divBdr>
                                                    </w:div>
                                                    <w:div w:id="1951429431">
                                                      <w:marLeft w:val="0"/>
                                                      <w:marRight w:val="0"/>
                                                      <w:marTop w:val="0"/>
                                                      <w:marBottom w:val="0"/>
                                                      <w:divBdr>
                                                        <w:top w:val="none" w:sz="0" w:space="0" w:color="auto"/>
                                                        <w:left w:val="none" w:sz="0" w:space="0" w:color="auto"/>
                                                        <w:bottom w:val="none" w:sz="0" w:space="0" w:color="auto"/>
                                                        <w:right w:val="none" w:sz="0" w:space="0" w:color="auto"/>
                                                      </w:divBdr>
                                                      <w:divsChild>
                                                        <w:div w:id="49966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253048">
      <w:bodyDiv w:val="1"/>
      <w:marLeft w:val="0"/>
      <w:marRight w:val="0"/>
      <w:marTop w:val="0"/>
      <w:marBottom w:val="0"/>
      <w:divBdr>
        <w:top w:val="none" w:sz="0" w:space="0" w:color="auto"/>
        <w:left w:val="none" w:sz="0" w:space="0" w:color="auto"/>
        <w:bottom w:val="none" w:sz="0" w:space="0" w:color="auto"/>
        <w:right w:val="none" w:sz="0" w:space="0" w:color="auto"/>
      </w:divBdr>
      <w:divsChild>
        <w:div w:id="427428353">
          <w:marLeft w:val="0"/>
          <w:marRight w:val="0"/>
          <w:marTop w:val="0"/>
          <w:marBottom w:val="0"/>
          <w:divBdr>
            <w:top w:val="none" w:sz="0" w:space="0" w:color="auto"/>
            <w:left w:val="none" w:sz="0" w:space="0" w:color="auto"/>
            <w:bottom w:val="none" w:sz="0" w:space="0" w:color="auto"/>
            <w:right w:val="none" w:sz="0" w:space="0" w:color="auto"/>
          </w:divBdr>
        </w:div>
        <w:div w:id="914361163">
          <w:marLeft w:val="0"/>
          <w:marRight w:val="0"/>
          <w:marTop w:val="0"/>
          <w:marBottom w:val="0"/>
          <w:divBdr>
            <w:top w:val="none" w:sz="0" w:space="0" w:color="auto"/>
            <w:left w:val="none" w:sz="0" w:space="0" w:color="auto"/>
            <w:bottom w:val="none" w:sz="0" w:space="0" w:color="auto"/>
            <w:right w:val="none" w:sz="0" w:space="0" w:color="auto"/>
          </w:divBdr>
        </w:div>
        <w:div w:id="1458262013">
          <w:marLeft w:val="0"/>
          <w:marRight w:val="0"/>
          <w:marTop w:val="0"/>
          <w:marBottom w:val="0"/>
          <w:divBdr>
            <w:top w:val="none" w:sz="0" w:space="0" w:color="auto"/>
            <w:left w:val="none" w:sz="0" w:space="0" w:color="auto"/>
            <w:bottom w:val="none" w:sz="0" w:space="0" w:color="auto"/>
            <w:right w:val="none" w:sz="0" w:space="0" w:color="auto"/>
          </w:divBdr>
        </w:div>
        <w:div w:id="1481994221">
          <w:marLeft w:val="0"/>
          <w:marRight w:val="0"/>
          <w:marTop w:val="0"/>
          <w:marBottom w:val="0"/>
          <w:divBdr>
            <w:top w:val="none" w:sz="0" w:space="0" w:color="auto"/>
            <w:left w:val="none" w:sz="0" w:space="0" w:color="auto"/>
            <w:bottom w:val="none" w:sz="0" w:space="0" w:color="auto"/>
            <w:right w:val="none" w:sz="0" w:space="0" w:color="auto"/>
          </w:divBdr>
        </w:div>
      </w:divsChild>
    </w:div>
    <w:div w:id="1951401158">
      <w:bodyDiv w:val="1"/>
      <w:marLeft w:val="0"/>
      <w:marRight w:val="0"/>
      <w:marTop w:val="0"/>
      <w:marBottom w:val="0"/>
      <w:divBdr>
        <w:top w:val="none" w:sz="0" w:space="0" w:color="auto"/>
        <w:left w:val="none" w:sz="0" w:space="0" w:color="auto"/>
        <w:bottom w:val="none" w:sz="0" w:space="0" w:color="auto"/>
        <w:right w:val="none" w:sz="0" w:space="0" w:color="auto"/>
      </w:divBdr>
    </w:div>
    <w:div w:id="1970865977">
      <w:bodyDiv w:val="1"/>
      <w:marLeft w:val="0"/>
      <w:marRight w:val="0"/>
      <w:marTop w:val="0"/>
      <w:marBottom w:val="0"/>
      <w:divBdr>
        <w:top w:val="none" w:sz="0" w:space="0" w:color="auto"/>
        <w:left w:val="none" w:sz="0" w:space="0" w:color="auto"/>
        <w:bottom w:val="none" w:sz="0" w:space="0" w:color="auto"/>
        <w:right w:val="none" w:sz="0" w:space="0" w:color="auto"/>
      </w:divBdr>
    </w:div>
    <w:div w:id="1981686317">
      <w:bodyDiv w:val="1"/>
      <w:marLeft w:val="0"/>
      <w:marRight w:val="0"/>
      <w:marTop w:val="0"/>
      <w:marBottom w:val="0"/>
      <w:divBdr>
        <w:top w:val="none" w:sz="0" w:space="0" w:color="auto"/>
        <w:left w:val="none" w:sz="0" w:space="0" w:color="auto"/>
        <w:bottom w:val="none" w:sz="0" w:space="0" w:color="auto"/>
        <w:right w:val="none" w:sz="0" w:space="0" w:color="auto"/>
      </w:divBdr>
    </w:div>
    <w:div w:id="2001806882">
      <w:bodyDiv w:val="1"/>
      <w:marLeft w:val="0"/>
      <w:marRight w:val="0"/>
      <w:marTop w:val="0"/>
      <w:marBottom w:val="0"/>
      <w:divBdr>
        <w:top w:val="none" w:sz="0" w:space="0" w:color="auto"/>
        <w:left w:val="none" w:sz="0" w:space="0" w:color="auto"/>
        <w:bottom w:val="none" w:sz="0" w:space="0" w:color="auto"/>
        <w:right w:val="none" w:sz="0" w:space="0" w:color="auto"/>
      </w:divBdr>
    </w:div>
    <w:div w:id="2004770295">
      <w:bodyDiv w:val="1"/>
      <w:marLeft w:val="0"/>
      <w:marRight w:val="0"/>
      <w:marTop w:val="0"/>
      <w:marBottom w:val="0"/>
      <w:divBdr>
        <w:top w:val="none" w:sz="0" w:space="0" w:color="auto"/>
        <w:left w:val="none" w:sz="0" w:space="0" w:color="auto"/>
        <w:bottom w:val="none" w:sz="0" w:space="0" w:color="auto"/>
        <w:right w:val="none" w:sz="0" w:space="0" w:color="auto"/>
      </w:divBdr>
    </w:div>
    <w:div w:id="2013606803">
      <w:bodyDiv w:val="1"/>
      <w:marLeft w:val="0"/>
      <w:marRight w:val="0"/>
      <w:marTop w:val="0"/>
      <w:marBottom w:val="0"/>
      <w:divBdr>
        <w:top w:val="none" w:sz="0" w:space="0" w:color="auto"/>
        <w:left w:val="none" w:sz="0" w:space="0" w:color="auto"/>
        <w:bottom w:val="none" w:sz="0" w:space="0" w:color="auto"/>
        <w:right w:val="none" w:sz="0" w:space="0" w:color="auto"/>
      </w:divBdr>
    </w:div>
    <w:div w:id="2026058581">
      <w:bodyDiv w:val="1"/>
      <w:marLeft w:val="0"/>
      <w:marRight w:val="0"/>
      <w:marTop w:val="0"/>
      <w:marBottom w:val="0"/>
      <w:divBdr>
        <w:top w:val="none" w:sz="0" w:space="0" w:color="auto"/>
        <w:left w:val="none" w:sz="0" w:space="0" w:color="auto"/>
        <w:bottom w:val="none" w:sz="0" w:space="0" w:color="auto"/>
        <w:right w:val="none" w:sz="0" w:space="0" w:color="auto"/>
      </w:divBdr>
    </w:div>
    <w:div w:id="2039307304">
      <w:bodyDiv w:val="1"/>
      <w:marLeft w:val="0"/>
      <w:marRight w:val="0"/>
      <w:marTop w:val="0"/>
      <w:marBottom w:val="0"/>
      <w:divBdr>
        <w:top w:val="none" w:sz="0" w:space="0" w:color="auto"/>
        <w:left w:val="none" w:sz="0" w:space="0" w:color="auto"/>
        <w:bottom w:val="none" w:sz="0" w:space="0" w:color="auto"/>
        <w:right w:val="none" w:sz="0" w:space="0" w:color="auto"/>
      </w:divBdr>
    </w:div>
    <w:div w:id="2056738909">
      <w:bodyDiv w:val="1"/>
      <w:marLeft w:val="0"/>
      <w:marRight w:val="0"/>
      <w:marTop w:val="0"/>
      <w:marBottom w:val="0"/>
      <w:divBdr>
        <w:top w:val="none" w:sz="0" w:space="0" w:color="auto"/>
        <w:left w:val="none" w:sz="0" w:space="0" w:color="auto"/>
        <w:bottom w:val="none" w:sz="0" w:space="0" w:color="auto"/>
        <w:right w:val="none" w:sz="0" w:space="0" w:color="auto"/>
      </w:divBdr>
    </w:div>
    <w:div w:id="2059276974">
      <w:bodyDiv w:val="1"/>
      <w:marLeft w:val="0"/>
      <w:marRight w:val="0"/>
      <w:marTop w:val="0"/>
      <w:marBottom w:val="0"/>
      <w:divBdr>
        <w:top w:val="none" w:sz="0" w:space="0" w:color="auto"/>
        <w:left w:val="none" w:sz="0" w:space="0" w:color="auto"/>
        <w:bottom w:val="none" w:sz="0" w:space="0" w:color="auto"/>
        <w:right w:val="none" w:sz="0" w:space="0" w:color="auto"/>
      </w:divBdr>
    </w:div>
    <w:div w:id="2061441381">
      <w:bodyDiv w:val="1"/>
      <w:marLeft w:val="0"/>
      <w:marRight w:val="0"/>
      <w:marTop w:val="0"/>
      <w:marBottom w:val="0"/>
      <w:divBdr>
        <w:top w:val="none" w:sz="0" w:space="0" w:color="auto"/>
        <w:left w:val="none" w:sz="0" w:space="0" w:color="auto"/>
        <w:bottom w:val="none" w:sz="0" w:space="0" w:color="auto"/>
        <w:right w:val="none" w:sz="0" w:space="0" w:color="auto"/>
      </w:divBdr>
    </w:div>
    <w:div w:id="2082824426">
      <w:bodyDiv w:val="1"/>
      <w:marLeft w:val="0"/>
      <w:marRight w:val="0"/>
      <w:marTop w:val="0"/>
      <w:marBottom w:val="0"/>
      <w:divBdr>
        <w:top w:val="none" w:sz="0" w:space="0" w:color="auto"/>
        <w:left w:val="none" w:sz="0" w:space="0" w:color="auto"/>
        <w:bottom w:val="none" w:sz="0" w:space="0" w:color="auto"/>
        <w:right w:val="none" w:sz="0" w:space="0" w:color="auto"/>
      </w:divBdr>
    </w:div>
    <w:div w:id="2090030478">
      <w:bodyDiv w:val="1"/>
      <w:marLeft w:val="0"/>
      <w:marRight w:val="0"/>
      <w:marTop w:val="0"/>
      <w:marBottom w:val="0"/>
      <w:divBdr>
        <w:top w:val="none" w:sz="0" w:space="0" w:color="auto"/>
        <w:left w:val="none" w:sz="0" w:space="0" w:color="auto"/>
        <w:bottom w:val="none" w:sz="0" w:space="0" w:color="auto"/>
        <w:right w:val="none" w:sz="0" w:space="0" w:color="auto"/>
      </w:divBdr>
    </w:div>
    <w:div w:id="2091536175">
      <w:bodyDiv w:val="1"/>
      <w:marLeft w:val="0"/>
      <w:marRight w:val="0"/>
      <w:marTop w:val="0"/>
      <w:marBottom w:val="0"/>
      <w:divBdr>
        <w:top w:val="none" w:sz="0" w:space="0" w:color="auto"/>
        <w:left w:val="none" w:sz="0" w:space="0" w:color="auto"/>
        <w:bottom w:val="none" w:sz="0" w:space="0" w:color="auto"/>
        <w:right w:val="none" w:sz="0" w:space="0" w:color="auto"/>
      </w:divBdr>
    </w:div>
    <w:div w:id="2096248491">
      <w:bodyDiv w:val="1"/>
      <w:marLeft w:val="0"/>
      <w:marRight w:val="0"/>
      <w:marTop w:val="0"/>
      <w:marBottom w:val="0"/>
      <w:divBdr>
        <w:top w:val="none" w:sz="0" w:space="0" w:color="auto"/>
        <w:left w:val="none" w:sz="0" w:space="0" w:color="auto"/>
        <w:bottom w:val="none" w:sz="0" w:space="0" w:color="auto"/>
        <w:right w:val="none" w:sz="0" w:space="0" w:color="auto"/>
      </w:divBdr>
    </w:div>
    <w:div w:id="2102287285">
      <w:bodyDiv w:val="1"/>
      <w:marLeft w:val="0"/>
      <w:marRight w:val="0"/>
      <w:marTop w:val="0"/>
      <w:marBottom w:val="0"/>
      <w:divBdr>
        <w:top w:val="none" w:sz="0" w:space="0" w:color="auto"/>
        <w:left w:val="none" w:sz="0" w:space="0" w:color="auto"/>
        <w:bottom w:val="none" w:sz="0" w:space="0" w:color="auto"/>
        <w:right w:val="none" w:sz="0" w:space="0" w:color="auto"/>
      </w:divBdr>
    </w:div>
    <w:div w:id="2112779498">
      <w:bodyDiv w:val="1"/>
      <w:marLeft w:val="0"/>
      <w:marRight w:val="0"/>
      <w:marTop w:val="0"/>
      <w:marBottom w:val="0"/>
      <w:divBdr>
        <w:top w:val="none" w:sz="0" w:space="0" w:color="auto"/>
        <w:left w:val="none" w:sz="0" w:space="0" w:color="auto"/>
        <w:bottom w:val="none" w:sz="0" w:space="0" w:color="auto"/>
        <w:right w:val="none" w:sz="0" w:space="0" w:color="auto"/>
      </w:divBdr>
    </w:div>
    <w:div w:id="2116124596">
      <w:bodyDiv w:val="1"/>
      <w:marLeft w:val="0"/>
      <w:marRight w:val="0"/>
      <w:marTop w:val="0"/>
      <w:marBottom w:val="0"/>
      <w:divBdr>
        <w:top w:val="none" w:sz="0" w:space="0" w:color="auto"/>
        <w:left w:val="none" w:sz="0" w:space="0" w:color="auto"/>
        <w:bottom w:val="none" w:sz="0" w:space="0" w:color="auto"/>
        <w:right w:val="none" w:sz="0" w:space="0" w:color="auto"/>
      </w:divBdr>
    </w:div>
    <w:div w:id="2135757724">
      <w:bodyDiv w:val="1"/>
      <w:marLeft w:val="0"/>
      <w:marRight w:val="0"/>
      <w:marTop w:val="0"/>
      <w:marBottom w:val="0"/>
      <w:divBdr>
        <w:top w:val="none" w:sz="0" w:space="0" w:color="auto"/>
        <w:left w:val="none" w:sz="0" w:space="0" w:color="auto"/>
        <w:bottom w:val="none" w:sz="0" w:space="0" w:color="auto"/>
        <w:right w:val="none" w:sz="0" w:space="0" w:color="auto"/>
      </w:divBdr>
    </w:div>
    <w:div w:id="2136436425">
      <w:bodyDiv w:val="1"/>
      <w:marLeft w:val="0"/>
      <w:marRight w:val="0"/>
      <w:marTop w:val="0"/>
      <w:marBottom w:val="0"/>
      <w:divBdr>
        <w:top w:val="none" w:sz="0" w:space="0" w:color="auto"/>
        <w:left w:val="none" w:sz="0" w:space="0" w:color="auto"/>
        <w:bottom w:val="none" w:sz="0" w:space="0" w:color="auto"/>
        <w:right w:val="none" w:sz="0" w:space="0" w:color="auto"/>
      </w:divBdr>
    </w:div>
    <w:div w:id="2145124998">
      <w:bodyDiv w:val="1"/>
      <w:marLeft w:val="0"/>
      <w:marRight w:val="0"/>
      <w:marTop w:val="0"/>
      <w:marBottom w:val="0"/>
      <w:divBdr>
        <w:top w:val="none" w:sz="0" w:space="0" w:color="auto"/>
        <w:left w:val="none" w:sz="0" w:space="0" w:color="auto"/>
        <w:bottom w:val="none" w:sz="0" w:space="0" w:color="auto"/>
        <w:right w:val="none" w:sz="0" w:space="0" w:color="auto"/>
      </w:divBdr>
    </w:div>
    <w:div w:id="21463173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cid:image006.jpg@01D988B4.061A7BB0" TargetMode="External"/><Relationship Id="rId18" Type="http://schemas.openxmlformats.org/officeDocument/2006/relationships/image" Target="cid:image001.jpg@01D6A956.F4BD3310" TargetMode="External"/><Relationship Id="rId26" Type="http://schemas.openxmlformats.org/officeDocument/2006/relationships/image" Target="cid:image002.png@01D2E9C3.BA19C030" TargetMode="External"/><Relationship Id="rId39" Type="http://schemas.openxmlformats.org/officeDocument/2006/relationships/oleObject" Target="embeddings/oleObject1.bin"/><Relationship Id="rId21" Type="http://schemas.openxmlformats.org/officeDocument/2006/relationships/image" Target="cid:image003.jpg@01D1F147.EED2CEE0" TargetMode="External"/><Relationship Id="rId34" Type="http://schemas.openxmlformats.org/officeDocument/2006/relationships/image" Target="cid:image001.png@01D74662.8B088650" TargetMode="External"/><Relationship Id="rId42" Type="http://schemas.openxmlformats.org/officeDocument/2006/relationships/oleObject" Target="embeddings/oleObject4.bin"/><Relationship Id="rId47" Type="http://schemas.openxmlformats.org/officeDocument/2006/relationships/oleObject" Target="embeddings/oleObject9.bin"/><Relationship Id="rId50" Type="http://schemas.openxmlformats.org/officeDocument/2006/relationships/oleObject" Target="embeddings/oleObject12.bin"/><Relationship Id="rId55"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cid:image002.png@01D6A956.E5035210" TargetMode="External"/><Relationship Id="rId29" Type="http://schemas.openxmlformats.org/officeDocument/2006/relationships/image" Target="cid:image002.png@01DA97CF.5FECA660" TargetMode="External"/><Relationship Id="rId11" Type="http://schemas.openxmlformats.org/officeDocument/2006/relationships/endnotes" Target="endnotes.xml"/><Relationship Id="rId24" Type="http://schemas.openxmlformats.org/officeDocument/2006/relationships/image" Target="cid:image001.png@01D4CDB2.E32CE4F0" TargetMode="External"/><Relationship Id="rId32" Type="http://schemas.openxmlformats.org/officeDocument/2006/relationships/image" Target="cid:image003.jpg@01D7636F.B5C7F860" TargetMode="External"/><Relationship Id="rId37" Type="http://schemas.openxmlformats.org/officeDocument/2006/relationships/image" Target="cid:image003.png@01D0F455.13BD8790" TargetMode="External"/><Relationship Id="rId40" Type="http://schemas.openxmlformats.org/officeDocument/2006/relationships/oleObject" Target="embeddings/oleObject2.bin"/><Relationship Id="rId45" Type="http://schemas.openxmlformats.org/officeDocument/2006/relationships/oleObject" Target="embeddings/oleObject7.bin"/><Relationship Id="rId53" Type="http://schemas.openxmlformats.org/officeDocument/2006/relationships/oleObject" Target="embeddings/oleObject15.bin"/><Relationship Id="rId5" Type="http://schemas.openxmlformats.org/officeDocument/2006/relationships/customXml" Target="../customXml/item5.xml"/><Relationship Id="rId19" Type="http://schemas.openxmlformats.org/officeDocument/2006/relationships/image" Target="cid:image002.png@01D6E29F.6B2AC1D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cid:image007.jpg@01D988B4.061A7BB0" TargetMode="External"/><Relationship Id="rId22" Type="http://schemas.openxmlformats.org/officeDocument/2006/relationships/image" Target="cid:image002.png@01D8EF5E.D76EB270" TargetMode="External"/><Relationship Id="rId27" Type="http://schemas.openxmlformats.org/officeDocument/2006/relationships/image" Target="cid:image005.png@01D3517B.7A3BC100" TargetMode="External"/><Relationship Id="rId30" Type="http://schemas.openxmlformats.org/officeDocument/2006/relationships/image" Target="cid:image003.jpg@01D332CE.150C3650" TargetMode="External"/><Relationship Id="rId35" Type="http://schemas.openxmlformats.org/officeDocument/2006/relationships/image" Target="cid:image004.png@01D56257.8F9F0D60" TargetMode="External"/><Relationship Id="rId43" Type="http://schemas.openxmlformats.org/officeDocument/2006/relationships/oleObject" Target="embeddings/oleObject5.bin"/><Relationship Id="rId48" Type="http://schemas.openxmlformats.org/officeDocument/2006/relationships/oleObject" Target="embeddings/oleObject10.bin"/><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oleObject" Target="embeddings/oleObject13.bin"/><Relationship Id="rId3" Type="http://schemas.openxmlformats.org/officeDocument/2006/relationships/customXml" Target="../customXml/item3.xml"/><Relationship Id="rId12" Type="http://schemas.openxmlformats.org/officeDocument/2006/relationships/image" Target="cid:image001.png@01D55291.79EDC9A0" TargetMode="External"/><Relationship Id="rId17" Type="http://schemas.openxmlformats.org/officeDocument/2006/relationships/image" Target="cid:image001.png@01D3C1D1.A5E63710" TargetMode="External"/><Relationship Id="rId25" Type="http://schemas.openxmlformats.org/officeDocument/2006/relationships/image" Target="cid:image001.png@01D2E9C3.BA19C030" TargetMode="External"/><Relationship Id="rId33" Type="http://schemas.openxmlformats.org/officeDocument/2006/relationships/image" Target="cid:image010.jpg@01D7636F.B5C7F860" TargetMode="External"/><Relationship Id="rId38" Type="http://schemas.openxmlformats.org/officeDocument/2006/relationships/image" Target="cid:image006.png@01D9E7C8.7354C0F0" TargetMode="External"/><Relationship Id="rId46" Type="http://schemas.openxmlformats.org/officeDocument/2006/relationships/oleObject" Target="embeddings/oleObject8.bin"/><Relationship Id="rId20" Type="http://schemas.openxmlformats.org/officeDocument/2006/relationships/image" Target="cid:image002.jpg@01D1F147.EED2CEE0" TargetMode="External"/><Relationship Id="rId41" Type="http://schemas.openxmlformats.org/officeDocument/2006/relationships/oleObject" Target="embeddings/oleObject3.bin"/><Relationship Id="rId54" Type="http://schemas.openxmlformats.org/officeDocument/2006/relationships/oleObject" Target="embeddings/oleObject16.bin"/><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cid:image008.jpg@01D988B4.061A7BB0" TargetMode="External"/><Relationship Id="rId23" Type="http://schemas.openxmlformats.org/officeDocument/2006/relationships/image" Target="cid:image009.png@01D314E0.FD0B1C70" TargetMode="External"/><Relationship Id="rId28" Type="http://schemas.openxmlformats.org/officeDocument/2006/relationships/image" Target="cid:image003.png@01DA97CF.5FECA660" TargetMode="External"/><Relationship Id="rId36" Type="http://schemas.openxmlformats.org/officeDocument/2006/relationships/image" Target="cid:image007.jpg@01D56259.43C60540" TargetMode="External"/><Relationship Id="rId49" Type="http://schemas.openxmlformats.org/officeDocument/2006/relationships/oleObject" Target="embeddings/oleObject11.bin"/><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cid:image002.png@01D76744.CEC960A0" TargetMode="External"/><Relationship Id="rId44" Type="http://schemas.openxmlformats.org/officeDocument/2006/relationships/oleObject" Target="embeddings/oleObject6.bin"/><Relationship Id="rId52" Type="http://schemas.openxmlformats.org/officeDocument/2006/relationships/oleObject" Target="embeddings/oleObject1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05681F71F21A5D42A98F3B0B4675394B" ma:contentTypeVersion="2" ma:contentTypeDescription="Create a new document." ma:contentTypeScope="" ma:versionID="39f021ee846b6b2e9bc54c82b2a97280">
  <xsd:schema xmlns:xsd="http://www.w3.org/2001/XMLSchema" xmlns:xs="http://www.w3.org/2001/XMLSchema" xmlns:p="http://schemas.microsoft.com/office/2006/metadata/properties" xmlns:ns3="11f197d8-3b85-4ec8-a148-d7fae0636c55" targetNamespace="http://schemas.microsoft.com/office/2006/metadata/properties" ma:root="true" ma:fieldsID="5a8424c18be827569e5ced073c191801" ns3:_="">
    <xsd:import namespace="11f197d8-3b85-4ec8-a148-d7fae0636c5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f197d8-3b85-4ec8-a148-d7fae0636c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66E030-C406-4E08-AF51-533B44E6AA28}">
  <ds:schemaRefs>
    <ds:schemaRef ds:uri="http://schemas.openxmlformats.org/officeDocument/2006/bibliography"/>
  </ds:schemaRefs>
</ds:datastoreItem>
</file>

<file path=customXml/itemProps2.xml><?xml version="1.0" encoding="utf-8"?>
<ds:datastoreItem xmlns:ds="http://schemas.openxmlformats.org/officeDocument/2006/customXml" ds:itemID="{CDE727A2-DCCF-4A7C-82A0-7FF00D7D67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10471C-1A3B-4647-A620-12C2B5207A8D}">
  <ds:schemaRefs>
    <ds:schemaRef ds:uri="http://schemas.microsoft.com/sharepoint/v3/contenttype/forms"/>
  </ds:schemaRefs>
</ds:datastoreItem>
</file>

<file path=customXml/itemProps4.xml><?xml version="1.0" encoding="utf-8"?>
<ds:datastoreItem xmlns:ds="http://schemas.openxmlformats.org/officeDocument/2006/customXml" ds:itemID="{61B9381E-2ABA-41CC-9E15-74C7233E4AB2}">
  <ds:schemaRefs>
    <ds:schemaRef ds:uri="http://schemas.openxmlformats.org/officeDocument/2006/bibliography"/>
  </ds:schemaRefs>
</ds:datastoreItem>
</file>

<file path=customXml/itemProps5.xml><?xml version="1.0" encoding="utf-8"?>
<ds:datastoreItem xmlns:ds="http://schemas.openxmlformats.org/officeDocument/2006/customXml" ds:itemID="{DD46A340-F279-4660-980B-8AF22EC5E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f197d8-3b85-4ec8-a148-d7fae0636c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1399</Pages>
  <Words>289201</Words>
  <Characters>1648450</Characters>
  <Application>Microsoft Office Word</Application>
  <DocSecurity>0</DocSecurity>
  <Lines>13737</Lines>
  <Paragraphs>3867</Paragraphs>
  <ScaleCrop>false</ScaleCrop>
  <HeadingPairs>
    <vt:vector size="2" baseType="variant">
      <vt:variant>
        <vt:lpstr>Title</vt:lpstr>
      </vt:variant>
      <vt:variant>
        <vt:i4>1</vt:i4>
      </vt:variant>
    </vt:vector>
  </HeadingPairs>
  <TitlesOfParts>
    <vt:vector size="1" baseType="lpstr">
      <vt:lpstr>SUM for MDS Version 8.0.x (UD-05742-C)</vt:lpstr>
    </vt:vector>
  </TitlesOfParts>
  <Company>Perspecta Engineering Inc.</Company>
  <LinksUpToDate>false</LinksUpToDate>
  <CharactersWithSpaces>1933784</CharactersWithSpaces>
  <SharedDoc>false</SharedDoc>
  <HLinks>
    <vt:vector size="10428" baseType="variant">
      <vt:variant>
        <vt:i4>1048637</vt:i4>
      </vt:variant>
      <vt:variant>
        <vt:i4>7026</vt:i4>
      </vt:variant>
      <vt:variant>
        <vt:i4>0</vt:i4>
      </vt:variant>
      <vt:variant>
        <vt:i4>5</vt:i4>
      </vt:variant>
      <vt:variant>
        <vt:lpwstr/>
      </vt:variant>
      <vt:variant>
        <vt:lpwstr>_TBD</vt:lpwstr>
      </vt:variant>
      <vt:variant>
        <vt:i4>1048637</vt:i4>
      </vt:variant>
      <vt:variant>
        <vt:i4>7023</vt:i4>
      </vt:variant>
      <vt:variant>
        <vt:i4>0</vt:i4>
      </vt:variant>
      <vt:variant>
        <vt:i4>5</vt:i4>
      </vt:variant>
      <vt:variant>
        <vt:lpwstr/>
      </vt:variant>
      <vt:variant>
        <vt:lpwstr>_TBD</vt:lpwstr>
      </vt:variant>
      <vt:variant>
        <vt:i4>1048637</vt:i4>
      </vt:variant>
      <vt:variant>
        <vt:i4>7020</vt:i4>
      </vt:variant>
      <vt:variant>
        <vt:i4>0</vt:i4>
      </vt:variant>
      <vt:variant>
        <vt:i4>5</vt:i4>
      </vt:variant>
      <vt:variant>
        <vt:lpwstr/>
      </vt:variant>
      <vt:variant>
        <vt:lpwstr>_TBD</vt:lpwstr>
      </vt:variant>
      <vt:variant>
        <vt:i4>1048637</vt:i4>
      </vt:variant>
      <vt:variant>
        <vt:i4>7017</vt:i4>
      </vt:variant>
      <vt:variant>
        <vt:i4>0</vt:i4>
      </vt:variant>
      <vt:variant>
        <vt:i4>5</vt:i4>
      </vt:variant>
      <vt:variant>
        <vt:lpwstr/>
      </vt:variant>
      <vt:variant>
        <vt:lpwstr>_TBD</vt:lpwstr>
      </vt:variant>
      <vt:variant>
        <vt:i4>1048637</vt:i4>
      </vt:variant>
      <vt:variant>
        <vt:i4>7014</vt:i4>
      </vt:variant>
      <vt:variant>
        <vt:i4>0</vt:i4>
      </vt:variant>
      <vt:variant>
        <vt:i4>5</vt:i4>
      </vt:variant>
      <vt:variant>
        <vt:lpwstr/>
      </vt:variant>
      <vt:variant>
        <vt:lpwstr>_TBD</vt:lpwstr>
      </vt:variant>
      <vt:variant>
        <vt:i4>1048637</vt:i4>
      </vt:variant>
      <vt:variant>
        <vt:i4>7011</vt:i4>
      </vt:variant>
      <vt:variant>
        <vt:i4>0</vt:i4>
      </vt:variant>
      <vt:variant>
        <vt:i4>5</vt:i4>
      </vt:variant>
      <vt:variant>
        <vt:lpwstr/>
      </vt:variant>
      <vt:variant>
        <vt:lpwstr>_TBD</vt:lpwstr>
      </vt:variant>
      <vt:variant>
        <vt:i4>1048637</vt:i4>
      </vt:variant>
      <vt:variant>
        <vt:i4>7008</vt:i4>
      </vt:variant>
      <vt:variant>
        <vt:i4>0</vt:i4>
      </vt:variant>
      <vt:variant>
        <vt:i4>5</vt:i4>
      </vt:variant>
      <vt:variant>
        <vt:lpwstr/>
      </vt:variant>
      <vt:variant>
        <vt:lpwstr>_TBD</vt:lpwstr>
      </vt:variant>
      <vt:variant>
        <vt:i4>1048637</vt:i4>
      </vt:variant>
      <vt:variant>
        <vt:i4>7005</vt:i4>
      </vt:variant>
      <vt:variant>
        <vt:i4>0</vt:i4>
      </vt:variant>
      <vt:variant>
        <vt:i4>5</vt:i4>
      </vt:variant>
      <vt:variant>
        <vt:lpwstr/>
      </vt:variant>
      <vt:variant>
        <vt:lpwstr>_TBD</vt:lpwstr>
      </vt:variant>
      <vt:variant>
        <vt:i4>1048637</vt:i4>
      </vt:variant>
      <vt:variant>
        <vt:i4>7002</vt:i4>
      </vt:variant>
      <vt:variant>
        <vt:i4>0</vt:i4>
      </vt:variant>
      <vt:variant>
        <vt:i4>5</vt:i4>
      </vt:variant>
      <vt:variant>
        <vt:lpwstr/>
      </vt:variant>
      <vt:variant>
        <vt:lpwstr>_TBD</vt:lpwstr>
      </vt:variant>
      <vt:variant>
        <vt:i4>1048637</vt:i4>
      </vt:variant>
      <vt:variant>
        <vt:i4>6999</vt:i4>
      </vt:variant>
      <vt:variant>
        <vt:i4>0</vt:i4>
      </vt:variant>
      <vt:variant>
        <vt:i4>5</vt:i4>
      </vt:variant>
      <vt:variant>
        <vt:lpwstr/>
      </vt:variant>
      <vt:variant>
        <vt:lpwstr>_TBD</vt:lpwstr>
      </vt:variant>
      <vt:variant>
        <vt:i4>1048637</vt:i4>
      </vt:variant>
      <vt:variant>
        <vt:i4>6996</vt:i4>
      </vt:variant>
      <vt:variant>
        <vt:i4>0</vt:i4>
      </vt:variant>
      <vt:variant>
        <vt:i4>5</vt:i4>
      </vt:variant>
      <vt:variant>
        <vt:lpwstr/>
      </vt:variant>
      <vt:variant>
        <vt:lpwstr>_TBD</vt:lpwstr>
      </vt:variant>
      <vt:variant>
        <vt:i4>1048637</vt:i4>
      </vt:variant>
      <vt:variant>
        <vt:i4>6993</vt:i4>
      </vt:variant>
      <vt:variant>
        <vt:i4>0</vt:i4>
      </vt:variant>
      <vt:variant>
        <vt:i4>5</vt:i4>
      </vt:variant>
      <vt:variant>
        <vt:lpwstr/>
      </vt:variant>
      <vt:variant>
        <vt:lpwstr>_TBD</vt:lpwstr>
      </vt:variant>
      <vt:variant>
        <vt:i4>1048637</vt:i4>
      </vt:variant>
      <vt:variant>
        <vt:i4>6990</vt:i4>
      </vt:variant>
      <vt:variant>
        <vt:i4>0</vt:i4>
      </vt:variant>
      <vt:variant>
        <vt:i4>5</vt:i4>
      </vt:variant>
      <vt:variant>
        <vt:lpwstr/>
      </vt:variant>
      <vt:variant>
        <vt:lpwstr>_TBD</vt:lpwstr>
      </vt:variant>
      <vt:variant>
        <vt:i4>1048637</vt:i4>
      </vt:variant>
      <vt:variant>
        <vt:i4>6987</vt:i4>
      </vt:variant>
      <vt:variant>
        <vt:i4>0</vt:i4>
      </vt:variant>
      <vt:variant>
        <vt:i4>5</vt:i4>
      </vt:variant>
      <vt:variant>
        <vt:lpwstr/>
      </vt:variant>
      <vt:variant>
        <vt:lpwstr>_TBD</vt:lpwstr>
      </vt:variant>
      <vt:variant>
        <vt:i4>1048637</vt:i4>
      </vt:variant>
      <vt:variant>
        <vt:i4>6984</vt:i4>
      </vt:variant>
      <vt:variant>
        <vt:i4>0</vt:i4>
      </vt:variant>
      <vt:variant>
        <vt:i4>5</vt:i4>
      </vt:variant>
      <vt:variant>
        <vt:lpwstr/>
      </vt:variant>
      <vt:variant>
        <vt:lpwstr>_TBD</vt:lpwstr>
      </vt:variant>
      <vt:variant>
        <vt:i4>1048637</vt:i4>
      </vt:variant>
      <vt:variant>
        <vt:i4>6981</vt:i4>
      </vt:variant>
      <vt:variant>
        <vt:i4>0</vt:i4>
      </vt:variant>
      <vt:variant>
        <vt:i4>5</vt:i4>
      </vt:variant>
      <vt:variant>
        <vt:lpwstr/>
      </vt:variant>
      <vt:variant>
        <vt:lpwstr>_TBD</vt:lpwstr>
      </vt:variant>
      <vt:variant>
        <vt:i4>1048637</vt:i4>
      </vt:variant>
      <vt:variant>
        <vt:i4>6978</vt:i4>
      </vt:variant>
      <vt:variant>
        <vt:i4>0</vt:i4>
      </vt:variant>
      <vt:variant>
        <vt:i4>5</vt:i4>
      </vt:variant>
      <vt:variant>
        <vt:lpwstr/>
      </vt:variant>
      <vt:variant>
        <vt:lpwstr>_TBD</vt:lpwstr>
      </vt:variant>
      <vt:variant>
        <vt:i4>1048637</vt:i4>
      </vt:variant>
      <vt:variant>
        <vt:i4>6975</vt:i4>
      </vt:variant>
      <vt:variant>
        <vt:i4>0</vt:i4>
      </vt:variant>
      <vt:variant>
        <vt:i4>5</vt:i4>
      </vt:variant>
      <vt:variant>
        <vt:lpwstr/>
      </vt:variant>
      <vt:variant>
        <vt:lpwstr>_TBD</vt:lpwstr>
      </vt:variant>
      <vt:variant>
        <vt:i4>1048637</vt:i4>
      </vt:variant>
      <vt:variant>
        <vt:i4>6972</vt:i4>
      </vt:variant>
      <vt:variant>
        <vt:i4>0</vt:i4>
      </vt:variant>
      <vt:variant>
        <vt:i4>5</vt:i4>
      </vt:variant>
      <vt:variant>
        <vt:lpwstr/>
      </vt:variant>
      <vt:variant>
        <vt:lpwstr>_TBD</vt:lpwstr>
      </vt:variant>
      <vt:variant>
        <vt:i4>1048637</vt:i4>
      </vt:variant>
      <vt:variant>
        <vt:i4>6969</vt:i4>
      </vt:variant>
      <vt:variant>
        <vt:i4>0</vt:i4>
      </vt:variant>
      <vt:variant>
        <vt:i4>5</vt:i4>
      </vt:variant>
      <vt:variant>
        <vt:lpwstr/>
      </vt:variant>
      <vt:variant>
        <vt:lpwstr>_TBD</vt:lpwstr>
      </vt:variant>
      <vt:variant>
        <vt:i4>1048637</vt:i4>
      </vt:variant>
      <vt:variant>
        <vt:i4>6966</vt:i4>
      </vt:variant>
      <vt:variant>
        <vt:i4>0</vt:i4>
      </vt:variant>
      <vt:variant>
        <vt:i4>5</vt:i4>
      </vt:variant>
      <vt:variant>
        <vt:lpwstr/>
      </vt:variant>
      <vt:variant>
        <vt:lpwstr>_TBD</vt:lpwstr>
      </vt:variant>
      <vt:variant>
        <vt:i4>1048637</vt:i4>
      </vt:variant>
      <vt:variant>
        <vt:i4>6963</vt:i4>
      </vt:variant>
      <vt:variant>
        <vt:i4>0</vt:i4>
      </vt:variant>
      <vt:variant>
        <vt:i4>5</vt:i4>
      </vt:variant>
      <vt:variant>
        <vt:lpwstr/>
      </vt:variant>
      <vt:variant>
        <vt:lpwstr>_TBD</vt:lpwstr>
      </vt:variant>
      <vt:variant>
        <vt:i4>1048637</vt:i4>
      </vt:variant>
      <vt:variant>
        <vt:i4>6960</vt:i4>
      </vt:variant>
      <vt:variant>
        <vt:i4>0</vt:i4>
      </vt:variant>
      <vt:variant>
        <vt:i4>5</vt:i4>
      </vt:variant>
      <vt:variant>
        <vt:lpwstr/>
      </vt:variant>
      <vt:variant>
        <vt:lpwstr>_TBD</vt:lpwstr>
      </vt:variant>
      <vt:variant>
        <vt:i4>1048637</vt:i4>
      </vt:variant>
      <vt:variant>
        <vt:i4>6957</vt:i4>
      </vt:variant>
      <vt:variant>
        <vt:i4>0</vt:i4>
      </vt:variant>
      <vt:variant>
        <vt:i4>5</vt:i4>
      </vt:variant>
      <vt:variant>
        <vt:lpwstr/>
      </vt:variant>
      <vt:variant>
        <vt:lpwstr>_TBD</vt:lpwstr>
      </vt:variant>
      <vt:variant>
        <vt:i4>1048637</vt:i4>
      </vt:variant>
      <vt:variant>
        <vt:i4>6954</vt:i4>
      </vt:variant>
      <vt:variant>
        <vt:i4>0</vt:i4>
      </vt:variant>
      <vt:variant>
        <vt:i4>5</vt:i4>
      </vt:variant>
      <vt:variant>
        <vt:lpwstr/>
      </vt:variant>
      <vt:variant>
        <vt:lpwstr>_TBD</vt:lpwstr>
      </vt:variant>
      <vt:variant>
        <vt:i4>1048637</vt:i4>
      </vt:variant>
      <vt:variant>
        <vt:i4>6951</vt:i4>
      </vt:variant>
      <vt:variant>
        <vt:i4>0</vt:i4>
      </vt:variant>
      <vt:variant>
        <vt:i4>5</vt:i4>
      </vt:variant>
      <vt:variant>
        <vt:lpwstr/>
      </vt:variant>
      <vt:variant>
        <vt:lpwstr>_TBD</vt:lpwstr>
      </vt:variant>
      <vt:variant>
        <vt:i4>1048637</vt:i4>
      </vt:variant>
      <vt:variant>
        <vt:i4>6948</vt:i4>
      </vt:variant>
      <vt:variant>
        <vt:i4>0</vt:i4>
      </vt:variant>
      <vt:variant>
        <vt:i4>5</vt:i4>
      </vt:variant>
      <vt:variant>
        <vt:lpwstr/>
      </vt:variant>
      <vt:variant>
        <vt:lpwstr>_TBD</vt:lpwstr>
      </vt:variant>
      <vt:variant>
        <vt:i4>1048637</vt:i4>
      </vt:variant>
      <vt:variant>
        <vt:i4>6945</vt:i4>
      </vt:variant>
      <vt:variant>
        <vt:i4>0</vt:i4>
      </vt:variant>
      <vt:variant>
        <vt:i4>5</vt:i4>
      </vt:variant>
      <vt:variant>
        <vt:lpwstr/>
      </vt:variant>
      <vt:variant>
        <vt:lpwstr>_TBD</vt:lpwstr>
      </vt:variant>
      <vt:variant>
        <vt:i4>1048637</vt:i4>
      </vt:variant>
      <vt:variant>
        <vt:i4>6942</vt:i4>
      </vt:variant>
      <vt:variant>
        <vt:i4>0</vt:i4>
      </vt:variant>
      <vt:variant>
        <vt:i4>5</vt:i4>
      </vt:variant>
      <vt:variant>
        <vt:lpwstr/>
      </vt:variant>
      <vt:variant>
        <vt:lpwstr>_TBD</vt:lpwstr>
      </vt:variant>
      <vt:variant>
        <vt:i4>1048637</vt:i4>
      </vt:variant>
      <vt:variant>
        <vt:i4>6939</vt:i4>
      </vt:variant>
      <vt:variant>
        <vt:i4>0</vt:i4>
      </vt:variant>
      <vt:variant>
        <vt:i4>5</vt:i4>
      </vt:variant>
      <vt:variant>
        <vt:lpwstr/>
      </vt:variant>
      <vt:variant>
        <vt:lpwstr>_TBD</vt:lpwstr>
      </vt:variant>
      <vt:variant>
        <vt:i4>1048637</vt:i4>
      </vt:variant>
      <vt:variant>
        <vt:i4>6936</vt:i4>
      </vt:variant>
      <vt:variant>
        <vt:i4>0</vt:i4>
      </vt:variant>
      <vt:variant>
        <vt:i4>5</vt:i4>
      </vt:variant>
      <vt:variant>
        <vt:lpwstr/>
      </vt:variant>
      <vt:variant>
        <vt:lpwstr>_TBD</vt:lpwstr>
      </vt:variant>
      <vt:variant>
        <vt:i4>1048637</vt:i4>
      </vt:variant>
      <vt:variant>
        <vt:i4>6933</vt:i4>
      </vt:variant>
      <vt:variant>
        <vt:i4>0</vt:i4>
      </vt:variant>
      <vt:variant>
        <vt:i4>5</vt:i4>
      </vt:variant>
      <vt:variant>
        <vt:lpwstr/>
      </vt:variant>
      <vt:variant>
        <vt:lpwstr>_TBD</vt:lpwstr>
      </vt:variant>
      <vt:variant>
        <vt:i4>1048637</vt:i4>
      </vt:variant>
      <vt:variant>
        <vt:i4>6930</vt:i4>
      </vt:variant>
      <vt:variant>
        <vt:i4>0</vt:i4>
      </vt:variant>
      <vt:variant>
        <vt:i4>5</vt:i4>
      </vt:variant>
      <vt:variant>
        <vt:lpwstr/>
      </vt:variant>
      <vt:variant>
        <vt:lpwstr>_TBD</vt:lpwstr>
      </vt:variant>
      <vt:variant>
        <vt:i4>1048637</vt:i4>
      </vt:variant>
      <vt:variant>
        <vt:i4>6927</vt:i4>
      </vt:variant>
      <vt:variant>
        <vt:i4>0</vt:i4>
      </vt:variant>
      <vt:variant>
        <vt:i4>5</vt:i4>
      </vt:variant>
      <vt:variant>
        <vt:lpwstr/>
      </vt:variant>
      <vt:variant>
        <vt:lpwstr>_TBD</vt:lpwstr>
      </vt:variant>
      <vt:variant>
        <vt:i4>1048637</vt:i4>
      </vt:variant>
      <vt:variant>
        <vt:i4>6924</vt:i4>
      </vt:variant>
      <vt:variant>
        <vt:i4>0</vt:i4>
      </vt:variant>
      <vt:variant>
        <vt:i4>5</vt:i4>
      </vt:variant>
      <vt:variant>
        <vt:lpwstr/>
      </vt:variant>
      <vt:variant>
        <vt:lpwstr>_TBD</vt:lpwstr>
      </vt:variant>
      <vt:variant>
        <vt:i4>1048637</vt:i4>
      </vt:variant>
      <vt:variant>
        <vt:i4>6921</vt:i4>
      </vt:variant>
      <vt:variant>
        <vt:i4>0</vt:i4>
      </vt:variant>
      <vt:variant>
        <vt:i4>5</vt:i4>
      </vt:variant>
      <vt:variant>
        <vt:lpwstr/>
      </vt:variant>
      <vt:variant>
        <vt:lpwstr>_TBD</vt:lpwstr>
      </vt:variant>
      <vt:variant>
        <vt:i4>1048637</vt:i4>
      </vt:variant>
      <vt:variant>
        <vt:i4>6918</vt:i4>
      </vt:variant>
      <vt:variant>
        <vt:i4>0</vt:i4>
      </vt:variant>
      <vt:variant>
        <vt:i4>5</vt:i4>
      </vt:variant>
      <vt:variant>
        <vt:lpwstr/>
      </vt:variant>
      <vt:variant>
        <vt:lpwstr>_TBD</vt:lpwstr>
      </vt:variant>
      <vt:variant>
        <vt:i4>1048637</vt:i4>
      </vt:variant>
      <vt:variant>
        <vt:i4>6915</vt:i4>
      </vt:variant>
      <vt:variant>
        <vt:i4>0</vt:i4>
      </vt:variant>
      <vt:variant>
        <vt:i4>5</vt:i4>
      </vt:variant>
      <vt:variant>
        <vt:lpwstr/>
      </vt:variant>
      <vt:variant>
        <vt:lpwstr>_TBD</vt:lpwstr>
      </vt:variant>
      <vt:variant>
        <vt:i4>1048637</vt:i4>
      </vt:variant>
      <vt:variant>
        <vt:i4>6912</vt:i4>
      </vt:variant>
      <vt:variant>
        <vt:i4>0</vt:i4>
      </vt:variant>
      <vt:variant>
        <vt:i4>5</vt:i4>
      </vt:variant>
      <vt:variant>
        <vt:lpwstr/>
      </vt:variant>
      <vt:variant>
        <vt:lpwstr>_TBD</vt:lpwstr>
      </vt:variant>
      <vt:variant>
        <vt:i4>1048637</vt:i4>
      </vt:variant>
      <vt:variant>
        <vt:i4>6909</vt:i4>
      </vt:variant>
      <vt:variant>
        <vt:i4>0</vt:i4>
      </vt:variant>
      <vt:variant>
        <vt:i4>5</vt:i4>
      </vt:variant>
      <vt:variant>
        <vt:lpwstr/>
      </vt:variant>
      <vt:variant>
        <vt:lpwstr>_TBD</vt:lpwstr>
      </vt:variant>
      <vt:variant>
        <vt:i4>1048637</vt:i4>
      </vt:variant>
      <vt:variant>
        <vt:i4>6906</vt:i4>
      </vt:variant>
      <vt:variant>
        <vt:i4>0</vt:i4>
      </vt:variant>
      <vt:variant>
        <vt:i4>5</vt:i4>
      </vt:variant>
      <vt:variant>
        <vt:lpwstr/>
      </vt:variant>
      <vt:variant>
        <vt:lpwstr>_TBD</vt:lpwstr>
      </vt:variant>
      <vt:variant>
        <vt:i4>1048637</vt:i4>
      </vt:variant>
      <vt:variant>
        <vt:i4>6903</vt:i4>
      </vt:variant>
      <vt:variant>
        <vt:i4>0</vt:i4>
      </vt:variant>
      <vt:variant>
        <vt:i4>5</vt:i4>
      </vt:variant>
      <vt:variant>
        <vt:lpwstr/>
      </vt:variant>
      <vt:variant>
        <vt:lpwstr>_TBD</vt:lpwstr>
      </vt:variant>
      <vt:variant>
        <vt:i4>1048637</vt:i4>
      </vt:variant>
      <vt:variant>
        <vt:i4>6900</vt:i4>
      </vt:variant>
      <vt:variant>
        <vt:i4>0</vt:i4>
      </vt:variant>
      <vt:variant>
        <vt:i4>5</vt:i4>
      </vt:variant>
      <vt:variant>
        <vt:lpwstr/>
      </vt:variant>
      <vt:variant>
        <vt:lpwstr>_TBD</vt:lpwstr>
      </vt:variant>
      <vt:variant>
        <vt:i4>1048637</vt:i4>
      </vt:variant>
      <vt:variant>
        <vt:i4>6897</vt:i4>
      </vt:variant>
      <vt:variant>
        <vt:i4>0</vt:i4>
      </vt:variant>
      <vt:variant>
        <vt:i4>5</vt:i4>
      </vt:variant>
      <vt:variant>
        <vt:lpwstr/>
      </vt:variant>
      <vt:variant>
        <vt:lpwstr>_TBD</vt:lpwstr>
      </vt:variant>
      <vt:variant>
        <vt:i4>1048637</vt:i4>
      </vt:variant>
      <vt:variant>
        <vt:i4>6894</vt:i4>
      </vt:variant>
      <vt:variant>
        <vt:i4>0</vt:i4>
      </vt:variant>
      <vt:variant>
        <vt:i4>5</vt:i4>
      </vt:variant>
      <vt:variant>
        <vt:lpwstr/>
      </vt:variant>
      <vt:variant>
        <vt:lpwstr>_TBD</vt:lpwstr>
      </vt:variant>
      <vt:variant>
        <vt:i4>1048637</vt:i4>
      </vt:variant>
      <vt:variant>
        <vt:i4>6891</vt:i4>
      </vt:variant>
      <vt:variant>
        <vt:i4>0</vt:i4>
      </vt:variant>
      <vt:variant>
        <vt:i4>5</vt:i4>
      </vt:variant>
      <vt:variant>
        <vt:lpwstr/>
      </vt:variant>
      <vt:variant>
        <vt:lpwstr>_TBD</vt:lpwstr>
      </vt:variant>
      <vt:variant>
        <vt:i4>1048637</vt:i4>
      </vt:variant>
      <vt:variant>
        <vt:i4>6888</vt:i4>
      </vt:variant>
      <vt:variant>
        <vt:i4>0</vt:i4>
      </vt:variant>
      <vt:variant>
        <vt:i4>5</vt:i4>
      </vt:variant>
      <vt:variant>
        <vt:lpwstr/>
      </vt:variant>
      <vt:variant>
        <vt:lpwstr>_TBD</vt:lpwstr>
      </vt:variant>
      <vt:variant>
        <vt:i4>1048637</vt:i4>
      </vt:variant>
      <vt:variant>
        <vt:i4>6885</vt:i4>
      </vt:variant>
      <vt:variant>
        <vt:i4>0</vt:i4>
      </vt:variant>
      <vt:variant>
        <vt:i4>5</vt:i4>
      </vt:variant>
      <vt:variant>
        <vt:lpwstr/>
      </vt:variant>
      <vt:variant>
        <vt:lpwstr>_TBD</vt:lpwstr>
      </vt:variant>
      <vt:variant>
        <vt:i4>1048637</vt:i4>
      </vt:variant>
      <vt:variant>
        <vt:i4>6882</vt:i4>
      </vt:variant>
      <vt:variant>
        <vt:i4>0</vt:i4>
      </vt:variant>
      <vt:variant>
        <vt:i4>5</vt:i4>
      </vt:variant>
      <vt:variant>
        <vt:lpwstr/>
      </vt:variant>
      <vt:variant>
        <vt:lpwstr>_TBD</vt:lpwstr>
      </vt:variant>
      <vt:variant>
        <vt:i4>1048637</vt:i4>
      </vt:variant>
      <vt:variant>
        <vt:i4>6879</vt:i4>
      </vt:variant>
      <vt:variant>
        <vt:i4>0</vt:i4>
      </vt:variant>
      <vt:variant>
        <vt:i4>5</vt:i4>
      </vt:variant>
      <vt:variant>
        <vt:lpwstr/>
      </vt:variant>
      <vt:variant>
        <vt:lpwstr>_TBD</vt:lpwstr>
      </vt:variant>
      <vt:variant>
        <vt:i4>1048637</vt:i4>
      </vt:variant>
      <vt:variant>
        <vt:i4>6876</vt:i4>
      </vt:variant>
      <vt:variant>
        <vt:i4>0</vt:i4>
      </vt:variant>
      <vt:variant>
        <vt:i4>5</vt:i4>
      </vt:variant>
      <vt:variant>
        <vt:lpwstr/>
      </vt:variant>
      <vt:variant>
        <vt:lpwstr>_TBD</vt:lpwstr>
      </vt:variant>
      <vt:variant>
        <vt:i4>1048637</vt:i4>
      </vt:variant>
      <vt:variant>
        <vt:i4>6873</vt:i4>
      </vt:variant>
      <vt:variant>
        <vt:i4>0</vt:i4>
      </vt:variant>
      <vt:variant>
        <vt:i4>5</vt:i4>
      </vt:variant>
      <vt:variant>
        <vt:lpwstr/>
      </vt:variant>
      <vt:variant>
        <vt:lpwstr>_TBD</vt:lpwstr>
      </vt:variant>
      <vt:variant>
        <vt:i4>1048637</vt:i4>
      </vt:variant>
      <vt:variant>
        <vt:i4>6870</vt:i4>
      </vt:variant>
      <vt:variant>
        <vt:i4>0</vt:i4>
      </vt:variant>
      <vt:variant>
        <vt:i4>5</vt:i4>
      </vt:variant>
      <vt:variant>
        <vt:lpwstr/>
      </vt:variant>
      <vt:variant>
        <vt:lpwstr>_TBD</vt:lpwstr>
      </vt:variant>
      <vt:variant>
        <vt:i4>1048637</vt:i4>
      </vt:variant>
      <vt:variant>
        <vt:i4>6867</vt:i4>
      </vt:variant>
      <vt:variant>
        <vt:i4>0</vt:i4>
      </vt:variant>
      <vt:variant>
        <vt:i4>5</vt:i4>
      </vt:variant>
      <vt:variant>
        <vt:lpwstr/>
      </vt:variant>
      <vt:variant>
        <vt:lpwstr>_TBD</vt:lpwstr>
      </vt:variant>
      <vt:variant>
        <vt:i4>1048637</vt:i4>
      </vt:variant>
      <vt:variant>
        <vt:i4>6864</vt:i4>
      </vt:variant>
      <vt:variant>
        <vt:i4>0</vt:i4>
      </vt:variant>
      <vt:variant>
        <vt:i4>5</vt:i4>
      </vt:variant>
      <vt:variant>
        <vt:lpwstr/>
      </vt:variant>
      <vt:variant>
        <vt:lpwstr>_TBD</vt:lpwstr>
      </vt:variant>
      <vt:variant>
        <vt:i4>1048637</vt:i4>
      </vt:variant>
      <vt:variant>
        <vt:i4>6861</vt:i4>
      </vt:variant>
      <vt:variant>
        <vt:i4>0</vt:i4>
      </vt:variant>
      <vt:variant>
        <vt:i4>5</vt:i4>
      </vt:variant>
      <vt:variant>
        <vt:lpwstr/>
      </vt:variant>
      <vt:variant>
        <vt:lpwstr>_TBD</vt:lpwstr>
      </vt:variant>
      <vt:variant>
        <vt:i4>1048637</vt:i4>
      </vt:variant>
      <vt:variant>
        <vt:i4>6858</vt:i4>
      </vt:variant>
      <vt:variant>
        <vt:i4>0</vt:i4>
      </vt:variant>
      <vt:variant>
        <vt:i4>5</vt:i4>
      </vt:variant>
      <vt:variant>
        <vt:lpwstr/>
      </vt:variant>
      <vt:variant>
        <vt:lpwstr>_TBD</vt:lpwstr>
      </vt:variant>
      <vt:variant>
        <vt:i4>1048637</vt:i4>
      </vt:variant>
      <vt:variant>
        <vt:i4>6855</vt:i4>
      </vt:variant>
      <vt:variant>
        <vt:i4>0</vt:i4>
      </vt:variant>
      <vt:variant>
        <vt:i4>5</vt:i4>
      </vt:variant>
      <vt:variant>
        <vt:lpwstr/>
      </vt:variant>
      <vt:variant>
        <vt:lpwstr>_TBD</vt:lpwstr>
      </vt:variant>
      <vt:variant>
        <vt:i4>1048637</vt:i4>
      </vt:variant>
      <vt:variant>
        <vt:i4>6852</vt:i4>
      </vt:variant>
      <vt:variant>
        <vt:i4>0</vt:i4>
      </vt:variant>
      <vt:variant>
        <vt:i4>5</vt:i4>
      </vt:variant>
      <vt:variant>
        <vt:lpwstr/>
      </vt:variant>
      <vt:variant>
        <vt:lpwstr>_TBD</vt:lpwstr>
      </vt:variant>
      <vt:variant>
        <vt:i4>1048637</vt:i4>
      </vt:variant>
      <vt:variant>
        <vt:i4>6849</vt:i4>
      </vt:variant>
      <vt:variant>
        <vt:i4>0</vt:i4>
      </vt:variant>
      <vt:variant>
        <vt:i4>5</vt:i4>
      </vt:variant>
      <vt:variant>
        <vt:lpwstr/>
      </vt:variant>
      <vt:variant>
        <vt:lpwstr>_TBD</vt:lpwstr>
      </vt:variant>
      <vt:variant>
        <vt:i4>1048637</vt:i4>
      </vt:variant>
      <vt:variant>
        <vt:i4>6846</vt:i4>
      </vt:variant>
      <vt:variant>
        <vt:i4>0</vt:i4>
      </vt:variant>
      <vt:variant>
        <vt:i4>5</vt:i4>
      </vt:variant>
      <vt:variant>
        <vt:lpwstr/>
      </vt:variant>
      <vt:variant>
        <vt:lpwstr>_TBD</vt:lpwstr>
      </vt:variant>
      <vt:variant>
        <vt:i4>1048637</vt:i4>
      </vt:variant>
      <vt:variant>
        <vt:i4>6843</vt:i4>
      </vt:variant>
      <vt:variant>
        <vt:i4>0</vt:i4>
      </vt:variant>
      <vt:variant>
        <vt:i4>5</vt:i4>
      </vt:variant>
      <vt:variant>
        <vt:lpwstr/>
      </vt:variant>
      <vt:variant>
        <vt:lpwstr>_TBD</vt:lpwstr>
      </vt:variant>
      <vt:variant>
        <vt:i4>1048637</vt:i4>
      </vt:variant>
      <vt:variant>
        <vt:i4>6840</vt:i4>
      </vt:variant>
      <vt:variant>
        <vt:i4>0</vt:i4>
      </vt:variant>
      <vt:variant>
        <vt:i4>5</vt:i4>
      </vt:variant>
      <vt:variant>
        <vt:lpwstr/>
      </vt:variant>
      <vt:variant>
        <vt:lpwstr>_TBD</vt:lpwstr>
      </vt:variant>
      <vt:variant>
        <vt:i4>1048637</vt:i4>
      </vt:variant>
      <vt:variant>
        <vt:i4>6837</vt:i4>
      </vt:variant>
      <vt:variant>
        <vt:i4>0</vt:i4>
      </vt:variant>
      <vt:variant>
        <vt:i4>5</vt:i4>
      </vt:variant>
      <vt:variant>
        <vt:lpwstr/>
      </vt:variant>
      <vt:variant>
        <vt:lpwstr>_TBD</vt:lpwstr>
      </vt:variant>
      <vt:variant>
        <vt:i4>1048637</vt:i4>
      </vt:variant>
      <vt:variant>
        <vt:i4>6834</vt:i4>
      </vt:variant>
      <vt:variant>
        <vt:i4>0</vt:i4>
      </vt:variant>
      <vt:variant>
        <vt:i4>5</vt:i4>
      </vt:variant>
      <vt:variant>
        <vt:lpwstr/>
      </vt:variant>
      <vt:variant>
        <vt:lpwstr>_TBD</vt:lpwstr>
      </vt:variant>
      <vt:variant>
        <vt:i4>1048637</vt:i4>
      </vt:variant>
      <vt:variant>
        <vt:i4>6831</vt:i4>
      </vt:variant>
      <vt:variant>
        <vt:i4>0</vt:i4>
      </vt:variant>
      <vt:variant>
        <vt:i4>5</vt:i4>
      </vt:variant>
      <vt:variant>
        <vt:lpwstr/>
      </vt:variant>
      <vt:variant>
        <vt:lpwstr>_TBD</vt:lpwstr>
      </vt:variant>
      <vt:variant>
        <vt:i4>1048637</vt:i4>
      </vt:variant>
      <vt:variant>
        <vt:i4>6828</vt:i4>
      </vt:variant>
      <vt:variant>
        <vt:i4>0</vt:i4>
      </vt:variant>
      <vt:variant>
        <vt:i4>5</vt:i4>
      </vt:variant>
      <vt:variant>
        <vt:lpwstr/>
      </vt:variant>
      <vt:variant>
        <vt:lpwstr>_TBD</vt:lpwstr>
      </vt:variant>
      <vt:variant>
        <vt:i4>1048637</vt:i4>
      </vt:variant>
      <vt:variant>
        <vt:i4>6825</vt:i4>
      </vt:variant>
      <vt:variant>
        <vt:i4>0</vt:i4>
      </vt:variant>
      <vt:variant>
        <vt:i4>5</vt:i4>
      </vt:variant>
      <vt:variant>
        <vt:lpwstr/>
      </vt:variant>
      <vt:variant>
        <vt:lpwstr>_TBD</vt:lpwstr>
      </vt:variant>
      <vt:variant>
        <vt:i4>1048637</vt:i4>
      </vt:variant>
      <vt:variant>
        <vt:i4>6822</vt:i4>
      </vt:variant>
      <vt:variant>
        <vt:i4>0</vt:i4>
      </vt:variant>
      <vt:variant>
        <vt:i4>5</vt:i4>
      </vt:variant>
      <vt:variant>
        <vt:lpwstr/>
      </vt:variant>
      <vt:variant>
        <vt:lpwstr>_TBD</vt:lpwstr>
      </vt:variant>
      <vt:variant>
        <vt:i4>1048637</vt:i4>
      </vt:variant>
      <vt:variant>
        <vt:i4>6819</vt:i4>
      </vt:variant>
      <vt:variant>
        <vt:i4>0</vt:i4>
      </vt:variant>
      <vt:variant>
        <vt:i4>5</vt:i4>
      </vt:variant>
      <vt:variant>
        <vt:lpwstr/>
      </vt:variant>
      <vt:variant>
        <vt:lpwstr>_TBD</vt:lpwstr>
      </vt:variant>
      <vt:variant>
        <vt:i4>1048637</vt:i4>
      </vt:variant>
      <vt:variant>
        <vt:i4>6816</vt:i4>
      </vt:variant>
      <vt:variant>
        <vt:i4>0</vt:i4>
      </vt:variant>
      <vt:variant>
        <vt:i4>5</vt:i4>
      </vt:variant>
      <vt:variant>
        <vt:lpwstr/>
      </vt:variant>
      <vt:variant>
        <vt:lpwstr>_TBD</vt:lpwstr>
      </vt:variant>
      <vt:variant>
        <vt:i4>1048637</vt:i4>
      </vt:variant>
      <vt:variant>
        <vt:i4>6813</vt:i4>
      </vt:variant>
      <vt:variant>
        <vt:i4>0</vt:i4>
      </vt:variant>
      <vt:variant>
        <vt:i4>5</vt:i4>
      </vt:variant>
      <vt:variant>
        <vt:lpwstr/>
      </vt:variant>
      <vt:variant>
        <vt:lpwstr>_TBD</vt:lpwstr>
      </vt:variant>
      <vt:variant>
        <vt:i4>1048637</vt:i4>
      </vt:variant>
      <vt:variant>
        <vt:i4>6810</vt:i4>
      </vt:variant>
      <vt:variant>
        <vt:i4>0</vt:i4>
      </vt:variant>
      <vt:variant>
        <vt:i4>5</vt:i4>
      </vt:variant>
      <vt:variant>
        <vt:lpwstr/>
      </vt:variant>
      <vt:variant>
        <vt:lpwstr>_TBD</vt:lpwstr>
      </vt:variant>
      <vt:variant>
        <vt:i4>1048637</vt:i4>
      </vt:variant>
      <vt:variant>
        <vt:i4>6807</vt:i4>
      </vt:variant>
      <vt:variant>
        <vt:i4>0</vt:i4>
      </vt:variant>
      <vt:variant>
        <vt:i4>5</vt:i4>
      </vt:variant>
      <vt:variant>
        <vt:lpwstr/>
      </vt:variant>
      <vt:variant>
        <vt:lpwstr>_TBD</vt:lpwstr>
      </vt:variant>
      <vt:variant>
        <vt:i4>1048637</vt:i4>
      </vt:variant>
      <vt:variant>
        <vt:i4>6804</vt:i4>
      </vt:variant>
      <vt:variant>
        <vt:i4>0</vt:i4>
      </vt:variant>
      <vt:variant>
        <vt:i4>5</vt:i4>
      </vt:variant>
      <vt:variant>
        <vt:lpwstr/>
      </vt:variant>
      <vt:variant>
        <vt:lpwstr>_TBD</vt:lpwstr>
      </vt:variant>
      <vt:variant>
        <vt:i4>1048637</vt:i4>
      </vt:variant>
      <vt:variant>
        <vt:i4>6801</vt:i4>
      </vt:variant>
      <vt:variant>
        <vt:i4>0</vt:i4>
      </vt:variant>
      <vt:variant>
        <vt:i4>5</vt:i4>
      </vt:variant>
      <vt:variant>
        <vt:lpwstr/>
      </vt:variant>
      <vt:variant>
        <vt:lpwstr>_TBD</vt:lpwstr>
      </vt:variant>
      <vt:variant>
        <vt:i4>1048637</vt:i4>
      </vt:variant>
      <vt:variant>
        <vt:i4>6798</vt:i4>
      </vt:variant>
      <vt:variant>
        <vt:i4>0</vt:i4>
      </vt:variant>
      <vt:variant>
        <vt:i4>5</vt:i4>
      </vt:variant>
      <vt:variant>
        <vt:lpwstr/>
      </vt:variant>
      <vt:variant>
        <vt:lpwstr>_TBD</vt:lpwstr>
      </vt:variant>
      <vt:variant>
        <vt:i4>1048637</vt:i4>
      </vt:variant>
      <vt:variant>
        <vt:i4>6795</vt:i4>
      </vt:variant>
      <vt:variant>
        <vt:i4>0</vt:i4>
      </vt:variant>
      <vt:variant>
        <vt:i4>5</vt:i4>
      </vt:variant>
      <vt:variant>
        <vt:lpwstr/>
      </vt:variant>
      <vt:variant>
        <vt:lpwstr>_TBD</vt:lpwstr>
      </vt:variant>
      <vt:variant>
        <vt:i4>1048637</vt:i4>
      </vt:variant>
      <vt:variant>
        <vt:i4>6792</vt:i4>
      </vt:variant>
      <vt:variant>
        <vt:i4>0</vt:i4>
      </vt:variant>
      <vt:variant>
        <vt:i4>5</vt:i4>
      </vt:variant>
      <vt:variant>
        <vt:lpwstr/>
      </vt:variant>
      <vt:variant>
        <vt:lpwstr>_TBD</vt:lpwstr>
      </vt:variant>
      <vt:variant>
        <vt:i4>1048637</vt:i4>
      </vt:variant>
      <vt:variant>
        <vt:i4>6789</vt:i4>
      </vt:variant>
      <vt:variant>
        <vt:i4>0</vt:i4>
      </vt:variant>
      <vt:variant>
        <vt:i4>5</vt:i4>
      </vt:variant>
      <vt:variant>
        <vt:lpwstr/>
      </vt:variant>
      <vt:variant>
        <vt:lpwstr>_TBD</vt:lpwstr>
      </vt:variant>
      <vt:variant>
        <vt:i4>1048637</vt:i4>
      </vt:variant>
      <vt:variant>
        <vt:i4>6786</vt:i4>
      </vt:variant>
      <vt:variant>
        <vt:i4>0</vt:i4>
      </vt:variant>
      <vt:variant>
        <vt:i4>5</vt:i4>
      </vt:variant>
      <vt:variant>
        <vt:lpwstr/>
      </vt:variant>
      <vt:variant>
        <vt:lpwstr>_TBD</vt:lpwstr>
      </vt:variant>
      <vt:variant>
        <vt:i4>1048637</vt:i4>
      </vt:variant>
      <vt:variant>
        <vt:i4>6783</vt:i4>
      </vt:variant>
      <vt:variant>
        <vt:i4>0</vt:i4>
      </vt:variant>
      <vt:variant>
        <vt:i4>5</vt:i4>
      </vt:variant>
      <vt:variant>
        <vt:lpwstr/>
      </vt:variant>
      <vt:variant>
        <vt:lpwstr>_TBD</vt:lpwstr>
      </vt:variant>
      <vt:variant>
        <vt:i4>1048637</vt:i4>
      </vt:variant>
      <vt:variant>
        <vt:i4>6780</vt:i4>
      </vt:variant>
      <vt:variant>
        <vt:i4>0</vt:i4>
      </vt:variant>
      <vt:variant>
        <vt:i4>5</vt:i4>
      </vt:variant>
      <vt:variant>
        <vt:lpwstr/>
      </vt:variant>
      <vt:variant>
        <vt:lpwstr>_TBD</vt:lpwstr>
      </vt:variant>
      <vt:variant>
        <vt:i4>1048637</vt:i4>
      </vt:variant>
      <vt:variant>
        <vt:i4>6777</vt:i4>
      </vt:variant>
      <vt:variant>
        <vt:i4>0</vt:i4>
      </vt:variant>
      <vt:variant>
        <vt:i4>5</vt:i4>
      </vt:variant>
      <vt:variant>
        <vt:lpwstr/>
      </vt:variant>
      <vt:variant>
        <vt:lpwstr>_TBD</vt:lpwstr>
      </vt:variant>
      <vt:variant>
        <vt:i4>1048637</vt:i4>
      </vt:variant>
      <vt:variant>
        <vt:i4>6774</vt:i4>
      </vt:variant>
      <vt:variant>
        <vt:i4>0</vt:i4>
      </vt:variant>
      <vt:variant>
        <vt:i4>5</vt:i4>
      </vt:variant>
      <vt:variant>
        <vt:lpwstr/>
      </vt:variant>
      <vt:variant>
        <vt:lpwstr>_TBD</vt:lpwstr>
      </vt:variant>
      <vt:variant>
        <vt:i4>1048637</vt:i4>
      </vt:variant>
      <vt:variant>
        <vt:i4>6771</vt:i4>
      </vt:variant>
      <vt:variant>
        <vt:i4>0</vt:i4>
      </vt:variant>
      <vt:variant>
        <vt:i4>5</vt:i4>
      </vt:variant>
      <vt:variant>
        <vt:lpwstr/>
      </vt:variant>
      <vt:variant>
        <vt:lpwstr>_TBD</vt:lpwstr>
      </vt:variant>
      <vt:variant>
        <vt:i4>1048637</vt:i4>
      </vt:variant>
      <vt:variant>
        <vt:i4>6768</vt:i4>
      </vt:variant>
      <vt:variant>
        <vt:i4>0</vt:i4>
      </vt:variant>
      <vt:variant>
        <vt:i4>5</vt:i4>
      </vt:variant>
      <vt:variant>
        <vt:lpwstr/>
      </vt:variant>
      <vt:variant>
        <vt:lpwstr>_TBD</vt:lpwstr>
      </vt:variant>
      <vt:variant>
        <vt:i4>1048637</vt:i4>
      </vt:variant>
      <vt:variant>
        <vt:i4>6765</vt:i4>
      </vt:variant>
      <vt:variant>
        <vt:i4>0</vt:i4>
      </vt:variant>
      <vt:variant>
        <vt:i4>5</vt:i4>
      </vt:variant>
      <vt:variant>
        <vt:lpwstr/>
      </vt:variant>
      <vt:variant>
        <vt:lpwstr>_TBD</vt:lpwstr>
      </vt:variant>
      <vt:variant>
        <vt:i4>1048637</vt:i4>
      </vt:variant>
      <vt:variant>
        <vt:i4>6762</vt:i4>
      </vt:variant>
      <vt:variant>
        <vt:i4>0</vt:i4>
      </vt:variant>
      <vt:variant>
        <vt:i4>5</vt:i4>
      </vt:variant>
      <vt:variant>
        <vt:lpwstr/>
      </vt:variant>
      <vt:variant>
        <vt:lpwstr>_TBD</vt:lpwstr>
      </vt:variant>
      <vt:variant>
        <vt:i4>1048637</vt:i4>
      </vt:variant>
      <vt:variant>
        <vt:i4>6759</vt:i4>
      </vt:variant>
      <vt:variant>
        <vt:i4>0</vt:i4>
      </vt:variant>
      <vt:variant>
        <vt:i4>5</vt:i4>
      </vt:variant>
      <vt:variant>
        <vt:lpwstr/>
      </vt:variant>
      <vt:variant>
        <vt:lpwstr>_TBD</vt:lpwstr>
      </vt:variant>
      <vt:variant>
        <vt:i4>1048637</vt:i4>
      </vt:variant>
      <vt:variant>
        <vt:i4>6756</vt:i4>
      </vt:variant>
      <vt:variant>
        <vt:i4>0</vt:i4>
      </vt:variant>
      <vt:variant>
        <vt:i4>5</vt:i4>
      </vt:variant>
      <vt:variant>
        <vt:lpwstr/>
      </vt:variant>
      <vt:variant>
        <vt:lpwstr>_TBD</vt:lpwstr>
      </vt:variant>
      <vt:variant>
        <vt:i4>1048637</vt:i4>
      </vt:variant>
      <vt:variant>
        <vt:i4>6753</vt:i4>
      </vt:variant>
      <vt:variant>
        <vt:i4>0</vt:i4>
      </vt:variant>
      <vt:variant>
        <vt:i4>5</vt:i4>
      </vt:variant>
      <vt:variant>
        <vt:lpwstr/>
      </vt:variant>
      <vt:variant>
        <vt:lpwstr>_TBD</vt:lpwstr>
      </vt:variant>
      <vt:variant>
        <vt:i4>1048637</vt:i4>
      </vt:variant>
      <vt:variant>
        <vt:i4>6750</vt:i4>
      </vt:variant>
      <vt:variant>
        <vt:i4>0</vt:i4>
      </vt:variant>
      <vt:variant>
        <vt:i4>5</vt:i4>
      </vt:variant>
      <vt:variant>
        <vt:lpwstr/>
      </vt:variant>
      <vt:variant>
        <vt:lpwstr>_TBD</vt:lpwstr>
      </vt:variant>
      <vt:variant>
        <vt:i4>1048637</vt:i4>
      </vt:variant>
      <vt:variant>
        <vt:i4>6747</vt:i4>
      </vt:variant>
      <vt:variant>
        <vt:i4>0</vt:i4>
      </vt:variant>
      <vt:variant>
        <vt:i4>5</vt:i4>
      </vt:variant>
      <vt:variant>
        <vt:lpwstr/>
      </vt:variant>
      <vt:variant>
        <vt:lpwstr>_TBD</vt:lpwstr>
      </vt:variant>
      <vt:variant>
        <vt:i4>1048637</vt:i4>
      </vt:variant>
      <vt:variant>
        <vt:i4>6744</vt:i4>
      </vt:variant>
      <vt:variant>
        <vt:i4>0</vt:i4>
      </vt:variant>
      <vt:variant>
        <vt:i4>5</vt:i4>
      </vt:variant>
      <vt:variant>
        <vt:lpwstr/>
      </vt:variant>
      <vt:variant>
        <vt:lpwstr>_TBD</vt:lpwstr>
      </vt:variant>
      <vt:variant>
        <vt:i4>1048637</vt:i4>
      </vt:variant>
      <vt:variant>
        <vt:i4>6741</vt:i4>
      </vt:variant>
      <vt:variant>
        <vt:i4>0</vt:i4>
      </vt:variant>
      <vt:variant>
        <vt:i4>5</vt:i4>
      </vt:variant>
      <vt:variant>
        <vt:lpwstr/>
      </vt:variant>
      <vt:variant>
        <vt:lpwstr>_TBD</vt:lpwstr>
      </vt:variant>
      <vt:variant>
        <vt:i4>1048637</vt:i4>
      </vt:variant>
      <vt:variant>
        <vt:i4>6738</vt:i4>
      </vt:variant>
      <vt:variant>
        <vt:i4>0</vt:i4>
      </vt:variant>
      <vt:variant>
        <vt:i4>5</vt:i4>
      </vt:variant>
      <vt:variant>
        <vt:lpwstr/>
      </vt:variant>
      <vt:variant>
        <vt:lpwstr>_TBD</vt:lpwstr>
      </vt:variant>
      <vt:variant>
        <vt:i4>1048637</vt:i4>
      </vt:variant>
      <vt:variant>
        <vt:i4>6735</vt:i4>
      </vt:variant>
      <vt:variant>
        <vt:i4>0</vt:i4>
      </vt:variant>
      <vt:variant>
        <vt:i4>5</vt:i4>
      </vt:variant>
      <vt:variant>
        <vt:lpwstr/>
      </vt:variant>
      <vt:variant>
        <vt:lpwstr>_TBD</vt:lpwstr>
      </vt:variant>
      <vt:variant>
        <vt:i4>1048637</vt:i4>
      </vt:variant>
      <vt:variant>
        <vt:i4>6732</vt:i4>
      </vt:variant>
      <vt:variant>
        <vt:i4>0</vt:i4>
      </vt:variant>
      <vt:variant>
        <vt:i4>5</vt:i4>
      </vt:variant>
      <vt:variant>
        <vt:lpwstr/>
      </vt:variant>
      <vt:variant>
        <vt:lpwstr>_TBD</vt:lpwstr>
      </vt:variant>
      <vt:variant>
        <vt:i4>1048637</vt:i4>
      </vt:variant>
      <vt:variant>
        <vt:i4>6729</vt:i4>
      </vt:variant>
      <vt:variant>
        <vt:i4>0</vt:i4>
      </vt:variant>
      <vt:variant>
        <vt:i4>5</vt:i4>
      </vt:variant>
      <vt:variant>
        <vt:lpwstr/>
      </vt:variant>
      <vt:variant>
        <vt:lpwstr>_TBD</vt:lpwstr>
      </vt:variant>
      <vt:variant>
        <vt:i4>1048637</vt:i4>
      </vt:variant>
      <vt:variant>
        <vt:i4>6726</vt:i4>
      </vt:variant>
      <vt:variant>
        <vt:i4>0</vt:i4>
      </vt:variant>
      <vt:variant>
        <vt:i4>5</vt:i4>
      </vt:variant>
      <vt:variant>
        <vt:lpwstr/>
      </vt:variant>
      <vt:variant>
        <vt:lpwstr>_TBD</vt:lpwstr>
      </vt:variant>
      <vt:variant>
        <vt:i4>1048637</vt:i4>
      </vt:variant>
      <vt:variant>
        <vt:i4>6723</vt:i4>
      </vt:variant>
      <vt:variant>
        <vt:i4>0</vt:i4>
      </vt:variant>
      <vt:variant>
        <vt:i4>5</vt:i4>
      </vt:variant>
      <vt:variant>
        <vt:lpwstr/>
      </vt:variant>
      <vt:variant>
        <vt:lpwstr>_TBD</vt:lpwstr>
      </vt:variant>
      <vt:variant>
        <vt:i4>1048637</vt:i4>
      </vt:variant>
      <vt:variant>
        <vt:i4>6720</vt:i4>
      </vt:variant>
      <vt:variant>
        <vt:i4>0</vt:i4>
      </vt:variant>
      <vt:variant>
        <vt:i4>5</vt:i4>
      </vt:variant>
      <vt:variant>
        <vt:lpwstr/>
      </vt:variant>
      <vt:variant>
        <vt:lpwstr>_TBD</vt:lpwstr>
      </vt:variant>
      <vt:variant>
        <vt:i4>1048637</vt:i4>
      </vt:variant>
      <vt:variant>
        <vt:i4>6717</vt:i4>
      </vt:variant>
      <vt:variant>
        <vt:i4>0</vt:i4>
      </vt:variant>
      <vt:variant>
        <vt:i4>5</vt:i4>
      </vt:variant>
      <vt:variant>
        <vt:lpwstr/>
      </vt:variant>
      <vt:variant>
        <vt:lpwstr>_TBD</vt:lpwstr>
      </vt:variant>
      <vt:variant>
        <vt:i4>1048637</vt:i4>
      </vt:variant>
      <vt:variant>
        <vt:i4>6714</vt:i4>
      </vt:variant>
      <vt:variant>
        <vt:i4>0</vt:i4>
      </vt:variant>
      <vt:variant>
        <vt:i4>5</vt:i4>
      </vt:variant>
      <vt:variant>
        <vt:lpwstr/>
      </vt:variant>
      <vt:variant>
        <vt:lpwstr>_TBD</vt:lpwstr>
      </vt:variant>
      <vt:variant>
        <vt:i4>1048637</vt:i4>
      </vt:variant>
      <vt:variant>
        <vt:i4>6711</vt:i4>
      </vt:variant>
      <vt:variant>
        <vt:i4>0</vt:i4>
      </vt:variant>
      <vt:variant>
        <vt:i4>5</vt:i4>
      </vt:variant>
      <vt:variant>
        <vt:lpwstr/>
      </vt:variant>
      <vt:variant>
        <vt:lpwstr>_TBD</vt:lpwstr>
      </vt:variant>
      <vt:variant>
        <vt:i4>1048637</vt:i4>
      </vt:variant>
      <vt:variant>
        <vt:i4>6708</vt:i4>
      </vt:variant>
      <vt:variant>
        <vt:i4>0</vt:i4>
      </vt:variant>
      <vt:variant>
        <vt:i4>5</vt:i4>
      </vt:variant>
      <vt:variant>
        <vt:lpwstr/>
      </vt:variant>
      <vt:variant>
        <vt:lpwstr>_TBD</vt:lpwstr>
      </vt:variant>
      <vt:variant>
        <vt:i4>1048637</vt:i4>
      </vt:variant>
      <vt:variant>
        <vt:i4>6705</vt:i4>
      </vt:variant>
      <vt:variant>
        <vt:i4>0</vt:i4>
      </vt:variant>
      <vt:variant>
        <vt:i4>5</vt:i4>
      </vt:variant>
      <vt:variant>
        <vt:lpwstr/>
      </vt:variant>
      <vt:variant>
        <vt:lpwstr>_TBD</vt:lpwstr>
      </vt:variant>
      <vt:variant>
        <vt:i4>1048637</vt:i4>
      </vt:variant>
      <vt:variant>
        <vt:i4>6702</vt:i4>
      </vt:variant>
      <vt:variant>
        <vt:i4>0</vt:i4>
      </vt:variant>
      <vt:variant>
        <vt:i4>5</vt:i4>
      </vt:variant>
      <vt:variant>
        <vt:lpwstr/>
      </vt:variant>
      <vt:variant>
        <vt:lpwstr>_TBD</vt:lpwstr>
      </vt:variant>
      <vt:variant>
        <vt:i4>1048637</vt:i4>
      </vt:variant>
      <vt:variant>
        <vt:i4>6699</vt:i4>
      </vt:variant>
      <vt:variant>
        <vt:i4>0</vt:i4>
      </vt:variant>
      <vt:variant>
        <vt:i4>5</vt:i4>
      </vt:variant>
      <vt:variant>
        <vt:lpwstr/>
      </vt:variant>
      <vt:variant>
        <vt:lpwstr>_TBD</vt:lpwstr>
      </vt:variant>
      <vt:variant>
        <vt:i4>1048637</vt:i4>
      </vt:variant>
      <vt:variant>
        <vt:i4>6696</vt:i4>
      </vt:variant>
      <vt:variant>
        <vt:i4>0</vt:i4>
      </vt:variant>
      <vt:variant>
        <vt:i4>5</vt:i4>
      </vt:variant>
      <vt:variant>
        <vt:lpwstr/>
      </vt:variant>
      <vt:variant>
        <vt:lpwstr>_TBD</vt:lpwstr>
      </vt:variant>
      <vt:variant>
        <vt:i4>3014656</vt:i4>
      </vt:variant>
      <vt:variant>
        <vt:i4>6693</vt:i4>
      </vt:variant>
      <vt:variant>
        <vt:i4>0</vt:i4>
      </vt:variant>
      <vt:variant>
        <vt:i4>5</vt:i4>
      </vt:variant>
      <vt:variant>
        <vt:lpwstr/>
      </vt:variant>
      <vt:variant>
        <vt:lpwstr>Unknown_Exception</vt:lpwstr>
      </vt:variant>
      <vt:variant>
        <vt:i4>3014656</vt:i4>
      </vt:variant>
      <vt:variant>
        <vt:i4>6690</vt:i4>
      </vt:variant>
      <vt:variant>
        <vt:i4>0</vt:i4>
      </vt:variant>
      <vt:variant>
        <vt:i4>5</vt:i4>
      </vt:variant>
      <vt:variant>
        <vt:lpwstr/>
      </vt:variant>
      <vt:variant>
        <vt:lpwstr>Unknown_Exception</vt:lpwstr>
      </vt:variant>
      <vt:variant>
        <vt:i4>3014656</vt:i4>
      </vt:variant>
      <vt:variant>
        <vt:i4>6687</vt:i4>
      </vt:variant>
      <vt:variant>
        <vt:i4>0</vt:i4>
      </vt:variant>
      <vt:variant>
        <vt:i4>5</vt:i4>
      </vt:variant>
      <vt:variant>
        <vt:lpwstr/>
      </vt:variant>
      <vt:variant>
        <vt:lpwstr>Unknown_Exception</vt:lpwstr>
      </vt:variant>
      <vt:variant>
        <vt:i4>3014656</vt:i4>
      </vt:variant>
      <vt:variant>
        <vt:i4>6684</vt:i4>
      </vt:variant>
      <vt:variant>
        <vt:i4>0</vt:i4>
      </vt:variant>
      <vt:variant>
        <vt:i4>5</vt:i4>
      </vt:variant>
      <vt:variant>
        <vt:lpwstr/>
      </vt:variant>
      <vt:variant>
        <vt:lpwstr>Unknown_Exception</vt:lpwstr>
      </vt:variant>
      <vt:variant>
        <vt:i4>3014656</vt:i4>
      </vt:variant>
      <vt:variant>
        <vt:i4>6681</vt:i4>
      </vt:variant>
      <vt:variant>
        <vt:i4>0</vt:i4>
      </vt:variant>
      <vt:variant>
        <vt:i4>5</vt:i4>
      </vt:variant>
      <vt:variant>
        <vt:lpwstr/>
      </vt:variant>
      <vt:variant>
        <vt:lpwstr>Unknown_Exception</vt:lpwstr>
      </vt:variant>
      <vt:variant>
        <vt:i4>3014656</vt:i4>
      </vt:variant>
      <vt:variant>
        <vt:i4>6678</vt:i4>
      </vt:variant>
      <vt:variant>
        <vt:i4>0</vt:i4>
      </vt:variant>
      <vt:variant>
        <vt:i4>5</vt:i4>
      </vt:variant>
      <vt:variant>
        <vt:lpwstr/>
      </vt:variant>
      <vt:variant>
        <vt:lpwstr>Unknown_Exception</vt:lpwstr>
      </vt:variant>
      <vt:variant>
        <vt:i4>3014656</vt:i4>
      </vt:variant>
      <vt:variant>
        <vt:i4>6675</vt:i4>
      </vt:variant>
      <vt:variant>
        <vt:i4>0</vt:i4>
      </vt:variant>
      <vt:variant>
        <vt:i4>5</vt:i4>
      </vt:variant>
      <vt:variant>
        <vt:lpwstr/>
      </vt:variant>
      <vt:variant>
        <vt:lpwstr>Unknown_Exception</vt:lpwstr>
      </vt:variant>
      <vt:variant>
        <vt:i4>3014656</vt:i4>
      </vt:variant>
      <vt:variant>
        <vt:i4>6672</vt:i4>
      </vt:variant>
      <vt:variant>
        <vt:i4>0</vt:i4>
      </vt:variant>
      <vt:variant>
        <vt:i4>5</vt:i4>
      </vt:variant>
      <vt:variant>
        <vt:lpwstr/>
      </vt:variant>
      <vt:variant>
        <vt:lpwstr>Unknown_Exception</vt:lpwstr>
      </vt:variant>
      <vt:variant>
        <vt:i4>3014656</vt:i4>
      </vt:variant>
      <vt:variant>
        <vt:i4>6669</vt:i4>
      </vt:variant>
      <vt:variant>
        <vt:i4>0</vt:i4>
      </vt:variant>
      <vt:variant>
        <vt:i4>5</vt:i4>
      </vt:variant>
      <vt:variant>
        <vt:lpwstr/>
      </vt:variant>
      <vt:variant>
        <vt:lpwstr>Unknown_Exception</vt:lpwstr>
      </vt:variant>
      <vt:variant>
        <vt:i4>3014656</vt:i4>
      </vt:variant>
      <vt:variant>
        <vt:i4>6666</vt:i4>
      </vt:variant>
      <vt:variant>
        <vt:i4>0</vt:i4>
      </vt:variant>
      <vt:variant>
        <vt:i4>5</vt:i4>
      </vt:variant>
      <vt:variant>
        <vt:lpwstr/>
      </vt:variant>
      <vt:variant>
        <vt:lpwstr>Unknown_Exception</vt:lpwstr>
      </vt:variant>
      <vt:variant>
        <vt:i4>3014656</vt:i4>
      </vt:variant>
      <vt:variant>
        <vt:i4>6663</vt:i4>
      </vt:variant>
      <vt:variant>
        <vt:i4>0</vt:i4>
      </vt:variant>
      <vt:variant>
        <vt:i4>5</vt:i4>
      </vt:variant>
      <vt:variant>
        <vt:lpwstr/>
      </vt:variant>
      <vt:variant>
        <vt:lpwstr>Unknown_Exception</vt:lpwstr>
      </vt:variant>
      <vt:variant>
        <vt:i4>3014656</vt:i4>
      </vt:variant>
      <vt:variant>
        <vt:i4>6660</vt:i4>
      </vt:variant>
      <vt:variant>
        <vt:i4>0</vt:i4>
      </vt:variant>
      <vt:variant>
        <vt:i4>5</vt:i4>
      </vt:variant>
      <vt:variant>
        <vt:lpwstr/>
      </vt:variant>
      <vt:variant>
        <vt:lpwstr>Unknown_Exception</vt:lpwstr>
      </vt:variant>
      <vt:variant>
        <vt:i4>3014656</vt:i4>
      </vt:variant>
      <vt:variant>
        <vt:i4>6657</vt:i4>
      </vt:variant>
      <vt:variant>
        <vt:i4>0</vt:i4>
      </vt:variant>
      <vt:variant>
        <vt:i4>5</vt:i4>
      </vt:variant>
      <vt:variant>
        <vt:lpwstr/>
      </vt:variant>
      <vt:variant>
        <vt:lpwstr>Unknown_Exception</vt:lpwstr>
      </vt:variant>
      <vt:variant>
        <vt:i4>3014656</vt:i4>
      </vt:variant>
      <vt:variant>
        <vt:i4>6654</vt:i4>
      </vt:variant>
      <vt:variant>
        <vt:i4>0</vt:i4>
      </vt:variant>
      <vt:variant>
        <vt:i4>5</vt:i4>
      </vt:variant>
      <vt:variant>
        <vt:lpwstr/>
      </vt:variant>
      <vt:variant>
        <vt:lpwstr>Unknown_Exception</vt:lpwstr>
      </vt:variant>
      <vt:variant>
        <vt:i4>3014656</vt:i4>
      </vt:variant>
      <vt:variant>
        <vt:i4>6651</vt:i4>
      </vt:variant>
      <vt:variant>
        <vt:i4>0</vt:i4>
      </vt:variant>
      <vt:variant>
        <vt:i4>5</vt:i4>
      </vt:variant>
      <vt:variant>
        <vt:lpwstr/>
      </vt:variant>
      <vt:variant>
        <vt:lpwstr>Unknown_Exception</vt:lpwstr>
      </vt:variant>
      <vt:variant>
        <vt:i4>3014656</vt:i4>
      </vt:variant>
      <vt:variant>
        <vt:i4>6648</vt:i4>
      </vt:variant>
      <vt:variant>
        <vt:i4>0</vt:i4>
      </vt:variant>
      <vt:variant>
        <vt:i4>5</vt:i4>
      </vt:variant>
      <vt:variant>
        <vt:lpwstr/>
      </vt:variant>
      <vt:variant>
        <vt:lpwstr>Unknown_Exception</vt:lpwstr>
      </vt:variant>
      <vt:variant>
        <vt:i4>3014656</vt:i4>
      </vt:variant>
      <vt:variant>
        <vt:i4>6645</vt:i4>
      </vt:variant>
      <vt:variant>
        <vt:i4>0</vt:i4>
      </vt:variant>
      <vt:variant>
        <vt:i4>5</vt:i4>
      </vt:variant>
      <vt:variant>
        <vt:lpwstr/>
      </vt:variant>
      <vt:variant>
        <vt:lpwstr>Unknown_Exception</vt:lpwstr>
      </vt:variant>
      <vt:variant>
        <vt:i4>3014656</vt:i4>
      </vt:variant>
      <vt:variant>
        <vt:i4>6642</vt:i4>
      </vt:variant>
      <vt:variant>
        <vt:i4>0</vt:i4>
      </vt:variant>
      <vt:variant>
        <vt:i4>5</vt:i4>
      </vt:variant>
      <vt:variant>
        <vt:lpwstr/>
      </vt:variant>
      <vt:variant>
        <vt:lpwstr>Unknown_Exception</vt:lpwstr>
      </vt:variant>
      <vt:variant>
        <vt:i4>3014656</vt:i4>
      </vt:variant>
      <vt:variant>
        <vt:i4>6639</vt:i4>
      </vt:variant>
      <vt:variant>
        <vt:i4>0</vt:i4>
      </vt:variant>
      <vt:variant>
        <vt:i4>5</vt:i4>
      </vt:variant>
      <vt:variant>
        <vt:lpwstr/>
      </vt:variant>
      <vt:variant>
        <vt:lpwstr>Unknown_Exception</vt:lpwstr>
      </vt:variant>
      <vt:variant>
        <vt:i4>3014656</vt:i4>
      </vt:variant>
      <vt:variant>
        <vt:i4>6636</vt:i4>
      </vt:variant>
      <vt:variant>
        <vt:i4>0</vt:i4>
      </vt:variant>
      <vt:variant>
        <vt:i4>5</vt:i4>
      </vt:variant>
      <vt:variant>
        <vt:lpwstr/>
      </vt:variant>
      <vt:variant>
        <vt:lpwstr>Unknown_Exception</vt:lpwstr>
      </vt:variant>
      <vt:variant>
        <vt:i4>3014656</vt:i4>
      </vt:variant>
      <vt:variant>
        <vt:i4>6633</vt:i4>
      </vt:variant>
      <vt:variant>
        <vt:i4>0</vt:i4>
      </vt:variant>
      <vt:variant>
        <vt:i4>5</vt:i4>
      </vt:variant>
      <vt:variant>
        <vt:lpwstr/>
      </vt:variant>
      <vt:variant>
        <vt:lpwstr>Unknown_Exception</vt:lpwstr>
      </vt:variant>
      <vt:variant>
        <vt:i4>3014656</vt:i4>
      </vt:variant>
      <vt:variant>
        <vt:i4>6630</vt:i4>
      </vt:variant>
      <vt:variant>
        <vt:i4>0</vt:i4>
      </vt:variant>
      <vt:variant>
        <vt:i4>5</vt:i4>
      </vt:variant>
      <vt:variant>
        <vt:lpwstr/>
      </vt:variant>
      <vt:variant>
        <vt:lpwstr>Unknown_Exception</vt:lpwstr>
      </vt:variant>
      <vt:variant>
        <vt:i4>3014656</vt:i4>
      </vt:variant>
      <vt:variant>
        <vt:i4>6627</vt:i4>
      </vt:variant>
      <vt:variant>
        <vt:i4>0</vt:i4>
      </vt:variant>
      <vt:variant>
        <vt:i4>5</vt:i4>
      </vt:variant>
      <vt:variant>
        <vt:lpwstr/>
      </vt:variant>
      <vt:variant>
        <vt:lpwstr>Unknown_Exception</vt:lpwstr>
      </vt:variant>
      <vt:variant>
        <vt:i4>3014656</vt:i4>
      </vt:variant>
      <vt:variant>
        <vt:i4>6624</vt:i4>
      </vt:variant>
      <vt:variant>
        <vt:i4>0</vt:i4>
      </vt:variant>
      <vt:variant>
        <vt:i4>5</vt:i4>
      </vt:variant>
      <vt:variant>
        <vt:lpwstr/>
      </vt:variant>
      <vt:variant>
        <vt:lpwstr>Unknown_Exception</vt:lpwstr>
      </vt:variant>
      <vt:variant>
        <vt:i4>1048637</vt:i4>
      </vt:variant>
      <vt:variant>
        <vt:i4>6621</vt:i4>
      </vt:variant>
      <vt:variant>
        <vt:i4>0</vt:i4>
      </vt:variant>
      <vt:variant>
        <vt:i4>5</vt:i4>
      </vt:variant>
      <vt:variant>
        <vt:lpwstr/>
      </vt:variant>
      <vt:variant>
        <vt:lpwstr>_TBD</vt:lpwstr>
      </vt:variant>
      <vt:variant>
        <vt:i4>1048637</vt:i4>
      </vt:variant>
      <vt:variant>
        <vt:i4>6618</vt:i4>
      </vt:variant>
      <vt:variant>
        <vt:i4>0</vt:i4>
      </vt:variant>
      <vt:variant>
        <vt:i4>5</vt:i4>
      </vt:variant>
      <vt:variant>
        <vt:lpwstr/>
      </vt:variant>
      <vt:variant>
        <vt:lpwstr>_TBD</vt:lpwstr>
      </vt:variant>
      <vt:variant>
        <vt:i4>1048637</vt:i4>
      </vt:variant>
      <vt:variant>
        <vt:i4>6615</vt:i4>
      </vt:variant>
      <vt:variant>
        <vt:i4>0</vt:i4>
      </vt:variant>
      <vt:variant>
        <vt:i4>5</vt:i4>
      </vt:variant>
      <vt:variant>
        <vt:lpwstr/>
      </vt:variant>
      <vt:variant>
        <vt:lpwstr>_TBD</vt:lpwstr>
      </vt:variant>
      <vt:variant>
        <vt:i4>1048637</vt:i4>
      </vt:variant>
      <vt:variant>
        <vt:i4>6612</vt:i4>
      </vt:variant>
      <vt:variant>
        <vt:i4>0</vt:i4>
      </vt:variant>
      <vt:variant>
        <vt:i4>5</vt:i4>
      </vt:variant>
      <vt:variant>
        <vt:lpwstr/>
      </vt:variant>
      <vt:variant>
        <vt:lpwstr>_TBD</vt:lpwstr>
      </vt:variant>
      <vt:variant>
        <vt:i4>1048637</vt:i4>
      </vt:variant>
      <vt:variant>
        <vt:i4>6609</vt:i4>
      </vt:variant>
      <vt:variant>
        <vt:i4>0</vt:i4>
      </vt:variant>
      <vt:variant>
        <vt:i4>5</vt:i4>
      </vt:variant>
      <vt:variant>
        <vt:lpwstr/>
      </vt:variant>
      <vt:variant>
        <vt:lpwstr>_TBD</vt:lpwstr>
      </vt:variant>
      <vt:variant>
        <vt:i4>1048637</vt:i4>
      </vt:variant>
      <vt:variant>
        <vt:i4>6606</vt:i4>
      </vt:variant>
      <vt:variant>
        <vt:i4>0</vt:i4>
      </vt:variant>
      <vt:variant>
        <vt:i4>5</vt:i4>
      </vt:variant>
      <vt:variant>
        <vt:lpwstr/>
      </vt:variant>
      <vt:variant>
        <vt:lpwstr>_TBD</vt:lpwstr>
      </vt:variant>
      <vt:variant>
        <vt:i4>1048637</vt:i4>
      </vt:variant>
      <vt:variant>
        <vt:i4>6603</vt:i4>
      </vt:variant>
      <vt:variant>
        <vt:i4>0</vt:i4>
      </vt:variant>
      <vt:variant>
        <vt:i4>5</vt:i4>
      </vt:variant>
      <vt:variant>
        <vt:lpwstr/>
      </vt:variant>
      <vt:variant>
        <vt:lpwstr>_TBD</vt:lpwstr>
      </vt:variant>
      <vt:variant>
        <vt:i4>1048637</vt:i4>
      </vt:variant>
      <vt:variant>
        <vt:i4>6600</vt:i4>
      </vt:variant>
      <vt:variant>
        <vt:i4>0</vt:i4>
      </vt:variant>
      <vt:variant>
        <vt:i4>5</vt:i4>
      </vt:variant>
      <vt:variant>
        <vt:lpwstr/>
      </vt:variant>
      <vt:variant>
        <vt:lpwstr>_TBD</vt:lpwstr>
      </vt:variant>
      <vt:variant>
        <vt:i4>1048637</vt:i4>
      </vt:variant>
      <vt:variant>
        <vt:i4>6597</vt:i4>
      </vt:variant>
      <vt:variant>
        <vt:i4>0</vt:i4>
      </vt:variant>
      <vt:variant>
        <vt:i4>5</vt:i4>
      </vt:variant>
      <vt:variant>
        <vt:lpwstr/>
      </vt:variant>
      <vt:variant>
        <vt:lpwstr>_TBD</vt:lpwstr>
      </vt:variant>
      <vt:variant>
        <vt:i4>1048637</vt:i4>
      </vt:variant>
      <vt:variant>
        <vt:i4>6594</vt:i4>
      </vt:variant>
      <vt:variant>
        <vt:i4>0</vt:i4>
      </vt:variant>
      <vt:variant>
        <vt:i4>5</vt:i4>
      </vt:variant>
      <vt:variant>
        <vt:lpwstr/>
      </vt:variant>
      <vt:variant>
        <vt:lpwstr>_TBD</vt:lpwstr>
      </vt:variant>
      <vt:variant>
        <vt:i4>1048637</vt:i4>
      </vt:variant>
      <vt:variant>
        <vt:i4>6591</vt:i4>
      </vt:variant>
      <vt:variant>
        <vt:i4>0</vt:i4>
      </vt:variant>
      <vt:variant>
        <vt:i4>5</vt:i4>
      </vt:variant>
      <vt:variant>
        <vt:lpwstr/>
      </vt:variant>
      <vt:variant>
        <vt:lpwstr>_TBD</vt:lpwstr>
      </vt:variant>
      <vt:variant>
        <vt:i4>1048637</vt:i4>
      </vt:variant>
      <vt:variant>
        <vt:i4>6588</vt:i4>
      </vt:variant>
      <vt:variant>
        <vt:i4>0</vt:i4>
      </vt:variant>
      <vt:variant>
        <vt:i4>5</vt:i4>
      </vt:variant>
      <vt:variant>
        <vt:lpwstr/>
      </vt:variant>
      <vt:variant>
        <vt:lpwstr>_TBD</vt:lpwstr>
      </vt:variant>
      <vt:variant>
        <vt:i4>1048637</vt:i4>
      </vt:variant>
      <vt:variant>
        <vt:i4>6585</vt:i4>
      </vt:variant>
      <vt:variant>
        <vt:i4>0</vt:i4>
      </vt:variant>
      <vt:variant>
        <vt:i4>5</vt:i4>
      </vt:variant>
      <vt:variant>
        <vt:lpwstr/>
      </vt:variant>
      <vt:variant>
        <vt:lpwstr>_TBD</vt:lpwstr>
      </vt:variant>
      <vt:variant>
        <vt:i4>1048637</vt:i4>
      </vt:variant>
      <vt:variant>
        <vt:i4>6582</vt:i4>
      </vt:variant>
      <vt:variant>
        <vt:i4>0</vt:i4>
      </vt:variant>
      <vt:variant>
        <vt:i4>5</vt:i4>
      </vt:variant>
      <vt:variant>
        <vt:lpwstr/>
      </vt:variant>
      <vt:variant>
        <vt:lpwstr>_TBD</vt:lpwstr>
      </vt:variant>
      <vt:variant>
        <vt:i4>1048637</vt:i4>
      </vt:variant>
      <vt:variant>
        <vt:i4>6579</vt:i4>
      </vt:variant>
      <vt:variant>
        <vt:i4>0</vt:i4>
      </vt:variant>
      <vt:variant>
        <vt:i4>5</vt:i4>
      </vt:variant>
      <vt:variant>
        <vt:lpwstr/>
      </vt:variant>
      <vt:variant>
        <vt:lpwstr>_TBD</vt:lpwstr>
      </vt:variant>
      <vt:variant>
        <vt:i4>1048637</vt:i4>
      </vt:variant>
      <vt:variant>
        <vt:i4>6576</vt:i4>
      </vt:variant>
      <vt:variant>
        <vt:i4>0</vt:i4>
      </vt:variant>
      <vt:variant>
        <vt:i4>5</vt:i4>
      </vt:variant>
      <vt:variant>
        <vt:lpwstr/>
      </vt:variant>
      <vt:variant>
        <vt:lpwstr>_TBD</vt:lpwstr>
      </vt:variant>
      <vt:variant>
        <vt:i4>1048637</vt:i4>
      </vt:variant>
      <vt:variant>
        <vt:i4>6573</vt:i4>
      </vt:variant>
      <vt:variant>
        <vt:i4>0</vt:i4>
      </vt:variant>
      <vt:variant>
        <vt:i4>5</vt:i4>
      </vt:variant>
      <vt:variant>
        <vt:lpwstr/>
      </vt:variant>
      <vt:variant>
        <vt:lpwstr>_TBD</vt:lpwstr>
      </vt:variant>
      <vt:variant>
        <vt:i4>1048637</vt:i4>
      </vt:variant>
      <vt:variant>
        <vt:i4>6570</vt:i4>
      </vt:variant>
      <vt:variant>
        <vt:i4>0</vt:i4>
      </vt:variant>
      <vt:variant>
        <vt:i4>5</vt:i4>
      </vt:variant>
      <vt:variant>
        <vt:lpwstr/>
      </vt:variant>
      <vt:variant>
        <vt:lpwstr>_TBD</vt:lpwstr>
      </vt:variant>
      <vt:variant>
        <vt:i4>1048637</vt:i4>
      </vt:variant>
      <vt:variant>
        <vt:i4>6567</vt:i4>
      </vt:variant>
      <vt:variant>
        <vt:i4>0</vt:i4>
      </vt:variant>
      <vt:variant>
        <vt:i4>5</vt:i4>
      </vt:variant>
      <vt:variant>
        <vt:lpwstr/>
      </vt:variant>
      <vt:variant>
        <vt:lpwstr>_TBD</vt:lpwstr>
      </vt:variant>
      <vt:variant>
        <vt:i4>1048637</vt:i4>
      </vt:variant>
      <vt:variant>
        <vt:i4>6564</vt:i4>
      </vt:variant>
      <vt:variant>
        <vt:i4>0</vt:i4>
      </vt:variant>
      <vt:variant>
        <vt:i4>5</vt:i4>
      </vt:variant>
      <vt:variant>
        <vt:lpwstr/>
      </vt:variant>
      <vt:variant>
        <vt:lpwstr>_TBD</vt:lpwstr>
      </vt:variant>
      <vt:variant>
        <vt:i4>1048637</vt:i4>
      </vt:variant>
      <vt:variant>
        <vt:i4>6561</vt:i4>
      </vt:variant>
      <vt:variant>
        <vt:i4>0</vt:i4>
      </vt:variant>
      <vt:variant>
        <vt:i4>5</vt:i4>
      </vt:variant>
      <vt:variant>
        <vt:lpwstr/>
      </vt:variant>
      <vt:variant>
        <vt:lpwstr>_TBD</vt:lpwstr>
      </vt:variant>
      <vt:variant>
        <vt:i4>1048637</vt:i4>
      </vt:variant>
      <vt:variant>
        <vt:i4>6558</vt:i4>
      </vt:variant>
      <vt:variant>
        <vt:i4>0</vt:i4>
      </vt:variant>
      <vt:variant>
        <vt:i4>5</vt:i4>
      </vt:variant>
      <vt:variant>
        <vt:lpwstr/>
      </vt:variant>
      <vt:variant>
        <vt:lpwstr>_TBD</vt:lpwstr>
      </vt:variant>
      <vt:variant>
        <vt:i4>1048637</vt:i4>
      </vt:variant>
      <vt:variant>
        <vt:i4>6555</vt:i4>
      </vt:variant>
      <vt:variant>
        <vt:i4>0</vt:i4>
      </vt:variant>
      <vt:variant>
        <vt:i4>5</vt:i4>
      </vt:variant>
      <vt:variant>
        <vt:lpwstr/>
      </vt:variant>
      <vt:variant>
        <vt:lpwstr>_TBD</vt:lpwstr>
      </vt:variant>
      <vt:variant>
        <vt:i4>1048637</vt:i4>
      </vt:variant>
      <vt:variant>
        <vt:i4>6552</vt:i4>
      </vt:variant>
      <vt:variant>
        <vt:i4>0</vt:i4>
      </vt:variant>
      <vt:variant>
        <vt:i4>5</vt:i4>
      </vt:variant>
      <vt:variant>
        <vt:lpwstr/>
      </vt:variant>
      <vt:variant>
        <vt:lpwstr>_TBD</vt:lpwstr>
      </vt:variant>
      <vt:variant>
        <vt:i4>1048637</vt:i4>
      </vt:variant>
      <vt:variant>
        <vt:i4>6549</vt:i4>
      </vt:variant>
      <vt:variant>
        <vt:i4>0</vt:i4>
      </vt:variant>
      <vt:variant>
        <vt:i4>5</vt:i4>
      </vt:variant>
      <vt:variant>
        <vt:lpwstr/>
      </vt:variant>
      <vt:variant>
        <vt:lpwstr>_TBD</vt:lpwstr>
      </vt:variant>
      <vt:variant>
        <vt:i4>1048637</vt:i4>
      </vt:variant>
      <vt:variant>
        <vt:i4>6546</vt:i4>
      </vt:variant>
      <vt:variant>
        <vt:i4>0</vt:i4>
      </vt:variant>
      <vt:variant>
        <vt:i4>5</vt:i4>
      </vt:variant>
      <vt:variant>
        <vt:lpwstr/>
      </vt:variant>
      <vt:variant>
        <vt:lpwstr>_TBD</vt:lpwstr>
      </vt:variant>
      <vt:variant>
        <vt:i4>1048637</vt:i4>
      </vt:variant>
      <vt:variant>
        <vt:i4>6543</vt:i4>
      </vt:variant>
      <vt:variant>
        <vt:i4>0</vt:i4>
      </vt:variant>
      <vt:variant>
        <vt:i4>5</vt:i4>
      </vt:variant>
      <vt:variant>
        <vt:lpwstr/>
      </vt:variant>
      <vt:variant>
        <vt:lpwstr>_TBD</vt:lpwstr>
      </vt:variant>
      <vt:variant>
        <vt:i4>1048637</vt:i4>
      </vt:variant>
      <vt:variant>
        <vt:i4>6540</vt:i4>
      </vt:variant>
      <vt:variant>
        <vt:i4>0</vt:i4>
      </vt:variant>
      <vt:variant>
        <vt:i4>5</vt:i4>
      </vt:variant>
      <vt:variant>
        <vt:lpwstr/>
      </vt:variant>
      <vt:variant>
        <vt:lpwstr>_TBD</vt:lpwstr>
      </vt:variant>
      <vt:variant>
        <vt:i4>1048637</vt:i4>
      </vt:variant>
      <vt:variant>
        <vt:i4>6537</vt:i4>
      </vt:variant>
      <vt:variant>
        <vt:i4>0</vt:i4>
      </vt:variant>
      <vt:variant>
        <vt:i4>5</vt:i4>
      </vt:variant>
      <vt:variant>
        <vt:lpwstr/>
      </vt:variant>
      <vt:variant>
        <vt:lpwstr>_TBD</vt:lpwstr>
      </vt:variant>
      <vt:variant>
        <vt:i4>1048637</vt:i4>
      </vt:variant>
      <vt:variant>
        <vt:i4>6534</vt:i4>
      </vt:variant>
      <vt:variant>
        <vt:i4>0</vt:i4>
      </vt:variant>
      <vt:variant>
        <vt:i4>5</vt:i4>
      </vt:variant>
      <vt:variant>
        <vt:lpwstr/>
      </vt:variant>
      <vt:variant>
        <vt:lpwstr>_TBD</vt:lpwstr>
      </vt:variant>
      <vt:variant>
        <vt:i4>1048637</vt:i4>
      </vt:variant>
      <vt:variant>
        <vt:i4>6531</vt:i4>
      </vt:variant>
      <vt:variant>
        <vt:i4>0</vt:i4>
      </vt:variant>
      <vt:variant>
        <vt:i4>5</vt:i4>
      </vt:variant>
      <vt:variant>
        <vt:lpwstr/>
      </vt:variant>
      <vt:variant>
        <vt:lpwstr>_TBD</vt:lpwstr>
      </vt:variant>
      <vt:variant>
        <vt:i4>1048637</vt:i4>
      </vt:variant>
      <vt:variant>
        <vt:i4>6528</vt:i4>
      </vt:variant>
      <vt:variant>
        <vt:i4>0</vt:i4>
      </vt:variant>
      <vt:variant>
        <vt:i4>5</vt:i4>
      </vt:variant>
      <vt:variant>
        <vt:lpwstr/>
      </vt:variant>
      <vt:variant>
        <vt:lpwstr>_TBD</vt:lpwstr>
      </vt:variant>
      <vt:variant>
        <vt:i4>1048637</vt:i4>
      </vt:variant>
      <vt:variant>
        <vt:i4>6525</vt:i4>
      </vt:variant>
      <vt:variant>
        <vt:i4>0</vt:i4>
      </vt:variant>
      <vt:variant>
        <vt:i4>5</vt:i4>
      </vt:variant>
      <vt:variant>
        <vt:lpwstr/>
      </vt:variant>
      <vt:variant>
        <vt:lpwstr>_TBD</vt:lpwstr>
      </vt:variant>
      <vt:variant>
        <vt:i4>1048637</vt:i4>
      </vt:variant>
      <vt:variant>
        <vt:i4>6522</vt:i4>
      </vt:variant>
      <vt:variant>
        <vt:i4>0</vt:i4>
      </vt:variant>
      <vt:variant>
        <vt:i4>5</vt:i4>
      </vt:variant>
      <vt:variant>
        <vt:lpwstr/>
      </vt:variant>
      <vt:variant>
        <vt:lpwstr>_TBD</vt:lpwstr>
      </vt:variant>
      <vt:variant>
        <vt:i4>1048637</vt:i4>
      </vt:variant>
      <vt:variant>
        <vt:i4>6519</vt:i4>
      </vt:variant>
      <vt:variant>
        <vt:i4>0</vt:i4>
      </vt:variant>
      <vt:variant>
        <vt:i4>5</vt:i4>
      </vt:variant>
      <vt:variant>
        <vt:lpwstr/>
      </vt:variant>
      <vt:variant>
        <vt:lpwstr>_TBD</vt:lpwstr>
      </vt:variant>
      <vt:variant>
        <vt:i4>1048637</vt:i4>
      </vt:variant>
      <vt:variant>
        <vt:i4>6516</vt:i4>
      </vt:variant>
      <vt:variant>
        <vt:i4>0</vt:i4>
      </vt:variant>
      <vt:variant>
        <vt:i4>5</vt:i4>
      </vt:variant>
      <vt:variant>
        <vt:lpwstr/>
      </vt:variant>
      <vt:variant>
        <vt:lpwstr>_TBD</vt:lpwstr>
      </vt:variant>
      <vt:variant>
        <vt:i4>1048637</vt:i4>
      </vt:variant>
      <vt:variant>
        <vt:i4>6513</vt:i4>
      </vt:variant>
      <vt:variant>
        <vt:i4>0</vt:i4>
      </vt:variant>
      <vt:variant>
        <vt:i4>5</vt:i4>
      </vt:variant>
      <vt:variant>
        <vt:lpwstr/>
      </vt:variant>
      <vt:variant>
        <vt:lpwstr>_TBD</vt:lpwstr>
      </vt:variant>
      <vt:variant>
        <vt:i4>1048637</vt:i4>
      </vt:variant>
      <vt:variant>
        <vt:i4>6510</vt:i4>
      </vt:variant>
      <vt:variant>
        <vt:i4>0</vt:i4>
      </vt:variant>
      <vt:variant>
        <vt:i4>5</vt:i4>
      </vt:variant>
      <vt:variant>
        <vt:lpwstr/>
      </vt:variant>
      <vt:variant>
        <vt:lpwstr>_TBD</vt:lpwstr>
      </vt:variant>
      <vt:variant>
        <vt:i4>1048637</vt:i4>
      </vt:variant>
      <vt:variant>
        <vt:i4>6507</vt:i4>
      </vt:variant>
      <vt:variant>
        <vt:i4>0</vt:i4>
      </vt:variant>
      <vt:variant>
        <vt:i4>5</vt:i4>
      </vt:variant>
      <vt:variant>
        <vt:lpwstr/>
      </vt:variant>
      <vt:variant>
        <vt:lpwstr>_TBD</vt:lpwstr>
      </vt:variant>
      <vt:variant>
        <vt:i4>1048637</vt:i4>
      </vt:variant>
      <vt:variant>
        <vt:i4>6504</vt:i4>
      </vt:variant>
      <vt:variant>
        <vt:i4>0</vt:i4>
      </vt:variant>
      <vt:variant>
        <vt:i4>5</vt:i4>
      </vt:variant>
      <vt:variant>
        <vt:lpwstr/>
      </vt:variant>
      <vt:variant>
        <vt:lpwstr>_TBD</vt:lpwstr>
      </vt:variant>
      <vt:variant>
        <vt:i4>1048637</vt:i4>
      </vt:variant>
      <vt:variant>
        <vt:i4>6501</vt:i4>
      </vt:variant>
      <vt:variant>
        <vt:i4>0</vt:i4>
      </vt:variant>
      <vt:variant>
        <vt:i4>5</vt:i4>
      </vt:variant>
      <vt:variant>
        <vt:lpwstr/>
      </vt:variant>
      <vt:variant>
        <vt:lpwstr>_TBD</vt:lpwstr>
      </vt:variant>
      <vt:variant>
        <vt:i4>1048637</vt:i4>
      </vt:variant>
      <vt:variant>
        <vt:i4>6498</vt:i4>
      </vt:variant>
      <vt:variant>
        <vt:i4>0</vt:i4>
      </vt:variant>
      <vt:variant>
        <vt:i4>5</vt:i4>
      </vt:variant>
      <vt:variant>
        <vt:lpwstr/>
      </vt:variant>
      <vt:variant>
        <vt:lpwstr>_TBD</vt:lpwstr>
      </vt:variant>
      <vt:variant>
        <vt:i4>1048637</vt:i4>
      </vt:variant>
      <vt:variant>
        <vt:i4>6495</vt:i4>
      </vt:variant>
      <vt:variant>
        <vt:i4>0</vt:i4>
      </vt:variant>
      <vt:variant>
        <vt:i4>5</vt:i4>
      </vt:variant>
      <vt:variant>
        <vt:lpwstr/>
      </vt:variant>
      <vt:variant>
        <vt:lpwstr>_TBD</vt:lpwstr>
      </vt:variant>
      <vt:variant>
        <vt:i4>1048637</vt:i4>
      </vt:variant>
      <vt:variant>
        <vt:i4>6492</vt:i4>
      </vt:variant>
      <vt:variant>
        <vt:i4>0</vt:i4>
      </vt:variant>
      <vt:variant>
        <vt:i4>5</vt:i4>
      </vt:variant>
      <vt:variant>
        <vt:lpwstr/>
      </vt:variant>
      <vt:variant>
        <vt:lpwstr>_TBD</vt:lpwstr>
      </vt:variant>
      <vt:variant>
        <vt:i4>1048637</vt:i4>
      </vt:variant>
      <vt:variant>
        <vt:i4>6489</vt:i4>
      </vt:variant>
      <vt:variant>
        <vt:i4>0</vt:i4>
      </vt:variant>
      <vt:variant>
        <vt:i4>5</vt:i4>
      </vt:variant>
      <vt:variant>
        <vt:lpwstr/>
      </vt:variant>
      <vt:variant>
        <vt:lpwstr>_TBD</vt:lpwstr>
      </vt:variant>
      <vt:variant>
        <vt:i4>1048637</vt:i4>
      </vt:variant>
      <vt:variant>
        <vt:i4>6486</vt:i4>
      </vt:variant>
      <vt:variant>
        <vt:i4>0</vt:i4>
      </vt:variant>
      <vt:variant>
        <vt:i4>5</vt:i4>
      </vt:variant>
      <vt:variant>
        <vt:lpwstr/>
      </vt:variant>
      <vt:variant>
        <vt:lpwstr>_TBD</vt:lpwstr>
      </vt:variant>
      <vt:variant>
        <vt:i4>1048637</vt:i4>
      </vt:variant>
      <vt:variant>
        <vt:i4>6483</vt:i4>
      </vt:variant>
      <vt:variant>
        <vt:i4>0</vt:i4>
      </vt:variant>
      <vt:variant>
        <vt:i4>5</vt:i4>
      </vt:variant>
      <vt:variant>
        <vt:lpwstr/>
      </vt:variant>
      <vt:variant>
        <vt:lpwstr>_TBD</vt:lpwstr>
      </vt:variant>
      <vt:variant>
        <vt:i4>1048637</vt:i4>
      </vt:variant>
      <vt:variant>
        <vt:i4>6480</vt:i4>
      </vt:variant>
      <vt:variant>
        <vt:i4>0</vt:i4>
      </vt:variant>
      <vt:variant>
        <vt:i4>5</vt:i4>
      </vt:variant>
      <vt:variant>
        <vt:lpwstr/>
      </vt:variant>
      <vt:variant>
        <vt:lpwstr>_TBD</vt:lpwstr>
      </vt:variant>
      <vt:variant>
        <vt:i4>1048637</vt:i4>
      </vt:variant>
      <vt:variant>
        <vt:i4>6477</vt:i4>
      </vt:variant>
      <vt:variant>
        <vt:i4>0</vt:i4>
      </vt:variant>
      <vt:variant>
        <vt:i4>5</vt:i4>
      </vt:variant>
      <vt:variant>
        <vt:lpwstr/>
      </vt:variant>
      <vt:variant>
        <vt:lpwstr>_TBD</vt:lpwstr>
      </vt:variant>
      <vt:variant>
        <vt:i4>1048637</vt:i4>
      </vt:variant>
      <vt:variant>
        <vt:i4>6474</vt:i4>
      </vt:variant>
      <vt:variant>
        <vt:i4>0</vt:i4>
      </vt:variant>
      <vt:variant>
        <vt:i4>5</vt:i4>
      </vt:variant>
      <vt:variant>
        <vt:lpwstr/>
      </vt:variant>
      <vt:variant>
        <vt:lpwstr>_TBD</vt:lpwstr>
      </vt:variant>
      <vt:variant>
        <vt:i4>1048637</vt:i4>
      </vt:variant>
      <vt:variant>
        <vt:i4>6471</vt:i4>
      </vt:variant>
      <vt:variant>
        <vt:i4>0</vt:i4>
      </vt:variant>
      <vt:variant>
        <vt:i4>5</vt:i4>
      </vt:variant>
      <vt:variant>
        <vt:lpwstr/>
      </vt:variant>
      <vt:variant>
        <vt:lpwstr>_TBD</vt:lpwstr>
      </vt:variant>
      <vt:variant>
        <vt:i4>1048637</vt:i4>
      </vt:variant>
      <vt:variant>
        <vt:i4>6468</vt:i4>
      </vt:variant>
      <vt:variant>
        <vt:i4>0</vt:i4>
      </vt:variant>
      <vt:variant>
        <vt:i4>5</vt:i4>
      </vt:variant>
      <vt:variant>
        <vt:lpwstr/>
      </vt:variant>
      <vt:variant>
        <vt:lpwstr>_TBD</vt:lpwstr>
      </vt:variant>
      <vt:variant>
        <vt:i4>1048637</vt:i4>
      </vt:variant>
      <vt:variant>
        <vt:i4>6465</vt:i4>
      </vt:variant>
      <vt:variant>
        <vt:i4>0</vt:i4>
      </vt:variant>
      <vt:variant>
        <vt:i4>5</vt:i4>
      </vt:variant>
      <vt:variant>
        <vt:lpwstr/>
      </vt:variant>
      <vt:variant>
        <vt:lpwstr>_TBD</vt:lpwstr>
      </vt:variant>
      <vt:variant>
        <vt:i4>1048637</vt:i4>
      </vt:variant>
      <vt:variant>
        <vt:i4>6462</vt:i4>
      </vt:variant>
      <vt:variant>
        <vt:i4>0</vt:i4>
      </vt:variant>
      <vt:variant>
        <vt:i4>5</vt:i4>
      </vt:variant>
      <vt:variant>
        <vt:lpwstr/>
      </vt:variant>
      <vt:variant>
        <vt:lpwstr>_TBD</vt:lpwstr>
      </vt:variant>
      <vt:variant>
        <vt:i4>1048637</vt:i4>
      </vt:variant>
      <vt:variant>
        <vt:i4>6459</vt:i4>
      </vt:variant>
      <vt:variant>
        <vt:i4>0</vt:i4>
      </vt:variant>
      <vt:variant>
        <vt:i4>5</vt:i4>
      </vt:variant>
      <vt:variant>
        <vt:lpwstr/>
      </vt:variant>
      <vt:variant>
        <vt:lpwstr>_TBD</vt:lpwstr>
      </vt:variant>
      <vt:variant>
        <vt:i4>1048637</vt:i4>
      </vt:variant>
      <vt:variant>
        <vt:i4>6456</vt:i4>
      </vt:variant>
      <vt:variant>
        <vt:i4>0</vt:i4>
      </vt:variant>
      <vt:variant>
        <vt:i4>5</vt:i4>
      </vt:variant>
      <vt:variant>
        <vt:lpwstr/>
      </vt:variant>
      <vt:variant>
        <vt:lpwstr>_TBD</vt:lpwstr>
      </vt:variant>
      <vt:variant>
        <vt:i4>1048637</vt:i4>
      </vt:variant>
      <vt:variant>
        <vt:i4>6453</vt:i4>
      </vt:variant>
      <vt:variant>
        <vt:i4>0</vt:i4>
      </vt:variant>
      <vt:variant>
        <vt:i4>5</vt:i4>
      </vt:variant>
      <vt:variant>
        <vt:lpwstr/>
      </vt:variant>
      <vt:variant>
        <vt:lpwstr>_TBD</vt:lpwstr>
      </vt:variant>
      <vt:variant>
        <vt:i4>1048637</vt:i4>
      </vt:variant>
      <vt:variant>
        <vt:i4>6450</vt:i4>
      </vt:variant>
      <vt:variant>
        <vt:i4>0</vt:i4>
      </vt:variant>
      <vt:variant>
        <vt:i4>5</vt:i4>
      </vt:variant>
      <vt:variant>
        <vt:lpwstr/>
      </vt:variant>
      <vt:variant>
        <vt:lpwstr>_TBD</vt:lpwstr>
      </vt:variant>
      <vt:variant>
        <vt:i4>1048637</vt:i4>
      </vt:variant>
      <vt:variant>
        <vt:i4>6447</vt:i4>
      </vt:variant>
      <vt:variant>
        <vt:i4>0</vt:i4>
      </vt:variant>
      <vt:variant>
        <vt:i4>5</vt:i4>
      </vt:variant>
      <vt:variant>
        <vt:lpwstr/>
      </vt:variant>
      <vt:variant>
        <vt:lpwstr>_TBD</vt:lpwstr>
      </vt:variant>
      <vt:variant>
        <vt:i4>1048637</vt:i4>
      </vt:variant>
      <vt:variant>
        <vt:i4>6444</vt:i4>
      </vt:variant>
      <vt:variant>
        <vt:i4>0</vt:i4>
      </vt:variant>
      <vt:variant>
        <vt:i4>5</vt:i4>
      </vt:variant>
      <vt:variant>
        <vt:lpwstr/>
      </vt:variant>
      <vt:variant>
        <vt:lpwstr>_TBD</vt:lpwstr>
      </vt:variant>
      <vt:variant>
        <vt:i4>1048637</vt:i4>
      </vt:variant>
      <vt:variant>
        <vt:i4>6441</vt:i4>
      </vt:variant>
      <vt:variant>
        <vt:i4>0</vt:i4>
      </vt:variant>
      <vt:variant>
        <vt:i4>5</vt:i4>
      </vt:variant>
      <vt:variant>
        <vt:lpwstr/>
      </vt:variant>
      <vt:variant>
        <vt:lpwstr>_TBD</vt:lpwstr>
      </vt:variant>
      <vt:variant>
        <vt:i4>1048637</vt:i4>
      </vt:variant>
      <vt:variant>
        <vt:i4>6438</vt:i4>
      </vt:variant>
      <vt:variant>
        <vt:i4>0</vt:i4>
      </vt:variant>
      <vt:variant>
        <vt:i4>5</vt:i4>
      </vt:variant>
      <vt:variant>
        <vt:lpwstr/>
      </vt:variant>
      <vt:variant>
        <vt:lpwstr>_TBD</vt:lpwstr>
      </vt:variant>
      <vt:variant>
        <vt:i4>1048637</vt:i4>
      </vt:variant>
      <vt:variant>
        <vt:i4>6435</vt:i4>
      </vt:variant>
      <vt:variant>
        <vt:i4>0</vt:i4>
      </vt:variant>
      <vt:variant>
        <vt:i4>5</vt:i4>
      </vt:variant>
      <vt:variant>
        <vt:lpwstr/>
      </vt:variant>
      <vt:variant>
        <vt:lpwstr>_TBD</vt:lpwstr>
      </vt:variant>
      <vt:variant>
        <vt:i4>1048637</vt:i4>
      </vt:variant>
      <vt:variant>
        <vt:i4>6432</vt:i4>
      </vt:variant>
      <vt:variant>
        <vt:i4>0</vt:i4>
      </vt:variant>
      <vt:variant>
        <vt:i4>5</vt:i4>
      </vt:variant>
      <vt:variant>
        <vt:lpwstr/>
      </vt:variant>
      <vt:variant>
        <vt:lpwstr>_TBD</vt:lpwstr>
      </vt:variant>
      <vt:variant>
        <vt:i4>1048637</vt:i4>
      </vt:variant>
      <vt:variant>
        <vt:i4>6429</vt:i4>
      </vt:variant>
      <vt:variant>
        <vt:i4>0</vt:i4>
      </vt:variant>
      <vt:variant>
        <vt:i4>5</vt:i4>
      </vt:variant>
      <vt:variant>
        <vt:lpwstr/>
      </vt:variant>
      <vt:variant>
        <vt:lpwstr>_TBD</vt:lpwstr>
      </vt:variant>
      <vt:variant>
        <vt:i4>1048637</vt:i4>
      </vt:variant>
      <vt:variant>
        <vt:i4>6426</vt:i4>
      </vt:variant>
      <vt:variant>
        <vt:i4>0</vt:i4>
      </vt:variant>
      <vt:variant>
        <vt:i4>5</vt:i4>
      </vt:variant>
      <vt:variant>
        <vt:lpwstr/>
      </vt:variant>
      <vt:variant>
        <vt:lpwstr>_TBD</vt:lpwstr>
      </vt:variant>
      <vt:variant>
        <vt:i4>1048637</vt:i4>
      </vt:variant>
      <vt:variant>
        <vt:i4>6423</vt:i4>
      </vt:variant>
      <vt:variant>
        <vt:i4>0</vt:i4>
      </vt:variant>
      <vt:variant>
        <vt:i4>5</vt:i4>
      </vt:variant>
      <vt:variant>
        <vt:lpwstr/>
      </vt:variant>
      <vt:variant>
        <vt:lpwstr>_TBD</vt:lpwstr>
      </vt:variant>
      <vt:variant>
        <vt:i4>1048637</vt:i4>
      </vt:variant>
      <vt:variant>
        <vt:i4>6420</vt:i4>
      </vt:variant>
      <vt:variant>
        <vt:i4>0</vt:i4>
      </vt:variant>
      <vt:variant>
        <vt:i4>5</vt:i4>
      </vt:variant>
      <vt:variant>
        <vt:lpwstr/>
      </vt:variant>
      <vt:variant>
        <vt:lpwstr>_TBD</vt:lpwstr>
      </vt:variant>
      <vt:variant>
        <vt:i4>1048637</vt:i4>
      </vt:variant>
      <vt:variant>
        <vt:i4>6417</vt:i4>
      </vt:variant>
      <vt:variant>
        <vt:i4>0</vt:i4>
      </vt:variant>
      <vt:variant>
        <vt:i4>5</vt:i4>
      </vt:variant>
      <vt:variant>
        <vt:lpwstr/>
      </vt:variant>
      <vt:variant>
        <vt:lpwstr>_TBD</vt:lpwstr>
      </vt:variant>
      <vt:variant>
        <vt:i4>1048637</vt:i4>
      </vt:variant>
      <vt:variant>
        <vt:i4>6414</vt:i4>
      </vt:variant>
      <vt:variant>
        <vt:i4>0</vt:i4>
      </vt:variant>
      <vt:variant>
        <vt:i4>5</vt:i4>
      </vt:variant>
      <vt:variant>
        <vt:lpwstr/>
      </vt:variant>
      <vt:variant>
        <vt:lpwstr>_TBD</vt:lpwstr>
      </vt:variant>
      <vt:variant>
        <vt:i4>1048637</vt:i4>
      </vt:variant>
      <vt:variant>
        <vt:i4>6411</vt:i4>
      </vt:variant>
      <vt:variant>
        <vt:i4>0</vt:i4>
      </vt:variant>
      <vt:variant>
        <vt:i4>5</vt:i4>
      </vt:variant>
      <vt:variant>
        <vt:lpwstr/>
      </vt:variant>
      <vt:variant>
        <vt:lpwstr>_TBD</vt:lpwstr>
      </vt:variant>
      <vt:variant>
        <vt:i4>1048637</vt:i4>
      </vt:variant>
      <vt:variant>
        <vt:i4>6408</vt:i4>
      </vt:variant>
      <vt:variant>
        <vt:i4>0</vt:i4>
      </vt:variant>
      <vt:variant>
        <vt:i4>5</vt:i4>
      </vt:variant>
      <vt:variant>
        <vt:lpwstr/>
      </vt:variant>
      <vt:variant>
        <vt:lpwstr>_TBD</vt:lpwstr>
      </vt:variant>
      <vt:variant>
        <vt:i4>1048637</vt:i4>
      </vt:variant>
      <vt:variant>
        <vt:i4>6405</vt:i4>
      </vt:variant>
      <vt:variant>
        <vt:i4>0</vt:i4>
      </vt:variant>
      <vt:variant>
        <vt:i4>5</vt:i4>
      </vt:variant>
      <vt:variant>
        <vt:lpwstr/>
      </vt:variant>
      <vt:variant>
        <vt:lpwstr>_TBD</vt:lpwstr>
      </vt:variant>
      <vt:variant>
        <vt:i4>1048637</vt:i4>
      </vt:variant>
      <vt:variant>
        <vt:i4>6402</vt:i4>
      </vt:variant>
      <vt:variant>
        <vt:i4>0</vt:i4>
      </vt:variant>
      <vt:variant>
        <vt:i4>5</vt:i4>
      </vt:variant>
      <vt:variant>
        <vt:lpwstr/>
      </vt:variant>
      <vt:variant>
        <vt:lpwstr>_TBD</vt:lpwstr>
      </vt:variant>
      <vt:variant>
        <vt:i4>1048637</vt:i4>
      </vt:variant>
      <vt:variant>
        <vt:i4>6399</vt:i4>
      </vt:variant>
      <vt:variant>
        <vt:i4>0</vt:i4>
      </vt:variant>
      <vt:variant>
        <vt:i4>5</vt:i4>
      </vt:variant>
      <vt:variant>
        <vt:lpwstr/>
      </vt:variant>
      <vt:variant>
        <vt:lpwstr>_TBD</vt:lpwstr>
      </vt:variant>
      <vt:variant>
        <vt:i4>1048637</vt:i4>
      </vt:variant>
      <vt:variant>
        <vt:i4>6396</vt:i4>
      </vt:variant>
      <vt:variant>
        <vt:i4>0</vt:i4>
      </vt:variant>
      <vt:variant>
        <vt:i4>5</vt:i4>
      </vt:variant>
      <vt:variant>
        <vt:lpwstr/>
      </vt:variant>
      <vt:variant>
        <vt:lpwstr>_TBD</vt:lpwstr>
      </vt:variant>
      <vt:variant>
        <vt:i4>1048637</vt:i4>
      </vt:variant>
      <vt:variant>
        <vt:i4>6393</vt:i4>
      </vt:variant>
      <vt:variant>
        <vt:i4>0</vt:i4>
      </vt:variant>
      <vt:variant>
        <vt:i4>5</vt:i4>
      </vt:variant>
      <vt:variant>
        <vt:lpwstr/>
      </vt:variant>
      <vt:variant>
        <vt:lpwstr>_TBD</vt:lpwstr>
      </vt:variant>
      <vt:variant>
        <vt:i4>1048637</vt:i4>
      </vt:variant>
      <vt:variant>
        <vt:i4>6390</vt:i4>
      </vt:variant>
      <vt:variant>
        <vt:i4>0</vt:i4>
      </vt:variant>
      <vt:variant>
        <vt:i4>5</vt:i4>
      </vt:variant>
      <vt:variant>
        <vt:lpwstr/>
      </vt:variant>
      <vt:variant>
        <vt:lpwstr>_TBD</vt:lpwstr>
      </vt:variant>
      <vt:variant>
        <vt:i4>1048637</vt:i4>
      </vt:variant>
      <vt:variant>
        <vt:i4>6387</vt:i4>
      </vt:variant>
      <vt:variant>
        <vt:i4>0</vt:i4>
      </vt:variant>
      <vt:variant>
        <vt:i4>5</vt:i4>
      </vt:variant>
      <vt:variant>
        <vt:lpwstr/>
      </vt:variant>
      <vt:variant>
        <vt:lpwstr>_TBD</vt:lpwstr>
      </vt:variant>
      <vt:variant>
        <vt:i4>1048637</vt:i4>
      </vt:variant>
      <vt:variant>
        <vt:i4>6384</vt:i4>
      </vt:variant>
      <vt:variant>
        <vt:i4>0</vt:i4>
      </vt:variant>
      <vt:variant>
        <vt:i4>5</vt:i4>
      </vt:variant>
      <vt:variant>
        <vt:lpwstr/>
      </vt:variant>
      <vt:variant>
        <vt:lpwstr>_TBD</vt:lpwstr>
      </vt:variant>
      <vt:variant>
        <vt:i4>1048637</vt:i4>
      </vt:variant>
      <vt:variant>
        <vt:i4>6381</vt:i4>
      </vt:variant>
      <vt:variant>
        <vt:i4>0</vt:i4>
      </vt:variant>
      <vt:variant>
        <vt:i4>5</vt:i4>
      </vt:variant>
      <vt:variant>
        <vt:lpwstr/>
      </vt:variant>
      <vt:variant>
        <vt:lpwstr>_TBD</vt:lpwstr>
      </vt:variant>
      <vt:variant>
        <vt:i4>1048637</vt:i4>
      </vt:variant>
      <vt:variant>
        <vt:i4>6378</vt:i4>
      </vt:variant>
      <vt:variant>
        <vt:i4>0</vt:i4>
      </vt:variant>
      <vt:variant>
        <vt:i4>5</vt:i4>
      </vt:variant>
      <vt:variant>
        <vt:lpwstr/>
      </vt:variant>
      <vt:variant>
        <vt:lpwstr>_TBD</vt:lpwstr>
      </vt:variant>
      <vt:variant>
        <vt:i4>1048637</vt:i4>
      </vt:variant>
      <vt:variant>
        <vt:i4>6375</vt:i4>
      </vt:variant>
      <vt:variant>
        <vt:i4>0</vt:i4>
      </vt:variant>
      <vt:variant>
        <vt:i4>5</vt:i4>
      </vt:variant>
      <vt:variant>
        <vt:lpwstr/>
      </vt:variant>
      <vt:variant>
        <vt:lpwstr>_TBD</vt:lpwstr>
      </vt:variant>
      <vt:variant>
        <vt:i4>1048637</vt:i4>
      </vt:variant>
      <vt:variant>
        <vt:i4>6372</vt:i4>
      </vt:variant>
      <vt:variant>
        <vt:i4>0</vt:i4>
      </vt:variant>
      <vt:variant>
        <vt:i4>5</vt:i4>
      </vt:variant>
      <vt:variant>
        <vt:lpwstr/>
      </vt:variant>
      <vt:variant>
        <vt:lpwstr>_TBD</vt:lpwstr>
      </vt:variant>
      <vt:variant>
        <vt:i4>1048637</vt:i4>
      </vt:variant>
      <vt:variant>
        <vt:i4>6369</vt:i4>
      </vt:variant>
      <vt:variant>
        <vt:i4>0</vt:i4>
      </vt:variant>
      <vt:variant>
        <vt:i4>5</vt:i4>
      </vt:variant>
      <vt:variant>
        <vt:lpwstr/>
      </vt:variant>
      <vt:variant>
        <vt:lpwstr>_TBD</vt:lpwstr>
      </vt:variant>
      <vt:variant>
        <vt:i4>1048637</vt:i4>
      </vt:variant>
      <vt:variant>
        <vt:i4>6366</vt:i4>
      </vt:variant>
      <vt:variant>
        <vt:i4>0</vt:i4>
      </vt:variant>
      <vt:variant>
        <vt:i4>5</vt:i4>
      </vt:variant>
      <vt:variant>
        <vt:lpwstr/>
      </vt:variant>
      <vt:variant>
        <vt:lpwstr>_TBD</vt:lpwstr>
      </vt:variant>
      <vt:variant>
        <vt:i4>1048637</vt:i4>
      </vt:variant>
      <vt:variant>
        <vt:i4>6363</vt:i4>
      </vt:variant>
      <vt:variant>
        <vt:i4>0</vt:i4>
      </vt:variant>
      <vt:variant>
        <vt:i4>5</vt:i4>
      </vt:variant>
      <vt:variant>
        <vt:lpwstr/>
      </vt:variant>
      <vt:variant>
        <vt:lpwstr>_TBD</vt:lpwstr>
      </vt:variant>
      <vt:variant>
        <vt:i4>1048637</vt:i4>
      </vt:variant>
      <vt:variant>
        <vt:i4>6360</vt:i4>
      </vt:variant>
      <vt:variant>
        <vt:i4>0</vt:i4>
      </vt:variant>
      <vt:variant>
        <vt:i4>5</vt:i4>
      </vt:variant>
      <vt:variant>
        <vt:lpwstr/>
      </vt:variant>
      <vt:variant>
        <vt:lpwstr>_TBD</vt:lpwstr>
      </vt:variant>
      <vt:variant>
        <vt:i4>1048637</vt:i4>
      </vt:variant>
      <vt:variant>
        <vt:i4>6357</vt:i4>
      </vt:variant>
      <vt:variant>
        <vt:i4>0</vt:i4>
      </vt:variant>
      <vt:variant>
        <vt:i4>5</vt:i4>
      </vt:variant>
      <vt:variant>
        <vt:lpwstr/>
      </vt:variant>
      <vt:variant>
        <vt:lpwstr>_TBD</vt:lpwstr>
      </vt:variant>
      <vt:variant>
        <vt:i4>1048637</vt:i4>
      </vt:variant>
      <vt:variant>
        <vt:i4>6354</vt:i4>
      </vt:variant>
      <vt:variant>
        <vt:i4>0</vt:i4>
      </vt:variant>
      <vt:variant>
        <vt:i4>5</vt:i4>
      </vt:variant>
      <vt:variant>
        <vt:lpwstr/>
      </vt:variant>
      <vt:variant>
        <vt:lpwstr>_TBD</vt:lpwstr>
      </vt:variant>
      <vt:variant>
        <vt:i4>1048637</vt:i4>
      </vt:variant>
      <vt:variant>
        <vt:i4>6351</vt:i4>
      </vt:variant>
      <vt:variant>
        <vt:i4>0</vt:i4>
      </vt:variant>
      <vt:variant>
        <vt:i4>5</vt:i4>
      </vt:variant>
      <vt:variant>
        <vt:lpwstr/>
      </vt:variant>
      <vt:variant>
        <vt:lpwstr>_TBD</vt:lpwstr>
      </vt:variant>
      <vt:variant>
        <vt:i4>1048637</vt:i4>
      </vt:variant>
      <vt:variant>
        <vt:i4>6348</vt:i4>
      </vt:variant>
      <vt:variant>
        <vt:i4>0</vt:i4>
      </vt:variant>
      <vt:variant>
        <vt:i4>5</vt:i4>
      </vt:variant>
      <vt:variant>
        <vt:lpwstr/>
      </vt:variant>
      <vt:variant>
        <vt:lpwstr>_TBD</vt:lpwstr>
      </vt:variant>
      <vt:variant>
        <vt:i4>1048637</vt:i4>
      </vt:variant>
      <vt:variant>
        <vt:i4>6345</vt:i4>
      </vt:variant>
      <vt:variant>
        <vt:i4>0</vt:i4>
      </vt:variant>
      <vt:variant>
        <vt:i4>5</vt:i4>
      </vt:variant>
      <vt:variant>
        <vt:lpwstr/>
      </vt:variant>
      <vt:variant>
        <vt:lpwstr>_TBD</vt:lpwstr>
      </vt:variant>
      <vt:variant>
        <vt:i4>1048637</vt:i4>
      </vt:variant>
      <vt:variant>
        <vt:i4>6342</vt:i4>
      </vt:variant>
      <vt:variant>
        <vt:i4>0</vt:i4>
      </vt:variant>
      <vt:variant>
        <vt:i4>5</vt:i4>
      </vt:variant>
      <vt:variant>
        <vt:lpwstr/>
      </vt:variant>
      <vt:variant>
        <vt:lpwstr>_TBD</vt:lpwstr>
      </vt:variant>
      <vt:variant>
        <vt:i4>1048637</vt:i4>
      </vt:variant>
      <vt:variant>
        <vt:i4>6339</vt:i4>
      </vt:variant>
      <vt:variant>
        <vt:i4>0</vt:i4>
      </vt:variant>
      <vt:variant>
        <vt:i4>5</vt:i4>
      </vt:variant>
      <vt:variant>
        <vt:lpwstr/>
      </vt:variant>
      <vt:variant>
        <vt:lpwstr>_TBD</vt:lpwstr>
      </vt:variant>
      <vt:variant>
        <vt:i4>1048637</vt:i4>
      </vt:variant>
      <vt:variant>
        <vt:i4>6336</vt:i4>
      </vt:variant>
      <vt:variant>
        <vt:i4>0</vt:i4>
      </vt:variant>
      <vt:variant>
        <vt:i4>5</vt:i4>
      </vt:variant>
      <vt:variant>
        <vt:lpwstr/>
      </vt:variant>
      <vt:variant>
        <vt:lpwstr>_TBD</vt:lpwstr>
      </vt:variant>
      <vt:variant>
        <vt:i4>1048637</vt:i4>
      </vt:variant>
      <vt:variant>
        <vt:i4>6333</vt:i4>
      </vt:variant>
      <vt:variant>
        <vt:i4>0</vt:i4>
      </vt:variant>
      <vt:variant>
        <vt:i4>5</vt:i4>
      </vt:variant>
      <vt:variant>
        <vt:lpwstr/>
      </vt:variant>
      <vt:variant>
        <vt:lpwstr>_TBD</vt:lpwstr>
      </vt:variant>
      <vt:variant>
        <vt:i4>1048637</vt:i4>
      </vt:variant>
      <vt:variant>
        <vt:i4>6330</vt:i4>
      </vt:variant>
      <vt:variant>
        <vt:i4>0</vt:i4>
      </vt:variant>
      <vt:variant>
        <vt:i4>5</vt:i4>
      </vt:variant>
      <vt:variant>
        <vt:lpwstr/>
      </vt:variant>
      <vt:variant>
        <vt:lpwstr>_TBD</vt:lpwstr>
      </vt:variant>
      <vt:variant>
        <vt:i4>1048637</vt:i4>
      </vt:variant>
      <vt:variant>
        <vt:i4>6327</vt:i4>
      </vt:variant>
      <vt:variant>
        <vt:i4>0</vt:i4>
      </vt:variant>
      <vt:variant>
        <vt:i4>5</vt:i4>
      </vt:variant>
      <vt:variant>
        <vt:lpwstr/>
      </vt:variant>
      <vt:variant>
        <vt:lpwstr>_TBD</vt:lpwstr>
      </vt:variant>
      <vt:variant>
        <vt:i4>1048637</vt:i4>
      </vt:variant>
      <vt:variant>
        <vt:i4>6324</vt:i4>
      </vt:variant>
      <vt:variant>
        <vt:i4>0</vt:i4>
      </vt:variant>
      <vt:variant>
        <vt:i4>5</vt:i4>
      </vt:variant>
      <vt:variant>
        <vt:lpwstr/>
      </vt:variant>
      <vt:variant>
        <vt:lpwstr>_TBD</vt:lpwstr>
      </vt:variant>
      <vt:variant>
        <vt:i4>1048637</vt:i4>
      </vt:variant>
      <vt:variant>
        <vt:i4>6321</vt:i4>
      </vt:variant>
      <vt:variant>
        <vt:i4>0</vt:i4>
      </vt:variant>
      <vt:variant>
        <vt:i4>5</vt:i4>
      </vt:variant>
      <vt:variant>
        <vt:lpwstr/>
      </vt:variant>
      <vt:variant>
        <vt:lpwstr>_TBD</vt:lpwstr>
      </vt:variant>
      <vt:variant>
        <vt:i4>1048637</vt:i4>
      </vt:variant>
      <vt:variant>
        <vt:i4>6318</vt:i4>
      </vt:variant>
      <vt:variant>
        <vt:i4>0</vt:i4>
      </vt:variant>
      <vt:variant>
        <vt:i4>5</vt:i4>
      </vt:variant>
      <vt:variant>
        <vt:lpwstr/>
      </vt:variant>
      <vt:variant>
        <vt:lpwstr>_TBD</vt:lpwstr>
      </vt:variant>
      <vt:variant>
        <vt:i4>1048637</vt:i4>
      </vt:variant>
      <vt:variant>
        <vt:i4>6315</vt:i4>
      </vt:variant>
      <vt:variant>
        <vt:i4>0</vt:i4>
      </vt:variant>
      <vt:variant>
        <vt:i4>5</vt:i4>
      </vt:variant>
      <vt:variant>
        <vt:lpwstr/>
      </vt:variant>
      <vt:variant>
        <vt:lpwstr>_TBD</vt:lpwstr>
      </vt:variant>
      <vt:variant>
        <vt:i4>1048637</vt:i4>
      </vt:variant>
      <vt:variant>
        <vt:i4>6312</vt:i4>
      </vt:variant>
      <vt:variant>
        <vt:i4>0</vt:i4>
      </vt:variant>
      <vt:variant>
        <vt:i4>5</vt:i4>
      </vt:variant>
      <vt:variant>
        <vt:lpwstr/>
      </vt:variant>
      <vt:variant>
        <vt:lpwstr>_TBD</vt:lpwstr>
      </vt:variant>
      <vt:variant>
        <vt:i4>1048637</vt:i4>
      </vt:variant>
      <vt:variant>
        <vt:i4>6309</vt:i4>
      </vt:variant>
      <vt:variant>
        <vt:i4>0</vt:i4>
      </vt:variant>
      <vt:variant>
        <vt:i4>5</vt:i4>
      </vt:variant>
      <vt:variant>
        <vt:lpwstr/>
      </vt:variant>
      <vt:variant>
        <vt:lpwstr>_TBD</vt:lpwstr>
      </vt:variant>
      <vt:variant>
        <vt:i4>1048637</vt:i4>
      </vt:variant>
      <vt:variant>
        <vt:i4>6306</vt:i4>
      </vt:variant>
      <vt:variant>
        <vt:i4>0</vt:i4>
      </vt:variant>
      <vt:variant>
        <vt:i4>5</vt:i4>
      </vt:variant>
      <vt:variant>
        <vt:lpwstr/>
      </vt:variant>
      <vt:variant>
        <vt:lpwstr>_TBD</vt:lpwstr>
      </vt:variant>
      <vt:variant>
        <vt:i4>1048637</vt:i4>
      </vt:variant>
      <vt:variant>
        <vt:i4>6303</vt:i4>
      </vt:variant>
      <vt:variant>
        <vt:i4>0</vt:i4>
      </vt:variant>
      <vt:variant>
        <vt:i4>5</vt:i4>
      </vt:variant>
      <vt:variant>
        <vt:lpwstr/>
      </vt:variant>
      <vt:variant>
        <vt:lpwstr>_TBD</vt:lpwstr>
      </vt:variant>
      <vt:variant>
        <vt:i4>1048637</vt:i4>
      </vt:variant>
      <vt:variant>
        <vt:i4>6300</vt:i4>
      </vt:variant>
      <vt:variant>
        <vt:i4>0</vt:i4>
      </vt:variant>
      <vt:variant>
        <vt:i4>5</vt:i4>
      </vt:variant>
      <vt:variant>
        <vt:lpwstr/>
      </vt:variant>
      <vt:variant>
        <vt:lpwstr>_TBD</vt:lpwstr>
      </vt:variant>
      <vt:variant>
        <vt:i4>1048637</vt:i4>
      </vt:variant>
      <vt:variant>
        <vt:i4>6297</vt:i4>
      </vt:variant>
      <vt:variant>
        <vt:i4>0</vt:i4>
      </vt:variant>
      <vt:variant>
        <vt:i4>5</vt:i4>
      </vt:variant>
      <vt:variant>
        <vt:lpwstr/>
      </vt:variant>
      <vt:variant>
        <vt:lpwstr>_TBD</vt:lpwstr>
      </vt:variant>
      <vt:variant>
        <vt:i4>1048637</vt:i4>
      </vt:variant>
      <vt:variant>
        <vt:i4>6294</vt:i4>
      </vt:variant>
      <vt:variant>
        <vt:i4>0</vt:i4>
      </vt:variant>
      <vt:variant>
        <vt:i4>5</vt:i4>
      </vt:variant>
      <vt:variant>
        <vt:lpwstr/>
      </vt:variant>
      <vt:variant>
        <vt:lpwstr>_TBD</vt:lpwstr>
      </vt:variant>
      <vt:variant>
        <vt:i4>1048637</vt:i4>
      </vt:variant>
      <vt:variant>
        <vt:i4>6291</vt:i4>
      </vt:variant>
      <vt:variant>
        <vt:i4>0</vt:i4>
      </vt:variant>
      <vt:variant>
        <vt:i4>5</vt:i4>
      </vt:variant>
      <vt:variant>
        <vt:lpwstr/>
      </vt:variant>
      <vt:variant>
        <vt:lpwstr>_TBD</vt:lpwstr>
      </vt:variant>
      <vt:variant>
        <vt:i4>1048637</vt:i4>
      </vt:variant>
      <vt:variant>
        <vt:i4>6288</vt:i4>
      </vt:variant>
      <vt:variant>
        <vt:i4>0</vt:i4>
      </vt:variant>
      <vt:variant>
        <vt:i4>5</vt:i4>
      </vt:variant>
      <vt:variant>
        <vt:lpwstr/>
      </vt:variant>
      <vt:variant>
        <vt:lpwstr>_TBD</vt:lpwstr>
      </vt:variant>
      <vt:variant>
        <vt:i4>1048637</vt:i4>
      </vt:variant>
      <vt:variant>
        <vt:i4>6285</vt:i4>
      </vt:variant>
      <vt:variant>
        <vt:i4>0</vt:i4>
      </vt:variant>
      <vt:variant>
        <vt:i4>5</vt:i4>
      </vt:variant>
      <vt:variant>
        <vt:lpwstr/>
      </vt:variant>
      <vt:variant>
        <vt:lpwstr>_TBD</vt:lpwstr>
      </vt:variant>
      <vt:variant>
        <vt:i4>1048637</vt:i4>
      </vt:variant>
      <vt:variant>
        <vt:i4>6282</vt:i4>
      </vt:variant>
      <vt:variant>
        <vt:i4>0</vt:i4>
      </vt:variant>
      <vt:variant>
        <vt:i4>5</vt:i4>
      </vt:variant>
      <vt:variant>
        <vt:lpwstr/>
      </vt:variant>
      <vt:variant>
        <vt:lpwstr>_TBD</vt:lpwstr>
      </vt:variant>
      <vt:variant>
        <vt:i4>1048637</vt:i4>
      </vt:variant>
      <vt:variant>
        <vt:i4>6279</vt:i4>
      </vt:variant>
      <vt:variant>
        <vt:i4>0</vt:i4>
      </vt:variant>
      <vt:variant>
        <vt:i4>5</vt:i4>
      </vt:variant>
      <vt:variant>
        <vt:lpwstr/>
      </vt:variant>
      <vt:variant>
        <vt:lpwstr>_TBD</vt:lpwstr>
      </vt:variant>
      <vt:variant>
        <vt:i4>1048637</vt:i4>
      </vt:variant>
      <vt:variant>
        <vt:i4>6276</vt:i4>
      </vt:variant>
      <vt:variant>
        <vt:i4>0</vt:i4>
      </vt:variant>
      <vt:variant>
        <vt:i4>5</vt:i4>
      </vt:variant>
      <vt:variant>
        <vt:lpwstr/>
      </vt:variant>
      <vt:variant>
        <vt:lpwstr>_TBD</vt:lpwstr>
      </vt:variant>
      <vt:variant>
        <vt:i4>1048637</vt:i4>
      </vt:variant>
      <vt:variant>
        <vt:i4>6273</vt:i4>
      </vt:variant>
      <vt:variant>
        <vt:i4>0</vt:i4>
      </vt:variant>
      <vt:variant>
        <vt:i4>5</vt:i4>
      </vt:variant>
      <vt:variant>
        <vt:lpwstr/>
      </vt:variant>
      <vt:variant>
        <vt:lpwstr>_TBD</vt:lpwstr>
      </vt:variant>
      <vt:variant>
        <vt:i4>1048637</vt:i4>
      </vt:variant>
      <vt:variant>
        <vt:i4>6270</vt:i4>
      </vt:variant>
      <vt:variant>
        <vt:i4>0</vt:i4>
      </vt:variant>
      <vt:variant>
        <vt:i4>5</vt:i4>
      </vt:variant>
      <vt:variant>
        <vt:lpwstr/>
      </vt:variant>
      <vt:variant>
        <vt:lpwstr>_TBD</vt:lpwstr>
      </vt:variant>
      <vt:variant>
        <vt:i4>1048637</vt:i4>
      </vt:variant>
      <vt:variant>
        <vt:i4>6267</vt:i4>
      </vt:variant>
      <vt:variant>
        <vt:i4>0</vt:i4>
      </vt:variant>
      <vt:variant>
        <vt:i4>5</vt:i4>
      </vt:variant>
      <vt:variant>
        <vt:lpwstr/>
      </vt:variant>
      <vt:variant>
        <vt:lpwstr>_TBD</vt:lpwstr>
      </vt:variant>
      <vt:variant>
        <vt:i4>1048637</vt:i4>
      </vt:variant>
      <vt:variant>
        <vt:i4>6264</vt:i4>
      </vt:variant>
      <vt:variant>
        <vt:i4>0</vt:i4>
      </vt:variant>
      <vt:variant>
        <vt:i4>5</vt:i4>
      </vt:variant>
      <vt:variant>
        <vt:lpwstr/>
      </vt:variant>
      <vt:variant>
        <vt:lpwstr>_TBD</vt:lpwstr>
      </vt:variant>
      <vt:variant>
        <vt:i4>1048637</vt:i4>
      </vt:variant>
      <vt:variant>
        <vt:i4>6261</vt:i4>
      </vt:variant>
      <vt:variant>
        <vt:i4>0</vt:i4>
      </vt:variant>
      <vt:variant>
        <vt:i4>5</vt:i4>
      </vt:variant>
      <vt:variant>
        <vt:lpwstr/>
      </vt:variant>
      <vt:variant>
        <vt:lpwstr>_TBD</vt:lpwstr>
      </vt:variant>
      <vt:variant>
        <vt:i4>1048637</vt:i4>
      </vt:variant>
      <vt:variant>
        <vt:i4>6258</vt:i4>
      </vt:variant>
      <vt:variant>
        <vt:i4>0</vt:i4>
      </vt:variant>
      <vt:variant>
        <vt:i4>5</vt:i4>
      </vt:variant>
      <vt:variant>
        <vt:lpwstr/>
      </vt:variant>
      <vt:variant>
        <vt:lpwstr>_TBD</vt:lpwstr>
      </vt:variant>
      <vt:variant>
        <vt:i4>1048637</vt:i4>
      </vt:variant>
      <vt:variant>
        <vt:i4>6255</vt:i4>
      </vt:variant>
      <vt:variant>
        <vt:i4>0</vt:i4>
      </vt:variant>
      <vt:variant>
        <vt:i4>5</vt:i4>
      </vt:variant>
      <vt:variant>
        <vt:lpwstr/>
      </vt:variant>
      <vt:variant>
        <vt:lpwstr>_TBD</vt:lpwstr>
      </vt:variant>
      <vt:variant>
        <vt:i4>1048637</vt:i4>
      </vt:variant>
      <vt:variant>
        <vt:i4>6252</vt:i4>
      </vt:variant>
      <vt:variant>
        <vt:i4>0</vt:i4>
      </vt:variant>
      <vt:variant>
        <vt:i4>5</vt:i4>
      </vt:variant>
      <vt:variant>
        <vt:lpwstr/>
      </vt:variant>
      <vt:variant>
        <vt:lpwstr>_TBD</vt:lpwstr>
      </vt:variant>
      <vt:variant>
        <vt:i4>1048637</vt:i4>
      </vt:variant>
      <vt:variant>
        <vt:i4>6249</vt:i4>
      </vt:variant>
      <vt:variant>
        <vt:i4>0</vt:i4>
      </vt:variant>
      <vt:variant>
        <vt:i4>5</vt:i4>
      </vt:variant>
      <vt:variant>
        <vt:lpwstr/>
      </vt:variant>
      <vt:variant>
        <vt:lpwstr>_TBD</vt:lpwstr>
      </vt:variant>
      <vt:variant>
        <vt:i4>1048637</vt:i4>
      </vt:variant>
      <vt:variant>
        <vt:i4>6246</vt:i4>
      </vt:variant>
      <vt:variant>
        <vt:i4>0</vt:i4>
      </vt:variant>
      <vt:variant>
        <vt:i4>5</vt:i4>
      </vt:variant>
      <vt:variant>
        <vt:lpwstr/>
      </vt:variant>
      <vt:variant>
        <vt:lpwstr>_TBD</vt:lpwstr>
      </vt:variant>
      <vt:variant>
        <vt:i4>1048637</vt:i4>
      </vt:variant>
      <vt:variant>
        <vt:i4>6243</vt:i4>
      </vt:variant>
      <vt:variant>
        <vt:i4>0</vt:i4>
      </vt:variant>
      <vt:variant>
        <vt:i4>5</vt:i4>
      </vt:variant>
      <vt:variant>
        <vt:lpwstr/>
      </vt:variant>
      <vt:variant>
        <vt:lpwstr>_TBD</vt:lpwstr>
      </vt:variant>
      <vt:variant>
        <vt:i4>1048637</vt:i4>
      </vt:variant>
      <vt:variant>
        <vt:i4>6240</vt:i4>
      </vt:variant>
      <vt:variant>
        <vt:i4>0</vt:i4>
      </vt:variant>
      <vt:variant>
        <vt:i4>5</vt:i4>
      </vt:variant>
      <vt:variant>
        <vt:lpwstr/>
      </vt:variant>
      <vt:variant>
        <vt:lpwstr>_TBD</vt:lpwstr>
      </vt:variant>
      <vt:variant>
        <vt:i4>1048637</vt:i4>
      </vt:variant>
      <vt:variant>
        <vt:i4>6237</vt:i4>
      </vt:variant>
      <vt:variant>
        <vt:i4>0</vt:i4>
      </vt:variant>
      <vt:variant>
        <vt:i4>5</vt:i4>
      </vt:variant>
      <vt:variant>
        <vt:lpwstr/>
      </vt:variant>
      <vt:variant>
        <vt:lpwstr>_TBD</vt:lpwstr>
      </vt:variant>
      <vt:variant>
        <vt:i4>1048637</vt:i4>
      </vt:variant>
      <vt:variant>
        <vt:i4>6234</vt:i4>
      </vt:variant>
      <vt:variant>
        <vt:i4>0</vt:i4>
      </vt:variant>
      <vt:variant>
        <vt:i4>5</vt:i4>
      </vt:variant>
      <vt:variant>
        <vt:lpwstr/>
      </vt:variant>
      <vt:variant>
        <vt:lpwstr>_TBD</vt:lpwstr>
      </vt:variant>
      <vt:variant>
        <vt:i4>1048637</vt:i4>
      </vt:variant>
      <vt:variant>
        <vt:i4>6231</vt:i4>
      </vt:variant>
      <vt:variant>
        <vt:i4>0</vt:i4>
      </vt:variant>
      <vt:variant>
        <vt:i4>5</vt:i4>
      </vt:variant>
      <vt:variant>
        <vt:lpwstr/>
      </vt:variant>
      <vt:variant>
        <vt:lpwstr>_TBD</vt:lpwstr>
      </vt:variant>
      <vt:variant>
        <vt:i4>1048637</vt:i4>
      </vt:variant>
      <vt:variant>
        <vt:i4>6228</vt:i4>
      </vt:variant>
      <vt:variant>
        <vt:i4>0</vt:i4>
      </vt:variant>
      <vt:variant>
        <vt:i4>5</vt:i4>
      </vt:variant>
      <vt:variant>
        <vt:lpwstr/>
      </vt:variant>
      <vt:variant>
        <vt:lpwstr>_TBD</vt:lpwstr>
      </vt:variant>
      <vt:variant>
        <vt:i4>1048637</vt:i4>
      </vt:variant>
      <vt:variant>
        <vt:i4>6225</vt:i4>
      </vt:variant>
      <vt:variant>
        <vt:i4>0</vt:i4>
      </vt:variant>
      <vt:variant>
        <vt:i4>5</vt:i4>
      </vt:variant>
      <vt:variant>
        <vt:lpwstr/>
      </vt:variant>
      <vt:variant>
        <vt:lpwstr>_TBD</vt:lpwstr>
      </vt:variant>
      <vt:variant>
        <vt:i4>1048637</vt:i4>
      </vt:variant>
      <vt:variant>
        <vt:i4>6222</vt:i4>
      </vt:variant>
      <vt:variant>
        <vt:i4>0</vt:i4>
      </vt:variant>
      <vt:variant>
        <vt:i4>5</vt:i4>
      </vt:variant>
      <vt:variant>
        <vt:lpwstr/>
      </vt:variant>
      <vt:variant>
        <vt:lpwstr>_TBD</vt:lpwstr>
      </vt:variant>
      <vt:variant>
        <vt:i4>1048637</vt:i4>
      </vt:variant>
      <vt:variant>
        <vt:i4>6219</vt:i4>
      </vt:variant>
      <vt:variant>
        <vt:i4>0</vt:i4>
      </vt:variant>
      <vt:variant>
        <vt:i4>5</vt:i4>
      </vt:variant>
      <vt:variant>
        <vt:lpwstr/>
      </vt:variant>
      <vt:variant>
        <vt:lpwstr>_TBD</vt:lpwstr>
      </vt:variant>
      <vt:variant>
        <vt:i4>1048637</vt:i4>
      </vt:variant>
      <vt:variant>
        <vt:i4>6216</vt:i4>
      </vt:variant>
      <vt:variant>
        <vt:i4>0</vt:i4>
      </vt:variant>
      <vt:variant>
        <vt:i4>5</vt:i4>
      </vt:variant>
      <vt:variant>
        <vt:lpwstr/>
      </vt:variant>
      <vt:variant>
        <vt:lpwstr>_TBD</vt:lpwstr>
      </vt:variant>
      <vt:variant>
        <vt:i4>1048637</vt:i4>
      </vt:variant>
      <vt:variant>
        <vt:i4>6213</vt:i4>
      </vt:variant>
      <vt:variant>
        <vt:i4>0</vt:i4>
      </vt:variant>
      <vt:variant>
        <vt:i4>5</vt:i4>
      </vt:variant>
      <vt:variant>
        <vt:lpwstr/>
      </vt:variant>
      <vt:variant>
        <vt:lpwstr>_TBD</vt:lpwstr>
      </vt:variant>
      <vt:variant>
        <vt:i4>1048637</vt:i4>
      </vt:variant>
      <vt:variant>
        <vt:i4>6210</vt:i4>
      </vt:variant>
      <vt:variant>
        <vt:i4>0</vt:i4>
      </vt:variant>
      <vt:variant>
        <vt:i4>5</vt:i4>
      </vt:variant>
      <vt:variant>
        <vt:lpwstr/>
      </vt:variant>
      <vt:variant>
        <vt:lpwstr>_TBD</vt:lpwstr>
      </vt:variant>
      <vt:variant>
        <vt:i4>1048637</vt:i4>
      </vt:variant>
      <vt:variant>
        <vt:i4>6207</vt:i4>
      </vt:variant>
      <vt:variant>
        <vt:i4>0</vt:i4>
      </vt:variant>
      <vt:variant>
        <vt:i4>5</vt:i4>
      </vt:variant>
      <vt:variant>
        <vt:lpwstr/>
      </vt:variant>
      <vt:variant>
        <vt:lpwstr>_TBD</vt:lpwstr>
      </vt:variant>
      <vt:variant>
        <vt:i4>1048637</vt:i4>
      </vt:variant>
      <vt:variant>
        <vt:i4>6204</vt:i4>
      </vt:variant>
      <vt:variant>
        <vt:i4>0</vt:i4>
      </vt:variant>
      <vt:variant>
        <vt:i4>5</vt:i4>
      </vt:variant>
      <vt:variant>
        <vt:lpwstr/>
      </vt:variant>
      <vt:variant>
        <vt:lpwstr>_TBD</vt:lpwstr>
      </vt:variant>
      <vt:variant>
        <vt:i4>1048637</vt:i4>
      </vt:variant>
      <vt:variant>
        <vt:i4>6201</vt:i4>
      </vt:variant>
      <vt:variant>
        <vt:i4>0</vt:i4>
      </vt:variant>
      <vt:variant>
        <vt:i4>5</vt:i4>
      </vt:variant>
      <vt:variant>
        <vt:lpwstr/>
      </vt:variant>
      <vt:variant>
        <vt:lpwstr>_TBD</vt:lpwstr>
      </vt:variant>
      <vt:variant>
        <vt:i4>1048637</vt:i4>
      </vt:variant>
      <vt:variant>
        <vt:i4>6198</vt:i4>
      </vt:variant>
      <vt:variant>
        <vt:i4>0</vt:i4>
      </vt:variant>
      <vt:variant>
        <vt:i4>5</vt:i4>
      </vt:variant>
      <vt:variant>
        <vt:lpwstr/>
      </vt:variant>
      <vt:variant>
        <vt:lpwstr>_TBD</vt:lpwstr>
      </vt:variant>
      <vt:variant>
        <vt:i4>1048637</vt:i4>
      </vt:variant>
      <vt:variant>
        <vt:i4>6195</vt:i4>
      </vt:variant>
      <vt:variant>
        <vt:i4>0</vt:i4>
      </vt:variant>
      <vt:variant>
        <vt:i4>5</vt:i4>
      </vt:variant>
      <vt:variant>
        <vt:lpwstr/>
      </vt:variant>
      <vt:variant>
        <vt:lpwstr>_TBD</vt:lpwstr>
      </vt:variant>
      <vt:variant>
        <vt:i4>1048637</vt:i4>
      </vt:variant>
      <vt:variant>
        <vt:i4>6192</vt:i4>
      </vt:variant>
      <vt:variant>
        <vt:i4>0</vt:i4>
      </vt:variant>
      <vt:variant>
        <vt:i4>5</vt:i4>
      </vt:variant>
      <vt:variant>
        <vt:lpwstr/>
      </vt:variant>
      <vt:variant>
        <vt:lpwstr>_TBD</vt:lpwstr>
      </vt:variant>
      <vt:variant>
        <vt:i4>1048637</vt:i4>
      </vt:variant>
      <vt:variant>
        <vt:i4>6189</vt:i4>
      </vt:variant>
      <vt:variant>
        <vt:i4>0</vt:i4>
      </vt:variant>
      <vt:variant>
        <vt:i4>5</vt:i4>
      </vt:variant>
      <vt:variant>
        <vt:lpwstr/>
      </vt:variant>
      <vt:variant>
        <vt:lpwstr>_TBD</vt:lpwstr>
      </vt:variant>
      <vt:variant>
        <vt:i4>1048637</vt:i4>
      </vt:variant>
      <vt:variant>
        <vt:i4>6186</vt:i4>
      </vt:variant>
      <vt:variant>
        <vt:i4>0</vt:i4>
      </vt:variant>
      <vt:variant>
        <vt:i4>5</vt:i4>
      </vt:variant>
      <vt:variant>
        <vt:lpwstr/>
      </vt:variant>
      <vt:variant>
        <vt:lpwstr>_TBD</vt:lpwstr>
      </vt:variant>
      <vt:variant>
        <vt:i4>1048637</vt:i4>
      </vt:variant>
      <vt:variant>
        <vt:i4>6183</vt:i4>
      </vt:variant>
      <vt:variant>
        <vt:i4>0</vt:i4>
      </vt:variant>
      <vt:variant>
        <vt:i4>5</vt:i4>
      </vt:variant>
      <vt:variant>
        <vt:lpwstr/>
      </vt:variant>
      <vt:variant>
        <vt:lpwstr>_TBD</vt:lpwstr>
      </vt:variant>
      <vt:variant>
        <vt:i4>1048637</vt:i4>
      </vt:variant>
      <vt:variant>
        <vt:i4>6180</vt:i4>
      </vt:variant>
      <vt:variant>
        <vt:i4>0</vt:i4>
      </vt:variant>
      <vt:variant>
        <vt:i4>5</vt:i4>
      </vt:variant>
      <vt:variant>
        <vt:lpwstr/>
      </vt:variant>
      <vt:variant>
        <vt:lpwstr>_TBD</vt:lpwstr>
      </vt:variant>
      <vt:variant>
        <vt:i4>1048637</vt:i4>
      </vt:variant>
      <vt:variant>
        <vt:i4>6177</vt:i4>
      </vt:variant>
      <vt:variant>
        <vt:i4>0</vt:i4>
      </vt:variant>
      <vt:variant>
        <vt:i4>5</vt:i4>
      </vt:variant>
      <vt:variant>
        <vt:lpwstr/>
      </vt:variant>
      <vt:variant>
        <vt:lpwstr>_TBD</vt:lpwstr>
      </vt:variant>
      <vt:variant>
        <vt:i4>1048637</vt:i4>
      </vt:variant>
      <vt:variant>
        <vt:i4>6174</vt:i4>
      </vt:variant>
      <vt:variant>
        <vt:i4>0</vt:i4>
      </vt:variant>
      <vt:variant>
        <vt:i4>5</vt:i4>
      </vt:variant>
      <vt:variant>
        <vt:lpwstr/>
      </vt:variant>
      <vt:variant>
        <vt:lpwstr>_TBD</vt:lpwstr>
      </vt:variant>
      <vt:variant>
        <vt:i4>1048637</vt:i4>
      </vt:variant>
      <vt:variant>
        <vt:i4>6171</vt:i4>
      </vt:variant>
      <vt:variant>
        <vt:i4>0</vt:i4>
      </vt:variant>
      <vt:variant>
        <vt:i4>5</vt:i4>
      </vt:variant>
      <vt:variant>
        <vt:lpwstr/>
      </vt:variant>
      <vt:variant>
        <vt:lpwstr>_TBD</vt:lpwstr>
      </vt:variant>
      <vt:variant>
        <vt:i4>1048637</vt:i4>
      </vt:variant>
      <vt:variant>
        <vt:i4>6168</vt:i4>
      </vt:variant>
      <vt:variant>
        <vt:i4>0</vt:i4>
      </vt:variant>
      <vt:variant>
        <vt:i4>5</vt:i4>
      </vt:variant>
      <vt:variant>
        <vt:lpwstr/>
      </vt:variant>
      <vt:variant>
        <vt:lpwstr>_TBD</vt:lpwstr>
      </vt:variant>
      <vt:variant>
        <vt:i4>1048637</vt:i4>
      </vt:variant>
      <vt:variant>
        <vt:i4>6165</vt:i4>
      </vt:variant>
      <vt:variant>
        <vt:i4>0</vt:i4>
      </vt:variant>
      <vt:variant>
        <vt:i4>5</vt:i4>
      </vt:variant>
      <vt:variant>
        <vt:lpwstr/>
      </vt:variant>
      <vt:variant>
        <vt:lpwstr>_TBD</vt:lpwstr>
      </vt:variant>
      <vt:variant>
        <vt:i4>1048637</vt:i4>
      </vt:variant>
      <vt:variant>
        <vt:i4>6162</vt:i4>
      </vt:variant>
      <vt:variant>
        <vt:i4>0</vt:i4>
      </vt:variant>
      <vt:variant>
        <vt:i4>5</vt:i4>
      </vt:variant>
      <vt:variant>
        <vt:lpwstr/>
      </vt:variant>
      <vt:variant>
        <vt:lpwstr>_TBD</vt:lpwstr>
      </vt:variant>
      <vt:variant>
        <vt:i4>1048637</vt:i4>
      </vt:variant>
      <vt:variant>
        <vt:i4>6159</vt:i4>
      </vt:variant>
      <vt:variant>
        <vt:i4>0</vt:i4>
      </vt:variant>
      <vt:variant>
        <vt:i4>5</vt:i4>
      </vt:variant>
      <vt:variant>
        <vt:lpwstr/>
      </vt:variant>
      <vt:variant>
        <vt:lpwstr>_TBD</vt:lpwstr>
      </vt:variant>
      <vt:variant>
        <vt:i4>1048637</vt:i4>
      </vt:variant>
      <vt:variant>
        <vt:i4>6156</vt:i4>
      </vt:variant>
      <vt:variant>
        <vt:i4>0</vt:i4>
      </vt:variant>
      <vt:variant>
        <vt:i4>5</vt:i4>
      </vt:variant>
      <vt:variant>
        <vt:lpwstr/>
      </vt:variant>
      <vt:variant>
        <vt:lpwstr>_TBD</vt:lpwstr>
      </vt:variant>
      <vt:variant>
        <vt:i4>1048637</vt:i4>
      </vt:variant>
      <vt:variant>
        <vt:i4>6153</vt:i4>
      </vt:variant>
      <vt:variant>
        <vt:i4>0</vt:i4>
      </vt:variant>
      <vt:variant>
        <vt:i4>5</vt:i4>
      </vt:variant>
      <vt:variant>
        <vt:lpwstr/>
      </vt:variant>
      <vt:variant>
        <vt:lpwstr>_TBD</vt:lpwstr>
      </vt:variant>
      <vt:variant>
        <vt:i4>1048637</vt:i4>
      </vt:variant>
      <vt:variant>
        <vt:i4>6150</vt:i4>
      </vt:variant>
      <vt:variant>
        <vt:i4>0</vt:i4>
      </vt:variant>
      <vt:variant>
        <vt:i4>5</vt:i4>
      </vt:variant>
      <vt:variant>
        <vt:lpwstr/>
      </vt:variant>
      <vt:variant>
        <vt:lpwstr>_TBD</vt:lpwstr>
      </vt:variant>
      <vt:variant>
        <vt:i4>1048637</vt:i4>
      </vt:variant>
      <vt:variant>
        <vt:i4>6147</vt:i4>
      </vt:variant>
      <vt:variant>
        <vt:i4>0</vt:i4>
      </vt:variant>
      <vt:variant>
        <vt:i4>5</vt:i4>
      </vt:variant>
      <vt:variant>
        <vt:lpwstr/>
      </vt:variant>
      <vt:variant>
        <vt:lpwstr>_TBD</vt:lpwstr>
      </vt:variant>
      <vt:variant>
        <vt:i4>1048637</vt:i4>
      </vt:variant>
      <vt:variant>
        <vt:i4>6144</vt:i4>
      </vt:variant>
      <vt:variant>
        <vt:i4>0</vt:i4>
      </vt:variant>
      <vt:variant>
        <vt:i4>5</vt:i4>
      </vt:variant>
      <vt:variant>
        <vt:lpwstr/>
      </vt:variant>
      <vt:variant>
        <vt:lpwstr>_TBD</vt:lpwstr>
      </vt:variant>
      <vt:variant>
        <vt:i4>1048637</vt:i4>
      </vt:variant>
      <vt:variant>
        <vt:i4>6141</vt:i4>
      </vt:variant>
      <vt:variant>
        <vt:i4>0</vt:i4>
      </vt:variant>
      <vt:variant>
        <vt:i4>5</vt:i4>
      </vt:variant>
      <vt:variant>
        <vt:lpwstr/>
      </vt:variant>
      <vt:variant>
        <vt:lpwstr>_TBD</vt:lpwstr>
      </vt:variant>
      <vt:variant>
        <vt:i4>1048637</vt:i4>
      </vt:variant>
      <vt:variant>
        <vt:i4>6138</vt:i4>
      </vt:variant>
      <vt:variant>
        <vt:i4>0</vt:i4>
      </vt:variant>
      <vt:variant>
        <vt:i4>5</vt:i4>
      </vt:variant>
      <vt:variant>
        <vt:lpwstr/>
      </vt:variant>
      <vt:variant>
        <vt:lpwstr>_TBD</vt:lpwstr>
      </vt:variant>
      <vt:variant>
        <vt:i4>1048637</vt:i4>
      </vt:variant>
      <vt:variant>
        <vt:i4>6135</vt:i4>
      </vt:variant>
      <vt:variant>
        <vt:i4>0</vt:i4>
      </vt:variant>
      <vt:variant>
        <vt:i4>5</vt:i4>
      </vt:variant>
      <vt:variant>
        <vt:lpwstr/>
      </vt:variant>
      <vt:variant>
        <vt:lpwstr>_TBD</vt:lpwstr>
      </vt:variant>
      <vt:variant>
        <vt:i4>1048637</vt:i4>
      </vt:variant>
      <vt:variant>
        <vt:i4>6132</vt:i4>
      </vt:variant>
      <vt:variant>
        <vt:i4>0</vt:i4>
      </vt:variant>
      <vt:variant>
        <vt:i4>5</vt:i4>
      </vt:variant>
      <vt:variant>
        <vt:lpwstr/>
      </vt:variant>
      <vt:variant>
        <vt:lpwstr>_TBD</vt:lpwstr>
      </vt:variant>
      <vt:variant>
        <vt:i4>1048637</vt:i4>
      </vt:variant>
      <vt:variant>
        <vt:i4>6129</vt:i4>
      </vt:variant>
      <vt:variant>
        <vt:i4>0</vt:i4>
      </vt:variant>
      <vt:variant>
        <vt:i4>5</vt:i4>
      </vt:variant>
      <vt:variant>
        <vt:lpwstr/>
      </vt:variant>
      <vt:variant>
        <vt:lpwstr>_TBD</vt:lpwstr>
      </vt:variant>
      <vt:variant>
        <vt:i4>1048637</vt:i4>
      </vt:variant>
      <vt:variant>
        <vt:i4>6126</vt:i4>
      </vt:variant>
      <vt:variant>
        <vt:i4>0</vt:i4>
      </vt:variant>
      <vt:variant>
        <vt:i4>5</vt:i4>
      </vt:variant>
      <vt:variant>
        <vt:lpwstr/>
      </vt:variant>
      <vt:variant>
        <vt:lpwstr>_TBD</vt:lpwstr>
      </vt:variant>
      <vt:variant>
        <vt:i4>1048637</vt:i4>
      </vt:variant>
      <vt:variant>
        <vt:i4>6123</vt:i4>
      </vt:variant>
      <vt:variant>
        <vt:i4>0</vt:i4>
      </vt:variant>
      <vt:variant>
        <vt:i4>5</vt:i4>
      </vt:variant>
      <vt:variant>
        <vt:lpwstr/>
      </vt:variant>
      <vt:variant>
        <vt:lpwstr>_TBD</vt:lpwstr>
      </vt:variant>
      <vt:variant>
        <vt:i4>1048637</vt:i4>
      </vt:variant>
      <vt:variant>
        <vt:i4>6120</vt:i4>
      </vt:variant>
      <vt:variant>
        <vt:i4>0</vt:i4>
      </vt:variant>
      <vt:variant>
        <vt:i4>5</vt:i4>
      </vt:variant>
      <vt:variant>
        <vt:lpwstr/>
      </vt:variant>
      <vt:variant>
        <vt:lpwstr>_TBD</vt:lpwstr>
      </vt:variant>
      <vt:variant>
        <vt:i4>1048637</vt:i4>
      </vt:variant>
      <vt:variant>
        <vt:i4>6117</vt:i4>
      </vt:variant>
      <vt:variant>
        <vt:i4>0</vt:i4>
      </vt:variant>
      <vt:variant>
        <vt:i4>5</vt:i4>
      </vt:variant>
      <vt:variant>
        <vt:lpwstr/>
      </vt:variant>
      <vt:variant>
        <vt:lpwstr>_TBD</vt:lpwstr>
      </vt:variant>
      <vt:variant>
        <vt:i4>1048637</vt:i4>
      </vt:variant>
      <vt:variant>
        <vt:i4>6114</vt:i4>
      </vt:variant>
      <vt:variant>
        <vt:i4>0</vt:i4>
      </vt:variant>
      <vt:variant>
        <vt:i4>5</vt:i4>
      </vt:variant>
      <vt:variant>
        <vt:lpwstr/>
      </vt:variant>
      <vt:variant>
        <vt:lpwstr>_TBD</vt:lpwstr>
      </vt:variant>
      <vt:variant>
        <vt:i4>1048637</vt:i4>
      </vt:variant>
      <vt:variant>
        <vt:i4>6111</vt:i4>
      </vt:variant>
      <vt:variant>
        <vt:i4>0</vt:i4>
      </vt:variant>
      <vt:variant>
        <vt:i4>5</vt:i4>
      </vt:variant>
      <vt:variant>
        <vt:lpwstr/>
      </vt:variant>
      <vt:variant>
        <vt:lpwstr>_TBD</vt:lpwstr>
      </vt:variant>
      <vt:variant>
        <vt:i4>1048637</vt:i4>
      </vt:variant>
      <vt:variant>
        <vt:i4>6108</vt:i4>
      </vt:variant>
      <vt:variant>
        <vt:i4>0</vt:i4>
      </vt:variant>
      <vt:variant>
        <vt:i4>5</vt:i4>
      </vt:variant>
      <vt:variant>
        <vt:lpwstr/>
      </vt:variant>
      <vt:variant>
        <vt:lpwstr>_TBD</vt:lpwstr>
      </vt:variant>
      <vt:variant>
        <vt:i4>1048637</vt:i4>
      </vt:variant>
      <vt:variant>
        <vt:i4>6105</vt:i4>
      </vt:variant>
      <vt:variant>
        <vt:i4>0</vt:i4>
      </vt:variant>
      <vt:variant>
        <vt:i4>5</vt:i4>
      </vt:variant>
      <vt:variant>
        <vt:lpwstr/>
      </vt:variant>
      <vt:variant>
        <vt:lpwstr>_TBD</vt:lpwstr>
      </vt:variant>
      <vt:variant>
        <vt:i4>1048637</vt:i4>
      </vt:variant>
      <vt:variant>
        <vt:i4>6102</vt:i4>
      </vt:variant>
      <vt:variant>
        <vt:i4>0</vt:i4>
      </vt:variant>
      <vt:variant>
        <vt:i4>5</vt:i4>
      </vt:variant>
      <vt:variant>
        <vt:lpwstr/>
      </vt:variant>
      <vt:variant>
        <vt:lpwstr>_TBD</vt:lpwstr>
      </vt:variant>
      <vt:variant>
        <vt:i4>1048637</vt:i4>
      </vt:variant>
      <vt:variant>
        <vt:i4>6099</vt:i4>
      </vt:variant>
      <vt:variant>
        <vt:i4>0</vt:i4>
      </vt:variant>
      <vt:variant>
        <vt:i4>5</vt:i4>
      </vt:variant>
      <vt:variant>
        <vt:lpwstr/>
      </vt:variant>
      <vt:variant>
        <vt:lpwstr>_TBD</vt:lpwstr>
      </vt:variant>
      <vt:variant>
        <vt:i4>1048637</vt:i4>
      </vt:variant>
      <vt:variant>
        <vt:i4>6096</vt:i4>
      </vt:variant>
      <vt:variant>
        <vt:i4>0</vt:i4>
      </vt:variant>
      <vt:variant>
        <vt:i4>5</vt:i4>
      </vt:variant>
      <vt:variant>
        <vt:lpwstr/>
      </vt:variant>
      <vt:variant>
        <vt:lpwstr>_TBD</vt:lpwstr>
      </vt:variant>
      <vt:variant>
        <vt:i4>1048637</vt:i4>
      </vt:variant>
      <vt:variant>
        <vt:i4>6093</vt:i4>
      </vt:variant>
      <vt:variant>
        <vt:i4>0</vt:i4>
      </vt:variant>
      <vt:variant>
        <vt:i4>5</vt:i4>
      </vt:variant>
      <vt:variant>
        <vt:lpwstr/>
      </vt:variant>
      <vt:variant>
        <vt:lpwstr>_TBD</vt:lpwstr>
      </vt:variant>
      <vt:variant>
        <vt:i4>1048637</vt:i4>
      </vt:variant>
      <vt:variant>
        <vt:i4>6090</vt:i4>
      </vt:variant>
      <vt:variant>
        <vt:i4>0</vt:i4>
      </vt:variant>
      <vt:variant>
        <vt:i4>5</vt:i4>
      </vt:variant>
      <vt:variant>
        <vt:lpwstr/>
      </vt:variant>
      <vt:variant>
        <vt:lpwstr>_TBD</vt:lpwstr>
      </vt:variant>
      <vt:variant>
        <vt:i4>1048637</vt:i4>
      </vt:variant>
      <vt:variant>
        <vt:i4>6087</vt:i4>
      </vt:variant>
      <vt:variant>
        <vt:i4>0</vt:i4>
      </vt:variant>
      <vt:variant>
        <vt:i4>5</vt:i4>
      </vt:variant>
      <vt:variant>
        <vt:lpwstr/>
      </vt:variant>
      <vt:variant>
        <vt:lpwstr>_TBD</vt:lpwstr>
      </vt:variant>
      <vt:variant>
        <vt:i4>1048637</vt:i4>
      </vt:variant>
      <vt:variant>
        <vt:i4>6084</vt:i4>
      </vt:variant>
      <vt:variant>
        <vt:i4>0</vt:i4>
      </vt:variant>
      <vt:variant>
        <vt:i4>5</vt:i4>
      </vt:variant>
      <vt:variant>
        <vt:lpwstr/>
      </vt:variant>
      <vt:variant>
        <vt:lpwstr>_TBD</vt:lpwstr>
      </vt:variant>
      <vt:variant>
        <vt:i4>1048637</vt:i4>
      </vt:variant>
      <vt:variant>
        <vt:i4>6081</vt:i4>
      </vt:variant>
      <vt:variant>
        <vt:i4>0</vt:i4>
      </vt:variant>
      <vt:variant>
        <vt:i4>5</vt:i4>
      </vt:variant>
      <vt:variant>
        <vt:lpwstr/>
      </vt:variant>
      <vt:variant>
        <vt:lpwstr>_TBD</vt:lpwstr>
      </vt:variant>
      <vt:variant>
        <vt:i4>1048637</vt:i4>
      </vt:variant>
      <vt:variant>
        <vt:i4>6078</vt:i4>
      </vt:variant>
      <vt:variant>
        <vt:i4>0</vt:i4>
      </vt:variant>
      <vt:variant>
        <vt:i4>5</vt:i4>
      </vt:variant>
      <vt:variant>
        <vt:lpwstr/>
      </vt:variant>
      <vt:variant>
        <vt:lpwstr>_TBD</vt:lpwstr>
      </vt:variant>
      <vt:variant>
        <vt:i4>1048637</vt:i4>
      </vt:variant>
      <vt:variant>
        <vt:i4>6075</vt:i4>
      </vt:variant>
      <vt:variant>
        <vt:i4>0</vt:i4>
      </vt:variant>
      <vt:variant>
        <vt:i4>5</vt:i4>
      </vt:variant>
      <vt:variant>
        <vt:lpwstr/>
      </vt:variant>
      <vt:variant>
        <vt:lpwstr>_TBD</vt:lpwstr>
      </vt:variant>
      <vt:variant>
        <vt:i4>1048637</vt:i4>
      </vt:variant>
      <vt:variant>
        <vt:i4>6072</vt:i4>
      </vt:variant>
      <vt:variant>
        <vt:i4>0</vt:i4>
      </vt:variant>
      <vt:variant>
        <vt:i4>5</vt:i4>
      </vt:variant>
      <vt:variant>
        <vt:lpwstr/>
      </vt:variant>
      <vt:variant>
        <vt:lpwstr>_TBD</vt:lpwstr>
      </vt:variant>
      <vt:variant>
        <vt:i4>1048637</vt:i4>
      </vt:variant>
      <vt:variant>
        <vt:i4>6069</vt:i4>
      </vt:variant>
      <vt:variant>
        <vt:i4>0</vt:i4>
      </vt:variant>
      <vt:variant>
        <vt:i4>5</vt:i4>
      </vt:variant>
      <vt:variant>
        <vt:lpwstr/>
      </vt:variant>
      <vt:variant>
        <vt:lpwstr>_TBD</vt:lpwstr>
      </vt:variant>
      <vt:variant>
        <vt:i4>1048637</vt:i4>
      </vt:variant>
      <vt:variant>
        <vt:i4>6066</vt:i4>
      </vt:variant>
      <vt:variant>
        <vt:i4>0</vt:i4>
      </vt:variant>
      <vt:variant>
        <vt:i4>5</vt:i4>
      </vt:variant>
      <vt:variant>
        <vt:lpwstr/>
      </vt:variant>
      <vt:variant>
        <vt:lpwstr>_TBD</vt:lpwstr>
      </vt:variant>
      <vt:variant>
        <vt:i4>1048637</vt:i4>
      </vt:variant>
      <vt:variant>
        <vt:i4>6063</vt:i4>
      </vt:variant>
      <vt:variant>
        <vt:i4>0</vt:i4>
      </vt:variant>
      <vt:variant>
        <vt:i4>5</vt:i4>
      </vt:variant>
      <vt:variant>
        <vt:lpwstr/>
      </vt:variant>
      <vt:variant>
        <vt:lpwstr>_TBD</vt:lpwstr>
      </vt:variant>
      <vt:variant>
        <vt:i4>1048637</vt:i4>
      </vt:variant>
      <vt:variant>
        <vt:i4>6060</vt:i4>
      </vt:variant>
      <vt:variant>
        <vt:i4>0</vt:i4>
      </vt:variant>
      <vt:variant>
        <vt:i4>5</vt:i4>
      </vt:variant>
      <vt:variant>
        <vt:lpwstr/>
      </vt:variant>
      <vt:variant>
        <vt:lpwstr>_TBD</vt:lpwstr>
      </vt:variant>
      <vt:variant>
        <vt:i4>1048637</vt:i4>
      </vt:variant>
      <vt:variant>
        <vt:i4>6057</vt:i4>
      </vt:variant>
      <vt:variant>
        <vt:i4>0</vt:i4>
      </vt:variant>
      <vt:variant>
        <vt:i4>5</vt:i4>
      </vt:variant>
      <vt:variant>
        <vt:lpwstr/>
      </vt:variant>
      <vt:variant>
        <vt:lpwstr>_TBD</vt:lpwstr>
      </vt:variant>
      <vt:variant>
        <vt:i4>1048637</vt:i4>
      </vt:variant>
      <vt:variant>
        <vt:i4>6054</vt:i4>
      </vt:variant>
      <vt:variant>
        <vt:i4>0</vt:i4>
      </vt:variant>
      <vt:variant>
        <vt:i4>5</vt:i4>
      </vt:variant>
      <vt:variant>
        <vt:lpwstr/>
      </vt:variant>
      <vt:variant>
        <vt:lpwstr>_TBD</vt:lpwstr>
      </vt:variant>
      <vt:variant>
        <vt:i4>1048637</vt:i4>
      </vt:variant>
      <vt:variant>
        <vt:i4>6051</vt:i4>
      </vt:variant>
      <vt:variant>
        <vt:i4>0</vt:i4>
      </vt:variant>
      <vt:variant>
        <vt:i4>5</vt:i4>
      </vt:variant>
      <vt:variant>
        <vt:lpwstr/>
      </vt:variant>
      <vt:variant>
        <vt:lpwstr>_TBD</vt:lpwstr>
      </vt:variant>
      <vt:variant>
        <vt:i4>1048637</vt:i4>
      </vt:variant>
      <vt:variant>
        <vt:i4>6048</vt:i4>
      </vt:variant>
      <vt:variant>
        <vt:i4>0</vt:i4>
      </vt:variant>
      <vt:variant>
        <vt:i4>5</vt:i4>
      </vt:variant>
      <vt:variant>
        <vt:lpwstr/>
      </vt:variant>
      <vt:variant>
        <vt:lpwstr>_TBD</vt:lpwstr>
      </vt:variant>
      <vt:variant>
        <vt:i4>1048637</vt:i4>
      </vt:variant>
      <vt:variant>
        <vt:i4>6045</vt:i4>
      </vt:variant>
      <vt:variant>
        <vt:i4>0</vt:i4>
      </vt:variant>
      <vt:variant>
        <vt:i4>5</vt:i4>
      </vt:variant>
      <vt:variant>
        <vt:lpwstr/>
      </vt:variant>
      <vt:variant>
        <vt:lpwstr>_TBD</vt:lpwstr>
      </vt:variant>
      <vt:variant>
        <vt:i4>1048637</vt:i4>
      </vt:variant>
      <vt:variant>
        <vt:i4>6042</vt:i4>
      </vt:variant>
      <vt:variant>
        <vt:i4>0</vt:i4>
      </vt:variant>
      <vt:variant>
        <vt:i4>5</vt:i4>
      </vt:variant>
      <vt:variant>
        <vt:lpwstr/>
      </vt:variant>
      <vt:variant>
        <vt:lpwstr>_TBD</vt:lpwstr>
      </vt:variant>
      <vt:variant>
        <vt:i4>1048637</vt:i4>
      </vt:variant>
      <vt:variant>
        <vt:i4>6039</vt:i4>
      </vt:variant>
      <vt:variant>
        <vt:i4>0</vt:i4>
      </vt:variant>
      <vt:variant>
        <vt:i4>5</vt:i4>
      </vt:variant>
      <vt:variant>
        <vt:lpwstr/>
      </vt:variant>
      <vt:variant>
        <vt:lpwstr>_TBD</vt:lpwstr>
      </vt:variant>
      <vt:variant>
        <vt:i4>1048637</vt:i4>
      </vt:variant>
      <vt:variant>
        <vt:i4>6036</vt:i4>
      </vt:variant>
      <vt:variant>
        <vt:i4>0</vt:i4>
      </vt:variant>
      <vt:variant>
        <vt:i4>5</vt:i4>
      </vt:variant>
      <vt:variant>
        <vt:lpwstr/>
      </vt:variant>
      <vt:variant>
        <vt:lpwstr>_TBD</vt:lpwstr>
      </vt:variant>
      <vt:variant>
        <vt:i4>1048637</vt:i4>
      </vt:variant>
      <vt:variant>
        <vt:i4>6033</vt:i4>
      </vt:variant>
      <vt:variant>
        <vt:i4>0</vt:i4>
      </vt:variant>
      <vt:variant>
        <vt:i4>5</vt:i4>
      </vt:variant>
      <vt:variant>
        <vt:lpwstr/>
      </vt:variant>
      <vt:variant>
        <vt:lpwstr>_TBD</vt:lpwstr>
      </vt:variant>
      <vt:variant>
        <vt:i4>1048637</vt:i4>
      </vt:variant>
      <vt:variant>
        <vt:i4>6030</vt:i4>
      </vt:variant>
      <vt:variant>
        <vt:i4>0</vt:i4>
      </vt:variant>
      <vt:variant>
        <vt:i4>5</vt:i4>
      </vt:variant>
      <vt:variant>
        <vt:lpwstr/>
      </vt:variant>
      <vt:variant>
        <vt:lpwstr>_TBD</vt:lpwstr>
      </vt:variant>
      <vt:variant>
        <vt:i4>1048637</vt:i4>
      </vt:variant>
      <vt:variant>
        <vt:i4>6027</vt:i4>
      </vt:variant>
      <vt:variant>
        <vt:i4>0</vt:i4>
      </vt:variant>
      <vt:variant>
        <vt:i4>5</vt:i4>
      </vt:variant>
      <vt:variant>
        <vt:lpwstr/>
      </vt:variant>
      <vt:variant>
        <vt:lpwstr>_TBD</vt:lpwstr>
      </vt:variant>
      <vt:variant>
        <vt:i4>1048637</vt:i4>
      </vt:variant>
      <vt:variant>
        <vt:i4>6024</vt:i4>
      </vt:variant>
      <vt:variant>
        <vt:i4>0</vt:i4>
      </vt:variant>
      <vt:variant>
        <vt:i4>5</vt:i4>
      </vt:variant>
      <vt:variant>
        <vt:lpwstr/>
      </vt:variant>
      <vt:variant>
        <vt:lpwstr>_TBD</vt:lpwstr>
      </vt:variant>
      <vt:variant>
        <vt:i4>1048637</vt:i4>
      </vt:variant>
      <vt:variant>
        <vt:i4>6021</vt:i4>
      </vt:variant>
      <vt:variant>
        <vt:i4>0</vt:i4>
      </vt:variant>
      <vt:variant>
        <vt:i4>5</vt:i4>
      </vt:variant>
      <vt:variant>
        <vt:lpwstr/>
      </vt:variant>
      <vt:variant>
        <vt:lpwstr>_TBD</vt:lpwstr>
      </vt:variant>
      <vt:variant>
        <vt:i4>1048637</vt:i4>
      </vt:variant>
      <vt:variant>
        <vt:i4>6018</vt:i4>
      </vt:variant>
      <vt:variant>
        <vt:i4>0</vt:i4>
      </vt:variant>
      <vt:variant>
        <vt:i4>5</vt:i4>
      </vt:variant>
      <vt:variant>
        <vt:lpwstr/>
      </vt:variant>
      <vt:variant>
        <vt:lpwstr>_TBD</vt:lpwstr>
      </vt:variant>
      <vt:variant>
        <vt:i4>1048637</vt:i4>
      </vt:variant>
      <vt:variant>
        <vt:i4>6015</vt:i4>
      </vt:variant>
      <vt:variant>
        <vt:i4>0</vt:i4>
      </vt:variant>
      <vt:variant>
        <vt:i4>5</vt:i4>
      </vt:variant>
      <vt:variant>
        <vt:lpwstr/>
      </vt:variant>
      <vt:variant>
        <vt:lpwstr>_TBD</vt:lpwstr>
      </vt:variant>
      <vt:variant>
        <vt:i4>1048637</vt:i4>
      </vt:variant>
      <vt:variant>
        <vt:i4>6012</vt:i4>
      </vt:variant>
      <vt:variant>
        <vt:i4>0</vt:i4>
      </vt:variant>
      <vt:variant>
        <vt:i4>5</vt:i4>
      </vt:variant>
      <vt:variant>
        <vt:lpwstr/>
      </vt:variant>
      <vt:variant>
        <vt:lpwstr>_TBD</vt:lpwstr>
      </vt:variant>
      <vt:variant>
        <vt:i4>1048637</vt:i4>
      </vt:variant>
      <vt:variant>
        <vt:i4>6009</vt:i4>
      </vt:variant>
      <vt:variant>
        <vt:i4>0</vt:i4>
      </vt:variant>
      <vt:variant>
        <vt:i4>5</vt:i4>
      </vt:variant>
      <vt:variant>
        <vt:lpwstr/>
      </vt:variant>
      <vt:variant>
        <vt:lpwstr>_TBD</vt:lpwstr>
      </vt:variant>
      <vt:variant>
        <vt:i4>1048637</vt:i4>
      </vt:variant>
      <vt:variant>
        <vt:i4>6006</vt:i4>
      </vt:variant>
      <vt:variant>
        <vt:i4>0</vt:i4>
      </vt:variant>
      <vt:variant>
        <vt:i4>5</vt:i4>
      </vt:variant>
      <vt:variant>
        <vt:lpwstr/>
      </vt:variant>
      <vt:variant>
        <vt:lpwstr>_TBD</vt:lpwstr>
      </vt:variant>
      <vt:variant>
        <vt:i4>1048637</vt:i4>
      </vt:variant>
      <vt:variant>
        <vt:i4>6003</vt:i4>
      </vt:variant>
      <vt:variant>
        <vt:i4>0</vt:i4>
      </vt:variant>
      <vt:variant>
        <vt:i4>5</vt:i4>
      </vt:variant>
      <vt:variant>
        <vt:lpwstr/>
      </vt:variant>
      <vt:variant>
        <vt:lpwstr>_TBD</vt:lpwstr>
      </vt:variant>
      <vt:variant>
        <vt:i4>1048637</vt:i4>
      </vt:variant>
      <vt:variant>
        <vt:i4>6000</vt:i4>
      </vt:variant>
      <vt:variant>
        <vt:i4>0</vt:i4>
      </vt:variant>
      <vt:variant>
        <vt:i4>5</vt:i4>
      </vt:variant>
      <vt:variant>
        <vt:lpwstr/>
      </vt:variant>
      <vt:variant>
        <vt:lpwstr>_TBD</vt:lpwstr>
      </vt:variant>
      <vt:variant>
        <vt:i4>1048637</vt:i4>
      </vt:variant>
      <vt:variant>
        <vt:i4>5997</vt:i4>
      </vt:variant>
      <vt:variant>
        <vt:i4>0</vt:i4>
      </vt:variant>
      <vt:variant>
        <vt:i4>5</vt:i4>
      </vt:variant>
      <vt:variant>
        <vt:lpwstr/>
      </vt:variant>
      <vt:variant>
        <vt:lpwstr>_TBD</vt:lpwstr>
      </vt:variant>
      <vt:variant>
        <vt:i4>1048637</vt:i4>
      </vt:variant>
      <vt:variant>
        <vt:i4>5994</vt:i4>
      </vt:variant>
      <vt:variant>
        <vt:i4>0</vt:i4>
      </vt:variant>
      <vt:variant>
        <vt:i4>5</vt:i4>
      </vt:variant>
      <vt:variant>
        <vt:lpwstr/>
      </vt:variant>
      <vt:variant>
        <vt:lpwstr>_TBD</vt:lpwstr>
      </vt:variant>
      <vt:variant>
        <vt:i4>1048637</vt:i4>
      </vt:variant>
      <vt:variant>
        <vt:i4>5991</vt:i4>
      </vt:variant>
      <vt:variant>
        <vt:i4>0</vt:i4>
      </vt:variant>
      <vt:variant>
        <vt:i4>5</vt:i4>
      </vt:variant>
      <vt:variant>
        <vt:lpwstr/>
      </vt:variant>
      <vt:variant>
        <vt:lpwstr>_TBD</vt:lpwstr>
      </vt:variant>
      <vt:variant>
        <vt:i4>1048637</vt:i4>
      </vt:variant>
      <vt:variant>
        <vt:i4>5988</vt:i4>
      </vt:variant>
      <vt:variant>
        <vt:i4>0</vt:i4>
      </vt:variant>
      <vt:variant>
        <vt:i4>5</vt:i4>
      </vt:variant>
      <vt:variant>
        <vt:lpwstr/>
      </vt:variant>
      <vt:variant>
        <vt:lpwstr>_TBD</vt:lpwstr>
      </vt:variant>
      <vt:variant>
        <vt:i4>1048637</vt:i4>
      </vt:variant>
      <vt:variant>
        <vt:i4>5985</vt:i4>
      </vt:variant>
      <vt:variant>
        <vt:i4>0</vt:i4>
      </vt:variant>
      <vt:variant>
        <vt:i4>5</vt:i4>
      </vt:variant>
      <vt:variant>
        <vt:lpwstr/>
      </vt:variant>
      <vt:variant>
        <vt:lpwstr>_TBD</vt:lpwstr>
      </vt:variant>
      <vt:variant>
        <vt:i4>1048637</vt:i4>
      </vt:variant>
      <vt:variant>
        <vt:i4>5982</vt:i4>
      </vt:variant>
      <vt:variant>
        <vt:i4>0</vt:i4>
      </vt:variant>
      <vt:variant>
        <vt:i4>5</vt:i4>
      </vt:variant>
      <vt:variant>
        <vt:lpwstr/>
      </vt:variant>
      <vt:variant>
        <vt:lpwstr>_TBD</vt:lpwstr>
      </vt:variant>
      <vt:variant>
        <vt:i4>1048637</vt:i4>
      </vt:variant>
      <vt:variant>
        <vt:i4>5979</vt:i4>
      </vt:variant>
      <vt:variant>
        <vt:i4>0</vt:i4>
      </vt:variant>
      <vt:variant>
        <vt:i4>5</vt:i4>
      </vt:variant>
      <vt:variant>
        <vt:lpwstr/>
      </vt:variant>
      <vt:variant>
        <vt:lpwstr>_TBD</vt:lpwstr>
      </vt:variant>
      <vt:variant>
        <vt:i4>1048637</vt:i4>
      </vt:variant>
      <vt:variant>
        <vt:i4>5976</vt:i4>
      </vt:variant>
      <vt:variant>
        <vt:i4>0</vt:i4>
      </vt:variant>
      <vt:variant>
        <vt:i4>5</vt:i4>
      </vt:variant>
      <vt:variant>
        <vt:lpwstr/>
      </vt:variant>
      <vt:variant>
        <vt:lpwstr>_TBD</vt:lpwstr>
      </vt:variant>
      <vt:variant>
        <vt:i4>1048637</vt:i4>
      </vt:variant>
      <vt:variant>
        <vt:i4>5973</vt:i4>
      </vt:variant>
      <vt:variant>
        <vt:i4>0</vt:i4>
      </vt:variant>
      <vt:variant>
        <vt:i4>5</vt:i4>
      </vt:variant>
      <vt:variant>
        <vt:lpwstr/>
      </vt:variant>
      <vt:variant>
        <vt:lpwstr>_TBD</vt:lpwstr>
      </vt:variant>
      <vt:variant>
        <vt:i4>1048637</vt:i4>
      </vt:variant>
      <vt:variant>
        <vt:i4>5970</vt:i4>
      </vt:variant>
      <vt:variant>
        <vt:i4>0</vt:i4>
      </vt:variant>
      <vt:variant>
        <vt:i4>5</vt:i4>
      </vt:variant>
      <vt:variant>
        <vt:lpwstr/>
      </vt:variant>
      <vt:variant>
        <vt:lpwstr>_TBD</vt:lpwstr>
      </vt:variant>
      <vt:variant>
        <vt:i4>1048637</vt:i4>
      </vt:variant>
      <vt:variant>
        <vt:i4>5967</vt:i4>
      </vt:variant>
      <vt:variant>
        <vt:i4>0</vt:i4>
      </vt:variant>
      <vt:variant>
        <vt:i4>5</vt:i4>
      </vt:variant>
      <vt:variant>
        <vt:lpwstr/>
      </vt:variant>
      <vt:variant>
        <vt:lpwstr>_TBD</vt:lpwstr>
      </vt:variant>
      <vt:variant>
        <vt:i4>1048637</vt:i4>
      </vt:variant>
      <vt:variant>
        <vt:i4>5964</vt:i4>
      </vt:variant>
      <vt:variant>
        <vt:i4>0</vt:i4>
      </vt:variant>
      <vt:variant>
        <vt:i4>5</vt:i4>
      </vt:variant>
      <vt:variant>
        <vt:lpwstr/>
      </vt:variant>
      <vt:variant>
        <vt:lpwstr>_TBD</vt:lpwstr>
      </vt:variant>
      <vt:variant>
        <vt:i4>1048637</vt:i4>
      </vt:variant>
      <vt:variant>
        <vt:i4>5961</vt:i4>
      </vt:variant>
      <vt:variant>
        <vt:i4>0</vt:i4>
      </vt:variant>
      <vt:variant>
        <vt:i4>5</vt:i4>
      </vt:variant>
      <vt:variant>
        <vt:lpwstr/>
      </vt:variant>
      <vt:variant>
        <vt:lpwstr>_TBD</vt:lpwstr>
      </vt:variant>
      <vt:variant>
        <vt:i4>1048637</vt:i4>
      </vt:variant>
      <vt:variant>
        <vt:i4>5958</vt:i4>
      </vt:variant>
      <vt:variant>
        <vt:i4>0</vt:i4>
      </vt:variant>
      <vt:variant>
        <vt:i4>5</vt:i4>
      </vt:variant>
      <vt:variant>
        <vt:lpwstr/>
      </vt:variant>
      <vt:variant>
        <vt:lpwstr>_TBD</vt:lpwstr>
      </vt:variant>
      <vt:variant>
        <vt:i4>1048637</vt:i4>
      </vt:variant>
      <vt:variant>
        <vt:i4>5955</vt:i4>
      </vt:variant>
      <vt:variant>
        <vt:i4>0</vt:i4>
      </vt:variant>
      <vt:variant>
        <vt:i4>5</vt:i4>
      </vt:variant>
      <vt:variant>
        <vt:lpwstr/>
      </vt:variant>
      <vt:variant>
        <vt:lpwstr>_TBD</vt:lpwstr>
      </vt:variant>
      <vt:variant>
        <vt:i4>1048637</vt:i4>
      </vt:variant>
      <vt:variant>
        <vt:i4>5952</vt:i4>
      </vt:variant>
      <vt:variant>
        <vt:i4>0</vt:i4>
      </vt:variant>
      <vt:variant>
        <vt:i4>5</vt:i4>
      </vt:variant>
      <vt:variant>
        <vt:lpwstr/>
      </vt:variant>
      <vt:variant>
        <vt:lpwstr>_TBD</vt:lpwstr>
      </vt:variant>
      <vt:variant>
        <vt:i4>1048637</vt:i4>
      </vt:variant>
      <vt:variant>
        <vt:i4>5949</vt:i4>
      </vt:variant>
      <vt:variant>
        <vt:i4>0</vt:i4>
      </vt:variant>
      <vt:variant>
        <vt:i4>5</vt:i4>
      </vt:variant>
      <vt:variant>
        <vt:lpwstr/>
      </vt:variant>
      <vt:variant>
        <vt:lpwstr>_TBD</vt:lpwstr>
      </vt:variant>
      <vt:variant>
        <vt:i4>1048637</vt:i4>
      </vt:variant>
      <vt:variant>
        <vt:i4>5946</vt:i4>
      </vt:variant>
      <vt:variant>
        <vt:i4>0</vt:i4>
      </vt:variant>
      <vt:variant>
        <vt:i4>5</vt:i4>
      </vt:variant>
      <vt:variant>
        <vt:lpwstr/>
      </vt:variant>
      <vt:variant>
        <vt:lpwstr>_TBD</vt:lpwstr>
      </vt:variant>
      <vt:variant>
        <vt:i4>1048637</vt:i4>
      </vt:variant>
      <vt:variant>
        <vt:i4>5943</vt:i4>
      </vt:variant>
      <vt:variant>
        <vt:i4>0</vt:i4>
      </vt:variant>
      <vt:variant>
        <vt:i4>5</vt:i4>
      </vt:variant>
      <vt:variant>
        <vt:lpwstr/>
      </vt:variant>
      <vt:variant>
        <vt:lpwstr>_TBD</vt:lpwstr>
      </vt:variant>
      <vt:variant>
        <vt:i4>1048637</vt:i4>
      </vt:variant>
      <vt:variant>
        <vt:i4>5940</vt:i4>
      </vt:variant>
      <vt:variant>
        <vt:i4>0</vt:i4>
      </vt:variant>
      <vt:variant>
        <vt:i4>5</vt:i4>
      </vt:variant>
      <vt:variant>
        <vt:lpwstr/>
      </vt:variant>
      <vt:variant>
        <vt:lpwstr>_TBD</vt:lpwstr>
      </vt:variant>
      <vt:variant>
        <vt:i4>1048637</vt:i4>
      </vt:variant>
      <vt:variant>
        <vt:i4>5937</vt:i4>
      </vt:variant>
      <vt:variant>
        <vt:i4>0</vt:i4>
      </vt:variant>
      <vt:variant>
        <vt:i4>5</vt:i4>
      </vt:variant>
      <vt:variant>
        <vt:lpwstr/>
      </vt:variant>
      <vt:variant>
        <vt:lpwstr>_TBD</vt:lpwstr>
      </vt:variant>
      <vt:variant>
        <vt:i4>1048637</vt:i4>
      </vt:variant>
      <vt:variant>
        <vt:i4>5934</vt:i4>
      </vt:variant>
      <vt:variant>
        <vt:i4>0</vt:i4>
      </vt:variant>
      <vt:variant>
        <vt:i4>5</vt:i4>
      </vt:variant>
      <vt:variant>
        <vt:lpwstr/>
      </vt:variant>
      <vt:variant>
        <vt:lpwstr>_TBD</vt:lpwstr>
      </vt:variant>
      <vt:variant>
        <vt:i4>1048637</vt:i4>
      </vt:variant>
      <vt:variant>
        <vt:i4>5931</vt:i4>
      </vt:variant>
      <vt:variant>
        <vt:i4>0</vt:i4>
      </vt:variant>
      <vt:variant>
        <vt:i4>5</vt:i4>
      </vt:variant>
      <vt:variant>
        <vt:lpwstr/>
      </vt:variant>
      <vt:variant>
        <vt:lpwstr>_TBD</vt:lpwstr>
      </vt:variant>
      <vt:variant>
        <vt:i4>1048637</vt:i4>
      </vt:variant>
      <vt:variant>
        <vt:i4>5928</vt:i4>
      </vt:variant>
      <vt:variant>
        <vt:i4>0</vt:i4>
      </vt:variant>
      <vt:variant>
        <vt:i4>5</vt:i4>
      </vt:variant>
      <vt:variant>
        <vt:lpwstr/>
      </vt:variant>
      <vt:variant>
        <vt:lpwstr>_TBD</vt:lpwstr>
      </vt:variant>
      <vt:variant>
        <vt:i4>1048637</vt:i4>
      </vt:variant>
      <vt:variant>
        <vt:i4>5925</vt:i4>
      </vt:variant>
      <vt:variant>
        <vt:i4>0</vt:i4>
      </vt:variant>
      <vt:variant>
        <vt:i4>5</vt:i4>
      </vt:variant>
      <vt:variant>
        <vt:lpwstr/>
      </vt:variant>
      <vt:variant>
        <vt:lpwstr>_TBD</vt:lpwstr>
      </vt:variant>
      <vt:variant>
        <vt:i4>1048637</vt:i4>
      </vt:variant>
      <vt:variant>
        <vt:i4>5922</vt:i4>
      </vt:variant>
      <vt:variant>
        <vt:i4>0</vt:i4>
      </vt:variant>
      <vt:variant>
        <vt:i4>5</vt:i4>
      </vt:variant>
      <vt:variant>
        <vt:lpwstr/>
      </vt:variant>
      <vt:variant>
        <vt:lpwstr>_TBD</vt:lpwstr>
      </vt:variant>
      <vt:variant>
        <vt:i4>1048637</vt:i4>
      </vt:variant>
      <vt:variant>
        <vt:i4>5919</vt:i4>
      </vt:variant>
      <vt:variant>
        <vt:i4>0</vt:i4>
      </vt:variant>
      <vt:variant>
        <vt:i4>5</vt:i4>
      </vt:variant>
      <vt:variant>
        <vt:lpwstr/>
      </vt:variant>
      <vt:variant>
        <vt:lpwstr>_TBD</vt:lpwstr>
      </vt:variant>
      <vt:variant>
        <vt:i4>1048637</vt:i4>
      </vt:variant>
      <vt:variant>
        <vt:i4>5916</vt:i4>
      </vt:variant>
      <vt:variant>
        <vt:i4>0</vt:i4>
      </vt:variant>
      <vt:variant>
        <vt:i4>5</vt:i4>
      </vt:variant>
      <vt:variant>
        <vt:lpwstr/>
      </vt:variant>
      <vt:variant>
        <vt:lpwstr>_TBD</vt:lpwstr>
      </vt:variant>
      <vt:variant>
        <vt:i4>1048637</vt:i4>
      </vt:variant>
      <vt:variant>
        <vt:i4>5913</vt:i4>
      </vt:variant>
      <vt:variant>
        <vt:i4>0</vt:i4>
      </vt:variant>
      <vt:variant>
        <vt:i4>5</vt:i4>
      </vt:variant>
      <vt:variant>
        <vt:lpwstr/>
      </vt:variant>
      <vt:variant>
        <vt:lpwstr>_TBD</vt:lpwstr>
      </vt:variant>
      <vt:variant>
        <vt:i4>1048637</vt:i4>
      </vt:variant>
      <vt:variant>
        <vt:i4>5910</vt:i4>
      </vt:variant>
      <vt:variant>
        <vt:i4>0</vt:i4>
      </vt:variant>
      <vt:variant>
        <vt:i4>5</vt:i4>
      </vt:variant>
      <vt:variant>
        <vt:lpwstr/>
      </vt:variant>
      <vt:variant>
        <vt:lpwstr>_TBD</vt:lpwstr>
      </vt:variant>
      <vt:variant>
        <vt:i4>1048637</vt:i4>
      </vt:variant>
      <vt:variant>
        <vt:i4>5907</vt:i4>
      </vt:variant>
      <vt:variant>
        <vt:i4>0</vt:i4>
      </vt:variant>
      <vt:variant>
        <vt:i4>5</vt:i4>
      </vt:variant>
      <vt:variant>
        <vt:lpwstr/>
      </vt:variant>
      <vt:variant>
        <vt:lpwstr>_TBD</vt:lpwstr>
      </vt:variant>
      <vt:variant>
        <vt:i4>1048637</vt:i4>
      </vt:variant>
      <vt:variant>
        <vt:i4>5904</vt:i4>
      </vt:variant>
      <vt:variant>
        <vt:i4>0</vt:i4>
      </vt:variant>
      <vt:variant>
        <vt:i4>5</vt:i4>
      </vt:variant>
      <vt:variant>
        <vt:lpwstr/>
      </vt:variant>
      <vt:variant>
        <vt:lpwstr>_TBD</vt:lpwstr>
      </vt:variant>
      <vt:variant>
        <vt:i4>1048637</vt:i4>
      </vt:variant>
      <vt:variant>
        <vt:i4>5901</vt:i4>
      </vt:variant>
      <vt:variant>
        <vt:i4>0</vt:i4>
      </vt:variant>
      <vt:variant>
        <vt:i4>5</vt:i4>
      </vt:variant>
      <vt:variant>
        <vt:lpwstr/>
      </vt:variant>
      <vt:variant>
        <vt:lpwstr>_TBD</vt:lpwstr>
      </vt:variant>
      <vt:variant>
        <vt:i4>1048637</vt:i4>
      </vt:variant>
      <vt:variant>
        <vt:i4>5898</vt:i4>
      </vt:variant>
      <vt:variant>
        <vt:i4>0</vt:i4>
      </vt:variant>
      <vt:variant>
        <vt:i4>5</vt:i4>
      </vt:variant>
      <vt:variant>
        <vt:lpwstr/>
      </vt:variant>
      <vt:variant>
        <vt:lpwstr>_TBD</vt:lpwstr>
      </vt:variant>
      <vt:variant>
        <vt:i4>1048637</vt:i4>
      </vt:variant>
      <vt:variant>
        <vt:i4>5895</vt:i4>
      </vt:variant>
      <vt:variant>
        <vt:i4>0</vt:i4>
      </vt:variant>
      <vt:variant>
        <vt:i4>5</vt:i4>
      </vt:variant>
      <vt:variant>
        <vt:lpwstr/>
      </vt:variant>
      <vt:variant>
        <vt:lpwstr>_TBD</vt:lpwstr>
      </vt:variant>
      <vt:variant>
        <vt:i4>1048637</vt:i4>
      </vt:variant>
      <vt:variant>
        <vt:i4>5892</vt:i4>
      </vt:variant>
      <vt:variant>
        <vt:i4>0</vt:i4>
      </vt:variant>
      <vt:variant>
        <vt:i4>5</vt:i4>
      </vt:variant>
      <vt:variant>
        <vt:lpwstr/>
      </vt:variant>
      <vt:variant>
        <vt:lpwstr>_TBD</vt:lpwstr>
      </vt:variant>
      <vt:variant>
        <vt:i4>1048637</vt:i4>
      </vt:variant>
      <vt:variant>
        <vt:i4>5889</vt:i4>
      </vt:variant>
      <vt:variant>
        <vt:i4>0</vt:i4>
      </vt:variant>
      <vt:variant>
        <vt:i4>5</vt:i4>
      </vt:variant>
      <vt:variant>
        <vt:lpwstr/>
      </vt:variant>
      <vt:variant>
        <vt:lpwstr>_TBD</vt:lpwstr>
      </vt:variant>
      <vt:variant>
        <vt:i4>1048637</vt:i4>
      </vt:variant>
      <vt:variant>
        <vt:i4>5886</vt:i4>
      </vt:variant>
      <vt:variant>
        <vt:i4>0</vt:i4>
      </vt:variant>
      <vt:variant>
        <vt:i4>5</vt:i4>
      </vt:variant>
      <vt:variant>
        <vt:lpwstr/>
      </vt:variant>
      <vt:variant>
        <vt:lpwstr>_TBD</vt:lpwstr>
      </vt:variant>
      <vt:variant>
        <vt:i4>1048637</vt:i4>
      </vt:variant>
      <vt:variant>
        <vt:i4>5883</vt:i4>
      </vt:variant>
      <vt:variant>
        <vt:i4>0</vt:i4>
      </vt:variant>
      <vt:variant>
        <vt:i4>5</vt:i4>
      </vt:variant>
      <vt:variant>
        <vt:lpwstr/>
      </vt:variant>
      <vt:variant>
        <vt:lpwstr>_TBD</vt:lpwstr>
      </vt:variant>
      <vt:variant>
        <vt:i4>1048637</vt:i4>
      </vt:variant>
      <vt:variant>
        <vt:i4>5880</vt:i4>
      </vt:variant>
      <vt:variant>
        <vt:i4>0</vt:i4>
      </vt:variant>
      <vt:variant>
        <vt:i4>5</vt:i4>
      </vt:variant>
      <vt:variant>
        <vt:lpwstr/>
      </vt:variant>
      <vt:variant>
        <vt:lpwstr>_TBD</vt:lpwstr>
      </vt:variant>
      <vt:variant>
        <vt:i4>1048637</vt:i4>
      </vt:variant>
      <vt:variant>
        <vt:i4>5877</vt:i4>
      </vt:variant>
      <vt:variant>
        <vt:i4>0</vt:i4>
      </vt:variant>
      <vt:variant>
        <vt:i4>5</vt:i4>
      </vt:variant>
      <vt:variant>
        <vt:lpwstr/>
      </vt:variant>
      <vt:variant>
        <vt:lpwstr>_TBD</vt:lpwstr>
      </vt:variant>
      <vt:variant>
        <vt:i4>1048637</vt:i4>
      </vt:variant>
      <vt:variant>
        <vt:i4>5874</vt:i4>
      </vt:variant>
      <vt:variant>
        <vt:i4>0</vt:i4>
      </vt:variant>
      <vt:variant>
        <vt:i4>5</vt:i4>
      </vt:variant>
      <vt:variant>
        <vt:lpwstr/>
      </vt:variant>
      <vt:variant>
        <vt:lpwstr>_TBD</vt:lpwstr>
      </vt:variant>
      <vt:variant>
        <vt:i4>1048637</vt:i4>
      </vt:variant>
      <vt:variant>
        <vt:i4>5871</vt:i4>
      </vt:variant>
      <vt:variant>
        <vt:i4>0</vt:i4>
      </vt:variant>
      <vt:variant>
        <vt:i4>5</vt:i4>
      </vt:variant>
      <vt:variant>
        <vt:lpwstr/>
      </vt:variant>
      <vt:variant>
        <vt:lpwstr>_TBD</vt:lpwstr>
      </vt:variant>
      <vt:variant>
        <vt:i4>1048637</vt:i4>
      </vt:variant>
      <vt:variant>
        <vt:i4>5868</vt:i4>
      </vt:variant>
      <vt:variant>
        <vt:i4>0</vt:i4>
      </vt:variant>
      <vt:variant>
        <vt:i4>5</vt:i4>
      </vt:variant>
      <vt:variant>
        <vt:lpwstr/>
      </vt:variant>
      <vt:variant>
        <vt:lpwstr>_TBD</vt:lpwstr>
      </vt:variant>
      <vt:variant>
        <vt:i4>1048637</vt:i4>
      </vt:variant>
      <vt:variant>
        <vt:i4>5865</vt:i4>
      </vt:variant>
      <vt:variant>
        <vt:i4>0</vt:i4>
      </vt:variant>
      <vt:variant>
        <vt:i4>5</vt:i4>
      </vt:variant>
      <vt:variant>
        <vt:lpwstr/>
      </vt:variant>
      <vt:variant>
        <vt:lpwstr>_TBD</vt:lpwstr>
      </vt:variant>
      <vt:variant>
        <vt:i4>1048637</vt:i4>
      </vt:variant>
      <vt:variant>
        <vt:i4>5862</vt:i4>
      </vt:variant>
      <vt:variant>
        <vt:i4>0</vt:i4>
      </vt:variant>
      <vt:variant>
        <vt:i4>5</vt:i4>
      </vt:variant>
      <vt:variant>
        <vt:lpwstr/>
      </vt:variant>
      <vt:variant>
        <vt:lpwstr>_TBD</vt:lpwstr>
      </vt:variant>
      <vt:variant>
        <vt:i4>1048637</vt:i4>
      </vt:variant>
      <vt:variant>
        <vt:i4>5859</vt:i4>
      </vt:variant>
      <vt:variant>
        <vt:i4>0</vt:i4>
      </vt:variant>
      <vt:variant>
        <vt:i4>5</vt:i4>
      </vt:variant>
      <vt:variant>
        <vt:lpwstr/>
      </vt:variant>
      <vt:variant>
        <vt:lpwstr>_TBD</vt:lpwstr>
      </vt:variant>
      <vt:variant>
        <vt:i4>1048637</vt:i4>
      </vt:variant>
      <vt:variant>
        <vt:i4>5856</vt:i4>
      </vt:variant>
      <vt:variant>
        <vt:i4>0</vt:i4>
      </vt:variant>
      <vt:variant>
        <vt:i4>5</vt:i4>
      </vt:variant>
      <vt:variant>
        <vt:lpwstr/>
      </vt:variant>
      <vt:variant>
        <vt:lpwstr>_TBD</vt:lpwstr>
      </vt:variant>
      <vt:variant>
        <vt:i4>1048637</vt:i4>
      </vt:variant>
      <vt:variant>
        <vt:i4>5853</vt:i4>
      </vt:variant>
      <vt:variant>
        <vt:i4>0</vt:i4>
      </vt:variant>
      <vt:variant>
        <vt:i4>5</vt:i4>
      </vt:variant>
      <vt:variant>
        <vt:lpwstr/>
      </vt:variant>
      <vt:variant>
        <vt:lpwstr>_TBD</vt:lpwstr>
      </vt:variant>
      <vt:variant>
        <vt:i4>1048637</vt:i4>
      </vt:variant>
      <vt:variant>
        <vt:i4>5850</vt:i4>
      </vt:variant>
      <vt:variant>
        <vt:i4>0</vt:i4>
      </vt:variant>
      <vt:variant>
        <vt:i4>5</vt:i4>
      </vt:variant>
      <vt:variant>
        <vt:lpwstr/>
      </vt:variant>
      <vt:variant>
        <vt:lpwstr>_TBD</vt:lpwstr>
      </vt:variant>
      <vt:variant>
        <vt:i4>1048637</vt:i4>
      </vt:variant>
      <vt:variant>
        <vt:i4>5847</vt:i4>
      </vt:variant>
      <vt:variant>
        <vt:i4>0</vt:i4>
      </vt:variant>
      <vt:variant>
        <vt:i4>5</vt:i4>
      </vt:variant>
      <vt:variant>
        <vt:lpwstr/>
      </vt:variant>
      <vt:variant>
        <vt:lpwstr>_TBD</vt:lpwstr>
      </vt:variant>
      <vt:variant>
        <vt:i4>1048637</vt:i4>
      </vt:variant>
      <vt:variant>
        <vt:i4>5844</vt:i4>
      </vt:variant>
      <vt:variant>
        <vt:i4>0</vt:i4>
      </vt:variant>
      <vt:variant>
        <vt:i4>5</vt:i4>
      </vt:variant>
      <vt:variant>
        <vt:lpwstr/>
      </vt:variant>
      <vt:variant>
        <vt:lpwstr>_TBD</vt:lpwstr>
      </vt:variant>
      <vt:variant>
        <vt:i4>1048637</vt:i4>
      </vt:variant>
      <vt:variant>
        <vt:i4>5841</vt:i4>
      </vt:variant>
      <vt:variant>
        <vt:i4>0</vt:i4>
      </vt:variant>
      <vt:variant>
        <vt:i4>5</vt:i4>
      </vt:variant>
      <vt:variant>
        <vt:lpwstr/>
      </vt:variant>
      <vt:variant>
        <vt:lpwstr>_TBD</vt:lpwstr>
      </vt:variant>
      <vt:variant>
        <vt:i4>1048637</vt:i4>
      </vt:variant>
      <vt:variant>
        <vt:i4>5838</vt:i4>
      </vt:variant>
      <vt:variant>
        <vt:i4>0</vt:i4>
      </vt:variant>
      <vt:variant>
        <vt:i4>5</vt:i4>
      </vt:variant>
      <vt:variant>
        <vt:lpwstr/>
      </vt:variant>
      <vt:variant>
        <vt:lpwstr>_TBD</vt:lpwstr>
      </vt:variant>
      <vt:variant>
        <vt:i4>1048637</vt:i4>
      </vt:variant>
      <vt:variant>
        <vt:i4>5835</vt:i4>
      </vt:variant>
      <vt:variant>
        <vt:i4>0</vt:i4>
      </vt:variant>
      <vt:variant>
        <vt:i4>5</vt:i4>
      </vt:variant>
      <vt:variant>
        <vt:lpwstr/>
      </vt:variant>
      <vt:variant>
        <vt:lpwstr>_TBD</vt:lpwstr>
      </vt:variant>
      <vt:variant>
        <vt:i4>1048637</vt:i4>
      </vt:variant>
      <vt:variant>
        <vt:i4>5832</vt:i4>
      </vt:variant>
      <vt:variant>
        <vt:i4>0</vt:i4>
      </vt:variant>
      <vt:variant>
        <vt:i4>5</vt:i4>
      </vt:variant>
      <vt:variant>
        <vt:lpwstr/>
      </vt:variant>
      <vt:variant>
        <vt:lpwstr>_TBD</vt:lpwstr>
      </vt:variant>
      <vt:variant>
        <vt:i4>1048637</vt:i4>
      </vt:variant>
      <vt:variant>
        <vt:i4>5829</vt:i4>
      </vt:variant>
      <vt:variant>
        <vt:i4>0</vt:i4>
      </vt:variant>
      <vt:variant>
        <vt:i4>5</vt:i4>
      </vt:variant>
      <vt:variant>
        <vt:lpwstr/>
      </vt:variant>
      <vt:variant>
        <vt:lpwstr>_TBD</vt:lpwstr>
      </vt:variant>
      <vt:variant>
        <vt:i4>1048637</vt:i4>
      </vt:variant>
      <vt:variant>
        <vt:i4>5826</vt:i4>
      </vt:variant>
      <vt:variant>
        <vt:i4>0</vt:i4>
      </vt:variant>
      <vt:variant>
        <vt:i4>5</vt:i4>
      </vt:variant>
      <vt:variant>
        <vt:lpwstr/>
      </vt:variant>
      <vt:variant>
        <vt:lpwstr>_TBD</vt:lpwstr>
      </vt:variant>
      <vt:variant>
        <vt:i4>1048637</vt:i4>
      </vt:variant>
      <vt:variant>
        <vt:i4>5823</vt:i4>
      </vt:variant>
      <vt:variant>
        <vt:i4>0</vt:i4>
      </vt:variant>
      <vt:variant>
        <vt:i4>5</vt:i4>
      </vt:variant>
      <vt:variant>
        <vt:lpwstr/>
      </vt:variant>
      <vt:variant>
        <vt:lpwstr>_TBD</vt:lpwstr>
      </vt:variant>
      <vt:variant>
        <vt:i4>3014656</vt:i4>
      </vt:variant>
      <vt:variant>
        <vt:i4>5820</vt:i4>
      </vt:variant>
      <vt:variant>
        <vt:i4>0</vt:i4>
      </vt:variant>
      <vt:variant>
        <vt:i4>5</vt:i4>
      </vt:variant>
      <vt:variant>
        <vt:lpwstr/>
      </vt:variant>
      <vt:variant>
        <vt:lpwstr>Unknown_Exception</vt:lpwstr>
      </vt:variant>
      <vt:variant>
        <vt:i4>3014656</vt:i4>
      </vt:variant>
      <vt:variant>
        <vt:i4>5817</vt:i4>
      </vt:variant>
      <vt:variant>
        <vt:i4>0</vt:i4>
      </vt:variant>
      <vt:variant>
        <vt:i4>5</vt:i4>
      </vt:variant>
      <vt:variant>
        <vt:lpwstr/>
      </vt:variant>
      <vt:variant>
        <vt:lpwstr>Unknown_Exception</vt:lpwstr>
      </vt:variant>
      <vt:variant>
        <vt:i4>3014656</vt:i4>
      </vt:variant>
      <vt:variant>
        <vt:i4>5814</vt:i4>
      </vt:variant>
      <vt:variant>
        <vt:i4>0</vt:i4>
      </vt:variant>
      <vt:variant>
        <vt:i4>5</vt:i4>
      </vt:variant>
      <vt:variant>
        <vt:lpwstr/>
      </vt:variant>
      <vt:variant>
        <vt:lpwstr>Unknown_Exception</vt:lpwstr>
      </vt:variant>
      <vt:variant>
        <vt:i4>3014656</vt:i4>
      </vt:variant>
      <vt:variant>
        <vt:i4>5811</vt:i4>
      </vt:variant>
      <vt:variant>
        <vt:i4>0</vt:i4>
      </vt:variant>
      <vt:variant>
        <vt:i4>5</vt:i4>
      </vt:variant>
      <vt:variant>
        <vt:lpwstr/>
      </vt:variant>
      <vt:variant>
        <vt:lpwstr>Unknown_Exception</vt:lpwstr>
      </vt:variant>
      <vt:variant>
        <vt:i4>3014656</vt:i4>
      </vt:variant>
      <vt:variant>
        <vt:i4>5808</vt:i4>
      </vt:variant>
      <vt:variant>
        <vt:i4>0</vt:i4>
      </vt:variant>
      <vt:variant>
        <vt:i4>5</vt:i4>
      </vt:variant>
      <vt:variant>
        <vt:lpwstr/>
      </vt:variant>
      <vt:variant>
        <vt:lpwstr>Unknown_Exception</vt:lpwstr>
      </vt:variant>
      <vt:variant>
        <vt:i4>1048637</vt:i4>
      </vt:variant>
      <vt:variant>
        <vt:i4>5805</vt:i4>
      </vt:variant>
      <vt:variant>
        <vt:i4>0</vt:i4>
      </vt:variant>
      <vt:variant>
        <vt:i4>5</vt:i4>
      </vt:variant>
      <vt:variant>
        <vt:lpwstr/>
      </vt:variant>
      <vt:variant>
        <vt:lpwstr>_TBD</vt:lpwstr>
      </vt:variant>
      <vt:variant>
        <vt:i4>1048637</vt:i4>
      </vt:variant>
      <vt:variant>
        <vt:i4>5802</vt:i4>
      </vt:variant>
      <vt:variant>
        <vt:i4>0</vt:i4>
      </vt:variant>
      <vt:variant>
        <vt:i4>5</vt:i4>
      </vt:variant>
      <vt:variant>
        <vt:lpwstr/>
      </vt:variant>
      <vt:variant>
        <vt:lpwstr>_TBD</vt:lpwstr>
      </vt:variant>
      <vt:variant>
        <vt:i4>1048637</vt:i4>
      </vt:variant>
      <vt:variant>
        <vt:i4>5799</vt:i4>
      </vt:variant>
      <vt:variant>
        <vt:i4>0</vt:i4>
      </vt:variant>
      <vt:variant>
        <vt:i4>5</vt:i4>
      </vt:variant>
      <vt:variant>
        <vt:lpwstr/>
      </vt:variant>
      <vt:variant>
        <vt:lpwstr>_TBD</vt:lpwstr>
      </vt:variant>
      <vt:variant>
        <vt:i4>1048637</vt:i4>
      </vt:variant>
      <vt:variant>
        <vt:i4>5796</vt:i4>
      </vt:variant>
      <vt:variant>
        <vt:i4>0</vt:i4>
      </vt:variant>
      <vt:variant>
        <vt:i4>5</vt:i4>
      </vt:variant>
      <vt:variant>
        <vt:lpwstr/>
      </vt:variant>
      <vt:variant>
        <vt:lpwstr>_TBD</vt:lpwstr>
      </vt:variant>
      <vt:variant>
        <vt:i4>1048637</vt:i4>
      </vt:variant>
      <vt:variant>
        <vt:i4>5793</vt:i4>
      </vt:variant>
      <vt:variant>
        <vt:i4>0</vt:i4>
      </vt:variant>
      <vt:variant>
        <vt:i4>5</vt:i4>
      </vt:variant>
      <vt:variant>
        <vt:lpwstr/>
      </vt:variant>
      <vt:variant>
        <vt:lpwstr>_TBD</vt:lpwstr>
      </vt:variant>
      <vt:variant>
        <vt:i4>1048637</vt:i4>
      </vt:variant>
      <vt:variant>
        <vt:i4>5790</vt:i4>
      </vt:variant>
      <vt:variant>
        <vt:i4>0</vt:i4>
      </vt:variant>
      <vt:variant>
        <vt:i4>5</vt:i4>
      </vt:variant>
      <vt:variant>
        <vt:lpwstr/>
      </vt:variant>
      <vt:variant>
        <vt:lpwstr>_TBD</vt:lpwstr>
      </vt:variant>
      <vt:variant>
        <vt:i4>1048637</vt:i4>
      </vt:variant>
      <vt:variant>
        <vt:i4>5787</vt:i4>
      </vt:variant>
      <vt:variant>
        <vt:i4>0</vt:i4>
      </vt:variant>
      <vt:variant>
        <vt:i4>5</vt:i4>
      </vt:variant>
      <vt:variant>
        <vt:lpwstr/>
      </vt:variant>
      <vt:variant>
        <vt:lpwstr>_TBD</vt:lpwstr>
      </vt:variant>
      <vt:variant>
        <vt:i4>1048637</vt:i4>
      </vt:variant>
      <vt:variant>
        <vt:i4>5784</vt:i4>
      </vt:variant>
      <vt:variant>
        <vt:i4>0</vt:i4>
      </vt:variant>
      <vt:variant>
        <vt:i4>5</vt:i4>
      </vt:variant>
      <vt:variant>
        <vt:lpwstr/>
      </vt:variant>
      <vt:variant>
        <vt:lpwstr>_TBD</vt:lpwstr>
      </vt:variant>
      <vt:variant>
        <vt:i4>1048637</vt:i4>
      </vt:variant>
      <vt:variant>
        <vt:i4>5781</vt:i4>
      </vt:variant>
      <vt:variant>
        <vt:i4>0</vt:i4>
      </vt:variant>
      <vt:variant>
        <vt:i4>5</vt:i4>
      </vt:variant>
      <vt:variant>
        <vt:lpwstr/>
      </vt:variant>
      <vt:variant>
        <vt:lpwstr>_TBD</vt:lpwstr>
      </vt:variant>
      <vt:variant>
        <vt:i4>1048637</vt:i4>
      </vt:variant>
      <vt:variant>
        <vt:i4>5778</vt:i4>
      </vt:variant>
      <vt:variant>
        <vt:i4>0</vt:i4>
      </vt:variant>
      <vt:variant>
        <vt:i4>5</vt:i4>
      </vt:variant>
      <vt:variant>
        <vt:lpwstr/>
      </vt:variant>
      <vt:variant>
        <vt:lpwstr>_TBD</vt:lpwstr>
      </vt:variant>
      <vt:variant>
        <vt:i4>1048637</vt:i4>
      </vt:variant>
      <vt:variant>
        <vt:i4>5775</vt:i4>
      </vt:variant>
      <vt:variant>
        <vt:i4>0</vt:i4>
      </vt:variant>
      <vt:variant>
        <vt:i4>5</vt:i4>
      </vt:variant>
      <vt:variant>
        <vt:lpwstr/>
      </vt:variant>
      <vt:variant>
        <vt:lpwstr>_TBD</vt:lpwstr>
      </vt:variant>
      <vt:variant>
        <vt:i4>1048637</vt:i4>
      </vt:variant>
      <vt:variant>
        <vt:i4>5772</vt:i4>
      </vt:variant>
      <vt:variant>
        <vt:i4>0</vt:i4>
      </vt:variant>
      <vt:variant>
        <vt:i4>5</vt:i4>
      </vt:variant>
      <vt:variant>
        <vt:lpwstr/>
      </vt:variant>
      <vt:variant>
        <vt:lpwstr>_TBD</vt:lpwstr>
      </vt:variant>
      <vt:variant>
        <vt:i4>1048637</vt:i4>
      </vt:variant>
      <vt:variant>
        <vt:i4>5769</vt:i4>
      </vt:variant>
      <vt:variant>
        <vt:i4>0</vt:i4>
      </vt:variant>
      <vt:variant>
        <vt:i4>5</vt:i4>
      </vt:variant>
      <vt:variant>
        <vt:lpwstr/>
      </vt:variant>
      <vt:variant>
        <vt:lpwstr>_TBD</vt:lpwstr>
      </vt:variant>
      <vt:variant>
        <vt:i4>1048637</vt:i4>
      </vt:variant>
      <vt:variant>
        <vt:i4>5766</vt:i4>
      </vt:variant>
      <vt:variant>
        <vt:i4>0</vt:i4>
      </vt:variant>
      <vt:variant>
        <vt:i4>5</vt:i4>
      </vt:variant>
      <vt:variant>
        <vt:lpwstr/>
      </vt:variant>
      <vt:variant>
        <vt:lpwstr>_TBD</vt:lpwstr>
      </vt:variant>
      <vt:variant>
        <vt:i4>1048637</vt:i4>
      </vt:variant>
      <vt:variant>
        <vt:i4>5763</vt:i4>
      </vt:variant>
      <vt:variant>
        <vt:i4>0</vt:i4>
      </vt:variant>
      <vt:variant>
        <vt:i4>5</vt:i4>
      </vt:variant>
      <vt:variant>
        <vt:lpwstr/>
      </vt:variant>
      <vt:variant>
        <vt:lpwstr>_TBD</vt:lpwstr>
      </vt:variant>
      <vt:variant>
        <vt:i4>1048637</vt:i4>
      </vt:variant>
      <vt:variant>
        <vt:i4>5760</vt:i4>
      </vt:variant>
      <vt:variant>
        <vt:i4>0</vt:i4>
      </vt:variant>
      <vt:variant>
        <vt:i4>5</vt:i4>
      </vt:variant>
      <vt:variant>
        <vt:lpwstr/>
      </vt:variant>
      <vt:variant>
        <vt:lpwstr>_TBD</vt:lpwstr>
      </vt:variant>
      <vt:variant>
        <vt:i4>1048637</vt:i4>
      </vt:variant>
      <vt:variant>
        <vt:i4>5757</vt:i4>
      </vt:variant>
      <vt:variant>
        <vt:i4>0</vt:i4>
      </vt:variant>
      <vt:variant>
        <vt:i4>5</vt:i4>
      </vt:variant>
      <vt:variant>
        <vt:lpwstr/>
      </vt:variant>
      <vt:variant>
        <vt:lpwstr>_TBD</vt:lpwstr>
      </vt:variant>
      <vt:variant>
        <vt:i4>1048637</vt:i4>
      </vt:variant>
      <vt:variant>
        <vt:i4>5754</vt:i4>
      </vt:variant>
      <vt:variant>
        <vt:i4>0</vt:i4>
      </vt:variant>
      <vt:variant>
        <vt:i4>5</vt:i4>
      </vt:variant>
      <vt:variant>
        <vt:lpwstr/>
      </vt:variant>
      <vt:variant>
        <vt:lpwstr>_TBD</vt:lpwstr>
      </vt:variant>
      <vt:variant>
        <vt:i4>1048637</vt:i4>
      </vt:variant>
      <vt:variant>
        <vt:i4>5751</vt:i4>
      </vt:variant>
      <vt:variant>
        <vt:i4>0</vt:i4>
      </vt:variant>
      <vt:variant>
        <vt:i4>5</vt:i4>
      </vt:variant>
      <vt:variant>
        <vt:lpwstr/>
      </vt:variant>
      <vt:variant>
        <vt:lpwstr>_TBD</vt:lpwstr>
      </vt:variant>
      <vt:variant>
        <vt:i4>1048637</vt:i4>
      </vt:variant>
      <vt:variant>
        <vt:i4>5748</vt:i4>
      </vt:variant>
      <vt:variant>
        <vt:i4>0</vt:i4>
      </vt:variant>
      <vt:variant>
        <vt:i4>5</vt:i4>
      </vt:variant>
      <vt:variant>
        <vt:lpwstr/>
      </vt:variant>
      <vt:variant>
        <vt:lpwstr>_TBD</vt:lpwstr>
      </vt:variant>
      <vt:variant>
        <vt:i4>1048637</vt:i4>
      </vt:variant>
      <vt:variant>
        <vt:i4>5745</vt:i4>
      </vt:variant>
      <vt:variant>
        <vt:i4>0</vt:i4>
      </vt:variant>
      <vt:variant>
        <vt:i4>5</vt:i4>
      </vt:variant>
      <vt:variant>
        <vt:lpwstr/>
      </vt:variant>
      <vt:variant>
        <vt:lpwstr>_TBD</vt:lpwstr>
      </vt:variant>
      <vt:variant>
        <vt:i4>1048637</vt:i4>
      </vt:variant>
      <vt:variant>
        <vt:i4>5742</vt:i4>
      </vt:variant>
      <vt:variant>
        <vt:i4>0</vt:i4>
      </vt:variant>
      <vt:variant>
        <vt:i4>5</vt:i4>
      </vt:variant>
      <vt:variant>
        <vt:lpwstr/>
      </vt:variant>
      <vt:variant>
        <vt:lpwstr>_TBD</vt:lpwstr>
      </vt:variant>
      <vt:variant>
        <vt:i4>1048637</vt:i4>
      </vt:variant>
      <vt:variant>
        <vt:i4>5739</vt:i4>
      </vt:variant>
      <vt:variant>
        <vt:i4>0</vt:i4>
      </vt:variant>
      <vt:variant>
        <vt:i4>5</vt:i4>
      </vt:variant>
      <vt:variant>
        <vt:lpwstr/>
      </vt:variant>
      <vt:variant>
        <vt:lpwstr>_TBD</vt:lpwstr>
      </vt:variant>
      <vt:variant>
        <vt:i4>1048637</vt:i4>
      </vt:variant>
      <vt:variant>
        <vt:i4>5736</vt:i4>
      </vt:variant>
      <vt:variant>
        <vt:i4>0</vt:i4>
      </vt:variant>
      <vt:variant>
        <vt:i4>5</vt:i4>
      </vt:variant>
      <vt:variant>
        <vt:lpwstr/>
      </vt:variant>
      <vt:variant>
        <vt:lpwstr>_TBD</vt:lpwstr>
      </vt:variant>
      <vt:variant>
        <vt:i4>1048637</vt:i4>
      </vt:variant>
      <vt:variant>
        <vt:i4>5733</vt:i4>
      </vt:variant>
      <vt:variant>
        <vt:i4>0</vt:i4>
      </vt:variant>
      <vt:variant>
        <vt:i4>5</vt:i4>
      </vt:variant>
      <vt:variant>
        <vt:lpwstr/>
      </vt:variant>
      <vt:variant>
        <vt:lpwstr>_TBD</vt:lpwstr>
      </vt:variant>
      <vt:variant>
        <vt:i4>1048637</vt:i4>
      </vt:variant>
      <vt:variant>
        <vt:i4>5730</vt:i4>
      </vt:variant>
      <vt:variant>
        <vt:i4>0</vt:i4>
      </vt:variant>
      <vt:variant>
        <vt:i4>5</vt:i4>
      </vt:variant>
      <vt:variant>
        <vt:lpwstr/>
      </vt:variant>
      <vt:variant>
        <vt:lpwstr>_TBD</vt:lpwstr>
      </vt:variant>
      <vt:variant>
        <vt:i4>1048637</vt:i4>
      </vt:variant>
      <vt:variant>
        <vt:i4>5727</vt:i4>
      </vt:variant>
      <vt:variant>
        <vt:i4>0</vt:i4>
      </vt:variant>
      <vt:variant>
        <vt:i4>5</vt:i4>
      </vt:variant>
      <vt:variant>
        <vt:lpwstr/>
      </vt:variant>
      <vt:variant>
        <vt:lpwstr>_TBD</vt:lpwstr>
      </vt:variant>
      <vt:variant>
        <vt:i4>1048637</vt:i4>
      </vt:variant>
      <vt:variant>
        <vt:i4>5724</vt:i4>
      </vt:variant>
      <vt:variant>
        <vt:i4>0</vt:i4>
      </vt:variant>
      <vt:variant>
        <vt:i4>5</vt:i4>
      </vt:variant>
      <vt:variant>
        <vt:lpwstr/>
      </vt:variant>
      <vt:variant>
        <vt:lpwstr>_TBD</vt:lpwstr>
      </vt:variant>
      <vt:variant>
        <vt:i4>1048637</vt:i4>
      </vt:variant>
      <vt:variant>
        <vt:i4>5721</vt:i4>
      </vt:variant>
      <vt:variant>
        <vt:i4>0</vt:i4>
      </vt:variant>
      <vt:variant>
        <vt:i4>5</vt:i4>
      </vt:variant>
      <vt:variant>
        <vt:lpwstr/>
      </vt:variant>
      <vt:variant>
        <vt:lpwstr>_TBD</vt:lpwstr>
      </vt:variant>
      <vt:variant>
        <vt:i4>1048637</vt:i4>
      </vt:variant>
      <vt:variant>
        <vt:i4>5718</vt:i4>
      </vt:variant>
      <vt:variant>
        <vt:i4>0</vt:i4>
      </vt:variant>
      <vt:variant>
        <vt:i4>5</vt:i4>
      </vt:variant>
      <vt:variant>
        <vt:lpwstr/>
      </vt:variant>
      <vt:variant>
        <vt:lpwstr>_TBD</vt:lpwstr>
      </vt:variant>
      <vt:variant>
        <vt:i4>1048637</vt:i4>
      </vt:variant>
      <vt:variant>
        <vt:i4>5715</vt:i4>
      </vt:variant>
      <vt:variant>
        <vt:i4>0</vt:i4>
      </vt:variant>
      <vt:variant>
        <vt:i4>5</vt:i4>
      </vt:variant>
      <vt:variant>
        <vt:lpwstr/>
      </vt:variant>
      <vt:variant>
        <vt:lpwstr>_TBD</vt:lpwstr>
      </vt:variant>
      <vt:variant>
        <vt:i4>1048637</vt:i4>
      </vt:variant>
      <vt:variant>
        <vt:i4>5712</vt:i4>
      </vt:variant>
      <vt:variant>
        <vt:i4>0</vt:i4>
      </vt:variant>
      <vt:variant>
        <vt:i4>5</vt:i4>
      </vt:variant>
      <vt:variant>
        <vt:lpwstr/>
      </vt:variant>
      <vt:variant>
        <vt:lpwstr>_TBD</vt:lpwstr>
      </vt:variant>
      <vt:variant>
        <vt:i4>1048637</vt:i4>
      </vt:variant>
      <vt:variant>
        <vt:i4>5709</vt:i4>
      </vt:variant>
      <vt:variant>
        <vt:i4>0</vt:i4>
      </vt:variant>
      <vt:variant>
        <vt:i4>5</vt:i4>
      </vt:variant>
      <vt:variant>
        <vt:lpwstr/>
      </vt:variant>
      <vt:variant>
        <vt:lpwstr>_TBD</vt:lpwstr>
      </vt:variant>
      <vt:variant>
        <vt:i4>1048637</vt:i4>
      </vt:variant>
      <vt:variant>
        <vt:i4>5706</vt:i4>
      </vt:variant>
      <vt:variant>
        <vt:i4>0</vt:i4>
      </vt:variant>
      <vt:variant>
        <vt:i4>5</vt:i4>
      </vt:variant>
      <vt:variant>
        <vt:lpwstr/>
      </vt:variant>
      <vt:variant>
        <vt:lpwstr>_TBD</vt:lpwstr>
      </vt:variant>
      <vt:variant>
        <vt:i4>1048637</vt:i4>
      </vt:variant>
      <vt:variant>
        <vt:i4>5703</vt:i4>
      </vt:variant>
      <vt:variant>
        <vt:i4>0</vt:i4>
      </vt:variant>
      <vt:variant>
        <vt:i4>5</vt:i4>
      </vt:variant>
      <vt:variant>
        <vt:lpwstr/>
      </vt:variant>
      <vt:variant>
        <vt:lpwstr>_TBD</vt:lpwstr>
      </vt:variant>
      <vt:variant>
        <vt:i4>1048637</vt:i4>
      </vt:variant>
      <vt:variant>
        <vt:i4>5700</vt:i4>
      </vt:variant>
      <vt:variant>
        <vt:i4>0</vt:i4>
      </vt:variant>
      <vt:variant>
        <vt:i4>5</vt:i4>
      </vt:variant>
      <vt:variant>
        <vt:lpwstr/>
      </vt:variant>
      <vt:variant>
        <vt:lpwstr>_TBD</vt:lpwstr>
      </vt:variant>
      <vt:variant>
        <vt:i4>1048637</vt:i4>
      </vt:variant>
      <vt:variant>
        <vt:i4>5697</vt:i4>
      </vt:variant>
      <vt:variant>
        <vt:i4>0</vt:i4>
      </vt:variant>
      <vt:variant>
        <vt:i4>5</vt:i4>
      </vt:variant>
      <vt:variant>
        <vt:lpwstr/>
      </vt:variant>
      <vt:variant>
        <vt:lpwstr>_TBD</vt:lpwstr>
      </vt:variant>
      <vt:variant>
        <vt:i4>1048637</vt:i4>
      </vt:variant>
      <vt:variant>
        <vt:i4>5694</vt:i4>
      </vt:variant>
      <vt:variant>
        <vt:i4>0</vt:i4>
      </vt:variant>
      <vt:variant>
        <vt:i4>5</vt:i4>
      </vt:variant>
      <vt:variant>
        <vt:lpwstr/>
      </vt:variant>
      <vt:variant>
        <vt:lpwstr>_TBD</vt:lpwstr>
      </vt:variant>
      <vt:variant>
        <vt:i4>1048637</vt:i4>
      </vt:variant>
      <vt:variant>
        <vt:i4>5691</vt:i4>
      </vt:variant>
      <vt:variant>
        <vt:i4>0</vt:i4>
      </vt:variant>
      <vt:variant>
        <vt:i4>5</vt:i4>
      </vt:variant>
      <vt:variant>
        <vt:lpwstr/>
      </vt:variant>
      <vt:variant>
        <vt:lpwstr>_TBD</vt:lpwstr>
      </vt:variant>
      <vt:variant>
        <vt:i4>1048637</vt:i4>
      </vt:variant>
      <vt:variant>
        <vt:i4>5688</vt:i4>
      </vt:variant>
      <vt:variant>
        <vt:i4>0</vt:i4>
      </vt:variant>
      <vt:variant>
        <vt:i4>5</vt:i4>
      </vt:variant>
      <vt:variant>
        <vt:lpwstr/>
      </vt:variant>
      <vt:variant>
        <vt:lpwstr>_TBD</vt:lpwstr>
      </vt:variant>
      <vt:variant>
        <vt:i4>1048637</vt:i4>
      </vt:variant>
      <vt:variant>
        <vt:i4>5685</vt:i4>
      </vt:variant>
      <vt:variant>
        <vt:i4>0</vt:i4>
      </vt:variant>
      <vt:variant>
        <vt:i4>5</vt:i4>
      </vt:variant>
      <vt:variant>
        <vt:lpwstr/>
      </vt:variant>
      <vt:variant>
        <vt:lpwstr>_TBD</vt:lpwstr>
      </vt:variant>
      <vt:variant>
        <vt:i4>1048637</vt:i4>
      </vt:variant>
      <vt:variant>
        <vt:i4>5682</vt:i4>
      </vt:variant>
      <vt:variant>
        <vt:i4>0</vt:i4>
      </vt:variant>
      <vt:variant>
        <vt:i4>5</vt:i4>
      </vt:variant>
      <vt:variant>
        <vt:lpwstr/>
      </vt:variant>
      <vt:variant>
        <vt:lpwstr>_TBD</vt:lpwstr>
      </vt:variant>
      <vt:variant>
        <vt:i4>1048637</vt:i4>
      </vt:variant>
      <vt:variant>
        <vt:i4>5679</vt:i4>
      </vt:variant>
      <vt:variant>
        <vt:i4>0</vt:i4>
      </vt:variant>
      <vt:variant>
        <vt:i4>5</vt:i4>
      </vt:variant>
      <vt:variant>
        <vt:lpwstr/>
      </vt:variant>
      <vt:variant>
        <vt:lpwstr>_TBD</vt:lpwstr>
      </vt:variant>
      <vt:variant>
        <vt:i4>1048637</vt:i4>
      </vt:variant>
      <vt:variant>
        <vt:i4>5676</vt:i4>
      </vt:variant>
      <vt:variant>
        <vt:i4>0</vt:i4>
      </vt:variant>
      <vt:variant>
        <vt:i4>5</vt:i4>
      </vt:variant>
      <vt:variant>
        <vt:lpwstr/>
      </vt:variant>
      <vt:variant>
        <vt:lpwstr>_TBD</vt:lpwstr>
      </vt:variant>
      <vt:variant>
        <vt:i4>1048637</vt:i4>
      </vt:variant>
      <vt:variant>
        <vt:i4>5673</vt:i4>
      </vt:variant>
      <vt:variant>
        <vt:i4>0</vt:i4>
      </vt:variant>
      <vt:variant>
        <vt:i4>5</vt:i4>
      </vt:variant>
      <vt:variant>
        <vt:lpwstr/>
      </vt:variant>
      <vt:variant>
        <vt:lpwstr>_TBD</vt:lpwstr>
      </vt:variant>
      <vt:variant>
        <vt:i4>1048637</vt:i4>
      </vt:variant>
      <vt:variant>
        <vt:i4>5670</vt:i4>
      </vt:variant>
      <vt:variant>
        <vt:i4>0</vt:i4>
      </vt:variant>
      <vt:variant>
        <vt:i4>5</vt:i4>
      </vt:variant>
      <vt:variant>
        <vt:lpwstr/>
      </vt:variant>
      <vt:variant>
        <vt:lpwstr>_TBD</vt:lpwstr>
      </vt:variant>
      <vt:variant>
        <vt:i4>1048637</vt:i4>
      </vt:variant>
      <vt:variant>
        <vt:i4>5667</vt:i4>
      </vt:variant>
      <vt:variant>
        <vt:i4>0</vt:i4>
      </vt:variant>
      <vt:variant>
        <vt:i4>5</vt:i4>
      </vt:variant>
      <vt:variant>
        <vt:lpwstr/>
      </vt:variant>
      <vt:variant>
        <vt:lpwstr>_TBD</vt:lpwstr>
      </vt:variant>
      <vt:variant>
        <vt:i4>1048637</vt:i4>
      </vt:variant>
      <vt:variant>
        <vt:i4>5664</vt:i4>
      </vt:variant>
      <vt:variant>
        <vt:i4>0</vt:i4>
      </vt:variant>
      <vt:variant>
        <vt:i4>5</vt:i4>
      </vt:variant>
      <vt:variant>
        <vt:lpwstr/>
      </vt:variant>
      <vt:variant>
        <vt:lpwstr>_TBD</vt:lpwstr>
      </vt:variant>
      <vt:variant>
        <vt:i4>1048637</vt:i4>
      </vt:variant>
      <vt:variant>
        <vt:i4>5661</vt:i4>
      </vt:variant>
      <vt:variant>
        <vt:i4>0</vt:i4>
      </vt:variant>
      <vt:variant>
        <vt:i4>5</vt:i4>
      </vt:variant>
      <vt:variant>
        <vt:lpwstr/>
      </vt:variant>
      <vt:variant>
        <vt:lpwstr>_TBD</vt:lpwstr>
      </vt:variant>
      <vt:variant>
        <vt:i4>1048637</vt:i4>
      </vt:variant>
      <vt:variant>
        <vt:i4>5658</vt:i4>
      </vt:variant>
      <vt:variant>
        <vt:i4>0</vt:i4>
      </vt:variant>
      <vt:variant>
        <vt:i4>5</vt:i4>
      </vt:variant>
      <vt:variant>
        <vt:lpwstr/>
      </vt:variant>
      <vt:variant>
        <vt:lpwstr>_TBD</vt:lpwstr>
      </vt:variant>
      <vt:variant>
        <vt:i4>1048637</vt:i4>
      </vt:variant>
      <vt:variant>
        <vt:i4>5655</vt:i4>
      </vt:variant>
      <vt:variant>
        <vt:i4>0</vt:i4>
      </vt:variant>
      <vt:variant>
        <vt:i4>5</vt:i4>
      </vt:variant>
      <vt:variant>
        <vt:lpwstr/>
      </vt:variant>
      <vt:variant>
        <vt:lpwstr>_TBD</vt:lpwstr>
      </vt:variant>
      <vt:variant>
        <vt:i4>1048637</vt:i4>
      </vt:variant>
      <vt:variant>
        <vt:i4>5652</vt:i4>
      </vt:variant>
      <vt:variant>
        <vt:i4>0</vt:i4>
      </vt:variant>
      <vt:variant>
        <vt:i4>5</vt:i4>
      </vt:variant>
      <vt:variant>
        <vt:lpwstr/>
      </vt:variant>
      <vt:variant>
        <vt:lpwstr>_TBD</vt:lpwstr>
      </vt:variant>
      <vt:variant>
        <vt:i4>1048637</vt:i4>
      </vt:variant>
      <vt:variant>
        <vt:i4>5649</vt:i4>
      </vt:variant>
      <vt:variant>
        <vt:i4>0</vt:i4>
      </vt:variant>
      <vt:variant>
        <vt:i4>5</vt:i4>
      </vt:variant>
      <vt:variant>
        <vt:lpwstr/>
      </vt:variant>
      <vt:variant>
        <vt:lpwstr>_TBD</vt:lpwstr>
      </vt:variant>
      <vt:variant>
        <vt:i4>1048637</vt:i4>
      </vt:variant>
      <vt:variant>
        <vt:i4>5646</vt:i4>
      </vt:variant>
      <vt:variant>
        <vt:i4>0</vt:i4>
      </vt:variant>
      <vt:variant>
        <vt:i4>5</vt:i4>
      </vt:variant>
      <vt:variant>
        <vt:lpwstr/>
      </vt:variant>
      <vt:variant>
        <vt:lpwstr>_TBD</vt:lpwstr>
      </vt:variant>
      <vt:variant>
        <vt:i4>1048637</vt:i4>
      </vt:variant>
      <vt:variant>
        <vt:i4>5643</vt:i4>
      </vt:variant>
      <vt:variant>
        <vt:i4>0</vt:i4>
      </vt:variant>
      <vt:variant>
        <vt:i4>5</vt:i4>
      </vt:variant>
      <vt:variant>
        <vt:lpwstr/>
      </vt:variant>
      <vt:variant>
        <vt:lpwstr>_TBD</vt:lpwstr>
      </vt:variant>
      <vt:variant>
        <vt:i4>1048637</vt:i4>
      </vt:variant>
      <vt:variant>
        <vt:i4>5640</vt:i4>
      </vt:variant>
      <vt:variant>
        <vt:i4>0</vt:i4>
      </vt:variant>
      <vt:variant>
        <vt:i4>5</vt:i4>
      </vt:variant>
      <vt:variant>
        <vt:lpwstr/>
      </vt:variant>
      <vt:variant>
        <vt:lpwstr>_TBD</vt:lpwstr>
      </vt:variant>
      <vt:variant>
        <vt:i4>1048637</vt:i4>
      </vt:variant>
      <vt:variant>
        <vt:i4>5637</vt:i4>
      </vt:variant>
      <vt:variant>
        <vt:i4>0</vt:i4>
      </vt:variant>
      <vt:variant>
        <vt:i4>5</vt:i4>
      </vt:variant>
      <vt:variant>
        <vt:lpwstr/>
      </vt:variant>
      <vt:variant>
        <vt:lpwstr>_TBD</vt:lpwstr>
      </vt:variant>
      <vt:variant>
        <vt:i4>1048637</vt:i4>
      </vt:variant>
      <vt:variant>
        <vt:i4>5634</vt:i4>
      </vt:variant>
      <vt:variant>
        <vt:i4>0</vt:i4>
      </vt:variant>
      <vt:variant>
        <vt:i4>5</vt:i4>
      </vt:variant>
      <vt:variant>
        <vt:lpwstr/>
      </vt:variant>
      <vt:variant>
        <vt:lpwstr>_TBD</vt:lpwstr>
      </vt:variant>
      <vt:variant>
        <vt:i4>1048637</vt:i4>
      </vt:variant>
      <vt:variant>
        <vt:i4>5631</vt:i4>
      </vt:variant>
      <vt:variant>
        <vt:i4>0</vt:i4>
      </vt:variant>
      <vt:variant>
        <vt:i4>5</vt:i4>
      </vt:variant>
      <vt:variant>
        <vt:lpwstr/>
      </vt:variant>
      <vt:variant>
        <vt:lpwstr>_TBD</vt:lpwstr>
      </vt:variant>
      <vt:variant>
        <vt:i4>1048637</vt:i4>
      </vt:variant>
      <vt:variant>
        <vt:i4>5628</vt:i4>
      </vt:variant>
      <vt:variant>
        <vt:i4>0</vt:i4>
      </vt:variant>
      <vt:variant>
        <vt:i4>5</vt:i4>
      </vt:variant>
      <vt:variant>
        <vt:lpwstr/>
      </vt:variant>
      <vt:variant>
        <vt:lpwstr>_TBD</vt:lpwstr>
      </vt:variant>
      <vt:variant>
        <vt:i4>1048637</vt:i4>
      </vt:variant>
      <vt:variant>
        <vt:i4>5625</vt:i4>
      </vt:variant>
      <vt:variant>
        <vt:i4>0</vt:i4>
      </vt:variant>
      <vt:variant>
        <vt:i4>5</vt:i4>
      </vt:variant>
      <vt:variant>
        <vt:lpwstr/>
      </vt:variant>
      <vt:variant>
        <vt:lpwstr>_TBD</vt:lpwstr>
      </vt:variant>
      <vt:variant>
        <vt:i4>1048637</vt:i4>
      </vt:variant>
      <vt:variant>
        <vt:i4>5622</vt:i4>
      </vt:variant>
      <vt:variant>
        <vt:i4>0</vt:i4>
      </vt:variant>
      <vt:variant>
        <vt:i4>5</vt:i4>
      </vt:variant>
      <vt:variant>
        <vt:lpwstr/>
      </vt:variant>
      <vt:variant>
        <vt:lpwstr>_TBD</vt:lpwstr>
      </vt:variant>
      <vt:variant>
        <vt:i4>1048637</vt:i4>
      </vt:variant>
      <vt:variant>
        <vt:i4>5619</vt:i4>
      </vt:variant>
      <vt:variant>
        <vt:i4>0</vt:i4>
      </vt:variant>
      <vt:variant>
        <vt:i4>5</vt:i4>
      </vt:variant>
      <vt:variant>
        <vt:lpwstr/>
      </vt:variant>
      <vt:variant>
        <vt:lpwstr>_TBD</vt:lpwstr>
      </vt:variant>
      <vt:variant>
        <vt:i4>1048637</vt:i4>
      </vt:variant>
      <vt:variant>
        <vt:i4>5616</vt:i4>
      </vt:variant>
      <vt:variant>
        <vt:i4>0</vt:i4>
      </vt:variant>
      <vt:variant>
        <vt:i4>5</vt:i4>
      </vt:variant>
      <vt:variant>
        <vt:lpwstr/>
      </vt:variant>
      <vt:variant>
        <vt:lpwstr>_TBD</vt:lpwstr>
      </vt:variant>
      <vt:variant>
        <vt:i4>1048637</vt:i4>
      </vt:variant>
      <vt:variant>
        <vt:i4>5613</vt:i4>
      </vt:variant>
      <vt:variant>
        <vt:i4>0</vt:i4>
      </vt:variant>
      <vt:variant>
        <vt:i4>5</vt:i4>
      </vt:variant>
      <vt:variant>
        <vt:lpwstr/>
      </vt:variant>
      <vt:variant>
        <vt:lpwstr>_TBD</vt:lpwstr>
      </vt:variant>
      <vt:variant>
        <vt:i4>1048637</vt:i4>
      </vt:variant>
      <vt:variant>
        <vt:i4>5610</vt:i4>
      </vt:variant>
      <vt:variant>
        <vt:i4>0</vt:i4>
      </vt:variant>
      <vt:variant>
        <vt:i4>5</vt:i4>
      </vt:variant>
      <vt:variant>
        <vt:lpwstr/>
      </vt:variant>
      <vt:variant>
        <vt:lpwstr>_TBD</vt:lpwstr>
      </vt:variant>
      <vt:variant>
        <vt:i4>1048637</vt:i4>
      </vt:variant>
      <vt:variant>
        <vt:i4>5607</vt:i4>
      </vt:variant>
      <vt:variant>
        <vt:i4>0</vt:i4>
      </vt:variant>
      <vt:variant>
        <vt:i4>5</vt:i4>
      </vt:variant>
      <vt:variant>
        <vt:lpwstr/>
      </vt:variant>
      <vt:variant>
        <vt:lpwstr>_TBD</vt:lpwstr>
      </vt:variant>
      <vt:variant>
        <vt:i4>1048637</vt:i4>
      </vt:variant>
      <vt:variant>
        <vt:i4>5604</vt:i4>
      </vt:variant>
      <vt:variant>
        <vt:i4>0</vt:i4>
      </vt:variant>
      <vt:variant>
        <vt:i4>5</vt:i4>
      </vt:variant>
      <vt:variant>
        <vt:lpwstr/>
      </vt:variant>
      <vt:variant>
        <vt:lpwstr>_TBD</vt:lpwstr>
      </vt:variant>
      <vt:variant>
        <vt:i4>1048637</vt:i4>
      </vt:variant>
      <vt:variant>
        <vt:i4>5601</vt:i4>
      </vt:variant>
      <vt:variant>
        <vt:i4>0</vt:i4>
      </vt:variant>
      <vt:variant>
        <vt:i4>5</vt:i4>
      </vt:variant>
      <vt:variant>
        <vt:lpwstr/>
      </vt:variant>
      <vt:variant>
        <vt:lpwstr>_TBD</vt:lpwstr>
      </vt:variant>
      <vt:variant>
        <vt:i4>1048637</vt:i4>
      </vt:variant>
      <vt:variant>
        <vt:i4>5598</vt:i4>
      </vt:variant>
      <vt:variant>
        <vt:i4>0</vt:i4>
      </vt:variant>
      <vt:variant>
        <vt:i4>5</vt:i4>
      </vt:variant>
      <vt:variant>
        <vt:lpwstr/>
      </vt:variant>
      <vt:variant>
        <vt:lpwstr>_TBD</vt:lpwstr>
      </vt:variant>
      <vt:variant>
        <vt:i4>1048637</vt:i4>
      </vt:variant>
      <vt:variant>
        <vt:i4>5595</vt:i4>
      </vt:variant>
      <vt:variant>
        <vt:i4>0</vt:i4>
      </vt:variant>
      <vt:variant>
        <vt:i4>5</vt:i4>
      </vt:variant>
      <vt:variant>
        <vt:lpwstr/>
      </vt:variant>
      <vt:variant>
        <vt:lpwstr>_TBD</vt:lpwstr>
      </vt:variant>
      <vt:variant>
        <vt:i4>1048637</vt:i4>
      </vt:variant>
      <vt:variant>
        <vt:i4>5592</vt:i4>
      </vt:variant>
      <vt:variant>
        <vt:i4>0</vt:i4>
      </vt:variant>
      <vt:variant>
        <vt:i4>5</vt:i4>
      </vt:variant>
      <vt:variant>
        <vt:lpwstr/>
      </vt:variant>
      <vt:variant>
        <vt:lpwstr>_TBD</vt:lpwstr>
      </vt:variant>
      <vt:variant>
        <vt:i4>1048637</vt:i4>
      </vt:variant>
      <vt:variant>
        <vt:i4>5589</vt:i4>
      </vt:variant>
      <vt:variant>
        <vt:i4>0</vt:i4>
      </vt:variant>
      <vt:variant>
        <vt:i4>5</vt:i4>
      </vt:variant>
      <vt:variant>
        <vt:lpwstr/>
      </vt:variant>
      <vt:variant>
        <vt:lpwstr>_TBD</vt:lpwstr>
      </vt:variant>
      <vt:variant>
        <vt:i4>1048637</vt:i4>
      </vt:variant>
      <vt:variant>
        <vt:i4>5586</vt:i4>
      </vt:variant>
      <vt:variant>
        <vt:i4>0</vt:i4>
      </vt:variant>
      <vt:variant>
        <vt:i4>5</vt:i4>
      </vt:variant>
      <vt:variant>
        <vt:lpwstr/>
      </vt:variant>
      <vt:variant>
        <vt:lpwstr>_TBD</vt:lpwstr>
      </vt:variant>
      <vt:variant>
        <vt:i4>1048637</vt:i4>
      </vt:variant>
      <vt:variant>
        <vt:i4>5583</vt:i4>
      </vt:variant>
      <vt:variant>
        <vt:i4>0</vt:i4>
      </vt:variant>
      <vt:variant>
        <vt:i4>5</vt:i4>
      </vt:variant>
      <vt:variant>
        <vt:lpwstr/>
      </vt:variant>
      <vt:variant>
        <vt:lpwstr>_TBD</vt:lpwstr>
      </vt:variant>
      <vt:variant>
        <vt:i4>1048637</vt:i4>
      </vt:variant>
      <vt:variant>
        <vt:i4>5580</vt:i4>
      </vt:variant>
      <vt:variant>
        <vt:i4>0</vt:i4>
      </vt:variant>
      <vt:variant>
        <vt:i4>5</vt:i4>
      </vt:variant>
      <vt:variant>
        <vt:lpwstr/>
      </vt:variant>
      <vt:variant>
        <vt:lpwstr>_TBD</vt:lpwstr>
      </vt:variant>
      <vt:variant>
        <vt:i4>1048637</vt:i4>
      </vt:variant>
      <vt:variant>
        <vt:i4>5577</vt:i4>
      </vt:variant>
      <vt:variant>
        <vt:i4>0</vt:i4>
      </vt:variant>
      <vt:variant>
        <vt:i4>5</vt:i4>
      </vt:variant>
      <vt:variant>
        <vt:lpwstr/>
      </vt:variant>
      <vt:variant>
        <vt:lpwstr>_TBD</vt:lpwstr>
      </vt:variant>
      <vt:variant>
        <vt:i4>1048637</vt:i4>
      </vt:variant>
      <vt:variant>
        <vt:i4>5574</vt:i4>
      </vt:variant>
      <vt:variant>
        <vt:i4>0</vt:i4>
      </vt:variant>
      <vt:variant>
        <vt:i4>5</vt:i4>
      </vt:variant>
      <vt:variant>
        <vt:lpwstr/>
      </vt:variant>
      <vt:variant>
        <vt:lpwstr>_TBD</vt:lpwstr>
      </vt:variant>
      <vt:variant>
        <vt:i4>1048637</vt:i4>
      </vt:variant>
      <vt:variant>
        <vt:i4>5571</vt:i4>
      </vt:variant>
      <vt:variant>
        <vt:i4>0</vt:i4>
      </vt:variant>
      <vt:variant>
        <vt:i4>5</vt:i4>
      </vt:variant>
      <vt:variant>
        <vt:lpwstr/>
      </vt:variant>
      <vt:variant>
        <vt:lpwstr>_TBD</vt:lpwstr>
      </vt:variant>
      <vt:variant>
        <vt:i4>1048637</vt:i4>
      </vt:variant>
      <vt:variant>
        <vt:i4>5568</vt:i4>
      </vt:variant>
      <vt:variant>
        <vt:i4>0</vt:i4>
      </vt:variant>
      <vt:variant>
        <vt:i4>5</vt:i4>
      </vt:variant>
      <vt:variant>
        <vt:lpwstr/>
      </vt:variant>
      <vt:variant>
        <vt:lpwstr>_TBD</vt:lpwstr>
      </vt:variant>
      <vt:variant>
        <vt:i4>1048637</vt:i4>
      </vt:variant>
      <vt:variant>
        <vt:i4>5565</vt:i4>
      </vt:variant>
      <vt:variant>
        <vt:i4>0</vt:i4>
      </vt:variant>
      <vt:variant>
        <vt:i4>5</vt:i4>
      </vt:variant>
      <vt:variant>
        <vt:lpwstr/>
      </vt:variant>
      <vt:variant>
        <vt:lpwstr>_TBD</vt:lpwstr>
      </vt:variant>
      <vt:variant>
        <vt:i4>1048637</vt:i4>
      </vt:variant>
      <vt:variant>
        <vt:i4>5562</vt:i4>
      </vt:variant>
      <vt:variant>
        <vt:i4>0</vt:i4>
      </vt:variant>
      <vt:variant>
        <vt:i4>5</vt:i4>
      </vt:variant>
      <vt:variant>
        <vt:lpwstr/>
      </vt:variant>
      <vt:variant>
        <vt:lpwstr>_TBD</vt:lpwstr>
      </vt:variant>
      <vt:variant>
        <vt:i4>1048637</vt:i4>
      </vt:variant>
      <vt:variant>
        <vt:i4>5559</vt:i4>
      </vt:variant>
      <vt:variant>
        <vt:i4>0</vt:i4>
      </vt:variant>
      <vt:variant>
        <vt:i4>5</vt:i4>
      </vt:variant>
      <vt:variant>
        <vt:lpwstr/>
      </vt:variant>
      <vt:variant>
        <vt:lpwstr>_TBD</vt:lpwstr>
      </vt:variant>
      <vt:variant>
        <vt:i4>1048637</vt:i4>
      </vt:variant>
      <vt:variant>
        <vt:i4>5556</vt:i4>
      </vt:variant>
      <vt:variant>
        <vt:i4>0</vt:i4>
      </vt:variant>
      <vt:variant>
        <vt:i4>5</vt:i4>
      </vt:variant>
      <vt:variant>
        <vt:lpwstr/>
      </vt:variant>
      <vt:variant>
        <vt:lpwstr>_TBD</vt:lpwstr>
      </vt:variant>
      <vt:variant>
        <vt:i4>1048637</vt:i4>
      </vt:variant>
      <vt:variant>
        <vt:i4>5553</vt:i4>
      </vt:variant>
      <vt:variant>
        <vt:i4>0</vt:i4>
      </vt:variant>
      <vt:variant>
        <vt:i4>5</vt:i4>
      </vt:variant>
      <vt:variant>
        <vt:lpwstr/>
      </vt:variant>
      <vt:variant>
        <vt:lpwstr>_TBD</vt:lpwstr>
      </vt:variant>
      <vt:variant>
        <vt:i4>1048637</vt:i4>
      </vt:variant>
      <vt:variant>
        <vt:i4>5550</vt:i4>
      </vt:variant>
      <vt:variant>
        <vt:i4>0</vt:i4>
      </vt:variant>
      <vt:variant>
        <vt:i4>5</vt:i4>
      </vt:variant>
      <vt:variant>
        <vt:lpwstr/>
      </vt:variant>
      <vt:variant>
        <vt:lpwstr>_TBD</vt:lpwstr>
      </vt:variant>
      <vt:variant>
        <vt:i4>1048637</vt:i4>
      </vt:variant>
      <vt:variant>
        <vt:i4>5547</vt:i4>
      </vt:variant>
      <vt:variant>
        <vt:i4>0</vt:i4>
      </vt:variant>
      <vt:variant>
        <vt:i4>5</vt:i4>
      </vt:variant>
      <vt:variant>
        <vt:lpwstr/>
      </vt:variant>
      <vt:variant>
        <vt:lpwstr>_TBD</vt:lpwstr>
      </vt:variant>
      <vt:variant>
        <vt:i4>1048637</vt:i4>
      </vt:variant>
      <vt:variant>
        <vt:i4>5544</vt:i4>
      </vt:variant>
      <vt:variant>
        <vt:i4>0</vt:i4>
      </vt:variant>
      <vt:variant>
        <vt:i4>5</vt:i4>
      </vt:variant>
      <vt:variant>
        <vt:lpwstr/>
      </vt:variant>
      <vt:variant>
        <vt:lpwstr>_TBD</vt:lpwstr>
      </vt:variant>
      <vt:variant>
        <vt:i4>1048637</vt:i4>
      </vt:variant>
      <vt:variant>
        <vt:i4>5541</vt:i4>
      </vt:variant>
      <vt:variant>
        <vt:i4>0</vt:i4>
      </vt:variant>
      <vt:variant>
        <vt:i4>5</vt:i4>
      </vt:variant>
      <vt:variant>
        <vt:lpwstr/>
      </vt:variant>
      <vt:variant>
        <vt:lpwstr>_TBD</vt:lpwstr>
      </vt:variant>
      <vt:variant>
        <vt:i4>1048637</vt:i4>
      </vt:variant>
      <vt:variant>
        <vt:i4>5538</vt:i4>
      </vt:variant>
      <vt:variant>
        <vt:i4>0</vt:i4>
      </vt:variant>
      <vt:variant>
        <vt:i4>5</vt:i4>
      </vt:variant>
      <vt:variant>
        <vt:lpwstr/>
      </vt:variant>
      <vt:variant>
        <vt:lpwstr>_TBD</vt:lpwstr>
      </vt:variant>
      <vt:variant>
        <vt:i4>1048637</vt:i4>
      </vt:variant>
      <vt:variant>
        <vt:i4>5535</vt:i4>
      </vt:variant>
      <vt:variant>
        <vt:i4>0</vt:i4>
      </vt:variant>
      <vt:variant>
        <vt:i4>5</vt:i4>
      </vt:variant>
      <vt:variant>
        <vt:lpwstr/>
      </vt:variant>
      <vt:variant>
        <vt:lpwstr>_TBD</vt:lpwstr>
      </vt:variant>
      <vt:variant>
        <vt:i4>1048637</vt:i4>
      </vt:variant>
      <vt:variant>
        <vt:i4>5532</vt:i4>
      </vt:variant>
      <vt:variant>
        <vt:i4>0</vt:i4>
      </vt:variant>
      <vt:variant>
        <vt:i4>5</vt:i4>
      </vt:variant>
      <vt:variant>
        <vt:lpwstr/>
      </vt:variant>
      <vt:variant>
        <vt:lpwstr>_TBD</vt:lpwstr>
      </vt:variant>
      <vt:variant>
        <vt:i4>1048637</vt:i4>
      </vt:variant>
      <vt:variant>
        <vt:i4>5529</vt:i4>
      </vt:variant>
      <vt:variant>
        <vt:i4>0</vt:i4>
      </vt:variant>
      <vt:variant>
        <vt:i4>5</vt:i4>
      </vt:variant>
      <vt:variant>
        <vt:lpwstr/>
      </vt:variant>
      <vt:variant>
        <vt:lpwstr>_TBD</vt:lpwstr>
      </vt:variant>
      <vt:variant>
        <vt:i4>1048637</vt:i4>
      </vt:variant>
      <vt:variant>
        <vt:i4>5526</vt:i4>
      </vt:variant>
      <vt:variant>
        <vt:i4>0</vt:i4>
      </vt:variant>
      <vt:variant>
        <vt:i4>5</vt:i4>
      </vt:variant>
      <vt:variant>
        <vt:lpwstr/>
      </vt:variant>
      <vt:variant>
        <vt:lpwstr>_TBD</vt:lpwstr>
      </vt:variant>
      <vt:variant>
        <vt:i4>1048637</vt:i4>
      </vt:variant>
      <vt:variant>
        <vt:i4>5523</vt:i4>
      </vt:variant>
      <vt:variant>
        <vt:i4>0</vt:i4>
      </vt:variant>
      <vt:variant>
        <vt:i4>5</vt:i4>
      </vt:variant>
      <vt:variant>
        <vt:lpwstr/>
      </vt:variant>
      <vt:variant>
        <vt:lpwstr>_TBD</vt:lpwstr>
      </vt:variant>
      <vt:variant>
        <vt:i4>1048637</vt:i4>
      </vt:variant>
      <vt:variant>
        <vt:i4>5520</vt:i4>
      </vt:variant>
      <vt:variant>
        <vt:i4>0</vt:i4>
      </vt:variant>
      <vt:variant>
        <vt:i4>5</vt:i4>
      </vt:variant>
      <vt:variant>
        <vt:lpwstr/>
      </vt:variant>
      <vt:variant>
        <vt:lpwstr>_TBD</vt:lpwstr>
      </vt:variant>
      <vt:variant>
        <vt:i4>1048637</vt:i4>
      </vt:variant>
      <vt:variant>
        <vt:i4>5517</vt:i4>
      </vt:variant>
      <vt:variant>
        <vt:i4>0</vt:i4>
      </vt:variant>
      <vt:variant>
        <vt:i4>5</vt:i4>
      </vt:variant>
      <vt:variant>
        <vt:lpwstr/>
      </vt:variant>
      <vt:variant>
        <vt:lpwstr>_TBD</vt:lpwstr>
      </vt:variant>
      <vt:variant>
        <vt:i4>1048637</vt:i4>
      </vt:variant>
      <vt:variant>
        <vt:i4>5514</vt:i4>
      </vt:variant>
      <vt:variant>
        <vt:i4>0</vt:i4>
      </vt:variant>
      <vt:variant>
        <vt:i4>5</vt:i4>
      </vt:variant>
      <vt:variant>
        <vt:lpwstr/>
      </vt:variant>
      <vt:variant>
        <vt:lpwstr>_TBD</vt:lpwstr>
      </vt:variant>
      <vt:variant>
        <vt:i4>1048637</vt:i4>
      </vt:variant>
      <vt:variant>
        <vt:i4>5511</vt:i4>
      </vt:variant>
      <vt:variant>
        <vt:i4>0</vt:i4>
      </vt:variant>
      <vt:variant>
        <vt:i4>5</vt:i4>
      </vt:variant>
      <vt:variant>
        <vt:lpwstr/>
      </vt:variant>
      <vt:variant>
        <vt:lpwstr>_TBD</vt:lpwstr>
      </vt:variant>
      <vt:variant>
        <vt:i4>1048637</vt:i4>
      </vt:variant>
      <vt:variant>
        <vt:i4>5508</vt:i4>
      </vt:variant>
      <vt:variant>
        <vt:i4>0</vt:i4>
      </vt:variant>
      <vt:variant>
        <vt:i4>5</vt:i4>
      </vt:variant>
      <vt:variant>
        <vt:lpwstr/>
      </vt:variant>
      <vt:variant>
        <vt:lpwstr>_TBD</vt:lpwstr>
      </vt:variant>
      <vt:variant>
        <vt:i4>1048637</vt:i4>
      </vt:variant>
      <vt:variant>
        <vt:i4>5505</vt:i4>
      </vt:variant>
      <vt:variant>
        <vt:i4>0</vt:i4>
      </vt:variant>
      <vt:variant>
        <vt:i4>5</vt:i4>
      </vt:variant>
      <vt:variant>
        <vt:lpwstr/>
      </vt:variant>
      <vt:variant>
        <vt:lpwstr>_TBD</vt:lpwstr>
      </vt:variant>
      <vt:variant>
        <vt:i4>1048637</vt:i4>
      </vt:variant>
      <vt:variant>
        <vt:i4>5502</vt:i4>
      </vt:variant>
      <vt:variant>
        <vt:i4>0</vt:i4>
      </vt:variant>
      <vt:variant>
        <vt:i4>5</vt:i4>
      </vt:variant>
      <vt:variant>
        <vt:lpwstr/>
      </vt:variant>
      <vt:variant>
        <vt:lpwstr>_TBD</vt:lpwstr>
      </vt:variant>
      <vt:variant>
        <vt:i4>1048637</vt:i4>
      </vt:variant>
      <vt:variant>
        <vt:i4>5499</vt:i4>
      </vt:variant>
      <vt:variant>
        <vt:i4>0</vt:i4>
      </vt:variant>
      <vt:variant>
        <vt:i4>5</vt:i4>
      </vt:variant>
      <vt:variant>
        <vt:lpwstr/>
      </vt:variant>
      <vt:variant>
        <vt:lpwstr>_TBD</vt:lpwstr>
      </vt:variant>
      <vt:variant>
        <vt:i4>1048637</vt:i4>
      </vt:variant>
      <vt:variant>
        <vt:i4>5496</vt:i4>
      </vt:variant>
      <vt:variant>
        <vt:i4>0</vt:i4>
      </vt:variant>
      <vt:variant>
        <vt:i4>5</vt:i4>
      </vt:variant>
      <vt:variant>
        <vt:lpwstr/>
      </vt:variant>
      <vt:variant>
        <vt:lpwstr>_TBD</vt:lpwstr>
      </vt:variant>
      <vt:variant>
        <vt:i4>1048637</vt:i4>
      </vt:variant>
      <vt:variant>
        <vt:i4>5493</vt:i4>
      </vt:variant>
      <vt:variant>
        <vt:i4>0</vt:i4>
      </vt:variant>
      <vt:variant>
        <vt:i4>5</vt:i4>
      </vt:variant>
      <vt:variant>
        <vt:lpwstr/>
      </vt:variant>
      <vt:variant>
        <vt:lpwstr>_TBD</vt:lpwstr>
      </vt:variant>
      <vt:variant>
        <vt:i4>1048637</vt:i4>
      </vt:variant>
      <vt:variant>
        <vt:i4>5490</vt:i4>
      </vt:variant>
      <vt:variant>
        <vt:i4>0</vt:i4>
      </vt:variant>
      <vt:variant>
        <vt:i4>5</vt:i4>
      </vt:variant>
      <vt:variant>
        <vt:lpwstr/>
      </vt:variant>
      <vt:variant>
        <vt:lpwstr>_TBD</vt:lpwstr>
      </vt:variant>
      <vt:variant>
        <vt:i4>1048637</vt:i4>
      </vt:variant>
      <vt:variant>
        <vt:i4>5487</vt:i4>
      </vt:variant>
      <vt:variant>
        <vt:i4>0</vt:i4>
      </vt:variant>
      <vt:variant>
        <vt:i4>5</vt:i4>
      </vt:variant>
      <vt:variant>
        <vt:lpwstr/>
      </vt:variant>
      <vt:variant>
        <vt:lpwstr>_TBD</vt:lpwstr>
      </vt:variant>
      <vt:variant>
        <vt:i4>1048637</vt:i4>
      </vt:variant>
      <vt:variant>
        <vt:i4>5484</vt:i4>
      </vt:variant>
      <vt:variant>
        <vt:i4>0</vt:i4>
      </vt:variant>
      <vt:variant>
        <vt:i4>5</vt:i4>
      </vt:variant>
      <vt:variant>
        <vt:lpwstr/>
      </vt:variant>
      <vt:variant>
        <vt:lpwstr>_TBD</vt:lpwstr>
      </vt:variant>
      <vt:variant>
        <vt:i4>1048637</vt:i4>
      </vt:variant>
      <vt:variant>
        <vt:i4>5481</vt:i4>
      </vt:variant>
      <vt:variant>
        <vt:i4>0</vt:i4>
      </vt:variant>
      <vt:variant>
        <vt:i4>5</vt:i4>
      </vt:variant>
      <vt:variant>
        <vt:lpwstr/>
      </vt:variant>
      <vt:variant>
        <vt:lpwstr>_TBD</vt:lpwstr>
      </vt:variant>
      <vt:variant>
        <vt:i4>1048637</vt:i4>
      </vt:variant>
      <vt:variant>
        <vt:i4>5478</vt:i4>
      </vt:variant>
      <vt:variant>
        <vt:i4>0</vt:i4>
      </vt:variant>
      <vt:variant>
        <vt:i4>5</vt:i4>
      </vt:variant>
      <vt:variant>
        <vt:lpwstr/>
      </vt:variant>
      <vt:variant>
        <vt:lpwstr>_TBD</vt:lpwstr>
      </vt:variant>
      <vt:variant>
        <vt:i4>1048637</vt:i4>
      </vt:variant>
      <vt:variant>
        <vt:i4>5475</vt:i4>
      </vt:variant>
      <vt:variant>
        <vt:i4>0</vt:i4>
      </vt:variant>
      <vt:variant>
        <vt:i4>5</vt:i4>
      </vt:variant>
      <vt:variant>
        <vt:lpwstr/>
      </vt:variant>
      <vt:variant>
        <vt:lpwstr>_TBD</vt:lpwstr>
      </vt:variant>
      <vt:variant>
        <vt:i4>1048637</vt:i4>
      </vt:variant>
      <vt:variant>
        <vt:i4>5472</vt:i4>
      </vt:variant>
      <vt:variant>
        <vt:i4>0</vt:i4>
      </vt:variant>
      <vt:variant>
        <vt:i4>5</vt:i4>
      </vt:variant>
      <vt:variant>
        <vt:lpwstr/>
      </vt:variant>
      <vt:variant>
        <vt:lpwstr>_TBD</vt:lpwstr>
      </vt:variant>
      <vt:variant>
        <vt:i4>1048637</vt:i4>
      </vt:variant>
      <vt:variant>
        <vt:i4>5469</vt:i4>
      </vt:variant>
      <vt:variant>
        <vt:i4>0</vt:i4>
      </vt:variant>
      <vt:variant>
        <vt:i4>5</vt:i4>
      </vt:variant>
      <vt:variant>
        <vt:lpwstr/>
      </vt:variant>
      <vt:variant>
        <vt:lpwstr>_TBD</vt:lpwstr>
      </vt:variant>
      <vt:variant>
        <vt:i4>6160465</vt:i4>
      </vt:variant>
      <vt:variant>
        <vt:i4>5466</vt:i4>
      </vt:variant>
      <vt:variant>
        <vt:i4>0</vt:i4>
      </vt:variant>
      <vt:variant>
        <vt:i4>5</vt:i4>
      </vt:variant>
      <vt:variant>
        <vt:lpwstr/>
      </vt:variant>
      <vt:variant>
        <vt:lpwstr>Sending_Retarget_Files</vt:lpwstr>
      </vt:variant>
      <vt:variant>
        <vt:i4>6160465</vt:i4>
      </vt:variant>
      <vt:variant>
        <vt:i4>5463</vt:i4>
      </vt:variant>
      <vt:variant>
        <vt:i4>0</vt:i4>
      </vt:variant>
      <vt:variant>
        <vt:i4>5</vt:i4>
      </vt:variant>
      <vt:variant>
        <vt:lpwstr/>
      </vt:variant>
      <vt:variant>
        <vt:lpwstr>Sending_Retarget_Files</vt:lpwstr>
      </vt:variant>
      <vt:variant>
        <vt:i4>2883611</vt:i4>
      </vt:variant>
      <vt:variant>
        <vt:i4>5460</vt:i4>
      </vt:variant>
      <vt:variant>
        <vt:i4>0</vt:i4>
      </vt:variant>
      <vt:variant>
        <vt:i4>5</vt:i4>
      </vt:variant>
      <vt:variant>
        <vt:lpwstr/>
      </vt:variant>
      <vt:variant>
        <vt:lpwstr>_Appendix_C__Country Codes  (SORTED _1</vt:lpwstr>
      </vt:variant>
      <vt:variant>
        <vt:i4>2883611</vt:i4>
      </vt:variant>
      <vt:variant>
        <vt:i4>5457</vt:i4>
      </vt:variant>
      <vt:variant>
        <vt:i4>0</vt:i4>
      </vt:variant>
      <vt:variant>
        <vt:i4>5</vt:i4>
      </vt:variant>
      <vt:variant>
        <vt:lpwstr/>
      </vt:variant>
      <vt:variant>
        <vt:lpwstr>_Appendix_C__Country Codes  (SORTED _1</vt:lpwstr>
      </vt:variant>
      <vt:variant>
        <vt:i4>2883611</vt:i4>
      </vt:variant>
      <vt:variant>
        <vt:i4>5454</vt:i4>
      </vt:variant>
      <vt:variant>
        <vt:i4>0</vt:i4>
      </vt:variant>
      <vt:variant>
        <vt:i4>5</vt:i4>
      </vt:variant>
      <vt:variant>
        <vt:lpwstr/>
      </vt:variant>
      <vt:variant>
        <vt:lpwstr>_Appendix_C__Country Codes  (SORTED _1</vt:lpwstr>
      </vt:variant>
      <vt:variant>
        <vt:i4>327706</vt:i4>
      </vt:variant>
      <vt:variant>
        <vt:i4>5451</vt:i4>
      </vt:variant>
      <vt:variant>
        <vt:i4>0</vt:i4>
      </vt:variant>
      <vt:variant>
        <vt:i4>5</vt:i4>
      </vt:variant>
      <vt:variant>
        <vt:lpwstr/>
      </vt:variant>
      <vt:variant>
        <vt:lpwstr>_5.2.3.5__Properties_1</vt:lpwstr>
      </vt:variant>
      <vt:variant>
        <vt:i4>7602177</vt:i4>
      </vt:variant>
      <vt:variant>
        <vt:i4>5448</vt:i4>
      </vt:variant>
      <vt:variant>
        <vt:i4>0</vt:i4>
      </vt:variant>
      <vt:variant>
        <vt:i4>5</vt:i4>
      </vt:variant>
      <vt:variant>
        <vt:lpwstr/>
      </vt:variant>
      <vt:variant>
        <vt:lpwstr>_5.2.3.5.1__Sort</vt:lpwstr>
      </vt:variant>
      <vt:variant>
        <vt:i4>2228321</vt:i4>
      </vt:variant>
      <vt:variant>
        <vt:i4>5445</vt:i4>
      </vt:variant>
      <vt:variant>
        <vt:i4>0</vt:i4>
      </vt:variant>
      <vt:variant>
        <vt:i4>5</vt:i4>
      </vt:variant>
      <vt:variant>
        <vt:lpwstr/>
      </vt:variant>
      <vt:variant>
        <vt:lpwstr>_5.2.2.1__Select_All</vt:lpwstr>
      </vt:variant>
      <vt:variant>
        <vt:i4>2424928</vt:i4>
      </vt:variant>
      <vt:variant>
        <vt:i4>5442</vt:i4>
      </vt:variant>
      <vt:variant>
        <vt:i4>0</vt:i4>
      </vt:variant>
      <vt:variant>
        <vt:i4>5</vt:i4>
      </vt:variant>
      <vt:variant>
        <vt:lpwstr/>
      </vt:variant>
      <vt:variant>
        <vt:lpwstr>_5.2.5.1__Find_Option</vt:lpwstr>
      </vt:variant>
      <vt:variant>
        <vt:i4>2621526</vt:i4>
      </vt:variant>
      <vt:variant>
        <vt:i4>5439</vt:i4>
      </vt:variant>
      <vt:variant>
        <vt:i4>0</vt:i4>
      </vt:variant>
      <vt:variant>
        <vt:i4>5</vt:i4>
      </vt:variant>
      <vt:variant>
        <vt:lpwstr/>
      </vt:variant>
      <vt:variant>
        <vt:lpwstr>_5.2.1.7__Receive</vt:lpwstr>
      </vt:variant>
      <vt:variant>
        <vt:i4>3801170</vt:i4>
      </vt:variant>
      <vt:variant>
        <vt:i4>5436</vt:i4>
      </vt:variant>
      <vt:variant>
        <vt:i4>0</vt:i4>
      </vt:variant>
      <vt:variant>
        <vt:i4>5</vt:i4>
      </vt:variant>
      <vt:variant>
        <vt:lpwstr/>
      </vt:variant>
      <vt:variant>
        <vt:lpwstr>_5.2.1.6__Delete</vt:lpwstr>
      </vt:variant>
      <vt:variant>
        <vt:i4>4194359</vt:i4>
      </vt:variant>
      <vt:variant>
        <vt:i4>5433</vt:i4>
      </vt:variant>
      <vt:variant>
        <vt:i4>0</vt:i4>
      </vt:variant>
      <vt:variant>
        <vt:i4>5</vt:i4>
      </vt:variant>
      <vt:variant>
        <vt:lpwstr/>
      </vt:variant>
      <vt:variant>
        <vt:lpwstr>_5.2.1.5__Print</vt:lpwstr>
      </vt:variant>
      <vt:variant>
        <vt:i4>6029363</vt:i4>
      </vt:variant>
      <vt:variant>
        <vt:i4>5430</vt:i4>
      </vt:variant>
      <vt:variant>
        <vt:i4>0</vt:i4>
      </vt:variant>
      <vt:variant>
        <vt:i4>5</vt:i4>
      </vt:variant>
      <vt:variant>
        <vt:lpwstr/>
      </vt:variant>
      <vt:variant>
        <vt:lpwstr>_5.2.1.4__Send</vt:lpwstr>
      </vt:variant>
      <vt:variant>
        <vt:i4>131124</vt:i4>
      </vt:variant>
      <vt:variant>
        <vt:i4>5427</vt:i4>
      </vt:variant>
      <vt:variant>
        <vt:i4>0</vt:i4>
      </vt:variant>
      <vt:variant>
        <vt:i4>5</vt:i4>
      </vt:variant>
      <vt:variant>
        <vt:lpwstr/>
      </vt:variant>
      <vt:variant>
        <vt:lpwstr>_5.46.3_Create_TMPR</vt:lpwstr>
      </vt:variant>
      <vt:variant>
        <vt:i4>6619230</vt:i4>
      </vt:variant>
      <vt:variant>
        <vt:i4>5424</vt:i4>
      </vt:variant>
      <vt:variant>
        <vt:i4>0</vt:i4>
      </vt:variant>
      <vt:variant>
        <vt:i4>5</vt:i4>
      </vt:variant>
      <vt:variant>
        <vt:lpwstr/>
      </vt:variant>
      <vt:variant>
        <vt:lpwstr>_5.46.2_Create_Target</vt:lpwstr>
      </vt:variant>
      <vt:variant>
        <vt:i4>5505047</vt:i4>
      </vt:variant>
      <vt:variant>
        <vt:i4>5421</vt:i4>
      </vt:variant>
      <vt:variant>
        <vt:i4>0</vt:i4>
      </vt:variant>
      <vt:variant>
        <vt:i4>5</vt:i4>
      </vt:variant>
      <vt:variant>
        <vt:lpwstr/>
      </vt:variant>
      <vt:variant>
        <vt:lpwstr>_5.2.1.2.4__Display_Textually</vt:lpwstr>
      </vt:variant>
      <vt:variant>
        <vt:i4>5898295</vt:i4>
      </vt:variant>
      <vt:variant>
        <vt:i4>5418</vt:i4>
      </vt:variant>
      <vt:variant>
        <vt:i4>0</vt:i4>
      </vt:variant>
      <vt:variant>
        <vt:i4>5</vt:i4>
      </vt:variant>
      <vt:variant>
        <vt:lpwstr/>
      </vt:variant>
      <vt:variant>
        <vt:lpwstr>_5.6__MISSIONS</vt:lpwstr>
      </vt:variant>
      <vt:variant>
        <vt:i4>4522088</vt:i4>
      </vt:variant>
      <vt:variant>
        <vt:i4>5415</vt:i4>
      </vt:variant>
      <vt:variant>
        <vt:i4>0</vt:i4>
      </vt:variant>
      <vt:variant>
        <vt:i4>5</vt:i4>
      </vt:variant>
      <vt:variant>
        <vt:lpwstr/>
      </vt:variant>
      <vt:variant>
        <vt:lpwstr>_5.20__RECEIVED</vt:lpwstr>
      </vt:variant>
      <vt:variant>
        <vt:i4>4456559</vt:i4>
      </vt:variant>
      <vt:variant>
        <vt:i4>5412</vt:i4>
      </vt:variant>
      <vt:variant>
        <vt:i4>0</vt:i4>
      </vt:variant>
      <vt:variant>
        <vt:i4>5</vt:i4>
      </vt:variant>
      <vt:variant>
        <vt:lpwstr/>
      </vt:variant>
      <vt:variant>
        <vt:lpwstr>_5.10__IQVC</vt:lpwstr>
      </vt:variant>
      <vt:variant>
        <vt:i4>5308533</vt:i4>
      </vt:variant>
      <vt:variant>
        <vt:i4>5409</vt:i4>
      </vt:variant>
      <vt:variant>
        <vt:i4>0</vt:i4>
      </vt:variant>
      <vt:variant>
        <vt:i4>5</vt:i4>
      </vt:variant>
      <vt:variant>
        <vt:lpwstr/>
      </vt:variant>
      <vt:variant>
        <vt:lpwstr>_5.23__INCOMING</vt:lpwstr>
      </vt:variant>
      <vt:variant>
        <vt:i4>3997707</vt:i4>
      </vt:variant>
      <vt:variant>
        <vt:i4>5406</vt:i4>
      </vt:variant>
      <vt:variant>
        <vt:i4>0</vt:i4>
      </vt:variant>
      <vt:variant>
        <vt:i4>5</vt:i4>
      </vt:variant>
      <vt:variant>
        <vt:lpwstr/>
      </vt:variant>
      <vt:variant>
        <vt:lpwstr>_5.28__ERROR</vt:lpwstr>
      </vt:variant>
      <vt:variant>
        <vt:i4>3801199</vt:i4>
      </vt:variant>
      <vt:variant>
        <vt:i4>5403</vt:i4>
      </vt:variant>
      <vt:variant>
        <vt:i4>0</vt:i4>
      </vt:variant>
      <vt:variant>
        <vt:i4>5</vt:i4>
      </vt:variant>
      <vt:variant>
        <vt:lpwstr/>
      </vt:variant>
      <vt:variant>
        <vt:lpwstr>_5.2.1.2.3__Display_References</vt:lpwstr>
      </vt:variant>
      <vt:variant>
        <vt:i4>3801199</vt:i4>
      </vt:variant>
      <vt:variant>
        <vt:i4>5400</vt:i4>
      </vt:variant>
      <vt:variant>
        <vt:i4>0</vt:i4>
      </vt:variant>
      <vt:variant>
        <vt:i4>5</vt:i4>
      </vt:variant>
      <vt:variant>
        <vt:lpwstr/>
      </vt:variant>
      <vt:variant>
        <vt:lpwstr>_5.2.1.2.3__Display_References</vt:lpwstr>
      </vt:variant>
      <vt:variant>
        <vt:i4>3801199</vt:i4>
      </vt:variant>
      <vt:variant>
        <vt:i4>5397</vt:i4>
      </vt:variant>
      <vt:variant>
        <vt:i4>0</vt:i4>
      </vt:variant>
      <vt:variant>
        <vt:i4>5</vt:i4>
      </vt:variant>
      <vt:variant>
        <vt:lpwstr/>
      </vt:variant>
      <vt:variant>
        <vt:lpwstr>_5.2.1.2.3__Display_References</vt:lpwstr>
      </vt:variant>
      <vt:variant>
        <vt:i4>2228321</vt:i4>
      </vt:variant>
      <vt:variant>
        <vt:i4>5394</vt:i4>
      </vt:variant>
      <vt:variant>
        <vt:i4>0</vt:i4>
      </vt:variant>
      <vt:variant>
        <vt:i4>5</vt:i4>
      </vt:variant>
      <vt:variant>
        <vt:lpwstr/>
      </vt:variant>
      <vt:variant>
        <vt:lpwstr>_5.2.2.1__Select_All</vt:lpwstr>
      </vt:variant>
      <vt:variant>
        <vt:i4>4784214</vt:i4>
      </vt:variant>
      <vt:variant>
        <vt:i4>5391</vt:i4>
      </vt:variant>
      <vt:variant>
        <vt:i4>0</vt:i4>
      </vt:variant>
      <vt:variant>
        <vt:i4>5</vt:i4>
      </vt:variant>
      <vt:variant>
        <vt:lpwstr/>
      </vt:variant>
      <vt:variant>
        <vt:lpwstr>_5.2.1.2.1__Display_in Excel</vt:lpwstr>
      </vt:variant>
      <vt:variant>
        <vt:i4>4194359</vt:i4>
      </vt:variant>
      <vt:variant>
        <vt:i4>5388</vt:i4>
      </vt:variant>
      <vt:variant>
        <vt:i4>0</vt:i4>
      </vt:variant>
      <vt:variant>
        <vt:i4>5</vt:i4>
      </vt:variant>
      <vt:variant>
        <vt:lpwstr/>
      </vt:variant>
      <vt:variant>
        <vt:lpwstr>_5.2.1.5__Print</vt:lpwstr>
      </vt:variant>
      <vt:variant>
        <vt:i4>327706</vt:i4>
      </vt:variant>
      <vt:variant>
        <vt:i4>5385</vt:i4>
      </vt:variant>
      <vt:variant>
        <vt:i4>0</vt:i4>
      </vt:variant>
      <vt:variant>
        <vt:i4>5</vt:i4>
      </vt:variant>
      <vt:variant>
        <vt:lpwstr/>
      </vt:variant>
      <vt:variant>
        <vt:lpwstr>_5.2.3.5__Properties_1</vt:lpwstr>
      </vt:variant>
      <vt:variant>
        <vt:i4>7602177</vt:i4>
      </vt:variant>
      <vt:variant>
        <vt:i4>5379</vt:i4>
      </vt:variant>
      <vt:variant>
        <vt:i4>0</vt:i4>
      </vt:variant>
      <vt:variant>
        <vt:i4>5</vt:i4>
      </vt:variant>
      <vt:variant>
        <vt:lpwstr/>
      </vt:variant>
      <vt:variant>
        <vt:lpwstr>_5.2.3.5.1__Sort</vt:lpwstr>
      </vt:variant>
      <vt:variant>
        <vt:i4>327706</vt:i4>
      </vt:variant>
      <vt:variant>
        <vt:i4>5376</vt:i4>
      </vt:variant>
      <vt:variant>
        <vt:i4>0</vt:i4>
      </vt:variant>
      <vt:variant>
        <vt:i4>5</vt:i4>
      </vt:variant>
      <vt:variant>
        <vt:lpwstr/>
      </vt:variant>
      <vt:variant>
        <vt:lpwstr>_5.2.3.5__Properties_1</vt:lpwstr>
      </vt:variant>
      <vt:variant>
        <vt:i4>589837</vt:i4>
      </vt:variant>
      <vt:variant>
        <vt:i4>5373</vt:i4>
      </vt:variant>
      <vt:variant>
        <vt:i4>0</vt:i4>
      </vt:variant>
      <vt:variant>
        <vt:i4>5</vt:i4>
      </vt:variant>
      <vt:variant>
        <vt:lpwstr/>
      </vt:variant>
      <vt:variant>
        <vt:lpwstr>_5.2.1.4__Delete_1</vt:lpwstr>
      </vt:variant>
      <vt:variant>
        <vt:i4>2228321</vt:i4>
      </vt:variant>
      <vt:variant>
        <vt:i4>5370</vt:i4>
      </vt:variant>
      <vt:variant>
        <vt:i4>0</vt:i4>
      </vt:variant>
      <vt:variant>
        <vt:i4>5</vt:i4>
      </vt:variant>
      <vt:variant>
        <vt:lpwstr/>
      </vt:variant>
      <vt:variant>
        <vt:lpwstr>_5.2.2.1__Select_All</vt:lpwstr>
      </vt:variant>
      <vt:variant>
        <vt:i4>4784214</vt:i4>
      </vt:variant>
      <vt:variant>
        <vt:i4>5367</vt:i4>
      </vt:variant>
      <vt:variant>
        <vt:i4>0</vt:i4>
      </vt:variant>
      <vt:variant>
        <vt:i4>5</vt:i4>
      </vt:variant>
      <vt:variant>
        <vt:lpwstr/>
      </vt:variant>
      <vt:variant>
        <vt:lpwstr>_5.2.1.2.1__Display_in Excel</vt:lpwstr>
      </vt:variant>
      <vt:variant>
        <vt:i4>4194359</vt:i4>
      </vt:variant>
      <vt:variant>
        <vt:i4>5364</vt:i4>
      </vt:variant>
      <vt:variant>
        <vt:i4>0</vt:i4>
      </vt:variant>
      <vt:variant>
        <vt:i4>5</vt:i4>
      </vt:variant>
      <vt:variant>
        <vt:lpwstr/>
      </vt:variant>
      <vt:variant>
        <vt:lpwstr>_5.2.1.5__Print</vt:lpwstr>
      </vt:variant>
      <vt:variant>
        <vt:i4>2424928</vt:i4>
      </vt:variant>
      <vt:variant>
        <vt:i4>5361</vt:i4>
      </vt:variant>
      <vt:variant>
        <vt:i4>0</vt:i4>
      </vt:variant>
      <vt:variant>
        <vt:i4>5</vt:i4>
      </vt:variant>
      <vt:variant>
        <vt:lpwstr/>
      </vt:variant>
      <vt:variant>
        <vt:lpwstr>_5.2.5.1__Find_Option</vt:lpwstr>
      </vt:variant>
      <vt:variant>
        <vt:i4>6881347</vt:i4>
      </vt:variant>
      <vt:variant>
        <vt:i4>5358</vt:i4>
      </vt:variant>
      <vt:variant>
        <vt:i4>0</vt:i4>
      </vt:variant>
      <vt:variant>
        <vt:i4>5</vt:i4>
      </vt:variant>
      <vt:variant>
        <vt:lpwstr/>
      </vt:variant>
      <vt:variant>
        <vt:lpwstr>_5.6.12__Multiple</vt:lpwstr>
      </vt:variant>
      <vt:variant>
        <vt:i4>8323149</vt:i4>
      </vt:variant>
      <vt:variant>
        <vt:i4>5355</vt:i4>
      </vt:variant>
      <vt:variant>
        <vt:i4>0</vt:i4>
      </vt:variant>
      <vt:variant>
        <vt:i4>5</vt:i4>
      </vt:variant>
      <vt:variant>
        <vt:lpwstr/>
      </vt:variant>
      <vt:variant>
        <vt:lpwstr>_5.13.9__Validate</vt:lpwstr>
      </vt:variant>
      <vt:variant>
        <vt:i4>4980843</vt:i4>
      </vt:variant>
      <vt:variant>
        <vt:i4>5352</vt:i4>
      </vt:variant>
      <vt:variant>
        <vt:i4>0</vt:i4>
      </vt:variant>
      <vt:variant>
        <vt:i4>5</vt:i4>
      </vt:variant>
      <vt:variant>
        <vt:lpwstr/>
      </vt:variant>
      <vt:variant>
        <vt:lpwstr>_5.43.2_Set_Distribution</vt:lpwstr>
      </vt:variant>
      <vt:variant>
        <vt:i4>196654</vt:i4>
      </vt:variant>
      <vt:variant>
        <vt:i4>5349</vt:i4>
      </vt:variant>
      <vt:variant>
        <vt:i4>0</vt:i4>
      </vt:variant>
      <vt:variant>
        <vt:i4>5</vt:i4>
      </vt:variant>
      <vt:variant>
        <vt:lpwstr/>
      </vt:variant>
      <vt:variant>
        <vt:lpwstr>_5.42.3__Distribute</vt:lpwstr>
      </vt:variant>
      <vt:variant>
        <vt:i4>7798859</vt:i4>
      </vt:variant>
      <vt:variant>
        <vt:i4>5346</vt:i4>
      </vt:variant>
      <vt:variant>
        <vt:i4>0</vt:i4>
      </vt:variant>
      <vt:variant>
        <vt:i4>5</vt:i4>
      </vt:variant>
      <vt:variant>
        <vt:lpwstr/>
      </vt:variant>
      <vt:variant>
        <vt:lpwstr>_5.42.2__Set</vt:lpwstr>
      </vt:variant>
      <vt:variant>
        <vt:i4>2228321</vt:i4>
      </vt:variant>
      <vt:variant>
        <vt:i4>5343</vt:i4>
      </vt:variant>
      <vt:variant>
        <vt:i4>0</vt:i4>
      </vt:variant>
      <vt:variant>
        <vt:i4>5</vt:i4>
      </vt:variant>
      <vt:variant>
        <vt:lpwstr/>
      </vt:variant>
      <vt:variant>
        <vt:lpwstr>_5.2.2.1__Select_All</vt:lpwstr>
      </vt:variant>
      <vt:variant>
        <vt:i4>4784214</vt:i4>
      </vt:variant>
      <vt:variant>
        <vt:i4>5340</vt:i4>
      </vt:variant>
      <vt:variant>
        <vt:i4>0</vt:i4>
      </vt:variant>
      <vt:variant>
        <vt:i4>5</vt:i4>
      </vt:variant>
      <vt:variant>
        <vt:lpwstr/>
      </vt:variant>
      <vt:variant>
        <vt:lpwstr>_5.2.1.2.1__Display_in Excel</vt:lpwstr>
      </vt:variant>
      <vt:variant>
        <vt:i4>3801199</vt:i4>
      </vt:variant>
      <vt:variant>
        <vt:i4>5337</vt:i4>
      </vt:variant>
      <vt:variant>
        <vt:i4>0</vt:i4>
      </vt:variant>
      <vt:variant>
        <vt:i4>5</vt:i4>
      </vt:variant>
      <vt:variant>
        <vt:lpwstr/>
      </vt:variant>
      <vt:variant>
        <vt:lpwstr>_5.2.1.2.3__Display_References</vt:lpwstr>
      </vt:variant>
      <vt:variant>
        <vt:i4>4194359</vt:i4>
      </vt:variant>
      <vt:variant>
        <vt:i4>5334</vt:i4>
      </vt:variant>
      <vt:variant>
        <vt:i4>0</vt:i4>
      </vt:variant>
      <vt:variant>
        <vt:i4>5</vt:i4>
      </vt:variant>
      <vt:variant>
        <vt:lpwstr/>
      </vt:variant>
      <vt:variant>
        <vt:lpwstr>_5.2.1.5__Print</vt:lpwstr>
      </vt:variant>
      <vt:variant>
        <vt:i4>7602177</vt:i4>
      </vt:variant>
      <vt:variant>
        <vt:i4>5331</vt:i4>
      </vt:variant>
      <vt:variant>
        <vt:i4>0</vt:i4>
      </vt:variant>
      <vt:variant>
        <vt:i4>5</vt:i4>
      </vt:variant>
      <vt:variant>
        <vt:lpwstr/>
      </vt:variant>
      <vt:variant>
        <vt:lpwstr>_5.2.3.5.1__Sort</vt:lpwstr>
      </vt:variant>
      <vt:variant>
        <vt:i4>327706</vt:i4>
      </vt:variant>
      <vt:variant>
        <vt:i4>5328</vt:i4>
      </vt:variant>
      <vt:variant>
        <vt:i4>0</vt:i4>
      </vt:variant>
      <vt:variant>
        <vt:i4>5</vt:i4>
      </vt:variant>
      <vt:variant>
        <vt:lpwstr/>
      </vt:variant>
      <vt:variant>
        <vt:lpwstr>_5.2.3.5__Properties_1</vt:lpwstr>
      </vt:variant>
      <vt:variant>
        <vt:i4>2424928</vt:i4>
      </vt:variant>
      <vt:variant>
        <vt:i4>5325</vt:i4>
      </vt:variant>
      <vt:variant>
        <vt:i4>0</vt:i4>
      </vt:variant>
      <vt:variant>
        <vt:i4>5</vt:i4>
      </vt:variant>
      <vt:variant>
        <vt:lpwstr/>
      </vt:variant>
      <vt:variant>
        <vt:lpwstr>_5.2.5.1__Find_Option</vt:lpwstr>
      </vt:variant>
      <vt:variant>
        <vt:i4>3801209</vt:i4>
      </vt:variant>
      <vt:variant>
        <vt:i4>5322</vt:i4>
      </vt:variant>
      <vt:variant>
        <vt:i4>0</vt:i4>
      </vt:variant>
      <vt:variant>
        <vt:i4>5</vt:i4>
      </vt:variant>
      <vt:variant>
        <vt:lpwstr/>
      </vt:variant>
      <vt:variant>
        <vt:lpwstr>_5.22__DDO_TEMPLATES TOOL</vt:lpwstr>
      </vt:variant>
      <vt:variant>
        <vt:i4>3801199</vt:i4>
      </vt:variant>
      <vt:variant>
        <vt:i4>5319</vt:i4>
      </vt:variant>
      <vt:variant>
        <vt:i4>0</vt:i4>
      </vt:variant>
      <vt:variant>
        <vt:i4>5</vt:i4>
      </vt:variant>
      <vt:variant>
        <vt:lpwstr/>
      </vt:variant>
      <vt:variant>
        <vt:lpwstr>_5.2.1.2.3__Display_References</vt:lpwstr>
      </vt:variant>
      <vt:variant>
        <vt:i4>589837</vt:i4>
      </vt:variant>
      <vt:variant>
        <vt:i4>5316</vt:i4>
      </vt:variant>
      <vt:variant>
        <vt:i4>0</vt:i4>
      </vt:variant>
      <vt:variant>
        <vt:i4>5</vt:i4>
      </vt:variant>
      <vt:variant>
        <vt:lpwstr/>
      </vt:variant>
      <vt:variant>
        <vt:lpwstr>_5.2.1.4__Delete_1</vt:lpwstr>
      </vt:variant>
      <vt:variant>
        <vt:i4>2228321</vt:i4>
      </vt:variant>
      <vt:variant>
        <vt:i4>5313</vt:i4>
      </vt:variant>
      <vt:variant>
        <vt:i4>0</vt:i4>
      </vt:variant>
      <vt:variant>
        <vt:i4>5</vt:i4>
      </vt:variant>
      <vt:variant>
        <vt:lpwstr/>
      </vt:variant>
      <vt:variant>
        <vt:lpwstr>_5.2.2.1__Select_All</vt:lpwstr>
      </vt:variant>
      <vt:variant>
        <vt:i4>2424928</vt:i4>
      </vt:variant>
      <vt:variant>
        <vt:i4>5310</vt:i4>
      </vt:variant>
      <vt:variant>
        <vt:i4>0</vt:i4>
      </vt:variant>
      <vt:variant>
        <vt:i4>5</vt:i4>
      </vt:variant>
      <vt:variant>
        <vt:lpwstr/>
      </vt:variant>
      <vt:variant>
        <vt:lpwstr>_5.2.5.1__Find_Option</vt:lpwstr>
      </vt:variant>
      <vt:variant>
        <vt:i4>7602177</vt:i4>
      </vt:variant>
      <vt:variant>
        <vt:i4>5307</vt:i4>
      </vt:variant>
      <vt:variant>
        <vt:i4>0</vt:i4>
      </vt:variant>
      <vt:variant>
        <vt:i4>5</vt:i4>
      </vt:variant>
      <vt:variant>
        <vt:lpwstr/>
      </vt:variant>
      <vt:variant>
        <vt:lpwstr>_5.2.3.5.1__Sort</vt:lpwstr>
      </vt:variant>
      <vt:variant>
        <vt:i4>327706</vt:i4>
      </vt:variant>
      <vt:variant>
        <vt:i4>5304</vt:i4>
      </vt:variant>
      <vt:variant>
        <vt:i4>0</vt:i4>
      </vt:variant>
      <vt:variant>
        <vt:i4>5</vt:i4>
      </vt:variant>
      <vt:variant>
        <vt:lpwstr/>
      </vt:variant>
      <vt:variant>
        <vt:lpwstr>_5.2.3.5__Properties_1</vt:lpwstr>
      </vt:variant>
      <vt:variant>
        <vt:i4>4194359</vt:i4>
      </vt:variant>
      <vt:variant>
        <vt:i4>5301</vt:i4>
      </vt:variant>
      <vt:variant>
        <vt:i4>0</vt:i4>
      </vt:variant>
      <vt:variant>
        <vt:i4>5</vt:i4>
      </vt:variant>
      <vt:variant>
        <vt:lpwstr/>
      </vt:variant>
      <vt:variant>
        <vt:lpwstr>_5.2.1.5__Print</vt:lpwstr>
      </vt:variant>
      <vt:variant>
        <vt:i4>4784214</vt:i4>
      </vt:variant>
      <vt:variant>
        <vt:i4>5298</vt:i4>
      </vt:variant>
      <vt:variant>
        <vt:i4>0</vt:i4>
      </vt:variant>
      <vt:variant>
        <vt:i4>5</vt:i4>
      </vt:variant>
      <vt:variant>
        <vt:lpwstr/>
      </vt:variant>
      <vt:variant>
        <vt:lpwstr>_5.2.1.2.1__Display_in Excel</vt:lpwstr>
      </vt:variant>
      <vt:variant>
        <vt:i4>6226020</vt:i4>
      </vt:variant>
      <vt:variant>
        <vt:i4>5295</vt:i4>
      </vt:variant>
      <vt:variant>
        <vt:i4>0</vt:i4>
      </vt:variant>
      <vt:variant>
        <vt:i4>5</vt:i4>
      </vt:variant>
      <vt:variant>
        <vt:lpwstr/>
      </vt:variant>
      <vt:variant>
        <vt:lpwstr>_5.39__TSRT</vt:lpwstr>
      </vt:variant>
      <vt:variant>
        <vt:i4>3670075</vt:i4>
      </vt:variant>
      <vt:variant>
        <vt:i4>5292</vt:i4>
      </vt:variant>
      <vt:variant>
        <vt:i4>0</vt:i4>
      </vt:variant>
      <vt:variant>
        <vt:i4>5</vt:i4>
      </vt:variant>
      <vt:variant>
        <vt:lpwstr/>
      </vt:variant>
      <vt:variant>
        <vt:lpwstr>Save_to_Original</vt:lpwstr>
      </vt:variant>
      <vt:variant>
        <vt:i4>6815764</vt:i4>
      </vt:variant>
      <vt:variant>
        <vt:i4>5289</vt:i4>
      </vt:variant>
      <vt:variant>
        <vt:i4>0</vt:i4>
      </vt:variant>
      <vt:variant>
        <vt:i4>5</vt:i4>
      </vt:variant>
      <vt:variant>
        <vt:lpwstr/>
      </vt:variant>
      <vt:variant>
        <vt:lpwstr>_5.39.13.1__Creating</vt:lpwstr>
      </vt:variant>
      <vt:variant>
        <vt:i4>2228321</vt:i4>
      </vt:variant>
      <vt:variant>
        <vt:i4>5274</vt:i4>
      </vt:variant>
      <vt:variant>
        <vt:i4>0</vt:i4>
      </vt:variant>
      <vt:variant>
        <vt:i4>5</vt:i4>
      </vt:variant>
      <vt:variant>
        <vt:lpwstr/>
      </vt:variant>
      <vt:variant>
        <vt:lpwstr>_5.2.2.1__Select_All</vt:lpwstr>
      </vt:variant>
      <vt:variant>
        <vt:i4>2424928</vt:i4>
      </vt:variant>
      <vt:variant>
        <vt:i4>5271</vt:i4>
      </vt:variant>
      <vt:variant>
        <vt:i4>0</vt:i4>
      </vt:variant>
      <vt:variant>
        <vt:i4>5</vt:i4>
      </vt:variant>
      <vt:variant>
        <vt:lpwstr/>
      </vt:variant>
      <vt:variant>
        <vt:lpwstr>_5.2.5.1__Find_Option</vt:lpwstr>
      </vt:variant>
      <vt:variant>
        <vt:i4>7602177</vt:i4>
      </vt:variant>
      <vt:variant>
        <vt:i4>5268</vt:i4>
      </vt:variant>
      <vt:variant>
        <vt:i4>0</vt:i4>
      </vt:variant>
      <vt:variant>
        <vt:i4>5</vt:i4>
      </vt:variant>
      <vt:variant>
        <vt:lpwstr/>
      </vt:variant>
      <vt:variant>
        <vt:lpwstr>_5.2.3.5.1__Sort</vt:lpwstr>
      </vt:variant>
      <vt:variant>
        <vt:i4>4194359</vt:i4>
      </vt:variant>
      <vt:variant>
        <vt:i4>5265</vt:i4>
      </vt:variant>
      <vt:variant>
        <vt:i4>0</vt:i4>
      </vt:variant>
      <vt:variant>
        <vt:i4>5</vt:i4>
      </vt:variant>
      <vt:variant>
        <vt:lpwstr/>
      </vt:variant>
      <vt:variant>
        <vt:lpwstr>_5.2.1.5__Print</vt:lpwstr>
      </vt:variant>
      <vt:variant>
        <vt:i4>1703986</vt:i4>
      </vt:variant>
      <vt:variant>
        <vt:i4>5262</vt:i4>
      </vt:variant>
      <vt:variant>
        <vt:i4>0</vt:i4>
      </vt:variant>
      <vt:variant>
        <vt:i4>5</vt:i4>
      </vt:variant>
      <vt:variant>
        <vt:lpwstr/>
      </vt:variant>
      <vt:variant>
        <vt:lpwstr>_5.40.1__Strike</vt:lpwstr>
      </vt:variant>
      <vt:variant>
        <vt:i4>196622</vt:i4>
      </vt:variant>
      <vt:variant>
        <vt:i4>5259</vt:i4>
      </vt:variant>
      <vt:variant>
        <vt:i4>0</vt:i4>
      </vt:variant>
      <vt:variant>
        <vt:i4>5</vt:i4>
      </vt:variant>
      <vt:variant>
        <vt:lpwstr/>
      </vt:variant>
      <vt:variant>
        <vt:lpwstr>_5.39.4__FRU_Status</vt:lpwstr>
      </vt:variant>
      <vt:variant>
        <vt:i4>131083</vt:i4>
      </vt:variant>
      <vt:variant>
        <vt:i4>5256</vt:i4>
      </vt:variant>
      <vt:variant>
        <vt:i4>0</vt:i4>
      </vt:variant>
      <vt:variant>
        <vt:i4>5</vt:i4>
      </vt:variant>
      <vt:variant>
        <vt:lpwstr/>
      </vt:variant>
      <vt:variant>
        <vt:lpwstr>_5.39.5__Missile_Status</vt:lpwstr>
      </vt:variant>
      <vt:variant>
        <vt:i4>4915268</vt:i4>
      </vt:variant>
      <vt:variant>
        <vt:i4>5253</vt:i4>
      </vt:variant>
      <vt:variant>
        <vt:i4>0</vt:i4>
      </vt:variant>
      <vt:variant>
        <vt:i4>5</vt:i4>
      </vt:variant>
      <vt:variant>
        <vt:lpwstr/>
      </vt:variant>
      <vt:variant>
        <vt:lpwstr>_5.39.3__TSRT_Geo</vt:lpwstr>
      </vt:variant>
      <vt:variant>
        <vt:i4>8126582</vt:i4>
      </vt:variant>
      <vt:variant>
        <vt:i4>5250</vt:i4>
      </vt:variant>
      <vt:variant>
        <vt:i4>0</vt:i4>
      </vt:variant>
      <vt:variant>
        <vt:i4>5</vt:i4>
      </vt:variant>
      <vt:variant>
        <vt:lpwstr/>
      </vt:variant>
      <vt:variant>
        <vt:lpwstr>_5.39.1__Gantt_Chart</vt:lpwstr>
      </vt:variant>
      <vt:variant>
        <vt:i4>8126510</vt:i4>
      </vt:variant>
      <vt:variant>
        <vt:i4>5247</vt:i4>
      </vt:variant>
      <vt:variant>
        <vt:i4>0</vt:i4>
      </vt:variant>
      <vt:variant>
        <vt:i4>5</vt:i4>
      </vt:variant>
      <vt:variant>
        <vt:lpwstr/>
      </vt:variant>
      <vt:variant>
        <vt:lpwstr>_5.2.1.7_Bookshelf</vt:lpwstr>
      </vt:variant>
      <vt:variant>
        <vt:i4>8126510</vt:i4>
      </vt:variant>
      <vt:variant>
        <vt:i4>5244</vt:i4>
      </vt:variant>
      <vt:variant>
        <vt:i4>0</vt:i4>
      </vt:variant>
      <vt:variant>
        <vt:i4>5</vt:i4>
      </vt:variant>
      <vt:variant>
        <vt:lpwstr/>
      </vt:variant>
      <vt:variant>
        <vt:lpwstr>_5.2.1.7_Bookshelf</vt:lpwstr>
      </vt:variant>
      <vt:variant>
        <vt:i4>5505084</vt:i4>
      </vt:variant>
      <vt:variant>
        <vt:i4>5241</vt:i4>
      </vt:variant>
      <vt:variant>
        <vt:i4>0</vt:i4>
      </vt:variant>
      <vt:variant>
        <vt:i4>5</vt:i4>
      </vt:variant>
      <vt:variant>
        <vt:lpwstr/>
      </vt:variant>
      <vt:variant>
        <vt:lpwstr>_5.39.13__Complications</vt:lpwstr>
      </vt:variant>
      <vt:variant>
        <vt:i4>5505084</vt:i4>
      </vt:variant>
      <vt:variant>
        <vt:i4>5238</vt:i4>
      </vt:variant>
      <vt:variant>
        <vt:i4>0</vt:i4>
      </vt:variant>
      <vt:variant>
        <vt:i4>5</vt:i4>
      </vt:variant>
      <vt:variant>
        <vt:lpwstr/>
      </vt:variant>
      <vt:variant>
        <vt:lpwstr>_5.39.13__Complications</vt:lpwstr>
      </vt:variant>
      <vt:variant>
        <vt:i4>5505084</vt:i4>
      </vt:variant>
      <vt:variant>
        <vt:i4>5235</vt:i4>
      </vt:variant>
      <vt:variant>
        <vt:i4>0</vt:i4>
      </vt:variant>
      <vt:variant>
        <vt:i4>5</vt:i4>
      </vt:variant>
      <vt:variant>
        <vt:lpwstr/>
      </vt:variant>
      <vt:variant>
        <vt:lpwstr>_5.39.13__Complications</vt:lpwstr>
      </vt:variant>
      <vt:variant>
        <vt:i4>7471142</vt:i4>
      </vt:variant>
      <vt:variant>
        <vt:i4>5232</vt:i4>
      </vt:variant>
      <vt:variant>
        <vt:i4>0</vt:i4>
      </vt:variant>
      <vt:variant>
        <vt:i4>5</vt:i4>
      </vt:variant>
      <vt:variant>
        <vt:lpwstr/>
      </vt:variant>
      <vt:variant>
        <vt:lpwstr>_5.29.3.9__Backup_ Database</vt:lpwstr>
      </vt:variant>
      <vt:variant>
        <vt:i4>1114201</vt:i4>
      </vt:variant>
      <vt:variant>
        <vt:i4>5229</vt:i4>
      </vt:variant>
      <vt:variant>
        <vt:i4>0</vt:i4>
      </vt:variant>
      <vt:variant>
        <vt:i4>5</vt:i4>
      </vt:variant>
      <vt:variant>
        <vt:lpwstr/>
      </vt:variant>
      <vt:variant>
        <vt:lpwstr>_5.39.12__FDU_Log</vt:lpwstr>
      </vt:variant>
      <vt:variant>
        <vt:i4>7929959</vt:i4>
      </vt:variant>
      <vt:variant>
        <vt:i4>5226</vt:i4>
      </vt:variant>
      <vt:variant>
        <vt:i4>0</vt:i4>
      </vt:variant>
      <vt:variant>
        <vt:i4>5</vt:i4>
      </vt:variant>
      <vt:variant>
        <vt:lpwstr/>
      </vt:variant>
      <vt:variant>
        <vt:lpwstr>_5.39.11__Ping_1</vt:lpwstr>
      </vt:variant>
      <vt:variant>
        <vt:i4>4980754</vt:i4>
      </vt:variant>
      <vt:variant>
        <vt:i4>5223</vt:i4>
      </vt:variant>
      <vt:variant>
        <vt:i4>0</vt:i4>
      </vt:variant>
      <vt:variant>
        <vt:i4>5</vt:i4>
      </vt:variant>
      <vt:variant>
        <vt:lpwstr/>
      </vt:variant>
      <vt:variant>
        <vt:lpwstr>_5.39.10__IMMM_Log</vt:lpwstr>
      </vt:variant>
      <vt:variant>
        <vt:i4>6488162</vt:i4>
      </vt:variant>
      <vt:variant>
        <vt:i4>5220</vt:i4>
      </vt:variant>
      <vt:variant>
        <vt:i4>0</vt:i4>
      </vt:variant>
      <vt:variant>
        <vt:i4>5</vt:i4>
      </vt:variant>
      <vt:variant>
        <vt:lpwstr/>
      </vt:variant>
      <vt:variant>
        <vt:lpwstr>_5.39.9__Health_and Status Log</vt:lpwstr>
      </vt:variant>
      <vt:variant>
        <vt:i4>7274605</vt:i4>
      </vt:variant>
      <vt:variant>
        <vt:i4>5217</vt:i4>
      </vt:variant>
      <vt:variant>
        <vt:i4>0</vt:i4>
      </vt:variant>
      <vt:variant>
        <vt:i4>5</vt:i4>
      </vt:variant>
      <vt:variant>
        <vt:lpwstr/>
      </vt:variant>
      <vt:variant>
        <vt:lpwstr>_5.39.8__FRU_Log</vt:lpwstr>
      </vt:variant>
      <vt:variant>
        <vt:i4>7209062</vt:i4>
      </vt:variant>
      <vt:variant>
        <vt:i4>5214</vt:i4>
      </vt:variant>
      <vt:variant>
        <vt:i4>0</vt:i4>
      </vt:variant>
      <vt:variant>
        <vt:i4>5</vt:i4>
      </vt:variant>
      <vt:variant>
        <vt:lpwstr/>
      </vt:variant>
      <vt:variant>
        <vt:lpwstr>_5.39.7__Missile_Log</vt:lpwstr>
      </vt:variant>
      <vt:variant>
        <vt:i4>3080302</vt:i4>
      </vt:variant>
      <vt:variant>
        <vt:i4>5211</vt:i4>
      </vt:variant>
      <vt:variant>
        <vt:i4>0</vt:i4>
      </vt:variant>
      <vt:variant>
        <vt:i4>5</vt:i4>
      </vt:variant>
      <vt:variant>
        <vt:lpwstr/>
      </vt:variant>
      <vt:variant>
        <vt:lpwstr>_5.39.6__Complications_1</vt:lpwstr>
      </vt:variant>
      <vt:variant>
        <vt:i4>131083</vt:i4>
      </vt:variant>
      <vt:variant>
        <vt:i4>5208</vt:i4>
      </vt:variant>
      <vt:variant>
        <vt:i4>0</vt:i4>
      </vt:variant>
      <vt:variant>
        <vt:i4>5</vt:i4>
      </vt:variant>
      <vt:variant>
        <vt:lpwstr/>
      </vt:variant>
      <vt:variant>
        <vt:lpwstr>_5.39.5__Missile_Status</vt:lpwstr>
      </vt:variant>
      <vt:variant>
        <vt:i4>196622</vt:i4>
      </vt:variant>
      <vt:variant>
        <vt:i4>5205</vt:i4>
      </vt:variant>
      <vt:variant>
        <vt:i4>0</vt:i4>
      </vt:variant>
      <vt:variant>
        <vt:i4>5</vt:i4>
      </vt:variant>
      <vt:variant>
        <vt:lpwstr/>
      </vt:variant>
      <vt:variant>
        <vt:lpwstr>_5.39.4__FRU_Status</vt:lpwstr>
      </vt:variant>
      <vt:variant>
        <vt:i4>4915268</vt:i4>
      </vt:variant>
      <vt:variant>
        <vt:i4>5202</vt:i4>
      </vt:variant>
      <vt:variant>
        <vt:i4>0</vt:i4>
      </vt:variant>
      <vt:variant>
        <vt:i4>5</vt:i4>
      </vt:variant>
      <vt:variant>
        <vt:lpwstr/>
      </vt:variant>
      <vt:variant>
        <vt:lpwstr>_5.39.3__TSRT_Geo</vt:lpwstr>
      </vt:variant>
      <vt:variant>
        <vt:i4>8126582</vt:i4>
      </vt:variant>
      <vt:variant>
        <vt:i4>5199</vt:i4>
      </vt:variant>
      <vt:variant>
        <vt:i4>0</vt:i4>
      </vt:variant>
      <vt:variant>
        <vt:i4>5</vt:i4>
      </vt:variant>
      <vt:variant>
        <vt:lpwstr/>
      </vt:variant>
      <vt:variant>
        <vt:lpwstr>_5.39.1__Gantt_Chart</vt:lpwstr>
      </vt:variant>
      <vt:variant>
        <vt:i4>3866647</vt:i4>
      </vt:variant>
      <vt:variant>
        <vt:i4>5196</vt:i4>
      </vt:variant>
      <vt:variant>
        <vt:i4>0</vt:i4>
      </vt:variant>
      <vt:variant>
        <vt:i4>5</vt:i4>
      </vt:variant>
      <vt:variant>
        <vt:lpwstr/>
      </vt:variant>
      <vt:variant>
        <vt:lpwstr>VCR_Controls</vt:lpwstr>
      </vt:variant>
      <vt:variant>
        <vt:i4>720991</vt:i4>
      </vt:variant>
      <vt:variant>
        <vt:i4>5193</vt:i4>
      </vt:variant>
      <vt:variant>
        <vt:i4>0</vt:i4>
      </vt:variant>
      <vt:variant>
        <vt:i4>5</vt:i4>
      </vt:variant>
      <vt:variant>
        <vt:lpwstr/>
      </vt:variant>
      <vt:variant>
        <vt:lpwstr>_5.38.14.5.3_Remove_a_Profile</vt:lpwstr>
      </vt:variant>
      <vt:variant>
        <vt:i4>2097197</vt:i4>
      </vt:variant>
      <vt:variant>
        <vt:i4>5190</vt:i4>
      </vt:variant>
      <vt:variant>
        <vt:i4>0</vt:i4>
      </vt:variant>
      <vt:variant>
        <vt:i4>5</vt:i4>
      </vt:variant>
      <vt:variant>
        <vt:lpwstr/>
      </vt:variant>
      <vt:variant>
        <vt:lpwstr>_5.38.14.5.1_Save_a_New Profile</vt:lpwstr>
      </vt:variant>
      <vt:variant>
        <vt:i4>6684724</vt:i4>
      </vt:variant>
      <vt:variant>
        <vt:i4>5187</vt:i4>
      </vt:variant>
      <vt:variant>
        <vt:i4>0</vt:i4>
      </vt:variant>
      <vt:variant>
        <vt:i4>5</vt:i4>
      </vt:variant>
      <vt:variant>
        <vt:lpwstr/>
      </vt:variant>
      <vt:variant>
        <vt:lpwstr>_5.38.14.5.2_Save_a_Profile</vt:lpwstr>
      </vt:variant>
      <vt:variant>
        <vt:i4>3997809</vt:i4>
      </vt:variant>
      <vt:variant>
        <vt:i4>5184</vt:i4>
      </vt:variant>
      <vt:variant>
        <vt:i4>0</vt:i4>
      </vt:variant>
      <vt:variant>
        <vt:i4>5</vt:i4>
      </vt:variant>
      <vt:variant>
        <vt:lpwstr/>
      </vt:variant>
      <vt:variant>
        <vt:lpwstr>_5.38.13.5_Profiles</vt:lpwstr>
      </vt:variant>
      <vt:variant>
        <vt:i4>4325384</vt:i4>
      </vt:variant>
      <vt:variant>
        <vt:i4>5181</vt:i4>
      </vt:variant>
      <vt:variant>
        <vt:i4>0</vt:i4>
      </vt:variant>
      <vt:variant>
        <vt:i4>5</vt:i4>
      </vt:variant>
      <vt:variant>
        <vt:lpwstr/>
      </vt:variant>
      <vt:variant>
        <vt:lpwstr>_5.38.13__Dockable_Windows</vt:lpwstr>
      </vt:variant>
      <vt:variant>
        <vt:i4>2162752</vt:i4>
      </vt:variant>
      <vt:variant>
        <vt:i4>5178</vt:i4>
      </vt:variant>
      <vt:variant>
        <vt:i4>0</vt:i4>
      </vt:variant>
      <vt:variant>
        <vt:i4>5</vt:i4>
      </vt:variant>
      <vt:variant>
        <vt:lpwstr/>
      </vt:variant>
      <vt:variant>
        <vt:lpwstr>_5.39.12__FDU</vt:lpwstr>
      </vt:variant>
      <vt:variant>
        <vt:i4>7929959</vt:i4>
      </vt:variant>
      <vt:variant>
        <vt:i4>5175</vt:i4>
      </vt:variant>
      <vt:variant>
        <vt:i4>0</vt:i4>
      </vt:variant>
      <vt:variant>
        <vt:i4>5</vt:i4>
      </vt:variant>
      <vt:variant>
        <vt:lpwstr/>
      </vt:variant>
      <vt:variant>
        <vt:lpwstr>_5.39.11__Ping_1</vt:lpwstr>
      </vt:variant>
      <vt:variant>
        <vt:i4>7733373</vt:i4>
      </vt:variant>
      <vt:variant>
        <vt:i4>5172</vt:i4>
      </vt:variant>
      <vt:variant>
        <vt:i4>0</vt:i4>
      </vt:variant>
      <vt:variant>
        <vt:i4>5</vt:i4>
      </vt:variant>
      <vt:variant>
        <vt:lpwstr/>
      </vt:variant>
      <vt:variant>
        <vt:lpwstr>_5.39.10__IMMM_1</vt:lpwstr>
      </vt:variant>
      <vt:variant>
        <vt:i4>655399</vt:i4>
      </vt:variant>
      <vt:variant>
        <vt:i4>5169</vt:i4>
      </vt:variant>
      <vt:variant>
        <vt:i4>0</vt:i4>
      </vt:variant>
      <vt:variant>
        <vt:i4>5</vt:i4>
      </vt:variant>
      <vt:variant>
        <vt:lpwstr/>
      </vt:variant>
      <vt:variant>
        <vt:lpwstr>_5.39.9__Health</vt:lpwstr>
      </vt:variant>
      <vt:variant>
        <vt:i4>6553693</vt:i4>
      </vt:variant>
      <vt:variant>
        <vt:i4>5166</vt:i4>
      </vt:variant>
      <vt:variant>
        <vt:i4>0</vt:i4>
      </vt:variant>
      <vt:variant>
        <vt:i4>5</vt:i4>
      </vt:variant>
      <vt:variant>
        <vt:lpwstr/>
      </vt:variant>
      <vt:variant>
        <vt:lpwstr>_5.39.8__FRU</vt:lpwstr>
      </vt:variant>
      <vt:variant>
        <vt:i4>6619222</vt:i4>
      </vt:variant>
      <vt:variant>
        <vt:i4>5163</vt:i4>
      </vt:variant>
      <vt:variant>
        <vt:i4>0</vt:i4>
      </vt:variant>
      <vt:variant>
        <vt:i4>5</vt:i4>
      </vt:variant>
      <vt:variant>
        <vt:lpwstr/>
      </vt:variant>
      <vt:variant>
        <vt:lpwstr>_5.39.7__Missile</vt:lpwstr>
      </vt:variant>
      <vt:variant>
        <vt:i4>3080302</vt:i4>
      </vt:variant>
      <vt:variant>
        <vt:i4>5160</vt:i4>
      </vt:variant>
      <vt:variant>
        <vt:i4>0</vt:i4>
      </vt:variant>
      <vt:variant>
        <vt:i4>5</vt:i4>
      </vt:variant>
      <vt:variant>
        <vt:lpwstr/>
      </vt:variant>
      <vt:variant>
        <vt:lpwstr>_5.39.6__Complications_1</vt:lpwstr>
      </vt:variant>
      <vt:variant>
        <vt:i4>6619220</vt:i4>
      </vt:variant>
      <vt:variant>
        <vt:i4>5157</vt:i4>
      </vt:variant>
      <vt:variant>
        <vt:i4>0</vt:i4>
      </vt:variant>
      <vt:variant>
        <vt:i4>5</vt:i4>
      </vt:variant>
      <vt:variant>
        <vt:lpwstr/>
      </vt:variant>
      <vt:variant>
        <vt:lpwstr>_5.39.5__Missile</vt:lpwstr>
      </vt:variant>
      <vt:variant>
        <vt:i4>6553681</vt:i4>
      </vt:variant>
      <vt:variant>
        <vt:i4>5154</vt:i4>
      </vt:variant>
      <vt:variant>
        <vt:i4>0</vt:i4>
      </vt:variant>
      <vt:variant>
        <vt:i4>5</vt:i4>
      </vt:variant>
      <vt:variant>
        <vt:lpwstr/>
      </vt:variant>
      <vt:variant>
        <vt:lpwstr>_5.39.4__FRU</vt:lpwstr>
      </vt:variant>
      <vt:variant>
        <vt:i4>7405655</vt:i4>
      </vt:variant>
      <vt:variant>
        <vt:i4>5151</vt:i4>
      </vt:variant>
      <vt:variant>
        <vt:i4>0</vt:i4>
      </vt:variant>
      <vt:variant>
        <vt:i4>5</vt:i4>
      </vt:variant>
      <vt:variant>
        <vt:lpwstr/>
      </vt:variant>
      <vt:variant>
        <vt:lpwstr>_5.39.3__TSRT</vt:lpwstr>
      </vt:variant>
      <vt:variant>
        <vt:i4>655411</vt:i4>
      </vt:variant>
      <vt:variant>
        <vt:i4>5148</vt:i4>
      </vt:variant>
      <vt:variant>
        <vt:i4>0</vt:i4>
      </vt:variant>
      <vt:variant>
        <vt:i4>5</vt:i4>
      </vt:variant>
      <vt:variant>
        <vt:lpwstr/>
      </vt:variant>
      <vt:variant>
        <vt:lpwstr>_5.39.1__Gantt</vt:lpwstr>
      </vt:variant>
      <vt:variant>
        <vt:i4>7405654</vt:i4>
      </vt:variant>
      <vt:variant>
        <vt:i4>5145</vt:i4>
      </vt:variant>
      <vt:variant>
        <vt:i4>0</vt:i4>
      </vt:variant>
      <vt:variant>
        <vt:i4>5</vt:i4>
      </vt:variant>
      <vt:variant>
        <vt:lpwstr/>
      </vt:variant>
      <vt:variant>
        <vt:lpwstr>_5.39.2__TSRT</vt:lpwstr>
      </vt:variant>
      <vt:variant>
        <vt:i4>2228321</vt:i4>
      </vt:variant>
      <vt:variant>
        <vt:i4>5142</vt:i4>
      </vt:variant>
      <vt:variant>
        <vt:i4>0</vt:i4>
      </vt:variant>
      <vt:variant>
        <vt:i4>5</vt:i4>
      </vt:variant>
      <vt:variant>
        <vt:lpwstr/>
      </vt:variant>
      <vt:variant>
        <vt:lpwstr>_5.2.2.1__Select_All</vt:lpwstr>
      </vt:variant>
      <vt:variant>
        <vt:i4>2424928</vt:i4>
      </vt:variant>
      <vt:variant>
        <vt:i4>5139</vt:i4>
      </vt:variant>
      <vt:variant>
        <vt:i4>0</vt:i4>
      </vt:variant>
      <vt:variant>
        <vt:i4>5</vt:i4>
      </vt:variant>
      <vt:variant>
        <vt:lpwstr/>
      </vt:variant>
      <vt:variant>
        <vt:lpwstr>_5.2.5.1__Find_Option</vt:lpwstr>
      </vt:variant>
      <vt:variant>
        <vt:i4>589837</vt:i4>
      </vt:variant>
      <vt:variant>
        <vt:i4>5136</vt:i4>
      </vt:variant>
      <vt:variant>
        <vt:i4>0</vt:i4>
      </vt:variant>
      <vt:variant>
        <vt:i4>5</vt:i4>
      </vt:variant>
      <vt:variant>
        <vt:lpwstr/>
      </vt:variant>
      <vt:variant>
        <vt:lpwstr>_5.2.1.4__Delete_1</vt:lpwstr>
      </vt:variant>
      <vt:variant>
        <vt:i4>4784214</vt:i4>
      </vt:variant>
      <vt:variant>
        <vt:i4>5133</vt:i4>
      </vt:variant>
      <vt:variant>
        <vt:i4>0</vt:i4>
      </vt:variant>
      <vt:variant>
        <vt:i4>5</vt:i4>
      </vt:variant>
      <vt:variant>
        <vt:lpwstr/>
      </vt:variant>
      <vt:variant>
        <vt:lpwstr>_5.2.1.2.1__Display_in Excel</vt:lpwstr>
      </vt:variant>
      <vt:variant>
        <vt:i4>4194359</vt:i4>
      </vt:variant>
      <vt:variant>
        <vt:i4>5130</vt:i4>
      </vt:variant>
      <vt:variant>
        <vt:i4>0</vt:i4>
      </vt:variant>
      <vt:variant>
        <vt:i4>5</vt:i4>
      </vt:variant>
      <vt:variant>
        <vt:lpwstr/>
      </vt:variant>
      <vt:variant>
        <vt:lpwstr>_5.2.1.5__Print</vt:lpwstr>
      </vt:variant>
      <vt:variant>
        <vt:i4>7209038</vt:i4>
      </vt:variant>
      <vt:variant>
        <vt:i4>5127</vt:i4>
      </vt:variant>
      <vt:variant>
        <vt:i4>0</vt:i4>
      </vt:variant>
      <vt:variant>
        <vt:i4>5</vt:i4>
      </vt:variant>
      <vt:variant>
        <vt:lpwstr/>
      </vt:variant>
      <vt:variant>
        <vt:lpwstr>_Appendix_R_Strike</vt:lpwstr>
      </vt:variant>
      <vt:variant>
        <vt:i4>7209037</vt:i4>
      </vt:variant>
      <vt:variant>
        <vt:i4>5124</vt:i4>
      </vt:variant>
      <vt:variant>
        <vt:i4>0</vt:i4>
      </vt:variant>
      <vt:variant>
        <vt:i4>5</vt:i4>
      </vt:variant>
      <vt:variant>
        <vt:lpwstr/>
      </vt:variant>
      <vt:variant>
        <vt:lpwstr>_Appendix_Q_Strike</vt:lpwstr>
      </vt:variant>
      <vt:variant>
        <vt:i4>5898274</vt:i4>
      </vt:variant>
      <vt:variant>
        <vt:i4>5121</vt:i4>
      </vt:variant>
      <vt:variant>
        <vt:i4>0</vt:i4>
      </vt:variant>
      <vt:variant>
        <vt:i4>5</vt:i4>
      </vt:variant>
      <vt:variant>
        <vt:lpwstr/>
      </vt:variant>
      <vt:variant>
        <vt:lpwstr>_5.38.17_What_Time</vt:lpwstr>
      </vt:variant>
      <vt:variant>
        <vt:i4>2621460</vt:i4>
      </vt:variant>
      <vt:variant>
        <vt:i4>5118</vt:i4>
      </vt:variant>
      <vt:variant>
        <vt:i4>0</vt:i4>
      </vt:variant>
      <vt:variant>
        <vt:i4>5</vt:i4>
      </vt:variant>
      <vt:variant>
        <vt:lpwstr/>
      </vt:variant>
      <vt:variant>
        <vt:lpwstr>_5.38.3.1.7.1.2_How_to</vt:lpwstr>
      </vt:variant>
      <vt:variant>
        <vt:i4>2424850</vt:i4>
      </vt:variant>
      <vt:variant>
        <vt:i4>5115</vt:i4>
      </vt:variant>
      <vt:variant>
        <vt:i4>0</vt:i4>
      </vt:variant>
      <vt:variant>
        <vt:i4>5</vt:i4>
      </vt:variant>
      <vt:variant>
        <vt:lpwstr/>
      </vt:variant>
      <vt:variant>
        <vt:lpwstr>How_to_reroute_missile_using_flex</vt:lpwstr>
      </vt:variant>
      <vt:variant>
        <vt:i4>4587635</vt:i4>
      </vt:variant>
      <vt:variant>
        <vt:i4>5112</vt:i4>
      </vt:variant>
      <vt:variant>
        <vt:i4>0</vt:i4>
      </vt:variant>
      <vt:variant>
        <vt:i4>5</vt:i4>
      </vt:variant>
      <vt:variant>
        <vt:lpwstr/>
      </vt:variant>
      <vt:variant>
        <vt:lpwstr>_5.38.3.1.9.1__How</vt:lpwstr>
      </vt:variant>
      <vt:variant>
        <vt:i4>7864392</vt:i4>
      </vt:variant>
      <vt:variant>
        <vt:i4>5109</vt:i4>
      </vt:variant>
      <vt:variant>
        <vt:i4>0</vt:i4>
      </vt:variant>
      <vt:variant>
        <vt:i4>5</vt:i4>
      </vt:variant>
      <vt:variant>
        <vt:lpwstr/>
      </vt:variant>
      <vt:variant>
        <vt:lpwstr>_5.38.3.1.8.2.7__Fail</vt:lpwstr>
      </vt:variant>
      <vt:variant>
        <vt:i4>7340117</vt:i4>
      </vt:variant>
      <vt:variant>
        <vt:i4>5106</vt:i4>
      </vt:variant>
      <vt:variant>
        <vt:i4>0</vt:i4>
      </vt:variant>
      <vt:variant>
        <vt:i4>5</vt:i4>
      </vt:variant>
      <vt:variant>
        <vt:lpwstr/>
      </vt:variant>
      <vt:variant>
        <vt:lpwstr>_5.38.3.1.8.2.4__Reassign</vt:lpwstr>
      </vt:variant>
      <vt:variant>
        <vt:i4>1114146</vt:i4>
      </vt:variant>
      <vt:variant>
        <vt:i4>5103</vt:i4>
      </vt:variant>
      <vt:variant>
        <vt:i4>0</vt:i4>
      </vt:variant>
      <vt:variant>
        <vt:i4>5</vt:i4>
      </vt:variant>
      <vt:variant>
        <vt:lpwstr/>
      </vt:variant>
      <vt:variant>
        <vt:lpwstr>Manually_generate_a_SPEO</vt:lpwstr>
      </vt:variant>
      <vt:variant>
        <vt:i4>7929940</vt:i4>
      </vt:variant>
      <vt:variant>
        <vt:i4>5100</vt:i4>
      </vt:variant>
      <vt:variant>
        <vt:i4>0</vt:i4>
      </vt:variant>
      <vt:variant>
        <vt:i4>5</vt:i4>
      </vt:variant>
      <vt:variant>
        <vt:lpwstr/>
      </vt:variant>
      <vt:variant>
        <vt:lpwstr>_5.38.3.1.8.2.2__Manually</vt:lpwstr>
      </vt:variant>
      <vt:variant>
        <vt:i4>6553666</vt:i4>
      </vt:variant>
      <vt:variant>
        <vt:i4>5097</vt:i4>
      </vt:variant>
      <vt:variant>
        <vt:i4>0</vt:i4>
      </vt:variant>
      <vt:variant>
        <vt:i4>5</vt:i4>
      </vt:variant>
      <vt:variant>
        <vt:lpwstr/>
      </vt:variant>
      <vt:variant>
        <vt:lpwstr>_5.38.3.1.8.2.3__Sending</vt:lpwstr>
      </vt:variant>
      <vt:variant>
        <vt:i4>7798907</vt:i4>
      </vt:variant>
      <vt:variant>
        <vt:i4>5094</vt:i4>
      </vt:variant>
      <vt:variant>
        <vt:i4>0</vt:i4>
      </vt:variant>
      <vt:variant>
        <vt:i4>5</vt:i4>
      </vt:variant>
      <vt:variant>
        <vt:lpwstr/>
      </vt:variant>
      <vt:variant>
        <vt:lpwstr>Rehearsing_a_Strike</vt:lpwstr>
      </vt:variant>
      <vt:variant>
        <vt:i4>5963788</vt:i4>
      </vt:variant>
      <vt:variant>
        <vt:i4>5091</vt:i4>
      </vt:variant>
      <vt:variant>
        <vt:i4>0</vt:i4>
      </vt:variant>
      <vt:variant>
        <vt:i4>5</vt:i4>
      </vt:variant>
      <vt:variant>
        <vt:lpwstr/>
      </vt:variant>
      <vt:variant>
        <vt:lpwstr>_5.38.1__Create_a New Strike Executi</vt:lpwstr>
      </vt:variant>
      <vt:variant>
        <vt:i4>7077985</vt:i4>
      </vt:variant>
      <vt:variant>
        <vt:i4>5088</vt:i4>
      </vt:variant>
      <vt:variant>
        <vt:i4>0</vt:i4>
      </vt:variant>
      <vt:variant>
        <vt:i4>5</vt:i4>
      </vt:variant>
      <vt:variant>
        <vt:lpwstr/>
      </vt:variant>
      <vt:variant>
        <vt:lpwstr>_5.37__STRIKE_1</vt:lpwstr>
      </vt:variant>
      <vt:variant>
        <vt:i4>4259893</vt:i4>
      </vt:variant>
      <vt:variant>
        <vt:i4>5085</vt:i4>
      </vt:variant>
      <vt:variant>
        <vt:i4>0</vt:i4>
      </vt:variant>
      <vt:variant>
        <vt:i4>5</vt:i4>
      </vt:variant>
      <vt:variant>
        <vt:lpwstr/>
      </vt:variant>
      <vt:variant>
        <vt:lpwstr>_5.37.6.1.18__Shift</vt:lpwstr>
      </vt:variant>
      <vt:variant>
        <vt:i4>5963810</vt:i4>
      </vt:variant>
      <vt:variant>
        <vt:i4>5082</vt:i4>
      </vt:variant>
      <vt:variant>
        <vt:i4>0</vt:i4>
      </vt:variant>
      <vt:variant>
        <vt:i4>5</vt:i4>
      </vt:variant>
      <vt:variant>
        <vt:lpwstr/>
      </vt:variant>
      <vt:variant>
        <vt:lpwstr>_5.38.16_What_Time</vt:lpwstr>
      </vt:variant>
      <vt:variant>
        <vt:i4>4259893</vt:i4>
      </vt:variant>
      <vt:variant>
        <vt:i4>5079</vt:i4>
      </vt:variant>
      <vt:variant>
        <vt:i4>0</vt:i4>
      </vt:variant>
      <vt:variant>
        <vt:i4>5</vt:i4>
      </vt:variant>
      <vt:variant>
        <vt:lpwstr/>
      </vt:variant>
      <vt:variant>
        <vt:lpwstr>_5.37.6.1.18__Shift</vt:lpwstr>
      </vt:variant>
      <vt:variant>
        <vt:i4>7798865</vt:i4>
      </vt:variant>
      <vt:variant>
        <vt:i4>5076</vt:i4>
      </vt:variant>
      <vt:variant>
        <vt:i4>0</vt:i4>
      </vt:variant>
      <vt:variant>
        <vt:i4>5</vt:i4>
      </vt:variant>
      <vt:variant>
        <vt:lpwstr/>
      </vt:variant>
      <vt:variant>
        <vt:lpwstr>_5.15.2__Display</vt:lpwstr>
      </vt:variant>
      <vt:variant>
        <vt:i4>7012437</vt:i4>
      </vt:variant>
      <vt:variant>
        <vt:i4>5073</vt:i4>
      </vt:variant>
      <vt:variant>
        <vt:i4>0</vt:i4>
      </vt:variant>
      <vt:variant>
        <vt:i4>5</vt:i4>
      </vt:variant>
      <vt:variant>
        <vt:lpwstr/>
      </vt:variant>
      <vt:variant>
        <vt:lpwstr>_5.35.4__Creating</vt:lpwstr>
      </vt:variant>
      <vt:variant>
        <vt:i4>3866684</vt:i4>
      </vt:variant>
      <vt:variant>
        <vt:i4>5070</vt:i4>
      </vt:variant>
      <vt:variant>
        <vt:i4>0</vt:i4>
      </vt:variant>
      <vt:variant>
        <vt:i4>5</vt:i4>
      </vt:variant>
      <vt:variant>
        <vt:lpwstr/>
      </vt:variant>
      <vt:variant>
        <vt:lpwstr>How_to_Complete_FRU_Reassignment</vt:lpwstr>
      </vt:variant>
      <vt:variant>
        <vt:i4>4259893</vt:i4>
      </vt:variant>
      <vt:variant>
        <vt:i4>5067</vt:i4>
      </vt:variant>
      <vt:variant>
        <vt:i4>0</vt:i4>
      </vt:variant>
      <vt:variant>
        <vt:i4>5</vt:i4>
      </vt:variant>
      <vt:variant>
        <vt:lpwstr/>
      </vt:variant>
      <vt:variant>
        <vt:lpwstr>_5.37.6.1.18__Shift</vt:lpwstr>
      </vt:variant>
      <vt:variant>
        <vt:i4>4259893</vt:i4>
      </vt:variant>
      <vt:variant>
        <vt:i4>5064</vt:i4>
      </vt:variant>
      <vt:variant>
        <vt:i4>0</vt:i4>
      </vt:variant>
      <vt:variant>
        <vt:i4>5</vt:i4>
      </vt:variant>
      <vt:variant>
        <vt:lpwstr/>
      </vt:variant>
      <vt:variant>
        <vt:lpwstr>_5.37.6.1.18__Shift</vt:lpwstr>
      </vt:variant>
      <vt:variant>
        <vt:i4>4259893</vt:i4>
      </vt:variant>
      <vt:variant>
        <vt:i4>5061</vt:i4>
      </vt:variant>
      <vt:variant>
        <vt:i4>0</vt:i4>
      </vt:variant>
      <vt:variant>
        <vt:i4>5</vt:i4>
      </vt:variant>
      <vt:variant>
        <vt:lpwstr/>
      </vt:variant>
      <vt:variant>
        <vt:lpwstr>_5.37.6.1.18__Shift</vt:lpwstr>
      </vt:variant>
      <vt:variant>
        <vt:i4>3866732</vt:i4>
      </vt:variant>
      <vt:variant>
        <vt:i4>5058</vt:i4>
      </vt:variant>
      <vt:variant>
        <vt:i4>0</vt:i4>
      </vt:variant>
      <vt:variant>
        <vt:i4>5</vt:i4>
      </vt:variant>
      <vt:variant>
        <vt:lpwstr/>
      </vt:variant>
      <vt:variant>
        <vt:lpwstr>_5.38.3.1.1.2.1__Gantt_1</vt:lpwstr>
      </vt:variant>
      <vt:variant>
        <vt:i4>7077985</vt:i4>
      </vt:variant>
      <vt:variant>
        <vt:i4>5055</vt:i4>
      </vt:variant>
      <vt:variant>
        <vt:i4>0</vt:i4>
      </vt:variant>
      <vt:variant>
        <vt:i4>5</vt:i4>
      </vt:variant>
      <vt:variant>
        <vt:lpwstr/>
      </vt:variant>
      <vt:variant>
        <vt:lpwstr>_5.37__STRIKE_1</vt:lpwstr>
      </vt:variant>
      <vt:variant>
        <vt:i4>655411</vt:i4>
      </vt:variant>
      <vt:variant>
        <vt:i4>5052</vt:i4>
      </vt:variant>
      <vt:variant>
        <vt:i4>0</vt:i4>
      </vt:variant>
      <vt:variant>
        <vt:i4>5</vt:i4>
      </vt:variant>
      <vt:variant>
        <vt:lpwstr/>
      </vt:variant>
      <vt:variant>
        <vt:lpwstr>_5.38.3.1.1.2.1__Gantt</vt:lpwstr>
      </vt:variant>
      <vt:variant>
        <vt:i4>7143518</vt:i4>
      </vt:variant>
      <vt:variant>
        <vt:i4>5049</vt:i4>
      </vt:variant>
      <vt:variant>
        <vt:i4>0</vt:i4>
      </vt:variant>
      <vt:variant>
        <vt:i4>5</vt:i4>
      </vt:variant>
      <vt:variant>
        <vt:lpwstr/>
      </vt:variant>
      <vt:variant>
        <vt:lpwstr>_5.38.3.1.9__TSN</vt:lpwstr>
      </vt:variant>
      <vt:variant>
        <vt:i4>6684738</vt:i4>
      </vt:variant>
      <vt:variant>
        <vt:i4>5046</vt:i4>
      </vt:variant>
      <vt:variant>
        <vt:i4>0</vt:i4>
      </vt:variant>
      <vt:variant>
        <vt:i4>5</vt:i4>
      </vt:variant>
      <vt:variant>
        <vt:lpwstr/>
      </vt:variant>
      <vt:variant>
        <vt:lpwstr>_5.38.3.1.5__Retarget</vt:lpwstr>
      </vt:variant>
      <vt:variant>
        <vt:i4>7340117</vt:i4>
      </vt:variant>
      <vt:variant>
        <vt:i4>5043</vt:i4>
      </vt:variant>
      <vt:variant>
        <vt:i4>0</vt:i4>
      </vt:variant>
      <vt:variant>
        <vt:i4>5</vt:i4>
      </vt:variant>
      <vt:variant>
        <vt:lpwstr/>
      </vt:variant>
      <vt:variant>
        <vt:lpwstr>_5.38.3.1.6__Options</vt:lpwstr>
      </vt:variant>
      <vt:variant>
        <vt:i4>6553694</vt:i4>
      </vt:variant>
      <vt:variant>
        <vt:i4>5040</vt:i4>
      </vt:variant>
      <vt:variant>
        <vt:i4>0</vt:i4>
      </vt:variant>
      <vt:variant>
        <vt:i4>5</vt:i4>
      </vt:variant>
      <vt:variant>
        <vt:lpwstr/>
      </vt:variant>
      <vt:variant>
        <vt:lpwstr>_5.38.3.1.8__FRU</vt:lpwstr>
      </vt:variant>
      <vt:variant>
        <vt:i4>1310757</vt:i4>
      </vt:variant>
      <vt:variant>
        <vt:i4>5037</vt:i4>
      </vt:variant>
      <vt:variant>
        <vt:i4>0</vt:i4>
      </vt:variant>
      <vt:variant>
        <vt:i4>5</vt:i4>
      </vt:variant>
      <vt:variant>
        <vt:lpwstr/>
      </vt:variant>
      <vt:variant>
        <vt:lpwstr>_5.38.3.1.7__Target</vt:lpwstr>
      </vt:variant>
      <vt:variant>
        <vt:i4>7143507</vt:i4>
      </vt:variant>
      <vt:variant>
        <vt:i4>5034</vt:i4>
      </vt:variant>
      <vt:variant>
        <vt:i4>0</vt:i4>
      </vt:variant>
      <vt:variant>
        <vt:i4>5</vt:i4>
      </vt:variant>
      <vt:variant>
        <vt:lpwstr/>
      </vt:variant>
      <vt:variant>
        <vt:lpwstr>_5.38.3.1.4__TSN</vt:lpwstr>
      </vt:variant>
      <vt:variant>
        <vt:i4>6029388</vt:i4>
      </vt:variant>
      <vt:variant>
        <vt:i4>5031</vt:i4>
      </vt:variant>
      <vt:variant>
        <vt:i4>0</vt:i4>
      </vt:variant>
      <vt:variant>
        <vt:i4>5</vt:i4>
      </vt:variant>
      <vt:variant>
        <vt:lpwstr/>
      </vt:variant>
      <vt:variant>
        <vt:lpwstr>_5.38.3.1.3__Events_1</vt:lpwstr>
      </vt:variant>
      <vt:variant>
        <vt:i4>5111836</vt:i4>
      </vt:variant>
      <vt:variant>
        <vt:i4>5028</vt:i4>
      </vt:variant>
      <vt:variant>
        <vt:i4>0</vt:i4>
      </vt:variant>
      <vt:variant>
        <vt:i4>5</vt:i4>
      </vt:variant>
      <vt:variant>
        <vt:lpwstr/>
      </vt:variant>
      <vt:variant>
        <vt:lpwstr>_5.38.3.1.2__Geo_1</vt:lpwstr>
      </vt:variant>
      <vt:variant>
        <vt:i4>2359299</vt:i4>
      </vt:variant>
      <vt:variant>
        <vt:i4>5025</vt:i4>
      </vt:variant>
      <vt:variant>
        <vt:i4>0</vt:i4>
      </vt:variant>
      <vt:variant>
        <vt:i4>5</vt:i4>
      </vt:variant>
      <vt:variant>
        <vt:lpwstr/>
      </vt:variant>
      <vt:variant>
        <vt:lpwstr>_5.38.3.1.1.3__Gantt</vt:lpwstr>
      </vt:variant>
      <vt:variant>
        <vt:i4>5832777</vt:i4>
      </vt:variant>
      <vt:variant>
        <vt:i4>5022</vt:i4>
      </vt:variant>
      <vt:variant>
        <vt:i4>0</vt:i4>
      </vt:variant>
      <vt:variant>
        <vt:i4>5</vt:i4>
      </vt:variant>
      <vt:variant>
        <vt:lpwstr/>
      </vt:variant>
      <vt:variant>
        <vt:lpwstr>_5.38.15.5.3__Remove_a Profile</vt:lpwstr>
      </vt:variant>
      <vt:variant>
        <vt:i4>2687072</vt:i4>
      </vt:variant>
      <vt:variant>
        <vt:i4>5019</vt:i4>
      </vt:variant>
      <vt:variant>
        <vt:i4>0</vt:i4>
      </vt:variant>
      <vt:variant>
        <vt:i4>5</vt:i4>
      </vt:variant>
      <vt:variant>
        <vt:lpwstr/>
      </vt:variant>
      <vt:variant>
        <vt:lpwstr>_5.38.15.5.1__Save_a New Profile</vt:lpwstr>
      </vt:variant>
      <vt:variant>
        <vt:i4>3342373</vt:i4>
      </vt:variant>
      <vt:variant>
        <vt:i4>5016</vt:i4>
      </vt:variant>
      <vt:variant>
        <vt:i4>0</vt:i4>
      </vt:variant>
      <vt:variant>
        <vt:i4>5</vt:i4>
      </vt:variant>
      <vt:variant>
        <vt:lpwstr/>
      </vt:variant>
      <vt:variant>
        <vt:lpwstr>_5.38.15.5.2__Save_a Profile</vt:lpwstr>
      </vt:variant>
      <vt:variant>
        <vt:i4>8192026</vt:i4>
      </vt:variant>
      <vt:variant>
        <vt:i4>5013</vt:i4>
      </vt:variant>
      <vt:variant>
        <vt:i4>0</vt:i4>
      </vt:variant>
      <vt:variant>
        <vt:i4>5</vt:i4>
      </vt:variant>
      <vt:variant>
        <vt:lpwstr/>
      </vt:variant>
      <vt:variant>
        <vt:lpwstr>_5.38.14.5__Profiles</vt:lpwstr>
      </vt:variant>
      <vt:variant>
        <vt:i4>4194349</vt:i4>
      </vt:variant>
      <vt:variant>
        <vt:i4>5010</vt:i4>
      </vt:variant>
      <vt:variant>
        <vt:i4>0</vt:i4>
      </vt:variant>
      <vt:variant>
        <vt:i4>5</vt:i4>
      </vt:variant>
      <vt:variant>
        <vt:lpwstr/>
      </vt:variant>
      <vt:variant>
        <vt:lpwstr>_5.38.14__Dockable</vt:lpwstr>
      </vt:variant>
      <vt:variant>
        <vt:i4>7929933</vt:i4>
      </vt:variant>
      <vt:variant>
        <vt:i4>5007</vt:i4>
      </vt:variant>
      <vt:variant>
        <vt:i4>0</vt:i4>
      </vt:variant>
      <vt:variant>
        <vt:i4>5</vt:i4>
      </vt:variant>
      <vt:variant>
        <vt:lpwstr/>
      </vt:variant>
      <vt:variant>
        <vt:lpwstr>_5.38.7__Archive</vt:lpwstr>
      </vt:variant>
      <vt:variant>
        <vt:i4>7471170</vt:i4>
      </vt:variant>
      <vt:variant>
        <vt:i4>5004</vt:i4>
      </vt:variant>
      <vt:variant>
        <vt:i4>0</vt:i4>
      </vt:variant>
      <vt:variant>
        <vt:i4>5</vt:i4>
      </vt:variant>
      <vt:variant>
        <vt:lpwstr/>
      </vt:variant>
      <vt:variant>
        <vt:lpwstr>_5.38.5__Save</vt:lpwstr>
      </vt:variant>
      <vt:variant>
        <vt:i4>7471170</vt:i4>
      </vt:variant>
      <vt:variant>
        <vt:i4>5001</vt:i4>
      </vt:variant>
      <vt:variant>
        <vt:i4>0</vt:i4>
      </vt:variant>
      <vt:variant>
        <vt:i4>5</vt:i4>
      </vt:variant>
      <vt:variant>
        <vt:lpwstr/>
      </vt:variant>
      <vt:variant>
        <vt:lpwstr>_5.38.5__Save</vt:lpwstr>
      </vt:variant>
      <vt:variant>
        <vt:i4>7471170</vt:i4>
      </vt:variant>
      <vt:variant>
        <vt:i4>4998</vt:i4>
      </vt:variant>
      <vt:variant>
        <vt:i4>0</vt:i4>
      </vt:variant>
      <vt:variant>
        <vt:i4>5</vt:i4>
      </vt:variant>
      <vt:variant>
        <vt:lpwstr/>
      </vt:variant>
      <vt:variant>
        <vt:lpwstr>_5.38.5__Save</vt:lpwstr>
      </vt:variant>
      <vt:variant>
        <vt:i4>7471170</vt:i4>
      </vt:variant>
      <vt:variant>
        <vt:i4>4995</vt:i4>
      </vt:variant>
      <vt:variant>
        <vt:i4>0</vt:i4>
      </vt:variant>
      <vt:variant>
        <vt:i4>5</vt:i4>
      </vt:variant>
      <vt:variant>
        <vt:lpwstr/>
      </vt:variant>
      <vt:variant>
        <vt:lpwstr>_5.38.5__Save</vt:lpwstr>
      </vt:variant>
      <vt:variant>
        <vt:i4>2949159</vt:i4>
      </vt:variant>
      <vt:variant>
        <vt:i4>4992</vt:i4>
      </vt:variant>
      <vt:variant>
        <vt:i4>0</vt:i4>
      </vt:variant>
      <vt:variant>
        <vt:i4>5</vt:i4>
      </vt:variant>
      <vt:variant>
        <vt:lpwstr/>
      </vt:variant>
      <vt:variant>
        <vt:lpwstr>_5.38.5__Save_</vt:lpwstr>
      </vt:variant>
      <vt:variant>
        <vt:i4>1900605</vt:i4>
      </vt:variant>
      <vt:variant>
        <vt:i4>4989</vt:i4>
      </vt:variant>
      <vt:variant>
        <vt:i4>0</vt:i4>
      </vt:variant>
      <vt:variant>
        <vt:i4>5</vt:i4>
      </vt:variant>
      <vt:variant>
        <vt:lpwstr/>
      </vt:variant>
      <vt:variant>
        <vt:lpwstr>_5.38.6__Strike</vt:lpwstr>
      </vt:variant>
      <vt:variant>
        <vt:i4>7209036</vt:i4>
      </vt:variant>
      <vt:variant>
        <vt:i4>4986</vt:i4>
      </vt:variant>
      <vt:variant>
        <vt:i4>0</vt:i4>
      </vt:variant>
      <vt:variant>
        <vt:i4>5</vt:i4>
      </vt:variant>
      <vt:variant>
        <vt:lpwstr/>
      </vt:variant>
      <vt:variant>
        <vt:lpwstr>_Appendix_P_Strike</vt:lpwstr>
      </vt:variant>
      <vt:variant>
        <vt:i4>589837</vt:i4>
      </vt:variant>
      <vt:variant>
        <vt:i4>4983</vt:i4>
      </vt:variant>
      <vt:variant>
        <vt:i4>0</vt:i4>
      </vt:variant>
      <vt:variant>
        <vt:i4>5</vt:i4>
      </vt:variant>
      <vt:variant>
        <vt:lpwstr/>
      </vt:variant>
      <vt:variant>
        <vt:lpwstr>_5.2.1.4__Delete_1</vt:lpwstr>
      </vt:variant>
      <vt:variant>
        <vt:i4>4784214</vt:i4>
      </vt:variant>
      <vt:variant>
        <vt:i4>4980</vt:i4>
      </vt:variant>
      <vt:variant>
        <vt:i4>0</vt:i4>
      </vt:variant>
      <vt:variant>
        <vt:i4>5</vt:i4>
      </vt:variant>
      <vt:variant>
        <vt:lpwstr/>
      </vt:variant>
      <vt:variant>
        <vt:lpwstr>_5.2.1.2.1__Display_in Excel</vt:lpwstr>
      </vt:variant>
      <vt:variant>
        <vt:i4>4194359</vt:i4>
      </vt:variant>
      <vt:variant>
        <vt:i4>4977</vt:i4>
      </vt:variant>
      <vt:variant>
        <vt:i4>0</vt:i4>
      </vt:variant>
      <vt:variant>
        <vt:i4>5</vt:i4>
      </vt:variant>
      <vt:variant>
        <vt:lpwstr/>
      </vt:variant>
      <vt:variant>
        <vt:lpwstr>_5.2.1.5__Print</vt:lpwstr>
      </vt:variant>
      <vt:variant>
        <vt:i4>7602177</vt:i4>
      </vt:variant>
      <vt:variant>
        <vt:i4>4974</vt:i4>
      </vt:variant>
      <vt:variant>
        <vt:i4>0</vt:i4>
      </vt:variant>
      <vt:variant>
        <vt:i4>5</vt:i4>
      </vt:variant>
      <vt:variant>
        <vt:lpwstr/>
      </vt:variant>
      <vt:variant>
        <vt:lpwstr>_5.2.3.5.1__Sort</vt:lpwstr>
      </vt:variant>
      <vt:variant>
        <vt:i4>327706</vt:i4>
      </vt:variant>
      <vt:variant>
        <vt:i4>4971</vt:i4>
      </vt:variant>
      <vt:variant>
        <vt:i4>0</vt:i4>
      </vt:variant>
      <vt:variant>
        <vt:i4>5</vt:i4>
      </vt:variant>
      <vt:variant>
        <vt:lpwstr/>
      </vt:variant>
      <vt:variant>
        <vt:lpwstr>_5.2.3.5__Properties_1</vt:lpwstr>
      </vt:variant>
      <vt:variant>
        <vt:i4>5439611</vt:i4>
      </vt:variant>
      <vt:variant>
        <vt:i4>4968</vt:i4>
      </vt:variant>
      <vt:variant>
        <vt:i4>0</vt:i4>
      </vt:variant>
      <vt:variant>
        <vt:i4>5</vt:i4>
      </vt:variant>
      <vt:variant>
        <vt:lpwstr/>
      </vt:variant>
      <vt:variant>
        <vt:lpwstr>_5.21__DDO</vt:lpwstr>
      </vt:variant>
      <vt:variant>
        <vt:i4>6619230</vt:i4>
      </vt:variant>
      <vt:variant>
        <vt:i4>4965</vt:i4>
      </vt:variant>
      <vt:variant>
        <vt:i4>0</vt:i4>
      </vt:variant>
      <vt:variant>
        <vt:i4>5</vt:i4>
      </vt:variant>
      <vt:variant>
        <vt:lpwstr/>
      </vt:variant>
      <vt:variant>
        <vt:lpwstr>_5.37.6.1.6__Missiles</vt:lpwstr>
      </vt:variant>
      <vt:variant>
        <vt:i4>1572969</vt:i4>
      </vt:variant>
      <vt:variant>
        <vt:i4>4962</vt:i4>
      </vt:variant>
      <vt:variant>
        <vt:i4>0</vt:i4>
      </vt:variant>
      <vt:variant>
        <vt:i4>5</vt:i4>
      </vt:variant>
      <vt:variant>
        <vt:lpwstr/>
      </vt:variant>
      <vt:variant>
        <vt:lpwstr>_5.37.6.1.16.6__How</vt:lpwstr>
      </vt:variant>
      <vt:variant>
        <vt:i4>1572969</vt:i4>
      </vt:variant>
      <vt:variant>
        <vt:i4>4959</vt:i4>
      </vt:variant>
      <vt:variant>
        <vt:i4>0</vt:i4>
      </vt:variant>
      <vt:variant>
        <vt:i4>5</vt:i4>
      </vt:variant>
      <vt:variant>
        <vt:lpwstr/>
      </vt:variant>
      <vt:variant>
        <vt:lpwstr>_5.37.6.1.16.6__How</vt:lpwstr>
      </vt:variant>
      <vt:variant>
        <vt:i4>1572969</vt:i4>
      </vt:variant>
      <vt:variant>
        <vt:i4>4956</vt:i4>
      </vt:variant>
      <vt:variant>
        <vt:i4>0</vt:i4>
      </vt:variant>
      <vt:variant>
        <vt:i4>5</vt:i4>
      </vt:variant>
      <vt:variant>
        <vt:lpwstr/>
      </vt:variant>
      <vt:variant>
        <vt:lpwstr>_5.37.6.1.16.6__How</vt:lpwstr>
      </vt:variant>
      <vt:variant>
        <vt:i4>6094849</vt:i4>
      </vt:variant>
      <vt:variant>
        <vt:i4>4953</vt:i4>
      </vt:variant>
      <vt:variant>
        <vt:i4>0</vt:i4>
      </vt:variant>
      <vt:variant>
        <vt:i4>5</vt:i4>
      </vt:variant>
      <vt:variant>
        <vt:lpwstr/>
      </vt:variant>
      <vt:variant>
        <vt:lpwstr>_5.37.6.1.15.1_Gantt_Missile_Identif</vt:lpwstr>
      </vt:variant>
      <vt:variant>
        <vt:i4>7077985</vt:i4>
      </vt:variant>
      <vt:variant>
        <vt:i4>4950</vt:i4>
      </vt:variant>
      <vt:variant>
        <vt:i4>0</vt:i4>
      </vt:variant>
      <vt:variant>
        <vt:i4>5</vt:i4>
      </vt:variant>
      <vt:variant>
        <vt:lpwstr/>
      </vt:variant>
      <vt:variant>
        <vt:lpwstr>_5.37__STRIKE_1</vt:lpwstr>
      </vt:variant>
      <vt:variant>
        <vt:i4>6094849</vt:i4>
      </vt:variant>
      <vt:variant>
        <vt:i4>4947</vt:i4>
      </vt:variant>
      <vt:variant>
        <vt:i4>0</vt:i4>
      </vt:variant>
      <vt:variant>
        <vt:i4>5</vt:i4>
      </vt:variant>
      <vt:variant>
        <vt:lpwstr/>
      </vt:variant>
      <vt:variant>
        <vt:lpwstr>_5.37.6.1.15.1_Gantt_Missile_Identif</vt:lpwstr>
      </vt:variant>
      <vt:variant>
        <vt:i4>6619230</vt:i4>
      </vt:variant>
      <vt:variant>
        <vt:i4>4944</vt:i4>
      </vt:variant>
      <vt:variant>
        <vt:i4>0</vt:i4>
      </vt:variant>
      <vt:variant>
        <vt:i4>5</vt:i4>
      </vt:variant>
      <vt:variant>
        <vt:lpwstr/>
      </vt:variant>
      <vt:variant>
        <vt:lpwstr>_5.37.6.1.6__Missiles</vt:lpwstr>
      </vt:variant>
      <vt:variant>
        <vt:i4>2687075</vt:i4>
      </vt:variant>
      <vt:variant>
        <vt:i4>4941</vt:i4>
      </vt:variant>
      <vt:variant>
        <vt:i4>0</vt:i4>
      </vt:variant>
      <vt:variant>
        <vt:i4>5</vt:i4>
      </vt:variant>
      <vt:variant>
        <vt:lpwstr/>
      </vt:variant>
      <vt:variant>
        <vt:lpwstr>_5.37.6.1.14__Analysis_Tools</vt:lpwstr>
      </vt:variant>
      <vt:variant>
        <vt:i4>4259893</vt:i4>
      </vt:variant>
      <vt:variant>
        <vt:i4>4938</vt:i4>
      </vt:variant>
      <vt:variant>
        <vt:i4>0</vt:i4>
      </vt:variant>
      <vt:variant>
        <vt:i4>5</vt:i4>
      </vt:variant>
      <vt:variant>
        <vt:lpwstr/>
      </vt:variant>
      <vt:variant>
        <vt:lpwstr>_5.37.6.1.18__Shift</vt:lpwstr>
      </vt:variant>
      <vt:variant>
        <vt:i4>6750301</vt:i4>
      </vt:variant>
      <vt:variant>
        <vt:i4>4935</vt:i4>
      </vt:variant>
      <vt:variant>
        <vt:i4>0</vt:i4>
      </vt:variant>
      <vt:variant>
        <vt:i4>5</vt:i4>
      </vt:variant>
      <vt:variant>
        <vt:lpwstr/>
      </vt:variant>
      <vt:variant>
        <vt:lpwstr>_5.37.6.1.5__Arsenal</vt:lpwstr>
      </vt:variant>
      <vt:variant>
        <vt:i4>7077984</vt:i4>
      </vt:variant>
      <vt:variant>
        <vt:i4>4932</vt:i4>
      </vt:variant>
      <vt:variant>
        <vt:i4>0</vt:i4>
      </vt:variant>
      <vt:variant>
        <vt:i4>5</vt:i4>
      </vt:variant>
      <vt:variant>
        <vt:lpwstr/>
      </vt:variant>
      <vt:variant>
        <vt:lpwstr>_5.36__STRIKE_1</vt:lpwstr>
      </vt:variant>
      <vt:variant>
        <vt:i4>8257615</vt:i4>
      </vt:variant>
      <vt:variant>
        <vt:i4>4929</vt:i4>
      </vt:variant>
      <vt:variant>
        <vt:i4>0</vt:i4>
      </vt:variant>
      <vt:variant>
        <vt:i4>5</vt:i4>
      </vt:variant>
      <vt:variant>
        <vt:lpwstr/>
      </vt:variant>
      <vt:variant>
        <vt:lpwstr>_5.37.2__Tasking</vt:lpwstr>
      </vt:variant>
      <vt:variant>
        <vt:i4>7077985</vt:i4>
      </vt:variant>
      <vt:variant>
        <vt:i4>4926</vt:i4>
      </vt:variant>
      <vt:variant>
        <vt:i4>0</vt:i4>
      </vt:variant>
      <vt:variant>
        <vt:i4>5</vt:i4>
      </vt:variant>
      <vt:variant>
        <vt:lpwstr/>
      </vt:variant>
      <vt:variant>
        <vt:lpwstr>_5.37__STRIKE_1</vt:lpwstr>
      </vt:variant>
      <vt:variant>
        <vt:i4>3014767</vt:i4>
      </vt:variant>
      <vt:variant>
        <vt:i4>4923</vt:i4>
      </vt:variant>
      <vt:variant>
        <vt:i4>0</vt:i4>
      </vt:variant>
      <vt:variant>
        <vt:i4>5</vt:i4>
      </vt:variant>
      <vt:variant>
        <vt:lpwstr/>
      </vt:variant>
      <vt:variant>
        <vt:lpwstr>_5.38.5.1.13__Analysis_Tools</vt:lpwstr>
      </vt:variant>
      <vt:variant>
        <vt:i4>4259893</vt:i4>
      </vt:variant>
      <vt:variant>
        <vt:i4>4920</vt:i4>
      </vt:variant>
      <vt:variant>
        <vt:i4>0</vt:i4>
      </vt:variant>
      <vt:variant>
        <vt:i4>5</vt:i4>
      </vt:variant>
      <vt:variant>
        <vt:lpwstr/>
      </vt:variant>
      <vt:variant>
        <vt:lpwstr>_5.37.6.1.18__Shift</vt:lpwstr>
      </vt:variant>
      <vt:variant>
        <vt:i4>4259903</vt:i4>
      </vt:variant>
      <vt:variant>
        <vt:i4>4917</vt:i4>
      </vt:variant>
      <vt:variant>
        <vt:i4>0</vt:i4>
      </vt:variant>
      <vt:variant>
        <vt:i4>5</vt:i4>
      </vt:variant>
      <vt:variant>
        <vt:lpwstr/>
      </vt:variant>
      <vt:variant>
        <vt:lpwstr>_5.37.6.1.14__Analysis</vt:lpwstr>
      </vt:variant>
      <vt:variant>
        <vt:i4>262191</vt:i4>
      </vt:variant>
      <vt:variant>
        <vt:i4>4914</vt:i4>
      </vt:variant>
      <vt:variant>
        <vt:i4>0</vt:i4>
      </vt:variant>
      <vt:variant>
        <vt:i4>5</vt:i4>
      </vt:variant>
      <vt:variant>
        <vt:lpwstr/>
      </vt:variant>
      <vt:variant>
        <vt:lpwstr>_5.2.1.3__Custom_Reports_1</vt:lpwstr>
      </vt:variant>
      <vt:variant>
        <vt:i4>5505122</vt:i4>
      </vt:variant>
      <vt:variant>
        <vt:i4>4911</vt:i4>
      </vt:variant>
      <vt:variant>
        <vt:i4>0</vt:i4>
      </vt:variant>
      <vt:variant>
        <vt:i4>5</vt:i4>
      </vt:variant>
      <vt:variant>
        <vt:lpwstr/>
      </vt:variant>
      <vt:variant>
        <vt:lpwstr>_5.37.1.1__Shareability</vt:lpwstr>
      </vt:variant>
      <vt:variant>
        <vt:i4>2031684</vt:i4>
      </vt:variant>
      <vt:variant>
        <vt:i4>4908</vt:i4>
      </vt:variant>
      <vt:variant>
        <vt:i4>0</vt:i4>
      </vt:variant>
      <vt:variant>
        <vt:i4>5</vt:i4>
      </vt:variant>
      <vt:variant>
        <vt:lpwstr/>
      </vt:variant>
      <vt:variant>
        <vt:lpwstr>_5.2.8__Edit_Classification</vt:lpwstr>
      </vt:variant>
      <vt:variant>
        <vt:i4>7077984</vt:i4>
      </vt:variant>
      <vt:variant>
        <vt:i4>4905</vt:i4>
      </vt:variant>
      <vt:variant>
        <vt:i4>0</vt:i4>
      </vt:variant>
      <vt:variant>
        <vt:i4>5</vt:i4>
      </vt:variant>
      <vt:variant>
        <vt:lpwstr/>
      </vt:variant>
      <vt:variant>
        <vt:lpwstr>_5.36__STRIKE_1</vt:lpwstr>
      </vt:variant>
      <vt:variant>
        <vt:i4>327696</vt:i4>
      </vt:variant>
      <vt:variant>
        <vt:i4>4902</vt:i4>
      </vt:variant>
      <vt:variant>
        <vt:i4>0</vt:i4>
      </vt:variant>
      <vt:variant>
        <vt:i4>5</vt:i4>
      </vt:variant>
      <vt:variant>
        <vt:lpwstr/>
      </vt:variant>
      <vt:variant>
        <vt:lpwstr>_5.2__COMMON_1</vt:lpwstr>
      </vt:variant>
      <vt:variant>
        <vt:i4>327696</vt:i4>
      </vt:variant>
      <vt:variant>
        <vt:i4>4899</vt:i4>
      </vt:variant>
      <vt:variant>
        <vt:i4>0</vt:i4>
      </vt:variant>
      <vt:variant>
        <vt:i4>5</vt:i4>
      </vt:variant>
      <vt:variant>
        <vt:lpwstr/>
      </vt:variant>
      <vt:variant>
        <vt:lpwstr>_5.2__COMMON_1</vt:lpwstr>
      </vt:variant>
      <vt:variant>
        <vt:i4>589837</vt:i4>
      </vt:variant>
      <vt:variant>
        <vt:i4>4896</vt:i4>
      </vt:variant>
      <vt:variant>
        <vt:i4>0</vt:i4>
      </vt:variant>
      <vt:variant>
        <vt:i4>5</vt:i4>
      </vt:variant>
      <vt:variant>
        <vt:lpwstr/>
      </vt:variant>
      <vt:variant>
        <vt:lpwstr>_5.2.1.4__Delete_1</vt:lpwstr>
      </vt:variant>
      <vt:variant>
        <vt:i4>4194359</vt:i4>
      </vt:variant>
      <vt:variant>
        <vt:i4>4893</vt:i4>
      </vt:variant>
      <vt:variant>
        <vt:i4>0</vt:i4>
      </vt:variant>
      <vt:variant>
        <vt:i4>5</vt:i4>
      </vt:variant>
      <vt:variant>
        <vt:lpwstr/>
      </vt:variant>
      <vt:variant>
        <vt:lpwstr>_5.2.1.5__Print</vt:lpwstr>
      </vt:variant>
      <vt:variant>
        <vt:i4>5505122</vt:i4>
      </vt:variant>
      <vt:variant>
        <vt:i4>4890</vt:i4>
      </vt:variant>
      <vt:variant>
        <vt:i4>0</vt:i4>
      </vt:variant>
      <vt:variant>
        <vt:i4>5</vt:i4>
      </vt:variant>
      <vt:variant>
        <vt:lpwstr/>
      </vt:variant>
      <vt:variant>
        <vt:lpwstr>_5.37.1.1__Shareability</vt:lpwstr>
      </vt:variant>
      <vt:variant>
        <vt:i4>2031684</vt:i4>
      </vt:variant>
      <vt:variant>
        <vt:i4>4887</vt:i4>
      </vt:variant>
      <vt:variant>
        <vt:i4>0</vt:i4>
      </vt:variant>
      <vt:variant>
        <vt:i4>5</vt:i4>
      </vt:variant>
      <vt:variant>
        <vt:lpwstr/>
      </vt:variant>
      <vt:variant>
        <vt:lpwstr>_5.2.8__Edit_Classification</vt:lpwstr>
      </vt:variant>
      <vt:variant>
        <vt:i4>720923</vt:i4>
      </vt:variant>
      <vt:variant>
        <vt:i4>4884</vt:i4>
      </vt:variant>
      <vt:variant>
        <vt:i4>0</vt:i4>
      </vt:variant>
      <vt:variant>
        <vt:i4>5</vt:i4>
      </vt:variant>
      <vt:variant>
        <vt:lpwstr/>
      </vt:variant>
      <vt:variant>
        <vt:lpwstr>_5.37.1.1__Shareability_1</vt:lpwstr>
      </vt:variant>
      <vt:variant>
        <vt:i4>7602177</vt:i4>
      </vt:variant>
      <vt:variant>
        <vt:i4>4881</vt:i4>
      </vt:variant>
      <vt:variant>
        <vt:i4>0</vt:i4>
      </vt:variant>
      <vt:variant>
        <vt:i4>5</vt:i4>
      </vt:variant>
      <vt:variant>
        <vt:lpwstr/>
      </vt:variant>
      <vt:variant>
        <vt:lpwstr>_5.2.3.5.1__Sort</vt:lpwstr>
      </vt:variant>
      <vt:variant>
        <vt:i4>327706</vt:i4>
      </vt:variant>
      <vt:variant>
        <vt:i4>4878</vt:i4>
      </vt:variant>
      <vt:variant>
        <vt:i4>0</vt:i4>
      </vt:variant>
      <vt:variant>
        <vt:i4>5</vt:i4>
      </vt:variant>
      <vt:variant>
        <vt:lpwstr/>
      </vt:variant>
      <vt:variant>
        <vt:lpwstr>_5.2.3.5__Properties_1</vt:lpwstr>
      </vt:variant>
      <vt:variant>
        <vt:i4>7602177</vt:i4>
      </vt:variant>
      <vt:variant>
        <vt:i4>4875</vt:i4>
      </vt:variant>
      <vt:variant>
        <vt:i4>0</vt:i4>
      </vt:variant>
      <vt:variant>
        <vt:i4>5</vt:i4>
      </vt:variant>
      <vt:variant>
        <vt:lpwstr/>
      </vt:variant>
      <vt:variant>
        <vt:lpwstr>_5.2.3.5.1__Sort</vt:lpwstr>
      </vt:variant>
      <vt:variant>
        <vt:i4>327706</vt:i4>
      </vt:variant>
      <vt:variant>
        <vt:i4>4872</vt:i4>
      </vt:variant>
      <vt:variant>
        <vt:i4>0</vt:i4>
      </vt:variant>
      <vt:variant>
        <vt:i4>5</vt:i4>
      </vt:variant>
      <vt:variant>
        <vt:lpwstr/>
      </vt:variant>
      <vt:variant>
        <vt:lpwstr>_5.2.3.5__Properties_1</vt:lpwstr>
      </vt:variant>
      <vt:variant>
        <vt:i4>2228321</vt:i4>
      </vt:variant>
      <vt:variant>
        <vt:i4>4869</vt:i4>
      </vt:variant>
      <vt:variant>
        <vt:i4>0</vt:i4>
      </vt:variant>
      <vt:variant>
        <vt:i4>5</vt:i4>
      </vt:variant>
      <vt:variant>
        <vt:lpwstr/>
      </vt:variant>
      <vt:variant>
        <vt:lpwstr>_5.2.2.1__Select_All</vt:lpwstr>
      </vt:variant>
      <vt:variant>
        <vt:i4>2424928</vt:i4>
      </vt:variant>
      <vt:variant>
        <vt:i4>4866</vt:i4>
      </vt:variant>
      <vt:variant>
        <vt:i4>0</vt:i4>
      </vt:variant>
      <vt:variant>
        <vt:i4>5</vt:i4>
      </vt:variant>
      <vt:variant>
        <vt:lpwstr/>
      </vt:variant>
      <vt:variant>
        <vt:lpwstr>_5.2.5.1__Find_Option</vt:lpwstr>
      </vt:variant>
      <vt:variant>
        <vt:i4>2818134</vt:i4>
      </vt:variant>
      <vt:variant>
        <vt:i4>4863</vt:i4>
      </vt:variant>
      <vt:variant>
        <vt:i4>0</vt:i4>
      </vt:variant>
      <vt:variant>
        <vt:i4>5</vt:i4>
      </vt:variant>
      <vt:variant>
        <vt:lpwstr/>
      </vt:variant>
      <vt:variant>
        <vt:lpwstr>_5.2.1.4__Receive</vt:lpwstr>
      </vt:variant>
      <vt:variant>
        <vt:i4>589837</vt:i4>
      </vt:variant>
      <vt:variant>
        <vt:i4>4860</vt:i4>
      </vt:variant>
      <vt:variant>
        <vt:i4>0</vt:i4>
      </vt:variant>
      <vt:variant>
        <vt:i4>5</vt:i4>
      </vt:variant>
      <vt:variant>
        <vt:lpwstr/>
      </vt:variant>
      <vt:variant>
        <vt:lpwstr>_5.2.1.4__Delete_1</vt:lpwstr>
      </vt:variant>
      <vt:variant>
        <vt:i4>4784214</vt:i4>
      </vt:variant>
      <vt:variant>
        <vt:i4>4857</vt:i4>
      </vt:variant>
      <vt:variant>
        <vt:i4>0</vt:i4>
      </vt:variant>
      <vt:variant>
        <vt:i4>5</vt:i4>
      </vt:variant>
      <vt:variant>
        <vt:lpwstr/>
      </vt:variant>
      <vt:variant>
        <vt:lpwstr>_5.2.1.2.1__Display_in Excel</vt:lpwstr>
      </vt:variant>
      <vt:variant>
        <vt:i4>3801199</vt:i4>
      </vt:variant>
      <vt:variant>
        <vt:i4>4854</vt:i4>
      </vt:variant>
      <vt:variant>
        <vt:i4>0</vt:i4>
      </vt:variant>
      <vt:variant>
        <vt:i4>5</vt:i4>
      </vt:variant>
      <vt:variant>
        <vt:lpwstr/>
      </vt:variant>
      <vt:variant>
        <vt:lpwstr>_5.2.1.2.3__Display_References</vt:lpwstr>
      </vt:variant>
      <vt:variant>
        <vt:i4>4194359</vt:i4>
      </vt:variant>
      <vt:variant>
        <vt:i4>4851</vt:i4>
      </vt:variant>
      <vt:variant>
        <vt:i4>0</vt:i4>
      </vt:variant>
      <vt:variant>
        <vt:i4>5</vt:i4>
      </vt:variant>
      <vt:variant>
        <vt:lpwstr/>
      </vt:variant>
      <vt:variant>
        <vt:lpwstr>_5.2.1.5__Print</vt:lpwstr>
      </vt:variant>
      <vt:variant>
        <vt:i4>327738</vt:i4>
      </vt:variant>
      <vt:variant>
        <vt:i4>4848</vt:i4>
      </vt:variant>
      <vt:variant>
        <vt:i4>0</vt:i4>
      </vt:variant>
      <vt:variant>
        <vt:i4>5</vt:i4>
      </vt:variant>
      <vt:variant>
        <vt:lpwstr/>
      </vt:variant>
      <vt:variant>
        <vt:lpwstr>_5.36.1__Create</vt:lpwstr>
      </vt:variant>
      <vt:variant>
        <vt:i4>1179683</vt:i4>
      </vt:variant>
      <vt:variant>
        <vt:i4>4845</vt:i4>
      </vt:variant>
      <vt:variant>
        <vt:i4>0</vt:i4>
      </vt:variant>
      <vt:variant>
        <vt:i4>5</vt:i4>
      </vt:variant>
      <vt:variant>
        <vt:lpwstr/>
      </vt:variant>
      <vt:variant>
        <vt:lpwstr>_5.14.4__Inventory</vt:lpwstr>
      </vt:variant>
      <vt:variant>
        <vt:i4>6684736</vt:i4>
      </vt:variant>
      <vt:variant>
        <vt:i4>4842</vt:i4>
      </vt:variant>
      <vt:variant>
        <vt:i4>0</vt:i4>
      </vt:variant>
      <vt:variant>
        <vt:i4>5</vt:i4>
      </vt:variant>
      <vt:variant>
        <vt:lpwstr/>
      </vt:variant>
      <vt:variant>
        <vt:lpwstr>_5.14.5__Copy</vt:lpwstr>
      </vt:variant>
      <vt:variant>
        <vt:i4>7798864</vt:i4>
      </vt:variant>
      <vt:variant>
        <vt:i4>4839</vt:i4>
      </vt:variant>
      <vt:variant>
        <vt:i4>0</vt:i4>
      </vt:variant>
      <vt:variant>
        <vt:i4>5</vt:i4>
      </vt:variant>
      <vt:variant>
        <vt:lpwstr/>
      </vt:variant>
      <vt:variant>
        <vt:lpwstr>_5.14.2__Display</vt:lpwstr>
      </vt:variant>
      <vt:variant>
        <vt:i4>7798865</vt:i4>
      </vt:variant>
      <vt:variant>
        <vt:i4>4836</vt:i4>
      </vt:variant>
      <vt:variant>
        <vt:i4>0</vt:i4>
      </vt:variant>
      <vt:variant>
        <vt:i4>5</vt:i4>
      </vt:variant>
      <vt:variant>
        <vt:lpwstr/>
      </vt:variant>
      <vt:variant>
        <vt:lpwstr>_5.14.3__Display</vt:lpwstr>
      </vt:variant>
      <vt:variant>
        <vt:i4>2031684</vt:i4>
      </vt:variant>
      <vt:variant>
        <vt:i4>4833</vt:i4>
      </vt:variant>
      <vt:variant>
        <vt:i4>0</vt:i4>
      </vt:variant>
      <vt:variant>
        <vt:i4>5</vt:i4>
      </vt:variant>
      <vt:variant>
        <vt:lpwstr/>
      </vt:variant>
      <vt:variant>
        <vt:lpwstr>_5.2.8__Edit_Classification</vt:lpwstr>
      </vt:variant>
      <vt:variant>
        <vt:i4>2031684</vt:i4>
      </vt:variant>
      <vt:variant>
        <vt:i4>4830</vt:i4>
      </vt:variant>
      <vt:variant>
        <vt:i4>0</vt:i4>
      </vt:variant>
      <vt:variant>
        <vt:i4>5</vt:i4>
      </vt:variant>
      <vt:variant>
        <vt:lpwstr/>
      </vt:variant>
      <vt:variant>
        <vt:lpwstr>_5.2.8__Edit_Classification</vt:lpwstr>
      </vt:variant>
      <vt:variant>
        <vt:i4>589837</vt:i4>
      </vt:variant>
      <vt:variant>
        <vt:i4>4827</vt:i4>
      </vt:variant>
      <vt:variant>
        <vt:i4>0</vt:i4>
      </vt:variant>
      <vt:variant>
        <vt:i4>5</vt:i4>
      </vt:variant>
      <vt:variant>
        <vt:lpwstr/>
      </vt:variant>
      <vt:variant>
        <vt:lpwstr>_5.2.1.4__Delete_1</vt:lpwstr>
      </vt:variant>
      <vt:variant>
        <vt:i4>2228321</vt:i4>
      </vt:variant>
      <vt:variant>
        <vt:i4>4824</vt:i4>
      </vt:variant>
      <vt:variant>
        <vt:i4>0</vt:i4>
      </vt:variant>
      <vt:variant>
        <vt:i4>5</vt:i4>
      </vt:variant>
      <vt:variant>
        <vt:lpwstr/>
      </vt:variant>
      <vt:variant>
        <vt:lpwstr>_5.2.2.1__Select_All</vt:lpwstr>
      </vt:variant>
      <vt:variant>
        <vt:i4>4784214</vt:i4>
      </vt:variant>
      <vt:variant>
        <vt:i4>4821</vt:i4>
      </vt:variant>
      <vt:variant>
        <vt:i4>0</vt:i4>
      </vt:variant>
      <vt:variant>
        <vt:i4>5</vt:i4>
      </vt:variant>
      <vt:variant>
        <vt:lpwstr/>
      </vt:variant>
      <vt:variant>
        <vt:lpwstr>_5.2.1.2.1__Display_in Excel</vt:lpwstr>
      </vt:variant>
      <vt:variant>
        <vt:i4>4194359</vt:i4>
      </vt:variant>
      <vt:variant>
        <vt:i4>4818</vt:i4>
      </vt:variant>
      <vt:variant>
        <vt:i4>0</vt:i4>
      </vt:variant>
      <vt:variant>
        <vt:i4>5</vt:i4>
      </vt:variant>
      <vt:variant>
        <vt:lpwstr/>
      </vt:variant>
      <vt:variant>
        <vt:lpwstr>_5.2.1.5__Print</vt:lpwstr>
      </vt:variant>
      <vt:variant>
        <vt:i4>2424928</vt:i4>
      </vt:variant>
      <vt:variant>
        <vt:i4>4815</vt:i4>
      </vt:variant>
      <vt:variant>
        <vt:i4>0</vt:i4>
      </vt:variant>
      <vt:variant>
        <vt:i4>5</vt:i4>
      </vt:variant>
      <vt:variant>
        <vt:lpwstr/>
      </vt:variant>
      <vt:variant>
        <vt:lpwstr>_5.2.5.1__Find_Option</vt:lpwstr>
      </vt:variant>
      <vt:variant>
        <vt:i4>8126510</vt:i4>
      </vt:variant>
      <vt:variant>
        <vt:i4>4812</vt:i4>
      </vt:variant>
      <vt:variant>
        <vt:i4>0</vt:i4>
      </vt:variant>
      <vt:variant>
        <vt:i4>5</vt:i4>
      </vt:variant>
      <vt:variant>
        <vt:lpwstr/>
      </vt:variant>
      <vt:variant>
        <vt:lpwstr>_5.2.1.7_Bookshelf</vt:lpwstr>
      </vt:variant>
      <vt:variant>
        <vt:i4>327696</vt:i4>
      </vt:variant>
      <vt:variant>
        <vt:i4>4809</vt:i4>
      </vt:variant>
      <vt:variant>
        <vt:i4>0</vt:i4>
      </vt:variant>
      <vt:variant>
        <vt:i4>5</vt:i4>
      </vt:variant>
      <vt:variant>
        <vt:lpwstr/>
      </vt:variant>
      <vt:variant>
        <vt:lpwstr>_5.2__COMMON_1</vt:lpwstr>
      </vt:variant>
      <vt:variant>
        <vt:i4>327696</vt:i4>
      </vt:variant>
      <vt:variant>
        <vt:i4>4806</vt:i4>
      </vt:variant>
      <vt:variant>
        <vt:i4>0</vt:i4>
      </vt:variant>
      <vt:variant>
        <vt:i4>5</vt:i4>
      </vt:variant>
      <vt:variant>
        <vt:lpwstr/>
      </vt:variant>
      <vt:variant>
        <vt:lpwstr>_5.2__COMMON_1</vt:lpwstr>
      </vt:variant>
      <vt:variant>
        <vt:i4>327696</vt:i4>
      </vt:variant>
      <vt:variant>
        <vt:i4>4803</vt:i4>
      </vt:variant>
      <vt:variant>
        <vt:i4>0</vt:i4>
      </vt:variant>
      <vt:variant>
        <vt:i4>5</vt:i4>
      </vt:variant>
      <vt:variant>
        <vt:lpwstr/>
      </vt:variant>
      <vt:variant>
        <vt:lpwstr>_5.2__COMMON_1</vt:lpwstr>
      </vt:variant>
      <vt:variant>
        <vt:i4>6094965</vt:i4>
      </vt:variant>
      <vt:variant>
        <vt:i4>4800</vt:i4>
      </vt:variant>
      <vt:variant>
        <vt:i4>0</vt:i4>
      </vt:variant>
      <vt:variant>
        <vt:i4>5</vt:i4>
      </vt:variant>
      <vt:variant>
        <vt:lpwstr/>
      </vt:variant>
      <vt:variant>
        <vt:lpwstr>_5.35.2.1__TMPR</vt:lpwstr>
      </vt:variant>
      <vt:variant>
        <vt:i4>327696</vt:i4>
      </vt:variant>
      <vt:variant>
        <vt:i4>4797</vt:i4>
      </vt:variant>
      <vt:variant>
        <vt:i4>0</vt:i4>
      </vt:variant>
      <vt:variant>
        <vt:i4>5</vt:i4>
      </vt:variant>
      <vt:variant>
        <vt:lpwstr/>
      </vt:variant>
      <vt:variant>
        <vt:lpwstr>_5.2__COMMON_1</vt:lpwstr>
      </vt:variant>
      <vt:variant>
        <vt:i4>3145736</vt:i4>
      </vt:variant>
      <vt:variant>
        <vt:i4>4794</vt:i4>
      </vt:variant>
      <vt:variant>
        <vt:i4>0</vt:i4>
      </vt:variant>
      <vt:variant>
        <vt:i4>5</vt:i4>
      </vt:variant>
      <vt:variant>
        <vt:lpwstr/>
      </vt:variant>
      <vt:variant>
        <vt:lpwstr>_5.35.5.2_Target_Information</vt:lpwstr>
      </vt:variant>
      <vt:variant>
        <vt:i4>3801113</vt:i4>
      </vt:variant>
      <vt:variant>
        <vt:i4>4791</vt:i4>
      </vt:variant>
      <vt:variant>
        <vt:i4>0</vt:i4>
      </vt:variant>
      <vt:variant>
        <vt:i4>5</vt:i4>
      </vt:variant>
      <vt:variant>
        <vt:lpwstr/>
      </vt:variant>
      <vt:variant>
        <vt:lpwstr>_5.35.5.1__Target</vt:lpwstr>
      </vt:variant>
      <vt:variant>
        <vt:i4>327696</vt:i4>
      </vt:variant>
      <vt:variant>
        <vt:i4>4788</vt:i4>
      </vt:variant>
      <vt:variant>
        <vt:i4>0</vt:i4>
      </vt:variant>
      <vt:variant>
        <vt:i4>5</vt:i4>
      </vt:variant>
      <vt:variant>
        <vt:lpwstr/>
      </vt:variant>
      <vt:variant>
        <vt:lpwstr>_5.2__COMMON_1</vt:lpwstr>
      </vt:variant>
      <vt:variant>
        <vt:i4>327696</vt:i4>
      </vt:variant>
      <vt:variant>
        <vt:i4>4785</vt:i4>
      </vt:variant>
      <vt:variant>
        <vt:i4>0</vt:i4>
      </vt:variant>
      <vt:variant>
        <vt:i4>5</vt:i4>
      </vt:variant>
      <vt:variant>
        <vt:lpwstr/>
      </vt:variant>
      <vt:variant>
        <vt:lpwstr>_5.2__COMMON_1</vt:lpwstr>
      </vt:variant>
      <vt:variant>
        <vt:i4>3997754</vt:i4>
      </vt:variant>
      <vt:variant>
        <vt:i4>4782</vt:i4>
      </vt:variant>
      <vt:variant>
        <vt:i4>0</vt:i4>
      </vt:variant>
      <vt:variant>
        <vt:i4>5</vt:i4>
      </vt:variant>
      <vt:variant>
        <vt:lpwstr/>
      </vt:variant>
      <vt:variant>
        <vt:lpwstr>_5.34__ACMSs_TOOL</vt:lpwstr>
      </vt:variant>
      <vt:variant>
        <vt:i4>327696</vt:i4>
      </vt:variant>
      <vt:variant>
        <vt:i4>4779</vt:i4>
      </vt:variant>
      <vt:variant>
        <vt:i4>0</vt:i4>
      </vt:variant>
      <vt:variant>
        <vt:i4>5</vt:i4>
      </vt:variant>
      <vt:variant>
        <vt:lpwstr/>
      </vt:variant>
      <vt:variant>
        <vt:lpwstr>_5.2__COMMON_1</vt:lpwstr>
      </vt:variant>
      <vt:variant>
        <vt:i4>327696</vt:i4>
      </vt:variant>
      <vt:variant>
        <vt:i4>4776</vt:i4>
      </vt:variant>
      <vt:variant>
        <vt:i4>0</vt:i4>
      </vt:variant>
      <vt:variant>
        <vt:i4>5</vt:i4>
      </vt:variant>
      <vt:variant>
        <vt:lpwstr/>
      </vt:variant>
      <vt:variant>
        <vt:lpwstr>_5.2__COMMON_1</vt:lpwstr>
      </vt:variant>
      <vt:variant>
        <vt:i4>1310764</vt:i4>
      </vt:variant>
      <vt:variant>
        <vt:i4>4773</vt:i4>
      </vt:variant>
      <vt:variant>
        <vt:i4>0</vt:i4>
      </vt:variant>
      <vt:variant>
        <vt:i4>5</vt:i4>
      </vt:variant>
      <vt:variant>
        <vt:lpwstr/>
      </vt:variant>
      <vt:variant>
        <vt:lpwstr>_5.35.1.1.1__Target</vt:lpwstr>
      </vt:variant>
      <vt:variant>
        <vt:i4>327696</vt:i4>
      </vt:variant>
      <vt:variant>
        <vt:i4>4770</vt:i4>
      </vt:variant>
      <vt:variant>
        <vt:i4>0</vt:i4>
      </vt:variant>
      <vt:variant>
        <vt:i4>5</vt:i4>
      </vt:variant>
      <vt:variant>
        <vt:lpwstr/>
      </vt:variant>
      <vt:variant>
        <vt:lpwstr>_5.2__COMMON_1</vt:lpwstr>
      </vt:variant>
      <vt:variant>
        <vt:i4>7077996</vt:i4>
      </vt:variant>
      <vt:variant>
        <vt:i4>4767</vt:i4>
      </vt:variant>
      <vt:variant>
        <vt:i4>0</vt:i4>
      </vt:variant>
      <vt:variant>
        <vt:i4>5</vt:i4>
      </vt:variant>
      <vt:variant>
        <vt:lpwstr/>
      </vt:variant>
      <vt:variant>
        <vt:lpwstr>_5.38.3.1__Strike_</vt:lpwstr>
      </vt:variant>
      <vt:variant>
        <vt:i4>327696</vt:i4>
      </vt:variant>
      <vt:variant>
        <vt:i4>4764</vt:i4>
      </vt:variant>
      <vt:variant>
        <vt:i4>0</vt:i4>
      </vt:variant>
      <vt:variant>
        <vt:i4>5</vt:i4>
      </vt:variant>
      <vt:variant>
        <vt:lpwstr/>
      </vt:variant>
      <vt:variant>
        <vt:lpwstr>_5.2__COMMON_1</vt:lpwstr>
      </vt:variant>
      <vt:variant>
        <vt:i4>2359369</vt:i4>
      </vt:variant>
      <vt:variant>
        <vt:i4>4761</vt:i4>
      </vt:variant>
      <vt:variant>
        <vt:i4>0</vt:i4>
      </vt:variant>
      <vt:variant>
        <vt:i4>5</vt:i4>
      </vt:variant>
      <vt:variant>
        <vt:lpwstr/>
      </vt:variant>
      <vt:variant>
        <vt:lpwstr>_5.35.9__Checking/Setting</vt:lpwstr>
      </vt:variant>
      <vt:variant>
        <vt:i4>2031684</vt:i4>
      </vt:variant>
      <vt:variant>
        <vt:i4>4758</vt:i4>
      </vt:variant>
      <vt:variant>
        <vt:i4>0</vt:i4>
      </vt:variant>
      <vt:variant>
        <vt:i4>5</vt:i4>
      </vt:variant>
      <vt:variant>
        <vt:lpwstr/>
      </vt:variant>
      <vt:variant>
        <vt:lpwstr>_5.2.8__Edit_Classification</vt:lpwstr>
      </vt:variant>
      <vt:variant>
        <vt:i4>5898295</vt:i4>
      </vt:variant>
      <vt:variant>
        <vt:i4>4755</vt:i4>
      </vt:variant>
      <vt:variant>
        <vt:i4>0</vt:i4>
      </vt:variant>
      <vt:variant>
        <vt:i4>5</vt:i4>
      </vt:variant>
      <vt:variant>
        <vt:lpwstr/>
      </vt:variant>
      <vt:variant>
        <vt:lpwstr>_5.6__MISSIONS</vt:lpwstr>
      </vt:variant>
      <vt:variant>
        <vt:i4>327696</vt:i4>
      </vt:variant>
      <vt:variant>
        <vt:i4>4752</vt:i4>
      </vt:variant>
      <vt:variant>
        <vt:i4>0</vt:i4>
      </vt:variant>
      <vt:variant>
        <vt:i4>5</vt:i4>
      </vt:variant>
      <vt:variant>
        <vt:lpwstr/>
      </vt:variant>
      <vt:variant>
        <vt:lpwstr>_5.2__COMMON_1</vt:lpwstr>
      </vt:variant>
      <vt:variant>
        <vt:i4>3997754</vt:i4>
      </vt:variant>
      <vt:variant>
        <vt:i4>4749</vt:i4>
      </vt:variant>
      <vt:variant>
        <vt:i4>0</vt:i4>
      </vt:variant>
      <vt:variant>
        <vt:i4>5</vt:i4>
      </vt:variant>
      <vt:variant>
        <vt:lpwstr/>
      </vt:variant>
      <vt:variant>
        <vt:lpwstr>_5.34__ACMSs_TOOL</vt:lpwstr>
      </vt:variant>
      <vt:variant>
        <vt:i4>327696</vt:i4>
      </vt:variant>
      <vt:variant>
        <vt:i4>4746</vt:i4>
      </vt:variant>
      <vt:variant>
        <vt:i4>0</vt:i4>
      </vt:variant>
      <vt:variant>
        <vt:i4>5</vt:i4>
      </vt:variant>
      <vt:variant>
        <vt:lpwstr/>
      </vt:variant>
      <vt:variant>
        <vt:lpwstr>_5.2__COMMON_1</vt:lpwstr>
      </vt:variant>
      <vt:variant>
        <vt:i4>327696</vt:i4>
      </vt:variant>
      <vt:variant>
        <vt:i4>4743</vt:i4>
      </vt:variant>
      <vt:variant>
        <vt:i4>0</vt:i4>
      </vt:variant>
      <vt:variant>
        <vt:i4>5</vt:i4>
      </vt:variant>
      <vt:variant>
        <vt:lpwstr/>
      </vt:variant>
      <vt:variant>
        <vt:lpwstr>_5.2__COMMON_1</vt:lpwstr>
      </vt:variant>
      <vt:variant>
        <vt:i4>1310760</vt:i4>
      </vt:variant>
      <vt:variant>
        <vt:i4>4740</vt:i4>
      </vt:variant>
      <vt:variant>
        <vt:i4>0</vt:i4>
      </vt:variant>
      <vt:variant>
        <vt:i4>5</vt:i4>
      </vt:variant>
      <vt:variant>
        <vt:lpwstr/>
      </vt:variant>
      <vt:variant>
        <vt:lpwstr>_5.35.5__Target</vt:lpwstr>
      </vt:variant>
      <vt:variant>
        <vt:i4>1310764</vt:i4>
      </vt:variant>
      <vt:variant>
        <vt:i4>4737</vt:i4>
      </vt:variant>
      <vt:variant>
        <vt:i4>0</vt:i4>
      </vt:variant>
      <vt:variant>
        <vt:i4>5</vt:i4>
      </vt:variant>
      <vt:variant>
        <vt:lpwstr/>
      </vt:variant>
      <vt:variant>
        <vt:lpwstr>_5.35.1.1.1__Target</vt:lpwstr>
      </vt:variant>
      <vt:variant>
        <vt:i4>327696</vt:i4>
      </vt:variant>
      <vt:variant>
        <vt:i4>4734</vt:i4>
      </vt:variant>
      <vt:variant>
        <vt:i4>0</vt:i4>
      </vt:variant>
      <vt:variant>
        <vt:i4>5</vt:i4>
      </vt:variant>
      <vt:variant>
        <vt:lpwstr/>
      </vt:variant>
      <vt:variant>
        <vt:lpwstr>_5.2__COMMON_1</vt:lpwstr>
      </vt:variant>
      <vt:variant>
        <vt:i4>2359369</vt:i4>
      </vt:variant>
      <vt:variant>
        <vt:i4>4731</vt:i4>
      </vt:variant>
      <vt:variant>
        <vt:i4>0</vt:i4>
      </vt:variant>
      <vt:variant>
        <vt:i4>5</vt:i4>
      </vt:variant>
      <vt:variant>
        <vt:lpwstr/>
      </vt:variant>
      <vt:variant>
        <vt:lpwstr>_5.35.9__Checking/Setting</vt:lpwstr>
      </vt:variant>
      <vt:variant>
        <vt:i4>3538973</vt:i4>
      </vt:variant>
      <vt:variant>
        <vt:i4>4728</vt:i4>
      </vt:variant>
      <vt:variant>
        <vt:i4>0</vt:i4>
      </vt:variant>
      <vt:variant>
        <vt:i4>5</vt:i4>
      </vt:variant>
      <vt:variant>
        <vt:lpwstr/>
      </vt:variant>
      <vt:variant>
        <vt:lpwstr>_5.35.2.2__Modify</vt:lpwstr>
      </vt:variant>
      <vt:variant>
        <vt:i4>1048624</vt:i4>
      </vt:variant>
      <vt:variant>
        <vt:i4>4725</vt:i4>
      </vt:variant>
      <vt:variant>
        <vt:i4>0</vt:i4>
      </vt:variant>
      <vt:variant>
        <vt:i4>5</vt:i4>
      </vt:variant>
      <vt:variant>
        <vt:lpwstr/>
      </vt:variant>
      <vt:variant>
        <vt:lpwstr>_Toc100461728</vt:lpwstr>
      </vt:variant>
      <vt:variant>
        <vt:i4>2031684</vt:i4>
      </vt:variant>
      <vt:variant>
        <vt:i4>4722</vt:i4>
      </vt:variant>
      <vt:variant>
        <vt:i4>0</vt:i4>
      </vt:variant>
      <vt:variant>
        <vt:i4>5</vt:i4>
      </vt:variant>
      <vt:variant>
        <vt:lpwstr/>
      </vt:variant>
      <vt:variant>
        <vt:lpwstr>_5.2.8__Edit_Classification</vt:lpwstr>
      </vt:variant>
      <vt:variant>
        <vt:i4>5898295</vt:i4>
      </vt:variant>
      <vt:variant>
        <vt:i4>4719</vt:i4>
      </vt:variant>
      <vt:variant>
        <vt:i4>0</vt:i4>
      </vt:variant>
      <vt:variant>
        <vt:i4>5</vt:i4>
      </vt:variant>
      <vt:variant>
        <vt:lpwstr/>
      </vt:variant>
      <vt:variant>
        <vt:lpwstr>_5.6__MISSIONS</vt:lpwstr>
      </vt:variant>
      <vt:variant>
        <vt:i4>327696</vt:i4>
      </vt:variant>
      <vt:variant>
        <vt:i4>4716</vt:i4>
      </vt:variant>
      <vt:variant>
        <vt:i4>0</vt:i4>
      </vt:variant>
      <vt:variant>
        <vt:i4>5</vt:i4>
      </vt:variant>
      <vt:variant>
        <vt:lpwstr/>
      </vt:variant>
      <vt:variant>
        <vt:lpwstr>_5.2__COMMON_1</vt:lpwstr>
      </vt:variant>
      <vt:variant>
        <vt:i4>327696</vt:i4>
      </vt:variant>
      <vt:variant>
        <vt:i4>4713</vt:i4>
      </vt:variant>
      <vt:variant>
        <vt:i4>0</vt:i4>
      </vt:variant>
      <vt:variant>
        <vt:i4>5</vt:i4>
      </vt:variant>
      <vt:variant>
        <vt:lpwstr/>
      </vt:variant>
      <vt:variant>
        <vt:lpwstr>_5.2__COMMON_1</vt:lpwstr>
      </vt:variant>
      <vt:variant>
        <vt:i4>1441855</vt:i4>
      </vt:variant>
      <vt:variant>
        <vt:i4>4710</vt:i4>
      </vt:variant>
      <vt:variant>
        <vt:i4>0</vt:i4>
      </vt:variant>
      <vt:variant>
        <vt:i4>5</vt:i4>
      </vt:variant>
      <vt:variant>
        <vt:lpwstr/>
      </vt:variant>
      <vt:variant>
        <vt:lpwstr>_Appendix_I_</vt:lpwstr>
      </vt:variant>
      <vt:variant>
        <vt:i4>5570686</vt:i4>
      </vt:variant>
      <vt:variant>
        <vt:i4>4707</vt:i4>
      </vt:variant>
      <vt:variant>
        <vt:i4>0</vt:i4>
      </vt:variant>
      <vt:variant>
        <vt:i4>5</vt:i4>
      </vt:variant>
      <vt:variant>
        <vt:lpwstr/>
      </vt:variant>
      <vt:variant>
        <vt:lpwstr>_5.33__ACMS</vt:lpwstr>
      </vt:variant>
      <vt:variant>
        <vt:i4>327696</vt:i4>
      </vt:variant>
      <vt:variant>
        <vt:i4>4704</vt:i4>
      </vt:variant>
      <vt:variant>
        <vt:i4>0</vt:i4>
      </vt:variant>
      <vt:variant>
        <vt:i4>5</vt:i4>
      </vt:variant>
      <vt:variant>
        <vt:lpwstr/>
      </vt:variant>
      <vt:variant>
        <vt:lpwstr>_5.2__COMMON_1</vt:lpwstr>
      </vt:variant>
      <vt:variant>
        <vt:i4>327696</vt:i4>
      </vt:variant>
      <vt:variant>
        <vt:i4>4701</vt:i4>
      </vt:variant>
      <vt:variant>
        <vt:i4>0</vt:i4>
      </vt:variant>
      <vt:variant>
        <vt:i4>5</vt:i4>
      </vt:variant>
      <vt:variant>
        <vt:lpwstr/>
      </vt:variant>
      <vt:variant>
        <vt:lpwstr>_5.2__COMMON_1</vt:lpwstr>
      </vt:variant>
      <vt:variant>
        <vt:i4>1310760</vt:i4>
      </vt:variant>
      <vt:variant>
        <vt:i4>4698</vt:i4>
      </vt:variant>
      <vt:variant>
        <vt:i4>0</vt:i4>
      </vt:variant>
      <vt:variant>
        <vt:i4>5</vt:i4>
      </vt:variant>
      <vt:variant>
        <vt:lpwstr/>
      </vt:variant>
      <vt:variant>
        <vt:lpwstr>_5.35.5__Target</vt:lpwstr>
      </vt:variant>
      <vt:variant>
        <vt:i4>6488087</vt:i4>
      </vt:variant>
      <vt:variant>
        <vt:i4>4695</vt:i4>
      </vt:variant>
      <vt:variant>
        <vt:i4>0</vt:i4>
      </vt:variant>
      <vt:variant>
        <vt:i4>5</vt:i4>
      </vt:variant>
      <vt:variant>
        <vt:lpwstr/>
      </vt:variant>
      <vt:variant>
        <vt:lpwstr>_5.37.12.1__Retarget</vt:lpwstr>
      </vt:variant>
      <vt:variant>
        <vt:i4>1310767</vt:i4>
      </vt:variant>
      <vt:variant>
        <vt:i4>4692</vt:i4>
      </vt:variant>
      <vt:variant>
        <vt:i4>0</vt:i4>
      </vt:variant>
      <vt:variant>
        <vt:i4>5</vt:i4>
      </vt:variant>
      <vt:variant>
        <vt:lpwstr/>
      </vt:variant>
      <vt:variant>
        <vt:lpwstr>_5.35.2.1.1__Target</vt:lpwstr>
      </vt:variant>
      <vt:variant>
        <vt:i4>5505032</vt:i4>
      </vt:variant>
      <vt:variant>
        <vt:i4>4689</vt:i4>
      </vt:variant>
      <vt:variant>
        <vt:i4>0</vt:i4>
      </vt:variant>
      <vt:variant>
        <vt:i4>5</vt:i4>
      </vt:variant>
      <vt:variant>
        <vt:lpwstr/>
      </vt:variant>
      <vt:variant>
        <vt:lpwstr>_5.2_COMMON_WINDOW_FEATURES</vt:lpwstr>
      </vt:variant>
      <vt:variant>
        <vt:i4>2359369</vt:i4>
      </vt:variant>
      <vt:variant>
        <vt:i4>4686</vt:i4>
      </vt:variant>
      <vt:variant>
        <vt:i4>0</vt:i4>
      </vt:variant>
      <vt:variant>
        <vt:i4>5</vt:i4>
      </vt:variant>
      <vt:variant>
        <vt:lpwstr/>
      </vt:variant>
      <vt:variant>
        <vt:lpwstr>_5.35.9__Checking/Setting</vt:lpwstr>
      </vt:variant>
      <vt:variant>
        <vt:i4>2818059</vt:i4>
      </vt:variant>
      <vt:variant>
        <vt:i4>4683</vt:i4>
      </vt:variant>
      <vt:variant>
        <vt:i4>0</vt:i4>
      </vt:variant>
      <vt:variant>
        <vt:i4>5</vt:i4>
      </vt:variant>
      <vt:variant>
        <vt:lpwstr/>
      </vt:variant>
      <vt:variant>
        <vt:lpwstr>_5.35.1.2__Create</vt:lpwstr>
      </vt:variant>
      <vt:variant>
        <vt:i4>2818052</vt:i4>
      </vt:variant>
      <vt:variant>
        <vt:i4>4680</vt:i4>
      </vt:variant>
      <vt:variant>
        <vt:i4>0</vt:i4>
      </vt:variant>
      <vt:variant>
        <vt:i4>5</vt:i4>
      </vt:variant>
      <vt:variant>
        <vt:lpwstr/>
      </vt:variant>
      <vt:variant>
        <vt:lpwstr>_5.35.1.1_Create_TMPR</vt:lpwstr>
      </vt:variant>
      <vt:variant>
        <vt:i4>2031684</vt:i4>
      </vt:variant>
      <vt:variant>
        <vt:i4>4677</vt:i4>
      </vt:variant>
      <vt:variant>
        <vt:i4>0</vt:i4>
      </vt:variant>
      <vt:variant>
        <vt:i4>5</vt:i4>
      </vt:variant>
      <vt:variant>
        <vt:lpwstr/>
      </vt:variant>
      <vt:variant>
        <vt:lpwstr>_5.2.8__Edit_Classification</vt:lpwstr>
      </vt:variant>
      <vt:variant>
        <vt:i4>7602177</vt:i4>
      </vt:variant>
      <vt:variant>
        <vt:i4>4674</vt:i4>
      </vt:variant>
      <vt:variant>
        <vt:i4>0</vt:i4>
      </vt:variant>
      <vt:variant>
        <vt:i4>5</vt:i4>
      </vt:variant>
      <vt:variant>
        <vt:lpwstr/>
      </vt:variant>
      <vt:variant>
        <vt:lpwstr>_5.2.3.5.1__Sort</vt:lpwstr>
      </vt:variant>
      <vt:variant>
        <vt:i4>327706</vt:i4>
      </vt:variant>
      <vt:variant>
        <vt:i4>4671</vt:i4>
      </vt:variant>
      <vt:variant>
        <vt:i4>0</vt:i4>
      </vt:variant>
      <vt:variant>
        <vt:i4>5</vt:i4>
      </vt:variant>
      <vt:variant>
        <vt:lpwstr/>
      </vt:variant>
      <vt:variant>
        <vt:lpwstr>_5.2.3.5__Properties_1</vt:lpwstr>
      </vt:variant>
      <vt:variant>
        <vt:i4>589837</vt:i4>
      </vt:variant>
      <vt:variant>
        <vt:i4>4668</vt:i4>
      </vt:variant>
      <vt:variant>
        <vt:i4>0</vt:i4>
      </vt:variant>
      <vt:variant>
        <vt:i4>5</vt:i4>
      </vt:variant>
      <vt:variant>
        <vt:lpwstr/>
      </vt:variant>
      <vt:variant>
        <vt:lpwstr>_5.2.1.4__Delete_1</vt:lpwstr>
      </vt:variant>
      <vt:variant>
        <vt:i4>2228321</vt:i4>
      </vt:variant>
      <vt:variant>
        <vt:i4>4665</vt:i4>
      </vt:variant>
      <vt:variant>
        <vt:i4>0</vt:i4>
      </vt:variant>
      <vt:variant>
        <vt:i4>5</vt:i4>
      </vt:variant>
      <vt:variant>
        <vt:lpwstr/>
      </vt:variant>
      <vt:variant>
        <vt:lpwstr>_5.2.2.1__Select_All</vt:lpwstr>
      </vt:variant>
      <vt:variant>
        <vt:i4>4784214</vt:i4>
      </vt:variant>
      <vt:variant>
        <vt:i4>4662</vt:i4>
      </vt:variant>
      <vt:variant>
        <vt:i4>0</vt:i4>
      </vt:variant>
      <vt:variant>
        <vt:i4>5</vt:i4>
      </vt:variant>
      <vt:variant>
        <vt:lpwstr/>
      </vt:variant>
      <vt:variant>
        <vt:lpwstr>_5.2.1.2.1__Display_in Excel</vt:lpwstr>
      </vt:variant>
      <vt:variant>
        <vt:i4>4194359</vt:i4>
      </vt:variant>
      <vt:variant>
        <vt:i4>4659</vt:i4>
      </vt:variant>
      <vt:variant>
        <vt:i4>0</vt:i4>
      </vt:variant>
      <vt:variant>
        <vt:i4>5</vt:i4>
      </vt:variant>
      <vt:variant>
        <vt:lpwstr/>
      </vt:variant>
      <vt:variant>
        <vt:lpwstr>_5.2.1.5__Print</vt:lpwstr>
      </vt:variant>
      <vt:variant>
        <vt:i4>2424928</vt:i4>
      </vt:variant>
      <vt:variant>
        <vt:i4>4656</vt:i4>
      </vt:variant>
      <vt:variant>
        <vt:i4>0</vt:i4>
      </vt:variant>
      <vt:variant>
        <vt:i4>5</vt:i4>
      </vt:variant>
      <vt:variant>
        <vt:lpwstr/>
      </vt:variant>
      <vt:variant>
        <vt:lpwstr>_5.2.5.1__Find_Option</vt:lpwstr>
      </vt:variant>
      <vt:variant>
        <vt:i4>3342444</vt:i4>
      </vt:variant>
      <vt:variant>
        <vt:i4>4653</vt:i4>
      </vt:variant>
      <vt:variant>
        <vt:i4>0</vt:i4>
      </vt:variant>
      <vt:variant>
        <vt:i4>5</vt:i4>
      </vt:variant>
      <vt:variant>
        <vt:lpwstr/>
      </vt:variant>
      <vt:variant>
        <vt:lpwstr>_5.2.1.2.2__Display_Geographically</vt:lpwstr>
      </vt:variant>
      <vt:variant>
        <vt:i4>8126510</vt:i4>
      </vt:variant>
      <vt:variant>
        <vt:i4>4650</vt:i4>
      </vt:variant>
      <vt:variant>
        <vt:i4>0</vt:i4>
      </vt:variant>
      <vt:variant>
        <vt:i4>5</vt:i4>
      </vt:variant>
      <vt:variant>
        <vt:lpwstr/>
      </vt:variant>
      <vt:variant>
        <vt:lpwstr>_5.2.1.7_Bookshelf</vt:lpwstr>
      </vt:variant>
      <vt:variant>
        <vt:i4>589837</vt:i4>
      </vt:variant>
      <vt:variant>
        <vt:i4>4647</vt:i4>
      </vt:variant>
      <vt:variant>
        <vt:i4>0</vt:i4>
      </vt:variant>
      <vt:variant>
        <vt:i4>5</vt:i4>
      </vt:variant>
      <vt:variant>
        <vt:lpwstr/>
      </vt:variant>
      <vt:variant>
        <vt:lpwstr>_5.2.1.4__Delete_1</vt:lpwstr>
      </vt:variant>
      <vt:variant>
        <vt:i4>7602177</vt:i4>
      </vt:variant>
      <vt:variant>
        <vt:i4>4644</vt:i4>
      </vt:variant>
      <vt:variant>
        <vt:i4>0</vt:i4>
      </vt:variant>
      <vt:variant>
        <vt:i4>5</vt:i4>
      </vt:variant>
      <vt:variant>
        <vt:lpwstr/>
      </vt:variant>
      <vt:variant>
        <vt:lpwstr>_5.2.3.5.1__Sort</vt:lpwstr>
      </vt:variant>
      <vt:variant>
        <vt:i4>327706</vt:i4>
      </vt:variant>
      <vt:variant>
        <vt:i4>4641</vt:i4>
      </vt:variant>
      <vt:variant>
        <vt:i4>0</vt:i4>
      </vt:variant>
      <vt:variant>
        <vt:i4>5</vt:i4>
      </vt:variant>
      <vt:variant>
        <vt:lpwstr/>
      </vt:variant>
      <vt:variant>
        <vt:lpwstr>_5.2.3.5__Properties_1</vt:lpwstr>
      </vt:variant>
      <vt:variant>
        <vt:i4>2228321</vt:i4>
      </vt:variant>
      <vt:variant>
        <vt:i4>4638</vt:i4>
      </vt:variant>
      <vt:variant>
        <vt:i4>0</vt:i4>
      </vt:variant>
      <vt:variant>
        <vt:i4>5</vt:i4>
      </vt:variant>
      <vt:variant>
        <vt:lpwstr/>
      </vt:variant>
      <vt:variant>
        <vt:lpwstr>_5.2.2.1__Select_All</vt:lpwstr>
      </vt:variant>
      <vt:variant>
        <vt:i4>4784214</vt:i4>
      </vt:variant>
      <vt:variant>
        <vt:i4>4635</vt:i4>
      </vt:variant>
      <vt:variant>
        <vt:i4>0</vt:i4>
      </vt:variant>
      <vt:variant>
        <vt:i4>5</vt:i4>
      </vt:variant>
      <vt:variant>
        <vt:lpwstr/>
      </vt:variant>
      <vt:variant>
        <vt:lpwstr>_5.2.1.2.1__Display_in Excel</vt:lpwstr>
      </vt:variant>
      <vt:variant>
        <vt:i4>4194359</vt:i4>
      </vt:variant>
      <vt:variant>
        <vt:i4>4632</vt:i4>
      </vt:variant>
      <vt:variant>
        <vt:i4>0</vt:i4>
      </vt:variant>
      <vt:variant>
        <vt:i4>5</vt:i4>
      </vt:variant>
      <vt:variant>
        <vt:lpwstr/>
      </vt:variant>
      <vt:variant>
        <vt:lpwstr>_5.2.1.5__Print</vt:lpwstr>
      </vt:variant>
      <vt:variant>
        <vt:i4>2424928</vt:i4>
      </vt:variant>
      <vt:variant>
        <vt:i4>4629</vt:i4>
      </vt:variant>
      <vt:variant>
        <vt:i4>0</vt:i4>
      </vt:variant>
      <vt:variant>
        <vt:i4>5</vt:i4>
      </vt:variant>
      <vt:variant>
        <vt:lpwstr/>
      </vt:variant>
      <vt:variant>
        <vt:lpwstr>_5.2.5.1__Find_Option</vt:lpwstr>
      </vt:variant>
      <vt:variant>
        <vt:i4>3801199</vt:i4>
      </vt:variant>
      <vt:variant>
        <vt:i4>4626</vt:i4>
      </vt:variant>
      <vt:variant>
        <vt:i4>0</vt:i4>
      </vt:variant>
      <vt:variant>
        <vt:i4>5</vt:i4>
      </vt:variant>
      <vt:variant>
        <vt:lpwstr/>
      </vt:variant>
      <vt:variant>
        <vt:lpwstr>_5.2.1.2.3__Display_References</vt:lpwstr>
      </vt:variant>
      <vt:variant>
        <vt:i4>3342444</vt:i4>
      </vt:variant>
      <vt:variant>
        <vt:i4>4623</vt:i4>
      </vt:variant>
      <vt:variant>
        <vt:i4>0</vt:i4>
      </vt:variant>
      <vt:variant>
        <vt:i4>5</vt:i4>
      </vt:variant>
      <vt:variant>
        <vt:lpwstr/>
      </vt:variant>
      <vt:variant>
        <vt:lpwstr>_5.2.1.2.2__Display_Geographically</vt:lpwstr>
      </vt:variant>
      <vt:variant>
        <vt:i4>8126510</vt:i4>
      </vt:variant>
      <vt:variant>
        <vt:i4>4620</vt:i4>
      </vt:variant>
      <vt:variant>
        <vt:i4>0</vt:i4>
      </vt:variant>
      <vt:variant>
        <vt:i4>5</vt:i4>
      </vt:variant>
      <vt:variant>
        <vt:lpwstr/>
      </vt:variant>
      <vt:variant>
        <vt:lpwstr>_5.2.1.7_Bookshelf</vt:lpwstr>
      </vt:variant>
      <vt:variant>
        <vt:i4>2621536</vt:i4>
      </vt:variant>
      <vt:variant>
        <vt:i4>4617</vt:i4>
      </vt:variant>
      <vt:variant>
        <vt:i4>0</vt:i4>
      </vt:variant>
      <vt:variant>
        <vt:i4>5</vt:i4>
      </vt:variant>
      <vt:variant>
        <vt:lpwstr/>
      </vt:variant>
      <vt:variant>
        <vt:lpwstr>_5.25__COORDINATION_TEMPLATES TOOL</vt:lpwstr>
      </vt:variant>
      <vt:variant>
        <vt:i4>7602177</vt:i4>
      </vt:variant>
      <vt:variant>
        <vt:i4>4614</vt:i4>
      </vt:variant>
      <vt:variant>
        <vt:i4>0</vt:i4>
      </vt:variant>
      <vt:variant>
        <vt:i4>5</vt:i4>
      </vt:variant>
      <vt:variant>
        <vt:lpwstr/>
      </vt:variant>
      <vt:variant>
        <vt:lpwstr>_5.2.3.5.1__Sort</vt:lpwstr>
      </vt:variant>
      <vt:variant>
        <vt:i4>327706</vt:i4>
      </vt:variant>
      <vt:variant>
        <vt:i4>4611</vt:i4>
      </vt:variant>
      <vt:variant>
        <vt:i4>0</vt:i4>
      </vt:variant>
      <vt:variant>
        <vt:i4>5</vt:i4>
      </vt:variant>
      <vt:variant>
        <vt:lpwstr/>
      </vt:variant>
      <vt:variant>
        <vt:lpwstr>_5.2.3.5__Properties_1</vt:lpwstr>
      </vt:variant>
      <vt:variant>
        <vt:i4>589837</vt:i4>
      </vt:variant>
      <vt:variant>
        <vt:i4>4608</vt:i4>
      </vt:variant>
      <vt:variant>
        <vt:i4>0</vt:i4>
      </vt:variant>
      <vt:variant>
        <vt:i4>5</vt:i4>
      </vt:variant>
      <vt:variant>
        <vt:lpwstr/>
      </vt:variant>
      <vt:variant>
        <vt:lpwstr>_5.2.1.4__Delete_1</vt:lpwstr>
      </vt:variant>
      <vt:variant>
        <vt:i4>2228321</vt:i4>
      </vt:variant>
      <vt:variant>
        <vt:i4>4605</vt:i4>
      </vt:variant>
      <vt:variant>
        <vt:i4>0</vt:i4>
      </vt:variant>
      <vt:variant>
        <vt:i4>5</vt:i4>
      </vt:variant>
      <vt:variant>
        <vt:lpwstr/>
      </vt:variant>
      <vt:variant>
        <vt:lpwstr>_5.2.2.1__Select_All</vt:lpwstr>
      </vt:variant>
      <vt:variant>
        <vt:i4>4784214</vt:i4>
      </vt:variant>
      <vt:variant>
        <vt:i4>4602</vt:i4>
      </vt:variant>
      <vt:variant>
        <vt:i4>0</vt:i4>
      </vt:variant>
      <vt:variant>
        <vt:i4>5</vt:i4>
      </vt:variant>
      <vt:variant>
        <vt:lpwstr/>
      </vt:variant>
      <vt:variant>
        <vt:lpwstr>_5.2.1.2.1__Display_in Excel</vt:lpwstr>
      </vt:variant>
      <vt:variant>
        <vt:i4>4194359</vt:i4>
      </vt:variant>
      <vt:variant>
        <vt:i4>4599</vt:i4>
      </vt:variant>
      <vt:variant>
        <vt:i4>0</vt:i4>
      </vt:variant>
      <vt:variant>
        <vt:i4>5</vt:i4>
      </vt:variant>
      <vt:variant>
        <vt:lpwstr/>
      </vt:variant>
      <vt:variant>
        <vt:lpwstr>_5.2.1.5__Print</vt:lpwstr>
      </vt:variant>
      <vt:variant>
        <vt:i4>2424928</vt:i4>
      </vt:variant>
      <vt:variant>
        <vt:i4>4596</vt:i4>
      </vt:variant>
      <vt:variant>
        <vt:i4>0</vt:i4>
      </vt:variant>
      <vt:variant>
        <vt:i4>5</vt:i4>
      </vt:variant>
      <vt:variant>
        <vt:lpwstr/>
      </vt:variant>
      <vt:variant>
        <vt:lpwstr>_5.2.5.1__Find_Option</vt:lpwstr>
      </vt:variant>
      <vt:variant>
        <vt:i4>3014660</vt:i4>
      </vt:variant>
      <vt:variant>
        <vt:i4>4593</vt:i4>
      </vt:variant>
      <vt:variant>
        <vt:i4>0</vt:i4>
      </vt:variant>
      <vt:variant>
        <vt:i4>5</vt:i4>
      </vt:variant>
      <vt:variant>
        <vt:lpwstr/>
      </vt:variant>
      <vt:variant>
        <vt:lpwstr>_5.35__TMPRs</vt:lpwstr>
      </vt:variant>
      <vt:variant>
        <vt:i4>1048699</vt:i4>
      </vt:variant>
      <vt:variant>
        <vt:i4>4590</vt:i4>
      </vt:variant>
      <vt:variant>
        <vt:i4>0</vt:i4>
      </vt:variant>
      <vt:variant>
        <vt:i4>5</vt:i4>
      </vt:variant>
      <vt:variant>
        <vt:lpwstr/>
      </vt:variant>
      <vt:variant>
        <vt:lpwstr>_5.2.1.2.3__Display</vt:lpwstr>
      </vt:variant>
      <vt:variant>
        <vt:i4>3342444</vt:i4>
      </vt:variant>
      <vt:variant>
        <vt:i4>4587</vt:i4>
      </vt:variant>
      <vt:variant>
        <vt:i4>0</vt:i4>
      </vt:variant>
      <vt:variant>
        <vt:i4>5</vt:i4>
      </vt:variant>
      <vt:variant>
        <vt:lpwstr/>
      </vt:variant>
      <vt:variant>
        <vt:lpwstr>_5.2.1.2.2__Display_Geographically</vt:lpwstr>
      </vt:variant>
      <vt:variant>
        <vt:i4>8126510</vt:i4>
      </vt:variant>
      <vt:variant>
        <vt:i4>4584</vt:i4>
      </vt:variant>
      <vt:variant>
        <vt:i4>0</vt:i4>
      </vt:variant>
      <vt:variant>
        <vt:i4>5</vt:i4>
      </vt:variant>
      <vt:variant>
        <vt:lpwstr/>
      </vt:variant>
      <vt:variant>
        <vt:lpwstr>_5.2.1.7_Bookshelf</vt:lpwstr>
      </vt:variant>
      <vt:variant>
        <vt:i4>2031684</vt:i4>
      </vt:variant>
      <vt:variant>
        <vt:i4>4581</vt:i4>
      </vt:variant>
      <vt:variant>
        <vt:i4>0</vt:i4>
      </vt:variant>
      <vt:variant>
        <vt:i4>5</vt:i4>
      </vt:variant>
      <vt:variant>
        <vt:lpwstr/>
      </vt:variant>
      <vt:variant>
        <vt:lpwstr>_5.2.8__Edit_Classification</vt:lpwstr>
      </vt:variant>
      <vt:variant>
        <vt:i4>1703936</vt:i4>
      </vt:variant>
      <vt:variant>
        <vt:i4>4578</vt:i4>
      </vt:variant>
      <vt:variant>
        <vt:i4>0</vt:i4>
      </vt:variant>
      <vt:variant>
        <vt:i4>5</vt:i4>
      </vt:variant>
      <vt:variant>
        <vt:lpwstr/>
      </vt:variant>
      <vt:variant>
        <vt:lpwstr>_5.36__MPRs_TOOL</vt:lpwstr>
      </vt:variant>
      <vt:variant>
        <vt:i4>7602177</vt:i4>
      </vt:variant>
      <vt:variant>
        <vt:i4>4575</vt:i4>
      </vt:variant>
      <vt:variant>
        <vt:i4>0</vt:i4>
      </vt:variant>
      <vt:variant>
        <vt:i4>5</vt:i4>
      </vt:variant>
      <vt:variant>
        <vt:lpwstr/>
      </vt:variant>
      <vt:variant>
        <vt:lpwstr>_5.2.3.5.1__Sort</vt:lpwstr>
      </vt:variant>
      <vt:variant>
        <vt:i4>327706</vt:i4>
      </vt:variant>
      <vt:variant>
        <vt:i4>4572</vt:i4>
      </vt:variant>
      <vt:variant>
        <vt:i4>0</vt:i4>
      </vt:variant>
      <vt:variant>
        <vt:i4>5</vt:i4>
      </vt:variant>
      <vt:variant>
        <vt:lpwstr/>
      </vt:variant>
      <vt:variant>
        <vt:lpwstr>_5.2.3.5__Properties_1</vt:lpwstr>
      </vt:variant>
      <vt:variant>
        <vt:i4>2424928</vt:i4>
      </vt:variant>
      <vt:variant>
        <vt:i4>4569</vt:i4>
      </vt:variant>
      <vt:variant>
        <vt:i4>0</vt:i4>
      </vt:variant>
      <vt:variant>
        <vt:i4>5</vt:i4>
      </vt:variant>
      <vt:variant>
        <vt:lpwstr/>
      </vt:variant>
      <vt:variant>
        <vt:lpwstr>_5.2.5.1__Find_Option</vt:lpwstr>
      </vt:variant>
      <vt:variant>
        <vt:i4>589837</vt:i4>
      </vt:variant>
      <vt:variant>
        <vt:i4>4566</vt:i4>
      </vt:variant>
      <vt:variant>
        <vt:i4>0</vt:i4>
      </vt:variant>
      <vt:variant>
        <vt:i4>5</vt:i4>
      </vt:variant>
      <vt:variant>
        <vt:lpwstr/>
      </vt:variant>
      <vt:variant>
        <vt:lpwstr>_5.2.1.4__Delete_1</vt:lpwstr>
      </vt:variant>
      <vt:variant>
        <vt:i4>2228321</vt:i4>
      </vt:variant>
      <vt:variant>
        <vt:i4>4563</vt:i4>
      </vt:variant>
      <vt:variant>
        <vt:i4>0</vt:i4>
      </vt:variant>
      <vt:variant>
        <vt:i4>5</vt:i4>
      </vt:variant>
      <vt:variant>
        <vt:lpwstr/>
      </vt:variant>
      <vt:variant>
        <vt:lpwstr>_5.2.2.1__Select_All</vt:lpwstr>
      </vt:variant>
      <vt:variant>
        <vt:i4>4784214</vt:i4>
      </vt:variant>
      <vt:variant>
        <vt:i4>4560</vt:i4>
      </vt:variant>
      <vt:variant>
        <vt:i4>0</vt:i4>
      </vt:variant>
      <vt:variant>
        <vt:i4>5</vt:i4>
      </vt:variant>
      <vt:variant>
        <vt:lpwstr/>
      </vt:variant>
      <vt:variant>
        <vt:lpwstr>_5.2.1.2.1__Display_in Excel</vt:lpwstr>
      </vt:variant>
      <vt:variant>
        <vt:i4>4194359</vt:i4>
      </vt:variant>
      <vt:variant>
        <vt:i4>4557</vt:i4>
      </vt:variant>
      <vt:variant>
        <vt:i4>0</vt:i4>
      </vt:variant>
      <vt:variant>
        <vt:i4>5</vt:i4>
      </vt:variant>
      <vt:variant>
        <vt:lpwstr/>
      </vt:variant>
      <vt:variant>
        <vt:lpwstr>_5.2.1.5__Print</vt:lpwstr>
      </vt:variant>
      <vt:variant>
        <vt:i4>3342444</vt:i4>
      </vt:variant>
      <vt:variant>
        <vt:i4>4554</vt:i4>
      </vt:variant>
      <vt:variant>
        <vt:i4>0</vt:i4>
      </vt:variant>
      <vt:variant>
        <vt:i4>5</vt:i4>
      </vt:variant>
      <vt:variant>
        <vt:lpwstr/>
      </vt:variant>
      <vt:variant>
        <vt:lpwstr>_5.2.1.2.2__Display_Geographically</vt:lpwstr>
      </vt:variant>
      <vt:variant>
        <vt:i4>5505032</vt:i4>
      </vt:variant>
      <vt:variant>
        <vt:i4>4551</vt:i4>
      </vt:variant>
      <vt:variant>
        <vt:i4>0</vt:i4>
      </vt:variant>
      <vt:variant>
        <vt:i4>5</vt:i4>
      </vt:variant>
      <vt:variant>
        <vt:lpwstr/>
      </vt:variant>
      <vt:variant>
        <vt:lpwstr>_5.2_COMMON_WINDOW_FEATURES</vt:lpwstr>
      </vt:variant>
      <vt:variant>
        <vt:i4>8126510</vt:i4>
      </vt:variant>
      <vt:variant>
        <vt:i4>4548</vt:i4>
      </vt:variant>
      <vt:variant>
        <vt:i4>0</vt:i4>
      </vt:variant>
      <vt:variant>
        <vt:i4>5</vt:i4>
      </vt:variant>
      <vt:variant>
        <vt:lpwstr/>
      </vt:variant>
      <vt:variant>
        <vt:lpwstr>_5.2.1.7_Bookshelf</vt:lpwstr>
      </vt:variant>
      <vt:variant>
        <vt:i4>4522101</vt:i4>
      </vt:variant>
      <vt:variant>
        <vt:i4>4545</vt:i4>
      </vt:variant>
      <vt:variant>
        <vt:i4>0</vt:i4>
      </vt:variant>
      <vt:variant>
        <vt:i4>5</vt:i4>
      </vt:variant>
      <vt:variant>
        <vt:lpwstr/>
      </vt:variant>
      <vt:variant>
        <vt:lpwstr>_5.30.8.2.6.1__Advanced</vt:lpwstr>
      </vt:variant>
      <vt:variant>
        <vt:i4>4522101</vt:i4>
      </vt:variant>
      <vt:variant>
        <vt:i4>4542</vt:i4>
      </vt:variant>
      <vt:variant>
        <vt:i4>0</vt:i4>
      </vt:variant>
      <vt:variant>
        <vt:i4>5</vt:i4>
      </vt:variant>
      <vt:variant>
        <vt:lpwstr/>
      </vt:variant>
      <vt:variant>
        <vt:lpwstr>_5.30.8.2.6.1__Advanced</vt:lpwstr>
      </vt:variant>
      <vt:variant>
        <vt:i4>6815827</vt:i4>
      </vt:variant>
      <vt:variant>
        <vt:i4>4539</vt:i4>
      </vt:variant>
      <vt:variant>
        <vt:i4>0</vt:i4>
      </vt:variant>
      <vt:variant>
        <vt:i4>5</vt:i4>
      </vt:variant>
      <vt:variant>
        <vt:lpwstr/>
      </vt:variant>
      <vt:variant>
        <vt:lpwstr>_5.30.8.2.5__Configuring</vt:lpwstr>
      </vt:variant>
      <vt:variant>
        <vt:i4>2818080</vt:i4>
      </vt:variant>
      <vt:variant>
        <vt:i4>4536</vt:i4>
      </vt:variant>
      <vt:variant>
        <vt:i4>0</vt:i4>
      </vt:variant>
      <vt:variant>
        <vt:i4>5</vt:i4>
      </vt:variant>
      <vt:variant>
        <vt:lpwstr/>
      </vt:variant>
      <vt:variant>
        <vt:lpwstr>_5.30.7__Querying_1</vt:lpwstr>
      </vt:variant>
      <vt:variant>
        <vt:i4>6815838</vt:i4>
      </vt:variant>
      <vt:variant>
        <vt:i4>4533</vt:i4>
      </vt:variant>
      <vt:variant>
        <vt:i4>0</vt:i4>
      </vt:variant>
      <vt:variant>
        <vt:i4>5</vt:i4>
      </vt:variant>
      <vt:variant>
        <vt:lpwstr/>
      </vt:variant>
      <vt:variant>
        <vt:lpwstr>_5.30.8.2.8__Configuring</vt:lpwstr>
      </vt:variant>
      <vt:variant>
        <vt:i4>6815825</vt:i4>
      </vt:variant>
      <vt:variant>
        <vt:i4>4530</vt:i4>
      </vt:variant>
      <vt:variant>
        <vt:i4>0</vt:i4>
      </vt:variant>
      <vt:variant>
        <vt:i4>5</vt:i4>
      </vt:variant>
      <vt:variant>
        <vt:lpwstr/>
      </vt:variant>
      <vt:variant>
        <vt:lpwstr>_5.30.8.2.7__Configuring</vt:lpwstr>
      </vt:variant>
      <vt:variant>
        <vt:i4>2818080</vt:i4>
      </vt:variant>
      <vt:variant>
        <vt:i4>4527</vt:i4>
      </vt:variant>
      <vt:variant>
        <vt:i4>0</vt:i4>
      </vt:variant>
      <vt:variant>
        <vt:i4>5</vt:i4>
      </vt:variant>
      <vt:variant>
        <vt:lpwstr/>
      </vt:variant>
      <vt:variant>
        <vt:lpwstr>_5.30.7__Querying_1</vt:lpwstr>
      </vt:variant>
      <vt:variant>
        <vt:i4>2818080</vt:i4>
      </vt:variant>
      <vt:variant>
        <vt:i4>4524</vt:i4>
      </vt:variant>
      <vt:variant>
        <vt:i4>0</vt:i4>
      </vt:variant>
      <vt:variant>
        <vt:i4>5</vt:i4>
      </vt:variant>
      <vt:variant>
        <vt:lpwstr/>
      </vt:variant>
      <vt:variant>
        <vt:lpwstr>_5.30.7__Querying_1</vt:lpwstr>
      </vt:variant>
      <vt:variant>
        <vt:i4>3276831</vt:i4>
      </vt:variant>
      <vt:variant>
        <vt:i4>4521</vt:i4>
      </vt:variant>
      <vt:variant>
        <vt:i4>0</vt:i4>
      </vt:variant>
      <vt:variant>
        <vt:i4>5</vt:i4>
      </vt:variant>
      <vt:variant>
        <vt:lpwstr/>
      </vt:variant>
      <vt:variant>
        <vt:lpwstr>_5.30.8.2.4.2__Adding</vt:lpwstr>
      </vt:variant>
      <vt:variant>
        <vt:i4>1703976</vt:i4>
      </vt:variant>
      <vt:variant>
        <vt:i4>4518</vt:i4>
      </vt:variant>
      <vt:variant>
        <vt:i4>0</vt:i4>
      </vt:variant>
      <vt:variant>
        <vt:i4>5</vt:i4>
      </vt:variant>
      <vt:variant>
        <vt:lpwstr/>
      </vt:variant>
      <vt:variant>
        <vt:lpwstr>_5.30.8.2.6.1.1__Image</vt:lpwstr>
      </vt:variant>
      <vt:variant>
        <vt:i4>2818080</vt:i4>
      </vt:variant>
      <vt:variant>
        <vt:i4>4515</vt:i4>
      </vt:variant>
      <vt:variant>
        <vt:i4>0</vt:i4>
      </vt:variant>
      <vt:variant>
        <vt:i4>5</vt:i4>
      </vt:variant>
      <vt:variant>
        <vt:lpwstr/>
      </vt:variant>
      <vt:variant>
        <vt:lpwstr>_5.30.7__Querying_1</vt:lpwstr>
      </vt:variant>
      <vt:variant>
        <vt:i4>1376293</vt:i4>
      </vt:variant>
      <vt:variant>
        <vt:i4>4512</vt:i4>
      </vt:variant>
      <vt:variant>
        <vt:i4>0</vt:i4>
      </vt:variant>
      <vt:variant>
        <vt:i4>5</vt:i4>
      </vt:variant>
      <vt:variant>
        <vt:lpwstr/>
      </vt:variant>
      <vt:variant>
        <vt:lpwstr>_5.30.8.1.2__Hiding</vt:lpwstr>
      </vt:variant>
      <vt:variant>
        <vt:i4>6815826</vt:i4>
      </vt:variant>
      <vt:variant>
        <vt:i4>4509</vt:i4>
      </vt:variant>
      <vt:variant>
        <vt:i4>0</vt:i4>
      </vt:variant>
      <vt:variant>
        <vt:i4>5</vt:i4>
      </vt:variant>
      <vt:variant>
        <vt:lpwstr/>
      </vt:variant>
      <vt:variant>
        <vt:lpwstr>_5.30.8.2.4__Configuring</vt:lpwstr>
      </vt:variant>
      <vt:variant>
        <vt:i4>2228321</vt:i4>
      </vt:variant>
      <vt:variant>
        <vt:i4>4506</vt:i4>
      </vt:variant>
      <vt:variant>
        <vt:i4>0</vt:i4>
      </vt:variant>
      <vt:variant>
        <vt:i4>5</vt:i4>
      </vt:variant>
      <vt:variant>
        <vt:lpwstr/>
      </vt:variant>
      <vt:variant>
        <vt:lpwstr>_5.2.2.1__Select_All</vt:lpwstr>
      </vt:variant>
      <vt:variant>
        <vt:i4>327771</vt:i4>
      </vt:variant>
      <vt:variant>
        <vt:i4>4503</vt:i4>
      </vt:variant>
      <vt:variant>
        <vt:i4>0</vt:i4>
      </vt:variant>
      <vt:variant>
        <vt:i4>5</vt:i4>
      </vt:variant>
      <vt:variant>
        <vt:lpwstr/>
      </vt:variant>
      <vt:variant>
        <vt:lpwstr>_5.2.1.2.1__Display_All in Excel</vt:lpwstr>
      </vt:variant>
      <vt:variant>
        <vt:i4>4194359</vt:i4>
      </vt:variant>
      <vt:variant>
        <vt:i4>4500</vt:i4>
      </vt:variant>
      <vt:variant>
        <vt:i4>0</vt:i4>
      </vt:variant>
      <vt:variant>
        <vt:i4>5</vt:i4>
      </vt:variant>
      <vt:variant>
        <vt:lpwstr/>
      </vt:variant>
      <vt:variant>
        <vt:lpwstr>_5.2.1.5__Print</vt:lpwstr>
      </vt:variant>
      <vt:variant>
        <vt:i4>2424928</vt:i4>
      </vt:variant>
      <vt:variant>
        <vt:i4>4497</vt:i4>
      </vt:variant>
      <vt:variant>
        <vt:i4>0</vt:i4>
      </vt:variant>
      <vt:variant>
        <vt:i4>5</vt:i4>
      </vt:variant>
      <vt:variant>
        <vt:lpwstr/>
      </vt:variant>
      <vt:variant>
        <vt:lpwstr>_5.2.5.1__Find_Option</vt:lpwstr>
      </vt:variant>
      <vt:variant>
        <vt:i4>7602177</vt:i4>
      </vt:variant>
      <vt:variant>
        <vt:i4>4494</vt:i4>
      </vt:variant>
      <vt:variant>
        <vt:i4>0</vt:i4>
      </vt:variant>
      <vt:variant>
        <vt:i4>5</vt:i4>
      </vt:variant>
      <vt:variant>
        <vt:lpwstr/>
      </vt:variant>
      <vt:variant>
        <vt:lpwstr>_5.2.3.5.1__Sort</vt:lpwstr>
      </vt:variant>
      <vt:variant>
        <vt:i4>327706</vt:i4>
      </vt:variant>
      <vt:variant>
        <vt:i4>4491</vt:i4>
      </vt:variant>
      <vt:variant>
        <vt:i4>0</vt:i4>
      </vt:variant>
      <vt:variant>
        <vt:i4>5</vt:i4>
      </vt:variant>
      <vt:variant>
        <vt:lpwstr/>
      </vt:variant>
      <vt:variant>
        <vt:lpwstr>_5.2.3.5__Properties_1</vt:lpwstr>
      </vt:variant>
      <vt:variant>
        <vt:i4>3801170</vt:i4>
      </vt:variant>
      <vt:variant>
        <vt:i4>4488</vt:i4>
      </vt:variant>
      <vt:variant>
        <vt:i4>0</vt:i4>
      </vt:variant>
      <vt:variant>
        <vt:i4>5</vt:i4>
      </vt:variant>
      <vt:variant>
        <vt:lpwstr/>
      </vt:variant>
      <vt:variant>
        <vt:lpwstr>_5.2.1.6__Delete</vt:lpwstr>
      </vt:variant>
      <vt:variant>
        <vt:i4>1</vt:i4>
      </vt:variant>
      <vt:variant>
        <vt:i4>4485</vt:i4>
      </vt:variant>
      <vt:variant>
        <vt:i4>0</vt:i4>
      </vt:variant>
      <vt:variant>
        <vt:i4>5</vt:i4>
      </vt:variant>
      <vt:variant>
        <vt:lpwstr>http://tci.navy.smil.mil/</vt:lpwstr>
      </vt:variant>
      <vt:variant>
        <vt:lpwstr/>
      </vt:variant>
      <vt:variant>
        <vt:i4>7602177</vt:i4>
      </vt:variant>
      <vt:variant>
        <vt:i4>4482</vt:i4>
      </vt:variant>
      <vt:variant>
        <vt:i4>0</vt:i4>
      </vt:variant>
      <vt:variant>
        <vt:i4>5</vt:i4>
      </vt:variant>
      <vt:variant>
        <vt:lpwstr/>
      </vt:variant>
      <vt:variant>
        <vt:lpwstr>_5.2.3.5.1__Sort</vt:lpwstr>
      </vt:variant>
      <vt:variant>
        <vt:i4>327706</vt:i4>
      </vt:variant>
      <vt:variant>
        <vt:i4>4479</vt:i4>
      </vt:variant>
      <vt:variant>
        <vt:i4>0</vt:i4>
      </vt:variant>
      <vt:variant>
        <vt:i4>5</vt:i4>
      </vt:variant>
      <vt:variant>
        <vt:lpwstr/>
      </vt:variant>
      <vt:variant>
        <vt:lpwstr>_5.2.3.5__Properties_1</vt:lpwstr>
      </vt:variant>
      <vt:variant>
        <vt:i4>589837</vt:i4>
      </vt:variant>
      <vt:variant>
        <vt:i4>4476</vt:i4>
      </vt:variant>
      <vt:variant>
        <vt:i4>0</vt:i4>
      </vt:variant>
      <vt:variant>
        <vt:i4>5</vt:i4>
      </vt:variant>
      <vt:variant>
        <vt:lpwstr/>
      </vt:variant>
      <vt:variant>
        <vt:lpwstr>_5.2.1.4__Delete_1</vt:lpwstr>
      </vt:variant>
      <vt:variant>
        <vt:i4>2228321</vt:i4>
      </vt:variant>
      <vt:variant>
        <vt:i4>4473</vt:i4>
      </vt:variant>
      <vt:variant>
        <vt:i4>0</vt:i4>
      </vt:variant>
      <vt:variant>
        <vt:i4>5</vt:i4>
      </vt:variant>
      <vt:variant>
        <vt:lpwstr/>
      </vt:variant>
      <vt:variant>
        <vt:lpwstr>_5.2.2.1__Select_All</vt:lpwstr>
      </vt:variant>
      <vt:variant>
        <vt:i4>4784214</vt:i4>
      </vt:variant>
      <vt:variant>
        <vt:i4>4470</vt:i4>
      </vt:variant>
      <vt:variant>
        <vt:i4>0</vt:i4>
      </vt:variant>
      <vt:variant>
        <vt:i4>5</vt:i4>
      </vt:variant>
      <vt:variant>
        <vt:lpwstr/>
      </vt:variant>
      <vt:variant>
        <vt:lpwstr>_5.2.1.2.1__Display_in Excel</vt:lpwstr>
      </vt:variant>
      <vt:variant>
        <vt:i4>4194359</vt:i4>
      </vt:variant>
      <vt:variant>
        <vt:i4>4467</vt:i4>
      </vt:variant>
      <vt:variant>
        <vt:i4>0</vt:i4>
      </vt:variant>
      <vt:variant>
        <vt:i4>5</vt:i4>
      </vt:variant>
      <vt:variant>
        <vt:lpwstr/>
      </vt:variant>
      <vt:variant>
        <vt:lpwstr>_5.2.1.5__Print</vt:lpwstr>
      </vt:variant>
      <vt:variant>
        <vt:i4>2424928</vt:i4>
      </vt:variant>
      <vt:variant>
        <vt:i4>4464</vt:i4>
      </vt:variant>
      <vt:variant>
        <vt:i4>0</vt:i4>
      </vt:variant>
      <vt:variant>
        <vt:i4>5</vt:i4>
      </vt:variant>
      <vt:variant>
        <vt:lpwstr/>
      </vt:variant>
      <vt:variant>
        <vt:lpwstr>_5.2.5.1__Find_Option</vt:lpwstr>
      </vt:variant>
      <vt:variant>
        <vt:i4>1114152</vt:i4>
      </vt:variant>
      <vt:variant>
        <vt:i4>4461</vt:i4>
      </vt:variant>
      <vt:variant>
        <vt:i4>0</vt:i4>
      </vt:variant>
      <vt:variant>
        <vt:i4>5</vt:i4>
      </vt:variant>
      <vt:variant>
        <vt:lpwstr/>
      </vt:variant>
      <vt:variant>
        <vt:lpwstr>_5.45.1__Common</vt:lpwstr>
      </vt:variant>
      <vt:variant>
        <vt:i4>3932185</vt:i4>
      </vt:variant>
      <vt:variant>
        <vt:i4>4458</vt:i4>
      </vt:variant>
      <vt:variant>
        <vt:i4>0</vt:i4>
      </vt:variant>
      <vt:variant>
        <vt:i4>5</vt:i4>
      </vt:variant>
      <vt:variant>
        <vt:lpwstr/>
      </vt:variant>
      <vt:variant>
        <vt:lpwstr>_5.46__Sound_</vt:lpwstr>
      </vt:variant>
      <vt:variant>
        <vt:i4>8126510</vt:i4>
      </vt:variant>
      <vt:variant>
        <vt:i4>4455</vt:i4>
      </vt:variant>
      <vt:variant>
        <vt:i4>0</vt:i4>
      </vt:variant>
      <vt:variant>
        <vt:i4>5</vt:i4>
      </vt:variant>
      <vt:variant>
        <vt:lpwstr/>
      </vt:variant>
      <vt:variant>
        <vt:lpwstr>_5.2.1.7_Bookshelf</vt:lpwstr>
      </vt:variant>
      <vt:variant>
        <vt:i4>7602177</vt:i4>
      </vt:variant>
      <vt:variant>
        <vt:i4>4452</vt:i4>
      </vt:variant>
      <vt:variant>
        <vt:i4>0</vt:i4>
      </vt:variant>
      <vt:variant>
        <vt:i4>5</vt:i4>
      </vt:variant>
      <vt:variant>
        <vt:lpwstr/>
      </vt:variant>
      <vt:variant>
        <vt:lpwstr>_5.2.3.5.1__Sort</vt:lpwstr>
      </vt:variant>
      <vt:variant>
        <vt:i4>327706</vt:i4>
      </vt:variant>
      <vt:variant>
        <vt:i4>4449</vt:i4>
      </vt:variant>
      <vt:variant>
        <vt:i4>0</vt:i4>
      </vt:variant>
      <vt:variant>
        <vt:i4>5</vt:i4>
      </vt:variant>
      <vt:variant>
        <vt:lpwstr/>
      </vt:variant>
      <vt:variant>
        <vt:lpwstr>_5.2.3.5__Properties_1</vt:lpwstr>
      </vt:variant>
      <vt:variant>
        <vt:i4>2228321</vt:i4>
      </vt:variant>
      <vt:variant>
        <vt:i4>4446</vt:i4>
      </vt:variant>
      <vt:variant>
        <vt:i4>0</vt:i4>
      </vt:variant>
      <vt:variant>
        <vt:i4>5</vt:i4>
      </vt:variant>
      <vt:variant>
        <vt:lpwstr/>
      </vt:variant>
      <vt:variant>
        <vt:lpwstr>_5.2.2.1__Select_All</vt:lpwstr>
      </vt:variant>
      <vt:variant>
        <vt:i4>2424928</vt:i4>
      </vt:variant>
      <vt:variant>
        <vt:i4>4443</vt:i4>
      </vt:variant>
      <vt:variant>
        <vt:i4>0</vt:i4>
      </vt:variant>
      <vt:variant>
        <vt:i4>5</vt:i4>
      </vt:variant>
      <vt:variant>
        <vt:lpwstr/>
      </vt:variant>
      <vt:variant>
        <vt:lpwstr>_5.2.5.1__Find_Option</vt:lpwstr>
      </vt:variant>
      <vt:variant>
        <vt:i4>2818134</vt:i4>
      </vt:variant>
      <vt:variant>
        <vt:i4>4440</vt:i4>
      </vt:variant>
      <vt:variant>
        <vt:i4>0</vt:i4>
      </vt:variant>
      <vt:variant>
        <vt:i4>5</vt:i4>
      </vt:variant>
      <vt:variant>
        <vt:lpwstr/>
      </vt:variant>
      <vt:variant>
        <vt:lpwstr>_5.2.1.4__Receive</vt:lpwstr>
      </vt:variant>
      <vt:variant>
        <vt:i4>589837</vt:i4>
      </vt:variant>
      <vt:variant>
        <vt:i4>4437</vt:i4>
      </vt:variant>
      <vt:variant>
        <vt:i4>0</vt:i4>
      </vt:variant>
      <vt:variant>
        <vt:i4>5</vt:i4>
      </vt:variant>
      <vt:variant>
        <vt:lpwstr/>
      </vt:variant>
      <vt:variant>
        <vt:lpwstr>_5.2.1.4__Delete_1</vt:lpwstr>
      </vt:variant>
      <vt:variant>
        <vt:i4>4194359</vt:i4>
      </vt:variant>
      <vt:variant>
        <vt:i4>4434</vt:i4>
      </vt:variant>
      <vt:variant>
        <vt:i4>0</vt:i4>
      </vt:variant>
      <vt:variant>
        <vt:i4>5</vt:i4>
      </vt:variant>
      <vt:variant>
        <vt:lpwstr/>
      </vt:variant>
      <vt:variant>
        <vt:lpwstr>_5.2.1.5__Print</vt:lpwstr>
      </vt:variant>
      <vt:variant>
        <vt:i4>4784214</vt:i4>
      </vt:variant>
      <vt:variant>
        <vt:i4>4431</vt:i4>
      </vt:variant>
      <vt:variant>
        <vt:i4>0</vt:i4>
      </vt:variant>
      <vt:variant>
        <vt:i4>5</vt:i4>
      </vt:variant>
      <vt:variant>
        <vt:lpwstr/>
      </vt:variant>
      <vt:variant>
        <vt:lpwstr>_5.2.1.2.1__Display_in Excel</vt:lpwstr>
      </vt:variant>
      <vt:variant>
        <vt:i4>1048699</vt:i4>
      </vt:variant>
      <vt:variant>
        <vt:i4>4428</vt:i4>
      </vt:variant>
      <vt:variant>
        <vt:i4>0</vt:i4>
      </vt:variant>
      <vt:variant>
        <vt:i4>5</vt:i4>
      </vt:variant>
      <vt:variant>
        <vt:lpwstr/>
      </vt:variant>
      <vt:variant>
        <vt:lpwstr>_5.2.1.2.3__Display</vt:lpwstr>
      </vt:variant>
      <vt:variant>
        <vt:i4>7602177</vt:i4>
      </vt:variant>
      <vt:variant>
        <vt:i4>4425</vt:i4>
      </vt:variant>
      <vt:variant>
        <vt:i4>0</vt:i4>
      </vt:variant>
      <vt:variant>
        <vt:i4>5</vt:i4>
      </vt:variant>
      <vt:variant>
        <vt:lpwstr/>
      </vt:variant>
      <vt:variant>
        <vt:lpwstr>_5.2.3.5.1__Sort</vt:lpwstr>
      </vt:variant>
      <vt:variant>
        <vt:i4>327706</vt:i4>
      </vt:variant>
      <vt:variant>
        <vt:i4>4422</vt:i4>
      </vt:variant>
      <vt:variant>
        <vt:i4>0</vt:i4>
      </vt:variant>
      <vt:variant>
        <vt:i4>5</vt:i4>
      </vt:variant>
      <vt:variant>
        <vt:lpwstr/>
      </vt:variant>
      <vt:variant>
        <vt:lpwstr>_5.2.3.5__Properties_1</vt:lpwstr>
      </vt:variant>
      <vt:variant>
        <vt:i4>2228321</vt:i4>
      </vt:variant>
      <vt:variant>
        <vt:i4>4419</vt:i4>
      </vt:variant>
      <vt:variant>
        <vt:i4>0</vt:i4>
      </vt:variant>
      <vt:variant>
        <vt:i4>5</vt:i4>
      </vt:variant>
      <vt:variant>
        <vt:lpwstr/>
      </vt:variant>
      <vt:variant>
        <vt:lpwstr>_5.2.2.1__Select_All</vt:lpwstr>
      </vt:variant>
      <vt:variant>
        <vt:i4>2424928</vt:i4>
      </vt:variant>
      <vt:variant>
        <vt:i4>4416</vt:i4>
      </vt:variant>
      <vt:variant>
        <vt:i4>0</vt:i4>
      </vt:variant>
      <vt:variant>
        <vt:i4>5</vt:i4>
      </vt:variant>
      <vt:variant>
        <vt:lpwstr/>
      </vt:variant>
      <vt:variant>
        <vt:lpwstr>_5.2.5.1__Find_Option</vt:lpwstr>
      </vt:variant>
      <vt:variant>
        <vt:i4>2818134</vt:i4>
      </vt:variant>
      <vt:variant>
        <vt:i4>4413</vt:i4>
      </vt:variant>
      <vt:variant>
        <vt:i4>0</vt:i4>
      </vt:variant>
      <vt:variant>
        <vt:i4>5</vt:i4>
      </vt:variant>
      <vt:variant>
        <vt:lpwstr/>
      </vt:variant>
      <vt:variant>
        <vt:lpwstr>_5.2.1.4__Receive</vt:lpwstr>
      </vt:variant>
      <vt:variant>
        <vt:i4>589837</vt:i4>
      </vt:variant>
      <vt:variant>
        <vt:i4>4410</vt:i4>
      </vt:variant>
      <vt:variant>
        <vt:i4>0</vt:i4>
      </vt:variant>
      <vt:variant>
        <vt:i4>5</vt:i4>
      </vt:variant>
      <vt:variant>
        <vt:lpwstr/>
      </vt:variant>
      <vt:variant>
        <vt:lpwstr>_5.2.1.4__Delete_1</vt:lpwstr>
      </vt:variant>
      <vt:variant>
        <vt:i4>4194359</vt:i4>
      </vt:variant>
      <vt:variant>
        <vt:i4>4407</vt:i4>
      </vt:variant>
      <vt:variant>
        <vt:i4>0</vt:i4>
      </vt:variant>
      <vt:variant>
        <vt:i4>5</vt:i4>
      </vt:variant>
      <vt:variant>
        <vt:lpwstr/>
      </vt:variant>
      <vt:variant>
        <vt:lpwstr>_5.2.1.5__Print</vt:lpwstr>
      </vt:variant>
      <vt:variant>
        <vt:i4>4784214</vt:i4>
      </vt:variant>
      <vt:variant>
        <vt:i4>4404</vt:i4>
      </vt:variant>
      <vt:variant>
        <vt:i4>0</vt:i4>
      </vt:variant>
      <vt:variant>
        <vt:i4>5</vt:i4>
      </vt:variant>
      <vt:variant>
        <vt:lpwstr/>
      </vt:variant>
      <vt:variant>
        <vt:lpwstr>_5.2.1.2.1__Display_in Excel</vt:lpwstr>
      </vt:variant>
      <vt:variant>
        <vt:i4>8126510</vt:i4>
      </vt:variant>
      <vt:variant>
        <vt:i4>4401</vt:i4>
      </vt:variant>
      <vt:variant>
        <vt:i4>0</vt:i4>
      </vt:variant>
      <vt:variant>
        <vt:i4>5</vt:i4>
      </vt:variant>
      <vt:variant>
        <vt:lpwstr/>
      </vt:variant>
      <vt:variant>
        <vt:lpwstr>_5.2.1.7_Bookshelf</vt:lpwstr>
      </vt:variant>
      <vt:variant>
        <vt:i4>5832822</vt:i4>
      </vt:variant>
      <vt:variant>
        <vt:i4>4398</vt:i4>
      </vt:variant>
      <vt:variant>
        <vt:i4>0</vt:i4>
      </vt:variant>
      <vt:variant>
        <vt:i4>5</vt:i4>
      </vt:variant>
      <vt:variant>
        <vt:lpwstr/>
      </vt:variant>
      <vt:variant>
        <vt:lpwstr>_5.29__DATABASE</vt:lpwstr>
      </vt:variant>
      <vt:variant>
        <vt:i4>7602177</vt:i4>
      </vt:variant>
      <vt:variant>
        <vt:i4>4395</vt:i4>
      </vt:variant>
      <vt:variant>
        <vt:i4>0</vt:i4>
      </vt:variant>
      <vt:variant>
        <vt:i4>5</vt:i4>
      </vt:variant>
      <vt:variant>
        <vt:lpwstr/>
      </vt:variant>
      <vt:variant>
        <vt:lpwstr>_5.2.3.5.1__Sort</vt:lpwstr>
      </vt:variant>
      <vt:variant>
        <vt:i4>327706</vt:i4>
      </vt:variant>
      <vt:variant>
        <vt:i4>4392</vt:i4>
      </vt:variant>
      <vt:variant>
        <vt:i4>0</vt:i4>
      </vt:variant>
      <vt:variant>
        <vt:i4>5</vt:i4>
      </vt:variant>
      <vt:variant>
        <vt:lpwstr/>
      </vt:variant>
      <vt:variant>
        <vt:lpwstr>_5.2.3.5__Properties_1</vt:lpwstr>
      </vt:variant>
      <vt:variant>
        <vt:i4>589837</vt:i4>
      </vt:variant>
      <vt:variant>
        <vt:i4>4389</vt:i4>
      </vt:variant>
      <vt:variant>
        <vt:i4>0</vt:i4>
      </vt:variant>
      <vt:variant>
        <vt:i4>5</vt:i4>
      </vt:variant>
      <vt:variant>
        <vt:lpwstr/>
      </vt:variant>
      <vt:variant>
        <vt:lpwstr>_5.2.1.4__Delete_1</vt:lpwstr>
      </vt:variant>
      <vt:variant>
        <vt:i4>2818134</vt:i4>
      </vt:variant>
      <vt:variant>
        <vt:i4>4386</vt:i4>
      </vt:variant>
      <vt:variant>
        <vt:i4>0</vt:i4>
      </vt:variant>
      <vt:variant>
        <vt:i4>5</vt:i4>
      </vt:variant>
      <vt:variant>
        <vt:lpwstr/>
      </vt:variant>
      <vt:variant>
        <vt:lpwstr>_5.2.1.4__Receive</vt:lpwstr>
      </vt:variant>
      <vt:variant>
        <vt:i4>2228321</vt:i4>
      </vt:variant>
      <vt:variant>
        <vt:i4>4383</vt:i4>
      </vt:variant>
      <vt:variant>
        <vt:i4>0</vt:i4>
      </vt:variant>
      <vt:variant>
        <vt:i4>5</vt:i4>
      </vt:variant>
      <vt:variant>
        <vt:lpwstr/>
      </vt:variant>
      <vt:variant>
        <vt:lpwstr>_5.2.2.1__Select_All</vt:lpwstr>
      </vt:variant>
      <vt:variant>
        <vt:i4>4784214</vt:i4>
      </vt:variant>
      <vt:variant>
        <vt:i4>4380</vt:i4>
      </vt:variant>
      <vt:variant>
        <vt:i4>0</vt:i4>
      </vt:variant>
      <vt:variant>
        <vt:i4>5</vt:i4>
      </vt:variant>
      <vt:variant>
        <vt:lpwstr/>
      </vt:variant>
      <vt:variant>
        <vt:lpwstr>_5.2.1.2.1__Display_in Excel</vt:lpwstr>
      </vt:variant>
      <vt:variant>
        <vt:i4>4194359</vt:i4>
      </vt:variant>
      <vt:variant>
        <vt:i4>4377</vt:i4>
      </vt:variant>
      <vt:variant>
        <vt:i4>0</vt:i4>
      </vt:variant>
      <vt:variant>
        <vt:i4>5</vt:i4>
      </vt:variant>
      <vt:variant>
        <vt:lpwstr/>
      </vt:variant>
      <vt:variant>
        <vt:lpwstr>_5.2.1.5__Print</vt:lpwstr>
      </vt:variant>
      <vt:variant>
        <vt:i4>2424928</vt:i4>
      </vt:variant>
      <vt:variant>
        <vt:i4>4374</vt:i4>
      </vt:variant>
      <vt:variant>
        <vt:i4>0</vt:i4>
      </vt:variant>
      <vt:variant>
        <vt:i4>5</vt:i4>
      </vt:variant>
      <vt:variant>
        <vt:lpwstr/>
      </vt:variant>
      <vt:variant>
        <vt:lpwstr>_5.2.5.1__Find_Option</vt:lpwstr>
      </vt:variant>
      <vt:variant>
        <vt:i4>65611</vt:i4>
      </vt:variant>
      <vt:variant>
        <vt:i4>4371</vt:i4>
      </vt:variant>
      <vt:variant>
        <vt:i4>0</vt:i4>
      </vt:variant>
      <vt:variant>
        <vt:i4>5</vt:i4>
      </vt:variant>
      <vt:variant>
        <vt:lpwstr/>
      </vt:variant>
      <vt:variant>
        <vt:lpwstr>_5.24.1.1__Installing_Data Items</vt:lpwstr>
      </vt:variant>
      <vt:variant>
        <vt:i4>7602177</vt:i4>
      </vt:variant>
      <vt:variant>
        <vt:i4>4368</vt:i4>
      </vt:variant>
      <vt:variant>
        <vt:i4>0</vt:i4>
      </vt:variant>
      <vt:variant>
        <vt:i4>5</vt:i4>
      </vt:variant>
      <vt:variant>
        <vt:lpwstr/>
      </vt:variant>
      <vt:variant>
        <vt:lpwstr>_5.2.3.5.1__Sort</vt:lpwstr>
      </vt:variant>
      <vt:variant>
        <vt:i4>327706</vt:i4>
      </vt:variant>
      <vt:variant>
        <vt:i4>4365</vt:i4>
      </vt:variant>
      <vt:variant>
        <vt:i4>0</vt:i4>
      </vt:variant>
      <vt:variant>
        <vt:i4>5</vt:i4>
      </vt:variant>
      <vt:variant>
        <vt:lpwstr/>
      </vt:variant>
      <vt:variant>
        <vt:lpwstr>_5.2.3.5__Properties_1</vt:lpwstr>
      </vt:variant>
      <vt:variant>
        <vt:i4>589837</vt:i4>
      </vt:variant>
      <vt:variant>
        <vt:i4>4362</vt:i4>
      </vt:variant>
      <vt:variant>
        <vt:i4>0</vt:i4>
      </vt:variant>
      <vt:variant>
        <vt:i4>5</vt:i4>
      </vt:variant>
      <vt:variant>
        <vt:lpwstr/>
      </vt:variant>
      <vt:variant>
        <vt:lpwstr>_5.2.1.4__Delete_1</vt:lpwstr>
      </vt:variant>
      <vt:variant>
        <vt:i4>2228321</vt:i4>
      </vt:variant>
      <vt:variant>
        <vt:i4>4359</vt:i4>
      </vt:variant>
      <vt:variant>
        <vt:i4>0</vt:i4>
      </vt:variant>
      <vt:variant>
        <vt:i4>5</vt:i4>
      </vt:variant>
      <vt:variant>
        <vt:lpwstr/>
      </vt:variant>
      <vt:variant>
        <vt:lpwstr>_5.2.2.1__Select_All</vt:lpwstr>
      </vt:variant>
      <vt:variant>
        <vt:i4>4784214</vt:i4>
      </vt:variant>
      <vt:variant>
        <vt:i4>4356</vt:i4>
      </vt:variant>
      <vt:variant>
        <vt:i4>0</vt:i4>
      </vt:variant>
      <vt:variant>
        <vt:i4>5</vt:i4>
      </vt:variant>
      <vt:variant>
        <vt:lpwstr/>
      </vt:variant>
      <vt:variant>
        <vt:lpwstr>_5.2.1.2.1__Display_in Excel</vt:lpwstr>
      </vt:variant>
      <vt:variant>
        <vt:i4>4194359</vt:i4>
      </vt:variant>
      <vt:variant>
        <vt:i4>4353</vt:i4>
      </vt:variant>
      <vt:variant>
        <vt:i4>0</vt:i4>
      </vt:variant>
      <vt:variant>
        <vt:i4>5</vt:i4>
      </vt:variant>
      <vt:variant>
        <vt:lpwstr/>
      </vt:variant>
      <vt:variant>
        <vt:lpwstr>_5.2.1.5__Print</vt:lpwstr>
      </vt:variant>
      <vt:variant>
        <vt:i4>2424928</vt:i4>
      </vt:variant>
      <vt:variant>
        <vt:i4>4350</vt:i4>
      </vt:variant>
      <vt:variant>
        <vt:i4>0</vt:i4>
      </vt:variant>
      <vt:variant>
        <vt:i4>5</vt:i4>
      </vt:variant>
      <vt:variant>
        <vt:lpwstr/>
      </vt:variant>
      <vt:variant>
        <vt:lpwstr>_5.2.5.1__Find_Option</vt:lpwstr>
      </vt:variant>
      <vt:variant>
        <vt:i4>6815746</vt:i4>
      </vt:variant>
      <vt:variant>
        <vt:i4>4347</vt:i4>
      </vt:variant>
      <vt:variant>
        <vt:i4>0</vt:i4>
      </vt:variant>
      <vt:variant>
        <vt:i4>5</vt:i4>
      </vt:variant>
      <vt:variant>
        <vt:lpwstr/>
      </vt:variant>
      <vt:variant>
        <vt:lpwstr>_Appendix_G__COORDINATION TEMPLATE C_1</vt:lpwstr>
      </vt:variant>
      <vt:variant>
        <vt:i4>8126510</vt:i4>
      </vt:variant>
      <vt:variant>
        <vt:i4>4344</vt:i4>
      </vt:variant>
      <vt:variant>
        <vt:i4>0</vt:i4>
      </vt:variant>
      <vt:variant>
        <vt:i4>5</vt:i4>
      </vt:variant>
      <vt:variant>
        <vt:lpwstr/>
      </vt:variant>
      <vt:variant>
        <vt:lpwstr>_5.2.1.7_Bookshelf</vt:lpwstr>
      </vt:variant>
      <vt:variant>
        <vt:i4>131158</vt:i4>
      </vt:variant>
      <vt:variant>
        <vt:i4>4341</vt:i4>
      </vt:variant>
      <vt:variant>
        <vt:i4>0</vt:i4>
      </vt:variant>
      <vt:variant>
        <vt:i4>5</vt:i4>
      </vt:variant>
      <vt:variant>
        <vt:lpwstr/>
      </vt:variant>
      <vt:variant>
        <vt:lpwstr>_5.23__INCOMING_DDOS TOOL</vt:lpwstr>
      </vt:variant>
      <vt:variant>
        <vt:i4>7602177</vt:i4>
      </vt:variant>
      <vt:variant>
        <vt:i4>4338</vt:i4>
      </vt:variant>
      <vt:variant>
        <vt:i4>0</vt:i4>
      </vt:variant>
      <vt:variant>
        <vt:i4>5</vt:i4>
      </vt:variant>
      <vt:variant>
        <vt:lpwstr/>
      </vt:variant>
      <vt:variant>
        <vt:lpwstr>_5.2.3.5.1__Sort</vt:lpwstr>
      </vt:variant>
      <vt:variant>
        <vt:i4>589837</vt:i4>
      </vt:variant>
      <vt:variant>
        <vt:i4>4335</vt:i4>
      </vt:variant>
      <vt:variant>
        <vt:i4>0</vt:i4>
      </vt:variant>
      <vt:variant>
        <vt:i4>5</vt:i4>
      </vt:variant>
      <vt:variant>
        <vt:lpwstr/>
      </vt:variant>
      <vt:variant>
        <vt:lpwstr>_5.2.1.4__Delete_1</vt:lpwstr>
      </vt:variant>
      <vt:variant>
        <vt:i4>2228321</vt:i4>
      </vt:variant>
      <vt:variant>
        <vt:i4>4332</vt:i4>
      </vt:variant>
      <vt:variant>
        <vt:i4>0</vt:i4>
      </vt:variant>
      <vt:variant>
        <vt:i4>5</vt:i4>
      </vt:variant>
      <vt:variant>
        <vt:lpwstr/>
      </vt:variant>
      <vt:variant>
        <vt:lpwstr>_5.2.2.1__Select_All</vt:lpwstr>
      </vt:variant>
      <vt:variant>
        <vt:i4>4784214</vt:i4>
      </vt:variant>
      <vt:variant>
        <vt:i4>4329</vt:i4>
      </vt:variant>
      <vt:variant>
        <vt:i4>0</vt:i4>
      </vt:variant>
      <vt:variant>
        <vt:i4>5</vt:i4>
      </vt:variant>
      <vt:variant>
        <vt:lpwstr/>
      </vt:variant>
      <vt:variant>
        <vt:lpwstr>_5.2.1.2.1__Display_in Excel</vt:lpwstr>
      </vt:variant>
      <vt:variant>
        <vt:i4>4194359</vt:i4>
      </vt:variant>
      <vt:variant>
        <vt:i4>4326</vt:i4>
      </vt:variant>
      <vt:variant>
        <vt:i4>0</vt:i4>
      </vt:variant>
      <vt:variant>
        <vt:i4>5</vt:i4>
      </vt:variant>
      <vt:variant>
        <vt:lpwstr/>
      </vt:variant>
      <vt:variant>
        <vt:lpwstr>_5.2.1.5__Print</vt:lpwstr>
      </vt:variant>
      <vt:variant>
        <vt:i4>2424928</vt:i4>
      </vt:variant>
      <vt:variant>
        <vt:i4>4323</vt:i4>
      </vt:variant>
      <vt:variant>
        <vt:i4>0</vt:i4>
      </vt:variant>
      <vt:variant>
        <vt:i4>5</vt:i4>
      </vt:variant>
      <vt:variant>
        <vt:lpwstr/>
      </vt:variant>
      <vt:variant>
        <vt:lpwstr>_5.2.5.1__Find_Option</vt:lpwstr>
      </vt:variant>
      <vt:variant>
        <vt:i4>3932185</vt:i4>
      </vt:variant>
      <vt:variant>
        <vt:i4>4320</vt:i4>
      </vt:variant>
      <vt:variant>
        <vt:i4>0</vt:i4>
      </vt:variant>
      <vt:variant>
        <vt:i4>5</vt:i4>
      </vt:variant>
      <vt:variant>
        <vt:lpwstr/>
      </vt:variant>
      <vt:variant>
        <vt:lpwstr>_5.46__Sound_</vt:lpwstr>
      </vt:variant>
      <vt:variant>
        <vt:i4>589870</vt:i4>
      </vt:variant>
      <vt:variant>
        <vt:i4>4317</vt:i4>
      </vt:variant>
      <vt:variant>
        <vt:i4>0</vt:i4>
      </vt:variant>
      <vt:variant>
        <vt:i4>5</vt:i4>
      </vt:variant>
      <vt:variant>
        <vt:lpwstr/>
      </vt:variant>
      <vt:variant>
        <vt:lpwstr>_5.23.4__Configuing</vt:lpwstr>
      </vt:variant>
      <vt:variant>
        <vt:i4>7602177</vt:i4>
      </vt:variant>
      <vt:variant>
        <vt:i4>4314</vt:i4>
      </vt:variant>
      <vt:variant>
        <vt:i4>0</vt:i4>
      </vt:variant>
      <vt:variant>
        <vt:i4>5</vt:i4>
      </vt:variant>
      <vt:variant>
        <vt:lpwstr/>
      </vt:variant>
      <vt:variant>
        <vt:lpwstr>_5.2.3.5.1__Sort</vt:lpwstr>
      </vt:variant>
      <vt:variant>
        <vt:i4>327706</vt:i4>
      </vt:variant>
      <vt:variant>
        <vt:i4>4311</vt:i4>
      </vt:variant>
      <vt:variant>
        <vt:i4>0</vt:i4>
      </vt:variant>
      <vt:variant>
        <vt:i4>5</vt:i4>
      </vt:variant>
      <vt:variant>
        <vt:lpwstr/>
      </vt:variant>
      <vt:variant>
        <vt:lpwstr>_5.2.3.5__Properties_1</vt:lpwstr>
      </vt:variant>
      <vt:variant>
        <vt:i4>3801211</vt:i4>
      </vt:variant>
      <vt:variant>
        <vt:i4>4308</vt:i4>
      </vt:variant>
      <vt:variant>
        <vt:i4>0</vt:i4>
      </vt:variant>
      <vt:variant>
        <vt:i4>5</vt:i4>
      </vt:variant>
      <vt:variant>
        <vt:lpwstr/>
      </vt:variant>
      <vt:variant>
        <vt:lpwstr>_5.20__DDO_TEMPLATES TOOL</vt:lpwstr>
      </vt:variant>
      <vt:variant>
        <vt:i4>5832796</vt:i4>
      </vt:variant>
      <vt:variant>
        <vt:i4>4305</vt:i4>
      </vt:variant>
      <vt:variant>
        <vt:i4>0</vt:i4>
      </vt:variant>
      <vt:variant>
        <vt:i4>5</vt:i4>
      </vt:variant>
      <vt:variant>
        <vt:lpwstr/>
      </vt:variant>
      <vt:variant>
        <vt:lpwstr>_Appendix_F__COORDINATION TEMPLATE C</vt:lpwstr>
      </vt:variant>
      <vt:variant>
        <vt:i4>720913</vt:i4>
      </vt:variant>
      <vt:variant>
        <vt:i4>4302</vt:i4>
      </vt:variant>
      <vt:variant>
        <vt:i4>0</vt:i4>
      </vt:variant>
      <vt:variant>
        <vt:i4>5</vt:i4>
      </vt:variant>
      <vt:variant>
        <vt:lpwstr/>
      </vt:variant>
      <vt:variant>
        <vt:lpwstr>_Appendix_E__DATA Received by PC-MDS</vt:lpwstr>
      </vt:variant>
      <vt:variant>
        <vt:i4>8126510</vt:i4>
      </vt:variant>
      <vt:variant>
        <vt:i4>4299</vt:i4>
      </vt:variant>
      <vt:variant>
        <vt:i4>0</vt:i4>
      </vt:variant>
      <vt:variant>
        <vt:i4>5</vt:i4>
      </vt:variant>
      <vt:variant>
        <vt:lpwstr/>
      </vt:variant>
      <vt:variant>
        <vt:lpwstr>_5.2.1.7_Bookshelf</vt:lpwstr>
      </vt:variant>
      <vt:variant>
        <vt:i4>7995428</vt:i4>
      </vt:variant>
      <vt:variant>
        <vt:i4>4296</vt:i4>
      </vt:variant>
      <vt:variant>
        <vt:i4>0</vt:i4>
      </vt:variant>
      <vt:variant>
        <vt:i4>5</vt:i4>
      </vt:variant>
      <vt:variant>
        <vt:lpwstr/>
      </vt:variant>
      <vt:variant>
        <vt:lpwstr>_5.22.1__Set_Outgoing DDO Sequence N</vt:lpwstr>
      </vt:variant>
      <vt:variant>
        <vt:i4>3997786</vt:i4>
      </vt:variant>
      <vt:variant>
        <vt:i4>4293</vt:i4>
      </vt:variant>
      <vt:variant>
        <vt:i4>0</vt:i4>
      </vt:variant>
      <vt:variant>
        <vt:i4>5</vt:i4>
      </vt:variant>
      <vt:variant>
        <vt:lpwstr/>
      </vt:variant>
      <vt:variant>
        <vt:lpwstr>_5.3__TDM</vt:lpwstr>
      </vt:variant>
      <vt:variant>
        <vt:i4>7602177</vt:i4>
      </vt:variant>
      <vt:variant>
        <vt:i4>4290</vt:i4>
      </vt:variant>
      <vt:variant>
        <vt:i4>0</vt:i4>
      </vt:variant>
      <vt:variant>
        <vt:i4>5</vt:i4>
      </vt:variant>
      <vt:variant>
        <vt:lpwstr/>
      </vt:variant>
      <vt:variant>
        <vt:lpwstr>_5.2.3.5.1__Sort</vt:lpwstr>
      </vt:variant>
      <vt:variant>
        <vt:i4>327706</vt:i4>
      </vt:variant>
      <vt:variant>
        <vt:i4>4287</vt:i4>
      </vt:variant>
      <vt:variant>
        <vt:i4>0</vt:i4>
      </vt:variant>
      <vt:variant>
        <vt:i4>5</vt:i4>
      </vt:variant>
      <vt:variant>
        <vt:lpwstr/>
      </vt:variant>
      <vt:variant>
        <vt:lpwstr>_5.2.3.5__Properties_1</vt:lpwstr>
      </vt:variant>
      <vt:variant>
        <vt:i4>589837</vt:i4>
      </vt:variant>
      <vt:variant>
        <vt:i4>4284</vt:i4>
      </vt:variant>
      <vt:variant>
        <vt:i4>0</vt:i4>
      </vt:variant>
      <vt:variant>
        <vt:i4>5</vt:i4>
      </vt:variant>
      <vt:variant>
        <vt:lpwstr/>
      </vt:variant>
      <vt:variant>
        <vt:lpwstr>_5.2.1.4__Delete_1</vt:lpwstr>
      </vt:variant>
      <vt:variant>
        <vt:i4>2228321</vt:i4>
      </vt:variant>
      <vt:variant>
        <vt:i4>4281</vt:i4>
      </vt:variant>
      <vt:variant>
        <vt:i4>0</vt:i4>
      </vt:variant>
      <vt:variant>
        <vt:i4>5</vt:i4>
      </vt:variant>
      <vt:variant>
        <vt:lpwstr/>
      </vt:variant>
      <vt:variant>
        <vt:lpwstr>_5.2.2.1__Select_All</vt:lpwstr>
      </vt:variant>
      <vt:variant>
        <vt:i4>4784214</vt:i4>
      </vt:variant>
      <vt:variant>
        <vt:i4>4278</vt:i4>
      </vt:variant>
      <vt:variant>
        <vt:i4>0</vt:i4>
      </vt:variant>
      <vt:variant>
        <vt:i4>5</vt:i4>
      </vt:variant>
      <vt:variant>
        <vt:lpwstr/>
      </vt:variant>
      <vt:variant>
        <vt:lpwstr>_5.2.1.2.1__Display_in Excel</vt:lpwstr>
      </vt:variant>
      <vt:variant>
        <vt:i4>4194359</vt:i4>
      </vt:variant>
      <vt:variant>
        <vt:i4>4275</vt:i4>
      </vt:variant>
      <vt:variant>
        <vt:i4>0</vt:i4>
      </vt:variant>
      <vt:variant>
        <vt:i4>5</vt:i4>
      </vt:variant>
      <vt:variant>
        <vt:lpwstr/>
      </vt:variant>
      <vt:variant>
        <vt:lpwstr>_5.2.1.5__Print</vt:lpwstr>
      </vt:variant>
      <vt:variant>
        <vt:i4>2424928</vt:i4>
      </vt:variant>
      <vt:variant>
        <vt:i4>4272</vt:i4>
      </vt:variant>
      <vt:variant>
        <vt:i4>0</vt:i4>
      </vt:variant>
      <vt:variant>
        <vt:i4>5</vt:i4>
      </vt:variant>
      <vt:variant>
        <vt:lpwstr/>
      </vt:variant>
      <vt:variant>
        <vt:lpwstr>_5.2.5.1__Find_Option</vt:lpwstr>
      </vt:variant>
      <vt:variant>
        <vt:i4>327696</vt:i4>
      </vt:variant>
      <vt:variant>
        <vt:i4>4269</vt:i4>
      </vt:variant>
      <vt:variant>
        <vt:i4>0</vt:i4>
      </vt:variant>
      <vt:variant>
        <vt:i4>5</vt:i4>
      </vt:variant>
      <vt:variant>
        <vt:lpwstr/>
      </vt:variant>
      <vt:variant>
        <vt:lpwstr>_5.2__COMMON_1</vt:lpwstr>
      </vt:variant>
      <vt:variant>
        <vt:i4>8126510</vt:i4>
      </vt:variant>
      <vt:variant>
        <vt:i4>4266</vt:i4>
      </vt:variant>
      <vt:variant>
        <vt:i4>0</vt:i4>
      </vt:variant>
      <vt:variant>
        <vt:i4>5</vt:i4>
      </vt:variant>
      <vt:variant>
        <vt:lpwstr/>
      </vt:variant>
      <vt:variant>
        <vt:lpwstr>_5.2.1.7_Bookshelf</vt:lpwstr>
      </vt:variant>
      <vt:variant>
        <vt:i4>2752514</vt:i4>
      </vt:variant>
      <vt:variant>
        <vt:i4>4263</vt:i4>
      </vt:variant>
      <vt:variant>
        <vt:i4>0</vt:i4>
      </vt:variant>
      <vt:variant>
        <vt:i4>5</vt:i4>
      </vt:variant>
      <vt:variant>
        <vt:lpwstr/>
      </vt:variant>
      <vt:variant>
        <vt:lpwstr>_5.18__DRAFT</vt:lpwstr>
      </vt:variant>
      <vt:variant>
        <vt:i4>7602177</vt:i4>
      </vt:variant>
      <vt:variant>
        <vt:i4>4260</vt:i4>
      </vt:variant>
      <vt:variant>
        <vt:i4>0</vt:i4>
      </vt:variant>
      <vt:variant>
        <vt:i4>5</vt:i4>
      </vt:variant>
      <vt:variant>
        <vt:lpwstr/>
      </vt:variant>
      <vt:variant>
        <vt:lpwstr>_5.2.3.5.1__Sort</vt:lpwstr>
      </vt:variant>
      <vt:variant>
        <vt:i4>327706</vt:i4>
      </vt:variant>
      <vt:variant>
        <vt:i4>4257</vt:i4>
      </vt:variant>
      <vt:variant>
        <vt:i4>0</vt:i4>
      </vt:variant>
      <vt:variant>
        <vt:i4>5</vt:i4>
      </vt:variant>
      <vt:variant>
        <vt:lpwstr/>
      </vt:variant>
      <vt:variant>
        <vt:lpwstr>_5.2.3.5__Properties_1</vt:lpwstr>
      </vt:variant>
      <vt:variant>
        <vt:i4>589837</vt:i4>
      </vt:variant>
      <vt:variant>
        <vt:i4>4254</vt:i4>
      </vt:variant>
      <vt:variant>
        <vt:i4>0</vt:i4>
      </vt:variant>
      <vt:variant>
        <vt:i4>5</vt:i4>
      </vt:variant>
      <vt:variant>
        <vt:lpwstr/>
      </vt:variant>
      <vt:variant>
        <vt:lpwstr>_5.2.1.4__Delete_1</vt:lpwstr>
      </vt:variant>
      <vt:variant>
        <vt:i4>2228321</vt:i4>
      </vt:variant>
      <vt:variant>
        <vt:i4>4251</vt:i4>
      </vt:variant>
      <vt:variant>
        <vt:i4>0</vt:i4>
      </vt:variant>
      <vt:variant>
        <vt:i4>5</vt:i4>
      </vt:variant>
      <vt:variant>
        <vt:lpwstr/>
      </vt:variant>
      <vt:variant>
        <vt:lpwstr>_5.2.2.1__Select_All</vt:lpwstr>
      </vt:variant>
      <vt:variant>
        <vt:i4>4784214</vt:i4>
      </vt:variant>
      <vt:variant>
        <vt:i4>4248</vt:i4>
      </vt:variant>
      <vt:variant>
        <vt:i4>0</vt:i4>
      </vt:variant>
      <vt:variant>
        <vt:i4>5</vt:i4>
      </vt:variant>
      <vt:variant>
        <vt:lpwstr/>
      </vt:variant>
      <vt:variant>
        <vt:lpwstr>_5.2.1.2.1__Display_in Excel</vt:lpwstr>
      </vt:variant>
      <vt:variant>
        <vt:i4>4194359</vt:i4>
      </vt:variant>
      <vt:variant>
        <vt:i4>4245</vt:i4>
      </vt:variant>
      <vt:variant>
        <vt:i4>0</vt:i4>
      </vt:variant>
      <vt:variant>
        <vt:i4>5</vt:i4>
      </vt:variant>
      <vt:variant>
        <vt:lpwstr/>
      </vt:variant>
      <vt:variant>
        <vt:lpwstr>_5.2.1.5__Print</vt:lpwstr>
      </vt:variant>
      <vt:variant>
        <vt:i4>2424928</vt:i4>
      </vt:variant>
      <vt:variant>
        <vt:i4>4242</vt:i4>
      </vt:variant>
      <vt:variant>
        <vt:i4>0</vt:i4>
      </vt:variant>
      <vt:variant>
        <vt:i4>5</vt:i4>
      </vt:variant>
      <vt:variant>
        <vt:lpwstr/>
      </vt:variant>
      <vt:variant>
        <vt:lpwstr>_5.2.5.1__Find_Option</vt:lpwstr>
      </vt:variant>
      <vt:variant>
        <vt:i4>589941</vt:i4>
      </vt:variant>
      <vt:variant>
        <vt:i4>4239</vt:i4>
      </vt:variant>
      <vt:variant>
        <vt:i4>0</vt:i4>
      </vt:variant>
      <vt:variant>
        <vt:i4>5</vt:i4>
      </vt:variant>
      <vt:variant>
        <vt:lpwstr/>
      </vt:variant>
      <vt:variant>
        <vt:lpwstr>_5.3.1.1.3__Secret</vt:lpwstr>
      </vt:variant>
      <vt:variant>
        <vt:i4>3997786</vt:i4>
      </vt:variant>
      <vt:variant>
        <vt:i4>4236</vt:i4>
      </vt:variant>
      <vt:variant>
        <vt:i4>0</vt:i4>
      </vt:variant>
      <vt:variant>
        <vt:i4>5</vt:i4>
      </vt:variant>
      <vt:variant>
        <vt:lpwstr/>
      </vt:variant>
      <vt:variant>
        <vt:lpwstr>_5.3__TDM</vt:lpwstr>
      </vt:variant>
      <vt:variant>
        <vt:i4>6488182</vt:i4>
      </vt:variant>
      <vt:variant>
        <vt:i4>4233</vt:i4>
      </vt:variant>
      <vt:variant>
        <vt:i4>0</vt:i4>
      </vt:variant>
      <vt:variant>
        <vt:i4>5</vt:i4>
      </vt:variant>
      <vt:variant>
        <vt:lpwstr/>
      </vt:variant>
      <vt:variant>
        <vt:lpwstr>_Appendix_D__DATA SENT FROM PC-MDS</vt:lpwstr>
      </vt:variant>
      <vt:variant>
        <vt:i4>6488182</vt:i4>
      </vt:variant>
      <vt:variant>
        <vt:i4>4230</vt:i4>
      </vt:variant>
      <vt:variant>
        <vt:i4>0</vt:i4>
      </vt:variant>
      <vt:variant>
        <vt:i4>5</vt:i4>
      </vt:variant>
      <vt:variant>
        <vt:lpwstr/>
      </vt:variant>
      <vt:variant>
        <vt:lpwstr>_Appendix_D__DATA SENT FROM PC-MDS</vt:lpwstr>
      </vt:variant>
      <vt:variant>
        <vt:i4>6225941</vt:i4>
      </vt:variant>
      <vt:variant>
        <vt:i4>4227</vt:i4>
      </vt:variant>
      <vt:variant>
        <vt:i4>0</vt:i4>
      </vt:variant>
      <vt:variant>
        <vt:i4>5</vt:i4>
      </vt:variant>
      <vt:variant>
        <vt:lpwstr/>
      </vt:variant>
      <vt:variant>
        <vt:lpwstr>_Appendix_J_Distribution_of TCIDB's </vt:lpwstr>
      </vt:variant>
      <vt:variant>
        <vt:i4>2031640</vt:i4>
      </vt:variant>
      <vt:variant>
        <vt:i4>4224</vt:i4>
      </vt:variant>
      <vt:variant>
        <vt:i4>0</vt:i4>
      </vt:variant>
      <vt:variant>
        <vt:i4>5</vt:i4>
      </vt:variant>
      <vt:variant>
        <vt:lpwstr/>
      </vt:variant>
      <vt:variant>
        <vt:lpwstr>_5.19__DRAFT_TEXT MESSAGES TOOL</vt:lpwstr>
      </vt:variant>
      <vt:variant>
        <vt:i4>5243007</vt:i4>
      </vt:variant>
      <vt:variant>
        <vt:i4>4221</vt:i4>
      </vt:variant>
      <vt:variant>
        <vt:i4>0</vt:i4>
      </vt:variant>
      <vt:variant>
        <vt:i4>5</vt:i4>
      </vt:variant>
      <vt:variant>
        <vt:lpwstr/>
      </vt:variant>
      <vt:variant>
        <vt:lpwstr>_5.17.3.1__DDO</vt:lpwstr>
      </vt:variant>
      <vt:variant>
        <vt:i4>6488182</vt:i4>
      </vt:variant>
      <vt:variant>
        <vt:i4>4218</vt:i4>
      </vt:variant>
      <vt:variant>
        <vt:i4>0</vt:i4>
      </vt:variant>
      <vt:variant>
        <vt:i4>5</vt:i4>
      </vt:variant>
      <vt:variant>
        <vt:lpwstr/>
      </vt:variant>
      <vt:variant>
        <vt:lpwstr>_Appendix_D__DATA SENT FROM PC-MDS</vt:lpwstr>
      </vt:variant>
      <vt:variant>
        <vt:i4>327696</vt:i4>
      </vt:variant>
      <vt:variant>
        <vt:i4>4215</vt:i4>
      </vt:variant>
      <vt:variant>
        <vt:i4>0</vt:i4>
      </vt:variant>
      <vt:variant>
        <vt:i4>5</vt:i4>
      </vt:variant>
      <vt:variant>
        <vt:lpwstr/>
      </vt:variant>
      <vt:variant>
        <vt:lpwstr>_5.2__COMMON_1</vt:lpwstr>
      </vt:variant>
      <vt:variant>
        <vt:i4>8126510</vt:i4>
      </vt:variant>
      <vt:variant>
        <vt:i4>4212</vt:i4>
      </vt:variant>
      <vt:variant>
        <vt:i4>0</vt:i4>
      </vt:variant>
      <vt:variant>
        <vt:i4>5</vt:i4>
      </vt:variant>
      <vt:variant>
        <vt:lpwstr/>
      </vt:variant>
      <vt:variant>
        <vt:lpwstr>_5.2.1.7_Bookshelf</vt:lpwstr>
      </vt:variant>
      <vt:variant>
        <vt:i4>7602177</vt:i4>
      </vt:variant>
      <vt:variant>
        <vt:i4>4209</vt:i4>
      </vt:variant>
      <vt:variant>
        <vt:i4>0</vt:i4>
      </vt:variant>
      <vt:variant>
        <vt:i4>5</vt:i4>
      </vt:variant>
      <vt:variant>
        <vt:lpwstr/>
      </vt:variant>
      <vt:variant>
        <vt:lpwstr>_5.2.3.5.1__Sort</vt:lpwstr>
      </vt:variant>
      <vt:variant>
        <vt:i4>589837</vt:i4>
      </vt:variant>
      <vt:variant>
        <vt:i4>4206</vt:i4>
      </vt:variant>
      <vt:variant>
        <vt:i4>0</vt:i4>
      </vt:variant>
      <vt:variant>
        <vt:i4>5</vt:i4>
      </vt:variant>
      <vt:variant>
        <vt:lpwstr/>
      </vt:variant>
      <vt:variant>
        <vt:lpwstr>_5.2.1.4__Delete_1</vt:lpwstr>
      </vt:variant>
      <vt:variant>
        <vt:i4>2228321</vt:i4>
      </vt:variant>
      <vt:variant>
        <vt:i4>4203</vt:i4>
      </vt:variant>
      <vt:variant>
        <vt:i4>0</vt:i4>
      </vt:variant>
      <vt:variant>
        <vt:i4>5</vt:i4>
      </vt:variant>
      <vt:variant>
        <vt:lpwstr/>
      </vt:variant>
      <vt:variant>
        <vt:lpwstr>_5.2.2.1__Select_All</vt:lpwstr>
      </vt:variant>
      <vt:variant>
        <vt:i4>4784214</vt:i4>
      </vt:variant>
      <vt:variant>
        <vt:i4>4200</vt:i4>
      </vt:variant>
      <vt:variant>
        <vt:i4>0</vt:i4>
      </vt:variant>
      <vt:variant>
        <vt:i4>5</vt:i4>
      </vt:variant>
      <vt:variant>
        <vt:lpwstr/>
      </vt:variant>
      <vt:variant>
        <vt:lpwstr>_5.2.1.2.1__Display_in Excel</vt:lpwstr>
      </vt:variant>
      <vt:variant>
        <vt:i4>4194359</vt:i4>
      </vt:variant>
      <vt:variant>
        <vt:i4>4197</vt:i4>
      </vt:variant>
      <vt:variant>
        <vt:i4>0</vt:i4>
      </vt:variant>
      <vt:variant>
        <vt:i4>5</vt:i4>
      </vt:variant>
      <vt:variant>
        <vt:lpwstr/>
      </vt:variant>
      <vt:variant>
        <vt:lpwstr>_5.2.1.5__Print</vt:lpwstr>
      </vt:variant>
      <vt:variant>
        <vt:i4>2424928</vt:i4>
      </vt:variant>
      <vt:variant>
        <vt:i4>4194</vt:i4>
      </vt:variant>
      <vt:variant>
        <vt:i4>0</vt:i4>
      </vt:variant>
      <vt:variant>
        <vt:i4>5</vt:i4>
      </vt:variant>
      <vt:variant>
        <vt:lpwstr/>
      </vt:variant>
      <vt:variant>
        <vt:lpwstr>_5.2.5.1__Find_Option</vt:lpwstr>
      </vt:variant>
      <vt:variant>
        <vt:i4>3932185</vt:i4>
      </vt:variant>
      <vt:variant>
        <vt:i4>4191</vt:i4>
      </vt:variant>
      <vt:variant>
        <vt:i4>0</vt:i4>
      </vt:variant>
      <vt:variant>
        <vt:i4>5</vt:i4>
      </vt:variant>
      <vt:variant>
        <vt:lpwstr/>
      </vt:variant>
      <vt:variant>
        <vt:lpwstr>_5.46__Sound_</vt:lpwstr>
      </vt:variant>
      <vt:variant>
        <vt:i4>7602177</vt:i4>
      </vt:variant>
      <vt:variant>
        <vt:i4>4188</vt:i4>
      </vt:variant>
      <vt:variant>
        <vt:i4>0</vt:i4>
      </vt:variant>
      <vt:variant>
        <vt:i4>5</vt:i4>
      </vt:variant>
      <vt:variant>
        <vt:lpwstr/>
      </vt:variant>
      <vt:variant>
        <vt:lpwstr>_5.2.3.5.1__Sort</vt:lpwstr>
      </vt:variant>
      <vt:variant>
        <vt:i4>327706</vt:i4>
      </vt:variant>
      <vt:variant>
        <vt:i4>4185</vt:i4>
      </vt:variant>
      <vt:variant>
        <vt:i4>0</vt:i4>
      </vt:variant>
      <vt:variant>
        <vt:i4>5</vt:i4>
      </vt:variant>
      <vt:variant>
        <vt:lpwstr/>
      </vt:variant>
      <vt:variant>
        <vt:lpwstr>_5.2.3.5__Properties_1</vt:lpwstr>
      </vt:variant>
      <vt:variant>
        <vt:i4>8126510</vt:i4>
      </vt:variant>
      <vt:variant>
        <vt:i4>4182</vt:i4>
      </vt:variant>
      <vt:variant>
        <vt:i4>0</vt:i4>
      </vt:variant>
      <vt:variant>
        <vt:i4>5</vt:i4>
      </vt:variant>
      <vt:variant>
        <vt:lpwstr/>
      </vt:variant>
      <vt:variant>
        <vt:lpwstr>_5.2.1.7_Bookshelf</vt:lpwstr>
      </vt:variant>
      <vt:variant>
        <vt:i4>589837</vt:i4>
      </vt:variant>
      <vt:variant>
        <vt:i4>4179</vt:i4>
      </vt:variant>
      <vt:variant>
        <vt:i4>0</vt:i4>
      </vt:variant>
      <vt:variant>
        <vt:i4>5</vt:i4>
      </vt:variant>
      <vt:variant>
        <vt:lpwstr/>
      </vt:variant>
      <vt:variant>
        <vt:lpwstr>_5.2.1.4__Delete_1</vt:lpwstr>
      </vt:variant>
      <vt:variant>
        <vt:i4>7602177</vt:i4>
      </vt:variant>
      <vt:variant>
        <vt:i4>4176</vt:i4>
      </vt:variant>
      <vt:variant>
        <vt:i4>0</vt:i4>
      </vt:variant>
      <vt:variant>
        <vt:i4>5</vt:i4>
      </vt:variant>
      <vt:variant>
        <vt:lpwstr/>
      </vt:variant>
      <vt:variant>
        <vt:lpwstr>_5.2.3.5.1__Sort</vt:lpwstr>
      </vt:variant>
      <vt:variant>
        <vt:i4>327706</vt:i4>
      </vt:variant>
      <vt:variant>
        <vt:i4>4173</vt:i4>
      </vt:variant>
      <vt:variant>
        <vt:i4>0</vt:i4>
      </vt:variant>
      <vt:variant>
        <vt:i4>5</vt:i4>
      </vt:variant>
      <vt:variant>
        <vt:lpwstr/>
      </vt:variant>
      <vt:variant>
        <vt:lpwstr>_5.2.3.5__Properties_1</vt:lpwstr>
      </vt:variant>
      <vt:variant>
        <vt:i4>2228321</vt:i4>
      </vt:variant>
      <vt:variant>
        <vt:i4>4170</vt:i4>
      </vt:variant>
      <vt:variant>
        <vt:i4>0</vt:i4>
      </vt:variant>
      <vt:variant>
        <vt:i4>5</vt:i4>
      </vt:variant>
      <vt:variant>
        <vt:lpwstr/>
      </vt:variant>
      <vt:variant>
        <vt:lpwstr>_5.2.2.1__Select_All</vt:lpwstr>
      </vt:variant>
      <vt:variant>
        <vt:i4>4784214</vt:i4>
      </vt:variant>
      <vt:variant>
        <vt:i4>4167</vt:i4>
      </vt:variant>
      <vt:variant>
        <vt:i4>0</vt:i4>
      </vt:variant>
      <vt:variant>
        <vt:i4>5</vt:i4>
      </vt:variant>
      <vt:variant>
        <vt:lpwstr/>
      </vt:variant>
      <vt:variant>
        <vt:lpwstr>_5.2.1.2.1__Display_in Excel</vt:lpwstr>
      </vt:variant>
      <vt:variant>
        <vt:i4>4194359</vt:i4>
      </vt:variant>
      <vt:variant>
        <vt:i4>4164</vt:i4>
      </vt:variant>
      <vt:variant>
        <vt:i4>0</vt:i4>
      </vt:variant>
      <vt:variant>
        <vt:i4>5</vt:i4>
      </vt:variant>
      <vt:variant>
        <vt:lpwstr/>
      </vt:variant>
      <vt:variant>
        <vt:lpwstr>_5.2.1.5__Print</vt:lpwstr>
      </vt:variant>
      <vt:variant>
        <vt:i4>2424928</vt:i4>
      </vt:variant>
      <vt:variant>
        <vt:i4>4161</vt:i4>
      </vt:variant>
      <vt:variant>
        <vt:i4>0</vt:i4>
      </vt:variant>
      <vt:variant>
        <vt:i4>5</vt:i4>
      </vt:variant>
      <vt:variant>
        <vt:lpwstr/>
      </vt:variant>
      <vt:variant>
        <vt:lpwstr>_5.2.5.1__Find_Option</vt:lpwstr>
      </vt:variant>
      <vt:variant>
        <vt:i4>8126510</vt:i4>
      </vt:variant>
      <vt:variant>
        <vt:i4>4158</vt:i4>
      </vt:variant>
      <vt:variant>
        <vt:i4>0</vt:i4>
      </vt:variant>
      <vt:variant>
        <vt:i4>5</vt:i4>
      </vt:variant>
      <vt:variant>
        <vt:lpwstr/>
      </vt:variant>
      <vt:variant>
        <vt:lpwstr>_5.2.1.7_Bookshelf</vt:lpwstr>
      </vt:variant>
      <vt:variant>
        <vt:i4>7602177</vt:i4>
      </vt:variant>
      <vt:variant>
        <vt:i4>4155</vt:i4>
      </vt:variant>
      <vt:variant>
        <vt:i4>0</vt:i4>
      </vt:variant>
      <vt:variant>
        <vt:i4>5</vt:i4>
      </vt:variant>
      <vt:variant>
        <vt:lpwstr/>
      </vt:variant>
      <vt:variant>
        <vt:lpwstr>_5.2.3.5.1__Sort</vt:lpwstr>
      </vt:variant>
      <vt:variant>
        <vt:i4>327706</vt:i4>
      </vt:variant>
      <vt:variant>
        <vt:i4>4152</vt:i4>
      </vt:variant>
      <vt:variant>
        <vt:i4>0</vt:i4>
      </vt:variant>
      <vt:variant>
        <vt:i4>5</vt:i4>
      </vt:variant>
      <vt:variant>
        <vt:lpwstr/>
      </vt:variant>
      <vt:variant>
        <vt:lpwstr>_5.2.3.5__Properties_1</vt:lpwstr>
      </vt:variant>
      <vt:variant>
        <vt:i4>589837</vt:i4>
      </vt:variant>
      <vt:variant>
        <vt:i4>4149</vt:i4>
      </vt:variant>
      <vt:variant>
        <vt:i4>0</vt:i4>
      </vt:variant>
      <vt:variant>
        <vt:i4>5</vt:i4>
      </vt:variant>
      <vt:variant>
        <vt:lpwstr/>
      </vt:variant>
      <vt:variant>
        <vt:lpwstr>_5.2.1.4__Delete_1</vt:lpwstr>
      </vt:variant>
      <vt:variant>
        <vt:i4>2228321</vt:i4>
      </vt:variant>
      <vt:variant>
        <vt:i4>4146</vt:i4>
      </vt:variant>
      <vt:variant>
        <vt:i4>0</vt:i4>
      </vt:variant>
      <vt:variant>
        <vt:i4>5</vt:i4>
      </vt:variant>
      <vt:variant>
        <vt:lpwstr/>
      </vt:variant>
      <vt:variant>
        <vt:lpwstr>_5.2.2.1__Select_All</vt:lpwstr>
      </vt:variant>
      <vt:variant>
        <vt:i4>4784214</vt:i4>
      </vt:variant>
      <vt:variant>
        <vt:i4>4143</vt:i4>
      </vt:variant>
      <vt:variant>
        <vt:i4>0</vt:i4>
      </vt:variant>
      <vt:variant>
        <vt:i4>5</vt:i4>
      </vt:variant>
      <vt:variant>
        <vt:lpwstr/>
      </vt:variant>
      <vt:variant>
        <vt:lpwstr>_5.2.1.2.1__Display_in Excel</vt:lpwstr>
      </vt:variant>
      <vt:variant>
        <vt:i4>4194359</vt:i4>
      </vt:variant>
      <vt:variant>
        <vt:i4>4140</vt:i4>
      </vt:variant>
      <vt:variant>
        <vt:i4>0</vt:i4>
      </vt:variant>
      <vt:variant>
        <vt:i4>5</vt:i4>
      </vt:variant>
      <vt:variant>
        <vt:lpwstr/>
      </vt:variant>
      <vt:variant>
        <vt:lpwstr>_5.2.1.5__Print</vt:lpwstr>
      </vt:variant>
      <vt:variant>
        <vt:i4>2424928</vt:i4>
      </vt:variant>
      <vt:variant>
        <vt:i4>4137</vt:i4>
      </vt:variant>
      <vt:variant>
        <vt:i4>0</vt:i4>
      </vt:variant>
      <vt:variant>
        <vt:i4>5</vt:i4>
      </vt:variant>
      <vt:variant>
        <vt:lpwstr/>
      </vt:variant>
      <vt:variant>
        <vt:lpwstr>_5.2.5.1__Find_Option</vt:lpwstr>
      </vt:variant>
      <vt:variant>
        <vt:i4>8126510</vt:i4>
      </vt:variant>
      <vt:variant>
        <vt:i4>4134</vt:i4>
      </vt:variant>
      <vt:variant>
        <vt:i4>0</vt:i4>
      </vt:variant>
      <vt:variant>
        <vt:i4>5</vt:i4>
      </vt:variant>
      <vt:variant>
        <vt:lpwstr/>
      </vt:variant>
      <vt:variant>
        <vt:lpwstr>_5.2.1.7_Bookshelf</vt:lpwstr>
      </vt:variant>
      <vt:variant>
        <vt:i4>2031684</vt:i4>
      </vt:variant>
      <vt:variant>
        <vt:i4>4131</vt:i4>
      </vt:variant>
      <vt:variant>
        <vt:i4>0</vt:i4>
      </vt:variant>
      <vt:variant>
        <vt:i4>5</vt:i4>
      </vt:variant>
      <vt:variant>
        <vt:lpwstr/>
      </vt:variant>
      <vt:variant>
        <vt:lpwstr>_5.2.8__Edit_Classification</vt:lpwstr>
      </vt:variant>
      <vt:variant>
        <vt:i4>3997786</vt:i4>
      </vt:variant>
      <vt:variant>
        <vt:i4>4128</vt:i4>
      </vt:variant>
      <vt:variant>
        <vt:i4>0</vt:i4>
      </vt:variant>
      <vt:variant>
        <vt:i4>5</vt:i4>
      </vt:variant>
      <vt:variant>
        <vt:lpwstr/>
      </vt:variant>
      <vt:variant>
        <vt:lpwstr>_5.3__TDM</vt:lpwstr>
      </vt:variant>
      <vt:variant>
        <vt:i4>7602177</vt:i4>
      </vt:variant>
      <vt:variant>
        <vt:i4>4125</vt:i4>
      </vt:variant>
      <vt:variant>
        <vt:i4>0</vt:i4>
      </vt:variant>
      <vt:variant>
        <vt:i4>5</vt:i4>
      </vt:variant>
      <vt:variant>
        <vt:lpwstr/>
      </vt:variant>
      <vt:variant>
        <vt:lpwstr>_5.2.3.5.1__Sort</vt:lpwstr>
      </vt:variant>
      <vt:variant>
        <vt:i4>589837</vt:i4>
      </vt:variant>
      <vt:variant>
        <vt:i4>4122</vt:i4>
      </vt:variant>
      <vt:variant>
        <vt:i4>0</vt:i4>
      </vt:variant>
      <vt:variant>
        <vt:i4>5</vt:i4>
      </vt:variant>
      <vt:variant>
        <vt:lpwstr/>
      </vt:variant>
      <vt:variant>
        <vt:lpwstr>_5.2.1.4__Delete_1</vt:lpwstr>
      </vt:variant>
      <vt:variant>
        <vt:i4>2228321</vt:i4>
      </vt:variant>
      <vt:variant>
        <vt:i4>4119</vt:i4>
      </vt:variant>
      <vt:variant>
        <vt:i4>0</vt:i4>
      </vt:variant>
      <vt:variant>
        <vt:i4>5</vt:i4>
      </vt:variant>
      <vt:variant>
        <vt:lpwstr/>
      </vt:variant>
      <vt:variant>
        <vt:lpwstr>_5.2.2.1__Select_All</vt:lpwstr>
      </vt:variant>
      <vt:variant>
        <vt:i4>4784214</vt:i4>
      </vt:variant>
      <vt:variant>
        <vt:i4>4116</vt:i4>
      </vt:variant>
      <vt:variant>
        <vt:i4>0</vt:i4>
      </vt:variant>
      <vt:variant>
        <vt:i4>5</vt:i4>
      </vt:variant>
      <vt:variant>
        <vt:lpwstr/>
      </vt:variant>
      <vt:variant>
        <vt:lpwstr>_5.2.1.2.1__Display_in Excel</vt:lpwstr>
      </vt:variant>
      <vt:variant>
        <vt:i4>4194359</vt:i4>
      </vt:variant>
      <vt:variant>
        <vt:i4>4113</vt:i4>
      </vt:variant>
      <vt:variant>
        <vt:i4>0</vt:i4>
      </vt:variant>
      <vt:variant>
        <vt:i4>5</vt:i4>
      </vt:variant>
      <vt:variant>
        <vt:lpwstr/>
      </vt:variant>
      <vt:variant>
        <vt:lpwstr>_5.2.1.5__Print</vt:lpwstr>
      </vt:variant>
      <vt:variant>
        <vt:i4>2424928</vt:i4>
      </vt:variant>
      <vt:variant>
        <vt:i4>4110</vt:i4>
      </vt:variant>
      <vt:variant>
        <vt:i4>0</vt:i4>
      </vt:variant>
      <vt:variant>
        <vt:i4>5</vt:i4>
      </vt:variant>
      <vt:variant>
        <vt:lpwstr/>
      </vt:variant>
      <vt:variant>
        <vt:lpwstr>_5.2.5.1__Find_Option</vt:lpwstr>
      </vt:variant>
      <vt:variant>
        <vt:i4>327706</vt:i4>
      </vt:variant>
      <vt:variant>
        <vt:i4>4107</vt:i4>
      </vt:variant>
      <vt:variant>
        <vt:i4>0</vt:i4>
      </vt:variant>
      <vt:variant>
        <vt:i4>5</vt:i4>
      </vt:variant>
      <vt:variant>
        <vt:lpwstr/>
      </vt:variant>
      <vt:variant>
        <vt:lpwstr>_5.2.3.5__Properties_1</vt:lpwstr>
      </vt:variant>
      <vt:variant>
        <vt:i4>7012425</vt:i4>
      </vt:variant>
      <vt:variant>
        <vt:i4>4104</vt:i4>
      </vt:variant>
      <vt:variant>
        <vt:i4>0</vt:i4>
      </vt:variant>
      <vt:variant>
        <vt:i4>5</vt:i4>
      </vt:variant>
      <vt:variant>
        <vt:lpwstr/>
      </vt:variant>
      <vt:variant>
        <vt:lpwstr>_5.21.3__Send</vt:lpwstr>
      </vt:variant>
      <vt:variant>
        <vt:i4>2752527</vt:i4>
      </vt:variant>
      <vt:variant>
        <vt:i4>4101</vt:i4>
      </vt:variant>
      <vt:variant>
        <vt:i4>0</vt:i4>
      </vt:variant>
      <vt:variant>
        <vt:i4>5</vt:i4>
      </vt:variant>
      <vt:variant>
        <vt:lpwstr/>
      </vt:variant>
      <vt:variant>
        <vt:lpwstr>_5.21.2.1__Create</vt:lpwstr>
      </vt:variant>
      <vt:variant>
        <vt:i4>8126510</vt:i4>
      </vt:variant>
      <vt:variant>
        <vt:i4>4098</vt:i4>
      </vt:variant>
      <vt:variant>
        <vt:i4>0</vt:i4>
      </vt:variant>
      <vt:variant>
        <vt:i4>5</vt:i4>
      </vt:variant>
      <vt:variant>
        <vt:lpwstr/>
      </vt:variant>
      <vt:variant>
        <vt:lpwstr>_5.2.1.7_Bookshelf</vt:lpwstr>
      </vt:variant>
      <vt:variant>
        <vt:i4>7602177</vt:i4>
      </vt:variant>
      <vt:variant>
        <vt:i4>4095</vt:i4>
      </vt:variant>
      <vt:variant>
        <vt:i4>0</vt:i4>
      </vt:variant>
      <vt:variant>
        <vt:i4>5</vt:i4>
      </vt:variant>
      <vt:variant>
        <vt:lpwstr/>
      </vt:variant>
      <vt:variant>
        <vt:lpwstr>_5.2.3.5.1__Sort</vt:lpwstr>
      </vt:variant>
      <vt:variant>
        <vt:i4>327706</vt:i4>
      </vt:variant>
      <vt:variant>
        <vt:i4>4092</vt:i4>
      </vt:variant>
      <vt:variant>
        <vt:i4>0</vt:i4>
      </vt:variant>
      <vt:variant>
        <vt:i4>5</vt:i4>
      </vt:variant>
      <vt:variant>
        <vt:lpwstr/>
      </vt:variant>
      <vt:variant>
        <vt:lpwstr>_5.2.3.5__Properties_1</vt:lpwstr>
      </vt:variant>
      <vt:variant>
        <vt:i4>2228321</vt:i4>
      </vt:variant>
      <vt:variant>
        <vt:i4>4089</vt:i4>
      </vt:variant>
      <vt:variant>
        <vt:i4>0</vt:i4>
      </vt:variant>
      <vt:variant>
        <vt:i4>5</vt:i4>
      </vt:variant>
      <vt:variant>
        <vt:lpwstr/>
      </vt:variant>
      <vt:variant>
        <vt:lpwstr>_5.2.2.1__Select_All</vt:lpwstr>
      </vt:variant>
      <vt:variant>
        <vt:i4>4784214</vt:i4>
      </vt:variant>
      <vt:variant>
        <vt:i4>4086</vt:i4>
      </vt:variant>
      <vt:variant>
        <vt:i4>0</vt:i4>
      </vt:variant>
      <vt:variant>
        <vt:i4>5</vt:i4>
      </vt:variant>
      <vt:variant>
        <vt:lpwstr/>
      </vt:variant>
      <vt:variant>
        <vt:lpwstr>_5.2.1.2.1__Display_in Excel</vt:lpwstr>
      </vt:variant>
      <vt:variant>
        <vt:i4>4194359</vt:i4>
      </vt:variant>
      <vt:variant>
        <vt:i4>4083</vt:i4>
      </vt:variant>
      <vt:variant>
        <vt:i4>0</vt:i4>
      </vt:variant>
      <vt:variant>
        <vt:i4>5</vt:i4>
      </vt:variant>
      <vt:variant>
        <vt:lpwstr/>
      </vt:variant>
      <vt:variant>
        <vt:lpwstr>_5.2.1.5__Print</vt:lpwstr>
      </vt:variant>
      <vt:variant>
        <vt:i4>2424928</vt:i4>
      </vt:variant>
      <vt:variant>
        <vt:i4>4080</vt:i4>
      </vt:variant>
      <vt:variant>
        <vt:i4>0</vt:i4>
      </vt:variant>
      <vt:variant>
        <vt:i4>5</vt:i4>
      </vt:variant>
      <vt:variant>
        <vt:lpwstr/>
      </vt:variant>
      <vt:variant>
        <vt:lpwstr>_5.2.5.1__Find_Option</vt:lpwstr>
      </vt:variant>
      <vt:variant>
        <vt:i4>2818134</vt:i4>
      </vt:variant>
      <vt:variant>
        <vt:i4>4077</vt:i4>
      </vt:variant>
      <vt:variant>
        <vt:i4>0</vt:i4>
      </vt:variant>
      <vt:variant>
        <vt:i4>5</vt:i4>
      </vt:variant>
      <vt:variant>
        <vt:lpwstr/>
      </vt:variant>
      <vt:variant>
        <vt:lpwstr>_5.2.1.4__Receive</vt:lpwstr>
      </vt:variant>
      <vt:variant>
        <vt:i4>8126510</vt:i4>
      </vt:variant>
      <vt:variant>
        <vt:i4>4074</vt:i4>
      </vt:variant>
      <vt:variant>
        <vt:i4>0</vt:i4>
      </vt:variant>
      <vt:variant>
        <vt:i4>5</vt:i4>
      </vt:variant>
      <vt:variant>
        <vt:lpwstr/>
      </vt:variant>
      <vt:variant>
        <vt:lpwstr>_5.2.1.7_Bookshelf</vt:lpwstr>
      </vt:variant>
      <vt:variant>
        <vt:i4>2818134</vt:i4>
      </vt:variant>
      <vt:variant>
        <vt:i4>4071</vt:i4>
      </vt:variant>
      <vt:variant>
        <vt:i4>0</vt:i4>
      </vt:variant>
      <vt:variant>
        <vt:i4>5</vt:i4>
      </vt:variant>
      <vt:variant>
        <vt:lpwstr/>
      </vt:variant>
      <vt:variant>
        <vt:lpwstr>_5.2.1.4__Receive</vt:lpwstr>
      </vt:variant>
      <vt:variant>
        <vt:i4>7602177</vt:i4>
      </vt:variant>
      <vt:variant>
        <vt:i4>4068</vt:i4>
      </vt:variant>
      <vt:variant>
        <vt:i4>0</vt:i4>
      </vt:variant>
      <vt:variant>
        <vt:i4>5</vt:i4>
      </vt:variant>
      <vt:variant>
        <vt:lpwstr/>
      </vt:variant>
      <vt:variant>
        <vt:lpwstr>_5.2.3.5.1__Sort</vt:lpwstr>
      </vt:variant>
      <vt:variant>
        <vt:i4>327706</vt:i4>
      </vt:variant>
      <vt:variant>
        <vt:i4>4065</vt:i4>
      </vt:variant>
      <vt:variant>
        <vt:i4>0</vt:i4>
      </vt:variant>
      <vt:variant>
        <vt:i4>5</vt:i4>
      </vt:variant>
      <vt:variant>
        <vt:lpwstr/>
      </vt:variant>
      <vt:variant>
        <vt:lpwstr>_5.2.3.5__Properties_1</vt:lpwstr>
      </vt:variant>
      <vt:variant>
        <vt:i4>2228321</vt:i4>
      </vt:variant>
      <vt:variant>
        <vt:i4>4062</vt:i4>
      </vt:variant>
      <vt:variant>
        <vt:i4>0</vt:i4>
      </vt:variant>
      <vt:variant>
        <vt:i4>5</vt:i4>
      </vt:variant>
      <vt:variant>
        <vt:lpwstr/>
      </vt:variant>
      <vt:variant>
        <vt:lpwstr>_5.2.2.1__Select_All</vt:lpwstr>
      </vt:variant>
      <vt:variant>
        <vt:i4>4784214</vt:i4>
      </vt:variant>
      <vt:variant>
        <vt:i4>4059</vt:i4>
      </vt:variant>
      <vt:variant>
        <vt:i4>0</vt:i4>
      </vt:variant>
      <vt:variant>
        <vt:i4>5</vt:i4>
      </vt:variant>
      <vt:variant>
        <vt:lpwstr/>
      </vt:variant>
      <vt:variant>
        <vt:lpwstr>_5.2.1.2.1__Display_in Excel</vt:lpwstr>
      </vt:variant>
      <vt:variant>
        <vt:i4>2818134</vt:i4>
      </vt:variant>
      <vt:variant>
        <vt:i4>4056</vt:i4>
      </vt:variant>
      <vt:variant>
        <vt:i4>0</vt:i4>
      </vt:variant>
      <vt:variant>
        <vt:i4>5</vt:i4>
      </vt:variant>
      <vt:variant>
        <vt:lpwstr/>
      </vt:variant>
      <vt:variant>
        <vt:lpwstr>_5.2.1.4__Receive</vt:lpwstr>
      </vt:variant>
      <vt:variant>
        <vt:i4>4194359</vt:i4>
      </vt:variant>
      <vt:variant>
        <vt:i4>4053</vt:i4>
      </vt:variant>
      <vt:variant>
        <vt:i4>0</vt:i4>
      </vt:variant>
      <vt:variant>
        <vt:i4>5</vt:i4>
      </vt:variant>
      <vt:variant>
        <vt:lpwstr/>
      </vt:variant>
      <vt:variant>
        <vt:lpwstr>_5.2.1.5__Print</vt:lpwstr>
      </vt:variant>
      <vt:variant>
        <vt:i4>2424928</vt:i4>
      </vt:variant>
      <vt:variant>
        <vt:i4>4050</vt:i4>
      </vt:variant>
      <vt:variant>
        <vt:i4>0</vt:i4>
      </vt:variant>
      <vt:variant>
        <vt:i4>5</vt:i4>
      </vt:variant>
      <vt:variant>
        <vt:lpwstr/>
      </vt:variant>
      <vt:variant>
        <vt:lpwstr>_5.2.5.1__Find_Option</vt:lpwstr>
      </vt:variant>
      <vt:variant>
        <vt:i4>6160509</vt:i4>
      </vt:variant>
      <vt:variant>
        <vt:i4>4047</vt:i4>
      </vt:variant>
      <vt:variant>
        <vt:i4>0</vt:i4>
      </vt:variant>
      <vt:variant>
        <vt:i4>5</vt:i4>
      </vt:variant>
      <vt:variant>
        <vt:lpwstr/>
      </vt:variant>
      <vt:variant>
        <vt:lpwstr>_5.15.1.6__Save</vt:lpwstr>
      </vt:variant>
      <vt:variant>
        <vt:i4>5963885</vt:i4>
      </vt:variant>
      <vt:variant>
        <vt:i4>4044</vt:i4>
      </vt:variant>
      <vt:variant>
        <vt:i4>0</vt:i4>
      </vt:variant>
      <vt:variant>
        <vt:i4>5</vt:i4>
      </vt:variant>
      <vt:variant>
        <vt:lpwstr/>
      </vt:variant>
      <vt:variant>
        <vt:lpwstr>_5.17__DTD</vt:lpwstr>
      </vt:variant>
      <vt:variant>
        <vt:i4>6160510</vt:i4>
      </vt:variant>
      <vt:variant>
        <vt:i4>4041</vt:i4>
      </vt:variant>
      <vt:variant>
        <vt:i4>0</vt:i4>
      </vt:variant>
      <vt:variant>
        <vt:i4>5</vt:i4>
      </vt:variant>
      <vt:variant>
        <vt:lpwstr/>
      </vt:variant>
      <vt:variant>
        <vt:lpwstr>_5.15.1.3.1.2__Add</vt:lpwstr>
      </vt:variant>
      <vt:variant>
        <vt:i4>6160510</vt:i4>
      </vt:variant>
      <vt:variant>
        <vt:i4>4038</vt:i4>
      </vt:variant>
      <vt:variant>
        <vt:i4>0</vt:i4>
      </vt:variant>
      <vt:variant>
        <vt:i4>5</vt:i4>
      </vt:variant>
      <vt:variant>
        <vt:lpwstr/>
      </vt:variant>
      <vt:variant>
        <vt:lpwstr>_5.15.1.3.1.2__Add</vt:lpwstr>
      </vt:variant>
      <vt:variant>
        <vt:i4>3080274</vt:i4>
      </vt:variant>
      <vt:variant>
        <vt:i4>4035</vt:i4>
      </vt:variant>
      <vt:variant>
        <vt:i4>0</vt:i4>
      </vt:variant>
      <vt:variant>
        <vt:i4>5</vt:i4>
      </vt:variant>
      <vt:variant>
        <vt:lpwstr/>
      </vt:variant>
      <vt:variant>
        <vt:lpwstr>_5.2.2.1__Select</vt:lpwstr>
      </vt:variant>
      <vt:variant>
        <vt:i4>7602177</vt:i4>
      </vt:variant>
      <vt:variant>
        <vt:i4>4032</vt:i4>
      </vt:variant>
      <vt:variant>
        <vt:i4>0</vt:i4>
      </vt:variant>
      <vt:variant>
        <vt:i4>5</vt:i4>
      </vt:variant>
      <vt:variant>
        <vt:lpwstr/>
      </vt:variant>
      <vt:variant>
        <vt:lpwstr>_5.2.3.5.1__Sort</vt:lpwstr>
      </vt:variant>
      <vt:variant>
        <vt:i4>327706</vt:i4>
      </vt:variant>
      <vt:variant>
        <vt:i4>4029</vt:i4>
      </vt:variant>
      <vt:variant>
        <vt:i4>0</vt:i4>
      </vt:variant>
      <vt:variant>
        <vt:i4>5</vt:i4>
      </vt:variant>
      <vt:variant>
        <vt:lpwstr/>
      </vt:variant>
      <vt:variant>
        <vt:lpwstr>_5.2.3.5__Properties_1</vt:lpwstr>
      </vt:variant>
      <vt:variant>
        <vt:i4>5308454</vt:i4>
      </vt:variant>
      <vt:variant>
        <vt:i4>4026</vt:i4>
      </vt:variant>
      <vt:variant>
        <vt:i4>0</vt:i4>
      </vt:variant>
      <vt:variant>
        <vt:i4>5</vt:i4>
      </vt:variant>
      <vt:variant>
        <vt:lpwstr/>
      </vt:variant>
      <vt:variant>
        <vt:lpwstr>_5.2.5.1__Find</vt:lpwstr>
      </vt:variant>
      <vt:variant>
        <vt:i4>2818134</vt:i4>
      </vt:variant>
      <vt:variant>
        <vt:i4>4023</vt:i4>
      </vt:variant>
      <vt:variant>
        <vt:i4>0</vt:i4>
      </vt:variant>
      <vt:variant>
        <vt:i4>5</vt:i4>
      </vt:variant>
      <vt:variant>
        <vt:lpwstr/>
      </vt:variant>
      <vt:variant>
        <vt:lpwstr>_5.2.1.4__Receive</vt:lpwstr>
      </vt:variant>
      <vt:variant>
        <vt:i4>1179771</vt:i4>
      </vt:variant>
      <vt:variant>
        <vt:i4>4020</vt:i4>
      </vt:variant>
      <vt:variant>
        <vt:i4>0</vt:i4>
      </vt:variant>
      <vt:variant>
        <vt:i4>5</vt:i4>
      </vt:variant>
      <vt:variant>
        <vt:lpwstr/>
      </vt:variant>
      <vt:variant>
        <vt:lpwstr>_5.2.1.2.1__Display</vt:lpwstr>
      </vt:variant>
      <vt:variant>
        <vt:i4>7405593</vt:i4>
      </vt:variant>
      <vt:variant>
        <vt:i4>4017</vt:i4>
      </vt:variant>
      <vt:variant>
        <vt:i4>0</vt:i4>
      </vt:variant>
      <vt:variant>
        <vt:i4>5</vt:i4>
      </vt:variant>
      <vt:variant>
        <vt:lpwstr/>
      </vt:variant>
      <vt:variant>
        <vt:lpwstr>_5.2.1.5.1__Print</vt:lpwstr>
      </vt:variant>
      <vt:variant>
        <vt:i4>4194359</vt:i4>
      </vt:variant>
      <vt:variant>
        <vt:i4>4014</vt:i4>
      </vt:variant>
      <vt:variant>
        <vt:i4>0</vt:i4>
      </vt:variant>
      <vt:variant>
        <vt:i4>5</vt:i4>
      </vt:variant>
      <vt:variant>
        <vt:lpwstr/>
      </vt:variant>
      <vt:variant>
        <vt:lpwstr>_5.2.1.5__Print</vt:lpwstr>
      </vt:variant>
      <vt:variant>
        <vt:i4>6029363</vt:i4>
      </vt:variant>
      <vt:variant>
        <vt:i4>4011</vt:i4>
      </vt:variant>
      <vt:variant>
        <vt:i4>0</vt:i4>
      </vt:variant>
      <vt:variant>
        <vt:i4>5</vt:i4>
      </vt:variant>
      <vt:variant>
        <vt:lpwstr/>
      </vt:variant>
      <vt:variant>
        <vt:lpwstr>_5.2.1.4__Send</vt:lpwstr>
      </vt:variant>
      <vt:variant>
        <vt:i4>1114235</vt:i4>
      </vt:variant>
      <vt:variant>
        <vt:i4>4008</vt:i4>
      </vt:variant>
      <vt:variant>
        <vt:i4>0</vt:i4>
      </vt:variant>
      <vt:variant>
        <vt:i4>5</vt:i4>
      </vt:variant>
      <vt:variant>
        <vt:lpwstr/>
      </vt:variant>
      <vt:variant>
        <vt:lpwstr>_5.2.1.2.2__Display</vt:lpwstr>
      </vt:variant>
      <vt:variant>
        <vt:i4>6422602</vt:i4>
      </vt:variant>
      <vt:variant>
        <vt:i4>4005</vt:i4>
      </vt:variant>
      <vt:variant>
        <vt:i4>0</vt:i4>
      </vt:variant>
      <vt:variant>
        <vt:i4>5</vt:i4>
      </vt:variant>
      <vt:variant>
        <vt:lpwstr/>
      </vt:variant>
      <vt:variant>
        <vt:lpwstr>_5.14.1.1.7__Commitments</vt:lpwstr>
      </vt:variant>
      <vt:variant>
        <vt:i4>1966125</vt:i4>
      </vt:variant>
      <vt:variant>
        <vt:i4>4002</vt:i4>
      </vt:variant>
      <vt:variant>
        <vt:i4>0</vt:i4>
      </vt:variant>
      <vt:variant>
        <vt:i4>5</vt:i4>
      </vt:variant>
      <vt:variant>
        <vt:lpwstr/>
      </vt:variant>
      <vt:variant>
        <vt:lpwstr>_5.14.1.1.6__Positions</vt:lpwstr>
      </vt:variant>
      <vt:variant>
        <vt:i4>3735585</vt:i4>
      </vt:variant>
      <vt:variant>
        <vt:i4>3999</vt:i4>
      </vt:variant>
      <vt:variant>
        <vt:i4>0</vt:i4>
      </vt:variant>
      <vt:variant>
        <vt:i4>5</vt:i4>
      </vt:variant>
      <vt:variant>
        <vt:lpwstr/>
      </vt:variant>
      <vt:variant>
        <vt:lpwstr>_5.15__NODES_TOOL</vt:lpwstr>
      </vt:variant>
      <vt:variant>
        <vt:i4>7143469</vt:i4>
      </vt:variant>
      <vt:variant>
        <vt:i4>3996</vt:i4>
      </vt:variant>
      <vt:variant>
        <vt:i4>0</vt:i4>
      </vt:variant>
      <vt:variant>
        <vt:i4>5</vt:i4>
      </vt:variant>
      <vt:variant>
        <vt:lpwstr/>
      </vt:variant>
      <vt:variant>
        <vt:lpwstr>_4.4.3__Platform_Information</vt:lpwstr>
      </vt:variant>
      <vt:variant>
        <vt:i4>7602177</vt:i4>
      </vt:variant>
      <vt:variant>
        <vt:i4>3993</vt:i4>
      </vt:variant>
      <vt:variant>
        <vt:i4>0</vt:i4>
      </vt:variant>
      <vt:variant>
        <vt:i4>5</vt:i4>
      </vt:variant>
      <vt:variant>
        <vt:lpwstr/>
      </vt:variant>
      <vt:variant>
        <vt:lpwstr>_5.2.3.5.1__Sort</vt:lpwstr>
      </vt:variant>
      <vt:variant>
        <vt:i4>327706</vt:i4>
      </vt:variant>
      <vt:variant>
        <vt:i4>3990</vt:i4>
      </vt:variant>
      <vt:variant>
        <vt:i4>0</vt:i4>
      </vt:variant>
      <vt:variant>
        <vt:i4>5</vt:i4>
      </vt:variant>
      <vt:variant>
        <vt:lpwstr/>
      </vt:variant>
      <vt:variant>
        <vt:lpwstr>_5.2.3.5__Properties_1</vt:lpwstr>
      </vt:variant>
      <vt:variant>
        <vt:i4>2228321</vt:i4>
      </vt:variant>
      <vt:variant>
        <vt:i4>3987</vt:i4>
      </vt:variant>
      <vt:variant>
        <vt:i4>0</vt:i4>
      </vt:variant>
      <vt:variant>
        <vt:i4>5</vt:i4>
      </vt:variant>
      <vt:variant>
        <vt:lpwstr/>
      </vt:variant>
      <vt:variant>
        <vt:lpwstr>_5.2.2.1__Select_All</vt:lpwstr>
      </vt:variant>
      <vt:variant>
        <vt:i4>3801199</vt:i4>
      </vt:variant>
      <vt:variant>
        <vt:i4>3984</vt:i4>
      </vt:variant>
      <vt:variant>
        <vt:i4>0</vt:i4>
      </vt:variant>
      <vt:variant>
        <vt:i4>5</vt:i4>
      </vt:variant>
      <vt:variant>
        <vt:lpwstr/>
      </vt:variant>
      <vt:variant>
        <vt:lpwstr>_5.2.1.2.3__Display_References</vt:lpwstr>
      </vt:variant>
      <vt:variant>
        <vt:i4>4784214</vt:i4>
      </vt:variant>
      <vt:variant>
        <vt:i4>3981</vt:i4>
      </vt:variant>
      <vt:variant>
        <vt:i4>0</vt:i4>
      </vt:variant>
      <vt:variant>
        <vt:i4>5</vt:i4>
      </vt:variant>
      <vt:variant>
        <vt:lpwstr/>
      </vt:variant>
      <vt:variant>
        <vt:lpwstr>_5.2.1.2.1__Display_in Excel</vt:lpwstr>
      </vt:variant>
      <vt:variant>
        <vt:i4>4194359</vt:i4>
      </vt:variant>
      <vt:variant>
        <vt:i4>3978</vt:i4>
      </vt:variant>
      <vt:variant>
        <vt:i4>0</vt:i4>
      </vt:variant>
      <vt:variant>
        <vt:i4>5</vt:i4>
      </vt:variant>
      <vt:variant>
        <vt:lpwstr/>
      </vt:variant>
      <vt:variant>
        <vt:lpwstr>_5.2.1.5__Print</vt:lpwstr>
      </vt:variant>
      <vt:variant>
        <vt:i4>2424928</vt:i4>
      </vt:variant>
      <vt:variant>
        <vt:i4>3975</vt:i4>
      </vt:variant>
      <vt:variant>
        <vt:i4>0</vt:i4>
      </vt:variant>
      <vt:variant>
        <vt:i4>5</vt:i4>
      </vt:variant>
      <vt:variant>
        <vt:lpwstr/>
      </vt:variant>
      <vt:variant>
        <vt:lpwstr>_5.2.5.1__Find_Option</vt:lpwstr>
      </vt:variant>
      <vt:variant>
        <vt:i4>8126510</vt:i4>
      </vt:variant>
      <vt:variant>
        <vt:i4>3972</vt:i4>
      </vt:variant>
      <vt:variant>
        <vt:i4>0</vt:i4>
      </vt:variant>
      <vt:variant>
        <vt:i4>5</vt:i4>
      </vt:variant>
      <vt:variant>
        <vt:lpwstr/>
      </vt:variant>
      <vt:variant>
        <vt:lpwstr>_5.2.1.7_Bookshelf</vt:lpwstr>
      </vt:variant>
      <vt:variant>
        <vt:i4>7602177</vt:i4>
      </vt:variant>
      <vt:variant>
        <vt:i4>3969</vt:i4>
      </vt:variant>
      <vt:variant>
        <vt:i4>0</vt:i4>
      </vt:variant>
      <vt:variant>
        <vt:i4>5</vt:i4>
      </vt:variant>
      <vt:variant>
        <vt:lpwstr/>
      </vt:variant>
      <vt:variant>
        <vt:lpwstr>_5.2.3.5.1__Sort</vt:lpwstr>
      </vt:variant>
      <vt:variant>
        <vt:i4>327706</vt:i4>
      </vt:variant>
      <vt:variant>
        <vt:i4>3966</vt:i4>
      </vt:variant>
      <vt:variant>
        <vt:i4>0</vt:i4>
      </vt:variant>
      <vt:variant>
        <vt:i4>5</vt:i4>
      </vt:variant>
      <vt:variant>
        <vt:lpwstr/>
      </vt:variant>
      <vt:variant>
        <vt:lpwstr>_5.2.3.5__Properties_1</vt:lpwstr>
      </vt:variant>
      <vt:variant>
        <vt:i4>589837</vt:i4>
      </vt:variant>
      <vt:variant>
        <vt:i4>3963</vt:i4>
      </vt:variant>
      <vt:variant>
        <vt:i4>0</vt:i4>
      </vt:variant>
      <vt:variant>
        <vt:i4>5</vt:i4>
      </vt:variant>
      <vt:variant>
        <vt:lpwstr/>
      </vt:variant>
      <vt:variant>
        <vt:lpwstr>_5.2.1.4__Delete_1</vt:lpwstr>
      </vt:variant>
      <vt:variant>
        <vt:i4>2228321</vt:i4>
      </vt:variant>
      <vt:variant>
        <vt:i4>3960</vt:i4>
      </vt:variant>
      <vt:variant>
        <vt:i4>0</vt:i4>
      </vt:variant>
      <vt:variant>
        <vt:i4>5</vt:i4>
      </vt:variant>
      <vt:variant>
        <vt:lpwstr/>
      </vt:variant>
      <vt:variant>
        <vt:lpwstr>_5.2.2.1__Select_All</vt:lpwstr>
      </vt:variant>
      <vt:variant>
        <vt:i4>3801199</vt:i4>
      </vt:variant>
      <vt:variant>
        <vt:i4>3957</vt:i4>
      </vt:variant>
      <vt:variant>
        <vt:i4>0</vt:i4>
      </vt:variant>
      <vt:variant>
        <vt:i4>5</vt:i4>
      </vt:variant>
      <vt:variant>
        <vt:lpwstr/>
      </vt:variant>
      <vt:variant>
        <vt:lpwstr>_5.2.1.2.3__Display_References</vt:lpwstr>
      </vt:variant>
      <vt:variant>
        <vt:i4>4784214</vt:i4>
      </vt:variant>
      <vt:variant>
        <vt:i4>3954</vt:i4>
      </vt:variant>
      <vt:variant>
        <vt:i4>0</vt:i4>
      </vt:variant>
      <vt:variant>
        <vt:i4>5</vt:i4>
      </vt:variant>
      <vt:variant>
        <vt:lpwstr/>
      </vt:variant>
      <vt:variant>
        <vt:lpwstr>_5.2.1.2.1__Display_in Excel</vt:lpwstr>
      </vt:variant>
      <vt:variant>
        <vt:i4>4194359</vt:i4>
      </vt:variant>
      <vt:variant>
        <vt:i4>3951</vt:i4>
      </vt:variant>
      <vt:variant>
        <vt:i4>0</vt:i4>
      </vt:variant>
      <vt:variant>
        <vt:i4>5</vt:i4>
      </vt:variant>
      <vt:variant>
        <vt:lpwstr/>
      </vt:variant>
      <vt:variant>
        <vt:lpwstr>_5.2.1.5__Print</vt:lpwstr>
      </vt:variant>
      <vt:variant>
        <vt:i4>2424928</vt:i4>
      </vt:variant>
      <vt:variant>
        <vt:i4>3948</vt:i4>
      </vt:variant>
      <vt:variant>
        <vt:i4>0</vt:i4>
      </vt:variant>
      <vt:variant>
        <vt:i4>5</vt:i4>
      </vt:variant>
      <vt:variant>
        <vt:lpwstr/>
      </vt:variant>
      <vt:variant>
        <vt:lpwstr>_5.2.5.1__Find_Option</vt:lpwstr>
      </vt:variant>
      <vt:variant>
        <vt:i4>8126510</vt:i4>
      </vt:variant>
      <vt:variant>
        <vt:i4>3945</vt:i4>
      </vt:variant>
      <vt:variant>
        <vt:i4>0</vt:i4>
      </vt:variant>
      <vt:variant>
        <vt:i4>5</vt:i4>
      </vt:variant>
      <vt:variant>
        <vt:lpwstr/>
      </vt:variant>
      <vt:variant>
        <vt:lpwstr>_5.2.1.7_Bookshelf</vt:lpwstr>
      </vt:variant>
      <vt:variant>
        <vt:i4>1441854</vt:i4>
      </vt:variant>
      <vt:variant>
        <vt:i4>3942</vt:i4>
      </vt:variant>
      <vt:variant>
        <vt:i4>0</vt:i4>
      </vt:variant>
      <vt:variant>
        <vt:i4>5</vt:i4>
      </vt:variant>
      <vt:variant>
        <vt:lpwstr/>
      </vt:variant>
      <vt:variant>
        <vt:lpwstr>_Appendix_H_</vt:lpwstr>
      </vt:variant>
      <vt:variant>
        <vt:i4>1441854</vt:i4>
      </vt:variant>
      <vt:variant>
        <vt:i4>3939</vt:i4>
      </vt:variant>
      <vt:variant>
        <vt:i4>0</vt:i4>
      </vt:variant>
      <vt:variant>
        <vt:i4>5</vt:i4>
      </vt:variant>
      <vt:variant>
        <vt:lpwstr/>
      </vt:variant>
      <vt:variant>
        <vt:lpwstr>_Appendix_H_</vt:lpwstr>
      </vt:variant>
      <vt:variant>
        <vt:i4>3014673</vt:i4>
      </vt:variant>
      <vt:variant>
        <vt:i4>3936</vt:i4>
      </vt:variant>
      <vt:variant>
        <vt:i4>0</vt:i4>
      </vt:variant>
      <vt:variant>
        <vt:i4>5</vt:i4>
      </vt:variant>
      <vt:variant>
        <vt:lpwstr/>
      </vt:variant>
      <vt:variant>
        <vt:lpwstr>_5.13__LIBRARIES</vt:lpwstr>
      </vt:variant>
      <vt:variant>
        <vt:i4>7602177</vt:i4>
      </vt:variant>
      <vt:variant>
        <vt:i4>3933</vt:i4>
      </vt:variant>
      <vt:variant>
        <vt:i4>0</vt:i4>
      </vt:variant>
      <vt:variant>
        <vt:i4>5</vt:i4>
      </vt:variant>
      <vt:variant>
        <vt:lpwstr/>
      </vt:variant>
      <vt:variant>
        <vt:lpwstr>_5.2.3.5.1__Sort</vt:lpwstr>
      </vt:variant>
      <vt:variant>
        <vt:i4>327706</vt:i4>
      </vt:variant>
      <vt:variant>
        <vt:i4>3930</vt:i4>
      </vt:variant>
      <vt:variant>
        <vt:i4>0</vt:i4>
      </vt:variant>
      <vt:variant>
        <vt:i4>5</vt:i4>
      </vt:variant>
      <vt:variant>
        <vt:lpwstr/>
      </vt:variant>
      <vt:variant>
        <vt:lpwstr>_5.2.3.5__Properties_1</vt:lpwstr>
      </vt:variant>
      <vt:variant>
        <vt:i4>2228321</vt:i4>
      </vt:variant>
      <vt:variant>
        <vt:i4>3927</vt:i4>
      </vt:variant>
      <vt:variant>
        <vt:i4>0</vt:i4>
      </vt:variant>
      <vt:variant>
        <vt:i4>5</vt:i4>
      </vt:variant>
      <vt:variant>
        <vt:lpwstr/>
      </vt:variant>
      <vt:variant>
        <vt:lpwstr>_5.2.2.1__Select_All</vt:lpwstr>
      </vt:variant>
      <vt:variant>
        <vt:i4>4784214</vt:i4>
      </vt:variant>
      <vt:variant>
        <vt:i4>3924</vt:i4>
      </vt:variant>
      <vt:variant>
        <vt:i4>0</vt:i4>
      </vt:variant>
      <vt:variant>
        <vt:i4>5</vt:i4>
      </vt:variant>
      <vt:variant>
        <vt:lpwstr/>
      </vt:variant>
      <vt:variant>
        <vt:lpwstr>_5.2.1.2.1__Display_in Excel</vt:lpwstr>
      </vt:variant>
      <vt:variant>
        <vt:i4>4194359</vt:i4>
      </vt:variant>
      <vt:variant>
        <vt:i4>3921</vt:i4>
      </vt:variant>
      <vt:variant>
        <vt:i4>0</vt:i4>
      </vt:variant>
      <vt:variant>
        <vt:i4>5</vt:i4>
      </vt:variant>
      <vt:variant>
        <vt:lpwstr/>
      </vt:variant>
      <vt:variant>
        <vt:lpwstr>_5.2.1.5__Print</vt:lpwstr>
      </vt:variant>
      <vt:variant>
        <vt:i4>2424928</vt:i4>
      </vt:variant>
      <vt:variant>
        <vt:i4>3918</vt:i4>
      </vt:variant>
      <vt:variant>
        <vt:i4>0</vt:i4>
      </vt:variant>
      <vt:variant>
        <vt:i4>5</vt:i4>
      </vt:variant>
      <vt:variant>
        <vt:lpwstr/>
      </vt:variant>
      <vt:variant>
        <vt:lpwstr>_5.2.5.1__Find_Option</vt:lpwstr>
      </vt:variant>
      <vt:variant>
        <vt:i4>7602177</vt:i4>
      </vt:variant>
      <vt:variant>
        <vt:i4>3915</vt:i4>
      </vt:variant>
      <vt:variant>
        <vt:i4>0</vt:i4>
      </vt:variant>
      <vt:variant>
        <vt:i4>5</vt:i4>
      </vt:variant>
      <vt:variant>
        <vt:lpwstr/>
      </vt:variant>
      <vt:variant>
        <vt:lpwstr>_5.2.3.5.1__Sort</vt:lpwstr>
      </vt:variant>
      <vt:variant>
        <vt:i4>327706</vt:i4>
      </vt:variant>
      <vt:variant>
        <vt:i4>3912</vt:i4>
      </vt:variant>
      <vt:variant>
        <vt:i4>0</vt:i4>
      </vt:variant>
      <vt:variant>
        <vt:i4>5</vt:i4>
      </vt:variant>
      <vt:variant>
        <vt:lpwstr/>
      </vt:variant>
      <vt:variant>
        <vt:lpwstr>_5.2.3.5__Properties_1</vt:lpwstr>
      </vt:variant>
      <vt:variant>
        <vt:i4>589837</vt:i4>
      </vt:variant>
      <vt:variant>
        <vt:i4>3909</vt:i4>
      </vt:variant>
      <vt:variant>
        <vt:i4>0</vt:i4>
      </vt:variant>
      <vt:variant>
        <vt:i4>5</vt:i4>
      </vt:variant>
      <vt:variant>
        <vt:lpwstr/>
      </vt:variant>
      <vt:variant>
        <vt:lpwstr>_5.2.1.4__Delete_1</vt:lpwstr>
      </vt:variant>
      <vt:variant>
        <vt:i4>2228321</vt:i4>
      </vt:variant>
      <vt:variant>
        <vt:i4>3906</vt:i4>
      </vt:variant>
      <vt:variant>
        <vt:i4>0</vt:i4>
      </vt:variant>
      <vt:variant>
        <vt:i4>5</vt:i4>
      </vt:variant>
      <vt:variant>
        <vt:lpwstr/>
      </vt:variant>
      <vt:variant>
        <vt:lpwstr>_5.2.2.1__Select_All</vt:lpwstr>
      </vt:variant>
      <vt:variant>
        <vt:i4>4784214</vt:i4>
      </vt:variant>
      <vt:variant>
        <vt:i4>3903</vt:i4>
      </vt:variant>
      <vt:variant>
        <vt:i4>0</vt:i4>
      </vt:variant>
      <vt:variant>
        <vt:i4>5</vt:i4>
      </vt:variant>
      <vt:variant>
        <vt:lpwstr/>
      </vt:variant>
      <vt:variant>
        <vt:lpwstr>_5.2.1.2.1__Display_in Excel</vt:lpwstr>
      </vt:variant>
      <vt:variant>
        <vt:i4>4194359</vt:i4>
      </vt:variant>
      <vt:variant>
        <vt:i4>3900</vt:i4>
      </vt:variant>
      <vt:variant>
        <vt:i4>0</vt:i4>
      </vt:variant>
      <vt:variant>
        <vt:i4>5</vt:i4>
      </vt:variant>
      <vt:variant>
        <vt:lpwstr/>
      </vt:variant>
      <vt:variant>
        <vt:lpwstr>_5.2.1.5__Print</vt:lpwstr>
      </vt:variant>
      <vt:variant>
        <vt:i4>2424928</vt:i4>
      </vt:variant>
      <vt:variant>
        <vt:i4>3897</vt:i4>
      </vt:variant>
      <vt:variant>
        <vt:i4>0</vt:i4>
      </vt:variant>
      <vt:variant>
        <vt:i4>5</vt:i4>
      </vt:variant>
      <vt:variant>
        <vt:lpwstr/>
      </vt:variant>
      <vt:variant>
        <vt:lpwstr>_5.2.5.1__Find_Option</vt:lpwstr>
      </vt:variant>
      <vt:variant>
        <vt:i4>3932185</vt:i4>
      </vt:variant>
      <vt:variant>
        <vt:i4>3894</vt:i4>
      </vt:variant>
      <vt:variant>
        <vt:i4>0</vt:i4>
      </vt:variant>
      <vt:variant>
        <vt:i4>5</vt:i4>
      </vt:variant>
      <vt:variant>
        <vt:lpwstr/>
      </vt:variant>
      <vt:variant>
        <vt:lpwstr>_5.46__Sound_</vt:lpwstr>
      </vt:variant>
      <vt:variant>
        <vt:i4>2228321</vt:i4>
      </vt:variant>
      <vt:variant>
        <vt:i4>3891</vt:i4>
      </vt:variant>
      <vt:variant>
        <vt:i4>0</vt:i4>
      </vt:variant>
      <vt:variant>
        <vt:i4>5</vt:i4>
      </vt:variant>
      <vt:variant>
        <vt:lpwstr/>
      </vt:variant>
      <vt:variant>
        <vt:lpwstr>_5.2.2.1__Select_All</vt:lpwstr>
      </vt:variant>
      <vt:variant>
        <vt:i4>4784214</vt:i4>
      </vt:variant>
      <vt:variant>
        <vt:i4>3888</vt:i4>
      </vt:variant>
      <vt:variant>
        <vt:i4>0</vt:i4>
      </vt:variant>
      <vt:variant>
        <vt:i4>5</vt:i4>
      </vt:variant>
      <vt:variant>
        <vt:lpwstr/>
      </vt:variant>
      <vt:variant>
        <vt:lpwstr>_5.2.1.2.1__Display_in Excel</vt:lpwstr>
      </vt:variant>
      <vt:variant>
        <vt:i4>7602177</vt:i4>
      </vt:variant>
      <vt:variant>
        <vt:i4>3885</vt:i4>
      </vt:variant>
      <vt:variant>
        <vt:i4>0</vt:i4>
      </vt:variant>
      <vt:variant>
        <vt:i4>5</vt:i4>
      </vt:variant>
      <vt:variant>
        <vt:lpwstr/>
      </vt:variant>
      <vt:variant>
        <vt:lpwstr>_5.2.3.5.1__Sort</vt:lpwstr>
      </vt:variant>
      <vt:variant>
        <vt:i4>327706</vt:i4>
      </vt:variant>
      <vt:variant>
        <vt:i4>3882</vt:i4>
      </vt:variant>
      <vt:variant>
        <vt:i4>0</vt:i4>
      </vt:variant>
      <vt:variant>
        <vt:i4>5</vt:i4>
      </vt:variant>
      <vt:variant>
        <vt:lpwstr/>
      </vt:variant>
      <vt:variant>
        <vt:lpwstr>_5.2.3.5__Properties_1</vt:lpwstr>
      </vt:variant>
      <vt:variant>
        <vt:i4>4194359</vt:i4>
      </vt:variant>
      <vt:variant>
        <vt:i4>3879</vt:i4>
      </vt:variant>
      <vt:variant>
        <vt:i4>0</vt:i4>
      </vt:variant>
      <vt:variant>
        <vt:i4>5</vt:i4>
      </vt:variant>
      <vt:variant>
        <vt:lpwstr/>
      </vt:variant>
      <vt:variant>
        <vt:lpwstr>_5.2.1.5__Print</vt:lpwstr>
      </vt:variant>
      <vt:variant>
        <vt:i4>2424928</vt:i4>
      </vt:variant>
      <vt:variant>
        <vt:i4>3876</vt:i4>
      </vt:variant>
      <vt:variant>
        <vt:i4>0</vt:i4>
      </vt:variant>
      <vt:variant>
        <vt:i4>5</vt:i4>
      </vt:variant>
      <vt:variant>
        <vt:lpwstr/>
      </vt:variant>
      <vt:variant>
        <vt:lpwstr>_5.2.5.1__Find_Option</vt:lpwstr>
      </vt:variant>
      <vt:variant>
        <vt:i4>589837</vt:i4>
      </vt:variant>
      <vt:variant>
        <vt:i4>3873</vt:i4>
      </vt:variant>
      <vt:variant>
        <vt:i4>0</vt:i4>
      </vt:variant>
      <vt:variant>
        <vt:i4>5</vt:i4>
      </vt:variant>
      <vt:variant>
        <vt:lpwstr/>
      </vt:variant>
      <vt:variant>
        <vt:lpwstr>_5.2.1.4__Delete_1</vt:lpwstr>
      </vt:variant>
      <vt:variant>
        <vt:i4>2818134</vt:i4>
      </vt:variant>
      <vt:variant>
        <vt:i4>3870</vt:i4>
      </vt:variant>
      <vt:variant>
        <vt:i4>0</vt:i4>
      </vt:variant>
      <vt:variant>
        <vt:i4>5</vt:i4>
      </vt:variant>
      <vt:variant>
        <vt:lpwstr/>
      </vt:variant>
      <vt:variant>
        <vt:lpwstr>_5.2.1.4__Receive</vt:lpwstr>
      </vt:variant>
      <vt:variant>
        <vt:i4>4325468</vt:i4>
      </vt:variant>
      <vt:variant>
        <vt:i4>3867</vt:i4>
      </vt:variant>
      <vt:variant>
        <vt:i4>0</vt:i4>
      </vt:variant>
      <vt:variant>
        <vt:i4>5</vt:i4>
      </vt:variant>
      <vt:variant>
        <vt:lpwstr/>
      </vt:variant>
      <vt:variant>
        <vt:lpwstr>_5.6.7__Change_Mission(s) State</vt:lpwstr>
      </vt:variant>
      <vt:variant>
        <vt:i4>3801193</vt:i4>
      </vt:variant>
      <vt:variant>
        <vt:i4>3864</vt:i4>
      </vt:variant>
      <vt:variant>
        <vt:i4>0</vt:i4>
      </vt:variant>
      <vt:variant>
        <vt:i4>5</vt:i4>
      </vt:variant>
      <vt:variant>
        <vt:lpwstr/>
      </vt:variant>
      <vt:variant>
        <vt:lpwstr>_5.9.5__Receive_TUM</vt:lpwstr>
      </vt:variant>
      <vt:variant>
        <vt:i4>8126510</vt:i4>
      </vt:variant>
      <vt:variant>
        <vt:i4>3861</vt:i4>
      </vt:variant>
      <vt:variant>
        <vt:i4>0</vt:i4>
      </vt:variant>
      <vt:variant>
        <vt:i4>5</vt:i4>
      </vt:variant>
      <vt:variant>
        <vt:lpwstr/>
      </vt:variant>
      <vt:variant>
        <vt:lpwstr>_5.2.1.7_Bookshelf</vt:lpwstr>
      </vt:variant>
      <vt:variant>
        <vt:i4>2031684</vt:i4>
      </vt:variant>
      <vt:variant>
        <vt:i4>3858</vt:i4>
      </vt:variant>
      <vt:variant>
        <vt:i4>0</vt:i4>
      </vt:variant>
      <vt:variant>
        <vt:i4>5</vt:i4>
      </vt:variant>
      <vt:variant>
        <vt:lpwstr/>
      </vt:variant>
      <vt:variant>
        <vt:lpwstr>_5.2.8__Edit_Classification</vt:lpwstr>
      </vt:variant>
      <vt:variant>
        <vt:i4>2228321</vt:i4>
      </vt:variant>
      <vt:variant>
        <vt:i4>3855</vt:i4>
      </vt:variant>
      <vt:variant>
        <vt:i4>0</vt:i4>
      </vt:variant>
      <vt:variant>
        <vt:i4>5</vt:i4>
      </vt:variant>
      <vt:variant>
        <vt:lpwstr/>
      </vt:variant>
      <vt:variant>
        <vt:lpwstr>_5.2.2.1__Select_All</vt:lpwstr>
      </vt:variant>
      <vt:variant>
        <vt:i4>4784214</vt:i4>
      </vt:variant>
      <vt:variant>
        <vt:i4>3852</vt:i4>
      </vt:variant>
      <vt:variant>
        <vt:i4>0</vt:i4>
      </vt:variant>
      <vt:variant>
        <vt:i4>5</vt:i4>
      </vt:variant>
      <vt:variant>
        <vt:lpwstr/>
      </vt:variant>
      <vt:variant>
        <vt:lpwstr>_5.2.1.2.1__Display_in Excel</vt:lpwstr>
      </vt:variant>
      <vt:variant>
        <vt:i4>4194359</vt:i4>
      </vt:variant>
      <vt:variant>
        <vt:i4>3849</vt:i4>
      </vt:variant>
      <vt:variant>
        <vt:i4>0</vt:i4>
      </vt:variant>
      <vt:variant>
        <vt:i4>5</vt:i4>
      </vt:variant>
      <vt:variant>
        <vt:lpwstr/>
      </vt:variant>
      <vt:variant>
        <vt:lpwstr>_5.2.1.5__Print</vt:lpwstr>
      </vt:variant>
      <vt:variant>
        <vt:i4>7602177</vt:i4>
      </vt:variant>
      <vt:variant>
        <vt:i4>3846</vt:i4>
      </vt:variant>
      <vt:variant>
        <vt:i4>0</vt:i4>
      </vt:variant>
      <vt:variant>
        <vt:i4>5</vt:i4>
      </vt:variant>
      <vt:variant>
        <vt:lpwstr/>
      </vt:variant>
      <vt:variant>
        <vt:lpwstr>_5.2.3.5.1__Sort</vt:lpwstr>
      </vt:variant>
      <vt:variant>
        <vt:i4>327706</vt:i4>
      </vt:variant>
      <vt:variant>
        <vt:i4>3843</vt:i4>
      </vt:variant>
      <vt:variant>
        <vt:i4>0</vt:i4>
      </vt:variant>
      <vt:variant>
        <vt:i4>5</vt:i4>
      </vt:variant>
      <vt:variant>
        <vt:lpwstr/>
      </vt:variant>
      <vt:variant>
        <vt:lpwstr>_5.2.3.5__Properties_1</vt:lpwstr>
      </vt:variant>
      <vt:variant>
        <vt:i4>2424928</vt:i4>
      </vt:variant>
      <vt:variant>
        <vt:i4>3840</vt:i4>
      </vt:variant>
      <vt:variant>
        <vt:i4>0</vt:i4>
      </vt:variant>
      <vt:variant>
        <vt:i4>5</vt:i4>
      </vt:variant>
      <vt:variant>
        <vt:lpwstr/>
      </vt:variant>
      <vt:variant>
        <vt:lpwstr>_5.2.5.1__Find_Option</vt:lpwstr>
      </vt:variant>
      <vt:variant>
        <vt:i4>3801199</vt:i4>
      </vt:variant>
      <vt:variant>
        <vt:i4>3837</vt:i4>
      </vt:variant>
      <vt:variant>
        <vt:i4>0</vt:i4>
      </vt:variant>
      <vt:variant>
        <vt:i4>5</vt:i4>
      </vt:variant>
      <vt:variant>
        <vt:lpwstr/>
      </vt:variant>
      <vt:variant>
        <vt:lpwstr>_5.2.1.2.3__Display_References</vt:lpwstr>
      </vt:variant>
      <vt:variant>
        <vt:i4>3801211</vt:i4>
      </vt:variant>
      <vt:variant>
        <vt:i4>3834</vt:i4>
      </vt:variant>
      <vt:variant>
        <vt:i4>0</vt:i4>
      </vt:variant>
      <vt:variant>
        <vt:i4>5</vt:i4>
      </vt:variant>
      <vt:variant>
        <vt:lpwstr/>
      </vt:variant>
      <vt:variant>
        <vt:lpwstr>_5.20__DDO_TEMPLATES TOOL</vt:lpwstr>
      </vt:variant>
      <vt:variant>
        <vt:i4>589837</vt:i4>
      </vt:variant>
      <vt:variant>
        <vt:i4>3831</vt:i4>
      </vt:variant>
      <vt:variant>
        <vt:i4>0</vt:i4>
      </vt:variant>
      <vt:variant>
        <vt:i4>5</vt:i4>
      </vt:variant>
      <vt:variant>
        <vt:lpwstr/>
      </vt:variant>
      <vt:variant>
        <vt:lpwstr>_5.2.1.4__Delete_1</vt:lpwstr>
      </vt:variant>
      <vt:variant>
        <vt:i4>3342444</vt:i4>
      </vt:variant>
      <vt:variant>
        <vt:i4>3828</vt:i4>
      </vt:variant>
      <vt:variant>
        <vt:i4>0</vt:i4>
      </vt:variant>
      <vt:variant>
        <vt:i4>5</vt:i4>
      </vt:variant>
      <vt:variant>
        <vt:lpwstr/>
      </vt:variant>
      <vt:variant>
        <vt:lpwstr>_5.2.1.2.2__Display_Geographically</vt:lpwstr>
      </vt:variant>
      <vt:variant>
        <vt:i4>2228321</vt:i4>
      </vt:variant>
      <vt:variant>
        <vt:i4>3825</vt:i4>
      </vt:variant>
      <vt:variant>
        <vt:i4>0</vt:i4>
      </vt:variant>
      <vt:variant>
        <vt:i4>5</vt:i4>
      </vt:variant>
      <vt:variant>
        <vt:lpwstr/>
      </vt:variant>
      <vt:variant>
        <vt:lpwstr>_5.2.2.1__Select_All</vt:lpwstr>
      </vt:variant>
      <vt:variant>
        <vt:i4>4784214</vt:i4>
      </vt:variant>
      <vt:variant>
        <vt:i4>3822</vt:i4>
      </vt:variant>
      <vt:variant>
        <vt:i4>0</vt:i4>
      </vt:variant>
      <vt:variant>
        <vt:i4>5</vt:i4>
      </vt:variant>
      <vt:variant>
        <vt:lpwstr/>
      </vt:variant>
      <vt:variant>
        <vt:lpwstr>_5.2.1.2.1__Display_in Excel</vt:lpwstr>
      </vt:variant>
      <vt:variant>
        <vt:i4>3801199</vt:i4>
      </vt:variant>
      <vt:variant>
        <vt:i4>3819</vt:i4>
      </vt:variant>
      <vt:variant>
        <vt:i4>0</vt:i4>
      </vt:variant>
      <vt:variant>
        <vt:i4>5</vt:i4>
      </vt:variant>
      <vt:variant>
        <vt:lpwstr/>
      </vt:variant>
      <vt:variant>
        <vt:lpwstr>_5.2.1.2.3__Display_References</vt:lpwstr>
      </vt:variant>
      <vt:variant>
        <vt:i4>4194359</vt:i4>
      </vt:variant>
      <vt:variant>
        <vt:i4>3816</vt:i4>
      </vt:variant>
      <vt:variant>
        <vt:i4>0</vt:i4>
      </vt:variant>
      <vt:variant>
        <vt:i4>5</vt:i4>
      </vt:variant>
      <vt:variant>
        <vt:lpwstr/>
      </vt:variant>
      <vt:variant>
        <vt:lpwstr>_5.2.1.5__Print</vt:lpwstr>
      </vt:variant>
      <vt:variant>
        <vt:i4>7602177</vt:i4>
      </vt:variant>
      <vt:variant>
        <vt:i4>3813</vt:i4>
      </vt:variant>
      <vt:variant>
        <vt:i4>0</vt:i4>
      </vt:variant>
      <vt:variant>
        <vt:i4>5</vt:i4>
      </vt:variant>
      <vt:variant>
        <vt:lpwstr/>
      </vt:variant>
      <vt:variant>
        <vt:lpwstr>_5.2.3.5.1__Sort</vt:lpwstr>
      </vt:variant>
      <vt:variant>
        <vt:i4>327706</vt:i4>
      </vt:variant>
      <vt:variant>
        <vt:i4>3810</vt:i4>
      </vt:variant>
      <vt:variant>
        <vt:i4>0</vt:i4>
      </vt:variant>
      <vt:variant>
        <vt:i4>5</vt:i4>
      </vt:variant>
      <vt:variant>
        <vt:lpwstr/>
      </vt:variant>
      <vt:variant>
        <vt:lpwstr>_5.2.3.5__Properties_1</vt:lpwstr>
      </vt:variant>
      <vt:variant>
        <vt:i4>2424928</vt:i4>
      </vt:variant>
      <vt:variant>
        <vt:i4>3807</vt:i4>
      </vt:variant>
      <vt:variant>
        <vt:i4>0</vt:i4>
      </vt:variant>
      <vt:variant>
        <vt:i4>5</vt:i4>
      </vt:variant>
      <vt:variant>
        <vt:lpwstr/>
      </vt:variant>
      <vt:variant>
        <vt:lpwstr>_5.2.5.1__Find_Option</vt:lpwstr>
      </vt:variant>
      <vt:variant>
        <vt:i4>3801211</vt:i4>
      </vt:variant>
      <vt:variant>
        <vt:i4>3804</vt:i4>
      </vt:variant>
      <vt:variant>
        <vt:i4>0</vt:i4>
      </vt:variant>
      <vt:variant>
        <vt:i4>5</vt:i4>
      </vt:variant>
      <vt:variant>
        <vt:lpwstr/>
      </vt:variant>
      <vt:variant>
        <vt:lpwstr>_5.20__DDO_TEMPLATES TOOL</vt:lpwstr>
      </vt:variant>
      <vt:variant>
        <vt:i4>3801199</vt:i4>
      </vt:variant>
      <vt:variant>
        <vt:i4>3801</vt:i4>
      </vt:variant>
      <vt:variant>
        <vt:i4>0</vt:i4>
      </vt:variant>
      <vt:variant>
        <vt:i4>5</vt:i4>
      </vt:variant>
      <vt:variant>
        <vt:lpwstr/>
      </vt:variant>
      <vt:variant>
        <vt:lpwstr>_5.2.1.2.3__Display_References</vt:lpwstr>
      </vt:variant>
      <vt:variant>
        <vt:i4>589837</vt:i4>
      </vt:variant>
      <vt:variant>
        <vt:i4>3798</vt:i4>
      </vt:variant>
      <vt:variant>
        <vt:i4>0</vt:i4>
      </vt:variant>
      <vt:variant>
        <vt:i4>5</vt:i4>
      </vt:variant>
      <vt:variant>
        <vt:lpwstr/>
      </vt:variant>
      <vt:variant>
        <vt:lpwstr>_5.2.1.4__Delete_1</vt:lpwstr>
      </vt:variant>
      <vt:variant>
        <vt:i4>3342444</vt:i4>
      </vt:variant>
      <vt:variant>
        <vt:i4>3795</vt:i4>
      </vt:variant>
      <vt:variant>
        <vt:i4>0</vt:i4>
      </vt:variant>
      <vt:variant>
        <vt:i4>5</vt:i4>
      </vt:variant>
      <vt:variant>
        <vt:lpwstr/>
      </vt:variant>
      <vt:variant>
        <vt:lpwstr>_5.2.1.2.2__Display_Geographically</vt:lpwstr>
      </vt:variant>
      <vt:variant>
        <vt:i4>327706</vt:i4>
      </vt:variant>
      <vt:variant>
        <vt:i4>3792</vt:i4>
      </vt:variant>
      <vt:variant>
        <vt:i4>0</vt:i4>
      </vt:variant>
      <vt:variant>
        <vt:i4>5</vt:i4>
      </vt:variant>
      <vt:variant>
        <vt:lpwstr/>
      </vt:variant>
      <vt:variant>
        <vt:lpwstr>_5.2.3.5__Properties_1</vt:lpwstr>
      </vt:variant>
      <vt:variant>
        <vt:i4>7602177</vt:i4>
      </vt:variant>
      <vt:variant>
        <vt:i4>3789</vt:i4>
      </vt:variant>
      <vt:variant>
        <vt:i4>0</vt:i4>
      </vt:variant>
      <vt:variant>
        <vt:i4>5</vt:i4>
      </vt:variant>
      <vt:variant>
        <vt:lpwstr/>
      </vt:variant>
      <vt:variant>
        <vt:lpwstr>_5.2.3.5.1__Sort</vt:lpwstr>
      </vt:variant>
      <vt:variant>
        <vt:i4>2228321</vt:i4>
      </vt:variant>
      <vt:variant>
        <vt:i4>3786</vt:i4>
      </vt:variant>
      <vt:variant>
        <vt:i4>0</vt:i4>
      </vt:variant>
      <vt:variant>
        <vt:i4>5</vt:i4>
      </vt:variant>
      <vt:variant>
        <vt:lpwstr/>
      </vt:variant>
      <vt:variant>
        <vt:lpwstr>_5.2.2.1__Select_All</vt:lpwstr>
      </vt:variant>
      <vt:variant>
        <vt:i4>2424928</vt:i4>
      </vt:variant>
      <vt:variant>
        <vt:i4>3783</vt:i4>
      </vt:variant>
      <vt:variant>
        <vt:i4>0</vt:i4>
      </vt:variant>
      <vt:variant>
        <vt:i4>5</vt:i4>
      </vt:variant>
      <vt:variant>
        <vt:lpwstr/>
      </vt:variant>
      <vt:variant>
        <vt:lpwstr>_5.2.5.1__Find_Option</vt:lpwstr>
      </vt:variant>
      <vt:variant>
        <vt:i4>2621526</vt:i4>
      </vt:variant>
      <vt:variant>
        <vt:i4>3780</vt:i4>
      </vt:variant>
      <vt:variant>
        <vt:i4>0</vt:i4>
      </vt:variant>
      <vt:variant>
        <vt:i4>5</vt:i4>
      </vt:variant>
      <vt:variant>
        <vt:lpwstr/>
      </vt:variant>
      <vt:variant>
        <vt:lpwstr>_5.2.1.7__Receive</vt:lpwstr>
      </vt:variant>
      <vt:variant>
        <vt:i4>3932186</vt:i4>
      </vt:variant>
      <vt:variant>
        <vt:i4>3777</vt:i4>
      </vt:variant>
      <vt:variant>
        <vt:i4>0</vt:i4>
      </vt:variant>
      <vt:variant>
        <vt:i4>5</vt:i4>
      </vt:variant>
      <vt:variant>
        <vt:lpwstr/>
      </vt:variant>
      <vt:variant>
        <vt:lpwstr>_5.45__Sound</vt:lpwstr>
      </vt:variant>
      <vt:variant>
        <vt:i4>3801199</vt:i4>
      </vt:variant>
      <vt:variant>
        <vt:i4>3774</vt:i4>
      </vt:variant>
      <vt:variant>
        <vt:i4>0</vt:i4>
      </vt:variant>
      <vt:variant>
        <vt:i4>5</vt:i4>
      </vt:variant>
      <vt:variant>
        <vt:lpwstr/>
      </vt:variant>
      <vt:variant>
        <vt:lpwstr>_5.2.1.2.3__Display_References</vt:lpwstr>
      </vt:variant>
      <vt:variant>
        <vt:i4>4194359</vt:i4>
      </vt:variant>
      <vt:variant>
        <vt:i4>3771</vt:i4>
      </vt:variant>
      <vt:variant>
        <vt:i4>0</vt:i4>
      </vt:variant>
      <vt:variant>
        <vt:i4>5</vt:i4>
      </vt:variant>
      <vt:variant>
        <vt:lpwstr/>
      </vt:variant>
      <vt:variant>
        <vt:lpwstr>_5.2.1.5__Print</vt:lpwstr>
      </vt:variant>
      <vt:variant>
        <vt:i4>3801211</vt:i4>
      </vt:variant>
      <vt:variant>
        <vt:i4>3768</vt:i4>
      </vt:variant>
      <vt:variant>
        <vt:i4>0</vt:i4>
      </vt:variant>
      <vt:variant>
        <vt:i4>5</vt:i4>
      </vt:variant>
      <vt:variant>
        <vt:lpwstr/>
      </vt:variant>
      <vt:variant>
        <vt:lpwstr>_5.20__DDO_TEMPLATES TOOL</vt:lpwstr>
      </vt:variant>
      <vt:variant>
        <vt:i4>2031684</vt:i4>
      </vt:variant>
      <vt:variant>
        <vt:i4>3765</vt:i4>
      </vt:variant>
      <vt:variant>
        <vt:i4>0</vt:i4>
      </vt:variant>
      <vt:variant>
        <vt:i4>5</vt:i4>
      </vt:variant>
      <vt:variant>
        <vt:lpwstr/>
      </vt:variant>
      <vt:variant>
        <vt:lpwstr>_5.2.8__Edit_Classification</vt:lpwstr>
      </vt:variant>
      <vt:variant>
        <vt:i4>3473462</vt:i4>
      </vt:variant>
      <vt:variant>
        <vt:i4>3762</vt:i4>
      </vt:variant>
      <vt:variant>
        <vt:i4>0</vt:i4>
      </vt:variant>
      <vt:variant>
        <vt:i4>5</vt:i4>
      </vt:variant>
      <vt:variant>
        <vt:lpwstr/>
      </vt:variant>
      <vt:variant>
        <vt:lpwstr>_5.37__TMPRs_TOOL</vt:lpwstr>
      </vt:variant>
      <vt:variant>
        <vt:i4>4194359</vt:i4>
      </vt:variant>
      <vt:variant>
        <vt:i4>3759</vt:i4>
      </vt:variant>
      <vt:variant>
        <vt:i4>0</vt:i4>
      </vt:variant>
      <vt:variant>
        <vt:i4>5</vt:i4>
      </vt:variant>
      <vt:variant>
        <vt:lpwstr/>
      </vt:variant>
      <vt:variant>
        <vt:lpwstr>_5.2.1.5__Print</vt:lpwstr>
      </vt:variant>
      <vt:variant>
        <vt:i4>7536710</vt:i4>
      </vt:variant>
      <vt:variant>
        <vt:i4>3756</vt:i4>
      </vt:variant>
      <vt:variant>
        <vt:i4>0</vt:i4>
      </vt:variant>
      <vt:variant>
        <vt:i4>5</vt:i4>
      </vt:variant>
      <vt:variant>
        <vt:lpwstr/>
      </vt:variant>
      <vt:variant>
        <vt:lpwstr>_5.28.1__Save</vt:lpwstr>
      </vt:variant>
      <vt:variant>
        <vt:i4>262191</vt:i4>
      </vt:variant>
      <vt:variant>
        <vt:i4>3753</vt:i4>
      </vt:variant>
      <vt:variant>
        <vt:i4>0</vt:i4>
      </vt:variant>
      <vt:variant>
        <vt:i4>5</vt:i4>
      </vt:variant>
      <vt:variant>
        <vt:lpwstr/>
      </vt:variant>
      <vt:variant>
        <vt:lpwstr>_5.2.1.3__Custom_Reports_1</vt:lpwstr>
      </vt:variant>
      <vt:variant>
        <vt:i4>6619208</vt:i4>
      </vt:variant>
      <vt:variant>
        <vt:i4>3750</vt:i4>
      </vt:variant>
      <vt:variant>
        <vt:i4>0</vt:i4>
      </vt:variant>
      <vt:variant>
        <vt:i4>5</vt:i4>
      </vt:variant>
      <vt:variant>
        <vt:lpwstr/>
      </vt:variant>
      <vt:variant>
        <vt:lpwstr>_Appendix_H_LISTING</vt:lpwstr>
      </vt:variant>
      <vt:variant>
        <vt:i4>4784214</vt:i4>
      </vt:variant>
      <vt:variant>
        <vt:i4>3747</vt:i4>
      </vt:variant>
      <vt:variant>
        <vt:i4>0</vt:i4>
      </vt:variant>
      <vt:variant>
        <vt:i4>5</vt:i4>
      </vt:variant>
      <vt:variant>
        <vt:lpwstr/>
      </vt:variant>
      <vt:variant>
        <vt:lpwstr>_5.2.1.2.1__Display_in Excel</vt:lpwstr>
      </vt:variant>
      <vt:variant>
        <vt:i4>3801199</vt:i4>
      </vt:variant>
      <vt:variant>
        <vt:i4>3744</vt:i4>
      </vt:variant>
      <vt:variant>
        <vt:i4>0</vt:i4>
      </vt:variant>
      <vt:variant>
        <vt:i4>5</vt:i4>
      </vt:variant>
      <vt:variant>
        <vt:lpwstr/>
      </vt:variant>
      <vt:variant>
        <vt:lpwstr>_5.2.1.2.3__Display_References</vt:lpwstr>
      </vt:variant>
      <vt:variant>
        <vt:i4>3342444</vt:i4>
      </vt:variant>
      <vt:variant>
        <vt:i4>3741</vt:i4>
      </vt:variant>
      <vt:variant>
        <vt:i4>0</vt:i4>
      </vt:variant>
      <vt:variant>
        <vt:i4>5</vt:i4>
      </vt:variant>
      <vt:variant>
        <vt:lpwstr/>
      </vt:variant>
      <vt:variant>
        <vt:lpwstr>_5.2.1.2.2__Display_Geographically</vt:lpwstr>
      </vt:variant>
      <vt:variant>
        <vt:i4>4718611</vt:i4>
      </vt:variant>
      <vt:variant>
        <vt:i4>3738</vt:i4>
      </vt:variant>
      <vt:variant>
        <vt:i4>0</vt:i4>
      </vt:variant>
      <vt:variant>
        <vt:i4>5</vt:i4>
      </vt:variant>
      <vt:variant>
        <vt:lpwstr/>
      </vt:variant>
      <vt:variant>
        <vt:lpwstr>_5.30__GEO_DISPLAY TOOL</vt:lpwstr>
      </vt:variant>
      <vt:variant>
        <vt:i4>6881344</vt:i4>
      </vt:variant>
      <vt:variant>
        <vt:i4>3735</vt:i4>
      </vt:variant>
      <vt:variant>
        <vt:i4>0</vt:i4>
      </vt:variant>
      <vt:variant>
        <vt:i4>5</vt:i4>
      </vt:variant>
      <vt:variant>
        <vt:lpwstr/>
      </vt:variant>
      <vt:variant>
        <vt:lpwstr>_5.6.11__Multiple</vt:lpwstr>
      </vt:variant>
      <vt:variant>
        <vt:i4>7340044</vt:i4>
      </vt:variant>
      <vt:variant>
        <vt:i4>3732</vt:i4>
      </vt:variant>
      <vt:variant>
        <vt:i4>0</vt:i4>
      </vt:variant>
      <vt:variant>
        <vt:i4>5</vt:i4>
      </vt:variant>
      <vt:variant>
        <vt:lpwstr/>
      </vt:variant>
      <vt:variant>
        <vt:lpwstr>_5.2.8__Edit</vt:lpwstr>
      </vt:variant>
      <vt:variant>
        <vt:i4>5505047</vt:i4>
      </vt:variant>
      <vt:variant>
        <vt:i4>3729</vt:i4>
      </vt:variant>
      <vt:variant>
        <vt:i4>0</vt:i4>
      </vt:variant>
      <vt:variant>
        <vt:i4>5</vt:i4>
      </vt:variant>
      <vt:variant>
        <vt:lpwstr/>
      </vt:variant>
      <vt:variant>
        <vt:lpwstr>_5.2.1.2.4__Display_Textually</vt:lpwstr>
      </vt:variant>
      <vt:variant>
        <vt:i4>327706</vt:i4>
      </vt:variant>
      <vt:variant>
        <vt:i4>3726</vt:i4>
      </vt:variant>
      <vt:variant>
        <vt:i4>0</vt:i4>
      </vt:variant>
      <vt:variant>
        <vt:i4>5</vt:i4>
      </vt:variant>
      <vt:variant>
        <vt:lpwstr/>
      </vt:variant>
      <vt:variant>
        <vt:lpwstr>_5.2.3.5__Properties_1</vt:lpwstr>
      </vt:variant>
      <vt:variant>
        <vt:i4>2228321</vt:i4>
      </vt:variant>
      <vt:variant>
        <vt:i4>3723</vt:i4>
      </vt:variant>
      <vt:variant>
        <vt:i4>0</vt:i4>
      </vt:variant>
      <vt:variant>
        <vt:i4>5</vt:i4>
      </vt:variant>
      <vt:variant>
        <vt:lpwstr/>
      </vt:variant>
      <vt:variant>
        <vt:lpwstr>_5.2.2.1__Select_All</vt:lpwstr>
      </vt:variant>
      <vt:variant>
        <vt:i4>4784214</vt:i4>
      </vt:variant>
      <vt:variant>
        <vt:i4>3720</vt:i4>
      </vt:variant>
      <vt:variant>
        <vt:i4>0</vt:i4>
      </vt:variant>
      <vt:variant>
        <vt:i4>5</vt:i4>
      </vt:variant>
      <vt:variant>
        <vt:lpwstr/>
      </vt:variant>
      <vt:variant>
        <vt:lpwstr>_5.2.1.2.1__Display_in Excel</vt:lpwstr>
      </vt:variant>
      <vt:variant>
        <vt:i4>4194359</vt:i4>
      </vt:variant>
      <vt:variant>
        <vt:i4>3717</vt:i4>
      </vt:variant>
      <vt:variant>
        <vt:i4>0</vt:i4>
      </vt:variant>
      <vt:variant>
        <vt:i4>5</vt:i4>
      </vt:variant>
      <vt:variant>
        <vt:lpwstr/>
      </vt:variant>
      <vt:variant>
        <vt:lpwstr>_5.2.1.5__Print</vt:lpwstr>
      </vt:variant>
      <vt:variant>
        <vt:i4>2424928</vt:i4>
      </vt:variant>
      <vt:variant>
        <vt:i4>3714</vt:i4>
      </vt:variant>
      <vt:variant>
        <vt:i4>0</vt:i4>
      </vt:variant>
      <vt:variant>
        <vt:i4>5</vt:i4>
      </vt:variant>
      <vt:variant>
        <vt:lpwstr/>
      </vt:variant>
      <vt:variant>
        <vt:lpwstr>_5.2.5.1__Find_Option</vt:lpwstr>
      </vt:variant>
      <vt:variant>
        <vt:i4>589941</vt:i4>
      </vt:variant>
      <vt:variant>
        <vt:i4>3711</vt:i4>
      </vt:variant>
      <vt:variant>
        <vt:i4>0</vt:i4>
      </vt:variant>
      <vt:variant>
        <vt:i4>5</vt:i4>
      </vt:variant>
      <vt:variant>
        <vt:lpwstr/>
      </vt:variant>
      <vt:variant>
        <vt:lpwstr>_5.3.1.1.3__Secret</vt:lpwstr>
      </vt:variant>
      <vt:variant>
        <vt:i4>119</vt:i4>
      </vt:variant>
      <vt:variant>
        <vt:i4>3708</vt:i4>
      </vt:variant>
      <vt:variant>
        <vt:i4>0</vt:i4>
      </vt:variant>
      <vt:variant>
        <vt:i4>5</vt:i4>
      </vt:variant>
      <vt:variant>
        <vt:lpwstr/>
      </vt:variant>
      <vt:variant>
        <vt:lpwstr>_5.3.1.1.2__Answer</vt:lpwstr>
      </vt:variant>
      <vt:variant>
        <vt:i4>6881309</vt:i4>
      </vt:variant>
      <vt:variant>
        <vt:i4>3705</vt:i4>
      </vt:variant>
      <vt:variant>
        <vt:i4>0</vt:i4>
      </vt:variant>
      <vt:variant>
        <vt:i4>5</vt:i4>
      </vt:variant>
      <vt:variant>
        <vt:lpwstr/>
      </vt:variant>
      <vt:variant>
        <vt:lpwstr>_5.3.1.1.1__Send</vt:lpwstr>
      </vt:variant>
      <vt:variant>
        <vt:i4>2818134</vt:i4>
      </vt:variant>
      <vt:variant>
        <vt:i4>3696</vt:i4>
      </vt:variant>
      <vt:variant>
        <vt:i4>0</vt:i4>
      </vt:variant>
      <vt:variant>
        <vt:i4>5</vt:i4>
      </vt:variant>
      <vt:variant>
        <vt:lpwstr/>
      </vt:variant>
      <vt:variant>
        <vt:lpwstr>_5.2.1.4__Receive</vt:lpwstr>
      </vt:variant>
      <vt:variant>
        <vt:i4>1</vt:i4>
      </vt:variant>
      <vt:variant>
        <vt:i4>3693</vt:i4>
      </vt:variant>
      <vt:variant>
        <vt:i4>0</vt:i4>
      </vt:variant>
      <vt:variant>
        <vt:i4>5</vt:i4>
      </vt:variant>
      <vt:variant>
        <vt:lpwstr>http://tci.navy.smil.mil/</vt:lpwstr>
      </vt:variant>
      <vt:variant>
        <vt:lpwstr/>
      </vt:variant>
      <vt:variant>
        <vt:i4>524398</vt:i4>
      </vt:variant>
      <vt:variant>
        <vt:i4>3690</vt:i4>
      </vt:variant>
      <vt:variant>
        <vt:i4>0</vt:i4>
      </vt:variant>
      <vt:variant>
        <vt:i4>5</vt:i4>
      </vt:variant>
      <vt:variant>
        <vt:lpwstr/>
      </vt:variant>
      <vt:variant>
        <vt:lpwstr>_4.5.2.1.6__Restore</vt:lpwstr>
      </vt:variant>
      <vt:variant>
        <vt:i4>1</vt:i4>
      </vt:variant>
      <vt:variant>
        <vt:i4>3687</vt:i4>
      </vt:variant>
      <vt:variant>
        <vt:i4>0</vt:i4>
      </vt:variant>
      <vt:variant>
        <vt:i4>5</vt:i4>
      </vt:variant>
      <vt:variant>
        <vt:lpwstr>http://tci.navy.smil.mil/</vt:lpwstr>
      </vt:variant>
      <vt:variant>
        <vt:lpwstr/>
      </vt:variant>
      <vt:variant>
        <vt:i4>1</vt:i4>
      </vt:variant>
      <vt:variant>
        <vt:i4>3684</vt:i4>
      </vt:variant>
      <vt:variant>
        <vt:i4>0</vt:i4>
      </vt:variant>
      <vt:variant>
        <vt:i4>5</vt:i4>
      </vt:variant>
      <vt:variant>
        <vt:lpwstr>http://tci.navy.smil.mil/</vt:lpwstr>
      </vt:variant>
      <vt:variant>
        <vt:lpwstr/>
      </vt:variant>
      <vt:variant>
        <vt:i4>1</vt:i4>
      </vt:variant>
      <vt:variant>
        <vt:i4>3681</vt:i4>
      </vt:variant>
      <vt:variant>
        <vt:i4>0</vt:i4>
      </vt:variant>
      <vt:variant>
        <vt:i4>5</vt:i4>
      </vt:variant>
      <vt:variant>
        <vt:lpwstr>http://tci.navy.smil.mil/</vt:lpwstr>
      </vt:variant>
      <vt:variant>
        <vt:lpwstr/>
      </vt:variant>
      <vt:variant>
        <vt:i4>1</vt:i4>
      </vt:variant>
      <vt:variant>
        <vt:i4>3678</vt:i4>
      </vt:variant>
      <vt:variant>
        <vt:i4>0</vt:i4>
      </vt:variant>
      <vt:variant>
        <vt:i4>5</vt:i4>
      </vt:variant>
      <vt:variant>
        <vt:lpwstr>http://tci.navy.smil.mil/</vt:lpwstr>
      </vt:variant>
      <vt:variant>
        <vt:lpwstr/>
      </vt:variant>
      <vt:variant>
        <vt:i4>1</vt:i4>
      </vt:variant>
      <vt:variant>
        <vt:i4>3675</vt:i4>
      </vt:variant>
      <vt:variant>
        <vt:i4>0</vt:i4>
      </vt:variant>
      <vt:variant>
        <vt:i4>5</vt:i4>
      </vt:variant>
      <vt:variant>
        <vt:lpwstr>http://tci.navy.smil.mil/</vt:lpwstr>
      </vt:variant>
      <vt:variant>
        <vt:lpwstr/>
      </vt:variant>
      <vt:variant>
        <vt:i4>1</vt:i4>
      </vt:variant>
      <vt:variant>
        <vt:i4>3672</vt:i4>
      </vt:variant>
      <vt:variant>
        <vt:i4>0</vt:i4>
      </vt:variant>
      <vt:variant>
        <vt:i4>5</vt:i4>
      </vt:variant>
      <vt:variant>
        <vt:lpwstr>http://tci.navy.smil.mil/</vt:lpwstr>
      </vt:variant>
      <vt:variant>
        <vt:lpwstr/>
      </vt:variant>
      <vt:variant>
        <vt:i4>1</vt:i4>
      </vt:variant>
      <vt:variant>
        <vt:i4>3669</vt:i4>
      </vt:variant>
      <vt:variant>
        <vt:i4>0</vt:i4>
      </vt:variant>
      <vt:variant>
        <vt:i4>5</vt:i4>
      </vt:variant>
      <vt:variant>
        <vt:lpwstr>http://tci.navy.smil.mil/</vt:lpwstr>
      </vt:variant>
      <vt:variant>
        <vt:lpwstr/>
      </vt:variant>
      <vt:variant>
        <vt:i4>1</vt:i4>
      </vt:variant>
      <vt:variant>
        <vt:i4>3666</vt:i4>
      </vt:variant>
      <vt:variant>
        <vt:i4>0</vt:i4>
      </vt:variant>
      <vt:variant>
        <vt:i4>5</vt:i4>
      </vt:variant>
      <vt:variant>
        <vt:lpwstr>http://tci.navy.smil.mil/</vt:lpwstr>
      </vt:variant>
      <vt:variant>
        <vt:lpwstr/>
      </vt:variant>
      <vt:variant>
        <vt:i4>6684779</vt:i4>
      </vt:variant>
      <vt:variant>
        <vt:i4>3663</vt:i4>
      </vt:variant>
      <vt:variant>
        <vt:i4>0</vt:i4>
      </vt:variant>
      <vt:variant>
        <vt:i4>5</vt:i4>
      </vt:variant>
      <vt:variant>
        <vt:lpwstr/>
      </vt:variant>
      <vt:variant>
        <vt:lpwstr>_4.4.4__Initial_Mission Population</vt:lpwstr>
      </vt:variant>
      <vt:variant>
        <vt:i4>7143469</vt:i4>
      </vt:variant>
      <vt:variant>
        <vt:i4>3660</vt:i4>
      </vt:variant>
      <vt:variant>
        <vt:i4>0</vt:i4>
      </vt:variant>
      <vt:variant>
        <vt:i4>5</vt:i4>
      </vt:variant>
      <vt:variant>
        <vt:lpwstr/>
      </vt:variant>
      <vt:variant>
        <vt:lpwstr>_4.4.3__Platform_Information</vt:lpwstr>
      </vt:variant>
      <vt:variant>
        <vt:i4>5111817</vt:i4>
      </vt:variant>
      <vt:variant>
        <vt:i4>3657</vt:i4>
      </vt:variant>
      <vt:variant>
        <vt:i4>0</vt:i4>
      </vt:variant>
      <vt:variant>
        <vt:i4>5</vt:i4>
      </vt:variant>
      <vt:variant>
        <vt:lpwstr/>
      </vt:variant>
      <vt:variant>
        <vt:lpwstr>_4.3.2__Pattern_Control Table Refere</vt:lpwstr>
      </vt:variant>
      <vt:variant>
        <vt:i4>327697</vt:i4>
      </vt:variant>
      <vt:variant>
        <vt:i4>3654</vt:i4>
      </vt:variant>
      <vt:variant>
        <vt:i4>0</vt:i4>
      </vt:variant>
      <vt:variant>
        <vt:i4>5</vt:i4>
      </vt:variant>
      <vt:variant>
        <vt:lpwstr/>
      </vt:variant>
      <vt:variant>
        <vt:lpwstr>_4.3.1__Valid_Missile ID List (VMIL)</vt:lpwstr>
      </vt:variant>
      <vt:variant>
        <vt:i4>5963790</vt:i4>
      </vt:variant>
      <vt:variant>
        <vt:i4>3651</vt:i4>
      </vt:variant>
      <vt:variant>
        <vt:i4>0</vt:i4>
      </vt:variant>
      <vt:variant>
        <vt:i4>5</vt:i4>
      </vt:variant>
      <vt:variant>
        <vt:lpwstr/>
      </vt:variant>
      <vt:variant>
        <vt:lpwstr>_4.5.2.1.5__Archive_1</vt:lpwstr>
      </vt:variant>
      <vt:variant>
        <vt:i4>7209038</vt:i4>
      </vt:variant>
      <vt:variant>
        <vt:i4>3648</vt:i4>
      </vt:variant>
      <vt:variant>
        <vt:i4>0</vt:i4>
      </vt:variant>
      <vt:variant>
        <vt:i4>5</vt:i4>
      </vt:variant>
      <vt:variant>
        <vt:lpwstr/>
      </vt:variant>
      <vt:variant>
        <vt:lpwstr>_Appendix_R_Strike</vt:lpwstr>
      </vt:variant>
      <vt:variant>
        <vt:i4>7209037</vt:i4>
      </vt:variant>
      <vt:variant>
        <vt:i4>3645</vt:i4>
      </vt:variant>
      <vt:variant>
        <vt:i4>0</vt:i4>
      </vt:variant>
      <vt:variant>
        <vt:i4>5</vt:i4>
      </vt:variant>
      <vt:variant>
        <vt:lpwstr/>
      </vt:variant>
      <vt:variant>
        <vt:lpwstr>_Appendix_Q_Strike</vt:lpwstr>
      </vt:variant>
      <vt:variant>
        <vt:i4>7209043</vt:i4>
      </vt:variant>
      <vt:variant>
        <vt:i4>3642</vt:i4>
      </vt:variant>
      <vt:variant>
        <vt:i4>0</vt:i4>
      </vt:variant>
      <vt:variant>
        <vt:i4>5</vt:i4>
      </vt:variant>
      <vt:variant>
        <vt:lpwstr/>
      </vt:variant>
      <vt:variant>
        <vt:lpwstr>_Appendix_O_Strike</vt:lpwstr>
      </vt:variant>
      <vt:variant>
        <vt:i4>6553669</vt:i4>
      </vt:variant>
      <vt:variant>
        <vt:i4>3639</vt:i4>
      </vt:variant>
      <vt:variant>
        <vt:i4>0</vt:i4>
      </vt:variant>
      <vt:variant>
        <vt:i4>5</vt:i4>
      </vt:variant>
      <vt:variant>
        <vt:lpwstr/>
      </vt:variant>
      <vt:variant>
        <vt:lpwstr>_Appendix_N_Transition</vt:lpwstr>
      </vt:variant>
      <vt:variant>
        <vt:i4>7471183</vt:i4>
      </vt:variant>
      <vt:variant>
        <vt:i4>3636</vt:i4>
      </vt:variant>
      <vt:variant>
        <vt:i4>0</vt:i4>
      </vt:variant>
      <vt:variant>
        <vt:i4>5</vt:i4>
      </vt:variant>
      <vt:variant>
        <vt:lpwstr/>
      </vt:variant>
      <vt:variant>
        <vt:lpwstr>_Appendix_M_TDM</vt:lpwstr>
      </vt:variant>
      <vt:variant>
        <vt:i4>7471191</vt:i4>
      </vt:variant>
      <vt:variant>
        <vt:i4>3633</vt:i4>
      </vt:variant>
      <vt:variant>
        <vt:i4>0</vt:i4>
      </vt:variant>
      <vt:variant>
        <vt:i4>5</vt:i4>
      </vt:variant>
      <vt:variant>
        <vt:lpwstr/>
      </vt:variant>
      <vt:variant>
        <vt:lpwstr>_Appendix_L_MDS</vt:lpwstr>
      </vt:variant>
      <vt:variant>
        <vt:i4>1441853</vt:i4>
      </vt:variant>
      <vt:variant>
        <vt:i4>3630</vt:i4>
      </vt:variant>
      <vt:variant>
        <vt:i4>0</vt:i4>
      </vt:variant>
      <vt:variant>
        <vt:i4>5</vt:i4>
      </vt:variant>
      <vt:variant>
        <vt:lpwstr/>
      </vt:variant>
      <vt:variant>
        <vt:lpwstr>_appendix_K_</vt:lpwstr>
      </vt:variant>
      <vt:variant>
        <vt:i4>1441852</vt:i4>
      </vt:variant>
      <vt:variant>
        <vt:i4>3627</vt:i4>
      </vt:variant>
      <vt:variant>
        <vt:i4>0</vt:i4>
      </vt:variant>
      <vt:variant>
        <vt:i4>5</vt:i4>
      </vt:variant>
      <vt:variant>
        <vt:lpwstr/>
      </vt:variant>
      <vt:variant>
        <vt:lpwstr>_Appendix_J_</vt:lpwstr>
      </vt:variant>
      <vt:variant>
        <vt:i4>1441855</vt:i4>
      </vt:variant>
      <vt:variant>
        <vt:i4>3624</vt:i4>
      </vt:variant>
      <vt:variant>
        <vt:i4>0</vt:i4>
      </vt:variant>
      <vt:variant>
        <vt:i4>5</vt:i4>
      </vt:variant>
      <vt:variant>
        <vt:lpwstr/>
      </vt:variant>
      <vt:variant>
        <vt:lpwstr>_Appendix_I_</vt:lpwstr>
      </vt:variant>
      <vt:variant>
        <vt:i4>6619208</vt:i4>
      </vt:variant>
      <vt:variant>
        <vt:i4>3621</vt:i4>
      </vt:variant>
      <vt:variant>
        <vt:i4>0</vt:i4>
      </vt:variant>
      <vt:variant>
        <vt:i4>5</vt:i4>
      </vt:variant>
      <vt:variant>
        <vt:lpwstr/>
      </vt:variant>
      <vt:variant>
        <vt:lpwstr>_Appendix_H_LISTING</vt:lpwstr>
      </vt:variant>
      <vt:variant>
        <vt:i4>1441841</vt:i4>
      </vt:variant>
      <vt:variant>
        <vt:i4>3618</vt:i4>
      </vt:variant>
      <vt:variant>
        <vt:i4>0</vt:i4>
      </vt:variant>
      <vt:variant>
        <vt:i4>5</vt:i4>
      </vt:variant>
      <vt:variant>
        <vt:lpwstr/>
      </vt:variant>
      <vt:variant>
        <vt:lpwstr>_Appendix_G_</vt:lpwstr>
      </vt:variant>
      <vt:variant>
        <vt:i4>1441840</vt:i4>
      </vt:variant>
      <vt:variant>
        <vt:i4>3615</vt:i4>
      </vt:variant>
      <vt:variant>
        <vt:i4>0</vt:i4>
      </vt:variant>
      <vt:variant>
        <vt:i4>5</vt:i4>
      </vt:variant>
      <vt:variant>
        <vt:lpwstr/>
      </vt:variant>
      <vt:variant>
        <vt:lpwstr>_Appendix_F_</vt:lpwstr>
      </vt:variant>
      <vt:variant>
        <vt:i4>1441843</vt:i4>
      </vt:variant>
      <vt:variant>
        <vt:i4>3612</vt:i4>
      </vt:variant>
      <vt:variant>
        <vt:i4>0</vt:i4>
      </vt:variant>
      <vt:variant>
        <vt:i4>5</vt:i4>
      </vt:variant>
      <vt:variant>
        <vt:lpwstr/>
      </vt:variant>
      <vt:variant>
        <vt:lpwstr>_Appendix_E_</vt:lpwstr>
      </vt:variant>
      <vt:variant>
        <vt:i4>1441842</vt:i4>
      </vt:variant>
      <vt:variant>
        <vt:i4>3609</vt:i4>
      </vt:variant>
      <vt:variant>
        <vt:i4>0</vt:i4>
      </vt:variant>
      <vt:variant>
        <vt:i4>5</vt:i4>
      </vt:variant>
      <vt:variant>
        <vt:lpwstr/>
      </vt:variant>
      <vt:variant>
        <vt:lpwstr>_Appendix_D_</vt:lpwstr>
      </vt:variant>
      <vt:variant>
        <vt:i4>1441845</vt:i4>
      </vt:variant>
      <vt:variant>
        <vt:i4>3606</vt:i4>
      </vt:variant>
      <vt:variant>
        <vt:i4>0</vt:i4>
      </vt:variant>
      <vt:variant>
        <vt:i4>5</vt:i4>
      </vt:variant>
      <vt:variant>
        <vt:lpwstr/>
      </vt:variant>
      <vt:variant>
        <vt:lpwstr>_Appendix_C_</vt:lpwstr>
      </vt:variant>
      <vt:variant>
        <vt:i4>2097250</vt:i4>
      </vt:variant>
      <vt:variant>
        <vt:i4>3603</vt:i4>
      </vt:variant>
      <vt:variant>
        <vt:i4>0</vt:i4>
      </vt:variant>
      <vt:variant>
        <vt:i4>5</vt:i4>
      </vt:variant>
      <vt:variant>
        <vt:lpwstr/>
      </vt:variant>
      <vt:variant>
        <vt:lpwstr>_Appendix_B_GLOSSARY_1</vt:lpwstr>
      </vt:variant>
      <vt:variant>
        <vt:i4>1310826</vt:i4>
      </vt:variant>
      <vt:variant>
        <vt:i4>3600</vt:i4>
      </vt:variant>
      <vt:variant>
        <vt:i4>0</vt:i4>
      </vt:variant>
      <vt:variant>
        <vt:i4>5</vt:i4>
      </vt:variant>
      <vt:variant>
        <vt:lpwstr/>
      </vt:variant>
      <vt:variant>
        <vt:lpwstr>_Appendix_A_Acronyms/Definitions</vt:lpwstr>
      </vt:variant>
      <vt:variant>
        <vt:i4>3932229</vt:i4>
      </vt:variant>
      <vt:variant>
        <vt:i4>3597</vt:i4>
      </vt:variant>
      <vt:variant>
        <vt:i4>0</vt:i4>
      </vt:variant>
      <vt:variant>
        <vt:i4>5</vt:i4>
      </vt:variant>
      <vt:variant>
        <vt:lpwstr/>
      </vt:variant>
      <vt:variant>
        <vt:lpwstr>_Section_5_MDS</vt:lpwstr>
      </vt:variant>
      <vt:variant>
        <vt:i4>3342427</vt:i4>
      </vt:variant>
      <vt:variant>
        <vt:i4>3594</vt:i4>
      </vt:variant>
      <vt:variant>
        <vt:i4>0</vt:i4>
      </vt:variant>
      <vt:variant>
        <vt:i4>5</vt:i4>
      </vt:variant>
      <vt:variant>
        <vt:lpwstr/>
      </vt:variant>
      <vt:variant>
        <vt:lpwstr>_Section_4_software</vt:lpwstr>
      </vt:variant>
      <vt:variant>
        <vt:i4>1507360</vt:i4>
      </vt:variant>
      <vt:variant>
        <vt:i4>3591</vt:i4>
      </vt:variant>
      <vt:variant>
        <vt:i4>0</vt:i4>
      </vt:variant>
      <vt:variant>
        <vt:i4>5</vt:i4>
      </vt:variant>
      <vt:variant>
        <vt:lpwstr/>
      </vt:variant>
      <vt:variant>
        <vt:lpwstr>_Section_3_HARDWARE,</vt:lpwstr>
      </vt:variant>
      <vt:variant>
        <vt:i4>4718631</vt:i4>
      </vt:variant>
      <vt:variant>
        <vt:i4>3588</vt:i4>
      </vt:variant>
      <vt:variant>
        <vt:i4>0</vt:i4>
      </vt:variant>
      <vt:variant>
        <vt:i4>5</vt:i4>
      </vt:variant>
      <vt:variant>
        <vt:lpwstr/>
      </vt:variant>
      <vt:variant>
        <vt:lpwstr>_Section_2_REFERENCED</vt:lpwstr>
      </vt:variant>
      <vt:variant>
        <vt:i4>6225970</vt:i4>
      </vt:variant>
      <vt:variant>
        <vt:i4>3585</vt:i4>
      </vt:variant>
      <vt:variant>
        <vt:i4>0</vt:i4>
      </vt:variant>
      <vt:variant>
        <vt:i4>5</vt:i4>
      </vt:variant>
      <vt:variant>
        <vt:lpwstr/>
      </vt:variant>
      <vt:variant>
        <vt:lpwstr>_Section_1_Scope</vt:lpwstr>
      </vt:variant>
      <vt:variant>
        <vt:i4>1966134</vt:i4>
      </vt:variant>
      <vt:variant>
        <vt:i4>3578</vt:i4>
      </vt:variant>
      <vt:variant>
        <vt:i4>0</vt:i4>
      </vt:variant>
      <vt:variant>
        <vt:i4>5</vt:i4>
      </vt:variant>
      <vt:variant>
        <vt:lpwstr/>
      </vt:variant>
      <vt:variant>
        <vt:lpwstr>_Toc290364271</vt:lpwstr>
      </vt:variant>
      <vt:variant>
        <vt:i4>1966134</vt:i4>
      </vt:variant>
      <vt:variant>
        <vt:i4>3572</vt:i4>
      </vt:variant>
      <vt:variant>
        <vt:i4>0</vt:i4>
      </vt:variant>
      <vt:variant>
        <vt:i4>5</vt:i4>
      </vt:variant>
      <vt:variant>
        <vt:lpwstr/>
      </vt:variant>
      <vt:variant>
        <vt:lpwstr>_Toc290364270</vt:lpwstr>
      </vt:variant>
      <vt:variant>
        <vt:i4>2031670</vt:i4>
      </vt:variant>
      <vt:variant>
        <vt:i4>3566</vt:i4>
      </vt:variant>
      <vt:variant>
        <vt:i4>0</vt:i4>
      </vt:variant>
      <vt:variant>
        <vt:i4>5</vt:i4>
      </vt:variant>
      <vt:variant>
        <vt:lpwstr/>
      </vt:variant>
      <vt:variant>
        <vt:lpwstr>_Toc290364269</vt:lpwstr>
      </vt:variant>
      <vt:variant>
        <vt:i4>2031670</vt:i4>
      </vt:variant>
      <vt:variant>
        <vt:i4>3560</vt:i4>
      </vt:variant>
      <vt:variant>
        <vt:i4>0</vt:i4>
      </vt:variant>
      <vt:variant>
        <vt:i4>5</vt:i4>
      </vt:variant>
      <vt:variant>
        <vt:lpwstr/>
      </vt:variant>
      <vt:variant>
        <vt:lpwstr>_Toc290364268</vt:lpwstr>
      </vt:variant>
      <vt:variant>
        <vt:i4>2031670</vt:i4>
      </vt:variant>
      <vt:variant>
        <vt:i4>3554</vt:i4>
      </vt:variant>
      <vt:variant>
        <vt:i4>0</vt:i4>
      </vt:variant>
      <vt:variant>
        <vt:i4>5</vt:i4>
      </vt:variant>
      <vt:variant>
        <vt:lpwstr/>
      </vt:variant>
      <vt:variant>
        <vt:lpwstr>_Toc290364267</vt:lpwstr>
      </vt:variant>
      <vt:variant>
        <vt:i4>2031670</vt:i4>
      </vt:variant>
      <vt:variant>
        <vt:i4>3548</vt:i4>
      </vt:variant>
      <vt:variant>
        <vt:i4>0</vt:i4>
      </vt:variant>
      <vt:variant>
        <vt:i4>5</vt:i4>
      </vt:variant>
      <vt:variant>
        <vt:lpwstr/>
      </vt:variant>
      <vt:variant>
        <vt:lpwstr>_Toc290364266</vt:lpwstr>
      </vt:variant>
      <vt:variant>
        <vt:i4>2031670</vt:i4>
      </vt:variant>
      <vt:variant>
        <vt:i4>3542</vt:i4>
      </vt:variant>
      <vt:variant>
        <vt:i4>0</vt:i4>
      </vt:variant>
      <vt:variant>
        <vt:i4>5</vt:i4>
      </vt:variant>
      <vt:variant>
        <vt:lpwstr/>
      </vt:variant>
      <vt:variant>
        <vt:lpwstr>_Toc290364265</vt:lpwstr>
      </vt:variant>
      <vt:variant>
        <vt:i4>2031670</vt:i4>
      </vt:variant>
      <vt:variant>
        <vt:i4>3536</vt:i4>
      </vt:variant>
      <vt:variant>
        <vt:i4>0</vt:i4>
      </vt:variant>
      <vt:variant>
        <vt:i4>5</vt:i4>
      </vt:variant>
      <vt:variant>
        <vt:lpwstr/>
      </vt:variant>
      <vt:variant>
        <vt:lpwstr>_Toc290364264</vt:lpwstr>
      </vt:variant>
      <vt:variant>
        <vt:i4>2031670</vt:i4>
      </vt:variant>
      <vt:variant>
        <vt:i4>3530</vt:i4>
      </vt:variant>
      <vt:variant>
        <vt:i4>0</vt:i4>
      </vt:variant>
      <vt:variant>
        <vt:i4>5</vt:i4>
      </vt:variant>
      <vt:variant>
        <vt:lpwstr/>
      </vt:variant>
      <vt:variant>
        <vt:lpwstr>_Toc290364263</vt:lpwstr>
      </vt:variant>
      <vt:variant>
        <vt:i4>2031670</vt:i4>
      </vt:variant>
      <vt:variant>
        <vt:i4>3524</vt:i4>
      </vt:variant>
      <vt:variant>
        <vt:i4>0</vt:i4>
      </vt:variant>
      <vt:variant>
        <vt:i4>5</vt:i4>
      </vt:variant>
      <vt:variant>
        <vt:lpwstr/>
      </vt:variant>
      <vt:variant>
        <vt:lpwstr>_Toc290364262</vt:lpwstr>
      </vt:variant>
      <vt:variant>
        <vt:i4>2031670</vt:i4>
      </vt:variant>
      <vt:variant>
        <vt:i4>3518</vt:i4>
      </vt:variant>
      <vt:variant>
        <vt:i4>0</vt:i4>
      </vt:variant>
      <vt:variant>
        <vt:i4>5</vt:i4>
      </vt:variant>
      <vt:variant>
        <vt:lpwstr/>
      </vt:variant>
      <vt:variant>
        <vt:lpwstr>_Toc290364261</vt:lpwstr>
      </vt:variant>
      <vt:variant>
        <vt:i4>2031670</vt:i4>
      </vt:variant>
      <vt:variant>
        <vt:i4>3512</vt:i4>
      </vt:variant>
      <vt:variant>
        <vt:i4>0</vt:i4>
      </vt:variant>
      <vt:variant>
        <vt:i4>5</vt:i4>
      </vt:variant>
      <vt:variant>
        <vt:lpwstr/>
      </vt:variant>
      <vt:variant>
        <vt:lpwstr>_Toc290364260</vt:lpwstr>
      </vt:variant>
      <vt:variant>
        <vt:i4>1835062</vt:i4>
      </vt:variant>
      <vt:variant>
        <vt:i4>3506</vt:i4>
      </vt:variant>
      <vt:variant>
        <vt:i4>0</vt:i4>
      </vt:variant>
      <vt:variant>
        <vt:i4>5</vt:i4>
      </vt:variant>
      <vt:variant>
        <vt:lpwstr/>
      </vt:variant>
      <vt:variant>
        <vt:lpwstr>_Toc290364259</vt:lpwstr>
      </vt:variant>
      <vt:variant>
        <vt:i4>1835062</vt:i4>
      </vt:variant>
      <vt:variant>
        <vt:i4>3500</vt:i4>
      </vt:variant>
      <vt:variant>
        <vt:i4>0</vt:i4>
      </vt:variant>
      <vt:variant>
        <vt:i4>5</vt:i4>
      </vt:variant>
      <vt:variant>
        <vt:lpwstr/>
      </vt:variant>
      <vt:variant>
        <vt:lpwstr>_Toc290364258</vt:lpwstr>
      </vt:variant>
      <vt:variant>
        <vt:i4>1835062</vt:i4>
      </vt:variant>
      <vt:variant>
        <vt:i4>3494</vt:i4>
      </vt:variant>
      <vt:variant>
        <vt:i4>0</vt:i4>
      </vt:variant>
      <vt:variant>
        <vt:i4>5</vt:i4>
      </vt:variant>
      <vt:variant>
        <vt:lpwstr/>
      </vt:variant>
      <vt:variant>
        <vt:lpwstr>_Toc290364257</vt:lpwstr>
      </vt:variant>
      <vt:variant>
        <vt:i4>1835062</vt:i4>
      </vt:variant>
      <vt:variant>
        <vt:i4>3488</vt:i4>
      </vt:variant>
      <vt:variant>
        <vt:i4>0</vt:i4>
      </vt:variant>
      <vt:variant>
        <vt:i4>5</vt:i4>
      </vt:variant>
      <vt:variant>
        <vt:lpwstr/>
      </vt:variant>
      <vt:variant>
        <vt:lpwstr>_Toc290364256</vt:lpwstr>
      </vt:variant>
      <vt:variant>
        <vt:i4>1835062</vt:i4>
      </vt:variant>
      <vt:variant>
        <vt:i4>3482</vt:i4>
      </vt:variant>
      <vt:variant>
        <vt:i4>0</vt:i4>
      </vt:variant>
      <vt:variant>
        <vt:i4>5</vt:i4>
      </vt:variant>
      <vt:variant>
        <vt:lpwstr/>
      </vt:variant>
      <vt:variant>
        <vt:lpwstr>_Toc290364255</vt:lpwstr>
      </vt:variant>
      <vt:variant>
        <vt:i4>1835062</vt:i4>
      </vt:variant>
      <vt:variant>
        <vt:i4>3476</vt:i4>
      </vt:variant>
      <vt:variant>
        <vt:i4>0</vt:i4>
      </vt:variant>
      <vt:variant>
        <vt:i4>5</vt:i4>
      </vt:variant>
      <vt:variant>
        <vt:lpwstr/>
      </vt:variant>
      <vt:variant>
        <vt:lpwstr>_Toc290364254</vt:lpwstr>
      </vt:variant>
      <vt:variant>
        <vt:i4>1835062</vt:i4>
      </vt:variant>
      <vt:variant>
        <vt:i4>3470</vt:i4>
      </vt:variant>
      <vt:variant>
        <vt:i4>0</vt:i4>
      </vt:variant>
      <vt:variant>
        <vt:i4>5</vt:i4>
      </vt:variant>
      <vt:variant>
        <vt:lpwstr/>
      </vt:variant>
      <vt:variant>
        <vt:lpwstr>_Toc290364253</vt:lpwstr>
      </vt:variant>
      <vt:variant>
        <vt:i4>1835062</vt:i4>
      </vt:variant>
      <vt:variant>
        <vt:i4>3464</vt:i4>
      </vt:variant>
      <vt:variant>
        <vt:i4>0</vt:i4>
      </vt:variant>
      <vt:variant>
        <vt:i4>5</vt:i4>
      </vt:variant>
      <vt:variant>
        <vt:lpwstr/>
      </vt:variant>
      <vt:variant>
        <vt:lpwstr>_Toc290364252</vt:lpwstr>
      </vt:variant>
      <vt:variant>
        <vt:i4>1835062</vt:i4>
      </vt:variant>
      <vt:variant>
        <vt:i4>3458</vt:i4>
      </vt:variant>
      <vt:variant>
        <vt:i4>0</vt:i4>
      </vt:variant>
      <vt:variant>
        <vt:i4>5</vt:i4>
      </vt:variant>
      <vt:variant>
        <vt:lpwstr/>
      </vt:variant>
      <vt:variant>
        <vt:lpwstr>_Toc290364251</vt:lpwstr>
      </vt:variant>
      <vt:variant>
        <vt:i4>1835062</vt:i4>
      </vt:variant>
      <vt:variant>
        <vt:i4>3452</vt:i4>
      </vt:variant>
      <vt:variant>
        <vt:i4>0</vt:i4>
      </vt:variant>
      <vt:variant>
        <vt:i4>5</vt:i4>
      </vt:variant>
      <vt:variant>
        <vt:lpwstr/>
      </vt:variant>
      <vt:variant>
        <vt:lpwstr>_Toc290364250</vt:lpwstr>
      </vt:variant>
      <vt:variant>
        <vt:i4>1900598</vt:i4>
      </vt:variant>
      <vt:variant>
        <vt:i4>3446</vt:i4>
      </vt:variant>
      <vt:variant>
        <vt:i4>0</vt:i4>
      </vt:variant>
      <vt:variant>
        <vt:i4>5</vt:i4>
      </vt:variant>
      <vt:variant>
        <vt:lpwstr/>
      </vt:variant>
      <vt:variant>
        <vt:lpwstr>_Toc290364249</vt:lpwstr>
      </vt:variant>
      <vt:variant>
        <vt:i4>1900598</vt:i4>
      </vt:variant>
      <vt:variant>
        <vt:i4>3440</vt:i4>
      </vt:variant>
      <vt:variant>
        <vt:i4>0</vt:i4>
      </vt:variant>
      <vt:variant>
        <vt:i4>5</vt:i4>
      </vt:variant>
      <vt:variant>
        <vt:lpwstr/>
      </vt:variant>
      <vt:variant>
        <vt:lpwstr>_Toc290364248</vt:lpwstr>
      </vt:variant>
      <vt:variant>
        <vt:i4>1900598</vt:i4>
      </vt:variant>
      <vt:variant>
        <vt:i4>3434</vt:i4>
      </vt:variant>
      <vt:variant>
        <vt:i4>0</vt:i4>
      </vt:variant>
      <vt:variant>
        <vt:i4>5</vt:i4>
      </vt:variant>
      <vt:variant>
        <vt:lpwstr/>
      </vt:variant>
      <vt:variant>
        <vt:lpwstr>_Toc290364247</vt:lpwstr>
      </vt:variant>
      <vt:variant>
        <vt:i4>1900598</vt:i4>
      </vt:variant>
      <vt:variant>
        <vt:i4>3428</vt:i4>
      </vt:variant>
      <vt:variant>
        <vt:i4>0</vt:i4>
      </vt:variant>
      <vt:variant>
        <vt:i4>5</vt:i4>
      </vt:variant>
      <vt:variant>
        <vt:lpwstr/>
      </vt:variant>
      <vt:variant>
        <vt:lpwstr>_Toc290364246</vt:lpwstr>
      </vt:variant>
      <vt:variant>
        <vt:i4>1900598</vt:i4>
      </vt:variant>
      <vt:variant>
        <vt:i4>3422</vt:i4>
      </vt:variant>
      <vt:variant>
        <vt:i4>0</vt:i4>
      </vt:variant>
      <vt:variant>
        <vt:i4>5</vt:i4>
      </vt:variant>
      <vt:variant>
        <vt:lpwstr/>
      </vt:variant>
      <vt:variant>
        <vt:lpwstr>_Toc290364245</vt:lpwstr>
      </vt:variant>
      <vt:variant>
        <vt:i4>1900598</vt:i4>
      </vt:variant>
      <vt:variant>
        <vt:i4>3416</vt:i4>
      </vt:variant>
      <vt:variant>
        <vt:i4>0</vt:i4>
      </vt:variant>
      <vt:variant>
        <vt:i4>5</vt:i4>
      </vt:variant>
      <vt:variant>
        <vt:lpwstr/>
      </vt:variant>
      <vt:variant>
        <vt:lpwstr>_Toc290364244</vt:lpwstr>
      </vt:variant>
      <vt:variant>
        <vt:i4>1900598</vt:i4>
      </vt:variant>
      <vt:variant>
        <vt:i4>3410</vt:i4>
      </vt:variant>
      <vt:variant>
        <vt:i4>0</vt:i4>
      </vt:variant>
      <vt:variant>
        <vt:i4>5</vt:i4>
      </vt:variant>
      <vt:variant>
        <vt:lpwstr/>
      </vt:variant>
      <vt:variant>
        <vt:lpwstr>_Toc290364243</vt:lpwstr>
      </vt:variant>
      <vt:variant>
        <vt:i4>1900598</vt:i4>
      </vt:variant>
      <vt:variant>
        <vt:i4>3404</vt:i4>
      </vt:variant>
      <vt:variant>
        <vt:i4>0</vt:i4>
      </vt:variant>
      <vt:variant>
        <vt:i4>5</vt:i4>
      </vt:variant>
      <vt:variant>
        <vt:lpwstr/>
      </vt:variant>
      <vt:variant>
        <vt:lpwstr>_Toc290364242</vt:lpwstr>
      </vt:variant>
      <vt:variant>
        <vt:i4>1900598</vt:i4>
      </vt:variant>
      <vt:variant>
        <vt:i4>3398</vt:i4>
      </vt:variant>
      <vt:variant>
        <vt:i4>0</vt:i4>
      </vt:variant>
      <vt:variant>
        <vt:i4>5</vt:i4>
      </vt:variant>
      <vt:variant>
        <vt:lpwstr/>
      </vt:variant>
      <vt:variant>
        <vt:lpwstr>_Toc290364241</vt:lpwstr>
      </vt:variant>
      <vt:variant>
        <vt:i4>1900598</vt:i4>
      </vt:variant>
      <vt:variant>
        <vt:i4>3392</vt:i4>
      </vt:variant>
      <vt:variant>
        <vt:i4>0</vt:i4>
      </vt:variant>
      <vt:variant>
        <vt:i4>5</vt:i4>
      </vt:variant>
      <vt:variant>
        <vt:lpwstr/>
      </vt:variant>
      <vt:variant>
        <vt:lpwstr>_Toc290364240</vt:lpwstr>
      </vt:variant>
      <vt:variant>
        <vt:i4>1703990</vt:i4>
      </vt:variant>
      <vt:variant>
        <vt:i4>3386</vt:i4>
      </vt:variant>
      <vt:variant>
        <vt:i4>0</vt:i4>
      </vt:variant>
      <vt:variant>
        <vt:i4>5</vt:i4>
      </vt:variant>
      <vt:variant>
        <vt:lpwstr/>
      </vt:variant>
      <vt:variant>
        <vt:lpwstr>_Toc290364239</vt:lpwstr>
      </vt:variant>
      <vt:variant>
        <vt:i4>1703990</vt:i4>
      </vt:variant>
      <vt:variant>
        <vt:i4>3380</vt:i4>
      </vt:variant>
      <vt:variant>
        <vt:i4>0</vt:i4>
      </vt:variant>
      <vt:variant>
        <vt:i4>5</vt:i4>
      </vt:variant>
      <vt:variant>
        <vt:lpwstr/>
      </vt:variant>
      <vt:variant>
        <vt:lpwstr>_Toc290364238</vt:lpwstr>
      </vt:variant>
      <vt:variant>
        <vt:i4>1703990</vt:i4>
      </vt:variant>
      <vt:variant>
        <vt:i4>3374</vt:i4>
      </vt:variant>
      <vt:variant>
        <vt:i4>0</vt:i4>
      </vt:variant>
      <vt:variant>
        <vt:i4>5</vt:i4>
      </vt:variant>
      <vt:variant>
        <vt:lpwstr/>
      </vt:variant>
      <vt:variant>
        <vt:lpwstr>_Toc290364237</vt:lpwstr>
      </vt:variant>
      <vt:variant>
        <vt:i4>1703990</vt:i4>
      </vt:variant>
      <vt:variant>
        <vt:i4>3368</vt:i4>
      </vt:variant>
      <vt:variant>
        <vt:i4>0</vt:i4>
      </vt:variant>
      <vt:variant>
        <vt:i4>5</vt:i4>
      </vt:variant>
      <vt:variant>
        <vt:lpwstr/>
      </vt:variant>
      <vt:variant>
        <vt:lpwstr>_Toc290364236</vt:lpwstr>
      </vt:variant>
      <vt:variant>
        <vt:i4>1703990</vt:i4>
      </vt:variant>
      <vt:variant>
        <vt:i4>3362</vt:i4>
      </vt:variant>
      <vt:variant>
        <vt:i4>0</vt:i4>
      </vt:variant>
      <vt:variant>
        <vt:i4>5</vt:i4>
      </vt:variant>
      <vt:variant>
        <vt:lpwstr/>
      </vt:variant>
      <vt:variant>
        <vt:lpwstr>_Toc290364235</vt:lpwstr>
      </vt:variant>
      <vt:variant>
        <vt:i4>1703990</vt:i4>
      </vt:variant>
      <vt:variant>
        <vt:i4>3356</vt:i4>
      </vt:variant>
      <vt:variant>
        <vt:i4>0</vt:i4>
      </vt:variant>
      <vt:variant>
        <vt:i4>5</vt:i4>
      </vt:variant>
      <vt:variant>
        <vt:lpwstr/>
      </vt:variant>
      <vt:variant>
        <vt:lpwstr>_Toc290364234</vt:lpwstr>
      </vt:variant>
      <vt:variant>
        <vt:i4>1703990</vt:i4>
      </vt:variant>
      <vt:variant>
        <vt:i4>3350</vt:i4>
      </vt:variant>
      <vt:variant>
        <vt:i4>0</vt:i4>
      </vt:variant>
      <vt:variant>
        <vt:i4>5</vt:i4>
      </vt:variant>
      <vt:variant>
        <vt:lpwstr/>
      </vt:variant>
      <vt:variant>
        <vt:lpwstr>_Toc290364233</vt:lpwstr>
      </vt:variant>
      <vt:variant>
        <vt:i4>1703990</vt:i4>
      </vt:variant>
      <vt:variant>
        <vt:i4>3344</vt:i4>
      </vt:variant>
      <vt:variant>
        <vt:i4>0</vt:i4>
      </vt:variant>
      <vt:variant>
        <vt:i4>5</vt:i4>
      </vt:variant>
      <vt:variant>
        <vt:lpwstr/>
      </vt:variant>
      <vt:variant>
        <vt:lpwstr>_Toc290364232</vt:lpwstr>
      </vt:variant>
      <vt:variant>
        <vt:i4>1703990</vt:i4>
      </vt:variant>
      <vt:variant>
        <vt:i4>3338</vt:i4>
      </vt:variant>
      <vt:variant>
        <vt:i4>0</vt:i4>
      </vt:variant>
      <vt:variant>
        <vt:i4>5</vt:i4>
      </vt:variant>
      <vt:variant>
        <vt:lpwstr/>
      </vt:variant>
      <vt:variant>
        <vt:lpwstr>_Toc290364231</vt:lpwstr>
      </vt:variant>
      <vt:variant>
        <vt:i4>1703990</vt:i4>
      </vt:variant>
      <vt:variant>
        <vt:i4>3332</vt:i4>
      </vt:variant>
      <vt:variant>
        <vt:i4>0</vt:i4>
      </vt:variant>
      <vt:variant>
        <vt:i4>5</vt:i4>
      </vt:variant>
      <vt:variant>
        <vt:lpwstr/>
      </vt:variant>
      <vt:variant>
        <vt:lpwstr>_Toc290364230</vt:lpwstr>
      </vt:variant>
      <vt:variant>
        <vt:i4>1769526</vt:i4>
      </vt:variant>
      <vt:variant>
        <vt:i4>3326</vt:i4>
      </vt:variant>
      <vt:variant>
        <vt:i4>0</vt:i4>
      </vt:variant>
      <vt:variant>
        <vt:i4>5</vt:i4>
      </vt:variant>
      <vt:variant>
        <vt:lpwstr/>
      </vt:variant>
      <vt:variant>
        <vt:lpwstr>_Toc290364229</vt:lpwstr>
      </vt:variant>
      <vt:variant>
        <vt:i4>1769526</vt:i4>
      </vt:variant>
      <vt:variant>
        <vt:i4>3320</vt:i4>
      </vt:variant>
      <vt:variant>
        <vt:i4>0</vt:i4>
      </vt:variant>
      <vt:variant>
        <vt:i4>5</vt:i4>
      </vt:variant>
      <vt:variant>
        <vt:lpwstr/>
      </vt:variant>
      <vt:variant>
        <vt:lpwstr>_Toc290364228</vt:lpwstr>
      </vt:variant>
      <vt:variant>
        <vt:i4>1769526</vt:i4>
      </vt:variant>
      <vt:variant>
        <vt:i4>3314</vt:i4>
      </vt:variant>
      <vt:variant>
        <vt:i4>0</vt:i4>
      </vt:variant>
      <vt:variant>
        <vt:i4>5</vt:i4>
      </vt:variant>
      <vt:variant>
        <vt:lpwstr/>
      </vt:variant>
      <vt:variant>
        <vt:lpwstr>_Toc290364227</vt:lpwstr>
      </vt:variant>
      <vt:variant>
        <vt:i4>1769526</vt:i4>
      </vt:variant>
      <vt:variant>
        <vt:i4>3308</vt:i4>
      </vt:variant>
      <vt:variant>
        <vt:i4>0</vt:i4>
      </vt:variant>
      <vt:variant>
        <vt:i4>5</vt:i4>
      </vt:variant>
      <vt:variant>
        <vt:lpwstr/>
      </vt:variant>
      <vt:variant>
        <vt:lpwstr>_Toc290364226</vt:lpwstr>
      </vt:variant>
      <vt:variant>
        <vt:i4>1769526</vt:i4>
      </vt:variant>
      <vt:variant>
        <vt:i4>3302</vt:i4>
      </vt:variant>
      <vt:variant>
        <vt:i4>0</vt:i4>
      </vt:variant>
      <vt:variant>
        <vt:i4>5</vt:i4>
      </vt:variant>
      <vt:variant>
        <vt:lpwstr/>
      </vt:variant>
      <vt:variant>
        <vt:lpwstr>_Toc290364225</vt:lpwstr>
      </vt:variant>
      <vt:variant>
        <vt:i4>1769526</vt:i4>
      </vt:variant>
      <vt:variant>
        <vt:i4>3296</vt:i4>
      </vt:variant>
      <vt:variant>
        <vt:i4>0</vt:i4>
      </vt:variant>
      <vt:variant>
        <vt:i4>5</vt:i4>
      </vt:variant>
      <vt:variant>
        <vt:lpwstr/>
      </vt:variant>
      <vt:variant>
        <vt:lpwstr>_Toc290364224</vt:lpwstr>
      </vt:variant>
      <vt:variant>
        <vt:i4>1769526</vt:i4>
      </vt:variant>
      <vt:variant>
        <vt:i4>3290</vt:i4>
      </vt:variant>
      <vt:variant>
        <vt:i4>0</vt:i4>
      </vt:variant>
      <vt:variant>
        <vt:i4>5</vt:i4>
      </vt:variant>
      <vt:variant>
        <vt:lpwstr/>
      </vt:variant>
      <vt:variant>
        <vt:lpwstr>_Toc290364223</vt:lpwstr>
      </vt:variant>
      <vt:variant>
        <vt:i4>1769526</vt:i4>
      </vt:variant>
      <vt:variant>
        <vt:i4>3284</vt:i4>
      </vt:variant>
      <vt:variant>
        <vt:i4>0</vt:i4>
      </vt:variant>
      <vt:variant>
        <vt:i4>5</vt:i4>
      </vt:variant>
      <vt:variant>
        <vt:lpwstr/>
      </vt:variant>
      <vt:variant>
        <vt:lpwstr>_Toc290364222</vt:lpwstr>
      </vt:variant>
      <vt:variant>
        <vt:i4>1769526</vt:i4>
      </vt:variant>
      <vt:variant>
        <vt:i4>3278</vt:i4>
      </vt:variant>
      <vt:variant>
        <vt:i4>0</vt:i4>
      </vt:variant>
      <vt:variant>
        <vt:i4>5</vt:i4>
      </vt:variant>
      <vt:variant>
        <vt:lpwstr/>
      </vt:variant>
      <vt:variant>
        <vt:lpwstr>_Toc290364221</vt:lpwstr>
      </vt:variant>
      <vt:variant>
        <vt:i4>1769526</vt:i4>
      </vt:variant>
      <vt:variant>
        <vt:i4>3272</vt:i4>
      </vt:variant>
      <vt:variant>
        <vt:i4>0</vt:i4>
      </vt:variant>
      <vt:variant>
        <vt:i4>5</vt:i4>
      </vt:variant>
      <vt:variant>
        <vt:lpwstr/>
      </vt:variant>
      <vt:variant>
        <vt:lpwstr>_Toc290364220</vt:lpwstr>
      </vt:variant>
      <vt:variant>
        <vt:i4>1572918</vt:i4>
      </vt:variant>
      <vt:variant>
        <vt:i4>3266</vt:i4>
      </vt:variant>
      <vt:variant>
        <vt:i4>0</vt:i4>
      </vt:variant>
      <vt:variant>
        <vt:i4>5</vt:i4>
      </vt:variant>
      <vt:variant>
        <vt:lpwstr/>
      </vt:variant>
      <vt:variant>
        <vt:lpwstr>_Toc290364219</vt:lpwstr>
      </vt:variant>
      <vt:variant>
        <vt:i4>1572918</vt:i4>
      </vt:variant>
      <vt:variant>
        <vt:i4>3260</vt:i4>
      </vt:variant>
      <vt:variant>
        <vt:i4>0</vt:i4>
      </vt:variant>
      <vt:variant>
        <vt:i4>5</vt:i4>
      </vt:variant>
      <vt:variant>
        <vt:lpwstr/>
      </vt:variant>
      <vt:variant>
        <vt:lpwstr>_Toc290364218</vt:lpwstr>
      </vt:variant>
      <vt:variant>
        <vt:i4>1572918</vt:i4>
      </vt:variant>
      <vt:variant>
        <vt:i4>3254</vt:i4>
      </vt:variant>
      <vt:variant>
        <vt:i4>0</vt:i4>
      </vt:variant>
      <vt:variant>
        <vt:i4>5</vt:i4>
      </vt:variant>
      <vt:variant>
        <vt:lpwstr/>
      </vt:variant>
      <vt:variant>
        <vt:lpwstr>_Toc290364217</vt:lpwstr>
      </vt:variant>
      <vt:variant>
        <vt:i4>1572918</vt:i4>
      </vt:variant>
      <vt:variant>
        <vt:i4>3248</vt:i4>
      </vt:variant>
      <vt:variant>
        <vt:i4>0</vt:i4>
      </vt:variant>
      <vt:variant>
        <vt:i4>5</vt:i4>
      </vt:variant>
      <vt:variant>
        <vt:lpwstr/>
      </vt:variant>
      <vt:variant>
        <vt:lpwstr>_Toc290364216</vt:lpwstr>
      </vt:variant>
      <vt:variant>
        <vt:i4>1572918</vt:i4>
      </vt:variant>
      <vt:variant>
        <vt:i4>3242</vt:i4>
      </vt:variant>
      <vt:variant>
        <vt:i4>0</vt:i4>
      </vt:variant>
      <vt:variant>
        <vt:i4>5</vt:i4>
      </vt:variant>
      <vt:variant>
        <vt:lpwstr/>
      </vt:variant>
      <vt:variant>
        <vt:lpwstr>_Toc290364215</vt:lpwstr>
      </vt:variant>
      <vt:variant>
        <vt:i4>1572918</vt:i4>
      </vt:variant>
      <vt:variant>
        <vt:i4>3236</vt:i4>
      </vt:variant>
      <vt:variant>
        <vt:i4>0</vt:i4>
      </vt:variant>
      <vt:variant>
        <vt:i4>5</vt:i4>
      </vt:variant>
      <vt:variant>
        <vt:lpwstr/>
      </vt:variant>
      <vt:variant>
        <vt:lpwstr>_Toc290364214</vt:lpwstr>
      </vt:variant>
      <vt:variant>
        <vt:i4>1572918</vt:i4>
      </vt:variant>
      <vt:variant>
        <vt:i4>3230</vt:i4>
      </vt:variant>
      <vt:variant>
        <vt:i4>0</vt:i4>
      </vt:variant>
      <vt:variant>
        <vt:i4>5</vt:i4>
      </vt:variant>
      <vt:variant>
        <vt:lpwstr/>
      </vt:variant>
      <vt:variant>
        <vt:lpwstr>_Toc290364213</vt:lpwstr>
      </vt:variant>
      <vt:variant>
        <vt:i4>1572918</vt:i4>
      </vt:variant>
      <vt:variant>
        <vt:i4>3224</vt:i4>
      </vt:variant>
      <vt:variant>
        <vt:i4>0</vt:i4>
      </vt:variant>
      <vt:variant>
        <vt:i4>5</vt:i4>
      </vt:variant>
      <vt:variant>
        <vt:lpwstr/>
      </vt:variant>
      <vt:variant>
        <vt:lpwstr>_Toc290364212</vt:lpwstr>
      </vt:variant>
      <vt:variant>
        <vt:i4>1572918</vt:i4>
      </vt:variant>
      <vt:variant>
        <vt:i4>3218</vt:i4>
      </vt:variant>
      <vt:variant>
        <vt:i4>0</vt:i4>
      </vt:variant>
      <vt:variant>
        <vt:i4>5</vt:i4>
      </vt:variant>
      <vt:variant>
        <vt:lpwstr/>
      </vt:variant>
      <vt:variant>
        <vt:lpwstr>_Toc290364211</vt:lpwstr>
      </vt:variant>
      <vt:variant>
        <vt:i4>1572918</vt:i4>
      </vt:variant>
      <vt:variant>
        <vt:i4>3212</vt:i4>
      </vt:variant>
      <vt:variant>
        <vt:i4>0</vt:i4>
      </vt:variant>
      <vt:variant>
        <vt:i4>5</vt:i4>
      </vt:variant>
      <vt:variant>
        <vt:lpwstr/>
      </vt:variant>
      <vt:variant>
        <vt:lpwstr>_Toc290364210</vt:lpwstr>
      </vt:variant>
      <vt:variant>
        <vt:i4>1638454</vt:i4>
      </vt:variant>
      <vt:variant>
        <vt:i4>3206</vt:i4>
      </vt:variant>
      <vt:variant>
        <vt:i4>0</vt:i4>
      </vt:variant>
      <vt:variant>
        <vt:i4>5</vt:i4>
      </vt:variant>
      <vt:variant>
        <vt:lpwstr/>
      </vt:variant>
      <vt:variant>
        <vt:lpwstr>_Toc290364209</vt:lpwstr>
      </vt:variant>
      <vt:variant>
        <vt:i4>1638454</vt:i4>
      </vt:variant>
      <vt:variant>
        <vt:i4>3200</vt:i4>
      </vt:variant>
      <vt:variant>
        <vt:i4>0</vt:i4>
      </vt:variant>
      <vt:variant>
        <vt:i4>5</vt:i4>
      </vt:variant>
      <vt:variant>
        <vt:lpwstr/>
      </vt:variant>
      <vt:variant>
        <vt:lpwstr>_Toc290364208</vt:lpwstr>
      </vt:variant>
      <vt:variant>
        <vt:i4>1638454</vt:i4>
      </vt:variant>
      <vt:variant>
        <vt:i4>3194</vt:i4>
      </vt:variant>
      <vt:variant>
        <vt:i4>0</vt:i4>
      </vt:variant>
      <vt:variant>
        <vt:i4>5</vt:i4>
      </vt:variant>
      <vt:variant>
        <vt:lpwstr/>
      </vt:variant>
      <vt:variant>
        <vt:lpwstr>_Toc290364207</vt:lpwstr>
      </vt:variant>
      <vt:variant>
        <vt:i4>1638454</vt:i4>
      </vt:variant>
      <vt:variant>
        <vt:i4>3188</vt:i4>
      </vt:variant>
      <vt:variant>
        <vt:i4>0</vt:i4>
      </vt:variant>
      <vt:variant>
        <vt:i4>5</vt:i4>
      </vt:variant>
      <vt:variant>
        <vt:lpwstr/>
      </vt:variant>
      <vt:variant>
        <vt:lpwstr>_Toc290364206</vt:lpwstr>
      </vt:variant>
      <vt:variant>
        <vt:i4>1638454</vt:i4>
      </vt:variant>
      <vt:variant>
        <vt:i4>3182</vt:i4>
      </vt:variant>
      <vt:variant>
        <vt:i4>0</vt:i4>
      </vt:variant>
      <vt:variant>
        <vt:i4>5</vt:i4>
      </vt:variant>
      <vt:variant>
        <vt:lpwstr/>
      </vt:variant>
      <vt:variant>
        <vt:lpwstr>_Toc290364205</vt:lpwstr>
      </vt:variant>
      <vt:variant>
        <vt:i4>1638454</vt:i4>
      </vt:variant>
      <vt:variant>
        <vt:i4>3176</vt:i4>
      </vt:variant>
      <vt:variant>
        <vt:i4>0</vt:i4>
      </vt:variant>
      <vt:variant>
        <vt:i4>5</vt:i4>
      </vt:variant>
      <vt:variant>
        <vt:lpwstr/>
      </vt:variant>
      <vt:variant>
        <vt:lpwstr>_Toc290364204</vt:lpwstr>
      </vt:variant>
      <vt:variant>
        <vt:i4>1638454</vt:i4>
      </vt:variant>
      <vt:variant>
        <vt:i4>3170</vt:i4>
      </vt:variant>
      <vt:variant>
        <vt:i4>0</vt:i4>
      </vt:variant>
      <vt:variant>
        <vt:i4>5</vt:i4>
      </vt:variant>
      <vt:variant>
        <vt:lpwstr/>
      </vt:variant>
      <vt:variant>
        <vt:lpwstr>_Toc290364203</vt:lpwstr>
      </vt:variant>
      <vt:variant>
        <vt:i4>1638454</vt:i4>
      </vt:variant>
      <vt:variant>
        <vt:i4>3164</vt:i4>
      </vt:variant>
      <vt:variant>
        <vt:i4>0</vt:i4>
      </vt:variant>
      <vt:variant>
        <vt:i4>5</vt:i4>
      </vt:variant>
      <vt:variant>
        <vt:lpwstr/>
      </vt:variant>
      <vt:variant>
        <vt:lpwstr>_Toc290364202</vt:lpwstr>
      </vt:variant>
      <vt:variant>
        <vt:i4>1638454</vt:i4>
      </vt:variant>
      <vt:variant>
        <vt:i4>3158</vt:i4>
      </vt:variant>
      <vt:variant>
        <vt:i4>0</vt:i4>
      </vt:variant>
      <vt:variant>
        <vt:i4>5</vt:i4>
      </vt:variant>
      <vt:variant>
        <vt:lpwstr/>
      </vt:variant>
      <vt:variant>
        <vt:lpwstr>_Toc290364201</vt:lpwstr>
      </vt:variant>
      <vt:variant>
        <vt:i4>1638454</vt:i4>
      </vt:variant>
      <vt:variant>
        <vt:i4>3152</vt:i4>
      </vt:variant>
      <vt:variant>
        <vt:i4>0</vt:i4>
      </vt:variant>
      <vt:variant>
        <vt:i4>5</vt:i4>
      </vt:variant>
      <vt:variant>
        <vt:lpwstr/>
      </vt:variant>
      <vt:variant>
        <vt:lpwstr>_Toc290364200</vt:lpwstr>
      </vt:variant>
      <vt:variant>
        <vt:i4>1048629</vt:i4>
      </vt:variant>
      <vt:variant>
        <vt:i4>3146</vt:i4>
      </vt:variant>
      <vt:variant>
        <vt:i4>0</vt:i4>
      </vt:variant>
      <vt:variant>
        <vt:i4>5</vt:i4>
      </vt:variant>
      <vt:variant>
        <vt:lpwstr/>
      </vt:variant>
      <vt:variant>
        <vt:lpwstr>_Toc290364199</vt:lpwstr>
      </vt:variant>
      <vt:variant>
        <vt:i4>1048629</vt:i4>
      </vt:variant>
      <vt:variant>
        <vt:i4>3140</vt:i4>
      </vt:variant>
      <vt:variant>
        <vt:i4>0</vt:i4>
      </vt:variant>
      <vt:variant>
        <vt:i4>5</vt:i4>
      </vt:variant>
      <vt:variant>
        <vt:lpwstr/>
      </vt:variant>
      <vt:variant>
        <vt:lpwstr>_Toc290364198</vt:lpwstr>
      </vt:variant>
      <vt:variant>
        <vt:i4>1048629</vt:i4>
      </vt:variant>
      <vt:variant>
        <vt:i4>3134</vt:i4>
      </vt:variant>
      <vt:variant>
        <vt:i4>0</vt:i4>
      </vt:variant>
      <vt:variant>
        <vt:i4>5</vt:i4>
      </vt:variant>
      <vt:variant>
        <vt:lpwstr/>
      </vt:variant>
      <vt:variant>
        <vt:lpwstr>_Toc290364197</vt:lpwstr>
      </vt:variant>
      <vt:variant>
        <vt:i4>1048629</vt:i4>
      </vt:variant>
      <vt:variant>
        <vt:i4>3128</vt:i4>
      </vt:variant>
      <vt:variant>
        <vt:i4>0</vt:i4>
      </vt:variant>
      <vt:variant>
        <vt:i4>5</vt:i4>
      </vt:variant>
      <vt:variant>
        <vt:lpwstr/>
      </vt:variant>
      <vt:variant>
        <vt:lpwstr>_Toc290364196</vt:lpwstr>
      </vt:variant>
      <vt:variant>
        <vt:i4>1048629</vt:i4>
      </vt:variant>
      <vt:variant>
        <vt:i4>3122</vt:i4>
      </vt:variant>
      <vt:variant>
        <vt:i4>0</vt:i4>
      </vt:variant>
      <vt:variant>
        <vt:i4>5</vt:i4>
      </vt:variant>
      <vt:variant>
        <vt:lpwstr/>
      </vt:variant>
      <vt:variant>
        <vt:lpwstr>_Toc290364195</vt:lpwstr>
      </vt:variant>
      <vt:variant>
        <vt:i4>1048629</vt:i4>
      </vt:variant>
      <vt:variant>
        <vt:i4>3116</vt:i4>
      </vt:variant>
      <vt:variant>
        <vt:i4>0</vt:i4>
      </vt:variant>
      <vt:variant>
        <vt:i4>5</vt:i4>
      </vt:variant>
      <vt:variant>
        <vt:lpwstr/>
      </vt:variant>
      <vt:variant>
        <vt:lpwstr>_Toc290364194</vt:lpwstr>
      </vt:variant>
      <vt:variant>
        <vt:i4>1048629</vt:i4>
      </vt:variant>
      <vt:variant>
        <vt:i4>3110</vt:i4>
      </vt:variant>
      <vt:variant>
        <vt:i4>0</vt:i4>
      </vt:variant>
      <vt:variant>
        <vt:i4>5</vt:i4>
      </vt:variant>
      <vt:variant>
        <vt:lpwstr/>
      </vt:variant>
      <vt:variant>
        <vt:lpwstr>_Toc290364193</vt:lpwstr>
      </vt:variant>
      <vt:variant>
        <vt:i4>1048629</vt:i4>
      </vt:variant>
      <vt:variant>
        <vt:i4>3104</vt:i4>
      </vt:variant>
      <vt:variant>
        <vt:i4>0</vt:i4>
      </vt:variant>
      <vt:variant>
        <vt:i4>5</vt:i4>
      </vt:variant>
      <vt:variant>
        <vt:lpwstr/>
      </vt:variant>
      <vt:variant>
        <vt:lpwstr>_Toc290364192</vt:lpwstr>
      </vt:variant>
      <vt:variant>
        <vt:i4>1048629</vt:i4>
      </vt:variant>
      <vt:variant>
        <vt:i4>3098</vt:i4>
      </vt:variant>
      <vt:variant>
        <vt:i4>0</vt:i4>
      </vt:variant>
      <vt:variant>
        <vt:i4>5</vt:i4>
      </vt:variant>
      <vt:variant>
        <vt:lpwstr/>
      </vt:variant>
      <vt:variant>
        <vt:lpwstr>_Toc290364191</vt:lpwstr>
      </vt:variant>
      <vt:variant>
        <vt:i4>1048629</vt:i4>
      </vt:variant>
      <vt:variant>
        <vt:i4>3092</vt:i4>
      </vt:variant>
      <vt:variant>
        <vt:i4>0</vt:i4>
      </vt:variant>
      <vt:variant>
        <vt:i4>5</vt:i4>
      </vt:variant>
      <vt:variant>
        <vt:lpwstr/>
      </vt:variant>
      <vt:variant>
        <vt:lpwstr>_Toc290364190</vt:lpwstr>
      </vt:variant>
      <vt:variant>
        <vt:i4>1114165</vt:i4>
      </vt:variant>
      <vt:variant>
        <vt:i4>3086</vt:i4>
      </vt:variant>
      <vt:variant>
        <vt:i4>0</vt:i4>
      </vt:variant>
      <vt:variant>
        <vt:i4>5</vt:i4>
      </vt:variant>
      <vt:variant>
        <vt:lpwstr/>
      </vt:variant>
      <vt:variant>
        <vt:lpwstr>_Toc290364189</vt:lpwstr>
      </vt:variant>
      <vt:variant>
        <vt:i4>1114165</vt:i4>
      </vt:variant>
      <vt:variant>
        <vt:i4>3080</vt:i4>
      </vt:variant>
      <vt:variant>
        <vt:i4>0</vt:i4>
      </vt:variant>
      <vt:variant>
        <vt:i4>5</vt:i4>
      </vt:variant>
      <vt:variant>
        <vt:lpwstr/>
      </vt:variant>
      <vt:variant>
        <vt:lpwstr>_Toc290364188</vt:lpwstr>
      </vt:variant>
      <vt:variant>
        <vt:i4>1114165</vt:i4>
      </vt:variant>
      <vt:variant>
        <vt:i4>3074</vt:i4>
      </vt:variant>
      <vt:variant>
        <vt:i4>0</vt:i4>
      </vt:variant>
      <vt:variant>
        <vt:i4>5</vt:i4>
      </vt:variant>
      <vt:variant>
        <vt:lpwstr/>
      </vt:variant>
      <vt:variant>
        <vt:lpwstr>_Toc290364187</vt:lpwstr>
      </vt:variant>
      <vt:variant>
        <vt:i4>1114165</vt:i4>
      </vt:variant>
      <vt:variant>
        <vt:i4>3068</vt:i4>
      </vt:variant>
      <vt:variant>
        <vt:i4>0</vt:i4>
      </vt:variant>
      <vt:variant>
        <vt:i4>5</vt:i4>
      </vt:variant>
      <vt:variant>
        <vt:lpwstr/>
      </vt:variant>
      <vt:variant>
        <vt:lpwstr>_Toc290364186</vt:lpwstr>
      </vt:variant>
      <vt:variant>
        <vt:i4>1114165</vt:i4>
      </vt:variant>
      <vt:variant>
        <vt:i4>3062</vt:i4>
      </vt:variant>
      <vt:variant>
        <vt:i4>0</vt:i4>
      </vt:variant>
      <vt:variant>
        <vt:i4>5</vt:i4>
      </vt:variant>
      <vt:variant>
        <vt:lpwstr/>
      </vt:variant>
      <vt:variant>
        <vt:lpwstr>_Toc290364185</vt:lpwstr>
      </vt:variant>
      <vt:variant>
        <vt:i4>1114165</vt:i4>
      </vt:variant>
      <vt:variant>
        <vt:i4>3056</vt:i4>
      </vt:variant>
      <vt:variant>
        <vt:i4>0</vt:i4>
      </vt:variant>
      <vt:variant>
        <vt:i4>5</vt:i4>
      </vt:variant>
      <vt:variant>
        <vt:lpwstr/>
      </vt:variant>
      <vt:variant>
        <vt:lpwstr>_Toc290364184</vt:lpwstr>
      </vt:variant>
      <vt:variant>
        <vt:i4>1114165</vt:i4>
      </vt:variant>
      <vt:variant>
        <vt:i4>3050</vt:i4>
      </vt:variant>
      <vt:variant>
        <vt:i4>0</vt:i4>
      </vt:variant>
      <vt:variant>
        <vt:i4>5</vt:i4>
      </vt:variant>
      <vt:variant>
        <vt:lpwstr/>
      </vt:variant>
      <vt:variant>
        <vt:lpwstr>_Toc290364183</vt:lpwstr>
      </vt:variant>
      <vt:variant>
        <vt:i4>1114165</vt:i4>
      </vt:variant>
      <vt:variant>
        <vt:i4>3044</vt:i4>
      </vt:variant>
      <vt:variant>
        <vt:i4>0</vt:i4>
      </vt:variant>
      <vt:variant>
        <vt:i4>5</vt:i4>
      </vt:variant>
      <vt:variant>
        <vt:lpwstr/>
      </vt:variant>
      <vt:variant>
        <vt:lpwstr>_Toc290364182</vt:lpwstr>
      </vt:variant>
      <vt:variant>
        <vt:i4>1114165</vt:i4>
      </vt:variant>
      <vt:variant>
        <vt:i4>3038</vt:i4>
      </vt:variant>
      <vt:variant>
        <vt:i4>0</vt:i4>
      </vt:variant>
      <vt:variant>
        <vt:i4>5</vt:i4>
      </vt:variant>
      <vt:variant>
        <vt:lpwstr/>
      </vt:variant>
      <vt:variant>
        <vt:lpwstr>_Toc290364181</vt:lpwstr>
      </vt:variant>
      <vt:variant>
        <vt:i4>1114165</vt:i4>
      </vt:variant>
      <vt:variant>
        <vt:i4>3032</vt:i4>
      </vt:variant>
      <vt:variant>
        <vt:i4>0</vt:i4>
      </vt:variant>
      <vt:variant>
        <vt:i4>5</vt:i4>
      </vt:variant>
      <vt:variant>
        <vt:lpwstr/>
      </vt:variant>
      <vt:variant>
        <vt:lpwstr>_Toc290364180</vt:lpwstr>
      </vt:variant>
      <vt:variant>
        <vt:i4>1966133</vt:i4>
      </vt:variant>
      <vt:variant>
        <vt:i4>3026</vt:i4>
      </vt:variant>
      <vt:variant>
        <vt:i4>0</vt:i4>
      </vt:variant>
      <vt:variant>
        <vt:i4>5</vt:i4>
      </vt:variant>
      <vt:variant>
        <vt:lpwstr/>
      </vt:variant>
      <vt:variant>
        <vt:lpwstr>_Toc290364179</vt:lpwstr>
      </vt:variant>
      <vt:variant>
        <vt:i4>1966133</vt:i4>
      </vt:variant>
      <vt:variant>
        <vt:i4>3020</vt:i4>
      </vt:variant>
      <vt:variant>
        <vt:i4>0</vt:i4>
      </vt:variant>
      <vt:variant>
        <vt:i4>5</vt:i4>
      </vt:variant>
      <vt:variant>
        <vt:lpwstr/>
      </vt:variant>
      <vt:variant>
        <vt:lpwstr>_Toc290364178</vt:lpwstr>
      </vt:variant>
      <vt:variant>
        <vt:i4>1966133</vt:i4>
      </vt:variant>
      <vt:variant>
        <vt:i4>3014</vt:i4>
      </vt:variant>
      <vt:variant>
        <vt:i4>0</vt:i4>
      </vt:variant>
      <vt:variant>
        <vt:i4>5</vt:i4>
      </vt:variant>
      <vt:variant>
        <vt:lpwstr/>
      </vt:variant>
      <vt:variant>
        <vt:lpwstr>_Toc290364177</vt:lpwstr>
      </vt:variant>
      <vt:variant>
        <vt:i4>1966133</vt:i4>
      </vt:variant>
      <vt:variant>
        <vt:i4>3008</vt:i4>
      </vt:variant>
      <vt:variant>
        <vt:i4>0</vt:i4>
      </vt:variant>
      <vt:variant>
        <vt:i4>5</vt:i4>
      </vt:variant>
      <vt:variant>
        <vt:lpwstr/>
      </vt:variant>
      <vt:variant>
        <vt:lpwstr>_Toc290364176</vt:lpwstr>
      </vt:variant>
      <vt:variant>
        <vt:i4>1966133</vt:i4>
      </vt:variant>
      <vt:variant>
        <vt:i4>3002</vt:i4>
      </vt:variant>
      <vt:variant>
        <vt:i4>0</vt:i4>
      </vt:variant>
      <vt:variant>
        <vt:i4>5</vt:i4>
      </vt:variant>
      <vt:variant>
        <vt:lpwstr/>
      </vt:variant>
      <vt:variant>
        <vt:lpwstr>_Toc290364175</vt:lpwstr>
      </vt:variant>
      <vt:variant>
        <vt:i4>1966133</vt:i4>
      </vt:variant>
      <vt:variant>
        <vt:i4>2996</vt:i4>
      </vt:variant>
      <vt:variant>
        <vt:i4>0</vt:i4>
      </vt:variant>
      <vt:variant>
        <vt:i4>5</vt:i4>
      </vt:variant>
      <vt:variant>
        <vt:lpwstr/>
      </vt:variant>
      <vt:variant>
        <vt:lpwstr>_Toc290364174</vt:lpwstr>
      </vt:variant>
      <vt:variant>
        <vt:i4>1966133</vt:i4>
      </vt:variant>
      <vt:variant>
        <vt:i4>2990</vt:i4>
      </vt:variant>
      <vt:variant>
        <vt:i4>0</vt:i4>
      </vt:variant>
      <vt:variant>
        <vt:i4>5</vt:i4>
      </vt:variant>
      <vt:variant>
        <vt:lpwstr/>
      </vt:variant>
      <vt:variant>
        <vt:lpwstr>_Toc290364173</vt:lpwstr>
      </vt:variant>
      <vt:variant>
        <vt:i4>1966133</vt:i4>
      </vt:variant>
      <vt:variant>
        <vt:i4>2984</vt:i4>
      </vt:variant>
      <vt:variant>
        <vt:i4>0</vt:i4>
      </vt:variant>
      <vt:variant>
        <vt:i4>5</vt:i4>
      </vt:variant>
      <vt:variant>
        <vt:lpwstr/>
      </vt:variant>
      <vt:variant>
        <vt:lpwstr>_Toc290364172</vt:lpwstr>
      </vt:variant>
      <vt:variant>
        <vt:i4>1966133</vt:i4>
      </vt:variant>
      <vt:variant>
        <vt:i4>2978</vt:i4>
      </vt:variant>
      <vt:variant>
        <vt:i4>0</vt:i4>
      </vt:variant>
      <vt:variant>
        <vt:i4>5</vt:i4>
      </vt:variant>
      <vt:variant>
        <vt:lpwstr/>
      </vt:variant>
      <vt:variant>
        <vt:lpwstr>_Toc290364171</vt:lpwstr>
      </vt:variant>
      <vt:variant>
        <vt:i4>1966133</vt:i4>
      </vt:variant>
      <vt:variant>
        <vt:i4>2972</vt:i4>
      </vt:variant>
      <vt:variant>
        <vt:i4>0</vt:i4>
      </vt:variant>
      <vt:variant>
        <vt:i4>5</vt:i4>
      </vt:variant>
      <vt:variant>
        <vt:lpwstr/>
      </vt:variant>
      <vt:variant>
        <vt:lpwstr>_Toc290364170</vt:lpwstr>
      </vt:variant>
      <vt:variant>
        <vt:i4>2031669</vt:i4>
      </vt:variant>
      <vt:variant>
        <vt:i4>2966</vt:i4>
      </vt:variant>
      <vt:variant>
        <vt:i4>0</vt:i4>
      </vt:variant>
      <vt:variant>
        <vt:i4>5</vt:i4>
      </vt:variant>
      <vt:variant>
        <vt:lpwstr/>
      </vt:variant>
      <vt:variant>
        <vt:lpwstr>_Toc290364169</vt:lpwstr>
      </vt:variant>
      <vt:variant>
        <vt:i4>2031669</vt:i4>
      </vt:variant>
      <vt:variant>
        <vt:i4>2960</vt:i4>
      </vt:variant>
      <vt:variant>
        <vt:i4>0</vt:i4>
      </vt:variant>
      <vt:variant>
        <vt:i4>5</vt:i4>
      </vt:variant>
      <vt:variant>
        <vt:lpwstr/>
      </vt:variant>
      <vt:variant>
        <vt:lpwstr>_Toc290364168</vt:lpwstr>
      </vt:variant>
      <vt:variant>
        <vt:i4>2031669</vt:i4>
      </vt:variant>
      <vt:variant>
        <vt:i4>2954</vt:i4>
      </vt:variant>
      <vt:variant>
        <vt:i4>0</vt:i4>
      </vt:variant>
      <vt:variant>
        <vt:i4>5</vt:i4>
      </vt:variant>
      <vt:variant>
        <vt:lpwstr/>
      </vt:variant>
      <vt:variant>
        <vt:lpwstr>_Toc290364167</vt:lpwstr>
      </vt:variant>
      <vt:variant>
        <vt:i4>2031669</vt:i4>
      </vt:variant>
      <vt:variant>
        <vt:i4>2948</vt:i4>
      </vt:variant>
      <vt:variant>
        <vt:i4>0</vt:i4>
      </vt:variant>
      <vt:variant>
        <vt:i4>5</vt:i4>
      </vt:variant>
      <vt:variant>
        <vt:lpwstr/>
      </vt:variant>
      <vt:variant>
        <vt:lpwstr>_Toc290364166</vt:lpwstr>
      </vt:variant>
      <vt:variant>
        <vt:i4>2031669</vt:i4>
      </vt:variant>
      <vt:variant>
        <vt:i4>2942</vt:i4>
      </vt:variant>
      <vt:variant>
        <vt:i4>0</vt:i4>
      </vt:variant>
      <vt:variant>
        <vt:i4>5</vt:i4>
      </vt:variant>
      <vt:variant>
        <vt:lpwstr/>
      </vt:variant>
      <vt:variant>
        <vt:lpwstr>_Toc290364165</vt:lpwstr>
      </vt:variant>
      <vt:variant>
        <vt:i4>2031669</vt:i4>
      </vt:variant>
      <vt:variant>
        <vt:i4>2936</vt:i4>
      </vt:variant>
      <vt:variant>
        <vt:i4>0</vt:i4>
      </vt:variant>
      <vt:variant>
        <vt:i4>5</vt:i4>
      </vt:variant>
      <vt:variant>
        <vt:lpwstr/>
      </vt:variant>
      <vt:variant>
        <vt:lpwstr>_Toc290364164</vt:lpwstr>
      </vt:variant>
      <vt:variant>
        <vt:i4>2031669</vt:i4>
      </vt:variant>
      <vt:variant>
        <vt:i4>2930</vt:i4>
      </vt:variant>
      <vt:variant>
        <vt:i4>0</vt:i4>
      </vt:variant>
      <vt:variant>
        <vt:i4>5</vt:i4>
      </vt:variant>
      <vt:variant>
        <vt:lpwstr/>
      </vt:variant>
      <vt:variant>
        <vt:lpwstr>_Toc290364163</vt:lpwstr>
      </vt:variant>
      <vt:variant>
        <vt:i4>2031669</vt:i4>
      </vt:variant>
      <vt:variant>
        <vt:i4>2924</vt:i4>
      </vt:variant>
      <vt:variant>
        <vt:i4>0</vt:i4>
      </vt:variant>
      <vt:variant>
        <vt:i4>5</vt:i4>
      </vt:variant>
      <vt:variant>
        <vt:lpwstr/>
      </vt:variant>
      <vt:variant>
        <vt:lpwstr>_Toc290364162</vt:lpwstr>
      </vt:variant>
      <vt:variant>
        <vt:i4>2031669</vt:i4>
      </vt:variant>
      <vt:variant>
        <vt:i4>2918</vt:i4>
      </vt:variant>
      <vt:variant>
        <vt:i4>0</vt:i4>
      </vt:variant>
      <vt:variant>
        <vt:i4>5</vt:i4>
      </vt:variant>
      <vt:variant>
        <vt:lpwstr/>
      </vt:variant>
      <vt:variant>
        <vt:lpwstr>_Toc290364161</vt:lpwstr>
      </vt:variant>
      <vt:variant>
        <vt:i4>2031669</vt:i4>
      </vt:variant>
      <vt:variant>
        <vt:i4>2912</vt:i4>
      </vt:variant>
      <vt:variant>
        <vt:i4>0</vt:i4>
      </vt:variant>
      <vt:variant>
        <vt:i4>5</vt:i4>
      </vt:variant>
      <vt:variant>
        <vt:lpwstr/>
      </vt:variant>
      <vt:variant>
        <vt:lpwstr>_Toc290364160</vt:lpwstr>
      </vt:variant>
      <vt:variant>
        <vt:i4>1835061</vt:i4>
      </vt:variant>
      <vt:variant>
        <vt:i4>2906</vt:i4>
      </vt:variant>
      <vt:variant>
        <vt:i4>0</vt:i4>
      </vt:variant>
      <vt:variant>
        <vt:i4>5</vt:i4>
      </vt:variant>
      <vt:variant>
        <vt:lpwstr/>
      </vt:variant>
      <vt:variant>
        <vt:lpwstr>_Toc290364159</vt:lpwstr>
      </vt:variant>
      <vt:variant>
        <vt:i4>1835061</vt:i4>
      </vt:variant>
      <vt:variant>
        <vt:i4>2900</vt:i4>
      </vt:variant>
      <vt:variant>
        <vt:i4>0</vt:i4>
      </vt:variant>
      <vt:variant>
        <vt:i4>5</vt:i4>
      </vt:variant>
      <vt:variant>
        <vt:lpwstr/>
      </vt:variant>
      <vt:variant>
        <vt:lpwstr>_Toc290364158</vt:lpwstr>
      </vt:variant>
      <vt:variant>
        <vt:i4>1835061</vt:i4>
      </vt:variant>
      <vt:variant>
        <vt:i4>2894</vt:i4>
      </vt:variant>
      <vt:variant>
        <vt:i4>0</vt:i4>
      </vt:variant>
      <vt:variant>
        <vt:i4>5</vt:i4>
      </vt:variant>
      <vt:variant>
        <vt:lpwstr/>
      </vt:variant>
      <vt:variant>
        <vt:lpwstr>_Toc290364157</vt:lpwstr>
      </vt:variant>
      <vt:variant>
        <vt:i4>1835061</vt:i4>
      </vt:variant>
      <vt:variant>
        <vt:i4>2888</vt:i4>
      </vt:variant>
      <vt:variant>
        <vt:i4>0</vt:i4>
      </vt:variant>
      <vt:variant>
        <vt:i4>5</vt:i4>
      </vt:variant>
      <vt:variant>
        <vt:lpwstr/>
      </vt:variant>
      <vt:variant>
        <vt:lpwstr>_Toc290364156</vt:lpwstr>
      </vt:variant>
      <vt:variant>
        <vt:i4>1835061</vt:i4>
      </vt:variant>
      <vt:variant>
        <vt:i4>2882</vt:i4>
      </vt:variant>
      <vt:variant>
        <vt:i4>0</vt:i4>
      </vt:variant>
      <vt:variant>
        <vt:i4>5</vt:i4>
      </vt:variant>
      <vt:variant>
        <vt:lpwstr/>
      </vt:variant>
      <vt:variant>
        <vt:lpwstr>_Toc290364155</vt:lpwstr>
      </vt:variant>
      <vt:variant>
        <vt:i4>1835061</vt:i4>
      </vt:variant>
      <vt:variant>
        <vt:i4>2876</vt:i4>
      </vt:variant>
      <vt:variant>
        <vt:i4>0</vt:i4>
      </vt:variant>
      <vt:variant>
        <vt:i4>5</vt:i4>
      </vt:variant>
      <vt:variant>
        <vt:lpwstr/>
      </vt:variant>
      <vt:variant>
        <vt:lpwstr>_Toc290364154</vt:lpwstr>
      </vt:variant>
      <vt:variant>
        <vt:i4>1835061</vt:i4>
      </vt:variant>
      <vt:variant>
        <vt:i4>2870</vt:i4>
      </vt:variant>
      <vt:variant>
        <vt:i4>0</vt:i4>
      </vt:variant>
      <vt:variant>
        <vt:i4>5</vt:i4>
      </vt:variant>
      <vt:variant>
        <vt:lpwstr/>
      </vt:variant>
      <vt:variant>
        <vt:lpwstr>_Toc290364153</vt:lpwstr>
      </vt:variant>
      <vt:variant>
        <vt:i4>1835061</vt:i4>
      </vt:variant>
      <vt:variant>
        <vt:i4>2864</vt:i4>
      </vt:variant>
      <vt:variant>
        <vt:i4>0</vt:i4>
      </vt:variant>
      <vt:variant>
        <vt:i4>5</vt:i4>
      </vt:variant>
      <vt:variant>
        <vt:lpwstr/>
      </vt:variant>
      <vt:variant>
        <vt:lpwstr>_Toc290364152</vt:lpwstr>
      </vt:variant>
      <vt:variant>
        <vt:i4>1835061</vt:i4>
      </vt:variant>
      <vt:variant>
        <vt:i4>2858</vt:i4>
      </vt:variant>
      <vt:variant>
        <vt:i4>0</vt:i4>
      </vt:variant>
      <vt:variant>
        <vt:i4>5</vt:i4>
      </vt:variant>
      <vt:variant>
        <vt:lpwstr/>
      </vt:variant>
      <vt:variant>
        <vt:lpwstr>_Toc290364151</vt:lpwstr>
      </vt:variant>
      <vt:variant>
        <vt:i4>1835061</vt:i4>
      </vt:variant>
      <vt:variant>
        <vt:i4>2852</vt:i4>
      </vt:variant>
      <vt:variant>
        <vt:i4>0</vt:i4>
      </vt:variant>
      <vt:variant>
        <vt:i4>5</vt:i4>
      </vt:variant>
      <vt:variant>
        <vt:lpwstr/>
      </vt:variant>
      <vt:variant>
        <vt:lpwstr>_Toc290364150</vt:lpwstr>
      </vt:variant>
      <vt:variant>
        <vt:i4>1900597</vt:i4>
      </vt:variant>
      <vt:variant>
        <vt:i4>2846</vt:i4>
      </vt:variant>
      <vt:variant>
        <vt:i4>0</vt:i4>
      </vt:variant>
      <vt:variant>
        <vt:i4>5</vt:i4>
      </vt:variant>
      <vt:variant>
        <vt:lpwstr/>
      </vt:variant>
      <vt:variant>
        <vt:lpwstr>_Toc290364149</vt:lpwstr>
      </vt:variant>
      <vt:variant>
        <vt:i4>1900597</vt:i4>
      </vt:variant>
      <vt:variant>
        <vt:i4>2840</vt:i4>
      </vt:variant>
      <vt:variant>
        <vt:i4>0</vt:i4>
      </vt:variant>
      <vt:variant>
        <vt:i4>5</vt:i4>
      </vt:variant>
      <vt:variant>
        <vt:lpwstr/>
      </vt:variant>
      <vt:variant>
        <vt:lpwstr>_Toc290364148</vt:lpwstr>
      </vt:variant>
      <vt:variant>
        <vt:i4>1900597</vt:i4>
      </vt:variant>
      <vt:variant>
        <vt:i4>2834</vt:i4>
      </vt:variant>
      <vt:variant>
        <vt:i4>0</vt:i4>
      </vt:variant>
      <vt:variant>
        <vt:i4>5</vt:i4>
      </vt:variant>
      <vt:variant>
        <vt:lpwstr/>
      </vt:variant>
      <vt:variant>
        <vt:lpwstr>_Toc290364147</vt:lpwstr>
      </vt:variant>
      <vt:variant>
        <vt:i4>1900597</vt:i4>
      </vt:variant>
      <vt:variant>
        <vt:i4>2828</vt:i4>
      </vt:variant>
      <vt:variant>
        <vt:i4>0</vt:i4>
      </vt:variant>
      <vt:variant>
        <vt:i4>5</vt:i4>
      </vt:variant>
      <vt:variant>
        <vt:lpwstr/>
      </vt:variant>
      <vt:variant>
        <vt:lpwstr>_Toc290364146</vt:lpwstr>
      </vt:variant>
      <vt:variant>
        <vt:i4>1900597</vt:i4>
      </vt:variant>
      <vt:variant>
        <vt:i4>2822</vt:i4>
      </vt:variant>
      <vt:variant>
        <vt:i4>0</vt:i4>
      </vt:variant>
      <vt:variant>
        <vt:i4>5</vt:i4>
      </vt:variant>
      <vt:variant>
        <vt:lpwstr/>
      </vt:variant>
      <vt:variant>
        <vt:lpwstr>_Toc290364145</vt:lpwstr>
      </vt:variant>
      <vt:variant>
        <vt:i4>1900597</vt:i4>
      </vt:variant>
      <vt:variant>
        <vt:i4>2816</vt:i4>
      </vt:variant>
      <vt:variant>
        <vt:i4>0</vt:i4>
      </vt:variant>
      <vt:variant>
        <vt:i4>5</vt:i4>
      </vt:variant>
      <vt:variant>
        <vt:lpwstr/>
      </vt:variant>
      <vt:variant>
        <vt:lpwstr>_Toc290364144</vt:lpwstr>
      </vt:variant>
      <vt:variant>
        <vt:i4>1900597</vt:i4>
      </vt:variant>
      <vt:variant>
        <vt:i4>2810</vt:i4>
      </vt:variant>
      <vt:variant>
        <vt:i4>0</vt:i4>
      </vt:variant>
      <vt:variant>
        <vt:i4>5</vt:i4>
      </vt:variant>
      <vt:variant>
        <vt:lpwstr/>
      </vt:variant>
      <vt:variant>
        <vt:lpwstr>_Toc290364143</vt:lpwstr>
      </vt:variant>
      <vt:variant>
        <vt:i4>1900597</vt:i4>
      </vt:variant>
      <vt:variant>
        <vt:i4>2804</vt:i4>
      </vt:variant>
      <vt:variant>
        <vt:i4>0</vt:i4>
      </vt:variant>
      <vt:variant>
        <vt:i4>5</vt:i4>
      </vt:variant>
      <vt:variant>
        <vt:lpwstr/>
      </vt:variant>
      <vt:variant>
        <vt:lpwstr>_Toc290364142</vt:lpwstr>
      </vt:variant>
      <vt:variant>
        <vt:i4>1900597</vt:i4>
      </vt:variant>
      <vt:variant>
        <vt:i4>2798</vt:i4>
      </vt:variant>
      <vt:variant>
        <vt:i4>0</vt:i4>
      </vt:variant>
      <vt:variant>
        <vt:i4>5</vt:i4>
      </vt:variant>
      <vt:variant>
        <vt:lpwstr/>
      </vt:variant>
      <vt:variant>
        <vt:lpwstr>_Toc290364141</vt:lpwstr>
      </vt:variant>
      <vt:variant>
        <vt:i4>1900597</vt:i4>
      </vt:variant>
      <vt:variant>
        <vt:i4>2792</vt:i4>
      </vt:variant>
      <vt:variant>
        <vt:i4>0</vt:i4>
      </vt:variant>
      <vt:variant>
        <vt:i4>5</vt:i4>
      </vt:variant>
      <vt:variant>
        <vt:lpwstr/>
      </vt:variant>
      <vt:variant>
        <vt:lpwstr>_Toc290364140</vt:lpwstr>
      </vt:variant>
      <vt:variant>
        <vt:i4>1703989</vt:i4>
      </vt:variant>
      <vt:variant>
        <vt:i4>2786</vt:i4>
      </vt:variant>
      <vt:variant>
        <vt:i4>0</vt:i4>
      </vt:variant>
      <vt:variant>
        <vt:i4>5</vt:i4>
      </vt:variant>
      <vt:variant>
        <vt:lpwstr/>
      </vt:variant>
      <vt:variant>
        <vt:lpwstr>_Toc290364139</vt:lpwstr>
      </vt:variant>
      <vt:variant>
        <vt:i4>1703989</vt:i4>
      </vt:variant>
      <vt:variant>
        <vt:i4>2780</vt:i4>
      </vt:variant>
      <vt:variant>
        <vt:i4>0</vt:i4>
      </vt:variant>
      <vt:variant>
        <vt:i4>5</vt:i4>
      </vt:variant>
      <vt:variant>
        <vt:lpwstr/>
      </vt:variant>
      <vt:variant>
        <vt:lpwstr>_Toc290364138</vt:lpwstr>
      </vt:variant>
      <vt:variant>
        <vt:i4>1703989</vt:i4>
      </vt:variant>
      <vt:variant>
        <vt:i4>2774</vt:i4>
      </vt:variant>
      <vt:variant>
        <vt:i4>0</vt:i4>
      </vt:variant>
      <vt:variant>
        <vt:i4>5</vt:i4>
      </vt:variant>
      <vt:variant>
        <vt:lpwstr/>
      </vt:variant>
      <vt:variant>
        <vt:lpwstr>_Toc290364137</vt:lpwstr>
      </vt:variant>
      <vt:variant>
        <vt:i4>1703989</vt:i4>
      </vt:variant>
      <vt:variant>
        <vt:i4>2768</vt:i4>
      </vt:variant>
      <vt:variant>
        <vt:i4>0</vt:i4>
      </vt:variant>
      <vt:variant>
        <vt:i4>5</vt:i4>
      </vt:variant>
      <vt:variant>
        <vt:lpwstr/>
      </vt:variant>
      <vt:variant>
        <vt:lpwstr>_Toc290364136</vt:lpwstr>
      </vt:variant>
      <vt:variant>
        <vt:i4>1703989</vt:i4>
      </vt:variant>
      <vt:variant>
        <vt:i4>2762</vt:i4>
      </vt:variant>
      <vt:variant>
        <vt:i4>0</vt:i4>
      </vt:variant>
      <vt:variant>
        <vt:i4>5</vt:i4>
      </vt:variant>
      <vt:variant>
        <vt:lpwstr/>
      </vt:variant>
      <vt:variant>
        <vt:lpwstr>_Toc290364135</vt:lpwstr>
      </vt:variant>
      <vt:variant>
        <vt:i4>1703989</vt:i4>
      </vt:variant>
      <vt:variant>
        <vt:i4>2756</vt:i4>
      </vt:variant>
      <vt:variant>
        <vt:i4>0</vt:i4>
      </vt:variant>
      <vt:variant>
        <vt:i4>5</vt:i4>
      </vt:variant>
      <vt:variant>
        <vt:lpwstr/>
      </vt:variant>
      <vt:variant>
        <vt:lpwstr>_Toc290364134</vt:lpwstr>
      </vt:variant>
      <vt:variant>
        <vt:i4>1703989</vt:i4>
      </vt:variant>
      <vt:variant>
        <vt:i4>2750</vt:i4>
      </vt:variant>
      <vt:variant>
        <vt:i4>0</vt:i4>
      </vt:variant>
      <vt:variant>
        <vt:i4>5</vt:i4>
      </vt:variant>
      <vt:variant>
        <vt:lpwstr/>
      </vt:variant>
      <vt:variant>
        <vt:lpwstr>_Toc290364133</vt:lpwstr>
      </vt:variant>
      <vt:variant>
        <vt:i4>1703989</vt:i4>
      </vt:variant>
      <vt:variant>
        <vt:i4>2744</vt:i4>
      </vt:variant>
      <vt:variant>
        <vt:i4>0</vt:i4>
      </vt:variant>
      <vt:variant>
        <vt:i4>5</vt:i4>
      </vt:variant>
      <vt:variant>
        <vt:lpwstr/>
      </vt:variant>
      <vt:variant>
        <vt:lpwstr>_Toc290364132</vt:lpwstr>
      </vt:variant>
      <vt:variant>
        <vt:i4>1703989</vt:i4>
      </vt:variant>
      <vt:variant>
        <vt:i4>2738</vt:i4>
      </vt:variant>
      <vt:variant>
        <vt:i4>0</vt:i4>
      </vt:variant>
      <vt:variant>
        <vt:i4>5</vt:i4>
      </vt:variant>
      <vt:variant>
        <vt:lpwstr/>
      </vt:variant>
      <vt:variant>
        <vt:lpwstr>_Toc290364131</vt:lpwstr>
      </vt:variant>
      <vt:variant>
        <vt:i4>1703989</vt:i4>
      </vt:variant>
      <vt:variant>
        <vt:i4>2732</vt:i4>
      </vt:variant>
      <vt:variant>
        <vt:i4>0</vt:i4>
      </vt:variant>
      <vt:variant>
        <vt:i4>5</vt:i4>
      </vt:variant>
      <vt:variant>
        <vt:lpwstr/>
      </vt:variant>
      <vt:variant>
        <vt:lpwstr>_Toc290364130</vt:lpwstr>
      </vt:variant>
      <vt:variant>
        <vt:i4>1769525</vt:i4>
      </vt:variant>
      <vt:variant>
        <vt:i4>2726</vt:i4>
      </vt:variant>
      <vt:variant>
        <vt:i4>0</vt:i4>
      </vt:variant>
      <vt:variant>
        <vt:i4>5</vt:i4>
      </vt:variant>
      <vt:variant>
        <vt:lpwstr/>
      </vt:variant>
      <vt:variant>
        <vt:lpwstr>_Toc290364129</vt:lpwstr>
      </vt:variant>
      <vt:variant>
        <vt:i4>1769525</vt:i4>
      </vt:variant>
      <vt:variant>
        <vt:i4>2720</vt:i4>
      </vt:variant>
      <vt:variant>
        <vt:i4>0</vt:i4>
      </vt:variant>
      <vt:variant>
        <vt:i4>5</vt:i4>
      </vt:variant>
      <vt:variant>
        <vt:lpwstr/>
      </vt:variant>
      <vt:variant>
        <vt:lpwstr>_Toc290364128</vt:lpwstr>
      </vt:variant>
      <vt:variant>
        <vt:i4>1769525</vt:i4>
      </vt:variant>
      <vt:variant>
        <vt:i4>2714</vt:i4>
      </vt:variant>
      <vt:variant>
        <vt:i4>0</vt:i4>
      </vt:variant>
      <vt:variant>
        <vt:i4>5</vt:i4>
      </vt:variant>
      <vt:variant>
        <vt:lpwstr/>
      </vt:variant>
      <vt:variant>
        <vt:lpwstr>_Toc290364127</vt:lpwstr>
      </vt:variant>
      <vt:variant>
        <vt:i4>1769525</vt:i4>
      </vt:variant>
      <vt:variant>
        <vt:i4>2708</vt:i4>
      </vt:variant>
      <vt:variant>
        <vt:i4>0</vt:i4>
      </vt:variant>
      <vt:variant>
        <vt:i4>5</vt:i4>
      </vt:variant>
      <vt:variant>
        <vt:lpwstr/>
      </vt:variant>
      <vt:variant>
        <vt:lpwstr>_Toc290364126</vt:lpwstr>
      </vt:variant>
      <vt:variant>
        <vt:i4>1769525</vt:i4>
      </vt:variant>
      <vt:variant>
        <vt:i4>2702</vt:i4>
      </vt:variant>
      <vt:variant>
        <vt:i4>0</vt:i4>
      </vt:variant>
      <vt:variant>
        <vt:i4>5</vt:i4>
      </vt:variant>
      <vt:variant>
        <vt:lpwstr/>
      </vt:variant>
      <vt:variant>
        <vt:lpwstr>_Toc290364125</vt:lpwstr>
      </vt:variant>
      <vt:variant>
        <vt:i4>1769525</vt:i4>
      </vt:variant>
      <vt:variant>
        <vt:i4>2696</vt:i4>
      </vt:variant>
      <vt:variant>
        <vt:i4>0</vt:i4>
      </vt:variant>
      <vt:variant>
        <vt:i4>5</vt:i4>
      </vt:variant>
      <vt:variant>
        <vt:lpwstr/>
      </vt:variant>
      <vt:variant>
        <vt:lpwstr>_Toc290364124</vt:lpwstr>
      </vt:variant>
      <vt:variant>
        <vt:i4>1769525</vt:i4>
      </vt:variant>
      <vt:variant>
        <vt:i4>2690</vt:i4>
      </vt:variant>
      <vt:variant>
        <vt:i4>0</vt:i4>
      </vt:variant>
      <vt:variant>
        <vt:i4>5</vt:i4>
      </vt:variant>
      <vt:variant>
        <vt:lpwstr/>
      </vt:variant>
      <vt:variant>
        <vt:lpwstr>_Toc290364123</vt:lpwstr>
      </vt:variant>
      <vt:variant>
        <vt:i4>1769525</vt:i4>
      </vt:variant>
      <vt:variant>
        <vt:i4>2684</vt:i4>
      </vt:variant>
      <vt:variant>
        <vt:i4>0</vt:i4>
      </vt:variant>
      <vt:variant>
        <vt:i4>5</vt:i4>
      </vt:variant>
      <vt:variant>
        <vt:lpwstr/>
      </vt:variant>
      <vt:variant>
        <vt:lpwstr>_Toc290364122</vt:lpwstr>
      </vt:variant>
      <vt:variant>
        <vt:i4>1769525</vt:i4>
      </vt:variant>
      <vt:variant>
        <vt:i4>2678</vt:i4>
      </vt:variant>
      <vt:variant>
        <vt:i4>0</vt:i4>
      </vt:variant>
      <vt:variant>
        <vt:i4>5</vt:i4>
      </vt:variant>
      <vt:variant>
        <vt:lpwstr/>
      </vt:variant>
      <vt:variant>
        <vt:lpwstr>_Toc290364121</vt:lpwstr>
      </vt:variant>
      <vt:variant>
        <vt:i4>1769525</vt:i4>
      </vt:variant>
      <vt:variant>
        <vt:i4>2672</vt:i4>
      </vt:variant>
      <vt:variant>
        <vt:i4>0</vt:i4>
      </vt:variant>
      <vt:variant>
        <vt:i4>5</vt:i4>
      </vt:variant>
      <vt:variant>
        <vt:lpwstr/>
      </vt:variant>
      <vt:variant>
        <vt:lpwstr>_Toc290364120</vt:lpwstr>
      </vt:variant>
      <vt:variant>
        <vt:i4>1572917</vt:i4>
      </vt:variant>
      <vt:variant>
        <vt:i4>2666</vt:i4>
      </vt:variant>
      <vt:variant>
        <vt:i4>0</vt:i4>
      </vt:variant>
      <vt:variant>
        <vt:i4>5</vt:i4>
      </vt:variant>
      <vt:variant>
        <vt:lpwstr/>
      </vt:variant>
      <vt:variant>
        <vt:lpwstr>_Toc290364119</vt:lpwstr>
      </vt:variant>
      <vt:variant>
        <vt:i4>1572917</vt:i4>
      </vt:variant>
      <vt:variant>
        <vt:i4>2660</vt:i4>
      </vt:variant>
      <vt:variant>
        <vt:i4>0</vt:i4>
      </vt:variant>
      <vt:variant>
        <vt:i4>5</vt:i4>
      </vt:variant>
      <vt:variant>
        <vt:lpwstr/>
      </vt:variant>
      <vt:variant>
        <vt:lpwstr>_Toc290364118</vt:lpwstr>
      </vt:variant>
      <vt:variant>
        <vt:i4>1572917</vt:i4>
      </vt:variant>
      <vt:variant>
        <vt:i4>2654</vt:i4>
      </vt:variant>
      <vt:variant>
        <vt:i4>0</vt:i4>
      </vt:variant>
      <vt:variant>
        <vt:i4>5</vt:i4>
      </vt:variant>
      <vt:variant>
        <vt:lpwstr/>
      </vt:variant>
      <vt:variant>
        <vt:lpwstr>_Toc290364117</vt:lpwstr>
      </vt:variant>
      <vt:variant>
        <vt:i4>1572917</vt:i4>
      </vt:variant>
      <vt:variant>
        <vt:i4>2648</vt:i4>
      </vt:variant>
      <vt:variant>
        <vt:i4>0</vt:i4>
      </vt:variant>
      <vt:variant>
        <vt:i4>5</vt:i4>
      </vt:variant>
      <vt:variant>
        <vt:lpwstr/>
      </vt:variant>
      <vt:variant>
        <vt:lpwstr>_Toc290364116</vt:lpwstr>
      </vt:variant>
      <vt:variant>
        <vt:i4>1572917</vt:i4>
      </vt:variant>
      <vt:variant>
        <vt:i4>2642</vt:i4>
      </vt:variant>
      <vt:variant>
        <vt:i4>0</vt:i4>
      </vt:variant>
      <vt:variant>
        <vt:i4>5</vt:i4>
      </vt:variant>
      <vt:variant>
        <vt:lpwstr/>
      </vt:variant>
      <vt:variant>
        <vt:lpwstr>_Toc290364115</vt:lpwstr>
      </vt:variant>
      <vt:variant>
        <vt:i4>1572917</vt:i4>
      </vt:variant>
      <vt:variant>
        <vt:i4>2636</vt:i4>
      </vt:variant>
      <vt:variant>
        <vt:i4>0</vt:i4>
      </vt:variant>
      <vt:variant>
        <vt:i4>5</vt:i4>
      </vt:variant>
      <vt:variant>
        <vt:lpwstr/>
      </vt:variant>
      <vt:variant>
        <vt:lpwstr>_Toc290364114</vt:lpwstr>
      </vt:variant>
      <vt:variant>
        <vt:i4>1572917</vt:i4>
      </vt:variant>
      <vt:variant>
        <vt:i4>2630</vt:i4>
      </vt:variant>
      <vt:variant>
        <vt:i4>0</vt:i4>
      </vt:variant>
      <vt:variant>
        <vt:i4>5</vt:i4>
      </vt:variant>
      <vt:variant>
        <vt:lpwstr/>
      </vt:variant>
      <vt:variant>
        <vt:lpwstr>_Toc290364113</vt:lpwstr>
      </vt:variant>
      <vt:variant>
        <vt:i4>1572917</vt:i4>
      </vt:variant>
      <vt:variant>
        <vt:i4>2624</vt:i4>
      </vt:variant>
      <vt:variant>
        <vt:i4>0</vt:i4>
      </vt:variant>
      <vt:variant>
        <vt:i4>5</vt:i4>
      </vt:variant>
      <vt:variant>
        <vt:lpwstr/>
      </vt:variant>
      <vt:variant>
        <vt:lpwstr>_Toc290364112</vt:lpwstr>
      </vt:variant>
      <vt:variant>
        <vt:i4>1572917</vt:i4>
      </vt:variant>
      <vt:variant>
        <vt:i4>2618</vt:i4>
      </vt:variant>
      <vt:variant>
        <vt:i4>0</vt:i4>
      </vt:variant>
      <vt:variant>
        <vt:i4>5</vt:i4>
      </vt:variant>
      <vt:variant>
        <vt:lpwstr/>
      </vt:variant>
      <vt:variant>
        <vt:lpwstr>_Toc290364111</vt:lpwstr>
      </vt:variant>
      <vt:variant>
        <vt:i4>1572917</vt:i4>
      </vt:variant>
      <vt:variant>
        <vt:i4>2612</vt:i4>
      </vt:variant>
      <vt:variant>
        <vt:i4>0</vt:i4>
      </vt:variant>
      <vt:variant>
        <vt:i4>5</vt:i4>
      </vt:variant>
      <vt:variant>
        <vt:lpwstr/>
      </vt:variant>
      <vt:variant>
        <vt:lpwstr>_Toc290364110</vt:lpwstr>
      </vt:variant>
      <vt:variant>
        <vt:i4>1638453</vt:i4>
      </vt:variant>
      <vt:variant>
        <vt:i4>2606</vt:i4>
      </vt:variant>
      <vt:variant>
        <vt:i4>0</vt:i4>
      </vt:variant>
      <vt:variant>
        <vt:i4>5</vt:i4>
      </vt:variant>
      <vt:variant>
        <vt:lpwstr/>
      </vt:variant>
      <vt:variant>
        <vt:lpwstr>_Toc290364109</vt:lpwstr>
      </vt:variant>
      <vt:variant>
        <vt:i4>1638453</vt:i4>
      </vt:variant>
      <vt:variant>
        <vt:i4>2600</vt:i4>
      </vt:variant>
      <vt:variant>
        <vt:i4>0</vt:i4>
      </vt:variant>
      <vt:variant>
        <vt:i4>5</vt:i4>
      </vt:variant>
      <vt:variant>
        <vt:lpwstr/>
      </vt:variant>
      <vt:variant>
        <vt:lpwstr>_Toc290364108</vt:lpwstr>
      </vt:variant>
      <vt:variant>
        <vt:i4>1638453</vt:i4>
      </vt:variant>
      <vt:variant>
        <vt:i4>2594</vt:i4>
      </vt:variant>
      <vt:variant>
        <vt:i4>0</vt:i4>
      </vt:variant>
      <vt:variant>
        <vt:i4>5</vt:i4>
      </vt:variant>
      <vt:variant>
        <vt:lpwstr/>
      </vt:variant>
      <vt:variant>
        <vt:lpwstr>_Toc290364107</vt:lpwstr>
      </vt:variant>
      <vt:variant>
        <vt:i4>1638453</vt:i4>
      </vt:variant>
      <vt:variant>
        <vt:i4>2588</vt:i4>
      </vt:variant>
      <vt:variant>
        <vt:i4>0</vt:i4>
      </vt:variant>
      <vt:variant>
        <vt:i4>5</vt:i4>
      </vt:variant>
      <vt:variant>
        <vt:lpwstr/>
      </vt:variant>
      <vt:variant>
        <vt:lpwstr>_Toc290364106</vt:lpwstr>
      </vt:variant>
      <vt:variant>
        <vt:i4>1638453</vt:i4>
      </vt:variant>
      <vt:variant>
        <vt:i4>2582</vt:i4>
      </vt:variant>
      <vt:variant>
        <vt:i4>0</vt:i4>
      </vt:variant>
      <vt:variant>
        <vt:i4>5</vt:i4>
      </vt:variant>
      <vt:variant>
        <vt:lpwstr/>
      </vt:variant>
      <vt:variant>
        <vt:lpwstr>_Toc290364105</vt:lpwstr>
      </vt:variant>
      <vt:variant>
        <vt:i4>1638453</vt:i4>
      </vt:variant>
      <vt:variant>
        <vt:i4>2576</vt:i4>
      </vt:variant>
      <vt:variant>
        <vt:i4>0</vt:i4>
      </vt:variant>
      <vt:variant>
        <vt:i4>5</vt:i4>
      </vt:variant>
      <vt:variant>
        <vt:lpwstr/>
      </vt:variant>
      <vt:variant>
        <vt:lpwstr>_Toc290364104</vt:lpwstr>
      </vt:variant>
      <vt:variant>
        <vt:i4>1638453</vt:i4>
      </vt:variant>
      <vt:variant>
        <vt:i4>2570</vt:i4>
      </vt:variant>
      <vt:variant>
        <vt:i4>0</vt:i4>
      </vt:variant>
      <vt:variant>
        <vt:i4>5</vt:i4>
      </vt:variant>
      <vt:variant>
        <vt:lpwstr/>
      </vt:variant>
      <vt:variant>
        <vt:lpwstr>_Toc290364103</vt:lpwstr>
      </vt:variant>
      <vt:variant>
        <vt:i4>1638453</vt:i4>
      </vt:variant>
      <vt:variant>
        <vt:i4>2564</vt:i4>
      </vt:variant>
      <vt:variant>
        <vt:i4>0</vt:i4>
      </vt:variant>
      <vt:variant>
        <vt:i4>5</vt:i4>
      </vt:variant>
      <vt:variant>
        <vt:lpwstr/>
      </vt:variant>
      <vt:variant>
        <vt:lpwstr>_Toc290364102</vt:lpwstr>
      </vt:variant>
      <vt:variant>
        <vt:i4>1638453</vt:i4>
      </vt:variant>
      <vt:variant>
        <vt:i4>2558</vt:i4>
      </vt:variant>
      <vt:variant>
        <vt:i4>0</vt:i4>
      </vt:variant>
      <vt:variant>
        <vt:i4>5</vt:i4>
      </vt:variant>
      <vt:variant>
        <vt:lpwstr/>
      </vt:variant>
      <vt:variant>
        <vt:lpwstr>_Toc290364101</vt:lpwstr>
      </vt:variant>
      <vt:variant>
        <vt:i4>1638453</vt:i4>
      </vt:variant>
      <vt:variant>
        <vt:i4>2552</vt:i4>
      </vt:variant>
      <vt:variant>
        <vt:i4>0</vt:i4>
      </vt:variant>
      <vt:variant>
        <vt:i4>5</vt:i4>
      </vt:variant>
      <vt:variant>
        <vt:lpwstr/>
      </vt:variant>
      <vt:variant>
        <vt:lpwstr>_Toc290364100</vt:lpwstr>
      </vt:variant>
      <vt:variant>
        <vt:i4>1048628</vt:i4>
      </vt:variant>
      <vt:variant>
        <vt:i4>2546</vt:i4>
      </vt:variant>
      <vt:variant>
        <vt:i4>0</vt:i4>
      </vt:variant>
      <vt:variant>
        <vt:i4>5</vt:i4>
      </vt:variant>
      <vt:variant>
        <vt:lpwstr/>
      </vt:variant>
      <vt:variant>
        <vt:lpwstr>_Toc290364099</vt:lpwstr>
      </vt:variant>
      <vt:variant>
        <vt:i4>1048628</vt:i4>
      </vt:variant>
      <vt:variant>
        <vt:i4>2540</vt:i4>
      </vt:variant>
      <vt:variant>
        <vt:i4>0</vt:i4>
      </vt:variant>
      <vt:variant>
        <vt:i4>5</vt:i4>
      </vt:variant>
      <vt:variant>
        <vt:lpwstr/>
      </vt:variant>
      <vt:variant>
        <vt:lpwstr>_Toc290364098</vt:lpwstr>
      </vt:variant>
      <vt:variant>
        <vt:i4>1048628</vt:i4>
      </vt:variant>
      <vt:variant>
        <vt:i4>2534</vt:i4>
      </vt:variant>
      <vt:variant>
        <vt:i4>0</vt:i4>
      </vt:variant>
      <vt:variant>
        <vt:i4>5</vt:i4>
      </vt:variant>
      <vt:variant>
        <vt:lpwstr/>
      </vt:variant>
      <vt:variant>
        <vt:lpwstr>_Toc290364097</vt:lpwstr>
      </vt:variant>
      <vt:variant>
        <vt:i4>1048628</vt:i4>
      </vt:variant>
      <vt:variant>
        <vt:i4>2528</vt:i4>
      </vt:variant>
      <vt:variant>
        <vt:i4>0</vt:i4>
      </vt:variant>
      <vt:variant>
        <vt:i4>5</vt:i4>
      </vt:variant>
      <vt:variant>
        <vt:lpwstr/>
      </vt:variant>
      <vt:variant>
        <vt:lpwstr>_Toc290364096</vt:lpwstr>
      </vt:variant>
      <vt:variant>
        <vt:i4>1048628</vt:i4>
      </vt:variant>
      <vt:variant>
        <vt:i4>2522</vt:i4>
      </vt:variant>
      <vt:variant>
        <vt:i4>0</vt:i4>
      </vt:variant>
      <vt:variant>
        <vt:i4>5</vt:i4>
      </vt:variant>
      <vt:variant>
        <vt:lpwstr/>
      </vt:variant>
      <vt:variant>
        <vt:lpwstr>_Toc290364095</vt:lpwstr>
      </vt:variant>
      <vt:variant>
        <vt:i4>1048628</vt:i4>
      </vt:variant>
      <vt:variant>
        <vt:i4>2516</vt:i4>
      </vt:variant>
      <vt:variant>
        <vt:i4>0</vt:i4>
      </vt:variant>
      <vt:variant>
        <vt:i4>5</vt:i4>
      </vt:variant>
      <vt:variant>
        <vt:lpwstr/>
      </vt:variant>
      <vt:variant>
        <vt:lpwstr>_Toc290364094</vt:lpwstr>
      </vt:variant>
      <vt:variant>
        <vt:i4>1048628</vt:i4>
      </vt:variant>
      <vt:variant>
        <vt:i4>2510</vt:i4>
      </vt:variant>
      <vt:variant>
        <vt:i4>0</vt:i4>
      </vt:variant>
      <vt:variant>
        <vt:i4>5</vt:i4>
      </vt:variant>
      <vt:variant>
        <vt:lpwstr/>
      </vt:variant>
      <vt:variant>
        <vt:lpwstr>_Toc290364093</vt:lpwstr>
      </vt:variant>
      <vt:variant>
        <vt:i4>1048628</vt:i4>
      </vt:variant>
      <vt:variant>
        <vt:i4>2504</vt:i4>
      </vt:variant>
      <vt:variant>
        <vt:i4>0</vt:i4>
      </vt:variant>
      <vt:variant>
        <vt:i4>5</vt:i4>
      </vt:variant>
      <vt:variant>
        <vt:lpwstr/>
      </vt:variant>
      <vt:variant>
        <vt:lpwstr>_Toc290364092</vt:lpwstr>
      </vt:variant>
      <vt:variant>
        <vt:i4>1048628</vt:i4>
      </vt:variant>
      <vt:variant>
        <vt:i4>2498</vt:i4>
      </vt:variant>
      <vt:variant>
        <vt:i4>0</vt:i4>
      </vt:variant>
      <vt:variant>
        <vt:i4>5</vt:i4>
      </vt:variant>
      <vt:variant>
        <vt:lpwstr/>
      </vt:variant>
      <vt:variant>
        <vt:lpwstr>_Toc290364091</vt:lpwstr>
      </vt:variant>
      <vt:variant>
        <vt:i4>1048628</vt:i4>
      </vt:variant>
      <vt:variant>
        <vt:i4>2492</vt:i4>
      </vt:variant>
      <vt:variant>
        <vt:i4>0</vt:i4>
      </vt:variant>
      <vt:variant>
        <vt:i4>5</vt:i4>
      </vt:variant>
      <vt:variant>
        <vt:lpwstr/>
      </vt:variant>
      <vt:variant>
        <vt:lpwstr>_Toc290364090</vt:lpwstr>
      </vt:variant>
      <vt:variant>
        <vt:i4>1114164</vt:i4>
      </vt:variant>
      <vt:variant>
        <vt:i4>2486</vt:i4>
      </vt:variant>
      <vt:variant>
        <vt:i4>0</vt:i4>
      </vt:variant>
      <vt:variant>
        <vt:i4>5</vt:i4>
      </vt:variant>
      <vt:variant>
        <vt:lpwstr/>
      </vt:variant>
      <vt:variant>
        <vt:lpwstr>_Toc290364089</vt:lpwstr>
      </vt:variant>
      <vt:variant>
        <vt:i4>1114164</vt:i4>
      </vt:variant>
      <vt:variant>
        <vt:i4>2480</vt:i4>
      </vt:variant>
      <vt:variant>
        <vt:i4>0</vt:i4>
      </vt:variant>
      <vt:variant>
        <vt:i4>5</vt:i4>
      </vt:variant>
      <vt:variant>
        <vt:lpwstr/>
      </vt:variant>
      <vt:variant>
        <vt:lpwstr>_Toc290364088</vt:lpwstr>
      </vt:variant>
      <vt:variant>
        <vt:i4>1114164</vt:i4>
      </vt:variant>
      <vt:variant>
        <vt:i4>2474</vt:i4>
      </vt:variant>
      <vt:variant>
        <vt:i4>0</vt:i4>
      </vt:variant>
      <vt:variant>
        <vt:i4>5</vt:i4>
      </vt:variant>
      <vt:variant>
        <vt:lpwstr/>
      </vt:variant>
      <vt:variant>
        <vt:lpwstr>_Toc290364087</vt:lpwstr>
      </vt:variant>
      <vt:variant>
        <vt:i4>1114164</vt:i4>
      </vt:variant>
      <vt:variant>
        <vt:i4>2468</vt:i4>
      </vt:variant>
      <vt:variant>
        <vt:i4>0</vt:i4>
      </vt:variant>
      <vt:variant>
        <vt:i4>5</vt:i4>
      </vt:variant>
      <vt:variant>
        <vt:lpwstr/>
      </vt:variant>
      <vt:variant>
        <vt:lpwstr>_Toc290364086</vt:lpwstr>
      </vt:variant>
      <vt:variant>
        <vt:i4>1114164</vt:i4>
      </vt:variant>
      <vt:variant>
        <vt:i4>2462</vt:i4>
      </vt:variant>
      <vt:variant>
        <vt:i4>0</vt:i4>
      </vt:variant>
      <vt:variant>
        <vt:i4>5</vt:i4>
      </vt:variant>
      <vt:variant>
        <vt:lpwstr/>
      </vt:variant>
      <vt:variant>
        <vt:lpwstr>_Toc290364085</vt:lpwstr>
      </vt:variant>
      <vt:variant>
        <vt:i4>1114164</vt:i4>
      </vt:variant>
      <vt:variant>
        <vt:i4>2456</vt:i4>
      </vt:variant>
      <vt:variant>
        <vt:i4>0</vt:i4>
      </vt:variant>
      <vt:variant>
        <vt:i4>5</vt:i4>
      </vt:variant>
      <vt:variant>
        <vt:lpwstr/>
      </vt:variant>
      <vt:variant>
        <vt:lpwstr>_Toc290364084</vt:lpwstr>
      </vt:variant>
      <vt:variant>
        <vt:i4>1114164</vt:i4>
      </vt:variant>
      <vt:variant>
        <vt:i4>2450</vt:i4>
      </vt:variant>
      <vt:variant>
        <vt:i4>0</vt:i4>
      </vt:variant>
      <vt:variant>
        <vt:i4>5</vt:i4>
      </vt:variant>
      <vt:variant>
        <vt:lpwstr/>
      </vt:variant>
      <vt:variant>
        <vt:lpwstr>_Toc290364083</vt:lpwstr>
      </vt:variant>
      <vt:variant>
        <vt:i4>1114164</vt:i4>
      </vt:variant>
      <vt:variant>
        <vt:i4>2444</vt:i4>
      </vt:variant>
      <vt:variant>
        <vt:i4>0</vt:i4>
      </vt:variant>
      <vt:variant>
        <vt:i4>5</vt:i4>
      </vt:variant>
      <vt:variant>
        <vt:lpwstr/>
      </vt:variant>
      <vt:variant>
        <vt:lpwstr>_Toc290364082</vt:lpwstr>
      </vt:variant>
      <vt:variant>
        <vt:i4>1114164</vt:i4>
      </vt:variant>
      <vt:variant>
        <vt:i4>2438</vt:i4>
      </vt:variant>
      <vt:variant>
        <vt:i4>0</vt:i4>
      </vt:variant>
      <vt:variant>
        <vt:i4>5</vt:i4>
      </vt:variant>
      <vt:variant>
        <vt:lpwstr/>
      </vt:variant>
      <vt:variant>
        <vt:lpwstr>_Toc290364081</vt:lpwstr>
      </vt:variant>
      <vt:variant>
        <vt:i4>1114164</vt:i4>
      </vt:variant>
      <vt:variant>
        <vt:i4>2432</vt:i4>
      </vt:variant>
      <vt:variant>
        <vt:i4>0</vt:i4>
      </vt:variant>
      <vt:variant>
        <vt:i4>5</vt:i4>
      </vt:variant>
      <vt:variant>
        <vt:lpwstr/>
      </vt:variant>
      <vt:variant>
        <vt:lpwstr>_Toc290364080</vt:lpwstr>
      </vt:variant>
      <vt:variant>
        <vt:i4>1966132</vt:i4>
      </vt:variant>
      <vt:variant>
        <vt:i4>2426</vt:i4>
      </vt:variant>
      <vt:variant>
        <vt:i4>0</vt:i4>
      </vt:variant>
      <vt:variant>
        <vt:i4>5</vt:i4>
      </vt:variant>
      <vt:variant>
        <vt:lpwstr/>
      </vt:variant>
      <vt:variant>
        <vt:lpwstr>_Toc290364079</vt:lpwstr>
      </vt:variant>
      <vt:variant>
        <vt:i4>1966132</vt:i4>
      </vt:variant>
      <vt:variant>
        <vt:i4>2420</vt:i4>
      </vt:variant>
      <vt:variant>
        <vt:i4>0</vt:i4>
      </vt:variant>
      <vt:variant>
        <vt:i4>5</vt:i4>
      </vt:variant>
      <vt:variant>
        <vt:lpwstr/>
      </vt:variant>
      <vt:variant>
        <vt:lpwstr>_Toc290364078</vt:lpwstr>
      </vt:variant>
      <vt:variant>
        <vt:i4>1966132</vt:i4>
      </vt:variant>
      <vt:variant>
        <vt:i4>2414</vt:i4>
      </vt:variant>
      <vt:variant>
        <vt:i4>0</vt:i4>
      </vt:variant>
      <vt:variant>
        <vt:i4>5</vt:i4>
      </vt:variant>
      <vt:variant>
        <vt:lpwstr/>
      </vt:variant>
      <vt:variant>
        <vt:lpwstr>_Toc290364077</vt:lpwstr>
      </vt:variant>
      <vt:variant>
        <vt:i4>1966132</vt:i4>
      </vt:variant>
      <vt:variant>
        <vt:i4>2408</vt:i4>
      </vt:variant>
      <vt:variant>
        <vt:i4>0</vt:i4>
      </vt:variant>
      <vt:variant>
        <vt:i4>5</vt:i4>
      </vt:variant>
      <vt:variant>
        <vt:lpwstr/>
      </vt:variant>
      <vt:variant>
        <vt:lpwstr>_Toc290364076</vt:lpwstr>
      </vt:variant>
      <vt:variant>
        <vt:i4>1966132</vt:i4>
      </vt:variant>
      <vt:variant>
        <vt:i4>2402</vt:i4>
      </vt:variant>
      <vt:variant>
        <vt:i4>0</vt:i4>
      </vt:variant>
      <vt:variant>
        <vt:i4>5</vt:i4>
      </vt:variant>
      <vt:variant>
        <vt:lpwstr/>
      </vt:variant>
      <vt:variant>
        <vt:lpwstr>_Toc290364075</vt:lpwstr>
      </vt:variant>
      <vt:variant>
        <vt:i4>1966132</vt:i4>
      </vt:variant>
      <vt:variant>
        <vt:i4>2396</vt:i4>
      </vt:variant>
      <vt:variant>
        <vt:i4>0</vt:i4>
      </vt:variant>
      <vt:variant>
        <vt:i4>5</vt:i4>
      </vt:variant>
      <vt:variant>
        <vt:lpwstr/>
      </vt:variant>
      <vt:variant>
        <vt:lpwstr>_Toc290364074</vt:lpwstr>
      </vt:variant>
      <vt:variant>
        <vt:i4>1966132</vt:i4>
      </vt:variant>
      <vt:variant>
        <vt:i4>2390</vt:i4>
      </vt:variant>
      <vt:variant>
        <vt:i4>0</vt:i4>
      </vt:variant>
      <vt:variant>
        <vt:i4>5</vt:i4>
      </vt:variant>
      <vt:variant>
        <vt:lpwstr/>
      </vt:variant>
      <vt:variant>
        <vt:lpwstr>_Toc290364073</vt:lpwstr>
      </vt:variant>
      <vt:variant>
        <vt:i4>1966132</vt:i4>
      </vt:variant>
      <vt:variant>
        <vt:i4>2384</vt:i4>
      </vt:variant>
      <vt:variant>
        <vt:i4>0</vt:i4>
      </vt:variant>
      <vt:variant>
        <vt:i4>5</vt:i4>
      </vt:variant>
      <vt:variant>
        <vt:lpwstr/>
      </vt:variant>
      <vt:variant>
        <vt:lpwstr>_Toc290364072</vt:lpwstr>
      </vt:variant>
      <vt:variant>
        <vt:i4>1966132</vt:i4>
      </vt:variant>
      <vt:variant>
        <vt:i4>2378</vt:i4>
      </vt:variant>
      <vt:variant>
        <vt:i4>0</vt:i4>
      </vt:variant>
      <vt:variant>
        <vt:i4>5</vt:i4>
      </vt:variant>
      <vt:variant>
        <vt:lpwstr/>
      </vt:variant>
      <vt:variant>
        <vt:lpwstr>_Toc290364071</vt:lpwstr>
      </vt:variant>
      <vt:variant>
        <vt:i4>1966132</vt:i4>
      </vt:variant>
      <vt:variant>
        <vt:i4>2372</vt:i4>
      </vt:variant>
      <vt:variant>
        <vt:i4>0</vt:i4>
      </vt:variant>
      <vt:variant>
        <vt:i4>5</vt:i4>
      </vt:variant>
      <vt:variant>
        <vt:lpwstr/>
      </vt:variant>
      <vt:variant>
        <vt:lpwstr>_Toc290364070</vt:lpwstr>
      </vt:variant>
      <vt:variant>
        <vt:i4>2031668</vt:i4>
      </vt:variant>
      <vt:variant>
        <vt:i4>2366</vt:i4>
      </vt:variant>
      <vt:variant>
        <vt:i4>0</vt:i4>
      </vt:variant>
      <vt:variant>
        <vt:i4>5</vt:i4>
      </vt:variant>
      <vt:variant>
        <vt:lpwstr/>
      </vt:variant>
      <vt:variant>
        <vt:lpwstr>_Toc290364069</vt:lpwstr>
      </vt:variant>
      <vt:variant>
        <vt:i4>2031668</vt:i4>
      </vt:variant>
      <vt:variant>
        <vt:i4>2360</vt:i4>
      </vt:variant>
      <vt:variant>
        <vt:i4>0</vt:i4>
      </vt:variant>
      <vt:variant>
        <vt:i4>5</vt:i4>
      </vt:variant>
      <vt:variant>
        <vt:lpwstr/>
      </vt:variant>
      <vt:variant>
        <vt:lpwstr>_Toc290364068</vt:lpwstr>
      </vt:variant>
      <vt:variant>
        <vt:i4>2031668</vt:i4>
      </vt:variant>
      <vt:variant>
        <vt:i4>2354</vt:i4>
      </vt:variant>
      <vt:variant>
        <vt:i4>0</vt:i4>
      </vt:variant>
      <vt:variant>
        <vt:i4>5</vt:i4>
      </vt:variant>
      <vt:variant>
        <vt:lpwstr/>
      </vt:variant>
      <vt:variant>
        <vt:lpwstr>_Toc290364067</vt:lpwstr>
      </vt:variant>
      <vt:variant>
        <vt:i4>2031668</vt:i4>
      </vt:variant>
      <vt:variant>
        <vt:i4>2348</vt:i4>
      </vt:variant>
      <vt:variant>
        <vt:i4>0</vt:i4>
      </vt:variant>
      <vt:variant>
        <vt:i4>5</vt:i4>
      </vt:variant>
      <vt:variant>
        <vt:lpwstr/>
      </vt:variant>
      <vt:variant>
        <vt:lpwstr>_Toc290364066</vt:lpwstr>
      </vt:variant>
      <vt:variant>
        <vt:i4>2031668</vt:i4>
      </vt:variant>
      <vt:variant>
        <vt:i4>2342</vt:i4>
      </vt:variant>
      <vt:variant>
        <vt:i4>0</vt:i4>
      </vt:variant>
      <vt:variant>
        <vt:i4>5</vt:i4>
      </vt:variant>
      <vt:variant>
        <vt:lpwstr/>
      </vt:variant>
      <vt:variant>
        <vt:lpwstr>_Toc290364065</vt:lpwstr>
      </vt:variant>
      <vt:variant>
        <vt:i4>2031668</vt:i4>
      </vt:variant>
      <vt:variant>
        <vt:i4>2336</vt:i4>
      </vt:variant>
      <vt:variant>
        <vt:i4>0</vt:i4>
      </vt:variant>
      <vt:variant>
        <vt:i4>5</vt:i4>
      </vt:variant>
      <vt:variant>
        <vt:lpwstr/>
      </vt:variant>
      <vt:variant>
        <vt:lpwstr>_Toc290364064</vt:lpwstr>
      </vt:variant>
      <vt:variant>
        <vt:i4>2031668</vt:i4>
      </vt:variant>
      <vt:variant>
        <vt:i4>2330</vt:i4>
      </vt:variant>
      <vt:variant>
        <vt:i4>0</vt:i4>
      </vt:variant>
      <vt:variant>
        <vt:i4>5</vt:i4>
      </vt:variant>
      <vt:variant>
        <vt:lpwstr/>
      </vt:variant>
      <vt:variant>
        <vt:lpwstr>_Toc290364063</vt:lpwstr>
      </vt:variant>
      <vt:variant>
        <vt:i4>2031668</vt:i4>
      </vt:variant>
      <vt:variant>
        <vt:i4>2324</vt:i4>
      </vt:variant>
      <vt:variant>
        <vt:i4>0</vt:i4>
      </vt:variant>
      <vt:variant>
        <vt:i4>5</vt:i4>
      </vt:variant>
      <vt:variant>
        <vt:lpwstr/>
      </vt:variant>
      <vt:variant>
        <vt:lpwstr>_Toc290364062</vt:lpwstr>
      </vt:variant>
      <vt:variant>
        <vt:i4>2031668</vt:i4>
      </vt:variant>
      <vt:variant>
        <vt:i4>2318</vt:i4>
      </vt:variant>
      <vt:variant>
        <vt:i4>0</vt:i4>
      </vt:variant>
      <vt:variant>
        <vt:i4>5</vt:i4>
      </vt:variant>
      <vt:variant>
        <vt:lpwstr/>
      </vt:variant>
      <vt:variant>
        <vt:lpwstr>_Toc290364061</vt:lpwstr>
      </vt:variant>
      <vt:variant>
        <vt:i4>2031668</vt:i4>
      </vt:variant>
      <vt:variant>
        <vt:i4>2312</vt:i4>
      </vt:variant>
      <vt:variant>
        <vt:i4>0</vt:i4>
      </vt:variant>
      <vt:variant>
        <vt:i4>5</vt:i4>
      </vt:variant>
      <vt:variant>
        <vt:lpwstr/>
      </vt:variant>
      <vt:variant>
        <vt:lpwstr>_Toc290364060</vt:lpwstr>
      </vt:variant>
      <vt:variant>
        <vt:i4>1835060</vt:i4>
      </vt:variant>
      <vt:variant>
        <vt:i4>2306</vt:i4>
      </vt:variant>
      <vt:variant>
        <vt:i4>0</vt:i4>
      </vt:variant>
      <vt:variant>
        <vt:i4>5</vt:i4>
      </vt:variant>
      <vt:variant>
        <vt:lpwstr/>
      </vt:variant>
      <vt:variant>
        <vt:lpwstr>_Toc290364059</vt:lpwstr>
      </vt:variant>
      <vt:variant>
        <vt:i4>1835060</vt:i4>
      </vt:variant>
      <vt:variant>
        <vt:i4>2300</vt:i4>
      </vt:variant>
      <vt:variant>
        <vt:i4>0</vt:i4>
      </vt:variant>
      <vt:variant>
        <vt:i4>5</vt:i4>
      </vt:variant>
      <vt:variant>
        <vt:lpwstr/>
      </vt:variant>
      <vt:variant>
        <vt:lpwstr>_Toc290364058</vt:lpwstr>
      </vt:variant>
      <vt:variant>
        <vt:i4>1835060</vt:i4>
      </vt:variant>
      <vt:variant>
        <vt:i4>2294</vt:i4>
      </vt:variant>
      <vt:variant>
        <vt:i4>0</vt:i4>
      </vt:variant>
      <vt:variant>
        <vt:i4>5</vt:i4>
      </vt:variant>
      <vt:variant>
        <vt:lpwstr/>
      </vt:variant>
      <vt:variant>
        <vt:lpwstr>_Toc290364057</vt:lpwstr>
      </vt:variant>
      <vt:variant>
        <vt:i4>1835060</vt:i4>
      </vt:variant>
      <vt:variant>
        <vt:i4>2288</vt:i4>
      </vt:variant>
      <vt:variant>
        <vt:i4>0</vt:i4>
      </vt:variant>
      <vt:variant>
        <vt:i4>5</vt:i4>
      </vt:variant>
      <vt:variant>
        <vt:lpwstr/>
      </vt:variant>
      <vt:variant>
        <vt:lpwstr>_Toc290364056</vt:lpwstr>
      </vt:variant>
      <vt:variant>
        <vt:i4>1835060</vt:i4>
      </vt:variant>
      <vt:variant>
        <vt:i4>2282</vt:i4>
      </vt:variant>
      <vt:variant>
        <vt:i4>0</vt:i4>
      </vt:variant>
      <vt:variant>
        <vt:i4>5</vt:i4>
      </vt:variant>
      <vt:variant>
        <vt:lpwstr/>
      </vt:variant>
      <vt:variant>
        <vt:lpwstr>_Toc290364055</vt:lpwstr>
      </vt:variant>
      <vt:variant>
        <vt:i4>1835060</vt:i4>
      </vt:variant>
      <vt:variant>
        <vt:i4>2276</vt:i4>
      </vt:variant>
      <vt:variant>
        <vt:i4>0</vt:i4>
      </vt:variant>
      <vt:variant>
        <vt:i4>5</vt:i4>
      </vt:variant>
      <vt:variant>
        <vt:lpwstr/>
      </vt:variant>
      <vt:variant>
        <vt:lpwstr>_Toc290364054</vt:lpwstr>
      </vt:variant>
      <vt:variant>
        <vt:i4>1835060</vt:i4>
      </vt:variant>
      <vt:variant>
        <vt:i4>2270</vt:i4>
      </vt:variant>
      <vt:variant>
        <vt:i4>0</vt:i4>
      </vt:variant>
      <vt:variant>
        <vt:i4>5</vt:i4>
      </vt:variant>
      <vt:variant>
        <vt:lpwstr/>
      </vt:variant>
      <vt:variant>
        <vt:lpwstr>_Toc290364053</vt:lpwstr>
      </vt:variant>
      <vt:variant>
        <vt:i4>1835060</vt:i4>
      </vt:variant>
      <vt:variant>
        <vt:i4>2264</vt:i4>
      </vt:variant>
      <vt:variant>
        <vt:i4>0</vt:i4>
      </vt:variant>
      <vt:variant>
        <vt:i4>5</vt:i4>
      </vt:variant>
      <vt:variant>
        <vt:lpwstr/>
      </vt:variant>
      <vt:variant>
        <vt:lpwstr>_Toc290364052</vt:lpwstr>
      </vt:variant>
      <vt:variant>
        <vt:i4>1835060</vt:i4>
      </vt:variant>
      <vt:variant>
        <vt:i4>2258</vt:i4>
      </vt:variant>
      <vt:variant>
        <vt:i4>0</vt:i4>
      </vt:variant>
      <vt:variant>
        <vt:i4>5</vt:i4>
      </vt:variant>
      <vt:variant>
        <vt:lpwstr/>
      </vt:variant>
      <vt:variant>
        <vt:lpwstr>_Toc290364051</vt:lpwstr>
      </vt:variant>
      <vt:variant>
        <vt:i4>1835060</vt:i4>
      </vt:variant>
      <vt:variant>
        <vt:i4>2252</vt:i4>
      </vt:variant>
      <vt:variant>
        <vt:i4>0</vt:i4>
      </vt:variant>
      <vt:variant>
        <vt:i4>5</vt:i4>
      </vt:variant>
      <vt:variant>
        <vt:lpwstr/>
      </vt:variant>
      <vt:variant>
        <vt:lpwstr>_Toc290364050</vt:lpwstr>
      </vt:variant>
      <vt:variant>
        <vt:i4>1900596</vt:i4>
      </vt:variant>
      <vt:variant>
        <vt:i4>2246</vt:i4>
      </vt:variant>
      <vt:variant>
        <vt:i4>0</vt:i4>
      </vt:variant>
      <vt:variant>
        <vt:i4>5</vt:i4>
      </vt:variant>
      <vt:variant>
        <vt:lpwstr/>
      </vt:variant>
      <vt:variant>
        <vt:lpwstr>_Toc290364049</vt:lpwstr>
      </vt:variant>
      <vt:variant>
        <vt:i4>1900596</vt:i4>
      </vt:variant>
      <vt:variant>
        <vt:i4>2240</vt:i4>
      </vt:variant>
      <vt:variant>
        <vt:i4>0</vt:i4>
      </vt:variant>
      <vt:variant>
        <vt:i4>5</vt:i4>
      </vt:variant>
      <vt:variant>
        <vt:lpwstr/>
      </vt:variant>
      <vt:variant>
        <vt:lpwstr>_Toc290364048</vt:lpwstr>
      </vt:variant>
      <vt:variant>
        <vt:i4>1900596</vt:i4>
      </vt:variant>
      <vt:variant>
        <vt:i4>2234</vt:i4>
      </vt:variant>
      <vt:variant>
        <vt:i4>0</vt:i4>
      </vt:variant>
      <vt:variant>
        <vt:i4>5</vt:i4>
      </vt:variant>
      <vt:variant>
        <vt:lpwstr/>
      </vt:variant>
      <vt:variant>
        <vt:lpwstr>_Toc290364047</vt:lpwstr>
      </vt:variant>
      <vt:variant>
        <vt:i4>1900596</vt:i4>
      </vt:variant>
      <vt:variant>
        <vt:i4>2228</vt:i4>
      </vt:variant>
      <vt:variant>
        <vt:i4>0</vt:i4>
      </vt:variant>
      <vt:variant>
        <vt:i4>5</vt:i4>
      </vt:variant>
      <vt:variant>
        <vt:lpwstr/>
      </vt:variant>
      <vt:variant>
        <vt:lpwstr>_Toc290364046</vt:lpwstr>
      </vt:variant>
      <vt:variant>
        <vt:i4>1900596</vt:i4>
      </vt:variant>
      <vt:variant>
        <vt:i4>2222</vt:i4>
      </vt:variant>
      <vt:variant>
        <vt:i4>0</vt:i4>
      </vt:variant>
      <vt:variant>
        <vt:i4>5</vt:i4>
      </vt:variant>
      <vt:variant>
        <vt:lpwstr/>
      </vt:variant>
      <vt:variant>
        <vt:lpwstr>_Toc290364045</vt:lpwstr>
      </vt:variant>
      <vt:variant>
        <vt:i4>1900596</vt:i4>
      </vt:variant>
      <vt:variant>
        <vt:i4>2216</vt:i4>
      </vt:variant>
      <vt:variant>
        <vt:i4>0</vt:i4>
      </vt:variant>
      <vt:variant>
        <vt:i4>5</vt:i4>
      </vt:variant>
      <vt:variant>
        <vt:lpwstr/>
      </vt:variant>
      <vt:variant>
        <vt:lpwstr>_Toc290364044</vt:lpwstr>
      </vt:variant>
      <vt:variant>
        <vt:i4>1900596</vt:i4>
      </vt:variant>
      <vt:variant>
        <vt:i4>2210</vt:i4>
      </vt:variant>
      <vt:variant>
        <vt:i4>0</vt:i4>
      </vt:variant>
      <vt:variant>
        <vt:i4>5</vt:i4>
      </vt:variant>
      <vt:variant>
        <vt:lpwstr/>
      </vt:variant>
      <vt:variant>
        <vt:lpwstr>_Toc290364043</vt:lpwstr>
      </vt:variant>
      <vt:variant>
        <vt:i4>1900596</vt:i4>
      </vt:variant>
      <vt:variant>
        <vt:i4>2204</vt:i4>
      </vt:variant>
      <vt:variant>
        <vt:i4>0</vt:i4>
      </vt:variant>
      <vt:variant>
        <vt:i4>5</vt:i4>
      </vt:variant>
      <vt:variant>
        <vt:lpwstr/>
      </vt:variant>
      <vt:variant>
        <vt:lpwstr>_Toc290364042</vt:lpwstr>
      </vt:variant>
      <vt:variant>
        <vt:i4>1900596</vt:i4>
      </vt:variant>
      <vt:variant>
        <vt:i4>2198</vt:i4>
      </vt:variant>
      <vt:variant>
        <vt:i4>0</vt:i4>
      </vt:variant>
      <vt:variant>
        <vt:i4>5</vt:i4>
      </vt:variant>
      <vt:variant>
        <vt:lpwstr/>
      </vt:variant>
      <vt:variant>
        <vt:lpwstr>_Toc290364041</vt:lpwstr>
      </vt:variant>
      <vt:variant>
        <vt:i4>1900596</vt:i4>
      </vt:variant>
      <vt:variant>
        <vt:i4>2192</vt:i4>
      </vt:variant>
      <vt:variant>
        <vt:i4>0</vt:i4>
      </vt:variant>
      <vt:variant>
        <vt:i4>5</vt:i4>
      </vt:variant>
      <vt:variant>
        <vt:lpwstr/>
      </vt:variant>
      <vt:variant>
        <vt:lpwstr>_Toc290364040</vt:lpwstr>
      </vt:variant>
      <vt:variant>
        <vt:i4>1703988</vt:i4>
      </vt:variant>
      <vt:variant>
        <vt:i4>2186</vt:i4>
      </vt:variant>
      <vt:variant>
        <vt:i4>0</vt:i4>
      </vt:variant>
      <vt:variant>
        <vt:i4>5</vt:i4>
      </vt:variant>
      <vt:variant>
        <vt:lpwstr/>
      </vt:variant>
      <vt:variant>
        <vt:lpwstr>_Toc290364039</vt:lpwstr>
      </vt:variant>
      <vt:variant>
        <vt:i4>1703988</vt:i4>
      </vt:variant>
      <vt:variant>
        <vt:i4>2180</vt:i4>
      </vt:variant>
      <vt:variant>
        <vt:i4>0</vt:i4>
      </vt:variant>
      <vt:variant>
        <vt:i4>5</vt:i4>
      </vt:variant>
      <vt:variant>
        <vt:lpwstr/>
      </vt:variant>
      <vt:variant>
        <vt:lpwstr>_Toc290364038</vt:lpwstr>
      </vt:variant>
      <vt:variant>
        <vt:i4>1703988</vt:i4>
      </vt:variant>
      <vt:variant>
        <vt:i4>2174</vt:i4>
      </vt:variant>
      <vt:variant>
        <vt:i4>0</vt:i4>
      </vt:variant>
      <vt:variant>
        <vt:i4>5</vt:i4>
      </vt:variant>
      <vt:variant>
        <vt:lpwstr/>
      </vt:variant>
      <vt:variant>
        <vt:lpwstr>_Toc290364037</vt:lpwstr>
      </vt:variant>
      <vt:variant>
        <vt:i4>1703988</vt:i4>
      </vt:variant>
      <vt:variant>
        <vt:i4>2168</vt:i4>
      </vt:variant>
      <vt:variant>
        <vt:i4>0</vt:i4>
      </vt:variant>
      <vt:variant>
        <vt:i4>5</vt:i4>
      </vt:variant>
      <vt:variant>
        <vt:lpwstr/>
      </vt:variant>
      <vt:variant>
        <vt:lpwstr>_Toc290364036</vt:lpwstr>
      </vt:variant>
      <vt:variant>
        <vt:i4>1703988</vt:i4>
      </vt:variant>
      <vt:variant>
        <vt:i4>2162</vt:i4>
      </vt:variant>
      <vt:variant>
        <vt:i4>0</vt:i4>
      </vt:variant>
      <vt:variant>
        <vt:i4>5</vt:i4>
      </vt:variant>
      <vt:variant>
        <vt:lpwstr/>
      </vt:variant>
      <vt:variant>
        <vt:lpwstr>_Toc290364035</vt:lpwstr>
      </vt:variant>
      <vt:variant>
        <vt:i4>1703988</vt:i4>
      </vt:variant>
      <vt:variant>
        <vt:i4>2156</vt:i4>
      </vt:variant>
      <vt:variant>
        <vt:i4>0</vt:i4>
      </vt:variant>
      <vt:variant>
        <vt:i4>5</vt:i4>
      </vt:variant>
      <vt:variant>
        <vt:lpwstr/>
      </vt:variant>
      <vt:variant>
        <vt:lpwstr>_Toc290364034</vt:lpwstr>
      </vt:variant>
      <vt:variant>
        <vt:i4>1703988</vt:i4>
      </vt:variant>
      <vt:variant>
        <vt:i4>2150</vt:i4>
      </vt:variant>
      <vt:variant>
        <vt:i4>0</vt:i4>
      </vt:variant>
      <vt:variant>
        <vt:i4>5</vt:i4>
      </vt:variant>
      <vt:variant>
        <vt:lpwstr/>
      </vt:variant>
      <vt:variant>
        <vt:lpwstr>_Toc290364033</vt:lpwstr>
      </vt:variant>
      <vt:variant>
        <vt:i4>1703988</vt:i4>
      </vt:variant>
      <vt:variant>
        <vt:i4>2144</vt:i4>
      </vt:variant>
      <vt:variant>
        <vt:i4>0</vt:i4>
      </vt:variant>
      <vt:variant>
        <vt:i4>5</vt:i4>
      </vt:variant>
      <vt:variant>
        <vt:lpwstr/>
      </vt:variant>
      <vt:variant>
        <vt:lpwstr>_Toc290364032</vt:lpwstr>
      </vt:variant>
      <vt:variant>
        <vt:i4>1703988</vt:i4>
      </vt:variant>
      <vt:variant>
        <vt:i4>2138</vt:i4>
      </vt:variant>
      <vt:variant>
        <vt:i4>0</vt:i4>
      </vt:variant>
      <vt:variant>
        <vt:i4>5</vt:i4>
      </vt:variant>
      <vt:variant>
        <vt:lpwstr/>
      </vt:variant>
      <vt:variant>
        <vt:lpwstr>_Toc290364031</vt:lpwstr>
      </vt:variant>
      <vt:variant>
        <vt:i4>1703988</vt:i4>
      </vt:variant>
      <vt:variant>
        <vt:i4>2132</vt:i4>
      </vt:variant>
      <vt:variant>
        <vt:i4>0</vt:i4>
      </vt:variant>
      <vt:variant>
        <vt:i4>5</vt:i4>
      </vt:variant>
      <vt:variant>
        <vt:lpwstr/>
      </vt:variant>
      <vt:variant>
        <vt:lpwstr>_Toc290364030</vt:lpwstr>
      </vt:variant>
      <vt:variant>
        <vt:i4>1769524</vt:i4>
      </vt:variant>
      <vt:variant>
        <vt:i4>2126</vt:i4>
      </vt:variant>
      <vt:variant>
        <vt:i4>0</vt:i4>
      </vt:variant>
      <vt:variant>
        <vt:i4>5</vt:i4>
      </vt:variant>
      <vt:variant>
        <vt:lpwstr/>
      </vt:variant>
      <vt:variant>
        <vt:lpwstr>_Toc290364029</vt:lpwstr>
      </vt:variant>
      <vt:variant>
        <vt:i4>1769524</vt:i4>
      </vt:variant>
      <vt:variant>
        <vt:i4>2120</vt:i4>
      </vt:variant>
      <vt:variant>
        <vt:i4>0</vt:i4>
      </vt:variant>
      <vt:variant>
        <vt:i4>5</vt:i4>
      </vt:variant>
      <vt:variant>
        <vt:lpwstr/>
      </vt:variant>
      <vt:variant>
        <vt:lpwstr>_Toc290364028</vt:lpwstr>
      </vt:variant>
      <vt:variant>
        <vt:i4>1769524</vt:i4>
      </vt:variant>
      <vt:variant>
        <vt:i4>2114</vt:i4>
      </vt:variant>
      <vt:variant>
        <vt:i4>0</vt:i4>
      </vt:variant>
      <vt:variant>
        <vt:i4>5</vt:i4>
      </vt:variant>
      <vt:variant>
        <vt:lpwstr/>
      </vt:variant>
      <vt:variant>
        <vt:lpwstr>_Toc290364027</vt:lpwstr>
      </vt:variant>
      <vt:variant>
        <vt:i4>1769524</vt:i4>
      </vt:variant>
      <vt:variant>
        <vt:i4>2108</vt:i4>
      </vt:variant>
      <vt:variant>
        <vt:i4>0</vt:i4>
      </vt:variant>
      <vt:variant>
        <vt:i4>5</vt:i4>
      </vt:variant>
      <vt:variant>
        <vt:lpwstr/>
      </vt:variant>
      <vt:variant>
        <vt:lpwstr>_Toc290364026</vt:lpwstr>
      </vt:variant>
      <vt:variant>
        <vt:i4>1769524</vt:i4>
      </vt:variant>
      <vt:variant>
        <vt:i4>2102</vt:i4>
      </vt:variant>
      <vt:variant>
        <vt:i4>0</vt:i4>
      </vt:variant>
      <vt:variant>
        <vt:i4>5</vt:i4>
      </vt:variant>
      <vt:variant>
        <vt:lpwstr/>
      </vt:variant>
      <vt:variant>
        <vt:lpwstr>_Toc290364025</vt:lpwstr>
      </vt:variant>
      <vt:variant>
        <vt:i4>1769524</vt:i4>
      </vt:variant>
      <vt:variant>
        <vt:i4>2096</vt:i4>
      </vt:variant>
      <vt:variant>
        <vt:i4>0</vt:i4>
      </vt:variant>
      <vt:variant>
        <vt:i4>5</vt:i4>
      </vt:variant>
      <vt:variant>
        <vt:lpwstr/>
      </vt:variant>
      <vt:variant>
        <vt:lpwstr>_Toc290364024</vt:lpwstr>
      </vt:variant>
      <vt:variant>
        <vt:i4>1769524</vt:i4>
      </vt:variant>
      <vt:variant>
        <vt:i4>2090</vt:i4>
      </vt:variant>
      <vt:variant>
        <vt:i4>0</vt:i4>
      </vt:variant>
      <vt:variant>
        <vt:i4>5</vt:i4>
      </vt:variant>
      <vt:variant>
        <vt:lpwstr/>
      </vt:variant>
      <vt:variant>
        <vt:lpwstr>_Toc290364023</vt:lpwstr>
      </vt:variant>
      <vt:variant>
        <vt:i4>1769524</vt:i4>
      </vt:variant>
      <vt:variant>
        <vt:i4>2084</vt:i4>
      </vt:variant>
      <vt:variant>
        <vt:i4>0</vt:i4>
      </vt:variant>
      <vt:variant>
        <vt:i4>5</vt:i4>
      </vt:variant>
      <vt:variant>
        <vt:lpwstr/>
      </vt:variant>
      <vt:variant>
        <vt:lpwstr>_Toc290364022</vt:lpwstr>
      </vt:variant>
      <vt:variant>
        <vt:i4>1769524</vt:i4>
      </vt:variant>
      <vt:variant>
        <vt:i4>2078</vt:i4>
      </vt:variant>
      <vt:variant>
        <vt:i4>0</vt:i4>
      </vt:variant>
      <vt:variant>
        <vt:i4>5</vt:i4>
      </vt:variant>
      <vt:variant>
        <vt:lpwstr/>
      </vt:variant>
      <vt:variant>
        <vt:lpwstr>_Toc290364021</vt:lpwstr>
      </vt:variant>
      <vt:variant>
        <vt:i4>1769524</vt:i4>
      </vt:variant>
      <vt:variant>
        <vt:i4>2072</vt:i4>
      </vt:variant>
      <vt:variant>
        <vt:i4>0</vt:i4>
      </vt:variant>
      <vt:variant>
        <vt:i4>5</vt:i4>
      </vt:variant>
      <vt:variant>
        <vt:lpwstr/>
      </vt:variant>
      <vt:variant>
        <vt:lpwstr>_Toc290364020</vt:lpwstr>
      </vt:variant>
      <vt:variant>
        <vt:i4>1572916</vt:i4>
      </vt:variant>
      <vt:variant>
        <vt:i4>2066</vt:i4>
      </vt:variant>
      <vt:variant>
        <vt:i4>0</vt:i4>
      </vt:variant>
      <vt:variant>
        <vt:i4>5</vt:i4>
      </vt:variant>
      <vt:variant>
        <vt:lpwstr/>
      </vt:variant>
      <vt:variant>
        <vt:lpwstr>_Toc290364019</vt:lpwstr>
      </vt:variant>
      <vt:variant>
        <vt:i4>1572916</vt:i4>
      </vt:variant>
      <vt:variant>
        <vt:i4>2060</vt:i4>
      </vt:variant>
      <vt:variant>
        <vt:i4>0</vt:i4>
      </vt:variant>
      <vt:variant>
        <vt:i4>5</vt:i4>
      </vt:variant>
      <vt:variant>
        <vt:lpwstr/>
      </vt:variant>
      <vt:variant>
        <vt:lpwstr>_Toc290364018</vt:lpwstr>
      </vt:variant>
      <vt:variant>
        <vt:i4>1572916</vt:i4>
      </vt:variant>
      <vt:variant>
        <vt:i4>2054</vt:i4>
      </vt:variant>
      <vt:variant>
        <vt:i4>0</vt:i4>
      </vt:variant>
      <vt:variant>
        <vt:i4>5</vt:i4>
      </vt:variant>
      <vt:variant>
        <vt:lpwstr/>
      </vt:variant>
      <vt:variant>
        <vt:lpwstr>_Toc290364017</vt:lpwstr>
      </vt:variant>
      <vt:variant>
        <vt:i4>1572916</vt:i4>
      </vt:variant>
      <vt:variant>
        <vt:i4>2048</vt:i4>
      </vt:variant>
      <vt:variant>
        <vt:i4>0</vt:i4>
      </vt:variant>
      <vt:variant>
        <vt:i4>5</vt:i4>
      </vt:variant>
      <vt:variant>
        <vt:lpwstr/>
      </vt:variant>
      <vt:variant>
        <vt:lpwstr>_Toc290364016</vt:lpwstr>
      </vt:variant>
      <vt:variant>
        <vt:i4>1572916</vt:i4>
      </vt:variant>
      <vt:variant>
        <vt:i4>2042</vt:i4>
      </vt:variant>
      <vt:variant>
        <vt:i4>0</vt:i4>
      </vt:variant>
      <vt:variant>
        <vt:i4>5</vt:i4>
      </vt:variant>
      <vt:variant>
        <vt:lpwstr/>
      </vt:variant>
      <vt:variant>
        <vt:lpwstr>_Toc290364015</vt:lpwstr>
      </vt:variant>
      <vt:variant>
        <vt:i4>1572916</vt:i4>
      </vt:variant>
      <vt:variant>
        <vt:i4>2036</vt:i4>
      </vt:variant>
      <vt:variant>
        <vt:i4>0</vt:i4>
      </vt:variant>
      <vt:variant>
        <vt:i4>5</vt:i4>
      </vt:variant>
      <vt:variant>
        <vt:lpwstr/>
      </vt:variant>
      <vt:variant>
        <vt:lpwstr>_Toc290364014</vt:lpwstr>
      </vt:variant>
      <vt:variant>
        <vt:i4>1572916</vt:i4>
      </vt:variant>
      <vt:variant>
        <vt:i4>2030</vt:i4>
      </vt:variant>
      <vt:variant>
        <vt:i4>0</vt:i4>
      </vt:variant>
      <vt:variant>
        <vt:i4>5</vt:i4>
      </vt:variant>
      <vt:variant>
        <vt:lpwstr/>
      </vt:variant>
      <vt:variant>
        <vt:lpwstr>_Toc290364013</vt:lpwstr>
      </vt:variant>
      <vt:variant>
        <vt:i4>1572916</vt:i4>
      </vt:variant>
      <vt:variant>
        <vt:i4>2024</vt:i4>
      </vt:variant>
      <vt:variant>
        <vt:i4>0</vt:i4>
      </vt:variant>
      <vt:variant>
        <vt:i4>5</vt:i4>
      </vt:variant>
      <vt:variant>
        <vt:lpwstr/>
      </vt:variant>
      <vt:variant>
        <vt:lpwstr>_Toc290364012</vt:lpwstr>
      </vt:variant>
      <vt:variant>
        <vt:i4>1572916</vt:i4>
      </vt:variant>
      <vt:variant>
        <vt:i4>2018</vt:i4>
      </vt:variant>
      <vt:variant>
        <vt:i4>0</vt:i4>
      </vt:variant>
      <vt:variant>
        <vt:i4>5</vt:i4>
      </vt:variant>
      <vt:variant>
        <vt:lpwstr/>
      </vt:variant>
      <vt:variant>
        <vt:lpwstr>_Toc290364011</vt:lpwstr>
      </vt:variant>
      <vt:variant>
        <vt:i4>1572916</vt:i4>
      </vt:variant>
      <vt:variant>
        <vt:i4>2012</vt:i4>
      </vt:variant>
      <vt:variant>
        <vt:i4>0</vt:i4>
      </vt:variant>
      <vt:variant>
        <vt:i4>5</vt:i4>
      </vt:variant>
      <vt:variant>
        <vt:lpwstr/>
      </vt:variant>
      <vt:variant>
        <vt:lpwstr>_Toc290364010</vt:lpwstr>
      </vt:variant>
      <vt:variant>
        <vt:i4>1638452</vt:i4>
      </vt:variant>
      <vt:variant>
        <vt:i4>2006</vt:i4>
      </vt:variant>
      <vt:variant>
        <vt:i4>0</vt:i4>
      </vt:variant>
      <vt:variant>
        <vt:i4>5</vt:i4>
      </vt:variant>
      <vt:variant>
        <vt:lpwstr/>
      </vt:variant>
      <vt:variant>
        <vt:lpwstr>_Toc290364009</vt:lpwstr>
      </vt:variant>
      <vt:variant>
        <vt:i4>1638452</vt:i4>
      </vt:variant>
      <vt:variant>
        <vt:i4>2000</vt:i4>
      </vt:variant>
      <vt:variant>
        <vt:i4>0</vt:i4>
      </vt:variant>
      <vt:variant>
        <vt:i4>5</vt:i4>
      </vt:variant>
      <vt:variant>
        <vt:lpwstr/>
      </vt:variant>
      <vt:variant>
        <vt:lpwstr>_Toc290364008</vt:lpwstr>
      </vt:variant>
      <vt:variant>
        <vt:i4>1638452</vt:i4>
      </vt:variant>
      <vt:variant>
        <vt:i4>1994</vt:i4>
      </vt:variant>
      <vt:variant>
        <vt:i4>0</vt:i4>
      </vt:variant>
      <vt:variant>
        <vt:i4>5</vt:i4>
      </vt:variant>
      <vt:variant>
        <vt:lpwstr/>
      </vt:variant>
      <vt:variant>
        <vt:lpwstr>_Toc290364007</vt:lpwstr>
      </vt:variant>
      <vt:variant>
        <vt:i4>1638452</vt:i4>
      </vt:variant>
      <vt:variant>
        <vt:i4>1988</vt:i4>
      </vt:variant>
      <vt:variant>
        <vt:i4>0</vt:i4>
      </vt:variant>
      <vt:variant>
        <vt:i4>5</vt:i4>
      </vt:variant>
      <vt:variant>
        <vt:lpwstr/>
      </vt:variant>
      <vt:variant>
        <vt:lpwstr>_Toc290364006</vt:lpwstr>
      </vt:variant>
      <vt:variant>
        <vt:i4>1638452</vt:i4>
      </vt:variant>
      <vt:variant>
        <vt:i4>1982</vt:i4>
      </vt:variant>
      <vt:variant>
        <vt:i4>0</vt:i4>
      </vt:variant>
      <vt:variant>
        <vt:i4>5</vt:i4>
      </vt:variant>
      <vt:variant>
        <vt:lpwstr/>
      </vt:variant>
      <vt:variant>
        <vt:lpwstr>_Toc290364005</vt:lpwstr>
      </vt:variant>
      <vt:variant>
        <vt:i4>1638452</vt:i4>
      </vt:variant>
      <vt:variant>
        <vt:i4>1976</vt:i4>
      </vt:variant>
      <vt:variant>
        <vt:i4>0</vt:i4>
      </vt:variant>
      <vt:variant>
        <vt:i4>5</vt:i4>
      </vt:variant>
      <vt:variant>
        <vt:lpwstr/>
      </vt:variant>
      <vt:variant>
        <vt:lpwstr>_Toc290364004</vt:lpwstr>
      </vt:variant>
      <vt:variant>
        <vt:i4>1638452</vt:i4>
      </vt:variant>
      <vt:variant>
        <vt:i4>1970</vt:i4>
      </vt:variant>
      <vt:variant>
        <vt:i4>0</vt:i4>
      </vt:variant>
      <vt:variant>
        <vt:i4>5</vt:i4>
      </vt:variant>
      <vt:variant>
        <vt:lpwstr/>
      </vt:variant>
      <vt:variant>
        <vt:lpwstr>_Toc290364003</vt:lpwstr>
      </vt:variant>
      <vt:variant>
        <vt:i4>1638452</vt:i4>
      </vt:variant>
      <vt:variant>
        <vt:i4>1964</vt:i4>
      </vt:variant>
      <vt:variant>
        <vt:i4>0</vt:i4>
      </vt:variant>
      <vt:variant>
        <vt:i4>5</vt:i4>
      </vt:variant>
      <vt:variant>
        <vt:lpwstr/>
      </vt:variant>
      <vt:variant>
        <vt:lpwstr>_Toc290364002</vt:lpwstr>
      </vt:variant>
      <vt:variant>
        <vt:i4>1638452</vt:i4>
      </vt:variant>
      <vt:variant>
        <vt:i4>1958</vt:i4>
      </vt:variant>
      <vt:variant>
        <vt:i4>0</vt:i4>
      </vt:variant>
      <vt:variant>
        <vt:i4>5</vt:i4>
      </vt:variant>
      <vt:variant>
        <vt:lpwstr/>
      </vt:variant>
      <vt:variant>
        <vt:lpwstr>_Toc290364001</vt:lpwstr>
      </vt:variant>
      <vt:variant>
        <vt:i4>1638452</vt:i4>
      </vt:variant>
      <vt:variant>
        <vt:i4>1952</vt:i4>
      </vt:variant>
      <vt:variant>
        <vt:i4>0</vt:i4>
      </vt:variant>
      <vt:variant>
        <vt:i4>5</vt:i4>
      </vt:variant>
      <vt:variant>
        <vt:lpwstr/>
      </vt:variant>
      <vt:variant>
        <vt:lpwstr>_Toc290364000</vt:lpwstr>
      </vt:variant>
      <vt:variant>
        <vt:i4>1507389</vt:i4>
      </vt:variant>
      <vt:variant>
        <vt:i4>1946</vt:i4>
      </vt:variant>
      <vt:variant>
        <vt:i4>0</vt:i4>
      </vt:variant>
      <vt:variant>
        <vt:i4>5</vt:i4>
      </vt:variant>
      <vt:variant>
        <vt:lpwstr/>
      </vt:variant>
      <vt:variant>
        <vt:lpwstr>_Toc290363999</vt:lpwstr>
      </vt:variant>
      <vt:variant>
        <vt:i4>1507389</vt:i4>
      </vt:variant>
      <vt:variant>
        <vt:i4>1940</vt:i4>
      </vt:variant>
      <vt:variant>
        <vt:i4>0</vt:i4>
      </vt:variant>
      <vt:variant>
        <vt:i4>5</vt:i4>
      </vt:variant>
      <vt:variant>
        <vt:lpwstr/>
      </vt:variant>
      <vt:variant>
        <vt:lpwstr>_Toc290363998</vt:lpwstr>
      </vt:variant>
      <vt:variant>
        <vt:i4>1507389</vt:i4>
      </vt:variant>
      <vt:variant>
        <vt:i4>1934</vt:i4>
      </vt:variant>
      <vt:variant>
        <vt:i4>0</vt:i4>
      </vt:variant>
      <vt:variant>
        <vt:i4>5</vt:i4>
      </vt:variant>
      <vt:variant>
        <vt:lpwstr/>
      </vt:variant>
      <vt:variant>
        <vt:lpwstr>_Toc290363997</vt:lpwstr>
      </vt:variant>
      <vt:variant>
        <vt:i4>1507389</vt:i4>
      </vt:variant>
      <vt:variant>
        <vt:i4>1928</vt:i4>
      </vt:variant>
      <vt:variant>
        <vt:i4>0</vt:i4>
      </vt:variant>
      <vt:variant>
        <vt:i4>5</vt:i4>
      </vt:variant>
      <vt:variant>
        <vt:lpwstr/>
      </vt:variant>
      <vt:variant>
        <vt:lpwstr>_Toc290363996</vt:lpwstr>
      </vt:variant>
      <vt:variant>
        <vt:i4>1507389</vt:i4>
      </vt:variant>
      <vt:variant>
        <vt:i4>1922</vt:i4>
      </vt:variant>
      <vt:variant>
        <vt:i4>0</vt:i4>
      </vt:variant>
      <vt:variant>
        <vt:i4>5</vt:i4>
      </vt:variant>
      <vt:variant>
        <vt:lpwstr/>
      </vt:variant>
      <vt:variant>
        <vt:lpwstr>_Toc290363995</vt:lpwstr>
      </vt:variant>
      <vt:variant>
        <vt:i4>1507389</vt:i4>
      </vt:variant>
      <vt:variant>
        <vt:i4>1916</vt:i4>
      </vt:variant>
      <vt:variant>
        <vt:i4>0</vt:i4>
      </vt:variant>
      <vt:variant>
        <vt:i4>5</vt:i4>
      </vt:variant>
      <vt:variant>
        <vt:lpwstr/>
      </vt:variant>
      <vt:variant>
        <vt:lpwstr>_Toc290363994</vt:lpwstr>
      </vt:variant>
      <vt:variant>
        <vt:i4>1507389</vt:i4>
      </vt:variant>
      <vt:variant>
        <vt:i4>1910</vt:i4>
      </vt:variant>
      <vt:variant>
        <vt:i4>0</vt:i4>
      </vt:variant>
      <vt:variant>
        <vt:i4>5</vt:i4>
      </vt:variant>
      <vt:variant>
        <vt:lpwstr/>
      </vt:variant>
      <vt:variant>
        <vt:lpwstr>_Toc290363993</vt:lpwstr>
      </vt:variant>
      <vt:variant>
        <vt:i4>1507389</vt:i4>
      </vt:variant>
      <vt:variant>
        <vt:i4>1904</vt:i4>
      </vt:variant>
      <vt:variant>
        <vt:i4>0</vt:i4>
      </vt:variant>
      <vt:variant>
        <vt:i4>5</vt:i4>
      </vt:variant>
      <vt:variant>
        <vt:lpwstr/>
      </vt:variant>
      <vt:variant>
        <vt:lpwstr>_Toc290363992</vt:lpwstr>
      </vt:variant>
      <vt:variant>
        <vt:i4>1507389</vt:i4>
      </vt:variant>
      <vt:variant>
        <vt:i4>1898</vt:i4>
      </vt:variant>
      <vt:variant>
        <vt:i4>0</vt:i4>
      </vt:variant>
      <vt:variant>
        <vt:i4>5</vt:i4>
      </vt:variant>
      <vt:variant>
        <vt:lpwstr/>
      </vt:variant>
      <vt:variant>
        <vt:lpwstr>_Toc290363991</vt:lpwstr>
      </vt:variant>
      <vt:variant>
        <vt:i4>1507389</vt:i4>
      </vt:variant>
      <vt:variant>
        <vt:i4>1892</vt:i4>
      </vt:variant>
      <vt:variant>
        <vt:i4>0</vt:i4>
      </vt:variant>
      <vt:variant>
        <vt:i4>5</vt:i4>
      </vt:variant>
      <vt:variant>
        <vt:lpwstr/>
      </vt:variant>
      <vt:variant>
        <vt:lpwstr>_Toc290363990</vt:lpwstr>
      </vt:variant>
      <vt:variant>
        <vt:i4>1441853</vt:i4>
      </vt:variant>
      <vt:variant>
        <vt:i4>1886</vt:i4>
      </vt:variant>
      <vt:variant>
        <vt:i4>0</vt:i4>
      </vt:variant>
      <vt:variant>
        <vt:i4>5</vt:i4>
      </vt:variant>
      <vt:variant>
        <vt:lpwstr/>
      </vt:variant>
      <vt:variant>
        <vt:lpwstr>_Toc290363989</vt:lpwstr>
      </vt:variant>
      <vt:variant>
        <vt:i4>1441853</vt:i4>
      </vt:variant>
      <vt:variant>
        <vt:i4>1880</vt:i4>
      </vt:variant>
      <vt:variant>
        <vt:i4>0</vt:i4>
      </vt:variant>
      <vt:variant>
        <vt:i4>5</vt:i4>
      </vt:variant>
      <vt:variant>
        <vt:lpwstr/>
      </vt:variant>
      <vt:variant>
        <vt:lpwstr>_Toc290363988</vt:lpwstr>
      </vt:variant>
      <vt:variant>
        <vt:i4>1441853</vt:i4>
      </vt:variant>
      <vt:variant>
        <vt:i4>1874</vt:i4>
      </vt:variant>
      <vt:variant>
        <vt:i4>0</vt:i4>
      </vt:variant>
      <vt:variant>
        <vt:i4>5</vt:i4>
      </vt:variant>
      <vt:variant>
        <vt:lpwstr/>
      </vt:variant>
      <vt:variant>
        <vt:lpwstr>_Toc290363987</vt:lpwstr>
      </vt:variant>
      <vt:variant>
        <vt:i4>1441853</vt:i4>
      </vt:variant>
      <vt:variant>
        <vt:i4>1868</vt:i4>
      </vt:variant>
      <vt:variant>
        <vt:i4>0</vt:i4>
      </vt:variant>
      <vt:variant>
        <vt:i4>5</vt:i4>
      </vt:variant>
      <vt:variant>
        <vt:lpwstr/>
      </vt:variant>
      <vt:variant>
        <vt:lpwstr>_Toc290363986</vt:lpwstr>
      </vt:variant>
      <vt:variant>
        <vt:i4>1441853</vt:i4>
      </vt:variant>
      <vt:variant>
        <vt:i4>1862</vt:i4>
      </vt:variant>
      <vt:variant>
        <vt:i4>0</vt:i4>
      </vt:variant>
      <vt:variant>
        <vt:i4>5</vt:i4>
      </vt:variant>
      <vt:variant>
        <vt:lpwstr/>
      </vt:variant>
      <vt:variant>
        <vt:lpwstr>_Toc290363985</vt:lpwstr>
      </vt:variant>
      <vt:variant>
        <vt:i4>1441853</vt:i4>
      </vt:variant>
      <vt:variant>
        <vt:i4>1856</vt:i4>
      </vt:variant>
      <vt:variant>
        <vt:i4>0</vt:i4>
      </vt:variant>
      <vt:variant>
        <vt:i4>5</vt:i4>
      </vt:variant>
      <vt:variant>
        <vt:lpwstr/>
      </vt:variant>
      <vt:variant>
        <vt:lpwstr>_Toc290363984</vt:lpwstr>
      </vt:variant>
      <vt:variant>
        <vt:i4>1441853</vt:i4>
      </vt:variant>
      <vt:variant>
        <vt:i4>1850</vt:i4>
      </vt:variant>
      <vt:variant>
        <vt:i4>0</vt:i4>
      </vt:variant>
      <vt:variant>
        <vt:i4>5</vt:i4>
      </vt:variant>
      <vt:variant>
        <vt:lpwstr/>
      </vt:variant>
      <vt:variant>
        <vt:lpwstr>_Toc290363983</vt:lpwstr>
      </vt:variant>
      <vt:variant>
        <vt:i4>1441853</vt:i4>
      </vt:variant>
      <vt:variant>
        <vt:i4>1844</vt:i4>
      </vt:variant>
      <vt:variant>
        <vt:i4>0</vt:i4>
      </vt:variant>
      <vt:variant>
        <vt:i4>5</vt:i4>
      </vt:variant>
      <vt:variant>
        <vt:lpwstr/>
      </vt:variant>
      <vt:variant>
        <vt:lpwstr>_Toc290363982</vt:lpwstr>
      </vt:variant>
      <vt:variant>
        <vt:i4>1441853</vt:i4>
      </vt:variant>
      <vt:variant>
        <vt:i4>1838</vt:i4>
      </vt:variant>
      <vt:variant>
        <vt:i4>0</vt:i4>
      </vt:variant>
      <vt:variant>
        <vt:i4>5</vt:i4>
      </vt:variant>
      <vt:variant>
        <vt:lpwstr/>
      </vt:variant>
      <vt:variant>
        <vt:lpwstr>_Toc290363981</vt:lpwstr>
      </vt:variant>
      <vt:variant>
        <vt:i4>1441853</vt:i4>
      </vt:variant>
      <vt:variant>
        <vt:i4>1832</vt:i4>
      </vt:variant>
      <vt:variant>
        <vt:i4>0</vt:i4>
      </vt:variant>
      <vt:variant>
        <vt:i4>5</vt:i4>
      </vt:variant>
      <vt:variant>
        <vt:lpwstr/>
      </vt:variant>
      <vt:variant>
        <vt:lpwstr>_Toc290363980</vt:lpwstr>
      </vt:variant>
      <vt:variant>
        <vt:i4>1638461</vt:i4>
      </vt:variant>
      <vt:variant>
        <vt:i4>1826</vt:i4>
      </vt:variant>
      <vt:variant>
        <vt:i4>0</vt:i4>
      </vt:variant>
      <vt:variant>
        <vt:i4>5</vt:i4>
      </vt:variant>
      <vt:variant>
        <vt:lpwstr/>
      </vt:variant>
      <vt:variant>
        <vt:lpwstr>_Toc290363979</vt:lpwstr>
      </vt:variant>
      <vt:variant>
        <vt:i4>1638461</vt:i4>
      </vt:variant>
      <vt:variant>
        <vt:i4>1820</vt:i4>
      </vt:variant>
      <vt:variant>
        <vt:i4>0</vt:i4>
      </vt:variant>
      <vt:variant>
        <vt:i4>5</vt:i4>
      </vt:variant>
      <vt:variant>
        <vt:lpwstr/>
      </vt:variant>
      <vt:variant>
        <vt:lpwstr>_Toc290363978</vt:lpwstr>
      </vt:variant>
      <vt:variant>
        <vt:i4>1638461</vt:i4>
      </vt:variant>
      <vt:variant>
        <vt:i4>1814</vt:i4>
      </vt:variant>
      <vt:variant>
        <vt:i4>0</vt:i4>
      </vt:variant>
      <vt:variant>
        <vt:i4>5</vt:i4>
      </vt:variant>
      <vt:variant>
        <vt:lpwstr/>
      </vt:variant>
      <vt:variant>
        <vt:lpwstr>_Toc290363977</vt:lpwstr>
      </vt:variant>
      <vt:variant>
        <vt:i4>1638461</vt:i4>
      </vt:variant>
      <vt:variant>
        <vt:i4>1808</vt:i4>
      </vt:variant>
      <vt:variant>
        <vt:i4>0</vt:i4>
      </vt:variant>
      <vt:variant>
        <vt:i4>5</vt:i4>
      </vt:variant>
      <vt:variant>
        <vt:lpwstr/>
      </vt:variant>
      <vt:variant>
        <vt:lpwstr>_Toc290363976</vt:lpwstr>
      </vt:variant>
      <vt:variant>
        <vt:i4>1638461</vt:i4>
      </vt:variant>
      <vt:variant>
        <vt:i4>1802</vt:i4>
      </vt:variant>
      <vt:variant>
        <vt:i4>0</vt:i4>
      </vt:variant>
      <vt:variant>
        <vt:i4>5</vt:i4>
      </vt:variant>
      <vt:variant>
        <vt:lpwstr/>
      </vt:variant>
      <vt:variant>
        <vt:lpwstr>_Toc290363975</vt:lpwstr>
      </vt:variant>
      <vt:variant>
        <vt:i4>1638461</vt:i4>
      </vt:variant>
      <vt:variant>
        <vt:i4>1796</vt:i4>
      </vt:variant>
      <vt:variant>
        <vt:i4>0</vt:i4>
      </vt:variant>
      <vt:variant>
        <vt:i4>5</vt:i4>
      </vt:variant>
      <vt:variant>
        <vt:lpwstr/>
      </vt:variant>
      <vt:variant>
        <vt:lpwstr>_Toc290363974</vt:lpwstr>
      </vt:variant>
      <vt:variant>
        <vt:i4>1638461</vt:i4>
      </vt:variant>
      <vt:variant>
        <vt:i4>1790</vt:i4>
      </vt:variant>
      <vt:variant>
        <vt:i4>0</vt:i4>
      </vt:variant>
      <vt:variant>
        <vt:i4>5</vt:i4>
      </vt:variant>
      <vt:variant>
        <vt:lpwstr/>
      </vt:variant>
      <vt:variant>
        <vt:lpwstr>_Toc290363973</vt:lpwstr>
      </vt:variant>
      <vt:variant>
        <vt:i4>1638461</vt:i4>
      </vt:variant>
      <vt:variant>
        <vt:i4>1784</vt:i4>
      </vt:variant>
      <vt:variant>
        <vt:i4>0</vt:i4>
      </vt:variant>
      <vt:variant>
        <vt:i4>5</vt:i4>
      </vt:variant>
      <vt:variant>
        <vt:lpwstr/>
      </vt:variant>
      <vt:variant>
        <vt:lpwstr>_Toc290363972</vt:lpwstr>
      </vt:variant>
      <vt:variant>
        <vt:i4>1638461</vt:i4>
      </vt:variant>
      <vt:variant>
        <vt:i4>1778</vt:i4>
      </vt:variant>
      <vt:variant>
        <vt:i4>0</vt:i4>
      </vt:variant>
      <vt:variant>
        <vt:i4>5</vt:i4>
      </vt:variant>
      <vt:variant>
        <vt:lpwstr/>
      </vt:variant>
      <vt:variant>
        <vt:lpwstr>_Toc290363971</vt:lpwstr>
      </vt:variant>
      <vt:variant>
        <vt:i4>1638461</vt:i4>
      </vt:variant>
      <vt:variant>
        <vt:i4>1772</vt:i4>
      </vt:variant>
      <vt:variant>
        <vt:i4>0</vt:i4>
      </vt:variant>
      <vt:variant>
        <vt:i4>5</vt:i4>
      </vt:variant>
      <vt:variant>
        <vt:lpwstr/>
      </vt:variant>
      <vt:variant>
        <vt:lpwstr>_Toc290363970</vt:lpwstr>
      </vt:variant>
      <vt:variant>
        <vt:i4>1572925</vt:i4>
      </vt:variant>
      <vt:variant>
        <vt:i4>1766</vt:i4>
      </vt:variant>
      <vt:variant>
        <vt:i4>0</vt:i4>
      </vt:variant>
      <vt:variant>
        <vt:i4>5</vt:i4>
      </vt:variant>
      <vt:variant>
        <vt:lpwstr/>
      </vt:variant>
      <vt:variant>
        <vt:lpwstr>_Toc290363969</vt:lpwstr>
      </vt:variant>
      <vt:variant>
        <vt:i4>1572925</vt:i4>
      </vt:variant>
      <vt:variant>
        <vt:i4>1760</vt:i4>
      </vt:variant>
      <vt:variant>
        <vt:i4>0</vt:i4>
      </vt:variant>
      <vt:variant>
        <vt:i4>5</vt:i4>
      </vt:variant>
      <vt:variant>
        <vt:lpwstr/>
      </vt:variant>
      <vt:variant>
        <vt:lpwstr>_Toc290363968</vt:lpwstr>
      </vt:variant>
      <vt:variant>
        <vt:i4>1572925</vt:i4>
      </vt:variant>
      <vt:variant>
        <vt:i4>1754</vt:i4>
      </vt:variant>
      <vt:variant>
        <vt:i4>0</vt:i4>
      </vt:variant>
      <vt:variant>
        <vt:i4>5</vt:i4>
      </vt:variant>
      <vt:variant>
        <vt:lpwstr/>
      </vt:variant>
      <vt:variant>
        <vt:lpwstr>_Toc290363967</vt:lpwstr>
      </vt:variant>
      <vt:variant>
        <vt:i4>1572925</vt:i4>
      </vt:variant>
      <vt:variant>
        <vt:i4>1748</vt:i4>
      </vt:variant>
      <vt:variant>
        <vt:i4>0</vt:i4>
      </vt:variant>
      <vt:variant>
        <vt:i4>5</vt:i4>
      </vt:variant>
      <vt:variant>
        <vt:lpwstr/>
      </vt:variant>
      <vt:variant>
        <vt:lpwstr>_Toc290363966</vt:lpwstr>
      </vt:variant>
      <vt:variant>
        <vt:i4>1572925</vt:i4>
      </vt:variant>
      <vt:variant>
        <vt:i4>1742</vt:i4>
      </vt:variant>
      <vt:variant>
        <vt:i4>0</vt:i4>
      </vt:variant>
      <vt:variant>
        <vt:i4>5</vt:i4>
      </vt:variant>
      <vt:variant>
        <vt:lpwstr/>
      </vt:variant>
      <vt:variant>
        <vt:lpwstr>_Toc290363965</vt:lpwstr>
      </vt:variant>
      <vt:variant>
        <vt:i4>1572925</vt:i4>
      </vt:variant>
      <vt:variant>
        <vt:i4>1736</vt:i4>
      </vt:variant>
      <vt:variant>
        <vt:i4>0</vt:i4>
      </vt:variant>
      <vt:variant>
        <vt:i4>5</vt:i4>
      </vt:variant>
      <vt:variant>
        <vt:lpwstr/>
      </vt:variant>
      <vt:variant>
        <vt:lpwstr>_Toc290363964</vt:lpwstr>
      </vt:variant>
      <vt:variant>
        <vt:i4>1572925</vt:i4>
      </vt:variant>
      <vt:variant>
        <vt:i4>1730</vt:i4>
      </vt:variant>
      <vt:variant>
        <vt:i4>0</vt:i4>
      </vt:variant>
      <vt:variant>
        <vt:i4>5</vt:i4>
      </vt:variant>
      <vt:variant>
        <vt:lpwstr/>
      </vt:variant>
      <vt:variant>
        <vt:lpwstr>_Toc290363963</vt:lpwstr>
      </vt:variant>
      <vt:variant>
        <vt:i4>1572925</vt:i4>
      </vt:variant>
      <vt:variant>
        <vt:i4>1724</vt:i4>
      </vt:variant>
      <vt:variant>
        <vt:i4>0</vt:i4>
      </vt:variant>
      <vt:variant>
        <vt:i4>5</vt:i4>
      </vt:variant>
      <vt:variant>
        <vt:lpwstr/>
      </vt:variant>
      <vt:variant>
        <vt:lpwstr>_Toc290363962</vt:lpwstr>
      </vt:variant>
      <vt:variant>
        <vt:i4>1572925</vt:i4>
      </vt:variant>
      <vt:variant>
        <vt:i4>1718</vt:i4>
      </vt:variant>
      <vt:variant>
        <vt:i4>0</vt:i4>
      </vt:variant>
      <vt:variant>
        <vt:i4>5</vt:i4>
      </vt:variant>
      <vt:variant>
        <vt:lpwstr/>
      </vt:variant>
      <vt:variant>
        <vt:lpwstr>_Toc290363961</vt:lpwstr>
      </vt:variant>
      <vt:variant>
        <vt:i4>1572925</vt:i4>
      </vt:variant>
      <vt:variant>
        <vt:i4>1712</vt:i4>
      </vt:variant>
      <vt:variant>
        <vt:i4>0</vt:i4>
      </vt:variant>
      <vt:variant>
        <vt:i4>5</vt:i4>
      </vt:variant>
      <vt:variant>
        <vt:lpwstr/>
      </vt:variant>
      <vt:variant>
        <vt:lpwstr>_Toc290363960</vt:lpwstr>
      </vt:variant>
      <vt:variant>
        <vt:i4>1769533</vt:i4>
      </vt:variant>
      <vt:variant>
        <vt:i4>1706</vt:i4>
      </vt:variant>
      <vt:variant>
        <vt:i4>0</vt:i4>
      </vt:variant>
      <vt:variant>
        <vt:i4>5</vt:i4>
      </vt:variant>
      <vt:variant>
        <vt:lpwstr/>
      </vt:variant>
      <vt:variant>
        <vt:lpwstr>_Toc290363959</vt:lpwstr>
      </vt:variant>
      <vt:variant>
        <vt:i4>1769533</vt:i4>
      </vt:variant>
      <vt:variant>
        <vt:i4>1700</vt:i4>
      </vt:variant>
      <vt:variant>
        <vt:i4>0</vt:i4>
      </vt:variant>
      <vt:variant>
        <vt:i4>5</vt:i4>
      </vt:variant>
      <vt:variant>
        <vt:lpwstr/>
      </vt:variant>
      <vt:variant>
        <vt:lpwstr>_Toc290363958</vt:lpwstr>
      </vt:variant>
      <vt:variant>
        <vt:i4>1769533</vt:i4>
      </vt:variant>
      <vt:variant>
        <vt:i4>1694</vt:i4>
      </vt:variant>
      <vt:variant>
        <vt:i4>0</vt:i4>
      </vt:variant>
      <vt:variant>
        <vt:i4>5</vt:i4>
      </vt:variant>
      <vt:variant>
        <vt:lpwstr/>
      </vt:variant>
      <vt:variant>
        <vt:lpwstr>_Toc290363957</vt:lpwstr>
      </vt:variant>
      <vt:variant>
        <vt:i4>1769533</vt:i4>
      </vt:variant>
      <vt:variant>
        <vt:i4>1688</vt:i4>
      </vt:variant>
      <vt:variant>
        <vt:i4>0</vt:i4>
      </vt:variant>
      <vt:variant>
        <vt:i4>5</vt:i4>
      </vt:variant>
      <vt:variant>
        <vt:lpwstr/>
      </vt:variant>
      <vt:variant>
        <vt:lpwstr>_Toc290363956</vt:lpwstr>
      </vt:variant>
      <vt:variant>
        <vt:i4>1769533</vt:i4>
      </vt:variant>
      <vt:variant>
        <vt:i4>1682</vt:i4>
      </vt:variant>
      <vt:variant>
        <vt:i4>0</vt:i4>
      </vt:variant>
      <vt:variant>
        <vt:i4>5</vt:i4>
      </vt:variant>
      <vt:variant>
        <vt:lpwstr/>
      </vt:variant>
      <vt:variant>
        <vt:lpwstr>_Toc290363955</vt:lpwstr>
      </vt:variant>
      <vt:variant>
        <vt:i4>1769533</vt:i4>
      </vt:variant>
      <vt:variant>
        <vt:i4>1676</vt:i4>
      </vt:variant>
      <vt:variant>
        <vt:i4>0</vt:i4>
      </vt:variant>
      <vt:variant>
        <vt:i4>5</vt:i4>
      </vt:variant>
      <vt:variant>
        <vt:lpwstr/>
      </vt:variant>
      <vt:variant>
        <vt:lpwstr>_Toc290363954</vt:lpwstr>
      </vt:variant>
      <vt:variant>
        <vt:i4>1769533</vt:i4>
      </vt:variant>
      <vt:variant>
        <vt:i4>1670</vt:i4>
      </vt:variant>
      <vt:variant>
        <vt:i4>0</vt:i4>
      </vt:variant>
      <vt:variant>
        <vt:i4>5</vt:i4>
      </vt:variant>
      <vt:variant>
        <vt:lpwstr/>
      </vt:variant>
      <vt:variant>
        <vt:lpwstr>_Toc290363953</vt:lpwstr>
      </vt:variant>
      <vt:variant>
        <vt:i4>1769533</vt:i4>
      </vt:variant>
      <vt:variant>
        <vt:i4>1664</vt:i4>
      </vt:variant>
      <vt:variant>
        <vt:i4>0</vt:i4>
      </vt:variant>
      <vt:variant>
        <vt:i4>5</vt:i4>
      </vt:variant>
      <vt:variant>
        <vt:lpwstr/>
      </vt:variant>
      <vt:variant>
        <vt:lpwstr>_Toc290363952</vt:lpwstr>
      </vt:variant>
      <vt:variant>
        <vt:i4>1769533</vt:i4>
      </vt:variant>
      <vt:variant>
        <vt:i4>1658</vt:i4>
      </vt:variant>
      <vt:variant>
        <vt:i4>0</vt:i4>
      </vt:variant>
      <vt:variant>
        <vt:i4>5</vt:i4>
      </vt:variant>
      <vt:variant>
        <vt:lpwstr/>
      </vt:variant>
      <vt:variant>
        <vt:lpwstr>_Toc290363951</vt:lpwstr>
      </vt:variant>
      <vt:variant>
        <vt:i4>1769533</vt:i4>
      </vt:variant>
      <vt:variant>
        <vt:i4>1652</vt:i4>
      </vt:variant>
      <vt:variant>
        <vt:i4>0</vt:i4>
      </vt:variant>
      <vt:variant>
        <vt:i4>5</vt:i4>
      </vt:variant>
      <vt:variant>
        <vt:lpwstr/>
      </vt:variant>
      <vt:variant>
        <vt:lpwstr>_Toc290363950</vt:lpwstr>
      </vt:variant>
      <vt:variant>
        <vt:i4>1703997</vt:i4>
      </vt:variant>
      <vt:variant>
        <vt:i4>1646</vt:i4>
      </vt:variant>
      <vt:variant>
        <vt:i4>0</vt:i4>
      </vt:variant>
      <vt:variant>
        <vt:i4>5</vt:i4>
      </vt:variant>
      <vt:variant>
        <vt:lpwstr/>
      </vt:variant>
      <vt:variant>
        <vt:lpwstr>_Toc290363949</vt:lpwstr>
      </vt:variant>
      <vt:variant>
        <vt:i4>1703997</vt:i4>
      </vt:variant>
      <vt:variant>
        <vt:i4>1640</vt:i4>
      </vt:variant>
      <vt:variant>
        <vt:i4>0</vt:i4>
      </vt:variant>
      <vt:variant>
        <vt:i4>5</vt:i4>
      </vt:variant>
      <vt:variant>
        <vt:lpwstr/>
      </vt:variant>
      <vt:variant>
        <vt:lpwstr>_Toc290363948</vt:lpwstr>
      </vt:variant>
      <vt:variant>
        <vt:i4>1703997</vt:i4>
      </vt:variant>
      <vt:variant>
        <vt:i4>1634</vt:i4>
      </vt:variant>
      <vt:variant>
        <vt:i4>0</vt:i4>
      </vt:variant>
      <vt:variant>
        <vt:i4>5</vt:i4>
      </vt:variant>
      <vt:variant>
        <vt:lpwstr/>
      </vt:variant>
      <vt:variant>
        <vt:lpwstr>_Toc290363947</vt:lpwstr>
      </vt:variant>
      <vt:variant>
        <vt:i4>1703997</vt:i4>
      </vt:variant>
      <vt:variant>
        <vt:i4>1628</vt:i4>
      </vt:variant>
      <vt:variant>
        <vt:i4>0</vt:i4>
      </vt:variant>
      <vt:variant>
        <vt:i4>5</vt:i4>
      </vt:variant>
      <vt:variant>
        <vt:lpwstr/>
      </vt:variant>
      <vt:variant>
        <vt:lpwstr>_Toc290363946</vt:lpwstr>
      </vt:variant>
      <vt:variant>
        <vt:i4>1703997</vt:i4>
      </vt:variant>
      <vt:variant>
        <vt:i4>1622</vt:i4>
      </vt:variant>
      <vt:variant>
        <vt:i4>0</vt:i4>
      </vt:variant>
      <vt:variant>
        <vt:i4>5</vt:i4>
      </vt:variant>
      <vt:variant>
        <vt:lpwstr/>
      </vt:variant>
      <vt:variant>
        <vt:lpwstr>_Toc290363945</vt:lpwstr>
      </vt:variant>
      <vt:variant>
        <vt:i4>1703997</vt:i4>
      </vt:variant>
      <vt:variant>
        <vt:i4>1616</vt:i4>
      </vt:variant>
      <vt:variant>
        <vt:i4>0</vt:i4>
      </vt:variant>
      <vt:variant>
        <vt:i4>5</vt:i4>
      </vt:variant>
      <vt:variant>
        <vt:lpwstr/>
      </vt:variant>
      <vt:variant>
        <vt:lpwstr>_Toc290363944</vt:lpwstr>
      </vt:variant>
      <vt:variant>
        <vt:i4>1703997</vt:i4>
      </vt:variant>
      <vt:variant>
        <vt:i4>1610</vt:i4>
      </vt:variant>
      <vt:variant>
        <vt:i4>0</vt:i4>
      </vt:variant>
      <vt:variant>
        <vt:i4>5</vt:i4>
      </vt:variant>
      <vt:variant>
        <vt:lpwstr/>
      </vt:variant>
      <vt:variant>
        <vt:lpwstr>_Toc290363943</vt:lpwstr>
      </vt:variant>
      <vt:variant>
        <vt:i4>1703997</vt:i4>
      </vt:variant>
      <vt:variant>
        <vt:i4>1604</vt:i4>
      </vt:variant>
      <vt:variant>
        <vt:i4>0</vt:i4>
      </vt:variant>
      <vt:variant>
        <vt:i4>5</vt:i4>
      </vt:variant>
      <vt:variant>
        <vt:lpwstr/>
      </vt:variant>
      <vt:variant>
        <vt:lpwstr>_Toc290363942</vt:lpwstr>
      </vt:variant>
      <vt:variant>
        <vt:i4>1703997</vt:i4>
      </vt:variant>
      <vt:variant>
        <vt:i4>1598</vt:i4>
      </vt:variant>
      <vt:variant>
        <vt:i4>0</vt:i4>
      </vt:variant>
      <vt:variant>
        <vt:i4>5</vt:i4>
      </vt:variant>
      <vt:variant>
        <vt:lpwstr/>
      </vt:variant>
      <vt:variant>
        <vt:lpwstr>_Toc290363941</vt:lpwstr>
      </vt:variant>
      <vt:variant>
        <vt:i4>1703997</vt:i4>
      </vt:variant>
      <vt:variant>
        <vt:i4>1592</vt:i4>
      </vt:variant>
      <vt:variant>
        <vt:i4>0</vt:i4>
      </vt:variant>
      <vt:variant>
        <vt:i4>5</vt:i4>
      </vt:variant>
      <vt:variant>
        <vt:lpwstr/>
      </vt:variant>
      <vt:variant>
        <vt:lpwstr>_Toc290363940</vt:lpwstr>
      </vt:variant>
      <vt:variant>
        <vt:i4>1900605</vt:i4>
      </vt:variant>
      <vt:variant>
        <vt:i4>1586</vt:i4>
      </vt:variant>
      <vt:variant>
        <vt:i4>0</vt:i4>
      </vt:variant>
      <vt:variant>
        <vt:i4>5</vt:i4>
      </vt:variant>
      <vt:variant>
        <vt:lpwstr/>
      </vt:variant>
      <vt:variant>
        <vt:lpwstr>_Toc290363939</vt:lpwstr>
      </vt:variant>
      <vt:variant>
        <vt:i4>1900605</vt:i4>
      </vt:variant>
      <vt:variant>
        <vt:i4>1580</vt:i4>
      </vt:variant>
      <vt:variant>
        <vt:i4>0</vt:i4>
      </vt:variant>
      <vt:variant>
        <vt:i4>5</vt:i4>
      </vt:variant>
      <vt:variant>
        <vt:lpwstr/>
      </vt:variant>
      <vt:variant>
        <vt:lpwstr>_Toc290363938</vt:lpwstr>
      </vt:variant>
      <vt:variant>
        <vt:i4>1900605</vt:i4>
      </vt:variant>
      <vt:variant>
        <vt:i4>1574</vt:i4>
      </vt:variant>
      <vt:variant>
        <vt:i4>0</vt:i4>
      </vt:variant>
      <vt:variant>
        <vt:i4>5</vt:i4>
      </vt:variant>
      <vt:variant>
        <vt:lpwstr/>
      </vt:variant>
      <vt:variant>
        <vt:lpwstr>_Toc290363937</vt:lpwstr>
      </vt:variant>
      <vt:variant>
        <vt:i4>1900605</vt:i4>
      </vt:variant>
      <vt:variant>
        <vt:i4>1568</vt:i4>
      </vt:variant>
      <vt:variant>
        <vt:i4>0</vt:i4>
      </vt:variant>
      <vt:variant>
        <vt:i4>5</vt:i4>
      </vt:variant>
      <vt:variant>
        <vt:lpwstr/>
      </vt:variant>
      <vt:variant>
        <vt:lpwstr>_Toc290363936</vt:lpwstr>
      </vt:variant>
      <vt:variant>
        <vt:i4>1900605</vt:i4>
      </vt:variant>
      <vt:variant>
        <vt:i4>1562</vt:i4>
      </vt:variant>
      <vt:variant>
        <vt:i4>0</vt:i4>
      </vt:variant>
      <vt:variant>
        <vt:i4>5</vt:i4>
      </vt:variant>
      <vt:variant>
        <vt:lpwstr/>
      </vt:variant>
      <vt:variant>
        <vt:lpwstr>_Toc290363935</vt:lpwstr>
      </vt:variant>
      <vt:variant>
        <vt:i4>1900605</vt:i4>
      </vt:variant>
      <vt:variant>
        <vt:i4>1556</vt:i4>
      </vt:variant>
      <vt:variant>
        <vt:i4>0</vt:i4>
      </vt:variant>
      <vt:variant>
        <vt:i4>5</vt:i4>
      </vt:variant>
      <vt:variant>
        <vt:lpwstr/>
      </vt:variant>
      <vt:variant>
        <vt:lpwstr>_Toc290363934</vt:lpwstr>
      </vt:variant>
      <vt:variant>
        <vt:i4>1900605</vt:i4>
      </vt:variant>
      <vt:variant>
        <vt:i4>1550</vt:i4>
      </vt:variant>
      <vt:variant>
        <vt:i4>0</vt:i4>
      </vt:variant>
      <vt:variant>
        <vt:i4>5</vt:i4>
      </vt:variant>
      <vt:variant>
        <vt:lpwstr/>
      </vt:variant>
      <vt:variant>
        <vt:lpwstr>_Toc290363933</vt:lpwstr>
      </vt:variant>
      <vt:variant>
        <vt:i4>1900605</vt:i4>
      </vt:variant>
      <vt:variant>
        <vt:i4>1544</vt:i4>
      </vt:variant>
      <vt:variant>
        <vt:i4>0</vt:i4>
      </vt:variant>
      <vt:variant>
        <vt:i4>5</vt:i4>
      </vt:variant>
      <vt:variant>
        <vt:lpwstr/>
      </vt:variant>
      <vt:variant>
        <vt:lpwstr>_Toc290363932</vt:lpwstr>
      </vt:variant>
      <vt:variant>
        <vt:i4>1900605</vt:i4>
      </vt:variant>
      <vt:variant>
        <vt:i4>1538</vt:i4>
      </vt:variant>
      <vt:variant>
        <vt:i4>0</vt:i4>
      </vt:variant>
      <vt:variant>
        <vt:i4>5</vt:i4>
      </vt:variant>
      <vt:variant>
        <vt:lpwstr/>
      </vt:variant>
      <vt:variant>
        <vt:lpwstr>_Toc290363931</vt:lpwstr>
      </vt:variant>
      <vt:variant>
        <vt:i4>1900605</vt:i4>
      </vt:variant>
      <vt:variant>
        <vt:i4>1532</vt:i4>
      </vt:variant>
      <vt:variant>
        <vt:i4>0</vt:i4>
      </vt:variant>
      <vt:variant>
        <vt:i4>5</vt:i4>
      </vt:variant>
      <vt:variant>
        <vt:lpwstr/>
      </vt:variant>
      <vt:variant>
        <vt:lpwstr>_Toc290363930</vt:lpwstr>
      </vt:variant>
      <vt:variant>
        <vt:i4>1835069</vt:i4>
      </vt:variant>
      <vt:variant>
        <vt:i4>1526</vt:i4>
      </vt:variant>
      <vt:variant>
        <vt:i4>0</vt:i4>
      </vt:variant>
      <vt:variant>
        <vt:i4>5</vt:i4>
      </vt:variant>
      <vt:variant>
        <vt:lpwstr/>
      </vt:variant>
      <vt:variant>
        <vt:lpwstr>_Toc290363929</vt:lpwstr>
      </vt:variant>
      <vt:variant>
        <vt:i4>1835069</vt:i4>
      </vt:variant>
      <vt:variant>
        <vt:i4>1520</vt:i4>
      </vt:variant>
      <vt:variant>
        <vt:i4>0</vt:i4>
      </vt:variant>
      <vt:variant>
        <vt:i4>5</vt:i4>
      </vt:variant>
      <vt:variant>
        <vt:lpwstr/>
      </vt:variant>
      <vt:variant>
        <vt:lpwstr>_Toc290363928</vt:lpwstr>
      </vt:variant>
      <vt:variant>
        <vt:i4>1835069</vt:i4>
      </vt:variant>
      <vt:variant>
        <vt:i4>1514</vt:i4>
      </vt:variant>
      <vt:variant>
        <vt:i4>0</vt:i4>
      </vt:variant>
      <vt:variant>
        <vt:i4>5</vt:i4>
      </vt:variant>
      <vt:variant>
        <vt:lpwstr/>
      </vt:variant>
      <vt:variant>
        <vt:lpwstr>_Toc290363927</vt:lpwstr>
      </vt:variant>
      <vt:variant>
        <vt:i4>1835069</vt:i4>
      </vt:variant>
      <vt:variant>
        <vt:i4>1508</vt:i4>
      </vt:variant>
      <vt:variant>
        <vt:i4>0</vt:i4>
      </vt:variant>
      <vt:variant>
        <vt:i4>5</vt:i4>
      </vt:variant>
      <vt:variant>
        <vt:lpwstr/>
      </vt:variant>
      <vt:variant>
        <vt:lpwstr>_Toc290363926</vt:lpwstr>
      </vt:variant>
      <vt:variant>
        <vt:i4>1835069</vt:i4>
      </vt:variant>
      <vt:variant>
        <vt:i4>1502</vt:i4>
      </vt:variant>
      <vt:variant>
        <vt:i4>0</vt:i4>
      </vt:variant>
      <vt:variant>
        <vt:i4>5</vt:i4>
      </vt:variant>
      <vt:variant>
        <vt:lpwstr/>
      </vt:variant>
      <vt:variant>
        <vt:lpwstr>_Toc290363925</vt:lpwstr>
      </vt:variant>
      <vt:variant>
        <vt:i4>1835069</vt:i4>
      </vt:variant>
      <vt:variant>
        <vt:i4>1496</vt:i4>
      </vt:variant>
      <vt:variant>
        <vt:i4>0</vt:i4>
      </vt:variant>
      <vt:variant>
        <vt:i4>5</vt:i4>
      </vt:variant>
      <vt:variant>
        <vt:lpwstr/>
      </vt:variant>
      <vt:variant>
        <vt:lpwstr>_Toc290363924</vt:lpwstr>
      </vt:variant>
      <vt:variant>
        <vt:i4>1835069</vt:i4>
      </vt:variant>
      <vt:variant>
        <vt:i4>1490</vt:i4>
      </vt:variant>
      <vt:variant>
        <vt:i4>0</vt:i4>
      </vt:variant>
      <vt:variant>
        <vt:i4>5</vt:i4>
      </vt:variant>
      <vt:variant>
        <vt:lpwstr/>
      </vt:variant>
      <vt:variant>
        <vt:lpwstr>_Toc290363923</vt:lpwstr>
      </vt:variant>
      <vt:variant>
        <vt:i4>1835069</vt:i4>
      </vt:variant>
      <vt:variant>
        <vt:i4>1484</vt:i4>
      </vt:variant>
      <vt:variant>
        <vt:i4>0</vt:i4>
      </vt:variant>
      <vt:variant>
        <vt:i4>5</vt:i4>
      </vt:variant>
      <vt:variant>
        <vt:lpwstr/>
      </vt:variant>
      <vt:variant>
        <vt:lpwstr>_Toc290363922</vt:lpwstr>
      </vt:variant>
      <vt:variant>
        <vt:i4>1835069</vt:i4>
      </vt:variant>
      <vt:variant>
        <vt:i4>1478</vt:i4>
      </vt:variant>
      <vt:variant>
        <vt:i4>0</vt:i4>
      </vt:variant>
      <vt:variant>
        <vt:i4>5</vt:i4>
      </vt:variant>
      <vt:variant>
        <vt:lpwstr/>
      </vt:variant>
      <vt:variant>
        <vt:lpwstr>_Toc290363921</vt:lpwstr>
      </vt:variant>
      <vt:variant>
        <vt:i4>1835069</vt:i4>
      </vt:variant>
      <vt:variant>
        <vt:i4>1472</vt:i4>
      </vt:variant>
      <vt:variant>
        <vt:i4>0</vt:i4>
      </vt:variant>
      <vt:variant>
        <vt:i4>5</vt:i4>
      </vt:variant>
      <vt:variant>
        <vt:lpwstr/>
      </vt:variant>
      <vt:variant>
        <vt:lpwstr>_Toc290363920</vt:lpwstr>
      </vt:variant>
      <vt:variant>
        <vt:i4>2031677</vt:i4>
      </vt:variant>
      <vt:variant>
        <vt:i4>1466</vt:i4>
      </vt:variant>
      <vt:variant>
        <vt:i4>0</vt:i4>
      </vt:variant>
      <vt:variant>
        <vt:i4>5</vt:i4>
      </vt:variant>
      <vt:variant>
        <vt:lpwstr/>
      </vt:variant>
      <vt:variant>
        <vt:lpwstr>_Toc290363919</vt:lpwstr>
      </vt:variant>
      <vt:variant>
        <vt:i4>2031677</vt:i4>
      </vt:variant>
      <vt:variant>
        <vt:i4>1460</vt:i4>
      </vt:variant>
      <vt:variant>
        <vt:i4>0</vt:i4>
      </vt:variant>
      <vt:variant>
        <vt:i4>5</vt:i4>
      </vt:variant>
      <vt:variant>
        <vt:lpwstr/>
      </vt:variant>
      <vt:variant>
        <vt:lpwstr>_Toc290363918</vt:lpwstr>
      </vt:variant>
      <vt:variant>
        <vt:i4>2031677</vt:i4>
      </vt:variant>
      <vt:variant>
        <vt:i4>1454</vt:i4>
      </vt:variant>
      <vt:variant>
        <vt:i4>0</vt:i4>
      </vt:variant>
      <vt:variant>
        <vt:i4>5</vt:i4>
      </vt:variant>
      <vt:variant>
        <vt:lpwstr/>
      </vt:variant>
      <vt:variant>
        <vt:lpwstr>_Toc290363917</vt:lpwstr>
      </vt:variant>
      <vt:variant>
        <vt:i4>2031677</vt:i4>
      </vt:variant>
      <vt:variant>
        <vt:i4>1448</vt:i4>
      </vt:variant>
      <vt:variant>
        <vt:i4>0</vt:i4>
      </vt:variant>
      <vt:variant>
        <vt:i4>5</vt:i4>
      </vt:variant>
      <vt:variant>
        <vt:lpwstr/>
      </vt:variant>
      <vt:variant>
        <vt:lpwstr>_Toc290363916</vt:lpwstr>
      </vt:variant>
      <vt:variant>
        <vt:i4>2031677</vt:i4>
      </vt:variant>
      <vt:variant>
        <vt:i4>1442</vt:i4>
      </vt:variant>
      <vt:variant>
        <vt:i4>0</vt:i4>
      </vt:variant>
      <vt:variant>
        <vt:i4>5</vt:i4>
      </vt:variant>
      <vt:variant>
        <vt:lpwstr/>
      </vt:variant>
      <vt:variant>
        <vt:lpwstr>_Toc290363915</vt:lpwstr>
      </vt:variant>
      <vt:variant>
        <vt:i4>2031677</vt:i4>
      </vt:variant>
      <vt:variant>
        <vt:i4>1436</vt:i4>
      </vt:variant>
      <vt:variant>
        <vt:i4>0</vt:i4>
      </vt:variant>
      <vt:variant>
        <vt:i4>5</vt:i4>
      </vt:variant>
      <vt:variant>
        <vt:lpwstr/>
      </vt:variant>
      <vt:variant>
        <vt:lpwstr>_Toc290363914</vt:lpwstr>
      </vt:variant>
      <vt:variant>
        <vt:i4>2031677</vt:i4>
      </vt:variant>
      <vt:variant>
        <vt:i4>1430</vt:i4>
      </vt:variant>
      <vt:variant>
        <vt:i4>0</vt:i4>
      </vt:variant>
      <vt:variant>
        <vt:i4>5</vt:i4>
      </vt:variant>
      <vt:variant>
        <vt:lpwstr/>
      </vt:variant>
      <vt:variant>
        <vt:lpwstr>_Toc290363913</vt:lpwstr>
      </vt:variant>
      <vt:variant>
        <vt:i4>2031677</vt:i4>
      </vt:variant>
      <vt:variant>
        <vt:i4>1424</vt:i4>
      </vt:variant>
      <vt:variant>
        <vt:i4>0</vt:i4>
      </vt:variant>
      <vt:variant>
        <vt:i4>5</vt:i4>
      </vt:variant>
      <vt:variant>
        <vt:lpwstr/>
      </vt:variant>
      <vt:variant>
        <vt:lpwstr>_Toc290363912</vt:lpwstr>
      </vt:variant>
      <vt:variant>
        <vt:i4>2031677</vt:i4>
      </vt:variant>
      <vt:variant>
        <vt:i4>1418</vt:i4>
      </vt:variant>
      <vt:variant>
        <vt:i4>0</vt:i4>
      </vt:variant>
      <vt:variant>
        <vt:i4>5</vt:i4>
      </vt:variant>
      <vt:variant>
        <vt:lpwstr/>
      </vt:variant>
      <vt:variant>
        <vt:lpwstr>_Toc290363911</vt:lpwstr>
      </vt:variant>
      <vt:variant>
        <vt:i4>2031677</vt:i4>
      </vt:variant>
      <vt:variant>
        <vt:i4>1412</vt:i4>
      </vt:variant>
      <vt:variant>
        <vt:i4>0</vt:i4>
      </vt:variant>
      <vt:variant>
        <vt:i4>5</vt:i4>
      </vt:variant>
      <vt:variant>
        <vt:lpwstr/>
      </vt:variant>
      <vt:variant>
        <vt:lpwstr>_Toc290363910</vt:lpwstr>
      </vt:variant>
      <vt:variant>
        <vt:i4>1966141</vt:i4>
      </vt:variant>
      <vt:variant>
        <vt:i4>1406</vt:i4>
      </vt:variant>
      <vt:variant>
        <vt:i4>0</vt:i4>
      </vt:variant>
      <vt:variant>
        <vt:i4>5</vt:i4>
      </vt:variant>
      <vt:variant>
        <vt:lpwstr/>
      </vt:variant>
      <vt:variant>
        <vt:lpwstr>_Toc290363909</vt:lpwstr>
      </vt:variant>
      <vt:variant>
        <vt:i4>1966141</vt:i4>
      </vt:variant>
      <vt:variant>
        <vt:i4>1400</vt:i4>
      </vt:variant>
      <vt:variant>
        <vt:i4>0</vt:i4>
      </vt:variant>
      <vt:variant>
        <vt:i4>5</vt:i4>
      </vt:variant>
      <vt:variant>
        <vt:lpwstr/>
      </vt:variant>
      <vt:variant>
        <vt:lpwstr>_Toc290363908</vt:lpwstr>
      </vt:variant>
      <vt:variant>
        <vt:i4>1966141</vt:i4>
      </vt:variant>
      <vt:variant>
        <vt:i4>1394</vt:i4>
      </vt:variant>
      <vt:variant>
        <vt:i4>0</vt:i4>
      </vt:variant>
      <vt:variant>
        <vt:i4>5</vt:i4>
      </vt:variant>
      <vt:variant>
        <vt:lpwstr/>
      </vt:variant>
      <vt:variant>
        <vt:lpwstr>_Toc290363907</vt:lpwstr>
      </vt:variant>
      <vt:variant>
        <vt:i4>1966141</vt:i4>
      </vt:variant>
      <vt:variant>
        <vt:i4>1388</vt:i4>
      </vt:variant>
      <vt:variant>
        <vt:i4>0</vt:i4>
      </vt:variant>
      <vt:variant>
        <vt:i4>5</vt:i4>
      </vt:variant>
      <vt:variant>
        <vt:lpwstr/>
      </vt:variant>
      <vt:variant>
        <vt:lpwstr>_Toc290363906</vt:lpwstr>
      </vt:variant>
      <vt:variant>
        <vt:i4>1966141</vt:i4>
      </vt:variant>
      <vt:variant>
        <vt:i4>1382</vt:i4>
      </vt:variant>
      <vt:variant>
        <vt:i4>0</vt:i4>
      </vt:variant>
      <vt:variant>
        <vt:i4>5</vt:i4>
      </vt:variant>
      <vt:variant>
        <vt:lpwstr/>
      </vt:variant>
      <vt:variant>
        <vt:lpwstr>_Toc290363905</vt:lpwstr>
      </vt:variant>
      <vt:variant>
        <vt:i4>1966141</vt:i4>
      </vt:variant>
      <vt:variant>
        <vt:i4>1376</vt:i4>
      </vt:variant>
      <vt:variant>
        <vt:i4>0</vt:i4>
      </vt:variant>
      <vt:variant>
        <vt:i4>5</vt:i4>
      </vt:variant>
      <vt:variant>
        <vt:lpwstr/>
      </vt:variant>
      <vt:variant>
        <vt:lpwstr>_Toc290363904</vt:lpwstr>
      </vt:variant>
      <vt:variant>
        <vt:i4>1966141</vt:i4>
      </vt:variant>
      <vt:variant>
        <vt:i4>1370</vt:i4>
      </vt:variant>
      <vt:variant>
        <vt:i4>0</vt:i4>
      </vt:variant>
      <vt:variant>
        <vt:i4>5</vt:i4>
      </vt:variant>
      <vt:variant>
        <vt:lpwstr/>
      </vt:variant>
      <vt:variant>
        <vt:lpwstr>_Toc290363903</vt:lpwstr>
      </vt:variant>
      <vt:variant>
        <vt:i4>1966141</vt:i4>
      </vt:variant>
      <vt:variant>
        <vt:i4>1364</vt:i4>
      </vt:variant>
      <vt:variant>
        <vt:i4>0</vt:i4>
      </vt:variant>
      <vt:variant>
        <vt:i4>5</vt:i4>
      </vt:variant>
      <vt:variant>
        <vt:lpwstr/>
      </vt:variant>
      <vt:variant>
        <vt:lpwstr>_Toc290363902</vt:lpwstr>
      </vt:variant>
      <vt:variant>
        <vt:i4>1966141</vt:i4>
      </vt:variant>
      <vt:variant>
        <vt:i4>1358</vt:i4>
      </vt:variant>
      <vt:variant>
        <vt:i4>0</vt:i4>
      </vt:variant>
      <vt:variant>
        <vt:i4>5</vt:i4>
      </vt:variant>
      <vt:variant>
        <vt:lpwstr/>
      </vt:variant>
      <vt:variant>
        <vt:lpwstr>_Toc290363901</vt:lpwstr>
      </vt:variant>
      <vt:variant>
        <vt:i4>1966141</vt:i4>
      </vt:variant>
      <vt:variant>
        <vt:i4>1352</vt:i4>
      </vt:variant>
      <vt:variant>
        <vt:i4>0</vt:i4>
      </vt:variant>
      <vt:variant>
        <vt:i4>5</vt:i4>
      </vt:variant>
      <vt:variant>
        <vt:lpwstr/>
      </vt:variant>
      <vt:variant>
        <vt:lpwstr>_Toc290363900</vt:lpwstr>
      </vt:variant>
      <vt:variant>
        <vt:i4>1507388</vt:i4>
      </vt:variant>
      <vt:variant>
        <vt:i4>1346</vt:i4>
      </vt:variant>
      <vt:variant>
        <vt:i4>0</vt:i4>
      </vt:variant>
      <vt:variant>
        <vt:i4>5</vt:i4>
      </vt:variant>
      <vt:variant>
        <vt:lpwstr/>
      </vt:variant>
      <vt:variant>
        <vt:lpwstr>_Toc290363899</vt:lpwstr>
      </vt:variant>
      <vt:variant>
        <vt:i4>1507388</vt:i4>
      </vt:variant>
      <vt:variant>
        <vt:i4>1340</vt:i4>
      </vt:variant>
      <vt:variant>
        <vt:i4>0</vt:i4>
      </vt:variant>
      <vt:variant>
        <vt:i4>5</vt:i4>
      </vt:variant>
      <vt:variant>
        <vt:lpwstr/>
      </vt:variant>
      <vt:variant>
        <vt:lpwstr>_Toc290363898</vt:lpwstr>
      </vt:variant>
      <vt:variant>
        <vt:i4>1507388</vt:i4>
      </vt:variant>
      <vt:variant>
        <vt:i4>1334</vt:i4>
      </vt:variant>
      <vt:variant>
        <vt:i4>0</vt:i4>
      </vt:variant>
      <vt:variant>
        <vt:i4>5</vt:i4>
      </vt:variant>
      <vt:variant>
        <vt:lpwstr/>
      </vt:variant>
      <vt:variant>
        <vt:lpwstr>_Toc290363897</vt:lpwstr>
      </vt:variant>
      <vt:variant>
        <vt:i4>1507388</vt:i4>
      </vt:variant>
      <vt:variant>
        <vt:i4>1328</vt:i4>
      </vt:variant>
      <vt:variant>
        <vt:i4>0</vt:i4>
      </vt:variant>
      <vt:variant>
        <vt:i4>5</vt:i4>
      </vt:variant>
      <vt:variant>
        <vt:lpwstr/>
      </vt:variant>
      <vt:variant>
        <vt:lpwstr>_Toc290363896</vt:lpwstr>
      </vt:variant>
      <vt:variant>
        <vt:i4>1507388</vt:i4>
      </vt:variant>
      <vt:variant>
        <vt:i4>1322</vt:i4>
      </vt:variant>
      <vt:variant>
        <vt:i4>0</vt:i4>
      </vt:variant>
      <vt:variant>
        <vt:i4>5</vt:i4>
      </vt:variant>
      <vt:variant>
        <vt:lpwstr/>
      </vt:variant>
      <vt:variant>
        <vt:lpwstr>_Toc290363895</vt:lpwstr>
      </vt:variant>
      <vt:variant>
        <vt:i4>1507388</vt:i4>
      </vt:variant>
      <vt:variant>
        <vt:i4>1316</vt:i4>
      </vt:variant>
      <vt:variant>
        <vt:i4>0</vt:i4>
      </vt:variant>
      <vt:variant>
        <vt:i4>5</vt:i4>
      </vt:variant>
      <vt:variant>
        <vt:lpwstr/>
      </vt:variant>
      <vt:variant>
        <vt:lpwstr>_Toc290363894</vt:lpwstr>
      </vt:variant>
      <vt:variant>
        <vt:i4>1507388</vt:i4>
      </vt:variant>
      <vt:variant>
        <vt:i4>1310</vt:i4>
      </vt:variant>
      <vt:variant>
        <vt:i4>0</vt:i4>
      </vt:variant>
      <vt:variant>
        <vt:i4>5</vt:i4>
      </vt:variant>
      <vt:variant>
        <vt:lpwstr/>
      </vt:variant>
      <vt:variant>
        <vt:lpwstr>_Toc290363893</vt:lpwstr>
      </vt:variant>
      <vt:variant>
        <vt:i4>1507388</vt:i4>
      </vt:variant>
      <vt:variant>
        <vt:i4>1304</vt:i4>
      </vt:variant>
      <vt:variant>
        <vt:i4>0</vt:i4>
      </vt:variant>
      <vt:variant>
        <vt:i4>5</vt:i4>
      </vt:variant>
      <vt:variant>
        <vt:lpwstr/>
      </vt:variant>
      <vt:variant>
        <vt:lpwstr>_Toc290363892</vt:lpwstr>
      </vt:variant>
      <vt:variant>
        <vt:i4>1507388</vt:i4>
      </vt:variant>
      <vt:variant>
        <vt:i4>1298</vt:i4>
      </vt:variant>
      <vt:variant>
        <vt:i4>0</vt:i4>
      </vt:variant>
      <vt:variant>
        <vt:i4>5</vt:i4>
      </vt:variant>
      <vt:variant>
        <vt:lpwstr/>
      </vt:variant>
      <vt:variant>
        <vt:lpwstr>_Toc290363891</vt:lpwstr>
      </vt:variant>
      <vt:variant>
        <vt:i4>1507388</vt:i4>
      </vt:variant>
      <vt:variant>
        <vt:i4>1292</vt:i4>
      </vt:variant>
      <vt:variant>
        <vt:i4>0</vt:i4>
      </vt:variant>
      <vt:variant>
        <vt:i4>5</vt:i4>
      </vt:variant>
      <vt:variant>
        <vt:lpwstr/>
      </vt:variant>
      <vt:variant>
        <vt:lpwstr>_Toc290363890</vt:lpwstr>
      </vt:variant>
      <vt:variant>
        <vt:i4>1441852</vt:i4>
      </vt:variant>
      <vt:variant>
        <vt:i4>1286</vt:i4>
      </vt:variant>
      <vt:variant>
        <vt:i4>0</vt:i4>
      </vt:variant>
      <vt:variant>
        <vt:i4>5</vt:i4>
      </vt:variant>
      <vt:variant>
        <vt:lpwstr/>
      </vt:variant>
      <vt:variant>
        <vt:lpwstr>_Toc290363889</vt:lpwstr>
      </vt:variant>
      <vt:variant>
        <vt:i4>1441852</vt:i4>
      </vt:variant>
      <vt:variant>
        <vt:i4>1280</vt:i4>
      </vt:variant>
      <vt:variant>
        <vt:i4>0</vt:i4>
      </vt:variant>
      <vt:variant>
        <vt:i4>5</vt:i4>
      </vt:variant>
      <vt:variant>
        <vt:lpwstr/>
      </vt:variant>
      <vt:variant>
        <vt:lpwstr>_Toc290363888</vt:lpwstr>
      </vt:variant>
      <vt:variant>
        <vt:i4>1441852</vt:i4>
      </vt:variant>
      <vt:variant>
        <vt:i4>1274</vt:i4>
      </vt:variant>
      <vt:variant>
        <vt:i4>0</vt:i4>
      </vt:variant>
      <vt:variant>
        <vt:i4>5</vt:i4>
      </vt:variant>
      <vt:variant>
        <vt:lpwstr/>
      </vt:variant>
      <vt:variant>
        <vt:lpwstr>_Toc290363887</vt:lpwstr>
      </vt:variant>
      <vt:variant>
        <vt:i4>1441852</vt:i4>
      </vt:variant>
      <vt:variant>
        <vt:i4>1268</vt:i4>
      </vt:variant>
      <vt:variant>
        <vt:i4>0</vt:i4>
      </vt:variant>
      <vt:variant>
        <vt:i4>5</vt:i4>
      </vt:variant>
      <vt:variant>
        <vt:lpwstr/>
      </vt:variant>
      <vt:variant>
        <vt:lpwstr>_Toc290363886</vt:lpwstr>
      </vt:variant>
      <vt:variant>
        <vt:i4>1441852</vt:i4>
      </vt:variant>
      <vt:variant>
        <vt:i4>1262</vt:i4>
      </vt:variant>
      <vt:variant>
        <vt:i4>0</vt:i4>
      </vt:variant>
      <vt:variant>
        <vt:i4>5</vt:i4>
      </vt:variant>
      <vt:variant>
        <vt:lpwstr/>
      </vt:variant>
      <vt:variant>
        <vt:lpwstr>_Toc290363885</vt:lpwstr>
      </vt:variant>
      <vt:variant>
        <vt:i4>1441852</vt:i4>
      </vt:variant>
      <vt:variant>
        <vt:i4>1256</vt:i4>
      </vt:variant>
      <vt:variant>
        <vt:i4>0</vt:i4>
      </vt:variant>
      <vt:variant>
        <vt:i4>5</vt:i4>
      </vt:variant>
      <vt:variant>
        <vt:lpwstr/>
      </vt:variant>
      <vt:variant>
        <vt:lpwstr>_Toc290363884</vt:lpwstr>
      </vt:variant>
      <vt:variant>
        <vt:i4>1441852</vt:i4>
      </vt:variant>
      <vt:variant>
        <vt:i4>1250</vt:i4>
      </vt:variant>
      <vt:variant>
        <vt:i4>0</vt:i4>
      </vt:variant>
      <vt:variant>
        <vt:i4>5</vt:i4>
      </vt:variant>
      <vt:variant>
        <vt:lpwstr/>
      </vt:variant>
      <vt:variant>
        <vt:lpwstr>_Toc290363883</vt:lpwstr>
      </vt:variant>
      <vt:variant>
        <vt:i4>1441852</vt:i4>
      </vt:variant>
      <vt:variant>
        <vt:i4>1244</vt:i4>
      </vt:variant>
      <vt:variant>
        <vt:i4>0</vt:i4>
      </vt:variant>
      <vt:variant>
        <vt:i4>5</vt:i4>
      </vt:variant>
      <vt:variant>
        <vt:lpwstr/>
      </vt:variant>
      <vt:variant>
        <vt:lpwstr>_Toc290363882</vt:lpwstr>
      </vt:variant>
      <vt:variant>
        <vt:i4>1441852</vt:i4>
      </vt:variant>
      <vt:variant>
        <vt:i4>1238</vt:i4>
      </vt:variant>
      <vt:variant>
        <vt:i4>0</vt:i4>
      </vt:variant>
      <vt:variant>
        <vt:i4>5</vt:i4>
      </vt:variant>
      <vt:variant>
        <vt:lpwstr/>
      </vt:variant>
      <vt:variant>
        <vt:lpwstr>_Toc290363881</vt:lpwstr>
      </vt:variant>
      <vt:variant>
        <vt:i4>1441852</vt:i4>
      </vt:variant>
      <vt:variant>
        <vt:i4>1232</vt:i4>
      </vt:variant>
      <vt:variant>
        <vt:i4>0</vt:i4>
      </vt:variant>
      <vt:variant>
        <vt:i4>5</vt:i4>
      </vt:variant>
      <vt:variant>
        <vt:lpwstr/>
      </vt:variant>
      <vt:variant>
        <vt:lpwstr>_Toc290363880</vt:lpwstr>
      </vt:variant>
      <vt:variant>
        <vt:i4>1638460</vt:i4>
      </vt:variant>
      <vt:variant>
        <vt:i4>1226</vt:i4>
      </vt:variant>
      <vt:variant>
        <vt:i4>0</vt:i4>
      </vt:variant>
      <vt:variant>
        <vt:i4>5</vt:i4>
      </vt:variant>
      <vt:variant>
        <vt:lpwstr/>
      </vt:variant>
      <vt:variant>
        <vt:lpwstr>_Toc290363879</vt:lpwstr>
      </vt:variant>
      <vt:variant>
        <vt:i4>1638460</vt:i4>
      </vt:variant>
      <vt:variant>
        <vt:i4>1220</vt:i4>
      </vt:variant>
      <vt:variant>
        <vt:i4>0</vt:i4>
      </vt:variant>
      <vt:variant>
        <vt:i4>5</vt:i4>
      </vt:variant>
      <vt:variant>
        <vt:lpwstr/>
      </vt:variant>
      <vt:variant>
        <vt:lpwstr>_Toc290363878</vt:lpwstr>
      </vt:variant>
      <vt:variant>
        <vt:i4>1638460</vt:i4>
      </vt:variant>
      <vt:variant>
        <vt:i4>1214</vt:i4>
      </vt:variant>
      <vt:variant>
        <vt:i4>0</vt:i4>
      </vt:variant>
      <vt:variant>
        <vt:i4>5</vt:i4>
      </vt:variant>
      <vt:variant>
        <vt:lpwstr/>
      </vt:variant>
      <vt:variant>
        <vt:lpwstr>_Toc290363877</vt:lpwstr>
      </vt:variant>
      <vt:variant>
        <vt:i4>1638460</vt:i4>
      </vt:variant>
      <vt:variant>
        <vt:i4>1208</vt:i4>
      </vt:variant>
      <vt:variant>
        <vt:i4>0</vt:i4>
      </vt:variant>
      <vt:variant>
        <vt:i4>5</vt:i4>
      </vt:variant>
      <vt:variant>
        <vt:lpwstr/>
      </vt:variant>
      <vt:variant>
        <vt:lpwstr>_Toc290363876</vt:lpwstr>
      </vt:variant>
      <vt:variant>
        <vt:i4>1638460</vt:i4>
      </vt:variant>
      <vt:variant>
        <vt:i4>1202</vt:i4>
      </vt:variant>
      <vt:variant>
        <vt:i4>0</vt:i4>
      </vt:variant>
      <vt:variant>
        <vt:i4>5</vt:i4>
      </vt:variant>
      <vt:variant>
        <vt:lpwstr/>
      </vt:variant>
      <vt:variant>
        <vt:lpwstr>_Toc290363875</vt:lpwstr>
      </vt:variant>
      <vt:variant>
        <vt:i4>1638460</vt:i4>
      </vt:variant>
      <vt:variant>
        <vt:i4>1196</vt:i4>
      </vt:variant>
      <vt:variant>
        <vt:i4>0</vt:i4>
      </vt:variant>
      <vt:variant>
        <vt:i4>5</vt:i4>
      </vt:variant>
      <vt:variant>
        <vt:lpwstr/>
      </vt:variant>
      <vt:variant>
        <vt:lpwstr>_Toc290363874</vt:lpwstr>
      </vt:variant>
      <vt:variant>
        <vt:i4>1638460</vt:i4>
      </vt:variant>
      <vt:variant>
        <vt:i4>1190</vt:i4>
      </vt:variant>
      <vt:variant>
        <vt:i4>0</vt:i4>
      </vt:variant>
      <vt:variant>
        <vt:i4>5</vt:i4>
      </vt:variant>
      <vt:variant>
        <vt:lpwstr/>
      </vt:variant>
      <vt:variant>
        <vt:lpwstr>_Toc290363873</vt:lpwstr>
      </vt:variant>
      <vt:variant>
        <vt:i4>1638460</vt:i4>
      </vt:variant>
      <vt:variant>
        <vt:i4>1184</vt:i4>
      </vt:variant>
      <vt:variant>
        <vt:i4>0</vt:i4>
      </vt:variant>
      <vt:variant>
        <vt:i4>5</vt:i4>
      </vt:variant>
      <vt:variant>
        <vt:lpwstr/>
      </vt:variant>
      <vt:variant>
        <vt:lpwstr>_Toc290363872</vt:lpwstr>
      </vt:variant>
      <vt:variant>
        <vt:i4>1638460</vt:i4>
      </vt:variant>
      <vt:variant>
        <vt:i4>1178</vt:i4>
      </vt:variant>
      <vt:variant>
        <vt:i4>0</vt:i4>
      </vt:variant>
      <vt:variant>
        <vt:i4>5</vt:i4>
      </vt:variant>
      <vt:variant>
        <vt:lpwstr/>
      </vt:variant>
      <vt:variant>
        <vt:lpwstr>_Toc290363871</vt:lpwstr>
      </vt:variant>
      <vt:variant>
        <vt:i4>1638460</vt:i4>
      </vt:variant>
      <vt:variant>
        <vt:i4>1172</vt:i4>
      </vt:variant>
      <vt:variant>
        <vt:i4>0</vt:i4>
      </vt:variant>
      <vt:variant>
        <vt:i4>5</vt:i4>
      </vt:variant>
      <vt:variant>
        <vt:lpwstr/>
      </vt:variant>
      <vt:variant>
        <vt:lpwstr>_Toc290363870</vt:lpwstr>
      </vt:variant>
      <vt:variant>
        <vt:i4>1572924</vt:i4>
      </vt:variant>
      <vt:variant>
        <vt:i4>1166</vt:i4>
      </vt:variant>
      <vt:variant>
        <vt:i4>0</vt:i4>
      </vt:variant>
      <vt:variant>
        <vt:i4>5</vt:i4>
      </vt:variant>
      <vt:variant>
        <vt:lpwstr/>
      </vt:variant>
      <vt:variant>
        <vt:lpwstr>_Toc290363869</vt:lpwstr>
      </vt:variant>
      <vt:variant>
        <vt:i4>1572924</vt:i4>
      </vt:variant>
      <vt:variant>
        <vt:i4>1160</vt:i4>
      </vt:variant>
      <vt:variant>
        <vt:i4>0</vt:i4>
      </vt:variant>
      <vt:variant>
        <vt:i4>5</vt:i4>
      </vt:variant>
      <vt:variant>
        <vt:lpwstr/>
      </vt:variant>
      <vt:variant>
        <vt:lpwstr>_Toc290363868</vt:lpwstr>
      </vt:variant>
      <vt:variant>
        <vt:i4>1572924</vt:i4>
      </vt:variant>
      <vt:variant>
        <vt:i4>1154</vt:i4>
      </vt:variant>
      <vt:variant>
        <vt:i4>0</vt:i4>
      </vt:variant>
      <vt:variant>
        <vt:i4>5</vt:i4>
      </vt:variant>
      <vt:variant>
        <vt:lpwstr/>
      </vt:variant>
      <vt:variant>
        <vt:lpwstr>_Toc290363867</vt:lpwstr>
      </vt:variant>
      <vt:variant>
        <vt:i4>1572924</vt:i4>
      </vt:variant>
      <vt:variant>
        <vt:i4>1148</vt:i4>
      </vt:variant>
      <vt:variant>
        <vt:i4>0</vt:i4>
      </vt:variant>
      <vt:variant>
        <vt:i4>5</vt:i4>
      </vt:variant>
      <vt:variant>
        <vt:lpwstr/>
      </vt:variant>
      <vt:variant>
        <vt:lpwstr>_Toc290363866</vt:lpwstr>
      </vt:variant>
      <vt:variant>
        <vt:i4>1572924</vt:i4>
      </vt:variant>
      <vt:variant>
        <vt:i4>1142</vt:i4>
      </vt:variant>
      <vt:variant>
        <vt:i4>0</vt:i4>
      </vt:variant>
      <vt:variant>
        <vt:i4>5</vt:i4>
      </vt:variant>
      <vt:variant>
        <vt:lpwstr/>
      </vt:variant>
      <vt:variant>
        <vt:lpwstr>_Toc290363865</vt:lpwstr>
      </vt:variant>
      <vt:variant>
        <vt:i4>1572924</vt:i4>
      </vt:variant>
      <vt:variant>
        <vt:i4>1136</vt:i4>
      </vt:variant>
      <vt:variant>
        <vt:i4>0</vt:i4>
      </vt:variant>
      <vt:variant>
        <vt:i4>5</vt:i4>
      </vt:variant>
      <vt:variant>
        <vt:lpwstr/>
      </vt:variant>
      <vt:variant>
        <vt:lpwstr>_Toc290363864</vt:lpwstr>
      </vt:variant>
      <vt:variant>
        <vt:i4>1572924</vt:i4>
      </vt:variant>
      <vt:variant>
        <vt:i4>1130</vt:i4>
      </vt:variant>
      <vt:variant>
        <vt:i4>0</vt:i4>
      </vt:variant>
      <vt:variant>
        <vt:i4>5</vt:i4>
      </vt:variant>
      <vt:variant>
        <vt:lpwstr/>
      </vt:variant>
      <vt:variant>
        <vt:lpwstr>_Toc290363863</vt:lpwstr>
      </vt:variant>
      <vt:variant>
        <vt:i4>1572924</vt:i4>
      </vt:variant>
      <vt:variant>
        <vt:i4>1124</vt:i4>
      </vt:variant>
      <vt:variant>
        <vt:i4>0</vt:i4>
      </vt:variant>
      <vt:variant>
        <vt:i4>5</vt:i4>
      </vt:variant>
      <vt:variant>
        <vt:lpwstr/>
      </vt:variant>
      <vt:variant>
        <vt:lpwstr>_Toc290363862</vt:lpwstr>
      </vt:variant>
      <vt:variant>
        <vt:i4>1572924</vt:i4>
      </vt:variant>
      <vt:variant>
        <vt:i4>1118</vt:i4>
      </vt:variant>
      <vt:variant>
        <vt:i4>0</vt:i4>
      </vt:variant>
      <vt:variant>
        <vt:i4>5</vt:i4>
      </vt:variant>
      <vt:variant>
        <vt:lpwstr/>
      </vt:variant>
      <vt:variant>
        <vt:lpwstr>_Toc290363861</vt:lpwstr>
      </vt:variant>
      <vt:variant>
        <vt:i4>1572924</vt:i4>
      </vt:variant>
      <vt:variant>
        <vt:i4>1112</vt:i4>
      </vt:variant>
      <vt:variant>
        <vt:i4>0</vt:i4>
      </vt:variant>
      <vt:variant>
        <vt:i4>5</vt:i4>
      </vt:variant>
      <vt:variant>
        <vt:lpwstr/>
      </vt:variant>
      <vt:variant>
        <vt:lpwstr>_Toc290363860</vt:lpwstr>
      </vt:variant>
      <vt:variant>
        <vt:i4>1769532</vt:i4>
      </vt:variant>
      <vt:variant>
        <vt:i4>1106</vt:i4>
      </vt:variant>
      <vt:variant>
        <vt:i4>0</vt:i4>
      </vt:variant>
      <vt:variant>
        <vt:i4>5</vt:i4>
      </vt:variant>
      <vt:variant>
        <vt:lpwstr/>
      </vt:variant>
      <vt:variant>
        <vt:lpwstr>_Toc290363859</vt:lpwstr>
      </vt:variant>
      <vt:variant>
        <vt:i4>1769532</vt:i4>
      </vt:variant>
      <vt:variant>
        <vt:i4>1100</vt:i4>
      </vt:variant>
      <vt:variant>
        <vt:i4>0</vt:i4>
      </vt:variant>
      <vt:variant>
        <vt:i4>5</vt:i4>
      </vt:variant>
      <vt:variant>
        <vt:lpwstr/>
      </vt:variant>
      <vt:variant>
        <vt:lpwstr>_Toc290363858</vt:lpwstr>
      </vt:variant>
      <vt:variant>
        <vt:i4>1769532</vt:i4>
      </vt:variant>
      <vt:variant>
        <vt:i4>1094</vt:i4>
      </vt:variant>
      <vt:variant>
        <vt:i4>0</vt:i4>
      </vt:variant>
      <vt:variant>
        <vt:i4>5</vt:i4>
      </vt:variant>
      <vt:variant>
        <vt:lpwstr/>
      </vt:variant>
      <vt:variant>
        <vt:lpwstr>_Toc290363857</vt:lpwstr>
      </vt:variant>
      <vt:variant>
        <vt:i4>1769532</vt:i4>
      </vt:variant>
      <vt:variant>
        <vt:i4>1088</vt:i4>
      </vt:variant>
      <vt:variant>
        <vt:i4>0</vt:i4>
      </vt:variant>
      <vt:variant>
        <vt:i4>5</vt:i4>
      </vt:variant>
      <vt:variant>
        <vt:lpwstr/>
      </vt:variant>
      <vt:variant>
        <vt:lpwstr>_Toc290363856</vt:lpwstr>
      </vt:variant>
      <vt:variant>
        <vt:i4>1769532</vt:i4>
      </vt:variant>
      <vt:variant>
        <vt:i4>1082</vt:i4>
      </vt:variant>
      <vt:variant>
        <vt:i4>0</vt:i4>
      </vt:variant>
      <vt:variant>
        <vt:i4>5</vt:i4>
      </vt:variant>
      <vt:variant>
        <vt:lpwstr/>
      </vt:variant>
      <vt:variant>
        <vt:lpwstr>_Toc290363855</vt:lpwstr>
      </vt:variant>
      <vt:variant>
        <vt:i4>1769532</vt:i4>
      </vt:variant>
      <vt:variant>
        <vt:i4>1076</vt:i4>
      </vt:variant>
      <vt:variant>
        <vt:i4>0</vt:i4>
      </vt:variant>
      <vt:variant>
        <vt:i4>5</vt:i4>
      </vt:variant>
      <vt:variant>
        <vt:lpwstr/>
      </vt:variant>
      <vt:variant>
        <vt:lpwstr>_Toc290363854</vt:lpwstr>
      </vt:variant>
      <vt:variant>
        <vt:i4>1769532</vt:i4>
      </vt:variant>
      <vt:variant>
        <vt:i4>1070</vt:i4>
      </vt:variant>
      <vt:variant>
        <vt:i4>0</vt:i4>
      </vt:variant>
      <vt:variant>
        <vt:i4>5</vt:i4>
      </vt:variant>
      <vt:variant>
        <vt:lpwstr/>
      </vt:variant>
      <vt:variant>
        <vt:lpwstr>_Toc290363853</vt:lpwstr>
      </vt:variant>
      <vt:variant>
        <vt:i4>1769532</vt:i4>
      </vt:variant>
      <vt:variant>
        <vt:i4>1064</vt:i4>
      </vt:variant>
      <vt:variant>
        <vt:i4>0</vt:i4>
      </vt:variant>
      <vt:variant>
        <vt:i4>5</vt:i4>
      </vt:variant>
      <vt:variant>
        <vt:lpwstr/>
      </vt:variant>
      <vt:variant>
        <vt:lpwstr>_Toc290363852</vt:lpwstr>
      </vt:variant>
      <vt:variant>
        <vt:i4>1769532</vt:i4>
      </vt:variant>
      <vt:variant>
        <vt:i4>1058</vt:i4>
      </vt:variant>
      <vt:variant>
        <vt:i4>0</vt:i4>
      </vt:variant>
      <vt:variant>
        <vt:i4>5</vt:i4>
      </vt:variant>
      <vt:variant>
        <vt:lpwstr/>
      </vt:variant>
      <vt:variant>
        <vt:lpwstr>_Toc290363851</vt:lpwstr>
      </vt:variant>
      <vt:variant>
        <vt:i4>1769532</vt:i4>
      </vt:variant>
      <vt:variant>
        <vt:i4>1052</vt:i4>
      </vt:variant>
      <vt:variant>
        <vt:i4>0</vt:i4>
      </vt:variant>
      <vt:variant>
        <vt:i4>5</vt:i4>
      </vt:variant>
      <vt:variant>
        <vt:lpwstr/>
      </vt:variant>
      <vt:variant>
        <vt:lpwstr>_Toc290363850</vt:lpwstr>
      </vt:variant>
      <vt:variant>
        <vt:i4>1703996</vt:i4>
      </vt:variant>
      <vt:variant>
        <vt:i4>1046</vt:i4>
      </vt:variant>
      <vt:variant>
        <vt:i4>0</vt:i4>
      </vt:variant>
      <vt:variant>
        <vt:i4>5</vt:i4>
      </vt:variant>
      <vt:variant>
        <vt:lpwstr/>
      </vt:variant>
      <vt:variant>
        <vt:lpwstr>_Toc290363849</vt:lpwstr>
      </vt:variant>
      <vt:variant>
        <vt:i4>1703996</vt:i4>
      </vt:variant>
      <vt:variant>
        <vt:i4>1040</vt:i4>
      </vt:variant>
      <vt:variant>
        <vt:i4>0</vt:i4>
      </vt:variant>
      <vt:variant>
        <vt:i4>5</vt:i4>
      </vt:variant>
      <vt:variant>
        <vt:lpwstr/>
      </vt:variant>
      <vt:variant>
        <vt:lpwstr>_Toc290363848</vt:lpwstr>
      </vt:variant>
      <vt:variant>
        <vt:i4>1703996</vt:i4>
      </vt:variant>
      <vt:variant>
        <vt:i4>1034</vt:i4>
      </vt:variant>
      <vt:variant>
        <vt:i4>0</vt:i4>
      </vt:variant>
      <vt:variant>
        <vt:i4>5</vt:i4>
      </vt:variant>
      <vt:variant>
        <vt:lpwstr/>
      </vt:variant>
      <vt:variant>
        <vt:lpwstr>_Toc290363847</vt:lpwstr>
      </vt:variant>
      <vt:variant>
        <vt:i4>1703996</vt:i4>
      </vt:variant>
      <vt:variant>
        <vt:i4>1028</vt:i4>
      </vt:variant>
      <vt:variant>
        <vt:i4>0</vt:i4>
      </vt:variant>
      <vt:variant>
        <vt:i4>5</vt:i4>
      </vt:variant>
      <vt:variant>
        <vt:lpwstr/>
      </vt:variant>
      <vt:variant>
        <vt:lpwstr>_Toc290363846</vt:lpwstr>
      </vt:variant>
      <vt:variant>
        <vt:i4>1703996</vt:i4>
      </vt:variant>
      <vt:variant>
        <vt:i4>1022</vt:i4>
      </vt:variant>
      <vt:variant>
        <vt:i4>0</vt:i4>
      </vt:variant>
      <vt:variant>
        <vt:i4>5</vt:i4>
      </vt:variant>
      <vt:variant>
        <vt:lpwstr/>
      </vt:variant>
      <vt:variant>
        <vt:lpwstr>_Toc290363845</vt:lpwstr>
      </vt:variant>
      <vt:variant>
        <vt:i4>1703996</vt:i4>
      </vt:variant>
      <vt:variant>
        <vt:i4>1016</vt:i4>
      </vt:variant>
      <vt:variant>
        <vt:i4>0</vt:i4>
      </vt:variant>
      <vt:variant>
        <vt:i4>5</vt:i4>
      </vt:variant>
      <vt:variant>
        <vt:lpwstr/>
      </vt:variant>
      <vt:variant>
        <vt:lpwstr>_Toc290363844</vt:lpwstr>
      </vt:variant>
      <vt:variant>
        <vt:i4>1703996</vt:i4>
      </vt:variant>
      <vt:variant>
        <vt:i4>1010</vt:i4>
      </vt:variant>
      <vt:variant>
        <vt:i4>0</vt:i4>
      </vt:variant>
      <vt:variant>
        <vt:i4>5</vt:i4>
      </vt:variant>
      <vt:variant>
        <vt:lpwstr/>
      </vt:variant>
      <vt:variant>
        <vt:lpwstr>_Toc290363843</vt:lpwstr>
      </vt:variant>
      <vt:variant>
        <vt:i4>1703996</vt:i4>
      </vt:variant>
      <vt:variant>
        <vt:i4>1004</vt:i4>
      </vt:variant>
      <vt:variant>
        <vt:i4>0</vt:i4>
      </vt:variant>
      <vt:variant>
        <vt:i4>5</vt:i4>
      </vt:variant>
      <vt:variant>
        <vt:lpwstr/>
      </vt:variant>
      <vt:variant>
        <vt:lpwstr>_Toc290363842</vt:lpwstr>
      </vt:variant>
      <vt:variant>
        <vt:i4>1703996</vt:i4>
      </vt:variant>
      <vt:variant>
        <vt:i4>998</vt:i4>
      </vt:variant>
      <vt:variant>
        <vt:i4>0</vt:i4>
      </vt:variant>
      <vt:variant>
        <vt:i4>5</vt:i4>
      </vt:variant>
      <vt:variant>
        <vt:lpwstr/>
      </vt:variant>
      <vt:variant>
        <vt:lpwstr>_Toc290363841</vt:lpwstr>
      </vt:variant>
      <vt:variant>
        <vt:i4>1703996</vt:i4>
      </vt:variant>
      <vt:variant>
        <vt:i4>992</vt:i4>
      </vt:variant>
      <vt:variant>
        <vt:i4>0</vt:i4>
      </vt:variant>
      <vt:variant>
        <vt:i4>5</vt:i4>
      </vt:variant>
      <vt:variant>
        <vt:lpwstr/>
      </vt:variant>
      <vt:variant>
        <vt:lpwstr>_Toc290363840</vt:lpwstr>
      </vt:variant>
      <vt:variant>
        <vt:i4>1900604</vt:i4>
      </vt:variant>
      <vt:variant>
        <vt:i4>986</vt:i4>
      </vt:variant>
      <vt:variant>
        <vt:i4>0</vt:i4>
      </vt:variant>
      <vt:variant>
        <vt:i4>5</vt:i4>
      </vt:variant>
      <vt:variant>
        <vt:lpwstr/>
      </vt:variant>
      <vt:variant>
        <vt:lpwstr>_Toc290363839</vt:lpwstr>
      </vt:variant>
      <vt:variant>
        <vt:i4>1900604</vt:i4>
      </vt:variant>
      <vt:variant>
        <vt:i4>980</vt:i4>
      </vt:variant>
      <vt:variant>
        <vt:i4>0</vt:i4>
      </vt:variant>
      <vt:variant>
        <vt:i4>5</vt:i4>
      </vt:variant>
      <vt:variant>
        <vt:lpwstr/>
      </vt:variant>
      <vt:variant>
        <vt:lpwstr>_Toc290363838</vt:lpwstr>
      </vt:variant>
      <vt:variant>
        <vt:i4>1900604</vt:i4>
      </vt:variant>
      <vt:variant>
        <vt:i4>974</vt:i4>
      </vt:variant>
      <vt:variant>
        <vt:i4>0</vt:i4>
      </vt:variant>
      <vt:variant>
        <vt:i4>5</vt:i4>
      </vt:variant>
      <vt:variant>
        <vt:lpwstr/>
      </vt:variant>
      <vt:variant>
        <vt:lpwstr>_Toc290363837</vt:lpwstr>
      </vt:variant>
      <vt:variant>
        <vt:i4>1900604</vt:i4>
      </vt:variant>
      <vt:variant>
        <vt:i4>968</vt:i4>
      </vt:variant>
      <vt:variant>
        <vt:i4>0</vt:i4>
      </vt:variant>
      <vt:variant>
        <vt:i4>5</vt:i4>
      </vt:variant>
      <vt:variant>
        <vt:lpwstr/>
      </vt:variant>
      <vt:variant>
        <vt:lpwstr>_Toc290363836</vt:lpwstr>
      </vt:variant>
      <vt:variant>
        <vt:i4>1900604</vt:i4>
      </vt:variant>
      <vt:variant>
        <vt:i4>962</vt:i4>
      </vt:variant>
      <vt:variant>
        <vt:i4>0</vt:i4>
      </vt:variant>
      <vt:variant>
        <vt:i4>5</vt:i4>
      </vt:variant>
      <vt:variant>
        <vt:lpwstr/>
      </vt:variant>
      <vt:variant>
        <vt:lpwstr>_Toc290363835</vt:lpwstr>
      </vt:variant>
      <vt:variant>
        <vt:i4>1900604</vt:i4>
      </vt:variant>
      <vt:variant>
        <vt:i4>956</vt:i4>
      </vt:variant>
      <vt:variant>
        <vt:i4>0</vt:i4>
      </vt:variant>
      <vt:variant>
        <vt:i4>5</vt:i4>
      </vt:variant>
      <vt:variant>
        <vt:lpwstr/>
      </vt:variant>
      <vt:variant>
        <vt:lpwstr>_Toc290363834</vt:lpwstr>
      </vt:variant>
      <vt:variant>
        <vt:i4>1900604</vt:i4>
      </vt:variant>
      <vt:variant>
        <vt:i4>950</vt:i4>
      </vt:variant>
      <vt:variant>
        <vt:i4>0</vt:i4>
      </vt:variant>
      <vt:variant>
        <vt:i4>5</vt:i4>
      </vt:variant>
      <vt:variant>
        <vt:lpwstr/>
      </vt:variant>
      <vt:variant>
        <vt:lpwstr>_Toc290363833</vt:lpwstr>
      </vt:variant>
      <vt:variant>
        <vt:i4>1900604</vt:i4>
      </vt:variant>
      <vt:variant>
        <vt:i4>944</vt:i4>
      </vt:variant>
      <vt:variant>
        <vt:i4>0</vt:i4>
      </vt:variant>
      <vt:variant>
        <vt:i4>5</vt:i4>
      </vt:variant>
      <vt:variant>
        <vt:lpwstr/>
      </vt:variant>
      <vt:variant>
        <vt:lpwstr>_Toc290363832</vt:lpwstr>
      </vt:variant>
      <vt:variant>
        <vt:i4>1900604</vt:i4>
      </vt:variant>
      <vt:variant>
        <vt:i4>938</vt:i4>
      </vt:variant>
      <vt:variant>
        <vt:i4>0</vt:i4>
      </vt:variant>
      <vt:variant>
        <vt:i4>5</vt:i4>
      </vt:variant>
      <vt:variant>
        <vt:lpwstr/>
      </vt:variant>
      <vt:variant>
        <vt:lpwstr>_Toc290363831</vt:lpwstr>
      </vt:variant>
      <vt:variant>
        <vt:i4>1900604</vt:i4>
      </vt:variant>
      <vt:variant>
        <vt:i4>932</vt:i4>
      </vt:variant>
      <vt:variant>
        <vt:i4>0</vt:i4>
      </vt:variant>
      <vt:variant>
        <vt:i4>5</vt:i4>
      </vt:variant>
      <vt:variant>
        <vt:lpwstr/>
      </vt:variant>
      <vt:variant>
        <vt:lpwstr>_Toc290363830</vt:lpwstr>
      </vt:variant>
      <vt:variant>
        <vt:i4>1835068</vt:i4>
      </vt:variant>
      <vt:variant>
        <vt:i4>926</vt:i4>
      </vt:variant>
      <vt:variant>
        <vt:i4>0</vt:i4>
      </vt:variant>
      <vt:variant>
        <vt:i4>5</vt:i4>
      </vt:variant>
      <vt:variant>
        <vt:lpwstr/>
      </vt:variant>
      <vt:variant>
        <vt:lpwstr>_Toc290363829</vt:lpwstr>
      </vt:variant>
      <vt:variant>
        <vt:i4>1835068</vt:i4>
      </vt:variant>
      <vt:variant>
        <vt:i4>920</vt:i4>
      </vt:variant>
      <vt:variant>
        <vt:i4>0</vt:i4>
      </vt:variant>
      <vt:variant>
        <vt:i4>5</vt:i4>
      </vt:variant>
      <vt:variant>
        <vt:lpwstr/>
      </vt:variant>
      <vt:variant>
        <vt:lpwstr>_Toc290363828</vt:lpwstr>
      </vt:variant>
      <vt:variant>
        <vt:i4>1835068</vt:i4>
      </vt:variant>
      <vt:variant>
        <vt:i4>914</vt:i4>
      </vt:variant>
      <vt:variant>
        <vt:i4>0</vt:i4>
      </vt:variant>
      <vt:variant>
        <vt:i4>5</vt:i4>
      </vt:variant>
      <vt:variant>
        <vt:lpwstr/>
      </vt:variant>
      <vt:variant>
        <vt:lpwstr>_Toc290363827</vt:lpwstr>
      </vt:variant>
      <vt:variant>
        <vt:i4>1835068</vt:i4>
      </vt:variant>
      <vt:variant>
        <vt:i4>908</vt:i4>
      </vt:variant>
      <vt:variant>
        <vt:i4>0</vt:i4>
      </vt:variant>
      <vt:variant>
        <vt:i4>5</vt:i4>
      </vt:variant>
      <vt:variant>
        <vt:lpwstr/>
      </vt:variant>
      <vt:variant>
        <vt:lpwstr>_Toc290363826</vt:lpwstr>
      </vt:variant>
      <vt:variant>
        <vt:i4>1835068</vt:i4>
      </vt:variant>
      <vt:variant>
        <vt:i4>902</vt:i4>
      </vt:variant>
      <vt:variant>
        <vt:i4>0</vt:i4>
      </vt:variant>
      <vt:variant>
        <vt:i4>5</vt:i4>
      </vt:variant>
      <vt:variant>
        <vt:lpwstr/>
      </vt:variant>
      <vt:variant>
        <vt:lpwstr>_Toc290363825</vt:lpwstr>
      </vt:variant>
      <vt:variant>
        <vt:i4>1835068</vt:i4>
      </vt:variant>
      <vt:variant>
        <vt:i4>896</vt:i4>
      </vt:variant>
      <vt:variant>
        <vt:i4>0</vt:i4>
      </vt:variant>
      <vt:variant>
        <vt:i4>5</vt:i4>
      </vt:variant>
      <vt:variant>
        <vt:lpwstr/>
      </vt:variant>
      <vt:variant>
        <vt:lpwstr>_Toc290363824</vt:lpwstr>
      </vt:variant>
      <vt:variant>
        <vt:i4>1835068</vt:i4>
      </vt:variant>
      <vt:variant>
        <vt:i4>890</vt:i4>
      </vt:variant>
      <vt:variant>
        <vt:i4>0</vt:i4>
      </vt:variant>
      <vt:variant>
        <vt:i4>5</vt:i4>
      </vt:variant>
      <vt:variant>
        <vt:lpwstr/>
      </vt:variant>
      <vt:variant>
        <vt:lpwstr>_Toc290363823</vt:lpwstr>
      </vt:variant>
      <vt:variant>
        <vt:i4>1835068</vt:i4>
      </vt:variant>
      <vt:variant>
        <vt:i4>884</vt:i4>
      </vt:variant>
      <vt:variant>
        <vt:i4>0</vt:i4>
      </vt:variant>
      <vt:variant>
        <vt:i4>5</vt:i4>
      </vt:variant>
      <vt:variant>
        <vt:lpwstr/>
      </vt:variant>
      <vt:variant>
        <vt:lpwstr>_Toc290363822</vt:lpwstr>
      </vt:variant>
      <vt:variant>
        <vt:i4>1835068</vt:i4>
      </vt:variant>
      <vt:variant>
        <vt:i4>878</vt:i4>
      </vt:variant>
      <vt:variant>
        <vt:i4>0</vt:i4>
      </vt:variant>
      <vt:variant>
        <vt:i4>5</vt:i4>
      </vt:variant>
      <vt:variant>
        <vt:lpwstr/>
      </vt:variant>
      <vt:variant>
        <vt:lpwstr>_Toc290363821</vt:lpwstr>
      </vt:variant>
      <vt:variant>
        <vt:i4>1835068</vt:i4>
      </vt:variant>
      <vt:variant>
        <vt:i4>872</vt:i4>
      </vt:variant>
      <vt:variant>
        <vt:i4>0</vt:i4>
      </vt:variant>
      <vt:variant>
        <vt:i4>5</vt:i4>
      </vt:variant>
      <vt:variant>
        <vt:lpwstr/>
      </vt:variant>
      <vt:variant>
        <vt:lpwstr>_Toc290363820</vt:lpwstr>
      </vt:variant>
      <vt:variant>
        <vt:i4>2031676</vt:i4>
      </vt:variant>
      <vt:variant>
        <vt:i4>866</vt:i4>
      </vt:variant>
      <vt:variant>
        <vt:i4>0</vt:i4>
      </vt:variant>
      <vt:variant>
        <vt:i4>5</vt:i4>
      </vt:variant>
      <vt:variant>
        <vt:lpwstr/>
      </vt:variant>
      <vt:variant>
        <vt:lpwstr>_Toc290363819</vt:lpwstr>
      </vt:variant>
      <vt:variant>
        <vt:i4>2031676</vt:i4>
      </vt:variant>
      <vt:variant>
        <vt:i4>860</vt:i4>
      </vt:variant>
      <vt:variant>
        <vt:i4>0</vt:i4>
      </vt:variant>
      <vt:variant>
        <vt:i4>5</vt:i4>
      </vt:variant>
      <vt:variant>
        <vt:lpwstr/>
      </vt:variant>
      <vt:variant>
        <vt:lpwstr>_Toc290363818</vt:lpwstr>
      </vt:variant>
      <vt:variant>
        <vt:i4>2031676</vt:i4>
      </vt:variant>
      <vt:variant>
        <vt:i4>854</vt:i4>
      </vt:variant>
      <vt:variant>
        <vt:i4>0</vt:i4>
      </vt:variant>
      <vt:variant>
        <vt:i4>5</vt:i4>
      </vt:variant>
      <vt:variant>
        <vt:lpwstr/>
      </vt:variant>
      <vt:variant>
        <vt:lpwstr>_Toc290363817</vt:lpwstr>
      </vt:variant>
      <vt:variant>
        <vt:i4>2031676</vt:i4>
      </vt:variant>
      <vt:variant>
        <vt:i4>848</vt:i4>
      </vt:variant>
      <vt:variant>
        <vt:i4>0</vt:i4>
      </vt:variant>
      <vt:variant>
        <vt:i4>5</vt:i4>
      </vt:variant>
      <vt:variant>
        <vt:lpwstr/>
      </vt:variant>
      <vt:variant>
        <vt:lpwstr>_Toc290363816</vt:lpwstr>
      </vt:variant>
      <vt:variant>
        <vt:i4>2031676</vt:i4>
      </vt:variant>
      <vt:variant>
        <vt:i4>842</vt:i4>
      </vt:variant>
      <vt:variant>
        <vt:i4>0</vt:i4>
      </vt:variant>
      <vt:variant>
        <vt:i4>5</vt:i4>
      </vt:variant>
      <vt:variant>
        <vt:lpwstr/>
      </vt:variant>
      <vt:variant>
        <vt:lpwstr>_Toc290363815</vt:lpwstr>
      </vt:variant>
      <vt:variant>
        <vt:i4>2031676</vt:i4>
      </vt:variant>
      <vt:variant>
        <vt:i4>836</vt:i4>
      </vt:variant>
      <vt:variant>
        <vt:i4>0</vt:i4>
      </vt:variant>
      <vt:variant>
        <vt:i4>5</vt:i4>
      </vt:variant>
      <vt:variant>
        <vt:lpwstr/>
      </vt:variant>
      <vt:variant>
        <vt:lpwstr>_Toc290363814</vt:lpwstr>
      </vt:variant>
      <vt:variant>
        <vt:i4>2031676</vt:i4>
      </vt:variant>
      <vt:variant>
        <vt:i4>830</vt:i4>
      </vt:variant>
      <vt:variant>
        <vt:i4>0</vt:i4>
      </vt:variant>
      <vt:variant>
        <vt:i4>5</vt:i4>
      </vt:variant>
      <vt:variant>
        <vt:lpwstr/>
      </vt:variant>
      <vt:variant>
        <vt:lpwstr>_Toc290363813</vt:lpwstr>
      </vt:variant>
      <vt:variant>
        <vt:i4>2031676</vt:i4>
      </vt:variant>
      <vt:variant>
        <vt:i4>824</vt:i4>
      </vt:variant>
      <vt:variant>
        <vt:i4>0</vt:i4>
      </vt:variant>
      <vt:variant>
        <vt:i4>5</vt:i4>
      </vt:variant>
      <vt:variant>
        <vt:lpwstr/>
      </vt:variant>
      <vt:variant>
        <vt:lpwstr>_Toc290363812</vt:lpwstr>
      </vt:variant>
      <vt:variant>
        <vt:i4>2031676</vt:i4>
      </vt:variant>
      <vt:variant>
        <vt:i4>818</vt:i4>
      </vt:variant>
      <vt:variant>
        <vt:i4>0</vt:i4>
      </vt:variant>
      <vt:variant>
        <vt:i4>5</vt:i4>
      </vt:variant>
      <vt:variant>
        <vt:lpwstr/>
      </vt:variant>
      <vt:variant>
        <vt:lpwstr>_Toc290363811</vt:lpwstr>
      </vt:variant>
      <vt:variant>
        <vt:i4>2031676</vt:i4>
      </vt:variant>
      <vt:variant>
        <vt:i4>812</vt:i4>
      </vt:variant>
      <vt:variant>
        <vt:i4>0</vt:i4>
      </vt:variant>
      <vt:variant>
        <vt:i4>5</vt:i4>
      </vt:variant>
      <vt:variant>
        <vt:lpwstr/>
      </vt:variant>
      <vt:variant>
        <vt:lpwstr>_Toc290363810</vt:lpwstr>
      </vt:variant>
      <vt:variant>
        <vt:i4>1966140</vt:i4>
      </vt:variant>
      <vt:variant>
        <vt:i4>806</vt:i4>
      </vt:variant>
      <vt:variant>
        <vt:i4>0</vt:i4>
      </vt:variant>
      <vt:variant>
        <vt:i4>5</vt:i4>
      </vt:variant>
      <vt:variant>
        <vt:lpwstr/>
      </vt:variant>
      <vt:variant>
        <vt:lpwstr>_Toc290363809</vt:lpwstr>
      </vt:variant>
      <vt:variant>
        <vt:i4>1966140</vt:i4>
      </vt:variant>
      <vt:variant>
        <vt:i4>800</vt:i4>
      </vt:variant>
      <vt:variant>
        <vt:i4>0</vt:i4>
      </vt:variant>
      <vt:variant>
        <vt:i4>5</vt:i4>
      </vt:variant>
      <vt:variant>
        <vt:lpwstr/>
      </vt:variant>
      <vt:variant>
        <vt:lpwstr>_Toc290363808</vt:lpwstr>
      </vt:variant>
      <vt:variant>
        <vt:i4>1966140</vt:i4>
      </vt:variant>
      <vt:variant>
        <vt:i4>794</vt:i4>
      </vt:variant>
      <vt:variant>
        <vt:i4>0</vt:i4>
      </vt:variant>
      <vt:variant>
        <vt:i4>5</vt:i4>
      </vt:variant>
      <vt:variant>
        <vt:lpwstr/>
      </vt:variant>
      <vt:variant>
        <vt:lpwstr>_Toc290363807</vt:lpwstr>
      </vt:variant>
      <vt:variant>
        <vt:i4>1966140</vt:i4>
      </vt:variant>
      <vt:variant>
        <vt:i4>788</vt:i4>
      </vt:variant>
      <vt:variant>
        <vt:i4>0</vt:i4>
      </vt:variant>
      <vt:variant>
        <vt:i4>5</vt:i4>
      </vt:variant>
      <vt:variant>
        <vt:lpwstr/>
      </vt:variant>
      <vt:variant>
        <vt:lpwstr>_Toc290363806</vt:lpwstr>
      </vt:variant>
      <vt:variant>
        <vt:i4>1966140</vt:i4>
      </vt:variant>
      <vt:variant>
        <vt:i4>782</vt:i4>
      </vt:variant>
      <vt:variant>
        <vt:i4>0</vt:i4>
      </vt:variant>
      <vt:variant>
        <vt:i4>5</vt:i4>
      </vt:variant>
      <vt:variant>
        <vt:lpwstr/>
      </vt:variant>
      <vt:variant>
        <vt:lpwstr>_Toc290363805</vt:lpwstr>
      </vt:variant>
      <vt:variant>
        <vt:i4>1966140</vt:i4>
      </vt:variant>
      <vt:variant>
        <vt:i4>776</vt:i4>
      </vt:variant>
      <vt:variant>
        <vt:i4>0</vt:i4>
      </vt:variant>
      <vt:variant>
        <vt:i4>5</vt:i4>
      </vt:variant>
      <vt:variant>
        <vt:lpwstr/>
      </vt:variant>
      <vt:variant>
        <vt:lpwstr>_Toc290363804</vt:lpwstr>
      </vt:variant>
      <vt:variant>
        <vt:i4>1966140</vt:i4>
      </vt:variant>
      <vt:variant>
        <vt:i4>770</vt:i4>
      </vt:variant>
      <vt:variant>
        <vt:i4>0</vt:i4>
      </vt:variant>
      <vt:variant>
        <vt:i4>5</vt:i4>
      </vt:variant>
      <vt:variant>
        <vt:lpwstr/>
      </vt:variant>
      <vt:variant>
        <vt:lpwstr>_Toc290363803</vt:lpwstr>
      </vt:variant>
      <vt:variant>
        <vt:i4>1966140</vt:i4>
      </vt:variant>
      <vt:variant>
        <vt:i4>764</vt:i4>
      </vt:variant>
      <vt:variant>
        <vt:i4>0</vt:i4>
      </vt:variant>
      <vt:variant>
        <vt:i4>5</vt:i4>
      </vt:variant>
      <vt:variant>
        <vt:lpwstr/>
      </vt:variant>
      <vt:variant>
        <vt:lpwstr>_Toc290363802</vt:lpwstr>
      </vt:variant>
      <vt:variant>
        <vt:i4>1966140</vt:i4>
      </vt:variant>
      <vt:variant>
        <vt:i4>758</vt:i4>
      </vt:variant>
      <vt:variant>
        <vt:i4>0</vt:i4>
      </vt:variant>
      <vt:variant>
        <vt:i4>5</vt:i4>
      </vt:variant>
      <vt:variant>
        <vt:lpwstr/>
      </vt:variant>
      <vt:variant>
        <vt:lpwstr>_Toc290363801</vt:lpwstr>
      </vt:variant>
      <vt:variant>
        <vt:i4>1966140</vt:i4>
      </vt:variant>
      <vt:variant>
        <vt:i4>752</vt:i4>
      </vt:variant>
      <vt:variant>
        <vt:i4>0</vt:i4>
      </vt:variant>
      <vt:variant>
        <vt:i4>5</vt:i4>
      </vt:variant>
      <vt:variant>
        <vt:lpwstr/>
      </vt:variant>
      <vt:variant>
        <vt:lpwstr>_Toc290363800</vt:lpwstr>
      </vt:variant>
      <vt:variant>
        <vt:i4>1507379</vt:i4>
      </vt:variant>
      <vt:variant>
        <vt:i4>746</vt:i4>
      </vt:variant>
      <vt:variant>
        <vt:i4>0</vt:i4>
      </vt:variant>
      <vt:variant>
        <vt:i4>5</vt:i4>
      </vt:variant>
      <vt:variant>
        <vt:lpwstr/>
      </vt:variant>
      <vt:variant>
        <vt:lpwstr>_Toc290363799</vt:lpwstr>
      </vt:variant>
      <vt:variant>
        <vt:i4>1507379</vt:i4>
      </vt:variant>
      <vt:variant>
        <vt:i4>740</vt:i4>
      </vt:variant>
      <vt:variant>
        <vt:i4>0</vt:i4>
      </vt:variant>
      <vt:variant>
        <vt:i4>5</vt:i4>
      </vt:variant>
      <vt:variant>
        <vt:lpwstr/>
      </vt:variant>
      <vt:variant>
        <vt:lpwstr>_Toc290363798</vt:lpwstr>
      </vt:variant>
      <vt:variant>
        <vt:i4>1507379</vt:i4>
      </vt:variant>
      <vt:variant>
        <vt:i4>734</vt:i4>
      </vt:variant>
      <vt:variant>
        <vt:i4>0</vt:i4>
      </vt:variant>
      <vt:variant>
        <vt:i4>5</vt:i4>
      </vt:variant>
      <vt:variant>
        <vt:lpwstr/>
      </vt:variant>
      <vt:variant>
        <vt:lpwstr>_Toc290363797</vt:lpwstr>
      </vt:variant>
      <vt:variant>
        <vt:i4>1507379</vt:i4>
      </vt:variant>
      <vt:variant>
        <vt:i4>728</vt:i4>
      </vt:variant>
      <vt:variant>
        <vt:i4>0</vt:i4>
      </vt:variant>
      <vt:variant>
        <vt:i4>5</vt:i4>
      </vt:variant>
      <vt:variant>
        <vt:lpwstr/>
      </vt:variant>
      <vt:variant>
        <vt:lpwstr>_Toc290363796</vt:lpwstr>
      </vt:variant>
      <vt:variant>
        <vt:i4>1507379</vt:i4>
      </vt:variant>
      <vt:variant>
        <vt:i4>722</vt:i4>
      </vt:variant>
      <vt:variant>
        <vt:i4>0</vt:i4>
      </vt:variant>
      <vt:variant>
        <vt:i4>5</vt:i4>
      </vt:variant>
      <vt:variant>
        <vt:lpwstr/>
      </vt:variant>
      <vt:variant>
        <vt:lpwstr>_Toc290363795</vt:lpwstr>
      </vt:variant>
      <vt:variant>
        <vt:i4>1507379</vt:i4>
      </vt:variant>
      <vt:variant>
        <vt:i4>716</vt:i4>
      </vt:variant>
      <vt:variant>
        <vt:i4>0</vt:i4>
      </vt:variant>
      <vt:variant>
        <vt:i4>5</vt:i4>
      </vt:variant>
      <vt:variant>
        <vt:lpwstr/>
      </vt:variant>
      <vt:variant>
        <vt:lpwstr>_Toc290363794</vt:lpwstr>
      </vt:variant>
      <vt:variant>
        <vt:i4>1507379</vt:i4>
      </vt:variant>
      <vt:variant>
        <vt:i4>710</vt:i4>
      </vt:variant>
      <vt:variant>
        <vt:i4>0</vt:i4>
      </vt:variant>
      <vt:variant>
        <vt:i4>5</vt:i4>
      </vt:variant>
      <vt:variant>
        <vt:lpwstr/>
      </vt:variant>
      <vt:variant>
        <vt:lpwstr>_Toc290363793</vt:lpwstr>
      </vt:variant>
      <vt:variant>
        <vt:i4>1507379</vt:i4>
      </vt:variant>
      <vt:variant>
        <vt:i4>704</vt:i4>
      </vt:variant>
      <vt:variant>
        <vt:i4>0</vt:i4>
      </vt:variant>
      <vt:variant>
        <vt:i4>5</vt:i4>
      </vt:variant>
      <vt:variant>
        <vt:lpwstr/>
      </vt:variant>
      <vt:variant>
        <vt:lpwstr>_Toc290363792</vt:lpwstr>
      </vt:variant>
      <vt:variant>
        <vt:i4>1507379</vt:i4>
      </vt:variant>
      <vt:variant>
        <vt:i4>698</vt:i4>
      </vt:variant>
      <vt:variant>
        <vt:i4>0</vt:i4>
      </vt:variant>
      <vt:variant>
        <vt:i4>5</vt:i4>
      </vt:variant>
      <vt:variant>
        <vt:lpwstr/>
      </vt:variant>
      <vt:variant>
        <vt:lpwstr>_Toc290363791</vt:lpwstr>
      </vt:variant>
      <vt:variant>
        <vt:i4>1507379</vt:i4>
      </vt:variant>
      <vt:variant>
        <vt:i4>692</vt:i4>
      </vt:variant>
      <vt:variant>
        <vt:i4>0</vt:i4>
      </vt:variant>
      <vt:variant>
        <vt:i4>5</vt:i4>
      </vt:variant>
      <vt:variant>
        <vt:lpwstr/>
      </vt:variant>
      <vt:variant>
        <vt:lpwstr>_Toc290363790</vt:lpwstr>
      </vt:variant>
      <vt:variant>
        <vt:i4>1441843</vt:i4>
      </vt:variant>
      <vt:variant>
        <vt:i4>686</vt:i4>
      </vt:variant>
      <vt:variant>
        <vt:i4>0</vt:i4>
      </vt:variant>
      <vt:variant>
        <vt:i4>5</vt:i4>
      </vt:variant>
      <vt:variant>
        <vt:lpwstr/>
      </vt:variant>
      <vt:variant>
        <vt:lpwstr>_Toc290363789</vt:lpwstr>
      </vt:variant>
      <vt:variant>
        <vt:i4>1441843</vt:i4>
      </vt:variant>
      <vt:variant>
        <vt:i4>680</vt:i4>
      </vt:variant>
      <vt:variant>
        <vt:i4>0</vt:i4>
      </vt:variant>
      <vt:variant>
        <vt:i4>5</vt:i4>
      </vt:variant>
      <vt:variant>
        <vt:lpwstr/>
      </vt:variant>
      <vt:variant>
        <vt:lpwstr>_Toc290363788</vt:lpwstr>
      </vt:variant>
      <vt:variant>
        <vt:i4>1441843</vt:i4>
      </vt:variant>
      <vt:variant>
        <vt:i4>674</vt:i4>
      </vt:variant>
      <vt:variant>
        <vt:i4>0</vt:i4>
      </vt:variant>
      <vt:variant>
        <vt:i4>5</vt:i4>
      </vt:variant>
      <vt:variant>
        <vt:lpwstr/>
      </vt:variant>
      <vt:variant>
        <vt:lpwstr>_Toc290363787</vt:lpwstr>
      </vt:variant>
      <vt:variant>
        <vt:i4>1441843</vt:i4>
      </vt:variant>
      <vt:variant>
        <vt:i4>668</vt:i4>
      </vt:variant>
      <vt:variant>
        <vt:i4>0</vt:i4>
      </vt:variant>
      <vt:variant>
        <vt:i4>5</vt:i4>
      </vt:variant>
      <vt:variant>
        <vt:lpwstr/>
      </vt:variant>
      <vt:variant>
        <vt:lpwstr>_Toc290363786</vt:lpwstr>
      </vt:variant>
      <vt:variant>
        <vt:i4>1441843</vt:i4>
      </vt:variant>
      <vt:variant>
        <vt:i4>662</vt:i4>
      </vt:variant>
      <vt:variant>
        <vt:i4>0</vt:i4>
      </vt:variant>
      <vt:variant>
        <vt:i4>5</vt:i4>
      </vt:variant>
      <vt:variant>
        <vt:lpwstr/>
      </vt:variant>
      <vt:variant>
        <vt:lpwstr>_Toc290363785</vt:lpwstr>
      </vt:variant>
      <vt:variant>
        <vt:i4>1441843</vt:i4>
      </vt:variant>
      <vt:variant>
        <vt:i4>656</vt:i4>
      </vt:variant>
      <vt:variant>
        <vt:i4>0</vt:i4>
      </vt:variant>
      <vt:variant>
        <vt:i4>5</vt:i4>
      </vt:variant>
      <vt:variant>
        <vt:lpwstr/>
      </vt:variant>
      <vt:variant>
        <vt:lpwstr>_Toc290363784</vt:lpwstr>
      </vt:variant>
      <vt:variant>
        <vt:i4>1441843</vt:i4>
      </vt:variant>
      <vt:variant>
        <vt:i4>650</vt:i4>
      </vt:variant>
      <vt:variant>
        <vt:i4>0</vt:i4>
      </vt:variant>
      <vt:variant>
        <vt:i4>5</vt:i4>
      </vt:variant>
      <vt:variant>
        <vt:lpwstr/>
      </vt:variant>
      <vt:variant>
        <vt:lpwstr>_Toc290363783</vt:lpwstr>
      </vt:variant>
      <vt:variant>
        <vt:i4>1441843</vt:i4>
      </vt:variant>
      <vt:variant>
        <vt:i4>644</vt:i4>
      </vt:variant>
      <vt:variant>
        <vt:i4>0</vt:i4>
      </vt:variant>
      <vt:variant>
        <vt:i4>5</vt:i4>
      </vt:variant>
      <vt:variant>
        <vt:lpwstr/>
      </vt:variant>
      <vt:variant>
        <vt:lpwstr>_Toc290363782</vt:lpwstr>
      </vt:variant>
      <vt:variant>
        <vt:i4>1441843</vt:i4>
      </vt:variant>
      <vt:variant>
        <vt:i4>638</vt:i4>
      </vt:variant>
      <vt:variant>
        <vt:i4>0</vt:i4>
      </vt:variant>
      <vt:variant>
        <vt:i4>5</vt:i4>
      </vt:variant>
      <vt:variant>
        <vt:lpwstr/>
      </vt:variant>
      <vt:variant>
        <vt:lpwstr>_Toc290363781</vt:lpwstr>
      </vt:variant>
      <vt:variant>
        <vt:i4>1441843</vt:i4>
      </vt:variant>
      <vt:variant>
        <vt:i4>632</vt:i4>
      </vt:variant>
      <vt:variant>
        <vt:i4>0</vt:i4>
      </vt:variant>
      <vt:variant>
        <vt:i4>5</vt:i4>
      </vt:variant>
      <vt:variant>
        <vt:lpwstr/>
      </vt:variant>
      <vt:variant>
        <vt:lpwstr>_Toc290363780</vt:lpwstr>
      </vt:variant>
      <vt:variant>
        <vt:i4>1638451</vt:i4>
      </vt:variant>
      <vt:variant>
        <vt:i4>626</vt:i4>
      </vt:variant>
      <vt:variant>
        <vt:i4>0</vt:i4>
      </vt:variant>
      <vt:variant>
        <vt:i4>5</vt:i4>
      </vt:variant>
      <vt:variant>
        <vt:lpwstr/>
      </vt:variant>
      <vt:variant>
        <vt:lpwstr>_Toc290363779</vt:lpwstr>
      </vt:variant>
      <vt:variant>
        <vt:i4>1638451</vt:i4>
      </vt:variant>
      <vt:variant>
        <vt:i4>620</vt:i4>
      </vt:variant>
      <vt:variant>
        <vt:i4>0</vt:i4>
      </vt:variant>
      <vt:variant>
        <vt:i4>5</vt:i4>
      </vt:variant>
      <vt:variant>
        <vt:lpwstr/>
      </vt:variant>
      <vt:variant>
        <vt:lpwstr>_Toc290363778</vt:lpwstr>
      </vt:variant>
      <vt:variant>
        <vt:i4>1638451</vt:i4>
      </vt:variant>
      <vt:variant>
        <vt:i4>614</vt:i4>
      </vt:variant>
      <vt:variant>
        <vt:i4>0</vt:i4>
      </vt:variant>
      <vt:variant>
        <vt:i4>5</vt:i4>
      </vt:variant>
      <vt:variant>
        <vt:lpwstr/>
      </vt:variant>
      <vt:variant>
        <vt:lpwstr>_Toc290363777</vt:lpwstr>
      </vt:variant>
      <vt:variant>
        <vt:i4>1638451</vt:i4>
      </vt:variant>
      <vt:variant>
        <vt:i4>608</vt:i4>
      </vt:variant>
      <vt:variant>
        <vt:i4>0</vt:i4>
      </vt:variant>
      <vt:variant>
        <vt:i4>5</vt:i4>
      </vt:variant>
      <vt:variant>
        <vt:lpwstr/>
      </vt:variant>
      <vt:variant>
        <vt:lpwstr>_Toc290363776</vt:lpwstr>
      </vt:variant>
      <vt:variant>
        <vt:i4>1638451</vt:i4>
      </vt:variant>
      <vt:variant>
        <vt:i4>602</vt:i4>
      </vt:variant>
      <vt:variant>
        <vt:i4>0</vt:i4>
      </vt:variant>
      <vt:variant>
        <vt:i4>5</vt:i4>
      </vt:variant>
      <vt:variant>
        <vt:lpwstr/>
      </vt:variant>
      <vt:variant>
        <vt:lpwstr>_Toc290363775</vt:lpwstr>
      </vt:variant>
      <vt:variant>
        <vt:i4>1638451</vt:i4>
      </vt:variant>
      <vt:variant>
        <vt:i4>596</vt:i4>
      </vt:variant>
      <vt:variant>
        <vt:i4>0</vt:i4>
      </vt:variant>
      <vt:variant>
        <vt:i4>5</vt:i4>
      </vt:variant>
      <vt:variant>
        <vt:lpwstr/>
      </vt:variant>
      <vt:variant>
        <vt:lpwstr>_Toc290363774</vt:lpwstr>
      </vt:variant>
      <vt:variant>
        <vt:i4>1638451</vt:i4>
      </vt:variant>
      <vt:variant>
        <vt:i4>590</vt:i4>
      </vt:variant>
      <vt:variant>
        <vt:i4>0</vt:i4>
      </vt:variant>
      <vt:variant>
        <vt:i4>5</vt:i4>
      </vt:variant>
      <vt:variant>
        <vt:lpwstr/>
      </vt:variant>
      <vt:variant>
        <vt:lpwstr>_Toc290363773</vt:lpwstr>
      </vt:variant>
      <vt:variant>
        <vt:i4>1638451</vt:i4>
      </vt:variant>
      <vt:variant>
        <vt:i4>584</vt:i4>
      </vt:variant>
      <vt:variant>
        <vt:i4>0</vt:i4>
      </vt:variant>
      <vt:variant>
        <vt:i4>5</vt:i4>
      </vt:variant>
      <vt:variant>
        <vt:lpwstr/>
      </vt:variant>
      <vt:variant>
        <vt:lpwstr>_Toc290363772</vt:lpwstr>
      </vt:variant>
      <vt:variant>
        <vt:i4>1638451</vt:i4>
      </vt:variant>
      <vt:variant>
        <vt:i4>578</vt:i4>
      </vt:variant>
      <vt:variant>
        <vt:i4>0</vt:i4>
      </vt:variant>
      <vt:variant>
        <vt:i4>5</vt:i4>
      </vt:variant>
      <vt:variant>
        <vt:lpwstr/>
      </vt:variant>
      <vt:variant>
        <vt:lpwstr>_Toc290363771</vt:lpwstr>
      </vt:variant>
      <vt:variant>
        <vt:i4>1638451</vt:i4>
      </vt:variant>
      <vt:variant>
        <vt:i4>572</vt:i4>
      </vt:variant>
      <vt:variant>
        <vt:i4>0</vt:i4>
      </vt:variant>
      <vt:variant>
        <vt:i4>5</vt:i4>
      </vt:variant>
      <vt:variant>
        <vt:lpwstr/>
      </vt:variant>
      <vt:variant>
        <vt:lpwstr>_Toc290363770</vt:lpwstr>
      </vt:variant>
      <vt:variant>
        <vt:i4>1572915</vt:i4>
      </vt:variant>
      <vt:variant>
        <vt:i4>566</vt:i4>
      </vt:variant>
      <vt:variant>
        <vt:i4>0</vt:i4>
      </vt:variant>
      <vt:variant>
        <vt:i4>5</vt:i4>
      </vt:variant>
      <vt:variant>
        <vt:lpwstr/>
      </vt:variant>
      <vt:variant>
        <vt:lpwstr>_Toc290363769</vt:lpwstr>
      </vt:variant>
      <vt:variant>
        <vt:i4>1572915</vt:i4>
      </vt:variant>
      <vt:variant>
        <vt:i4>560</vt:i4>
      </vt:variant>
      <vt:variant>
        <vt:i4>0</vt:i4>
      </vt:variant>
      <vt:variant>
        <vt:i4>5</vt:i4>
      </vt:variant>
      <vt:variant>
        <vt:lpwstr/>
      </vt:variant>
      <vt:variant>
        <vt:lpwstr>_Toc290363768</vt:lpwstr>
      </vt:variant>
      <vt:variant>
        <vt:i4>1572915</vt:i4>
      </vt:variant>
      <vt:variant>
        <vt:i4>554</vt:i4>
      </vt:variant>
      <vt:variant>
        <vt:i4>0</vt:i4>
      </vt:variant>
      <vt:variant>
        <vt:i4>5</vt:i4>
      </vt:variant>
      <vt:variant>
        <vt:lpwstr/>
      </vt:variant>
      <vt:variant>
        <vt:lpwstr>_Toc290363767</vt:lpwstr>
      </vt:variant>
      <vt:variant>
        <vt:i4>1572915</vt:i4>
      </vt:variant>
      <vt:variant>
        <vt:i4>548</vt:i4>
      </vt:variant>
      <vt:variant>
        <vt:i4>0</vt:i4>
      </vt:variant>
      <vt:variant>
        <vt:i4>5</vt:i4>
      </vt:variant>
      <vt:variant>
        <vt:lpwstr/>
      </vt:variant>
      <vt:variant>
        <vt:lpwstr>_Toc290363766</vt:lpwstr>
      </vt:variant>
      <vt:variant>
        <vt:i4>1572915</vt:i4>
      </vt:variant>
      <vt:variant>
        <vt:i4>542</vt:i4>
      </vt:variant>
      <vt:variant>
        <vt:i4>0</vt:i4>
      </vt:variant>
      <vt:variant>
        <vt:i4>5</vt:i4>
      </vt:variant>
      <vt:variant>
        <vt:lpwstr/>
      </vt:variant>
      <vt:variant>
        <vt:lpwstr>_Toc290363765</vt:lpwstr>
      </vt:variant>
      <vt:variant>
        <vt:i4>1572915</vt:i4>
      </vt:variant>
      <vt:variant>
        <vt:i4>536</vt:i4>
      </vt:variant>
      <vt:variant>
        <vt:i4>0</vt:i4>
      </vt:variant>
      <vt:variant>
        <vt:i4>5</vt:i4>
      </vt:variant>
      <vt:variant>
        <vt:lpwstr/>
      </vt:variant>
      <vt:variant>
        <vt:lpwstr>_Toc290363764</vt:lpwstr>
      </vt:variant>
      <vt:variant>
        <vt:i4>1572915</vt:i4>
      </vt:variant>
      <vt:variant>
        <vt:i4>530</vt:i4>
      </vt:variant>
      <vt:variant>
        <vt:i4>0</vt:i4>
      </vt:variant>
      <vt:variant>
        <vt:i4>5</vt:i4>
      </vt:variant>
      <vt:variant>
        <vt:lpwstr/>
      </vt:variant>
      <vt:variant>
        <vt:lpwstr>_Toc290363763</vt:lpwstr>
      </vt:variant>
      <vt:variant>
        <vt:i4>1572915</vt:i4>
      </vt:variant>
      <vt:variant>
        <vt:i4>524</vt:i4>
      </vt:variant>
      <vt:variant>
        <vt:i4>0</vt:i4>
      </vt:variant>
      <vt:variant>
        <vt:i4>5</vt:i4>
      </vt:variant>
      <vt:variant>
        <vt:lpwstr/>
      </vt:variant>
      <vt:variant>
        <vt:lpwstr>_Toc290363762</vt:lpwstr>
      </vt:variant>
      <vt:variant>
        <vt:i4>1572915</vt:i4>
      </vt:variant>
      <vt:variant>
        <vt:i4>518</vt:i4>
      </vt:variant>
      <vt:variant>
        <vt:i4>0</vt:i4>
      </vt:variant>
      <vt:variant>
        <vt:i4>5</vt:i4>
      </vt:variant>
      <vt:variant>
        <vt:lpwstr/>
      </vt:variant>
      <vt:variant>
        <vt:lpwstr>_Toc290363761</vt:lpwstr>
      </vt:variant>
      <vt:variant>
        <vt:i4>1572915</vt:i4>
      </vt:variant>
      <vt:variant>
        <vt:i4>512</vt:i4>
      </vt:variant>
      <vt:variant>
        <vt:i4>0</vt:i4>
      </vt:variant>
      <vt:variant>
        <vt:i4>5</vt:i4>
      </vt:variant>
      <vt:variant>
        <vt:lpwstr/>
      </vt:variant>
      <vt:variant>
        <vt:lpwstr>_Toc290363760</vt:lpwstr>
      </vt:variant>
      <vt:variant>
        <vt:i4>1769523</vt:i4>
      </vt:variant>
      <vt:variant>
        <vt:i4>506</vt:i4>
      </vt:variant>
      <vt:variant>
        <vt:i4>0</vt:i4>
      </vt:variant>
      <vt:variant>
        <vt:i4>5</vt:i4>
      </vt:variant>
      <vt:variant>
        <vt:lpwstr/>
      </vt:variant>
      <vt:variant>
        <vt:lpwstr>_Toc290363759</vt:lpwstr>
      </vt:variant>
      <vt:variant>
        <vt:i4>1769523</vt:i4>
      </vt:variant>
      <vt:variant>
        <vt:i4>500</vt:i4>
      </vt:variant>
      <vt:variant>
        <vt:i4>0</vt:i4>
      </vt:variant>
      <vt:variant>
        <vt:i4>5</vt:i4>
      </vt:variant>
      <vt:variant>
        <vt:lpwstr/>
      </vt:variant>
      <vt:variant>
        <vt:lpwstr>_Toc290363758</vt:lpwstr>
      </vt:variant>
      <vt:variant>
        <vt:i4>1769523</vt:i4>
      </vt:variant>
      <vt:variant>
        <vt:i4>494</vt:i4>
      </vt:variant>
      <vt:variant>
        <vt:i4>0</vt:i4>
      </vt:variant>
      <vt:variant>
        <vt:i4>5</vt:i4>
      </vt:variant>
      <vt:variant>
        <vt:lpwstr/>
      </vt:variant>
      <vt:variant>
        <vt:lpwstr>_Toc290363757</vt:lpwstr>
      </vt:variant>
      <vt:variant>
        <vt:i4>1769523</vt:i4>
      </vt:variant>
      <vt:variant>
        <vt:i4>488</vt:i4>
      </vt:variant>
      <vt:variant>
        <vt:i4>0</vt:i4>
      </vt:variant>
      <vt:variant>
        <vt:i4>5</vt:i4>
      </vt:variant>
      <vt:variant>
        <vt:lpwstr/>
      </vt:variant>
      <vt:variant>
        <vt:lpwstr>_Toc290363756</vt:lpwstr>
      </vt:variant>
      <vt:variant>
        <vt:i4>1769523</vt:i4>
      </vt:variant>
      <vt:variant>
        <vt:i4>482</vt:i4>
      </vt:variant>
      <vt:variant>
        <vt:i4>0</vt:i4>
      </vt:variant>
      <vt:variant>
        <vt:i4>5</vt:i4>
      </vt:variant>
      <vt:variant>
        <vt:lpwstr/>
      </vt:variant>
      <vt:variant>
        <vt:lpwstr>_Toc290363755</vt:lpwstr>
      </vt:variant>
      <vt:variant>
        <vt:i4>1769523</vt:i4>
      </vt:variant>
      <vt:variant>
        <vt:i4>476</vt:i4>
      </vt:variant>
      <vt:variant>
        <vt:i4>0</vt:i4>
      </vt:variant>
      <vt:variant>
        <vt:i4>5</vt:i4>
      </vt:variant>
      <vt:variant>
        <vt:lpwstr/>
      </vt:variant>
      <vt:variant>
        <vt:lpwstr>_Toc290363754</vt:lpwstr>
      </vt:variant>
      <vt:variant>
        <vt:i4>1769523</vt:i4>
      </vt:variant>
      <vt:variant>
        <vt:i4>470</vt:i4>
      </vt:variant>
      <vt:variant>
        <vt:i4>0</vt:i4>
      </vt:variant>
      <vt:variant>
        <vt:i4>5</vt:i4>
      </vt:variant>
      <vt:variant>
        <vt:lpwstr/>
      </vt:variant>
      <vt:variant>
        <vt:lpwstr>_Toc290363753</vt:lpwstr>
      </vt:variant>
      <vt:variant>
        <vt:i4>1769523</vt:i4>
      </vt:variant>
      <vt:variant>
        <vt:i4>464</vt:i4>
      </vt:variant>
      <vt:variant>
        <vt:i4>0</vt:i4>
      </vt:variant>
      <vt:variant>
        <vt:i4>5</vt:i4>
      </vt:variant>
      <vt:variant>
        <vt:lpwstr/>
      </vt:variant>
      <vt:variant>
        <vt:lpwstr>_Toc290363752</vt:lpwstr>
      </vt:variant>
      <vt:variant>
        <vt:i4>1769523</vt:i4>
      </vt:variant>
      <vt:variant>
        <vt:i4>458</vt:i4>
      </vt:variant>
      <vt:variant>
        <vt:i4>0</vt:i4>
      </vt:variant>
      <vt:variant>
        <vt:i4>5</vt:i4>
      </vt:variant>
      <vt:variant>
        <vt:lpwstr/>
      </vt:variant>
      <vt:variant>
        <vt:lpwstr>_Toc290363751</vt:lpwstr>
      </vt:variant>
      <vt:variant>
        <vt:i4>1769523</vt:i4>
      </vt:variant>
      <vt:variant>
        <vt:i4>452</vt:i4>
      </vt:variant>
      <vt:variant>
        <vt:i4>0</vt:i4>
      </vt:variant>
      <vt:variant>
        <vt:i4>5</vt:i4>
      </vt:variant>
      <vt:variant>
        <vt:lpwstr/>
      </vt:variant>
      <vt:variant>
        <vt:lpwstr>_Toc290363750</vt:lpwstr>
      </vt:variant>
      <vt:variant>
        <vt:i4>1703987</vt:i4>
      </vt:variant>
      <vt:variant>
        <vt:i4>446</vt:i4>
      </vt:variant>
      <vt:variant>
        <vt:i4>0</vt:i4>
      </vt:variant>
      <vt:variant>
        <vt:i4>5</vt:i4>
      </vt:variant>
      <vt:variant>
        <vt:lpwstr/>
      </vt:variant>
      <vt:variant>
        <vt:lpwstr>_Toc290363749</vt:lpwstr>
      </vt:variant>
      <vt:variant>
        <vt:i4>1703987</vt:i4>
      </vt:variant>
      <vt:variant>
        <vt:i4>440</vt:i4>
      </vt:variant>
      <vt:variant>
        <vt:i4>0</vt:i4>
      </vt:variant>
      <vt:variant>
        <vt:i4>5</vt:i4>
      </vt:variant>
      <vt:variant>
        <vt:lpwstr/>
      </vt:variant>
      <vt:variant>
        <vt:lpwstr>_Toc290363748</vt:lpwstr>
      </vt:variant>
      <vt:variant>
        <vt:i4>1703987</vt:i4>
      </vt:variant>
      <vt:variant>
        <vt:i4>434</vt:i4>
      </vt:variant>
      <vt:variant>
        <vt:i4>0</vt:i4>
      </vt:variant>
      <vt:variant>
        <vt:i4>5</vt:i4>
      </vt:variant>
      <vt:variant>
        <vt:lpwstr/>
      </vt:variant>
      <vt:variant>
        <vt:lpwstr>_Toc290363747</vt:lpwstr>
      </vt:variant>
      <vt:variant>
        <vt:i4>1703987</vt:i4>
      </vt:variant>
      <vt:variant>
        <vt:i4>428</vt:i4>
      </vt:variant>
      <vt:variant>
        <vt:i4>0</vt:i4>
      </vt:variant>
      <vt:variant>
        <vt:i4>5</vt:i4>
      </vt:variant>
      <vt:variant>
        <vt:lpwstr/>
      </vt:variant>
      <vt:variant>
        <vt:lpwstr>_Toc290363746</vt:lpwstr>
      </vt:variant>
      <vt:variant>
        <vt:i4>1703987</vt:i4>
      </vt:variant>
      <vt:variant>
        <vt:i4>422</vt:i4>
      </vt:variant>
      <vt:variant>
        <vt:i4>0</vt:i4>
      </vt:variant>
      <vt:variant>
        <vt:i4>5</vt:i4>
      </vt:variant>
      <vt:variant>
        <vt:lpwstr/>
      </vt:variant>
      <vt:variant>
        <vt:lpwstr>_Toc290363745</vt:lpwstr>
      </vt:variant>
      <vt:variant>
        <vt:i4>1703987</vt:i4>
      </vt:variant>
      <vt:variant>
        <vt:i4>416</vt:i4>
      </vt:variant>
      <vt:variant>
        <vt:i4>0</vt:i4>
      </vt:variant>
      <vt:variant>
        <vt:i4>5</vt:i4>
      </vt:variant>
      <vt:variant>
        <vt:lpwstr/>
      </vt:variant>
      <vt:variant>
        <vt:lpwstr>_Toc290363744</vt:lpwstr>
      </vt:variant>
      <vt:variant>
        <vt:i4>1703987</vt:i4>
      </vt:variant>
      <vt:variant>
        <vt:i4>410</vt:i4>
      </vt:variant>
      <vt:variant>
        <vt:i4>0</vt:i4>
      </vt:variant>
      <vt:variant>
        <vt:i4>5</vt:i4>
      </vt:variant>
      <vt:variant>
        <vt:lpwstr/>
      </vt:variant>
      <vt:variant>
        <vt:lpwstr>_Toc290363743</vt:lpwstr>
      </vt:variant>
      <vt:variant>
        <vt:i4>1703987</vt:i4>
      </vt:variant>
      <vt:variant>
        <vt:i4>404</vt:i4>
      </vt:variant>
      <vt:variant>
        <vt:i4>0</vt:i4>
      </vt:variant>
      <vt:variant>
        <vt:i4>5</vt:i4>
      </vt:variant>
      <vt:variant>
        <vt:lpwstr/>
      </vt:variant>
      <vt:variant>
        <vt:lpwstr>_Toc290363742</vt:lpwstr>
      </vt:variant>
      <vt:variant>
        <vt:i4>1703987</vt:i4>
      </vt:variant>
      <vt:variant>
        <vt:i4>398</vt:i4>
      </vt:variant>
      <vt:variant>
        <vt:i4>0</vt:i4>
      </vt:variant>
      <vt:variant>
        <vt:i4>5</vt:i4>
      </vt:variant>
      <vt:variant>
        <vt:lpwstr/>
      </vt:variant>
      <vt:variant>
        <vt:lpwstr>_Toc290363741</vt:lpwstr>
      </vt:variant>
      <vt:variant>
        <vt:i4>1703987</vt:i4>
      </vt:variant>
      <vt:variant>
        <vt:i4>392</vt:i4>
      </vt:variant>
      <vt:variant>
        <vt:i4>0</vt:i4>
      </vt:variant>
      <vt:variant>
        <vt:i4>5</vt:i4>
      </vt:variant>
      <vt:variant>
        <vt:lpwstr/>
      </vt:variant>
      <vt:variant>
        <vt:lpwstr>_Toc290363740</vt:lpwstr>
      </vt:variant>
      <vt:variant>
        <vt:i4>1900595</vt:i4>
      </vt:variant>
      <vt:variant>
        <vt:i4>386</vt:i4>
      </vt:variant>
      <vt:variant>
        <vt:i4>0</vt:i4>
      </vt:variant>
      <vt:variant>
        <vt:i4>5</vt:i4>
      </vt:variant>
      <vt:variant>
        <vt:lpwstr/>
      </vt:variant>
      <vt:variant>
        <vt:lpwstr>_Toc290363739</vt:lpwstr>
      </vt:variant>
      <vt:variant>
        <vt:i4>1900595</vt:i4>
      </vt:variant>
      <vt:variant>
        <vt:i4>380</vt:i4>
      </vt:variant>
      <vt:variant>
        <vt:i4>0</vt:i4>
      </vt:variant>
      <vt:variant>
        <vt:i4>5</vt:i4>
      </vt:variant>
      <vt:variant>
        <vt:lpwstr/>
      </vt:variant>
      <vt:variant>
        <vt:lpwstr>_Toc290363738</vt:lpwstr>
      </vt:variant>
      <vt:variant>
        <vt:i4>1900595</vt:i4>
      </vt:variant>
      <vt:variant>
        <vt:i4>374</vt:i4>
      </vt:variant>
      <vt:variant>
        <vt:i4>0</vt:i4>
      </vt:variant>
      <vt:variant>
        <vt:i4>5</vt:i4>
      </vt:variant>
      <vt:variant>
        <vt:lpwstr/>
      </vt:variant>
      <vt:variant>
        <vt:lpwstr>_Toc290363737</vt:lpwstr>
      </vt:variant>
      <vt:variant>
        <vt:i4>1900595</vt:i4>
      </vt:variant>
      <vt:variant>
        <vt:i4>368</vt:i4>
      </vt:variant>
      <vt:variant>
        <vt:i4>0</vt:i4>
      </vt:variant>
      <vt:variant>
        <vt:i4>5</vt:i4>
      </vt:variant>
      <vt:variant>
        <vt:lpwstr/>
      </vt:variant>
      <vt:variant>
        <vt:lpwstr>_Toc290363736</vt:lpwstr>
      </vt:variant>
      <vt:variant>
        <vt:i4>1900595</vt:i4>
      </vt:variant>
      <vt:variant>
        <vt:i4>362</vt:i4>
      </vt:variant>
      <vt:variant>
        <vt:i4>0</vt:i4>
      </vt:variant>
      <vt:variant>
        <vt:i4>5</vt:i4>
      </vt:variant>
      <vt:variant>
        <vt:lpwstr/>
      </vt:variant>
      <vt:variant>
        <vt:lpwstr>_Toc290363735</vt:lpwstr>
      </vt:variant>
      <vt:variant>
        <vt:i4>1900595</vt:i4>
      </vt:variant>
      <vt:variant>
        <vt:i4>356</vt:i4>
      </vt:variant>
      <vt:variant>
        <vt:i4>0</vt:i4>
      </vt:variant>
      <vt:variant>
        <vt:i4>5</vt:i4>
      </vt:variant>
      <vt:variant>
        <vt:lpwstr/>
      </vt:variant>
      <vt:variant>
        <vt:lpwstr>_Toc290363734</vt:lpwstr>
      </vt:variant>
      <vt:variant>
        <vt:i4>1900595</vt:i4>
      </vt:variant>
      <vt:variant>
        <vt:i4>350</vt:i4>
      </vt:variant>
      <vt:variant>
        <vt:i4>0</vt:i4>
      </vt:variant>
      <vt:variant>
        <vt:i4>5</vt:i4>
      </vt:variant>
      <vt:variant>
        <vt:lpwstr/>
      </vt:variant>
      <vt:variant>
        <vt:lpwstr>_Toc290363733</vt:lpwstr>
      </vt:variant>
      <vt:variant>
        <vt:i4>1900595</vt:i4>
      </vt:variant>
      <vt:variant>
        <vt:i4>344</vt:i4>
      </vt:variant>
      <vt:variant>
        <vt:i4>0</vt:i4>
      </vt:variant>
      <vt:variant>
        <vt:i4>5</vt:i4>
      </vt:variant>
      <vt:variant>
        <vt:lpwstr/>
      </vt:variant>
      <vt:variant>
        <vt:lpwstr>_Toc290363732</vt:lpwstr>
      </vt:variant>
      <vt:variant>
        <vt:i4>1900595</vt:i4>
      </vt:variant>
      <vt:variant>
        <vt:i4>338</vt:i4>
      </vt:variant>
      <vt:variant>
        <vt:i4>0</vt:i4>
      </vt:variant>
      <vt:variant>
        <vt:i4>5</vt:i4>
      </vt:variant>
      <vt:variant>
        <vt:lpwstr/>
      </vt:variant>
      <vt:variant>
        <vt:lpwstr>_Toc290363731</vt:lpwstr>
      </vt:variant>
      <vt:variant>
        <vt:i4>1900595</vt:i4>
      </vt:variant>
      <vt:variant>
        <vt:i4>332</vt:i4>
      </vt:variant>
      <vt:variant>
        <vt:i4>0</vt:i4>
      </vt:variant>
      <vt:variant>
        <vt:i4>5</vt:i4>
      </vt:variant>
      <vt:variant>
        <vt:lpwstr/>
      </vt:variant>
      <vt:variant>
        <vt:lpwstr>_Toc290363730</vt:lpwstr>
      </vt:variant>
      <vt:variant>
        <vt:i4>1835059</vt:i4>
      </vt:variant>
      <vt:variant>
        <vt:i4>326</vt:i4>
      </vt:variant>
      <vt:variant>
        <vt:i4>0</vt:i4>
      </vt:variant>
      <vt:variant>
        <vt:i4>5</vt:i4>
      </vt:variant>
      <vt:variant>
        <vt:lpwstr/>
      </vt:variant>
      <vt:variant>
        <vt:lpwstr>_Toc290363729</vt:lpwstr>
      </vt:variant>
      <vt:variant>
        <vt:i4>1835059</vt:i4>
      </vt:variant>
      <vt:variant>
        <vt:i4>320</vt:i4>
      </vt:variant>
      <vt:variant>
        <vt:i4>0</vt:i4>
      </vt:variant>
      <vt:variant>
        <vt:i4>5</vt:i4>
      </vt:variant>
      <vt:variant>
        <vt:lpwstr/>
      </vt:variant>
      <vt:variant>
        <vt:lpwstr>_Toc290363728</vt:lpwstr>
      </vt:variant>
      <vt:variant>
        <vt:i4>1835059</vt:i4>
      </vt:variant>
      <vt:variant>
        <vt:i4>314</vt:i4>
      </vt:variant>
      <vt:variant>
        <vt:i4>0</vt:i4>
      </vt:variant>
      <vt:variant>
        <vt:i4>5</vt:i4>
      </vt:variant>
      <vt:variant>
        <vt:lpwstr/>
      </vt:variant>
      <vt:variant>
        <vt:lpwstr>_Toc290363727</vt:lpwstr>
      </vt:variant>
      <vt:variant>
        <vt:i4>1835059</vt:i4>
      </vt:variant>
      <vt:variant>
        <vt:i4>308</vt:i4>
      </vt:variant>
      <vt:variant>
        <vt:i4>0</vt:i4>
      </vt:variant>
      <vt:variant>
        <vt:i4>5</vt:i4>
      </vt:variant>
      <vt:variant>
        <vt:lpwstr/>
      </vt:variant>
      <vt:variant>
        <vt:lpwstr>_Toc290363726</vt:lpwstr>
      </vt:variant>
      <vt:variant>
        <vt:i4>1835059</vt:i4>
      </vt:variant>
      <vt:variant>
        <vt:i4>302</vt:i4>
      </vt:variant>
      <vt:variant>
        <vt:i4>0</vt:i4>
      </vt:variant>
      <vt:variant>
        <vt:i4>5</vt:i4>
      </vt:variant>
      <vt:variant>
        <vt:lpwstr/>
      </vt:variant>
      <vt:variant>
        <vt:lpwstr>_Toc290363725</vt:lpwstr>
      </vt:variant>
      <vt:variant>
        <vt:i4>1835059</vt:i4>
      </vt:variant>
      <vt:variant>
        <vt:i4>296</vt:i4>
      </vt:variant>
      <vt:variant>
        <vt:i4>0</vt:i4>
      </vt:variant>
      <vt:variant>
        <vt:i4>5</vt:i4>
      </vt:variant>
      <vt:variant>
        <vt:lpwstr/>
      </vt:variant>
      <vt:variant>
        <vt:lpwstr>_Toc290363724</vt:lpwstr>
      </vt:variant>
      <vt:variant>
        <vt:i4>1835059</vt:i4>
      </vt:variant>
      <vt:variant>
        <vt:i4>290</vt:i4>
      </vt:variant>
      <vt:variant>
        <vt:i4>0</vt:i4>
      </vt:variant>
      <vt:variant>
        <vt:i4>5</vt:i4>
      </vt:variant>
      <vt:variant>
        <vt:lpwstr/>
      </vt:variant>
      <vt:variant>
        <vt:lpwstr>_Toc290363723</vt:lpwstr>
      </vt:variant>
      <vt:variant>
        <vt:i4>1835059</vt:i4>
      </vt:variant>
      <vt:variant>
        <vt:i4>284</vt:i4>
      </vt:variant>
      <vt:variant>
        <vt:i4>0</vt:i4>
      </vt:variant>
      <vt:variant>
        <vt:i4>5</vt:i4>
      </vt:variant>
      <vt:variant>
        <vt:lpwstr/>
      </vt:variant>
      <vt:variant>
        <vt:lpwstr>_Toc290363722</vt:lpwstr>
      </vt:variant>
      <vt:variant>
        <vt:i4>1835059</vt:i4>
      </vt:variant>
      <vt:variant>
        <vt:i4>278</vt:i4>
      </vt:variant>
      <vt:variant>
        <vt:i4>0</vt:i4>
      </vt:variant>
      <vt:variant>
        <vt:i4>5</vt:i4>
      </vt:variant>
      <vt:variant>
        <vt:lpwstr/>
      </vt:variant>
      <vt:variant>
        <vt:lpwstr>_Toc290363721</vt:lpwstr>
      </vt:variant>
      <vt:variant>
        <vt:i4>1835059</vt:i4>
      </vt:variant>
      <vt:variant>
        <vt:i4>272</vt:i4>
      </vt:variant>
      <vt:variant>
        <vt:i4>0</vt:i4>
      </vt:variant>
      <vt:variant>
        <vt:i4>5</vt:i4>
      </vt:variant>
      <vt:variant>
        <vt:lpwstr/>
      </vt:variant>
      <vt:variant>
        <vt:lpwstr>_Toc290363720</vt:lpwstr>
      </vt:variant>
      <vt:variant>
        <vt:i4>2031667</vt:i4>
      </vt:variant>
      <vt:variant>
        <vt:i4>266</vt:i4>
      </vt:variant>
      <vt:variant>
        <vt:i4>0</vt:i4>
      </vt:variant>
      <vt:variant>
        <vt:i4>5</vt:i4>
      </vt:variant>
      <vt:variant>
        <vt:lpwstr/>
      </vt:variant>
      <vt:variant>
        <vt:lpwstr>_Toc290363719</vt:lpwstr>
      </vt:variant>
      <vt:variant>
        <vt:i4>2031667</vt:i4>
      </vt:variant>
      <vt:variant>
        <vt:i4>260</vt:i4>
      </vt:variant>
      <vt:variant>
        <vt:i4>0</vt:i4>
      </vt:variant>
      <vt:variant>
        <vt:i4>5</vt:i4>
      </vt:variant>
      <vt:variant>
        <vt:lpwstr/>
      </vt:variant>
      <vt:variant>
        <vt:lpwstr>_Toc290363718</vt:lpwstr>
      </vt:variant>
      <vt:variant>
        <vt:i4>2031667</vt:i4>
      </vt:variant>
      <vt:variant>
        <vt:i4>254</vt:i4>
      </vt:variant>
      <vt:variant>
        <vt:i4>0</vt:i4>
      </vt:variant>
      <vt:variant>
        <vt:i4>5</vt:i4>
      </vt:variant>
      <vt:variant>
        <vt:lpwstr/>
      </vt:variant>
      <vt:variant>
        <vt:lpwstr>_Toc290363717</vt:lpwstr>
      </vt:variant>
      <vt:variant>
        <vt:i4>2031667</vt:i4>
      </vt:variant>
      <vt:variant>
        <vt:i4>248</vt:i4>
      </vt:variant>
      <vt:variant>
        <vt:i4>0</vt:i4>
      </vt:variant>
      <vt:variant>
        <vt:i4>5</vt:i4>
      </vt:variant>
      <vt:variant>
        <vt:lpwstr/>
      </vt:variant>
      <vt:variant>
        <vt:lpwstr>_Toc290363716</vt:lpwstr>
      </vt:variant>
      <vt:variant>
        <vt:i4>2031667</vt:i4>
      </vt:variant>
      <vt:variant>
        <vt:i4>242</vt:i4>
      </vt:variant>
      <vt:variant>
        <vt:i4>0</vt:i4>
      </vt:variant>
      <vt:variant>
        <vt:i4>5</vt:i4>
      </vt:variant>
      <vt:variant>
        <vt:lpwstr/>
      </vt:variant>
      <vt:variant>
        <vt:lpwstr>_Toc290363715</vt:lpwstr>
      </vt:variant>
      <vt:variant>
        <vt:i4>2031667</vt:i4>
      </vt:variant>
      <vt:variant>
        <vt:i4>236</vt:i4>
      </vt:variant>
      <vt:variant>
        <vt:i4>0</vt:i4>
      </vt:variant>
      <vt:variant>
        <vt:i4>5</vt:i4>
      </vt:variant>
      <vt:variant>
        <vt:lpwstr/>
      </vt:variant>
      <vt:variant>
        <vt:lpwstr>_Toc290363714</vt:lpwstr>
      </vt:variant>
      <vt:variant>
        <vt:i4>2031667</vt:i4>
      </vt:variant>
      <vt:variant>
        <vt:i4>230</vt:i4>
      </vt:variant>
      <vt:variant>
        <vt:i4>0</vt:i4>
      </vt:variant>
      <vt:variant>
        <vt:i4>5</vt:i4>
      </vt:variant>
      <vt:variant>
        <vt:lpwstr/>
      </vt:variant>
      <vt:variant>
        <vt:lpwstr>_Toc290363713</vt:lpwstr>
      </vt:variant>
      <vt:variant>
        <vt:i4>2031667</vt:i4>
      </vt:variant>
      <vt:variant>
        <vt:i4>224</vt:i4>
      </vt:variant>
      <vt:variant>
        <vt:i4>0</vt:i4>
      </vt:variant>
      <vt:variant>
        <vt:i4>5</vt:i4>
      </vt:variant>
      <vt:variant>
        <vt:lpwstr/>
      </vt:variant>
      <vt:variant>
        <vt:lpwstr>_Toc290363712</vt:lpwstr>
      </vt:variant>
      <vt:variant>
        <vt:i4>2031667</vt:i4>
      </vt:variant>
      <vt:variant>
        <vt:i4>218</vt:i4>
      </vt:variant>
      <vt:variant>
        <vt:i4>0</vt:i4>
      </vt:variant>
      <vt:variant>
        <vt:i4>5</vt:i4>
      </vt:variant>
      <vt:variant>
        <vt:lpwstr/>
      </vt:variant>
      <vt:variant>
        <vt:lpwstr>_Toc290363711</vt:lpwstr>
      </vt:variant>
      <vt:variant>
        <vt:i4>2031667</vt:i4>
      </vt:variant>
      <vt:variant>
        <vt:i4>212</vt:i4>
      </vt:variant>
      <vt:variant>
        <vt:i4>0</vt:i4>
      </vt:variant>
      <vt:variant>
        <vt:i4>5</vt:i4>
      </vt:variant>
      <vt:variant>
        <vt:lpwstr/>
      </vt:variant>
      <vt:variant>
        <vt:lpwstr>_Toc290363710</vt:lpwstr>
      </vt:variant>
      <vt:variant>
        <vt:i4>1966131</vt:i4>
      </vt:variant>
      <vt:variant>
        <vt:i4>206</vt:i4>
      </vt:variant>
      <vt:variant>
        <vt:i4>0</vt:i4>
      </vt:variant>
      <vt:variant>
        <vt:i4>5</vt:i4>
      </vt:variant>
      <vt:variant>
        <vt:lpwstr/>
      </vt:variant>
      <vt:variant>
        <vt:lpwstr>_Toc290363709</vt:lpwstr>
      </vt:variant>
      <vt:variant>
        <vt:i4>1966131</vt:i4>
      </vt:variant>
      <vt:variant>
        <vt:i4>200</vt:i4>
      </vt:variant>
      <vt:variant>
        <vt:i4>0</vt:i4>
      </vt:variant>
      <vt:variant>
        <vt:i4>5</vt:i4>
      </vt:variant>
      <vt:variant>
        <vt:lpwstr/>
      </vt:variant>
      <vt:variant>
        <vt:lpwstr>_Toc290363708</vt:lpwstr>
      </vt:variant>
      <vt:variant>
        <vt:i4>1966131</vt:i4>
      </vt:variant>
      <vt:variant>
        <vt:i4>194</vt:i4>
      </vt:variant>
      <vt:variant>
        <vt:i4>0</vt:i4>
      </vt:variant>
      <vt:variant>
        <vt:i4>5</vt:i4>
      </vt:variant>
      <vt:variant>
        <vt:lpwstr/>
      </vt:variant>
      <vt:variant>
        <vt:lpwstr>_Toc290363707</vt:lpwstr>
      </vt:variant>
      <vt:variant>
        <vt:i4>1966131</vt:i4>
      </vt:variant>
      <vt:variant>
        <vt:i4>188</vt:i4>
      </vt:variant>
      <vt:variant>
        <vt:i4>0</vt:i4>
      </vt:variant>
      <vt:variant>
        <vt:i4>5</vt:i4>
      </vt:variant>
      <vt:variant>
        <vt:lpwstr/>
      </vt:variant>
      <vt:variant>
        <vt:lpwstr>_Toc290363706</vt:lpwstr>
      </vt:variant>
      <vt:variant>
        <vt:i4>1966131</vt:i4>
      </vt:variant>
      <vt:variant>
        <vt:i4>182</vt:i4>
      </vt:variant>
      <vt:variant>
        <vt:i4>0</vt:i4>
      </vt:variant>
      <vt:variant>
        <vt:i4>5</vt:i4>
      </vt:variant>
      <vt:variant>
        <vt:lpwstr/>
      </vt:variant>
      <vt:variant>
        <vt:lpwstr>_Toc290363705</vt:lpwstr>
      </vt:variant>
      <vt:variant>
        <vt:i4>1966131</vt:i4>
      </vt:variant>
      <vt:variant>
        <vt:i4>176</vt:i4>
      </vt:variant>
      <vt:variant>
        <vt:i4>0</vt:i4>
      </vt:variant>
      <vt:variant>
        <vt:i4>5</vt:i4>
      </vt:variant>
      <vt:variant>
        <vt:lpwstr/>
      </vt:variant>
      <vt:variant>
        <vt:lpwstr>_Toc290363704</vt:lpwstr>
      </vt:variant>
      <vt:variant>
        <vt:i4>1966131</vt:i4>
      </vt:variant>
      <vt:variant>
        <vt:i4>170</vt:i4>
      </vt:variant>
      <vt:variant>
        <vt:i4>0</vt:i4>
      </vt:variant>
      <vt:variant>
        <vt:i4>5</vt:i4>
      </vt:variant>
      <vt:variant>
        <vt:lpwstr/>
      </vt:variant>
      <vt:variant>
        <vt:lpwstr>_Toc290363703</vt:lpwstr>
      </vt:variant>
      <vt:variant>
        <vt:i4>1966131</vt:i4>
      </vt:variant>
      <vt:variant>
        <vt:i4>164</vt:i4>
      </vt:variant>
      <vt:variant>
        <vt:i4>0</vt:i4>
      </vt:variant>
      <vt:variant>
        <vt:i4>5</vt:i4>
      </vt:variant>
      <vt:variant>
        <vt:lpwstr/>
      </vt:variant>
      <vt:variant>
        <vt:lpwstr>_Toc290363702</vt:lpwstr>
      </vt:variant>
      <vt:variant>
        <vt:i4>1966131</vt:i4>
      </vt:variant>
      <vt:variant>
        <vt:i4>158</vt:i4>
      </vt:variant>
      <vt:variant>
        <vt:i4>0</vt:i4>
      </vt:variant>
      <vt:variant>
        <vt:i4>5</vt:i4>
      </vt:variant>
      <vt:variant>
        <vt:lpwstr/>
      </vt:variant>
      <vt:variant>
        <vt:lpwstr>_Toc290363701</vt:lpwstr>
      </vt:variant>
      <vt:variant>
        <vt:i4>1966131</vt:i4>
      </vt:variant>
      <vt:variant>
        <vt:i4>152</vt:i4>
      </vt:variant>
      <vt:variant>
        <vt:i4>0</vt:i4>
      </vt:variant>
      <vt:variant>
        <vt:i4>5</vt:i4>
      </vt:variant>
      <vt:variant>
        <vt:lpwstr/>
      </vt:variant>
      <vt:variant>
        <vt:lpwstr>_Toc290363700</vt:lpwstr>
      </vt:variant>
      <vt:variant>
        <vt:i4>1507378</vt:i4>
      </vt:variant>
      <vt:variant>
        <vt:i4>146</vt:i4>
      </vt:variant>
      <vt:variant>
        <vt:i4>0</vt:i4>
      </vt:variant>
      <vt:variant>
        <vt:i4>5</vt:i4>
      </vt:variant>
      <vt:variant>
        <vt:lpwstr/>
      </vt:variant>
      <vt:variant>
        <vt:lpwstr>_Toc290363699</vt:lpwstr>
      </vt:variant>
      <vt:variant>
        <vt:i4>1507378</vt:i4>
      </vt:variant>
      <vt:variant>
        <vt:i4>140</vt:i4>
      </vt:variant>
      <vt:variant>
        <vt:i4>0</vt:i4>
      </vt:variant>
      <vt:variant>
        <vt:i4>5</vt:i4>
      </vt:variant>
      <vt:variant>
        <vt:lpwstr/>
      </vt:variant>
      <vt:variant>
        <vt:lpwstr>_Toc290363698</vt:lpwstr>
      </vt:variant>
      <vt:variant>
        <vt:i4>1507378</vt:i4>
      </vt:variant>
      <vt:variant>
        <vt:i4>134</vt:i4>
      </vt:variant>
      <vt:variant>
        <vt:i4>0</vt:i4>
      </vt:variant>
      <vt:variant>
        <vt:i4>5</vt:i4>
      </vt:variant>
      <vt:variant>
        <vt:lpwstr/>
      </vt:variant>
      <vt:variant>
        <vt:lpwstr>_Toc290363697</vt:lpwstr>
      </vt:variant>
      <vt:variant>
        <vt:i4>1507378</vt:i4>
      </vt:variant>
      <vt:variant>
        <vt:i4>128</vt:i4>
      </vt:variant>
      <vt:variant>
        <vt:i4>0</vt:i4>
      </vt:variant>
      <vt:variant>
        <vt:i4>5</vt:i4>
      </vt:variant>
      <vt:variant>
        <vt:lpwstr/>
      </vt:variant>
      <vt:variant>
        <vt:lpwstr>_Toc290363696</vt:lpwstr>
      </vt:variant>
      <vt:variant>
        <vt:i4>1507378</vt:i4>
      </vt:variant>
      <vt:variant>
        <vt:i4>122</vt:i4>
      </vt:variant>
      <vt:variant>
        <vt:i4>0</vt:i4>
      </vt:variant>
      <vt:variant>
        <vt:i4>5</vt:i4>
      </vt:variant>
      <vt:variant>
        <vt:lpwstr/>
      </vt:variant>
      <vt:variant>
        <vt:lpwstr>_Toc290363695</vt:lpwstr>
      </vt:variant>
      <vt:variant>
        <vt:i4>1507378</vt:i4>
      </vt:variant>
      <vt:variant>
        <vt:i4>116</vt:i4>
      </vt:variant>
      <vt:variant>
        <vt:i4>0</vt:i4>
      </vt:variant>
      <vt:variant>
        <vt:i4>5</vt:i4>
      </vt:variant>
      <vt:variant>
        <vt:lpwstr/>
      </vt:variant>
      <vt:variant>
        <vt:lpwstr>_Toc290363694</vt:lpwstr>
      </vt:variant>
      <vt:variant>
        <vt:i4>1507378</vt:i4>
      </vt:variant>
      <vt:variant>
        <vt:i4>110</vt:i4>
      </vt:variant>
      <vt:variant>
        <vt:i4>0</vt:i4>
      </vt:variant>
      <vt:variant>
        <vt:i4>5</vt:i4>
      </vt:variant>
      <vt:variant>
        <vt:lpwstr/>
      </vt:variant>
      <vt:variant>
        <vt:lpwstr>_Toc290363693</vt:lpwstr>
      </vt:variant>
      <vt:variant>
        <vt:i4>1507378</vt:i4>
      </vt:variant>
      <vt:variant>
        <vt:i4>104</vt:i4>
      </vt:variant>
      <vt:variant>
        <vt:i4>0</vt:i4>
      </vt:variant>
      <vt:variant>
        <vt:i4>5</vt:i4>
      </vt:variant>
      <vt:variant>
        <vt:lpwstr/>
      </vt:variant>
      <vt:variant>
        <vt:lpwstr>_Toc290363692</vt:lpwstr>
      </vt:variant>
      <vt:variant>
        <vt:i4>1507378</vt:i4>
      </vt:variant>
      <vt:variant>
        <vt:i4>98</vt:i4>
      </vt:variant>
      <vt:variant>
        <vt:i4>0</vt:i4>
      </vt:variant>
      <vt:variant>
        <vt:i4>5</vt:i4>
      </vt:variant>
      <vt:variant>
        <vt:lpwstr/>
      </vt:variant>
      <vt:variant>
        <vt:lpwstr>_Toc290363691</vt:lpwstr>
      </vt:variant>
      <vt:variant>
        <vt:i4>1507378</vt:i4>
      </vt:variant>
      <vt:variant>
        <vt:i4>92</vt:i4>
      </vt:variant>
      <vt:variant>
        <vt:i4>0</vt:i4>
      </vt:variant>
      <vt:variant>
        <vt:i4>5</vt:i4>
      </vt:variant>
      <vt:variant>
        <vt:lpwstr/>
      </vt:variant>
      <vt:variant>
        <vt:lpwstr>_Toc290363690</vt:lpwstr>
      </vt:variant>
      <vt:variant>
        <vt:i4>1441842</vt:i4>
      </vt:variant>
      <vt:variant>
        <vt:i4>86</vt:i4>
      </vt:variant>
      <vt:variant>
        <vt:i4>0</vt:i4>
      </vt:variant>
      <vt:variant>
        <vt:i4>5</vt:i4>
      </vt:variant>
      <vt:variant>
        <vt:lpwstr/>
      </vt:variant>
      <vt:variant>
        <vt:lpwstr>_Toc290363689</vt:lpwstr>
      </vt:variant>
      <vt:variant>
        <vt:i4>1441842</vt:i4>
      </vt:variant>
      <vt:variant>
        <vt:i4>80</vt:i4>
      </vt:variant>
      <vt:variant>
        <vt:i4>0</vt:i4>
      </vt:variant>
      <vt:variant>
        <vt:i4>5</vt:i4>
      </vt:variant>
      <vt:variant>
        <vt:lpwstr/>
      </vt:variant>
      <vt:variant>
        <vt:lpwstr>_Toc290363688</vt:lpwstr>
      </vt:variant>
      <vt:variant>
        <vt:i4>1441842</vt:i4>
      </vt:variant>
      <vt:variant>
        <vt:i4>74</vt:i4>
      </vt:variant>
      <vt:variant>
        <vt:i4>0</vt:i4>
      </vt:variant>
      <vt:variant>
        <vt:i4>5</vt:i4>
      </vt:variant>
      <vt:variant>
        <vt:lpwstr/>
      </vt:variant>
      <vt:variant>
        <vt:lpwstr>_Toc290363687</vt:lpwstr>
      </vt:variant>
      <vt:variant>
        <vt:i4>1441842</vt:i4>
      </vt:variant>
      <vt:variant>
        <vt:i4>68</vt:i4>
      </vt:variant>
      <vt:variant>
        <vt:i4>0</vt:i4>
      </vt:variant>
      <vt:variant>
        <vt:i4>5</vt:i4>
      </vt:variant>
      <vt:variant>
        <vt:lpwstr/>
      </vt:variant>
      <vt:variant>
        <vt:lpwstr>_Toc290363686</vt:lpwstr>
      </vt:variant>
      <vt:variant>
        <vt:i4>1441842</vt:i4>
      </vt:variant>
      <vt:variant>
        <vt:i4>62</vt:i4>
      </vt:variant>
      <vt:variant>
        <vt:i4>0</vt:i4>
      </vt:variant>
      <vt:variant>
        <vt:i4>5</vt:i4>
      </vt:variant>
      <vt:variant>
        <vt:lpwstr/>
      </vt:variant>
      <vt:variant>
        <vt:lpwstr>_Toc290363685</vt:lpwstr>
      </vt:variant>
      <vt:variant>
        <vt:i4>1441842</vt:i4>
      </vt:variant>
      <vt:variant>
        <vt:i4>56</vt:i4>
      </vt:variant>
      <vt:variant>
        <vt:i4>0</vt:i4>
      </vt:variant>
      <vt:variant>
        <vt:i4>5</vt:i4>
      </vt:variant>
      <vt:variant>
        <vt:lpwstr/>
      </vt:variant>
      <vt:variant>
        <vt:lpwstr>_Toc290363684</vt:lpwstr>
      </vt:variant>
      <vt:variant>
        <vt:i4>1441842</vt:i4>
      </vt:variant>
      <vt:variant>
        <vt:i4>50</vt:i4>
      </vt:variant>
      <vt:variant>
        <vt:i4>0</vt:i4>
      </vt:variant>
      <vt:variant>
        <vt:i4>5</vt:i4>
      </vt:variant>
      <vt:variant>
        <vt:lpwstr/>
      </vt:variant>
      <vt:variant>
        <vt:lpwstr>_Toc290363683</vt:lpwstr>
      </vt:variant>
      <vt:variant>
        <vt:i4>1441842</vt:i4>
      </vt:variant>
      <vt:variant>
        <vt:i4>44</vt:i4>
      </vt:variant>
      <vt:variant>
        <vt:i4>0</vt:i4>
      </vt:variant>
      <vt:variant>
        <vt:i4>5</vt:i4>
      </vt:variant>
      <vt:variant>
        <vt:lpwstr/>
      </vt:variant>
      <vt:variant>
        <vt:lpwstr>_Toc290363682</vt:lpwstr>
      </vt:variant>
      <vt:variant>
        <vt:i4>1441842</vt:i4>
      </vt:variant>
      <vt:variant>
        <vt:i4>38</vt:i4>
      </vt:variant>
      <vt:variant>
        <vt:i4>0</vt:i4>
      </vt:variant>
      <vt:variant>
        <vt:i4>5</vt:i4>
      </vt:variant>
      <vt:variant>
        <vt:lpwstr/>
      </vt:variant>
      <vt:variant>
        <vt:lpwstr>_Toc290363681</vt:lpwstr>
      </vt:variant>
      <vt:variant>
        <vt:i4>1441842</vt:i4>
      </vt:variant>
      <vt:variant>
        <vt:i4>32</vt:i4>
      </vt:variant>
      <vt:variant>
        <vt:i4>0</vt:i4>
      </vt:variant>
      <vt:variant>
        <vt:i4>5</vt:i4>
      </vt:variant>
      <vt:variant>
        <vt:lpwstr/>
      </vt:variant>
      <vt:variant>
        <vt:lpwstr>_Toc290363680</vt:lpwstr>
      </vt:variant>
      <vt:variant>
        <vt:i4>1638450</vt:i4>
      </vt:variant>
      <vt:variant>
        <vt:i4>26</vt:i4>
      </vt:variant>
      <vt:variant>
        <vt:i4>0</vt:i4>
      </vt:variant>
      <vt:variant>
        <vt:i4>5</vt:i4>
      </vt:variant>
      <vt:variant>
        <vt:lpwstr/>
      </vt:variant>
      <vt:variant>
        <vt:lpwstr>_Toc290363679</vt:lpwstr>
      </vt:variant>
      <vt:variant>
        <vt:i4>1638450</vt:i4>
      </vt:variant>
      <vt:variant>
        <vt:i4>20</vt:i4>
      </vt:variant>
      <vt:variant>
        <vt:i4>0</vt:i4>
      </vt:variant>
      <vt:variant>
        <vt:i4>5</vt:i4>
      </vt:variant>
      <vt:variant>
        <vt:lpwstr/>
      </vt:variant>
      <vt:variant>
        <vt:lpwstr>_Toc290363678</vt:lpwstr>
      </vt:variant>
      <vt:variant>
        <vt:i4>1638450</vt:i4>
      </vt:variant>
      <vt:variant>
        <vt:i4>14</vt:i4>
      </vt:variant>
      <vt:variant>
        <vt:i4>0</vt:i4>
      </vt:variant>
      <vt:variant>
        <vt:i4>5</vt:i4>
      </vt:variant>
      <vt:variant>
        <vt:lpwstr/>
      </vt:variant>
      <vt:variant>
        <vt:lpwstr>_Toc290363677</vt:lpwstr>
      </vt:variant>
      <vt:variant>
        <vt:i4>1638450</vt:i4>
      </vt:variant>
      <vt:variant>
        <vt:i4>8</vt:i4>
      </vt:variant>
      <vt:variant>
        <vt:i4>0</vt:i4>
      </vt:variant>
      <vt:variant>
        <vt:i4>5</vt:i4>
      </vt:variant>
      <vt:variant>
        <vt:lpwstr/>
      </vt:variant>
      <vt:variant>
        <vt:lpwstr>_Toc290363676</vt:lpwstr>
      </vt:variant>
      <vt:variant>
        <vt:i4>1638450</vt:i4>
      </vt:variant>
      <vt:variant>
        <vt:i4>2</vt:i4>
      </vt:variant>
      <vt:variant>
        <vt:i4>0</vt:i4>
      </vt:variant>
      <vt:variant>
        <vt:i4>5</vt:i4>
      </vt:variant>
      <vt:variant>
        <vt:lpwstr/>
      </vt:variant>
      <vt:variant>
        <vt:lpwstr>_Toc290363675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 for MDS Version 8.0.x (UD-05742-C)</dc:title>
  <dc:subject/>
  <dc:creator>Defense Tactical Solutions (DTS)</dc:creator>
  <cp:keywords/>
  <dc:description/>
  <cp:lastModifiedBy>Wilsey (US), Janel</cp:lastModifiedBy>
  <cp:revision>8</cp:revision>
  <cp:lastPrinted>2025-04-29T23:03:00Z</cp:lastPrinted>
  <dcterms:created xsi:type="dcterms:W3CDTF">2025-10-31T16:20:00Z</dcterms:created>
  <dcterms:modified xsi:type="dcterms:W3CDTF">2026-07-21T18:45:00Z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0x01010005681F71F21A5D42A98F3B0B4675394B</vt:lpwstr>
  </property>
  <property fmtid="{D5CDD505-2E9C-101B-9397-08002B2CF9AE}" pid="3" name="MSIP_Label_d9be401e-98d6-42b6-bec6-0ceb84895e69_Enabled">
    <vt:lpwstr>true</vt:lpwstr>
  </property>
  <property fmtid="{D5CDD505-2E9C-101B-9397-08002B2CF9AE}" pid="4" name="MSIP_Label_d9be401e-98d6-42b6-bec6-0ceb84895e69_SetDate">
    <vt:lpwstr>2022-09-28T02:20:40Z</vt:lpwstr>
  </property>
  <property fmtid="{D5CDD505-2E9C-101B-9397-08002B2CF9AE}" pid="5" name="MSIP_Label_d9be401e-98d6-42b6-bec6-0ceb84895e69_Method">
    <vt:lpwstr>Privileged</vt:lpwstr>
  </property>
  <property fmtid="{D5CDD505-2E9C-101B-9397-08002B2CF9AE}" pid="6" name="MSIP_Label_d9be401e-98d6-42b6-bec6-0ceb84895e69_Name">
    <vt:lpwstr>Unrestricted Senstivitiy</vt:lpwstr>
  </property>
  <property fmtid="{D5CDD505-2E9C-101B-9397-08002B2CF9AE}" pid="7" name="MSIP_Label_d9be401e-98d6-42b6-bec6-0ceb84895e69_SiteId">
    <vt:lpwstr>2a6ae295-f13d-4948-ba78-332742ce9097</vt:lpwstr>
  </property>
  <property fmtid="{D5CDD505-2E9C-101B-9397-08002B2CF9AE}" pid="8" name="MSIP_Label_d9be401e-98d6-42b6-bec6-0ceb84895e69_ActionId">
    <vt:lpwstr>9177924c-00e3-470e-b9b8-3df74e412571</vt:lpwstr>
  </property>
  <property fmtid="{D5CDD505-2E9C-101B-9397-08002B2CF9AE}" pid="9" name="MSIP_Label_d9be401e-98d6-42b6-bec6-0ceb84895e69_ContentBits">
    <vt:lpwstr>0</vt:lpwstr>
  </property>
</Properties>
</file>